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2"/>
        <w:gridCol w:w="9808"/>
      </w:tblGrid>
      <w:tr w:rsidR="00FA3A94" w:rsidRPr="00932A9A" w:rsidTr="00B41916">
        <w:trPr>
          <w:tblCellSpacing w:w="15" w:type="dxa"/>
        </w:trPr>
        <w:tc>
          <w:tcPr>
            <w:tcW w:w="476" w:type="pct"/>
            <w:shd w:val="clear" w:color="auto" w:fill="A41E1C"/>
            <w:vAlign w:val="center"/>
          </w:tcPr>
          <w:p w:rsidR="00FA3A94" w:rsidRDefault="00FA3A94" w:rsidP="00B41916">
            <w:pPr>
              <w:pStyle w:val="NASLOVZLATO"/>
            </w:pPr>
            <w:bookmarkStart w:id="0" w:name="_Hlk150257943"/>
            <w:r>
              <w:rPr>
                <w:lang w:val="en-US" w:eastAsia="en-US"/>
              </w:rPr>
              <w:drawing>
                <wp:inline distT="0" distB="0" distL="0" distR="0" wp14:anchorId="7CD36CBD" wp14:editId="55FF90A9">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FA3A94" w:rsidRPr="00D70371" w:rsidRDefault="00FA3A94" w:rsidP="00B41916">
            <w:pPr>
              <w:pStyle w:val="NASLOVZLATO"/>
            </w:pPr>
            <w:r w:rsidRPr="007542FB">
              <w:t>ПРАВИЛНИК</w:t>
            </w:r>
          </w:p>
          <w:p w:rsidR="00FA3A94" w:rsidRPr="00D70371" w:rsidRDefault="00FA3A94" w:rsidP="00B41916">
            <w:pPr>
              <w:pStyle w:val="NASLOVBELO"/>
            </w:pPr>
            <w:r>
              <w:t>О</w:t>
            </w:r>
            <w:r w:rsidRPr="00FA3A94">
              <w:t xml:space="preserve"> </w:t>
            </w:r>
            <w:r>
              <w:t>ИЗМЕНАМА</w:t>
            </w:r>
            <w:r w:rsidRPr="00FA3A94">
              <w:t xml:space="preserve"> </w:t>
            </w:r>
            <w:r>
              <w:t>ПРАВИЛНИКА</w:t>
            </w:r>
            <w:r w:rsidRPr="00FA3A94">
              <w:t xml:space="preserve"> </w:t>
            </w:r>
            <w:r>
              <w:t>О</w:t>
            </w:r>
            <w:r w:rsidRPr="00FA3A94">
              <w:t xml:space="preserve"> </w:t>
            </w:r>
            <w:r>
              <w:t>НАСТАВНОМ</w:t>
            </w:r>
            <w:r w:rsidRPr="00FA3A94">
              <w:t xml:space="preserve"> </w:t>
            </w:r>
            <w:r>
              <w:t>ПЛАНУ</w:t>
            </w:r>
            <w:r w:rsidRPr="00FA3A94">
              <w:t xml:space="preserve"> </w:t>
            </w:r>
            <w:r>
              <w:t>И</w:t>
            </w:r>
            <w:r w:rsidRPr="00FA3A94">
              <w:t xml:space="preserve"> </w:t>
            </w:r>
            <w:r>
              <w:t>ПРОГРАМУ</w:t>
            </w:r>
            <w:r w:rsidRPr="00FA3A94">
              <w:t xml:space="preserve"> </w:t>
            </w:r>
            <w:r>
              <w:t>ОПШТЕОБРАЗОВНИХ</w:t>
            </w:r>
            <w:r w:rsidRPr="00FA3A94">
              <w:t xml:space="preserve"> </w:t>
            </w:r>
            <w:r>
              <w:t>ПРЕДМЕТА</w:t>
            </w:r>
            <w:r w:rsidRPr="00FA3A94">
              <w:t xml:space="preserve"> </w:t>
            </w:r>
            <w:r>
              <w:t>СРЕДЊЕГ</w:t>
            </w:r>
            <w:r w:rsidRPr="00FA3A94">
              <w:t xml:space="preserve"> </w:t>
            </w:r>
            <w:r>
              <w:t>СТРУЧНОГ</w:t>
            </w:r>
            <w:r w:rsidRPr="00FA3A94">
              <w:t xml:space="preserve"> </w:t>
            </w:r>
            <w:r>
              <w:t>ОБРАЗОВАЊА</w:t>
            </w:r>
            <w:r w:rsidRPr="00FA3A94">
              <w:t xml:space="preserve"> </w:t>
            </w:r>
            <w:r>
              <w:t>У</w:t>
            </w:r>
            <w:r w:rsidRPr="00FA3A94">
              <w:t xml:space="preserve"> </w:t>
            </w:r>
            <w:r>
              <w:t>ПОДРУЧЈУ</w:t>
            </w:r>
            <w:r w:rsidRPr="00FA3A94">
              <w:t xml:space="preserve"> </w:t>
            </w:r>
            <w:r>
              <w:t>РАДА</w:t>
            </w:r>
            <w:r w:rsidRPr="00FA3A94">
              <w:t xml:space="preserve"> </w:t>
            </w:r>
            <w:r>
              <w:t>САОБРАЋАЈ</w:t>
            </w:r>
          </w:p>
          <w:p w:rsidR="00FA3A94" w:rsidRPr="00D70371" w:rsidRDefault="001B26CB" w:rsidP="00B41916">
            <w:pPr>
              <w:pStyle w:val="podnaslovpropisa"/>
            </w:pPr>
            <w:r w:rsidRPr="00183A35">
              <w:t>("</w:t>
            </w:r>
            <w:r>
              <w:t>Сл</w:t>
            </w:r>
            <w:r w:rsidRPr="00183A35">
              <w:t xml:space="preserve">. </w:t>
            </w:r>
            <w:r>
              <w:t>гласник</w:t>
            </w:r>
            <w:r w:rsidRPr="00183A35">
              <w:t xml:space="preserve"> </w:t>
            </w:r>
            <w:r>
              <w:t>РС</w:t>
            </w:r>
            <w:r w:rsidRPr="00183A35">
              <w:t xml:space="preserve"> - </w:t>
            </w:r>
            <w:r>
              <w:t>Просветни</w:t>
            </w:r>
            <w:r w:rsidRPr="00183A35">
              <w:t xml:space="preserve"> </w:t>
            </w:r>
            <w:r>
              <w:t>гласник</w:t>
            </w:r>
            <w:r w:rsidRPr="00183A35">
              <w:t>"</w:t>
            </w:r>
            <w:bookmarkStart w:id="1" w:name="_GoBack"/>
            <w:bookmarkEnd w:id="1"/>
            <w:r w:rsidR="00FA3A94" w:rsidRPr="00D70371">
              <w:t xml:space="preserve">, бр. </w:t>
            </w:r>
            <w:r w:rsidR="00FA3A94">
              <w:t>2</w:t>
            </w:r>
            <w:r w:rsidR="00FA3A94" w:rsidRPr="00D70371">
              <w:t>/</w:t>
            </w:r>
            <w:r w:rsidR="00FA3A94">
              <w:t>2016</w:t>
            </w:r>
            <w:r w:rsidR="00FA3A94" w:rsidRPr="00D70371">
              <w:t>)</w:t>
            </w:r>
          </w:p>
        </w:tc>
      </w:tr>
      <w:bookmarkEnd w:id="0"/>
    </w:tbl>
    <w:p w:rsidR="00041039" w:rsidRDefault="00041039">
      <w:pPr>
        <w:pStyle w:val="BodyText"/>
        <w:rPr>
          <w:sz w:val="20"/>
        </w:rPr>
      </w:pPr>
    </w:p>
    <w:p w:rsidR="00041039" w:rsidRDefault="00041039">
      <w:pPr>
        <w:pStyle w:val="BodyText"/>
        <w:spacing w:before="2"/>
        <w:rPr>
          <w:sz w:val="29"/>
        </w:rPr>
      </w:pPr>
    </w:p>
    <w:p w:rsidR="00041039" w:rsidRDefault="00041039">
      <w:pPr>
        <w:pStyle w:val="Heading1"/>
        <w:ind w:left="0" w:right="17"/>
        <w:jc w:val="center"/>
      </w:pPr>
    </w:p>
    <w:p w:rsidR="00041039" w:rsidRDefault="001B26CB">
      <w:pPr>
        <w:pStyle w:val="Heading2"/>
        <w:spacing w:before="2" w:line="232" w:lineRule="auto"/>
        <w:ind w:left="100" w:right="117" w:firstLine="396"/>
        <w:jc w:val="both"/>
      </w:pPr>
      <w:r>
        <w:rPr>
          <w:color w:val="231F20"/>
        </w:rPr>
        <w:t>На основу члана 24. став 3. Закона о основама система образовања и васпитања („Службени гласник РС”, бр. 72/09, 52/11, 55/13, 35/15 – аутентично тумачење и 68/15), члана 17. став 4. и члана 24. Закона о Влади („Службени гласник РС”, бр. 55/05, 71/05 – испр</w:t>
      </w:r>
      <w:r>
        <w:rPr>
          <w:color w:val="231F20"/>
        </w:rPr>
        <w:t>авка, 101/07, 65/08, 16/11, 68/12 – УС, 72/12, 7/14 – УС и 44/14),</w:t>
      </w:r>
    </w:p>
    <w:p w:rsidR="00041039" w:rsidRDefault="001B26CB">
      <w:pPr>
        <w:spacing w:line="200" w:lineRule="exact"/>
        <w:ind w:left="497"/>
        <w:rPr>
          <w:sz w:val="18"/>
        </w:rPr>
      </w:pPr>
      <w:r>
        <w:rPr>
          <w:color w:val="231F20"/>
          <w:sz w:val="18"/>
        </w:rPr>
        <w:t>Mинистар просвете, науке и технолошког развоја доноси</w:t>
      </w:r>
    </w:p>
    <w:p w:rsidR="00041039" w:rsidRDefault="00041039">
      <w:pPr>
        <w:pStyle w:val="BodyText"/>
        <w:rPr>
          <w:sz w:val="16"/>
        </w:rPr>
      </w:pPr>
    </w:p>
    <w:p w:rsidR="00041039" w:rsidRDefault="00FA3A94">
      <w:pPr>
        <w:ind w:left="4523" w:right="4540"/>
        <w:jc w:val="center"/>
        <w:rPr>
          <w:b/>
          <w:sz w:val="20"/>
        </w:rPr>
      </w:pPr>
      <w:r>
        <w:rPr>
          <w:b/>
          <w:color w:val="231F20"/>
          <w:sz w:val="20"/>
        </w:rPr>
        <w:t>ПРАВИЛНИ</w:t>
      </w:r>
      <w:r w:rsidR="001B26CB">
        <w:rPr>
          <w:b/>
          <w:color w:val="231F20"/>
          <w:sz w:val="20"/>
        </w:rPr>
        <w:t>К</w:t>
      </w:r>
    </w:p>
    <w:p w:rsidR="00041039" w:rsidRDefault="001B26CB">
      <w:pPr>
        <w:pStyle w:val="ListParagraph"/>
        <w:tabs>
          <w:tab w:val="left" w:pos="385"/>
        </w:tabs>
        <w:spacing w:before="180" w:line="249" w:lineRule="auto"/>
        <w:ind w:left="238" w:right="256" w:firstLine="0"/>
        <w:rPr>
          <w:b/>
          <w:sz w:val="20"/>
        </w:rPr>
      </w:pPr>
      <w:r>
        <w:rPr>
          <w:b/>
          <w:color w:val="231F20"/>
          <w:spacing w:val="-3"/>
          <w:sz w:val="20"/>
        </w:rPr>
        <w:t xml:space="preserve">изменама Правилника </w:t>
      </w:r>
      <w:r>
        <w:rPr>
          <w:b/>
          <w:color w:val="231F20"/>
          <w:sz w:val="20"/>
        </w:rPr>
        <w:t xml:space="preserve">о </w:t>
      </w:r>
      <w:r>
        <w:rPr>
          <w:b/>
          <w:color w:val="231F20"/>
          <w:spacing w:val="-3"/>
          <w:sz w:val="20"/>
        </w:rPr>
        <w:t xml:space="preserve">наставном плану </w:t>
      </w:r>
      <w:r>
        <w:rPr>
          <w:b/>
          <w:color w:val="231F20"/>
          <w:sz w:val="20"/>
        </w:rPr>
        <w:t xml:space="preserve">и </w:t>
      </w:r>
      <w:r>
        <w:rPr>
          <w:b/>
          <w:color w:val="231F20"/>
          <w:spacing w:val="-3"/>
          <w:sz w:val="20"/>
        </w:rPr>
        <w:t xml:space="preserve">програму општеобразовних предмета средњег </w:t>
      </w:r>
      <w:r>
        <w:rPr>
          <w:b/>
          <w:color w:val="231F20"/>
          <w:sz w:val="20"/>
        </w:rPr>
        <w:t xml:space="preserve">стручног </w:t>
      </w:r>
      <w:r>
        <w:rPr>
          <w:b/>
          <w:color w:val="231F20"/>
          <w:spacing w:val="-3"/>
          <w:sz w:val="20"/>
        </w:rPr>
        <w:t xml:space="preserve">образовања </w:t>
      </w:r>
      <w:r>
        <w:rPr>
          <w:b/>
          <w:color w:val="231F20"/>
          <w:sz w:val="20"/>
        </w:rPr>
        <w:t xml:space="preserve">у </w:t>
      </w:r>
      <w:r>
        <w:rPr>
          <w:b/>
          <w:color w:val="231F20"/>
          <w:spacing w:val="-3"/>
          <w:sz w:val="20"/>
        </w:rPr>
        <w:t xml:space="preserve">подручју </w:t>
      </w:r>
      <w:r>
        <w:rPr>
          <w:b/>
          <w:color w:val="231F20"/>
          <w:sz w:val="20"/>
        </w:rPr>
        <w:t>рада</w:t>
      </w:r>
      <w:r>
        <w:rPr>
          <w:b/>
          <w:color w:val="231F20"/>
          <w:spacing w:val="-5"/>
          <w:sz w:val="20"/>
        </w:rPr>
        <w:t xml:space="preserve"> </w:t>
      </w:r>
      <w:r>
        <w:rPr>
          <w:b/>
          <w:color w:val="231F20"/>
          <w:spacing w:val="-3"/>
          <w:sz w:val="20"/>
        </w:rPr>
        <w:t>Саобраћај</w:t>
      </w:r>
    </w:p>
    <w:p w:rsidR="00041039" w:rsidRDefault="00041039">
      <w:pPr>
        <w:pStyle w:val="BodyText"/>
        <w:spacing w:before="11"/>
        <w:rPr>
          <w:b/>
          <w:sz w:val="22"/>
        </w:rPr>
      </w:pPr>
    </w:p>
    <w:p w:rsidR="00041039" w:rsidRDefault="001B26CB">
      <w:pPr>
        <w:pStyle w:val="Heading2"/>
        <w:spacing w:line="203" w:lineRule="exact"/>
        <w:ind w:left="4523" w:right="4540"/>
        <w:jc w:val="center"/>
      </w:pPr>
      <w:r>
        <w:rPr>
          <w:color w:val="231F20"/>
        </w:rPr>
        <w:t>Члан 1.</w:t>
      </w:r>
    </w:p>
    <w:p w:rsidR="00041039" w:rsidRDefault="001B26CB">
      <w:pPr>
        <w:spacing w:before="2" w:line="232" w:lineRule="auto"/>
        <w:ind w:left="100" w:right="117" w:firstLine="396"/>
        <w:jc w:val="both"/>
        <w:rPr>
          <w:sz w:val="18"/>
        </w:rPr>
      </w:pPr>
      <w:r>
        <w:rPr>
          <w:color w:val="231F20"/>
          <w:sz w:val="18"/>
        </w:rPr>
        <w:t>У Правилнику о наставном плану и програму општеобразовних предмета средњег стручног образовања у подручју рада Саобраћај („Службени гласник РС – Просветни гласник”, број 10/15), наставни план и програм за образовни профил техничар ваздушног саобра­ ћаја за</w:t>
      </w:r>
      <w:r>
        <w:rPr>
          <w:color w:val="231F20"/>
          <w:sz w:val="18"/>
        </w:rPr>
        <w:t>мењује се новим наставним планом и програмом за образовни профил техничар ваздушног саобраћаја, који је одштампан уз овај правилник и чини његов саставни део.</w:t>
      </w:r>
    </w:p>
    <w:p w:rsidR="00041039" w:rsidRDefault="001B26CB">
      <w:pPr>
        <w:spacing w:before="162" w:line="203" w:lineRule="exact"/>
        <w:ind w:left="5091"/>
        <w:rPr>
          <w:sz w:val="18"/>
        </w:rPr>
      </w:pPr>
      <w:r>
        <w:rPr>
          <w:color w:val="231F20"/>
          <w:sz w:val="18"/>
        </w:rPr>
        <w:t>Члан 2.</w:t>
      </w:r>
    </w:p>
    <w:p w:rsidR="00041039" w:rsidRDefault="001B26CB">
      <w:pPr>
        <w:spacing w:before="1" w:line="232" w:lineRule="auto"/>
        <w:ind w:left="100" w:right="118" w:firstLine="396"/>
        <w:jc w:val="both"/>
        <w:rPr>
          <w:sz w:val="18"/>
        </w:rPr>
      </w:pPr>
      <w:r>
        <w:rPr>
          <w:color w:val="231F20"/>
          <w:sz w:val="18"/>
        </w:rPr>
        <w:t>Наставни план и програм за образовни профил техничар ваздушног саобраћаја за безбедност з</w:t>
      </w:r>
      <w:r>
        <w:rPr>
          <w:color w:val="231F20"/>
          <w:sz w:val="18"/>
        </w:rPr>
        <w:t>амењује се новим наставним планом и програмом за образовни профил техничар ваздушног саобраћаја за безбедност, који је одштампан уз овај правилник и чини његов са­ ставни део.</w:t>
      </w:r>
    </w:p>
    <w:p w:rsidR="00041039" w:rsidRDefault="001B26CB">
      <w:pPr>
        <w:spacing w:before="163" w:line="203" w:lineRule="exact"/>
        <w:ind w:left="5091"/>
        <w:rPr>
          <w:sz w:val="18"/>
        </w:rPr>
      </w:pPr>
      <w:r>
        <w:rPr>
          <w:color w:val="231F20"/>
          <w:sz w:val="18"/>
        </w:rPr>
        <w:t>Члан 3.</w:t>
      </w:r>
    </w:p>
    <w:p w:rsidR="00041039" w:rsidRDefault="001B26CB">
      <w:pPr>
        <w:spacing w:before="1" w:line="232" w:lineRule="auto"/>
        <w:ind w:left="100" w:right="118" w:firstLine="397"/>
        <w:jc w:val="both"/>
        <w:rPr>
          <w:sz w:val="18"/>
        </w:rPr>
      </w:pPr>
      <w:r>
        <w:rPr>
          <w:color w:val="231F20"/>
          <w:sz w:val="18"/>
        </w:rPr>
        <w:t>Наставни</w:t>
      </w:r>
      <w:r>
        <w:rPr>
          <w:color w:val="231F20"/>
          <w:spacing w:val="-5"/>
          <w:sz w:val="18"/>
        </w:rPr>
        <w:t xml:space="preserve"> </w:t>
      </w:r>
      <w:r>
        <w:rPr>
          <w:color w:val="231F20"/>
          <w:sz w:val="18"/>
        </w:rPr>
        <w:t>план</w:t>
      </w:r>
      <w:r>
        <w:rPr>
          <w:color w:val="231F20"/>
          <w:spacing w:val="-5"/>
          <w:sz w:val="18"/>
        </w:rPr>
        <w:t xml:space="preserve"> </w:t>
      </w:r>
      <w:r>
        <w:rPr>
          <w:color w:val="231F20"/>
          <w:sz w:val="18"/>
        </w:rPr>
        <w:t>и</w:t>
      </w:r>
      <w:r>
        <w:rPr>
          <w:color w:val="231F20"/>
          <w:spacing w:val="-5"/>
          <w:sz w:val="18"/>
        </w:rPr>
        <w:t xml:space="preserve"> </w:t>
      </w:r>
      <w:r>
        <w:rPr>
          <w:color w:val="231F20"/>
          <w:sz w:val="18"/>
        </w:rPr>
        <w:t>програм</w:t>
      </w:r>
      <w:r>
        <w:rPr>
          <w:color w:val="231F20"/>
          <w:spacing w:val="-5"/>
          <w:sz w:val="18"/>
        </w:rPr>
        <w:t xml:space="preserve"> </w:t>
      </w:r>
      <w:r>
        <w:rPr>
          <w:color w:val="231F20"/>
          <w:sz w:val="18"/>
        </w:rPr>
        <w:t>за</w:t>
      </w:r>
      <w:r>
        <w:rPr>
          <w:color w:val="231F20"/>
          <w:spacing w:val="-5"/>
          <w:sz w:val="18"/>
        </w:rPr>
        <w:t xml:space="preserve"> </w:t>
      </w:r>
      <w:r>
        <w:rPr>
          <w:color w:val="231F20"/>
          <w:sz w:val="18"/>
        </w:rPr>
        <w:t>образовни</w:t>
      </w:r>
      <w:r>
        <w:rPr>
          <w:color w:val="231F20"/>
          <w:spacing w:val="-5"/>
          <w:sz w:val="18"/>
        </w:rPr>
        <w:t xml:space="preserve"> </w:t>
      </w:r>
      <w:r>
        <w:rPr>
          <w:color w:val="231F20"/>
          <w:sz w:val="18"/>
        </w:rPr>
        <w:t>профил</w:t>
      </w:r>
      <w:r>
        <w:rPr>
          <w:color w:val="231F20"/>
          <w:spacing w:val="-5"/>
          <w:sz w:val="18"/>
        </w:rPr>
        <w:t xml:space="preserve"> </w:t>
      </w:r>
      <w:r>
        <w:rPr>
          <w:color w:val="231F20"/>
          <w:sz w:val="18"/>
        </w:rPr>
        <w:t>техничар</w:t>
      </w:r>
      <w:r>
        <w:rPr>
          <w:color w:val="231F20"/>
          <w:spacing w:val="-5"/>
          <w:sz w:val="18"/>
        </w:rPr>
        <w:t xml:space="preserve"> </w:t>
      </w:r>
      <w:r>
        <w:rPr>
          <w:color w:val="231F20"/>
          <w:sz w:val="18"/>
        </w:rPr>
        <w:t>ваздушног</w:t>
      </w:r>
      <w:r>
        <w:rPr>
          <w:color w:val="231F20"/>
          <w:spacing w:val="-5"/>
          <w:sz w:val="18"/>
        </w:rPr>
        <w:t xml:space="preserve"> </w:t>
      </w:r>
      <w:r>
        <w:rPr>
          <w:color w:val="231F20"/>
          <w:sz w:val="18"/>
        </w:rPr>
        <w:t>саобраћај</w:t>
      </w:r>
      <w:r>
        <w:rPr>
          <w:color w:val="231F20"/>
          <w:sz w:val="18"/>
        </w:rPr>
        <w:t>а</w:t>
      </w:r>
      <w:r>
        <w:rPr>
          <w:color w:val="231F20"/>
          <w:spacing w:val="-5"/>
          <w:sz w:val="18"/>
        </w:rPr>
        <w:t xml:space="preserve"> </w:t>
      </w:r>
      <w:r>
        <w:rPr>
          <w:color w:val="231F20"/>
          <w:sz w:val="18"/>
        </w:rPr>
        <w:t>за</w:t>
      </w:r>
      <w:r>
        <w:rPr>
          <w:color w:val="231F20"/>
          <w:spacing w:val="-5"/>
          <w:sz w:val="18"/>
        </w:rPr>
        <w:t xml:space="preserve"> </w:t>
      </w:r>
      <w:r>
        <w:rPr>
          <w:color w:val="231F20"/>
          <w:sz w:val="18"/>
        </w:rPr>
        <w:t>спасавање</w:t>
      </w:r>
      <w:r>
        <w:rPr>
          <w:color w:val="231F20"/>
          <w:spacing w:val="-5"/>
          <w:sz w:val="18"/>
        </w:rPr>
        <w:t xml:space="preserve"> </w:t>
      </w:r>
      <w:r>
        <w:rPr>
          <w:color w:val="231F20"/>
          <w:sz w:val="18"/>
        </w:rPr>
        <w:t>замењује</w:t>
      </w:r>
      <w:r>
        <w:rPr>
          <w:color w:val="231F20"/>
          <w:spacing w:val="-5"/>
          <w:sz w:val="18"/>
        </w:rPr>
        <w:t xml:space="preserve"> </w:t>
      </w:r>
      <w:r>
        <w:rPr>
          <w:color w:val="231F20"/>
          <w:sz w:val="18"/>
        </w:rPr>
        <w:t>се</w:t>
      </w:r>
      <w:r>
        <w:rPr>
          <w:color w:val="231F20"/>
          <w:spacing w:val="-5"/>
          <w:sz w:val="18"/>
        </w:rPr>
        <w:t xml:space="preserve"> </w:t>
      </w:r>
      <w:r>
        <w:rPr>
          <w:color w:val="231F20"/>
          <w:sz w:val="18"/>
        </w:rPr>
        <w:t>новим</w:t>
      </w:r>
      <w:r>
        <w:rPr>
          <w:color w:val="231F20"/>
          <w:spacing w:val="-5"/>
          <w:sz w:val="18"/>
        </w:rPr>
        <w:t xml:space="preserve"> </w:t>
      </w:r>
      <w:r>
        <w:rPr>
          <w:color w:val="231F20"/>
          <w:sz w:val="18"/>
        </w:rPr>
        <w:t>наставним</w:t>
      </w:r>
      <w:r>
        <w:rPr>
          <w:color w:val="231F20"/>
          <w:spacing w:val="-5"/>
          <w:sz w:val="18"/>
        </w:rPr>
        <w:t xml:space="preserve"> </w:t>
      </w:r>
      <w:r>
        <w:rPr>
          <w:color w:val="231F20"/>
          <w:sz w:val="18"/>
        </w:rPr>
        <w:t>планом</w:t>
      </w:r>
      <w:r>
        <w:rPr>
          <w:color w:val="231F20"/>
          <w:spacing w:val="-5"/>
          <w:sz w:val="18"/>
        </w:rPr>
        <w:t xml:space="preserve"> </w:t>
      </w:r>
      <w:r>
        <w:rPr>
          <w:color w:val="231F20"/>
          <w:sz w:val="18"/>
        </w:rPr>
        <w:t xml:space="preserve">и програмом за образовни профил техничар ваздушног саобраћаја за спасавање, </w:t>
      </w:r>
      <w:r>
        <w:rPr>
          <w:color w:val="231F20"/>
          <w:spacing w:val="-3"/>
          <w:sz w:val="18"/>
        </w:rPr>
        <w:t xml:space="preserve">који </w:t>
      </w:r>
      <w:r>
        <w:rPr>
          <w:color w:val="231F20"/>
          <w:sz w:val="18"/>
        </w:rPr>
        <w:t>је одштампан уз овај правилник и чини његов састав­ ни</w:t>
      </w:r>
      <w:r>
        <w:rPr>
          <w:color w:val="231F20"/>
          <w:spacing w:val="-1"/>
          <w:sz w:val="18"/>
        </w:rPr>
        <w:t xml:space="preserve"> </w:t>
      </w:r>
      <w:r>
        <w:rPr>
          <w:color w:val="231F20"/>
          <w:sz w:val="18"/>
        </w:rPr>
        <w:t>део.</w:t>
      </w:r>
    </w:p>
    <w:p w:rsidR="00041039" w:rsidRDefault="001B26CB">
      <w:pPr>
        <w:spacing w:before="163" w:line="203" w:lineRule="exact"/>
        <w:ind w:left="4522" w:right="4540"/>
        <w:jc w:val="center"/>
        <w:rPr>
          <w:sz w:val="18"/>
        </w:rPr>
      </w:pPr>
      <w:r>
        <w:rPr>
          <w:color w:val="231F20"/>
          <w:sz w:val="18"/>
        </w:rPr>
        <w:t>Члан 4.</w:t>
      </w:r>
    </w:p>
    <w:p w:rsidR="00041039" w:rsidRDefault="001B26CB">
      <w:pPr>
        <w:spacing w:line="203" w:lineRule="exact"/>
        <w:ind w:right="118"/>
        <w:jc w:val="right"/>
        <w:rPr>
          <w:sz w:val="18"/>
        </w:rPr>
      </w:pPr>
      <w:r>
        <w:rPr>
          <w:color w:val="231F20"/>
          <w:sz w:val="18"/>
        </w:rPr>
        <w:t>Овај правилник ступа на снагу осмог дана од дана објављивања у „Службеном гласнику Републике Србије – Просветном гласнику”.</w:t>
      </w:r>
    </w:p>
    <w:p w:rsidR="00041039" w:rsidRDefault="00041039">
      <w:pPr>
        <w:pStyle w:val="BodyText"/>
        <w:spacing w:before="9"/>
        <w:rPr>
          <w:sz w:val="16"/>
        </w:rPr>
      </w:pPr>
    </w:p>
    <w:p w:rsidR="00041039" w:rsidRDefault="001B26CB">
      <w:pPr>
        <w:spacing w:line="203" w:lineRule="exact"/>
        <w:ind w:right="118"/>
        <w:jc w:val="right"/>
        <w:rPr>
          <w:sz w:val="18"/>
        </w:rPr>
      </w:pPr>
      <w:r>
        <w:rPr>
          <w:color w:val="231F20"/>
          <w:sz w:val="18"/>
        </w:rPr>
        <w:t>Број 110­00­87/2016­04</w:t>
      </w:r>
    </w:p>
    <w:p w:rsidR="00041039" w:rsidRDefault="001B26CB">
      <w:pPr>
        <w:spacing w:line="203" w:lineRule="exact"/>
        <w:ind w:right="118"/>
        <w:jc w:val="right"/>
        <w:rPr>
          <w:sz w:val="18"/>
        </w:rPr>
      </w:pPr>
      <w:r>
        <w:rPr>
          <w:color w:val="231F20"/>
          <w:sz w:val="18"/>
        </w:rPr>
        <w:t>У Београду, 10. марта 2016. године</w:t>
      </w:r>
    </w:p>
    <w:p w:rsidR="00041039" w:rsidRDefault="001B26CB">
      <w:pPr>
        <w:spacing w:before="55" w:line="232" w:lineRule="auto"/>
        <w:ind w:left="8908" w:right="118" w:firstLine="911"/>
        <w:jc w:val="right"/>
        <w:rPr>
          <w:sz w:val="18"/>
        </w:rPr>
      </w:pPr>
      <w:r>
        <w:rPr>
          <w:color w:val="231F20"/>
          <w:sz w:val="18"/>
        </w:rPr>
        <w:t xml:space="preserve">Министар, др </w:t>
      </w:r>
      <w:r>
        <w:rPr>
          <w:b/>
          <w:color w:val="231F20"/>
          <w:sz w:val="18"/>
        </w:rPr>
        <w:t xml:space="preserve">Срђан Вербић, </w:t>
      </w:r>
      <w:r>
        <w:rPr>
          <w:color w:val="231F20"/>
          <w:sz w:val="18"/>
        </w:rPr>
        <w:t>с.р.</w:t>
      </w:r>
    </w:p>
    <w:p w:rsidR="00041039" w:rsidRDefault="00041039">
      <w:pPr>
        <w:spacing w:line="232" w:lineRule="auto"/>
        <w:jc w:val="right"/>
        <w:rPr>
          <w:sz w:val="18"/>
        </w:rPr>
        <w:sectPr w:rsidR="00041039" w:rsidSect="00FA3A94">
          <w:footerReference w:type="default" r:id="rId8"/>
          <w:type w:val="continuous"/>
          <w:pgSz w:w="11910" w:h="15710"/>
          <w:pgMar w:top="1480" w:right="560" w:bottom="280" w:left="580" w:header="720" w:footer="270" w:gutter="0"/>
          <w:cols w:space="720"/>
        </w:sectPr>
      </w:pPr>
    </w:p>
    <w:p w:rsidR="00041039" w:rsidRDefault="00041039">
      <w:pPr>
        <w:pStyle w:val="BodyText"/>
        <w:rPr>
          <w:sz w:val="20"/>
        </w:rPr>
      </w:pPr>
    </w:p>
    <w:p w:rsidR="00041039" w:rsidRDefault="00041039">
      <w:pPr>
        <w:pStyle w:val="BodyText"/>
        <w:rPr>
          <w:sz w:val="20"/>
        </w:rPr>
      </w:pPr>
    </w:p>
    <w:p w:rsidR="00041039" w:rsidRDefault="00041039">
      <w:pPr>
        <w:pStyle w:val="BodyText"/>
        <w:rPr>
          <w:sz w:val="20"/>
        </w:rPr>
      </w:pPr>
    </w:p>
    <w:p w:rsidR="00041039" w:rsidRDefault="00041039">
      <w:pPr>
        <w:pStyle w:val="BodyText"/>
        <w:rPr>
          <w:sz w:val="20"/>
        </w:rPr>
      </w:pPr>
    </w:p>
    <w:p w:rsidR="00041039" w:rsidRDefault="00041039">
      <w:pPr>
        <w:pStyle w:val="BodyText"/>
        <w:spacing w:before="7"/>
        <w:rPr>
          <w:sz w:val="12"/>
        </w:rPr>
      </w:pPr>
    </w:p>
    <w:p w:rsidR="00041039" w:rsidRDefault="001B26CB">
      <w:pPr>
        <w:pStyle w:val="BodyText"/>
        <w:ind w:left="108"/>
        <w:rPr>
          <w:sz w:val="20"/>
        </w:rPr>
      </w:pPr>
      <w:r>
        <w:rPr>
          <w:noProof/>
          <w:sz w:val="20"/>
        </w:rPr>
        <w:drawing>
          <wp:inline distT="0" distB="0" distL="0" distR="0">
            <wp:extent cx="8622174" cy="328574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8622174" cy="3285744"/>
                    </a:xfrm>
                    <a:prstGeom prst="rect">
                      <a:avLst/>
                    </a:prstGeom>
                  </pic:spPr>
                </pic:pic>
              </a:graphicData>
            </a:graphic>
          </wp:inline>
        </w:drawing>
      </w:r>
    </w:p>
    <w:p w:rsidR="00041039" w:rsidRDefault="00041039">
      <w:pPr>
        <w:rPr>
          <w:sz w:val="20"/>
        </w:rPr>
        <w:sectPr w:rsidR="00041039">
          <w:pgSz w:w="16840" w:h="10780" w:orient="landscape"/>
          <w:pgMar w:top="980" w:right="1280" w:bottom="280" w:left="1660" w:header="720" w:footer="720" w:gutter="0"/>
          <w:cols w:space="720"/>
        </w:sectPr>
      </w:pPr>
    </w:p>
    <w:p w:rsidR="00041039" w:rsidRDefault="001B26CB">
      <w:pPr>
        <w:pStyle w:val="Heading1"/>
        <w:spacing w:before="80" w:line="240" w:lineRule="auto"/>
        <w:ind w:left="0" w:right="38"/>
        <w:jc w:val="center"/>
      </w:pPr>
      <w:r>
        <w:rPr>
          <w:color w:val="231F20"/>
        </w:rPr>
        <w:lastRenderedPageBreak/>
        <w:t>Б: Листа изборних предмета према програму образовног профила</w:t>
      </w:r>
    </w:p>
    <w:p w:rsidR="00041039" w:rsidRDefault="00041039">
      <w:pPr>
        <w:pStyle w:val="BodyText"/>
        <w:spacing w:before="11"/>
        <w:rPr>
          <w:b/>
          <w:sz w:val="20"/>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3"/>
        <w:gridCol w:w="6676"/>
        <w:gridCol w:w="851"/>
        <w:gridCol w:w="851"/>
        <w:gridCol w:w="851"/>
        <w:gridCol w:w="851"/>
      </w:tblGrid>
      <w:tr w:rsidR="00041039">
        <w:trPr>
          <w:trHeight w:val="198"/>
        </w:trPr>
        <w:tc>
          <w:tcPr>
            <w:tcW w:w="463" w:type="dxa"/>
            <w:vMerge w:val="restart"/>
          </w:tcPr>
          <w:p w:rsidR="00041039" w:rsidRDefault="001B26CB">
            <w:pPr>
              <w:pStyle w:val="TableParagraph"/>
              <w:spacing w:before="16"/>
              <w:ind w:left="56"/>
              <w:rPr>
                <w:b/>
                <w:sz w:val="14"/>
              </w:rPr>
            </w:pPr>
            <w:r>
              <w:rPr>
                <w:b/>
                <w:color w:val="231F20"/>
                <w:sz w:val="14"/>
              </w:rPr>
              <w:t>Рб.</w:t>
            </w:r>
          </w:p>
        </w:tc>
        <w:tc>
          <w:tcPr>
            <w:tcW w:w="6676" w:type="dxa"/>
            <w:vMerge w:val="restart"/>
          </w:tcPr>
          <w:p w:rsidR="00041039" w:rsidRDefault="001B26CB">
            <w:pPr>
              <w:pStyle w:val="TableParagraph"/>
              <w:spacing w:before="16"/>
              <w:ind w:left="56"/>
              <w:rPr>
                <w:b/>
                <w:sz w:val="14"/>
              </w:rPr>
            </w:pPr>
            <w:r>
              <w:rPr>
                <w:b/>
                <w:color w:val="231F20"/>
                <w:sz w:val="14"/>
              </w:rPr>
              <w:t>Листа изборних предмета</w:t>
            </w:r>
          </w:p>
        </w:tc>
        <w:tc>
          <w:tcPr>
            <w:tcW w:w="3404" w:type="dxa"/>
            <w:gridSpan w:val="4"/>
          </w:tcPr>
          <w:p w:rsidR="00041039" w:rsidRDefault="001B26CB">
            <w:pPr>
              <w:pStyle w:val="TableParagraph"/>
              <w:spacing w:before="16"/>
              <w:ind w:left="1412" w:right="1406"/>
              <w:jc w:val="center"/>
              <w:rPr>
                <w:b/>
                <w:sz w:val="14"/>
              </w:rPr>
            </w:pPr>
            <w:r>
              <w:rPr>
                <w:b/>
                <w:color w:val="231F20"/>
                <w:sz w:val="14"/>
              </w:rPr>
              <w:t>РАЗРЕД</w:t>
            </w:r>
          </w:p>
        </w:tc>
      </w:tr>
      <w:tr w:rsidR="00041039">
        <w:trPr>
          <w:trHeight w:val="198"/>
        </w:trPr>
        <w:tc>
          <w:tcPr>
            <w:tcW w:w="463" w:type="dxa"/>
            <w:vMerge/>
            <w:tcBorders>
              <w:top w:val="nil"/>
            </w:tcBorders>
          </w:tcPr>
          <w:p w:rsidR="00041039" w:rsidRDefault="00041039">
            <w:pPr>
              <w:rPr>
                <w:sz w:val="2"/>
                <w:szCs w:val="2"/>
              </w:rPr>
            </w:pPr>
          </w:p>
        </w:tc>
        <w:tc>
          <w:tcPr>
            <w:tcW w:w="6676" w:type="dxa"/>
            <w:vMerge/>
            <w:tcBorders>
              <w:top w:val="nil"/>
            </w:tcBorders>
          </w:tcPr>
          <w:p w:rsidR="00041039" w:rsidRDefault="00041039">
            <w:pPr>
              <w:rPr>
                <w:sz w:val="2"/>
                <w:szCs w:val="2"/>
              </w:rPr>
            </w:pPr>
          </w:p>
        </w:tc>
        <w:tc>
          <w:tcPr>
            <w:tcW w:w="851" w:type="dxa"/>
          </w:tcPr>
          <w:p w:rsidR="00041039" w:rsidRDefault="001B26CB">
            <w:pPr>
              <w:pStyle w:val="TableParagraph"/>
              <w:spacing w:before="15"/>
              <w:ind w:left="7"/>
              <w:jc w:val="center"/>
              <w:rPr>
                <w:b/>
                <w:sz w:val="14"/>
              </w:rPr>
            </w:pPr>
            <w:r>
              <w:rPr>
                <w:b/>
                <w:color w:val="231F20"/>
                <w:sz w:val="14"/>
              </w:rPr>
              <w:t>I</w:t>
            </w:r>
          </w:p>
        </w:tc>
        <w:tc>
          <w:tcPr>
            <w:tcW w:w="851" w:type="dxa"/>
          </w:tcPr>
          <w:p w:rsidR="00041039" w:rsidRDefault="001B26CB">
            <w:pPr>
              <w:pStyle w:val="TableParagraph"/>
              <w:spacing w:before="15"/>
              <w:ind w:left="349" w:right="343"/>
              <w:jc w:val="center"/>
              <w:rPr>
                <w:b/>
                <w:sz w:val="14"/>
              </w:rPr>
            </w:pPr>
            <w:r>
              <w:rPr>
                <w:b/>
                <w:color w:val="231F20"/>
                <w:sz w:val="14"/>
              </w:rPr>
              <w:t>II</w:t>
            </w:r>
          </w:p>
        </w:tc>
        <w:tc>
          <w:tcPr>
            <w:tcW w:w="851" w:type="dxa"/>
          </w:tcPr>
          <w:p w:rsidR="00041039" w:rsidRDefault="001B26CB">
            <w:pPr>
              <w:pStyle w:val="TableParagraph"/>
              <w:spacing w:before="15"/>
              <w:ind w:left="341"/>
              <w:rPr>
                <w:b/>
                <w:sz w:val="14"/>
              </w:rPr>
            </w:pPr>
            <w:r>
              <w:rPr>
                <w:b/>
                <w:color w:val="231F20"/>
                <w:sz w:val="14"/>
              </w:rPr>
              <w:t>III</w:t>
            </w:r>
          </w:p>
        </w:tc>
        <w:tc>
          <w:tcPr>
            <w:tcW w:w="851" w:type="dxa"/>
          </w:tcPr>
          <w:p w:rsidR="00041039" w:rsidRDefault="001B26CB">
            <w:pPr>
              <w:pStyle w:val="TableParagraph"/>
              <w:spacing w:before="15"/>
              <w:ind w:left="346"/>
              <w:rPr>
                <w:b/>
                <w:sz w:val="14"/>
              </w:rPr>
            </w:pPr>
            <w:r>
              <w:rPr>
                <w:b/>
                <w:color w:val="231F20"/>
                <w:sz w:val="14"/>
              </w:rPr>
              <w:t>IV</w:t>
            </w:r>
          </w:p>
        </w:tc>
      </w:tr>
      <w:tr w:rsidR="00041039">
        <w:trPr>
          <w:trHeight w:val="198"/>
        </w:trPr>
        <w:tc>
          <w:tcPr>
            <w:tcW w:w="10543" w:type="dxa"/>
            <w:gridSpan w:val="6"/>
            <w:shd w:val="clear" w:color="auto" w:fill="E6E7E8"/>
          </w:tcPr>
          <w:p w:rsidR="00041039" w:rsidRDefault="001B26CB">
            <w:pPr>
              <w:pStyle w:val="TableParagraph"/>
              <w:spacing w:before="15"/>
              <w:ind w:left="56"/>
              <w:rPr>
                <w:b/>
                <w:sz w:val="14"/>
              </w:rPr>
            </w:pPr>
            <w:r>
              <w:rPr>
                <w:b/>
                <w:color w:val="231F20"/>
                <w:sz w:val="14"/>
              </w:rPr>
              <w:t>Општеобразовни предмети</w:t>
            </w:r>
          </w:p>
        </w:tc>
      </w:tr>
      <w:tr w:rsidR="00041039">
        <w:trPr>
          <w:trHeight w:val="200"/>
        </w:trPr>
        <w:tc>
          <w:tcPr>
            <w:tcW w:w="463" w:type="dxa"/>
          </w:tcPr>
          <w:p w:rsidR="00041039" w:rsidRDefault="001B26CB">
            <w:pPr>
              <w:pStyle w:val="TableParagraph"/>
              <w:spacing w:before="15"/>
              <w:ind w:left="56"/>
              <w:rPr>
                <w:b/>
                <w:sz w:val="14"/>
              </w:rPr>
            </w:pPr>
            <w:r>
              <w:rPr>
                <w:b/>
                <w:color w:val="231F20"/>
                <w:sz w:val="14"/>
              </w:rPr>
              <w:t>1.</w:t>
            </w:r>
          </w:p>
        </w:tc>
        <w:tc>
          <w:tcPr>
            <w:tcW w:w="6676" w:type="dxa"/>
          </w:tcPr>
          <w:p w:rsidR="00041039" w:rsidRDefault="001B26CB">
            <w:pPr>
              <w:pStyle w:val="TableParagraph"/>
              <w:spacing w:before="15"/>
              <w:ind w:left="56"/>
              <w:rPr>
                <w:b/>
                <w:sz w:val="14"/>
              </w:rPr>
            </w:pPr>
            <w:r>
              <w:rPr>
                <w:b/>
                <w:color w:val="231F20"/>
                <w:sz w:val="14"/>
              </w:rPr>
              <w:t>Изабрана поглавља математике</w:t>
            </w:r>
          </w:p>
        </w:tc>
        <w:tc>
          <w:tcPr>
            <w:tcW w:w="851" w:type="dxa"/>
          </w:tcPr>
          <w:p w:rsidR="00041039" w:rsidRDefault="00041039">
            <w:pPr>
              <w:pStyle w:val="TableParagraph"/>
              <w:ind w:left="0"/>
              <w:rPr>
                <w:sz w:val="12"/>
              </w:rPr>
            </w:pPr>
          </w:p>
        </w:tc>
        <w:tc>
          <w:tcPr>
            <w:tcW w:w="851" w:type="dxa"/>
          </w:tcPr>
          <w:p w:rsidR="00041039" w:rsidRDefault="00041039">
            <w:pPr>
              <w:pStyle w:val="TableParagraph"/>
              <w:ind w:left="0"/>
              <w:rPr>
                <w:sz w:val="12"/>
              </w:rPr>
            </w:pPr>
          </w:p>
        </w:tc>
        <w:tc>
          <w:tcPr>
            <w:tcW w:w="851" w:type="dxa"/>
          </w:tcPr>
          <w:p w:rsidR="00041039" w:rsidRDefault="001B26CB">
            <w:pPr>
              <w:pStyle w:val="TableParagraph"/>
              <w:spacing w:before="15"/>
              <w:ind w:left="388"/>
              <w:rPr>
                <w:b/>
                <w:sz w:val="14"/>
              </w:rPr>
            </w:pPr>
            <w:r>
              <w:rPr>
                <w:b/>
                <w:color w:val="231F20"/>
                <w:sz w:val="14"/>
              </w:rPr>
              <w:t>2</w:t>
            </w:r>
          </w:p>
        </w:tc>
        <w:tc>
          <w:tcPr>
            <w:tcW w:w="851" w:type="dxa"/>
          </w:tcPr>
          <w:p w:rsidR="00041039" w:rsidRDefault="001B26CB">
            <w:pPr>
              <w:pStyle w:val="TableParagraph"/>
              <w:spacing w:before="15"/>
              <w:ind w:left="387"/>
              <w:rPr>
                <w:b/>
                <w:sz w:val="14"/>
              </w:rPr>
            </w:pPr>
            <w:r>
              <w:rPr>
                <w:b/>
                <w:color w:val="231F20"/>
                <w:sz w:val="14"/>
              </w:rPr>
              <w:t>2</w:t>
            </w:r>
          </w:p>
        </w:tc>
      </w:tr>
      <w:tr w:rsidR="00041039">
        <w:trPr>
          <w:trHeight w:val="200"/>
        </w:trPr>
        <w:tc>
          <w:tcPr>
            <w:tcW w:w="463" w:type="dxa"/>
          </w:tcPr>
          <w:p w:rsidR="00041039" w:rsidRDefault="001B26CB">
            <w:pPr>
              <w:pStyle w:val="TableParagraph"/>
              <w:spacing w:before="15"/>
              <w:ind w:left="56"/>
              <w:rPr>
                <w:b/>
                <w:sz w:val="14"/>
              </w:rPr>
            </w:pPr>
            <w:r>
              <w:rPr>
                <w:b/>
                <w:color w:val="231F20"/>
                <w:sz w:val="14"/>
              </w:rPr>
              <w:t>2.</w:t>
            </w:r>
          </w:p>
        </w:tc>
        <w:tc>
          <w:tcPr>
            <w:tcW w:w="6676" w:type="dxa"/>
          </w:tcPr>
          <w:p w:rsidR="00041039" w:rsidRDefault="001B26CB">
            <w:pPr>
              <w:pStyle w:val="TableParagraph"/>
              <w:spacing w:before="15"/>
              <w:ind w:left="56"/>
              <w:rPr>
                <w:b/>
                <w:sz w:val="14"/>
              </w:rPr>
            </w:pPr>
            <w:r>
              <w:rPr>
                <w:b/>
                <w:color w:val="231F20"/>
                <w:sz w:val="14"/>
              </w:rPr>
              <w:t>Историја (одабране теме)*</w:t>
            </w:r>
          </w:p>
        </w:tc>
        <w:tc>
          <w:tcPr>
            <w:tcW w:w="851" w:type="dxa"/>
          </w:tcPr>
          <w:p w:rsidR="00041039" w:rsidRDefault="00041039">
            <w:pPr>
              <w:pStyle w:val="TableParagraph"/>
              <w:ind w:left="0"/>
              <w:rPr>
                <w:sz w:val="12"/>
              </w:rPr>
            </w:pPr>
          </w:p>
        </w:tc>
        <w:tc>
          <w:tcPr>
            <w:tcW w:w="851" w:type="dxa"/>
          </w:tcPr>
          <w:p w:rsidR="00041039" w:rsidRDefault="00041039">
            <w:pPr>
              <w:pStyle w:val="TableParagraph"/>
              <w:ind w:left="0"/>
              <w:rPr>
                <w:sz w:val="12"/>
              </w:rPr>
            </w:pPr>
          </w:p>
        </w:tc>
        <w:tc>
          <w:tcPr>
            <w:tcW w:w="851" w:type="dxa"/>
          </w:tcPr>
          <w:p w:rsidR="00041039" w:rsidRDefault="001B26CB">
            <w:pPr>
              <w:pStyle w:val="TableParagraph"/>
              <w:spacing w:before="15"/>
              <w:ind w:left="388"/>
              <w:rPr>
                <w:b/>
                <w:sz w:val="14"/>
              </w:rPr>
            </w:pPr>
            <w:r>
              <w:rPr>
                <w:b/>
                <w:color w:val="231F20"/>
                <w:sz w:val="14"/>
              </w:rPr>
              <w:t>2</w:t>
            </w:r>
          </w:p>
        </w:tc>
        <w:tc>
          <w:tcPr>
            <w:tcW w:w="851" w:type="dxa"/>
          </w:tcPr>
          <w:p w:rsidR="00041039" w:rsidRDefault="001B26CB">
            <w:pPr>
              <w:pStyle w:val="TableParagraph"/>
              <w:spacing w:before="15"/>
              <w:ind w:left="387"/>
              <w:rPr>
                <w:b/>
                <w:sz w:val="14"/>
              </w:rPr>
            </w:pPr>
            <w:r>
              <w:rPr>
                <w:b/>
                <w:color w:val="231F20"/>
                <w:sz w:val="14"/>
              </w:rPr>
              <w:t>2</w:t>
            </w:r>
          </w:p>
        </w:tc>
      </w:tr>
      <w:tr w:rsidR="00041039">
        <w:trPr>
          <w:trHeight w:val="200"/>
        </w:trPr>
        <w:tc>
          <w:tcPr>
            <w:tcW w:w="463" w:type="dxa"/>
          </w:tcPr>
          <w:p w:rsidR="00041039" w:rsidRDefault="001B26CB">
            <w:pPr>
              <w:pStyle w:val="TableParagraph"/>
              <w:spacing w:before="15"/>
              <w:ind w:left="56"/>
              <w:rPr>
                <w:b/>
                <w:sz w:val="14"/>
              </w:rPr>
            </w:pPr>
            <w:r>
              <w:rPr>
                <w:b/>
                <w:color w:val="231F20"/>
                <w:sz w:val="14"/>
              </w:rPr>
              <w:t>3.</w:t>
            </w:r>
          </w:p>
        </w:tc>
        <w:tc>
          <w:tcPr>
            <w:tcW w:w="6676" w:type="dxa"/>
          </w:tcPr>
          <w:p w:rsidR="00041039" w:rsidRDefault="001B26CB">
            <w:pPr>
              <w:pStyle w:val="TableParagraph"/>
              <w:spacing w:before="15"/>
              <w:ind w:left="56"/>
              <w:rPr>
                <w:b/>
                <w:sz w:val="14"/>
              </w:rPr>
            </w:pPr>
            <w:r>
              <w:rPr>
                <w:b/>
                <w:color w:val="231F20"/>
                <w:sz w:val="14"/>
              </w:rPr>
              <w:t>Психологија</w:t>
            </w:r>
          </w:p>
        </w:tc>
        <w:tc>
          <w:tcPr>
            <w:tcW w:w="851" w:type="dxa"/>
          </w:tcPr>
          <w:p w:rsidR="00041039" w:rsidRDefault="00041039">
            <w:pPr>
              <w:pStyle w:val="TableParagraph"/>
              <w:ind w:left="0"/>
              <w:rPr>
                <w:sz w:val="12"/>
              </w:rPr>
            </w:pPr>
          </w:p>
        </w:tc>
        <w:tc>
          <w:tcPr>
            <w:tcW w:w="851" w:type="dxa"/>
          </w:tcPr>
          <w:p w:rsidR="00041039" w:rsidRDefault="00041039">
            <w:pPr>
              <w:pStyle w:val="TableParagraph"/>
              <w:ind w:left="0"/>
              <w:rPr>
                <w:sz w:val="12"/>
              </w:rPr>
            </w:pPr>
          </w:p>
        </w:tc>
        <w:tc>
          <w:tcPr>
            <w:tcW w:w="851" w:type="dxa"/>
          </w:tcPr>
          <w:p w:rsidR="00041039" w:rsidRDefault="001B26CB">
            <w:pPr>
              <w:pStyle w:val="TableParagraph"/>
              <w:spacing w:before="15"/>
              <w:ind w:left="387"/>
              <w:rPr>
                <w:b/>
                <w:sz w:val="14"/>
              </w:rPr>
            </w:pPr>
            <w:r>
              <w:rPr>
                <w:b/>
                <w:color w:val="231F20"/>
                <w:sz w:val="14"/>
              </w:rPr>
              <w:t>2</w:t>
            </w:r>
          </w:p>
        </w:tc>
        <w:tc>
          <w:tcPr>
            <w:tcW w:w="851" w:type="dxa"/>
          </w:tcPr>
          <w:p w:rsidR="00041039" w:rsidRDefault="00041039">
            <w:pPr>
              <w:pStyle w:val="TableParagraph"/>
              <w:ind w:left="0"/>
              <w:rPr>
                <w:sz w:val="12"/>
              </w:rPr>
            </w:pPr>
          </w:p>
        </w:tc>
      </w:tr>
      <w:tr w:rsidR="00041039">
        <w:trPr>
          <w:trHeight w:val="200"/>
        </w:trPr>
        <w:tc>
          <w:tcPr>
            <w:tcW w:w="463" w:type="dxa"/>
          </w:tcPr>
          <w:p w:rsidR="00041039" w:rsidRDefault="001B26CB">
            <w:pPr>
              <w:pStyle w:val="TableParagraph"/>
              <w:spacing w:before="15"/>
              <w:ind w:left="56"/>
              <w:rPr>
                <w:b/>
                <w:sz w:val="14"/>
              </w:rPr>
            </w:pPr>
            <w:r>
              <w:rPr>
                <w:b/>
                <w:color w:val="231F20"/>
                <w:sz w:val="14"/>
              </w:rPr>
              <w:t>4.</w:t>
            </w:r>
          </w:p>
        </w:tc>
        <w:tc>
          <w:tcPr>
            <w:tcW w:w="6676" w:type="dxa"/>
          </w:tcPr>
          <w:p w:rsidR="00041039" w:rsidRDefault="001B26CB">
            <w:pPr>
              <w:pStyle w:val="TableParagraph"/>
              <w:spacing w:before="15"/>
              <w:ind w:left="55"/>
              <w:rPr>
                <w:b/>
                <w:sz w:val="14"/>
              </w:rPr>
            </w:pPr>
            <w:r>
              <w:rPr>
                <w:b/>
                <w:color w:val="231F20"/>
                <w:sz w:val="14"/>
              </w:rPr>
              <w:t>Физика</w:t>
            </w:r>
          </w:p>
        </w:tc>
        <w:tc>
          <w:tcPr>
            <w:tcW w:w="851" w:type="dxa"/>
          </w:tcPr>
          <w:p w:rsidR="00041039" w:rsidRDefault="00041039">
            <w:pPr>
              <w:pStyle w:val="TableParagraph"/>
              <w:ind w:left="0"/>
              <w:rPr>
                <w:sz w:val="12"/>
              </w:rPr>
            </w:pPr>
          </w:p>
        </w:tc>
        <w:tc>
          <w:tcPr>
            <w:tcW w:w="851" w:type="dxa"/>
          </w:tcPr>
          <w:p w:rsidR="00041039" w:rsidRDefault="00041039">
            <w:pPr>
              <w:pStyle w:val="TableParagraph"/>
              <w:ind w:left="0"/>
              <w:rPr>
                <w:sz w:val="12"/>
              </w:rPr>
            </w:pPr>
          </w:p>
        </w:tc>
        <w:tc>
          <w:tcPr>
            <w:tcW w:w="851" w:type="dxa"/>
          </w:tcPr>
          <w:p w:rsidR="00041039" w:rsidRDefault="001B26CB">
            <w:pPr>
              <w:pStyle w:val="TableParagraph"/>
              <w:spacing w:before="15"/>
              <w:ind w:left="387"/>
              <w:rPr>
                <w:b/>
                <w:sz w:val="14"/>
              </w:rPr>
            </w:pPr>
            <w:r>
              <w:rPr>
                <w:b/>
                <w:color w:val="231F20"/>
                <w:sz w:val="14"/>
              </w:rPr>
              <w:t>2</w:t>
            </w:r>
          </w:p>
        </w:tc>
        <w:tc>
          <w:tcPr>
            <w:tcW w:w="851" w:type="dxa"/>
          </w:tcPr>
          <w:p w:rsidR="00041039" w:rsidRDefault="00041039">
            <w:pPr>
              <w:pStyle w:val="TableParagraph"/>
              <w:ind w:left="0"/>
              <w:rPr>
                <w:sz w:val="12"/>
              </w:rPr>
            </w:pPr>
          </w:p>
        </w:tc>
      </w:tr>
      <w:tr w:rsidR="00041039">
        <w:trPr>
          <w:trHeight w:val="200"/>
        </w:trPr>
        <w:tc>
          <w:tcPr>
            <w:tcW w:w="463" w:type="dxa"/>
          </w:tcPr>
          <w:p w:rsidR="00041039" w:rsidRDefault="001B26CB">
            <w:pPr>
              <w:pStyle w:val="TableParagraph"/>
              <w:spacing w:before="15"/>
              <w:ind w:left="56"/>
              <w:rPr>
                <w:b/>
                <w:sz w:val="14"/>
              </w:rPr>
            </w:pPr>
            <w:r>
              <w:rPr>
                <w:b/>
                <w:color w:val="231F20"/>
                <w:sz w:val="14"/>
              </w:rPr>
              <w:t>5.</w:t>
            </w:r>
          </w:p>
        </w:tc>
        <w:tc>
          <w:tcPr>
            <w:tcW w:w="6676" w:type="dxa"/>
          </w:tcPr>
          <w:p w:rsidR="00041039" w:rsidRDefault="001B26CB">
            <w:pPr>
              <w:pStyle w:val="TableParagraph"/>
              <w:spacing w:before="15"/>
              <w:ind w:left="55"/>
              <w:rPr>
                <w:b/>
                <w:sz w:val="14"/>
              </w:rPr>
            </w:pPr>
            <w:r>
              <w:rPr>
                <w:b/>
                <w:color w:val="231F20"/>
                <w:sz w:val="14"/>
              </w:rPr>
              <w:t>Биологија (одабране теме)*</w:t>
            </w:r>
          </w:p>
        </w:tc>
        <w:tc>
          <w:tcPr>
            <w:tcW w:w="851" w:type="dxa"/>
          </w:tcPr>
          <w:p w:rsidR="00041039" w:rsidRDefault="00041039">
            <w:pPr>
              <w:pStyle w:val="TableParagraph"/>
              <w:ind w:left="0"/>
              <w:rPr>
                <w:sz w:val="12"/>
              </w:rPr>
            </w:pPr>
          </w:p>
        </w:tc>
        <w:tc>
          <w:tcPr>
            <w:tcW w:w="851" w:type="dxa"/>
          </w:tcPr>
          <w:p w:rsidR="00041039" w:rsidRDefault="00041039">
            <w:pPr>
              <w:pStyle w:val="TableParagraph"/>
              <w:ind w:left="0"/>
              <w:rPr>
                <w:sz w:val="12"/>
              </w:rPr>
            </w:pPr>
          </w:p>
        </w:tc>
        <w:tc>
          <w:tcPr>
            <w:tcW w:w="851" w:type="dxa"/>
          </w:tcPr>
          <w:p w:rsidR="00041039" w:rsidRDefault="001B26CB">
            <w:pPr>
              <w:pStyle w:val="TableParagraph"/>
              <w:spacing w:before="15"/>
              <w:ind w:left="387"/>
              <w:rPr>
                <w:b/>
                <w:sz w:val="14"/>
              </w:rPr>
            </w:pPr>
            <w:r>
              <w:rPr>
                <w:b/>
                <w:color w:val="231F20"/>
                <w:sz w:val="14"/>
              </w:rPr>
              <w:t>2</w:t>
            </w:r>
          </w:p>
        </w:tc>
        <w:tc>
          <w:tcPr>
            <w:tcW w:w="851" w:type="dxa"/>
          </w:tcPr>
          <w:p w:rsidR="00041039" w:rsidRDefault="001B26CB">
            <w:pPr>
              <w:pStyle w:val="TableParagraph"/>
              <w:spacing w:before="15"/>
              <w:ind w:left="387"/>
              <w:rPr>
                <w:b/>
                <w:sz w:val="14"/>
              </w:rPr>
            </w:pPr>
            <w:r>
              <w:rPr>
                <w:b/>
                <w:color w:val="231F20"/>
                <w:sz w:val="14"/>
              </w:rPr>
              <w:t>2</w:t>
            </w:r>
          </w:p>
        </w:tc>
      </w:tr>
      <w:tr w:rsidR="00041039">
        <w:trPr>
          <w:trHeight w:val="200"/>
        </w:trPr>
        <w:tc>
          <w:tcPr>
            <w:tcW w:w="463" w:type="dxa"/>
          </w:tcPr>
          <w:p w:rsidR="00041039" w:rsidRDefault="001B26CB">
            <w:pPr>
              <w:pStyle w:val="TableParagraph"/>
              <w:spacing w:before="15"/>
              <w:ind w:left="55"/>
              <w:rPr>
                <w:b/>
                <w:sz w:val="14"/>
              </w:rPr>
            </w:pPr>
            <w:r>
              <w:rPr>
                <w:b/>
                <w:color w:val="231F20"/>
                <w:sz w:val="14"/>
              </w:rPr>
              <w:t>6.</w:t>
            </w:r>
          </w:p>
        </w:tc>
        <w:tc>
          <w:tcPr>
            <w:tcW w:w="6676" w:type="dxa"/>
          </w:tcPr>
          <w:p w:rsidR="00041039" w:rsidRDefault="001B26CB">
            <w:pPr>
              <w:pStyle w:val="TableParagraph"/>
              <w:spacing w:before="15"/>
              <w:ind w:left="55"/>
              <w:rPr>
                <w:b/>
                <w:sz w:val="14"/>
              </w:rPr>
            </w:pPr>
            <w:r>
              <w:rPr>
                <w:b/>
                <w:color w:val="231F20"/>
                <w:sz w:val="14"/>
              </w:rPr>
              <w:t>Музичка култура</w:t>
            </w:r>
          </w:p>
        </w:tc>
        <w:tc>
          <w:tcPr>
            <w:tcW w:w="851" w:type="dxa"/>
          </w:tcPr>
          <w:p w:rsidR="00041039" w:rsidRDefault="00041039">
            <w:pPr>
              <w:pStyle w:val="TableParagraph"/>
              <w:ind w:left="0"/>
              <w:rPr>
                <w:sz w:val="12"/>
              </w:rPr>
            </w:pPr>
          </w:p>
        </w:tc>
        <w:tc>
          <w:tcPr>
            <w:tcW w:w="851" w:type="dxa"/>
          </w:tcPr>
          <w:p w:rsidR="00041039" w:rsidRDefault="00041039">
            <w:pPr>
              <w:pStyle w:val="TableParagraph"/>
              <w:ind w:left="0"/>
              <w:rPr>
                <w:sz w:val="12"/>
              </w:rPr>
            </w:pPr>
          </w:p>
        </w:tc>
        <w:tc>
          <w:tcPr>
            <w:tcW w:w="851" w:type="dxa"/>
          </w:tcPr>
          <w:p w:rsidR="00041039" w:rsidRDefault="001B26CB">
            <w:pPr>
              <w:pStyle w:val="TableParagraph"/>
              <w:spacing w:before="15"/>
              <w:ind w:left="387"/>
              <w:rPr>
                <w:b/>
                <w:sz w:val="14"/>
              </w:rPr>
            </w:pPr>
            <w:r>
              <w:rPr>
                <w:b/>
                <w:color w:val="231F20"/>
                <w:sz w:val="14"/>
              </w:rPr>
              <w:t>2</w:t>
            </w:r>
          </w:p>
        </w:tc>
        <w:tc>
          <w:tcPr>
            <w:tcW w:w="851" w:type="dxa"/>
          </w:tcPr>
          <w:p w:rsidR="00041039" w:rsidRDefault="00041039">
            <w:pPr>
              <w:pStyle w:val="TableParagraph"/>
              <w:ind w:left="0"/>
              <w:rPr>
                <w:sz w:val="12"/>
              </w:rPr>
            </w:pPr>
          </w:p>
        </w:tc>
      </w:tr>
      <w:tr w:rsidR="00041039">
        <w:trPr>
          <w:trHeight w:val="200"/>
        </w:trPr>
        <w:tc>
          <w:tcPr>
            <w:tcW w:w="463" w:type="dxa"/>
          </w:tcPr>
          <w:p w:rsidR="00041039" w:rsidRDefault="001B26CB">
            <w:pPr>
              <w:pStyle w:val="TableParagraph"/>
              <w:spacing w:before="15"/>
              <w:ind w:left="55"/>
              <w:rPr>
                <w:b/>
                <w:sz w:val="14"/>
              </w:rPr>
            </w:pPr>
            <w:r>
              <w:rPr>
                <w:b/>
                <w:color w:val="231F20"/>
                <w:sz w:val="14"/>
              </w:rPr>
              <w:t>7.</w:t>
            </w:r>
          </w:p>
        </w:tc>
        <w:tc>
          <w:tcPr>
            <w:tcW w:w="6676" w:type="dxa"/>
          </w:tcPr>
          <w:p w:rsidR="00041039" w:rsidRDefault="001B26CB">
            <w:pPr>
              <w:pStyle w:val="TableParagraph"/>
              <w:spacing w:before="15"/>
              <w:ind w:left="55"/>
              <w:rPr>
                <w:b/>
                <w:sz w:val="14"/>
              </w:rPr>
            </w:pPr>
            <w:r>
              <w:rPr>
                <w:b/>
                <w:color w:val="231F20"/>
                <w:sz w:val="14"/>
              </w:rPr>
              <w:t>Логика са етиком</w:t>
            </w:r>
          </w:p>
        </w:tc>
        <w:tc>
          <w:tcPr>
            <w:tcW w:w="851" w:type="dxa"/>
          </w:tcPr>
          <w:p w:rsidR="00041039" w:rsidRDefault="00041039">
            <w:pPr>
              <w:pStyle w:val="TableParagraph"/>
              <w:ind w:left="0"/>
              <w:rPr>
                <w:sz w:val="12"/>
              </w:rPr>
            </w:pPr>
          </w:p>
        </w:tc>
        <w:tc>
          <w:tcPr>
            <w:tcW w:w="851" w:type="dxa"/>
          </w:tcPr>
          <w:p w:rsidR="00041039" w:rsidRDefault="00041039">
            <w:pPr>
              <w:pStyle w:val="TableParagraph"/>
              <w:ind w:left="0"/>
              <w:rPr>
                <w:sz w:val="12"/>
              </w:rPr>
            </w:pPr>
          </w:p>
        </w:tc>
        <w:tc>
          <w:tcPr>
            <w:tcW w:w="851" w:type="dxa"/>
          </w:tcPr>
          <w:p w:rsidR="00041039" w:rsidRDefault="001B26CB">
            <w:pPr>
              <w:pStyle w:val="TableParagraph"/>
              <w:spacing w:before="15"/>
              <w:ind w:left="387"/>
              <w:rPr>
                <w:b/>
                <w:sz w:val="14"/>
              </w:rPr>
            </w:pPr>
            <w:r>
              <w:rPr>
                <w:b/>
                <w:color w:val="231F20"/>
                <w:sz w:val="14"/>
              </w:rPr>
              <w:t>2</w:t>
            </w:r>
          </w:p>
        </w:tc>
        <w:tc>
          <w:tcPr>
            <w:tcW w:w="851" w:type="dxa"/>
          </w:tcPr>
          <w:p w:rsidR="00041039" w:rsidRDefault="001B26CB">
            <w:pPr>
              <w:pStyle w:val="TableParagraph"/>
              <w:spacing w:before="15"/>
              <w:ind w:left="386"/>
              <w:rPr>
                <w:b/>
                <w:sz w:val="14"/>
              </w:rPr>
            </w:pPr>
            <w:r>
              <w:rPr>
                <w:b/>
                <w:color w:val="231F20"/>
                <w:sz w:val="14"/>
              </w:rPr>
              <w:t>2</w:t>
            </w:r>
          </w:p>
        </w:tc>
      </w:tr>
    </w:tbl>
    <w:p w:rsidR="00041039" w:rsidRDefault="00041039">
      <w:pPr>
        <w:pStyle w:val="BodyText"/>
        <w:spacing w:before="6"/>
        <w:rPr>
          <w:b/>
          <w:sz w:val="17"/>
        </w:rPr>
      </w:pPr>
    </w:p>
    <w:p w:rsidR="00041039" w:rsidRDefault="001B26CB">
      <w:pPr>
        <w:ind w:right="38"/>
        <w:jc w:val="center"/>
        <w:rPr>
          <w:b/>
          <w:sz w:val="18"/>
        </w:rPr>
      </w:pPr>
      <w:r>
        <w:rPr>
          <w:b/>
          <w:color w:val="231F20"/>
          <w:sz w:val="18"/>
        </w:rPr>
        <w:t>Остали обавезни облици образовно-васпитног рада током школске године</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56"/>
        <w:gridCol w:w="1133"/>
        <w:gridCol w:w="1133"/>
        <w:gridCol w:w="1133"/>
        <w:gridCol w:w="1133"/>
        <w:gridCol w:w="1133"/>
      </w:tblGrid>
      <w:tr w:rsidR="00041039">
        <w:trPr>
          <w:trHeight w:val="360"/>
        </w:trPr>
        <w:tc>
          <w:tcPr>
            <w:tcW w:w="4856" w:type="dxa"/>
            <w:shd w:val="clear" w:color="auto" w:fill="E6E7E8"/>
          </w:tcPr>
          <w:p w:rsidR="00041039" w:rsidRDefault="00041039">
            <w:pPr>
              <w:pStyle w:val="TableParagraph"/>
              <w:ind w:left="0"/>
              <w:rPr>
                <w:sz w:val="14"/>
              </w:rPr>
            </w:pPr>
          </w:p>
        </w:tc>
        <w:tc>
          <w:tcPr>
            <w:tcW w:w="1133" w:type="dxa"/>
            <w:shd w:val="clear" w:color="auto" w:fill="E6E7E8"/>
          </w:tcPr>
          <w:p w:rsidR="00041039" w:rsidRDefault="001B26CB">
            <w:pPr>
              <w:pStyle w:val="TableParagraph"/>
              <w:spacing w:before="18" w:line="161" w:lineRule="exact"/>
              <w:ind w:left="265"/>
              <w:rPr>
                <w:b/>
                <w:sz w:val="14"/>
              </w:rPr>
            </w:pPr>
            <w:r>
              <w:rPr>
                <w:b/>
                <w:color w:val="231F20"/>
                <w:sz w:val="14"/>
              </w:rPr>
              <w:t>I РАЗРЕД</w:t>
            </w:r>
          </w:p>
          <w:p w:rsidR="00041039" w:rsidRDefault="001B26CB">
            <w:pPr>
              <w:pStyle w:val="TableParagraph"/>
              <w:spacing w:line="161" w:lineRule="exact"/>
              <w:ind w:left="355"/>
              <w:rPr>
                <w:b/>
                <w:sz w:val="14"/>
              </w:rPr>
            </w:pPr>
            <w:r>
              <w:rPr>
                <w:b/>
                <w:color w:val="231F20"/>
                <w:sz w:val="14"/>
              </w:rPr>
              <w:t>часова</w:t>
            </w:r>
          </w:p>
        </w:tc>
        <w:tc>
          <w:tcPr>
            <w:tcW w:w="1133" w:type="dxa"/>
            <w:shd w:val="clear" w:color="auto" w:fill="E6E7E8"/>
          </w:tcPr>
          <w:p w:rsidR="00041039" w:rsidRDefault="001B26CB">
            <w:pPr>
              <w:pStyle w:val="TableParagraph"/>
              <w:spacing w:before="18" w:line="161" w:lineRule="exact"/>
              <w:ind w:left="179" w:right="166"/>
              <w:jc w:val="center"/>
              <w:rPr>
                <w:b/>
                <w:sz w:val="14"/>
              </w:rPr>
            </w:pPr>
            <w:r>
              <w:rPr>
                <w:b/>
                <w:color w:val="231F20"/>
                <w:sz w:val="14"/>
              </w:rPr>
              <w:t>II РАЗРЕД</w:t>
            </w:r>
          </w:p>
          <w:p w:rsidR="00041039" w:rsidRDefault="001B26CB">
            <w:pPr>
              <w:pStyle w:val="TableParagraph"/>
              <w:spacing w:line="161" w:lineRule="exact"/>
              <w:ind w:left="179" w:right="166"/>
              <w:jc w:val="center"/>
              <w:rPr>
                <w:b/>
                <w:sz w:val="14"/>
              </w:rPr>
            </w:pPr>
            <w:r>
              <w:rPr>
                <w:b/>
                <w:color w:val="231F20"/>
                <w:sz w:val="14"/>
              </w:rPr>
              <w:t>часова</w:t>
            </w:r>
          </w:p>
        </w:tc>
        <w:tc>
          <w:tcPr>
            <w:tcW w:w="1133" w:type="dxa"/>
            <w:shd w:val="clear" w:color="auto" w:fill="E6E7E8"/>
          </w:tcPr>
          <w:p w:rsidR="00041039" w:rsidRDefault="001B26CB">
            <w:pPr>
              <w:pStyle w:val="TableParagraph"/>
              <w:spacing w:before="18" w:line="161" w:lineRule="exact"/>
              <w:ind w:left="181" w:right="166"/>
              <w:jc w:val="center"/>
              <w:rPr>
                <w:b/>
                <w:sz w:val="14"/>
              </w:rPr>
            </w:pPr>
            <w:r>
              <w:rPr>
                <w:b/>
                <w:color w:val="231F20"/>
                <w:sz w:val="14"/>
              </w:rPr>
              <w:t>III РАЗРЕД</w:t>
            </w:r>
          </w:p>
          <w:p w:rsidR="00041039" w:rsidRDefault="001B26CB">
            <w:pPr>
              <w:pStyle w:val="TableParagraph"/>
              <w:spacing w:line="161" w:lineRule="exact"/>
              <w:ind w:left="181" w:right="166"/>
              <w:jc w:val="center"/>
              <w:rPr>
                <w:b/>
                <w:sz w:val="14"/>
              </w:rPr>
            </w:pPr>
            <w:r>
              <w:rPr>
                <w:b/>
                <w:color w:val="231F20"/>
                <w:sz w:val="14"/>
              </w:rPr>
              <w:t>часова</w:t>
            </w:r>
          </w:p>
        </w:tc>
        <w:tc>
          <w:tcPr>
            <w:tcW w:w="1133" w:type="dxa"/>
            <w:shd w:val="clear" w:color="auto" w:fill="E6E7E8"/>
          </w:tcPr>
          <w:p w:rsidR="00041039" w:rsidRDefault="001B26CB">
            <w:pPr>
              <w:pStyle w:val="TableParagraph"/>
              <w:spacing w:before="18" w:line="161" w:lineRule="exact"/>
              <w:ind w:left="181" w:right="165"/>
              <w:jc w:val="center"/>
              <w:rPr>
                <w:b/>
                <w:sz w:val="14"/>
              </w:rPr>
            </w:pPr>
            <w:r>
              <w:rPr>
                <w:b/>
                <w:color w:val="231F20"/>
                <w:sz w:val="14"/>
              </w:rPr>
              <w:t>IV РАЗРЕД</w:t>
            </w:r>
          </w:p>
          <w:p w:rsidR="00041039" w:rsidRDefault="001B26CB">
            <w:pPr>
              <w:pStyle w:val="TableParagraph"/>
              <w:spacing w:line="161" w:lineRule="exact"/>
              <w:ind w:left="181" w:right="165"/>
              <w:jc w:val="center"/>
              <w:rPr>
                <w:b/>
                <w:sz w:val="14"/>
              </w:rPr>
            </w:pPr>
            <w:r>
              <w:rPr>
                <w:b/>
                <w:color w:val="231F20"/>
                <w:sz w:val="14"/>
              </w:rPr>
              <w:t>часова</w:t>
            </w:r>
          </w:p>
        </w:tc>
        <w:tc>
          <w:tcPr>
            <w:tcW w:w="1133" w:type="dxa"/>
            <w:shd w:val="clear" w:color="auto" w:fill="E6E7E8"/>
          </w:tcPr>
          <w:p w:rsidR="00041039" w:rsidRDefault="001B26CB">
            <w:pPr>
              <w:pStyle w:val="TableParagraph"/>
              <w:spacing w:before="18" w:line="161" w:lineRule="exact"/>
              <w:ind w:left="181" w:right="163"/>
              <w:jc w:val="center"/>
              <w:rPr>
                <w:b/>
                <w:sz w:val="14"/>
              </w:rPr>
            </w:pPr>
            <w:r>
              <w:rPr>
                <w:b/>
                <w:color w:val="231F20"/>
                <w:sz w:val="14"/>
              </w:rPr>
              <w:t>УКУПНО</w:t>
            </w:r>
          </w:p>
          <w:p w:rsidR="00041039" w:rsidRDefault="001B26CB">
            <w:pPr>
              <w:pStyle w:val="TableParagraph"/>
              <w:spacing w:line="161" w:lineRule="exact"/>
              <w:ind w:left="181" w:right="163"/>
              <w:jc w:val="center"/>
              <w:rPr>
                <w:b/>
                <w:sz w:val="14"/>
              </w:rPr>
            </w:pPr>
            <w:r>
              <w:rPr>
                <w:b/>
                <w:color w:val="231F20"/>
                <w:sz w:val="14"/>
              </w:rPr>
              <w:t>часова</w:t>
            </w:r>
          </w:p>
        </w:tc>
      </w:tr>
      <w:tr w:rsidR="00041039">
        <w:trPr>
          <w:trHeight w:val="198"/>
        </w:trPr>
        <w:tc>
          <w:tcPr>
            <w:tcW w:w="4856" w:type="dxa"/>
          </w:tcPr>
          <w:p w:rsidR="00041039" w:rsidRDefault="001B26CB">
            <w:pPr>
              <w:pStyle w:val="TableParagraph"/>
              <w:spacing w:before="16"/>
              <w:ind w:left="56"/>
              <w:rPr>
                <w:b/>
                <w:sz w:val="14"/>
              </w:rPr>
            </w:pPr>
            <w:r>
              <w:rPr>
                <w:b/>
                <w:color w:val="231F20"/>
                <w:sz w:val="14"/>
              </w:rPr>
              <w:t>Час одељењског старешине</w:t>
            </w:r>
          </w:p>
        </w:tc>
        <w:tc>
          <w:tcPr>
            <w:tcW w:w="1133" w:type="dxa"/>
          </w:tcPr>
          <w:p w:rsidR="00041039" w:rsidRDefault="001B26CB">
            <w:pPr>
              <w:pStyle w:val="TableParagraph"/>
              <w:spacing w:before="16"/>
              <w:ind w:left="177" w:right="166"/>
              <w:jc w:val="center"/>
              <w:rPr>
                <w:b/>
                <w:sz w:val="14"/>
              </w:rPr>
            </w:pPr>
            <w:r>
              <w:rPr>
                <w:b/>
                <w:color w:val="231F20"/>
                <w:sz w:val="14"/>
              </w:rPr>
              <w:t>70</w:t>
            </w:r>
          </w:p>
        </w:tc>
        <w:tc>
          <w:tcPr>
            <w:tcW w:w="1133" w:type="dxa"/>
          </w:tcPr>
          <w:p w:rsidR="00041039" w:rsidRDefault="001B26CB">
            <w:pPr>
              <w:pStyle w:val="TableParagraph"/>
              <w:spacing w:before="16"/>
              <w:ind w:left="179" w:right="166"/>
              <w:jc w:val="center"/>
              <w:rPr>
                <w:b/>
                <w:sz w:val="14"/>
              </w:rPr>
            </w:pPr>
            <w:r>
              <w:rPr>
                <w:b/>
                <w:color w:val="231F20"/>
                <w:sz w:val="14"/>
              </w:rPr>
              <w:t>70</w:t>
            </w:r>
          </w:p>
        </w:tc>
        <w:tc>
          <w:tcPr>
            <w:tcW w:w="1133" w:type="dxa"/>
          </w:tcPr>
          <w:p w:rsidR="00041039" w:rsidRDefault="001B26CB">
            <w:pPr>
              <w:pStyle w:val="TableParagraph"/>
              <w:spacing w:before="16"/>
              <w:ind w:left="180" w:right="166"/>
              <w:jc w:val="center"/>
              <w:rPr>
                <w:b/>
                <w:sz w:val="14"/>
              </w:rPr>
            </w:pPr>
            <w:r>
              <w:rPr>
                <w:b/>
                <w:color w:val="231F20"/>
                <w:sz w:val="14"/>
              </w:rPr>
              <w:t>70</w:t>
            </w:r>
          </w:p>
        </w:tc>
        <w:tc>
          <w:tcPr>
            <w:tcW w:w="1133" w:type="dxa"/>
          </w:tcPr>
          <w:p w:rsidR="00041039" w:rsidRDefault="001B26CB">
            <w:pPr>
              <w:pStyle w:val="TableParagraph"/>
              <w:spacing w:before="16"/>
              <w:ind w:left="181" w:right="165"/>
              <w:jc w:val="center"/>
              <w:rPr>
                <w:b/>
                <w:sz w:val="14"/>
              </w:rPr>
            </w:pPr>
            <w:r>
              <w:rPr>
                <w:b/>
                <w:color w:val="231F20"/>
                <w:sz w:val="14"/>
              </w:rPr>
              <w:t>64</w:t>
            </w:r>
          </w:p>
        </w:tc>
        <w:tc>
          <w:tcPr>
            <w:tcW w:w="1133" w:type="dxa"/>
          </w:tcPr>
          <w:p w:rsidR="00041039" w:rsidRDefault="001B26CB">
            <w:pPr>
              <w:pStyle w:val="TableParagraph"/>
              <w:spacing w:before="16"/>
              <w:ind w:left="181" w:right="163"/>
              <w:jc w:val="center"/>
              <w:rPr>
                <w:b/>
                <w:sz w:val="14"/>
              </w:rPr>
            </w:pPr>
            <w:r>
              <w:rPr>
                <w:b/>
                <w:color w:val="231F20"/>
                <w:sz w:val="14"/>
              </w:rPr>
              <w:t>274</w:t>
            </w:r>
          </w:p>
        </w:tc>
      </w:tr>
      <w:tr w:rsidR="00041039">
        <w:trPr>
          <w:trHeight w:val="198"/>
        </w:trPr>
        <w:tc>
          <w:tcPr>
            <w:tcW w:w="4856" w:type="dxa"/>
          </w:tcPr>
          <w:p w:rsidR="00041039" w:rsidRDefault="001B26CB">
            <w:pPr>
              <w:pStyle w:val="TableParagraph"/>
              <w:spacing w:before="15"/>
              <w:ind w:left="56"/>
              <w:rPr>
                <w:b/>
                <w:sz w:val="14"/>
              </w:rPr>
            </w:pPr>
            <w:r>
              <w:rPr>
                <w:b/>
                <w:color w:val="231F20"/>
                <w:sz w:val="14"/>
              </w:rPr>
              <w:t>Додатни рад *</w:t>
            </w:r>
          </w:p>
        </w:tc>
        <w:tc>
          <w:tcPr>
            <w:tcW w:w="1133" w:type="dxa"/>
          </w:tcPr>
          <w:p w:rsidR="00041039" w:rsidRDefault="001B26CB">
            <w:pPr>
              <w:pStyle w:val="TableParagraph"/>
              <w:spacing w:before="15"/>
              <w:ind w:left="177" w:right="166"/>
              <w:jc w:val="center"/>
              <w:rPr>
                <w:b/>
                <w:sz w:val="14"/>
              </w:rPr>
            </w:pPr>
            <w:r>
              <w:rPr>
                <w:b/>
                <w:color w:val="231F20"/>
                <w:sz w:val="14"/>
              </w:rPr>
              <w:t>до 30</w:t>
            </w:r>
          </w:p>
        </w:tc>
        <w:tc>
          <w:tcPr>
            <w:tcW w:w="1133" w:type="dxa"/>
          </w:tcPr>
          <w:p w:rsidR="00041039" w:rsidRDefault="001B26CB">
            <w:pPr>
              <w:pStyle w:val="TableParagraph"/>
              <w:spacing w:before="15"/>
              <w:ind w:left="179" w:right="166"/>
              <w:jc w:val="center"/>
              <w:rPr>
                <w:b/>
                <w:sz w:val="14"/>
              </w:rPr>
            </w:pPr>
            <w:r>
              <w:rPr>
                <w:b/>
                <w:color w:val="231F20"/>
                <w:sz w:val="14"/>
              </w:rPr>
              <w:t>до 30</w:t>
            </w:r>
          </w:p>
        </w:tc>
        <w:tc>
          <w:tcPr>
            <w:tcW w:w="1133" w:type="dxa"/>
          </w:tcPr>
          <w:p w:rsidR="00041039" w:rsidRDefault="001B26CB">
            <w:pPr>
              <w:pStyle w:val="TableParagraph"/>
              <w:spacing w:before="15"/>
              <w:ind w:left="180" w:right="166"/>
              <w:jc w:val="center"/>
              <w:rPr>
                <w:b/>
                <w:sz w:val="14"/>
              </w:rPr>
            </w:pPr>
            <w:r>
              <w:rPr>
                <w:b/>
                <w:color w:val="231F20"/>
                <w:sz w:val="14"/>
              </w:rPr>
              <w:t>до 30</w:t>
            </w:r>
          </w:p>
        </w:tc>
        <w:tc>
          <w:tcPr>
            <w:tcW w:w="1133" w:type="dxa"/>
          </w:tcPr>
          <w:p w:rsidR="00041039" w:rsidRDefault="001B26CB">
            <w:pPr>
              <w:pStyle w:val="TableParagraph"/>
              <w:spacing w:before="15"/>
              <w:ind w:left="181" w:right="165"/>
              <w:jc w:val="center"/>
              <w:rPr>
                <w:b/>
                <w:sz w:val="14"/>
              </w:rPr>
            </w:pPr>
            <w:r>
              <w:rPr>
                <w:b/>
                <w:color w:val="231F20"/>
                <w:sz w:val="14"/>
              </w:rPr>
              <w:t>до 30</w:t>
            </w:r>
          </w:p>
        </w:tc>
        <w:tc>
          <w:tcPr>
            <w:tcW w:w="1133" w:type="dxa"/>
          </w:tcPr>
          <w:p w:rsidR="00041039" w:rsidRDefault="001B26CB">
            <w:pPr>
              <w:pStyle w:val="TableParagraph"/>
              <w:spacing w:before="15"/>
              <w:ind w:left="181" w:right="163"/>
              <w:jc w:val="center"/>
              <w:rPr>
                <w:b/>
                <w:sz w:val="14"/>
              </w:rPr>
            </w:pPr>
            <w:r>
              <w:rPr>
                <w:b/>
                <w:color w:val="231F20"/>
                <w:sz w:val="14"/>
              </w:rPr>
              <w:t>до 120</w:t>
            </w:r>
          </w:p>
        </w:tc>
      </w:tr>
      <w:tr w:rsidR="00041039">
        <w:trPr>
          <w:trHeight w:val="198"/>
        </w:trPr>
        <w:tc>
          <w:tcPr>
            <w:tcW w:w="4856" w:type="dxa"/>
          </w:tcPr>
          <w:p w:rsidR="00041039" w:rsidRDefault="001B26CB">
            <w:pPr>
              <w:pStyle w:val="TableParagraph"/>
              <w:spacing w:before="15"/>
              <w:ind w:left="56"/>
              <w:rPr>
                <w:b/>
                <w:sz w:val="14"/>
              </w:rPr>
            </w:pPr>
            <w:r>
              <w:rPr>
                <w:b/>
                <w:color w:val="231F20"/>
                <w:sz w:val="14"/>
              </w:rPr>
              <w:t>Допунски рад *</w:t>
            </w:r>
          </w:p>
        </w:tc>
        <w:tc>
          <w:tcPr>
            <w:tcW w:w="1133" w:type="dxa"/>
          </w:tcPr>
          <w:p w:rsidR="00041039" w:rsidRDefault="001B26CB">
            <w:pPr>
              <w:pStyle w:val="TableParagraph"/>
              <w:spacing w:before="15"/>
              <w:ind w:left="177" w:right="166"/>
              <w:jc w:val="center"/>
              <w:rPr>
                <w:b/>
                <w:sz w:val="14"/>
              </w:rPr>
            </w:pPr>
            <w:r>
              <w:rPr>
                <w:b/>
                <w:color w:val="231F20"/>
                <w:sz w:val="14"/>
              </w:rPr>
              <w:t>до 30</w:t>
            </w:r>
          </w:p>
        </w:tc>
        <w:tc>
          <w:tcPr>
            <w:tcW w:w="1133" w:type="dxa"/>
          </w:tcPr>
          <w:p w:rsidR="00041039" w:rsidRDefault="001B26CB">
            <w:pPr>
              <w:pStyle w:val="TableParagraph"/>
              <w:spacing w:before="15"/>
              <w:ind w:left="179" w:right="166"/>
              <w:jc w:val="center"/>
              <w:rPr>
                <w:b/>
                <w:sz w:val="14"/>
              </w:rPr>
            </w:pPr>
            <w:r>
              <w:rPr>
                <w:b/>
                <w:color w:val="231F20"/>
                <w:sz w:val="14"/>
              </w:rPr>
              <w:t>до 30</w:t>
            </w:r>
          </w:p>
        </w:tc>
        <w:tc>
          <w:tcPr>
            <w:tcW w:w="1133" w:type="dxa"/>
          </w:tcPr>
          <w:p w:rsidR="00041039" w:rsidRDefault="001B26CB">
            <w:pPr>
              <w:pStyle w:val="TableParagraph"/>
              <w:spacing w:before="15"/>
              <w:ind w:left="180" w:right="166"/>
              <w:jc w:val="center"/>
              <w:rPr>
                <w:b/>
                <w:sz w:val="14"/>
              </w:rPr>
            </w:pPr>
            <w:r>
              <w:rPr>
                <w:b/>
                <w:color w:val="231F20"/>
                <w:sz w:val="14"/>
              </w:rPr>
              <w:t>до 30</w:t>
            </w:r>
          </w:p>
        </w:tc>
        <w:tc>
          <w:tcPr>
            <w:tcW w:w="1133" w:type="dxa"/>
          </w:tcPr>
          <w:p w:rsidR="00041039" w:rsidRDefault="001B26CB">
            <w:pPr>
              <w:pStyle w:val="TableParagraph"/>
              <w:spacing w:before="15"/>
              <w:ind w:left="181" w:right="165"/>
              <w:jc w:val="center"/>
              <w:rPr>
                <w:b/>
                <w:sz w:val="14"/>
              </w:rPr>
            </w:pPr>
            <w:r>
              <w:rPr>
                <w:b/>
                <w:color w:val="231F20"/>
                <w:sz w:val="14"/>
              </w:rPr>
              <w:t>до 30</w:t>
            </w:r>
          </w:p>
        </w:tc>
        <w:tc>
          <w:tcPr>
            <w:tcW w:w="1133" w:type="dxa"/>
          </w:tcPr>
          <w:p w:rsidR="00041039" w:rsidRDefault="001B26CB">
            <w:pPr>
              <w:pStyle w:val="TableParagraph"/>
              <w:spacing w:before="15"/>
              <w:ind w:left="181" w:right="163"/>
              <w:jc w:val="center"/>
              <w:rPr>
                <w:b/>
                <w:sz w:val="14"/>
              </w:rPr>
            </w:pPr>
            <w:r>
              <w:rPr>
                <w:b/>
                <w:color w:val="231F20"/>
                <w:sz w:val="14"/>
              </w:rPr>
              <w:t>до 120</w:t>
            </w:r>
          </w:p>
        </w:tc>
      </w:tr>
      <w:tr w:rsidR="00041039">
        <w:trPr>
          <w:trHeight w:val="198"/>
        </w:trPr>
        <w:tc>
          <w:tcPr>
            <w:tcW w:w="4856" w:type="dxa"/>
          </w:tcPr>
          <w:p w:rsidR="00041039" w:rsidRDefault="001B26CB">
            <w:pPr>
              <w:pStyle w:val="TableParagraph"/>
              <w:spacing w:before="15"/>
              <w:ind w:left="56"/>
              <w:rPr>
                <w:b/>
                <w:sz w:val="14"/>
              </w:rPr>
            </w:pPr>
            <w:r>
              <w:rPr>
                <w:b/>
                <w:color w:val="231F20"/>
                <w:sz w:val="14"/>
              </w:rPr>
              <w:t>Припремни рад *</w:t>
            </w:r>
          </w:p>
        </w:tc>
        <w:tc>
          <w:tcPr>
            <w:tcW w:w="1133" w:type="dxa"/>
          </w:tcPr>
          <w:p w:rsidR="00041039" w:rsidRDefault="001B26CB">
            <w:pPr>
              <w:pStyle w:val="TableParagraph"/>
              <w:spacing w:before="15"/>
              <w:ind w:left="177" w:right="166"/>
              <w:jc w:val="center"/>
              <w:rPr>
                <w:b/>
                <w:sz w:val="14"/>
              </w:rPr>
            </w:pPr>
            <w:r>
              <w:rPr>
                <w:b/>
                <w:color w:val="231F20"/>
                <w:sz w:val="14"/>
              </w:rPr>
              <w:t>до 30</w:t>
            </w:r>
          </w:p>
        </w:tc>
        <w:tc>
          <w:tcPr>
            <w:tcW w:w="1133" w:type="dxa"/>
          </w:tcPr>
          <w:p w:rsidR="00041039" w:rsidRDefault="001B26CB">
            <w:pPr>
              <w:pStyle w:val="TableParagraph"/>
              <w:spacing w:before="15"/>
              <w:ind w:left="179" w:right="166"/>
              <w:jc w:val="center"/>
              <w:rPr>
                <w:b/>
                <w:sz w:val="14"/>
              </w:rPr>
            </w:pPr>
            <w:r>
              <w:rPr>
                <w:b/>
                <w:color w:val="231F20"/>
                <w:sz w:val="14"/>
              </w:rPr>
              <w:t>до 30</w:t>
            </w:r>
          </w:p>
        </w:tc>
        <w:tc>
          <w:tcPr>
            <w:tcW w:w="1133" w:type="dxa"/>
          </w:tcPr>
          <w:p w:rsidR="00041039" w:rsidRDefault="001B26CB">
            <w:pPr>
              <w:pStyle w:val="TableParagraph"/>
              <w:spacing w:before="15"/>
              <w:ind w:left="180" w:right="166"/>
              <w:jc w:val="center"/>
              <w:rPr>
                <w:b/>
                <w:sz w:val="14"/>
              </w:rPr>
            </w:pPr>
            <w:r>
              <w:rPr>
                <w:b/>
                <w:color w:val="231F20"/>
                <w:sz w:val="14"/>
              </w:rPr>
              <w:t>до 30</w:t>
            </w:r>
          </w:p>
        </w:tc>
        <w:tc>
          <w:tcPr>
            <w:tcW w:w="1133" w:type="dxa"/>
          </w:tcPr>
          <w:p w:rsidR="00041039" w:rsidRDefault="001B26CB">
            <w:pPr>
              <w:pStyle w:val="TableParagraph"/>
              <w:spacing w:before="15"/>
              <w:ind w:left="181" w:right="165"/>
              <w:jc w:val="center"/>
              <w:rPr>
                <w:b/>
                <w:sz w:val="14"/>
              </w:rPr>
            </w:pPr>
            <w:r>
              <w:rPr>
                <w:b/>
                <w:color w:val="231F20"/>
                <w:sz w:val="14"/>
              </w:rPr>
              <w:t>до 30</w:t>
            </w:r>
          </w:p>
        </w:tc>
        <w:tc>
          <w:tcPr>
            <w:tcW w:w="1133" w:type="dxa"/>
          </w:tcPr>
          <w:p w:rsidR="00041039" w:rsidRDefault="001B26CB">
            <w:pPr>
              <w:pStyle w:val="TableParagraph"/>
              <w:spacing w:before="15"/>
              <w:ind w:left="181" w:right="163"/>
              <w:jc w:val="center"/>
              <w:rPr>
                <w:b/>
                <w:sz w:val="14"/>
              </w:rPr>
            </w:pPr>
            <w:r>
              <w:rPr>
                <w:b/>
                <w:color w:val="231F20"/>
                <w:sz w:val="14"/>
              </w:rPr>
              <w:t>до 120</w:t>
            </w:r>
          </w:p>
        </w:tc>
      </w:tr>
    </w:tbl>
    <w:p w:rsidR="00041039" w:rsidRDefault="00041039">
      <w:pPr>
        <w:pStyle w:val="BodyText"/>
        <w:spacing w:before="6"/>
        <w:rPr>
          <w:b/>
          <w:sz w:val="17"/>
        </w:rPr>
      </w:pPr>
    </w:p>
    <w:p w:rsidR="00041039" w:rsidRDefault="001B26CB">
      <w:pPr>
        <w:ind w:right="38"/>
        <w:jc w:val="center"/>
        <w:rPr>
          <w:b/>
          <w:sz w:val="18"/>
        </w:rPr>
      </w:pPr>
      <w:r>
        <w:rPr>
          <w:b/>
          <w:color w:val="231F20"/>
          <w:sz w:val="18"/>
        </w:rPr>
        <w:t>Остали обавезни облици образовно-васпитног рада током школске године</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5"/>
        <w:gridCol w:w="1332"/>
        <w:gridCol w:w="1333"/>
        <w:gridCol w:w="1333"/>
        <w:gridCol w:w="1333"/>
      </w:tblGrid>
      <w:tr w:rsidR="00041039">
        <w:trPr>
          <w:trHeight w:val="200"/>
        </w:trPr>
        <w:tc>
          <w:tcPr>
            <w:tcW w:w="5225" w:type="dxa"/>
            <w:shd w:val="clear" w:color="auto" w:fill="E6E7E8"/>
          </w:tcPr>
          <w:p w:rsidR="00041039" w:rsidRDefault="00041039">
            <w:pPr>
              <w:pStyle w:val="TableParagraph"/>
              <w:ind w:left="0"/>
              <w:rPr>
                <w:sz w:val="12"/>
              </w:rPr>
            </w:pPr>
          </w:p>
        </w:tc>
        <w:tc>
          <w:tcPr>
            <w:tcW w:w="1332" w:type="dxa"/>
            <w:shd w:val="clear" w:color="auto" w:fill="E6E7E8"/>
          </w:tcPr>
          <w:p w:rsidR="00041039" w:rsidRDefault="001B26CB">
            <w:pPr>
              <w:pStyle w:val="TableParagraph"/>
              <w:spacing w:before="16"/>
              <w:ind w:left="364"/>
              <w:rPr>
                <w:b/>
                <w:sz w:val="14"/>
              </w:rPr>
            </w:pPr>
            <w:r>
              <w:rPr>
                <w:b/>
                <w:color w:val="231F20"/>
                <w:sz w:val="14"/>
              </w:rPr>
              <w:t>I РАЗРЕД</w:t>
            </w:r>
          </w:p>
        </w:tc>
        <w:tc>
          <w:tcPr>
            <w:tcW w:w="1333" w:type="dxa"/>
            <w:shd w:val="clear" w:color="auto" w:fill="E6E7E8"/>
          </w:tcPr>
          <w:p w:rsidR="00041039" w:rsidRDefault="001B26CB">
            <w:pPr>
              <w:pStyle w:val="TableParagraph"/>
              <w:spacing w:before="16"/>
              <w:ind w:left="337"/>
              <w:rPr>
                <w:b/>
                <w:sz w:val="14"/>
              </w:rPr>
            </w:pPr>
            <w:r>
              <w:rPr>
                <w:b/>
                <w:color w:val="231F20"/>
                <w:sz w:val="14"/>
              </w:rPr>
              <w:t>II РАЗРЕД</w:t>
            </w:r>
          </w:p>
        </w:tc>
        <w:tc>
          <w:tcPr>
            <w:tcW w:w="1333" w:type="dxa"/>
            <w:shd w:val="clear" w:color="auto" w:fill="E6E7E8"/>
          </w:tcPr>
          <w:p w:rsidR="00041039" w:rsidRDefault="001B26CB">
            <w:pPr>
              <w:pStyle w:val="TableParagraph"/>
              <w:spacing w:before="16"/>
              <w:ind w:left="310"/>
              <w:rPr>
                <w:b/>
                <w:sz w:val="14"/>
              </w:rPr>
            </w:pPr>
            <w:r>
              <w:rPr>
                <w:b/>
                <w:color w:val="231F20"/>
                <w:sz w:val="14"/>
              </w:rPr>
              <w:t>III РАЗРЕД</w:t>
            </w:r>
          </w:p>
        </w:tc>
        <w:tc>
          <w:tcPr>
            <w:tcW w:w="1333" w:type="dxa"/>
            <w:shd w:val="clear" w:color="auto" w:fill="E6E7E8"/>
          </w:tcPr>
          <w:p w:rsidR="00041039" w:rsidRDefault="001B26CB">
            <w:pPr>
              <w:pStyle w:val="TableParagraph"/>
              <w:spacing w:before="16"/>
              <w:ind w:left="315"/>
              <w:rPr>
                <w:b/>
                <w:sz w:val="14"/>
              </w:rPr>
            </w:pPr>
            <w:r>
              <w:rPr>
                <w:b/>
                <w:color w:val="231F20"/>
                <w:sz w:val="14"/>
              </w:rPr>
              <w:t>IV РАЗРЕД</w:t>
            </w:r>
          </w:p>
        </w:tc>
      </w:tr>
      <w:tr w:rsidR="00041039">
        <w:trPr>
          <w:trHeight w:val="360"/>
        </w:trPr>
        <w:tc>
          <w:tcPr>
            <w:tcW w:w="5225" w:type="dxa"/>
          </w:tcPr>
          <w:p w:rsidR="00041039" w:rsidRDefault="001B26CB">
            <w:pPr>
              <w:pStyle w:val="TableParagraph"/>
              <w:spacing w:before="18"/>
              <w:ind w:left="56"/>
              <w:rPr>
                <w:sz w:val="14"/>
              </w:rPr>
            </w:pPr>
            <w:r>
              <w:rPr>
                <w:color w:val="231F20"/>
                <w:sz w:val="14"/>
              </w:rPr>
              <w:t>Екскурзија</w:t>
            </w:r>
          </w:p>
        </w:tc>
        <w:tc>
          <w:tcPr>
            <w:tcW w:w="1332" w:type="dxa"/>
          </w:tcPr>
          <w:p w:rsidR="00041039" w:rsidRDefault="001B26CB">
            <w:pPr>
              <w:pStyle w:val="TableParagraph"/>
              <w:spacing w:before="15"/>
              <w:ind w:left="379"/>
              <w:rPr>
                <w:b/>
                <w:sz w:val="14"/>
              </w:rPr>
            </w:pPr>
            <w:r>
              <w:rPr>
                <w:b/>
                <w:color w:val="231F20"/>
                <w:sz w:val="14"/>
              </w:rPr>
              <w:t>до 3 дана</w:t>
            </w:r>
          </w:p>
        </w:tc>
        <w:tc>
          <w:tcPr>
            <w:tcW w:w="1333" w:type="dxa"/>
          </w:tcPr>
          <w:p w:rsidR="00041039" w:rsidRDefault="001B26CB">
            <w:pPr>
              <w:pStyle w:val="TableParagraph"/>
              <w:spacing w:before="15"/>
              <w:ind w:left="380"/>
              <w:rPr>
                <w:b/>
                <w:sz w:val="14"/>
              </w:rPr>
            </w:pPr>
            <w:r>
              <w:rPr>
                <w:b/>
                <w:color w:val="231F20"/>
                <w:sz w:val="14"/>
              </w:rPr>
              <w:t>до 5 дана</w:t>
            </w:r>
          </w:p>
        </w:tc>
        <w:tc>
          <w:tcPr>
            <w:tcW w:w="1333" w:type="dxa"/>
          </w:tcPr>
          <w:p w:rsidR="00041039" w:rsidRDefault="001B26CB">
            <w:pPr>
              <w:pStyle w:val="TableParagraph"/>
              <w:spacing w:before="18"/>
              <w:ind w:left="173" w:right="145" w:firstLine="370"/>
              <w:rPr>
                <w:b/>
                <w:sz w:val="14"/>
              </w:rPr>
            </w:pPr>
            <w:r>
              <w:rPr>
                <w:b/>
                <w:color w:val="231F20"/>
                <w:sz w:val="14"/>
              </w:rPr>
              <w:t>до 5 наставних дана</w:t>
            </w:r>
          </w:p>
        </w:tc>
        <w:tc>
          <w:tcPr>
            <w:tcW w:w="1333" w:type="dxa"/>
          </w:tcPr>
          <w:p w:rsidR="00041039" w:rsidRDefault="001B26CB">
            <w:pPr>
              <w:pStyle w:val="TableParagraph"/>
              <w:spacing w:before="18"/>
              <w:ind w:left="173" w:right="145" w:firstLine="370"/>
              <w:rPr>
                <w:b/>
                <w:sz w:val="14"/>
              </w:rPr>
            </w:pPr>
            <w:r>
              <w:rPr>
                <w:b/>
                <w:color w:val="231F20"/>
                <w:sz w:val="14"/>
              </w:rPr>
              <w:t>до 5 наставних дана</w:t>
            </w:r>
          </w:p>
        </w:tc>
      </w:tr>
      <w:tr w:rsidR="00041039">
        <w:trPr>
          <w:trHeight w:val="200"/>
        </w:trPr>
        <w:tc>
          <w:tcPr>
            <w:tcW w:w="5225" w:type="dxa"/>
          </w:tcPr>
          <w:p w:rsidR="00041039" w:rsidRDefault="001B26CB">
            <w:pPr>
              <w:pStyle w:val="TableParagraph"/>
              <w:spacing w:before="18"/>
              <w:ind w:left="56"/>
              <w:rPr>
                <w:sz w:val="14"/>
              </w:rPr>
            </w:pPr>
            <w:r>
              <w:rPr>
                <w:color w:val="231F20"/>
                <w:sz w:val="14"/>
              </w:rPr>
              <w:t>Језик другог народа или националне мањине са елементима националне културе</w:t>
            </w:r>
          </w:p>
        </w:tc>
        <w:tc>
          <w:tcPr>
            <w:tcW w:w="5331" w:type="dxa"/>
            <w:gridSpan w:val="4"/>
          </w:tcPr>
          <w:p w:rsidR="00041039" w:rsidRDefault="001B26CB">
            <w:pPr>
              <w:pStyle w:val="TableParagraph"/>
              <w:spacing w:before="15"/>
              <w:ind w:left="1909" w:right="1900"/>
              <w:jc w:val="center"/>
              <w:rPr>
                <w:b/>
                <w:sz w:val="14"/>
              </w:rPr>
            </w:pPr>
            <w:r>
              <w:rPr>
                <w:b/>
                <w:color w:val="231F20"/>
                <w:sz w:val="14"/>
              </w:rPr>
              <w:t>2 часа недељно</w:t>
            </w:r>
          </w:p>
        </w:tc>
      </w:tr>
      <w:tr w:rsidR="00041039">
        <w:trPr>
          <w:trHeight w:val="200"/>
        </w:trPr>
        <w:tc>
          <w:tcPr>
            <w:tcW w:w="5225" w:type="dxa"/>
          </w:tcPr>
          <w:p w:rsidR="00041039" w:rsidRDefault="001B26CB">
            <w:pPr>
              <w:pStyle w:val="TableParagraph"/>
              <w:spacing w:before="18"/>
              <w:ind w:left="56"/>
              <w:rPr>
                <w:sz w:val="14"/>
              </w:rPr>
            </w:pPr>
            <w:r>
              <w:rPr>
                <w:color w:val="231F20"/>
                <w:sz w:val="14"/>
              </w:rPr>
              <w:t>Tpeћи страни језик</w:t>
            </w:r>
          </w:p>
        </w:tc>
        <w:tc>
          <w:tcPr>
            <w:tcW w:w="5331" w:type="dxa"/>
            <w:gridSpan w:val="4"/>
          </w:tcPr>
          <w:p w:rsidR="00041039" w:rsidRDefault="001B26CB">
            <w:pPr>
              <w:pStyle w:val="TableParagraph"/>
              <w:spacing w:before="15"/>
              <w:ind w:left="1909" w:right="1900"/>
              <w:jc w:val="center"/>
              <w:rPr>
                <w:b/>
                <w:sz w:val="14"/>
              </w:rPr>
            </w:pPr>
            <w:r>
              <w:rPr>
                <w:b/>
                <w:color w:val="231F20"/>
                <w:sz w:val="14"/>
              </w:rPr>
              <w:t>2 часа недељно</w:t>
            </w:r>
          </w:p>
        </w:tc>
      </w:tr>
      <w:tr w:rsidR="00041039">
        <w:trPr>
          <w:trHeight w:val="200"/>
        </w:trPr>
        <w:tc>
          <w:tcPr>
            <w:tcW w:w="5225" w:type="dxa"/>
          </w:tcPr>
          <w:p w:rsidR="00041039" w:rsidRDefault="001B26CB">
            <w:pPr>
              <w:pStyle w:val="TableParagraph"/>
              <w:spacing w:before="18"/>
              <w:ind w:left="56"/>
              <w:rPr>
                <w:sz w:val="14"/>
              </w:rPr>
            </w:pPr>
            <w:r>
              <w:rPr>
                <w:color w:val="231F20"/>
                <w:sz w:val="14"/>
              </w:rPr>
              <w:t>Други предмети *</w:t>
            </w:r>
          </w:p>
        </w:tc>
        <w:tc>
          <w:tcPr>
            <w:tcW w:w="5331" w:type="dxa"/>
            <w:gridSpan w:val="4"/>
          </w:tcPr>
          <w:p w:rsidR="00041039" w:rsidRDefault="001B26CB">
            <w:pPr>
              <w:pStyle w:val="TableParagraph"/>
              <w:spacing w:before="15"/>
              <w:ind w:left="1909" w:right="1900"/>
              <w:jc w:val="center"/>
              <w:rPr>
                <w:b/>
                <w:sz w:val="14"/>
              </w:rPr>
            </w:pPr>
            <w:r>
              <w:rPr>
                <w:b/>
                <w:color w:val="231F20"/>
                <w:sz w:val="14"/>
              </w:rPr>
              <w:t>1 - 2 часа недељно</w:t>
            </w:r>
          </w:p>
        </w:tc>
      </w:tr>
      <w:tr w:rsidR="00041039">
        <w:trPr>
          <w:trHeight w:val="200"/>
        </w:trPr>
        <w:tc>
          <w:tcPr>
            <w:tcW w:w="5225" w:type="dxa"/>
          </w:tcPr>
          <w:p w:rsidR="00041039" w:rsidRDefault="001B26CB">
            <w:pPr>
              <w:pStyle w:val="TableParagraph"/>
              <w:spacing w:before="18"/>
              <w:ind w:left="56"/>
              <w:rPr>
                <w:sz w:val="14"/>
              </w:rPr>
            </w:pPr>
            <w:r>
              <w:rPr>
                <w:color w:val="231F20"/>
                <w:sz w:val="14"/>
              </w:rPr>
              <w:t>Стваралачке и слободне активности ученика (хор, секције и друго)</w:t>
            </w:r>
          </w:p>
        </w:tc>
        <w:tc>
          <w:tcPr>
            <w:tcW w:w="5331" w:type="dxa"/>
            <w:gridSpan w:val="4"/>
          </w:tcPr>
          <w:p w:rsidR="00041039" w:rsidRDefault="001B26CB">
            <w:pPr>
              <w:pStyle w:val="TableParagraph"/>
              <w:spacing w:before="15"/>
              <w:ind w:left="1909" w:right="1900"/>
              <w:jc w:val="center"/>
              <w:rPr>
                <w:b/>
                <w:sz w:val="14"/>
              </w:rPr>
            </w:pPr>
            <w:r>
              <w:rPr>
                <w:b/>
                <w:color w:val="231F20"/>
                <w:sz w:val="14"/>
              </w:rPr>
              <w:t>30 - 60 часова годишње</w:t>
            </w:r>
          </w:p>
        </w:tc>
      </w:tr>
      <w:tr w:rsidR="00041039">
        <w:trPr>
          <w:trHeight w:val="200"/>
        </w:trPr>
        <w:tc>
          <w:tcPr>
            <w:tcW w:w="5225" w:type="dxa"/>
          </w:tcPr>
          <w:p w:rsidR="00041039" w:rsidRDefault="001B26CB">
            <w:pPr>
              <w:pStyle w:val="TableParagraph"/>
              <w:spacing w:before="18"/>
              <w:ind w:left="56"/>
              <w:rPr>
                <w:sz w:val="14"/>
              </w:rPr>
            </w:pPr>
            <w:r>
              <w:rPr>
                <w:color w:val="231F20"/>
                <w:sz w:val="14"/>
              </w:rPr>
              <w:t>Друштвене активности ­ ученички парламент, ученичке задруге</w:t>
            </w:r>
          </w:p>
        </w:tc>
        <w:tc>
          <w:tcPr>
            <w:tcW w:w="5331" w:type="dxa"/>
            <w:gridSpan w:val="4"/>
          </w:tcPr>
          <w:p w:rsidR="00041039" w:rsidRDefault="001B26CB">
            <w:pPr>
              <w:pStyle w:val="TableParagraph"/>
              <w:spacing w:before="15"/>
              <w:ind w:left="1909" w:right="1900"/>
              <w:jc w:val="center"/>
              <w:rPr>
                <w:b/>
                <w:sz w:val="14"/>
              </w:rPr>
            </w:pPr>
            <w:r>
              <w:rPr>
                <w:b/>
                <w:color w:val="231F20"/>
                <w:sz w:val="14"/>
              </w:rPr>
              <w:t>15 - 30 часова годишње</w:t>
            </w:r>
          </w:p>
        </w:tc>
      </w:tr>
      <w:tr w:rsidR="00041039">
        <w:trPr>
          <w:trHeight w:val="200"/>
        </w:trPr>
        <w:tc>
          <w:tcPr>
            <w:tcW w:w="5225" w:type="dxa"/>
          </w:tcPr>
          <w:p w:rsidR="00041039" w:rsidRDefault="001B26CB">
            <w:pPr>
              <w:pStyle w:val="TableParagraph"/>
              <w:spacing w:before="18"/>
              <w:ind w:left="56"/>
              <w:rPr>
                <w:sz w:val="14"/>
              </w:rPr>
            </w:pPr>
            <w:r>
              <w:rPr>
                <w:color w:val="231F20"/>
                <w:sz w:val="14"/>
              </w:rPr>
              <w:t>Културна и јавна делатност школе</w:t>
            </w:r>
          </w:p>
        </w:tc>
        <w:tc>
          <w:tcPr>
            <w:tcW w:w="5331" w:type="dxa"/>
            <w:gridSpan w:val="4"/>
          </w:tcPr>
          <w:p w:rsidR="00041039" w:rsidRDefault="001B26CB">
            <w:pPr>
              <w:pStyle w:val="TableParagraph"/>
              <w:spacing w:before="15"/>
              <w:ind w:left="1909" w:right="1900"/>
              <w:jc w:val="center"/>
              <w:rPr>
                <w:b/>
                <w:sz w:val="14"/>
              </w:rPr>
            </w:pPr>
            <w:r>
              <w:rPr>
                <w:b/>
                <w:color w:val="231F20"/>
                <w:sz w:val="14"/>
              </w:rPr>
              <w:t>2 радна дана</w:t>
            </w:r>
          </w:p>
        </w:tc>
      </w:tr>
    </w:tbl>
    <w:p w:rsidR="00041039" w:rsidRDefault="00041039">
      <w:pPr>
        <w:pStyle w:val="BodyText"/>
        <w:spacing w:before="6"/>
        <w:rPr>
          <w:b/>
          <w:sz w:val="17"/>
        </w:rPr>
      </w:pPr>
    </w:p>
    <w:p w:rsidR="00041039" w:rsidRDefault="001B26CB">
      <w:pPr>
        <w:ind w:right="37"/>
        <w:jc w:val="center"/>
        <w:rPr>
          <w:b/>
          <w:sz w:val="18"/>
        </w:rPr>
      </w:pPr>
      <w:r>
        <w:rPr>
          <w:b/>
          <w:color w:val="231F20"/>
          <w:sz w:val="18"/>
        </w:rPr>
        <w:t>Остваривање школског програма по недељама</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95"/>
        <w:gridCol w:w="1435"/>
        <w:gridCol w:w="1435"/>
        <w:gridCol w:w="1435"/>
        <w:gridCol w:w="1436"/>
      </w:tblGrid>
      <w:tr w:rsidR="00041039">
        <w:trPr>
          <w:trHeight w:val="225"/>
        </w:trPr>
        <w:tc>
          <w:tcPr>
            <w:tcW w:w="4795" w:type="dxa"/>
            <w:shd w:val="clear" w:color="auto" w:fill="E6E7E8"/>
          </w:tcPr>
          <w:p w:rsidR="00041039" w:rsidRDefault="00041039">
            <w:pPr>
              <w:pStyle w:val="TableParagraph"/>
              <w:ind w:left="0"/>
              <w:rPr>
                <w:sz w:val="14"/>
              </w:rPr>
            </w:pPr>
          </w:p>
        </w:tc>
        <w:tc>
          <w:tcPr>
            <w:tcW w:w="1435" w:type="dxa"/>
            <w:shd w:val="clear" w:color="auto" w:fill="E6E7E8"/>
          </w:tcPr>
          <w:p w:rsidR="00041039" w:rsidRDefault="001B26CB">
            <w:pPr>
              <w:pStyle w:val="TableParagraph"/>
              <w:spacing w:before="5" w:line="200" w:lineRule="exact"/>
              <w:ind w:left="225" w:right="215"/>
              <w:jc w:val="center"/>
              <w:rPr>
                <w:b/>
                <w:sz w:val="18"/>
              </w:rPr>
            </w:pPr>
            <w:r>
              <w:rPr>
                <w:b/>
                <w:color w:val="231F20"/>
                <w:sz w:val="18"/>
              </w:rPr>
              <w:t>I РАЗРЕД</w:t>
            </w:r>
          </w:p>
        </w:tc>
        <w:tc>
          <w:tcPr>
            <w:tcW w:w="1435" w:type="dxa"/>
            <w:shd w:val="clear" w:color="auto" w:fill="E6E7E8"/>
          </w:tcPr>
          <w:p w:rsidR="00041039" w:rsidRDefault="001B26CB">
            <w:pPr>
              <w:pStyle w:val="TableParagraph"/>
              <w:spacing w:before="5" w:line="200" w:lineRule="exact"/>
              <w:ind w:left="225" w:right="215"/>
              <w:jc w:val="center"/>
              <w:rPr>
                <w:b/>
                <w:sz w:val="18"/>
              </w:rPr>
            </w:pPr>
            <w:r>
              <w:rPr>
                <w:b/>
                <w:color w:val="231F20"/>
                <w:sz w:val="18"/>
              </w:rPr>
              <w:t>II РАЗРЕД</w:t>
            </w:r>
          </w:p>
        </w:tc>
        <w:tc>
          <w:tcPr>
            <w:tcW w:w="1435" w:type="dxa"/>
            <w:shd w:val="clear" w:color="auto" w:fill="E6E7E8"/>
          </w:tcPr>
          <w:p w:rsidR="00041039" w:rsidRDefault="001B26CB">
            <w:pPr>
              <w:pStyle w:val="TableParagraph"/>
              <w:spacing w:before="5" w:line="200" w:lineRule="exact"/>
              <w:ind w:left="225" w:right="215"/>
              <w:jc w:val="center"/>
              <w:rPr>
                <w:b/>
                <w:sz w:val="18"/>
              </w:rPr>
            </w:pPr>
            <w:r>
              <w:rPr>
                <w:b/>
                <w:color w:val="231F20"/>
                <w:sz w:val="18"/>
              </w:rPr>
              <w:t>III РАЗРЕД</w:t>
            </w:r>
          </w:p>
        </w:tc>
        <w:tc>
          <w:tcPr>
            <w:tcW w:w="1436" w:type="dxa"/>
            <w:shd w:val="clear" w:color="auto" w:fill="E6E7E8"/>
          </w:tcPr>
          <w:p w:rsidR="00041039" w:rsidRDefault="001B26CB">
            <w:pPr>
              <w:pStyle w:val="TableParagraph"/>
              <w:spacing w:before="5" w:line="200" w:lineRule="exact"/>
              <w:ind w:left="231" w:right="221"/>
              <w:jc w:val="center"/>
              <w:rPr>
                <w:b/>
                <w:sz w:val="18"/>
              </w:rPr>
            </w:pPr>
            <w:r>
              <w:rPr>
                <w:b/>
                <w:color w:val="231F20"/>
                <w:sz w:val="18"/>
              </w:rPr>
              <w:t>IV РАЗРЕД</w:t>
            </w:r>
          </w:p>
        </w:tc>
      </w:tr>
      <w:tr w:rsidR="00041039">
        <w:trPr>
          <w:trHeight w:val="225"/>
        </w:trPr>
        <w:tc>
          <w:tcPr>
            <w:tcW w:w="4795" w:type="dxa"/>
          </w:tcPr>
          <w:p w:rsidR="00041039" w:rsidRDefault="001B26CB">
            <w:pPr>
              <w:pStyle w:val="TableParagraph"/>
              <w:spacing w:before="18"/>
              <w:ind w:left="56"/>
              <w:rPr>
                <w:sz w:val="14"/>
              </w:rPr>
            </w:pPr>
            <w:r>
              <w:rPr>
                <w:color w:val="231F20"/>
                <w:sz w:val="14"/>
              </w:rPr>
              <w:t>Разредно ­ часовна настава</w:t>
            </w:r>
          </w:p>
        </w:tc>
        <w:tc>
          <w:tcPr>
            <w:tcW w:w="1435" w:type="dxa"/>
          </w:tcPr>
          <w:p w:rsidR="00041039" w:rsidRDefault="001B26CB">
            <w:pPr>
              <w:pStyle w:val="TableParagraph"/>
              <w:spacing w:before="5" w:line="200" w:lineRule="exact"/>
              <w:ind w:left="225" w:right="215"/>
              <w:jc w:val="center"/>
              <w:rPr>
                <w:b/>
                <w:sz w:val="18"/>
              </w:rPr>
            </w:pPr>
            <w:r>
              <w:rPr>
                <w:b/>
                <w:color w:val="231F20"/>
                <w:sz w:val="18"/>
              </w:rPr>
              <w:t>35</w:t>
            </w:r>
          </w:p>
        </w:tc>
        <w:tc>
          <w:tcPr>
            <w:tcW w:w="1435" w:type="dxa"/>
          </w:tcPr>
          <w:p w:rsidR="00041039" w:rsidRDefault="001B26CB">
            <w:pPr>
              <w:pStyle w:val="TableParagraph"/>
              <w:spacing w:before="5" w:line="200" w:lineRule="exact"/>
              <w:ind w:left="224" w:right="215"/>
              <w:jc w:val="center"/>
              <w:rPr>
                <w:b/>
                <w:sz w:val="18"/>
              </w:rPr>
            </w:pPr>
            <w:r>
              <w:rPr>
                <w:b/>
                <w:color w:val="231F20"/>
                <w:sz w:val="18"/>
              </w:rPr>
              <w:t>35</w:t>
            </w:r>
          </w:p>
        </w:tc>
        <w:tc>
          <w:tcPr>
            <w:tcW w:w="1435" w:type="dxa"/>
          </w:tcPr>
          <w:p w:rsidR="00041039" w:rsidRDefault="001B26CB">
            <w:pPr>
              <w:pStyle w:val="TableParagraph"/>
              <w:spacing w:before="5" w:line="200" w:lineRule="exact"/>
              <w:ind w:left="224" w:right="215"/>
              <w:jc w:val="center"/>
              <w:rPr>
                <w:b/>
                <w:sz w:val="18"/>
              </w:rPr>
            </w:pPr>
            <w:r>
              <w:rPr>
                <w:b/>
                <w:color w:val="231F20"/>
                <w:sz w:val="18"/>
              </w:rPr>
              <w:t>35</w:t>
            </w:r>
          </w:p>
        </w:tc>
        <w:tc>
          <w:tcPr>
            <w:tcW w:w="1436" w:type="dxa"/>
          </w:tcPr>
          <w:p w:rsidR="00041039" w:rsidRDefault="001B26CB">
            <w:pPr>
              <w:pStyle w:val="TableParagraph"/>
              <w:spacing w:before="5" w:line="200" w:lineRule="exact"/>
              <w:ind w:left="230" w:right="221"/>
              <w:jc w:val="center"/>
              <w:rPr>
                <w:b/>
                <w:sz w:val="18"/>
              </w:rPr>
            </w:pPr>
            <w:r>
              <w:rPr>
                <w:b/>
                <w:color w:val="231F20"/>
                <w:sz w:val="18"/>
              </w:rPr>
              <w:t>32</w:t>
            </w:r>
          </w:p>
        </w:tc>
      </w:tr>
      <w:tr w:rsidR="00041039">
        <w:trPr>
          <w:trHeight w:val="225"/>
        </w:trPr>
        <w:tc>
          <w:tcPr>
            <w:tcW w:w="4795" w:type="dxa"/>
          </w:tcPr>
          <w:p w:rsidR="00041039" w:rsidRDefault="001B26CB">
            <w:pPr>
              <w:pStyle w:val="TableParagraph"/>
              <w:spacing w:before="18"/>
              <w:ind w:left="56"/>
              <w:rPr>
                <w:sz w:val="14"/>
              </w:rPr>
            </w:pPr>
            <w:r>
              <w:rPr>
                <w:color w:val="231F20"/>
                <w:sz w:val="14"/>
              </w:rPr>
              <w:t>Менторски рад (блок практичне наставе)</w:t>
            </w:r>
          </w:p>
        </w:tc>
        <w:tc>
          <w:tcPr>
            <w:tcW w:w="1435" w:type="dxa"/>
          </w:tcPr>
          <w:p w:rsidR="00041039" w:rsidRDefault="001B26CB">
            <w:pPr>
              <w:pStyle w:val="TableParagraph"/>
              <w:spacing w:before="5" w:line="200" w:lineRule="exact"/>
              <w:ind w:left="10"/>
              <w:jc w:val="center"/>
              <w:rPr>
                <w:b/>
                <w:sz w:val="18"/>
              </w:rPr>
            </w:pPr>
            <w:r>
              <w:rPr>
                <w:b/>
                <w:color w:val="231F20"/>
                <w:sz w:val="18"/>
              </w:rPr>
              <w:t>2</w:t>
            </w:r>
          </w:p>
        </w:tc>
        <w:tc>
          <w:tcPr>
            <w:tcW w:w="1435" w:type="dxa"/>
          </w:tcPr>
          <w:p w:rsidR="00041039" w:rsidRDefault="001B26CB">
            <w:pPr>
              <w:pStyle w:val="TableParagraph"/>
              <w:spacing w:before="5" w:line="200" w:lineRule="exact"/>
              <w:ind w:left="9"/>
              <w:jc w:val="center"/>
              <w:rPr>
                <w:b/>
                <w:sz w:val="18"/>
              </w:rPr>
            </w:pPr>
            <w:r>
              <w:rPr>
                <w:b/>
                <w:color w:val="231F20"/>
                <w:sz w:val="18"/>
              </w:rPr>
              <w:t>2</w:t>
            </w:r>
          </w:p>
        </w:tc>
        <w:tc>
          <w:tcPr>
            <w:tcW w:w="1435" w:type="dxa"/>
          </w:tcPr>
          <w:p w:rsidR="00041039" w:rsidRDefault="001B26CB">
            <w:pPr>
              <w:pStyle w:val="TableParagraph"/>
              <w:spacing w:before="5" w:line="200" w:lineRule="exact"/>
              <w:ind w:left="9"/>
              <w:jc w:val="center"/>
              <w:rPr>
                <w:b/>
                <w:sz w:val="18"/>
              </w:rPr>
            </w:pPr>
            <w:r>
              <w:rPr>
                <w:b/>
                <w:color w:val="231F20"/>
                <w:sz w:val="18"/>
              </w:rPr>
              <w:t>2</w:t>
            </w:r>
          </w:p>
        </w:tc>
        <w:tc>
          <w:tcPr>
            <w:tcW w:w="1436" w:type="dxa"/>
          </w:tcPr>
          <w:p w:rsidR="00041039" w:rsidRDefault="001B26CB">
            <w:pPr>
              <w:pStyle w:val="TableParagraph"/>
              <w:spacing w:before="5" w:line="200" w:lineRule="exact"/>
              <w:ind w:left="9"/>
              <w:jc w:val="center"/>
              <w:rPr>
                <w:b/>
                <w:sz w:val="18"/>
              </w:rPr>
            </w:pPr>
            <w:r>
              <w:rPr>
                <w:b/>
                <w:color w:val="231F20"/>
                <w:sz w:val="18"/>
              </w:rPr>
              <w:t>2</w:t>
            </w:r>
          </w:p>
        </w:tc>
      </w:tr>
      <w:tr w:rsidR="00041039">
        <w:trPr>
          <w:trHeight w:val="225"/>
        </w:trPr>
        <w:tc>
          <w:tcPr>
            <w:tcW w:w="4795" w:type="dxa"/>
          </w:tcPr>
          <w:p w:rsidR="00041039" w:rsidRDefault="001B26CB">
            <w:pPr>
              <w:pStyle w:val="TableParagraph"/>
              <w:spacing w:before="18"/>
              <w:ind w:left="56"/>
              <w:rPr>
                <w:sz w:val="14"/>
              </w:rPr>
            </w:pPr>
            <w:r>
              <w:rPr>
                <w:color w:val="231F20"/>
                <w:sz w:val="14"/>
              </w:rPr>
              <w:t>Обавезне ваннаставне активности</w:t>
            </w:r>
          </w:p>
        </w:tc>
        <w:tc>
          <w:tcPr>
            <w:tcW w:w="1435" w:type="dxa"/>
          </w:tcPr>
          <w:p w:rsidR="00041039" w:rsidRDefault="001B26CB">
            <w:pPr>
              <w:pStyle w:val="TableParagraph"/>
              <w:spacing w:before="5" w:line="200" w:lineRule="exact"/>
              <w:ind w:left="10"/>
              <w:jc w:val="center"/>
              <w:rPr>
                <w:b/>
                <w:sz w:val="18"/>
              </w:rPr>
            </w:pPr>
            <w:r>
              <w:rPr>
                <w:b/>
                <w:color w:val="231F20"/>
                <w:sz w:val="18"/>
              </w:rPr>
              <w:t>2</w:t>
            </w:r>
          </w:p>
        </w:tc>
        <w:tc>
          <w:tcPr>
            <w:tcW w:w="1435" w:type="dxa"/>
          </w:tcPr>
          <w:p w:rsidR="00041039" w:rsidRDefault="001B26CB">
            <w:pPr>
              <w:pStyle w:val="TableParagraph"/>
              <w:spacing w:before="5" w:line="200" w:lineRule="exact"/>
              <w:ind w:left="9"/>
              <w:jc w:val="center"/>
              <w:rPr>
                <w:b/>
                <w:sz w:val="18"/>
              </w:rPr>
            </w:pPr>
            <w:r>
              <w:rPr>
                <w:b/>
                <w:color w:val="231F20"/>
                <w:sz w:val="18"/>
              </w:rPr>
              <w:t>2</w:t>
            </w:r>
          </w:p>
        </w:tc>
        <w:tc>
          <w:tcPr>
            <w:tcW w:w="1435" w:type="dxa"/>
          </w:tcPr>
          <w:p w:rsidR="00041039" w:rsidRDefault="001B26CB">
            <w:pPr>
              <w:pStyle w:val="TableParagraph"/>
              <w:spacing w:before="5" w:line="200" w:lineRule="exact"/>
              <w:ind w:left="9"/>
              <w:jc w:val="center"/>
              <w:rPr>
                <w:b/>
                <w:sz w:val="18"/>
              </w:rPr>
            </w:pPr>
            <w:r>
              <w:rPr>
                <w:b/>
                <w:color w:val="231F20"/>
                <w:sz w:val="18"/>
              </w:rPr>
              <w:t>2</w:t>
            </w:r>
          </w:p>
        </w:tc>
        <w:tc>
          <w:tcPr>
            <w:tcW w:w="1436" w:type="dxa"/>
          </w:tcPr>
          <w:p w:rsidR="00041039" w:rsidRDefault="001B26CB">
            <w:pPr>
              <w:pStyle w:val="TableParagraph"/>
              <w:spacing w:before="5" w:line="200" w:lineRule="exact"/>
              <w:ind w:left="9"/>
              <w:jc w:val="center"/>
              <w:rPr>
                <w:b/>
                <w:sz w:val="18"/>
              </w:rPr>
            </w:pPr>
            <w:r>
              <w:rPr>
                <w:b/>
                <w:color w:val="231F20"/>
                <w:sz w:val="18"/>
              </w:rPr>
              <w:t>2</w:t>
            </w:r>
          </w:p>
        </w:tc>
      </w:tr>
      <w:tr w:rsidR="00041039">
        <w:trPr>
          <w:trHeight w:val="225"/>
        </w:trPr>
        <w:tc>
          <w:tcPr>
            <w:tcW w:w="4795" w:type="dxa"/>
          </w:tcPr>
          <w:p w:rsidR="00041039" w:rsidRDefault="001B26CB">
            <w:pPr>
              <w:pStyle w:val="TableParagraph"/>
              <w:spacing w:before="18"/>
              <w:ind w:left="56"/>
              <w:rPr>
                <w:sz w:val="14"/>
              </w:rPr>
            </w:pPr>
            <w:r>
              <w:rPr>
                <w:color w:val="231F20"/>
                <w:sz w:val="14"/>
              </w:rPr>
              <w:t>Матурски испит</w:t>
            </w:r>
          </w:p>
        </w:tc>
        <w:tc>
          <w:tcPr>
            <w:tcW w:w="1435" w:type="dxa"/>
          </w:tcPr>
          <w:p w:rsidR="00041039" w:rsidRDefault="00041039">
            <w:pPr>
              <w:pStyle w:val="TableParagraph"/>
              <w:ind w:left="0"/>
              <w:rPr>
                <w:sz w:val="14"/>
              </w:rPr>
            </w:pPr>
          </w:p>
        </w:tc>
        <w:tc>
          <w:tcPr>
            <w:tcW w:w="1435" w:type="dxa"/>
          </w:tcPr>
          <w:p w:rsidR="00041039" w:rsidRDefault="00041039">
            <w:pPr>
              <w:pStyle w:val="TableParagraph"/>
              <w:ind w:left="0"/>
              <w:rPr>
                <w:sz w:val="14"/>
              </w:rPr>
            </w:pPr>
          </w:p>
        </w:tc>
        <w:tc>
          <w:tcPr>
            <w:tcW w:w="1435" w:type="dxa"/>
          </w:tcPr>
          <w:p w:rsidR="00041039" w:rsidRDefault="00041039">
            <w:pPr>
              <w:pStyle w:val="TableParagraph"/>
              <w:ind w:left="0"/>
              <w:rPr>
                <w:sz w:val="14"/>
              </w:rPr>
            </w:pPr>
          </w:p>
        </w:tc>
        <w:tc>
          <w:tcPr>
            <w:tcW w:w="1436" w:type="dxa"/>
          </w:tcPr>
          <w:p w:rsidR="00041039" w:rsidRDefault="001B26CB">
            <w:pPr>
              <w:pStyle w:val="TableParagraph"/>
              <w:spacing w:before="5" w:line="200" w:lineRule="exact"/>
              <w:ind w:left="10"/>
              <w:jc w:val="center"/>
              <w:rPr>
                <w:b/>
                <w:sz w:val="18"/>
              </w:rPr>
            </w:pPr>
            <w:r>
              <w:rPr>
                <w:b/>
                <w:color w:val="231F20"/>
                <w:sz w:val="18"/>
              </w:rPr>
              <w:t>3</w:t>
            </w:r>
          </w:p>
        </w:tc>
      </w:tr>
      <w:tr w:rsidR="00041039">
        <w:trPr>
          <w:trHeight w:val="225"/>
        </w:trPr>
        <w:tc>
          <w:tcPr>
            <w:tcW w:w="4795" w:type="dxa"/>
          </w:tcPr>
          <w:p w:rsidR="00041039" w:rsidRDefault="001B26CB">
            <w:pPr>
              <w:pStyle w:val="TableParagraph"/>
              <w:spacing w:before="5" w:line="200" w:lineRule="exact"/>
              <w:ind w:left="56"/>
              <w:rPr>
                <w:b/>
                <w:sz w:val="18"/>
              </w:rPr>
            </w:pPr>
            <w:r>
              <w:rPr>
                <w:b/>
                <w:color w:val="231F20"/>
                <w:sz w:val="18"/>
              </w:rPr>
              <w:t>Укупно радних недеља</w:t>
            </w:r>
          </w:p>
        </w:tc>
        <w:tc>
          <w:tcPr>
            <w:tcW w:w="1435" w:type="dxa"/>
          </w:tcPr>
          <w:p w:rsidR="00041039" w:rsidRDefault="001B26CB">
            <w:pPr>
              <w:pStyle w:val="TableParagraph"/>
              <w:spacing w:before="5" w:line="200" w:lineRule="exact"/>
              <w:ind w:left="225" w:right="215"/>
              <w:jc w:val="center"/>
              <w:rPr>
                <w:b/>
                <w:sz w:val="18"/>
              </w:rPr>
            </w:pPr>
            <w:r>
              <w:rPr>
                <w:b/>
                <w:color w:val="231F20"/>
                <w:sz w:val="18"/>
              </w:rPr>
              <w:t>39</w:t>
            </w:r>
          </w:p>
        </w:tc>
        <w:tc>
          <w:tcPr>
            <w:tcW w:w="1435" w:type="dxa"/>
          </w:tcPr>
          <w:p w:rsidR="00041039" w:rsidRDefault="001B26CB">
            <w:pPr>
              <w:pStyle w:val="TableParagraph"/>
              <w:spacing w:before="5" w:line="200" w:lineRule="exact"/>
              <w:ind w:left="225" w:right="215"/>
              <w:jc w:val="center"/>
              <w:rPr>
                <w:b/>
                <w:sz w:val="18"/>
              </w:rPr>
            </w:pPr>
            <w:r>
              <w:rPr>
                <w:b/>
                <w:color w:val="231F20"/>
                <w:sz w:val="18"/>
              </w:rPr>
              <w:t>39</w:t>
            </w:r>
          </w:p>
        </w:tc>
        <w:tc>
          <w:tcPr>
            <w:tcW w:w="1435" w:type="dxa"/>
          </w:tcPr>
          <w:p w:rsidR="00041039" w:rsidRDefault="001B26CB">
            <w:pPr>
              <w:pStyle w:val="TableParagraph"/>
              <w:spacing w:before="5" w:line="200" w:lineRule="exact"/>
              <w:ind w:left="225" w:right="215"/>
              <w:jc w:val="center"/>
              <w:rPr>
                <w:b/>
                <w:sz w:val="18"/>
              </w:rPr>
            </w:pPr>
            <w:r>
              <w:rPr>
                <w:b/>
                <w:color w:val="231F20"/>
                <w:sz w:val="18"/>
              </w:rPr>
              <w:t>39</w:t>
            </w:r>
          </w:p>
        </w:tc>
        <w:tc>
          <w:tcPr>
            <w:tcW w:w="1436" w:type="dxa"/>
          </w:tcPr>
          <w:p w:rsidR="00041039" w:rsidRDefault="001B26CB">
            <w:pPr>
              <w:pStyle w:val="TableParagraph"/>
              <w:spacing w:before="5" w:line="200" w:lineRule="exact"/>
              <w:ind w:left="231" w:right="221"/>
              <w:jc w:val="center"/>
              <w:rPr>
                <w:b/>
                <w:sz w:val="18"/>
              </w:rPr>
            </w:pPr>
            <w:r>
              <w:rPr>
                <w:b/>
                <w:color w:val="231F20"/>
                <w:sz w:val="18"/>
              </w:rPr>
              <w:t>39</w:t>
            </w:r>
          </w:p>
        </w:tc>
      </w:tr>
    </w:tbl>
    <w:p w:rsidR="00041039" w:rsidRDefault="00041039">
      <w:pPr>
        <w:spacing w:line="200" w:lineRule="exact"/>
        <w:jc w:val="center"/>
        <w:rPr>
          <w:sz w:val="18"/>
        </w:rPr>
        <w:sectPr w:rsidR="00041039">
          <w:pgSz w:w="11910" w:h="15710"/>
          <w:pgMar w:top="40" w:right="540" w:bottom="280" w:left="580" w:header="720" w:footer="720" w:gutter="0"/>
          <w:cols w:space="720"/>
        </w:sectPr>
      </w:pPr>
    </w:p>
    <w:p w:rsidR="00041039" w:rsidRDefault="001B26CB">
      <w:pPr>
        <w:spacing w:before="80"/>
        <w:ind w:right="38"/>
        <w:jc w:val="center"/>
        <w:rPr>
          <w:b/>
          <w:sz w:val="18"/>
        </w:rPr>
      </w:pPr>
      <w:r>
        <w:rPr>
          <w:b/>
          <w:color w:val="231F20"/>
          <w:sz w:val="18"/>
        </w:rPr>
        <w:lastRenderedPageBreak/>
        <w:t>II НАСТАВНИ ПРОГРАМ</w:t>
      </w:r>
    </w:p>
    <w:p w:rsidR="00041039" w:rsidRDefault="001B26CB">
      <w:pPr>
        <w:spacing w:before="163"/>
        <w:ind w:right="37"/>
        <w:jc w:val="center"/>
        <w:rPr>
          <w:b/>
          <w:sz w:val="18"/>
        </w:rPr>
      </w:pPr>
      <w:r>
        <w:rPr>
          <w:b/>
          <w:color w:val="231F20"/>
          <w:sz w:val="18"/>
        </w:rPr>
        <w:t>A1: ОБАВЕЗНИ ОПШТЕОБРАЗОВНИ ПРЕДМЕТИ</w:t>
      </w:r>
    </w:p>
    <w:p w:rsidR="00041039" w:rsidRDefault="00041039">
      <w:pPr>
        <w:pStyle w:val="BodyText"/>
        <w:spacing w:before="11"/>
        <w:rPr>
          <w:b/>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pStyle w:val="BodyText"/>
        <w:spacing w:before="49" w:line="161" w:lineRule="exact"/>
        <w:ind w:left="157"/>
      </w:pPr>
      <w:r>
        <w:rPr>
          <w:color w:val="231F20"/>
        </w:rPr>
        <w:t>Циљеви предмета: – Проширивање и продубљивање знања о српском књижевном језику;</w:t>
      </w:r>
    </w:p>
    <w:p w:rsidR="00041039" w:rsidRDefault="001B26CB">
      <w:pPr>
        <w:pStyle w:val="ListParagraph"/>
        <w:tabs>
          <w:tab w:val="left" w:pos="1566"/>
        </w:tabs>
        <w:spacing w:line="160" w:lineRule="exact"/>
        <w:ind w:left="1565" w:hanging="105"/>
        <w:rPr>
          <w:sz w:val="14"/>
        </w:rPr>
      </w:pPr>
      <w:r>
        <w:rPr>
          <w:color w:val="231F20"/>
          <w:sz w:val="14"/>
        </w:rPr>
        <w:t>Развијање и неговање језичке културе, поштовање правила књижевног (стандардног) језика у усменом и писаном</w:t>
      </w:r>
      <w:r>
        <w:rPr>
          <w:color w:val="231F20"/>
          <w:spacing w:val="-20"/>
          <w:sz w:val="14"/>
        </w:rPr>
        <w:t xml:space="preserve"> </w:t>
      </w:r>
      <w:r>
        <w:rPr>
          <w:color w:val="231F20"/>
          <w:sz w:val="14"/>
        </w:rPr>
        <w:t>изражавању;</w:t>
      </w:r>
    </w:p>
    <w:p w:rsidR="00041039" w:rsidRDefault="001B26CB">
      <w:pPr>
        <w:pStyle w:val="ListParagraph"/>
        <w:tabs>
          <w:tab w:val="left" w:pos="1566"/>
        </w:tabs>
        <w:spacing w:line="160" w:lineRule="exact"/>
        <w:ind w:left="1565" w:hanging="105"/>
        <w:rPr>
          <w:sz w:val="14"/>
        </w:rPr>
      </w:pPr>
      <w:r>
        <w:rPr>
          <w:color w:val="231F20"/>
          <w:sz w:val="14"/>
        </w:rPr>
        <w:t>Подстицање ученика на усавршавање говорења, писања и читања, као и неговање културе</w:t>
      </w:r>
      <w:r>
        <w:rPr>
          <w:color w:val="231F20"/>
          <w:spacing w:val="-8"/>
          <w:sz w:val="14"/>
        </w:rPr>
        <w:t xml:space="preserve"> </w:t>
      </w:r>
      <w:r>
        <w:rPr>
          <w:color w:val="231F20"/>
          <w:sz w:val="14"/>
        </w:rPr>
        <w:t>дијалога;</w:t>
      </w:r>
    </w:p>
    <w:p w:rsidR="00041039" w:rsidRDefault="001B26CB">
      <w:pPr>
        <w:pStyle w:val="ListParagraph"/>
        <w:tabs>
          <w:tab w:val="left" w:pos="1566"/>
        </w:tabs>
        <w:spacing w:line="160" w:lineRule="exact"/>
        <w:ind w:left="1565" w:hanging="105"/>
        <w:rPr>
          <w:sz w:val="14"/>
        </w:rPr>
      </w:pPr>
      <w:r>
        <w:rPr>
          <w:color w:val="231F20"/>
          <w:sz w:val="14"/>
        </w:rPr>
        <w:t>Оспособљавање за ефикасно</w:t>
      </w:r>
      <w:r>
        <w:rPr>
          <w:color w:val="231F20"/>
          <w:spacing w:val="-2"/>
          <w:sz w:val="14"/>
        </w:rPr>
        <w:t xml:space="preserve"> </w:t>
      </w:r>
      <w:r>
        <w:rPr>
          <w:color w:val="231F20"/>
          <w:sz w:val="14"/>
        </w:rPr>
        <w:t>комуницирање;</w:t>
      </w:r>
    </w:p>
    <w:p w:rsidR="00041039" w:rsidRDefault="001B26CB">
      <w:pPr>
        <w:pStyle w:val="ListParagraph"/>
        <w:tabs>
          <w:tab w:val="left" w:pos="1566"/>
        </w:tabs>
        <w:spacing w:line="160" w:lineRule="exact"/>
        <w:ind w:left="1565" w:hanging="105"/>
        <w:rPr>
          <w:sz w:val="14"/>
        </w:rPr>
      </w:pPr>
      <w:r>
        <w:rPr>
          <w:color w:val="231F20"/>
          <w:sz w:val="14"/>
        </w:rPr>
        <w:t>Оспособљавање ученика да користе стручну литературу и језичке</w:t>
      </w:r>
      <w:r>
        <w:rPr>
          <w:color w:val="231F20"/>
          <w:spacing w:val="-4"/>
          <w:sz w:val="14"/>
        </w:rPr>
        <w:t xml:space="preserve"> </w:t>
      </w:r>
      <w:r>
        <w:rPr>
          <w:color w:val="231F20"/>
          <w:sz w:val="14"/>
        </w:rPr>
        <w:t>приручнике;</w:t>
      </w:r>
    </w:p>
    <w:p w:rsidR="00041039" w:rsidRDefault="001B26CB">
      <w:pPr>
        <w:pStyle w:val="ListParagraph"/>
        <w:tabs>
          <w:tab w:val="left" w:pos="1566"/>
        </w:tabs>
        <w:spacing w:line="160" w:lineRule="exact"/>
        <w:ind w:left="1565" w:hanging="105"/>
        <w:rPr>
          <w:sz w:val="14"/>
        </w:rPr>
      </w:pPr>
      <w:r>
        <w:rPr>
          <w:color w:val="231F20"/>
          <w:sz w:val="14"/>
        </w:rPr>
        <w:t>Продубљивање н проширивање знања о српској и светској</w:t>
      </w:r>
      <w:r>
        <w:rPr>
          <w:color w:val="231F20"/>
          <w:spacing w:val="-6"/>
          <w:sz w:val="14"/>
        </w:rPr>
        <w:t xml:space="preserve"> </w:t>
      </w:r>
      <w:r>
        <w:rPr>
          <w:color w:val="231F20"/>
          <w:sz w:val="14"/>
        </w:rPr>
        <w:t>књижевности;</w:t>
      </w:r>
    </w:p>
    <w:p w:rsidR="00041039" w:rsidRDefault="001B26CB">
      <w:pPr>
        <w:pStyle w:val="ListParagraph"/>
        <w:tabs>
          <w:tab w:val="left" w:pos="1566"/>
        </w:tabs>
        <w:spacing w:line="160" w:lineRule="exact"/>
        <w:ind w:left="1565" w:hanging="105"/>
        <w:rPr>
          <w:sz w:val="14"/>
        </w:rPr>
      </w:pPr>
      <w:r>
        <w:rPr>
          <w:color w:val="231F20"/>
          <w:sz w:val="14"/>
        </w:rPr>
        <w:t>Оспособљавање за интерпретацију књижевних</w:t>
      </w:r>
      <w:r>
        <w:rPr>
          <w:color w:val="231F20"/>
          <w:spacing w:val="-21"/>
          <w:sz w:val="14"/>
        </w:rPr>
        <w:t xml:space="preserve"> </w:t>
      </w:r>
      <w:r>
        <w:rPr>
          <w:color w:val="231F20"/>
          <w:sz w:val="14"/>
        </w:rPr>
        <w:t>текстова;</w:t>
      </w:r>
    </w:p>
    <w:p w:rsidR="00041039" w:rsidRDefault="001B26CB">
      <w:pPr>
        <w:pStyle w:val="ListParagraph"/>
        <w:tabs>
          <w:tab w:val="left" w:pos="1566"/>
        </w:tabs>
        <w:spacing w:line="160" w:lineRule="exact"/>
        <w:ind w:left="1565" w:hanging="105"/>
        <w:rPr>
          <w:sz w:val="14"/>
        </w:rPr>
      </w:pPr>
      <w:r>
        <w:rPr>
          <w:color w:val="231F20"/>
          <w:sz w:val="14"/>
        </w:rPr>
        <w:t>Унапређивање</w:t>
      </w:r>
      <w:r>
        <w:rPr>
          <w:color w:val="231F20"/>
          <w:spacing w:val="-8"/>
          <w:sz w:val="14"/>
        </w:rPr>
        <w:t xml:space="preserve"> </w:t>
      </w:r>
      <w:r>
        <w:rPr>
          <w:color w:val="231F20"/>
          <w:sz w:val="14"/>
        </w:rPr>
        <w:t>књижевних</w:t>
      </w:r>
      <w:r>
        <w:rPr>
          <w:color w:val="231F20"/>
          <w:spacing w:val="-8"/>
          <w:sz w:val="14"/>
        </w:rPr>
        <w:t xml:space="preserve"> </w:t>
      </w:r>
      <w:r>
        <w:rPr>
          <w:color w:val="231F20"/>
          <w:sz w:val="14"/>
        </w:rPr>
        <w:t>знања</w:t>
      </w:r>
      <w:r>
        <w:rPr>
          <w:color w:val="231F20"/>
          <w:spacing w:val="-8"/>
          <w:sz w:val="14"/>
        </w:rPr>
        <w:t xml:space="preserve"> </w:t>
      </w:r>
      <w:r>
        <w:rPr>
          <w:color w:val="231F20"/>
          <w:sz w:val="14"/>
        </w:rPr>
        <w:t>и</w:t>
      </w:r>
      <w:r>
        <w:rPr>
          <w:color w:val="231F20"/>
          <w:spacing w:val="-8"/>
          <w:sz w:val="14"/>
        </w:rPr>
        <w:t xml:space="preserve"> </w:t>
      </w:r>
      <w:r>
        <w:rPr>
          <w:color w:val="231F20"/>
          <w:sz w:val="14"/>
        </w:rPr>
        <w:t>читалачких</w:t>
      </w:r>
      <w:r>
        <w:rPr>
          <w:color w:val="231F20"/>
          <w:spacing w:val="-8"/>
          <w:sz w:val="14"/>
        </w:rPr>
        <w:t xml:space="preserve"> </w:t>
      </w:r>
      <w:r>
        <w:rPr>
          <w:color w:val="231F20"/>
          <w:sz w:val="14"/>
        </w:rPr>
        <w:t>вештина;</w:t>
      </w:r>
    </w:p>
    <w:p w:rsidR="00041039" w:rsidRDefault="001B26CB">
      <w:pPr>
        <w:pStyle w:val="ListParagraph"/>
        <w:tabs>
          <w:tab w:val="left" w:pos="1566"/>
        </w:tabs>
        <w:spacing w:line="240" w:lineRule="auto"/>
        <w:ind w:left="1565" w:right="600" w:hanging="105"/>
        <w:rPr>
          <w:sz w:val="14"/>
        </w:rPr>
      </w:pPr>
      <w:r>
        <w:rPr>
          <w:color w:val="231F20"/>
          <w:sz w:val="14"/>
        </w:rPr>
        <w:t>Упознавање</w:t>
      </w:r>
      <w:r>
        <w:rPr>
          <w:color w:val="231F20"/>
          <w:spacing w:val="-4"/>
          <w:sz w:val="14"/>
        </w:rPr>
        <w:t xml:space="preserve"> </w:t>
      </w:r>
      <w:r>
        <w:rPr>
          <w:color w:val="231F20"/>
          <w:sz w:val="14"/>
        </w:rPr>
        <w:t>и</w:t>
      </w:r>
      <w:r>
        <w:rPr>
          <w:color w:val="231F20"/>
          <w:spacing w:val="-5"/>
          <w:sz w:val="14"/>
        </w:rPr>
        <w:t xml:space="preserve"> </w:t>
      </w:r>
      <w:r>
        <w:rPr>
          <w:color w:val="231F20"/>
          <w:sz w:val="14"/>
        </w:rPr>
        <w:t>проучавање</w:t>
      </w:r>
      <w:r>
        <w:rPr>
          <w:color w:val="231F20"/>
          <w:spacing w:val="-4"/>
          <w:sz w:val="14"/>
        </w:rPr>
        <w:t xml:space="preserve"> </w:t>
      </w:r>
      <w:r>
        <w:rPr>
          <w:color w:val="231F20"/>
          <w:sz w:val="14"/>
        </w:rPr>
        <w:t>репрезентативних</w:t>
      </w:r>
      <w:r>
        <w:rPr>
          <w:color w:val="231F20"/>
          <w:spacing w:val="-4"/>
          <w:sz w:val="14"/>
        </w:rPr>
        <w:t xml:space="preserve"> </w:t>
      </w:r>
      <w:r>
        <w:rPr>
          <w:color w:val="231F20"/>
          <w:sz w:val="14"/>
        </w:rPr>
        <w:t>дела</w:t>
      </w:r>
      <w:r>
        <w:rPr>
          <w:color w:val="231F20"/>
          <w:spacing w:val="-4"/>
          <w:sz w:val="14"/>
        </w:rPr>
        <w:t xml:space="preserve"> </w:t>
      </w:r>
      <w:r>
        <w:rPr>
          <w:color w:val="231F20"/>
          <w:sz w:val="14"/>
        </w:rPr>
        <w:t>српске</w:t>
      </w:r>
      <w:r>
        <w:rPr>
          <w:color w:val="231F20"/>
          <w:spacing w:val="-4"/>
          <w:sz w:val="14"/>
        </w:rPr>
        <w:t xml:space="preserve"> </w:t>
      </w:r>
      <w:r>
        <w:rPr>
          <w:color w:val="231F20"/>
          <w:sz w:val="14"/>
        </w:rPr>
        <w:t>и</w:t>
      </w:r>
      <w:r>
        <w:rPr>
          <w:color w:val="231F20"/>
          <w:spacing w:val="-5"/>
          <w:sz w:val="14"/>
        </w:rPr>
        <w:t xml:space="preserve"> </w:t>
      </w:r>
      <w:r>
        <w:rPr>
          <w:color w:val="231F20"/>
          <w:sz w:val="14"/>
        </w:rPr>
        <w:t>опште</w:t>
      </w:r>
      <w:r>
        <w:rPr>
          <w:color w:val="231F20"/>
          <w:spacing w:val="-4"/>
          <w:sz w:val="14"/>
        </w:rPr>
        <w:t xml:space="preserve"> </w:t>
      </w:r>
      <w:r>
        <w:rPr>
          <w:color w:val="231F20"/>
          <w:sz w:val="14"/>
        </w:rPr>
        <w:t>књижевности,</w:t>
      </w:r>
      <w:r>
        <w:rPr>
          <w:color w:val="231F20"/>
          <w:spacing w:val="-4"/>
          <w:sz w:val="14"/>
        </w:rPr>
        <w:t xml:space="preserve"> </w:t>
      </w:r>
      <w:r>
        <w:rPr>
          <w:color w:val="231F20"/>
          <w:sz w:val="14"/>
        </w:rPr>
        <w:t>књижевних</w:t>
      </w:r>
      <w:r>
        <w:rPr>
          <w:color w:val="231F20"/>
          <w:spacing w:val="-4"/>
          <w:sz w:val="14"/>
        </w:rPr>
        <w:t xml:space="preserve"> </w:t>
      </w:r>
      <w:r>
        <w:rPr>
          <w:color w:val="231F20"/>
          <w:sz w:val="14"/>
        </w:rPr>
        <w:t>жанрова;</w:t>
      </w:r>
      <w:r>
        <w:rPr>
          <w:color w:val="231F20"/>
          <w:spacing w:val="-4"/>
          <w:sz w:val="14"/>
        </w:rPr>
        <w:t xml:space="preserve"> </w:t>
      </w:r>
      <w:r>
        <w:rPr>
          <w:color w:val="231F20"/>
          <w:sz w:val="14"/>
        </w:rPr>
        <w:t>књижевноисторијских</w:t>
      </w:r>
      <w:r>
        <w:rPr>
          <w:color w:val="231F20"/>
          <w:spacing w:val="-4"/>
          <w:sz w:val="14"/>
        </w:rPr>
        <w:t xml:space="preserve"> </w:t>
      </w:r>
      <w:r>
        <w:rPr>
          <w:color w:val="231F20"/>
          <w:sz w:val="14"/>
        </w:rPr>
        <w:t>појава</w:t>
      </w:r>
      <w:r>
        <w:rPr>
          <w:color w:val="231F20"/>
          <w:spacing w:val="-4"/>
          <w:sz w:val="14"/>
        </w:rPr>
        <w:t xml:space="preserve"> </w:t>
      </w:r>
      <w:r>
        <w:rPr>
          <w:color w:val="231F20"/>
          <w:sz w:val="14"/>
        </w:rPr>
        <w:t>и</w:t>
      </w:r>
      <w:r>
        <w:rPr>
          <w:color w:val="231F20"/>
          <w:spacing w:val="-5"/>
          <w:sz w:val="14"/>
        </w:rPr>
        <w:t xml:space="preserve"> </w:t>
      </w:r>
      <w:r>
        <w:rPr>
          <w:color w:val="231F20"/>
          <w:sz w:val="14"/>
        </w:rPr>
        <w:t>процеса</w:t>
      </w:r>
      <w:r>
        <w:rPr>
          <w:color w:val="231F20"/>
          <w:spacing w:val="-4"/>
          <w:sz w:val="14"/>
        </w:rPr>
        <w:t xml:space="preserve"> </w:t>
      </w:r>
      <w:r>
        <w:rPr>
          <w:color w:val="231F20"/>
          <w:sz w:val="14"/>
        </w:rPr>
        <w:t>у књижевности;</w:t>
      </w:r>
    </w:p>
    <w:p w:rsidR="00041039" w:rsidRDefault="001B26CB">
      <w:pPr>
        <w:pStyle w:val="ListParagraph"/>
        <w:tabs>
          <w:tab w:val="left" w:pos="1566"/>
        </w:tabs>
        <w:spacing w:line="159" w:lineRule="exact"/>
        <w:ind w:left="1565" w:hanging="105"/>
        <w:rPr>
          <w:sz w:val="14"/>
        </w:rPr>
      </w:pPr>
      <w:r>
        <w:rPr>
          <w:color w:val="231F20"/>
          <w:sz w:val="14"/>
        </w:rPr>
        <w:t>Унапређивање знања о сопственој култури и културама других</w:t>
      </w:r>
      <w:r>
        <w:rPr>
          <w:color w:val="231F20"/>
          <w:spacing w:val="-6"/>
          <w:sz w:val="14"/>
        </w:rPr>
        <w:t xml:space="preserve"> </w:t>
      </w:r>
      <w:r>
        <w:rPr>
          <w:color w:val="231F20"/>
          <w:sz w:val="14"/>
        </w:rPr>
        <w:t>народа;</w:t>
      </w:r>
    </w:p>
    <w:p w:rsidR="00041039" w:rsidRDefault="001B26CB">
      <w:pPr>
        <w:pStyle w:val="ListParagraph"/>
        <w:tabs>
          <w:tab w:val="left" w:pos="1566"/>
        </w:tabs>
        <w:spacing w:line="160" w:lineRule="exact"/>
        <w:ind w:left="1565" w:hanging="105"/>
        <w:rPr>
          <w:sz w:val="14"/>
        </w:rPr>
      </w:pPr>
      <w:r>
        <w:rPr>
          <w:color w:val="231F20"/>
          <w:sz w:val="14"/>
        </w:rPr>
        <w:t>Развијање хуманистичког и књижевног образовања и васпита</w:t>
      </w:r>
      <w:r>
        <w:rPr>
          <w:color w:val="231F20"/>
          <w:sz w:val="14"/>
        </w:rPr>
        <w:t>ња на најбољим делима српске и светске културне</w:t>
      </w:r>
      <w:r>
        <w:rPr>
          <w:color w:val="231F20"/>
          <w:spacing w:val="-18"/>
          <w:sz w:val="14"/>
        </w:rPr>
        <w:t xml:space="preserve"> </w:t>
      </w:r>
      <w:r>
        <w:rPr>
          <w:color w:val="231F20"/>
          <w:sz w:val="14"/>
        </w:rPr>
        <w:t>баштине;</w:t>
      </w:r>
    </w:p>
    <w:p w:rsidR="00041039" w:rsidRDefault="001B26CB">
      <w:pPr>
        <w:pStyle w:val="ListParagraph"/>
        <w:tabs>
          <w:tab w:val="left" w:pos="1566"/>
        </w:tabs>
        <w:spacing w:line="160" w:lineRule="exact"/>
        <w:ind w:left="1565" w:hanging="105"/>
        <w:rPr>
          <w:sz w:val="14"/>
        </w:rPr>
      </w:pPr>
      <w:r>
        <w:rPr>
          <w:color w:val="231F20"/>
          <w:spacing w:val="-3"/>
          <w:sz w:val="14"/>
        </w:rPr>
        <w:t xml:space="preserve">Упућивање </w:t>
      </w:r>
      <w:r>
        <w:rPr>
          <w:color w:val="231F20"/>
          <w:sz w:val="14"/>
        </w:rPr>
        <w:t>ученика на истраживачки и критички однос према књижевности;</w:t>
      </w:r>
    </w:p>
    <w:p w:rsidR="00041039" w:rsidRDefault="001B26CB">
      <w:pPr>
        <w:pStyle w:val="ListParagraph"/>
        <w:tabs>
          <w:tab w:val="left" w:pos="1566"/>
        </w:tabs>
        <w:spacing w:line="160" w:lineRule="exact"/>
        <w:ind w:left="1565" w:hanging="105"/>
        <w:rPr>
          <w:sz w:val="14"/>
        </w:rPr>
      </w:pPr>
      <w:r>
        <w:rPr>
          <w:color w:val="231F20"/>
          <w:sz w:val="14"/>
        </w:rPr>
        <w:t>Обезбеђивање функционалних знања из теорије и историје</w:t>
      </w:r>
      <w:r>
        <w:rPr>
          <w:color w:val="231F20"/>
          <w:spacing w:val="-6"/>
          <w:sz w:val="14"/>
        </w:rPr>
        <w:t xml:space="preserve"> </w:t>
      </w:r>
      <w:r>
        <w:rPr>
          <w:color w:val="231F20"/>
          <w:sz w:val="14"/>
        </w:rPr>
        <w:t>књижевности;</w:t>
      </w:r>
    </w:p>
    <w:p w:rsidR="00041039" w:rsidRDefault="001B26CB">
      <w:pPr>
        <w:pStyle w:val="ListParagraph"/>
        <w:tabs>
          <w:tab w:val="left" w:pos="1566"/>
        </w:tabs>
        <w:spacing w:line="161" w:lineRule="exact"/>
        <w:ind w:left="1565" w:hanging="105"/>
        <w:rPr>
          <w:sz w:val="14"/>
        </w:rPr>
      </w:pPr>
      <w:r>
        <w:rPr>
          <w:color w:val="231F20"/>
          <w:sz w:val="14"/>
        </w:rPr>
        <w:t>Развијање трајног интересовања за нова</w:t>
      </w:r>
      <w:r>
        <w:rPr>
          <w:color w:val="231F20"/>
          <w:spacing w:val="-3"/>
          <w:sz w:val="14"/>
        </w:rPr>
        <w:t xml:space="preserve"> </w:t>
      </w:r>
      <w:r>
        <w:rPr>
          <w:color w:val="231F20"/>
          <w:sz w:val="14"/>
        </w:rPr>
        <w:t>сазнања.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280"/>
        </w:trPr>
        <w:tc>
          <w:tcPr>
            <w:tcW w:w="1304" w:type="dxa"/>
          </w:tcPr>
          <w:p w:rsidR="00041039" w:rsidRDefault="001B26CB">
            <w:pPr>
              <w:pStyle w:val="TableParagraph"/>
              <w:spacing w:before="18"/>
              <w:ind w:left="56" w:right="37"/>
              <w:rPr>
                <w:sz w:val="14"/>
              </w:rPr>
            </w:pPr>
            <w:r>
              <w:rPr>
                <w:color w:val="231F20"/>
                <w:sz w:val="14"/>
              </w:rPr>
              <w:t>Увод у проучавање књижевног дела</w:t>
            </w:r>
          </w:p>
        </w:tc>
        <w:tc>
          <w:tcPr>
            <w:tcW w:w="1587" w:type="dxa"/>
          </w:tcPr>
          <w:p w:rsidR="00041039" w:rsidRDefault="001B26CB">
            <w:pPr>
              <w:pStyle w:val="TableParagraph"/>
              <w:tabs>
                <w:tab w:val="left" w:pos="157"/>
              </w:tabs>
              <w:spacing w:before="8"/>
              <w:ind w:right="52" w:hanging="100"/>
              <w:rPr>
                <w:sz w:val="14"/>
              </w:rPr>
            </w:pPr>
            <w:r>
              <w:rPr>
                <w:color w:val="231F20"/>
                <w:spacing w:val="-3"/>
                <w:sz w:val="14"/>
              </w:rPr>
              <w:t xml:space="preserve">Увођење </w:t>
            </w:r>
            <w:r>
              <w:rPr>
                <w:color w:val="231F20"/>
                <w:sz w:val="14"/>
              </w:rPr>
              <w:t>ученика у свет књижевног дела</w:t>
            </w:r>
            <w:r>
              <w:rPr>
                <w:color w:val="231F20"/>
                <w:spacing w:val="-3"/>
                <w:sz w:val="14"/>
              </w:rPr>
              <w:t xml:space="preserve"> </w:t>
            </w:r>
            <w:r>
              <w:rPr>
                <w:color w:val="231F20"/>
                <w:sz w:val="14"/>
              </w:rPr>
              <w:t xml:space="preserve">и књижевност као </w:t>
            </w:r>
            <w:r>
              <w:rPr>
                <w:color w:val="231F20"/>
                <w:spacing w:val="-3"/>
                <w:sz w:val="14"/>
              </w:rPr>
              <w:t xml:space="preserve">науку </w:t>
            </w:r>
            <w:r>
              <w:rPr>
                <w:color w:val="231F20"/>
                <w:sz w:val="14"/>
              </w:rPr>
              <w:t>и</w:t>
            </w:r>
            <w:r>
              <w:rPr>
                <w:color w:val="231F20"/>
                <w:spacing w:val="-2"/>
                <w:sz w:val="14"/>
              </w:rPr>
              <w:t xml:space="preserve"> </w:t>
            </w:r>
            <w:r>
              <w:rPr>
                <w:color w:val="231F20"/>
                <w:sz w:val="14"/>
              </w:rPr>
              <w:t>уметност.</w:t>
            </w:r>
          </w:p>
        </w:tc>
        <w:tc>
          <w:tcPr>
            <w:tcW w:w="2551" w:type="dxa"/>
          </w:tcPr>
          <w:p w:rsidR="00041039" w:rsidRDefault="001B26CB">
            <w:pPr>
              <w:pStyle w:val="TableParagraph"/>
              <w:tabs>
                <w:tab w:val="left" w:pos="157"/>
              </w:tabs>
              <w:spacing w:before="8"/>
              <w:ind w:right="212" w:hanging="99"/>
              <w:rPr>
                <w:sz w:val="14"/>
              </w:rPr>
            </w:pPr>
            <w:r>
              <w:rPr>
                <w:color w:val="231F20"/>
                <w:sz w:val="14"/>
              </w:rPr>
              <w:t>разликује врсте уметности и</w:t>
            </w:r>
            <w:r>
              <w:rPr>
                <w:color w:val="231F20"/>
                <w:spacing w:val="-16"/>
                <w:sz w:val="14"/>
              </w:rPr>
              <w:t xml:space="preserve"> </w:t>
            </w:r>
            <w:r>
              <w:rPr>
                <w:color w:val="231F20"/>
                <w:sz w:val="14"/>
              </w:rPr>
              <w:t>њихова изражајна</w:t>
            </w:r>
            <w:r>
              <w:rPr>
                <w:color w:val="231F20"/>
                <w:spacing w:val="-2"/>
                <w:sz w:val="14"/>
              </w:rPr>
              <w:t xml:space="preserve"> </w:t>
            </w:r>
            <w:r>
              <w:rPr>
                <w:color w:val="231F20"/>
                <w:sz w:val="14"/>
              </w:rPr>
              <w:t>средства;</w:t>
            </w:r>
          </w:p>
          <w:p w:rsidR="00041039" w:rsidRDefault="001B26CB">
            <w:pPr>
              <w:pStyle w:val="TableParagraph"/>
              <w:tabs>
                <w:tab w:val="left" w:pos="157"/>
              </w:tabs>
              <w:spacing w:line="160" w:lineRule="exact"/>
              <w:ind w:right="98" w:hanging="99"/>
              <w:rPr>
                <w:sz w:val="14"/>
              </w:rPr>
            </w:pPr>
            <w:r>
              <w:rPr>
                <w:color w:val="231F20"/>
                <w:sz w:val="14"/>
              </w:rPr>
              <w:t>објасни појам и функцију књижев­ ности као уметности и однос књижев­ ности и других</w:t>
            </w:r>
            <w:r>
              <w:rPr>
                <w:color w:val="231F20"/>
                <w:spacing w:val="-1"/>
                <w:sz w:val="14"/>
              </w:rPr>
              <w:t xml:space="preserve"> </w:t>
            </w:r>
            <w:r>
              <w:rPr>
                <w:color w:val="231F20"/>
                <w:sz w:val="14"/>
              </w:rPr>
              <w:t>уметности;</w:t>
            </w:r>
          </w:p>
          <w:p w:rsidR="00041039" w:rsidRDefault="001B26CB">
            <w:pPr>
              <w:pStyle w:val="TableParagraph"/>
              <w:tabs>
                <w:tab w:val="left" w:pos="157"/>
              </w:tabs>
              <w:spacing w:line="160" w:lineRule="exact"/>
              <w:ind w:right="69" w:hanging="99"/>
              <w:rPr>
                <w:sz w:val="14"/>
              </w:rPr>
            </w:pPr>
            <w:r>
              <w:rPr>
                <w:color w:val="231F20"/>
                <w:sz w:val="14"/>
              </w:rPr>
              <w:t>наведе научне дисциплине које се</w:t>
            </w:r>
            <w:r>
              <w:rPr>
                <w:color w:val="231F20"/>
                <w:spacing w:val="-21"/>
                <w:sz w:val="14"/>
              </w:rPr>
              <w:t xml:space="preserve"> </w:t>
            </w:r>
            <w:r>
              <w:rPr>
                <w:color w:val="231F20"/>
                <w:sz w:val="14"/>
              </w:rPr>
              <w:t>баве проучавањем</w:t>
            </w:r>
            <w:r>
              <w:rPr>
                <w:color w:val="231F20"/>
                <w:spacing w:val="-1"/>
                <w:sz w:val="14"/>
              </w:rPr>
              <w:t xml:space="preserve"> </w:t>
            </w:r>
            <w:r>
              <w:rPr>
                <w:color w:val="231F20"/>
                <w:sz w:val="14"/>
              </w:rPr>
              <w:t>књижевности;</w:t>
            </w:r>
          </w:p>
          <w:p w:rsidR="00041039" w:rsidRDefault="001B26CB">
            <w:pPr>
              <w:pStyle w:val="TableParagraph"/>
              <w:tabs>
                <w:tab w:val="left" w:pos="157"/>
              </w:tabs>
              <w:spacing w:line="160" w:lineRule="exact"/>
              <w:ind w:right="288" w:hanging="99"/>
              <w:rPr>
                <w:sz w:val="14"/>
              </w:rPr>
            </w:pPr>
            <w:r>
              <w:rPr>
                <w:color w:val="231F20"/>
                <w:sz w:val="14"/>
              </w:rPr>
              <w:t>познаје књижевне родове и врсте</w:t>
            </w:r>
            <w:r>
              <w:rPr>
                <w:color w:val="231F20"/>
                <w:spacing w:val="-20"/>
                <w:sz w:val="14"/>
              </w:rPr>
              <w:t xml:space="preserve"> </w:t>
            </w:r>
            <w:r>
              <w:rPr>
                <w:color w:val="231F20"/>
                <w:sz w:val="14"/>
              </w:rPr>
              <w:t>и разликује њихове основне</w:t>
            </w:r>
            <w:r>
              <w:rPr>
                <w:color w:val="231F20"/>
                <w:spacing w:val="-11"/>
                <w:sz w:val="14"/>
              </w:rPr>
              <w:t xml:space="preserve"> </w:t>
            </w:r>
            <w:r>
              <w:rPr>
                <w:color w:val="231F20"/>
                <w:sz w:val="14"/>
              </w:rPr>
              <w:t>одлике;</w:t>
            </w:r>
          </w:p>
          <w:p w:rsidR="00041039" w:rsidRDefault="001B26CB">
            <w:pPr>
              <w:pStyle w:val="TableParagraph"/>
              <w:tabs>
                <w:tab w:val="left" w:pos="157"/>
              </w:tabs>
              <w:spacing w:line="160" w:lineRule="exact"/>
              <w:ind w:right="111" w:hanging="99"/>
              <w:rPr>
                <w:sz w:val="14"/>
              </w:rPr>
            </w:pPr>
            <w:r>
              <w:rPr>
                <w:color w:val="231F20"/>
                <w:sz w:val="14"/>
              </w:rPr>
              <w:t xml:space="preserve">одреди </w:t>
            </w:r>
            <w:r>
              <w:rPr>
                <w:color w:val="231F20"/>
                <w:spacing w:val="-3"/>
                <w:sz w:val="14"/>
              </w:rPr>
              <w:t xml:space="preserve">тему, </w:t>
            </w:r>
            <w:r>
              <w:rPr>
                <w:color w:val="231F20"/>
                <w:sz w:val="14"/>
              </w:rPr>
              <w:t xml:space="preserve">мотив, сиже, </w:t>
            </w:r>
            <w:r>
              <w:rPr>
                <w:color w:val="231F20"/>
                <w:spacing w:val="-5"/>
                <w:sz w:val="14"/>
              </w:rPr>
              <w:t xml:space="preserve">фабулу, </w:t>
            </w:r>
            <w:r>
              <w:rPr>
                <w:color w:val="231F20"/>
                <w:sz w:val="14"/>
              </w:rPr>
              <w:t>лик идеју у књижевном</w:t>
            </w:r>
            <w:r>
              <w:rPr>
                <w:color w:val="231F20"/>
                <w:spacing w:val="-3"/>
                <w:sz w:val="14"/>
              </w:rPr>
              <w:t xml:space="preserve"> </w:t>
            </w:r>
            <w:r>
              <w:rPr>
                <w:color w:val="231F20"/>
                <w:sz w:val="14"/>
              </w:rPr>
              <w:t>делу;</w:t>
            </w:r>
          </w:p>
          <w:p w:rsidR="00041039" w:rsidRDefault="001B26CB">
            <w:pPr>
              <w:pStyle w:val="TableParagraph"/>
              <w:tabs>
                <w:tab w:val="left" w:pos="157"/>
              </w:tabs>
              <w:spacing w:line="160" w:lineRule="exact"/>
              <w:ind w:right="73" w:hanging="99"/>
              <w:rPr>
                <w:sz w:val="14"/>
              </w:rPr>
            </w:pPr>
            <w:r>
              <w:rPr>
                <w:color w:val="231F20"/>
                <w:sz w:val="14"/>
              </w:rPr>
              <w:t xml:space="preserve">износи своје утиске и запажања књижевном </w:t>
            </w:r>
            <w:r>
              <w:rPr>
                <w:color w:val="231F20"/>
                <w:spacing w:val="-3"/>
                <w:sz w:val="14"/>
              </w:rPr>
              <w:t xml:space="preserve">делу. </w:t>
            </w:r>
            <w:r>
              <w:rPr>
                <w:color w:val="231F20"/>
                <w:sz w:val="14"/>
              </w:rPr>
              <w:t>тумачи његове</w:t>
            </w:r>
            <w:r>
              <w:rPr>
                <w:color w:val="231F20"/>
                <w:spacing w:val="-19"/>
                <w:sz w:val="14"/>
              </w:rPr>
              <w:t xml:space="preserve"> </w:t>
            </w:r>
            <w:r>
              <w:rPr>
                <w:color w:val="231F20"/>
                <w:sz w:val="14"/>
              </w:rPr>
              <w:t>битне чиниоце и вреднује</w:t>
            </w:r>
            <w:r>
              <w:rPr>
                <w:color w:val="231F20"/>
                <w:spacing w:val="-2"/>
                <w:sz w:val="14"/>
              </w:rPr>
              <w:t xml:space="preserve"> </w:t>
            </w:r>
            <w:r>
              <w:rPr>
                <w:color w:val="231F20"/>
                <w:sz w:val="14"/>
              </w:rPr>
              <w:t>га;</w:t>
            </w:r>
          </w:p>
        </w:tc>
        <w:tc>
          <w:tcPr>
            <w:tcW w:w="2834" w:type="dxa"/>
          </w:tcPr>
          <w:p w:rsidR="00041039" w:rsidRDefault="001B26CB">
            <w:pPr>
              <w:pStyle w:val="TableParagraph"/>
              <w:tabs>
                <w:tab w:val="left" w:pos="157"/>
              </w:tabs>
              <w:spacing w:before="8" w:line="166" w:lineRule="exact"/>
              <w:ind w:hanging="99"/>
              <w:rPr>
                <w:sz w:val="14"/>
              </w:rPr>
            </w:pPr>
            <w:r>
              <w:rPr>
                <w:color w:val="231F20"/>
                <w:sz w:val="14"/>
              </w:rPr>
              <w:t>Врсте уметности, подела</w:t>
            </w:r>
            <w:r>
              <w:rPr>
                <w:color w:val="231F20"/>
                <w:spacing w:val="-1"/>
                <w:sz w:val="14"/>
              </w:rPr>
              <w:t xml:space="preserve"> </w:t>
            </w:r>
            <w:r>
              <w:rPr>
                <w:color w:val="231F20"/>
                <w:sz w:val="14"/>
              </w:rPr>
              <w:t>уметности.</w:t>
            </w:r>
          </w:p>
          <w:p w:rsidR="00041039" w:rsidRDefault="001B26CB">
            <w:pPr>
              <w:pStyle w:val="TableParagraph"/>
              <w:tabs>
                <w:tab w:val="left" w:pos="157"/>
              </w:tabs>
              <w:spacing w:line="237" w:lineRule="auto"/>
              <w:ind w:right="171" w:hanging="99"/>
              <w:rPr>
                <w:sz w:val="14"/>
              </w:rPr>
            </w:pPr>
            <w:r>
              <w:rPr>
                <w:color w:val="231F20"/>
                <w:sz w:val="14"/>
              </w:rPr>
              <w:t>Књижевност као уметност, књижевнос</w:t>
            </w:r>
            <w:r>
              <w:rPr>
                <w:color w:val="231F20"/>
                <w:sz w:val="14"/>
              </w:rPr>
              <w:t>т</w:t>
            </w:r>
            <w:r>
              <w:rPr>
                <w:color w:val="231F20"/>
                <w:spacing w:val="-11"/>
                <w:sz w:val="14"/>
              </w:rPr>
              <w:t xml:space="preserve"> </w:t>
            </w:r>
            <w:r>
              <w:rPr>
                <w:color w:val="231F20"/>
                <w:sz w:val="14"/>
              </w:rPr>
              <w:t>и друге</w:t>
            </w:r>
            <w:r>
              <w:rPr>
                <w:color w:val="231F20"/>
                <w:spacing w:val="-1"/>
                <w:sz w:val="14"/>
              </w:rPr>
              <w:t xml:space="preserve"> </w:t>
            </w:r>
            <w:r>
              <w:rPr>
                <w:color w:val="231F20"/>
                <w:sz w:val="14"/>
              </w:rPr>
              <w:t>уметности.</w:t>
            </w:r>
          </w:p>
          <w:p w:rsidR="00041039" w:rsidRDefault="001B26CB">
            <w:pPr>
              <w:pStyle w:val="TableParagraph"/>
              <w:tabs>
                <w:tab w:val="left" w:pos="157"/>
              </w:tabs>
              <w:spacing w:line="160" w:lineRule="exact"/>
              <w:ind w:right="629" w:hanging="99"/>
              <w:rPr>
                <w:sz w:val="14"/>
              </w:rPr>
            </w:pPr>
            <w:r>
              <w:rPr>
                <w:color w:val="231F20"/>
                <w:sz w:val="14"/>
              </w:rPr>
              <w:t>Историја књижевности, теорија књижевности, књижевна</w:t>
            </w:r>
            <w:r>
              <w:rPr>
                <w:color w:val="231F20"/>
                <w:spacing w:val="-4"/>
                <w:sz w:val="14"/>
              </w:rPr>
              <w:t xml:space="preserve"> </w:t>
            </w:r>
            <w:r>
              <w:rPr>
                <w:color w:val="231F20"/>
                <w:sz w:val="14"/>
              </w:rPr>
              <w:t>критика.</w:t>
            </w:r>
          </w:p>
          <w:p w:rsidR="00041039" w:rsidRDefault="001B26CB">
            <w:pPr>
              <w:pStyle w:val="TableParagraph"/>
              <w:tabs>
                <w:tab w:val="left" w:pos="157"/>
              </w:tabs>
              <w:spacing w:line="160" w:lineRule="exact"/>
              <w:ind w:right="66" w:hanging="99"/>
              <w:rPr>
                <w:sz w:val="14"/>
              </w:rPr>
            </w:pPr>
            <w:r>
              <w:rPr>
                <w:color w:val="231F20"/>
                <w:sz w:val="14"/>
              </w:rPr>
              <w:t>Лирика као књижевни род: народна лирска песма и уметничка лирска песма по</w:t>
            </w:r>
            <w:r>
              <w:rPr>
                <w:color w:val="231F20"/>
                <w:spacing w:val="-12"/>
                <w:sz w:val="14"/>
              </w:rPr>
              <w:t xml:space="preserve"> </w:t>
            </w:r>
            <w:r>
              <w:rPr>
                <w:color w:val="231F20"/>
                <w:spacing w:val="-3"/>
                <w:sz w:val="14"/>
              </w:rPr>
              <w:t>избору.</w:t>
            </w:r>
          </w:p>
          <w:p w:rsidR="00041039" w:rsidRDefault="001B26CB">
            <w:pPr>
              <w:pStyle w:val="TableParagraph"/>
              <w:tabs>
                <w:tab w:val="left" w:pos="157"/>
              </w:tabs>
              <w:spacing w:line="160" w:lineRule="exact"/>
              <w:ind w:right="276" w:hanging="99"/>
              <w:rPr>
                <w:sz w:val="14"/>
              </w:rPr>
            </w:pPr>
            <w:r>
              <w:rPr>
                <w:color w:val="231F20"/>
                <w:sz w:val="14"/>
              </w:rPr>
              <w:t>Епика као књижевни род: епска народ­ на песма (предлог „Кнежева вечера”), приповетка по избору и роман (предлог Драгослав Михаиловић „Кад су</w:t>
            </w:r>
            <w:r>
              <w:rPr>
                <w:color w:val="231F20"/>
                <w:spacing w:val="-13"/>
                <w:sz w:val="14"/>
              </w:rPr>
              <w:t xml:space="preserve"> </w:t>
            </w:r>
            <w:r>
              <w:rPr>
                <w:color w:val="231F20"/>
                <w:sz w:val="14"/>
              </w:rPr>
              <w:t>цветале тикве”).</w:t>
            </w:r>
          </w:p>
          <w:p w:rsidR="00041039" w:rsidRDefault="001B26CB">
            <w:pPr>
              <w:pStyle w:val="TableParagraph"/>
              <w:tabs>
                <w:tab w:val="left" w:pos="157"/>
              </w:tabs>
              <w:spacing w:line="159" w:lineRule="exact"/>
              <w:ind w:hanging="99"/>
              <w:rPr>
                <w:sz w:val="14"/>
              </w:rPr>
            </w:pPr>
            <w:r>
              <w:rPr>
                <w:color w:val="231F20"/>
                <w:sz w:val="14"/>
              </w:rPr>
              <w:t>Драма као књижевни род: драма по</w:t>
            </w:r>
            <w:r>
              <w:rPr>
                <w:color w:val="231F20"/>
                <w:spacing w:val="-12"/>
                <w:sz w:val="14"/>
              </w:rPr>
              <w:t xml:space="preserve"> </w:t>
            </w:r>
            <w:r>
              <w:rPr>
                <w:color w:val="231F20"/>
                <w:spacing w:val="-3"/>
                <w:sz w:val="14"/>
              </w:rPr>
              <w:t>избору.</w:t>
            </w:r>
          </w:p>
        </w:tc>
        <w:tc>
          <w:tcPr>
            <w:tcW w:w="2267" w:type="dxa"/>
            <w:vMerge w:val="restart"/>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line="160" w:lineRule="exact"/>
              <w:ind w:left="157"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7" w:lineRule="auto"/>
              <w:ind w:left="157"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tabs>
                <w:tab w:val="left" w:pos="158"/>
              </w:tabs>
              <w:spacing w:line="160" w:lineRule="exact"/>
              <w:ind w:left="157" w:right="68" w:hanging="99"/>
              <w:rPr>
                <w:sz w:val="14"/>
              </w:rPr>
            </w:pPr>
            <w:r>
              <w:rPr>
                <w:color w:val="231F20"/>
                <w:sz w:val="14"/>
              </w:rPr>
              <w:t xml:space="preserve">Приликом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 цији. </w:t>
            </w:r>
            <w:r>
              <w:rPr>
                <w:color w:val="231F20"/>
                <w:spacing w:val="-2"/>
                <w:sz w:val="14"/>
              </w:rPr>
              <w:t xml:space="preserve">Такође </w:t>
            </w:r>
            <w:r>
              <w:rPr>
                <w:color w:val="231F20"/>
                <w:sz w:val="14"/>
              </w:rPr>
              <w:t xml:space="preserve">је ову наставну тему могуће обрађивати </w:t>
            </w:r>
            <w:r>
              <w:rPr>
                <w:color w:val="231F20"/>
                <w:spacing w:val="-3"/>
                <w:sz w:val="14"/>
              </w:rPr>
              <w:t xml:space="preserve">током </w:t>
            </w:r>
            <w:r>
              <w:rPr>
                <w:color w:val="231F20"/>
                <w:sz w:val="14"/>
              </w:rPr>
              <w:t xml:space="preserve">целе </w:t>
            </w:r>
            <w:r>
              <w:rPr>
                <w:color w:val="231F20"/>
                <w:spacing w:val="-3"/>
                <w:sz w:val="14"/>
              </w:rPr>
              <w:t xml:space="preserve">школске </w:t>
            </w:r>
            <w:r>
              <w:rPr>
                <w:color w:val="231F20"/>
                <w:sz w:val="14"/>
              </w:rPr>
              <w:t>године, п</w:t>
            </w:r>
            <w:r>
              <w:rPr>
                <w:color w:val="231F20"/>
                <w:sz w:val="14"/>
              </w:rPr>
              <w:t>а на пример структуру и одлике драмског</w:t>
            </w:r>
            <w:r>
              <w:rPr>
                <w:color w:val="231F20"/>
                <w:spacing w:val="-24"/>
                <w:sz w:val="14"/>
              </w:rPr>
              <w:t xml:space="preserve"> </w:t>
            </w:r>
            <w:r>
              <w:rPr>
                <w:color w:val="231F20"/>
                <w:sz w:val="14"/>
              </w:rPr>
              <w:t xml:space="preserve">дела обрадити на примеру „Ромеа и Јулије”, а структуру и одлике лирске и епске народне песме обрадити </w:t>
            </w:r>
            <w:r>
              <w:rPr>
                <w:color w:val="231F20"/>
                <w:spacing w:val="-3"/>
                <w:sz w:val="14"/>
              </w:rPr>
              <w:t xml:space="preserve">током </w:t>
            </w:r>
            <w:r>
              <w:rPr>
                <w:color w:val="231F20"/>
                <w:sz w:val="14"/>
              </w:rPr>
              <w:t>реализације теме Народна</w:t>
            </w:r>
            <w:r>
              <w:rPr>
                <w:color w:val="231F20"/>
                <w:spacing w:val="-1"/>
                <w:sz w:val="14"/>
              </w:rPr>
              <w:t xml:space="preserve"> </w:t>
            </w:r>
            <w:r>
              <w:rPr>
                <w:color w:val="231F20"/>
                <w:sz w:val="14"/>
              </w:rPr>
              <w:t>књижевност.</w:t>
            </w:r>
          </w:p>
          <w:p w:rsidR="00041039" w:rsidRDefault="001B26CB">
            <w:pPr>
              <w:pStyle w:val="TableParagraph"/>
              <w:tabs>
                <w:tab w:val="left" w:pos="158"/>
              </w:tabs>
              <w:spacing w:before="1" w:line="160" w:lineRule="exact"/>
              <w:ind w:left="157" w:right="307" w:hanging="99"/>
              <w:rPr>
                <w:sz w:val="14"/>
              </w:rPr>
            </w:pPr>
            <w:r>
              <w:rPr>
                <w:color w:val="231F20"/>
                <w:sz w:val="14"/>
              </w:rPr>
              <w:t>Народна књижевност се</w:t>
            </w:r>
            <w:r>
              <w:rPr>
                <w:color w:val="231F20"/>
                <w:spacing w:val="-11"/>
                <w:sz w:val="14"/>
              </w:rPr>
              <w:t xml:space="preserve"> </w:t>
            </w:r>
            <w:r>
              <w:rPr>
                <w:color w:val="231F20"/>
                <w:sz w:val="14"/>
              </w:rPr>
              <w:t>може обрадити по мотивима (рад у групама).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w:t>
            </w:r>
            <w:r>
              <w:rPr>
                <w:b/>
                <w:color w:val="231F20"/>
                <w:sz w:val="14"/>
              </w:rPr>
              <w:t>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4"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6"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237" w:lineRule="auto"/>
              <w:ind w:left="157" w:right="264" w:hanging="99"/>
              <w:rPr>
                <w:b/>
                <w:sz w:val="14"/>
              </w:rPr>
            </w:pPr>
            <w:r>
              <w:rPr>
                <w:color w:val="231F20"/>
                <w:spacing w:val="-6"/>
                <w:sz w:val="14"/>
              </w:rPr>
              <w:t xml:space="preserve">Увод </w:t>
            </w:r>
            <w:r>
              <w:rPr>
                <w:color w:val="231F20"/>
                <w:sz w:val="14"/>
              </w:rPr>
              <w:t xml:space="preserve">у проучавање књижевног дела </w:t>
            </w:r>
            <w:r>
              <w:rPr>
                <w:b/>
                <w:color w:val="231F20"/>
                <w:sz w:val="14"/>
              </w:rPr>
              <w:t>(15</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right="408" w:hanging="99"/>
              <w:rPr>
                <w:b/>
                <w:sz w:val="14"/>
              </w:rPr>
            </w:pPr>
            <w:r>
              <w:rPr>
                <w:color w:val="231F20"/>
                <w:sz w:val="14"/>
              </w:rPr>
              <w:t xml:space="preserve">Књижевност старог века </w:t>
            </w:r>
            <w:r>
              <w:rPr>
                <w:b/>
                <w:color w:val="231F20"/>
                <w:spacing w:val="-3"/>
                <w:sz w:val="14"/>
              </w:rPr>
              <w:t xml:space="preserve">(11 </w:t>
            </w:r>
            <w:r>
              <w:rPr>
                <w:b/>
                <w:color w:val="231F20"/>
                <w:sz w:val="14"/>
              </w:rPr>
              <w:t>часова)</w:t>
            </w:r>
          </w:p>
          <w:p w:rsidR="00041039" w:rsidRDefault="001B26CB">
            <w:pPr>
              <w:pStyle w:val="TableParagraph"/>
              <w:tabs>
                <w:tab w:val="left" w:pos="158"/>
              </w:tabs>
              <w:spacing w:line="160" w:lineRule="exact"/>
              <w:ind w:left="157" w:right="181" w:hanging="99"/>
              <w:rPr>
                <w:b/>
                <w:sz w:val="14"/>
              </w:rPr>
            </w:pPr>
            <w:r>
              <w:rPr>
                <w:color w:val="231F20"/>
                <w:sz w:val="14"/>
              </w:rPr>
              <w:t>Средњовековна књижевност</w:t>
            </w:r>
            <w:r>
              <w:rPr>
                <w:color w:val="231F20"/>
                <w:spacing w:val="-9"/>
                <w:sz w:val="14"/>
              </w:rPr>
              <w:t xml:space="preserve"> </w:t>
            </w:r>
            <w:r>
              <w:rPr>
                <w:b/>
                <w:color w:val="231F20"/>
                <w:spacing w:val="-3"/>
                <w:sz w:val="14"/>
              </w:rPr>
              <w:t xml:space="preserve">(11 </w:t>
            </w:r>
            <w:r>
              <w:rPr>
                <w:b/>
                <w:color w:val="231F20"/>
                <w:sz w:val="14"/>
              </w:rPr>
              <w:t>часова)</w:t>
            </w:r>
          </w:p>
        </w:tc>
      </w:tr>
      <w:tr w:rsidR="00041039">
        <w:trPr>
          <w:trHeight w:val="1800"/>
        </w:trPr>
        <w:tc>
          <w:tcPr>
            <w:tcW w:w="1304" w:type="dxa"/>
          </w:tcPr>
          <w:p w:rsidR="00041039" w:rsidRDefault="001B26CB">
            <w:pPr>
              <w:pStyle w:val="TableParagraph"/>
              <w:spacing w:before="20"/>
              <w:ind w:left="56" w:right="37"/>
              <w:rPr>
                <w:sz w:val="14"/>
              </w:rPr>
            </w:pPr>
            <w:r>
              <w:rPr>
                <w:color w:val="231F20"/>
                <w:sz w:val="14"/>
              </w:rPr>
              <w:t>Књижевност старог века</w:t>
            </w:r>
          </w:p>
        </w:tc>
        <w:tc>
          <w:tcPr>
            <w:tcW w:w="1587" w:type="dxa"/>
          </w:tcPr>
          <w:p w:rsidR="00041039" w:rsidRDefault="001B26CB">
            <w:pPr>
              <w:pStyle w:val="TableParagraph"/>
              <w:tabs>
                <w:tab w:val="left" w:pos="157"/>
              </w:tabs>
              <w:spacing w:before="9"/>
              <w:ind w:right="43" w:hanging="100"/>
              <w:rPr>
                <w:sz w:val="14"/>
              </w:rPr>
            </w:pPr>
            <w:r>
              <w:rPr>
                <w:color w:val="231F20"/>
                <w:sz w:val="14"/>
              </w:rPr>
              <w:t>Упознавање ученика са митологијом,</w:t>
            </w:r>
            <w:r>
              <w:rPr>
                <w:color w:val="231F20"/>
                <w:spacing w:val="-12"/>
                <w:sz w:val="14"/>
              </w:rPr>
              <w:t xml:space="preserve"> </w:t>
            </w:r>
            <w:r>
              <w:rPr>
                <w:color w:val="231F20"/>
                <w:sz w:val="14"/>
              </w:rPr>
              <w:t>репре­ зентативним делима старог века и њиховим значајем за развој европске</w:t>
            </w:r>
            <w:r>
              <w:rPr>
                <w:color w:val="231F20"/>
                <w:spacing w:val="-2"/>
                <w:sz w:val="14"/>
              </w:rPr>
              <w:t xml:space="preserve"> </w:t>
            </w:r>
            <w:r>
              <w:rPr>
                <w:color w:val="231F20"/>
                <w:sz w:val="14"/>
              </w:rPr>
              <w:t>културе.</w:t>
            </w:r>
          </w:p>
        </w:tc>
        <w:tc>
          <w:tcPr>
            <w:tcW w:w="2551" w:type="dxa"/>
          </w:tcPr>
          <w:p w:rsidR="00041039" w:rsidRDefault="001B26CB">
            <w:pPr>
              <w:pStyle w:val="TableParagraph"/>
              <w:tabs>
                <w:tab w:val="left" w:pos="157"/>
              </w:tabs>
              <w:spacing w:before="10"/>
              <w:ind w:right="168" w:hanging="99"/>
              <w:rPr>
                <w:sz w:val="14"/>
              </w:rPr>
            </w:pPr>
            <w:r>
              <w:rPr>
                <w:color w:val="231F20"/>
                <w:sz w:val="14"/>
              </w:rPr>
              <w:t>објасни значај митологије за</w:t>
            </w:r>
            <w:r>
              <w:rPr>
                <w:color w:val="231F20"/>
                <w:spacing w:val="-21"/>
                <w:sz w:val="14"/>
              </w:rPr>
              <w:t xml:space="preserve"> </w:t>
            </w:r>
            <w:r>
              <w:rPr>
                <w:color w:val="231F20"/>
                <w:sz w:val="14"/>
              </w:rPr>
              <w:t>античку књижевност и развој европске културе;</w:t>
            </w:r>
          </w:p>
          <w:p w:rsidR="00041039" w:rsidRDefault="001B26CB">
            <w:pPr>
              <w:pStyle w:val="TableParagraph"/>
              <w:tabs>
                <w:tab w:val="left" w:pos="157"/>
              </w:tabs>
              <w:spacing w:line="157" w:lineRule="exact"/>
              <w:ind w:hanging="99"/>
              <w:rPr>
                <w:sz w:val="14"/>
              </w:rPr>
            </w:pPr>
            <w:r>
              <w:rPr>
                <w:color w:val="231F20"/>
                <w:sz w:val="14"/>
              </w:rPr>
              <w:t>наведе имена аутора, називе</w:t>
            </w:r>
            <w:r>
              <w:rPr>
                <w:color w:val="231F20"/>
                <w:spacing w:val="-18"/>
                <w:sz w:val="14"/>
              </w:rPr>
              <w:t xml:space="preserve"> </w:t>
            </w:r>
            <w:r>
              <w:rPr>
                <w:color w:val="231F20"/>
                <w:sz w:val="14"/>
              </w:rPr>
              <w:t>обрађених</w:t>
            </w:r>
          </w:p>
          <w:p w:rsidR="00041039" w:rsidRDefault="001B26CB">
            <w:pPr>
              <w:pStyle w:val="TableParagraph"/>
              <w:rPr>
                <w:sz w:val="14"/>
              </w:rPr>
            </w:pPr>
            <w:r>
              <w:rPr>
                <w:color w:val="231F20"/>
                <w:sz w:val="14"/>
              </w:rPr>
              <w:t>дела и класификује их по културама којима припадају, књижевним родови­ ма и врстама;</w:t>
            </w:r>
          </w:p>
          <w:p w:rsidR="00041039" w:rsidRDefault="001B26CB">
            <w:pPr>
              <w:pStyle w:val="TableParagraph"/>
              <w:tabs>
                <w:tab w:val="left" w:pos="157"/>
              </w:tabs>
              <w:spacing w:line="158" w:lineRule="exact"/>
              <w:ind w:hanging="99"/>
              <w:rPr>
                <w:sz w:val="14"/>
              </w:rPr>
            </w:pPr>
            <w:r>
              <w:rPr>
                <w:color w:val="231F20"/>
                <w:sz w:val="14"/>
              </w:rPr>
              <w:t>тумачи и вреднује уметничке</w:t>
            </w:r>
            <w:r>
              <w:rPr>
                <w:color w:val="231F20"/>
                <w:spacing w:val="-13"/>
                <w:sz w:val="14"/>
              </w:rPr>
              <w:t xml:space="preserve"> </w:t>
            </w:r>
            <w:r>
              <w:rPr>
                <w:color w:val="231F20"/>
                <w:sz w:val="14"/>
              </w:rPr>
              <w:t>чиниоце</w:t>
            </w:r>
          </w:p>
          <w:p w:rsidR="00041039" w:rsidRDefault="001B26CB">
            <w:pPr>
              <w:pStyle w:val="TableParagraph"/>
              <w:spacing w:line="155" w:lineRule="exact"/>
              <w:rPr>
                <w:sz w:val="14"/>
              </w:rPr>
            </w:pPr>
            <w:r>
              <w:rPr>
                <w:color w:val="231F20"/>
                <w:sz w:val="14"/>
              </w:rPr>
              <w:t>у обрађеним делима;</w:t>
            </w:r>
          </w:p>
          <w:p w:rsidR="00041039" w:rsidRDefault="001B26CB">
            <w:pPr>
              <w:pStyle w:val="TableParagraph"/>
              <w:tabs>
                <w:tab w:val="left" w:pos="157"/>
              </w:tabs>
              <w:spacing w:before="6" w:line="160" w:lineRule="exact"/>
              <w:ind w:right="154" w:hanging="99"/>
              <w:rPr>
                <w:sz w:val="14"/>
              </w:rPr>
            </w:pPr>
            <w:r>
              <w:rPr>
                <w:color w:val="231F20"/>
                <w:sz w:val="14"/>
              </w:rPr>
              <w:t>објасни универзалне поруке</w:t>
            </w:r>
            <w:r>
              <w:rPr>
                <w:color w:val="231F20"/>
                <w:spacing w:val="-12"/>
                <w:sz w:val="14"/>
              </w:rPr>
              <w:t xml:space="preserve"> </w:t>
            </w:r>
            <w:r>
              <w:rPr>
                <w:color w:val="231F20"/>
                <w:sz w:val="14"/>
              </w:rPr>
              <w:t>књижев­ ности старог</w:t>
            </w:r>
            <w:r>
              <w:rPr>
                <w:color w:val="231F20"/>
                <w:spacing w:val="-1"/>
                <w:sz w:val="14"/>
              </w:rPr>
              <w:t xml:space="preserve"> </w:t>
            </w:r>
            <w:r>
              <w:rPr>
                <w:color w:val="231F20"/>
                <w:sz w:val="14"/>
              </w:rPr>
              <w:t>века;</w:t>
            </w:r>
          </w:p>
        </w:tc>
        <w:tc>
          <w:tcPr>
            <w:tcW w:w="2834" w:type="dxa"/>
          </w:tcPr>
          <w:p w:rsidR="00041039" w:rsidRDefault="001B26CB">
            <w:pPr>
              <w:pStyle w:val="TableParagraph"/>
              <w:tabs>
                <w:tab w:val="left" w:pos="158"/>
              </w:tabs>
              <w:spacing w:before="10"/>
              <w:ind w:left="157" w:right="260" w:hanging="100"/>
              <w:rPr>
                <w:sz w:val="14"/>
              </w:rPr>
            </w:pPr>
            <w:r>
              <w:rPr>
                <w:color w:val="231F20"/>
                <w:sz w:val="14"/>
              </w:rPr>
              <w:t>Сумерско­вавилонска књижевност: Еп</w:t>
            </w:r>
            <w:r>
              <w:rPr>
                <w:color w:val="231F20"/>
                <w:spacing w:val="-18"/>
                <w:sz w:val="14"/>
              </w:rPr>
              <w:t xml:space="preserve"> </w:t>
            </w:r>
            <w:r>
              <w:rPr>
                <w:color w:val="231F20"/>
                <w:sz w:val="14"/>
              </w:rPr>
              <w:t>о Гилгамешу (анализа</w:t>
            </w:r>
            <w:r>
              <w:rPr>
                <w:color w:val="231F20"/>
                <w:spacing w:val="-5"/>
                <w:sz w:val="14"/>
              </w:rPr>
              <w:t xml:space="preserve"> </w:t>
            </w:r>
            <w:r>
              <w:rPr>
                <w:color w:val="231F20"/>
                <w:sz w:val="14"/>
              </w:rPr>
              <w:t>одломка).</w:t>
            </w:r>
          </w:p>
          <w:p w:rsidR="00041039" w:rsidRDefault="001B26CB">
            <w:pPr>
              <w:pStyle w:val="TableParagraph"/>
              <w:tabs>
                <w:tab w:val="left" w:pos="158"/>
              </w:tabs>
              <w:spacing w:line="160" w:lineRule="exact"/>
              <w:ind w:left="157" w:right="358" w:hanging="100"/>
              <w:rPr>
                <w:sz w:val="14"/>
              </w:rPr>
            </w:pPr>
            <w:r>
              <w:rPr>
                <w:color w:val="231F20"/>
                <w:sz w:val="14"/>
              </w:rPr>
              <w:t xml:space="preserve">Митови: о </w:t>
            </w:r>
            <w:r>
              <w:rPr>
                <w:color w:val="231F20"/>
                <w:spacing w:val="-3"/>
                <w:sz w:val="14"/>
              </w:rPr>
              <w:t xml:space="preserve">Танталу, Сизифу, Нарцису, </w:t>
            </w:r>
            <w:r>
              <w:rPr>
                <w:color w:val="231F20"/>
                <w:sz w:val="14"/>
              </w:rPr>
              <w:t xml:space="preserve">митови о Троји: Парисов </w:t>
            </w:r>
            <w:r>
              <w:rPr>
                <w:color w:val="231F20"/>
                <w:spacing w:val="-3"/>
                <w:sz w:val="14"/>
              </w:rPr>
              <w:t xml:space="preserve">суд, </w:t>
            </w:r>
            <w:r>
              <w:rPr>
                <w:color w:val="231F20"/>
                <w:sz w:val="14"/>
              </w:rPr>
              <w:t>Одисеј</w:t>
            </w:r>
            <w:r>
              <w:rPr>
                <w:color w:val="231F20"/>
                <w:spacing w:val="-12"/>
                <w:sz w:val="14"/>
              </w:rPr>
              <w:t xml:space="preserve"> </w:t>
            </w:r>
            <w:r>
              <w:rPr>
                <w:color w:val="231F20"/>
                <w:sz w:val="14"/>
              </w:rPr>
              <w:t>и Пенелопа, Ахил,</w:t>
            </w:r>
            <w:r>
              <w:rPr>
                <w:color w:val="231F20"/>
                <w:spacing w:val="-3"/>
                <w:sz w:val="14"/>
              </w:rPr>
              <w:t xml:space="preserve"> </w:t>
            </w:r>
            <w:r>
              <w:rPr>
                <w:color w:val="231F20"/>
                <w:sz w:val="14"/>
              </w:rPr>
              <w:t>Едип...</w:t>
            </w:r>
          </w:p>
          <w:p w:rsidR="00041039" w:rsidRDefault="001B26CB">
            <w:pPr>
              <w:pStyle w:val="TableParagraph"/>
              <w:tabs>
                <w:tab w:val="left" w:pos="158"/>
              </w:tabs>
              <w:spacing w:line="160" w:lineRule="exact"/>
              <w:ind w:left="157" w:right="321" w:hanging="100"/>
              <w:rPr>
                <w:sz w:val="14"/>
              </w:rPr>
            </w:pPr>
            <w:r>
              <w:rPr>
                <w:color w:val="231F20"/>
                <w:sz w:val="14"/>
              </w:rPr>
              <w:t>Хеленска књижевност: Хомер:</w:t>
            </w:r>
            <w:r>
              <w:rPr>
                <w:color w:val="231F20"/>
                <w:spacing w:val="-23"/>
                <w:sz w:val="14"/>
              </w:rPr>
              <w:t xml:space="preserve"> </w:t>
            </w:r>
            <w:r>
              <w:rPr>
                <w:color w:val="231F20"/>
                <w:sz w:val="14"/>
              </w:rPr>
              <w:t>Илијада (одломак).</w:t>
            </w:r>
          </w:p>
          <w:p w:rsidR="00041039" w:rsidRDefault="001B26CB">
            <w:pPr>
              <w:pStyle w:val="TableParagraph"/>
              <w:tabs>
                <w:tab w:val="left" w:pos="158"/>
              </w:tabs>
              <w:spacing w:line="153" w:lineRule="exact"/>
              <w:ind w:left="157" w:hanging="100"/>
              <w:rPr>
                <w:sz w:val="14"/>
              </w:rPr>
            </w:pPr>
            <w:r>
              <w:rPr>
                <w:color w:val="231F20"/>
                <w:sz w:val="14"/>
              </w:rPr>
              <w:t>Софокле:</w:t>
            </w:r>
            <w:r>
              <w:rPr>
                <w:color w:val="231F20"/>
                <w:spacing w:val="-1"/>
                <w:sz w:val="14"/>
              </w:rPr>
              <w:t xml:space="preserve"> </w:t>
            </w:r>
            <w:r>
              <w:rPr>
                <w:color w:val="231F20"/>
                <w:sz w:val="14"/>
              </w:rPr>
              <w:t>Антигона.</w:t>
            </w:r>
          </w:p>
          <w:p w:rsidR="00041039" w:rsidRDefault="001B26CB">
            <w:pPr>
              <w:pStyle w:val="TableParagraph"/>
              <w:tabs>
                <w:tab w:val="left" w:pos="158"/>
              </w:tabs>
              <w:spacing w:line="166" w:lineRule="exact"/>
              <w:ind w:left="157" w:hanging="100"/>
              <w:rPr>
                <w:sz w:val="14"/>
              </w:rPr>
            </w:pPr>
            <w:r>
              <w:rPr>
                <w:color w:val="231F20"/>
                <w:sz w:val="14"/>
              </w:rPr>
              <w:t>Стари и Нови завет (текстови по</w:t>
            </w:r>
            <w:r>
              <w:rPr>
                <w:color w:val="231F20"/>
                <w:spacing w:val="-13"/>
                <w:sz w:val="14"/>
              </w:rPr>
              <w:t xml:space="preserve"> </w:t>
            </w:r>
            <w:r>
              <w:rPr>
                <w:color w:val="231F20"/>
                <w:sz w:val="14"/>
              </w:rPr>
              <w:t>избору).</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7" w:right="37"/>
              <w:rPr>
                <w:sz w:val="14"/>
              </w:rPr>
            </w:pPr>
            <w:r>
              <w:rPr>
                <w:color w:val="231F20"/>
                <w:sz w:val="14"/>
              </w:rPr>
              <w:t>Средњовековна књижевност</w:t>
            </w:r>
          </w:p>
        </w:tc>
        <w:tc>
          <w:tcPr>
            <w:tcW w:w="1587" w:type="dxa"/>
          </w:tcPr>
          <w:p w:rsidR="00041039" w:rsidRDefault="001B26CB">
            <w:pPr>
              <w:pStyle w:val="TableParagraph"/>
              <w:tabs>
                <w:tab w:val="left" w:pos="157"/>
              </w:tabs>
              <w:spacing w:before="10"/>
              <w:ind w:right="52" w:hanging="99"/>
              <w:rPr>
                <w:sz w:val="14"/>
              </w:rPr>
            </w:pPr>
            <w:r>
              <w:rPr>
                <w:color w:val="231F20"/>
                <w:sz w:val="14"/>
              </w:rPr>
              <w:t>Упознавање са споме­ ницима јужнословен­ ске културе, развојем писма и језика,</w:t>
            </w:r>
            <w:r>
              <w:rPr>
                <w:color w:val="231F20"/>
                <w:spacing w:val="-10"/>
                <w:sz w:val="14"/>
              </w:rPr>
              <w:t xml:space="preserve"> </w:t>
            </w:r>
            <w:r>
              <w:rPr>
                <w:color w:val="231F20"/>
                <w:sz w:val="14"/>
              </w:rPr>
              <w:t>делима средњовековне књи­ жевности</w:t>
            </w:r>
          </w:p>
        </w:tc>
        <w:tc>
          <w:tcPr>
            <w:tcW w:w="2551" w:type="dxa"/>
          </w:tcPr>
          <w:p w:rsidR="00041039" w:rsidRDefault="001B26CB">
            <w:pPr>
              <w:pStyle w:val="TableParagraph"/>
              <w:tabs>
                <w:tab w:val="left" w:pos="157"/>
              </w:tabs>
              <w:spacing w:before="10"/>
              <w:ind w:right="128" w:hanging="99"/>
              <w:rPr>
                <w:sz w:val="14"/>
              </w:rPr>
            </w:pPr>
            <w:r>
              <w:rPr>
                <w:color w:val="231F20"/>
                <w:sz w:val="14"/>
              </w:rPr>
              <w:t>наведе најзначајније споменике јужнословенске културе, језик,</w:t>
            </w:r>
            <w:r>
              <w:rPr>
                <w:color w:val="231F20"/>
                <w:spacing w:val="-22"/>
                <w:sz w:val="14"/>
              </w:rPr>
              <w:t xml:space="preserve"> </w:t>
            </w:r>
            <w:r>
              <w:rPr>
                <w:color w:val="231F20"/>
                <w:sz w:val="14"/>
              </w:rPr>
              <w:t xml:space="preserve">писмо и век у </w:t>
            </w:r>
            <w:r>
              <w:rPr>
                <w:color w:val="231F20"/>
                <w:spacing w:val="-4"/>
                <w:sz w:val="14"/>
              </w:rPr>
              <w:t xml:space="preserve">ком </w:t>
            </w:r>
            <w:r>
              <w:rPr>
                <w:color w:val="231F20"/>
                <w:sz w:val="14"/>
              </w:rPr>
              <w:t>су</w:t>
            </w:r>
            <w:r>
              <w:rPr>
                <w:color w:val="231F20"/>
                <w:spacing w:val="1"/>
                <w:sz w:val="14"/>
              </w:rPr>
              <w:t xml:space="preserve"> </w:t>
            </w:r>
            <w:r>
              <w:rPr>
                <w:color w:val="231F20"/>
                <w:sz w:val="14"/>
              </w:rPr>
              <w:t>настали;</w:t>
            </w:r>
          </w:p>
          <w:p w:rsidR="00041039" w:rsidRDefault="001B26CB">
            <w:pPr>
              <w:pStyle w:val="TableParagraph"/>
              <w:tabs>
                <w:tab w:val="left" w:pos="157"/>
              </w:tabs>
              <w:spacing w:line="152" w:lineRule="exact"/>
              <w:ind w:hanging="99"/>
              <w:rPr>
                <w:sz w:val="14"/>
              </w:rPr>
            </w:pPr>
            <w:r>
              <w:rPr>
                <w:color w:val="231F20"/>
                <w:sz w:val="14"/>
              </w:rPr>
              <w:t>именује ауторе и</w:t>
            </w:r>
            <w:r>
              <w:rPr>
                <w:color w:val="231F20"/>
                <w:spacing w:val="-4"/>
                <w:sz w:val="14"/>
              </w:rPr>
              <w:t xml:space="preserve"> </w:t>
            </w:r>
            <w:r>
              <w:rPr>
                <w:color w:val="231F20"/>
                <w:sz w:val="14"/>
              </w:rPr>
              <w:t>дела;</w:t>
            </w:r>
          </w:p>
          <w:p w:rsidR="00041039" w:rsidRDefault="001B26CB">
            <w:pPr>
              <w:pStyle w:val="TableParagraph"/>
              <w:tabs>
                <w:tab w:val="left" w:pos="157"/>
              </w:tabs>
              <w:spacing w:line="237" w:lineRule="auto"/>
              <w:ind w:right="597" w:hanging="99"/>
              <w:rPr>
                <w:sz w:val="14"/>
              </w:rPr>
            </w:pPr>
            <w:r>
              <w:rPr>
                <w:color w:val="231F20"/>
                <w:sz w:val="14"/>
              </w:rPr>
              <w:t>разуме поетику жанрова средњовековне</w:t>
            </w:r>
            <w:r>
              <w:rPr>
                <w:color w:val="231F20"/>
                <w:spacing w:val="-9"/>
                <w:sz w:val="14"/>
              </w:rPr>
              <w:t xml:space="preserve"> </w:t>
            </w:r>
            <w:r>
              <w:rPr>
                <w:color w:val="231F20"/>
                <w:sz w:val="14"/>
              </w:rPr>
              <w:t>књижевности;</w:t>
            </w:r>
          </w:p>
          <w:p w:rsidR="00041039" w:rsidRDefault="001B26CB">
            <w:pPr>
              <w:pStyle w:val="TableParagraph"/>
              <w:tabs>
                <w:tab w:val="left" w:pos="157"/>
              </w:tabs>
              <w:spacing w:line="160" w:lineRule="exact"/>
              <w:ind w:right="48" w:hanging="99"/>
              <w:rPr>
                <w:sz w:val="14"/>
              </w:rPr>
            </w:pPr>
            <w:r>
              <w:rPr>
                <w:color w:val="231F20"/>
                <w:sz w:val="14"/>
              </w:rPr>
              <w:t>лоцира обрађене текстове у</w:t>
            </w:r>
            <w:r>
              <w:rPr>
                <w:color w:val="231F20"/>
                <w:spacing w:val="-16"/>
                <w:sz w:val="14"/>
              </w:rPr>
              <w:t xml:space="preserve"> </w:t>
            </w:r>
            <w:r>
              <w:rPr>
                <w:color w:val="231F20"/>
                <w:sz w:val="14"/>
              </w:rPr>
              <w:t>историјски контекст;</w:t>
            </w:r>
          </w:p>
          <w:p w:rsidR="00041039" w:rsidRDefault="001B26CB">
            <w:pPr>
              <w:pStyle w:val="TableParagraph"/>
              <w:tabs>
                <w:tab w:val="left" w:pos="157"/>
              </w:tabs>
              <w:spacing w:line="160" w:lineRule="exact"/>
              <w:ind w:right="435" w:hanging="99"/>
              <w:rPr>
                <w:sz w:val="14"/>
              </w:rPr>
            </w:pPr>
            <w:r>
              <w:rPr>
                <w:color w:val="231F20"/>
                <w:sz w:val="14"/>
              </w:rPr>
              <w:t>објасни значај средњовековне књижевности за српску</w:t>
            </w:r>
            <w:r>
              <w:rPr>
                <w:color w:val="231F20"/>
                <w:spacing w:val="-19"/>
                <w:sz w:val="14"/>
              </w:rPr>
              <w:t xml:space="preserve"> </w:t>
            </w:r>
            <w:r>
              <w:rPr>
                <w:color w:val="231F20"/>
                <w:sz w:val="14"/>
              </w:rPr>
              <w:t>културу;</w:t>
            </w:r>
          </w:p>
          <w:p w:rsidR="00041039" w:rsidRDefault="001B26CB">
            <w:pPr>
              <w:pStyle w:val="TableParagraph"/>
              <w:tabs>
                <w:tab w:val="left" w:pos="157"/>
              </w:tabs>
              <w:spacing w:line="160" w:lineRule="exact"/>
              <w:ind w:right="91" w:hanging="99"/>
              <w:rPr>
                <w:sz w:val="14"/>
              </w:rPr>
            </w:pPr>
            <w:r>
              <w:rPr>
                <w:color w:val="231F20"/>
                <w:sz w:val="14"/>
              </w:rPr>
              <w:t xml:space="preserve">анализира изабране текстове уз прет­ </w:t>
            </w:r>
            <w:r>
              <w:rPr>
                <w:color w:val="231F20"/>
                <w:spacing w:val="-3"/>
                <w:sz w:val="14"/>
              </w:rPr>
              <w:t xml:space="preserve">ходно </w:t>
            </w:r>
            <w:r>
              <w:rPr>
                <w:color w:val="231F20"/>
                <w:sz w:val="14"/>
              </w:rPr>
              <w:t>припремање путем истраживач­ ких</w:t>
            </w:r>
            <w:r>
              <w:rPr>
                <w:color w:val="231F20"/>
                <w:spacing w:val="-1"/>
                <w:sz w:val="14"/>
              </w:rPr>
              <w:t xml:space="preserve"> </w:t>
            </w:r>
            <w:r>
              <w:rPr>
                <w:color w:val="231F20"/>
                <w:sz w:val="14"/>
              </w:rPr>
              <w:t>задатака;</w:t>
            </w:r>
          </w:p>
        </w:tc>
        <w:tc>
          <w:tcPr>
            <w:tcW w:w="2834" w:type="dxa"/>
          </w:tcPr>
          <w:p w:rsidR="00041039" w:rsidRDefault="001B26CB">
            <w:pPr>
              <w:pStyle w:val="TableParagraph"/>
              <w:tabs>
                <w:tab w:val="left" w:pos="158"/>
              </w:tabs>
              <w:spacing w:before="10"/>
              <w:ind w:left="157" w:right="115" w:hanging="100"/>
              <w:rPr>
                <w:sz w:val="14"/>
              </w:rPr>
            </w:pPr>
            <w:r>
              <w:rPr>
                <w:color w:val="231F20"/>
                <w:sz w:val="14"/>
              </w:rPr>
              <w:t>Почеци слове</w:t>
            </w:r>
            <w:r>
              <w:rPr>
                <w:color w:val="231F20"/>
                <w:sz w:val="14"/>
              </w:rPr>
              <w:t>нске писмености:</w:t>
            </w:r>
            <w:r>
              <w:rPr>
                <w:color w:val="231F20"/>
                <w:spacing w:val="-19"/>
                <w:sz w:val="14"/>
              </w:rPr>
              <w:t xml:space="preserve"> </w:t>
            </w:r>
            <w:r>
              <w:rPr>
                <w:color w:val="231F20"/>
                <w:sz w:val="14"/>
              </w:rPr>
              <w:t>Црноризац Храбар: „Слово о</w:t>
            </w:r>
            <w:r>
              <w:rPr>
                <w:color w:val="231F20"/>
                <w:spacing w:val="-3"/>
                <w:sz w:val="14"/>
              </w:rPr>
              <w:t xml:space="preserve"> </w:t>
            </w:r>
            <w:r>
              <w:rPr>
                <w:color w:val="231F20"/>
                <w:sz w:val="14"/>
              </w:rPr>
              <w:t>писменима”.</w:t>
            </w:r>
          </w:p>
          <w:p w:rsidR="00041039" w:rsidRDefault="001B26CB">
            <w:pPr>
              <w:pStyle w:val="TableParagraph"/>
              <w:tabs>
                <w:tab w:val="left" w:pos="158"/>
              </w:tabs>
              <w:spacing w:line="153" w:lineRule="exact"/>
              <w:ind w:left="157" w:hanging="100"/>
              <w:rPr>
                <w:sz w:val="14"/>
              </w:rPr>
            </w:pPr>
            <w:r>
              <w:rPr>
                <w:color w:val="231F20"/>
                <w:sz w:val="14"/>
              </w:rPr>
              <w:t>Рад Ћирила и</w:t>
            </w:r>
            <w:r>
              <w:rPr>
                <w:color w:val="231F20"/>
                <w:spacing w:val="-5"/>
                <w:sz w:val="14"/>
              </w:rPr>
              <w:t xml:space="preserve"> </w:t>
            </w:r>
            <w:r>
              <w:rPr>
                <w:color w:val="231F20"/>
                <w:sz w:val="14"/>
              </w:rPr>
              <w:t>Методија.</w:t>
            </w:r>
          </w:p>
          <w:p w:rsidR="00041039" w:rsidRDefault="001B26CB">
            <w:pPr>
              <w:pStyle w:val="TableParagraph"/>
              <w:tabs>
                <w:tab w:val="left" w:pos="158"/>
              </w:tabs>
              <w:spacing w:line="237" w:lineRule="auto"/>
              <w:ind w:left="157" w:right="430" w:hanging="100"/>
              <w:rPr>
                <w:sz w:val="14"/>
              </w:rPr>
            </w:pPr>
            <w:r>
              <w:rPr>
                <w:color w:val="231F20"/>
                <w:sz w:val="14"/>
              </w:rPr>
              <w:t>Словенска писма и развој</w:t>
            </w:r>
            <w:r>
              <w:rPr>
                <w:color w:val="231F20"/>
                <w:spacing w:val="-12"/>
                <w:sz w:val="14"/>
              </w:rPr>
              <w:t xml:space="preserve"> </w:t>
            </w:r>
            <w:r>
              <w:rPr>
                <w:color w:val="231F20"/>
                <w:sz w:val="14"/>
              </w:rPr>
              <w:t>књижевног језика.</w:t>
            </w:r>
          </w:p>
          <w:p w:rsidR="00041039" w:rsidRDefault="001B26CB">
            <w:pPr>
              <w:pStyle w:val="TableParagraph"/>
              <w:tabs>
                <w:tab w:val="left" w:pos="158"/>
              </w:tabs>
              <w:spacing w:line="160" w:lineRule="exact"/>
              <w:ind w:left="157" w:right="345" w:hanging="100"/>
              <w:rPr>
                <w:sz w:val="14"/>
              </w:rPr>
            </w:pPr>
            <w:r>
              <w:rPr>
                <w:color w:val="231F20"/>
                <w:sz w:val="14"/>
              </w:rPr>
              <w:t>Најстарији споменици</w:t>
            </w:r>
            <w:r>
              <w:rPr>
                <w:color w:val="231F20"/>
                <w:spacing w:val="-9"/>
                <w:sz w:val="14"/>
              </w:rPr>
              <w:t xml:space="preserve"> </w:t>
            </w:r>
            <w:r>
              <w:rPr>
                <w:color w:val="231F20"/>
                <w:sz w:val="14"/>
              </w:rPr>
              <w:t>јужнословенске културе.</w:t>
            </w:r>
          </w:p>
          <w:p w:rsidR="00041039" w:rsidRDefault="001B26CB">
            <w:pPr>
              <w:pStyle w:val="TableParagraph"/>
              <w:tabs>
                <w:tab w:val="left" w:pos="158"/>
              </w:tabs>
              <w:spacing w:line="160" w:lineRule="exact"/>
              <w:ind w:left="157" w:right="351" w:hanging="100"/>
              <w:rPr>
                <w:sz w:val="14"/>
              </w:rPr>
            </w:pPr>
            <w:r>
              <w:rPr>
                <w:color w:val="231F20"/>
                <w:sz w:val="14"/>
              </w:rPr>
              <w:t>Свети Сава: „Житије Светог</w:t>
            </w:r>
            <w:r>
              <w:rPr>
                <w:color w:val="231F20"/>
                <w:spacing w:val="-6"/>
                <w:sz w:val="14"/>
              </w:rPr>
              <w:t xml:space="preserve"> </w:t>
            </w:r>
            <w:r>
              <w:rPr>
                <w:color w:val="231F20"/>
                <w:sz w:val="14"/>
              </w:rPr>
              <w:t>Симеона” (одломак).</w:t>
            </w:r>
          </w:p>
          <w:p w:rsidR="00041039" w:rsidRDefault="001B26CB">
            <w:pPr>
              <w:pStyle w:val="TableParagraph"/>
              <w:tabs>
                <w:tab w:val="left" w:pos="158"/>
              </w:tabs>
              <w:spacing w:line="153" w:lineRule="exact"/>
              <w:ind w:left="157" w:hanging="100"/>
              <w:rPr>
                <w:sz w:val="14"/>
              </w:rPr>
            </w:pPr>
            <w:r>
              <w:rPr>
                <w:color w:val="231F20"/>
                <w:sz w:val="14"/>
              </w:rPr>
              <w:t>Јефимија: „Похвала кнезу</w:t>
            </w:r>
            <w:r>
              <w:rPr>
                <w:color w:val="231F20"/>
                <w:spacing w:val="-4"/>
                <w:sz w:val="14"/>
              </w:rPr>
              <w:t xml:space="preserve"> </w:t>
            </w:r>
            <w:r>
              <w:rPr>
                <w:color w:val="231F20"/>
                <w:sz w:val="14"/>
              </w:rPr>
              <w:t>Лазару”.</w:t>
            </w:r>
          </w:p>
          <w:p w:rsidR="00041039" w:rsidRDefault="001B26CB">
            <w:pPr>
              <w:pStyle w:val="TableParagraph"/>
              <w:tabs>
                <w:tab w:val="left" w:pos="158"/>
              </w:tabs>
              <w:spacing w:line="166" w:lineRule="exact"/>
              <w:ind w:left="157" w:hanging="100"/>
              <w:rPr>
                <w:sz w:val="14"/>
              </w:rPr>
            </w:pPr>
            <w:r>
              <w:rPr>
                <w:color w:val="231F20"/>
                <w:sz w:val="14"/>
              </w:rPr>
              <w:t>Деспот Стефан Лазаревић: „Слово</w:t>
            </w:r>
            <w:r>
              <w:rPr>
                <w:color w:val="231F20"/>
                <w:spacing w:val="-9"/>
                <w:sz w:val="14"/>
              </w:rPr>
              <w:t xml:space="preserve"> </w:t>
            </w:r>
            <w:r>
              <w:rPr>
                <w:color w:val="231F20"/>
                <w:sz w:val="14"/>
              </w:rPr>
              <w:t>љубве”.</w:t>
            </w:r>
          </w:p>
        </w:tc>
        <w:tc>
          <w:tcPr>
            <w:tcW w:w="2267" w:type="dxa"/>
            <w:vMerge/>
            <w:tcBorders>
              <w:top w:val="nil"/>
            </w:tcBorders>
          </w:tcPr>
          <w:p w:rsidR="00041039" w:rsidRDefault="00041039">
            <w:pPr>
              <w:rPr>
                <w:sz w:val="2"/>
                <w:szCs w:val="2"/>
              </w:rPr>
            </w:pPr>
          </w:p>
        </w:tc>
      </w:tr>
      <w:tr w:rsidR="00041039">
        <w:trPr>
          <w:trHeight w:val="1969"/>
        </w:trPr>
        <w:tc>
          <w:tcPr>
            <w:tcW w:w="1304" w:type="dxa"/>
          </w:tcPr>
          <w:p w:rsidR="00041039" w:rsidRDefault="001B26CB">
            <w:pPr>
              <w:pStyle w:val="TableParagraph"/>
              <w:spacing w:before="21"/>
              <w:ind w:left="57" w:right="37"/>
              <w:rPr>
                <w:sz w:val="14"/>
              </w:rPr>
            </w:pPr>
            <w:r>
              <w:rPr>
                <w:color w:val="231F20"/>
                <w:sz w:val="14"/>
              </w:rPr>
              <w:t>Народна књижев­ ност</w:t>
            </w:r>
          </w:p>
        </w:tc>
        <w:tc>
          <w:tcPr>
            <w:tcW w:w="1587" w:type="dxa"/>
          </w:tcPr>
          <w:p w:rsidR="00041039" w:rsidRDefault="001B26CB">
            <w:pPr>
              <w:pStyle w:val="TableParagraph"/>
              <w:tabs>
                <w:tab w:val="left" w:pos="157"/>
              </w:tabs>
              <w:spacing w:before="11"/>
              <w:ind w:right="52" w:hanging="99"/>
              <w:rPr>
                <w:sz w:val="14"/>
              </w:rPr>
            </w:pPr>
            <w:r>
              <w:rPr>
                <w:color w:val="231F20"/>
                <w:sz w:val="14"/>
              </w:rPr>
              <w:t>Указивање на народну књижевност као израз колективног</w:t>
            </w:r>
            <w:r>
              <w:rPr>
                <w:color w:val="231F20"/>
                <w:spacing w:val="-15"/>
                <w:sz w:val="14"/>
              </w:rPr>
              <w:t xml:space="preserve"> </w:t>
            </w:r>
            <w:r>
              <w:rPr>
                <w:color w:val="231F20"/>
                <w:sz w:val="14"/>
              </w:rPr>
              <w:t xml:space="preserve">мишљења и осећања, ризницу народних обичаја, </w:t>
            </w:r>
            <w:r>
              <w:rPr>
                <w:color w:val="231F20"/>
                <w:spacing w:val="-3"/>
                <w:sz w:val="14"/>
              </w:rPr>
              <w:t xml:space="preserve">кодекс </w:t>
            </w:r>
            <w:r>
              <w:rPr>
                <w:color w:val="231F20"/>
                <w:sz w:val="14"/>
              </w:rPr>
              <w:t>етичких норми.</w:t>
            </w:r>
          </w:p>
        </w:tc>
        <w:tc>
          <w:tcPr>
            <w:tcW w:w="2551" w:type="dxa"/>
          </w:tcPr>
          <w:p w:rsidR="00041039" w:rsidRDefault="001B26CB">
            <w:pPr>
              <w:pStyle w:val="TableParagraph"/>
              <w:tabs>
                <w:tab w:val="left" w:pos="158"/>
              </w:tabs>
              <w:spacing w:before="11"/>
              <w:ind w:left="157" w:right="52" w:hanging="100"/>
              <w:jc w:val="both"/>
              <w:rPr>
                <w:sz w:val="14"/>
              </w:rPr>
            </w:pPr>
            <w:r>
              <w:rPr>
                <w:color w:val="231F20"/>
                <w:sz w:val="14"/>
              </w:rPr>
              <w:t>разликује</w:t>
            </w:r>
            <w:r>
              <w:rPr>
                <w:color w:val="231F20"/>
                <w:spacing w:val="-7"/>
                <w:sz w:val="14"/>
              </w:rPr>
              <w:t xml:space="preserve"> </w:t>
            </w:r>
            <w:r>
              <w:rPr>
                <w:color w:val="231F20"/>
                <w:sz w:val="14"/>
              </w:rPr>
              <w:t>лирске,</w:t>
            </w:r>
            <w:r>
              <w:rPr>
                <w:color w:val="231F20"/>
                <w:spacing w:val="-7"/>
                <w:sz w:val="14"/>
              </w:rPr>
              <w:t xml:space="preserve"> </w:t>
            </w:r>
            <w:r>
              <w:rPr>
                <w:color w:val="231F20"/>
                <w:sz w:val="14"/>
              </w:rPr>
              <w:t>епске</w:t>
            </w:r>
            <w:r>
              <w:rPr>
                <w:color w:val="231F20"/>
                <w:spacing w:val="-7"/>
                <w:sz w:val="14"/>
              </w:rPr>
              <w:t xml:space="preserve"> </w:t>
            </w:r>
            <w:r>
              <w:rPr>
                <w:color w:val="231F20"/>
                <w:sz w:val="14"/>
              </w:rPr>
              <w:t>и</w:t>
            </w:r>
            <w:r>
              <w:rPr>
                <w:color w:val="231F20"/>
                <w:spacing w:val="-8"/>
                <w:sz w:val="14"/>
              </w:rPr>
              <w:t xml:space="preserve"> </w:t>
            </w:r>
            <w:r>
              <w:rPr>
                <w:color w:val="231F20"/>
                <w:sz w:val="14"/>
              </w:rPr>
              <w:t>лирско­епске песме;</w:t>
            </w:r>
          </w:p>
          <w:p w:rsidR="00041039" w:rsidRDefault="001B26CB">
            <w:pPr>
              <w:pStyle w:val="TableParagraph"/>
              <w:tabs>
                <w:tab w:val="left" w:pos="158"/>
              </w:tabs>
              <w:spacing w:line="160" w:lineRule="exact"/>
              <w:ind w:left="157" w:right="200" w:hanging="100"/>
              <w:jc w:val="both"/>
              <w:rPr>
                <w:sz w:val="14"/>
              </w:rPr>
            </w:pPr>
            <w:r>
              <w:rPr>
                <w:color w:val="231F20"/>
                <w:sz w:val="14"/>
              </w:rPr>
              <w:t>уочи одлике усмене уметности речи (колективност,</w:t>
            </w:r>
            <w:r>
              <w:rPr>
                <w:color w:val="231F20"/>
                <w:spacing w:val="-16"/>
                <w:sz w:val="14"/>
              </w:rPr>
              <w:t xml:space="preserve"> </w:t>
            </w:r>
            <w:r>
              <w:rPr>
                <w:color w:val="231F20"/>
                <w:sz w:val="14"/>
              </w:rPr>
              <w:t>варијантност,</w:t>
            </w:r>
            <w:r>
              <w:rPr>
                <w:color w:val="231F20"/>
                <w:spacing w:val="-16"/>
                <w:sz w:val="14"/>
              </w:rPr>
              <w:t xml:space="preserve"> </w:t>
            </w:r>
            <w:r>
              <w:rPr>
                <w:color w:val="231F20"/>
                <w:sz w:val="14"/>
              </w:rPr>
              <w:t>форму­ лативност);</w:t>
            </w:r>
          </w:p>
          <w:p w:rsidR="00041039" w:rsidRDefault="001B26CB">
            <w:pPr>
              <w:pStyle w:val="TableParagraph"/>
              <w:tabs>
                <w:tab w:val="left" w:pos="158"/>
              </w:tabs>
              <w:spacing w:line="160" w:lineRule="exact"/>
              <w:ind w:left="157" w:right="147" w:hanging="100"/>
              <w:jc w:val="both"/>
              <w:rPr>
                <w:sz w:val="14"/>
              </w:rPr>
            </w:pPr>
            <w:r>
              <w:rPr>
                <w:color w:val="231F20"/>
                <w:sz w:val="14"/>
              </w:rPr>
              <w:t>процењује етичке вредности изнете</w:t>
            </w:r>
            <w:r>
              <w:rPr>
                <w:color w:val="231F20"/>
                <w:spacing w:val="-18"/>
                <w:sz w:val="14"/>
              </w:rPr>
              <w:t xml:space="preserve"> </w:t>
            </w:r>
            <w:r>
              <w:rPr>
                <w:color w:val="231F20"/>
                <w:sz w:val="14"/>
              </w:rPr>
              <w:t>у делима народне</w:t>
            </w:r>
            <w:r>
              <w:rPr>
                <w:color w:val="231F20"/>
                <w:spacing w:val="-2"/>
                <w:sz w:val="14"/>
              </w:rPr>
              <w:t xml:space="preserve"> </w:t>
            </w:r>
            <w:r>
              <w:rPr>
                <w:color w:val="231F20"/>
                <w:sz w:val="14"/>
              </w:rPr>
              <w:t>књижевности;</w:t>
            </w:r>
          </w:p>
          <w:p w:rsidR="00041039" w:rsidRDefault="001B26CB">
            <w:pPr>
              <w:pStyle w:val="TableParagraph"/>
              <w:tabs>
                <w:tab w:val="left" w:pos="158"/>
              </w:tabs>
              <w:spacing w:line="160" w:lineRule="exact"/>
              <w:ind w:left="157" w:right="122" w:hanging="100"/>
              <w:jc w:val="both"/>
              <w:rPr>
                <w:sz w:val="14"/>
              </w:rPr>
            </w:pPr>
            <w:r>
              <w:rPr>
                <w:color w:val="231F20"/>
                <w:sz w:val="14"/>
              </w:rPr>
              <w:t xml:space="preserve">тумачи ликове, битне мотиве, </w:t>
            </w:r>
            <w:r>
              <w:rPr>
                <w:color w:val="231F20"/>
                <w:spacing w:val="-5"/>
                <w:sz w:val="14"/>
              </w:rPr>
              <w:t xml:space="preserve">фабулу, </w:t>
            </w:r>
            <w:r>
              <w:rPr>
                <w:color w:val="231F20"/>
                <w:sz w:val="14"/>
              </w:rPr>
              <w:t>сиже,</w:t>
            </w:r>
            <w:r>
              <w:rPr>
                <w:color w:val="231F20"/>
                <w:spacing w:val="-6"/>
                <w:sz w:val="14"/>
              </w:rPr>
              <w:t xml:space="preserve"> </w:t>
            </w:r>
            <w:r>
              <w:rPr>
                <w:color w:val="231F20"/>
                <w:sz w:val="14"/>
              </w:rPr>
              <w:t>композицију</w:t>
            </w:r>
            <w:r>
              <w:rPr>
                <w:color w:val="231F20"/>
                <w:spacing w:val="-6"/>
                <w:sz w:val="14"/>
              </w:rPr>
              <w:t xml:space="preserve"> </w:t>
            </w:r>
            <w:r>
              <w:rPr>
                <w:color w:val="231F20"/>
                <w:sz w:val="14"/>
              </w:rPr>
              <w:t>и</w:t>
            </w:r>
            <w:r>
              <w:rPr>
                <w:color w:val="231F20"/>
                <w:spacing w:val="-6"/>
                <w:sz w:val="14"/>
              </w:rPr>
              <w:t xml:space="preserve"> </w:t>
            </w:r>
            <w:r>
              <w:rPr>
                <w:color w:val="231F20"/>
                <w:sz w:val="14"/>
              </w:rPr>
              <w:t>поруке</w:t>
            </w:r>
            <w:r>
              <w:rPr>
                <w:color w:val="231F20"/>
                <w:spacing w:val="-6"/>
                <w:sz w:val="14"/>
              </w:rPr>
              <w:t xml:space="preserve"> </w:t>
            </w:r>
            <w:r>
              <w:rPr>
                <w:color w:val="231F20"/>
                <w:sz w:val="14"/>
              </w:rPr>
              <w:t>у</w:t>
            </w:r>
            <w:r>
              <w:rPr>
                <w:color w:val="231F20"/>
                <w:spacing w:val="-6"/>
                <w:sz w:val="14"/>
              </w:rPr>
              <w:t xml:space="preserve"> </w:t>
            </w:r>
            <w:r>
              <w:rPr>
                <w:color w:val="231F20"/>
                <w:sz w:val="14"/>
              </w:rPr>
              <w:t>одабра­ ним</w:t>
            </w:r>
            <w:r>
              <w:rPr>
                <w:color w:val="231F20"/>
                <w:spacing w:val="-2"/>
                <w:sz w:val="14"/>
              </w:rPr>
              <w:t xml:space="preserve"> </w:t>
            </w:r>
            <w:r>
              <w:rPr>
                <w:color w:val="231F20"/>
                <w:sz w:val="14"/>
              </w:rPr>
              <w:t>делима;</w:t>
            </w:r>
          </w:p>
          <w:p w:rsidR="00041039" w:rsidRDefault="001B26CB">
            <w:pPr>
              <w:pStyle w:val="TableParagraph"/>
              <w:tabs>
                <w:tab w:val="left" w:pos="158"/>
              </w:tabs>
              <w:spacing w:line="160" w:lineRule="exact"/>
              <w:ind w:left="157" w:right="249" w:hanging="100"/>
              <w:rPr>
                <w:sz w:val="14"/>
              </w:rPr>
            </w:pPr>
            <w:r>
              <w:rPr>
                <w:color w:val="231F20"/>
                <w:sz w:val="14"/>
              </w:rPr>
              <w:t>упореди уметничку</w:t>
            </w:r>
            <w:r>
              <w:rPr>
                <w:color w:val="231F20"/>
                <w:spacing w:val="-12"/>
                <w:sz w:val="14"/>
              </w:rPr>
              <w:t xml:space="preserve"> </w:t>
            </w:r>
            <w:r>
              <w:rPr>
                <w:color w:val="231F20"/>
                <w:sz w:val="14"/>
              </w:rPr>
              <w:t>интерп</w:t>
            </w:r>
            <w:r>
              <w:rPr>
                <w:color w:val="231F20"/>
                <w:sz w:val="14"/>
              </w:rPr>
              <w:t>ретацију стварности и историјске</w:t>
            </w:r>
            <w:r>
              <w:rPr>
                <w:color w:val="231F20"/>
                <w:spacing w:val="-7"/>
                <w:sz w:val="14"/>
              </w:rPr>
              <w:t xml:space="preserve"> </w:t>
            </w:r>
            <w:r>
              <w:rPr>
                <w:color w:val="231F20"/>
                <w:sz w:val="14"/>
              </w:rPr>
              <w:t>чињенице;</w:t>
            </w:r>
          </w:p>
        </w:tc>
        <w:tc>
          <w:tcPr>
            <w:tcW w:w="2834" w:type="dxa"/>
          </w:tcPr>
          <w:p w:rsidR="00041039" w:rsidRDefault="001B26CB">
            <w:pPr>
              <w:pStyle w:val="TableParagraph"/>
              <w:tabs>
                <w:tab w:val="left" w:pos="158"/>
              </w:tabs>
              <w:spacing w:before="11" w:line="166" w:lineRule="exact"/>
              <w:ind w:left="157" w:hanging="100"/>
              <w:rPr>
                <w:sz w:val="14"/>
              </w:rPr>
            </w:pPr>
            <w:r>
              <w:rPr>
                <w:color w:val="231F20"/>
                <w:sz w:val="14"/>
              </w:rPr>
              <w:t>Врсте народне</w:t>
            </w:r>
            <w:r>
              <w:rPr>
                <w:color w:val="231F20"/>
                <w:spacing w:val="-1"/>
                <w:sz w:val="14"/>
              </w:rPr>
              <w:t xml:space="preserve"> </w:t>
            </w:r>
            <w:r>
              <w:rPr>
                <w:color w:val="231F20"/>
                <w:sz w:val="14"/>
              </w:rPr>
              <w:t>књижевности.</w:t>
            </w:r>
          </w:p>
          <w:p w:rsidR="00041039" w:rsidRDefault="001B26CB">
            <w:pPr>
              <w:pStyle w:val="TableParagraph"/>
              <w:tabs>
                <w:tab w:val="left" w:pos="158"/>
              </w:tabs>
              <w:spacing w:line="165" w:lineRule="exact"/>
              <w:ind w:left="157" w:hanging="100"/>
              <w:rPr>
                <w:sz w:val="14"/>
              </w:rPr>
            </w:pPr>
            <w:r>
              <w:rPr>
                <w:color w:val="231F20"/>
                <w:sz w:val="14"/>
              </w:rPr>
              <w:t>Лирска народна песма „Овчар и</w:t>
            </w:r>
            <w:r>
              <w:rPr>
                <w:color w:val="231F20"/>
                <w:spacing w:val="-12"/>
                <w:sz w:val="14"/>
              </w:rPr>
              <w:t xml:space="preserve"> </w:t>
            </w:r>
            <w:r>
              <w:rPr>
                <w:color w:val="231F20"/>
                <w:sz w:val="14"/>
              </w:rPr>
              <w:t>девојка”,</w:t>
            </w:r>
          </w:p>
          <w:p w:rsidR="00041039" w:rsidRDefault="001B26CB">
            <w:pPr>
              <w:pStyle w:val="TableParagraph"/>
              <w:spacing w:line="155" w:lineRule="exact"/>
              <w:ind w:left="157"/>
              <w:rPr>
                <w:sz w:val="14"/>
              </w:rPr>
            </w:pPr>
            <w:r>
              <w:rPr>
                <w:color w:val="231F20"/>
                <w:sz w:val="14"/>
              </w:rPr>
              <w:t>„Зао господар” (предлог).</w:t>
            </w:r>
          </w:p>
          <w:p w:rsidR="00041039" w:rsidRDefault="001B26CB">
            <w:pPr>
              <w:pStyle w:val="TableParagraph"/>
              <w:tabs>
                <w:tab w:val="left" w:pos="158"/>
              </w:tabs>
              <w:spacing w:line="237" w:lineRule="auto"/>
              <w:ind w:left="157" w:right="87" w:hanging="100"/>
              <w:rPr>
                <w:sz w:val="14"/>
              </w:rPr>
            </w:pPr>
            <w:r>
              <w:rPr>
                <w:color w:val="231F20"/>
                <w:sz w:val="14"/>
              </w:rPr>
              <w:t>Епска народна песма „Бановић</w:t>
            </w:r>
            <w:r>
              <w:rPr>
                <w:color w:val="231F20"/>
                <w:spacing w:val="-11"/>
                <w:sz w:val="14"/>
              </w:rPr>
              <w:t xml:space="preserve"> </w:t>
            </w:r>
            <w:r>
              <w:rPr>
                <w:color w:val="231F20"/>
                <w:sz w:val="14"/>
              </w:rPr>
              <w:t xml:space="preserve">Страхиња”, </w:t>
            </w:r>
            <w:r>
              <w:rPr>
                <w:color w:val="231F20"/>
                <w:spacing w:val="-3"/>
                <w:sz w:val="14"/>
              </w:rPr>
              <w:t xml:space="preserve">Марко </w:t>
            </w:r>
            <w:r>
              <w:rPr>
                <w:color w:val="231F20"/>
                <w:sz w:val="14"/>
              </w:rPr>
              <w:t>пије уз Рамазан вино”, „Бој на Мишару”.</w:t>
            </w:r>
          </w:p>
          <w:p w:rsidR="00041039" w:rsidRDefault="001B26CB">
            <w:pPr>
              <w:pStyle w:val="TableParagraph"/>
              <w:tabs>
                <w:tab w:val="left" w:pos="158"/>
              </w:tabs>
              <w:spacing w:line="156" w:lineRule="exact"/>
              <w:ind w:left="157" w:hanging="100"/>
              <w:rPr>
                <w:sz w:val="14"/>
              </w:rPr>
            </w:pPr>
            <w:r>
              <w:rPr>
                <w:color w:val="231F20"/>
                <w:sz w:val="14"/>
              </w:rPr>
              <w:t>Лирско­епске песме (по</w:t>
            </w:r>
            <w:r>
              <w:rPr>
                <w:color w:val="231F20"/>
                <w:spacing w:val="-22"/>
                <w:sz w:val="14"/>
              </w:rPr>
              <w:t xml:space="preserve"> </w:t>
            </w:r>
            <w:r>
              <w:rPr>
                <w:color w:val="231F20"/>
                <w:sz w:val="14"/>
              </w:rPr>
              <w:t>избору).</w:t>
            </w:r>
          </w:p>
          <w:p w:rsidR="00041039" w:rsidRDefault="001B26CB">
            <w:pPr>
              <w:pStyle w:val="TableParagraph"/>
              <w:tabs>
                <w:tab w:val="left" w:pos="158"/>
              </w:tabs>
              <w:spacing w:line="160" w:lineRule="exact"/>
              <w:ind w:left="157" w:hanging="100"/>
              <w:rPr>
                <w:sz w:val="14"/>
              </w:rPr>
            </w:pPr>
            <w:r>
              <w:rPr>
                <w:color w:val="231F20"/>
                <w:sz w:val="14"/>
              </w:rPr>
              <w:t>Народне проза (бајка по</w:t>
            </w:r>
            <w:r>
              <w:rPr>
                <w:color w:val="231F20"/>
                <w:spacing w:val="-23"/>
                <w:sz w:val="14"/>
              </w:rPr>
              <w:t xml:space="preserve"> </w:t>
            </w:r>
            <w:r>
              <w:rPr>
                <w:color w:val="231F20"/>
                <w:sz w:val="14"/>
              </w:rPr>
              <w:t>избору).</w:t>
            </w:r>
          </w:p>
          <w:p w:rsidR="00041039" w:rsidRDefault="001B26CB">
            <w:pPr>
              <w:pStyle w:val="TableParagraph"/>
              <w:tabs>
                <w:tab w:val="left" w:pos="158"/>
              </w:tabs>
              <w:spacing w:line="166" w:lineRule="exact"/>
              <w:ind w:left="157" w:hanging="100"/>
              <w:rPr>
                <w:sz w:val="14"/>
              </w:rPr>
            </w:pPr>
            <w:r>
              <w:rPr>
                <w:color w:val="231F20"/>
                <w:sz w:val="14"/>
              </w:rPr>
              <w:t>Кратке народне прозне врсте</w:t>
            </w:r>
            <w:r>
              <w:rPr>
                <w:color w:val="231F20"/>
                <w:spacing w:val="-8"/>
                <w:sz w:val="14"/>
              </w:rPr>
              <w:t xml:space="preserve"> </w:t>
            </w:r>
            <w:r>
              <w:rPr>
                <w:color w:val="231F20"/>
                <w:sz w:val="14"/>
              </w:rPr>
              <w:t>(избор).</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1B26CB">
            <w:pPr>
              <w:pStyle w:val="TableParagraph"/>
              <w:spacing w:before="18"/>
              <w:ind w:left="56" w:right="37"/>
              <w:rPr>
                <w:sz w:val="14"/>
              </w:rPr>
            </w:pPr>
            <w:r>
              <w:rPr>
                <w:color w:val="231F20"/>
                <w:sz w:val="14"/>
              </w:rPr>
              <w:lastRenderedPageBreak/>
              <w:t>Хуманизам и ренесанса</w:t>
            </w:r>
          </w:p>
        </w:tc>
        <w:tc>
          <w:tcPr>
            <w:tcW w:w="1587" w:type="dxa"/>
          </w:tcPr>
          <w:p w:rsidR="00041039" w:rsidRDefault="001B26CB">
            <w:pPr>
              <w:pStyle w:val="TableParagraph"/>
              <w:tabs>
                <w:tab w:val="left" w:pos="157"/>
              </w:tabs>
              <w:spacing w:before="8"/>
              <w:ind w:right="101" w:hanging="100"/>
              <w:rPr>
                <w:sz w:val="14"/>
              </w:rPr>
            </w:pPr>
            <w:r>
              <w:rPr>
                <w:color w:val="231F20"/>
                <w:sz w:val="14"/>
              </w:rPr>
              <w:t>Упознавање са поетиком хуманизма и ренесансе, њеним најзначајним</w:t>
            </w:r>
            <w:r>
              <w:rPr>
                <w:color w:val="231F20"/>
                <w:spacing w:val="-11"/>
                <w:sz w:val="14"/>
              </w:rPr>
              <w:t xml:space="preserve"> </w:t>
            </w:r>
            <w:r>
              <w:rPr>
                <w:color w:val="231F20"/>
                <w:sz w:val="14"/>
              </w:rPr>
              <w:t>предста­</w:t>
            </w:r>
          </w:p>
          <w:p w:rsidR="00041039" w:rsidRDefault="001B26CB">
            <w:pPr>
              <w:pStyle w:val="TableParagraph"/>
              <w:spacing w:line="237" w:lineRule="auto"/>
              <w:ind w:right="15"/>
              <w:rPr>
                <w:sz w:val="14"/>
              </w:rPr>
            </w:pPr>
            <w:r>
              <w:rPr>
                <w:color w:val="231F20"/>
                <w:sz w:val="14"/>
              </w:rPr>
              <w:t>вницима и књижевним делима</w:t>
            </w:r>
          </w:p>
        </w:tc>
        <w:tc>
          <w:tcPr>
            <w:tcW w:w="2551" w:type="dxa"/>
          </w:tcPr>
          <w:p w:rsidR="00041039" w:rsidRDefault="001B26CB">
            <w:pPr>
              <w:pStyle w:val="TableParagraph"/>
              <w:tabs>
                <w:tab w:val="left" w:pos="157"/>
              </w:tabs>
              <w:spacing w:before="8"/>
              <w:ind w:right="215" w:hanging="99"/>
              <w:rPr>
                <w:sz w:val="14"/>
              </w:rPr>
            </w:pPr>
            <w:r>
              <w:rPr>
                <w:color w:val="231F20"/>
                <w:sz w:val="14"/>
              </w:rPr>
              <w:t>наведе најзначајније представнике</w:t>
            </w:r>
            <w:r>
              <w:rPr>
                <w:color w:val="231F20"/>
                <w:spacing w:val="-21"/>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tabs>
                <w:tab w:val="left" w:pos="157"/>
              </w:tabs>
              <w:spacing w:line="160" w:lineRule="exact"/>
              <w:ind w:right="122" w:hanging="99"/>
              <w:jc w:val="both"/>
              <w:rPr>
                <w:sz w:val="14"/>
              </w:rPr>
            </w:pPr>
            <w:r>
              <w:rPr>
                <w:color w:val="231F20"/>
                <w:sz w:val="14"/>
              </w:rPr>
              <w:t>објасни значење појмова хуманизам</w:t>
            </w:r>
            <w:r>
              <w:rPr>
                <w:color w:val="231F20"/>
                <w:spacing w:val="-23"/>
                <w:sz w:val="14"/>
              </w:rPr>
              <w:t xml:space="preserve"> </w:t>
            </w:r>
            <w:r>
              <w:rPr>
                <w:color w:val="231F20"/>
                <w:sz w:val="14"/>
              </w:rPr>
              <w:t>и ренесанса;</w:t>
            </w:r>
          </w:p>
          <w:p w:rsidR="00041039" w:rsidRDefault="001B26CB">
            <w:pPr>
              <w:pStyle w:val="TableParagraph"/>
              <w:tabs>
                <w:tab w:val="left" w:pos="157"/>
              </w:tabs>
              <w:spacing w:line="160" w:lineRule="exact"/>
              <w:ind w:right="136" w:hanging="99"/>
              <w:jc w:val="both"/>
              <w:rPr>
                <w:sz w:val="14"/>
              </w:rPr>
            </w:pPr>
            <w:r>
              <w:rPr>
                <w:color w:val="231F20"/>
                <w:sz w:val="14"/>
              </w:rPr>
              <w:t>наводи и на обрађеним делима</w:t>
            </w:r>
            <w:r>
              <w:rPr>
                <w:color w:val="231F20"/>
                <w:spacing w:val="-13"/>
                <w:sz w:val="14"/>
              </w:rPr>
              <w:t xml:space="preserve"> </w:t>
            </w:r>
            <w:r>
              <w:rPr>
                <w:color w:val="231F20"/>
                <w:sz w:val="14"/>
              </w:rPr>
              <w:t>образ­ лаже одлике</w:t>
            </w:r>
            <w:r>
              <w:rPr>
                <w:color w:val="231F20"/>
                <w:spacing w:val="-2"/>
                <w:sz w:val="14"/>
              </w:rPr>
              <w:t xml:space="preserve"> </w:t>
            </w:r>
            <w:r>
              <w:rPr>
                <w:color w:val="231F20"/>
                <w:sz w:val="14"/>
              </w:rPr>
              <w:t>епохе;</w:t>
            </w:r>
          </w:p>
          <w:p w:rsidR="00041039" w:rsidRDefault="001B26CB">
            <w:pPr>
              <w:pStyle w:val="TableParagraph"/>
              <w:tabs>
                <w:tab w:val="left" w:pos="157"/>
              </w:tabs>
              <w:spacing w:line="160" w:lineRule="exact"/>
              <w:ind w:right="164" w:hanging="99"/>
              <w:rPr>
                <w:sz w:val="14"/>
              </w:rPr>
            </w:pPr>
            <w:r>
              <w:rPr>
                <w:color w:val="231F20"/>
                <w:sz w:val="14"/>
              </w:rPr>
              <w:t>упореди вредности средњег века са вредностима хуманизма и</w:t>
            </w:r>
            <w:r>
              <w:rPr>
                <w:color w:val="231F20"/>
                <w:spacing w:val="-10"/>
                <w:sz w:val="14"/>
              </w:rPr>
              <w:t xml:space="preserve"> </w:t>
            </w:r>
            <w:r>
              <w:rPr>
                <w:color w:val="231F20"/>
                <w:sz w:val="14"/>
              </w:rPr>
              <w:t>ренесансе;</w:t>
            </w:r>
          </w:p>
          <w:p w:rsidR="00041039" w:rsidRDefault="001B26CB">
            <w:pPr>
              <w:pStyle w:val="TableParagraph"/>
              <w:tabs>
                <w:tab w:val="left" w:pos="157"/>
              </w:tabs>
              <w:spacing w:line="160" w:lineRule="exact"/>
              <w:ind w:right="60" w:hanging="99"/>
              <w:jc w:val="both"/>
              <w:rPr>
                <w:sz w:val="14"/>
              </w:rPr>
            </w:pPr>
            <w:r>
              <w:rPr>
                <w:color w:val="231F20"/>
                <w:sz w:val="14"/>
              </w:rPr>
              <w:t>објасни значај уметности хуманизма и ренесансе за развој европске културе</w:t>
            </w:r>
            <w:r>
              <w:rPr>
                <w:color w:val="231F20"/>
                <w:spacing w:val="-15"/>
                <w:sz w:val="14"/>
              </w:rPr>
              <w:t xml:space="preserve"> </w:t>
            </w:r>
            <w:r>
              <w:rPr>
                <w:color w:val="231F20"/>
                <w:sz w:val="14"/>
              </w:rPr>
              <w:t>и цивилизације;</w:t>
            </w:r>
          </w:p>
        </w:tc>
        <w:tc>
          <w:tcPr>
            <w:tcW w:w="2834" w:type="dxa"/>
          </w:tcPr>
          <w:p w:rsidR="00041039" w:rsidRDefault="001B26CB">
            <w:pPr>
              <w:pStyle w:val="TableParagraph"/>
              <w:tabs>
                <w:tab w:val="left" w:pos="157"/>
              </w:tabs>
              <w:spacing w:before="8"/>
              <w:ind w:right="715" w:hanging="99"/>
              <w:rPr>
                <w:sz w:val="14"/>
              </w:rPr>
            </w:pPr>
            <w:r>
              <w:rPr>
                <w:color w:val="231F20"/>
                <w:sz w:val="14"/>
              </w:rPr>
              <w:t>Поетика хуманизма и</w:t>
            </w:r>
            <w:r>
              <w:rPr>
                <w:color w:val="231F20"/>
                <w:spacing w:val="-11"/>
                <w:sz w:val="14"/>
              </w:rPr>
              <w:t xml:space="preserve"> </w:t>
            </w:r>
            <w:r>
              <w:rPr>
                <w:color w:val="231F20"/>
                <w:sz w:val="14"/>
              </w:rPr>
              <w:t>ренесансе, најзначајнији</w:t>
            </w:r>
            <w:r>
              <w:rPr>
                <w:color w:val="231F20"/>
                <w:spacing w:val="-2"/>
                <w:sz w:val="14"/>
              </w:rPr>
              <w:t xml:space="preserve"> </w:t>
            </w:r>
            <w:r>
              <w:rPr>
                <w:color w:val="231F20"/>
                <w:sz w:val="14"/>
              </w:rPr>
              <w:t>представници.</w:t>
            </w:r>
          </w:p>
          <w:p w:rsidR="00041039" w:rsidRDefault="001B26CB">
            <w:pPr>
              <w:pStyle w:val="TableParagraph"/>
              <w:tabs>
                <w:tab w:val="left" w:pos="157"/>
              </w:tabs>
              <w:spacing w:line="160" w:lineRule="exact"/>
              <w:ind w:right="111" w:hanging="99"/>
              <w:rPr>
                <w:sz w:val="14"/>
              </w:rPr>
            </w:pPr>
            <w:r>
              <w:rPr>
                <w:color w:val="231F20"/>
                <w:sz w:val="14"/>
              </w:rPr>
              <w:t>Франческо Петрарка: „Канцонијер”</w:t>
            </w:r>
            <w:r>
              <w:rPr>
                <w:color w:val="231F20"/>
                <w:spacing w:val="-19"/>
                <w:sz w:val="14"/>
              </w:rPr>
              <w:t xml:space="preserve"> </w:t>
            </w:r>
            <w:r>
              <w:rPr>
                <w:color w:val="231F20"/>
                <w:sz w:val="14"/>
              </w:rPr>
              <w:t>(избор сонета).</w:t>
            </w:r>
          </w:p>
          <w:p w:rsidR="00041039" w:rsidRDefault="001B26CB">
            <w:pPr>
              <w:pStyle w:val="TableParagraph"/>
              <w:tabs>
                <w:tab w:val="left" w:pos="157"/>
              </w:tabs>
              <w:spacing w:line="160" w:lineRule="exact"/>
              <w:ind w:right="152" w:hanging="99"/>
              <w:jc w:val="both"/>
              <w:rPr>
                <w:sz w:val="14"/>
              </w:rPr>
            </w:pPr>
            <w:r>
              <w:rPr>
                <w:color w:val="231F20"/>
                <w:sz w:val="14"/>
              </w:rPr>
              <w:t>Ћовани Бокачо: „Декамерон”</w:t>
            </w:r>
            <w:r>
              <w:rPr>
                <w:color w:val="231F20"/>
                <w:spacing w:val="-19"/>
                <w:sz w:val="14"/>
              </w:rPr>
              <w:t xml:space="preserve"> </w:t>
            </w:r>
            <w:r>
              <w:rPr>
                <w:color w:val="231F20"/>
                <w:sz w:val="14"/>
              </w:rPr>
              <w:t>(приповетка по избору) или Данте Алигијери: „Пакао” (одломак).</w:t>
            </w:r>
          </w:p>
          <w:p w:rsidR="00041039" w:rsidRDefault="001B26CB">
            <w:pPr>
              <w:pStyle w:val="TableParagraph"/>
              <w:tabs>
                <w:tab w:val="left" w:pos="157"/>
              </w:tabs>
              <w:spacing w:line="153" w:lineRule="exact"/>
              <w:ind w:hanging="99"/>
              <w:jc w:val="both"/>
              <w:rPr>
                <w:sz w:val="14"/>
              </w:rPr>
            </w:pPr>
            <w:r>
              <w:rPr>
                <w:color w:val="231F20"/>
                <w:sz w:val="14"/>
              </w:rPr>
              <w:t>Вилијам Шекспир: „Ромео и</w:t>
            </w:r>
            <w:r>
              <w:rPr>
                <w:color w:val="231F20"/>
                <w:spacing w:val="-7"/>
                <w:sz w:val="14"/>
              </w:rPr>
              <w:t xml:space="preserve"> </w:t>
            </w:r>
            <w:r>
              <w:rPr>
                <w:color w:val="231F20"/>
                <w:sz w:val="14"/>
              </w:rPr>
              <w:t>Јулија”.</w:t>
            </w:r>
          </w:p>
          <w:p w:rsidR="00041039" w:rsidRDefault="001B26CB">
            <w:pPr>
              <w:pStyle w:val="TableParagraph"/>
              <w:tabs>
                <w:tab w:val="left" w:pos="157"/>
              </w:tabs>
              <w:spacing w:line="166" w:lineRule="exact"/>
              <w:ind w:hanging="99"/>
              <w:jc w:val="both"/>
              <w:rPr>
                <w:sz w:val="14"/>
              </w:rPr>
            </w:pPr>
            <w:r>
              <w:rPr>
                <w:color w:val="231F20"/>
                <w:sz w:val="14"/>
              </w:rPr>
              <w:t>Сервантес: „Дон Кихот”</w:t>
            </w:r>
            <w:r>
              <w:rPr>
                <w:color w:val="231F20"/>
                <w:spacing w:val="-3"/>
                <w:sz w:val="14"/>
              </w:rPr>
              <w:t xml:space="preserve"> </w:t>
            </w:r>
            <w:r>
              <w:rPr>
                <w:color w:val="231F20"/>
                <w:sz w:val="14"/>
              </w:rPr>
              <w:t>(одломак).</w:t>
            </w:r>
          </w:p>
        </w:tc>
        <w:tc>
          <w:tcPr>
            <w:tcW w:w="2267" w:type="dxa"/>
            <w:vMerge w:val="restart"/>
          </w:tcPr>
          <w:p w:rsidR="00041039" w:rsidRDefault="001B26CB">
            <w:pPr>
              <w:pStyle w:val="TableParagraph"/>
              <w:tabs>
                <w:tab w:val="left" w:pos="158"/>
              </w:tabs>
              <w:spacing w:before="8" w:line="166" w:lineRule="exact"/>
              <w:ind w:left="157" w:hanging="99"/>
              <w:rPr>
                <w:b/>
                <w:sz w:val="14"/>
              </w:rPr>
            </w:pPr>
            <w:r>
              <w:rPr>
                <w:color w:val="231F20"/>
                <w:sz w:val="14"/>
              </w:rPr>
              <w:t>Народна књижевност</w:t>
            </w:r>
            <w:r>
              <w:rPr>
                <w:b/>
                <w:color w:val="231F20"/>
                <w:sz w:val="14"/>
              </w:rPr>
              <w:t>(13</w:t>
            </w:r>
            <w:r>
              <w:rPr>
                <w:b/>
                <w:color w:val="231F20"/>
                <w:spacing w:val="-6"/>
                <w:sz w:val="14"/>
              </w:rPr>
              <w:t xml:space="preserve"> </w:t>
            </w:r>
            <w:r>
              <w:rPr>
                <w:b/>
                <w:color w:val="231F20"/>
                <w:sz w:val="14"/>
              </w:rPr>
              <w:t>часова)</w:t>
            </w:r>
          </w:p>
          <w:p w:rsidR="00041039" w:rsidRDefault="001B26CB">
            <w:pPr>
              <w:pStyle w:val="TableParagraph"/>
              <w:tabs>
                <w:tab w:val="left" w:pos="158"/>
              </w:tabs>
              <w:spacing w:line="237" w:lineRule="auto"/>
              <w:ind w:left="157" w:right="468" w:hanging="99"/>
              <w:rPr>
                <w:b/>
                <w:sz w:val="14"/>
              </w:rPr>
            </w:pPr>
            <w:r>
              <w:rPr>
                <w:color w:val="231F20"/>
                <w:sz w:val="14"/>
              </w:rPr>
              <w:t>Хуманизам и ренесанса</w:t>
            </w:r>
            <w:r>
              <w:rPr>
                <w:color w:val="231F20"/>
                <w:spacing w:val="-12"/>
                <w:sz w:val="14"/>
              </w:rPr>
              <w:t xml:space="preserve"> </w:t>
            </w:r>
            <w:r>
              <w:rPr>
                <w:b/>
                <w:color w:val="231F20"/>
                <w:sz w:val="14"/>
              </w:rPr>
              <w:t>(10 часова)</w:t>
            </w:r>
          </w:p>
          <w:p w:rsidR="00041039" w:rsidRDefault="001B26CB">
            <w:pPr>
              <w:pStyle w:val="TableParagraph"/>
              <w:tabs>
                <w:tab w:val="left" w:pos="158"/>
              </w:tabs>
              <w:spacing w:line="160" w:lineRule="exact"/>
              <w:ind w:left="157" w:right="498" w:hanging="99"/>
              <w:rPr>
                <w:b/>
                <w:sz w:val="14"/>
              </w:rPr>
            </w:pPr>
            <w:r>
              <w:rPr>
                <w:color w:val="231F20"/>
                <w:sz w:val="14"/>
              </w:rPr>
              <w:t xml:space="preserve">Општи појмови о језику </w:t>
            </w:r>
            <w:r>
              <w:rPr>
                <w:b/>
                <w:color w:val="231F20"/>
                <w:sz w:val="14"/>
              </w:rPr>
              <w:t>(5 часова)</w:t>
            </w:r>
          </w:p>
          <w:p w:rsidR="00041039" w:rsidRDefault="001B26CB">
            <w:pPr>
              <w:pStyle w:val="TableParagraph"/>
              <w:tabs>
                <w:tab w:val="left" w:pos="158"/>
              </w:tabs>
              <w:spacing w:line="153" w:lineRule="exact"/>
              <w:ind w:left="157" w:hanging="99"/>
              <w:rPr>
                <w:b/>
                <w:sz w:val="14"/>
              </w:rPr>
            </w:pPr>
            <w:r>
              <w:rPr>
                <w:color w:val="231F20"/>
                <w:sz w:val="14"/>
              </w:rPr>
              <w:t xml:space="preserve">Фонетика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Правопис </w:t>
            </w:r>
            <w:r>
              <w:rPr>
                <w:b/>
                <w:color w:val="231F20"/>
                <w:spacing w:val="-3"/>
                <w:sz w:val="14"/>
              </w:rPr>
              <w:t>(11</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pacing w:val="-3"/>
                <w:sz w:val="14"/>
              </w:rPr>
              <w:t xml:space="preserve">Култура </w:t>
            </w:r>
            <w:r>
              <w:rPr>
                <w:color w:val="231F20"/>
                <w:sz w:val="14"/>
              </w:rPr>
              <w:t xml:space="preserve">изражавања </w:t>
            </w:r>
            <w:r>
              <w:rPr>
                <w:b/>
                <w:color w:val="231F20"/>
                <w:sz w:val="14"/>
              </w:rPr>
              <w:t>(20</w:t>
            </w:r>
            <w:r>
              <w:rPr>
                <w:b/>
                <w:color w:val="231F20"/>
                <w:spacing w:val="-3"/>
                <w:sz w:val="14"/>
              </w:rPr>
              <w:t xml:space="preserve"> </w:t>
            </w:r>
            <w:r>
              <w:rPr>
                <w:b/>
                <w:color w:val="231F20"/>
                <w:sz w:val="14"/>
              </w:rPr>
              <w:t>часова)</w:t>
            </w:r>
          </w:p>
        </w:tc>
      </w:tr>
      <w:tr w:rsidR="00041039">
        <w:trPr>
          <w:trHeight w:val="1320"/>
        </w:trPr>
        <w:tc>
          <w:tcPr>
            <w:tcW w:w="1304" w:type="dxa"/>
          </w:tcPr>
          <w:p w:rsidR="00041039" w:rsidRDefault="001B26CB">
            <w:pPr>
              <w:pStyle w:val="TableParagraph"/>
              <w:spacing w:before="18"/>
              <w:ind w:left="56" w:right="174"/>
              <w:rPr>
                <w:sz w:val="14"/>
              </w:rPr>
            </w:pPr>
            <w:r>
              <w:rPr>
                <w:color w:val="231F20"/>
                <w:sz w:val="14"/>
              </w:rPr>
              <w:t>Општи појмови о језику</w:t>
            </w:r>
          </w:p>
        </w:tc>
        <w:tc>
          <w:tcPr>
            <w:tcW w:w="1587" w:type="dxa"/>
          </w:tcPr>
          <w:p w:rsidR="00041039" w:rsidRDefault="001B26CB">
            <w:pPr>
              <w:pStyle w:val="TableParagraph"/>
              <w:tabs>
                <w:tab w:val="left" w:pos="157"/>
              </w:tabs>
              <w:spacing w:before="8"/>
              <w:ind w:right="98" w:hanging="100"/>
              <w:rPr>
                <w:sz w:val="14"/>
              </w:rPr>
            </w:pPr>
            <w:r>
              <w:rPr>
                <w:color w:val="231F20"/>
                <w:sz w:val="14"/>
              </w:rPr>
              <w:t>Указивање на</w:t>
            </w:r>
            <w:r>
              <w:rPr>
                <w:color w:val="231F20"/>
                <w:spacing w:val="-21"/>
                <w:sz w:val="14"/>
              </w:rPr>
              <w:t xml:space="preserve"> </w:t>
            </w:r>
            <w:r>
              <w:rPr>
                <w:color w:val="231F20"/>
                <w:sz w:val="14"/>
              </w:rPr>
              <w:t>проуча­ вање језика као сис­ тема, упознавање са његовом функцијом, друштвеном</w:t>
            </w:r>
            <w:r>
              <w:rPr>
                <w:color w:val="231F20"/>
                <w:spacing w:val="-6"/>
                <w:sz w:val="14"/>
              </w:rPr>
              <w:t xml:space="preserve"> </w:t>
            </w:r>
            <w:r>
              <w:rPr>
                <w:color w:val="231F20"/>
                <w:sz w:val="14"/>
              </w:rPr>
              <w:t>условље­ ношћу и историјским развојем.</w:t>
            </w:r>
          </w:p>
        </w:tc>
        <w:tc>
          <w:tcPr>
            <w:tcW w:w="2551" w:type="dxa"/>
          </w:tcPr>
          <w:p w:rsidR="00041039" w:rsidRDefault="001B26CB">
            <w:pPr>
              <w:pStyle w:val="TableParagraph"/>
              <w:tabs>
                <w:tab w:val="left" w:pos="157"/>
              </w:tabs>
              <w:spacing w:before="8"/>
              <w:ind w:right="458" w:hanging="99"/>
              <w:rPr>
                <w:sz w:val="14"/>
              </w:rPr>
            </w:pPr>
            <w:r>
              <w:rPr>
                <w:color w:val="231F20"/>
                <w:sz w:val="14"/>
              </w:rPr>
              <w:t>објасни функцију језика и</w:t>
            </w:r>
            <w:r>
              <w:rPr>
                <w:color w:val="231F20"/>
                <w:spacing w:val="-13"/>
                <w:sz w:val="14"/>
              </w:rPr>
              <w:t xml:space="preserve"> </w:t>
            </w:r>
            <w:r>
              <w:rPr>
                <w:color w:val="231F20"/>
                <w:sz w:val="14"/>
              </w:rPr>
              <w:t>појам језичког</w:t>
            </w:r>
            <w:r>
              <w:rPr>
                <w:color w:val="231F20"/>
                <w:spacing w:val="-1"/>
                <w:sz w:val="14"/>
              </w:rPr>
              <w:t xml:space="preserve"> </w:t>
            </w:r>
            <w:r>
              <w:rPr>
                <w:color w:val="231F20"/>
                <w:sz w:val="14"/>
              </w:rPr>
              <w:t>знака;</w:t>
            </w:r>
          </w:p>
          <w:p w:rsidR="00041039" w:rsidRDefault="001B26CB">
            <w:pPr>
              <w:pStyle w:val="TableParagraph"/>
              <w:tabs>
                <w:tab w:val="left" w:pos="157"/>
              </w:tabs>
              <w:spacing w:before="1" w:line="160" w:lineRule="exact"/>
              <w:ind w:right="146" w:hanging="99"/>
              <w:rPr>
                <w:sz w:val="14"/>
              </w:rPr>
            </w:pPr>
            <w:r>
              <w:rPr>
                <w:color w:val="231F20"/>
                <w:sz w:val="14"/>
              </w:rPr>
              <w:t>разуме природу модерног</w:t>
            </w:r>
            <w:r>
              <w:rPr>
                <w:color w:val="231F20"/>
                <w:spacing w:val="-20"/>
                <w:sz w:val="14"/>
              </w:rPr>
              <w:t xml:space="preserve"> </w:t>
            </w:r>
            <w:r>
              <w:rPr>
                <w:color w:val="231F20"/>
                <w:sz w:val="14"/>
              </w:rPr>
              <w:t>књижевног (стандардног)</w:t>
            </w:r>
            <w:r>
              <w:rPr>
                <w:color w:val="231F20"/>
                <w:spacing w:val="-1"/>
                <w:sz w:val="14"/>
              </w:rPr>
              <w:t xml:space="preserve"> </w:t>
            </w:r>
            <w:r>
              <w:rPr>
                <w:color w:val="231F20"/>
                <w:sz w:val="14"/>
              </w:rPr>
              <w:t>језика;</w:t>
            </w:r>
          </w:p>
          <w:p w:rsidR="00041039" w:rsidRDefault="001B26CB">
            <w:pPr>
              <w:pStyle w:val="TableParagraph"/>
              <w:tabs>
                <w:tab w:val="left" w:pos="157"/>
              </w:tabs>
              <w:spacing w:line="160" w:lineRule="exact"/>
              <w:ind w:right="121" w:hanging="99"/>
              <w:rPr>
                <w:sz w:val="14"/>
              </w:rPr>
            </w:pPr>
            <w:r>
              <w:rPr>
                <w:color w:val="231F20"/>
                <w:sz w:val="14"/>
              </w:rPr>
              <w:t>наведе фазе развоја књижевног</w:t>
            </w:r>
            <w:r>
              <w:rPr>
                <w:color w:val="231F20"/>
                <w:spacing w:val="-13"/>
                <w:sz w:val="14"/>
              </w:rPr>
              <w:t xml:space="preserve"> </w:t>
            </w:r>
            <w:r>
              <w:rPr>
                <w:color w:val="231F20"/>
                <w:sz w:val="14"/>
              </w:rPr>
              <w:t>језика до</w:t>
            </w:r>
            <w:r>
              <w:rPr>
                <w:color w:val="231F20"/>
                <w:spacing w:val="-1"/>
                <w:sz w:val="14"/>
              </w:rPr>
              <w:t xml:space="preserve"> </w:t>
            </w:r>
            <w:r>
              <w:rPr>
                <w:color w:val="231F20"/>
                <w:sz w:val="14"/>
              </w:rPr>
              <w:t>19.века;</w:t>
            </w:r>
          </w:p>
          <w:p w:rsidR="00041039" w:rsidRDefault="001B26CB">
            <w:pPr>
              <w:pStyle w:val="TableParagraph"/>
              <w:tabs>
                <w:tab w:val="left" w:pos="157"/>
              </w:tabs>
              <w:spacing w:line="160" w:lineRule="exact"/>
              <w:ind w:right="150" w:hanging="99"/>
              <w:rPr>
                <w:sz w:val="14"/>
              </w:rPr>
            </w:pPr>
            <w:r>
              <w:rPr>
                <w:color w:val="231F20"/>
                <w:sz w:val="14"/>
              </w:rPr>
              <w:t>наведе дисциплине које се баве</w:t>
            </w:r>
            <w:r>
              <w:rPr>
                <w:color w:val="231F20"/>
                <w:spacing w:val="-20"/>
                <w:sz w:val="14"/>
              </w:rPr>
              <w:t xml:space="preserve"> </w:t>
            </w:r>
            <w:r>
              <w:rPr>
                <w:color w:val="231F20"/>
                <w:sz w:val="14"/>
              </w:rPr>
              <w:t>проу­ чавањем језичког</w:t>
            </w:r>
            <w:r>
              <w:rPr>
                <w:color w:val="231F20"/>
                <w:spacing w:val="-2"/>
                <w:sz w:val="14"/>
              </w:rPr>
              <w:t xml:space="preserve"> </w:t>
            </w:r>
            <w:r>
              <w:rPr>
                <w:color w:val="231F20"/>
                <w:sz w:val="14"/>
              </w:rPr>
              <w:t>система;</w:t>
            </w:r>
          </w:p>
        </w:tc>
        <w:tc>
          <w:tcPr>
            <w:tcW w:w="2834" w:type="dxa"/>
          </w:tcPr>
          <w:p w:rsidR="00041039" w:rsidRDefault="001B26CB">
            <w:pPr>
              <w:pStyle w:val="TableParagraph"/>
              <w:tabs>
                <w:tab w:val="left" w:pos="157"/>
              </w:tabs>
              <w:spacing w:before="9"/>
              <w:ind w:right="290" w:hanging="99"/>
              <w:rPr>
                <w:sz w:val="14"/>
              </w:rPr>
            </w:pPr>
            <w:r>
              <w:rPr>
                <w:color w:val="231F20"/>
                <w:sz w:val="14"/>
              </w:rPr>
              <w:t xml:space="preserve">Место језика у </w:t>
            </w:r>
            <w:r>
              <w:rPr>
                <w:color w:val="231F20"/>
                <w:spacing w:val="-3"/>
                <w:sz w:val="14"/>
              </w:rPr>
              <w:t xml:space="preserve">људском друштву, </w:t>
            </w:r>
            <w:r>
              <w:rPr>
                <w:color w:val="231F20"/>
                <w:sz w:val="14"/>
              </w:rPr>
              <w:t>битна својства језика, језик и</w:t>
            </w:r>
            <w:r>
              <w:rPr>
                <w:color w:val="231F20"/>
                <w:spacing w:val="-13"/>
                <w:sz w:val="14"/>
              </w:rPr>
              <w:t xml:space="preserve"> </w:t>
            </w:r>
            <w:r>
              <w:rPr>
                <w:color w:val="231F20"/>
                <w:sz w:val="14"/>
              </w:rPr>
              <w:t>комуникација.</w:t>
            </w:r>
          </w:p>
          <w:p w:rsidR="00041039" w:rsidRDefault="001B26CB">
            <w:pPr>
              <w:pStyle w:val="TableParagraph"/>
              <w:tabs>
                <w:tab w:val="left" w:pos="157"/>
              </w:tabs>
              <w:spacing w:line="160" w:lineRule="exact"/>
              <w:ind w:right="677" w:hanging="99"/>
              <w:rPr>
                <w:sz w:val="14"/>
              </w:rPr>
            </w:pPr>
            <w:r>
              <w:rPr>
                <w:color w:val="231F20"/>
                <w:sz w:val="14"/>
              </w:rPr>
              <w:t>Књижевни језик, језичка норма</w:t>
            </w:r>
            <w:r>
              <w:rPr>
                <w:color w:val="231F20"/>
                <w:spacing w:val="-15"/>
                <w:sz w:val="14"/>
              </w:rPr>
              <w:t xml:space="preserve"> </w:t>
            </w:r>
            <w:r>
              <w:rPr>
                <w:color w:val="231F20"/>
                <w:sz w:val="14"/>
              </w:rPr>
              <w:t>и стандардизација.</w:t>
            </w:r>
          </w:p>
          <w:p w:rsidR="00041039" w:rsidRDefault="001B26CB">
            <w:pPr>
              <w:pStyle w:val="TableParagraph"/>
              <w:tabs>
                <w:tab w:val="left" w:pos="157"/>
              </w:tabs>
              <w:spacing w:line="153" w:lineRule="exact"/>
              <w:ind w:hanging="99"/>
              <w:rPr>
                <w:sz w:val="14"/>
              </w:rPr>
            </w:pPr>
            <w:r>
              <w:rPr>
                <w:color w:val="231F20"/>
                <w:sz w:val="14"/>
              </w:rPr>
              <w:t xml:space="preserve">Језички систем и </w:t>
            </w:r>
            <w:r>
              <w:rPr>
                <w:color w:val="231F20"/>
                <w:spacing w:val="-3"/>
                <w:sz w:val="14"/>
              </w:rPr>
              <w:t xml:space="preserve">науке </w:t>
            </w:r>
            <w:r>
              <w:rPr>
                <w:color w:val="231F20"/>
                <w:sz w:val="14"/>
              </w:rPr>
              <w:t>које се њиме</w:t>
            </w:r>
            <w:r>
              <w:rPr>
                <w:color w:val="231F20"/>
                <w:spacing w:val="-8"/>
                <w:sz w:val="14"/>
              </w:rPr>
              <w:t xml:space="preserve"> </w:t>
            </w:r>
            <w:r>
              <w:rPr>
                <w:color w:val="231F20"/>
                <w:sz w:val="14"/>
              </w:rPr>
              <w:t>баве.</w:t>
            </w:r>
          </w:p>
          <w:p w:rsidR="00041039" w:rsidRDefault="001B26CB">
            <w:pPr>
              <w:pStyle w:val="TableParagraph"/>
              <w:tabs>
                <w:tab w:val="left" w:pos="157"/>
              </w:tabs>
              <w:spacing w:line="166" w:lineRule="exact"/>
              <w:ind w:hanging="99"/>
              <w:rPr>
                <w:sz w:val="14"/>
              </w:rPr>
            </w:pPr>
            <w:r>
              <w:rPr>
                <w:color w:val="231F20"/>
                <w:sz w:val="14"/>
              </w:rPr>
              <w:t>Књижев</w:t>
            </w:r>
            <w:r>
              <w:rPr>
                <w:color w:val="231F20"/>
                <w:sz w:val="14"/>
              </w:rPr>
              <w:t xml:space="preserve">ни језици </w:t>
            </w:r>
            <w:r>
              <w:rPr>
                <w:color w:val="231F20"/>
                <w:spacing w:val="-4"/>
                <w:sz w:val="14"/>
              </w:rPr>
              <w:t xml:space="preserve">код </w:t>
            </w:r>
            <w:r>
              <w:rPr>
                <w:color w:val="231F20"/>
                <w:sz w:val="14"/>
              </w:rPr>
              <w:t>Срба до XIX</w:t>
            </w:r>
            <w:r>
              <w:rPr>
                <w:color w:val="231F20"/>
                <w:spacing w:val="-3"/>
                <w:sz w:val="14"/>
              </w:rPr>
              <w:t xml:space="preserve"> </w:t>
            </w:r>
            <w:r>
              <w:rPr>
                <w:color w:val="231F20"/>
                <w:sz w:val="14"/>
              </w:rPr>
              <w:t>века.</w:t>
            </w:r>
          </w:p>
        </w:tc>
        <w:tc>
          <w:tcPr>
            <w:tcW w:w="2267" w:type="dxa"/>
            <w:vMerge/>
            <w:tcBorders>
              <w:top w:val="nil"/>
            </w:tcBorders>
          </w:tcPr>
          <w:p w:rsidR="00041039" w:rsidRDefault="00041039">
            <w:pPr>
              <w:rPr>
                <w:sz w:val="2"/>
                <w:szCs w:val="2"/>
              </w:rPr>
            </w:pPr>
          </w:p>
        </w:tc>
      </w:tr>
      <w:tr w:rsidR="00041039">
        <w:trPr>
          <w:trHeight w:val="2440"/>
        </w:trPr>
        <w:tc>
          <w:tcPr>
            <w:tcW w:w="1304" w:type="dxa"/>
          </w:tcPr>
          <w:p w:rsidR="00041039" w:rsidRDefault="001B26CB">
            <w:pPr>
              <w:pStyle w:val="TableParagraph"/>
              <w:spacing w:before="19"/>
              <w:ind w:left="56"/>
              <w:rPr>
                <w:sz w:val="14"/>
              </w:rPr>
            </w:pPr>
            <w:r>
              <w:rPr>
                <w:color w:val="231F20"/>
                <w:sz w:val="14"/>
              </w:rPr>
              <w:t>Фонетика</w:t>
            </w:r>
          </w:p>
        </w:tc>
        <w:tc>
          <w:tcPr>
            <w:tcW w:w="1587" w:type="dxa"/>
          </w:tcPr>
          <w:p w:rsidR="00041039" w:rsidRDefault="001B26CB">
            <w:pPr>
              <w:pStyle w:val="TableParagraph"/>
              <w:tabs>
                <w:tab w:val="left" w:pos="157"/>
              </w:tabs>
              <w:spacing w:before="9"/>
              <w:ind w:right="334" w:hanging="100"/>
              <w:rPr>
                <w:sz w:val="14"/>
              </w:rPr>
            </w:pPr>
            <w:r>
              <w:rPr>
                <w:color w:val="231F20"/>
                <w:sz w:val="14"/>
              </w:rPr>
              <w:t>Стицање знања</w:t>
            </w:r>
            <w:r>
              <w:rPr>
                <w:color w:val="231F20"/>
                <w:spacing w:val="-12"/>
                <w:sz w:val="14"/>
              </w:rPr>
              <w:t xml:space="preserve"> </w:t>
            </w:r>
            <w:r>
              <w:rPr>
                <w:color w:val="231F20"/>
                <w:sz w:val="14"/>
              </w:rPr>
              <w:t>из области фонети­ ке (фонологије) и морфофонологије</w:t>
            </w:r>
          </w:p>
          <w:p w:rsidR="00041039" w:rsidRDefault="001B26CB">
            <w:pPr>
              <w:pStyle w:val="TableParagraph"/>
              <w:spacing w:line="237" w:lineRule="auto"/>
              <w:ind w:right="223"/>
              <w:rPr>
                <w:sz w:val="14"/>
              </w:rPr>
            </w:pPr>
            <w:r>
              <w:rPr>
                <w:color w:val="231F20"/>
                <w:sz w:val="14"/>
              </w:rPr>
              <w:t>књижевног језика и способности да се та знања примене у говору и писању.</w:t>
            </w:r>
          </w:p>
        </w:tc>
        <w:tc>
          <w:tcPr>
            <w:tcW w:w="2551" w:type="dxa"/>
          </w:tcPr>
          <w:p w:rsidR="00041039" w:rsidRDefault="001B26CB">
            <w:pPr>
              <w:pStyle w:val="TableParagraph"/>
              <w:tabs>
                <w:tab w:val="left" w:pos="157"/>
              </w:tabs>
              <w:spacing w:before="9" w:line="166" w:lineRule="exact"/>
              <w:ind w:hanging="99"/>
              <w:rPr>
                <w:sz w:val="14"/>
              </w:rPr>
            </w:pPr>
            <w:r>
              <w:rPr>
                <w:color w:val="231F20"/>
                <w:sz w:val="14"/>
              </w:rPr>
              <w:t>уме да се служи</w:t>
            </w:r>
            <w:r>
              <w:rPr>
                <w:color w:val="231F20"/>
                <w:spacing w:val="-2"/>
                <w:sz w:val="14"/>
              </w:rPr>
              <w:t xml:space="preserve"> </w:t>
            </w:r>
            <w:r>
              <w:rPr>
                <w:color w:val="231F20"/>
                <w:sz w:val="14"/>
              </w:rPr>
              <w:t>правописом;</w:t>
            </w:r>
          </w:p>
          <w:p w:rsidR="00041039" w:rsidRDefault="001B26CB">
            <w:pPr>
              <w:pStyle w:val="TableParagraph"/>
              <w:tabs>
                <w:tab w:val="left" w:pos="157"/>
              </w:tabs>
              <w:spacing w:line="160" w:lineRule="exact"/>
              <w:ind w:hanging="99"/>
              <w:rPr>
                <w:sz w:val="14"/>
              </w:rPr>
            </w:pPr>
            <w:r>
              <w:rPr>
                <w:color w:val="231F20"/>
                <w:sz w:val="14"/>
              </w:rPr>
              <w:t>разликује гласовне</w:t>
            </w:r>
            <w:r>
              <w:rPr>
                <w:color w:val="231F20"/>
                <w:spacing w:val="-5"/>
                <w:sz w:val="14"/>
              </w:rPr>
              <w:t xml:space="preserve"> </w:t>
            </w:r>
            <w:r>
              <w:rPr>
                <w:color w:val="231F20"/>
                <w:sz w:val="14"/>
              </w:rPr>
              <w:t>алтернације;</w:t>
            </w:r>
          </w:p>
          <w:p w:rsidR="00041039" w:rsidRDefault="001B26CB">
            <w:pPr>
              <w:pStyle w:val="TableParagraph"/>
              <w:tabs>
                <w:tab w:val="left" w:pos="157"/>
              </w:tabs>
              <w:spacing w:line="237" w:lineRule="auto"/>
              <w:ind w:right="60" w:hanging="99"/>
              <w:rPr>
                <w:sz w:val="14"/>
              </w:rPr>
            </w:pPr>
            <w:r>
              <w:rPr>
                <w:color w:val="231F20"/>
                <w:sz w:val="14"/>
              </w:rPr>
              <w:t>влада акценатским гласовним систе­ мом књижевног (стандардног) језика</w:t>
            </w:r>
            <w:r>
              <w:rPr>
                <w:color w:val="231F20"/>
                <w:spacing w:val="-10"/>
                <w:sz w:val="14"/>
              </w:rPr>
              <w:t xml:space="preserve"> </w:t>
            </w:r>
            <w:r>
              <w:rPr>
                <w:color w:val="231F20"/>
                <w:sz w:val="14"/>
              </w:rPr>
              <w:t>и да га примењује у</w:t>
            </w:r>
            <w:r>
              <w:rPr>
                <w:color w:val="231F20"/>
                <w:spacing w:val="-5"/>
                <w:sz w:val="14"/>
              </w:rPr>
              <w:t xml:space="preserve"> </w:t>
            </w:r>
            <w:r>
              <w:rPr>
                <w:color w:val="231F20"/>
                <w:sz w:val="14"/>
              </w:rPr>
              <w:t>говору;</w:t>
            </w:r>
          </w:p>
        </w:tc>
        <w:tc>
          <w:tcPr>
            <w:tcW w:w="2834" w:type="dxa"/>
          </w:tcPr>
          <w:p w:rsidR="00041039" w:rsidRDefault="001B26CB">
            <w:pPr>
              <w:pStyle w:val="TableParagraph"/>
              <w:tabs>
                <w:tab w:val="left" w:pos="158"/>
              </w:tabs>
              <w:spacing w:before="9" w:line="166" w:lineRule="exact"/>
              <w:ind w:left="157" w:hanging="100"/>
              <w:rPr>
                <w:sz w:val="14"/>
              </w:rPr>
            </w:pPr>
            <w:r>
              <w:rPr>
                <w:color w:val="231F20"/>
                <w:sz w:val="14"/>
              </w:rPr>
              <w:t>Фонетика и</w:t>
            </w:r>
            <w:r>
              <w:rPr>
                <w:color w:val="231F20"/>
                <w:spacing w:val="-2"/>
                <w:sz w:val="14"/>
              </w:rPr>
              <w:t xml:space="preserve"> </w:t>
            </w:r>
            <w:r>
              <w:rPr>
                <w:color w:val="231F20"/>
                <w:sz w:val="14"/>
              </w:rPr>
              <w:t>фонологија.</w:t>
            </w:r>
          </w:p>
          <w:p w:rsidR="00041039" w:rsidRDefault="001B26CB">
            <w:pPr>
              <w:pStyle w:val="TableParagraph"/>
              <w:tabs>
                <w:tab w:val="left" w:pos="158"/>
              </w:tabs>
              <w:spacing w:line="160" w:lineRule="exact"/>
              <w:ind w:left="157" w:hanging="100"/>
              <w:rPr>
                <w:sz w:val="14"/>
              </w:rPr>
            </w:pPr>
            <w:r>
              <w:rPr>
                <w:color w:val="231F20"/>
                <w:spacing w:val="-3"/>
                <w:sz w:val="14"/>
              </w:rPr>
              <w:t xml:space="preserve">Гласови </w:t>
            </w:r>
            <w:r>
              <w:rPr>
                <w:color w:val="231F20"/>
                <w:sz w:val="14"/>
              </w:rPr>
              <w:t>књижевног језика и њихов</w:t>
            </w:r>
            <w:r>
              <w:rPr>
                <w:color w:val="231F20"/>
                <w:spacing w:val="-19"/>
                <w:sz w:val="14"/>
              </w:rPr>
              <w:t xml:space="preserve"> </w:t>
            </w:r>
            <w:r>
              <w:rPr>
                <w:color w:val="231F20"/>
                <w:sz w:val="14"/>
              </w:rPr>
              <w:t>изговор.</w:t>
            </w:r>
          </w:p>
          <w:p w:rsidR="00041039" w:rsidRDefault="001B26CB">
            <w:pPr>
              <w:pStyle w:val="TableParagraph"/>
              <w:tabs>
                <w:tab w:val="left" w:pos="158"/>
              </w:tabs>
              <w:spacing w:line="237" w:lineRule="auto"/>
              <w:ind w:left="157" w:right="131" w:hanging="100"/>
              <w:rPr>
                <w:sz w:val="14"/>
              </w:rPr>
            </w:pPr>
            <w:r>
              <w:rPr>
                <w:color w:val="231F20"/>
                <w:spacing w:val="-3"/>
                <w:sz w:val="14"/>
              </w:rPr>
              <w:t xml:space="preserve">Гласовне </w:t>
            </w:r>
            <w:r>
              <w:rPr>
                <w:color w:val="231F20"/>
                <w:sz w:val="14"/>
              </w:rPr>
              <w:t>алтернације сугласника (звучних и безвучних; с:ш, з:ж, н:м;</w:t>
            </w:r>
            <w:r>
              <w:rPr>
                <w:color w:val="231F20"/>
                <w:spacing w:val="-14"/>
                <w:sz w:val="14"/>
              </w:rPr>
              <w:t xml:space="preserve"> </w:t>
            </w:r>
            <w:r>
              <w:rPr>
                <w:color w:val="231F20"/>
                <w:sz w:val="14"/>
              </w:rPr>
              <w:t>к,г,х:ч,ж,ш</w:t>
            </w:r>
          </w:p>
          <w:p w:rsidR="00041039" w:rsidRDefault="001B26CB">
            <w:pPr>
              <w:pStyle w:val="TableParagraph"/>
              <w:ind w:left="157" w:right="84"/>
              <w:rPr>
                <w:sz w:val="14"/>
              </w:rPr>
            </w:pPr>
            <w:r>
              <w:rPr>
                <w:color w:val="231F20"/>
                <w:sz w:val="14"/>
              </w:rPr>
              <w:t>и к,г,х:ц,з,</w:t>
            </w:r>
            <w:r>
              <w:rPr>
                <w:color w:val="231F20"/>
                <w:sz w:val="14"/>
              </w:rPr>
              <w:t>с; алтернације ненепчаних са предњонепчаним сугласницима), гласовне алтернације самогласника (промена о у е, непостојано а, промена сонанта л у вокал о), и губљење сугласника са правописним решењима.</w:t>
            </w:r>
          </w:p>
          <w:p w:rsidR="00041039" w:rsidRDefault="001B26CB">
            <w:pPr>
              <w:pStyle w:val="TableParagraph"/>
              <w:tabs>
                <w:tab w:val="left" w:pos="158"/>
              </w:tabs>
              <w:spacing w:line="155" w:lineRule="exact"/>
              <w:ind w:left="157" w:hanging="100"/>
              <w:rPr>
                <w:sz w:val="14"/>
              </w:rPr>
            </w:pPr>
            <w:r>
              <w:rPr>
                <w:color w:val="231F20"/>
                <w:sz w:val="14"/>
              </w:rPr>
              <w:t>Акценатски систем књижевног</w:t>
            </w:r>
            <w:r>
              <w:rPr>
                <w:color w:val="231F20"/>
                <w:spacing w:val="-3"/>
                <w:sz w:val="14"/>
              </w:rPr>
              <w:t xml:space="preserve"> </w:t>
            </w:r>
            <w:r>
              <w:rPr>
                <w:color w:val="231F20"/>
                <w:sz w:val="14"/>
              </w:rPr>
              <w:t>језика,</w:t>
            </w:r>
          </w:p>
          <w:p w:rsidR="00041039" w:rsidRDefault="001B26CB">
            <w:pPr>
              <w:pStyle w:val="TableParagraph"/>
              <w:ind w:left="157"/>
              <w:rPr>
                <w:sz w:val="14"/>
              </w:rPr>
            </w:pPr>
            <w:r>
              <w:rPr>
                <w:color w:val="231F20"/>
                <w:sz w:val="14"/>
              </w:rPr>
              <w:t>диференцијација у односу на дијалекатско окружење.</w:t>
            </w:r>
          </w:p>
          <w:p w:rsidR="00041039" w:rsidRDefault="001B26CB">
            <w:pPr>
              <w:pStyle w:val="TableParagraph"/>
              <w:tabs>
                <w:tab w:val="left" w:pos="158"/>
              </w:tabs>
              <w:spacing w:line="160" w:lineRule="exact"/>
              <w:ind w:left="157" w:right="328" w:hanging="100"/>
              <w:rPr>
                <w:sz w:val="14"/>
              </w:rPr>
            </w:pPr>
            <w:r>
              <w:rPr>
                <w:color w:val="231F20"/>
                <w:sz w:val="14"/>
              </w:rPr>
              <w:t>Основна правила акцентуације</w:t>
            </w:r>
            <w:r>
              <w:rPr>
                <w:color w:val="231F20"/>
                <w:spacing w:val="-23"/>
                <w:sz w:val="14"/>
              </w:rPr>
              <w:t xml:space="preserve"> </w:t>
            </w:r>
            <w:r>
              <w:rPr>
                <w:color w:val="231F20"/>
                <w:sz w:val="14"/>
              </w:rPr>
              <w:t>српског књижевног</w:t>
            </w:r>
            <w:r>
              <w:rPr>
                <w:color w:val="231F20"/>
                <w:spacing w:val="-1"/>
                <w:sz w:val="14"/>
              </w:rPr>
              <w:t xml:space="preserve"> </w:t>
            </w:r>
            <w:r>
              <w:rPr>
                <w:color w:val="231F20"/>
                <w:sz w:val="14"/>
              </w:rPr>
              <w:t>језика.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tabs>
                <w:tab w:val="left" w:pos="157"/>
              </w:tabs>
              <w:spacing w:before="9"/>
              <w:ind w:right="218" w:hanging="99"/>
              <w:rPr>
                <w:sz w:val="14"/>
              </w:rPr>
            </w:pPr>
            <w:r>
              <w:rPr>
                <w:color w:val="231F20"/>
                <w:sz w:val="14"/>
              </w:rPr>
              <w:t>Оспособљавање ученика да пишу у складу са правопис­ ном</w:t>
            </w:r>
            <w:r>
              <w:rPr>
                <w:color w:val="231F20"/>
                <w:spacing w:val="-1"/>
                <w:sz w:val="14"/>
              </w:rPr>
              <w:t xml:space="preserve"> </w:t>
            </w:r>
            <w:r>
              <w:rPr>
                <w:color w:val="231F20"/>
                <w:sz w:val="14"/>
              </w:rPr>
              <w:t>нормом.</w:t>
            </w:r>
          </w:p>
        </w:tc>
        <w:tc>
          <w:tcPr>
            <w:tcW w:w="2551" w:type="dxa"/>
          </w:tcPr>
          <w:p w:rsidR="00041039" w:rsidRDefault="001B26CB">
            <w:pPr>
              <w:pStyle w:val="TableParagraph"/>
              <w:tabs>
                <w:tab w:val="left" w:pos="157"/>
              </w:tabs>
              <w:spacing w:before="9"/>
              <w:ind w:right="166" w:hanging="99"/>
              <w:rPr>
                <w:sz w:val="14"/>
              </w:rPr>
            </w:pPr>
            <w:r>
              <w:rPr>
                <w:color w:val="231F20"/>
                <w:sz w:val="14"/>
              </w:rPr>
              <w:t>примени</w:t>
            </w:r>
            <w:r>
              <w:rPr>
                <w:color w:val="231F20"/>
                <w:spacing w:val="-8"/>
                <w:sz w:val="14"/>
              </w:rPr>
              <w:t xml:space="preserve"> </w:t>
            </w:r>
            <w:r>
              <w:rPr>
                <w:color w:val="231F20"/>
                <w:sz w:val="14"/>
              </w:rPr>
              <w:t>знања</w:t>
            </w:r>
            <w:r>
              <w:rPr>
                <w:color w:val="231F20"/>
                <w:spacing w:val="-8"/>
                <w:sz w:val="14"/>
              </w:rPr>
              <w:t xml:space="preserve"> </w:t>
            </w:r>
            <w:r>
              <w:rPr>
                <w:color w:val="231F20"/>
                <w:sz w:val="14"/>
              </w:rPr>
              <w:t>о</w:t>
            </w:r>
            <w:r>
              <w:rPr>
                <w:color w:val="231F20"/>
                <w:spacing w:val="-7"/>
                <w:sz w:val="14"/>
              </w:rPr>
              <w:t xml:space="preserve"> </w:t>
            </w:r>
            <w:r>
              <w:rPr>
                <w:color w:val="231F20"/>
                <w:sz w:val="14"/>
              </w:rPr>
              <w:t>гласовним</w:t>
            </w:r>
            <w:r>
              <w:rPr>
                <w:color w:val="231F20"/>
                <w:spacing w:val="-8"/>
                <w:sz w:val="14"/>
              </w:rPr>
              <w:t xml:space="preserve"> </w:t>
            </w:r>
            <w:r>
              <w:rPr>
                <w:color w:val="231F20"/>
                <w:sz w:val="14"/>
              </w:rPr>
              <w:t>алтерна­ цијама у складу са језичком</w:t>
            </w:r>
            <w:r>
              <w:rPr>
                <w:color w:val="231F20"/>
                <w:spacing w:val="-21"/>
                <w:sz w:val="14"/>
              </w:rPr>
              <w:t xml:space="preserve"> </w:t>
            </w:r>
            <w:r>
              <w:rPr>
                <w:color w:val="231F20"/>
                <w:sz w:val="14"/>
              </w:rPr>
              <w:t>нормом;</w:t>
            </w:r>
          </w:p>
          <w:p w:rsidR="00041039" w:rsidRDefault="001B26CB">
            <w:pPr>
              <w:pStyle w:val="TableParagraph"/>
              <w:tabs>
                <w:tab w:val="left" w:pos="157"/>
              </w:tabs>
              <w:spacing w:line="160" w:lineRule="exact"/>
              <w:ind w:right="262" w:hanging="99"/>
              <w:rPr>
                <w:sz w:val="14"/>
              </w:rPr>
            </w:pPr>
            <w:r>
              <w:rPr>
                <w:color w:val="231F20"/>
                <w:sz w:val="14"/>
              </w:rPr>
              <w:t>примени употребу великог и малог слова у складу са језичком</w:t>
            </w:r>
            <w:r>
              <w:rPr>
                <w:color w:val="231F20"/>
                <w:spacing w:val="-22"/>
                <w:sz w:val="14"/>
              </w:rPr>
              <w:t xml:space="preserve"> </w:t>
            </w:r>
            <w:r>
              <w:rPr>
                <w:color w:val="231F20"/>
                <w:sz w:val="14"/>
              </w:rPr>
              <w:t>нормом;</w:t>
            </w:r>
          </w:p>
          <w:p w:rsidR="00041039" w:rsidRDefault="001B26CB">
            <w:pPr>
              <w:pStyle w:val="TableParagraph"/>
              <w:tabs>
                <w:tab w:val="left" w:pos="157"/>
              </w:tabs>
              <w:spacing w:before="1" w:line="160" w:lineRule="exact"/>
              <w:ind w:right="134" w:hanging="99"/>
              <w:rPr>
                <w:sz w:val="14"/>
              </w:rPr>
            </w:pPr>
            <w:r>
              <w:rPr>
                <w:color w:val="231F20"/>
                <w:sz w:val="14"/>
              </w:rPr>
              <w:t>подели речи на крају реда у складу</w:t>
            </w:r>
            <w:r>
              <w:rPr>
                <w:color w:val="231F20"/>
                <w:spacing w:val="-13"/>
                <w:sz w:val="14"/>
              </w:rPr>
              <w:t xml:space="preserve"> </w:t>
            </w:r>
            <w:r>
              <w:rPr>
                <w:color w:val="231F20"/>
                <w:sz w:val="14"/>
              </w:rPr>
              <w:t>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tabs>
                <w:tab w:val="left" w:pos="158"/>
              </w:tabs>
              <w:spacing w:before="9"/>
              <w:ind w:left="157" w:right="150" w:hanging="100"/>
              <w:rPr>
                <w:sz w:val="14"/>
              </w:rPr>
            </w:pPr>
            <w:r>
              <w:rPr>
                <w:color w:val="231F20"/>
                <w:spacing w:val="-3"/>
                <w:sz w:val="14"/>
              </w:rPr>
              <w:t xml:space="preserve">Главне </w:t>
            </w:r>
            <w:r>
              <w:rPr>
                <w:color w:val="231F20"/>
                <w:sz w:val="14"/>
              </w:rPr>
              <w:t xml:space="preserve">норме писања великог и малог слова (на почетку реченице, наслови и натписи, властита имена, имена народа, географски појмови, </w:t>
            </w:r>
            <w:r>
              <w:rPr>
                <w:color w:val="231F20"/>
                <w:sz w:val="14"/>
              </w:rPr>
              <w:t>небеска тела, праз­ ници, установе и организације, присвојни придеви на ­ов и ­ин, куртоазна употреба великог слова, вишечлана имена земаља</w:t>
            </w:r>
            <w:r>
              <w:rPr>
                <w:color w:val="231F20"/>
                <w:spacing w:val="-25"/>
                <w:sz w:val="14"/>
              </w:rPr>
              <w:t xml:space="preserve"> </w:t>
            </w:r>
            <w:r>
              <w:rPr>
                <w:color w:val="231F20"/>
                <w:sz w:val="14"/>
              </w:rPr>
              <w:t>и остала вишечлана имена, помоћне речи у именима, називи серијских и апстрактних појмова, звања,</w:t>
            </w:r>
            <w:r>
              <w:rPr>
                <w:color w:val="231F20"/>
                <w:spacing w:val="-2"/>
                <w:sz w:val="14"/>
              </w:rPr>
              <w:t xml:space="preserve"> </w:t>
            </w:r>
            <w:r>
              <w:rPr>
                <w:color w:val="231F20"/>
                <w:sz w:val="14"/>
              </w:rPr>
              <w:t>титуле...).</w:t>
            </w:r>
          </w:p>
          <w:p w:rsidR="00041039" w:rsidRDefault="001B26CB">
            <w:pPr>
              <w:pStyle w:val="TableParagraph"/>
              <w:tabs>
                <w:tab w:val="left" w:pos="158"/>
              </w:tabs>
              <w:spacing w:line="150" w:lineRule="exact"/>
              <w:ind w:left="157" w:hanging="100"/>
              <w:rPr>
                <w:sz w:val="14"/>
              </w:rPr>
            </w:pPr>
            <w:r>
              <w:rPr>
                <w:color w:val="231F20"/>
                <w:sz w:val="14"/>
              </w:rPr>
              <w:t xml:space="preserve">Подела </w:t>
            </w:r>
            <w:r>
              <w:rPr>
                <w:color w:val="231F20"/>
                <w:sz w:val="14"/>
              </w:rPr>
              <w:t>речи на крају</w:t>
            </w:r>
            <w:r>
              <w:rPr>
                <w:color w:val="231F20"/>
                <w:spacing w:val="-3"/>
                <w:sz w:val="14"/>
              </w:rPr>
              <w:t xml:space="preserve"> </w:t>
            </w:r>
            <w:r>
              <w:rPr>
                <w:color w:val="231F20"/>
                <w:sz w:val="14"/>
              </w:rPr>
              <w:t>реда.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tabs>
                <w:tab w:val="left" w:pos="157"/>
              </w:tabs>
              <w:spacing w:before="10"/>
              <w:ind w:right="158" w:hanging="99"/>
              <w:rPr>
                <w:sz w:val="14"/>
              </w:rPr>
            </w:pPr>
            <w:r>
              <w:rPr>
                <w:color w:val="231F20"/>
                <w:sz w:val="14"/>
              </w:rPr>
              <w:t>Оспособљавање ученика да користе различите облике казивања и</w:t>
            </w:r>
            <w:r>
              <w:rPr>
                <w:color w:val="231F20"/>
                <w:spacing w:val="-10"/>
                <w:sz w:val="14"/>
              </w:rPr>
              <w:t xml:space="preserve"> </w:t>
            </w:r>
            <w:r>
              <w:rPr>
                <w:color w:val="231F20"/>
                <w:sz w:val="14"/>
              </w:rPr>
              <w:t>функцио­ налне</w:t>
            </w:r>
            <w:r>
              <w:rPr>
                <w:color w:val="231F20"/>
                <w:spacing w:val="-2"/>
                <w:sz w:val="14"/>
              </w:rPr>
              <w:t xml:space="preserve"> </w:t>
            </w:r>
            <w:r>
              <w:rPr>
                <w:color w:val="231F20"/>
                <w:sz w:val="14"/>
              </w:rPr>
              <w:t>стилове.</w:t>
            </w:r>
          </w:p>
        </w:tc>
        <w:tc>
          <w:tcPr>
            <w:tcW w:w="2551" w:type="dxa"/>
          </w:tcPr>
          <w:p w:rsidR="00041039" w:rsidRDefault="001B26CB">
            <w:pPr>
              <w:pStyle w:val="TableParagraph"/>
              <w:tabs>
                <w:tab w:val="left" w:pos="158"/>
              </w:tabs>
              <w:spacing w:before="10"/>
              <w:ind w:left="157" w:right="142" w:hanging="100"/>
              <w:rPr>
                <w:sz w:val="14"/>
              </w:rPr>
            </w:pPr>
            <w:r>
              <w:rPr>
                <w:color w:val="231F20"/>
                <w:sz w:val="14"/>
              </w:rPr>
              <w:t>опише стања, осећања. расположења. изрази ставове, донесе закључке у усменом и писаном</w:t>
            </w:r>
            <w:r>
              <w:rPr>
                <w:color w:val="231F20"/>
                <w:spacing w:val="-6"/>
                <w:sz w:val="14"/>
              </w:rPr>
              <w:t xml:space="preserve"> </w:t>
            </w:r>
            <w:r>
              <w:rPr>
                <w:color w:val="231F20"/>
                <w:sz w:val="14"/>
              </w:rPr>
              <w:t>изражавању;</w:t>
            </w:r>
          </w:p>
          <w:p w:rsidR="00041039" w:rsidRDefault="001B26CB">
            <w:pPr>
              <w:pStyle w:val="TableParagraph"/>
              <w:tabs>
                <w:tab w:val="left" w:pos="158"/>
              </w:tabs>
              <w:spacing w:line="152" w:lineRule="exact"/>
              <w:ind w:left="157" w:hanging="100"/>
              <w:rPr>
                <w:sz w:val="14"/>
              </w:rPr>
            </w:pPr>
            <w:r>
              <w:rPr>
                <w:color w:val="231F20"/>
                <w:sz w:val="14"/>
              </w:rPr>
              <w:t>разликује функционалне</w:t>
            </w:r>
            <w:r>
              <w:rPr>
                <w:color w:val="231F20"/>
                <w:spacing w:val="-3"/>
                <w:sz w:val="14"/>
              </w:rPr>
              <w:t xml:space="preserve"> </w:t>
            </w:r>
            <w:r>
              <w:rPr>
                <w:color w:val="231F20"/>
                <w:sz w:val="14"/>
              </w:rPr>
              <w:t>стилове;</w:t>
            </w:r>
          </w:p>
          <w:p w:rsidR="00041039" w:rsidRDefault="001B26CB">
            <w:pPr>
              <w:pStyle w:val="TableParagraph"/>
              <w:tabs>
                <w:tab w:val="left" w:pos="158"/>
              </w:tabs>
              <w:spacing w:line="237" w:lineRule="auto"/>
              <w:ind w:left="157" w:right="409" w:hanging="100"/>
              <w:rPr>
                <w:sz w:val="14"/>
              </w:rPr>
            </w:pPr>
            <w:r>
              <w:rPr>
                <w:color w:val="231F20"/>
                <w:sz w:val="14"/>
              </w:rPr>
              <w:t>препозна и примени одлике раз­ говорног и</w:t>
            </w:r>
            <w:r>
              <w:rPr>
                <w:color w:val="231F20"/>
                <w:spacing w:val="-22"/>
                <w:sz w:val="14"/>
              </w:rPr>
              <w:t xml:space="preserve"> </w:t>
            </w:r>
            <w:r>
              <w:rPr>
                <w:color w:val="231F20"/>
                <w:sz w:val="14"/>
              </w:rPr>
              <w:t>књижевноуметничког функционалног</w:t>
            </w:r>
            <w:r>
              <w:rPr>
                <w:color w:val="231F20"/>
                <w:spacing w:val="-2"/>
                <w:sz w:val="14"/>
              </w:rPr>
              <w:t xml:space="preserve"> </w:t>
            </w:r>
            <w:r>
              <w:rPr>
                <w:color w:val="231F20"/>
                <w:sz w:val="14"/>
              </w:rPr>
              <w:t>стила;</w:t>
            </w:r>
          </w:p>
          <w:p w:rsidR="00041039" w:rsidRDefault="001B26CB">
            <w:pPr>
              <w:pStyle w:val="TableParagraph"/>
              <w:tabs>
                <w:tab w:val="left" w:pos="158"/>
              </w:tabs>
              <w:spacing w:line="237" w:lineRule="auto"/>
              <w:ind w:left="157" w:right="120" w:hanging="100"/>
              <w:rPr>
                <w:sz w:val="14"/>
              </w:rPr>
            </w:pPr>
            <w:r>
              <w:rPr>
                <w:color w:val="231F20"/>
                <w:sz w:val="14"/>
              </w:rPr>
              <w:t>попуњава формуларе. уплатнице, захтеве и слично у складу са</w:t>
            </w:r>
            <w:r>
              <w:rPr>
                <w:color w:val="231F20"/>
                <w:spacing w:val="-19"/>
                <w:sz w:val="14"/>
              </w:rPr>
              <w:t xml:space="preserve"> </w:t>
            </w:r>
            <w:r>
              <w:rPr>
                <w:color w:val="231F20"/>
                <w:sz w:val="14"/>
              </w:rPr>
              <w:t>језичком нормом;</w:t>
            </w:r>
          </w:p>
        </w:tc>
        <w:tc>
          <w:tcPr>
            <w:tcW w:w="2834" w:type="dxa"/>
          </w:tcPr>
          <w:p w:rsidR="00041039" w:rsidRDefault="001B26CB">
            <w:pPr>
              <w:pStyle w:val="TableParagraph"/>
              <w:tabs>
                <w:tab w:val="left" w:pos="158"/>
              </w:tabs>
              <w:spacing w:before="10" w:line="166" w:lineRule="exact"/>
              <w:ind w:left="157" w:hanging="100"/>
              <w:rPr>
                <w:sz w:val="14"/>
              </w:rPr>
            </w:pPr>
            <w:r>
              <w:rPr>
                <w:color w:val="231F20"/>
                <w:sz w:val="14"/>
              </w:rPr>
              <w:t>Језичке</w:t>
            </w:r>
            <w:r>
              <w:rPr>
                <w:color w:val="231F20"/>
                <w:spacing w:val="-1"/>
                <w:sz w:val="14"/>
              </w:rPr>
              <w:t xml:space="preserve"> </w:t>
            </w:r>
            <w:r>
              <w:rPr>
                <w:color w:val="231F20"/>
                <w:sz w:val="14"/>
              </w:rPr>
              <w:t>вежбе.</w:t>
            </w:r>
          </w:p>
          <w:p w:rsidR="00041039" w:rsidRDefault="001B26CB">
            <w:pPr>
              <w:pStyle w:val="TableParagraph"/>
              <w:tabs>
                <w:tab w:val="left" w:pos="158"/>
              </w:tabs>
              <w:spacing w:line="160" w:lineRule="exact"/>
              <w:ind w:left="157" w:hanging="100"/>
              <w:rPr>
                <w:sz w:val="14"/>
              </w:rPr>
            </w:pPr>
            <w:r>
              <w:rPr>
                <w:color w:val="231F20"/>
                <w:sz w:val="14"/>
              </w:rPr>
              <w:t>Стилске</w:t>
            </w:r>
            <w:r>
              <w:rPr>
                <w:color w:val="231F20"/>
                <w:spacing w:val="-1"/>
                <w:sz w:val="14"/>
              </w:rPr>
              <w:t xml:space="preserve"> </w:t>
            </w:r>
            <w:r>
              <w:rPr>
                <w:color w:val="231F20"/>
                <w:sz w:val="14"/>
              </w:rPr>
              <w:t>вежбе.</w:t>
            </w:r>
          </w:p>
          <w:p w:rsidR="00041039" w:rsidRDefault="001B26CB">
            <w:pPr>
              <w:pStyle w:val="TableParagraph"/>
              <w:tabs>
                <w:tab w:val="left" w:pos="158"/>
              </w:tabs>
              <w:spacing w:line="237" w:lineRule="auto"/>
              <w:ind w:left="157" w:right="232" w:hanging="100"/>
              <w:rPr>
                <w:sz w:val="14"/>
              </w:rPr>
            </w:pPr>
            <w:r>
              <w:rPr>
                <w:color w:val="231F20"/>
                <w:sz w:val="14"/>
              </w:rPr>
              <w:t>Врсте функционалних стилова ­ основне одлике.</w:t>
            </w:r>
          </w:p>
          <w:p w:rsidR="00041039" w:rsidRDefault="001B26CB">
            <w:pPr>
              <w:pStyle w:val="TableParagraph"/>
              <w:tabs>
                <w:tab w:val="left" w:pos="158"/>
              </w:tabs>
              <w:spacing w:line="155" w:lineRule="exact"/>
              <w:ind w:left="157" w:hanging="100"/>
              <w:rPr>
                <w:sz w:val="14"/>
              </w:rPr>
            </w:pPr>
            <w:r>
              <w:rPr>
                <w:color w:val="231F20"/>
                <w:sz w:val="14"/>
              </w:rPr>
              <w:t>Разговорни функционални</w:t>
            </w:r>
            <w:r>
              <w:rPr>
                <w:color w:val="231F20"/>
                <w:spacing w:val="-3"/>
                <w:sz w:val="14"/>
              </w:rPr>
              <w:t xml:space="preserve"> </w:t>
            </w:r>
            <w:r>
              <w:rPr>
                <w:color w:val="231F20"/>
                <w:sz w:val="14"/>
              </w:rPr>
              <w:t>стил.</w:t>
            </w:r>
          </w:p>
          <w:p w:rsidR="00041039" w:rsidRDefault="001B26CB">
            <w:pPr>
              <w:pStyle w:val="TableParagraph"/>
              <w:tabs>
                <w:tab w:val="left" w:pos="158"/>
              </w:tabs>
              <w:spacing w:line="160" w:lineRule="exact"/>
              <w:ind w:left="157" w:hanging="100"/>
              <w:rPr>
                <w:sz w:val="14"/>
              </w:rPr>
            </w:pPr>
            <w:r>
              <w:rPr>
                <w:color w:val="231F20"/>
                <w:sz w:val="14"/>
              </w:rPr>
              <w:t>Књижевноуметнички функционални</w:t>
            </w:r>
            <w:r>
              <w:rPr>
                <w:color w:val="231F20"/>
                <w:spacing w:val="-6"/>
                <w:sz w:val="14"/>
              </w:rPr>
              <w:t xml:space="preserve"> </w:t>
            </w:r>
            <w:r>
              <w:rPr>
                <w:color w:val="231F20"/>
                <w:sz w:val="14"/>
              </w:rPr>
              <w:t>стил.</w:t>
            </w:r>
          </w:p>
          <w:p w:rsidR="00041039" w:rsidRDefault="001B26CB">
            <w:pPr>
              <w:pStyle w:val="TableParagraph"/>
              <w:tabs>
                <w:tab w:val="left" w:pos="158"/>
              </w:tabs>
              <w:spacing w:line="237" w:lineRule="auto"/>
              <w:ind w:left="157" w:right="260" w:hanging="100"/>
              <w:rPr>
                <w:sz w:val="14"/>
              </w:rPr>
            </w:pPr>
            <w:r>
              <w:rPr>
                <w:color w:val="231F20"/>
                <w:sz w:val="14"/>
              </w:rPr>
              <w:t>Попуњавање</w:t>
            </w:r>
            <w:r>
              <w:rPr>
                <w:color w:val="231F20"/>
                <w:spacing w:val="-10"/>
                <w:sz w:val="14"/>
              </w:rPr>
              <w:t xml:space="preserve"> </w:t>
            </w:r>
            <w:r>
              <w:rPr>
                <w:color w:val="231F20"/>
                <w:sz w:val="14"/>
              </w:rPr>
              <w:t>формулара,</w:t>
            </w:r>
            <w:r>
              <w:rPr>
                <w:color w:val="231F20"/>
                <w:spacing w:val="-11"/>
                <w:sz w:val="14"/>
              </w:rPr>
              <w:t xml:space="preserve"> </w:t>
            </w:r>
            <w:r>
              <w:rPr>
                <w:color w:val="231F20"/>
                <w:sz w:val="14"/>
              </w:rPr>
              <w:t>захтева,</w:t>
            </w:r>
            <w:r>
              <w:rPr>
                <w:color w:val="231F20"/>
                <w:spacing w:val="-10"/>
                <w:sz w:val="14"/>
              </w:rPr>
              <w:t xml:space="preserve"> </w:t>
            </w:r>
            <w:r>
              <w:rPr>
                <w:color w:val="231F20"/>
                <w:sz w:val="14"/>
              </w:rPr>
              <w:t>уплат­ ница и</w:t>
            </w:r>
            <w:r>
              <w:rPr>
                <w:color w:val="231F20"/>
                <w:spacing w:val="-3"/>
                <w:sz w:val="14"/>
              </w:rPr>
              <w:t xml:space="preserve"> </w:t>
            </w:r>
            <w:r>
              <w:rPr>
                <w:color w:val="231F20"/>
                <w:sz w:val="14"/>
              </w:rPr>
              <w:t>сл.</w:t>
            </w:r>
          </w:p>
          <w:p w:rsidR="00041039" w:rsidRDefault="001B26CB">
            <w:pPr>
              <w:pStyle w:val="TableParagraph"/>
              <w:tabs>
                <w:tab w:val="left" w:pos="158"/>
              </w:tabs>
              <w:spacing w:line="155" w:lineRule="exact"/>
              <w:ind w:left="157" w:hanging="100"/>
              <w:rPr>
                <w:sz w:val="14"/>
              </w:rPr>
            </w:pPr>
            <w:r>
              <w:rPr>
                <w:color w:val="231F20"/>
                <w:sz w:val="14"/>
              </w:rPr>
              <w:t>Школски писмени задаци 4 х 2 +</w:t>
            </w:r>
            <w:r>
              <w:rPr>
                <w:color w:val="231F20"/>
                <w:spacing w:val="-10"/>
                <w:sz w:val="14"/>
              </w:rPr>
              <w:t xml:space="preserve"> </w:t>
            </w:r>
            <w:r>
              <w:rPr>
                <w:color w:val="231F20"/>
                <w:sz w:val="14"/>
              </w:rPr>
              <w:t>2.</w:t>
            </w:r>
          </w:p>
          <w:p w:rsidR="00041039" w:rsidRDefault="001B26CB">
            <w:pPr>
              <w:pStyle w:val="TableParagraph"/>
              <w:tabs>
                <w:tab w:val="left" w:pos="158"/>
              </w:tabs>
              <w:spacing w:line="164" w:lineRule="exact"/>
              <w:ind w:left="157" w:hanging="100"/>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pStyle w:val="BodyText"/>
        <w:spacing w:before="8"/>
        <w:rPr>
          <w:b/>
          <w:sz w:val="18"/>
        </w:rPr>
      </w:pPr>
    </w:p>
    <w:p w:rsidR="00041039" w:rsidRDefault="001B26CB">
      <w:pPr>
        <w:tabs>
          <w:tab w:val="left" w:pos="1461"/>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600"/>
        </w:trPr>
        <w:tc>
          <w:tcPr>
            <w:tcW w:w="1304" w:type="dxa"/>
          </w:tcPr>
          <w:p w:rsidR="00041039" w:rsidRDefault="001B26CB">
            <w:pPr>
              <w:pStyle w:val="TableParagraph"/>
              <w:spacing w:before="18"/>
              <w:ind w:left="56" w:right="69"/>
              <w:rPr>
                <w:sz w:val="14"/>
              </w:rPr>
            </w:pPr>
            <w:r>
              <w:rPr>
                <w:color w:val="231F20"/>
                <w:sz w:val="14"/>
              </w:rPr>
              <w:t>Барок, класицизам, просветитељство</w:t>
            </w:r>
          </w:p>
        </w:tc>
        <w:tc>
          <w:tcPr>
            <w:tcW w:w="1587" w:type="dxa"/>
          </w:tcPr>
          <w:p w:rsidR="00041039" w:rsidRDefault="001B26CB">
            <w:pPr>
              <w:pStyle w:val="TableParagraph"/>
              <w:tabs>
                <w:tab w:val="left" w:pos="157"/>
              </w:tabs>
              <w:spacing w:before="8"/>
              <w:ind w:right="74" w:hanging="100"/>
              <w:rPr>
                <w:sz w:val="14"/>
              </w:rPr>
            </w:pPr>
            <w:r>
              <w:rPr>
                <w:color w:val="231F20"/>
                <w:sz w:val="14"/>
              </w:rPr>
              <w:t>Упознавање са европским</w:t>
            </w:r>
            <w:r>
              <w:rPr>
                <w:color w:val="231F20"/>
                <w:spacing w:val="-12"/>
                <w:sz w:val="14"/>
              </w:rPr>
              <w:t xml:space="preserve"> </w:t>
            </w:r>
            <w:r>
              <w:rPr>
                <w:color w:val="231F20"/>
                <w:sz w:val="14"/>
              </w:rPr>
              <w:t>културним, духовним и мисаоним тенденцијама XVIIи XVIII века и њиховим утицајима на српску књижевност.</w:t>
            </w:r>
          </w:p>
        </w:tc>
        <w:tc>
          <w:tcPr>
            <w:tcW w:w="2551" w:type="dxa"/>
          </w:tcPr>
          <w:p w:rsidR="00041039" w:rsidRDefault="001B26CB">
            <w:pPr>
              <w:pStyle w:val="TableParagraph"/>
              <w:tabs>
                <w:tab w:val="left" w:pos="157"/>
              </w:tabs>
              <w:spacing w:before="8"/>
              <w:ind w:right="58" w:hanging="99"/>
              <w:jc w:val="both"/>
              <w:rPr>
                <w:sz w:val="14"/>
              </w:rPr>
            </w:pPr>
            <w:r>
              <w:rPr>
                <w:color w:val="231F20"/>
                <w:sz w:val="14"/>
              </w:rPr>
              <w:t>наведе особености барока, класицизма и просветитељства и њихове</w:t>
            </w:r>
            <w:r>
              <w:rPr>
                <w:color w:val="231F20"/>
                <w:spacing w:val="-15"/>
                <w:sz w:val="14"/>
              </w:rPr>
              <w:t xml:space="preserve"> </w:t>
            </w:r>
            <w:r>
              <w:rPr>
                <w:color w:val="231F20"/>
                <w:sz w:val="14"/>
              </w:rPr>
              <w:t>представ­ нике у</w:t>
            </w:r>
            <w:r>
              <w:rPr>
                <w:color w:val="231F20"/>
                <w:spacing w:val="-1"/>
                <w:sz w:val="14"/>
              </w:rPr>
              <w:t xml:space="preserve"> </w:t>
            </w:r>
            <w:r>
              <w:rPr>
                <w:color w:val="231F20"/>
                <w:sz w:val="14"/>
              </w:rPr>
              <w:t>књижевности;</w:t>
            </w:r>
          </w:p>
          <w:p w:rsidR="00041039" w:rsidRDefault="001B26CB">
            <w:pPr>
              <w:pStyle w:val="TableParagraph"/>
              <w:tabs>
                <w:tab w:val="left" w:pos="157"/>
              </w:tabs>
              <w:spacing w:line="157" w:lineRule="exact"/>
              <w:ind w:hanging="99"/>
              <w:rPr>
                <w:sz w:val="14"/>
              </w:rPr>
            </w:pPr>
            <w:r>
              <w:rPr>
                <w:color w:val="231F20"/>
                <w:sz w:val="14"/>
              </w:rPr>
              <w:t>објасни значај Венцловића</w:t>
            </w:r>
            <w:r>
              <w:rPr>
                <w:color w:val="231F20"/>
                <w:spacing w:val="-2"/>
                <w:sz w:val="14"/>
              </w:rPr>
              <w:t xml:space="preserve"> </w:t>
            </w:r>
            <w:r>
              <w:rPr>
                <w:color w:val="231F20"/>
                <w:sz w:val="14"/>
              </w:rPr>
              <w:t>и</w:t>
            </w:r>
          </w:p>
          <w:p w:rsidR="00041039" w:rsidRDefault="001B26CB">
            <w:pPr>
              <w:pStyle w:val="TableParagraph"/>
              <w:rPr>
                <w:sz w:val="14"/>
              </w:rPr>
            </w:pPr>
            <w:r>
              <w:rPr>
                <w:color w:val="231F20"/>
                <w:sz w:val="14"/>
              </w:rPr>
              <w:t>Орфелина за развој језика и књижев­ ности код Срба;</w:t>
            </w:r>
          </w:p>
          <w:p w:rsidR="00041039" w:rsidRDefault="001B26CB">
            <w:pPr>
              <w:pStyle w:val="TableParagraph"/>
              <w:tabs>
                <w:tab w:val="left" w:pos="157"/>
              </w:tabs>
              <w:spacing w:line="160" w:lineRule="exact"/>
              <w:ind w:right="168" w:hanging="99"/>
              <w:rPr>
                <w:sz w:val="14"/>
              </w:rPr>
            </w:pPr>
            <w:r>
              <w:rPr>
                <w:color w:val="231F20"/>
                <w:sz w:val="14"/>
              </w:rPr>
              <w:t>препозна одлике просветитељства</w:t>
            </w:r>
            <w:r>
              <w:rPr>
                <w:color w:val="231F20"/>
                <w:spacing w:val="-18"/>
                <w:sz w:val="14"/>
              </w:rPr>
              <w:t xml:space="preserve"> </w:t>
            </w:r>
            <w:r>
              <w:rPr>
                <w:color w:val="231F20"/>
                <w:sz w:val="14"/>
              </w:rPr>
              <w:t>на обрађеним</w:t>
            </w:r>
            <w:r>
              <w:rPr>
                <w:color w:val="231F20"/>
                <w:spacing w:val="-1"/>
                <w:sz w:val="14"/>
              </w:rPr>
              <w:t xml:space="preserve"> </w:t>
            </w:r>
            <w:r>
              <w:rPr>
                <w:color w:val="231F20"/>
                <w:sz w:val="14"/>
              </w:rPr>
              <w:t>делима;</w:t>
            </w:r>
          </w:p>
          <w:p w:rsidR="00041039" w:rsidRDefault="001B26CB">
            <w:pPr>
              <w:pStyle w:val="TableParagraph"/>
              <w:tabs>
                <w:tab w:val="left" w:pos="157"/>
              </w:tabs>
              <w:spacing w:line="160" w:lineRule="exact"/>
              <w:ind w:right="323" w:hanging="99"/>
              <w:rPr>
                <w:sz w:val="14"/>
              </w:rPr>
            </w:pPr>
            <w:r>
              <w:rPr>
                <w:color w:val="231F20"/>
                <w:sz w:val="14"/>
              </w:rPr>
              <w:t>објасни значај Доситејевог рада</w:t>
            </w:r>
            <w:r>
              <w:rPr>
                <w:color w:val="231F20"/>
                <w:spacing w:val="-9"/>
                <w:sz w:val="14"/>
              </w:rPr>
              <w:t xml:space="preserve"> </w:t>
            </w:r>
            <w:r>
              <w:rPr>
                <w:color w:val="231F20"/>
                <w:sz w:val="14"/>
              </w:rPr>
              <w:t>за српску културу и</w:t>
            </w:r>
            <w:r>
              <w:rPr>
                <w:color w:val="231F20"/>
                <w:spacing w:val="-6"/>
                <w:sz w:val="14"/>
              </w:rPr>
              <w:t xml:space="preserve"> </w:t>
            </w:r>
            <w:r>
              <w:rPr>
                <w:color w:val="231F20"/>
                <w:sz w:val="14"/>
              </w:rPr>
              <w:t>књижевност;</w:t>
            </w:r>
          </w:p>
          <w:p w:rsidR="00041039" w:rsidRDefault="001B26CB">
            <w:pPr>
              <w:pStyle w:val="TableParagraph"/>
              <w:tabs>
                <w:tab w:val="left" w:pos="157"/>
              </w:tabs>
              <w:spacing w:line="160" w:lineRule="exact"/>
              <w:ind w:right="114" w:hanging="99"/>
              <w:rPr>
                <w:sz w:val="14"/>
              </w:rPr>
            </w:pPr>
            <w:r>
              <w:rPr>
                <w:color w:val="231F20"/>
                <w:sz w:val="14"/>
              </w:rPr>
              <w:t>направи паралелу у обради истих мотива у европској и српској</w:t>
            </w:r>
            <w:r>
              <w:rPr>
                <w:color w:val="231F20"/>
                <w:spacing w:val="-23"/>
                <w:sz w:val="14"/>
              </w:rPr>
              <w:t xml:space="preserve"> </w:t>
            </w:r>
            <w:r>
              <w:rPr>
                <w:color w:val="231F20"/>
                <w:sz w:val="14"/>
              </w:rPr>
              <w:t>књижев­ ности;</w:t>
            </w:r>
          </w:p>
          <w:p w:rsidR="00041039" w:rsidRDefault="001B26CB">
            <w:pPr>
              <w:pStyle w:val="TableParagraph"/>
              <w:tabs>
                <w:tab w:val="left" w:pos="157"/>
              </w:tabs>
              <w:spacing w:line="160" w:lineRule="exact"/>
              <w:ind w:right="169" w:hanging="99"/>
              <w:rPr>
                <w:sz w:val="14"/>
              </w:rPr>
            </w:pPr>
            <w:r>
              <w:rPr>
                <w:color w:val="231F20"/>
                <w:sz w:val="14"/>
              </w:rPr>
              <w:t>наведе особине ликова уобрађеним­ делима и заузме став према</w:t>
            </w:r>
            <w:r>
              <w:rPr>
                <w:color w:val="231F20"/>
                <w:spacing w:val="-23"/>
                <w:sz w:val="14"/>
              </w:rPr>
              <w:t xml:space="preserve"> </w:t>
            </w:r>
            <w:r>
              <w:rPr>
                <w:color w:val="231F20"/>
                <w:sz w:val="14"/>
              </w:rPr>
              <w:t>њиховим поступцима;</w:t>
            </w:r>
          </w:p>
        </w:tc>
        <w:tc>
          <w:tcPr>
            <w:tcW w:w="2834" w:type="dxa"/>
          </w:tcPr>
          <w:p w:rsidR="00041039" w:rsidRDefault="001B26CB">
            <w:pPr>
              <w:pStyle w:val="TableParagraph"/>
              <w:tabs>
                <w:tab w:val="left" w:pos="157"/>
              </w:tabs>
              <w:spacing w:before="8"/>
              <w:ind w:right="437" w:hanging="99"/>
              <w:rPr>
                <w:sz w:val="14"/>
              </w:rPr>
            </w:pPr>
            <w:r>
              <w:rPr>
                <w:color w:val="231F20"/>
                <w:sz w:val="14"/>
              </w:rPr>
              <w:t xml:space="preserve">Барок и класицизам, поетика, </w:t>
            </w:r>
            <w:r>
              <w:rPr>
                <w:color w:val="231F20"/>
                <w:spacing w:val="-3"/>
                <w:sz w:val="14"/>
              </w:rPr>
              <w:t xml:space="preserve">глав­ </w:t>
            </w:r>
            <w:r>
              <w:rPr>
                <w:color w:val="231F20"/>
                <w:sz w:val="14"/>
              </w:rPr>
              <w:t>ни представници у нашој и</w:t>
            </w:r>
            <w:r>
              <w:rPr>
                <w:color w:val="231F20"/>
                <w:spacing w:val="-17"/>
                <w:sz w:val="14"/>
              </w:rPr>
              <w:t xml:space="preserve"> </w:t>
            </w:r>
            <w:r>
              <w:rPr>
                <w:color w:val="231F20"/>
                <w:sz w:val="14"/>
              </w:rPr>
              <w:t>европској књижевности.</w:t>
            </w:r>
          </w:p>
          <w:p w:rsidR="00041039" w:rsidRDefault="001B26CB">
            <w:pPr>
              <w:pStyle w:val="TableParagraph"/>
              <w:tabs>
                <w:tab w:val="left" w:pos="157"/>
              </w:tabs>
              <w:spacing w:line="152" w:lineRule="exact"/>
              <w:ind w:hanging="99"/>
              <w:rPr>
                <w:sz w:val="14"/>
              </w:rPr>
            </w:pPr>
            <w:r>
              <w:rPr>
                <w:color w:val="231F20"/>
                <w:sz w:val="14"/>
              </w:rPr>
              <w:t>Гаврил</w:t>
            </w:r>
            <w:r>
              <w:rPr>
                <w:color w:val="231F20"/>
                <w:spacing w:val="-1"/>
                <w:sz w:val="14"/>
              </w:rPr>
              <w:t xml:space="preserve"> </w:t>
            </w:r>
            <w:r>
              <w:rPr>
                <w:color w:val="231F20"/>
                <w:sz w:val="14"/>
              </w:rPr>
              <w:t>Стефановић.</w:t>
            </w:r>
          </w:p>
          <w:p w:rsidR="00041039" w:rsidRDefault="001B26CB">
            <w:pPr>
              <w:pStyle w:val="TableParagraph"/>
              <w:tabs>
                <w:tab w:val="left" w:pos="157"/>
              </w:tabs>
              <w:spacing w:line="160" w:lineRule="exact"/>
              <w:ind w:hanging="99"/>
              <w:rPr>
                <w:sz w:val="14"/>
              </w:rPr>
            </w:pPr>
            <w:r>
              <w:rPr>
                <w:color w:val="231F20"/>
                <w:sz w:val="14"/>
              </w:rPr>
              <w:t>Венцловић: „Песме, беседе,</w:t>
            </w:r>
            <w:r>
              <w:rPr>
                <w:color w:val="231F20"/>
                <w:spacing w:val="-1"/>
                <w:sz w:val="14"/>
              </w:rPr>
              <w:t xml:space="preserve"> </w:t>
            </w:r>
            <w:r>
              <w:rPr>
                <w:color w:val="231F20"/>
                <w:sz w:val="14"/>
              </w:rPr>
              <w:t>легенде”.</w:t>
            </w:r>
          </w:p>
          <w:p w:rsidR="00041039" w:rsidRDefault="001B26CB">
            <w:pPr>
              <w:pStyle w:val="TableParagraph"/>
              <w:tabs>
                <w:tab w:val="left" w:pos="157"/>
              </w:tabs>
              <w:spacing w:line="237" w:lineRule="auto"/>
              <w:ind w:right="239" w:hanging="99"/>
              <w:rPr>
                <w:sz w:val="14"/>
              </w:rPr>
            </w:pPr>
            <w:r>
              <w:rPr>
                <w:color w:val="231F20"/>
                <w:sz w:val="14"/>
              </w:rPr>
              <w:t>Значај Венцловића и Орфелина за</w:t>
            </w:r>
            <w:r>
              <w:rPr>
                <w:color w:val="231F20"/>
                <w:spacing w:val="-17"/>
                <w:sz w:val="14"/>
              </w:rPr>
              <w:t xml:space="preserve"> </w:t>
            </w:r>
            <w:r>
              <w:rPr>
                <w:color w:val="231F20"/>
                <w:sz w:val="14"/>
              </w:rPr>
              <w:t xml:space="preserve">развој књижевног језика </w:t>
            </w:r>
            <w:r>
              <w:rPr>
                <w:color w:val="231F20"/>
                <w:spacing w:val="-5"/>
                <w:sz w:val="14"/>
              </w:rPr>
              <w:t>код</w:t>
            </w:r>
            <w:r>
              <w:rPr>
                <w:color w:val="231F20"/>
                <w:spacing w:val="-1"/>
                <w:sz w:val="14"/>
              </w:rPr>
              <w:t xml:space="preserve"> </w:t>
            </w:r>
            <w:r>
              <w:rPr>
                <w:color w:val="231F20"/>
                <w:sz w:val="14"/>
              </w:rPr>
              <w:t>Срба.</w:t>
            </w:r>
          </w:p>
          <w:p w:rsidR="00041039" w:rsidRDefault="001B26CB">
            <w:pPr>
              <w:pStyle w:val="TableParagraph"/>
              <w:tabs>
                <w:tab w:val="left" w:pos="157"/>
              </w:tabs>
              <w:spacing w:line="155" w:lineRule="exact"/>
              <w:ind w:hanging="99"/>
              <w:rPr>
                <w:sz w:val="14"/>
              </w:rPr>
            </w:pPr>
            <w:r>
              <w:rPr>
                <w:color w:val="231F20"/>
                <w:sz w:val="14"/>
              </w:rPr>
              <w:t>Молијер:</w:t>
            </w:r>
            <w:r>
              <w:rPr>
                <w:color w:val="231F20"/>
                <w:spacing w:val="-2"/>
                <w:sz w:val="14"/>
              </w:rPr>
              <w:t xml:space="preserve"> </w:t>
            </w:r>
            <w:r>
              <w:rPr>
                <w:color w:val="231F20"/>
                <w:spacing w:val="-3"/>
                <w:sz w:val="14"/>
              </w:rPr>
              <w:t>„Тврдица”.</w:t>
            </w:r>
          </w:p>
          <w:p w:rsidR="00041039" w:rsidRDefault="001B26CB">
            <w:pPr>
              <w:pStyle w:val="TableParagraph"/>
              <w:tabs>
                <w:tab w:val="left" w:pos="157"/>
              </w:tabs>
              <w:spacing w:line="160" w:lineRule="exact"/>
              <w:ind w:hanging="99"/>
              <w:rPr>
                <w:sz w:val="14"/>
              </w:rPr>
            </w:pPr>
            <w:r>
              <w:rPr>
                <w:color w:val="231F20"/>
                <w:sz w:val="14"/>
              </w:rPr>
              <w:t xml:space="preserve">Просветитељство у Европи и </w:t>
            </w:r>
            <w:r>
              <w:rPr>
                <w:color w:val="231F20"/>
                <w:spacing w:val="-4"/>
                <w:sz w:val="14"/>
              </w:rPr>
              <w:t>код</w:t>
            </w:r>
            <w:r>
              <w:rPr>
                <w:color w:val="231F20"/>
                <w:spacing w:val="-3"/>
                <w:sz w:val="14"/>
              </w:rPr>
              <w:t xml:space="preserve"> </w:t>
            </w:r>
            <w:r>
              <w:rPr>
                <w:color w:val="231F20"/>
                <w:sz w:val="14"/>
              </w:rPr>
              <w:t>нас.</w:t>
            </w:r>
          </w:p>
          <w:p w:rsidR="00041039" w:rsidRDefault="001B26CB">
            <w:pPr>
              <w:pStyle w:val="TableParagraph"/>
              <w:tabs>
                <w:tab w:val="left" w:pos="157"/>
              </w:tabs>
              <w:spacing w:line="237" w:lineRule="auto"/>
              <w:ind w:right="167" w:hanging="99"/>
              <w:rPr>
                <w:sz w:val="14"/>
              </w:rPr>
            </w:pPr>
            <w:r>
              <w:rPr>
                <w:color w:val="231F20"/>
                <w:sz w:val="14"/>
              </w:rPr>
              <w:t>Књижевно ­просветитељски рад Доситеја Обрадовића.</w:t>
            </w:r>
          </w:p>
          <w:p w:rsidR="00041039" w:rsidRDefault="001B26CB">
            <w:pPr>
              <w:pStyle w:val="TableParagraph"/>
              <w:tabs>
                <w:tab w:val="left" w:pos="157"/>
              </w:tabs>
              <w:spacing w:line="155" w:lineRule="exact"/>
              <w:ind w:hanging="99"/>
              <w:rPr>
                <w:sz w:val="14"/>
              </w:rPr>
            </w:pPr>
            <w:r>
              <w:rPr>
                <w:color w:val="231F20"/>
                <w:sz w:val="14"/>
              </w:rPr>
              <w:t>Доситеј Обрадовић: „Писмо</w:t>
            </w:r>
            <w:r>
              <w:rPr>
                <w:color w:val="231F20"/>
                <w:spacing w:val="-11"/>
                <w:sz w:val="14"/>
              </w:rPr>
              <w:t xml:space="preserve"> </w:t>
            </w:r>
            <w:r>
              <w:rPr>
                <w:color w:val="231F20"/>
                <w:sz w:val="14"/>
              </w:rPr>
              <w:t>Харалампију”.</w:t>
            </w:r>
          </w:p>
          <w:p w:rsidR="00041039" w:rsidRDefault="001B26CB">
            <w:pPr>
              <w:pStyle w:val="TableParagraph"/>
              <w:tabs>
                <w:tab w:val="left" w:pos="157"/>
              </w:tabs>
              <w:spacing w:line="237" w:lineRule="auto"/>
              <w:ind w:right="864" w:hanging="99"/>
              <w:rPr>
                <w:sz w:val="14"/>
              </w:rPr>
            </w:pPr>
            <w:r>
              <w:rPr>
                <w:color w:val="231F20"/>
                <w:sz w:val="14"/>
              </w:rPr>
              <w:t>Доситеј Обрадовић: „Живот и прикљученија”</w:t>
            </w:r>
            <w:r>
              <w:rPr>
                <w:color w:val="231F20"/>
                <w:spacing w:val="-4"/>
                <w:sz w:val="14"/>
              </w:rPr>
              <w:t xml:space="preserve"> </w:t>
            </w:r>
            <w:r>
              <w:rPr>
                <w:color w:val="231F20"/>
                <w:sz w:val="14"/>
              </w:rPr>
              <w:t>(одломци).</w:t>
            </w:r>
          </w:p>
          <w:p w:rsidR="00041039" w:rsidRDefault="001B26CB">
            <w:pPr>
              <w:pStyle w:val="TableParagraph"/>
              <w:tabs>
                <w:tab w:val="left" w:pos="157"/>
              </w:tabs>
              <w:spacing w:line="161" w:lineRule="exact"/>
              <w:ind w:hanging="99"/>
              <w:rPr>
                <w:sz w:val="14"/>
              </w:rPr>
            </w:pPr>
            <w:r>
              <w:rPr>
                <w:color w:val="231F20"/>
                <w:sz w:val="14"/>
              </w:rPr>
              <w:t>Јован Стерија Поповић:</w:t>
            </w:r>
            <w:r>
              <w:rPr>
                <w:color w:val="231F20"/>
                <w:spacing w:val="-3"/>
                <w:sz w:val="14"/>
              </w:rPr>
              <w:t xml:space="preserve"> „Тврдица”.</w:t>
            </w:r>
          </w:p>
        </w:tc>
        <w:tc>
          <w:tcPr>
            <w:tcW w:w="2267" w:type="dxa"/>
          </w:tcPr>
          <w:p w:rsidR="00041039" w:rsidRDefault="001B26CB">
            <w:pPr>
              <w:pStyle w:val="TableParagraph"/>
              <w:tabs>
                <w:tab w:val="left" w:pos="158"/>
              </w:tabs>
              <w:spacing w:before="9"/>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line="160" w:lineRule="exact"/>
              <w:ind w:left="157"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w:t>
            </w:r>
            <w:r>
              <w:rPr>
                <w:color w:val="231F20"/>
                <w:sz w:val="14"/>
              </w:rPr>
              <w:t>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7" w:lineRule="auto"/>
              <w:ind w:left="157"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544"/>
        </w:trPr>
        <w:tc>
          <w:tcPr>
            <w:tcW w:w="1304" w:type="dxa"/>
          </w:tcPr>
          <w:p w:rsidR="00041039" w:rsidRDefault="001B26CB">
            <w:pPr>
              <w:pStyle w:val="TableParagraph"/>
              <w:spacing w:before="18"/>
              <w:ind w:left="56"/>
              <w:rPr>
                <w:sz w:val="14"/>
              </w:rPr>
            </w:pPr>
            <w:r>
              <w:rPr>
                <w:color w:val="231F20"/>
                <w:sz w:val="14"/>
              </w:rPr>
              <w:lastRenderedPageBreak/>
              <w:t>Романтизам</w:t>
            </w:r>
          </w:p>
        </w:tc>
        <w:tc>
          <w:tcPr>
            <w:tcW w:w="1587" w:type="dxa"/>
          </w:tcPr>
          <w:p w:rsidR="00041039" w:rsidRDefault="001B26CB">
            <w:pPr>
              <w:pStyle w:val="TableParagraph"/>
              <w:tabs>
                <w:tab w:val="left" w:pos="157"/>
              </w:tabs>
              <w:spacing w:before="12" w:line="232" w:lineRule="auto"/>
              <w:ind w:right="85" w:hanging="100"/>
              <w:rPr>
                <w:sz w:val="14"/>
              </w:rPr>
            </w:pPr>
            <w:r>
              <w:rPr>
                <w:color w:val="231F20"/>
                <w:sz w:val="14"/>
              </w:rPr>
              <w:t>Упознавање са поетиком</w:t>
            </w:r>
            <w:r>
              <w:rPr>
                <w:color w:val="231F20"/>
                <w:spacing w:val="-16"/>
                <w:sz w:val="14"/>
              </w:rPr>
              <w:t xml:space="preserve"> </w:t>
            </w:r>
            <w:r>
              <w:rPr>
                <w:color w:val="231F20"/>
                <w:sz w:val="14"/>
              </w:rPr>
              <w:t>романтизма, представницима и делима европске и српске</w:t>
            </w:r>
            <w:r>
              <w:rPr>
                <w:color w:val="231F20"/>
                <w:spacing w:val="-2"/>
                <w:sz w:val="14"/>
              </w:rPr>
              <w:t xml:space="preserve"> </w:t>
            </w:r>
            <w:r>
              <w:rPr>
                <w:color w:val="231F20"/>
                <w:sz w:val="14"/>
              </w:rPr>
              <w:t>књижевности.</w:t>
            </w:r>
          </w:p>
        </w:tc>
        <w:tc>
          <w:tcPr>
            <w:tcW w:w="2551" w:type="dxa"/>
          </w:tcPr>
          <w:p w:rsidR="00041039" w:rsidRDefault="001B26CB">
            <w:pPr>
              <w:pStyle w:val="TableParagraph"/>
              <w:tabs>
                <w:tab w:val="left" w:pos="157"/>
              </w:tabs>
              <w:spacing w:before="12" w:line="232" w:lineRule="auto"/>
              <w:ind w:right="298" w:hanging="99"/>
              <w:rPr>
                <w:sz w:val="14"/>
              </w:rPr>
            </w:pPr>
            <w:r>
              <w:rPr>
                <w:color w:val="231F20"/>
                <w:sz w:val="14"/>
              </w:rPr>
              <w:t>наведе представнике романтизма</w:t>
            </w:r>
            <w:r>
              <w:rPr>
                <w:color w:val="231F20"/>
                <w:spacing w:val="-18"/>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tabs>
                <w:tab w:val="left" w:pos="157"/>
              </w:tabs>
              <w:spacing w:before="1" w:line="156" w:lineRule="exact"/>
              <w:ind w:right="340" w:hanging="99"/>
              <w:rPr>
                <w:sz w:val="14"/>
              </w:rPr>
            </w:pPr>
            <w:r>
              <w:rPr>
                <w:color w:val="231F20"/>
                <w:sz w:val="14"/>
              </w:rPr>
              <w:t>уочава и образлаже одлике</w:t>
            </w:r>
            <w:r>
              <w:rPr>
                <w:color w:val="231F20"/>
                <w:spacing w:val="-25"/>
                <w:sz w:val="14"/>
              </w:rPr>
              <w:t xml:space="preserve"> </w:t>
            </w:r>
            <w:r>
              <w:rPr>
                <w:color w:val="231F20"/>
                <w:sz w:val="14"/>
              </w:rPr>
              <w:t>роман­ тизма;</w:t>
            </w:r>
          </w:p>
          <w:p w:rsidR="00041039" w:rsidRDefault="001B26CB">
            <w:pPr>
              <w:pStyle w:val="TableParagraph"/>
              <w:tabs>
                <w:tab w:val="left" w:pos="157"/>
              </w:tabs>
              <w:spacing w:line="156" w:lineRule="exact"/>
              <w:ind w:right="158" w:hanging="99"/>
              <w:jc w:val="both"/>
              <w:rPr>
                <w:sz w:val="14"/>
              </w:rPr>
            </w:pPr>
            <w:r>
              <w:rPr>
                <w:color w:val="231F20"/>
                <w:sz w:val="14"/>
              </w:rPr>
              <w:t xml:space="preserve">изнесе свој </w:t>
            </w:r>
            <w:r>
              <w:rPr>
                <w:color w:val="231F20"/>
                <w:spacing w:val="-4"/>
                <w:sz w:val="14"/>
              </w:rPr>
              <w:t xml:space="preserve">суд </w:t>
            </w:r>
            <w:r>
              <w:rPr>
                <w:color w:val="231F20"/>
                <w:sz w:val="14"/>
              </w:rPr>
              <w:t>о књижевним делима користећи стечена знања и</w:t>
            </w:r>
            <w:r>
              <w:rPr>
                <w:color w:val="231F20"/>
                <w:spacing w:val="-18"/>
                <w:sz w:val="14"/>
              </w:rPr>
              <w:t xml:space="preserve"> </w:t>
            </w:r>
            <w:r>
              <w:rPr>
                <w:color w:val="231F20"/>
                <w:sz w:val="14"/>
              </w:rPr>
              <w:t>сопствена запажања;</w:t>
            </w:r>
          </w:p>
          <w:p w:rsidR="00041039" w:rsidRDefault="001B26CB">
            <w:pPr>
              <w:pStyle w:val="TableParagraph"/>
              <w:tabs>
                <w:tab w:val="left" w:pos="157"/>
              </w:tabs>
              <w:spacing w:line="156" w:lineRule="exact"/>
              <w:ind w:right="269" w:hanging="99"/>
              <w:rPr>
                <w:sz w:val="14"/>
              </w:rPr>
            </w:pPr>
            <w:r>
              <w:rPr>
                <w:color w:val="231F20"/>
                <w:sz w:val="14"/>
              </w:rPr>
              <w:t>препозна и усвоји вредности наци­ оналне културе и разуме/поштује културне вредности других</w:t>
            </w:r>
            <w:r>
              <w:rPr>
                <w:color w:val="231F20"/>
                <w:spacing w:val="-21"/>
                <w:sz w:val="14"/>
              </w:rPr>
              <w:t xml:space="preserve"> </w:t>
            </w:r>
            <w:r>
              <w:rPr>
                <w:color w:val="231F20"/>
                <w:sz w:val="14"/>
              </w:rPr>
              <w:t>народа;</w:t>
            </w:r>
          </w:p>
          <w:p w:rsidR="00041039" w:rsidRDefault="001B26CB">
            <w:pPr>
              <w:pStyle w:val="TableParagraph"/>
              <w:tabs>
                <w:tab w:val="left" w:pos="157"/>
              </w:tabs>
              <w:spacing w:line="156" w:lineRule="exact"/>
              <w:ind w:right="99" w:hanging="99"/>
              <w:rPr>
                <w:sz w:val="14"/>
              </w:rPr>
            </w:pPr>
            <w:r>
              <w:rPr>
                <w:color w:val="231F20"/>
                <w:sz w:val="14"/>
              </w:rPr>
              <w:t>тумачи уметнички свет и стваралачке поступке у структури обрађених</w:t>
            </w:r>
            <w:r>
              <w:rPr>
                <w:color w:val="231F20"/>
                <w:spacing w:val="-9"/>
                <w:sz w:val="14"/>
              </w:rPr>
              <w:t xml:space="preserve"> </w:t>
            </w:r>
            <w:r>
              <w:rPr>
                <w:color w:val="231F20"/>
                <w:sz w:val="14"/>
              </w:rPr>
              <w:t>дела;</w:t>
            </w:r>
          </w:p>
        </w:tc>
        <w:tc>
          <w:tcPr>
            <w:tcW w:w="2834" w:type="dxa"/>
          </w:tcPr>
          <w:p w:rsidR="00041039" w:rsidRDefault="001B26CB">
            <w:pPr>
              <w:pStyle w:val="TableParagraph"/>
              <w:tabs>
                <w:tab w:val="left" w:pos="157"/>
              </w:tabs>
              <w:spacing w:before="16" w:line="225" w:lineRule="auto"/>
              <w:ind w:right="59" w:hanging="99"/>
              <w:rPr>
                <w:sz w:val="14"/>
              </w:rPr>
            </w:pPr>
            <w:r>
              <w:rPr>
                <w:color w:val="231F20"/>
                <w:sz w:val="14"/>
              </w:rPr>
              <w:t xml:space="preserve">Романтизам у Европи и </w:t>
            </w:r>
            <w:r>
              <w:rPr>
                <w:color w:val="231F20"/>
                <w:spacing w:val="-5"/>
                <w:sz w:val="14"/>
              </w:rPr>
              <w:t xml:space="preserve">код </w:t>
            </w:r>
            <w:r>
              <w:rPr>
                <w:color w:val="231F20"/>
                <w:sz w:val="14"/>
              </w:rPr>
              <w:t>нас (појам, осо­ бености, значај,</w:t>
            </w:r>
            <w:r>
              <w:rPr>
                <w:color w:val="231F20"/>
                <w:spacing w:val="-1"/>
                <w:sz w:val="14"/>
              </w:rPr>
              <w:t xml:space="preserve"> </w:t>
            </w:r>
            <w:r>
              <w:rPr>
                <w:color w:val="231F20"/>
                <w:sz w:val="14"/>
              </w:rPr>
              <w:t>представници).</w:t>
            </w:r>
          </w:p>
          <w:p w:rsidR="00041039" w:rsidRDefault="001B26CB">
            <w:pPr>
              <w:pStyle w:val="TableParagraph"/>
              <w:tabs>
                <w:tab w:val="left" w:pos="157"/>
              </w:tabs>
              <w:spacing w:line="145" w:lineRule="exact"/>
              <w:ind w:hanging="99"/>
              <w:rPr>
                <w:sz w:val="14"/>
              </w:rPr>
            </w:pPr>
            <w:r>
              <w:rPr>
                <w:color w:val="231F20"/>
                <w:sz w:val="14"/>
              </w:rPr>
              <w:t>А. С. Пушкин; „Цигани”</w:t>
            </w:r>
            <w:r>
              <w:rPr>
                <w:color w:val="231F20"/>
                <w:spacing w:val="-6"/>
                <w:sz w:val="14"/>
              </w:rPr>
              <w:t xml:space="preserve"> </w:t>
            </w:r>
            <w:r>
              <w:rPr>
                <w:color w:val="231F20"/>
                <w:sz w:val="14"/>
              </w:rPr>
              <w:t>(одломак).</w:t>
            </w:r>
          </w:p>
          <w:p w:rsidR="00041039" w:rsidRDefault="001B26CB">
            <w:pPr>
              <w:pStyle w:val="TableParagraph"/>
              <w:tabs>
                <w:tab w:val="left" w:pos="157"/>
              </w:tabs>
              <w:spacing w:line="225" w:lineRule="auto"/>
              <w:ind w:right="99" w:hanging="99"/>
              <w:rPr>
                <w:sz w:val="14"/>
              </w:rPr>
            </w:pPr>
            <w:r>
              <w:rPr>
                <w:color w:val="231F20"/>
                <w:sz w:val="14"/>
              </w:rPr>
              <w:t>А. С. Пушкин; „Евгеније Оњегин”(анализа Татјаниног писма Оњегину и Оњегиновог одговора и анализа Оњегиновог писма Татјани и Татјаниног</w:t>
            </w:r>
            <w:r>
              <w:rPr>
                <w:color w:val="231F20"/>
                <w:spacing w:val="-6"/>
                <w:sz w:val="14"/>
              </w:rPr>
              <w:t xml:space="preserve"> </w:t>
            </w:r>
            <w:r>
              <w:rPr>
                <w:color w:val="231F20"/>
                <w:sz w:val="14"/>
              </w:rPr>
              <w:t>одговора).</w:t>
            </w:r>
          </w:p>
          <w:p w:rsidR="00041039" w:rsidRDefault="001B26CB">
            <w:pPr>
              <w:pStyle w:val="TableParagraph"/>
              <w:tabs>
                <w:tab w:val="left" w:pos="157"/>
              </w:tabs>
              <w:spacing w:line="146" w:lineRule="exact"/>
              <w:ind w:hanging="99"/>
              <w:rPr>
                <w:sz w:val="14"/>
              </w:rPr>
            </w:pPr>
            <w:r>
              <w:rPr>
                <w:color w:val="231F20"/>
                <w:sz w:val="14"/>
              </w:rPr>
              <w:t>X. Хајне:</w:t>
            </w:r>
            <w:r>
              <w:rPr>
                <w:color w:val="231F20"/>
                <w:spacing w:val="-12"/>
                <w:sz w:val="14"/>
              </w:rPr>
              <w:t xml:space="preserve"> </w:t>
            </w:r>
            <w:r>
              <w:rPr>
                <w:color w:val="231F20"/>
                <w:sz w:val="14"/>
              </w:rPr>
              <w:t>„Лорелај”</w:t>
            </w:r>
          </w:p>
          <w:p w:rsidR="00041039" w:rsidRDefault="001B26CB">
            <w:pPr>
              <w:pStyle w:val="TableParagraph"/>
              <w:tabs>
                <w:tab w:val="left" w:pos="157"/>
              </w:tabs>
              <w:spacing w:line="152" w:lineRule="exact"/>
              <w:ind w:hanging="99"/>
              <w:rPr>
                <w:sz w:val="14"/>
              </w:rPr>
            </w:pPr>
            <w:r>
              <w:rPr>
                <w:color w:val="231F20"/>
                <w:sz w:val="14"/>
              </w:rPr>
              <w:t>Ш. Петефи: „Слобода</w:t>
            </w:r>
            <w:r>
              <w:rPr>
                <w:color w:val="231F20"/>
                <w:spacing w:val="-1"/>
                <w:sz w:val="14"/>
              </w:rPr>
              <w:t xml:space="preserve"> </w:t>
            </w:r>
            <w:r>
              <w:rPr>
                <w:color w:val="231F20"/>
                <w:sz w:val="14"/>
              </w:rPr>
              <w:t>света”</w:t>
            </w:r>
          </w:p>
          <w:p w:rsidR="00041039" w:rsidRDefault="001B26CB">
            <w:pPr>
              <w:pStyle w:val="TableParagraph"/>
              <w:tabs>
                <w:tab w:val="left" w:pos="157"/>
              </w:tabs>
              <w:spacing w:line="225" w:lineRule="auto"/>
              <w:ind w:right="142" w:hanging="99"/>
              <w:rPr>
                <w:sz w:val="14"/>
              </w:rPr>
            </w:pPr>
            <w:r>
              <w:rPr>
                <w:color w:val="231F20"/>
                <w:sz w:val="14"/>
              </w:rPr>
              <w:t>Вук Караџић ­ рад на реформи језика и правописа, рад на сакупља</w:t>
            </w:r>
            <w:r>
              <w:rPr>
                <w:color w:val="231F20"/>
                <w:sz w:val="14"/>
              </w:rPr>
              <w:t>њу народних умотворина, лексикографски рад, Вук као књижевни критичар и полемичар, Вук</w:t>
            </w:r>
            <w:r>
              <w:rPr>
                <w:color w:val="231F20"/>
                <w:spacing w:val="-18"/>
                <w:sz w:val="14"/>
              </w:rPr>
              <w:t xml:space="preserve"> </w:t>
            </w:r>
            <w:r>
              <w:rPr>
                <w:color w:val="231F20"/>
                <w:sz w:val="14"/>
              </w:rPr>
              <w:t>као писац, историчар и</w:t>
            </w:r>
            <w:r>
              <w:rPr>
                <w:color w:val="231F20"/>
                <w:spacing w:val="-2"/>
                <w:sz w:val="14"/>
              </w:rPr>
              <w:t xml:space="preserve"> </w:t>
            </w:r>
            <w:r>
              <w:rPr>
                <w:color w:val="231F20"/>
                <w:sz w:val="14"/>
              </w:rPr>
              <w:t>биограф.</w:t>
            </w:r>
          </w:p>
          <w:p w:rsidR="00041039" w:rsidRDefault="001B26CB">
            <w:pPr>
              <w:pStyle w:val="TableParagraph"/>
              <w:tabs>
                <w:tab w:val="left" w:pos="157"/>
              </w:tabs>
              <w:spacing w:line="147" w:lineRule="exact"/>
              <w:ind w:hanging="99"/>
              <w:rPr>
                <w:sz w:val="14"/>
              </w:rPr>
            </w:pPr>
            <w:r>
              <w:rPr>
                <w:color w:val="231F20"/>
                <w:sz w:val="14"/>
              </w:rPr>
              <w:t>Значај 1847.</w:t>
            </w:r>
            <w:r>
              <w:rPr>
                <w:color w:val="231F20"/>
                <w:spacing w:val="-1"/>
                <w:sz w:val="14"/>
              </w:rPr>
              <w:t xml:space="preserve"> </w:t>
            </w:r>
            <w:r>
              <w:rPr>
                <w:color w:val="231F20"/>
                <w:sz w:val="14"/>
              </w:rPr>
              <w:t>године.</w:t>
            </w:r>
          </w:p>
          <w:p w:rsidR="00041039" w:rsidRDefault="001B26CB">
            <w:pPr>
              <w:pStyle w:val="TableParagraph"/>
              <w:tabs>
                <w:tab w:val="left" w:pos="157"/>
              </w:tabs>
              <w:spacing w:line="152" w:lineRule="exact"/>
              <w:ind w:hanging="99"/>
              <w:rPr>
                <w:sz w:val="14"/>
              </w:rPr>
            </w:pPr>
            <w:r>
              <w:rPr>
                <w:color w:val="231F20"/>
                <w:sz w:val="14"/>
              </w:rPr>
              <w:t>Петар Петровић Његош: „Горски</w:t>
            </w:r>
            <w:r>
              <w:rPr>
                <w:color w:val="231F20"/>
                <w:spacing w:val="-16"/>
                <w:sz w:val="14"/>
              </w:rPr>
              <w:t xml:space="preserve"> </w:t>
            </w:r>
            <w:r>
              <w:rPr>
                <w:color w:val="231F20"/>
                <w:sz w:val="14"/>
              </w:rPr>
              <w:t>вијенац”.</w:t>
            </w:r>
          </w:p>
          <w:p w:rsidR="00041039" w:rsidRDefault="001B26CB">
            <w:pPr>
              <w:pStyle w:val="TableParagraph"/>
              <w:tabs>
                <w:tab w:val="left" w:pos="157"/>
              </w:tabs>
              <w:spacing w:line="152" w:lineRule="exact"/>
              <w:ind w:hanging="99"/>
              <w:rPr>
                <w:sz w:val="14"/>
              </w:rPr>
            </w:pPr>
            <w:r>
              <w:rPr>
                <w:color w:val="231F20"/>
                <w:spacing w:val="-2"/>
                <w:sz w:val="14"/>
              </w:rPr>
              <w:t xml:space="preserve">Бранко </w:t>
            </w:r>
            <w:r>
              <w:rPr>
                <w:color w:val="231F20"/>
                <w:sz w:val="14"/>
              </w:rPr>
              <w:t>Радичевић: „Кад млидија’</w:t>
            </w:r>
            <w:r>
              <w:rPr>
                <w:color w:val="231F20"/>
                <w:spacing w:val="-15"/>
                <w:sz w:val="14"/>
              </w:rPr>
              <w:t xml:space="preserve"> </w:t>
            </w:r>
            <w:r>
              <w:rPr>
                <w:color w:val="231F20"/>
                <w:sz w:val="14"/>
              </w:rPr>
              <w:t>умрет”.</w:t>
            </w:r>
          </w:p>
          <w:p w:rsidR="00041039" w:rsidRDefault="001B26CB">
            <w:pPr>
              <w:pStyle w:val="TableParagraph"/>
              <w:tabs>
                <w:tab w:val="left" w:pos="157"/>
              </w:tabs>
              <w:spacing w:line="152" w:lineRule="exact"/>
              <w:ind w:hanging="99"/>
              <w:rPr>
                <w:sz w:val="14"/>
              </w:rPr>
            </w:pPr>
            <w:r>
              <w:rPr>
                <w:color w:val="231F20"/>
                <w:sz w:val="14"/>
              </w:rPr>
              <w:t>Ћура Јакшић: „На Липару”,</w:t>
            </w:r>
            <w:r>
              <w:rPr>
                <w:color w:val="231F20"/>
                <w:spacing w:val="-7"/>
                <w:sz w:val="14"/>
              </w:rPr>
              <w:t xml:space="preserve"> </w:t>
            </w:r>
            <w:r>
              <w:rPr>
                <w:color w:val="231F20"/>
                <w:sz w:val="14"/>
              </w:rPr>
              <w:t>„Отаџбина”.</w:t>
            </w:r>
          </w:p>
          <w:p w:rsidR="00041039" w:rsidRDefault="001B26CB">
            <w:pPr>
              <w:pStyle w:val="TableParagraph"/>
              <w:tabs>
                <w:tab w:val="left" w:pos="157"/>
              </w:tabs>
              <w:spacing w:line="225" w:lineRule="auto"/>
              <w:ind w:right="76" w:hanging="99"/>
              <w:jc w:val="both"/>
              <w:rPr>
                <w:sz w:val="14"/>
              </w:rPr>
            </w:pPr>
            <w:r>
              <w:rPr>
                <w:color w:val="231F20"/>
                <w:sz w:val="14"/>
              </w:rPr>
              <w:t xml:space="preserve">Јован Јовановић Змај: </w:t>
            </w:r>
            <w:r>
              <w:rPr>
                <w:color w:val="231F20"/>
                <w:spacing w:val="-4"/>
                <w:sz w:val="14"/>
              </w:rPr>
              <w:t xml:space="preserve">„Ђулићи” </w:t>
            </w:r>
            <w:r>
              <w:rPr>
                <w:color w:val="231F20"/>
                <w:sz w:val="14"/>
              </w:rPr>
              <w:t xml:space="preserve">и </w:t>
            </w:r>
            <w:r>
              <w:rPr>
                <w:color w:val="231F20"/>
                <w:spacing w:val="-4"/>
                <w:sz w:val="14"/>
              </w:rPr>
              <w:t xml:space="preserve">„Ћулићи </w:t>
            </w:r>
            <w:r>
              <w:rPr>
                <w:color w:val="231F20"/>
                <w:sz w:val="14"/>
              </w:rPr>
              <w:t>увеоци” (избор). Змајева сатирична</w:t>
            </w:r>
            <w:r>
              <w:rPr>
                <w:color w:val="231F20"/>
                <w:spacing w:val="-20"/>
                <w:sz w:val="14"/>
              </w:rPr>
              <w:t xml:space="preserve"> </w:t>
            </w:r>
            <w:r>
              <w:rPr>
                <w:color w:val="231F20"/>
                <w:sz w:val="14"/>
              </w:rPr>
              <w:t>поезија (избор).</w:t>
            </w:r>
          </w:p>
          <w:p w:rsidR="00041039" w:rsidRDefault="001B26CB">
            <w:pPr>
              <w:pStyle w:val="TableParagraph"/>
              <w:tabs>
                <w:tab w:val="left" w:pos="157"/>
              </w:tabs>
              <w:spacing w:line="151" w:lineRule="exact"/>
              <w:ind w:hanging="99"/>
              <w:rPr>
                <w:sz w:val="14"/>
              </w:rPr>
            </w:pPr>
            <w:r>
              <w:rPr>
                <w:color w:val="231F20"/>
                <w:sz w:val="14"/>
              </w:rPr>
              <w:t>Лаза Костић: „Међу јавом и међ</w:t>
            </w:r>
            <w:r>
              <w:rPr>
                <w:color w:val="231F20"/>
                <w:spacing w:val="-9"/>
                <w:sz w:val="14"/>
              </w:rPr>
              <w:t xml:space="preserve"> </w:t>
            </w:r>
            <w:r>
              <w:rPr>
                <w:color w:val="231F20"/>
                <w:sz w:val="14"/>
              </w:rPr>
              <w:t>сном”,</w:t>
            </w:r>
          </w:p>
          <w:p w:rsidR="00041039" w:rsidRDefault="001B26CB">
            <w:pPr>
              <w:pStyle w:val="TableParagraph"/>
              <w:spacing w:line="156" w:lineRule="exact"/>
              <w:rPr>
                <w:sz w:val="14"/>
              </w:rPr>
            </w:pPr>
            <w:r>
              <w:rPr>
                <w:color w:val="231F20"/>
                <w:sz w:val="14"/>
              </w:rPr>
              <w:t>„Santa Maria della Salute”.</w:t>
            </w:r>
          </w:p>
        </w:tc>
        <w:tc>
          <w:tcPr>
            <w:tcW w:w="2267" w:type="dxa"/>
            <w:vMerge w:val="restart"/>
          </w:tcPr>
          <w:p w:rsidR="00041039" w:rsidRDefault="001B26CB">
            <w:pPr>
              <w:pStyle w:val="TableParagraph"/>
              <w:spacing w:before="20" w:line="232" w:lineRule="auto"/>
              <w:ind w:left="58" w:right="109"/>
              <w:rPr>
                <w:b/>
                <w:sz w:val="14"/>
              </w:rPr>
            </w:pPr>
            <w:r>
              <w:rPr>
                <w:b/>
                <w:color w:val="231F20"/>
                <w:sz w:val="14"/>
              </w:rPr>
              <w:t>Препоруке за реализацију наставе</w:t>
            </w:r>
          </w:p>
          <w:p w:rsidR="00041039" w:rsidRDefault="001B26CB">
            <w:pPr>
              <w:pStyle w:val="TableParagraph"/>
              <w:tabs>
                <w:tab w:val="left" w:pos="158"/>
              </w:tabs>
              <w:spacing w:before="1" w:line="156" w:lineRule="exact"/>
              <w:ind w:left="157" w:right="217" w:hanging="99"/>
              <w:rPr>
                <w:sz w:val="14"/>
              </w:rPr>
            </w:pPr>
            <w:r>
              <w:rPr>
                <w:color w:val="231F20"/>
                <w:sz w:val="14"/>
              </w:rPr>
              <w:t xml:space="preserve">Могућност гледања екраниза­ ције неких </w:t>
            </w:r>
            <w:r>
              <w:rPr>
                <w:color w:val="231F20"/>
                <w:spacing w:val="-3"/>
                <w:sz w:val="14"/>
              </w:rPr>
              <w:t xml:space="preserve">од </w:t>
            </w:r>
            <w:r>
              <w:rPr>
                <w:color w:val="231F20"/>
                <w:sz w:val="14"/>
              </w:rPr>
              <w:t>дела реалистичке књижевности.</w:t>
            </w:r>
          </w:p>
          <w:p w:rsidR="00041039" w:rsidRDefault="00041039">
            <w:pPr>
              <w:pStyle w:val="TableParagraph"/>
              <w:spacing w:before="1"/>
              <w:ind w:left="0"/>
              <w:rPr>
                <w:b/>
                <w:sz w:val="13"/>
              </w:rPr>
            </w:pPr>
          </w:p>
          <w:p w:rsidR="00041039" w:rsidRDefault="001B26CB">
            <w:pPr>
              <w:pStyle w:val="TableParagraph"/>
              <w:spacing w:line="158" w:lineRule="exact"/>
              <w:ind w:left="58"/>
              <w:rPr>
                <w:b/>
                <w:sz w:val="14"/>
              </w:rPr>
            </w:pPr>
            <w:r>
              <w:rPr>
                <w:b/>
                <w:color w:val="231F20"/>
                <w:sz w:val="14"/>
              </w:rPr>
              <w:t>Оцењивање</w:t>
            </w:r>
          </w:p>
          <w:p w:rsidR="00041039" w:rsidRDefault="001B26CB">
            <w:pPr>
              <w:pStyle w:val="TableParagraph"/>
              <w:spacing w:before="1" w:line="232" w:lineRule="auto"/>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49"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4"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1"/>
              <w:ind w:left="0"/>
              <w:rPr>
                <w:b/>
                <w:sz w:val="13"/>
              </w:rPr>
            </w:pPr>
          </w:p>
          <w:p w:rsidR="00041039" w:rsidRDefault="001B26CB">
            <w:pPr>
              <w:pStyle w:val="TableParagraph"/>
              <w:spacing w:line="153"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232" w:lineRule="auto"/>
              <w:ind w:left="157" w:right="323" w:hanging="99"/>
              <w:rPr>
                <w:b/>
                <w:sz w:val="14"/>
              </w:rPr>
            </w:pPr>
            <w:r>
              <w:rPr>
                <w:color w:val="231F20"/>
                <w:sz w:val="14"/>
              </w:rPr>
              <w:t xml:space="preserve">Барок, класицизам, просвети­ тељство </w:t>
            </w:r>
            <w:r>
              <w:rPr>
                <w:b/>
                <w:color w:val="231F20"/>
                <w:sz w:val="14"/>
              </w:rPr>
              <w:t>(13</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149" w:lineRule="exact"/>
              <w:ind w:left="157" w:hanging="99"/>
              <w:rPr>
                <w:b/>
                <w:sz w:val="14"/>
              </w:rPr>
            </w:pPr>
            <w:r>
              <w:rPr>
                <w:color w:val="231F20"/>
                <w:sz w:val="14"/>
              </w:rPr>
              <w:t xml:space="preserve">Романтизам </w:t>
            </w:r>
            <w:r>
              <w:rPr>
                <w:b/>
                <w:color w:val="231F20"/>
                <w:sz w:val="14"/>
              </w:rPr>
              <w:t>(25</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56" w:lineRule="exact"/>
              <w:ind w:left="157" w:hanging="99"/>
              <w:rPr>
                <w:b/>
                <w:sz w:val="14"/>
              </w:rPr>
            </w:pPr>
            <w:r>
              <w:rPr>
                <w:color w:val="231F20"/>
                <w:sz w:val="14"/>
              </w:rPr>
              <w:t xml:space="preserve">Реализам </w:t>
            </w:r>
            <w:r>
              <w:rPr>
                <w:b/>
                <w:color w:val="231F20"/>
                <w:sz w:val="14"/>
              </w:rPr>
              <w:t>(28</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56" w:lineRule="exact"/>
              <w:ind w:left="157"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56" w:lineRule="exact"/>
              <w:ind w:left="157" w:hanging="99"/>
              <w:rPr>
                <w:b/>
                <w:sz w:val="14"/>
              </w:rPr>
            </w:pPr>
            <w:r>
              <w:rPr>
                <w:color w:val="231F20"/>
                <w:sz w:val="14"/>
              </w:rPr>
              <w:t xml:space="preserve">Правопис </w:t>
            </w:r>
            <w:r>
              <w:rPr>
                <w:b/>
                <w:color w:val="231F20"/>
                <w:sz w:val="14"/>
              </w:rPr>
              <w:t>(5</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4" w:lineRule="exact"/>
              <w:ind w:left="157" w:hanging="99"/>
              <w:rPr>
                <w:b/>
                <w:sz w:val="14"/>
              </w:rPr>
            </w:pPr>
            <w:r>
              <w:rPr>
                <w:color w:val="231F20"/>
                <w:spacing w:val="-3"/>
                <w:sz w:val="14"/>
              </w:rPr>
              <w:t xml:space="preserve">Култура </w:t>
            </w:r>
            <w:r>
              <w:rPr>
                <w:color w:val="231F20"/>
                <w:sz w:val="14"/>
              </w:rPr>
              <w:t xml:space="preserve">изражавања </w:t>
            </w:r>
            <w:r>
              <w:rPr>
                <w:b/>
                <w:color w:val="231F20"/>
                <w:sz w:val="14"/>
              </w:rPr>
              <w:t>(24</w:t>
            </w:r>
            <w:r>
              <w:rPr>
                <w:b/>
                <w:color w:val="231F20"/>
                <w:sz w:val="14"/>
              </w:rPr>
              <w:t xml:space="preserve"> </w:t>
            </w:r>
            <w:r>
              <w:rPr>
                <w:b/>
                <w:color w:val="231F20"/>
                <w:sz w:val="14"/>
              </w:rPr>
              <w:t>часа)</w:t>
            </w:r>
          </w:p>
        </w:tc>
      </w:tr>
      <w:tr w:rsidR="00041039">
        <w:trPr>
          <w:trHeight w:val="1760"/>
        </w:trPr>
        <w:tc>
          <w:tcPr>
            <w:tcW w:w="1304" w:type="dxa"/>
          </w:tcPr>
          <w:p w:rsidR="00041039" w:rsidRDefault="001B26CB">
            <w:pPr>
              <w:pStyle w:val="TableParagraph"/>
              <w:spacing w:before="18"/>
              <w:ind w:left="56"/>
              <w:rPr>
                <w:sz w:val="14"/>
              </w:rPr>
            </w:pPr>
            <w:r>
              <w:rPr>
                <w:color w:val="231F20"/>
                <w:sz w:val="14"/>
              </w:rPr>
              <w:t>Реализам</w:t>
            </w:r>
          </w:p>
        </w:tc>
        <w:tc>
          <w:tcPr>
            <w:tcW w:w="1587" w:type="dxa"/>
          </w:tcPr>
          <w:p w:rsidR="00041039" w:rsidRDefault="001B26CB">
            <w:pPr>
              <w:pStyle w:val="TableParagraph"/>
              <w:tabs>
                <w:tab w:val="left" w:pos="157"/>
              </w:tabs>
              <w:spacing w:before="12" w:line="232" w:lineRule="auto"/>
              <w:ind w:right="43" w:hanging="100"/>
              <w:rPr>
                <w:sz w:val="14"/>
              </w:rPr>
            </w:pPr>
            <w:r>
              <w:rPr>
                <w:color w:val="231F20"/>
                <w:sz w:val="14"/>
              </w:rPr>
              <w:t xml:space="preserve">Упознавање са поети­ </w:t>
            </w:r>
            <w:r>
              <w:rPr>
                <w:color w:val="231F20"/>
                <w:spacing w:val="-4"/>
                <w:sz w:val="14"/>
              </w:rPr>
              <w:t xml:space="preserve">ком </w:t>
            </w:r>
            <w:r>
              <w:rPr>
                <w:color w:val="231F20"/>
                <w:sz w:val="14"/>
              </w:rPr>
              <w:t>реализма, предста­ вницима и делима европске и српске књижевности.</w:t>
            </w:r>
          </w:p>
        </w:tc>
        <w:tc>
          <w:tcPr>
            <w:tcW w:w="2551" w:type="dxa"/>
          </w:tcPr>
          <w:p w:rsidR="00041039" w:rsidRDefault="001B26CB">
            <w:pPr>
              <w:pStyle w:val="TableParagraph"/>
              <w:tabs>
                <w:tab w:val="left" w:pos="157"/>
              </w:tabs>
              <w:spacing w:before="12" w:line="232" w:lineRule="auto"/>
              <w:ind w:right="117" w:hanging="99"/>
              <w:jc w:val="both"/>
              <w:rPr>
                <w:sz w:val="14"/>
              </w:rPr>
            </w:pPr>
            <w:r>
              <w:rPr>
                <w:color w:val="231F20"/>
                <w:sz w:val="14"/>
              </w:rPr>
              <w:t>наведе представнике правца и</w:t>
            </w:r>
            <w:r>
              <w:rPr>
                <w:color w:val="231F20"/>
                <w:spacing w:val="-26"/>
                <w:sz w:val="14"/>
              </w:rPr>
              <w:t xml:space="preserve"> </w:t>
            </w:r>
            <w:r>
              <w:rPr>
                <w:color w:val="231F20"/>
                <w:sz w:val="14"/>
              </w:rPr>
              <w:t>њихова дела;</w:t>
            </w:r>
          </w:p>
          <w:p w:rsidR="00041039" w:rsidRDefault="001B26CB">
            <w:pPr>
              <w:pStyle w:val="TableParagraph"/>
              <w:tabs>
                <w:tab w:val="left" w:pos="157"/>
              </w:tabs>
              <w:spacing w:before="1" w:line="156" w:lineRule="exact"/>
              <w:ind w:right="138" w:hanging="99"/>
              <w:jc w:val="both"/>
              <w:rPr>
                <w:sz w:val="14"/>
              </w:rPr>
            </w:pPr>
            <w:r>
              <w:rPr>
                <w:color w:val="231F20"/>
                <w:sz w:val="14"/>
              </w:rPr>
              <w:t>дефинише одлике реализма и</w:t>
            </w:r>
            <w:r>
              <w:rPr>
                <w:color w:val="231F20"/>
                <w:spacing w:val="-12"/>
                <w:sz w:val="14"/>
              </w:rPr>
              <w:t xml:space="preserve"> </w:t>
            </w:r>
            <w:r>
              <w:rPr>
                <w:color w:val="231F20"/>
                <w:sz w:val="14"/>
              </w:rPr>
              <w:t>објасни их на обрађеним књижевним</w:t>
            </w:r>
            <w:r>
              <w:rPr>
                <w:color w:val="231F20"/>
                <w:spacing w:val="-7"/>
                <w:sz w:val="14"/>
              </w:rPr>
              <w:t xml:space="preserve"> </w:t>
            </w:r>
            <w:r>
              <w:rPr>
                <w:color w:val="231F20"/>
                <w:sz w:val="14"/>
              </w:rPr>
              <w:t>делима;</w:t>
            </w:r>
          </w:p>
          <w:p w:rsidR="00041039" w:rsidRDefault="001B26CB">
            <w:pPr>
              <w:pStyle w:val="TableParagraph"/>
              <w:tabs>
                <w:tab w:val="left" w:pos="157"/>
              </w:tabs>
              <w:spacing w:line="156" w:lineRule="exact"/>
              <w:ind w:right="99" w:hanging="99"/>
              <w:jc w:val="both"/>
              <w:rPr>
                <w:sz w:val="14"/>
              </w:rPr>
            </w:pPr>
            <w:r>
              <w:rPr>
                <w:color w:val="231F20"/>
                <w:sz w:val="14"/>
              </w:rPr>
              <w:t>тумачи уметнички свет и стваралачке поступке у структури обрађених</w:t>
            </w:r>
            <w:r>
              <w:rPr>
                <w:color w:val="231F20"/>
                <w:spacing w:val="-9"/>
                <w:sz w:val="14"/>
              </w:rPr>
              <w:t xml:space="preserve"> </w:t>
            </w:r>
            <w:r>
              <w:rPr>
                <w:color w:val="231F20"/>
                <w:sz w:val="14"/>
              </w:rPr>
              <w:t>дела;</w:t>
            </w:r>
          </w:p>
          <w:p w:rsidR="00041039" w:rsidRDefault="001B26CB">
            <w:pPr>
              <w:pStyle w:val="TableParagraph"/>
              <w:tabs>
                <w:tab w:val="left" w:pos="157"/>
              </w:tabs>
              <w:spacing w:line="156" w:lineRule="exact"/>
              <w:ind w:right="65" w:hanging="99"/>
              <w:jc w:val="both"/>
              <w:rPr>
                <w:sz w:val="14"/>
              </w:rPr>
            </w:pPr>
            <w:r>
              <w:rPr>
                <w:color w:val="231F20"/>
                <w:sz w:val="14"/>
              </w:rPr>
              <w:t>процењује друштвене појаве и</w:t>
            </w:r>
            <w:r>
              <w:rPr>
                <w:color w:val="231F20"/>
                <w:spacing w:val="-25"/>
                <w:sz w:val="14"/>
              </w:rPr>
              <w:t xml:space="preserve"> </w:t>
            </w:r>
            <w:r>
              <w:rPr>
                <w:color w:val="231F20"/>
                <w:sz w:val="14"/>
              </w:rPr>
              <w:t>пробле­ ме које покреће књижевно</w:t>
            </w:r>
            <w:r>
              <w:rPr>
                <w:color w:val="231F20"/>
                <w:spacing w:val="-6"/>
                <w:sz w:val="14"/>
              </w:rPr>
              <w:t xml:space="preserve"> </w:t>
            </w:r>
            <w:r>
              <w:rPr>
                <w:color w:val="231F20"/>
                <w:sz w:val="14"/>
              </w:rPr>
              <w:t>дело;</w:t>
            </w:r>
          </w:p>
          <w:p w:rsidR="00041039" w:rsidRDefault="001B26CB">
            <w:pPr>
              <w:pStyle w:val="TableParagraph"/>
              <w:tabs>
                <w:tab w:val="left" w:pos="157"/>
              </w:tabs>
              <w:spacing w:line="156" w:lineRule="exact"/>
              <w:ind w:right="68" w:hanging="99"/>
              <w:jc w:val="both"/>
              <w:rPr>
                <w:sz w:val="14"/>
              </w:rPr>
            </w:pPr>
            <w:r>
              <w:rPr>
                <w:color w:val="231F20"/>
                <w:sz w:val="14"/>
              </w:rPr>
              <w:t>развије критички став и мишљење при процени поступака и понашања јунака у обрађеним</w:t>
            </w:r>
            <w:r>
              <w:rPr>
                <w:color w:val="231F20"/>
                <w:spacing w:val="-1"/>
                <w:sz w:val="14"/>
              </w:rPr>
              <w:t xml:space="preserve"> </w:t>
            </w:r>
            <w:r>
              <w:rPr>
                <w:color w:val="231F20"/>
                <w:sz w:val="14"/>
              </w:rPr>
              <w:t>делима;</w:t>
            </w:r>
          </w:p>
        </w:tc>
        <w:tc>
          <w:tcPr>
            <w:tcW w:w="2834" w:type="dxa"/>
          </w:tcPr>
          <w:p w:rsidR="00041039" w:rsidRDefault="001B26CB">
            <w:pPr>
              <w:pStyle w:val="TableParagraph"/>
              <w:tabs>
                <w:tab w:val="left" w:pos="157"/>
              </w:tabs>
              <w:spacing w:before="15" w:line="225" w:lineRule="auto"/>
              <w:ind w:right="82" w:hanging="99"/>
              <w:rPr>
                <w:sz w:val="14"/>
              </w:rPr>
            </w:pPr>
            <w:r>
              <w:rPr>
                <w:color w:val="231F20"/>
                <w:sz w:val="14"/>
              </w:rPr>
              <w:t xml:space="preserve">Реализам у Европи и </w:t>
            </w:r>
            <w:r>
              <w:rPr>
                <w:color w:val="231F20"/>
                <w:spacing w:val="-5"/>
                <w:sz w:val="14"/>
              </w:rPr>
              <w:t xml:space="preserve">код </w:t>
            </w:r>
            <w:r>
              <w:rPr>
                <w:color w:val="231F20"/>
                <w:sz w:val="14"/>
              </w:rPr>
              <w:t>нас (појам, особе­ ности, значај,</w:t>
            </w:r>
            <w:r>
              <w:rPr>
                <w:color w:val="231F20"/>
                <w:spacing w:val="-1"/>
                <w:sz w:val="14"/>
              </w:rPr>
              <w:t xml:space="preserve"> </w:t>
            </w:r>
            <w:r>
              <w:rPr>
                <w:color w:val="231F20"/>
                <w:sz w:val="14"/>
              </w:rPr>
              <w:t>представници).</w:t>
            </w:r>
          </w:p>
          <w:p w:rsidR="00041039" w:rsidRDefault="001B26CB">
            <w:pPr>
              <w:pStyle w:val="TableParagraph"/>
              <w:tabs>
                <w:tab w:val="left" w:pos="157"/>
              </w:tabs>
              <w:spacing w:line="225" w:lineRule="auto"/>
              <w:ind w:right="338" w:hanging="99"/>
              <w:rPr>
                <w:sz w:val="14"/>
              </w:rPr>
            </w:pPr>
            <w:r>
              <w:rPr>
                <w:color w:val="231F20"/>
                <w:sz w:val="14"/>
              </w:rPr>
              <w:t xml:space="preserve">Балзак: </w:t>
            </w:r>
            <w:r>
              <w:rPr>
                <w:color w:val="231F20"/>
                <w:spacing w:val="-6"/>
                <w:sz w:val="14"/>
              </w:rPr>
              <w:t xml:space="preserve">„Чича </w:t>
            </w:r>
            <w:r>
              <w:rPr>
                <w:color w:val="231F20"/>
                <w:spacing w:val="-3"/>
                <w:sz w:val="14"/>
              </w:rPr>
              <w:t xml:space="preserve">Горио” </w:t>
            </w:r>
            <w:r>
              <w:rPr>
                <w:color w:val="231F20"/>
                <w:sz w:val="14"/>
              </w:rPr>
              <w:t xml:space="preserve">или </w:t>
            </w:r>
            <w:r>
              <w:rPr>
                <w:color w:val="231F20"/>
                <w:spacing w:val="-3"/>
                <w:sz w:val="14"/>
              </w:rPr>
              <w:t xml:space="preserve">Толстој </w:t>
            </w:r>
            <w:r>
              <w:rPr>
                <w:color w:val="231F20"/>
                <w:sz w:val="14"/>
              </w:rPr>
              <w:t>„Ана Карењина”.</w:t>
            </w:r>
          </w:p>
          <w:p w:rsidR="00041039" w:rsidRDefault="001B26CB">
            <w:pPr>
              <w:pStyle w:val="TableParagraph"/>
              <w:tabs>
                <w:tab w:val="left" w:pos="157"/>
              </w:tabs>
              <w:spacing w:line="145" w:lineRule="exact"/>
              <w:ind w:hanging="99"/>
              <w:rPr>
                <w:sz w:val="14"/>
              </w:rPr>
            </w:pPr>
            <w:r>
              <w:rPr>
                <w:color w:val="231F20"/>
                <w:spacing w:val="-3"/>
                <w:sz w:val="14"/>
              </w:rPr>
              <w:t>Гогољ:</w:t>
            </w:r>
            <w:r>
              <w:rPr>
                <w:color w:val="231F20"/>
                <w:spacing w:val="-1"/>
                <w:sz w:val="14"/>
              </w:rPr>
              <w:t xml:space="preserve"> </w:t>
            </w:r>
            <w:r>
              <w:rPr>
                <w:color w:val="231F20"/>
                <w:sz w:val="14"/>
              </w:rPr>
              <w:t>„Ревизор”.</w:t>
            </w:r>
          </w:p>
          <w:p w:rsidR="00041039" w:rsidRDefault="001B26CB">
            <w:pPr>
              <w:pStyle w:val="TableParagraph"/>
              <w:tabs>
                <w:tab w:val="left" w:pos="157"/>
              </w:tabs>
              <w:spacing w:line="152" w:lineRule="exact"/>
              <w:ind w:hanging="99"/>
              <w:rPr>
                <w:sz w:val="14"/>
              </w:rPr>
            </w:pPr>
            <w:r>
              <w:rPr>
                <w:color w:val="231F20"/>
                <w:sz w:val="14"/>
              </w:rPr>
              <w:t xml:space="preserve">Милован </w:t>
            </w:r>
            <w:r>
              <w:rPr>
                <w:color w:val="231F20"/>
                <w:spacing w:val="-3"/>
                <w:sz w:val="14"/>
              </w:rPr>
              <w:t>Глишић: „Глава</w:t>
            </w:r>
            <w:r>
              <w:rPr>
                <w:color w:val="231F20"/>
                <w:sz w:val="14"/>
              </w:rPr>
              <w:t xml:space="preserve"> </w:t>
            </w:r>
            <w:r>
              <w:rPr>
                <w:color w:val="231F20"/>
                <w:sz w:val="14"/>
              </w:rPr>
              <w:t>шећера”.</w:t>
            </w:r>
          </w:p>
          <w:p w:rsidR="00041039" w:rsidRDefault="001B26CB">
            <w:pPr>
              <w:pStyle w:val="TableParagraph"/>
              <w:tabs>
                <w:tab w:val="left" w:pos="157"/>
              </w:tabs>
              <w:spacing w:line="152" w:lineRule="exact"/>
              <w:ind w:hanging="99"/>
              <w:rPr>
                <w:sz w:val="14"/>
              </w:rPr>
            </w:pPr>
            <w:r>
              <w:rPr>
                <w:color w:val="231F20"/>
                <w:sz w:val="14"/>
              </w:rPr>
              <w:t>Лаза Лазаревић:</w:t>
            </w:r>
            <w:r>
              <w:rPr>
                <w:color w:val="231F20"/>
                <w:spacing w:val="-3"/>
                <w:sz w:val="14"/>
              </w:rPr>
              <w:t xml:space="preserve"> </w:t>
            </w:r>
            <w:r>
              <w:rPr>
                <w:color w:val="231F20"/>
                <w:sz w:val="14"/>
              </w:rPr>
              <w:t>„Ветар”</w:t>
            </w:r>
          </w:p>
          <w:p w:rsidR="00041039" w:rsidRDefault="001B26CB">
            <w:pPr>
              <w:pStyle w:val="TableParagraph"/>
              <w:tabs>
                <w:tab w:val="left" w:pos="157"/>
              </w:tabs>
              <w:spacing w:line="152" w:lineRule="exact"/>
              <w:ind w:hanging="99"/>
              <w:rPr>
                <w:sz w:val="14"/>
              </w:rPr>
            </w:pPr>
            <w:r>
              <w:rPr>
                <w:color w:val="231F20"/>
                <w:sz w:val="14"/>
              </w:rPr>
              <w:t>Радоје Домановић: „Данга” или</w:t>
            </w:r>
            <w:r>
              <w:rPr>
                <w:color w:val="231F20"/>
                <w:spacing w:val="-6"/>
                <w:sz w:val="14"/>
              </w:rPr>
              <w:t xml:space="preserve"> </w:t>
            </w:r>
            <w:r>
              <w:rPr>
                <w:color w:val="231F20"/>
                <w:sz w:val="14"/>
              </w:rPr>
              <w:t>„Вођа”.</w:t>
            </w:r>
          </w:p>
          <w:p w:rsidR="00041039" w:rsidRDefault="001B26CB">
            <w:pPr>
              <w:pStyle w:val="TableParagraph"/>
              <w:tabs>
                <w:tab w:val="left" w:pos="157"/>
              </w:tabs>
              <w:spacing w:line="152" w:lineRule="exact"/>
              <w:ind w:hanging="99"/>
              <w:rPr>
                <w:sz w:val="14"/>
              </w:rPr>
            </w:pPr>
            <w:r>
              <w:rPr>
                <w:color w:val="231F20"/>
                <w:sz w:val="14"/>
              </w:rPr>
              <w:t>Симо Матавуљ:</w:t>
            </w:r>
            <w:r>
              <w:rPr>
                <w:color w:val="231F20"/>
                <w:spacing w:val="-1"/>
                <w:sz w:val="14"/>
              </w:rPr>
              <w:t xml:space="preserve"> </w:t>
            </w:r>
            <w:r>
              <w:rPr>
                <w:color w:val="231F20"/>
                <w:sz w:val="14"/>
              </w:rPr>
              <w:t>„Поварета”.</w:t>
            </w:r>
          </w:p>
          <w:p w:rsidR="00041039" w:rsidRDefault="001B26CB">
            <w:pPr>
              <w:pStyle w:val="TableParagraph"/>
              <w:tabs>
                <w:tab w:val="left" w:pos="157"/>
              </w:tabs>
              <w:spacing w:line="152" w:lineRule="exact"/>
              <w:ind w:hanging="99"/>
              <w:rPr>
                <w:sz w:val="14"/>
              </w:rPr>
            </w:pPr>
            <w:r>
              <w:rPr>
                <w:color w:val="231F20"/>
                <w:sz w:val="14"/>
              </w:rPr>
              <w:t>Бранислав Нушић: „Госпођа</w:t>
            </w:r>
            <w:r>
              <w:rPr>
                <w:color w:val="231F20"/>
                <w:spacing w:val="-12"/>
                <w:sz w:val="14"/>
              </w:rPr>
              <w:t xml:space="preserve"> </w:t>
            </w:r>
            <w:r>
              <w:rPr>
                <w:color w:val="231F20"/>
                <w:sz w:val="14"/>
              </w:rPr>
              <w:t>министарка”.</w:t>
            </w:r>
          </w:p>
          <w:p w:rsidR="00041039" w:rsidRDefault="001B26CB">
            <w:pPr>
              <w:pStyle w:val="TableParagraph"/>
              <w:tabs>
                <w:tab w:val="left" w:pos="157"/>
              </w:tabs>
              <w:spacing w:line="162" w:lineRule="exact"/>
              <w:ind w:hanging="99"/>
              <w:rPr>
                <w:sz w:val="14"/>
              </w:rPr>
            </w:pPr>
            <w:r>
              <w:rPr>
                <w:color w:val="231F20"/>
                <w:sz w:val="14"/>
              </w:rPr>
              <w:t>Војислав Илић: (избор из</w:t>
            </w:r>
            <w:r>
              <w:rPr>
                <w:color w:val="231F20"/>
                <w:spacing w:val="-5"/>
                <w:sz w:val="14"/>
              </w:rPr>
              <w:t xml:space="preserve"> </w:t>
            </w:r>
            <w:r>
              <w:rPr>
                <w:color w:val="231F20"/>
                <w:sz w:val="14"/>
              </w:rPr>
              <w:t>поезије).</w:t>
            </w:r>
          </w:p>
        </w:tc>
        <w:tc>
          <w:tcPr>
            <w:tcW w:w="2267" w:type="dxa"/>
            <w:vMerge/>
            <w:tcBorders>
              <w:top w:val="nil"/>
            </w:tcBorders>
          </w:tcPr>
          <w:p w:rsidR="00041039" w:rsidRDefault="00041039">
            <w:pPr>
              <w:rPr>
                <w:sz w:val="2"/>
                <w:szCs w:val="2"/>
              </w:rPr>
            </w:pPr>
          </w:p>
        </w:tc>
      </w:tr>
      <w:tr w:rsidR="00041039">
        <w:trPr>
          <w:trHeight w:val="1112"/>
        </w:trPr>
        <w:tc>
          <w:tcPr>
            <w:tcW w:w="1304" w:type="dxa"/>
          </w:tcPr>
          <w:p w:rsidR="00041039" w:rsidRDefault="001B26CB">
            <w:pPr>
              <w:pStyle w:val="TableParagraph"/>
              <w:spacing w:before="17"/>
              <w:ind w:left="56"/>
              <w:rPr>
                <w:sz w:val="14"/>
              </w:rPr>
            </w:pPr>
            <w:r>
              <w:rPr>
                <w:color w:val="231F20"/>
                <w:sz w:val="14"/>
              </w:rPr>
              <w:t>Морфологија</w:t>
            </w:r>
          </w:p>
        </w:tc>
        <w:tc>
          <w:tcPr>
            <w:tcW w:w="1587" w:type="dxa"/>
          </w:tcPr>
          <w:p w:rsidR="00041039" w:rsidRDefault="001B26CB">
            <w:pPr>
              <w:pStyle w:val="TableParagraph"/>
              <w:tabs>
                <w:tab w:val="left" w:pos="157"/>
              </w:tabs>
              <w:spacing w:before="12" w:line="232" w:lineRule="auto"/>
              <w:ind w:right="116" w:hanging="100"/>
              <w:rPr>
                <w:sz w:val="14"/>
              </w:rPr>
            </w:pPr>
            <w:r>
              <w:rPr>
                <w:color w:val="231F20"/>
                <w:sz w:val="14"/>
              </w:rPr>
              <w:t>Систематизовање знања о врстама речи и њиховим</w:t>
            </w:r>
            <w:r>
              <w:rPr>
                <w:color w:val="231F20"/>
                <w:spacing w:val="-16"/>
                <w:sz w:val="14"/>
              </w:rPr>
              <w:t xml:space="preserve"> </w:t>
            </w:r>
            <w:r>
              <w:rPr>
                <w:color w:val="231F20"/>
                <w:sz w:val="14"/>
              </w:rPr>
              <w:t>облицима.</w:t>
            </w:r>
          </w:p>
        </w:tc>
        <w:tc>
          <w:tcPr>
            <w:tcW w:w="2551" w:type="dxa"/>
          </w:tcPr>
          <w:p w:rsidR="00041039" w:rsidRDefault="001B26CB">
            <w:pPr>
              <w:pStyle w:val="TableParagraph"/>
              <w:tabs>
                <w:tab w:val="left" w:pos="157"/>
              </w:tabs>
              <w:spacing w:before="12" w:line="232" w:lineRule="auto"/>
              <w:ind w:right="483" w:hanging="99"/>
              <w:rPr>
                <w:sz w:val="14"/>
              </w:rPr>
            </w:pPr>
            <w:r>
              <w:rPr>
                <w:color w:val="231F20"/>
                <w:sz w:val="14"/>
              </w:rPr>
              <w:t>одреди врсту речи и</w:t>
            </w:r>
            <w:r>
              <w:rPr>
                <w:color w:val="231F20"/>
                <w:spacing w:val="-27"/>
                <w:sz w:val="14"/>
              </w:rPr>
              <w:t xml:space="preserve"> </w:t>
            </w:r>
            <w:r>
              <w:rPr>
                <w:color w:val="231F20"/>
                <w:sz w:val="14"/>
              </w:rPr>
              <w:t>граматичке категорије;</w:t>
            </w:r>
          </w:p>
          <w:p w:rsidR="00041039" w:rsidRDefault="001B26CB">
            <w:pPr>
              <w:pStyle w:val="TableParagraph"/>
              <w:tabs>
                <w:tab w:val="left" w:pos="157"/>
              </w:tabs>
              <w:spacing w:before="1" w:line="156" w:lineRule="exact"/>
              <w:ind w:right="205" w:hanging="99"/>
              <w:rPr>
                <w:sz w:val="14"/>
              </w:rPr>
            </w:pPr>
            <w:r>
              <w:rPr>
                <w:color w:val="231F20"/>
                <w:sz w:val="14"/>
              </w:rPr>
              <w:t>употреби у усменом и писаном изражавању облике речи у складу</w:t>
            </w:r>
            <w:r>
              <w:rPr>
                <w:color w:val="231F20"/>
                <w:spacing w:val="-20"/>
                <w:sz w:val="14"/>
              </w:rPr>
              <w:t xml:space="preserve"> </w:t>
            </w:r>
            <w:r>
              <w:rPr>
                <w:color w:val="231F20"/>
                <w:sz w:val="14"/>
              </w:rPr>
              <w:t>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tabs>
                <w:tab w:val="left" w:pos="158"/>
              </w:tabs>
              <w:spacing w:before="7" w:line="162" w:lineRule="exact"/>
              <w:ind w:left="157" w:hanging="100"/>
              <w:rPr>
                <w:sz w:val="14"/>
              </w:rPr>
            </w:pPr>
            <w:r>
              <w:rPr>
                <w:color w:val="231F20"/>
                <w:sz w:val="14"/>
              </w:rPr>
              <w:t>Морфологија у ужем</w:t>
            </w:r>
            <w:r>
              <w:rPr>
                <w:color w:val="231F20"/>
                <w:spacing w:val="-2"/>
                <w:sz w:val="14"/>
              </w:rPr>
              <w:t xml:space="preserve"> </w:t>
            </w:r>
            <w:r>
              <w:rPr>
                <w:color w:val="231F20"/>
                <w:spacing w:val="-3"/>
                <w:sz w:val="14"/>
              </w:rPr>
              <w:t>смислу.</w:t>
            </w:r>
          </w:p>
          <w:p w:rsidR="00041039" w:rsidRDefault="001B26CB">
            <w:pPr>
              <w:pStyle w:val="TableParagraph"/>
              <w:tabs>
                <w:tab w:val="left" w:pos="158"/>
              </w:tabs>
              <w:spacing w:line="152" w:lineRule="exact"/>
              <w:ind w:left="157" w:hanging="100"/>
              <w:rPr>
                <w:sz w:val="14"/>
              </w:rPr>
            </w:pPr>
            <w:r>
              <w:rPr>
                <w:color w:val="231F20"/>
                <w:sz w:val="14"/>
              </w:rPr>
              <w:t>Променљиве и непроменљиве врсте</w:t>
            </w:r>
            <w:r>
              <w:rPr>
                <w:color w:val="231F20"/>
                <w:spacing w:val="-12"/>
                <w:sz w:val="14"/>
              </w:rPr>
              <w:t xml:space="preserve"> </w:t>
            </w:r>
            <w:r>
              <w:rPr>
                <w:color w:val="231F20"/>
                <w:sz w:val="14"/>
              </w:rPr>
              <w:t>речи.</w:t>
            </w:r>
          </w:p>
          <w:p w:rsidR="00041039" w:rsidRDefault="001B26CB">
            <w:pPr>
              <w:pStyle w:val="TableParagraph"/>
              <w:tabs>
                <w:tab w:val="left" w:pos="158"/>
              </w:tabs>
              <w:spacing w:line="225" w:lineRule="auto"/>
              <w:ind w:left="157" w:right="146" w:hanging="100"/>
              <w:jc w:val="both"/>
              <w:rPr>
                <w:sz w:val="14"/>
              </w:rPr>
            </w:pPr>
            <w:r>
              <w:rPr>
                <w:color w:val="231F20"/>
                <w:sz w:val="14"/>
              </w:rPr>
              <w:t>Именице,</w:t>
            </w:r>
            <w:r>
              <w:rPr>
                <w:color w:val="231F20"/>
                <w:spacing w:val="-8"/>
                <w:sz w:val="14"/>
              </w:rPr>
              <w:t xml:space="preserve"> </w:t>
            </w:r>
            <w:r>
              <w:rPr>
                <w:color w:val="231F20"/>
                <w:sz w:val="14"/>
              </w:rPr>
              <w:t>придеви,</w:t>
            </w:r>
            <w:r>
              <w:rPr>
                <w:color w:val="231F20"/>
                <w:spacing w:val="-8"/>
                <w:sz w:val="14"/>
              </w:rPr>
              <w:t xml:space="preserve"> </w:t>
            </w:r>
            <w:r>
              <w:rPr>
                <w:color w:val="231F20"/>
                <w:sz w:val="14"/>
              </w:rPr>
              <w:t>заменице</w:t>
            </w:r>
            <w:r>
              <w:rPr>
                <w:color w:val="231F20"/>
                <w:spacing w:val="-8"/>
                <w:sz w:val="14"/>
              </w:rPr>
              <w:t xml:space="preserve"> </w:t>
            </w:r>
            <w:r>
              <w:rPr>
                <w:color w:val="231F20"/>
                <w:sz w:val="14"/>
              </w:rPr>
              <w:t>(њихове</w:t>
            </w:r>
            <w:r>
              <w:rPr>
                <w:color w:val="231F20"/>
                <w:spacing w:val="-7"/>
                <w:sz w:val="14"/>
              </w:rPr>
              <w:t xml:space="preserve"> </w:t>
            </w:r>
            <w:r>
              <w:rPr>
                <w:color w:val="231F20"/>
                <w:sz w:val="14"/>
              </w:rPr>
              <w:t>гра­ матичке категорије), бројеви (укључујући бројне именице и бројне</w:t>
            </w:r>
            <w:r>
              <w:rPr>
                <w:color w:val="231F20"/>
                <w:spacing w:val="-5"/>
                <w:sz w:val="14"/>
              </w:rPr>
              <w:t xml:space="preserve"> </w:t>
            </w:r>
            <w:r>
              <w:rPr>
                <w:color w:val="231F20"/>
                <w:sz w:val="14"/>
              </w:rPr>
              <w:t>придеве).</w:t>
            </w:r>
          </w:p>
          <w:p w:rsidR="00041039" w:rsidRDefault="001B26CB">
            <w:pPr>
              <w:pStyle w:val="TableParagraph"/>
              <w:tabs>
                <w:tab w:val="left" w:pos="158"/>
              </w:tabs>
              <w:spacing w:line="146" w:lineRule="exact"/>
              <w:ind w:left="157" w:hanging="100"/>
              <w:jc w:val="both"/>
              <w:rPr>
                <w:sz w:val="14"/>
              </w:rPr>
            </w:pPr>
            <w:r>
              <w:rPr>
                <w:color w:val="231F20"/>
                <w:spacing w:val="-3"/>
                <w:sz w:val="14"/>
              </w:rPr>
              <w:t xml:space="preserve">Глаголи, </w:t>
            </w:r>
            <w:r>
              <w:rPr>
                <w:color w:val="231F20"/>
                <w:sz w:val="14"/>
              </w:rPr>
              <w:t>граматичке категорије</w:t>
            </w:r>
            <w:r>
              <w:rPr>
                <w:color w:val="231F20"/>
                <w:spacing w:val="-2"/>
                <w:sz w:val="14"/>
              </w:rPr>
              <w:t xml:space="preserve"> </w:t>
            </w:r>
            <w:r>
              <w:rPr>
                <w:color w:val="231F20"/>
                <w:spacing w:val="-3"/>
                <w:sz w:val="14"/>
              </w:rPr>
              <w:t>глагола.</w:t>
            </w:r>
          </w:p>
          <w:p w:rsidR="00041039" w:rsidRDefault="001B26CB">
            <w:pPr>
              <w:pStyle w:val="TableParagraph"/>
              <w:tabs>
                <w:tab w:val="left" w:pos="158"/>
              </w:tabs>
              <w:spacing w:line="162" w:lineRule="exact"/>
              <w:ind w:left="157" w:hanging="100"/>
              <w:jc w:val="both"/>
              <w:rPr>
                <w:sz w:val="14"/>
              </w:rPr>
            </w:pPr>
            <w:r>
              <w:rPr>
                <w:color w:val="231F20"/>
                <w:sz w:val="14"/>
              </w:rPr>
              <w:t>Прилози, предлози, везници, речце,</w:t>
            </w:r>
            <w:r>
              <w:rPr>
                <w:color w:val="231F20"/>
                <w:spacing w:val="-16"/>
                <w:sz w:val="14"/>
              </w:rPr>
              <w:t xml:space="preserve"> </w:t>
            </w:r>
            <w:r>
              <w:rPr>
                <w:color w:val="231F20"/>
                <w:sz w:val="14"/>
              </w:rPr>
              <w:t>узвици.</w:t>
            </w:r>
          </w:p>
        </w:tc>
        <w:tc>
          <w:tcPr>
            <w:tcW w:w="2267" w:type="dxa"/>
            <w:vMerge/>
            <w:tcBorders>
              <w:top w:val="nil"/>
            </w:tcBorders>
          </w:tcPr>
          <w:p w:rsidR="00041039" w:rsidRDefault="00041039">
            <w:pPr>
              <w:rPr>
                <w:sz w:val="2"/>
                <w:szCs w:val="2"/>
              </w:rPr>
            </w:pPr>
          </w:p>
        </w:tc>
      </w:tr>
      <w:tr w:rsidR="00041039">
        <w:trPr>
          <w:trHeight w:val="808"/>
        </w:trPr>
        <w:tc>
          <w:tcPr>
            <w:tcW w:w="1304" w:type="dxa"/>
          </w:tcPr>
          <w:p w:rsidR="00041039" w:rsidRDefault="001B26CB">
            <w:pPr>
              <w:pStyle w:val="TableParagraph"/>
              <w:spacing w:before="17"/>
              <w:ind w:left="57"/>
              <w:rPr>
                <w:sz w:val="14"/>
              </w:rPr>
            </w:pPr>
            <w:r>
              <w:rPr>
                <w:color w:val="231F20"/>
                <w:sz w:val="14"/>
              </w:rPr>
              <w:t>Правопис</w:t>
            </w:r>
          </w:p>
        </w:tc>
        <w:tc>
          <w:tcPr>
            <w:tcW w:w="1587" w:type="dxa"/>
          </w:tcPr>
          <w:p w:rsidR="00041039" w:rsidRDefault="001B26CB">
            <w:pPr>
              <w:pStyle w:val="TableParagraph"/>
              <w:tabs>
                <w:tab w:val="left" w:pos="157"/>
              </w:tabs>
              <w:spacing w:before="12" w:line="232" w:lineRule="auto"/>
              <w:ind w:right="218" w:hanging="99"/>
              <w:rPr>
                <w:sz w:val="14"/>
              </w:rPr>
            </w:pPr>
            <w:r>
              <w:rPr>
                <w:color w:val="231F20"/>
                <w:sz w:val="14"/>
              </w:rPr>
              <w:t>Оспособљавање ученика да пишу у складу са правопис­ ном</w:t>
            </w:r>
            <w:r>
              <w:rPr>
                <w:color w:val="231F20"/>
                <w:spacing w:val="-1"/>
                <w:sz w:val="14"/>
              </w:rPr>
              <w:t xml:space="preserve"> </w:t>
            </w:r>
            <w:r>
              <w:rPr>
                <w:color w:val="231F20"/>
                <w:sz w:val="14"/>
              </w:rPr>
              <w:t>нормом.</w:t>
            </w:r>
          </w:p>
        </w:tc>
        <w:tc>
          <w:tcPr>
            <w:tcW w:w="2551" w:type="dxa"/>
          </w:tcPr>
          <w:p w:rsidR="00041039" w:rsidRDefault="001B26CB">
            <w:pPr>
              <w:pStyle w:val="TableParagraph"/>
              <w:tabs>
                <w:tab w:val="left" w:pos="157"/>
              </w:tabs>
              <w:spacing w:before="11" w:line="232" w:lineRule="auto"/>
              <w:ind w:right="148" w:hanging="99"/>
              <w:rPr>
                <w:sz w:val="14"/>
              </w:rPr>
            </w:pPr>
            <w:r>
              <w:rPr>
                <w:color w:val="231F20"/>
                <w:sz w:val="14"/>
              </w:rPr>
              <w:t>примени правила одвојеног и састављеног писања речи у складу 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tabs>
                <w:tab w:val="left" w:pos="158"/>
              </w:tabs>
              <w:spacing w:before="16" w:line="225" w:lineRule="auto"/>
              <w:ind w:left="57" w:right="248"/>
              <w:rPr>
                <w:sz w:val="14"/>
              </w:rPr>
            </w:pPr>
            <w:r>
              <w:rPr>
                <w:color w:val="231F20"/>
                <w:sz w:val="14"/>
              </w:rPr>
              <w:t xml:space="preserve">Спојено и одвојено писање речи (писање бројева и изведеница </w:t>
            </w:r>
            <w:r>
              <w:rPr>
                <w:color w:val="231F20"/>
                <w:spacing w:val="-3"/>
                <w:sz w:val="14"/>
              </w:rPr>
              <w:t xml:space="preserve">од </w:t>
            </w:r>
            <w:r>
              <w:rPr>
                <w:color w:val="231F20"/>
                <w:sz w:val="14"/>
              </w:rPr>
              <w:t xml:space="preserve">њих, писање заменица и заменичких прилога, спојеви предлога и других речи, </w:t>
            </w:r>
            <w:r>
              <w:rPr>
                <w:color w:val="231F20"/>
                <w:spacing w:val="-3"/>
                <w:sz w:val="14"/>
              </w:rPr>
              <w:t xml:space="preserve">глаголи </w:t>
            </w:r>
            <w:r>
              <w:rPr>
                <w:color w:val="231F20"/>
                <w:sz w:val="14"/>
              </w:rPr>
              <w:t>и речце, писање</w:t>
            </w:r>
            <w:r>
              <w:rPr>
                <w:color w:val="231F20"/>
                <w:spacing w:val="-1"/>
                <w:sz w:val="14"/>
              </w:rPr>
              <w:t xml:space="preserve"> </w:t>
            </w:r>
            <w:r>
              <w:rPr>
                <w:color w:val="231F20"/>
                <w:sz w:val="14"/>
              </w:rPr>
              <w:t>негације).</w:t>
            </w:r>
          </w:p>
        </w:tc>
        <w:tc>
          <w:tcPr>
            <w:tcW w:w="2267" w:type="dxa"/>
            <w:vMerge/>
            <w:tcBorders>
              <w:top w:val="nil"/>
            </w:tcBorders>
          </w:tcPr>
          <w:p w:rsidR="00041039" w:rsidRDefault="00041039">
            <w:pPr>
              <w:rPr>
                <w:sz w:val="2"/>
                <w:szCs w:val="2"/>
              </w:rPr>
            </w:pPr>
          </w:p>
        </w:tc>
      </w:tr>
      <w:tr w:rsidR="00041039">
        <w:trPr>
          <w:trHeight w:val="1720"/>
        </w:trPr>
        <w:tc>
          <w:tcPr>
            <w:tcW w:w="1304" w:type="dxa"/>
          </w:tcPr>
          <w:p w:rsidR="00041039" w:rsidRDefault="001B26CB">
            <w:pPr>
              <w:pStyle w:val="TableParagraph"/>
              <w:spacing w:before="21" w:line="232" w:lineRule="auto"/>
              <w:ind w:left="57" w:right="37"/>
              <w:rPr>
                <w:sz w:val="14"/>
              </w:rPr>
            </w:pPr>
            <w:r>
              <w:rPr>
                <w:color w:val="231F20"/>
                <w:sz w:val="14"/>
              </w:rPr>
              <w:t>Култура изража­ вања</w:t>
            </w:r>
          </w:p>
        </w:tc>
        <w:tc>
          <w:tcPr>
            <w:tcW w:w="1587" w:type="dxa"/>
          </w:tcPr>
          <w:p w:rsidR="00041039" w:rsidRDefault="001B26CB">
            <w:pPr>
              <w:pStyle w:val="TableParagraph"/>
              <w:tabs>
                <w:tab w:val="left" w:pos="157"/>
              </w:tabs>
              <w:spacing w:before="11" w:line="232" w:lineRule="auto"/>
              <w:ind w:right="71" w:hanging="99"/>
              <w:rPr>
                <w:sz w:val="14"/>
              </w:rPr>
            </w:pPr>
            <w:r>
              <w:rPr>
                <w:color w:val="231F20"/>
                <w:sz w:val="14"/>
              </w:rPr>
              <w:t xml:space="preserve">Оспособљавање ученика да теоријска знања из граматике </w:t>
            </w:r>
            <w:r>
              <w:rPr>
                <w:color w:val="231F20"/>
                <w:spacing w:val="-1"/>
                <w:sz w:val="14"/>
              </w:rPr>
              <w:t xml:space="preserve">иправописапримењују </w:t>
            </w:r>
            <w:r>
              <w:rPr>
                <w:color w:val="231F20"/>
                <w:sz w:val="14"/>
              </w:rPr>
              <w:t>у усменом и писаном изражавању у складу са језичком нормом, користе различите об­ лике казивања и</w:t>
            </w:r>
            <w:r>
              <w:rPr>
                <w:color w:val="231F20"/>
                <w:spacing w:val="-15"/>
                <w:sz w:val="14"/>
              </w:rPr>
              <w:t xml:space="preserve"> </w:t>
            </w:r>
            <w:r>
              <w:rPr>
                <w:color w:val="231F20"/>
                <w:sz w:val="14"/>
              </w:rPr>
              <w:t>функ­ ционалне</w:t>
            </w:r>
            <w:r>
              <w:rPr>
                <w:color w:val="231F20"/>
                <w:spacing w:val="-2"/>
                <w:sz w:val="14"/>
              </w:rPr>
              <w:t xml:space="preserve"> </w:t>
            </w:r>
            <w:r>
              <w:rPr>
                <w:color w:val="231F20"/>
                <w:sz w:val="14"/>
              </w:rPr>
              <w:t>стилове.</w:t>
            </w:r>
          </w:p>
        </w:tc>
        <w:tc>
          <w:tcPr>
            <w:tcW w:w="2551" w:type="dxa"/>
          </w:tcPr>
          <w:p w:rsidR="00041039" w:rsidRDefault="001B26CB">
            <w:pPr>
              <w:pStyle w:val="TableParagraph"/>
              <w:tabs>
                <w:tab w:val="left" w:pos="158"/>
              </w:tabs>
              <w:spacing w:before="11" w:line="232" w:lineRule="auto"/>
              <w:ind w:left="157" w:right="189" w:hanging="100"/>
              <w:rPr>
                <w:sz w:val="14"/>
              </w:rPr>
            </w:pPr>
            <w:r>
              <w:rPr>
                <w:color w:val="231F20"/>
                <w:sz w:val="14"/>
              </w:rPr>
              <w:t>изражава размишљања и критички став према проблемима и појавама у књижевним текстовима и</w:t>
            </w:r>
            <w:r>
              <w:rPr>
                <w:color w:val="231F20"/>
                <w:spacing w:val="-24"/>
                <w:sz w:val="14"/>
              </w:rPr>
              <w:t xml:space="preserve"> </w:t>
            </w:r>
            <w:r>
              <w:rPr>
                <w:color w:val="231F20"/>
                <w:sz w:val="14"/>
              </w:rPr>
              <w:t>свакоднев­ ном</w:t>
            </w:r>
            <w:r>
              <w:rPr>
                <w:color w:val="231F20"/>
                <w:spacing w:val="-1"/>
                <w:sz w:val="14"/>
              </w:rPr>
              <w:t xml:space="preserve"> </w:t>
            </w:r>
            <w:r>
              <w:rPr>
                <w:color w:val="231F20"/>
                <w:sz w:val="14"/>
              </w:rPr>
              <w:t>животу;</w:t>
            </w:r>
          </w:p>
          <w:p w:rsidR="00041039" w:rsidRDefault="001B26CB">
            <w:pPr>
              <w:pStyle w:val="TableParagraph"/>
              <w:tabs>
                <w:tab w:val="left" w:pos="158"/>
              </w:tabs>
              <w:spacing w:before="1" w:line="156" w:lineRule="exact"/>
              <w:ind w:left="157" w:right="361" w:hanging="100"/>
              <w:rPr>
                <w:sz w:val="14"/>
              </w:rPr>
            </w:pPr>
            <w:r>
              <w:rPr>
                <w:color w:val="231F20"/>
                <w:sz w:val="14"/>
              </w:rPr>
              <w:t>препозна одлике</w:t>
            </w:r>
            <w:r>
              <w:rPr>
                <w:color w:val="231F20"/>
                <w:spacing w:val="-23"/>
                <w:sz w:val="14"/>
              </w:rPr>
              <w:t xml:space="preserve"> </w:t>
            </w:r>
            <w:r>
              <w:rPr>
                <w:color w:val="231F20"/>
                <w:sz w:val="14"/>
              </w:rPr>
              <w:t>стручно­научног стила;</w:t>
            </w:r>
          </w:p>
          <w:p w:rsidR="00041039" w:rsidRDefault="001B26CB">
            <w:pPr>
              <w:pStyle w:val="TableParagraph"/>
              <w:tabs>
                <w:tab w:val="left" w:pos="158"/>
              </w:tabs>
              <w:spacing w:line="155" w:lineRule="exact"/>
              <w:ind w:left="157" w:hanging="100"/>
              <w:rPr>
                <w:sz w:val="14"/>
              </w:rPr>
            </w:pPr>
            <w:r>
              <w:rPr>
                <w:color w:val="231F20"/>
                <w:sz w:val="14"/>
              </w:rPr>
              <w:t>примени одлике новинарског</w:t>
            </w:r>
            <w:r>
              <w:rPr>
                <w:color w:val="231F20"/>
                <w:spacing w:val="-10"/>
                <w:sz w:val="14"/>
              </w:rPr>
              <w:t xml:space="preserve"> </w:t>
            </w:r>
            <w:r>
              <w:rPr>
                <w:color w:val="231F20"/>
                <w:sz w:val="14"/>
              </w:rPr>
              <w:t>стила;</w:t>
            </w:r>
          </w:p>
        </w:tc>
        <w:tc>
          <w:tcPr>
            <w:tcW w:w="2834" w:type="dxa"/>
          </w:tcPr>
          <w:p w:rsidR="00041039" w:rsidRDefault="001B26CB">
            <w:pPr>
              <w:pStyle w:val="TableParagraph"/>
              <w:tabs>
                <w:tab w:val="left" w:pos="158"/>
              </w:tabs>
              <w:spacing w:before="6" w:line="162" w:lineRule="exact"/>
              <w:ind w:left="157" w:hanging="100"/>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tabs>
                <w:tab w:val="left" w:pos="158"/>
              </w:tabs>
              <w:spacing w:line="152" w:lineRule="exact"/>
              <w:ind w:left="157" w:hanging="100"/>
              <w:rPr>
                <w:sz w:val="14"/>
              </w:rPr>
            </w:pPr>
            <w:r>
              <w:rPr>
                <w:color w:val="231F20"/>
                <w:sz w:val="14"/>
              </w:rPr>
              <w:t>Стилске</w:t>
            </w:r>
            <w:r>
              <w:rPr>
                <w:color w:val="231F20"/>
                <w:spacing w:val="-11"/>
                <w:sz w:val="14"/>
              </w:rPr>
              <w:t xml:space="preserve"> </w:t>
            </w:r>
            <w:r>
              <w:rPr>
                <w:color w:val="231F20"/>
                <w:sz w:val="14"/>
              </w:rPr>
              <w:t>вежбе.</w:t>
            </w:r>
          </w:p>
          <w:p w:rsidR="00041039" w:rsidRDefault="001B26CB">
            <w:pPr>
              <w:pStyle w:val="TableParagraph"/>
              <w:tabs>
                <w:tab w:val="left" w:pos="158"/>
              </w:tabs>
              <w:spacing w:line="152" w:lineRule="exact"/>
              <w:ind w:left="157" w:hanging="100"/>
              <w:rPr>
                <w:sz w:val="14"/>
              </w:rPr>
            </w:pPr>
            <w:r>
              <w:rPr>
                <w:color w:val="231F20"/>
                <w:sz w:val="14"/>
              </w:rPr>
              <w:t>Домаћи</w:t>
            </w:r>
            <w:r>
              <w:rPr>
                <w:color w:val="231F20"/>
                <w:spacing w:val="-12"/>
                <w:sz w:val="14"/>
              </w:rPr>
              <w:t xml:space="preserve"> </w:t>
            </w:r>
            <w:r>
              <w:rPr>
                <w:color w:val="231F20"/>
                <w:sz w:val="14"/>
              </w:rPr>
              <w:t>задаци.</w:t>
            </w:r>
          </w:p>
          <w:p w:rsidR="00041039" w:rsidRDefault="001B26CB">
            <w:pPr>
              <w:pStyle w:val="TableParagraph"/>
              <w:tabs>
                <w:tab w:val="left" w:pos="158"/>
              </w:tabs>
              <w:spacing w:line="152" w:lineRule="exact"/>
              <w:ind w:left="157" w:hanging="100"/>
              <w:rPr>
                <w:sz w:val="14"/>
              </w:rPr>
            </w:pPr>
            <w:r>
              <w:rPr>
                <w:color w:val="231F20"/>
                <w:sz w:val="14"/>
              </w:rPr>
              <w:t>Школски писмени задаци 4 x 2 +</w:t>
            </w:r>
            <w:r>
              <w:rPr>
                <w:color w:val="231F20"/>
                <w:spacing w:val="-10"/>
                <w:sz w:val="14"/>
              </w:rPr>
              <w:t xml:space="preserve"> </w:t>
            </w:r>
            <w:r>
              <w:rPr>
                <w:color w:val="231F20"/>
                <w:sz w:val="14"/>
              </w:rPr>
              <w:t>2.</w:t>
            </w:r>
          </w:p>
          <w:p w:rsidR="00041039" w:rsidRDefault="001B26CB">
            <w:pPr>
              <w:pStyle w:val="TableParagraph"/>
              <w:tabs>
                <w:tab w:val="left" w:pos="156"/>
              </w:tabs>
              <w:spacing w:line="152" w:lineRule="exact"/>
              <w:ind w:left="155" w:hanging="98"/>
              <w:rPr>
                <w:sz w:val="14"/>
              </w:rPr>
            </w:pPr>
            <w:r>
              <w:rPr>
                <w:color w:val="231F20"/>
                <w:spacing w:val="-3"/>
                <w:sz w:val="14"/>
              </w:rPr>
              <w:t xml:space="preserve">Упознавање </w:t>
            </w:r>
            <w:r>
              <w:rPr>
                <w:color w:val="231F20"/>
                <w:sz w:val="14"/>
              </w:rPr>
              <w:t>са одликама новинарског</w:t>
            </w:r>
            <w:r>
              <w:rPr>
                <w:color w:val="231F20"/>
                <w:spacing w:val="-25"/>
                <w:sz w:val="14"/>
              </w:rPr>
              <w:t xml:space="preserve"> </w:t>
            </w:r>
            <w:r>
              <w:rPr>
                <w:color w:val="231F20"/>
                <w:sz w:val="14"/>
              </w:rPr>
              <w:t>стила.</w:t>
            </w:r>
          </w:p>
          <w:p w:rsidR="00041039" w:rsidRDefault="001B26CB">
            <w:pPr>
              <w:pStyle w:val="TableParagraph"/>
              <w:tabs>
                <w:tab w:val="left" w:pos="158"/>
              </w:tabs>
              <w:spacing w:line="225" w:lineRule="auto"/>
              <w:ind w:left="157" w:right="124" w:hanging="100"/>
              <w:rPr>
                <w:sz w:val="14"/>
              </w:rPr>
            </w:pPr>
            <w:r>
              <w:rPr>
                <w:color w:val="231F20"/>
                <w:sz w:val="14"/>
              </w:rPr>
              <w:t>Писање вести, извештаја, интервјуа и дру­ гих облика новинарског</w:t>
            </w:r>
            <w:r>
              <w:rPr>
                <w:color w:val="231F20"/>
                <w:spacing w:val="-9"/>
                <w:sz w:val="14"/>
              </w:rPr>
              <w:t xml:space="preserve"> </w:t>
            </w:r>
            <w:r>
              <w:rPr>
                <w:color w:val="231F20"/>
                <w:sz w:val="14"/>
              </w:rPr>
              <w:t>изражавања.</w:t>
            </w:r>
          </w:p>
          <w:p w:rsidR="00041039" w:rsidRDefault="001B26CB">
            <w:pPr>
              <w:pStyle w:val="TableParagraph"/>
              <w:tabs>
                <w:tab w:val="left" w:pos="158"/>
              </w:tabs>
              <w:spacing w:line="225" w:lineRule="auto"/>
              <w:ind w:left="157" w:right="162" w:hanging="100"/>
              <w:rPr>
                <w:sz w:val="14"/>
              </w:rPr>
            </w:pPr>
            <w:r>
              <w:rPr>
                <w:color w:val="231F20"/>
                <w:sz w:val="14"/>
              </w:rPr>
              <w:t>Упознавање</w:t>
            </w:r>
            <w:r>
              <w:rPr>
                <w:color w:val="231F20"/>
                <w:spacing w:val="-12"/>
                <w:sz w:val="14"/>
              </w:rPr>
              <w:t xml:space="preserve"> </w:t>
            </w:r>
            <w:r>
              <w:rPr>
                <w:color w:val="231F20"/>
                <w:sz w:val="14"/>
              </w:rPr>
              <w:t>са</w:t>
            </w:r>
            <w:r>
              <w:rPr>
                <w:color w:val="231F20"/>
                <w:spacing w:val="-12"/>
                <w:sz w:val="14"/>
              </w:rPr>
              <w:t xml:space="preserve"> </w:t>
            </w:r>
            <w:r>
              <w:rPr>
                <w:color w:val="231F20"/>
                <w:sz w:val="14"/>
              </w:rPr>
              <w:t>одликама</w:t>
            </w:r>
            <w:r>
              <w:rPr>
                <w:color w:val="231F20"/>
                <w:spacing w:val="-12"/>
                <w:sz w:val="14"/>
              </w:rPr>
              <w:t xml:space="preserve"> </w:t>
            </w:r>
            <w:r>
              <w:rPr>
                <w:color w:val="231F20"/>
                <w:sz w:val="14"/>
              </w:rPr>
              <w:t>стручно­научног стила.</w:t>
            </w:r>
          </w:p>
          <w:p w:rsidR="00041039" w:rsidRDefault="001B26CB">
            <w:pPr>
              <w:pStyle w:val="TableParagraph"/>
              <w:tabs>
                <w:tab w:val="left" w:pos="158"/>
              </w:tabs>
              <w:spacing w:line="225" w:lineRule="auto"/>
              <w:ind w:left="157" w:right="282" w:hanging="100"/>
              <w:rPr>
                <w:sz w:val="14"/>
              </w:rPr>
            </w:pPr>
            <w:r>
              <w:rPr>
                <w:color w:val="231F20"/>
                <w:sz w:val="14"/>
              </w:rPr>
              <w:t>Милутин Миланковић: „Кроз васиону</w:t>
            </w:r>
            <w:r>
              <w:rPr>
                <w:color w:val="231F20"/>
                <w:spacing w:val="-19"/>
                <w:sz w:val="14"/>
              </w:rPr>
              <w:t xml:space="preserve"> </w:t>
            </w:r>
            <w:r>
              <w:rPr>
                <w:color w:val="231F20"/>
                <w:sz w:val="14"/>
              </w:rPr>
              <w:t>и векове”.</w:t>
            </w:r>
          </w:p>
        </w:tc>
        <w:tc>
          <w:tcPr>
            <w:tcW w:w="2267" w:type="dxa"/>
            <w:vMerge/>
            <w:tcBorders>
              <w:top w:val="nil"/>
            </w:tcBorders>
          </w:tcPr>
          <w:p w:rsidR="00041039" w:rsidRDefault="00041039">
            <w:pPr>
              <w:rPr>
                <w:sz w:val="2"/>
                <w:szCs w:val="2"/>
              </w:rPr>
            </w:pPr>
          </w:p>
        </w:tc>
      </w:tr>
    </w:tbl>
    <w:p w:rsidR="00041039" w:rsidRDefault="00041039">
      <w:pPr>
        <w:pStyle w:val="BodyText"/>
        <w:spacing w:before="5"/>
        <w:rPr>
          <w:b/>
          <w:sz w:val="18"/>
        </w:rPr>
      </w:pPr>
    </w:p>
    <w:p w:rsidR="00041039" w:rsidRDefault="001B26CB">
      <w:pPr>
        <w:tabs>
          <w:tab w:val="left" w:pos="1461"/>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4"/>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240"/>
        </w:trPr>
        <w:tc>
          <w:tcPr>
            <w:tcW w:w="1304" w:type="dxa"/>
          </w:tcPr>
          <w:p w:rsidR="00041039" w:rsidRDefault="001B26CB">
            <w:pPr>
              <w:pStyle w:val="TableParagraph"/>
              <w:spacing w:before="18"/>
              <w:ind w:left="56"/>
              <w:rPr>
                <w:sz w:val="14"/>
              </w:rPr>
            </w:pPr>
            <w:r>
              <w:rPr>
                <w:color w:val="231F20"/>
                <w:sz w:val="14"/>
              </w:rPr>
              <w:t>Модерна</w:t>
            </w:r>
          </w:p>
        </w:tc>
        <w:tc>
          <w:tcPr>
            <w:tcW w:w="1587" w:type="dxa"/>
          </w:tcPr>
          <w:p w:rsidR="00041039" w:rsidRDefault="001B26CB">
            <w:pPr>
              <w:pStyle w:val="TableParagraph"/>
              <w:tabs>
                <w:tab w:val="left" w:pos="157"/>
              </w:tabs>
              <w:spacing w:before="8"/>
              <w:ind w:right="105" w:hanging="100"/>
              <w:rPr>
                <w:sz w:val="14"/>
              </w:rPr>
            </w:pPr>
            <w:r>
              <w:rPr>
                <w:color w:val="231F20"/>
                <w:sz w:val="14"/>
              </w:rPr>
              <w:t>Упознавање са основ­ ним одликама</w:t>
            </w:r>
            <w:r>
              <w:rPr>
                <w:color w:val="231F20"/>
                <w:spacing w:val="-16"/>
                <w:sz w:val="14"/>
              </w:rPr>
              <w:t xml:space="preserve"> </w:t>
            </w:r>
            <w:r>
              <w:rPr>
                <w:color w:val="231F20"/>
                <w:sz w:val="14"/>
              </w:rPr>
              <w:t>правца, представницима и њиховим</w:t>
            </w:r>
            <w:r>
              <w:rPr>
                <w:color w:val="231F20"/>
                <w:spacing w:val="-1"/>
                <w:sz w:val="14"/>
              </w:rPr>
              <w:t xml:space="preserve"> </w:t>
            </w:r>
            <w:r>
              <w:rPr>
                <w:color w:val="231F20"/>
                <w:sz w:val="14"/>
              </w:rPr>
              <w:t>делима.</w:t>
            </w:r>
          </w:p>
        </w:tc>
        <w:tc>
          <w:tcPr>
            <w:tcW w:w="2551" w:type="dxa"/>
          </w:tcPr>
          <w:p w:rsidR="00041039" w:rsidRDefault="001B26CB">
            <w:pPr>
              <w:pStyle w:val="TableParagraph"/>
              <w:tabs>
                <w:tab w:val="left" w:pos="157"/>
              </w:tabs>
              <w:spacing w:before="8"/>
              <w:ind w:right="111" w:hanging="99"/>
              <w:rPr>
                <w:sz w:val="14"/>
              </w:rPr>
            </w:pPr>
            <w:r>
              <w:rPr>
                <w:color w:val="231F20"/>
                <w:sz w:val="14"/>
              </w:rPr>
              <w:t>наведе одлике правца, представнике</w:t>
            </w:r>
            <w:r>
              <w:rPr>
                <w:color w:val="231F20"/>
                <w:spacing w:val="-25"/>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tabs>
                <w:tab w:val="left" w:pos="157"/>
              </w:tabs>
              <w:spacing w:line="160" w:lineRule="exact"/>
              <w:ind w:right="328" w:hanging="99"/>
              <w:rPr>
                <w:sz w:val="14"/>
              </w:rPr>
            </w:pPr>
            <w:r>
              <w:rPr>
                <w:color w:val="231F20"/>
                <w:sz w:val="14"/>
              </w:rPr>
              <w:t>уочи и тумачи модерне елементе</w:t>
            </w:r>
            <w:r>
              <w:rPr>
                <w:color w:val="231F20"/>
                <w:spacing w:val="-24"/>
                <w:sz w:val="14"/>
              </w:rPr>
              <w:t xml:space="preserve"> </w:t>
            </w:r>
            <w:r>
              <w:rPr>
                <w:color w:val="231F20"/>
                <w:sz w:val="14"/>
              </w:rPr>
              <w:t>у изразу и форми књижевног</w:t>
            </w:r>
            <w:r>
              <w:rPr>
                <w:color w:val="231F20"/>
                <w:spacing w:val="-9"/>
                <w:sz w:val="14"/>
              </w:rPr>
              <w:t xml:space="preserve"> </w:t>
            </w:r>
            <w:r>
              <w:rPr>
                <w:color w:val="231F20"/>
                <w:sz w:val="14"/>
              </w:rPr>
              <w:t>дела;</w:t>
            </w:r>
          </w:p>
          <w:p w:rsidR="00041039" w:rsidRDefault="001B26CB">
            <w:pPr>
              <w:pStyle w:val="TableParagraph"/>
              <w:tabs>
                <w:tab w:val="left" w:pos="157"/>
              </w:tabs>
              <w:spacing w:line="160" w:lineRule="exact"/>
              <w:ind w:right="413" w:hanging="99"/>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834" w:type="dxa"/>
          </w:tcPr>
          <w:p w:rsidR="00041039" w:rsidRDefault="001B26CB">
            <w:pPr>
              <w:pStyle w:val="TableParagraph"/>
              <w:tabs>
                <w:tab w:val="left" w:pos="157"/>
              </w:tabs>
              <w:spacing w:before="8"/>
              <w:ind w:right="480" w:hanging="99"/>
              <w:rPr>
                <w:sz w:val="14"/>
              </w:rPr>
            </w:pPr>
            <w:r>
              <w:rPr>
                <w:color w:val="231F20"/>
                <w:sz w:val="14"/>
              </w:rPr>
              <w:t>Модерна у европској и српској књижевности. Одлике симболизма</w:t>
            </w:r>
            <w:r>
              <w:rPr>
                <w:color w:val="231F20"/>
                <w:spacing w:val="-12"/>
                <w:sz w:val="14"/>
              </w:rPr>
              <w:t xml:space="preserve"> </w:t>
            </w:r>
            <w:r>
              <w:rPr>
                <w:color w:val="231F20"/>
                <w:sz w:val="14"/>
              </w:rPr>
              <w:t>и импресионизма.</w:t>
            </w:r>
          </w:p>
          <w:p w:rsidR="00041039" w:rsidRDefault="001B26CB">
            <w:pPr>
              <w:pStyle w:val="TableParagraph"/>
              <w:tabs>
                <w:tab w:val="left" w:pos="157"/>
              </w:tabs>
              <w:spacing w:line="152" w:lineRule="exact"/>
              <w:ind w:hanging="99"/>
              <w:rPr>
                <w:sz w:val="14"/>
              </w:rPr>
            </w:pPr>
            <w:r>
              <w:rPr>
                <w:color w:val="231F20"/>
                <w:sz w:val="14"/>
              </w:rPr>
              <w:t>Шарл Бодлер:</w:t>
            </w:r>
            <w:r>
              <w:rPr>
                <w:color w:val="231F20"/>
                <w:spacing w:val="-2"/>
                <w:sz w:val="14"/>
              </w:rPr>
              <w:t xml:space="preserve"> </w:t>
            </w:r>
            <w:r>
              <w:rPr>
                <w:color w:val="231F20"/>
                <w:sz w:val="14"/>
              </w:rPr>
              <w:t>„Албатрос”.</w:t>
            </w:r>
          </w:p>
          <w:p w:rsidR="00041039" w:rsidRDefault="001B26CB">
            <w:pPr>
              <w:pStyle w:val="TableParagraph"/>
              <w:tabs>
                <w:tab w:val="left" w:pos="157"/>
              </w:tabs>
              <w:spacing w:line="160" w:lineRule="exact"/>
              <w:ind w:hanging="99"/>
              <w:rPr>
                <w:sz w:val="14"/>
              </w:rPr>
            </w:pPr>
            <w:r>
              <w:rPr>
                <w:color w:val="231F20"/>
                <w:sz w:val="14"/>
              </w:rPr>
              <w:t>А. П. Чехов: „Ујка</w:t>
            </w:r>
            <w:r>
              <w:rPr>
                <w:color w:val="231F20"/>
                <w:spacing w:val="-4"/>
                <w:sz w:val="14"/>
              </w:rPr>
              <w:t xml:space="preserve"> </w:t>
            </w:r>
            <w:r>
              <w:rPr>
                <w:color w:val="231F20"/>
                <w:sz w:val="14"/>
              </w:rPr>
              <w:t>Вања”.</w:t>
            </w:r>
          </w:p>
          <w:p w:rsidR="00041039" w:rsidRDefault="001B26CB">
            <w:pPr>
              <w:pStyle w:val="TableParagraph"/>
              <w:tabs>
                <w:tab w:val="left" w:pos="157"/>
              </w:tabs>
              <w:spacing w:line="237" w:lineRule="auto"/>
              <w:ind w:right="201" w:hanging="99"/>
              <w:rPr>
                <w:sz w:val="14"/>
              </w:rPr>
            </w:pPr>
            <w:r>
              <w:rPr>
                <w:color w:val="231F20"/>
                <w:sz w:val="14"/>
              </w:rPr>
              <w:t>Богдан</w:t>
            </w:r>
            <w:r>
              <w:rPr>
                <w:color w:val="231F20"/>
                <w:spacing w:val="-10"/>
                <w:sz w:val="14"/>
              </w:rPr>
              <w:t xml:space="preserve"> </w:t>
            </w:r>
            <w:r>
              <w:rPr>
                <w:color w:val="231F20"/>
                <w:sz w:val="14"/>
              </w:rPr>
              <w:t>Поповић:</w:t>
            </w:r>
            <w:r>
              <w:rPr>
                <w:color w:val="231F20"/>
                <w:spacing w:val="-11"/>
                <w:sz w:val="14"/>
              </w:rPr>
              <w:t xml:space="preserve"> </w:t>
            </w:r>
            <w:r>
              <w:rPr>
                <w:color w:val="231F20"/>
                <w:sz w:val="14"/>
              </w:rPr>
              <w:t>„Предговор</w:t>
            </w:r>
            <w:r>
              <w:rPr>
                <w:color w:val="231F20"/>
                <w:spacing w:val="-10"/>
                <w:sz w:val="14"/>
              </w:rPr>
              <w:t xml:space="preserve"> </w:t>
            </w:r>
            <w:r>
              <w:rPr>
                <w:color w:val="231F20"/>
                <w:sz w:val="14"/>
              </w:rPr>
              <w:t>Антологији новије српске</w:t>
            </w:r>
            <w:r>
              <w:rPr>
                <w:color w:val="231F20"/>
                <w:spacing w:val="-2"/>
                <w:sz w:val="14"/>
              </w:rPr>
              <w:t xml:space="preserve"> </w:t>
            </w:r>
            <w:r>
              <w:rPr>
                <w:color w:val="231F20"/>
                <w:sz w:val="14"/>
              </w:rPr>
              <w:t>лирике”.</w:t>
            </w:r>
          </w:p>
          <w:p w:rsidR="00041039" w:rsidRDefault="001B26CB">
            <w:pPr>
              <w:pStyle w:val="TableParagraph"/>
              <w:tabs>
                <w:tab w:val="left" w:pos="157"/>
              </w:tabs>
              <w:spacing w:line="160" w:lineRule="exact"/>
              <w:ind w:hanging="99"/>
              <w:rPr>
                <w:sz w:val="14"/>
              </w:rPr>
            </w:pPr>
            <w:r>
              <w:rPr>
                <w:color w:val="231F20"/>
                <w:sz w:val="14"/>
              </w:rPr>
              <w:t>Алекса Шантић: „Претпразничко</w:t>
            </w:r>
            <w:r>
              <w:rPr>
                <w:color w:val="231F20"/>
                <w:spacing w:val="-5"/>
                <w:sz w:val="14"/>
              </w:rPr>
              <w:t xml:space="preserve"> </w:t>
            </w:r>
            <w:r>
              <w:rPr>
                <w:color w:val="231F20"/>
                <w:sz w:val="14"/>
              </w:rPr>
              <w:t>вече”,</w:t>
            </w:r>
          </w:p>
          <w:p w:rsidR="00041039" w:rsidRDefault="001B26CB">
            <w:pPr>
              <w:pStyle w:val="TableParagraph"/>
              <w:spacing w:line="155" w:lineRule="exact"/>
              <w:rPr>
                <w:sz w:val="14"/>
              </w:rPr>
            </w:pPr>
            <w:r>
              <w:rPr>
                <w:color w:val="231F20"/>
                <w:sz w:val="14"/>
              </w:rPr>
              <w:t>„Вече на шкољу”.</w:t>
            </w:r>
          </w:p>
          <w:p w:rsidR="00041039" w:rsidRDefault="001B26CB">
            <w:pPr>
              <w:pStyle w:val="TableParagraph"/>
              <w:tabs>
                <w:tab w:val="left" w:pos="157"/>
              </w:tabs>
              <w:spacing w:line="237" w:lineRule="auto"/>
              <w:ind w:right="248" w:hanging="99"/>
              <w:rPr>
                <w:sz w:val="14"/>
              </w:rPr>
            </w:pPr>
            <w:r>
              <w:rPr>
                <w:color w:val="231F20"/>
                <w:sz w:val="14"/>
              </w:rPr>
              <w:t>Јован Дучић:</w:t>
            </w:r>
            <w:r>
              <w:rPr>
                <w:color w:val="231F20"/>
                <w:sz w:val="14"/>
              </w:rPr>
              <w:t xml:space="preserve"> „Благо цара Радована”</w:t>
            </w:r>
            <w:r>
              <w:rPr>
                <w:color w:val="231F20"/>
                <w:spacing w:val="-25"/>
                <w:sz w:val="14"/>
              </w:rPr>
              <w:t xml:space="preserve"> </w:t>
            </w:r>
            <w:r>
              <w:rPr>
                <w:color w:val="231F20"/>
                <w:sz w:val="14"/>
              </w:rPr>
              <w:t>(из­ бор),</w:t>
            </w:r>
            <w:r>
              <w:rPr>
                <w:color w:val="231F20"/>
                <w:spacing w:val="-1"/>
                <w:sz w:val="14"/>
              </w:rPr>
              <w:t xml:space="preserve"> </w:t>
            </w:r>
            <w:r>
              <w:rPr>
                <w:color w:val="231F20"/>
                <w:sz w:val="14"/>
              </w:rPr>
              <w:t>„Јабланови”.</w:t>
            </w:r>
          </w:p>
          <w:p w:rsidR="00041039" w:rsidRDefault="001B26CB">
            <w:pPr>
              <w:pStyle w:val="TableParagraph"/>
              <w:tabs>
                <w:tab w:val="left" w:pos="157"/>
              </w:tabs>
              <w:spacing w:line="155" w:lineRule="exact"/>
              <w:ind w:hanging="99"/>
              <w:rPr>
                <w:sz w:val="14"/>
              </w:rPr>
            </w:pPr>
            <w:r>
              <w:rPr>
                <w:color w:val="231F20"/>
                <w:sz w:val="14"/>
              </w:rPr>
              <w:t>Милан Ракић „Долап”, „Искрена</w:t>
            </w:r>
            <w:r>
              <w:rPr>
                <w:color w:val="231F20"/>
                <w:spacing w:val="-8"/>
                <w:sz w:val="14"/>
              </w:rPr>
              <w:t xml:space="preserve"> </w:t>
            </w:r>
            <w:r>
              <w:rPr>
                <w:color w:val="231F20"/>
                <w:sz w:val="14"/>
              </w:rPr>
              <w:t>песма”.</w:t>
            </w:r>
          </w:p>
          <w:p w:rsidR="00041039" w:rsidRDefault="001B26CB">
            <w:pPr>
              <w:pStyle w:val="TableParagraph"/>
              <w:tabs>
                <w:tab w:val="left" w:pos="157"/>
              </w:tabs>
              <w:spacing w:line="160" w:lineRule="exact"/>
              <w:ind w:hanging="99"/>
              <w:rPr>
                <w:sz w:val="14"/>
              </w:rPr>
            </w:pPr>
            <w:r>
              <w:rPr>
                <w:color w:val="231F20"/>
                <w:sz w:val="14"/>
              </w:rPr>
              <w:t>В. П. Дис: „Тамница”, „Можда</w:t>
            </w:r>
            <w:r>
              <w:rPr>
                <w:color w:val="231F20"/>
                <w:spacing w:val="-12"/>
                <w:sz w:val="14"/>
              </w:rPr>
              <w:t xml:space="preserve"> </w:t>
            </w:r>
            <w:r>
              <w:rPr>
                <w:color w:val="231F20"/>
                <w:sz w:val="14"/>
              </w:rPr>
              <w:t>спава”.</w:t>
            </w:r>
          </w:p>
          <w:p w:rsidR="00041039" w:rsidRDefault="001B26CB">
            <w:pPr>
              <w:pStyle w:val="TableParagraph"/>
              <w:tabs>
                <w:tab w:val="left" w:pos="157"/>
              </w:tabs>
              <w:spacing w:line="160" w:lineRule="exact"/>
              <w:ind w:hanging="99"/>
              <w:rPr>
                <w:sz w:val="14"/>
              </w:rPr>
            </w:pPr>
            <w:r>
              <w:rPr>
                <w:color w:val="231F20"/>
                <w:sz w:val="14"/>
              </w:rPr>
              <w:t>Сима Пандуровић:</w:t>
            </w:r>
            <w:r>
              <w:rPr>
                <w:color w:val="231F20"/>
                <w:spacing w:val="-3"/>
                <w:sz w:val="14"/>
              </w:rPr>
              <w:t xml:space="preserve"> </w:t>
            </w:r>
            <w:r>
              <w:rPr>
                <w:color w:val="231F20"/>
                <w:sz w:val="14"/>
              </w:rPr>
              <w:t>„Светковина”.</w:t>
            </w:r>
          </w:p>
          <w:p w:rsidR="00041039" w:rsidRDefault="001B26CB">
            <w:pPr>
              <w:pStyle w:val="TableParagraph"/>
              <w:tabs>
                <w:tab w:val="left" w:pos="157"/>
              </w:tabs>
              <w:spacing w:line="237" w:lineRule="auto"/>
              <w:ind w:right="63" w:hanging="99"/>
              <w:rPr>
                <w:sz w:val="14"/>
              </w:rPr>
            </w:pPr>
            <w:r>
              <w:rPr>
                <w:color w:val="231F20"/>
                <w:sz w:val="14"/>
              </w:rPr>
              <w:t>Бора Станковић: „Нечиста крв”.</w:t>
            </w:r>
            <w:r>
              <w:rPr>
                <w:color w:val="231F20"/>
                <w:spacing w:val="-21"/>
                <w:sz w:val="14"/>
              </w:rPr>
              <w:t xml:space="preserve"> </w:t>
            </w:r>
            <w:r>
              <w:rPr>
                <w:color w:val="231F20"/>
                <w:sz w:val="14"/>
              </w:rPr>
              <w:t>„Коштана” или „Божји људи” (приповетка по</w:t>
            </w:r>
            <w:r>
              <w:rPr>
                <w:color w:val="231F20"/>
                <w:spacing w:val="-22"/>
                <w:sz w:val="14"/>
              </w:rPr>
              <w:t xml:space="preserve"> </w:t>
            </w:r>
            <w:r>
              <w:rPr>
                <w:color w:val="231F20"/>
                <w:sz w:val="14"/>
              </w:rPr>
              <w:t>избору).</w:t>
            </w:r>
          </w:p>
          <w:p w:rsidR="00041039" w:rsidRDefault="001B26CB">
            <w:pPr>
              <w:pStyle w:val="TableParagraph"/>
              <w:tabs>
                <w:tab w:val="left" w:pos="157"/>
              </w:tabs>
              <w:spacing w:line="160" w:lineRule="exact"/>
              <w:ind w:right="218" w:hanging="99"/>
              <w:rPr>
                <w:sz w:val="14"/>
              </w:rPr>
            </w:pPr>
            <w:r>
              <w:rPr>
                <w:color w:val="231F20"/>
                <w:sz w:val="14"/>
              </w:rPr>
              <w:t>Јован Скерлић: „О Коштани” или</w:t>
            </w:r>
            <w:r>
              <w:rPr>
                <w:color w:val="231F20"/>
                <w:spacing w:val="-25"/>
                <w:sz w:val="14"/>
              </w:rPr>
              <w:t xml:space="preserve"> </w:t>
            </w:r>
            <w:r>
              <w:rPr>
                <w:color w:val="231F20"/>
                <w:sz w:val="14"/>
              </w:rPr>
              <w:t>„Божји људи”.</w:t>
            </w:r>
          </w:p>
          <w:p w:rsidR="00041039" w:rsidRDefault="001B26CB">
            <w:pPr>
              <w:pStyle w:val="TableParagraph"/>
              <w:tabs>
                <w:tab w:val="left" w:pos="157"/>
              </w:tabs>
              <w:spacing w:line="160" w:lineRule="exact"/>
              <w:ind w:right="144" w:hanging="99"/>
              <w:rPr>
                <w:sz w:val="14"/>
              </w:rPr>
            </w:pPr>
            <w:r>
              <w:rPr>
                <w:color w:val="231F20"/>
                <w:sz w:val="14"/>
              </w:rPr>
              <w:t>Петар</w:t>
            </w:r>
            <w:r>
              <w:rPr>
                <w:color w:val="231F20"/>
                <w:spacing w:val="-6"/>
                <w:sz w:val="14"/>
              </w:rPr>
              <w:t xml:space="preserve"> </w:t>
            </w:r>
            <w:r>
              <w:rPr>
                <w:color w:val="231F20"/>
                <w:sz w:val="14"/>
              </w:rPr>
              <w:t>Кочић:</w:t>
            </w:r>
            <w:r>
              <w:rPr>
                <w:color w:val="231F20"/>
                <w:spacing w:val="-6"/>
                <w:sz w:val="14"/>
              </w:rPr>
              <w:t xml:space="preserve"> </w:t>
            </w:r>
            <w:r>
              <w:rPr>
                <w:color w:val="231F20"/>
                <w:sz w:val="14"/>
              </w:rPr>
              <w:t>„Мрачајски</w:t>
            </w:r>
            <w:r>
              <w:rPr>
                <w:color w:val="231F20"/>
                <w:spacing w:val="-6"/>
                <w:sz w:val="14"/>
              </w:rPr>
              <w:t xml:space="preserve"> </w:t>
            </w:r>
            <w:r>
              <w:rPr>
                <w:color w:val="231F20"/>
                <w:sz w:val="14"/>
              </w:rPr>
              <w:t>прото”</w:t>
            </w:r>
            <w:r>
              <w:rPr>
                <w:color w:val="231F20"/>
                <w:spacing w:val="-6"/>
                <w:sz w:val="14"/>
              </w:rPr>
              <w:t xml:space="preserve"> </w:t>
            </w:r>
            <w:r>
              <w:rPr>
                <w:color w:val="231F20"/>
                <w:sz w:val="14"/>
              </w:rPr>
              <w:t>или</w:t>
            </w:r>
            <w:r>
              <w:rPr>
                <w:color w:val="231F20"/>
                <w:spacing w:val="-7"/>
                <w:sz w:val="14"/>
              </w:rPr>
              <w:t xml:space="preserve"> </w:t>
            </w:r>
            <w:r>
              <w:rPr>
                <w:color w:val="231F20"/>
                <w:sz w:val="14"/>
              </w:rPr>
              <w:t>при­ поветка по</w:t>
            </w:r>
            <w:r>
              <w:rPr>
                <w:color w:val="231F20"/>
                <w:spacing w:val="-2"/>
                <w:sz w:val="14"/>
              </w:rPr>
              <w:t xml:space="preserve"> </w:t>
            </w:r>
            <w:r>
              <w:rPr>
                <w:color w:val="231F20"/>
                <w:spacing w:val="-3"/>
                <w:sz w:val="14"/>
              </w:rPr>
              <w:t>избору.</w:t>
            </w:r>
          </w:p>
        </w:tc>
        <w:tc>
          <w:tcPr>
            <w:tcW w:w="2267" w:type="dxa"/>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line="160" w:lineRule="exact"/>
              <w:ind w:left="157"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7" w:lineRule="auto"/>
              <w:ind w:left="157"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40"/>
        </w:trPr>
        <w:tc>
          <w:tcPr>
            <w:tcW w:w="1304" w:type="dxa"/>
          </w:tcPr>
          <w:p w:rsidR="00041039" w:rsidRDefault="001B26CB">
            <w:pPr>
              <w:pStyle w:val="TableParagraph"/>
              <w:spacing w:before="18"/>
              <w:ind w:left="56" w:right="174"/>
              <w:rPr>
                <w:sz w:val="14"/>
              </w:rPr>
            </w:pPr>
            <w:r>
              <w:rPr>
                <w:color w:val="231F20"/>
                <w:sz w:val="14"/>
              </w:rPr>
              <w:lastRenderedPageBreak/>
              <w:t>Књижевност између два рата</w:t>
            </w:r>
          </w:p>
        </w:tc>
        <w:tc>
          <w:tcPr>
            <w:tcW w:w="1587" w:type="dxa"/>
          </w:tcPr>
          <w:p w:rsidR="00041039" w:rsidRDefault="001B26CB">
            <w:pPr>
              <w:pStyle w:val="TableParagraph"/>
              <w:tabs>
                <w:tab w:val="left" w:pos="157"/>
              </w:tabs>
              <w:spacing w:before="8"/>
              <w:ind w:right="47" w:hanging="100"/>
              <w:rPr>
                <w:sz w:val="14"/>
              </w:rPr>
            </w:pPr>
            <w:r>
              <w:rPr>
                <w:color w:val="231F20"/>
                <w:sz w:val="14"/>
              </w:rPr>
              <w:t>Упознавање ученика са одликама</w:t>
            </w:r>
            <w:r>
              <w:rPr>
                <w:color w:val="231F20"/>
                <w:spacing w:val="-14"/>
                <w:sz w:val="14"/>
              </w:rPr>
              <w:t xml:space="preserve"> </w:t>
            </w:r>
            <w:r>
              <w:rPr>
                <w:color w:val="231F20"/>
                <w:sz w:val="14"/>
              </w:rPr>
              <w:t>међуратне књижевности. предс­ тавницима и</w:t>
            </w:r>
            <w:r>
              <w:rPr>
                <w:color w:val="231F20"/>
                <w:spacing w:val="-2"/>
                <w:sz w:val="14"/>
              </w:rPr>
              <w:t xml:space="preserve"> </w:t>
            </w:r>
            <w:r>
              <w:rPr>
                <w:color w:val="231F20"/>
                <w:sz w:val="14"/>
              </w:rPr>
              <w:t>делима.</w:t>
            </w:r>
          </w:p>
        </w:tc>
        <w:tc>
          <w:tcPr>
            <w:tcW w:w="2551" w:type="dxa"/>
          </w:tcPr>
          <w:p w:rsidR="00041039" w:rsidRDefault="001B26CB">
            <w:pPr>
              <w:pStyle w:val="TableParagraph"/>
              <w:tabs>
                <w:tab w:val="left" w:pos="157"/>
              </w:tabs>
              <w:spacing w:before="8"/>
              <w:ind w:right="50" w:hanging="99"/>
              <w:rPr>
                <w:sz w:val="14"/>
              </w:rPr>
            </w:pPr>
            <w:r>
              <w:rPr>
                <w:color w:val="231F20"/>
                <w:sz w:val="14"/>
              </w:rPr>
              <w:t>наведе одлике праваца, представнике</w:t>
            </w:r>
            <w:r>
              <w:rPr>
                <w:color w:val="231F20"/>
                <w:spacing w:val="-24"/>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tabs>
                <w:tab w:val="left" w:pos="157"/>
              </w:tabs>
              <w:spacing w:line="160" w:lineRule="exact"/>
              <w:ind w:right="131" w:hanging="99"/>
              <w:rPr>
                <w:sz w:val="14"/>
              </w:rPr>
            </w:pPr>
            <w:r>
              <w:rPr>
                <w:color w:val="231F20"/>
                <w:sz w:val="14"/>
              </w:rPr>
              <w:t>наведе манифесте, књижевне</w:t>
            </w:r>
            <w:r>
              <w:rPr>
                <w:color w:val="231F20"/>
                <w:spacing w:val="-11"/>
                <w:sz w:val="14"/>
              </w:rPr>
              <w:t xml:space="preserve"> </w:t>
            </w:r>
            <w:r>
              <w:rPr>
                <w:color w:val="231F20"/>
                <w:sz w:val="14"/>
              </w:rPr>
              <w:t>покрете и струје у књижевности између два светска</w:t>
            </w:r>
            <w:r>
              <w:rPr>
                <w:color w:val="231F20"/>
                <w:spacing w:val="-1"/>
                <w:sz w:val="14"/>
              </w:rPr>
              <w:t xml:space="preserve"> </w:t>
            </w:r>
            <w:r>
              <w:rPr>
                <w:color w:val="231F20"/>
                <w:sz w:val="14"/>
              </w:rPr>
              <w:t>рата;</w:t>
            </w:r>
          </w:p>
          <w:p w:rsidR="00041039" w:rsidRDefault="001B26CB">
            <w:pPr>
              <w:pStyle w:val="TableParagraph"/>
              <w:tabs>
                <w:tab w:val="left" w:pos="157"/>
              </w:tabs>
              <w:spacing w:line="160" w:lineRule="exact"/>
              <w:ind w:right="106" w:hanging="99"/>
              <w:rPr>
                <w:sz w:val="14"/>
              </w:rPr>
            </w:pPr>
            <w:r>
              <w:rPr>
                <w:color w:val="231F20"/>
                <w:sz w:val="14"/>
              </w:rPr>
              <w:t xml:space="preserve">успостави узајамни однос књижевних дела и времена у </w:t>
            </w:r>
            <w:r>
              <w:rPr>
                <w:color w:val="231F20"/>
                <w:spacing w:val="-3"/>
                <w:sz w:val="14"/>
              </w:rPr>
              <w:t xml:space="preserve">коме </w:t>
            </w:r>
            <w:r>
              <w:rPr>
                <w:color w:val="231F20"/>
                <w:sz w:val="14"/>
              </w:rPr>
              <w:t>су</w:t>
            </w:r>
            <w:r>
              <w:rPr>
                <w:color w:val="231F20"/>
                <w:spacing w:val="-4"/>
                <w:sz w:val="14"/>
              </w:rPr>
              <w:t xml:space="preserve"> </w:t>
            </w:r>
            <w:r>
              <w:rPr>
                <w:color w:val="231F20"/>
                <w:sz w:val="14"/>
              </w:rPr>
              <w:t>настала;</w:t>
            </w:r>
          </w:p>
          <w:p w:rsidR="00041039" w:rsidRDefault="001B26CB">
            <w:pPr>
              <w:pStyle w:val="TableParagraph"/>
              <w:tabs>
                <w:tab w:val="left" w:pos="157"/>
              </w:tabs>
              <w:spacing w:line="160" w:lineRule="exact"/>
              <w:ind w:right="413" w:hanging="99"/>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834" w:type="dxa"/>
          </w:tcPr>
          <w:p w:rsidR="00041039" w:rsidRDefault="001B26CB">
            <w:pPr>
              <w:pStyle w:val="TableParagraph"/>
              <w:tabs>
                <w:tab w:val="left" w:pos="157"/>
              </w:tabs>
              <w:spacing w:before="8"/>
              <w:ind w:right="198" w:hanging="99"/>
              <w:rPr>
                <w:sz w:val="14"/>
              </w:rPr>
            </w:pPr>
            <w:r>
              <w:rPr>
                <w:color w:val="231F20"/>
                <w:sz w:val="14"/>
              </w:rPr>
              <w:t>Европска књижевност између два рата Одлике експресионизма, футуризма,</w:t>
            </w:r>
            <w:r>
              <w:rPr>
                <w:color w:val="231F20"/>
                <w:spacing w:val="-21"/>
                <w:sz w:val="14"/>
              </w:rPr>
              <w:t xml:space="preserve"> </w:t>
            </w:r>
            <w:r>
              <w:rPr>
                <w:color w:val="231F20"/>
                <w:sz w:val="14"/>
              </w:rPr>
              <w:t>над­ реализма.</w:t>
            </w:r>
          </w:p>
          <w:p w:rsidR="00041039" w:rsidRDefault="001B26CB">
            <w:pPr>
              <w:pStyle w:val="TableParagraph"/>
              <w:tabs>
                <w:tab w:val="left" w:pos="157"/>
              </w:tabs>
              <w:spacing w:line="152" w:lineRule="exact"/>
              <w:ind w:hanging="99"/>
              <w:rPr>
                <w:sz w:val="14"/>
              </w:rPr>
            </w:pPr>
            <w:r>
              <w:rPr>
                <w:color w:val="231F20"/>
                <w:sz w:val="14"/>
              </w:rPr>
              <w:t>В. Мајаковски: „Облаку</w:t>
            </w:r>
            <w:r>
              <w:rPr>
                <w:color w:val="231F20"/>
                <w:spacing w:val="-6"/>
                <w:sz w:val="14"/>
              </w:rPr>
              <w:t xml:space="preserve"> </w:t>
            </w:r>
            <w:r>
              <w:rPr>
                <w:color w:val="231F20"/>
                <w:sz w:val="14"/>
              </w:rPr>
              <w:t>панталонама”.</w:t>
            </w:r>
          </w:p>
          <w:p w:rsidR="00041039" w:rsidRDefault="001B26CB">
            <w:pPr>
              <w:pStyle w:val="TableParagraph"/>
              <w:tabs>
                <w:tab w:val="left" w:pos="157"/>
              </w:tabs>
              <w:spacing w:line="237" w:lineRule="auto"/>
              <w:ind w:right="48" w:hanging="99"/>
              <w:rPr>
                <w:sz w:val="14"/>
              </w:rPr>
            </w:pPr>
            <w:r>
              <w:rPr>
                <w:color w:val="231F20"/>
                <w:sz w:val="14"/>
              </w:rPr>
              <w:t>Ф. Кафка: „Пр</w:t>
            </w:r>
            <w:r>
              <w:rPr>
                <w:color w:val="231F20"/>
                <w:sz w:val="14"/>
              </w:rPr>
              <w:t>еображај” или X. Хесе: роман по избору или Е. Хемингвеј:</w:t>
            </w:r>
            <w:r>
              <w:rPr>
                <w:color w:val="231F20"/>
                <w:spacing w:val="-22"/>
                <w:sz w:val="14"/>
              </w:rPr>
              <w:t xml:space="preserve"> </w:t>
            </w:r>
            <w:r>
              <w:rPr>
                <w:color w:val="231F20"/>
                <w:sz w:val="14"/>
              </w:rPr>
              <w:t>„Старац и</w:t>
            </w:r>
            <w:r>
              <w:rPr>
                <w:color w:val="231F20"/>
                <w:spacing w:val="-1"/>
                <w:sz w:val="14"/>
              </w:rPr>
              <w:t xml:space="preserve"> </w:t>
            </w:r>
            <w:r>
              <w:rPr>
                <w:color w:val="231F20"/>
                <w:sz w:val="14"/>
              </w:rPr>
              <w:t>море”.</w:t>
            </w:r>
          </w:p>
          <w:p w:rsidR="00041039" w:rsidRDefault="001B26CB">
            <w:pPr>
              <w:pStyle w:val="TableParagraph"/>
              <w:tabs>
                <w:tab w:val="left" w:pos="157"/>
              </w:tabs>
              <w:spacing w:line="156" w:lineRule="exact"/>
              <w:ind w:hanging="99"/>
              <w:rPr>
                <w:sz w:val="14"/>
              </w:rPr>
            </w:pPr>
            <w:r>
              <w:rPr>
                <w:color w:val="231F20"/>
                <w:spacing w:val="-9"/>
                <w:sz w:val="14"/>
              </w:rPr>
              <w:t xml:space="preserve">Р. </w:t>
            </w:r>
            <w:r>
              <w:rPr>
                <w:color w:val="231F20"/>
                <w:sz w:val="14"/>
              </w:rPr>
              <w:t>Тагора: „Градинар”</w:t>
            </w:r>
            <w:r>
              <w:rPr>
                <w:color w:val="231F20"/>
                <w:spacing w:val="-19"/>
                <w:sz w:val="14"/>
              </w:rPr>
              <w:t xml:space="preserve"> </w:t>
            </w:r>
            <w:r>
              <w:rPr>
                <w:color w:val="231F20"/>
                <w:sz w:val="14"/>
              </w:rPr>
              <w:t>(избор).</w:t>
            </w:r>
          </w:p>
          <w:p w:rsidR="00041039" w:rsidRDefault="001B26CB">
            <w:pPr>
              <w:pStyle w:val="TableParagraph"/>
              <w:tabs>
                <w:tab w:val="left" w:pos="157"/>
              </w:tabs>
              <w:spacing w:line="160" w:lineRule="exact"/>
              <w:ind w:hanging="99"/>
              <w:rPr>
                <w:sz w:val="14"/>
              </w:rPr>
            </w:pPr>
            <w:r>
              <w:rPr>
                <w:color w:val="231F20"/>
                <w:sz w:val="14"/>
              </w:rPr>
              <w:t>Српска међуратна</w:t>
            </w:r>
            <w:r>
              <w:rPr>
                <w:color w:val="231F20"/>
                <w:spacing w:val="-2"/>
                <w:sz w:val="14"/>
              </w:rPr>
              <w:t xml:space="preserve"> </w:t>
            </w:r>
            <w:r>
              <w:rPr>
                <w:color w:val="231F20"/>
                <w:sz w:val="14"/>
              </w:rPr>
              <w:t>књижевност.</w:t>
            </w:r>
          </w:p>
          <w:p w:rsidR="00041039" w:rsidRDefault="001B26CB">
            <w:pPr>
              <w:pStyle w:val="TableParagraph"/>
              <w:tabs>
                <w:tab w:val="left" w:pos="157"/>
              </w:tabs>
              <w:spacing w:line="160" w:lineRule="exact"/>
              <w:ind w:hanging="99"/>
              <w:rPr>
                <w:sz w:val="14"/>
              </w:rPr>
            </w:pPr>
            <w:r>
              <w:rPr>
                <w:color w:val="231F20"/>
                <w:sz w:val="14"/>
              </w:rPr>
              <w:t>М. Бојић: „Плава</w:t>
            </w:r>
            <w:r>
              <w:rPr>
                <w:color w:val="231F20"/>
                <w:spacing w:val="-4"/>
                <w:sz w:val="14"/>
              </w:rPr>
              <w:t xml:space="preserve"> </w:t>
            </w:r>
            <w:r>
              <w:rPr>
                <w:color w:val="231F20"/>
                <w:sz w:val="14"/>
              </w:rPr>
              <w:t>гробница”.</w:t>
            </w:r>
          </w:p>
          <w:p w:rsidR="00041039" w:rsidRDefault="001B26CB">
            <w:pPr>
              <w:pStyle w:val="TableParagraph"/>
              <w:tabs>
                <w:tab w:val="left" w:pos="157"/>
              </w:tabs>
              <w:spacing w:line="160" w:lineRule="exact"/>
              <w:ind w:hanging="99"/>
              <w:rPr>
                <w:sz w:val="14"/>
              </w:rPr>
            </w:pPr>
            <w:r>
              <w:rPr>
                <w:color w:val="231F20"/>
                <w:sz w:val="14"/>
              </w:rPr>
              <w:t xml:space="preserve">Д. Васиљев: </w:t>
            </w:r>
            <w:r>
              <w:rPr>
                <w:color w:val="231F20"/>
                <w:spacing w:val="-5"/>
                <w:sz w:val="14"/>
              </w:rPr>
              <w:t xml:space="preserve">„Човек </w:t>
            </w:r>
            <w:r>
              <w:rPr>
                <w:color w:val="231F20"/>
                <w:sz w:val="14"/>
              </w:rPr>
              <w:t>пева после</w:t>
            </w:r>
            <w:r>
              <w:rPr>
                <w:color w:val="231F20"/>
                <w:spacing w:val="1"/>
                <w:sz w:val="14"/>
              </w:rPr>
              <w:t xml:space="preserve"> </w:t>
            </w:r>
            <w:r>
              <w:rPr>
                <w:color w:val="231F20"/>
                <w:sz w:val="14"/>
              </w:rPr>
              <w:t>рата”.</w:t>
            </w:r>
          </w:p>
          <w:p w:rsidR="00041039" w:rsidRDefault="001B26CB">
            <w:pPr>
              <w:pStyle w:val="TableParagraph"/>
              <w:tabs>
                <w:tab w:val="left" w:pos="157"/>
              </w:tabs>
              <w:spacing w:line="160" w:lineRule="exact"/>
              <w:ind w:hanging="99"/>
              <w:rPr>
                <w:sz w:val="14"/>
              </w:rPr>
            </w:pPr>
            <w:r>
              <w:rPr>
                <w:color w:val="231F20"/>
                <w:sz w:val="14"/>
              </w:rPr>
              <w:t>М. Црњански:</w:t>
            </w:r>
            <w:r>
              <w:rPr>
                <w:color w:val="231F20"/>
                <w:spacing w:val="-4"/>
                <w:sz w:val="14"/>
              </w:rPr>
              <w:t xml:space="preserve"> </w:t>
            </w:r>
            <w:r>
              <w:rPr>
                <w:color w:val="231F20"/>
                <w:sz w:val="14"/>
              </w:rPr>
              <w:t>„Суматра”.</w:t>
            </w:r>
          </w:p>
          <w:p w:rsidR="00041039" w:rsidRDefault="001B26CB">
            <w:pPr>
              <w:pStyle w:val="TableParagraph"/>
              <w:tabs>
                <w:tab w:val="left" w:pos="157"/>
              </w:tabs>
              <w:spacing w:line="160" w:lineRule="exact"/>
              <w:ind w:hanging="99"/>
              <w:rPr>
                <w:sz w:val="14"/>
              </w:rPr>
            </w:pPr>
            <w:r>
              <w:rPr>
                <w:color w:val="231F20"/>
                <w:sz w:val="14"/>
              </w:rPr>
              <w:t>М. Црњански:</w:t>
            </w:r>
            <w:r>
              <w:rPr>
                <w:color w:val="231F20"/>
                <w:spacing w:val="-11"/>
                <w:sz w:val="14"/>
              </w:rPr>
              <w:t xml:space="preserve"> </w:t>
            </w:r>
            <w:r>
              <w:rPr>
                <w:color w:val="231F20"/>
                <w:sz w:val="14"/>
              </w:rPr>
              <w:t>„Сеобе”.</w:t>
            </w:r>
          </w:p>
          <w:p w:rsidR="00041039" w:rsidRDefault="001B26CB">
            <w:pPr>
              <w:pStyle w:val="TableParagraph"/>
              <w:tabs>
                <w:tab w:val="left" w:pos="157"/>
              </w:tabs>
              <w:spacing w:line="160" w:lineRule="exact"/>
              <w:ind w:hanging="99"/>
              <w:rPr>
                <w:sz w:val="14"/>
              </w:rPr>
            </w:pPr>
            <w:r>
              <w:rPr>
                <w:color w:val="231F20"/>
                <w:sz w:val="14"/>
              </w:rPr>
              <w:t>И. Андрић: „Ex</w:t>
            </w:r>
            <w:r>
              <w:rPr>
                <w:color w:val="231F20"/>
                <w:spacing w:val="-16"/>
                <w:sz w:val="14"/>
              </w:rPr>
              <w:t xml:space="preserve"> </w:t>
            </w:r>
            <w:r>
              <w:rPr>
                <w:color w:val="231F20"/>
                <w:sz w:val="14"/>
              </w:rPr>
              <w:t>Ponto”.</w:t>
            </w:r>
          </w:p>
          <w:p w:rsidR="00041039" w:rsidRDefault="001B26CB">
            <w:pPr>
              <w:pStyle w:val="TableParagraph"/>
              <w:tabs>
                <w:tab w:val="left" w:pos="157"/>
              </w:tabs>
              <w:spacing w:line="160" w:lineRule="exact"/>
              <w:ind w:hanging="99"/>
              <w:rPr>
                <w:sz w:val="14"/>
              </w:rPr>
            </w:pPr>
            <w:r>
              <w:rPr>
                <w:color w:val="231F20"/>
                <w:sz w:val="14"/>
              </w:rPr>
              <w:t>И. Андрић: „Мост на</w:t>
            </w:r>
            <w:r>
              <w:rPr>
                <w:color w:val="231F20"/>
                <w:spacing w:val="-6"/>
                <w:sz w:val="14"/>
              </w:rPr>
              <w:t xml:space="preserve"> </w:t>
            </w:r>
            <w:r>
              <w:rPr>
                <w:color w:val="231F20"/>
                <w:sz w:val="14"/>
              </w:rPr>
              <w:t>Жепи”.</w:t>
            </w:r>
          </w:p>
          <w:p w:rsidR="00041039" w:rsidRDefault="001B26CB">
            <w:pPr>
              <w:pStyle w:val="TableParagraph"/>
              <w:tabs>
                <w:tab w:val="left" w:pos="157"/>
              </w:tabs>
              <w:spacing w:line="160" w:lineRule="exact"/>
              <w:ind w:hanging="99"/>
              <w:rPr>
                <w:sz w:val="14"/>
              </w:rPr>
            </w:pPr>
            <w:r>
              <w:rPr>
                <w:color w:val="231F20"/>
                <w:sz w:val="14"/>
              </w:rPr>
              <w:t>И. Андрић: „На Дрини</w:t>
            </w:r>
            <w:r>
              <w:rPr>
                <w:color w:val="231F20"/>
                <w:spacing w:val="-5"/>
                <w:sz w:val="14"/>
              </w:rPr>
              <w:t xml:space="preserve"> </w:t>
            </w:r>
            <w:r>
              <w:rPr>
                <w:color w:val="231F20"/>
                <w:sz w:val="14"/>
              </w:rPr>
              <w:t>ћуприја”.</w:t>
            </w:r>
          </w:p>
          <w:p w:rsidR="00041039" w:rsidRDefault="001B26CB">
            <w:pPr>
              <w:pStyle w:val="TableParagraph"/>
              <w:tabs>
                <w:tab w:val="left" w:pos="157"/>
              </w:tabs>
              <w:spacing w:line="237" w:lineRule="auto"/>
              <w:ind w:right="258" w:hanging="99"/>
              <w:rPr>
                <w:sz w:val="14"/>
              </w:rPr>
            </w:pPr>
            <w:r>
              <w:rPr>
                <w:color w:val="231F20"/>
                <w:sz w:val="14"/>
              </w:rPr>
              <w:t xml:space="preserve">М. Настасијевић: </w:t>
            </w:r>
            <w:r>
              <w:rPr>
                <w:color w:val="231F20"/>
                <w:spacing w:val="-5"/>
                <w:sz w:val="14"/>
              </w:rPr>
              <w:t xml:space="preserve">„Туга </w:t>
            </w:r>
            <w:r>
              <w:rPr>
                <w:color w:val="231F20"/>
                <w:sz w:val="14"/>
              </w:rPr>
              <w:t xml:space="preserve">у камену” или </w:t>
            </w:r>
            <w:r>
              <w:rPr>
                <w:color w:val="231F20"/>
                <w:spacing w:val="-7"/>
                <w:sz w:val="14"/>
              </w:rPr>
              <w:t xml:space="preserve">Т. </w:t>
            </w:r>
            <w:r>
              <w:rPr>
                <w:color w:val="231F20"/>
                <w:sz w:val="14"/>
              </w:rPr>
              <w:t>Ујевић: „Свакидашња</w:t>
            </w:r>
            <w:r>
              <w:rPr>
                <w:color w:val="231F20"/>
                <w:spacing w:val="-3"/>
                <w:sz w:val="14"/>
              </w:rPr>
              <w:t xml:space="preserve"> </w:t>
            </w:r>
            <w:r>
              <w:rPr>
                <w:color w:val="231F20"/>
                <w:sz w:val="14"/>
              </w:rPr>
              <w:t>јадиковка”.</w:t>
            </w:r>
          </w:p>
          <w:p w:rsidR="00041039" w:rsidRDefault="001B26CB">
            <w:pPr>
              <w:pStyle w:val="TableParagraph"/>
              <w:tabs>
                <w:tab w:val="left" w:pos="157"/>
              </w:tabs>
              <w:spacing w:line="155" w:lineRule="exact"/>
              <w:ind w:hanging="99"/>
              <w:rPr>
                <w:sz w:val="14"/>
              </w:rPr>
            </w:pPr>
            <w:r>
              <w:rPr>
                <w:color w:val="231F20"/>
                <w:spacing w:val="-9"/>
                <w:sz w:val="14"/>
              </w:rPr>
              <w:t xml:space="preserve">Р. </w:t>
            </w:r>
            <w:r>
              <w:rPr>
                <w:color w:val="231F20"/>
                <w:sz w:val="14"/>
              </w:rPr>
              <w:t>Петровић: „Људи говоре”</w:t>
            </w:r>
            <w:r>
              <w:rPr>
                <w:color w:val="231F20"/>
                <w:spacing w:val="-21"/>
                <w:sz w:val="14"/>
              </w:rPr>
              <w:t xml:space="preserve"> </w:t>
            </w:r>
            <w:r>
              <w:rPr>
                <w:color w:val="231F20"/>
                <w:sz w:val="14"/>
              </w:rPr>
              <w:t>(избор).</w:t>
            </w:r>
          </w:p>
          <w:p w:rsidR="00041039" w:rsidRDefault="001B26CB">
            <w:pPr>
              <w:pStyle w:val="TableParagraph"/>
              <w:tabs>
                <w:tab w:val="left" w:pos="157"/>
              </w:tabs>
              <w:spacing w:line="166" w:lineRule="exact"/>
              <w:ind w:hanging="99"/>
              <w:rPr>
                <w:sz w:val="14"/>
              </w:rPr>
            </w:pPr>
            <w:r>
              <w:rPr>
                <w:color w:val="231F20"/>
                <w:sz w:val="14"/>
              </w:rPr>
              <w:t>И. Секулић: „Госпа</w:t>
            </w:r>
            <w:r>
              <w:rPr>
                <w:color w:val="231F20"/>
                <w:spacing w:val="-5"/>
                <w:sz w:val="14"/>
              </w:rPr>
              <w:t xml:space="preserve"> </w:t>
            </w:r>
            <w:r>
              <w:rPr>
                <w:color w:val="231F20"/>
                <w:sz w:val="14"/>
              </w:rPr>
              <w:t>Нола”.</w:t>
            </w:r>
          </w:p>
        </w:tc>
        <w:tc>
          <w:tcPr>
            <w:tcW w:w="2267" w:type="dxa"/>
            <w:vMerge w:val="restart"/>
          </w:tcPr>
          <w:p w:rsidR="00041039" w:rsidRDefault="001B26CB">
            <w:pPr>
              <w:pStyle w:val="TableParagraph"/>
              <w:spacing w:before="16"/>
              <w:ind w:left="58" w:right="109"/>
              <w:rPr>
                <w:b/>
                <w:sz w:val="14"/>
              </w:rPr>
            </w:pPr>
            <w:r>
              <w:rPr>
                <w:b/>
                <w:color w:val="231F20"/>
                <w:sz w:val="14"/>
              </w:rPr>
              <w:t>Препоруке за реализацију наставе</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4"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6"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160" w:lineRule="exact"/>
              <w:ind w:left="157" w:hanging="99"/>
              <w:rPr>
                <w:b/>
                <w:sz w:val="14"/>
              </w:rPr>
            </w:pPr>
            <w:r>
              <w:rPr>
                <w:color w:val="231F20"/>
                <w:sz w:val="14"/>
              </w:rPr>
              <w:t xml:space="preserve">Модерна </w:t>
            </w:r>
            <w:r>
              <w:rPr>
                <w:b/>
                <w:color w:val="231F20"/>
                <w:sz w:val="14"/>
              </w:rPr>
              <w:t>(29</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Међуратна књижевност </w:t>
            </w:r>
            <w:r>
              <w:rPr>
                <w:b/>
                <w:color w:val="231F20"/>
                <w:sz w:val="14"/>
              </w:rPr>
              <w:t>(33</w:t>
            </w:r>
            <w:r>
              <w:rPr>
                <w:b/>
                <w:color w:val="231F20"/>
                <w:spacing w:val="-5"/>
                <w:sz w:val="14"/>
              </w:rPr>
              <w:t xml:space="preserve"> </w:t>
            </w:r>
            <w:r>
              <w:rPr>
                <w:b/>
                <w:color w:val="231F20"/>
                <w:sz w:val="14"/>
              </w:rPr>
              <w:t>часа)</w:t>
            </w:r>
          </w:p>
          <w:p w:rsidR="00041039" w:rsidRDefault="001B26CB">
            <w:pPr>
              <w:pStyle w:val="TableParagraph"/>
              <w:tabs>
                <w:tab w:val="left" w:pos="158"/>
              </w:tabs>
              <w:spacing w:line="160" w:lineRule="exact"/>
              <w:ind w:left="157" w:hanging="99"/>
              <w:rPr>
                <w:b/>
                <w:sz w:val="14"/>
              </w:rPr>
            </w:pPr>
            <w:r>
              <w:rPr>
                <w:color w:val="231F20"/>
                <w:sz w:val="14"/>
              </w:rPr>
              <w:t xml:space="preserve">Лексикологија </w:t>
            </w:r>
            <w:r>
              <w:rPr>
                <w:b/>
                <w:color w:val="231F20"/>
                <w:spacing w:val="-3"/>
                <w:sz w:val="14"/>
              </w:rPr>
              <w:t>(11</w:t>
            </w:r>
            <w:r>
              <w:rPr>
                <w:b/>
                <w:color w:val="231F20"/>
                <w:spacing w:val="-5"/>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Правопис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pacing w:val="-3"/>
                <w:sz w:val="14"/>
              </w:rPr>
              <w:t xml:space="preserve">Култура </w:t>
            </w:r>
            <w:r>
              <w:rPr>
                <w:color w:val="231F20"/>
                <w:sz w:val="14"/>
              </w:rPr>
              <w:t xml:space="preserve">изражавања </w:t>
            </w:r>
            <w:r>
              <w:rPr>
                <w:b/>
                <w:color w:val="231F20"/>
                <w:sz w:val="14"/>
              </w:rPr>
              <w:t>(24</w:t>
            </w:r>
            <w:r>
              <w:rPr>
                <w:b/>
                <w:color w:val="231F20"/>
                <w:sz w:val="14"/>
              </w:rPr>
              <w:t xml:space="preserve"> </w:t>
            </w:r>
            <w:r>
              <w:rPr>
                <w:b/>
                <w:color w:val="231F20"/>
                <w:sz w:val="14"/>
              </w:rPr>
              <w:t>часа)</w:t>
            </w:r>
          </w:p>
        </w:tc>
      </w:tr>
      <w:tr w:rsidR="00041039">
        <w:trPr>
          <w:trHeight w:val="1000"/>
        </w:trPr>
        <w:tc>
          <w:tcPr>
            <w:tcW w:w="1304" w:type="dxa"/>
          </w:tcPr>
          <w:p w:rsidR="00041039" w:rsidRDefault="001B26CB">
            <w:pPr>
              <w:pStyle w:val="TableParagraph"/>
              <w:spacing w:before="19"/>
              <w:ind w:left="56"/>
              <w:rPr>
                <w:sz w:val="14"/>
              </w:rPr>
            </w:pPr>
            <w:r>
              <w:rPr>
                <w:color w:val="231F20"/>
                <w:sz w:val="14"/>
              </w:rPr>
              <w:t>Творба речи</w:t>
            </w:r>
          </w:p>
        </w:tc>
        <w:tc>
          <w:tcPr>
            <w:tcW w:w="1587" w:type="dxa"/>
          </w:tcPr>
          <w:p w:rsidR="00041039" w:rsidRDefault="001B26CB">
            <w:pPr>
              <w:pStyle w:val="TableParagraph"/>
              <w:tabs>
                <w:tab w:val="left" w:pos="157"/>
              </w:tabs>
              <w:spacing w:before="9"/>
              <w:ind w:right="258" w:hanging="100"/>
              <w:rPr>
                <w:sz w:val="14"/>
              </w:rPr>
            </w:pPr>
            <w:r>
              <w:rPr>
                <w:color w:val="231F20"/>
                <w:sz w:val="14"/>
              </w:rPr>
              <w:t>Систематизовање знања о основним правилима</w:t>
            </w:r>
            <w:r>
              <w:rPr>
                <w:color w:val="231F20"/>
                <w:spacing w:val="-11"/>
                <w:sz w:val="14"/>
              </w:rPr>
              <w:t xml:space="preserve"> </w:t>
            </w:r>
            <w:r>
              <w:rPr>
                <w:color w:val="231F20"/>
                <w:sz w:val="14"/>
              </w:rPr>
              <w:t>грађења речи.</w:t>
            </w:r>
          </w:p>
        </w:tc>
        <w:tc>
          <w:tcPr>
            <w:tcW w:w="2551" w:type="dxa"/>
          </w:tcPr>
          <w:p w:rsidR="00041039" w:rsidRDefault="001B26CB">
            <w:pPr>
              <w:pStyle w:val="TableParagraph"/>
              <w:tabs>
                <w:tab w:val="left" w:pos="157"/>
              </w:tabs>
              <w:spacing w:before="9"/>
              <w:ind w:right="164" w:hanging="99"/>
              <w:rPr>
                <w:sz w:val="14"/>
              </w:rPr>
            </w:pPr>
            <w:r>
              <w:rPr>
                <w:color w:val="231F20"/>
                <w:sz w:val="14"/>
              </w:rPr>
              <w:t>препозна просте, изведене и</w:t>
            </w:r>
            <w:r>
              <w:rPr>
                <w:color w:val="231F20"/>
                <w:spacing w:val="-17"/>
                <w:sz w:val="14"/>
              </w:rPr>
              <w:t xml:space="preserve"> </w:t>
            </w:r>
            <w:r>
              <w:rPr>
                <w:color w:val="231F20"/>
                <w:sz w:val="14"/>
              </w:rPr>
              <w:t>сложене речи;</w:t>
            </w:r>
          </w:p>
          <w:p w:rsidR="00041039" w:rsidRDefault="001B26CB">
            <w:pPr>
              <w:pStyle w:val="TableParagraph"/>
              <w:tabs>
                <w:tab w:val="left" w:pos="157"/>
              </w:tabs>
              <w:spacing w:line="160" w:lineRule="exact"/>
              <w:ind w:right="293" w:hanging="99"/>
              <w:rPr>
                <w:sz w:val="14"/>
              </w:rPr>
            </w:pPr>
            <w:r>
              <w:rPr>
                <w:color w:val="231F20"/>
                <w:sz w:val="14"/>
              </w:rPr>
              <w:t>примени основне принципе творбе речи;</w:t>
            </w:r>
          </w:p>
        </w:tc>
        <w:tc>
          <w:tcPr>
            <w:tcW w:w="2834" w:type="dxa"/>
          </w:tcPr>
          <w:p w:rsidR="00041039" w:rsidRDefault="001B26CB">
            <w:pPr>
              <w:pStyle w:val="TableParagraph"/>
              <w:tabs>
                <w:tab w:val="left" w:pos="157"/>
              </w:tabs>
              <w:spacing w:before="9" w:line="166" w:lineRule="exact"/>
              <w:ind w:hanging="99"/>
              <w:rPr>
                <w:sz w:val="14"/>
              </w:rPr>
            </w:pPr>
            <w:r>
              <w:rPr>
                <w:color w:val="231F20"/>
                <w:sz w:val="14"/>
              </w:rPr>
              <w:t>Просте, изведене и сложене</w:t>
            </w:r>
            <w:r>
              <w:rPr>
                <w:color w:val="231F20"/>
                <w:spacing w:val="-4"/>
                <w:sz w:val="14"/>
              </w:rPr>
              <w:t xml:space="preserve"> </w:t>
            </w:r>
            <w:r>
              <w:rPr>
                <w:color w:val="231F20"/>
                <w:sz w:val="14"/>
              </w:rPr>
              <w:t>речи.</w:t>
            </w:r>
          </w:p>
          <w:p w:rsidR="00041039" w:rsidRDefault="001B26CB">
            <w:pPr>
              <w:pStyle w:val="TableParagraph"/>
              <w:tabs>
                <w:tab w:val="left" w:pos="157"/>
              </w:tabs>
              <w:spacing w:line="160" w:lineRule="exact"/>
              <w:ind w:hanging="99"/>
              <w:rPr>
                <w:sz w:val="14"/>
              </w:rPr>
            </w:pPr>
            <w:r>
              <w:rPr>
                <w:color w:val="231F20"/>
                <w:sz w:val="14"/>
              </w:rPr>
              <w:t>Основни појмови о извођењу</w:t>
            </w:r>
            <w:r>
              <w:rPr>
                <w:color w:val="231F20"/>
                <w:spacing w:val="-6"/>
                <w:sz w:val="14"/>
              </w:rPr>
              <w:t xml:space="preserve"> </w:t>
            </w:r>
            <w:r>
              <w:rPr>
                <w:color w:val="231F20"/>
                <w:sz w:val="14"/>
              </w:rPr>
              <w:t>речи.</w:t>
            </w:r>
          </w:p>
          <w:p w:rsidR="00041039" w:rsidRDefault="001B26CB">
            <w:pPr>
              <w:pStyle w:val="TableParagraph"/>
              <w:tabs>
                <w:tab w:val="left" w:pos="157"/>
              </w:tabs>
              <w:spacing w:line="237" w:lineRule="auto"/>
              <w:ind w:right="353" w:hanging="99"/>
              <w:rPr>
                <w:sz w:val="14"/>
              </w:rPr>
            </w:pPr>
            <w:r>
              <w:rPr>
                <w:color w:val="231F20"/>
                <w:sz w:val="14"/>
              </w:rPr>
              <w:t>Важнији модели за извођење</w:t>
            </w:r>
            <w:r>
              <w:rPr>
                <w:color w:val="231F20"/>
                <w:spacing w:val="-17"/>
                <w:sz w:val="14"/>
              </w:rPr>
              <w:t xml:space="preserve"> </w:t>
            </w:r>
            <w:r>
              <w:rPr>
                <w:color w:val="231F20"/>
                <w:sz w:val="14"/>
              </w:rPr>
              <w:t>именица, придева и</w:t>
            </w:r>
            <w:r>
              <w:rPr>
                <w:color w:val="231F20"/>
                <w:spacing w:val="-2"/>
                <w:sz w:val="14"/>
              </w:rPr>
              <w:t xml:space="preserve"> </w:t>
            </w:r>
            <w:r>
              <w:rPr>
                <w:color w:val="231F20"/>
                <w:spacing w:val="-3"/>
                <w:sz w:val="14"/>
              </w:rPr>
              <w:t>глагола.</w:t>
            </w:r>
          </w:p>
          <w:p w:rsidR="00041039" w:rsidRDefault="001B26CB">
            <w:pPr>
              <w:pStyle w:val="TableParagraph"/>
              <w:tabs>
                <w:tab w:val="left" w:pos="157"/>
              </w:tabs>
              <w:spacing w:line="160" w:lineRule="exact"/>
              <w:ind w:right="282" w:hanging="99"/>
              <w:rPr>
                <w:sz w:val="14"/>
              </w:rPr>
            </w:pPr>
            <w:r>
              <w:rPr>
                <w:color w:val="231F20"/>
                <w:sz w:val="14"/>
              </w:rPr>
              <w:t>Основни појмови о творби сложеница</w:t>
            </w:r>
            <w:r>
              <w:rPr>
                <w:color w:val="231F20"/>
                <w:spacing w:val="-20"/>
                <w:sz w:val="14"/>
              </w:rPr>
              <w:t xml:space="preserve"> </w:t>
            </w:r>
            <w:r>
              <w:rPr>
                <w:color w:val="231F20"/>
                <w:sz w:val="14"/>
              </w:rPr>
              <w:t>и полусложеница.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19"/>
              <w:ind w:left="56"/>
              <w:rPr>
                <w:sz w:val="14"/>
              </w:rPr>
            </w:pPr>
            <w:r>
              <w:rPr>
                <w:color w:val="231F20"/>
                <w:sz w:val="14"/>
              </w:rPr>
              <w:t>Лексикологија</w:t>
            </w:r>
          </w:p>
        </w:tc>
        <w:tc>
          <w:tcPr>
            <w:tcW w:w="1587" w:type="dxa"/>
          </w:tcPr>
          <w:p w:rsidR="00041039" w:rsidRDefault="001B26CB">
            <w:pPr>
              <w:pStyle w:val="TableParagraph"/>
              <w:tabs>
                <w:tab w:val="left" w:pos="157"/>
              </w:tabs>
              <w:spacing w:before="9"/>
              <w:ind w:right="154" w:hanging="100"/>
              <w:jc w:val="both"/>
              <w:rPr>
                <w:sz w:val="14"/>
              </w:rPr>
            </w:pPr>
            <w:r>
              <w:rPr>
                <w:color w:val="231F20"/>
                <w:sz w:val="14"/>
              </w:rPr>
              <w:t>Упознавање ученика са основама</w:t>
            </w:r>
            <w:r>
              <w:rPr>
                <w:color w:val="231F20"/>
                <w:spacing w:val="-12"/>
                <w:sz w:val="14"/>
              </w:rPr>
              <w:t xml:space="preserve"> </w:t>
            </w:r>
            <w:r>
              <w:rPr>
                <w:color w:val="231F20"/>
                <w:sz w:val="14"/>
              </w:rPr>
              <w:t>лексико­ логије.</w:t>
            </w:r>
          </w:p>
        </w:tc>
        <w:tc>
          <w:tcPr>
            <w:tcW w:w="2551" w:type="dxa"/>
          </w:tcPr>
          <w:p w:rsidR="00041039" w:rsidRDefault="001B26CB">
            <w:pPr>
              <w:pStyle w:val="TableParagraph"/>
              <w:tabs>
                <w:tab w:val="left" w:pos="157"/>
              </w:tabs>
              <w:spacing w:before="9" w:line="166" w:lineRule="exact"/>
              <w:ind w:hanging="99"/>
              <w:rPr>
                <w:sz w:val="14"/>
              </w:rPr>
            </w:pPr>
            <w:r>
              <w:rPr>
                <w:color w:val="231F20"/>
                <w:sz w:val="14"/>
              </w:rPr>
              <w:t>препозна и одреди вредност</w:t>
            </w:r>
            <w:r>
              <w:rPr>
                <w:color w:val="231F20"/>
                <w:spacing w:val="-11"/>
                <w:sz w:val="14"/>
              </w:rPr>
              <w:t xml:space="preserve"> </w:t>
            </w:r>
            <w:r>
              <w:rPr>
                <w:color w:val="231F20"/>
                <w:sz w:val="14"/>
              </w:rPr>
              <w:t>лексеме;</w:t>
            </w:r>
          </w:p>
          <w:p w:rsidR="00041039" w:rsidRDefault="001B26CB">
            <w:pPr>
              <w:pStyle w:val="TableParagraph"/>
              <w:tabs>
                <w:tab w:val="left" w:pos="157"/>
              </w:tabs>
              <w:spacing w:line="160" w:lineRule="exact"/>
              <w:ind w:hanging="99"/>
              <w:rPr>
                <w:sz w:val="14"/>
              </w:rPr>
            </w:pPr>
            <w:r>
              <w:rPr>
                <w:color w:val="231F20"/>
                <w:sz w:val="14"/>
              </w:rPr>
              <w:t>уме да се служи</w:t>
            </w:r>
            <w:r>
              <w:rPr>
                <w:color w:val="231F20"/>
                <w:spacing w:val="-2"/>
                <w:sz w:val="14"/>
              </w:rPr>
              <w:t xml:space="preserve"> </w:t>
            </w:r>
            <w:r>
              <w:rPr>
                <w:color w:val="231F20"/>
                <w:sz w:val="14"/>
              </w:rPr>
              <w:t>речницима;</w:t>
            </w:r>
          </w:p>
          <w:p w:rsidR="00041039" w:rsidRDefault="001B26CB">
            <w:pPr>
              <w:pStyle w:val="TableParagraph"/>
              <w:tabs>
                <w:tab w:val="left" w:pos="157"/>
              </w:tabs>
              <w:spacing w:line="237" w:lineRule="auto"/>
              <w:ind w:right="160" w:hanging="99"/>
              <w:rPr>
                <w:sz w:val="14"/>
              </w:rPr>
            </w:pPr>
            <w:r>
              <w:rPr>
                <w:color w:val="231F20"/>
                <w:sz w:val="14"/>
              </w:rPr>
              <w:t>наведе примере синонима,</w:t>
            </w:r>
            <w:r>
              <w:rPr>
                <w:color w:val="231F20"/>
                <w:spacing w:val="-15"/>
                <w:sz w:val="14"/>
              </w:rPr>
              <w:t xml:space="preserve"> </w:t>
            </w:r>
            <w:r>
              <w:rPr>
                <w:color w:val="231F20"/>
                <w:sz w:val="14"/>
              </w:rPr>
              <w:t>антонима, хомонима,</w:t>
            </w:r>
            <w:r>
              <w:rPr>
                <w:color w:val="231F20"/>
                <w:spacing w:val="-1"/>
                <w:sz w:val="14"/>
              </w:rPr>
              <w:t xml:space="preserve"> </w:t>
            </w:r>
            <w:r>
              <w:rPr>
                <w:color w:val="231F20"/>
                <w:sz w:val="14"/>
              </w:rPr>
              <w:t>жаргона...</w:t>
            </w:r>
          </w:p>
        </w:tc>
        <w:tc>
          <w:tcPr>
            <w:tcW w:w="2834" w:type="dxa"/>
          </w:tcPr>
          <w:p w:rsidR="00041039" w:rsidRDefault="001B26CB">
            <w:pPr>
              <w:pStyle w:val="TableParagraph"/>
              <w:tabs>
                <w:tab w:val="left" w:pos="158"/>
              </w:tabs>
              <w:spacing w:before="9"/>
              <w:ind w:left="157" w:right="135" w:hanging="100"/>
              <w:rPr>
                <w:sz w:val="14"/>
              </w:rPr>
            </w:pPr>
            <w:r>
              <w:rPr>
                <w:color w:val="231F20"/>
                <w:sz w:val="14"/>
              </w:rPr>
              <w:t>Основни</w:t>
            </w:r>
            <w:r>
              <w:rPr>
                <w:color w:val="231F20"/>
                <w:spacing w:val="-9"/>
                <w:sz w:val="14"/>
              </w:rPr>
              <w:t xml:space="preserve"> </w:t>
            </w:r>
            <w:r>
              <w:rPr>
                <w:color w:val="231F20"/>
                <w:sz w:val="14"/>
              </w:rPr>
              <w:t>појмови</w:t>
            </w:r>
            <w:r>
              <w:rPr>
                <w:color w:val="231F20"/>
                <w:spacing w:val="-9"/>
                <w:sz w:val="14"/>
              </w:rPr>
              <w:t xml:space="preserve"> </w:t>
            </w:r>
            <w:r>
              <w:rPr>
                <w:color w:val="231F20"/>
                <w:sz w:val="14"/>
              </w:rPr>
              <w:t>из</w:t>
            </w:r>
            <w:r>
              <w:rPr>
                <w:color w:val="231F20"/>
                <w:spacing w:val="-9"/>
                <w:sz w:val="14"/>
              </w:rPr>
              <w:t xml:space="preserve"> </w:t>
            </w:r>
            <w:r>
              <w:rPr>
                <w:color w:val="231F20"/>
                <w:sz w:val="14"/>
              </w:rPr>
              <w:t>лексикологије</w:t>
            </w:r>
            <w:r>
              <w:rPr>
                <w:color w:val="231F20"/>
                <w:spacing w:val="-9"/>
                <w:sz w:val="14"/>
              </w:rPr>
              <w:t xml:space="preserve"> </w:t>
            </w:r>
            <w:r>
              <w:rPr>
                <w:color w:val="231F20"/>
                <w:sz w:val="14"/>
              </w:rPr>
              <w:t>(лексе­ ма, њено</w:t>
            </w:r>
            <w:r>
              <w:rPr>
                <w:color w:val="231F20"/>
                <w:spacing w:val="-2"/>
                <w:sz w:val="14"/>
              </w:rPr>
              <w:t xml:space="preserve"> </w:t>
            </w:r>
            <w:r>
              <w:rPr>
                <w:color w:val="231F20"/>
                <w:sz w:val="14"/>
              </w:rPr>
              <w:t>значење).</w:t>
            </w:r>
          </w:p>
          <w:p w:rsidR="00041039" w:rsidRDefault="001B26CB">
            <w:pPr>
              <w:pStyle w:val="TableParagraph"/>
              <w:tabs>
                <w:tab w:val="left" w:pos="158"/>
              </w:tabs>
              <w:spacing w:line="153" w:lineRule="exact"/>
              <w:ind w:left="157" w:hanging="100"/>
              <w:rPr>
                <w:sz w:val="14"/>
              </w:rPr>
            </w:pPr>
            <w:r>
              <w:rPr>
                <w:color w:val="231F20"/>
                <w:sz w:val="14"/>
              </w:rPr>
              <w:t>Полисемија и</w:t>
            </w:r>
            <w:r>
              <w:rPr>
                <w:color w:val="231F20"/>
                <w:spacing w:val="-14"/>
                <w:sz w:val="14"/>
              </w:rPr>
              <w:t xml:space="preserve"> </w:t>
            </w:r>
            <w:r>
              <w:rPr>
                <w:color w:val="231F20"/>
                <w:sz w:val="14"/>
              </w:rPr>
              <w:t>хомонимија.</w:t>
            </w:r>
          </w:p>
          <w:p w:rsidR="00041039" w:rsidRDefault="001B26CB">
            <w:pPr>
              <w:pStyle w:val="TableParagraph"/>
              <w:tabs>
                <w:tab w:val="left" w:pos="158"/>
              </w:tabs>
              <w:spacing w:line="160" w:lineRule="exact"/>
              <w:ind w:left="157" w:hanging="100"/>
              <w:rPr>
                <w:sz w:val="14"/>
              </w:rPr>
            </w:pPr>
            <w:r>
              <w:rPr>
                <w:color w:val="231F20"/>
                <w:sz w:val="14"/>
              </w:rPr>
              <w:t>Синонимија и</w:t>
            </w:r>
            <w:r>
              <w:rPr>
                <w:color w:val="231F20"/>
                <w:spacing w:val="-3"/>
                <w:sz w:val="14"/>
              </w:rPr>
              <w:t xml:space="preserve"> </w:t>
            </w:r>
            <w:r>
              <w:rPr>
                <w:color w:val="231F20"/>
                <w:sz w:val="14"/>
              </w:rPr>
              <w:t>антонимија.</w:t>
            </w:r>
          </w:p>
          <w:p w:rsidR="00041039" w:rsidRDefault="001B26CB">
            <w:pPr>
              <w:pStyle w:val="TableParagraph"/>
              <w:tabs>
                <w:tab w:val="left" w:pos="158"/>
              </w:tabs>
              <w:spacing w:line="237" w:lineRule="auto"/>
              <w:ind w:left="157" w:right="172" w:hanging="100"/>
              <w:rPr>
                <w:sz w:val="14"/>
              </w:rPr>
            </w:pPr>
            <w:r>
              <w:rPr>
                <w:color w:val="231F20"/>
                <w:sz w:val="14"/>
              </w:rPr>
              <w:t>Састав лексике српског књижевног</w:t>
            </w:r>
            <w:r>
              <w:rPr>
                <w:color w:val="231F20"/>
                <w:spacing w:val="-17"/>
                <w:sz w:val="14"/>
              </w:rPr>
              <w:t xml:space="preserve"> </w:t>
            </w:r>
            <w:r>
              <w:rPr>
                <w:color w:val="231F20"/>
                <w:sz w:val="14"/>
              </w:rPr>
              <w:t>(стан­ дардног)</w:t>
            </w:r>
            <w:r>
              <w:rPr>
                <w:color w:val="231F20"/>
                <w:spacing w:val="-1"/>
                <w:sz w:val="14"/>
              </w:rPr>
              <w:t xml:space="preserve"> </w:t>
            </w:r>
            <w:r>
              <w:rPr>
                <w:color w:val="231F20"/>
                <w:sz w:val="14"/>
              </w:rPr>
              <w:t>језика.</w:t>
            </w:r>
          </w:p>
          <w:p w:rsidR="00041039" w:rsidRDefault="001B26CB">
            <w:pPr>
              <w:pStyle w:val="TableParagraph"/>
              <w:tabs>
                <w:tab w:val="left" w:pos="158"/>
              </w:tabs>
              <w:spacing w:line="160" w:lineRule="exact"/>
              <w:ind w:left="157" w:right="399" w:hanging="100"/>
              <w:rPr>
                <w:sz w:val="14"/>
              </w:rPr>
            </w:pPr>
            <w:r>
              <w:rPr>
                <w:color w:val="231F20"/>
                <w:sz w:val="14"/>
              </w:rPr>
              <w:t>Дијалектизми, архаизми иисторизми, неологизми, жаргонизми,</w:t>
            </w:r>
            <w:r>
              <w:rPr>
                <w:color w:val="231F20"/>
                <w:spacing w:val="-29"/>
                <w:sz w:val="14"/>
              </w:rPr>
              <w:t xml:space="preserve"> </w:t>
            </w:r>
            <w:r>
              <w:rPr>
                <w:color w:val="231F20"/>
                <w:sz w:val="14"/>
              </w:rPr>
              <w:t>вулгаризми.</w:t>
            </w:r>
          </w:p>
          <w:p w:rsidR="00041039" w:rsidRDefault="001B26CB">
            <w:pPr>
              <w:pStyle w:val="TableParagraph"/>
              <w:tabs>
                <w:tab w:val="left" w:pos="158"/>
              </w:tabs>
              <w:spacing w:line="153" w:lineRule="exact"/>
              <w:ind w:left="157" w:hanging="100"/>
              <w:rPr>
                <w:sz w:val="14"/>
              </w:rPr>
            </w:pPr>
            <w:r>
              <w:rPr>
                <w:color w:val="231F20"/>
                <w:sz w:val="14"/>
              </w:rPr>
              <w:t>Фразеол</w:t>
            </w:r>
            <w:r>
              <w:rPr>
                <w:color w:val="231F20"/>
                <w:sz w:val="14"/>
              </w:rPr>
              <w:t>огизми.</w:t>
            </w:r>
          </w:p>
          <w:p w:rsidR="00041039" w:rsidRDefault="001B26CB">
            <w:pPr>
              <w:pStyle w:val="TableParagraph"/>
              <w:tabs>
                <w:tab w:val="left" w:pos="158"/>
              </w:tabs>
              <w:spacing w:line="160" w:lineRule="exact"/>
              <w:ind w:left="157" w:hanging="100"/>
              <w:rPr>
                <w:sz w:val="14"/>
              </w:rPr>
            </w:pPr>
            <w:r>
              <w:rPr>
                <w:color w:val="231F20"/>
                <w:sz w:val="14"/>
              </w:rPr>
              <w:t>Термини.</w:t>
            </w:r>
          </w:p>
          <w:p w:rsidR="00041039" w:rsidRDefault="001B26CB">
            <w:pPr>
              <w:pStyle w:val="TableParagraph"/>
              <w:tabs>
                <w:tab w:val="left" w:pos="158"/>
              </w:tabs>
              <w:spacing w:line="166" w:lineRule="exact"/>
              <w:ind w:left="157" w:hanging="100"/>
              <w:rPr>
                <w:sz w:val="14"/>
              </w:rPr>
            </w:pPr>
            <w:r>
              <w:rPr>
                <w:color w:val="231F20"/>
                <w:sz w:val="14"/>
              </w:rPr>
              <w:t>Речници и служење</w:t>
            </w:r>
            <w:r>
              <w:rPr>
                <w:color w:val="231F20"/>
                <w:spacing w:val="-3"/>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tabs>
                <w:tab w:val="left" w:pos="157"/>
              </w:tabs>
              <w:spacing w:before="9"/>
              <w:ind w:right="66" w:hanging="99"/>
              <w:rPr>
                <w:sz w:val="14"/>
              </w:rPr>
            </w:pPr>
            <w:r>
              <w:rPr>
                <w:color w:val="231F20"/>
                <w:sz w:val="14"/>
              </w:rPr>
              <w:t>Оспособљавање ученика за примењи­ вање знања из језика</w:t>
            </w:r>
            <w:r>
              <w:rPr>
                <w:color w:val="231F20"/>
                <w:spacing w:val="-12"/>
                <w:sz w:val="14"/>
              </w:rPr>
              <w:t xml:space="preserve"> </w:t>
            </w:r>
            <w:r>
              <w:rPr>
                <w:color w:val="231F20"/>
                <w:sz w:val="14"/>
              </w:rPr>
              <w:t>и правописа у складу са језичком</w:t>
            </w:r>
            <w:r>
              <w:rPr>
                <w:color w:val="231F20"/>
                <w:spacing w:val="-3"/>
                <w:sz w:val="14"/>
              </w:rPr>
              <w:t xml:space="preserve"> </w:t>
            </w:r>
            <w:r>
              <w:rPr>
                <w:color w:val="231F20"/>
                <w:sz w:val="14"/>
              </w:rPr>
              <w:t>нормом.</w:t>
            </w:r>
          </w:p>
        </w:tc>
        <w:tc>
          <w:tcPr>
            <w:tcW w:w="2551" w:type="dxa"/>
          </w:tcPr>
          <w:p w:rsidR="00041039" w:rsidRDefault="001B26CB">
            <w:pPr>
              <w:pStyle w:val="TableParagraph"/>
              <w:tabs>
                <w:tab w:val="left" w:pos="157"/>
              </w:tabs>
              <w:spacing w:before="9"/>
              <w:ind w:right="151" w:hanging="99"/>
              <w:rPr>
                <w:sz w:val="14"/>
              </w:rPr>
            </w:pPr>
            <w:r>
              <w:rPr>
                <w:color w:val="231F20"/>
                <w:sz w:val="14"/>
              </w:rPr>
              <w:t>примени правописна правила у писању сложеница, полусложеница</w:t>
            </w:r>
            <w:r>
              <w:rPr>
                <w:color w:val="231F20"/>
                <w:spacing w:val="-18"/>
                <w:sz w:val="14"/>
              </w:rPr>
              <w:t xml:space="preserve"> </w:t>
            </w:r>
            <w:r>
              <w:rPr>
                <w:color w:val="231F20"/>
                <w:sz w:val="14"/>
              </w:rPr>
              <w:t>и синтагми;</w:t>
            </w:r>
          </w:p>
          <w:p w:rsidR="00041039" w:rsidRDefault="001B26CB">
            <w:pPr>
              <w:pStyle w:val="TableParagraph"/>
              <w:tabs>
                <w:tab w:val="left" w:pos="157"/>
              </w:tabs>
              <w:spacing w:line="157" w:lineRule="exact"/>
              <w:ind w:hanging="99"/>
              <w:rPr>
                <w:sz w:val="14"/>
              </w:rPr>
            </w:pPr>
            <w:r>
              <w:rPr>
                <w:color w:val="231F20"/>
                <w:sz w:val="14"/>
              </w:rPr>
              <w:t>скраћује речи у складу са</w:t>
            </w:r>
            <w:r>
              <w:rPr>
                <w:color w:val="231F20"/>
                <w:spacing w:val="-5"/>
                <w:sz w:val="14"/>
              </w:rPr>
              <w:t xml:space="preserve"> </w:t>
            </w:r>
            <w:r>
              <w:rPr>
                <w:color w:val="231F20"/>
                <w:sz w:val="14"/>
              </w:rPr>
              <w:t>прописаним</w:t>
            </w:r>
          </w:p>
          <w:p w:rsidR="00041039" w:rsidRDefault="001B26CB">
            <w:pPr>
              <w:pStyle w:val="TableParagraph"/>
              <w:spacing w:line="160" w:lineRule="exact"/>
              <w:rPr>
                <w:sz w:val="14"/>
              </w:rPr>
            </w:pPr>
            <w:r>
              <w:rPr>
                <w:color w:val="231F20"/>
                <w:sz w:val="14"/>
              </w:rPr>
              <w:t>правилима;</w:t>
            </w:r>
          </w:p>
        </w:tc>
        <w:tc>
          <w:tcPr>
            <w:tcW w:w="2834" w:type="dxa"/>
          </w:tcPr>
          <w:p w:rsidR="00041039" w:rsidRDefault="001B26CB">
            <w:pPr>
              <w:pStyle w:val="TableParagraph"/>
              <w:tabs>
                <w:tab w:val="left" w:pos="158"/>
              </w:tabs>
              <w:spacing w:before="9"/>
              <w:ind w:left="157" w:right="133" w:hanging="100"/>
              <w:rPr>
                <w:sz w:val="14"/>
              </w:rPr>
            </w:pPr>
            <w:r>
              <w:rPr>
                <w:color w:val="231F20"/>
                <w:sz w:val="14"/>
              </w:rPr>
              <w:t>Основна</w:t>
            </w:r>
            <w:r>
              <w:rPr>
                <w:color w:val="231F20"/>
                <w:spacing w:val="-13"/>
                <w:sz w:val="14"/>
              </w:rPr>
              <w:t xml:space="preserve"> </w:t>
            </w:r>
            <w:r>
              <w:rPr>
                <w:color w:val="231F20"/>
                <w:sz w:val="14"/>
              </w:rPr>
              <w:t>правила</w:t>
            </w:r>
            <w:r>
              <w:rPr>
                <w:color w:val="231F20"/>
                <w:spacing w:val="-13"/>
                <w:sz w:val="14"/>
              </w:rPr>
              <w:t xml:space="preserve"> </w:t>
            </w:r>
            <w:r>
              <w:rPr>
                <w:color w:val="231F20"/>
                <w:sz w:val="14"/>
              </w:rPr>
              <w:t>спојеног,</w:t>
            </w:r>
            <w:r>
              <w:rPr>
                <w:color w:val="231F20"/>
                <w:spacing w:val="-12"/>
                <w:sz w:val="14"/>
              </w:rPr>
              <w:t xml:space="preserve"> </w:t>
            </w:r>
            <w:r>
              <w:rPr>
                <w:color w:val="231F20"/>
                <w:sz w:val="14"/>
              </w:rPr>
              <w:t xml:space="preserve">полусложенич­ </w:t>
            </w:r>
            <w:r>
              <w:rPr>
                <w:color w:val="231F20"/>
                <w:spacing w:val="-3"/>
                <w:sz w:val="14"/>
              </w:rPr>
              <w:t xml:space="preserve">ког </w:t>
            </w:r>
            <w:r>
              <w:rPr>
                <w:color w:val="231F20"/>
                <w:sz w:val="14"/>
              </w:rPr>
              <w:t>и одвојеног</w:t>
            </w:r>
            <w:r>
              <w:rPr>
                <w:color w:val="231F20"/>
                <w:sz w:val="14"/>
              </w:rPr>
              <w:t xml:space="preserve"> </w:t>
            </w:r>
            <w:r>
              <w:rPr>
                <w:color w:val="231F20"/>
                <w:sz w:val="14"/>
              </w:rPr>
              <w:t>писања.</w:t>
            </w:r>
          </w:p>
          <w:p w:rsidR="00041039" w:rsidRDefault="001B26CB">
            <w:pPr>
              <w:pStyle w:val="TableParagraph"/>
              <w:tabs>
                <w:tab w:val="left" w:pos="158"/>
              </w:tabs>
              <w:spacing w:line="159" w:lineRule="exact"/>
              <w:ind w:left="157" w:hanging="100"/>
              <w:rPr>
                <w:sz w:val="14"/>
              </w:rPr>
            </w:pPr>
            <w:r>
              <w:rPr>
                <w:color w:val="231F20"/>
                <w:sz w:val="14"/>
              </w:rPr>
              <w:t>Скраћенице.</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ight="37"/>
              <w:rPr>
                <w:sz w:val="14"/>
              </w:rPr>
            </w:pPr>
            <w:r>
              <w:rPr>
                <w:color w:val="231F20"/>
                <w:sz w:val="14"/>
              </w:rPr>
              <w:t>Култура изража­ вања</w:t>
            </w:r>
          </w:p>
        </w:tc>
        <w:tc>
          <w:tcPr>
            <w:tcW w:w="1587" w:type="dxa"/>
          </w:tcPr>
          <w:p w:rsidR="00041039" w:rsidRDefault="001B26CB">
            <w:pPr>
              <w:pStyle w:val="TableParagraph"/>
              <w:tabs>
                <w:tab w:val="left" w:pos="157"/>
              </w:tabs>
              <w:spacing w:before="11" w:line="237" w:lineRule="auto"/>
              <w:ind w:right="115" w:hanging="99"/>
              <w:rPr>
                <w:sz w:val="14"/>
              </w:rPr>
            </w:pPr>
            <w:r>
              <w:rPr>
                <w:color w:val="231F20"/>
                <w:sz w:val="14"/>
              </w:rPr>
              <w:t>Оспособљавање ученика да теоријска знања из граматике и правописа примењују у усменом и писаном изражавању.</w:t>
            </w:r>
          </w:p>
        </w:tc>
        <w:tc>
          <w:tcPr>
            <w:tcW w:w="2551" w:type="dxa"/>
          </w:tcPr>
          <w:p w:rsidR="00041039" w:rsidRDefault="001B26CB">
            <w:pPr>
              <w:pStyle w:val="TableParagraph"/>
              <w:tabs>
                <w:tab w:val="left" w:pos="158"/>
              </w:tabs>
              <w:spacing w:before="9"/>
              <w:ind w:left="157" w:right="67" w:hanging="100"/>
              <w:jc w:val="both"/>
              <w:rPr>
                <w:sz w:val="14"/>
              </w:rPr>
            </w:pPr>
            <w:r>
              <w:rPr>
                <w:color w:val="231F20"/>
                <w:sz w:val="14"/>
              </w:rPr>
              <w:t>износи став, користи аргументе и про­ цењује опште и сопствене вредности у усменом и писаном</w:t>
            </w:r>
            <w:r>
              <w:rPr>
                <w:color w:val="231F20"/>
                <w:spacing w:val="-5"/>
                <w:sz w:val="14"/>
              </w:rPr>
              <w:t xml:space="preserve"> </w:t>
            </w:r>
            <w:r>
              <w:rPr>
                <w:color w:val="231F20"/>
                <w:sz w:val="14"/>
              </w:rPr>
              <w:t>изражавању;</w:t>
            </w:r>
          </w:p>
        </w:tc>
        <w:tc>
          <w:tcPr>
            <w:tcW w:w="2834" w:type="dxa"/>
          </w:tcPr>
          <w:p w:rsidR="00041039" w:rsidRDefault="001B26CB">
            <w:pPr>
              <w:pStyle w:val="TableParagraph"/>
              <w:tabs>
                <w:tab w:val="left" w:pos="158"/>
              </w:tabs>
              <w:spacing w:before="9" w:line="166" w:lineRule="exact"/>
              <w:ind w:left="157" w:hanging="100"/>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tabs>
                <w:tab w:val="left" w:pos="158"/>
              </w:tabs>
              <w:spacing w:line="160" w:lineRule="exact"/>
              <w:ind w:left="157" w:hanging="100"/>
              <w:rPr>
                <w:sz w:val="14"/>
              </w:rPr>
            </w:pPr>
            <w:r>
              <w:rPr>
                <w:color w:val="231F20"/>
                <w:sz w:val="14"/>
              </w:rPr>
              <w:t>Стилске</w:t>
            </w:r>
            <w:r>
              <w:rPr>
                <w:color w:val="231F20"/>
                <w:spacing w:val="-11"/>
                <w:sz w:val="14"/>
              </w:rPr>
              <w:t xml:space="preserve"> </w:t>
            </w:r>
            <w:r>
              <w:rPr>
                <w:color w:val="231F20"/>
                <w:sz w:val="14"/>
              </w:rPr>
              <w:t>вежбе.</w:t>
            </w:r>
          </w:p>
          <w:p w:rsidR="00041039" w:rsidRDefault="001B26CB">
            <w:pPr>
              <w:pStyle w:val="TableParagraph"/>
              <w:tabs>
                <w:tab w:val="left" w:pos="158"/>
              </w:tabs>
              <w:spacing w:line="160" w:lineRule="exact"/>
              <w:ind w:left="157" w:hanging="100"/>
              <w:rPr>
                <w:sz w:val="14"/>
              </w:rPr>
            </w:pPr>
            <w:r>
              <w:rPr>
                <w:color w:val="231F20"/>
                <w:sz w:val="14"/>
              </w:rPr>
              <w:t>Домаћи</w:t>
            </w:r>
            <w:r>
              <w:rPr>
                <w:color w:val="231F20"/>
                <w:spacing w:val="-12"/>
                <w:sz w:val="14"/>
              </w:rPr>
              <w:t xml:space="preserve"> </w:t>
            </w:r>
            <w:r>
              <w:rPr>
                <w:color w:val="231F20"/>
                <w:sz w:val="14"/>
              </w:rPr>
              <w:t>задаци.</w:t>
            </w:r>
          </w:p>
          <w:p w:rsidR="00041039" w:rsidRDefault="001B26CB">
            <w:pPr>
              <w:pStyle w:val="TableParagraph"/>
              <w:tabs>
                <w:tab w:val="left" w:pos="158"/>
              </w:tabs>
              <w:spacing w:line="160" w:lineRule="exact"/>
              <w:ind w:left="157" w:hanging="100"/>
              <w:rPr>
                <w:sz w:val="14"/>
              </w:rPr>
            </w:pPr>
            <w:r>
              <w:rPr>
                <w:color w:val="231F20"/>
                <w:sz w:val="14"/>
              </w:rPr>
              <w:t>Говорне</w:t>
            </w:r>
            <w:r>
              <w:rPr>
                <w:color w:val="231F20"/>
                <w:spacing w:val="-19"/>
                <w:sz w:val="14"/>
              </w:rPr>
              <w:t xml:space="preserve"> </w:t>
            </w:r>
            <w:r>
              <w:rPr>
                <w:color w:val="231F20"/>
                <w:sz w:val="14"/>
              </w:rPr>
              <w:t>вежбе.</w:t>
            </w:r>
          </w:p>
          <w:p w:rsidR="00041039" w:rsidRDefault="001B26CB">
            <w:pPr>
              <w:pStyle w:val="TableParagraph"/>
              <w:tabs>
                <w:tab w:val="left" w:pos="158"/>
              </w:tabs>
              <w:spacing w:line="166" w:lineRule="exact"/>
              <w:ind w:left="157" w:hanging="100"/>
              <w:rPr>
                <w:sz w:val="14"/>
              </w:rPr>
            </w:pPr>
            <w:r>
              <w:rPr>
                <w:color w:val="231F20"/>
                <w:sz w:val="14"/>
              </w:rPr>
              <w:t>Школски писмени задаци 4 x 2 +</w:t>
            </w:r>
            <w:r>
              <w:rPr>
                <w:color w:val="231F20"/>
                <w:spacing w:val="-10"/>
                <w:sz w:val="14"/>
              </w:rPr>
              <w:t xml:space="preserve"> </w:t>
            </w:r>
            <w:r>
              <w:rPr>
                <w:color w:val="231F20"/>
                <w:sz w:val="14"/>
              </w:rPr>
              <w:t>2.</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96</w:t>
      </w:r>
      <w:r>
        <w:rPr>
          <w:b/>
          <w:color w:val="231F20"/>
          <w:spacing w:val="-1"/>
          <w:sz w:val="14"/>
        </w:rPr>
        <w:t xml:space="preserve"> </w:t>
      </w:r>
      <w:r>
        <w:rPr>
          <w:b/>
          <w:color w:val="231F20"/>
          <w:sz w:val="14"/>
        </w:rPr>
        <w:t>часова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880"/>
        </w:trPr>
        <w:tc>
          <w:tcPr>
            <w:tcW w:w="1304" w:type="dxa"/>
          </w:tcPr>
          <w:p w:rsidR="00041039" w:rsidRDefault="001B26CB">
            <w:pPr>
              <w:pStyle w:val="TableParagraph"/>
              <w:spacing w:before="18"/>
              <w:ind w:left="5" w:right="65"/>
              <w:jc w:val="center"/>
              <w:rPr>
                <w:sz w:val="14"/>
              </w:rPr>
            </w:pPr>
            <w:r>
              <w:rPr>
                <w:color w:val="231F20"/>
                <w:sz w:val="14"/>
              </w:rPr>
              <w:t>Савремена поезија</w:t>
            </w:r>
          </w:p>
        </w:tc>
        <w:tc>
          <w:tcPr>
            <w:tcW w:w="1587" w:type="dxa"/>
          </w:tcPr>
          <w:p w:rsidR="00041039" w:rsidRDefault="001B26CB">
            <w:pPr>
              <w:pStyle w:val="TableParagraph"/>
              <w:tabs>
                <w:tab w:val="left" w:pos="157"/>
              </w:tabs>
              <w:spacing w:before="8"/>
              <w:ind w:right="52" w:hanging="100"/>
              <w:rPr>
                <w:sz w:val="14"/>
              </w:rPr>
            </w:pPr>
            <w:r>
              <w:rPr>
                <w:color w:val="231F20"/>
                <w:sz w:val="14"/>
              </w:rPr>
              <w:t>Упознавање са</w:t>
            </w:r>
            <w:r>
              <w:rPr>
                <w:color w:val="231F20"/>
                <w:spacing w:val="-24"/>
                <w:sz w:val="14"/>
              </w:rPr>
              <w:t xml:space="preserve"> </w:t>
            </w:r>
            <w:r>
              <w:rPr>
                <w:color w:val="231F20"/>
                <w:sz w:val="14"/>
              </w:rPr>
              <w:t>одлика­ ма савремене поезије, њеним представници­ ма и</w:t>
            </w:r>
            <w:r>
              <w:rPr>
                <w:color w:val="231F20"/>
                <w:spacing w:val="-2"/>
                <w:sz w:val="14"/>
              </w:rPr>
              <w:t xml:space="preserve"> </w:t>
            </w:r>
            <w:r>
              <w:rPr>
                <w:color w:val="231F20"/>
                <w:sz w:val="14"/>
              </w:rPr>
              <w:t>делима.</w:t>
            </w:r>
          </w:p>
        </w:tc>
        <w:tc>
          <w:tcPr>
            <w:tcW w:w="2551" w:type="dxa"/>
          </w:tcPr>
          <w:p w:rsidR="00041039" w:rsidRDefault="001B26CB">
            <w:pPr>
              <w:pStyle w:val="TableParagraph"/>
              <w:tabs>
                <w:tab w:val="left" w:pos="157"/>
              </w:tabs>
              <w:spacing w:before="8" w:line="166" w:lineRule="exact"/>
              <w:ind w:hanging="99"/>
              <w:rPr>
                <w:sz w:val="14"/>
              </w:rPr>
            </w:pPr>
            <w:r>
              <w:rPr>
                <w:color w:val="231F20"/>
                <w:sz w:val="14"/>
              </w:rPr>
              <w:t>наведе обележја савремене</w:t>
            </w:r>
            <w:r>
              <w:rPr>
                <w:color w:val="231F20"/>
                <w:spacing w:val="-3"/>
                <w:sz w:val="14"/>
              </w:rPr>
              <w:t xml:space="preserve"> </w:t>
            </w:r>
            <w:r>
              <w:rPr>
                <w:color w:val="231F20"/>
                <w:sz w:val="14"/>
              </w:rPr>
              <w:t>поезије;</w:t>
            </w:r>
          </w:p>
          <w:p w:rsidR="00041039" w:rsidRDefault="001B26CB">
            <w:pPr>
              <w:pStyle w:val="TableParagraph"/>
              <w:tabs>
                <w:tab w:val="left" w:pos="157"/>
              </w:tabs>
              <w:spacing w:line="237" w:lineRule="auto"/>
              <w:ind w:right="166" w:hanging="99"/>
              <w:rPr>
                <w:sz w:val="14"/>
              </w:rPr>
            </w:pPr>
            <w:r>
              <w:rPr>
                <w:color w:val="231F20"/>
                <w:sz w:val="14"/>
              </w:rPr>
              <w:t>тумачи песничка дела износећи доживљаје, запажања и</w:t>
            </w:r>
            <w:r>
              <w:rPr>
                <w:color w:val="231F20"/>
                <w:spacing w:val="-18"/>
                <w:sz w:val="14"/>
              </w:rPr>
              <w:t xml:space="preserve"> </w:t>
            </w:r>
            <w:r>
              <w:rPr>
                <w:color w:val="231F20"/>
                <w:sz w:val="14"/>
              </w:rPr>
              <w:t>образложења о</w:t>
            </w:r>
            <w:r>
              <w:rPr>
                <w:color w:val="231F20"/>
                <w:spacing w:val="-1"/>
                <w:sz w:val="14"/>
              </w:rPr>
              <w:t xml:space="preserve"> </w:t>
            </w:r>
            <w:r>
              <w:rPr>
                <w:color w:val="231F20"/>
                <w:sz w:val="14"/>
              </w:rPr>
              <w:t>њима;</w:t>
            </w:r>
          </w:p>
          <w:p w:rsidR="00041039" w:rsidRDefault="001B26CB">
            <w:pPr>
              <w:pStyle w:val="TableParagraph"/>
              <w:tabs>
                <w:tab w:val="left" w:pos="157"/>
              </w:tabs>
              <w:spacing w:line="237" w:lineRule="auto"/>
              <w:ind w:right="79" w:hanging="99"/>
              <w:rPr>
                <w:sz w:val="14"/>
              </w:rPr>
            </w:pPr>
            <w:r>
              <w:rPr>
                <w:color w:val="231F20"/>
                <w:sz w:val="14"/>
              </w:rPr>
              <w:t>изведе закључак о карактеристикама песничког језика, мотивима и форми</w:t>
            </w:r>
            <w:r>
              <w:rPr>
                <w:color w:val="231F20"/>
                <w:spacing w:val="-16"/>
                <w:sz w:val="14"/>
              </w:rPr>
              <w:t xml:space="preserve"> </w:t>
            </w:r>
            <w:r>
              <w:rPr>
                <w:color w:val="231F20"/>
                <w:sz w:val="14"/>
              </w:rPr>
              <w:t>у обрађеним песмама;</w:t>
            </w:r>
          </w:p>
        </w:tc>
        <w:tc>
          <w:tcPr>
            <w:tcW w:w="2834" w:type="dxa"/>
          </w:tcPr>
          <w:p w:rsidR="00041039" w:rsidRDefault="001B26CB">
            <w:pPr>
              <w:pStyle w:val="TableParagraph"/>
              <w:tabs>
                <w:tab w:val="left" w:pos="157"/>
              </w:tabs>
              <w:spacing w:before="8" w:line="166" w:lineRule="exact"/>
              <w:ind w:hanging="99"/>
              <w:rPr>
                <w:sz w:val="14"/>
              </w:rPr>
            </w:pPr>
            <w:r>
              <w:rPr>
                <w:color w:val="231F20"/>
                <w:sz w:val="14"/>
              </w:rPr>
              <w:t>Одлике савремене</w:t>
            </w:r>
            <w:r>
              <w:rPr>
                <w:color w:val="231F20"/>
                <w:spacing w:val="-1"/>
                <w:sz w:val="14"/>
              </w:rPr>
              <w:t xml:space="preserve"> </w:t>
            </w:r>
            <w:r>
              <w:rPr>
                <w:color w:val="231F20"/>
                <w:sz w:val="14"/>
              </w:rPr>
              <w:t>поезије.</w:t>
            </w:r>
          </w:p>
          <w:p w:rsidR="00041039" w:rsidRDefault="001B26CB">
            <w:pPr>
              <w:pStyle w:val="TableParagraph"/>
              <w:tabs>
                <w:tab w:val="left" w:pos="157"/>
              </w:tabs>
              <w:spacing w:line="237" w:lineRule="auto"/>
              <w:ind w:right="156" w:hanging="99"/>
              <w:rPr>
                <w:sz w:val="14"/>
              </w:rPr>
            </w:pPr>
            <w:r>
              <w:rPr>
                <w:color w:val="231F20"/>
                <w:sz w:val="14"/>
              </w:rPr>
              <w:t>Избор из светске лирике 20. века</w:t>
            </w:r>
            <w:r>
              <w:rPr>
                <w:color w:val="231F20"/>
                <w:spacing w:val="-23"/>
                <w:sz w:val="14"/>
              </w:rPr>
              <w:t xml:space="preserve"> </w:t>
            </w:r>
            <w:r>
              <w:rPr>
                <w:color w:val="231F20"/>
                <w:sz w:val="14"/>
              </w:rPr>
              <w:t>(Превер, Ахматова, Цветајева,</w:t>
            </w:r>
            <w:r>
              <w:rPr>
                <w:color w:val="231F20"/>
                <w:spacing w:val="-3"/>
                <w:sz w:val="14"/>
              </w:rPr>
              <w:t xml:space="preserve"> </w:t>
            </w:r>
            <w:r>
              <w:rPr>
                <w:color w:val="231F20"/>
                <w:sz w:val="14"/>
              </w:rPr>
              <w:t>Бродски).</w:t>
            </w:r>
          </w:p>
          <w:p w:rsidR="00041039" w:rsidRDefault="001B26CB">
            <w:pPr>
              <w:pStyle w:val="TableParagraph"/>
              <w:tabs>
                <w:tab w:val="left" w:pos="157"/>
              </w:tabs>
              <w:spacing w:line="160" w:lineRule="exact"/>
              <w:ind w:hanging="99"/>
              <w:rPr>
                <w:sz w:val="14"/>
              </w:rPr>
            </w:pPr>
            <w:r>
              <w:rPr>
                <w:color w:val="231F20"/>
                <w:sz w:val="14"/>
              </w:rPr>
              <w:t>Васко Попа: „Каленић”,</w:t>
            </w:r>
            <w:r>
              <w:rPr>
                <w:color w:val="231F20"/>
                <w:spacing w:val="-6"/>
                <w:sz w:val="14"/>
              </w:rPr>
              <w:t xml:space="preserve"> </w:t>
            </w:r>
            <w:r>
              <w:rPr>
                <w:color w:val="231F20"/>
                <w:sz w:val="14"/>
              </w:rPr>
              <w:t>„Манасија”,</w:t>
            </w:r>
          </w:p>
          <w:p w:rsidR="00041039" w:rsidRDefault="001B26CB">
            <w:pPr>
              <w:pStyle w:val="TableParagraph"/>
              <w:spacing w:line="155" w:lineRule="exact"/>
              <w:rPr>
                <w:sz w:val="14"/>
              </w:rPr>
            </w:pPr>
            <w:r>
              <w:rPr>
                <w:color w:val="231F20"/>
                <w:sz w:val="14"/>
              </w:rPr>
              <w:t>„Кора” (избор из циклуса Списак).</w:t>
            </w:r>
          </w:p>
          <w:p w:rsidR="00041039" w:rsidRDefault="001B26CB">
            <w:pPr>
              <w:pStyle w:val="TableParagraph"/>
              <w:tabs>
                <w:tab w:val="left" w:pos="157"/>
              </w:tabs>
              <w:spacing w:line="165" w:lineRule="exact"/>
              <w:ind w:hanging="99"/>
              <w:rPr>
                <w:sz w:val="14"/>
              </w:rPr>
            </w:pPr>
            <w:r>
              <w:rPr>
                <w:color w:val="231F20"/>
                <w:sz w:val="14"/>
              </w:rPr>
              <w:t>Миодраг Павловић: „Научите</w:t>
            </w:r>
            <w:r>
              <w:rPr>
                <w:color w:val="231F20"/>
                <w:spacing w:val="-6"/>
                <w:sz w:val="14"/>
              </w:rPr>
              <w:t xml:space="preserve"> </w:t>
            </w:r>
            <w:r>
              <w:rPr>
                <w:color w:val="231F20"/>
                <w:sz w:val="14"/>
              </w:rPr>
              <w:t>пјесан”,</w:t>
            </w:r>
          </w:p>
          <w:p w:rsidR="00041039" w:rsidRDefault="001B26CB">
            <w:pPr>
              <w:pStyle w:val="TableParagraph"/>
              <w:spacing w:line="155" w:lineRule="exact"/>
              <w:rPr>
                <w:sz w:val="14"/>
              </w:rPr>
            </w:pPr>
            <w:r>
              <w:rPr>
                <w:color w:val="231F20"/>
                <w:sz w:val="14"/>
              </w:rPr>
              <w:t>„Реквијем” (или две песме по избору).</w:t>
            </w:r>
          </w:p>
          <w:p w:rsidR="00041039" w:rsidRDefault="001B26CB">
            <w:pPr>
              <w:pStyle w:val="TableParagraph"/>
              <w:tabs>
                <w:tab w:val="left" w:pos="157"/>
              </w:tabs>
              <w:spacing w:line="237" w:lineRule="auto"/>
              <w:ind w:right="258" w:hanging="99"/>
              <w:rPr>
                <w:sz w:val="14"/>
              </w:rPr>
            </w:pPr>
            <w:r>
              <w:rPr>
                <w:color w:val="231F20"/>
                <w:sz w:val="14"/>
              </w:rPr>
              <w:t xml:space="preserve">Десанка Максимовић: </w:t>
            </w:r>
            <w:r>
              <w:rPr>
                <w:color w:val="231F20"/>
                <w:spacing w:val="-3"/>
                <w:sz w:val="14"/>
              </w:rPr>
              <w:t xml:space="preserve">„Тражим </w:t>
            </w:r>
            <w:r>
              <w:rPr>
                <w:color w:val="231F20"/>
                <w:sz w:val="14"/>
              </w:rPr>
              <w:t>помило­ вање”</w:t>
            </w:r>
            <w:r>
              <w:rPr>
                <w:color w:val="231F20"/>
                <w:spacing w:val="-1"/>
                <w:sz w:val="14"/>
              </w:rPr>
              <w:t xml:space="preserve"> </w:t>
            </w:r>
            <w:r>
              <w:rPr>
                <w:color w:val="231F20"/>
                <w:sz w:val="14"/>
              </w:rPr>
              <w:t>(избор).</w:t>
            </w:r>
          </w:p>
          <w:p w:rsidR="00041039" w:rsidRDefault="001B26CB">
            <w:pPr>
              <w:pStyle w:val="TableParagraph"/>
              <w:tabs>
                <w:tab w:val="left" w:pos="157"/>
              </w:tabs>
              <w:spacing w:line="160" w:lineRule="exact"/>
              <w:ind w:right="540" w:hanging="99"/>
              <w:rPr>
                <w:sz w:val="14"/>
              </w:rPr>
            </w:pPr>
            <w:r>
              <w:rPr>
                <w:color w:val="231F20"/>
                <w:spacing w:val="-2"/>
                <w:sz w:val="14"/>
              </w:rPr>
              <w:t xml:space="preserve">Бранко </w:t>
            </w:r>
            <w:r>
              <w:rPr>
                <w:color w:val="231F20"/>
                <w:sz w:val="14"/>
              </w:rPr>
              <w:t>Миљковмћ: „Поезију ће сви писати”.</w:t>
            </w:r>
          </w:p>
          <w:p w:rsidR="00041039" w:rsidRDefault="001B26CB">
            <w:pPr>
              <w:pStyle w:val="TableParagraph"/>
              <w:tabs>
                <w:tab w:val="left" w:pos="157"/>
              </w:tabs>
              <w:spacing w:line="160" w:lineRule="exact"/>
              <w:ind w:right="1009" w:hanging="99"/>
              <w:rPr>
                <w:sz w:val="14"/>
              </w:rPr>
            </w:pPr>
            <w:r>
              <w:rPr>
                <w:color w:val="231F20"/>
                <w:sz w:val="14"/>
              </w:rPr>
              <w:t>Стеван Раичковић:</w:t>
            </w:r>
            <w:r>
              <w:rPr>
                <w:color w:val="231F20"/>
                <w:spacing w:val="-17"/>
                <w:sz w:val="14"/>
              </w:rPr>
              <w:t xml:space="preserve"> </w:t>
            </w:r>
            <w:r>
              <w:rPr>
                <w:color w:val="231F20"/>
                <w:sz w:val="14"/>
              </w:rPr>
              <w:t>„Камена успаванка”(избор).</w:t>
            </w:r>
          </w:p>
        </w:tc>
        <w:tc>
          <w:tcPr>
            <w:tcW w:w="2267" w:type="dxa"/>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line="160" w:lineRule="exact"/>
              <w:ind w:left="157" w:hanging="99"/>
              <w:rPr>
                <w:b/>
                <w:sz w:val="14"/>
              </w:rPr>
            </w:pPr>
            <w:r>
              <w:rPr>
                <w:color w:val="231F20"/>
                <w:sz w:val="14"/>
              </w:rPr>
              <w:t xml:space="preserve">теоријска настава </w:t>
            </w:r>
            <w:r>
              <w:rPr>
                <w:b/>
                <w:color w:val="231F20"/>
                <w:sz w:val="14"/>
              </w:rPr>
              <w:t>(96</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7" w:lineRule="auto"/>
              <w:ind w:left="157"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tabs>
                <w:tab w:val="left" w:pos="158"/>
              </w:tabs>
              <w:spacing w:line="160" w:lineRule="exact"/>
              <w:ind w:left="157" w:right="89" w:hanging="99"/>
              <w:rPr>
                <w:sz w:val="14"/>
              </w:rPr>
            </w:pPr>
            <w:r>
              <w:rPr>
                <w:color w:val="231F20"/>
                <w:sz w:val="14"/>
              </w:rPr>
              <w:t>Могућност обраде савремене драме кроз повезивање са другим медијима ­ драмски текст као по­ зоришна представа, радио драма или ТВ ­</w:t>
            </w:r>
            <w:r>
              <w:rPr>
                <w:color w:val="231F20"/>
                <w:spacing w:val="-2"/>
                <w:sz w:val="14"/>
              </w:rPr>
              <w:t xml:space="preserve"> </w:t>
            </w:r>
            <w:r>
              <w:rPr>
                <w:color w:val="231F20"/>
                <w:sz w:val="14"/>
              </w:rPr>
              <w:t>драма.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400"/>
        </w:trPr>
        <w:tc>
          <w:tcPr>
            <w:tcW w:w="1304" w:type="dxa"/>
          </w:tcPr>
          <w:p w:rsidR="00041039" w:rsidRDefault="001B26CB">
            <w:pPr>
              <w:pStyle w:val="TableParagraph"/>
              <w:spacing w:before="18"/>
              <w:ind w:left="56"/>
              <w:rPr>
                <w:sz w:val="14"/>
              </w:rPr>
            </w:pPr>
            <w:r>
              <w:rPr>
                <w:color w:val="231F20"/>
                <w:sz w:val="14"/>
              </w:rPr>
              <w:lastRenderedPageBreak/>
              <w:t>Савремена проза</w:t>
            </w:r>
          </w:p>
        </w:tc>
        <w:tc>
          <w:tcPr>
            <w:tcW w:w="1587" w:type="dxa"/>
          </w:tcPr>
          <w:p w:rsidR="00041039" w:rsidRDefault="001B26CB">
            <w:pPr>
              <w:pStyle w:val="TableParagraph"/>
              <w:tabs>
                <w:tab w:val="left" w:pos="157"/>
              </w:tabs>
              <w:spacing w:before="8"/>
              <w:ind w:right="69" w:hanging="100"/>
              <w:rPr>
                <w:sz w:val="14"/>
              </w:rPr>
            </w:pPr>
            <w:r>
              <w:rPr>
                <w:color w:val="231F20"/>
                <w:sz w:val="14"/>
              </w:rPr>
              <w:t>Упознавање са књижевнотеоријским појмовима, специфи­ чностима савремене прозе, њеним п</w:t>
            </w:r>
            <w:r>
              <w:rPr>
                <w:color w:val="231F20"/>
                <w:sz w:val="14"/>
              </w:rPr>
              <w:t>редста­ вницима и</w:t>
            </w:r>
            <w:r>
              <w:rPr>
                <w:color w:val="231F20"/>
                <w:spacing w:val="-3"/>
                <w:sz w:val="14"/>
              </w:rPr>
              <w:t xml:space="preserve"> </w:t>
            </w:r>
            <w:r>
              <w:rPr>
                <w:color w:val="231F20"/>
                <w:sz w:val="14"/>
              </w:rPr>
              <w:t>делима.</w:t>
            </w:r>
          </w:p>
        </w:tc>
        <w:tc>
          <w:tcPr>
            <w:tcW w:w="2551" w:type="dxa"/>
          </w:tcPr>
          <w:p w:rsidR="00041039" w:rsidRDefault="001B26CB">
            <w:pPr>
              <w:pStyle w:val="TableParagraph"/>
              <w:tabs>
                <w:tab w:val="left" w:pos="157"/>
              </w:tabs>
              <w:spacing w:before="8"/>
              <w:ind w:right="64" w:hanging="99"/>
              <w:rPr>
                <w:sz w:val="14"/>
              </w:rPr>
            </w:pPr>
            <w:r>
              <w:rPr>
                <w:color w:val="231F20"/>
                <w:sz w:val="14"/>
              </w:rPr>
              <w:t>именује различите прозне врсте и при­ поведне</w:t>
            </w:r>
            <w:r>
              <w:rPr>
                <w:color w:val="231F20"/>
                <w:spacing w:val="-1"/>
                <w:sz w:val="14"/>
              </w:rPr>
              <w:t xml:space="preserve"> </w:t>
            </w:r>
            <w:r>
              <w:rPr>
                <w:color w:val="231F20"/>
                <w:sz w:val="14"/>
              </w:rPr>
              <w:t>поступке;</w:t>
            </w:r>
          </w:p>
          <w:p w:rsidR="00041039" w:rsidRDefault="001B26CB">
            <w:pPr>
              <w:pStyle w:val="TableParagraph"/>
              <w:tabs>
                <w:tab w:val="left" w:pos="157"/>
              </w:tabs>
              <w:spacing w:line="160" w:lineRule="exact"/>
              <w:ind w:right="400" w:hanging="99"/>
              <w:rPr>
                <w:sz w:val="14"/>
              </w:rPr>
            </w:pPr>
            <w:r>
              <w:rPr>
                <w:color w:val="231F20"/>
                <w:sz w:val="14"/>
              </w:rPr>
              <w:t>тумачи дело у складу са</w:t>
            </w:r>
            <w:r>
              <w:rPr>
                <w:color w:val="231F20"/>
                <w:spacing w:val="-16"/>
                <w:sz w:val="14"/>
              </w:rPr>
              <w:t xml:space="preserve"> </w:t>
            </w:r>
            <w:r>
              <w:rPr>
                <w:color w:val="231F20"/>
                <w:sz w:val="14"/>
              </w:rPr>
              <w:t>његовим жанровским особеностима;</w:t>
            </w:r>
          </w:p>
          <w:p w:rsidR="00041039" w:rsidRDefault="001B26CB">
            <w:pPr>
              <w:pStyle w:val="TableParagraph"/>
              <w:tabs>
                <w:tab w:val="left" w:pos="157"/>
              </w:tabs>
              <w:spacing w:line="160" w:lineRule="exact"/>
              <w:ind w:right="394" w:hanging="99"/>
              <w:rPr>
                <w:sz w:val="14"/>
              </w:rPr>
            </w:pPr>
            <w:r>
              <w:rPr>
                <w:color w:val="231F20"/>
                <w:sz w:val="14"/>
              </w:rPr>
              <w:t xml:space="preserve">интегрише лично искуство </w:t>
            </w:r>
            <w:r>
              <w:rPr>
                <w:color w:val="231F20"/>
                <w:spacing w:val="-3"/>
                <w:sz w:val="14"/>
              </w:rPr>
              <w:t xml:space="preserve">током </w:t>
            </w:r>
            <w:r>
              <w:rPr>
                <w:color w:val="231F20"/>
                <w:sz w:val="14"/>
              </w:rPr>
              <w:t>читања и тумачења</w:t>
            </w:r>
            <w:r>
              <w:rPr>
                <w:color w:val="231F20"/>
                <w:spacing w:val="-3"/>
                <w:sz w:val="14"/>
              </w:rPr>
              <w:t xml:space="preserve"> </w:t>
            </w:r>
            <w:r>
              <w:rPr>
                <w:color w:val="231F20"/>
                <w:sz w:val="14"/>
              </w:rPr>
              <w:t>дела;</w:t>
            </w:r>
          </w:p>
          <w:p w:rsidR="00041039" w:rsidRDefault="001B26CB">
            <w:pPr>
              <w:pStyle w:val="TableParagraph"/>
              <w:tabs>
                <w:tab w:val="left" w:pos="157"/>
              </w:tabs>
              <w:spacing w:line="159" w:lineRule="exact"/>
              <w:ind w:hanging="99"/>
              <w:rPr>
                <w:sz w:val="14"/>
              </w:rPr>
            </w:pPr>
            <w:r>
              <w:rPr>
                <w:color w:val="231F20"/>
                <w:sz w:val="14"/>
              </w:rPr>
              <w:t>вреднује дело износећи</w:t>
            </w:r>
            <w:r>
              <w:rPr>
                <w:color w:val="231F20"/>
                <w:spacing w:val="-2"/>
                <w:sz w:val="14"/>
              </w:rPr>
              <w:t xml:space="preserve"> </w:t>
            </w:r>
            <w:r>
              <w:rPr>
                <w:color w:val="231F20"/>
                <w:sz w:val="14"/>
              </w:rPr>
              <w:t>аргументе;</w:t>
            </w:r>
          </w:p>
        </w:tc>
        <w:tc>
          <w:tcPr>
            <w:tcW w:w="2834" w:type="dxa"/>
          </w:tcPr>
          <w:p w:rsidR="00041039" w:rsidRDefault="001B26CB">
            <w:pPr>
              <w:pStyle w:val="TableParagraph"/>
              <w:tabs>
                <w:tab w:val="left" w:pos="157"/>
              </w:tabs>
              <w:spacing w:before="8"/>
              <w:ind w:right="271" w:hanging="99"/>
              <w:rPr>
                <w:sz w:val="14"/>
              </w:rPr>
            </w:pPr>
            <w:r>
              <w:rPr>
                <w:color w:val="231F20"/>
                <w:sz w:val="14"/>
              </w:rPr>
              <w:t>Структурни чиниоци прозног књижевноуметничког дела и</w:t>
            </w:r>
            <w:r>
              <w:rPr>
                <w:color w:val="231F20"/>
                <w:spacing w:val="-25"/>
                <w:sz w:val="14"/>
              </w:rPr>
              <w:t xml:space="preserve"> </w:t>
            </w:r>
            <w:r>
              <w:rPr>
                <w:color w:val="231F20"/>
                <w:sz w:val="14"/>
              </w:rPr>
              <w:t>типологија романа.</w:t>
            </w:r>
          </w:p>
          <w:p w:rsidR="00041039" w:rsidRDefault="001B26CB">
            <w:pPr>
              <w:pStyle w:val="TableParagraph"/>
              <w:tabs>
                <w:tab w:val="left" w:pos="157"/>
              </w:tabs>
              <w:spacing w:line="152" w:lineRule="exact"/>
              <w:ind w:hanging="99"/>
              <w:rPr>
                <w:sz w:val="14"/>
              </w:rPr>
            </w:pPr>
            <w:r>
              <w:rPr>
                <w:color w:val="231F20"/>
                <w:sz w:val="14"/>
              </w:rPr>
              <w:t>Есеј, Исидора Секулић: „О</w:t>
            </w:r>
            <w:r>
              <w:rPr>
                <w:color w:val="231F20"/>
                <w:spacing w:val="-9"/>
                <w:sz w:val="14"/>
              </w:rPr>
              <w:t xml:space="preserve"> </w:t>
            </w:r>
            <w:r>
              <w:rPr>
                <w:color w:val="231F20"/>
                <w:sz w:val="14"/>
              </w:rPr>
              <w:t>култури”.</w:t>
            </w:r>
          </w:p>
          <w:p w:rsidR="00041039" w:rsidRDefault="001B26CB">
            <w:pPr>
              <w:pStyle w:val="TableParagraph"/>
              <w:tabs>
                <w:tab w:val="left" w:pos="157"/>
              </w:tabs>
              <w:spacing w:line="237" w:lineRule="auto"/>
              <w:ind w:right="290" w:hanging="99"/>
              <w:rPr>
                <w:sz w:val="14"/>
              </w:rPr>
            </w:pPr>
            <w:r>
              <w:rPr>
                <w:color w:val="231F20"/>
                <w:sz w:val="14"/>
              </w:rPr>
              <w:t xml:space="preserve">Иво Андрић: „Разговор с </w:t>
            </w:r>
            <w:r>
              <w:rPr>
                <w:color w:val="231F20"/>
                <w:spacing w:val="-3"/>
                <w:sz w:val="14"/>
              </w:rPr>
              <w:t xml:space="preserve">Гојом” </w:t>
            </w:r>
            <w:r>
              <w:rPr>
                <w:color w:val="231F20"/>
                <w:sz w:val="14"/>
              </w:rPr>
              <w:t>или „О причи и</w:t>
            </w:r>
            <w:r>
              <w:rPr>
                <w:color w:val="231F20"/>
                <w:spacing w:val="-3"/>
                <w:sz w:val="14"/>
              </w:rPr>
              <w:t xml:space="preserve"> </w:t>
            </w:r>
            <w:r>
              <w:rPr>
                <w:color w:val="231F20"/>
                <w:sz w:val="14"/>
              </w:rPr>
              <w:t>причању”.</w:t>
            </w:r>
          </w:p>
          <w:p w:rsidR="00041039" w:rsidRDefault="001B26CB">
            <w:pPr>
              <w:pStyle w:val="TableParagraph"/>
              <w:tabs>
                <w:tab w:val="left" w:pos="157"/>
              </w:tabs>
              <w:spacing w:line="160" w:lineRule="exact"/>
              <w:ind w:right="529" w:hanging="99"/>
              <w:rPr>
                <w:sz w:val="14"/>
              </w:rPr>
            </w:pPr>
            <w:r>
              <w:rPr>
                <w:color w:val="231F20"/>
                <w:sz w:val="14"/>
              </w:rPr>
              <w:t xml:space="preserve">Приповетка, </w:t>
            </w:r>
            <w:r>
              <w:rPr>
                <w:color w:val="231F20"/>
                <w:spacing w:val="-2"/>
                <w:sz w:val="14"/>
              </w:rPr>
              <w:t xml:space="preserve">Бранко </w:t>
            </w:r>
            <w:r>
              <w:rPr>
                <w:color w:val="231F20"/>
                <w:sz w:val="14"/>
              </w:rPr>
              <w:t>Ћопић: „Башта сљезове боје”</w:t>
            </w:r>
            <w:r>
              <w:rPr>
                <w:color w:val="231F20"/>
                <w:spacing w:val="-1"/>
                <w:sz w:val="14"/>
              </w:rPr>
              <w:t xml:space="preserve"> </w:t>
            </w:r>
            <w:r>
              <w:rPr>
                <w:color w:val="231F20"/>
                <w:sz w:val="14"/>
              </w:rPr>
              <w:t>(избор).</w:t>
            </w:r>
          </w:p>
          <w:p w:rsidR="00041039" w:rsidRDefault="001B26CB">
            <w:pPr>
              <w:pStyle w:val="TableParagraph"/>
              <w:tabs>
                <w:tab w:val="left" w:pos="157"/>
              </w:tabs>
              <w:spacing w:line="153" w:lineRule="exact"/>
              <w:ind w:hanging="99"/>
              <w:rPr>
                <w:sz w:val="14"/>
              </w:rPr>
            </w:pPr>
            <w:r>
              <w:rPr>
                <w:color w:val="231F20"/>
                <w:sz w:val="14"/>
              </w:rPr>
              <w:t>Данило Киш:„Енциклопедија</w:t>
            </w:r>
            <w:r>
              <w:rPr>
                <w:color w:val="231F20"/>
                <w:spacing w:val="-3"/>
                <w:sz w:val="14"/>
              </w:rPr>
              <w:t xml:space="preserve"> </w:t>
            </w:r>
            <w:r>
              <w:rPr>
                <w:color w:val="231F20"/>
                <w:sz w:val="14"/>
              </w:rPr>
              <w:t>мртвих”.</w:t>
            </w:r>
          </w:p>
          <w:p w:rsidR="00041039" w:rsidRDefault="001B26CB">
            <w:pPr>
              <w:pStyle w:val="TableParagraph"/>
              <w:tabs>
                <w:tab w:val="left" w:pos="157"/>
              </w:tabs>
              <w:spacing w:line="160" w:lineRule="exact"/>
              <w:ind w:hanging="99"/>
              <w:rPr>
                <w:sz w:val="14"/>
              </w:rPr>
            </w:pPr>
            <w:r>
              <w:rPr>
                <w:color w:val="231F20"/>
                <w:sz w:val="14"/>
              </w:rPr>
              <w:t xml:space="preserve">Борхес: </w:t>
            </w:r>
            <w:r>
              <w:rPr>
                <w:color w:val="231F20"/>
                <w:spacing w:val="-4"/>
                <w:sz w:val="14"/>
              </w:rPr>
              <w:t>„Чекање”.</w:t>
            </w:r>
          </w:p>
          <w:p w:rsidR="00041039" w:rsidRDefault="001B26CB">
            <w:pPr>
              <w:pStyle w:val="TableParagraph"/>
              <w:tabs>
                <w:tab w:val="left" w:pos="157"/>
              </w:tabs>
              <w:spacing w:line="160" w:lineRule="exact"/>
              <w:ind w:hanging="99"/>
              <w:rPr>
                <w:sz w:val="14"/>
              </w:rPr>
            </w:pPr>
            <w:r>
              <w:rPr>
                <w:color w:val="231F20"/>
                <w:sz w:val="14"/>
              </w:rPr>
              <w:t>Роман. Албер Ками:</w:t>
            </w:r>
            <w:r>
              <w:rPr>
                <w:color w:val="231F20"/>
                <w:spacing w:val="-15"/>
                <w:sz w:val="14"/>
              </w:rPr>
              <w:t xml:space="preserve"> </w:t>
            </w:r>
            <w:r>
              <w:rPr>
                <w:color w:val="231F20"/>
                <w:sz w:val="14"/>
              </w:rPr>
              <w:t>„Странац”.</w:t>
            </w:r>
          </w:p>
          <w:p w:rsidR="00041039" w:rsidRDefault="001B26CB">
            <w:pPr>
              <w:pStyle w:val="TableParagraph"/>
              <w:tabs>
                <w:tab w:val="left" w:pos="157"/>
              </w:tabs>
              <w:spacing w:line="160" w:lineRule="exact"/>
              <w:ind w:hanging="99"/>
              <w:rPr>
                <w:sz w:val="14"/>
              </w:rPr>
            </w:pPr>
            <w:r>
              <w:rPr>
                <w:color w:val="231F20"/>
                <w:sz w:val="14"/>
              </w:rPr>
              <w:t>Иво Андрић: „Проклета</w:t>
            </w:r>
            <w:r>
              <w:rPr>
                <w:color w:val="231F20"/>
                <w:spacing w:val="-17"/>
                <w:sz w:val="14"/>
              </w:rPr>
              <w:t xml:space="preserve"> </w:t>
            </w:r>
            <w:r>
              <w:rPr>
                <w:color w:val="231F20"/>
                <w:sz w:val="14"/>
              </w:rPr>
              <w:t>авлија”.</w:t>
            </w:r>
          </w:p>
          <w:p w:rsidR="00041039" w:rsidRDefault="001B26CB">
            <w:pPr>
              <w:pStyle w:val="TableParagraph"/>
              <w:tabs>
                <w:tab w:val="left" w:pos="157"/>
              </w:tabs>
              <w:spacing w:line="237" w:lineRule="auto"/>
              <w:ind w:right="107" w:hanging="99"/>
              <w:rPr>
                <w:sz w:val="14"/>
              </w:rPr>
            </w:pPr>
            <w:r>
              <w:rPr>
                <w:color w:val="231F20"/>
                <w:sz w:val="14"/>
              </w:rPr>
              <w:t>Владан Десница: „Прољећа Ивана Галеба” (одломак по избору као пример за роман­ есеј).</w:t>
            </w:r>
          </w:p>
          <w:p w:rsidR="00041039" w:rsidRDefault="001B26CB">
            <w:pPr>
              <w:pStyle w:val="TableParagraph"/>
              <w:tabs>
                <w:tab w:val="left" w:pos="157"/>
              </w:tabs>
              <w:spacing w:line="156" w:lineRule="exact"/>
              <w:ind w:hanging="99"/>
              <w:rPr>
                <w:sz w:val="14"/>
              </w:rPr>
            </w:pPr>
            <w:r>
              <w:rPr>
                <w:color w:val="231F20"/>
                <w:sz w:val="14"/>
              </w:rPr>
              <w:t>Меша Селимовић: „Дервиш и</w:t>
            </w:r>
            <w:r>
              <w:rPr>
                <w:color w:val="231F20"/>
                <w:spacing w:val="-2"/>
                <w:sz w:val="14"/>
              </w:rPr>
              <w:t xml:space="preserve"> </w:t>
            </w:r>
            <w:r>
              <w:rPr>
                <w:color w:val="231F20"/>
                <w:sz w:val="14"/>
              </w:rPr>
              <w:t>смрт”</w:t>
            </w:r>
          </w:p>
          <w:p w:rsidR="00041039" w:rsidRDefault="001B26CB">
            <w:pPr>
              <w:pStyle w:val="TableParagraph"/>
              <w:tabs>
                <w:tab w:val="left" w:pos="157"/>
              </w:tabs>
              <w:spacing w:line="160" w:lineRule="exact"/>
              <w:ind w:hanging="99"/>
              <w:rPr>
                <w:sz w:val="14"/>
              </w:rPr>
            </w:pPr>
            <w:r>
              <w:rPr>
                <w:color w:val="231F20"/>
                <w:sz w:val="14"/>
              </w:rPr>
              <w:t>Добрица Ћосић:</w:t>
            </w:r>
            <w:r>
              <w:rPr>
                <w:color w:val="231F20"/>
                <w:spacing w:val="-2"/>
                <w:sz w:val="14"/>
              </w:rPr>
              <w:t xml:space="preserve"> </w:t>
            </w:r>
            <w:r>
              <w:rPr>
                <w:color w:val="231F20"/>
                <w:sz w:val="14"/>
              </w:rPr>
              <w:t>„Корени”.</w:t>
            </w:r>
          </w:p>
          <w:p w:rsidR="00041039" w:rsidRDefault="001B26CB">
            <w:pPr>
              <w:pStyle w:val="TableParagraph"/>
              <w:tabs>
                <w:tab w:val="left" w:pos="157"/>
              </w:tabs>
              <w:spacing w:line="237" w:lineRule="auto"/>
              <w:ind w:right="339" w:hanging="99"/>
              <w:rPr>
                <w:sz w:val="14"/>
              </w:rPr>
            </w:pPr>
            <w:r>
              <w:rPr>
                <w:color w:val="231F20"/>
                <w:sz w:val="14"/>
              </w:rPr>
              <w:t>Добрица Ћосић: „Време смрти” (избо</w:t>
            </w:r>
            <w:r>
              <w:rPr>
                <w:color w:val="231F20"/>
                <w:sz w:val="14"/>
              </w:rPr>
              <w:t>р одломака).</w:t>
            </w:r>
          </w:p>
          <w:p w:rsidR="00041039" w:rsidRDefault="001B26CB">
            <w:pPr>
              <w:pStyle w:val="TableParagraph"/>
              <w:tabs>
                <w:tab w:val="left" w:pos="157"/>
              </w:tabs>
              <w:spacing w:line="160" w:lineRule="exact"/>
              <w:ind w:right="439" w:hanging="99"/>
              <w:rPr>
                <w:sz w:val="14"/>
              </w:rPr>
            </w:pPr>
            <w:r>
              <w:rPr>
                <w:color w:val="231F20"/>
                <w:sz w:val="14"/>
              </w:rPr>
              <w:t>Књижевна критика. Петар Џаџић:</w:t>
            </w:r>
            <w:r>
              <w:rPr>
                <w:color w:val="231F20"/>
                <w:spacing w:val="-11"/>
                <w:sz w:val="14"/>
              </w:rPr>
              <w:t xml:space="preserve"> </w:t>
            </w:r>
            <w:r>
              <w:rPr>
                <w:color w:val="231F20"/>
                <w:sz w:val="14"/>
              </w:rPr>
              <w:t>„О Проклетој</w:t>
            </w:r>
            <w:r>
              <w:rPr>
                <w:color w:val="231F20"/>
                <w:spacing w:val="-1"/>
                <w:sz w:val="14"/>
              </w:rPr>
              <w:t xml:space="preserve"> </w:t>
            </w:r>
            <w:r>
              <w:rPr>
                <w:color w:val="231F20"/>
                <w:sz w:val="14"/>
              </w:rPr>
              <w:t>авлији”.</w:t>
            </w:r>
          </w:p>
        </w:tc>
        <w:tc>
          <w:tcPr>
            <w:tcW w:w="2267" w:type="dxa"/>
            <w:vMerge w:val="restart"/>
          </w:tcPr>
          <w:p w:rsidR="00041039" w:rsidRDefault="001B26CB">
            <w:pPr>
              <w:pStyle w:val="TableParagraph"/>
              <w:spacing w:before="16"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4"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6"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160" w:lineRule="exact"/>
              <w:ind w:left="157" w:hanging="99"/>
              <w:rPr>
                <w:b/>
                <w:sz w:val="14"/>
              </w:rPr>
            </w:pPr>
            <w:r>
              <w:rPr>
                <w:color w:val="231F20"/>
                <w:sz w:val="14"/>
              </w:rPr>
              <w:t xml:space="preserve">Савремена поезија </w:t>
            </w:r>
            <w:r>
              <w:rPr>
                <w:b/>
                <w:color w:val="231F20"/>
                <w:sz w:val="14"/>
              </w:rPr>
              <w:t>(13</w:t>
            </w:r>
            <w:r>
              <w:rPr>
                <w:b/>
                <w:color w:val="231F20"/>
                <w:spacing w:val="-4"/>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Савремена проза </w:t>
            </w:r>
            <w:r>
              <w:rPr>
                <w:b/>
                <w:color w:val="231F20"/>
                <w:sz w:val="14"/>
              </w:rPr>
              <w:t>(28</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Савремена драма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65" w:lineRule="exact"/>
              <w:ind w:left="157" w:hanging="99"/>
              <w:rPr>
                <w:sz w:val="14"/>
              </w:rPr>
            </w:pPr>
            <w:r>
              <w:rPr>
                <w:color w:val="231F20"/>
                <w:sz w:val="14"/>
              </w:rPr>
              <w:t>Класици светске</w:t>
            </w:r>
            <w:r>
              <w:rPr>
                <w:color w:val="231F20"/>
                <w:spacing w:val="-1"/>
                <w:sz w:val="14"/>
              </w:rPr>
              <w:t xml:space="preserve"> </w:t>
            </w:r>
            <w:r>
              <w:rPr>
                <w:color w:val="231F20"/>
                <w:sz w:val="14"/>
              </w:rPr>
              <w:t>књижевности</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tabs>
                <w:tab w:val="left" w:pos="158"/>
              </w:tabs>
              <w:spacing w:line="160" w:lineRule="exact"/>
              <w:ind w:left="157" w:hanging="99"/>
              <w:rPr>
                <w:b/>
                <w:sz w:val="14"/>
              </w:rPr>
            </w:pPr>
            <w:r>
              <w:rPr>
                <w:color w:val="231F20"/>
                <w:sz w:val="14"/>
              </w:rPr>
              <w:t xml:space="preserve">Синтакса </w:t>
            </w:r>
            <w:r>
              <w:rPr>
                <w:b/>
                <w:color w:val="231F20"/>
                <w:sz w:val="14"/>
              </w:rPr>
              <w:t>(8</w:t>
            </w:r>
            <w:r>
              <w:rPr>
                <w:b/>
                <w:color w:val="231F20"/>
                <w:spacing w:val="-10"/>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Правопис </w:t>
            </w:r>
            <w:r>
              <w:rPr>
                <w:b/>
                <w:color w:val="231F20"/>
                <w:sz w:val="14"/>
              </w:rPr>
              <w:t>(6</w:t>
            </w:r>
            <w:r>
              <w:rPr>
                <w:b/>
                <w:color w:val="231F20"/>
                <w:spacing w:val="-12"/>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pacing w:val="-3"/>
                <w:sz w:val="14"/>
              </w:rPr>
              <w:t xml:space="preserve">Култура </w:t>
            </w:r>
            <w:r>
              <w:rPr>
                <w:color w:val="231F20"/>
                <w:sz w:val="14"/>
              </w:rPr>
              <w:t xml:space="preserve">изражавања </w:t>
            </w:r>
            <w:r>
              <w:rPr>
                <w:b/>
                <w:color w:val="231F20"/>
                <w:sz w:val="14"/>
              </w:rPr>
              <w:t>(22</w:t>
            </w:r>
            <w:r>
              <w:rPr>
                <w:b/>
                <w:color w:val="231F20"/>
                <w:sz w:val="14"/>
              </w:rPr>
              <w:t xml:space="preserve"> </w:t>
            </w:r>
            <w:r>
              <w:rPr>
                <w:b/>
                <w:color w:val="231F20"/>
                <w:sz w:val="14"/>
              </w:rPr>
              <w:t>часа)</w:t>
            </w:r>
          </w:p>
        </w:tc>
      </w:tr>
      <w:tr w:rsidR="00041039">
        <w:trPr>
          <w:trHeight w:val="1320"/>
        </w:trPr>
        <w:tc>
          <w:tcPr>
            <w:tcW w:w="1304" w:type="dxa"/>
          </w:tcPr>
          <w:p w:rsidR="00041039" w:rsidRDefault="001B26CB">
            <w:pPr>
              <w:pStyle w:val="TableParagraph"/>
              <w:spacing w:before="19"/>
              <w:ind w:left="56"/>
              <w:rPr>
                <w:sz w:val="14"/>
              </w:rPr>
            </w:pPr>
            <w:r>
              <w:rPr>
                <w:color w:val="231F20"/>
                <w:sz w:val="14"/>
              </w:rPr>
              <w:t>Савремена драма</w:t>
            </w:r>
          </w:p>
        </w:tc>
        <w:tc>
          <w:tcPr>
            <w:tcW w:w="1587" w:type="dxa"/>
          </w:tcPr>
          <w:p w:rsidR="00041039" w:rsidRDefault="001B26CB">
            <w:pPr>
              <w:pStyle w:val="TableParagraph"/>
              <w:tabs>
                <w:tab w:val="left" w:pos="157"/>
              </w:tabs>
              <w:spacing w:before="9"/>
              <w:ind w:right="238" w:hanging="100"/>
              <w:rPr>
                <w:sz w:val="14"/>
              </w:rPr>
            </w:pPr>
            <w:r>
              <w:rPr>
                <w:color w:val="231F20"/>
                <w:sz w:val="14"/>
              </w:rPr>
              <w:t>У познавање са основним</w:t>
            </w:r>
            <w:r>
              <w:rPr>
                <w:color w:val="231F20"/>
                <w:spacing w:val="-6"/>
                <w:sz w:val="14"/>
              </w:rPr>
              <w:t xml:space="preserve"> </w:t>
            </w:r>
            <w:r>
              <w:rPr>
                <w:color w:val="231F20"/>
                <w:sz w:val="14"/>
              </w:rPr>
              <w:t>одликама савремене драме, представницима и делима.</w:t>
            </w:r>
          </w:p>
        </w:tc>
        <w:tc>
          <w:tcPr>
            <w:tcW w:w="2551" w:type="dxa"/>
          </w:tcPr>
          <w:p w:rsidR="00041039" w:rsidRDefault="001B26CB">
            <w:pPr>
              <w:pStyle w:val="TableParagraph"/>
              <w:tabs>
                <w:tab w:val="left" w:pos="157"/>
              </w:tabs>
              <w:spacing w:before="9"/>
              <w:ind w:right="128" w:hanging="99"/>
              <w:rPr>
                <w:sz w:val="14"/>
              </w:rPr>
            </w:pPr>
            <w:r>
              <w:rPr>
                <w:color w:val="231F20"/>
                <w:sz w:val="14"/>
              </w:rPr>
              <w:t>увиди разлику између традиционалне и савремене</w:t>
            </w:r>
            <w:r>
              <w:rPr>
                <w:color w:val="231F20"/>
                <w:spacing w:val="-1"/>
                <w:sz w:val="14"/>
              </w:rPr>
              <w:t xml:space="preserve"> </w:t>
            </w:r>
            <w:r>
              <w:rPr>
                <w:color w:val="231F20"/>
                <w:sz w:val="14"/>
              </w:rPr>
              <w:t>драме;</w:t>
            </w:r>
          </w:p>
          <w:p w:rsidR="00041039" w:rsidRDefault="001B26CB">
            <w:pPr>
              <w:pStyle w:val="TableParagraph"/>
              <w:tabs>
                <w:tab w:val="left" w:pos="157"/>
              </w:tabs>
              <w:spacing w:line="160" w:lineRule="exact"/>
              <w:ind w:right="198" w:hanging="99"/>
              <w:rPr>
                <w:sz w:val="14"/>
              </w:rPr>
            </w:pPr>
            <w:r>
              <w:rPr>
                <w:color w:val="231F20"/>
                <w:sz w:val="14"/>
              </w:rPr>
              <w:t>упореди драмски књижевни текст</w:t>
            </w:r>
            <w:r>
              <w:rPr>
                <w:color w:val="231F20"/>
                <w:spacing w:val="-7"/>
                <w:sz w:val="14"/>
              </w:rPr>
              <w:t xml:space="preserve"> </w:t>
            </w:r>
            <w:r>
              <w:rPr>
                <w:color w:val="231F20"/>
                <w:sz w:val="14"/>
              </w:rPr>
              <w:t>са другим облицима његове интерпре­ тације;</w:t>
            </w:r>
          </w:p>
          <w:p w:rsidR="00041039" w:rsidRDefault="001B26CB">
            <w:pPr>
              <w:pStyle w:val="TableParagraph"/>
              <w:tabs>
                <w:tab w:val="left" w:pos="157"/>
              </w:tabs>
              <w:spacing w:line="160" w:lineRule="exact"/>
              <w:ind w:right="44" w:hanging="99"/>
              <w:rPr>
                <w:sz w:val="14"/>
              </w:rPr>
            </w:pPr>
            <w:r>
              <w:rPr>
                <w:color w:val="231F20"/>
                <w:sz w:val="14"/>
              </w:rPr>
              <w:t>формулише</w:t>
            </w:r>
            <w:r>
              <w:rPr>
                <w:color w:val="231F20"/>
                <w:spacing w:val="-7"/>
                <w:sz w:val="14"/>
              </w:rPr>
              <w:t xml:space="preserve"> </w:t>
            </w:r>
            <w:r>
              <w:rPr>
                <w:color w:val="231F20"/>
                <w:sz w:val="14"/>
              </w:rPr>
              <w:t>личне</w:t>
            </w:r>
            <w:r>
              <w:rPr>
                <w:color w:val="231F20"/>
                <w:spacing w:val="-7"/>
                <w:sz w:val="14"/>
              </w:rPr>
              <w:t xml:space="preserve"> </w:t>
            </w:r>
            <w:r>
              <w:rPr>
                <w:color w:val="231F20"/>
                <w:sz w:val="14"/>
              </w:rPr>
              <w:t>утиске</w:t>
            </w:r>
            <w:r>
              <w:rPr>
                <w:color w:val="231F20"/>
                <w:spacing w:val="-6"/>
                <w:sz w:val="14"/>
              </w:rPr>
              <w:t xml:space="preserve"> </w:t>
            </w:r>
            <w:r>
              <w:rPr>
                <w:color w:val="231F20"/>
                <w:sz w:val="14"/>
              </w:rPr>
              <w:t>и</w:t>
            </w:r>
            <w:r>
              <w:rPr>
                <w:color w:val="231F20"/>
                <w:spacing w:val="-7"/>
                <w:sz w:val="14"/>
              </w:rPr>
              <w:t xml:space="preserve"> </w:t>
            </w:r>
            <w:r>
              <w:rPr>
                <w:color w:val="231F20"/>
                <w:sz w:val="14"/>
              </w:rPr>
              <w:t>запажања</w:t>
            </w:r>
            <w:r>
              <w:rPr>
                <w:color w:val="231F20"/>
                <w:spacing w:val="-7"/>
                <w:sz w:val="14"/>
              </w:rPr>
              <w:t xml:space="preserve"> </w:t>
            </w:r>
            <w:r>
              <w:rPr>
                <w:color w:val="231F20"/>
                <w:sz w:val="14"/>
              </w:rPr>
              <w:t>о драмском</w:t>
            </w:r>
            <w:r>
              <w:rPr>
                <w:color w:val="231F20"/>
                <w:spacing w:val="-1"/>
                <w:sz w:val="14"/>
              </w:rPr>
              <w:t xml:space="preserve"> </w:t>
            </w:r>
            <w:r>
              <w:rPr>
                <w:color w:val="231F20"/>
                <w:sz w:val="14"/>
              </w:rPr>
              <w:t>делу;</w:t>
            </w:r>
          </w:p>
        </w:tc>
        <w:tc>
          <w:tcPr>
            <w:tcW w:w="2834" w:type="dxa"/>
          </w:tcPr>
          <w:p w:rsidR="00041039" w:rsidRDefault="001B26CB">
            <w:pPr>
              <w:pStyle w:val="TableParagraph"/>
              <w:tabs>
                <w:tab w:val="left" w:pos="157"/>
              </w:tabs>
              <w:spacing w:before="9" w:line="166" w:lineRule="exact"/>
              <w:ind w:hanging="99"/>
              <w:jc w:val="both"/>
              <w:rPr>
                <w:sz w:val="14"/>
              </w:rPr>
            </w:pPr>
            <w:r>
              <w:rPr>
                <w:color w:val="231F20"/>
                <w:sz w:val="14"/>
              </w:rPr>
              <w:t>Одлике савремене</w:t>
            </w:r>
            <w:r>
              <w:rPr>
                <w:color w:val="231F20"/>
                <w:spacing w:val="-1"/>
                <w:sz w:val="14"/>
              </w:rPr>
              <w:t xml:space="preserve"> </w:t>
            </w:r>
            <w:r>
              <w:rPr>
                <w:color w:val="231F20"/>
                <w:sz w:val="14"/>
              </w:rPr>
              <w:t>драме.</w:t>
            </w:r>
          </w:p>
          <w:p w:rsidR="00041039" w:rsidRDefault="001B26CB">
            <w:pPr>
              <w:pStyle w:val="TableParagraph"/>
              <w:tabs>
                <w:tab w:val="left" w:pos="157"/>
              </w:tabs>
              <w:spacing w:line="160" w:lineRule="exact"/>
              <w:ind w:hanging="99"/>
              <w:jc w:val="both"/>
              <w:rPr>
                <w:sz w:val="14"/>
              </w:rPr>
            </w:pPr>
            <w:r>
              <w:rPr>
                <w:color w:val="231F20"/>
                <w:sz w:val="14"/>
              </w:rPr>
              <w:t xml:space="preserve">С. Бекет: </w:t>
            </w:r>
            <w:r>
              <w:rPr>
                <w:color w:val="231F20"/>
                <w:spacing w:val="-4"/>
                <w:sz w:val="14"/>
              </w:rPr>
              <w:t>„Чекајући</w:t>
            </w:r>
            <w:r>
              <w:rPr>
                <w:color w:val="231F20"/>
                <w:sz w:val="14"/>
              </w:rPr>
              <w:t xml:space="preserve"> </w:t>
            </w:r>
            <w:r>
              <w:rPr>
                <w:color w:val="231F20"/>
                <w:spacing w:val="-3"/>
                <w:sz w:val="14"/>
              </w:rPr>
              <w:t>Годоа”.</w:t>
            </w:r>
          </w:p>
          <w:p w:rsidR="00041039" w:rsidRDefault="001B26CB">
            <w:pPr>
              <w:pStyle w:val="TableParagraph"/>
              <w:tabs>
                <w:tab w:val="left" w:pos="157"/>
              </w:tabs>
              <w:spacing w:line="160" w:lineRule="exact"/>
              <w:ind w:hanging="99"/>
              <w:jc w:val="both"/>
              <w:rPr>
                <w:sz w:val="14"/>
              </w:rPr>
            </w:pPr>
            <w:r>
              <w:rPr>
                <w:color w:val="231F20"/>
                <w:sz w:val="14"/>
              </w:rPr>
              <w:t>Душан Ковачевић: „Балкански</w:t>
            </w:r>
            <w:r>
              <w:rPr>
                <w:color w:val="231F20"/>
                <w:spacing w:val="-9"/>
                <w:sz w:val="14"/>
              </w:rPr>
              <w:t xml:space="preserve"> </w:t>
            </w:r>
            <w:r>
              <w:rPr>
                <w:color w:val="231F20"/>
                <w:sz w:val="14"/>
              </w:rPr>
              <w:t>шпијун”.</w:t>
            </w:r>
          </w:p>
          <w:p w:rsidR="00041039" w:rsidRDefault="001B26CB">
            <w:pPr>
              <w:pStyle w:val="TableParagraph"/>
              <w:tabs>
                <w:tab w:val="left" w:pos="157"/>
              </w:tabs>
              <w:spacing w:line="165" w:lineRule="exact"/>
              <w:ind w:hanging="99"/>
              <w:jc w:val="both"/>
              <w:rPr>
                <w:sz w:val="14"/>
              </w:rPr>
            </w:pPr>
            <w:r>
              <w:rPr>
                <w:color w:val="231F20"/>
                <w:sz w:val="14"/>
              </w:rPr>
              <w:t>Драмска књижевност и други</w:t>
            </w:r>
            <w:r>
              <w:rPr>
                <w:color w:val="231F20"/>
                <w:spacing w:val="-4"/>
                <w:sz w:val="14"/>
              </w:rPr>
              <w:t xml:space="preserve"> </w:t>
            </w:r>
            <w:r>
              <w:rPr>
                <w:color w:val="231F20"/>
                <w:sz w:val="14"/>
              </w:rPr>
              <w:t>медији</w:t>
            </w:r>
          </w:p>
          <w:p w:rsidR="00041039" w:rsidRDefault="001B26CB">
            <w:pPr>
              <w:pStyle w:val="TableParagraph"/>
              <w:spacing w:line="160" w:lineRule="exact"/>
              <w:jc w:val="both"/>
              <w:rPr>
                <w:sz w:val="14"/>
              </w:rPr>
            </w:pPr>
            <w:r>
              <w:rPr>
                <w:color w:val="231F20"/>
                <w:sz w:val="14"/>
              </w:rPr>
              <w:t>- Пекић: „Чај у пет” или А. Поповић:</w:t>
            </w:r>
          </w:p>
          <w:p w:rsidR="00041039" w:rsidRDefault="001B26CB">
            <w:pPr>
              <w:pStyle w:val="TableParagraph"/>
              <w:spacing w:before="1" w:line="237" w:lineRule="auto"/>
              <w:ind w:right="612"/>
              <w:jc w:val="both"/>
              <w:rPr>
                <w:sz w:val="14"/>
              </w:rPr>
            </w:pPr>
            <w:r>
              <w:rPr>
                <w:color w:val="231F20"/>
                <w:sz w:val="14"/>
              </w:rPr>
              <w:t>„Развојни пут Боре шнајдера” или Љ.Симовић: „Путујуће позориште Шопаловић”.</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6" w:right="226"/>
              <w:rPr>
                <w:sz w:val="14"/>
              </w:rPr>
            </w:pPr>
            <w:r>
              <w:rPr>
                <w:color w:val="231F20"/>
                <w:sz w:val="14"/>
              </w:rPr>
              <w:t>Класици светске књижевности</w:t>
            </w:r>
          </w:p>
        </w:tc>
        <w:tc>
          <w:tcPr>
            <w:tcW w:w="1587" w:type="dxa"/>
          </w:tcPr>
          <w:p w:rsidR="00041039" w:rsidRDefault="001B26CB">
            <w:pPr>
              <w:pStyle w:val="TableParagraph"/>
              <w:tabs>
                <w:tab w:val="left" w:pos="157"/>
              </w:tabs>
              <w:spacing w:before="9"/>
              <w:ind w:right="100" w:hanging="100"/>
              <w:rPr>
                <w:sz w:val="14"/>
              </w:rPr>
            </w:pPr>
            <w:r>
              <w:rPr>
                <w:color w:val="231F20"/>
                <w:sz w:val="14"/>
              </w:rPr>
              <w:t>Упознавање са</w:t>
            </w:r>
            <w:r>
              <w:rPr>
                <w:color w:val="231F20"/>
                <w:spacing w:val="-21"/>
                <w:sz w:val="14"/>
              </w:rPr>
              <w:t xml:space="preserve"> </w:t>
            </w:r>
            <w:r>
              <w:rPr>
                <w:color w:val="231F20"/>
                <w:sz w:val="14"/>
              </w:rPr>
              <w:t>писци­ ма и делима светске књижевне</w:t>
            </w:r>
            <w:r>
              <w:rPr>
                <w:color w:val="231F20"/>
                <w:spacing w:val="-1"/>
                <w:sz w:val="14"/>
              </w:rPr>
              <w:t xml:space="preserve"> </w:t>
            </w:r>
            <w:r>
              <w:rPr>
                <w:color w:val="231F20"/>
                <w:sz w:val="14"/>
              </w:rPr>
              <w:t>баштине</w:t>
            </w:r>
          </w:p>
        </w:tc>
        <w:tc>
          <w:tcPr>
            <w:tcW w:w="2551" w:type="dxa"/>
          </w:tcPr>
          <w:p w:rsidR="00041039" w:rsidRDefault="001B26CB">
            <w:pPr>
              <w:pStyle w:val="TableParagraph"/>
              <w:tabs>
                <w:tab w:val="left" w:pos="157"/>
              </w:tabs>
              <w:spacing w:before="9"/>
              <w:ind w:right="334" w:hanging="99"/>
              <w:rPr>
                <w:sz w:val="14"/>
              </w:rPr>
            </w:pPr>
            <w:r>
              <w:rPr>
                <w:color w:val="231F20"/>
                <w:sz w:val="14"/>
              </w:rPr>
              <w:t>препозна свевременост обрађених тема;</w:t>
            </w:r>
          </w:p>
          <w:p w:rsidR="00041039" w:rsidRDefault="001B26CB">
            <w:pPr>
              <w:pStyle w:val="TableParagraph"/>
              <w:tabs>
                <w:tab w:val="left" w:pos="157"/>
              </w:tabs>
              <w:spacing w:line="160" w:lineRule="exact"/>
              <w:ind w:right="137" w:hanging="99"/>
              <w:rPr>
                <w:sz w:val="14"/>
              </w:rPr>
            </w:pPr>
            <w:r>
              <w:rPr>
                <w:color w:val="231F20"/>
                <w:sz w:val="14"/>
              </w:rPr>
              <w:t>тумачи дела износећи своја</w:t>
            </w:r>
            <w:r>
              <w:rPr>
                <w:color w:val="231F20"/>
                <w:spacing w:val="-19"/>
                <w:sz w:val="14"/>
              </w:rPr>
              <w:t xml:space="preserve"> </w:t>
            </w:r>
            <w:r>
              <w:rPr>
                <w:color w:val="231F20"/>
                <w:sz w:val="14"/>
              </w:rPr>
              <w:t>запажања и утиске и образложења о</w:t>
            </w:r>
            <w:r>
              <w:rPr>
                <w:color w:val="231F20"/>
                <w:spacing w:val="-7"/>
                <w:sz w:val="14"/>
              </w:rPr>
              <w:t xml:space="preserve"> </w:t>
            </w:r>
            <w:r>
              <w:rPr>
                <w:color w:val="231F20"/>
                <w:sz w:val="14"/>
              </w:rPr>
              <w:t>њима;</w:t>
            </w:r>
          </w:p>
        </w:tc>
        <w:tc>
          <w:tcPr>
            <w:tcW w:w="2834" w:type="dxa"/>
          </w:tcPr>
          <w:p w:rsidR="00041039" w:rsidRDefault="001B26CB">
            <w:pPr>
              <w:pStyle w:val="TableParagraph"/>
              <w:tabs>
                <w:tab w:val="left" w:pos="158"/>
              </w:tabs>
              <w:spacing w:before="9" w:line="166" w:lineRule="exact"/>
              <w:ind w:left="157" w:hanging="100"/>
              <w:rPr>
                <w:sz w:val="14"/>
              </w:rPr>
            </w:pPr>
            <w:r>
              <w:rPr>
                <w:color w:val="231F20"/>
                <w:sz w:val="14"/>
              </w:rPr>
              <w:t>В: Шекспир:</w:t>
            </w:r>
            <w:r>
              <w:rPr>
                <w:color w:val="231F20"/>
                <w:spacing w:val="-1"/>
                <w:sz w:val="14"/>
              </w:rPr>
              <w:t xml:space="preserve"> </w:t>
            </w:r>
            <w:r>
              <w:rPr>
                <w:color w:val="231F20"/>
                <w:sz w:val="14"/>
              </w:rPr>
              <w:t>„Хамлет”.</w:t>
            </w:r>
          </w:p>
          <w:p w:rsidR="00041039" w:rsidRDefault="001B26CB">
            <w:pPr>
              <w:pStyle w:val="TableParagraph"/>
              <w:tabs>
                <w:tab w:val="left" w:pos="158"/>
              </w:tabs>
              <w:spacing w:line="160" w:lineRule="exact"/>
              <w:ind w:left="157" w:hanging="100"/>
              <w:rPr>
                <w:sz w:val="14"/>
              </w:rPr>
            </w:pPr>
            <w:r>
              <w:rPr>
                <w:color w:val="231F20"/>
                <w:sz w:val="14"/>
              </w:rPr>
              <w:t>Е. А. По:</w:t>
            </w:r>
            <w:r>
              <w:rPr>
                <w:color w:val="231F20"/>
                <w:spacing w:val="-3"/>
                <w:sz w:val="14"/>
              </w:rPr>
              <w:t xml:space="preserve"> </w:t>
            </w:r>
            <w:r>
              <w:rPr>
                <w:color w:val="231F20"/>
                <w:sz w:val="14"/>
              </w:rPr>
              <w:t>„Гавран”.</w:t>
            </w:r>
          </w:p>
          <w:p w:rsidR="00041039" w:rsidRDefault="001B26CB">
            <w:pPr>
              <w:pStyle w:val="TableParagraph"/>
              <w:tabs>
                <w:tab w:val="left" w:pos="158"/>
              </w:tabs>
              <w:spacing w:line="166" w:lineRule="exact"/>
              <w:ind w:left="157" w:hanging="100"/>
              <w:rPr>
                <w:sz w:val="14"/>
              </w:rPr>
            </w:pPr>
            <w:r>
              <w:rPr>
                <w:color w:val="231F20"/>
                <w:sz w:val="14"/>
              </w:rPr>
              <w:t>Ф. М: Достојевски: „Злочин и</w:t>
            </w:r>
            <w:r>
              <w:rPr>
                <w:color w:val="231F20"/>
                <w:spacing w:val="-7"/>
                <w:sz w:val="14"/>
              </w:rPr>
              <w:t xml:space="preserve"> </w:t>
            </w:r>
            <w:r>
              <w:rPr>
                <w:color w:val="231F20"/>
                <w:sz w:val="14"/>
              </w:rPr>
              <w:t>казна”.</w:t>
            </w:r>
          </w:p>
        </w:tc>
        <w:tc>
          <w:tcPr>
            <w:tcW w:w="2267" w:type="dxa"/>
            <w:vMerge/>
            <w:tcBorders>
              <w:top w:val="nil"/>
            </w:tcBorders>
          </w:tcPr>
          <w:p w:rsidR="00041039" w:rsidRDefault="00041039">
            <w:pPr>
              <w:rPr>
                <w:sz w:val="2"/>
                <w:szCs w:val="2"/>
              </w:rPr>
            </w:pPr>
          </w:p>
        </w:tc>
      </w:tr>
      <w:tr w:rsidR="00041039">
        <w:trPr>
          <w:trHeight w:val="2440"/>
        </w:trPr>
        <w:tc>
          <w:tcPr>
            <w:tcW w:w="1304" w:type="dxa"/>
          </w:tcPr>
          <w:p w:rsidR="00041039" w:rsidRDefault="001B26CB">
            <w:pPr>
              <w:pStyle w:val="TableParagraph"/>
              <w:spacing w:before="19"/>
              <w:ind w:left="57"/>
              <w:rPr>
                <w:sz w:val="14"/>
              </w:rPr>
            </w:pPr>
            <w:r>
              <w:rPr>
                <w:color w:val="231F20"/>
                <w:sz w:val="14"/>
              </w:rPr>
              <w:t>Синтакса</w:t>
            </w:r>
          </w:p>
        </w:tc>
        <w:tc>
          <w:tcPr>
            <w:tcW w:w="1587" w:type="dxa"/>
          </w:tcPr>
          <w:p w:rsidR="00041039" w:rsidRDefault="001B26CB">
            <w:pPr>
              <w:pStyle w:val="TableParagraph"/>
              <w:tabs>
                <w:tab w:val="left" w:pos="157"/>
              </w:tabs>
              <w:spacing w:before="9"/>
              <w:ind w:right="299" w:hanging="99"/>
              <w:rPr>
                <w:sz w:val="14"/>
              </w:rPr>
            </w:pPr>
            <w:r>
              <w:rPr>
                <w:color w:val="231F20"/>
                <w:sz w:val="14"/>
              </w:rPr>
              <w:t>Систематизовање знања из</w:t>
            </w:r>
            <w:r>
              <w:rPr>
                <w:color w:val="231F20"/>
                <w:spacing w:val="-8"/>
                <w:sz w:val="14"/>
              </w:rPr>
              <w:t xml:space="preserve"> </w:t>
            </w:r>
            <w:r>
              <w:rPr>
                <w:color w:val="231F20"/>
                <w:sz w:val="14"/>
              </w:rPr>
              <w:t>синтаксе.</w:t>
            </w:r>
          </w:p>
        </w:tc>
        <w:tc>
          <w:tcPr>
            <w:tcW w:w="2551" w:type="dxa"/>
          </w:tcPr>
          <w:p w:rsidR="00041039" w:rsidRDefault="001B26CB">
            <w:pPr>
              <w:pStyle w:val="TableParagraph"/>
              <w:tabs>
                <w:tab w:val="left" w:pos="157"/>
              </w:tabs>
              <w:spacing w:before="9"/>
              <w:ind w:right="43" w:hanging="99"/>
              <w:rPr>
                <w:sz w:val="14"/>
              </w:rPr>
            </w:pPr>
            <w:r>
              <w:rPr>
                <w:color w:val="231F20"/>
                <w:sz w:val="14"/>
              </w:rPr>
              <w:t>одреди синтаксичке јединице и</w:t>
            </w:r>
            <w:r>
              <w:rPr>
                <w:color w:val="231F20"/>
                <w:spacing w:val="-14"/>
                <w:sz w:val="14"/>
              </w:rPr>
              <w:t xml:space="preserve"> </w:t>
            </w:r>
            <w:r>
              <w:rPr>
                <w:color w:val="231F20"/>
                <w:spacing w:val="-3"/>
                <w:sz w:val="14"/>
              </w:rPr>
              <w:t xml:space="preserve">њихову </w:t>
            </w:r>
            <w:r>
              <w:rPr>
                <w:color w:val="231F20"/>
                <w:sz w:val="14"/>
              </w:rPr>
              <w:t>функцију;</w:t>
            </w:r>
          </w:p>
          <w:p w:rsidR="00041039" w:rsidRDefault="001B26CB">
            <w:pPr>
              <w:pStyle w:val="TableParagraph"/>
              <w:tabs>
                <w:tab w:val="left" w:pos="157"/>
              </w:tabs>
              <w:spacing w:line="160" w:lineRule="exact"/>
              <w:ind w:right="125" w:hanging="99"/>
              <w:rPr>
                <w:sz w:val="14"/>
              </w:rPr>
            </w:pPr>
            <w:r>
              <w:rPr>
                <w:color w:val="231F20"/>
                <w:sz w:val="14"/>
              </w:rPr>
              <w:t>одреди типове независних и</w:t>
            </w:r>
            <w:r>
              <w:rPr>
                <w:color w:val="231F20"/>
                <w:spacing w:val="-22"/>
                <w:sz w:val="14"/>
              </w:rPr>
              <w:t xml:space="preserve"> </w:t>
            </w:r>
            <w:r>
              <w:rPr>
                <w:color w:val="231F20"/>
                <w:sz w:val="14"/>
              </w:rPr>
              <w:t>зависних реченица, типове синтагми и типове напоредних</w:t>
            </w:r>
            <w:r>
              <w:rPr>
                <w:color w:val="231F20"/>
                <w:spacing w:val="-1"/>
                <w:sz w:val="14"/>
              </w:rPr>
              <w:t xml:space="preserve"> </w:t>
            </w:r>
            <w:r>
              <w:rPr>
                <w:color w:val="231F20"/>
                <w:sz w:val="14"/>
              </w:rPr>
              <w:t>конструкција;</w:t>
            </w:r>
          </w:p>
          <w:p w:rsidR="00041039" w:rsidRDefault="001B26CB">
            <w:pPr>
              <w:pStyle w:val="TableParagraph"/>
              <w:tabs>
                <w:tab w:val="left" w:pos="157"/>
              </w:tabs>
              <w:spacing w:line="153" w:lineRule="exact"/>
              <w:ind w:hanging="99"/>
              <w:rPr>
                <w:sz w:val="14"/>
              </w:rPr>
            </w:pPr>
            <w:r>
              <w:rPr>
                <w:color w:val="231F20"/>
                <w:sz w:val="14"/>
              </w:rPr>
              <w:t>разуме појам</w:t>
            </w:r>
            <w:r>
              <w:rPr>
                <w:color w:val="231F20"/>
                <w:spacing w:val="-3"/>
                <w:sz w:val="14"/>
              </w:rPr>
              <w:t xml:space="preserve"> </w:t>
            </w:r>
            <w:r>
              <w:rPr>
                <w:color w:val="231F20"/>
                <w:sz w:val="14"/>
              </w:rPr>
              <w:t>конгруенције;</w:t>
            </w:r>
          </w:p>
          <w:p w:rsidR="00041039" w:rsidRDefault="001B26CB">
            <w:pPr>
              <w:pStyle w:val="TableParagraph"/>
              <w:tabs>
                <w:tab w:val="left" w:pos="157"/>
              </w:tabs>
              <w:spacing w:line="166" w:lineRule="exact"/>
              <w:ind w:hanging="99"/>
              <w:rPr>
                <w:sz w:val="14"/>
              </w:rPr>
            </w:pPr>
            <w:r>
              <w:rPr>
                <w:color w:val="231F20"/>
                <w:sz w:val="14"/>
              </w:rPr>
              <w:t>познаје систем глаголских</w:t>
            </w:r>
            <w:r>
              <w:rPr>
                <w:color w:val="231F20"/>
                <w:spacing w:val="-10"/>
                <w:sz w:val="14"/>
              </w:rPr>
              <w:t xml:space="preserve"> </w:t>
            </w:r>
            <w:r>
              <w:rPr>
                <w:color w:val="231F20"/>
                <w:sz w:val="14"/>
              </w:rPr>
              <w:t>облика;</w:t>
            </w:r>
          </w:p>
        </w:tc>
        <w:tc>
          <w:tcPr>
            <w:tcW w:w="2834" w:type="dxa"/>
          </w:tcPr>
          <w:p w:rsidR="00041039" w:rsidRDefault="001B26CB">
            <w:pPr>
              <w:pStyle w:val="TableParagraph"/>
              <w:tabs>
                <w:tab w:val="left" w:pos="158"/>
              </w:tabs>
              <w:spacing w:before="9"/>
              <w:ind w:left="157" w:right="86" w:hanging="100"/>
              <w:rPr>
                <w:sz w:val="14"/>
              </w:rPr>
            </w:pPr>
            <w:r>
              <w:rPr>
                <w:color w:val="231F20"/>
                <w:sz w:val="14"/>
              </w:rPr>
              <w:t>Синтаксичке јединице (комуникативна реченица, предикатска реченица,</w:t>
            </w:r>
            <w:r>
              <w:rPr>
                <w:color w:val="231F20"/>
                <w:spacing w:val="-21"/>
                <w:sz w:val="14"/>
              </w:rPr>
              <w:t xml:space="preserve"> </w:t>
            </w:r>
            <w:r>
              <w:rPr>
                <w:color w:val="231F20"/>
                <w:sz w:val="14"/>
              </w:rPr>
              <w:t>синтагма, реч).</w:t>
            </w:r>
          </w:p>
          <w:p w:rsidR="00041039" w:rsidRDefault="001B26CB">
            <w:pPr>
              <w:pStyle w:val="TableParagraph"/>
              <w:tabs>
                <w:tab w:val="left" w:pos="158"/>
              </w:tabs>
              <w:spacing w:line="157" w:lineRule="exact"/>
              <w:ind w:left="157" w:hanging="100"/>
              <w:rPr>
                <w:sz w:val="14"/>
              </w:rPr>
            </w:pPr>
            <w:r>
              <w:rPr>
                <w:color w:val="231F20"/>
                <w:sz w:val="14"/>
              </w:rPr>
              <w:t>Основне реченичне и</w:t>
            </w:r>
            <w:r>
              <w:rPr>
                <w:color w:val="231F20"/>
                <w:spacing w:val="-5"/>
                <w:sz w:val="14"/>
              </w:rPr>
              <w:t xml:space="preserve"> </w:t>
            </w:r>
            <w:r>
              <w:rPr>
                <w:color w:val="231F20"/>
                <w:sz w:val="14"/>
              </w:rPr>
              <w:t>синтагматске</w:t>
            </w:r>
          </w:p>
          <w:p w:rsidR="00041039" w:rsidRDefault="001B26CB">
            <w:pPr>
              <w:pStyle w:val="TableParagraph"/>
              <w:spacing w:line="155" w:lineRule="exact"/>
              <w:ind w:left="157"/>
              <w:rPr>
                <w:sz w:val="14"/>
              </w:rPr>
            </w:pPr>
            <w:r>
              <w:rPr>
                <w:color w:val="231F20"/>
                <w:sz w:val="14"/>
              </w:rPr>
              <w:t>конструкције.</w:t>
            </w:r>
          </w:p>
          <w:p w:rsidR="00041039" w:rsidRDefault="001B26CB">
            <w:pPr>
              <w:pStyle w:val="TableParagraph"/>
              <w:tabs>
                <w:tab w:val="left" w:pos="158"/>
              </w:tabs>
              <w:spacing w:line="237" w:lineRule="auto"/>
              <w:ind w:left="157" w:right="505" w:hanging="100"/>
              <w:rPr>
                <w:sz w:val="14"/>
              </w:rPr>
            </w:pPr>
            <w:r>
              <w:rPr>
                <w:color w:val="231F20"/>
                <w:sz w:val="14"/>
              </w:rPr>
              <w:t>Падежни систем и његова</w:t>
            </w:r>
            <w:r>
              <w:rPr>
                <w:color w:val="231F20"/>
                <w:spacing w:val="-16"/>
                <w:sz w:val="14"/>
              </w:rPr>
              <w:t xml:space="preserve"> </w:t>
            </w:r>
            <w:r>
              <w:rPr>
                <w:color w:val="231F20"/>
                <w:sz w:val="14"/>
              </w:rPr>
              <w:t>употреба. Предлошко­ падежне</w:t>
            </w:r>
            <w:r>
              <w:rPr>
                <w:color w:val="231F20"/>
                <w:spacing w:val="-18"/>
                <w:sz w:val="14"/>
              </w:rPr>
              <w:t xml:space="preserve"> </w:t>
            </w:r>
            <w:r>
              <w:rPr>
                <w:color w:val="231F20"/>
                <w:sz w:val="14"/>
              </w:rPr>
              <w:t>конструкције.</w:t>
            </w:r>
          </w:p>
          <w:p w:rsidR="00041039" w:rsidRDefault="001B26CB">
            <w:pPr>
              <w:pStyle w:val="TableParagraph"/>
              <w:tabs>
                <w:tab w:val="left" w:pos="158"/>
              </w:tabs>
              <w:spacing w:line="155" w:lineRule="exact"/>
              <w:ind w:left="157" w:hanging="100"/>
              <w:rPr>
                <w:sz w:val="14"/>
              </w:rPr>
            </w:pPr>
            <w:r>
              <w:rPr>
                <w:color w:val="231F20"/>
                <w:sz w:val="14"/>
              </w:rPr>
              <w:t>Конгруенција. Синтакса глаголских</w:t>
            </w:r>
            <w:r>
              <w:rPr>
                <w:color w:val="231F20"/>
                <w:spacing w:val="-26"/>
                <w:sz w:val="14"/>
              </w:rPr>
              <w:t xml:space="preserve"> </w:t>
            </w:r>
            <w:r>
              <w:rPr>
                <w:color w:val="231F20"/>
                <w:sz w:val="14"/>
              </w:rPr>
              <w:t>облика.</w:t>
            </w:r>
          </w:p>
          <w:p w:rsidR="00041039" w:rsidRDefault="001B26CB">
            <w:pPr>
              <w:pStyle w:val="TableParagraph"/>
              <w:tabs>
                <w:tab w:val="left" w:pos="158"/>
              </w:tabs>
              <w:spacing w:line="160" w:lineRule="exact"/>
              <w:ind w:left="157" w:hanging="100"/>
              <w:rPr>
                <w:sz w:val="14"/>
              </w:rPr>
            </w:pPr>
            <w:r>
              <w:rPr>
                <w:color w:val="231F20"/>
                <w:sz w:val="14"/>
              </w:rPr>
              <w:t>Систем зависних</w:t>
            </w:r>
            <w:r>
              <w:rPr>
                <w:color w:val="231F20"/>
                <w:spacing w:val="-2"/>
                <w:sz w:val="14"/>
              </w:rPr>
              <w:t xml:space="preserve"> </w:t>
            </w:r>
            <w:r>
              <w:rPr>
                <w:color w:val="231F20"/>
                <w:sz w:val="14"/>
              </w:rPr>
              <w:t>реченица.</w:t>
            </w:r>
          </w:p>
          <w:p w:rsidR="00041039" w:rsidRDefault="001B26CB">
            <w:pPr>
              <w:pStyle w:val="TableParagraph"/>
              <w:tabs>
                <w:tab w:val="left" w:pos="158"/>
              </w:tabs>
              <w:spacing w:line="237" w:lineRule="auto"/>
              <w:ind w:left="157" w:right="68" w:hanging="100"/>
              <w:rPr>
                <w:sz w:val="14"/>
              </w:rPr>
            </w:pPr>
            <w:r>
              <w:rPr>
                <w:color w:val="231F20"/>
                <w:sz w:val="14"/>
              </w:rPr>
              <w:t>Систем независних реченица (обавештајне, упитне, узвичне, заповедне и</w:t>
            </w:r>
            <w:r>
              <w:rPr>
                <w:color w:val="231F20"/>
                <w:spacing w:val="-4"/>
                <w:sz w:val="14"/>
              </w:rPr>
              <w:t xml:space="preserve"> </w:t>
            </w:r>
            <w:r>
              <w:rPr>
                <w:color w:val="231F20"/>
                <w:sz w:val="14"/>
              </w:rPr>
              <w:t>жељне).</w:t>
            </w:r>
          </w:p>
          <w:p w:rsidR="00041039" w:rsidRDefault="001B26CB">
            <w:pPr>
              <w:pStyle w:val="TableParagraph"/>
              <w:tabs>
                <w:tab w:val="left" w:pos="158"/>
              </w:tabs>
              <w:spacing w:line="160" w:lineRule="exact"/>
              <w:ind w:left="157" w:right="42" w:hanging="100"/>
              <w:rPr>
                <w:sz w:val="14"/>
              </w:rPr>
            </w:pPr>
            <w:r>
              <w:rPr>
                <w:color w:val="231F20"/>
                <w:sz w:val="14"/>
              </w:rPr>
              <w:t xml:space="preserve">Напоредне конструкције. Појам напоред­ ног односа. </w:t>
            </w:r>
            <w:r>
              <w:rPr>
                <w:color w:val="231F20"/>
                <w:spacing w:val="-3"/>
                <w:sz w:val="14"/>
              </w:rPr>
              <w:t xml:space="preserve">Главни </w:t>
            </w:r>
            <w:r>
              <w:rPr>
                <w:color w:val="231F20"/>
                <w:sz w:val="14"/>
              </w:rPr>
              <w:t>типови непосредних конструкција (саставне, раставне,</w:t>
            </w:r>
            <w:r>
              <w:rPr>
                <w:color w:val="231F20"/>
                <w:spacing w:val="-18"/>
                <w:sz w:val="14"/>
              </w:rPr>
              <w:t xml:space="preserve"> </w:t>
            </w:r>
            <w:r>
              <w:rPr>
                <w:color w:val="231F20"/>
                <w:sz w:val="14"/>
              </w:rPr>
              <w:t>супротне, искључне, закључне и</w:t>
            </w:r>
            <w:r>
              <w:rPr>
                <w:color w:val="231F20"/>
                <w:spacing w:val="-8"/>
                <w:sz w:val="14"/>
              </w:rPr>
              <w:t xml:space="preserve"> </w:t>
            </w:r>
            <w:r>
              <w:rPr>
                <w:color w:val="231F20"/>
                <w:sz w:val="14"/>
              </w:rPr>
              <w:t>градационе).</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tabs>
                <w:tab w:val="left" w:pos="157"/>
              </w:tabs>
              <w:spacing w:before="11" w:line="237" w:lineRule="auto"/>
              <w:ind w:right="66" w:hanging="99"/>
              <w:rPr>
                <w:sz w:val="14"/>
              </w:rPr>
            </w:pPr>
            <w:r>
              <w:rPr>
                <w:color w:val="231F20"/>
                <w:sz w:val="14"/>
              </w:rPr>
              <w:t>Оспособљавање ученика за примењи­ вање знања из језика</w:t>
            </w:r>
            <w:r>
              <w:rPr>
                <w:color w:val="231F20"/>
                <w:spacing w:val="-12"/>
                <w:sz w:val="14"/>
              </w:rPr>
              <w:t xml:space="preserve"> </w:t>
            </w:r>
            <w:r>
              <w:rPr>
                <w:color w:val="231F20"/>
                <w:sz w:val="14"/>
              </w:rPr>
              <w:t>и правописа у складу са језичком</w:t>
            </w:r>
            <w:r>
              <w:rPr>
                <w:color w:val="231F20"/>
                <w:spacing w:val="-3"/>
                <w:sz w:val="14"/>
              </w:rPr>
              <w:t xml:space="preserve"> </w:t>
            </w:r>
            <w:r>
              <w:rPr>
                <w:color w:val="231F20"/>
                <w:sz w:val="14"/>
              </w:rPr>
              <w:t>нормом.</w:t>
            </w:r>
          </w:p>
        </w:tc>
        <w:tc>
          <w:tcPr>
            <w:tcW w:w="2551" w:type="dxa"/>
          </w:tcPr>
          <w:p w:rsidR="00041039" w:rsidRDefault="001B26CB">
            <w:pPr>
              <w:pStyle w:val="TableParagraph"/>
              <w:tabs>
                <w:tab w:val="left" w:pos="158"/>
              </w:tabs>
              <w:spacing w:before="10"/>
              <w:ind w:left="157" w:right="76" w:hanging="100"/>
              <w:rPr>
                <w:sz w:val="14"/>
              </w:rPr>
            </w:pPr>
            <w:r>
              <w:rPr>
                <w:color w:val="231F20"/>
                <w:sz w:val="14"/>
              </w:rPr>
              <w:t>примени правописне знаке у складу</w:t>
            </w:r>
            <w:r>
              <w:rPr>
                <w:color w:val="231F20"/>
                <w:spacing w:val="-16"/>
                <w:sz w:val="14"/>
              </w:rPr>
              <w:t xml:space="preserve"> </w:t>
            </w:r>
            <w:r>
              <w:rPr>
                <w:color w:val="231F20"/>
                <w:sz w:val="14"/>
              </w:rPr>
              <w:t>са језичком</w:t>
            </w:r>
            <w:r>
              <w:rPr>
                <w:color w:val="231F20"/>
                <w:spacing w:val="-1"/>
                <w:sz w:val="14"/>
              </w:rPr>
              <w:t xml:space="preserve"> </w:t>
            </w:r>
            <w:r>
              <w:rPr>
                <w:color w:val="231F20"/>
                <w:sz w:val="14"/>
              </w:rPr>
              <w:t>нормом;</w:t>
            </w:r>
          </w:p>
          <w:p w:rsidR="00041039" w:rsidRDefault="001B26CB">
            <w:pPr>
              <w:pStyle w:val="TableParagraph"/>
              <w:tabs>
                <w:tab w:val="left" w:pos="158"/>
              </w:tabs>
              <w:spacing w:line="160" w:lineRule="exact"/>
              <w:ind w:left="157" w:right="108" w:hanging="100"/>
              <w:rPr>
                <w:sz w:val="14"/>
              </w:rPr>
            </w:pPr>
            <w:r>
              <w:rPr>
                <w:color w:val="231F20"/>
                <w:sz w:val="14"/>
              </w:rPr>
              <w:t>употреби знаке интерпункције у</w:t>
            </w:r>
            <w:r>
              <w:rPr>
                <w:color w:val="231F20"/>
                <w:spacing w:val="-19"/>
                <w:sz w:val="14"/>
              </w:rPr>
              <w:t xml:space="preserve"> </w:t>
            </w:r>
            <w:r>
              <w:rPr>
                <w:color w:val="231F20"/>
                <w:sz w:val="14"/>
              </w:rPr>
              <w:t>скла­ ду са језичком</w:t>
            </w:r>
            <w:r>
              <w:rPr>
                <w:color w:val="231F20"/>
                <w:spacing w:val="-3"/>
                <w:sz w:val="14"/>
              </w:rPr>
              <w:t xml:space="preserve"> </w:t>
            </w:r>
            <w:r>
              <w:rPr>
                <w:color w:val="231F20"/>
                <w:sz w:val="14"/>
              </w:rPr>
              <w:t>нормом;</w:t>
            </w:r>
          </w:p>
        </w:tc>
        <w:tc>
          <w:tcPr>
            <w:tcW w:w="2834" w:type="dxa"/>
          </w:tcPr>
          <w:p w:rsidR="00041039" w:rsidRDefault="001B26CB">
            <w:pPr>
              <w:pStyle w:val="TableParagraph"/>
              <w:tabs>
                <w:tab w:val="left" w:pos="158"/>
              </w:tabs>
              <w:spacing w:before="10" w:line="166" w:lineRule="exact"/>
              <w:ind w:left="157" w:hanging="100"/>
              <w:rPr>
                <w:sz w:val="14"/>
              </w:rPr>
            </w:pPr>
            <w:r>
              <w:rPr>
                <w:color w:val="231F20"/>
                <w:sz w:val="14"/>
              </w:rPr>
              <w:t>Правописни</w:t>
            </w:r>
            <w:r>
              <w:rPr>
                <w:color w:val="231F20"/>
                <w:spacing w:val="-1"/>
                <w:sz w:val="14"/>
              </w:rPr>
              <w:t xml:space="preserve"> </w:t>
            </w:r>
            <w:r>
              <w:rPr>
                <w:color w:val="231F20"/>
                <w:sz w:val="14"/>
              </w:rPr>
              <w:t>знаци.</w:t>
            </w:r>
          </w:p>
          <w:p w:rsidR="00041039" w:rsidRDefault="001B26CB">
            <w:pPr>
              <w:pStyle w:val="TableParagraph"/>
              <w:tabs>
                <w:tab w:val="left" w:pos="158"/>
              </w:tabs>
              <w:spacing w:line="166" w:lineRule="exact"/>
              <w:ind w:left="157" w:hanging="100"/>
              <w:rPr>
                <w:sz w:val="14"/>
              </w:rPr>
            </w:pPr>
            <w:r>
              <w:rPr>
                <w:color w:val="231F20"/>
                <w:sz w:val="14"/>
              </w:rPr>
              <w:t xml:space="preserve">Општа правила интерпункције </w:t>
            </w:r>
            <w:r>
              <w:rPr>
                <w:color w:val="231F20"/>
                <w:sz w:val="14"/>
              </w:rPr>
              <w:t>у</w:t>
            </w:r>
            <w:r>
              <w:rPr>
                <w:color w:val="231F20"/>
                <w:spacing w:val="-16"/>
                <w:sz w:val="14"/>
              </w:rPr>
              <w:t xml:space="preserve"> </w:t>
            </w:r>
            <w:r>
              <w:rPr>
                <w:color w:val="231F20"/>
                <w:sz w:val="14"/>
              </w:rPr>
              <w:t>реченици.</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tabs>
                <w:tab w:val="left" w:pos="157"/>
              </w:tabs>
              <w:spacing w:before="11" w:line="237" w:lineRule="auto"/>
              <w:ind w:right="110" w:hanging="99"/>
              <w:rPr>
                <w:sz w:val="14"/>
              </w:rPr>
            </w:pPr>
            <w:r>
              <w:rPr>
                <w:color w:val="231F20"/>
                <w:sz w:val="14"/>
              </w:rPr>
              <w:t>Усавршавање</w:t>
            </w:r>
            <w:r>
              <w:rPr>
                <w:color w:val="231F20"/>
                <w:spacing w:val="-22"/>
                <w:sz w:val="14"/>
              </w:rPr>
              <w:t xml:space="preserve"> </w:t>
            </w:r>
            <w:r>
              <w:rPr>
                <w:color w:val="231F20"/>
                <w:sz w:val="14"/>
              </w:rPr>
              <w:t>културе изражавања и него­ вање интересовања за праћење културних садржаја и критички однос према њима, као и оспособљавање за операционализа­ цију функционалних стилова.</w:t>
            </w:r>
          </w:p>
        </w:tc>
        <w:tc>
          <w:tcPr>
            <w:tcW w:w="2551" w:type="dxa"/>
          </w:tcPr>
          <w:p w:rsidR="00041039" w:rsidRDefault="001B26CB">
            <w:pPr>
              <w:pStyle w:val="TableParagraph"/>
              <w:tabs>
                <w:tab w:val="left" w:pos="158"/>
              </w:tabs>
              <w:spacing w:before="10"/>
              <w:ind w:left="157" w:right="126" w:hanging="100"/>
              <w:rPr>
                <w:sz w:val="14"/>
              </w:rPr>
            </w:pPr>
            <w:r>
              <w:rPr>
                <w:color w:val="231F20"/>
                <w:sz w:val="14"/>
              </w:rPr>
              <w:t>напише есеј поштујући структуру</w:t>
            </w:r>
            <w:r>
              <w:rPr>
                <w:color w:val="231F20"/>
                <w:spacing w:val="-15"/>
                <w:sz w:val="14"/>
              </w:rPr>
              <w:t xml:space="preserve"> </w:t>
            </w:r>
            <w:r>
              <w:rPr>
                <w:color w:val="231F20"/>
                <w:sz w:val="14"/>
              </w:rPr>
              <w:t>ове књижевне</w:t>
            </w:r>
            <w:r>
              <w:rPr>
                <w:color w:val="231F20"/>
                <w:spacing w:val="-1"/>
                <w:sz w:val="14"/>
              </w:rPr>
              <w:t xml:space="preserve"> </w:t>
            </w:r>
            <w:r>
              <w:rPr>
                <w:color w:val="231F20"/>
                <w:sz w:val="14"/>
              </w:rPr>
              <w:t>врсте;</w:t>
            </w:r>
          </w:p>
          <w:p w:rsidR="00041039" w:rsidRDefault="001B26CB">
            <w:pPr>
              <w:pStyle w:val="TableParagraph"/>
              <w:tabs>
                <w:tab w:val="left" w:pos="158"/>
              </w:tabs>
              <w:spacing w:line="160" w:lineRule="exact"/>
              <w:ind w:left="157" w:right="350" w:hanging="100"/>
              <w:rPr>
                <w:sz w:val="14"/>
              </w:rPr>
            </w:pPr>
            <w:r>
              <w:rPr>
                <w:color w:val="231F20"/>
                <w:sz w:val="14"/>
              </w:rPr>
              <w:t xml:space="preserve">састави биографију, </w:t>
            </w:r>
            <w:r>
              <w:rPr>
                <w:color w:val="231F20"/>
                <w:spacing w:val="-4"/>
                <w:sz w:val="14"/>
              </w:rPr>
              <w:t xml:space="preserve">молбу, жалбу, </w:t>
            </w:r>
            <w:r>
              <w:rPr>
                <w:color w:val="231F20"/>
                <w:sz w:val="14"/>
              </w:rPr>
              <w:t>приговор...</w:t>
            </w:r>
          </w:p>
          <w:p w:rsidR="00041039" w:rsidRDefault="001B26CB">
            <w:pPr>
              <w:pStyle w:val="TableParagraph"/>
              <w:tabs>
                <w:tab w:val="left" w:pos="158"/>
              </w:tabs>
              <w:spacing w:line="160" w:lineRule="exact"/>
              <w:ind w:left="157" w:right="227" w:hanging="100"/>
              <w:rPr>
                <w:sz w:val="14"/>
              </w:rPr>
            </w:pPr>
            <w:r>
              <w:rPr>
                <w:color w:val="231F20"/>
                <w:sz w:val="14"/>
              </w:rPr>
              <w:t xml:space="preserve">процењује вредност понуђених </w:t>
            </w:r>
            <w:r>
              <w:rPr>
                <w:color w:val="231F20"/>
                <w:spacing w:val="-3"/>
                <w:sz w:val="14"/>
              </w:rPr>
              <w:t xml:space="preserve">кул­ </w:t>
            </w:r>
            <w:r>
              <w:rPr>
                <w:color w:val="231F20"/>
                <w:sz w:val="14"/>
              </w:rPr>
              <w:t>турних</w:t>
            </w:r>
            <w:r>
              <w:rPr>
                <w:color w:val="231F20"/>
                <w:spacing w:val="-1"/>
                <w:sz w:val="14"/>
              </w:rPr>
              <w:t xml:space="preserve"> </w:t>
            </w:r>
            <w:r>
              <w:rPr>
                <w:color w:val="231F20"/>
                <w:sz w:val="14"/>
              </w:rPr>
              <w:t>садржаја;</w:t>
            </w:r>
          </w:p>
        </w:tc>
        <w:tc>
          <w:tcPr>
            <w:tcW w:w="2834" w:type="dxa"/>
          </w:tcPr>
          <w:p w:rsidR="00041039" w:rsidRDefault="001B26CB">
            <w:pPr>
              <w:pStyle w:val="TableParagraph"/>
              <w:tabs>
                <w:tab w:val="left" w:pos="158"/>
              </w:tabs>
              <w:spacing w:before="10" w:line="166" w:lineRule="exact"/>
              <w:ind w:left="157" w:hanging="99"/>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tabs>
                <w:tab w:val="left" w:pos="158"/>
              </w:tabs>
              <w:spacing w:line="160" w:lineRule="exact"/>
              <w:ind w:left="157" w:hanging="99"/>
              <w:rPr>
                <w:sz w:val="14"/>
              </w:rPr>
            </w:pPr>
            <w:r>
              <w:rPr>
                <w:color w:val="231F20"/>
                <w:sz w:val="14"/>
              </w:rPr>
              <w:t>Стилске</w:t>
            </w:r>
            <w:r>
              <w:rPr>
                <w:color w:val="231F20"/>
                <w:spacing w:val="-1"/>
                <w:sz w:val="14"/>
              </w:rPr>
              <w:t xml:space="preserve"> </w:t>
            </w:r>
            <w:r>
              <w:rPr>
                <w:color w:val="231F20"/>
                <w:sz w:val="14"/>
              </w:rPr>
              <w:t>вежбе.</w:t>
            </w:r>
          </w:p>
          <w:p w:rsidR="00041039" w:rsidRDefault="001B26CB">
            <w:pPr>
              <w:pStyle w:val="TableParagraph"/>
              <w:tabs>
                <w:tab w:val="left" w:pos="158"/>
              </w:tabs>
              <w:spacing w:line="160" w:lineRule="exact"/>
              <w:ind w:left="157" w:hanging="99"/>
              <w:rPr>
                <w:sz w:val="14"/>
              </w:rPr>
            </w:pPr>
            <w:r>
              <w:rPr>
                <w:color w:val="231F20"/>
                <w:sz w:val="14"/>
              </w:rPr>
              <w:t>Писање есеја.</w:t>
            </w:r>
          </w:p>
          <w:p w:rsidR="00041039" w:rsidRDefault="001B26CB">
            <w:pPr>
              <w:pStyle w:val="TableParagraph"/>
              <w:tabs>
                <w:tab w:val="left" w:pos="158"/>
              </w:tabs>
              <w:spacing w:line="160" w:lineRule="exact"/>
              <w:ind w:left="157" w:hanging="99"/>
              <w:rPr>
                <w:sz w:val="14"/>
              </w:rPr>
            </w:pPr>
            <w:r>
              <w:rPr>
                <w:color w:val="231F20"/>
                <w:sz w:val="14"/>
              </w:rPr>
              <w:t>Говорне</w:t>
            </w:r>
            <w:r>
              <w:rPr>
                <w:color w:val="231F20"/>
                <w:spacing w:val="-1"/>
                <w:sz w:val="14"/>
              </w:rPr>
              <w:t xml:space="preserve"> </w:t>
            </w:r>
            <w:r>
              <w:rPr>
                <w:color w:val="231F20"/>
                <w:sz w:val="14"/>
              </w:rPr>
              <w:t>вежбе.</w:t>
            </w:r>
          </w:p>
          <w:p w:rsidR="00041039" w:rsidRDefault="001B26CB">
            <w:pPr>
              <w:pStyle w:val="TableParagraph"/>
              <w:tabs>
                <w:tab w:val="left" w:pos="158"/>
              </w:tabs>
              <w:spacing w:line="160" w:lineRule="exact"/>
              <w:ind w:left="157" w:hanging="99"/>
              <w:rPr>
                <w:sz w:val="14"/>
              </w:rPr>
            </w:pPr>
            <w:r>
              <w:rPr>
                <w:color w:val="231F20"/>
                <w:sz w:val="14"/>
              </w:rPr>
              <w:t>Школски писмени задаци 4 x</w:t>
            </w:r>
            <w:r>
              <w:rPr>
                <w:color w:val="231F20"/>
                <w:spacing w:val="-8"/>
                <w:sz w:val="14"/>
              </w:rPr>
              <w:t xml:space="preserve"> </w:t>
            </w:r>
            <w:r>
              <w:rPr>
                <w:color w:val="231F20"/>
                <w:sz w:val="14"/>
              </w:rPr>
              <w:t>2+2.</w:t>
            </w:r>
          </w:p>
          <w:p w:rsidR="00041039" w:rsidRDefault="001B26CB">
            <w:pPr>
              <w:pStyle w:val="TableParagraph"/>
              <w:tabs>
                <w:tab w:val="left" w:pos="158"/>
              </w:tabs>
              <w:spacing w:line="237" w:lineRule="auto"/>
              <w:ind w:left="157" w:right="356" w:hanging="99"/>
              <w:rPr>
                <w:sz w:val="14"/>
              </w:rPr>
            </w:pPr>
            <w:r>
              <w:rPr>
                <w:color w:val="231F20"/>
                <w:sz w:val="14"/>
              </w:rPr>
              <w:t>Административни функционални</w:t>
            </w:r>
            <w:r>
              <w:rPr>
                <w:color w:val="231F20"/>
                <w:spacing w:val="-16"/>
                <w:sz w:val="14"/>
              </w:rPr>
              <w:t xml:space="preserve"> </w:t>
            </w:r>
            <w:r>
              <w:rPr>
                <w:color w:val="231F20"/>
                <w:sz w:val="14"/>
              </w:rPr>
              <w:t>стил (писање молбе, жалбе,</w:t>
            </w:r>
            <w:r>
              <w:rPr>
                <w:color w:val="231F20"/>
                <w:spacing w:val="-3"/>
                <w:sz w:val="14"/>
              </w:rPr>
              <w:t xml:space="preserve"> </w:t>
            </w:r>
            <w:r>
              <w:rPr>
                <w:color w:val="231F20"/>
                <w:sz w:val="14"/>
              </w:rPr>
              <w:t>биографије).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0"/>
        </w:numPr>
        <w:tabs>
          <w:tab w:val="left" w:pos="633"/>
        </w:tabs>
        <w:ind w:left="632" w:hanging="135"/>
        <w:rPr>
          <w:color w:val="231F20"/>
        </w:rPr>
      </w:pPr>
      <w:r>
        <w:rPr>
          <w:color w:val="231F20"/>
        </w:rPr>
        <w:t>Историја</w:t>
      </w:r>
    </w:p>
    <w:p w:rsidR="00041039" w:rsidRDefault="001B26CB">
      <w:pPr>
        <w:pStyle w:val="ListParagraph"/>
        <w:numPr>
          <w:ilvl w:val="1"/>
          <w:numId w:val="0"/>
        </w:numPr>
        <w:tabs>
          <w:tab w:val="left" w:pos="633"/>
        </w:tabs>
        <w:ind w:left="632" w:hanging="135"/>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1"/>
          <w:numId w:val="0"/>
        </w:numPr>
        <w:tabs>
          <w:tab w:val="left" w:pos="633"/>
        </w:tabs>
        <w:ind w:left="632" w:hanging="135"/>
        <w:rPr>
          <w:color w:val="231F20"/>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1"/>
          <w:numId w:val="0"/>
        </w:numPr>
        <w:tabs>
          <w:tab w:val="left" w:pos="633"/>
        </w:tabs>
        <w:spacing w:line="203" w:lineRule="exact"/>
        <w:ind w:left="632" w:hanging="135"/>
        <w:rPr>
          <w:color w:val="231F20"/>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pStyle w:val="BodyText"/>
        <w:spacing w:before="49" w:line="161" w:lineRule="exact"/>
        <w:ind w:left="157"/>
      </w:pPr>
      <w:r>
        <w:rPr>
          <w:color w:val="231F20"/>
        </w:rPr>
        <w:t>Циљеви предмета: – Овладавање српским као нематерњим језиком у оквиру програмом предвиђених садржаја;</w:t>
      </w:r>
    </w:p>
    <w:p w:rsidR="00041039" w:rsidRDefault="001B26CB">
      <w:pPr>
        <w:pStyle w:val="ListParagraph"/>
        <w:numPr>
          <w:ilvl w:val="2"/>
          <w:numId w:val="0"/>
        </w:numPr>
        <w:tabs>
          <w:tab w:val="left" w:pos="1566"/>
        </w:tabs>
        <w:spacing w:line="160" w:lineRule="exact"/>
        <w:ind w:left="1565" w:hanging="105"/>
        <w:rPr>
          <w:sz w:val="14"/>
        </w:rPr>
      </w:pPr>
      <w:r>
        <w:rPr>
          <w:color w:val="231F20"/>
          <w:spacing w:val="-3"/>
          <w:sz w:val="14"/>
        </w:rPr>
        <w:t xml:space="preserve">Усвајање </w:t>
      </w:r>
      <w:r>
        <w:rPr>
          <w:color w:val="231F20"/>
          <w:sz w:val="14"/>
        </w:rPr>
        <w:t>граматичких садржаја и</w:t>
      </w:r>
      <w:r>
        <w:rPr>
          <w:color w:val="231F20"/>
          <w:sz w:val="14"/>
        </w:rPr>
        <w:t xml:space="preserve"> </w:t>
      </w:r>
      <w:r>
        <w:rPr>
          <w:color w:val="231F20"/>
          <w:sz w:val="14"/>
        </w:rPr>
        <w:t>лексике;</w:t>
      </w:r>
    </w:p>
    <w:p w:rsidR="00041039" w:rsidRDefault="001B26CB">
      <w:pPr>
        <w:pStyle w:val="ListParagraph"/>
        <w:numPr>
          <w:ilvl w:val="2"/>
          <w:numId w:val="0"/>
        </w:numPr>
        <w:tabs>
          <w:tab w:val="left" w:pos="1566"/>
        </w:tabs>
        <w:spacing w:line="160" w:lineRule="exact"/>
        <w:ind w:left="1565" w:hanging="105"/>
        <w:rPr>
          <w:sz w:val="14"/>
        </w:rPr>
      </w:pPr>
      <w:r>
        <w:rPr>
          <w:color w:val="231F20"/>
          <w:spacing w:val="-3"/>
          <w:sz w:val="14"/>
        </w:rPr>
        <w:t xml:space="preserve">Усвајање </w:t>
      </w:r>
      <w:r>
        <w:rPr>
          <w:color w:val="231F20"/>
          <w:sz w:val="14"/>
        </w:rPr>
        <w:t>правилног изговора и писања;</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Оспособљавање за комуникацију у свакодневним животним</w:t>
      </w:r>
      <w:r>
        <w:rPr>
          <w:color w:val="231F20"/>
          <w:spacing w:val="-3"/>
          <w:sz w:val="14"/>
        </w:rPr>
        <w:t xml:space="preserve"> </w:t>
      </w:r>
      <w:r>
        <w:rPr>
          <w:color w:val="231F20"/>
          <w:sz w:val="14"/>
        </w:rPr>
        <w:t>ситуацијама;</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Оспособљ</w:t>
      </w:r>
      <w:r>
        <w:rPr>
          <w:color w:val="231F20"/>
          <w:sz w:val="14"/>
        </w:rPr>
        <w:t>авање ученика за самостално усмено и писмено</w:t>
      </w:r>
      <w:r>
        <w:rPr>
          <w:color w:val="231F20"/>
          <w:spacing w:val="-5"/>
          <w:sz w:val="14"/>
        </w:rPr>
        <w:t xml:space="preserve"> </w:t>
      </w:r>
      <w:r>
        <w:rPr>
          <w:color w:val="231F20"/>
          <w:sz w:val="14"/>
        </w:rPr>
        <w:t>изражавање;</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Разликовање функционалних стилова српског језика и овладавање њиховим</w:t>
      </w:r>
      <w:r>
        <w:rPr>
          <w:color w:val="231F20"/>
          <w:spacing w:val="-6"/>
          <w:sz w:val="14"/>
        </w:rPr>
        <w:t xml:space="preserve"> </w:t>
      </w:r>
      <w:r>
        <w:rPr>
          <w:color w:val="231F20"/>
          <w:sz w:val="14"/>
        </w:rPr>
        <w:t>особинама;</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Упознавање ученика са значајним карактеристикама културе народа који говоре српским</w:t>
      </w:r>
      <w:r>
        <w:rPr>
          <w:color w:val="231F20"/>
          <w:spacing w:val="-8"/>
          <w:sz w:val="14"/>
        </w:rPr>
        <w:t xml:space="preserve"> </w:t>
      </w:r>
      <w:r>
        <w:rPr>
          <w:color w:val="231F20"/>
          <w:sz w:val="14"/>
        </w:rPr>
        <w:t>језиком;</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Упознавање ученика са дел</w:t>
      </w:r>
      <w:r>
        <w:rPr>
          <w:color w:val="231F20"/>
          <w:sz w:val="14"/>
        </w:rPr>
        <w:t>има српске</w:t>
      </w:r>
      <w:r>
        <w:rPr>
          <w:color w:val="231F20"/>
          <w:spacing w:val="-1"/>
          <w:sz w:val="14"/>
        </w:rPr>
        <w:t xml:space="preserve"> </w:t>
      </w:r>
      <w:r>
        <w:rPr>
          <w:color w:val="231F20"/>
          <w:sz w:val="14"/>
        </w:rPr>
        <w:t>књижевности;</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Упознавање</w:t>
      </w:r>
      <w:r>
        <w:rPr>
          <w:color w:val="231F20"/>
          <w:spacing w:val="-3"/>
          <w:sz w:val="14"/>
        </w:rPr>
        <w:t xml:space="preserve"> </w:t>
      </w:r>
      <w:r>
        <w:rPr>
          <w:color w:val="231F20"/>
          <w:sz w:val="14"/>
        </w:rPr>
        <w:t>ученика</w:t>
      </w:r>
      <w:r>
        <w:rPr>
          <w:color w:val="231F20"/>
          <w:spacing w:val="-3"/>
          <w:sz w:val="14"/>
        </w:rPr>
        <w:t xml:space="preserve"> </w:t>
      </w:r>
      <w:r>
        <w:rPr>
          <w:color w:val="231F20"/>
          <w:sz w:val="14"/>
        </w:rPr>
        <w:t>са</w:t>
      </w:r>
      <w:r>
        <w:rPr>
          <w:color w:val="231F20"/>
          <w:spacing w:val="-3"/>
          <w:sz w:val="14"/>
        </w:rPr>
        <w:t xml:space="preserve"> </w:t>
      </w:r>
      <w:r>
        <w:rPr>
          <w:color w:val="231F20"/>
          <w:sz w:val="14"/>
        </w:rPr>
        <w:t>одликама</w:t>
      </w:r>
      <w:r>
        <w:rPr>
          <w:color w:val="231F20"/>
          <w:spacing w:val="-3"/>
          <w:sz w:val="14"/>
        </w:rPr>
        <w:t xml:space="preserve"> </w:t>
      </w:r>
      <w:r>
        <w:rPr>
          <w:color w:val="231F20"/>
          <w:sz w:val="14"/>
        </w:rPr>
        <w:t>различитих</w:t>
      </w:r>
      <w:r>
        <w:rPr>
          <w:color w:val="231F20"/>
          <w:spacing w:val="-3"/>
          <w:sz w:val="14"/>
        </w:rPr>
        <w:t xml:space="preserve"> </w:t>
      </w:r>
      <w:r>
        <w:rPr>
          <w:color w:val="231F20"/>
          <w:sz w:val="14"/>
        </w:rPr>
        <w:t>типова</w:t>
      </w:r>
      <w:r>
        <w:rPr>
          <w:color w:val="231F20"/>
          <w:spacing w:val="-3"/>
          <w:sz w:val="14"/>
        </w:rPr>
        <w:t xml:space="preserve"> </w:t>
      </w:r>
      <w:r>
        <w:rPr>
          <w:color w:val="231F20"/>
          <w:sz w:val="14"/>
        </w:rPr>
        <w:t>текстова:</w:t>
      </w:r>
      <w:r>
        <w:rPr>
          <w:color w:val="231F20"/>
          <w:spacing w:val="-3"/>
          <w:sz w:val="14"/>
        </w:rPr>
        <w:t xml:space="preserve"> </w:t>
      </w:r>
      <w:r>
        <w:rPr>
          <w:color w:val="231F20"/>
          <w:sz w:val="14"/>
        </w:rPr>
        <w:t>књижевноуметничким</w:t>
      </w:r>
      <w:r>
        <w:rPr>
          <w:color w:val="231F20"/>
          <w:spacing w:val="-3"/>
          <w:sz w:val="14"/>
        </w:rPr>
        <w:t xml:space="preserve"> </w:t>
      </w:r>
      <w:r>
        <w:rPr>
          <w:color w:val="231F20"/>
          <w:sz w:val="14"/>
        </w:rPr>
        <w:t>и</w:t>
      </w:r>
      <w:r>
        <w:rPr>
          <w:color w:val="231F20"/>
          <w:spacing w:val="-4"/>
          <w:sz w:val="14"/>
        </w:rPr>
        <w:t xml:space="preserve"> </w:t>
      </w:r>
      <w:r>
        <w:rPr>
          <w:color w:val="231F20"/>
          <w:sz w:val="14"/>
        </w:rPr>
        <w:t>осталим</w:t>
      </w:r>
      <w:r>
        <w:rPr>
          <w:color w:val="231F20"/>
          <w:spacing w:val="-4"/>
          <w:sz w:val="14"/>
        </w:rPr>
        <w:t xml:space="preserve"> </w:t>
      </w:r>
      <w:r>
        <w:rPr>
          <w:color w:val="231F20"/>
          <w:sz w:val="14"/>
        </w:rPr>
        <w:t>(научно</w:t>
      </w:r>
      <w:r>
        <w:rPr>
          <w:color w:val="231F20"/>
          <w:spacing w:val="-4"/>
          <w:sz w:val="14"/>
        </w:rPr>
        <w:t xml:space="preserve"> </w:t>
      </w:r>
      <w:r>
        <w:rPr>
          <w:color w:val="231F20"/>
          <w:sz w:val="14"/>
        </w:rPr>
        <w:t>­</w:t>
      </w:r>
      <w:r>
        <w:rPr>
          <w:color w:val="231F20"/>
          <w:spacing w:val="-3"/>
          <w:sz w:val="14"/>
        </w:rPr>
        <w:t xml:space="preserve"> </w:t>
      </w:r>
      <w:r>
        <w:rPr>
          <w:color w:val="231F20"/>
          <w:sz w:val="14"/>
        </w:rPr>
        <w:t>популарним,</w:t>
      </w:r>
      <w:r>
        <w:rPr>
          <w:color w:val="231F20"/>
          <w:spacing w:val="-4"/>
          <w:sz w:val="14"/>
        </w:rPr>
        <w:t xml:space="preserve"> </w:t>
      </w:r>
      <w:r>
        <w:rPr>
          <w:color w:val="231F20"/>
          <w:sz w:val="14"/>
        </w:rPr>
        <w:t>информативним</w:t>
      </w:r>
      <w:r>
        <w:rPr>
          <w:color w:val="231F20"/>
          <w:spacing w:val="-3"/>
          <w:sz w:val="14"/>
        </w:rPr>
        <w:t xml:space="preserve"> </w:t>
      </w:r>
      <w:r>
        <w:rPr>
          <w:color w:val="231F20"/>
          <w:sz w:val="14"/>
        </w:rPr>
        <w:t>и</w:t>
      </w:r>
      <w:r>
        <w:rPr>
          <w:color w:val="231F20"/>
          <w:spacing w:val="-4"/>
          <w:sz w:val="14"/>
        </w:rPr>
        <w:t xml:space="preserve"> </w:t>
      </w:r>
      <w:r>
        <w:rPr>
          <w:color w:val="231F20"/>
          <w:sz w:val="14"/>
        </w:rPr>
        <w:t>сл.);</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Продубљивање знања о књижевним родовима и</w:t>
      </w:r>
      <w:r>
        <w:rPr>
          <w:color w:val="231F20"/>
          <w:spacing w:val="-3"/>
          <w:sz w:val="14"/>
        </w:rPr>
        <w:t xml:space="preserve"> </w:t>
      </w:r>
      <w:r>
        <w:rPr>
          <w:color w:val="231F20"/>
          <w:sz w:val="14"/>
        </w:rPr>
        <w:t>врстама;</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Оспособљавање ученика за тумачење језичко­стилских одлика текстова на српском</w:t>
      </w:r>
      <w:r>
        <w:rPr>
          <w:color w:val="231F20"/>
          <w:spacing w:val="-7"/>
          <w:sz w:val="14"/>
        </w:rPr>
        <w:t xml:space="preserve"> </w:t>
      </w:r>
      <w:r>
        <w:rPr>
          <w:color w:val="231F20"/>
          <w:sz w:val="14"/>
        </w:rPr>
        <w:t>језику;</w:t>
      </w:r>
    </w:p>
    <w:p w:rsidR="00041039" w:rsidRDefault="001B26CB">
      <w:pPr>
        <w:pStyle w:val="ListParagraph"/>
        <w:numPr>
          <w:ilvl w:val="2"/>
          <w:numId w:val="0"/>
        </w:numPr>
        <w:tabs>
          <w:tab w:val="left" w:pos="1566"/>
        </w:tabs>
        <w:spacing w:line="160" w:lineRule="exact"/>
        <w:ind w:left="1565" w:hanging="105"/>
        <w:rPr>
          <w:sz w:val="14"/>
        </w:rPr>
      </w:pPr>
      <w:r>
        <w:rPr>
          <w:color w:val="231F20"/>
          <w:sz w:val="14"/>
        </w:rPr>
        <w:t>Развијање интересовања ученика за даље учење српског</w:t>
      </w:r>
      <w:r>
        <w:rPr>
          <w:color w:val="231F20"/>
          <w:spacing w:val="-4"/>
          <w:sz w:val="14"/>
        </w:rPr>
        <w:t xml:space="preserve"> </w:t>
      </w:r>
      <w:r>
        <w:rPr>
          <w:color w:val="231F20"/>
          <w:sz w:val="14"/>
        </w:rPr>
        <w:t>језика;</w:t>
      </w:r>
    </w:p>
    <w:p w:rsidR="00041039" w:rsidRDefault="001B26CB">
      <w:pPr>
        <w:pStyle w:val="ListParagraph"/>
        <w:numPr>
          <w:ilvl w:val="2"/>
          <w:numId w:val="0"/>
        </w:numPr>
        <w:tabs>
          <w:tab w:val="left" w:pos="1566"/>
        </w:tabs>
        <w:spacing w:line="161" w:lineRule="exact"/>
        <w:ind w:left="1565" w:hanging="105"/>
        <w:rPr>
          <w:sz w:val="14"/>
        </w:rPr>
      </w:pPr>
      <w:r>
        <w:rPr>
          <w:color w:val="231F20"/>
          <w:sz w:val="14"/>
        </w:rPr>
        <w:t>Овладавање терминологијом у оквиру подручја</w:t>
      </w:r>
      <w:r>
        <w:rPr>
          <w:color w:val="231F20"/>
          <w:spacing w:val="-1"/>
          <w:sz w:val="14"/>
        </w:rPr>
        <w:t xml:space="preserve"> </w:t>
      </w:r>
      <w:r>
        <w:rPr>
          <w:color w:val="231F20"/>
          <w:sz w:val="14"/>
        </w:rPr>
        <w:t>рада.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0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tabs>
                <w:tab w:val="left" w:pos="157"/>
              </w:tabs>
              <w:spacing w:before="8"/>
              <w:ind w:right="64" w:hanging="100"/>
              <w:rPr>
                <w:sz w:val="14"/>
              </w:rPr>
            </w:pPr>
            <w:r>
              <w:rPr>
                <w:color w:val="231F20"/>
                <w:sz w:val="14"/>
              </w:rPr>
              <w:t>Оспособљавање ученика за правилан изговор гласова срп­ ског језика и</w:t>
            </w:r>
            <w:r>
              <w:rPr>
                <w:color w:val="231F20"/>
                <w:spacing w:val="-19"/>
                <w:sz w:val="14"/>
              </w:rPr>
              <w:t xml:space="preserve"> </w:t>
            </w:r>
            <w:r>
              <w:rPr>
                <w:color w:val="231F20"/>
                <w:sz w:val="14"/>
              </w:rPr>
              <w:t>правилно акцентовање</w:t>
            </w:r>
            <w:r>
              <w:rPr>
                <w:color w:val="231F20"/>
                <w:spacing w:val="-1"/>
                <w:sz w:val="14"/>
              </w:rPr>
              <w:t xml:space="preserve"> </w:t>
            </w:r>
            <w:r>
              <w:rPr>
                <w:color w:val="231F20"/>
                <w:sz w:val="14"/>
              </w:rPr>
              <w:t>речи.</w:t>
            </w:r>
          </w:p>
        </w:tc>
        <w:tc>
          <w:tcPr>
            <w:tcW w:w="2551" w:type="dxa"/>
          </w:tcPr>
          <w:p w:rsidR="00041039" w:rsidRDefault="001B26CB">
            <w:pPr>
              <w:pStyle w:val="TableParagraph"/>
              <w:tabs>
                <w:tab w:val="left" w:pos="157"/>
              </w:tabs>
              <w:spacing w:before="8"/>
              <w:ind w:right="104" w:hanging="99"/>
              <w:rPr>
                <w:sz w:val="14"/>
              </w:rPr>
            </w:pPr>
            <w:r>
              <w:rPr>
                <w:color w:val="231F20"/>
                <w:sz w:val="14"/>
              </w:rPr>
              <w:t>правилно</w:t>
            </w:r>
            <w:r>
              <w:rPr>
                <w:color w:val="231F20"/>
                <w:spacing w:val="-13"/>
                <w:sz w:val="14"/>
              </w:rPr>
              <w:t xml:space="preserve"> </w:t>
            </w:r>
            <w:r>
              <w:rPr>
                <w:color w:val="231F20"/>
                <w:sz w:val="14"/>
              </w:rPr>
              <w:t>артикулише</w:t>
            </w:r>
            <w:r>
              <w:rPr>
                <w:color w:val="231F20"/>
                <w:spacing w:val="-13"/>
                <w:sz w:val="14"/>
              </w:rPr>
              <w:t xml:space="preserve"> </w:t>
            </w:r>
            <w:r>
              <w:rPr>
                <w:color w:val="231F20"/>
                <w:sz w:val="14"/>
              </w:rPr>
              <w:t>гласове</w:t>
            </w:r>
            <w:r>
              <w:rPr>
                <w:color w:val="231F20"/>
                <w:spacing w:val="-12"/>
                <w:sz w:val="14"/>
              </w:rPr>
              <w:t xml:space="preserve"> </w:t>
            </w:r>
            <w:r>
              <w:rPr>
                <w:color w:val="231F20"/>
                <w:sz w:val="14"/>
              </w:rPr>
              <w:t>српског језика;</w:t>
            </w:r>
          </w:p>
          <w:p w:rsidR="00041039" w:rsidRDefault="001B26CB">
            <w:pPr>
              <w:pStyle w:val="TableParagraph"/>
              <w:tabs>
                <w:tab w:val="left" w:pos="157"/>
              </w:tabs>
              <w:spacing w:line="160" w:lineRule="exact"/>
              <w:ind w:right="241" w:hanging="99"/>
              <w:rPr>
                <w:sz w:val="14"/>
              </w:rPr>
            </w:pPr>
            <w:r>
              <w:rPr>
                <w:color w:val="231F20"/>
                <w:sz w:val="14"/>
              </w:rPr>
              <w:t>разликује акцентоване и</w:t>
            </w:r>
            <w:r>
              <w:rPr>
                <w:color w:val="231F20"/>
                <w:spacing w:val="-9"/>
                <w:sz w:val="14"/>
              </w:rPr>
              <w:t xml:space="preserve"> </w:t>
            </w:r>
            <w:r>
              <w:rPr>
                <w:color w:val="231F20"/>
                <w:sz w:val="14"/>
              </w:rPr>
              <w:t>неакценто­ ване</w:t>
            </w:r>
            <w:r>
              <w:rPr>
                <w:color w:val="231F20"/>
                <w:spacing w:val="-1"/>
                <w:sz w:val="14"/>
              </w:rPr>
              <w:t xml:space="preserve"> </w:t>
            </w:r>
            <w:r>
              <w:rPr>
                <w:color w:val="231F20"/>
                <w:sz w:val="14"/>
              </w:rPr>
              <w:t>речи;</w:t>
            </w:r>
          </w:p>
          <w:p w:rsidR="00041039" w:rsidRDefault="001B26CB">
            <w:pPr>
              <w:pStyle w:val="TableParagraph"/>
              <w:tabs>
                <w:tab w:val="left" w:pos="157"/>
              </w:tabs>
              <w:spacing w:line="160" w:lineRule="exact"/>
              <w:ind w:right="152" w:hanging="99"/>
              <w:rPr>
                <w:sz w:val="14"/>
              </w:rPr>
            </w:pPr>
            <w:r>
              <w:rPr>
                <w:color w:val="231F20"/>
                <w:sz w:val="14"/>
              </w:rPr>
              <w:t>примењује основна правила акценто­ вања</w:t>
            </w:r>
            <w:r>
              <w:rPr>
                <w:color w:val="231F20"/>
                <w:spacing w:val="-1"/>
                <w:sz w:val="14"/>
              </w:rPr>
              <w:t xml:space="preserve"> </w:t>
            </w:r>
            <w:r>
              <w:rPr>
                <w:color w:val="231F20"/>
                <w:sz w:val="14"/>
              </w:rPr>
              <w:t>речи;</w:t>
            </w:r>
          </w:p>
        </w:tc>
        <w:tc>
          <w:tcPr>
            <w:tcW w:w="2834" w:type="dxa"/>
          </w:tcPr>
          <w:p w:rsidR="00041039" w:rsidRDefault="001B26CB">
            <w:pPr>
              <w:pStyle w:val="TableParagraph"/>
              <w:tabs>
                <w:tab w:val="left" w:pos="157"/>
              </w:tabs>
              <w:spacing w:before="8"/>
              <w:ind w:right="71" w:hanging="99"/>
              <w:rPr>
                <w:sz w:val="14"/>
              </w:rPr>
            </w:pPr>
            <w:r>
              <w:rPr>
                <w:color w:val="231F20"/>
                <w:sz w:val="14"/>
              </w:rPr>
              <w:t>Вокалски и консонантски систем</w:t>
            </w:r>
            <w:r>
              <w:rPr>
                <w:color w:val="231F20"/>
                <w:spacing w:val="-14"/>
                <w:sz w:val="14"/>
              </w:rPr>
              <w:t xml:space="preserve"> </w:t>
            </w:r>
            <w:r>
              <w:rPr>
                <w:color w:val="231F20"/>
                <w:sz w:val="14"/>
              </w:rPr>
              <w:t>стандард­ ног српског</w:t>
            </w:r>
            <w:r>
              <w:rPr>
                <w:color w:val="231F20"/>
                <w:spacing w:val="-2"/>
                <w:sz w:val="14"/>
              </w:rPr>
              <w:t xml:space="preserve"> </w:t>
            </w:r>
            <w:r>
              <w:rPr>
                <w:color w:val="231F20"/>
                <w:sz w:val="14"/>
              </w:rPr>
              <w:t>језика.</w:t>
            </w:r>
          </w:p>
          <w:p w:rsidR="00041039" w:rsidRDefault="001B26CB">
            <w:pPr>
              <w:pStyle w:val="TableParagraph"/>
              <w:tabs>
                <w:tab w:val="left" w:pos="157"/>
              </w:tabs>
              <w:spacing w:line="153" w:lineRule="exact"/>
              <w:ind w:hanging="99"/>
              <w:rPr>
                <w:sz w:val="14"/>
              </w:rPr>
            </w:pPr>
            <w:r>
              <w:rPr>
                <w:color w:val="231F20"/>
                <w:sz w:val="14"/>
              </w:rPr>
              <w:t>Основе акценатског система српског</w:t>
            </w:r>
            <w:r>
              <w:rPr>
                <w:color w:val="231F20"/>
                <w:spacing w:val="-20"/>
                <w:sz w:val="14"/>
              </w:rPr>
              <w:t xml:space="preserve"> </w:t>
            </w:r>
            <w:r>
              <w:rPr>
                <w:color w:val="231F20"/>
                <w:sz w:val="14"/>
              </w:rPr>
              <w:t>језика.</w:t>
            </w:r>
          </w:p>
          <w:p w:rsidR="00041039" w:rsidRDefault="001B26CB">
            <w:pPr>
              <w:pStyle w:val="TableParagraph"/>
              <w:tabs>
                <w:tab w:val="left" w:pos="157"/>
              </w:tabs>
              <w:spacing w:line="166" w:lineRule="exact"/>
              <w:ind w:hanging="99"/>
              <w:rPr>
                <w:sz w:val="14"/>
              </w:rPr>
            </w:pPr>
            <w:r>
              <w:rPr>
                <w:color w:val="231F20"/>
                <w:sz w:val="14"/>
              </w:rPr>
              <w:t>Алтернације</w:t>
            </w:r>
            <w:r>
              <w:rPr>
                <w:color w:val="231F20"/>
                <w:spacing w:val="-2"/>
                <w:sz w:val="14"/>
              </w:rPr>
              <w:t xml:space="preserve"> </w:t>
            </w:r>
            <w:r>
              <w:rPr>
                <w:color w:val="231F20"/>
                <w:sz w:val="14"/>
              </w:rPr>
              <w:t>гласова.</w:t>
            </w:r>
          </w:p>
        </w:tc>
        <w:tc>
          <w:tcPr>
            <w:tcW w:w="2267" w:type="dxa"/>
            <w:vMerge w:val="restart"/>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before="1" w:line="160" w:lineRule="exact"/>
              <w:ind w:left="157" w:right="121" w:hanging="99"/>
              <w:rPr>
                <w:b/>
                <w:sz w:val="14"/>
              </w:rPr>
            </w:pPr>
            <w:r>
              <w:rPr>
                <w:color w:val="231F20"/>
                <w:sz w:val="14"/>
              </w:rPr>
              <w:t>теоријска настава са вежбама</w:t>
            </w:r>
            <w:r>
              <w:rPr>
                <w:color w:val="231F20"/>
                <w:spacing w:val="-10"/>
                <w:sz w:val="14"/>
              </w:rPr>
              <w:t xml:space="preserve"> </w:t>
            </w:r>
            <w:r>
              <w:rPr>
                <w:b/>
                <w:color w:val="231F20"/>
                <w:sz w:val="14"/>
              </w:rPr>
              <w:t>(70 часова)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166" w:lineRule="exact"/>
              <w:ind w:left="157"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4"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6"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160" w:lineRule="exact"/>
              <w:ind w:left="157" w:hanging="99"/>
              <w:rPr>
                <w:b/>
                <w:sz w:val="14"/>
              </w:rPr>
            </w:pPr>
            <w:r>
              <w:rPr>
                <w:color w:val="231F20"/>
                <w:sz w:val="14"/>
              </w:rPr>
              <w:t xml:space="preserve">фонетика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творба речи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синтакса </w:t>
            </w:r>
            <w:r>
              <w:rPr>
                <w:b/>
                <w:color w:val="231F20"/>
                <w:sz w:val="14"/>
              </w:rPr>
              <w:t>(9</w:t>
            </w:r>
            <w:r>
              <w:rPr>
                <w:b/>
                <w:color w:val="231F20"/>
                <w:spacing w:val="-10"/>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правопис </w:t>
            </w:r>
            <w:r>
              <w:rPr>
                <w:b/>
                <w:color w:val="231F20"/>
                <w:sz w:val="14"/>
              </w:rPr>
              <w:t>(9</w:t>
            </w:r>
            <w:r>
              <w:rPr>
                <w:b/>
                <w:color w:val="231F20"/>
                <w:spacing w:val="-12"/>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култура изражавања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z w:val="14"/>
              </w:rPr>
              <w:t xml:space="preserve">књижевност </w:t>
            </w:r>
            <w:r>
              <w:rPr>
                <w:b/>
                <w:color w:val="231F20"/>
                <w:sz w:val="14"/>
              </w:rPr>
              <w:t>(12</w:t>
            </w:r>
            <w:r>
              <w:rPr>
                <w:b/>
                <w:color w:val="231F20"/>
                <w:spacing w:val="-2"/>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ind w:left="58"/>
              <w:rPr>
                <w:sz w:val="14"/>
              </w:rPr>
            </w:pPr>
            <w:r>
              <w:rPr>
                <w:color w:val="231F20"/>
                <w:sz w:val="14"/>
              </w:rPr>
              <w:t>Наставни програм српског као нематерњег језика за средњу школу представља продужетак програ­</w:t>
            </w:r>
          </w:p>
          <w:p w:rsidR="00041039" w:rsidRDefault="001B26CB">
            <w:pPr>
              <w:pStyle w:val="TableParagraph"/>
              <w:spacing w:line="237" w:lineRule="auto"/>
              <w:ind w:left="58" w:right="18"/>
              <w:rPr>
                <w:sz w:val="14"/>
              </w:rPr>
            </w:pPr>
            <w:r>
              <w:rPr>
                <w:color w:val="231F20"/>
                <w:sz w:val="14"/>
              </w:rPr>
              <w:t>ма основне школе и обезбеђује континуитет наставе овог предмета. Стога, неопходно је да се наставник упозна са садржајем програма предмета српски као нематерњи јез</w:t>
            </w:r>
            <w:r>
              <w:rPr>
                <w:color w:val="231F20"/>
                <w:sz w:val="14"/>
              </w:rPr>
              <w:t>ик за основну школу.</w:t>
            </w:r>
          </w:p>
          <w:p w:rsidR="00041039" w:rsidRDefault="001B26CB">
            <w:pPr>
              <w:pStyle w:val="TableParagraph"/>
              <w:spacing w:before="1" w:line="237" w:lineRule="auto"/>
              <w:ind w:left="58" w:right="18"/>
              <w:rPr>
                <w:sz w:val="14"/>
              </w:rPr>
            </w:pPr>
            <w:r>
              <w:rPr>
                <w:color w:val="231F20"/>
                <w:sz w:val="14"/>
              </w:rPr>
              <w:t xml:space="preserve">Ниво знања ученика из основне школе, у погледу овладаности српским језиком, веома је раз­ личит. Зато настава </w:t>
            </w:r>
            <w:r>
              <w:rPr>
                <w:i/>
                <w:color w:val="231F20"/>
                <w:sz w:val="14"/>
              </w:rPr>
              <w:t xml:space="preserve">српског као нематерњег језика </w:t>
            </w:r>
            <w:r>
              <w:rPr>
                <w:color w:val="231F20"/>
                <w:sz w:val="14"/>
              </w:rPr>
              <w:t>не може бити једнообразна и у њој се морају уважавати различите могућности и употребе ученика р</w:t>
            </w:r>
            <w:r>
              <w:rPr>
                <w:color w:val="231F20"/>
                <w:sz w:val="14"/>
              </w:rPr>
              <w:t>азличитих сре­ дина и различитих матерњих јези­ ка. При том се у наставу наглашено укључује принцип индивидуали­ зације и спровођење диференцира­ ног рада на различитим нивоима ученичког знања.</w:t>
            </w:r>
          </w:p>
        </w:tc>
      </w:tr>
      <w:tr w:rsidR="00041039">
        <w:trPr>
          <w:trHeight w:val="1320"/>
        </w:trPr>
        <w:tc>
          <w:tcPr>
            <w:tcW w:w="1304" w:type="dxa"/>
          </w:tcPr>
          <w:p w:rsidR="00041039" w:rsidRDefault="001B26CB">
            <w:pPr>
              <w:pStyle w:val="TableParagraph"/>
              <w:spacing w:before="19"/>
              <w:ind w:left="56"/>
              <w:rPr>
                <w:sz w:val="14"/>
              </w:rPr>
            </w:pPr>
            <w:r>
              <w:rPr>
                <w:color w:val="231F20"/>
                <w:sz w:val="14"/>
              </w:rPr>
              <w:t>Морфологија</w:t>
            </w:r>
          </w:p>
        </w:tc>
        <w:tc>
          <w:tcPr>
            <w:tcW w:w="1587" w:type="dxa"/>
          </w:tcPr>
          <w:p w:rsidR="00041039" w:rsidRDefault="001B26CB">
            <w:pPr>
              <w:pStyle w:val="TableParagraph"/>
              <w:tabs>
                <w:tab w:val="left" w:pos="157"/>
              </w:tabs>
              <w:spacing w:before="9"/>
              <w:ind w:right="119" w:hanging="100"/>
              <w:rPr>
                <w:sz w:val="14"/>
              </w:rPr>
            </w:pPr>
            <w:r>
              <w:rPr>
                <w:color w:val="231F20"/>
                <w:sz w:val="14"/>
              </w:rPr>
              <w:t>Упознавање ученика са правилном</w:t>
            </w:r>
            <w:r>
              <w:rPr>
                <w:color w:val="231F20"/>
                <w:spacing w:val="-9"/>
                <w:sz w:val="14"/>
              </w:rPr>
              <w:t xml:space="preserve"> </w:t>
            </w:r>
            <w:r>
              <w:rPr>
                <w:color w:val="231F20"/>
                <w:sz w:val="14"/>
              </w:rPr>
              <w:t>употре­ бом врста и облика речи.</w:t>
            </w:r>
          </w:p>
        </w:tc>
        <w:tc>
          <w:tcPr>
            <w:tcW w:w="2551" w:type="dxa"/>
          </w:tcPr>
          <w:p w:rsidR="00041039" w:rsidRDefault="001B26CB">
            <w:pPr>
              <w:pStyle w:val="TableParagraph"/>
              <w:tabs>
                <w:tab w:val="left" w:pos="157"/>
              </w:tabs>
              <w:spacing w:before="9" w:line="166" w:lineRule="exact"/>
              <w:ind w:hanging="99"/>
              <w:rPr>
                <w:sz w:val="14"/>
              </w:rPr>
            </w:pPr>
            <w:r>
              <w:rPr>
                <w:color w:val="231F20"/>
                <w:sz w:val="14"/>
              </w:rPr>
              <w:t>разликује врсте</w:t>
            </w:r>
            <w:r>
              <w:rPr>
                <w:color w:val="231F20"/>
                <w:spacing w:val="-2"/>
                <w:sz w:val="14"/>
              </w:rPr>
              <w:t xml:space="preserve"> </w:t>
            </w:r>
            <w:r>
              <w:rPr>
                <w:color w:val="231F20"/>
                <w:sz w:val="14"/>
              </w:rPr>
              <w:t>речи;</w:t>
            </w:r>
          </w:p>
          <w:p w:rsidR="00041039" w:rsidRDefault="001B26CB">
            <w:pPr>
              <w:pStyle w:val="TableParagraph"/>
              <w:tabs>
                <w:tab w:val="left" w:pos="157"/>
              </w:tabs>
              <w:spacing w:line="237" w:lineRule="auto"/>
              <w:ind w:right="377" w:hanging="99"/>
              <w:rPr>
                <w:sz w:val="14"/>
              </w:rPr>
            </w:pPr>
            <w:r>
              <w:rPr>
                <w:color w:val="231F20"/>
                <w:sz w:val="14"/>
              </w:rPr>
              <w:t>правилно употребљава род и</w:t>
            </w:r>
            <w:r>
              <w:rPr>
                <w:color w:val="231F20"/>
                <w:spacing w:val="-16"/>
                <w:sz w:val="14"/>
              </w:rPr>
              <w:t xml:space="preserve"> </w:t>
            </w:r>
            <w:r>
              <w:rPr>
                <w:color w:val="231F20"/>
                <w:sz w:val="14"/>
              </w:rPr>
              <w:t>број именских</w:t>
            </w:r>
            <w:r>
              <w:rPr>
                <w:color w:val="231F20"/>
                <w:spacing w:val="-2"/>
                <w:sz w:val="14"/>
              </w:rPr>
              <w:t xml:space="preserve"> </w:t>
            </w:r>
            <w:r>
              <w:rPr>
                <w:color w:val="231F20"/>
                <w:sz w:val="14"/>
              </w:rPr>
              <w:t>речи;</w:t>
            </w:r>
          </w:p>
          <w:p w:rsidR="00041039" w:rsidRDefault="001B26CB">
            <w:pPr>
              <w:pStyle w:val="TableParagraph"/>
              <w:tabs>
                <w:tab w:val="left" w:pos="157"/>
              </w:tabs>
              <w:spacing w:line="160" w:lineRule="exact"/>
              <w:ind w:right="311" w:hanging="99"/>
              <w:rPr>
                <w:sz w:val="14"/>
              </w:rPr>
            </w:pPr>
            <w:r>
              <w:rPr>
                <w:color w:val="231F20"/>
                <w:sz w:val="14"/>
              </w:rPr>
              <w:t>правилно употребљава лице, род</w:t>
            </w:r>
            <w:r>
              <w:rPr>
                <w:color w:val="231F20"/>
                <w:spacing w:val="-19"/>
                <w:sz w:val="14"/>
              </w:rPr>
              <w:t xml:space="preserve"> </w:t>
            </w:r>
            <w:r>
              <w:rPr>
                <w:color w:val="231F20"/>
                <w:sz w:val="14"/>
              </w:rPr>
              <w:t xml:space="preserve">и број </w:t>
            </w:r>
            <w:r>
              <w:rPr>
                <w:color w:val="231F20"/>
                <w:spacing w:val="-3"/>
                <w:sz w:val="14"/>
              </w:rPr>
              <w:t>глагола;</w:t>
            </w:r>
          </w:p>
          <w:p w:rsidR="00041039" w:rsidRDefault="001B26CB">
            <w:pPr>
              <w:pStyle w:val="TableParagraph"/>
              <w:tabs>
                <w:tab w:val="left" w:pos="157"/>
              </w:tabs>
              <w:spacing w:line="153" w:lineRule="exact"/>
              <w:ind w:hanging="99"/>
              <w:rPr>
                <w:sz w:val="14"/>
              </w:rPr>
            </w:pPr>
            <w:r>
              <w:rPr>
                <w:color w:val="231F20"/>
                <w:sz w:val="14"/>
              </w:rPr>
              <w:t xml:space="preserve">разликује </w:t>
            </w:r>
            <w:r>
              <w:rPr>
                <w:color w:val="231F20"/>
                <w:spacing w:val="-3"/>
                <w:sz w:val="14"/>
              </w:rPr>
              <w:t xml:space="preserve">глаголе </w:t>
            </w:r>
            <w:r>
              <w:rPr>
                <w:color w:val="231F20"/>
                <w:sz w:val="14"/>
              </w:rPr>
              <w:t>по виду и</w:t>
            </w:r>
            <w:r>
              <w:rPr>
                <w:color w:val="231F20"/>
                <w:spacing w:val="-4"/>
                <w:sz w:val="14"/>
              </w:rPr>
              <w:t xml:space="preserve"> </w:t>
            </w:r>
            <w:r>
              <w:rPr>
                <w:color w:val="231F20"/>
                <w:sz w:val="14"/>
              </w:rPr>
              <w:t>роду;</w:t>
            </w:r>
          </w:p>
          <w:p w:rsidR="00041039" w:rsidRDefault="001B26CB">
            <w:pPr>
              <w:pStyle w:val="TableParagraph"/>
              <w:tabs>
                <w:tab w:val="left" w:pos="157"/>
              </w:tabs>
              <w:spacing w:line="237" w:lineRule="auto"/>
              <w:ind w:right="422" w:hanging="99"/>
              <w:rPr>
                <w:sz w:val="14"/>
              </w:rPr>
            </w:pPr>
            <w:r>
              <w:rPr>
                <w:color w:val="231F20"/>
                <w:sz w:val="14"/>
              </w:rPr>
              <w:t>разликује основне</w:t>
            </w:r>
            <w:r>
              <w:rPr>
                <w:color w:val="231F20"/>
                <w:spacing w:val="-20"/>
                <w:sz w:val="14"/>
              </w:rPr>
              <w:t xml:space="preserve"> </w:t>
            </w:r>
            <w:r>
              <w:rPr>
                <w:color w:val="231F20"/>
                <w:sz w:val="14"/>
              </w:rPr>
              <w:t>лексиколошке категорије;</w:t>
            </w:r>
          </w:p>
        </w:tc>
        <w:tc>
          <w:tcPr>
            <w:tcW w:w="2834" w:type="dxa"/>
          </w:tcPr>
          <w:p w:rsidR="00041039" w:rsidRDefault="001B26CB">
            <w:pPr>
              <w:pStyle w:val="TableParagraph"/>
              <w:tabs>
                <w:tab w:val="left" w:pos="157"/>
              </w:tabs>
              <w:spacing w:before="9"/>
              <w:ind w:right="720" w:hanging="99"/>
              <w:rPr>
                <w:sz w:val="14"/>
              </w:rPr>
            </w:pPr>
            <w:r>
              <w:rPr>
                <w:color w:val="231F20"/>
                <w:sz w:val="14"/>
              </w:rPr>
              <w:t>Врсте речи и њихове</w:t>
            </w:r>
            <w:r>
              <w:rPr>
                <w:color w:val="231F20"/>
                <w:spacing w:val="-25"/>
                <w:sz w:val="14"/>
              </w:rPr>
              <w:t xml:space="preserve"> </w:t>
            </w:r>
            <w:r>
              <w:rPr>
                <w:color w:val="231F20"/>
                <w:sz w:val="14"/>
              </w:rPr>
              <w:t>граматичке категорије.</w:t>
            </w:r>
          </w:p>
          <w:p w:rsidR="00041039" w:rsidRDefault="001B26CB">
            <w:pPr>
              <w:pStyle w:val="TableParagraph"/>
              <w:tabs>
                <w:tab w:val="left" w:pos="157"/>
              </w:tabs>
              <w:spacing w:before="1" w:line="160" w:lineRule="exact"/>
              <w:ind w:right="855" w:hanging="99"/>
              <w:rPr>
                <w:sz w:val="14"/>
              </w:rPr>
            </w:pPr>
            <w:r>
              <w:rPr>
                <w:color w:val="231F20"/>
                <w:sz w:val="14"/>
              </w:rPr>
              <w:t>Речи са деклинацијом, речи</w:t>
            </w:r>
            <w:r>
              <w:rPr>
                <w:color w:val="231F20"/>
                <w:spacing w:val="-11"/>
                <w:sz w:val="14"/>
              </w:rPr>
              <w:t xml:space="preserve"> </w:t>
            </w:r>
            <w:r>
              <w:rPr>
                <w:color w:val="231F20"/>
                <w:sz w:val="14"/>
              </w:rPr>
              <w:t>са конјугацијом.</w:t>
            </w:r>
          </w:p>
          <w:p w:rsidR="00041039" w:rsidRDefault="001B26CB">
            <w:pPr>
              <w:pStyle w:val="TableParagraph"/>
              <w:tabs>
                <w:tab w:val="left" w:pos="157"/>
              </w:tabs>
              <w:spacing w:line="153" w:lineRule="exact"/>
              <w:ind w:hanging="99"/>
              <w:rPr>
                <w:sz w:val="14"/>
              </w:rPr>
            </w:pPr>
            <w:r>
              <w:rPr>
                <w:color w:val="231F20"/>
                <w:spacing w:val="-3"/>
                <w:sz w:val="14"/>
              </w:rPr>
              <w:t xml:space="preserve">Глаголски </w:t>
            </w:r>
            <w:r>
              <w:rPr>
                <w:color w:val="231F20"/>
                <w:sz w:val="14"/>
              </w:rPr>
              <w:t>облици ­ лични и</w:t>
            </w:r>
            <w:r>
              <w:rPr>
                <w:color w:val="231F20"/>
                <w:spacing w:val="-4"/>
                <w:sz w:val="14"/>
              </w:rPr>
              <w:t xml:space="preserve"> </w:t>
            </w:r>
            <w:r>
              <w:rPr>
                <w:color w:val="231F20"/>
                <w:sz w:val="14"/>
              </w:rPr>
              <w:t>нелични.</w:t>
            </w:r>
          </w:p>
          <w:p w:rsidR="00041039" w:rsidRDefault="001B26CB">
            <w:pPr>
              <w:pStyle w:val="TableParagraph"/>
              <w:tabs>
                <w:tab w:val="left" w:pos="157"/>
              </w:tabs>
              <w:spacing w:line="166" w:lineRule="exact"/>
              <w:ind w:hanging="99"/>
              <w:rPr>
                <w:sz w:val="14"/>
              </w:rPr>
            </w:pPr>
            <w:r>
              <w:rPr>
                <w:color w:val="231F20"/>
                <w:sz w:val="14"/>
              </w:rPr>
              <w:t>Основне лексиколошке</w:t>
            </w:r>
            <w:r>
              <w:rPr>
                <w:color w:val="231F20"/>
                <w:spacing w:val="-6"/>
                <w:sz w:val="14"/>
              </w:rPr>
              <w:t xml:space="preserve"> </w:t>
            </w:r>
            <w:r>
              <w:rPr>
                <w:color w:val="231F20"/>
                <w:sz w:val="14"/>
              </w:rPr>
              <w:t>категорије.</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6"/>
              <w:rPr>
                <w:sz w:val="14"/>
              </w:rPr>
            </w:pPr>
            <w:r>
              <w:rPr>
                <w:color w:val="231F20"/>
                <w:sz w:val="14"/>
              </w:rPr>
              <w:t>Творба речи</w:t>
            </w:r>
          </w:p>
        </w:tc>
        <w:tc>
          <w:tcPr>
            <w:tcW w:w="1587" w:type="dxa"/>
          </w:tcPr>
          <w:p w:rsidR="00041039" w:rsidRDefault="001B26CB">
            <w:pPr>
              <w:pStyle w:val="TableParagraph"/>
              <w:tabs>
                <w:tab w:val="left" w:pos="157"/>
              </w:tabs>
              <w:spacing w:before="11" w:line="237" w:lineRule="auto"/>
              <w:ind w:right="232" w:hanging="100"/>
              <w:jc w:val="both"/>
              <w:rPr>
                <w:sz w:val="14"/>
              </w:rPr>
            </w:pPr>
            <w:r>
              <w:rPr>
                <w:color w:val="231F20"/>
                <w:sz w:val="14"/>
              </w:rPr>
              <w:t>Упознавање и</w:t>
            </w:r>
            <w:r>
              <w:rPr>
                <w:color w:val="231F20"/>
                <w:spacing w:val="-16"/>
                <w:sz w:val="14"/>
              </w:rPr>
              <w:t xml:space="preserve"> </w:t>
            </w:r>
            <w:r>
              <w:rPr>
                <w:color w:val="231F20"/>
                <w:sz w:val="14"/>
              </w:rPr>
              <w:t>оспо­ собљавање ученика за примену правила творбе</w:t>
            </w:r>
            <w:r>
              <w:rPr>
                <w:color w:val="231F20"/>
                <w:spacing w:val="-1"/>
                <w:sz w:val="14"/>
              </w:rPr>
              <w:t xml:space="preserve"> </w:t>
            </w:r>
            <w:r>
              <w:rPr>
                <w:color w:val="231F20"/>
                <w:sz w:val="14"/>
              </w:rPr>
              <w:t>речи.</w:t>
            </w:r>
          </w:p>
        </w:tc>
        <w:tc>
          <w:tcPr>
            <w:tcW w:w="2551" w:type="dxa"/>
          </w:tcPr>
          <w:p w:rsidR="00041039" w:rsidRDefault="001B26CB">
            <w:pPr>
              <w:pStyle w:val="TableParagraph"/>
              <w:tabs>
                <w:tab w:val="left" w:pos="157"/>
              </w:tabs>
              <w:spacing w:before="10"/>
              <w:ind w:right="369" w:hanging="99"/>
              <w:rPr>
                <w:sz w:val="14"/>
              </w:rPr>
            </w:pPr>
            <w:r>
              <w:rPr>
                <w:color w:val="231F20"/>
                <w:sz w:val="14"/>
              </w:rPr>
              <w:t>правилно гради различите типове твореница;</w:t>
            </w:r>
          </w:p>
        </w:tc>
        <w:tc>
          <w:tcPr>
            <w:tcW w:w="2834" w:type="dxa"/>
          </w:tcPr>
          <w:p w:rsidR="00041039" w:rsidRDefault="001B26CB">
            <w:pPr>
              <w:pStyle w:val="TableParagraph"/>
              <w:tabs>
                <w:tab w:val="left" w:pos="158"/>
              </w:tabs>
              <w:spacing w:before="10"/>
              <w:ind w:left="157" w:right="118" w:hanging="100"/>
              <w:rPr>
                <w:sz w:val="14"/>
              </w:rPr>
            </w:pPr>
            <w:r>
              <w:rPr>
                <w:color w:val="231F20"/>
                <w:sz w:val="14"/>
              </w:rPr>
              <w:t>Изведене</w:t>
            </w:r>
            <w:r>
              <w:rPr>
                <w:color w:val="231F20"/>
                <w:spacing w:val="-6"/>
                <w:sz w:val="14"/>
              </w:rPr>
              <w:t xml:space="preserve"> </w:t>
            </w:r>
            <w:r>
              <w:rPr>
                <w:color w:val="231F20"/>
                <w:sz w:val="14"/>
              </w:rPr>
              <w:t>и</w:t>
            </w:r>
            <w:r>
              <w:rPr>
                <w:color w:val="231F20"/>
                <w:spacing w:val="-6"/>
                <w:sz w:val="14"/>
              </w:rPr>
              <w:t xml:space="preserve"> </w:t>
            </w:r>
            <w:r>
              <w:rPr>
                <w:color w:val="231F20"/>
                <w:sz w:val="14"/>
              </w:rPr>
              <w:t>сложене</w:t>
            </w:r>
            <w:r>
              <w:rPr>
                <w:color w:val="231F20"/>
                <w:spacing w:val="-6"/>
                <w:sz w:val="14"/>
              </w:rPr>
              <w:t xml:space="preserve"> </w:t>
            </w:r>
            <w:r>
              <w:rPr>
                <w:color w:val="231F20"/>
                <w:sz w:val="14"/>
              </w:rPr>
              <w:t>речи</w:t>
            </w:r>
            <w:r>
              <w:rPr>
                <w:color w:val="231F20"/>
                <w:spacing w:val="-6"/>
                <w:sz w:val="14"/>
              </w:rPr>
              <w:t xml:space="preserve"> </w:t>
            </w:r>
            <w:r>
              <w:rPr>
                <w:color w:val="231F20"/>
                <w:sz w:val="14"/>
              </w:rPr>
              <w:t>(улога</w:t>
            </w:r>
            <w:r>
              <w:rPr>
                <w:color w:val="231F20"/>
                <w:spacing w:val="-6"/>
                <w:sz w:val="14"/>
              </w:rPr>
              <w:t xml:space="preserve"> </w:t>
            </w:r>
            <w:r>
              <w:rPr>
                <w:color w:val="231F20"/>
                <w:sz w:val="14"/>
              </w:rPr>
              <w:t>префикса, суфикса и спојних вокала у грађењу</w:t>
            </w:r>
            <w:r>
              <w:rPr>
                <w:color w:val="231F20"/>
                <w:spacing w:val="-26"/>
                <w:sz w:val="14"/>
              </w:rPr>
              <w:t xml:space="preserve"> </w:t>
            </w:r>
            <w:r>
              <w:rPr>
                <w:color w:val="231F20"/>
                <w:sz w:val="14"/>
              </w:rPr>
              <w:t>речи).</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Синтакса</w:t>
            </w:r>
          </w:p>
        </w:tc>
        <w:tc>
          <w:tcPr>
            <w:tcW w:w="1587" w:type="dxa"/>
          </w:tcPr>
          <w:p w:rsidR="00041039" w:rsidRDefault="001B26CB">
            <w:pPr>
              <w:pStyle w:val="TableParagraph"/>
              <w:tabs>
                <w:tab w:val="left" w:pos="157"/>
              </w:tabs>
              <w:spacing w:before="10"/>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tabs>
                <w:tab w:val="left" w:pos="157"/>
              </w:tabs>
              <w:spacing w:before="10"/>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tabs>
                <w:tab w:val="left" w:pos="157"/>
              </w:tabs>
              <w:spacing w:line="160" w:lineRule="exact"/>
              <w:ind w:right="95" w:hanging="99"/>
              <w:rPr>
                <w:sz w:val="14"/>
              </w:rPr>
            </w:pPr>
            <w:r>
              <w:rPr>
                <w:color w:val="231F20"/>
                <w:sz w:val="14"/>
              </w:rPr>
              <w:t>препознаје</w:t>
            </w:r>
            <w:r>
              <w:rPr>
                <w:color w:val="231F20"/>
                <w:spacing w:val="-12"/>
                <w:sz w:val="14"/>
              </w:rPr>
              <w:t xml:space="preserve"> </w:t>
            </w:r>
            <w:r>
              <w:rPr>
                <w:color w:val="231F20"/>
                <w:sz w:val="14"/>
              </w:rPr>
              <w:t>врсту</w:t>
            </w:r>
            <w:r>
              <w:rPr>
                <w:color w:val="231F20"/>
                <w:spacing w:val="-11"/>
                <w:sz w:val="14"/>
              </w:rPr>
              <w:t xml:space="preserve"> </w:t>
            </w:r>
            <w:r>
              <w:rPr>
                <w:color w:val="231F20"/>
                <w:sz w:val="14"/>
              </w:rPr>
              <w:t>комуникативне</w:t>
            </w:r>
            <w:r>
              <w:rPr>
                <w:color w:val="231F20"/>
                <w:spacing w:val="-11"/>
                <w:sz w:val="14"/>
              </w:rPr>
              <w:t xml:space="preserve"> </w:t>
            </w:r>
            <w:r>
              <w:rPr>
                <w:color w:val="231F20"/>
                <w:sz w:val="14"/>
              </w:rPr>
              <w:t>рече­ нице, као и њену</w:t>
            </w:r>
            <w:r>
              <w:rPr>
                <w:color w:val="231F20"/>
                <w:spacing w:val="-6"/>
                <w:sz w:val="14"/>
              </w:rPr>
              <w:t xml:space="preserve"> </w:t>
            </w:r>
            <w:r>
              <w:rPr>
                <w:color w:val="231F20"/>
                <w:sz w:val="14"/>
              </w:rPr>
              <w:t>функцију;</w:t>
            </w:r>
          </w:p>
        </w:tc>
        <w:tc>
          <w:tcPr>
            <w:tcW w:w="2834" w:type="dxa"/>
          </w:tcPr>
          <w:p w:rsidR="00041039" w:rsidRDefault="001B26CB">
            <w:pPr>
              <w:pStyle w:val="TableParagraph"/>
              <w:tabs>
                <w:tab w:val="left" w:pos="158"/>
              </w:tabs>
              <w:spacing w:before="10"/>
              <w:ind w:left="157" w:right="248" w:hanging="100"/>
              <w:rPr>
                <w:sz w:val="14"/>
              </w:rPr>
            </w:pPr>
            <w:r>
              <w:rPr>
                <w:color w:val="231F20"/>
                <w:sz w:val="14"/>
              </w:rPr>
              <w:t>Основни реченични чланови</w:t>
            </w:r>
            <w:r>
              <w:rPr>
                <w:color w:val="231F20"/>
                <w:spacing w:val="-18"/>
                <w:sz w:val="14"/>
              </w:rPr>
              <w:t xml:space="preserve"> </w:t>
            </w:r>
            <w:r>
              <w:rPr>
                <w:color w:val="231F20"/>
                <w:sz w:val="14"/>
              </w:rPr>
              <w:t>(одредбени и допунски), изражавање лексемама и синтагмама.</w:t>
            </w:r>
          </w:p>
          <w:p w:rsidR="00041039" w:rsidRDefault="001B26CB">
            <w:pPr>
              <w:pStyle w:val="TableParagraph"/>
              <w:tabs>
                <w:tab w:val="left" w:pos="158"/>
              </w:tabs>
              <w:spacing w:line="157" w:lineRule="exact"/>
              <w:ind w:left="157" w:hanging="100"/>
              <w:rPr>
                <w:sz w:val="14"/>
              </w:rPr>
            </w:pPr>
            <w:r>
              <w:rPr>
                <w:color w:val="231F20"/>
                <w:sz w:val="14"/>
              </w:rPr>
              <w:t>Врсте реченице по комуникативној</w:t>
            </w:r>
            <w:r>
              <w:rPr>
                <w:color w:val="231F20"/>
                <w:spacing w:val="-15"/>
                <w:sz w:val="14"/>
              </w:rPr>
              <w:t xml:space="preserve"> </w:t>
            </w:r>
            <w:r>
              <w:rPr>
                <w:color w:val="231F20"/>
                <w:sz w:val="14"/>
              </w:rPr>
              <w:t>функ­</w:t>
            </w:r>
          </w:p>
          <w:p w:rsidR="00041039" w:rsidRDefault="001B26CB">
            <w:pPr>
              <w:pStyle w:val="TableParagraph"/>
              <w:spacing w:line="160" w:lineRule="exact"/>
              <w:ind w:left="157"/>
              <w:rPr>
                <w:sz w:val="14"/>
              </w:rPr>
            </w:pPr>
            <w:r>
              <w:rPr>
                <w:color w:val="231F20"/>
                <w:sz w:val="14"/>
              </w:rPr>
              <w:t>цији.</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tabs>
                <w:tab w:val="left" w:pos="157"/>
              </w:tabs>
              <w:spacing w:before="10"/>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tabs>
                <w:tab w:val="left" w:pos="158"/>
              </w:tabs>
              <w:spacing w:before="10"/>
              <w:ind w:left="157" w:right="209" w:hanging="100"/>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tabs>
                <w:tab w:val="left" w:pos="158"/>
              </w:tabs>
              <w:spacing w:before="10"/>
              <w:ind w:left="157" w:right="137" w:hanging="100"/>
              <w:rPr>
                <w:sz w:val="14"/>
              </w:rPr>
            </w:pPr>
            <w:r>
              <w:rPr>
                <w:color w:val="231F20"/>
                <w:sz w:val="14"/>
              </w:rPr>
              <w:t>Карактеристике фонетског правописа</w:t>
            </w:r>
            <w:r>
              <w:rPr>
                <w:color w:val="231F20"/>
                <w:spacing w:val="-16"/>
                <w:sz w:val="14"/>
              </w:rPr>
              <w:t xml:space="preserve"> </w:t>
            </w:r>
            <w:r>
              <w:rPr>
                <w:color w:val="231F20"/>
                <w:sz w:val="14"/>
              </w:rPr>
              <w:t>(по­ себно</w:t>
            </w:r>
            <w:r>
              <w:rPr>
                <w:color w:val="231F20"/>
                <w:spacing w:val="-5"/>
                <w:sz w:val="14"/>
              </w:rPr>
              <w:t xml:space="preserve"> </w:t>
            </w:r>
            <w:r>
              <w:rPr>
                <w:color w:val="231F20"/>
                <w:sz w:val="14"/>
              </w:rPr>
              <w:t>с</w:t>
            </w:r>
            <w:r>
              <w:rPr>
                <w:color w:val="231F20"/>
                <w:spacing w:val="-5"/>
                <w:sz w:val="14"/>
              </w:rPr>
              <w:t xml:space="preserve"> </w:t>
            </w:r>
            <w:r>
              <w:rPr>
                <w:color w:val="231F20"/>
                <w:sz w:val="14"/>
              </w:rPr>
              <w:t>обзиром</w:t>
            </w:r>
            <w:r>
              <w:rPr>
                <w:color w:val="231F20"/>
                <w:spacing w:val="-5"/>
                <w:sz w:val="14"/>
              </w:rPr>
              <w:t xml:space="preserve"> </w:t>
            </w:r>
            <w:r>
              <w:rPr>
                <w:color w:val="231F20"/>
                <w:sz w:val="14"/>
              </w:rPr>
              <w:t>на</w:t>
            </w:r>
            <w:r>
              <w:rPr>
                <w:color w:val="231F20"/>
                <w:spacing w:val="-6"/>
                <w:sz w:val="14"/>
              </w:rPr>
              <w:t xml:space="preserve"> </w:t>
            </w:r>
            <w:r>
              <w:rPr>
                <w:color w:val="231F20"/>
                <w:sz w:val="14"/>
              </w:rPr>
              <w:t>гласовне</w:t>
            </w:r>
            <w:r>
              <w:rPr>
                <w:color w:val="231F20"/>
                <w:spacing w:val="-6"/>
                <w:sz w:val="14"/>
              </w:rPr>
              <w:t xml:space="preserve"> </w:t>
            </w:r>
            <w:r>
              <w:rPr>
                <w:color w:val="231F20"/>
                <w:sz w:val="14"/>
              </w:rPr>
              <w:t>алтернације).</w:t>
            </w:r>
          </w:p>
          <w:p w:rsidR="00041039" w:rsidRDefault="001B26CB">
            <w:pPr>
              <w:pStyle w:val="TableParagraph"/>
              <w:tabs>
                <w:tab w:val="left" w:pos="158"/>
              </w:tabs>
              <w:spacing w:line="153" w:lineRule="exact"/>
              <w:ind w:left="157" w:hanging="100"/>
              <w:rPr>
                <w:sz w:val="14"/>
              </w:rPr>
            </w:pPr>
            <w:r>
              <w:rPr>
                <w:color w:val="231F20"/>
                <w:sz w:val="14"/>
              </w:rPr>
              <w:t>Велико и мало</w:t>
            </w:r>
            <w:r>
              <w:rPr>
                <w:color w:val="231F20"/>
                <w:spacing w:val="-3"/>
                <w:sz w:val="14"/>
              </w:rPr>
              <w:t xml:space="preserve"> </w:t>
            </w:r>
            <w:r>
              <w:rPr>
                <w:color w:val="231F20"/>
                <w:sz w:val="14"/>
              </w:rPr>
              <w:t>слово.</w:t>
            </w:r>
          </w:p>
          <w:p w:rsidR="00041039" w:rsidRDefault="001B26CB">
            <w:pPr>
              <w:pStyle w:val="TableParagraph"/>
              <w:tabs>
                <w:tab w:val="left" w:pos="158"/>
              </w:tabs>
              <w:spacing w:line="160" w:lineRule="exact"/>
              <w:ind w:left="157" w:hanging="100"/>
              <w:rPr>
                <w:sz w:val="14"/>
              </w:rPr>
            </w:pPr>
            <w:r>
              <w:rPr>
                <w:color w:val="231F20"/>
                <w:sz w:val="14"/>
              </w:rPr>
              <w:t>Састављено и растављено писање</w:t>
            </w:r>
            <w:r>
              <w:rPr>
                <w:color w:val="231F20"/>
                <w:spacing w:val="-2"/>
                <w:sz w:val="14"/>
              </w:rPr>
              <w:t xml:space="preserve"> </w:t>
            </w:r>
            <w:r>
              <w:rPr>
                <w:color w:val="231F20"/>
                <w:sz w:val="14"/>
              </w:rPr>
              <w:t>речи.</w:t>
            </w:r>
          </w:p>
          <w:p w:rsidR="00041039" w:rsidRDefault="001B26CB">
            <w:pPr>
              <w:pStyle w:val="TableParagraph"/>
              <w:tabs>
                <w:tab w:val="left" w:pos="158"/>
              </w:tabs>
              <w:spacing w:line="165" w:lineRule="exact"/>
              <w:ind w:left="157" w:hanging="100"/>
              <w:rPr>
                <w:sz w:val="14"/>
              </w:rPr>
            </w:pPr>
            <w:r>
              <w:rPr>
                <w:color w:val="231F20"/>
                <w:sz w:val="14"/>
              </w:rPr>
              <w:t>Правописни знаци и знаци</w:t>
            </w:r>
            <w:r>
              <w:rPr>
                <w:color w:val="231F20"/>
                <w:spacing w:val="-16"/>
                <w:sz w:val="14"/>
              </w:rPr>
              <w:t xml:space="preserve"> </w:t>
            </w:r>
            <w:r>
              <w:rPr>
                <w:color w:val="231F20"/>
                <w:sz w:val="14"/>
              </w:rPr>
              <w:t>интерпункције.</w:t>
            </w:r>
          </w:p>
        </w:tc>
        <w:tc>
          <w:tcPr>
            <w:tcW w:w="2267" w:type="dxa"/>
            <w:vMerge/>
            <w:tcBorders>
              <w:top w:val="nil"/>
            </w:tcBorders>
          </w:tcPr>
          <w:p w:rsidR="00041039" w:rsidRDefault="00041039">
            <w:pPr>
              <w:rPr>
                <w:sz w:val="2"/>
                <w:szCs w:val="2"/>
              </w:rPr>
            </w:pPr>
          </w:p>
        </w:tc>
      </w:tr>
      <w:tr w:rsidR="00041039">
        <w:trPr>
          <w:trHeight w:val="4908"/>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tabs>
                <w:tab w:val="left" w:pos="157"/>
              </w:tabs>
              <w:spacing w:before="10"/>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tabs>
                <w:tab w:val="left" w:pos="158"/>
              </w:tabs>
              <w:spacing w:before="10"/>
              <w:ind w:left="157" w:right="116" w:hanging="100"/>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tabs>
                <w:tab w:val="left" w:pos="158"/>
              </w:tabs>
              <w:spacing w:line="160" w:lineRule="exact"/>
              <w:ind w:left="157" w:right="494" w:hanging="100"/>
              <w:rPr>
                <w:sz w:val="14"/>
              </w:rPr>
            </w:pPr>
            <w:r>
              <w:rPr>
                <w:color w:val="231F20"/>
                <w:sz w:val="14"/>
              </w:rPr>
              <w:t>даје комплексније одговоре на постављена питања и поставља питања;</w:t>
            </w:r>
          </w:p>
        </w:tc>
        <w:tc>
          <w:tcPr>
            <w:tcW w:w="2834" w:type="dxa"/>
          </w:tcPr>
          <w:p w:rsidR="00041039" w:rsidRDefault="001B26CB">
            <w:pPr>
              <w:pStyle w:val="TableParagraph"/>
              <w:tabs>
                <w:tab w:val="left" w:pos="158"/>
              </w:tabs>
              <w:spacing w:before="10" w:line="171" w:lineRule="exact"/>
              <w:ind w:left="157" w:hanging="99"/>
              <w:rPr>
                <w:sz w:val="14"/>
              </w:rPr>
            </w:pPr>
            <w:r>
              <w:rPr>
                <w:color w:val="231F20"/>
                <w:sz w:val="14"/>
              </w:rPr>
              <w:t>Тематика:</w:t>
            </w:r>
          </w:p>
          <w:p w:rsidR="00041039" w:rsidRDefault="001B26CB">
            <w:pPr>
              <w:pStyle w:val="TableParagraph"/>
              <w:tabs>
                <w:tab w:val="left" w:pos="164"/>
              </w:tabs>
              <w:spacing w:line="160" w:lineRule="exact"/>
              <w:ind w:left="163" w:hanging="105"/>
              <w:rPr>
                <w:sz w:val="14"/>
              </w:rPr>
            </w:pPr>
            <w:r>
              <w:rPr>
                <w:color w:val="231F20"/>
                <w:spacing w:val="-3"/>
                <w:sz w:val="14"/>
              </w:rPr>
              <w:t>Школа;</w:t>
            </w:r>
          </w:p>
          <w:p w:rsidR="00041039" w:rsidRDefault="001B26CB">
            <w:pPr>
              <w:pStyle w:val="TableParagraph"/>
              <w:tabs>
                <w:tab w:val="left" w:pos="164"/>
              </w:tabs>
              <w:spacing w:line="160" w:lineRule="exact"/>
              <w:ind w:left="163" w:hanging="105"/>
              <w:rPr>
                <w:sz w:val="14"/>
              </w:rPr>
            </w:pPr>
            <w:r>
              <w:rPr>
                <w:color w:val="231F20"/>
                <w:sz w:val="14"/>
              </w:rPr>
              <w:t>Занимања;</w:t>
            </w:r>
          </w:p>
          <w:p w:rsidR="00041039" w:rsidRDefault="001B26CB">
            <w:pPr>
              <w:pStyle w:val="TableParagraph"/>
              <w:tabs>
                <w:tab w:val="left" w:pos="164"/>
              </w:tabs>
              <w:spacing w:line="160" w:lineRule="exact"/>
              <w:ind w:left="163" w:hanging="105"/>
              <w:rPr>
                <w:sz w:val="14"/>
              </w:rPr>
            </w:pPr>
            <w:r>
              <w:rPr>
                <w:color w:val="231F20"/>
                <w:sz w:val="14"/>
              </w:rPr>
              <w:t>Из живота</w:t>
            </w:r>
            <w:r>
              <w:rPr>
                <w:color w:val="231F20"/>
                <w:spacing w:val="-2"/>
                <w:sz w:val="14"/>
              </w:rPr>
              <w:t xml:space="preserve"> </w:t>
            </w:r>
            <w:r>
              <w:rPr>
                <w:color w:val="231F20"/>
                <w:sz w:val="14"/>
              </w:rPr>
              <w:t>младих;</w:t>
            </w:r>
          </w:p>
          <w:p w:rsidR="00041039" w:rsidRDefault="001B26CB">
            <w:pPr>
              <w:pStyle w:val="TableParagraph"/>
              <w:tabs>
                <w:tab w:val="left" w:pos="164"/>
              </w:tabs>
              <w:spacing w:line="155" w:lineRule="exact"/>
              <w:ind w:left="163" w:hanging="105"/>
              <w:rPr>
                <w:sz w:val="14"/>
              </w:rPr>
            </w:pPr>
            <w:r>
              <w:rPr>
                <w:color w:val="231F20"/>
                <w:sz w:val="14"/>
              </w:rPr>
              <w:t>Свакодневни</w:t>
            </w:r>
            <w:r>
              <w:rPr>
                <w:color w:val="231F20"/>
                <w:spacing w:val="-1"/>
                <w:sz w:val="14"/>
              </w:rPr>
              <w:t xml:space="preserve"> </w:t>
            </w:r>
            <w:r>
              <w:rPr>
                <w:color w:val="231F20"/>
                <w:spacing w:val="-3"/>
                <w:sz w:val="14"/>
              </w:rPr>
              <w:t>живот.</w:t>
            </w:r>
          </w:p>
          <w:p w:rsidR="00041039" w:rsidRDefault="001B26CB">
            <w:pPr>
              <w:pStyle w:val="TableParagraph"/>
              <w:tabs>
                <w:tab w:val="left" w:pos="158"/>
              </w:tabs>
              <w:spacing w:line="237" w:lineRule="auto"/>
              <w:ind w:left="157" w:right="393" w:hanging="99"/>
              <w:rPr>
                <w:sz w:val="14"/>
              </w:rPr>
            </w:pPr>
            <w:r>
              <w:rPr>
                <w:color w:val="231F20"/>
                <w:sz w:val="14"/>
              </w:rPr>
              <w:t>Комуникативне функције:</w:t>
            </w:r>
            <w:r>
              <w:rPr>
                <w:color w:val="231F20"/>
                <w:spacing w:val="-28"/>
                <w:sz w:val="14"/>
              </w:rPr>
              <w:t xml:space="preserve"> </w:t>
            </w:r>
            <w:r>
              <w:rPr>
                <w:color w:val="231F20"/>
                <w:sz w:val="14"/>
              </w:rPr>
              <w:t>исказивање осећања и</w:t>
            </w:r>
            <w:r>
              <w:rPr>
                <w:color w:val="231F20"/>
                <w:spacing w:val="-1"/>
                <w:sz w:val="14"/>
              </w:rPr>
              <w:t xml:space="preserve"> </w:t>
            </w:r>
            <w:r>
              <w:rPr>
                <w:color w:val="231F20"/>
                <w:sz w:val="14"/>
              </w:rPr>
              <w:t>ставова.</w:t>
            </w:r>
          </w:p>
          <w:p w:rsidR="00041039" w:rsidRDefault="001B26CB">
            <w:pPr>
              <w:pStyle w:val="TableParagraph"/>
              <w:tabs>
                <w:tab w:val="left" w:pos="158"/>
              </w:tabs>
              <w:spacing w:line="160" w:lineRule="exact"/>
              <w:ind w:left="157" w:right="313" w:hanging="99"/>
              <w:rPr>
                <w:sz w:val="14"/>
              </w:rPr>
            </w:pPr>
            <w:r>
              <w:rPr>
                <w:color w:val="231F20"/>
                <w:sz w:val="14"/>
              </w:rPr>
              <w:t>Богаћење ученичког речника новом</w:t>
            </w:r>
            <w:r>
              <w:rPr>
                <w:color w:val="231F20"/>
                <w:spacing w:val="-26"/>
                <w:sz w:val="14"/>
              </w:rPr>
              <w:t xml:space="preserve"> </w:t>
            </w:r>
            <w:r>
              <w:rPr>
                <w:color w:val="231F20"/>
                <w:sz w:val="14"/>
              </w:rPr>
              <w:t>оп­ штом и стручном</w:t>
            </w:r>
            <w:r>
              <w:rPr>
                <w:color w:val="231F20"/>
                <w:spacing w:val="-5"/>
                <w:sz w:val="14"/>
              </w:rPr>
              <w:t xml:space="preserve"> </w:t>
            </w:r>
            <w:r>
              <w:rPr>
                <w:color w:val="231F20"/>
                <w:sz w:val="14"/>
              </w:rPr>
              <w:t>лексиком.</w:t>
            </w:r>
          </w:p>
          <w:p w:rsidR="00041039" w:rsidRDefault="001B26CB">
            <w:pPr>
              <w:pStyle w:val="TableParagraph"/>
              <w:tabs>
                <w:tab w:val="left" w:pos="158"/>
              </w:tabs>
              <w:spacing w:line="153" w:lineRule="exact"/>
              <w:ind w:left="157"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tabs>
                <w:tab w:val="left" w:pos="158"/>
              </w:tabs>
              <w:spacing w:line="166" w:lineRule="exact"/>
              <w:ind w:left="157"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64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tabs>
                <w:tab w:val="left" w:pos="157"/>
              </w:tabs>
              <w:spacing w:before="8"/>
              <w:ind w:right="138" w:hanging="100"/>
              <w:rPr>
                <w:sz w:val="14"/>
              </w:rPr>
            </w:pPr>
            <w:r>
              <w:rPr>
                <w:color w:val="231F20"/>
                <w:sz w:val="14"/>
              </w:rPr>
              <w:t>Упознавање са раз­ личитим књижевним родовима и врстама и значајним делима српске</w:t>
            </w:r>
            <w:r>
              <w:rPr>
                <w:color w:val="231F20"/>
                <w:spacing w:val="-3"/>
                <w:sz w:val="14"/>
              </w:rPr>
              <w:t xml:space="preserve"> </w:t>
            </w:r>
            <w:r>
              <w:rPr>
                <w:color w:val="231F20"/>
                <w:sz w:val="14"/>
              </w:rPr>
              <w:t>књижевности.</w:t>
            </w:r>
          </w:p>
        </w:tc>
        <w:tc>
          <w:tcPr>
            <w:tcW w:w="2551" w:type="dxa"/>
          </w:tcPr>
          <w:p w:rsidR="00041039" w:rsidRDefault="001B26CB">
            <w:pPr>
              <w:pStyle w:val="TableParagraph"/>
              <w:tabs>
                <w:tab w:val="left" w:pos="157"/>
              </w:tabs>
              <w:spacing w:before="8"/>
              <w:ind w:right="267" w:hanging="99"/>
              <w:rPr>
                <w:sz w:val="14"/>
              </w:rPr>
            </w:pPr>
            <w:r>
              <w:rPr>
                <w:color w:val="231F20"/>
                <w:sz w:val="14"/>
              </w:rPr>
              <w:t>разликује књижевне родове и</w:t>
            </w:r>
            <w:r>
              <w:rPr>
                <w:color w:val="231F20"/>
                <w:spacing w:val="-15"/>
                <w:sz w:val="14"/>
              </w:rPr>
              <w:t xml:space="preserve"> </w:t>
            </w:r>
            <w:r>
              <w:rPr>
                <w:color w:val="231F20"/>
                <w:sz w:val="14"/>
              </w:rPr>
              <w:t>врсте и користи познавање жанровских посредности при интерпретацији књижевног дела у</w:t>
            </w:r>
            <w:r>
              <w:rPr>
                <w:color w:val="231F20"/>
                <w:spacing w:val="-1"/>
                <w:sz w:val="14"/>
              </w:rPr>
              <w:t xml:space="preserve"> </w:t>
            </w:r>
            <w:r>
              <w:rPr>
                <w:color w:val="231F20"/>
                <w:sz w:val="14"/>
              </w:rPr>
              <w:t>настави;</w:t>
            </w:r>
          </w:p>
          <w:p w:rsidR="00041039" w:rsidRDefault="001B26CB">
            <w:pPr>
              <w:pStyle w:val="TableParagraph"/>
              <w:tabs>
                <w:tab w:val="left" w:pos="157"/>
              </w:tabs>
              <w:spacing w:line="156" w:lineRule="exact"/>
              <w:ind w:hanging="99"/>
              <w:rPr>
                <w:sz w:val="14"/>
              </w:rPr>
            </w:pPr>
            <w:r>
              <w:rPr>
                <w:color w:val="231F20"/>
                <w:sz w:val="14"/>
              </w:rPr>
              <w:t>чита, препричава и тумачи</w:t>
            </w:r>
            <w:r>
              <w:rPr>
                <w:color w:val="231F20"/>
                <w:spacing w:val="-14"/>
                <w:sz w:val="14"/>
              </w:rPr>
              <w:t xml:space="preserve"> </w:t>
            </w:r>
            <w:r>
              <w:rPr>
                <w:color w:val="231F20"/>
                <w:sz w:val="14"/>
              </w:rPr>
              <w:t>књижевно­</w:t>
            </w:r>
          </w:p>
          <w:p w:rsidR="00041039" w:rsidRDefault="001B26CB">
            <w:pPr>
              <w:pStyle w:val="TableParagraph"/>
              <w:spacing w:line="155" w:lineRule="exact"/>
              <w:rPr>
                <w:sz w:val="14"/>
              </w:rPr>
            </w:pPr>
            <w:r>
              <w:rPr>
                <w:color w:val="231F20"/>
                <w:sz w:val="14"/>
              </w:rPr>
              <w:t>уметничке и остале типове текстова;</w:t>
            </w:r>
          </w:p>
          <w:p w:rsidR="00041039" w:rsidRDefault="001B26CB">
            <w:pPr>
              <w:pStyle w:val="TableParagraph"/>
              <w:tabs>
                <w:tab w:val="left" w:pos="157"/>
              </w:tabs>
              <w:spacing w:line="237" w:lineRule="auto"/>
              <w:ind w:right="269" w:hanging="99"/>
              <w:rPr>
                <w:sz w:val="14"/>
              </w:rPr>
            </w:pPr>
            <w:r>
              <w:rPr>
                <w:color w:val="231F20"/>
                <w:sz w:val="14"/>
              </w:rPr>
              <w:t>анализира идејне аспекте текстова обухваћених школским</w:t>
            </w:r>
            <w:r>
              <w:rPr>
                <w:color w:val="231F20"/>
                <w:spacing w:val="-27"/>
                <w:sz w:val="14"/>
              </w:rPr>
              <w:t xml:space="preserve"> </w:t>
            </w:r>
            <w:r>
              <w:rPr>
                <w:color w:val="231F20"/>
                <w:sz w:val="14"/>
              </w:rPr>
              <w:t>програмом;</w:t>
            </w:r>
          </w:p>
        </w:tc>
        <w:tc>
          <w:tcPr>
            <w:tcW w:w="2834" w:type="dxa"/>
          </w:tcPr>
          <w:p w:rsidR="00041039" w:rsidRDefault="001B26CB">
            <w:pPr>
              <w:pStyle w:val="TableParagraph"/>
              <w:tabs>
                <w:tab w:val="left" w:pos="157"/>
              </w:tabs>
              <w:spacing w:before="8"/>
              <w:ind w:right="452" w:hanging="99"/>
              <w:rPr>
                <w:sz w:val="14"/>
              </w:rPr>
            </w:pPr>
            <w:r>
              <w:rPr>
                <w:color w:val="231F20"/>
                <w:sz w:val="14"/>
              </w:rPr>
              <w:t>Вук Стефановић Караџић ­</w:t>
            </w:r>
            <w:r>
              <w:rPr>
                <w:color w:val="231F20"/>
                <w:spacing w:val="-14"/>
                <w:sz w:val="14"/>
              </w:rPr>
              <w:t xml:space="preserve"> </w:t>
            </w:r>
            <w:r>
              <w:rPr>
                <w:color w:val="231F20"/>
                <w:sz w:val="14"/>
              </w:rPr>
              <w:t>сакупљач народних</w:t>
            </w:r>
            <w:r>
              <w:rPr>
                <w:color w:val="231F20"/>
                <w:spacing w:val="-1"/>
                <w:sz w:val="14"/>
              </w:rPr>
              <w:t xml:space="preserve"> </w:t>
            </w:r>
            <w:r>
              <w:rPr>
                <w:color w:val="231F20"/>
                <w:sz w:val="14"/>
              </w:rPr>
              <w:t>умотворина.</w:t>
            </w:r>
          </w:p>
          <w:p w:rsidR="00041039" w:rsidRDefault="001B26CB">
            <w:pPr>
              <w:pStyle w:val="TableParagraph"/>
              <w:tabs>
                <w:tab w:val="left" w:pos="157"/>
              </w:tabs>
              <w:spacing w:line="160" w:lineRule="exact"/>
              <w:ind w:right="109" w:hanging="99"/>
              <w:jc w:val="both"/>
              <w:rPr>
                <w:sz w:val="14"/>
              </w:rPr>
            </w:pPr>
            <w:r>
              <w:rPr>
                <w:color w:val="231F20"/>
                <w:sz w:val="14"/>
              </w:rPr>
              <w:t>Избор из лирске народне поезије („Српска дјевојка”, „Девојка и сунце”, „Мајка Јова</w:t>
            </w:r>
            <w:r>
              <w:rPr>
                <w:color w:val="231F20"/>
                <w:spacing w:val="-17"/>
                <w:sz w:val="14"/>
              </w:rPr>
              <w:t xml:space="preserve"> </w:t>
            </w:r>
            <w:r>
              <w:rPr>
                <w:color w:val="231F20"/>
                <w:sz w:val="14"/>
              </w:rPr>
              <w:t>у ружи</w:t>
            </w:r>
            <w:r>
              <w:rPr>
                <w:color w:val="231F20"/>
                <w:spacing w:val="-1"/>
                <w:sz w:val="14"/>
              </w:rPr>
              <w:t xml:space="preserve"> </w:t>
            </w:r>
            <w:r>
              <w:rPr>
                <w:color w:val="231F20"/>
                <w:sz w:val="14"/>
              </w:rPr>
              <w:t>родила”).</w:t>
            </w:r>
          </w:p>
          <w:p w:rsidR="00041039" w:rsidRDefault="001B26CB">
            <w:pPr>
              <w:pStyle w:val="TableParagraph"/>
              <w:tabs>
                <w:tab w:val="left" w:pos="157"/>
              </w:tabs>
              <w:spacing w:line="153" w:lineRule="exact"/>
              <w:ind w:hanging="99"/>
              <w:rPr>
                <w:sz w:val="14"/>
              </w:rPr>
            </w:pPr>
            <w:r>
              <w:rPr>
                <w:color w:val="231F20"/>
                <w:sz w:val="14"/>
              </w:rPr>
              <w:t>Епска народна песма ­ „Косовка</w:t>
            </w:r>
            <w:r>
              <w:rPr>
                <w:color w:val="231F20"/>
                <w:spacing w:val="-11"/>
                <w:sz w:val="14"/>
              </w:rPr>
              <w:t xml:space="preserve"> </w:t>
            </w:r>
            <w:r>
              <w:rPr>
                <w:color w:val="231F20"/>
                <w:sz w:val="14"/>
              </w:rPr>
              <w:t>девојка”.</w:t>
            </w:r>
          </w:p>
          <w:p w:rsidR="00041039" w:rsidRDefault="001B26CB">
            <w:pPr>
              <w:pStyle w:val="TableParagraph"/>
              <w:tabs>
                <w:tab w:val="left" w:pos="157"/>
              </w:tabs>
              <w:spacing w:line="160" w:lineRule="exact"/>
              <w:ind w:hanging="99"/>
              <w:rPr>
                <w:sz w:val="14"/>
              </w:rPr>
            </w:pPr>
            <w:r>
              <w:rPr>
                <w:color w:val="231F20"/>
                <w:sz w:val="14"/>
              </w:rPr>
              <w:t>Легенде и предања о Светом</w:t>
            </w:r>
            <w:r>
              <w:rPr>
                <w:color w:val="231F20"/>
                <w:spacing w:val="-5"/>
                <w:sz w:val="14"/>
              </w:rPr>
              <w:t xml:space="preserve"> </w:t>
            </w:r>
            <w:r>
              <w:rPr>
                <w:color w:val="231F20"/>
                <w:sz w:val="14"/>
              </w:rPr>
              <w:t>Сави.</w:t>
            </w:r>
          </w:p>
          <w:p w:rsidR="00041039" w:rsidRDefault="001B26CB">
            <w:pPr>
              <w:pStyle w:val="TableParagraph"/>
              <w:tabs>
                <w:tab w:val="left" w:pos="157"/>
              </w:tabs>
              <w:spacing w:line="237" w:lineRule="auto"/>
              <w:ind w:right="91" w:hanging="99"/>
              <w:rPr>
                <w:sz w:val="14"/>
              </w:rPr>
            </w:pPr>
            <w:r>
              <w:rPr>
                <w:color w:val="231F20"/>
                <w:sz w:val="14"/>
              </w:rPr>
              <w:t>Народна бајка (по избору) ­ „Дјевојка</w:t>
            </w:r>
            <w:r>
              <w:rPr>
                <w:color w:val="231F20"/>
                <w:spacing w:val="-22"/>
                <w:sz w:val="14"/>
              </w:rPr>
              <w:t xml:space="preserve"> </w:t>
            </w:r>
            <w:r>
              <w:rPr>
                <w:color w:val="231F20"/>
                <w:sz w:val="14"/>
              </w:rPr>
              <w:t xml:space="preserve">бржа </w:t>
            </w:r>
            <w:r>
              <w:rPr>
                <w:color w:val="231F20"/>
                <w:spacing w:val="-3"/>
                <w:sz w:val="14"/>
              </w:rPr>
              <w:t xml:space="preserve">од </w:t>
            </w:r>
            <w:r>
              <w:rPr>
                <w:color w:val="231F20"/>
                <w:sz w:val="14"/>
              </w:rPr>
              <w:t>коња”; „Међедовић”,</w:t>
            </w:r>
            <w:r>
              <w:rPr>
                <w:color w:val="231F20"/>
                <w:spacing w:val="-1"/>
                <w:sz w:val="14"/>
              </w:rPr>
              <w:t xml:space="preserve"> </w:t>
            </w:r>
            <w:r>
              <w:rPr>
                <w:color w:val="231F20"/>
                <w:sz w:val="14"/>
              </w:rPr>
              <w:t>„Биберче”.</w:t>
            </w:r>
          </w:p>
          <w:p w:rsidR="00041039" w:rsidRDefault="001B26CB">
            <w:pPr>
              <w:pStyle w:val="TableParagraph"/>
              <w:tabs>
                <w:tab w:val="left" w:pos="157"/>
              </w:tabs>
              <w:spacing w:line="155" w:lineRule="exact"/>
              <w:ind w:hanging="99"/>
              <w:rPr>
                <w:sz w:val="14"/>
              </w:rPr>
            </w:pPr>
            <w:r>
              <w:rPr>
                <w:color w:val="231F20"/>
                <w:sz w:val="14"/>
              </w:rPr>
              <w:t>Бранислав Нушић: „Госпођа</w:t>
            </w:r>
            <w:r>
              <w:rPr>
                <w:color w:val="231F20"/>
                <w:spacing w:val="-12"/>
                <w:sz w:val="14"/>
              </w:rPr>
              <w:t xml:space="preserve"> </w:t>
            </w:r>
            <w:r>
              <w:rPr>
                <w:color w:val="231F20"/>
                <w:sz w:val="14"/>
              </w:rPr>
              <w:t>министарка”.</w:t>
            </w:r>
          </w:p>
          <w:p w:rsidR="00041039" w:rsidRDefault="001B26CB">
            <w:pPr>
              <w:pStyle w:val="TableParagraph"/>
              <w:tabs>
                <w:tab w:val="left" w:pos="157"/>
              </w:tabs>
              <w:spacing w:line="237" w:lineRule="auto"/>
              <w:ind w:right="449" w:hanging="99"/>
              <w:rPr>
                <w:sz w:val="14"/>
              </w:rPr>
            </w:pPr>
            <w:r>
              <w:rPr>
                <w:color w:val="231F20"/>
                <w:sz w:val="14"/>
              </w:rPr>
              <w:t>Лаза Лазаревић: „Први пут с оцем на јутрење”.</w:t>
            </w:r>
          </w:p>
          <w:p w:rsidR="00041039" w:rsidRDefault="001B26CB">
            <w:pPr>
              <w:pStyle w:val="TableParagraph"/>
              <w:tabs>
                <w:tab w:val="left" w:pos="157"/>
              </w:tabs>
              <w:spacing w:line="160" w:lineRule="exact"/>
              <w:ind w:right="111" w:hanging="99"/>
              <w:rPr>
                <w:sz w:val="14"/>
              </w:rPr>
            </w:pPr>
            <w:r>
              <w:rPr>
                <w:color w:val="231F20"/>
                <w:sz w:val="14"/>
              </w:rPr>
              <w:t xml:space="preserve">Јован Јовановић Змај: </w:t>
            </w:r>
            <w:r>
              <w:rPr>
                <w:color w:val="231F20"/>
                <w:spacing w:val="-4"/>
                <w:sz w:val="14"/>
              </w:rPr>
              <w:t xml:space="preserve">„Ћулићи” </w:t>
            </w:r>
            <w:r>
              <w:rPr>
                <w:color w:val="231F20"/>
                <w:sz w:val="14"/>
              </w:rPr>
              <w:t xml:space="preserve">и </w:t>
            </w:r>
            <w:r>
              <w:rPr>
                <w:color w:val="231F20"/>
                <w:spacing w:val="-4"/>
                <w:sz w:val="14"/>
              </w:rPr>
              <w:t xml:space="preserve">„Ћулићи </w:t>
            </w:r>
            <w:r>
              <w:rPr>
                <w:color w:val="231F20"/>
                <w:sz w:val="14"/>
              </w:rPr>
              <w:t>увеоци”</w:t>
            </w:r>
            <w:r>
              <w:rPr>
                <w:color w:val="231F20"/>
                <w:spacing w:val="-1"/>
                <w:sz w:val="14"/>
              </w:rPr>
              <w:t xml:space="preserve"> </w:t>
            </w:r>
            <w:r>
              <w:rPr>
                <w:color w:val="231F20"/>
                <w:sz w:val="14"/>
              </w:rPr>
              <w:t>(избор).</w:t>
            </w:r>
          </w:p>
          <w:p w:rsidR="00041039" w:rsidRDefault="001B26CB">
            <w:pPr>
              <w:pStyle w:val="TableParagraph"/>
              <w:tabs>
                <w:tab w:val="left" w:pos="157"/>
              </w:tabs>
              <w:spacing w:line="160" w:lineRule="exact"/>
              <w:ind w:right="322" w:hanging="99"/>
              <w:rPr>
                <w:sz w:val="14"/>
              </w:rPr>
            </w:pPr>
            <w:r>
              <w:rPr>
                <w:color w:val="231F20"/>
                <w:sz w:val="14"/>
              </w:rPr>
              <w:t>Десанка Максимовић: „Сребрне плеса­ чице”.</w:t>
            </w:r>
          </w:p>
          <w:p w:rsidR="00041039" w:rsidRDefault="001B26CB">
            <w:pPr>
              <w:pStyle w:val="TableParagraph"/>
              <w:tabs>
                <w:tab w:val="left" w:pos="157"/>
              </w:tabs>
              <w:spacing w:line="153" w:lineRule="exact"/>
              <w:ind w:hanging="99"/>
              <w:jc w:val="both"/>
              <w:rPr>
                <w:sz w:val="14"/>
              </w:rPr>
            </w:pPr>
            <w:r>
              <w:rPr>
                <w:color w:val="231F20"/>
                <w:sz w:val="14"/>
              </w:rPr>
              <w:t>Ћура Јакшић:</w:t>
            </w:r>
            <w:r>
              <w:rPr>
                <w:color w:val="231F20"/>
                <w:spacing w:val="-3"/>
                <w:sz w:val="14"/>
              </w:rPr>
              <w:t xml:space="preserve"> </w:t>
            </w:r>
            <w:r>
              <w:rPr>
                <w:color w:val="231F20"/>
                <w:sz w:val="14"/>
              </w:rPr>
              <w:t>,,Вече”.</w:t>
            </w:r>
          </w:p>
          <w:p w:rsidR="00041039" w:rsidRDefault="001B26CB">
            <w:pPr>
              <w:pStyle w:val="TableParagraph"/>
              <w:tabs>
                <w:tab w:val="left" w:pos="157"/>
              </w:tabs>
              <w:spacing w:line="160" w:lineRule="exact"/>
              <w:ind w:hanging="99"/>
              <w:jc w:val="both"/>
              <w:rPr>
                <w:sz w:val="14"/>
              </w:rPr>
            </w:pPr>
            <w:r>
              <w:rPr>
                <w:color w:val="231F20"/>
                <w:sz w:val="14"/>
              </w:rPr>
              <w:t>Данило Киш: избор из</w:t>
            </w:r>
            <w:r>
              <w:rPr>
                <w:color w:val="231F20"/>
                <w:spacing w:val="-8"/>
                <w:sz w:val="14"/>
              </w:rPr>
              <w:t xml:space="preserve"> </w:t>
            </w:r>
            <w:r>
              <w:rPr>
                <w:color w:val="231F20"/>
                <w:sz w:val="14"/>
              </w:rPr>
              <w:t>приповедака.</w:t>
            </w:r>
          </w:p>
          <w:p w:rsidR="00041039" w:rsidRDefault="001B26CB">
            <w:pPr>
              <w:pStyle w:val="TableParagraph"/>
              <w:tabs>
                <w:tab w:val="left" w:pos="157"/>
              </w:tabs>
              <w:spacing w:line="160" w:lineRule="exact"/>
              <w:ind w:hanging="99"/>
              <w:jc w:val="both"/>
              <w:rPr>
                <w:sz w:val="14"/>
              </w:rPr>
            </w:pPr>
            <w:r>
              <w:rPr>
                <w:color w:val="231F20"/>
                <w:sz w:val="14"/>
              </w:rPr>
              <w:t>Иво Андрић: „Мост па Жепи”­</w:t>
            </w:r>
            <w:r>
              <w:rPr>
                <w:color w:val="231F20"/>
                <w:spacing w:val="-13"/>
                <w:sz w:val="14"/>
              </w:rPr>
              <w:t xml:space="preserve"> </w:t>
            </w:r>
            <w:r>
              <w:rPr>
                <w:color w:val="231F20"/>
                <w:sz w:val="14"/>
              </w:rPr>
              <w:t>одломак.</w:t>
            </w:r>
          </w:p>
          <w:p w:rsidR="00041039" w:rsidRDefault="001B26CB">
            <w:pPr>
              <w:pStyle w:val="TableParagraph"/>
              <w:tabs>
                <w:tab w:val="left" w:pos="157"/>
              </w:tabs>
              <w:spacing w:line="160" w:lineRule="exact"/>
              <w:ind w:hanging="99"/>
              <w:jc w:val="both"/>
              <w:rPr>
                <w:sz w:val="14"/>
              </w:rPr>
            </w:pPr>
            <w:r>
              <w:rPr>
                <w:color w:val="231F20"/>
                <w:sz w:val="14"/>
              </w:rPr>
              <w:t>Радоје Домановић:</w:t>
            </w:r>
            <w:r>
              <w:rPr>
                <w:color w:val="231F20"/>
                <w:spacing w:val="-2"/>
                <w:sz w:val="14"/>
              </w:rPr>
              <w:t xml:space="preserve"> </w:t>
            </w:r>
            <w:r>
              <w:rPr>
                <w:color w:val="231F20"/>
                <w:sz w:val="14"/>
              </w:rPr>
              <w:t>„Вођа”.</w:t>
            </w:r>
          </w:p>
          <w:p w:rsidR="00041039" w:rsidRDefault="001B26CB">
            <w:pPr>
              <w:pStyle w:val="TableParagraph"/>
              <w:tabs>
                <w:tab w:val="left" w:pos="157"/>
              </w:tabs>
              <w:spacing w:line="237" w:lineRule="auto"/>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tabs>
                <w:tab w:val="left" w:pos="157"/>
              </w:tabs>
              <w:spacing w:line="237" w:lineRule="auto"/>
              <w:ind w:right="238" w:hanging="99"/>
              <w:rPr>
                <w:sz w:val="14"/>
              </w:rPr>
            </w:pPr>
            <w:r>
              <w:rPr>
                <w:color w:val="231F20"/>
                <w:sz w:val="14"/>
              </w:rPr>
              <w:t>Избор песама: староградске и савремене музике.</w:t>
            </w:r>
          </w:p>
          <w:p w:rsidR="00041039" w:rsidRDefault="001B26CB">
            <w:pPr>
              <w:pStyle w:val="TableParagraph"/>
              <w:spacing w:line="160" w:lineRule="exact"/>
              <w:ind w:left="57"/>
              <w:jc w:val="both"/>
              <w:rPr>
                <w:b/>
                <w:sz w:val="14"/>
              </w:rPr>
            </w:pPr>
            <w:r>
              <w:rPr>
                <w:b/>
                <w:color w:val="231F20"/>
                <w:sz w:val="14"/>
              </w:rPr>
              <w:t>(Обавезно треба обрадити седам дела.)</w:t>
            </w:r>
          </w:p>
        </w:tc>
        <w:tc>
          <w:tcPr>
            <w:tcW w:w="2267" w:type="dxa"/>
          </w:tcPr>
          <w:p w:rsidR="00041039" w:rsidRDefault="001B26CB">
            <w:pPr>
              <w:pStyle w:val="TableParagraph"/>
              <w:spacing w:before="19"/>
              <w:ind w:left="57" w:right="43"/>
              <w:rPr>
                <w:sz w:val="14"/>
              </w:rPr>
            </w:pPr>
            <w:r>
              <w:rPr>
                <w:color w:val="231F20"/>
                <w:sz w:val="14"/>
              </w:rPr>
              <w:t>С обзиром на то даје основни циљ наставе овога предмета продуктив­ но</w:t>
            </w:r>
            <w:r>
              <w:rPr>
                <w:color w:val="231F20"/>
                <w:sz w:val="14"/>
              </w:rPr>
              <w:t xml:space="preserve">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line="237" w:lineRule="auto"/>
              <w:ind w:left="57" w:right="112"/>
              <w:rPr>
                <w:sz w:val="14"/>
              </w:rPr>
            </w:pPr>
            <w:r>
              <w:rPr>
                <w:color w:val="231F20"/>
                <w:sz w:val="14"/>
              </w:rPr>
              <w:t>Садржаји програма из граматике повезани су са с</w:t>
            </w:r>
            <w:r>
              <w:rPr>
                <w:color w:val="231F20"/>
                <w:sz w:val="14"/>
              </w:rPr>
              <w:t xml:space="preserve">адржајима грама­ тике у основној </w:t>
            </w:r>
            <w:r>
              <w:rPr>
                <w:color w:val="231F20"/>
                <w:spacing w:val="-3"/>
                <w:sz w:val="14"/>
              </w:rPr>
              <w:t xml:space="preserve">школи, </w:t>
            </w:r>
            <w:r>
              <w:rPr>
                <w:color w:val="231F20"/>
                <w:sz w:val="14"/>
              </w:rPr>
              <w:t>којима се сада приступа когнитивно. Тиме се знања употпуњују и подижу на виши ниво, коригују се</w:t>
            </w:r>
            <w:r>
              <w:rPr>
                <w:color w:val="231F20"/>
                <w:spacing w:val="-19"/>
                <w:sz w:val="14"/>
              </w:rPr>
              <w:t xml:space="preserve"> </w:t>
            </w:r>
            <w:r>
              <w:rPr>
                <w:color w:val="231F20"/>
                <w:sz w:val="14"/>
              </w:rPr>
              <w:t>евентуалне грешке настале услед интерферен­ ције матерњег језика и</w:t>
            </w:r>
            <w:r>
              <w:rPr>
                <w:color w:val="231F20"/>
                <w:spacing w:val="-17"/>
                <w:sz w:val="14"/>
              </w:rPr>
              <w:t xml:space="preserve"> </w:t>
            </w:r>
            <w:r>
              <w:rPr>
                <w:color w:val="231F20"/>
                <w:sz w:val="14"/>
              </w:rPr>
              <w:t>недовољно</w:t>
            </w:r>
          </w:p>
          <w:p w:rsidR="00041039" w:rsidRDefault="001B26CB">
            <w:pPr>
              <w:pStyle w:val="TableParagraph"/>
              <w:ind w:left="57"/>
              <w:rPr>
                <w:sz w:val="14"/>
              </w:rPr>
            </w:pPr>
            <w:r>
              <w:rPr>
                <w:color w:val="231F20"/>
                <w:sz w:val="14"/>
              </w:rPr>
              <w:t>савладаних садржаја из претходних разреда.</w:t>
            </w:r>
          </w:p>
          <w:p w:rsidR="00041039" w:rsidRDefault="001B26CB">
            <w:pPr>
              <w:pStyle w:val="TableParagraph"/>
              <w:ind w:left="57" w:right="54"/>
              <w:rPr>
                <w:sz w:val="14"/>
              </w:rPr>
            </w:pPr>
            <w:r>
              <w:rPr>
                <w:color w:val="231F20"/>
                <w:sz w:val="14"/>
              </w:rPr>
              <w:t>Наставу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w:t>
            </w:r>
          </w:p>
          <w:p w:rsidR="00041039" w:rsidRDefault="001B26CB">
            <w:pPr>
              <w:pStyle w:val="TableParagraph"/>
              <w:spacing w:line="237" w:lineRule="auto"/>
              <w:ind w:left="57"/>
              <w:rPr>
                <w:sz w:val="14"/>
              </w:rPr>
            </w:pPr>
            <w:r>
              <w:rPr>
                <w:color w:val="231F20"/>
                <w:sz w:val="14"/>
              </w:rPr>
              <w:t>Настава српског као нем</w:t>
            </w:r>
            <w:r>
              <w:rPr>
                <w:color w:val="231F20"/>
                <w:sz w:val="14"/>
              </w:rPr>
              <w:t>атерњег језика мора бити хуманистички оријентисана и богата како језич­ ким тако и садржајима из културе. Поред језичких, морају бити за­ ступљени књижевни, уметнички, стручни и други потребни типови текстова.</w:t>
            </w:r>
          </w:p>
          <w:p w:rsidR="00041039" w:rsidRDefault="001B26CB">
            <w:pPr>
              <w:pStyle w:val="TableParagraph"/>
              <w:ind w:left="57" w:right="32"/>
              <w:rPr>
                <w:sz w:val="14"/>
              </w:rPr>
            </w:pPr>
            <w:r>
              <w:rPr>
                <w:color w:val="231F20"/>
                <w:sz w:val="14"/>
              </w:rPr>
              <w:t>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друге пригодне текстове (научне, стручне...) преко којих ће у</w:t>
            </w:r>
            <w:r>
              <w:rPr>
                <w:color w:val="231F20"/>
                <w:sz w:val="14"/>
              </w:rPr>
              <w:t>ченици упознати различи­ те форме изражавања у књижевном делу, различите функционалне стилове и врсте текстова.</w:t>
            </w:r>
          </w:p>
          <w:p w:rsidR="00041039" w:rsidRDefault="001B26CB">
            <w:pPr>
              <w:pStyle w:val="TableParagraph"/>
              <w:spacing w:line="149" w:lineRule="exact"/>
              <w:ind w:left="57"/>
              <w:rPr>
                <w:sz w:val="14"/>
              </w:rPr>
            </w:pPr>
            <w:r>
              <w:rPr>
                <w:color w:val="231F20"/>
                <w:sz w:val="14"/>
              </w:rPr>
              <w:t>Изузетну пажњу треба посветити</w:t>
            </w:r>
          </w:p>
          <w:p w:rsidR="00041039" w:rsidRDefault="001B26CB">
            <w:pPr>
              <w:pStyle w:val="TableParagraph"/>
              <w:ind w:left="57" w:right="8"/>
              <w:rPr>
                <w:sz w:val="14"/>
              </w:rPr>
            </w:pPr>
            <w:r>
              <w:rPr>
                <w:color w:val="231F20"/>
                <w:sz w:val="14"/>
              </w:rPr>
              <w:t xml:space="preserve">мотивацији ученика за рад органи­ зовањем различитих метода и обли­ ка рада и разноврсним лексичким, граматичким </w:t>
            </w:r>
            <w:r>
              <w:rPr>
                <w:color w:val="231F20"/>
                <w:sz w:val="14"/>
              </w:rPr>
              <w:t>и комуникативним вежбама.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7" w:right="104"/>
              <w:rPr>
                <w:sz w:val="14"/>
              </w:rPr>
            </w:pPr>
            <w:r>
              <w:rPr>
                <w:i/>
                <w:color w:val="231F20"/>
                <w:sz w:val="14"/>
              </w:rPr>
              <w:t xml:space="preserve">Посебне напомене </w:t>
            </w:r>
            <w:r>
              <w:rPr>
                <w:color w:val="231F20"/>
                <w:sz w:val="14"/>
              </w:rPr>
              <w:t>за остваривање појединих садржаја у оквиру тема.</w:t>
            </w:r>
          </w:p>
          <w:p w:rsidR="00041039" w:rsidRDefault="001B26CB">
            <w:pPr>
              <w:pStyle w:val="TableParagraph"/>
              <w:tabs>
                <w:tab w:val="left" w:pos="158"/>
              </w:tabs>
              <w:spacing w:line="237" w:lineRule="auto"/>
              <w:ind w:left="157" w:right="52" w:hanging="100"/>
              <w:rPr>
                <w:sz w:val="14"/>
              </w:rPr>
            </w:pPr>
            <w:r>
              <w:rPr>
                <w:color w:val="231F20"/>
                <w:sz w:val="14"/>
              </w:rPr>
              <w:t>У оквиру фонетике обратити пажњ</w:t>
            </w:r>
            <w:r>
              <w:rPr>
                <w:color w:val="231F20"/>
                <w:sz w:val="14"/>
              </w:rPr>
              <w:t>у на разлику у акценту речи између матерњег и српског</w:t>
            </w:r>
            <w:r>
              <w:rPr>
                <w:color w:val="231F20"/>
                <w:spacing w:val="-24"/>
                <w:sz w:val="14"/>
              </w:rPr>
              <w:t xml:space="preserve"> </w:t>
            </w:r>
            <w:r>
              <w:rPr>
                <w:color w:val="231F20"/>
                <w:sz w:val="14"/>
              </w:rPr>
              <w:t>језика.</w:t>
            </w:r>
          </w:p>
          <w:p w:rsidR="00041039" w:rsidRDefault="001B26CB">
            <w:pPr>
              <w:pStyle w:val="TableParagraph"/>
              <w:tabs>
                <w:tab w:val="left" w:pos="158"/>
              </w:tabs>
              <w:spacing w:line="237" w:lineRule="auto"/>
              <w:ind w:left="157" w:right="62" w:hanging="100"/>
              <w:rPr>
                <w:sz w:val="14"/>
              </w:rPr>
            </w:pPr>
            <w:r>
              <w:rPr>
                <w:color w:val="231F20"/>
                <w:sz w:val="14"/>
              </w:rPr>
              <w:t>У садржајима морфологије тежиште треба ставити на род и број именских речи (слагање</w:t>
            </w:r>
            <w:r>
              <w:rPr>
                <w:color w:val="231F20"/>
                <w:spacing w:val="-20"/>
                <w:sz w:val="14"/>
              </w:rPr>
              <w:t xml:space="preserve"> </w:t>
            </w:r>
            <w:r>
              <w:rPr>
                <w:color w:val="231F20"/>
                <w:sz w:val="14"/>
              </w:rPr>
              <w:t>име­ ница са придевима и придевским заменицама).</w:t>
            </w:r>
          </w:p>
          <w:p w:rsidR="00041039" w:rsidRDefault="001B26CB">
            <w:pPr>
              <w:pStyle w:val="TableParagraph"/>
              <w:tabs>
                <w:tab w:val="left" w:pos="158"/>
              </w:tabs>
              <w:spacing w:line="237" w:lineRule="auto"/>
              <w:ind w:left="157" w:right="185" w:hanging="100"/>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w:t>
            </w:r>
            <w:r>
              <w:rPr>
                <w:color w:val="231F20"/>
                <w:spacing w:val="-10"/>
                <w:sz w:val="14"/>
              </w:rPr>
              <w:t xml:space="preserve"> </w:t>
            </w:r>
            <w:r>
              <w:rPr>
                <w:color w:val="231F20"/>
                <w:sz w:val="14"/>
              </w:rPr>
              <w:t>речце</w:t>
            </w:r>
          </w:p>
          <w:p w:rsidR="00041039" w:rsidRDefault="001B26CB">
            <w:pPr>
              <w:pStyle w:val="TableParagraph"/>
              <w:ind w:left="157"/>
              <w:rPr>
                <w:sz w:val="14"/>
              </w:rPr>
            </w:pPr>
            <w:r>
              <w:rPr>
                <w:color w:val="231F20"/>
                <w:sz w:val="14"/>
              </w:rPr>
              <w:t xml:space="preserve">се </w:t>
            </w:r>
            <w:r>
              <w:rPr>
                <w:color w:val="231F20"/>
                <w:sz w:val="14"/>
              </w:rPr>
              <w:t>(код најчешће коришћених глагола).</w:t>
            </w:r>
          </w:p>
          <w:p w:rsidR="00041039" w:rsidRDefault="001B26CB">
            <w:pPr>
              <w:pStyle w:val="TableParagraph"/>
              <w:tabs>
                <w:tab w:val="left" w:pos="158"/>
              </w:tabs>
              <w:spacing w:line="160" w:lineRule="exact"/>
              <w:ind w:left="157" w:right="163" w:hanging="100"/>
              <w:jc w:val="both"/>
              <w:rPr>
                <w:sz w:val="14"/>
              </w:rPr>
            </w:pPr>
            <w:r>
              <w:rPr>
                <w:color w:val="231F20"/>
                <w:spacing w:val="-4"/>
                <w:sz w:val="14"/>
              </w:rPr>
              <w:t xml:space="preserve">Код </w:t>
            </w:r>
            <w:r>
              <w:rPr>
                <w:color w:val="231F20"/>
                <w:sz w:val="14"/>
              </w:rPr>
              <w:t>творбе речи префиксацију</w:t>
            </w:r>
            <w:r>
              <w:rPr>
                <w:color w:val="231F20"/>
                <w:spacing w:val="-7"/>
                <w:sz w:val="14"/>
              </w:rPr>
              <w:t xml:space="preserve"> </w:t>
            </w:r>
            <w:r>
              <w:rPr>
                <w:color w:val="231F20"/>
                <w:sz w:val="14"/>
              </w:rPr>
              <w:t xml:space="preserve">и суфиксацију повезати са </w:t>
            </w:r>
            <w:r>
              <w:rPr>
                <w:color w:val="231F20"/>
                <w:spacing w:val="-3"/>
                <w:sz w:val="14"/>
              </w:rPr>
              <w:t xml:space="preserve">глагол­ </w:t>
            </w:r>
            <w:r>
              <w:rPr>
                <w:color w:val="231F20"/>
                <w:sz w:val="14"/>
              </w:rPr>
              <w:t>ским</w:t>
            </w:r>
            <w:r>
              <w:rPr>
                <w:color w:val="231F20"/>
                <w:spacing w:val="-1"/>
                <w:sz w:val="14"/>
              </w:rPr>
              <w:t xml:space="preserve"> </w:t>
            </w:r>
            <w:r>
              <w:rPr>
                <w:color w:val="231F20"/>
                <w:sz w:val="14"/>
              </w:rPr>
              <w:t>видом.</w:t>
            </w:r>
          </w:p>
          <w:p w:rsidR="00041039" w:rsidRDefault="001B26CB">
            <w:pPr>
              <w:pStyle w:val="TableParagraph"/>
              <w:tabs>
                <w:tab w:val="left" w:pos="158"/>
              </w:tabs>
              <w:spacing w:line="160" w:lineRule="exact"/>
              <w:ind w:left="157" w:right="484" w:hanging="100"/>
              <w:rPr>
                <w:sz w:val="14"/>
              </w:rPr>
            </w:pPr>
            <w:r>
              <w:rPr>
                <w:color w:val="231F20"/>
                <w:sz w:val="14"/>
              </w:rPr>
              <w:t>У остваривању садржаја програма који се односе</w:t>
            </w:r>
            <w:r>
              <w:rPr>
                <w:color w:val="231F20"/>
                <w:spacing w:val="-16"/>
                <w:sz w:val="14"/>
              </w:rPr>
              <w:t xml:space="preserve"> </w:t>
            </w:r>
            <w:r>
              <w:rPr>
                <w:color w:val="231F20"/>
                <w:sz w:val="14"/>
              </w:rPr>
              <w:t>на</w:t>
            </w:r>
          </w:p>
          <w:p w:rsidR="00041039" w:rsidRDefault="001B26CB">
            <w:pPr>
              <w:pStyle w:val="TableParagraph"/>
              <w:spacing w:line="237" w:lineRule="auto"/>
              <w:ind w:left="157" w:right="30"/>
              <w:rPr>
                <w:sz w:val="14"/>
              </w:rPr>
            </w:pPr>
            <w:r>
              <w:rPr>
                <w:color w:val="231F20"/>
                <w:sz w:val="14"/>
              </w:rPr>
              <w:t>падеже детаљније обрадити месна значења генитива, акузатива и локатива. Увежбавање падежа повезивати са проширивањем реченице синтагмама.</w:t>
            </w:r>
          </w:p>
          <w:p w:rsidR="00041039" w:rsidRDefault="001B26CB">
            <w:pPr>
              <w:pStyle w:val="TableParagraph"/>
              <w:tabs>
                <w:tab w:val="left" w:pos="158"/>
              </w:tabs>
              <w:spacing w:line="237" w:lineRule="auto"/>
              <w:ind w:left="157" w:right="117" w:hanging="100"/>
              <w:rPr>
                <w:sz w:val="14"/>
              </w:rPr>
            </w:pPr>
            <w:r>
              <w:rPr>
                <w:color w:val="231F20"/>
                <w:sz w:val="14"/>
              </w:rPr>
              <w:t xml:space="preserve">Обратити пажњу на структуру реченице и </w:t>
            </w:r>
            <w:r>
              <w:rPr>
                <w:color w:val="231F20"/>
                <w:spacing w:val="-3"/>
                <w:sz w:val="14"/>
              </w:rPr>
              <w:t>њихову</w:t>
            </w:r>
            <w:r>
              <w:rPr>
                <w:color w:val="231F20"/>
                <w:spacing w:val="-17"/>
                <w:sz w:val="14"/>
              </w:rPr>
              <w:t xml:space="preserve"> </w:t>
            </w:r>
            <w:r>
              <w:rPr>
                <w:color w:val="231F20"/>
                <w:sz w:val="14"/>
              </w:rPr>
              <w:t>комуникатив­ ну</w:t>
            </w:r>
            <w:r>
              <w:rPr>
                <w:color w:val="231F20"/>
                <w:spacing w:val="-2"/>
                <w:sz w:val="14"/>
              </w:rPr>
              <w:t xml:space="preserve"> </w:t>
            </w:r>
            <w:r>
              <w:rPr>
                <w:color w:val="231F20"/>
                <w:sz w:val="14"/>
              </w:rPr>
              <w:t>функцију.</w:t>
            </w:r>
          </w:p>
          <w:p w:rsidR="00041039" w:rsidRDefault="001B26CB">
            <w:pPr>
              <w:pStyle w:val="TableParagraph"/>
              <w:tabs>
                <w:tab w:val="left" w:pos="158"/>
              </w:tabs>
              <w:spacing w:line="160" w:lineRule="exact"/>
              <w:ind w:left="157" w:right="110" w:hanging="100"/>
              <w:rPr>
                <w:sz w:val="14"/>
              </w:rPr>
            </w:pPr>
            <w:r>
              <w:rPr>
                <w:color w:val="231F20"/>
                <w:spacing w:val="-4"/>
                <w:sz w:val="14"/>
              </w:rPr>
              <w:t xml:space="preserve">Код </w:t>
            </w:r>
            <w:r>
              <w:rPr>
                <w:color w:val="231F20"/>
                <w:sz w:val="14"/>
              </w:rPr>
              <w:t>глаголских облика</w:t>
            </w:r>
            <w:r>
              <w:rPr>
                <w:color w:val="231F20"/>
                <w:spacing w:val="-27"/>
                <w:sz w:val="14"/>
              </w:rPr>
              <w:t xml:space="preserve"> </w:t>
            </w:r>
            <w:r>
              <w:rPr>
                <w:color w:val="231F20"/>
                <w:sz w:val="14"/>
              </w:rPr>
              <w:t>увежбава­ ти презент, перфекат и футур</w:t>
            </w:r>
            <w:r>
              <w:rPr>
                <w:color w:val="231F20"/>
                <w:spacing w:val="-20"/>
                <w:sz w:val="14"/>
              </w:rPr>
              <w:t xml:space="preserve"> </w:t>
            </w:r>
            <w:r>
              <w:rPr>
                <w:color w:val="231F20"/>
                <w:sz w:val="14"/>
              </w:rPr>
              <w:t>I.</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40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tabs>
                <w:tab w:val="left" w:pos="158"/>
              </w:tabs>
              <w:spacing w:before="8"/>
              <w:ind w:left="157" w:right="204" w:hanging="100"/>
              <w:rPr>
                <w:sz w:val="14"/>
              </w:rPr>
            </w:pPr>
            <w:r>
              <w:rPr>
                <w:color w:val="231F20"/>
                <w:sz w:val="14"/>
              </w:rPr>
              <w:t>У области правописа обавезно треба увежбавати писање</w:t>
            </w:r>
            <w:r>
              <w:rPr>
                <w:color w:val="231F20"/>
                <w:spacing w:val="-13"/>
                <w:sz w:val="14"/>
              </w:rPr>
              <w:t xml:space="preserve"> </w:t>
            </w:r>
            <w:r>
              <w:rPr>
                <w:color w:val="231F20"/>
                <w:sz w:val="14"/>
              </w:rPr>
              <w:t>речце не.</w:t>
            </w:r>
          </w:p>
          <w:p w:rsidR="00041039" w:rsidRDefault="001B26CB">
            <w:pPr>
              <w:pStyle w:val="TableParagraph"/>
              <w:tabs>
                <w:tab w:val="left" w:pos="158"/>
              </w:tabs>
              <w:spacing w:line="157" w:lineRule="exact"/>
              <w:ind w:left="157" w:hanging="100"/>
              <w:rPr>
                <w:sz w:val="14"/>
              </w:rPr>
            </w:pPr>
            <w:r>
              <w:rPr>
                <w:color w:val="231F20"/>
                <w:sz w:val="14"/>
              </w:rPr>
              <w:t>У тематици књижевност, међу</w:t>
            </w:r>
            <w:r>
              <w:rPr>
                <w:color w:val="231F20"/>
                <w:spacing w:val="-11"/>
                <w:sz w:val="14"/>
              </w:rPr>
              <w:t xml:space="preserve"> </w:t>
            </w:r>
            <w:r>
              <w:rPr>
                <w:color w:val="231F20"/>
                <w:sz w:val="14"/>
              </w:rPr>
              <w:t>се­</w:t>
            </w:r>
          </w:p>
          <w:p w:rsidR="00041039" w:rsidRDefault="001B26CB">
            <w:pPr>
              <w:pStyle w:val="TableParagraph"/>
              <w:ind w:left="157" w:right="53"/>
              <w:jc w:val="both"/>
              <w:rPr>
                <w:sz w:val="14"/>
              </w:rPr>
            </w:pPr>
            <w:r>
              <w:rPr>
                <w:color w:val="231F20"/>
                <w:sz w:val="14"/>
              </w:rPr>
              <w:t xml:space="preserve">дам књижевних дела обавезних за </w:t>
            </w:r>
            <w:r>
              <w:rPr>
                <w:color w:val="231F20"/>
                <w:spacing w:val="-3"/>
                <w:sz w:val="14"/>
              </w:rPr>
              <w:t xml:space="preserve">обраду, </w:t>
            </w:r>
            <w:r>
              <w:rPr>
                <w:color w:val="231F20"/>
                <w:sz w:val="14"/>
              </w:rPr>
              <w:t>укључити дела из народне књижевности.</w:t>
            </w:r>
          </w:p>
          <w:p w:rsidR="00041039" w:rsidRDefault="001B26CB">
            <w:pPr>
              <w:pStyle w:val="TableParagraph"/>
              <w:tabs>
                <w:tab w:val="left" w:pos="158"/>
              </w:tabs>
              <w:spacing w:line="158" w:lineRule="exact"/>
              <w:ind w:left="157" w:hanging="100"/>
              <w:rPr>
                <w:sz w:val="14"/>
              </w:rPr>
            </w:pPr>
            <w:r>
              <w:rPr>
                <w:color w:val="231F20"/>
                <w:sz w:val="14"/>
              </w:rPr>
              <w:t>Приликом</w:t>
            </w:r>
            <w:r>
              <w:rPr>
                <w:color w:val="231F20"/>
                <w:spacing w:val="-2"/>
                <w:sz w:val="14"/>
              </w:rPr>
              <w:t xml:space="preserve"> </w:t>
            </w:r>
            <w:r>
              <w:rPr>
                <w:color w:val="231F20"/>
                <w:sz w:val="14"/>
              </w:rPr>
              <w:t>интерпретације</w:t>
            </w:r>
          </w:p>
          <w:p w:rsidR="00041039" w:rsidRDefault="001B26CB">
            <w:pPr>
              <w:pStyle w:val="TableParagraph"/>
              <w:ind w:left="157" w:right="230"/>
              <w:rPr>
                <w:sz w:val="14"/>
              </w:rPr>
            </w:pPr>
            <w:r>
              <w:rPr>
                <w:color w:val="231F20"/>
                <w:sz w:val="14"/>
              </w:rPr>
              <w:t>књижевноуметничких тексто­ ва, указивати на особености књижевних родова и врста као и на језичко­стилске одлике књижевних дела.</w:t>
            </w:r>
          </w:p>
          <w:p w:rsidR="00041039" w:rsidRDefault="001B26CB">
            <w:pPr>
              <w:pStyle w:val="TableParagraph"/>
              <w:tabs>
                <w:tab w:val="left" w:pos="158"/>
              </w:tabs>
              <w:spacing w:line="156" w:lineRule="exact"/>
              <w:ind w:left="157" w:hanging="100"/>
              <w:rPr>
                <w:sz w:val="14"/>
              </w:rPr>
            </w:pPr>
            <w:r>
              <w:rPr>
                <w:color w:val="231F20"/>
                <w:sz w:val="14"/>
              </w:rPr>
              <w:t>На примерима текстова</w:t>
            </w:r>
            <w:r>
              <w:rPr>
                <w:color w:val="231F20"/>
                <w:spacing w:val="-7"/>
                <w:sz w:val="14"/>
              </w:rPr>
              <w:t xml:space="preserve"> </w:t>
            </w:r>
            <w:r>
              <w:rPr>
                <w:color w:val="231F20"/>
                <w:sz w:val="14"/>
              </w:rPr>
              <w:t>српске</w:t>
            </w:r>
          </w:p>
          <w:p w:rsidR="00041039" w:rsidRDefault="001B26CB">
            <w:pPr>
              <w:pStyle w:val="TableParagraph"/>
              <w:ind w:left="157" w:right="78"/>
              <w:rPr>
                <w:sz w:val="14"/>
              </w:rPr>
            </w:pPr>
            <w:r>
              <w:rPr>
                <w:color w:val="231F20"/>
                <w:sz w:val="14"/>
              </w:rPr>
              <w:t>књижевности обнављати и систематизовати садржаје из историје књижевности, теорије књ</w:t>
            </w:r>
            <w:r>
              <w:rPr>
                <w:color w:val="231F20"/>
                <w:sz w:val="14"/>
              </w:rPr>
              <w:t>ижевности и књижевне кри­ тике, које ученик познаје из про­ грама прописаног за савладавање његовог матерњег језика.</w:t>
            </w:r>
          </w:p>
        </w:tc>
      </w:tr>
    </w:tbl>
    <w:p w:rsidR="00041039" w:rsidRDefault="00041039">
      <w:pPr>
        <w:pStyle w:val="BodyText"/>
        <w:spacing w:before="6"/>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148"/>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tabs>
                <w:tab w:val="left" w:pos="157"/>
              </w:tabs>
              <w:spacing w:before="11" w:line="235" w:lineRule="auto"/>
              <w:ind w:right="188" w:hanging="100"/>
              <w:rPr>
                <w:sz w:val="14"/>
              </w:rPr>
            </w:pPr>
            <w:r>
              <w:rPr>
                <w:color w:val="231F20"/>
                <w:sz w:val="14"/>
              </w:rPr>
              <w:t>Оспособљавање ученика за</w:t>
            </w:r>
            <w:r>
              <w:rPr>
                <w:color w:val="231F20"/>
                <w:spacing w:val="-12"/>
                <w:sz w:val="14"/>
              </w:rPr>
              <w:t xml:space="preserve"> </w:t>
            </w:r>
            <w:r>
              <w:rPr>
                <w:color w:val="231F20"/>
                <w:sz w:val="14"/>
              </w:rPr>
              <w:t>правилно акцентовање речи и реченица.</w:t>
            </w:r>
          </w:p>
          <w:p w:rsidR="00041039" w:rsidRDefault="001B26CB">
            <w:pPr>
              <w:pStyle w:val="TableParagraph"/>
              <w:tabs>
                <w:tab w:val="left" w:pos="157"/>
              </w:tabs>
              <w:spacing w:before="2" w:line="158" w:lineRule="exact"/>
              <w:ind w:right="235" w:hanging="100"/>
              <w:rPr>
                <w:sz w:val="14"/>
              </w:rPr>
            </w:pPr>
            <w:r>
              <w:rPr>
                <w:color w:val="231F20"/>
                <w:sz w:val="14"/>
              </w:rPr>
              <w:t>Оспособљавање ученика за</w:t>
            </w:r>
            <w:r>
              <w:rPr>
                <w:color w:val="231F20"/>
                <w:spacing w:val="-11"/>
                <w:sz w:val="14"/>
              </w:rPr>
              <w:t xml:space="preserve"> </w:t>
            </w:r>
            <w:r>
              <w:rPr>
                <w:color w:val="231F20"/>
                <w:sz w:val="14"/>
              </w:rPr>
              <w:t>примену гласовних</w:t>
            </w:r>
            <w:r>
              <w:rPr>
                <w:color w:val="231F20"/>
                <w:spacing w:val="-13"/>
                <w:sz w:val="14"/>
              </w:rPr>
              <w:t xml:space="preserve"> </w:t>
            </w:r>
            <w:r>
              <w:rPr>
                <w:color w:val="231F20"/>
                <w:sz w:val="14"/>
              </w:rPr>
              <w:t>промена.</w:t>
            </w:r>
          </w:p>
        </w:tc>
        <w:tc>
          <w:tcPr>
            <w:tcW w:w="2551" w:type="dxa"/>
          </w:tcPr>
          <w:p w:rsidR="00041039" w:rsidRDefault="001B26CB">
            <w:pPr>
              <w:pStyle w:val="TableParagraph"/>
              <w:tabs>
                <w:tab w:val="left" w:pos="157"/>
              </w:tabs>
              <w:spacing w:before="11" w:line="235" w:lineRule="auto"/>
              <w:ind w:right="152" w:hanging="99"/>
              <w:rPr>
                <w:sz w:val="14"/>
              </w:rPr>
            </w:pPr>
            <w:r>
              <w:rPr>
                <w:color w:val="231F20"/>
                <w:sz w:val="14"/>
              </w:rPr>
              <w:t>примењује основна правила акценто­ вања речи и</w:t>
            </w:r>
            <w:r>
              <w:rPr>
                <w:color w:val="231F20"/>
                <w:spacing w:val="-3"/>
                <w:sz w:val="14"/>
              </w:rPr>
              <w:t xml:space="preserve"> </w:t>
            </w:r>
            <w:r>
              <w:rPr>
                <w:color w:val="231F20"/>
                <w:sz w:val="14"/>
              </w:rPr>
              <w:t>реченица;</w:t>
            </w:r>
          </w:p>
          <w:p w:rsidR="00041039" w:rsidRDefault="001B26CB">
            <w:pPr>
              <w:pStyle w:val="TableParagraph"/>
              <w:tabs>
                <w:tab w:val="left" w:pos="157"/>
              </w:tabs>
              <w:spacing w:before="2" w:line="158"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tabs>
                <w:tab w:val="left" w:pos="157"/>
              </w:tabs>
              <w:spacing w:before="8" w:line="165" w:lineRule="exact"/>
              <w:ind w:hanging="99"/>
              <w:rPr>
                <w:sz w:val="14"/>
              </w:rPr>
            </w:pPr>
            <w:r>
              <w:rPr>
                <w:color w:val="231F20"/>
                <w:sz w:val="14"/>
              </w:rPr>
              <w:t>Квалитет и квантитет</w:t>
            </w:r>
            <w:r>
              <w:rPr>
                <w:color w:val="231F20"/>
                <w:spacing w:val="-3"/>
                <w:sz w:val="14"/>
              </w:rPr>
              <w:t xml:space="preserve"> </w:t>
            </w:r>
            <w:r>
              <w:rPr>
                <w:color w:val="231F20"/>
                <w:sz w:val="14"/>
              </w:rPr>
              <w:t>акцента.</w:t>
            </w:r>
          </w:p>
          <w:p w:rsidR="00041039" w:rsidRDefault="001B26CB">
            <w:pPr>
              <w:pStyle w:val="TableParagraph"/>
              <w:tabs>
                <w:tab w:val="left" w:pos="157"/>
              </w:tabs>
              <w:spacing w:line="158" w:lineRule="exact"/>
              <w:ind w:hanging="99"/>
              <w:rPr>
                <w:sz w:val="14"/>
              </w:rPr>
            </w:pPr>
            <w:r>
              <w:rPr>
                <w:color w:val="231F20"/>
                <w:sz w:val="14"/>
              </w:rPr>
              <w:t>Једначење сугласника по</w:t>
            </w:r>
            <w:r>
              <w:rPr>
                <w:color w:val="231F20"/>
                <w:spacing w:val="-7"/>
                <w:sz w:val="14"/>
              </w:rPr>
              <w:t xml:space="preserve"> </w:t>
            </w:r>
            <w:r>
              <w:rPr>
                <w:color w:val="231F20"/>
                <w:sz w:val="14"/>
              </w:rPr>
              <w:t>звучности.</w:t>
            </w:r>
          </w:p>
          <w:p w:rsidR="00041039" w:rsidRDefault="001B26CB">
            <w:pPr>
              <w:pStyle w:val="TableParagraph"/>
              <w:tabs>
                <w:tab w:val="left" w:pos="157"/>
              </w:tabs>
              <w:spacing w:line="158" w:lineRule="exact"/>
              <w:ind w:hanging="99"/>
              <w:rPr>
                <w:sz w:val="14"/>
              </w:rPr>
            </w:pPr>
            <w:r>
              <w:rPr>
                <w:color w:val="231F20"/>
                <w:sz w:val="14"/>
              </w:rPr>
              <w:t>Једначење сугласника по месту</w:t>
            </w:r>
            <w:r>
              <w:rPr>
                <w:color w:val="231F20"/>
                <w:spacing w:val="-10"/>
                <w:sz w:val="14"/>
              </w:rPr>
              <w:t xml:space="preserve"> </w:t>
            </w:r>
            <w:r>
              <w:rPr>
                <w:color w:val="231F20"/>
                <w:sz w:val="14"/>
              </w:rPr>
              <w:t>творбе.</w:t>
            </w:r>
          </w:p>
          <w:p w:rsidR="00041039" w:rsidRDefault="001B26CB">
            <w:pPr>
              <w:pStyle w:val="TableParagraph"/>
              <w:tabs>
                <w:tab w:val="left" w:pos="157"/>
              </w:tabs>
              <w:spacing w:line="165" w:lineRule="exact"/>
              <w:ind w:hanging="99"/>
              <w:rPr>
                <w:sz w:val="14"/>
              </w:rPr>
            </w:pPr>
            <w:r>
              <w:rPr>
                <w:color w:val="231F20"/>
                <w:sz w:val="14"/>
              </w:rPr>
              <w:t>Палатализација и</w:t>
            </w:r>
            <w:r>
              <w:rPr>
                <w:color w:val="231F20"/>
                <w:spacing w:val="-3"/>
                <w:sz w:val="14"/>
              </w:rPr>
              <w:t xml:space="preserve"> </w:t>
            </w:r>
            <w:r>
              <w:rPr>
                <w:color w:val="231F20"/>
                <w:sz w:val="14"/>
              </w:rPr>
              <w:t>сибиларизација.</w:t>
            </w:r>
          </w:p>
        </w:tc>
        <w:tc>
          <w:tcPr>
            <w:tcW w:w="2267" w:type="dxa"/>
            <w:vMerge w:val="restart"/>
          </w:tcPr>
          <w:p w:rsidR="00041039" w:rsidRDefault="001B26CB">
            <w:pPr>
              <w:pStyle w:val="TableParagraph"/>
              <w:tabs>
                <w:tab w:val="left" w:pos="158"/>
              </w:tabs>
              <w:spacing w:before="11" w:line="235" w:lineRule="auto"/>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7"/>
              <w:ind w:left="0"/>
              <w:rPr>
                <w:b/>
                <w:sz w:val="13"/>
              </w:rPr>
            </w:pPr>
          </w:p>
          <w:p w:rsidR="00041039" w:rsidRDefault="001B26CB">
            <w:pPr>
              <w:pStyle w:val="TableParagraph"/>
              <w:spacing w:line="160" w:lineRule="exact"/>
              <w:ind w:left="58"/>
              <w:rPr>
                <w:b/>
                <w:sz w:val="14"/>
              </w:rPr>
            </w:pPr>
            <w:r>
              <w:rPr>
                <w:b/>
                <w:color w:val="231F20"/>
                <w:sz w:val="14"/>
              </w:rPr>
              <w:t>Облици наставе</w:t>
            </w:r>
          </w:p>
          <w:p w:rsidR="00041039" w:rsidRDefault="001B26CB">
            <w:pPr>
              <w:pStyle w:val="TableParagraph"/>
              <w:spacing w:before="1" w:line="235"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before="2" w:line="158" w:lineRule="exact"/>
              <w:ind w:left="157" w:right="121" w:hanging="99"/>
              <w:rPr>
                <w:b/>
                <w:sz w:val="14"/>
              </w:rPr>
            </w:pPr>
            <w:r>
              <w:rPr>
                <w:color w:val="231F20"/>
                <w:sz w:val="14"/>
              </w:rPr>
              <w:t>теоријска настава са вежбама</w:t>
            </w:r>
            <w:r>
              <w:rPr>
                <w:color w:val="231F20"/>
                <w:spacing w:val="-10"/>
                <w:sz w:val="14"/>
              </w:rPr>
              <w:t xml:space="preserve"> </w:t>
            </w:r>
            <w:r>
              <w:rPr>
                <w:b/>
                <w:color w:val="231F20"/>
                <w:sz w:val="14"/>
              </w:rPr>
              <w:t>(70 часова)</w:t>
            </w:r>
          </w:p>
          <w:p w:rsidR="00041039" w:rsidRDefault="00041039">
            <w:pPr>
              <w:pStyle w:val="TableParagraph"/>
              <w:spacing w:before="4"/>
              <w:ind w:left="0"/>
              <w:rPr>
                <w:b/>
                <w:sz w:val="13"/>
              </w:rPr>
            </w:pPr>
          </w:p>
          <w:p w:rsidR="00041039" w:rsidRDefault="001B26CB">
            <w:pPr>
              <w:pStyle w:val="TableParagraph"/>
              <w:spacing w:before="1" w:line="160" w:lineRule="exact"/>
              <w:ind w:left="58"/>
              <w:rPr>
                <w:b/>
                <w:sz w:val="14"/>
              </w:rPr>
            </w:pPr>
            <w:r>
              <w:rPr>
                <w:b/>
                <w:color w:val="231F20"/>
                <w:sz w:val="14"/>
              </w:rPr>
              <w:t>Подела одељења на групе</w:t>
            </w:r>
          </w:p>
          <w:p w:rsidR="00041039" w:rsidRDefault="001B26CB">
            <w:pPr>
              <w:pStyle w:val="TableParagraph"/>
              <w:spacing w:line="160" w:lineRule="exact"/>
              <w:ind w:left="58"/>
              <w:rPr>
                <w:sz w:val="14"/>
              </w:rPr>
            </w:pPr>
            <w:r>
              <w:rPr>
                <w:color w:val="231F20"/>
                <w:sz w:val="14"/>
              </w:rPr>
              <w:t>Одељење се не дели на групе.</w:t>
            </w:r>
          </w:p>
          <w:p w:rsidR="00041039" w:rsidRDefault="00041039">
            <w:pPr>
              <w:pStyle w:val="TableParagraph"/>
              <w:spacing w:before="5"/>
              <w:ind w:left="0"/>
              <w:rPr>
                <w:b/>
                <w:sz w:val="13"/>
              </w:rPr>
            </w:pPr>
          </w:p>
          <w:p w:rsidR="00041039" w:rsidRDefault="001B26CB">
            <w:pPr>
              <w:pStyle w:val="TableParagraph"/>
              <w:spacing w:line="154"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165" w:lineRule="exact"/>
              <w:ind w:left="157"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7"/>
              <w:ind w:left="0"/>
              <w:rPr>
                <w:b/>
                <w:sz w:val="13"/>
              </w:rPr>
            </w:pPr>
          </w:p>
          <w:p w:rsidR="00041039" w:rsidRDefault="001B26CB">
            <w:pPr>
              <w:pStyle w:val="TableParagraph"/>
              <w:spacing w:before="1" w:line="235" w:lineRule="auto"/>
              <w:ind w:left="58" w:right="109"/>
              <w:rPr>
                <w:b/>
                <w:sz w:val="14"/>
              </w:rPr>
            </w:pPr>
            <w:r>
              <w:rPr>
                <w:b/>
                <w:color w:val="231F20"/>
                <w:sz w:val="14"/>
              </w:rPr>
              <w:t>Препоруке за реализацију наставе</w:t>
            </w:r>
          </w:p>
          <w:p w:rsidR="00041039" w:rsidRDefault="00041039">
            <w:pPr>
              <w:pStyle w:val="TableParagraph"/>
              <w:spacing w:before="6"/>
              <w:ind w:left="0"/>
              <w:rPr>
                <w:b/>
                <w:sz w:val="13"/>
              </w:rPr>
            </w:pPr>
          </w:p>
          <w:p w:rsidR="00041039" w:rsidRDefault="001B26CB">
            <w:pPr>
              <w:pStyle w:val="TableParagraph"/>
              <w:spacing w:line="160" w:lineRule="exact"/>
              <w:ind w:left="58"/>
              <w:rPr>
                <w:b/>
                <w:sz w:val="14"/>
              </w:rPr>
            </w:pPr>
            <w:r>
              <w:rPr>
                <w:b/>
                <w:color w:val="231F20"/>
                <w:sz w:val="14"/>
              </w:rPr>
              <w:t>Оцењивање</w:t>
            </w:r>
          </w:p>
          <w:p w:rsidR="00041039" w:rsidRDefault="001B26CB">
            <w:pPr>
              <w:pStyle w:val="TableParagraph"/>
              <w:spacing w:before="1" w:line="235" w:lineRule="auto"/>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3"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5"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5"/>
              <w:ind w:left="0"/>
              <w:rPr>
                <w:b/>
                <w:sz w:val="13"/>
              </w:rPr>
            </w:pPr>
          </w:p>
          <w:p w:rsidR="00041039" w:rsidRDefault="001B26CB">
            <w:pPr>
              <w:pStyle w:val="TableParagraph"/>
              <w:spacing w:line="154"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158" w:lineRule="exact"/>
              <w:ind w:left="157" w:hanging="99"/>
              <w:rPr>
                <w:b/>
                <w:sz w:val="14"/>
              </w:rPr>
            </w:pPr>
            <w:r>
              <w:rPr>
                <w:color w:val="231F20"/>
                <w:sz w:val="14"/>
              </w:rPr>
              <w:t xml:space="preserve">фонетика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58" w:lineRule="exact"/>
              <w:ind w:left="157"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58" w:lineRule="exact"/>
              <w:ind w:left="157" w:hanging="99"/>
              <w:rPr>
                <w:b/>
                <w:sz w:val="14"/>
              </w:rPr>
            </w:pPr>
            <w:r>
              <w:rPr>
                <w:color w:val="231F20"/>
                <w:sz w:val="14"/>
              </w:rPr>
              <w:t xml:space="preserve">творба речи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58" w:lineRule="exact"/>
              <w:ind w:left="157" w:hanging="99"/>
              <w:rPr>
                <w:b/>
                <w:sz w:val="14"/>
              </w:rPr>
            </w:pPr>
            <w:r>
              <w:rPr>
                <w:color w:val="231F20"/>
                <w:sz w:val="14"/>
              </w:rPr>
              <w:t xml:space="preserve">синтакса </w:t>
            </w:r>
            <w:r>
              <w:rPr>
                <w:b/>
                <w:color w:val="231F20"/>
                <w:sz w:val="14"/>
              </w:rPr>
              <w:t>(9</w:t>
            </w:r>
            <w:r>
              <w:rPr>
                <w:b/>
                <w:color w:val="231F20"/>
                <w:spacing w:val="-10"/>
                <w:sz w:val="14"/>
              </w:rPr>
              <w:t xml:space="preserve"> </w:t>
            </w:r>
            <w:r>
              <w:rPr>
                <w:b/>
                <w:color w:val="231F20"/>
                <w:sz w:val="14"/>
              </w:rPr>
              <w:t>часова)</w:t>
            </w:r>
          </w:p>
          <w:p w:rsidR="00041039" w:rsidRDefault="001B26CB">
            <w:pPr>
              <w:pStyle w:val="TableParagraph"/>
              <w:tabs>
                <w:tab w:val="left" w:pos="158"/>
              </w:tabs>
              <w:spacing w:line="158" w:lineRule="exact"/>
              <w:ind w:left="157" w:hanging="99"/>
              <w:rPr>
                <w:b/>
                <w:sz w:val="14"/>
              </w:rPr>
            </w:pPr>
            <w:r>
              <w:rPr>
                <w:color w:val="231F20"/>
                <w:sz w:val="14"/>
              </w:rPr>
              <w:t xml:space="preserve">правопис </w:t>
            </w:r>
            <w:r>
              <w:rPr>
                <w:b/>
                <w:color w:val="231F20"/>
                <w:sz w:val="14"/>
              </w:rPr>
              <w:t>(9</w:t>
            </w:r>
            <w:r>
              <w:rPr>
                <w:b/>
                <w:color w:val="231F20"/>
                <w:spacing w:val="-12"/>
                <w:sz w:val="14"/>
              </w:rPr>
              <w:t xml:space="preserve"> </w:t>
            </w:r>
            <w:r>
              <w:rPr>
                <w:b/>
                <w:color w:val="231F20"/>
                <w:sz w:val="14"/>
              </w:rPr>
              <w:t>часова)</w:t>
            </w:r>
          </w:p>
          <w:p w:rsidR="00041039" w:rsidRDefault="001B26CB">
            <w:pPr>
              <w:pStyle w:val="TableParagraph"/>
              <w:tabs>
                <w:tab w:val="left" w:pos="158"/>
              </w:tabs>
              <w:spacing w:line="158" w:lineRule="exact"/>
              <w:ind w:left="157" w:hanging="99"/>
              <w:rPr>
                <w:b/>
                <w:sz w:val="14"/>
              </w:rPr>
            </w:pPr>
            <w:r>
              <w:rPr>
                <w:color w:val="231F20"/>
                <w:sz w:val="14"/>
              </w:rPr>
              <w:t xml:space="preserve">култура изражавања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tabs>
                <w:tab w:val="left" w:pos="158"/>
              </w:tabs>
              <w:spacing w:line="165" w:lineRule="exact"/>
              <w:ind w:left="157" w:hanging="99"/>
              <w:rPr>
                <w:b/>
                <w:sz w:val="14"/>
              </w:rPr>
            </w:pPr>
            <w:r>
              <w:rPr>
                <w:color w:val="231F20"/>
                <w:sz w:val="14"/>
              </w:rPr>
              <w:t xml:space="preserve">књижевност </w:t>
            </w:r>
            <w:r>
              <w:rPr>
                <w:b/>
                <w:color w:val="231F20"/>
                <w:sz w:val="14"/>
              </w:rPr>
              <w:t>(12</w:t>
            </w:r>
            <w:r>
              <w:rPr>
                <w:b/>
                <w:color w:val="231F20"/>
                <w:spacing w:val="-2"/>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235" w:lineRule="auto"/>
              <w:ind w:left="58"/>
              <w:rPr>
                <w:b/>
                <w:sz w:val="14"/>
              </w:rPr>
            </w:pPr>
            <w:r>
              <w:rPr>
                <w:b/>
                <w:color w:val="231F20"/>
                <w:sz w:val="14"/>
              </w:rPr>
              <w:t>Препоруке за реализацију садр- жаја програма</w:t>
            </w:r>
          </w:p>
          <w:p w:rsidR="00041039" w:rsidRDefault="001B26CB">
            <w:pPr>
              <w:pStyle w:val="TableParagraph"/>
              <w:spacing w:before="1" w:line="235" w:lineRule="auto"/>
              <w:ind w:left="58" w:right="45"/>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 језик </w:t>
            </w:r>
            <w:r>
              <w:rPr>
                <w:color w:val="231F20"/>
                <w:sz w:val="14"/>
              </w:rPr>
              <w:t xml:space="preserve">за први разред средње </w:t>
            </w:r>
            <w:r>
              <w:rPr>
                <w:color w:val="231F20"/>
                <w:spacing w:val="-3"/>
                <w:sz w:val="14"/>
              </w:rPr>
              <w:t xml:space="preserve">школе. </w:t>
            </w:r>
            <w:r>
              <w:rPr>
                <w:color w:val="231F20"/>
                <w:sz w:val="14"/>
              </w:rPr>
              <w:t>Осим овладавања садржајима предвиђе­ ним за овај разред у настави је неопходно обезбедити обнављање</w:t>
            </w:r>
            <w:r>
              <w:rPr>
                <w:color w:val="231F20"/>
                <w:spacing w:val="-19"/>
                <w:sz w:val="14"/>
              </w:rPr>
              <w:t xml:space="preserve"> </w:t>
            </w:r>
            <w:r>
              <w:rPr>
                <w:color w:val="231F20"/>
                <w:sz w:val="14"/>
              </w:rPr>
              <w:t>и утврђивање градива из претходног разре</w:t>
            </w:r>
            <w:r>
              <w:rPr>
                <w:color w:val="231F20"/>
                <w:sz w:val="14"/>
              </w:rPr>
              <w:t xml:space="preserve">да </w:t>
            </w:r>
            <w:r>
              <w:rPr>
                <w:color w:val="231F20"/>
                <w:spacing w:val="-3"/>
                <w:sz w:val="14"/>
              </w:rPr>
              <w:t xml:space="preserve">како </w:t>
            </w:r>
            <w:r>
              <w:rPr>
                <w:color w:val="231F20"/>
                <w:sz w:val="14"/>
              </w:rPr>
              <w:t>би се спречило његово заборављање и учврстиле стечене навике, а ново градиво усвајало као природни наставак претходног и као део једног целовитог</w:t>
            </w:r>
            <w:r>
              <w:rPr>
                <w:color w:val="231F20"/>
                <w:spacing w:val="-8"/>
                <w:sz w:val="14"/>
              </w:rPr>
              <w:t xml:space="preserve"> </w:t>
            </w:r>
            <w:r>
              <w:rPr>
                <w:color w:val="231F20"/>
                <w:sz w:val="14"/>
              </w:rPr>
              <w:t>система.</w:t>
            </w:r>
          </w:p>
        </w:tc>
      </w:tr>
      <w:tr w:rsidR="00041039">
        <w:trPr>
          <w:trHeight w:val="2570"/>
        </w:trPr>
        <w:tc>
          <w:tcPr>
            <w:tcW w:w="1304" w:type="dxa"/>
          </w:tcPr>
          <w:p w:rsidR="00041039" w:rsidRDefault="001B26CB">
            <w:pPr>
              <w:pStyle w:val="TableParagraph"/>
              <w:spacing w:before="23" w:line="235" w:lineRule="auto"/>
              <w:ind w:left="56" w:right="301"/>
              <w:rPr>
                <w:sz w:val="14"/>
              </w:rPr>
            </w:pPr>
            <w:r>
              <w:rPr>
                <w:color w:val="231F20"/>
                <w:sz w:val="14"/>
              </w:rPr>
              <w:t>Морфологија и морфосинтакса</w:t>
            </w:r>
          </w:p>
        </w:tc>
        <w:tc>
          <w:tcPr>
            <w:tcW w:w="1587" w:type="dxa"/>
          </w:tcPr>
          <w:p w:rsidR="00041039" w:rsidRDefault="001B26CB">
            <w:pPr>
              <w:pStyle w:val="TableParagraph"/>
              <w:tabs>
                <w:tab w:val="left" w:pos="157"/>
              </w:tabs>
              <w:spacing w:before="13" w:line="235" w:lineRule="auto"/>
              <w:ind w:right="105" w:hanging="100"/>
              <w:rPr>
                <w:sz w:val="14"/>
              </w:rPr>
            </w:pPr>
            <w:r>
              <w:rPr>
                <w:color w:val="231F20"/>
                <w:sz w:val="14"/>
              </w:rPr>
              <w:t>Упознавање ученика са правилном употре­ бом и оспособљавање за правилну употребу облика</w:t>
            </w:r>
            <w:r>
              <w:rPr>
                <w:color w:val="231F20"/>
                <w:spacing w:val="-1"/>
                <w:sz w:val="14"/>
              </w:rPr>
              <w:t xml:space="preserve"> </w:t>
            </w:r>
            <w:r>
              <w:rPr>
                <w:color w:val="231F20"/>
                <w:sz w:val="14"/>
              </w:rPr>
              <w:t>речи.</w:t>
            </w:r>
          </w:p>
        </w:tc>
        <w:tc>
          <w:tcPr>
            <w:tcW w:w="2551" w:type="dxa"/>
          </w:tcPr>
          <w:p w:rsidR="00041039" w:rsidRDefault="001B26CB">
            <w:pPr>
              <w:pStyle w:val="TableParagraph"/>
              <w:tabs>
                <w:tab w:val="left" w:pos="157"/>
              </w:tabs>
              <w:spacing w:before="14" w:line="235" w:lineRule="auto"/>
              <w:ind w:right="166" w:hanging="99"/>
              <w:rPr>
                <w:sz w:val="14"/>
              </w:rPr>
            </w:pPr>
            <w:r>
              <w:rPr>
                <w:color w:val="231F20"/>
                <w:sz w:val="14"/>
              </w:rPr>
              <w:t>правилно употребљава именице</w:t>
            </w:r>
            <w:r>
              <w:rPr>
                <w:color w:val="231F20"/>
                <w:spacing w:val="-19"/>
                <w:sz w:val="14"/>
              </w:rPr>
              <w:t xml:space="preserve"> </w:t>
            </w:r>
            <w:r>
              <w:rPr>
                <w:color w:val="231F20"/>
                <w:sz w:val="14"/>
              </w:rPr>
              <w:t>при­ родног мушког</w:t>
            </w:r>
            <w:r>
              <w:rPr>
                <w:color w:val="231F20"/>
                <w:spacing w:val="-2"/>
                <w:sz w:val="14"/>
              </w:rPr>
              <w:t xml:space="preserve"> </w:t>
            </w:r>
            <w:r>
              <w:rPr>
                <w:color w:val="231F20"/>
                <w:sz w:val="14"/>
              </w:rPr>
              <w:t>рода;</w:t>
            </w:r>
          </w:p>
          <w:p w:rsidR="00041039" w:rsidRDefault="001B26CB">
            <w:pPr>
              <w:pStyle w:val="TableParagraph"/>
              <w:tabs>
                <w:tab w:val="left" w:pos="157"/>
              </w:tabs>
              <w:spacing w:before="1" w:line="158" w:lineRule="exact"/>
              <w:ind w:right="396" w:hanging="99"/>
              <w:rPr>
                <w:sz w:val="14"/>
              </w:rPr>
            </w:pPr>
            <w:r>
              <w:rPr>
                <w:color w:val="231F20"/>
                <w:sz w:val="14"/>
              </w:rPr>
              <w:t>препознаје именице типа</w:t>
            </w:r>
            <w:r>
              <w:rPr>
                <w:color w:val="231F20"/>
                <w:spacing w:val="-23"/>
                <w:sz w:val="14"/>
              </w:rPr>
              <w:t xml:space="preserve"> </w:t>
            </w:r>
            <w:r>
              <w:rPr>
                <w:color w:val="231F20"/>
                <w:sz w:val="14"/>
              </w:rPr>
              <w:t>singular tantum и pluralia</w:t>
            </w:r>
            <w:r>
              <w:rPr>
                <w:color w:val="231F20"/>
                <w:spacing w:val="-1"/>
                <w:sz w:val="14"/>
              </w:rPr>
              <w:t xml:space="preserve"> </w:t>
            </w:r>
            <w:r>
              <w:rPr>
                <w:color w:val="231F20"/>
                <w:sz w:val="14"/>
              </w:rPr>
              <w:t>tantum;</w:t>
            </w:r>
          </w:p>
          <w:p w:rsidR="00041039" w:rsidRDefault="001B26CB">
            <w:pPr>
              <w:pStyle w:val="TableParagraph"/>
              <w:tabs>
                <w:tab w:val="left" w:pos="157"/>
              </w:tabs>
              <w:spacing w:before="1" w:line="158"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w:t>
            </w:r>
            <w:r>
              <w:rPr>
                <w:color w:val="231F20"/>
                <w:spacing w:val="-1"/>
                <w:sz w:val="14"/>
              </w:rPr>
              <w:t xml:space="preserve"> </w:t>
            </w:r>
            <w:r>
              <w:rPr>
                <w:color w:val="231F20"/>
                <w:sz w:val="14"/>
              </w:rPr>
              <w:t>речи;</w:t>
            </w:r>
          </w:p>
          <w:p w:rsidR="00041039" w:rsidRDefault="001B26CB">
            <w:pPr>
              <w:pStyle w:val="TableParagraph"/>
              <w:tabs>
                <w:tab w:val="left" w:pos="157"/>
              </w:tabs>
              <w:spacing w:line="151" w:lineRule="exact"/>
              <w:ind w:hanging="99"/>
              <w:rPr>
                <w:sz w:val="14"/>
              </w:rPr>
            </w:pPr>
            <w:r>
              <w:rPr>
                <w:color w:val="231F20"/>
                <w:sz w:val="14"/>
              </w:rPr>
              <w:t>употребљава прилоге за</w:t>
            </w:r>
            <w:r>
              <w:rPr>
                <w:color w:val="231F20"/>
                <w:spacing w:val="-4"/>
                <w:sz w:val="14"/>
              </w:rPr>
              <w:t xml:space="preserve"> </w:t>
            </w:r>
            <w:r>
              <w:rPr>
                <w:color w:val="231F20"/>
                <w:sz w:val="14"/>
              </w:rPr>
              <w:t>време;</w:t>
            </w:r>
          </w:p>
          <w:p w:rsidR="00041039" w:rsidRDefault="001B26CB">
            <w:pPr>
              <w:pStyle w:val="TableParagraph"/>
              <w:tabs>
                <w:tab w:val="left" w:pos="157"/>
              </w:tabs>
              <w:spacing w:line="235" w:lineRule="auto"/>
              <w:ind w:right="291" w:hanging="99"/>
              <w:rPr>
                <w:sz w:val="14"/>
              </w:rPr>
            </w:pPr>
            <w:r>
              <w:rPr>
                <w:color w:val="231F20"/>
                <w:sz w:val="14"/>
              </w:rPr>
              <w:t xml:space="preserve">разликује типове </w:t>
            </w:r>
            <w:r>
              <w:rPr>
                <w:color w:val="231F20"/>
                <w:spacing w:val="-3"/>
                <w:sz w:val="14"/>
              </w:rPr>
              <w:t xml:space="preserve">глагола </w:t>
            </w:r>
            <w:r>
              <w:rPr>
                <w:color w:val="231F20"/>
                <w:sz w:val="14"/>
              </w:rPr>
              <w:t>по виду и роду;</w:t>
            </w:r>
          </w:p>
          <w:p w:rsidR="00041039" w:rsidRDefault="001B26CB">
            <w:pPr>
              <w:pStyle w:val="TableParagraph"/>
              <w:tabs>
                <w:tab w:val="left" w:pos="157"/>
              </w:tabs>
              <w:spacing w:line="152" w:lineRule="exact"/>
              <w:ind w:hanging="99"/>
              <w:rPr>
                <w:sz w:val="14"/>
              </w:rPr>
            </w:pPr>
            <w:r>
              <w:rPr>
                <w:color w:val="231F20"/>
                <w:sz w:val="14"/>
              </w:rPr>
              <w:t xml:space="preserve">разликује </w:t>
            </w:r>
            <w:r>
              <w:rPr>
                <w:color w:val="231F20"/>
                <w:spacing w:val="-3"/>
                <w:sz w:val="14"/>
              </w:rPr>
              <w:t>глаголске</w:t>
            </w:r>
            <w:r>
              <w:rPr>
                <w:color w:val="231F20"/>
                <w:spacing w:val="-1"/>
                <w:sz w:val="14"/>
              </w:rPr>
              <w:t xml:space="preserve"> </w:t>
            </w:r>
            <w:r>
              <w:rPr>
                <w:color w:val="231F20"/>
                <w:sz w:val="14"/>
              </w:rPr>
              <w:t>начине;</w:t>
            </w:r>
          </w:p>
          <w:p w:rsidR="00041039" w:rsidRDefault="001B26CB">
            <w:pPr>
              <w:pStyle w:val="TableParagraph"/>
              <w:tabs>
                <w:tab w:val="left" w:pos="157"/>
              </w:tabs>
              <w:spacing w:line="235" w:lineRule="auto"/>
              <w:ind w:right="164" w:hanging="99"/>
              <w:rPr>
                <w:sz w:val="14"/>
              </w:rPr>
            </w:pPr>
            <w:r>
              <w:rPr>
                <w:color w:val="231F20"/>
                <w:sz w:val="14"/>
              </w:rPr>
              <w:t>препознаје и употребљава врсте</w:t>
            </w:r>
            <w:r>
              <w:rPr>
                <w:color w:val="231F20"/>
                <w:spacing w:val="-20"/>
                <w:sz w:val="14"/>
              </w:rPr>
              <w:t xml:space="preserve"> </w:t>
            </w:r>
            <w:r>
              <w:rPr>
                <w:color w:val="231F20"/>
                <w:sz w:val="14"/>
              </w:rPr>
              <w:t>при­ девских</w:t>
            </w:r>
            <w:r>
              <w:rPr>
                <w:color w:val="231F20"/>
                <w:spacing w:val="-1"/>
                <w:sz w:val="14"/>
              </w:rPr>
              <w:t xml:space="preserve"> </w:t>
            </w:r>
            <w:r>
              <w:rPr>
                <w:color w:val="231F20"/>
                <w:sz w:val="14"/>
              </w:rPr>
              <w:t>заменица;</w:t>
            </w:r>
          </w:p>
        </w:tc>
        <w:tc>
          <w:tcPr>
            <w:tcW w:w="2834" w:type="dxa"/>
          </w:tcPr>
          <w:p w:rsidR="00041039" w:rsidRDefault="001B26CB">
            <w:pPr>
              <w:pStyle w:val="TableParagraph"/>
              <w:tabs>
                <w:tab w:val="left" w:pos="157"/>
              </w:tabs>
              <w:spacing w:before="12" w:line="170" w:lineRule="exact"/>
              <w:ind w:hanging="99"/>
              <w:rPr>
                <w:sz w:val="14"/>
              </w:rPr>
            </w:pPr>
            <w:r>
              <w:rPr>
                <w:color w:val="231F20"/>
                <w:sz w:val="14"/>
              </w:rPr>
              <w:t>Именице:</w:t>
            </w:r>
          </w:p>
          <w:p w:rsidR="00041039" w:rsidRDefault="001B26CB">
            <w:pPr>
              <w:pStyle w:val="TableParagraph"/>
              <w:tabs>
                <w:tab w:val="left" w:pos="163"/>
              </w:tabs>
              <w:spacing w:line="158" w:lineRule="exact"/>
              <w:ind w:left="162" w:hanging="105"/>
              <w:rPr>
                <w:sz w:val="14"/>
              </w:rPr>
            </w:pPr>
            <w:r>
              <w:rPr>
                <w:color w:val="231F20"/>
                <w:sz w:val="14"/>
              </w:rPr>
              <w:t>природни мушки</w:t>
            </w:r>
            <w:r>
              <w:rPr>
                <w:color w:val="231F20"/>
                <w:spacing w:val="-1"/>
                <w:sz w:val="14"/>
              </w:rPr>
              <w:t xml:space="preserve"> </w:t>
            </w:r>
            <w:r>
              <w:rPr>
                <w:color w:val="231F20"/>
                <w:sz w:val="14"/>
              </w:rPr>
              <w:t>род;</w:t>
            </w:r>
          </w:p>
          <w:p w:rsidR="00041039" w:rsidRDefault="001B26CB">
            <w:pPr>
              <w:pStyle w:val="TableParagraph"/>
              <w:tabs>
                <w:tab w:val="left" w:pos="163"/>
              </w:tabs>
              <w:spacing w:before="1" w:line="235" w:lineRule="auto"/>
              <w:ind w:left="162" w:right="356" w:hanging="105"/>
              <w:rPr>
                <w:sz w:val="14"/>
              </w:rPr>
            </w:pPr>
            <w:r>
              <w:rPr>
                <w:color w:val="231F20"/>
                <w:sz w:val="14"/>
              </w:rPr>
              <w:t>именице типа singular tantum и pluralia tantum.</w:t>
            </w:r>
          </w:p>
          <w:p w:rsidR="00041039" w:rsidRDefault="001B26CB">
            <w:pPr>
              <w:pStyle w:val="TableParagraph"/>
              <w:tabs>
                <w:tab w:val="left" w:pos="157"/>
              </w:tabs>
              <w:spacing w:before="2" w:line="158" w:lineRule="exact"/>
              <w:ind w:right="293" w:hanging="99"/>
              <w:rPr>
                <w:sz w:val="14"/>
              </w:rPr>
            </w:pPr>
            <w:r>
              <w:rPr>
                <w:color w:val="231F20"/>
                <w:sz w:val="14"/>
              </w:rPr>
              <w:t>Падежи (облици и основна значења ­</w:t>
            </w:r>
            <w:r>
              <w:rPr>
                <w:color w:val="231F20"/>
                <w:spacing w:val="-19"/>
                <w:sz w:val="14"/>
              </w:rPr>
              <w:t xml:space="preserve"> </w:t>
            </w:r>
            <w:r>
              <w:rPr>
                <w:color w:val="231F20"/>
                <w:sz w:val="14"/>
              </w:rPr>
              <w:t>са предлозима и без</w:t>
            </w:r>
            <w:r>
              <w:rPr>
                <w:color w:val="231F20"/>
                <w:spacing w:val="-4"/>
                <w:sz w:val="14"/>
              </w:rPr>
              <w:t xml:space="preserve"> </w:t>
            </w:r>
            <w:r>
              <w:rPr>
                <w:color w:val="231F20"/>
                <w:sz w:val="14"/>
              </w:rPr>
              <w:t>предлога).</w:t>
            </w:r>
          </w:p>
          <w:p w:rsidR="00041039" w:rsidRDefault="001B26CB">
            <w:pPr>
              <w:pStyle w:val="TableParagraph"/>
              <w:tabs>
                <w:tab w:val="left" w:pos="157"/>
              </w:tabs>
              <w:spacing w:line="151" w:lineRule="exact"/>
              <w:ind w:hanging="99"/>
              <w:rPr>
                <w:sz w:val="14"/>
              </w:rPr>
            </w:pPr>
            <w:r>
              <w:rPr>
                <w:color w:val="231F20"/>
                <w:sz w:val="14"/>
              </w:rPr>
              <w:t>Прилози за место, време и</w:t>
            </w:r>
            <w:r>
              <w:rPr>
                <w:color w:val="231F20"/>
                <w:spacing w:val="-8"/>
                <w:sz w:val="14"/>
              </w:rPr>
              <w:t xml:space="preserve"> </w:t>
            </w:r>
            <w:r>
              <w:rPr>
                <w:color w:val="231F20"/>
                <w:sz w:val="14"/>
              </w:rPr>
              <w:t>начин.</w:t>
            </w:r>
          </w:p>
          <w:p w:rsidR="00041039" w:rsidRDefault="001B26CB">
            <w:pPr>
              <w:pStyle w:val="TableParagraph"/>
              <w:tabs>
                <w:tab w:val="left" w:pos="157"/>
              </w:tabs>
              <w:spacing w:line="158" w:lineRule="exact"/>
              <w:ind w:hanging="99"/>
              <w:rPr>
                <w:sz w:val="14"/>
              </w:rPr>
            </w:pPr>
            <w:r>
              <w:rPr>
                <w:color w:val="231F20"/>
                <w:sz w:val="14"/>
              </w:rPr>
              <w:t>Бројеви.</w:t>
            </w:r>
          </w:p>
          <w:p w:rsidR="00041039" w:rsidRDefault="001B26CB">
            <w:pPr>
              <w:pStyle w:val="TableParagraph"/>
              <w:tabs>
                <w:tab w:val="left" w:pos="157"/>
              </w:tabs>
              <w:spacing w:line="158" w:lineRule="exact"/>
              <w:ind w:hanging="99"/>
              <w:rPr>
                <w:sz w:val="14"/>
              </w:rPr>
            </w:pPr>
            <w:r>
              <w:rPr>
                <w:color w:val="231F20"/>
                <w:sz w:val="14"/>
              </w:rPr>
              <w:t xml:space="preserve">Обнављање: презент, </w:t>
            </w:r>
            <w:r>
              <w:rPr>
                <w:color w:val="231F20"/>
                <w:spacing w:val="-3"/>
                <w:sz w:val="14"/>
              </w:rPr>
              <w:t xml:space="preserve">перфекат, </w:t>
            </w:r>
            <w:r>
              <w:rPr>
                <w:color w:val="231F20"/>
                <w:sz w:val="14"/>
              </w:rPr>
              <w:t>футур</w:t>
            </w:r>
            <w:r>
              <w:rPr>
                <w:color w:val="231F20"/>
                <w:spacing w:val="-6"/>
                <w:sz w:val="14"/>
              </w:rPr>
              <w:t xml:space="preserve"> </w:t>
            </w:r>
            <w:r>
              <w:rPr>
                <w:color w:val="231F20"/>
                <w:sz w:val="14"/>
              </w:rPr>
              <w:t>I.</w:t>
            </w:r>
          </w:p>
          <w:p w:rsidR="00041039" w:rsidRDefault="001B26CB">
            <w:pPr>
              <w:pStyle w:val="TableParagraph"/>
              <w:tabs>
                <w:tab w:val="left" w:pos="157"/>
              </w:tabs>
              <w:spacing w:line="163" w:lineRule="exact"/>
              <w:ind w:hanging="99"/>
              <w:rPr>
                <w:sz w:val="14"/>
              </w:rPr>
            </w:pPr>
            <w:r>
              <w:rPr>
                <w:color w:val="231F20"/>
                <w:spacing w:val="-3"/>
                <w:sz w:val="14"/>
              </w:rPr>
              <w:t>Глаголи:</w:t>
            </w:r>
          </w:p>
          <w:p w:rsidR="00041039" w:rsidRDefault="001B26CB">
            <w:pPr>
              <w:pStyle w:val="TableParagraph"/>
              <w:tabs>
                <w:tab w:val="left" w:pos="163"/>
              </w:tabs>
              <w:spacing w:line="158" w:lineRule="exact"/>
              <w:ind w:left="162" w:hanging="105"/>
              <w:rPr>
                <w:sz w:val="14"/>
              </w:rPr>
            </w:pPr>
            <w:r>
              <w:rPr>
                <w:color w:val="231F20"/>
                <w:sz w:val="14"/>
              </w:rPr>
              <w:t>императив;</w:t>
            </w:r>
          </w:p>
          <w:p w:rsidR="00041039" w:rsidRDefault="001B26CB">
            <w:pPr>
              <w:pStyle w:val="TableParagraph"/>
              <w:tabs>
                <w:tab w:val="left" w:pos="163"/>
              </w:tabs>
              <w:spacing w:line="158" w:lineRule="exact"/>
              <w:ind w:left="162" w:hanging="105"/>
              <w:rPr>
                <w:sz w:val="14"/>
              </w:rPr>
            </w:pPr>
            <w:r>
              <w:rPr>
                <w:color w:val="231F20"/>
                <w:sz w:val="14"/>
              </w:rPr>
              <w:t>потенцијал;</w:t>
            </w:r>
          </w:p>
          <w:p w:rsidR="00041039" w:rsidRDefault="001B26CB">
            <w:pPr>
              <w:pStyle w:val="TableParagraph"/>
              <w:tabs>
                <w:tab w:val="left" w:pos="163"/>
              </w:tabs>
              <w:spacing w:before="1" w:line="235" w:lineRule="auto"/>
              <w:ind w:left="162" w:right="437" w:hanging="105"/>
              <w:rPr>
                <w:sz w:val="14"/>
              </w:rPr>
            </w:pPr>
            <w:r>
              <w:rPr>
                <w:color w:val="231F20"/>
                <w:spacing w:val="-3"/>
                <w:sz w:val="14"/>
              </w:rPr>
              <w:t xml:space="preserve">глаголски </w:t>
            </w:r>
            <w:r>
              <w:rPr>
                <w:color w:val="231F20"/>
                <w:sz w:val="14"/>
              </w:rPr>
              <w:t xml:space="preserve">вид: свршени и несвршени </w:t>
            </w:r>
            <w:r>
              <w:rPr>
                <w:color w:val="231F20"/>
                <w:spacing w:val="-3"/>
                <w:sz w:val="14"/>
              </w:rPr>
              <w:t>глаголи;</w:t>
            </w:r>
          </w:p>
          <w:p w:rsidR="00041039" w:rsidRDefault="001B26CB">
            <w:pPr>
              <w:pStyle w:val="TableParagraph"/>
              <w:tabs>
                <w:tab w:val="left" w:pos="163"/>
              </w:tabs>
              <w:spacing w:line="152" w:lineRule="exact"/>
              <w:ind w:left="162" w:hanging="105"/>
              <w:rPr>
                <w:sz w:val="14"/>
              </w:rPr>
            </w:pPr>
            <w:r>
              <w:rPr>
                <w:color w:val="231F20"/>
                <w:spacing w:val="-3"/>
                <w:sz w:val="14"/>
              </w:rPr>
              <w:t xml:space="preserve">глаголски </w:t>
            </w:r>
            <w:r>
              <w:rPr>
                <w:color w:val="231F20"/>
                <w:sz w:val="14"/>
              </w:rPr>
              <w:t>род: узајамно­повратни</w:t>
            </w:r>
            <w:r>
              <w:rPr>
                <w:color w:val="231F20"/>
                <w:sz w:val="14"/>
              </w:rPr>
              <w:t xml:space="preserve"> </w:t>
            </w:r>
            <w:r>
              <w:rPr>
                <w:color w:val="231F20"/>
                <w:spacing w:val="-3"/>
                <w:sz w:val="14"/>
              </w:rPr>
              <w:t>глаголи.</w:t>
            </w:r>
          </w:p>
          <w:p w:rsidR="00041039" w:rsidRDefault="001B26CB">
            <w:pPr>
              <w:pStyle w:val="TableParagraph"/>
              <w:tabs>
                <w:tab w:val="left" w:pos="157"/>
              </w:tabs>
              <w:spacing w:line="161" w:lineRule="exact"/>
              <w:ind w:hanging="99"/>
              <w:rPr>
                <w:sz w:val="14"/>
              </w:rPr>
            </w:pPr>
            <w:r>
              <w:rPr>
                <w:color w:val="231F20"/>
                <w:sz w:val="14"/>
              </w:rPr>
              <w:t>Придевске</w:t>
            </w:r>
            <w:r>
              <w:rPr>
                <w:color w:val="231F20"/>
                <w:spacing w:val="-1"/>
                <w:sz w:val="14"/>
              </w:rPr>
              <w:t xml:space="preserve"> </w:t>
            </w:r>
            <w:r>
              <w:rPr>
                <w:color w:val="231F20"/>
                <w:sz w:val="14"/>
              </w:rPr>
              <w:t>заменице.</w:t>
            </w:r>
          </w:p>
        </w:tc>
        <w:tc>
          <w:tcPr>
            <w:tcW w:w="2267" w:type="dxa"/>
            <w:vMerge/>
            <w:tcBorders>
              <w:top w:val="nil"/>
            </w:tcBorders>
          </w:tcPr>
          <w:p w:rsidR="00041039" w:rsidRDefault="00041039">
            <w:pPr>
              <w:rPr>
                <w:sz w:val="2"/>
                <w:szCs w:val="2"/>
              </w:rPr>
            </w:pPr>
          </w:p>
        </w:tc>
      </w:tr>
      <w:tr w:rsidR="00041039">
        <w:trPr>
          <w:trHeight w:val="516"/>
        </w:trPr>
        <w:tc>
          <w:tcPr>
            <w:tcW w:w="1304" w:type="dxa"/>
          </w:tcPr>
          <w:p w:rsidR="00041039" w:rsidRDefault="001B26CB">
            <w:pPr>
              <w:pStyle w:val="TableParagraph"/>
              <w:spacing w:before="22"/>
              <w:ind w:left="56"/>
              <w:rPr>
                <w:sz w:val="14"/>
              </w:rPr>
            </w:pPr>
            <w:r>
              <w:rPr>
                <w:color w:val="231F20"/>
                <w:sz w:val="14"/>
              </w:rPr>
              <w:t>Творба речи</w:t>
            </w:r>
          </w:p>
        </w:tc>
        <w:tc>
          <w:tcPr>
            <w:tcW w:w="1587" w:type="dxa"/>
          </w:tcPr>
          <w:p w:rsidR="00041039" w:rsidRDefault="001B26CB">
            <w:pPr>
              <w:pStyle w:val="TableParagraph"/>
              <w:tabs>
                <w:tab w:val="left" w:pos="157"/>
              </w:tabs>
              <w:spacing w:before="27" w:line="158" w:lineRule="exact"/>
              <w:ind w:right="161" w:hanging="100"/>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tabs>
                <w:tab w:val="left" w:pos="157"/>
              </w:tabs>
              <w:spacing w:before="13"/>
              <w:ind w:hanging="99"/>
              <w:rPr>
                <w:sz w:val="14"/>
              </w:rPr>
            </w:pPr>
            <w:r>
              <w:rPr>
                <w:color w:val="231F20"/>
                <w:sz w:val="14"/>
              </w:rPr>
              <w:t>правилно гради речи</w:t>
            </w:r>
            <w:r>
              <w:rPr>
                <w:color w:val="231F20"/>
                <w:spacing w:val="-10"/>
                <w:sz w:val="14"/>
              </w:rPr>
              <w:t xml:space="preserve"> </w:t>
            </w:r>
            <w:r>
              <w:rPr>
                <w:color w:val="231F20"/>
                <w:sz w:val="14"/>
              </w:rPr>
              <w:t>префиксацијом;</w:t>
            </w:r>
          </w:p>
        </w:tc>
        <w:tc>
          <w:tcPr>
            <w:tcW w:w="2834" w:type="dxa"/>
          </w:tcPr>
          <w:p w:rsidR="00041039" w:rsidRDefault="001B26CB">
            <w:pPr>
              <w:pStyle w:val="TableParagraph"/>
              <w:tabs>
                <w:tab w:val="left" w:pos="158"/>
              </w:tabs>
              <w:spacing w:before="13"/>
              <w:ind w:left="157" w:hanging="100"/>
              <w:rPr>
                <w:sz w:val="14"/>
              </w:rPr>
            </w:pPr>
            <w:r>
              <w:rPr>
                <w:color w:val="231F20"/>
                <w:sz w:val="14"/>
              </w:rPr>
              <w:t>Префиксација у врстама</w:t>
            </w:r>
            <w:r>
              <w:rPr>
                <w:color w:val="231F20"/>
                <w:spacing w:val="-2"/>
                <w:sz w:val="14"/>
              </w:rPr>
              <w:t xml:space="preserve"> </w:t>
            </w:r>
            <w:r>
              <w:rPr>
                <w:color w:val="231F20"/>
                <w:sz w:val="14"/>
              </w:rPr>
              <w:t>речи.</w:t>
            </w:r>
          </w:p>
        </w:tc>
        <w:tc>
          <w:tcPr>
            <w:tcW w:w="2267" w:type="dxa"/>
            <w:vMerge/>
            <w:tcBorders>
              <w:top w:val="nil"/>
            </w:tcBorders>
          </w:tcPr>
          <w:p w:rsidR="00041039" w:rsidRDefault="00041039">
            <w:pPr>
              <w:rPr>
                <w:sz w:val="2"/>
                <w:szCs w:val="2"/>
              </w:rPr>
            </w:pPr>
          </w:p>
        </w:tc>
      </w:tr>
      <w:tr w:rsidR="00041039">
        <w:trPr>
          <w:trHeight w:val="674"/>
        </w:trPr>
        <w:tc>
          <w:tcPr>
            <w:tcW w:w="1304" w:type="dxa"/>
          </w:tcPr>
          <w:p w:rsidR="00041039" w:rsidRDefault="001B26CB">
            <w:pPr>
              <w:pStyle w:val="TableParagraph"/>
              <w:spacing w:before="23"/>
              <w:ind w:left="57"/>
              <w:rPr>
                <w:sz w:val="14"/>
              </w:rPr>
            </w:pPr>
            <w:r>
              <w:rPr>
                <w:color w:val="231F20"/>
                <w:sz w:val="14"/>
              </w:rPr>
              <w:t>Синтакса</w:t>
            </w:r>
          </w:p>
        </w:tc>
        <w:tc>
          <w:tcPr>
            <w:tcW w:w="1587" w:type="dxa"/>
          </w:tcPr>
          <w:p w:rsidR="00041039" w:rsidRDefault="001B26CB">
            <w:pPr>
              <w:pStyle w:val="TableParagraph"/>
              <w:tabs>
                <w:tab w:val="left" w:pos="157"/>
              </w:tabs>
              <w:spacing w:before="27" w:line="158" w:lineRule="exact"/>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tabs>
                <w:tab w:val="left" w:pos="157"/>
              </w:tabs>
              <w:spacing w:before="15" w:line="235" w:lineRule="auto"/>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tabs>
                <w:tab w:val="left" w:pos="157"/>
              </w:tabs>
              <w:spacing w:before="2" w:line="158" w:lineRule="exact"/>
              <w:ind w:right="234" w:hanging="99"/>
              <w:rPr>
                <w:sz w:val="14"/>
              </w:rPr>
            </w:pPr>
            <w:r>
              <w:rPr>
                <w:color w:val="231F20"/>
                <w:sz w:val="14"/>
              </w:rPr>
              <w:t>саставља временске и узрочне</w:t>
            </w:r>
            <w:r>
              <w:rPr>
                <w:color w:val="231F20"/>
                <w:spacing w:val="-17"/>
                <w:sz w:val="14"/>
              </w:rPr>
              <w:t xml:space="preserve"> </w:t>
            </w:r>
            <w:r>
              <w:rPr>
                <w:color w:val="231F20"/>
                <w:sz w:val="14"/>
              </w:rPr>
              <w:t>рече­ нице;</w:t>
            </w:r>
          </w:p>
        </w:tc>
        <w:tc>
          <w:tcPr>
            <w:tcW w:w="2834" w:type="dxa"/>
          </w:tcPr>
          <w:p w:rsidR="00041039" w:rsidRDefault="001B26CB">
            <w:pPr>
              <w:pStyle w:val="TableParagraph"/>
              <w:tabs>
                <w:tab w:val="left" w:pos="158"/>
              </w:tabs>
              <w:spacing w:before="13" w:line="165" w:lineRule="exact"/>
              <w:ind w:left="157" w:hanging="100"/>
              <w:rPr>
                <w:sz w:val="14"/>
              </w:rPr>
            </w:pPr>
            <w:r>
              <w:rPr>
                <w:color w:val="231F20"/>
                <w:sz w:val="14"/>
              </w:rPr>
              <w:t>Неправи</w:t>
            </w:r>
            <w:r>
              <w:rPr>
                <w:color w:val="231F20"/>
                <w:spacing w:val="-1"/>
                <w:sz w:val="14"/>
              </w:rPr>
              <w:t xml:space="preserve"> </w:t>
            </w:r>
            <w:r>
              <w:rPr>
                <w:color w:val="231F20"/>
                <w:spacing w:val="-3"/>
                <w:sz w:val="14"/>
              </w:rPr>
              <w:t>објекат.</w:t>
            </w:r>
          </w:p>
          <w:p w:rsidR="00041039" w:rsidRDefault="001B26CB">
            <w:pPr>
              <w:pStyle w:val="TableParagraph"/>
              <w:tabs>
                <w:tab w:val="left" w:pos="158"/>
              </w:tabs>
              <w:spacing w:line="158" w:lineRule="exact"/>
              <w:ind w:left="157" w:hanging="100"/>
              <w:rPr>
                <w:sz w:val="14"/>
              </w:rPr>
            </w:pPr>
            <w:r>
              <w:rPr>
                <w:color w:val="231F20"/>
                <w:sz w:val="14"/>
              </w:rPr>
              <w:t>Прилошке одредбе за место, време,</w:t>
            </w:r>
            <w:r>
              <w:rPr>
                <w:color w:val="231F20"/>
                <w:spacing w:val="-15"/>
                <w:sz w:val="14"/>
              </w:rPr>
              <w:t xml:space="preserve"> </w:t>
            </w:r>
            <w:r>
              <w:rPr>
                <w:color w:val="231F20"/>
                <w:sz w:val="14"/>
              </w:rPr>
              <w:t>узрок.</w:t>
            </w:r>
          </w:p>
          <w:p w:rsidR="00041039" w:rsidRDefault="001B26CB">
            <w:pPr>
              <w:pStyle w:val="TableParagraph"/>
              <w:tabs>
                <w:tab w:val="left" w:pos="158"/>
              </w:tabs>
              <w:spacing w:line="158" w:lineRule="exact"/>
              <w:ind w:left="157" w:hanging="100"/>
              <w:rPr>
                <w:sz w:val="14"/>
              </w:rPr>
            </w:pPr>
            <w:r>
              <w:rPr>
                <w:color w:val="231F20"/>
                <w:sz w:val="14"/>
              </w:rPr>
              <w:t>Партитивни</w:t>
            </w:r>
            <w:r>
              <w:rPr>
                <w:color w:val="231F20"/>
                <w:spacing w:val="-1"/>
                <w:sz w:val="14"/>
              </w:rPr>
              <w:t xml:space="preserve"> </w:t>
            </w:r>
            <w:r>
              <w:rPr>
                <w:color w:val="231F20"/>
                <w:sz w:val="14"/>
              </w:rPr>
              <w:t>генитив.</w:t>
            </w:r>
          </w:p>
          <w:p w:rsidR="00041039" w:rsidRDefault="001B26CB">
            <w:pPr>
              <w:pStyle w:val="TableParagraph"/>
              <w:tabs>
                <w:tab w:val="left" w:pos="158"/>
              </w:tabs>
              <w:spacing w:line="161" w:lineRule="exact"/>
              <w:ind w:left="157" w:hanging="100"/>
              <w:rPr>
                <w:sz w:val="14"/>
              </w:rPr>
            </w:pPr>
            <w:r>
              <w:rPr>
                <w:color w:val="231F20"/>
                <w:sz w:val="14"/>
              </w:rPr>
              <w:t>Врсте зависних реченица:</w:t>
            </w:r>
            <w:r>
              <w:rPr>
                <w:color w:val="231F20"/>
                <w:spacing w:val="-6"/>
                <w:sz w:val="14"/>
              </w:rPr>
              <w:t xml:space="preserve"> </w:t>
            </w:r>
            <w:r>
              <w:rPr>
                <w:color w:val="231F20"/>
                <w:sz w:val="14"/>
              </w:rPr>
              <w:t>адвербијалне.</w:t>
            </w:r>
          </w:p>
        </w:tc>
        <w:tc>
          <w:tcPr>
            <w:tcW w:w="2267" w:type="dxa"/>
            <w:vMerge/>
            <w:tcBorders>
              <w:top w:val="nil"/>
            </w:tcBorders>
          </w:tcPr>
          <w:p w:rsidR="00041039" w:rsidRDefault="00041039">
            <w:pPr>
              <w:rPr>
                <w:sz w:val="2"/>
                <w:szCs w:val="2"/>
              </w:rPr>
            </w:pPr>
          </w:p>
        </w:tc>
      </w:tr>
      <w:tr w:rsidR="00041039">
        <w:trPr>
          <w:trHeight w:val="674"/>
        </w:trPr>
        <w:tc>
          <w:tcPr>
            <w:tcW w:w="1304" w:type="dxa"/>
          </w:tcPr>
          <w:p w:rsidR="00041039" w:rsidRDefault="001B26CB">
            <w:pPr>
              <w:pStyle w:val="TableParagraph"/>
              <w:spacing w:before="23"/>
              <w:ind w:left="57"/>
              <w:rPr>
                <w:sz w:val="14"/>
              </w:rPr>
            </w:pPr>
            <w:r>
              <w:rPr>
                <w:color w:val="231F20"/>
                <w:sz w:val="14"/>
              </w:rPr>
              <w:t>Правопис</w:t>
            </w:r>
          </w:p>
        </w:tc>
        <w:tc>
          <w:tcPr>
            <w:tcW w:w="1587" w:type="dxa"/>
          </w:tcPr>
          <w:p w:rsidR="00041039" w:rsidRDefault="001B26CB">
            <w:pPr>
              <w:pStyle w:val="TableParagraph"/>
              <w:tabs>
                <w:tab w:val="left" w:pos="157"/>
              </w:tabs>
              <w:spacing w:before="27" w:line="158" w:lineRule="exact"/>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tabs>
                <w:tab w:val="left" w:pos="158"/>
              </w:tabs>
              <w:spacing w:before="16" w:line="235" w:lineRule="auto"/>
              <w:ind w:left="157" w:right="209" w:hanging="100"/>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tabs>
                <w:tab w:val="left" w:pos="158"/>
              </w:tabs>
              <w:spacing w:before="13" w:line="165" w:lineRule="exact"/>
              <w:ind w:left="157" w:hanging="100"/>
              <w:rPr>
                <w:sz w:val="14"/>
              </w:rPr>
            </w:pPr>
            <w:r>
              <w:rPr>
                <w:color w:val="231F20"/>
                <w:sz w:val="14"/>
              </w:rPr>
              <w:t>Употреба</w:t>
            </w:r>
            <w:r>
              <w:rPr>
                <w:color w:val="231F20"/>
                <w:spacing w:val="-23"/>
                <w:sz w:val="14"/>
              </w:rPr>
              <w:t xml:space="preserve"> </w:t>
            </w:r>
            <w:r>
              <w:rPr>
                <w:color w:val="231F20"/>
                <w:sz w:val="14"/>
              </w:rPr>
              <w:t>запете.</w:t>
            </w:r>
          </w:p>
          <w:p w:rsidR="00041039" w:rsidRDefault="001B26CB">
            <w:pPr>
              <w:pStyle w:val="TableParagraph"/>
              <w:tabs>
                <w:tab w:val="left" w:pos="158"/>
              </w:tabs>
              <w:spacing w:line="158" w:lineRule="exact"/>
              <w:ind w:left="157" w:hanging="100"/>
              <w:rPr>
                <w:sz w:val="14"/>
              </w:rPr>
            </w:pPr>
            <w:r>
              <w:rPr>
                <w:color w:val="231F20"/>
                <w:sz w:val="14"/>
              </w:rPr>
              <w:t>Писање</w:t>
            </w:r>
            <w:r>
              <w:rPr>
                <w:color w:val="231F20"/>
                <w:spacing w:val="-3"/>
                <w:sz w:val="14"/>
              </w:rPr>
              <w:t xml:space="preserve"> </w:t>
            </w:r>
            <w:r>
              <w:rPr>
                <w:color w:val="231F20"/>
                <w:sz w:val="14"/>
              </w:rPr>
              <w:t>бројева.</w:t>
            </w:r>
          </w:p>
          <w:p w:rsidR="00041039" w:rsidRDefault="001B26CB">
            <w:pPr>
              <w:pStyle w:val="TableParagraph"/>
              <w:tabs>
                <w:tab w:val="left" w:pos="158"/>
              </w:tabs>
              <w:spacing w:line="165" w:lineRule="exact"/>
              <w:ind w:left="157" w:hanging="100"/>
              <w:rPr>
                <w:sz w:val="14"/>
              </w:rPr>
            </w:pPr>
            <w:r>
              <w:rPr>
                <w:color w:val="231F20"/>
                <w:sz w:val="14"/>
              </w:rPr>
              <w:t>Писање</w:t>
            </w:r>
            <w:r>
              <w:rPr>
                <w:color w:val="231F20"/>
                <w:spacing w:val="-10"/>
                <w:sz w:val="14"/>
              </w:rPr>
              <w:t xml:space="preserve"> </w:t>
            </w:r>
            <w:r>
              <w:rPr>
                <w:color w:val="231F20"/>
                <w:sz w:val="14"/>
              </w:rPr>
              <w:t>датума.</w:t>
            </w:r>
          </w:p>
        </w:tc>
        <w:tc>
          <w:tcPr>
            <w:tcW w:w="2267" w:type="dxa"/>
            <w:vMerge/>
            <w:tcBorders>
              <w:top w:val="nil"/>
            </w:tcBorders>
          </w:tcPr>
          <w:p w:rsidR="00041039" w:rsidRDefault="00041039">
            <w:pPr>
              <w:rPr>
                <w:sz w:val="2"/>
                <w:szCs w:val="2"/>
              </w:rPr>
            </w:pPr>
          </w:p>
        </w:tc>
      </w:tr>
      <w:tr w:rsidR="00041039">
        <w:trPr>
          <w:trHeight w:val="3044"/>
        </w:trPr>
        <w:tc>
          <w:tcPr>
            <w:tcW w:w="1304" w:type="dxa"/>
          </w:tcPr>
          <w:p w:rsidR="00041039" w:rsidRDefault="001B26CB">
            <w:pPr>
              <w:pStyle w:val="TableParagraph"/>
              <w:spacing w:before="26" w:line="235" w:lineRule="auto"/>
              <w:ind w:left="57" w:right="37"/>
              <w:rPr>
                <w:sz w:val="14"/>
              </w:rPr>
            </w:pPr>
            <w:r>
              <w:rPr>
                <w:color w:val="231F20"/>
                <w:sz w:val="14"/>
              </w:rPr>
              <w:t>Култура изража­ вања</w:t>
            </w:r>
          </w:p>
        </w:tc>
        <w:tc>
          <w:tcPr>
            <w:tcW w:w="1587" w:type="dxa"/>
          </w:tcPr>
          <w:p w:rsidR="00041039" w:rsidRDefault="001B26CB">
            <w:pPr>
              <w:pStyle w:val="TableParagraph"/>
              <w:tabs>
                <w:tab w:val="left" w:pos="157"/>
              </w:tabs>
              <w:spacing w:before="16" w:line="235" w:lineRule="auto"/>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tabs>
                <w:tab w:val="left" w:pos="158"/>
              </w:tabs>
              <w:spacing w:before="16" w:line="235" w:lineRule="auto"/>
              <w:ind w:left="157" w:right="116" w:hanging="100"/>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tabs>
                <w:tab w:val="left" w:pos="158"/>
              </w:tabs>
              <w:spacing w:before="2" w:line="158" w:lineRule="exact"/>
              <w:ind w:left="157" w:right="90" w:hanging="100"/>
              <w:rPr>
                <w:sz w:val="14"/>
              </w:rPr>
            </w:pPr>
            <w:r>
              <w:rPr>
                <w:color w:val="231F20"/>
                <w:sz w:val="14"/>
              </w:rPr>
              <w:t>даје одговоре на постављена питања</w:t>
            </w:r>
            <w:r>
              <w:rPr>
                <w:color w:val="231F20"/>
                <w:spacing w:val="-10"/>
                <w:sz w:val="14"/>
              </w:rPr>
              <w:t xml:space="preserve"> </w:t>
            </w:r>
            <w:r>
              <w:rPr>
                <w:color w:val="231F20"/>
                <w:sz w:val="14"/>
              </w:rPr>
              <w:t>и поставља питања;</w:t>
            </w:r>
          </w:p>
        </w:tc>
        <w:tc>
          <w:tcPr>
            <w:tcW w:w="2834" w:type="dxa"/>
          </w:tcPr>
          <w:p w:rsidR="00041039" w:rsidRDefault="001B26CB">
            <w:pPr>
              <w:pStyle w:val="TableParagraph"/>
              <w:tabs>
                <w:tab w:val="left" w:pos="158"/>
              </w:tabs>
              <w:spacing w:before="13" w:line="170" w:lineRule="exact"/>
              <w:ind w:left="157" w:hanging="99"/>
              <w:rPr>
                <w:sz w:val="14"/>
              </w:rPr>
            </w:pPr>
            <w:r>
              <w:rPr>
                <w:color w:val="231F20"/>
                <w:sz w:val="14"/>
              </w:rPr>
              <w:t>Тематика:</w:t>
            </w:r>
          </w:p>
          <w:p w:rsidR="00041039" w:rsidRDefault="001B26CB">
            <w:pPr>
              <w:pStyle w:val="TableParagraph"/>
              <w:tabs>
                <w:tab w:val="left" w:pos="164"/>
              </w:tabs>
              <w:spacing w:line="158" w:lineRule="exact"/>
              <w:ind w:left="163" w:hanging="105"/>
              <w:rPr>
                <w:sz w:val="14"/>
              </w:rPr>
            </w:pPr>
            <w:r>
              <w:rPr>
                <w:color w:val="231F20"/>
                <w:sz w:val="14"/>
              </w:rPr>
              <w:t>пријатељи и</w:t>
            </w:r>
            <w:r>
              <w:rPr>
                <w:color w:val="231F20"/>
                <w:spacing w:val="-2"/>
                <w:sz w:val="14"/>
              </w:rPr>
              <w:t xml:space="preserve"> </w:t>
            </w:r>
            <w:r>
              <w:rPr>
                <w:color w:val="231F20"/>
                <w:sz w:val="14"/>
              </w:rPr>
              <w:t>родбина;</w:t>
            </w:r>
          </w:p>
          <w:p w:rsidR="00041039" w:rsidRDefault="001B26CB">
            <w:pPr>
              <w:pStyle w:val="TableParagraph"/>
              <w:tabs>
                <w:tab w:val="left" w:pos="164"/>
              </w:tabs>
              <w:spacing w:before="2" w:line="235" w:lineRule="auto"/>
              <w:ind w:left="163" w:right="244" w:hanging="105"/>
              <w:rPr>
                <w:sz w:val="14"/>
              </w:rPr>
            </w:pPr>
            <w:r>
              <w:rPr>
                <w:color w:val="231F20"/>
                <w:sz w:val="14"/>
              </w:rPr>
              <w:t>становање (просторије, намештај, кућни апарати);</w:t>
            </w:r>
          </w:p>
          <w:p w:rsidR="00041039" w:rsidRDefault="001B26CB">
            <w:pPr>
              <w:pStyle w:val="TableParagraph"/>
              <w:tabs>
                <w:tab w:val="left" w:pos="164"/>
              </w:tabs>
              <w:spacing w:line="157" w:lineRule="exact"/>
              <w:ind w:left="163" w:hanging="105"/>
              <w:rPr>
                <w:sz w:val="14"/>
              </w:rPr>
            </w:pPr>
            <w:r>
              <w:rPr>
                <w:color w:val="231F20"/>
                <w:sz w:val="14"/>
              </w:rPr>
              <w:t>основне животне</w:t>
            </w:r>
            <w:r>
              <w:rPr>
                <w:color w:val="231F20"/>
                <w:spacing w:val="-1"/>
                <w:sz w:val="14"/>
              </w:rPr>
              <w:t xml:space="preserve"> </w:t>
            </w:r>
            <w:r>
              <w:rPr>
                <w:color w:val="231F20"/>
                <w:sz w:val="14"/>
              </w:rPr>
              <w:t>намирнице;</w:t>
            </w:r>
          </w:p>
          <w:p w:rsidR="00041039" w:rsidRDefault="001B26CB">
            <w:pPr>
              <w:pStyle w:val="TableParagraph"/>
              <w:tabs>
                <w:tab w:val="left" w:pos="164"/>
              </w:tabs>
              <w:spacing w:before="1" w:line="235" w:lineRule="auto"/>
              <w:ind w:left="163" w:right="157" w:hanging="105"/>
              <w:rPr>
                <w:sz w:val="14"/>
              </w:rPr>
            </w:pPr>
            <w:r>
              <w:rPr>
                <w:color w:val="231F20"/>
                <w:sz w:val="14"/>
              </w:rPr>
              <w:t>јавно објекти, службе и установе</w:t>
            </w:r>
            <w:r>
              <w:rPr>
                <w:color w:val="231F20"/>
                <w:spacing w:val="-17"/>
                <w:sz w:val="14"/>
              </w:rPr>
              <w:t xml:space="preserve"> </w:t>
            </w:r>
            <w:r>
              <w:rPr>
                <w:color w:val="231F20"/>
                <w:sz w:val="14"/>
              </w:rPr>
              <w:t>(продав­ ница, амбуланта, пошта,</w:t>
            </w:r>
            <w:r>
              <w:rPr>
                <w:color w:val="231F20"/>
                <w:spacing w:val="-6"/>
                <w:sz w:val="14"/>
              </w:rPr>
              <w:t xml:space="preserve"> </w:t>
            </w:r>
            <w:r>
              <w:rPr>
                <w:color w:val="231F20"/>
                <w:sz w:val="14"/>
              </w:rPr>
              <w:t>ресторан);</w:t>
            </w:r>
          </w:p>
          <w:p w:rsidR="00041039" w:rsidRDefault="001B26CB">
            <w:pPr>
              <w:pStyle w:val="TableParagraph"/>
              <w:tabs>
                <w:tab w:val="left" w:pos="164"/>
              </w:tabs>
              <w:spacing w:line="157" w:lineRule="exact"/>
              <w:ind w:left="163" w:hanging="105"/>
              <w:rPr>
                <w:sz w:val="14"/>
              </w:rPr>
            </w:pPr>
            <w:r>
              <w:rPr>
                <w:color w:val="231F20"/>
                <w:sz w:val="14"/>
              </w:rPr>
              <w:t>биљни и животињски</w:t>
            </w:r>
            <w:r>
              <w:rPr>
                <w:color w:val="231F20"/>
                <w:spacing w:val="-2"/>
                <w:sz w:val="14"/>
              </w:rPr>
              <w:t xml:space="preserve"> </w:t>
            </w:r>
            <w:r>
              <w:rPr>
                <w:color w:val="231F20"/>
                <w:sz w:val="14"/>
              </w:rPr>
              <w:t>свет;</w:t>
            </w:r>
          </w:p>
          <w:p w:rsidR="00041039" w:rsidRDefault="001B26CB">
            <w:pPr>
              <w:pStyle w:val="TableParagraph"/>
              <w:tabs>
                <w:tab w:val="left" w:pos="164"/>
              </w:tabs>
              <w:spacing w:line="158" w:lineRule="exact"/>
              <w:ind w:left="163" w:hanging="105"/>
              <w:rPr>
                <w:sz w:val="14"/>
              </w:rPr>
            </w:pPr>
            <w:r>
              <w:rPr>
                <w:color w:val="231F20"/>
                <w:sz w:val="14"/>
              </w:rPr>
              <w:t>прославе и</w:t>
            </w:r>
            <w:r>
              <w:rPr>
                <w:color w:val="231F20"/>
                <w:spacing w:val="-2"/>
                <w:sz w:val="14"/>
              </w:rPr>
              <w:t xml:space="preserve"> </w:t>
            </w:r>
            <w:r>
              <w:rPr>
                <w:color w:val="231F20"/>
                <w:sz w:val="14"/>
              </w:rPr>
              <w:t>свечаности;</w:t>
            </w:r>
          </w:p>
          <w:p w:rsidR="00041039" w:rsidRDefault="001B26CB">
            <w:pPr>
              <w:pStyle w:val="TableParagraph"/>
              <w:tabs>
                <w:tab w:val="left" w:pos="164"/>
              </w:tabs>
              <w:spacing w:line="153" w:lineRule="exact"/>
              <w:ind w:left="163" w:hanging="105"/>
              <w:rPr>
                <w:sz w:val="14"/>
              </w:rPr>
            </w:pPr>
            <w:r>
              <w:rPr>
                <w:color w:val="231F20"/>
                <w:sz w:val="14"/>
              </w:rPr>
              <w:t>мерне јединице, временске</w:t>
            </w:r>
            <w:r>
              <w:rPr>
                <w:color w:val="231F20"/>
                <w:spacing w:val="-5"/>
                <w:sz w:val="14"/>
              </w:rPr>
              <w:t xml:space="preserve"> </w:t>
            </w:r>
            <w:r>
              <w:rPr>
                <w:color w:val="231F20"/>
                <w:sz w:val="14"/>
              </w:rPr>
              <w:t>одреднице.</w:t>
            </w:r>
          </w:p>
          <w:p w:rsidR="00041039" w:rsidRDefault="001B26CB">
            <w:pPr>
              <w:pStyle w:val="TableParagraph"/>
              <w:tabs>
                <w:tab w:val="left" w:pos="158"/>
              </w:tabs>
              <w:spacing w:line="163" w:lineRule="exact"/>
              <w:ind w:left="157" w:hanging="99"/>
              <w:rPr>
                <w:sz w:val="14"/>
              </w:rPr>
            </w:pPr>
            <w:r>
              <w:rPr>
                <w:color w:val="231F20"/>
                <w:spacing w:val="-1"/>
                <w:sz w:val="14"/>
              </w:rPr>
              <w:t>Комуникативне</w:t>
            </w:r>
            <w:r>
              <w:rPr>
                <w:color w:val="231F20"/>
                <w:spacing w:val="-12"/>
                <w:sz w:val="14"/>
              </w:rPr>
              <w:t xml:space="preserve"> </w:t>
            </w:r>
            <w:r>
              <w:rPr>
                <w:color w:val="231F20"/>
                <w:sz w:val="14"/>
              </w:rPr>
              <w:t>функције:</w:t>
            </w:r>
          </w:p>
          <w:p w:rsidR="00041039" w:rsidRDefault="001B26CB">
            <w:pPr>
              <w:pStyle w:val="TableParagraph"/>
              <w:tabs>
                <w:tab w:val="left" w:pos="164"/>
              </w:tabs>
              <w:spacing w:line="158" w:lineRule="exact"/>
              <w:ind w:left="163" w:hanging="105"/>
              <w:rPr>
                <w:sz w:val="14"/>
              </w:rPr>
            </w:pPr>
            <w:r>
              <w:rPr>
                <w:color w:val="231F20"/>
                <w:sz w:val="14"/>
              </w:rPr>
              <w:t>ословљавање и обраћање;</w:t>
            </w:r>
          </w:p>
          <w:p w:rsidR="00041039" w:rsidRDefault="001B26CB">
            <w:pPr>
              <w:pStyle w:val="TableParagraph"/>
              <w:tabs>
                <w:tab w:val="left" w:pos="164"/>
              </w:tabs>
              <w:spacing w:line="158" w:lineRule="exact"/>
              <w:ind w:left="163" w:hanging="105"/>
              <w:rPr>
                <w:sz w:val="14"/>
              </w:rPr>
            </w:pPr>
            <w:r>
              <w:rPr>
                <w:color w:val="231F20"/>
                <w:sz w:val="14"/>
              </w:rPr>
              <w:t>исказивање</w:t>
            </w:r>
            <w:r>
              <w:rPr>
                <w:color w:val="231F20"/>
                <w:spacing w:val="-1"/>
                <w:sz w:val="14"/>
              </w:rPr>
              <w:t xml:space="preserve"> </w:t>
            </w:r>
            <w:r>
              <w:rPr>
                <w:color w:val="231F20"/>
                <w:sz w:val="14"/>
              </w:rPr>
              <w:t>молбе;</w:t>
            </w:r>
          </w:p>
          <w:p w:rsidR="00041039" w:rsidRDefault="001B26CB">
            <w:pPr>
              <w:pStyle w:val="TableParagraph"/>
              <w:tabs>
                <w:tab w:val="left" w:pos="164"/>
              </w:tabs>
              <w:spacing w:line="158" w:lineRule="exact"/>
              <w:ind w:left="163" w:hanging="105"/>
              <w:rPr>
                <w:sz w:val="14"/>
              </w:rPr>
            </w:pPr>
            <w:r>
              <w:rPr>
                <w:color w:val="231F20"/>
                <w:sz w:val="14"/>
              </w:rPr>
              <w:t>тражење и давање</w:t>
            </w:r>
            <w:r>
              <w:rPr>
                <w:color w:val="231F20"/>
                <w:spacing w:val="-2"/>
                <w:sz w:val="14"/>
              </w:rPr>
              <w:t xml:space="preserve"> </w:t>
            </w:r>
            <w:r>
              <w:rPr>
                <w:color w:val="231F20"/>
                <w:sz w:val="14"/>
              </w:rPr>
              <w:t>упутстава;</w:t>
            </w:r>
          </w:p>
          <w:p w:rsidR="00041039" w:rsidRDefault="001B26CB">
            <w:pPr>
              <w:pStyle w:val="TableParagraph"/>
              <w:tabs>
                <w:tab w:val="left" w:pos="164"/>
              </w:tabs>
              <w:spacing w:line="153" w:lineRule="exact"/>
              <w:ind w:left="163" w:hanging="105"/>
              <w:rPr>
                <w:sz w:val="14"/>
              </w:rPr>
            </w:pPr>
            <w:r>
              <w:rPr>
                <w:color w:val="231F20"/>
                <w:sz w:val="14"/>
              </w:rPr>
              <w:t>позивање и прихватање/одбијање</w:t>
            </w:r>
            <w:r>
              <w:rPr>
                <w:color w:val="231F20"/>
                <w:spacing w:val="-10"/>
                <w:sz w:val="14"/>
              </w:rPr>
              <w:t xml:space="preserve"> </w:t>
            </w:r>
            <w:r>
              <w:rPr>
                <w:color w:val="231F20"/>
                <w:sz w:val="14"/>
              </w:rPr>
              <w:t>позива.</w:t>
            </w:r>
          </w:p>
          <w:p w:rsidR="00041039" w:rsidRDefault="001B26CB">
            <w:pPr>
              <w:pStyle w:val="TableParagraph"/>
              <w:tabs>
                <w:tab w:val="left" w:pos="158"/>
              </w:tabs>
              <w:spacing w:line="235" w:lineRule="auto"/>
              <w:ind w:left="157" w:right="186" w:hanging="99"/>
              <w:rPr>
                <w:sz w:val="14"/>
              </w:rPr>
            </w:pPr>
            <w:r>
              <w:rPr>
                <w:color w:val="231F20"/>
                <w:sz w:val="14"/>
              </w:rPr>
              <w:t>Проширивање језичке и лексичке грађе новим речима и фразеолошким</w:t>
            </w:r>
            <w:r>
              <w:rPr>
                <w:color w:val="231F20"/>
                <w:spacing w:val="-23"/>
                <w:sz w:val="14"/>
              </w:rPr>
              <w:t xml:space="preserve"> </w:t>
            </w:r>
            <w:r>
              <w:rPr>
                <w:color w:val="231F20"/>
                <w:sz w:val="14"/>
              </w:rPr>
              <w:t>изразима.</w:t>
            </w:r>
          </w:p>
          <w:p w:rsidR="00041039" w:rsidRDefault="001B26CB">
            <w:pPr>
              <w:pStyle w:val="TableParagraph"/>
              <w:tabs>
                <w:tab w:val="left" w:pos="158"/>
              </w:tabs>
              <w:spacing w:line="152" w:lineRule="exact"/>
              <w:ind w:left="157"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tabs>
                <w:tab w:val="left" w:pos="158"/>
              </w:tabs>
              <w:spacing w:line="159" w:lineRule="exact"/>
              <w:ind w:left="157"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48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tabs>
                <w:tab w:val="left" w:pos="157"/>
              </w:tabs>
              <w:spacing w:before="8"/>
              <w:ind w:right="115" w:hanging="100"/>
              <w:rPr>
                <w:sz w:val="14"/>
              </w:rPr>
            </w:pPr>
            <w:r>
              <w:rPr>
                <w:color w:val="231F20"/>
                <w:sz w:val="14"/>
              </w:rPr>
              <w:t>Упознавање са зна­ чајним делима</w:t>
            </w:r>
            <w:r>
              <w:rPr>
                <w:color w:val="231F20"/>
                <w:spacing w:val="-6"/>
                <w:sz w:val="14"/>
              </w:rPr>
              <w:t xml:space="preserve"> </w:t>
            </w:r>
            <w:r>
              <w:rPr>
                <w:color w:val="231F20"/>
                <w:sz w:val="14"/>
              </w:rPr>
              <w:t>српске књижевности.</w:t>
            </w:r>
          </w:p>
        </w:tc>
        <w:tc>
          <w:tcPr>
            <w:tcW w:w="2551" w:type="dxa"/>
          </w:tcPr>
          <w:p w:rsidR="00041039" w:rsidRDefault="001B26CB">
            <w:pPr>
              <w:pStyle w:val="TableParagraph"/>
              <w:tabs>
                <w:tab w:val="left" w:pos="157"/>
              </w:tabs>
              <w:spacing w:before="8"/>
              <w:ind w:right="100" w:hanging="99"/>
              <w:jc w:val="both"/>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9"/>
                <w:sz w:val="14"/>
              </w:rPr>
              <w:t xml:space="preserve"> </w:t>
            </w:r>
            <w:r>
              <w:rPr>
                <w:color w:val="231F20"/>
                <w:sz w:val="14"/>
              </w:rPr>
              <w:t>текстова;</w:t>
            </w:r>
          </w:p>
          <w:p w:rsidR="00041039" w:rsidRDefault="001B26CB">
            <w:pPr>
              <w:pStyle w:val="TableParagraph"/>
              <w:tabs>
                <w:tab w:val="left" w:pos="157"/>
              </w:tabs>
              <w:spacing w:line="160" w:lineRule="exact"/>
              <w:ind w:right="69" w:hanging="99"/>
              <w:jc w:val="both"/>
              <w:rPr>
                <w:sz w:val="14"/>
              </w:rPr>
            </w:pPr>
            <w:r>
              <w:rPr>
                <w:color w:val="231F20"/>
                <w:sz w:val="14"/>
              </w:rPr>
              <w:t>користи познавање жанровских</w:t>
            </w:r>
            <w:r>
              <w:rPr>
                <w:color w:val="231F20"/>
                <w:spacing w:val="-12"/>
                <w:sz w:val="14"/>
              </w:rPr>
              <w:t xml:space="preserve"> </w:t>
            </w:r>
            <w:r>
              <w:rPr>
                <w:color w:val="231F20"/>
                <w:sz w:val="14"/>
              </w:rPr>
              <w:t>посеб­ ности при интерпретацији књижевног дела у</w:t>
            </w:r>
            <w:r>
              <w:rPr>
                <w:color w:val="231F20"/>
                <w:spacing w:val="-1"/>
                <w:sz w:val="14"/>
              </w:rPr>
              <w:t xml:space="preserve"> </w:t>
            </w:r>
            <w:r>
              <w:rPr>
                <w:color w:val="231F20"/>
                <w:sz w:val="14"/>
              </w:rPr>
              <w:t>настави;</w:t>
            </w:r>
          </w:p>
          <w:p w:rsidR="00041039" w:rsidRDefault="001B26CB">
            <w:pPr>
              <w:pStyle w:val="TableParagraph"/>
              <w:tabs>
                <w:tab w:val="left" w:pos="157"/>
              </w:tabs>
              <w:spacing w:line="160" w:lineRule="exact"/>
              <w:ind w:right="269" w:hanging="99"/>
              <w:rPr>
                <w:sz w:val="14"/>
              </w:rPr>
            </w:pPr>
            <w:r>
              <w:rPr>
                <w:color w:val="231F20"/>
                <w:sz w:val="14"/>
              </w:rPr>
              <w:t>анализира идејне аспекте текстова обухваћених школским</w:t>
            </w:r>
            <w:r>
              <w:rPr>
                <w:color w:val="231F20"/>
                <w:spacing w:val="-27"/>
                <w:sz w:val="14"/>
              </w:rPr>
              <w:t xml:space="preserve"> </w:t>
            </w:r>
            <w:r>
              <w:rPr>
                <w:color w:val="231F20"/>
                <w:sz w:val="14"/>
              </w:rPr>
              <w:t>програмом;</w:t>
            </w:r>
          </w:p>
        </w:tc>
        <w:tc>
          <w:tcPr>
            <w:tcW w:w="2834" w:type="dxa"/>
          </w:tcPr>
          <w:p w:rsidR="00041039" w:rsidRDefault="001B26CB">
            <w:pPr>
              <w:pStyle w:val="TableParagraph"/>
              <w:spacing w:before="18" w:line="155" w:lineRule="exact"/>
              <w:ind w:left="57"/>
              <w:rPr>
                <w:sz w:val="14"/>
              </w:rPr>
            </w:pPr>
            <w:r>
              <w:rPr>
                <w:color w:val="231F20"/>
                <w:sz w:val="14"/>
              </w:rPr>
              <w:t>ОБАВЕЗНИ:</w:t>
            </w:r>
          </w:p>
          <w:p w:rsidR="00041039" w:rsidRDefault="001B26CB">
            <w:pPr>
              <w:pStyle w:val="TableParagraph"/>
              <w:tabs>
                <w:tab w:val="left" w:pos="157"/>
              </w:tabs>
              <w:spacing w:line="160" w:lineRule="exact"/>
              <w:ind w:hanging="99"/>
              <w:rPr>
                <w:sz w:val="14"/>
              </w:rPr>
            </w:pPr>
            <w:r>
              <w:rPr>
                <w:color w:val="231F20"/>
                <w:sz w:val="14"/>
              </w:rPr>
              <w:t>„Смрт Омера и</w:t>
            </w:r>
            <w:r>
              <w:rPr>
                <w:color w:val="231F20"/>
                <w:spacing w:val="-3"/>
                <w:sz w:val="14"/>
              </w:rPr>
              <w:t xml:space="preserve"> </w:t>
            </w:r>
            <w:r>
              <w:rPr>
                <w:color w:val="231F20"/>
                <w:sz w:val="14"/>
              </w:rPr>
              <w:t>Мериме”.</w:t>
            </w:r>
          </w:p>
          <w:p w:rsidR="00041039" w:rsidRDefault="001B26CB">
            <w:pPr>
              <w:pStyle w:val="TableParagraph"/>
              <w:tabs>
                <w:tab w:val="left" w:pos="157"/>
              </w:tabs>
              <w:spacing w:line="160" w:lineRule="exact"/>
              <w:ind w:hanging="99"/>
              <w:rPr>
                <w:sz w:val="14"/>
              </w:rPr>
            </w:pPr>
            <w:r>
              <w:rPr>
                <w:color w:val="231F20"/>
                <w:sz w:val="14"/>
              </w:rPr>
              <w:t>„У цара Тројана козје</w:t>
            </w:r>
            <w:r>
              <w:rPr>
                <w:color w:val="231F20"/>
                <w:spacing w:val="-4"/>
                <w:sz w:val="14"/>
              </w:rPr>
              <w:t xml:space="preserve"> </w:t>
            </w:r>
            <w:r>
              <w:rPr>
                <w:color w:val="231F20"/>
                <w:sz w:val="14"/>
              </w:rPr>
              <w:t>уши”.</w:t>
            </w:r>
          </w:p>
          <w:p w:rsidR="00041039" w:rsidRDefault="001B26CB">
            <w:pPr>
              <w:pStyle w:val="TableParagraph"/>
              <w:tabs>
                <w:tab w:val="left" w:pos="157"/>
              </w:tabs>
              <w:spacing w:line="237" w:lineRule="auto"/>
              <w:ind w:right="465" w:hanging="99"/>
              <w:rPr>
                <w:sz w:val="14"/>
              </w:rPr>
            </w:pPr>
            <w:r>
              <w:rPr>
                <w:color w:val="231F20"/>
                <w:spacing w:val="-2"/>
                <w:sz w:val="14"/>
              </w:rPr>
              <w:t xml:space="preserve">Бранко </w:t>
            </w:r>
            <w:r>
              <w:rPr>
                <w:color w:val="231F20"/>
                <w:sz w:val="14"/>
              </w:rPr>
              <w:t xml:space="preserve">Радичевић: </w:t>
            </w:r>
            <w:r>
              <w:rPr>
                <w:color w:val="231F20"/>
                <w:spacing w:val="-4"/>
                <w:sz w:val="14"/>
              </w:rPr>
              <w:t xml:space="preserve">„Ћачки </w:t>
            </w:r>
            <w:r>
              <w:rPr>
                <w:color w:val="231F20"/>
                <w:sz w:val="14"/>
              </w:rPr>
              <w:t>растанак” (одломци).</w:t>
            </w:r>
          </w:p>
          <w:p w:rsidR="00041039" w:rsidRDefault="001B26CB">
            <w:pPr>
              <w:pStyle w:val="TableParagraph"/>
              <w:tabs>
                <w:tab w:val="left" w:pos="157"/>
              </w:tabs>
              <w:spacing w:line="155" w:lineRule="exact"/>
              <w:ind w:hanging="99"/>
              <w:rPr>
                <w:sz w:val="14"/>
              </w:rPr>
            </w:pPr>
            <w:r>
              <w:rPr>
                <w:color w:val="231F20"/>
                <w:sz w:val="14"/>
              </w:rPr>
              <w:t xml:space="preserve">Милован </w:t>
            </w:r>
            <w:r>
              <w:rPr>
                <w:color w:val="231F20"/>
                <w:spacing w:val="-3"/>
                <w:sz w:val="14"/>
              </w:rPr>
              <w:t>Глишић: „Глава</w:t>
            </w:r>
            <w:r>
              <w:rPr>
                <w:color w:val="231F20"/>
                <w:sz w:val="14"/>
              </w:rPr>
              <w:t xml:space="preserve"> </w:t>
            </w:r>
            <w:r>
              <w:rPr>
                <w:color w:val="231F20"/>
                <w:sz w:val="14"/>
              </w:rPr>
              <w:t>шећера”.</w:t>
            </w:r>
          </w:p>
          <w:p w:rsidR="00041039" w:rsidRDefault="001B26CB">
            <w:pPr>
              <w:pStyle w:val="TableParagraph"/>
              <w:tabs>
                <w:tab w:val="left" w:pos="157"/>
              </w:tabs>
              <w:spacing w:line="237" w:lineRule="auto"/>
              <w:ind w:right="60" w:hanging="99"/>
              <w:rPr>
                <w:sz w:val="14"/>
              </w:rPr>
            </w:pPr>
            <w:r>
              <w:rPr>
                <w:color w:val="231F20"/>
                <w:sz w:val="14"/>
              </w:rPr>
              <w:t xml:space="preserve">Десанка Максимовић: </w:t>
            </w:r>
            <w:r>
              <w:rPr>
                <w:color w:val="231F20"/>
                <w:spacing w:val="-3"/>
                <w:sz w:val="14"/>
              </w:rPr>
              <w:t xml:space="preserve">„Тражим </w:t>
            </w:r>
            <w:r>
              <w:rPr>
                <w:color w:val="231F20"/>
                <w:sz w:val="14"/>
              </w:rPr>
              <w:t>помило­ вање” (</w:t>
            </w:r>
            <w:r>
              <w:rPr>
                <w:i/>
                <w:color w:val="231F20"/>
                <w:sz w:val="14"/>
              </w:rPr>
              <w:t xml:space="preserve">За калуђера </w:t>
            </w:r>
            <w:r>
              <w:rPr>
                <w:color w:val="231F20"/>
                <w:sz w:val="14"/>
              </w:rPr>
              <w:t xml:space="preserve">или </w:t>
            </w:r>
            <w:r>
              <w:rPr>
                <w:i/>
                <w:color w:val="231F20"/>
                <w:sz w:val="14"/>
              </w:rPr>
              <w:t>За лажи</w:t>
            </w:r>
            <w:r>
              <w:rPr>
                <w:i/>
                <w:color w:val="231F20"/>
                <w:spacing w:val="-16"/>
                <w:sz w:val="14"/>
              </w:rPr>
              <w:t xml:space="preserve"> </w:t>
            </w:r>
            <w:r>
              <w:rPr>
                <w:i/>
                <w:color w:val="231F20"/>
                <w:sz w:val="14"/>
              </w:rPr>
              <w:t>изговорене из</w:t>
            </w:r>
            <w:r>
              <w:rPr>
                <w:i/>
                <w:color w:val="231F20"/>
                <w:spacing w:val="-1"/>
                <w:sz w:val="14"/>
              </w:rPr>
              <w:t xml:space="preserve"> </w:t>
            </w:r>
            <w:r>
              <w:rPr>
                <w:i/>
                <w:color w:val="231F20"/>
                <w:sz w:val="14"/>
              </w:rPr>
              <w:t>миласрђа</w:t>
            </w:r>
            <w:r>
              <w:rPr>
                <w:color w:val="231F20"/>
                <w:sz w:val="14"/>
              </w:rPr>
              <w:t>).</w:t>
            </w:r>
          </w:p>
          <w:p w:rsidR="00041039" w:rsidRDefault="001B26CB">
            <w:pPr>
              <w:pStyle w:val="TableParagraph"/>
              <w:tabs>
                <w:tab w:val="left" w:pos="157"/>
              </w:tabs>
              <w:spacing w:line="237" w:lineRule="auto"/>
              <w:ind w:right="89" w:hanging="99"/>
              <w:rPr>
                <w:sz w:val="14"/>
              </w:rPr>
            </w:pPr>
            <w:r>
              <w:rPr>
                <w:color w:val="231F20"/>
                <w:sz w:val="14"/>
              </w:rPr>
              <w:t>Бранислав Нушић: „Аутобиографија”</w:t>
            </w:r>
            <w:r>
              <w:rPr>
                <w:color w:val="231F20"/>
                <w:spacing w:val="-21"/>
                <w:sz w:val="14"/>
              </w:rPr>
              <w:t xml:space="preserve"> </w:t>
            </w:r>
            <w:r>
              <w:rPr>
                <w:color w:val="231F20"/>
                <w:sz w:val="14"/>
              </w:rPr>
              <w:t xml:space="preserve">(пог­ лавље </w:t>
            </w:r>
            <w:r>
              <w:rPr>
                <w:i/>
                <w:color w:val="231F20"/>
                <w:sz w:val="14"/>
              </w:rPr>
              <w:t xml:space="preserve">Српскијезик </w:t>
            </w:r>
            <w:r>
              <w:rPr>
                <w:color w:val="231F20"/>
                <w:sz w:val="14"/>
              </w:rPr>
              <w:t>­ два</w:t>
            </w:r>
            <w:r>
              <w:rPr>
                <w:color w:val="231F20"/>
                <w:spacing w:val="-6"/>
                <w:sz w:val="14"/>
              </w:rPr>
              <w:t xml:space="preserve"> </w:t>
            </w:r>
            <w:r>
              <w:rPr>
                <w:color w:val="231F20"/>
                <w:sz w:val="14"/>
              </w:rPr>
              <w:t>одломка).</w:t>
            </w:r>
          </w:p>
          <w:p w:rsidR="00041039" w:rsidRDefault="001B26CB">
            <w:pPr>
              <w:pStyle w:val="TableParagraph"/>
              <w:tabs>
                <w:tab w:val="left" w:pos="157"/>
              </w:tabs>
              <w:spacing w:line="160" w:lineRule="exact"/>
              <w:ind w:right="104" w:hanging="99"/>
              <w:rPr>
                <w:sz w:val="14"/>
              </w:rPr>
            </w:pPr>
            <w:r>
              <w:rPr>
                <w:color w:val="231F20"/>
                <w:spacing w:val="-2"/>
                <w:sz w:val="14"/>
              </w:rPr>
              <w:t xml:space="preserve">Бранко </w:t>
            </w:r>
            <w:r>
              <w:rPr>
                <w:color w:val="231F20"/>
                <w:sz w:val="14"/>
              </w:rPr>
              <w:t>Ћопић: „Башта сљезове боје” (при­ поветка по</w:t>
            </w:r>
            <w:r>
              <w:rPr>
                <w:color w:val="231F20"/>
                <w:spacing w:val="-2"/>
                <w:sz w:val="14"/>
              </w:rPr>
              <w:t xml:space="preserve"> </w:t>
            </w:r>
            <w:r>
              <w:rPr>
                <w:color w:val="231F20"/>
                <w:sz w:val="14"/>
              </w:rPr>
              <w:t>избору).</w:t>
            </w:r>
          </w:p>
          <w:p w:rsidR="00041039" w:rsidRDefault="001B26CB">
            <w:pPr>
              <w:pStyle w:val="TableParagraph"/>
              <w:tabs>
                <w:tab w:val="left" w:pos="157"/>
              </w:tabs>
              <w:spacing w:line="160" w:lineRule="exact"/>
              <w:ind w:right="157" w:hanging="99"/>
              <w:rPr>
                <w:sz w:val="14"/>
              </w:rPr>
            </w:pPr>
            <w:r>
              <w:rPr>
                <w:color w:val="231F20"/>
                <w:sz w:val="14"/>
              </w:rPr>
              <w:t>Иво Андрић: „На Дрини ћуприја” (о</w:t>
            </w:r>
            <w:r>
              <w:rPr>
                <w:color w:val="231F20"/>
                <w:spacing w:val="-21"/>
                <w:sz w:val="14"/>
              </w:rPr>
              <w:t xml:space="preserve"> </w:t>
            </w:r>
            <w:r>
              <w:rPr>
                <w:color w:val="231F20"/>
                <w:sz w:val="14"/>
              </w:rPr>
              <w:t>Фати Авдагиној).</w:t>
            </w:r>
          </w:p>
          <w:p w:rsidR="00041039" w:rsidRDefault="001B26CB">
            <w:pPr>
              <w:pStyle w:val="TableParagraph"/>
              <w:spacing w:line="153" w:lineRule="exact"/>
              <w:ind w:left="57"/>
              <w:rPr>
                <w:sz w:val="14"/>
              </w:rPr>
            </w:pPr>
            <w:r>
              <w:rPr>
                <w:color w:val="231F20"/>
                <w:sz w:val="14"/>
              </w:rPr>
              <w:t>ИЗБОРНИ:</w:t>
            </w:r>
          </w:p>
          <w:p w:rsidR="00041039" w:rsidRDefault="001B26CB">
            <w:pPr>
              <w:pStyle w:val="TableParagraph"/>
              <w:tabs>
                <w:tab w:val="left" w:pos="157"/>
              </w:tabs>
              <w:spacing w:line="237" w:lineRule="auto"/>
              <w:ind w:right="110" w:hanging="99"/>
              <w:rPr>
                <w:sz w:val="14"/>
              </w:rPr>
            </w:pPr>
            <w:r>
              <w:rPr>
                <w:color w:val="231F20"/>
                <w:sz w:val="14"/>
              </w:rPr>
              <w:t>Јован Јовановнћ Змај: ,,Песмо моја, закити се цветом”</w:t>
            </w:r>
            <w:r>
              <w:rPr>
                <w:color w:val="231F20"/>
                <w:spacing w:val="-1"/>
                <w:sz w:val="14"/>
              </w:rPr>
              <w:t xml:space="preserve"> </w:t>
            </w:r>
            <w:r>
              <w:rPr>
                <w:color w:val="231F20"/>
                <w:sz w:val="14"/>
              </w:rPr>
              <w:t>.</w:t>
            </w:r>
          </w:p>
          <w:p w:rsidR="00041039" w:rsidRDefault="001B26CB">
            <w:pPr>
              <w:pStyle w:val="TableParagraph"/>
              <w:tabs>
                <w:tab w:val="left" w:pos="157"/>
              </w:tabs>
              <w:spacing w:line="160" w:lineRule="exact"/>
              <w:ind w:right="293" w:hanging="99"/>
              <w:rPr>
                <w:sz w:val="14"/>
              </w:rPr>
            </w:pPr>
            <w:r>
              <w:rPr>
                <w:color w:val="231F20"/>
                <w:sz w:val="14"/>
              </w:rPr>
              <w:t>Текст о Милени Павловић Барили; Антологија савремен</w:t>
            </w:r>
            <w:r>
              <w:rPr>
                <w:color w:val="231F20"/>
                <w:sz w:val="14"/>
              </w:rPr>
              <w:t>их српских писаца (избор).</w:t>
            </w:r>
          </w:p>
          <w:p w:rsidR="00041039" w:rsidRDefault="001B26CB">
            <w:pPr>
              <w:pStyle w:val="TableParagraph"/>
              <w:tabs>
                <w:tab w:val="left" w:pos="157"/>
              </w:tabs>
              <w:spacing w:line="160" w:lineRule="exact"/>
              <w:ind w:right="167" w:hanging="99"/>
              <w:rPr>
                <w:sz w:val="14"/>
              </w:rPr>
            </w:pPr>
            <w:r>
              <w:rPr>
                <w:color w:val="231F20"/>
                <w:sz w:val="14"/>
              </w:rPr>
              <w:t>Пеђа Милосављевић: „Потера за пејзажи­ ма”.</w:t>
            </w:r>
          </w:p>
          <w:p w:rsidR="00041039" w:rsidRDefault="001B26CB">
            <w:pPr>
              <w:pStyle w:val="TableParagraph"/>
              <w:tabs>
                <w:tab w:val="left" w:pos="157"/>
              </w:tabs>
              <w:spacing w:line="160" w:lineRule="exact"/>
              <w:ind w:right="343" w:hanging="99"/>
              <w:rPr>
                <w:sz w:val="14"/>
              </w:rPr>
            </w:pPr>
            <w:r>
              <w:rPr>
                <w:color w:val="231F20"/>
                <w:sz w:val="14"/>
              </w:rPr>
              <w:t>Веселин Чајкановић: „Главније биље</w:t>
            </w:r>
            <w:r>
              <w:rPr>
                <w:color w:val="231F20"/>
                <w:spacing w:val="-16"/>
                <w:sz w:val="14"/>
              </w:rPr>
              <w:t xml:space="preserve"> </w:t>
            </w:r>
            <w:r>
              <w:rPr>
                <w:color w:val="231F20"/>
                <w:sz w:val="14"/>
              </w:rPr>
              <w:t xml:space="preserve">у веровању </w:t>
            </w:r>
            <w:r>
              <w:rPr>
                <w:color w:val="231F20"/>
                <w:spacing w:val="-5"/>
                <w:sz w:val="14"/>
              </w:rPr>
              <w:t xml:space="preserve">код </w:t>
            </w:r>
            <w:r>
              <w:rPr>
                <w:color w:val="231F20"/>
                <w:sz w:val="14"/>
              </w:rPr>
              <w:t>нас</w:t>
            </w:r>
            <w:r>
              <w:rPr>
                <w:color w:val="231F20"/>
                <w:spacing w:val="2"/>
                <w:sz w:val="14"/>
              </w:rPr>
              <w:t xml:space="preserve"> </w:t>
            </w:r>
            <w:r>
              <w:rPr>
                <w:color w:val="231F20"/>
                <w:sz w:val="14"/>
              </w:rPr>
              <w:t>Срба”.</w:t>
            </w:r>
          </w:p>
          <w:p w:rsidR="00041039" w:rsidRDefault="001B26CB">
            <w:pPr>
              <w:pStyle w:val="TableParagraph"/>
              <w:tabs>
                <w:tab w:val="left" w:pos="157"/>
              </w:tabs>
              <w:spacing w:line="160" w:lineRule="exact"/>
              <w:ind w:right="110" w:hanging="99"/>
              <w:rPr>
                <w:sz w:val="14"/>
              </w:rPr>
            </w:pPr>
            <w:r>
              <w:rPr>
                <w:color w:val="231F20"/>
                <w:sz w:val="14"/>
              </w:rPr>
              <w:t>Текстови из других функционалних</w:t>
            </w:r>
            <w:r>
              <w:rPr>
                <w:color w:val="231F20"/>
                <w:spacing w:val="-22"/>
                <w:sz w:val="14"/>
              </w:rPr>
              <w:t xml:space="preserve"> </w:t>
            </w:r>
            <w:r>
              <w:rPr>
                <w:color w:val="231F20"/>
                <w:sz w:val="14"/>
              </w:rPr>
              <w:t>стило­ ва: публицистички</w:t>
            </w:r>
            <w:r>
              <w:rPr>
                <w:color w:val="231F20"/>
                <w:spacing w:val="-3"/>
                <w:sz w:val="14"/>
              </w:rPr>
              <w:t xml:space="preserve"> </w:t>
            </w:r>
            <w:r>
              <w:rPr>
                <w:color w:val="231F20"/>
                <w:sz w:val="14"/>
              </w:rPr>
              <w:t>(избор).</w:t>
            </w:r>
          </w:p>
          <w:p w:rsidR="00041039" w:rsidRDefault="001B26CB">
            <w:pPr>
              <w:pStyle w:val="TableParagraph"/>
              <w:tabs>
                <w:tab w:val="left" w:pos="157"/>
              </w:tabs>
              <w:spacing w:line="160" w:lineRule="exact"/>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spacing w:line="158" w:lineRule="exact"/>
              <w:ind w:left="57"/>
              <w:rPr>
                <w:b/>
                <w:sz w:val="14"/>
              </w:rPr>
            </w:pPr>
            <w:r>
              <w:rPr>
                <w:b/>
                <w:color w:val="231F20"/>
                <w:sz w:val="14"/>
              </w:rPr>
              <w:t>(Треба одабрати 2 дела.)</w:t>
            </w:r>
          </w:p>
        </w:tc>
        <w:tc>
          <w:tcPr>
            <w:tcW w:w="2267" w:type="dxa"/>
          </w:tcPr>
          <w:p w:rsidR="00041039" w:rsidRDefault="001B26CB">
            <w:pPr>
              <w:pStyle w:val="TableParagraph"/>
              <w:spacing w:before="19"/>
              <w:ind w:left="57" w:right="18"/>
              <w:rPr>
                <w:sz w:val="14"/>
              </w:rPr>
            </w:pPr>
            <w:r>
              <w:rPr>
                <w:color w:val="231F20"/>
                <w:sz w:val="14"/>
              </w:rPr>
              <w:t xml:space="preserve">Зато настава </w:t>
            </w:r>
            <w:r>
              <w:rPr>
                <w:i/>
                <w:color w:val="231F20"/>
                <w:sz w:val="14"/>
              </w:rPr>
              <w:t xml:space="preserve">српског као нема- терњег језика </w:t>
            </w:r>
            <w:r>
              <w:rPr>
                <w:color w:val="231F20"/>
                <w:sz w:val="14"/>
              </w:rPr>
              <w:t>не може бити једнообразна и у њој се морају уважавати различите могућности и употребе ученика различитих сре­ дина и различитих матерњих јези­ ка. При том се у наставу наглашено укључује принцип индивидуали­ зације и спровођење диференцира­ ног рада на раз</w:t>
            </w:r>
            <w:r>
              <w:rPr>
                <w:color w:val="231F20"/>
                <w:sz w:val="14"/>
              </w:rPr>
              <w:t>личитим нивоима ученичког знања.</w:t>
            </w:r>
          </w:p>
          <w:p w:rsidR="00041039" w:rsidRDefault="001B26CB">
            <w:pPr>
              <w:pStyle w:val="TableParagraph"/>
              <w:spacing w:line="150" w:lineRule="exact"/>
              <w:ind w:left="57"/>
              <w:rPr>
                <w:sz w:val="14"/>
              </w:rPr>
            </w:pPr>
            <w:r>
              <w:rPr>
                <w:color w:val="231F20"/>
                <w:sz w:val="14"/>
              </w:rPr>
              <w:t>С обзиром на то даје основни циљ</w:t>
            </w:r>
          </w:p>
          <w:p w:rsidR="00041039" w:rsidRDefault="001B26CB">
            <w:pPr>
              <w:pStyle w:val="TableParagraph"/>
              <w:ind w:left="57" w:right="43"/>
              <w:rPr>
                <w:sz w:val="14"/>
              </w:rPr>
            </w:pPr>
            <w:r>
              <w:rPr>
                <w:color w:val="231F20"/>
                <w:sz w:val="14"/>
              </w:rPr>
              <w:t>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w:t>
            </w:r>
            <w:r>
              <w:rPr>
                <w:color w:val="231F20"/>
                <w:sz w:val="14"/>
              </w:rPr>
              <w:t>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line="237" w:lineRule="auto"/>
              <w:ind w:left="57" w:right="112"/>
              <w:rPr>
                <w:sz w:val="14"/>
              </w:rPr>
            </w:pPr>
            <w:r>
              <w:rPr>
                <w:color w:val="231F20"/>
                <w:sz w:val="14"/>
              </w:rPr>
              <w:t xml:space="preserve">Садржаји програма из граматике повезани су са садржајима грама­ тике у основној </w:t>
            </w:r>
            <w:r>
              <w:rPr>
                <w:color w:val="231F20"/>
                <w:spacing w:val="-3"/>
                <w:sz w:val="14"/>
              </w:rPr>
              <w:t xml:space="preserve">школи, </w:t>
            </w:r>
            <w:r>
              <w:rPr>
                <w:color w:val="231F20"/>
                <w:sz w:val="14"/>
              </w:rPr>
              <w:t>којима се сада приступа когнитивно. Тиме се знања употпуњују и подижу на виши ниво, коригују се</w:t>
            </w:r>
            <w:r>
              <w:rPr>
                <w:color w:val="231F20"/>
                <w:spacing w:val="-19"/>
                <w:sz w:val="14"/>
              </w:rPr>
              <w:t xml:space="preserve"> </w:t>
            </w:r>
            <w:r>
              <w:rPr>
                <w:color w:val="231F20"/>
                <w:sz w:val="14"/>
              </w:rPr>
              <w:t xml:space="preserve">евентуалне грешке </w:t>
            </w:r>
            <w:r>
              <w:rPr>
                <w:color w:val="231F20"/>
                <w:sz w:val="14"/>
              </w:rPr>
              <w:t>настале услед интерферен­ ције матерњег језика и</w:t>
            </w:r>
            <w:r>
              <w:rPr>
                <w:color w:val="231F20"/>
                <w:spacing w:val="-17"/>
                <w:sz w:val="14"/>
              </w:rPr>
              <w:t xml:space="preserve"> </w:t>
            </w:r>
            <w:r>
              <w:rPr>
                <w:color w:val="231F20"/>
                <w:sz w:val="14"/>
              </w:rPr>
              <w:t>недовољно</w:t>
            </w:r>
          </w:p>
          <w:p w:rsidR="00041039" w:rsidRDefault="001B26CB">
            <w:pPr>
              <w:pStyle w:val="TableParagraph"/>
              <w:ind w:left="57"/>
              <w:rPr>
                <w:sz w:val="14"/>
              </w:rPr>
            </w:pPr>
            <w:r>
              <w:rPr>
                <w:color w:val="231F20"/>
                <w:sz w:val="14"/>
              </w:rPr>
              <w:t>савладаних садржаја из претходних разреда.</w:t>
            </w:r>
          </w:p>
          <w:p w:rsidR="00041039" w:rsidRDefault="001B26CB">
            <w:pPr>
              <w:pStyle w:val="TableParagraph"/>
              <w:ind w:left="57" w:right="54"/>
              <w:rPr>
                <w:sz w:val="14"/>
              </w:rPr>
            </w:pPr>
            <w:r>
              <w:rPr>
                <w:color w:val="231F20"/>
                <w:sz w:val="14"/>
              </w:rPr>
              <w:t>Наставу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w:t>
            </w:r>
          </w:p>
          <w:p w:rsidR="00041039" w:rsidRDefault="001B26CB">
            <w:pPr>
              <w:pStyle w:val="TableParagraph"/>
              <w:spacing w:line="237" w:lineRule="auto"/>
              <w:ind w:left="57"/>
              <w:rPr>
                <w:sz w:val="14"/>
              </w:rPr>
            </w:pPr>
            <w:r>
              <w:rPr>
                <w:color w:val="231F20"/>
                <w:sz w:val="14"/>
              </w:rPr>
              <w:t>Настава српског као нем</w:t>
            </w:r>
            <w:r>
              <w:rPr>
                <w:color w:val="231F20"/>
                <w:sz w:val="14"/>
              </w:rPr>
              <w:t>атерњег језика мора бити хуманистички оријентисана и богата како језич­ ким тако и садржајима из културе. Поред језичких, морају бити за­ ступљени књижевни, уметнички, стручни и други потребни типови текстова.</w:t>
            </w:r>
          </w:p>
          <w:p w:rsidR="00041039" w:rsidRDefault="001B26CB">
            <w:pPr>
              <w:pStyle w:val="TableParagraph"/>
              <w:ind w:left="57" w:right="32"/>
              <w:rPr>
                <w:sz w:val="14"/>
              </w:rPr>
            </w:pPr>
            <w:r>
              <w:rPr>
                <w:color w:val="231F20"/>
                <w:sz w:val="14"/>
              </w:rPr>
              <w:t>У оквиру часова књижевности обрађују се одабра</w:t>
            </w:r>
            <w:r>
              <w:rPr>
                <w:color w:val="231F20"/>
                <w:sz w:val="14"/>
              </w:rPr>
              <w:t>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друге пригодне текстове (научне, стручне...) преко којих ће ученици упознати различи­ те форме изражавања у</w:t>
            </w:r>
            <w:r>
              <w:rPr>
                <w:color w:val="231F20"/>
                <w:sz w:val="14"/>
              </w:rPr>
              <w:t xml:space="preserve"> књижевном делу, различите функционалне стилове и врсте текстова.</w:t>
            </w:r>
          </w:p>
          <w:p w:rsidR="00041039" w:rsidRDefault="001B26CB">
            <w:pPr>
              <w:pStyle w:val="TableParagraph"/>
              <w:spacing w:line="149" w:lineRule="exact"/>
              <w:ind w:left="57"/>
              <w:rPr>
                <w:sz w:val="14"/>
              </w:rPr>
            </w:pPr>
            <w:r>
              <w:rPr>
                <w:color w:val="231F20"/>
                <w:sz w:val="14"/>
              </w:rPr>
              <w:t>Изузетну пажњу треба посветити</w:t>
            </w:r>
          </w:p>
          <w:p w:rsidR="00041039" w:rsidRDefault="001B26CB">
            <w:pPr>
              <w:pStyle w:val="TableParagraph"/>
              <w:ind w:left="57" w:right="8"/>
              <w:rPr>
                <w:sz w:val="14"/>
              </w:rPr>
            </w:pPr>
            <w:r>
              <w:rPr>
                <w:color w:val="231F20"/>
                <w:sz w:val="14"/>
              </w:rPr>
              <w:t>мотивацији ученика за рад органи­ зовањем различитих метода и обли­ ка рада и разноврсним лексичким, граматичким и комуникативним вежбама. Ученике треба подсти</w:t>
            </w:r>
            <w:r>
              <w:rPr>
                <w:color w:val="231F20"/>
                <w:sz w:val="14"/>
              </w:rPr>
              <w:t>­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7" w:right="104"/>
              <w:rPr>
                <w:sz w:val="14"/>
              </w:rPr>
            </w:pPr>
            <w:r>
              <w:rPr>
                <w:i/>
                <w:color w:val="231F20"/>
                <w:sz w:val="14"/>
              </w:rPr>
              <w:t xml:space="preserve">Посебне напомене </w:t>
            </w:r>
            <w:r>
              <w:rPr>
                <w:color w:val="231F20"/>
                <w:sz w:val="14"/>
              </w:rPr>
              <w:t>за остваривање појединих садржаја у оквиру тема.</w:t>
            </w:r>
          </w:p>
          <w:p w:rsidR="00041039" w:rsidRDefault="001B26CB">
            <w:pPr>
              <w:pStyle w:val="TableParagraph"/>
              <w:tabs>
                <w:tab w:val="left" w:pos="158"/>
              </w:tabs>
              <w:spacing w:line="237" w:lineRule="auto"/>
              <w:ind w:left="157" w:right="52" w:hanging="100"/>
              <w:rPr>
                <w:sz w:val="14"/>
              </w:rPr>
            </w:pPr>
            <w:r>
              <w:rPr>
                <w:color w:val="231F20"/>
                <w:sz w:val="14"/>
              </w:rPr>
              <w:t xml:space="preserve">У оквиру фонетике обратити пажњу на разлику у акценту речи између матерњег и </w:t>
            </w:r>
            <w:r>
              <w:rPr>
                <w:color w:val="231F20"/>
                <w:sz w:val="14"/>
              </w:rPr>
              <w:t>српског</w:t>
            </w:r>
            <w:r>
              <w:rPr>
                <w:color w:val="231F20"/>
                <w:spacing w:val="-24"/>
                <w:sz w:val="14"/>
              </w:rPr>
              <w:t xml:space="preserve"> </w:t>
            </w:r>
            <w:r>
              <w:rPr>
                <w:color w:val="231F20"/>
                <w:sz w:val="14"/>
              </w:rPr>
              <w:t>језика.</w:t>
            </w:r>
          </w:p>
          <w:p w:rsidR="00041039" w:rsidRDefault="001B26CB">
            <w:pPr>
              <w:pStyle w:val="TableParagraph"/>
              <w:tabs>
                <w:tab w:val="left" w:pos="158"/>
              </w:tabs>
              <w:spacing w:line="237" w:lineRule="auto"/>
              <w:ind w:left="157" w:right="62" w:hanging="100"/>
              <w:rPr>
                <w:sz w:val="14"/>
              </w:rPr>
            </w:pPr>
            <w:r>
              <w:rPr>
                <w:color w:val="231F20"/>
                <w:sz w:val="14"/>
              </w:rPr>
              <w:t>У садржајима морфологије тежиште треба ставити на род и број именских речи (слагање</w:t>
            </w:r>
            <w:r>
              <w:rPr>
                <w:color w:val="231F20"/>
                <w:spacing w:val="-20"/>
                <w:sz w:val="14"/>
              </w:rPr>
              <w:t xml:space="preserve"> </w:t>
            </w:r>
            <w:r>
              <w:rPr>
                <w:color w:val="231F20"/>
                <w:sz w:val="14"/>
              </w:rPr>
              <w:t>име­ ница са придевима и придевским заменицама).</w:t>
            </w:r>
          </w:p>
          <w:p w:rsidR="00041039" w:rsidRDefault="001B26CB">
            <w:pPr>
              <w:pStyle w:val="TableParagraph"/>
              <w:tabs>
                <w:tab w:val="left" w:pos="158"/>
              </w:tabs>
              <w:spacing w:line="237" w:lineRule="auto"/>
              <w:ind w:left="157" w:right="185" w:hanging="100"/>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w:t>
            </w:r>
            <w:r>
              <w:rPr>
                <w:color w:val="231F20"/>
                <w:spacing w:val="-10"/>
                <w:sz w:val="14"/>
              </w:rPr>
              <w:t xml:space="preserve"> </w:t>
            </w:r>
            <w:r>
              <w:rPr>
                <w:color w:val="231F20"/>
                <w:sz w:val="14"/>
              </w:rPr>
              <w:t>речце</w:t>
            </w:r>
          </w:p>
          <w:p w:rsidR="00041039" w:rsidRDefault="001B26CB">
            <w:pPr>
              <w:pStyle w:val="TableParagraph"/>
              <w:ind w:left="157"/>
              <w:rPr>
                <w:sz w:val="14"/>
              </w:rPr>
            </w:pPr>
            <w:r>
              <w:rPr>
                <w:color w:val="231F20"/>
                <w:sz w:val="14"/>
              </w:rPr>
              <w:t>се (код најчешће коришћених глагола).</w:t>
            </w:r>
          </w:p>
          <w:p w:rsidR="00041039" w:rsidRDefault="001B26CB">
            <w:pPr>
              <w:pStyle w:val="TableParagraph"/>
              <w:tabs>
                <w:tab w:val="left" w:pos="158"/>
              </w:tabs>
              <w:spacing w:line="160" w:lineRule="exact"/>
              <w:ind w:left="157" w:right="163" w:hanging="100"/>
              <w:jc w:val="both"/>
              <w:rPr>
                <w:sz w:val="14"/>
              </w:rPr>
            </w:pPr>
            <w:r>
              <w:rPr>
                <w:color w:val="231F20"/>
                <w:spacing w:val="-4"/>
                <w:sz w:val="14"/>
              </w:rPr>
              <w:t xml:space="preserve">Код </w:t>
            </w:r>
            <w:r>
              <w:rPr>
                <w:color w:val="231F20"/>
                <w:sz w:val="14"/>
              </w:rPr>
              <w:t>творбе речи префиксацију</w:t>
            </w:r>
            <w:r>
              <w:rPr>
                <w:color w:val="231F20"/>
                <w:spacing w:val="-7"/>
                <w:sz w:val="14"/>
              </w:rPr>
              <w:t xml:space="preserve"> </w:t>
            </w:r>
            <w:r>
              <w:rPr>
                <w:color w:val="231F20"/>
                <w:sz w:val="14"/>
              </w:rPr>
              <w:t xml:space="preserve">и суфиксацију повезати са </w:t>
            </w:r>
            <w:r>
              <w:rPr>
                <w:color w:val="231F20"/>
                <w:spacing w:val="-3"/>
                <w:sz w:val="14"/>
              </w:rPr>
              <w:t xml:space="preserve">глагол­ </w:t>
            </w:r>
            <w:r>
              <w:rPr>
                <w:color w:val="231F20"/>
                <w:sz w:val="14"/>
              </w:rPr>
              <w:t>ским</w:t>
            </w:r>
            <w:r>
              <w:rPr>
                <w:color w:val="231F20"/>
                <w:spacing w:val="-1"/>
                <w:sz w:val="14"/>
              </w:rPr>
              <w:t xml:space="preserve"> </w:t>
            </w:r>
            <w:r>
              <w:rPr>
                <w:color w:val="231F20"/>
                <w:sz w:val="14"/>
              </w:rPr>
              <w:t>видом.</w:t>
            </w:r>
          </w:p>
        </w:tc>
      </w:tr>
    </w:tbl>
    <w:p w:rsidR="00041039" w:rsidRDefault="00041039">
      <w:pPr>
        <w:spacing w:line="160" w:lineRule="exact"/>
        <w:jc w:val="both"/>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32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tabs>
                <w:tab w:val="left" w:pos="158"/>
              </w:tabs>
              <w:spacing w:before="8"/>
              <w:ind w:left="157" w:right="484" w:hanging="100"/>
              <w:rPr>
                <w:sz w:val="14"/>
              </w:rPr>
            </w:pPr>
            <w:r>
              <w:rPr>
                <w:color w:val="231F20"/>
                <w:sz w:val="14"/>
              </w:rPr>
              <w:t>У остваривању садржаја програма који се односе</w:t>
            </w:r>
            <w:r>
              <w:rPr>
                <w:color w:val="231F20"/>
                <w:spacing w:val="-16"/>
                <w:sz w:val="14"/>
              </w:rPr>
              <w:t xml:space="preserve"> </w:t>
            </w:r>
            <w:r>
              <w:rPr>
                <w:color w:val="231F20"/>
                <w:sz w:val="14"/>
              </w:rPr>
              <w:t>на</w:t>
            </w:r>
          </w:p>
          <w:p w:rsidR="00041039" w:rsidRDefault="001B26CB">
            <w:pPr>
              <w:pStyle w:val="TableParagraph"/>
              <w:spacing w:line="237" w:lineRule="auto"/>
              <w:ind w:left="157" w:right="30"/>
              <w:rPr>
                <w:sz w:val="14"/>
              </w:rPr>
            </w:pPr>
            <w:r>
              <w:rPr>
                <w:color w:val="231F20"/>
                <w:sz w:val="14"/>
              </w:rPr>
              <w:t>падеже детаљније обрадити месна значења генитива. акузатива и локатива. Увежбавање падежа повезивати са проширивањем реченице синтагмама.</w:t>
            </w:r>
          </w:p>
          <w:p w:rsidR="00041039" w:rsidRDefault="001B26CB">
            <w:pPr>
              <w:pStyle w:val="TableParagraph"/>
              <w:tabs>
                <w:tab w:val="left" w:pos="158"/>
              </w:tabs>
              <w:spacing w:line="237" w:lineRule="auto"/>
              <w:ind w:left="157" w:right="117" w:hanging="100"/>
              <w:rPr>
                <w:sz w:val="14"/>
              </w:rPr>
            </w:pPr>
            <w:r>
              <w:rPr>
                <w:color w:val="231F20"/>
                <w:sz w:val="14"/>
              </w:rPr>
              <w:t xml:space="preserve">Обратити пажњу на структуру реченице и </w:t>
            </w:r>
            <w:r>
              <w:rPr>
                <w:color w:val="231F20"/>
                <w:spacing w:val="-3"/>
                <w:sz w:val="14"/>
              </w:rPr>
              <w:t>њихову</w:t>
            </w:r>
            <w:r>
              <w:rPr>
                <w:color w:val="231F20"/>
                <w:spacing w:val="-17"/>
                <w:sz w:val="14"/>
              </w:rPr>
              <w:t xml:space="preserve"> </w:t>
            </w:r>
            <w:r>
              <w:rPr>
                <w:color w:val="231F20"/>
                <w:sz w:val="14"/>
              </w:rPr>
              <w:t>комуникатив­ ну</w:t>
            </w:r>
            <w:r>
              <w:rPr>
                <w:color w:val="231F20"/>
                <w:spacing w:val="-2"/>
                <w:sz w:val="14"/>
              </w:rPr>
              <w:t xml:space="preserve"> </w:t>
            </w:r>
            <w:r>
              <w:rPr>
                <w:color w:val="231F20"/>
                <w:sz w:val="14"/>
              </w:rPr>
              <w:t>функцију.</w:t>
            </w:r>
          </w:p>
          <w:p w:rsidR="00041039" w:rsidRDefault="001B26CB">
            <w:pPr>
              <w:pStyle w:val="TableParagraph"/>
              <w:tabs>
                <w:tab w:val="left" w:pos="158"/>
              </w:tabs>
              <w:spacing w:line="237" w:lineRule="auto"/>
              <w:ind w:left="157" w:right="110" w:hanging="100"/>
              <w:rPr>
                <w:sz w:val="14"/>
              </w:rPr>
            </w:pPr>
            <w:r>
              <w:rPr>
                <w:color w:val="231F20"/>
                <w:spacing w:val="-4"/>
                <w:sz w:val="14"/>
              </w:rPr>
              <w:t xml:space="preserve">Код </w:t>
            </w:r>
            <w:r>
              <w:rPr>
                <w:color w:val="231F20"/>
                <w:sz w:val="14"/>
              </w:rPr>
              <w:t>глаголских облика</w:t>
            </w:r>
            <w:r>
              <w:rPr>
                <w:color w:val="231F20"/>
                <w:spacing w:val="-27"/>
                <w:sz w:val="14"/>
              </w:rPr>
              <w:t xml:space="preserve"> </w:t>
            </w:r>
            <w:r>
              <w:rPr>
                <w:color w:val="231F20"/>
                <w:sz w:val="14"/>
              </w:rPr>
              <w:t>увежбава­ ти презент, пе</w:t>
            </w:r>
            <w:r>
              <w:rPr>
                <w:color w:val="231F20"/>
                <w:sz w:val="14"/>
              </w:rPr>
              <w:t>рфекат и футур</w:t>
            </w:r>
            <w:r>
              <w:rPr>
                <w:color w:val="231F20"/>
                <w:spacing w:val="-20"/>
                <w:sz w:val="14"/>
              </w:rPr>
              <w:t xml:space="preserve"> </w:t>
            </w:r>
            <w:r>
              <w:rPr>
                <w:color w:val="231F20"/>
                <w:sz w:val="14"/>
              </w:rPr>
              <w:t>I.</w:t>
            </w:r>
          </w:p>
          <w:p w:rsidR="00041039" w:rsidRDefault="001B26CB">
            <w:pPr>
              <w:pStyle w:val="TableParagraph"/>
              <w:tabs>
                <w:tab w:val="left" w:pos="158"/>
              </w:tabs>
              <w:spacing w:line="160" w:lineRule="exact"/>
              <w:ind w:left="157" w:right="204" w:hanging="100"/>
              <w:jc w:val="both"/>
              <w:rPr>
                <w:sz w:val="14"/>
              </w:rPr>
            </w:pPr>
            <w:r>
              <w:rPr>
                <w:color w:val="231F20"/>
                <w:sz w:val="14"/>
              </w:rPr>
              <w:t xml:space="preserve">У области </w:t>
            </w:r>
            <w:r>
              <w:rPr>
                <w:b/>
                <w:color w:val="231F20"/>
                <w:sz w:val="14"/>
              </w:rPr>
              <w:t xml:space="preserve">правописа </w:t>
            </w:r>
            <w:r>
              <w:rPr>
                <w:color w:val="231F20"/>
                <w:sz w:val="14"/>
              </w:rPr>
              <w:t>обавезно треба увежбавати писање</w:t>
            </w:r>
            <w:r>
              <w:rPr>
                <w:color w:val="231F20"/>
                <w:spacing w:val="-13"/>
                <w:sz w:val="14"/>
              </w:rPr>
              <w:t xml:space="preserve"> </w:t>
            </w:r>
            <w:r>
              <w:rPr>
                <w:color w:val="231F20"/>
                <w:sz w:val="14"/>
              </w:rPr>
              <w:t>речце не.</w:t>
            </w:r>
          </w:p>
          <w:p w:rsidR="00041039" w:rsidRDefault="001B26CB">
            <w:pPr>
              <w:pStyle w:val="TableParagraph"/>
              <w:tabs>
                <w:tab w:val="left" w:pos="158"/>
              </w:tabs>
              <w:spacing w:line="160" w:lineRule="exact"/>
              <w:ind w:left="157" w:right="85" w:hanging="100"/>
              <w:rPr>
                <w:sz w:val="14"/>
              </w:rPr>
            </w:pPr>
            <w:r>
              <w:rPr>
                <w:color w:val="231F20"/>
                <w:sz w:val="14"/>
              </w:rPr>
              <w:t xml:space="preserve">У тематици </w:t>
            </w:r>
            <w:r>
              <w:rPr>
                <w:b/>
                <w:color w:val="231F20"/>
                <w:sz w:val="14"/>
              </w:rPr>
              <w:t>књижевност</w:t>
            </w:r>
            <w:r>
              <w:rPr>
                <w:color w:val="231F20"/>
                <w:sz w:val="14"/>
              </w:rPr>
              <w:t xml:space="preserve">, међу седам књижевних дела обавезних за </w:t>
            </w:r>
            <w:r>
              <w:rPr>
                <w:color w:val="231F20"/>
                <w:spacing w:val="-3"/>
                <w:sz w:val="14"/>
              </w:rPr>
              <w:t xml:space="preserve">обраду, </w:t>
            </w:r>
            <w:r>
              <w:rPr>
                <w:color w:val="231F20"/>
                <w:sz w:val="14"/>
              </w:rPr>
              <w:t>укључити дела из на­ родне</w:t>
            </w:r>
            <w:r>
              <w:rPr>
                <w:color w:val="231F20"/>
                <w:spacing w:val="-1"/>
                <w:sz w:val="14"/>
              </w:rPr>
              <w:t xml:space="preserve"> </w:t>
            </w:r>
            <w:r>
              <w:rPr>
                <w:color w:val="231F20"/>
                <w:sz w:val="14"/>
              </w:rPr>
              <w:t>књижевности.</w:t>
            </w:r>
          </w:p>
          <w:p w:rsidR="00041039" w:rsidRDefault="001B26CB">
            <w:pPr>
              <w:pStyle w:val="TableParagraph"/>
              <w:tabs>
                <w:tab w:val="left" w:pos="158"/>
              </w:tabs>
              <w:spacing w:line="160" w:lineRule="exact"/>
              <w:ind w:left="157" w:right="270" w:hanging="100"/>
              <w:rPr>
                <w:sz w:val="14"/>
              </w:rPr>
            </w:pPr>
            <w:r>
              <w:rPr>
                <w:color w:val="231F20"/>
                <w:sz w:val="14"/>
              </w:rPr>
              <w:t>Приликом интерпретације књижевноуметничких тексто­ ва, указивати на особености књижевних родова и врста</w:t>
            </w:r>
            <w:r>
              <w:rPr>
                <w:color w:val="231F20"/>
                <w:spacing w:val="-15"/>
                <w:sz w:val="14"/>
              </w:rPr>
              <w:t xml:space="preserve"> </w:t>
            </w:r>
            <w:r>
              <w:rPr>
                <w:color w:val="231F20"/>
                <w:sz w:val="14"/>
              </w:rPr>
              <w:t>као и на језичко­стилске одлике књижевних</w:t>
            </w:r>
            <w:r>
              <w:rPr>
                <w:color w:val="231F20"/>
                <w:spacing w:val="-1"/>
                <w:sz w:val="14"/>
              </w:rPr>
              <w:t xml:space="preserve"> </w:t>
            </w:r>
            <w:r>
              <w:rPr>
                <w:color w:val="231F20"/>
                <w:sz w:val="14"/>
              </w:rPr>
              <w:t>дела.</w:t>
            </w:r>
          </w:p>
          <w:p w:rsidR="00041039" w:rsidRDefault="001B26CB">
            <w:pPr>
              <w:pStyle w:val="TableParagraph"/>
              <w:tabs>
                <w:tab w:val="left" w:pos="158"/>
              </w:tabs>
              <w:spacing w:line="160" w:lineRule="exact"/>
              <w:ind w:left="157" w:right="97" w:hanging="100"/>
              <w:rPr>
                <w:sz w:val="14"/>
              </w:rPr>
            </w:pPr>
            <w:r>
              <w:rPr>
                <w:color w:val="231F20"/>
                <w:sz w:val="14"/>
              </w:rPr>
              <w:t>На примерима текстова српске књижевности обнављати и систематизовати садржаје из историје књижевности, т</w:t>
            </w:r>
            <w:r>
              <w:rPr>
                <w:color w:val="231F20"/>
                <w:sz w:val="14"/>
              </w:rPr>
              <w:t>еорије књижевности и књижевне кри­ тике, које ученик познаје из про­ грама прописаног за</w:t>
            </w:r>
            <w:r>
              <w:rPr>
                <w:color w:val="231F20"/>
                <w:spacing w:val="-15"/>
                <w:sz w:val="14"/>
              </w:rPr>
              <w:t xml:space="preserve"> </w:t>
            </w:r>
            <w:r>
              <w:rPr>
                <w:color w:val="231F20"/>
                <w:sz w:val="14"/>
              </w:rPr>
              <w:t>савладавање његовог матерњег</w:t>
            </w:r>
            <w:r>
              <w:rPr>
                <w:color w:val="231F20"/>
                <w:spacing w:val="-3"/>
                <w:sz w:val="14"/>
              </w:rPr>
              <w:t xml:space="preserve"> </w:t>
            </w:r>
            <w:r>
              <w:rPr>
                <w:color w:val="231F20"/>
                <w:sz w:val="14"/>
              </w:rPr>
              <w:t>језика.</w:t>
            </w:r>
          </w:p>
        </w:tc>
      </w:tr>
    </w:tbl>
    <w:p w:rsidR="00041039" w:rsidRDefault="00041039">
      <w:pPr>
        <w:pStyle w:val="BodyText"/>
        <w:spacing w:before="6"/>
        <w:rPr>
          <w:b/>
          <w:sz w:val="18"/>
        </w:rPr>
      </w:pPr>
    </w:p>
    <w:p w:rsidR="00041039" w:rsidRDefault="001B26CB">
      <w:pPr>
        <w:tabs>
          <w:tab w:val="left" w:pos="1460"/>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0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tabs>
                <w:tab w:val="left" w:pos="157"/>
              </w:tabs>
              <w:spacing w:before="8"/>
              <w:ind w:right="119" w:hanging="100"/>
              <w:rPr>
                <w:sz w:val="14"/>
              </w:rPr>
            </w:pPr>
            <w:r>
              <w:rPr>
                <w:color w:val="231F20"/>
                <w:sz w:val="14"/>
              </w:rPr>
              <w:t>Оспособљавање уче­ ника за</w:t>
            </w:r>
            <w:r>
              <w:rPr>
                <w:color w:val="231F20"/>
                <w:spacing w:val="-15"/>
                <w:sz w:val="14"/>
              </w:rPr>
              <w:t xml:space="preserve"> </w:t>
            </w:r>
            <w:r>
              <w:rPr>
                <w:color w:val="231F20"/>
                <w:sz w:val="14"/>
              </w:rPr>
              <w:t>препознавање акценатских</w:t>
            </w:r>
            <w:r>
              <w:rPr>
                <w:color w:val="231F20"/>
                <w:spacing w:val="-3"/>
                <w:sz w:val="14"/>
              </w:rPr>
              <w:t xml:space="preserve"> </w:t>
            </w:r>
            <w:r>
              <w:rPr>
                <w:color w:val="231F20"/>
                <w:sz w:val="14"/>
              </w:rPr>
              <w:t>целина.</w:t>
            </w:r>
          </w:p>
          <w:p w:rsidR="00041039" w:rsidRDefault="001B26CB">
            <w:pPr>
              <w:pStyle w:val="TableParagraph"/>
              <w:tabs>
                <w:tab w:val="left" w:pos="157"/>
              </w:tabs>
              <w:spacing w:line="157" w:lineRule="exact"/>
              <w:ind w:hanging="100"/>
              <w:rPr>
                <w:sz w:val="14"/>
              </w:rPr>
            </w:pPr>
            <w:r>
              <w:rPr>
                <w:color w:val="231F20"/>
                <w:sz w:val="14"/>
              </w:rPr>
              <w:t>Оспособљавање</w:t>
            </w:r>
          </w:p>
          <w:p w:rsidR="00041039" w:rsidRDefault="001B26CB">
            <w:pPr>
              <w:pStyle w:val="TableParagraph"/>
              <w:ind w:right="215"/>
              <w:rPr>
                <w:sz w:val="14"/>
              </w:rPr>
            </w:pPr>
            <w:r>
              <w:rPr>
                <w:color w:val="231F20"/>
                <w:sz w:val="14"/>
              </w:rPr>
              <w:t>ученика за примену гласовних промена.</w:t>
            </w:r>
          </w:p>
        </w:tc>
        <w:tc>
          <w:tcPr>
            <w:tcW w:w="2551" w:type="dxa"/>
          </w:tcPr>
          <w:p w:rsidR="00041039" w:rsidRDefault="001B26CB">
            <w:pPr>
              <w:pStyle w:val="TableParagraph"/>
              <w:tabs>
                <w:tab w:val="left" w:pos="157"/>
              </w:tabs>
              <w:spacing w:before="8"/>
              <w:ind w:right="155" w:hanging="99"/>
              <w:rPr>
                <w:sz w:val="14"/>
              </w:rPr>
            </w:pPr>
            <w:r>
              <w:rPr>
                <w:color w:val="231F20"/>
                <w:sz w:val="14"/>
              </w:rPr>
              <w:t>уочава разлику између акцентоване</w:t>
            </w:r>
            <w:r>
              <w:rPr>
                <w:color w:val="231F20"/>
                <w:spacing w:val="-19"/>
                <w:sz w:val="14"/>
              </w:rPr>
              <w:t xml:space="preserve"> </w:t>
            </w:r>
            <w:r>
              <w:rPr>
                <w:color w:val="231F20"/>
                <w:sz w:val="14"/>
              </w:rPr>
              <w:t>и неакцентоване речи и групе</w:t>
            </w:r>
            <w:r>
              <w:rPr>
                <w:color w:val="231F20"/>
                <w:spacing w:val="-7"/>
                <w:sz w:val="14"/>
              </w:rPr>
              <w:t xml:space="preserve"> </w:t>
            </w:r>
            <w:r>
              <w:rPr>
                <w:color w:val="231F20"/>
                <w:sz w:val="14"/>
              </w:rPr>
              <w:t>речи;</w:t>
            </w:r>
          </w:p>
          <w:p w:rsidR="00041039" w:rsidRDefault="001B26CB">
            <w:pPr>
              <w:pStyle w:val="TableParagraph"/>
              <w:tabs>
                <w:tab w:val="left" w:pos="157"/>
              </w:tabs>
              <w:spacing w:line="160"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tabs>
                <w:tab w:val="left" w:pos="157"/>
              </w:tabs>
              <w:spacing w:before="8" w:line="166" w:lineRule="exact"/>
              <w:ind w:hanging="99"/>
              <w:rPr>
                <w:sz w:val="14"/>
              </w:rPr>
            </w:pPr>
            <w:r>
              <w:rPr>
                <w:color w:val="231F20"/>
                <w:sz w:val="14"/>
              </w:rPr>
              <w:t>Проклитике,</w:t>
            </w:r>
            <w:r>
              <w:rPr>
                <w:color w:val="231F20"/>
                <w:spacing w:val="-1"/>
                <w:sz w:val="14"/>
              </w:rPr>
              <w:t xml:space="preserve"> </w:t>
            </w:r>
            <w:r>
              <w:rPr>
                <w:color w:val="231F20"/>
                <w:sz w:val="14"/>
              </w:rPr>
              <w:t>енклитике.</w:t>
            </w:r>
          </w:p>
          <w:p w:rsidR="00041039" w:rsidRDefault="001B26CB">
            <w:pPr>
              <w:pStyle w:val="TableParagraph"/>
              <w:tabs>
                <w:tab w:val="left" w:pos="157"/>
              </w:tabs>
              <w:spacing w:line="160" w:lineRule="exact"/>
              <w:ind w:hanging="99"/>
              <w:rPr>
                <w:sz w:val="14"/>
              </w:rPr>
            </w:pPr>
            <w:r>
              <w:rPr>
                <w:color w:val="231F20"/>
                <w:sz w:val="14"/>
              </w:rPr>
              <w:t>Непостојано</w:t>
            </w:r>
            <w:r>
              <w:rPr>
                <w:color w:val="231F20"/>
                <w:spacing w:val="-1"/>
                <w:sz w:val="14"/>
              </w:rPr>
              <w:t xml:space="preserve"> </w:t>
            </w:r>
            <w:r>
              <w:rPr>
                <w:color w:val="231F20"/>
                <w:sz w:val="14"/>
              </w:rPr>
              <w:t>а.</w:t>
            </w:r>
          </w:p>
          <w:p w:rsidR="00041039" w:rsidRDefault="001B26CB">
            <w:pPr>
              <w:pStyle w:val="TableParagraph"/>
              <w:tabs>
                <w:tab w:val="left" w:pos="157"/>
              </w:tabs>
              <w:spacing w:line="166" w:lineRule="exact"/>
              <w:ind w:hanging="99"/>
              <w:rPr>
                <w:sz w:val="14"/>
              </w:rPr>
            </w:pPr>
            <w:r>
              <w:rPr>
                <w:color w:val="231F20"/>
                <w:sz w:val="14"/>
              </w:rPr>
              <w:t>Губљење</w:t>
            </w:r>
            <w:r>
              <w:rPr>
                <w:color w:val="231F20"/>
                <w:spacing w:val="-1"/>
                <w:sz w:val="14"/>
              </w:rPr>
              <w:t xml:space="preserve"> </w:t>
            </w:r>
            <w:r>
              <w:rPr>
                <w:color w:val="231F20"/>
                <w:sz w:val="14"/>
              </w:rPr>
              <w:t>сугласника.</w:t>
            </w:r>
          </w:p>
        </w:tc>
        <w:tc>
          <w:tcPr>
            <w:tcW w:w="2267" w:type="dxa"/>
            <w:vMerge w:val="restart"/>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w:t>
            </w:r>
            <w:r>
              <w:rPr>
                <w:color w:val="231F20"/>
                <w:sz w:val="14"/>
              </w:rPr>
              <w:t>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line="160" w:lineRule="exact"/>
              <w:ind w:left="157" w:right="121" w:hanging="99"/>
              <w:rPr>
                <w:b/>
                <w:sz w:val="14"/>
              </w:rPr>
            </w:pPr>
            <w:r>
              <w:rPr>
                <w:color w:val="231F20"/>
                <w:sz w:val="14"/>
              </w:rPr>
              <w:t>теоријска настава са вежбама</w:t>
            </w:r>
            <w:r>
              <w:rPr>
                <w:color w:val="231F20"/>
                <w:spacing w:val="-10"/>
                <w:sz w:val="14"/>
              </w:rPr>
              <w:t xml:space="preserve"> </w:t>
            </w:r>
            <w:r>
              <w:rPr>
                <w:b/>
                <w:color w:val="231F20"/>
                <w:sz w:val="14"/>
              </w:rPr>
              <w:t>(70 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166" w:lineRule="exact"/>
              <w:ind w:left="157"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4"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6"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160" w:lineRule="exact"/>
              <w:ind w:left="157" w:hanging="99"/>
              <w:rPr>
                <w:b/>
                <w:sz w:val="14"/>
              </w:rPr>
            </w:pPr>
            <w:r>
              <w:rPr>
                <w:color w:val="231F20"/>
                <w:sz w:val="14"/>
              </w:rPr>
              <w:t xml:space="preserve">фонетика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237" w:lineRule="auto"/>
              <w:ind w:left="157" w:right="49" w:hanging="99"/>
              <w:rPr>
                <w:b/>
                <w:sz w:val="14"/>
              </w:rPr>
            </w:pPr>
            <w:r>
              <w:rPr>
                <w:color w:val="231F20"/>
                <w:sz w:val="14"/>
              </w:rPr>
              <w:t xml:space="preserve">морфологија и морфосинтакса </w:t>
            </w:r>
            <w:r>
              <w:rPr>
                <w:b/>
                <w:color w:val="231F20"/>
                <w:sz w:val="14"/>
              </w:rPr>
              <w:t>(15 часова)</w:t>
            </w:r>
          </w:p>
          <w:p w:rsidR="00041039" w:rsidRDefault="001B26CB">
            <w:pPr>
              <w:pStyle w:val="TableParagraph"/>
              <w:tabs>
                <w:tab w:val="left" w:pos="158"/>
              </w:tabs>
              <w:spacing w:line="155" w:lineRule="exact"/>
              <w:ind w:left="157" w:hanging="99"/>
              <w:rPr>
                <w:b/>
                <w:sz w:val="14"/>
              </w:rPr>
            </w:pPr>
            <w:r>
              <w:rPr>
                <w:color w:val="231F20"/>
                <w:sz w:val="14"/>
              </w:rPr>
              <w:t xml:space="preserve">творба речи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синтакса </w:t>
            </w:r>
            <w:r>
              <w:rPr>
                <w:b/>
                <w:color w:val="231F20"/>
                <w:sz w:val="14"/>
              </w:rPr>
              <w:t>(9</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правопис </w:t>
            </w:r>
            <w:r>
              <w:rPr>
                <w:b/>
                <w:color w:val="231F20"/>
                <w:sz w:val="14"/>
              </w:rPr>
              <w:t>(4</w:t>
            </w:r>
            <w:r>
              <w:rPr>
                <w:b/>
                <w:color w:val="231F20"/>
                <w:spacing w:val="-2"/>
                <w:sz w:val="14"/>
              </w:rPr>
              <w:t xml:space="preserve"> </w:t>
            </w:r>
            <w:r>
              <w:rPr>
                <w:b/>
                <w:color w:val="231F20"/>
                <w:sz w:val="14"/>
              </w:rPr>
              <w:t>часа)</w:t>
            </w:r>
          </w:p>
          <w:p w:rsidR="00041039" w:rsidRDefault="001B26CB">
            <w:pPr>
              <w:pStyle w:val="TableParagraph"/>
              <w:tabs>
                <w:tab w:val="left" w:pos="158"/>
              </w:tabs>
              <w:spacing w:line="160" w:lineRule="exact"/>
              <w:ind w:left="157" w:hanging="99"/>
              <w:rPr>
                <w:b/>
                <w:sz w:val="14"/>
              </w:rPr>
            </w:pPr>
            <w:r>
              <w:rPr>
                <w:color w:val="231F20"/>
                <w:sz w:val="14"/>
              </w:rPr>
              <w:t xml:space="preserve">култура изражавања </w:t>
            </w:r>
            <w:r>
              <w:rPr>
                <w:b/>
                <w:color w:val="231F20"/>
                <w:sz w:val="14"/>
              </w:rPr>
              <w:t>(14</w:t>
            </w:r>
            <w:r>
              <w:rPr>
                <w:b/>
                <w:color w:val="231F20"/>
                <w:spacing w:val="-10"/>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z w:val="14"/>
              </w:rPr>
              <w:t xml:space="preserve">књижевност </w:t>
            </w:r>
            <w:r>
              <w:rPr>
                <w:b/>
                <w:color w:val="231F20"/>
                <w:sz w:val="14"/>
              </w:rPr>
              <w:t>(14</w:t>
            </w:r>
            <w:r>
              <w:rPr>
                <w:b/>
                <w:color w:val="231F20"/>
                <w:spacing w:val="-2"/>
                <w:sz w:val="14"/>
              </w:rPr>
              <w:t xml:space="preserve"> </w:t>
            </w:r>
            <w:r>
              <w:rPr>
                <w:b/>
                <w:color w:val="231F20"/>
                <w:sz w:val="14"/>
              </w:rPr>
              <w:t>часова)</w:t>
            </w:r>
          </w:p>
        </w:tc>
      </w:tr>
      <w:tr w:rsidR="00041039">
        <w:trPr>
          <w:trHeight w:val="1480"/>
        </w:trPr>
        <w:tc>
          <w:tcPr>
            <w:tcW w:w="1304" w:type="dxa"/>
          </w:tcPr>
          <w:p w:rsidR="00041039" w:rsidRDefault="001B26CB">
            <w:pPr>
              <w:pStyle w:val="TableParagraph"/>
              <w:spacing w:before="19"/>
              <w:ind w:left="56" w:right="301"/>
              <w:rPr>
                <w:sz w:val="14"/>
              </w:rPr>
            </w:pPr>
            <w:r>
              <w:rPr>
                <w:color w:val="231F20"/>
                <w:sz w:val="14"/>
              </w:rPr>
              <w:t>Морфологија и морфосинтакса</w:t>
            </w:r>
          </w:p>
        </w:tc>
        <w:tc>
          <w:tcPr>
            <w:tcW w:w="1587" w:type="dxa"/>
          </w:tcPr>
          <w:p w:rsidR="00041039" w:rsidRDefault="001B26CB">
            <w:pPr>
              <w:pStyle w:val="TableParagraph"/>
              <w:tabs>
                <w:tab w:val="left" w:pos="157"/>
              </w:tabs>
              <w:spacing w:before="9"/>
              <w:ind w:right="277" w:hanging="100"/>
              <w:jc w:val="both"/>
              <w:rPr>
                <w:sz w:val="14"/>
              </w:rPr>
            </w:pPr>
            <w:r>
              <w:rPr>
                <w:color w:val="231F20"/>
                <w:sz w:val="14"/>
              </w:rPr>
              <w:t>Оспособљавање за правилну</w:t>
            </w:r>
            <w:r>
              <w:rPr>
                <w:color w:val="231F20"/>
                <w:spacing w:val="-12"/>
                <w:sz w:val="14"/>
              </w:rPr>
              <w:t xml:space="preserve"> </w:t>
            </w:r>
            <w:r>
              <w:rPr>
                <w:color w:val="231F20"/>
                <w:sz w:val="14"/>
              </w:rPr>
              <w:t>употребу облика</w:t>
            </w:r>
            <w:r>
              <w:rPr>
                <w:color w:val="231F20"/>
                <w:spacing w:val="-2"/>
                <w:sz w:val="14"/>
              </w:rPr>
              <w:t xml:space="preserve"> </w:t>
            </w:r>
            <w:r>
              <w:rPr>
                <w:color w:val="231F20"/>
                <w:sz w:val="14"/>
              </w:rPr>
              <w:t>речи.</w:t>
            </w:r>
          </w:p>
        </w:tc>
        <w:tc>
          <w:tcPr>
            <w:tcW w:w="2551" w:type="dxa"/>
          </w:tcPr>
          <w:p w:rsidR="00041039" w:rsidRDefault="001B26CB">
            <w:pPr>
              <w:pStyle w:val="TableParagraph"/>
              <w:tabs>
                <w:tab w:val="left" w:pos="157"/>
              </w:tabs>
              <w:spacing w:before="9"/>
              <w:ind w:right="154" w:hanging="99"/>
              <w:rPr>
                <w:sz w:val="14"/>
              </w:rPr>
            </w:pPr>
            <w:r>
              <w:rPr>
                <w:color w:val="231F20"/>
                <w:sz w:val="14"/>
              </w:rPr>
              <w:t>правилно употребљава именице</w:t>
            </w:r>
            <w:r>
              <w:rPr>
                <w:color w:val="231F20"/>
                <w:spacing w:val="-18"/>
                <w:sz w:val="14"/>
              </w:rPr>
              <w:t xml:space="preserve"> </w:t>
            </w:r>
            <w:r>
              <w:rPr>
                <w:color w:val="231F20"/>
                <w:sz w:val="14"/>
              </w:rPr>
              <w:t>жен­ ског рода на</w:t>
            </w:r>
            <w:r>
              <w:rPr>
                <w:color w:val="231F20"/>
                <w:spacing w:val="-4"/>
                <w:sz w:val="14"/>
              </w:rPr>
              <w:t xml:space="preserve"> </w:t>
            </w:r>
            <w:r>
              <w:rPr>
                <w:color w:val="231F20"/>
                <w:sz w:val="14"/>
              </w:rPr>
              <w:t>консонант;</w:t>
            </w:r>
          </w:p>
          <w:p w:rsidR="00041039" w:rsidRDefault="001B26CB">
            <w:pPr>
              <w:pStyle w:val="TableParagraph"/>
              <w:tabs>
                <w:tab w:val="left" w:pos="157"/>
              </w:tabs>
              <w:spacing w:line="160"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w:t>
            </w:r>
            <w:r>
              <w:rPr>
                <w:color w:val="231F20"/>
                <w:spacing w:val="-1"/>
                <w:sz w:val="14"/>
              </w:rPr>
              <w:t xml:space="preserve"> </w:t>
            </w:r>
            <w:r>
              <w:rPr>
                <w:color w:val="231F20"/>
                <w:sz w:val="14"/>
              </w:rPr>
              <w:t>речи;</w:t>
            </w:r>
          </w:p>
          <w:p w:rsidR="00041039" w:rsidRDefault="001B26CB">
            <w:pPr>
              <w:pStyle w:val="TableParagraph"/>
              <w:tabs>
                <w:tab w:val="left" w:pos="157"/>
              </w:tabs>
              <w:spacing w:line="153" w:lineRule="exact"/>
              <w:ind w:hanging="99"/>
              <w:rPr>
                <w:sz w:val="14"/>
              </w:rPr>
            </w:pPr>
            <w:r>
              <w:rPr>
                <w:color w:val="231F20"/>
                <w:sz w:val="14"/>
              </w:rPr>
              <w:t>правилно компарира</w:t>
            </w:r>
            <w:r>
              <w:rPr>
                <w:color w:val="231F20"/>
                <w:spacing w:val="-4"/>
                <w:sz w:val="14"/>
              </w:rPr>
              <w:t xml:space="preserve"> </w:t>
            </w:r>
            <w:r>
              <w:rPr>
                <w:color w:val="231F20"/>
                <w:sz w:val="14"/>
              </w:rPr>
              <w:t>придеве;</w:t>
            </w:r>
          </w:p>
          <w:p w:rsidR="00041039" w:rsidRDefault="001B26CB">
            <w:pPr>
              <w:pStyle w:val="TableParagraph"/>
              <w:tabs>
                <w:tab w:val="left" w:pos="157"/>
              </w:tabs>
              <w:spacing w:line="237" w:lineRule="auto"/>
              <w:ind w:right="254" w:hanging="99"/>
              <w:rPr>
                <w:sz w:val="14"/>
              </w:rPr>
            </w:pPr>
            <w:r>
              <w:rPr>
                <w:color w:val="231F20"/>
                <w:sz w:val="14"/>
              </w:rPr>
              <w:t>разликује праве повратне и</w:t>
            </w:r>
            <w:r>
              <w:rPr>
                <w:color w:val="231F20"/>
                <w:spacing w:val="-21"/>
                <w:sz w:val="14"/>
              </w:rPr>
              <w:t xml:space="preserve"> </w:t>
            </w:r>
            <w:r>
              <w:rPr>
                <w:color w:val="231F20"/>
                <w:sz w:val="14"/>
              </w:rPr>
              <w:t>неправе повратне</w:t>
            </w:r>
            <w:r>
              <w:rPr>
                <w:color w:val="231F20"/>
                <w:spacing w:val="-1"/>
                <w:sz w:val="14"/>
              </w:rPr>
              <w:t xml:space="preserve"> </w:t>
            </w:r>
            <w:r>
              <w:rPr>
                <w:color w:val="231F20"/>
                <w:spacing w:val="-3"/>
                <w:sz w:val="14"/>
              </w:rPr>
              <w:t>глаголе;</w:t>
            </w:r>
          </w:p>
          <w:p w:rsidR="00041039" w:rsidRDefault="001B26CB">
            <w:pPr>
              <w:pStyle w:val="TableParagraph"/>
              <w:tabs>
                <w:tab w:val="left" w:pos="157"/>
              </w:tabs>
              <w:spacing w:line="161" w:lineRule="exact"/>
              <w:ind w:hanging="99"/>
              <w:rPr>
                <w:sz w:val="14"/>
              </w:rPr>
            </w:pPr>
            <w:r>
              <w:rPr>
                <w:color w:val="231F20"/>
                <w:sz w:val="14"/>
              </w:rPr>
              <w:t>препознаје аорист, футур</w:t>
            </w:r>
            <w:r>
              <w:rPr>
                <w:color w:val="231F20"/>
                <w:spacing w:val="-5"/>
                <w:sz w:val="14"/>
              </w:rPr>
              <w:t xml:space="preserve"> </w:t>
            </w:r>
            <w:r>
              <w:rPr>
                <w:color w:val="231F20"/>
                <w:sz w:val="14"/>
              </w:rPr>
              <w:t>II;</w:t>
            </w:r>
          </w:p>
        </w:tc>
        <w:tc>
          <w:tcPr>
            <w:tcW w:w="2834" w:type="dxa"/>
          </w:tcPr>
          <w:p w:rsidR="00041039" w:rsidRDefault="001B26CB">
            <w:pPr>
              <w:pStyle w:val="TableParagraph"/>
              <w:tabs>
                <w:tab w:val="left" w:pos="157"/>
              </w:tabs>
              <w:spacing w:before="9" w:line="171" w:lineRule="exact"/>
              <w:ind w:hanging="99"/>
              <w:rPr>
                <w:sz w:val="14"/>
              </w:rPr>
            </w:pPr>
            <w:r>
              <w:rPr>
                <w:color w:val="231F20"/>
                <w:sz w:val="14"/>
              </w:rPr>
              <w:t>Именице:</w:t>
            </w:r>
          </w:p>
          <w:p w:rsidR="00041039" w:rsidRDefault="001B26CB">
            <w:pPr>
              <w:pStyle w:val="TableParagraph"/>
              <w:tabs>
                <w:tab w:val="left" w:pos="163"/>
              </w:tabs>
              <w:spacing w:line="160" w:lineRule="exact"/>
              <w:ind w:left="162" w:hanging="105"/>
              <w:rPr>
                <w:sz w:val="14"/>
              </w:rPr>
            </w:pPr>
            <w:r>
              <w:rPr>
                <w:color w:val="231F20"/>
                <w:sz w:val="14"/>
              </w:rPr>
              <w:t>именице женског рода на</w:t>
            </w:r>
            <w:r>
              <w:rPr>
                <w:color w:val="231F20"/>
                <w:spacing w:val="-9"/>
                <w:sz w:val="14"/>
              </w:rPr>
              <w:t xml:space="preserve"> </w:t>
            </w:r>
            <w:r>
              <w:rPr>
                <w:color w:val="231F20"/>
                <w:sz w:val="14"/>
              </w:rPr>
              <w:t>консонант;</w:t>
            </w:r>
          </w:p>
          <w:p w:rsidR="00041039" w:rsidRDefault="001B26CB">
            <w:pPr>
              <w:pStyle w:val="TableParagraph"/>
              <w:tabs>
                <w:tab w:val="left" w:pos="163"/>
              </w:tabs>
              <w:ind w:left="162" w:right="509" w:hanging="105"/>
              <w:rPr>
                <w:sz w:val="14"/>
              </w:rPr>
            </w:pPr>
            <w:r>
              <w:rPr>
                <w:color w:val="231F20"/>
                <w:sz w:val="14"/>
              </w:rPr>
              <w:t>проширивање падежних функција</w:t>
            </w:r>
            <w:r>
              <w:rPr>
                <w:color w:val="231F20"/>
                <w:spacing w:val="-18"/>
                <w:sz w:val="14"/>
              </w:rPr>
              <w:t xml:space="preserve"> </w:t>
            </w:r>
            <w:r>
              <w:rPr>
                <w:color w:val="231F20"/>
                <w:sz w:val="14"/>
              </w:rPr>
              <w:t>и значења.</w:t>
            </w:r>
          </w:p>
          <w:p w:rsidR="00041039" w:rsidRDefault="001B26CB">
            <w:pPr>
              <w:pStyle w:val="TableParagraph"/>
              <w:tabs>
                <w:tab w:val="left" w:pos="157"/>
              </w:tabs>
              <w:spacing w:line="159" w:lineRule="exact"/>
              <w:ind w:hanging="99"/>
              <w:rPr>
                <w:sz w:val="14"/>
              </w:rPr>
            </w:pPr>
            <w:r>
              <w:rPr>
                <w:color w:val="231F20"/>
                <w:spacing w:val="-3"/>
                <w:sz w:val="14"/>
              </w:rPr>
              <w:t>Глаголи:</w:t>
            </w:r>
          </w:p>
          <w:p w:rsidR="00041039" w:rsidRDefault="001B26CB">
            <w:pPr>
              <w:pStyle w:val="TableParagraph"/>
              <w:tabs>
                <w:tab w:val="left" w:pos="163"/>
              </w:tabs>
              <w:spacing w:line="160" w:lineRule="exact"/>
              <w:ind w:left="162" w:hanging="105"/>
              <w:rPr>
                <w:sz w:val="14"/>
              </w:rPr>
            </w:pPr>
            <w:r>
              <w:rPr>
                <w:color w:val="231F20"/>
                <w:sz w:val="14"/>
              </w:rPr>
              <w:t>аорист, футур</w:t>
            </w:r>
            <w:r>
              <w:rPr>
                <w:color w:val="231F20"/>
                <w:spacing w:val="-1"/>
                <w:sz w:val="14"/>
              </w:rPr>
              <w:t xml:space="preserve"> </w:t>
            </w:r>
            <w:r>
              <w:rPr>
                <w:color w:val="231F20"/>
                <w:sz w:val="14"/>
              </w:rPr>
              <w:t>II;</w:t>
            </w:r>
          </w:p>
          <w:p w:rsidR="00041039" w:rsidRDefault="001B26CB">
            <w:pPr>
              <w:pStyle w:val="TableParagraph"/>
              <w:tabs>
                <w:tab w:val="left" w:pos="163"/>
              </w:tabs>
              <w:spacing w:line="160" w:lineRule="exact"/>
              <w:ind w:left="162" w:hanging="105"/>
              <w:rPr>
                <w:sz w:val="14"/>
              </w:rPr>
            </w:pPr>
            <w:r>
              <w:rPr>
                <w:color w:val="231F20"/>
                <w:spacing w:val="-3"/>
                <w:sz w:val="14"/>
              </w:rPr>
              <w:t xml:space="preserve">глаголски </w:t>
            </w:r>
            <w:r>
              <w:rPr>
                <w:color w:val="231F20"/>
                <w:sz w:val="14"/>
              </w:rPr>
              <w:t>вид(учестали</w:t>
            </w:r>
            <w:r>
              <w:rPr>
                <w:color w:val="231F20"/>
                <w:spacing w:val="1"/>
                <w:sz w:val="14"/>
              </w:rPr>
              <w:t xml:space="preserve"> </w:t>
            </w:r>
            <w:r>
              <w:rPr>
                <w:color w:val="231F20"/>
                <w:spacing w:val="-3"/>
                <w:sz w:val="14"/>
              </w:rPr>
              <w:t>глаголи);</w:t>
            </w:r>
          </w:p>
          <w:p w:rsidR="00041039" w:rsidRDefault="001B26CB">
            <w:pPr>
              <w:pStyle w:val="TableParagraph"/>
              <w:tabs>
                <w:tab w:val="left" w:pos="163"/>
              </w:tabs>
              <w:spacing w:line="155" w:lineRule="exact"/>
              <w:ind w:left="162" w:hanging="105"/>
              <w:rPr>
                <w:sz w:val="14"/>
              </w:rPr>
            </w:pPr>
            <w:r>
              <w:rPr>
                <w:color w:val="231F20"/>
                <w:spacing w:val="-3"/>
                <w:sz w:val="14"/>
              </w:rPr>
              <w:t xml:space="preserve">глаголски </w:t>
            </w:r>
            <w:r>
              <w:rPr>
                <w:color w:val="231F20"/>
                <w:sz w:val="14"/>
              </w:rPr>
              <w:t>род: неправи повратни</w:t>
            </w:r>
            <w:r>
              <w:rPr>
                <w:color w:val="231F20"/>
                <w:spacing w:val="-3"/>
                <w:sz w:val="14"/>
              </w:rPr>
              <w:t xml:space="preserve"> глаголи.</w:t>
            </w:r>
          </w:p>
          <w:p w:rsidR="00041039" w:rsidRDefault="001B26CB">
            <w:pPr>
              <w:pStyle w:val="TableParagraph"/>
              <w:tabs>
                <w:tab w:val="left" w:pos="157"/>
              </w:tabs>
              <w:spacing w:line="166" w:lineRule="exact"/>
              <w:ind w:hanging="99"/>
              <w:rPr>
                <w:sz w:val="14"/>
              </w:rPr>
            </w:pPr>
            <w:r>
              <w:rPr>
                <w:color w:val="231F20"/>
                <w:sz w:val="14"/>
              </w:rPr>
              <w:t>Придеви:</w:t>
            </w:r>
            <w:r>
              <w:rPr>
                <w:color w:val="231F20"/>
                <w:spacing w:val="-2"/>
                <w:sz w:val="14"/>
              </w:rPr>
              <w:t xml:space="preserve"> </w:t>
            </w:r>
            <w:r>
              <w:rPr>
                <w:color w:val="231F20"/>
                <w:sz w:val="14"/>
              </w:rPr>
              <w:t>компарација.</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19"/>
              <w:ind w:left="56"/>
              <w:rPr>
                <w:sz w:val="14"/>
              </w:rPr>
            </w:pPr>
            <w:r>
              <w:rPr>
                <w:color w:val="231F20"/>
                <w:sz w:val="14"/>
              </w:rPr>
              <w:t>Творба речи</w:t>
            </w:r>
          </w:p>
        </w:tc>
        <w:tc>
          <w:tcPr>
            <w:tcW w:w="1587" w:type="dxa"/>
          </w:tcPr>
          <w:p w:rsidR="00041039" w:rsidRDefault="001B26CB">
            <w:pPr>
              <w:pStyle w:val="TableParagraph"/>
              <w:tabs>
                <w:tab w:val="left" w:pos="157"/>
              </w:tabs>
              <w:spacing w:before="9"/>
              <w:ind w:right="161" w:hanging="100"/>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tabs>
                <w:tab w:val="left" w:pos="157"/>
              </w:tabs>
              <w:spacing w:before="9"/>
              <w:ind w:right="110" w:hanging="99"/>
              <w:rPr>
                <w:sz w:val="14"/>
              </w:rPr>
            </w:pPr>
            <w:r>
              <w:rPr>
                <w:color w:val="231F20"/>
                <w:sz w:val="14"/>
              </w:rPr>
              <w:t>правилно гради деминутиве и</w:t>
            </w:r>
            <w:r>
              <w:rPr>
                <w:color w:val="231F20"/>
                <w:spacing w:val="-23"/>
                <w:sz w:val="14"/>
              </w:rPr>
              <w:t xml:space="preserve"> </w:t>
            </w:r>
            <w:r>
              <w:rPr>
                <w:color w:val="231F20"/>
                <w:sz w:val="14"/>
              </w:rPr>
              <w:t>аугмен­ тативе;</w:t>
            </w:r>
          </w:p>
        </w:tc>
        <w:tc>
          <w:tcPr>
            <w:tcW w:w="2834" w:type="dxa"/>
          </w:tcPr>
          <w:p w:rsidR="00041039" w:rsidRDefault="001B26CB">
            <w:pPr>
              <w:pStyle w:val="TableParagraph"/>
              <w:tabs>
                <w:tab w:val="left" w:pos="158"/>
              </w:tabs>
              <w:spacing w:before="9"/>
              <w:ind w:left="157" w:hanging="100"/>
              <w:rPr>
                <w:sz w:val="14"/>
              </w:rPr>
            </w:pPr>
            <w:r>
              <w:rPr>
                <w:color w:val="231F20"/>
                <w:sz w:val="14"/>
              </w:rPr>
              <w:t>Деминутиви и</w:t>
            </w:r>
            <w:r>
              <w:rPr>
                <w:color w:val="231F20"/>
                <w:spacing w:val="-2"/>
                <w:sz w:val="14"/>
              </w:rPr>
              <w:t xml:space="preserve"> </w:t>
            </w:r>
            <w:r>
              <w:rPr>
                <w:color w:val="231F20"/>
                <w:sz w:val="14"/>
              </w:rPr>
              <w:t>аугментативи.</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19"/>
              <w:ind w:left="57"/>
              <w:rPr>
                <w:sz w:val="14"/>
              </w:rPr>
            </w:pPr>
            <w:r>
              <w:rPr>
                <w:color w:val="231F20"/>
                <w:sz w:val="14"/>
              </w:rPr>
              <w:t>Синтакса</w:t>
            </w:r>
          </w:p>
        </w:tc>
        <w:tc>
          <w:tcPr>
            <w:tcW w:w="1587" w:type="dxa"/>
          </w:tcPr>
          <w:p w:rsidR="00041039" w:rsidRDefault="001B26CB">
            <w:pPr>
              <w:pStyle w:val="TableParagraph"/>
              <w:tabs>
                <w:tab w:val="left" w:pos="157"/>
              </w:tabs>
              <w:spacing w:before="9"/>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tabs>
                <w:tab w:val="left" w:pos="157"/>
              </w:tabs>
              <w:spacing w:before="9"/>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tabs>
                <w:tab w:val="left" w:pos="157"/>
              </w:tabs>
              <w:spacing w:line="160" w:lineRule="exact"/>
              <w:ind w:right="383" w:hanging="99"/>
              <w:rPr>
                <w:sz w:val="14"/>
              </w:rPr>
            </w:pPr>
            <w:r>
              <w:rPr>
                <w:color w:val="231F20"/>
                <w:sz w:val="14"/>
              </w:rPr>
              <w:t>препознаје реченице са</w:t>
            </w:r>
            <w:r>
              <w:rPr>
                <w:color w:val="231F20"/>
                <w:spacing w:val="-18"/>
                <w:sz w:val="14"/>
              </w:rPr>
              <w:t xml:space="preserve"> </w:t>
            </w:r>
            <w:r>
              <w:rPr>
                <w:color w:val="231F20"/>
                <w:sz w:val="14"/>
              </w:rPr>
              <w:t>логичким субјектом;</w:t>
            </w:r>
          </w:p>
          <w:p w:rsidR="00041039" w:rsidRDefault="001B26CB">
            <w:pPr>
              <w:pStyle w:val="TableParagraph"/>
              <w:tabs>
                <w:tab w:val="left" w:pos="157"/>
              </w:tabs>
              <w:spacing w:line="153" w:lineRule="exact"/>
              <w:ind w:hanging="99"/>
              <w:rPr>
                <w:sz w:val="14"/>
              </w:rPr>
            </w:pPr>
            <w:r>
              <w:rPr>
                <w:color w:val="231F20"/>
                <w:sz w:val="14"/>
              </w:rPr>
              <w:t>саставља условне и намерне</w:t>
            </w:r>
            <w:r>
              <w:rPr>
                <w:color w:val="231F20"/>
                <w:spacing w:val="-8"/>
                <w:sz w:val="14"/>
              </w:rPr>
              <w:t xml:space="preserve"> </w:t>
            </w:r>
            <w:r>
              <w:rPr>
                <w:color w:val="231F20"/>
                <w:sz w:val="14"/>
              </w:rPr>
              <w:t>реченице;</w:t>
            </w:r>
          </w:p>
          <w:p w:rsidR="00041039" w:rsidRDefault="001B26CB">
            <w:pPr>
              <w:pStyle w:val="TableParagraph"/>
              <w:tabs>
                <w:tab w:val="left" w:pos="157"/>
              </w:tabs>
              <w:spacing w:line="237" w:lineRule="auto"/>
              <w:ind w:right="439" w:hanging="99"/>
              <w:rPr>
                <w:sz w:val="14"/>
              </w:rPr>
            </w:pPr>
            <w:r>
              <w:rPr>
                <w:color w:val="231F20"/>
                <w:sz w:val="14"/>
              </w:rPr>
              <w:t>правилно употребљава</w:t>
            </w:r>
            <w:r>
              <w:rPr>
                <w:color w:val="231F20"/>
                <w:spacing w:val="-15"/>
                <w:sz w:val="14"/>
              </w:rPr>
              <w:t xml:space="preserve"> </w:t>
            </w:r>
            <w:r>
              <w:rPr>
                <w:color w:val="231F20"/>
                <w:sz w:val="14"/>
              </w:rPr>
              <w:t>безличне реченице;</w:t>
            </w:r>
          </w:p>
        </w:tc>
        <w:tc>
          <w:tcPr>
            <w:tcW w:w="2834" w:type="dxa"/>
          </w:tcPr>
          <w:p w:rsidR="00041039" w:rsidRDefault="001B26CB">
            <w:pPr>
              <w:pStyle w:val="TableParagraph"/>
              <w:tabs>
                <w:tab w:val="left" w:pos="158"/>
              </w:tabs>
              <w:spacing w:before="9" w:line="166" w:lineRule="exact"/>
              <w:ind w:left="157" w:hanging="100"/>
              <w:rPr>
                <w:sz w:val="14"/>
              </w:rPr>
            </w:pPr>
            <w:r>
              <w:rPr>
                <w:color w:val="231F20"/>
                <w:sz w:val="14"/>
              </w:rPr>
              <w:t>Безличне</w:t>
            </w:r>
            <w:r>
              <w:rPr>
                <w:color w:val="231F20"/>
                <w:spacing w:val="-2"/>
                <w:sz w:val="14"/>
              </w:rPr>
              <w:t xml:space="preserve"> </w:t>
            </w:r>
            <w:r>
              <w:rPr>
                <w:color w:val="231F20"/>
                <w:sz w:val="14"/>
              </w:rPr>
              <w:t>реченице.</w:t>
            </w:r>
          </w:p>
          <w:p w:rsidR="00041039" w:rsidRDefault="001B26CB">
            <w:pPr>
              <w:pStyle w:val="TableParagraph"/>
              <w:tabs>
                <w:tab w:val="left" w:pos="158"/>
              </w:tabs>
              <w:spacing w:line="160" w:lineRule="exact"/>
              <w:ind w:left="157" w:hanging="100"/>
              <w:rPr>
                <w:sz w:val="14"/>
              </w:rPr>
            </w:pPr>
            <w:r>
              <w:rPr>
                <w:color w:val="231F20"/>
                <w:sz w:val="14"/>
              </w:rPr>
              <w:t>Логички</w:t>
            </w:r>
            <w:r>
              <w:rPr>
                <w:color w:val="231F20"/>
                <w:spacing w:val="-1"/>
                <w:sz w:val="14"/>
              </w:rPr>
              <w:t xml:space="preserve"> </w:t>
            </w:r>
            <w:r>
              <w:rPr>
                <w:color w:val="231F20"/>
                <w:sz w:val="14"/>
              </w:rPr>
              <w:t>субјекти.</w:t>
            </w:r>
          </w:p>
          <w:p w:rsidR="00041039" w:rsidRDefault="001B26CB">
            <w:pPr>
              <w:pStyle w:val="TableParagraph"/>
              <w:tabs>
                <w:tab w:val="left" w:pos="158"/>
              </w:tabs>
              <w:spacing w:line="160" w:lineRule="exact"/>
              <w:ind w:left="157" w:hanging="100"/>
              <w:rPr>
                <w:sz w:val="14"/>
              </w:rPr>
            </w:pPr>
            <w:r>
              <w:rPr>
                <w:color w:val="231F20"/>
                <w:sz w:val="14"/>
              </w:rPr>
              <w:t>Неконгруентни</w:t>
            </w:r>
            <w:r>
              <w:rPr>
                <w:color w:val="231F20"/>
                <w:spacing w:val="-1"/>
                <w:sz w:val="14"/>
              </w:rPr>
              <w:t xml:space="preserve"> </w:t>
            </w:r>
            <w:r>
              <w:rPr>
                <w:color w:val="231F20"/>
                <w:sz w:val="14"/>
              </w:rPr>
              <w:t>атр</w:t>
            </w:r>
            <w:r>
              <w:rPr>
                <w:color w:val="231F20"/>
                <w:sz w:val="14"/>
              </w:rPr>
              <w:t>ибути.</w:t>
            </w:r>
          </w:p>
          <w:p w:rsidR="00041039" w:rsidRDefault="001B26CB">
            <w:pPr>
              <w:pStyle w:val="TableParagraph"/>
              <w:tabs>
                <w:tab w:val="left" w:pos="158"/>
              </w:tabs>
              <w:spacing w:line="237" w:lineRule="auto"/>
              <w:ind w:left="157" w:right="447" w:hanging="100"/>
              <w:rPr>
                <w:sz w:val="14"/>
              </w:rPr>
            </w:pPr>
            <w:r>
              <w:rPr>
                <w:color w:val="231F20"/>
                <w:sz w:val="14"/>
              </w:rPr>
              <w:t>Проширивање прилошко</w:t>
            </w:r>
            <w:r>
              <w:rPr>
                <w:color w:val="231F20"/>
                <w:spacing w:val="-26"/>
                <w:sz w:val="14"/>
              </w:rPr>
              <w:t xml:space="preserve"> </w:t>
            </w:r>
            <w:r>
              <w:rPr>
                <w:color w:val="231F20"/>
                <w:sz w:val="14"/>
              </w:rPr>
              <w:t>одредбених значења.</w:t>
            </w:r>
          </w:p>
          <w:p w:rsidR="00041039" w:rsidRDefault="001B26CB">
            <w:pPr>
              <w:pStyle w:val="TableParagraph"/>
              <w:tabs>
                <w:tab w:val="left" w:pos="158"/>
              </w:tabs>
              <w:spacing w:line="161" w:lineRule="exact"/>
              <w:ind w:left="157" w:hanging="100"/>
              <w:rPr>
                <w:sz w:val="14"/>
              </w:rPr>
            </w:pPr>
            <w:r>
              <w:rPr>
                <w:color w:val="231F20"/>
                <w:sz w:val="14"/>
              </w:rPr>
              <w:t>Односне и изричне</w:t>
            </w:r>
            <w:r>
              <w:rPr>
                <w:color w:val="231F20"/>
                <w:spacing w:val="-3"/>
                <w:sz w:val="14"/>
              </w:rPr>
              <w:t xml:space="preserve"> </w:t>
            </w:r>
            <w:r>
              <w:rPr>
                <w:color w:val="231F20"/>
                <w:sz w:val="14"/>
              </w:rPr>
              <w:t>реченице.</w:t>
            </w:r>
          </w:p>
        </w:tc>
        <w:tc>
          <w:tcPr>
            <w:tcW w:w="2267" w:type="dxa"/>
            <w:vMerge/>
            <w:tcBorders>
              <w:top w:val="nil"/>
            </w:tcBorders>
          </w:tcPr>
          <w:p w:rsidR="00041039" w:rsidRDefault="00041039">
            <w:pPr>
              <w:rPr>
                <w:sz w:val="2"/>
                <w:szCs w:val="2"/>
              </w:rPr>
            </w:pPr>
          </w:p>
        </w:tc>
      </w:tr>
      <w:tr w:rsidR="00041039">
        <w:trPr>
          <w:trHeight w:val="1438"/>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tabs>
                <w:tab w:val="left" w:pos="157"/>
              </w:tabs>
              <w:spacing w:before="9"/>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tabs>
                <w:tab w:val="left" w:pos="158"/>
              </w:tabs>
              <w:spacing w:before="9"/>
              <w:ind w:left="157" w:right="209" w:hanging="100"/>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tabs>
                <w:tab w:val="left" w:pos="158"/>
              </w:tabs>
              <w:spacing w:before="9" w:line="166" w:lineRule="exact"/>
              <w:ind w:left="157" w:hanging="100"/>
              <w:rPr>
                <w:sz w:val="14"/>
              </w:rPr>
            </w:pPr>
            <w:r>
              <w:rPr>
                <w:color w:val="231F20"/>
                <w:sz w:val="14"/>
              </w:rPr>
              <w:t>Састављено и растављено писање</w:t>
            </w:r>
            <w:r>
              <w:rPr>
                <w:color w:val="231F20"/>
                <w:spacing w:val="-2"/>
                <w:sz w:val="14"/>
              </w:rPr>
              <w:t xml:space="preserve"> </w:t>
            </w:r>
            <w:r>
              <w:rPr>
                <w:color w:val="231F20"/>
                <w:sz w:val="14"/>
              </w:rPr>
              <w:t>речи.</w:t>
            </w:r>
          </w:p>
          <w:p w:rsidR="00041039" w:rsidRDefault="001B26CB">
            <w:pPr>
              <w:pStyle w:val="TableParagraph"/>
              <w:tabs>
                <w:tab w:val="left" w:pos="158"/>
              </w:tabs>
              <w:spacing w:line="166" w:lineRule="exact"/>
              <w:ind w:left="157" w:hanging="100"/>
              <w:rPr>
                <w:sz w:val="14"/>
              </w:rPr>
            </w:pPr>
            <w:r>
              <w:rPr>
                <w:color w:val="231F20"/>
                <w:spacing w:val="-3"/>
                <w:sz w:val="14"/>
              </w:rPr>
              <w:t xml:space="preserve">Управни </w:t>
            </w:r>
            <w:r>
              <w:rPr>
                <w:color w:val="231F20"/>
                <w:sz w:val="14"/>
              </w:rPr>
              <w:t>и неуправни говор.</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080"/>
        </w:trPr>
        <w:tc>
          <w:tcPr>
            <w:tcW w:w="1304" w:type="dxa"/>
          </w:tcPr>
          <w:p w:rsidR="00041039" w:rsidRDefault="001B26CB">
            <w:pPr>
              <w:pStyle w:val="TableParagraph"/>
              <w:spacing w:before="18"/>
              <w:ind w:left="56" w:right="37"/>
              <w:rPr>
                <w:sz w:val="14"/>
              </w:rPr>
            </w:pPr>
            <w:r>
              <w:rPr>
                <w:color w:val="231F20"/>
                <w:sz w:val="14"/>
              </w:rPr>
              <w:lastRenderedPageBreak/>
              <w:t>Култура изража­ вања</w:t>
            </w:r>
          </w:p>
        </w:tc>
        <w:tc>
          <w:tcPr>
            <w:tcW w:w="1587" w:type="dxa"/>
          </w:tcPr>
          <w:p w:rsidR="00041039" w:rsidRDefault="001B26CB">
            <w:pPr>
              <w:pStyle w:val="TableParagraph"/>
              <w:tabs>
                <w:tab w:val="left" w:pos="157"/>
              </w:tabs>
              <w:spacing w:before="8"/>
              <w:ind w:right="130" w:hanging="100"/>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tabs>
                <w:tab w:val="left" w:pos="157"/>
              </w:tabs>
              <w:spacing w:before="8"/>
              <w:ind w:right="117" w:hanging="99"/>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tabs>
                <w:tab w:val="left" w:pos="157"/>
              </w:tabs>
              <w:spacing w:line="160" w:lineRule="exact"/>
              <w:ind w:right="43" w:hanging="99"/>
              <w:rPr>
                <w:sz w:val="14"/>
              </w:rPr>
            </w:pPr>
            <w:r>
              <w:rPr>
                <w:color w:val="231F20"/>
                <w:sz w:val="14"/>
              </w:rPr>
              <w:t>даје комплексне одговоре на</w:t>
            </w:r>
            <w:r>
              <w:rPr>
                <w:color w:val="231F20"/>
                <w:spacing w:val="-25"/>
                <w:sz w:val="14"/>
              </w:rPr>
              <w:t xml:space="preserve"> </w:t>
            </w:r>
            <w:r>
              <w:rPr>
                <w:color w:val="231F20"/>
                <w:sz w:val="14"/>
              </w:rPr>
              <w:t>поставље­ на питања и поставља</w:t>
            </w:r>
            <w:r>
              <w:rPr>
                <w:color w:val="231F20"/>
                <w:spacing w:val="-2"/>
                <w:sz w:val="14"/>
              </w:rPr>
              <w:t xml:space="preserve"> </w:t>
            </w:r>
            <w:r>
              <w:rPr>
                <w:color w:val="231F20"/>
                <w:sz w:val="14"/>
              </w:rPr>
              <w:t>питања;</w:t>
            </w:r>
          </w:p>
        </w:tc>
        <w:tc>
          <w:tcPr>
            <w:tcW w:w="2834" w:type="dxa"/>
          </w:tcPr>
          <w:p w:rsidR="00041039" w:rsidRDefault="001B26CB">
            <w:pPr>
              <w:pStyle w:val="TableParagraph"/>
              <w:tabs>
                <w:tab w:val="left" w:pos="157"/>
              </w:tabs>
              <w:spacing w:before="8" w:line="171" w:lineRule="exact"/>
              <w:ind w:hanging="99"/>
              <w:rPr>
                <w:sz w:val="14"/>
              </w:rPr>
            </w:pPr>
            <w:r>
              <w:rPr>
                <w:color w:val="231F20"/>
                <w:sz w:val="14"/>
              </w:rPr>
              <w:t>Тематика:</w:t>
            </w:r>
          </w:p>
          <w:p w:rsidR="00041039" w:rsidRDefault="001B26CB">
            <w:pPr>
              <w:pStyle w:val="TableParagraph"/>
              <w:tabs>
                <w:tab w:val="left" w:pos="163"/>
              </w:tabs>
              <w:spacing w:line="160" w:lineRule="exact"/>
              <w:ind w:left="162" w:hanging="105"/>
              <w:rPr>
                <w:sz w:val="14"/>
              </w:rPr>
            </w:pPr>
            <w:r>
              <w:rPr>
                <w:color w:val="231F20"/>
                <w:sz w:val="14"/>
              </w:rPr>
              <w:t>међуљудски</w:t>
            </w:r>
            <w:r>
              <w:rPr>
                <w:color w:val="231F20"/>
                <w:spacing w:val="-1"/>
                <w:sz w:val="14"/>
              </w:rPr>
              <w:t xml:space="preserve"> </w:t>
            </w:r>
            <w:r>
              <w:rPr>
                <w:color w:val="231F20"/>
                <w:sz w:val="14"/>
              </w:rPr>
              <w:t>односи;</w:t>
            </w:r>
          </w:p>
          <w:p w:rsidR="00041039" w:rsidRDefault="001B26CB">
            <w:pPr>
              <w:pStyle w:val="TableParagraph"/>
              <w:tabs>
                <w:tab w:val="left" w:pos="163"/>
              </w:tabs>
              <w:spacing w:line="160" w:lineRule="exact"/>
              <w:ind w:left="162" w:hanging="105"/>
              <w:rPr>
                <w:sz w:val="14"/>
              </w:rPr>
            </w:pPr>
            <w:r>
              <w:rPr>
                <w:color w:val="231F20"/>
                <w:sz w:val="14"/>
              </w:rPr>
              <w:t>култура</w:t>
            </w:r>
            <w:r>
              <w:rPr>
                <w:color w:val="231F20"/>
                <w:spacing w:val="-1"/>
                <w:sz w:val="14"/>
              </w:rPr>
              <w:t xml:space="preserve"> </w:t>
            </w:r>
            <w:r>
              <w:rPr>
                <w:color w:val="231F20"/>
                <w:sz w:val="14"/>
              </w:rPr>
              <w:t>становања;</w:t>
            </w:r>
          </w:p>
          <w:p w:rsidR="00041039" w:rsidRDefault="001B26CB">
            <w:pPr>
              <w:pStyle w:val="TableParagraph"/>
              <w:tabs>
                <w:tab w:val="left" w:pos="163"/>
              </w:tabs>
              <w:spacing w:line="160" w:lineRule="exact"/>
              <w:ind w:left="162" w:hanging="105"/>
              <w:rPr>
                <w:sz w:val="14"/>
              </w:rPr>
            </w:pPr>
            <w:r>
              <w:rPr>
                <w:color w:val="231F20"/>
                <w:sz w:val="14"/>
              </w:rPr>
              <w:t>здравље;</w:t>
            </w:r>
          </w:p>
          <w:p w:rsidR="00041039" w:rsidRDefault="001B26CB">
            <w:pPr>
              <w:pStyle w:val="TableParagraph"/>
              <w:tabs>
                <w:tab w:val="left" w:pos="163"/>
              </w:tabs>
              <w:spacing w:line="160" w:lineRule="exact"/>
              <w:ind w:left="162" w:hanging="105"/>
              <w:rPr>
                <w:sz w:val="14"/>
              </w:rPr>
            </w:pPr>
            <w:r>
              <w:rPr>
                <w:color w:val="231F20"/>
                <w:sz w:val="14"/>
              </w:rPr>
              <w:t>спорт;</w:t>
            </w:r>
          </w:p>
          <w:p w:rsidR="00041039" w:rsidRDefault="001B26CB">
            <w:pPr>
              <w:pStyle w:val="TableParagraph"/>
              <w:tabs>
                <w:tab w:val="left" w:pos="163"/>
              </w:tabs>
              <w:spacing w:line="160" w:lineRule="exact"/>
              <w:ind w:left="162" w:hanging="105"/>
              <w:rPr>
                <w:sz w:val="14"/>
              </w:rPr>
            </w:pPr>
            <w:r>
              <w:rPr>
                <w:color w:val="231F20"/>
                <w:sz w:val="14"/>
              </w:rPr>
              <w:t>саобраћај;</w:t>
            </w:r>
          </w:p>
          <w:p w:rsidR="00041039" w:rsidRDefault="001B26CB">
            <w:pPr>
              <w:pStyle w:val="TableParagraph"/>
              <w:tabs>
                <w:tab w:val="left" w:pos="163"/>
              </w:tabs>
              <w:spacing w:line="160" w:lineRule="exact"/>
              <w:ind w:left="162" w:hanging="105"/>
              <w:rPr>
                <w:sz w:val="14"/>
              </w:rPr>
            </w:pPr>
            <w:r>
              <w:rPr>
                <w:color w:val="231F20"/>
                <w:sz w:val="14"/>
              </w:rPr>
              <w:t>привреда у</w:t>
            </w:r>
            <w:r>
              <w:rPr>
                <w:color w:val="231F20"/>
                <w:spacing w:val="-1"/>
                <w:sz w:val="14"/>
              </w:rPr>
              <w:t xml:space="preserve"> </w:t>
            </w:r>
            <w:r>
              <w:rPr>
                <w:color w:val="231F20"/>
                <w:sz w:val="14"/>
              </w:rPr>
              <w:t>окружењу;</w:t>
            </w:r>
          </w:p>
          <w:p w:rsidR="00041039" w:rsidRDefault="001B26CB">
            <w:pPr>
              <w:pStyle w:val="TableParagraph"/>
              <w:tabs>
                <w:tab w:val="left" w:pos="163"/>
              </w:tabs>
              <w:spacing w:line="160" w:lineRule="exact"/>
              <w:ind w:left="162" w:hanging="105"/>
              <w:rPr>
                <w:sz w:val="14"/>
              </w:rPr>
            </w:pPr>
            <w:r>
              <w:rPr>
                <w:color w:val="231F20"/>
                <w:sz w:val="14"/>
              </w:rPr>
              <w:t>клима, атмосферске</w:t>
            </w:r>
            <w:r>
              <w:rPr>
                <w:color w:val="231F20"/>
                <w:spacing w:val="-1"/>
                <w:sz w:val="14"/>
              </w:rPr>
              <w:t xml:space="preserve"> </w:t>
            </w:r>
            <w:r>
              <w:rPr>
                <w:color w:val="231F20"/>
                <w:sz w:val="14"/>
              </w:rPr>
              <w:t>појаве:</w:t>
            </w:r>
          </w:p>
          <w:p w:rsidR="00041039" w:rsidRDefault="001B26CB">
            <w:pPr>
              <w:pStyle w:val="TableParagraph"/>
              <w:tabs>
                <w:tab w:val="left" w:pos="163"/>
              </w:tabs>
              <w:spacing w:line="155" w:lineRule="exact"/>
              <w:ind w:left="162" w:hanging="105"/>
              <w:rPr>
                <w:sz w:val="14"/>
              </w:rPr>
            </w:pPr>
            <w:r>
              <w:rPr>
                <w:color w:val="231F20"/>
                <w:sz w:val="14"/>
              </w:rPr>
              <w:t>обичаји,</w:t>
            </w:r>
            <w:r>
              <w:rPr>
                <w:color w:val="231F20"/>
                <w:spacing w:val="-1"/>
                <w:sz w:val="14"/>
              </w:rPr>
              <w:t xml:space="preserve"> </w:t>
            </w:r>
            <w:r>
              <w:rPr>
                <w:color w:val="231F20"/>
                <w:sz w:val="14"/>
              </w:rPr>
              <w:t>празници.</w:t>
            </w:r>
          </w:p>
          <w:p w:rsidR="00041039" w:rsidRDefault="001B26CB">
            <w:pPr>
              <w:pStyle w:val="TableParagraph"/>
              <w:tabs>
                <w:tab w:val="left" w:pos="157"/>
              </w:tabs>
              <w:spacing w:line="165" w:lineRule="exact"/>
              <w:ind w:hanging="99"/>
              <w:rPr>
                <w:sz w:val="14"/>
              </w:rPr>
            </w:pPr>
            <w:r>
              <w:rPr>
                <w:color w:val="231F20"/>
                <w:sz w:val="14"/>
              </w:rPr>
              <w:t>Комуникативне</w:t>
            </w:r>
            <w:r>
              <w:rPr>
                <w:color w:val="231F20"/>
                <w:spacing w:val="-1"/>
                <w:sz w:val="14"/>
              </w:rPr>
              <w:t xml:space="preserve"> </w:t>
            </w:r>
            <w:r>
              <w:rPr>
                <w:color w:val="231F20"/>
                <w:sz w:val="14"/>
              </w:rPr>
              <w:t>функције:</w:t>
            </w:r>
          </w:p>
          <w:p w:rsidR="00041039" w:rsidRDefault="001B26CB">
            <w:pPr>
              <w:pStyle w:val="TableParagraph"/>
              <w:tabs>
                <w:tab w:val="left" w:pos="163"/>
              </w:tabs>
              <w:ind w:left="162" w:right="133" w:hanging="105"/>
              <w:rPr>
                <w:sz w:val="14"/>
              </w:rPr>
            </w:pPr>
            <w:r>
              <w:rPr>
                <w:color w:val="231F20"/>
                <w:sz w:val="14"/>
              </w:rPr>
              <w:t>исказивање расположења;</w:t>
            </w:r>
            <w:r>
              <w:rPr>
                <w:color w:val="231F20"/>
                <w:spacing w:val="-16"/>
                <w:sz w:val="14"/>
              </w:rPr>
              <w:t xml:space="preserve"> </w:t>
            </w:r>
            <w:r>
              <w:rPr>
                <w:color w:val="231F20"/>
                <w:sz w:val="14"/>
              </w:rPr>
              <w:t>допадања/недо­ падања;</w:t>
            </w:r>
          </w:p>
          <w:p w:rsidR="00041039" w:rsidRDefault="001B26CB">
            <w:pPr>
              <w:pStyle w:val="TableParagraph"/>
              <w:tabs>
                <w:tab w:val="left" w:pos="163"/>
              </w:tabs>
              <w:ind w:left="162" w:right="244" w:hanging="105"/>
              <w:rPr>
                <w:sz w:val="14"/>
              </w:rPr>
            </w:pPr>
            <w:r>
              <w:rPr>
                <w:color w:val="231F20"/>
                <w:sz w:val="14"/>
              </w:rPr>
              <w:t>предлагање и</w:t>
            </w:r>
            <w:r>
              <w:rPr>
                <w:color w:val="231F20"/>
                <w:spacing w:val="-17"/>
                <w:sz w:val="14"/>
              </w:rPr>
              <w:t xml:space="preserve"> </w:t>
            </w:r>
            <w:r>
              <w:rPr>
                <w:color w:val="231F20"/>
                <w:sz w:val="14"/>
              </w:rPr>
              <w:t>прихватање/неприхватање предлога:</w:t>
            </w:r>
          </w:p>
          <w:p w:rsidR="00041039" w:rsidRDefault="001B26CB">
            <w:pPr>
              <w:pStyle w:val="TableParagraph"/>
              <w:tabs>
                <w:tab w:val="left" w:pos="163"/>
              </w:tabs>
              <w:spacing w:line="154" w:lineRule="exact"/>
              <w:ind w:left="162" w:hanging="105"/>
              <w:rPr>
                <w:sz w:val="14"/>
              </w:rPr>
            </w:pPr>
            <w:r>
              <w:rPr>
                <w:color w:val="231F20"/>
                <w:sz w:val="14"/>
              </w:rPr>
              <w:t>честитање.</w:t>
            </w:r>
          </w:p>
          <w:p w:rsidR="00041039" w:rsidRDefault="001B26CB">
            <w:pPr>
              <w:pStyle w:val="TableParagraph"/>
              <w:tabs>
                <w:tab w:val="left" w:pos="157"/>
              </w:tabs>
              <w:spacing w:line="237" w:lineRule="auto"/>
              <w:ind w:right="187" w:hanging="99"/>
              <w:rPr>
                <w:sz w:val="14"/>
              </w:rPr>
            </w:pPr>
            <w:r>
              <w:rPr>
                <w:color w:val="231F20"/>
                <w:sz w:val="14"/>
              </w:rPr>
              <w:t>Проширивање језичке и лексичке грађе новим речима и фразеолошким</w:t>
            </w:r>
            <w:r>
              <w:rPr>
                <w:color w:val="231F20"/>
                <w:spacing w:val="-23"/>
                <w:sz w:val="14"/>
              </w:rPr>
              <w:t xml:space="preserve"> </w:t>
            </w:r>
            <w:r>
              <w:rPr>
                <w:color w:val="231F20"/>
                <w:sz w:val="14"/>
              </w:rPr>
              <w:t>изразима.</w:t>
            </w:r>
          </w:p>
          <w:p w:rsidR="00041039" w:rsidRDefault="001B26CB">
            <w:pPr>
              <w:pStyle w:val="TableParagraph"/>
              <w:tabs>
                <w:tab w:val="left" w:pos="157"/>
              </w:tabs>
              <w:spacing w:line="155"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tabs>
                <w:tab w:val="left" w:pos="157"/>
              </w:tabs>
              <w:spacing w:line="166"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val="restart"/>
          </w:tcPr>
          <w:p w:rsidR="00041039" w:rsidRDefault="001B26CB">
            <w:pPr>
              <w:pStyle w:val="TableParagraph"/>
              <w:spacing w:before="16"/>
              <w:ind w:left="58"/>
              <w:rPr>
                <w:b/>
                <w:sz w:val="14"/>
              </w:rPr>
            </w:pPr>
            <w:r>
              <w:rPr>
                <w:b/>
                <w:color w:val="231F20"/>
                <w:sz w:val="14"/>
              </w:rPr>
              <w:t>Препоруке за реализацију садр- жаја програма</w:t>
            </w:r>
          </w:p>
          <w:p w:rsidR="00041039" w:rsidRDefault="001B26CB">
            <w:pPr>
              <w:pStyle w:val="TableParagraph"/>
              <w:ind w:left="58" w:right="37"/>
              <w:rPr>
                <w:sz w:val="14"/>
              </w:rPr>
            </w:pPr>
            <w:r>
              <w:rPr>
                <w:color w:val="231F20"/>
                <w:sz w:val="14"/>
              </w:rPr>
              <w:t xml:space="preserve">Наставник треба да се упозна са садржајем програма предмета </w:t>
            </w:r>
            <w:r>
              <w:rPr>
                <w:i/>
                <w:color w:val="231F20"/>
                <w:sz w:val="14"/>
              </w:rPr>
              <w:t>срп- ски као нема</w:t>
            </w:r>
            <w:r>
              <w:rPr>
                <w:i/>
                <w:color w:val="231F20"/>
                <w:sz w:val="14"/>
              </w:rPr>
              <w:t xml:space="preserve">терњи језик </w:t>
            </w:r>
            <w:r>
              <w:rPr>
                <w:color w:val="231F20"/>
                <w:sz w:val="14"/>
              </w:rPr>
              <w:t xml:space="preserve">за први и други разред средње </w:t>
            </w:r>
            <w:r>
              <w:rPr>
                <w:color w:val="231F20"/>
                <w:spacing w:val="-3"/>
                <w:sz w:val="14"/>
              </w:rPr>
              <w:t xml:space="preserve">школе. </w:t>
            </w:r>
            <w:r>
              <w:rPr>
                <w:color w:val="231F20"/>
                <w:sz w:val="14"/>
              </w:rPr>
              <w:t>Осим овладавања садржајима предвиђе­ ним за овај разред у настави је неопходно обезбедити обнављање</w:t>
            </w:r>
            <w:r>
              <w:rPr>
                <w:color w:val="231F20"/>
                <w:spacing w:val="-19"/>
                <w:sz w:val="14"/>
              </w:rPr>
              <w:t xml:space="preserve"> </w:t>
            </w:r>
            <w:r>
              <w:rPr>
                <w:color w:val="231F20"/>
                <w:sz w:val="14"/>
              </w:rPr>
              <w:t xml:space="preserve">и утврђивање градива из претходних разреда </w:t>
            </w:r>
            <w:r>
              <w:rPr>
                <w:color w:val="231F20"/>
                <w:spacing w:val="-3"/>
                <w:sz w:val="14"/>
              </w:rPr>
              <w:t xml:space="preserve">како </w:t>
            </w:r>
            <w:r>
              <w:rPr>
                <w:color w:val="231F20"/>
                <w:sz w:val="14"/>
              </w:rPr>
              <w:t>би се спречило његово заборављање и учврстиле стечене навик</w:t>
            </w:r>
            <w:r>
              <w:rPr>
                <w:color w:val="231F20"/>
                <w:sz w:val="14"/>
              </w:rPr>
              <w:t xml:space="preserve">е, а ново градиво усвајало као природни наставак претходног и као део једног целовитог система. Настава </w:t>
            </w:r>
            <w:r>
              <w:rPr>
                <w:i/>
                <w:color w:val="231F20"/>
                <w:sz w:val="14"/>
              </w:rPr>
              <w:t xml:space="preserve">српског као нематерњег језика </w:t>
            </w:r>
            <w:r>
              <w:rPr>
                <w:color w:val="231F20"/>
                <w:sz w:val="14"/>
              </w:rPr>
              <w:t>не може бити</w:t>
            </w:r>
            <w:r>
              <w:rPr>
                <w:color w:val="231F20"/>
                <w:spacing w:val="-8"/>
                <w:sz w:val="14"/>
              </w:rPr>
              <w:t xml:space="preserve"> </w:t>
            </w:r>
            <w:r>
              <w:rPr>
                <w:color w:val="231F20"/>
                <w:sz w:val="14"/>
              </w:rPr>
              <w:t>једнообраз­</w:t>
            </w:r>
          </w:p>
          <w:p w:rsidR="00041039" w:rsidRDefault="001B26CB">
            <w:pPr>
              <w:pStyle w:val="TableParagraph"/>
              <w:spacing w:line="146" w:lineRule="exact"/>
              <w:ind w:left="58"/>
              <w:rPr>
                <w:sz w:val="14"/>
              </w:rPr>
            </w:pPr>
            <w:r>
              <w:rPr>
                <w:color w:val="231F20"/>
                <w:sz w:val="14"/>
              </w:rPr>
              <w:t>на и у њој се морају уважавати</w:t>
            </w:r>
          </w:p>
          <w:p w:rsidR="00041039" w:rsidRDefault="001B26CB">
            <w:pPr>
              <w:pStyle w:val="TableParagraph"/>
              <w:ind w:left="58" w:right="71"/>
              <w:rPr>
                <w:sz w:val="14"/>
              </w:rPr>
            </w:pPr>
            <w:r>
              <w:rPr>
                <w:color w:val="231F20"/>
                <w:sz w:val="14"/>
              </w:rPr>
              <w:t>различите могућности и потребе ученика различитих средина и различитих матерњих језика, При том се у наставу наглашено укљу­ чује принцип индивидуализације испровођење диференцираног рада на различитим нивоима ученичког знања.</w:t>
            </w:r>
          </w:p>
          <w:p w:rsidR="00041039" w:rsidRDefault="001B26CB">
            <w:pPr>
              <w:pStyle w:val="TableParagraph"/>
              <w:spacing w:line="237" w:lineRule="auto"/>
              <w:ind w:left="58" w:right="43"/>
              <w:rPr>
                <w:sz w:val="14"/>
              </w:rPr>
            </w:pPr>
            <w:r>
              <w:rPr>
                <w:color w:val="231F20"/>
                <w:sz w:val="14"/>
              </w:rPr>
              <w:t>С обзиром на то да је основни</w:t>
            </w:r>
            <w:r>
              <w:rPr>
                <w:color w:val="231F20"/>
                <w:sz w:val="14"/>
              </w:rPr>
              <w:t xml:space="preserve"> циљ 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ind w:left="58" w:right="40"/>
              <w:rPr>
                <w:sz w:val="14"/>
              </w:rPr>
            </w:pPr>
            <w:r>
              <w:rPr>
                <w:color w:val="231F20"/>
                <w:sz w:val="14"/>
              </w:rPr>
              <w:t>Настав</w:t>
            </w:r>
            <w:r>
              <w:rPr>
                <w:color w:val="231F20"/>
                <w:sz w:val="14"/>
              </w:rPr>
              <w:t>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 и у књижевним и другим текстов</w:t>
            </w:r>
            <w:r>
              <w:rPr>
                <w:color w:val="231F20"/>
                <w:sz w:val="14"/>
              </w:rPr>
              <w:t xml:space="preserve">има. 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 ким тако и садржајима из културе. Поред језичких, у пуној мери морају бити заступљени књижевни, уметнички, савремени садржаји и садржаји цивилизацијских тек</w:t>
            </w:r>
            <w:r>
              <w:rPr>
                <w:color w:val="231F20"/>
                <w:sz w:val="14"/>
              </w:rPr>
              <w:t xml:space="preserve">ови­ на. 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текстове и других функционалних стилова, аутенти­ чне </w:t>
            </w:r>
            <w:r>
              <w:rPr>
                <w:color w:val="231F20"/>
                <w:sz w:val="14"/>
              </w:rPr>
              <w:t>и конструисане, да би ученици стицали способност разликовања и адекватне примене одговарајућих форми изражавања.</w:t>
            </w:r>
          </w:p>
          <w:p w:rsidR="00041039" w:rsidRDefault="001B26CB">
            <w:pPr>
              <w:pStyle w:val="TableParagraph"/>
              <w:spacing w:line="133" w:lineRule="exact"/>
              <w:ind w:left="58"/>
              <w:rPr>
                <w:sz w:val="14"/>
              </w:rPr>
            </w:pPr>
            <w:r>
              <w:rPr>
                <w:color w:val="231F20"/>
                <w:sz w:val="14"/>
              </w:rPr>
              <w:t>Изузетну пажњу треба посветити</w:t>
            </w:r>
          </w:p>
          <w:p w:rsidR="00041039" w:rsidRDefault="001B26CB">
            <w:pPr>
              <w:pStyle w:val="TableParagraph"/>
              <w:ind w:left="58" w:right="7"/>
              <w:rPr>
                <w:sz w:val="14"/>
              </w:rPr>
            </w:pPr>
            <w:r>
              <w:rPr>
                <w:color w:val="231F20"/>
                <w:sz w:val="14"/>
              </w:rPr>
              <w:t>мотивацији ученика за рад органи­ зовањем различитих метода и обли­ ка рада и разноврсним лексичким, граматичким</w:t>
            </w:r>
            <w:r>
              <w:rPr>
                <w:color w:val="231F20"/>
                <w:sz w:val="14"/>
              </w:rPr>
              <w:t xml:space="preserve"> и комуникативним вежбама.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8" w:right="79"/>
              <w:rPr>
                <w:sz w:val="14"/>
              </w:rPr>
            </w:pPr>
            <w:r>
              <w:rPr>
                <w:color w:val="231F20"/>
                <w:sz w:val="14"/>
              </w:rPr>
              <w:t>Приликом интерпретације</w:t>
            </w:r>
            <w:r>
              <w:rPr>
                <w:color w:val="231F20"/>
                <w:spacing w:val="-20"/>
                <w:sz w:val="14"/>
              </w:rPr>
              <w:t xml:space="preserve"> </w:t>
            </w:r>
            <w:r>
              <w:rPr>
                <w:color w:val="231F20"/>
                <w:sz w:val="14"/>
              </w:rPr>
              <w:t xml:space="preserve">књижев­ ноуметничких текстова, указивати на особености књижевних родова </w:t>
            </w:r>
            <w:r>
              <w:rPr>
                <w:color w:val="231F20"/>
                <w:sz w:val="14"/>
              </w:rPr>
              <w:t>и врста као и на језичко­стилске одлике књижевних</w:t>
            </w:r>
            <w:r>
              <w:rPr>
                <w:color w:val="231F20"/>
                <w:spacing w:val="-2"/>
                <w:sz w:val="14"/>
              </w:rPr>
              <w:t xml:space="preserve"> </w:t>
            </w:r>
            <w:r>
              <w:rPr>
                <w:color w:val="231F20"/>
                <w:sz w:val="14"/>
              </w:rPr>
              <w:t>дела.</w:t>
            </w:r>
          </w:p>
          <w:p w:rsidR="00041039" w:rsidRDefault="001B26CB">
            <w:pPr>
              <w:pStyle w:val="TableParagraph"/>
              <w:ind w:left="58" w:right="308"/>
              <w:rPr>
                <w:sz w:val="14"/>
              </w:rPr>
            </w:pPr>
            <w:r>
              <w:rPr>
                <w:color w:val="231F20"/>
                <w:sz w:val="14"/>
              </w:rPr>
              <w:t>На примерима текстова српс­ ке књижевности обнављати и систематизовати садржаје из историје књижевности, теорије</w:t>
            </w:r>
          </w:p>
          <w:p w:rsidR="00041039" w:rsidRDefault="001B26CB">
            <w:pPr>
              <w:pStyle w:val="TableParagraph"/>
              <w:spacing w:line="237" w:lineRule="auto"/>
              <w:ind w:left="58"/>
              <w:rPr>
                <w:sz w:val="14"/>
              </w:rPr>
            </w:pPr>
            <w:r>
              <w:rPr>
                <w:color w:val="231F20"/>
                <w:sz w:val="14"/>
              </w:rPr>
              <w:t>књижевности и књижевне критике, које ученик познаје из програма прописаног за савладава</w:t>
            </w:r>
            <w:r>
              <w:rPr>
                <w:color w:val="231F20"/>
                <w:sz w:val="14"/>
              </w:rPr>
              <w:t>ње његовог матерњег језика.</w:t>
            </w:r>
          </w:p>
        </w:tc>
      </w:tr>
      <w:tr w:rsidR="00041039">
        <w:trPr>
          <w:trHeight w:val="10707"/>
        </w:trPr>
        <w:tc>
          <w:tcPr>
            <w:tcW w:w="1304" w:type="dxa"/>
          </w:tcPr>
          <w:p w:rsidR="00041039" w:rsidRDefault="001B26CB">
            <w:pPr>
              <w:pStyle w:val="TableParagraph"/>
              <w:spacing w:before="20"/>
              <w:ind w:left="56"/>
              <w:rPr>
                <w:sz w:val="14"/>
              </w:rPr>
            </w:pPr>
            <w:r>
              <w:rPr>
                <w:color w:val="231F20"/>
                <w:sz w:val="14"/>
              </w:rPr>
              <w:t>Књижевност</w:t>
            </w:r>
          </w:p>
        </w:tc>
        <w:tc>
          <w:tcPr>
            <w:tcW w:w="1587" w:type="dxa"/>
          </w:tcPr>
          <w:p w:rsidR="00041039" w:rsidRDefault="001B26CB">
            <w:pPr>
              <w:pStyle w:val="TableParagraph"/>
              <w:tabs>
                <w:tab w:val="left" w:pos="157"/>
              </w:tabs>
              <w:spacing w:before="10"/>
              <w:ind w:right="173" w:hanging="100"/>
              <w:rPr>
                <w:sz w:val="14"/>
              </w:rPr>
            </w:pPr>
            <w:r>
              <w:rPr>
                <w:color w:val="231F20"/>
                <w:sz w:val="14"/>
              </w:rPr>
              <w:t>Упознавање са значајним делима српске</w:t>
            </w:r>
            <w:r>
              <w:rPr>
                <w:color w:val="231F20"/>
                <w:spacing w:val="-3"/>
                <w:sz w:val="14"/>
              </w:rPr>
              <w:t xml:space="preserve"> </w:t>
            </w:r>
            <w:r>
              <w:rPr>
                <w:color w:val="231F20"/>
                <w:sz w:val="14"/>
              </w:rPr>
              <w:t>књижевности и њиховим најзна­ чајнијим одликама и особеностима.</w:t>
            </w:r>
          </w:p>
        </w:tc>
        <w:tc>
          <w:tcPr>
            <w:tcW w:w="2551" w:type="dxa"/>
          </w:tcPr>
          <w:p w:rsidR="00041039" w:rsidRDefault="001B26CB">
            <w:pPr>
              <w:pStyle w:val="TableParagraph"/>
              <w:tabs>
                <w:tab w:val="left" w:pos="157"/>
              </w:tabs>
              <w:spacing w:before="10"/>
              <w:ind w:right="146" w:hanging="99"/>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10"/>
                <w:sz w:val="14"/>
              </w:rPr>
              <w:t xml:space="preserve"> </w:t>
            </w:r>
            <w:r>
              <w:rPr>
                <w:color w:val="231F20"/>
                <w:sz w:val="14"/>
              </w:rPr>
              <w:t>текстова;</w:t>
            </w:r>
          </w:p>
          <w:p w:rsidR="00041039" w:rsidRDefault="001B26CB">
            <w:pPr>
              <w:pStyle w:val="TableParagraph"/>
              <w:tabs>
                <w:tab w:val="left" w:pos="157"/>
              </w:tabs>
              <w:spacing w:line="153" w:lineRule="exact"/>
              <w:ind w:hanging="99"/>
              <w:rPr>
                <w:sz w:val="14"/>
              </w:rPr>
            </w:pPr>
            <w:r>
              <w:rPr>
                <w:color w:val="231F20"/>
                <w:sz w:val="14"/>
              </w:rPr>
              <w:t>анализира идејне аспекте</w:t>
            </w:r>
            <w:r>
              <w:rPr>
                <w:color w:val="231F20"/>
                <w:spacing w:val="-5"/>
                <w:sz w:val="14"/>
              </w:rPr>
              <w:t xml:space="preserve"> </w:t>
            </w:r>
            <w:r>
              <w:rPr>
                <w:color w:val="231F20"/>
                <w:sz w:val="14"/>
              </w:rPr>
              <w:t>текста;</w:t>
            </w:r>
          </w:p>
          <w:p w:rsidR="00041039" w:rsidRDefault="001B26CB">
            <w:pPr>
              <w:pStyle w:val="TableParagraph"/>
              <w:tabs>
                <w:tab w:val="left" w:pos="157"/>
              </w:tabs>
              <w:spacing w:line="237" w:lineRule="auto"/>
              <w:ind w:right="69" w:hanging="99"/>
              <w:rPr>
                <w:sz w:val="14"/>
              </w:rPr>
            </w:pPr>
            <w:r>
              <w:rPr>
                <w:color w:val="231F20"/>
                <w:sz w:val="14"/>
              </w:rPr>
              <w:t xml:space="preserve">уочава основне интеграционе чиниоце интерпретације књижевноуметничког текста </w:t>
            </w:r>
            <w:r>
              <w:rPr>
                <w:color w:val="231F20"/>
                <w:spacing w:val="-3"/>
                <w:sz w:val="14"/>
              </w:rPr>
              <w:t xml:space="preserve">(тему, </w:t>
            </w:r>
            <w:r>
              <w:rPr>
                <w:color w:val="231F20"/>
                <w:sz w:val="14"/>
              </w:rPr>
              <w:t xml:space="preserve">мотиве, песничке слике, типове јунака, </w:t>
            </w:r>
            <w:r>
              <w:rPr>
                <w:color w:val="231F20"/>
                <w:spacing w:val="-3"/>
                <w:sz w:val="14"/>
              </w:rPr>
              <w:t xml:space="preserve">структуру, композицију, </w:t>
            </w:r>
            <w:r>
              <w:rPr>
                <w:color w:val="231F20"/>
                <w:sz w:val="14"/>
              </w:rPr>
              <w:t>облике казивања, језичко­стилске карактеристике...);</w:t>
            </w:r>
          </w:p>
        </w:tc>
        <w:tc>
          <w:tcPr>
            <w:tcW w:w="2834" w:type="dxa"/>
          </w:tcPr>
          <w:p w:rsidR="00041039" w:rsidRDefault="001B26CB">
            <w:pPr>
              <w:pStyle w:val="TableParagraph"/>
              <w:spacing w:before="20" w:line="155" w:lineRule="exact"/>
              <w:ind w:left="57"/>
              <w:rPr>
                <w:sz w:val="14"/>
              </w:rPr>
            </w:pPr>
            <w:r>
              <w:rPr>
                <w:color w:val="231F20"/>
                <w:sz w:val="14"/>
              </w:rPr>
              <w:t>ОБАВЕЗНИ:</w:t>
            </w:r>
          </w:p>
          <w:p w:rsidR="00041039" w:rsidRDefault="001B26CB">
            <w:pPr>
              <w:pStyle w:val="TableParagraph"/>
              <w:tabs>
                <w:tab w:val="left" w:pos="157"/>
              </w:tabs>
              <w:spacing w:line="160" w:lineRule="exact"/>
              <w:ind w:hanging="99"/>
              <w:rPr>
                <w:sz w:val="14"/>
              </w:rPr>
            </w:pPr>
            <w:r>
              <w:rPr>
                <w:color w:val="231F20"/>
                <w:sz w:val="14"/>
              </w:rPr>
              <w:t>„Бановић</w:t>
            </w:r>
            <w:r>
              <w:rPr>
                <w:color w:val="231F20"/>
                <w:spacing w:val="-1"/>
                <w:sz w:val="14"/>
              </w:rPr>
              <w:t xml:space="preserve"> </w:t>
            </w:r>
            <w:r>
              <w:rPr>
                <w:color w:val="231F20"/>
                <w:sz w:val="14"/>
              </w:rPr>
              <w:t>Страхиња”.</w:t>
            </w:r>
          </w:p>
          <w:p w:rsidR="00041039" w:rsidRDefault="001B26CB">
            <w:pPr>
              <w:pStyle w:val="TableParagraph"/>
              <w:tabs>
                <w:tab w:val="left" w:pos="157"/>
              </w:tabs>
              <w:spacing w:line="160" w:lineRule="exact"/>
              <w:ind w:hanging="99"/>
              <w:rPr>
                <w:sz w:val="14"/>
              </w:rPr>
            </w:pPr>
            <w:r>
              <w:rPr>
                <w:color w:val="231F20"/>
                <w:sz w:val="14"/>
              </w:rPr>
              <w:t>„Немушти</w:t>
            </w:r>
            <w:r>
              <w:rPr>
                <w:color w:val="231F20"/>
                <w:spacing w:val="-1"/>
                <w:sz w:val="14"/>
              </w:rPr>
              <w:t xml:space="preserve"> </w:t>
            </w:r>
            <w:r>
              <w:rPr>
                <w:color w:val="231F20"/>
                <w:sz w:val="14"/>
              </w:rPr>
              <w:t>језик”.</w:t>
            </w:r>
          </w:p>
          <w:p w:rsidR="00041039" w:rsidRDefault="001B26CB">
            <w:pPr>
              <w:pStyle w:val="TableParagraph"/>
              <w:tabs>
                <w:tab w:val="left" w:pos="157"/>
              </w:tabs>
              <w:spacing w:line="160" w:lineRule="exact"/>
              <w:ind w:hanging="99"/>
              <w:rPr>
                <w:sz w:val="14"/>
              </w:rPr>
            </w:pPr>
            <w:r>
              <w:rPr>
                <w:color w:val="231F20"/>
                <w:sz w:val="14"/>
              </w:rPr>
              <w:t>Милан Ракић: „Искрена</w:t>
            </w:r>
            <w:r>
              <w:rPr>
                <w:color w:val="231F20"/>
                <w:spacing w:val="-3"/>
                <w:sz w:val="14"/>
              </w:rPr>
              <w:t xml:space="preserve"> </w:t>
            </w:r>
            <w:r>
              <w:rPr>
                <w:color w:val="231F20"/>
                <w:sz w:val="14"/>
              </w:rPr>
              <w:t>песма”.</w:t>
            </w:r>
          </w:p>
          <w:p w:rsidR="00041039" w:rsidRDefault="001B26CB">
            <w:pPr>
              <w:pStyle w:val="TableParagraph"/>
              <w:tabs>
                <w:tab w:val="left" w:pos="157"/>
              </w:tabs>
              <w:spacing w:line="160" w:lineRule="exact"/>
              <w:ind w:hanging="99"/>
              <w:rPr>
                <w:sz w:val="14"/>
              </w:rPr>
            </w:pPr>
            <w:r>
              <w:rPr>
                <w:color w:val="231F20"/>
                <w:sz w:val="14"/>
              </w:rPr>
              <w:t>Милош Црњански: ,,Прича” или</w:t>
            </w:r>
            <w:r>
              <w:rPr>
                <w:color w:val="231F20"/>
                <w:spacing w:val="-12"/>
                <w:sz w:val="14"/>
              </w:rPr>
              <w:t xml:space="preserve"> </w:t>
            </w:r>
            <w:r>
              <w:rPr>
                <w:color w:val="231F20"/>
                <w:sz w:val="14"/>
              </w:rPr>
              <w:t>,,Живот”.</w:t>
            </w:r>
          </w:p>
          <w:p w:rsidR="00041039" w:rsidRDefault="001B26CB">
            <w:pPr>
              <w:pStyle w:val="TableParagraph"/>
              <w:tabs>
                <w:tab w:val="left" w:pos="157"/>
              </w:tabs>
              <w:spacing w:line="237" w:lineRule="auto"/>
              <w:ind w:right="102" w:hanging="99"/>
              <w:rPr>
                <w:sz w:val="14"/>
              </w:rPr>
            </w:pPr>
            <w:r>
              <w:rPr>
                <w:color w:val="231F20"/>
                <w:sz w:val="14"/>
              </w:rPr>
              <w:t>Момо</w:t>
            </w:r>
            <w:r>
              <w:rPr>
                <w:color w:val="231F20"/>
                <w:spacing w:val="-6"/>
                <w:sz w:val="14"/>
              </w:rPr>
              <w:t xml:space="preserve"> </w:t>
            </w:r>
            <w:r>
              <w:rPr>
                <w:color w:val="231F20"/>
                <w:sz w:val="14"/>
              </w:rPr>
              <w:t>Капор:</w:t>
            </w:r>
            <w:r>
              <w:rPr>
                <w:color w:val="231F20"/>
                <w:spacing w:val="-7"/>
                <w:sz w:val="14"/>
              </w:rPr>
              <w:t xml:space="preserve"> </w:t>
            </w:r>
            <w:r>
              <w:rPr>
                <w:color w:val="231F20"/>
                <w:sz w:val="14"/>
              </w:rPr>
              <w:t>„Белешке</w:t>
            </w:r>
            <w:r>
              <w:rPr>
                <w:color w:val="231F20"/>
                <w:spacing w:val="-6"/>
                <w:sz w:val="14"/>
              </w:rPr>
              <w:t xml:space="preserve"> </w:t>
            </w:r>
            <w:r>
              <w:rPr>
                <w:color w:val="231F20"/>
                <w:sz w:val="14"/>
              </w:rPr>
              <w:t>једне</w:t>
            </w:r>
            <w:r>
              <w:rPr>
                <w:color w:val="231F20"/>
                <w:spacing w:val="-6"/>
                <w:sz w:val="14"/>
              </w:rPr>
              <w:t xml:space="preserve"> </w:t>
            </w:r>
            <w:r>
              <w:rPr>
                <w:color w:val="231F20"/>
                <w:sz w:val="14"/>
              </w:rPr>
              <w:t>Ане”</w:t>
            </w:r>
            <w:r>
              <w:rPr>
                <w:color w:val="231F20"/>
                <w:spacing w:val="-7"/>
                <w:sz w:val="14"/>
              </w:rPr>
              <w:t xml:space="preserve"> </w:t>
            </w:r>
            <w:r>
              <w:rPr>
                <w:color w:val="231F20"/>
                <w:sz w:val="14"/>
              </w:rPr>
              <w:t>(одлом­ ци из 1., 9. и 12.</w:t>
            </w:r>
            <w:r>
              <w:rPr>
                <w:color w:val="231F20"/>
                <w:spacing w:val="-5"/>
                <w:sz w:val="14"/>
              </w:rPr>
              <w:t xml:space="preserve"> </w:t>
            </w:r>
            <w:r>
              <w:rPr>
                <w:color w:val="231F20"/>
                <w:sz w:val="14"/>
              </w:rPr>
              <w:t>главе).</w:t>
            </w:r>
          </w:p>
          <w:p w:rsidR="00041039" w:rsidRDefault="001B26CB">
            <w:pPr>
              <w:pStyle w:val="TableParagraph"/>
              <w:tabs>
                <w:tab w:val="left" w:pos="157"/>
              </w:tabs>
              <w:spacing w:line="155" w:lineRule="exact"/>
              <w:ind w:hanging="99"/>
              <w:rPr>
                <w:sz w:val="14"/>
              </w:rPr>
            </w:pPr>
            <w:r>
              <w:rPr>
                <w:color w:val="231F20"/>
                <w:sz w:val="14"/>
              </w:rPr>
              <w:t>Лаза Лазаревић: ,,Ветар”</w:t>
            </w:r>
            <w:r>
              <w:rPr>
                <w:color w:val="231F20"/>
                <w:spacing w:val="-6"/>
                <w:sz w:val="14"/>
              </w:rPr>
              <w:t xml:space="preserve"> </w:t>
            </w:r>
            <w:r>
              <w:rPr>
                <w:color w:val="231F20"/>
                <w:sz w:val="14"/>
              </w:rPr>
              <w:t>(одломак).</w:t>
            </w:r>
          </w:p>
          <w:p w:rsidR="00041039" w:rsidRDefault="001B26CB">
            <w:pPr>
              <w:pStyle w:val="TableParagraph"/>
              <w:tabs>
                <w:tab w:val="left" w:pos="157"/>
              </w:tabs>
              <w:spacing w:line="237" w:lineRule="auto"/>
              <w:ind w:right="43" w:hanging="99"/>
              <w:rPr>
                <w:sz w:val="14"/>
              </w:rPr>
            </w:pPr>
            <w:r>
              <w:rPr>
                <w:color w:val="231F20"/>
                <w:sz w:val="14"/>
              </w:rPr>
              <w:t>Александар Поповић: „Путујуће</w:t>
            </w:r>
            <w:r>
              <w:rPr>
                <w:color w:val="231F20"/>
                <w:spacing w:val="-18"/>
                <w:sz w:val="14"/>
              </w:rPr>
              <w:t xml:space="preserve"> </w:t>
            </w:r>
            <w:r>
              <w:rPr>
                <w:color w:val="231F20"/>
                <w:sz w:val="14"/>
              </w:rPr>
              <w:t>позориште Шопаловић” (VII слика Видова трава или Шишањ</w:t>
            </w:r>
            <w:r>
              <w:rPr>
                <w:color w:val="231F20"/>
                <w:sz w:val="14"/>
              </w:rPr>
              <w:t>е Софије ­ док Дробац не изађе са сцене).</w:t>
            </w:r>
          </w:p>
          <w:p w:rsidR="00041039" w:rsidRDefault="001B26CB">
            <w:pPr>
              <w:pStyle w:val="TableParagraph"/>
              <w:spacing w:line="155" w:lineRule="exact"/>
              <w:ind w:left="57"/>
              <w:rPr>
                <w:sz w:val="14"/>
              </w:rPr>
            </w:pPr>
            <w:r>
              <w:rPr>
                <w:color w:val="231F20"/>
                <w:sz w:val="14"/>
              </w:rPr>
              <w:t>ИЗБОРНИ:</w:t>
            </w:r>
          </w:p>
          <w:p w:rsidR="00041039" w:rsidRDefault="001B26CB">
            <w:pPr>
              <w:pStyle w:val="TableParagraph"/>
              <w:tabs>
                <w:tab w:val="left" w:pos="157"/>
              </w:tabs>
              <w:spacing w:line="160" w:lineRule="exact"/>
              <w:ind w:hanging="99"/>
              <w:rPr>
                <w:sz w:val="14"/>
              </w:rPr>
            </w:pPr>
            <w:r>
              <w:rPr>
                <w:color w:val="231F20"/>
                <w:sz w:val="14"/>
              </w:rPr>
              <w:t>Иво Андрић: „Ex ponto”</w:t>
            </w:r>
            <w:r>
              <w:rPr>
                <w:color w:val="231F20"/>
                <w:spacing w:val="-5"/>
                <w:sz w:val="14"/>
              </w:rPr>
              <w:t xml:space="preserve"> </w:t>
            </w:r>
            <w:r>
              <w:rPr>
                <w:color w:val="231F20"/>
                <w:sz w:val="14"/>
              </w:rPr>
              <w:t>(одломак).</w:t>
            </w:r>
          </w:p>
          <w:p w:rsidR="00041039" w:rsidRDefault="001B26CB">
            <w:pPr>
              <w:pStyle w:val="TableParagraph"/>
              <w:tabs>
                <w:tab w:val="left" w:pos="157"/>
              </w:tabs>
              <w:spacing w:line="237" w:lineRule="auto"/>
              <w:ind w:right="197" w:hanging="99"/>
              <w:rPr>
                <w:sz w:val="14"/>
              </w:rPr>
            </w:pPr>
            <w:r>
              <w:rPr>
                <w:color w:val="231F20"/>
                <w:sz w:val="14"/>
              </w:rPr>
              <w:t xml:space="preserve">Милован Витезовић: „Шешир професора Косте Вујића” (одломак у </w:t>
            </w:r>
            <w:r>
              <w:rPr>
                <w:color w:val="231F20"/>
                <w:spacing w:val="-3"/>
                <w:sz w:val="14"/>
              </w:rPr>
              <w:t xml:space="preserve">коме </w:t>
            </w:r>
            <w:r>
              <w:rPr>
                <w:color w:val="231F20"/>
                <w:sz w:val="14"/>
              </w:rPr>
              <w:t xml:space="preserve">се Коста Вујић </w:t>
            </w:r>
            <w:r>
              <w:rPr>
                <w:color w:val="231F20"/>
                <w:spacing w:val="-3"/>
                <w:sz w:val="14"/>
              </w:rPr>
              <w:t xml:space="preserve">суди </w:t>
            </w:r>
            <w:r>
              <w:rPr>
                <w:color w:val="231F20"/>
                <w:sz w:val="14"/>
              </w:rPr>
              <w:t>са</w:t>
            </w:r>
            <w:r>
              <w:rPr>
                <w:color w:val="231F20"/>
                <w:spacing w:val="2"/>
                <w:sz w:val="14"/>
              </w:rPr>
              <w:t xml:space="preserve"> </w:t>
            </w:r>
            <w:r>
              <w:rPr>
                <w:color w:val="231F20"/>
                <w:sz w:val="14"/>
              </w:rPr>
              <w:t>каменоресцем).</w:t>
            </w:r>
          </w:p>
          <w:p w:rsidR="00041039" w:rsidRDefault="001B26CB">
            <w:pPr>
              <w:pStyle w:val="TableParagraph"/>
              <w:tabs>
                <w:tab w:val="left" w:pos="157"/>
              </w:tabs>
              <w:spacing w:line="237" w:lineRule="auto"/>
              <w:ind w:right="375" w:hanging="99"/>
              <w:rPr>
                <w:sz w:val="14"/>
              </w:rPr>
            </w:pPr>
            <w:r>
              <w:rPr>
                <w:color w:val="231F20"/>
                <w:sz w:val="14"/>
              </w:rPr>
              <w:t>Бора Станковић: приповетка „У</w:t>
            </w:r>
            <w:r>
              <w:rPr>
                <w:color w:val="231F20"/>
                <w:spacing w:val="-24"/>
                <w:sz w:val="14"/>
              </w:rPr>
              <w:t xml:space="preserve"> </w:t>
            </w:r>
            <w:r>
              <w:rPr>
                <w:color w:val="231F20"/>
                <w:sz w:val="14"/>
              </w:rPr>
              <w:t>ноћи” (одломак).</w:t>
            </w:r>
          </w:p>
          <w:p w:rsidR="00041039" w:rsidRDefault="001B26CB">
            <w:pPr>
              <w:pStyle w:val="TableParagraph"/>
              <w:tabs>
                <w:tab w:val="left" w:pos="157"/>
              </w:tabs>
              <w:spacing w:line="155" w:lineRule="exact"/>
              <w:ind w:hanging="99"/>
              <w:rPr>
                <w:sz w:val="14"/>
              </w:rPr>
            </w:pPr>
            <w:r>
              <w:rPr>
                <w:color w:val="231F20"/>
                <w:sz w:val="14"/>
              </w:rPr>
              <w:t>Текстови</w:t>
            </w:r>
            <w:r>
              <w:rPr>
                <w:color w:val="231F20"/>
                <w:spacing w:val="-1"/>
                <w:sz w:val="14"/>
              </w:rPr>
              <w:t xml:space="preserve"> </w:t>
            </w:r>
            <w:r>
              <w:rPr>
                <w:color w:val="231F20"/>
                <w:sz w:val="14"/>
              </w:rPr>
              <w:t>Шумановићу.</w:t>
            </w:r>
          </w:p>
          <w:p w:rsidR="00041039" w:rsidRDefault="001B26CB">
            <w:pPr>
              <w:pStyle w:val="TableParagraph"/>
              <w:tabs>
                <w:tab w:val="left" w:pos="157"/>
              </w:tabs>
              <w:spacing w:line="160" w:lineRule="exact"/>
              <w:ind w:hanging="99"/>
              <w:rPr>
                <w:sz w:val="14"/>
              </w:rPr>
            </w:pPr>
            <w:r>
              <w:rPr>
                <w:color w:val="231F20"/>
                <w:sz w:val="14"/>
              </w:rPr>
              <w:t>Избор текстова песама које се</w:t>
            </w:r>
            <w:r>
              <w:rPr>
                <w:color w:val="231F20"/>
                <w:spacing w:val="-5"/>
                <w:sz w:val="14"/>
              </w:rPr>
              <w:t xml:space="preserve"> </w:t>
            </w:r>
            <w:r>
              <w:rPr>
                <w:color w:val="231F20"/>
                <w:spacing w:val="-3"/>
                <w:sz w:val="14"/>
              </w:rPr>
              <w:t>певају.</w:t>
            </w:r>
          </w:p>
          <w:p w:rsidR="00041039" w:rsidRDefault="001B26CB">
            <w:pPr>
              <w:pStyle w:val="TableParagraph"/>
              <w:tabs>
                <w:tab w:val="left" w:pos="157"/>
              </w:tabs>
              <w:spacing w:line="237" w:lineRule="auto"/>
              <w:ind w:right="148" w:hanging="99"/>
              <w:rPr>
                <w:sz w:val="14"/>
              </w:rPr>
            </w:pPr>
            <w:r>
              <w:rPr>
                <w:color w:val="231F20"/>
                <w:sz w:val="14"/>
              </w:rPr>
              <w:t>Текст из функционалне стилистике:</w:t>
            </w:r>
            <w:r>
              <w:rPr>
                <w:color w:val="231F20"/>
                <w:spacing w:val="-22"/>
                <w:sz w:val="14"/>
              </w:rPr>
              <w:t xml:space="preserve"> </w:t>
            </w:r>
            <w:r>
              <w:rPr>
                <w:color w:val="231F20"/>
                <w:sz w:val="14"/>
              </w:rPr>
              <w:t>адми­ нистративно правни</w:t>
            </w:r>
            <w:r>
              <w:rPr>
                <w:color w:val="231F20"/>
                <w:spacing w:val="-2"/>
                <w:sz w:val="14"/>
              </w:rPr>
              <w:t xml:space="preserve"> </w:t>
            </w:r>
            <w:r>
              <w:rPr>
                <w:color w:val="231F20"/>
                <w:sz w:val="14"/>
              </w:rPr>
              <w:t>стил.</w:t>
            </w:r>
          </w:p>
          <w:p w:rsidR="00041039" w:rsidRDefault="001B26CB">
            <w:pPr>
              <w:pStyle w:val="TableParagraph"/>
              <w:tabs>
                <w:tab w:val="left" w:pos="157"/>
              </w:tabs>
              <w:spacing w:line="160" w:lineRule="exact"/>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spacing w:line="158" w:lineRule="exact"/>
              <w:ind w:left="57"/>
              <w:rPr>
                <w:b/>
                <w:sz w:val="14"/>
              </w:rPr>
            </w:pPr>
            <w:r>
              <w:rPr>
                <w:b/>
                <w:color w:val="231F20"/>
                <w:sz w:val="14"/>
              </w:rPr>
              <w:t>(Треба обрадити два дела.)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tabs>
                <w:tab w:val="left" w:pos="157"/>
              </w:tabs>
              <w:spacing w:before="8"/>
              <w:ind w:right="188" w:hanging="100"/>
              <w:rPr>
                <w:sz w:val="14"/>
              </w:rPr>
            </w:pPr>
            <w:r>
              <w:rPr>
                <w:color w:val="231F20"/>
                <w:sz w:val="14"/>
              </w:rPr>
              <w:t>Оспособљавање ученика за</w:t>
            </w:r>
            <w:r>
              <w:rPr>
                <w:color w:val="231F20"/>
                <w:spacing w:val="-12"/>
                <w:sz w:val="14"/>
              </w:rPr>
              <w:t xml:space="preserve"> </w:t>
            </w:r>
            <w:r>
              <w:rPr>
                <w:color w:val="231F20"/>
                <w:sz w:val="14"/>
              </w:rPr>
              <w:t>правилно акцентовање речи и реченица.</w:t>
            </w:r>
          </w:p>
          <w:p w:rsidR="00041039" w:rsidRDefault="001B26CB">
            <w:pPr>
              <w:pStyle w:val="TableParagraph"/>
              <w:tabs>
                <w:tab w:val="left" w:pos="157"/>
              </w:tabs>
              <w:spacing w:line="156" w:lineRule="exact"/>
              <w:ind w:hanging="100"/>
              <w:rPr>
                <w:sz w:val="14"/>
              </w:rPr>
            </w:pPr>
            <w:r>
              <w:rPr>
                <w:color w:val="231F20"/>
                <w:sz w:val="14"/>
              </w:rPr>
              <w:t>Оспособљавање</w:t>
            </w:r>
            <w:r>
              <w:rPr>
                <w:color w:val="231F20"/>
                <w:spacing w:val="-1"/>
                <w:sz w:val="14"/>
              </w:rPr>
              <w:t xml:space="preserve"> </w:t>
            </w:r>
            <w:r>
              <w:rPr>
                <w:color w:val="231F20"/>
                <w:sz w:val="14"/>
              </w:rPr>
              <w:t>уче­</w:t>
            </w:r>
          </w:p>
          <w:p w:rsidR="00041039" w:rsidRDefault="001B26CB">
            <w:pPr>
              <w:pStyle w:val="TableParagraph"/>
              <w:ind w:right="158"/>
              <w:jc w:val="both"/>
              <w:rPr>
                <w:sz w:val="14"/>
              </w:rPr>
            </w:pPr>
            <w:r>
              <w:rPr>
                <w:color w:val="231F20"/>
                <w:sz w:val="14"/>
              </w:rPr>
              <w:t>никаза објашњавање и примену</w:t>
            </w:r>
            <w:r>
              <w:rPr>
                <w:color w:val="231F20"/>
                <w:spacing w:val="-20"/>
                <w:sz w:val="14"/>
              </w:rPr>
              <w:t xml:space="preserve"> </w:t>
            </w:r>
            <w:r>
              <w:rPr>
                <w:color w:val="231F20"/>
                <w:sz w:val="14"/>
              </w:rPr>
              <w:t>гласовних промена.</w:t>
            </w:r>
          </w:p>
        </w:tc>
        <w:tc>
          <w:tcPr>
            <w:tcW w:w="2551" w:type="dxa"/>
          </w:tcPr>
          <w:p w:rsidR="00041039" w:rsidRDefault="001B26CB">
            <w:pPr>
              <w:pStyle w:val="TableParagraph"/>
              <w:tabs>
                <w:tab w:val="left" w:pos="157"/>
              </w:tabs>
              <w:spacing w:before="8"/>
              <w:ind w:right="152" w:hanging="99"/>
              <w:rPr>
                <w:sz w:val="14"/>
              </w:rPr>
            </w:pPr>
            <w:r>
              <w:rPr>
                <w:color w:val="231F20"/>
                <w:sz w:val="14"/>
              </w:rPr>
              <w:t>примењује основна правила акценто­ вања речи и</w:t>
            </w:r>
            <w:r>
              <w:rPr>
                <w:color w:val="231F20"/>
                <w:spacing w:val="-3"/>
                <w:sz w:val="14"/>
              </w:rPr>
              <w:t xml:space="preserve"> </w:t>
            </w:r>
            <w:r>
              <w:rPr>
                <w:color w:val="231F20"/>
                <w:sz w:val="14"/>
              </w:rPr>
              <w:t>реченица;</w:t>
            </w:r>
          </w:p>
          <w:p w:rsidR="00041039" w:rsidRDefault="001B26CB">
            <w:pPr>
              <w:pStyle w:val="TableParagraph"/>
              <w:tabs>
                <w:tab w:val="left" w:pos="157"/>
              </w:tabs>
              <w:spacing w:line="160" w:lineRule="exact"/>
              <w:ind w:right="241" w:hanging="99"/>
              <w:rPr>
                <w:sz w:val="14"/>
              </w:rPr>
            </w:pPr>
            <w:r>
              <w:rPr>
                <w:color w:val="231F20"/>
                <w:sz w:val="14"/>
              </w:rPr>
              <w:t>препознаје акценатске целине и разликује акцентоване и</w:t>
            </w:r>
            <w:r>
              <w:rPr>
                <w:color w:val="231F20"/>
                <w:spacing w:val="-9"/>
                <w:sz w:val="14"/>
              </w:rPr>
              <w:t xml:space="preserve"> </w:t>
            </w:r>
            <w:r>
              <w:rPr>
                <w:color w:val="231F20"/>
                <w:sz w:val="14"/>
              </w:rPr>
              <w:t>неакценто­ ване</w:t>
            </w:r>
            <w:r>
              <w:rPr>
                <w:color w:val="231F20"/>
                <w:spacing w:val="-1"/>
                <w:sz w:val="14"/>
              </w:rPr>
              <w:t xml:space="preserve"> </w:t>
            </w:r>
            <w:r>
              <w:rPr>
                <w:color w:val="231F20"/>
                <w:sz w:val="14"/>
              </w:rPr>
              <w:t>речи;</w:t>
            </w:r>
          </w:p>
          <w:p w:rsidR="00041039" w:rsidRDefault="001B26CB">
            <w:pPr>
              <w:pStyle w:val="TableParagraph"/>
              <w:tabs>
                <w:tab w:val="left" w:pos="157"/>
              </w:tabs>
              <w:spacing w:line="160"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tabs>
                <w:tab w:val="left" w:pos="157"/>
              </w:tabs>
              <w:spacing w:before="8"/>
              <w:ind w:right="68" w:hanging="99"/>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val="restart"/>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w:t>
            </w:r>
            <w:r>
              <w:rPr>
                <w:color w:val="231F20"/>
                <w:sz w:val="14"/>
              </w:rPr>
              <w:t>з следеће облике наставе:</w:t>
            </w:r>
          </w:p>
          <w:p w:rsidR="00041039" w:rsidRDefault="001B26CB">
            <w:pPr>
              <w:pStyle w:val="TableParagraph"/>
              <w:tabs>
                <w:tab w:val="left" w:pos="158"/>
              </w:tabs>
              <w:spacing w:before="1" w:line="160" w:lineRule="exact"/>
              <w:ind w:left="157" w:right="121" w:hanging="99"/>
              <w:rPr>
                <w:b/>
                <w:sz w:val="14"/>
              </w:rPr>
            </w:pPr>
            <w:r>
              <w:rPr>
                <w:color w:val="231F20"/>
                <w:sz w:val="14"/>
              </w:rPr>
              <w:t>теоријска настава са вежбама</w:t>
            </w:r>
            <w:r>
              <w:rPr>
                <w:color w:val="231F20"/>
                <w:spacing w:val="-10"/>
                <w:sz w:val="14"/>
              </w:rPr>
              <w:t xml:space="preserve"> </w:t>
            </w:r>
            <w:r>
              <w:rPr>
                <w:b/>
                <w:color w:val="231F20"/>
                <w:sz w:val="14"/>
              </w:rPr>
              <w:t>(64 часа)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166" w:lineRule="exact"/>
              <w:ind w:left="157"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4"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6"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tabs>
                <w:tab w:val="left" w:pos="158"/>
              </w:tabs>
              <w:spacing w:line="160" w:lineRule="exact"/>
              <w:ind w:left="157" w:hanging="99"/>
              <w:rPr>
                <w:b/>
                <w:sz w:val="14"/>
              </w:rPr>
            </w:pPr>
            <w:r>
              <w:rPr>
                <w:color w:val="231F20"/>
                <w:sz w:val="14"/>
              </w:rPr>
              <w:t xml:space="preserve">фонетика </w:t>
            </w:r>
            <w:r>
              <w:rPr>
                <w:b/>
                <w:color w:val="231F20"/>
                <w:sz w:val="14"/>
              </w:rPr>
              <w:t>(7</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морфологија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творба речи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tabs>
                <w:tab w:val="left" w:pos="158"/>
              </w:tabs>
              <w:spacing w:line="160" w:lineRule="exact"/>
              <w:ind w:left="157" w:hanging="99"/>
              <w:rPr>
                <w:b/>
                <w:sz w:val="14"/>
              </w:rPr>
            </w:pPr>
            <w:r>
              <w:rPr>
                <w:color w:val="231F20"/>
                <w:sz w:val="14"/>
              </w:rPr>
              <w:t xml:space="preserve">синтакса </w:t>
            </w:r>
            <w:r>
              <w:rPr>
                <w:b/>
                <w:color w:val="231F20"/>
                <w:sz w:val="14"/>
              </w:rPr>
              <w:t>(9</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sz w:val="14"/>
              </w:rPr>
            </w:pPr>
            <w:r>
              <w:rPr>
                <w:color w:val="231F20"/>
                <w:sz w:val="14"/>
              </w:rPr>
              <w:t xml:space="preserve">правопис </w:t>
            </w:r>
            <w:r>
              <w:rPr>
                <w:b/>
                <w:color w:val="231F20"/>
                <w:sz w:val="14"/>
              </w:rPr>
              <w:t>(5</w:t>
            </w:r>
            <w:r>
              <w:rPr>
                <w:b/>
                <w:color w:val="231F20"/>
                <w:spacing w:val="-2"/>
                <w:sz w:val="14"/>
              </w:rPr>
              <w:t xml:space="preserve"> </w:t>
            </w:r>
            <w:r>
              <w:rPr>
                <w:b/>
                <w:color w:val="231F20"/>
                <w:sz w:val="14"/>
              </w:rPr>
              <w:t>часова)</w:t>
            </w:r>
            <w:r>
              <w:rPr>
                <w:color w:val="231F20"/>
                <w:sz w:val="14"/>
              </w:rPr>
              <w:t>,</w:t>
            </w:r>
          </w:p>
          <w:p w:rsidR="00041039" w:rsidRDefault="001B26CB">
            <w:pPr>
              <w:pStyle w:val="TableParagraph"/>
              <w:tabs>
                <w:tab w:val="left" w:pos="158"/>
              </w:tabs>
              <w:spacing w:line="160" w:lineRule="exact"/>
              <w:ind w:left="157" w:hanging="99"/>
              <w:rPr>
                <w:b/>
                <w:sz w:val="14"/>
              </w:rPr>
            </w:pPr>
            <w:r>
              <w:rPr>
                <w:color w:val="231F20"/>
                <w:sz w:val="14"/>
              </w:rPr>
              <w:t xml:space="preserve">култура изражавања </w:t>
            </w:r>
            <w:r>
              <w:rPr>
                <w:b/>
                <w:color w:val="231F20"/>
                <w:sz w:val="14"/>
              </w:rPr>
              <w:t>(15</w:t>
            </w:r>
            <w:r>
              <w:rPr>
                <w:b/>
                <w:color w:val="231F20"/>
                <w:spacing w:val="-10"/>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z w:val="14"/>
              </w:rPr>
              <w:t xml:space="preserve">књижевност </w:t>
            </w:r>
            <w:r>
              <w:rPr>
                <w:b/>
                <w:color w:val="231F20"/>
                <w:sz w:val="14"/>
              </w:rPr>
              <w:t>(15</w:t>
            </w:r>
            <w:r>
              <w:rPr>
                <w:b/>
                <w:color w:val="231F20"/>
                <w:spacing w:val="-2"/>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ind w:left="58" w:right="32"/>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нематерњијезик </w:t>
            </w:r>
            <w:r>
              <w:rPr>
                <w:color w:val="231F20"/>
                <w:sz w:val="14"/>
              </w:rPr>
              <w:t>у прет­ ходним разредима.</w:t>
            </w:r>
          </w:p>
          <w:p w:rsidR="00041039" w:rsidRDefault="001B26CB">
            <w:pPr>
              <w:pStyle w:val="TableParagraph"/>
              <w:spacing w:line="237" w:lineRule="auto"/>
              <w:ind w:left="58" w:right="133"/>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не може бити једнообраз­ 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w:t>
            </w:r>
          </w:p>
          <w:p w:rsidR="00041039" w:rsidRDefault="001B26CB">
            <w:pPr>
              <w:pStyle w:val="TableParagraph"/>
              <w:ind w:left="58" w:right="84"/>
              <w:rPr>
                <w:sz w:val="14"/>
              </w:rPr>
            </w:pPr>
            <w:r>
              <w:rPr>
                <w:color w:val="231F20"/>
                <w:sz w:val="14"/>
              </w:rPr>
              <w:t>чује принцип индивидуализације и спровођење диференцираног рада на различит</w:t>
            </w:r>
            <w:r>
              <w:rPr>
                <w:color w:val="231F20"/>
                <w:sz w:val="14"/>
              </w:rPr>
              <w:t>им нивоима ученичког знања.</w:t>
            </w:r>
          </w:p>
          <w:p w:rsidR="00041039" w:rsidRDefault="001B26CB">
            <w:pPr>
              <w:pStyle w:val="TableParagraph"/>
              <w:spacing w:line="237" w:lineRule="auto"/>
              <w:ind w:left="58" w:right="43"/>
              <w:rPr>
                <w:sz w:val="14"/>
              </w:rPr>
            </w:pPr>
            <w:r>
              <w:rPr>
                <w:color w:val="231F20"/>
                <w:sz w:val="14"/>
              </w:rPr>
              <w:t>С обзиром на то да је основни циљ 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w:t>
            </w:r>
            <w:r>
              <w:rPr>
                <w:color w:val="231F20"/>
                <w:sz w:val="14"/>
              </w:rPr>
              <w:t>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before="2" w:line="237" w:lineRule="auto"/>
              <w:ind w:left="58" w:right="53"/>
              <w:rPr>
                <w:sz w:val="14"/>
              </w:rPr>
            </w:pPr>
            <w:r>
              <w:rPr>
                <w:color w:val="231F20"/>
                <w:sz w:val="14"/>
              </w:rPr>
              <w:t>Наставу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w:t>
            </w:r>
            <w:r>
              <w:rPr>
                <w:color w:val="231F20"/>
                <w:sz w:val="14"/>
              </w:rPr>
              <w:t>алним говорним ситуацијама и у књижевним и другим текстовима.</w:t>
            </w:r>
          </w:p>
        </w:tc>
      </w:tr>
      <w:tr w:rsidR="00041039">
        <w:trPr>
          <w:trHeight w:val="1800"/>
        </w:trPr>
        <w:tc>
          <w:tcPr>
            <w:tcW w:w="1304" w:type="dxa"/>
          </w:tcPr>
          <w:p w:rsidR="00041039" w:rsidRDefault="001B26CB">
            <w:pPr>
              <w:pStyle w:val="TableParagraph"/>
              <w:spacing w:before="20"/>
              <w:ind w:left="56"/>
              <w:rPr>
                <w:sz w:val="14"/>
              </w:rPr>
            </w:pPr>
            <w:r>
              <w:rPr>
                <w:color w:val="231F20"/>
                <w:sz w:val="14"/>
              </w:rPr>
              <w:t>Морфологија</w:t>
            </w:r>
          </w:p>
        </w:tc>
        <w:tc>
          <w:tcPr>
            <w:tcW w:w="1587" w:type="dxa"/>
          </w:tcPr>
          <w:p w:rsidR="00041039" w:rsidRDefault="001B26CB">
            <w:pPr>
              <w:pStyle w:val="TableParagraph"/>
              <w:tabs>
                <w:tab w:val="left" w:pos="157"/>
              </w:tabs>
              <w:spacing w:before="9"/>
              <w:ind w:right="105" w:hanging="100"/>
              <w:rPr>
                <w:sz w:val="14"/>
              </w:rPr>
            </w:pPr>
            <w:r>
              <w:rPr>
                <w:color w:val="231F20"/>
                <w:sz w:val="14"/>
              </w:rPr>
              <w:t>Упознавање ученика са правилном употре­ бом и оспособљавање за правилну употребу облика</w:t>
            </w:r>
            <w:r>
              <w:rPr>
                <w:color w:val="231F20"/>
                <w:spacing w:val="-1"/>
                <w:sz w:val="14"/>
              </w:rPr>
              <w:t xml:space="preserve"> </w:t>
            </w:r>
            <w:r>
              <w:rPr>
                <w:color w:val="231F20"/>
                <w:sz w:val="14"/>
              </w:rPr>
              <w:t>речи.</w:t>
            </w:r>
          </w:p>
        </w:tc>
        <w:tc>
          <w:tcPr>
            <w:tcW w:w="2551" w:type="dxa"/>
          </w:tcPr>
          <w:p w:rsidR="00041039" w:rsidRDefault="001B26CB">
            <w:pPr>
              <w:pStyle w:val="TableParagraph"/>
              <w:tabs>
                <w:tab w:val="left" w:pos="157"/>
              </w:tabs>
              <w:spacing w:before="10"/>
              <w:ind w:right="225" w:hanging="99"/>
              <w:rPr>
                <w:sz w:val="14"/>
              </w:rPr>
            </w:pPr>
            <w:r>
              <w:rPr>
                <w:color w:val="231F20"/>
                <w:sz w:val="14"/>
              </w:rPr>
              <w:t>разликује врсте речи, променљиве</w:t>
            </w:r>
            <w:r>
              <w:rPr>
                <w:color w:val="231F20"/>
                <w:spacing w:val="-16"/>
                <w:sz w:val="14"/>
              </w:rPr>
              <w:t xml:space="preserve"> </w:t>
            </w:r>
            <w:r>
              <w:rPr>
                <w:color w:val="231F20"/>
                <w:sz w:val="14"/>
              </w:rPr>
              <w:t>и непроменљиве</w:t>
            </w:r>
            <w:r>
              <w:rPr>
                <w:color w:val="231F20"/>
                <w:spacing w:val="-1"/>
                <w:sz w:val="14"/>
              </w:rPr>
              <w:t xml:space="preserve"> </w:t>
            </w:r>
            <w:r>
              <w:rPr>
                <w:color w:val="231F20"/>
                <w:sz w:val="14"/>
              </w:rPr>
              <w:t>речи;</w:t>
            </w:r>
          </w:p>
          <w:p w:rsidR="00041039" w:rsidRDefault="001B26CB">
            <w:pPr>
              <w:pStyle w:val="TableParagraph"/>
              <w:tabs>
                <w:tab w:val="left" w:pos="157"/>
              </w:tabs>
              <w:spacing w:line="160"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 и глаголских</w:t>
            </w:r>
            <w:r>
              <w:rPr>
                <w:color w:val="231F20"/>
                <w:spacing w:val="-5"/>
                <w:sz w:val="14"/>
              </w:rPr>
              <w:t xml:space="preserve"> </w:t>
            </w:r>
            <w:r>
              <w:rPr>
                <w:color w:val="231F20"/>
                <w:sz w:val="14"/>
              </w:rPr>
              <w:t>речи;</w:t>
            </w:r>
          </w:p>
          <w:p w:rsidR="00041039" w:rsidRDefault="001B26CB">
            <w:pPr>
              <w:pStyle w:val="TableParagraph"/>
              <w:tabs>
                <w:tab w:val="left" w:pos="157"/>
              </w:tabs>
              <w:spacing w:line="160" w:lineRule="exact"/>
              <w:ind w:right="379" w:hanging="99"/>
              <w:rPr>
                <w:sz w:val="14"/>
              </w:rPr>
            </w:pPr>
            <w:r>
              <w:rPr>
                <w:color w:val="231F20"/>
                <w:sz w:val="14"/>
              </w:rPr>
              <w:t>правилно употребљава</w:t>
            </w:r>
            <w:r>
              <w:rPr>
                <w:color w:val="231F20"/>
                <w:spacing w:val="-10"/>
                <w:sz w:val="14"/>
              </w:rPr>
              <w:t xml:space="preserve"> </w:t>
            </w:r>
            <w:r>
              <w:rPr>
                <w:color w:val="231F20"/>
                <w:sz w:val="14"/>
              </w:rPr>
              <w:t>различите врсте непроменљивих</w:t>
            </w:r>
            <w:r>
              <w:rPr>
                <w:color w:val="231F20"/>
                <w:spacing w:val="-4"/>
                <w:sz w:val="14"/>
              </w:rPr>
              <w:t xml:space="preserve"> </w:t>
            </w:r>
            <w:r>
              <w:rPr>
                <w:color w:val="231F20"/>
                <w:sz w:val="14"/>
              </w:rPr>
              <w:t>речи;</w:t>
            </w:r>
          </w:p>
          <w:p w:rsidR="00041039" w:rsidRDefault="001B26CB">
            <w:pPr>
              <w:pStyle w:val="TableParagraph"/>
              <w:tabs>
                <w:tab w:val="left" w:pos="157"/>
              </w:tabs>
              <w:spacing w:line="160" w:lineRule="exact"/>
              <w:ind w:right="76" w:hanging="99"/>
              <w:rPr>
                <w:sz w:val="14"/>
              </w:rPr>
            </w:pPr>
            <w:r>
              <w:rPr>
                <w:color w:val="231F20"/>
                <w:sz w:val="14"/>
              </w:rPr>
              <w:t>разликује и правилно употребљава</w:t>
            </w:r>
            <w:r>
              <w:rPr>
                <w:color w:val="231F20"/>
                <w:spacing w:val="-14"/>
                <w:sz w:val="14"/>
              </w:rPr>
              <w:t xml:space="preserve"> </w:t>
            </w:r>
            <w:r>
              <w:rPr>
                <w:color w:val="231F20"/>
                <w:sz w:val="14"/>
              </w:rPr>
              <w:t xml:space="preserve">све </w:t>
            </w:r>
            <w:r>
              <w:rPr>
                <w:color w:val="231F20"/>
                <w:spacing w:val="-3"/>
                <w:sz w:val="14"/>
              </w:rPr>
              <w:t xml:space="preserve">глаголске </w:t>
            </w:r>
            <w:r>
              <w:rPr>
                <w:color w:val="231F20"/>
                <w:sz w:val="14"/>
              </w:rPr>
              <w:t>облике са значењем радње која се десила у</w:t>
            </w:r>
            <w:r>
              <w:rPr>
                <w:color w:val="231F20"/>
                <w:spacing w:val="-2"/>
                <w:sz w:val="14"/>
              </w:rPr>
              <w:t xml:space="preserve"> </w:t>
            </w:r>
            <w:r>
              <w:rPr>
                <w:color w:val="231F20"/>
                <w:sz w:val="14"/>
              </w:rPr>
              <w:t>прошлости;</w:t>
            </w:r>
          </w:p>
          <w:p w:rsidR="00041039" w:rsidRDefault="001B26CB">
            <w:pPr>
              <w:pStyle w:val="TableParagraph"/>
              <w:tabs>
                <w:tab w:val="left" w:pos="157"/>
              </w:tabs>
              <w:spacing w:line="160" w:lineRule="exact"/>
              <w:ind w:right="301" w:hanging="99"/>
              <w:rPr>
                <w:sz w:val="14"/>
              </w:rPr>
            </w:pPr>
            <w:r>
              <w:rPr>
                <w:color w:val="231F20"/>
                <w:sz w:val="14"/>
              </w:rPr>
              <w:t>разликује и правилно</w:t>
            </w:r>
            <w:r>
              <w:rPr>
                <w:color w:val="231F20"/>
                <w:spacing w:val="-13"/>
                <w:sz w:val="14"/>
              </w:rPr>
              <w:t xml:space="preserve"> </w:t>
            </w:r>
            <w:r>
              <w:rPr>
                <w:color w:val="231F20"/>
                <w:sz w:val="14"/>
              </w:rPr>
              <w:t xml:space="preserve">употребљава </w:t>
            </w:r>
            <w:r>
              <w:rPr>
                <w:color w:val="231F20"/>
                <w:spacing w:val="-3"/>
                <w:sz w:val="14"/>
              </w:rPr>
              <w:t>глаголске</w:t>
            </w:r>
            <w:r>
              <w:rPr>
                <w:color w:val="231F20"/>
                <w:spacing w:val="-1"/>
                <w:sz w:val="14"/>
              </w:rPr>
              <w:t xml:space="preserve"> </w:t>
            </w:r>
            <w:r>
              <w:rPr>
                <w:color w:val="231F20"/>
                <w:sz w:val="14"/>
              </w:rPr>
              <w:t>прилоге;</w:t>
            </w:r>
          </w:p>
        </w:tc>
        <w:tc>
          <w:tcPr>
            <w:tcW w:w="2834" w:type="dxa"/>
          </w:tcPr>
          <w:p w:rsidR="00041039" w:rsidRDefault="001B26CB">
            <w:pPr>
              <w:pStyle w:val="TableParagraph"/>
              <w:tabs>
                <w:tab w:val="left" w:pos="157"/>
              </w:tabs>
              <w:spacing w:before="10" w:line="166" w:lineRule="exact"/>
              <w:ind w:hanging="99"/>
              <w:rPr>
                <w:sz w:val="14"/>
              </w:rPr>
            </w:pPr>
            <w:r>
              <w:rPr>
                <w:color w:val="231F20"/>
                <w:spacing w:val="-3"/>
                <w:sz w:val="14"/>
              </w:rPr>
              <w:t>Имперфекат.</w:t>
            </w:r>
          </w:p>
          <w:p w:rsidR="00041039" w:rsidRDefault="001B26CB">
            <w:pPr>
              <w:pStyle w:val="TableParagraph"/>
              <w:tabs>
                <w:tab w:val="left" w:pos="157"/>
              </w:tabs>
              <w:spacing w:line="160" w:lineRule="exact"/>
              <w:ind w:hanging="99"/>
              <w:rPr>
                <w:sz w:val="14"/>
              </w:rPr>
            </w:pPr>
            <w:r>
              <w:rPr>
                <w:color w:val="231F20"/>
                <w:sz w:val="14"/>
              </w:rPr>
              <w:t>Плусквамперфекат.</w:t>
            </w:r>
          </w:p>
          <w:p w:rsidR="00041039" w:rsidRDefault="001B26CB">
            <w:pPr>
              <w:pStyle w:val="TableParagraph"/>
              <w:tabs>
                <w:tab w:val="left" w:pos="157"/>
              </w:tabs>
              <w:spacing w:line="160" w:lineRule="exact"/>
              <w:ind w:hanging="99"/>
              <w:rPr>
                <w:sz w:val="14"/>
              </w:rPr>
            </w:pPr>
            <w:r>
              <w:rPr>
                <w:color w:val="231F20"/>
                <w:spacing w:val="-3"/>
                <w:sz w:val="14"/>
              </w:rPr>
              <w:t xml:space="preserve">Глаголски </w:t>
            </w:r>
            <w:r>
              <w:rPr>
                <w:color w:val="231F20"/>
                <w:sz w:val="14"/>
              </w:rPr>
              <w:t>прилог</w:t>
            </w:r>
            <w:r>
              <w:rPr>
                <w:color w:val="231F20"/>
                <w:sz w:val="14"/>
              </w:rPr>
              <w:t xml:space="preserve"> </w:t>
            </w:r>
            <w:r>
              <w:rPr>
                <w:color w:val="231F20"/>
                <w:sz w:val="14"/>
              </w:rPr>
              <w:t>садашњи.</w:t>
            </w:r>
          </w:p>
          <w:p w:rsidR="00041039" w:rsidRDefault="001B26CB">
            <w:pPr>
              <w:pStyle w:val="TableParagraph"/>
              <w:tabs>
                <w:tab w:val="left" w:pos="157"/>
              </w:tabs>
              <w:spacing w:line="160" w:lineRule="exact"/>
              <w:ind w:hanging="99"/>
              <w:rPr>
                <w:sz w:val="14"/>
              </w:rPr>
            </w:pPr>
            <w:r>
              <w:rPr>
                <w:color w:val="231F20"/>
                <w:spacing w:val="-3"/>
                <w:sz w:val="14"/>
              </w:rPr>
              <w:t xml:space="preserve">Глаголски </w:t>
            </w:r>
            <w:r>
              <w:rPr>
                <w:color w:val="231F20"/>
                <w:sz w:val="14"/>
              </w:rPr>
              <w:t>прилог прошли.</w:t>
            </w:r>
          </w:p>
          <w:p w:rsidR="00041039" w:rsidRDefault="001B26CB">
            <w:pPr>
              <w:pStyle w:val="TableParagraph"/>
              <w:tabs>
                <w:tab w:val="left" w:pos="157"/>
              </w:tabs>
              <w:spacing w:line="166" w:lineRule="exact"/>
              <w:ind w:hanging="99"/>
              <w:rPr>
                <w:sz w:val="14"/>
              </w:rPr>
            </w:pPr>
            <w:r>
              <w:rPr>
                <w:color w:val="231F20"/>
                <w:sz w:val="14"/>
              </w:rPr>
              <w:t>Врсте речи:</w:t>
            </w:r>
            <w:r>
              <w:rPr>
                <w:color w:val="231F20"/>
                <w:spacing w:val="-1"/>
                <w:sz w:val="14"/>
              </w:rPr>
              <w:t xml:space="preserve"> </w:t>
            </w:r>
            <w:r>
              <w:rPr>
                <w:color w:val="231F20"/>
                <w:sz w:val="14"/>
              </w:rPr>
              <w:t>систематизација.</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20"/>
              <w:ind w:left="56"/>
              <w:rPr>
                <w:sz w:val="14"/>
              </w:rPr>
            </w:pPr>
            <w:r>
              <w:rPr>
                <w:color w:val="231F20"/>
                <w:sz w:val="14"/>
              </w:rPr>
              <w:t>Творба речи</w:t>
            </w:r>
          </w:p>
        </w:tc>
        <w:tc>
          <w:tcPr>
            <w:tcW w:w="1587" w:type="dxa"/>
          </w:tcPr>
          <w:p w:rsidR="00041039" w:rsidRDefault="001B26CB">
            <w:pPr>
              <w:pStyle w:val="TableParagraph"/>
              <w:tabs>
                <w:tab w:val="left" w:pos="157"/>
              </w:tabs>
              <w:spacing w:before="11" w:line="237" w:lineRule="auto"/>
              <w:ind w:right="161" w:hanging="100"/>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tabs>
                <w:tab w:val="left" w:pos="157"/>
              </w:tabs>
              <w:spacing w:before="10"/>
              <w:ind w:right="85" w:hanging="99"/>
              <w:rPr>
                <w:sz w:val="14"/>
              </w:rPr>
            </w:pPr>
            <w:r>
              <w:rPr>
                <w:color w:val="231F20"/>
                <w:sz w:val="14"/>
              </w:rPr>
              <w:t>правилно гради речи префиксацијом</w:t>
            </w:r>
            <w:r>
              <w:rPr>
                <w:color w:val="231F20"/>
                <w:spacing w:val="-21"/>
                <w:sz w:val="14"/>
              </w:rPr>
              <w:t xml:space="preserve"> </w:t>
            </w:r>
            <w:r>
              <w:rPr>
                <w:color w:val="231F20"/>
                <w:sz w:val="14"/>
              </w:rPr>
              <w:t>и суфиксацијом;</w:t>
            </w:r>
          </w:p>
        </w:tc>
        <w:tc>
          <w:tcPr>
            <w:tcW w:w="2834" w:type="dxa"/>
          </w:tcPr>
          <w:p w:rsidR="00041039" w:rsidRDefault="001B26CB">
            <w:pPr>
              <w:pStyle w:val="TableParagraph"/>
              <w:tabs>
                <w:tab w:val="left" w:pos="158"/>
              </w:tabs>
              <w:spacing w:before="10"/>
              <w:ind w:left="157" w:right="67" w:hanging="100"/>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Pr>
                <w:sz w:val="14"/>
              </w:rPr>
            </w:pPr>
            <w:r>
              <w:rPr>
                <w:color w:val="231F20"/>
                <w:sz w:val="14"/>
              </w:rPr>
              <w:t>Синтакса</w:t>
            </w:r>
          </w:p>
        </w:tc>
        <w:tc>
          <w:tcPr>
            <w:tcW w:w="1587" w:type="dxa"/>
          </w:tcPr>
          <w:p w:rsidR="00041039" w:rsidRDefault="001B26CB">
            <w:pPr>
              <w:pStyle w:val="TableParagraph"/>
              <w:tabs>
                <w:tab w:val="left" w:pos="157"/>
              </w:tabs>
              <w:spacing w:before="10"/>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tabs>
                <w:tab w:val="left" w:pos="157"/>
              </w:tabs>
              <w:spacing w:before="10"/>
              <w:ind w:right="249" w:hanging="99"/>
              <w:rPr>
                <w:sz w:val="14"/>
              </w:rPr>
            </w:pPr>
            <w:r>
              <w:rPr>
                <w:color w:val="231F20"/>
                <w:sz w:val="14"/>
              </w:rPr>
              <w:t>твори просту реченицу са зависним члановима;</w:t>
            </w:r>
          </w:p>
          <w:p w:rsidR="00041039" w:rsidRDefault="001B26CB">
            <w:pPr>
              <w:pStyle w:val="TableParagraph"/>
              <w:tabs>
                <w:tab w:val="left" w:pos="157"/>
              </w:tabs>
              <w:spacing w:line="160" w:lineRule="exact"/>
              <w:ind w:right="409" w:hanging="99"/>
              <w:rPr>
                <w:sz w:val="14"/>
              </w:rPr>
            </w:pPr>
            <w:r>
              <w:rPr>
                <w:color w:val="231F20"/>
                <w:sz w:val="14"/>
              </w:rPr>
              <w:t>препознаје и саставља независно сложене</w:t>
            </w:r>
            <w:r>
              <w:rPr>
                <w:color w:val="231F20"/>
                <w:spacing w:val="-1"/>
                <w:sz w:val="14"/>
              </w:rPr>
              <w:t xml:space="preserve"> </w:t>
            </w:r>
            <w:r>
              <w:rPr>
                <w:color w:val="231F20"/>
                <w:sz w:val="14"/>
              </w:rPr>
              <w:t>реченице;</w:t>
            </w:r>
          </w:p>
          <w:p w:rsidR="00041039" w:rsidRDefault="001B26CB">
            <w:pPr>
              <w:pStyle w:val="TableParagraph"/>
              <w:tabs>
                <w:tab w:val="left" w:pos="157"/>
              </w:tabs>
              <w:spacing w:line="160" w:lineRule="exact"/>
              <w:ind w:right="89" w:hanging="99"/>
              <w:rPr>
                <w:sz w:val="14"/>
              </w:rPr>
            </w:pPr>
            <w:r>
              <w:rPr>
                <w:color w:val="231F20"/>
                <w:sz w:val="14"/>
              </w:rPr>
              <w:t>препознаје и саставља врсте односних реченице;</w:t>
            </w:r>
          </w:p>
          <w:p w:rsidR="00041039" w:rsidRDefault="001B26CB">
            <w:pPr>
              <w:pStyle w:val="TableParagraph"/>
              <w:tabs>
                <w:tab w:val="left" w:pos="157"/>
              </w:tabs>
              <w:spacing w:line="160" w:lineRule="exact"/>
              <w:ind w:right="259" w:hanging="99"/>
              <w:rPr>
                <w:sz w:val="14"/>
              </w:rPr>
            </w:pPr>
            <w:r>
              <w:rPr>
                <w:color w:val="231F20"/>
                <w:sz w:val="14"/>
              </w:rPr>
              <w:t>употребљава реченице са</w:t>
            </w:r>
            <w:r>
              <w:rPr>
                <w:color w:val="231F20"/>
                <w:spacing w:val="-13"/>
                <w:sz w:val="14"/>
              </w:rPr>
              <w:t xml:space="preserve"> </w:t>
            </w:r>
            <w:r>
              <w:rPr>
                <w:color w:val="231F20"/>
                <w:sz w:val="14"/>
              </w:rPr>
              <w:t>логичким субјектима;</w:t>
            </w:r>
          </w:p>
          <w:p w:rsidR="00041039" w:rsidRDefault="001B26CB">
            <w:pPr>
              <w:pStyle w:val="TableParagraph"/>
              <w:tabs>
                <w:tab w:val="left" w:pos="157"/>
              </w:tabs>
              <w:spacing w:line="160" w:lineRule="exact"/>
              <w:ind w:right="90" w:hanging="99"/>
              <w:rPr>
                <w:sz w:val="14"/>
              </w:rPr>
            </w:pPr>
            <w:r>
              <w:rPr>
                <w:color w:val="231F20"/>
                <w:sz w:val="14"/>
              </w:rPr>
              <w:t>разликује и саставља активне и пасив­ не</w:t>
            </w:r>
            <w:r>
              <w:rPr>
                <w:color w:val="231F20"/>
                <w:spacing w:val="-2"/>
                <w:sz w:val="14"/>
              </w:rPr>
              <w:t xml:space="preserve"> </w:t>
            </w:r>
            <w:r>
              <w:rPr>
                <w:color w:val="231F20"/>
                <w:sz w:val="14"/>
              </w:rPr>
              <w:t>реченице;</w:t>
            </w:r>
          </w:p>
        </w:tc>
        <w:tc>
          <w:tcPr>
            <w:tcW w:w="2834" w:type="dxa"/>
          </w:tcPr>
          <w:p w:rsidR="00041039" w:rsidRDefault="001B26CB">
            <w:pPr>
              <w:pStyle w:val="TableParagraph"/>
              <w:tabs>
                <w:tab w:val="left" w:pos="158"/>
              </w:tabs>
              <w:spacing w:before="10" w:line="166" w:lineRule="exact"/>
              <w:ind w:left="157" w:hanging="100"/>
              <w:rPr>
                <w:sz w:val="14"/>
              </w:rPr>
            </w:pPr>
            <w:r>
              <w:rPr>
                <w:color w:val="231F20"/>
                <w:sz w:val="14"/>
              </w:rPr>
              <w:t>Активне и пасивне</w:t>
            </w:r>
            <w:r>
              <w:rPr>
                <w:color w:val="231F20"/>
                <w:spacing w:val="-4"/>
                <w:sz w:val="14"/>
              </w:rPr>
              <w:t xml:space="preserve"> </w:t>
            </w:r>
            <w:r>
              <w:rPr>
                <w:color w:val="231F20"/>
                <w:sz w:val="14"/>
              </w:rPr>
              <w:t>реченице.</w:t>
            </w:r>
          </w:p>
          <w:p w:rsidR="00041039" w:rsidRDefault="001B26CB">
            <w:pPr>
              <w:pStyle w:val="TableParagraph"/>
              <w:tabs>
                <w:tab w:val="left" w:pos="158"/>
              </w:tabs>
              <w:spacing w:line="237" w:lineRule="auto"/>
              <w:ind w:left="157" w:right="725" w:hanging="100"/>
              <w:rPr>
                <w:sz w:val="14"/>
              </w:rPr>
            </w:pPr>
            <w:r>
              <w:rPr>
                <w:color w:val="231F20"/>
                <w:sz w:val="14"/>
              </w:rPr>
              <w:t>Односне реченице: атрибутске</w:t>
            </w:r>
            <w:r>
              <w:rPr>
                <w:color w:val="231F20"/>
                <w:spacing w:val="-15"/>
                <w:sz w:val="14"/>
              </w:rPr>
              <w:t xml:space="preserve"> </w:t>
            </w:r>
            <w:r>
              <w:rPr>
                <w:color w:val="231F20"/>
                <w:sz w:val="14"/>
              </w:rPr>
              <w:t>и адвербијалне</w:t>
            </w:r>
            <w:r>
              <w:rPr>
                <w:color w:val="231F20"/>
                <w:spacing w:val="-2"/>
                <w:sz w:val="14"/>
              </w:rPr>
              <w:t xml:space="preserve"> </w:t>
            </w:r>
            <w:r>
              <w:rPr>
                <w:color w:val="231F20"/>
                <w:sz w:val="14"/>
              </w:rPr>
              <w:t>реченице.</w:t>
            </w:r>
          </w:p>
          <w:p w:rsidR="00041039" w:rsidRDefault="001B26CB">
            <w:pPr>
              <w:pStyle w:val="TableParagraph"/>
              <w:tabs>
                <w:tab w:val="left" w:pos="158"/>
              </w:tabs>
              <w:spacing w:line="155" w:lineRule="exact"/>
              <w:ind w:left="157" w:hanging="100"/>
              <w:rPr>
                <w:sz w:val="14"/>
              </w:rPr>
            </w:pPr>
            <w:r>
              <w:rPr>
                <w:color w:val="231F20"/>
                <w:sz w:val="14"/>
              </w:rPr>
              <w:t>Напоредни односи у сложеној</w:t>
            </w:r>
            <w:r>
              <w:rPr>
                <w:color w:val="231F20"/>
                <w:spacing w:val="-8"/>
                <w:sz w:val="14"/>
              </w:rPr>
              <w:t xml:space="preserve"> </w:t>
            </w:r>
            <w:r>
              <w:rPr>
                <w:color w:val="231F20"/>
                <w:sz w:val="14"/>
              </w:rPr>
              <w:t>реченици.</w:t>
            </w:r>
          </w:p>
          <w:p w:rsidR="00041039" w:rsidRDefault="001B26CB">
            <w:pPr>
              <w:pStyle w:val="TableParagraph"/>
              <w:tabs>
                <w:tab w:val="left" w:pos="158"/>
              </w:tabs>
              <w:spacing w:line="166" w:lineRule="exact"/>
              <w:ind w:left="157" w:hanging="100"/>
              <w:rPr>
                <w:sz w:val="14"/>
              </w:rPr>
            </w:pPr>
            <w:r>
              <w:rPr>
                <w:color w:val="231F20"/>
                <w:sz w:val="14"/>
              </w:rPr>
              <w:t>Однос логичког и граматичког</w:t>
            </w:r>
            <w:r>
              <w:rPr>
                <w:color w:val="231F20"/>
                <w:spacing w:val="-12"/>
                <w:sz w:val="14"/>
              </w:rPr>
              <w:t xml:space="preserve"> </w:t>
            </w:r>
            <w:r>
              <w:rPr>
                <w:color w:val="231F20"/>
                <w:sz w:val="14"/>
              </w:rPr>
              <w:t>субјекта.</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tabs>
                <w:tab w:val="left" w:pos="157"/>
              </w:tabs>
              <w:spacing w:before="11" w:line="237" w:lineRule="auto"/>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tabs>
                <w:tab w:val="left" w:pos="158"/>
              </w:tabs>
              <w:spacing w:before="10"/>
              <w:ind w:left="157" w:right="209" w:hanging="100"/>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tabs>
                <w:tab w:val="left" w:pos="158"/>
              </w:tabs>
              <w:spacing w:before="10"/>
              <w:ind w:left="157" w:right="67" w:hanging="100"/>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tcBorders>
              <w:top w:val="nil"/>
            </w:tcBorders>
          </w:tcPr>
          <w:p w:rsidR="00041039" w:rsidRDefault="00041039">
            <w:pPr>
              <w:rPr>
                <w:sz w:val="2"/>
                <w:szCs w:val="2"/>
              </w:rPr>
            </w:pPr>
          </w:p>
        </w:tc>
      </w:tr>
      <w:tr w:rsidR="00041039">
        <w:trPr>
          <w:trHeight w:val="5068"/>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tabs>
                <w:tab w:val="left" w:pos="157"/>
              </w:tabs>
              <w:spacing w:before="10"/>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tabs>
                <w:tab w:val="left" w:pos="158"/>
              </w:tabs>
              <w:spacing w:before="10"/>
              <w:ind w:left="157" w:right="116" w:hanging="100"/>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tabs>
                <w:tab w:val="left" w:pos="158"/>
              </w:tabs>
              <w:spacing w:line="160" w:lineRule="exact"/>
              <w:ind w:left="157" w:right="49" w:hanging="100"/>
              <w:rPr>
                <w:sz w:val="14"/>
              </w:rPr>
            </w:pPr>
            <w:r>
              <w:rPr>
                <w:color w:val="231F20"/>
                <w:sz w:val="14"/>
              </w:rPr>
              <w:t>даје комплексније одговоре на поста­ вљена питања, поставља питања и саставља дуже текстове о задатој</w:t>
            </w:r>
            <w:r>
              <w:rPr>
                <w:color w:val="231F20"/>
                <w:spacing w:val="-18"/>
                <w:sz w:val="14"/>
              </w:rPr>
              <w:t xml:space="preserve"> </w:t>
            </w:r>
            <w:r>
              <w:rPr>
                <w:color w:val="231F20"/>
                <w:sz w:val="14"/>
              </w:rPr>
              <w:t>теми;</w:t>
            </w:r>
          </w:p>
          <w:p w:rsidR="00041039" w:rsidRDefault="001B26CB">
            <w:pPr>
              <w:pStyle w:val="TableParagraph"/>
              <w:tabs>
                <w:tab w:val="left" w:pos="158"/>
              </w:tabs>
              <w:spacing w:line="160" w:lineRule="exact"/>
              <w:ind w:left="157" w:right="136" w:hanging="100"/>
              <w:rPr>
                <w:sz w:val="14"/>
              </w:rPr>
            </w:pPr>
            <w:r>
              <w:rPr>
                <w:color w:val="231F20"/>
                <w:sz w:val="14"/>
              </w:rPr>
              <w:t>разликује и саставља текстове</w:t>
            </w:r>
            <w:r>
              <w:rPr>
                <w:color w:val="231F20"/>
                <w:spacing w:val="-11"/>
                <w:sz w:val="14"/>
              </w:rPr>
              <w:t xml:space="preserve"> </w:t>
            </w:r>
            <w:r>
              <w:rPr>
                <w:color w:val="231F20"/>
                <w:sz w:val="14"/>
              </w:rPr>
              <w:t>жалби, молби и сличних</w:t>
            </w:r>
            <w:r>
              <w:rPr>
                <w:color w:val="231F20"/>
                <w:spacing w:val="-4"/>
                <w:sz w:val="14"/>
              </w:rPr>
              <w:t xml:space="preserve"> </w:t>
            </w:r>
            <w:r>
              <w:rPr>
                <w:color w:val="231F20"/>
                <w:sz w:val="14"/>
              </w:rPr>
              <w:t>текстова;</w:t>
            </w:r>
          </w:p>
        </w:tc>
        <w:tc>
          <w:tcPr>
            <w:tcW w:w="2834" w:type="dxa"/>
          </w:tcPr>
          <w:p w:rsidR="00041039" w:rsidRDefault="001B26CB">
            <w:pPr>
              <w:pStyle w:val="TableParagraph"/>
              <w:tabs>
                <w:tab w:val="left" w:pos="158"/>
              </w:tabs>
              <w:spacing w:before="10" w:line="171" w:lineRule="exact"/>
              <w:ind w:left="157" w:hanging="99"/>
              <w:rPr>
                <w:sz w:val="14"/>
              </w:rPr>
            </w:pPr>
            <w:r>
              <w:rPr>
                <w:color w:val="231F20"/>
                <w:sz w:val="14"/>
              </w:rPr>
              <w:t>Тематика:</w:t>
            </w:r>
          </w:p>
          <w:p w:rsidR="00041039" w:rsidRDefault="001B26CB">
            <w:pPr>
              <w:pStyle w:val="TableParagraph"/>
              <w:tabs>
                <w:tab w:val="left" w:pos="164"/>
              </w:tabs>
              <w:spacing w:line="160" w:lineRule="exact"/>
              <w:ind w:left="163" w:hanging="105"/>
              <w:rPr>
                <w:sz w:val="14"/>
              </w:rPr>
            </w:pPr>
            <w:r>
              <w:rPr>
                <w:color w:val="231F20"/>
                <w:sz w:val="14"/>
              </w:rPr>
              <w:t>обавезе и слободно</w:t>
            </w:r>
            <w:r>
              <w:rPr>
                <w:color w:val="231F20"/>
                <w:spacing w:val="-4"/>
                <w:sz w:val="14"/>
              </w:rPr>
              <w:t xml:space="preserve"> </w:t>
            </w:r>
            <w:r>
              <w:rPr>
                <w:color w:val="231F20"/>
                <w:sz w:val="14"/>
              </w:rPr>
              <w:t>време;</w:t>
            </w:r>
          </w:p>
          <w:p w:rsidR="00041039" w:rsidRDefault="001B26CB">
            <w:pPr>
              <w:pStyle w:val="TableParagraph"/>
              <w:tabs>
                <w:tab w:val="left" w:pos="164"/>
              </w:tabs>
              <w:spacing w:line="160" w:lineRule="exact"/>
              <w:ind w:left="163" w:hanging="105"/>
              <w:rPr>
                <w:sz w:val="14"/>
              </w:rPr>
            </w:pPr>
            <w:r>
              <w:rPr>
                <w:color w:val="231F20"/>
                <w:sz w:val="14"/>
              </w:rPr>
              <w:t>култура и</w:t>
            </w:r>
            <w:r>
              <w:rPr>
                <w:color w:val="231F20"/>
                <w:spacing w:val="-15"/>
                <w:sz w:val="14"/>
              </w:rPr>
              <w:t xml:space="preserve"> </w:t>
            </w:r>
            <w:r>
              <w:rPr>
                <w:color w:val="231F20"/>
                <w:sz w:val="14"/>
              </w:rPr>
              <w:t>медији;</w:t>
            </w:r>
          </w:p>
          <w:p w:rsidR="00041039" w:rsidRDefault="001B26CB">
            <w:pPr>
              <w:pStyle w:val="TableParagraph"/>
              <w:tabs>
                <w:tab w:val="left" w:pos="164"/>
              </w:tabs>
              <w:spacing w:line="160" w:lineRule="exact"/>
              <w:ind w:left="163" w:hanging="105"/>
              <w:rPr>
                <w:sz w:val="14"/>
              </w:rPr>
            </w:pPr>
            <w:r>
              <w:rPr>
                <w:color w:val="231F20"/>
                <w:sz w:val="14"/>
              </w:rPr>
              <w:t>млади и</w:t>
            </w:r>
            <w:r>
              <w:rPr>
                <w:color w:val="231F20"/>
                <w:spacing w:val="-5"/>
                <w:sz w:val="14"/>
              </w:rPr>
              <w:t xml:space="preserve"> </w:t>
            </w:r>
            <w:r>
              <w:rPr>
                <w:color w:val="231F20"/>
                <w:sz w:val="14"/>
              </w:rPr>
              <w:t>друштво;</w:t>
            </w:r>
          </w:p>
          <w:p w:rsidR="00041039" w:rsidRDefault="001B26CB">
            <w:pPr>
              <w:pStyle w:val="TableParagraph"/>
              <w:tabs>
                <w:tab w:val="left" w:pos="164"/>
              </w:tabs>
              <w:spacing w:line="160" w:lineRule="exact"/>
              <w:ind w:left="163" w:hanging="105"/>
              <w:rPr>
                <w:sz w:val="14"/>
              </w:rPr>
            </w:pPr>
            <w:r>
              <w:rPr>
                <w:color w:val="231F20"/>
                <w:sz w:val="14"/>
              </w:rPr>
              <w:t>екологија и очување животне</w:t>
            </w:r>
            <w:r>
              <w:rPr>
                <w:color w:val="231F20"/>
                <w:spacing w:val="-10"/>
                <w:sz w:val="14"/>
              </w:rPr>
              <w:t xml:space="preserve"> </w:t>
            </w:r>
            <w:r>
              <w:rPr>
                <w:color w:val="231F20"/>
                <w:sz w:val="14"/>
              </w:rPr>
              <w:t>средине;</w:t>
            </w:r>
          </w:p>
          <w:p w:rsidR="00041039" w:rsidRDefault="001B26CB">
            <w:pPr>
              <w:pStyle w:val="TableParagraph"/>
              <w:tabs>
                <w:tab w:val="left" w:pos="164"/>
              </w:tabs>
              <w:spacing w:line="160" w:lineRule="exact"/>
              <w:ind w:left="163" w:hanging="105"/>
              <w:rPr>
                <w:sz w:val="14"/>
              </w:rPr>
            </w:pPr>
            <w:r>
              <w:rPr>
                <w:color w:val="231F20"/>
                <w:sz w:val="14"/>
              </w:rPr>
              <w:t>специфичности</w:t>
            </w:r>
            <w:r>
              <w:rPr>
                <w:color w:val="231F20"/>
                <w:spacing w:val="-1"/>
                <w:sz w:val="14"/>
              </w:rPr>
              <w:t xml:space="preserve"> </w:t>
            </w:r>
            <w:r>
              <w:rPr>
                <w:color w:val="231F20"/>
                <w:sz w:val="14"/>
              </w:rPr>
              <w:t>струке;</w:t>
            </w:r>
          </w:p>
          <w:p w:rsidR="00041039" w:rsidRDefault="001B26CB">
            <w:pPr>
              <w:pStyle w:val="TableParagraph"/>
              <w:tabs>
                <w:tab w:val="left" w:pos="164"/>
              </w:tabs>
              <w:ind w:left="163" w:right="262" w:hanging="105"/>
              <w:rPr>
                <w:sz w:val="14"/>
              </w:rPr>
            </w:pPr>
            <w:r>
              <w:rPr>
                <w:color w:val="231F20"/>
                <w:sz w:val="14"/>
              </w:rPr>
              <w:t>радна биографија, службено и</w:t>
            </w:r>
            <w:r>
              <w:rPr>
                <w:color w:val="231F20"/>
                <w:spacing w:val="-6"/>
                <w:sz w:val="14"/>
              </w:rPr>
              <w:t xml:space="preserve"> </w:t>
            </w:r>
            <w:r>
              <w:rPr>
                <w:color w:val="231F20"/>
                <w:sz w:val="14"/>
              </w:rPr>
              <w:t>пословно писмо.</w:t>
            </w:r>
          </w:p>
          <w:p w:rsidR="00041039" w:rsidRDefault="001B26CB">
            <w:pPr>
              <w:pStyle w:val="TableParagraph"/>
              <w:tabs>
                <w:tab w:val="left" w:pos="158"/>
              </w:tabs>
              <w:spacing w:line="159" w:lineRule="exact"/>
              <w:ind w:left="157" w:hanging="99"/>
              <w:rPr>
                <w:sz w:val="14"/>
              </w:rPr>
            </w:pPr>
            <w:r>
              <w:rPr>
                <w:color w:val="231F20"/>
                <w:sz w:val="14"/>
              </w:rPr>
              <w:t>Комуникативне</w:t>
            </w:r>
            <w:r>
              <w:rPr>
                <w:color w:val="231F20"/>
                <w:spacing w:val="-1"/>
                <w:sz w:val="14"/>
              </w:rPr>
              <w:t xml:space="preserve"> </w:t>
            </w:r>
            <w:r>
              <w:rPr>
                <w:color w:val="231F20"/>
                <w:sz w:val="14"/>
              </w:rPr>
              <w:t>функције:</w:t>
            </w:r>
          </w:p>
          <w:p w:rsidR="00041039" w:rsidRDefault="001B26CB">
            <w:pPr>
              <w:pStyle w:val="TableParagraph"/>
              <w:tabs>
                <w:tab w:val="left" w:pos="164"/>
              </w:tabs>
              <w:ind w:left="163" w:right="168" w:hanging="105"/>
              <w:rPr>
                <w:sz w:val="14"/>
              </w:rPr>
            </w:pPr>
            <w:r>
              <w:rPr>
                <w:color w:val="231F20"/>
                <w:sz w:val="14"/>
              </w:rPr>
              <w:t>слагање/неслагање с мишљењем саговор­ ника; исказивање психолошких</w:t>
            </w:r>
            <w:r>
              <w:rPr>
                <w:color w:val="231F20"/>
                <w:spacing w:val="-10"/>
                <w:sz w:val="14"/>
              </w:rPr>
              <w:t xml:space="preserve"> </w:t>
            </w:r>
            <w:r>
              <w:rPr>
                <w:color w:val="231F20"/>
                <w:sz w:val="14"/>
              </w:rPr>
              <w:t>стања;</w:t>
            </w:r>
          </w:p>
          <w:p w:rsidR="00041039" w:rsidRDefault="001B26CB">
            <w:pPr>
              <w:pStyle w:val="TableParagraph"/>
              <w:tabs>
                <w:tab w:val="left" w:pos="164"/>
              </w:tabs>
              <w:spacing w:line="154" w:lineRule="exact"/>
              <w:ind w:left="163" w:hanging="105"/>
              <w:rPr>
                <w:sz w:val="14"/>
              </w:rPr>
            </w:pPr>
            <w:r>
              <w:rPr>
                <w:color w:val="231F20"/>
                <w:sz w:val="14"/>
              </w:rPr>
              <w:t>реферисање о себи и о</w:t>
            </w:r>
            <w:r>
              <w:rPr>
                <w:color w:val="231F20"/>
                <w:spacing w:val="-1"/>
                <w:sz w:val="14"/>
              </w:rPr>
              <w:t xml:space="preserve"> </w:t>
            </w:r>
            <w:r>
              <w:rPr>
                <w:color w:val="231F20"/>
                <w:sz w:val="14"/>
              </w:rPr>
              <w:t>другима.</w:t>
            </w:r>
          </w:p>
          <w:p w:rsidR="00041039" w:rsidRDefault="001B26CB">
            <w:pPr>
              <w:pStyle w:val="TableParagraph"/>
              <w:tabs>
                <w:tab w:val="left" w:pos="158"/>
              </w:tabs>
              <w:spacing w:line="237" w:lineRule="auto"/>
              <w:ind w:left="157" w:right="313" w:hanging="99"/>
              <w:rPr>
                <w:sz w:val="14"/>
              </w:rPr>
            </w:pPr>
            <w:r>
              <w:rPr>
                <w:color w:val="231F20"/>
                <w:sz w:val="14"/>
              </w:rPr>
              <w:t>Богаћење ученичког речника новом</w:t>
            </w:r>
            <w:r>
              <w:rPr>
                <w:color w:val="231F20"/>
                <w:spacing w:val="-26"/>
                <w:sz w:val="14"/>
              </w:rPr>
              <w:t xml:space="preserve"> </w:t>
            </w:r>
            <w:r>
              <w:rPr>
                <w:color w:val="231F20"/>
                <w:sz w:val="14"/>
              </w:rPr>
              <w:t>оп­ штом и стручном</w:t>
            </w:r>
            <w:r>
              <w:rPr>
                <w:color w:val="231F20"/>
                <w:spacing w:val="-5"/>
                <w:sz w:val="14"/>
              </w:rPr>
              <w:t xml:space="preserve"> </w:t>
            </w:r>
            <w:r>
              <w:rPr>
                <w:color w:val="231F20"/>
                <w:sz w:val="14"/>
              </w:rPr>
              <w:t>лексиком.</w:t>
            </w:r>
          </w:p>
          <w:p w:rsidR="00041039" w:rsidRDefault="001B26CB">
            <w:pPr>
              <w:pStyle w:val="TableParagraph"/>
              <w:tabs>
                <w:tab w:val="left" w:pos="158"/>
              </w:tabs>
              <w:spacing w:line="155" w:lineRule="exact"/>
              <w:ind w:left="157" w:hanging="99"/>
              <w:rPr>
                <w:sz w:val="14"/>
              </w:rPr>
            </w:pPr>
            <w:r>
              <w:rPr>
                <w:color w:val="231F20"/>
                <w:sz w:val="14"/>
              </w:rPr>
              <w:t>Писање молби, жалби и сличних</w:t>
            </w:r>
            <w:r>
              <w:rPr>
                <w:color w:val="231F20"/>
                <w:spacing w:val="-12"/>
                <w:sz w:val="14"/>
              </w:rPr>
              <w:t xml:space="preserve"> </w:t>
            </w:r>
            <w:r>
              <w:rPr>
                <w:color w:val="231F20"/>
                <w:sz w:val="14"/>
              </w:rPr>
              <w:t>текстова.</w:t>
            </w:r>
          </w:p>
          <w:p w:rsidR="00041039" w:rsidRDefault="001B26CB">
            <w:pPr>
              <w:pStyle w:val="TableParagraph"/>
              <w:tabs>
                <w:tab w:val="left" w:pos="158"/>
              </w:tabs>
              <w:spacing w:line="160" w:lineRule="exact"/>
              <w:ind w:left="157"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tabs>
                <w:tab w:val="left" w:pos="158"/>
              </w:tabs>
              <w:spacing w:line="166" w:lineRule="exact"/>
              <w:ind w:left="157"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2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92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tabs>
                <w:tab w:val="left" w:pos="157"/>
              </w:tabs>
              <w:spacing w:before="8"/>
              <w:ind w:right="44" w:hanging="100"/>
              <w:rPr>
                <w:sz w:val="14"/>
              </w:rPr>
            </w:pPr>
            <w:r>
              <w:rPr>
                <w:color w:val="231F20"/>
                <w:sz w:val="14"/>
              </w:rPr>
              <w:t>Упознавање са раз­ личитим књижевним родовима и врстама и значајним</w:t>
            </w:r>
            <w:r>
              <w:rPr>
                <w:color w:val="231F20"/>
                <w:spacing w:val="-9"/>
                <w:sz w:val="14"/>
              </w:rPr>
              <w:t xml:space="preserve"> </w:t>
            </w:r>
            <w:r>
              <w:rPr>
                <w:color w:val="231F20"/>
                <w:sz w:val="14"/>
              </w:rPr>
              <w:t>делимасрпс­ ке</w:t>
            </w:r>
            <w:r>
              <w:rPr>
                <w:color w:val="231F20"/>
                <w:spacing w:val="-1"/>
                <w:sz w:val="14"/>
              </w:rPr>
              <w:t xml:space="preserve"> </w:t>
            </w:r>
            <w:r>
              <w:rPr>
                <w:color w:val="231F20"/>
                <w:sz w:val="14"/>
              </w:rPr>
              <w:t>књижевности.</w:t>
            </w:r>
          </w:p>
        </w:tc>
        <w:tc>
          <w:tcPr>
            <w:tcW w:w="2551" w:type="dxa"/>
          </w:tcPr>
          <w:p w:rsidR="00041039" w:rsidRDefault="001B26CB">
            <w:pPr>
              <w:pStyle w:val="TableParagraph"/>
              <w:tabs>
                <w:tab w:val="left" w:pos="157"/>
              </w:tabs>
              <w:spacing w:before="8"/>
              <w:ind w:right="100" w:hanging="99"/>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9"/>
                <w:sz w:val="14"/>
              </w:rPr>
              <w:t xml:space="preserve"> </w:t>
            </w:r>
            <w:r>
              <w:rPr>
                <w:color w:val="231F20"/>
                <w:sz w:val="14"/>
              </w:rPr>
              <w:t>текстова;</w:t>
            </w:r>
          </w:p>
          <w:p w:rsidR="00041039" w:rsidRDefault="001B26CB">
            <w:pPr>
              <w:pStyle w:val="TableParagraph"/>
              <w:tabs>
                <w:tab w:val="left" w:pos="157"/>
              </w:tabs>
              <w:spacing w:line="160" w:lineRule="exact"/>
              <w:ind w:right="69" w:hanging="99"/>
              <w:rPr>
                <w:sz w:val="14"/>
              </w:rPr>
            </w:pPr>
            <w:r>
              <w:rPr>
                <w:color w:val="231F20"/>
                <w:sz w:val="14"/>
              </w:rPr>
              <w:t xml:space="preserve">користи познавање жанровских посебности при интерпретацији књижевног дела у настави, анализира идејне аспекте текстова обухваћених школским програмом, уочава основне интеграционе чиниоце интерпрета­ ције књижевноуметничког текста </w:t>
            </w:r>
            <w:r>
              <w:rPr>
                <w:color w:val="231F20"/>
                <w:spacing w:val="-3"/>
                <w:sz w:val="14"/>
              </w:rPr>
              <w:t xml:space="preserve">(тему, </w:t>
            </w:r>
            <w:r>
              <w:rPr>
                <w:color w:val="231F20"/>
                <w:sz w:val="14"/>
              </w:rPr>
              <w:t>мотиве, песничке сл</w:t>
            </w:r>
            <w:r>
              <w:rPr>
                <w:color w:val="231F20"/>
                <w:sz w:val="14"/>
              </w:rPr>
              <w:t xml:space="preserve">ике, типове јунака, </w:t>
            </w:r>
            <w:r>
              <w:rPr>
                <w:color w:val="231F20"/>
                <w:spacing w:val="-3"/>
                <w:sz w:val="14"/>
              </w:rPr>
              <w:t xml:space="preserve">структуру, композицију, </w:t>
            </w:r>
            <w:r>
              <w:rPr>
                <w:color w:val="231F20"/>
                <w:sz w:val="14"/>
              </w:rPr>
              <w:t>облике казивања, језичко­стилске карактерис­ тике...);</w:t>
            </w:r>
          </w:p>
        </w:tc>
        <w:tc>
          <w:tcPr>
            <w:tcW w:w="2834" w:type="dxa"/>
          </w:tcPr>
          <w:p w:rsidR="00041039" w:rsidRDefault="001B26CB">
            <w:pPr>
              <w:pStyle w:val="TableParagraph"/>
              <w:spacing w:before="18" w:line="155" w:lineRule="exact"/>
              <w:ind w:left="57"/>
              <w:rPr>
                <w:sz w:val="14"/>
              </w:rPr>
            </w:pPr>
            <w:r>
              <w:rPr>
                <w:color w:val="231F20"/>
                <w:sz w:val="14"/>
              </w:rPr>
              <w:t>ОБАВЕЗНИ:</w:t>
            </w:r>
          </w:p>
          <w:p w:rsidR="00041039" w:rsidRDefault="001B26CB">
            <w:pPr>
              <w:pStyle w:val="TableParagraph"/>
              <w:tabs>
                <w:tab w:val="left" w:pos="157"/>
              </w:tabs>
              <w:spacing w:line="160" w:lineRule="exact"/>
              <w:ind w:hanging="99"/>
              <w:rPr>
                <w:sz w:val="14"/>
              </w:rPr>
            </w:pPr>
            <w:r>
              <w:rPr>
                <w:color w:val="231F20"/>
                <w:sz w:val="14"/>
              </w:rPr>
              <w:t>„Хасанагиница”.</w:t>
            </w:r>
          </w:p>
          <w:p w:rsidR="00041039" w:rsidRDefault="001B26CB">
            <w:pPr>
              <w:pStyle w:val="TableParagraph"/>
              <w:tabs>
                <w:tab w:val="left" w:pos="157"/>
              </w:tabs>
              <w:spacing w:line="160" w:lineRule="exact"/>
              <w:ind w:hanging="99"/>
              <w:rPr>
                <w:sz w:val="14"/>
              </w:rPr>
            </w:pPr>
            <w:r>
              <w:rPr>
                <w:color w:val="231F20"/>
                <w:sz w:val="14"/>
              </w:rPr>
              <w:t>„Златоруни</w:t>
            </w:r>
            <w:r>
              <w:rPr>
                <w:color w:val="231F20"/>
                <w:spacing w:val="-1"/>
                <w:sz w:val="14"/>
              </w:rPr>
              <w:t xml:space="preserve"> </w:t>
            </w:r>
            <w:r>
              <w:rPr>
                <w:color w:val="231F20"/>
                <w:sz w:val="14"/>
              </w:rPr>
              <w:t>ован”.</w:t>
            </w:r>
          </w:p>
          <w:p w:rsidR="00041039" w:rsidRDefault="001B26CB">
            <w:pPr>
              <w:pStyle w:val="TableParagraph"/>
              <w:tabs>
                <w:tab w:val="left" w:pos="157"/>
              </w:tabs>
              <w:spacing w:line="160" w:lineRule="exact"/>
              <w:ind w:hanging="99"/>
              <w:rPr>
                <w:sz w:val="14"/>
              </w:rPr>
            </w:pPr>
            <w:r>
              <w:rPr>
                <w:color w:val="231F20"/>
                <w:sz w:val="14"/>
              </w:rPr>
              <w:t>Вељко Петровић: „Салашар”</w:t>
            </w:r>
            <w:r>
              <w:rPr>
                <w:color w:val="231F20"/>
                <w:spacing w:val="-7"/>
                <w:sz w:val="14"/>
              </w:rPr>
              <w:t xml:space="preserve"> </w:t>
            </w:r>
            <w:r>
              <w:rPr>
                <w:color w:val="231F20"/>
                <w:sz w:val="14"/>
              </w:rPr>
              <w:t>(одломак).</w:t>
            </w:r>
          </w:p>
          <w:p w:rsidR="00041039" w:rsidRDefault="001B26CB">
            <w:pPr>
              <w:pStyle w:val="TableParagraph"/>
              <w:tabs>
                <w:tab w:val="left" w:pos="157"/>
              </w:tabs>
              <w:spacing w:line="237" w:lineRule="auto"/>
              <w:ind w:right="507" w:hanging="99"/>
              <w:rPr>
                <w:sz w:val="14"/>
              </w:rPr>
            </w:pPr>
            <w:r>
              <w:rPr>
                <w:color w:val="231F20"/>
                <w:sz w:val="14"/>
              </w:rPr>
              <w:t>Јован Дучић: „Благо цара</w:t>
            </w:r>
            <w:r>
              <w:rPr>
                <w:color w:val="231F20"/>
                <w:spacing w:val="-25"/>
                <w:sz w:val="14"/>
              </w:rPr>
              <w:t xml:space="preserve"> </w:t>
            </w:r>
            <w:r>
              <w:rPr>
                <w:color w:val="231F20"/>
                <w:sz w:val="14"/>
              </w:rPr>
              <w:t>Радована” (одломак).</w:t>
            </w:r>
          </w:p>
          <w:p w:rsidR="00041039" w:rsidRDefault="001B26CB">
            <w:pPr>
              <w:pStyle w:val="TableParagraph"/>
              <w:tabs>
                <w:tab w:val="left" w:pos="157"/>
              </w:tabs>
              <w:spacing w:line="155" w:lineRule="exact"/>
              <w:ind w:hanging="99"/>
              <w:rPr>
                <w:sz w:val="14"/>
              </w:rPr>
            </w:pPr>
            <w:r>
              <w:rPr>
                <w:color w:val="231F20"/>
                <w:sz w:val="14"/>
              </w:rPr>
              <w:t>Васко Попа: „Врати ми моје</w:t>
            </w:r>
            <w:r>
              <w:rPr>
                <w:color w:val="231F20"/>
                <w:spacing w:val="-6"/>
                <w:sz w:val="14"/>
              </w:rPr>
              <w:t xml:space="preserve"> </w:t>
            </w:r>
            <w:r>
              <w:rPr>
                <w:color w:val="231F20"/>
                <w:sz w:val="14"/>
              </w:rPr>
              <w:t>крп</w:t>
            </w:r>
            <w:r>
              <w:rPr>
                <w:color w:val="231F20"/>
                <w:sz w:val="14"/>
              </w:rPr>
              <w:t>ице”.</w:t>
            </w:r>
          </w:p>
          <w:p w:rsidR="00041039" w:rsidRDefault="001B26CB">
            <w:pPr>
              <w:pStyle w:val="TableParagraph"/>
              <w:tabs>
                <w:tab w:val="left" w:pos="157"/>
              </w:tabs>
              <w:spacing w:line="237" w:lineRule="auto"/>
              <w:ind w:right="109" w:hanging="99"/>
              <w:rPr>
                <w:sz w:val="14"/>
              </w:rPr>
            </w:pPr>
            <w:r>
              <w:rPr>
                <w:color w:val="231F20"/>
                <w:sz w:val="14"/>
              </w:rPr>
              <w:t>Данило Киш: „Енциклопедија мртвих” (приповетка Славно је за отаџбину</w:t>
            </w:r>
            <w:r>
              <w:rPr>
                <w:color w:val="231F20"/>
                <w:spacing w:val="-7"/>
                <w:sz w:val="14"/>
              </w:rPr>
              <w:t xml:space="preserve"> </w:t>
            </w:r>
            <w:r>
              <w:rPr>
                <w:color w:val="231F20"/>
                <w:sz w:val="14"/>
              </w:rPr>
              <w:t>мрети).</w:t>
            </w:r>
          </w:p>
          <w:p w:rsidR="00041039" w:rsidRDefault="001B26CB">
            <w:pPr>
              <w:pStyle w:val="TableParagraph"/>
              <w:tabs>
                <w:tab w:val="left" w:pos="157"/>
              </w:tabs>
              <w:spacing w:line="160" w:lineRule="exact"/>
              <w:ind w:right="427" w:hanging="99"/>
              <w:rPr>
                <w:sz w:val="14"/>
              </w:rPr>
            </w:pPr>
            <w:r>
              <w:rPr>
                <w:color w:val="231F20"/>
                <w:sz w:val="14"/>
              </w:rPr>
              <w:t>Светлана Велмар Јанковић;</w:t>
            </w:r>
            <w:r>
              <w:rPr>
                <w:color w:val="231F20"/>
                <w:spacing w:val="-23"/>
                <w:sz w:val="14"/>
              </w:rPr>
              <w:t xml:space="preserve"> </w:t>
            </w:r>
            <w:r>
              <w:rPr>
                <w:color w:val="231F20"/>
                <w:sz w:val="14"/>
              </w:rPr>
              <w:t>„Дорћол” (избор).</w:t>
            </w:r>
          </w:p>
          <w:p w:rsidR="00041039" w:rsidRDefault="001B26CB">
            <w:pPr>
              <w:pStyle w:val="TableParagraph"/>
              <w:spacing w:line="153" w:lineRule="exact"/>
              <w:ind w:left="57"/>
              <w:rPr>
                <w:sz w:val="14"/>
              </w:rPr>
            </w:pPr>
            <w:r>
              <w:rPr>
                <w:color w:val="231F20"/>
                <w:sz w:val="14"/>
              </w:rPr>
              <w:t>ИЗБОРНИ:</w:t>
            </w:r>
          </w:p>
          <w:p w:rsidR="00041039" w:rsidRDefault="001B26CB">
            <w:pPr>
              <w:pStyle w:val="TableParagraph"/>
              <w:tabs>
                <w:tab w:val="left" w:pos="157"/>
              </w:tabs>
              <w:spacing w:line="160" w:lineRule="exact"/>
              <w:ind w:hanging="99"/>
              <w:rPr>
                <w:sz w:val="14"/>
              </w:rPr>
            </w:pPr>
            <w:r>
              <w:rPr>
                <w:color w:val="231F20"/>
                <w:sz w:val="14"/>
              </w:rPr>
              <w:t>Стеван Сремац: „Зона</w:t>
            </w:r>
            <w:r>
              <w:rPr>
                <w:color w:val="231F20"/>
                <w:spacing w:val="-2"/>
                <w:sz w:val="14"/>
              </w:rPr>
              <w:t xml:space="preserve"> </w:t>
            </w:r>
            <w:r>
              <w:rPr>
                <w:color w:val="231F20"/>
                <w:sz w:val="14"/>
              </w:rPr>
              <w:t>Замфирова”.</w:t>
            </w:r>
          </w:p>
          <w:p w:rsidR="00041039" w:rsidRDefault="001B26CB">
            <w:pPr>
              <w:pStyle w:val="TableParagraph"/>
              <w:tabs>
                <w:tab w:val="left" w:pos="157"/>
              </w:tabs>
              <w:spacing w:line="160" w:lineRule="exact"/>
              <w:ind w:hanging="99"/>
              <w:rPr>
                <w:sz w:val="14"/>
              </w:rPr>
            </w:pPr>
            <w:r>
              <w:rPr>
                <w:color w:val="231F20"/>
                <w:sz w:val="14"/>
              </w:rPr>
              <w:t>Владислав Петковић Дис: „Можда</w:t>
            </w:r>
            <w:r>
              <w:rPr>
                <w:color w:val="231F20"/>
                <w:spacing w:val="-12"/>
                <w:sz w:val="14"/>
              </w:rPr>
              <w:t xml:space="preserve"> </w:t>
            </w:r>
            <w:r>
              <w:rPr>
                <w:color w:val="231F20"/>
                <w:sz w:val="14"/>
              </w:rPr>
              <w:t>спава”.</w:t>
            </w:r>
          </w:p>
          <w:p w:rsidR="00041039" w:rsidRDefault="001B26CB">
            <w:pPr>
              <w:pStyle w:val="TableParagraph"/>
              <w:tabs>
                <w:tab w:val="left" w:pos="157"/>
              </w:tabs>
              <w:spacing w:line="237" w:lineRule="auto"/>
              <w:ind w:right="393" w:hanging="99"/>
              <w:rPr>
                <w:sz w:val="14"/>
              </w:rPr>
            </w:pPr>
            <w:r>
              <w:rPr>
                <w:color w:val="231F20"/>
                <w:spacing w:val="-3"/>
                <w:sz w:val="14"/>
              </w:rPr>
              <w:t xml:space="preserve">Горан </w:t>
            </w:r>
            <w:r>
              <w:rPr>
                <w:color w:val="231F20"/>
                <w:sz w:val="14"/>
              </w:rPr>
              <w:t xml:space="preserve">Петровић: „Ситничарница </w:t>
            </w:r>
            <w:r>
              <w:rPr>
                <w:color w:val="231F20"/>
                <w:spacing w:val="-4"/>
                <w:sz w:val="14"/>
              </w:rPr>
              <w:t xml:space="preserve">Код </w:t>
            </w:r>
            <w:r>
              <w:rPr>
                <w:color w:val="231F20"/>
                <w:sz w:val="14"/>
              </w:rPr>
              <w:t>срећне</w:t>
            </w:r>
            <w:r>
              <w:rPr>
                <w:color w:val="231F20"/>
                <w:spacing w:val="-8"/>
                <w:sz w:val="14"/>
              </w:rPr>
              <w:t xml:space="preserve"> </w:t>
            </w:r>
            <w:r>
              <w:rPr>
                <w:color w:val="231F20"/>
                <w:sz w:val="14"/>
              </w:rPr>
              <w:t>руке”</w:t>
            </w:r>
            <w:r>
              <w:rPr>
                <w:color w:val="231F20"/>
                <w:spacing w:val="-8"/>
                <w:sz w:val="14"/>
              </w:rPr>
              <w:t xml:space="preserve"> </w:t>
            </w:r>
            <w:r>
              <w:rPr>
                <w:color w:val="231F20"/>
                <w:sz w:val="14"/>
              </w:rPr>
              <w:t>(11.</w:t>
            </w:r>
            <w:r>
              <w:rPr>
                <w:color w:val="231F20"/>
                <w:spacing w:val="-8"/>
                <w:sz w:val="14"/>
              </w:rPr>
              <w:t xml:space="preserve"> </w:t>
            </w:r>
            <w:r>
              <w:rPr>
                <w:color w:val="231F20"/>
                <w:sz w:val="14"/>
              </w:rPr>
              <w:t>поглавље,</w:t>
            </w:r>
            <w:r>
              <w:rPr>
                <w:color w:val="231F20"/>
                <w:spacing w:val="-9"/>
                <w:sz w:val="14"/>
              </w:rPr>
              <w:t xml:space="preserve"> </w:t>
            </w:r>
            <w:r>
              <w:rPr>
                <w:color w:val="231F20"/>
                <w:sz w:val="14"/>
              </w:rPr>
              <w:t>одломци).</w:t>
            </w:r>
          </w:p>
          <w:p w:rsidR="00041039" w:rsidRDefault="001B26CB">
            <w:pPr>
              <w:pStyle w:val="TableParagraph"/>
              <w:tabs>
                <w:tab w:val="left" w:pos="157"/>
              </w:tabs>
              <w:spacing w:line="155" w:lineRule="exact"/>
              <w:ind w:hanging="99"/>
              <w:rPr>
                <w:sz w:val="14"/>
              </w:rPr>
            </w:pPr>
            <w:r>
              <w:rPr>
                <w:color w:val="231F20"/>
                <w:sz w:val="14"/>
              </w:rPr>
              <w:t>Гроздана Олујић: „Принц</w:t>
            </w:r>
            <w:r>
              <w:rPr>
                <w:color w:val="231F20"/>
                <w:spacing w:val="-5"/>
                <w:sz w:val="14"/>
              </w:rPr>
              <w:t xml:space="preserve"> </w:t>
            </w:r>
            <w:r>
              <w:rPr>
                <w:color w:val="231F20"/>
                <w:sz w:val="14"/>
              </w:rPr>
              <w:t>облака”.</w:t>
            </w:r>
          </w:p>
          <w:p w:rsidR="00041039" w:rsidRDefault="001B26CB">
            <w:pPr>
              <w:pStyle w:val="TableParagraph"/>
              <w:tabs>
                <w:tab w:val="left" w:pos="157"/>
              </w:tabs>
              <w:spacing w:line="237" w:lineRule="auto"/>
              <w:ind w:right="417" w:hanging="99"/>
              <w:rPr>
                <w:sz w:val="14"/>
              </w:rPr>
            </w:pPr>
            <w:r>
              <w:rPr>
                <w:color w:val="231F20"/>
                <w:sz w:val="14"/>
              </w:rPr>
              <w:t>Слободан Селенић: „Очеви и оци”</w:t>
            </w:r>
            <w:r>
              <w:rPr>
                <w:color w:val="231F20"/>
                <w:spacing w:val="-8"/>
                <w:sz w:val="14"/>
              </w:rPr>
              <w:t xml:space="preserve"> </w:t>
            </w:r>
            <w:r>
              <w:rPr>
                <w:color w:val="231F20"/>
                <w:sz w:val="14"/>
              </w:rPr>
              <w:t>(4. поглавље –</w:t>
            </w:r>
            <w:r>
              <w:rPr>
                <w:color w:val="231F20"/>
                <w:spacing w:val="-3"/>
                <w:sz w:val="14"/>
              </w:rPr>
              <w:t xml:space="preserve"> </w:t>
            </w:r>
            <w:r>
              <w:rPr>
                <w:color w:val="231F20"/>
                <w:sz w:val="14"/>
              </w:rPr>
              <w:t>одломци).</w:t>
            </w:r>
          </w:p>
          <w:p w:rsidR="00041039" w:rsidRDefault="001B26CB">
            <w:pPr>
              <w:pStyle w:val="TableParagraph"/>
              <w:tabs>
                <w:tab w:val="left" w:pos="157"/>
              </w:tabs>
              <w:spacing w:line="155" w:lineRule="exact"/>
              <w:ind w:hanging="99"/>
              <w:rPr>
                <w:sz w:val="14"/>
              </w:rPr>
            </w:pPr>
            <w:r>
              <w:rPr>
                <w:color w:val="231F20"/>
                <w:sz w:val="14"/>
              </w:rPr>
              <w:t>Текст о Милутину</w:t>
            </w:r>
            <w:r>
              <w:rPr>
                <w:color w:val="231F20"/>
                <w:spacing w:val="-2"/>
                <w:sz w:val="14"/>
              </w:rPr>
              <w:t xml:space="preserve"> </w:t>
            </w:r>
            <w:r>
              <w:rPr>
                <w:color w:val="231F20"/>
                <w:spacing w:val="-3"/>
                <w:sz w:val="14"/>
              </w:rPr>
              <w:t>Миланковићу.</w:t>
            </w:r>
          </w:p>
          <w:p w:rsidR="00041039" w:rsidRDefault="001B26CB">
            <w:pPr>
              <w:pStyle w:val="TableParagraph"/>
              <w:tabs>
                <w:tab w:val="left" w:pos="157"/>
              </w:tabs>
              <w:spacing w:line="160" w:lineRule="exact"/>
              <w:ind w:hanging="99"/>
              <w:rPr>
                <w:sz w:val="14"/>
              </w:rPr>
            </w:pPr>
            <w:r>
              <w:rPr>
                <w:color w:val="231F20"/>
                <w:sz w:val="14"/>
              </w:rPr>
              <w:t>Избор текстова песама које се</w:t>
            </w:r>
            <w:r>
              <w:rPr>
                <w:color w:val="231F20"/>
                <w:spacing w:val="-6"/>
                <w:sz w:val="14"/>
              </w:rPr>
              <w:t xml:space="preserve"> </w:t>
            </w:r>
            <w:r>
              <w:rPr>
                <w:color w:val="231F20"/>
                <w:spacing w:val="-3"/>
                <w:sz w:val="14"/>
              </w:rPr>
              <w:t>певају.</w:t>
            </w:r>
          </w:p>
          <w:p w:rsidR="00041039" w:rsidRDefault="001B26CB">
            <w:pPr>
              <w:pStyle w:val="TableParagraph"/>
              <w:tabs>
                <w:tab w:val="left" w:pos="157"/>
              </w:tabs>
              <w:spacing w:line="237" w:lineRule="auto"/>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ind w:left="57"/>
              <w:rPr>
                <w:b/>
                <w:sz w:val="14"/>
              </w:rPr>
            </w:pPr>
            <w:r>
              <w:rPr>
                <w:b/>
                <w:color w:val="231F20"/>
                <w:sz w:val="14"/>
              </w:rPr>
              <w:t>(Треба обрадити три дела.)</w:t>
            </w:r>
          </w:p>
        </w:tc>
        <w:tc>
          <w:tcPr>
            <w:tcW w:w="2267" w:type="dxa"/>
          </w:tcPr>
          <w:p w:rsidR="00041039" w:rsidRDefault="001B26CB">
            <w:pPr>
              <w:pStyle w:val="TableParagraph"/>
              <w:spacing w:before="19"/>
              <w:ind w:left="57" w:right="41"/>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 ким тако и садржајима из културе</w:t>
            </w:r>
            <w:r>
              <w:rPr>
                <w:color w:val="231F20"/>
                <w:sz w:val="14"/>
              </w:rPr>
              <w:t>. Поред језичких, у пуној мери морају бити заступљени књижевни, уметнички, савремени садржаји и садржаји цивилизацијских текови­ на. У оквиру часова књижевности обрађују се одабрани одломци из српске књижевности у складу са нивоом знања и интересовањима уч</w:t>
            </w:r>
            <w:r>
              <w:rPr>
                <w:color w:val="231F20"/>
                <w:sz w:val="14"/>
              </w:rPr>
              <w:t>еника. Поред предложених књижевних текстова у настави треба користити текстове и других функционалних стилова, аутенти­ чне и конструисане, да би ученици стицали способност разликовања и адекватне примене одговарајућих форми изражавања.</w:t>
            </w:r>
          </w:p>
          <w:p w:rsidR="00041039" w:rsidRDefault="001B26CB">
            <w:pPr>
              <w:pStyle w:val="TableParagraph"/>
              <w:spacing w:line="141" w:lineRule="exact"/>
              <w:ind w:left="57"/>
              <w:rPr>
                <w:sz w:val="14"/>
              </w:rPr>
            </w:pPr>
            <w:r>
              <w:rPr>
                <w:color w:val="231F20"/>
                <w:sz w:val="14"/>
              </w:rPr>
              <w:t>Изузетну пажњу треб</w:t>
            </w:r>
            <w:r>
              <w:rPr>
                <w:color w:val="231F20"/>
                <w:sz w:val="14"/>
              </w:rPr>
              <w:t>а посве­</w:t>
            </w:r>
          </w:p>
          <w:p w:rsidR="00041039" w:rsidRDefault="001B26CB">
            <w:pPr>
              <w:pStyle w:val="TableParagraph"/>
              <w:ind w:left="57" w:right="41"/>
              <w:rPr>
                <w:sz w:val="14"/>
              </w:rPr>
            </w:pPr>
            <w:r>
              <w:rPr>
                <w:color w:val="231F20"/>
                <w:sz w:val="14"/>
              </w:rPr>
              <w:t>тити мотивацији ученика за рад организовањем различитих метода и облика рада и разноврсним лексичким, граматичким и комуни­ кативним вежбама. Ученике треба подстицати и на уочавање слич­ ности и разлика српског и</w:t>
            </w:r>
            <w:r>
              <w:rPr>
                <w:color w:val="231F20"/>
                <w:spacing w:val="-21"/>
                <w:sz w:val="14"/>
              </w:rPr>
              <w:t xml:space="preserve"> </w:t>
            </w:r>
            <w:r>
              <w:rPr>
                <w:color w:val="231F20"/>
                <w:sz w:val="14"/>
              </w:rPr>
              <w:t>матерњег језика. али и ширих</w:t>
            </w:r>
            <w:r>
              <w:rPr>
                <w:color w:val="231F20"/>
                <w:spacing w:val="-27"/>
                <w:sz w:val="14"/>
              </w:rPr>
              <w:t xml:space="preserve"> </w:t>
            </w:r>
            <w:r>
              <w:rPr>
                <w:color w:val="231F20"/>
                <w:sz w:val="14"/>
              </w:rPr>
              <w:t>културолошких карактеристика.</w:t>
            </w:r>
          </w:p>
          <w:p w:rsidR="00041039" w:rsidRDefault="001B26CB">
            <w:pPr>
              <w:pStyle w:val="TableParagraph"/>
              <w:spacing w:line="237" w:lineRule="auto"/>
              <w:ind w:left="57" w:right="79"/>
              <w:rPr>
                <w:sz w:val="14"/>
              </w:rPr>
            </w:pPr>
            <w:r>
              <w:rPr>
                <w:color w:val="231F20"/>
                <w:sz w:val="14"/>
              </w:rPr>
              <w:t>Приликом интерпретације</w:t>
            </w:r>
            <w:r>
              <w:rPr>
                <w:color w:val="231F20"/>
                <w:spacing w:val="-20"/>
                <w:sz w:val="14"/>
              </w:rPr>
              <w:t xml:space="preserve"> </w:t>
            </w:r>
            <w:r>
              <w:rPr>
                <w:color w:val="231F20"/>
                <w:sz w:val="14"/>
              </w:rPr>
              <w:t>књижев­ ноуметничких текстова, указивати на особености књижевних родова и врста као и на језичко­стилске одлике књижевних</w:t>
            </w:r>
            <w:r>
              <w:rPr>
                <w:color w:val="231F20"/>
                <w:spacing w:val="-2"/>
                <w:sz w:val="14"/>
              </w:rPr>
              <w:t xml:space="preserve"> </w:t>
            </w:r>
            <w:r>
              <w:rPr>
                <w:color w:val="231F20"/>
                <w:sz w:val="14"/>
              </w:rPr>
              <w:t>дела.</w:t>
            </w:r>
          </w:p>
          <w:p w:rsidR="00041039" w:rsidRDefault="001B26CB">
            <w:pPr>
              <w:pStyle w:val="TableParagraph"/>
              <w:ind w:left="57" w:right="309"/>
              <w:rPr>
                <w:sz w:val="14"/>
              </w:rPr>
            </w:pPr>
            <w:r>
              <w:rPr>
                <w:color w:val="231F20"/>
                <w:sz w:val="14"/>
              </w:rPr>
              <w:t>На примерима текстова српс­ ке књижевности обнављати и систематизовати сад</w:t>
            </w:r>
            <w:r>
              <w:rPr>
                <w:color w:val="231F20"/>
                <w:sz w:val="14"/>
              </w:rPr>
              <w:t>ржаје из историје књижевности, теорије</w:t>
            </w:r>
          </w:p>
          <w:p w:rsidR="00041039" w:rsidRDefault="001B26CB">
            <w:pPr>
              <w:pStyle w:val="TableParagraph"/>
              <w:spacing w:line="237" w:lineRule="auto"/>
              <w:ind w:left="57"/>
              <w:rPr>
                <w:sz w:val="14"/>
              </w:rPr>
            </w:pPr>
            <w:r>
              <w:rPr>
                <w:color w:val="231F20"/>
                <w:sz w:val="14"/>
              </w:rPr>
              <w:t>књижевности и књижевне критике, које ученик познаје из програма прописаног за савладавање његовог матерњег језика.</w:t>
            </w:r>
          </w:p>
        </w:tc>
      </w:tr>
    </w:tbl>
    <w:p w:rsidR="00041039" w:rsidRDefault="00041039">
      <w:pPr>
        <w:pStyle w:val="BodyText"/>
        <w:spacing w:before="5"/>
        <w:rPr>
          <w:b/>
          <w:sz w:val="12"/>
        </w:rPr>
      </w:pPr>
    </w:p>
    <w:p w:rsidR="00041039" w:rsidRDefault="001B26CB">
      <w:pPr>
        <w:pStyle w:val="Heading3"/>
        <w:spacing w:before="94" w:line="161" w:lineRule="exact"/>
        <w:ind w:left="497"/>
      </w:pPr>
      <w:r>
        <w:rPr>
          <w:color w:val="231F20"/>
        </w:rPr>
        <w:t>КОРЕЛАЦИЈА СА ДРУГИМ ПРЕДМЕТИМА</w:t>
      </w:r>
    </w:p>
    <w:p w:rsidR="00041039" w:rsidRDefault="001B26CB">
      <w:pPr>
        <w:pStyle w:val="ListParagraph"/>
        <w:numPr>
          <w:ilvl w:val="1"/>
          <w:numId w:val="0"/>
        </w:numPr>
        <w:tabs>
          <w:tab w:val="left" w:pos="603"/>
        </w:tabs>
        <w:spacing w:line="160" w:lineRule="exact"/>
        <w:ind w:left="602" w:hanging="105"/>
        <w:rPr>
          <w:color w:val="231F20"/>
          <w:sz w:val="14"/>
        </w:rPr>
      </w:pPr>
      <w:r>
        <w:rPr>
          <w:color w:val="231F20"/>
          <w:sz w:val="14"/>
        </w:rPr>
        <w:t>Матерњи језик и</w:t>
      </w:r>
      <w:r>
        <w:rPr>
          <w:color w:val="231F20"/>
          <w:spacing w:val="-3"/>
          <w:sz w:val="14"/>
        </w:rPr>
        <w:t xml:space="preserve"> </w:t>
      </w:r>
      <w:r>
        <w:rPr>
          <w:color w:val="231F20"/>
          <w:sz w:val="14"/>
        </w:rPr>
        <w:t>књижевност</w:t>
      </w:r>
    </w:p>
    <w:p w:rsidR="00041039" w:rsidRDefault="001B26CB">
      <w:pPr>
        <w:pStyle w:val="ListParagraph"/>
        <w:numPr>
          <w:ilvl w:val="1"/>
          <w:numId w:val="0"/>
        </w:numPr>
        <w:tabs>
          <w:tab w:val="left" w:pos="603"/>
        </w:tabs>
        <w:spacing w:line="160" w:lineRule="exact"/>
        <w:ind w:left="602" w:hanging="105"/>
        <w:rPr>
          <w:color w:val="231F20"/>
          <w:sz w:val="14"/>
        </w:rPr>
      </w:pPr>
      <w:r>
        <w:rPr>
          <w:color w:val="231F20"/>
          <w:sz w:val="14"/>
        </w:rPr>
        <w:t>Историја</w:t>
      </w:r>
    </w:p>
    <w:p w:rsidR="00041039" w:rsidRDefault="001B26CB">
      <w:pPr>
        <w:pStyle w:val="ListParagraph"/>
        <w:numPr>
          <w:ilvl w:val="1"/>
          <w:numId w:val="0"/>
        </w:numPr>
        <w:tabs>
          <w:tab w:val="left" w:pos="603"/>
        </w:tabs>
        <w:spacing w:line="160" w:lineRule="exact"/>
        <w:ind w:left="602" w:hanging="105"/>
        <w:rPr>
          <w:color w:val="231F20"/>
          <w:sz w:val="14"/>
        </w:rPr>
      </w:pPr>
      <w:r>
        <w:rPr>
          <w:color w:val="231F20"/>
          <w:sz w:val="14"/>
        </w:rPr>
        <w:t>Социологија са правима</w:t>
      </w:r>
      <w:r>
        <w:rPr>
          <w:color w:val="231F20"/>
          <w:spacing w:val="-2"/>
          <w:sz w:val="14"/>
        </w:rPr>
        <w:t xml:space="preserve"> </w:t>
      </w:r>
      <w:r>
        <w:rPr>
          <w:color w:val="231F20"/>
          <w:sz w:val="14"/>
        </w:rPr>
        <w:t>грађана</w:t>
      </w:r>
    </w:p>
    <w:p w:rsidR="00041039" w:rsidRDefault="001B26CB">
      <w:pPr>
        <w:pStyle w:val="ListParagraph"/>
        <w:numPr>
          <w:ilvl w:val="1"/>
          <w:numId w:val="0"/>
        </w:numPr>
        <w:tabs>
          <w:tab w:val="left" w:pos="603"/>
        </w:tabs>
        <w:spacing w:line="160" w:lineRule="exact"/>
        <w:ind w:left="602" w:hanging="105"/>
        <w:rPr>
          <w:color w:val="231F20"/>
          <w:sz w:val="14"/>
        </w:rPr>
      </w:pPr>
      <w:r>
        <w:rPr>
          <w:color w:val="231F20"/>
          <w:sz w:val="14"/>
        </w:rPr>
        <w:t>Грађанско</w:t>
      </w:r>
      <w:r>
        <w:rPr>
          <w:color w:val="231F20"/>
          <w:spacing w:val="-1"/>
          <w:sz w:val="14"/>
        </w:rPr>
        <w:t xml:space="preserve"> </w:t>
      </w:r>
      <w:r>
        <w:rPr>
          <w:color w:val="231F20"/>
          <w:sz w:val="14"/>
        </w:rPr>
        <w:t>васпитање</w:t>
      </w:r>
    </w:p>
    <w:p w:rsidR="00041039" w:rsidRDefault="001B26CB">
      <w:pPr>
        <w:pStyle w:val="ListParagraph"/>
        <w:numPr>
          <w:ilvl w:val="1"/>
          <w:numId w:val="0"/>
        </w:numPr>
        <w:tabs>
          <w:tab w:val="left" w:pos="603"/>
        </w:tabs>
        <w:spacing w:line="161" w:lineRule="exact"/>
        <w:ind w:left="602" w:hanging="105"/>
        <w:rPr>
          <w:color w:val="231F20"/>
          <w:sz w:val="14"/>
        </w:rPr>
      </w:pPr>
      <w:r>
        <w:rPr>
          <w:color w:val="231F20"/>
          <w:sz w:val="14"/>
        </w:rPr>
        <w:t>Верска</w:t>
      </w:r>
      <w:r>
        <w:rPr>
          <w:color w:val="231F20"/>
          <w:spacing w:val="-1"/>
          <w:sz w:val="14"/>
        </w:rPr>
        <w:t xml:space="preserve"> </w:t>
      </w:r>
      <w:r>
        <w:rPr>
          <w:color w:val="231F20"/>
          <w:sz w:val="14"/>
        </w:rPr>
        <w:t>настава</w:t>
      </w:r>
    </w:p>
    <w:p w:rsidR="00041039" w:rsidRDefault="00041039">
      <w:pPr>
        <w:pStyle w:val="BodyText"/>
        <w:spacing w:before="8"/>
        <w:rPr>
          <w:sz w:val="23"/>
        </w:rPr>
      </w:pPr>
    </w:p>
    <w:p w:rsidR="00041039" w:rsidRDefault="001B26CB">
      <w:pPr>
        <w:tabs>
          <w:tab w:val="left" w:pos="1460"/>
        </w:tabs>
        <w:ind w:left="15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pStyle w:val="BodyText"/>
        <w:tabs>
          <w:tab w:val="left" w:pos="1460"/>
        </w:tabs>
        <w:spacing w:before="50"/>
        <w:ind w:left="1565" w:right="347" w:hanging="1409"/>
      </w:pPr>
      <w:r>
        <w:rPr>
          <w:color w:val="231F20"/>
        </w:rPr>
        <w:t>Циљ</w:t>
      </w:r>
      <w:r>
        <w:rPr>
          <w:color w:val="231F20"/>
          <w:spacing w:val="-3"/>
        </w:rPr>
        <w:t xml:space="preserve"> </w:t>
      </w:r>
      <w:r>
        <w:rPr>
          <w:color w:val="231F20"/>
        </w:rPr>
        <w:t>предмста:</w:t>
      </w:r>
      <w:r>
        <w:rPr>
          <w:color w:val="231F20"/>
        </w:rPr>
        <w:tab/>
        <w:t>–</w:t>
      </w:r>
      <w:r>
        <w:rPr>
          <w:color w:val="231F20"/>
          <w:spacing w:val="-3"/>
        </w:rPr>
        <w:t xml:space="preserve"> </w:t>
      </w:r>
      <w:r>
        <w:rPr>
          <w:color w:val="231F20"/>
        </w:rPr>
        <w:t>Развијање</w:t>
      </w:r>
      <w:r>
        <w:rPr>
          <w:color w:val="231F20"/>
          <w:spacing w:val="-4"/>
        </w:rPr>
        <w:t xml:space="preserve"> </w:t>
      </w:r>
      <w:r>
        <w:rPr>
          <w:color w:val="231F20"/>
        </w:rPr>
        <w:t>сазнајних</w:t>
      </w:r>
      <w:r>
        <w:rPr>
          <w:color w:val="231F20"/>
          <w:spacing w:val="-3"/>
        </w:rPr>
        <w:t xml:space="preserve"> </w:t>
      </w:r>
      <w:r>
        <w:rPr>
          <w:color w:val="231F20"/>
        </w:rPr>
        <w:t>и</w:t>
      </w:r>
      <w:r>
        <w:rPr>
          <w:color w:val="231F20"/>
          <w:spacing w:val="-4"/>
        </w:rPr>
        <w:t xml:space="preserve"> </w:t>
      </w:r>
      <w:r>
        <w:rPr>
          <w:color w:val="231F20"/>
        </w:rPr>
        <w:t>интелектуалних</w:t>
      </w:r>
      <w:r>
        <w:rPr>
          <w:color w:val="231F20"/>
          <w:spacing w:val="-4"/>
        </w:rPr>
        <w:t xml:space="preserve"> </w:t>
      </w:r>
      <w:r>
        <w:rPr>
          <w:color w:val="231F20"/>
        </w:rPr>
        <w:t>способности</w:t>
      </w:r>
      <w:r>
        <w:rPr>
          <w:color w:val="231F20"/>
          <w:spacing w:val="-3"/>
        </w:rPr>
        <w:t xml:space="preserve"> </w:t>
      </w:r>
      <w:r>
        <w:rPr>
          <w:color w:val="231F20"/>
        </w:rPr>
        <w:t>и</w:t>
      </w:r>
      <w:r>
        <w:rPr>
          <w:color w:val="231F20"/>
          <w:spacing w:val="-4"/>
        </w:rPr>
        <w:t xml:space="preserve"> </w:t>
      </w:r>
      <w:r>
        <w:rPr>
          <w:color w:val="231F20"/>
        </w:rPr>
        <w:t>стицање</w:t>
      </w:r>
      <w:r>
        <w:rPr>
          <w:color w:val="231F20"/>
          <w:spacing w:val="-3"/>
        </w:rPr>
        <w:t xml:space="preserve"> </w:t>
      </w:r>
      <w:r>
        <w:rPr>
          <w:color w:val="231F20"/>
        </w:rPr>
        <w:t>позитивног</w:t>
      </w:r>
      <w:r>
        <w:rPr>
          <w:color w:val="231F20"/>
          <w:spacing w:val="-4"/>
        </w:rPr>
        <w:t xml:space="preserve"> </w:t>
      </w:r>
      <w:r>
        <w:rPr>
          <w:color w:val="231F20"/>
        </w:rPr>
        <w:t>односа</w:t>
      </w:r>
      <w:r>
        <w:rPr>
          <w:color w:val="231F20"/>
          <w:spacing w:val="-3"/>
        </w:rPr>
        <w:t xml:space="preserve"> </w:t>
      </w:r>
      <w:r>
        <w:rPr>
          <w:color w:val="231F20"/>
        </w:rPr>
        <w:t>према</w:t>
      </w:r>
      <w:r>
        <w:rPr>
          <w:color w:val="231F20"/>
          <w:spacing w:val="-3"/>
        </w:rPr>
        <w:t xml:space="preserve"> </w:t>
      </w:r>
      <w:r>
        <w:rPr>
          <w:color w:val="231F20"/>
        </w:rPr>
        <w:t>другим</w:t>
      </w:r>
      <w:r>
        <w:rPr>
          <w:color w:val="231F20"/>
          <w:spacing w:val="-3"/>
        </w:rPr>
        <w:t xml:space="preserve"> </w:t>
      </w:r>
      <w:r>
        <w:rPr>
          <w:color w:val="231F20"/>
        </w:rPr>
        <w:t>културама</w:t>
      </w:r>
      <w:r>
        <w:rPr>
          <w:color w:val="231F20"/>
          <w:spacing w:val="-3"/>
        </w:rPr>
        <w:t xml:space="preserve"> </w:t>
      </w:r>
      <w:r>
        <w:rPr>
          <w:color w:val="231F20"/>
        </w:rPr>
        <w:t>уз</w:t>
      </w:r>
      <w:r>
        <w:rPr>
          <w:color w:val="231F20"/>
          <w:spacing w:val="-3"/>
        </w:rPr>
        <w:t xml:space="preserve"> </w:t>
      </w:r>
      <w:r>
        <w:rPr>
          <w:color w:val="231F20"/>
        </w:rPr>
        <w:t>уважавање</w:t>
      </w:r>
      <w:r>
        <w:rPr>
          <w:color w:val="231F20"/>
          <w:spacing w:val="-3"/>
        </w:rPr>
        <w:t xml:space="preserve"> </w:t>
      </w:r>
      <w:r>
        <w:rPr>
          <w:color w:val="231F20"/>
        </w:rPr>
        <w:t>различитости</w:t>
      </w:r>
      <w:r>
        <w:rPr>
          <w:color w:val="231F20"/>
          <w:spacing w:val="-3"/>
        </w:rPr>
        <w:t xml:space="preserve"> </w:t>
      </w:r>
      <w:r>
        <w:rPr>
          <w:color w:val="231F20"/>
        </w:rPr>
        <w:t>и</w:t>
      </w:r>
      <w:r>
        <w:rPr>
          <w:color w:val="231F20"/>
          <w:spacing w:val="-4"/>
        </w:rPr>
        <w:t xml:space="preserve"> </w:t>
      </w:r>
      <w:r>
        <w:rPr>
          <w:color w:val="231F20"/>
        </w:rPr>
        <w:t>усвајањез­ нања и умења потребних у комуникацији на страном језику у усменом и писаном</w:t>
      </w:r>
      <w:r>
        <w:rPr>
          <w:color w:val="231F20"/>
          <w:spacing w:val="-8"/>
        </w:rPr>
        <w:t xml:space="preserve"> </w:t>
      </w:r>
      <w:r>
        <w:rPr>
          <w:color w:val="231F20"/>
          <w:spacing w:val="-4"/>
        </w:rPr>
        <w:t>облику.</w:t>
      </w:r>
    </w:p>
    <w:p w:rsidR="00041039" w:rsidRDefault="001B26CB">
      <w:pPr>
        <w:tabs>
          <w:tab w:val="left" w:pos="1460"/>
        </w:tabs>
        <w:spacing w:before="48"/>
        <w:ind w:left="156"/>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6"/>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tcPr>
          <w:p w:rsidR="00041039" w:rsidRDefault="001B26CB">
            <w:pPr>
              <w:pStyle w:val="TableParagraph"/>
              <w:spacing w:before="16"/>
              <w:ind w:left="56"/>
              <w:rPr>
                <w:b/>
                <w:sz w:val="14"/>
              </w:rPr>
            </w:pPr>
            <w:r>
              <w:rPr>
                <w:b/>
                <w:color w:val="231F20"/>
                <w:sz w:val="14"/>
              </w:rPr>
              <w:t>ЦИЉ</w:t>
            </w:r>
          </w:p>
        </w:tc>
        <w:tc>
          <w:tcPr>
            <w:tcW w:w="3118" w:type="dxa"/>
          </w:tcPr>
          <w:p w:rsidR="00041039" w:rsidRDefault="001B26CB">
            <w:pPr>
              <w:pStyle w:val="TableParagraph"/>
              <w:spacing w:before="16" w:line="161" w:lineRule="exact"/>
              <w:ind w:left="56"/>
              <w:rPr>
                <w:b/>
                <w:sz w:val="14"/>
              </w:rPr>
            </w:pPr>
            <w:r>
              <w:rPr>
                <w:b/>
                <w:color w:val="231F20"/>
                <w:sz w:val="14"/>
              </w:rPr>
              <w:t>ИСХОДИ</w:t>
            </w:r>
          </w:p>
          <w:p w:rsidR="00041039" w:rsidRDefault="001B26CB">
            <w:pPr>
              <w:pStyle w:val="TableParagraph"/>
              <w:spacing w:line="161" w:lineRule="exact"/>
              <w:ind w:left="56"/>
              <w:rPr>
                <w:sz w:val="14"/>
              </w:rPr>
            </w:pPr>
            <w:r>
              <w:rPr>
                <w:color w:val="231F20"/>
                <w:sz w:val="14"/>
              </w:rPr>
              <w:t>По завршетку теме ученик ће бити у стању да:</w:t>
            </w:r>
          </w:p>
        </w:tc>
        <w:tc>
          <w:tcPr>
            <w:tcW w:w="3288" w:type="dxa"/>
          </w:tcPr>
          <w:p w:rsidR="00041039" w:rsidRDefault="001B26CB">
            <w:pPr>
              <w:pStyle w:val="TableParagraph"/>
              <w:spacing w:before="16"/>
              <w:ind w:left="56"/>
              <w:rPr>
                <w:b/>
                <w:sz w:val="14"/>
              </w:rPr>
            </w:pPr>
            <w:r>
              <w:rPr>
                <w:b/>
                <w:color w:val="231F20"/>
                <w:sz w:val="14"/>
              </w:rPr>
              <w:t>ПРЕПОРУЧЕНЕ ОПШТЕ ТЕМЕ</w:t>
            </w:r>
          </w:p>
        </w:tc>
        <w:tc>
          <w:tcPr>
            <w:tcW w:w="2834" w:type="dxa"/>
          </w:tcPr>
          <w:p w:rsidR="00041039" w:rsidRDefault="001B26CB">
            <w:pPr>
              <w:pStyle w:val="TableParagraph"/>
              <w:spacing w:before="16"/>
              <w:ind w:left="56"/>
              <w:rPr>
                <w:b/>
                <w:sz w:val="14"/>
              </w:rPr>
            </w:pPr>
            <w:r>
              <w:rPr>
                <w:b/>
                <w:color w:val="231F20"/>
                <w:sz w:val="14"/>
              </w:rPr>
              <w:t>КОМУНИКАТИВНЕ ФУНКЦИЈЕ</w:t>
            </w:r>
          </w:p>
        </w:tc>
      </w:tr>
      <w:tr w:rsidR="00041039">
        <w:trPr>
          <w:trHeight w:val="2120"/>
        </w:trPr>
        <w:tc>
          <w:tcPr>
            <w:tcW w:w="1304" w:type="dxa"/>
          </w:tcPr>
          <w:p w:rsidR="00041039" w:rsidRDefault="001B26CB">
            <w:pPr>
              <w:pStyle w:val="TableParagraph"/>
              <w:spacing w:before="18"/>
              <w:ind w:left="56"/>
              <w:rPr>
                <w:sz w:val="14"/>
              </w:rPr>
            </w:pPr>
            <w:r>
              <w:rPr>
                <w:color w:val="231F20"/>
                <w:sz w:val="14"/>
              </w:rPr>
              <w:t>СЛУШАЊЕ</w:t>
            </w:r>
          </w:p>
          <w:p w:rsidR="00041039" w:rsidRDefault="00041039">
            <w:pPr>
              <w:pStyle w:val="TableParagraph"/>
              <w:spacing w:before="11"/>
              <w:ind w:left="0"/>
              <w:rPr>
                <w:b/>
                <w:sz w:val="12"/>
              </w:rPr>
            </w:pPr>
          </w:p>
          <w:p w:rsidR="00041039" w:rsidRDefault="001B26CB">
            <w:pPr>
              <w:pStyle w:val="TableParagraph"/>
              <w:tabs>
                <w:tab w:val="left" w:pos="157"/>
              </w:tabs>
              <w:ind w:right="166" w:hanging="100"/>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tcPr>
          <w:p w:rsidR="00041039" w:rsidRDefault="001B26CB">
            <w:pPr>
              <w:pStyle w:val="TableParagraph"/>
              <w:tabs>
                <w:tab w:val="left" w:pos="157"/>
              </w:tabs>
              <w:spacing w:before="8"/>
              <w:ind w:right="215" w:hanging="100"/>
              <w:rPr>
                <w:sz w:val="14"/>
              </w:rPr>
            </w:pPr>
            <w:r>
              <w:rPr>
                <w:color w:val="231F20"/>
                <w:sz w:val="14"/>
              </w:rPr>
              <w:t>разуме реченице, питања и упутства из</w:t>
            </w:r>
            <w:r>
              <w:rPr>
                <w:color w:val="231F20"/>
                <w:spacing w:val="-23"/>
                <w:sz w:val="14"/>
              </w:rPr>
              <w:t xml:space="preserve"> </w:t>
            </w:r>
            <w:r>
              <w:rPr>
                <w:color w:val="231F20"/>
                <w:sz w:val="14"/>
              </w:rPr>
              <w:t>свако­ дневног говора (кратка упутства изговорена споро и</w:t>
            </w:r>
            <w:r>
              <w:rPr>
                <w:color w:val="231F20"/>
                <w:spacing w:val="-2"/>
                <w:sz w:val="14"/>
              </w:rPr>
              <w:t xml:space="preserve"> </w:t>
            </w:r>
            <w:r>
              <w:rPr>
                <w:color w:val="231F20"/>
                <w:sz w:val="14"/>
              </w:rPr>
              <w:t>разговетно);</w:t>
            </w:r>
          </w:p>
          <w:p w:rsidR="00041039" w:rsidRDefault="001B26CB">
            <w:pPr>
              <w:pStyle w:val="TableParagraph"/>
              <w:tabs>
                <w:tab w:val="left" w:pos="157"/>
              </w:tabs>
              <w:spacing w:line="157" w:lineRule="exact"/>
              <w:ind w:hanging="100"/>
              <w:rPr>
                <w:sz w:val="14"/>
              </w:rPr>
            </w:pPr>
            <w:r>
              <w:rPr>
                <w:color w:val="231F20"/>
                <w:sz w:val="14"/>
              </w:rPr>
              <w:t>разуме општи садржај краћих,</w:t>
            </w:r>
            <w:r>
              <w:rPr>
                <w:color w:val="231F20"/>
                <w:spacing w:val="-5"/>
                <w:sz w:val="14"/>
              </w:rPr>
              <w:t xml:space="preserve"> </w:t>
            </w:r>
            <w:r>
              <w:rPr>
                <w:color w:val="231F20"/>
                <w:sz w:val="14"/>
              </w:rPr>
              <w:t>прилагођених</w:t>
            </w:r>
          </w:p>
          <w:p w:rsidR="00041039" w:rsidRDefault="001B26CB">
            <w:pPr>
              <w:pStyle w:val="TableParagraph"/>
              <w:rPr>
                <w:sz w:val="14"/>
              </w:rPr>
            </w:pPr>
            <w:r>
              <w:rPr>
                <w:color w:val="231F20"/>
                <w:sz w:val="14"/>
              </w:rPr>
              <w:t>текстова после неколико слушања или уз помоћ визуелних ефеката (на упутствима, ознакама, етикетама);</w:t>
            </w:r>
          </w:p>
          <w:p w:rsidR="00041039" w:rsidRDefault="001B26CB">
            <w:pPr>
              <w:pStyle w:val="TableParagraph"/>
              <w:tabs>
                <w:tab w:val="left" w:pos="157"/>
              </w:tabs>
              <w:spacing w:line="159" w:lineRule="exact"/>
              <w:ind w:hanging="100"/>
              <w:rPr>
                <w:sz w:val="14"/>
              </w:rPr>
            </w:pPr>
            <w:r>
              <w:rPr>
                <w:color w:val="231F20"/>
                <w:sz w:val="14"/>
              </w:rPr>
              <w:t>разуме бројеве (цене, рачуне, тачно</w:t>
            </w:r>
            <w:r>
              <w:rPr>
                <w:color w:val="231F20"/>
                <w:spacing w:val="-10"/>
                <w:sz w:val="14"/>
              </w:rPr>
              <w:t xml:space="preserve"> </w:t>
            </w:r>
            <w:r>
              <w:rPr>
                <w:color w:val="231F20"/>
                <w:sz w:val="14"/>
              </w:rPr>
              <w:t>време);</w:t>
            </w:r>
          </w:p>
        </w:tc>
        <w:tc>
          <w:tcPr>
            <w:tcW w:w="3288" w:type="dxa"/>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tabs>
                <w:tab w:val="left" w:pos="157"/>
              </w:tabs>
              <w:spacing w:line="237" w:lineRule="auto"/>
              <w:ind w:right="305" w:hanging="100"/>
              <w:rPr>
                <w:sz w:val="14"/>
              </w:rPr>
            </w:pPr>
            <w:r>
              <w:rPr>
                <w:color w:val="231F20"/>
                <w:sz w:val="14"/>
              </w:rPr>
              <w:t>Свакодневни</w:t>
            </w:r>
            <w:r>
              <w:rPr>
                <w:color w:val="231F20"/>
                <w:spacing w:val="-9"/>
                <w:sz w:val="14"/>
              </w:rPr>
              <w:t xml:space="preserve"> </w:t>
            </w:r>
            <w:r>
              <w:rPr>
                <w:color w:val="231F20"/>
                <w:sz w:val="14"/>
              </w:rPr>
              <w:t>живот</w:t>
            </w:r>
            <w:r>
              <w:rPr>
                <w:color w:val="231F20"/>
                <w:spacing w:val="-9"/>
                <w:sz w:val="14"/>
              </w:rPr>
              <w:t xml:space="preserve"> </w:t>
            </w:r>
            <w:r>
              <w:rPr>
                <w:color w:val="231F20"/>
                <w:sz w:val="14"/>
              </w:rPr>
              <w:t>(организација</w:t>
            </w:r>
            <w:r>
              <w:rPr>
                <w:color w:val="231F20"/>
                <w:spacing w:val="-9"/>
                <w:sz w:val="14"/>
              </w:rPr>
              <w:t xml:space="preserve"> </w:t>
            </w:r>
            <w:r>
              <w:rPr>
                <w:color w:val="231F20"/>
                <w:sz w:val="14"/>
              </w:rPr>
              <w:t>времена,</w:t>
            </w:r>
            <w:r>
              <w:rPr>
                <w:color w:val="231F20"/>
                <w:spacing w:val="-10"/>
                <w:sz w:val="14"/>
              </w:rPr>
              <w:t xml:space="preserve"> </w:t>
            </w:r>
            <w:r>
              <w:rPr>
                <w:color w:val="231F20"/>
                <w:sz w:val="14"/>
              </w:rPr>
              <w:t>по­ слова, слободно</w:t>
            </w:r>
            <w:r>
              <w:rPr>
                <w:color w:val="231F20"/>
                <w:spacing w:val="-1"/>
                <w:sz w:val="14"/>
              </w:rPr>
              <w:t xml:space="preserve"> </w:t>
            </w:r>
            <w:r>
              <w:rPr>
                <w:color w:val="231F20"/>
                <w:sz w:val="14"/>
              </w:rPr>
              <w:t>време).</w:t>
            </w:r>
          </w:p>
          <w:p w:rsidR="00041039" w:rsidRDefault="001B26CB">
            <w:pPr>
              <w:pStyle w:val="TableParagraph"/>
              <w:tabs>
                <w:tab w:val="left" w:pos="157"/>
              </w:tabs>
              <w:spacing w:line="160" w:lineRule="exact"/>
              <w:ind w:right="293" w:hanging="100"/>
              <w:rPr>
                <w:sz w:val="14"/>
              </w:rPr>
            </w:pPr>
            <w:r>
              <w:rPr>
                <w:color w:val="231F20"/>
                <w:sz w:val="14"/>
              </w:rPr>
              <w:t>Храна и здравље (навике у исхра</w:t>
            </w:r>
            <w:r>
              <w:rPr>
                <w:color w:val="231F20"/>
                <w:sz w:val="14"/>
              </w:rPr>
              <w:t>ни,</w:t>
            </w:r>
            <w:r>
              <w:rPr>
                <w:color w:val="231F20"/>
                <w:spacing w:val="-20"/>
                <w:sz w:val="14"/>
              </w:rPr>
              <w:t xml:space="preserve"> </w:t>
            </w:r>
            <w:r>
              <w:rPr>
                <w:color w:val="231F20"/>
                <w:sz w:val="14"/>
              </w:rPr>
              <w:t>карактери­ стична јела и пића у земљама</w:t>
            </w:r>
            <w:r>
              <w:rPr>
                <w:color w:val="231F20"/>
                <w:spacing w:val="-5"/>
                <w:sz w:val="14"/>
              </w:rPr>
              <w:t xml:space="preserve"> </w:t>
            </w:r>
            <w:r>
              <w:rPr>
                <w:color w:val="231F20"/>
                <w:sz w:val="14"/>
              </w:rPr>
              <w:t>света).</w:t>
            </w:r>
          </w:p>
          <w:p w:rsidR="00041039" w:rsidRDefault="001B26CB">
            <w:pPr>
              <w:pStyle w:val="TableParagraph"/>
              <w:tabs>
                <w:tab w:val="left" w:pos="157"/>
              </w:tabs>
              <w:spacing w:line="153" w:lineRule="exact"/>
              <w:ind w:hanging="100"/>
              <w:rPr>
                <w:sz w:val="14"/>
              </w:rPr>
            </w:pPr>
            <w:r>
              <w:rPr>
                <w:color w:val="231F20"/>
                <w:sz w:val="14"/>
              </w:rPr>
              <w:t>Познати</w:t>
            </w:r>
            <w:r>
              <w:rPr>
                <w:color w:val="231F20"/>
                <w:spacing w:val="-8"/>
                <w:sz w:val="14"/>
              </w:rPr>
              <w:t xml:space="preserve"> </w:t>
            </w:r>
            <w:r>
              <w:rPr>
                <w:color w:val="231F20"/>
                <w:sz w:val="14"/>
              </w:rPr>
              <w:t>градови</w:t>
            </w:r>
            <w:r>
              <w:rPr>
                <w:color w:val="231F20"/>
                <w:spacing w:val="-9"/>
                <w:sz w:val="14"/>
              </w:rPr>
              <w:t xml:space="preserve"> </w:t>
            </w:r>
            <w:r>
              <w:rPr>
                <w:color w:val="231F20"/>
                <w:sz w:val="14"/>
              </w:rPr>
              <w:t>и</w:t>
            </w:r>
            <w:r>
              <w:rPr>
                <w:color w:val="231F20"/>
                <w:spacing w:val="-9"/>
                <w:sz w:val="14"/>
              </w:rPr>
              <w:t xml:space="preserve"> </w:t>
            </w:r>
            <w:r>
              <w:rPr>
                <w:color w:val="231F20"/>
                <w:sz w:val="14"/>
              </w:rPr>
              <w:t>њихове</w:t>
            </w:r>
            <w:r>
              <w:rPr>
                <w:color w:val="231F20"/>
                <w:spacing w:val="-8"/>
                <w:sz w:val="14"/>
              </w:rPr>
              <w:t xml:space="preserve"> </w:t>
            </w:r>
            <w:r>
              <w:rPr>
                <w:color w:val="231F20"/>
                <w:sz w:val="14"/>
              </w:rPr>
              <w:t>знаменитости.</w:t>
            </w:r>
          </w:p>
          <w:p w:rsidR="00041039" w:rsidRDefault="001B26CB">
            <w:pPr>
              <w:pStyle w:val="TableParagraph"/>
              <w:tabs>
                <w:tab w:val="left" w:pos="157"/>
              </w:tabs>
              <w:spacing w:line="160" w:lineRule="exact"/>
              <w:ind w:hanging="100"/>
              <w:rPr>
                <w:sz w:val="14"/>
              </w:rPr>
            </w:pPr>
            <w:r>
              <w:rPr>
                <w:color w:val="231F20"/>
                <w:sz w:val="14"/>
              </w:rPr>
              <w:t>Спортови и позната спортска</w:t>
            </w:r>
            <w:r>
              <w:rPr>
                <w:color w:val="231F20"/>
                <w:spacing w:val="-15"/>
                <w:sz w:val="14"/>
              </w:rPr>
              <w:t xml:space="preserve"> </w:t>
            </w:r>
            <w:r>
              <w:rPr>
                <w:color w:val="231F20"/>
                <w:sz w:val="14"/>
              </w:rPr>
              <w:t>такмичења.</w:t>
            </w:r>
          </w:p>
          <w:p w:rsidR="00041039" w:rsidRDefault="001B26CB">
            <w:pPr>
              <w:pStyle w:val="TableParagraph"/>
              <w:tabs>
                <w:tab w:val="left" w:pos="157"/>
              </w:tabs>
              <w:spacing w:line="237" w:lineRule="auto"/>
              <w:ind w:right="365" w:hanging="100"/>
              <w:rPr>
                <w:sz w:val="14"/>
              </w:rPr>
            </w:pPr>
            <w:r>
              <w:rPr>
                <w:color w:val="231F20"/>
                <w:sz w:val="14"/>
              </w:rPr>
              <w:t xml:space="preserve">Живот и дела славних </w:t>
            </w:r>
            <w:r>
              <w:rPr>
                <w:color w:val="231F20"/>
                <w:spacing w:val="-3"/>
                <w:sz w:val="14"/>
              </w:rPr>
              <w:t xml:space="preserve">људи </w:t>
            </w:r>
            <w:r>
              <w:rPr>
                <w:color w:val="231F20"/>
                <w:sz w:val="14"/>
              </w:rPr>
              <w:t xml:space="preserve">ХХ века (из света </w:t>
            </w:r>
            <w:r>
              <w:rPr>
                <w:color w:val="231F20"/>
                <w:spacing w:val="-3"/>
                <w:sz w:val="14"/>
              </w:rPr>
              <w:t>науке,</w:t>
            </w:r>
            <w:r>
              <w:rPr>
                <w:color w:val="231F20"/>
                <w:spacing w:val="-1"/>
                <w:sz w:val="14"/>
              </w:rPr>
              <w:t xml:space="preserve"> </w:t>
            </w:r>
            <w:r>
              <w:rPr>
                <w:color w:val="231F20"/>
                <w:sz w:val="14"/>
              </w:rPr>
              <w:t>културе).</w:t>
            </w:r>
          </w:p>
          <w:p w:rsidR="00041039" w:rsidRDefault="001B26CB">
            <w:pPr>
              <w:pStyle w:val="TableParagraph"/>
              <w:tabs>
                <w:tab w:val="left" w:pos="157"/>
              </w:tabs>
              <w:spacing w:line="155" w:lineRule="exact"/>
              <w:ind w:hanging="100"/>
              <w:rPr>
                <w:sz w:val="14"/>
              </w:rPr>
            </w:pPr>
            <w:r>
              <w:rPr>
                <w:color w:val="231F20"/>
                <w:sz w:val="14"/>
              </w:rPr>
              <w:t>Медији (штампа,</w:t>
            </w:r>
            <w:r>
              <w:rPr>
                <w:color w:val="231F20"/>
                <w:spacing w:val="-1"/>
                <w:sz w:val="14"/>
              </w:rPr>
              <w:t xml:space="preserve"> </w:t>
            </w:r>
            <w:r>
              <w:rPr>
                <w:color w:val="231F20"/>
                <w:sz w:val="14"/>
              </w:rPr>
              <w:t>телевизија).</w:t>
            </w:r>
          </w:p>
          <w:p w:rsidR="00041039" w:rsidRDefault="001B26CB">
            <w:pPr>
              <w:pStyle w:val="TableParagraph"/>
              <w:tabs>
                <w:tab w:val="left" w:pos="157"/>
              </w:tabs>
              <w:spacing w:line="160" w:lineRule="exact"/>
              <w:ind w:hanging="100"/>
              <w:rPr>
                <w:sz w:val="14"/>
              </w:rPr>
            </w:pPr>
            <w:r>
              <w:rPr>
                <w:color w:val="231F20"/>
                <w:sz w:val="14"/>
              </w:rPr>
              <w:t>Интересантне животне приче и</w:t>
            </w:r>
            <w:r>
              <w:rPr>
                <w:color w:val="231F20"/>
                <w:spacing w:val="-4"/>
                <w:sz w:val="14"/>
              </w:rPr>
              <w:t xml:space="preserve"> </w:t>
            </w:r>
            <w:r>
              <w:rPr>
                <w:color w:val="231F20"/>
                <w:sz w:val="14"/>
              </w:rPr>
              <w:t>догађаји.</w:t>
            </w:r>
          </w:p>
          <w:p w:rsidR="00041039" w:rsidRDefault="001B26CB">
            <w:pPr>
              <w:pStyle w:val="TableParagraph"/>
              <w:tabs>
                <w:tab w:val="left" w:pos="157"/>
              </w:tabs>
              <w:spacing w:line="166" w:lineRule="exact"/>
              <w:ind w:hanging="100"/>
              <w:rPr>
                <w:sz w:val="14"/>
              </w:rPr>
            </w:pPr>
            <w:r>
              <w:rPr>
                <w:color w:val="231F20"/>
                <w:sz w:val="14"/>
              </w:rPr>
              <w:t>Свет компјутера (распрострањеност и</w:t>
            </w:r>
            <w:r>
              <w:rPr>
                <w:color w:val="231F20"/>
                <w:spacing w:val="-7"/>
                <w:sz w:val="14"/>
              </w:rPr>
              <w:t xml:space="preserve"> </w:t>
            </w:r>
            <w:r>
              <w:rPr>
                <w:color w:val="231F20"/>
                <w:sz w:val="14"/>
              </w:rPr>
              <w:t>примена).</w:t>
            </w:r>
          </w:p>
        </w:tc>
        <w:tc>
          <w:tcPr>
            <w:tcW w:w="2834" w:type="dxa"/>
            <w:vMerge w:val="restart"/>
          </w:tcPr>
          <w:p w:rsidR="00041039" w:rsidRDefault="001B26CB">
            <w:pPr>
              <w:pStyle w:val="TableParagraph"/>
              <w:tabs>
                <w:tab w:val="left" w:pos="162"/>
              </w:tabs>
              <w:spacing w:before="18" w:line="161" w:lineRule="exact"/>
              <w:ind w:left="161" w:hanging="105"/>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tabs>
                <w:tab w:val="left" w:pos="162"/>
              </w:tabs>
              <w:ind w:left="161" w:right="282" w:hanging="105"/>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tabs>
                <w:tab w:val="left" w:pos="162"/>
              </w:tabs>
              <w:spacing w:line="237" w:lineRule="auto"/>
              <w:ind w:left="161" w:right="455" w:hanging="10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tabs>
                <w:tab w:val="left" w:pos="162"/>
              </w:tabs>
              <w:spacing w:line="160" w:lineRule="exact"/>
              <w:ind w:left="161" w:hanging="105"/>
              <w:rPr>
                <w:sz w:val="14"/>
              </w:rPr>
            </w:pPr>
            <w:r>
              <w:rPr>
                <w:color w:val="231F20"/>
                <w:sz w:val="14"/>
              </w:rPr>
              <w:t>Давање једноставних упутста</w:t>
            </w:r>
            <w:r>
              <w:rPr>
                <w:color w:val="231F20"/>
                <w:sz w:val="14"/>
              </w:rPr>
              <w:t>ва и</w:t>
            </w:r>
            <w:r>
              <w:rPr>
                <w:color w:val="231F20"/>
                <w:spacing w:val="-10"/>
                <w:sz w:val="14"/>
              </w:rPr>
              <w:t xml:space="preserve"> </w:t>
            </w:r>
            <w:r>
              <w:rPr>
                <w:color w:val="231F20"/>
                <w:sz w:val="14"/>
              </w:rPr>
              <w:t>команди.</w:t>
            </w:r>
          </w:p>
          <w:p w:rsidR="00041039" w:rsidRDefault="001B26CB">
            <w:pPr>
              <w:pStyle w:val="TableParagraph"/>
              <w:tabs>
                <w:tab w:val="left" w:pos="162"/>
              </w:tabs>
              <w:spacing w:line="160" w:lineRule="exact"/>
              <w:ind w:left="161" w:hanging="105"/>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tabs>
                <w:tab w:val="left" w:pos="162"/>
              </w:tabs>
              <w:spacing w:line="160" w:lineRule="exact"/>
              <w:ind w:left="161" w:hanging="105"/>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tabs>
                <w:tab w:val="left" w:pos="162"/>
              </w:tabs>
              <w:spacing w:line="160" w:lineRule="exact"/>
              <w:ind w:left="161" w:hanging="105"/>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tabs>
                <w:tab w:val="left" w:pos="162"/>
              </w:tabs>
              <w:spacing w:line="160" w:lineRule="exact"/>
              <w:ind w:left="161" w:hanging="105"/>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tabs>
                <w:tab w:val="left" w:pos="162"/>
              </w:tabs>
              <w:spacing w:line="160" w:lineRule="exact"/>
              <w:ind w:left="161" w:hanging="105"/>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tabs>
                <w:tab w:val="left" w:pos="162"/>
              </w:tabs>
              <w:ind w:left="161" w:right="370" w:hanging="105"/>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tabs>
                <w:tab w:val="left" w:pos="162"/>
              </w:tabs>
              <w:ind w:left="161" w:right="627" w:hanging="105"/>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tabs>
                <w:tab w:val="left" w:pos="162"/>
              </w:tabs>
              <w:ind w:left="161" w:right="273" w:hanging="105"/>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tabs>
                <w:tab w:val="left" w:pos="162"/>
              </w:tabs>
              <w:spacing w:line="159" w:lineRule="exact"/>
              <w:ind w:left="161" w:hanging="105"/>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tabs>
                <w:tab w:val="left" w:pos="162"/>
              </w:tabs>
              <w:spacing w:line="160" w:lineRule="exact"/>
              <w:ind w:left="161" w:hanging="105"/>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tabs>
                <w:tab w:val="left" w:pos="162"/>
              </w:tabs>
              <w:spacing w:line="160" w:lineRule="exact"/>
              <w:ind w:left="161" w:hanging="105"/>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tabs>
                <w:tab w:val="left" w:pos="162"/>
              </w:tabs>
              <w:ind w:left="161" w:right="124" w:hanging="105"/>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tc>
      </w:tr>
      <w:tr w:rsidR="00041039">
        <w:trPr>
          <w:trHeight w:val="1589"/>
        </w:trPr>
        <w:tc>
          <w:tcPr>
            <w:tcW w:w="1304" w:type="dxa"/>
          </w:tcPr>
          <w:p w:rsidR="00041039" w:rsidRDefault="001B26CB">
            <w:pPr>
              <w:pStyle w:val="TableParagraph"/>
              <w:spacing w:before="19"/>
              <w:ind w:left="56"/>
              <w:rPr>
                <w:sz w:val="14"/>
              </w:rPr>
            </w:pPr>
            <w:r>
              <w:rPr>
                <w:color w:val="231F20"/>
                <w:sz w:val="14"/>
              </w:rPr>
              <w:t>ЧИТАЊЕ</w:t>
            </w:r>
          </w:p>
          <w:p w:rsidR="00041039" w:rsidRDefault="00041039">
            <w:pPr>
              <w:pStyle w:val="TableParagraph"/>
              <w:spacing w:before="11"/>
              <w:ind w:left="0"/>
              <w:rPr>
                <w:b/>
                <w:sz w:val="12"/>
              </w:rPr>
            </w:pPr>
          </w:p>
          <w:p w:rsidR="00041039" w:rsidRDefault="001B26CB">
            <w:pPr>
              <w:pStyle w:val="TableParagraph"/>
              <w:tabs>
                <w:tab w:val="left" w:pos="157"/>
              </w:tabs>
              <w:ind w:right="131" w:hanging="100"/>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tcPr>
          <w:p w:rsidR="00041039" w:rsidRDefault="001B26CB">
            <w:pPr>
              <w:pStyle w:val="TableParagraph"/>
              <w:tabs>
                <w:tab w:val="left" w:pos="157"/>
              </w:tabs>
              <w:spacing w:before="9"/>
              <w:ind w:right="228" w:hanging="100"/>
              <w:jc w:val="both"/>
              <w:rPr>
                <w:sz w:val="14"/>
              </w:rPr>
            </w:pPr>
            <w:r>
              <w:rPr>
                <w:color w:val="231F20"/>
                <w:sz w:val="14"/>
              </w:rPr>
              <w:t>у</w:t>
            </w:r>
            <w:r>
              <w:rPr>
                <w:color w:val="231F20"/>
                <w:spacing w:val="-8"/>
                <w:sz w:val="14"/>
              </w:rPr>
              <w:t xml:space="preserve"> </w:t>
            </w:r>
            <w:r>
              <w:rPr>
                <w:color w:val="231F20"/>
                <w:sz w:val="14"/>
              </w:rPr>
              <w:t>непознатом</w:t>
            </w:r>
            <w:r>
              <w:rPr>
                <w:color w:val="231F20"/>
                <w:spacing w:val="-8"/>
                <w:sz w:val="14"/>
              </w:rPr>
              <w:t xml:space="preserve"> </w:t>
            </w:r>
            <w:r>
              <w:rPr>
                <w:color w:val="231F20"/>
                <w:sz w:val="14"/>
              </w:rPr>
              <w:t>тексту</w:t>
            </w:r>
            <w:r>
              <w:rPr>
                <w:color w:val="231F20"/>
                <w:spacing w:val="-8"/>
                <w:sz w:val="14"/>
              </w:rPr>
              <w:t xml:space="preserve"> </w:t>
            </w:r>
            <w:r>
              <w:rPr>
                <w:color w:val="231F20"/>
                <w:sz w:val="14"/>
              </w:rPr>
              <w:t>препознаје</w:t>
            </w:r>
            <w:r>
              <w:rPr>
                <w:color w:val="231F20"/>
                <w:spacing w:val="-9"/>
                <w:sz w:val="14"/>
              </w:rPr>
              <w:t xml:space="preserve"> </w:t>
            </w:r>
            <w:r>
              <w:rPr>
                <w:color w:val="231F20"/>
                <w:sz w:val="14"/>
              </w:rPr>
              <w:t>познате</w:t>
            </w:r>
            <w:r>
              <w:rPr>
                <w:color w:val="231F20"/>
                <w:spacing w:val="-8"/>
                <w:sz w:val="14"/>
              </w:rPr>
              <w:t xml:space="preserve"> </w:t>
            </w:r>
            <w:r>
              <w:rPr>
                <w:color w:val="231F20"/>
                <w:sz w:val="14"/>
              </w:rPr>
              <w:t>речи, изразе</w:t>
            </w:r>
            <w:r>
              <w:rPr>
                <w:color w:val="231F20"/>
                <w:spacing w:val="-5"/>
                <w:sz w:val="14"/>
              </w:rPr>
              <w:t xml:space="preserve"> </w:t>
            </w:r>
            <w:r>
              <w:rPr>
                <w:color w:val="231F20"/>
                <w:sz w:val="14"/>
              </w:rPr>
              <w:t>и</w:t>
            </w:r>
            <w:r>
              <w:rPr>
                <w:color w:val="231F20"/>
                <w:spacing w:val="-5"/>
                <w:sz w:val="14"/>
              </w:rPr>
              <w:t xml:space="preserve"> </w:t>
            </w:r>
            <w:r>
              <w:rPr>
                <w:color w:val="231F20"/>
                <w:sz w:val="14"/>
              </w:rPr>
              <w:t>реченице</w:t>
            </w:r>
            <w:r>
              <w:rPr>
                <w:color w:val="231F20"/>
                <w:spacing w:val="-5"/>
                <w:sz w:val="14"/>
              </w:rPr>
              <w:t xml:space="preserve"> </w:t>
            </w:r>
            <w:r>
              <w:rPr>
                <w:color w:val="231F20"/>
                <w:sz w:val="14"/>
              </w:rPr>
              <w:t>(нпр.</w:t>
            </w:r>
            <w:r>
              <w:rPr>
                <w:color w:val="231F20"/>
                <w:spacing w:val="-5"/>
                <w:sz w:val="14"/>
              </w:rPr>
              <w:t xml:space="preserve"> </w:t>
            </w:r>
            <w:r>
              <w:rPr>
                <w:color w:val="231F20"/>
                <w:sz w:val="14"/>
              </w:rPr>
              <w:t>у</w:t>
            </w:r>
            <w:r>
              <w:rPr>
                <w:color w:val="231F20"/>
                <w:spacing w:val="-5"/>
                <w:sz w:val="14"/>
              </w:rPr>
              <w:t xml:space="preserve"> </w:t>
            </w:r>
            <w:r>
              <w:rPr>
                <w:color w:val="231F20"/>
                <w:sz w:val="14"/>
              </w:rPr>
              <w:t>огласима,</w:t>
            </w:r>
            <w:r>
              <w:rPr>
                <w:color w:val="231F20"/>
                <w:spacing w:val="-5"/>
                <w:sz w:val="14"/>
              </w:rPr>
              <w:t xml:space="preserve"> </w:t>
            </w:r>
            <w:r>
              <w:rPr>
                <w:color w:val="231F20"/>
                <w:sz w:val="14"/>
              </w:rPr>
              <w:t>на</w:t>
            </w:r>
            <w:r>
              <w:rPr>
                <w:color w:val="231F20"/>
                <w:spacing w:val="-5"/>
                <w:sz w:val="14"/>
              </w:rPr>
              <w:t xml:space="preserve"> </w:t>
            </w:r>
            <w:r>
              <w:rPr>
                <w:color w:val="231F20"/>
                <w:sz w:val="14"/>
              </w:rPr>
              <w:t>плака­ тима);</w:t>
            </w:r>
          </w:p>
          <w:p w:rsidR="00041039" w:rsidRDefault="001B26CB">
            <w:pPr>
              <w:pStyle w:val="TableParagraph"/>
              <w:tabs>
                <w:tab w:val="left" w:pos="157"/>
              </w:tabs>
              <w:spacing w:line="157" w:lineRule="exact"/>
              <w:ind w:hanging="100"/>
              <w:rPr>
                <w:sz w:val="14"/>
              </w:rPr>
            </w:pPr>
            <w:r>
              <w:rPr>
                <w:color w:val="231F20"/>
                <w:sz w:val="14"/>
              </w:rPr>
              <w:t>разуме општи садржај и смисао краћих</w:t>
            </w:r>
            <w:r>
              <w:rPr>
                <w:color w:val="231F20"/>
                <w:spacing w:val="-10"/>
                <w:sz w:val="14"/>
              </w:rPr>
              <w:t xml:space="preserve"> </w:t>
            </w:r>
            <w:r>
              <w:rPr>
                <w:color w:val="231F20"/>
                <w:sz w:val="14"/>
              </w:rPr>
              <w:t>текстова</w:t>
            </w:r>
          </w:p>
          <w:p w:rsidR="00041039" w:rsidRDefault="001B26CB">
            <w:pPr>
              <w:pStyle w:val="TableParagraph"/>
              <w:rPr>
                <w:sz w:val="14"/>
              </w:rPr>
            </w:pPr>
            <w:r>
              <w:rPr>
                <w:color w:val="231F20"/>
                <w:sz w:val="14"/>
              </w:rPr>
              <w:t>(саопштења, формуларе са подацима о некој особи, основне команде на машинама / компју­ теру, декларације о производима, упутства за употребу и коришћење);</w:t>
            </w:r>
          </w:p>
        </w:tc>
        <w:tc>
          <w:tcPr>
            <w:tcW w:w="3288" w:type="dxa"/>
          </w:tcPr>
          <w:p w:rsidR="00041039" w:rsidRDefault="00041039">
            <w:pPr>
              <w:pStyle w:val="TableParagraph"/>
              <w:ind w:left="0"/>
              <w:rPr>
                <w:sz w:val="14"/>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ГОВОР</w:t>
            </w:r>
          </w:p>
          <w:p w:rsidR="00041039" w:rsidRDefault="00041039">
            <w:pPr>
              <w:pStyle w:val="TableParagraph"/>
              <w:spacing w:before="11"/>
              <w:ind w:left="0"/>
              <w:rPr>
                <w:b/>
                <w:sz w:val="12"/>
              </w:rPr>
            </w:pPr>
          </w:p>
          <w:p w:rsidR="00041039" w:rsidRDefault="001B26CB">
            <w:pPr>
              <w:pStyle w:val="TableParagraph"/>
              <w:tabs>
                <w:tab w:val="left" w:pos="157"/>
              </w:tabs>
              <w:ind w:right="79" w:hanging="100"/>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tcPr>
          <w:p w:rsidR="00041039" w:rsidRDefault="001B26CB">
            <w:pPr>
              <w:pStyle w:val="TableParagraph"/>
              <w:tabs>
                <w:tab w:val="left" w:pos="157"/>
              </w:tabs>
              <w:spacing w:before="8"/>
              <w:ind w:right="76" w:hanging="100"/>
              <w:rPr>
                <w:sz w:val="14"/>
              </w:rPr>
            </w:pPr>
            <w:r>
              <w:rPr>
                <w:color w:val="231F20"/>
                <w:sz w:val="14"/>
              </w:rPr>
              <w:t>употребљава једноставне изразе и реченице да би представио свакодневне, себи блиске лично­ сти, активности, ситуације и</w:t>
            </w:r>
            <w:r>
              <w:rPr>
                <w:color w:val="231F20"/>
                <w:spacing w:val="-2"/>
                <w:sz w:val="14"/>
              </w:rPr>
              <w:t xml:space="preserve"> </w:t>
            </w:r>
            <w:r>
              <w:rPr>
                <w:color w:val="231F20"/>
                <w:sz w:val="14"/>
              </w:rPr>
              <w:t>догађаје;</w:t>
            </w:r>
          </w:p>
        </w:tc>
        <w:tc>
          <w:tcPr>
            <w:tcW w:w="3288"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tabs>
                <w:tab w:val="left" w:pos="162"/>
              </w:tabs>
              <w:spacing w:before="18" w:line="161" w:lineRule="exact"/>
              <w:ind w:left="161" w:hanging="105"/>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tabs>
                <w:tab w:val="left" w:pos="162"/>
              </w:tabs>
              <w:spacing w:line="160" w:lineRule="exact"/>
              <w:ind w:left="161" w:hanging="105"/>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tabs>
                <w:tab w:val="left" w:pos="162"/>
              </w:tabs>
              <w:spacing w:line="160" w:lineRule="exact"/>
              <w:ind w:left="161" w:hanging="105"/>
              <w:rPr>
                <w:sz w:val="14"/>
              </w:rPr>
            </w:pPr>
            <w:r>
              <w:rPr>
                <w:color w:val="231F20"/>
                <w:sz w:val="14"/>
              </w:rPr>
              <w:t>Исказивање</w:t>
            </w:r>
            <w:r>
              <w:rPr>
                <w:color w:val="231F20"/>
                <w:spacing w:val="-1"/>
                <w:sz w:val="14"/>
              </w:rPr>
              <w:t xml:space="preserve"> </w:t>
            </w:r>
            <w:r>
              <w:rPr>
                <w:color w:val="231F20"/>
                <w:sz w:val="14"/>
              </w:rPr>
              <w:t>преп</w:t>
            </w:r>
            <w:r>
              <w:rPr>
                <w:color w:val="231F20"/>
                <w:sz w:val="14"/>
              </w:rPr>
              <w:t>оруке.</w:t>
            </w:r>
          </w:p>
          <w:p w:rsidR="00041039" w:rsidRDefault="001B26CB">
            <w:pPr>
              <w:pStyle w:val="TableParagraph"/>
              <w:tabs>
                <w:tab w:val="left" w:pos="162"/>
              </w:tabs>
              <w:spacing w:line="160" w:lineRule="exact"/>
              <w:ind w:left="161" w:hanging="105"/>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tabs>
                <w:tab w:val="left" w:pos="162"/>
              </w:tabs>
              <w:spacing w:line="161" w:lineRule="exact"/>
              <w:ind w:left="161" w:hanging="105"/>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ПИСАЊЕ</w:t>
            </w:r>
          </w:p>
        </w:tc>
        <w:tc>
          <w:tcPr>
            <w:tcW w:w="3118" w:type="dxa"/>
            <w:vMerge w:val="restart"/>
          </w:tcPr>
          <w:p w:rsidR="00041039" w:rsidRDefault="001B26CB">
            <w:pPr>
              <w:pStyle w:val="TableParagraph"/>
              <w:tabs>
                <w:tab w:val="left" w:pos="157"/>
              </w:tabs>
              <w:spacing w:before="8" w:line="166" w:lineRule="exact"/>
              <w:ind w:hanging="100"/>
              <w:rPr>
                <w:sz w:val="14"/>
              </w:rPr>
            </w:pPr>
            <w:r>
              <w:rPr>
                <w:color w:val="231F20"/>
                <w:sz w:val="14"/>
              </w:rPr>
              <w:t>саставља кратак текст о одговарајућој</w:t>
            </w:r>
            <w:r>
              <w:rPr>
                <w:color w:val="231F20"/>
                <w:spacing w:val="-6"/>
                <w:sz w:val="14"/>
              </w:rPr>
              <w:t xml:space="preserve"> </w:t>
            </w:r>
            <w:r>
              <w:rPr>
                <w:color w:val="231F20"/>
                <w:sz w:val="14"/>
              </w:rPr>
              <w:t>теми</w:t>
            </w:r>
          </w:p>
          <w:p w:rsidR="00041039" w:rsidRDefault="001B26CB">
            <w:pPr>
              <w:pStyle w:val="TableParagraph"/>
              <w:tabs>
                <w:tab w:val="left" w:pos="157"/>
              </w:tabs>
              <w:spacing w:line="237" w:lineRule="auto"/>
              <w:ind w:right="73" w:hanging="100"/>
              <w:rPr>
                <w:sz w:val="14"/>
              </w:rPr>
            </w:pPr>
            <w:r>
              <w:rPr>
                <w:color w:val="231F20"/>
                <w:sz w:val="14"/>
              </w:rPr>
              <w:t>пише кратке поруке релевантне за посао</w:t>
            </w:r>
            <w:r>
              <w:rPr>
                <w:color w:val="231F20"/>
                <w:spacing w:val="-19"/>
                <w:sz w:val="14"/>
              </w:rPr>
              <w:t xml:space="preserve"> </w:t>
            </w:r>
            <w:r>
              <w:rPr>
                <w:color w:val="231F20"/>
                <w:sz w:val="14"/>
              </w:rPr>
              <w:t>(место, термини</w:t>
            </w:r>
            <w:r>
              <w:rPr>
                <w:color w:val="231F20"/>
                <w:spacing w:val="-1"/>
                <w:sz w:val="14"/>
              </w:rPr>
              <w:t xml:space="preserve"> </w:t>
            </w:r>
            <w:r>
              <w:rPr>
                <w:color w:val="231F20"/>
                <w:sz w:val="14"/>
              </w:rPr>
              <w:t>састанка);</w:t>
            </w:r>
          </w:p>
          <w:p w:rsidR="00041039" w:rsidRDefault="001B26CB">
            <w:pPr>
              <w:pStyle w:val="TableParagraph"/>
              <w:tabs>
                <w:tab w:val="left" w:pos="157"/>
              </w:tabs>
              <w:spacing w:line="155" w:lineRule="exact"/>
              <w:ind w:hanging="100"/>
              <w:rPr>
                <w:sz w:val="14"/>
              </w:rPr>
            </w:pPr>
            <w:r>
              <w:rPr>
                <w:color w:val="231F20"/>
                <w:sz w:val="14"/>
              </w:rPr>
              <w:t>пише краћи текст о себи и свом</w:t>
            </w:r>
            <w:r>
              <w:rPr>
                <w:color w:val="231F20"/>
                <w:spacing w:val="-8"/>
                <w:sz w:val="14"/>
              </w:rPr>
              <w:t xml:space="preserve"> </w:t>
            </w:r>
            <w:r>
              <w:rPr>
                <w:color w:val="231F20"/>
                <w:sz w:val="14"/>
              </w:rPr>
              <w:t>окружењу</w:t>
            </w:r>
          </w:p>
          <w:p w:rsidR="00041039" w:rsidRDefault="001B26CB">
            <w:pPr>
              <w:pStyle w:val="TableParagraph"/>
              <w:tabs>
                <w:tab w:val="left" w:pos="157"/>
              </w:tabs>
              <w:spacing w:line="237" w:lineRule="auto"/>
              <w:ind w:left="56" w:right="585"/>
              <w:rPr>
                <w:sz w:val="14"/>
              </w:rPr>
            </w:pPr>
            <w:r>
              <w:rPr>
                <w:color w:val="231F20"/>
                <w:sz w:val="14"/>
              </w:rPr>
              <w:t xml:space="preserve">попуњава формулар </w:t>
            </w:r>
            <w:r>
              <w:rPr>
                <w:color w:val="231F20"/>
                <w:spacing w:val="-3"/>
                <w:sz w:val="14"/>
              </w:rPr>
              <w:t xml:space="preserve">где </w:t>
            </w:r>
            <w:r>
              <w:rPr>
                <w:color w:val="231F20"/>
                <w:sz w:val="14"/>
              </w:rPr>
              <w:t>се траже</w:t>
            </w:r>
            <w:r>
              <w:rPr>
                <w:color w:val="231F20"/>
                <w:spacing w:val="-20"/>
                <w:sz w:val="14"/>
              </w:rPr>
              <w:t xml:space="preserve"> </w:t>
            </w:r>
            <w:r>
              <w:rPr>
                <w:color w:val="231F20"/>
                <w:sz w:val="14"/>
              </w:rPr>
              <w:t>лични подаци;</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901"/>
        </w:trPr>
        <w:tc>
          <w:tcPr>
            <w:tcW w:w="1304" w:type="dxa"/>
            <w:tcBorders>
              <w:top w:val="nil"/>
            </w:tcBorders>
          </w:tcPr>
          <w:p w:rsidR="00041039" w:rsidRDefault="001B26CB">
            <w:pPr>
              <w:pStyle w:val="TableParagraph"/>
              <w:tabs>
                <w:tab w:val="left" w:pos="157"/>
              </w:tabs>
              <w:spacing w:before="69"/>
              <w:ind w:right="70" w:hanging="10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tabs>
                <w:tab w:val="left" w:pos="157"/>
              </w:tabs>
              <w:spacing w:before="8"/>
              <w:ind w:right="52" w:hanging="100"/>
              <w:rPr>
                <w:sz w:val="14"/>
              </w:rPr>
            </w:pPr>
            <w:r>
              <w:rPr>
                <w:color w:val="231F20"/>
                <w:sz w:val="14"/>
              </w:rPr>
              <w:t>на једноставан начин се споразумева са</w:t>
            </w:r>
            <w:r>
              <w:rPr>
                <w:color w:val="231F20"/>
                <w:spacing w:val="-18"/>
                <w:sz w:val="14"/>
              </w:rPr>
              <w:t xml:space="preserve"> </w:t>
            </w:r>
            <w:r>
              <w:rPr>
                <w:color w:val="231F20"/>
                <w:sz w:val="14"/>
              </w:rPr>
              <w:t xml:space="preserve">саговор­ </w:t>
            </w:r>
            <w:r>
              <w:rPr>
                <w:color w:val="231F20"/>
                <w:spacing w:val="-3"/>
                <w:sz w:val="14"/>
              </w:rPr>
              <w:t xml:space="preserve">ником </w:t>
            </w:r>
            <w:r>
              <w:rPr>
                <w:color w:val="231F20"/>
                <w:sz w:val="14"/>
              </w:rPr>
              <w:t>који говори споро и</w:t>
            </w:r>
            <w:r>
              <w:rPr>
                <w:color w:val="231F20"/>
                <w:spacing w:val="-2"/>
                <w:sz w:val="14"/>
              </w:rPr>
              <w:t xml:space="preserve"> </w:t>
            </w:r>
            <w:r>
              <w:rPr>
                <w:color w:val="231F20"/>
                <w:sz w:val="14"/>
              </w:rPr>
              <w:t>разговетно;</w:t>
            </w:r>
          </w:p>
          <w:p w:rsidR="00041039" w:rsidRDefault="001B26CB">
            <w:pPr>
              <w:pStyle w:val="TableParagraph"/>
              <w:tabs>
                <w:tab w:val="left" w:pos="157"/>
              </w:tabs>
              <w:spacing w:before="1" w:line="160" w:lineRule="exact"/>
              <w:ind w:right="274" w:hanging="100"/>
              <w:rPr>
                <w:sz w:val="14"/>
              </w:rPr>
            </w:pPr>
            <w:r>
              <w:rPr>
                <w:color w:val="231F20"/>
                <w:sz w:val="14"/>
              </w:rPr>
              <w:t>поставља једноставна питања у вези са поз­ натим темама из живота као и да усмено</w:t>
            </w:r>
            <w:r>
              <w:rPr>
                <w:color w:val="231F20"/>
                <w:spacing w:val="-20"/>
                <w:sz w:val="14"/>
              </w:rPr>
              <w:t xml:space="preserve"> </w:t>
            </w:r>
            <w:r>
              <w:rPr>
                <w:color w:val="231F20"/>
                <w:sz w:val="14"/>
              </w:rPr>
              <w:t>или писмено</w:t>
            </w:r>
            <w:r>
              <w:rPr>
                <w:color w:val="231F20"/>
                <w:spacing w:val="-6"/>
                <w:sz w:val="14"/>
              </w:rPr>
              <w:t xml:space="preserve"> </w:t>
            </w:r>
            <w:r>
              <w:rPr>
                <w:color w:val="231F20"/>
                <w:sz w:val="14"/>
              </w:rPr>
              <w:t>одговара</w:t>
            </w:r>
            <w:r>
              <w:rPr>
                <w:color w:val="231F20"/>
                <w:spacing w:val="-5"/>
                <w:sz w:val="14"/>
              </w:rPr>
              <w:t xml:space="preserve"> </w:t>
            </w:r>
            <w:r>
              <w:rPr>
                <w:color w:val="231F20"/>
                <w:sz w:val="14"/>
              </w:rPr>
              <w:t>на</w:t>
            </w:r>
            <w:r>
              <w:rPr>
                <w:color w:val="231F20"/>
                <w:spacing w:val="-6"/>
                <w:sz w:val="14"/>
              </w:rPr>
              <w:t xml:space="preserve"> </w:t>
            </w:r>
            <w:r>
              <w:rPr>
                <w:color w:val="231F20"/>
                <w:sz w:val="14"/>
              </w:rPr>
              <w:t>иста</w:t>
            </w:r>
            <w:r>
              <w:rPr>
                <w:color w:val="231F20"/>
                <w:spacing w:val="-5"/>
                <w:sz w:val="14"/>
              </w:rPr>
              <w:t xml:space="preserve"> </w:t>
            </w:r>
            <w:r>
              <w:rPr>
                <w:color w:val="231F20"/>
                <w:sz w:val="14"/>
              </w:rPr>
              <w:t>(бројеви,</w:t>
            </w:r>
            <w:r>
              <w:rPr>
                <w:color w:val="231F20"/>
                <w:spacing w:val="-5"/>
                <w:sz w:val="14"/>
              </w:rPr>
              <w:t xml:space="preserve"> </w:t>
            </w:r>
            <w:r>
              <w:rPr>
                <w:color w:val="231F20"/>
                <w:sz w:val="14"/>
              </w:rPr>
              <w:t>подаци</w:t>
            </w:r>
            <w:r>
              <w:rPr>
                <w:color w:val="231F20"/>
                <w:spacing w:val="-5"/>
                <w:sz w:val="14"/>
              </w:rPr>
              <w:t xml:space="preserve"> </w:t>
            </w:r>
            <w:r>
              <w:rPr>
                <w:color w:val="231F20"/>
                <w:sz w:val="14"/>
              </w:rPr>
              <w:t>о количинама, време,</w:t>
            </w:r>
            <w:r>
              <w:rPr>
                <w:color w:val="231F20"/>
                <w:spacing w:val="-3"/>
                <w:sz w:val="14"/>
              </w:rPr>
              <w:t xml:space="preserve"> </w:t>
            </w:r>
            <w:r>
              <w:rPr>
                <w:color w:val="231F20"/>
                <w:sz w:val="14"/>
              </w:rPr>
              <w:t>датум);</w:t>
            </w:r>
          </w:p>
          <w:p w:rsidR="00041039" w:rsidRDefault="001B26CB">
            <w:pPr>
              <w:pStyle w:val="TableParagraph"/>
              <w:tabs>
                <w:tab w:val="left" w:pos="157"/>
              </w:tabs>
              <w:spacing w:line="160" w:lineRule="exact"/>
              <w:ind w:right="90" w:hanging="100"/>
              <w:rPr>
                <w:sz w:val="14"/>
              </w:rPr>
            </w:pPr>
            <w:r>
              <w:rPr>
                <w:color w:val="231F20"/>
                <w:sz w:val="14"/>
              </w:rPr>
              <w:t xml:space="preserve">напише </w:t>
            </w:r>
            <w:r>
              <w:rPr>
                <w:color w:val="231F20"/>
                <w:spacing w:val="-2"/>
                <w:sz w:val="14"/>
              </w:rPr>
              <w:t xml:space="preserve">кратко </w:t>
            </w:r>
            <w:r>
              <w:rPr>
                <w:color w:val="231F20"/>
                <w:sz w:val="14"/>
              </w:rPr>
              <w:t xml:space="preserve">лично писмо, </w:t>
            </w:r>
            <w:r>
              <w:rPr>
                <w:color w:val="231F20"/>
                <w:spacing w:val="-3"/>
                <w:sz w:val="14"/>
              </w:rPr>
              <w:t>поруку,</w:t>
            </w:r>
            <w:r>
              <w:rPr>
                <w:color w:val="231F20"/>
                <w:spacing w:val="-23"/>
                <w:sz w:val="14"/>
              </w:rPr>
              <w:t xml:space="preserve"> </w:t>
            </w:r>
            <w:r>
              <w:rPr>
                <w:color w:val="231F20"/>
                <w:sz w:val="14"/>
              </w:rPr>
              <w:t xml:space="preserve">разгледни­ </w:t>
            </w:r>
            <w:r>
              <w:rPr>
                <w:color w:val="231F20"/>
                <w:spacing w:val="-6"/>
                <w:sz w:val="14"/>
              </w:rPr>
              <w:t>цу,</w:t>
            </w:r>
            <w:r>
              <w:rPr>
                <w:color w:val="231F20"/>
                <w:sz w:val="14"/>
              </w:rPr>
              <w:t xml:space="preserve"> честитку;</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133" w:hanging="100"/>
              <w:rPr>
                <w:sz w:val="14"/>
              </w:rPr>
            </w:pPr>
            <w:r>
              <w:rPr>
                <w:color w:val="231F20"/>
                <w:sz w:val="14"/>
              </w:rPr>
              <w:t>Оспособљавање ученика за учешће у дијалогу на страном језику</w:t>
            </w:r>
            <w:r>
              <w:rPr>
                <w:color w:val="231F20"/>
                <w:spacing w:val="-5"/>
                <w:sz w:val="14"/>
              </w:rPr>
              <w:t xml:space="preserve"> </w:t>
            </w:r>
            <w:r>
              <w:rPr>
                <w:color w:val="231F20"/>
                <w:sz w:val="14"/>
              </w:rPr>
              <w:t>и размену краћих писаних</w:t>
            </w:r>
            <w:r>
              <w:rPr>
                <w:color w:val="231F20"/>
                <w:spacing w:val="-5"/>
                <w:sz w:val="14"/>
              </w:rPr>
              <w:t xml:space="preserve"> </w:t>
            </w:r>
            <w:r>
              <w:rPr>
                <w:color w:val="231F20"/>
                <w:sz w:val="14"/>
              </w:rPr>
              <w:t>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tcBorders>
              <w:bottom w:val="nil"/>
            </w:tcBorders>
          </w:tcPr>
          <w:p w:rsidR="00041039" w:rsidRDefault="001B26CB">
            <w:pPr>
              <w:pStyle w:val="TableParagraph"/>
              <w:tabs>
                <w:tab w:val="left" w:pos="157"/>
              </w:tabs>
              <w:spacing w:before="9"/>
              <w:ind w:hanging="100"/>
              <w:rPr>
                <w:sz w:val="14"/>
              </w:rPr>
            </w:pPr>
            <w:r>
              <w:rPr>
                <w:color w:val="231F20"/>
                <w:sz w:val="14"/>
              </w:rPr>
              <w:t>На овом нивоу није</w:t>
            </w:r>
            <w:r>
              <w:rPr>
                <w:color w:val="231F20"/>
                <w:spacing w:val="-5"/>
                <w:sz w:val="14"/>
              </w:rPr>
              <w:t xml:space="preserve"> </w:t>
            </w:r>
            <w:r>
              <w:rPr>
                <w:color w:val="231F20"/>
                <w:sz w:val="14"/>
              </w:rPr>
              <w:t>предвиђена;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060"/>
        </w:trPr>
        <w:tc>
          <w:tcPr>
            <w:tcW w:w="1304" w:type="dxa"/>
            <w:tcBorders>
              <w:top w:val="nil"/>
            </w:tcBorders>
          </w:tcPr>
          <w:p w:rsidR="00041039" w:rsidRDefault="001B26CB">
            <w:pPr>
              <w:pStyle w:val="TableParagraph"/>
              <w:tabs>
                <w:tab w:val="left" w:pos="157"/>
              </w:tabs>
              <w:spacing w:before="69"/>
              <w:ind w:right="63" w:hanging="100"/>
              <w:rPr>
                <w:sz w:val="14"/>
              </w:rPr>
            </w:pPr>
            <w:r>
              <w:rPr>
                <w:color w:val="231F20"/>
                <w:sz w:val="14"/>
              </w:rPr>
              <w:t>Оспособљавање ученика да</w:t>
            </w:r>
            <w:r>
              <w:rPr>
                <w:color w:val="231F20"/>
                <w:spacing w:val="-7"/>
                <w:sz w:val="14"/>
              </w:rPr>
              <w:t xml:space="preserve"> </w:t>
            </w:r>
            <w:r>
              <w:rPr>
                <w:color w:val="231F20"/>
                <w:sz w:val="14"/>
              </w:rPr>
              <w:t>прево­ ди, сажима и пре­ причава садржај краћих усмених и писаних</w:t>
            </w:r>
            <w:r>
              <w:rPr>
                <w:color w:val="231F20"/>
                <w:spacing w:val="-8"/>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409"/>
        </w:trPr>
        <w:tc>
          <w:tcPr>
            <w:tcW w:w="1304" w:type="dxa"/>
            <w:tcBorders>
              <w:bottom w:val="nil"/>
            </w:tcBorders>
          </w:tcPr>
          <w:p w:rsidR="00041039" w:rsidRDefault="001B26CB">
            <w:pPr>
              <w:pStyle w:val="TableParagraph"/>
              <w:spacing w:before="19"/>
              <w:ind w:left="56" w:right="331"/>
              <w:rPr>
                <w:sz w:val="14"/>
              </w:rPr>
            </w:pPr>
            <w:r>
              <w:rPr>
                <w:color w:val="231F20"/>
                <w:sz w:val="14"/>
              </w:rPr>
              <w:t>МЕДИЈСКА ПИСМЕНОСТ</w:t>
            </w:r>
          </w:p>
        </w:tc>
        <w:tc>
          <w:tcPr>
            <w:tcW w:w="3118" w:type="dxa"/>
            <w:vMerge w:val="restart"/>
          </w:tcPr>
          <w:p w:rsidR="00041039" w:rsidRDefault="001B26CB">
            <w:pPr>
              <w:pStyle w:val="TableParagraph"/>
              <w:tabs>
                <w:tab w:val="left" w:pos="157"/>
              </w:tabs>
              <w:spacing w:before="9"/>
              <w:ind w:right="181" w:hanging="100"/>
              <w:rPr>
                <w:sz w:val="14"/>
              </w:rPr>
            </w:pPr>
            <w:r>
              <w:rPr>
                <w:color w:val="231F20"/>
                <w:sz w:val="14"/>
              </w:rPr>
              <w:t>препознаје и правилно користи основне</w:t>
            </w:r>
            <w:r>
              <w:rPr>
                <w:color w:val="231F20"/>
                <w:spacing w:val="-21"/>
                <w:sz w:val="14"/>
              </w:rPr>
              <w:t xml:space="preserve"> </w:t>
            </w:r>
            <w:r>
              <w:rPr>
                <w:color w:val="231F20"/>
                <w:sz w:val="14"/>
              </w:rPr>
              <w:t>фоно­ лошке (интонација, прозодија,</w:t>
            </w:r>
            <w:r>
              <w:rPr>
                <w:color w:val="231F20"/>
                <w:spacing w:val="-3"/>
                <w:sz w:val="14"/>
              </w:rPr>
              <w:t xml:space="preserve"> </w:t>
            </w:r>
            <w:r>
              <w:rPr>
                <w:color w:val="231F20"/>
                <w:sz w:val="14"/>
              </w:rPr>
              <w:t>ритам);</w:t>
            </w:r>
          </w:p>
          <w:p w:rsidR="00041039" w:rsidRDefault="001B26CB">
            <w:pPr>
              <w:pStyle w:val="TableParagraph"/>
              <w:tabs>
                <w:tab w:val="left" w:pos="157"/>
              </w:tabs>
              <w:spacing w:line="160" w:lineRule="exact"/>
              <w:ind w:right="313" w:hanging="100"/>
              <w:rPr>
                <w:sz w:val="14"/>
              </w:rPr>
            </w:pPr>
            <w:r>
              <w:rPr>
                <w:color w:val="231F20"/>
                <w:sz w:val="14"/>
              </w:rPr>
              <w:t>и морфосинтаксичке категорије</w:t>
            </w:r>
            <w:r>
              <w:rPr>
                <w:color w:val="231F20"/>
                <w:spacing w:val="-23"/>
                <w:sz w:val="14"/>
              </w:rPr>
              <w:t xml:space="preserve"> </w:t>
            </w:r>
            <w:r>
              <w:rPr>
                <w:color w:val="231F20"/>
                <w:sz w:val="14"/>
              </w:rPr>
              <w:t xml:space="preserve">(именичкии </w:t>
            </w:r>
            <w:r>
              <w:rPr>
                <w:color w:val="231F20"/>
                <w:spacing w:val="-3"/>
                <w:sz w:val="14"/>
              </w:rPr>
              <w:t xml:space="preserve">глаголски </w:t>
            </w:r>
            <w:r>
              <w:rPr>
                <w:color w:val="231F20"/>
                <w:sz w:val="14"/>
              </w:rPr>
              <w:t>наставци, основни ред</w:t>
            </w:r>
            <w:r>
              <w:rPr>
                <w:color w:val="231F20"/>
                <w:spacing w:val="1"/>
                <w:sz w:val="14"/>
              </w:rPr>
              <w:t xml:space="preserve"> </w:t>
            </w:r>
            <w:r>
              <w:rPr>
                <w:color w:val="231F20"/>
                <w:sz w:val="14"/>
              </w:rPr>
              <w:t>речи);</w:t>
            </w:r>
          </w:p>
          <w:p w:rsidR="00041039" w:rsidRDefault="001B26CB">
            <w:pPr>
              <w:pStyle w:val="TableParagraph"/>
              <w:tabs>
                <w:tab w:val="left" w:pos="157"/>
              </w:tabs>
              <w:spacing w:line="160" w:lineRule="exact"/>
              <w:ind w:right="116" w:hanging="100"/>
              <w:rPr>
                <w:sz w:val="14"/>
              </w:rPr>
            </w:pPr>
            <w:r>
              <w:rPr>
                <w:color w:val="231F20"/>
                <w:sz w:val="14"/>
              </w:rPr>
              <w:t>користи садржаје медијске продукције</w:t>
            </w:r>
            <w:r>
              <w:rPr>
                <w:color w:val="231F20"/>
                <w:spacing w:val="-25"/>
                <w:sz w:val="14"/>
              </w:rPr>
              <w:t xml:space="preserve"> </w:t>
            </w:r>
            <w:r>
              <w:rPr>
                <w:color w:val="231F20"/>
                <w:sz w:val="14"/>
              </w:rPr>
              <w:t>намење­ не учењу страних језика (штамп</w:t>
            </w:r>
            <w:r>
              <w:rPr>
                <w:color w:val="231F20"/>
                <w:sz w:val="14"/>
              </w:rPr>
              <w:t xml:space="preserve">ани медији, </w:t>
            </w:r>
            <w:r>
              <w:rPr>
                <w:color w:val="231F20"/>
                <w:spacing w:val="-4"/>
                <w:sz w:val="14"/>
              </w:rPr>
              <w:t xml:space="preserve">аудио </w:t>
            </w:r>
            <w:r>
              <w:rPr>
                <w:color w:val="231F20"/>
                <w:sz w:val="14"/>
              </w:rPr>
              <w:t>/ видео записи, компакт диск, интернет итд.);</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54" w:hanging="100"/>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9"/>
        <w:rPr>
          <w:b/>
          <w:sz w:val="16"/>
        </w:rPr>
      </w:pPr>
    </w:p>
    <w:p w:rsidR="00041039" w:rsidRDefault="001B26CB">
      <w:pPr>
        <w:pStyle w:val="ListParagraph"/>
        <w:tabs>
          <w:tab w:val="left" w:pos="613"/>
        </w:tabs>
        <w:spacing w:line="203" w:lineRule="exact"/>
        <w:ind w:left="612" w:hanging="115"/>
        <w:rPr>
          <w:b/>
          <w:sz w:val="18"/>
        </w:rPr>
      </w:pPr>
      <w:r>
        <w:rPr>
          <w:b/>
          <w:color w:val="231F20"/>
          <w:sz w:val="18"/>
        </w:rPr>
        <w:t>РЕЧЕНИЦА</w:t>
      </w:r>
    </w:p>
    <w:p w:rsidR="00041039" w:rsidRDefault="001B26CB">
      <w:pPr>
        <w:pStyle w:val="Heading2"/>
      </w:pPr>
      <w:r>
        <w:rPr>
          <w:color w:val="231F20"/>
        </w:rPr>
        <w:t>Обновити реченичне моделе обухваћене програмом за основну школу.</w:t>
      </w:r>
    </w:p>
    <w:p w:rsidR="00041039" w:rsidRDefault="001B26CB">
      <w:pPr>
        <w:pStyle w:val="ListParagraph"/>
        <w:numPr>
          <w:ilvl w:val="1"/>
          <w:numId w:val="0"/>
        </w:numPr>
        <w:tabs>
          <w:tab w:val="left" w:pos="633"/>
        </w:tabs>
        <w:ind w:left="632" w:hanging="135"/>
        <w:rPr>
          <w:color w:val="231F20"/>
          <w:sz w:val="18"/>
        </w:rPr>
      </w:pPr>
      <w:r>
        <w:rPr>
          <w:color w:val="231F20"/>
          <w:sz w:val="18"/>
        </w:rPr>
        <w:t>Ред речи у реченици. Место прилога и прилошких</w:t>
      </w:r>
      <w:r>
        <w:rPr>
          <w:color w:val="231F20"/>
          <w:spacing w:val="-6"/>
          <w:sz w:val="18"/>
        </w:rPr>
        <w:t xml:space="preserve"> </w:t>
      </w:r>
      <w:r>
        <w:rPr>
          <w:color w:val="231F20"/>
          <w:sz w:val="18"/>
        </w:rPr>
        <w:t>одредби;</w:t>
      </w:r>
    </w:p>
    <w:p w:rsidR="00041039" w:rsidRDefault="001B26CB">
      <w:pPr>
        <w:pStyle w:val="ListParagraph"/>
        <w:tabs>
          <w:tab w:val="left" w:pos="633"/>
        </w:tabs>
        <w:rPr>
          <w:i/>
          <w:sz w:val="18"/>
        </w:rPr>
      </w:pPr>
      <w:r>
        <w:rPr>
          <w:i/>
          <w:color w:val="231F20"/>
          <w:spacing w:val="-6"/>
          <w:sz w:val="18"/>
        </w:rPr>
        <w:t>Tag</w:t>
      </w:r>
      <w:r>
        <w:rPr>
          <w:i/>
          <w:color w:val="231F20"/>
          <w:sz w:val="18"/>
        </w:rPr>
        <w:t xml:space="preserve"> questions;</w:t>
      </w:r>
    </w:p>
    <w:p w:rsidR="00041039" w:rsidRDefault="001B26CB">
      <w:pPr>
        <w:pStyle w:val="ListParagraph"/>
        <w:tabs>
          <w:tab w:val="left" w:pos="633"/>
        </w:tabs>
        <w:rPr>
          <w:sz w:val="18"/>
        </w:rPr>
      </w:pPr>
      <w:r>
        <w:rPr>
          <w:i/>
          <w:color w:val="231F20"/>
          <w:spacing w:val="-6"/>
          <w:sz w:val="18"/>
        </w:rPr>
        <w:t xml:space="preserve">Yes </w:t>
      </w:r>
      <w:r>
        <w:rPr>
          <w:i/>
          <w:color w:val="231F20"/>
          <w:sz w:val="18"/>
        </w:rPr>
        <w:t>/ No</w:t>
      </w:r>
      <w:r>
        <w:rPr>
          <w:i/>
          <w:color w:val="231F20"/>
          <w:spacing w:val="5"/>
          <w:sz w:val="18"/>
        </w:rPr>
        <w:t xml:space="preserve"> </w:t>
      </w:r>
      <w:r>
        <w:rPr>
          <w:color w:val="231F20"/>
          <w:sz w:val="18"/>
        </w:rPr>
        <w:t>питања;</w:t>
      </w:r>
    </w:p>
    <w:p w:rsidR="00041039" w:rsidRDefault="001B26CB">
      <w:pPr>
        <w:pStyle w:val="ListParagraph"/>
        <w:tabs>
          <w:tab w:val="left" w:pos="633"/>
        </w:tabs>
        <w:spacing w:line="203" w:lineRule="exact"/>
        <w:rPr>
          <w:sz w:val="18"/>
        </w:rPr>
      </w:pPr>
      <w:r>
        <w:rPr>
          <w:i/>
          <w:color w:val="231F20"/>
          <w:sz w:val="18"/>
        </w:rPr>
        <w:t>“WH”</w:t>
      </w:r>
      <w:r>
        <w:rPr>
          <w:i/>
          <w:color w:val="231F20"/>
          <w:spacing w:val="-1"/>
          <w:sz w:val="18"/>
        </w:rPr>
        <w:t xml:space="preserve"> </w:t>
      </w:r>
      <w:r>
        <w:rPr>
          <w:color w:val="231F20"/>
          <w:sz w:val="18"/>
        </w:rPr>
        <w:t>питања.</w:t>
      </w:r>
    </w:p>
    <w:p w:rsidR="00041039" w:rsidRDefault="00041039">
      <w:pPr>
        <w:pStyle w:val="BodyText"/>
        <w:spacing w:before="9"/>
        <w:rPr>
          <w:sz w:val="16"/>
        </w:rPr>
      </w:pPr>
    </w:p>
    <w:p w:rsidR="00041039" w:rsidRDefault="001B26CB">
      <w:pPr>
        <w:pStyle w:val="Heading1"/>
        <w:tabs>
          <w:tab w:val="left" w:pos="683"/>
        </w:tabs>
        <w:spacing w:before="0"/>
        <w:ind w:left="682" w:hanging="185"/>
      </w:pPr>
      <w:r>
        <w:rPr>
          <w:color w:val="231F20"/>
        </w:rPr>
        <w:t>ИМЕНИЧКА</w:t>
      </w:r>
      <w:r>
        <w:rPr>
          <w:color w:val="231F20"/>
          <w:spacing w:val="-2"/>
        </w:rPr>
        <w:t xml:space="preserve"> </w:t>
      </w:r>
      <w:r>
        <w:rPr>
          <w:color w:val="231F20"/>
        </w:rPr>
        <w:t>ГРУПА</w:t>
      </w:r>
    </w:p>
    <w:p w:rsidR="00041039" w:rsidRDefault="001B26CB">
      <w:pPr>
        <w:pStyle w:val="Heading2"/>
        <w:tabs>
          <w:tab w:val="left" w:pos="678"/>
        </w:tabs>
      </w:pPr>
      <w:r>
        <w:rPr>
          <w:color w:val="231F20"/>
        </w:rPr>
        <w:t>Члан</w:t>
      </w:r>
    </w:p>
    <w:p w:rsidR="00041039" w:rsidRDefault="001B26CB">
      <w:pPr>
        <w:pStyle w:val="ListParagraph"/>
        <w:tabs>
          <w:tab w:val="left" w:pos="633"/>
        </w:tabs>
        <w:ind w:left="497" w:firstLine="0"/>
        <w:rPr>
          <w:sz w:val="18"/>
        </w:rPr>
      </w:pPr>
      <w:r>
        <w:rPr>
          <w:color w:val="231F20"/>
          <w:sz w:val="18"/>
        </w:rPr>
        <w:t>Обновити употребу одређеног и неодређеног</w:t>
      </w:r>
      <w:r>
        <w:rPr>
          <w:color w:val="231F20"/>
          <w:spacing w:val="-3"/>
          <w:sz w:val="18"/>
        </w:rPr>
        <w:t xml:space="preserve"> </w:t>
      </w:r>
      <w:r>
        <w:rPr>
          <w:color w:val="231F20"/>
          <w:sz w:val="18"/>
        </w:rPr>
        <w:t>члана;</w:t>
      </w:r>
    </w:p>
    <w:p w:rsidR="00041039" w:rsidRDefault="001B26CB">
      <w:pPr>
        <w:pStyle w:val="ListParagraph"/>
        <w:tabs>
          <w:tab w:val="left" w:pos="633"/>
        </w:tabs>
        <w:ind w:left="497" w:firstLine="0"/>
        <w:rPr>
          <w:sz w:val="18"/>
        </w:rPr>
      </w:pPr>
      <w:r>
        <w:rPr>
          <w:color w:val="231F20"/>
          <w:spacing w:val="-3"/>
          <w:sz w:val="18"/>
        </w:rPr>
        <w:t xml:space="preserve">Нулти </w:t>
      </w:r>
      <w:r>
        <w:rPr>
          <w:color w:val="231F20"/>
          <w:sz w:val="18"/>
        </w:rPr>
        <w:t>члан уз градивне и апстрактне</w:t>
      </w:r>
      <w:r>
        <w:rPr>
          <w:color w:val="231F20"/>
          <w:spacing w:val="-1"/>
          <w:sz w:val="18"/>
        </w:rPr>
        <w:t xml:space="preserve"> </w:t>
      </w:r>
      <w:r>
        <w:rPr>
          <w:color w:val="231F20"/>
          <w:sz w:val="18"/>
        </w:rPr>
        <w:t>именице.</w:t>
      </w:r>
    </w:p>
    <w:p w:rsidR="00041039" w:rsidRDefault="001B26CB">
      <w:pPr>
        <w:pStyle w:val="ListParagraph"/>
        <w:tabs>
          <w:tab w:val="left" w:pos="678"/>
        </w:tabs>
        <w:ind w:left="497" w:firstLine="0"/>
        <w:rPr>
          <w:sz w:val="18"/>
        </w:rPr>
      </w:pPr>
      <w:r>
        <w:rPr>
          <w:color w:val="231F20"/>
          <w:sz w:val="18"/>
        </w:rPr>
        <w:t>Именице</w:t>
      </w:r>
    </w:p>
    <w:p w:rsidR="00041039" w:rsidRDefault="001B26CB">
      <w:pPr>
        <w:pStyle w:val="ListParagraph"/>
        <w:tabs>
          <w:tab w:val="left" w:pos="633"/>
        </w:tabs>
        <w:ind w:left="497" w:firstLine="0"/>
        <w:rPr>
          <w:sz w:val="18"/>
        </w:rPr>
      </w:pPr>
      <w:r>
        <w:rPr>
          <w:color w:val="231F20"/>
          <w:sz w:val="18"/>
        </w:rPr>
        <w:t>Множина именица ­</w:t>
      </w:r>
      <w:r>
        <w:rPr>
          <w:color w:val="231F20"/>
          <w:spacing w:val="-1"/>
          <w:sz w:val="18"/>
        </w:rPr>
        <w:t xml:space="preserve"> </w:t>
      </w:r>
      <w:r>
        <w:rPr>
          <w:color w:val="231F20"/>
          <w:sz w:val="18"/>
        </w:rPr>
        <w:t>обновити;</w:t>
      </w:r>
    </w:p>
    <w:p w:rsidR="00041039" w:rsidRDefault="001B26CB">
      <w:pPr>
        <w:pStyle w:val="ListParagraph"/>
        <w:tabs>
          <w:tab w:val="left" w:pos="633"/>
        </w:tabs>
        <w:ind w:left="497" w:firstLine="0"/>
        <w:rPr>
          <w:sz w:val="18"/>
        </w:rPr>
      </w:pPr>
      <w:r>
        <w:rPr>
          <w:color w:val="231F20"/>
          <w:sz w:val="18"/>
        </w:rPr>
        <w:t>Изражавање припадања и својине ­ саксонски</w:t>
      </w:r>
      <w:r>
        <w:rPr>
          <w:color w:val="231F20"/>
          <w:spacing w:val="-4"/>
          <w:sz w:val="18"/>
        </w:rPr>
        <w:t xml:space="preserve"> </w:t>
      </w:r>
      <w:r>
        <w:rPr>
          <w:color w:val="231F20"/>
          <w:sz w:val="18"/>
        </w:rPr>
        <w:t>генитив;</w:t>
      </w:r>
    </w:p>
    <w:p w:rsidR="00041039" w:rsidRDefault="001B26CB">
      <w:pPr>
        <w:pStyle w:val="ListParagraph"/>
        <w:tabs>
          <w:tab w:val="left" w:pos="633"/>
        </w:tabs>
        <w:ind w:left="497"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tabs>
          <w:tab w:val="left" w:pos="678"/>
        </w:tabs>
        <w:spacing w:before="1" w:line="232" w:lineRule="auto"/>
        <w:ind w:left="497" w:right="8674" w:firstLine="0"/>
        <w:rPr>
          <w:sz w:val="18"/>
        </w:rPr>
      </w:pPr>
      <w:r>
        <w:rPr>
          <w:color w:val="231F20"/>
          <w:sz w:val="18"/>
        </w:rPr>
        <w:t>Заменички облици а) Заменице</w:t>
      </w:r>
    </w:p>
    <w:p w:rsidR="00041039" w:rsidRDefault="001B26CB">
      <w:pPr>
        <w:pStyle w:val="ListParagraph"/>
        <w:tabs>
          <w:tab w:val="left" w:pos="633"/>
        </w:tabs>
        <w:spacing w:line="197" w:lineRule="exact"/>
        <w:ind w:left="497"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tabs>
          <w:tab w:val="left" w:pos="633"/>
        </w:tabs>
        <w:ind w:left="497"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tabs>
          <w:tab w:val="left" w:pos="633"/>
        </w:tabs>
        <w:spacing w:before="2" w:line="232" w:lineRule="auto"/>
        <w:ind w:left="497" w:right="8681" w:firstLine="0"/>
        <w:rPr>
          <w:sz w:val="18"/>
        </w:rPr>
      </w:pPr>
      <w:r>
        <w:rPr>
          <w:color w:val="231F20"/>
          <w:sz w:val="18"/>
        </w:rPr>
        <w:t>Односне</w:t>
      </w:r>
      <w:r>
        <w:rPr>
          <w:color w:val="231F20"/>
          <w:sz w:val="18"/>
        </w:rPr>
        <w:t xml:space="preserve"> заменице. б)</w:t>
      </w:r>
      <w:r>
        <w:rPr>
          <w:color w:val="231F20"/>
          <w:spacing w:val="-2"/>
          <w:sz w:val="18"/>
        </w:rPr>
        <w:t xml:space="preserve"> </w:t>
      </w:r>
      <w:r>
        <w:rPr>
          <w:color w:val="231F20"/>
          <w:sz w:val="18"/>
        </w:rPr>
        <w:t>Детерминатори</w:t>
      </w:r>
    </w:p>
    <w:p w:rsidR="00041039" w:rsidRDefault="001B26CB">
      <w:pPr>
        <w:pStyle w:val="ListParagraph"/>
        <w:tabs>
          <w:tab w:val="left" w:pos="633"/>
        </w:tabs>
        <w:spacing w:line="197" w:lineRule="exact"/>
        <w:ind w:left="497"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tabs>
          <w:tab w:val="left" w:pos="633"/>
        </w:tabs>
        <w:ind w:left="497"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tabs>
          <w:tab w:val="left" w:pos="633"/>
        </w:tabs>
        <w:ind w:left="497"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tabs>
          <w:tab w:val="left" w:pos="678"/>
        </w:tabs>
        <w:ind w:left="497" w:firstLine="0"/>
        <w:rPr>
          <w:sz w:val="18"/>
        </w:rPr>
      </w:pPr>
      <w:r>
        <w:rPr>
          <w:color w:val="231F20"/>
          <w:sz w:val="18"/>
        </w:rPr>
        <w:t>Придеви</w:t>
      </w:r>
    </w:p>
    <w:p w:rsidR="00041039" w:rsidRDefault="001B26CB">
      <w:pPr>
        <w:pStyle w:val="ListParagraph"/>
        <w:tabs>
          <w:tab w:val="left" w:pos="633"/>
        </w:tabs>
        <w:ind w:left="497"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tabs>
          <w:tab w:val="left" w:pos="678"/>
        </w:tabs>
        <w:ind w:left="497" w:firstLine="0"/>
        <w:rPr>
          <w:sz w:val="18"/>
        </w:rPr>
      </w:pPr>
      <w:r>
        <w:rPr>
          <w:color w:val="231F20"/>
          <w:sz w:val="18"/>
        </w:rPr>
        <w:t>Бројеви</w:t>
      </w:r>
    </w:p>
    <w:p w:rsidR="00041039" w:rsidRDefault="001B26CB">
      <w:pPr>
        <w:pStyle w:val="ListParagraph"/>
        <w:tabs>
          <w:tab w:val="left" w:pos="633"/>
        </w:tabs>
        <w:ind w:left="497"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tabs>
          <w:tab w:val="left" w:pos="678"/>
        </w:tabs>
        <w:spacing w:line="203" w:lineRule="exact"/>
        <w:ind w:left="497" w:firstLine="0"/>
        <w:rPr>
          <w:sz w:val="18"/>
        </w:rPr>
      </w:pPr>
      <w:r>
        <w:rPr>
          <w:color w:val="231F20"/>
          <w:sz w:val="18"/>
        </w:rPr>
        <w:t>Квантификатори</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ListParagraph"/>
        <w:tabs>
          <w:tab w:val="left" w:pos="753"/>
        </w:tabs>
        <w:spacing w:before="80" w:line="203" w:lineRule="exact"/>
        <w:ind w:left="752" w:hanging="255"/>
        <w:rPr>
          <w:b/>
          <w:sz w:val="18"/>
        </w:rPr>
      </w:pPr>
      <w:r>
        <w:rPr>
          <w:b/>
          <w:color w:val="231F20"/>
          <w:spacing w:val="-6"/>
          <w:sz w:val="18"/>
        </w:rPr>
        <w:lastRenderedPageBreak/>
        <w:t>ГЛAГОЛСКА</w:t>
      </w:r>
      <w:r>
        <w:rPr>
          <w:b/>
          <w:color w:val="231F20"/>
          <w:spacing w:val="-1"/>
          <w:sz w:val="18"/>
        </w:rPr>
        <w:t xml:space="preserve"> </w:t>
      </w:r>
      <w:r>
        <w:rPr>
          <w:b/>
          <w:color w:val="231F20"/>
          <w:sz w:val="18"/>
        </w:rPr>
        <w:t>ГРУПА</w:t>
      </w:r>
    </w:p>
    <w:p w:rsidR="00041039" w:rsidRDefault="001B26CB">
      <w:pPr>
        <w:pStyle w:val="ListParagraph"/>
        <w:tabs>
          <w:tab w:val="left" w:pos="678"/>
        </w:tabs>
        <w:ind w:left="677" w:hanging="180"/>
        <w:rPr>
          <w:sz w:val="18"/>
        </w:rPr>
      </w:pPr>
      <w:r>
        <w:rPr>
          <w:color w:val="231F20"/>
          <w:spacing w:val="-4"/>
          <w:sz w:val="18"/>
        </w:rPr>
        <w:t>Глаголи</w:t>
      </w:r>
    </w:p>
    <w:p w:rsidR="00041039" w:rsidRDefault="001B26CB">
      <w:pPr>
        <w:pStyle w:val="ListParagraph"/>
        <w:tabs>
          <w:tab w:val="left" w:pos="633"/>
        </w:tabs>
        <w:rPr>
          <w:sz w:val="18"/>
        </w:rPr>
      </w:pPr>
      <w:r>
        <w:rPr>
          <w:color w:val="231F20"/>
          <w:sz w:val="18"/>
        </w:rPr>
        <w:t xml:space="preserve">Обновити </w:t>
      </w:r>
      <w:r>
        <w:rPr>
          <w:color w:val="231F20"/>
          <w:spacing w:val="-3"/>
          <w:sz w:val="18"/>
        </w:rPr>
        <w:t xml:space="preserve">глаголске </w:t>
      </w:r>
      <w:r>
        <w:rPr>
          <w:color w:val="231F20"/>
          <w:sz w:val="18"/>
        </w:rPr>
        <w:t>облике предвиђене програмом за основну</w:t>
      </w:r>
      <w:r>
        <w:rPr>
          <w:color w:val="231F20"/>
          <w:spacing w:val="-1"/>
          <w:sz w:val="18"/>
        </w:rPr>
        <w:t xml:space="preserve"> </w:t>
      </w:r>
      <w:r>
        <w:rPr>
          <w:color w:val="231F20"/>
          <w:spacing w:val="-3"/>
          <w:sz w:val="18"/>
        </w:rPr>
        <w:t>школу;</w:t>
      </w:r>
    </w:p>
    <w:p w:rsidR="00041039" w:rsidRDefault="001B26CB">
      <w:pPr>
        <w:pStyle w:val="ListParagraph"/>
        <w:tabs>
          <w:tab w:val="left" w:pos="633"/>
        </w:tabs>
        <w:rPr>
          <w:sz w:val="18"/>
        </w:rPr>
      </w:pPr>
      <w:r>
        <w:rPr>
          <w:color w:val="231F20"/>
          <w:sz w:val="18"/>
        </w:rPr>
        <w:t>Обновити употребу: Present Simple, Present Continuous, Past Simple, Past</w:t>
      </w:r>
      <w:r>
        <w:rPr>
          <w:color w:val="231F20"/>
          <w:spacing w:val="-12"/>
          <w:sz w:val="18"/>
        </w:rPr>
        <w:t xml:space="preserve"> </w:t>
      </w:r>
      <w:r>
        <w:rPr>
          <w:color w:val="231F20"/>
          <w:sz w:val="18"/>
        </w:rPr>
        <w:t>Continuous;</w:t>
      </w:r>
    </w:p>
    <w:p w:rsidR="00041039" w:rsidRDefault="001B26CB">
      <w:pPr>
        <w:pStyle w:val="ListParagraph"/>
        <w:tabs>
          <w:tab w:val="left" w:pos="633"/>
        </w:tabs>
        <w:rPr>
          <w:sz w:val="18"/>
        </w:rPr>
      </w:pPr>
      <w:r>
        <w:rPr>
          <w:color w:val="231F20"/>
          <w:sz w:val="18"/>
        </w:rPr>
        <w:t xml:space="preserve">going to и трајни презент за планове и намере, going to и will (за </w:t>
      </w:r>
      <w:r>
        <w:rPr>
          <w:color w:val="231F20"/>
          <w:spacing w:val="-4"/>
          <w:sz w:val="18"/>
        </w:rPr>
        <w:t>будућа</w:t>
      </w:r>
      <w:r>
        <w:rPr>
          <w:color w:val="231F20"/>
          <w:spacing w:val="-11"/>
          <w:sz w:val="18"/>
        </w:rPr>
        <w:t xml:space="preserve"> </w:t>
      </w:r>
      <w:r>
        <w:rPr>
          <w:color w:val="231F20"/>
          <w:sz w:val="18"/>
        </w:rPr>
        <w:t>предвиђа</w:t>
      </w:r>
      <w:r>
        <w:rPr>
          <w:color w:val="231F20"/>
          <w:sz w:val="18"/>
        </w:rPr>
        <w:t>ња);</w:t>
      </w:r>
    </w:p>
    <w:p w:rsidR="00041039" w:rsidRDefault="001B26CB">
      <w:pPr>
        <w:pStyle w:val="ListParagraph"/>
        <w:tabs>
          <w:tab w:val="left" w:pos="633"/>
        </w:tabs>
        <w:rPr>
          <w:sz w:val="18"/>
        </w:rPr>
      </w:pPr>
      <w:r>
        <w:rPr>
          <w:color w:val="231F20"/>
          <w:sz w:val="18"/>
        </w:rPr>
        <w:t>used to.</w:t>
      </w:r>
    </w:p>
    <w:p w:rsidR="00041039" w:rsidRDefault="001B26CB">
      <w:pPr>
        <w:pStyle w:val="ListParagraph"/>
        <w:tabs>
          <w:tab w:val="left" w:pos="678"/>
        </w:tabs>
        <w:ind w:left="677" w:hanging="180"/>
        <w:rPr>
          <w:sz w:val="18"/>
        </w:rPr>
      </w:pPr>
      <w:r>
        <w:rPr>
          <w:color w:val="231F20"/>
          <w:sz w:val="18"/>
        </w:rPr>
        <w:t>Прилози, извођење прилога и</w:t>
      </w:r>
      <w:r>
        <w:rPr>
          <w:color w:val="231F20"/>
          <w:spacing w:val="-4"/>
          <w:sz w:val="18"/>
        </w:rPr>
        <w:t xml:space="preserve"> </w:t>
      </w:r>
      <w:r>
        <w:rPr>
          <w:color w:val="231F20"/>
          <w:sz w:val="18"/>
        </w:rPr>
        <w:t>употреба.</w:t>
      </w:r>
    </w:p>
    <w:p w:rsidR="00041039" w:rsidRDefault="001B26CB">
      <w:pPr>
        <w:pStyle w:val="ListParagraph"/>
        <w:tabs>
          <w:tab w:val="left" w:pos="678"/>
        </w:tabs>
        <w:spacing w:line="203" w:lineRule="exact"/>
        <w:ind w:left="677" w:hanging="180"/>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tabs>
                <w:tab w:val="left" w:pos="157"/>
              </w:tabs>
              <w:spacing w:before="8"/>
              <w:ind w:right="192" w:hanging="100"/>
              <w:rPr>
                <w:sz w:val="14"/>
              </w:rPr>
            </w:pPr>
            <w:r>
              <w:rPr>
                <w:color w:val="231F20"/>
                <w:sz w:val="14"/>
              </w:rPr>
              <w:t>разуме краће исказе који садрже фреквентне речи и структуре (информације о</w:t>
            </w:r>
            <w:r>
              <w:rPr>
                <w:color w:val="231F20"/>
                <w:spacing w:val="-16"/>
                <w:sz w:val="14"/>
              </w:rPr>
              <w:t xml:space="preserve"> </w:t>
            </w:r>
            <w:r>
              <w:rPr>
                <w:color w:val="231F20"/>
                <w:sz w:val="14"/>
              </w:rPr>
              <w:t xml:space="preserve">личностима, </w:t>
            </w:r>
            <w:r>
              <w:rPr>
                <w:color w:val="231F20"/>
                <w:spacing w:val="-3"/>
                <w:sz w:val="14"/>
              </w:rPr>
              <w:t xml:space="preserve">послу, </w:t>
            </w:r>
            <w:r>
              <w:rPr>
                <w:color w:val="231F20"/>
                <w:sz w:val="14"/>
              </w:rPr>
              <w:t xml:space="preserve">породици, куповини, </w:t>
            </w:r>
            <w:r>
              <w:rPr>
                <w:color w:val="231F20"/>
                <w:spacing w:val="-3"/>
                <w:sz w:val="14"/>
              </w:rPr>
              <w:t xml:space="preserve">школи, </w:t>
            </w:r>
            <w:r>
              <w:rPr>
                <w:color w:val="231F20"/>
                <w:sz w:val="14"/>
              </w:rPr>
              <w:t>ближем окружењу);</w:t>
            </w:r>
          </w:p>
          <w:p w:rsidR="00041039" w:rsidRDefault="001B26CB">
            <w:pPr>
              <w:pStyle w:val="TableParagraph"/>
              <w:tabs>
                <w:tab w:val="left" w:pos="157"/>
              </w:tabs>
              <w:spacing w:line="156" w:lineRule="exact"/>
              <w:ind w:hanging="100"/>
              <w:rPr>
                <w:sz w:val="14"/>
              </w:rPr>
            </w:pPr>
            <w:r>
              <w:rPr>
                <w:color w:val="231F20"/>
                <w:sz w:val="14"/>
              </w:rPr>
              <w:t>разуме најбитније информације у кратким</w:t>
            </w:r>
            <w:r>
              <w:rPr>
                <w:color w:val="231F20"/>
                <w:spacing w:val="-11"/>
                <w:sz w:val="14"/>
              </w:rPr>
              <w:t xml:space="preserve"> </w:t>
            </w:r>
            <w:r>
              <w:rPr>
                <w:color w:val="231F20"/>
                <w:sz w:val="14"/>
              </w:rPr>
              <w:t>и</w:t>
            </w:r>
          </w:p>
          <w:p w:rsidR="00041039" w:rsidRDefault="001B26CB">
            <w:pPr>
              <w:pStyle w:val="TableParagraph"/>
              <w:rPr>
                <w:sz w:val="14"/>
              </w:rPr>
            </w:pPr>
            <w:r>
              <w:rPr>
                <w:color w:val="231F20"/>
                <w:sz w:val="14"/>
              </w:rPr>
              <w:t>једноставним обавештењима (преко разгласа, на улици, на шалтеру) и правилно их користи;</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tabs>
                <w:tab w:val="left" w:pos="157"/>
              </w:tabs>
              <w:spacing w:line="237" w:lineRule="auto"/>
              <w:ind w:right="105" w:hanging="100"/>
              <w:jc w:val="both"/>
              <w:rPr>
                <w:sz w:val="14"/>
              </w:rPr>
            </w:pPr>
            <w:r>
              <w:rPr>
                <w:color w:val="231F20"/>
                <w:sz w:val="14"/>
              </w:rPr>
              <w:t>Свакодневни живот (комуникација међу младима, генерацијски</w:t>
            </w:r>
            <w:r>
              <w:rPr>
                <w:color w:val="231F20"/>
                <w:spacing w:val="-8"/>
                <w:sz w:val="14"/>
              </w:rPr>
              <w:t xml:space="preserve"> </w:t>
            </w:r>
            <w:r>
              <w:rPr>
                <w:color w:val="231F20"/>
                <w:sz w:val="14"/>
              </w:rPr>
              <w:t>конфликти</w:t>
            </w:r>
            <w:r>
              <w:rPr>
                <w:color w:val="231F20"/>
                <w:spacing w:val="-8"/>
                <w:sz w:val="14"/>
              </w:rPr>
              <w:t xml:space="preserve"> </w:t>
            </w:r>
            <w:r>
              <w:rPr>
                <w:color w:val="231F20"/>
                <w:sz w:val="14"/>
              </w:rPr>
              <w:t>и</w:t>
            </w:r>
            <w:r>
              <w:rPr>
                <w:color w:val="231F20"/>
                <w:spacing w:val="-9"/>
                <w:sz w:val="14"/>
              </w:rPr>
              <w:t xml:space="preserve"> </w:t>
            </w:r>
            <w:r>
              <w:rPr>
                <w:color w:val="231F20"/>
                <w:sz w:val="14"/>
              </w:rPr>
              <w:t>начини</w:t>
            </w:r>
            <w:r>
              <w:rPr>
                <w:color w:val="231F20"/>
                <w:spacing w:val="-8"/>
                <w:sz w:val="14"/>
              </w:rPr>
              <w:t xml:space="preserve"> </w:t>
            </w:r>
            <w:r>
              <w:rPr>
                <w:color w:val="231F20"/>
                <w:sz w:val="14"/>
              </w:rPr>
              <w:t>превазилажења, међувршњачка</w:t>
            </w:r>
            <w:r>
              <w:rPr>
                <w:color w:val="231F20"/>
                <w:spacing w:val="-1"/>
                <w:sz w:val="14"/>
              </w:rPr>
              <w:t xml:space="preserve"> </w:t>
            </w:r>
            <w:r>
              <w:rPr>
                <w:color w:val="231F20"/>
                <w:sz w:val="14"/>
              </w:rPr>
              <w:t>подршка).</w:t>
            </w:r>
          </w:p>
          <w:p w:rsidR="00041039" w:rsidRDefault="001B26CB">
            <w:pPr>
              <w:pStyle w:val="TableParagraph"/>
              <w:tabs>
                <w:tab w:val="left" w:pos="157"/>
              </w:tabs>
              <w:spacing w:line="237" w:lineRule="auto"/>
              <w:ind w:right="131" w:hanging="100"/>
              <w:rPr>
                <w:sz w:val="14"/>
              </w:rPr>
            </w:pPr>
            <w:r>
              <w:rPr>
                <w:color w:val="231F20"/>
                <w:sz w:val="14"/>
              </w:rPr>
              <w:t xml:space="preserve">Образовање (образовање у земљама чији се </w:t>
            </w:r>
            <w:r>
              <w:rPr>
                <w:color w:val="231F20"/>
                <w:sz w:val="14"/>
              </w:rPr>
              <w:t>језик учи,</w:t>
            </w:r>
            <w:r>
              <w:rPr>
                <w:color w:val="231F20"/>
                <w:spacing w:val="-6"/>
                <w:sz w:val="14"/>
              </w:rPr>
              <w:t xml:space="preserve"> </w:t>
            </w:r>
            <w:r>
              <w:rPr>
                <w:color w:val="231F20"/>
                <w:sz w:val="14"/>
              </w:rPr>
              <w:t>школовање</w:t>
            </w:r>
            <w:r>
              <w:rPr>
                <w:color w:val="231F20"/>
                <w:spacing w:val="-6"/>
                <w:sz w:val="14"/>
              </w:rPr>
              <w:t xml:space="preserve"> </w:t>
            </w:r>
            <w:r>
              <w:rPr>
                <w:color w:val="231F20"/>
                <w:sz w:val="14"/>
              </w:rPr>
              <w:t>које</w:t>
            </w:r>
            <w:r>
              <w:rPr>
                <w:color w:val="231F20"/>
                <w:spacing w:val="-6"/>
                <w:sz w:val="14"/>
              </w:rPr>
              <w:t xml:space="preserve"> </w:t>
            </w:r>
            <w:r>
              <w:rPr>
                <w:color w:val="231F20"/>
                <w:sz w:val="14"/>
              </w:rPr>
              <w:t>припрема</w:t>
            </w:r>
            <w:r>
              <w:rPr>
                <w:color w:val="231F20"/>
                <w:spacing w:val="-6"/>
                <w:sz w:val="14"/>
              </w:rPr>
              <w:t xml:space="preserve"> </w:t>
            </w:r>
            <w:r>
              <w:rPr>
                <w:color w:val="231F20"/>
                <w:sz w:val="14"/>
              </w:rPr>
              <w:t>за</w:t>
            </w:r>
            <w:r>
              <w:rPr>
                <w:color w:val="231F20"/>
                <w:spacing w:val="-7"/>
                <w:sz w:val="14"/>
              </w:rPr>
              <w:t xml:space="preserve"> </w:t>
            </w:r>
            <w:r>
              <w:rPr>
                <w:color w:val="231F20"/>
                <w:sz w:val="14"/>
              </w:rPr>
              <w:t>студије</w:t>
            </w:r>
            <w:r>
              <w:rPr>
                <w:color w:val="231F20"/>
                <w:spacing w:val="-6"/>
                <w:sz w:val="14"/>
              </w:rPr>
              <w:t xml:space="preserve"> </w:t>
            </w:r>
            <w:r>
              <w:rPr>
                <w:color w:val="231F20"/>
                <w:sz w:val="14"/>
              </w:rPr>
              <w:t>или</w:t>
            </w:r>
            <w:r>
              <w:rPr>
                <w:color w:val="231F20"/>
                <w:spacing w:val="-7"/>
                <w:sz w:val="14"/>
              </w:rPr>
              <w:t xml:space="preserve"> </w:t>
            </w:r>
            <w:r>
              <w:rPr>
                <w:color w:val="231F20"/>
                <w:sz w:val="14"/>
              </w:rPr>
              <w:t>свет рада, образовање за</w:t>
            </w:r>
            <w:r>
              <w:rPr>
                <w:color w:val="231F20"/>
                <w:spacing w:val="-2"/>
                <w:sz w:val="14"/>
              </w:rPr>
              <w:t xml:space="preserve"> </w:t>
            </w:r>
            <w:r>
              <w:rPr>
                <w:color w:val="231F20"/>
                <w:sz w:val="14"/>
              </w:rPr>
              <w:t>све).</w:t>
            </w:r>
          </w:p>
          <w:p w:rsidR="00041039" w:rsidRDefault="001B26CB">
            <w:pPr>
              <w:pStyle w:val="TableParagraph"/>
              <w:tabs>
                <w:tab w:val="left" w:pos="157"/>
              </w:tabs>
              <w:spacing w:line="237" w:lineRule="auto"/>
              <w:ind w:right="368" w:hanging="100"/>
              <w:rPr>
                <w:sz w:val="14"/>
              </w:rPr>
            </w:pPr>
            <w:r>
              <w:rPr>
                <w:color w:val="231F20"/>
                <w:sz w:val="14"/>
              </w:rPr>
              <w:t>Познати региони у земљама чији се језик</w:t>
            </w:r>
            <w:r>
              <w:rPr>
                <w:color w:val="231F20"/>
                <w:spacing w:val="-15"/>
                <w:sz w:val="14"/>
              </w:rPr>
              <w:t xml:space="preserve"> </w:t>
            </w:r>
            <w:r>
              <w:rPr>
                <w:color w:val="231F20"/>
                <w:sz w:val="14"/>
              </w:rPr>
              <w:t>учи, њихова</w:t>
            </w:r>
            <w:r>
              <w:rPr>
                <w:color w:val="231F20"/>
                <w:spacing w:val="-1"/>
                <w:sz w:val="14"/>
              </w:rPr>
              <w:t xml:space="preserve"> </w:t>
            </w:r>
            <w:r>
              <w:rPr>
                <w:color w:val="231F20"/>
                <w:sz w:val="14"/>
              </w:rPr>
              <w:t>обележја.</w:t>
            </w:r>
          </w:p>
          <w:p w:rsidR="00041039" w:rsidRDefault="001B26CB">
            <w:pPr>
              <w:pStyle w:val="TableParagraph"/>
              <w:tabs>
                <w:tab w:val="left" w:pos="157"/>
              </w:tabs>
              <w:spacing w:line="160" w:lineRule="exact"/>
              <w:ind w:right="199" w:hanging="100"/>
              <w:rPr>
                <w:sz w:val="14"/>
              </w:rPr>
            </w:pPr>
            <w:r>
              <w:rPr>
                <w:color w:val="231F20"/>
                <w:spacing w:val="-3"/>
                <w:sz w:val="14"/>
              </w:rPr>
              <w:t xml:space="preserve">Културни </w:t>
            </w:r>
            <w:r>
              <w:rPr>
                <w:color w:val="231F20"/>
                <w:sz w:val="14"/>
              </w:rPr>
              <w:t>живот (манифестације које млади радо посећују у земљи и земљама чији се језик учи, међународни пројекти и учешће на</w:t>
            </w:r>
            <w:r>
              <w:rPr>
                <w:color w:val="231F20"/>
                <w:spacing w:val="-8"/>
                <w:sz w:val="14"/>
              </w:rPr>
              <w:t xml:space="preserve"> </w:t>
            </w:r>
            <w:r>
              <w:rPr>
                <w:color w:val="231F20"/>
                <w:sz w:val="14"/>
              </w:rPr>
              <w:t>њима).</w:t>
            </w:r>
          </w:p>
          <w:p w:rsidR="00041039" w:rsidRDefault="001B26CB">
            <w:pPr>
              <w:pStyle w:val="TableParagraph"/>
              <w:tabs>
                <w:tab w:val="left" w:pos="157"/>
              </w:tabs>
              <w:spacing w:line="160" w:lineRule="exact"/>
              <w:ind w:right="129" w:hanging="100"/>
              <w:rPr>
                <w:sz w:val="14"/>
              </w:rPr>
            </w:pPr>
            <w:r>
              <w:rPr>
                <w:color w:val="231F20"/>
                <w:sz w:val="14"/>
              </w:rPr>
              <w:t>Заштита</w:t>
            </w:r>
            <w:r>
              <w:rPr>
                <w:color w:val="231F20"/>
                <w:spacing w:val="-7"/>
                <w:sz w:val="14"/>
              </w:rPr>
              <w:t xml:space="preserve"> </w:t>
            </w:r>
            <w:r>
              <w:rPr>
                <w:color w:val="231F20"/>
                <w:sz w:val="14"/>
              </w:rPr>
              <w:t>човекове</w:t>
            </w:r>
            <w:r>
              <w:rPr>
                <w:color w:val="231F20"/>
                <w:spacing w:val="-7"/>
                <w:sz w:val="14"/>
              </w:rPr>
              <w:t xml:space="preserve"> </w:t>
            </w:r>
            <w:r>
              <w:rPr>
                <w:color w:val="231F20"/>
                <w:sz w:val="14"/>
              </w:rPr>
              <w:t>околине</w:t>
            </w:r>
            <w:r>
              <w:rPr>
                <w:color w:val="231F20"/>
                <w:spacing w:val="-8"/>
                <w:sz w:val="14"/>
              </w:rPr>
              <w:t xml:space="preserve"> </w:t>
            </w:r>
            <w:r>
              <w:rPr>
                <w:color w:val="231F20"/>
                <w:sz w:val="14"/>
              </w:rPr>
              <w:t>(акције</w:t>
            </w:r>
            <w:r>
              <w:rPr>
                <w:color w:val="231F20"/>
                <w:spacing w:val="-7"/>
                <w:sz w:val="14"/>
              </w:rPr>
              <w:t xml:space="preserve"> </w:t>
            </w:r>
            <w:r>
              <w:rPr>
                <w:color w:val="231F20"/>
                <w:sz w:val="14"/>
              </w:rPr>
              <w:t>на</w:t>
            </w:r>
            <w:r>
              <w:rPr>
                <w:color w:val="231F20"/>
                <w:spacing w:val="-8"/>
                <w:sz w:val="14"/>
              </w:rPr>
              <w:t xml:space="preserve"> </w:t>
            </w:r>
            <w:r>
              <w:rPr>
                <w:color w:val="231F20"/>
                <w:sz w:val="14"/>
              </w:rPr>
              <w:t>нивоу</w:t>
            </w:r>
            <w:r>
              <w:rPr>
                <w:color w:val="231F20"/>
                <w:spacing w:val="-7"/>
                <w:sz w:val="14"/>
              </w:rPr>
              <w:t xml:space="preserve"> </w:t>
            </w:r>
            <w:r>
              <w:rPr>
                <w:color w:val="231F20"/>
                <w:sz w:val="14"/>
              </w:rPr>
              <w:t xml:space="preserve">града, </w:t>
            </w:r>
            <w:r>
              <w:rPr>
                <w:color w:val="231F20"/>
                <w:spacing w:val="-3"/>
                <w:sz w:val="14"/>
              </w:rPr>
              <w:t xml:space="preserve">школе, </w:t>
            </w:r>
            <w:r>
              <w:rPr>
                <w:color w:val="231F20"/>
                <w:sz w:val="14"/>
              </w:rPr>
              <w:t>волонтерски рад).</w:t>
            </w:r>
          </w:p>
          <w:p w:rsidR="00041039" w:rsidRDefault="001B26CB">
            <w:pPr>
              <w:pStyle w:val="TableParagraph"/>
              <w:tabs>
                <w:tab w:val="left" w:pos="157"/>
              </w:tabs>
              <w:spacing w:line="153" w:lineRule="exact"/>
              <w:ind w:hanging="100"/>
              <w:rPr>
                <w:sz w:val="14"/>
              </w:rPr>
            </w:pPr>
            <w:r>
              <w:rPr>
                <w:color w:val="231F20"/>
                <w:sz w:val="14"/>
              </w:rPr>
              <w:t>Медији (штампа, телевизија, електронски</w:t>
            </w:r>
            <w:r>
              <w:rPr>
                <w:color w:val="231F20"/>
                <w:spacing w:val="-9"/>
                <w:sz w:val="14"/>
              </w:rPr>
              <w:t xml:space="preserve"> </w:t>
            </w:r>
            <w:r>
              <w:rPr>
                <w:color w:val="231F20"/>
                <w:sz w:val="14"/>
              </w:rPr>
              <w:t>медији).</w:t>
            </w:r>
          </w:p>
          <w:p w:rsidR="00041039" w:rsidRDefault="001B26CB">
            <w:pPr>
              <w:pStyle w:val="TableParagraph"/>
              <w:tabs>
                <w:tab w:val="left" w:pos="157"/>
              </w:tabs>
              <w:spacing w:line="160" w:lineRule="exact"/>
              <w:ind w:hanging="100"/>
              <w:rPr>
                <w:sz w:val="14"/>
              </w:rPr>
            </w:pPr>
            <w:r>
              <w:rPr>
                <w:color w:val="231F20"/>
                <w:sz w:val="14"/>
              </w:rPr>
              <w:t>Интересантне животнеприче и</w:t>
            </w:r>
            <w:r>
              <w:rPr>
                <w:color w:val="231F20"/>
                <w:spacing w:val="-3"/>
                <w:sz w:val="14"/>
              </w:rPr>
              <w:t xml:space="preserve"> </w:t>
            </w:r>
            <w:r>
              <w:rPr>
                <w:color w:val="231F20"/>
                <w:sz w:val="14"/>
              </w:rPr>
              <w:t>догађаји.</w:t>
            </w:r>
          </w:p>
          <w:p w:rsidR="00041039" w:rsidRDefault="001B26CB">
            <w:pPr>
              <w:pStyle w:val="TableParagraph"/>
              <w:tabs>
                <w:tab w:val="left" w:pos="157"/>
              </w:tabs>
              <w:spacing w:line="166" w:lineRule="exact"/>
              <w:ind w:hanging="100"/>
              <w:rPr>
                <w:sz w:val="14"/>
              </w:rPr>
            </w:pPr>
            <w:r>
              <w:rPr>
                <w:color w:val="231F20"/>
                <w:sz w:val="14"/>
              </w:rPr>
              <w:t>Свет компјутера (млади и друштвене</w:t>
            </w:r>
            <w:r>
              <w:rPr>
                <w:color w:val="231F20"/>
                <w:spacing w:val="-8"/>
                <w:sz w:val="14"/>
              </w:rPr>
              <w:t xml:space="preserve"> </w:t>
            </w:r>
            <w:r>
              <w:rPr>
                <w:color w:val="231F20"/>
                <w:sz w:val="14"/>
              </w:rPr>
              <w:t>мреже).</w:t>
            </w:r>
          </w:p>
        </w:tc>
        <w:tc>
          <w:tcPr>
            <w:tcW w:w="2834" w:type="dxa"/>
            <w:vMerge w:val="restart"/>
          </w:tcPr>
          <w:p w:rsidR="00041039" w:rsidRDefault="001B26CB">
            <w:pPr>
              <w:pStyle w:val="TableParagraph"/>
              <w:tabs>
                <w:tab w:val="left" w:pos="162"/>
              </w:tabs>
              <w:spacing w:before="19" w:line="161" w:lineRule="exact"/>
              <w:ind w:left="161" w:hanging="105"/>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tabs>
                <w:tab w:val="left" w:pos="162"/>
              </w:tabs>
              <w:ind w:left="161" w:right="282" w:hanging="105"/>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tabs>
                <w:tab w:val="left" w:pos="162"/>
              </w:tabs>
              <w:spacing w:line="237" w:lineRule="auto"/>
              <w:ind w:left="161" w:right="455" w:hanging="10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tabs>
                <w:tab w:val="left" w:pos="162"/>
              </w:tabs>
              <w:spacing w:line="160" w:lineRule="exact"/>
              <w:ind w:left="161" w:hanging="105"/>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tabs>
                <w:tab w:val="left" w:pos="162"/>
              </w:tabs>
              <w:spacing w:line="160" w:lineRule="exact"/>
              <w:ind w:left="161" w:hanging="105"/>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tabs>
                <w:tab w:val="left" w:pos="162"/>
              </w:tabs>
              <w:spacing w:line="160" w:lineRule="exact"/>
              <w:ind w:left="161" w:hanging="105"/>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tabs>
                <w:tab w:val="left" w:pos="162"/>
              </w:tabs>
              <w:spacing w:line="160" w:lineRule="exact"/>
              <w:ind w:left="161" w:hanging="105"/>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tabs>
                <w:tab w:val="left" w:pos="162"/>
              </w:tabs>
              <w:spacing w:line="160" w:lineRule="exact"/>
              <w:ind w:left="161" w:hanging="105"/>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tabs>
                <w:tab w:val="left" w:pos="162"/>
              </w:tabs>
              <w:spacing w:line="160" w:lineRule="exact"/>
              <w:ind w:left="161" w:hanging="105"/>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tabs>
                <w:tab w:val="left" w:pos="162"/>
              </w:tabs>
              <w:ind w:left="161" w:right="370" w:hanging="105"/>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tabs>
                <w:tab w:val="left" w:pos="162"/>
              </w:tabs>
              <w:ind w:left="161" w:right="628" w:hanging="105"/>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tabs>
                <w:tab w:val="left" w:pos="162"/>
              </w:tabs>
              <w:ind w:left="161" w:right="273" w:hanging="105"/>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tabs>
                <w:tab w:val="left" w:pos="162"/>
              </w:tabs>
              <w:spacing w:line="159" w:lineRule="exact"/>
              <w:ind w:left="161" w:hanging="105"/>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tabs>
                <w:tab w:val="left" w:pos="162"/>
              </w:tabs>
              <w:spacing w:line="160" w:lineRule="exact"/>
              <w:ind w:left="161" w:hanging="105"/>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tabs>
                <w:tab w:val="left" w:pos="162"/>
              </w:tabs>
              <w:spacing w:line="160" w:lineRule="exact"/>
              <w:ind w:left="161" w:hanging="105"/>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tabs>
                <w:tab w:val="left" w:pos="162"/>
              </w:tabs>
              <w:ind w:left="161" w:right="124" w:hanging="105"/>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tabs>
                <w:tab w:val="left" w:pos="162"/>
              </w:tabs>
              <w:spacing w:line="159" w:lineRule="exact"/>
              <w:ind w:left="161" w:hanging="105"/>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tabs>
                <w:tab w:val="left" w:pos="162"/>
              </w:tabs>
              <w:spacing w:line="160" w:lineRule="exact"/>
              <w:ind w:left="161" w:hanging="105"/>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tabs>
                <w:tab w:val="left" w:pos="162"/>
              </w:tabs>
              <w:spacing w:line="160" w:lineRule="exact"/>
              <w:ind w:left="161" w:hanging="105"/>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tabs>
                <w:tab w:val="left" w:pos="162"/>
              </w:tabs>
              <w:spacing w:line="160" w:lineRule="exact"/>
              <w:ind w:left="161" w:hanging="105"/>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tabs>
                <w:tab w:val="left" w:pos="162"/>
              </w:tabs>
              <w:spacing w:line="161" w:lineRule="exact"/>
              <w:ind w:left="161" w:hanging="105"/>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901"/>
        </w:trPr>
        <w:tc>
          <w:tcPr>
            <w:tcW w:w="1304" w:type="dxa"/>
            <w:tcBorders>
              <w:top w:val="nil"/>
            </w:tcBorders>
          </w:tcPr>
          <w:p w:rsidR="00041039" w:rsidRDefault="001B26CB">
            <w:pPr>
              <w:pStyle w:val="TableParagraph"/>
              <w:tabs>
                <w:tab w:val="left" w:pos="157"/>
              </w:tabs>
              <w:spacing w:before="69"/>
              <w:ind w:right="78" w:hanging="100"/>
              <w:rPr>
                <w:sz w:val="14"/>
              </w:rPr>
            </w:pPr>
            <w:r>
              <w:rPr>
                <w:color w:val="231F20"/>
                <w:sz w:val="14"/>
              </w:rPr>
              <w:t>Оспособљавање ученика за разумевање</w:t>
            </w:r>
            <w:r>
              <w:rPr>
                <w:color w:val="231F20"/>
                <w:spacing w:val="-8"/>
                <w:sz w:val="14"/>
              </w:rPr>
              <w:t xml:space="preserve"> </w:t>
            </w:r>
            <w:r>
              <w:rPr>
                <w:color w:val="231F20"/>
                <w:sz w:val="14"/>
              </w:rPr>
              <w:t>усме­ ног</w:t>
            </w:r>
            <w:r>
              <w:rPr>
                <w:color w:val="231F20"/>
                <w:spacing w:val="-2"/>
                <w:sz w:val="14"/>
              </w:rPr>
              <w:t xml:space="preserve"> </w:t>
            </w:r>
            <w:r>
              <w:rPr>
                <w:color w:val="231F20"/>
                <w:sz w:val="14"/>
              </w:rPr>
              <w:t>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tabs>
                <w:tab w:val="left" w:pos="157"/>
              </w:tabs>
              <w:spacing w:before="9"/>
              <w:ind w:right="47" w:hanging="100"/>
              <w:rPr>
                <w:sz w:val="14"/>
              </w:rPr>
            </w:pPr>
            <w:r>
              <w:rPr>
                <w:color w:val="231F20"/>
                <w:sz w:val="14"/>
              </w:rPr>
              <w:t>чита и разуме различите врсте кратких и при­ лагођених текстова (једноставнија лична / по­ словна писма, позивнице, термини, проспекти, упутства,</w:t>
            </w:r>
            <w:r>
              <w:rPr>
                <w:color w:val="231F20"/>
                <w:spacing w:val="-7"/>
                <w:sz w:val="14"/>
              </w:rPr>
              <w:t xml:space="preserve"> </w:t>
            </w:r>
            <w:r>
              <w:rPr>
                <w:color w:val="231F20"/>
                <w:sz w:val="14"/>
              </w:rPr>
              <w:t>огласи)</w:t>
            </w:r>
            <w:r>
              <w:rPr>
                <w:color w:val="231F20"/>
                <w:spacing w:val="-8"/>
                <w:sz w:val="14"/>
              </w:rPr>
              <w:t xml:space="preserve"> </w:t>
            </w:r>
            <w:r>
              <w:rPr>
                <w:color w:val="231F20"/>
                <w:sz w:val="14"/>
              </w:rPr>
              <w:t>препознајући</w:t>
            </w:r>
            <w:r>
              <w:rPr>
                <w:color w:val="231F20"/>
                <w:spacing w:val="-8"/>
                <w:sz w:val="14"/>
              </w:rPr>
              <w:t xml:space="preserve"> </w:t>
            </w:r>
            <w:r>
              <w:rPr>
                <w:color w:val="231F20"/>
                <w:sz w:val="14"/>
              </w:rPr>
              <w:t>основна</w:t>
            </w:r>
            <w:r>
              <w:rPr>
                <w:color w:val="231F20"/>
                <w:spacing w:val="-7"/>
                <w:sz w:val="14"/>
              </w:rPr>
              <w:t xml:space="preserve"> </w:t>
            </w:r>
            <w:r>
              <w:rPr>
                <w:color w:val="231F20"/>
                <w:sz w:val="14"/>
              </w:rPr>
              <w:t>значења и релевантне</w:t>
            </w:r>
            <w:r>
              <w:rPr>
                <w:color w:val="231F20"/>
                <w:spacing w:val="-2"/>
                <w:sz w:val="14"/>
              </w:rPr>
              <w:t xml:space="preserve"> </w:t>
            </w:r>
            <w:r>
              <w:rPr>
                <w:color w:val="231F20"/>
                <w:sz w:val="14"/>
              </w:rPr>
              <w:t>детаље;</w:t>
            </w:r>
          </w:p>
          <w:p w:rsidR="00041039" w:rsidRDefault="001B26CB">
            <w:pPr>
              <w:pStyle w:val="TableParagraph"/>
              <w:tabs>
                <w:tab w:val="left" w:pos="157"/>
              </w:tabs>
              <w:spacing w:line="155" w:lineRule="exact"/>
              <w:ind w:hanging="100"/>
              <w:rPr>
                <w:sz w:val="14"/>
              </w:rPr>
            </w:pPr>
            <w:r>
              <w:rPr>
                <w:color w:val="231F20"/>
                <w:sz w:val="14"/>
              </w:rPr>
              <w:t>открива значење непознатих речи на</w:t>
            </w:r>
            <w:r>
              <w:rPr>
                <w:color w:val="231F20"/>
                <w:spacing w:val="-12"/>
                <w:sz w:val="14"/>
              </w:rPr>
              <w:t xml:space="preserve"> </w:t>
            </w:r>
            <w:r>
              <w:rPr>
                <w:color w:val="231F20"/>
                <w:sz w:val="14"/>
              </w:rPr>
              <w:t>основу</w:t>
            </w:r>
          </w:p>
          <w:p w:rsidR="00041039" w:rsidRDefault="001B26CB">
            <w:pPr>
              <w:pStyle w:val="TableParagraph"/>
              <w:spacing w:line="155" w:lineRule="exact"/>
              <w:rPr>
                <w:sz w:val="14"/>
              </w:rPr>
            </w:pPr>
            <w:r>
              <w:rPr>
                <w:color w:val="231F20"/>
                <w:sz w:val="14"/>
              </w:rPr>
              <w:t xml:space="preserve">контекста </w:t>
            </w:r>
            <w:r>
              <w:rPr>
                <w:color w:val="231F20"/>
                <w:sz w:val="14"/>
              </w:rPr>
              <w:t>и / или помоћу речника;</w:t>
            </w:r>
          </w:p>
          <w:p w:rsidR="00041039" w:rsidRDefault="001B26CB">
            <w:pPr>
              <w:pStyle w:val="TableParagraph"/>
              <w:tabs>
                <w:tab w:val="left" w:pos="157"/>
              </w:tabs>
              <w:spacing w:line="237" w:lineRule="auto"/>
              <w:ind w:right="120" w:hanging="100"/>
              <w:rPr>
                <w:sz w:val="14"/>
              </w:rPr>
            </w:pPr>
            <w:r>
              <w:rPr>
                <w:color w:val="231F20"/>
                <w:sz w:val="14"/>
              </w:rPr>
              <w:t xml:space="preserve">уочи предвидљиве информације (кад, где, </w:t>
            </w:r>
            <w:r>
              <w:rPr>
                <w:color w:val="231F20"/>
                <w:spacing w:val="-3"/>
                <w:sz w:val="14"/>
              </w:rPr>
              <w:t xml:space="preserve">ко, колико) </w:t>
            </w:r>
            <w:r>
              <w:rPr>
                <w:color w:val="231F20"/>
                <w:sz w:val="14"/>
              </w:rPr>
              <w:t>у свакодневним текстовима (рекламе, огласи, јеловници, проспекти) као и једностав­ нијим</w:t>
            </w:r>
            <w:r>
              <w:rPr>
                <w:color w:val="231F20"/>
                <w:spacing w:val="-8"/>
                <w:sz w:val="14"/>
              </w:rPr>
              <w:t xml:space="preserve"> </w:t>
            </w:r>
            <w:r>
              <w:rPr>
                <w:color w:val="231F20"/>
                <w:sz w:val="14"/>
              </w:rPr>
              <w:t>стручним</w:t>
            </w:r>
            <w:r>
              <w:rPr>
                <w:color w:val="231F20"/>
                <w:spacing w:val="-7"/>
                <w:sz w:val="14"/>
              </w:rPr>
              <w:t xml:space="preserve"> </w:t>
            </w:r>
            <w:r>
              <w:rPr>
                <w:color w:val="231F20"/>
                <w:sz w:val="14"/>
              </w:rPr>
              <w:t>текстовима</w:t>
            </w:r>
            <w:r>
              <w:rPr>
                <w:color w:val="231F20"/>
                <w:spacing w:val="-7"/>
                <w:sz w:val="14"/>
              </w:rPr>
              <w:t xml:space="preserve"> </w:t>
            </w:r>
            <w:r>
              <w:rPr>
                <w:color w:val="231F20"/>
                <w:sz w:val="14"/>
              </w:rPr>
              <w:t>(формулари,</w:t>
            </w:r>
            <w:r>
              <w:rPr>
                <w:color w:val="231F20"/>
                <w:spacing w:val="-8"/>
                <w:sz w:val="14"/>
              </w:rPr>
              <w:t xml:space="preserve"> </w:t>
            </w:r>
            <w:r>
              <w:rPr>
                <w:color w:val="231F20"/>
                <w:sz w:val="14"/>
              </w:rPr>
              <w:t>шеме, извештаји);</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700"/>
        </w:trPr>
        <w:tc>
          <w:tcPr>
            <w:tcW w:w="1304" w:type="dxa"/>
            <w:tcBorders>
              <w:top w:val="nil"/>
            </w:tcBorders>
          </w:tcPr>
          <w:p w:rsidR="00041039" w:rsidRDefault="001B26CB">
            <w:pPr>
              <w:pStyle w:val="TableParagraph"/>
              <w:tabs>
                <w:tab w:val="left" w:pos="157"/>
              </w:tabs>
              <w:spacing w:before="69"/>
              <w:ind w:right="69" w:hanging="100"/>
              <w:rPr>
                <w:sz w:val="14"/>
              </w:rPr>
            </w:pPr>
            <w:r>
              <w:rPr>
                <w:color w:val="231F20"/>
                <w:sz w:val="14"/>
              </w:rPr>
              <w:t>Оспособљавање ученика за разумевање про­ читаних</w:t>
            </w:r>
            <w:r>
              <w:rPr>
                <w:color w:val="231F20"/>
                <w:spacing w:val="-7"/>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19"/>
              <w:ind w:left="56"/>
              <w:rPr>
                <w:sz w:val="14"/>
              </w:rPr>
            </w:pPr>
            <w:r>
              <w:rPr>
                <w:color w:val="231F20"/>
                <w:sz w:val="14"/>
              </w:rPr>
              <w:t>ГОВОР</w:t>
            </w:r>
          </w:p>
        </w:tc>
        <w:tc>
          <w:tcPr>
            <w:tcW w:w="3118" w:type="dxa"/>
            <w:vMerge w:val="restart"/>
          </w:tcPr>
          <w:p w:rsidR="00041039" w:rsidRDefault="001B26CB">
            <w:pPr>
              <w:pStyle w:val="TableParagraph"/>
              <w:tabs>
                <w:tab w:val="left" w:pos="157"/>
              </w:tabs>
              <w:spacing w:before="9"/>
              <w:ind w:right="208" w:hanging="100"/>
              <w:jc w:val="both"/>
              <w:rPr>
                <w:sz w:val="14"/>
              </w:rPr>
            </w:pPr>
            <w:r>
              <w:rPr>
                <w:color w:val="231F20"/>
                <w:sz w:val="14"/>
              </w:rPr>
              <w:t>описује ситуације, прича о догађајима и аргу­ ментује ставове користећи једноставне</w:t>
            </w:r>
            <w:r>
              <w:rPr>
                <w:color w:val="231F20"/>
                <w:spacing w:val="-14"/>
                <w:sz w:val="14"/>
              </w:rPr>
              <w:t xml:space="preserve"> </w:t>
            </w:r>
            <w:r>
              <w:rPr>
                <w:color w:val="231F20"/>
                <w:sz w:val="14"/>
              </w:rPr>
              <w:t>изразе и</w:t>
            </w:r>
            <w:r>
              <w:rPr>
                <w:color w:val="231F20"/>
                <w:spacing w:val="-2"/>
                <w:sz w:val="14"/>
              </w:rPr>
              <w:t xml:space="preserve"> </w:t>
            </w:r>
            <w:r>
              <w:rPr>
                <w:color w:val="231F20"/>
                <w:sz w:val="14"/>
              </w:rPr>
              <w:t>реченице;</w:t>
            </w:r>
          </w:p>
          <w:p w:rsidR="00041039" w:rsidRDefault="001B26CB">
            <w:pPr>
              <w:pStyle w:val="TableParagraph"/>
              <w:tabs>
                <w:tab w:val="left" w:pos="157"/>
              </w:tabs>
              <w:spacing w:line="157" w:lineRule="exact"/>
              <w:ind w:hanging="100"/>
              <w:rPr>
                <w:sz w:val="14"/>
              </w:rPr>
            </w:pPr>
            <w:r>
              <w:rPr>
                <w:color w:val="231F20"/>
                <w:sz w:val="14"/>
              </w:rPr>
              <w:t>води једноставне разговоре (телефонира),</w:t>
            </w:r>
            <w:r>
              <w:rPr>
                <w:color w:val="231F20"/>
                <w:spacing w:val="-4"/>
                <w:sz w:val="14"/>
              </w:rPr>
              <w:t xml:space="preserve"> </w:t>
            </w:r>
            <w:r>
              <w:rPr>
                <w:color w:val="231F20"/>
                <w:sz w:val="14"/>
              </w:rPr>
              <w:t>даје</w:t>
            </w:r>
          </w:p>
          <w:p w:rsidR="00041039" w:rsidRDefault="001B26CB">
            <w:pPr>
              <w:pStyle w:val="TableParagraph"/>
              <w:spacing w:line="155" w:lineRule="exact"/>
              <w:rPr>
                <w:sz w:val="14"/>
              </w:rPr>
            </w:pPr>
            <w:r>
              <w:rPr>
                <w:color w:val="231F20"/>
                <w:sz w:val="14"/>
              </w:rPr>
              <w:t>информације и упутства, уговара термине;</w:t>
            </w:r>
          </w:p>
          <w:p w:rsidR="00041039" w:rsidRDefault="001B26CB">
            <w:pPr>
              <w:pStyle w:val="TableParagraph"/>
              <w:tabs>
                <w:tab w:val="left" w:pos="157"/>
              </w:tabs>
              <w:spacing w:line="237" w:lineRule="auto"/>
              <w:ind w:right="386" w:hanging="100"/>
              <w:rPr>
                <w:sz w:val="14"/>
              </w:rPr>
            </w:pPr>
            <w:r>
              <w:rPr>
                <w:color w:val="231F20"/>
                <w:sz w:val="14"/>
              </w:rPr>
              <w:t>реагује учтиво на питања , захтеве,</w:t>
            </w:r>
            <w:r>
              <w:rPr>
                <w:color w:val="231F20"/>
                <w:spacing w:val="-15"/>
                <w:sz w:val="14"/>
              </w:rPr>
              <w:t xml:space="preserve"> </w:t>
            </w:r>
            <w:r>
              <w:rPr>
                <w:color w:val="231F20"/>
                <w:sz w:val="14"/>
              </w:rPr>
              <w:t>позиве, извињења</w:t>
            </w:r>
            <w:r>
              <w:rPr>
                <w:color w:val="231F20"/>
                <w:spacing w:val="-2"/>
                <w:sz w:val="14"/>
              </w:rPr>
              <w:t xml:space="preserve"> </w:t>
            </w:r>
            <w:r>
              <w:rPr>
                <w:color w:val="231F20"/>
                <w:sz w:val="14"/>
              </w:rPr>
              <w:t>саговорника;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0"/>
        </w:trPr>
        <w:tc>
          <w:tcPr>
            <w:tcW w:w="1304" w:type="dxa"/>
            <w:tcBorders>
              <w:top w:val="nil"/>
            </w:tcBorders>
          </w:tcPr>
          <w:p w:rsidR="00041039" w:rsidRDefault="001B26CB">
            <w:pPr>
              <w:pStyle w:val="TableParagraph"/>
              <w:tabs>
                <w:tab w:val="left" w:pos="157"/>
              </w:tabs>
              <w:spacing w:before="71" w:line="237" w:lineRule="auto"/>
              <w:ind w:right="109" w:hanging="100"/>
              <w:rPr>
                <w:sz w:val="14"/>
              </w:rPr>
            </w:pPr>
            <w:r>
              <w:rPr>
                <w:color w:val="231F20"/>
                <w:sz w:val="14"/>
              </w:rPr>
              <w:t xml:space="preserve">Оспособљавање ученика за </w:t>
            </w:r>
            <w:r>
              <w:rPr>
                <w:color w:val="231F20"/>
                <w:spacing w:val="-2"/>
                <w:sz w:val="14"/>
              </w:rPr>
              <w:t xml:space="preserve">кратко </w:t>
            </w:r>
            <w:r>
              <w:rPr>
                <w:color w:val="231F20"/>
                <w:sz w:val="14"/>
              </w:rPr>
              <w:t xml:space="preserve">моно­ </w:t>
            </w:r>
            <w:r>
              <w:rPr>
                <w:color w:val="231F20"/>
                <w:spacing w:val="-3"/>
                <w:sz w:val="14"/>
              </w:rPr>
              <w:t xml:space="preserve">лошко </w:t>
            </w:r>
            <w:r>
              <w:rPr>
                <w:color w:val="231F20"/>
                <w:sz w:val="14"/>
              </w:rPr>
              <w:t xml:space="preserve">излагање и за учешће у дијалогу на стра­ ном </w:t>
            </w:r>
            <w:r>
              <w:rPr>
                <w:color w:val="231F20"/>
                <w:spacing w:val="-3"/>
                <w:sz w:val="14"/>
              </w:rPr>
              <w:t>језику.</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20"/>
              <w:ind w:left="56"/>
              <w:rPr>
                <w:sz w:val="14"/>
              </w:rPr>
            </w:pPr>
            <w:r>
              <w:rPr>
                <w:color w:val="231F20"/>
                <w:sz w:val="14"/>
              </w:rPr>
              <w:t>ПИСАЊЕ</w:t>
            </w:r>
          </w:p>
        </w:tc>
        <w:tc>
          <w:tcPr>
            <w:tcW w:w="3118" w:type="dxa"/>
            <w:vMerge w:val="restart"/>
          </w:tcPr>
          <w:p w:rsidR="00041039" w:rsidRDefault="001B26CB">
            <w:pPr>
              <w:pStyle w:val="TableParagraph"/>
              <w:tabs>
                <w:tab w:val="left" w:pos="157"/>
              </w:tabs>
              <w:spacing w:before="13" w:line="235" w:lineRule="auto"/>
              <w:ind w:right="415" w:hanging="100"/>
              <w:rPr>
                <w:sz w:val="14"/>
              </w:rPr>
            </w:pPr>
            <w:r>
              <w:rPr>
                <w:color w:val="231F20"/>
                <w:sz w:val="14"/>
              </w:rPr>
              <w:t>попуњава</w:t>
            </w:r>
            <w:r>
              <w:rPr>
                <w:color w:val="231F20"/>
                <w:spacing w:val="-7"/>
                <w:sz w:val="14"/>
              </w:rPr>
              <w:t xml:space="preserve"> </w:t>
            </w:r>
            <w:r>
              <w:rPr>
                <w:color w:val="231F20"/>
                <w:sz w:val="14"/>
              </w:rPr>
              <w:t>рачуне,</w:t>
            </w:r>
            <w:r>
              <w:rPr>
                <w:color w:val="231F20"/>
                <w:spacing w:val="-7"/>
                <w:sz w:val="14"/>
              </w:rPr>
              <w:t xml:space="preserve"> </w:t>
            </w:r>
            <w:r>
              <w:rPr>
                <w:color w:val="231F20"/>
                <w:sz w:val="14"/>
              </w:rPr>
              <w:t>признанице</w:t>
            </w:r>
            <w:r>
              <w:rPr>
                <w:color w:val="231F20"/>
                <w:spacing w:val="-7"/>
                <w:sz w:val="14"/>
              </w:rPr>
              <w:t xml:space="preserve"> </w:t>
            </w:r>
            <w:r>
              <w:rPr>
                <w:color w:val="231F20"/>
                <w:sz w:val="14"/>
              </w:rPr>
              <w:t>и</w:t>
            </w:r>
            <w:r>
              <w:rPr>
                <w:color w:val="231F20"/>
                <w:spacing w:val="-7"/>
                <w:sz w:val="14"/>
              </w:rPr>
              <w:t xml:space="preserve"> </w:t>
            </w:r>
            <w:r>
              <w:rPr>
                <w:color w:val="231F20"/>
                <w:sz w:val="14"/>
              </w:rPr>
              <w:t>хартије</w:t>
            </w:r>
            <w:r>
              <w:rPr>
                <w:color w:val="231F20"/>
                <w:spacing w:val="-7"/>
                <w:sz w:val="14"/>
              </w:rPr>
              <w:t xml:space="preserve"> </w:t>
            </w:r>
            <w:r>
              <w:rPr>
                <w:color w:val="231F20"/>
                <w:spacing w:val="-3"/>
                <w:sz w:val="14"/>
              </w:rPr>
              <w:t xml:space="preserve">од </w:t>
            </w:r>
            <w:r>
              <w:rPr>
                <w:color w:val="231F20"/>
                <w:sz w:val="14"/>
              </w:rPr>
              <w:t>вредности;</w:t>
            </w:r>
          </w:p>
          <w:p w:rsidR="00041039" w:rsidRDefault="001B26CB">
            <w:pPr>
              <w:pStyle w:val="TableParagraph"/>
              <w:tabs>
                <w:tab w:val="left" w:pos="157"/>
              </w:tabs>
              <w:spacing w:before="2" w:line="160" w:lineRule="exact"/>
              <w:ind w:right="348" w:hanging="100"/>
              <w:rPr>
                <w:sz w:val="14"/>
              </w:rPr>
            </w:pPr>
            <w:r>
              <w:rPr>
                <w:color w:val="231F20"/>
                <w:sz w:val="14"/>
              </w:rPr>
              <w:t>напише једноставно пословно писмо према одређеном</w:t>
            </w:r>
            <w:r>
              <w:rPr>
                <w:color w:val="231F20"/>
                <w:spacing w:val="-1"/>
                <w:sz w:val="14"/>
              </w:rPr>
              <w:t xml:space="preserve"> </w:t>
            </w:r>
            <w:r>
              <w:rPr>
                <w:color w:val="231F20"/>
                <w:sz w:val="14"/>
              </w:rPr>
              <w:t>моделу;</w:t>
            </w:r>
          </w:p>
          <w:p w:rsidR="00041039" w:rsidRDefault="001B26CB">
            <w:pPr>
              <w:pStyle w:val="TableParagraph"/>
              <w:tabs>
                <w:tab w:val="left" w:pos="157"/>
              </w:tabs>
              <w:spacing w:line="159" w:lineRule="exact"/>
              <w:ind w:hanging="100"/>
              <w:rPr>
                <w:sz w:val="14"/>
              </w:rPr>
            </w:pPr>
            <w:r>
              <w:rPr>
                <w:color w:val="231F20"/>
                <w:sz w:val="14"/>
              </w:rPr>
              <w:t>опише и појасни садржај схема и</w:t>
            </w:r>
            <w:r>
              <w:rPr>
                <w:color w:val="231F20"/>
                <w:spacing w:val="-13"/>
                <w:sz w:val="14"/>
              </w:rPr>
              <w:t xml:space="preserve"> </w:t>
            </w:r>
            <w:r>
              <w:rPr>
                <w:color w:val="231F20"/>
                <w:sz w:val="14"/>
              </w:rPr>
              <w:t>графикона;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900"/>
        </w:trPr>
        <w:tc>
          <w:tcPr>
            <w:tcW w:w="1304" w:type="dxa"/>
            <w:tcBorders>
              <w:top w:val="nil"/>
            </w:tcBorders>
          </w:tcPr>
          <w:p w:rsidR="00041039" w:rsidRDefault="001B26CB">
            <w:pPr>
              <w:pStyle w:val="TableParagraph"/>
              <w:tabs>
                <w:tab w:val="left" w:pos="157"/>
              </w:tabs>
              <w:spacing w:before="71" w:line="237" w:lineRule="auto"/>
              <w:ind w:right="70" w:hanging="10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tabs>
                <w:tab w:val="left" w:pos="157"/>
              </w:tabs>
              <w:spacing w:before="8"/>
              <w:ind w:right="51" w:hanging="100"/>
              <w:rPr>
                <w:sz w:val="14"/>
              </w:rPr>
            </w:pPr>
            <w:r>
              <w:rPr>
                <w:color w:val="231F20"/>
                <w:sz w:val="14"/>
              </w:rPr>
              <w:t>комуницира у свакодневним ситуацијама и размењује</w:t>
            </w:r>
            <w:r>
              <w:rPr>
                <w:color w:val="231F20"/>
                <w:spacing w:val="-8"/>
                <w:sz w:val="14"/>
              </w:rPr>
              <w:t xml:space="preserve"> </w:t>
            </w:r>
            <w:r>
              <w:rPr>
                <w:color w:val="231F20"/>
                <w:sz w:val="14"/>
              </w:rPr>
              <w:t>информације</w:t>
            </w:r>
            <w:r>
              <w:rPr>
                <w:color w:val="231F20"/>
                <w:spacing w:val="-8"/>
                <w:sz w:val="14"/>
              </w:rPr>
              <w:t xml:space="preserve"> </w:t>
            </w:r>
            <w:r>
              <w:rPr>
                <w:color w:val="231F20"/>
                <w:sz w:val="14"/>
              </w:rPr>
              <w:t>блиске</w:t>
            </w:r>
            <w:r>
              <w:rPr>
                <w:color w:val="231F20"/>
                <w:spacing w:val="-8"/>
                <w:sz w:val="14"/>
              </w:rPr>
              <w:t xml:space="preserve"> </w:t>
            </w:r>
            <w:r>
              <w:rPr>
                <w:color w:val="231F20"/>
                <w:sz w:val="14"/>
              </w:rPr>
              <w:t>његовим</w:t>
            </w:r>
            <w:r>
              <w:rPr>
                <w:color w:val="231F20"/>
                <w:spacing w:val="-8"/>
                <w:sz w:val="14"/>
              </w:rPr>
              <w:t xml:space="preserve"> </w:t>
            </w:r>
            <w:r>
              <w:rPr>
                <w:color w:val="231F20"/>
                <w:sz w:val="14"/>
              </w:rPr>
              <w:t>интере­ совањима (писмено и</w:t>
            </w:r>
            <w:r>
              <w:rPr>
                <w:color w:val="231F20"/>
                <w:spacing w:val="-2"/>
                <w:sz w:val="14"/>
              </w:rPr>
              <w:t xml:space="preserve"> </w:t>
            </w:r>
            <w:r>
              <w:rPr>
                <w:color w:val="231F20"/>
                <w:sz w:val="14"/>
              </w:rPr>
              <w:t>усмено);</w:t>
            </w:r>
          </w:p>
        </w:tc>
        <w:tc>
          <w:tcPr>
            <w:tcW w:w="3288" w:type="dxa"/>
            <w:vMerge w:val="restart"/>
          </w:tcPr>
          <w:p w:rsidR="00041039" w:rsidRDefault="00041039">
            <w:pPr>
              <w:pStyle w:val="TableParagraph"/>
              <w:ind w:left="0"/>
              <w:rPr>
                <w:sz w:val="14"/>
              </w:rPr>
            </w:pPr>
          </w:p>
        </w:tc>
        <w:tc>
          <w:tcPr>
            <w:tcW w:w="2834" w:type="dxa"/>
            <w:vMerge w:val="restart"/>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140" w:hanging="10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vMerge w:val="restart"/>
          </w:tcPr>
          <w:p w:rsidR="00041039" w:rsidRDefault="001B26CB">
            <w:pPr>
              <w:pStyle w:val="TableParagraph"/>
              <w:tabs>
                <w:tab w:val="left" w:pos="157"/>
              </w:tabs>
              <w:spacing w:before="8"/>
              <w:ind w:right="236" w:hanging="100"/>
              <w:rPr>
                <w:sz w:val="14"/>
              </w:rPr>
            </w:pPr>
            <w:r>
              <w:rPr>
                <w:color w:val="231F20"/>
                <w:sz w:val="14"/>
              </w:rPr>
              <w:t>преводи</w:t>
            </w:r>
            <w:r>
              <w:rPr>
                <w:color w:val="231F20"/>
                <w:spacing w:val="-6"/>
                <w:sz w:val="14"/>
              </w:rPr>
              <w:t xml:space="preserve"> </w:t>
            </w:r>
            <w:r>
              <w:rPr>
                <w:color w:val="231F20"/>
                <w:sz w:val="14"/>
              </w:rPr>
              <w:t>усмено</w:t>
            </w:r>
            <w:r>
              <w:rPr>
                <w:color w:val="231F20"/>
                <w:spacing w:val="-6"/>
                <w:sz w:val="14"/>
              </w:rPr>
              <w:t xml:space="preserve"> </w:t>
            </w:r>
            <w:r>
              <w:rPr>
                <w:color w:val="231F20"/>
                <w:sz w:val="14"/>
              </w:rPr>
              <w:t>или</w:t>
            </w:r>
            <w:r>
              <w:rPr>
                <w:color w:val="231F20"/>
                <w:spacing w:val="-6"/>
                <w:sz w:val="14"/>
              </w:rPr>
              <w:t xml:space="preserve"> </w:t>
            </w:r>
            <w:r>
              <w:rPr>
                <w:color w:val="231F20"/>
                <w:sz w:val="14"/>
              </w:rPr>
              <w:t>писмено</w:t>
            </w:r>
            <w:r>
              <w:rPr>
                <w:color w:val="231F20"/>
                <w:spacing w:val="-6"/>
                <w:sz w:val="14"/>
              </w:rPr>
              <w:t xml:space="preserve"> </w:t>
            </w:r>
            <w:r>
              <w:rPr>
                <w:color w:val="231F20"/>
                <w:sz w:val="14"/>
              </w:rPr>
              <w:t>кратке</w:t>
            </w:r>
            <w:r>
              <w:rPr>
                <w:color w:val="231F20"/>
                <w:spacing w:val="-6"/>
                <w:sz w:val="14"/>
              </w:rPr>
              <w:t xml:space="preserve"> </w:t>
            </w:r>
            <w:r>
              <w:rPr>
                <w:color w:val="231F20"/>
                <w:sz w:val="14"/>
              </w:rPr>
              <w:t>поруке</w:t>
            </w:r>
            <w:r>
              <w:rPr>
                <w:color w:val="231F20"/>
                <w:spacing w:val="-6"/>
                <w:sz w:val="14"/>
              </w:rPr>
              <w:t xml:space="preserve"> </w:t>
            </w:r>
            <w:r>
              <w:rPr>
                <w:color w:val="231F20"/>
                <w:sz w:val="14"/>
              </w:rPr>
              <w:t>у складу са потребама</w:t>
            </w:r>
            <w:r>
              <w:rPr>
                <w:color w:val="231F20"/>
                <w:spacing w:val="-3"/>
                <w:sz w:val="14"/>
              </w:rPr>
              <w:t xml:space="preserve"> </w:t>
            </w:r>
            <w:r>
              <w:rPr>
                <w:color w:val="231F20"/>
                <w:sz w:val="14"/>
              </w:rPr>
              <w:t>комуникације;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134" w:hanging="100"/>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408"/>
        </w:trPr>
        <w:tc>
          <w:tcPr>
            <w:tcW w:w="1304" w:type="dxa"/>
            <w:tcBorders>
              <w:bottom w:val="nil"/>
            </w:tcBorders>
          </w:tcPr>
          <w:p w:rsidR="00041039" w:rsidRDefault="001B26CB">
            <w:pPr>
              <w:pStyle w:val="TableParagraph"/>
              <w:spacing w:before="18"/>
              <w:ind w:left="56" w:right="331"/>
              <w:rPr>
                <w:sz w:val="14"/>
              </w:rPr>
            </w:pPr>
            <w:r>
              <w:rPr>
                <w:color w:val="231F20"/>
                <w:sz w:val="14"/>
              </w:rPr>
              <w:t>МЕДИЈСКА ПИСМЕНОСТ</w:t>
            </w:r>
          </w:p>
        </w:tc>
        <w:tc>
          <w:tcPr>
            <w:tcW w:w="3118" w:type="dxa"/>
            <w:tcBorders>
              <w:bottom w:val="nil"/>
            </w:tcBorders>
          </w:tcPr>
          <w:p w:rsidR="00041039" w:rsidRDefault="001B26CB">
            <w:pPr>
              <w:pStyle w:val="TableParagraph"/>
              <w:tabs>
                <w:tab w:val="left" w:pos="157"/>
              </w:tabs>
              <w:spacing w:before="8"/>
              <w:ind w:hanging="100"/>
              <w:rPr>
                <w:sz w:val="14"/>
              </w:rPr>
            </w:pPr>
            <w:r>
              <w:rPr>
                <w:color w:val="231F20"/>
                <w:sz w:val="14"/>
              </w:rPr>
              <w:t>аргументује свој став о медијском</w:t>
            </w:r>
            <w:r>
              <w:rPr>
                <w:color w:val="231F20"/>
                <w:spacing w:val="-7"/>
                <w:sz w:val="14"/>
              </w:rPr>
              <w:t xml:space="preserve"> </w:t>
            </w:r>
            <w:r>
              <w:rPr>
                <w:color w:val="231F20"/>
                <w:sz w:val="14"/>
              </w:rPr>
              <w:t>тексту;</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54" w:hanging="100"/>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p w:rsidR="00041039" w:rsidRDefault="001B26CB">
      <w:pPr>
        <w:pStyle w:val="Heading1"/>
        <w:spacing w:before="80" w:line="240" w:lineRule="auto"/>
        <w:ind w:left="0" w:right="37"/>
        <w:jc w:val="center"/>
      </w:pPr>
      <w:r>
        <w:rPr>
          <w:color w:val="231F20"/>
        </w:rPr>
        <w:lastRenderedPageBreak/>
        <w:t>ГРАМАТИЧКИ САДРЖАЈИ</w:t>
      </w:r>
    </w:p>
    <w:p w:rsidR="00041039" w:rsidRDefault="00041039">
      <w:pPr>
        <w:pStyle w:val="BodyText"/>
        <w:spacing w:before="8"/>
        <w:rPr>
          <w:b/>
          <w:sz w:val="16"/>
        </w:rPr>
      </w:pPr>
    </w:p>
    <w:p w:rsidR="00041039" w:rsidRDefault="001B26CB">
      <w:pPr>
        <w:pStyle w:val="ListParagraph"/>
        <w:tabs>
          <w:tab w:val="left" w:pos="613"/>
        </w:tabs>
        <w:spacing w:before="1" w:line="203" w:lineRule="exact"/>
        <w:ind w:left="612" w:hanging="115"/>
        <w:rPr>
          <w:b/>
          <w:sz w:val="18"/>
        </w:rPr>
      </w:pPr>
      <w:r>
        <w:rPr>
          <w:b/>
          <w:color w:val="231F20"/>
          <w:sz w:val="18"/>
        </w:rPr>
        <w:t>РЕЧЕНИЦА</w:t>
      </w:r>
    </w:p>
    <w:p w:rsidR="00041039" w:rsidRDefault="001B26CB">
      <w:pPr>
        <w:pStyle w:val="Heading2"/>
        <w:tabs>
          <w:tab w:val="left" w:pos="633"/>
        </w:tabs>
      </w:pPr>
      <w:r>
        <w:rPr>
          <w:color w:val="231F20"/>
        </w:rPr>
        <w:t>Систематизација свих типова упитних</w:t>
      </w:r>
      <w:r>
        <w:rPr>
          <w:color w:val="231F20"/>
          <w:spacing w:val="-1"/>
        </w:rPr>
        <w:t xml:space="preserve"> </w:t>
      </w:r>
      <w:r>
        <w:rPr>
          <w:color w:val="231F20"/>
        </w:rPr>
        <w:t>реченица;</w:t>
      </w:r>
    </w:p>
    <w:p w:rsidR="00041039" w:rsidRDefault="001B26CB">
      <w:pPr>
        <w:pStyle w:val="ListParagraph"/>
        <w:tabs>
          <w:tab w:val="left" w:pos="633"/>
        </w:tabs>
        <w:ind w:left="497" w:firstLine="0"/>
        <w:rPr>
          <w:sz w:val="18"/>
        </w:rPr>
      </w:pPr>
      <w:r>
        <w:rPr>
          <w:color w:val="231F20"/>
          <w:sz w:val="18"/>
        </w:rPr>
        <w:t>Ред речи у</w:t>
      </w:r>
      <w:r>
        <w:rPr>
          <w:color w:val="231F20"/>
          <w:spacing w:val="-1"/>
          <w:sz w:val="18"/>
        </w:rPr>
        <w:t xml:space="preserve"> </w:t>
      </w:r>
      <w:r>
        <w:rPr>
          <w:color w:val="231F20"/>
          <w:sz w:val="18"/>
        </w:rPr>
        <w:t>реченици;</w:t>
      </w:r>
    </w:p>
    <w:p w:rsidR="00041039" w:rsidRDefault="001B26CB">
      <w:pPr>
        <w:pStyle w:val="ListParagraph"/>
        <w:tabs>
          <w:tab w:val="left" w:pos="633"/>
        </w:tabs>
        <w:ind w:left="497" w:firstLine="0"/>
        <w:rPr>
          <w:sz w:val="18"/>
        </w:rPr>
      </w:pPr>
      <w:r>
        <w:rPr>
          <w:color w:val="231F20"/>
          <w:sz w:val="18"/>
        </w:rPr>
        <w:t>Место прилога и прилошких</w:t>
      </w:r>
      <w:r>
        <w:rPr>
          <w:color w:val="231F20"/>
          <w:spacing w:val="-4"/>
          <w:sz w:val="18"/>
        </w:rPr>
        <w:t xml:space="preserve"> </w:t>
      </w:r>
      <w:r>
        <w:rPr>
          <w:color w:val="231F20"/>
          <w:sz w:val="18"/>
        </w:rPr>
        <w:t>одредби;</w:t>
      </w:r>
    </w:p>
    <w:p w:rsidR="00041039" w:rsidRDefault="001B26CB">
      <w:pPr>
        <w:pStyle w:val="ListParagraph"/>
        <w:tabs>
          <w:tab w:val="left" w:pos="633"/>
        </w:tabs>
        <w:ind w:left="497" w:firstLine="0"/>
        <w:rPr>
          <w:sz w:val="18"/>
        </w:rPr>
      </w:pPr>
      <w:r>
        <w:rPr>
          <w:color w:val="231F20"/>
          <w:sz w:val="18"/>
        </w:rPr>
        <w:t>Повезивање реченица уз употребу</w:t>
      </w:r>
      <w:r>
        <w:rPr>
          <w:color w:val="231F20"/>
          <w:spacing w:val="-1"/>
          <w:sz w:val="18"/>
        </w:rPr>
        <w:t xml:space="preserve"> </w:t>
      </w:r>
      <w:r>
        <w:rPr>
          <w:color w:val="231F20"/>
          <w:sz w:val="18"/>
        </w:rPr>
        <w:t>везника;</w:t>
      </w:r>
    </w:p>
    <w:p w:rsidR="00041039" w:rsidRDefault="001B26CB">
      <w:pPr>
        <w:pStyle w:val="ListParagraph"/>
        <w:tabs>
          <w:tab w:val="left" w:pos="629"/>
        </w:tabs>
        <w:ind w:left="628" w:hanging="131"/>
        <w:rPr>
          <w:sz w:val="18"/>
        </w:rPr>
      </w:pPr>
      <w:r>
        <w:rPr>
          <w:color w:val="231F20"/>
          <w:spacing w:val="-5"/>
          <w:sz w:val="18"/>
        </w:rPr>
        <w:t>Tag</w:t>
      </w:r>
      <w:r>
        <w:rPr>
          <w:color w:val="231F20"/>
          <w:sz w:val="18"/>
        </w:rPr>
        <w:t xml:space="preserve"> questions;</w:t>
      </w:r>
    </w:p>
    <w:p w:rsidR="00041039" w:rsidRDefault="001B26CB">
      <w:pPr>
        <w:pStyle w:val="ListParagraph"/>
        <w:tabs>
          <w:tab w:val="left" w:pos="633"/>
        </w:tabs>
        <w:spacing w:line="203" w:lineRule="exact"/>
        <w:ind w:left="497" w:firstLine="0"/>
        <w:rPr>
          <w:i/>
          <w:sz w:val="18"/>
        </w:rPr>
      </w:pPr>
      <w:r>
        <w:rPr>
          <w:color w:val="231F20"/>
          <w:spacing w:val="-4"/>
          <w:sz w:val="18"/>
        </w:rPr>
        <w:t xml:space="preserve">Узвици </w:t>
      </w:r>
      <w:r>
        <w:rPr>
          <w:color w:val="231F20"/>
          <w:sz w:val="18"/>
        </w:rPr>
        <w:t xml:space="preserve">са </w:t>
      </w:r>
      <w:r>
        <w:rPr>
          <w:i/>
          <w:color w:val="231F20"/>
          <w:sz w:val="18"/>
        </w:rPr>
        <w:t xml:space="preserve">so </w:t>
      </w:r>
      <w:r>
        <w:rPr>
          <w:color w:val="231F20"/>
          <w:sz w:val="18"/>
        </w:rPr>
        <w:t>и</w:t>
      </w:r>
      <w:r>
        <w:rPr>
          <w:color w:val="231F20"/>
          <w:sz w:val="18"/>
        </w:rPr>
        <w:t xml:space="preserve"> </w:t>
      </w:r>
      <w:r>
        <w:rPr>
          <w:i/>
          <w:color w:val="231F20"/>
          <w:sz w:val="18"/>
        </w:rPr>
        <w:t>such.</w:t>
      </w:r>
    </w:p>
    <w:p w:rsidR="00041039" w:rsidRDefault="00041039">
      <w:pPr>
        <w:pStyle w:val="BodyText"/>
        <w:spacing w:before="8"/>
        <w:rPr>
          <w:i/>
          <w:sz w:val="16"/>
        </w:rPr>
      </w:pPr>
    </w:p>
    <w:p w:rsidR="00041039" w:rsidRDefault="001B26CB">
      <w:pPr>
        <w:pStyle w:val="Heading1"/>
        <w:tabs>
          <w:tab w:val="left" w:pos="683"/>
        </w:tabs>
        <w:spacing w:before="1"/>
        <w:ind w:left="682" w:hanging="185"/>
      </w:pPr>
      <w:r>
        <w:rPr>
          <w:color w:val="231F20"/>
        </w:rPr>
        <w:t>ИМЕНИЧКА</w:t>
      </w:r>
      <w:r>
        <w:rPr>
          <w:color w:val="231F20"/>
          <w:spacing w:val="-2"/>
        </w:rPr>
        <w:t xml:space="preserve"> </w:t>
      </w:r>
      <w:r>
        <w:rPr>
          <w:color w:val="231F20"/>
        </w:rPr>
        <w:t>ГРУПА</w:t>
      </w:r>
    </w:p>
    <w:p w:rsidR="00041039" w:rsidRDefault="001B26CB">
      <w:pPr>
        <w:pStyle w:val="Heading2"/>
        <w:tabs>
          <w:tab w:val="left" w:pos="678"/>
        </w:tabs>
      </w:pPr>
      <w:r>
        <w:rPr>
          <w:color w:val="231F20"/>
        </w:rPr>
        <w:t>Члан</w:t>
      </w:r>
    </w:p>
    <w:p w:rsidR="00041039" w:rsidRDefault="001B26CB">
      <w:pPr>
        <w:pStyle w:val="ListParagraph"/>
        <w:tabs>
          <w:tab w:val="left" w:pos="633"/>
        </w:tabs>
        <w:ind w:left="497"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tabs>
          <w:tab w:val="left" w:pos="678"/>
        </w:tabs>
        <w:ind w:left="497" w:firstLine="0"/>
        <w:rPr>
          <w:sz w:val="18"/>
        </w:rPr>
      </w:pPr>
      <w:r>
        <w:rPr>
          <w:color w:val="231F20"/>
          <w:sz w:val="18"/>
        </w:rPr>
        <w:t>Именице</w:t>
      </w:r>
    </w:p>
    <w:p w:rsidR="00041039" w:rsidRDefault="001B26CB">
      <w:pPr>
        <w:pStyle w:val="ListParagraph"/>
        <w:tabs>
          <w:tab w:val="left" w:pos="633"/>
        </w:tabs>
        <w:ind w:left="497"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tabs>
          <w:tab w:val="left" w:pos="678"/>
        </w:tabs>
        <w:spacing w:before="1" w:line="232" w:lineRule="auto"/>
        <w:ind w:left="497" w:right="8674" w:firstLine="0"/>
        <w:rPr>
          <w:sz w:val="18"/>
        </w:rPr>
      </w:pPr>
      <w:r>
        <w:rPr>
          <w:color w:val="231F20"/>
          <w:sz w:val="18"/>
        </w:rPr>
        <w:t>Заменички облици а) Заменице</w:t>
      </w:r>
    </w:p>
    <w:p w:rsidR="00041039" w:rsidRDefault="001B26CB">
      <w:pPr>
        <w:pStyle w:val="ListParagraph"/>
        <w:tabs>
          <w:tab w:val="left" w:pos="633"/>
        </w:tabs>
        <w:spacing w:line="197" w:lineRule="exact"/>
        <w:ind w:left="497"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tabs>
          <w:tab w:val="left" w:pos="633"/>
        </w:tabs>
        <w:ind w:left="497"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tabs>
          <w:tab w:val="left" w:pos="633"/>
        </w:tabs>
        <w:spacing w:before="2" w:line="232" w:lineRule="auto"/>
        <w:ind w:left="497"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tabs>
          <w:tab w:val="left" w:pos="633"/>
        </w:tabs>
        <w:spacing w:line="197" w:lineRule="exact"/>
        <w:ind w:left="497"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tabs>
          <w:tab w:val="left" w:pos="633"/>
        </w:tabs>
        <w:ind w:left="497"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tabs>
          <w:tab w:val="left" w:pos="633"/>
        </w:tabs>
        <w:ind w:left="497"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tabs>
          <w:tab w:val="left" w:pos="678"/>
        </w:tabs>
        <w:ind w:left="497" w:firstLine="0"/>
        <w:rPr>
          <w:sz w:val="18"/>
        </w:rPr>
      </w:pPr>
      <w:r>
        <w:rPr>
          <w:color w:val="231F20"/>
          <w:sz w:val="18"/>
        </w:rPr>
        <w:t>Придеви</w:t>
      </w:r>
    </w:p>
    <w:p w:rsidR="00041039" w:rsidRDefault="001B26CB">
      <w:pPr>
        <w:pStyle w:val="ListParagraph"/>
        <w:tabs>
          <w:tab w:val="left" w:pos="633"/>
        </w:tabs>
        <w:ind w:left="497"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tabs>
          <w:tab w:val="left" w:pos="678"/>
        </w:tabs>
        <w:ind w:left="497" w:firstLine="0"/>
        <w:rPr>
          <w:sz w:val="18"/>
        </w:rPr>
      </w:pPr>
      <w:r>
        <w:rPr>
          <w:color w:val="231F20"/>
          <w:sz w:val="18"/>
        </w:rPr>
        <w:t>Бројеви</w:t>
      </w:r>
    </w:p>
    <w:p w:rsidR="00041039" w:rsidRDefault="001B26CB">
      <w:pPr>
        <w:pStyle w:val="ListParagraph"/>
        <w:tabs>
          <w:tab w:val="left" w:pos="633"/>
        </w:tabs>
        <w:ind w:left="497"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tabs>
          <w:tab w:val="left" w:pos="678"/>
        </w:tabs>
        <w:spacing w:line="203" w:lineRule="exact"/>
        <w:ind w:left="497" w:firstLine="0"/>
        <w:rPr>
          <w:sz w:val="18"/>
        </w:rPr>
      </w:pPr>
      <w:r>
        <w:rPr>
          <w:color w:val="231F20"/>
          <w:sz w:val="18"/>
        </w:rPr>
        <w:t>Квантификатори</w:t>
      </w:r>
    </w:p>
    <w:p w:rsidR="00041039" w:rsidRDefault="00041039">
      <w:pPr>
        <w:pStyle w:val="BodyText"/>
        <w:spacing w:before="9"/>
        <w:rPr>
          <w:sz w:val="16"/>
        </w:rPr>
      </w:pPr>
    </w:p>
    <w:p w:rsidR="00041039" w:rsidRDefault="001B26CB">
      <w:pPr>
        <w:pStyle w:val="ListParagraph"/>
        <w:tabs>
          <w:tab w:val="left" w:pos="753"/>
        </w:tabs>
        <w:spacing w:line="203" w:lineRule="exact"/>
        <w:ind w:left="752" w:hanging="255"/>
        <w:rPr>
          <w:b/>
          <w:sz w:val="18"/>
        </w:rPr>
      </w:pPr>
      <w:r>
        <w:rPr>
          <w:b/>
          <w:color w:val="231F20"/>
          <w:spacing w:val="-6"/>
          <w:sz w:val="18"/>
        </w:rPr>
        <w:t>ГЛAГОЛСКА</w:t>
      </w:r>
      <w:r>
        <w:rPr>
          <w:b/>
          <w:color w:val="231F20"/>
          <w:spacing w:val="-1"/>
          <w:sz w:val="18"/>
        </w:rPr>
        <w:t xml:space="preserve"> </w:t>
      </w:r>
      <w:r>
        <w:rPr>
          <w:b/>
          <w:color w:val="231F20"/>
          <w:sz w:val="18"/>
        </w:rPr>
        <w:t>ГРУПА</w:t>
      </w:r>
    </w:p>
    <w:p w:rsidR="00041039" w:rsidRDefault="001B26CB">
      <w:pPr>
        <w:pStyle w:val="ListParagraph"/>
        <w:tabs>
          <w:tab w:val="left" w:pos="678"/>
        </w:tabs>
        <w:ind w:left="677" w:hanging="180"/>
        <w:rPr>
          <w:sz w:val="18"/>
        </w:rPr>
      </w:pPr>
      <w:r>
        <w:rPr>
          <w:color w:val="231F20"/>
          <w:spacing w:val="-4"/>
          <w:sz w:val="18"/>
        </w:rPr>
        <w:t>Глаголи</w:t>
      </w:r>
    </w:p>
    <w:p w:rsidR="00041039" w:rsidRDefault="001B26CB">
      <w:pPr>
        <w:pStyle w:val="ListParagraph"/>
        <w:tabs>
          <w:tab w:val="left" w:pos="633"/>
        </w:tabs>
        <w:ind w:left="497" w:firstLine="0"/>
        <w:rPr>
          <w:sz w:val="18"/>
        </w:rPr>
      </w:pPr>
      <w:r>
        <w:rPr>
          <w:color w:val="231F20"/>
          <w:sz w:val="18"/>
        </w:rPr>
        <w:t>Обновити разлику у употреби Present Simple, Present Continuous, Past Simple, Past</w:t>
      </w:r>
      <w:r>
        <w:rPr>
          <w:color w:val="231F20"/>
          <w:spacing w:val="-13"/>
          <w:sz w:val="18"/>
        </w:rPr>
        <w:t xml:space="preserve"> </w:t>
      </w:r>
      <w:r>
        <w:rPr>
          <w:color w:val="231F20"/>
          <w:sz w:val="18"/>
        </w:rPr>
        <w:t>Continuous;</w:t>
      </w:r>
    </w:p>
    <w:p w:rsidR="00041039" w:rsidRDefault="001B26CB">
      <w:pPr>
        <w:pStyle w:val="ListParagraph"/>
        <w:tabs>
          <w:tab w:val="left" w:pos="633"/>
        </w:tabs>
        <w:ind w:left="497" w:firstLine="0"/>
        <w:rPr>
          <w:sz w:val="18"/>
        </w:rPr>
      </w:pPr>
      <w:r>
        <w:rPr>
          <w:color w:val="231F20"/>
          <w:sz w:val="18"/>
        </w:rPr>
        <w:t>Обновити све употребе Present</w:t>
      </w:r>
      <w:r>
        <w:rPr>
          <w:color w:val="231F20"/>
          <w:spacing w:val="-3"/>
          <w:sz w:val="18"/>
        </w:rPr>
        <w:t xml:space="preserve"> </w:t>
      </w:r>
      <w:r>
        <w:rPr>
          <w:color w:val="231F20"/>
          <w:sz w:val="18"/>
        </w:rPr>
        <w:t>Perfect;</w:t>
      </w:r>
    </w:p>
    <w:p w:rsidR="00041039" w:rsidRDefault="001B26CB">
      <w:pPr>
        <w:pStyle w:val="ListParagraph"/>
        <w:tabs>
          <w:tab w:val="left" w:pos="633"/>
        </w:tabs>
        <w:ind w:left="497" w:firstLine="0"/>
        <w:rPr>
          <w:sz w:val="18"/>
        </w:rPr>
      </w:pPr>
      <w:r>
        <w:rPr>
          <w:color w:val="231F20"/>
          <w:sz w:val="18"/>
        </w:rPr>
        <w:t>Used</w:t>
      </w:r>
      <w:r>
        <w:rPr>
          <w:color w:val="231F20"/>
          <w:spacing w:val="-2"/>
          <w:sz w:val="18"/>
        </w:rPr>
        <w:t xml:space="preserve"> </w:t>
      </w:r>
      <w:r>
        <w:rPr>
          <w:color w:val="231F20"/>
          <w:sz w:val="18"/>
        </w:rPr>
        <w:t>to;</w:t>
      </w:r>
    </w:p>
    <w:p w:rsidR="00041039" w:rsidRDefault="001B26CB">
      <w:pPr>
        <w:pStyle w:val="ListParagraph"/>
        <w:tabs>
          <w:tab w:val="left" w:pos="633"/>
        </w:tabs>
        <w:ind w:left="497" w:firstLine="0"/>
        <w:rPr>
          <w:sz w:val="18"/>
        </w:rPr>
      </w:pPr>
      <w:r>
        <w:rPr>
          <w:color w:val="231F20"/>
          <w:sz w:val="18"/>
        </w:rPr>
        <w:t>Начини изражавања будућности, планова у будућности (going to,</w:t>
      </w:r>
      <w:r>
        <w:rPr>
          <w:color w:val="231F20"/>
          <w:spacing w:val="-5"/>
          <w:sz w:val="18"/>
        </w:rPr>
        <w:t xml:space="preserve"> </w:t>
      </w:r>
      <w:r>
        <w:rPr>
          <w:color w:val="231F20"/>
          <w:sz w:val="18"/>
        </w:rPr>
        <w:t>will);</w:t>
      </w:r>
    </w:p>
    <w:p w:rsidR="00041039" w:rsidRDefault="001B26CB">
      <w:pPr>
        <w:pStyle w:val="ListParagraph"/>
        <w:tabs>
          <w:tab w:val="left" w:pos="633"/>
        </w:tabs>
        <w:ind w:left="497" w:firstLine="0"/>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t>
      </w:r>
      <w:r>
        <w:rPr>
          <w:color w:val="231F20"/>
          <w:sz w:val="18"/>
        </w:rPr>
        <w:t xml:space="preserve">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tabs>
          <w:tab w:val="left" w:pos="633"/>
        </w:tabs>
        <w:ind w:left="497" w:firstLine="0"/>
        <w:rPr>
          <w:sz w:val="18"/>
        </w:rPr>
      </w:pPr>
      <w:r>
        <w:rPr>
          <w:color w:val="231F20"/>
          <w:sz w:val="18"/>
        </w:rPr>
        <w:t xml:space="preserve">Прилози, извођење прилога и употреба, прилози вероватноће са </w:t>
      </w:r>
      <w:r>
        <w:rPr>
          <w:color w:val="231F20"/>
          <w:spacing w:val="-3"/>
          <w:sz w:val="18"/>
        </w:rPr>
        <w:t xml:space="preserve">may, </w:t>
      </w:r>
      <w:r>
        <w:rPr>
          <w:color w:val="231F20"/>
          <w:sz w:val="18"/>
        </w:rPr>
        <w:t>might и</w:t>
      </w:r>
      <w:r>
        <w:rPr>
          <w:color w:val="231F20"/>
          <w:spacing w:val="-7"/>
          <w:sz w:val="18"/>
        </w:rPr>
        <w:t xml:space="preserve"> </w:t>
      </w:r>
      <w:r>
        <w:rPr>
          <w:color w:val="231F20"/>
          <w:sz w:val="18"/>
        </w:rPr>
        <w:t>will;</w:t>
      </w:r>
    </w:p>
    <w:p w:rsidR="00041039" w:rsidRDefault="001B26CB">
      <w:pPr>
        <w:pStyle w:val="ListParagraph"/>
        <w:tabs>
          <w:tab w:val="left" w:pos="633"/>
        </w:tabs>
        <w:ind w:left="497" w:firstLine="0"/>
        <w:rPr>
          <w:sz w:val="18"/>
        </w:rPr>
      </w:pPr>
      <w:r>
        <w:rPr>
          <w:color w:val="231F20"/>
          <w:sz w:val="18"/>
        </w:rPr>
        <w:t>Пасивне конструкције ­ садашње и прошло време ­ the Present Simple, Past Simple (продуктивно и</w:t>
      </w:r>
      <w:r>
        <w:rPr>
          <w:color w:val="231F20"/>
          <w:spacing w:val="-24"/>
          <w:sz w:val="18"/>
        </w:rPr>
        <w:t xml:space="preserve"> </w:t>
      </w:r>
      <w:r>
        <w:rPr>
          <w:color w:val="231F20"/>
          <w:sz w:val="18"/>
        </w:rPr>
        <w:t>рецептивно);</w:t>
      </w:r>
    </w:p>
    <w:p w:rsidR="00041039" w:rsidRDefault="001B26CB">
      <w:pPr>
        <w:pStyle w:val="ListParagraph"/>
        <w:tabs>
          <w:tab w:val="left" w:pos="633"/>
        </w:tabs>
        <w:ind w:left="497" w:firstLine="0"/>
        <w:rPr>
          <w:sz w:val="18"/>
        </w:rPr>
      </w:pPr>
      <w:r>
        <w:rPr>
          <w:color w:val="231F20"/>
          <w:sz w:val="18"/>
        </w:rPr>
        <w:t>Present Perfect Passive</w:t>
      </w:r>
      <w:r>
        <w:rPr>
          <w:color w:val="231F20"/>
          <w:spacing w:val="-4"/>
          <w:sz w:val="18"/>
        </w:rPr>
        <w:t xml:space="preserve"> </w:t>
      </w:r>
      <w:r>
        <w:rPr>
          <w:color w:val="231F20"/>
          <w:sz w:val="18"/>
        </w:rPr>
        <w:t>(рецептивно);</w:t>
      </w:r>
    </w:p>
    <w:p w:rsidR="00041039" w:rsidRDefault="001B26CB">
      <w:pPr>
        <w:pStyle w:val="ListParagraph"/>
        <w:tabs>
          <w:tab w:val="left" w:pos="678"/>
        </w:tabs>
        <w:ind w:left="677" w:hanging="180"/>
        <w:rPr>
          <w:sz w:val="18"/>
        </w:rPr>
      </w:pPr>
      <w:r>
        <w:rPr>
          <w:color w:val="231F20"/>
          <w:sz w:val="18"/>
        </w:rPr>
        <w:t>Предлози и најчешћи прилози за оријентацију у времену и</w:t>
      </w:r>
      <w:r>
        <w:rPr>
          <w:color w:val="231F20"/>
          <w:spacing w:val="-8"/>
          <w:sz w:val="18"/>
        </w:rPr>
        <w:t xml:space="preserve"> </w:t>
      </w:r>
      <w:r>
        <w:rPr>
          <w:color w:val="231F20"/>
          <w:spacing w:val="-3"/>
          <w:sz w:val="18"/>
        </w:rPr>
        <w:t>простору.</w:t>
      </w:r>
    </w:p>
    <w:p w:rsidR="00041039" w:rsidRDefault="001B26CB">
      <w:pPr>
        <w:pStyle w:val="ListParagraph"/>
        <w:tabs>
          <w:tab w:val="left" w:pos="678"/>
        </w:tabs>
        <w:spacing w:line="203" w:lineRule="exact"/>
        <w:ind w:left="677" w:hanging="180"/>
        <w:rPr>
          <w:sz w:val="18"/>
        </w:rPr>
      </w:pPr>
      <w:r>
        <w:rPr>
          <w:color w:val="231F20"/>
          <w:sz w:val="18"/>
        </w:rPr>
        <w:t>Први кондиционал и други кондиционал (рецептивно и</w:t>
      </w:r>
      <w:r>
        <w:rPr>
          <w:color w:val="231F20"/>
          <w:spacing w:val="-9"/>
          <w:sz w:val="18"/>
        </w:rPr>
        <w:t xml:space="preserve"> </w:t>
      </w:r>
      <w:r>
        <w:rPr>
          <w:color w:val="231F20"/>
          <w:sz w:val="18"/>
        </w:rPr>
        <w:t>продуктивно).</w:t>
      </w:r>
    </w:p>
    <w:p w:rsidR="00041039" w:rsidRDefault="00041039">
      <w:pPr>
        <w:pStyle w:val="BodyText"/>
        <w:rPr>
          <w:sz w:val="23"/>
        </w:rPr>
      </w:pPr>
    </w:p>
    <w:p w:rsidR="00041039" w:rsidRDefault="001B26CB">
      <w:pPr>
        <w:tabs>
          <w:tab w:val="left" w:pos="1303"/>
        </w:tabs>
        <w:ind w:right="7901"/>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w:t>
      </w:r>
      <w:r>
        <w:rPr>
          <w:b/>
          <w:color w:val="231F20"/>
          <w:sz w:val="14"/>
        </w:rPr>
        <w:t>ЈЕЗИК</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tabs>
                <w:tab w:val="left" w:pos="157"/>
              </w:tabs>
              <w:spacing w:before="8"/>
              <w:ind w:right="105" w:hanging="100"/>
              <w:rPr>
                <w:sz w:val="14"/>
              </w:rPr>
            </w:pPr>
            <w:r>
              <w:rPr>
                <w:color w:val="231F20"/>
                <w:sz w:val="14"/>
              </w:rPr>
              <w:t>разуме основне поруке и захтеве исказане јас­ ним</w:t>
            </w:r>
            <w:r>
              <w:rPr>
                <w:color w:val="231F20"/>
                <w:spacing w:val="-6"/>
                <w:sz w:val="14"/>
              </w:rPr>
              <w:t xml:space="preserve"> </w:t>
            </w:r>
            <w:r>
              <w:rPr>
                <w:color w:val="231F20"/>
                <w:sz w:val="14"/>
              </w:rPr>
              <w:t>стандардним</w:t>
            </w:r>
            <w:r>
              <w:rPr>
                <w:color w:val="231F20"/>
                <w:spacing w:val="-5"/>
                <w:sz w:val="14"/>
              </w:rPr>
              <w:t xml:space="preserve"> </w:t>
            </w:r>
            <w:r>
              <w:rPr>
                <w:color w:val="231F20"/>
                <w:sz w:val="14"/>
              </w:rPr>
              <w:t>језиком</w:t>
            </w:r>
            <w:r>
              <w:rPr>
                <w:color w:val="231F20"/>
                <w:spacing w:val="-5"/>
                <w:sz w:val="14"/>
              </w:rPr>
              <w:t xml:space="preserve"> </w:t>
            </w:r>
            <w:r>
              <w:rPr>
                <w:color w:val="231F20"/>
                <w:sz w:val="14"/>
              </w:rPr>
              <w:t>када</w:t>
            </w:r>
            <w:r>
              <w:rPr>
                <w:color w:val="231F20"/>
                <w:spacing w:val="-5"/>
                <w:sz w:val="14"/>
              </w:rPr>
              <w:t xml:space="preserve"> </w:t>
            </w:r>
            <w:r>
              <w:rPr>
                <w:color w:val="231F20"/>
                <w:sz w:val="14"/>
              </w:rPr>
              <w:t>је</w:t>
            </w:r>
            <w:r>
              <w:rPr>
                <w:color w:val="231F20"/>
                <w:spacing w:val="-5"/>
                <w:sz w:val="14"/>
              </w:rPr>
              <w:t xml:space="preserve"> </w:t>
            </w:r>
            <w:r>
              <w:rPr>
                <w:color w:val="231F20"/>
                <w:sz w:val="14"/>
              </w:rPr>
              <w:t>реч</w:t>
            </w:r>
            <w:r>
              <w:rPr>
                <w:color w:val="231F20"/>
                <w:spacing w:val="-5"/>
                <w:sz w:val="14"/>
              </w:rPr>
              <w:t xml:space="preserve"> </w:t>
            </w:r>
            <w:r>
              <w:rPr>
                <w:color w:val="231F20"/>
                <w:sz w:val="14"/>
              </w:rPr>
              <w:t>о</w:t>
            </w:r>
            <w:r>
              <w:rPr>
                <w:color w:val="231F20"/>
                <w:spacing w:val="-5"/>
                <w:sz w:val="14"/>
              </w:rPr>
              <w:t xml:space="preserve"> </w:t>
            </w:r>
            <w:r>
              <w:rPr>
                <w:color w:val="231F20"/>
                <w:sz w:val="14"/>
              </w:rPr>
              <w:t>блиским темама (кола, посао,</w:t>
            </w:r>
            <w:r>
              <w:rPr>
                <w:color w:val="231F20"/>
                <w:spacing w:val="-3"/>
                <w:sz w:val="14"/>
              </w:rPr>
              <w:t xml:space="preserve"> </w:t>
            </w:r>
            <w:r>
              <w:rPr>
                <w:color w:val="231F20"/>
                <w:sz w:val="14"/>
              </w:rPr>
              <w:t>хоби);</w:t>
            </w:r>
          </w:p>
          <w:p w:rsidR="00041039" w:rsidRDefault="001B26CB">
            <w:pPr>
              <w:pStyle w:val="TableParagraph"/>
              <w:tabs>
                <w:tab w:val="left" w:pos="157"/>
              </w:tabs>
              <w:spacing w:line="157" w:lineRule="exact"/>
              <w:ind w:hanging="100"/>
              <w:rPr>
                <w:sz w:val="14"/>
              </w:rPr>
            </w:pPr>
            <w:r>
              <w:rPr>
                <w:color w:val="231F20"/>
                <w:sz w:val="14"/>
              </w:rPr>
              <w:t>разуме глобално суштину нешто дужих</w:t>
            </w:r>
            <w:r>
              <w:rPr>
                <w:color w:val="231F20"/>
                <w:spacing w:val="-10"/>
                <w:sz w:val="14"/>
              </w:rPr>
              <w:t xml:space="preserve"> </w:t>
            </w:r>
            <w:r>
              <w:rPr>
                <w:color w:val="231F20"/>
                <w:sz w:val="14"/>
              </w:rPr>
              <w:t>раз­</w:t>
            </w:r>
          </w:p>
          <w:p w:rsidR="00041039" w:rsidRDefault="001B26CB">
            <w:pPr>
              <w:pStyle w:val="TableParagraph"/>
              <w:rPr>
                <w:sz w:val="14"/>
              </w:rPr>
            </w:pPr>
            <w:r>
              <w:rPr>
                <w:color w:val="231F20"/>
                <w:sz w:val="14"/>
              </w:rPr>
              <w:t>говора или дискусија, који се односе на мање сложене садржаје, уколико се говори разговетно стандардним језиком, поставља питања и</w:t>
            </w:r>
          </w:p>
          <w:p w:rsidR="00041039" w:rsidRDefault="001B26CB">
            <w:pPr>
              <w:pStyle w:val="TableParagraph"/>
              <w:spacing w:line="237" w:lineRule="auto"/>
              <w:ind w:right="198"/>
              <w:rPr>
                <w:sz w:val="14"/>
              </w:rPr>
            </w:pPr>
            <w:r>
              <w:rPr>
                <w:color w:val="231F20"/>
                <w:sz w:val="14"/>
              </w:rPr>
              <w:t>тражи објашњења у вези са темом дискусије / разговора;</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tabs>
                <w:tab w:val="left" w:pos="157"/>
              </w:tabs>
              <w:spacing w:line="237" w:lineRule="auto"/>
              <w:ind w:right="299" w:hanging="100"/>
              <w:rPr>
                <w:sz w:val="14"/>
              </w:rPr>
            </w:pPr>
            <w:r>
              <w:rPr>
                <w:color w:val="231F20"/>
                <w:sz w:val="14"/>
              </w:rPr>
              <w:t>Свакодневни</w:t>
            </w:r>
            <w:r>
              <w:rPr>
                <w:color w:val="231F20"/>
                <w:spacing w:val="-9"/>
                <w:sz w:val="14"/>
              </w:rPr>
              <w:t xml:space="preserve"> </w:t>
            </w:r>
            <w:r>
              <w:rPr>
                <w:color w:val="231F20"/>
                <w:sz w:val="14"/>
              </w:rPr>
              <w:t>живот</w:t>
            </w:r>
            <w:r>
              <w:rPr>
                <w:color w:val="231F20"/>
                <w:spacing w:val="-9"/>
                <w:sz w:val="14"/>
              </w:rPr>
              <w:t xml:space="preserve"> </w:t>
            </w:r>
            <w:r>
              <w:rPr>
                <w:color w:val="231F20"/>
                <w:sz w:val="14"/>
              </w:rPr>
              <w:t>(генерацијски</w:t>
            </w:r>
            <w:r>
              <w:rPr>
                <w:color w:val="231F20"/>
                <w:spacing w:val="-9"/>
                <w:sz w:val="14"/>
              </w:rPr>
              <w:t xml:space="preserve"> </w:t>
            </w:r>
            <w:r>
              <w:rPr>
                <w:color w:val="231F20"/>
                <w:sz w:val="14"/>
              </w:rPr>
              <w:t>конфликти</w:t>
            </w:r>
            <w:r>
              <w:rPr>
                <w:color w:val="231F20"/>
                <w:spacing w:val="-9"/>
                <w:sz w:val="14"/>
              </w:rPr>
              <w:t xml:space="preserve"> </w:t>
            </w:r>
            <w:r>
              <w:rPr>
                <w:color w:val="231F20"/>
                <w:sz w:val="14"/>
              </w:rPr>
              <w:t>и начини</w:t>
            </w:r>
            <w:r>
              <w:rPr>
                <w:color w:val="231F20"/>
                <w:spacing w:val="-1"/>
                <w:sz w:val="14"/>
              </w:rPr>
              <w:t xml:space="preserve"> </w:t>
            </w:r>
            <w:r>
              <w:rPr>
                <w:color w:val="231F20"/>
                <w:sz w:val="14"/>
              </w:rPr>
              <w:t>превазилажења).</w:t>
            </w:r>
          </w:p>
          <w:p w:rsidR="00041039" w:rsidRDefault="001B26CB">
            <w:pPr>
              <w:pStyle w:val="TableParagraph"/>
              <w:tabs>
                <w:tab w:val="left" w:pos="157"/>
              </w:tabs>
              <w:spacing w:line="160" w:lineRule="exact"/>
              <w:ind w:right="64" w:hanging="100"/>
              <w:rPr>
                <w:sz w:val="14"/>
              </w:rPr>
            </w:pPr>
            <w:r>
              <w:rPr>
                <w:color w:val="231F20"/>
                <w:sz w:val="14"/>
              </w:rPr>
              <w:t>Образовање (образовање за све, пракса и</w:t>
            </w:r>
            <w:r>
              <w:rPr>
                <w:color w:val="231F20"/>
                <w:spacing w:val="-26"/>
                <w:sz w:val="14"/>
              </w:rPr>
              <w:t xml:space="preserve"> </w:t>
            </w:r>
            <w:r>
              <w:rPr>
                <w:color w:val="231F20"/>
                <w:sz w:val="14"/>
              </w:rPr>
              <w:t xml:space="preserve">припреме за </w:t>
            </w:r>
            <w:r>
              <w:rPr>
                <w:color w:val="231F20"/>
                <w:spacing w:val="-3"/>
                <w:sz w:val="14"/>
              </w:rPr>
              <w:t xml:space="preserve">будуће </w:t>
            </w:r>
            <w:r>
              <w:rPr>
                <w:color w:val="231F20"/>
                <w:sz w:val="14"/>
              </w:rPr>
              <w:t>занимање, размена ученика).</w:t>
            </w:r>
          </w:p>
          <w:p w:rsidR="00041039" w:rsidRDefault="001B26CB">
            <w:pPr>
              <w:pStyle w:val="TableParagraph"/>
              <w:tabs>
                <w:tab w:val="left" w:pos="157"/>
              </w:tabs>
              <w:spacing w:line="160" w:lineRule="exact"/>
              <w:ind w:right="48" w:hanging="100"/>
              <w:rPr>
                <w:sz w:val="14"/>
              </w:rPr>
            </w:pPr>
            <w:r>
              <w:rPr>
                <w:color w:val="231F20"/>
                <w:sz w:val="14"/>
              </w:rPr>
              <w:t>Познате фирме, предузећа, установе, институције</w:t>
            </w:r>
            <w:r>
              <w:rPr>
                <w:color w:val="231F20"/>
                <w:spacing w:val="-21"/>
                <w:sz w:val="14"/>
              </w:rPr>
              <w:t xml:space="preserve"> </w:t>
            </w:r>
            <w:r>
              <w:rPr>
                <w:color w:val="231F20"/>
                <w:sz w:val="14"/>
              </w:rPr>
              <w:t>у земљама чији се језик</w:t>
            </w:r>
            <w:r>
              <w:rPr>
                <w:color w:val="231F20"/>
                <w:spacing w:val="-2"/>
                <w:sz w:val="14"/>
              </w:rPr>
              <w:t xml:space="preserve"> </w:t>
            </w:r>
            <w:r>
              <w:rPr>
                <w:color w:val="231F20"/>
                <w:sz w:val="14"/>
              </w:rPr>
              <w:t>учи.</w:t>
            </w:r>
          </w:p>
          <w:p w:rsidR="00041039" w:rsidRDefault="001B26CB">
            <w:pPr>
              <w:pStyle w:val="TableParagraph"/>
              <w:tabs>
                <w:tab w:val="left" w:pos="157"/>
              </w:tabs>
              <w:spacing w:line="160" w:lineRule="exact"/>
              <w:ind w:right="148" w:hanging="100"/>
              <w:rPr>
                <w:sz w:val="14"/>
              </w:rPr>
            </w:pPr>
            <w:r>
              <w:rPr>
                <w:color w:val="231F20"/>
                <w:spacing w:val="-3"/>
                <w:sz w:val="14"/>
              </w:rPr>
              <w:t xml:space="preserve">Културни </w:t>
            </w:r>
            <w:r>
              <w:rPr>
                <w:color w:val="231F20"/>
                <w:sz w:val="14"/>
              </w:rPr>
              <w:t>живот (међународни пројекти и учешће на</w:t>
            </w:r>
            <w:r>
              <w:rPr>
                <w:color w:val="231F20"/>
                <w:spacing w:val="-2"/>
                <w:sz w:val="14"/>
              </w:rPr>
              <w:t xml:space="preserve"> </w:t>
            </w:r>
            <w:r>
              <w:rPr>
                <w:color w:val="231F20"/>
                <w:sz w:val="14"/>
              </w:rPr>
              <w:t>њима).</w:t>
            </w:r>
          </w:p>
          <w:p w:rsidR="00041039" w:rsidRDefault="001B26CB">
            <w:pPr>
              <w:pStyle w:val="TableParagraph"/>
              <w:tabs>
                <w:tab w:val="left" w:pos="157"/>
              </w:tabs>
              <w:spacing w:line="153" w:lineRule="exact"/>
              <w:ind w:hanging="100"/>
              <w:rPr>
                <w:sz w:val="14"/>
              </w:rPr>
            </w:pPr>
            <w:r>
              <w:rPr>
                <w:color w:val="231F20"/>
                <w:sz w:val="14"/>
              </w:rPr>
              <w:t>Заштита човекове околине (волонтерски</w:t>
            </w:r>
            <w:r>
              <w:rPr>
                <w:color w:val="231F20"/>
                <w:spacing w:val="-11"/>
                <w:sz w:val="14"/>
              </w:rPr>
              <w:t xml:space="preserve"> </w:t>
            </w:r>
            <w:r>
              <w:rPr>
                <w:color w:val="231F20"/>
                <w:sz w:val="14"/>
              </w:rPr>
              <w:t>рад).</w:t>
            </w:r>
          </w:p>
          <w:p w:rsidR="00041039" w:rsidRDefault="001B26CB">
            <w:pPr>
              <w:pStyle w:val="TableParagraph"/>
              <w:tabs>
                <w:tab w:val="left" w:pos="157"/>
              </w:tabs>
              <w:spacing w:line="160" w:lineRule="exact"/>
              <w:ind w:hanging="100"/>
              <w:rPr>
                <w:sz w:val="14"/>
              </w:rPr>
            </w:pPr>
            <w:r>
              <w:rPr>
                <w:color w:val="231F20"/>
                <w:sz w:val="14"/>
              </w:rPr>
              <w:t>Медији (штампа, телевизија, електронски</w:t>
            </w:r>
            <w:r>
              <w:rPr>
                <w:color w:val="231F20"/>
                <w:spacing w:val="-9"/>
                <w:sz w:val="14"/>
              </w:rPr>
              <w:t xml:space="preserve"> </w:t>
            </w:r>
            <w:r>
              <w:rPr>
                <w:color w:val="231F20"/>
                <w:sz w:val="14"/>
              </w:rPr>
              <w:t>медији).</w:t>
            </w:r>
          </w:p>
          <w:p w:rsidR="00041039" w:rsidRDefault="001B26CB">
            <w:pPr>
              <w:pStyle w:val="TableParagraph"/>
              <w:tabs>
                <w:tab w:val="left" w:pos="157"/>
              </w:tabs>
              <w:spacing w:line="237" w:lineRule="auto"/>
              <w:ind w:right="281" w:hanging="100"/>
              <w:rPr>
                <w:sz w:val="14"/>
              </w:rPr>
            </w:pPr>
            <w:r>
              <w:rPr>
                <w:color w:val="231F20"/>
                <w:sz w:val="14"/>
              </w:rPr>
              <w:t>Историјски догађаји/линости из земаља чији се језик</w:t>
            </w:r>
            <w:r>
              <w:rPr>
                <w:color w:val="231F20"/>
                <w:spacing w:val="-2"/>
                <w:sz w:val="14"/>
              </w:rPr>
              <w:t xml:space="preserve"> </w:t>
            </w:r>
            <w:r>
              <w:rPr>
                <w:color w:val="231F20"/>
                <w:sz w:val="14"/>
              </w:rPr>
              <w:t>учи.</w:t>
            </w:r>
          </w:p>
          <w:p w:rsidR="00041039" w:rsidRDefault="001B26CB">
            <w:pPr>
              <w:pStyle w:val="TableParagraph"/>
              <w:tabs>
                <w:tab w:val="left" w:pos="157"/>
              </w:tabs>
              <w:spacing w:line="160" w:lineRule="exact"/>
              <w:ind w:right="435" w:hanging="100"/>
              <w:rPr>
                <w:sz w:val="14"/>
              </w:rPr>
            </w:pPr>
            <w:r>
              <w:rPr>
                <w:color w:val="231F20"/>
                <w:sz w:val="14"/>
              </w:rPr>
              <w:t>Свет компјутера (предности и мане</w:t>
            </w:r>
            <w:r>
              <w:rPr>
                <w:color w:val="231F20"/>
                <w:spacing w:val="-16"/>
                <w:sz w:val="14"/>
              </w:rPr>
              <w:t xml:space="preserve"> </w:t>
            </w:r>
            <w:r>
              <w:rPr>
                <w:color w:val="231F20"/>
                <w:sz w:val="14"/>
              </w:rPr>
              <w:t>употребе компјутера).</w:t>
            </w:r>
          </w:p>
        </w:tc>
        <w:tc>
          <w:tcPr>
            <w:tcW w:w="2834" w:type="dxa"/>
            <w:vMerge w:val="restart"/>
          </w:tcPr>
          <w:p w:rsidR="00041039" w:rsidRDefault="001B26CB">
            <w:pPr>
              <w:pStyle w:val="TableParagraph"/>
              <w:tabs>
                <w:tab w:val="left" w:pos="162"/>
              </w:tabs>
              <w:spacing w:before="19" w:line="161" w:lineRule="exact"/>
              <w:ind w:left="161" w:hanging="105"/>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tabs>
                <w:tab w:val="left" w:pos="162"/>
              </w:tabs>
              <w:ind w:left="161" w:right="282" w:hanging="105"/>
              <w:rPr>
                <w:sz w:val="14"/>
              </w:rPr>
            </w:pPr>
            <w:r>
              <w:rPr>
                <w:color w:val="231F20"/>
                <w:sz w:val="14"/>
              </w:rPr>
              <w:t>Поздрављање (састајање</w:t>
            </w:r>
            <w:r>
              <w:rPr>
                <w:color w:val="231F20"/>
                <w:sz w:val="14"/>
              </w:rPr>
              <w:t>,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tabs>
                <w:tab w:val="left" w:pos="162"/>
              </w:tabs>
              <w:spacing w:line="237" w:lineRule="auto"/>
              <w:ind w:left="161" w:right="455" w:hanging="10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tabs>
                <w:tab w:val="left" w:pos="162"/>
              </w:tabs>
              <w:spacing w:line="160" w:lineRule="exact"/>
              <w:ind w:left="161" w:hanging="105"/>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tabs>
                <w:tab w:val="left" w:pos="162"/>
              </w:tabs>
              <w:spacing w:line="160" w:lineRule="exact"/>
              <w:ind w:left="161" w:hanging="105"/>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tabs>
                <w:tab w:val="left" w:pos="162"/>
              </w:tabs>
              <w:spacing w:line="160" w:lineRule="exact"/>
              <w:ind w:left="161" w:hanging="105"/>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tabs>
                <w:tab w:val="left" w:pos="162"/>
              </w:tabs>
              <w:spacing w:line="160" w:lineRule="exact"/>
              <w:ind w:left="161" w:hanging="105"/>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tabs>
                <w:tab w:val="left" w:pos="162"/>
              </w:tabs>
              <w:spacing w:line="160" w:lineRule="exact"/>
              <w:ind w:left="161" w:hanging="105"/>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tabs>
                <w:tab w:val="left" w:pos="162"/>
              </w:tabs>
              <w:spacing w:line="160" w:lineRule="exact"/>
              <w:ind w:left="161" w:hanging="105"/>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tabs>
                <w:tab w:val="left" w:pos="162"/>
              </w:tabs>
              <w:ind w:left="161" w:right="370" w:hanging="105"/>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tabs>
                <w:tab w:val="left" w:pos="162"/>
              </w:tabs>
              <w:ind w:left="161" w:right="628" w:hanging="105"/>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tabs>
                <w:tab w:val="left" w:pos="162"/>
              </w:tabs>
              <w:ind w:left="161" w:right="273" w:hanging="105"/>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tabs>
                <w:tab w:val="left" w:pos="162"/>
              </w:tabs>
              <w:spacing w:line="159" w:lineRule="exact"/>
              <w:ind w:left="161" w:hanging="105"/>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tabs>
                <w:tab w:val="left" w:pos="162"/>
              </w:tabs>
              <w:spacing w:line="160" w:lineRule="exact"/>
              <w:ind w:left="161" w:hanging="105"/>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tabs>
                <w:tab w:val="left" w:pos="162"/>
              </w:tabs>
              <w:spacing w:line="160" w:lineRule="exact"/>
              <w:ind w:left="161" w:hanging="105"/>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tabs>
                <w:tab w:val="left" w:pos="162"/>
              </w:tabs>
              <w:ind w:left="161" w:right="124" w:hanging="105"/>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tc>
      </w:tr>
      <w:tr w:rsidR="00041039">
        <w:trPr>
          <w:trHeight w:val="2181"/>
        </w:trPr>
        <w:tc>
          <w:tcPr>
            <w:tcW w:w="1304" w:type="dxa"/>
            <w:tcBorders>
              <w:top w:val="nil"/>
            </w:tcBorders>
          </w:tcPr>
          <w:p w:rsidR="00041039" w:rsidRDefault="001B26CB">
            <w:pPr>
              <w:pStyle w:val="TableParagraph"/>
              <w:tabs>
                <w:tab w:val="left" w:pos="157"/>
              </w:tabs>
              <w:spacing w:before="69"/>
              <w:ind w:right="166" w:hanging="100"/>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tabs>
                <w:tab w:val="left" w:pos="157"/>
              </w:tabs>
              <w:spacing w:before="9"/>
              <w:ind w:right="232" w:hanging="100"/>
              <w:rPr>
                <w:sz w:val="14"/>
              </w:rPr>
            </w:pPr>
            <w:r>
              <w:rPr>
                <w:color w:val="231F20"/>
                <w:sz w:val="14"/>
              </w:rPr>
              <w:t xml:space="preserve">разуме једноставније текстове (стандардна писма, информације о </w:t>
            </w:r>
            <w:r>
              <w:rPr>
                <w:color w:val="231F20"/>
                <w:spacing w:val="-3"/>
                <w:sz w:val="14"/>
              </w:rPr>
              <w:t xml:space="preserve">неком </w:t>
            </w:r>
            <w:r>
              <w:rPr>
                <w:color w:val="231F20"/>
                <w:sz w:val="14"/>
              </w:rPr>
              <w:t>процесу) који</w:t>
            </w:r>
            <w:r>
              <w:rPr>
                <w:color w:val="231F20"/>
                <w:spacing w:val="-18"/>
                <w:sz w:val="14"/>
              </w:rPr>
              <w:t xml:space="preserve"> </w:t>
            </w:r>
            <w:r>
              <w:rPr>
                <w:color w:val="231F20"/>
                <w:sz w:val="14"/>
              </w:rPr>
              <w:t>су писани обичним</w:t>
            </w:r>
            <w:r>
              <w:rPr>
                <w:color w:val="231F20"/>
                <w:spacing w:val="-1"/>
                <w:sz w:val="14"/>
              </w:rPr>
              <w:t xml:space="preserve"> </w:t>
            </w:r>
            <w:r>
              <w:rPr>
                <w:color w:val="231F20"/>
                <w:sz w:val="14"/>
              </w:rPr>
              <w:t>језиком;</w:t>
            </w:r>
          </w:p>
          <w:p w:rsidR="00041039" w:rsidRDefault="001B26CB">
            <w:pPr>
              <w:pStyle w:val="TableParagraph"/>
              <w:tabs>
                <w:tab w:val="left" w:pos="157"/>
              </w:tabs>
              <w:spacing w:line="152" w:lineRule="exact"/>
              <w:ind w:hanging="100"/>
              <w:rPr>
                <w:sz w:val="14"/>
              </w:rPr>
            </w:pPr>
            <w:r>
              <w:rPr>
                <w:color w:val="231F20"/>
                <w:sz w:val="14"/>
              </w:rPr>
              <w:t>разуме опис догађаја и</w:t>
            </w:r>
            <w:r>
              <w:rPr>
                <w:color w:val="231F20"/>
                <w:spacing w:val="-2"/>
                <w:sz w:val="14"/>
              </w:rPr>
              <w:t xml:space="preserve"> </w:t>
            </w:r>
            <w:r>
              <w:rPr>
                <w:color w:val="231F20"/>
                <w:sz w:val="14"/>
              </w:rPr>
              <w:t>осећања;</w:t>
            </w:r>
          </w:p>
          <w:p w:rsidR="00041039" w:rsidRDefault="001B26CB">
            <w:pPr>
              <w:pStyle w:val="TableParagraph"/>
              <w:tabs>
                <w:tab w:val="left" w:pos="157"/>
              </w:tabs>
              <w:spacing w:line="237" w:lineRule="auto"/>
              <w:ind w:right="99" w:hanging="100"/>
              <w:rPr>
                <w:sz w:val="14"/>
              </w:rPr>
            </w:pPr>
            <w:r>
              <w:rPr>
                <w:color w:val="231F20"/>
                <w:sz w:val="14"/>
              </w:rPr>
              <w:t>разуме основни садржај као и важније детаље у извештајима, брошурама и</w:t>
            </w:r>
            <w:r>
              <w:rPr>
                <w:color w:val="231F20"/>
                <w:spacing w:val="-2"/>
                <w:sz w:val="14"/>
              </w:rPr>
              <w:t xml:space="preserve"> </w:t>
            </w:r>
            <w:r>
              <w:rPr>
                <w:color w:val="231F20"/>
                <w:sz w:val="14"/>
              </w:rPr>
              <w:t>сл.;</w:t>
            </w:r>
          </w:p>
        </w:tc>
        <w:tc>
          <w:tcPr>
            <w:tcW w:w="3288" w:type="dxa"/>
            <w:vMerge w:val="restart"/>
          </w:tcPr>
          <w:p w:rsidR="00041039" w:rsidRDefault="00041039">
            <w:pPr>
              <w:pStyle w:val="TableParagraph"/>
              <w:ind w:left="0"/>
              <w:rPr>
                <w:sz w:val="14"/>
              </w:rPr>
            </w:pPr>
          </w:p>
        </w:tc>
        <w:tc>
          <w:tcPr>
            <w:tcW w:w="2834" w:type="dxa"/>
            <w:vMerge/>
            <w:tcBorders>
              <w:top w:val="nil"/>
            </w:tcBorders>
          </w:tcPr>
          <w:p w:rsidR="00041039" w:rsidRDefault="00041039">
            <w:pPr>
              <w:rPr>
                <w:sz w:val="2"/>
                <w:szCs w:val="2"/>
              </w:rPr>
            </w:pPr>
          </w:p>
        </w:tc>
      </w:tr>
      <w:tr w:rsidR="00041039">
        <w:trPr>
          <w:trHeight w:val="1010"/>
        </w:trPr>
        <w:tc>
          <w:tcPr>
            <w:tcW w:w="1304" w:type="dxa"/>
            <w:tcBorders>
              <w:top w:val="nil"/>
            </w:tcBorders>
          </w:tcPr>
          <w:p w:rsidR="00041039" w:rsidRDefault="001B26CB">
            <w:pPr>
              <w:pStyle w:val="TableParagraph"/>
              <w:tabs>
                <w:tab w:val="left" w:pos="157"/>
              </w:tabs>
              <w:spacing w:before="69"/>
              <w:ind w:right="131" w:hanging="100"/>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ГОВОР</w:t>
            </w:r>
          </w:p>
          <w:p w:rsidR="00041039" w:rsidRDefault="00041039">
            <w:pPr>
              <w:pStyle w:val="TableParagraph"/>
              <w:spacing w:before="11"/>
              <w:ind w:left="0"/>
              <w:rPr>
                <w:b/>
                <w:sz w:val="12"/>
              </w:rPr>
            </w:pPr>
          </w:p>
          <w:p w:rsidR="00041039" w:rsidRDefault="001B26CB">
            <w:pPr>
              <w:pStyle w:val="TableParagraph"/>
              <w:tabs>
                <w:tab w:val="left" w:pos="157"/>
              </w:tabs>
              <w:ind w:right="79" w:hanging="100"/>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tcPr>
          <w:p w:rsidR="00041039" w:rsidRDefault="001B26CB">
            <w:pPr>
              <w:pStyle w:val="TableParagraph"/>
              <w:tabs>
                <w:tab w:val="left" w:pos="157"/>
              </w:tabs>
              <w:spacing w:before="8"/>
              <w:ind w:right="126" w:hanging="100"/>
              <w:rPr>
                <w:sz w:val="14"/>
              </w:rPr>
            </w:pPr>
            <w:r>
              <w:rPr>
                <w:color w:val="231F20"/>
                <w:sz w:val="14"/>
              </w:rPr>
              <w:t>једноставним средствима опише статус и</w:t>
            </w:r>
            <w:r>
              <w:rPr>
                <w:color w:val="231F20"/>
                <w:spacing w:val="-7"/>
                <w:sz w:val="14"/>
              </w:rPr>
              <w:t xml:space="preserve"> </w:t>
            </w:r>
            <w:r>
              <w:rPr>
                <w:color w:val="231F20"/>
                <w:sz w:val="14"/>
              </w:rPr>
              <w:t xml:space="preserve">обра­ зовање, </w:t>
            </w:r>
            <w:r>
              <w:rPr>
                <w:color w:val="231F20"/>
                <w:spacing w:val="-3"/>
                <w:sz w:val="14"/>
              </w:rPr>
              <w:t>будуће</w:t>
            </w:r>
            <w:r>
              <w:rPr>
                <w:color w:val="231F20"/>
                <w:spacing w:val="-1"/>
                <w:sz w:val="14"/>
              </w:rPr>
              <w:t xml:space="preserve"> </w:t>
            </w:r>
            <w:r>
              <w:rPr>
                <w:color w:val="231F20"/>
                <w:sz w:val="14"/>
              </w:rPr>
              <w:t>запослење;</w:t>
            </w:r>
          </w:p>
          <w:p w:rsidR="00041039" w:rsidRDefault="001B26CB">
            <w:pPr>
              <w:pStyle w:val="TableParagraph"/>
              <w:tabs>
                <w:tab w:val="left" w:pos="157"/>
              </w:tabs>
              <w:spacing w:line="160" w:lineRule="exact"/>
              <w:ind w:right="52" w:hanging="100"/>
              <w:rPr>
                <w:sz w:val="14"/>
              </w:rPr>
            </w:pPr>
            <w:r>
              <w:rPr>
                <w:color w:val="231F20"/>
                <w:sz w:val="14"/>
              </w:rPr>
              <w:t xml:space="preserve">опише делатност, </w:t>
            </w:r>
            <w:r>
              <w:rPr>
                <w:color w:val="231F20"/>
                <w:spacing w:val="-3"/>
                <w:sz w:val="14"/>
              </w:rPr>
              <w:t xml:space="preserve">фирму, </w:t>
            </w:r>
            <w:r>
              <w:rPr>
                <w:color w:val="231F20"/>
                <w:sz w:val="14"/>
              </w:rPr>
              <w:t>процес рада или пак преприча</w:t>
            </w:r>
            <w:r>
              <w:rPr>
                <w:color w:val="231F20"/>
                <w:spacing w:val="-7"/>
                <w:sz w:val="14"/>
              </w:rPr>
              <w:t xml:space="preserve"> </w:t>
            </w:r>
            <w:r>
              <w:rPr>
                <w:color w:val="231F20"/>
                <w:sz w:val="14"/>
              </w:rPr>
              <w:t>телефонски</w:t>
            </w:r>
            <w:r>
              <w:rPr>
                <w:color w:val="231F20"/>
                <w:spacing w:val="-6"/>
                <w:sz w:val="14"/>
              </w:rPr>
              <w:t xml:space="preserve"> </w:t>
            </w:r>
            <w:r>
              <w:rPr>
                <w:color w:val="231F20"/>
                <w:sz w:val="14"/>
              </w:rPr>
              <w:t>разговор</w:t>
            </w:r>
            <w:r>
              <w:rPr>
                <w:color w:val="231F20"/>
                <w:spacing w:val="-6"/>
                <w:sz w:val="14"/>
              </w:rPr>
              <w:t xml:space="preserve"> </w:t>
            </w:r>
            <w:r>
              <w:rPr>
                <w:color w:val="231F20"/>
                <w:sz w:val="14"/>
              </w:rPr>
              <w:t>или</w:t>
            </w:r>
            <w:r>
              <w:rPr>
                <w:color w:val="231F20"/>
                <w:spacing w:val="-7"/>
                <w:sz w:val="14"/>
              </w:rPr>
              <w:t xml:space="preserve"> </w:t>
            </w:r>
            <w:r>
              <w:rPr>
                <w:color w:val="231F20"/>
                <w:sz w:val="14"/>
              </w:rPr>
              <w:t>одлуке</w:t>
            </w:r>
            <w:r>
              <w:rPr>
                <w:color w:val="231F20"/>
                <w:spacing w:val="-6"/>
                <w:sz w:val="14"/>
              </w:rPr>
              <w:t xml:space="preserve"> </w:t>
            </w:r>
            <w:r>
              <w:rPr>
                <w:color w:val="231F20"/>
                <w:sz w:val="14"/>
              </w:rPr>
              <w:t>неког договора у оквиру познате</w:t>
            </w:r>
            <w:r>
              <w:rPr>
                <w:color w:val="231F20"/>
                <w:spacing w:val="-4"/>
                <w:sz w:val="14"/>
              </w:rPr>
              <w:t xml:space="preserve"> </w:t>
            </w:r>
            <w:r>
              <w:rPr>
                <w:color w:val="231F20"/>
                <w:sz w:val="14"/>
              </w:rPr>
              <w:t>лексике;</w:t>
            </w:r>
          </w:p>
          <w:p w:rsidR="00041039" w:rsidRDefault="001B26CB">
            <w:pPr>
              <w:pStyle w:val="TableParagraph"/>
              <w:tabs>
                <w:tab w:val="left" w:pos="157"/>
              </w:tabs>
              <w:spacing w:line="160" w:lineRule="exact"/>
              <w:ind w:right="648" w:hanging="100"/>
              <w:rPr>
                <w:sz w:val="14"/>
              </w:rPr>
            </w:pPr>
            <w:r>
              <w:rPr>
                <w:color w:val="231F20"/>
                <w:sz w:val="14"/>
              </w:rPr>
              <w:t>образложи краће своје намере,</w:t>
            </w:r>
            <w:r>
              <w:rPr>
                <w:color w:val="231F20"/>
                <w:spacing w:val="-20"/>
                <w:sz w:val="14"/>
              </w:rPr>
              <w:t xml:space="preserve"> </w:t>
            </w:r>
            <w:r>
              <w:rPr>
                <w:color w:val="231F20"/>
                <w:sz w:val="14"/>
              </w:rPr>
              <w:t>одлуке, поступке;</w:t>
            </w:r>
          </w:p>
        </w:tc>
        <w:tc>
          <w:tcPr>
            <w:tcW w:w="3288"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tabs>
                <w:tab w:val="left" w:pos="162"/>
              </w:tabs>
              <w:spacing w:before="18" w:line="161" w:lineRule="exact"/>
              <w:ind w:left="161" w:hanging="105"/>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tabs>
                <w:tab w:val="left" w:pos="162"/>
              </w:tabs>
              <w:spacing w:line="160" w:lineRule="exact"/>
              <w:ind w:left="161" w:hanging="105"/>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tabs>
                <w:tab w:val="left" w:pos="162"/>
              </w:tabs>
              <w:spacing w:line="160" w:lineRule="exact"/>
              <w:ind w:left="161" w:hanging="105"/>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tabs>
                <w:tab w:val="left" w:pos="162"/>
              </w:tabs>
              <w:spacing w:line="160" w:lineRule="exact"/>
              <w:ind w:left="161" w:hanging="105"/>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tabs>
                <w:tab w:val="left" w:pos="162"/>
              </w:tabs>
              <w:spacing w:line="161" w:lineRule="exact"/>
              <w:ind w:left="161" w:hanging="105"/>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ПИСАЊЕ</w:t>
            </w:r>
          </w:p>
        </w:tc>
        <w:tc>
          <w:tcPr>
            <w:tcW w:w="3118" w:type="dxa"/>
            <w:vMerge w:val="restart"/>
          </w:tcPr>
          <w:p w:rsidR="00041039" w:rsidRDefault="001B26CB">
            <w:pPr>
              <w:pStyle w:val="TableParagraph"/>
              <w:tabs>
                <w:tab w:val="left" w:pos="157"/>
              </w:tabs>
              <w:spacing w:before="8"/>
              <w:ind w:right="415" w:hanging="100"/>
              <w:rPr>
                <w:sz w:val="14"/>
              </w:rPr>
            </w:pPr>
            <w:r>
              <w:rPr>
                <w:color w:val="231F20"/>
                <w:sz w:val="14"/>
              </w:rPr>
              <w:t>попуњава</w:t>
            </w:r>
            <w:r>
              <w:rPr>
                <w:color w:val="231F20"/>
                <w:spacing w:val="-7"/>
                <w:sz w:val="14"/>
              </w:rPr>
              <w:t xml:space="preserve"> </w:t>
            </w:r>
            <w:r>
              <w:rPr>
                <w:color w:val="231F20"/>
                <w:sz w:val="14"/>
              </w:rPr>
              <w:t>рачуне,</w:t>
            </w:r>
            <w:r>
              <w:rPr>
                <w:color w:val="231F20"/>
                <w:spacing w:val="-7"/>
                <w:sz w:val="14"/>
              </w:rPr>
              <w:t xml:space="preserve"> </w:t>
            </w:r>
            <w:r>
              <w:rPr>
                <w:color w:val="231F20"/>
                <w:sz w:val="14"/>
              </w:rPr>
              <w:t>признанице</w:t>
            </w:r>
            <w:r>
              <w:rPr>
                <w:color w:val="231F20"/>
                <w:spacing w:val="-7"/>
                <w:sz w:val="14"/>
              </w:rPr>
              <w:t xml:space="preserve"> </w:t>
            </w:r>
            <w:r>
              <w:rPr>
                <w:color w:val="231F20"/>
                <w:sz w:val="14"/>
              </w:rPr>
              <w:t>и</w:t>
            </w:r>
            <w:r>
              <w:rPr>
                <w:color w:val="231F20"/>
                <w:spacing w:val="-7"/>
                <w:sz w:val="14"/>
              </w:rPr>
              <w:t xml:space="preserve"> </w:t>
            </w:r>
            <w:r>
              <w:rPr>
                <w:color w:val="231F20"/>
                <w:sz w:val="14"/>
              </w:rPr>
              <w:t>хартије</w:t>
            </w:r>
            <w:r>
              <w:rPr>
                <w:color w:val="231F20"/>
                <w:spacing w:val="-7"/>
                <w:sz w:val="14"/>
              </w:rPr>
              <w:t xml:space="preserve"> </w:t>
            </w:r>
            <w:r>
              <w:rPr>
                <w:color w:val="231F20"/>
                <w:spacing w:val="-3"/>
                <w:sz w:val="14"/>
              </w:rPr>
              <w:t xml:space="preserve">од </w:t>
            </w:r>
            <w:r>
              <w:rPr>
                <w:color w:val="231F20"/>
                <w:sz w:val="14"/>
              </w:rPr>
              <w:t>вредности;</w:t>
            </w:r>
          </w:p>
          <w:p w:rsidR="00041039" w:rsidRDefault="001B26CB">
            <w:pPr>
              <w:pStyle w:val="TableParagraph"/>
              <w:tabs>
                <w:tab w:val="left" w:pos="157"/>
              </w:tabs>
              <w:spacing w:line="158" w:lineRule="exact"/>
              <w:ind w:hanging="100"/>
              <w:rPr>
                <w:sz w:val="14"/>
              </w:rPr>
            </w:pPr>
            <w:r>
              <w:rPr>
                <w:color w:val="231F20"/>
                <w:sz w:val="14"/>
              </w:rPr>
              <w:t>напише једноставно пословно писмо</w:t>
            </w:r>
            <w:r>
              <w:rPr>
                <w:color w:val="231F20"/>
                <w:spacing w:val="-5"/>
                <w:sz w:val="14"/>
              </w:rPr>
              <w:t xml:space="preserve"> </w:t>
            </w:r>
            <w:r>
              <w:rPr>
                <w:color w:val="231F20"/>
                <w:sz w:val="14"/>
              </w:rPr>
              <w:t>према</w:t>
            </w:r>
          </w:p>
          <w:p w:rsidR="00041039" w:rsidRDefault="001B26CB">
            <w:pPr>
              <w:pStyle w:val="TableParagraph"/>
              <w:spacing w:line="155" w:lineRule="exact"/>
              <w:rPr>
                <w:sz w:val="14"/>
              </w:rPr>
            </w:pPr>
            <w:r>
              <w:rPr>
                <w:color w:val="231F20"/>
                <w:sz w:val="14"/>
              </w:rPr>
              <w:t>одређеном моделу;</w:t>
            </w:r>
          </w:p>
          <w:p w:rsidR="00041039" w:rsidRDefault="001B26CB">
            <w:pPr>
              <w:pStyle w:val="TableParagraph"/>
              <w:tabs>
                <w:tab w:val="left" w:pos="157"/>
              </w:tabs>
              <w:spacing w:line="166" w:lineRule="exact"/>
              <w:ind w:hanging="100"/>
              <w:rPr>
                <w:sz w:val="14"/>
              </w:rPr>
            </w:pPr>
            <w:r>
              <w:rPr>
                <w:color w:val="231F20"/>
                <w:sz w:val="14"/>
              </w:rPr>
              <w:t>опише и појасни садржај схема и</w:t>
            </w:r>
            <w:r>
              <w:rPr>
                <w:color w:val="231F20"/>
                <w:spacing w:val="-13"/>
                <w:sz w:val="14"/>
              </w:rPr>
              <w:t xml:space="preserve"> </w:t>
            </w:r>
            <w:r>
              <w:rPr>
                <w:color w:val="231F20"/>
                <w:sz w:val="14"/>
              </w:rPr>
              <w:t>графикона;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901"/>
        </w:trPr>
        <w:tc>
          <w:tcPr>
            <w:tcW w:w="1304" w:type="dxa"/>
            <w:tcBorders>
              <w:top w:val="nil"/>
            </w:tcBorders>
          </w:tcPr>
          <w:p w:rsidR="00041039" w:rsidRDefault="001B26CB">
            <w:pPr>
              <w:pStyle w:val="TableParagraph"/>
              <w:tabs>
                <w:tab w:val="left" w:pos="157"/>
              </w:tabs>
              <w:spacing w:before="69"/>
              <w:ind w:right="70" w:hanging="10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tabs>
                <w:tab w:val="left" w:pos="157"/>
              </w:tabs>
              <w:spacing w:before="8"/>
              <w:ind w:right="372" w:hanging="100"/>
              <w:rPr>
                <w:sz w:val="14"/>
              </w:rPr>
            </w:pPr>
            <w:r>
              <w:rPr>
                <w:color w:val="231F20"/>
                <w:sz w:val="14"/>
              </w:rPr>
              <w:t>поведе, настави и заврши неки једноставан разговор, под условом да је лице у лице са саговорником;</w:t>
            </w:r>
          </w:p>
          <w:p w:rsidR="00041039" w:rsidRDefault="001B26CB">
            <w:pPr>
              <w:pStyle w:val="TableParagraph"/>
              <w:tabs>
                <w:tab w:val="left" w:pos="157"/>
              </w:tabs>
              <w:spacing w:line="157" w:lineRule="exact"/>
              <w:ind w:hanging="100"/>
              <w:rPr>
                <w:sz w:val="14"/>
              </w:rPr>
            </w:pPr>
            <w:r>
              <w:rPr>
                <w:color w:val="231F20"/>
                <w:spacing w:val="-4"/>
                <w:sz w:val="14"/>
              </w:rPr>
              <w:t xml:space="preserve">буде </w:t>
            </w:r>
            <w:r>
              <w:rPr>
                <w:color w:val="231F20"/>
                <w:sz w:val="14"/>
              </w:rPr>
              <w:t>схваћен у размени идеја и информација</w:t>
            </w:r>
            <w:r>
              <w:rPr>
                <w:color w:val="231F20"/>
                <w:spacing w:val="-8"/>
                <w:sz w:val="14"/>
              </w:rPr>
              <w:t xml:space="preserve"> </w:t>
            </w:r>
            <w:r>
              <w:rPr>
                <w:color w:val="231F20"/>
                <w:sz w:val="14"/>
              </w:rPr>
              <w:t>о</w:t>
            </w:r>
          </w:p>
          <w:p w:rsidR="00041039" w:rsidRDefault="001B26CB">
            <w:pPr>
              <w:pStyle w:val="TableParagraph"/>
              <w:ind w:right="14"/>
              <w:rPr>
                <w:sz w:val="14"/>
              </w:rPr>
            </w:pPr>
            <w:r>
              <w:rPr>
                <w:color w:val="231F20"/>
                <w:sz w:val="14"/>
              </w:rPr>
              <w:t>блиским темама у предвидљивим, свакодневним ситуацијама;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140" w:hanging="10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tcBorders>
              <w:bottom w:val="nil"/>
            </w:tcBorders>
          </w:tcPr>
          <w:p w:rsidR="00041039" w:rsidRDefault="001B26CB">
            <w:pPr>
              <w:pStyle w:val="TableParagraph"/>
              <w:tabs>
                <w:tab w:val="left" w:pos="157"/>
              </w:tabs>
              <w:spacing w:before="8"/>
              <w:ind w:hanging="100"/>
              <w:rPr>
                <w:sz w:val="14"/>
              </w:rPr>
            </w:pPr>
            <w:r>
              <w:rPr>
                <w:color w:val="231F20"/>
                <w:sz w:val="14"/>
              </w:rPr>
              <w:t>сажима садржај текста, филма, разговара и</w:t>
            </w:r>
            <w:r>
              <w:rPr>
                <w:color w:val="231F20"/>
                <w:spacing w:val="-7"/>
                <w:sz w:val="14"/>
              </w:rPr>
              <w:t xml:space="preserve"> </w:t>
            </w:r>
            <w:r>
              <w:rPr>
                <w:color w:val="231F20"/>
                <w:sz w:val="14"/>
              </w:rPr>
              <w:t>сл.;</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134" w:hanging="100"/>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408"/>
        </w:trPr>
        <w:tc>
          <w:tcPr>
            <w:tcW w:w="1304" w:type="dxa"/>
            <w:tcBorders>
              <w:bottom w:val="nil"/>
            </w:tcBorders>
          </w:tcPr>
          <w:p w:rsidR="00041039" w:rsidRDefault="001B26CB">
            <w:pPr>
              <w:pStyle w:val="TableParagraph"/>
              <w:spacing w:before="18"/>
              <w:ind w:left="56" w:right="331"/>
              <w:rPr>
                <w:sz w:val="14"/>
              </w:rPr>
            </w:pPr>
            <w:r>
              <w:rPr>
                <w:color w:val="231F20"/>
                <w:sz w:val="14"/>
              </w:rPr>
              <w:t>МЕДИЈСКА ПИСМЕНОСТ</w:t>
            </w:r>
          </w:p>
        </w:tc>
        <w:tc>
          <w:tcPr>
            <w:tcW w:w="3118" w:type="dxa"/>
            <w:tcBorders>
              <w:bottom w:val="nil"/>
            </w:tcBorders>
          </w:tcPr>
          <w:p w:rsidR="00041039" w:rsidRDefault="001B26CB">
            <w:pPr>
              <w:pStyle w:val="TableParagraph"/>
              <w:tabs>
                <w:tab w:val="left" w:pos="157"/>
              </w:tabs>
              <w:spacing w:before="8"/>
              <w:ind w:hanging="100"/>
              <w:rPr>
                <w:sz w:val="14"/>
              </w:rPr>
            </w:pPr>
            <w:r>
              <w:rPr>
                <w:color w:val="231F20"/>
                <w:sz w:val="14"/>
              </w:rPr>
              <w:t>идентификује различита гледишта о истој</w:t>
            </w:r>
            <w:r>
              <w:rPr>
                <w:color w:val="231F20"/>
                <w:spacing w:val="-15"/>
                <w:sz w:val="14"/>
              </w:rPr>
              <w:t xml:space="preserve"> </w:t>
            </w:r>
            <w:r>
              <w:rPr>
                <w:color w:val="231F20"/>
                <w:sz w:val="14"/>
              </w:rPr>
              <w:t>теми;</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tabs>
                <w:tab w:val="left" w:pos="157"/>
              </w:tabs>
              <w:spacing w:before="69"/>
              <w:ind w:right="54" w:hanging="100"/>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680"/>
        </w:trPr>
        <w:tc>
          <w:tcPr>
            <w:tcW w:w="1304" w:type="dxa"/>
          </w:tcPr>
          <w:p w:rsidR="00041039" w:rsidRDefault="001B26CB">
            <w:pPr>
              <w:pStyle w:val="TableParagraph"/>
              <w:spacing w:before="18"/>
              <w:ind w:left="56"/>
              <w:rPr>
                <w:sz w:val="14"/>
              </w:rPr>
            </w:pPr>
            <w:r>
              <w:rPr>
                <w:color w:val="231F20"/>
                <w:sz w:val="14"/>
              </w:rPr>
              <w:t>ЗНАЊА О ЈЕЗИКУ</w:t>
            </w:r>
          </w:p>
        </w:tc>
        <w:tc>
          <w:tcPr>
            <w:tcW w:w="3118" w:type="dxa"/>
          </w:tcPr>
          <w:p w:rsidR="00041039" w:rsidRDefault="001B26CB">
            <w:pPr>
              <w:pStyle w:val="TableParagraph"/>
              <w:tabs>
                <w:tab w:val="left" w:pos="157"/>
              </w:tabs>
              <w:spacing w:before="8"/>
              <w:ind w:right="257" w:hanging="100"/>
              <w:rPr>
                <w:sz w:val="14"/>
              </w:rPr>
            </w:pPr>
            <w:r>
              <w:rPr>
                <w:color w:val="231F20"/>
                <w:sz w:val="14"/>
              </w:rPr>
              <w:t>коректно употребљава једноставне структу­ ре користећи зависне реченице (уз одређене системске</w:t>
            </w:r>
            <w:r>
              <w:rPr>
                <w:color w:val="231F20"/>
                <w:spacing w:val="-8"/>
                <w:sz w:val="14"/>
              </w:rPr>
              <w:t xml:space="preserve"> </w:t>
            </w:r>
            <w:r>
              <w:rPr>
                <w:color w:val="231F20"/>
                <w:sz w:val="14"/>
              </w:rPr>
              <w:t>елементарне</w:t>
            </w:r>
            <w:r>
              <w:rPr>
                <w:color w:val="231F20"/>
                <w:spacing w:val="-8"/>
                <w:sz w:val="14"/>
              </w:rPr>
              <w:t xml:space="preserve"> </w:t>
            </w:r>
            <w:r>
              <w:rPr>
                <w:color w:val="231F20"/>
                <w:sz w:val="14"/>
              </w:rPr>
              <w:t>грешке</w:t>
            </w:r>
            <w:r>
              <w:rPr>
                <w:color w:val="231F20"/>
                <w:spacing w:val="-8"/>
                <w:sz w:val="14"/>
              </w:rPr>
              <w:t xml:space="preserve"> </w:t>
            </w:r>
            <w:r>
              <w:rPr>
                <w:color w:val="231F20"/>
                <w:sz w:val="14"/>
              </w:rPr>
              <w:t>које</w:t>
            </w:r>
            <w:r>
              <w:rPr>
                <w:color w:val="231F20"/>
                <w:spacing w:val="-8"/>
                <w:sz w:val="14"/>
              </w:rPr>
              <w:t xml:space="preserve"> </w:t>
            </w:r>
            <w:r>
              <w:rPr>
                <w:color w:val="231F20"/>
                <w:sz w:val="14"/>
              </w:rPr>
              <w:t>глобални смисао не доводе у</w:t>
            </w:r>
            <w:r>
              <w:rPr>
                <w:color w:val="231F20"/>
                <w:spacing w:val="-2"/>
                <w:sz w:val="14"/>
              </w:rPr>
              <w:t xml:space="preserve"> </w:t>
            </w:r>
            <w:r>
              <w:rPr>
                <w:color w:val="231F20"/>
                <w:sz w:val="14"/>
              </w:rPr>
              <w:t>питање);</w:t>
            </w:r>
          </w:p>
        </w:tc>
        <w:tc>
          <w:tcPr>
            <w:tcW w:w="3288"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9"/>
        <w:rPr>
          <w:b/>
          <w:sz w:val="16"/>
        </w:rPr>
      </w:pPr>
    </w:p>
    <w:p w:rsidR="00041039" w:rsidRDefault="001B26CB">
      <w:pPr>
        <w:pStyle w:val="ListParagraph"/>
        <w:tabs>
          <w:tab w:val="left" w:pos="613"/>
        </w:tabs>
        <w:spacing w:line="203" w:lineRule="exact"/>
        <w:ind w:left="612" w:hanging="115"/>
        <w:rPr>
          <w:b/>
          <w:sz w:val="18"/>
        </w:rPr>
      </w:pPr>
      <w:r>
        <w:rPr>
          <w:b/>
          <w:color w:val="231F20"/>
          <w:sz w:val="18"/>
        </w:rPr>
        <w:t>РЕЧЕНИЦА</w:t>
      </w:r>
    </w:p>
    <w:p w:rsidR="00041039" w:rsidRDefault="001B26CB">
      <w:pPr>
        <w:pStyle w:val="Heading2"/>
        <w:tabs>
          <w:tab w:val="left" w:pos="633"/>
        </w:tabs>
      </w:pPr>
      <w:r>
        <w:rPr>
          <w:color w:val="231F20"/>
        </w:rPr>
        <w:t>Сви типови упитних</w:t>
      </w:r>
      <w:r>
        <w:rPr>
          <w:color w:val="231F20"/>
          <w:spacing w:val="-1"/>
        </w:rPr>
        <w:t xml:space="preserve"> </w:t>
      </w:r>
      <w:r>
        <w:rPr>
          <w:color w:val="231F20"/>
        </w:rPr>
        <w:t>реченица;</w:t>
      </w:r>
    </w:p>
    <w:p w:rsidR="00041039" w:rsidRDefault="001B26CB">
      <w:pPr>
        <w:pStyle w:val="ListParagraph"/>
        <w:tabs>
          <w:tab w:val="left" w:pos="633"/>
        </w:tabs>
        <w:ind w:left="497" w:firstLine="0"/>
        <w:rPr>
          <w:sz w:val="18"/>
        </w:rPr>
      </w:pPr>
      <w:r>
        <w:rPr>
          <w:color w:val="231F20"/>
          <w:sz w:val="18"/>
        </w:rPr>
        <w:t>Директна и индиректна</w:t>
      </w:r>
      <w:r>
        <w:rPr>
          <w:color w:val="231F20"/>
          <w:spacing w:val="-2"/>
          <w:sz w:val="18"/>
        </w:rPr>
        <w:t xml:space="preserve"> </w:t>
      </w:r>
      <w:r>
        <w:rPr>
          <w:color w:val="231F20"/>
          <w:sz w:val="18"/>
        </w:rPr>
        <w:t>питања;</w:t>
      </w:r>
    </w:p>
    <w:p w:rsidR="00041039" w:rsidRDefault="001B26CB">
      <w:pPr>
        <w:pStyle w:val="ListParagraph"/>
        <w:tabs>
          <w:tab w:val="left" w:pos="633"/>
        </w:tabs>
        <w:ind w:left="497" w:firstLine="0"/>
        <w:rPr>
          <w:sz w:val="18"/>
        </w:rPr>
      </w:pPr>
      <w:r>
        <w:rPr>
          <w:color w:val="231F20"/>
          <w:sz w:val="18"/>
        </w:rPr>
        <w:t>Одређене релативне</w:t>
      </w:r>
      <w:r>
        <w:rPr>
          <w:color w:val="231F20"/>
          <w:spacing w:val="-1"/>
          <w:sz w:val="18"/>
        </w:rPr>
        <w:t xml:space="preserve"> </w:t>
      </w:r>
      <w:r>
        <w:rPr>
          <w:color w:val="231F20"/>
          <w:sz w:val="18"/>
        </w:rPr>
        <w:t>клаузе;</w:t>
      </w:r>
    </w:p>
    <w:p w:rsidR="00041039" w:rsidRDefault="001B26CB">
      <w:pPr>
        <w:pStyle w:val="ListParagraph"/>
        <w:tabs>
          <w:tab w:val="left" w:pos="633"/>
        </w:tabs>
        <w:spacing w:line="203" w:lineRule="exact"/>
        <w:ind w:left="497" w:firstLine="0"/>
        <w:rPr>
          <w:sz w:val="18"/>
        </w:rPr>
      </w:pPr>
      <w:r>
        <w:rPr>
          <w:color w:val="231F20"/>
          <w:sz w:val="18"/>
        </w:rPr>
        <w:t>Сложене реченице: временске клаузе, узрочне клаузе, допусне</w:t>
      </w:r>
      <w:r>
        <w:rPr>
          <w:color w:val="231F20"/>
          <w:spacing w:val="-4"/>
          <w:sz w:val="18"/>
        </w:rPr>
        <w:t xml:space="preserve"> </w:t>
      </w:r>
      <w:r>
        <w:rPr>
          <w:color w:val="231F20"/>
          <w:sz w:val="18"/>
        </w:rPr>
        <w:t>клаузе.</w:t>
      </w:r>
    </w:p>
    <w:p w:rsidR="00041039" w:rsidRDefault="00041039">
      <w:pPr>
        <w:pStyle w:val="BodyText"/>
        <w:spacing w:before="9"/>
        <w:rPr>
          <w:sz w:val="16"/>
        </w:rPr>
      </w:pPr>
    </w:p>
    <w:p w:rsidR="00041039" w:rsidRDefault="001B26CB">
      <w:pPr>
        <w:pStyle w:val="ListParagraph"/>
        <w:tabs>
          <w:tab w:val="left" w:pos="683"/>
        </w:tabs>
        <w:spacing w:line="203" w:lineRule="exact"/>
        <w:ind w:left="682" w:hanging="185"/>
        <w:rPr>
          <w:b/>
          <w:sz w:val="18"/>
        </w:rPr>
      </w:pPr>
      <w:r>
        <w:rPr>
          <w:b/>
          <w:color w:val="231F20"/>
          <w:sz w:val="18"/>
        </w:rPr>
        <w:t>ИМЕНИЧКА</w:t>
      </w:r>
      <w:r>
        <w:rPr>
          <w:b/>
          <w:color w:val="231F20"/>
          <w:spacing w:val="-2"/>
          <w:sz w:val="18"/>
        </w:rPr>
        <w:t xml:space="preserve"> </w:t>
      </w:r>
      <w:r>
        <w:rPr>
          <w:b/>
          <w:color w:val="231F20"/>
          <w:sz w:val="18"/>
        </w:rPr>
        <w:t>ГРУПА</w:t>
      </w:r>
    </w:p>
    <w:p w:rsidR="00041039" w:rsidRDefault="001B26CB">
      <w:pPr>
        <w:pStyle w:val="ListParagraph"/>
        <w:tabs>
          <w:tab w:val="left" w:pos="678"/>
        </w:tabs>
        <w:ind w:left="497" w:firstLine="0"/>
        <w:rPr>
          <w:sz w:val="18"/>
        </w:rPr>
      </w:pPr>
      <w:r>
        <w:rPr>
          <w:color w:val="231F20"/>
          <w:sz w:val="18"/>
        </w:rPr>
        <w:t>Члан</w:t>
      </w:r>
    </w:p>
    <w:p w:rsidR="00041039" w:rsidRDefault="001B26CB">
      <w:pPr>
        <w:pStyle w:val="ListParagraph"/>
        <w:tabs>
          <w:tab w:val="left" w:pos="633"/>
        </w:tabs>
        <w:ind w:left="497"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tabs>
          <w:tab w:val="left" w:pos="678"/>
        </w:tabs>
        <w:ind w:left="497" w:firstLine="0"/>
        <w:rPr>
          <w:sz w:val="18"/>
        </w:rPr>
      </w:pPr>
      <w:r>
        <w:rPr>
          <w:color w:val="231F20"/>
          <w:sz w:val="18"/>
        </w:rPr>
        <w:t>Именице</w:t>
      </w:r>
    </w:p>
    <w:p w:rsidR="00041039" w:rsidRDefault="001B26CB">
      <w:pPr>
        <w:pStyle w:val="ListParagraph"/>
        <w:tabs>
          <w:tab w:val="left" w:pos="633"/>
        </w:tabs>
        <w:ind w:left="497"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tabs>
          <w:tab w:val="left" w:pos="678"/>
        </w:tabs>
        <w:spacing w:before="1" w:line="232" w:lineRule="auto"/>
        <w:ind w:left="497" w:right="8674" w:firstLine="0"/>
        <w:rPr>
          <w:sz w:val="18"/>
        </w:rPr>
      </w:pPr>
      <w:r>
        <w:rPr>
          <w:color w:val="231F20"/>
          <w:sz w:val="18"/>
        </w:rPr>
        <w:t>Заменички облици а) Заменице</w:t>
      </w:r>
    </w:p>
    <w:p w:rsidR="00041039" w:rsidRDefault="001B26CB">
      <w:pPr>
        <w:pStyle w:val="ListParagraph"/>
        <w:tabs>
          <w:tab w:val="left" w:pos="633"/>
        </w:tabs>
        <w:spacing w:line="197" w:lineRule="exact"/>
        <w:ind w:left="497"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tabs>
          <w:tab w:val="left" w:pos="633"/>
        </w:tabs>
        <w:ind w:left="497"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tabs>
          <w:tab w:val="left" w:pos="633"/>
        </w:tabs>
        <w:spacing w:before="2" w:line="232" w:lineRule="auto"/>
        <w:ind w:left="497"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tabs>
          <w:tab w:val="left" w:pos="633"/>
        </w:tabs>
        <w:spacing w:line="197" w:lineRule="exact"/>
        <w:ind w:left="497"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tabs>
          <w:tab w:val="left" w:pos="633"/>
        </w:tabs>
        <w:ind w:left="497"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tabs>
          <w:tab w:val="left" w:pos="633"/>
        </w:tabs>
        <w:ind w:left="497"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tabs>
          <w:tab w:val="left" w:pos="678"/>
        </w:tabs>
        <w:ind w:left="497" w:firstLine="0"/>
        <w:rPr>
          <w:sz w:val="18"/>
        </w:rPr>
      </w:pPr>
      <w:r>
        <w:rPr>
          <w:color w:val="231F20"/>
          <w:sz w:val="18"/>
        </w:rPr>
        <w:t>Придеви</w:t>
      </w:r>
    </w:p>
    <w:p w:rsidR="00041039" w:rsidRDefault="001B26CB">
      <w:pPr>
        <w:pStyle w:val="ListParagraph"/>
        <w:tabs>
          <w:tab w:val="left" w:pos="633"/>
        </w:tabs>
        <w:ind w:left="497"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tabs>
          <w:tab w:val="left" w:pos="678"/>
        </w:tabs>
        <w:ind w:left="497" w:firstLine="0"/>
        <w:rPr>
          <w:sz w:val="18"/>
        </w:rPr>
      </w:pPr>
      <w:r>
        <w:rPr>
          <w:color w:val="231F20"/>
          <w:sz w:val="18"/>
        </w:rPr>
        <w:t>Бројеви</w:t>
      </w:r>
    </w:p>
    <w:p w:rsidR="00041039" w:rsidRDefault="001B26CB">
      <w:pPr>
        <w:pStyle w:val="ListParagraph"/>
        <w:tabs>
          <w:tab w:val="left" w:pos="633"/>
        </w:tabs>
        <w:ind w:left="497"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tabs>
          <w:tab w:val="left" w:pos="678"/>
        </w:tabs>
        <w:spacing w:line="203" w:lineRule="exact"/>
        <w:ind w:left="497" w:firstLine="0"/>
        <w:rPr>
          <w:sz w:val="18"/>
        </w:rPr>
      </w:pPr>
      <w:r>
        <w:rPr>
          <w:color w:val="231F20"/>
          <w:sz w:val="18"/>
        </w:rPr>
        <w:t>Квантификатори</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ListParagraph"/>
        <w:tabs>
          <w:tab w:val="left" w:pos="753"/>
        </w:tabs>
        <w:spacing w:before="80" w:line="203" w:lineRule="exact"/>
        <w:ind w:left="752" w:hanging="255"/>
        <w:rPr>
          <w:b/>
          <w:sz w:val="18"/>
        </w:rPr>
      </w:pPr>
      <w:r>
        <w:rPr>
          <w:b/>
          <w:color w:val="231F20"/>
          <w:spacing w:val="-6"/>
          <w:sz w:val="18"/>
        </w:rPr>
        <w:lastRenderedPageBreak/>
        <w:t>ГЛAГОЛСКА</w:t>
      </w:r>
      <w:r>
        <w:rPr>
          <w:b/>
          <w:color w:val="231F20"/>
          <w:spacing w:val="-1"/>
          <w:sz w:val="18"/>
        </w:rPr>
        <w:t xml:space="preserve"> </w:t>
      </w:r>
      <w:r>
        <w:rPr>
          <w:b/>
          <w:color w:val="231F20"/>
          <w:sz w:val="18"/>
        </w:rPr>
        <w:t>ГРУПА</w:t>
      </w:r>
    </w:p>
    <w:p w:rsidR="00041039" w:rsidRDefault="001B26CB">
      <w:pPr>
        <w:pStyle w:val="ListParagraph"/>
        <w:tabs>
          <w:tab w:val="left" w:pos="678"/>
        </w:tabs>
        <w:ind w:left="677" w:hanging="180"/>
        <w:rPr>
          <w:sz w:val="18"/>
        </w:rPr>
      </w:pPr>
      <w:r>
        <w:rPr>
          <w:color w:val="231F20"/>
          <w:spacing w:val="-4"/>
          <w:sz w:val="18"/>
        </w:rPr>
        <w:t>Глаголи</w:t>
      </w:r>
    </w:p>
    <w:p w:rsidR="00041039" w:rsidRDefault="001B26CB">
      <w:pPr>
        <w:pStyle w:val="ListParagraph"/>
        <w:tabs>
          <w:tab w:val="left" w:pos="633"/>
        </w:tabs>
        <w:rPr>
          <w:sz w:val="18"/>
        </w:rPr>
      </w:pPr>
      <w:r>
        <w:rPr>
          <w:color w:val="231F20"/>
          <w:sz w:val="18"/>
        </w:rPr>
        <w:t>Обновити разлику у употреби Present Simple, Present Continuous, Past Simple, Past</w:t>
      </w:r>
      <w:r>
        <w:rPr>
          <w:color w:val="231F20"/>
          <w:spacing w:val="-13"/>
          <w:sz w:val="18"/>
        </w:rPr>
        <w:t xml:space="preserve"> </w:t>
      </w:r>
      <w:r>
        <w:rPr>
          <w:color w:val="231F20"/>
          <w:sz w:val="18"/>
        </w:rPr>
        <w:t>Continuous;</w:t>
      </w:r>
    </w:p>
    <w:p w:rsidR="00041039" w:rsidRDefault="001B26CB">
      <w:pPr>
        <w:pStyle w:val="ListParagraph"/>
        <w:tabs>
          <w:tab w:val="left" w:pos="633"/>
        </w:tabs>
        <w:rPr>
          <w:sz w:val="18"/>
        </w:rPr>
      </w:pPr>
      <w:r>
        <w:rPr>
          <w:color w:val="231F20"/>
          <w:sz w:val="18"/>
        </w:rPr>
        <w:t>Обновити све употребе Present</w:t>
      </w:r>
      <w:r>
        <w:rPr>
          <w:color w:val="231F20"/>
          <w:spacing w:val="-3"/>
          <w:sz w:val="18"/>
        </w:rPr>
        <w:t xml:space="preserve"> </w:t>
      </w:r>
      <w:r>
        <w:rPr>
          <w:color w:val="231F20"/>
          <w:sz w:val="18"/>
        </w:rPr>
        <w:t>Perfect;</w:t>
      </w:r>
    </w:p>
    <w:p w:rsidR="00041039" w:rsidRDefault="001B26CB">
      <w:pPr>
        <w:pStyle w:val="ListParagraph"/>
        <w:tabs>
          <w:tab w:val="left" w:pos="633"/>
        </w:tabs>
        <w:rPr>
          <w:sz w:val="18"/>
        </w:rPr>
      </w:pPr>
      <w:r>
        <w:rPr>
          <w:color w:val="231F20"/>
          <w:sz w:val="18"/>
        </w:rPr>
        <w:t>Used</w:t>
      </w:r>
      <w:r>
        <w:rPr>
          <w:color w:val="231F20"/>
          <w:spacing w:val="-2"/>
          <w:sz w:val="18"/>
        </w:rPr>
        <w:t xml:space="preserve"> </w:t>
      </w:r>
      <w:r>
        <w:rPr>
          <w:color w:val="231F20"/>
          <w:sz w:val="18"/>
        </w:rPr>
        <w:t>to;</w:t>
      </w:r>
    </w:p>
    <w:p w:rsidR="00041039" w:rsidRDefault="001B26CB">
      <w:pPr>
        <w:pStyle w:val="ListParagraph"/>
        <w:tabs>
          <w:tab w:val="left" w:pos="633"/>
        </w:tabs>
        <w:rPr>
          <w:sz w:val="18"/>
        </w:rPr>
      </w:pPr>
      <w:r>
        <w:rPr>
          <w:color w:val="231F20"/>
          <w:sz w:val="18"/>
        </w:rPr>
        <w:t>Начини изражавања будућности, планова у будућности (going to,</w:t>
      </w:r>
      <w:r>
        <w:rPr>
          <w:color w:val="231F20"/>
          <w:spacing w:val="-5"/>
          <w:sz w:val="18"/>
        </w:rPr>
        <w:t xml:space="preserve"> </w:t>
      </w:r>
      <w:r>
        <w:rPr>
          <w:color w:val="231F20"/>
          <w:sz w:val="18"/>
        </w:rPr>
        <w:t>will);</w:t>
      </w:r>
    </w:p>
    <w:p w:rsidR="00041039" w:rsidRDefault="001B26CB">
      <w:pPr>
        <w:pStyle w:val="ListParagraph"/>
        <w:tabs>
          <w:tab w:val="left" w:pos="633"/>
        </w:tabs>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tabs>
          <w:tab w:val="left" w:pos="633"/>
        </w:tabs>
        <w:rPr>
          <w:sz w:val="18"/>
        </w:rPr>
      </w:pPr>
      <w:r>
        <w:rPr>
          <w:color w:val="231F20"/>
          <w:sz w:val="18"/>
        </w:rPr>
        <w:t xml:space="preserve">Прилози, извођење прилога и употреба, прилози вероватноће са </w:t>
      </w:r>
      <w:r>
        <w:rPr>
          <w:color w:val="231F20"/>
          <w:spacing w:val="-3"/>
          <w:sz w:val="18"/>
        </w:rPr>
        <w:t xml:space="preserve">may, </w:t>
      </w:r>
      <w:r>
        <w:rPr>
          <w:color w:val="231F20"/>
          <w:sz w:val="18"/>
        </w:rPr>
        <w:t>might и</w:t>
      </w:r>
      <w:r>
        <w:rPr>
          <w:color w:val="231F20"/>
          <w:spacing w:val="-7"/>
          <w:sz w:val="18"/>
        </w:rPr>
        <w:t xml:space="preserve"> </w:t>
      </w:r>
      <w:r>
        <w:rPr>
          <w:color w:val="231F20"/>
          <w:sz w:val="18"/>
        </w:rPr>
        <w:t>will;</w:t>
      </w:r>
    </w:p>
    <w:p w:rsidR="00041039" w:rsidRDefault="001B26CB">
      <w:pPr>
        <w:pStyle w:val="ListParagraph"/>
        <w:tabs>
          <w:tab w:val="left" w:pos="633"/>
        </w:tabs>
        <w:rPr>
          <w:sz w:val="18"/>
        </w:rPr>
      </w:pPr>
      <w:r>
        <w:rPr>
          <w:color w:val="231F20"/>
          <w:sz w:val="18"/>
        </w:rPr>
        <w:t>Пасивне конструкције ­ садашње и прошло време ­ the Presen</w:t>
      </w:r>
      <w:r>
        <w:rPr>
          <w:color w:val="231F20"/>
          <w:sz w:val="18"/>
        </w:rPr>
        <w:t>t Simple, Past Simple (продуктивно и</w:t>
      </w:r>
      <w:r>
        <w:rPr>
          <w:color w:val="231F20"/>
          <w:spacing w:val="-24"/>
          <w:sz w:val="18"/>
        </w:rPr>
        <w:t xml:space="preserve"> </w:t>
      </w:r>
      <w:r>
        <w:rPr>
          <w:color w:val="231F20"/>
          <w:sz w:val="18"/>
        </w:rPr>
        <w:t>рецептивно);</w:t>
      </w:r>
    </w:p>
    <w:p w:rsidR="00041039" w:rsidRDefault="001B26CB">
      <w:pPr>
        <w:pStyle w:val="ListParagraph"/>
        <w:tabs>
          <w:tab w:val="left" w:pos="633"/>
        </w:tabs>
        <w:rPr>
          <w:sz w:val="18"/>
        </w:rPr>
      </w:pPr>
      <w:r>
        <w:rPr>
          <w:color w:val="231F20"/>
          <w:sz w:val="18"/>
        </w:rPr>
        <w:t>Present Perfect Passive</w:t>
      </w:r>
      <w:r>
        <w:rPr>
          <w:color w:val="231F20"/>
          <w:spacing w:val="-4"/>
          <w:sz w:val="18"/>
        </w:rPr>
        <w:t xml:space="preserve"> </w:t>
      </w:r>
      <w:r>
        <w:rPr>
          <w:color w:val="231F20"/>
          <w:sz w:val="18"/>
        </w:rPr>
        <w:t>(рецептивно).</w:t>
      </w:r>
    </w:p>
    <w:p w:rsidR="00041039" w:rsidRDefault="001B26CB">
      <w:pPr>
        <w:pStyle w:val="ListParagraph"/>
        <w:tabs>
          <w:tab w:val="left" w:pos="678"/>
        </w:tabs>
        <w:ind w:left="677" w:hanging="180"/>
        <w:rPr>
          <w:sz w:val="18"/>
        </w:rPr>
      </w:pPr>
      <w:r>
        <w:rPr>
          <w:color w:val="231F20"/>
          <w:sz w:val="18"/>
        </w:rPr>
        <w:t>Предлози и најчешћи прилози за оријентацију у времену и</w:t>
      </w:r>
      <w:r>
        <w:rPr>
          <w:color w:val="231F20"/>
          <w:spacing w:val="-8"/>
          <w:sz w:val="18"/>
        </w:rPr>
        <w:t xml:space="preserve"> </w:t>
      </w:r>
      <w:r>
        <w:rPr>
          <w:color w:val="231F20"/>
          <w:spacing w:val="-3"/>
          <w:sz w:val="18"/>
        </w:rPr>
        <w:t>простору.</w:t>
      </w:r>
    </w:p>
    <w:p w:rsidR="00041039" w:rsidRDefault="001B26CB">
      <w:pPr>
        <w:pStyle w:val="ListParagraph"/>
        <w:tabs>
          <w:tab w:val="left" w:pos="678"/>
        </w:tabs>
        <w:spacing w:line="203" w:lineRule="exact"/>
        <w:ind w:left="677" w:hanging="180"/>
        <w:rPr>
          <w:sz w:val="18"/>
        </w:rPr>
      </w:pPr>
      <w:r>
        <w:rPr>
          <w:color w:val="231F20"/>
          <w:sz w:val="18"/>
        </w:rPr>
        <w:t>Први кондиционал и други кондиционал (рецептивно и</w:t>
      </w:r>
      <w:r>
        <w:rPr>
          <w:color w:val="231F20"/>
          <w:spacing w:val="-9"/>
          <w:sz w:val="18"/>
        </w:rPr>
        <w:t xml:space="preserve"> </w:t>
      </w:r>
      <w:r>
        <w:rPr>
          <w:color w:val="231F20"/>
          <w:sz w:val="18"/>
        </w:rPr>
        <w:t>продуктивно).</w:t>
      </w:r>
    </w:p>
    <w:p w:rsidR="00041039" w:rsidRDefault="00041039">
      <w:pPr>
        <w:pStyle w:val="BodyText"/>
        <w:spacing w:before="5"/>
        <w:rPr>
          <w:sz w:val="21"/>
        </w:rPr>
      </w:pPr>
    </w:p>
    <w:p w:rsidR="00041039" w:rsidRDefault="001B26CB">
      <w:pPr>
        <w:tabs>
          <w:tab w:val="left" w:pos="1460"/>
        </w:tabs>
        <w:ind w:left="157"/>
        <w:rPr>
          <w:b/>
          <w:sz w:val="18"/>
        </w:rPr>
      </w:pPr>
      <w:r>
        <w:rPr>
          <w:color w:val="231F20"/>
          <w:sz w:val="14"/>
        </w:rPr>
        <w:t>Назив</w:t>
      </w:r>
      <w:r>
        <w:rPr>
          <w:color w:val="231F20"/>
          <w:spacing w:val="-3"/>
          <w:sz w:val="14"/>
        </w:rPr>
        <w:t xml:space="preserve"> </w:t>
      </w:r>
      <w:r>
        <w:rPr>
          <w:color w:val="231F20"/>
          <w:sz w:val="14"/>
        </w:rPr>
        <w:t>предмета:</w:t>
      </w:r>
      <w:r>
        <w:rPr>
          <w:color w:val="231F20"/>
          <w:sz w:val="14"/>
        </w:rPr>
        <w:tab/>
      </w:r>
      <w:r>
        <w:rPr>
          <w:b/>
          <w:color w:val="231F20"/>
          <w:spacing w:val="-4"/>
          <w:position w:val="-1"/>
          <w:sz w:val="18"/>
        </w:rPr>
        <w:t>ЕНГЛЕСКИ</w:t>
      </w:r>
      <w:r>
        <w:rPr>
          <w:b/>
          <w:color w:val="231F20"/>
          <w:position w:val="-1"/>
          <w:sz w:val="18"/>
        </w:rPr>
        <w:t xml:space="preserve"> ЈЕЗИК</w:t>
      </w:r>
    </w:p>
    <w:p w:rsidR="00041039" w:rsidRDefault="001B26CB">
      <w:pPr>
        <w:tabs>
          <w:tab w:val="left" w:pos="1460"/>
        </w:tabs>
        <w:spacing w:before="29"/>
        <w:ind w:left="157"/>
        <w:rPr>
          <w:b/>
          <w:sz w:val="18"/>
        </w:rPr>
      </w:pPr>
      <w:r>
        <w:rPr>
          <w:color w:val="231F20"/>
          <w:spacing w:val="-3"/>
          <w:sz w:val="14"/>
        </w:rPr>
        <w:t>Годишњи</w:t>
      </w:r>
      <w:r>
        <w:rPr>
          <w:color w:val="231F20"/>
          <w:sz w:val="14"/>
        </w:rPr>
        <w:t xml:space="preserve"> фонд:</w:t>
      </w:r>
      <w:r>
        <w:rPr>
          <w:color w:val="231F20"/>
          <w:sz w:val="14"/>
        </w:rPr>
        <w:tab/>
      </w:r>
      <w:r>
        <w:rPr>
          <w:b/>
          <w:color w:val="231F20"/>
          <w:position w:val="-1"/>
          <w:sz w:val="18"/>
        </w:rPr>
        <w:t>64 часа</w:t>
      </w:r>
    </w:p>
    <w:p w:rsidR="00041039" w:rsidRDefault="001B26CB">
      <w:pPr>
        <w:tabs>
          <w:tab w:val="left" w:pos="1460"/>
        </w:tabs>
        <w:spacing w:before="28"/>
        <w:ind w:left="157"/>
        <w:rPr>
          <w:b/>
          <w:sz w:val="18"/>
        </w:rPr>
      </w:pPr>
      <w:r>
        <w:rPr>
          <w:color w:val="231F20"/>
          <w:sz w:val="14"/>
        </w:rPr>
        <w:t>Разред:</w:t>
      </w:r>
      <w:r>
        <w:rPr>
          <w:color w:val="231F20"/>
          <w:sz w:val="14"/>
        </w:rPr>
        <w:tab/>
      </w:r>
      <w:r>
        <w:rPr>
          <w:b/>
          <w:color w:val="231F20"/>
          <w:position w:val="-1"/>
          <w:sz w:val="18"/>
        </w:rPr>
        <w:t>четврти</w:t>
      </w:r>
    </w:p>
    <w:p w:rsidR="00041039" w:rsidRDefault="00041039">
      <w:pPr>
        <w:pStyle w:val="BodyText"/>
        <w:spacing w:before="3"/>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b/>
                <w:sz w:val="14"/>
              </w:rPr>
            </w:pPr>
            <w:r>
              <w:rPr>
                <w:color w:val="231F20"/>
                <w:sz w:val="14"/>
              </w:rPr>
              <w:t>По завршетку теме ученик ће бити у стању да:</w:t>
            </w:r>
            <w:r>
              <w:rPr>
                <w:b/>
                <w:color w:val="231F20"/>
                <w:sz w:val="14"/>
              </w:rPr>
              <w:t>:</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tabs>
                <w:tab w:val="left" w:pos="157"/>
              </w:tabs>
              <w:spacing w:before="8"/>
              <w:ind w:right="140" w:hanging="100"/>
              <w:rPr>
                <w:sz w:val="14"/>
              </w:rPr>
            </w:pPr>
            <w:r>
              <w:rPr>
                <w:color w:val="231F20"/>
                <w:sz w:val="14"/>
              </w:rPr>
              <w:t>разуме суштину битних информација са</w:t>
            </w:r>
            <w:r>
              <w:rPr>
                <w:color w:val="231F20"/>
                <w:spacing w:val="-13"/>
                <w:sz w:val="14"/>
              </w:rPr>
              <w:t xml:space="preserve"> </w:t>
            </w:r>
            <w:r>
              <w:rPr>
                <w:color w:val="231F20"/>
                <w:sz w:val="14"/>
              </w:rPr>
              <w:t xml:space="preserve">радија или телевизије, презентација или дискусија о актуелним збивањима или о стварима које се њега тичу на приватном и прoфесионалном </w:t>
            </w:r>
            <w:r>
              <w:rPr>
                <w:color w:val="231F20"/>
                <w:spacing w:val="-4"/>
                <w:sz w:val="14"/>
              </w:rPr>
              <w:t xml:space="preserve">плану, </w:t>
            </w:r>
            <w:r>
              <w:rPr>
                <w:color w:val="231F20"/>
                <w:spacing w:val="-3"/>
                <w:sz w:val="14"/>
              </w:rPr>
              <w:t xml:space="preserve">уколико </w:t>
            </w:r>
            <w:r>
              <w:rPr>
                <w:color w:val="231F20"/>
                <w:sz w:val="14"/>
              </w:rPr>
              <w:t>се говори разговетно стандар­ дним</w:t>
            </w:r>
            <w:r>
              <w:rPr>
                <w:color w:val="231F20"/>
                <w:spacing w:val="-1"/>
                <w:sz w:val="14"/>
              </w:rPr>
              <w:t xml:space="preserve"> </w:t>
            </w:r>
            <w:r>
              <w:rPr>
                <w:color w:val="231F20"/>
                <w:sz w:val="14"/>
              </w:rPr>
              <w:t>језиком;</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tabs>
                <w:tab w:val="left" w:pos="157"/>
              </w:tabs>
              <w:spacing w:line="237" w:lineRule="auto"/>
              <w:ind w:right="171" w:hanging="100"/>
              <w:rPr>
                <w:sz w:val="14"/>
              </w:rPr>
            </w:pPr>
            <w:r>
              <w:rPr>
                <w:color w:val="231F20"/>
                <w:sz w:val="14"/>
              </w:rPr>
              <w:t xml:space="preserve">Свакодневни живот (планови за </w:t>
            </w:r>
            <w:r>
              <w:rPr>
                <w:color w:val="231F20"/>
                <w:spacing w:val="-3"/>
                <w:sz w:val="14"/>
              </w:rPr>
              <w:t xml:space="preserve">будућност, </w:t>
            </w:r>
            <w:r>
              <w:rPr>
                <w:color w:val="231F20"/>
                <w:sz w:val="14"/>
              </w:rPr>
              <w:t>посао и</w:t>
            </w:r>
            <w:r>
              <w:rPr>
                <w:color w:val="231F20"/>
                <w:spacing w:val="-2"/>
                <w:sz w:val="14"/>
              </w:rPr>
              <w:t xml:space="preserve"> </w:t>
            </w:r>
            <w:r>
              <w:rPr>
                <w:color w:val="231F20"/>
                <w:sz w:val="14"/>
              </w:rPr>
              <w:t>каријера).</w:t>
            </w:r>
          </w:p>
          <w:p w:rsidR="00041039" w:rsidRDefault="001B26CB">
            <w:pPr>
              <w:pStyle w:val="TableParagraph"/>
              <w:tabs>
                <w:tab w:val="left" w:pos="157"/>
              </w:tabs>
              <w:spacing w:line="160" w:lineRule="exact"/>
              <w:ind w:right="226" w:hanging="100"/>
              <w:rPr>
                <w:sz w:val="14"/>
              </w:rPr>
            </w:pPr>
            <w:r>
              <w:rPr>
                <w:color w:val="231F20"/>
                <w:sz w:val="14"/>
              </w:rPr>
              <w:t xml:space="preserve">Образовање (могућност образовања у иностран­ </w:t>
            </w:r>
            <w:r>
              <w:rPr>
                <w:color w:val="231F20"/>
                <w:spacing w:val="-4"/>
                <w:sz w:val="14"/>
              </w:rPr>
              <w:t xml:space="preserve">ству, </w:t>
            </w:r>
            <w:r>
              <w:rPr>
                <w:color w:val="231F20"/>
                <w:sz w:val="14"/>
              </w:rPr>
              <w:t>размена ученика, усавршавање у струци).</w:t>
            </w:r>
          </w:p>
          <w:p w:rsidR="00041039" w:rsidRDefault="001B26CB">
            <w:pPr>
              <w:pStyle w:val="TableParagraph"/>
              <w:tabs>
                <w:tab w:val="left" w:pos="157"/>
              </w:tabs>
              <w:spacing w:line="160" w:lineRule="exact"/>
              <w:ind w:right="129" w:hanging="100"/>
              <w:rPr>
                <w:sz w:val="14"/>
              </w:rPr>
            </w:pPr>
            <w:r>
              <w:rPr>
                <w:color w:val="231F20"/>
                <w:sz w:val="14"/>
              </w:rPr>
              <w:t>Друштвено уређење и политички систем у</w:t>
            </w:r>
            <w:r>
              <w:rPr>
                <w:color w:val="231F20"/>
                <w:spacing w:val="-19"/>
                <w:sz w:val="14"/>
              </w:rPr>
              <w:t xml:space="preserve"> </w:t>
            </w:r>
            <w:r>
              <w:rPr>
                <w:color w:val="231F20"/>
                <w:sz w:val="14"/>
              </w:rPr>
              <w:t>земља­ ма чији се језик</w:t>
            </w:r>
            <w:r>
              <w:rPr>
                <w:color w:val="231F20"/>
                <w:spacing w:val="-2"/>
                <w:sz w:val="14"/>
              </w:rPr>
              <w:t xml:space="preserve"> </w:t>
            </w:r>
            <w:r>
              <w:rPr>
                <w:color w:val="231F20"/>
                <w:sz w:val="14"/>
              </w:rPr>
              <w:t>учи.</w:t>
            </w:r>
          </w:p>
          <w:p w:rsidR="00041039" w:rsidRDefault="001B26CB">
            <w:pPr>
              <w:pStyle w:val="TableParagraph"/>
              <w:tabs>
                <w:tab w:val="left" w:pos="157"/>
              </w:tabs>
              <w:spacing w:line="160" w:lineRule="exact"/>
              <w:ind w:right="87" w:hanging="100"/>
              <w:rPr>
                <w:sz w:val="14"/>
              </w:rPr>
            </w:pPr>
            <w:r>
              <w:rPr>
                <w:color w:val="231F20"/>
                <w:spacing w:val="-3"/>
                <w:sz w:val="14"/>
              </w:rPr>
              <w:t xml:space="preserve">Културни </w:t>
            </w:r>
            <w:r>
              <w:rPr>
                <w:color w:val="231F20"/>
                <w:sz w:val="14"/>
              </w:rPr>
              <w:t>живот (манифестације, сајмови и излож­ бе општег</w:t>
            </w:r>
            <w:r>
              <w:rPr>
                <w:color w:val="231F20"/>
                <w:spacing w:val="-1"/>
                <w:sz w:val="14"/>
              </w:rPr>
              <w:t xml:space="preserve"> </w:t>
            </w:r>
            <w:r>
              <w:rPr>
                <w:color w:val="231F20"/>
                <w:sz w:val="14"/>
              </w:rPr>
              <w:t>карактера).</w:t>
            </w:r>
          </w:p>
          <w:p w:rsidR="00041039" w:rsidRDefault="001B26CB">
            <w:pPr>
              <w:pStyle w:val="TableParagraph"/>
              <w:tabs>
                <w:tab w:val="left" w:pos="157"/>
              </w:tabs>
              <w:spacing w:line="153" w:lineRule="exact"/>
              <w:ind w:hanging="100"/>
              <w:rPr>
                <w:sz w:val="14"/>
              </w:rPr>
            </w:pPr>
            <w:r>
              <w:rPr>
                <w:color w:val="231F20"/>
                <w:sz w:val="14"/>
              </w:rPr>
              <w:t>Медији (утицај</w:t>
            </w:r>
            <w:r>
              <w:rPr>
                <w:color w:val="231F20"/>
                <w:spacing w:val="-1"/>
                <w:sz w:val="14"/>
              </w:rPr>
              <w:t xml:space="preserve"> </w:t>
            </w:r>
            <w:r>
              <w:rPr>
                <w:color w:val="231F20"/>
                <w:sz w:val="14"/>
              </w:rPr>
              <w:t>м</w:t>
            </w:r>
            <w:r>
              <w:rPr>
                <w:color w:val="231F20"/>
                <w:sz w:val="14"/>
              </w:rPr>
              <w:t>едија).</w:t>
            </w:r>
          </w:p>
          <w:p w:rsidR="00041039" w:rsidRDefault="001B26CB">
            <w:pPr>
              <w:pStyle w:val="TableParagraph"/>
              <w:tabs>
                <w:tab w:val="left" w:pos="157"/>
              </w:tabs>
              <w:spacing w:line="160" w:lineRule="exact"/>
              <w:ind w:hanging="100"/>
              <w:rPr>
                <w:sz w:val="14"/>
              </w:rPr>
            </w:pPr>
            <w:r>
              <w:rPr>
                <w:color w:val="231F20"/>
                <w:sz w:val="14"/>
              </w:rPr>
              <w:t>Историјске везе Србије и земаља чији се језик</w:t>
            </w:r>
            <w:r>
              <w:rPr>
                <w:color w:val="231F20"/>
                <w:spacing w:val="-13"/>
                <w:sz w:val="14"/>
              </w:rPr>
              <w:t xml:space="preserve"> </w:t>
            </w:r>
            <w:r>
              <w:rPr>
                <w:color w:val="231F20"/>
                <w:sz w:val="14"/>
              </w:rPr>
              <w:t>учи.</w:t>
            </w:r>
          </w:p>
          <w:p w:rsidR="00041039" w:rsidRDefault="001B26CB">
            <w:pPr>
              <w:pStyle w:val="TableParagraph"/>
              <w:tabs>
                <w:tab w:val="left" w:pos="157"/>
              </w:tabs>
              <w:spacing w:line="237" w:lineRule="auto"/>
              <w:ind w:right="171" w:hanging="100"/>
              <w:rPr>
                <w:sz w:val="14"/>
              </w:rPr>
            </w:pPr>
            <w:r>
              <w:rPr>
                <w:color w:val="231F20"/>
                <w:sz w:val="14"/>
              </w:rPr>
              <w:t>Свет компјутера (оглашавање на различитим</w:t>
            </w:r>
            <w:r>
              <w:rPr>
                <w:color w:val="231F20"/>
                <w:spacing w:val="-25"/>
                <w:sz w:val="14"/>
              </w:rPr>
              <w:t xml:space="preserve"> </w:t>
            </w:r>
            <w:r>
              <w:rPr>
                <w:color w:val="231F20"/>
                <w:spacing w:val="-3"/>
                <w:sz w:val="14"/>
              </w:rPr>
              <w:t xml:space="preserve">гло­ </w:t>
            </w:r>
            <w:r>
              <w:rPr>
                <w:color w:val="231F20"/>
                <w:sz w:val="14"/>
              </w:rPr>
              <w:t>балним мрежама, виртуелни свет</w:t>
            </w:r>
            <w:r>
              <w:rPr>
                <w:color w:val="231F20"/>
                <w:spacing w:val="-21"/>
                <w:sz w:val="14"/>
              </w:rPr>
              <w:t xml:space="preserve"> </w:t>
            </w:r>
            <w:r>
              <w:rPr>
                <w:color w:val="231F20"/>
                <w:sz w:val="14"/>
              </w:rPr>
              <w:t>комуникације).</w:t>
            </w:r>
          </w:p>
        </w:tc>
        <w:tc>
          <w:tcPr>
            <w:tcW w:w="2834" w:type="dxa"/>
            <w:vMerge w:val="restart"/>
          </w:tcPr>
          <w:p w:rsidR="00041039" w:rsidRDefault="001B26CB">
            <w:pPr>
              <w:pStyle w:val="TableParagraph"/>
              <w:tabs>
                <w:tab w:val="left" w:pos="163"/>
              </w:tabs>
              <w:spacing w:before="19" w:line="161" w:lineRule="exact"/>
              <w:ind w:left="162" w:hanging="105"/>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tabs>
                <w:tab w:val="left" w:pos="163"/>
              </w:tabs>
              <w:ind w:left="162" w:right="282" w:hanging="105"/>
              <w:rPr>
                <w:sz w:val="14"/>
              </w:rPr>
            </w:pPr>
            <w:r>
              <w:rPr>
                <w:color w:val="231F20"/>
                <w:sz w:val="14"/>
              </w:rPr>
              <w:t>Поздрављање (састајање, растанак; формално, неформално, специфично</w:t>
            </w:r>
            <w:r>
              <w:rPr>
                <w:color w:val="231F20"/>
                <w:spacing w:val="-15"/>
                <w:sz w:val="14"/>
              </w:rPr>
              <w:t xml:space="preserve"> </w:t>
            </w:r>
            <w:r>
              <w:rPr>
                <w:color w:val="231F20"/>
                <w:sz w:val="14"/>
              </w:rPr>
              <w:t>по регионима).</w:t>
            </w:r>
          </w:p>
          <w:p w:rsidR="00041039" w:rsidRDefault="001B26CB">
            <w:pPr>
              <w:pStyle w:val="TableParagraph"/>
              <w:tabs>
                <w:tab w:val="left" w:pos="163"/>
              </w:tabs>
              <w:spacing w:line="237" w:lineRule="auto"/>
              <w:ind w:left="162" w:right="455" w:hanging="10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tabs>
                <w:tab w:val="left" w:pos="163"/>
              </w:tabs>
              <w:spacing w:line="160" w:lineRule="exact"/>
              <w:ind w:left="162" w:hanging="105"/>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tabs>
                <w:tab w:val="left" w:pos="163"/>
              </w:tabs>
              <w:spacing w:line="160" w:lineRule="exact"/>
              <w:ind w:left="162" w:hanging="105"/>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tabs>
                <w:tab w:val="left" w:pos="163"/>
              </w:tabs>
              <w:spacing w:line="160" w:lineRule="exact"/>
              <w:ind w:left="162" w:hanging="105"/>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tabs>
                <w:tab w:val="left" w:pos="163"/>
              </w:tabs>
              <w:spacing w:line="160" w:lineRule="exact"/>
              <w:ind w:left="162" w:hanging="105"/>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tabs>
                <w:tab w:val="left" w:pos="163"/>
              </w:tabs>
              <w:spacing w:line="160" w:lineRule="exact"/>
              <w:ind w:left="162" w:hanging="105"/>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tabs>
                <w:tab w:val="left" w:pos="163"/>
              </w:tabs>
              <w:spacing w:line="160" w:lineRule="exact"/>
              <w:ind w:left="162" w:hanging="105"/>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tabs>
                <w:tab w:val="left" w:pos="163"/>
              </w:tabs>
              <w:ind w:left="162" w:right="370" w:hanging="105"/>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tabs>
                <w:tab w:val="left" w:pos="163"/>
              </w:tabs>
              <w:ind w:left="162" w:right="627" w:hanging="105"/>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tabs>
                <w:tab w:val="left" w:pos="163"/>
              </w:tabs>
              <w:ind w:left="162" w:right="272" w:hanging="105"/>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tabs>
                <w:tab w:val="left" w:pos="163"/>
              </w:tabs>
              <w:spacing w:line="159" w:lineRule="exact"/>
              <w:ind w:left="162" w:hanging="105"/>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tabs>
                <w:tab w:val="left" w:pos="163"/>
              </w:tabs>
              <w:spacing w:line="160" w:lineRule="exact"/>
              <w:ind w:left="162" w:hanging="105"/>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tabs>
                <w:tab w:val="left" w:pos="163"/>
              </w:tabs>
              <w:spacing w:line="160" w:lineRule="exact"/>
              <w:ind w:left="162" w:hanging="105"/>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tabs>
                <w:tab w:val="left" w:pos="163"/>
              </w:tabs>
              <w:ind w:left="162" w:right="124" w:hanging="105"/>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tabs>
                <w:tab w:val="left" w:pos="163"/>
              </w:tabs>
              <w:spacing w:line="159" w:lineRule="exact"/>
              <w:ind w:left="162" w:hanging="105"/>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tabs>
                <w:tab w:val="left" w:pos="163"/>
              </w:tabs>
              <w:spacing w:line="160" w:lineRule="exact"/>
              <w:ind w:left="162" w:hanging="105"/>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tabs>
                <w:tab w:val="left" w:pos="163"/>
              </w:tabs>
              <w:spacing w:line="160" w:lineRule="exact"/>
              <w:ind w:left="162" w:hanging="105"/>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tabs>
                <w:tab w:val="left" w:pos="163"/>
              </w:tabs>
              <w:spacing w:line="160" w:lineRule="exact"/>
              <w:ind w:left="162" w:hanging="105"/>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tabs>
                <w:tab w:val="left" w:pos="163"/>
              </w:tabs>
              <w:spacing w:line="161" w:lineRule="exact"/>
              <w:ind w:left="162" w:hanging="105"/>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741"/>
        </w:trPr>
        <w:tc>
          <w:tcPr>
            <w:tcW w:w="1304" w:type="dxa"/>
            <w:tcBorders>
              <w:top w:val="nil"/>
            </w:tcBorders>
          </w:tcPr>
          <w:p w:rsidR="00041039" w:rsidRDefault="001B26CB">
            <w:pPr>
              <w:pStyle w:val="TableParagraph"/>
              <w:tabs>
                <w:tab w:val="left" w:pos="157"/>
              </w:tabs>
              <w:spacing w:before="69"/>
              <w:ind w:right="166" w:hanging="100"/>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tabs>
                <w:tab w:val="left" w:pos="157"/>
              </w:tabs>
              <w:spacing w:before="9"/>
              <w:ind w:right="135" w:hanging="100"/>
              <w:rPr>
                <w:sz w:val="14"/>
              </w:rPr>
            </w:pPr>
            <w:r>
              <w:rPr>
                <w:color w:val="231F20"/>
                <w:sz w:val="14"/>
              </w:rPr>
              <w:t>разуме смисао сложенијих текстова</w:t>
            </w:r>
            <w:r>
              <w:rPr>
                <w:color w:val="231F20"/>
                <w:spacing w:val="-23"/>
                <w:sz w:val="14"/>
              </w:rPr>
              <w:t xml:space="preserve"> </w:t>
            </w:r>
            <w:r>
              <w:rPr>
                <w:color w:val="231F20"/>
                <w:sz w:val="14"/>
              </w:rPr>
              <w:t>шематских приказа, упутстава,</w:t>
            </w:r>
            <w:r>
              <w:rPr>
                <w:color w:val="231F20"/>
                <w:spacing w:val="-1"/>
                <w:sz w:val="14"/>
              </w:rPr>
              <w:t xml:space="preserve"> </w:t>
            </w:r>
            <w:r>
              <w:rPr>
                <w:color w:val="231F20"/>
                <w:sz w:val="14"/>
              </w:rPr>
              <w:t>уговора</w:t>
            </w:r>
          </w:p>
          <w:p w:rsidR="00041039" w:rsidRDefault="001B26CB">
            <w:pPr>
              <w:pStyle w:val="TableParagraph"/>
              <w:tabs>
                <w:tab w:val="left" w:pos="157"/>
              </w:tabs>
              <w:spacing w:line="160" w:lineRule="exact"/>
              <w:ind w:right="170" w:hanging="100"/>
              <w:rPr>
                <w:sz w:val="14"/>
              </w:rPr>
            </w:pPr>
            <w:r>
              <w:rPr>
                <w:color w:val="231F20"/>
                <w:sz w:val="14"/>
              </w:rPr>
              <w:t>разуме текстове у којима се износи лични</w:t>
            </w:r>
            <w:r>
              <w:rPr>
                <w:color w:val="231F20"/>
                <w:spacing w:val="-23"/>
                <w:sz w:val="14"/>
              </w:rPr>
              <w:t xml:space="preserve"> </w:t>
            </w:r>
            <w:r>
              <w:rPr>
                <w:color w:val="231F20"/>
                <w:sz w:val="14"/>
              </w:rPr>
              <w:t>став или посебно</w:t>
            </w:r>
            <w:r>
              <w:rPr>
                <w:color w:val="231F20"/>
                <w:spacing w:val="-2"/>
                <w:sz w:val="14"/>
              </w:rPr>
              <w:t xml:space="preserve"> </w:t>
            </w:r>
            <w:r>
              <w:rPr>
                <w:color w:val="231F20"/>
                <w:sz w:val="14"/>
              </w:rPr>
              <w:t>гледиште;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740"/>
        </w:trPr>
        <w:tc>
          <w:tcPr>
            <w:tcW w:w="1304" w:type="dxa"/>
            <w:tcBorders>
              <w:top w:val="nil"/>
            </w:tcBorders>
          </w:tcPr>
          <w:p w:rsidR="00041039" w:rsidRDefault="001B26CB">
            <w:pPr>
              <w:pStyle w:val="TableParagraph"/>
              <w:tabs>
                <w:tab w:val="left" w:pos="157"/>
              </w:tabs>
              <w:spacing w:before="69"/>
              <w:ind w:right="131" w:hanging="100"/>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ГОВОР</w:t>
            </w:r>
          </w:p>
        </w:tc>
        <w:tc>
          <w:tcPr>
            <w:tcW w:w="3118" w:type="dxa"/>
            <w:vMerge w:val="restart"/>
          </w:tcPr>
          <w:p w:rsidR="00041039" w:rsidRDefault="001B26CB">
            <w:pPr>
              <w:pStyle w:val="TableParagraph"/>
              <w:tabs>
                <w:tab w:val="left" w:pos="157"/>
              </w:tabs>
              <w:spacing w:before="9"/>
              <w:ind w:right="164" w:hanging="100"/>
              <w:rPr>
                <w:sz w:val="14"/>
              </w:rPr>
            </w:pPr>
            <w:r>
              <w:rPr>
                <w:color w:val="231F20"/>
                <w:sz w:val="14"/>
              </w:rPr>
              <w:t>представи припремљену презентацију која се односи</w:t>
            </w:r>
            <w:r>
              <w:rPr>
                <w:color w:val="231F20"/>
                <w:spacing w:val="-4"/>
                <w:sz w:val="14"/>
              </w:rPr>
              <w:t xml:space="preserve"> </w:t>
            </w:r>
            <w:r>
              <w:rPr>
                <w:color w:val="231F20"/>
                <w:sz w:val="14"/>
              </w:rPr>
              <w:t>на</w:t>
            </w:r>
            <w:r>
              <w:rPr>
                <w:color w:val="231F20"/>
                <w:spacing w:val="-5"/>
                <w:sz w:val="14"/>
              </w:rPr>
              <w:t xml:space="preserve"> </w:t>
            </w:r>
            <w:r>
              <w:rPr>
                <w:color w:val="231F20"/>
                <w:sz w:val="14"/>
              </w:rPr>
              <w:t>теме</w:t>
            </w:r>
            <w:r>
              <w:rPr>
                <w:color w:val="231F20"/>
                <w:spacing w:val="-4"/>
                <w:sz w:val="14"/>
              </w:rPr>
              <w:t xml:space="preserve"> </w:t>
            </w:r>
            <w:r>
              <w:rPr>
                <w:color w:val="231F20"/>
                <w:sz w:val="14"/>
              </w:rPr>
              <w:t>везане</w:t>
            </w:r>
            <w:r>
              <w:rPr>
                <w:color w:val="231F20"/>
                <w:spacing w:val="-5"/>
                <w:sz w:val="14"/>
              </w:rPr>
              <w:t xml:space="preserve"> </w:t>
            </w:r>
            <w:r>
              <w:rPr>
                <w:color w:val="231F20"/>
                <w:sz w:val="14"/>
              </w:rPr>
              <w:t>за</w:t>
            </w:r>
            <w:r>
              <w:rPr>
                <w:color w:val="231F20"/>
                <w:spacing w:val="-5"/>
                <w:sz w:val="14"/>
              </w:rPr>
              <w:t xml:space="preserve"> </w:t>
            </w:r>
            <w:r>
              <w:rPr>
                <w:color w:val="231F20"/>
                <w:sz w:val="14"/>
              </w:rPr>
              <w:t>области</w:t>
            </w:r>
            <w:r>
              <w:rPr>
                <w:color w:val="231F20"/>
                <w:spacing w:val="-5"/>
                <w:sz w:val="14"/>
              </w:rPr>
              <w:t xml:space="preserve"> </w:t>
            </w:r>
            <w:r>
              <w:rPr>
                <w:color w:val="231F20"/>
                <w:sz w:val="14"/>
              </w:rPr>
              <w:t>личног</w:t>
            </w:r>
            <w:r>
              <w:rPr>
                <w:color w:val="231F20"/>
                <w:spacing w:val="-5"/>
                <w:sz w:val="14"/>
              </w:rPr>
              <w:t xml:space="preserve"> </w:t>
            </w:r>
            <w:r>
              <w:rPr>
                <w:color w:val="231F20"/>
                <w:sz w:val="14"/>
              </w:rPr>
              <w:t xml:space="preserve">инте­ ресовања, </w:t>
            </w:r>
            <w:r>
              <w:rPr>
                <w:color w:val="231F20"/>
                <w:spacing w:val="-3"/>
                <w:sz w:val="14"/>
              </w:rPr>
              <w:t>школско</w:t>
            </w:r>
            <w:r>
              <w:rPr>
                <w:color w:val="231F20"/>
                <w:spacing w:val="-1"/>
                <w:sz w:val="14"/>
              </w:rPr>
              <w:t xml:space="preserve"> </w:t>
            </w:r>
            <w:r>
              <w:rPr>
                <w:color w:val="231F20"/>
                <w:sz w:val="14"/>
              </w:rPr>
              <w:t>градиво;</w:t>
            </w:r>
          </w:p>
          <w:p w:rsidR="00041039" w:rsidRDefault="001B26CB">
            <w:pPr>
              <w:pStyle w:val="TableParagraph"/>
              <w:tabs>
                <w:tab w:val="left" w:pos="157"/>
              </w:tabs>
              <w:spacing w:line="157" w:lineRule="exact"/>
              <w:ind w:hanging="100"/>
              <w:rPr>
                <w:sz w:val="14"/>
              </w:rPr>
            </w:pPr>
            <w:r>
              <w:rPr>
                <w:color w:val="231F20"/>
                <w:sz w:val="14"/>
              </w:rPr>
              <w:t>говори о утисцима, употребљавајући и</w:t>
            </w:r>
            <w:r>
              <w:rPr>
                <w:color w:val="231F20"/>
                <w:spacing w:val="-4"/>
                <w:sz w:val="14"/>
              </w:rPr>
              <w:t xml:space="preserve"> </w:t>
            </w:r>
            <w:r>
              <w:rPr>
                <w:color w:val="231F20"/>
                <w:spacing w:val="-3"/>
                <w:sz w:val="14"/>
              </w:rPr>
              <w:t>ком­</w:t>
            </w:r>
          </w:p>
          <w:p w:rsidR="00041039" w:rsidRDefault="001B26CB">
            <w:pPr>
              <w:pStyle w:val="TableParagraph"/>
              <w:spacing w:line="155" w:lineRule="exact"/>
              <w:rPr>
                <w:sz w:val="14"/>
              </w:rPr>
            </w:pPr>
            <w:r>
              <w:rPr>
                <w:color w:val="231F20"/>
                <w:sz w:val="14"/>
              </w:rPr>
              <w:t>плексније изразе;</w:t>
            </w:r>
          </w:p>
          <w:p w:rsidR="00041039" w:rsidRDefault="001B26CB">
            <w:pPr>
              <w:pStyle w:val="TableParagraph"/>
              <w:tabs>
                <w:tab w:val="left" w:pos="157"/>
              </w:tabs>
              <w:spacing w:line="237" w:lineRule="auto"/>
              <w:ind w:right="127" w:hanging="100"/>
              <w:rPr>
                <w:sz w:val="14"/>
              </w:rPr>
            </w:pPr>
            <w:r>
              <w:rPr>
                <w:color w:val="231F20"/>
                <w:sz w:val="14"/>
              </w:rPr>
              <w:t>даје дужи опис свакодневних радњи из свог окружења, описује прошле активности, свако­ дневне обавезе, планове, радне задатке и</w:t>
            </w:r>
            <w:r>
              <w:rPr>
                <w:color w:val="231F20"/>
                <w:spacing w:val="-26"/>
                <w:sz w:val="14"/>
              </w:rPr>
              <w:t xml:space="preserve"> </w:t>
            </w:r>
            <w:r>
              <w:rPr>
                <w:color w:val="231F20"/>
                <w:sz w:val="14"/>
              </w:rPr>
              <w:t>начин организовања;</w:t>
            </w:r>
          </w:p>
          <w:p w:rsidR="00041039" w:rsidRDefault="001B26CB">
            <w:pPr>
              <w:pStyle w:val="TableParagraph"/>
              <w:tabs>
                <w:tab w:val="left" w:pos="157"/>
              </w:tabs>
              <w:spacing w:line="237" w:lineRule="auto"/>
              <w:ind w:right="251" w:hanging="100"/>
              <w:rPr>
                <w:sz w:val="14"/>
              </w:rPr>
            </w:pPr>
            <w:r>
              <w:rPr>
                <w:color w:val="231F20"/>
                <w:sz w:val="14"/>
              </w:rPr>
              <w:t>даје релевантне податке са неке</w:t>
            </w:r>
            <w:r>
              <w:rPr>
                <w:color w:val="231F20"/>
                <w:spacing w:val="-23"/>
                <w:sz w:val="14"/>
              </w:rPr>
              <w:t xml:space="preserve"> </w:t>
            </w:r>
            <w:r>
              <w:rPr>
                <w:color w:val="231F20"/>
                <w:sz w:val="14"/>
              </w:rPr>
              <w:t>презентације или из</w:t>
            </w:r>
            <w:r>
              <w:rPr>
                <w:color w:val="231F20"/>
                <w:spacing w:val="-3"/>
                <w:sz w:val="14"/>
              </w:rPr>
              <w:t xml:space="preserve"> </w:t>
            </w:r>
            <w:r>
              <w:rPr>
                <w:color w:val="231F20"/>
                <w:sz w:val="14"/>
              </w:rPr>
              <w:t>дискусије;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540"/>
        </w:trPr>
        <w:tc>
          <w:tcPr>
            <w:tcW w:w="1304" w:type="dxa"/>
            <w:tcBorders>
              <w:top w:val="nil"/>
            </w:tcBorders>
          </w:tcPr>
          <w:p w:rsidR="00041039" w:rsidRDefault="001B26CB">
            <w:pPr>
              <w:pStyle w:val="TableParagraph"/>
              <w:tabs>
                <w:tab w:val="left" w:pos="157"/>
              </w:tabs>
              <w:spacing w:before="69"/>
              <w:ind w:right="79" w:hanging="100"/>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19"/>
              <w:ind w:left="56"/>
              <w:rPr>
                <w:sz w:val="14"/>
              </w:rPr>
            </w:pPr>
            <w:r>
              <w:rPr>
                <w:color w:val="231F20"/>
                <w:sz w:val="14"/>
              </w:rPr>
              <w:t>ПИСАЊЕ</w:t>
            </w:r>
          </w:p>
        </w:tc>
        <w:tc>
          <w:tcPr>
            <w:tcW w:w="3118" w:type="dxa"/>
            <w:vMerge w:val="restart"/>
          </w:tcPr>
          <w:p w:rsidR="00041039" w:rsidRDefault="001B26CB">
            <w:pPr>
              <w:pStyle w:val="TableParagraph"/>
              <w:tabs>
                <w:tab w:val="left" w:pos="157"/>
              </w:tabs>
              <w:spacing w:before="10"/>
              <w:ind w:right="133" w:hanging="100"/>
              <w:rPr>
                <w:sz w:val="14"/>
              </w:rPr>
            </w:pPr>
            <w:r>
              <w:rPr>
                <w:color w:val="231F20"/>
                <w:sz w:val="14"/>
              </w:rPr>
              <w:t>напише писмо или нешто дужи текст да би са­ општио информацију или указао на лични</w:t>
            </w:r>
            <w:r>
              <w:rPr>
                <w:color w:val="231F20"/>
                <w:spacing w:val="-19"/>
                <w:sz w:val="14"/>
              </w:rPr>
              <w:t xml:space="preserve"> </w:t>
            </w:r>
            <w:r>
              <w:rPr>
                <w:color w:val="231F20"/>
                <w:sz w:val="14"/>
              </w:rPr>
              <w:t>став или супротстављање</w:t>
            </w:r>
            <w:r>
              <w:rPr>
                <w:color w:val="231F20"/>
                <w:spacing w:val="-2"/>
                <w:sz w:val="14"/>
              </w:rPr>
              <w:t xml:space="preserve"> </w:t>
            </w:r>
            <w:r>
              <w:rPr>
                <w:color w:val="231F20"/>
                <w:sz w:val="14"/>
              </w:rPr>
              <w:t>мишљења;</w:t>
            </w:r>
          </w:p>
          <w:p w:rsidR="00041039" w:rsidRDefault="001B26CB">
            <w:pPr>
              <w:pStyle w:val="TableParagraph"/>
              <w:tabs>
                <w:tab w:val="left" w:pos="157"/>
              </w:tabs>
              <w:spacing w:line="157" w:lineRule="exact"/>
              <w:ind w:hanging="100"/>
              <w:rPr>
                <w:sz w:val="14"/>
              </w:rPr>
            </w:pPr>
            <w:r>
              <w:rPr>
                <w:color w:val="231F20"/>
                <w:sz w:val="14"/>
              </w:rPr>
              <w:t>напише извештај или протокол о догађају</w:t>
            </w:r>
            <w:r>
              <w:rPr>
                <w:color w:val="231F20"/>
                <w:spacing w:val="-17"/>
                <w:sz w:val="14"/>
              </w:rPr>
              <w:t xml:space="preserve"> </w:t>
            </w:r>
            <w:r>
              <w:rPr>
                <w:color w:val="231F20"/>
                <w:sz w:val="14"/>
              </w:rPr>
              <w:t>или</w:t>
            </w:r>
          </w:p>
          <w:p w:rsidR="00041039" w:rsidRDefault="001B26CB">
            <w:pPr>
              <w:pStyle w:val="TableParagraph"/>
              <w:spacing w:line="155" w:lineRule="exact"/>
              <w:rPr>
                <w:sz w:val="14"/>
              </w:rPr>
            </w:pPr>
            <w:r>
              <w:rPr>
                <w:color w:val="231F20"/>
                <w:sz w:val="14"/>
              </w:rPr>
              <w:t>са састанка;</w:t>
            </w:r>
          </w:p>
          <w:p w:rsidR="00041039" w:rsidRDefault="001B26CB">
            <w:pPr>
              <w:pStyle w:val="TableParagraph"/>
              <w:tabs>
                <w:tab w:val="left" w:pos="157"/>
              </w:tabs>
              <w:spacing w:line="166" w:lineRule="exact"/>
              <w:ind w:hanging="100"/>
              <w:rPr>
                <w:sz w:val="14"/>
              </w:rPr>
            </w:pPr>
            <w:r>
              <w:rPr>
                <w:color w:val="231F20"/>
                <w:sz w:val="14"/>
              </w:rPr>
              <w:t>писмено конкурише за неки</w:t>
            </w:r>
            <w:r>
              <w:rPr>
                <w:color w:val="231F20"/>
                <w:spacing w:val="-6"/>
                <w:sz w:val="14"/>
              </w:rPr>
              <w:t xml:space="preserve"> </w:t>
            </w:r>
            <w:r>
              <w:rPr>
                <w:color w:val="231F20"/>
                <w:sz w:val="14"/>
              </w:rPr>
              <w:t>посао;</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900"/>
        </w:trPr>
        <w:tc>
          <w:tcPr>
            <w:tcW w:w="1304" w:type="dxa"/>
            <w:tcBorders>
              <w:top w:val="nil"/>
            </w:tcBorders>
          </w:tcPr>
          <w:p w:rsidR="00041039" w:rsidRDefault="001B26CB">
            <w:pPr>
              <w:pStyle w:val="TableParagraph"/>
              <w:tabs>
                <w:tab w:val="left" w:pos="157"/>
              </w:tabs>
              <w:spacing w:before="71" w:line="237" w:lineRule="auto"/>
              <w:ind w:right="70" w:hanging="10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20"/>
              <w:ind w:left="56"/>
              <w:rPr>
                <w:sz w:val="14"/>
              </w:rPr>
            </w:pPr>
            <w:r>
              <w:rPr>
                <w:color w:val="231F20"/>
                <w:sz w:val="14"/>
              </w:rPr>
              <w:t>ИНТЕРАКЦИЈА</w:t>
            </w:r>
          </w:p>
        </w:tc>
        <w:tc>
          <w:tcPr>
            <w:tcW w:w="3118" w:type="dxa"/>
            <w:vMerge w:val="restart"/>
          </w:tcPr>
          <w:p w:rsidR="00041039" w:rsidRDefault="001B26CB">
            <w:pPr>
              <w:pStyle w:val="TableParagraph"/>
              <w:tabs>
                <w:tab w:val="left" w:pos="157"/>
              </w:tabs>
              <w:spacing w:before="10"/>
              <w:ind w:right="258" w:hanging="100"/>
              <w:rPr>
                <w:sz w:val="14"/>
              </w:rPr>
            </w:pPr>
            <w:r>
              <w:rPr>
                <w:color w:val="231F20"/>
                <w:sz w:val="14"/>
              </w:rPr>
              <w:t>оствари комуникацију о основним темама, под условом да је у стању да тражи помоћ</w:t>
            </w:r>
            <w:r>
              <w:rPr>
                <w:color w:val="231F20"/>
                <w:spacing w:val="-11"/>
                <w:sz w:val="14"/>
              </w:rPr>
              <w:t xml:space="preserve"> </w:t>
            </w:r>
            <w:r>
              <w:rPr>
                <w:color w:val="231F20"/>
                <w:spacing w:val="-3"/>
                <w:sz w:val="14"/>
              </w:rPr>
              <w:t xml:space="preserve">од </w:t>
            </w:r>
            <w:r>
              <w:rPr>
                <w:color w:val="231F20"/>
                <w:sz w:val="14"/>
              </w:rPr>
              <w:t>саговорника;</w:t>
            </w:r>
          </w:p>
          <w:p w:rsidR="00041039" w:rsidRDefault="001B26CB">
            <w:pPr>
              <w:pStyle w:val="TableParagraph"/>
              <w:tabs>
                <w:tab w:val="left" w:pos="157"/>
              </w:tabs>
              <w:spacing w:line="157" w:lineRule="exact"/>
              <w:ind w:hanging="100"/>
              <w:rPr>
                <w:sz w:val="14"/>
              </w:rPr>
            </w:pPr>
            <w:r>
              <w:rPr>
                <w:color w:val="231F20"/>
                <w:sz w:val="14"/>
              </w:rPr>
              <w:t>образложи и одбрани свој став, разјасни</w:t>
            </w:r>
            <w:r>
              <w:rPr>
                <w:color w:val="231F20"/>
                <w:spacing w:val="-6"/>
                <w:sz w:val="14"/>
              </w:rPr>
              <w:t xml:space="preserve"> </w:t>
            </w:r>
            <w:r>
              <w:rPr>
                <w:color w:val="231F20"/>
                <w:sz w:val="14"/>
              </w:rPr>
              <w:t>неспо­</w:t>
            </w:r>
          </w:p>
          <w:p w:rsidR="00041039" w:rsidRDefault="001B26CB">
            <w:pPr>
              <w:pStyle w:val="TableParagraph"/>
              <w:spacing w:line="160" w:lineRule="exact"/>
              <w:rPr>
                <w:sz w:val="14"/>
              </w:rPr>
            </w:pPr>
            <w:r>
              <w:rPr>
                <w:color w:val="231F20"/>
                <w:sz w:val="14"/>
              </w:rPr>
              <w:t>разуме;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19"/>
        </w:trPr>
        <w:tc>
          <w:tcPr>
            <w:tcW w:w="1304" w:type="dxa"/>
            <w:tcBorders>
              <w:top w:val="nil"/>
            </w:tcBorders>
          </w:tcPr>
          <w:p w:rsidR="00041039" w:rsidRDefault="001B26CB">
            <w:pPr>
              <w:pStyle w:val="TableParagraph"/>
              <w:tabs>
                <w:tab w:val="left" w:pos="157"/>
              </w:tabs>
              <w:spacing w:before="71" w:line="237" w:lineRule="auto"/>
              <w:ind w:right="140" w:hanging="10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1"/>
        </w:trPr>
        <w:tc>
          <w:tcPr>
            <w:tcW w:w="1304" w:type="dxa"/>
            <w:tcBorders>
              <w:bottom w:val="nil"/>
            </w:tcBorders>
          </w:tcPr>
          <w:p w:rsidR="00041039" w:rsidRDefault="001B26CB">
            <w:pPr>
              <w:pStyle w:val="TableParagraph"/>
              <w:spacing w:before="20"/>
              <w:ind w:left="56"/>
              <w:rPr>
                <w:sz w:val="14"/>
              </w:rPr>
            </w:pPr>
            <w:r>
              <w:rPr>
                <w:color w:val="231F20"/>
                <w:sz w:val="14"/>
              </w:rPr>
              <w:t>МЕДИЈАЦИЈА</w:t>
            </w:r>
          </w:p>
        </w:tc>
        <w:tc>
          <w:tcPr>
            <w:tcW w:w="3118" w:type="dxa"/>
            <w:tcBorders>
              <w:bottom w:val="nil"/>
            </w:tcBorders>
          </w:tcPr>
          <w:p w:rsidR="00041039" w:rsidRDefault="001B26CB">
            <w:pPr>
              <w:pStyle w:val="TableParagraph"/>
              <w:tabs>
                <w:tab w:val="left" w:pos="157"/>
              </w:tabs>
              <w:spacing w:before="10"/>
              <w:ind w:hanging="100"/>
              <w:rPr>
                <w:sz w:val="14"/>
              </w:rPr>
            </w:pPr>
            <w:r>
              <w:rPr>
                <w:color w:val="231F20"/>
                <w:sz w:val="14"/>
              </w:rPr>
              <w:t>препричава садржај текста, разговора,</w:t>
            </w:r>
            <w:r>
              <w:rPr>
                <w:color w:val="231F20"/>
                <w:spacing w:val="-15"/>
                <w:sz w:val="14"/>
              </w:rPr>
              <w:t xml:space="preserve"> </w:t>
            </w:r>
            <w:r>
              <w:rPr>
                <w:color w:val="231F20"/>
                <w:sz w:val="14"/>
              </w:rPr>
              <w:t>договора;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059"/>
        </w:trPr>
        <w:tc>
          <w:tcPr>
            <w:tcW w:w="1304" w:type="dxa"/>
            <w:tcBorders>
              <w:top w:val="nil"/>
            </w:tcBorders>
          </w:tcPr>
          <w:p w:rsidR="00041039" w:rsidRDefault="001B26CB">
            <w:pPr>
              <w:pStyle w:val="TableParagraph"/>
              <w:tabs>
                <w:tab w:val="left" w:pos="157"/>
              </w:tabs>
              <w:spacing w:before="70" w:line="237" w:lineRule="auto"/>
              <w:ind w:right="63" w:hanging="100"/>
              <w:rPr>
                <w:sz w:val="14"/>
              </w:rPr>
            </w:pPr>
            <w:r>
              <w:rPr>
                <w:color w:val="231F20"/>
                <w:sz w:val="14"/>
              </w:rPr>
              <w:t>Оспособљавање ученика да</w:t>
            </w:r>
            <w:r>
              <w:rPr>
                <w:color w:val="231F20"/>
                <w:spacing w:val="-7"/>
                <w:sz w:val="14"/>
              </w:rPr>
              <w:t xml:space="preserve"> </w:t>
            </w:r>
            <w:r>
              <w:rPr>
                <w:color w:val="231F20"/>
                <w:sz w:val="14"/>
              </w:rPr>
              <w:t>прево­ ди, сажима и пре­ причава садржај краћих усмених и писаних</w:t>
            </w:r>
            <w:r>
              <w:rPr>
                <w:color w:val="231F20"/>
                <w:spacing w:val="-8"/>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410"/>
        </w:trPr>
        <w:tc>
          <w:tcPr>
            <w:tcW w:w="1304" w:type="dxa"/>
            <w:tcBorders>
              <w:bottom w:val="nil"/>
            </w:tcBorders>
          </w:tcPr>
          <w:p w:rsidR="00041039" w:rsidRDefault="001B26CB">
            <w:pPr>
              <w:pStyle w:val="TableParagraph"/>
              <w:spacing w:before="20"/>
              <w:ind w:left="56" w:right="331"/>
              <w:rPr>
                <w:sz w:val="14"/>
              </w:rPr>
            </w:pPr>
            <w:r>
              <w:rPr>
                <w:color w:val="231F20"/>
                <w:sz w:val="14"/>
              </w:rPr>
              <w:t>МЕДИЈСКА ПИСМЕНОСТ</w:t>
            </w:r>
          </w:p>
        </w:tc>
        <w:tc>
          <w:tcPr>
            <w:tcW w:w="3118" w:type="dxa"/>
            <w:vMerge w:val="restart"/>
          </w:tcPr>
          <w:p w:rsidR="00041039" w:rsidRDefault="001B26CB">
            <w:pPr>
              <w:pStyle w:val="TableParagraph"/>
              <w:tabs>
                <w:tab w:val="left" w:pos="157"/>
              </w:tabs>
              <w:spacing w:before="10"/>
              <w:ind w:right="401" w:hanging="100"/>
              <w:rPr>
                <w:sz w:val="14"/>
              </w:rPr>
            </w:pPr>
            <w:r>
              <w:rPr>
                <w:color w:val="231F20"/>
                <w:sz w:val="14"/>
              </w:rPr>
              <w:t>пореди различите приказе истог догађаја</w:t>
            </w:r>
            <w:r>
              <w:rPr>
                <w:color w:val="231F20"/>
                <w:spacing w:val="-14"/>
                <w:sz w:val="14"/>
              </w:rPr>
              <w:t xml:space="preserve"> </w:t>
            </w:r>
            <w:r>
              <w:rPr>
                <w:color w:val="231F20"/>
                <w:sz w:val="14"/>
              </w:rPr>
              <w:t>у различитим</w:t>
            </w:r>
            <w:r>
              <w:rPr>
                <w:color w:val="231F20"/>
                <w:spacing w:val="-1"/>
                <w:sz w:val="14"/>
              </w:rPr>
              <w:t xml:space="preserve"> </w:t>
            </w:r>
            <w:r>
              <w:rPr>
                <w:color w:val="231F20"/>
                <w:sz w:val="14"/>
              </w:rPr>
              <w:t>медијима;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19"/>
        </w:trPr>
        <w:tc>
          <w:tcPr>
            <w:tcW w:w="1304" w:type="dxa"/>
            <w:tcBorders>
              <w:top w:val="nil"/>
            </w:tcBorders>
          </w:tcPr>
          <w:p w:rsidR="00041039" w:rsidRDefault="001B26CB">
            <w:pPr>
              <w:pStyle w:val="TableParagraph"/>
              <w:tabs>
                <w:tab w:val="left" w:pos="157"/>
              </w:tabs>
              <w:spacing w:before="71" w:line="237" w:lineRule="auto"/>
              <w:ind w:right="54" w:hanging="100"/>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840"/>
        </w:trPr>
        <w:tc>
          <w:tcPr>
            <w:tcW w:w="1304" w:type="dxa"/>
          </w:tcPr>
          <w:p w:rsidR="00041039" w:rsidRDefault="001B26CB">
            <w:pPr>
              <w:pStyle w:val="TableParagraph"/>
              <w:spacing w:before="18"/>
              <w:ind w:left="56"/>
              <w:rPr>
                <w:sz w:val="14"/>
              </w:rPr>
            </w:pPr>
            <w:r>
              <w:rPr>
                <w:color w:val="231F20"/>
                <w:sz w:val="14"/>
              </w:rPr>
              <w:lastRenderedPageBreak/>
              <w:t>ЗНАЊА О ЈЕЗИКУ</w:t>
            </w:r>
          </w:p>
        </w:tc>
        <w:tc>
          <w:tcPr>
            <w:tcW w:w="3118" w:type="dxa"/>
          </w:tcPr>
          <w:p w:rsidR="00041039" w:rsidRDefault="001B26CB">
            <w:pPr>
              <w:pStyle w:val="TableParagraph"/>
              <w:tabs>
                <w:tab w:val="left" w:pos="157"/>
              </w:tabs>
              <w:spacing w:before="8"/>
              <w:ind w:right="105" w:hanging="100"/>
              <w:rPr>
                <w:sz w:val="14"/>
              </w:rPr>
            </w:pPr>
            <w:r>
              <w:rPr>
                <w:color w:val="231F20"/>
                <w:sz w:val="14"/>
              </w:rPr>
              <w:t>коректно употребљава сложеније структуре и процесе (номинализације, градације, трнасфор­ мације);</w:t>
            </w:r>
          </w:p>
          <w:p w:rsidR="00041039" w:rsidRDefault="001B26CB">
            <w:pPr>
              <w:pStyle w:val="TableParagraph"/>
              <w:tabs>
                <w:tab w:val="left" w:pos="157"/>
              </w:tabs>
              <w:spacing w:line="157" w:lineRule="exact"/>
              <w:ind w:hanging="100"/>
              <w:rPr>
                <w:sz w:val="14"/>
              </w:rPr>
            </w:pPr>
            <w:r>
              <w:rPr>
                <w:color w:val="231F20"/>
                <w:sz w:val="14"/>
              </w:rPr>
              <w:t>контролише граматичка знања и исправља</w:t>
            </w:r>
            <w:r>
              <w:rPr>
                <w:color w:val="231F20"/>
                <w:spacing w:val="-26"/>
                <w:sz w:val="14"/>
              </w:rPr>
              <w:t xml:space="preserve"> </w:t>
            </w:r>
            <w:r>
              <w:rPr>
                <w:color w:val="231F20"/>
                <w:sz w:val="14"/>
              </w:rPr>
              <w:t>своје</w:t>
            </w:r>
          </w:p>
          <w:p w:rsidR="00041039" w:rsidRDefault="001B26CB">
            <w:pPr>
              <w:pStyle w:val="TableParagraph"/>
              <w:spacing w:line="160" w:lineRule="exact"/>
              <w:rPr>
                <w:sz w:val="14"/>
              </w:rPr>
            </w:pPr>
            <w:r>
              <w:rPr>
                <w:color w:val="231F20"/>
                <w:sz w:val="14"/>
              </w:rPr>
              <w:t>грешке;</w:t>
            </w:r>
          </w:p>
        </w:tc>
        <w:tc>
          <w:tcPr>
            <w:tcW w:w="3288" w:type="dxa"/>
          </w:tcPr>
          <w:p w:rsidR="00041039" w:rsidRDefault="00041039">
            <w:pPr>
              <w:pStyle w:val="TableParagraph"/>
              <w:ind w:left="0"/>
              <w:rPr>
                <w:sz w:val="16"/>
              </w:rPr>
            </w:pPr>
          </w:p>
        </w:tc>
        <w:tc>
          <w:tcPr>
            <w:tcW w:w="2834" w:type="dxa"/>
          </w:tcPr>
          <w:p w:rsidR="00041039" w:rsidRDefault="00041039">
            <w:pPr>
              <w:pStyle w:val="TableParagraph"/>
              <w:ind w:left="0"/>
              <w:rPr>
                <w:sz w:val="16"/>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5"/>
        <w:rPr>
          <w:b/>
          <w:sz w:val="16"/>
        </w:rPr>
      </w:pPr>
    </w:p>
    <w:p w:rsidR="00041039" w:rsidRDefault="001B26CB">
      <w:pPr>
        <w:pStyle w:val="ListParagraph"/>
        <w:tabs>
          <w:tab w:val="left" w:pos="613"/>
        </w:tabs>
        <w:spacing w:line="202" w:lineRule="exact"/>
        <w:ind w:left="612" w:hanging="115"/>
        <w:rPr>
          <w:b/>
          <w:sz w:val="18"/>
        </w:rPr>
      </w:pPr>
      <w:r>
        <w:rPr>
          <w:b/>
          <w:color w:val="231F20"/>
          <w:sz w:val="18"/>
        </w:rPr>
        <w:t>РЕЧЕНИЦА</w:t>
      </w:r>
    </w:p>
    <w:p w:rsidR="00041039" w:rsidRDefault="001B26CB">
      <w:pPr>
        <w:pStyle w:val="Heading2"/>
        <w:tabs>
          <w:tab w:val="left" w:pos="633"/>
        </w:tabs>
        <w:spacing w:line="198" w:lineRule="exact"/>
      </w:pPr>
      <w:r>
        <w:rPr>
          <w:color w:val="231F20"/>
        </w:rPr>
        <w:t>Сви типови упитних</w:t>
      </w:r>
      <w:r>
        <w:rPr>
          <w:color w:val="231F20"/>
          <w:spacing w:val="-1"/>
        </w:rPr>
        <w:t xml:space="preserve"> </w:t>
      </w:r>
      <w:r>
        <w:rPr>
          <w:color w:val="231F20"/>
        </w:rPr>
        <w:t>реченица;</w:t>
      </w:r>
    </w:p>
    <w:p w:rsidR="00041039" w:rsidRDefault="001B26CB">
      <w:pPr>
        <w:pStyle w:val="ListParagraph"/>
        <w:tabs>
          <w:tab w:val="left" w:pos="633"/>
        </w:tabs>
        <w:spacing w:line="198" w:lineRule="exact"/>
        <w:ind w:left="497" w:firstLine="0"/>
        <w:rPr>
          <w:sz w:val="18"/>
        </w:rPr>
      </w:pPr>
      <w:r>
        <w:rPr>
          <w:color w:val="231F20"/>
          <w:sz w:val="18"/>
        </w:rPr>
        <w:t>Релативне</w:t>
      </w:r>
      <w:r>
        <w:rPr>
          <w:color w:val="231F20"/>
          <w:spacing w:val="-1"/>
          <w:sz w:val="18"/>
        </w:rPr>
        <w:t xml:space="preserve"> </w:t>
      </w:r>
      <w:r>
        <w:rPr>
          <w:color w:val="231F20"/>
          <w:sz w:val="18"/>
        </w:rPr>
        <w:t>клаузе;</w:t>
      </w:r>
    </w:p>
    <w:p w:rsidR="00041039" w:rsidRDefault="001B26CB">
      <w:pPr>
        <w:pStyle w:val="ListParagraph"/>
        <w:tabs>
          <w:tab w:val="left" w:pos="633"/>
        </w:tabs>
        <w:spacing w:line="198" w:lineRule="exact"/>
        <w:ind w:left="497" w:firstLine="0"/>
        <w:rPr>
          <w:sz w:val="18"/>
        </w:rPr>
      </w:pPr>
      <w:r>
        <w:rPr>
          <w:color w:val="231F20"/>
          <w:sz w:val="18"/>
        </w:rPr>
        <w:t>Све врсте сложених</w:t>
      </w:r>
      <w:r>
        <w:rPr>
          <w:color w:val="231F20"/>
          <w:spacing w:val="-2"/>
          <w:sz w:val="18"/>
        </w:rPr>
        <w:t xml:space="preserve"> </w:t>
      </w:r>
      <w:r>
        <w:rPr>
          <w:color w:val="231F20"/>
          <w:sz w:val="18"/>
        </w:rPr>
        <w:t>реченица;</w:t>
      </w:r>
    </w:p>
    <w:p w:rsidR="00041039" w:rsidRDefault="001B26CB">
      <w:pPr>
        <w:pStyle w:val="ListParagraph"/>
        <w:tabs>
          <w:tab w:val="left" w:pos="633"/>
        </w:tabs>
        <w:spacing w:line="201" w:lineRule="exact"/>
        <w:ind w:left="497" w:firstLine="0"/>
        <w:rPr>
          <w:sz w:val="18"/>
        </w:rPr>
      </w:pPr>
      <w:r>
        <w:rPr>
          <w:color w:val="231F20"/>
          <w:sz w:val="18"/>
        </w:rPr>
        <w:t>Директна и индиректна</w:t>
      </w:r>
      <w:r>
        <w:rPr>
          <w:color w:val="231F20"/>
          <w:spacing w:val="-2"/>
          <w:sz w:val="18"/>
        </w:rPr>
        <w:t xml:space="preserve"> </w:t>
      </w:r>
      <w:r>
        <w:rPr>
          <w:color w:val="231F20"/>
          <w:sz w:val="18"/>
        </w:rPr>
        <w:t>питања;</w:t>
      </w:r>
    </w:p>
    <w:p w:rsidR="00041039" w:rsidRDefault="001B26CB">
      <w:pPr>
        <w:pStyle w:val="ListParagraph"/>
        <w:tabs>
          <w:tab w:val="left" w:pos="633"/>
        </w:tabs>
        <w:spacing w:line="195" w:lineRule="exact"/>
        <w:ind w:left="497" w:firstLine="0"/>
        <w:rPr>
          <w:sz w:val="18"/>
        </w:rPr>
      </w:pPr>
      <w:r>
        <w:rPr>
          <w:color w:val="231F20"/>
          <w:sz w:val="18"/>
        </w:rPr>
        <w:t>Индиректни говор: рецептивно и</w:t>
      </w:r>
      <w:r>
        <w:rPr>
          <w:color w:val="231F20"/>
          <w:spacing w:val="-2"/>
          <w:sz w:val="18"/>
        </w:rPr>
        <w:t xml:space="preserve"> </w:t>
      </w:r>
      <w:r>
        <w:rPr>
          <w:color w:val="231F20"/>
          <w:sz w:val="18"/>
        </w:rPr>
        <w:t>продуктивно;</w:t>
      </w:r>
    </w:p>
    <w:p w:rsidR="00041039" w:rsidRDefault="001B26CB">
      <w:pPr>
        <w:spacing w:before="2" w:line="230" w:lineRule="auto"/>
        <w:ind w:left="497" w:right="1805"/>
        <w:rPr>
          <w:sz w:val="18"/>
        </w:rPr>
      </w:pPr>
      <w:r>
        <w:rPr>
          <w:color w:val="231F20"/>
          <w:sz w:val="18"/>
        </w:rPr>
        <w:t>а) изјаве и питања ­ без промене глаголског времена (глагол главне реченице у једном од садашњих времена); б) молбе, захтеви, наредбе;</w:t>
      </w:r>
    </w:p>
    <w:p w:rsidR="00041039" w:rsidRDefault="001B26CB">
      <w:pPr>
        <w:spacing w:line="194" w:lineRule="exact"/>
        <w:ind w:left="497"/>
        <w:rPr>
          <w:sz w:val="18"/>
        </w:rPr>
      </w:pPr>
      <w:r>
        <w:rPr>
          <w:color w:val="231F20"/>
          <w:sz w:val="18"/>
        </w:rPr>
        <w:t>ц) изјаве и питања са променом глаголских времена;</w:t>
      </w:r>
    </w:p>
    <w:p w:rsidR="00041039" w:rsidRDefault="001B26CB">
      <w:pPr>
        <w:pStyle w:val="ListParagraph"/>
        <w:tabs>
          <w:tab w:val="left" w:pos="633"/>
        </w:tabs>
        <w:spacing w:line="198" w:lineRule="exact"/>
        <w:ind w:left="497" w:firstLine="0"/>
        <w:rPr>
          <w:sz w:val="18"/>
        </w:rPr>
      </w:pPr>
      <w:r>
        <w:rPr>
          <w:color w:val="231F20"/>
          <w:sz w:val="18"/>
        </w:rPr>
        <w:t>Одређене релативне</w:t>
      </w:r>
      <w:r>
        <w:rPr>
          <w:color w:val="231F20"/>
          <w:spacing w:val="-1"/>
          <w:sz w:val="18"/>
        </w:rPr>
        <w:t xml:space="preserve"> </w:t>
      </w:r>
      <w:r>
        <w:rPr>
          <w:color w:val="231F20"/>
          <w:sz w:val="18"/>
        </w:rPr>
        <w:t>клаузе;</w:t>
      </w:r>
    </w:p>
    <w:p w:rsidR="00041039" w:rsidRDefault="001B26CB">
      <w:pPr>
        <w:pStyle w:val="ListParagraph"/>
        <w:tabs>
          <w:tab w:val="left" w:pos="633"/>
        </w:tabs>
        <w:spacing w:line="202" w:lineRule="exact"/>
        <w:ind w:left="497" w:firstLine="0"/>
        <w:rPr>
          <w:sz w:val="18"/>
        </w:rPr>
      </w:pPr>
      <w:r>
        <w:rPr>
          <w:color w:val="231F20"/>
          <w:sz w:val="18"/>
        </w:rPr>
        <w:t>Сложене реченице: временске клаузе, узрочне</w:t>
      </w:r>
      <w:r>
        <w:rPr>
          <w:color w:val="231F20"/>
          <w:sz w:val="18"/>
        </w:rPr>
        <w:t xml:space="preserve"> клаузе, допусне</w:t>
      </w:r>
      <w:r>
        <w:rPr>
          <w:color w:val="231F20"/>
          <w:spacing w:val="-4"/>
          <w:sz w:val="18"/>
        </w:rPr>
        <w:t xml:space="preserve"> </w:t>
      </w:r>
      <w:r>
        <w:rPr>
          <w:color w:val="231F20"/>
          <w:sz w:val="18"/>
        </w:rPr>
        <w:t>клаузе.</w:t>
      </w:r>
    </w:p>
    <w:p w:rsidR="00041039" w:rsidRDefault="00041039">
      <w:pPr>
        <w:pStyle w:val="BodyText"/>
        <w:spacing w:before="5"/>
        <w:rPr>
          <w:sz w:val="16"/>
        </w:rPr>
      </w:pPr>
    </w:p>
    <w:p w:rsidR="00041039" w:rsidRDefault="001B26CB">
      <w:pPr>
        <w:pStyle w:val="ListParagraph"/>
        <w:tabs>
          <w:tab w:val="left" w:pos="683"/>
        </w:tabs>
        <w:spacing w:line="202" w:lineRule="exact"/>
        <w:ind w:left="682" w:hanging="185"/>
        <w:rPr>
          <w:b/>
          <w:sz w:val="18"/>
        </w:rPr>
      </w:pPr>
      <w:r>
        <w:rPr>
          <w:b/>
          <w:color w:val="231F20"/>
          <w:sz w:val="18"/>
        </w:rPr>
        <w:t>ИМЕНИЧКА</w:t>
      </w:r>
      <w:r>
        <w:rPr>
          <w:b/>
          <w:color w:val="231F20"/>
          <w:spacing w:val="-2"/>
          <w:sz w:val="18"/>
        </w:rPr>
        <w:t xml:space="preserve"> </w:t>
      </w:r>
      <w:r>
        <w:rPr>
          <w:b/>
          <w:color w:val="231F20"/>
          <w:sz w:val="18"/>
        </w:rPr>
        <w:t>ГРУПА</w:t>
      </w:r>
    </w:p>
    <w:p w:rsidR="00041039" w:rsidRDefault="001B26CB">
      <w:pPr>
        <w:pStyle w:val="ListParagraph"/>
        <w:tabs>
          <w:tab w:val="left" w:pos="678"/>
        </w:tabs>
        <w:spacing w:line="198" w:lineRule="exact"/>
        <w:ind w:left="497" w:firstLine="0"/>
        <w:rPr>
          <w:sz w:val="18"/>
        </w:rPr>
      </w:pPr>
      <w:r>
        <w:rPr>
          <w:color w:val="231F20"/>
          <w:sz w:val="18"/>
        </w:rPr>
        <w:t>Члан</w:t>
      </w:r>
    </w:p>
    <w:p w:rsidR="00041039" w:rsidRDefault="001B26CB">
      <w:pPr>
        <w:pStyle w:val="ListParagraph"/>
        <w:tabs>
          <w:tab w:val="left" w:pos="633"/>
        </w:tabs>
        <w:spacing w:line="198" w:lineRule="exact"/>
        <w:ind w:left="497"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tabs>
          <w:tab w:val="left" w:pos="678"/>
        </w:tabs>
        <w:spacing w:line="198" w:lineRule="exact"/>
        <w:ind w:left="497" w:firstLine="0"/>
        <w:rPr>
          <w:sz w:val="18"/>
        </w:rPr>
      </w:pPr>
      <w:r>
        <w:rPr>
          <w:color w:val="231F20"/>
          <w:sz w:val="18"/>
        </w:rPr>
        <w:t>Именице</w:t>
      </w:r>
    </w:p>
    <w:p w:rsidR="00041039" w:rsidRDefault="001B26CB">
      <w:pPr>
        <w:pStyle w:val="ListParagraph"/>
        <w:tabs>
          <w:tab w:val="left" w:pos="633"/>
        </w:tabs>
        <w:spacing w:line="198" w:lineRule="exact"/>
        <w:ind w:left="497"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tabs>
          <w:tab w:val="left" w:pos="678"/>
        </w:tabs>
        <w:spacing w:before="2" w:line="230" w:lineRule="auto"/>
        <w:ind w:left="497" w:right="8674" w:firstLine="0"/>
        <w:rPr>
          <w:sz w:val="18"/>
        </w:rPr>
      </w:pPr>
      <w:r>
        <w:rPr>
          <w:color w:val="231F20"/>
          <w:sz w:val="18"/>
        </w:rPr>
        <w:t>Заменички облици а) Заменице</w:t>
      </w:r>
    </w:p>
    <w:p w:rsidR="00041039" w:rsidRDefault="001B26CB">
      <w:pPr>
        <w:pStyle w:val="ListParagraph"/>
        <w:tabs>
          <w:tab w:val="left" w:pos="633"/>
        </w:tabs>
        <w:spacing w:line="194" w:lineRule="exact"/>
        <w:ind w:left="497"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tabs>
          <w:tab w:val="left" w:pos="633"/>
        </w:tabs>
        <w:spacing w:line="198" w:lineRule="exact"/>
        <w:ind w:left="497"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tabs>
          <w:tab w:val="left" w:pos="633"/>
        </w:tabs>
        <w:spacing w:before="2" w:line="230" w:lineRule="auto"/>
        <w:ind w:left="497"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tabs>
          <w:tab w:val="left" w:pos="633"/>
        </w:tabs>
        <w:spacing w:line="194" w:lineRule="exact"/>
        <w:ind w:left="497"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tabs>
          <w:tab w:val="left" w:pos="633"/>
        </w:tabs>
        <w:spacing w:line="198" w:lineRule="exact"/>
        <w:ind w:left="497"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tabs>
          <w:tab w:val="left" w:pos="633"/>
        </w:tabs>
        <w:spacing w:line="198" w:lineRule="exact"/>
        <w:ind w:left="497"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tabs>
          <w:tab w:val="left" w:pos="678"/>
        </w:tabs>
        <w:spacing w:line="198" w:lineRule="exact"/>
        <w:ind w:left="497" w:firstLine="0"/>
        <w:rPr>
          <w:sz w:val="18"/>
        </w:rPr>
      </w:pPr>
      <w:r>
        <w:rPr>
          <w:color w:val="231F20"/>
          <w:sz w:val="18"/>
        </w:rPr>
        <w:t>Придеви</w:t>
      </w:r>
    </w:p>
    <w:p w:rsidR="00041039" w:rsidRDefault="001B26CB">
      <w:pPr>
        <w:pStyle w:val="ListParagraph"/>
        <w:tabs>
          <w:tab w:val="left" w:pos="633"/>
        </w:tabs>
        <w:spacing w:line="198" w:lineRule="exact"/>
        <w:ind w:left="497"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198" w:lineRule="exact"/>
        <w:ind w:left="497"/>
        <w:rPr>
          <w:i/>
          <w:sz w:val="18"/>
        </w:rPr>
      </w:pPr>
      <w:r>
        <w:rPr>
          <w:i/>
          <w:color w:val="231F20"/>
          <w:sz w:val="18"/>
        </w:rPr>
        <w:t>– too / not…enough / not as…(as) /…than.</w:t>
      </w:r>
    </w:p>
    <w:p w:rsidR="00041039" w:rsidRDefault="001B26CB">
      <w:pPr>
        <w:pStyle w:val="ListParagraph"/>
        <w:tabs>
          <w:tab w:val="left" w:pos="678"/>
        </w:tabs>
        <w:spacing w:line="198" w:lineRule="exact"/>
        <w:ind w:left="497" w:firstLine="0"/>
        <w:rPr>
          <w:sz w:val="18"/>
        </w:rPr>
      </w:pPr>
      <w:r>
        <w:rPr>
          <w:color w:val="231F20"/>
          <w:sz w:val="18"/>
        </w:rPr>
        <w:t>Бројеви</w:t>
      </w:r>
    </w:p>
    <w:p w:rsidR="00041039" w:rsidRDefault="001B26CB">
      <w:pPr>
        <w:pStyle w:val="ListParagraph"/>
        <w:tabs>
          <w:tab w:val="left" w:pos="633"/>
        </w:tabs>
        <w:spacing w:line="198" w:lineRule="exact"/>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tabs>
          <w:tab w:val="left" w:pos="678"/>
        </w:tabs>
        <w:spacing w:line="202" w:lineRule="exact"/>
        <w:ind w:left="497" w:firstLine="0"/>
        <w:rPr>
          <w:sz w:val="18"/>
        </w:rPr>
      </w:pPr>
      <w:r>
        <w:rPr>
          <w:color w:val="231F20"/>
          <w:sz w:val="18"/>
        </w:rPr>
        <w:t>Квантификатори</w:t>
      </w:r>
    </w:p>
    <w:p w:rsidR="00041039" w:rsidRDefault="00041039">
      <w:pPr>
        <w:pStyle w:val="BodyText"/>
        <w:spacing w:before="5"/>
        <w:rPr>
          <w:sz w:val="16"/>
        </w:rPr>
      </w:pPr>
    </w:p>
    <w:p w:rsidR="00041039" w:rsidRDefault="001B26CB">
      <w:pPr>
        <w:pStyle w:val="ListParagraph"/>
        <w:tabs>
          <w:tab w:val="left" w:pos="753"/>
        </w:tabs>
        <w:spacing w:line="202" w:lineRule="exact"/>
        <w:ind w:left="752" w:hanging="255"/>
        <w:rPr>
          <w:b/>
          <w:sz w:val="18"/>
        </w:rPr>
      </w:pPr>
      <w:r>
        <w:rPr>
          <w:b/>
          <w:color w:val="231F20"/>
          <w:spacing w:val="-6"/>
          <w:sz w:val="18"/>
        </w:rPr>
        <w:t>ГЛAГОЛСКА</w:t>
      </w:r>
      <w:r>
        <w:rPr>
          <w:b/>
          <w:color w:val="231F20"/>
          <w:spacing w:val="-1"/>
          <w:sz w:val="18"/>
        </w:rPr>
        <w:t xml:space="preserve"> </w:t>
      </w:r>
      <w:r>
        <w:rPr>
          <w:b/>
          <w:color w:val="231F20"/>
          <w:sz w:val="18"/>
        </w:rPr>
        <w:t>ГРУПА</w:t>
      </w:r>
    </w:p>
    <w:p w:rsidR="00041039" w:rsidRDefault="001B26CB">
      <w:pPr>
        <w:pStyle w:val="ListParagraph"/>
        <w:tabs>
          <w:tab w:val="left" w:pos="678"/>
        </w:tabs>
        <w:spacing w:line="198" w:lineRule="exact"/>
        <w:ind w:left="677" w:hanging="180"/>
        <w:rPr>
          <w:sz w:val="18"/>
        </w:rPr>
      </w:pPr>
      <w:r>
        <w:rPr>
          <w:color w:val="231F20"/>
          <w:spacing w:val="-4"/>
          <w:sz w:val="18"/>
        </w:rPr>
        <w:t>Глаголи</w:t>
      </w:r>
    </w:p>
    <w:p w:rsidR="00041039" w:rsidRDefault="001B26CB">
      <w:pPr>
        <w:pStyle w:val="ListParagraph"/>
        <w:tabs>
          <w:tab w:val="left" w:pos="633"/>
        </w:tabs>
        <w:spacing w:line="198" w:lineRule="exact"/>
        <w:rPr>
          <w:sz w:val="18"/>
        </w:rPr>
      </w:pPr>
      <w:r>
        <w:rPr>
          <w:color w:val="231F20"/>
          <w:sz w:val="18"/>
        </w:rPr>
        <w:t>Обновити и утврдити сва садашња</w:t>
      </w:r>
      <w:r>
        <w:rPr>
          <w:color w:val="231F20"/>
          <w:spacing w:val="-3"/>
          <w:sz w:val="18"/>
        </w:rPr>
        <w:t xml:space="preserve"> </w:t>
      </w:r>
      <w:r>
        <w:rPr>
          <w:color w:val="231F20"/>
          <w:sz w:val="18"/>
        </w:rPr>
        <w:t>времена;</w:t>
      </w:r>
    </w:p>
    <w:p w:rsidR="00041039" w:rsidRDefault="001B26CB">
      <w:pPr>
        <w:pStyle w:val="ListParagraph"/>
        <w:tabs>
          <w:tab w:val="left" w:pos="633"/>
        </w:tabs>
        <w:spacing w:line="198" w:lineRule="exact"/>
        <w:rPr>
          <w:sz w:val="18"/>
        </w:rPr>
      </w:pPr>
      <w:r>
        <w:rPr>
          <w:color w:val="231F20"/>
          <w:sz w:val="18"/>
        </w:rPr>
        <w:t>Обновити и утврдити сва прошла</w:t>
      </w:r>
      <w:r>
        <w:rPr>
          <w:color w:val="231F20"/>
          <w:spacing w:val="-4"/>
          <w:sz w:val="18"/>
        </w:rPr>
        <w:t xml:space="preserve"> </w:t>
      </w:r>
      <w:r>
        <w:rPr>
          <w:color w:val="231F20"/>
          <w:sz w:val="18"/>
        </w:rPr>
        <w:t>времена;</w:t>
      </w:r>
    </w:p>
    <w:p w:rsidR="00041039" w:rsidRDefault="001B26CB">
      <w:pPr>
        <w:pStyle w:val="ListParagraph"/>
        <w:tabs>
          <w:tab w:val="left" w:pos="633"/>
        </w:tabs>
        <w:spacing w:line="198" w:lineRule="exact"/>
        <w:rPr>
          <w:sz w:val="18"/>
        </w:rPr>
      </w:pPr>
      <w:r>
        <w:rPr>
          <w:color w:val="231F20"/>
          <w:sz w:val="18"/>
        </w:rPr>
        <w:t>Разлика између Used to и Past Continuous</w:t>
      </w:r>
      <w:r>
        <w:rPr>
          <w:color w:val="231F20"/>
          <w:spacing w:val="-8"/>
          <w:sz w:val="18"/>
        </w:rPr>
        <w:t xml:space="preserve"> </w:t>
      </w:r>
      <w:r>
        <w:rPr>
          <w:color w:val="231F20"/>
          <w:spacing w:val="-3"/>
          <w:sz w:val="18"/>
        </w:rPr>
        <w:t>Tense;</w:t>
      </w:r>
    </w:p>
    <w:p w:rsidR="00041039" w:rsidRDefault="001B26CB">
      <w:pPr>
        <w:pStyle w:val="ListParagraph"/>
        <w:tabs>
          <w:tab w:val="left" w:pos="633"/>
        </w:tabs>
        <w:spacing w:line="198" w:lineRule="exact"/>
        <w:rPr>
          <w:sz w:val="18"/>
        </w:rPr>
      </w:pPr>
      <w:r>
        <w:rPr>
          <w:color w:val="231F20"/>
          <w:sz w:val="18"/>
        </w:rPr>
        <w:t>Обновити и утврдити све начине зa изражавање</w:t>
      </w:r>
      <w:r>
        <w:rPr>
          <w:color w:val="231F20"/>
          <w:spacing w:val="-6"/>
          <w:sz w:val="18"/>
        </w:rPr>
        <w:t xml:space="preserve"> </w:t>
      </w:r>
      <w:r>
        <w:rPr>
          <w:color w:val="231F20"/>
          <w:sz w:val="18"/>
        </w:rPr>
        <w:t>будућности;</w:t>
      </w:r>
    </w:p>
    <w:p w:rsidR="00041039" w:rsidRDefault="001B26CB">
      <w:pPr>
        <w:pStyle w:val="ListParagraph"/>
        <w:tabs>
          <w:tab w:val="left" w:pos="633"/>
        </w:tabs>
        <w:spacing w:line="198" w:lineRule="exact"/>
        <w:rPr>
          <w:sz w:val="18"/>
        </w:rPr>
      </w:pPr>
      <w:r>
        <w:rPr>
          <w:color w:val="231F20"/>
          <w:spacing w:val="-3"/>
          <w:sz w:val="18"/>
        </w:rPr>
        <w:t>Глаголски</w:t>
      </w:r>
      <w:r>
        <w:rPr>
          <w:color w:val="231F20"/>
          <w:spacing w:val="-1"/>
          <w:sz w:val="18"/>
        </w:rPr>
        <w:t xml:space="preserve"> </w:t>
      </w:r>
      <w:r>
        <w:rPr>
          <w:color w:val="231F20"/>
          <w:sz w:val="18"/>
        </w:rPr>
        <w:t>обрасци;</w:t>
      </w:r>
    </w:p>
    <w:p w:rsidR="00041039" w:rsidRDefault="001B26CB">
      <w:pPr>
        <w:pStyle w:val="ListParagraph"/>
        <w:tabs>
          <w:tab w:val="left" w:pos="633"/>
        </w:tabs>
        <w:spacing w:line="198" w:lineRule="exact"/>
        <w:rPr>
          <w:sz w:val="18"/>
        </w:rPr>
      </w:pPr>
      <w:r>
        <w:rPr>
          <w:color w:val="231F20"/>
          <w:spacing w:val="-4"/>
          <w:sz w:val="18"/>
        </w:rPr>
        <w:t>Глаголи</w:t>
      </w:r>
      <w:r>
        <w:rPr>
          <w:color w:val="231F20"/>
          <w:spacing w:val="-1"/>
          <w:sz w:val="18"/>
        </w:rPr>
        <w:t xml:space="preserve"> </w:t>
      </w:r>
      <w:r>
        <w:rPr>
          <w:color w:val="231F20"/>
          <w:sz w:val="18"/>
        </w:rPr>
        <w:t>стања;</w:t>
      </w:r>
    </w:p>
    <w:p w:rsidR="00041039" w:rsidRDefault="001B26CB">
      <w:pPr>
        <w:pStyle w:val="ListParagraph"/>
        <w:tabs>
          <w:tab w:val="left" w:pos="633"/>
        </w:tabs>
        <w:spacing w:line="198" w:lineRule="exact"/>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tabs>
          <w:tab w:val="left" w:pos="631"/>
        </w:tabs>
        <w:spacing w:line="198" w:lineRule="exact"/>
        <w:ind w:left="630" w:hanging="133"/>
        <w:rPr>
          <w:sz w:val="18"/>
        </w:rPr>
      </w:pPr>
      <w:r>
        <w:rPr>
          <w:color w:val="231F20"/>
          <w:sz w:val="18"/>
        </w:rPr>
        <w:t>Пасивне</w:t>
      </w:r>
      <w:r>
        <w:rPr>
          <w:color w:val="231F20"/>
          <w:spacing w:val="-13"/>
          <w:sz w:val="18"/>
        </w:rPr>
        <w:t xml:space="preserve"> </w:t>
      </w:r>
      <w:r>
        <w:rPr>
          <w:color w:val="231F20"/>
          <w:sz w:val="18"/>
        </w:rPr>
        <w:t>конструкције</w:t>
      </w:r>
      <w:r>
        <w:rPr>
          <w:color w:val="231F20"/>
          <w:spacing w:val="-13"/>
          <w:sz w:val="18"/>
        </w:rPr>
        <w:t xml:space="preserve"> </w:t>
      </w:r>
      <w:r>
        <w:rPr>
          <w:color w:val="231F20"/>
          <w:sz w:val="18"/>
        </w:rPr>
        <w:t>­</w:t>
      </w:r>
      <w:r>
        <w:rPr>
          <w:color w:val="231F20"/>
          <w:spacing w:val="-13"/>
          <w:sz w:val="18"/>
        </w:rPr>
        <w:t xml:space="preserve"> </w:t>
      </w:r>
      <w:r>
        <w:rPr>
          <w:color w:val="231F20"/>
          <w:sz w:val="18"/>
        </w:rPr>
        <w:t>the</w:t>
      </w:r>
      <w:r>
        <w:rPr>
          <w:color w:val="231F20"/>
          <w:spacing w:val="-13"/>
          <w:sz w:val="18"/>
        </w:rPr>
        <w:t xml:space="preserve"> </w:t>
      </w:r>
      <w:r>
        <w:rPr>
          <w:color w:val="231F20"/>
          <w:sz w:val="18"/>
        </w:rPr>
        <w:t>Present</w:t>
      </w:r>
      <w:r>
        <w:rPr>
          <w:color w:val="231F20"/>
          <w:spacing w:val="-13"/>
          <w:sz w:val="18"/>
        </w:rPr>
        <w:t xml:space="preserve"> </w:t>
      </w:r>
      <w:r>
        <w:rPr>
          <w:color w:val="231F20"/>
          <w:sz w:val="18"/>
        </w:rPr>
        <w:t>Simple,</w:t>
      </w:r>
      <w:r>
        <w:rPr>
          <w:color w:val="231F20"/>
          <w:spacing w:val="-13"/>
          <w:sz w:val="18"/>
        </w:rPr>
        <w:t xml:space="preserve"> </w:t>
      </w:r>
      <w:r>
        <w:rPr>
          <w:color w:val="231F20"/>
          <w:sz w:val="18"/>
        </w:rPr>
        <w:t>Past</w:t>
      </w:r>
      <w:r>
        <w:rPr>
          <w:color w:val="231F20"/>
          <w:spacing w:val="-13"/>
          <w:sz w:val="18"/>
        </w:rPr>
        <w:t xml:space="preserve"> </w:t>
      </w:r>
      <w:r>
        <w:rPr>
          <w:color w:val="231F20"/>
          <w:sz w:val="18"/>
        </w:rPr>
        <w:t>Simple,</w:t>
      </w:r>
      <w:r>
        <w:rPr>
          <w:color w:val="231F20"/>
          <w:spacing w:val="-13"/>
          <w:sz w:val="18"/>
        </w:rPr>
        <w:t xml:space="preserve"> </w:t>
      </w:r>
      <w:r>
        <w:rPr>
          <w:color w:val="231F20"/>
          <w:sz w:val="18"/>
        </w:rPr>
        <w:t>Present</w:t>
      </w:r>
      <w:r>
        <w:rPr>
          <w:color w:val="231F20"/>
          <w:spacing w:val="-13"/>
          <w:sz w:val="18"/>
        </w:rPr>
        <w:t xml:space="preserve"> </w:t>
      </w:r>
      <w:r>
        <w:rPr>
          <w:color w:val="231F20"/>
          <w:sz w:val="18"/>
        </w:rPr>
        <w:t>Perfect</w:t>
      </w:r>
      <w:r>
        <w:rPr>
          <w:color w:val="231F20"/>
          <w:spacing w:val="-13"/>
          <w:sz w:val="18"/>
        </w:rPr>
        <w:t xml:space="preserve"> </w:t>
      </w:r>
      <w:r>
        <w:rPr>
          <w:color w:val="231F20"/>
          <w:sz w:val="18"/>
        </w:rPr>
        <w:t>(продуктивно</w:t>
      </w:r>
      <w:r>
        <w:rPr>
          <w:color w:val="231F20"/>
          <w:spacing w:val="-13"/>
          <w:sz w:val="18"/>
        </w:rPr>
        <w:t xml:space="preserve"> </w:t>
      </w:r>
      <w:r>
        <w:rPr>
          <w:color w:val="231F20"/>
          <w:sz w:val="18"/>
        </w:rPr>
        <w:t>и</w:t>
      </w:r>
      <w:r>
        <w:rPr>
          <w:color w:val="231F20"/>
          <w:spacing w:val="-13"/>
          <w:sz w:val="18"/>
        </w:rPr>
        <w:t xml:space="preserve"> </w:t>
      </w:r>
      <w:r>
        <w:rPr>
          <w:color w:val="231F20"/>
          <w:sz w:val="18"/>
        </w:rPr>
        <w:t>рецептивно),</w:t>
      </w:r>
      <w:r>
        <w:rPr>
          <w:color w:val="231F20"/>
          <w:spacing w:val="-13"/>
          <w:sz w:val="18"/>
        </w:rPr>
        <w:t xml:space="preserve"> </w:t>
      </w:r>
      <w:r>
        <w:rPr>
          <w:color w:val="231F20"/>
          <w:sz w:val="18"/>
        </w:rPr>
        <w:t>oстала</w:t>
      </w:r>
      <w:r>
        <w:rPr>
          <w:color w:val="231F20"/>
          <w:spacing w:val="-13"/>
          <w:sz w:val="18"/>
        </w:rPr>
        <w:t xml:space="preserve"> </w:t>
      </w:r>
      <w:r>
        <w:rPr>
          <w:color w:val="231F20"/>
          <w:sz w:val="18"/>
        </w:rPr>
        <w:t>времена</w:t>
      </w:r>
      <w:r>
        <w:rPr>
          <w:color w:val="231F20"/>
          <w:spacing w:val="-13"/>
          <w:sz w:val="18"/>
        </w:rPr>
        <w:t xml:space="preserve"> </w:t>
      </w:r>
      <w:r>
        <w:rPr>
          <w:color w:val="231F20"/>
          <w:sz w:val="18"/>
        </w:rPr>
        <w:t>само</w:t>
      </w:r>
      <w:r>
        <w:rPr>
          <w:color w:val="231F20"/>
          <w:spacing w:val="-13"/>
          <w:sz w:val="18"/>
        </w:rPr>
        <w:t xml:space="preserve"> </w:t>
      </w:r>
      <w:r>
        <w:rPr>
          <w:color w:val="231F20"/>
          <w:sz w:val="18"/>
        </w:rPr>
        <w:t>рецептивно;</w:t>
      </w:r>
    </w:p>
    <w:p w:rsidR="00041039" w:rsidRDefault="001B26CB">
      <w:pPr>
        <w:pStyle w:val="ListParagraph"/>
        <w:tabs>
          <w:tab w:val="left" w:pos="633"/>
        </w:tabs>
        <w:spacing w:line="198" w:lineRule="exact"/>
        <w:rPr>
          <w:sz w:val="18"/>
        </w:rPr>
      </w:pPr>
      <w:r>
        <w:rPr>
          <w:color w:val="231F20"/>
          <w:sz w:val="18"/>
        </w:rPr>
        <w:t>wish + Past simple /w</w:t>
      </w:r>
      <w:r>
        <w:rPr>
          <w:i/>
          <w:color w:val="231F20"/>
          <w:sz w:val="18"/>
        </w:rPr>
        <w:t xml:space="preserve">ould - Have something done </w:t>
      </w:r>
      <w:r>
        <w:rPr>
          <w:color w:val="231F20"/>
          <w:sz w:val="18"/>
        </w:rPr>
        <w:t>(само</w:t>
      </w:r>
      <w:r>
        <w:rPr>
          <w:color w:val="231F20"/>
          <w:spacing w:val="-7"/>
          <w:sz w:val="18"/>
        </w:rPr>
        <w:t xml:space="preserve"> </w:t>
      </w:r>
      <w:r>
        <w:rPr>
          <w:color w:val="231F20"/>
          <w:sz w:val="18"/>
        </w:rPr>
        <w:t>рецептивно).</w:t>
      </w:r>
    </w:p>
    <w:p w:rsidR="00041039" w:rsidRDefault="001B26CB">
      <w:pPr>
        <w:pStyle w:val="Heading2"/>
        <w:tabs>
          <w:tab w:val="left" w:pos="678"/>
        </w:tabs>
        <w:spacing w:line="198" w:lineRule="exact"/>
        <w:ind w:left="677" w:hanging="180"/>
      </w:pPr>
      <w:r>
        <w:rPr>
          <w:color w:val="231F20"/>
        </w:rPr>
        <w:t>Први и други кондиционал (рецептивно и продуктивно); трећи кондиционал</w:t>
      </w:r>
      <w:r>
        <w:rPr>
          <w:color w:val="231F20"/>
          <w:spacing w:val="-11"/>
        </w:rPr>
        <w:t xml:space="preserve"> </w:t>
      </w:r>
      <w:r>
        <w:rPr>
          <w:color w:val="231F20"/>
        </w:rPr>
        <w:t>(рецептивно).</w:t>
      </w:r>
    </w:p>
    <w:p w:rsidR="00041039" w:rsidRDefault="001B26CB">
      <w:pPr>
        <w:pStyle w:val="ListParagraph"/>
        <w:tabs>
          <w:tab w:val="left" w:pos="678"/>
        </w:tabs>
        <w:spacing w:line="202" w:lineRule="exact"/>
        <w:ind w:left="677" w:hanging="180"/>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041039" w:rsidRDefault="00041039">
      <w:pPr>
        <w:pStyle w:val="BodyText"/>
        <w:spacing w:before="5"/>
        <w:rPr>
          <w:sz w:val="16"/>
        </w:rPr>
      </w:pPr>
    </w:p>
    <w:p w:rsidR="00041039" w:rsidRDefault="001B26CB">
      <w:pPr>
        <w:spacing w:line="202" w:lineRule="exact"/>
        <w:ind w:left="497"/>
        <w:rPr>
          <w:b/>
          <w:sz w:val="18"/>
        </w:rPr>
      </w:pPr>
      <w:r>
        <w:rPr>
          <w:b/>
          <w:color w:val="231F20"/>
          <w:sz w:val="18"/>
        </w:rPr>
        <w:t>Лексикологија</w:t>
      </w:r>
    </w:p>
    <w:p w:rsidR="00041039" w:rsidRDefault="001B26CB">
      <w:pPr>
        <w:spacing w:line="202" w:lineRule="exact"/>
        <w:ind w:left="497"/>
        <w:rPr>
          <w:sz w:val="18"/>
        </w:rPr>
      </w:pPr>
      <w:r>
        <w:rPr>
          <w:color w:val="231F20"/>
          <w:sz w:val="18"/>
        </w:rPr>
        <w:t>Најчешћи идиоми и фразеологизми. Полисемија.</w:t>
      </w:r>
    </w:p>
    <w:p w:rsidR="00041039" w:rsidRDefault="00041039">
      <w:pPr>
        <w:pStyle w:val="BodyText"/>
        <w:spacing w:before="5"/>
        <w:rPr>
          <w:sz w:val="16"/>
        </w:rPr>
      </w:pPr>
    </w:p>
    <w:p w:rsidR="00041039" w:rsidRDefault="001B26CB">
      <w:pPr>
        <w:spacing w:before="1" w:line="202" w:lineRule="exact"/>
        <w:ind w:left="497"/>
        <w:rPr>
          <w:b/>
          <w:sz w:val="18"/>
        </w:rPr>
      </w:pPr>
      <w:r>
        <w:rPr>
          <w:b/>
          <w:color w:val="231F20"/>
          <w:sz w:val="18"/>
        </w:rPr>
        <w:t>Лексикографија</w:t>
      </w:r>
    </w:p>
    <w:p w:rsidR="00041039" w:rsidRDefault="001B26CB">
      <w:pPr>
        <w:spacing w:line="202" w:lineRule="exact"/>
        <w:ind w:left="497"/>
        <w:rPr>
          <w:sz w:val="18"/>
        </w:rPr>
      </w:pPr>
      <w:r>
        <w:rPr>
          <w:color w:val="231F20"/>
          <w:sz w:val="18"/>
        </w:rPr>
        <w:t>Стручни и енциклопедијски речници.</w:t>
      </w:r>
    </w:p>
    <w:p w:rsidR="00041039" w:rsidRDefault="001B26CB">
      <w:pPr>
        <w:spacing w:before="161"/>
        <w:ind w:left="3862"/>
        <w:rPr>
          <w:sz w:val="18"/>
        </w:rPr>
      </w:pPr>
      <w:r>
        <w:rPr>
          <w:color w:val="231F20"/>
          <w:sz w:val="18"/>
        </w:rPr>
        <w:t>НАЧИН ОСТВАРИВАЊА ПРОГРАМА</w:t>
      </w:r>
    </w:p>
    <w:p w:rsidR="00041039" w:rsidRDefault="00041039">
      <w:pPr>
        <w:pStyle w:val="BodyText"/>
        <w:rPr>
          <w:sz w:val="17"/>
        </w:rPr>
      </w:pPr>
    </w:p>
    <w:p w:rsidR="00041039" w:rsidRDefault="001B26CB">
      <w:pPr>
        <w:spacing w:line="230" w:lineRule="auto"/>
        <w:ind w:left="100" w:right="137" w:firstLine="396"/>
        <w:jc w:val="both"/>
        <w:rPr>
          <w:sz w:val="18"/>
        </w:rPr>
      </w:pPr>
      <w:r>
        <w:rPr>
          <w:color w:val="231F20"/>
          <w:sz w:val="18"/>
        </w:rPr>
        <w:t xml:space="preserve">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w:t>
      </w:r>
      <w:r>
        <w:rPr>
          <w:color w:val="231F20"/>
          <w:sz w:val="18"/>
        </w:rPr>
        <w:t>претпоставља примену тзв. teacher talk. односно прила­ 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нe толико на граматичкој прецизности и</w:t>
      </w:r>
      <w:r>
        <w:rPr>
          <w:color w:val="231F20"/>
          <w:sz w:val="18"/>
        </w:rPr>
        <w:t>сказа; претпоставља да се знања ученика мере прецизно дефинисаним релативним, а не толико апсолутним критеријумима тачности.</w:t>
      </w:r>
    </w:p>
    <w:p w:rsidR="00041039" w:rsidRDefault="001B26CB">
      <w:pPr>
        <w:spacing w:line="232" w:lineRule="auto"/>
        <w:ind w:left="100" w:right="137" w:firstLine="396"/>
        <w:jc w:val="both"/>
        <w:rPr>
          <w:sz w:val="18"/>
        </w:rPr>
      </w:pPr>
      <w:r>
        <w:rPr>
          <w:color w:val="231F20"/>
          <w:sz w:val="18"/>
        </w:rPr>
        <w:t xml:space="preserve">Један </w:t>
      </w:r>
      <w:r>
        <w:rPr>
          <w:color w:val="231F20"/>
          <w:spacing w:val="-3"/>
          <w:sz w:val="18"/>
        </w:rPr>
        <w:t xml:space="preserve">од </w:t>
      </w:r>
      <w:r>
        <w:rPr>
          <w:color w:val="231F20"/>
          <w:sz w:val="18"/>
        </w:rPr>
        <w:t>кључних елемената комуникативне наставе је и социјална интеракција кроз рад у учионици. Она се базира на групном или индив</w:t>
      </w:r>
      <w:r>
        <w:rPr>
          <w:color w:val="231F20"/>
          <w:sz w:val="18"/>
        </w:rPr>
        <w:t>идуалном решавању проблема, потрази за информацијама имање или више комплексним задацима. У тим задацима увек су јасно одређени</w:t>
      </w:r>
      <w:r>
        <w:rPr>
          <w:color w:val="231F20"/>
          <w:spacing w:val="-6"/>
          <w:sz w:val="18"/>
        </w:rPr>
        <w:t xml:space="preserve"> </w:t>
      </w:r>
      <w:r>
        <w:rPr>
          <w:color w:val="231F20"/>
          <w:spacing w:val="-4"/>
          <w:sz w:val="18"/>
        </w:rPr>
        <w:t>контекст,</w:t>
      </w:r>
      <w:r>
        <w:rPr>
          <w:color w:val="231F20"/>
          <w:spacing w:val="-7"/>
          <w:sz w:val="18"/>
        </w:rPr>
        <w:t xml:space="preserve"> </w:t>
      </w:r>
      <w:r>
        <w:rPr>
          <w:color w:val="231F20"/>
          <w:sz w:val="18"/>
        </w:rPr>
        <w:t>процедура</w:t>
      </w:r>
      <w:r>
        <w:rPr>
          <w:color w:val="231F20"/>
          <w:spacing w:val="-6"/>
          <w:sz w:val="18"/>
        </w:rPr>
        <w:t xml:space="preserve"> </w:t>
      </w:r>
      <w:r>
        <w:rPr>
          <w:color w:val="231F20"/>
          <w:sz w:val="18"/>
        </w:rPr>
        <w:t>и</w:t>
      </w:r>
      <w:r>
        <w:rPr>
          <w:color w:val="231F20"/>
          <w:spacing w:val="-6"/>
          <w:sz w:val="18"/>
        </w:rPr>
        <w:t xml:space="preserve"> </w:t>
      </w:r>
      <w:r>
        <w:rPr>
          <w:color w:val="231F20"/>
          <w:sz w:val="18"/>
        </w:rPr>
        <w:t>циљ,</w:t>
      </w:r>
      <w:r>
        <w:rPr>
          <w:color w:val="231F20"/>
          <w:spacing w:val="-6"/>
          <w:sz w:val="18"/>
        </w:rPr>
        <w:t xml:space="preserve"> </w:t>
      </w:r>
      <w:r>
        <w:rPr>
          <w:color w:val="231F20"/>
          <w:sz w:val="18"/>
        </w:rPr>
        <w:t>чиме</w:t>
      </w:r>
      <w:r>
        <w:rPr>
          <w:color w:val="231F20"/>
          <w:spacing w:val="-7"/>
          <w:sz w:val="18"/>
        </w:rPr>
        <w:t xml:space="preserve"> </w:t>
      </w:r>
      <w:r>
        <w:rPr>
          <w:color w:val="231F20"/>
          <w:sz w:val="18"/>
        </w:rPr>
        <w:t>се</w:t>
      </w:r>
      <w:r>
        <w:rPr>
          <w:color w:val="231F20"/>
          <w:spacing w:val="-7"/>
          <w:sz w:val="18"/>
        </w:rPr>
        <w:t xml:space="preserve"> </w:t>
      </w:r>
      <w:r>
        <w:rPr>
          <w:color w:val="231F20"/>
          <w:sz w:val="18"/>
        </w:rPr>
        <w:t>унапређује</w:t>
      </w:r>
      <w:r>
        <w:rPr>
          <w:color w:val="231F20"/>
          <w:spacing w:val="-7"/>
          <w:sz w:val="18"/>
        </w:rPr>
        <w:t xml:space="preserve"> </w:t>
      </w:r>
      <w:r>
        <w:rPr>
          <w:color w:val="231F20"/>
          <w:sz w:val="18"/>
        </w:rPr>
        <w:t>квантитет</w:t>
      </w:r>
      <w:r>
        <w:rPr>
          <w:color w:val="231F20"/>
          <w:spacing w:val="-7"/>
          <w:sz w:val="18"/>
        </w:rPr>
        <w:t xml:space="preserve"> </w:t>
      </w:r>
      <w:r>
        <w:rPr>
          <w:color w:val="231F20"/>
          <w:sz w:val="18"/>
        </w:rPr>
        <w:t>језичког</w:t>
      </w:r>
      <w:r>
        <w:rPr>
          <w:color w:val="231F20"/>
          <w:spacing w:val="-7"/>
          <w:sz w:val="18"/>
        </w:rPr>
        <w:t xml:space="preserve"> </w:t>
      </w:r>
      <w:r>
        <w:rPr>
          <w:color w:val="231F20"/>
          <w:sz w:val="18"/>
        </w:rPr>
        <w:t>материјала</w:t>
      </w:r>
      <w:r>
        <w:rPr>
          <w:color w:val="231F20"/>
          <w:spacing w:val="-7"/>
          <w:sz w:val="18"/>
        </w:rPr>
        <w:t xml:space="preserve"> </w:t>
      </w:r>
      <w:r>
        <w:rPr>
          <w:color w:val="231F20"/>
          <w:spacing w:val="-3"/>
          <w:sz w:val="18"/>
        </w:rPr>
        <w:t>који</w:t>
      </w:r>
      <w:r>
        <w:rPr>
          <w:color w:val="231F20"/>
          <w:spacing w:val="-7"/>
          <w:sz w:val="18"/>
        </w:rPr>
        <w:t xml:space="preserve"> </w:t>
      </w:r>
      <w:r>
        <w:rPr>
          <w:color w:val="231F20"/>
          <w:sz w:val="18"/>
        </w:rPr>
        <w:t>је</w:t>
      </w:r>
      <w:r>
        <w:rPr>
          <w:color w:val="231F20"/>
          <w:spacing w:val="-6"/>
          <w:sz w:val="18"/>
        </w:rPr>
        <w:t xml:space="preserve"> </w:t>
      </w:r>
      <w:r>
        <w:rPr>
          <w:color w:val="231F20"/>
          <w:sz w:val="18"/>
        </w:rPr>
        <w:t>неопходан</w:t>
      </w:r>
      <w:r>
        <w:rPr>
          <w:color w:val="231F20"/>
          <w:spacing w:val="-6"/>
          <w:sz w:val="18"/>
        </w:rPr>
        <w:t xml:space="preserve"> </w:t>
      </w:r>
      <w:r>
        <w:rPr>
          <w:color w:val="231F20"/>
          <w:sz w:val="18"/>
        </w:rPr>
        <w:t>услов</w:t>
      </w:r>
      <w:r>
        <w:rPr>
          <w:color w:val="231F20"/>
          <w:spacing w:val="-7"/>
          <w:sz w:val="18"/>
        </w:rPr>
        <w:t xml:space="preserve"> </w:t>
      </w:r>
      <w:r>
        <w:rPr>
          <w:color w:val="231F20"/>
          <w:sz w:val="18"/>
        </w:rPr>
        <w:t>за</w:t>
      </w:r>
      <w:r>
        <w:rPr>
          <w:color w:val="231F20"/>
          <w:spacing w:val="-7"/>
          <w:sz w:val="18"/>
        </w:rPr>
        <w:t xml:space="preserve"> </w:t>
      </w:r>
      <w:r>
        <w:rPr>
          <w:color w:val="231F20"/>
          <w:sz w:val="18"/>
        </w:rPr>
        <w:t>било</w:t>
      </w:r>
      <w:r>
        <w:rPr>
          <w:color w:val="231F20"/>
          <w:spacing w:val="-6"/>
          <w:sz w:val="18"/>
        </w:rPr>
        <w:t xml:space="preserve"> </w:t>
      </w:r>
      <w:r>
        <w:rPr>
          <w:color w:val="231F20"/>
          <w:spacing w:val="-3"/>
          <w:sz w:val="18"/>
        </w:rPr>
        <w:t>које</w:t>
      </w:r>
      <w:r>
        <w:rPr>
          <w:color w:val="231F20"/>
          <w:spacing w:val="-7"/>
          <w:sz w:val="18"/>
        </w:rPr>
        <w:t xml:space="preserve"> </w:t>
      </w:r>
      <w:r>
        <w:rPr>
          <w:color w:val="231F20"/>
          <w:sz w:val="18"/>
        </w:rPr>
        <w:t>учење</w:t>
      </w:r>
      <w:r>
        <w:rPr>
          <w:color w:val="231F20"/>
          <w:spacing w:val="-7"/>
          <w:sz w:val="18"/>
        </w:rPr>
        <w:t xml:space="preserve"> </w:t>
      </w:r>
      <w:r>
        <w:rPr>
          <w:color w:val="231F20"/>
          <w:sz w:val="18"/>
        </w:rPr>
        <w:t>језика.</w:t>
      </w:r>
    </w:p>
    <w:p w:rsidR="00041039" w:rsidRDefault="00041039">
      <w:pPr>
        <w:spacing w:line="232" w:lineRule="auto"/>
        <w:jc w:val="both"/>
        <w:rPr>
          <w:sz w:val="18"/>
        </w:rPr>
        <w:sectPr w:rsidR="00041039">
          <w:pgSz w:w="11910" w:h="15710"/>
          <w:pgMar w:top="160" w:right="540" w:bottom="280" w:left="580" w:header="720" w:footer="720" w:gutter="0"/>
          <w:cols w:space="720"/>
        </w:sectPr>
      </w:pPr>
    </w:p>
    <w:p w:rsidR="00041039" w:rsidRDefault="001B26CB">
      <w:pPr>
        <w:spacing w:before="63" w:line="203" w:lineRule="exact"/>
        <w:ind w:left="497"/>
        <w:rPr>
          <w:sz w:val="18"/>
        </w:rPr>
      </w:pPr>
      <w:r>
        <w:rPr>
          <w:color w:val="231F20"/>
          <w:sz w:val="18"/>
        </w:rPr>
        <w:lastRenderedPageBreak/>
        <w:t>Такозвана комуникативно ­ интерактивна парадигма у настави страних језика, између осталог, укључује и следеће компоненте:</w:t>
      </w:r>
    </w:p>
    <w:p w:rsidR="00041039" w:rsidRDefault="001B26CB">
      <w:pPr>
        <w:pStyle w:val="ListParagraph"/>
        <w:tabs>
          <w:tab w:val="left" w:pos="633"/>
        </w:tabs>
        <w:rPr>
          <w:sz w:val="18"/>
        </w:rPr>
      </w:pPr>
      <w:r>
        <w:rPr>
          <w:color w:val="231F20"/>
          <w:sz w:val="18"/>
        </w:rPr>
        <w:t>усвајање језичког садржаја кроз циљано и осмишљено учествовање у друштвеном</w:t>
      </w:r>
      <w:r>
        <w:rPr>
          <w:color w:val="231F20"/>
          <w:spacing w:val="-6"/>
          <w:sz w:val="18"/>
        </w:rPr>
        <w:t xml:space="preserve"> </w:t>
      </w:r>
      <w:r>
        <w:rPr>
          <w:color w:val="231F20"/>
          <w:sz w:val="18"/>
        </w:rPr>
        <w:t>чину;</w:t>
      </w:r>
    </w:p>
    <w:p w:rsidR="00041039" w:rsidRDefault="001B26CB">
      <w:pPr>
        <w:pStyle w:val="ListParagraph"/>
        <w:tabs>
          <w:tab w:val="left" w:pos="633"/>
        </w:tabs>
        <w:rPr>
          <w:sz w:val="18"/>
        </w:rPr>
      </w:pPr>
      <w:r>
        <w:rPr>
          <w:color w:val="231F20"/>
          <w:sz w:val="18"/>
        </w:rPr>
        <w:t>поимање наставног програма као динами</w:t>
      </w:r>
      <w:r>
        <w:rPr>
          <w:color w:val="231F20"/>
          <w:sz w:val="18"/>
        </w:rPr>
        <w:t>чне заједнички припремљене и ажуриране листе задатака и</w:t>
      </w:r>
      <w:r>
        <w:rPr>
          <w:color w:val="231F20"/>
          <w:spacing w:val="-17"/>
          <w:sz w:val="18"/>
        </w:rPr>
        <w:t xml:space="preserve"> </w:t>
      </w:r>
      <w:r>
        <w:rPr>
          <w:color w:val="231F20"/>
          <w:sz w:val="18"/>
        </w:rPr>
        <w:t>активности;</w:t>
      </w:r>
    </w:p>
    <w:p w:rsidR="00041039" w:rsidRDefault="001B26CB">
      <w:pPr>
        <w:pStyle w:val="ListParagraph"/>
        <w:tabs>
          <w:tab w:val="left" w:pos="633"/>
        </w:tabs>
        <w:rPr>
          <w:sz w:val="18"/>
        </w:rPr>
      </w:pPr>
      <w:r>
        <w:rPr>
          <w:color w:val="231F20"/>
          <w:sz w:val="18"/>
        </w:rPr>
        <w:t>наставник је ту да омогући приступ и прихватање нових</w:t>
      </w:r>
      <w:r>
        <w:rPr>
          <w:color w:val="231F20"/>
          <w:spacing w:val="-5"/>
          <w:sz w:val="18"/>
        </w:rPr>
        <w:t xml:space="preserve"> </w:t>
      </w:r>
      <w:r>
        <w:rPr>
          <w:color w:val="231F20"/>
          <w:sz w:val="18"/>
        </w:rPr>
        <w:t>идеја;</w:t>
      </w:r>
    </w:p>
    <w:p w:rsidR="00041039" w:rsidRDefault="001B26CB">
      <w:pPr>
        <w:pStyle w:val="ListParagraph"/>
        <w:tabs>
          <w:tab w:val="left" w:pos="633"/>
        </w:tabs>
        <w:rPr>
          <w:sz w:val="18"/>
        </w:rPr>
      </w:pPr>
      <w:r>
        <w:rPr>
          <w:color w:val="231F20"/>
          <w:sz w:val="18"/>
        </w:rPr>
        <w:t>ученици се третирају као одговорни, креативни, активни учесници у друштвеном</w:t>
      </w:r>
      <w:r>
        <w:rPr>
          <w:color w:val="231F20"/>
          <w:spacing w:val="-5"/>
          <w:sz w:val="18"/>
        </w:rPr>
        <w:t xml:space="preserve"> </w:t>
      </w:r>
      <w:r>
        <w:rPr>
          <w:color w:val="231F20"/>
          <w:sz w:val="18"/>
        </w:rPr>
        <w:t>чину;</w:t>
      </w:r>
    </w:p>
    <w:p w:rsidR="00041039" w:rsidRDefault="001B26CB">
      <w:pPr>
        <w:pStyle w:val="ListParagraph"/>
        <w:tabs>
          <w:tab w:val="left" w:pos="633"/>
        </w:tabs>
        <w:spacing w:before="1" w:line="232" w:lineRule="auto"/>
        <w:ind w:right="138"/>
        <w:rPr>
          <w:sz w:val="18"/>
        </w:rPr>
      </w:pPr>
      <w:r>
        <w:rPr>
          <w:color w:val="231F20"/>
          <w:sz w:val="18"/>
        </w:rPr>
        <w:t xml:space="preserve">уџбеници су само један </w:t>
      </w:r>
      <w:r>
        <w:rPr>
          <w:color w:val="231F20"/>
          <w:spacing w:val="-3"/>
          <w:sz w:val="18"/>
        </w:rPr>
        <w:t xml:space="preserve">од </w:t>
      </w:r>
      <w:r>
        <w:rPr>
          <w:color w:val="231F20"/>
          <w:sz w:val="18"/>
        </w:rPr>
        <w:t xml:space="preserve">ресурса; осим њих </w:t>
      </w:r>
      <w:r>
        <w:rPr>
          <w:color w:val="231F20"/>
          <w:sz w:val="18"/>
        </w:rPr>
        <w:t xml:space="preserve">препоручује се и примена других извора информација и дидактичких материјала, учионица постаје простор </w:t>
      </w:r>
      <w:r>
        <w:rPr>
          <w:color w:val="231F20"/>
          <w:spacing w:val="-3"/>
          <w:sz w:val="18"/>
        </w:rPr>
        <w:t xml:space="preserve">који </w:t>
      </w:r>
      <w:r>
        <w:rPr>
          <w:color w:val="231F20"/>
          <w:sz w:val="18"/>
        </w:rPr>
        <w:t>је могуће реструктурирати из дана у</w:t>
      </w:r>
      <w:r>
        <w:rPr>
          <w:color w:val="231F20"/>
          <w:sz w:val="18"/>
        </w:rPr>
        <w:t xml:space="preserve"> </w:t>
      </w:r>
      <w:r>
        <w:rPr>
          <w:color w:val="231F20"/>
          <w:sz w:val="18"/>
        </w:rPr>
        <w:t>дан.</w:t>
      </w:r>
    </w:p>
    <w:p w:rsidR="00041039" w:rsidRDefault="00041039">
      <w:pPr>
        <w:pStyle w:val="BodyText"/>
        <w:spacing w:before="9"/>
        <w:rPr>
          <w:sz w:val="16"/>
        </w:rPr>
      </w:pPr>
    </w:p>
    <w:p w:rsidR="00041039" w:rsidRDefault="001B26CB">
      <w:pPr>
        <w:spacing w:line="203" w:lineRule="exact"/>
        <w:ind w:left="497"/>
        <w:rPr>
          <w:b/>
          <w:sz w:val="18"/>
        </w:rPr>
      </w:pPr>
      <w:r>
        <w:rPr>
          <w:b/>
          <w:color w:val="231F20"/>
          <w:sz w:val="18"/>
        </w:rPr>
        <w:t>КОРЕЛАЦИЈА СА ДРУГИМ ПРЕДМЕТИМА</w:t>
      </w:r>
    </w:p>
    <w:p w:rsidR="00041039" w:rsidRDefault="001B26CB">
      <w:pPr>
        <w:pStyle w:val="ListParagraph"/>
        <w:tabs>
          <w:tab w:val="left" w:pos="633"/>
        </w:tabs>
        <w:rPr>
          <w:sz w:val="18"/>
        </w:rPr>
      </w:pPr>
      <w:r>
        <w:rPr>
          <w:color w:val="231F20"/>
          <w:sz w:val="18"/>
        </w:rPr>
        <w:t>Стручни енглески</w:t>
      </w:r>
      <w:r>
        <w:rPr>
          <w:color w:val="231F20"/>
          <w:spacing w:val="-1"/>
          <w:sz w:val="18"/>
        </w:rPr>
        <w:t xml:space="preserve"> </w:t>
      </w:r>
      <w:r>
        <w:rPr>
          <w:color w:val="231F20"/>
          <w:sz w:val="18"/>
        </w:rPr>
        <w:t>језик</w:t>
      </w:r>
    </w:p>
    <w:p w:rsidR="00041039" w:rsidRDefault="001B26CB">
      <w:pPr>
        <w:pStyle w:val="ListParagraph"/>
        <w:tabs>
          <w:tab w:val="left" w:pos="633"/>
        </w:tabs>
        <w:rPr>
          <w:sz w:val="18"/>
        </w:rPr>
      </w:pPr>
      <w:r>
        <w:rPr>
          <w:color w:val="231F20"/>
          <w:sz w:val="18"/>
        </w:rPr>
        <w:t>Рачунарство и</w:t>
      </w:r>
      <w:r>
        <w:rPr>
          <w:color w:val="231F20"/>
          <w:spacing w:val="-2"/>
          <w:sz w:val="18"/>
        </w:rPr>
        <w:t xml:space="preserve"> </w:t>
      </w:r>
      <w:r>
        <w:rPr>
          <w:color w:val="231F20"/>
          <w:sz w:val="18"/>
        </w:rPr>
        <w:t>информатика</w:t>
      </w:r>
    </w:p>
    <w:p w:rsidR="00041039" w:rsidRDefault="001B26CB">
      <w:pPr>
        <w:pStyle w:val="ListParagraph"/>
        <w:tabs>
          <w:tab w:val="left" w:pos="633"/>
        </w:tabs>
        <w:rPr>
          <w:sz w:val="18"/>
        </w:rPr>
      </w:pPr>
      <w:r>
        <w:rPr>
          <w:color w:val="231F20"/>
          <w:sz w:val="18"/>
        </w:rPr>
        <w:t>Рачунари</w:t>
      </w:r>
    </w:p>
    <w:p w:rsidR="00041039" w:rsidRDefault="001B26CB">
      <w:pPr>
        <w:pStyle w:val="ListParagraph"/>
        <w:tabs>
          <w:tab w:val="left" w:pos="633"/>
        </w:tabs>
        <w:rPr>
          <w:sz w:val="18"/>
        </w:rPr>
      </w:pPr>
      <w:r>
        <w:rPr>
          <w:color w:val="231F20"/>
          <w:sz w:val="18"/>
        </w:rPr>
        <w:t>Аеродроми</w:t>
      </w:r>
    </w:p>
    <w:p w:rsidR="00041039" w:rsidRDefault="001B26CB">
      <w:pPr>
        <w:pStyle w:val="ListParagraph"/>
        <w:tabs>
          <w:tab w:val="left" w:pos="633"/>
        </w:tabs>
        <w:rPr>
          <w:sz w:val="18"/>
        </w:rPr>
      </w:pPr>
      <w:r>
        <w:rPr>
          <w:color w:val="231F20"/>
          <w:spacing w:val="-3"/>
          <w:sz w:val="18"/>
        </w:rPr>
        <w:t xml:space="preserve">Аутоматска </w:t>
      </w:r>
      <w:r>
        <w:rPr>
          <w:color w:val="231F20"/>
          <w:sz w:val="18"/>
        </w:rPr>
        <w:t>обрада</w:t>
      </w:r>
      <w:r>
        <w:rPr>
          <w:color w:val="231F20"/>
          <w:spacing w:val="1"/>
          <w:sz w:val="18"/>
        </w:rPr>
        <w:t xml:space="preserve"> </w:t>
      </w:r>
      <w:r>
        <w:rPr>
          <w:color w:val="231F20"/>
          <w:sz w:val="18"/>
        </w:rPr>
        <w:t>података</w:t>
      </w:r>
    </w:p>
    <w:p w:rsidR="00041039" w:rsidRDefault="001B26CB">
      <w:pPr>
        <w:pStyle w:val="ListParagraph"/>
        <w:tabs>
          <w:tab w:val="left" w:pos="633"/>
        </w:tabs>
        <w:rPr>
          <w:sz w:val="18"/>
        </w:rPr>
      </w:pPr>
      <w:r>
        <w:rPr>
          <w:color w:val="231F20"/>
          <w:sz w:val="18"/>
        </w:rPr>
        <w:t>Економика ваздушног</w:t>
      </w:r>
      <w:r>
        <w:rPr>
          <w:color w:val="231F20"/>
          <w:spacing w:val="-1"/>
          <w:sz w:val="18"/>
        </w:rPr>
        <w:t xml:space="preserve"> </w:t>
      </w:r>
      <w:r>
        <w:rPr>
          <w:color w:val="231F20"/>
          <w:sz w:val="18"/>
        </w:rPr>
        <w:t>саобраћаја</w:t>
      </w:r>
    </w:p>
    <w:p w:rsidR="00041039" w:rsidRDefault="001B26CB">
      <w:pPr>
        <w:pStyle w:val="ListParagraph"/>
        <w:tabs>
          <w:tab w:val="left" w:pos="633"/>
        </w:tabs>
        <w:spacing w:line="203" w:lineRule="exact"/>
        <w:rPr>
          <w:sz w:val="18"/>
        </w:rPr>
      </w:pPr>
      <w:r>
        <w:rPr>
          <w:color w:val="231F20"/>
          <w:sz w:val="18"/>
        </w:rPr>
        <w:t>Предузетништво</w:t>
      </w:r>
    </w:p>
    <w:p w:rsidR="00041039" w:rsidRDefault="00041039">
      <w:pPr>
        <w:pStyle w:val="BodyText"/>
        <w:rPr>
          <w:sz w:val="23"/>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pStyle w:val="BodyText"/>
        <w:tabs>
          <w:tab w:val="left" w:pos="1460"/>
        </w:tabs>
        <w:spacing w:before="50"/>
        <w:ind w:left="1460" w:right="445" w:hanging="1304"/>
      </w:pPr>
      <w:r>
        <w:rPr>
          <w:color w:val="231F20"/>
          <w:spacing w:val="-8"/>
        </w:rPr>
        <w:t>Циљеви</w:t>
      </w:r>
      <w:r>
        <w:rPr>
          <w:color w:val="231F20"/>
          <w:spacing w:val="-17"/>
        </w:rPr>
        <w:t xml:space="preserve"> </w:t>
      </w:r>
      <w:r>
        <w:rPr>
          <w:color w:val="231F20"/>
          <w:spacing w:val="-8"/>
        </w:rPr>
        <w:t>предмета:</w:t>
      </w:r>
      <w:r>
        <w:rPr>
          <w:color w:val="231F20"/>
          <w:spacing w:val="-8"/>
        </w:rPr>
        <w:tab/>
      </w:r>
      <w:r>
        <w:rPr>
          <w:color w:val="231F20"/>
        </w:rPr>
        <w:t>Циљ физичког васпитања је да се разноврсним и систематским моторичким активностима, у повезаности са осталим васпитно ­ образовним подручјима,</w:t>
      </w:r>
      <w:r>
        <w:rPr>
          <w:color w:val="231F20"/>
          <w:spacing w:val="-5"/>
        </w:rPr>
        <w:t xml:space="preserve"> </w:t>
      </w:r>
      <w:r>
        <w:rPr>
          <w:color w:val="231F20"/>
        </w:rPr>
        <w:t>допринесе</w:t>
      </w:r>
      <w:r>
        <w:rPr>
          <w:color w:val="231F20"/>
          <w:spacing w:val="-5"/>
        </w:rPr>
        <w:t xml:space="preserve"> </w:t>
      </w:r>
      <w:r>
        <w:rPr>
          <w:color w:val="231F20"/>
        </w:rPr>
        <w:t>интегралном</w:t>
      </w:r>
      <w:r>
        <w:rPr>
          <w:color w:val="231F20"/>
          <w:spacing w:val="-5"/>
        </w:rPr>
        <w:t xml:space="preserve"> </w:t>
      </w:r>
      <w:r>
        <w:rPr>
          <w:color w:val="231F20"/>
        </w:rPr>
        <w:t>развоју</w:t>
      </w:r>
      <w:r>
        <w:rPr>
          <w:color w:val="231F20"/>
          <w:spacing w:val="-5"/>
        </w:rPr>
        <w:t xml:space="preserve"> </w:t>
      </w:r>
      <w:r>
        <w:rPr>
          <w:color w:val="231F20"/>
        </w:rPr>
        <w:t>личности</w:t>
      </w:r>
      <w:r>
        <w:rPr>
          <w:color w:val="231F20"/>
          <w:spacing w:val="-5"/>
        </w:rPr>
        <w:t xml:space="preserve"> </w:t>
      </w:r>
      <w:r>
        <w:rPr>
          <w:color w:val="231F20"/>
        </w:rPr>
        <w:t>ученика</w:t>
      </w:r>
      <w:r>
        <w:rPr>
          <w:color w:val="231F20"/>
          <w:spacing w:val="-5"/>
        </w:rPr>
        <w:t xml:space="preserve"> </w:t>
      </w:r>
      <w:r>
        <w:rPr>
          <w:color w:val="231F20"/>
        </w:rPr>
        <w:t>(когнитивном,</w:t>
      </w:r>
      <w:r>
        <w:rPr>
          <w:color w:val="231F20"/>
          <w:spacing w:val="-5"/>
        </w:rPr>
        <w:t xml:space="preserve"> </w:t>
      </w:r>
      <w:r>
        <w:rPr>
          <w:color w:val="231F20"/>
        </w:rPr>
        <w:t>афективном,</w:t>
      </w:r>
      <w:r>
        <w:rPr>
          <w:color w:val="231F20"/>
          <w:spacing w:val="-5"/>
        </w:rPr>
        <w:t xml:space="preserve"> </w:t>
      </w:r>
      <w:r>
        <w:rPr>
          <w:color w:val="231F20"/>
        </w:rPr>
        <w:t>моторичком),</w:t>
      </w:r>
      <w:r>
        <w:rPr>
          <w:color w:val="231F20"/>
          <w:spacing w:val="-5"/>
        </w:rPr>
        <w:t xml:space="preserve"> </w:t>
      </w:r>
      <w:r>
        <w:rPr>
          <w:color w:val="231F20"/>
        </w:rPr>
        <w:t>развоју</w:t>
      </w:r>
      <w:r>
        <w:rPr>
          <w:color w:val="231F20"/>
          <w:spacing w:val="-5"/>
        </w:rPr>
        <w:t xml:space="preserve"> </w:t>
      </w:r>
      <w:r>
        <w:rPr>
          <w:color w:val="231F20"/>
        </w:rPr>
        <w:t>моторичких</w:t>
      </w:r>
      <w:r>
        <w:rPr>
          <w:color w:val="231F20"/>
          <w:spacing w:val="-5"/>
        </w:rPr>
        <w:t xml:space="preserve"> </w:t>
      </w:r>
      <w:r>
        <w:rPr>
          <w:color w:val="231F20"/>
        </w:rPr>
        <w:t>способно</w:t>
      </w:r>
      <w:r>
        <w:rPr>
          <w:color w:val="231F20"/>
        </w:rPr>
        <w:t>сти,</w:t>
      </w:r>
      <w:r>
        <w:rPr>
          <w:color w:val="231F20"/>
          <w:spacing w:val="-5"/>
        </w:rPr>
        <w:t xml:space="preserve"> </w:t>
      </w:r>
      <w:r>
        <w:rPr>
          <w:color w:val="231F20"/>
        </w:rPr>
        <w:t>стицању, усавршавању</w:t>
      </w:r>
      <w:r>
        <w:rPr>
          <w:color w:val="231F20"/>
          <w:spacing w:val="-3"/>
        </w:rPr>
        <w:t xml:space="preserve"> </w:t>
      </w:r>
      <w:r>
        <w:rPr>
          <w:color w:val="231F20"/>
        </w:rPr>
        <w:t>и</w:t>
      </w:r>
      <w:r>
        <w:rPr>
          <w:color w:val="231F20"/>
          <w:spacing w:val="-4"/>
        </w:rPr>
        <w:t xml:space="preserve"> </w:t>
      </w:r>
      <w:r>
        <w:rPr>
          <w:color w:val="231F20"/>
        </w:rPr>
        <w:t>примени</w:t>
      </w:r>
      <w:r>
        <w:rPr>
          <w:color w:val="231F20"/>
          <w:spacing w:val="-4"/>
        </w:rPr>
        <w:t xml:space="preserve"> </w:t>
      </w:r>
      <w:r>
        <w:rPr>
          <w:color w:val="231F20"/>
        </w:rPr>
        <w:t>моторичких</w:t>
      </w:r>
      <w:r>
        <w:rPr>
          <w:color w:val="231F20"/>
          <w:spacing w:val="-3"/>
        </w:rPr>
        <w:t xml:space="preserve"> </w:t>
      </w:r>
      <w:r>
        <w:rPr>
          <w:color w:val="231F20"/>
        </w:rPr>
        <w:t>умења,</w:t>
      </w:r>
      <w:r>
        <w:rPr>
          <w:color w:val="231F20"/>
          <w:spacing w:val="-3"/>
        </w:rPr>
        <w:t xml:space="preserve"> </w:t>
      </w:r>
      <w:r>
        <w:rPr>
          <w:color w:val="231F20"/>
        </w:rPr>
        <w:t>навика</w:t>
      </w:r>
      <w:r>
        <w:rPr>
          <w:color w:val="231F20"/>
          <w:spacing w:val="-3"/>
        </w:rPr>
        <w:t xml:space="preserve"> </w:t>
      </w:r>
      <w:r>
        <w:rPr>
          <w:color w:val="231F20"/>
        </w:rPr>
        <w:t>и</w:t>
      </w:r>
      <w:r>
        <w:rPr>
          <w:color w:val="231F20"/>
          <w:spacing w:val="-4"/>
        </w:rPr>
        <w:t xml:space="preserve"> </w:t>
      </w:r>
      <w:r>
        <w:rPr>
          <w:color w:val="231F20"/>
        </w:rPr>
        <w:t>неопходних</w:t>
      </w:r>
      <w:r>
        <w:rPr>
          <w:color w:val="231F20"/>
          <w:spacing w:val="-3"/>
        </w:rPr>
        <w:t xml:space="preserve"> </w:t>
      </w:r>
      <w:r>
        <w:rPr>
          <w:color w:val="231F20"/>
        </w:rPr>
        <w:t>теоријских</w:t>
      </w:r>
      <w:r>
        <w:rPr>
          <w:color w:val="231F20"/>
          <w:spacing w:val="-3"/>
        </w:rPr>
        <w:t xml:space="preserve"> </w:t>
      </w:r>
      <w:r>
        <w:rPr>
          <w:color w:val="231F20"/>
        </w:rPr>
        <w:t>знања</w:t>
      </w:r>
      <w:r>
        <w:rPr>
          <w:color w:val="231F20"/>
          <w:spacing w:val="-4"/>
        </w:rPr>
        <w:t xml:space="preserve"> </w:t>
      </w:r>
      <w:r>
        <w:rPr>
          <w:color w:val="231F20"/>
        </w:rPr>
        <w:t>у</w:t>
      </w:r>
      <w:r>
        <w:rPr>
          <w:color w:val="231F20"/>
          <w:spacing w:val="-3"/>
        </w:rPr>
        <w:t xml:space="preserve"> </w:t>
      </w:r>
      <w:r>
        <w:rPr>
          <w:color w:val="231F20"/>
        </w:rPr>
        <w:t>свакодневним</w:t>
      </w:r>
      <w:r>
        <w:rPr>
          <w:color w:val="231F20"/>
          <w:spacing w:val="-3"/>
        </w:rPr>
        <w:t xml:space="preserve"> </w:t>
      </w:r>
      <w:r>
        <w:rPr>
          <w:color w:val="231F20"/>
        </w:rPr>
        <w:t>и</w:t>
      </w:r>
      <w:r>
        <w:rPr>
          <w:color w:val="231F20"/>
          <w:spacing w:val="-4"/>
        </w:rPr>
        <w:t xml:space="preserve"> </w:t>
      </w:r>
      <w:r>
        <w:rPr>
          <w:color w:val="231F20"/>
        </w:rPr>
        <w:t>специфичним</w:t>
      </w:r>
      <w:r>
        <w:rPr>
          <w:color w:val="231F20"/>
          <w:spacing w:val="-3"/>
        </w:rPr>
        <w:t xml:space="preserve"> </w:t>
      </w:r>
      <w:r>
        <w:rPr>
          <w:color w:val="231F20"/>
        </w:rPr>
        <w:t>условима</w:t>
      </w:r>
      <w:r>
        <w:rPr>
          <w:color w:val="231F20"/>
          <w:spacing w:val="-3"/>
        </w:rPr>
        <w:t xml:space="preserve"> </w:t>
      </w:r>
      <w:r>
        <w:rPr>
          <w:color w:val="231F20"/>
        </w:rPr>
        <w:t>живота</w:t>
      </w:r>
      <w:r>
        <w:rPr>
          <w:color w:val="231F20"/>
          <w:spacing w:val="-3"/>
        </w:rPr>
        <w:t xml:space="preserve"> </w:t>
      </w:r>
      <w:r>
        <w:rPr>
          <w:color w:val="231F20"/>
        </w:rPr>
        <w:t>и</w:t>
      </w:r>
      <w:r>
        <w:rPr>
          <w:color w:val="231F20"/>
          <w:spacing w:val="-4"/>
        </w:rPr>
        <w:t xml:space="preserve"> </w:t>
      </w:r>
      <w:r>
        <w:rPr>
          <w:color w:val="231F20"/>
        </w:rPr>
        <w:t>рада.</w:t>
      </w:r>
    </w:p>
    <w:p w:rsidR="00041039" w:rsidRDefault="001B26CB">
      <w:pPr>
        <w:pStyle w:val="BodyText"/>
        <w:spacing w:line="158" w:lineRule="exact"/>
        <w:ind w:left="1460"/>
      </w:pPr>
      <w:r>
        <w:rPr>
          <w:color w:val="231F20"/>
        </w:rPr>
        <w:t>Посебни циљеви предмета: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Подстицање раста и развоја и утицање на правилно држање тела (превенција постуралних</w:t>
      </w:r>
      <w:r>
        <w:rPr>
          <w:color w:val="231F20"/>
          <w:spacing w:val="-9"/>
          <w:sz w:val="14"/>
        </w:rPr>
        <w:t xml:space="preserve"> </w:t>
      </w:r>
      <w:r>
        <w:rPr>
          <w:color w:val="231F20"/>
          <w:sz w:val="14"/>
        </w:rPr>
        <w:t>поремећаја);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Развој и усавршавање моторичких способности и теоријских знања неопходних за самостални рад на</w:t>
      </w:r>
      <w:r>
        <w:rPr>
          <w:color w:val="231F20"/>
          <w:spacing w:val="-11"/>
          <w:sz w:val="14"/>
        </w:rPr>
        <w:t xml:space="preserve"> </w:t>
      </w:r>
      <w:r>
        <w:rPr>
          <w:color w:val="231F20"/>
          <w:sz w:val="14"/>
        </w:rPr>
        <w:t>њима;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Стицање моторичких умења (вештина) и теоријских знања неопходних за њихово</w:t>
      </w:r>
      <w:r>
        <w:rPr>
          <w:color w:val="231F20"/>
          <w:spacing w:val="-8"/>
          <w:sz w:val="14"/>
        </w:rPr>
        <w:t xml:space="preserve"> </w:t>
      </w:r>
      <w:r>
        <w:rPr>
          <w:color w:val="231F20"/>
          <w:sz w:val="14"/>
        </w:rPr>
        <w:t>усвајање;</w:t>
      </w:r>
    </w:p>
    <w:p w:rsidR="00041039" w:rsidRDefault="001B26CB">
      <w:pPr>
        <w:pStyle w:val="ListParagraph"/>
        <w:numPr>
          <w:ilvl w:val="1"/>
          <w:numId w:val="0"/>
        </w:numPr>
        <w:tabs>
          <w:tab w:val="left" w:pos="1566"/>
        </w:tabs>
        <w:spacing w:line="240" w:lineRule="auto"/>
        <w:ind w:left="1565" w:right="318" w:hanging="105"/>
        <w:rPr>
          <w:sz w:val="14"/>
        </w:rPr>
      </w:pPr>
      <w:r>
        <w:rPr>
          <w:color w:val="231F20"/>
          <w:sz w:val="14"/>
        </w:rPr>
        <w:t>Проширење</w:t>
      </w:r>
      <w:r>
        <w:rPr>
          <w:color w:val="231F20"/>
          <w:spacing w:val="-5"/>
          <w:sz w:val="14"/>
        </w:rPr>
        <w:t xml:space="preserve"> </w:t>
      </w:r>
      <w:r>
        <w:rPr>
          <w:color w:val="231F20"/>
          <w:sz w:val="14"/>
        </w:rPr>
        <w:t>и</w:t>
      </w:r>
      <w:r>
        <w:rPr>
          <w:color w:val="231F20"/>
          <w:spacing w:val="-5"/>
          <w:sz w:val="14"/>
        </w:rPr>
        <w:t xml:space="preserve"> </w:t>
      </w:r>
      <w:r>
        <w:rPr>
          <w:color w:val="231F20"/>
          <w:sz w:val="14"/>
        </w:rPr>
        <w:t>продубљивање</w:t>
      </w:r>
      <w:r>
        <w:rPr>
          <w:color w:val="231F20"/>
          <w:spacing w:val="-4"/>
          <w:sz w:val="14"/>
        </w:rPr>
        <w:t xml:space="preserve"> </w:t>
      </w:r>
      <w:r>
        <w:rPr>
          <w:color w:val="231F20"/>
          <w:sz w:val="14"/>
        </w:rPr>
        <w:t>интересовања</w:t>
      </w:r>
      <w:r>
        <w:rPr>
          <w:color w:val="231F20"/>
          <w:spacing w:val="-4"/>
          <w:sz w:val="14"/>
        </w:rPr>
        <w:t xml:space="preserve"> </w:t>
      </w:r>
      <w:r>
        <w:rPr>
          <w:color w:val="231F20"/>
          <w:sz w:val="14"/>
        </w:rPr>
        <w:t>које</w:t>
      </w:r>
      <w:r>
        <w:rPr>
          <w:color w:val="231F20"/>
          <w:spacing w:val="-4"/>
          <w:sz w:val="14"/>
        </w:rPr>
        <w:t xml:space="preserve"> </w:t>
      </w:r>
      <w:r>
        <w:rPr>
          <w:color w:val="231F20"/>
          <w:sz w:val="14"/>
        </w:rPr>
        <w:t>су</w:t>
      </w:r>
      <w:r>
        <w:rPr>
          <w:color w:val="231F20"/>
          <w:spacing w:val="-4"/>
          <w:sz w:val="14"/>
        </w:rPr>
        <w:t xml:space="preserve"> </w:t>
      </w:r>
      <w:r>
        <w:rPr>
          <w:color w:val="231F20"/>
          <w:sz w:val="14"/>
        </w:rPr>
        <w:t>ученици</w:t>
      </w:r>
      <w:r>
        <w:rPr>
          <w:color w:val="231F20"/>
          <w:spacing w:val="-4"/>
          <w:sz w:val="14"/>
        </w:rPr>
        <w:t xml:space="preserve"> </w:t>
      </w:r>
      <w:r>
        <w:rPr>
          <w:color w:val="231F20"/>
          <w:sz w:val="14"/>
        </w:rPr>
        <w:t>сте</w:t>
      </w:r>
      <w:r>
        <w:rPr>
          <w:color w:val="231F20"/>
          <w:sz w:val="14"/>
        </w:rPr>
        <w:t>кли</w:t>
      </w:r>
      <w:r>
        <w:rPr>
          <w:color w:val="231F20"/>
          <w:spacing w:val="-4"/>
          <w:sz w:val="14"/>
        </w:rPr>
        <w:t xml:space="preserve"> </w:t>
      </w:r>
      <w:r>
        <w:rPr>
          <w:color w:val="231F20"/>
          <w:sz w:val="14"/>
        </w:rPr>
        <w:t>у</w:t>
      </w:r>
      <w:r>
        <w:rPr>
          <w:color w:val="231F20"/>
          <w:spacing w:val="-4"/>
          <w:sz w:val="14"/>
        </w:rPr>
        <w:t xml:space="preserve"> </w:t>
      </w:r>
      <w:r>
        <w:rPr>
          <w:color w:val="231F20"/>
          <w:sz w:val="14"/>
        </w:rPr>
        <w:t>основној</w:t>
      </w:r>
      <w:r>
        <w:rPr>
          <w:color w:val="231F20"/>
          <w:spacing w:val="-4"/>
          <w:sz w:val="14"/>
        </w:rPr>
        <w:t xml:space="preserve"> </w:t>
      </w:r>
      <w:r>
        <w:rPr>
          <w:color w:val="231F20"/>
          <w:spacing w:val="-3"/>
          <w:sz w:val="14"/>
        </w:rPr>
        <w:t>школи</w:t>
      </w:r>
      <w:r>
        <w:rPr>
          <w:color w:val="231F20"/>
          <w:spacing w:val="-5"/>
          <w:sz w:val="14"/>
        </w:rPr>
        <w:t xml:space="preserve"> </w:t>
      </w:r>
      <w:r>
        <w:rPr>
          <w:color w:val="231F20"/>
          <w:sz w:val="14"/>
        </w:rPr>
        <w:t>и</w:t>
      </w:r>
      <w:r>
        <w:rPr>
          <w:color w:val="231F20"/>
          <w:spacing w:val="-5"/>
          <w:sz w:val="14"/>
        </w:rPr>
        <w:t xml:space="preserve"> </w:t>
      </w:r>
      <w:r>
        <w:rPr>
          <w:color w:val="231F20"/>
          <w:sz w:val="14"/>
        </w:rPr>
        <w:t>потпуније</w:t>
      </w:r>
      <w:r>
        <w:rPr>
          <w:color w:val="231F20"/>
          <w:spacing w:val="-4"/>
          <w:sz w:val="14"/>
        </w:rPr>
        <w:t xml:space="preserve"> </w:t>
      </w:r>
      <w:r>
        <w:rPr>
          <w:color w:val="231F20"/>
          <w:sz w:val="14"/>
        </w:rPr>
        <w:t>сагледавање</w:t>
      </w:r>
      <w:r>
        <w:rPr>
          <w:color w:val="231F20"/>
          <w:spacing w:val="-4"/>
          <w:sz w:val="14"/>
        </w:rPr>
        <w:t xml:space="preserve"> </w:t>
      </w:r>
      <w:r>
        <w:rPr>
          <w:color w:val="231F20"/>
          <w:sz w:val="14"/>
        </w:rPr>
        <w:t>спортске</w:t>
      </w:r>
      <w:r>
        <w:rPr>
          <w:color w:val="231F20"/>
          <w:spacing w:val="-4"/>
          <w:sz w:val="14"/>
        </w:rPr>
        <w:t xml:space="preserve"> </w:t>
      </w:r>
      <w:r>
        <w:rPr>
          <w:color w:val="231F20"/>
          <w:sz w:val="14"/>
        </w:rPr>
        <w:t>гране,</w:t>
      </w:r>
      <w:r>
        <w:rPr>
          <w:color w:val="231F20"/>
          <w:spacing w:val="-5"/>
          <w:sz w:val="14"/>
        </w:rPr>
        <w:t xml:space="preserve"> </w:t>
      </w:r>
      <w:r>
        <w:rPr>
          <w:color w:val="231F20"/>
          <w:sz w:val="14"/>
        </w:rPr>
        <w:t>за</w:t>
      </w:r>
      <w:r>
        <w:rPr>
          <w:color w:val="231F20"/>
          <w:spacing w:val="-5"/>
          <w:sz w:val="14"/>
        </w:rPr>
        <w:t xml:space="preserve"> </w:t>
      </w:r>
      <w:r>
        <w:rPr>
          <w:color w:val="231F20"/>
          <w:sz w:val="14"/>
        </w:rPr>
        <w:t>коју</w:t>
      </w:r>
      <w:r>
        <w:rPr>
          <w:color w:val="231F20"/>
          <w:spacing w:val="-4"/>
          <w:sz w:val="14"/>
        </w:rPr>
        <w:t xml:space="preserve"> </w:t>
      </w:r>
      <w:r>
        <w:rPr>
          <w:color w:val="231F20"/>
          <w:sz w:val="14"/>
        </w:rPr>
        <w:t>показују</w:t>
      </w:r>
      <w:r>
        <w:rPr>
          <w:color w:val="231F20"/>
          <w:spacing w:val="-4"/>
          <w:sz w:val="14"/>
        </w:rPr>
        <w:t xml:space="preserve"> </w:t>
      </w:r>
      <w:r>
        <w:rPr>
          <w:color w:val="231F20"/>
          <w:sz w:val="14"/>
        </w:rPr>
        <w:t>посе­ бан</w:t>
      </w:r>
      <w:r>
        <w:rPr>
          <w:color w:val="231F20"/>
          <w:spacing w:val="-1"/>
          <w:sz w:val="14"/>
        </w:rPr>
        <w:t xml:space="preserve"> </w:t>
      </w:r>
      <w:r>
        <w:rPr>
          <w:color w:val="231F20"/>
          <w:sz w:val="14"/>
        </w:rPr>
        <w:t>интерес;</w:t>
      </w:r>
    </w:p>
    <w:p w:rsidR="00041039" w:rsidRDefault="001B26CB">
      <w:pPr>
        <w:pStyle w:val="ListParagraph"/>
        <w:numPr>
          <w:ilvl w:val="1"/>
          <w:numId w:val="0"/>
        </w:numPr>
        <w:tabs>
          <w:tab w:val="left" w:pos="1566"/>
        </w:tabs>
        <w:spacing w:line="159" w:lineRule="exact"/>
        <w:ind w:left="1565" w:hanging="105"/>
        <w:rPr>
          <w:sz w:val="14"/>
        </w:rPr>
      </w:pPr>
      <w:r>
        <w:rPr>
          <w:color w:val="231F20"/>
          <w:spacing w:val="-3"/>
          <w:sz w:val="14"/>
        </w:rPr>
        <w:t>Усвајање</w:t>
      </w:r>
      <w:r>
        <w:rPr>
          <w:color w:val="231F20"/>
          <w:spacing w:val="-2"/>
          <w:sz w:val="14"/>
        </w:rPr>
        <w:t xml:space="preserve"> </w:t>
      </w:r>
      <w:r>
        <w:rPr>
          <w:color w:val="231F20"/>
          <w:sz w:val="14"/>
        </w:rPr>
        <w:t>знања</w:t>
      </w:r>
      <w:r>
        <w:rPr>
          <w:color w:val="231F20"/>
          <w:spacing w:val="-3"/>
          <w:sz w:val="14"/>
        </w:rPr>
        <w:t xml:space="preserve"> </w:t>
      </w:r>
      <w:r>
        <w:rPr>
          <w:color w:val="231F20"/>
          <w:sz w:val="14"/>
        </w:rPr>
        <w:t>ради</w:t>
      </w:r>
      <w:r>
        <w:rPr>
          <w:color w:val="231F20"/>
          <w:spacing w:val="-2"/>
          <w:sz w:val="14"/>
        </w:rPr>
        <w:t xml:space="preserve"> </w:t>
      </w:r>
      <w:r>
        <w:rPr>
          <w:color w:val="231F20"/>
          <w:sz w:val="14"/>
        </w:rPr>
        <w:t>разумевања</w:t>
      </w:r>
      <w:r>
        <w:rPr>
          <w:color w:val="231F20"/>
          <w:spacing w:val="-2"/>
          <w:sz w:val="14"/>
        </w:rPr>
        <w:t xml:space="preserve"> </w:t>
      </w:r>
      <w:r>
        <w:rPr>
          <w:color w:val="231F20"/>
          <w:sz w:val="14"/>
        </w:rPr>
        <w:t>значаја</w:t>
      </w:r>
      <w:r>
        <w:rPr>
          <w:color w:val="231F20"/>
          <w:spacing w:val="-2"/>
          <w:sz w:val="14"/>
        </w:rPr>
        <w:t xml:space="preserve"> </w:t>
      </w:r>
      <w:r>
        <w:rPr>
          <w:color w:val="231F20"/>
          <w:sz w:val="14"/>
        </w:rPr>
        <w:t>и</w:t>
      </w:r>
      <w:r>
        <w:rPr>
          <w:color w:val="231F20"/>
          <w:spacing w:val="-3"/>
          <w:sz w:val="14"/>
        </w:rPr>
        <w:t xml:space="preserve"> </w:t>
      </w:r>
      <w:r>
        <w:rPr>
          <w:color w:val="231F20"/>
          <w:sz w:val="14"/>
        </w:rPr>
        <w:t>суштине</w:t>
      </w:r>
      <w:r>
        <w:rPr>
          <w:color w:val="231F20"/>
          <w:spacing w:val="-2"/>
          <w:sz w:val="14"/>
        </w:rPr>
        <w:t xml:space="preserve"> </w:t>
      </w:r>
      <w:r>
        <w:rPr>
          <w:color w:val="231F20"/>
          <w:sz w:val="14"/>
        </w:rPr>
        <w:t>физичког</w:t>
      </w:r>
      <w:r>
        <w:rPr>
          <w:color w:val="231F20"/>
          <w:spacing w:val="-2"/>
          <w:sz w:val="14"/>
        </w:rPr>
        <w:t xml:space="preserve"> </w:t>
      </w:r>
      <w:r>
        <w:rPr>
          <w:color w:val="231F20"/>
          <w:sz w:val="14"/>
        </w:rPr>
        <w:t>васпитања</w:t>
      </w:r>
      <w:r>
        <w:rPr>
          <w:color w:val="231F20"/>
          <w:spacing w:val="-2"/>
          <w:sz w:val="14"/>
        </w:rPr>
        <w:t xml:space="preserve"> </w:t>
      </w:r>
      <w:r>
        <w:rPr>
          <w:color w:val="231F20"/>
          <w:sz w:val="14"/>
        </w:rPr>
        <w:t>дефинисаних</w:t>
      </w:r>
      <w:r>
        <w:rPr>
          <w:color w:val="231F20"/>
          <w:spacing w:val="-2"/>
          <w:sz w:val="14"/>
        </w:rPr>
        <w:t xml:space="preserve"> </w:t>
      </w:r>
      <w:r>
        <w:rPr>
          <w:color w:val="231F20"/>
          <w:sz w:val="14"/>
        </w:rPr>
        <w:t>општим</w:t>
      </w:r>
      <w:r>
        <w:rPr>
          <w:color w:val="231F20"/>
          <w:spacing w:val="-2"/>
          <w:sz w:val="14"/>
        </w:rPr>
        <w:t xml:space="preserve"> </w:t>
      </w:r>
      <w:r>
        <w:rPr>
          <w:color w:val="231F20"/>
          <w:sz w:val="14"/>
        </w:rPr>
        <w:t>циљем</w:t>
      </w:r>
      <w:r>
        <w:rPr>
          <w:color w:val="231F20"/>
          <w:spacing w:val="-3"/>
          <w:sz w:val="14"/>
        </w:rPr>
        <w:t xml:space="preserve"> </w:t>
      </w:r>
      <w:r>
        <w:rPr>
          <w:color w:val="231F20"/>
          <w:sz w:val="14"/>
        </w:rPr>
        <w:t>овог</w:t>
      </w:r>
      <w:r>
        <w:rPr>
          <w:color w:val="231F20"/>
          <w:spacing w:val="-2"/>
          <w:sz w:val="14"/>
        </w:rPr>
        <w:t xml:space="preserve"> </w:t>
      </w:r>
      <w:r>
        <w:rPr>
          <w:color w:val="231F20"/>
          <w:sz w:val="14"/>
        </w:rPr>
        <w:t>предмета</w:t>
      </w:r>
      <w:r>
        <w:rPr>
          <w:color w:val="231F20"/>
          <w:spacing w:val="-2"/>
          <w:sz w:val="14"/>
        </w:rPr>
        <w:t xml:space="preserve"> </w:t>
      </w:r>
      <w:r>
        <w:rPr>
          <w:color w:val="231F20"/>
          <w:sz w:val="14"/>
        </w:rPr>
        <w:t>(васпитно­образовног</w:t>
      </w:r>
      <w:r>
        <w:rPr>
          <w:color w:val="231F20"/>
          <w:spacing w:val="-2"/>
          <w:sz w:val="14"/>
        </w:rPr>
        <w:t xml:space="preserve"> </w:t>
      </w:r>
      <w:r>
        <w:rPr>
          <w:color w:val="231F20"/>
          <w:sz w:val="14"/>
        </w:rPr>
        <w:t>подручја);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Мотивација ученика за бављење физичким активностима и формирање позитивних психо­социјалних образаца</w:t>
      </w:r>
      <w:r>
        <w:rPr>
          <w:color w:val="231F20"/>
          <w:spacing w:val="-12"/>
          <w:sz w:val="14"/>
        </w:rPr>
        <w:t xml:space="preserve"> </w:t>
      </w:r>
      <w:r>
        <w:rPr>
          <w:color w:val="231F20"/>
          <w:sz w:val="14"/>
        </w:rPr>
        <w:t>понашања;</w:t>
      </w:r>
    </w:p>
    <w:p w:rsidR="00041039" w:rsidRDefault="001B26CB">
      <w:pPr>
        <w:pStyle w:val="ListParagraph"/>
        <w:numPr>
          <w:ilvl w:val="1"/>
          <w:numId w:val="0"/>
        </w:numPr>
        <w:tabs>
          <w:tab w:val="left" w:pos="1566"/>
        </w:tabs>
        <w:spacing w:line="161" w:lineRule="exact"/>
        <w:ind w:left="1565" w:hanging="105"/>
        <w:rPr>
          <w:sz w:val="14"/>
        </w:rPr>
      </w:pPr>
      <w:r>
        <w:rPr>
          <w:color w:val="231F20"/>
          <w:sz w:val="14"/>
        </w:rPr>
        <w:t>Оспособљавање ученика да стечена умења, знања и навике користе у свакодневним условима живота и</w:t>
      </w:r>
      <w:r>
        <w:rPr>
          <w:color w:val="231F20"/>
          <w:spacing w:val="-11"/>
          <w:sz w:val="14"/>
        </w:rPr>
        <w:t xml:space="preserve"> </w:t>
      </w:r>
      <w:r>
        <w:rPr>
          <w:color w:val="231F20"/>
          <w:sz w:val="14"/>
        </w:rPr>
        <w:t>рада.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80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tabs>
                <w:tab w:val="left" w:pos="157"/>
              </w:tabs>
              <w:spacing w:before="8"/>
              <w:ind w:right="159" w:hanging="100"/>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tabs>
                <w:tab w:val="left" w:pos="157"/>
              </w:tabs>
              <w:spacing w:line="160" w:lineRule="exact"/>
              <w:ind w:right="336" w:hanging="100"/>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tabs>
                <w:tab w:val="left" w:pos="157"/>
              </w:tabs>
              <w:spacing w:line="160" w:lineRule="exact"/>
              <w:ind w:right="63" w:hanging="99"/>
              <w:jc w:val="both"/>
              <w:rPr>
                <w:sz w:val="14"/>
              </w:rPr>
            </w:pPr>
            <w:r>
              <w:rPr>
                <w:color w:val="231F20"/>
                <w:sz w:val="14"/>
              </w:rPr>
              <w:t>објасни карактеристике положаја</w:t>
            </w:r>
            <w:r>
              <w:rPr>
                <w:color w:val="231F20"/>
                <w:spacing w:val="-19"/>
                <w:sz w:val="14"/>
              </w:rPr>
              <w:t xml:space="preserve"> </w:t>
            </w:r>
            <w:r>
              <w:rPr>
                <w:color w:val="231F20"/>
                <w:sz w:val="14"/>
              </w:rPr>
              <w:t>тела, покрета и кретања у професији за коју се</w:t>
            </w:r>
            <w:r>
              <w:rPr>
                <w:color w:val="231F20"/>
                <w:spacing w:val="-5"/>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5"/>
                <w:sz w:val="14"/>
              </w:rPr>
              <w:t xml:space="preserve"> </w:t>
            </w:r>
            <w:r>
              <w:rPr>
                <w:color w:val="231F20"/>
                <w:sz w:val="14"/>
              </w:rPr>
              <w:t>оне,</w:t>
            </w:r>
            <w:r>
              <w:rPr>
                <w:color w:val="231F20"/>
                <w:spacing w:val="-5"/>
                <w:sz w:val="14"/>
              </w:rPr>
              <w:t xml:space="preserve"> </w:t>
            </w:r>
            <w:r>
              <w:rPr>
                <w:color w:val="231F20"/>
                <w:sz w:val="14"/>
              </w:rPr>
              <w:t>које</w:t>
            </w:r>
            <w:r>
              <w:rPr>
                <w:color w:val="231F20"/>
                <w:spacing w:val="-5"/>
                <w:sz w:val="14"/>
              </w:rPr>
              <w:t xml:space="preserve"> </w:t>
            </w:r>
            <w:r>
              <w:rPr>
                <w:color w:val="231F20"/>
                <w:sz w:val="14"/>
              </w:rPr>
              <w:t>могу</w:t>
            </w:r>
            <w:r>
              <w:rPr>
                <w:color w:val="231F20"/>
                <w:spacing w:val="-5"/>
                <w:sz w:val="14"/>
              </w:rPr>
              <w:t xml:space="preserve"> </w:t>
            </w:r>
            <w:r>
              <w:rPr>
                <w:color w:val="231F20"/>
                <w:sz w:val="14"/>
              </w:rPr>
              <w:t xml:space="preserve">имати негативан утицај на његов </w:t>
            </w:r>
            <w:r>
              <w:rPr>
                <w:color w:val="231F20"/>
                <w:spacing w:val="-3"/>
                <w:sz w:val="14"/>
              </w:rPr>
              <w:t>раст,</w:t>
            </w:r>
            <w:r>
              <w:rPr>
                <w:color w:val="231F20"/>
                <w:spacing w:val="-14"/>
                <w:sz w:val="14"/>
              </w:rPr>
              <w:t xml:space="preserve"> </w:t>
            </w:r>
            <w:r>
              <w:rPr>
                <w:color w:val="231F20"/>
                <w:sz w:val="14"/>
              </w:rPr>
              <w:t>развој;</w:t>
            </w:r>
          </w:p>
          <w:p w:rsidR="00041039" w:rsidRDefault="001B26CB">
            <w:pPr>
              <w:pStyle w:val="TableParagraph"/>
              <w:tabs>
                <w:tab w:val="left" w:pos="157"/>
              </w:tabs>
              <w:spacing w:line="160" w:lineRule="exact"/>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tabs>
                <w:tab w:val="left" w:pos="158"/>
              </w:tabs>
              <w:spacing w:line="156" w:lineRule="exact"/>
              <w:ind w:left="157"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w:t>
            </w:r>
            <w:r>
              <w:rPr>
                <w:color w:val="231F20"/>
                <w:sz w:val="14"/>
              </w:rPr>
              <w:t>ијео томе које вежбе позитивно утичу на статус њиховог органи­ зма, с обзиром на карактеристике њихове професије, а које негатив­ но утичу на здравље.</w:t>
            </w:r>
          </w:p>
          <w:p w:rsidR="00041039" w:rsidRDefault="001B26CB">
            <w:pPr>
              <w:pStyle w:val="TableParagraph"/>
              <w:tabs>
                <w:tab w:val="left" w:pos="158"/>
              </w:tabs>
              <w:spacing w:line="155" w:lineRule="exact"/>
              <w:ind w:left="157" w:hanging="99"/>
              <w:rPr>
                <w:sz w:val="14"/>
              </w:rPr>
            </w:pPr>
            <w:r>
              <w:rPr>
                <w:color w:val="231F20"/>
                <w:sz w:val="14"/>
              </w:rPr>
              <w:t>Ученици који похађају</w:t>
            </w:r>
            <w:r>
              <w:rPr>
                <w:color w:val="231F20"/>
                <w:spacing w:val="-4"/>
                <w:sz w:val="14"/>
              </w:rPr>
              <w:t xml:space="preserve"> </w:t>
            </w:r>
            <w:r>
              <w:rPr>
                <w:color w:val="231F20"/>
                <w:sz w:val="14"/>
              </w:rPr>
              <w:t>чет­</w:t>
            </w:r>
          </w:p>
          <w:p w:rsidR="00041039" w:rsidRDefault="001B26CB">
            <w:pPr>
              <w:pStyle w:val="TableParagraph"/>
              <w:ind w:left="157" w:right="230"/>
              <w:rPr>
                <w:sz w:val="14"/>
              </w:rPr>
            </w:pPr>
            <w:r>
              <w:rPr>
                <w:color w:val="231F20"/>
                <w:sz w:val="14"/>
              </w:rPr>
              <w:t>ворогодишње стручне школе далеко су више оптерећени у редовном образовању прак­ тичном и теоријском наставом од осталих ученика. Због тога је физичко васпитање, у овим школама, значајно за активан</w:t>
            </w:r>
          </w:p>
          <w:p w:rsidR="00041039" w:rsidRDefault="001B26CB">
            <w:pPr>
              <w:pStyle w:val="TableParagraph"/>
              <w:spacing w:line="237" w:lineRule="auto"/>
              <w:ind w:left="157" w:right="18"/>
              <w:rPr>
                <w:sz w:val="14"/>
              </w:rPr>
            </w:pPr>
            <w:r>
              <w:rPr>
                <w:color w:val="231F20"/>
                <w:sz w:val="14"/>
              </w:rPr>
              <w:t>опоравак ученика, компензацију и релаксацију с обзиром на њ</w:t>
            </w:r>
            <w:r>
              <w:rPr>
                <w:color w:val="231F20"/>
                <w:sz w:val="14"/>
              </w:rPr>
              <w:t>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tabs>
                <w:tab w:val="left" w:pos="158"/>
              </w:tabs>
              <w:spacing w:line="154" w:lineRule="exact"/>
              <w:ind w:left="157"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tabs>
                <w:tab w:val="left" w:pos="158"/>
              </w:tabs>
              <w:spacing w:line="160" w:lineRule="exact"/>
              <w:ind w:left="157"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tabs>
                <w:tab w:val="left" w:pos="158"/>
              </w:tabs>
              <w:spacing w:line="165" w:lineRule="exact"/>
              <w:ind w:left="157"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tc>
      </w:tr>
      <w:tr w:rsidR="00041039">
        <w:trPr>
          <w:trHeight w:val="3510"/>
        </w:trPr>
        <w:tc>
          <w:tcPr>
            <w:tcW w:w="1304" w:type="dxa"/>
          </w:tcPr>
          <w:p w:rsidR="00041039" w:rsidRDefault="001B26CB">
            <w:pPr>
              <w:pStyle w:val="TableParagraph"/>
              <w:spacing w:before="19"/>
              <w:ind w:left="56" w:right="99"/>
              <w:rPr>
                <w:sz w:val="14"/>
              </w:rPr>
            </w:pPr>
            <w:r>
              <w:rPr>
                <w:color w:val="231F20"/>
                <w:sz w:val="14"/>
              </w:rPr>
              <w:t>Развој моторичких и функционал­ них способности човека, као основа за реализовање по­ стављених циљева и</w:t>
            </w:r>
            <w:r>
              <w:rPr>
                <w:color w:val="231F20"/>
                <w:spacing w:val="-1"/>
                <w:sz w:val="14"/>
              </w:rPr>
              <w:t xml:space="preserve"> </w:t>
            </w:r>
            <w:r>
              <w:rPr>
                <w:color w:val="231F20"/>
                <w:spacing w:val="-3"/>
                <w:sz w:val="14"/>
              </w:rPr>
              <w:t>исхода</w:t>
            </w:r>
          </w:p>
        </w:tc>
        <w:tc>
          <w:tcPr>
            <w:tcW w:w="1587" w:type="dxa"/>
          </w:tcPr>
          <w:p w:rsidR="00041039" w:rsidRDefault="001B26CB">
            <w:pPr>
              <w:pStyle w:val="TableParagraph"/>
              <w:tabs>
                <w:tab w:val="left" w:pos="157"/>
              </w:tabs>
              <w:spacing w:before="9"/>
              <w:ind w:right="112" w:hanging="100"/>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tcPr>
          <w:p w:rsidR="00041039" w:rsidRDefault="001B26CB">
            <w:pPr>
              <w:pStyle w:val="TableParagraph"/>
              <w:tabs>
                <w:tab w:val="left" w:pos="157"/>
              </w:tabs>
              <w:spacing w:before="9"/>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w:t>
            </w:r>
            <w:r>
              <w:rPr>
                <w:color w:val="231F20"/>
                <w:sz w:val="14"/>
              </w:rPr>
              <w:t>шавање мото­ ричких способности из: вежби облико­ вања, атлетике, гимнастике, пливања</w:t>
            </w:r>
          </w:p>
          <w:p w:rsidR="00041039" w:rsidRDefault="001B26CB">
            <w:pPr>
              <w:pStyle w:val="TableParagraph"/>
              <w:spacing w:line="237"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tcPr>
          <w:p w:rsidR="00041039" w:rsidRDefault="001B26CB">
            <w:pPr>
              <w:pStyle w:val="TableParagraph"/>
              <w:tabs>
                <w:tab w:val="left" w:pos="157"/>
              </w:tabs>
              <w:spacing w:before="9"/>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tabs>
                <w:tab w:val="left" w:pos="157"/>
              </w:tabs>
              <w:spacing w:before="1" w:line="160" w:lineRule="exact"/>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tabs>
                <w:tab w:val="left" w:pos="157"/>
              </w:tabs>
              <w:spacing w:line="153" w:lineRule="exact"/>
              <w:ind w:hanging="99"/>
              <w:rPr>
                <w:sz w:val="14"/>
              </w:rPr>
            </w:pPr>
            <w:r>
              <w:rPr>
                <w:color w:val="231F20"/>
                <w:sz w:val="14"/>
              </w:rPr>
              <w:t>Аеробик.</w:t>
            </w:r>
          </w:p>
          <w:p w:rsidR="00041039" w:rsidRDefault="001B26CB">
            <w:pPr>
              <w:pStyle w:val="TableParagraph"/>
              <w:tabs>
                <w:tab w:val="left" w:pos="157"/>
              </w:tabs>
              <w:spacing w:line="166"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160"/>
        </w:trPr>
        <w:tc>
          <w:tcPr>
            <w:tcW w:w="1304" w:type="dxa"/>
          </w:tcPr>
          <w:p w:rsidR="00041039" w:rsidRDefault="001B26CB">
            <w:pPr>
              <w:pStyle w:val="TableParagraph"/>
              <w:spacing w:before="18"/>
              <w:ind w:left="56" w:right="77"/>
              <w:rPr>
                <w:sz w:val="14"/>
              </w:rPr>
            </w:pPr>
            <w:r>
              <w:rPr>
                <w:color w:val="231F20"/>
                <w:sz w:val="14"/>
              </w:rPr>
              <w:lastRenderedPageBreak/>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spacing w:before="1"/>
              <w:ind w:left="56"/>
              <w:rPr>
                <w:sz w:val="14"/>
              </w:rPr>
            </w:pPr>
            <w:r>
              <w:rPr>
                <w:color w:val="231F20"/>
                <w:sz w:val="14"/>
              </w:rPr>
              <w:t>Атлетика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35"/>
              <w:ind w:left="56" w:right="154"/>
              <w:rPr>
                <w:sz w:val="14"/>
              </w:rPr>
            </w:pPr>
            <w:r>
              <w:rPr>
                <w:color w:val="231F20"/>
                <w:sz w:val="14"/>
              </w:rPr>
              <w:t>Спортска гимнас­ тика:</w:t>
            </w:r>
          </w:p>
          <w:p w:rsidR="00041039" w:rsidRDefault="001B26CB">
            <w:pPr>
              <w:pStyle w:val="TableParagraph"/>
              <w:ind w:left="56"/>
              <w:rPr>
                <w:sz w:val="14"/>
              </w:rPr>
            </w:pPr>
            <w:r>
              <w:rPr>
                <w:color w:val="231F20"/>
                <w:sz w:val="14"/>
              </w:rPr>
              <w:t>(Вежбе на справама и тлу)</w:t>
            </w:r>
          </w:p>
        </w:tc>
        <w:tc>
          <w:tcPr>
            <w:tcW w:w="1587" w:type="dxa"/>
          </w:tcPr>
          <w:p w:rsidR="00041039" w:rsidRDefault="001B26CB">
            <w:pPr>
              <w:pStyle w:val="TableParagraph"/>
              <w:tabs>
                <w:tab w:val="left" w:pos="157"/>
              </w:tabs>
              <w:spacing w:before="8"/>
              <w:ind w:right="81" w:hanging="100"/>
              <w:rPr>
                <w:sz w:val="14"/>
              </w:rPr>
            </w:pPr>
            <w:r>
              <w:rPr>
                <w:color w:val="231F20"/>
                <w:sz w:val="14"/>
              </w:rPr>
              <w:t>Стицање моторичких умења (вештина) и теоријских знања неопходних за</w:t>
            </w:r>
            <w:r>
              <w:rPr>
                <w:color w:val="231F20"/>
                <w:spacing w:val="-22"/>
                <w:sz w:val="14"/>
              </w:rPr>
              <w:t xml:space="preserve"> </w:t>
            </w:r>
            <w:r>
              <w:rPr>
                <w:color w:val="231F20"/>
                <w:sz w:val="14"/>
              </w:rPr>
              <w:t>њихово усвајање.</w:t>
            </w:r>
          </w:p>
          <w:p w:rsidR="00041039" w:rsidRDefault="001B26CB">
            <w:pPr>
              <w:pStyle w:val="TableParagraph"/>
              <w:tabs>
                <w:tab w:val="left" w:pos="157"/>
              </w:tabs>
              <w:spacing w:line="155" w:lineRule="exact"/>
              <w:ind w:hanging="100"/>
              <w:rPr>
                <w:sz w:val="14"/>
              </w:rPr>
            </w:pPr>
            <w:r>
              <w:rPr>
                <w:color w:val="231F20"/>
                <w:sz w:val="14"/>
              </w:rPr>
              <w:t>Мотивација ученика</w:t>
            </w:r>
            <w:r>
              <w:rPr>
                <w:color w:val="231F20"/>
                <w:spacing w:val="-8"/>
                <w:sz w:val="14"/>
              </w:rPr>
              <w:t xml:space="preserve"> </w:t>
            </w:r>
            <w:r>
              <w:rPr>
                <w:color w:val="231F20"/>
                <w:sz w:val="14"/>
              </w:rPr>
              <w:t>за</w:t>
            </w:r>
          </w:p>
          <w:p w:rsidR="00041039" w:rsidRDefault="001B26CB">
            <w:pPr>
              <w:pStyle w:val="TableParagraph"/>
              <w:ind w:right="152"/>
              <w:rPr>
                <w:sz w:val="14"/>
              </w:rPr>
            </w:pPr>
            <w:r>
              <w:rPr>
                <w:color w:val="231F20"/>
                <w:sz w:val="14"/>
              </w:rPr>
              <w:t>бављењем физичким активностима.</w:t>
            </w:r>
          </w:p>
          <w:p w:rsidR="00041039" w:rsidRDefault="001B26CB">
            <w:pPr>
              <w:pStyle w:val="TableParagraph"/>
              <w:tabs>
                <w:tab w:val="left" w:pos="157"/>
              </w:tabs>
              <w:spacing w:line="160" w:lineRule="exact"/>
              <w:ind w:right="108" w:hanging="100"/>
              <w:rPr>
                <w:sz w:val="14"/>
              </w:rPr>
            </w:pPr>
            <w:r>
              <w:rPr>
                <w:color w:val="231F20"/>
                <w:sz w:val="14"/>
              </w:rPr>
              <w:t>Формирање позитив­ них психо</w:t>
            </w:r>
            <w:r>
              <w:rPr>
                <w:color w:val="231F20"/>
                <w:spacing w:val="-13"/>
                <w:sz w:val="14"/>
              </w:rPr>
              <w:t xml:space="preserve"> </w:t>
            </w:r>
            <w:r>
              <w:rPr>
                <w:color w:val="231F20"/>
                <w:sz w:val="14"/>
              </w:rPr>
              <w:t>социјалних образаца</w:t>
            </w:r>
            <w:r>
              <w:rPr>
                <w:color w:val="231F20"/>
                <w:spacing w:val="-3"/>
                <w:sz w:val="14"/>
              </w:rPr>
              <w:t xml:space="preserve"> </w:t>
            </w:r>
            <w:r>
              <w:rPr>
                <w:color w:val="231F20"/>
                <w:sz w:val="14"/>
              </w:rPr>
              <w:t>понашања.</w:t>
            </w:r>
          </w:p>
          <w:p w:rsidR="00041039" w:rsidRDefault="001B26CB">
            <w:pPr>
              <w:pStyle w:val="TableParagraph"/>
              <w:tabs>
                <w:tab w:val="left" w:pos="157"/>
              </w:tabs>
              <w:spacing w:line="160" w:lineRule="exact"/>
              <w:ind w:right="59" w:hanging="100"/>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tabs>
                <w:tab w:val="left" w:pos="157"/>
              </w:tabs>
              <w:spacing w:line="160" w:lineRule="exact"/>
              <w:ind w:right="145" w:hanging="100"/>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 покрета и кретања.</w:t>
            </w:r>
          </w:p>
          <w:p w:rsidR="00041039" w:rsidRDefault="001B26CB">
            <w:pPr>
              <w:pStyle w:val="TableParagraph"/>
              <w:tabs>
                <w:tab w:val="left" w:pos="157"/>
              </w:tabs>
              <w:spacing w:line="160" w:lineRule="exact"/>
              <w:ind w:right="137" w:hanging="100"/>
              <w:rPr>
                <w:sz w:val="14"/>
              </w:rPr>
            </w:pPr>
            <w:r>
              <w:rPr>
                <w:color w:val="231F20"/>
                <w:spacing w:val="-3"/>
                <w:sz w:val="14"/>
              </w:rPr>
              <w:t xml:space="preserve">Усвајање </w:t>
            </w:r>
            <w:r>
              <w:rPr>
                <w:color w:val="231F20"/>
                <w:sz w:val="14"/>
              </w:rPr>
              <w:t>етичких вредностии подсти­ цањевољних особина ученика.</w:t>
            </w:r>
          </w:p>
          <w:p w:rsidR="00041039" w:rsidRDefault="001B26CB">
            <w:pPr>
              <w:pStyle w:val="TableParagraph"/>
              <w:tabs>
                <w:tab w:val="left" w:pos="157"/>
              </w:tabs>
              <w:spacing w:line="160" w:lineRule="exact"/>
              <w:ind w:right="76" w:hanging="100"/>
              <w:rPr>
                <w:sz w:val="14"/>
              </w:rPr>
            </w:pPr>
            <w:r>
              <w:rPr>
                <w:color w:val="231F20"/>
                <w:sz w:val="14"/>
              </w:rPr>
              <w:t>Повезивање моторич­ ких задатака у</w:t>
            </w:r>
            <w:r>
              <w:rPr>
                <w:color w:val="231F20"/>
                <w:spacing w:val="-14"/>
                <w:sz w:val="14"/>
              </w:rPr>
              <w:t xml:space="preserve"> </w:t>
            </w:r>
            <w:r>
              <w:rPr>
                <w:color w:val="231F20"/>
                <w:sz w:val="14"/>
              </w:rPr>
              <w:t xml:space="preserve">целине. </w:t>
            </w: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tabs>
                <w:tab w:val="left" w:pos="157"/>
              </w:tabs>
              <w:spacing w:line="160" w:lineRule="exact"/>
              <w:ind w:right="56" w:hanging="100"/>
              <w:rPr>
                <w:sz w:val="14"/>
              </w:rPr>
            </w:pPr>
            <w:r>
              <w:rPr>
                <w:color w:val="231F20"/>
                <w:sz w:val="14"/>
              </w:rPr>
              <w:t>Развијање елемената ритма у препознавању целина: рад­одмор,</w:t>
            </w:r>
            <w:r>
              <w:rPr>
                <w:color w:val="231F20"/>
                <w:spacing w:val="-13"/>
                <w:sz w:val="14"/>
              </w:rPr>
              <w:t xml:space="preserve"> </w:t>
            </w:r>
            <w:r>
              <w:rPr>
                <w:color w:val="231F20"/>
                <w:sz w:val="14"/>
              </w:rPr>
              <w:t>на­ презање­релаксација, убрзање­успоравање.</w:t>
            </w:r>
          </w:p>
          <w:p w:rsidR="00041039" w:rsidRDefault="001B26CB">
            <w:pPr>
              <w:pStyle w:val="TableParagraph"/>
              <w:tabs>
                <w:tab w:val="left" w:pos="157"/>
              </w:tabs>
              <w:spacing w:line="160" w:lineRule="exact"/>
              <w:ind w:right="59" w:hanging="100"/>
              <w:rPr>
                <w:sz w:val="14"/>
              </w:rPr>
            </w:pPr>
            <w:r>
              <w:rPr>
                <w:color w:val="231F20"/>
                <w:sz w:val="14"/>
              </w:rPr>
              <w:t xml:space="preserve">Избор спортских грана, спортско­ рекреативних или других </w:t>
            </w:r>
            <w:r>
              <w:rPr>
                <w:color w:val="231F20"/>
                <w:sz w:val="14"/>
              </w:rPr>
              <w:t>кретних активности као трајног опредељења за њихово свакодневно упражњавање.</w:t>
            </w:r>
          </w:p>
        </w:tc>
        <w:tc>
          <w:tcPr>
            <w:tcW w:w="2551" w:type="dxa"/>
          </w:tcPr>
          <w:p w:rsidR="00041039" w:rsidRDefault="001B26CB">
            <w:pPr>
              <w:pStyle w:val="TableParagraph"/>
              <w:tabs>
                <w:tab w:val="left" w:pos="157"/>
              </w:tabs>
              <w:spacing w:before="9"/>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tabs>
                <w:tab w:val="left" w:pos="157"/>
              </w:tabs>
              <w:spacing w:line="156" w:lineRule="exact"/>
              <w:ind w:hanging="99"/>
              <w:rPr>
                <w:sz w:val="14"/>
              </w:rPr>
            </w:pPr>
            <w:r>
              <w:rPr>
                <w:color w:val="231F20"/>
                <w:sz w:val="14"/>
              </w:rPr>
              <w:t>демонстрира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(вежби на спр</w:t>
            </w:r>
            <w:r>
              <w:rPr>
                <w:color w:val="231F20"/>
                <w:sz w:val="14"/>
              </w:rPr>
              <w:t>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w:t>
            </w:r>
            <w:r>
              <w:rPr>
                <w:color w:val="231F20"/>
                <w:sz w:val="14"/>
              </w:rPr>
              <w:t>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w:t>
            </w:r>
            <w:r>
              <w:rPr>
                <w:color w:val="231F20"/>
                <w:sz w:val="14"/>
              </w:rPr>
              <w:t>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контактима;</w:t>
            </w:r>
          </w:p>
          <w:p w:rsidR="00041039" w:rsidRDefault="001B26CB">
            <w:pPr>
              <w:pStyle w:val="TableParagraph"/>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tabs>
                <w:tab w:val="left" w:pos="157"/>
              </w:tabs>
              <w:spacing w:line="237" w:lineRule="auto"/>
              <w:ind w:right="291" w:hanging="99"/>
              <w:rPr>
                <w:sz w:val="14"/>
              </w:rPr>
            </w:pPr>
            <w:r>
              <w:rPr>
                <w:color w:val="231F20"/>
                <w:sz w:val="14"/>
              </w:rPr>
              <w:t>самостално бира физичку,</w:t>
            </w:r>
            <w:r>
              <w:rPr>
                <w:color w:val="231F20"/>
                <w:spacing w:val="-14"/>
                <w:sz w:val="14"/>
              </w:rPr>
              <w:t xml:space="preserve"> </w:t>
            </w:r>
            <w:r>
              <w:rPr>
                <w:color w:val="231F20"/>
                <w:sz w:val="14"/>
              </w:rPr>
              <w:t xml:space="preserve">односно спортску активност и изводи је у окружењу у </w:t>
            </w:r>
            <w:r>
              <w:rPr>
                <w:color w:val="231F20"/>
                <w:spacing w:val="-3"/>
                <w:sz w:val="14"/>
              </w:rPr>
              <w:t>коме</w:t>
            </w:r>
            <w:r>
              <w:rPr>
                <w:color w:val="231F20"/>
                <w:spacing w:val="-1"/>
                <w:sz w:val="14"/>
              </w:rPr>
              <w:t xml:space="preserve"> </w:t>
            </w:r>
            <w:r>
              <w:rPr>
                <w:color w:val="231F20"/>
                <w:sz w:val="14"/>
              </w:rPr>
              <w:t>живи;</w:t>
            </w:r>
          </w:p>
          <w:p w:rsidR="00041039" w:rsidRDefault="001B26CB">
            <w:pPr>
              <w:pStyle w:val="TableParagraph"/>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w:t>
            </w:r>
            <w:r>
              <w:rPr>
                <w:color w:val="231F20"/>
                <w:sz w:val="14"/>
              </w:rPr>
              <w:t xml:space="preserve"> па школским спорт­ ским такмичењима и у слободном времену;</w:t>
            </w:r>
          </w:p>
          <w:p w:rsidR="00041039" w:rsidRDefault="001B26CB">
            <w:pPr>
              <w:pStyle w:val="TableParagraph"/>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tabs>
                <w:tab w:val="left" w:pos="157"/>
              </w:tabs>
              <w:spacing w:line="237" w:lineRule="auto"/>
              <w:ind w:right="171" w:hanging="99"/>
              <w:rPr>
                <w:sz w:val="14"/>
              </w:rPr>
            </w:pPr>
            <w:r>
              <w:rPr>
                <w:color w:val="231F20"/>
                <w:sz w:val="14"/>
              </w:rPr>
              <w:t>правилно се односи према</w:t>
            </w:r>
            <w:r>
              <w:rPr>
                <w:color w:val="231F20"/>
                <w:spacing w:val="-17"/>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w:t>
            </w:r>
            <w:r>
              <w:rPr>
                <w:color w:val="231F20"/>
                <w:sz w:val="14"/>
              </w:rPr>
              <w:t>портом, што преноси у</w:t>
            </w:r>
            <w:r>
              <w:rPr>
                <w:color w:val="231F20"/>
                <w:spacing w:val="-24"/>
                <w:sz w:val="14"/>
              </w:rPr>
              <w:t xml:space="preserve"> </w:t>
            </w:r>
            <w:r>
              <w:rPr>
                <w:color w:val="231F20"/>
                <w:sz w:val="14"/>
              </w:rPr>
              <w:t>свакодневни живот</w:t>
            </w:r>
          </w:p>
          <w:p w:rsidR="00041039" w:rsidRDefault="001B26CB">
            <w:pPr>
              <w:pStyle w:val="TableParagraph"/>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7"/>
              </w:rPr>
            </w:pPr>
          </w:p>
          <w:p w:rsidR="00041039" w:rsidRDefault="001B26CB">
            <w:pPr>
              <w:pStyle w:val="TableParagraph"/>
              <w:spacing w:before="1" w:line="161" w:lineRule="exact"/>
              <w:ind w:left="57"/>
              <w:rPr>
                <w:b/>
                <w:sz w:val="14"/>
              </w:rPr>
            </w:pPr>
            <w:r>
              <w:rPr>
                <w:b/>
                <w:color w:val="231F20"/>
                <w:sz w:val="14"/>
              </w:rPr>
              <w:t>АТЛЕТИКА</w:t>
            </w:r>
          </w:p>
          <w:p w:rsidR="00041039" w:rsidRDefault="001B26CB">
            <w:pPr>
              <w:pStyle w:val="TableParagraph"/>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p w:rsidR="00041039" w:rsidRDefault="001B26CB">
            <w:pPr>
              <w:pStyle w:val="TableParagraph"/>
              <w:spacing w:line="158" w:lineRule="exact"/>
              <w:ind w:left="57"/>
              <w:rPr>
                <w:b/>
                <w:sz w:val="14"/>
              </w:rPr>
            </w:pPr>
            <w:r>
              <w:rPr>
                <w:b/>
                <w:color w:val="231F20"/>
                <w:sz w:val="14"/>
              </w:rPr>
              <w:t>Трчање:</w:t>
            </w:r>
          </w:p>
          <w:p w:rsidR="00041039" w:rsidRDefault="001B26CB">
            <w:pPr>
              <w:pStyle w:val="TableParagraph"/>
              <w:ind w:left="57"/>
              <w:rPr>
                <w:b/>
                <w:sz w:val="14"/>
              </w:rPr>
            </w:pPr>
            <w:r>
              <w:rPr>
                <w:b/>
                <w:color w:val="231F20"/>
                <w:sz w:val="14"/>
              </w:rPr>
              <w:t>Усавршавање технике трчања на кратке н средње стазе:</w:t>
            </w:r>
          </w:p>
          <w:p w:rsidR="00041039" w:rsidRDefault="001B26CB">
            <w:pPr>
              <w:pStyle w:val="TableParagraph"/>
              <w:tabs>
                <w:tab w:val="left" w:pos="163"/>
              </w:tabs>
              <w:spacing w:line="159" w:lineRule="exact"/>
              <w:ind w:left="57"/>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tabs>
                <w:tab w:val="left" w:pos="163"/>
              </w:tabs>
              <w:spacing w:line="160" w:lineRule="exact"/>
              <w:ind w:left="57"/>
              <w:rPr>
                <w:sz w:val="14"/>
              </w:rPr>
            </w:pPr>
            <w:r>
              <w:rPr>
                <w:color w:val="231F20"/>
                <w:sz w:val="14"/>
              </w:rPr>
              <w:t>800 м ученици и</w:t>
            </w:r>
            <w:r>
              <w:rPr>
                <w:color w:val="231F20"/>
                <w:spacing w:val="-1"/>
                <w:sz w:val="14"/>
              </w:rPr>
              <w:t xml:space="preserve"> </w:t>
            </w:r>
            <w:r>
              <w:rPr>
                <w:color w:val="231F20"/>
                <w:sz w:val="14"/>
              </w:rPr>
              <w:t>ученице;</w:t>
            </w:r>
          </w:p>
          <w:p w:rsidR="00041039" w:rsidRDefault="001B26CB">
            <w:pPr>
              <w:pStyle w:val="TableParagraph"/>
              <w:tabs>
                <w:tab w:val="left" w:pos="163"/>
              </w:tabs>
              <w:ind w:left="57" w:right="173"/>
              <w:rPr>
                <w:sz w:val="14"/>
              </w:rPr>
            </w:pPr>
            <w:r>
              <w:rPr>
                <w:color w:val="231F20"/>
                <w:sz w:val="14"/>
              </w:rPr>
              <w:t>штафета 4 х 100 м ученици и ученице. Вежбање технике трчања на средњим ста­ зама умереним интензитетом и</w:t>
            </w:r>
            <w:r>
              <w:rPr>
                <w:color w:val="231F20"/>
                <w:spacing w:val="-18"/>
                <w:sz w:val="14"/>
              </w:rPr>
              <w:t xml:space="preserve"> </w:t>
            </w:r>
            <w:r>
              <w:rPr>
                <w:color w:val="231F20"/>
                <w:sz w:val="14"/>
              </w:rPr>
              <w:t xml:space="preserve">различитим темпом у трајању </w:t>
            </w:r>
            <w:r>
              <w:rPr>
                <w:color w:val="231F20"/>
                <w:spacing w:val="-3"/>
                <w:sz w:val="14"/>
              </w:rPr>
              <w:t xml:space="preserve">од </w:t>
            </w:r>
            <w:r>
              <w:rPr>
                <w:color w:val="231F20"/>
                <w:sz w:val="14"/>
              </w:rPr>
              <w:t>5 до 10</w:t>
            </w:r>
            <w:r>
              <w:rPr>
                <w:color w:val="231F20"/>
                <w:spacing w:val="2"/>
                <w:sz w:val="14"/>
              </w:rPr>
              <w:t xml:space="preserve"> </w:t>
            </w:r>
            <w:r>
              <w:rPr>
                <w:color w:val="231F20"/>
                <w:sz w:val="14"/>
              </w:rPr>
              <w:t>минута.</w:t>
            </w:r>
          </w:p>
          <w:p w:rsidR="00041039" w:rsidRDefault="001B26CB">
            <w:pPr>
              <w:pStyle w:val="TableParagraph"/>
              <w:spacing w:line="157" w:lineRule="exact"/>
              <w:ind w:left="57"/>
              <w:rPr>
                <w:sz w:val="14"/>
              </w:rPr>
            </w:pPr>
            <w:r>
              <w:rPr>
                <w:color w:val="231F20"/>
                <w:sz w:val="14"/>
              </w:rPr>
              <w:t>К</w:t>
            </w:r>
            <w:r>
              <w:rPr>
                <w:color w:val="231F20"/>
                <w:sz w:val="14"/>
              </w:rPr>
              <w:t>рос: јесењи и пролећни:</w:t>
            </w:r>
          </w:p>
          <w:p w:rsidR="00041039" w:rsidRDefault="001B26CB">
            <w:pPr>
              <w:pStyle w:val="TableParagraph"/>
              <w:tabs>
                <w:tab w:val="left" w:pos="163"/>
              </w:tabs>
              <w:spacing w:line="160" w:lineRule="exact"/>
              <w:ind w:left="57"/>
              <w:rPr>
                <w:sz w:val="14"/>
              </w:rPr>
            </w:pPr>
            <w:r>
              <w:rPr>
                <w:color w:val="231F20"/>
                <w:sz w:val="14"/>
              </w:rPr>
              <w:t>800 м ученице;</w:t>
            </w:r>
          </w:p>
          <w:p w:rsidR="00041039" w:rsidRDefault="001B26CB">
            <w:pPr>
              <w:pStyle w:val="TableParagraph"/>
              <w:tabs>
                <w:tab w:val="left" w:pos="163"/>
              </w:tabs>
              <w:spacing w:line="160" w:lineRule="exact"/>
              <w:ind w:left="57"/>
              <w:rPr>
                <w:sz w:val="14"/>
              </w:rPr>
            </w:pPr>
            <w:r>
              <w:rPr>
                <w:color w:val="231F20"/>
                <w:sz w:val="14"/>
              </w:rPr>
              <w:t>1000 м ученици.</w:t>
            </w:r>
          </w:p>
          <w:p w:rsidR="00041039" w:rsidRDefault="001B26CB">
            <w:pPr>
              <w:pStyle w:val="TableParagraph"/>
              <w:spacing w:line="160" w:lineRule="exact"/>
              <w:ind w:left="57"/>
              <w:rPr>
                <w:b/>
                <w:sz w:val="14"/>
              </w:rPr>
            </w:pPr>
            <w:r>
              <w:rPr>
                <w:b/>
                <w:color w:val="231F20"/>
                <w:sz w:val="14"/>
              </w:rPr>
              <w:t>Скокови:</w:t>
            </w:r>
          </w:p>
          <w:p w:rsidR="00041039" w:rsidRDefault="001B26CB">
            <w:pPr>
              <w:pStyle w:val="TableParagraph"/>
              <w:ind w:left="57" w:right="564"/>
              <w:rPr>
                <w:b/>
                <w:sz w:val="14"/>
              </w:rPr>
            </w:pPr>
            <w:r>
              <w:rPr>
                <w:color w:val="231F20"/>
                <w:sz w:val="14"/>
              </w:rPr>
              <w:t xml:space="preserve">Скок удаљ, корачном техником. Скок увис, леђном техником. </w:t>
            </w:r>
            <w:r>
              <w:rPr>
                <w:b/>
                <w:color w:val="231F20"/>
                <w:sz w:val="14"/>
              </w:rPr>
              <w:t>Бацање:</w:t>
            </w:r>
          </w:p>
          <w:p w:rsidR="00041039" w:rsidRDefault="001B26CB">
            <w:pPr>
              <w:pStyle w:val="TableParagraph"/>
              <w:spacing w:line="237" w:lineRule="auto"/>
              <w:ind w:left="57"/>
              <w:rPr>
                <w:sz w:val="14"/>
              </w:rPr>
            </w:pPr>
            <w:r>
              <w:rPr>
                <w:color w:val="231F20"/>
                <w:sz w:val="14"/>
              </w:rPr>
              <w:t>Бацање кугле, једна од рационалних техника (ученице 4 кг, ученици 5 кг).</w:t>
            </w:r>
          </w:p>
          <w:p w:rsidR="00041039" w:rsidRDefault="001B26CB">
            <w:pPr>
              <w:pStyle w:val="TableParagraph"/>
              <w:ind w:left="57" w:right="84"/>
              <w:rPr>
                <w:sz w:val="14"/>
              </w:rPr>
            </w:pPr>
            <w:r>
              <w:rPr>
                <w:color w:val="231F20"/>
                <w:sz w:val="14"/>
              </w:rPr>
              <w:t>Спровести такмичења у одељењу на резултат, у свим реализованим атлетским дисциплинама.</w:t>
            </w:r>
          </w:p>
          <w:p w:rsidR="00041039" w:rsidRDefault="00041039">
            <w:pPr>
              <w:pStyle w:val="TableParagraph"/>
              <w:spacing w:before="4"/>
              <w:ind w:left="0"/>
              <w:rPr>
                <w:b/>
                <w:sz w:val="13"/>
              </w:rPr>
            </w:pPr>
          </w:p>
          <w:p w:rsidR="00041039" w:rsidRDefault="001B26CB">
            <w:pPr>
              <w:pStyle w:val="TableParagraph"/>
              <w:ind w:left="57"/>
              <w:rPr>
                <w:b/>
                <w:sz w:val="14"/>
              </w:rPr>
            </w:pPr>
            <w:r>
              <w:rPr>
                <w:b/>
                <w:color w:val="231F20"/>
                <w:sz w:val="14"/>
              </w:rPr>
              <w:t>СПОРТСКА ГИМНАСТИКА: ВЕЖБЕ НАСПРАВАМА И ТЛУ</w:t>
            </w:r>
          </w:p>
          <w:p w:rsidR="00041039" w:rsidRDefault="001B26CB">
            <w:pPr>
              <w:pStyle w:val="TableParagraph"/>
              <w:spacing w:line="159" w:lineRule="exact"/>
              <w:ind w:left="57"/>
              <w:rPr>
                <w:b/>
                <w:sz w:val="14"/>
              </w:rPr>
            </w:pPr>
            <w:r>
              <w:rPr>
                <w:b/>
                <w:color w:val="231F20"/>
                <w:sz w:val="14"/>
              </w:rPr>
              <w:t>Напомене:</w:t>
            </w:r>
          </w:p>
          <w:p w:rsidR="00041039" w:rsidRDefault="001B26CB">
            <w:pPr>
              <w:pStyle w:val="TableParagraph"/>
              <w:tabs>
                <w:tab w:val="left" w:pos="163"/>
              </w:tabs>
              <w:ind w:left="162" w:right="61" w:hanging="105"/>
              <w:jc w:val="both"/>
              <w:rPr>
                <w:sz w:val="14"/>
              </w:rPr>
            </w:pPr>
            <w:r>
              <w:rPr>
                <w:color w:val="231F20"/>
                <w:sz w:val="14"/>
              </w:rPr>
              <w:t>Наставник формира групе на основу</w:t>
            </w:r>
            <w:r>
              <w:rPr>
                <w:color w:val="231F20"/>
                <w:spacing w:val="-14"/>
                <w:sz w:val="14"/>
              </w:rPr>
              <w:t xml:space="preserve"> </w:t>
            </w:r>
            <w:r>
              <w:rPr>
                <w:color w:val="231F20"/>
                <w:sz w:val="14"/>
              </w:rPr>
              <w:t xml:space="preserve">умења (вештина) ученика стечених после основне </w:t>
            </w:r>
            <w:r>
              <w:rPr>
                <w:color w:val="231F20"/>
                <w:spacing w:val="-3"/>
                <w:sz w:val="14"/>
              </w:rPr>
              <w:t xml:space="preserve">школе: </w:t>
            </w:r>
            <w:r>
              <w:rPr>
                <w:color w:val="231F20"/>
                <w:sz w:val="14"/>
              </w:rPr>
              <w:t>основни, средњи и напредни</w:t>
            </w:r>
            <w:r>
              <w:rPr>
                <w:color w:val="231F20"/>
                <w:spacing w:val="-2"/>
                <w:sz w:val="14"/>
              </w:rPr>
              <w:t xml:space="preserve"> </w:t>
            </w:r>
            <w:r>
              <w:rPr>
                <w:color w:val="231F20"/>
                <w:sz w:val="14"/>
              </w:rPr>
              <w:t>ниво.</w:t>
            </w:r>
          </w:p>
          <w:p w:rsidR="00041039" w:rsidRDefault="001B26CB">
            <w:pPr>
              <w:pStyle w:val="TableParagraph"/>
              <w:tabs>
                <w:tab w:val="left" w:pos="163"/>
              </w:tabs>
              <w:spacing w:line="237" w:lineRule="auto"/>
              <w:ind w:left="162" w:right="54" w:hanging="105"/>
              <w:rPr>
                <w:sz w:val="14"/>
              </w:rPr>
            </w:pPr>
            <w:r>
              <w:rPr>
                <w:color w:val="231F20"/>
                <w:sz w:val="14"/>
              </w:rPr>
              <w:t>Наставник олакшава, односно отежава</w:t>
            </w:r>
            <w:r>
              <w:rPr>
                <w:color w:val="231F20"/>
                <w:spacing w:val="-19"/>
                <w:sz w:val="14"/>
              </w:rPr>
              <w:t xml:space="preserve"> </w:t>
            </w:r>
            <w:r>
              <w:rPr>
                <w:color w:val="231F20"/>
                <w:sz w:val="14"/>
              </w:rPr>
              <w:t>про­ грам на основу моторичких способности и претходно стечених умења</w:t>
            </w:r>
            <w:r>
              <w:rPr>
                <w:color w:val="231F20"/>
                <w:spacing w:val="-5"/>
                <w:sz w:val="14"/>
              </w:rPr>
              <w:t xml:space="preserve"> </w:t>
            </w:r>
            <w:r>
              <w:rPr>
                <w:color w:val="231F20"/>
                <w:sz w:val="14"/>
              </w:rPr>
              <w:t>ученика.</w:t>
            </w:r>
          </w:p>
          <w:p w:rsidR="00041039" w:rsidRDefault="001B26CB">
            <w:pPr>
              <w:pStyle w:val="TableParagraph"/>
              <w:tabs>
                <w:tab w:val="left" w:pos="142"/>
              </w:tabs>
              <w:spacing w:line="161" w:lineRule="exact"/>
              <w:ind w:left="141" w:hanging="84"/>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60" w:lineRule="exact"/>
              <w:ind w:left="57"/>
              <w:rPr>
                <w:b/>
                <w:sz w:val="14"/>
              </w:rPr>
            </w:pPr>
            <w:r>
              <w:rPr>
                <w:b/>
                <w:color w:val="231F20"/>
                <w:sz w:val="14"/>
              </w:rPr>
              <w:t>За ученике и ученице:</w:t>
            </w:r>
          </w:p>
          <w:p w:rsidR="00041039" w:rsidRDefault="001B26CB">
            <w:pPr>
              <w:pStyle w:val="TableParagraph"/>
              <w:tabs>
                <w:tab w:val="left" w:pos="163"/>
              </w:tabs>
              <w:ind w:left="162" w:right="225" w:hanging="105"/>
              <w:rPr>
                <w:sz w:val="14"/>
              </w:rPr>
            </w:pPr>
            <w:r>
              <w:rPr>
                <w:color w:val="231F20"/>
                <w:sz w:val="14"/>
              </w:rPr>
              <w:t>вага претклоном и заножењем и</w:t>
            </w:r>
            <w:r>
              <w:rPr>
                <w:color w:val="231F20"/>
                <w:spacing w:val="-22"/>
                <w:sz w:val="14"/>
              </w:rPr>
              <w:t xml:space="preserve"> </w:t>
            </w:r>
            <w:r>
              <w:rPr>
                <w:color w:val="231F20"/>
                <w:sz w:val="14"/>
              </w:rPr>
              <w:t xml:space="preserve">спојено, одразом једне ноге </w:t>
            </w:r>
            <w:r>
              <w:rPr>
                <w:color w:val="231F20"/>
                <w:spacing w:val="-3"/>
                <w:sz w:val="14"/>
              </w:rPr>
              <w:t>колут</w:t>
            </w:r>
            <w:r>
              <w:rPr>
                <w:color w:val="231F20"/>
                <w:spacing w:val="-6"/>
                <w:sz w:val="14"/>
              </w:rPr>
              <w:t xml:space="preserve"> </w:t>
            </w:r>
            <w:r>
              <w:rPr>
                <w:color w:val="231F20"/>
                <w:sz w:val="14"/>
              </w:rPr>
              <w:t>напред;</w:t>
            </w:r>
          </w:p>
          <w:p w:rsidR="00041039" w:rsidRDefault="001B26CB">
            <w:pPr>
              <w:pStyle w:val="TableParagraph"/>
              <w:tabs>
                <w:tab w:val="left" w:pos="163"/>
              </w:tabs>
              <w:spacing w:line="159" w:lineRule="exact"/>
              <w:ind w:left="162" w:hanging="105"/>
              <w:rPr>
                <w:sz w:val="14"/>
              </w:rPr>
            </w:pPr>
            <w:r>
              <w:rPr>
                <w:color w:val="231F20"/>
                <w:sz w:val="14"/>
              </w:rPr>
              <w:t xml:space="preserve">став на шакама, издржај, </w:t>
            </w:r>
            <w:r>
              <w:rPr>
                <w:color w:val="231F20"/>
                <w:spacing w:val="-3"/>
                <w:sz w:val="14"/>
              </w:rPr>
              <w:t>колут</w:t>
            </w:r>
            <w:r>
              <w:rPr>
                <w:color w:val="231F20"/>
                <w:spacing w:val="-7"/>
                <w:sz w:val="14"/>
              </w:rPr>
              <w:t xml:space="preserve"> </w:t>
            </w:r>
            <w:r>
              <w:rPr>
                <w:color w:val="231F20"/>
                <w:sz w:val="14"/>
              </w:rPr>
              <w:t>напред;</w:t>
            </w:r>
          </w:p>
          <w:p w:rsidR="00041039" w:rsidRDefault="001B26CB">
            <w:pPr>
              <w:pStyle w:val="TableParagraph"/>
              <w:tabs>
                <w:tab w:val="left" w:pos="163"/>
              </w:tabs>
              <w:ind w:left="162" w:right="326" w:hanging="105"/>
              <w:rPr>
                <w:sz w:val="14"/>
              </w:rPr>
            </w:pPr>
            <w:r>
              <w:rPr>
                <w:color w:val="231F20"/>
                <w:sz w:val="14"/>
              </w:rPr>
              <w:t>два повезана премета странце удесно</w:t>
            </w:r>
            <w:r>
              <w:rPr>
                <w:color w:val="231F20"/>
                <w:spacing w:val="-16"/>
                <w:sz w:val="14"/>
              </w:rPr>
              <w:t xml:space="preserve"> </w:t>
            </w:r>
            <w:r>
              <w:rPr>
                <w:color w:val="231F20"/>
                <w:sz w:val="14"/>
              </w:rPr>
              <w:t>и улево;</w:t>
            </w:r>
          </w:p>
          <w:p w:rsidR="00041039" w:rsidRDefault="001B26CB">
            <w:pPr>
              <w:pStyle w:val="TableParagraph"/>
              <w:tabs>
                <w:tab w:val="left" w:pos="163"/>
              </w:tabs>
              <w:ind w:left="162" w:right="327" w:hanging="105"/>
              <w:rPr>
                <w:sz w:val="14"/>
              </w:rPr>
            </w:pPr>
            <w:r>
              <w:rPr>
                <w:color w:val="231F20"/>
                <w:sz w:val="14"/>
              </w:rPr>
              <w:t xml:space="preserve">за напредни ниво премет странце са окретом за 180º и </w:t>
            </w:r>
            <w:r>
              <w:rPr>
                <w:color w:val="231F20"/>
                <w:spacing w:val="-3"/>
                <w:sz w:val="14"/>
              </w:rPr>
              <w:t xml:space="preserve">доскоком </w:t>
            </w:r>
            <w:r>
              <w:rPr>
                <w:color w:val="231F20"/>
                <w:sz w:val="14"/>
              </w:rPr>
              <w:t>на обе ноге (,,рондат”).</w:t>
            </w:r>
          </w:p>
          <w:p w:rsidR="00041039" w:rsidRDefault="001B26CB">
            <w:pPr>
              <w:pStyle w:val="TableParagraph"/>
              <w:tabs>
                <w:tab w:val="left" w:pos="142"/>
              </w:tabs>
              <w:spacing w:line="158" w:lineRule="exact"/>
              <w:ind w:left="141" w:hanging="84"/>
              <w:rPr>
                <w:b/>
                <w:sz w:val="14"/>
              </w:rPr>
            </w:pPr>
            <w:r>
              <w:rPr>
                <w:b/>
                <w:color w:val="231F20"/>
                <w:sz w:val="14"/>
              </w:rPr>
              <w:t>Прескок</w:t>
            </w:r>
          </w:p>
          <w:p w:rsidR="00041039" w:rsidRDefault="001B26CB">
            <w:pPr>
              <w:pStyle w:val="TableParagraph"/>
              <w:ind w:left="57"/>
              <w:rPr>
                <w:sz w:val="14"/>
              </w:rPr>
            </w:pPr>
            <w:r>
              <w:rPr>
                <w:b/>
                <w:color w:val="231F20"/>
                <w:sz w:val="14"/>
              </w:rPr>
              <w:t xml:space="preserve">За ученике </w:t>
            </w:r>
            <w:r>
              <w:rPr>
                <w:color w:val="231F20"/>
                <w:sz w:val="14"/>
              </w:rPr>
              <w:t xml:space="preserve">коњ у ширину висине 120 цм; </w:t>
            </w:r>
            <w:r>
              <w:rPr>
                <w:b/>
                <w:color w:val="231F20"/>
                <w:sz w:val="14"/>
              </w:rPr>
              <w:t xml:space="preserve">за ученице </w:t>
            </w:r>
            <w:r>
              <w:rPr>
                <w:color w:val="231F20"/>
                <w:sz w:val="14"/>
              </w:rPr>
              <w:t>110 цм:</w:t>
            </w:r>
          </w:p>
          <w:p w:rsidR="00041039" w:rsidRDefault="001B26CB">
            <w:pPr>
              <w:pStyle w:val="TableParagraph"/>
              <w:tabs>
                <w:tab w:val="left" w:pos="163"/>
              </w:tabs>
              <w:spacing w:line="159" w:lineRule="exact"/>
              <w:ind w:left="162" w:hanging="105"/>
              <w:rPr>
                <w:sz w:val="14"/>
              </w:rPr>
            </w:pPr>
            <w:r>
              <w:rPr>
                <w:color w:val="231F20"/>
                <w:sz w:val="14"/>
              </w:rPr>
              <w:t>згрчка;</w:t>
            </w:r>
          </w:p>
          <w:p w:rsidR="00041039" w:rsidRDefault="001B26CB">
            <w:pPr>
              <w:pStyle w:val="TableParagraph"/>
              <w:tabs>
                <w:tab w:val="left" w:pos="163"/>
              </w:tabs>
              <w:spacing w:line="160" w:lineRule="exact"/>
              <w:ind w:left="162" w:hanging="105"/>
              <w:rPr>
                <w:sz w:val="14"/>
              </w:rPr>
            </w:pPr>
            <w:r>
              <w:rPr>
                <w:color w:val="231F20"/>
                <w:sz w:val="14"/>
              </w:rPr>
              <w:t>разношка;</w:t>
            </w:r>
          </w:p>
          <w:p w:rsidR="00041039" w:rsidRDefault="001B26CB">
            <w:pPr>
              <w:pStyle w:val="TableParagraph"/>
              <w:tabs>
                <w:tab w:val="left" w:pos="163"/>
              </w:tabs>
              <w:spacing w:line="160" w:lineRule="exact"/>
              <w:ind w:left="162" w:hanging="105"/>
              <w:rPr>
                <w:sz w:val="14"/>
              </w:rPr>
            </w:pPr>
            <w:r>
              <w:rPr>
                <w:color w:val="231F20"/>
                <w:sz w:val="14"/>
              </w:rPr>
              <w:t>за напредни ниво:</w:t>
            </w:r>
            <w:r>
              <w:rPr>
                <w:color w:val="231F20"/>
                <w:spacing w:val="-3"/>
                <w:sz w:val="14"/>
              </w:rPr>
              <w:t xml:space="preserve"> </w:t>
            </w:r>
            <w:r>
              <w:rPr>
                <w:color w:val="231F20"/>
                <w:sz w:val="14"/>
              </w:rPr>
              <w:t>склонка.</w:t>
            </w:r>
          </w:p>
          <w:p w:rsidR="00041039" w:rsidRDefault="001B26CB">
            <w:pPr>
              <w:pStyle w:val="TableParagraph"/>
              <w:tabs>
                <w:tab w:val="left" w:pos="142"/>
              </w:tabs>
              <w:spacing w:line="160" w:lineRule="exact"/>
              <w:ind w:left="141" w:hanging="84"/>
              <w:rPr>
                <w:b/>
                <w:sz w:val="14"/>
              </w:rPr>
            </w:pPr>
            <w:r>
              <w:rPr>
                <w:b/>
                <w:color w:val="231F20"/>
                <w:sz w:val="14"/>
              </w:rPr>
              <w:t>Кругови</w:t>
            </w:r>
          </w:p>
          <w:p w:rsidR="00041039" w:rsidRDefault="001B26CB">
            <w:pPr>
              <w:pStyle w:val="TableParagraph"/>
              <w:spacing w:line="160" w:lineRule="exact"/>
              <w:ind w:left="57"/>
              <w:rPr>
                <w:sz w:val="14"/>
              </w:rPr>
            </w:pPr>
            <w:r>
              <w:rPr>
                <w:b/>
                <w:color w:val="231F20"/>
                <w:sz w:val="14"/>
              </w:rPr>
              <w:t>За ученике</w:t>
            </w:r>
            <w:r>
              <w:rPr>
                <w:color w:val="231F20"/>
                <w:sz w:val="14"/>
              </w:rPr>
              <w:t>/дохватни кругови/:</w:t>
            </w:r>
          </w:p>
          <w:p w:rsidR="00041039" w:rsidRDefault="001B26CB">
            <w:pPr>
              <w:pStyle w:val="TableParagraph"/>
              <w:tabs>
                <w:tab w:val="left" w:pos="163"/>
              </w:tabs>
              <w:ind w:left="162" w:right="140" w:hanging="105"/>
              <w:rPr>
                <w:sz w:val="14"/>
              </w:rPr>
            </w:pPr>
            <w:r>
              <w:rPr>
                <w:color w:val="231F20"/>
                <w:sz w:val="14"/>
              </w:rPr>
              <w:t>из мирног виса вучењем вис узнето,</w:t>
            </w:r>
            <w:r>
              <w:rPr>
                <w:color w:val="231F20"/>
                <w:spacing w:val="-13"/>
                <w:sz w:val="14"/>
              </w:rPr>
              <w:t xml:space="preserve"> </w:t>
            </w:r>
            <w:r>
              <w:rPr>
                <w:color w:val="231F20"/>
                <w:sz w:val="14"/>
              </w:rPr>
              <w:t>спуст у вис стражњи, издржај, вучењем вис узнето, спуст у вис</w:t>
            </w:r>
            <w:r>
              <w:rPr>
                <w:color w:val="231F20"/>
                <w:spacing w:val="-3"/>
                <w:sz w:val="14"/>
              </w:rPr>
              <w:t xml:space="preserve"> </w:t>
            </w:r>
            <w:r>
              <w:rPr>
                <w:color w:val="231F20"/>
                <w:sz w:val="14"/>
              </w:rPr>
              <w:t>предњи.</w:t>
            </w:r>
          </w:p>
          <w:p w:rsidR="00041039" w:rsidRDefault="001B26CB">
            <w:pPr>
              <w:pStyle w:val="TableParagraph"/>
              <w:spacing w:line="158" w:lineRule="exact"/>
              <w:ind w:left="57"/>
              <w:rPr>
                <w:sz w:val="14"/>
              </w:rPr>
            </w:pPr>
            <w:r>
              <w:rPr>
                <w:b/>
                <w:color w:val="231F20"/>
                <w:sz w:val="14"/>
              </w:rPr>
              <w:t>За ученице</w:t>
            </w:r>
            <w:r>
              <w:rPr>
                <w:color w:val="231F20"/>
                <w:sz w:val="14"/>
              </w:rPr>
              <w:t>/дохватни кругови/:</w:t>
            </w:r>
          </w:p>
          <w:p w:rsidR="00041039" w:rsidRDefault="001B26CB">
            <w:pPr>
              <w:pStyle w:val="TableParagraph"/>
              <w:tabs>
                <w:tab w:val="left" w:pos="163"/>
              </w:tabs>
              <w:ind w:left="162" w:right="229" w:hanging="105"/>
              <w:rPr>
                <w:sz w:val="14"/>
              </w:rPr>
            </w:pPr>
            <w:r>
              <w:rPr>
                <w:color w:val="231F20"/>
                <w:sz w:val="14"/>
              </w:rPr>
              <w:t xml:space="preserve">уз помоћ суножним </w:t>
            </w:r>
            <w:r>
              <w:rPr>
                <w:color w:val="231F20"/>
                <w:spacing w:val="-3"/>
                <w:sz w:val="14"/>
              </w:rPr>
              <w:t xml:space="preserve">одскоком </w:t>
            </w:r>
            <w:r>
              <w:rPr>
                <w:color w:val="231F20"/>
                <w:sz w:val="14"/>
              </w:rPr>
              <w:t>наскок у згиб, њих у згибу /уз помоћ/; спуст у</w:t>
            </w:r>
            <w:r>
              <w:rPr>
                <w:color w:val="231F20"/>
                <w:spacing w:val="-23"/>
                <w:sz w:val="14"/>
              </w:rPr>
              <w:t xml:space="preserve"> </w:t>
            </w:r>
            <w:r>
              <w:rPr>
                <w:color w:val="231F20"/>
                <w:sz w:val="14"/>
              </w:rPr>
              <w:t>вис стојећи.</w:t>
            </w:r>
          </w:p>
          <w:p w:rsidR="00041039" w:rsidRDefault="001B26CB">
            <w:pPr>
              <w:pStyle w:val="TableParagraph"/>
              <w:tabs>
                <w:tab w:val="left" w:pos="142"/>
              </w:tabs>
              <w:spacing w:line="158" w:lineRule="exact"/>
              <w:ind w:left="141" w:hanging="84"/>
              <w:rPr>
                <w:b/>
                <w:sz w:val="14"/>
              </w:rPr>
            </w:pPr>
            <w:r>
              <w:rPr>
                <w:b/>
                <w:color w:val="231F20"/>
                <w:sz w:val="14"/>
              </w:rPr>
              <w:t>Разбој</w:t>
            </w:r>
          </w:p>
          <w:p w:rsidR="00041039" w:rsidRDefault="001B26CB">
            <w:pPr>
              <w:pStyle w:val="TableParagraph"/>
              <w:spacing w:line="160" w:lineRule="exact"/>
              <w:ind w:left="57"/>
              <w:rPr>
                <w:sz w:val="14"/>
              </w:rPr>
            </w:pPr>
            <w:r>
              <w:rPr>
                <w:b/>
                <w:color w:val="231F20"/>
                <w:sz w:val="14"/>
              </w:rPr>
              <w:t>За ученике</w:t>
            </w:r>
            <w:r>
              <w:rPr>
                <w:color w:val="231F20"/>
                <w:sz w:val="14"/>
              </w:rPr>
              <w:t>/паралелни разбој/:</w:t>
            </w:r>
          </w:p>
          <w:p w:rsidR="00041039" w:rsidRDefault="001B26CB">
            <w:pPr>
              <w:pStyle w:val="TableParagraph"/>
              <w:tabs>
                <w:tab w:val="left" w:pos="163"/>
              </w:tabs>
              <w:ind w:left="162" w:right="377" w:hanging="105"/>
              <w:rPr>
                <w:sz w:val="14"/>
              </w:rPr>
            </w:pPr>
            <w:r>
              <w:rPr>
                <w:color w:val="231F20"/>
                <w:sz w:val="14"/>
              </w:rPr>
              <w:t xml:space="preserve">из њиха у </w:t>
            </w:r>
            <w:r>
              <w:rPr>
                <w:color w:val="231F20"/>
                <w:spacing w:val="-3"/>
                <w:sz w:val="14"/>
              </w:rPr>
              <w:t xml:space="preserve">упору, </w:t>
            </w:r>
            <w:r>
              <w:rPr>
                <w:color w:val="231F20"/>
                <w:sz w:val="14"/>
              </w:rPr>
              <w:t>предњихом саскок</w:t>
            </w:r>
            <w:r>
              <w:rPr>
                <w:color w:val="231F20"/>
                <w:spacing w:val="-19"/>
                <w:sz w:val="14"/>
              </w:rPr>
              <w:t xml:space="preserve"> </w:t>
            </w:r>
            <w:r>
              <w:rPr>
                <w:color w:val="231F20"/>
                <w:sz w:val="14"/>
              </w:rPr>
              <w:t>са окретом за 180º (окрет према</w:t>
            </w:r>
            <w:r>
              <w:rPr>
                <w:color w:val="231F20"/>
                <w:spacing w:val="-23"/>
                <w:sz w:val="14"/>
              </w:rPr>
              <w:t xml:space="preserve"> </w:t>
            </w:r>
            <w:r>
              <w:rPr>
                <w:color w:val="231F20"/>
                <w:sz w:val="14"/>
              </w:rPr>
              <w:t>притци);</w:t>
            </w:r>
          </w:p>
          <w:p w:rsidR="00041039" w:rsidRDefault="001B26CB">
            <w:pPr>
              <w:pStyle w:val="TableParagraph"/>
              <w:tabs>
                <w:tab w:val="left" w:pos="163"/>
              </w:tabs>
              <w:ind w:left="162" w:right="222" w:hanging="105"/>
              <w:rPr>
                <w:sz w:val="14"/>
              </w:rPr>
            </w:pPr>
            <w:r>
              <w:rPr>
                <w:color w:val="231F20"/>
                <w:sz w:val="14"/>
              </w:rPr>
              <w:t xml:space="preserve">њих у </w:t>
            </w:r>
            <w:r>
              <w:rPr>
                <w:color w:val="231F20"/>
                <w:spacing w:val="-3"/>
                <w:sz w:val="14"/>
              </w:rPr>
              <w:t xml:space="preserve">упору, </w:t>
            </w:r>
            <w:r>
              <w:rPr>
                <w:color w:val="231F20"/>
                <w:sz w:val="14"/>
              </w:rPr>
              <w:t>у зањиху склек,</w:t>
            </w:r>
            <w:r>
              <w:rPr>
                <w:color w:val="231F20"/>
                <w:spacing w:val="-20"/>
                <w:sz w:val="14"/>
              </w:rPr>
              <w:t xml:space="preserve"> </w:t>
            </w:r>
            <w:r>
              <w:rPr>
                <w:color w:val="231F20"/>
                <w:sz w:val="14"/>
              </w:rPr>
              <w:t xml:space="preserve">предњихом упор, зањих у </w:t>
            </w:r>
            <w:r>
              <w:rPr>
                <w:color w:val="231F20"/>
                <w:spacing w:val="-3"/>
                <w:sz w:val="14"/>
              </w:rPr>
              <w:t xml:space="preserve">упору, </w:t>
            </w:r>
            <w:r>
              <w:rPr>
                <w:color w:val="231F20"/>
                <w:sz w:val="14"/>
              </w:rPr>
              <w:t>у предњиху</w:t>
            </w:r>
            <w:r>
              <w:rPr>
                <w:color w:val="231F20"/>
                <w:spacing w:val="-6"/>
                <w:sz w:val="14"/>
              </w:rPr>
              <w:t xml:space="preserve"> </w:t>
            </w:r>
            <w:r>
              <w:rPr>
                <w:color w:val="231F20"/>
                <w:sz w:val="14"/>
              </w:rPr>
              <w:t>склек</w:t>
            </w:r>
          </w:p>
          <w:p w:rsidR="00041039" w:rsidRDefault="001B26CB">
            <w:pPr>
              <w:pStyle w:val="TableParagraph"/>
              <w:ind w:left="57"/>
              <w:rPr>
                <w:sz w:val="14"/>
              </w:rPr>
            </w:pPr>
            <w:r>
              <w:rPr>
                <w:b/>
                <w:color w:val="231F20"/>
                <w:sz w:val="14"/>
              </w:rPr>
              <w:t>За ученице</w:t>
            </w:r>
            <w:r>
              <w:rPr>
                <w:color w:val="231F20"/>
                <w:sz w:val="14"/>
              </w:rPr>
              <w:t>/двовисински разбој или једна притка вратила</w:t>
            </w:r>
            <w:r>
              <w:rPr>
                <w:color w:val="231F20"/>
                <w:sz w:val="14"/>
              </w:rPr>
              <w:t>/:</w:t>
            </w:r>
          </w:p>
          <w:p w:rsidR="00041039" w:rsidRDefault="001B26CB">
            <w:pPr>
              <w:pStyle w:val="TableParagraph"/>
              <w:tabs>
                <w:tab w:val="left" w:pos="163"/>
              </w:tabs>
              <w:ind w:left="162" w:right="168" w:hanging="105"/>
              <w:rPr>
                <w:sz w:val="14"/>
              </w:rPr>
            </w:pPr>
            <w:r>
              <w:rPr>
                <w:color w:val="231F20"/>
                <w:sz w:val="14"/>
              </w:rPr>
              <w:t>наскок у упор на н/п. премах једном ногом</w:t>
            </w:r>
            <w:r>
              <w:rPr>
                <w:color w:val="231F20"/>
                <w:spacing w:val="-9"/>
                <w:sz w:val="14"/>
              </w:rPr>
              <w:t xml:space="preserve"> </w:t>
            </w:r>
            <w:r>
              <w:rPr>
                <w:color w:val="231F20"/>
                <w:sz w:val="14"/>
              </w:rPr>
              <w:t>до</w:t>
            </w:r>
            <w:r>
              <w:rPr>
                <w:color w:val="231F20"/>
                <w:spacing w:val="-9"/>
                <w:sz w:val="14"/>
              </w:rPr>
              <w:t xml:space="preserve"> </w:t>
            </w:r>
            <w:r>
              <w:rPr>
                <w:color w:val="231F20"/>
                <w:sz w:val="14"/>
              </w:rPr>
              <w:t>упора</w:t>
            </w:r>
            <w:r>
              <w:rPr>
                <w:color w:val="231F20"/>
                <w:spacing w:val="-9"/>
                <w:sz w:val="14"/>
              </w:rPr>
              <w:t xml:space="preserve"> </w:t>
            </w:r>
            <w:r>
              <w:rPr>
                <w:color w:val="231F20"/>
                <w:sz w:val="14"/>
              </w:rPr>
              <w:t>јашућег,</w:t>
            </w:r>
            <w:r>
              <w:rPr>
                <w:color w:val="231F20"/>
                <w:spacing w:val="-9"/>
                <w:sz w:val="14"/>
              </w:rPr>
              <w:t xml:space="preserve"> </w:t>
            </w:r>
            <w:r>
              <w:rPr>
                <w:color w:val="231F20"/>
                <w:sz w:val="14"/>
              </w:rPr>
              <w:t>прехвату</w:t>
            </w:r>
            <w:r>
              <w:rPr>
                <w:color w:val="231F20"/>
                <w:spacing w:val="-9"/>
                <w:sz w:val="14"/>
              </w:rPr>
              <w:t xml:space="preserve"> </w:t>
            </w:r>
            <w:r>
              <w:rPr>
                <w:color w:val="231F20"/>
                <w:sz w:val="14"/>
              </w:rPr>
              <w:t xml:space="preserve">потхват упорном </w:t>
            </w:r>
            <w:r>
              <w:rPr>
                <w:color w:val="231F20"/>
                <w:spacing w:val="-3"/>
                <w:sz w:val="14"/>
              </w:rPr>
              <w:t xml:space="preserve">руком </w:t>
            </w:r>
            <w:r>
              <w:rPr>
                <w:color w:val="231F20"/>
                <w:sz w:val="14"/>
              </w:rPr>
              <w:t>(до предножне) и спојено одножењем заножне премах и саскок</w:t>
            </w:r>
            <w:r>
              <w:rPr>
                <w:color w:val="231F20"/>
                <w:spacing w:val="-17"/>
                <w:sz w:val="14"/>
              </w:rPr>
              <w:t xml:space="preserve"> </w:t>
            </w:r>
            <w:r>
              <w:rPr>
                <w:color w:val="231F20"/>
                <w:sz w:val="14"/>
              </w:rPr>
              <w:t>са</w:t>
            </w:r>
          </w:p>
          <w:p w:rsidR="00041039" w:rsidRDefault="001B26CB">
            <w:pPr>
              <w:pStyle w:val="TableParagraph"/>
              <w:spacing w:line="157" w:lineRule="exact"/>
              <w:ind w:left="162"/>
              <w:rPr>
                <w:sz w:val="14"/>
              </w:rPr>
            </w:pPr>
            <w:r>
              <w:rPr>
                <w:color w:val="231F20"/>
                <w:sz w:val="14"/>
              </w:rPr>
              <w:t>окретом ­за 90º (одношка), завршити боком</w:t>
            </w:r>
          </w:p>
          <w:p w:rsidR="00041039" w:rsidRDefault="001B26CB">
            <w:pPr>
              <w:pStyle w:val="TableParagraph"/>
              <w:spacing w:line="158" w:lineRule="exact"/>
              <w:ind w:left="143" w:right="1782"/>
              <w:jc w:val="center"/>
              <w:rPr>
                <w:sz w:val="14"/>
              </w:rPr>
            </w:pPr>
            <w:r>
              <w:rPr>
                <w:color w:val="231F20"/>
                <w:sz w:val="14"/>
              </w:rPr>
              <w:t>према притци.</w:t>
            </w:r>
          </w:p>
        </w:tc>
        <w:tc>
          <w:tcPr>
            <w:tcW w:w="2267" w:type="dxa"/>
          </w:tcPr>
          <w:p w:rsidR="00041039" w:rsidRDefault="001B26CB">
            <w:pPr>
              <w:pStyle w:val="TableParagraph"/>
              <w:spacing w:before="19"/>
              <w:ind w:left="57"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line="237" w:lineRule="auto"/>
              <w:ind w:left="57" w:right="14"/>
              <w:rPr>
                <w:sz w:val="14"/>
              </w:rPr>
            </w:pPr>
            <w:r>
              <w:rPr>
                <w:color w:val="231F20"/>
                <w:sz w:val="14"/>
              </w:rPr>
              <w:t>Настава се изводи фронтално и по групама, у зависности од карактера методске јединице која се реали­ зује. Уколико је потребно, нарочито за вежбе из корективне гимнастике, приступ је индивидуалан.</w:t>
            </w:r>
          </w:p>
          <w:p w:rsidR="00041039" w:rsidRDefault="00041039">
            <w:pPr>
              <w:pStyle w:val="TableParagraph"/>
              <w:ind w:left="0"/>
              <w:rPr>
                <w:b/>
                <w:sz w:val="14"/>
              </w:rPr>
            </w:pPr>
          </w:p>
          <w:p w:rsidR="00041039" w:rsidRDefault="001B26CB">
            <w:pPr>
              <w:pStyle w:val="TableParagraph"/>
              <w:spacing w:line="155" w:lineRule="exact"/>
              <w:ind w:left="57"/>
              <w:rPr>
                <w:b/>
                <w:sz w:val="14"/>
              </w:rPr>
            </w:pPr>
            <w:r>
              <w:rPr>
                <w:b/>
                <w:color w:val="231F20"/>
                <w:sz w:val="14"/>
              </w:rPr>
              <w:t>Место реализације</w:t>
            </w:r>
            <w:r>
              <w:rPr>
                <w:b/>
                <w:color w:val="231F20"/>
                <w:sz w:val="14"/>
              </w:rPr>
              <w:t xml:space="preserve"> наставе</w:t>
            </w:r>
          </w:p>
          <w:p w:rsidR="00041039" w:rsidRDefault="001B26CB">
            <w:pPr>
              <w:pStyle w:val="TableParagraph"/>
              <w:tabs>
                <w:tab w:val="left" w:pos="158"/>
              </w:tabs>
              <w:spacing w:line="237" w:lineRule="auto"/>
              <w:ind w:left="157" w:right="113" w:hanging="100"/>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tabs>
                <w:tab w:val="left" w:pos="158"/>
              </w:tabs>
              <w:spacing w:line="237" w:lineRule="auto"/>
              <w:ind w:left="157" w:right="101" w:hanging="100"/>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клијалиште).</w:t>
            </w:r>
          </w:p>
          <w:p w:rsidR="00041039" w:rsidRDefault="00041039">
            <w:pPr>
              <w:pStyle w:val="TableParagraph"/>
              <w:spacing w:before="10"/>
              <w:ind w:left="0"/>
              <w:rPr>
                <w:b/>
                <w:sz w:val="12"/>
              </w:rPr>
            </w:pPr>
          </w:p>
          <w:p w:rsidR="00041039" w:rsidRDefault="001B26CB">
            <w:pPr>
              <w:pStyle w:val="TableParagraph"/>
              <w:ind w:left="57" w:right="109"/>
              <w:rPr>
                <w:b/>
                <w:sz w:val="14"/>
              </w:rPr>
            </w:pPr>
            <w:r>
              <w:rPr>
                <w:b/>
                <w:color w:val="231F20"/>
                <w:sz w:val="14"/>
              </w:rPr>
              <w:t>Препоруке за реализацију наставе</w:t>
            </w:r>
          </w:p>
          <w:p w:rsidR="00041039" w:rsidRDefault="001B26CB">
            <w:pPr>
              <w:pStyle w:val="TableParagraph"/>
              <w:tabs>
                <w:tab w:val="left" w:pos="158"/>
              </w:tabs>
              <w:spacing w:before="1" w:line="160" w:lineRule="exact"/>
              <w:ind w:left="157" w:right="74" w:hanging="100"/>
              <w:rPr>
                <w:sz w:val="14"/>
              </w:rPr>
            </w:pPr>
            <w:r>
              <w:rPr>
                <w:color w:val="231F20"/>
                <w:sz w:val="14"/>
              </w:rPr>
              <w:t>Настава се реализује у циклусима који трају приближно 10­12 часова (узастопних). Наставнику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8"/>
              <w:ind w:left="0"/>
              <w:rPr>
                <w:b/>
                <w:sz w:val="13"/>
              </w:rPr>
            </w:pPr>
          </w:p>
          <w:p w:rsidR="00041039" w:rsidRDefault="001B26CB">
            <w:pPr>
              <w:pStyle w:val="TableParagraph"/>
              <w:spacing w:line="161" w:lineRule="exact"/>
              <w:ind w:left="57"/>
              <w:rPr>
                <w:b/>
                <w:sz w:val="14"/>
              </w:rPr>
            </w:pPr>
            <w:r>
              <w:rPr>
                <w:b/>
                <w:color w:val="231F20"/>
                <w:sz w:val="14"/>
              </w:rPr>
              <w:t>Садржај циклуса је:</w:t>
            </w:r>
          </w:p>
          <w:p w:rsidR="00041039" w:rsidRDefault="001B26CB">
            <w:pPr>
              <w:pStyle w:val="TableParagraph"/>
              <w:tabs>
                <w:tab w:val="left" w:pos="163"/>
              </w:tabs>
              <w:ind w:left="162" w:right="130" w:hanging="105"/>
              <w:rPr>
                <w:sz w:val="14"/>
              </w:rPr>
            </w:pPr>
            <w:r>
              <w:rPr>
                <w:color w:val="231F20"/>
                <w:sz w:val="14"/>
              </w:rPr>
              <w:t>за проверу нивоа знањ</w:t>
            </w:r>
            <w:r>
              <w:rPr>
                <w:color w:val="231F20"/>
                <w:sz w:val="14"/>
              </w:rPr>
              <w:t>а</w:t>
            </w:r>
            <w:r>
              <w:rPr>
                <w:color w:val="231F20"/>
                <w:spacing w:val="-21"/>
                <w:sz w:val="14"/>
              </w:rPr>
              <w:t xml:space="preserve"> </w:t>
            </w:r>
            <w:r>
              <w:rPr>
                <w:color w:val="231F20"/>
                <w:sz w:val="14"/>
              </w:rPr>
              <w:t xml:space="preserve">накрцају </w:t>
            </w:r>
            <w:r>
              <w:rPr>
                <w:color w:val="231F20"/>
                <w:spacing w:val="-3"/>
                <w:sz w:val="14"/>
              </w:rPr>
              <w:t xml:space="preserve">школске </w:t>
            </w:r>
            <w:r>
              <w:rPr>
                <w:color w:val="231F20"/>
                <w:sz w:val="14"/>
              </w:rPr>
              <w:t>године ­ један;</w:t>
            </w:r>
          </w:p>
          <w:p w:rsidR="00041039" w:rsidRDefault="001B26CB">
            <w:pPr>
              <w:pStyle w:val="TableParagraph"/>
              <w:tabs>
                <w:tab w:val="left" w:pos="163"/>
              </w:tabs>
              <w:spacing w:line="159" w:lineRule="exact"/>
              <w:ind w:left="162" w:hanging="105"/>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tabs>
                <w:tab w:val="left" w:pos="163"/>
              </w:tabs>
              <w:ind w:left="162" w:right="68" w:hanging="105"/>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tabs>
                <w:tab w:val="left" w:pos="163"/>
              </w:tabs>
              <w:spacing w:line="159" w:lineRule="exact"/>
              <w:ind w:left="162" w:hanging="105"/>
              <w:rPr>
                <w:sz w:val="14"/>
              </w:rPr>
            </w:pPr>
            <w:r>
              <w:rPr>
                <w:color w:val="231F20"/>
                <w:sz w:val="14"/>
              </w:rPr>
              <w:t>за спорт по избору ученика</w:t>
            </w:r>
            <w:r>
              <w:rPr>
                <w:color w:val="231F20"/>
                <w:spacing w:val="-10"/>
                <w:sz w:val="14"/>
              </w:rPr>
              <w:t xml:space="preserve"> </w:t>
            </w:r>
            <w:r>
              <w:rPr>
                <w:color w:val="231F20"/>
                <w:sz w:val="14"/>
              </w:rPr>
              <w:t>­два;</w:t>
            </w:r>
          </w:p>
          <w:p w:rsidR="00041039" w:rsidRDefault="001B26CB">
            <w:pPr>
              <w:pStyle w:val="TableParagraph"/>
              <w:tabs>
                <w:tab w:val="left" w:pos="163"/>
              </w:tabs>
              <w:ind w:left="162" w:right="244" w:hanging="105"/>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9" w:lineRule="exact"/>
              <w:ind w:left="162"/>
              <w:rPr>
                <w:sz w:val="14"/>
              </w:rPr>
            </w:pPr>
            <w:r>
              <w:rPr>
                <w:color w:val="231F20"/>
                <w:sz w:val="14"/>
              </w:rPr>
              <w:t>­један.</w:t>
            </w:r>
          </w:p>
          <w:p w:rsidR="00041039" w:rsidRDefault="00041039">
            <w:pPr>
              <w:pStyle w:val="TableParagraph"/>
              <w:spacing w:before="8"/>
              <w:ind w:left="0"/>
              <w:rPr>
                <w:b/>
                <w:sz w:val="13"/>
              </w:rPr>
            </w:pPr>
          </w:p>
          <w:p w:rsidR="00041039" w:rsidRDefault="001B26CB">
            <w:pPr>
              <w:pStyle w:val="TableParagraph"/>
              <w:ind w:left="57" w:right="32"/>
              <w:rPr>
                <w:sz w:val="14"/>
              </w:rPr>
            </w:pPr>
            <w:r>
              <w:rPr>
                <w:b/>
                <w:color w:val="231F20"/>
                <w:sz w:val="14"/>
              </w:rPr>
              <w:t xml:space="preserve">Начин остваривања програма </w:t>
            </w:r>
            <w:r>
              <w:rPr>
                <w:color w:val="231F20"/>
                <w:sz w:val="14"/>
              </w:rPr>
              <w:t>Садржаји програма усмерени суна: развијање физичких способности; спортско­техничко образовање; повезивање физичког васпитања са животом и радом. Годишњи план, програм и распоред кросева, такми­ чења, зимовања и других облика рада утврђује се на почетку шко</w:t>
            </w:r>
            <w:r>
              <w:rPr>
                <w:color w:val="231F20"/>
                <w:sz w:val="14"/>
              </w:rPr>
              <w:t>лс­ ке године на наставничком већу, на предлог стручног већа наставника физичког васпитања.</w:t>
            </w:r>
          </w:p>
          <w:p w:rsidR="00041039" w:rsidRDefault="001B26CB">
            <w:pPr>
              <w:pStyle w:val="TableParagraph"/>
              <w:spacing w:line="149" w:lineRule="exact"/>
              <w:ind w:left="57"/>
              <w:rPr>
                <w:sz w:val="14"/>
              </w:rPr>
            </w:pPr>
            <w:r>
              <w:rPr>
                <w:color w:val="231F20"/>
                <w:sz w:val="14"/>
              </w:rPr>
              <w:t>Стручно веће наставника физичког</w:t>
            </w:r>
          </w:p>
          <w:p w:rsidR="00041039" w:rsidRDefault="001B26CB">
            <w:pPr>
              <w:pStyle w:val="TableParagraph"/>
              <w:ind w:left="57" w:right="222"/>
              <w:jc w:val="both"/>
              <w:rPr>
                <w:sz w:val="14"/>
              </w:rPr>
            </w:pPr>
            <w:r>
              <w:rPr>
                <w:color w:val="231F20"/>
                <w:sz w:val="14"/>
              </w:rPr>
              <w:t>васпитања, самостално, одређује редослед обраде појединих садр­ жаја програма и циклуса.</w:t>
            </w:r>
          </w:p>
          <w:p w:rsidR="00041039" w:rsidRDefault="001B26CB">
            <w:pPr>
              <w:pStyle w:val="TableParagraph"/>
              <w:spacing w:line="237" w:lineRule="auto"/>
              <w:ind w:left="57" w:right="40"/>
              <w:rPr>
                <w:sz w:val="14"/>
              </w:rPr>
            </w:pPr>
            <w:r>
              <w:rPr>
                <w:color w:val="231F20"/>
                <w:sz w:val="14"/>
              </w:rPr>
              <w:t>Часови у току недеље треба да буду распоре</w:t>
            </w:r>
            <w:r>
              <w:rPr>
                <w:color w:val="231F20"/>
                <w:sz w:val="14"/>
              </w:rPr>
              <w:t xml:space="preserve">ђени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p w:rsidR="00041039" w:rsidRDefault="001B26CB">
            <w:pPr>
              <w:pStyle w:val="TableParagraph"/>
              <w:spacing w:before="1"/>
              <w:ind w:left="57"/>
              <w:rPr>
                <w:sz w:val="14"/>
              </w:rPr>
            </w:pPr>
            <w:r>
              <w:rPr>
                <w:color w:val="231F20"/>
                <w:sz w:val="14"/>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 питање дозвољена је истовремена реализација часа.</w:t>
            </w:r>
          </w:p>
          <w:p w:rsidR="00041039" w:rsidRDefault="00041039">
            <w:pPr>
              <w:pStyle w:val="TableParagraph"/>
              <w:spacing w:before="4"/>
              <w:ind w:left="0"/>
              <w:rPr>
                <w:b/>
                <w:sz w:val="13"/>
              </w:rPr>
            </w:pPr>
          </w:p>
          <w:p w:rsidR="00041039" w:rsidRDefault="001B26CB">
            <w:pPr>
              <w:pStyle w:val="TableParagraph"/>
              <w:ind w:left="57"/>
              <w:rPr>
                <w:b/>
                <w:sz w:val="14"/>
              </w:rPr>
            </w:pPr>
            <w:r>
              <w:rPr>
                <w:b/>
                <w:color w:val="231F20"/>
                <w:sz w:val="14"/>
              </w:rPr>
              <w:t>Праћење, вредновање и оцењи- вање</w:t>
            </w:r>
          </w:p>
          <w:p w:rsidR="00041039" w:rsidRDefault="001B26CB">
            <w:pPr>
              <w:pStyle w:val="TableParagraph"/>
              <w:spacing w:line="237" w:lineRule="auto"/>
              <w:ind w:left="57" w:right="86"/>
              <w:rPr>
                <w:sz w:val="14"/>
              </w:rPr>
            </w:pPr>
            <w:r>
              <w:rPr>
                <w:color w:val="231F20"/>
                <w:sz w:val="14"/>
              </w:rPr>
              <w:t>Пр</w:t>
            </w:r>
            <w:r>
              <w:rPr>
                <w:color w:val="231F20"/>
                <w:sz w:val="14"/>
              </w:rPr>
              <w:t>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w:t>
            </w:r>
            <w:r>
              <w:rPr>
                <w:color w:val="231F20"/>
                <w:sz w:val="14"/>
              </w:rPr>
              <w:t>грама.</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9958"/>
        </w:trPr>
        <w:tc>
          <w:tcPr>
            <w:tcW w:w="130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3"/>
              <w:ind w:left="0"/>
              <w:rPr>
                <w:b/>
                <w:sz w:val="18"/>
              </w:rPr>
            </w:pPr>
          </w:p>
          <w:p w:rsidR="00041039" w:rsidRDefault="001B26CB">
            <w:pPr>
              <w:pStyle w:val="TableParagraph"/>
              <w:ind w:left="56" w:right="130"/>
              <w:rPr>
                <w:sz w:val="14"/>
              </w:rPr>
            </w:pPr>
            <w:r>
              <w:rPr>
                <w:color w:val="231F20"/>
                <w:sz w:val="14"/>
              </w:rPr>
              <w:t>Спортска игра (по избору)</w:t>
            </w:r>
          </w:p>
          <w:p w:rsidR="00041039" w:rsidRDefault="00041039">
            <w:pPr>
              <w:pStyle w:val="TableParagraph"/>
              <w:spacing w:before="9"/>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1B26CB">
            <w:pPr>
              <w:pStyle w:val="TableParagraph"/>
              <w:tabs>
                <w:tab w:val="left" w:pos="142"/>
              </w:tabs>
              <w:spacing w:before="16" w:line="161" w:lineRule="exact"/>
              <w:ind w:left="141" w:hanging="84"/>
              <w:rPr>
                <w:b/>
                <w:sz w:val="14"/>
              </w:rPr>
            </w:pPr>
            <w:r>
              <w:rPr>
                <w:b/>
                <w:color w:val="231F20"/>
                <w:sz w:val="14"/>
              </w:rPr>
              <w:t>Вратило</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/дохватно вратило/:</w:t>
            </w:r>
          </w:p>
          <w:p w:rsidR="00041039" w:rsidRDefault="001B26CB">
            <w:pPr>
              <w:pStyle w:val="TableParagraph"/>
              <w:ind w:left="57" w:right="144"/>
              <w:jc w:val="both"/>
              <w:rPr>
                <w:sz w:val="14"/>
              </w:rPr>
            </w:pPr>
            <w:r>
              <w:rPr>
                <w:color w:val="231F20"/>
                <w:sz w:val="14"/>
              </w:rPr>
              <w:t>суножним одривом узмак; ковртљај назад у упору</w:t>
            </w:r>
            <w:r>
              <w:rPr>
                <w:color w:val="231F20"/>
                <w:spacing w:val="-7"/>
                <w:sz w:val="14"/>
              </w:rPr>
              <w:t xml:space="preserve"> </w:t>
            </w:r>
            <w:r>
              <w:rPr>
                <w:color w:val="231F20"/>
                <w:sz w:val="14"/>
              </w:rPr>
              <w:t>предњем;</w:t>
            </w:r>
            <w:r>
              <w:rPr>
                <w:color w:val="231F20"/>
                <w:spacing w:val="-7"/>
                <w:sz w:val="14"/>
              </w:rPr>
              <w:t xml:space="preserve"> </w:t>
            </w:r>
            <w:r>
              <w:rPr>
                <w:color w:val="231F20"/>
                <w:sz w:val="14"/>
              </w:rPr>
              <w:t>саскок</w:t>
            </w:r>
            <w:r>
              <w:rPr>
                <w:color w:val="231F20"/>
                <w:spacing w:val="-7"/>
                <w:sz w:val="14"/>
              </w:rPr>
              <w:t xml:space="preserve"> </w:t>
            </w:r>
            <w:r>
              <w:rPr>
                <w:color w:val="231F20"/>
                <w:sz w:val="14"/>
              </w:rPr>
              <w:t>замахом</w:t>
            </w:r>
            <w:r>
              <w:rPr>
                <w:color w:val="231F20"/>
                <w:spacing w:val="-7"/>
                <w:sz w:val="14"/>
              </w:rPr>
              <w:t xml:space="preserve"> </w:t>
            </w:r>
            <w:r>
              <w:rPr>
                <w:color w:val="231F20"/>
                <w:sz w:val="14"/>
              </w:rPr>
              <w:t>у</w:t>
            </w:r>
            <w:r>
              <w:rPr>
                <w:color w:val="231F20"/>
                <w:spacing w:val="-7"/>
                <w:sz w:val="14"/>
              </w:rPr>
              <w:t xml:space="preserve"> </w:t>
            </w:r>
            <w:r>
              <w:rPr>
                <w:color w:val="231F20"/>
                <w:sz w:val="14"/>
              </w:rPr>
              <w:t>заножење (зањихом).</w:t>
            </w:r>
          </w:p>
          <w:p w:rsidR="00041039" w:rsidRDefault="001B26CB">
            <w:pPr>
              <w:pStyle w:val="TableParagraph"/>
              <w:tabs>
                <w:tab w:val="left" w:pos="142"/>
              </w:tabs>
              <w:spacing w:line="158" w:lineRule="exact"/>
              <w:ind w:left="141" w:hanging="84"/>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За ученице</w:t>
            </w:r>
            <w:r>
              <w:rPr>
                <w:color w:val="231F20"/>
                <w:sz w:val="14"/>
              </w:rPr>
              <w:t>/висока греда/:</w:t>
            </w:r>
          </w:p>
          <w:p w:rsidR="00041039" w:rsidRDefault="001B26CB">
            <w:pPr>
              <w:pStyle w:val="TableParagraph"/>
              <w:ind w:left="162" w:right="47" w:hanging="105"/>
              <w:rPr>
                <w:sz w:val="14"/>
              </w:rPr>
            </w:pPr>
            <w:r>
              <w:rPr>
                <w:color w:val="231F20"/>
                <w:sz w:val="14"/>
              </w:rPr>
              <w:t xml:space="preserve">– залетом и суножним </w:t>
            </w:r>
            <w:r>
              <w:rPr>
                <w:color w:val="231F20"/>
                <w:spacing w:val="-3"/>
                <w:sz w:val="14"/>
              </w:rPr>
              <w:t xml:space="preserve">одскоком </w:t>
            </w:r>
            <w:r>
              <w:rPr>
                <w:color w:val="231F20"/>
                <w:sz w:val="14"/>
              </w:rPr>
              <w:t>наскок у упор, премах одножно десном: окрет за 90°. упором рукама испред тела преднос разножно; ослонцем ногу иза тела</w:t>
            </w:r>
            <w:r>
              <w:rPr>
                <w:color w:val="231F20"/>
                <w:spacing w:val="-17"/>
                <w:sz w:val="14"/>
              </w:rPr>
              <w:t xml:space="preserve"> </w:t>
            </w:r>
            <w:r>
              <w:rPr>
                <w:color w:val="231F20"/>
                <w:sz w:val="14"/>
              </w:rPr>
              <w:t>(</w:t>
            </w:r>
            <w:r>
              <w:rPr>
                <w:b/>
                <w:color w:val="231F20"/>
                <w:sz w:val="14"/>
              </w:rPr>
              <w:t>напред- нији ниво</w:t>
            </w:r>
            <w:r>
              <w:rPr>
                <w:color w:val="231F20"/>
                <w:sz w:val="14"/>
              </w:rPr>
              <w:t>: замахом у заножење) до упора чучећег; усправ, усправ, ходање у успону са докорацима, вага претклоном, усклон, саскок пруженим телом (чеоно или бочно у односу на</w:t>
            </w:r>
            <w:r>
              <w:rPr>
                <w:color w:val="231F20"/>
                <w:spacing w:val="-2"/>
                <w:sz w:val="14"/>
              </w:rPr>
              <w:t xml:space="preserve"> </w:t>
            </w:r>
            <w:r>
              <w:rPr>
                <w:color w:val="231F20"/>
                <w:sz w:val="14"/>
              </w:rPr>
              <w:t>справу).</w:t>
            </w:r>
          </w:p>
          <w:p w:rsidR="00041039" w:rsidRDefault="001B26CB">
            <w:pPr>
              <w:pStyle w:val="TableParagraph"/>
              <w:tabs>
                <w:tab w:val="left" w:pos="142"/>
              </w:tabs>
              <w:spacing w:line="237" w:lineRule="auto"/>
              <w:ind w:left="57" w:right="1426"/>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ind w:left="162" w:right="65" w:hanging="105"/>
              <w:rPr>
                <w:sz w:val="14"/>
              </w:rPr>
            </w:pPr>
            <w:r>
              <w:rPr>
                <w:color w:val="231F20"/>
                <w:sz w:val="14"/>
              </w:rPr>
              <w:t xml:space="preserve">– премах одножно десном напред замах улево, замах удесно, замах улево и спојено премах левом напред; премах десном назад, замах улево, замах удесно и спојено одножењем десне, саскок са окретом за 90º улево до става на </w:t>
            </w:r>
            <w:r>
              <w:rPr>
                <w:color w:val="231F20"/>
                <w:spacing w:val="-5"/>
                <w:sz w:val="14"/>
              </w:rPr>
              <w:t xml:space="preserve">тлу, </w:t>
            </w:r>
            <w:r>
              <w:rPr>
                <w:color w:val="231F20"/>
                <w:sz w:val="14"/>
              </w:rPr>
              <w:t xml:space="preserve">леви бок према </w:t>
            </w:r>
            <w:r>
              <w:rPr>
                <w:color w:val="231F20"/>
                <w:spacing w:val="-5"/>
                <w:sz w:val="14"/>
              </w:rPr>
              <w:t>коњу.</w:t>
            </w:r>
          </w:p>
          <w:p w:rsidR="00041039" w:rsidRDefault="001B26CB">
            <w:pPr>
              <w:pStyle w:val="TableParagraph"/>
              <w:spacing w:line="237" w:lineRule="auto"/>
              <w:ind w:left="57" w:right="62"/>
              <w:rPr>
                <w:sz w:val="14"/>
              </w:rPr>
            </w:pPr>
            <w:r>
              <w:rPr>
                <w:b/>
                <w:color w:val="231F20"/>
                <w:sz w:val="14"/>
              </w:rPr>
              <w:t>Школско такм</w:t>
            </w:r>
            <w:r>
              <w:rPr>
                <w:b/>
                <w:color w:val="231F20"/>
                <w:sz w:val="14"/>
              </w:rPr>
              <w:t>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61"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w:t>
            </w:r>
            <w:r>
              <w:rPr>
                <w:b/>
                <w:color w:val="231F20"/>
                <w:sz w:val="14"/>
              </w:rPr>
              <w:t xml:space="preserve">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pacing w:val="-4"/>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10"/>
              <w:ind w:left="0"/>
              <w:rPr>
                <w:b/>
                <w:sz w:val="12"/>
              </w:rPr>
            </w:pPr>
          </w:p>
          <w:p w:rsidR="00041039" w:rsidRDefault="001B26CB">
            <w:pPr>
              <w:pStyle w:val="TableParagraph"/>
              <w:spacing w:line="161" w:lineRule="exact"/>
              <w:ind w:left="57"/>
              <w:rPr>
                <w:b/>
                <w:sz w:val="14"/>
              </w:rPr>
            </w:pPr>
            <w:r>
              <w:rPr>
                <w:b/>
                <w:color w:val="231F20"/>
                <w:sz w:val="14"/>
              </w:rPr>
              <w:t>СПОРТСКА ИГРА (по избору)</w:t>
            </w:r>
          </w:p>
          <w:p w:rsidR="00041039" w:rsidRDefault="001B26CB">
            <w:pPr>
              <w:pStyle w:val="TableParagraph"/>
              <w:tabs>
                <w:tab w:val="left" w:pos="163"/>
              </w:tabs>
              <w:ind w:left="162" w:right="156" w:hanging="105"/>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tabs>
                <w:tab w:val="left" w:pos="163"/>
              </w:tabs>
              <w:ind w:left="162" w:right="134" w:hanging="105"/>
              <w:rPr>
                <w:sz w:val="14"/>
              </w:rPr>
            </w:pPr>
            <w:r>
              <w:rPr>
                <w:color w:val="231F20"/>
                <w:sz w:val="14"/>
              </w:rPr>
              <w:t xml:space="preserve">Даље проширивање и продубљивање техничко­тактичке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w:t>
            </w:r>
            <w:r>
              <w:rPr>
                <w:color w:val="231F20"/>
                <w:sz w:val="14"/>
              </w:rPr>
              <w:t>ржаје из спортске</w:t>
            </w:r>
            <w:r>
              <w:rPr>
                <w:color w:val="231F20"/>
                <w:spacing w:val="-7"/>
                <w:sz w:val="14"/>
              </w:rPr>
              <w:t xml:space="preserve"> </w:t>
            </w:r>
            <w:r>
              <w:rPr>
                <w:color w:val="231F20"/>
                <w:sz w:val="14"/>
              </w:rPr>
              <w:t>игре.</w:t>
            </w:r>
          </w:p>
          <w:p w:rsidR="00041039" w:rsidRDefault="001B26CB">
            <w:pPr>
              <w:pStyle w:val="TableParagraph"/>
              <w:tabs>
                <w:tab w:val="left" w:pos="157"/>
              </w:tabs>
              <w:spacing w:line="155" w:lineRule="exact"/>
              <w:ind w:hanging="99"/>
              <w:rPr>
                <w:sz w:val="14"/>
              </w:rPr>
            </w:pPr>
            <w:r>
              <w:rPr>
                <w:color w:val="231F20"/>
                <w:sz w:val="14"/>
              </w:rPr>
              <w:t>Стручно веће наставника физичког</w:t>
            </w:r>
            <w:r>
              <w:rPr>
                <w:color w:val="231F20"/>
                <w:spacing w:val="-9"/>
                <w:sz w:val="14"/>
              </w:rPr>
              <w:t xml:space="preserve"> </w:t>
            </w:r>
            <w:r>
              <w:rPr>
                <w:color w:val="231F20"/>
                <w:sz w:val="14"/>
              </w:rPr>
              <w:t>васпи­</w:t>
            </w:r>
          </w:p>
          <w:p w:rsidR="00041039" w:rsidRDefault="001B26CB">
            <w:pPr>
              <w:pStyle w:val="TableParagraph"/>
              <w:rPr>
                <w:sz w:val="14"/>
              </w:rPr>
            </w:pPr>
            <w:r>
              <w:rPr>
                <w:color w:val="231F20"/>
                <w:sz w:val="14"/>
              </w:rPr>
              <w:t>тања, према програму који сам доноси из програмапрвогразреда (програм по избору ученика) у складу са могућностима школе, организује наставу за коју ученици покажу посебно интересовање.</w:t>
            </w:r>
          </w:p>
          <w:p w:rsidR="00041039" w:rsidRDefault="001B26CB">
            <w:pPr>
              <w:pStyle w:val="TableParagraph"/>
              <w:tabs>
                <w:tab w:val="left" w:pos="157"/>
              </w:tabs>
              <w:spacing w:line="156" w:lineRule="exact"/>
              <w:ind w:hanging="99"/>
              <w:rPr>
                <w:sz w:val="14"/>
              </w:rPr>
            </w:pPr>
            <w:r>
              <w:rPr>
                <w:color w:val="231F20"/>
                <w:sz w:val="14"/>
              </w:rPr>
              <w:t>Препору</w:t>
            </w:r>
            <w:r>
              <w:rPr>
                <w:color w:val="231F20"/>
                <w:sz w:val="14"/>
              </w:rPr>
              <w:t xml:space="preserve">ка: </w:t>
            </w:r>
            <w:r>
              <w:rPr>
                <w:color w:val="231F20"/>
                <w:spacing w:val="-3"/>
                <w:sz w:val="14"/>
              </w:rPr>
              <w:t xml:space="preserve">уколико </w:t>
            </w:r>
            <w:r>
              <w:rPr>
                <w:color w:val="231F20"/>
                <w:sz w:val="14"/>
              </w:rPr>
              <w:t>је могуће,</w:t>
            </w:r>
            <w:r>
              <w:rPr>
                <w:color w:val="231F20"/>
                <w:spacing w:val="-1"/>
                <w:sz w:val="14"/>
              </w:rPr>
              <w:t xml:space="preserve"> </w:t>
            </w:r>
            <w:r>
              <w:rPr>
                <w:color w:val="231F20"/>
                <w:sz w:val="14"/>
              </w:rPr>
              <w:t>организо­</w:t>
            </w:r>
          </w:p>
          <w:p w:rsidR="00041039" w:rsidRDefault="001B26CB">
            <w:pPr>
              <w:pStyle w:val="TableParagraph"/>
              <w:rPr>
                <w:sz w:val="14"/>
              </w:rPr>
            </w:pPr>
            <w:r>
              <w:rPr>
                <w:color w:val="231F20"/>
                <w:sz w:val="14"/>
              </w:rPr>
              <w:t>вати наставу пливања (посебно обуку за непливаче)</w:t>
            </w:r>
          </w:p>
        </w:tc>
        <w:tc>
          <w:tcPr>
            <w:tcW w:w="2267" w:type="dxa"/>
          </w:tcPr>
          <w:p w:rsidR="00041039" w:rsidRDefault="001B26CB">
            <w:pPr>
              <w:pStyle w:val="TableParagraph"/>
              <w:spacing w:before="17" w:line="161" w:lineRule="exact"/>
              <w:ind w:left="57"/>
              <w:rPr>
                <w:b/>
                <w:sz w:val="14"/>
              </w:rPr>
            </w:pPr>
            <w:r>
              <w:rPr>
                <w:b/>
                <w:color w:val="231F20"/>
                <w:sz w:val="14"/>
              </w:rPr>
              <w:t>Минимални обавезни захтеви</w:t>
            </w:r>
          </w:p>
          <w:p w:rsidR="00041039" w:rsidRDefault="001B26CB">
            <w:pPr>
              <w:pStyle w:val="TableParagraph"/>
              <w:tabs>
                <w:tab w:val="left" w:pos="142"/>
              </w:tabs>
              <w:ind w:left="141" w:right="66" w:hanging="84"/>
              <w:rPr>
                <w:sz w:val="14"/>
              </w:rPr>
            </w:pPr>
            <w:r>
              <w:rPr>
                <w:b/>
                <w:color w:val="231F20"/>
                <w:spacing w:val="-3"/>
                <w:sz w:val="14"/>
              </w:rPr>
              <w:t xml:space="preserve">Атлетика: </w:t>
            </w:r>
            <w:r>
              <w:rPr>
                <w:color w:val="231F20"/>
                <w:sz w:val="14"/>
              </w:rPr>
              <w:t xml:space="preserve">трчање на 100 м за ученике и ученице, трчање на 800 м за ученике и 500 м за ученице, скок удаљ, увис, бацање </w:t>
            </w:r>
            <w:r>
              <w:rPr>
                <w:color w:val="231F20"/>
                <w:spacing w:val="-3"/>
                <w:sz w:val="14"/>
              </w:rPr>
              <w:t xml:space="preserve">кугле </w:t>
            </w:r>
            <w:r>
              <w:rPr>
                <w:color w:val="231F20"/>
                <w:sz w:val="14"/>
              </w:rPr>
              <w:t>­</w:t>
            </w:r>
            <w:r>
              <w:rPr>
                <w:color w:val="231F20"/>
                <w:spacing w:val="-14"/>
                <w:sz w:val="14"/>
              </w:rPr>
              <w:t xml:space="preserve"> </w:t>
            </w:r>
            <w:r>
              <w:rPr>
                <w:color w:val="231F20"/>
                <w:sz w:val="14"/>
              </w:rPr>
              <w:t xml:space="preserve">на </w:t>
            </w:r>
            <w:r>
              <w:rPr>
                <w:color w:val="231F20"/>
                <w:spacing w:val="-3"/>
                <w:sz w:val="14"/>
              </w:rPr>
              <w:t>резултат.</w:t>
            </w:r>
          </w:p>
          <w:p w:rsidR="00041039" w:rsidRDefault="001B26CB">
            <w:pPr>
              <w:pStyle w:val="TableParagraph"/>
              <w:tabs>
                <w:tab w:val="left" w:pos="158"/>
              </w:tabs>
              <w:spacing w:line="156" w:lineRule="exact"/>
              <w:ind w:left="157" w:hanging="100"/>
              <w:rPr>
                <w:sz w:val="14"/>
              </w:rPr>
            </w:pPr>
            <w:r>
              <w:rPr>
                <w:color w:val="231F20"/>
                <w:sz w:val="14"/>
              </w:rPr>
              <w:t>Вежбе на справама и</w:t>
            </w:r>
            <w:r>
              <w:rPr>
                <w:color w:val="231F20"/>
                <w:spacing w:val="-5"/>
                <w:sz w:val="14"/>
              </w:rPr>
              <w:t xml:space="preserve"> </w:t>
            </w:r>
            <w:r>
              <w:rPr>
                <w:color w:val="231F20"/>
                <w:sz w:val="14"/>
              </w:rPr>
              <w:t>тлу:</w:t>
            </w:r>
          </w:p>
          <w:p w:rsidR="00041039" w:rsidRDefault="001B26CB">
            <w:pPr>
              <w:pStyle w:val="TableParagraph"/>
              <w:ind w:left="57" w:right="292"/>
              <w:rPr>
                <w:sz w:val="14"/>
              </w:rPr>
            </w:pPr>
            <w:r>
              <w:rPr>
                <w:b/>
                <w:color w:val="231F20"/>
                <w:sz w:val="14"/>
              </w:rPr>
              <w:t xml:space="preserve">За ученике: </w:t>
            </w:r>
            <w:r>
              <w:rPr>
                <w:color w:val="231F20"/>
                <w:sz w:val="14"/>
              </w:rPr>
              <w:t>наставни садржаји из програма вежби на тлу, прескока,једнесправе у упору и једне справе у вису.</w:t>
            </w:r>
          </w:p>
          <w:p w:rsidR="00041039" w:rsidRDefault="001B26CB">
            <w:pPr>
              <w:pStyle w:val="TableParagraph"/>
              <w:spacing w:line="237" w:lineRule="auto"/>
              <w:ind w:left="57" w:right="175"/>
              <w:jc w:val="both"/>
              <w:rPr>
                <w:sz w:val="14"/>
              </w:rPr>
            </w:pPr>
            <w:r>
              <w:rPr>
                <w:b/>
                <w:color w:val="231F20"/>
                <w:sz w:val="14"/>
              </w:rPr>
              <w:t>За ученице:</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7"/>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w:t>
            </w:r>
            <w:r>
              <w:rPr>
                <w:b/>
                <w:color w:val="231F20"/>
                <w:sz w:val="14"/>
              </w:rPr>
              <w:t>ма</w:t>
            </w:r>
          </w:p>
          <w:p w:rsidR="00041039" w:rsidRDefault="001B26CB">
            <w:pPr>
              <w:pStyle w:val="TableParagraph"/>
              <w:tabs>
                <w:tab w:val="left" w:pos="158"/>
              </w:tabs>
              <w:spacing w:line="237" w:lineRule="auto"/>
              <w:ind w:left="157" w:right="179" w:hanging="100"/>
              <w:jc w:val="both"/>
              <w:rPr>
                <w:b/>
                <w:sz w:val="14"/>
              </w:rPr>
            </w:pPr>
            <w:r>
              <w:rPr>
                <w:color w:val="231F20"/>
                <w:sz w:val="14"/>
              </w:rPr>
              <w:t xml:space="preserve">Тестирање и проверасавладано­ сти стандарда из основне </w:t>
            </w:r>
            <w:r>
              <w:rPr>
                <w:color w:val="231F20"/>
                <w:spacing w:val="-3"/>
                <w:sz w:val="14"/>
              </w:rPr>
              <w:t xml:space="preserve">школе </w:t>
            </w:r>
            <w:r>
              <w:rPr>
                <w:b/>
                <w:color w:val="231F20"/>
                <w:sz w:val="14"/>
              </w:rPr>
              <w:t>(6</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237" w:lineRule="auto"/>
              <w:ind w:left="157" w:right="92" w:hanging="100"/>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tabs>
                <w:tab w:val="left" w:pos="158"/>
              </w:tabs>
              <w:spacing w:line="155" w:lineRule="exact"/>
              <w:ind w:left="157" w:hanging="100"/>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237" w:lineRule="auto"/>
              <w:ind w:left="157" w:right="104" w:hanging="100"/>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100"/>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tabs>
                <w:tab w:val="left" w:pos="158"/>
              </w:tabs>
              <w:spacing w:line="237" w:lineRule="auto"/>
              <w:ind w:left="157" w:right="119" w:hanging="100"/>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57" w:lineRule="exact"/>
              <w:ind w:left="157" w:hanging="100"/>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237" w:lineRule="auto"/>
              <w:ind w:left="157" w:right="401" w:hanging="100"/>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ПОСЕБНЕАКТИВНОСТИ</w:t>
            </w:r>
          </w:p>
          <w:p w:rsidR="00041039" w:rsidRDefault="001B26CB">
            <w:pPr>
              <w:pStyle w:val="TableParagraph"/>
              <w:ind w:left="57" w:right="109"/>
              <w:rPr>
                <w:sz w:val="14"/>
              </w:rPr>
            </w:pPr>
            <w:r>
              <w:rPr>
                <w:color w:val="231F20"/>
                <w:sz w:val="14"/>
              </w:rPr>
              <w:t>Из фонда радних дана и за извођење редовне наставе школау току школске године организује: Два целодневна излета са пеша­ чењем:</w:t>
            </w:r>
          </w:p>
          <w:p w:rsidR="00041039" w:rsidRDefault="001B26CB">
            <w:pPr>
              <w:pStyle w:val="TableParagraph"/>
              <w:tabs>
                <w:tab w:val="left" w:pos="163"/>
              </w:tabs>
              <w:spacing w:line="237" w:lineRule="auto"/>
              <w:ind w:left="162" w:right="262" w:hanging="105"/>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tabs>
                <w:tab w:val="left" w:pos="163"/>
              </w:tabs>
              <w:ind w:left="162" w:right="180" w:hanging="105"/>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tabs>
                <w:tab w:val="left" w:pos="163"/>
              </w:tabs>
              <w:ind w:left="162" w:right="134" w:hanging="105"/>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w:t>
            </w:r>
            <w:r>
              <w:rPr>
                <w:color w:val="231F20"/>
                <w:sz w:val="14"/>
              </w:rPr>
              <w:t xml:space="preserve">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p w:rsidR="00041039" w:rsidRDefault="00041039">
            <w:pPr>
              <w:pStyle w:val="TableParagraph"/>
              <w:spacing w:before="11"/>
              <w:ind w:left="0"/>
              <w:rPr>
                <w:b/>
                <w:sz w:val="12"/>
              </w:rPr>
            </w:pPr>
          </w:p>
          <w:p w:rsidR="00041039" w:rsidRDefault="001B26CB">
            <w:pPr>
              <w:pStyle w:val="TableParagraph"/>
              <w:spacing w:line="237" w:lineRule="auto"/>
              <w:ind w:left="57" w:right="10"/>
              <w:rPr>
                <w:sz w:val="14"/>
              </w:rPr>
            </w:pPr>
            <w:r>
              <w:rPr>
                <w:color w:val="231F20"/>
                <w:sz w:val="14"/>
              </w:rPr>
              <w:t>Школа организује и спроводи спортска такмичења, као јединстве­ ни део процеса наставе физичког васпитања. Спортска такмичења организују се у оквиру радне суботе и у друго време које одреди школа. Међу школска спортска такмичења организују се у оквиру кален</w:t>
            </w:r>
            <w:r>
              <w:rPr>
                <w:color w:val="231F20"/>
                <w:sz w:val="14"/>
              </w:rPr>
              <w:t>дара који доноси Министарство просве­ те науке и технолошког развоја.</w:t>
            </w:r>
          </w:p>
        </w:tc>
      </w:tr>
    </w:tbl>
    <w:p w:rsidR="00041039" w:rsidRDefault="00041039">
      <w:pPr>
        <w:pStyle w:val="BodyText"/>
        <w:spacing w:before="8"/>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tabs>
                <w:tab w:val="left" w:pos="157"/>
              </w:tabs>
              <w:spacing w:before="8"/>
              <w:ind w:right="159" w:hanging="100"/>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tabs>
                <w:tab w:val="left" w:pos="157"/>
              </w:tabs>
              <w:spacing w:line="160" w:lineRule="exact"/>
              <w:ind w:right="336" w:hanging="100"/>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tabs>
                <w:tab w:val="left" w:pos="157"/>
              </w:tabs>
              <w:spacing w:line="237" w:lineRule="auto"/>
              <w:ind w:right="109" w:hanging="99"/>
              <w:rPr>
                <w:sz w:val="14"/>
              </w:rPr>
            </w:pPr>
            <w:r>
              <w:rPr>
                <w:color w:val="231F20"/>
                <w:sz w:val="14"/>
              </w:rPr>
              <w:t xml:space="preserve">Провера стања </w:t>
            </w:r>
            <w:r>
              <w:rPr>
                <w:color w:val="231F20"/>
                <w:sz w:val="14"/>
              </w:rPr>
              <w:t>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tcPr>
          <w:p w:rsidR="00041039" w:rsidRDefault="001B26CB">
            <w:pPr>
              <w:pStyle w:val="TableParagraph"/>
              <w:tabs>
                <w:tab w:val="left" w:pos="158"/>
              </w:tabs>
              <w:spacing w:before="9"/>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tabs>
                <w:tab w:val="left" w:pos="158"/>
              </w:tabs>
              <w:spacing w:line="156" w:lineRule="exact"/>
              <w:ind w:left="157"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 томе које вежбе позитивно утичу на статус њиховог органи­ зма, с обзиром на карактеристике њихове професије, а које негатив­ но утичу на здравље.</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622"/>
        </w:trPr>
        <w:tc>
          <w:tcPr>
            <w:tcW w:w="1304" w:type="dxa"/>
          </w:tcPr>
          <w:p w:rsidR="00041039" w:rsidRDefault="001B26CB">
            <w:pPr>
              <w:pStyle w:val="TableParagraph"/>
              <w:spacing w:before="20" w:line="235" w:lineRule="auto"/>
              <w:ind w:left="56" w:right="99"/>
              <w:rPr>
                <w:sz w:val="14"/>
              </w:rPr>
            </w:pPr>
            <w:r>
              <w:rPr>
                <w:color w:val="231F20"/>
                <w:sz w:val="14"/>
              </w:rPr>
              <w:lastRenderedPageBreak/>
              <w:t xml:space="preserve">Развој моторичких и функционал­ них способности човека, као </w:t>
            </w:r>
            <w:r>
              <w:rPr>
                <w:color w:val="231F20"/>
                <w:sz w:val="14"/>
              </w:rPr>
              <w:t>основа за реализовање по­ стављених циљева и</w:t>
            </w:r>
            <w:r>
              <w:rPr>
                <w:color w:val="231F20"/>
                <w:spacing w:val="-1"/>
                <w:sz w:val="14"/>
              </w:rPr>
              <w:t xml:space="preserve"> </w:t>
            </w:r>
            <w:r>
              <w:rPr>
                <w:color w:val="231F20"/>
                <w:spacing w:val="-3"/>
                <w:sz w:val="14"/>
              </w:rPr>
              <w:t>исхода</w:t>
            </w:r>
          </w:p>
        </w:tc>
        <w:tc>
          <w:tcPr>
            <w:tcW w:w="1587" w:type="dxa"/>
          </w:tcPr>
          <w:p w:rsidR="00041039" w:rsidRDefault="001B26CB">
            <w:pPr>
              <w:pStyle w:val="TableParagraph"/>
              <w:tabs>
                <w:tab w:val="left" w:pos="157"/>
              </w:tabs>
              <w:spacing w:before="11" w:line="235" w:lineRule="auto"/>
              <w:ind w:right="112" w:hanging="100"/>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tcPr>
          <w:p w:rsidR="00041039" w:rsidRDefault="001B26CB">
            <w:pPr>
              <w:pStyle w:val="TableParagraph"/>
              <w:tabs>
                <w:tab w:val="left" w:pos="157"/>
              </w:tabs>
              <w:spacing w:before="11" w:line="235" w:lineRule="auto"/>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tabs>
                <w:tab w:val="left" w:pos="157"/>
              </w:tabs>
              <w:spacing w:before="2" w:line="158" w:lineRule="exact"/>
              <w:ind w:right="55" w:hanging="99"/>
              <w:rPr>
                <w:sz w:val="14"/>
              </w:rPr>
            </w:pPr>
            <w:r>
              <w:rPr>
                <w:color w:val="231F20"/>
                <w:sz w:val="14"/>
              </w:rPr>
              <w:t>примени адекватна средства (изводи вежбе) за развој и усавршавање мото­ ричких способности из: вежби</w:t>
            </w:r>
            <w:r>
              <w:rPr>
                <w:color w:val="231F20"/>
                <w:spacing w:val="-13"/>
                <w:sz w:val="14"/>
              </w:rPr>
              <w:t xml:space="preserve"> </w:t>
            </w:r>
            <w:r>
              <w:rPr>
                <w:color w:val="231F20"/>
                <w:sz w:val="14"/>
              </w:rPr>
              <w:t>облико­ вања, атлетике, гимнастике,</w:t>
            </w:r>
            <w:r>
              <w:rPr>
                <w:color w:val="231F20"/>
                <w:spacing w:val="-15"/>
                <w:sz w:val="14"/>
              </w:rPr>
              <w:t xml:space="preserve"> </w:t>
            </w:r>
            <w:r>
              <w:rPr>
                <w:color w:val="231F20"/>
                <w:sz w:val="14"/>
              </w:rPr>
              <w:t>пливања</w:t>
            </w:r>
          </w:p>
          <w:p w:rsidR="00041039" w:rsidRDefault="001B26CB">
            <w:pPr>
              <w:pStyle w:val="TableParagraph"/>
              <w:spacing w:line="235" w:lineRule="auto"/>
              <w:rPr>
                <w:sz w:val="14"/>
              </w:rPr>
            </w:pPr>
            <w:r>
              <w:rPr>
                <w:color w:val="231F20"/>
                <w:sz w:val="14"/>
              </w:rPr>
              <w:t>и спортских игара за развој: снаге, брзине, издржљивости, гипкости, спретности и окретности;</w:t>
            </w:r>
          </w:p>
        </w:tc>
        <w:tc>
          <w:tcPr>
            <w:tcW w:w="2834" w:type="dxa"/>
          </w:tcPr>
          <w:p w:rsidR="00041039" w:rsidRDefault="001B26CB">
            <w:pPr>
              <w:pStyle w:val="TableParagraph"/>
              <w:tabs>
                <w:tab w:val="left" w:pos="157"/>
              </w:tabs>
              <w:spacing w:before="12" w:line="235" w:lineRule="auto"/>
              <w:ind w:right="221" w:hanging="99"/>
              <w:rPr>
                <w:sz w:val="14"/>
              </w:rPr>
            </w:pPr>
            <w:r>
              <w:rPr>
                <w:color w:val="231F20"/>
                <w:sz w:val="14"/>
              </w:rPr>
              <w:t>Вежбе снаг</w:t>
            </w:r>
            <w:r>
              <w:rPr>
                <w:color w:val="231F20"/>
                <w:sz w:val="14"/>
              </w:rPr>
              <w:t>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tabs>
                <w:tab w:val="left" w:pos="157"/>
              </w:tabs>
              <w:spacing w:line="152"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tabs>
                <w:tab w:val="left" w:pos="157"/>
              </w:tabs>
              <w:spacing w:line="235" w:lineRule="auto"/>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tabs>
                <w:tab w:val="left" w:pos="157"/>
              </w:tabs>
              <w:spacing w:line="158" w:lineRule="exact"/>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tabs>
                <w:tab w:val="left" w:pos="157"/>
              </w:tabs>
              <w:spacing w:line="158"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tabs>
                <w:tab w:val="left" w:pos="157"/>
              </w:tabs>
              <w:spacing w:line="156" w:lineRule="exact"/>
              <w:ind w:hanging="99"/>
              <w:rPr>
                <w:sz w:val="14"/>
              </w:rPr>
            </w:pPr>
            <w:r>
              <w:rPr>
                <w:color w:val="231F20"/>
                <w:sz w:val="14"/>
              </w:rPr>
              <w:t>Аеробик.</w:t>
            </w:r>
          </w:p>
        </w:tc>
        <w:tc>
          <w:tcPr>
            <w:tcW w:w="2267" w:type="dxa"/>
            <w:vMerge w:val="restart"/>
          </w:tcPr>
          <w:p w:rsidR="00041039" w:rsidRDefault="001B26CB">
            <w:pPr>
              <w:pStyle w:val="TableParagraph"/>
              <w:tabs>
                <w:tab w:val="left" w:pos="158"/>
              </w:tabs>
              <w:spacing w:before="12" w:line="235" w:lineRule="auto"/>
              <w:ind w:left="157" w:right="278" w:hanging="99"/>
              <w:rPr>
                <w:sz w:val="14"/>
              </w:rPr>
            </w:pPr>
            <w:r>
              <w:rPr>
                <w:color w:val="231F20"/>
                <w:sz w:val="14"/>
              </w:rPr>
              <w:t xml:space="preserve">Ученици који похађају чет­ ворогодишње стручне </w:t>
            </w:r>
            <w:r>
              <w:rPr>
                <w:color w:val="231F20"/>
                <w:spacing w:val="-3"/>
                <w:sz w:val="14"/>
              </w:rPr>
              <w:t xml:space="preserve">школе </w:t>
            </w:r>
            <w:r>
              <w:rPr>
                <w:color w:val="231F20"/>
                <w:sz w:val="14"/>
              </w:rPr>
              <w:t>далеко су више оптерећени у редовном образовању прак­ тичном и теоријском</w:t>
            </w:r>
            <w:r>
              <w:rPr>
                <w:color w:val="231F20"/>
                <w:spacing w:val="-20"/>
                <w:sz w:val="14"/>
              </w:rPr>
              <w:t xml:space="preserve"> </w:t>
            </w:r>
            <w:r>
              <w:rPr>
                <w:color w:val="231F20"/>
                <w:sz w:val="14"/>
              </w:rPr>
              <w:t xml:space="preserve">наставом </w:t>
            </w:r>
            <w:r>
              <w:rPr>
                <w:color w:val="231F20"/>
                <w:spacing w:val="-3"/>
                <w:sz w:val="14"/>
              </w:rPr>
              <w:t xml:space="preserve">од </w:t>
            </w:r>
            <w:r>
              <w:rPr>
                <w:color w:val="231F20"/>
                <w:sz w:val="14"/>
              </w:rPr>
              <w:t>осталих ученика. Због тога је физичко васпитање, у овим школама, значајно за</w:t>
            </w:r>
            <w:r>
              <w:rPr>
                <w:color w:val="231F20"/>
                <w:spacing w:val="-16"/>
                <w:sz w:val="14"/>
              </w:rPr>
              <w:t xml:space="preserve"> </w:t>
            </w:r>
            <w:r>
              <w:rPr>
                <w:color w:val="231F20"/>
                <w:sz w:val="14"/>
              </w:rPr>
              <w:t>активан</w:t>
            </w:r>
          </w:p>
          <w:p w:rsidR="00041039" w:rsidRDefault="001B26CB">
            <w:pPr>
              <w:pStyle w:val="TableParagraph"/>
              <w:spacing w:before="2" w:line="235" w:lineRule="auto"/>
              <w:ind w:left="157" w:right="18"/>
              <w:rPr>
                <w:sz w:val="14"/>
              </w:rPr>
            </w:pPr>
            <w:r>
              <w:rPr>
                <w:color w:val="231F20"/>
                <w:sz w:val="14"/>
              </w:rPr>
              <w:t>опоравак ученика, компензацију и</w:t>
            </w:r>
            <w:r>
              <w:rPr>
                <w:color w:val="231F20"/>
                <w:sz w:val="14"/>
              </w:rPr>
              <w:t xml:space="preserve">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rsidR="00041039" w:rsidRDefault="00041039">
            <w:pPr>
              <w:pStyle w:val="TableParagraph"/>
              <w:spacing w:before="8"/>
              <w:ind w:left="0"/>
              <w:rPr>
                <w:b/>
                <w:sz w:val="13"/>
              </w:rPr>
            </w:pPr>
          </w:p>
          <w:p w:rsidR="00041039" w:rsidRDefault="001B26CB">
            <w:pPr>
              <w:pStyle w:val="TableParagraph"/>
              <w:spacing w:line="160" w:lineRule="exact"/>
              <w:ind w:left="58"/>
              <w:rPr>
                <w:b/>
                <w:sz w:val="14"/>
              </w:rPr>
            </w:pPr>
            <w:r>
              <w:rPr>
                <w:b/>
                <w:color w:val="231F20"/>
                <w:sz w:val="14"/>
              </w:rPr>
              <w:t>Облици наставе</w:t>
            </w:r>
          </w:p>
          <w:p w:rsidR="00041039" w:rsidRDefault="001B26CB">
            <w:pPr>
              <w:pStyle w:val="TableParagraph"/>
              <w:spacing w:before="1" w:line="235" w:lineRule="auto"/>
              <w:ind w:left="58" w:right="343"/>
              <w:rPr>
                <w:sz w:val="14"/>
              </w:rPr>
            </w:pPr>
            <w:r>
              <w:rPr>
                <w:color w:val="231F20"/>
                <w:sz w:val="14"/>
              </w:rPr>
              <w:t>Предмет се реализује у оквиру следећих облика наставе:</w:t>
            </w:r>
          </w:p>
          <w:p w:rsidR="00041039" w:rsidRDefault="001B26CB">
            <w:pPr>
              <w:pStyle w:val="TableParagraph"/>
              <w:tabs>
                <w:tab w:val="left" w:pos="158"/>
              </w:tabs>
              <w:spacing w:line="153" w:lineRule="exact"/>
              <w:ind w:left="157"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tabs>
                <w:tab w:val="left" w:pos="158"/>
              </w:tabs>
              <w:spacing w:line="158" w:lineRule="exact"/>
              <w:ind w:left="157"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tabs>
                <w:tab w:val="left" w:pos="158"/>
              </w:tabs>
              <w:spacing w:line="165" w:lineRule="exact"/>
              <w:ind w:left="157"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235" w:lineRule="auto"/>
              <w:ind w:left="58"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before="1" w:line="235" w:lineRule="auto"/>
              <w:ind w:left="58" w:right="13"/>
              <w:rPr>
                <w:sz w:val="14"/>
              </w:rPr>
            </w:pPr>
            <w:r>
              <w:rPr>
                <w:color w:val="231F20"/>
                <w:sz w:val="14"/>
              </w:rPr>
              <w:t>Настава се изводи фронтално и по групама, у зависности од карактера методске јединице која се реали­ зу</w:t>
            </w:r>
            <w:r>
              <w:rPr>
                <w:color w:val="231F20"/>
                <w:sz w:val="14"/>
              </w:rPr>
              <w:t>је. Уколико је потребно, нарочито за вежбе из корективне гимнастике, приступ је индивидуалан.</w:t>
            </w:r>
          </w:p>
          <w:p w:rsidR="00041039" w:rsidRDefault="00041039">
            <w:pPr>
              <w:pStyle w:val="TableParagraph"/>
              <w:spacing w:before="7"/>
              <w:ind w:left="0"/>
              <w:rPr>
                <w:b/>
                <w:sz w:val="13"/>
              </w:rPr>
            </w:pPr>
          </w:p>
          <w:p w:rsidR="00041039" w:rsidRDefault="001B26CB">
            <w:pPr>
              <w:pStyle w:val="TableParagraph"/>
              <w:spacing w:line="154"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5" w:lineRule="auto"/>
              <w:ind w:left="157"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tabs>
                <w:tab w:val="left" w:pos="158"/>
              </w:tabs>
              <w:spacing w:line="158" w:lineRule="exact"/>
              <w:ind w:left="157" w:right="101" w:hanging="99"/>
              <w:rPr>
                <w:sz w:val="14"/>
              </w:rPr>
            </w:pPr>
            <w:r>
              <w:rPr>
                <w:color w:val="231F20"/>
                <w:sz w:val="14"/>
              </w:rPr>
              <w:t>Практична настава реализује се на спортском вежбалишту(сала,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6"/>
              <w:ind w:left="0"/>
              <w:rPr>
                <w:b/>
                <w:sz w:val="13"/>
              </w:rPr>
            </w:pPr>
          </w:p>
          <w:p w:rsidR="00041039" w:rsidRDefault="001B26CB">
            <w:pPr>
              <w:pStyle w:val="TableParagraph"/>
              <w:spacing w:line="235" w:lineRule="auto"/>
              <w:ind w:left="58" w:right="109"/>
              <w:rPr>
                <w:b/>
                <w:sz w:val="14"/>
              </w:rPr>
            </w:pPr>
            <w:r>
              <w:rPr>
                <w:b/>
                <w:color w:val="231F20"/>
                <w:sz w:val="14"/>
              </w:rPr>
              <w:t>Препоруке за реализацију наставе</w:t>
            </w:r>
          </w:p>
          <w:p w:rsidR="00041039" w:rsidRDefault="001B26CB">
            <w:pPr>
              <w:pStyle w:val="TableParagraph"/>
              <w:tabs>
                <w:tab w:val="left" w:pos="158"/>
              </w:tabs>
              <w:spacing w:before="2" w:line="158" w:lineRule="exact"/>
              <w:ind w:left="157" w:right="74" w:hanging="99"/>
              <w:rPr>
                <w:sz w:val="14"/>
              </w:rPr>
            </w:pPr>
            <w:r>
              <w:rPr>
                <w:color w:val="231F20"/>
                <w:sz w:val="14"/>
              </w:rPr>
              <w:t>Настава се реализује у циклусима који трају приближно 10­12 часова (узастопних). Наставнику физичког ва</w:t>
            </w:r>
            <w:r>
              <w:rPr>
                <w:color w:val="231F20"/>
                <w:sz w:val="14"/>
              </w:rPr>
              <w:t>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4"/>
              <w:ind w:left="0"/>
              <w:rPr>
                <w:b/>
                <w:sz w:val="13"/>
              </w:rPr>
            </w:pPr>
          </w:p>
          <w:p w:rsidR="00041039" w:rsidRDefault="001B26CB">
            <w:pPr>
              <w:pStyle w:val="TableParagraph"/>
              <w:spacing w:before="1" w:line="160" w:lineRule="exact"/>
              <w:ind w:left="58"/>
              <w:rPr>
                <w:b/>
                <w:sz w:val="14"/>
              </w:rPr>
            </w:pPr>
            <w:r>
              <w:rPr>
                <w:b/>
                <w:color w:val="231F20"/>
                <w:sz w:val="14"/>
              </w:rPr>
              <w:t>Садржај циклуса је:</w:t>
            </w:r>
          </w:p>
          <w:p w:rsidR="00041039" w:rsidRDefault="001B26CB">
            <w:pPr>
              <w:pStyle w:val="TableParagraph"/>
              <w:tabs>
                <w:tab w:val="left" w:pos="164"/>
              </w:tabs>
              <w:spacing w:before="1" w:line="235" w:lineRule="auto"/>
              <w:ind w:left="163" w:right="130" w:hanging="105"/>
              <w:rPr>
                <w:sz w:val="14"/>
              </w:rPr>
            </w:pPr>
            <w:r>
              <w:rPr>
                <w:color w:val="231F20"/>
                <w:sz w:val="14"/>
              </w:rPr>
              <w:t>за проверу нивоа знања</w:t>
            </w:r>
            <w:r>
              <w:rPr>
                <w:color w:val="231F20"/>
                <w:spacing w:val="-21"/>
                <w:sz w:val="14"/>
              </w:rPr>
              <w:t xml:space="preserve"> </w:t>
            </w:r>
            <w:r>
              <w:rPr>
                <w:color w:val="231F20"/>
                <w:sz w:val="14"/>
              </w:rPr>
              <w:t xml:space="preserve">накрцају </w:t>
            </w:r>
            <w:r>
              <w:rPr>
                <w:color w:val="231F20"/>
                <w:spacing w:val="-3"/>
                <w:sz w:val="14"/>
              </w:rPr>
              <w:t xml:space="preserve">школске </w:t>
            </w:r>
            <w:r>
              <w:rPr>
                <w:color w:val="231F20"/>
                <w:sz w:val="14"/>
              </w:rPr>
              <w:t>године ­ један;</w:t>
            </w:r>
          </w:p>
          <w:p w:rsidR="00041039" w:rsidRDefault="001B26CB">
            <w:pPr>
              <w:pStyle w:val="TableParagraph"/>
              <w:tabs>
                <w:tab w:val="left" w:pos="164"/>
              </w:tabs>
              <w:spacing w:line="157" w:lineRule="exact"/>
              <w:ind w:left="163" w:hanging="105"/>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tabs>
                <w:tab w:val="left" w:pos="164"/>
              </w:tabs>
              <w:spacing w:before="1" w:line="235" w:lineRule="auto"/>
              <w:ind w:left="163" w:right="68" w:hanging="105"/>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tabs>
                <w:tab w:val="left" w:pos="164"/>
              </w:tabs>
              <w:spacing w:line="157" w:lineRule="exact"/>
              <w:ind w:left="163" w:hanging="105"/>
              <w:rPr>
                <w:sz w:val="14"/>
              </w:rPr>
            </w:pPr>
            <w:r>
              <w:rPr>
                <w:color w:val="231F20"/>
                <w:sz w:val="14"/>
              </w:rPr>
              <w:t>за спорт по избору ученика</w:t>
            </w:r>
            <w:r>
              <w:rPr>
                <w:color w:val="231F20"/>
                <w:spacing w:val="-10"/>
                <w:sz w:val="14"/>
              </w:rPr>
              <w:t xml:space="preserve"> </w:t>
            </w:r>
            <w:r>
              <w:rPr>
                <w:color w:val="231F20"/>
                <w:sz w:val="14"/>
              </w:rPr>
              <w:t>­два;</w:t>
            </w:r>
          </w:p>
          <w:p w:rsidR="00041039" w:rsidRDefault="001B26CB">
            <w:pPr>
              <w:pStyle w:val="TableParagraph"/>
              <w:tabs>
                <w:tab w:val="left" w:pos="164"/>
              </w:tabs>
              <w:spacing w:before="1" w:line="235" w:lineRule="auto"/>
              <w:ind w:left="163" w:right="244" w:hanging="105"/>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9" w:lineRule="exact"/>
              <w:ind w:left="163"/>
              <w:rPr>
                <w:sz w:val="14"/>
              </w:rPr>
            </w:pPr>
            <w:r>
              <w:rPr>
                <w:color w:val="231F20"/>
                <w:sz w:val="14"/>
              </w:rPr>
              <w:t>­један.</w:t>
            </w:r>
          </w:p>
          <w:p w:rsidR="00041039" w:rsidRDefault="00041039">
            <w:pPr>
              <w:pStyle w:val="TableParagraph"/>
              <w:spacing w:before="8"/>
              <w:ind w:left="0"/>
              <w:rPr>
                <w:b/>
                <w:sz w:val="13"/>
              </w:rPr>
            </w:pPr>
          </w:p>
          <w:p w:rsidR="00041039" w:rsidRDefault="001B26CB">
            <w:pPr>
              <w:pStyle w:val="TableParagraph"/>
              <w:spacing w:line="235" w:lineRule="auto"/>
              <w:ind w:left="58"/>
              <w:rPr>
                <w:sz w:val="14"/>
              </w:rPr>
            </w:pPr>
            <w:r>
              <w:rPr>
                <w:b/>
                <w:color w:val="231F20"/>
                <w:sz w:val="14"/>
              </w:rPr>
              <w:t xml:space="preserve">Начин остваривања програма </w:t>
            </w:r>
            <w:r>
              <w:rPr>
                <w:color w:val="231F20"/>
                <w:sz w:val="14"/>
              </w:rPr>
              <w:t>Садржаји програма усмерени суна: развијање физичких способности; спортско­техничко образовање; повезивање физичког васпитања са животом и радом.</w:t>
            </w:r>
          </w:p>
          <w:p w:rsidR="00041039" w:rsidRDefault="001B26CB">
            <w:pPr>
              <w:pStyle w:val="TableParagraph"/>
              <w:spacing w:before="2" w:line="235" w:lineRule="auto"/>
              <w:ind w:left="58"/>
              <w:rPr>
                <w:sz w:val="14"/>
              </w:rPr>
            </w:pPr>
            <w:r>
              <w:rPr>
                <w:color w:val="231F20"/>
                <w:sz w:val="14"/>
              </w:rPr>
              <w:t>Годишњи план, програм и распоред кросева, такмичења, зимовања</w:t>
            </w:r>
          </w:p>
          <w:p w:rsidR="00041039" w:rsidRDefault="001B26CB">
            <w:pPr>
              <w:pStyle w:val="TableParagraph"/>
              <w:spacing w:before="1" w:line="235" w:lineRule="auto"/>
              <w:ind w:left="58" w:right="252"/>
              <w:rPr>
                <w:sz w:val="14"/>
              </w:rPr>
            </w:pPr>
            <w:r>
              <w:rPr>
                <w:color w:val="231F20"/>
                <w:sz w:val="14"/>
              </w:rPr>
              <w:t xml:space="preserve">и других облика рада утврђује се на почетку </w:t>
            </w:r>
            <w:r>
              <w:rPr>
                <w:color w:val="231F20"/>
                <w:spacing w:val="-3"/>
                <w:sz w:val="14"/>
              </w:rPr>
              <w:t>школс</w:t>
            </w:r>
            <w:r>
              <w:rPr>
                <w:color w:val="231F20"/>
                <w:spacing w:val="-3"/>
                <w:sz w:val="14"/>
              </w:rPr>
              <w:t xml:space="preserve">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5" w:lineRule="auto"/>
              <w:ind w:left="58"/>
              <w:rPr>
                <w:sz w:val="14"/>
              </w:rPr>
            </w:pPr>
            <w:r>
              <w:rPr>
                <w:color w:val="231F20"/>
                <w:sz w:val="14"/>
              </w:rPr>
              <w:t>стручног већа наставника физичког васпитања.</w:t>
            </w:r>
          </w:p>
          <w:p w:rsidR="00041039" w:rsidRDefault="001B26CB">
            <w:pPr>
              <w:pStyle w:val="TableParagraph"/>
              <w:spacing w:before="1" w:line="235" w:lineRule="auto"/>
              <w:ind w:left="58"/>
              <w:rPr>
                <w:sz w:val="14"/>
              </w:rPr>
            </w:pPr>
            <w:r>
              <w:rPr>
                <w:color w:val="231F20"/>
                <w:sz w:val="14"/>
              </w:rPr>
              <w:t>Стручно веће наставника физичког васпитања, самостално, одређује редослед обраде појединих садр­ жаја програма и циклуса.</w:t>
            </w:r>
          </w:p>
          <w:p w:rsidR="00041039" w:rsidRDefault="001B26CB">
            <w:pPr>
              <w:pStyle w:val="TableParagraph"/>
              <w:spacing w:before="3" w:line="158" w:lineRule="exact"/>
              <w:ind w:left="58" w:right="39"/>
              <w:rPr>
                <w:sz w:val="14"/>
              </w:rPr>
            </w:pPr>
            <w:r>
              <w:rPr>
                <w:color w:val="231F20"/>
                <w:sz w:val="14"/>
              </w:rPr>
              <w:t>Часови у току недеље треба да буду распоређени</w:t>
            </w:r>
            <w:r>
              <w:rPr>
                <w:color w:val="231F20"/>
                <w:sz w:val="14"/>
              </w:rPr>
              <w:t xml:space="preserve">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tc>
      </w:tr>
      <w:tr w:rsidR="00041039">
        <w:trPr>
          <w:trHeight w:val="1222"/>
        </w:trPr>
        <w:tc>
          <w:tcPr>
            <w:tcW w:w="1304" w:type="dxa"/>
            <w:tcBorders>
              <w:bottom w:val="nil"/>
            </w:tcBorders>
          </w:tcPr>
          <w:p w:rsidR="00041039" w:rsidRDefault="001B26CB">
            <w:pPr>
              <w:pStyle w:val="TableParagraph"/>
              <w:spacing w:before="24"/>
              <w:ind w:left="56" w:right="77"/>
              <w:rPr>
                <w:sz w:val="14"/>
              </w:rPr>
            </w:pPr>
            <w:r>
              <w:rPr>
                <w:color w:val="231F20"/>
                <w:sz w:val="14"/>
              </w:rPr>
              <w:t>Усвајање знања, умења и вештина из спортских грана и дисциплина као основа за реализо­ вање постављених циљева и исхода</w:t>
            </w:r>
          </w:p>
        </w:tc>
        <w:tc>
          <w:tcPr>
            <w:tcW w:w="1587" w:type="dxa"/>
            <w:vMerge w:val="restart"/>
          </w:tcPr>
          <w:p w:rsidR="00041039" w:rsidRDefault="001B26CB">
            <w:pPr>
              <w:pStyle w:val="TableParagraph"/>
              <w:tabs>
                <w:tab w:val="left" w:pos="157"/>
              </w:tabs>
              <w:spacing w:before="14"/>
              <w:ind w:right="48" w:hanging="100"/>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041039" w:rsidRDefault="001B26CB">
            <w:pPr>
              <w:pStyle w:val="TableParagraph"/>
              <w:tabs>
                <w:tab w:val="left" w:pos="157"/>
              </w:tabs>
              <w:spacing w:line="157" w:lineRule="exact"/>
              <w:ind w:hanging="100"/>
              <w:rPr>
                <w:sz w:val="14"/>
              </w:rPr>
            </w:pPr>
            <w:r>
              <w:rPr>
                <w:color w:val="231F20"/>
                <w:sz w:val="14"/>
              </w:rPr>
              <w:t>Формирање</w:t>
            </w:r>
            <w:r>
              <w:rPr>
                <w:color w:val="231F20"/>
                <w:spacing w:val="-3"/>
                <w:sz w:val="14"/>
              </w:rPr>
              <w:t xml:space="preserve"> </w:t>
            </w:r>
            <w:r>
              <w:rPr>
                <w:color w:val="231F20"/>
                <w:sz w:val="14"/>
              </w:rPr>
              <w:t>позитив­</w:t>
            </w:r>
          </w:p>
          <w:p w:rsidR="00041039" w:rsidRDefault="001B26CB">
            <w:pPr>
              <w:pStyle w:val="TableParagraph"/>
              <w:ind w:right="15"/>
              <w:rPr>
                <w:sz w:val="14"/>
              </w:rPr>
            </w:pPr>
            <w:r>
              <w:rPr>
                <w:color w:val="231F20"/>
                <w:sz w:val="14"/>
              </w:rPr>
              <w:t>них психо социјалних образаца понашања.</w:t>
            </w:r>
          </w:p>
          <w:p w:rsidR="00041039" w:rsidRDefault="001B26CB">
            <w:pPr>
              <w:pStyle w:val="TableParagraph"/>
              <w:tabs>
                <w:tab w:val="left" w:pos="157"/>
              </w:tabs>
              <w:spacing w:line="160" w:lineRule="exact"/>
              <w:ind w:right="59" w:hanging="100"/>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tabs>
                <w:tab w:val="left" w:pos="157"/>
              </w:tabs>
              <w:spacing w:line="160" w:lineRule="exact"/>
              <w:ind w:right="145" w:hanging="100"/>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w:t>
            </w:r>
          </w:p>
          <w:p w:rsidR="00041039" w:rsidRDefault="001B26CB">
            <w:pPr>
              <w:pStyle w:val="TableParagraph"/>
              <w:tabs>
                <w:tab w:val="left" w:pos="157"/>
              </w:tabs>
              <w:spacing w:line="160" w:lineRule="exact"/>
              <w:ind w:right="137" w:hanging="100"/>
              <w:rPr>
                <w:sz w:val="14"/>
              </w:rPr>
            </w:pPr>
            <w:r>
              <w:rPr>
                <w:color w:val="231F20"/>
                <w:spacing w:val="-3"/>
                <w:sz w:val="14"/>
              </w:rPr>
              <w:t xml:space="preserve">Усвајање </w:t>
            </w:r>
            <w:r>
              <w:rPr>
                <w:color w:val="231F20"/>
                <w:sz w:val="14"/>
              </w:rPr>
              <w:t>етичких вредностии подсти­ цањевољних особина ученика.</w:t>
            </w:r>
          </w:p>
          <w:p w:rsidR="00041039" w:rsidRDefault="001B26CB">
            <w:pPr>
              <w:pStyle w:val="TableParagraph"/>
              <w:tabs>
                <w:tab w:val="left" w:pos="157"/>
              </w:tabs>
              <w:spacing w:line="160" w:lineRule="exact"/>
              <w:ind w:right="210" w:hanging="100"/>
              <w:rPr>
                <w:sz w:val="14"/>
              </w:rPr>
            </w:pPr>
            <w:r>
              <w:rPr>
                <w:color w:val="231F20"/>
                <w:sz w:val="14"/>
              </w:rPr>
              <w:t>Стицање и усавр­ шавање моторич­ ких знања, умећа, вештина, техника и навика</w:t>
            </w:r>
            <w:r>
              <w:rPr>
                <w:color w:val="231F20"/>
                <w:spacing w:val="-9"/>
                <w:sz w:val="14"/>
              </w:rPr>
              <w:t xml:space="preserve"> </w:t>
            </w:r>
            <w:r>
              <w:rPr>
                <w:color w:val="231F20"/>
                <w:sz w:val="14"/>
              </w:rPr>
              <w:t>предвиђених</w:t>
            </w:r>
          </w:p>
          <w:p w:rsidR="00041039" w:rsidRDefault="001B26CB">
            <w:pPr>
              <w:pStyle w:val="TableParagraph"/>
              <w:spacing w:line="237" w:lineRule="auto"/>
              <w:ind w:right="15"/>
              <w:rPr>
                <w:sz w:val="14"/>
              </w:rPr>
            </w:pPr>
            <w:r>
              <w:rPr>
                <w:color w:val="231F20"/>
                <w:sz w:val="14"/>
              </w:rPr>
              <w:t>програмом за базичне спортске гране.</w:t>
            </w:r>
          </w:p>
          <w:p w:rsidR="00041039" w:rsidRDefault="001B26CB">
            <w:pPr>
              <w:pStyle w:val="TableParagraph"/>
              <w:tabs>
                <w:tab w:val="left" w:pos="157"/>
              </w:tabs>
              <w:spacing w:line="237" w:lineRule="auto"/>
              <w:ind w:right="72" w:hanging="100"/>
              <w:rPr>
                <w:sz w:val="14"/>
              </w:rPr>
            </w:pPr>
            <w:r>
              <w:rPr>
                <w:color w:val="231F20"/>
                <w:sz w:val="14"/>
              </w:rPr>
              <w:t>Повезивање моторич­ ких задатака у</w:t>
            </w:r>
            <w:r>
              <w:rPr>
                <w:color w:val="231F20"/>
                <w:spacing w:val="-14"/>
                <w:sz w:val="14"/>
              </w:rPr>
              <w:t xml:space="preserve"> </w:t>
            </w:r>
            <w:r>
              <w:rPr>
                <w:color w:val="231F20"/>
                <w:sz w:val="14"/>
              </w:rPr>
              <w:t>целине; али без стварања крутих моторичких аутоматизама.</w:t>
            </w:r>
          </w:p>
          <w:p w:rsidR="00041039" w:rsidRDefault="001B26CB">
            <w:pPr>
              <w:pStyle w:val="TableParagraph"/>
              <w:tabs>
                <w:tab w:val="left" w:pos="157"/>
              </w:tabs>
              <w:spacing w:line="237" w:lineRule="auto"/>
              <w:ind w:right="157" w:hanging="100"/>
              <w:rPr>
                <w:sz w:val="14"/>
              </w:rPr>
            </w:pPr>
            <w:r>
              <w:rPr>
                <w:color w:val="231F20"/>
                <w:spacing w:val="-3"/>
                <w:sz w:val="14"/>
              </w:rPr>
              <w:t xml:space="preserve">Увођење </w:t>
            </w:r>
            <w:r>
              <w:rPr>
                <w:color w:val="231F20"/>
                <w:sz w:val="14"/>
              </w:rPr>
              <w:t xml:space="preserve">ученика у организовани систем </w:t>
            </w:r>
            <w:r>
              <w:rPr>
                <w:color w:val="231F20"/>
                <w:sz w:val="14"/>
              </w:rPr>
              <w:t xml:space="preserve">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tabs>
                <w:tab w:val="left" w:pos="157"/>
              </w:tabs>
              <w:spacing w:line="237" w:lineRule="auto"/>
              <w:ind w:right="56" w:hanging="100"/>
              <w:rPr>
                <w:sz w:val="14"/>
              </w:rPr>
            </w:pPr>
            <w:r>
              <w:rPr>
                <w:color w:val="231F20"/>
                <w:sz w:val="14"/>
              </w:rPr>
              <w:t>Развијање елемената ритма сједињавањем кинетичких и енер­ гетских елемената у целине: рад­одмор,</w:t>
            </w:r>
            <w:r>
              <w:rPr>
                <w:color w:val="231F20"/>
                <w:spacing w:val="-13"/>
                <w:sz w:val="14"/>
              </w:rPr>
              <w:t xml:space="preserve"> </w:t>
            </w:r>
            <w:r>
              <w:rPr>
                <w:color w:val="231F20"/>
                <w:sz w:val="14"/>
              </w:rPr>
              <w:t>на­ презање­релаксација, убрзање­успоравање,</w:t>
            </w:r>
          </w:p>
          <w:p w:rsidR="00041039" w:rsidRDefault="001B26CB">
            <w:pPr>
              <w:pStyle w:val="TableParagraph"/>
              <w:tabs>
                <w:tab w:val="left" w:pos="157"/>
              </w:tabs>
              <w:spacing w:line="237" w:lineRule="auto"/>
              <w:ind w:right="58" w:hanging="100"/>
              <w:rPr>
                <w:sz w:val="14"/>
              </w:rPr>
            </w:pPr>
            <w:r>
              <w:rPr>
                <w:color w:val="231F20"/>
                <w:sz w:val="14"/>
              </w:rPr>
              <w:t>Избор спортова, односно спортско­ рекреативних или других кретних активности као трајног опредељења за њихово свакодневно упражњавање.</w:t>
            </w:r>
          </w:p>
        </w:tc>
        <w:tc>
          <w:tcPr>
            <w:tcW w:w="2551" w:type="dxa"/>
            <w:vMerge w:val="restart"/>
          </w:tcPr>
          <w:p w:rsidR="00041039" w:rsidRDefault="001B26CB">
            <w:pPr>
              <w:pStyle w:val="TableParagraph"/>
              <w:tabs>
                <w:tab w:val="left" w:pos="157"/>
              </w:tabs>
              <w:spacing w:before="15"/>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tabs>
                <w:tab w:val="left" w:pos="157"/>
              </w:tabs>
              <w:spacing w:line="156" w:lineRule="exact"/>
              <w:ind w:hanging="99"/>
              <w:rPr>
                <w:sz w:val="14"/>
              </w:rPr>
            </w:pPr>
            <w:r>
              <w:rPr>
                <w:color w:val="231F20"/>
                <w:sz w:val="14"/>
              </w:rPr>
              <w:t>демонстрира</w:t>
            </w:r>
            <w:r>
              <w:rPr>
                <w:color w:val="231F20"/>
                <w:sz w:val="14"/>
              </w:rPr>
              <w:t xml:space="preserve">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w:t>
            </w:r>
            <w:r>
              <w:rPr>
                <w:color w:val="231F20"/>
                <w:sz w:val="14"/>
              </w:rPr>
              <w:t xml:space="preserve"> за коју школа има услове;</w:t>
            </w:r>
          </w:p>
          <w:p w:rsidR="00041039" w:rsidRDefault="001B26CB">
            <w:pPr>
              <w:pStyle w:val="TableParagraph"/>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w:t>
            </w:r>
            <w:r>
              <w:rPr>
                <w:color w:val="231F20"/>
                <w:sz w:val="14"/>
              </w:rPr>
              <w:t xml:space="preserve"> са својим друговима и ужива у дружењу и контактима;</w:t>
            </w:r>
          </w:p>
          <w:p w:rsidR="00041039" w:rsidRDefault="001B26CB">
            <w:pPr>
              <w:pStyle w:val="TableParagraph"/>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w:t>
            </w:r>
            <w:r>
              <w:rPr>
                <w:color w:val="231F20"/>
                <w:sz w:val="14"/>
              </w:rPr>
              <w:t>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tabs>
                <w:tab w:val="left" w:pos="157"/>
              </w:tabs>
              <w:spacing w:line="237" w:lineRule="auto"/>
              <w:ind w:right="155" w:hanging="99"/>
              <w:rPr>
                <w:sz w:val="14"/>
              </w:rPr>
            </w:pPr>
            <w:r>
              <w:rPr>
                <w:color w:val="231F20"/>
                <w:sz w:val="14"/>
              </w:rPr>
              <w:t>има правилан однос према</w:t>
            </w:r>
            <w:r>
              <w:rPr>
                <w:color w:val="231F20"/>
                <w:spacing w:val="-20"/>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w:t>
            </w:r>
          </w:p>
          <w:p w:rsidR="00041039" w:rsidRDefault="001B26CB">
            <w:pPr>
              <w:pStyle w:val="TableParagraph"/>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w:t>
            </w:r>
            <w:r>
              <w:rPr>
                <w:color w:val="231F20"/>
                <w:sz w:val="14"/>
              </w:rPr>
              <w:t xml:space="preserve"> спортских такмичења;</w:t>
            </w:r>
          </w:p>
        </w:tc>
        <w:tc>
          <w:tcPr>
            <w:tcW w:w="2834" w:type="dxa"/>
            <w:tcBorders>
              <w:bottom w:val="nil"/>
            </w:tcBorders>
          </w:tcPr>
          <w:p w:rsidR="00041039" w:rsidRDefault="00041039">
            <w:pPr>
              <w:pStyle w:val="TableParagraph"/>
              <w:ind w:left="0"/>
              <w:rPr>
                <w:sz w:val="14"/>
              </w:rPr>
            </w:pPr>
          </w:p>
        </w:tc>
        <w:tc>
          <w:tcPr>
            <w:tcW w:w="2267" w:type="dxa"/>
            <w:vMerge/>
            <w:tcBorders>
              <w:top w:val="nil"/>
            </w:tcBorders>
          </w:tcPr>
          <w:p w:rsidR="00041039" w:rsidRDefault="00041039">
            <w:pPr>
              <w:rPr>
                <w:sz w:val="2"/>
                <w:szCs w:val="2"/>
              </w:rPr>
            </w:pPr>
          </w:p>
        </w:tc>
      </w:tr>
      <w:tr w:rsidR="00041039">
        <w:trPr>
          <w:trHeight w:val="790"/>
        </w:trPr>
        <w:tc>
          <w:tcPr>
            <w:tcW w:w="1304" w:type="dxa"/>
            <w:tcBorders>
              <w:top w:val="nil"/>
              <w:bottom w:val="nil"/>
            </w:tcBorders>
          </w:tcPr>
          <w:p w:rsidR="00041039" w:rsidRDefault="001B26CB">
            <w:pPr>
              <w:pStyle w:val="TableParagraph"/>
              <w:spacing w:before="71"/>
              <w:ind w:left="56"/>
              <w:rPr>
                <w:sz w:val="14"/>
              </w:rPr>
            </w:pPr>
            <w:r>
              <w:rPr>
                <w:color w:val="231F20"/>
                <w:sz w:val="14"/>
              </w:rPr>
              <w:t>Атлетика</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АТЛЕТИКА</w:t>
            </w:r>
          </w:p>
          <w:p w:rsidR="00041039" w:rsidRDefault="001B26CB">
            <w:pPr>
              <w:pStyle w:val="TableParagraph"/>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tc>
        <w:tc>
          <w:tcPr>
            <w:tcW w:w="2267" w:type="dxa"/>
            <w:vMerge/>
            <w:tcBorders>
              <w:top w:val="nil"/>
            </w:tcBorders>
          </w:tcPr>
          <w:p w:rsidR="00041039" w:rsidRDefault="00041039">
            <w:pPr>
              <w:rPr>
                <w:sz w:val="2"/>
                <w:szCs w:val="2"/>
              </w:rPr>
            </w:pPr>
          </w:p>
        </w:tc>
      </w:tr>
      <w:tr w:rsidR="00041039">
        <w:trPr>
          <w:trHeight w:val="351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Трчање:</w:t>
            </w:r>
          </w:p>
          <w:p w:rsidR="00041039" w:rsidRDefault="001B26CB">
            <w:pPr>
              <w:pStyle w:val="TableParagraph"/>
              <w:ind w:left="57"/>
              <w:rPr>
                <w:b/>
                <w:sz w:val="14"/>
              </w:rPr>
            </w:pPr>
            <w:r>
              <w:rPr>
                <w:b/>
                <w:color w:val="231F20"/>
                <w:sz w:val="14"/>
              </w:rPr>
              <w:t>Усавршавање технике трчања на кратке н средње стазе:</w:t>
            </w:r>
          </w:p>
          <w:p w:rsidR="00041039" w:rsidRDefault="001B26CB">
            <w:pPr>
              <w:pStyle w:val="TableParagraph"/>
              <w:tabs>
                <w:tab w:val="left" w:pos="163"/>
              </w:tabs>
              <w:spacing w:line="159" w:lineRule="exact"/>
              <w:ind w:left="57"/>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tabs>
                <w:tab w:val="left" w:pos="163"/>
              </w:tabs>
              <w:spacing w:line="160" w:lineRule="exact"/>
              <w:ind w:left="57"/>
              <w:rPr>
                <w:sz w:val="14"/>
              </w:rPr>
            </w:pPr>
            <w:r>
              <w:rPr>
                <w:color w:val="231F20"/>
                <w:sz w:val="14"/>
              </w:rPr>
              <w:t>800 м ученици и</w:t>
            </w:r>
            <w:r>
              <w:rPr>
                <w:color w:val="231F20"/>
                <w:spacing w:val="-1"/>
                <w:sz w:val="14"/>
              </w:rPr>
              <w:t xml:space="preserve"> </w:t>
            </w:r>
            <w:r>
              <w:rPr>
                <w:color w:val="231F20"/>
                <w:sz w:val="14"/>
              </w:rPr>
              <w:t>ученице;</w:t>
            </w:r>
          </w:p>
          <w:p w:rsidR="00041039" w:rsidRDefault="001B26CB">
            <w:pPr>
              <w:pStyle w:val="TableParagraph"/>
              <w:tabs>
                <w:tab w:val="left" w:pos="163"/>
              </w:tabs>
              <w:ind w:left="57" w:right="173"/>
              <w:rPr>
                <w:sz w:val="14"/>
              </w:rPr>
            </w:pPr>
            <w:r>
              <w:rPr>
                <w:color w:val="231F20"/>
                <w:sz w:val="14"/>
              </w:rPr>
              <w:t>штафета 4 х 100 м ученици и ученице. Вежбање технике трчања на средњим ста­ зама умереним интензитетом и</w:t>
            </w:r>
            <w:r>
              <w:rPr>
                <w:color w:val="231F20"/>
                <w:spacing w:val="-18"/>
                <w:sz w:val="14"/>
              </w:rPr>
              <w:t xml:space="preserve"> </w:t>
            </w:r>
            <w:r>
              <w:rPr>
                <w:color w:val="231F20"/>
                <w:sz w:val="14"/>
              </w:rPr>
              <w:t xml:space="preserve">различитим темпом у трајању </w:t>
            </w:r>
            <w:r>
              <w:rPr>
                <w:color w:val="231F20"/>
                <w:spacing w:val="-3"/>
                <w:sz w:val="14"/>
              </w:rPr>
              <w:t xml:space="preserve">од </w:t>
            </w:r>
            <w:r>
              <w:rPr>
                <w:color w:val="231F20"/>
                <w:sz w:val="14"/>
              </w:rPr>
              <w:t>5 до 10</w:t>
            </w:r>
            <w:r>
              <w:rPr>
                <w:color w:val="231F20"/>
                <w:spacing w:val="2"/>
                <w:sz w:val="14"/>
              </w:rPr>
              <w:t xml:space="preserve"> </w:t>
            </w:r>
            <w:r>
              <w:rPr>
                <w:color w:val="231F20"/>
                <w:sz w:val="14"/>
              </w:rPr>
              <w:t>минута.</w:t>
            </w:r>
          </w:p>
          <w:p w:rsidR="00041039" w:rsidRDefault="001B26CB">
            <w:pPr>
              <w:pStyle w:val="TableParagraph"/>
              <w:spacing w:line="157" w:lineRule="exact"/>
              <w:ind w:left="57"/>
              <w:rPr>
                <w:sz w:val="14"/>
              </w:rPr>
            </w:pPr>
            <w:r>
              <w:rPr>
                <w:color w:val="231F20"/>
                <w:sz w:val="14"/>
              </w:rPr>
              <w:t>Крос: јесењи и пролећни:</w:t>
            </w:r>
          </w:p>
          <w:p w:rsidR="00041039" w:rsidRDefault="001B26CB">
            <w:pPr>
              <w:pStyle w:val="TableParagraph"/>
              <w:tabs>
                <w:tab w:val="left" w:pos="163"/>
              </w:tabs>
              <w:spacing w:line="160" w:lineRule="exact"/>
              <w:ind w:left="57"/>
              <w:rPr>
                <w:sz w:val="14"/>
              </w:rPr>
            </w:pPr>
            <w:r>
              <w:rPr>
                <w:color w:val="231F20"/>
                <w:sz w:val="14"/>
              </w:rPr>
              <w:t>800 м ученице;</w:t>
            </w:r>
          </w:p>
          <w:p w:rsidR="00041039" w:rsidRDefault="001B26CB">
            <w:pPr>
              <w:pStyle w:val="TableParagraph"/>
              <w:tabs>
                <w:tab w:val="left" w:pos="163"/>
              </w:tabs>
              <w:spacing w:line="160" w:lineRule="exact"/>
              <w:ind w:left="57"/>
              <w:rPr>
                <w:sz w:val="14"/>
              </w:rPr>
            </w:pPr>
            <w:r>
              <w:rPr>
                <w:color w:val="231F20"/>
                <w:sz w:val="14"/>
              </w:rPr>
              <w:t>1000 м ученици.</w:t>
            </w:r>
          </w:p>
          <w:p w:rsidR="00041039" w:rsidRDefault="001B26CB">
            <w:pPr>
              <w:pStyle w:val="TableParagraph"/>
              <w:spacing w:line="160" w:lineRule="exact"/>
              <w:ind w:left="57"/>
              <w:rPr>
                <w:b/>
                <w:sz w:val="14"/>
              </w:rPr>
            </w:pPr>
            <w:r>
              <w:rPr>
                <w:b/>
                <w:color w:val="231F20"/>
                <w:sz w:val="14"/>
              </w:rPr>
              <w:t>Скокови:</w:t>
            </w:r>
          </w:p>
          <w:p w:rsidR="00041039" w:rsidRDefault="001B26CB">
            <w:pPr>
              <w:pStyle w:val="TableParagraph"/>
              <w:ind w:left="57" w:right="564"/>
              <w:rPr>
                <w:b/>
                <w:sz w:val="14"/>
              </w:rPr>
            </w:pPr>
            <w:r>
              <w:rPr>
                <w:color w:val="231F20"/>
                <w:sz w:val="14"/>
              </w:rPr>
              <w:t xml:space="preserve">Скок удаљ, корачном техником. </w:t>
            </w:r>
            <w:r>
              <w:rPr>
                <w:color w:val="231F20"/>
                <w:sz w:val="14"/>
              </w:rPr>
              <w:t xml:space="preserve">Скок увис, леђном техником. </w:t>
            </w:r>
            <w:r>
              <w:rPr>
                <w:b/>
                <w:color w:val="231F20"/>
                <w:sz w:val="14"/>
              </w:rPr>
              <w:t>Бацање:</w:t>
            </w:r>
          </w:p>
          <w:p w:rsidR="00041039" w:rsidRDefault="001B26CB">
            <w:pPr>
              <w:pStyle w:val="TableParagraph"/>
              <w:spacing w:line="237" w:lineRule="auto"/>
              <w:ind w:left="57"/>
              <w:rPr>
                <w:sz w:val="14"/>
              </w:rPr>
            </w:pPr>
            <w:r>
              <w:rPr>
                <w:color w:val="231F20"/>
                <w:sz w:val="14"/>
              </w:rPr>
              <w:t>Бацање кугле, једна од рационалних техника (ученице 4 кг, ученици 5 кг).</w:t>
            </w:r>
          </w:p>
          <w:p w:rsidR="00041039" w:rsidRDefault="001B26CB">
            <w:pPr>
              <w:pStyle w:val="TableParagraph"/>
              <w:ind w:left="57" w:right="84"/>
              <w:rPr>
                <w:sz w:val="14"/>
              </w:rPr>
            </w:pPr>
            <w:r>
              <w:rPr>
                <w:color w:val="231F20"/>
                <w:sz w:val="14"/>
              </w:rPr>
              <w:t>Спровести такмичења у одељењу на резултат, у свим реализованим атлетским дисциплинама.</w:t>
            </w:r>
          </w:p>
        </w:tc>
        <w:tc>
          <w:tcPr>
            <w:tcW w:w="2267" w:type="dxa"/>
            <w:vMerge/>
            <w:tcBorders>
              <w:top w:val="nil"/>
            </w:tcBorders>
          </w:tcPr>
          <w:p w:rsidR="00041039" w:rsidRDefault="00041039">
            <w:pPr>
              <w:rPr>
                <w:sz w:val="2"/>
                <w:szCs w:val="2"/>
              </w:rPr>
            </w:pPr>
          </w:p>
        </w:tc>
      </w:tr>
      <w:tr w:rsidR="00041039">
        <w:trPr>
          <w:trHeight w:val="6603"/>
        </w:trPr>
        <w:tc>
          <w:tcPr>
            <w:tcW w:w="1304" w:type="dxa"/>
            <w:tcBorders>
              <w:top w:val="nil"/>
            </w:tcBorders>
          </w:tcPr>
          <w:p w:rsidR="00041039" w:rsidRDefault="001B26CB">
            <w:pPr>
              <w:pStyle w:val="TableParagraph"/>
              <w:spacing w:before="71"/>
              <w:ind w:left="56" w:right="154"/>
              <w:rPr>
                <w:sz w:val="14"/>
              </w:rPr>
            </w:pPr>
            <w:r>
              <w:rPr>
                <w:color w:val="231F20"/>
                <w:sz w:val="14"/>
              </w:rPr>
              <w:t>Спортска гимнас­ тика:</w:t>
            </w:r>
          </w:p>
          <w:p w:rsidR="00041039" w:rsidRDefault="001B26CB">
            <w:pPr>
              <w:pStyle w:val="TableParagraph"/>
              <w:ind w:left="56"/>
              <w:rPr>
                <w:sz w:val="14"/>
              </w:rPr>
            </w:pPr>
            <w:r>
              <w:rPr>
                <w:color w:val="231F20"/>
                <w:sz w:val="14"/>
              </w:rPr>
              <w:t>(Вежбе на справама и тлу)</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1B26CB">
            <w:pPr>
              <w:pStyle w:val="TableParagraph"/>
              <w:spacing w:before="71"/>
              <w:ind w:left="57"/>
              <w:rPr>
                <w:b/>
                <w:sz w:val="14"/>
              </w:rPr>
            </w:pPr>
            <w:r>
              <w:rPr>
                <w:b/>
                <w:color w:val="231F20"/>
                <w:sz w:val="14"/>
              </w:rPr>
              <w:t>СПОРТСКА ГИМНАСТИКА: ВЕЖБЕ НАСПРАВАМА И ТЛУ</w:t>
            </w:r>
          </w:p>
          <w:p w:rsidR="00041039" w:rsidRDefault="001B26CB">
            <w:pPr>
              <w:pStyle w:val="TableParagraph"/>
              <w:spacing w:line="159" w:lineRule="exact"/>
              <w:ind w:left="57"/>
              <w:rPr>
                <w:b/>
                <w:sz w:val="14"/>
              </w:rPr>
            </w:pPr>
            <w:r>
              <w:rPr>
                <w:b/>
                <w:color w:val="231F20"/>
                <w:sz w:val="14"/>
              </w:rPr>
              <w:t>Напомене:</w:t>
            </w:r>
          </w:p>
          <w:p w:rsidR="00041039" w:rsidRDefault="001B26CB">
            <w:pPr>
              <w:pStyle w:val="TableParagraph"/>
              <w:ind w:left="162" w:hanging="105"/>
              <w:rPr>
                <w:sz w:val="14"/>
              </w:rPr>
            </w:pPr>
            <w:r>
              <w:rPr>
                <w:color w:val="231F20"/>
                <w:sz w:val="14"/>
              </w:rPr>
              <w:t>– Наставник олакшава, односно отежава про­ грам на основу моторичких способности и претходно стечених умења ученика.</w:t>
            </w:r>
          </w:p>
          <w:p w:rsidR="00041039" w:rsidRDefault="001B26CB">
            <w:pPr>
              <w:pStyle w:val="TableParagraph"/>
              <w:tabs>
                <w:tab w:val="left" w:pos="142"/>
              </w:tabs>
              <w:spacing w:line="158" w:lineRule="exact"/>
              <w:ind w:left="141" w:hanging="84"/>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60" w:lineRule="exact"/>
              <w:ind w:left="57"/>
              <w:rPr>
                <w:b/>
                <w:sz w:val="14"/>
              </w:rPr>
            </w:pPr>
            <w:r>
              <w:rPr>
                <w:b/>
                <w:color w:val="231F20"/>
                <w:sz w:val="14"/>
              </w:rPr>
              <w:t>За ученике и ученице:</w:t>
            </w:r>
          </w:p>
          <w:p w:rsidR="00041039" w:rsidRDefault="001B26CB">
            <w:pPr>
              <w:pStyle w:val="TableParagraph"/>
              <w:tabs>
                <w:tab w:val="left" w:pos="163"/>
              </w:tabs>
              <w:ind w:left="162" w:right="435" w:hanging="105"/>
              <w:rPr>
                <w:sz w:val="14"/>
              </w:rPr>
            </w:pPr>
            <w:r>
              <w:rPr>
                <w:color w:val="231F20"/>
                <w:sz w:val="14"/>
              </w:rPr>
              <w:t>из упора за рукама, згибом, провлак згрчено напред до упора пред</w:t>
            </w:r>
            <w:r>
              <w:rPr>
                <w:color w:val="231F20"/>
                <w:spacing w:val="-22"/>
                <w:sz w:val="14"/>
              </w:rPr>
              <w:t xml:space="preserve"> </w:t>
            </w:r>
            <w:r>
              <w:rPr>
                <w:color w:val="231F20"/>
                <w:sz w:val="14"/>
              </w:rPr>
              <w:t>рукама (опружено);</w:t>
            </w:r>
          </w:p>
          <w:p w:rsidR="00041039" w:rsidRDefault="001B26CB">
            <w:pPr>
              <w:pStyle w:val="TableParagraph"/>
              <w:tabs>
                <w:tab w:val="left" w:pos="163"/>
              </w:tabs>
              <w:spacing w:line="237" w:lineRule="auto"/>
              <w:ind w:left="162" w:right="249" w:hanging="105"/>
              <w:rPr>
                <w:sz w:val="14"/>
              </w:rPr>
            </w:pPr>
            <w:r>
              <w:rPr>
                <w:color w:val="231F20"/>
                <w:spacing w:val="-3"/>
                <w:sz w:val="14"/>
              </w:rPr>
              <w:t xml:space="preserve">колут </w:t>
            </w:r>
            <w:r>
              <w:rPr>
                <w:color w:val="231F20"/>
                <w:sz w:val="14"/>
              </w:rPr>
              <w:t>напред и спојено управом до</w:t>
            </w:r>
            <w:r>
              <w:rPr>
                <w:color w:val="231F20"/>
                <w:spacing w:val="-11"/>
                <w:sz w:val="14"/>
              </w:rPr>
              <w:t xml:space="preserve"> </w:t>
            </w:r>
            <w:r>
              <w:rPr>
                <w:color w:val="231F20"/>
                <w:sz w:val="14"/>
              </w:rPr>
              <w:t>ваге­ претклоном и заножењем,</w:t>
            </w:r>
            <w:r>
              <w:rPr>
                <w:color w:val="231F20"/>
                <w:spacing w:val="-7"/>
                <w:sz w:val="14"/>
              </w:rPr>
              <w:t xml:space="preserve"> </w:t>
            </w:r>
            <w:r>
              <w:rPr>
                <w:color w:val="231F20"/>
                <w:sz w:val="14"/>
              </w:rPr>
              <w:t>издржај;</w:t>
            </w:r>
          </w:p>
          <w:p w:rsidR="00041039" w:rsidRDefault="001B26CB">
            <w:pPr>
              <w:pStyle w:val="TableParagraph"/>
              <w:tabs>
                <w:tab w:val="left" w:pos="163"/>
              </w:tabs>
              <w:ind w:left="162" w:right="245" w:hanging="105"/>
              <w:rPr>
                <w:sz w:val="14"/>
              </w:rPr>
            </w:pPr>
            <w:r>
              <w:rPr>
                <w:color w:val="231F20"/>
                <w:sz w:val="14"/>
              </w:rPr>
              <w:t>премет странце упором у „бољу” страну и спојено, премет странце у „слабију” страну;</w:t>
            </w:r>
          </w:p>
          <w:p w:rsidR="00041039" w:rsidRDefault="001B26CB">
            <w:pPr>
              <w:pStyle w:val="TableParagraph"/>
              <w:tabs>
                <w:tab w:val="left" w:pos="163"/>
              </w:tabs>
              <w:spacing w:line="158" w:lineRule="exact"/>
              <w:ind w:left="162" w:hanging="105"/>
              <w:rPr>
                <w:sz w:val="14"/>
              </w:rPr>
            </w:pPr>
            <w:r>
              <w:rPr>
                <w:color w:val="231F20"/>
                <w:sz w:val="14"/>
              </w:rPr>
              <w:t xml:space="preserve">за </w:t>
            </w:r>
            <w:r>
              <w:rPr>
                <w:b/>
                <w:color w:val="231F20"/>
                <w:sz w:val="14"/>
              </w:rPr>
              <w:t xml:space="preserve">напредни ниво </w:t>
            </w:r>
            <w:r>
              <w:rPr>
                <w:color w:val="231F20"/>
                <w:sz w:val="14"/>
              </w:rPr>
              <w:t>премет напред</w:t>
            </w:r>
            <w:r>
              <w:rPr>
                <w:color w:val="231F20"/>
                <w:spacing w:val="-14"/>
                <w:sz w:val="14"/>
              </w:rPr>
              <w:t xml:space="preserve"> </w:t>
            </w:r>
            <w:r>
              <w:rPr>
                <w:color w:val="231F20"/>
                <w:sz w:val="14"/>
              </w:rPr>
              <w:t>упором.</w:t>
            </w:r>
          </w:p>
          <w:p w:rsidR="00041039" w:rsidRDefault="001B26CB">
            <w:pPr>
              <w:pStyle w:val="TableParagraph"/>
              <w:tabs>
                <w:tab w:val="left" w:pos="142"/>
              </w:tabs>
              <w:spacing w:line="160" w:lineRule="exact"/>
              <w:ind w:left="141" w:hanging="84"/>
              <w:rPr>
                <w:b/>
                <w:sz w:val="14"/>
              </w:rPr>
            </w:pPr>
            <w:r>
              <w:rPr>
                <w:b/>
                <w:color w:val="231F20"/>
                <w:sz w:val="14"/>
              </w:rPr>
              <w:t>Прескок</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коњ у ширину висине 120 цм;</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110 цм:</w:t>
            </w:r>
          </w:p>
          <w:p w:rsidR="00041039" w:rsidRDefault="001B26CB">
            <w:pPr>
              <w:pStyle w:val="TableParagraph"/>
              <w:tabs>
                <w:tab w:val="left" w:pos="163"/>
              </w:tabs>
              <w:spacing w:line="160" w:lineRule="exact"/>
              <w:ind w:left="162" w:hanging="105"/>
              <w:rPr>
                <w:sz w:val="14"/>
              </w:rPr>
            </w:pPr>
            <w:r>
              <w:rPr>
                <w:color w:val="231F20"/>
                <w:sz w:val="14"/>
              </w:rPr>
              <w:t>згрчка;</w:t>
            </w:r>
          </w:p>
          <w:p w:rsidR="00041039" w:rsidRDefault="001B26CB">
            <w:pPr>
              <w:pStyle w:val="TableParagraph"/>
              <w:tabs>
                <w:tab w:val="left" w:pos="163"/>
              </w:tabs>
              <w:spacing w:line="160" w:lineRule="exact"/>
              <w:ind w:left="162" w:hanging="105"/>
              <w:rPr>
                <w:sz w:val="14"/>
              </w:rPr>
            </w:pPr>
            <w:r>
              <w:rPr>
                <w:color w:val="231F20"/>
                <w:sz w:val="14"/>
              </w:rPr>
              <w:t>разношка;</w:t>
            </w:r>
          </w:p>
          <w:p w:rsidR="00041039" w:rsidRDefault="001B26CB">
            <w:pPr>
              <w:pStyle w:val="TableParagraph"/>
              <w:tabs>
                <w:tab w:val="left" w:pos="163"/>
              </w:tabs>
              <w:ind w:left="162" w:right="160" w:hanging="105"/>
              <w:rPr>
                <w:sz w:val="14"/>
              </w:rPr>
            </w:pPr>
            <w:r>
              <w:rPr>
                <w:color w:val="231F20"/>
                <w:sz w:val="14"/>
              </w:rPr>
              <w:t xml:space="preserve">за </w:t>
            </w:r>
            <w:r>
              <w:rPr>
                <w:b/>
                <w:color w:val="231F20"/>
                <w:sz w:val="14"/>
              </w:rPr>
              <w:t>напредни ниво</w:t>
            </w:r>
            <w:r>
              <w:rPr>
                <w:color w:val="231F20"/>
                <w:sz w:val="14"/>
              </w:rPr>
              <w:t>: склонка и прескоци</w:t>
            </w:r>
            <w:r>
              <w:rPr>
                <w:color w:val="231F20"/>
                <w:spacing w:val="-20"/>
                <w:sz w:val="14"/>
              </w:rPr>
              <w:t xml:space="preserve"> </w:t>
            </w:r>
            <w:r>
              <w:rPr>
                <w:color w:val="231F20"/>
                <w:sz w:val="14"/>
              </w:rPr>
              <w:t>са заножењем.</w:t>
            </w:r>
          </w:p>
          <w:p w:rsidR="00041039" w:rsidRDefault="001B26CB">
            <w:pPr>
              <w:pStyle w:val="TableParagraph"/>
              <w:tabs>
                <w:tab w:val="left" w:pos="142"/>
              </w:tabs>
              <w:spacing w:line="159" w:lineRule="exact"/>
              <w:ind w:left="141" w:hanging="84"/>
              <w:rPr>
                <w:b/>
                <w:sz w:val="14"/>
              </w:rPr>
            </w:pPr>
            <w:r>
              <w:rPr>
                <w:b/>
                <w:color w:val="231F20"/>
                <w:sz w:val="14"/>
              </w:rPr>
              <w:t>Кругови</w:t>
            </w:r>
          </w:p>
          <w:p w:rsidR="00041039" w:rsidRDefault="001B26CB">
            <w:pPr>
              <w:pStyle w:val="TableParagraph"/>
              <w:spacing w:line="160" w:lineRule="exact"/>
              <w:ind w:left="57"/>
              <w:rPr>
                <w:sz w:val="14"/>
              </w:rPr>
            </w:pPr>
            <w:r>
              <w:rPr>
                <w:b/>
                <w:color w:val="231F20"/>
                <w:sz w:val="14"/>
              </w:rPr>
              <w:t>За ученике</w:t>
            </w:r>
            <w:r>
              <w:rPr>
                <w:color w:val="231F20"/>
                <w:sz w:val="14"/>
              </w:rPr>
              <w:t>/доскочни кругови/:</w:t>
            </w:r>
          </w:p>
          <w:p w:rsidR="00041039" w:rsidRDefault="001B26CB">
            <w:pPr>
              <w:pStyle w:val="TableParagraph"/>
              <w:spacing w:line="160" w:lineRule="exact"/>
              <w:ind w:left="57"/>
              <w:rPr>
                <w:sz w:val="14"/>
              </w:rPr>
            </w:pPr>
            <w:r>
              <w:rPr>
                <w:color w:val="231F20"/>
                <w:sz w:val="14"/>
              </w:rPr>
              <w:t>– њих, зањихом саскок, уз помоћ.</w:t>
            </w:r>
          </w:p>
          <w:p w:rsidR="00041039" w:rsidRDefault="001B26CB">
            <w:pPr>
              <w:pStyle w:val="TableParagraph"/>
              <w:tabs>
                <w:tab w:val="left" w:pos="142"/>
              </w:tabs>
              <w:spacing w:line="160" w:lineRule="exact"/>
              <w:ind w:left="141" w:hanging="84"/>
              <w:rPr>
                <w:b/>
                <w:sz w:val="14"/>
              </w:rPr>
            </w:pPr>
            <w:r>
              <w:rPr>
                <w:b/>
                <w:color w:val="231F20"/>
                <w:sz w:val="14"/>
              </w:rPr>
              <w:t>Разбој</w:t>
            </w:r>
          </w:p>
          <w:p w:rsidR="00041039" w:rsidRDefault="001B26CB">
            <w:pPr>
              <w:pStyle w:val="TableParagraph"/>
              <w:spacing w:line="160" w:lineRule="exact"/>
              <w:ind w:left="57"/>
              <w:rPr>
                <w:sz w:val="14"/>
              </w:rPr>
            </w:pPr>
            <w:r>
              <w:rPr>
                <w:b/>
                <w:color w:val="231F20"/>
                <w:sz w:val="14"/>
              </w:rPr>
              <w:t>За учен</w:t>
            </w:r>
            <w:r>
              <w:rPr>
                <w:b/>
                <w:color w:val="231F20"/>
                <w:sz w:val="14"/>
              </w:rPr>
              <w:t>ике</w:t>
            </w:r>
            <w:r>
              <w:rPr>
                <w:color w:val="231F20"/>
                <w:sz w:val="14"/>
              </w:rPr>
              <w:t>/паралелни разбој/:</w:t>
            </w:r>
          </w:p>
          <w:p w:rsidR="00041039" w:rsidRDefault="001B26CB">
            <w:pPr>
              <w:pStyle w:val="TableParagraph"/>
              <w:ind w:left="162" w:right="61" w:hanging="105"/>
              <w:rPr>
                <w:sz w:val="14"/>
              </w:rPr>
            </w:pPr>
            <w:r>
              <w:rPr>
                <w:color w:val="231F20"/>
                <w:sz w:val="14"/>
              </w:rPr>
              <w:t>– из упора седећег разножно пред рукама, прехватом напред и дизањем склоњено став на раменима, спуст назад у упор се­ дећи разножно, прехват рукама иза бутина, сножити и зањихом саскок.</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160"/>
        </w:trPr>
        <w:tc>
          <w:tcPr>
            <w:tcW w:w="130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10"/>
              <w:ind w:left="0"/>
              <w:rPr>
                <w:b/>
                <w:sz w:val="23"/>
              </w:rPr>
            </w:pPr>
          </w:p>
          <w:p w:rsidR="00041039" w:rsidRDefault="001B26CB">
            <w:pPr>
              <w:pStyle w:val="TableParagraph"/>
              <w:ind w:left="56" w:right="130"/>
              <w:rPr>
                <w:sz w:val="14"/>
              </w:rPr>
            </w:pPr>
            <w:r>
              <w:rPr>
                <w:color w:val="231F20"/>
                <w:sz w:val="14"/>
              </w:rPr>
              <w:t>Спортска игра (по избору)</w:t>
            </w:r>
          </w:p>
          <w:p w:rsidR="00041039" w:rsidRDefault="00041039">
            <w:pPr>
              <w:pStyle w:val="TableParagraph"/>
              <w:spacing w:before="8"/>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1B26CB">
            <w:pPr>
              <w:pStyle w:val="TableParagraph"/>
              <w:spacing w:before="18"/>
              <w:ind w:left="57" w:right="104"/>
              <w:rPr>
                <w:sz w:val="14"/>
              </w:rPr>
            </w:pPr>
            <w:r>
              <w:rPr>
                <w:b/>
                <w:color w:val="231F20"/>
                <w:sz w:val="14"/>
              </w:rPr>
              <w:t>За ученице</w:t>
            </w:r>
            <w:r>
              <w:rPr>
                <w:color w:val="231F20"/>
                <w:sz w:val="14"/>
              </w:rPr>
              <w:t>/двовисински разбој, једна прит­ ка, вратило/:</w:t>
            </w:r>
          </w:p>
          <w:p w:rsidR="00041039" w:rsidRDefault="001B26CB">
            <w:pPr>
              <w:pStyle w:val="TableParagraph"/>
              <w:tabs>
                <w:tab w:val="left" w:pos="163"/>
              </w:tabs>
              <w:ind w:left="162" w:right="134" w:hanging="105"/>
              <w:rPr>
                <w:sz w:val="14"/>
              </w:rPr>
            </w:pPr>
            <w:r>
              <w:rPr>
                <w:color w:val="231F20"/>
                <w:sz w:val="14"/>
              </w:rPr>
              <w:t>вис на в/п лицем према н/п: клим, премах згрчено једном ногом до виса лежећег на н/п, прехват (може разноручно) на н/п до упора јашућег; премах одножно преднож­ ном (уназад) до упора предњег: замахом уназад (зањихом) саскок пруженим</w:t>
            </w:r>
            <w:r>
              <w:rPr>
                <w:color w:val="231F20"/>
                <w:spacing w:val="-25"/>
                <w:sz w:val="14"/>
              </w:rPr>
              <w:t xml:space="preserve"> </w:t>
            </w:r>
            <w:r>
              <w:rPr>
                <w:color w:val="231F20"/>
                <w:sz w:val="14"/>
              </w:rPr>
              <w:t>телом;</w:t>
            </w:r>
          </w:p>
          <w:p w:rsidR="00041039" w:rsidRDefault="001B26CB">
            <w:pPr>
              <w:pStyle w:val="TableParagraph"/>
              <w:tabs>
                <w:tab w:val="left" w:pos="163"/>
              </w:tabs>
              <w:spacing w:line="237" w:lineRule="auto"/>
              <w:ind w:left="162" w:right="160" w:hanging="105"/>
              <w:rPr>
                <w:sz w:val="14"/>
              </w:rPr>
            </w:pPr>
            <w:r>
              <w:rPr>
                <w:color w:val="231F20"/>
                <w:sz w:val="14"/>
              </w:rPr>
              <w:t>једна притка: на</w:t>
            </w:r>
            <w:r>
              <w:rPr>
                <w:color w:val="231F20"/>
                <w:sz w:val="14"/>
              </w:rPr>
              <w:t>скок у упор предњи, премах одножно једном ногом до упора јашућег; премах одножно заножном до упора стражњег; саскок саседом</w:t>
            </w:r>
            <w:r>
              <w:rPr>
                <w:color w:val="231F20"/>
                <w:spacing w:val="-18"/>
                <w:sz w:val="14"/>
              </w:rPr>
              <w:t xml:space="preserve"> </w:t>
            </w:r>
            <w:r>
              <w:rPr>
                <w:color w:val="231F20"/>
                <w:sz w:val="14"/>
              </w:rPr>
              <w:t>(замахом ногама</w:t>
            </w:r>
            <w:r>
              <w:rPr>
                <w:color w:val="231F20"/>
                <w:spacing w:val="-1"/>
                <w:sz w:val="14"/>
              </w:rPr>
              <w:t xml:space="preserve"> </w:t>
            </w:r>
            <w:r>
              <w:rPr>
                <w:color w:val="231F20"/>
                <w:sz w:val="14"/>
              </w:rPr>
              <w:t>унапред).</w:t>
            </w:r>
          </w:p>
          <w:p w:rsidR="00041039" w:rsidRDefault="001B26CB">
            <w:pPr>
              <w:pStyle w:val="TableParagraph"/>
              <w:tabs>
                <w:tab w:val="left" w:pos="142"/>
              </w:tabs>
              <w:spacing w:line="161" w:lineRule="exact"/>
              <w:ind w:left="141" w:hanging="84"/>
              <w:rPr>
                <w:b/>
                <w:sz w:val="14"/>
              </w:rPr>
            </w:pPr>
            <w:r>
              <w:rPr>
                <w:b/>
                <w:color w:val="231F20"/>
                <w:sz w:val="14"/>
              </w:rPr>
              <w:t>Вратило</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/доскочно вратило/:</w:t>
            </w:r>
          </w:p>
          <w:p w:rsidR="00041039" w:rsidRDefault="001B26CB">
            <w:pPr>
              <w:pStyle w:val="TableParagraph"/>
              <w:ind w:left="162" w:hanging="105"/>
              <w:rPr>
                <w:sz w:val="14"/>
              </w:rPr>
            </w:pPr>
            <w:r>
              <w:rPr>
                <w:color w:val="231F20"/>
                <w:sz w:val="14"/>
              </w:rPr>
              <w:t>– из мирног виса узмак до упора, замахом ногама уназад (зањихом) саскок увито.</w:t>
            </w:r>
          </w:p>
          <w:p w:rsidR="00041039" w:rsidRDefault="001B26CB">
            <w:pPr>
              <w:pStyle w:val="TableParagraph"/>
              <w:tabs>
                <w:tab w:val="left" w:pos="142"/>
              </w:tabs>
              <w:spacing w:line="159" w:lineRule="exact"/>
              <w:ind w:left="141" w:hanging="84"/>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За ученице</w:t>
            </w:r>
            <w:r>
              <w:rPr>
                <w:color w:val="231F20"/>
                <w:sz w:val="14"/>
              </w:rPr>
              <w:t>/висока греда/:</w:t>
            </w:r>
          </w:p>
          <w:p w:rsidR="00041039" w:rsidRDefault="001B26CB">
            <w:pPr>
              <w:pStyle w:val="TableParagraph"/>
              <w:ind w:left="162" w:right="59" w:hanging="105"/>
              <w:rPr>
                <w:sz w:val="14"/>
              </w:rPr>
            </w:pPr>
            <w:r>
              <w:rPr>
                <w:color w:val="231F20"/>
                <w:sz w:val="14"/>
              </w:rPr>
              <w:t xml:space="preserve">– залетом и суножним </w:t>
            </w:r>
            <w:r>
              <w:rPr>
                <w:color w:val="231F20"/>
                <w:spacing w:val="-3"/>
                <w:sz w:val="14"/>
              </w:rPr>
              <w:t xml:space="preserve">одскоком </w:t>
            </w:r>
            <w:r>
              <w:rPr>
                <w:color w:val="231F20"/>
                <w:sz w:val="14"/>
              </w:rPr>
              <w:t xml:space="preserve">наскоку упор чучећи; окрет за 90º усправ у успон, окрет за 180°, лагано трчање на прстима, скок са променом </w:t>
            </w:r>
            <w:r>
              <w:rPr>
                <w:color w:val="231F20"/>
                <w:spacing w:val="-4"/>
                <w:sz w:val="14"/>
              </w:rPr>
              <w:t xml:space="preserve">ногу, </w:t>
            </w:r>
            <w:r>
              <w:rPr>
                <w:color w:val="231F20"/>
                <w:sz w:val="14"/>
              </w:rPr>
              <w:t>к</w:t>
            </w:r>
            <w:r>
              <w:rPr>
                <w:color w:val="231F20"/>
                <w:sz w:val="14"/>
              </w:rPr>
              <w:t>ораци у успону до краја греде; саскок згрчено (бочно у</w:t>
            </w:r>
            <w:r>
              <w:rPr>
                <w:color w:val="231F20"/>
                <w:spacing w:val="-24"/>
                <w:sz w:val="14"/>
              </w:rPr>
              <w:t xml:space="preserve"> </w:t>
            </w:r>
            <w:r>
              <w:rPr>
                <w:color w:val="231F20"/>
                <w:sz w:val="14"/>
              </w:rPr>
              <w:t>односу на</w:t>
            </w:r>
            <w:r>
              <w:rPr>
                <w:color w:val="231F20"/>
                <w:spacing w:val="-2"/>
                <w:sz w:val="14"/>
              </w:rPr>
              <w:t xml:space="preserve"> </w:t>
            </w:r>
            <w:r>
              <w:rPr>
                <w:color w:val="231F20"/>
                <w:sz w:val="14"/>
              </w:rPr>
              <w:t>греду).</w:t>
            </w:r>
          </w:p>
          <w:p w:rsidR="00041039" w:rsidRDefault="001B26CB">
            <w:pPr>
              <w:pStyle w:val="TableParagraph"/>
              <w:tabs>
                <w:tab w:val="left" w:pos="142"/>
              </w:tabs>
              <w:spacing w:line="237" w:lineRule="auto"/>
              <w:ind w:left="57" w:right="1426"/>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ind w:left="162" w:hanging="105"/>
              <w:rPr>
                <w:sz w:val="14"/>
              </w:rPr>
            </w:pPr>
            <w:r>
              <w:rPr>
                <w:color w:val="231F20"/>
                <w:sz w:val="14"/>
              </w:rPr>
              <w:t>– из упора пред рукама, коло заножно левом. коло заножно десном.</w:t>
            </w:r>
          </w:p>
          <w:p w:rsidR="00041039" w:rsidRDefault="001B26CB">
            <w:pPr>
              <w:pStyle w:val="TableParagraph"/>
              <w:ind w:left="57" w:right="62"/>
              <w:rPr>
                <w:sz w:val="14"/>
              </w:rPr>
            </w:pPr>
            <w:r>
              <w:rPr>
                <w:b/>
                <w:color w:val="231F20"/>
                <w:sz w:val="14"/>
              </w:rPr>
              <w:t>Школско такмичење (одељење, школа)</w:t>
            </w:r>
            <w:r>
              <w:rPr>
                <w:color w:val="231F20"/>
                <w:sz w:val="14"/>
              </w:rPr>
              <w:t>; актив наставника физичког васпитања бира справе на к</w:t>
            </w:r>
            <w:r>
              <w:rPr>
                <w:color w:val="231F20"/>
                <w:sz w:val="14"/>
              </w:rPr>
              <w:t xml:space="preserve">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55"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8"/>
              <w:ind w:left="0"/>
              <w:rPr>
                <w:b/>
                <w:sz w:val="12"/>
              </w:rPr>
            </w:pPr>
          </w:p>
          <w:p w:rsidR="00041039" w:rsidRDefault="001B26CB">
            <w:pPr>
              <w:pStyle w:val="TableParagraph"/>
              <w:spacing w:before="1" w:line="161" w:lineRule="exact"/>
              <w:ind w:left="57"/>
              <w:rPr>
                <w:b/>
                <w:sz w:val="14"/>
              </w:rPr>
            </w:pPr>
            <w:r>
              <w:rPr>
                <w:b/>
                <w:color w:val="231F20"/>
                <w:sz w:val="14"/>
              </w:rPr>
              <w:t>СПОРТСКА ИГРА (по избору)</w:t>
            </w:r>
          </w:p>
          <w:p w:rsidR="00041039" w:rsidRDefault="001B26CB">
            <w:pPr>
              <w:pStyle w:val="TableParagraph"/>
              <w:tabs>
                <w:tab w:val="left" w:pos="163"/>
              </w:tabs>
              <w:ind w:left="162" w:right="156" w:hanging="105"/>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tabs>
                <w:tab w:val="left" w:pos="163"/>
              </w:tabs>
              <w:ind w:left="162" w:right="134" w:hanging="105"/>
              <w:rPr>
                <w:sz w:val="14"/>
              </w:rPr>
            </w:pPr>
            <w:r>
              <w:rPr>
                <w:color w:val="231F20"/>
                <w:sz w:val="14"/>
              </w:rPr>
              <w:t xml:space="preserve">Даље проширивање и </w:t>
            </w:r>
            <w:r>
              <w:rPr>
                <w:color w:val="231F20"/>
                <w:sz w:val="14"/>
              </w:rPr>
              <w:t xml:space="preserve">продубљивање техничко­тактичке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садржаје из спортске</w:t>
            </w:r>
            <w:r>
              <w:rPr>
                <w:color w:val="231F20"/>
                <w:spacing w:val="-7"/>
                <w:sz w:val="14"/>
              </w:rPr>
              <w:t xml:space="preserve"> </w:t>
            </w:r>
            <w:r>
              <w:rPr>
                <w:color w:val="231F20"/>
                <w:sz w:val="14"/>
              </w:rPr>
              <w:t>игре.</w:t>
            </w:r>
          </w:p>
          <w:p w:rsidR="00041039" w:rsidRDefault="001B26CB">
            <w:pPr>
              <w:pStyle w:val="TableParagraph"/>
              <w:tabs>
                <w:tab w:val="left" w:pos="157"/>
              </w:tabs>
              <w:spacing w:line="155" w:lineRule="exact"/>
              <w:ind w:hanging="99"/>
              <w:rPr>
                <w:sz w:val="14"/>
              </w:rPr>
            </w:pPr>
            <w:r>
              <w:rPr>
                <w:color w:val="231F20"/>
                <w:sz w:val="14"/>
              </w:rPr>
              <w:t>Стручно веће наставника физичког</w:t>
            </w:r>
            <w:r>
              <w:rPr>
                <w:color w:val="231F20"/>
                <w:spacing w:val="-9"/>
                <w:sz w:val="14"/>
              </w:rPr>
              <w:t xml:space="preserve"> </w:t>
            </w:r>
            <w:r>
              <w:rPr>
                <w:color w:val="231F20"/>
                <w:sz w:val="14"/>
              </w:rPr>
              <w:t>васпи­</w:t>
            </w:r>
          </w:p>
          <w:p w:rsidR="00041039" w:rsidRDefault="001B26CB">
            <w:pPr>
              <w:pStyle w:val="TableParagraph"/>
              <w:rPr>
                <w:sz w:val="14"/>
              </w:rPr>
            </w:pPr>
            <w:r>
              <w:rPr>
                <w:color w:val="231F20"/>
                <w:sz w:val="14"/>
              </w:rPr>
              <w:t>тања, према програму који сам доноси из програмадругогразреда (програм по избору ученика) у складу са могућностима школе, организује наставу за коју ученици покажу посебно интересовање.</w:t>
            </w:r>
          </w:p>
        </w:tc>
        <w:tc>
          <w:tcPr>
            <w:tcW w:w="2267" w:type="dxa"/>
          </w:tcPr>
          <w:p w:rsidR="00041039" w:rsidRDefault="001B26CB">
            <w:pPr>
              <w:pStyle w:val="TableParagraph"/>
              <w:spacing w:before="19"/>
              <w:ind w:left="57"/>
              <w:rPr>
                <w:sz w:val="14"/>
              </w:rPr>
            </w:pPr>
            <w:r>
              <w:rPr>
                <w:color w:val="231F20"/>
                <w:sz w:val="14"/>
              </w:rPr>
              <w:t>У свим разредима настава физичког васпитања се реализује одвојено за у</w:t>
            </w:r>
            <w:r>
              <w:rPr>
                <w:color w:val="231F20"/>
                <w:sz w:val="14"/>
              </w:rPr>
              <w:t>ченике и одвојено за ученице, а само у школама које имају по два паралелна објекта за физичко вас­ питање дозвољена је истовремена реализација часа.</w:t>
            </w:r>
          </w:p>
          <w:p w:rsidR="00041039" w:rsidRDefault="00041039">
            <w:pPr>
              <w:pStyle w:val="TableParagraph"/>
              <w:spacing w:before="4"/>
              <w:ind w:left="0"/>
              <w:rPr>
                <w:b/>
                <w:sz w:val="13"/>
              </w:rPr>
            </w:pPr>
          </w:p>
          <w:p w:rsidR="00041039" w:rsidRDefault="001B26CB">
            <w:pPr>
              <w:pStyle w:val="TableParagraph"/>
              <w:ind w:left="57"/>
              <w:rPr>
                <w:b/>
                <w:sz w:val="14"/>
              </w:rPr>
            </w:pPr>
            <w:r>
              <w:rPr>
                <w:b/>
                <w:color w:val="231F20"/>
                <w:sz w:val="14"/>
              </w:rPr>
              <w:t>Праћење, вредновање и оцењи- вање</w:t>
            </w:r>
          </w:p>
          <w:p w:rsidR="00041039" w:rsidRDefault="001B26CB">
            <w:pPr>
              <w:pStyle w:val="TableParagraph"/>
              <w:ind w:left="57" w:right="86"/>
              <w:rPr>
                <w:sz w:val="14"/>
              </w:rPr>
            </w:pPr>
            <w:r>
              <w:rPr>
                <w:color w:val="231F20"/>
                <w:sz w:val="14"/>
              </w:rPr>
              <w:t>Праћење напретка ученика у физичком васпитању се обавља сукцесивно у ток</w:t>
            </w:r>
            <w:r>
              <w:rPr>
                <w:color w:val="231F20"/>
                <w:sz w:val="14"/>
              </w:rPr>
              <w:t>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041039" w:rsidRDefault="00041039">
            <w:pPr>
              <w:pStyle w:val="TableParagraph"/>
              <w:spacing w:before="11"/>
              <w:ind w:left="0"/>
              <w:rPr>
                <w:b/>
                <w:sz w:val="12"/>
              </w:rPr>
            </w:pPr>
          </w:p>
          <w:p w:rsidR="00041039" w:rsidRDefault="001B26CB">
            <w:pPr>
              <w:pStyle w:val="TableParagraph"/>
              <w:spacing w:line="161" w:lineRule="exact"/>
              <w:ind w:left="57"/>
              <w:rPr>
                <w:b/>
                <w:sz w:val="14"/>
              </w:rPr>
            </w:pPr>
            <w:r>
              <w:rPr>
                <w:b/>
                <w:color w:val="231F20"/>
                <w:sz w:val="14"/>
              </w:rPr>
              <w:t>Минимални обавезни захтеви</w:t>
            </w:r>
          </w:p>
          <w:p w:rsidR="00041039" w:rsidRDefault="001B26CB">
            <w:pPr>
              <w:pStyle w:val="TableParagraph"/>
              <w:tabs>
                <w:tab w:val="left" w:pos="142"/>
              </w:tabs>
              <w:ind w:left="141" w:right="66" w:hanging="84"/>
              <w:rPr>
                <w:sz w:val="14"/>
              </w:rPr>
            </w:pPr>
            <w:r>
              <w:rPr>
                <w:b/>
                <w:color w:val="231F20"/>
                <w:spacing w:val="-3"/>
                <w:sz w:val="14"/>
              </w:rPr>
              <w:t xml:space="preserve">Атлетика: </w:t>
            </w:r>
            <w:r>
              <w:rPr>
                <w:color w:val="231F20"/>
                <w:sz w:val="14"/>
              </w:rPr>
              <w:t xml:space="preserve">трчање на 100 м за ученике и ученице, трчање на800 м за ученике и 500 м за ученице, скок удаљ, увис, бацање </w:t>
            </w:r>
            <w:r>
              <w:rPr>
                <w:color w:val="231F20"/>
                <w:spacing w:val="-3"/>
                <w:sz w:val="14"/>
              </w:rPr>
              <w:t xml:space="preserve">кугле </w:t>
            </w:r>
            <w:r>
              <w:rPr>
                <w:color w:val="231F20"/>
                <w:sz w:val="14"/>
              </w:rPr>
              <w:t>­</w:t>
            </w:r>
            <w:r>
              <w:rPr>
                <w:color w:val="231F20"/>
                <w:spacing w:val="-14"/>
                <w:sz w:val="14"/>
              </w:rPr>
              <w:t xml:space="preserve"> </w:t>
            </w:r>
            <w:r>
              <w:rPr>
                <w:color w:val="231F20"/>
                <w:sz w:val="14"/>
              </w:rPr>
              <w:t xml:space="preserve">на </w:t>
            </w:r>
            <w:r>
              <w:rPr>
                <w:color w:val="231F20"/>
                <w:spacing w:val="-3"/>
                <w:sz w:val="14"/>
              </w:rPr>
              <w:t>резултат.</w:t>
            </w:r>
          </w:p>
          <w:p w:rsidR="00041039" w:rsidRDefault="001B26CB">
            <w:pPr>
              <w:pStyle w:val="TableParagraph"/>
              <w:tabs>
                <w:tab w:val="left" w:pos="142"/>
              </w:tabs>
              <w:spacing w:line="156" w:lineRule="exact"/>
              <w:ind w:left="141" w:hanging="84"/>
              <w:rPr>
                <w:b/>
                <w:sz w:val="14"/>
              </w:rPr>
            </w:pPr>
            <w:r>
              <w:rPr>
                <w:b/>
                <w:color w:val="231F20"/>
                <w:sz w:val="14"/>
              </w:rPr>
              <w:t>Вежбе на справама и</w:t>
            </w:r>
            <w:r>
              <w:rPr>
                <w:b/>
                <w:color w:val="231F20"/>
                <w:spacing w:val="-5"/>
                <w:sz w:val="14"/>
              </w:rPr>
              <w:t xml:space="preserve"> </w:t>
            </w:r>
            <w:r>
              <w:rPr>
                <w:b/>
                <w:color w:val="231F20"/>
                <w:sz w:val="14"/>
              </w:rPr>
              <w:t>тлу:</w:t>
            </w:r>
          </w:p>
          <w:p w:rsidR="00041039" w:rsidRDefault="001B26CB">
            <w:pPr>
              <w:pStyle w:val="TableParagraph"/>
              <w:ind w:left="57" w:right="32"/>
              <w:rPr>
                <w:sz w:val="14"/>
              </w:rPr>
            </w:pPr>
            <w:r>
              <w:rPr>
                <w:b/>
                <w:color w:val="231F20"/>
                <w:sz w:val="14"/>
              </w:rPr>
              <w:t xml:space="preserve">За ученике: </w:t>
            </w:r>
            <w:r>
              <w:rPr>
                <w:color w:val="231F20"/>
                <w:sz w:val="14"/>
              </w:rPr>
              <w:t>наставни садржаји из програма вежби на тлу, прескока, једне справе у упору и једне справе у вису.</w:t>
            </w:r>
          </w:p>
          <w:p w:rsidR="00041039" w:rsidRDefault="001B26CB">
            <w:pPr>
              <w:pStyle w:val="TableParagraph"/>
              <w:spacing w:line="237" w:lineRule="auto"/>
              <w:ind w:left="57" w:right="175"/>
              <w:jc w:val="both"/>
              <w:rPr>
                <w:sz w:val="14"/>
              </w:rPr>
            </w:pPr>
            <w:r>
              <w:rPr>
                <w:b/>
                <w:color w:val="231F20"/>
                <w:sz w:val="14"/>
              </w:rPr>
              <w:t>За ученице:</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8"/>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tabs>
                <w:tab w:val="left" w:pos="158"/>
              </w:tabs>
              <w:spacing w:line="237" w:lineRule="auto"/>
              <w:ind w:left="157" w:right="246" w:hanging="100"/>
              <w:rPr>
                <w:b/>
                <w:sz w:val="14"/>
              </w:rPr>
            </w:pPr>
            <w:r>
              <w:rPr>
                <w:color w:val="231F20"/>
                <w:sz w:val="14"/>
              </w:rPr>
              <w:t>Тестирање и проверасавлада­ ност</w:t>
            </w:r>
            <w:r>
              <w:rPr>
                <w:color w:val="231F20"/>
                <w:sz w:val="14"/>
              </w:rPr>
              <w:t>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237" w:lineRule="auto"/>
              <w:ind w:left="157" w:right="92" w:hanging="100"/>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tabs>
                <w:tab w:val="left" w:pos="158"/>
              </w:tabs>
              <w:spacing w:line="155" w:lineRule="exact"/>
              <w:ind w:left="157" w:hanging="100"/>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237" w:lineRule="auto"/>
              <w:ind w:left="157" w:right="104" w:hanging="100"/>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right="255" w:hanging="100"/>
              <w:rPr>
                <w:b/>
                <w:sz w:val="14"/>
              </w:rPr>
            </w:pPr>
            <w:r>
              <w:rPr>
                <w:color w:val="231F20"/>
                <w:sz w:val="14"/>
              </w:rPr>
              <w:t xml:space="preserve">Спортска игра: по избору </w:t>
            </w:r>
            <w:r>
              <w:rPr>
                <w:color w:val="231F20"/>
                <w:spacing w:val="-3"/>
                <w:sz w:val="14"/>
              </w:rPr>
              <w:t xml:space="preserve">шко­ </w:t>
            </w:r>
            <w:r>
              <w:rPr>
                <w:color w:val="231F20"/>
                <w:sz w:val="14"/>
              </w:rPr>
              <w:t>ле</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160" w:lineRule="exact"/>
              <w:ind w:left="157" w:right="119" w:hanging="100"/>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53" w:lineRule="exact"/>
              <w:ind w:left="157" w:hanging="100"/>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237" w:lineRule="auto"/>
              <w:ind w:left="157" w:right="401" w:hanging="100"/>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40"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извођење редовне наставе школау току школске годи</w:t>
            </w:r>
            <w:r>
              <w:rPr>
                <w:color w:val="231F20"/>
                <w:sz w:val="14"/>
              </w:rPr>
              <w:t>не организује: Два целодневна излета са пеша­ чењем:</w:t>
            </w:r>
          </w:p>
          <w:p w:rsidR="00041039" w:rsidRDefault="001B26CB">
            <w:pPr>
              <w:pStyle w:val="TableParagraph"/>
              <w:tabs>
                <w:tab w:val="left" w:pos="163"/>
              </w:tabs>
              <w:spacing w:line="237" w:lineRule="auto"/>
              <w:ind w:left="162" w:right="262" w:hanging="105"/>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tabs>
                <w:tab w:val="left" w:pos="163"/>
              </w:tabs>
              <w:ind w:left="162" w:right="180" w:hanging="105"/>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tabs>
                <w:tab w:val="left" w:pos="163"/>
              </w:tabs>
              <w:ind w:left="162" w:right="134" w:hanging="105"/>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p w:rsidR="00041039" w:rsidRDefault="00041039">
            <w:pPr>
              <w:pStyle w:val="TableParagraph"/>
              <w:spacing w:before="11"/>
              <w:ind w:left="0"/>
              <w:rPr>
                <w:b/>
                <w:sz w:val="12"/>
              </w:rPr>
            </w:pPr>
          </w:p>
          <w:p w:rsidR="00041039" w:rsidRDefault="001B26CB">
            <w:pPr>
              <w:pStyle w:val="TableParagraph"/>
              <w:spacing w:line="237" w:lineRule="auto"/>
              <w:ind w:left="57" w:right="10"/>
              <w:rPr>
                <w:sz w:val="14"/>
              </w:rPr>
            </w:pPr>
            <w:r>
              <w:rPr>
                <w:color w:val="231F20"/>
                <w:sz w:val="14"/>
              </w:rPr>
              <w:t>Школа организује и спроводи спортска такмичења, као јединстве­ ни део процеса наставе физичког вас</w:t>
            </w:r>
            <w:r>
              <w:rPr>
                <w:color w:val="231F20"/>
                <w:sz w:val="14"/>
              </w:rPr>
              <w:t>питања. Спортска такмичења организују се у оквиру радне суботе и у друго време које одреди школа. Међу школска спортска такмичења организују се у оквиру календара који доноси Министарство просве­ те науке и технолошког развоја.</w:t>
            </w:r>
          </w:p>
        </w:tc>
      </w:tr>
    </w:tbl>
    <w:p w:rsidR="00041039" w:rsidRDefault="00041039">
      <w:pPr>
        <w:spacing w:line="237" w:lineRule="auto"/>
        <w:rPr>
          <w:sz w:val="14"/>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tabs>
                <w:tab w:val="left" w:pos="157"/>
              </w:tabs>
              <w:spacing w:before="8"/>
              <w:ind w:right="159" w:hanging="100"/>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tabs>
                <w:tab w:val="left" w:pos="157"/>
              </w:tabs>
              <w:spacing w:line="160" w:lineRule="exact"/>
              <w:ind w:right="336" w:hanging="100"/>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tabs>
                <w:tab w:val="left" w:pos="157"/>
              </w:tabs>
              <w:spacing w:line="237" w:lineRule="auto"/>
              <w:ind w:right="109" w:hanging="99"/>
              <w:rPr>
                <w:sz w:val="14"/>
              </w:rPr>
            </w:pPr>
            <w:r>
              <w:rPr>
                <w:color w:val="231F20"/>
                <w:sz w:val="14"/>
              </w:rPr>
              <w:t xml:space="preserve">Провера стања </w:t>
            </w:r>
            <w:r>
              <w:rPr>
                <w:color w:val="231F20"/>
                <w:sz w:val="14"/>
              </w:rPr>
              <w:t>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Borders>
              <w:bottom w:val="nil"/>
            </w:tcBorders>
          </w:tcPr>
          <w:p w:rsidR="00041039" w:rsidRDefault="001B26CB">
            <w:pPr>
              <w:pStyle w:val="TableParagraph"/>
              <w:tabs>
                <w:tab w:val="left" w:pos="158"/>
              </w:tabs>
              <w:spacing w:before="9"/>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tabs>
                <w:tab w:val="left" w:pos="158"/>
              </w:tabs>
              <w:spacing w:line="156" w:lineRule="exact"/>
              <w:ind w:left="157"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цијео томе које вежбе позитивно утичу на статус њиховог органи­ зма, с обзиром на карактеристике њихове професије, а које негатив­ но утичу на здравље.</w:t>
            </w:r>
          </w:p>
          <w:p w:rsidR="00041039" w:rsidRDefault="001B26CB">
            <w:pPr>
              <w:pStyle w:val="TableParagraph"/>
              <w:tabs>
                <w:tab w:val="left" w:pos="158"/>
              </w:tabs>
              <w:spacing w:line="155" w:lineRule="exact"/>
              <w:ind w:left="157" w:hanging="99"/>
              <w:rPr>
                <w:sz w:val="14"/>
              </w:rPr>
            </w:pPr>
            <w:r>
              <w:rPr>
                <w:color w:val="231F20"/>
                <w:sz w:val="14"/>
              </w:rPr>
              <w:t>Ученици који похађају</w:t>
            </w:r>
            <w:r>
              <w:rPr>
                <w:color w:val="231F20"/>
                <w:spacing w:val="-4"/>
                <w:sz w:val="14"/>
              </w:rPr>
              <w:t xml:space="preserve"> </w:t>
            </w:r>
            <w:r>
              <w:rPr>
                <w:color w:val="231F20"/>
                <w:sz w:val="14"/>
              </w:rPr>
              <w:t>чет­</w:t>
            </w:r>
          </w:p>
          <w:p w:rsidR="00041039" w:rsidRDefault="001B26CB">
            <w:pPr>
              <w:pStyle w:val="TableParagraph"/>
              <w:ind w:left="157" w:right="230"/>
              <w:rPr>
                <w:sz w:val="14"/>
              </w:rPr>
            </w:pPr>
            <w:r>
              <w:rPr>
                <w:color w:val="231F20"/>
                <w:sz w:val="14"/>
              </w:rPr>
              <w:t>ворогодишње стручне школе далеко су више оптере</w:t>
            </w:r>
            <w:r>
              <w:rPr>
                <w:color w:val="231F20"/>
                <w:sz w:val="14"/>
              </w:rPr>
              <w:t>ћени у редовном образовању прак­ тичном и теоријском наставом од осталих ученика. Због тога је физичко васпитање, у овим школама, значајно за активан</w:t>
            </w:r>
          </w:p>
          <w:p w:rsidR="00041039" w:rsidRDefault="001B26CB">
            <w:pPr>
              <w:pStyle w:val="TableParagraph"/>
              <w:spacing w:line="237" w:lineRule="auto"/>
              <w:ind w:left="157" w:right="18"/>
              <w:rPr>
                <w:sz w:val="14"/>
              </w:rPr>
            </w:pPr>
            <w:r>
              <w:rPr>
                <w:color w:val="231F20"/>
                <w:sz w:val="14"/>
              </w:rPr>
              <w:t xml:space="preserve">опоравак ученика, компензацију и релаксацију с обзиром на њихова честа статичка и једнострана оптерећења. </w:t>
            </w:r>
            <w:r>
              <w:rPr>
                <w:color w:val="231F20"/>
                <w:sz w:val="14"/>
              </w:rPr>
              <w:t>Теоријска знања из области физичких активности су од великог значаја за укупним бављењем физичким вежбама.</w:t>
            </w:r>
          </w:p>
        </w:tc>
      </w:tr>
      <w:tr w:rsidR="00041039">
        <w:trPr>
          <w:trHeight w:val="2287"/>
        </w:trPr>
        <w:tc>
          <w:tcPr>
            <w:tcW w:w="1304" w:type="dxa"/>
            <w:tcBorders>
              <w:bottom w:val="nil"/>
            </w:tcBorders>
          </w:tcPr>
          <w:p w:rsidR="00041039" w:rsidRDefault="001B26CB">
            <w:pPr>
              <w:pStyle w:val="TableParagraph"/>
              <w:spacing w:before="20"/>
              <w:ind w:left="56" w:right="99"/>
              <w:rPr>
                <w:sz w:val="14"/>
              </w:rPr>
            </w:pPr>
            <w:r>
              <w:rPr>
                <w:color w:val="231F20"/>
                <w:sz w:val="14"/>
              </w:rPr>
              <w:t>Развој моторичких и функционал­ них способности човека, као основа за реализовање по­ стављених циљева и</w:t>
            </w:r>
            <w:r>
              <w:rPr>
                <w:color w:val="231F20"/>
                <w:spacing w:val="-1"/>
                <w:sz w:val="14"/>
              </w:rPr>
              <w:t xml:space="preserve"> </w:t>
            </w:r>
            <w:r>
              <w:rPr>
                <w:color w:val="231F20"/>
                <w:spacing w:val="-3"/>
                <w:sz w:val="14"/>
              </w:rPr>
              <w:t>исхода</w:t>
            </w:r>
          </w:p>
        </w:tc>
        <w:tc>
          <w:tcPr>
            <w:tcW w:w="1587" w:type="dxa"/>
            <w:vMerge w:val="restart"/>
          </w:tcPr>
          <w:p w:rsidR="00041039" w:rsidRDefault="001B26CB">
            <w:pPr>
              <w:pStyle w:val="TableParagraph"/>
              <w:tabs>
                <w:tab w:val="left" w:pos="157"/>
              </w:tabs>
              <w:spacing w:before="10"/>
              <w:ind w:right="112" w:hanging="100"/>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vMerge w:val="restart"/>
          </w:tcPr>
          <w:p w:rsidR="00041039" w:rsidRDefault="001B26CB">
            <w:pPr>
              <w:pStyle w:val="TableParagraph"/>
              <w:tabs>
                <w:tab w:val="left" w:pos="157"/>
              </w:tabs>
              <w:spacing w:before="10"/>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vMerge w:val="restart"/>
          </w:tcPr>
          <w:p w:rsidR="00041039" w:rsidRDefault="001B26CB">
            <w:pPr>
              <w:pStyle w:val="TableParagraph"/>
              <w:tabs>
                <w:tab w:val="left" w:pos="157"/>
              </w:tabs>
              <w:spacing w:before="10"/>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tabs>
                <w:tab w:val="left" w:pos="157"/>
              </w:tabs>
              <w:spacing w:before="1" w:line="160" w:lineRule="exact"/>
              <w:ind w:right="324" w:hanging="99"/>
              <w:rPr>
                <w:sz w:val="14"/>
              </w:rPr>
            </w:pPr>
            <w:r>
              <w:rPr>
                <w:color w:val="231F20"/>
                <w:sz w:val="14"/>
              </w:rPr>
              <w:t>Трчањ</w:t>
            </w:r>
            <w:r>
              <w:rPr>
                <w:color w:val="231F20"/>
                <w:sz w:val="14"/>
              </w:rPr>
              <w:t>е на 800 м ученице и 1000 м</w:t>
            </w:r>
            <w:r>
              <w:rPr>
                <w:color w:val="231F20"/>
                <w:spacing w:val="-14"/>
                <w:sz w:val="14"/>
              </w:rPr>
              <w:t xml:space="preserve"> </w:t>
            </w:r>
            <w:r>
              <w:rPr>
                <w:color w:val="231F20"/>
                <w:sz w:val="14"/>
              </w:rPr>
              <w:t>уче­ ници;</w:t>
            </w:r>
          </w:p>
          <w:p w:rsidR="00041039" w:rsidRDefault="001B26CB">
            <w:pPr>
              <w:pStyle w:val="TableParagraph"/>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tabs>
                <w:tab w:val="left" w:pos="157"/>
              </w:tabs>
              <w:spacing w:line="153" w:lineRule="exact"/>
              <w:ind w:hanging="99"/>
              <w:rPr>
                <w:sz w:val="14"/>
              </w:rPr>
            </w:pPr>
            <w:r>
              <w:rPr>
                <w:color w:val="231F20"/>
                <w:sz w:val="14"/>
              </w:rPr>
              <w:t>Аеробик.</w:t>
            </w:r>
          </w:p>
          <w:p w:rsidR="00041039" w:rsidRDefault="001B26CB">
            <w:pPr>
              <w:pStyle w:val="TableParagraph"/>
              <w:tabs>
                <w:tab w:val="left" w:pos="157"/>
              </w:tabs>
              <w:spacing w:line="166"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tcBorders>
              <w:top w:val="nil"/>
              <w:bottom w:val="nil"/>
            </w:tcBorders>
          </w:tcPr>
          <w:p w:rsidR="00041039" w:rsidRDefault="00041039">
            <w:pPr>
              <w:rPr>
                <w:sz w:val="2"/>
                <w:szCs w:val="2"/>
              </w:rPr>
            </w:pPr>
          </w:p>
        </w:tc>
      </w:tr>
      <w:tr w:rsidR="00041039">
        <w:trPr>
          <w:trHeight w:val="111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tabs>
                <w:tab w:val="left" w:pos="158"/>
              </w:tabs>
              <w:spacing w:line="154" w:lineRule="exact"/>
              <w:ind w:left="157"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tabs>
                <w:tab w:val="left" w:pos="158"/>
              </w:tabs>
              <w:spacing w:line="160" w:lineRule="exact"/>
              <w:ind w:left="157"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tc>
      </w:tr>
      <w:tr w:rsidR="00041039">
        <w:trPr>
          <w:trHeight w:val="1589"/>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ind w:left="58"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line="237" w:lineRule="auto"/>
              <w:ind w:left="58" w:right="13"/>
              <w:rPr>
                <w:sz w:val="14"/>
              </w:rPr>
            </w:pPr>
            <w:r>
              <w:rPr>
                <w:color w:val="231F20"/>
                <w:sz w:val="14"/>
              </w:rPr>
              <w:t>Настава се изводи фронтално и по групама, у зависности од карактера методске јединице која се реали­ зује. Уколико је потребно, нарочито за вежбе из корективне гимнастике, приступ је индивидуалан.</w:t>
            </w:r>
          </w:p>
        </w:tc>
      </w:tr>
      <w:tr w:rsidR="00041039">
        <w:trPr>
          <w:trHeight w:val="143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7" w:lineRule="auto"/>
              <w:ind w:left="157"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tabs>
                <w:tab w:val="left" w:pos="158"/>
              </w:tabs>
              <w:spacing w:line="237" w:lineRule="auto"/>
              <w:ind w:left="157" w:right="101" w:hanging="99"/>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tc>
      </w:tr>
      <w:tr w:rsidR="00041039">
        <w:trPr>
          <w:trHeight w:val="159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ind w:left="58" w:right="109"/>
              <w:rPr>
                <w:b/>
                <w:sz w:val="14"/>
              </w:rPr>
            </w:pPr>
            <w:r>
              <w:rPr>
                <w:b/>
                <w:color w:val="231F20"/>
                <w:sz w:val="14"/>
              </w:rPr>
              <w:t>Препоруке за реализацију наставе</w:t>
            </w:r>
          </w:p>
          <w:p w:rsidR="00041039" w:rsidRDefault="001B26CB">
            <w:pPr>
              <w:pStyle w:val="TableParagraph"/>
              <w:tabs>
                <w:tab w:val="left" w:pos="158"/>
              </w:tabs>
              <w:spacing w:before="1" w:line="160" w:lineRule="exact"/>
              <w:ind w:left="157" w:right="74" w:hanging="99"/>
              <w:rPr>
                <w:sz w:val="14"/>
              </w:rPr>
            </w:pPr>
            <w:r>
              <w:rPr>
                <w:color w:val="231F20"/>
                <w:sz w:val="14"/>
              </w:rPr>
              <w:t>Настава се реализује у циклусима који трају приближно 10­12 часова (узастопних). Наставнику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tc>
      </w:tr>
      <w:tr w:rsidR="00041039">
        <w:trPr>
          <w:trHeight w:val="1691"/>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line="161" w:lineRule="exact"/>
              <w:ind w:left="58"/>
              <w:rPr>
                <w:b/>
                <w:sz w:val="14"/>
              </w:rPr>
            </w:pPr>
            <w:r>
              <w:rPr>
                <w:b/>
                <w:color w:val="231F20"/>
                <w:sz w:val="14"/>
              </w:rPr>
              <w:t>Садржај циклуса је:</w:t>
            </w:r>
          </w:p>
          <w:p w:rsidR="00041039" w:rsidRDefault="001B26CB">
            <w:pPr>
              <w:pStyle w:val="TableParagraph"/>
              <w:tabs>
                <w:tab w:val="left" w:pos="164"/>
              </w:tabs>
              <w:ind w:left="163" w:right="169" w:hanging="105"/>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tabs>
                <w:tab w:val="left" w:pos="164"/>
              </w:tabs>
              <w:spacing w:line="159" w:lineRule="exact"/>
              <w:ind w:left="163" w:hanging="105"/>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tabs>
                <w:tab w:val="left" w:pos="164"/>
              </w:tabs>
              <w:ind w:left="163" w:right="68" w:hanging="105"/>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tabs>
                <w:tab w:val="left" w:pos="164"/>
              </w:tabs>
              <w:spacing w:line="159" w:lineRule="exact"/>
              <w:ind w:left="163" w:hanging="105"/>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tabs>
                <w:tab w:val="left" w:pos="164"/>
              </w:tabs>
              <w:ind w:left="163" w:right="244" w:hanging="105"/>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8" w:lineRule="exact"/>
              <w:ind w:left="163"/>
              <w:rPr>
                <w:sz w:val="14"/>
              </w:rPr>
            </w:pPr>
            <w:r>
              <w:rPr>
                <w:color w:val="231F20"/>
                <w:sz w:val="14"/>
              </w:rPr>
              <w:t>- један.</w:t>
            </w:r>
          </w:p>
        </w:tc>
      </w:tr>
    </w:tbl>
    <w:p w:rsidR="00041039" w:rsidRDefault="00041039">
      <w:pPr>
        <w:spacing w:line="158" w:lineRule="exact"/>
        <w:rPr>
          <w:sz w:val="14"/>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160"/>
        </w:trPr>
        <w:tc>
          <w:tcPr>
            <w:tcW w:w="1304" w:type="dxa"/>
          </w:tcPr>
          <w:p w:rsidR="00041039" w:rsidRDefault="001B26CB">
            <w:pPr>
              <w:pStyle w:val="TableParagraph"/>
              <w:spacing w:before="18"/>
              <w:ind w:left="56" w:right="77"/>
              <w:rPr>
                <w:sz w:val="14"/>
              </w:rPr>
            </w:pPr>
            <w:r>
              <w:rPr>
                <w:color w:val="231F20"/>
                <w:sz w:val="14"/>
              </w:rPr>
              <w:lastRenderedPageBreak/>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spacing w:before="1"/>
              <w:ind w:left="56"/>
              <w:rPr>
                <w:sz w:val="14"/>
              </w:rPr>
            </w:pPr>
            <w:r>
              <w:rPr>
                <w:color w:val="231F20"/>
                <w:sz w:val="14"/>
              </w:rPr>
              <w:t>Атлетика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19"/>
              <w:ind w:left="56" w:right="54"/>
              <w:rPr>
                <w:sz w:val="14"/>
              </w:rPr>
            </w:pPr>
            <w:r>
              <w:rPr>
                <w:color w:val="231F20"/>
                <w:sz w:val="14"/>
              </w:rPr>
              <w:t>Спортска гимнастика: (Вежбе на</w:t>
            </w:r>
            <w:r>
              <w:rPr>
                <w:color w:val="231F20"/>
                <w:spacing w:val="-9"/>
                <w:sz w:val="14"/>
              </w:rPr>
              <w:t xml:space="preserve"> </w:t>
            </w:r>
            <w:r>
              <w:rPr>
                <w:color w:val="231F20"/>
                <w:sz w:val="14"/>
              </w:rPr>
              <w:t>справама и</w:t>
            </w:r>
            <w:r>
              <w:rPr>
                <w:color w:val="231F20"/>
                <w:spacing w:val="-2"/>
                <w:sz w:val="14"/>
              </w:rPr>
              <w:t xml:space="preserve"> </w:t>
            </w:r>
            <w:r>
              <w:rPr>
                <w:color w:val="231F20"/>
                <w:sz w:val="14"/>
              </w:rPr>
              <w:t>тлу)</w:t>
            </w:r>
          </w:p>
        </w:tc>
        <w:tc>
          <w:tcPr>
            <w:tcW w:w="1587" w:type="dxa"/>
          </w:tcPr>
          <w:p w:rsidR="00041039" w:rsidRDefault="001B26CB">
            <w:pPr>
              <w:pStyle w:val="TableParagraph"/>
              <w:tabs>
                <w:tab w:val="left" w:pos="157"/>
              </w:tabs>
              <w:spacing w:before="8"/>
              <w:ind w:right="48" w:hanging="100"/>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041039" w:rsidRDefault="001B26CB">
            <w:pPr>
              <w:pStyle w:val="TableParagraph"/>
              <w:tabs>
                <w:tab w:val="left" w:pos="157"/>
              </w:tabs>
              <w:spacing w:line="157" w:lineRule="exact"/>
              <w:ind w:hanging="100"/>
              <w:rPr>
                <w:sz w:val="14"/>
              </w:rPr>
            </w:pPr>
            <w:r>
              <w:rPr>
                <w:color w:val="231F20"/>
                <w:sz w:val="14"/>
              </w:rPr>
              <w:t>Формирање</w:t>
            </w:r>
            <w:r>
              <w:rPr>
                <w:color w:val="231F20"/>
                <w:spacing w:val="-3"/>
                <w:sz w:val="14"/>
              </w:rPr>
              <w:t xml:space="preserve"> </w:t>
            </w:r>
            <w:r>
              <w:rPr>
                <w:color w:val="231F20"/>
                <w:sz w:val="14"/>
              </w:rPr>
              <w:t>позитив­</w:t>
            </w:r>
          </w:p>
          <w:p w:rsidR="00041039" w:rsidRDefault="001B26CB">
            <w:pPr>
              <w:pStyle w:val="TableParagraph"/>
              <w:ind w:right="15"/>
              <w:rPr>
                <w:sz w:val="14"/>
              </w:rPr>
            </w:pPr>
            <w:r>
              <w:rPr>
                <w:color w:val="231F20"/>
                <w:sz w:val="14"/>
              </w:rPr>
              <w:t>них психо социјалних образаца понашања.</w:t>
            </w:r>
          </w:p>
          <w:p w:rsidR="00041039" w:rsidRDefault="001B26CB">
            <w:pPr>
              <w:pStyle w:val="TableParagraph"/>
              <w:tabs>
                <w:tab w:val="left" w:pos="157"/>
              </w:tabs>
              <w:spacing w:line="160" w:lineRule="exact"/>
              <w:ind w:right="59" w:hanging="100"/>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tabs>
                <w:tab w:val="left" w:pos="157"/>
              </w:tabs>
              <w:spacing w:line="160" w:lineRule="exact"/>
              <w:ind w:right="145" w:hanging="100"/>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w:t>
            </w:r>
          </w:p>
          <w:p w:rsidR="00041039" w:rsidRDefault="001B26CB">
            <w:pPr>
              <w:pStyle w:val="TableParagraph"/>
              <w:tabs>
                <w:tab w:val="left" w:pos="157"/>
              </w:tabs>
              <w:spacing w:line="160" w:lineRule="exact"/>
              <w:ind w:right="102" w:hanging="100"/>
              <w:rPr>
                <w:sz w:val="14"/>
              </w:rPr>
            </w:pPr>
            <w:r>
              <w:rPr>
                <w:color w:val="231F20"/>
                <w:spacing w:val="-3"/>
                <w:sz w:val="14"/>
              </w:rPr>
              <w:t xml:space="preserve">Усвајање </w:t>
            </w:r>
            <w:r>
              <w:rPr>
                <w:color w:val="231F20"/>
                <w:sz w:val="14"/>
              </w:rPr>
              <w:t>етичких вредностии подсти­ цање вољних особина ученика.</w:t>
            </w:r>
          </w:p>
          <w:p w:rsidR="00041039" w:rsidRDefault="001B26CB">
            <w:pPr>
              <w:pStyle w:val="TableParagraph"/>
              <w:tabs>
                <w:tab w:val="left" w:pos="157"/>
              </w:tabs>
              <w:spacing w:line="160" w:lineRule="exact"/>
              <w:ind w:right="210" w:hanging="100"/>
              <w:rPr>
                <w:sz w:val="14"/>
              </w:rPr>
            </w:pPr>
            <w:r>
              <w:rPr>
                <w:color w:val="231F20"/>
                <w:sz w:val="14"/>
              </w:rPr>
              <w:t>Стицање и усавр­ шавање моторич­ ких знања, умећа, вештина, техника и навика</w:t>
            </w:r>
            <w:r>
              <w:rPr>
                <w:color w:val="231F20"/>
                <w:spacing w:val="-9"/>
                <w:sz w:val="14"/>
              </w:rPr>
              <w:t xml:space="preserve"> </w:t>
            </w:r>
            <w:r>
              <w:rPr>
                <w:color w:val="231F20"/>
                <w:sz w:val="14"/>
              </w:rPr>
              <w:t>предвиђених</w:t>
            </w:r>
          </w:p>
          <w:p w:rsidR="00041039" w:rsidRDefault="001B26CB">
            <w:pPr>
              <w:pStyle w:val="TableParagraph"/>
              <w:spacing w:line="237" w:lineRule="auto"/>
              <w:ind w:right="15"/>
              <w:rPr>
                <w:sz w:val="14"/>
              </w:rPr>
            </w:pPr>
            <w:r>
              <w:rPr>
                <w:color w:val="231F20"/>
                <w:sz w:val="14"/>
              </w:rPr>
              <w:t>програмом за базичне спортске гране.</w:t>
            </w:r>
          </w:p>
          <w:p w:rsidR="00041039" w:rsidRDefault="001B26CB">
            <w:pPr>
              <w:pStyle w:val="TableParagraph"/>
              <w:tabs>
                <w:tab w:val="left" w:pos="157"/>
              </w:tabs>
              <w:spacing w:line="237" w:lineRule="auto"/>
              <w:ind w:right="73" w:hanging="100"/>
              <w:rPr>
                <w:sz w:val="14"/>
              </w:rPr>
            </w:pPr>
            <w:r>
              <w:rPr>
                <w:color w:val="231F20"/>
                <w:sz w:val="14"/>
              </w:rPr>
              <w:t>Повезивање моторич­ ких задатака у</w:t>
            </w:r>
            <w:r>
              <w:rPr>
                <w:color w:val="231F20"/>
                <w:spacing w:val="-15"/>
                <w:sz w:val="14"/>
              </w:rPr>
              <w:t xml:space="preserve"> </w:t>
            </w:r>
            <w:r>
              <w:rPr>
                <w:color w:val="231F20"/>
                <w:sz w:val="14"/>
              </w:rPr>
              <w:t>целине; али без стварања крутих моторич</w:t>
            </w:r>
            <w:r>
              <w:rPr>
                <w:color w:val="231F20"/>
                <w:sz w:val="14"/>
              </w:rPr>
              <w:t>ких аутоматизама.</w:t>
            </w:r>
          </w:p>
          <w:p w:rsidR="00041039" w:rsidRDefault="001B26CB">
            <w:pPr>
              <w:pStyle w:val="TableParagraph"/>
              <w:tabs>
                <w:tab w:val="left" w:pos="157"/>
              </w:tabs>
              <w:spacing w:line="237" w:lineRule="auto"/>
              <w:ind w:right="158" w:hanging="100"/>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tabs>
                <w:tab w:val="left" w:pos="157"/>
              </w:tabs>
              <w:spacing w:line="237" w:lineRule="auto"/>
              <w:ind w:right="165" w:hanging="100"/>
              <w:rPr>
                <w:sz w:val="14"/>
              </w:rPr>
            </w:pPr>
            <w:r>
              <w:rPr>
                <w:color w:val="231F20"/>
                <w:sz w:val="14"/>
              </w:rPr>
              <w:t>Развијање елемената ритма сједињавањем кинетичких и енер­ гетских елемената у целине: рад ­ одмор, напрезање ­ релакса­ ција, убрзање ­ успо­ равање.</w:t>
            </w:r>
          </w:p>
          <w:p w:rsidR="00041039" w:rsidRDefault="001B26CB">
            <w:pPr>
              <w:pStyle w:val="TableParagraph"/>
              <w:tabs>
                <w:tab w:val="left" w:pos="157"/>
              </w:tabs>
              <w:spacing w:line="237" w:lineRule="auto"/>
              <w:ind w:right="359" w:hanging="100"/>
              <w:rPr>
                <w:sz w:val="14"/>
              </w:rPr>
            </w:pPr>
            <w:r>
              <w:rPr>
                <w:color w:val="231F20"/>
                <w:sz w:val="14"/>
              </w:rPr>
              <w:t>Избор спортова, односно</w:t>
            </w:r>
            <w:r>
              <w:rPr>
                <w:color w:val="231F20"/>
                <w:spacing w:val="-10"/>
                <w:sz w:val="14"/>
              </w:rPr>
              <w:t xml:space="preserve"> </w:t>
            </w:r>
            <w:r>
              <w:rPr>
                <w:color w:val="231F20"/>
                <w:sz w:val="14"/>
              </w:rPr>
              <w:t>спортско</w:t>
            </w:r>
          </w:p>
          <w:p w:rsidR="00041039" w:rsidRDefault="001B26CB">
            <w:pPr>
              <w:pStyle w:val="TableParagraph"/>
              <w:ind w:right="15"/>
              <w:rPr>
                <w:sz w:val="14"/>
              </w:rPr>
            </w:pPr>
            <w:r>
              <w:rPr>
                <w:color w:val="231F20"/>
                <w:sz w:val="14"/>
              </w:rPr>
              <w:t xml:space="preserve">- рекреативних или других кретних ак­ тивности као трајног опредељења за </w:t>
            </w:r>
            <w:r>
              <w:rPr>
                <w:color w:val="231F20"/>
                <w:sz w:val="14"/>
              </w:rPr>
              <w:t>њихово свакодневно упражња­ вање.</w:t>
            </w:r>
          </w:p>
        </w:tc>
        <w:tc>
          <w:tcPr>
            <w:tcW w:w="2551" w:type="dxa"/>
          </w:tcPr>
          <w:p w:rsidR="00041039" w:rsidRDefault="001B26CB">
            <w:pPr>
              <w:pStyle w:val="TableParagraph"/>
              <w:tabs>
                <w:tab w:val="left" w:pos="157"/>
              </w:tabs>
              <w:spacing w:before="9"/>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tabs>
                <w:tab w:val="left" w:pos="157"/>
              </w:tabs>
              <w:spacing w:line="156" w:lineRule="exact"/>
              <w:ind w:hanging="99"/>
              <w:rPr>
                <w:sz w:val="14"/>
              </w:rPr>
            </w:pPr>
            <w:r>
              <w:rPr>
                <w:color w:val="231F20"/>
                <w:sz w:val="14"/>
              </w:rPr>
              <w:t>демонстрира вежбе и</w:t>
            </w:r>
            <w:r>
              <w:rPr>
                <w:color w:val="231F20"/>
                <w:spacing w:val="-3"/>
                <w:sz w:val="14"/>
              </w:rPr>
              <w:t xml:space="preserve"> </w:t>
            </w:r>
            <w:r>
              <w:rPr>
                <w:color w:val="231F20"/>
                <w:sz w:val="14"/>
              </w:rPr>
              <w:t>технике</w:t>
            </w:r>
          </w:p>
          <w:p w:rsidR="00041039" w:rsidRDefault="001B26CB">
            <w:pPr>
              <w:pStyle w:val="TableParagraph"/>
              <w:ind w:right="16"/>
              <w:rPr>
                <w:sz w:val="14"/>
              </w:rPr>
            </w:pPr>
            <w:r>
              <w:rPr>
                <w:color w:val="231F20"/>
                <w:sz w:val="14"/>
              </w:rPr>
              <w:t>атлетских дисциплина и вежби на справама и тлу које се уче (поседовање вештине)</w:t>
            </w:r>
          </w:p>
          <w:p w:rsidR="00041039" w:rsidRDefault="001B26CB">
            <w:pPr>
              <w:pStyle w:val="TableParagraph"/>
              <w:tabs>
                <w:tab w:val="left" w:pos="157"/>
              </w:tabs>
              <w:spacing w:line="158" w:lineRule="exact"/>
              <w:ind w:hanging="99"/>
              <w:rPr>
                <w:sz w:val="14"/>
              </w:rPr>
            </w:pPr>
            <w:r>
              <w:rPr>
                <w:color w:val="231F20"/>
                <w:sz w:val="14"/>
              </w:rPr>
              <w:t>дета</w:t>
            </w:r>
            <w:r>
              <w:rPr>
                <w:color w:val="231F20"/>
                <w:sz w:val="14"/>
              </w:rPr>
              <w:t>љније опише правила</w:t>
            </w:r>
            <w:r>
              <w:rPr>
                <w:color w:val="231F20"/>
                <w:spacing w:val="-11"/>
                <w:sz w:val="14"/>
              </w:rPr>
              <w:t xml:space="preserve"> </w:t>
            </w:r>
            <w:r>
              <w:rPr>
                <w:color w:val="231F20"/>
                <w:sz w:val="14"/>
              </w:rPr>
              <w:t>спортске</w:t>
            </w:r>
          </w:p>
          <w:p w:rsidR="00041039" w:rsidRDefault="001B26CB">
            <w:pPr>
              <w:pStyle w:val="TableParagraph"/>
              <w:spacing w:line="160" w:lineRule="exact"/>
              <w:rPr>
                <w:sz w:val="14"/>
              </w:rPr>
            </w:pPr>
            <w:r>
              <w:rPr>
                <w:color w:val="231F20"/>
                <w:sz w:val="14"/>
              </w:rPr>
              <w:t>гране за коју показује посебан 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w:t>
            </w:r>
            <w:r>
              <w:rPr>
                <w:color w:val="231F20"/>
                <w:sz w:val="14"/>
              </w:rPr>
              <w:t xml:space="preserve"> са својим друговима и ужива у дружењу и контактима;</w:t>
            </w:r>
          </w:p>
          <w:p w:rsidR="00041039" w:rsidRDefault="001B26CB">
            <w:pPr>
              <w:pStyle w:val="TableParagraph"/>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w:t>
            </w:r>
            <w:r>
              <w:rPr>
                <w:color w:val="231F20"/>
                <w:sz w:val="14"/>
              </w:rPr>
              <w:t>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tabs>
                <w:tab w:val="left" w:pos="157"/>
              </w:tabs>
              <w:spacing w:line="237" w:lineRule="auto"/>
              <w:ind w:right="155" w:hanging="99"/>
              <w:rPr>
                <w:sz w:val="14"/>
              </w:rPr>
            </w:pPr>
            <w:r>
              <w:rPr>
                <w:color w:val="231F20"/>
                <w:sz w:val="14"/>
              </w:rPr>
              <w:t>има правилан однос према</w:t>
            </w:r>
            <w:r>
              <w:rPr>
                <w:color w:val="231F20"/>
                <w:spacing w:val="-20"/>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w:t>
            </w:r>
          </w:p>
          <w:p w:rsidR="00041039" w:rsidRDefault="001B26CB">
            <w:pPr>
              <w:pStyle w:val="TableParagraph"/>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w:t>
            </w:r>
            <w:r>
              <w:rPr>
                <w:color w:val="231F20"/>
                <w:sz w:val="14"/>
              </w:rPr>
              <w:t xml:space="preserve"> спортских такмичења;</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7"/>
              </w:rPr>
            </w:pPr>
          </w:p>
          <w:p w:rsidR="00041039" w:rsidRDefault="001B26CB">
            <w:pPr>
              <w:pStyle w:val="TableParagraph"/>
              <w:spacing w:before="1" w:line="161" w:lineRule="exact"/>
              <w:ind w:left="57"/>
              <w:rPr>
                <w:b/>
                <w:sz w:val="14"/>
              </w:rPr>
            </w:pPr>
            <w:r>
              <w:rPr>
                <w:b/>
                <w:color w:val="231F20"/>
                <w:sz w:val="14"/>
              </w:rPr>
              <w:t>АТЛЕТИКА</w:t>
            </w:r>
          </w:p>
          <w:p w:rsidR="00041039" w:rsidRDefault="001B26CB">
            <w:pPr>
              <w:pStyle w:val="TableParagraph"/>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p w:rsidR="00041039" w:rsidRDefault="001B26CB">
            <w:pPr>
              <w:pStyle w:val="TableParagraph"/>
              <w:spacing w:line="158" w:lineRule="exact"/>
              <w:ind w:left="57"/>
              <w:rPr>
                <w:b/>
                <w:sz w:val="14"/>
              </w:rPr>
            </w:pPr>
            <w:r>
              <w:rPr>
                <w:b/>
                <w:color w:val="231F20"/>
                <w:sz w:val="14"/>
              </w:rPr>
              <w:t>Трчање:</w:t>
            </w:r>
          </w:p>
          <w:p w:rsidR="00041039" w:rsidRDefault="001B26CB">
            <w:pPr>
              <w:pStyle w:val="TableParagraph"/>
              <w:tabs>
                <w:tab w:val="left" w:pos="163"/>
              </w:tabs>
              <w:spacing w:line="160" w:lineRule="exact"/>
              <w:ind w:left="162" w:hanging="105"/>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tabs>
                <w:tab w:val="left" w:pos="163"/>
              </w:tabs>
              <w:spacing w:line="160" w:lineRule="exact"/>
              <w:ind w:left="162" w:hanging="105"/>
              <w:rPr>
                <w:sz w:val="14"/>
              </w:rPr>
            </w:pPr>
            <w:r>
              <w:rPr>
                <w:color w:val="231F20"/>
                <w:sz w:val="14"/>
              </w:rPr>
              <w:t>1000 м ученици;</w:t>
            </w:r>
          </w:p>
          <w:p w:rsidR="00041039" w:rsidRDefault="001B26CB">
            <w:pPr>
              <w:pStyle w:val="TableParagraph"/>
              <w:tabs>
                <w:tab w:val="left" w:pos="163"/>
              </w:tabs>
              <w:spacing w:line="160" w:lineRule="exact"/>
              <w:ind w:left="162" w:hanging="105"/>
              <w:rPr>
                <w:sz w:val="14"/>
              </w:rPr>
            </w:pPr>
            <w:r>
              <w:rPr>
                <w:color w:val="231F20"/>
                <w:sz w:val="14"/>
              </w:rPr>
              <w:t>800 м ученице;</w:t>
            </w:r>
          </w:p>
          <w:p w:rsidR="00041039" w:rsidRDefault="001B26CB">
            <w:pPr>
              <w:pStyle w:val="TableParagraph"/>
              <w:tabs>
                <w:tab w:val="left" w:pos="163"/>
              </w:tabs>
              <w:spacing w:line="160" w:lineRule="exact"/>
              <w:ind w:left="162" w:hanging="105"/>
              <w:rPr>
                <w:sz w:val="14"/>
              </w:rPr>
            </w:pPr>
            <w:r>
              <w:rPr>
                <w:color w:val="231F20"/>
                <w:sz w:val="14"/>
              </w:rPr>
              <w:t>штафета 4 х 100 м ученици и</w:t>
            </w:r>
            <w:r>
              <w:rPr>
                <w:color w:val="231F20"/>
                <w:spacing w:val="-1"/>
                <w:sz w:val="14"/>
              </w:rPr>
              <w:t xml:space="preserve"> </w:t>
            </w:r>
            <w:r>
              <w:rPr>
                <w:color w:val="231F20"/>
                <w:sz w:val="14"/>
              </w:rPr>
              <w:t>ученице.</w:t>
            </w:r>
          </w:p>
          <w:p w:rsidR="00041039" w:rsidRDefault="001B26CB">
            <w:pPr>
              <w:pStyle w:val="TableParagraph"/>
              <w:spacing w:line="160" w:lineRule="exact"/>
              <w:ind w:left="57"/>
              <w:rPr>
                <w:b/>
                <w:sz w:val="14"/>
              </w:rPr>
            </w:pPr>
            <w:r>
              <w:rPr>
                <w:b/>
                <w:color w:val="231F20"/>
                <w:sz w:val="14"/>
              </w:rPr>
              <w:t>Скокови:</w:t>
            </w:r>
          </w:p>
          <w:p w:rsidR="00041039" w:rsidRDefault="001B26CB">
            <w:pPr>
              <w:pStyle w:val="TableParagraph"/>
              <w:ind w:left="57" w:right="832"/>
              <w:jc w:val="both"/>
              <w:rPr>
                <w:b/>
                <w:sz w:val="14"/>
              </w:rPr>
            </w:pPr>
            <w:r>
              <w:rPr>
                <w:color w:val="231F20"/>
                <w:sz w:val="14"/>
              </w:rPr>
              <w:t>Скок</w:t>
            </w:r>
            <w:r>
              <w:rPr>
                <w:color w:val="231F20"/>
                <w:spacing w:val="-16"/>
                <w:sz w:val="14"/>
              </w:rPr>
              <w:t xml:space="preserve"> </w:t>
            </w:r>
            <w:r>
              <w:rPr>
                <w:color w:val="231F20"/>
                <w:sz w:val="14"/>
              </w:rPr>
              <w:t>удаљ,</w:t>
            </w:r>
            <w:r>
              <w:rPr>
                <w:color w:val="231F20"/>
                <w:spacing w:val="-16"/>
                <w:sz w:val="14"/>
              </w:rPr>
              <w:t xml:space="preserve"> </w:t>
            </w:r>
            <w:r>
              <w:rPr>
                <w:color w:val="231F20"/>
                <w:sz w:val="14"/>
              </w:rPr>
              <w:t>одабраномтехником. Скок</w:t>
            </w:r>
            <w:r>
              <w:rPr>
                <w:color w:val="231F20"/>
                <w:spacing w:val="-10"/>
                <w:sz w:val="14"/>
              </w:rPr>
              <w:t xml:space="preserve"> </w:t>
            </w:r>
            <w:r>
              <w:rPr>
                <w:color w:val="231F20"/>
                <w:sz w:val="14"/>
              </w:rPr>
              <w:t>увис,</w:t>
            </w:r>
            <w:r>
              <w:rPr>
                <w:color w:val="231F20"/>
                <w:spacing w:val="-10"/>
                <w:sz w:val="14"/>
              </w:rPr>
              <w:t xml:space="preserve"> </w:t>
            </w:r>
            <w:r>
              <w:rPr>
                <w:color w:val="231F20"/>
                <w:sz w:val="14"/>
              </w:rPr>
              <w:t>одабраном</w:t>
            </w:r>
            <w:r>
              <w:rPr>
                <w:color w:val="231F20"/>
                <w:spacing w:val="-10"/>
                <w:sz w:val="14"/>
              </w:rPr>
              <w:t xml:space="preserve"> </w:t>
            </w:r>
            <w:r>
              <w:rPr>
                <w:color w:val="231F20"/>
                <w:sz w:val="14"/>
              </w:rPr>
              <w:t xml:space="preserve">техником. </w:t>
            </w:r>
            <w:r>
              <w:rPr>
                <w:b/>
                <w:color w:val="231F20"/>
                <w:sz w:val="14"/>
              </w:rPr>
              <w:t>Бацање:</w:t>
            </w:r>
          </w:p>
          <w:p w:rsidR="00041039" w:rsidRDefault="001B26CB">
            <w:pPr>
              <w:pStyle w:val="TableParagraph"/>
              <w:spacing w:line="237" w:lineRule="auto"/>
              <w:ind w:left="57"/>
              <w:rPr>
                <w:sz w:val="14"/>
              </w:rPr>
            </w:pPr>
            <w:r>
              <w:rPr>
                <w:color w:val="231F20"/>
                <w:sz w:val="14"/>
              </w:rPr>
              <w:t>Бацање кугле, рационалном техником (уче­ нице 4 кг, ученици 6 кг).</w:t>
            </w:r>
          </w:p>
          <w:p w:rsidR="00041039" w:rsidRDefault="001B26CB">
            <w:pPr>
              <w:pStyle w:val="TableParagraph"/>
              <w:ind w:left="57" w:right="84"/>
              <w:rPr>
                <w:sz w:val="14"/>
              </w:rPr>
            </w:pPr>
            <w:r>
              <w:rPr>
                <w:color w:val="231F20"/>
                <w:sz w:val="14"/>
              </w:rPr>
              <w:t>Спровести такмичења у одељењу на резултат, у свим реализованим атлетским дисциплинама.</w:t>
            </w:r>
          </w:p>
          <w:p w:rsidR="00041039" w:rsidRDefault="00041039">
            <w:pPr>
              <w:pStyle w:val="TableParagraph"/>
              <w:spacing w:before="4"/>
              <w:ind w:left="0"/>
              <w:rPr>
                <w:b/>
                <w:sz w:val="13"/>
              </w:rPr>
            </w:pPr>
          </w:p>
          <w:p w:rsidR="00041039" w:rsidRDefault="001B26CB">
            <w:pPr>
              <w:pStyle w:val="TableParagraph"/>
              <w:spacing w:before="1"/>
              <w:ind w:left="57"/>
              <w:rPr>
                <w:b/>
                <w:sz w:val="14"/>
              </w:rPr>
            </w:pPr>
            <w:r>
              <w:rPr>
                <w:b/>
                <w:color w:val="231F20"/>
                <w:sz w:val="14"/>
              </w:rPr>
              <w:t>СПОРТСКА ГИМНАСТИКА: ВЕЖБЕ НА СПРАВАМА И ТЛУ</w:t>
            </w:r>
          </w:p>
          <w:p w:rsidR="00041039" w:rsidRDefault="001B26CB">
            <w:pPr>
              <w:pStyle w:val="TableParagraph"/>
              <w:spacing w:line="159" w:lineRule="exact"/>
              <w:ind w:left="57"/>
              <w:rPr>
                <w:b/>
                <w:sz w:val="14"/>
              </w:rPr>
            </w:pPr>
            <w:r>
              <w:rPr>
                <w:b/>
                <w:color w:val="231F20"/>
                <w:sz w:val="14"/>
              </w:rPr>
              <w:t>Напомене:</w:t>
            </w:r>
          </w:p>
          <w:p w:rsidR="00041039" w:rsidRDefault="001B26CB">
            <w:pPr>
              <w:pStyle w:val="TableParagraph"/>
              <w:tabs>
                <w:tab w:val="left" w:pos="163"/>
              </w:tabs>
              <w:ind w:left="162" w:right="54" w:hanging="105"/>
              <w:rPr>
                <w:sz w:val="14"/>
              </w:rPr>
            </w:pPr>
            <w:r>
              <w:rPr>
                <w:color w:val="231F20"/>
                <w:sz w:val="14"/>
              </w:rPr>
              <w:t>Наставник олакшава, односно отежава</w:t>
            </w:r>
            <w:r>
              <w:rPr>
                <w:color w:val="231F20"/>
                <w:spacing w:val="-19"/>
                <w:sz w:val="14"/>
              </w:rPr>
              <w:t xml:space="preserve"> </w:t>
            </w:r>
            <w:r>
              <w:rPr>
                <w:color w:val="231F20"/>
                <w:sz w:val="14"/>
              </w:rPr>
              <w:t>про­ грам на основу моторичких способности и претходно стечених умења</w:t>
            </w:r>
            <w:r>
              <w:rPr>
                <w:color w:val="231F20"/>
                <w:spacing w:val="-5"/>
                <w:sz w:val="14"/>
              </w:rPr>
              <w:t xml:space="preserve"> </w:t>
            </w:r>
            <w:r>
              <w:rPr>
                <w:color w:val="231F20"/>
                <w:sz w:val="14"/>
              </w:rPr>
              <w:t>ученика.</w:t>
            </w:r>
          </w:p>
          <w:p w:rsidR="00041039" w:rsidRDefault="001B26CB">
            <w:pPr>
              <w:pStyle w:val="TableParagraph"/>
              <w:tabs>
                <w:tab w:val="left" w:pos="142"/>
              </w:tabs>
              <w:spacing w:line="158" w:lineRule="exact"/>
              <w:ind w:left="141" w:hanging="84"/>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60" w:lineRule="exact"/>
              <w:ind w:left="57"/>
              <w:rPr>
                <w:b/>
                <w:sz w:val="14"/>
              </w:rPr>
            </w:pPr>
            <w:r>
              <w:rPr>
                <w:b/>
                <w:color w:val="231F20"/>
                <w:sz w:val="14"/>
              </w:rPr>
              <w:t>За ученике и ученице:</w:t>
            </w:r>
          </w:p>
          <w:p w:rsidR="00041039" w:rsidRDefault="001B26CB">
            <w:pPr>
              <w:pStyle w:val="TableParagraph"/>
              <w:tabs>
                <w:tab w:val="left" w:pos="163"/>
              </w:tabs>
              <w:ind w:left="162" w:right="43" w:hanging="105"/>
              <w:rPr>
                <w:sz w:val="14"/>
              </w:rPr>
            </w:pPr>
            <w:r>
              <w:rPr>
                <w:color w:val="231F20"/>
                <w:sz w:val="14"/>
              </w:rPr>
              <w:t>из</w:t>
            </w:r>
            <w:r>
              <w:rPr>
                <w:color w:val="231F20"/>
                <w:spacing w:val="-6"/>
                <w:sz w:val="14"/>
              </w:rPr>
              <w:t xml:space="preserve"> </w:t>
            </w:r>
            <w:r>
              <w:rPr>
                <w:color w:val="231F20"/>
                <w:sz w:val="14"/>
              </w:rPr>
              <w:t>упора</w:t>
            </w:r>
            <w:r>
              <w:rPr>
                <w:color w:val="231F20"/>
                <w:spacing w:val="-6"/>
                <w:sz w:val="14"/>
              </w:rPr>
              <w:t xml:space="preserve"> </w:t>
            </w:r>
            <w:r>
              <w:rPr>
                <w:color w:val="231F20"/>
                <w:sz w:val="14"/>
              </w:rPr>
              <w:t>за</w:t>
            </w:r>
            <w:r>
              <w:rPr>
                <w:color w:val="231F20"/>
                <w:spacing w:val="-6"/>
                <w:sz w:val="14"/>
              </w:rPr>
              <w:t xml:space="preserve"> </w:t>
            </w:r>
            <w:r>
              <w:rPr>
                <w:color w:val="231F20"/>
                <w:sz w:val="14"/>
              </w:rPr>
              <w:t>рукама,</w:t>
            </w:r>
            <w:r>
              <w:rPr>
                <w:color w:val="231F20"/>
                <w:spacing w:val="-6"/>
                <w:sz w:val="14"/>
              </w:rPr>
              <w:t xml:space="preserve"> </w:t>
            </w:r>
            <w:r>
              <w:rPr>
                <w:color w:val="231F20"/>
                <w:sz w:val="14"/>
              </w:rPr>
              <w:t>згибом,</w:t>
            </w:r>
            <w:r>
              <w:rPr>
                <w:color w:val="231F20"/>
                <w:spacing w:val="-6"/>
                <w:sz w:val="14"/>
              </w:rPr>
              <w:t xml:space="preserve"> </w:t>
            </w:r>
            <w:r>
              <w:rPr>
                <w:color w:val="231F20"/>
                <w:sz w:val="14"/>
              </w:rPr>
              <w:t>премак</w:t>
            </w:r>
            <w:r>
              <w:rPr>
                <w:color w:val="231F20"/>
                <w:spacing w:val="-6"/>
                <w:sz w:val="14"/>
              </w:rPr>
              <w:t xml:space="preserve"> </w:t>
            </w:r>
            <w:r>
              <w:rPr>
                <w:color w:val="231F20"/>
                <w:sz w:val="14"/>
              </w:rPr>
              <w:t>одбочно до упора пред рукама</w:t>
            </w:r>
            <w:r>
              <w:rPr>
                <w:color w:val="231F20"/>
                <w:spacing w:val="-4"/>
                <w:sz w:val="14"/>
              </w:rPr>
              <w:t xml:space="preserve"> </w:t>
            </w:r>
            <w:r>
              <w:rPr>
                <w:color w:val="231F20"/>
                <w:sz w:val="14"/>
              </w:rPr>
              <w:t>(опружено),</w:t>
            </w:r>
          </w:p>
          <w:p w:rsidR="00041039" w:rsidRDefault="001B26CB">
            <w:pPr>
              <w:pStyle w:val="TableParagraph"/>
              <w:tabs>
                <w:tab w:val="left" w:pos="163"/>
              </w:tabs>
              <w:ind w:left="162" w:right="114" w:hanging="105"/>
              <w:rPr>
                <w:sz w:val="14"/>
              </w:rPr>
            </w:pPr>
            <w:r>
              <w:rPr>
                <w:color w:val="231F20"/>
                <w:sz w:val="14"/>
              </w:rPr>
              <w:t xml:space="preserve">комбинација вежби која садржи (вежбе се </w:t>
            </w:r>
            <w:r>
              <w:rPr>
                <w:color w:val="231F20"/>
                <w:spacing w:val="-3"/>
                <w:sz w:val="14"/>
              </w:rPr>
              <w:t xml:space="preserve">бирају, </w:t>
            </w:r>
            <w:r>
              <w:rPr>
                <w:color w:val="231F20"/>
                <w:sz w:val="14"/>
              </w:rPr>
              <w:t xml:space="preserve">одузимају или додају у складу са могућностима ученика): плесне кораке; скок са окретом за 180º: окрет на две или једној нози; премет странце; </w:t>
            </w:r>
            <w:r>
              <w:rPr>
                <w:color w:val="231F20"/>
                <w:spacing w:val="-3"/>
                <w:sz w:val="14"/>
              </w:rPr>
              <w:t xml:space="preserve">колут </w:t>
            </w:r>
            <w:r>
              <w:rPr>
                <w:color w:val="231F20"/>
                <w:sz w:val="14"/>
              </w:rPr>
              <w:t xml:space="preserve">напред суножним одразом и малим летом; вагу претклоном и заножењем; став на шакама </w:t>
            </w:r>
            <w:r>
              <w:rPr>
                <w:color w:val="231F20"/>
                <w:spacing w:val="-3"/>
                <w:sz w:val="14"/>
              </w:rPr>
              <w:t xml:space="preserve">колут </w:t>
            </w:r>
            <w:r>
              <w:rPr>
                <w:color w:val="231F20"/>
                <w:sz w:val="14"/>
              </w:rPr>
              <w:t>напред и сп. скок са окретом</w:t>
            </w:r>
            <w:r>
              <w:rPr>
                <w:color w:val="231F20"/>
                <w:spacing w:val="-15"/>
                <w:sz w:val="14"/>
              </w:rPr>
              <w:t xml:space="preserve"> </w:t>
            </w:r>
            <w:r>
              <w:rPr>
                <w:color w:val="231F20"/>
                <w:sz w:val="14"/>
              </w:rPr>
              <w:t>(произ­ вољан број</w:t>
            </w:r>
            <w:r>
              <w:rPr>
                <w:color w:val="231F20"/>
                <w:spacing w:val="-1"/>
                <w:sz w:val="14"/>
              </w:rPr>
              <w:t xml:space="preserve"> </w:t>
            </w:r>
            <w:r>
              <w:rPr>
                <w:color w:val="231F20"/>
                <w:sz w:val="14"/>
              </w:rPr>
              <w:t>степени);</w:t>
            </w:r>
          </w:p>
          <w:p w:rsidR="00041039" w:rsidRDefault="001B26CB">
            <w:pPr>
              <w:pStyle w:val="TableParagraph"/>
              <w:tabs>
                <w:tab w:val="left" w:pos="163"/>
              </w:tabs>
              <w:spacing w:line="237" w:lineRule="auto"/>
              <w:ind w:left="162" w:right="72" w:hanging="105"/>
              <w:rPr>
                <w:sz w:val="14"/>
              </w:rPr>
            </w:pPr>
            <w:r>
              <w:rPr>
                <w:color w:val="231F20"/>
                <w:sz w:val="14"/>
              </w:rPr>
              <w:t xml:space="preserve">за </w:t>
            </w:r>
            <w:r>
              <w:rPr>
                <w:b/>
                <w:color w:val="231F20"/>
                <w:sz w:val="14"/>
              </w:rPr>
              <w:t xml:space="preserve">напредни ниво </w:t>
            </w:r>
            <w:r>
              <w:rPr>
                <w:color w:val="231F20"/>
                <w:spacing w:val="-3"/>
                <w:sz w:val="14"/>
              </w:rPr>
              <w:t xml:space="preserve">колут </w:t>
            </w:r>
            <w:r>
              <w:rPr>
                <w:color w:val="231F20"/>
                <w:sz w:val="14"/>
              </w:rPr>
              <w:t>летећи и</w:t>
            </w:r>
            <w:r>
              <w:rPr>
                <w:color w:val="231F20"/>
                <w:spacing w:val="-22"/>
                <w:sz w:val="14"/>
              </w:rPr>
              <w:t xml:space="preserve"> </w:t>
            </w:r>
            <w:r>
              <w:rPr>
                <w:color w:val="231F20"/>
                <w:sz w:val="14"/>
              </w:rPr>
              <w:t>прекопит напред, уз</w:t>
            </w:r>
            <w:r>
              <w:rPr>
                <w:color w:val="231F20"/>
                <w:spacing w:val="-1"/>
                <w:sz w:val="14"/>
              </w:rPr>
              <w:t xml:space="preserve"> </w:t>
            </w:r>
            <w:r>
              <w:rPr>
                <w:color w:val="231F20"/>
                <w:sz w:val="14"/>
              </w:rPr>
              <w:t>помоћ.</w:t>
            </w:r>
          </w:p>
          <w:p w:rsidR="00041039" w:rsidRDefault="001B26CB">
            <w:pPr>
              <w:pStyle w:val="TableParagraph"/>
              <w:tabs>
                <w:tab w:val="left" w:pos="142"/>
              </w:tabs>
              <w:spacing w:line="160" w:lineRule="exact"/>
              <w:ind w:left="141" w:hanging="84"/>
              <w:rPr>
                <w:b/>
                <w:sz w:val="14"/>
              </w:rPr>
            </w:pPr>
            <w:r>
              <w:rPr>
                <w:b/>
                <w:color w:val="231F20"/>
                <w:sz w:val="14"/>
              </w:rPr>
              <w:t>Прескок</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коњ у ширину висине 120 цм;</w:t>
            </w:r>
          </w:p>
          <w:p w:rsidR="00041039" w:rsidRDefault="001B26CB">
            <w:pPr>
              <w:pStyle w:val="TableParagraph"/>
              <w:spacing w:line="160" w:lineRule="exact"/>
              <w:ind w:left="57"/>
              <w:rPr>
                <w:sz w:val="14"/>
              </w:rPr>
            </w:pPr>
            <w:r>
              <w:rPr>
                <w:b/>
                <w:color w:val="231F20"/>
                <w:sz w:val="14"/>
              </w:rPr>
              <w:t xml:space="preserve">за </w:t>
            </w:r>
            <w:r>
              <w:rPr>
                <w:b/>
                <w:color w:val="231F20"/>
                <w:sz w:val="14"/>
              </w:rPr>
              <w:t xml:space="preserve">ученице </w:t>
            </w:r>
            <w:r>
              <w:rPr>
                <w:color w:val="231F20"/>
                <w:sz w:val="14"/>
              </w:rPr>
              <w:t>110 цм:</w:t>
            </w:r>
          </w:p>
          <w:p w:rsidR="00041039" w:rsidRDefault="001B26CB">
            <w:pPr>
              <w:pStyle w:val="TableParagraph"/>
              <w:tabs>
                <w:tab w:val="left" w:pos="163"/>
              </w:tabs>
              <w:spacing w:line="160" w:lineRule="exact"/>
              <w:ind w:left="162" w:hanging="105"/>
              <w:rPr>
                <w:sz w:val="14"/>
              </w:rPr>
            </w:pPr>
            <w:r>
              <w:rPr>
                <w:color w:val="231F20"/>
                <w:sz w:val="14"/>
              </w:rPr>
              <w:t>згрчка;</w:t>
            </w:r>
          </w:p>
          <w:p w:rsidR="00041039" w:rsidRDefault="001B26CB">
            <w:pPr>
              <w:pStyle w:val="TableParagraph"/>
              <w:tabs>
                <w:tab w:val="left" w:pos="163"/>
              </w:tabs>
              <w:spacing w:line="160" w:lineRule="exact"/>
              <w:ind w:left="162" w:hanging="105"/>
              <w:rPr>
                <w:sz w:val="14"/>
              </w:rPr>
            </w:pPr>
            <w:r>
              <w:rPr>
                <w:color w:val="231F20"/>
                <w:sz w:val="14"/>
              </w:rPr>
              <w:t>разношка;</w:t>
            </w:r>
          </w:p>
          <w:p w:rsidR="00041039" w:rsidRDefault="001B26CB">
            <w:pPr>
              <w:pStyle w:val="TableParagraph"/>
              <w:ind w:left="162" w:hanging="105"/>
              <w:rPr>
                <w:sz w:val="14"/>
              </w:rPr>
            </w:pPr>
            <w:r>
              <w:rPr>
                <w:b/>
                <w:color w:val="231F20"/>
                <w:sz w:val="14"/>
              </w:rPr>
              <w:t>– за напредни ниво</w:t>
            </w:r>
            <w:r>
              <w:rPr>
                <w:color w:val="231F20"/>
                <w:sz w:val="14"/>
              </w:rPr>
              <w:t>: склонка и прескоци са заножењем и „прекопит”.</w:t>
            </w:r>
          </w:p>
          <w:p w:rsidR="00041039" w:rsidRDefault="001B26CB">
            <w:pPr>
              <w:pStyle w:val="TableParagraph"/>
              <w:tabs>
                <w:tab w:val="left" w:pos="142"/>
              </w:tabs>
              <w:spacing w:line="159" w:lineRule="exact"/>
              <w:ind w:left="141" w:hanging="84"/>
              <w:rPr>
                <w:b/>
                <w:sz w:val="14"/>
              </w:rPr>
            </w:pPr>
            <w:r>
              <w:rPr>
                <w:b/>
                <w:color w:val="231F20"/>
                <w:sz w:val="14"/>
              </w:rPr>
              <w:t>Кругови</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доскочни кругови /:</w:t>
            </w:r>
          </w:p>
          <w:p w:rsidR="00041039" w:rsidRDefault="001B26CB">
            <w:pPr>
              <w:pStyle w:val="TableParagraph"/>
              <w:ind w:left="162" w:hanging="105"/>
              <w:rPr>
                <w:sz w:val="14"/>
              </w:rPr>
            </w:pPr>
            <w:r>
              <w:rPr>
                <w:color w:val="231F20"/>
                <w:sz w:val="14"/>
              </w:rPr>
              <w:t>– вучењем вис узнето; вис стрмоглаво; вис узнето; спуст у вис стражњи ­ издржај; вучењем вис узнето; спусту вис предњи (полако); саскок.</w:t>
            </w:r>
          </w:p>
          <w:p w:rsidR="00041039" w:rsidRDefault="001B26CB">
            <w:pPr>
              <w:pStyle w:val="TableParagraph"/>
              <w:tabs>
                <w:tab w:val="left" w:pos="142"/>
              </w:tabs>
              <w:spacing w:line="157" w:lineRule="exact"/>
              <w:ind w:left="141" w:hanging="84"/>
              <w:rPr>
                <w:b/>
                <w:sz w:val="14"/>
              </w:rPr>
            </w:pPr>
            <w:r>
              <w:rPr>
                <w:b/>
                <w:color w:val="231F20"/>
                <w:sz w:val="14"/>
              </w:rPr>
              <w:t>Разбој</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паралелни разбој /:</w:t>
            </w:r>
          </w:p>
          <w:p w:rsidR="00041039" w:rsidRDefault="001B26CB">
            <w:pPr>
              <w:pStyle w:val="TableParagraph"/>
              <w:tabs>
                <w:tab w:val="left" w:pos="163"/>
              </w:tabs>
              <w:ind w:left="162" w:right="42" w:hanging="105"/>
              <w:rPr>
                <w:sz w:val="14"/>
              </w:rPr>
            </w:pPr>
            <w:r>
              <w:rPr>
                <w:color w:val="231F20"/>
                <w:sz w:val="14"/>
              </w:rPr>
              <w:t>из замаха у упору предњихом спуст у склек, зањих у склеку и спојено упор (у зањ</w:t>
            </w:r>
            <w:r>
              <w:rPr>
                <w:color w:val="231F20"/>
                <w:sz w:val="14"/>
              </w:rPr>
              <w:t>иху);</w:t>
            </w:r>
            <w:r>
              <w:rPr>
                <w:color w:val="231F20"/>
                <w:spacing w:val="-6"/>
                <w:sz w:val="14"/>
              </w:rPr>
              <w:t xml:space="preserve"> </w:t>
            </w:r>
            <w:r>
              <w:rPr>
                <w:color w:val="231F20"/>
                <w:sz w:val="14"/>
              </w:rPr>
              <w:t>предњих</w:t>
            </w:r>
            <w:r>
              <w:rPr>
                <w:color w:val="231F20"/>
                <w:spacing w:val="-6"/>
                <w:sz w:val="14"/>
              </w:rPr>
              <w:t xml:space="preserve"> </w:t>
            </w:r>
            <w:r>
              <w:rPr>
                <w:color w:val="231F20"/>
                <w:sz w:val="14"/>
              </w:rPr>
              <w:t>и</w:t>
            </w:r>
            <w:r>
              <w:rPr>
                <w:color w:val="231F20"/>
                <w:spacing w:val="-6"/>
                <w:sz w:val="14"/>
              </w:rPr>
              <w:t xml:space="preserve"> </w:t>
            </w:r>
            <w:r>
              <w:rPr>
                <w:color w:val="231F20"/>
                <w:sz w:val="14"/>
              </w:rPr>
              <w:t>спојено</w:t>
            </w:r>
            <w:r>
              <w:rPr>
                <w:color w:val="231F20"/>
                <w:spacing w:val="-6"/>
                <w:sz w:val="14"/>
              </w:rPr>
              <w:t xml:space="preserve"> </w:t>
            </w:r>
            <w:r>
              <w:rPr>
                <w:color w:val="231F20"/>
                <w:sz w:val="14"/>
              </w:rPr>
              <w:t>склек,</w:t>
            </w:r>
            <w:r>
              <w:rPr>
                <w:color w:val="231F20"/>
                <w:spacing w:val="-6"/>
                <w:sz w:val="14"/>
              </w:rPr>
              <w:t xml:space="preserve"> </w:t>
            </w:r>
            <w:r>
              <w:rPr>
                <w:color w:val="231F20"/>
                <w:sz w:val="14"/>
              </w:rPr>
              <w:t>зањихом упор (поновити 2 до 3</w:t>
            </w:r>
            <w:r>
              <w:rPr>
                <w:color w:val="231F20"/>
                <w:spacing w:val="-2"/>
                <w:sz w:val="14"/>
              </w:rPr>
              <w:t xml:space="preserve"> </w:t>
            </w:r>
            <w:r>
              <w:rPr>
                <w:color w:val="231F20"/>
                <w:sz w:val="14"/>
              </w:rPr>
              <w:t>пута).</w:t>
            </w:r>
          </w:p>
          <w:p w:rsidR="00041039" w:rsidRDefault="001B26CB">
            <w:pPr>
              <w:pStyle w:val="TableParagraph"/>
              <w:spacing w:line="237" w:lineRule="auto"/>
              <w:ind w:left="57" w:right="396"/>
              <w:rPr>
                <w:sz w:val="14"/>
              </w:rPr>
            </w:pPr>
            <w:r>
              <w:rPr>
                <w:b/>
                <w:color w:val="231F20"/>
                <w:sz w:val="14"/>
              </w:rPr>
              <w:t xml:space="preserve">За ученице </w:t>
            </w:r>
            <w:r>
              <w:rPr>
                <w:color w:val="231F20"/>
                <w:sz w:val="14"/>
              </w:rPr>
              <w:t>/ двовисински разбој, једна притка, вратило /:</w:t>
            </w:r>
          </w:p>
          <w:p w:rsidR="00041039" w:rsidRDefault="001B26CB">
            <w:pPr>
              <w:pStyle w:val="TableParagraph"/>
              <w:tabs>
                <w:tab w:val="left" w:pos="163"/>
              </w:tabs>
              <w:ind w:left="162" w:right="66" w:hanging="105"/>
              <w:rPr>
                <w:sz w:val="14"/>
              </w:rPr>
            </w:pPr>
            <w:r>
              <w:rPr>
                <w:color w:val="231F20"/>
                <w:sz w:val="14"/>
              </w:rPr>
              <w:t xml:space="preserve">лицем према н / п, залетом и суножним </w:t>
            </w:r>
            <w:r>
              <w:rPr>
                <w:color w:val="231F20"/>
                <w:spacing w:val="-3"/>
                <w:sz w:val="14"/>
              </w:rPr>
              <w:t xml:space="preserve">одскоком </w:t>
            </w:r>
            <w:r>
              <w:rPr>
                <w:color w:val="231F20"/>
                <w:sz w:val="14"/>
              </w:rPr>
              <w:t>наскок упор предњи; премах одножно десном (левом) у упора јашући; прехват</w:t>
            </w:r>
            <w:r>
              <w:rPr>
                <w:color w:val="231F20"/>
                <w:spacing w:val="-5"/>
                <w:sz w:val="14"/>
              </w:rPr>
              <w:t xml:space="preserve"> </w:t>
            </w:r>
            <w:r>
              <w:rPr>
                <w:color w:val="231F20"/>
                <w:sz w:val="14"/>
              </w:rPr>
              <w:t>на</w:t>
            </w:r>
            <w:r>
              <w:rPr>
                <w:color w:val="231F20"/>
                <w:spacing w:val="-6"/>
                <w:sz w:val="14"/>
              </w:rPr>
              <w:t xml:space="preserve"> </w:t>
            </w:r>
            <w:r>
              <w:rPr>
                <w:color w:val="231F20"/>
                <w:sz w:val="14"/>
              </w:rPr>
              <w:t>в</w:t>
            </w:r>
            <w:r>
              <w:rPr>
                <w:color w:val="231F20"/>
                <w:spacing w:val="-6"/>
                <w:sz w:val="14"/>
              </w:rPr>
              <w:t xml:space="preserve"> </w:t>
            </w:r>
            <w:r>
              <w:rPr>
                <w:color w:val="231F20"/>
                <w:sz w:val="14"/>
              </w:rPr>
              <w:t>/</w:t>
            </w:r>
            <w:r>
              <w:rPr>
                <w:color w:val="231F20"/>
                <w:spacing w:val="-5"/>
                <w:sz w:val="14"/>
              </w:rPr>
              <w:t xml:space="preserve"> </w:t>
            </w:r>
            <w:r>
              <w:rPr>
                <w:color w:val="231F20"/>
                <w:sz w:val="14"/>
              </w:rPr>
              <w:t>п;</w:t>
            </w:r>
            <w:r>
              <w:rPr>
                <w:color w:val="231F20"/>
                <w:spacing w:val="-6"/>
                <w:sz w:val="14"/>
              </w:rPr>
              <w:t xml:space="preserve"> </w:t>
            </w:r>
            <w:r>
              <w:rPr>
                <w:color w:val="231F20"/>
                <w:sz w:val="14"/>
              </w:rPr>
              <w:t>премах</w:t>
            </w:r>
            <w:r>
              <w:rPr>
                <w:color w:val="231F20"/>
                <w:spacing w:val="-5"/>
                <w:sz w:val="14"/>
              </w:rPr>
              <w:t xml:space="preserve"> </w:t>
            </w:r>
            <w:r>
              <w:rPr>
                <w:color w:val="231F20"/>
                <w:sz w:val="14"/>
              </w:rPr>
              <w:t>одножно</w:t>
            </w:r>
            <w:r>
              <w:rPr>
                <w:color w:val="231F20"/>
                <w:spacing w:val="-5"/>
                <w:sz w:val="14"/>
              </w:rPr>
              <w:t xml:space="preserve"> </w:t>
            </w:r>
            <w:r>
              <w:rPr>
                <w:color w:val="231F20"/>
                <w:sz w:val="14"/>
              </w:rPr>
              <w:t xml:space="preserve">заножном до виса </w:t>
            </w:r>
            <w:r>
              <w:rPr>
                <w:color w:val="231F20"/>
                <w:spacing w:val="-3"/>
                <w:sz w:val="14"/>
              </w:rPr>
              <w:t xml:space="preserve">седећег, </w:t>
            </w:r>
            <w:r>
              <w:rPr>
                <w:color w:val="231F20"/>
                <w:sz w:val="14"/>
              </w:rPr>
              <w:t xml:space="preserve">подметним опружањем или одривом </w:t>
            </w:r>
            <w:r>
              <w:rPr>
                <w:color w:val="231F20"/>
                <w:spacing w:val="-3"/>
                <w:sz w:val="14"/>
              </w:rPr>
              <w:t xml:space="preserve">од </w:t>
            </w:r>
            <w:r>
              <w:rPr>
                <w:color w:val="231F20"/>
                <w:sz w:val="14"/>
              </w:rPr>
              <w:t xml:space="preserve">н / п предњих и спојено саскок у предњиху (уз помоћ) до става на </w:t>
            </w:r>
            <w:r>
              <w:rPr>
                <w:color w:val="231F20"/>
                <w:spacing w:val="-5"/>
                <w:sz w:val="14"/>
              </w:rPr>
              <w:t xml:space="preserve">тлу, </w:t>
            </w:r>
            <w:r>
              <w:rPr>
                <w:color w:val="231F20"/>
                <w:sz w:val="14"/>
              </w:rPr>
              <w:t>леђима према в /</w:t>
            </w:r>
            <w:r>
              <w:rPr>
                <w:color w:val="231F20"/>
                <w:spacing w:val="1"/>
                <w:sz w:val="14"/>
              </w:rPr>
              <w:t xml:space="preserve"> </w:t>
            </w:r>
            <w:r>
              <w:rPr>
                <w:color w:val="231F20"/>
                <w:sz w:val="14"/>
              </w:rPr>
              <w:t>п;</w:t>
            </w:r>
          </w:p>
          <w:p w:rsidR="00041039" w:rsidRDefault="001B26CB">
            <w:pPr>
              <w:pStyle w:val="TableParagraph"/>
              <w:tabs>
                <w:tab w:val="left" w:pos="163"/>
              </w:tabs>
              <w:spacing w:line="237" w:lineRule="auto"/>
              <w:ind w:left="162" w:right="145" w:hanging="105"/>
              <w:rPr>
                <w:sz w:val="14"/>
              </w:rPr>
            </w:pPr>
            <w:r>
              <w:rPr>
                <w:color w:val="231F20"/>
                <w:sz w:val="14"/>
              </w:rPr>
              <w:t xml:space="preserve">једна притка: залетом и суножним </w:t>
            </w:r>
            <w:r>
              <w:rPr>
                <w:color w:val="231F20"/>
                <w:spacing w:val="-3"/>
                <w:sz w:val="14"/>
              </w:rPr>
              <w:t xml:space="preserve">одско­ </w:t>
            </w:r>
            <w:r>
              <w:rPr>
                <w:color w:val="231F20"/>
                <w:spacing w:val="-4"/>
                <w:sz w:val="14"/>
              </w:rPr>
              <w:t xml:space="preserve">ком </w:t>
            </w:r>
            <w:r>
              <w:rPr>
                <w:color w:val="231F20"/>
                <w:sz w:val="14"/>
              </w:rPr>
              <w:t>наскок упор предњи: премах</w:t>
            </w:r>
            <w:r>
              <w:rPr>
                <w:color w:val="231F20"/>
                <w:spacing w:val="-21"/>
                <w:sz w:val="14"/>
              </w:rPr>
              <w:t xml:space="preserve"> </w:t>
            </w:r>
            <w:r>
              <w:rPr>
                <w:color w:val="231F20"/>
                <w:sz w:val="14"/>
              </w:rPr>
              <w:t>одножно десном (ле</w:t>
            </w:r>
            <w:r>
              <w:rPr>
                <w:color w:val="231F20"/>
                <w:sz w:val="14"/>
              </w:rPr>
              <w:t>вом) до упора јашућег, премах одножно заножном до упора стражњег; сасед са окретом за</w:t>
            </w:r>
            <w:r>
              <w:rPr>
                <w:color w:val="231F20"/>
                <w:spacing w:val="-2"/>
                <w:sz w:val="14"/>
              </w:rPr>
              <w:t xml:space="preserve"> </w:t>
            </w:r>
            <w:r>
              <w:rPr>
                <w:color w:val="231F20"/>
                <w:sz w:val="14"/>
              </w:rPr>
              <w:t>90°.</w:t>
            </w:r>
          </w:p>
        </w:tc>
        <w:tc>
          <w:tcPr>
            <w:tcW w:w="2267" w:type="dxa"/>
          </w:tcPr>
          <w:p w:rsidR="00041039" w:rsidRDefault="001B26CB">
            <w:pPr>
              <w:pStyle w:val="TableParagraph"/>
              <w:spacing w:before="19"/>
              <w:ind w:left="57"/>
              <w:rPr>
                <w:sz w:val="14"/>
              </w:rPr>
            </w:pPr>
            <w:r>
              <w:rPr>
                <w:b/>
                <w:color w:val="231F20"/>
                <w:sz w:val="14"/>
              </w:rPr>
              <w:t xml:space="preserve">Начин остваривања програма </w:t>
            </w:r>
            <w:r>
              <w:rPr>
                <w:color w:val="231F20"/>
                <w:sz w:val="14"/>
              </w:rPr>
              <w:t>Садржаји програма усмерени суна: развијање физичких способности; спортско­техничко образовање; повезивање физичког васпитања са животом и радом.</w:t>
            </w:r>
          </w:p>
          <w:p w:rsidR="00041039" w:rsidRDefault="001B26CB">
            <w:pPr>
              <w:pStyle w:val="TableParagraph"/>
              <w:spacing w:line="237" w:lineRule="auto"/>
              <w:ind w:left="57"/>
              <w:rPr>
                <w:sz w:val="14"/>
              </w:rPr>
            </w:pPr>
            <w:r>
              <w:rPr>
                <w:color w:val="231F20"/>
                <w:sz w:val="14"/>
              </w:rPr>
              <w:t>Годишњи план, програм и распоред кросева, такмичења, зимовања</w:t>
            </w:r>
          </w:p>
          <w:p w:rsidR="00041039" w:rsidRDefault="001B26CB">
            <w:pPr>
              <w:pStyle w:val="TableParagraph"/>
              <w:ind w:left="57" w:right="252"/>
              <w:rPr>
                <w:sz w:val="14"/>
              </w:rPr>
            </w:pPr>
            <w:r>
              <w:rPr>
                <w:color w:val="231F20"/>
                <w:sz w:val="14"/>
              </w:rPr>
              <w:t xml:space="preserve">и других облика рада утврђује се на почетку </w:t>
            </w:r>
            <w:r>
              <w:rPr>
                <w:color w:val="231F20"/>
                <w:spacing w:val="-3"/>
                <w:sz w:val="14"/>
              </w:rPr>
              <w:t>школс</w:t>
            </w:r>
            <w:r>
              <w:rPr>
                <w:color w:val="231F20"/>
                <w:spacing w:val="-3"/>
                <w:sz w:val="14"/>
              </w:rPr>
              <w:t xml:space="preserve">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7" w:lineRule="auto"/>
              <w:ind w:left="57"/>
              <w:rPr>
                <w:sz w:val="14"/>
              </w:rPr>
            </w:pPr>
            <w:r>
              <w:rPr>
                <w:color w:val="231F20"/>
                <w:sz w:val="14"/>
              </w:rPr>
              <w:t>стручног већа наставника физичког васпитања.</w:t>
            </w:r>
          </w:p>
          <w:p w:rsidR="00041039" w:rsidRDefault="001B26CB">
            <w:pPr>
              <w:pStyle w:val="TableParagraph"/>
              <w:ind w:left="57"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7" w:lineRule="auto"/>
              <w:ind w:left="57" w:right="40"/>
              <w:rPr>
                <w:sz w:val="14"/>
              </w:rPr>
            </w:pPr>
            <w:r>
              <w:rPr>
                <w:color w:val="231F20"/>
                <w:sz w:val="14"/>
              </w:rPr>
              <w:t xml:space="preserve">Часови у току недеље треба да буду распоређени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p w:rsidR="00041039" w:rsidRDefault="001B26CB">
            <w:pPr>
              <w:pStyle w:val="TableParagraph"/>
              <w:ind w:left="57"/>
              <w:rPr>
                <w:sz w:val="14"/>
              </w:rPr>
            </w:pPr>
            <w:r>
              <w:rPr>
                <w:color w:val="231F20"/>
                <w:sz w:val="14"/>
              </w:rPr>
              <w:t>У свим разредима настава физичког васпитањ</w:t>
            </w:r>
            <w:r>
              <w:rPr>
                <w:color w:val="231F20"/>
                <w:sz w:val="14"/>
              </w:rPr>
              <w:t>а се реализује одвојено</w:t>
            </w:r>
          </w:p>
          <w:p w:rsidR="00041039" w:rsidRDefault="001B26CB">
            <w:pPr>
              <w:pStyle w:val="TableParagraph"/>
              <w:ind w:left="57" w:right="157"/>
              <w:rPr>
                <w:sz w:val="14"/>
              </w:rPr>
            </w:pPr>
            <w:r>
              <w:rPr>
                <w:color w:val="231F20"/>
                <w:sz w:val="14"/>
              </w:rPr>
              <w:t>за ученике и одвојено за ученице, а само у школама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spacing w:before="1"/>
              <w:ind w:left="0"/>
              <w:rPr>
                <w:b/>
                <w:sz w:val="13"/>
              </w:rPr>
            </w:pPr>
          </w:p>
          <w:p w:rsidR="00041039" w:rsidRDefault="001B26CB">
            <w:pPr>
              <w:pStyle w:val="TableParagraph"/>
              <w:spacing w:before="1"/>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w:t>
            </w:r>
            <w:r>
              <w:rPr>
                <w:color w:val="231F20"/>
                <w:sz w:val="14"/>
              </w:rPr>
              <w:t xml:space="preserve"> играма.</w:t>
            </w:r>
          </w:p>
          <w:p w:rsidR="00041039" w:rsidRDefault="00041039">
            <w:pPr>
              <w:pStyle w:val="TableParagraph"/>
              <w:spacing w:before="11"/>
              <w:ind w:left="0"/>
              <w:rPr>
                <w:b/>
                <w:sz w:val="12"/>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tabs>
                <w:tab w:val="left" w:pos="158"/>
              </w:tabs>
              <w:spacing w:line="237" w:lineRule="auto"/>
              <w:ind w:left="157" w:right="246" w:hanging="100"/>
              <w:rPr>
                <w:b/>
                <w:sz w:val="14"/>
              </w:rPr>
            </w:pPr>
            <w:r>
              <w:rPr>
                <w:color w:val="231F20"/>
                <w:sz w:val="14"/>
              </w:rPr>
              <w:t>Тестирање и проверасавлада­ ности стандарда из</w:t>
            </w:r>
            <w:r>
              <w:rPr>
                <w:color w:val="231F20"/>
                <w:spacing w:val="-15"/>
                <w:sz w:val="14"/>
              </w:rPr>
              <w:t xml:space="preserve"> </w:t>
            </w:r>
            <w:r>
              <w:rPr>
                <w:color w:val="231F20"/>
                <w:sz w:val="14"/>
              </w:rPr>
              <w:t>претходног разреда</w:t>
            </w:r>
            <w:r>
              <w:rPr>
                <w:b/>
                <w:color w:val="231F20"/>
                <w:sz w:val="14"/>
              </w:rPr>
              <w:t>(6</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237" w:lineRule="auto"/>
              <w:ind w:left="157" w:right="92" w:hanging="100"/>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tabs>
                <w:tab w:val="left" w:pos="158"/>
              </w:tabs>
              <w:spacing w:line="155" w:lineRule="exact"/>
              <w:ind w:left="157" w:hanging="100"/>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237" w:lineRule="auto"/>
              <w:ind w:left="157" w:right="104" w:hanging="100"/>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100"/>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tabs>
                <w:tab w:val="left" w:pos="158"/>
              </w:tabs>
              <w:spacing w:line="237" w:lineRule="auto"/>
              <w:ind w:left="157" w:right="119" w:hanging="100"/>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57" w:lineRule="exact"/>
              <w:ind w:left="157" w:hanging="100"/>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237" w:lineRule="auto"/>
              <w:ind w:left="157" w:right="401" w:hanging="100"/>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извођење редовне наставе школау току школске године организује: Два целодневна излета са пешачењем:</w:t>
            </w:r>
          </w:p>
          <w:p w:rsidR="00041039" w:rsidRDefault="001B26CB">
            <w:pPr>
              <w:pStyle w:val="TableParagraph"/>
              <w:tabs>
                <w:tab w:val="left" w:pos="163"/>
              </w:tabs>
              <w:spacing w:line="237" w:lineRule="auto"/>
              <w:ind w:left="162" w:right="262" w:hanging="105"/>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tabs>
                <w:tab w:val="left" w:pos="163"/>
              </w:tabs>
              <w:ind w:left="162" w:right="180" w:hanging="105"/>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tabs>
                <w:tab w:val="left" w:pos="163"/>
              </w:tabs>
              <w:ind w:left="162" w:right="134" w:hanging="105"/>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w:t>
            </w:r>
            <w:r>
              <w:rPr>
                <w:color w:val="231F20"/>
                <w:sz w:val="14"/>
              </w:rPr>
              <w:t>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015"/>
        </w:trPr>
        <w:tc>
          <w:tcPr>
            <w:tcW w:w="1304" w:type="dxa"/>
            <w:tcBorders>
              <w:bottom w:val="nil"/>
            </w:tcBorders>
          </w:tcPr>
          <w:p w:rsidR="00041039" w:rsidRDefault="00041039">
            <w:pPr>
              <w:pStyle w:val="TableParagraph"/>
              <w:ind w:left="0"/>
              <w:rPr>
                <w:sz w:val="14"/>
              </w:rPr>
            </w:pPr>
          </w:p>
        </w:tc>
        <w:tc>
          <w:tcPr>
            <w:tcW w:w="1587" w:type="dxa"/>
            <w:vMerge w:val="restart"/>
          </w:tcPr>
          <w:p w:rsidR="00041039" w:rsidRDefault="00041039">
            <w:pPr>
              <w:pStyle w:val="TableParagraph"/>
              <w:ind w:left="0"/>
              <w:rPr>
                <w:sz w:val="14"/>
              </w:rPr>
            </w:pPr>
          </w:p>
        </w:tc>
        <w:tc>
          <w:tcPr>
            <w:tcW w:w="2551"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tabs>
                <w:tab w:val="left" w:pos="142"/>
              </w:tabs>
              <w:spacing w:before="16" w:line="161" w:lineRule="exact"/>
              <w:ind w:left="141" w:hanging="84"/>
              <w:rPr>
                <w:b/>
                <w:sz w:val="14"/>
              </w:rPr>
            </w:pPr>
            <w:r>
              <w:rPr>
                <w:b/>
                <w:color w:val="231F20"/>
                <w:sz w:val="14"/>
              </w:rPr>
              <w:t>Вратило</w:t>
            </w:r>
          </w:p>
          <w:p w:rsidR="00041039" w:rsidRDefault="001B26CB">
            <w:pPr>
              <w:pStyle w:val="TableParagraph"/>
              <w:ind w:left="57" w:right="16"/>
              <w:rPr>
                <w:sz w:val="14"/>
              </w:rPr>
            </w:pPr>
            <w:r>
              <w:rPr>
                <w:b/>
                <w:color w:val="231F20"/>
                <w:sz w:val="14"/>
              </w:rPr>
              <w:t xml:space="preserve">За ученике </w:t>
            </w:r>
            <w:r>
              <w:rPr>
                <w:color w:val="231F20"/>
                <w:sz w:val="14"/>
              </w:rPr>
              <w:t>/ доскочно и дохватно или дочел­ но вратило /:</w:t>
            </w:r>
          </w:p>
          <w:p w:rsidR="00041039" w:rsidRDefault="001B26CB">
            <w:pPr>
              <w:pStyle w:val="TableParagraph"/>
              <w:tabs>
                <w:tab w:val="left" w:pos="163"/>
              </w:tabs>
              <w:ind w:left="162" w:right="61" w:hanging="105"/>
              <w:rPr>
                <w:sz w:val="14"/>
              </w:rPr>
            </w:pPr>
            <w:r>
              <w:rPr>
                <w:color w:val="231F20"/>
                <w:sz w:val="14"/>
              </w:rPr>
              <w:t>/ доскочно /: подметно успостављање њиха; њихање са повећавањем амплитуде</w:t>
            </w:r>
            <w:r>
              <w:rPr>
                <w:color w:val="231F20"/>
                <w:spacing w:val="-22"/>
                <w:sz w:val="14"/>
              </w:rPr>
              <w:t xml:space="preserve"> </w:t>
            </w:r>
            <w:r>
              <w:rPr>
                <w:color w:val="231F20"/>
                <w:sz w:val="14"/>
              </w:rPr>
              <w:t>и саскок у предњиху или зањиху уз</w:t>
            </w:r>
            <w:r>
              <w:rPr>
                <w:color w:val="231F20"/>
                <w:spacing w:val="-19"/>
                <w:sz w:val="14"/>
              </w:rPr>
              <w:t xml:space="preserve"> </w:t>
            </w:r>
            <w:r>
              <w:rPr>
                <w:color w:val="231F20"/>
                <w:sz w:val="14"/>
              </w:rPr>
              <w:t>помоћ;</w:t>
            </w:r>
          </w:p>
          <w:p w:rsidR="00041039" w:rsidRDefault="001B26CB">
            <w:pPr>
              <w:pStyle w:val="TableParagraph"/>
              <w:tabs>
                <w:tab w:val="left" w:pos="163"/>
              </w:tabs>
              <w:spacing w:line="237" w:lineRule="auto"/>
              <w:ind w:left="162" w:right="236" w:hanging="105"/>
              <w:rPr>
                <w:sz w:val="14"/>
              </w:rPr>
            </w:pPr>
            <w:r>
              <w:rPr>
                <w:color w:val="231F20"/>
                <w:sz w:val="14"/>
              </w:rPr>
              <w:t>/</w:t>
            </w:r>
            <w:r>
              <w:rPr>
                <w:color w:val="231F20"/>
                <w:spacing w:val="-6"/>
                <w:sz w:val="14"/>
              </w:rPr>
              <w:t xml:space="preserve"> </w:t>
            </w:r>
            <w:r>
              <w:rPr>
                <w:color w:val="231F20"/>
                <w:sz w:val="14"/>
              </w:rPr>
              <w:t>дохватно</w:t>
            </w:r>
            <w:r>
              <w:rPr>
                <w:color w:val="231F20"/>
                <w:spacing w:val="-6"/>
                <w:sz w:val="14"/>
              </w:rPr>
              <w:t xml:space="preserve"> </w:t>
            </w:r>
            <w:r>
              <w:rPr>
                <w:color w:val="231F20"/>
                <w:sz w:val="14"/>
              </w:rPr>
              <w:t>или</w:t>
            </w:r>
            <w:r>
              <w:rPr>
                <w:color w:val="231F20"/>
                <w:spacing w:val="-7"/>
                <w:sz w:val="14"/>
              </w:rPr>
              <w:t xml:space="preserve"> </w:t>
            </w:r>
            <w:r>
              <w:rPr>
                <w:color w:val="231F20"/>
                <w:sz w:val="14"/>
              </w:rPr>
              <w:t>дочелно</w:t>
            </w:r>
            <w:r>
              <w:rPr>
                <w:color w:val="231F20"/>
                <w:spacing w:val="-6"/>
                <w:sz w:val="14"/>
              </w:rPr>
              <w:t xml:space="preserve"> </w:t>
            </w:r>
            <w:r>
              <w:rPr>
                <w:color w:val="231F20"/>
                <w:sz w:val="14"/>
              </w:rPr>
              <w:t>/:</w:t>
            </w:r>
            <w:r>
              <w:rPr>
                <w:color w:val="231F20"/>
                <w:spacing w:val="-6"/>
                <w:sz w:val="14"/>
              </w:rPr>
              <w:t xml:space="preserve"> </w:t>
            </w:r>
            <w:r>
              <w:rPr>
                <w:color w:val="231F20"/>
                <w:sz w:val="14"/>
              </w:rPr>
              <w:t>ковртљај</w:t>
            </w:r>
            <w:r>
              <w:rPr>
                <w:color w:val="231F20"/>
                <w:spacing w:val="-6"/>
                <w:sz w:val="14"/>
              </w:rPr>
              <w:t xml:space="preserve"> </w:t>
            </w:r>
            <w:r>
              <w:rPr>
                <w:color w:val="231F20"/>
                <w:sz w:val="14"/>
              </w:rPr>
              <w:t xml:space="preserve">назад у </w:t>
            </w:r>
            <w:r>
              <w:rPr>
                <w:color w:val="231F20"/>
                <w:spacing w:val="-3"/>
                <w:sz w:val="14"/>
              </w:rPr>
              <w:t>упору.</w:t>
            </w:r>
          </w:p>
          <w:p w:rsidR="00041039" w:rsidRDefault="001B26CB">
            <w:pPr>
              <w:pStyle w:val="TableParagraph"/>
              <w:tabs>
                <w:tab w:val="left" w:pos="142"/>
              </w:tabs>
              <w:spacing w:line="160" w:lineRule="exact"/>
              <w:ind w:left="141" w:hanging="84"/>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/висока греда/:</w:t>
            </w:r>
          </w:p>
          <w:p w:rsidR="00041039" w:rsidRDefault="001B26CB">
            <w:pPr>
              <w:pStyle w:val="TableParagraph"/>
              <w:ind w:left="162" w:right="141" w:hanging="105"/>
              <w:rPr>
                <w:sz w:val="14"/>
              </w:rPr>
            </w:pPr>
            <w:r>
              <w:rPr>
                <w:color w:val="231F20"/>
                <w:sz w:val="14"/>
              </w:rPr>
              <w:t>– залетом суножним одскоком наскок у упор чучећи одножно; окрет за 90º до упора чучећег; усправ, одручити; кораци у успону до корацима; вага претклоном и заножењем, усклон; суножним одскоком скок са померањем; окрет за 90º у успону;</w:t>
            </w:r>
          </w:p>
          <w:p w:rsidR="00041039" w:rsidRDefault="001B26CB">
            <w:pPr>
              <w:pStyle w:val="TableParagraph"/>
              <w:spacing w:line="237" w:lineRule="auto"/>
              <w:ind w:left="162" w:right="7"/>
              <w:rPr>
                <w:sz w:val="14"/>
              </w:rPr>
            </w:pPr>
            <w:r>
              <w:rPr>
                <w:color w:val="231F20"/>
                <w:sz w:val="14"/>
              </w:rPr>
              <w:t>саскок пруженим телом и</w:t>
            </w:r>
            <w:r>
              <w:rPr>
                <w:color w:val="231F20"/>
                <w:sz w:val="14"/>
              </w:rPr>
              <w:t xml:space="preserve">ли, за </w:t>
            </w:r>
            <w:r>
              <w:rPr>
                <w:b/>
                <w:color w:val="231F20"/>
                <w:sz w:val="14"/>
              </w:rPr>
              <w:t>напреднији ниво</w:t>
            </w:r>
            <w:r>
              <w:rPr>
                <w:color w:val="231F20"/>
                <w:sz w:val="14"/>
              </w:rPr>
              <w:t>­ са предножним разножењем.</w:t>
            </w:r>
          </w:p>
          <w:p w:rsidR="00041039" w:rsidRDefault="001B26CB">
            <w:pPr>
              <w:pStyle w:val="TableParagraph"/>
              <w:tabs>
                <w:tab w:val="left" w:pos="142"/>
              </w:tabs>
              <w:ind w:left="57" w:right="1426"/>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tabs>
                <w:tab w:val="left" w:pos="163"/>
              </w:tabs>
              <w:ind w:left="162" w:right="116" w:hanging="105"/>
              <w:rPr>
                <w:sz w:val="14"/>
              </w:rPr>
            </w:pPr>
            <w:r>
              <w:rPr>
                <w:color w:val="231F20"/>
                <w:sz w:val="14"/>
              </w:rPr>
              <w:t xml:space="preserve">из упора предњег </w:t>
            </w:r>
            <w:r>
              <w:rPr>
                <w:color w:val="231F20"/>
                <w:spacing w:val="-3"/>
                <w:sz w:val="14"/>
              </w:rPr>
              <w:t xml:space="preserve">коло </w:t>
            </w:r>
            <w:r>
              <w:rPr>
                <w:color w:val="231F20"/>
                <w:sz w:val="14"/>
              </w:rPr>
              <w:t xml:space="preserve">предножно десном, </w:t>
            </w:r>
            <w:r>
              <w:rPr>
                <w:color w:val="231F20"/>
                <w:spacing w:val="-3"/>
                <w:sz w:val="14"/>
              </w:rPr>
              <w:t xml:space="preserve">коло </w:t>
            </w:r>
            <w:r>
              <w:rPr>
                <w:color w:val="231F20"/>
                <w:sz w:val="14"/>
              </w:rPr>
              <w:t>предножно</w:t>
            </w:r>
            <w:r>
              <w:rPr>
                <w:color w:val="231F20"/>
                <w:sz w:val="14"/>
              </w:rPr>
              <w:t xml:space="preserve"> </w:t>
            </w:r>
            <w:r>
              <w:rPr>
                <w:color w:val="231F20"/>
                <w:sz w:val="14"/>
              </w:rPr>
              <w:t>левом;</w:t>
            </w:r>
          </w:p>
          <w:p w:rsidR="00041039" w:rsidRDefault="001B26CB">
            <w:pPr>
              <w:pStyle w:val="TableParagraph"/>
              <w:tabs>
                <w:tab w:val="left" w:pos="163"/>
              </w:tabs>
              <w:ind w:left="162" w:right="178" w:hanging="105"/>
              <w:rPr>
                <w:sz w:val="14"/>
              </w:rPr>
            </w:pPr>
            <w:r>
              <w:rPr>
                <w:color w:val="231F20"/>
                <w:sz w:val="14"/>
              </w:rPr>
              <w:t xml:space="preserve">из упора стражњег </w:t>
            </w:r>
            <w:r>
              <w:rPr>
                <w:color w:val="231F20"/>
                <w:spacing w:val="-3"/>
                <w:sz w:val="14"/>
              </w:rPr>
              <w:t xml:space="preserve">коло </w:t>
            </w:r>
            <w:r>
              <w:rPr>
                <w:color w:val="231F20"/>
                <w:sz w:val="14"/>
              </w:rPr>
              <w:t xml:space="preserve">одножно десном, </w:t>
            </w:r>
            <w:r>
              <w:rPr>
                <w:color w:val="231F20"/>
                <w:spacing w:val="-3"/>
                <w:sz w:val="14"/>
              </w:rPr>
              <w:t xml:space="preserve">коло </w:t>
            </w:r>
            <w:r>
              <w:rPr>
                <w:color w:val="231F20"/>
                <w:sz w:val="14"/>
              </w:rPr>
              <w:t>одножно</w:t>
            </w:r>
            <w:r>
              <w:rPr>
                <w:color w:val="231F20"/>
                <w:sz w:val="14"/>
              </w:rPr>
              <w:t xml:space="preserve"> </w:t>
            </w:r>
            <w:r>
              <w:rPr>
                <w:color w:val="231F20"/>
                <w:sz w:val="14"/>
              </w:rPr>
              <w:t>левом.</w:t>
            </w:r>
          </w:p>
          <w:p w:rsidR="00041039" w:rsidRDefault="001B26CB">
            <w:pPr>
              <w:pStyle w:val="TableParagraph"/>
              <w:ind w:left="57" w:right="62"/>
              <w:rPr>
                <w:sz w:val="14"/>
              </w:rPr>
            </w:pPr>
            <w:r>
              <w:rPr>
                <w:b/>
                <w:color w:val="231F20"/>
                <w:sz w:val="14"/>
              </w:rPr>
              <w:t>Школско такмичење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55"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ученике: </w:t>
            </w:r>
            <w:r>
              <w:rPr>
                <w:color w:val="231F20"/>
                <w:sz w:val="14"/>
              </w:rPr>
              <w:t>наставни садр</w:t>
            </w:r>
            <w:r>
              <w:rPr>
                <w:color w:val="231F20"/>
                <w:sz w:val="14"/>
              </w:rPr>
              <w:t xml:space="preserve">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pacing w:val="-4"/>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tc>
        <w:tc>
          <w:tcPr>
            <w:tcW w:w="2267" w:type="dxa"/>
            <w:tcBorders>
              <w:bottom w:val="nil"/>
            </w:tcBorders>
          </w:tcPr>
          <w:p w:rsidR="00041039" w:rsidRDefault="001B26CB">
            <w:pPr>
              <w:pStyle w:val="TableParagraph"/>
              <w:spacing w:before="19"/>
              <w:ind w:left="57" w:right="10"/>
              <w:rPr>
                <w:sz w:val="14"/>
              </w:rPr>
            </w:pPr>
            <w:r>
              <w:rPr>
                <w:color w:val="231F20"/>
                <w:sz w:val="14"/>
              </w:rPr>
              <w:t>Школа организује и спроводи спортска такмичења, као јединстве­ ни део процеса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w:t>
            </w:r>
            <w:r>
              <w:rPr>
                <w:color w:val="231F20"/>
                <w:sz w:val="14"/>
              </w:rPr>
              <w:t>ара који доноси Министарство просве­ те науке и технолошког развоја.</w:t>
            </w:r>
          </w:p>
        </w:tc>
      </w:tr>
      <w:tr w:rsidR="00041039">
        <w:trPr>
          <w:trHeight w:val="2493"/>
        </w:trPr>
        <w:tc>
          <w:tcPr>
            <w:tcW w:w="1304" w:type="dxa"/>
            <w:tcBorders>
              <w:top w:val="nil"/>
            </w:tcBorders>
          </w:tcPr>
          <w:p w:rsidR="00041039" w:rsidRDefault="001B26CB">
            <w:pPr>
              <w:pStyle w:val="TableParagraph"/>
              <w:spacing w:before="73"/>
              <w:ind w:left="56" w:right="130"/>
              <w:rPr>
                <w:sz w:val="14"/>
              </w:rPr>
            </w:pPr>
            <w:r>
              <w:rPr>
                <w:color w:val="231F20"/>
                <w:sz w:val="14"/>
              </w:rPr>
              <w:t>Спортска игра (по избору)</w:t>
            </w:r>
          </w:p>
          <w:p w:rsidR="00041039" w:rsidRDefault="00041039">
            <w:pPr>
              <w:pStyle w:val="TableParagraph"/>
              <w:spacing w:before="8"/>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1B26CB">
            <w:pPr>
              <w:pStyle w:val="TableParagraph"/>
              <w:spacing w:before="71" w:line="161" w:lineRule="exact"/>
              <w:ind w:left="57"/>
              <w:rPr>
                <w:b/>
                <w:sz w:val="14"/>
              </w:rPr>
            </w:pPr>
            <w:r>
              <w:rPr>
                <w:b/>
                <w:color w:val="231F20"/>
                <w:sz w:val="14"/>
              </w:rPr>
              <w:t>СПОРТСКА ИГРА (по избору)</w:t>
            </w:r>
          </w:p>
          <w:p w:rsidR="00041039" w:rsidRDefault="001B26CB">
            <w:pPr>
              <w:pStyle w:val="TableParagraph"/>
              <w:tabs>
                <w:tab w:val="left" w:pos="163"/>
              </w:tabs>
              <w:ind w:left="162" w:right="156" w:hanging="105"/>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tabs>
                <w:tab w:val="left" w:pos="163"/>
              </w:tabs>
              <w:ind w:left="162" w:right="134" w:hanging="105"/>
              <w:rPr>
                <w:sz w:val="14"/>
              </w:rPr>
            </w:pPr>
            <w:r>
              <w:rPr>
                <w:color w:val="231F20"/>
                <w:sz w:val="14"/>
              </w:rPr>
              <w:t xml:space="preserve">Даље проширивање и продубљивање техничко ­ 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садржаје из спортске</w:t>
            </w:r>
            <w:r>
              <w:rPr>
                <w:color w:val="231F20"/>
                <w:spacing w:val="-7"/>
                <w:sz w:val="14"/>
              </w:rPr>
              <w:t xml:space="preserve"> </w:t>
            </w:r>
            <w:r>
              <w:rPr>
                <w:color w:val="231F20"/>
                <w:sz w:val="14"/>
              </w:rPr>
              <w:t>игре.</w:t>
            </w:r>
          </w:p>
          <w:p w:rsidR="00041039" w:rsidRDefault="001B26CB">
            <w:pPr>
              <w:pStyle w:val="TableParagraph"/>
              <w:tabs>
                <w:tab w:val="left" w:pos="157"/>
              </w:tabs>
              <w:spacing w:line="155" w:lineRule="exact"/>
              <w:ind w:hanging="99"/>
              <w:rPr>
                <w:sz w:val="14"/>
              </w:rPr>
            </w:pPr>
            <w:r>
              <w:rPr>
                <w:color w:val="231F20"/>
                <w:sz w:val="14"/>
              </w:rPr>
              <w:t>Стручно веће наставника физичког</w:t>
            </w:r>
            <w:r>
              <w:rPr>
                <w:color w:val="231F20"/>
                <w:spacing w:val="-6"/>
                <w:sz w:val="14"/>
              </w:rPr>
              <w:t xml:space="preserve"> </w:t>
            </w:r>
            <w:r>
              <w:rPr>
                <w:color w:val="231F20"/>
                <w:sz w:val="14"/>
              </w:rPr>
              <w:t>в</w:t>
            </w:r>
            <w:r>
              <w:rPr>
                <w:color w:val="231F20"/>
                <w:sz w:val="14"/>
              </w:rPr>
              <w:t>ас­</w:t>
            </w:r>
          </w:p>
          <w:p w:rsidR="00041039" w:rsidRDefault="001B26CB">
            <w:pPr>
              <w:pStyle w:val="TableParagraph"/>
              <w:ind w:right="84"/>
              <w:rPr>
                <w:sz w:val="14"/>
              </w:rPr>
            </w:pPr>
            <w:r>
              <w:rPr>
                <w:color w:val="231F20"/>
                <w:sz w:val="14"/>
              </w:rPr>
              <w:t>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tc>
        <w:tc>
          <w:tcPr>
            <w:tcW w:w="2267" w:type="dxa"/>
            <w:tcBorders>
              <w:top w:val="nil"/>
            </w:tcBorders>
          </w:tcPr>
          <w:p w:rsidR="00041039" w:rsidRDefault="00041039">
            <w:pPr>
              <w:pStyle w:val="TableParagraph"/>
              <w:ind w:left="0"/>
              <w:rPr>
                <w:sz w:val="14"/>
              </w:rPr>
            </w:pPr>
          </w:p>
        </w:tc>
      </w:tr>
    </w:tbl>
    <w:p w:rsidR="00041039" w:rsidRDefault="00041039">
      <w:pPr>
        <w:pStyle w:val="BodyText"/>
        <w:spacing w:before="7"/>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tabs>
                <w:tab w:val="left" w:pos="157"/>
              </w:tabs>
              <w:spacing w:before="8"/>
              <w:ind w:right="159" w:hanging="100"/>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tabs>
                <w:tab w:val="left" w:pos="157"/>
              </w:tabs>
              <w:spacing w:line="160" w:lineRule="exact"/>
              <w:ind w:right="336" w:hanging="100"/>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tcPr>
          <w:p w:rsidR="00041039" w:rsidRDefault="001B26CB">
            <w:pPr>
              <w:pStyle w:val="TableParagraph"/>
              <w:tabs>
                <w:tab w:val="left" w:pos="158"/>
              </w:tabs>
              <w:spacing w:before="9"/>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tabs>
                <w:tab w:val="left" w:pos="158"/>
              </w:tabs>
              <w:spacing w:line="156" w:lineRule="exact"/>
              <w:ind w:left="157"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цијео томе које вежбе позитивно утичу на статус њиховог органи­ зма, с обзиром на карактеристике њихове професије, а које негатив­ но утичу на здравље.</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1B26CB">
            <w:pPr>
              <w:pStyle w:val="TableParagraph"/>
              <w:spacing w:before="18"/>
              <w:ind w:left="56" w:right="99"/>
              <w:rPr>
                <w:sz w:val="14"/>
              </w:rPr>
            </w:pPr>
            <w:r>
              <w:rPr>
                <w:color w:val="231F20"/>
                <w:sz w:val="14"/>
              </w:rPr>
              <w:lastRenderedPageBreak/>
              <w:t>Развој моторичких и функционал­ н</w:t>
            </w:r>
            <w:r>
              <w:rPr>
                <w:color w:val="231F20"/>
                <w:sz w:val="14"/>
              </w:rPr>
              <w:t>их способности човека, као основа за реализовање по­ стављених циљева и</w:t>
            </w:r>
            <w:r>
              <w:rPr>
                <w:color w:val="231F20"/>
                <w:spacing w:val="-1"/>
                <w:sz w:val="14"/>
              </w:rPr>
              <w:t xml:space="preserve"> </w:t>
            </w:r>
            <w:r>
              <w:rPr>
                <w:color w:val="231F20"/>
                <w:spacing w:val="-3"/>
                <w:sz w:val="14"/>
              </w:rPr>
              <w:t>исхода</w:t>
            </w:r>
          </w:p>
        </w:tc>
        <w:tc>
          <w:tcPr>
            <w:tcW w:w="1587" w:type="dxa"/>
          </w:tcPr>
          <w:p w:rsidR="00041039" w:rsidRDefault="001B26CB">
            <w:pPr>
              <w:pStyle w:val="TableParagraph"/>
              <w:tabs>
                <w:tab w:val="left" w:pos="157"/>
              </w:tabs>
              <w:spacing w:before="8"/>
              <w:ind w:right="112" w:hanging="100"/>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tcPr>
          <w:p w:rsidR="00041039" w:rsidRDefault="001B26CB">
            <w:pPr>
              <w:pStyle w:val="TableParagraph"/>
              <w:tabs>
                <w:tab w:val="left" w:pos="157"/>
              </w:tabs>
              <w:spacing w:before="8"/>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rPr>
                <w:sz w:val="14"/>
              </w:rPr>
            </w:pPr>
            <w:r>
              <w:rPr>
                <w:color w:val="231F20"/>
                <w:sz w:val="14"/>
              </w:rPr>
              <w:t>и спортских игара за развој: снаге, бр</w:t>
            </w:r>
            <w:r>
              <w:rPr>
                <w:color w:val="231F20"/>
                <w:sz w:val="14"/>
              </w:rPr>
              <w:t>зине, издржљивости, гипкости, спретности и окретности;</w:t>
            </w:r>
          </w:p>
        </w:tc>
        <w:tc>
          <w:tcPr>
            <w:tcW w:w="2834" w:type="dxa"/>
          </w:tcPr>
          <w:p w:rsidR="00041039" w:rsidRDefault="001B26CB">
            <w:pPr>
              <w:pStyle w:val="TableParagraph"/>
              <w:tabs>
                <w:tab w:val="left" w:pos="157"/>
              </w:tabs>
              <w:spacing w:before="8"/>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tabs>
                <w:tab w:val="left" w:pos="157"/>
              </w:tabs>
              <w:spacing w:line="160" w:lineRule="exact"/>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tabs>
                <w:tab w:val="left" w:pos="157"/>
              </w:tabs>
              <w:spacing w:line="153" w:lineRule="exact"/>
              <w:ind w:hanging="99"/>
              <w:rPr>
                <w:sz w:val="14"/>
              </w:rPr>
            </w:pPr>
            <w:r>
              <w:rPr>
                <w:color w:val="231F20"/>
                <w:sz w:val="14"/>
              </w:rPr>
              <w:t>Аеробик.</w:t>
            </w:r>
          </w:p>
          <w:p w:rsidR="00041039" w:rsidRDefault="001B26CB">
            <w:pPr>
              <w:pStyle w:val="TableParagraph"/>
              <w:tabs>
                <w:tab w:val="left" w:pos="157"/>
              </w:tabs>
              <w:spacing w:line="166"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val="restart"/>
          </w:tcPr>
          <w:p w:rsidR="00041039" w:rsidRDefault="001B26CB">
            <w:pPr>
              <w:pStyle w:val="TableParagraph"/>
              <w:tabs>
                <w:tab w:val="left" w:pos="158"/>
              </w:tabs>
              <w:spacing w:before="8"/>
              <w:ind w:left="157" w:right="278" w:hanging="99"/>
              <w:rPr>
                <w:sz w:val="14"/>
              </w:rPr>
            </w:pPr>
            <w:r>
              <w:rPr>
                <w:color w:val="231F20"/>
                <w:sz w:val="14"/>
              </w:rPr>
              <w:t xml:space="preserve">Ученици који похађају чет­ ворогодишње стручне </w:t>
            </w:r>
            <w:r>
              <w:rPr>
                <w:color w:val="231F20"/>
                <w:spacing w:val="-3"/>
                <w:sz w:val="14"/>
              </w:rPr>
              <w:t xml:space="preserve">школе </w:t>
            </w:r>
            <w:r>
              <w:rPr>
                <w:color w:val="231F20"/>
                <w:sz w:val="14"/>
              </w:rPr>
              <w:t>далеко су више оптерећени у редовном образовању прак­ тичном и теоријском</w:t>
            </w:r>
            <w:r>
              <w:rPr>
                <w:color w:val="231F20"/>
                <w:spacing w:val="-20"/>
                <w:sz w:val="14"/>
              </w:rPr>
              <w:t xml:space="preserve"> </w:t>
            </w:r>
            <w:r>
              <w:rPr>
                <w:color w:val="231F20"/>
                <w:sz w:val="14"/>
              </w:rPr>
              <w:t xml:space="preserve">наставом </w:t>
            </w:r>
            <w:r>
              <w:rPr>
                <w:color w:val="231F20"/>
                <w:spacing w:val="-3"/>
                <w:sz w:val="14"/>
              </w:rPr>
              <w:t xml:space="preserve">од </w:t>
            </w:r>
            <w:r>
              <w:rPr>
                <w:color w:val="231F20"/>
                <w:sz w:val="14"/>
              </w:rPr>
              <w:t>осталих ученика. Због тога је физич</w:t>
            </w:r>
            <w:r>
              <w:rPr>
                <w:color w:val="231F20"/>
                <w:sz w:val="14"/>
              </w:rPr>
              <w:t>ко васпитање, у овим школама, значајно за</w:t>
            </w:r>
            <w:r>
              <w:rPr>
                <w:color w:val="231F20"/>
                <w:spacing w:val="-16"/>
                <w:sz w:val="14"/>
              </w:rPr>
              <w:t xml:space="preserve"> </w:t>
            </w:r>
            <w:r>
              <w:rPr>
                <w:color w:val="231F20"/>
                <w:sz w:val="14"/>
              </w:rPr>
              <w:t>активан</w:t>
            </w:r>
          </w:p>
          <w:p w:rsidR="00041039" w:rsidRDefault="001B26CB">
            <w:pPr>
              <w:pStyle w:val="TableParagraph"/>
              <w:spacing w:line="237" w:lineRule="auto"/>
              <w:ind w:left="157" w:right="18"/>
              <w:rPr>
                <w:sz w:val="14"/>
              </w:rPr>
            </w:pPr>
            <w:r>
              <w:rPr>
                <w:color w:val="231F20"/>
                <w:sz w:val="14"/>
              </w:rPr>
              <w:t>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w:t>
            </w:r>
            <w:r>
              <w:rPr>
                <w:color w:val="231F20"/>
                <w:sz w:val="14"/>
              </w:rPr>
              <w:t>жбама.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tabs>
                <w:tab w:val="left" w:pos="158"/>
              </w:tabs>
              <w:spacing w:line="154" w:lineRule="exact"/>
              <w:ind w:left="157"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tabs>
                <w:tab w:val="left" w:pos="158"/>
              </w:tabs>
              <w:spacing w:line="160" w:lineRule="exact"/>
              <w:ind w:left="157" w:hanging="99"/>
              <w:rPr>
                <w:b/>
                <w:sz w:val="14"/>
              </w:rPr>
            </w:pPr>
            <w:r>
              <w:rPr>
                <w:color w:val="231F20"/>
                <w:sz w:val="14"/>
              </w:rPr>
              <w:t xml:space="preserve">мерење и тестирање </w:t>
            </w:r>
            <w:r>
              <w:rPr>
                <w:b/>
                <w:color w:val="231F20"/>
                <w:sz w:val="14"/>
              </w:rPr>
              <w:t>(6</w:t>
            </w:r>
            <w:r>
              <w:rPr>
                <w:b/>
                <w:color w:val="231F20"/>
                <w:spacing w:val="-4"/>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z w:val="14"/>
              </w:rPr>
              <w:t xml:space="preserve">практична настава </w:t>
            </w:r>
            <w:r>
              <w:rPr>
                <w:b/>
                <w:color w:val="231F20"/>
                <w:sz w:val="14"/>
              </w:rPr>
              <w:t>(54</w:t>
            </w:r>
            <w:r>
              <w:rPr>
                <w:b/>
                <w:color w:val="231F20"/>
                <w:spacing w:val="-6"/>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ight="382"/>
              <w:rPr>
                <w:sz w:val="14"/>
              </w:rPr>
            </w:pPr>
            <w:r>
              <w:rPr>
                <w:b/>
                <w:color w:val="231F20"/>
                <w:sz w:val="14"/>
              </w:rPr>
              <w:t xml:space="preserve">Подела одељења на групе </w:t>
            </w:r>
            <w:r>
              <w:rPr>
                <w:color w:val="231F20"/>
                <w:sz w:val="14"/>
              </w:rPr>
              <w:t>Настава се изводи фронтално и по групама, у зависности од</w:t>
            </w:r>
          </w:p>
          <w:p w:rsidR="00041039" w:rsidRDefault="001B26CB">
            <w:pPr>
              <w:pStyle w:val="TableParagraph"/>
              <w:spacing w:line="237" w:lineRule="auto"/>
              <w:ind w:left="58"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дуалан.</w:t>
            </w:r>
          </w:p>
          <w:p w:rsidR="00041039" w:rsidRDefault="00041039">
            <w:pPr>
              <w:pStyle w:val="TableParagraph"/>
              <w:spacing w:before="10"/>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7" w:lineRule="auto"/>
              <w:ind w:left="157"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tabs>
                <w:tab w:val="left" w:pos="158"/>
              </w:tabs>
              <w:spacing w:line="237" w:lineRule="auto"/>
              <w:ind w:left="157" w:right="101" w:hanging="99"/>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10"/>
              <w:ind w:left="0"/>
              <w:rPr>
                <w:b/>
                <w:sz w:val="12"/>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tabs>
                <w:tab w:val="left" w:pos="158"/>
              </w:tabs>
              <w:spacing w:before="1" w:line="160" w:lineRule="exact"/>
              <w:ind w:left="157" w:right="74" w:hanging="99"/>
              <w:rPr>
                <w:sz w:val="14"/>
              </w:rPr>
            </w:pPr>
            <w:r>
              <w:rPr>
                <w:color w:val="231F20"/>
                <w:sz w:val="14"/>
              </w:rPr>
              <w:t xml:space="preserve">Настава се реализује у циклусима који трају приближно 10­12 часова (узастопних). Наставнику </w:t>
            </w:r>
            <w:r>
              <w:rPr>
                <w:color w:val="231F20"/>
                <w:sz w:val="14"/>
              </w:rPr>
              <w:t>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Садржај циклуса је:</w:t>
            </w:r>
          </w:p>
          <w:p w:rsidR="00041039" w:rsidRDefault="001B26CB">
            <w:pPr>
              <w:pStyle w:val="TableParagraph"/>
              <w:tabs>
                <w:tab w:val="left" w:pos="164"/>
              </w:tabs>
              <w:ind w:left="163" w:right="169" w:hanging="105"/>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tabs>
                <w:tab w:val="left" w:pos="164"/>
              </w:tabs>
              <w:spacing w:line="159" w:lineRule="exact"/>
              <w:ind w:left="163" w:hanging="105"/>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tabs>
                <w:tab w:val="left" w:pos="164"/>
              </w:tabs>
              <w:ind w:left="163" w:right="68" w:hanging="105"/>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tabs>
                <w:tab w:val="left" w:pos="164"/>
              </w:tabs>
              <w:spacing w:line="159" w:lineRule="exact"/>
              <w:ind w:left="163" w:hanging="105"/>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tabs>
                <w:tab w:val="left" w:pos="164"/>
              </w:tabs>
              <w:ind w:left="163" w:right="124" w:hanging="105"/>
              <w:rPr>
                <w:sz w:val="14"/>
              </w:rPr>
            </w:pPr>
            <w:r>
              <w:rPr>
                <w:color w:val="231F20"/>
                <w:sz w:val="14"/>
              </w:rPr>
              <w:t>за повезивање физичког васпи­ тања са животом и радом ­</w:t>
            </w:r>
            <w:r>
              <w:rPr>
                <w:color w:val="231F20"/>
                <w:spacing w:val="-13"/>
                <w:sz w:val="14"/>
              </w:rPr>
              <w:t xml:space="preserve"> </w:t>
            </w:r>
            <w:r>
              <w:rPr>
                <w:color w:val="231F20"/>
                <w:sz w:val="14"/>
              </w:rPr>
              <w:t>један.</w:t>
            </w:r>
          </w:p>
          <w:p w:rsidR="00041039" w:rsidRDefault="00041039">
            <w:pPr>
              <w:pStyle w:val="TableParagraph"/>
              <w:spacing w:before="6"/>
              <w:ind w:left="0"/>
              <w:rPr>
                <w:b/>
                <w:sz w:val="13"/>
              </w:rPr>
            </w:pPr>
          </w:p>
          <w:p w:rsidR="00041039" w:rsidRDefault="001B26CB">
            <w:pPr>
              <w:pStyle w:val="TableParagraph"/>
              <w:spacing w:before="1"/>
              <w:ind w:left="58"/>
              <w:rPr>
                <w:sz w:val="14"/>
              </w:rPr>
            </w:pPr>
            <w:r>
              <w:rPr>
                <w:b/>
                <w:color w:val="231F20"/>
                <w:sz w:val="14"/>
              </w:rPr>
              <w:t xml:space="preserve">Начин остваривања програма </w:t>
            </w:r>
            <w:r>
              <w:rPr>
                <w:color w:val="231F20"/>
                <w:sz w:val="14"/>
              </w:rPr>
              <w:t>Садржаји програма усмерени суна: развијање физичких способности; спортско­техничко образовање; повезивање ф</w:t>
            </w:r>
            <w:r>
              <w:rPr>
                <w:color w:val="231F20"/>
                <w:sz w:val="14"/>
              </w:rPr>
              <w:t>изичког васпитања са животом и радом.</w:t>
            </w:r>
          </w:p>
          <w:p w:rsidR="00041039" w:rsidRDefault="001B26CB">
            <w:pPr>
              <w:pStyle w:val="TableParagraph"/>
              <w:spacing w:line="237" w:lineRule="auto"/>
              <w:ind w:left="58"/>
              <w:rPr>
                <w:sz w:val="14"/>
              </w:rPr>
            </w:pPr>
            <w:r>
              <w:rPr>
                <w:color w:val="231F20"/>
                <w:sz w:val="14"/>
              </w:rPr>
              <w:t>Годишњи план, програм и распоред кросева, такмичења, зимовања</w:t>
            </w:r>
          </w:p>
          <w:p w:rsidR="00041039" w:rsidRDefault="001B26CB">
            <w:pPr>
              <w:pStyle w:val="TableParagraph"/>
              <w:ind w:left="58" w:right="252"/>
              <w:rPr>
                <w:sz w:val="14"/>
              </w:rPr>
            </w:pPr>
            <w:r>
              <w:rPr>
                <w:color w:val="231F20"/>
                <w:sz w:val="14"/>
              </w:rPr>
              <w:t xml:space="preserve">и других облика рада утврђује се на почетку </w:t>
            </w:r>
            <w:r>
              <w:rPr>
                <w:color w:val="231F20"/>
                <w:spacing w:val="-3"/>
                <w:sz w:val="14"/>
              </w:rPr>
              <w:t xml:space="preserve">школске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7" w:lineRule="auto"/>
              <w:ind w:left="58"/>
              <w:rPr>
                <w:sz w:val="14"/>
              </w:rPr>
            </w:pPr>
            <w:r>
              <w:rPr>
                <w:color w:val="231F20"/>
                <w:sz w:val="14"/>
              </w:rPr>
              <w:t>стручног већа наставника физичког васпитања.</w:t>
            </w:r>
          </w:p>
          <w:p w:rsidR="00041039" w:rsidRDefault="001B26CB">
            <w:pPr>
              <w:pStyle w:val="TableParagraph"/>
              <w:ind w:left="58"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7" w:lineRule="auto"/>
              <w:ind w:left="58" w:right="39"/>
              <w:rPr>
                <w:sz w:val="14"/>
              </w:rPr>
            </w:pPr>
            <w:r>
              <w:rPr>
                <w:color w:val="231F20"/>
                <w:sz w:val="14"/>
              </w:rPr>
              <w:t xml:space="preserve">Часови у току недеље треба да буду распоређени у једнаким интерва­ лима, </w:t>
            </w:r>
            <w:r>
              <w:rPr>
                <w:b/>
                <w:color w:val="231F20"/>
                <w:sz w:val="14"/>
              </w:rPr>
              <w:t xml:space="preserve">не могу се одржавати као блок часови. </w:t>
            </w:r>
            <w:r>
              <w:rPr>
                <w:color w:val="231F20"/>
                <w:sz w:val="14"/>
              </w:rPr>
              <w:t>Настава се не може одржав</w:t>
            </w:r>
            <w:r>
              <w:rPr>
                <w:color w:val="231F20"/>
                <w:sz w:val="14"/>
              </w:rPr>
              <w:t xml:space="preserve">ати </w:t>
            </w:r>
            <w:r>
              <w:rPr>
                <w:b/>
                <w:color w:val="231F20"/>
                <w:sz w:val="14"/>
              </w:rPr>
              <w:t xml:space="preserve">истовремено са два одељења </w:t>
            </w:r>
            <w:r>
              <w:rPr>
                <w:color w:val="231F20"/>
                <w:sz w:val="14"/>
              </w:rPr>
              <w:t>ни на спортском терену ни у фискултурној сали.</w:t>
            </w:r>
          </w:p>
        </w:tc>
      </w:tr>
      <w:tr w:rsidR="00041039">
        <w:trPr>
          <w:trHeight w:val="2979"/>
        </w:trPr>
        <w:tc>
          <w:tcPr>
            <w:tcW w:w="1304" w:type="dxa"/>
            <w:tcBorders>
              <w:bottom w:val="nil"/>
            </w:tcBorders>
          </w:tcPr>
          <w:p w:rsidR="00041039" w:rsidRDefault="001B26CB">
            <w:pPr>
              <w:pStyle w:val="TableParagraph"/>
              <w:spacing w:before="20"/>
              <w:ind w:left="56" w:right="77"/>
              <w:rPr>
                <w:sz w:val="14"/>
              </w:rPr>
            </w:pPr>
            <w:r>
              <w:rPr>
                <w:color w:val="231F20"/>
                <w:sz w:val="14"/>
              </w:rPr>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4"/>
              <w:ind w:left="0"/>
              <w:rPr>
                <w:b/>
                <w:sz w:val="13"/>
              </w:rPr>
            </w:pPr>
          </w:p>
          <w:p w:rsidR="00041039" w:rsidRDefault="001B26CB">
            <w:pPr>
              <w:pStyle w:val="TableParagraph"/>
              <w:ind w:left="56" w:right="72"/>
              <w:rPr>
                <w:sz w:val="14"/>
              </w:rPr>
            </w:pPr>
            <w:r>
              <w:rPr>
                <w:color w:val="231F20"/>
                <w:sz w:val="14"/>
              </w:rPr>
              <w:t>Програм по избору ученика:</w:t>
            </w:r>
          </w:p>
          <w:p w:rsidR="00041039" w:rsidRDefault="001B26CB">
            <w:pPr>
              <w:pStyle w:val="TableParagraph"/>
              <w:ind w:left="56" w:right="138"/>
              <w:rPr>
                <w:sz w:val="14"/>
              </w:rPr>
            </w:pPr>
            <w:r>
              <w:rPr>
                <w:color w:val="231F20"/>
                <w:sz w:val="14"/>
              </w:rPr>
              <w:t>Ритмичка гимнас­ тика и народни плесови</w:t>
            </w:r>
          </w:p>
        </w:tc>
        <w:tc>
          <w:tcPr>
            <w:tcW w:w="1587" w:type="dxa"/>
            <w:vMerge w:val="restart"/>
          </w:tcPr>
          <w:p w:rsidR="00041039" w:rsidRDefault="001B26CB">
            <w:pPr>
              <w:pStyle w:val="TableParagraph"/>
              <w:tabs>
                <w:tab w:val="left" w:pos="157"/>
              </w:tabs>
              <w:spacing w:before="10"/>
              <w:ind w:right="81" w:hanging="100"/>
              <w:rPr>
                <w:sz w:val="14"/>
              </w:rPr>
            </w:pPr>
            <w:r>
              <w:rPr>
                <w:color w:val="231F20"/>
                <w:sz w:val="14"/>
              </w:rPr>
              <w:t>Стицање моторичких умења (вештина) и теоријских знања неопходних за</w:t>
            </w:r>
            <w:r>
              <w:rPr>
                <w:color w:val="231F20"/>
                <w:spacing w:val="-22"/>
                <w:sz w:val="14"/>
              </w:rPr>
              <w:t xml:space="preserve"> </w:t>
            </w:r>
            <w:r>
              <w:rPr>
                <w:color w:val="231F20"/>
                <w:sz w:val="14"/>
              </w:rPr>
              <w:t>њихово усвајање.</w:t>
            </w:r>
          </w:p>
          <w:p w:rsidR="00041039" w:rsidRDefault="001B26CB">
            <w:pPr>
              <w:pStyle w:val="TableParagraph"/>
              <w:tabs>
                <w:tab w:val="left" w:pos="157"/>
              </w:tabs>
              <w:spacing w:line="155" w:lineRule="exact"/>
              <w:ind w:hanging="100"/>
              <w:rPr>
                <w:sz w:val="14"/>
              </w:rPr>
            </w:pPr>
            <w:r>
              <w:rPr>
                <w:color w:val="231F20"/>
                <w:sz w:val="14"/>
              </w:rPr>
              <w:t>Мотивација ученика</w:t>
            </w:r>
            <w:r>
              <w:rPr>
                <w:color w:val="231F20"/>
                <w:spacing w:val="-8"/>
                <w:sz w:val="14"/>
              </w:rPr>
              <w:t xml:space="preserve"> </w:t>
            </w:r>
            <w:r>
              <w:rPr>
                <w:color w:val="231F20"/>
                <w:sz w:val="14"/>
              </w:rPr>
              <w:t>за</w:t>
            </w:r>
          </w:p>
          <w:p w:rsidR="00041039" w:rsidRDefault="001B26CB">
            <w:pPr>
              <w:pStyle w:val="TableParagraph"/>
              <w:ind w:right="152"/>
              <w:rPr>
                <w:sz w:val="14"/>
              </w:rPr>
            </w:pPr>
            <w:r>
              <w:rPr>
                <w:color w:val="231F20"/>
                <w:sz w:val="14"/>
              </w:rPr>
              <w:t>бављењем физичким активностима.</w:t>
            </w:r>
          </w:p>
          <w:p w:rsidR="00041039" w:rsidRDefault="001B26CB">
            <w:pPr>
              <w:pStyle w:val="TableParagraph"/>
              <w:tabs>
                <w:tab w:val="left" w:pos="157"/>
              </w:tabs>
              <w:spacing w:line="160" w:lineRule="exact"/>
              <w:ind w:right="108" w:hanging="100"/>
              <w:rPr>
                <w:sz w:val="14"/>
              </w:rPr>
            </w:pPr>
            <w:r>
              <w:rPr>
                <w:color w:val="231F20"/>
                <w:sz w:val="14"/>
              </w:rPr>
              <w:t>Формирање позитив­ них психо</w:t>
            </w:r>
            <w:r>
              <w:rPr>
                <w:color w:val="231F20"/>
                <w:spacing w:val="-13"/>
                <w:sz w:val="14"/>
              </w:rPr>
              <w:t xml:space="preserve"> </w:t>
            </w:r>
            <w:r>
              <w:rPr>
                <w:color w:val="231F20"/>
                <w:sz w:val="14"/>
              </w:rPr>
              <w:t>социјалних образаца</w:t>
            </w:r>
            <w:r>
              <w:rPr>
                <w:color w:val="231F20"/>
                <w:spacing w:val="-3"/>
                <w:sz w:val="14"/>
              </w:rPr>
              <w:t xml:space="preserve"> </w:t>
            </w:r>
            <w:r>
              <w:rPr>
                <w:color w:val="231F20"/>
                <w:sz w:val="14"/>
              </w:rPr>
              <w:t>понашања.</w:t>
            </w:r>
          </w:p>
          <w:p w:rsidR="00041039" w:rsidRDefault="001B26CB">
            <w:pPr>
              <w:pStyle w:val="TableParagraph"/>
              <w:tabs>
                <w:tab w:val="left" w:pos="157"/>
              </w:tabs>
              <w:spacing w:line="160" w:lineRule="exact"/>
              <w:ind w:right="59" w:hanging="100"/>
              <w:rPr>
                <w:sz w:val="14"/>
              </w:rPr>
            </w:pPr>
            <w:r>
              <w:rPr>
                <w:color w:val="231F20"/>
                <w:sz w:val="14"/>
              </w:rPr>
              <w:t>Примена стечених у</w:t>
            </w:r>
            <w:r>
              <w:rPr>
                <w:color w:val="231F20"/>
                <w:sz w:val="14"/>
              </w:rPr>
              <w:t>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tabs>
                <w:tab w:val="left" w:pos="157"/>
              </w:tabs>
              <w:spacing w:line="160" w:lineRule="exact"/>
              <w:ind w:right="145" w:hanging="100"/>
              <w:rPr>
                <w:sz w:val="14"/>
              </w:rPr>
            </w:pPr>
            <w:r>
              <w:rPr>
                <w:color w:val="231F20"/>
                <w:sz w:val="14"/>
              </w:rPr>
              <w:t>Естетско</w:t>
            </w:r>
            <w:r>
              <w:rPr>
                <w:color w:val="231F20"/>
                <w:spacing w:val="-12"/>
                <w:sz w:val="14"/>
              </w:rPr>
              <w:t xml:space="preserve"> </w:t>
            </w:r>
            <w:r>
              <w:rPr>
                <w:color w:val="231F20"/>
                <w:sz w:val="14"/>
              </w:rPr>
              <w:t>изражавање покретом и доживљавање естетских вредности покрета и</w:t>
            </w:r>
            <w:r>
              <w:rPr>
                <w:color w:val="231F20"/>
                <w:spacing w:val="-2"/>
                <w:sz w:val="14"/>
              </w:rPr>
              <w:t xml:space="preserve"> </w:t>
            </w:r>
            <w:r>
              <w:rPr>
                <w:color w:val="231F20"/>
                <w:sz w:val="14"/>
              </w:rPr>
              <w:t>кретања.</w:t>
            </w:r>
          </w:p>
          <w:p w:rsidR="00041039" w:rsidRDefault="001B26CB">
            <w:pPr>
              <w:pStyle w:val="TableParagraph"/>
              <w:tabs>
                <w:tab w:val="left" w:pos="157"/>
              </w:tabs>
              <w:spacing w:before="1" w:line="160" w:lineRule="exact"/>
              <w:ind w:right="481" w:hanging="100"/>
              <w:rPr>
                <w:sz w:val="14"/>
              </w:rPr>
            </w:pPr>
            <w:r>
              <w:rPr>
                <w:color w:val="231F20"/>
                <w:spacing w:val="-3"/>
                <w:sz w:val="14"/>
              </w:rPr>
              <w:t xml:space="preserve">Усвајање </w:t>
            </w:r>
            <w:r>
              <w:rPr>
                <w:color w:val="231F20"/>
                <w:sz w:val="14"/>
              </w:rPr>
              <w:t>етич­ ких</w:t>
            </w:r>
            <w:r>
              <w:rPr>
                <w:color w:val="231F20"/>
                <w:spacing w:val="-1"/>
                <w:sz w:val="14"/>
              </w:rPr>
              <w:t xml:space="preserve"> </w:t>
            </w:r>
            <w:r>
              <w:rPr>
                <w:color w:val="231F20"/>
                <w:sz w:val="14"/>
              </w:rPr>
              <w:t>вредностии</w:t>
            </w:r>
          </w:p>
          <w:p w:rsidR="00041039" w:rsidRDefault="001B26CB">
            <w:pPr>
              <w:pStyle w:val="TableParagraph"/>
              <w:spacing w:line="237" w:lineRule="auto"/>
              <w:ind w:right="15"/>
              <w:rPr>
                <w:sz w:val="14"/>
              </w:rPr>
            </w:pPr>
            <w:r>
              <w:rPr>
                <w:color w:val="231F20"/>
                <w:sz w:val="14"/>
              </w:rPr>
              <w:t>подстицањевољних особина ученика.</w:t>
            </w:r>
          </w:p>
          <w:p w:rsidR="00041039" w:rsidRDefault="001B26CB">
            <w:pPr>
              <w:pStyle w:val="TableParagraph"/>
              <w:tabs>
                <w:tab w:val="left" w:pos="157"/>
              </w:tabs>
              <w:spacing w:line="237" w:lineRule="auto"/>
              <w:ind w:right="76" w:hanging="100"/>
              <w:rPr>
                <w:sz w:val="14"/>
              </w:rPr>
            </w:pPr>
            <w:r>
              <w:rPr>
                <w:color w:val="231F20"/>
                <w:sz w:val="14"/>
              </w:rPr>
              <w:t>Повезивање моторич­ ких задатака у</w:t>
            </w:r>
            <w:r>
              <w:rPr>
                <w:color w:val="231F20"/>
                <w:spacing w:val="-14"/>
                <w:sz w:val="14"/>
              </w:rPr>
              <w:t xml:space="preserve"> </w:t>
            </w:r>
            <w:r>
              <w:rPr>
                <w:color w:val="231F20"/>
                <w:sz w:val="14"/>
              </w:rPr>
              <w:t>целине.</w:t>
            </w:r>
          </w:p>
          <w:p w:rsidR="00041039" w:rsidRDefault="001B26CB">
            <w:pPr>
              <w:pStyle w:val="TableParagraph"/>
              <w:tabs>
                <w:tab w:val="left" w:pos="157"/>
              </w:tabs>
              <w:spacing w:line="160" w:lineRule="exact"/>
              <w:ind w:right="89" w:hanging="100"/>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 рете и</w:t>
            </w:r>
            <w:r>
              <w:rPr>
                <w:color w:val="231F20"/>
                <w:sz w:val="14"/>
              </w:rPr>
              <w:t xml:space="preserve"> </w:t>
            </w:r>
            <w:r>
              <w:rPr>
                <w:color w:val="231F20"/>
                <w:sz w:val="14"/>
              </w:rPr>
              <w:t>манифестације.</w:t>
            </w:r>
          </w:p>
          <w:p w:rsidR="00041039" w:rsidRDefault="001B26CB">
            <w:pPr>
              <w:pStyle w:val="TableParagraph"/>
              <w:tabs>
                <w:tab w:val="left" w:pos="157"/>
              </w:tabs>
              <w:spacing w:line="160" w:lineRule="exact"/>
              <w:ind w:right="80" w:hanging="100"/>
              <w:rPr>
                <w:sz w:val="14"/>
              </w:rPr>
            </w:pPr>
            <w:r>
              <w:rPr>
                <w:color w:val="231F20"/>
                <w:sz w:val="14"/>
              </w:rPr>
              <w:t>Развијање елемената ритма у</w:t>
            </w:r>
            <w:r>
              <w:rPr>
                <w:color w:val="231F20"/>
                <w:spacing w:val="-10"/>
                <w:sz w:val="14"/>
              </w:rPr>
              <w:t xml:space="preserve"> </w:t>
            </w:r>
            <w:r>
              <w:rPr>
                <w:color w:val="231F20"/>
                <w:sz w:val="14"/>
              </w:rPr>
              <w:t>препознавању целина: рад­</w:t>
            </w:r>
            <w:r>
              <w:rPr>
                <w:color w:val="231F20"/>
                <w:spacing w:val="-3"/>
                <w:sz w:val="14"/>
              </w:rPr>
              <w:t xml:space="preserve"> </w:t>
            </w:r>
            <w:r>
              <w:rPr>
                <w:color w:val="231F20"/>
                <w:sz w:val="14"/>
              </w:rPr>
              <w:t>од­</w:t>
            </w:r>
          </w:p>
          <w:p w:rsidR="00041039" w:rsidRDefault="001B26CB">
            <w:pPr>
              <w:pStyle w:val="TableParagraph"/>
              <w:spacing w:line="237" w:lineRule="auto"/>
              <w:ind w:right="15"/>
              <w:rPr>
                <w:sz w:val="14"/>
              </w:rPr>
            </w:pPr>
            <w:r>
              <w:rPr>
                <w:color w:val="231F20"/>
                <w:sz w:val="14"/>
              </w:rPr>
              <w:t>мор, напрезање­ релаксација. Убрзање­ успоравање.</w:t>
            </w:r>
          </w:p>
          <w:p w:rsidR="00041039" w:rsidRDefault="001B26CB">
            <w:pPr>
              <w:pStyle w:val="TableParagraph"/>
              <w:tabs>
                <w:tab w:val="left" w:pos="157"/>
              </w:tabs>
              <w:spacing w:line="237" w:lineRule="auto"/>
              <w:ind w:right="58" w:hanging="100"/>
              <w:rPr>
                <w:sz w:val="14"/>
              </w:rPr>
            </w:pPr>
            <w:r>
              <w:rPr>
                <w:color w:val="231F20"/>
                <w:sz w:val="14"/>
              </w:rPr>
              <w:t>Избор спортова, односно спортско­ рекреативних</w:t>
            </w:r>
            <w:r>
              <w:rPr>
                <w:color w:val="231F20"/>
                <w:sz w:val="14"/>
              </w:rPr>
              <w:t xml:space="preserve"> или других кретних активности као трајног опредељења за њихово свакодневно упражњавање.</w:t>
            </w:r>
          </w:p>
        </w:tc>
        <w:tc>
          <w:tcPr>
            <w:tcW w:w="2551" w:type="dxa"/>
            <w:vMerge w:val="restart"/>
          </w:tcPr>
          <w:p w:rsidR="00041039" w:rsidRDefault="001B26CB">
            <w:pPr>
              <w:pStyle w:val="TableParagraph"/>
              <w:tabs>
                <w:tab w:val="left" w:pos="157"/>
              </w:tabs>
              <w:spacing w:before="11"/>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tabs>
                <w:tab w:val="left" w:pos="157"/>
              </w:tabs>
              <w:spacing w:line="156" w:lineRule="exact"/>
              <w:ind w:hanging="99"/>
              <w:rPr>
                <w:sz w:val="14"/>
              </w:rPr>
            </w:pPr>
            <w:r>
              <w:rPr>
                <w:color w:val="231F20"/>
                <w:sz w:val="14"/>
              </w:rPr>
              <w:t>демонстрира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 за коју школа има у</w:t>
            </w:r>
            <w:r>
              <w:rPr>
                <w:color w:val="231F20"/>
                <w:sz w:val="14"/>
              </w:rPr>
              <w:t>слове;</w:t>
            </w:r>
          </w:p>
          <w:p w:rsidR="00041039" w:rsidRDefault="001B26CB">
            <w:pPr>
              <w:pStyle w:val="TableParagraph"/>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контактима;</w:t>
            </w:r>
          </w:p>
          <w:p w:rsidR="00041039" w:rsidRDefault="001B26CB">
            <w:pPr>
              <w:pStyle w:val="TableParagraph"/>
              <w:tabs>
                <w:tab w:val="left" w:pos="157"/>
              </w:tabs>
              <w:spacing w:line="237" w:lineRule="auto"/>
              <w:ind w:right="190" w:hanging="99"/>
              <w:rPr>
                <w:sz w:val="14"/>
              </w:rPr>
            </w:pPr>
            <w:r>
              <w:rPr>
                <w:color w:val="231F20"/>
                <w:sz w:val="14"/>
              </w:rPr>
              <w:t>доводи у везу свакодневни живот и способност за учење</w:t>
            </w:r>
            <w:r>
              <w:rPr>
                <w:color w:val="231F20"/>
                <w:sz w:val="14"/>
              </w:rPr>
              <w:t xml:space="preserve">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tabs>
                <w:tab w:val="left" w:pos="157"/>
              </w:tabs>
              <w:spacing w:line="237" w:lineRule="auto"/>
              <w:ind w:right="291" w:hanging="99"/>
              <w:rPr>
                <w:sz w:val="14"/>
              </w:rPr>
            </w:pPr>
            <w:r>
              <w:rPr>
                <w:color w:val="231F20"/>
                <w:sz w:val="14"/>
              </w:rPr>
              <w:t>самостално бира физичку,</w:t>
            </w:r>
            <w:r>
              <w:rPr>
                <w:color w:val="231F20"/>
                <w:spacing w:val="-14"/>
                <w:sz w:val="14"/>
              </w:rPr>
              <w:t xml:space="preserve"> </w:t>
            </w:r>
            <w:r>
              <w:rPr>
                <w:color w:val="231F20"/>
                <w:sz w:val="14"/>
              </w:rPr>
              <w:t xml:space="preserve">односно спортску активност и изводи је у окружењу у </w:t>
            </w:r>
            <w:r>
              <w:rPr>
                <w:color w:val="231F20"/>
                <w:spacing w:val="-3"/>
                <w:sz w:val="14"/>
              </w:rPr>
              <w:t>коме</w:t>
            </w:r>
            <w:r>
              <w:rPr>
                <w:color w:val="231F20"/>
                <w:spacing w:val="-1"/>
                <w:sz w:val="14"/>
              </w:rPr>
              <w:t xml:space="preserve"> </w:t>
            </w:r>
            <w:r>
              <w:rPr>
                <w:color w:val="231F20"/>
                <w:sz w:val="14"/>
              </w:rPr>
              <w:t>живи;</w:t>
            </w:r>
          </w:p>
          <w:p w:rsidR="00041039" w:rsidRDefault="001B26CB">
            <w:pPr>
              <w:pStyle w:val="TableParagraph"/>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w:t>
            </w:r>
            <w:r>
              <w:rPr>
                <w:color w:val="231F20"/>
                <w:sz w:val="14"/>
              </w:rPr>
              <w:t>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tabs>
                <w:tab w:val="left" w:pos="157"/>
              </w:tabs>
              <w:spacing w:line="237" w:lineRule="auto"/>
              <w:ind w:right="171" w:hanging="99"/>
              <w:rPr>
                <w:sz w:val="14"/>
              </w:rPr>
            </w:pPr>
            <w:r>
              <w:rPr>
                <w:color w:val="231F20"/>
                <w:sz w:val="14"/>
              </w:rPr>
              <w:t>се правилно односи према</w:t>
            </w:r>
            <w:r>
              <w:rPr>
                <w:color w:val="231F20"/>
                <w:spacing w:val="-18"/>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 што преноси у</w:t>
            </w:r>
            <w:r>
              <w:rPr>
                <w:color w:val="231F20"/>
                <w:spacing w:val="-24"/>
                <w:sz w:val="14"/>
              </w:rPr>
              <w:t xml:space="preserve"> </w:t>
            </w:r>
            <w:r>
              <w:rPr>
                <w:color w:val="231F20"/>
                <w:sz w:val="14"/>
              </w:rPr>
              <w:t>свакодневни живот;</w:t>
            </w:r>
          </w:p>
          <w:p w:rsidR="00041039" w:rsidRDefault="001B26CB">
            <w:pPr>
              <w:pStyle w:val="TableParagraph"/>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Borders>
              <w:bottom w:val="nil"/>
            </w:tcBorders>
          </w:tcPr>
          <w:p w:rsidR="00041039" w:rsidRDefault="001B26CB">
            <w:pPr>
              <w:pStyle w:val="TableParagraph"/>
              <w:spacing w:before="20"/>
              <w:ind w:left="57"/>
              <w:rPr>
                <w:b/>
                <w:sz w:val="14"/>
              </w:rPr>
            </w:pPr>
            <w:r>
              <w:rPr>
                <w:b/>
                <w:color w:val="231F20"/>
                <w:sz w:val="14"/>
              </w:rPr>
              <w:t>ПРОГРАМ ПО ИЗБОРУУЧЕНИКА</w:t>
            </w:r>
          </w:p>
          <w:p w:rsidR="00041039" w:rsidRDefault="00041039">
            <w:pPr>
              <w:pStyle w:val="TableParagraph"/>
              <w:spacing w:before="10"/>
              <w:ind w:left="0"/>
              <w:rPr>
                <w:b/>
                <w:sz w:val="13"/>
              </w:rPr>
            </w:pPr>
          </w:p>
          <w:p w:rsidR="00041039" w:rsidRDefault="001B26CB">
            <w:pPr>
              <w:pStyle w:val="TableParagraph"/>
              <w:ind w:left="57" w:right="84"/>
              <w:rPr>
                <w:b/>
                <w:sz w:val="14"/>
              </w:rPr>
            </w:pPr>
            <w:r>
              <w:rPr>
                <w:b/>
                <w:color w:val="231F20"/>
                <w:sz w:val="14"/>
              </w:rPr>
              <w:t>РИТМИЧКА ГИМНАСТИКА И НАРОДНИ ПЛЕСОВИ</w:t>
            </w:r>
          </w:p>
          <w:p w:rsidR="00041039" w:rsidRDefault="001B26CB">
            <w:pPr>
              <w:pStyle w:val="TableParagraph"/>
              <w:tabs>
                <w:tab w:val="left" w:pos="163"/>
              </w:tabs>
              <w:ind w:left="162" w:right="173" w:hanging="105"/>
              <w:rPr>
                <w:sz w:val="14"/>
              </w:rPr>
            </w:pPr>
            <w:r>
              <w:rPr>
                <w:color w:val="231F20"/>
                <w:sz w:val="14"/>
              </w:rPr>
              <w:t>Савладавање основних вежби:</w:t>
            </w:r>
            <w:r>
              <w:rPr>
                <w:color w:val="231F20"/>
                <w:spacing w:val="-15"/>
                <w:sz w:val="14"/>
              </w:rPr>
              <w:t xml:space="preserve"> </w:t>
            </w:r>
            <w:r>
              <w:rPr>
                <w:color w:val="231F20"/>
                <w:sz w:val="14"/>
              </w:rPr>
              <w:t>„докорак”, мењајући корак галопом у свим правци­ ма, полкин корак, далеко високи</w:t>
            </w:r>
            <w:r>
              <w:rPr>
                <w:color w:val="231F20"/>
                <w:spacing w:val="-18"/>
                <w:sz w:val="14"/>
              </w:rPr>
              <w:t xml:space="preserve"> </w:t>
            </w:r>
            <w:r>
              <w:rPr>
                <w:color w:val="231F20"/>
                <w:sz w:val="14"/>
              </w:rPr>
              <w:t>скок,</w:t>
            </w:r>
          </w:p>
          <w:p w:rsidR="00041039" w:rsidRDefault="001B26CB">
            <w:pPr>
              <w:pStyle w:val="TableParagraph"/>
              <w:spacing w:line="158" w:lineRule="exact"/>
              <w:ind w:left="162"/>
              <w:rPr>
                <w:sz w:val="14"/>
              </w:rPr>
            </w:pPr>
            <w:r>
              <w:rPr>
                <w:color w:val="231F20"/>
                <w:sz w:val="14"/>
              </w:rPr>
              <w:t>„маказице”.</w:t>
            </w:r>
          </w:p>
          <w:p w:rsidR="00041039" w:rsidRDefault="001B26CB">
            <w:pPr>
              <w:pStyle w:val="TableParagraph"/>
              <w:tabs>
                <w:tab w:val="left" w:pos="163"/>
              </w:tabs>
              <w:ind w:left="162" w:right="54" w:hanging="105"/>
              <w:rPr>
                <w:sz w:val="14"/>
              </w:rPr>
            </w:pPr>
            <w:r>
              <w:rPr>
                <w:color w:val="231F20"/>
                <w:sz w:val="14"/>
              </w:rPr>
              <w:t>Систематска обрада естетског покрета тела у месту и у кретању без реквизита и са рек­ визитима, користећи при томе различиту динамику, ритам и</w:t>
            </w:r>
            <w:r>
              <w:rPr>
                <w:color w:val="231F20"/>
                <w:spacing w:val="-3"/>
                <w:sz w:val="14"/>
              </w:rPr>
              <w:t xml:space="preserve"> </w:t>
            </w:r>
            <w:r>
              <w:rPr>
                <w:color w:val="231F20"/>
                <w:sz w:val="14"/>
              </w:rPr>
              <w:t>темпо.</w:t>
            </w:r>
          </w:p>
          <w:p w:rsidR="00041039" w:rsidRDefault="001B26CB">
            <w:pPr>
              <w:pStyle w:val="TableParagraph"/>
              <w:tabs>
                <w:tab w:val="left" w:pos="163"/>
              </w:tabs>
              <w:spacing w:line="237" w:lineRule="auto"/>
              <w:ind w:left="162" w:right="287" w:hanging="105"/>
              <w:rPr>
                <w:sz w:val="14"/>
              </w:rPr>
            </w:pPr>
            <w:r>
              <w:rPr>
                <w:color w:val="231F20"/>
                <w:sz w:val="14"/>
              </w:rPr>
              <w:t>Примена савладане технике естетског покретаи кретања у кратким</w:t>
            </w:r>
            <w:r>
              <w:rPr>
                <w:color w:val="231F20"/>
                <w:spacing w:val="-9"/>
                <w:sz w:val="14"/>
              </w:rPr>
              <w:t xml:space="preserve"> </w:t>
            </w:r>
            <w:r>
              <w:rPr>
                <w:color w:val="231F20"/>
                <w:sz w:val="14"/>
              </w:rPr>
              <w:t>саставима.</w:t>
            </w:r>
          </w:p>
          <w:p w:rsidR="00041039" w:rsidRDefault="001B26CB">
            <w:pPr>
              <w:pStyle w:val="TableParagraph"/>
              <w:tabs>
                <w:tab w:val="left" w:pos="163"/>
              </w:tabs>
              <w:ind w:left="162" w:right="334" w:hanging="105"/>
              <w:rPr>
                <w:sz w:val="14"/>
              </w:rPr>
            </w:pPr>
            <w:r>
              <w:rPr>
                <w:color w:val="231F20"/>
                <w:sz w:val="14"/>
              </w:rPr>
              <w:t>Треба савладати најмање пет</w:t>
            </w:r>
            <w:r>
              <w:rPr>
                <w:color w:val="231F20"/>
                <w:spacing w:val="-27"/>
                <w:sz w:val="14"/>
              </w:rPr>
              <w:t xml:space="preserve"> </w:t>
            </w:r>
            <w:r>
              <w:rPr>
                <w:color w:val="231F20"/>
                <w:sz w:val="14"/>
              </w:rPr>
              <w:t>наро</w:t>
            </w:r>
            <w:r>
              <w:rPr>
                <w:color w:val="231F20"/>
                <w:sz w:val="14"/>
              </w:rPr>
              <w:t>дних плесова.</w:t>
            </w:r>
          </w:p>
          <w:p w:rsidR="00041039" w:rsidRDefault="001B26CB">
            <w:pPr>
              <w:pStyle w:val="TableParagraph"/>
              <w:tabs>
                <w:tab w:val="left" w:pos="163"/>
              </w:tabs>
              <w:ind w:left="162" w:right="408" w:hanging="105"/>
              <w:rPr>
                <w:sz w:val="14"/>
              </w:rPr>
            </w:pPr>
            <w:r>
              <w:rPr>
                <w:color w:val="231F20"/>
                <w:sz w:val="14"/>
              </w:rPr>
              <w:t>Припрема за такмичење и приредбе</w:t>
            </w:r>
            <w:r>
              <w:rPr>
                <w:color w:val="231F20"/>
                <w:spacing w:val="-16"/>
                <w:sz w:val="14"/>
              </w:rPr>
              <w:t xml:space="preserve"> </w:t>
            </w:r>
            <w:r>
              <w:rPr>
                <w:color w:val="231F20"/>
                <w:sz w:val="14"/>
              </w:rPr>
              <w:t>и учешће на</w:t>
            </w:r>
            <w:r>
              <w:rPr>
                <w:color w:val="231F20"/>
                <w:spacing w:val="-2"/>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r w:rsidR="00041039">
        <w:trPr>
          <w:trHeight w:val="1270"/>
        </w:trPr>
        <w:tc>
          <w:tcPr>
            <w:tcW w:w="1304" w:type="dxa"/>
            <w:tcBorders>
              <w:top w:val="nil"/>
              <w:bottom w:val="nil"/>
            </w:tcBorders>
          </w:tcPr>
          <w:p w:rsidR="00041039" w:rsidRDefault="001B26CB">
            <w:pPr>
              <w:pStyle w:val="TableParagraph"/>
              <w:spacing w:before="71"/>
              <w:ind w:left="56" w:right="130"/>
              <w:rPr>
                <w:sz w:val="14"/>
              </w:rPr>
            </w:pPr>
            <w:r>
              <w:rPr>
                <w:color w:val="231F20"/>
                <w:sz w:val="14"/>
              </w:rPr>
              <w:t>Спортска игра (по избору)</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СПОРТСКА ИГРА (по избору)</w:t>
            </w:r>
          </w:p>
          <w:p w:rsidR="00041039" w:rsidRDefault="001B26CB">
            <w:pPr>
              <w:pStyle w:val="TableParagraph"/>
              <w:tabs>
                <w:tab w:val="left" w:pos="163"/>
              </w:tabs>
              <w:ind w:left="162" w:right="155" w:hanging="105"/>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tabs>
                <w:tab w:val="left" w:pos="163"/>
              </w:tabs>
              <w:ind w:left="162" w:right="176" w:hanging="105"/>
              <w:rPr>
                <w:sz w:val="14"/>
              </w:rPr>
            </w:pPr>
            <w:r>
              <w:rPr>
                <w:color w:val="231F20"/>
                <w:sz w:val="14"/>
              </w:rPr>
              <w:t>Даље проширивање и продубљивање техничко­тактичке припремљености ученика у складу са изборним</w:t>
            </w:r>
            <w:r>
              <w:rPr>
                <w:color w:val="231F20"/>
                <w:spacing w:val="-19"/>
                <w:sz w:val="14"/>
              </w:rPr>
              <w:t xml:space="preserve"> </w:t>
            </w:r>
            <w:r>
              <w:rPr>
                <w:color w:val="231F20"/>
                <w:sz w:val="14"/>
              </w:rPr>
              <w:t>програмом за дату</w:t>
            </w:r>
            <w:r>
              <w:rPr>
                <w:color w:val="231F20"/>
                <w:spacing w:val="-2"/>
                <w:sz w:val="14"/>
              </w:rPr>
              <w:t xml:space="preserve"> </w:t>
            </w:r>
            <w:r>
              <w:rPr>
                <w:color w:val="231F20"/>
                <w:spacing w:val="-4"/>
                <w:sz w:val="14"/>
              </w:rPr>
              <w:t>игру.</w:t>
            </w:r>
          </w:p>
        </w:tc>
        <w:tc>
          <w:tcPr>
            <w:tcW w:w="2267" w:type="dxa"/>
            <w:vMerge/>
            <w:tcBorders>
              <w:top w:val="nil"/>
            </w:tcBorders>
          </w:tcPr>
          <w:p w:rsidR="00041039" w:rsidRDefault="00041039">
            <w:pPr>
              <w:rPr>
                <w:sz w:val="2"/>
                <w:szCs w:val="2"/>
              </w:rPr>
            </w:pPr>
          </w:p>
        </w:tc>
      </w:tr>
      <w:tr w:rsidR="00041039">
        <w:trPr>
          <w:trHeight w:val="2390"/>
        </w:trPr>
        <w:tc>
          <w:tcPr>
            <w:tcW w:w="1304" w:type="dxa"/>
            <w:tcBorders>
              <w:top w:val="nil"/>
              <w:bottom w:val="nil"/>
            </w:tcBorders>
          </w:tcPr>
          <w:p w:rsidR="00041039" w:rsidRDefault="001B26CB">
            <w:pPr>
              <w:pStyle w:val="TableParagraph"/>
              <w:spacing w:before="71"/>
              <w:ind w:left="56"/>
              <w:rPr>
                <w:sz w:val="14"/>
              </w:rPr>
            </w:pPr>
            <w:r>
              <w:rPr>
                <w:color w:val="231F20"/>
                <w:sz w:val="14"/>
              </w:rPr>
              <w:t>Рукомет</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РУКОМЕТ</w:t>
            </w:r>
          </w:p>
          <w:p w:rsidR="00041039" w:rsidRDefault="001B26CB">
            <w:pPr>
              <w:pStyle w:val="TableParagraph"/>
              <w:tabs>
                <w:tab w:val="left" w:pos="163"/>
              </w:tabs>
              <w:ind w:left="162" w:right="367" w:hanging="105"/>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tabs>
                <w:tab w:val="left" w:pos="163"/>
              </w:tabs>
              <w:spacing w:line="237" w:lineRule="auto"/>
              <w:ind w:left="162" w:right="61" w:hanging="105"/>
              <w:rPr>
                <w:sz w:val="14"/>
              </w:rPr>
            </w:pPr>
            <w:r>
              <w:rPr>
                <w:color w:val="231F20"/>
                <w:sz w:val="14"/>
              </w:rPr>
              <w:t>Покривање и откривање играча,</w:t>
            </w:r>
            <w:r>
              <w:rPr>
                <w:color w:val="231F20"/>
                <w:spacing w:val="-25"/>
                <w:sz w:val="14"/>
              </w:rPr>
              <w:t xml:space="preserve"> </w:t>
            </w:r>
            <w:r>
              <w:rPr>
                <w:color w:val="231F20"/>
                <w:sz w:val="14"/>
              </w:rPr>
              <w:t xml:space="preserve">одузимање лопте, ометање противника. Општи принципи постављања играча у одбрани и </w:t>
            </w:r>
            <w:r>
              <w:rPr>
                <w:color w:val="231F20"/>
                <w:spacing w:val="-3"/>
                <w:sz w:val="14"/>
              </w:rPr>
              <w:t xml:space="preserve">нападу. </w:t>
            </w:r>
            <w:r>
              <w:rPr>
                <w:color w:val="231F20"/>
                <w:sz w:val="14"/>
              </w:rPr>
              <w:t xml:space="preserve">Напад са једним и два играча и на­ пад против зонске одбране. Зонска одбрана и напад „човек на човека”. </w:t>
            </w:r>
            <w:r>
              <w:rPr>
                <w:color w:val="231F20"/>
                <w:spacing w:val="-3"/>
                <w:sz w:val="14"/>
              </w:rPr>
              <w:t xml:space="preserve">Уигравање </w:t>
            </w:r>
            <w:r>
              <w:rPr>
                <w:color w:val="231F20"/>
                <w:sz w:val="14"/>
              </w:rPr>
              <w:t>кроз тренажни процес.</w:t>
            </w:r>
          </w:p>
          <w:p w:rsidR="00041039" w:rsidRDefault="001B26CB">
            <w:pPr>
              <w:pStyle w:val="TableParagraph"/>
              <w:tabs>
                <w:tab w:val="left" w:pos="163"/>
              </w:tabs>
              <w:spacing w:before="2" w:line="161" w:lineRule="exact"/>
              <w:ind w:left="162" w:hanging="105"/>
              <w:rPr>
                <w:sz w:val="14"/>
              </w:rPr>
            </w:pPr>
            <w:r>
              <w:rPr>
                <w:color w:val="231F20"/>
                <w:sz w:val="14"/>
              </w:rPr>
              <w:t>Правила</w:t>
            </w:r>
            <w:r>
              <w:rPr>
                <w:color w:val="231F20"/>
                <w:spacing w:val="-2"/>
                <w:sz w:val="14"/>
              </w:rPr>
              <w:t xml:space="preserve"> </w:t>
            </w:r>
            <w:r>
              <w:rPr>
                <w:color w:val="231F20"/>
                <w:sz w:val="14"/>
              </w:rPr>
              <w:t>игре.</w:t>
            </w:r>
          </w:p>
          <w:p w:rsidR="00041039" w:rsidRDefault="001B26CB">
            <w:pPr>
              <w:pStyle w:val="TableParagraph"/>
              <w:tabs>
                <w:tab w:val="left" w:pos="163"/>
              </w:tabs>
              <w:ind w:left="162" w:right="261" w:hanging="105"/>
              <w:rPr>
                <w:sz w:val="14"/>
              </w:rPr>
            </w:pPr>
            <w:r>
              <w:rPr>
                <w:color w:val="231F20"/>
                <w:sz w:val="14"/>
              </w:rPr>
              <w:t>Учествовање на разредним, школским</w:t>
            </w:r>
            <w:r>
              <w:rPr>
                <w:color w:val="231F20"/>
                <w:spacing w:val="-1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tc>
        <w:tc>
          <w:tcPr>
            <w:tcW w:w="2267" w:type="dxa"/>
            <w:vMerge/>
            <w:tcBorders>
              <w:top w:val="nil"/>
            </w:tcBorders>
          </w:tcPr>
          <w:p w:rsidR="00041039" w:rsidRDefault="00041039">
            <w:pPr>
              <w:rPr>
                <w:sz w:val="2"/>
                <w:szCs w:val="2"/>
              </w:rPr>
            </w:pPr>
          </w:p>
        </w:tc>
      </w:tr>
      <w:tr w:rsidR="00041039">
        <w:trPr>
          <w:trHeight w:val="2070"/>
        </w:trPr>
        <w:tc>
          <w:tcPr>
            <w:tcW w:w="1304" w:type="dxa"/>
            <w:tcBorders>
              <w:top w:val="nil"/>
              <w:bottom w:val="nil"/>
            </w:tcBorders>
          </w:tcPr>
          <w:p w:rsidR="00041039" w:rsidRDefault="001B26CB">
            <w:pPr>
              <w:pStyle w:val="TableParagraph"/>
              <w:spacing w:before="71"/>
              <w:ind w:left="56"/>
              <w:rPr>
                <w:sz w:val="14"/>
              </w:rPr>
            </w:pPr>
            <w:r>
              <w:rPr>
                <w:color w:val="231F20"/>
                <w:sz w:val="14"/>
              </w:rPr>
              <w:t>Фудбал</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2" w:line="161" w:lineRule="exact"/>
              <w:ind w:left="57"/>
              <w:rPr>
                <w:b/>
                <w:sz w:val="14"/>
              </w:rPr>
            </w:pPr>
            <w:r>
              <w:rPr>
                <w:b/>
                <w:color w:val="231F20"/>
                <w:sz w:val="14"/>
              </w:rPr>
              <w:t>ФУДБАЛ</w:t>
            </w:r>
          </w:p>
          <w:p w:rsidR="00041039" w:rsidRDefault="001B26CB">
            <w:pPr>
              <w:pStyle w:val="TableParagraph"/>
              <w:tabs>
                <w:tab w:val="left" w:pos="163"/>
              </w:tabs>
              <w:ind w:left="162" w:right="367" w:hanging="105"/>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tabs>
                <w:tab w:val="left" w:pos="163"/>
              </w:tabs>
              <w:spacing w:line="237" w:lineRule="auto"/>
              <w:ind w:left="162" w:right="61" w:hanging="105"/>
              <w:rPr>
                <w:sz w:val="14"/>
              </w:rPr>
            </w:pPr>
            <w:r>
              <w:rPr>
                <w:color w:val="231F20"/>
                <w:sz w:val="14"/>
              </w:rPr>
              <w:t>Покривање и откривање играча,</w:t>
            </w:r>
            <w:r>
              <w:rPr>
                <w:color w:val="231F20"/>
                <w:spacing w:val="-25"/>
                <w:sz w:val="14"/>
              </w:rPr>
              <w:t xml:space="preserve"> </w:t>
            </w:r>
            <w:r>
              <w:rPr>
                <w:color w:val="231F20"/>
                <w:sz w:val="14"/>
              </w:rPr>
              <w:t>одузимање лопте и ометање противника. Општи принципи постављања играча у нападу и одбрани. Разне варијанте напада и</w:t>
            </w:r>
            <w:r>
              <w:rPr>
                <w:color w:val="231F20"/>
                <w:spacing w:val="-23"/>
                <w:sz w:val="14"/>
              </w:rPr>
              <w:t xml:space="preserve"> </w:t>
            </w:r>
            <w:r>
              <w:rPr>
                <w:color w:val="231F20"/>
                <w:sz w:val="14"/>
              </w:rPr>
              <w:t xml:space="preserve">одбране. </w:t>
            </w:r>
            <w:r>
              <w:rPr>
                <w:color w:val="231F20"/>
                <w:spacing w:val="-3"/>
                <w:sz w:val="14"/>
              </w:rPr>
              <w:t xml:space="preserve">Уигравање </w:t>
            </w:r>
            <w:r>
              <w:rPr>
                <w:color w:val="231F20"/>
                <w:sz w:val="14"/>
              </w:rPr>
              <w:t>крозтренажни</w:t>
            </w:r>
            <w:r>
              <w:rPr>
                <w:color w:val="231F20"/>
                <w:spacing w:val="2"/>
                <w:sz w:val="14"/>
              </w:rPr>
              <w:t xml:space="preserve"> </w:t>
            </w:r>
            <w:r>
              <w:rPr>
                <w:color w:val="231F20"/>
                <w:sz w:val="14"/>
              </w:rPr>
              <w:t>процес.</w:t>
            </w:r>
          </w:p>
          <w:p w:rsidR="00041039" w:rsidRDefault="001B26CB">
            <w:pPr>
              <w:pStyle w:val="TableParagraph"/>
              <w:tabs>
                <w:tab w:val="left" w:pos="163"/>
              </w:tabs>
              <w:spacing w:line="161" w:lineRule="exact"/>
              <w:ind w:left="162" w:hanging="105"/>
              <w:rPr>
                <w:sz w:val="14"/>
              </w:rPr>
            </w:pPr>
            <w:r>
              <w:rPr>
                <w:color w:val="231F20"/>
                <w:sz w:val="14"/>
              </w:rPr>
              <w:t>Правила малог</w:t>
            </w:r>
            <w:r>
              <w:rPr>
                <w:color w:val="231F20"/>
                <w:spacing w:val="-4"/>
                <w:sz w:val="14"/>
              </w:rPr>
              <w:t xml:space="preserve"> </w:t>
            </w:r>
            <w:r>
              <w:rPr>
                <w:color w:val="231F20"/>
                <w:sz w:val="14"/>
              </w:rPr>
              <w:t>фудбала.</w:t>
            </w:r>
          </w:p>
          <w:p w:rsidR="00041039" w:rsidRDefault="001B26CB">
            <w:pPr>
              <w:pStyle w:val="TableParagraph"/>
              <w:tabs>
                <w:tab w:val="left" w:pos="163"/>
              </w:tabs>
              <w:ind w:left="162" w:right="497" w:hanging="105"/>
              <w:rPr>
                <w:sz w:val="14"/>
              </w:rPr>
            </w:pPr>
            <w:r>
              <w:rPr>
                <w:color w:val="231F20"/>
                <w:sz w:val="14"/>
              </w:rPr>
              <w:t>Учествовање на разним школским</w:t>
            </w:r>
            <w:r>
              <w:rPr>
                <w:color w:val="231F20"/>
                <w:spacing w:val="-17"/>
                <w:sz w:val="14"/>
              </w:rPr>
              <w:t xml:space="preserve"> </w:t>
            </w:r>
            <w:r>
              <w:rPr>
                <w:color w:val="231F20"/>
                <w:sz w:val="14"/>
              </w:rPr>
              <w:t>и међушколским</w:t>
            </w:r>
            <w:r>
              <w:rPr>
                <w:color w:val="231F20"/>
                <w:spacing w:val="-3"/>
                <w:sz w:val="14"/>
              </w:rPr>
              <w:t xml:space="preserve"> </w:t>
            </w:r>
            <w:r>
              <w:rPr>
                <w:color w:val="231F20"/>
                <w:sz w:val="14"/>
              </w:rPr>
              <w:t>такмичењима.</w:t>
            </w:r>
          </w:p>
        </w:tc>
        <w:tc>
          <w:tcPr>
            <w:tcW w:w="2267" w:type="dxa"/>
            <w:vMerge/>
            <w:tcBorders>
              <w:top w:val="nil"/>
            </w:tcBorders>
          </w:tcPr>
          <w:p w:rsidR="00041039" w:rsidRDefault="00041039">
            <w:pPr>
              <w:rPr>
                <w:sz w:val="2"/>
                <w:szCs w:val="2"/>
              </w:rPr>
            </w:pPr>
          </w:p>
        </w:tc>
      </w:tr>
      <w:tr w:rsidR="00041039">
        <w:trPr>
          <w:trHeight w:val="3080"/>
        </w:trPr>
        <w:tc>
          <w:tcPr>
            <w:tcW w:w="1304" w:type="dxa"/>
            <w:tcBorders>
              <w:top w:val="nil"/>
            </w:tcBorders>
          </w:tcPr>
          <w:p w:rsidR="00041039" w:rsidRDefault="001B26CB">
            <w:pPr>
              <w:pStyle w:val="TableParagraph"/>
              <w:spacing w:before="71"/>
              <w:ind w:left="56"/>
              <w:rPr>
                <w:sz w:val="14"/>
              </w:rPr>
            </w:pPr>
            <w:r>
              <w:rPr>
                <w:color w:val="231F20"/>
                <w:sz w:val="14"/>
              </w:rPr>
              <w:t>Кошарка</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1B26CB">
            <w:pPr>
              <w:pStyle w:val="TableParagraph"/>
              <w:spacing w:before="72" w:line="161" w:lineRule="exact"/>
              <w:ind w:left="57"/>
              <w:rPr>
                <w:b/>
                <w:sz w:val="14"/>
              </w:rPr>
            </w:pPr>
            <w:r>
              <w:rPr>
                <w:b/>
                <w:color w:val="231F20"/>
                <w:sz w:val="14"/>
              </w:rPr>
              <w:t>КОШАРКА</w:t>
            </w:r>
          </w:p>
          <w:p w:rsidR="00041039" w:rsidRDefault="001B26CB">
            <w:pPr>
              <w:pStyle w:val="TableParagraph"/>
              <w:tabs>
                <w:tab w:val="left" w:pos="163"/>
              </w:tabs>
              <w:ind w:left="162" w:right="367" w:hanging="105"/>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tabs>
                <w:tab w:val="left" w:pos="163"/>
              </w:tabs>
              <w:spacing w:line="237" w:lineRule="auto"/>
              <w:ind w:left="162" w:right="137" w:hanging="105"/>
              <w:rPr>
                <w:sz w:val="14"/>
              </w:rPr>
            </w:pPr>
            <w:r>
              <w:rPr>
                <w:color w:val="231F20"/>
                <w:sz w:val="14"/>
              </w:rPr>
              <w:t xml:space="preserve">Техника кошарке. Шутирање на </w:t>
            </w:r>
            <w:r>
              <w:rPr>
                <w:color w:val="231F20"/>
                <w:spacing w:val="-3"/>
                <w:sz w:val="14"/>
              </w:rPr>
              <w:t xml:space="preserve">кош </w:t>
            </w:r>
            <w:r>
              <w:rPr>
                <w:color w:val="231F20"/>
                <w:sz w:val="14"/>
              </w:rPr>
              <w:t xml:space="preserve">из места и кретања, шут са једном или обема рукама, са разних одстојања </w:t>
            </w:r>
            <w:r>
              <w:rPr>
                <w:color w:val="231F20"/>
                <w:spacing w:val="-3"/>
                <w:sz w:val="14"/>
              </w:rPr>
              <w:t>од</w:t>
            </w:r>
            <w:r>
              <w:rPr>
                <w:color w:val="231F20"/>
                <w:spacing w:val="-7"/>
                <w:sz w:val="14"/>
              </w:rPr>
              <w:t xml:space="preserve"> </w:t>
            </w:r>
            <w:r>
              <w:rPr>
                <w:color w:val="231F20"/>
                <w:sz w:val="14"/>
              </w:rPr>
              <w:t>коша.</w:t>
            </w:r>
          </w:p>
          <w:p w:rsidR="00041039" w:rsidRDefault="001B26CB">
            <w:pPr>
              <w:pStyle w:val="TableParagraph"/>
              <w:ind w:left="162" w:right="220"/>
              <w:rPr>
                <w:sz w:val="14"/>
              </w:rPr>
            </w:pPr>
            <w:r>
              <w:rPr>
                <w:color w:val="231F20"/>
                <w:sz w:val="14"/>
              </w:rPr>
              <w:t>Постављање и кретање играча у нападу и одбрани. Одбрана „зоном” и „човек на</w:t>
            </w:r>
          </w:p>
          <w:p w:rsidR="00041039" w:rsidRDefault="001B26CB">
            <w:pPr>
              <w:pStyle w:val="TableParagraph"/>
              <w:ind w:left="162"/>
              <w:rPr>
                <w:sz w:val="14"/>
              </w:rPr>
            </w:pPr>
            <w:r>
              <w:rPr>
                <w:color w:val="231F20"/>
                <w:sz w:val="14"/>
              </w:rPr>
              <w:t>човека”. Напад против ових врста одбрана. Контранапад у разним варијантама и принцип блока.</w:t>
            </w:r>
          </w:p>
          <w:p w:rsidR="00041039" w:rsidRDefault="001B26CB">
            <w:pPr>
              <w:pStyle w:val="TableParagraph"/>
              <w:tabs>
                <w:tab w:val="left" w:pos="163"/>
              </w:tabs>
              <w:spacing w:line="158" w:lineRule="exact"/>
              <w:ind w:left="162" w:hanging="105"/>
              <w:rPr>
                <w:sz w:val="14"/>
              </w:rPr>
            </w:pPr>
            <w:r>
              <w:rPr>
                <w:color w:val="231F20"/>
                <w:sz w:val="14"/>
              </w:rPr>
              <w:t>Правила игре и</w:t>
            </w:r>
            <w:r>
              <w:rPr>
                <w:color w:val="231F20"/>
                <w:spacing w:val="-4"/>
                <w:sz w:val="14"/>
              </w:rPr>
              <w:t xml:space="preserve"> </w:t>
            </w:r>
            <w:r>
              <w:rPr>
                <w:color w:val="231F20"/>
                <w:sz w:val="14"/>
              </w:rPr>
              <w:t>суђење.</w:t>
            </w:r>
          </w:p>
          <w:p w:rsidR="00041039" w:rsidRDefault="001B26CB">
            <w:pPr>
              <w:pStyle w:val="TableParagraph"/>
              <w:tabs>
                <w:tab w:val="left" w:pos="163"/>
              </w:tabs>
              <w:ind w:left="162" w:right="296" w:hanging="105"/>
              <w:rPr>
                <w:sz w:val="14"/>
              </w:rPr>
            </w:pPr>
            <w:r>
              <w:rPr>
                <w:color w:val="231F20"/>
                <w:sz w:val="14"/>
              </w:rPr>
              <w:t>Учествовање на разредним н</w:t>
            </w:r>
            <w:r>
              <w:rPr>
                <w:color w:val="231F20"/>
                <w:spacing w:val="-20"/>
                <w:sz w:val="14"/>
              </w:rPr>
              <w:t xml:space="preserve"> </w:t>
            </w:r>
            <w:r>
              <w:rPr>
                <w:color w:val="231F20"/>
                <w:sz w:val="14"/>
              </w:rPr>
              <w:t>школским такмичењима.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16"/>
        </w:trPr>
        <w:tc>
          <w:tcPr>
            <w:tcW w:w="1304" w:type="dxa"/>
            <w:tcBorders>
              <w:bottom w:val="nil"/>
            </w:tcBorders>
          </w:tcPr>
          <w:p w:rsidR="00041039" w:rsidRDefault="001B26CB">
            <w:pPr>
              <w:pStyle w:val="TableParagraph"/>
              <w:spacing w:before="18"/>
              <w:ind w:left="56"/>
              <w:rPr>
                <w:sz w:val="14"/>
              </w:rPr>
            </w:pPr>
            <w:r>
              <w:rPr>
                <w:color w:val="231F20"/>
                <w:sz w:val="14"/>
              </w:rPr>
              <w:lastRenderedPageBreak/>
              <w:t>Одбојка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27"/>
              <w:ind w:left="56"/>
              <w:rPr>
                <w:sz w:val="14"/>
              </w:rPr>
            </w:pPr>
            <w:r>
              <w:rPr>
                <w:color w:val="231F20"/>
                <w:sz w:val="14"/>
              </w:rPr>
              <w:t>Пливање</w:t>
            </w:r>
          </w:p>
        </w:tc>
        <w:tc>
          <w:tcPr>
            <w:tcW w:w="1587" w:type="dxa"/>
            <w:vMerge w:val="restart"/>
          </w:tcPr>
          <w:p w:rsidR="00041039" w:rsidRDefault="00041039">
            <w:pPr>
              <w:pStyle w:val="TableParagraph"/>
              <w:ind w:left="0"/>
              <w:rPr>
                <w:sz w:val="14"/>
              </w:rPr>
            </w:pPr>
          </w:p>
        </w:tc>
        <w:tc>
          <w:tcPr>
            <w:tcW w:w="2551"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spacing w:before="16" w:line="161" w:lineRule="exact"/>
              <w:ind w:left="57"/>
              <w:rPr>
                <w:b/>
                <w:sz w:val="14"/>
              </w:rPr>
            </w:pPr>
            <w:r>
              <w:rPr>
                <w:b/>
                <w:color w:val="231F20"/>
                <w:sz w:val="14"/>
              </w:rPr>
              <w:t>ОДБОЈКА</w:t>
            </w:r>
          </w:p>
          <w:p w:rsidR="00041039" w:rsidRDefault="001B26CB">
            <w:pPr>
              <w:pStyle w:val="TableParagraph"/>
              <w:tabs>
                <w:tab w:val="left" w:pos="163"/>
              </w:tabs>
              <w:ind w:left="162" w:right="74" w:hanging="105"/>
              <w:rPr>
                <w:sz w:val="14"/>
              </w:rPr>
            </w:pPr>
            <w:r>
              <w:rPr>
                <w:color w:val="231F20"/>
                <w:spacing w:val="-3"/>
                <w:sz w:val="14"/>
              </w:rPr>
              <w:t xml:space="preserve">Увежбавати </w:t>
            </w:r>
            <w:r>
              <w:rPr>
                <w:color w:val="231F20"/>
                <w:sz w:val="14"/>
              </w:rPr>
              <w:t>основне техничке елементе који су предвиђени програмским</w:t>
            </w:r>
            <w:r>
              <w:rPr>
                <w:color w:val="231F20"/>
                <w:spacing w:val="-23"/>
                <w:sz w:val="14"/>
              </w:rPr>
              <w:t xml:space="preserve"> </w:t>
            </w:r>
            <w:r>
              <w:rPr>
                <w:color w:val="231F20"/>
                <w:sz w:val="14"/>
              </w:rPr>
              <w:t>садржаји­ ма за основну</w:t>
            </w:r>
            <w:r>
              <w:rPr>
                <w:color w:val="231F20"/>
                <w:spacing w:val="-1"/>
                <w:sz w:val="14"/>
              </w:rPr>
              <w:t xml:space="preserve"> </w:t>
            </w:r>
            <w:r>
              <w:rPr>
                <w:color w:val="231F20"/>
                <w:spacing w:val="-5"/>
                <w:sz w:val="14"/>
              </w:rPr>
              <w:t>школу.</w:t>
            </w:r>
          </w:p>
          <w:p w:rsidR="00041039" w:rsidRDefault="001B26CB">
            <w:pPr>
              <w:pStyle w:val="TableParagraph"/>
              <w:tabs>
                <w:tab w:val="left" w:pos="163"/>
              </w:tabs>
              <w:spacing w:line="237" w:lineRule="auto"/>
              <w:ind w:left="162" w:right="79" w:hanging="105"/>
              <w:rPr>
                <w:sz w:val="14"/>
              </w:rPr>
            </w:pPr>
            <w:r>
              <w:rPr>
                <w:color w:val="231F20"/>
                <w:sz w:val="14"/>
              </w:rPr>
              <w:t xml:space="preserve">Техника одбојке. Игра са повученим и истуреним центром. Смечирање н његова блокада. </w:t>
            </w:r>
            <w:r>
              <w:rPr>
                <w:color w:val="231F20"/>
                <w:spacing w:val="-3"/>
                <w:sz w:val="14"/>
              </w:rPr>
              <w:t xml:space="preserve">Уигравање </w:t>
            </w:r>
            <w:r>
              <w:rPr>
                <w:color w:val="231F20"/>
                <w:sz w:val="14"/>
              </w:rPr>
              <w:t>кроз тренажни</w:t>
            </w:r>
            <w:r>
              <w:rPr>
                <w:color w:val="231F20"/>
                <w:spacing w:val="1"/>
                <w:sz w:val="14"/>
              </w:rPr>
              <w:t xml:space="preserve"> </w:t>
            </w:r>
            <w:r>
              <w:rPr>
                <w:color w:val="231F20"/>
                <w:sz w:val="14"/>
              </w:rPr>
              <w:t>процес.</w:t>
            </w:r>
          </w:p>
          <w:p w:rsidR="00041039" w:rsidRDefault="001B26CB">
            <w:pPr>
              <w:pStyle w:val="TableParagraph"/>
              <w:tabs>
                <w:tab w:val="left" w:pos="163"/>
              </w:tabs>
              <w:spacing w:line="161" w:lineRule="exact"/>
              <w:ind w:left="162" w:hanging="105"/>
              <w:rPr>
                <w:sz w:val="14"/>
              </w:rPr>
            </w:pPr>
            <w:r>
              <w:rPr>
                <w:color w:val="231F20"/>
                <w:sz w:val="14"/>
              </w:rPr>
              <w:t>Правила игре и</w:t>
            </w:r>
            <w:r>
              <w:rPr>
                <w:color w:val="231F20"/>
                <w:spacing w:val="-4"/>
                <w:sz w:val="14"/>
              </w:rPr>
              <w:t xml:space="preserve"> </w:t>
            </w:r>
            <w:r>
              <w:rPr>
                <w:color w:val="231F20"/>
                <w:sz w:val="14"/>
              </w:rPr>
              <w:t>суђења.</w:t>
            </w:r>
          </w:p>
          <w:p w:rsidR="00041039" w:rsidRDefault="001B26CB">
            <w:pPr>
              <w:pStyle w:val="TableParagraph"/>
              <w:tabs>
                <w:tab w:val="left" w:pos="163"/>
              </w:tabs>
              <w:ind w:left="162" w:right="103" w:hanging="105"/>
              <w:rPr>
                <w:sz w:val="14"/>
              </w:rPr>
            </w:pPr>
            <w:r>
              <w:rPr>
                <w:color w:val="231F20"/>
                <w:sz w:val="14"/>
              </w:rPr>
              <w:t>Учествовање на одељењским, разредним</w:t>
            </w:r>
            <w:r>
              <w:rPr>
                <w:color w:val="231F20"/>
                <w:spacing w:val="-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p w:rsidR="00041039" w:rsidRDefault="00041039">
            <w:pPr>
              <w:pStyle w:val="TableParagraph"/>
              <w:spacing w:before="6"/>
              <w:ind w:left="0"/>
              <w:rPr>
                <w:b/>
                <w:sz w:val="13"/>
              </w:rPr>
            </w:pPr>
          </w:p>
          <w:p w:rsidR="00041039" w:rsidRDefault="001B26CB">
            <w:pPr>
              <w:pStyle w:val="TableParagraph"/>
              <w:spacing w:line="161" w:lineRule="exact"/>
              <w:ind w:left="57"/>
              <w:rPr>
                <w:b/>
                <w:sz w:val="14"/>
              </w:rPr>
            </w:pPr>
            <w:r>
              <w:rPr>
                <w:b/>
                <w:color w:val="231F20"/>
                <w:sz w:val="14"/>
              </w:rPr>
              <w:t>ПЛИВАЊЕ</w:t>
            </w:r>
          </w:p>
          <w:p w:rsidR="00041039" w:rsidRDefault="001B26CB">
            <w:pPr>
              <w:pStyle w:val="TableParagraph"/>
              <w:tabs>
                <w:tab w:val="left" w:pos="163"/>
              </w:tabs>
              <w:ind w:left="162" w:right="64" w:hanging="105"/>
              <w:rPr>
                <w:sz w:val="14"/>
              </w:rPr>
            </w:pPr>
            <w:r>
              <w:rPr>
                <w:color w:val="231F20"/>
                <w:sz w:val="14"/>
              </w:rPr>
              <w:t>Упознавање и примена основних</w:t>
            </w:r>
            <w:r>
              <w:rPr>
                <w:color w:val="231F20"/>
                <w:spacing w:val="-20"/>
                <w:sz w:val="14"/>
              </w:rPr>
              <w:t xml:space="preserve"> </w:t>
            </w:r>
            <w:r>
              <w:rPr>
                <w:color w:val="231F20"/>
                <w:sz w:val="14"/>
              </w:rPr>
              <w:t>сигурнос­ них мера у</w:t>
            </w:r>
            <w:r>
              <w:rPr>
                <w:color w:val="231F20"/>
                <w:spacing w:val="-1"/>
                <w:sz w:val="14"/>
              </w:rPr>
              <w:t xml:space="preserve"> </w:t>
            </w:r>
            <w:r>
              <w:rPr>
                <w:color w:val="231F20"/>
                <w:spacing w:val="-3"/>
                <w:sz w:val="14"/>
              </w:rPr>
              <w:t>пливању.</w:t>
            </w:r>
          </w:p>
          <w:p w:rsidR="00041039" w:rsidRDefault="001B26CB">
            <w:pPr>
              <w:pStyle w:val="TableParagraph"/>
              <w:tabs>
                <w:tab w:val="left" w:pos="163"/>
              </w:tabs>
              <w:ind w:left="162" w:right="53" w:hanging="105"/>
              <w:rPr>
                <w:sz w:val="14"/>
              </w:rPr>
            </w:pPr>
            <w:r>
              <w:rPr>
                <w:color w:val="231F20"/>
                <w:spacing w:val="-3"/>
                <w:sz w:val="14"/>
              </w:rPr>
              <w:t xml:space="preserve">Усвајање </w:t>
            </w:r>
            <w:r>
              <w:rPr>
                <w:color w:val="231F20"/>
                <w:sz w:val="14"/>
              </w:rPr>
              <w:t>две технике пливања (по скло­ ностима и избору ученика). Вежбање ради постизања бољих резултата, Скок на</w:t>
            </w:r>
            <w:r>
              <w:rPr>
                <w:color w:val="231F20"/>
                <w:spacing w:val="-22"/>
                <w:sz w:val="14"/>
              </w:rPr>
              <w:t xml:space="preserve"> </w:t>
            </w:r>
            <w:r>
              <w:rPr>
                <w:color w:val="231F20"/>
                <w:sz w:val="14"/>
              </w:rPr>
              <w:t>старту и</w:t>
            </w:r>
            <w:r>
              <w:rPr>
                <w:color w:val="231F20"/>
                <w:spacing w:val="-1"/>
                <w:sz w:val="14"/>
              </w:rPr>
              <w:t xml:space="preserve"> </w:t>
            </w:r>
            <w:r>
              <w:rPr>
                <w:color w:val="231F20"/>
                <w:sz w:val="14"/>
              </w:rPr>
              <w:t>окрети.</w:t>
            </w:r>
          </w:p>
          <w:p w:rsidR="00041039" w:rsidRDefault="001B26CB">
            <w:pPr>
              <w:pStyle w:val="TableParagraph"/>
              <w:tabs>
                <w:tab w:val="left" w:pos="163"/>
              </w:tabs>
              <w:spacing w:line="157" w:lineRule="exact"/>
              <w:ind w:left="162" w:hanging="105"/>
              <w:rPr>
                <w:sz w:val="14"/>
              </w:rPr>
            </w:pPr>
            <w:r>
              <w:rPr>
                <w:color w:val="231F20"/>
                <w:sz w:val="14"/>
              </w:rPr>
              <w:t>Учествовање наодељењским, разредним</w:t>
            </w:r>
            <w:r>
              <w:rPr>
                <w:color w:val="231F20"/>
                <w:spacing w:val="-4"/>
                <w:sz w:val="14"/>
              </w:rPr>
              <w:t xml:space="preserve"> </w:t>
            </w:r>
            <w:r>
              <w:rPr>
                <w:color w:val="231F20"/>
                <w:sz w:val="14"/>
              </w:rPr>
              <w:t>и</w:t>
            </w:r>
          </w:p>
          <w:p w:rsidR="00041039" w:rsidRDefault="001B26CB">
            <w:pPr>
              <w:pStyle w:val="TableParagraph"/>
              <w:spacing w:line="139" w:lineRule="exact"/>
              <w:ind w:left="162"/>
              <w:rPr>
                <w:sz w:val="14"/>
              </w:rPr>
            </w:pPr>
            <w:r>
              <w:rPr>
                <w:color w:val="231F20"/>
                <w:sz w:val="14"/>
              </w:rPr>
              <w:t>међушколским такмичењима.</w:t>
            </w:r>
          </w:p>
        </w:tc>
        <w:tc>
          <w:tcPr>
            <w:tcW w:w="2267" w:type="dxa"/>
            <w:tcBorders>
              <w:bottom w:val="nil"/>
            </w:tcBorders>
          </w:tcPr>
          <w:p w:rsidR="00041039" w:rsidRDefault="001B26CB">
            <w:pPr>
              <w:pStyle w:val="TableParagraph"/>
              <w:spacing w:before="18"/>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ind w:left="57" w:right="157"/>
              <w:rPr>
                <w:sz w:val="14"/>
              </w:rPr>
            </w:pPr>
            <w:r>
              <w:rPr>
                <w:color w:val="231F20"/>
                <w:sz w:val="14"/>
              </w:rPr>
              <w:t>за ученике и одвојено за ученице, а само у школама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spacing w:before="7"/>
              <w:ind w:left="0"/>
              <w:rPr>
                <w:b/>
                <w:sz w:val="13"/>
              </w:rPr>
            </w:pPr>
          </w:p>
          <w:p w:rsidR="00041039" w:rsidRDefault="001B26CB">
            <w:pPr>
              <w:pStyle w:val="TableParagraph"/>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w:t>
            </w:r>
            <w:r>
              <w:rPr>
                <w:color w:val="231F20"/>
                <w:sz w:val="14"/>
              </w:rPr>
              <w:t xml:space="preserve"> играма.</w:t>
            </w:r>
          </w:p>
        </w:tc>
      </w:tr>
      <w:tr w:rsidR="00041039">
        <w:trPr>
          <w:trHeight w:val="2951"/>
        </w:trPr>
        <w:tc>
          <w:tcPr>
            <w:tcW w:w="1304" w:type="dxa"/>
            <w:tcBorders>
              <w:top w:val="nil"/>
              <w:bottom w:val="nil"/>
            </w:tcBorders>
          </w:tcPr>
          <w:p w:rsidR="00041039" w:rsidRDefault="00041039">
            <w:pPr>
              <w:pStyle w:val="TableParagraph"/>
              <w:spacing w:before="2"/>
              <w:ind w:left="0"/>
              <w:rPr>
                <w:b/>
                <w:sz w:val="13"/>
              </w:rPr>
            </w:pPr>
          </w:p>
          <w:p w:rsidR="00041039" w:rsidRDefault="001B26CB">
            <w:pPr>
              <w:pStyle w:val="TableParagraph"/>
              <w:ind w:left="56"/>
              <w:rPr>
                <w:sz w:val="14"/>
              </w:rPr>
            </w:pPr>
            <w:r>
              <w:rPr>
                <w:color w:val="231F20"/>
                <w:sz w:val="14"/>
              </w:rPr>
              <w:t>Борилачке вештине</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3"/>
              <w:ind w:left="0"/>
              <w:rPr>
                <w:b/>
                <w:sz w:val="15"/>
              </w:rPr>
            </w:pPr>
          </w:p>
          <w:p w:rsidR="00041039" w:rsidRDefault="001B26CB">
            <w:pPr>
              <w:pStyle w:val="TableParagraph"/>
              <w:ind w:left="56"/>
              <w:rPr>
                <w:sz w:val="14"/>
              </w:rPr>
            </w:pPr>
            <w:r>
              <w:rPr>
                <w:color w:val="231F20"/>
                <w:sz w:val="14"/>
              </w:rPr>
              <w:t>Клизање, скијање</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b/>
                <w:sz w:val="13"/>
              </w:rPr>
            </w:pPr>
          </w:p>
          <w:p w:rsidR="00041039" w:rsidRDefault="001B26CB">
            <w:pPr>
              <w:pStyle w:val="TableParagraph"/>
              <w:spacing w:line="161" w:lineRule="exact"/>
              <w:ind w:left="57"/>
              <w:rPr>
                <w:b/>
                <w:sz w:val="14"/>
              </w:rPr>
            </w:pPr>
            <w:r>
              <w:rPr>
                <w:b/>
                <w:color w:val="231F20"/>
                <w:sz w:val="14"/>
              </w:rPr>
              <w:t>БОРИЛАЧКЕ ВЕШТИНЕ</w:t>
            </w:r>
          </w:p>
          <w:p w:rsidR="00041039" w:rsidRDefault="001B26CB">
            <w:pPr>
              <w:pStyle w:val="TableParagraph"/>
              <w:tabs>
                <w:tab w:val="left" w:pos="163"/>
              </w:tabs>
              <w:ind w:left="162" w:right="184" w:hanging="105"/>
              <w:rPr>
                <w:sz w:val="14"/>
              </w:rPr>
            </w:pPr>
            <w:r>
              <w:rPr>
                <w:color w:val="231F20"/>
                <w:sz w:val="14"/>
              </w:rPr>
              <w:t>Избор</w:t>
            </w:r>
            <w:r>
              <w:rPr>
                <w:color w:val="231F20"/>
                <w:spacing w:val="-7"/>
                <w:sz w:val="14"/>
              </w:rPr>
              <w:t xml:space="preserve"> </w:t>
            </w:r>
            <w:r>
              <w:rPr>
                <w:color w:val="231F20"/>
                <w:sz w:val="14"/>
              </w:rPr>
              <w:t>борилачке</w:t>
            </w:r>
            <w:r>
              <w:rPr>
                <w:color w:val="231F20"/>
                <w:spacing w:val="-6"/>
                <w:sz w:val="14"/>
              </w:rPr>
              <w:t xml:space="preserve"> </w:t>
            </w:r>
            <w:r>
              <w:rPr>
                <w:color w:val="231F20"/>
                <w:sz w:val="14"/>
              </w:rPr>
              <w:t>вештине</w:t>
            </w:r>
            <w:r>
              <w:rPr>
                <w:color w:val="231F20"/>
                <w:spacing w:val="-6"/>
                <w:sz w:val="14"/>
              </w:rPr>
              <w:t xml:space="preserve"> </w:t>
            </w:r>
            <w:r>
              <w:rPr>
                <w:color w:val="231F20"/>
                <w:sz w:val="14"/>
              </w:rPr>
              <w:t>која</w:t>
            </w:r>
            <w:r>
              <w:rPr>
                <w:color w:val="231F20"/>
                <w:spacing w:val="-6"/>
                <w:sz w:val="14"/>
              </w:rPr>
              <w:t xml:space="preserve"> </w:t>
            </w:r>
            <w:r>
              <w:rPr>
                <w:color w:val="231F20"/>
                <w:sz w:val="14"/>
              </w:rPr>
              <w:t>се</w:t>
            </w:r>
            <w:r>
              <w:rPr>
                <w:color w:val="231F20"/>
                <w:spacing w:val="-6"/>
                <w:sz w:val="14"/>
              </w:rPr>
              <w:t xml:space="preserve"> </w:t>
            </w:r>
            <w:r>
              <w:rPr>
                <w:color w:val="231F20"/>
                <w:sz w:val="14"/>
              </w:rPr>
              <w:t>изучава на матичним факултетима спорта и физичког васпитања и којајеу</w:t>
            </w:r>
            <w:r>
              <w:rPr>
                <w:color w:val="231F20"/>
                <w:spacing w:val="-12"/>
                <w:sz w:val="14"/>
              </w:rPr>
              <w:t xml:space="preserve"> </w:t>
            </w:r>
            <w:r>
              <w:rPr>
                <w:color w:val="231F20"/>
                <w:sz w:val="14"/>
              </w:rPr>
              <w:t>програ­</w:t>
            </w:r>
          </w:p>
          <w:p w:rsidR="00041039" w:rsidRDefault="001B26CB">
            <w:pPr>
              <w:pStyle w:val="TableParagraph"/>
              <w:spacing w:line="237" w:lineRule="auto"/>
              <w:ind w:left="162" w:right="94"/>
              <w:rPr>
                <w:sz w:val="14"/>
              </w:rPr>
            </w:pPr>
            <w:r>
              <w:rPr>
                <w:color w:val="231F20"/>
                <w:sz w:val="14"/>
              </w:rPr>
              <w:t>му Школских спортских такмичења. Наставник у складу са могућностима шко­ ле и интересовањима ученика предлаже наставни програм.</w:t>
            </w:r>
          </w:p>
          <w:p w:rsidR="00041039" w:rsidRDefault="00041039">
            <w:pPr>
              <w:pStyle w:val="TableParagraph"/>
              <w:spacing w:before="10"/>
              <w:ind w:left="0"/>
              <w:rPr>
                <w:b/>
                <w:sz w:val="13"/>
              </w:rPr>
            </w:pPr>
          </w:p>
          <w:p w:rsidR="00041039" w:rsidRDefault="001B26CB">
            <w:pPr>
              <w:pStyle w:val="TableParagraph"/>
              <w:spacing w:line="161" w:lineRule="exact"/>
              <w:ind w:left="57"/>
              <w:rPr>
                <w:b/>
                <w:sz w:val="14"/>
              </w:rPr>
            </w:pPr>
            <w:r>
              <w:rPr>
                <w:b/>
                <w:color w:val="231F20"/>
                <w:sz w:val="14"/>
              </w:rPr>
              <w:t>КЛИЗАЊЕ ИСКИЈАЊЕ</w:t>
            </w:r>
          </w:p>
          <w:p w:rsidR="00041039" w:rsidRDefault="001B26CB">
            <w:pPr>
              <w:pStyle w:val="TableParagraph"/>
              <w:tabs>
                <w:tab w:val="left" w:pos="163"/>
              </w:tabs>
              <w:ind w:left="162" w:right="191" w:hanging="105"/>
              <w:rPr>
                <w:sz w:val="14"/>
              </w:rPr>
            </w:pPr>
            <w:r>
              <w:rPr>
                <w:color w:val="231F20"/>
                <w:sz w:val="14"/>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 тима.</w:t>
            </w:r>
          </w:p>
        </w:tc>
        <w:tc>
          <w:tcPr>
            <w:tcW w:w="2267" w:type="dxa"/>
            <w:tcBorders>
              <w:top w:val="nil"/>
              <w:bottom w:val="nil"/>
            </w:tcBorders>
          </w:tcPr>
          <w:p w:rsidR="00041039" w:rsidRDefault="001B26CB">
            <w:pPr>
              <w:pStyle w:val="TableParagraph"/>
              <w:spacing w:line="148" w:lineRule="exact"/>
              <w:ind w:left="57"/>
              <w:rPr>
                <w:b/>
                <w:sz w:val="14"/>
              </w:rPr>
            </w:pPr>
            <w:r>
              <w:rPr>
                <w:b/>
                <w:color w:val="231F20"/>
                <w:sz w:val="14"/>
              </w:rPr>
              <w:t>Оквирни број часова по</w:t>
            </w:r>
            <w:r>
              <w:rPr>
                <w:b/>
                <w:color w:val="231F20"/>
                <w:sz w:val="14"/>
              </w:rPr>
              <w:t xml:space="preserve"> темама</w:t>
            </w:r>
          </w:p>
          <w:p w:rsidR="00041039" w:rsidRDefault="001B26CB">
            <w:pPr>
              <w:pStyle w:val="TableParagraph"/>
              <w:tabs>
                <w:tab w:val="left" w:pos="158"/>
              </w:tabs>
              <w:spacing w:line="237" w:lineRule="auto"/>
              <w:ind w:left="157" w:right="246" w:hanging="100"/>
              <w:rPr>
                <w:b/>
                <w:sz w:val="14"/>
              </w:rPr>
            </w:pPr>
            <w:r>
              <w:rPr>
                <w:color w:val="231F20"/>
                <w:sz w:val="14"/>
              </w:rPr>
              <w:t>Тестирање и проверасавлада­ ности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237" w:lineRule="auto"/>
              <w:ind w:left="157" w:right="92" w:hanging="100"/>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tabs>
                <w:tab w:val="left" w:pos="158"/>
              </w:tabs>
              <w:spacing w:line="155" w:lineRule="exact"/>
              <w:ind w:left="157" w:hanging="100"/>
              <w:rPr>
                <w:b/>
                <w:sz w:val="14"/>
              </w:rPr>
            </w:pPr>
            <w:r>
              <w:rPr>
                <w:color w:val="231F20"/>
                <w:spacing w:val="-3"/>
                <w:sz w:val="14"/>
              </w:rPr>
              <w:t xml:space="preserve">Атлетика </w:t>
            </w:r>
            <w:r>
              <w:rPr>
                <w:b/>
                <w:color w:val="231F20"/>
                <w:sz w:val="14"/>
              </w:rPr>
              <w:t>(10</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237" w:lineRule="auto"/>
              <w:ind w:left="157" w:right="105" w:hanging="100"/>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0" w:lineRule="exact"/>
              <w:ind w:left="157" w:hanging="100"/>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tabs>
                <w:tab w:val="left" w:pos="158"/>
              </w:tabs>
              <w:spacing w:line="237" w:lineRule="auto"/>
              <w:ind w:left="157" w:right="119" w:hanging="100"/>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57" w:lineRule="exact"/>
              <w:ind w:left="157" w:hanging="100"/>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237" w:lineRule="auto"/>
              <w:ind w:left="157" w:right="401" w:hanging="100"/>
              <w:rPr>
                <w:b/>
                <w:sz w:val="14"/>
              </w:rPr>
            </w:pPr>
            <w:r>
              <w:rPr>
                <w:color w:val="231F20"/>
                <w:sz w:val="14"/>
              </w:rPr>
              <w:t>Провера знања и вештина</w:t>
            </w:r>
            <w:r>
              <w:rPr>
                <w:color w:val="231F20"/>
                <w:spacing w:val="-11"/>
                <w:sz w:val="14"/>
              </w:rPr>
              <w:t xml:space="preserve"> </w:t>
            </w:r>
            <w:r>
              <w:rPr>
                <w:b/>
                <w:color w:val="231F20"/>
                <w:sz w:val="14"/>
              </w:rPr>
              <w:t>(4 часа)</w:t>
            </w:r>
          </w:p>
        </w:tc>
      </w:tr>
      <w:tr w:rsidR="00041039">
        <w:trPr>
          <w:trHeight w:val="287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c>
          <w:tcPr>
            <w:tcW w:w="2267" w:type="dxa"/>
            <w:tcBorders>
              <w:top w:val="nil"/>
              <w:bottom w:val="nil"/>
            </w:tcBorders>
          </w:tcPr>
          <w:p w:rsidR="00041039" w:rsidRDefault="001B26CB">
            <w:pPr>
              <w:pStyle w:val="TableParagraph"/>
              <w:spacing w:before="71"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извођење редовне наставе школау току школске године организује: Два целодневна излета са пеша­ чењем:</w:t>
            </w:r>
          </w:p>
          <w:p w:rsidR="00041039" w:rsidRDefault="001B26CB">
            <w:pPr>
              <w:pStyle w:val="TableParagraph"/>
              <w:tabs>
                <w:tab w:val="left" w:pos="163"/>
              </w:tabs>
              <w:spacing w:line="237" w:lineRule="auto"/>
              <w:ind w:left="162" w:right="262" w:hanging="105"/>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tabs>
                <w:tab w:val="left" w:pos="163"/>
              </w:tabs>
              <w:ind w:left="162" w:right="181" w:hanging="105"/>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tabs>
                <w:tab w:val="left" w:pos="163"/>
              </w:tabs>
              <w:ind w:left="162" w:right="134" w:hanging="105"/>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tc>
      </w:tr>
      <w:tr w:rsidR="00041039">
        <w:trPr>
          <w:trHeight w:val="1692"/>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tcBorders>
          </w:tcPr>
          <w:p w:rsidR="00041039" w:rsidRDefault="001B26CB">
            <w:pPr>
              <w:pStyle w:val="TableParagraph"/>
              <w:spacing w:before="73" w:line="237" w:lineRule="auto"/>
              <w:ind w:left="57" w:right="10"/>
              <w:rPr>
                <w:sz w:val="14"/>
              </w:rPr>
            </w:pPr>
            <w:r>
              <w:rPr>
                <w:color w:val="231F20"/>
                <w:sz w:val="14"/>
              </w:rPr>
              <w:t>Школа организује и спроводи спортска такмичења, као јединстве­ ни део процеса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w:t>
            </w:r>
            <w:r>
              <w:rPr>
                <w:color w:val="231F20"/>
                <w:sz w:val="14"/>
              </w:rPr>
              <w:t>ара који доноси Министарство просве­ те науке и технолошког развоја.</w:t>
            </w:r>
          </w:p>
        </w:tc>
      </w:tr>
    </w:tbl>
    <w:p w:rsidR="00041039" w:rsidRDefault="001B26CB">
      <w:pPr>
        <w:pStyle w:val="Heading2"/>
        <w:spacing w:before="43" w:line="232" w:lineRule="auto"/>
        <w:ind w:left="100" w:right="137" w:firstLine="396"/>
        <w:jc w:val="both"/>
      </w:pPr>
      <w:r>
        <w:rPr>
          <w:color w:val="231F20"/>
        </w:rPr>
        <w:t xml:space="preserve">Сваки </w:t>
      </w:r>
      <w:r>
        <w:rPr>
          <w:color w:val="231F20"/>
          <w:spacing w:val="-3"/>
        </w:rPr>
        <w:t xml:space="preserve">од </w:t>
      </w:r>
      <w:r>
        <w:rPr>
          <w:color w:val="231F20"/>
        </w:rPr>
        <w:t xml:space="preserve">образовних профила има карактеристике везане за обављање конкретних стручних послова, </w:t>
      </w:r>
      <w:r>
        <w:rPr>
          <w:color w:val="231F20"/>
          <w:spacing w:val="-3"/>
        </w:rPr>
        <w:t xml:space="preserve">који </w:t>
      </w:r>
      <w:r>
        <w:rPr>
          <w:color w:val="231F20"/>
        </w:rPr>
        <w:t xml:space="preserve">захтевају одређене по­ ложаје тела, покрете и кретања, </w:t>
      </w:r>
      <w:r>
        <w:rPr>
          <w:color w:val="231F20"/>
          <w:spacing w:val="-3"/>
        </w:rPr>
        <w:t xml:space="preserve">који </w:t>
      </w:r>
      <w:r>
        <w:rPr>
          <w:color w:val="231F20"/>
        </w:rPr>
        <w:t xml:space="preserve">могу негативно утицати на правилно држање (статус кичменог стуба и статус стопала). </w:t>
      </w:r>
      <w:r>
        <w:rPr>
          <w:color w:val="231F20"/>
          <w:spacing w:val="-4"/>
        </w:rPr>
        <w:t xml:space="preserve">Како </w:t>
      </w:r>
      <w:r>
        <w:rPr>
          <w:color w:val="231F20"/>
        </w:rPr>
        <w:t xml:space="preserve">би се </w:t>
      </w:r>
      <w:r>
        <w:rPr>
          <w:color w:val="231F20"/>
          <w:spacing w:val="-3"/>
        </w:rPr>
        <w:t>избегли</w:t>
      </w:r>
      <w:r>
        <w:rPr>
          <w:color w:val="231F20"/>
          <w:spacing w:val="-7"/>
        </w:rPr>
        <w:t xml:space="preserve"> </w:t>
      </w:r>
      <w:r>
        <w:rPr>
          <w:color w:val="231F20"/>
        </w:rPr>
        <w:t>ови</w:t>
      </w:r>
      <w:r>
        <w:rPr>
          <w:color w:val="231F20"/>
          <w:spacing w:val="-7"/>
        </w:rPr>
        <w:t xml:space="preserve"> </w:t>
      </w:r>
      <w:r>
        <w:rPr>
          <w:color w:val="231F20"/>
        </w:rPr>
        <w:t>негативни</w:t>
      </w:r>
      <w:r>
        <w:rPr>
          <w:color w:val="231F20"/>
          <w:spacing w:val="-7"/>
        </w:rPr>
        <w:t xml:space="preserve"> </w:t>
      </w:r>
      <w:r>
        <w:rPr>
          <w:color w:val="231F20"/>
        </w:rPr>
        <w:t>утицаји,</w:t>
      </w:r>
      <w:r>
        <w:rPr>
          <w:color w:val="231F20"/>
          <w:spacing w:val="-7"/>
        </w:rPr>
        <w:t xml:space="preserve"> </w:t>
      </w:r>
      <w:r>
        <w:rPr>
          <w:color w:val="231F20"/>
        </w:rPr>
        <w:t>наставници</w:t>
      </w:r>
      <w:r>
        <w:rPr>
          <w:color w:val="231F20"/>
          <w:spacing w:val="-7"/>
        </w:rPr>
        <w:t xml:space="preserve"> </w:t>
      </w:r>
      <w:r>
        <w:rPr>
          <w:color w:val="231F20"/>
        </w:rPr>
        <w:t>стручних</w:t>
      </w:r>
      <w:r>
        <w:rPr>
          <w:color w:val="231F20"/>
          <w:spacing w:val="-7"/>
        </w:rPr>
        <w:t xml:space="preserve"> </w:t>
      </w:r>
      <w:r>
        <w:rPr>
          <w:color w:val="231F20"/>
        </w:rPr>
        <w:t>предмета</w:t>
      </w:r>
      <w:r>
        <w:rPr>
          <w:color w:val="231F20"/>
          <w:spacing w:val="-7"/>
        </w:rPr>
        <w:t xml:space="preserve"> </w:t>
      </w:r>
      <w:r>
        <w:rPr>
          <w:color w:val="231F20"/>
        </w:rPr>
        <w:t>и</w:t>
      </w:r>
      <w:r>
        <w:rPr>
          <w:color w:val="231F20"/>
          <w:spacing w:val="-7"/>
        </w:rPr>
        <w:t xml:space="preserve"> </w:t>
      </w:r>
      <w:r>
        <w:rPr>
          <w:color w:val="231F20"/>
        </w:rPr>
        <w:t>професори</w:t>
      </w:r>
      <w:r>
        <w:rPr>
          <w:color w:val="231F20"/>
          <w:spacing w:val="-7"/>
        </w:rPr>
        <w:t xml:space="preserve"> </w:t>
      </w:r>
      <w:r>
        <w:rPr>
          <w:color w:val="231F20"/>
        </w:rPr>
        <w:t>физичког</w:t>
      </w:r>
      <w:r>
        <w:rPr>
          <w:color w:val="231F20"/>
          <w:spacing w:val="-7"/>
        </w:rPr>
        <w:t xml:space="preserve"> </w:t>
      </w:r>
      <w:r>
        <w:rPr>
          <w:color w:val="231F20"/>
        </w:rPr>
        <w:t>васпитања</w:t>
      </w:r>
      <w:r>
        <w:rPr>
          <w:color w:val="231F20"/>
          <w:spacing w:val="-7"/>
        </w:rPr>
        <w:t xml:space="preserve"> </w:t>
      </w:r>
      <w:r>
        <w:rPr>
          <w:color w:val="231F20"/>
        </w:rPr>
        <w:t>дефинишу</w:t>
      </w:r>
      <w:r>
        <w:rPr>
          <w:color w:val="231F20"/>
          <w:spacing w:val="-7"/>
        </w:rPr>
        <w:t xml:space="preserve"> </w:t>
      </w:r>
      <w:r>
        <w:rPr>
          <w:color w:val="231F20"/>
        </w:rPr>
        <w:t>могуће</w:t>
      </w:r>
      <w:r>
        <w:rPr>
          <w:color w:val="231F20"/>
          <w:spacing w:val="-7"/>
        </w:rPr>
        <w:t xml:space="preserve"> </w:t>
      </w:r>
      <w:r>
        <w:rPr>
          <w:color w:val="231F20"/>
        </w:rPr>
        <w:t>професионалне</w:t>
      </w:r>
      <w:r>
        <w:rPr>
          <w:color w:val="231F20"/>
          <w:spacing w:val="-7"/>
        </w:rPr>
        <w:t xml:space="preserve"> </w:t>
      </w:r>
      <w:r>
        <w:rPr>
          <w:color w:val="231F20"/>
        </w:rPr>
        <w:t>поре­ мећаје, на основу чега се програми</w:t>
      </w:r>
      <w:r>
        <w:rPr>
          <w:color w:val="231F20"/>
        </w:rPr>
        <w:t>рају посебни садржаји, којима се обезбеђује</w:t>
      </w:r>
      <w:r>
        <w:rPr>
          <w:color w:val="231F20"/>
          <w:spacing w:val="-6"/>
        </w:rPr>
        <w:t xml:space="preserve"> </w:t>
      </w:r>
      <w:r>
        <w:rPr>
          <w:color w:val="231F20"/>
        </w:rPr>
        <w:t>превенција.</w:t>
      </w:r>
    </w:p>
    <w:p w:rsidR="00041039" w:rsidRDefault="00041039">
      <w:pPr>
        <w:pStyle w:val="BodyText"/>
        <w:spacing w:before="7"/>
        <w:rPr>
          <w:sz w:val="16"/>
        </w:rPr>
      </w:pPr>
    </w:p>
    <w:p w:rsidR="00041039" w:rsidRDefault="001B26CB">
      <w:pPr>
        <w:spacing w:before="1" w:line="203" w:lineRule="exact"/>
        <w:ind w:left="497"/>
        <w:rPr>
          <w:b/>
          <w:sz w:val="18"/>
        </w:rPr>
      </w:pPr>
      <w:r>
        <w:rPr>
          <w:b/>
          <w:color w:val="231F20"/>
          <w:sz w:val="18"/>
        </w:rPr>
        <w:t>КОРЕЛАЦИЈА СА ДРУГИМ ПРЕДМЕТИМА</w:t>
      </w:r>
    </w:p>
    <w:p w:rsidR="00041039" w:rsidRDefault="001B26CB">
      <w:pPr>
        <w:pStyle w:val="ListParagraph"/>
        <w:tabs>
          <w:tab w:val="left" w:pos="633"/>
        </w:tabs>
        <w:rPr>
          <w:sz w:val="18"/>
        </w:rPr>
      </w:pPr>
      <w:r>
        <w:rPr>
          <w:color w:val="231F20"/>
          <w:sz w:val="18"/>
        </w:rPr>
        <w:t>Биологија (одабране</w:t>
      </w:r>
      <w:r>
        <w:rPr>
          <w:color w:val="231F20"/>
          <w:spacing w:val="-2"/>
          <w:sz w:val="18"/>
        </w:rPr>
        <w:t xml:space="preserve"> </w:t>
      </w:r>
      <w:r>
        <w:rPr>
          <w:color w:val="231F20"/>
          <w:sz w:val="18"/>
        </w:rPr>
        <w:t>теме)*</w:t>
      </w:r>
    </w:p>
    <w:p w:rsidR="00041039" w:rsidRDefault="001B26CB">
      <w:pPr>
        <w:pStyle w:val="ListParagraph"/>
        <w:tabs>
          <w:tab w:val="left" w:pos="633"/>
        </w:tabs>
        <w:spacing w:line="203" w:lineRule="exact"/>
        <w:rPr>
          <w:sz w:val="18"/>
        </w:rPr>
      </w:pPr>
      <w:r>
        <w:rPr>
          <w:color w:val="231F20"/>
          <w:sz w:val="18"/>
        </w:rPr>
        <w:t>Музичка</w:t>
      </w:r>
      <w:r>
        <w:rPr>
          <w:color w:val="231F20"/>
          <w:spacing w:val="-1"/>
          <w:sz w:val="18"/>
        </w:rPr>
        <w:t xml:space="preserve"> </w:t>
      </w:r>
      <w:r>
        <w:rPr>
          <w:color w:val="231F20"/>
          <w:spacing w:val="-3"/>
          <w:sz w:val="18"/>
        </w:rPr>
        <w:t>култура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041039" w:rsidRDefault="001B26CB">
      <w:pPr>
        <w:pStyle w:val="BodyText"/>
        <w:tabs>
          <w:tab w:val="left" w:pos="1460"/>
        </w:tabs>
        <w:spacing w:before="49" w:line="161" w:lineRule="exact"/>
        <w:ind w:left="157"/>
      </w:pPr>
      <w:r>
        <w:rPr>
          <w:color w:val="231F20"/>
        </w:rPr>
        <w:t>Циљ</w:t>
      </w:r>
      <w:r>
        <w:rPr>
          <w:color w:val="231F20"/>
          <w:spacing w:val="-3"/>
        </w:rPr>
        <w:t xml:space="preserve"> </w:t>
      </w:r>
      <w:r>
        <w:rPr>
          <w:color w:val="231F20"/>
        </w:rPr>
        <w:t>предмета:</w:t>
      </w:r>
      <w:r>
        <w:rPr>
          <w:color w:val="231F20"/>
        </w:rPr>
        <w:tab/>
        <w:t>– Развијање логичког и апстрактног</w:t>
      </w:r>
      <w:r>
        <w:rPr>
          <w:color w:val="231F20"/>
          <w:spacing w:val="-3"/>
        </w:rPr>
        <w:t xml:space="preserve"> </w:t>
      </w:r>
      <w:r>
        <w:rPr>
          <w:color w:val="231F20"/>
        </w:rPr>
        <w:t>мишљења;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Развијање осећаја за простор. разликовање геометријских објеката и њихови узајамни односи и</w:t>
      </w:r>
      <w:r>
        <w:rPr>
          <w:color w:val="231F20"/>
          <w:spacing w:val="-10"/>
          <w:sz w:val="14"/>
        </w:rPr>
        <w:t xml:space="preserve"> </w:t>
      </w:r>
      <w:r>
        <w:rPr>
          <w:color w:val="231F20"/>
          <w:sz w:val="14"/>
        </w:rPr>
        <w:t>трансформације;</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Развијање систематичности, уредности, прецизно</w:t>
      </w:r>
      <w:r>
        <w:rPr>
          <w:color w:val="231F20"/>
          <w:sz w:val="14"/>
        </w:rPr>
        <w:t>сти, темељности, истрајности, критичности у</w:t>
      </w:r>
      <w:r>
        <w:rPr>
          <w:color w:val="231F20"/>
          <w:spacing w:val="-2"/>
          <w:sz w:val="14"/>
        </w:rPr>
        <w:t xml:space="preserve"> </w:t>
      </w:r>
      <w:r>
        <w:rPr>
          <w:color w:val="231F20"/>
          <w:sz w:val="14"/>
        </w:rPr>
        <w:t>раду;</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математици тако и у осталим</w:t>
      </w:r>
      <w:r>
        <w:rPr>
          <w:color w:val="231F20"/>
          <w:spacing w:val="-6"/>
          <w:sz w:val="14"/>
        </w:rPr>
        <w:t xml:space="preserve"> </w:t>
      </w:r>
      <w:r>
        <w:rPr>
          <w:color w:val="231F20"/>
          <w:sz w:val="14"/>
        </w:rPr>
        <w:t>предметима;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Формирање основа за наставак</w:t>
      </w:r>
      <w:r>
        <w:rPr>
          <w:color w:val="231F20"/>
          <w:spacing w:val="-2"/>
          <w:sz w:val="14"/>
        </w:rPr>
        <w:t xml:space="preserve"> </w:t>
      </w:r>
      <w:r>
        <w:rPr>
          <w:color w:val="231F20"/>
          <w:sz w:val="14"/>
        </w:rPr>
        <w:t>образовања;</w:t>
      </w:r>
    </w:p>
    <w:p w:rsidR="00041039" w:rsidRDefault="001B26CB">
      <w:pPr>
        <w:pStyle w:val="ListParagraph"/>
        <w:numPr>
          <w:ilvl w:val="1"/>
          <w:numId w:val="0"/>
        </w:numPr>
        <w:tabs>
          <w:tab w:val="left" w:pos="1566"/>
        </w:tabs>
        <w:spacing w:line="161" w:lineRule="exact"/>
        <w:ind w:left="1565" w:hanging="105"/>
        <w:rPr>
          <w:sz w:val="14"/>
        </w:rPr>
      </w:pPr>
      <w:r>
        <w:rPr>
          <w:color w:val="231F20"/>
          <w:sz w:val="14"/>
        </w:rPr>
        <w:t>Формирање</w:t>
      </w:r>
      <w:r>
        <w:rPr>
          <w:color w:val="231F20"/>
          <w:spacing w:val="-2"/>
          <w:sz w:val="14"/>
        </w:rPr>
        <w:t xml:space="preserve"> </w:t>
      </w:r>
      <w:r>
        <w:rPr>
          <w:color w:val="231F20"/>
          <w:sz w:val="14"/>
        </w:rPr>
        <w:t>математичке</w:t>
      </w:r>
      <w:r>
        <w:rPr>
          <w:color w:val="231F20"/>
          <w:spacing w:val="-2"/>
          <w:sz w:val="14"/>
        </w:rPr>
        <w:t xml:space="preserve"> </w:t>
      </w:r>
      <w:r>
        <w:rPr>
          <w:color w:val="231F20"/>
          <w:sz w:val="14"/>
        </w:rPr>
        <w:t>културе</w:t>
      </w:r>
      <w:r>
        <w:rPr>
          <w:color w:val="231F20"/>
          <w:spacing w:val="-2"/>
          <w:sz w:val="14"/>
        </w:rPr>
        <w:t xml:space="preserve"> </w:t>
      </w:r>
      <w:r>
        <w:rPr>
          <w:color w:val="231F20"/>
          <w:sz w:val="14"/>
        </w:rPr>
        <w:t>која</w:t>
      </w:r>
      <w:r>
        <w:rPr>
          <w:color w:val="231F20"/>
          <w:spacing w:val="-2"/>
          <w:sz w:val="14"/>
        </w:rPr>
        <w:t xml:space="preserve"> </w:t>
      </w:r>
      <w:r>
        <w:rPr>
          <w:color w:val="231F20"/>
          <w:sz w:val="14"/>
        </w:rPr>
        <w:t>подразумева</w:t>
      </w:r>
      <w:r>
        <w:rPr>
          <w:color w:val="231F20"/>
          <w:spacing w:val="-2"/>
          <w:sz w:val="14"/>
        </w:rPr>
        <w:t xml:space="preserve"> </w:t>
      </w:r>
      <w:r>
        <w:rPr>
          <w:color w:val="231F20"/>
          <w:sz w:val="14"/>
        </w:rPr>
        <w:t>свест</w:t>
      </w:r>
      <w:r>
        <w:rPr>
          <w:color w:val="231F20"/>
          <w:spacing w:val="-2"/>
          <w:sz w:val="14"/>
        </w:rPr>
        <w:t xml:space="preserve"> </w:t>
      </w:r>
      <w:r>
        <w:rPr>
          <w:color w:val="231F20"/>
          <w:sz w:val="14"/>
        </w:rPr>
        <w:t>о</w:t>
      </w:r>
      <w:r>
        <w:rPr>
          <w:color w:val="231F20"/>
          <w:spacing w:val="-2"/>
          <w:sz w:val="14"/>
        </w:rPr>
        <w:t xml:space="preserve"> </w:t>
      </w:r>
      <w:r>
        <w:rPr>
          <w:color w:val="231F20"/>
          <w:sz w:val="14"/>
        </w:rPr>
        <w:t>универзалности</w:t>
      </w:r>
      <w:r>
        <w:rPr>
          <w:color w:val="231F20"/>
          <w:spacing w:val="-2"/>
          <w:sz w:val="14"/>
        </w:rPr>
        <w:t xml:space="preserve"> </w:t>
      </w:r>
      <w:r>
        <w:rPr>
          <w:color w:val="231F20"/>
          <w:sz w:val="14"/>
        </w:rPr>
        <w:t>и</w:t>
      </w:r>
      <w:r>
        <w:rPr>
          <w:color w:val="231F20"/>
          <w:spacing w:val="-3"/>
          <w:sz w:val="14"/>
        </w:rPr>
        <w:t xml:space="preserve"> </w:t>
      </w:r>
      <w:r>
        <w:rPr>
          <w:color w:val="231F20"/>
          <w:sz w:val="14"/>
        </w:rPr>
        <w:t>примени</w:t>
      </w:r>
      <w:r>
        <w:rPr>
          <w:color w:val="231F20"/>
          <w:spacing w:val="-3"/>
          <w:sz w:val="14"/>
        </w:rPr>
        <w:t xml:space="preserve"> </w:t>
      </w:r>
      <w:r>
        <w:rPr>
          <w:color w:val="231F20"/>
          <w:sz w:val="14"/>
        </w:rPr>
        <w:t>математике</w:t>
      </w:r>
      <w:r>
        <w:rPr>
          <w:color w:val="231F20"/>
          <w:spacing w:val="-2"/>
          <w:sz w:val="14"/>
        </w:rPr>
        <w:t xml:space="preserve"> </w:t>
      </w:r>
      <w:r>
        <w:rPr>
          <w:color w:val="231F20"/>
          <w:sz w:val="14"/>
        </w:rPr>
        <w:t>и</w:t>
      </w:r>
      <w:r>
        <w:rPr>
          <w:color w:val="231F20"/>
          <w:spacing w:val="-3"/>
          <w:sz w:val="14"/>
        </w:rPr>
        <w:t xml:space="preserve"> </w:t>
      </w:r>
      <w:r>
        <w:rPr>
          <w:color w:val="231F20"/>
          <w:sz w:val="14"/>
        </w:rPr>
        <w:t>математичког</w:t>
      </w:r>
      <w:r>
        <w:rPr>
          <w:color w:val="231F20"/>
          <w:spacing w:val="-2"/>
          <w:sz w:val="14"/>
        </w:rPr>
        <w:t xml:space="preserve"> </w:t>
      </w:r>
      <w:r>
        <w:rPr>
          <w:color w:val="231F20"/>
          <w:sz w:val="14"/>
        </w:rPr>
        <w:t>начина</w:t>
      </w:r>
      <w:r>
        <w:rPr>
          <w:color w:val="231F20"/>
          <w:spacing w:val="-2"/>
          <w:sz w:val="14"/>
        </w:rPr>
        <w:t xml:space="preserve"> </w:t>
      </w:r>
      <w:r>
        <w:rPr>
          <w:color w:val="231F20"/>
          <w:sz w:val="14"/>
        </w:rPr>
        <w:t>мишљења.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140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ight="37"/>
              <w:rPr>
                <w:sz w:val="14"/>
              </w:rPr>
            </w:pPr>
            <w:r>
              <w:rPr>
                <w:color w:val="231F20"/>
                <w:sz w:val="14"/>
              </w:rPr>
              <w:t>Тригонометрија правоуглог троугла</w:t>
            </w:r>
          </w:p>
        </w:tc>
        <w:tc>
          <w:tcPr>
            <w:tcW w:w="1587" w:type="dxa"/>
          </w:tcPr>
          <w:p w:rsidR="00041039" w:rsidRDefault="001B26CB">
            <w:pPr>
              <w:pStyle w:val="TableParagraph"/>
              <w:tabs>
                <w:tab w:val="left" w:pos="157"/>
              </w:tabs>
              <w:spacing w:before="8"/>
              <w:ind w:right="94" w:hanging="100"/>
              <w:rPr>
                <w:sz w:val="14"/>
              </w:rPr>
            </w:pPr>
            <w:r>
              <w:rPr>
                <w:color w:val="231F20"/>
                <w:sz w:val="14"/>
              </w:rPr>
              <w:t xml:space="preserve">Оспособљавање за решавање </w:t>
            </w:r>
            <w:r>
              <w:rPr>
                <w:color w:val="231F20"/>
                <w:spacing w:val="-3"/>
                <w:sz w:val="14"/>
              </w:rPr>
              <w:t xml:space="preserve">правоуглог </w:t>
            </w:r>
            <w:r>
              <w:rPr>
                <w:color w:val="231F20"/>
                <w:sz w:val="14"/>
              </w:rPr>
              <w:t>троугла, као и за</w:t>
            </w:r>
            <w:r>
              <w:rPr>
                <w:color w:val="231F20"/>
                <w:spacing w:val="-25"/>
                <w:sz w:val="14"/>
              </w:rPr>
              <w:t xml:space="preserve"> </w:t>
            </w:r>
            <w:r>
              <w:rPr>
                <w:color w:val="231F20"/>
                <w:sz w:val="14"/>
              </w:rPr>
              <w:t>изра­ чунавање вредности основних тригоно­ метријских функција на тригонометријској кружници.</w:t>
            </w:r>
          </w:p>
        </w:tc>
        <w:tc>
          <w:tcPr>
            <w:tcW w:w="2551" w:type="dxa"/>
          </w:tcPr>
          <w:p w:rsidR="00041039" w:rsidRDefault="001B26CB">
            <w:pPr>
              <w:pStyle w:val="TableParagraph"/>
              <w:tabs>
                <w:tab w:val="left" w:pos="157"/>
              </w:tabs>
              <w:spacing w:before="8"/>
              <w:ind w:right="43" w:hanging="99"/>
              <w:rPr>
                <w:sz w:val="14"/>
              </w:rPr>
            </w:pPr>
            <w:r>
              <w:rPr>
                <w:color w:val="231F20"/>
                <w:sz w:val="14"/>
              </w:rPr>
              <w:t>објасни шта су синус, косинус,</w:t>
            </w:r>
            <w:r>
              <w:rPr>
                <w:color w:val="231F20"/>
                <w:spacing w:val="-13"/>
                <w:sz w:val="14"/>
              </w:rPr>
              <w:t xml:space="preserve"> </w:t>
            </w:r>
            <w:r>
              <w:rPr>
                <w:color w:val="231F20"/>
                <w:sz w:val="14"/>
              </w:rPr>
              <w:t xml:space="preserve">тангенс и котангенс оштрог </w:t>
            </w:r>
            <w:r>
              <w:rPr>
                <w:color w:val="231F20"/>
                <w:spacing w:val="-3"/>
                <w:sz w:val="14"/>
              </w:rPr>
              <w:t xml:space="preserve">угла </w:t>
            </w:r>
            <w:r>
              <w:rPr>
                <w:color w:val="231F20"/>
                <w:sz w:val="14"/>
              </w:rPr>
              <w:t xml:space="preserve">у </w:t>
            </w:r>
            <w:r>
              <w:rPr>
                <w:color w:val="231F20"/>
                <w:spacing w:val="-3"/>
                <w:sz w:val="14"/>
              </w:rPr>
              <w:t xml:space="preserve">правоуглом </w:t>
            </w:r>
            <w:r>
              <w:rPr>
                <w:color w:val="231F20"/>
                <w:spacing w:val="-4"/>
                <w:sz w:val="14"/>
              </w:rPr>
              <w:t xml:space="preserve">троуглу, </w:t>
            </w:r>
            <w:r>
              <w:rPr>
                <w:color w:val="231F20"/>
                <w:sz w:val="14"/>
              </w:rPr>
              <w:t xml:space="preserve">израчуна их </w:t>
            </w:r>
            <w:r>
              <w:rPr>
                <w:color w:val="231F20"/>
                <w:spacing w:val="-3"/>
                <w:sz w:val="14"/>
              </w:rPr>
              <w:t xml:space="preserve">ако </w:t>
            </w:r>
            <w:r>
              <w:rPr>
                <w:color w:val="231F20"/>
                <w:sz w:val="14"/>
              </w:rPr>
              <w:t>су дате странице (или се могу израчунати) и обрнуто, конструише оштар угао</w:t>
            </w:r>
            <w:r>
              <w:rPr>
                <w:color w:val="231F20"/>
                <w:spacing w:val="-5"/>
                <w:sz w:val="14"/>
              </w:rPr>
              <w:t xml:space="preserve"> </w:t>
            </w:r>
            <w:r>
              <w:rPr>
                <w:color w:val="231F20"/>
                <w:spacing w:val="-3"/>
                <w:sz w:val="14"/>
              </w:rPr>
              <w:t>ако</w:t>
            </w:r>
          </w:p>
          <w:p w:rsidR="00041039" w:rsidRDefault="001B26CB">
            <w:pPr>
              <w:pStyle w:val="TableParagraph"/>
              <w:spacing w:line="237" w:lineRule="auto"/>
              <w:ind w:right="228"/>
              <w:jc w:val="both"/>
              <w:rPr>
                <w:sz w:val="14"/>
              </w:rPr>
            </w:pPr>
            <w:r>
              <w:rPr>
                <w:color w:val="231F20"/>
                <w:sz w:val="14"/>
              </w:rPr>
              <w:t>је позната једна његова</w:t>
            </w:r>
            <w:r>
              <w:rPr>
                <w:color w:val="231F20"/>
                <w:spacing w:val="-21"/>
                <w:sz w:val="14"/>
              </w:rPr>
              <w:t xml:space="preserve"> </w:t>
            </w:r>
            <w:r>
              <w:rPr>
                <w:color w:val="231F20"/>
                <w:sz w:val="14"/>
              </w:rPr>
              <w:t>тригономет­ ријска</w:t>
            </w:r>
            <w:r>
              <w:rPr>
                <w:color w:val="231F20"/>
                <w:spacing w:val="-1"/>
                <w:sz w:val="14"/>
              </w:rPr>
              <w:t xml:space="preserve"> </w:t>
            </w:r>
            <w:r>
              <w:rPr>
                <w:color w:val="231F20"/>
                <w:sz w:val="14"/>
              </w:rPr>
              <w:t>функција;</w:t>
            </w:r>
          </w:p>
          <w:p w:rsidR="00041039" w:rsidRDefault="001B26CB">
            <w:pPr>
              <w:pStyle w:val="TableParagraph"/>
              <w:tabs>
                <w:tab w:val="left" w:pos="157"/>
              </w:tabs>
              <w:spacing w:line="237" w:lineRule="auto"/>
              <w:ind w:right="137" w:hanging="99"/>
              <w:rPr>
                <w:sz w:val="14"/>
              </w:rPr>
            </w:pPr>
            <w:r>
              <w:rPr>
                <w:color w:val="231F20"/>
                <w:sz w:val="14"/>
              </w:rPr>
              <w:t>одреди вредности</w:t>
            </w:r>
            <w:r>
              <w:rPr>
                <w:color w:val="231F20"/>
                <w:spacing w:val="-12"/>
                <w:sz w:val="14"/>
              </w:rPr>
              <w:t xml:space="preserve"> </w:t>
            </w:r>
            <w:r>
              <w:rPr>
                <w:color w:val="231F20"/>
                <w:sz w:val="14"/>
              </w:rPr>
              <w:t>тригонометријских функција углова 30°, 45°,</w:t>
            </w:r>
            <w:r>
              <w:rPr>
                <w:color w:val="231F20"/>
                <w:spacing w:val="-4"/>
                <w:sz w:val="14"/>
              </w:rPr>
              <w:t xml:space="preserve"> </w:t>
            </w:r>
            <w:r>
              <w:rPr>
                <w:color w:val="231F20"/>
                <w:sz w:val="14"/>
              </w:rPr>
              <w:t>60°;</w:t>
            </w:r>
          </w:p>
          <w:p w:rsidR="00041039" w:rsidRDefault="001B26CB">
            <w:pPr>
              <w:pStyle w:val="TableParagraph"/>
              <w:tabs>
                <w:tab w:val="left" w:pos="157"/>
              </w:tabs>
              <w:spacing w:line="160" w:lineRule="exact"/>
              <w:ind w:right="276" w:hanging="99"/>
              <w:jc w:val="both"/>
              <w:rPr>
                <w:sz w:val="14"/>
              </w:rPr>
            </w:pPr>
            <w:r>
              <w:rPr>
                <w:color w:val="231F20"/>
                <w:sz w:val="14"/>
              </w:rPr>
              <w:t>одреди вредност сваке</w:t>
            </w:r>
            <w:r>
              <w:rPr>
                <w:color w:val="231F20"/>
                <w:spacing w:val="-19"/>
                <w:sz w:val="14"/>
              </w:rPr>
              <w:t xml:space="preserve"> </w:t>
            </w:r>
            <w:r>
              <w:rPr>
                <w:color w:val="231F20"/>
                <w:sz w:val="14"/>
              </w:rPr>
              <w:t xml:space="preserve">тригономет­ ријске функције </w:t>
            </w:r>
            <w:r>
              <w:rPr>
                <w:color w:val="231F20"/>
                <w:spacing w:val="-3"/>
                <w:sz w:val="14"/>
              </w:rPr>
              <w:t xml:space="preserve">угла </w:t>
            </w:r>
            <w:r>
              <w:rPr>
                <w:color w:val="231F20"/>
                <w:sz w:val="14"/>
              </w:rPr>
              <w:t xml:space="preserve">у </w:t>
            </w:r>
            <w:r>
              <w:rPr>
                <w:color w:val="231F20"/>
                <w:spacing w:val="-3"/>
                <w:sz w:val="14"/>
              </w:rPr>
              <w:t xml:space="preserve">правоуглом троуглу </w:t>
            </w:r>
            <w:r>
              <w:rPr>
                <w:color w:val="231F20"/>
                <w:sz w:val="14"/>
              </w:rPr>
              <w:t>и на кружници;</w:t>
            </w:r>
          </w:p>
          <w:p w:rsidR="00041039" w:rsidRDefault="001B26CB">
            <w:pPr>
              <w:pStyle w:val="TableParagraph"/>
              <w:tabs>
                <w:tab w:val="left" w:pos="157"/>
              </w:tabs>
              <w:spacing w:line="160" w:lineRule="exact"/>
              <w:ind w:right="241" w:hanging="99"/>
              <w:jc w:val="both"/>
              <w:rPr>
                <w:sz w:val="14"/>
              </w:rPr>
            </w:pPr>
            <w:r>
              <w:rPr>
                <w:color w:val="231F20"/>
                <w:sz w:val="14"/>
              </w:rPr>
              <w:t xml:space="preserve">одреди угао </w:t>
            </w:r>
            <w:r>
              <w:rPr>
                <w:color w:val="231F20"/>
                <w:spacing w:val="-3"/>
                <w:sz w:val="14"/>
              </w:rPr>
              <w:t xml:space="preserve">ако </w:t>
            </w:r>
            <w:r>
              <w:rPr>
                <w:color w:val="231F20"/>
                <w:sz w:val="14"/>
              </w:rPr>
              <w:t>је позната вредност једне тригонометријске</w:t>
            </w:r>
            <w:r>
              <w:rPr>
                <w:color w:val="231F20"/>
                <w:spacing w:val="-6"/>
                <w:sz w:val="14"/>
              </w:rPr>
              <w:t xml:space="preserve"> </w:t>
            </w:r>
            <w:r>
              <w:rPr>
                <w:color w:val="231F20"/>
                <w:sz w:val="14"/>
              </w:rPr>
              <w:t>функције;</w:t>
            </w:r>
          </w:p>
          <w:p w:rsidR="00041039" w:rsidRDefault="001B26CB">
            <w:pPr>
              <w:pStyle w:val="TableParagraph"/>
              <w:tabs>
                <w:tab w:val="left" w:pos="157"/>
              </w:tabs>
              <w:spacing w:line="160" w:lineRule="exact"/>
              <w:ind w:right="281" w:hanging="99"/>
              <w:jc w:val="both"/>
              <w:rPr>
                <w:sz w:val="14"/>
              </w:rPr>
            </w:pPr>
            <w:r>
              <w:rPr>
                <w:color w:val="231F20"/>
                <w:sz w:val="14"/>
              </w:rPr>
              <w:t>употреби елементе</w:t>
            </w:r>
            <w:r>
              <w:rPr>
                <w:color w:val="231F20"/>
                <w:spacing w:val="-6"/>
                <w:sz w:val="14"/>
              </w:rPr>
              <w:t xml:space="preserve"> </w:t>
            </w:r>
            <w:r>
              <w:rPr>
                <w:color w:val="231F20"/>
                <w:sz w:val="14"/>
              </w:rPr>
              <w:t>тригонометрије правоуглог троугла, при решавању практичних</w:t>
            </w:r>
            <w:r>
              <w:rPr>
                <w:color w:val="231F20"/>
                <w:spacing w:val="-1"/>
                <w:sz w:val="14"/>
              </w:rPr>
              <w:t xml:space="preserve"> </w:t>
            </w:r>
            <w:r>
              <w:rPr>
                <w:color w:val="231F20"/>
                <w:sz w:val="14"/>
              </w:rPr>
              <w:t>проблема;</w:t>
            </w:r>
          </w:p>
        </w:tc>
        <w:tc>
          <w:tcPr>
            <w:tcW w:w="2834" w:type="dxa"/>
          </w:tcPr>
          <w:p w:rsidR="00041039" w:rsidRDefault="001B26CB">
            <w:pPr>
              <w:pStyle w:val="TableParagraph"/>
              <w:tabs>
                <w:tab w:val="left" w:pos="157"/>
              </w:tabs>
              <w:spacing w:before="8"/>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 xml:space="preserve">функција оштрог угла у </w:t>
            </w:r>
            <w:r>
              <w:rPr>
                <w:color w:val="231F20"/>
                <w:spacing w:val="-3"/>
                <w:sz w:val="14"/>
              </w:rPr>
              <w:t>правоуглом</w:t>
            </w:r>
            <w:r>
              <w:rPr>
                <w:color w:val="231F20"/>
                <w:spacing w:val="-1"/>
                <w:sz w:val="14"/>
              </w:rPr>
              <w:t xml:space="preserve"> </w:t>
            </w:r>
            <w:r>
              <w:rPr>
                <w:color w:val="231F20"/>
                <w:spacing w:val="-4"/>
                <w:sz w:val="14"/>
              </w:rPr>
              <w:t>тро</w:t>
            </w:r>
            <w:r>
              <w:rPr>
                <w:color w:val="231F20"/>
                <w:spacing w:val="-4"/>
                <w:sz w:val="14"/>
              </w:rPr>
              <w:t>углу.</w:t>
            </w:r>
          </w:p>
          <w:p w:rsidR="00041039" w:rsidRDefault="001B26CB">
            <w:pPr>
              <w:pStyle w:val="TableParagraph"/>
              <w:tabs>
                <w:tab w:val="left" w:pos="157"/>
              </w:tabs>
              <w:spacing w:before="1" w:line="160" w:lineRule="exact"/>
              <w:ind w:right="97" w:hanging="99"/>
              <w:rPr>
                <w:sz w:val="14"/>
              </w:rPr>
            </w:pPr>
            <w:r>
              <w:rPr>
                <w:color w:val="231F20"/>
                <w:sz w:val="14"/>
              </w:rPr>
              <w:t>Вредности тригонометријских функција карактеристичних</w:t>
            </w:r>
            <w:r>
              <w:rPr>
                <w:color w:val="231F20"/>
                <w:spacing w:val="-6"/>
                <w:sz w:val="14"/>
              </w:rPr>
              <w:t xml:space="preserve"> </w:t>
            </w:r>
            <w:r>
              <w:rPr>
                <w:color w:val="231F20"/>
                <w:sz w:val="14"/>
              </w:rPr>
              <w:t>углова</w:t>
            </w:r>
            <w:r>
              <w:rPr>
                <w:color w:val="231F20"/>
                <w:spacing w:val="-6"/>
                <w:sz w:val="14"/>
              </w:rPr>
              <w:t xml:space="preserve"> </w:t>
            </w:r>
            <w:r>
              <w:rPr>
                <w:color w:val="231F20"/>
                <w:sz w:val="14"/>
              </w:rPr>
              <w:t>(од</w:t>
            </w:r>
            <w:r>
              <w:rPr>
                <w:color w:val="231F20"/>
                <w:spacing w:val="-6"/>
                <w:sz w:val="14"/>
              </w:rPr>
              <w:t xml:space="preserve"> </w:t>
            </w:r>
            <w:r>
              <w:rPr>
                <w:color w:val="231F20"/>
                <w:sz w:val="14"/>
              </w:rPr>
              <w:t>30°,</w:t>
            </w:r>
            <w:r>
              <w:rPr>
                <w:color w:val="231F20"/>
                <w:spacing w:val="-6"/>
                <w:sz w:val="14"/>
              </w:rPr>
              <w:t xml:space="preserve"> </w:t>
            </w:r>
            <w:r>
              <w:rPr>
                <w:color w:val="231F20"/>
                <w:sz w:val="14"/>
              </w:rPr>
              <w:t>45°,</w:t>
            </w:r>
            <w:r>
              <w:rPr>
                <w:color w:val="231F20"/>
                <w:spacing w:val="-6"/>
                <w:sz w:val="14"/>
              </w:rPr>
              <w:t xml:space="preserve"> </w:t>
            </w:r>
            <w:r>
              <w:rPr>
                <w:color w:val="231F20"/>
                <w:sz w:val="14"/>
              </w:rPr>
              <w:t>60°).</w:t>
            </w:r>
          </w:p>
          <w:p w:rsidR="00041039" w:rsidRDefault="001B26CB">
            <w:pPr>
              <w:pStyle w:val="TableParagraph"/>
              <w:tabs>
                <w:tab w:val="left" w:pos="157"/>
              </w:tabs>
              <w:spacing w:line="160" w:lineRule="exact"/>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функција оштрог</w:t>
            </w:r>
            <w:r>
              <w:rPr>
                <w:color w:val="231F20"/>
                <w:spacing w:val="-1"/>
                <w:sz w:val="14"/>
              </w:rPr>
              <w:t xml:space="preserve"> </w:t>
            </w:r>
            <w:r>
              <w:rPr>
                <w:color w:val="231F20"/>
                <w:sz w:val="14"/>
              </w:rPr>
              <w:t>угла.</w:t>
            </w:r>
          </w:p>
          <w:p w:rsidR="00041039" w:rsidRDefault="001B26CB">
            <w:pPr>
              <w:pStyle w:val="TableParagraph"/>
              <w:tabs>
                <w:tab w:val="left" w:pos="157"/>
              </w:tabs>
              <w:spacing w:line="153" w:lineRule="exact"/>
              <w:ind w:hanging="99"/>
              <w:rPr>
                <w:sz w:val="14"/>
              </w:rPr>
            </w:pPr>
            <w:r>
              <w:rPr>
                <w:color w:val="231F20"/>
                <w:sz w:val="14"/>
              </w:rPr>
              <w:t>Основни тригонометријски</w:t>
            </w:r>
            <w:r>
              <w:rPr>
                <w:color w:val="231F20"/>
                <w:spacing w:val="-5"/>
                <w:sz w:val="14"/>
              </w:rPr>
              <w:t xml:space="preserve"> </w:t>
            </w:r>
            <w:r>
              <w:rPr>
                <w:color w:val="231F20"/>
                <w:sz w:val="14"/>
              </w:rPr>
              <w:t>идентитети.</w:t>
            </w:r>
          </w:p>
          <w:p w:rsidR="00041039" w:rsidRDefault="001B26CB">
            <w:pPr>
              <w:pStyle w:val="TableParagraph"/>
              <w:tabs>
                <w:tab w:val="left" w:pos="157"/>
              </w:tabs>
              <w:spacing w:line="237" w:lineRule="auto"/>
              <w:ind w:right="64" w:hanging="99"/>
              <w:rPr>
                <w:sz w:val="14"/>
              </w:rPr>
            </w:pPr>
            <w:r>
              <w:rPr>
                <w:color w:val="231F20"/>
                <w:sz w:val="14"/>
              </w:rPr>
              <w:t xml:space="preserve">Уопштење појма </w:t>
            </w:r>
            <w:r>
              <w:rPr>
                <w:color w:val="231F20"/>
                <w:spacing w:val="-3"/>
                <w:sz w:val="14"/>
              </w:rPr>
              <w:t xml:space="preserve">угла </w:t>
            </w:r>
            <w:r>
              <w:rPr>
                <w:color w:val="231F20"/>
                <w:sz w:val="14"/>
              </w:rPr>
              <w:t>на кружници</w:t>
            </w:r>
            <w:r>
              <w:rPr>
                <w:color w:val="231F20"/>
                <w:spacing w:val="-26"/>
                <w:sz w:val="14"/>
              </w:rPr>
              <w:t xml:space="preserve"> </w:t>
            </w:r>
            <w:r>
              <w:rPr>
                <w:color w:val="231F20"/>
                <w:sz w:val="14"/>
              </w:rPr>
              <w:t>(степен, радијан).</w:t>
            </w:r>
          </w:p>
          <w:p w:rsidR="00041039" w:rsidRDefault="001B26CB">
            <w:pPr>
              <w:pStyle w:val="TableParagraph"/>
              <w:tabs>
                <w:tab w:val="left" w:pos="157"/>
              </w:tabs>
              <w:spacing w:line="160" w:lineRule="exact"/>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функција произвољног</w:t>
            </w:r>
            <w:r>
              <w:rPr>
                <w:color w:val="231F20"/>
                <w:spacing w:val="-1"/>
                <w:sz w:val="14"/>
              </w:rPr>
              <w:t xml:space="preserve"> </w:t>
            </w:r>
            <w:r>
              <w:rPr>
                <w:color w:val="231F20"/>
                <w:sz w:val="14"/>
              </w:rPr>
              <w:t>угла.</w:t>
            </w:r>
          </w:p>
        </w:tc>
        <w:tc>
          <w:tcPr>
            <w:tcW w:w="2267" w:type="dxa"/>
            <w:vMerge w:val="restart"/>
          </w:tcPr>
          <w:p w:rsidR="00041039" w:rsidRDefault="001B26CB">
            <w:pPr>
              <w:pStyle w:val="TableParagraph"/>
              <w:tabs>
                <w:tab w:val="left" w:pos="158"/>
              </w:tabs>
              <w:spacing w:before="8"/>
              <w:ind w:left="157"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tabs>
                <w:tab w:val="left" w:pos="158"/>
              </w:tabs>
              <w:spacing w:line="160" w:lineRule="exact"/>
              <w:ind w:left="157" w:hanging="99"/>
              <w:rPr>
                <w:b/>
                <w:sz w:val="14"/>
              </w:rPr>
            </w:pPr>
            <w:r>
              <w:rPr>
                <w:color w:val="231F20"/>
                <w:sz w:val="14"/>
              </w:rPr>
              <w:t xml:space="preserve">теоријска настава </w:t>
            </w:r>
            <w:r>
              <w:rPr>
                <w:b/>
                <w:color w:val="231F20"/>
                <w:sz w:val="14"/>
              </w:rPr>
              <w:t>(140</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tabs>
                <w:tab w:val="left" w:pos="158"/>
              </w:tabs>
              <w:spacing w:line="237" w:lineRule="auto"/>
              <w:ind w:left="157"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tabs>
                <w:tab w:val="left" w:pos="158"/>
              </w:tabs>
              <w:spacing w:line="160" w:lineRule="exact"/>
              <w:ind w:left="157"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tabs>
                <w:tab w:val="left" w:pos="158"/>
              </w:tabs>
              <w:spacing w:before="1" w:line="160" w:lineRule="exact"/>
              <w:ind w:left="157"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tabs>
                <w:tab w:val="left" w:pos="158"/>
              </w:tabs>
              <w:spacing w:line="160" w:lineRule="exact"/>
              <w:ind w:left="157"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tabs>
                <w:tab w:val="left" w:pos="158"/>
              </w:tabs>
              <w:spacing w:line="160" w:lineRule="exact"/>
              <w:ind w:left="157"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tabs>
                <w:tab w:val="left" w:pos="158"/>
              </w:tabs>
              <w:spacing w:line="160" w:lineRule="exact"/>
              <w:ind w:left="157"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технологија;</w:t>
            </w:r>
          </w:p>
          <w:p w:rsidR="00041039" w:rsidRDefault="001B26CB">
            <w:pPr>
              <w:pStyle w:val="TableParagraph"/>
              <w:tabs>
                <w:tab w:val="left" w:pos="143"/>
              </w:tabs>
              <w:spacing w:line="237" w:lineRule="auto"/>
              <w:ind w:left="142" w:right="60" w:hanging="84"/>
              <w:rPr>
                <w:sz w:val="14"/>
              </w:rPr>
            </w:pPr>
            <w:r>
              <w:rPr>
                <w:b/>
                <w:color w:val="231F20"/>
                <w:sz w:val="14"/>
              </w:rPr>
              <w:t xml:space="preserve">Тригонометрија </w:t>
            </w:r>
            <w:r>
              <w:rPr>
                <w:b/>
                <w:color w:val="231F20"/>
                <w:spacing w:val="-3"/>
                <w:sz w:val="14"/>
              </w:rPr>
              <w:t>правоуглог тро</w:t>
            </w:r>
            <w:r>
              <w:rPr>
                <w:b/>
                <w:color w:val="231F20"/>
                <w:spacing w:val="-3"/>
                <w:sz w:val="14"/>
              </w:rPr>
              <w:t xml:space="preserve">угла: </w:t>
            </w:r>
            <w:r>
              <w:rPr>
                <w:color w:val="231F20"/>
                <w:sz w:val="14"/>
              </w:rPr>
              <w:t xml:space="preserve">оспособити ученике за проналажење правоуглог </w:t>
            </w:r>
            <w:r>
              <w:rPr>
                <w:color w:val="231F20"/>
                <w:spacing w:val="-3"/>
                <w:sz w:val="14"/>
              </w:rPr>
              <w:t xml:space="preserve">троугла </w:t>
            </w:r>
            <w:r>
              <w:rPr>
                <w:color w:val="231F20"/>
                <w:sz w:val="14"/>
              </w:rPr>
              <w:t>на разним геометријским фигу­ рама. Инсистирати на правилном означавању и адекватној</w:t>
            </w:r>
            <w:r>
              <w:rPr>
                <w:color w:val="231F20"/>
                <w:spacing w:val="-18"/>
                <w:sz w:val="14"/>
              </w:rPr>
              <w:t xml:space="preserve"> </w:t>
            </w:r>
            <w:r>
              <w:rPr>
                <w:color w:val="231F20"/>
                <w:sz w:val="14"/>
              </w:rPr>
              <w:t>употреби тригонометријских</w:t>
            </w:r>
            <w:r>
              <w:rPr>
                <w:color w:val="231F20"/>
                <w:spacing w:val="-1"/>
                <w:sz w:val="14"/>
              </w:rPr>
              <w:t xml:space="preserve"> </w:t>
            </w:r>
            <w:r>
              <w:rPr>
                <w:color w:val="231F20"/>
                <w:sz w:val="14"/>
              </w:rPr>
              <w:t>функција.</w:t>
            </w:r>
          </w:p>
          <w:p w:rsidR="00041039" w:rsidRDefault="001B26CB">
            <w:pPr>
              <w:pStyle w:val="TableParagraph"/>
              <w:tabs>
                <w:tab w:val="left" w:pos="143"/>
              </w:tabs>
              <w:spacing w:before="2"/>
              <w:ind w:left="142" w:right="79" w:hanging="84"/>
              <w:rPr>
                <w:sz w:val="14"/>
              </w:rPr>
            </w:pPr>
            <w:r>
              <w:rPr>
                <w:b/>
                <w:color w:val="231F20"/>
                <w:sz w:val="14"/>
              </w:rPr>
              <w:t xml:space="preserve">Логика и скупови: </w:t>
            </w:r>
            <w:r>
              <w:rPr>
                <w:color w:val="231F20"/>
                <w:sz w:val="14"/>
              </w:rPr>
              <w:t>сводити ску­ повне</w:t>
            </w:r>
            <w:r>
              <w:rPr>
                <w:color w:val="231F20"/>
                <w:spacing w:val="-8"/>
                <w:sz w:val="14"/>
              </w:rPr>
              <w:t xml:space="preserve"> </w:t>
            </w:r>
            <w:r>
              <w:rPr>
                <w:color w:val="231F20"/>
                <w:sz w:val="14"/>
              </w:rPr>
              <w:t>доказе</w:t>
            </w:r>
            <w:r>
              <w:rPr>
                <w:color w:val="231F20"/>
                <w:spacing w:val="-7"/>
                <w:sz w:val="14"/>
              </w:rPr>
              <w:t xml:space="preserve"> </w:t>
            </w:r>
            <w:r>
              <w:rPr>
                <w:color w:val="231F20"/>
                <w:sz w:val="14"/>
              </w:rPr>
              <w:t>на</w:t>
            </w:r>
            <w:r>
              <w:rPr>
                <w:color w:val="231F20"/>
                <w:spacing w:val="-8"/>
                <w:sz w:val="14"/>
              </w:rPr>
              <w:t xml:space="preserve"> </w:t>
            </w:r>
            <w:r>
              <w:rPr>
                <w:color w:val="231F20"/>
                <w:sz w:val="14"/>
              </w:rPr>
              <w:t>логичке</w:t>
            </w:r>
            <w:r>
              <w:rPr>
                <w:color w:val="231F20"/>
                <w:spacing w:val="-7"/>
                <w:sz w:val="14"/>
              </w:rPr>
              <w:t xml:space="preserve"> </w:t>
            </w:r>
            <w:r>
              <w:rPr>
                <w:color w:val="231F20"/>
                <w:sz w:val="14"/>
              </w:rPr>
              <w:t>формуле; истаћи разл</w:t>
            </w:r>
            <w:r>
              <w:rPr>
                <w:color w:val="231F20"/>
                <w:sz w:val="14"/>
              </w:rPr>
              <w:t>ике између правила збира и производа и комбиновати их у</w:t>
            </w:r>
            <w:r>
              <w:rPr>
                <w:color w:val="231F20"/>
                <w:spacing w:val="-2"/>
                <w:sz w:val="14"/>
              </w:rPr>
              <w:t xml:space="preserve"> </w:t>
            </w:r>
            <w:r>
              <w:rPr>
                <w:color w:val="231F20"/>
                <w:sz w:val="14"/>
              </w:rPr>
              <w:t>задацима.</w:t>
            </w:r>
          </w:p>
          <w:p w:rsidR="00041039" w:rsidRDefault="001B26CB">
            <w:pPr>
              <w:pStyle w:val="TableParagraph"/>
              <w:tabs>
                <w:tab w:val="left" w:pos="143"/>
              </w:tabs>
              <w:spacing w:line="237" w:lineRule="auto"/>
              <w:ind w:left="142" w:right="109" w:hanging="84"/>
              <w:rPr>
                <w:sz w:val="14"/>
              </w:rPr>
            </w:pPr>
            <w:r>
              <w:rPr>
                <w:b/>
                <w:color w:val="231F20"/>
                <w:sz w:val="14"/>
              </w:rPr>
              <w:t xml:space="preserve">Реални бројеви: </w:t>
            </w:r>
            <w:r>
              <w:rPr>
                <w:color w:val="231F20"/>
                <w:sz w:val="14"/>
              </w:rPr>
              <w:t>нагласити за­ твореност операција у</w:t>
            </w:r>
            <w:r>
              <w:rPr>
                <w:color w:val="231F20"/>
                <w:spacing w:val="-3"/>
                <w:sz w:val="14"/>
              </w:rPr>
              <w:t xml:space="preserve"> </w:t>
            </w:r>
            <w:r>
              <w:rPr>
                <w:color w:val="231F20"/>
                <w:sz w:val="14"/>
              </w:rPr>
              <w:t>одређеним скуповима и потребу да се постојећи скуп прошири</w:t>
            </w:r>
            <w:r>
              <w:rPr>
                <w:color w:val="231F20"/>
                <w:spacing w:val="-9"/>
                <w:sz w:val="14"/>
              </w:rPr>
              <w:t xml:space="preserve"> </w:t>
            </w:r>
            <w:r>
              <w:rPr>
                <w:color w:val="231F20"/>
                <w:sz w:val="14"/>
              </w:rPr>
              <w:t>новим.</w:t>
            </w:r>
          </w:p>
          <w:p w:rsidR="00041039" w:rsidRDefault="001B26CB">
            <w:pPr>
              <w:pStyle w:val="TableParagraph"/>
              <w:ind w:left="142" w:right="230"/>
              <w:rPr>
                <w:sz w:val="14"/>
              </w:rPr>
            </w:pPr>
            <w:r>
              <w:rPr>
                <w:color w:val="231F20"/>
                <w:sz w:val="14"/>
              </w:rPr>
              <w:t>Садржаје о грешкама повезати са стручним предметима, из­</w:t>
            </w:r>
          </w:p>
          <w:p w:rsidR="00041039" w:rsidRDefault="001B26CB">
            <w:pPr>
              <w:pStyle w:val="TableParagraph"/>
              <w:ind w:left="142" w:right="14"/>
              <w:rPr>
                <w:sz w:val="14"/>
              </w:rPr>
            </w:pPr>
            <w:r>
              <w:rPr>
                <w:color w:val="231F20"/>
                <w:sz w:val="14"/>
              </w:rPr>
              <w:t>рачунавати апсолутну и релативну грешку конкретних мерења.</w:t>
            </w:r>
          </w:p>
          <w:p w:rsidR="00041039" w:rsidRDefault="001B26CB">
            <w:pPr>
              <w:pStyle w:val="TableParagraph"/>
              <w:tabs>
                <w:tab w:val="left" w:pos="143"/>
              </w:tabs>
              <w:ind w:left="142" w:right="81" w:hanging="84"/>
              <w:rPr>
                <w:sz w:val="14"/>
              </w:rPr>
            </w:pPr>
            <w:r>
              <w:rPr>
                <w:b/>
                <w:color w:val="231F20"/>
                <w:sz w:val="14"/>
              </w:rPr>
              <w:t xml:space="preserve">Рационални алгебарски изрази: </w:t>
            </w:r>
            <w:r>
              <w:rPr>
                <w:color w:val="231F20"/>
                <w:sz w:val="14"/>
              </w:rPr>
              <w:t>пажњу усмерити на растављање полинома на чиниоце, а</w:t>
            </w:r>
            <w:r>
              <w:rPr>
                <w:color w:val="231F20"/>
                <w:spacing w:val="-8"/>
                <w:sz w:val="14"/>
              </w:rPr>
              <w:t xml:space="preserve"> </w:t>
            </w:r>
            <w:r>
              <w:rPr>
                <w:color w:val="231F20"/>
                <w:sz w:val="14"/>
              </w:rPr>
              <w:t>затим</w:t>
            </w:r>
          </w:p>
          <w:p w:rsidR="00041039" w:rsidRDefault="001B26CB">
            <w:pPr>
              <w:pStyle w:val="TableParagraph"/>
              <w:spacing w:line="237" w:lineRule="auto"/>
              <w:ind w:left="142" w:right="137"/>
              <w:rPr>
                <w:sz w:val="14"/>
              </w:rPr>
            </w:pPr>
            <w:r>
              <w:rPr>
                <w:color w:val="231F20"/>
                <w:sz w:val="14"/>
              </w:rPr>
              <w:t>на изразе са алгебарским раз­ ломцима уз инсистирање на условима. Користити једначине и неједначине код којих</w:t>
            </w:r>
            <w:r>
              <w:rPr>
                <w:color w:val="231F20"/>
                <w:sz w:val="14"/>
              </w:rPr>
              <w:t xml:space="preserve"> услови егзистенције разломака утичу на решење.</w:t>
            </w:r>
          </w:p>
          <w:p w:rsidR="00041039" w:rsidRDefault="001B26CB">
            <w:pPr>
              <w:pStyle w:val="TableParagraph"/>
              <w:tabs>
                <w:tab w:val="left" w:pos="143"/>
              </w:tabs>
              <w:ind w:left="142" w:right="54" w:hanging="84"/>
              <w:rPr>
                <w:sz w:val="14"/>
              </w:rPr>
            </w:pPr>
            <w:r>
              <w:rPr>
                <w:b/>
                <w:color w:val="231F20"/>
                <w:sz w:val="14"/>
              </w:rPr>
              <w:t xml:space="preserve">Пропорционалност: </w:t>
            </w:r>
            <w:r>
              <w:rPr>
                <w:color w:val="231F20"/>
                <w:sz w:val="14"/>
              </w:rPr>
              <w:t>поновити и утврдити основна правила</w:t>
            </w:r>
            <w:r>
              <w:rPr>
                <w:color w:val="231F20"/>
                <w:spacing w:val="-10"/>
                <w:sz w:val="14"/>
              </w:rPr>
              <w:t xml:space="preserve"> </w:t>
            </w:r>
            <w:r>
              <w:rPr>
                <w:color w:val="231F20"/>
                <w:sz w:val="14"/>
              </w:rPr>
              <w:t>поделе, мешања и осталих елементарних примена</w:t>
            </w:r>
            <w:r>
              <w:rPr>
                <w:color w:val="231F20"/>
                <w:spacing w:val="-2"/>
                <w:sz w:val="14"/>
              </w:rPr>
              <w:t xml:space="preserve"> </w:t>
            </w:r>
            <w:r>
              <w:rPr>
                <w:color w:val="231F20"/>
                <w:sz w:val="14"/>
              </w:rPr>
              <w:t>пропорција.</w:t>
            </w:r>
          </w:p>
        </w:tc>
      </w:tr>
      <w:tr w:rsidR="00041039">
        <w:trPr>
          <w:trHeight w:val="1320"/>
        </w:trPr>
        <w:tc>
          <w:tcPr>
            <w:tcW w:w="1304" w:type="dxa"/>
          </w:tcPr>
          <w:p w:rsidR="00041039" w:rsidRDefault="001B26CB">
            <w:pPr>
              <w:pStyle w:val="TableParagraph"/>
              <w:spacing w:before="20"/>
              <w:ind w:left="56"/>
              <w:rPr>
                <w:sz w:val="14"/>
              </w:rPr>
            </w:pPr>
            <w:r>
              <w:rPr>
                <w:color w:val="231F20"/>
                <w:sz w:val="14"/>
              </w:rPr>
              <w:t>Логика и скупови</w:t>
            </w:r>
          </w:p>
        </w:tc>
        <w:tc>
          <w:tcPr>
            <w:tcW w:w="1587" w:type="dxa"/>
          </w:tcPr>
          <w:p w:rsidR="00041039" w:rsidRDefault="001B26CB">
            <w:pPr>
              <w:pStyle w:val="TableParagraph"/>
              <w:tabs>
                <w:tab w:val="left" w:pos="157"/>
              </w:tabs>
              <w:spacing w:before="10"/>
              <w:ind w:right="94" w:hanging="100"/>
              <w:rPr>
                <w:sz w:val="14"/>
              </w:rPr>
            </w:pPr>
            <w:r>
              <w:rPr>
                <w:color w:val="231F20"/>
                <w:sz w:val="14"/>
              </w:rPr>
              <w:t>Стицање знања о исказима и обављању основних логичких и скуповних операција и примена ових знања у комбинаторним задацима.</w:t>
            </w:r>
          </w:p>
        </w:tc>
        <w:tc>
          <w:tcPr>
            <w:tcW w:w="2551" w:type="dxa"/>
          </w:tcPr>
          <w:p w:rsidR="00041039" w:rsidRDefault="001B26CB">
            <w:pPr>
              <w:pStyle w:val="TableParagraph"/>
              <w:tabs>
                <w:tab w:val="left" w:pos="157"/>
              </w:tabs>
              <w:spacing w:before="10"/>
              <w:ind w:right="77" w:hanging="99"/>
              <w:rPr>
                <w:sz w:val="14"/>
              </w:rPr>
            </w:pPr>
            <w:r>
              <w:rPr>
                <w:color w:val="231F20"/>
                <w:sz w:val="14"/>
              </w:rPr>
              <w:t>одређује истинитосну вредност логич­ ке</w:t>
            </w:r>
            <w:r>
              <w:rPr>
                <w:color w:val="231F20"/>
                <w:spacing w:val="-1"/>
                <w:sz w:val="14"/>
              </w:rPr>
              <w:t xml:space="preserve"> </w:t>
            </w:r>
            <w:r>
              <w:rPr>
                <w:color w:val="231F20"/>
                <w:sz w:val="14"/>
              </w:rPr>
              <w:t>формуле;</w:t>
            </w:r>
          </w:p>
          <w:p w:rsidR="00041039" w:rsidRDefault="001B26CB">
            <w:pPr>
              <w:pStyle w:val="TableParagraph"/>
              <w:tabs>
                <w:tab w:val="left" w:pos="157"/>
              </w:tabs>
              <w:spacing w:line="160" w:lineRule="exact"/>
              <w:ind w:right="124" w:hanging="99"/>
              <w:rPr>
                <w:sz w:val="14"/>
              </w:rPr>
            </w:pPr>
            <w:r>
              <w:rPr>
                <w:color w:val="231F20"/>
                <w:sz w:val="14"/>
              </w:rPr>
              <w:t>коректно се служи</w:t>
            </w:r>
            <w:r>
              <w:rPr>
                <w:color w:val="231F20"/>
                <w:spacing w:val="-23"/>
                <w:sz w:val="14"/>
              </w:rPr>
              <w:t xml:space="preserve"> </w:t>
            </w:r>
            <w:r>
              <w:rPr>
                <w:color w:val="231F20"/>
                <w:sz w:val="14"/>
              </w:rPr>
              <w:t>квантификаторима и разуме њихова</w:t>
            </w:r>
            <w:r>
              <w:rPr>
                <w:color w:val="231F20"/>
                <w:spacing w:val="-4"/>
                <w:sz w:val="14"/>
              </w:rPr>
              <w:t xml:space="preserve"> </w:t>
            </w:r>
            <w:r>
              <w:rPr>
                <w:color w:val="231F20"/>
                <w:sz w:val="14"/>
              </w:rPr>
              <w:t>значења;</w:t>
            </w:r>
          </w:p>
          <w:p w:rsidR="00041039" w:rsidRDefault="001B26CB">
            <w:pPr>
              <w:pStyle w:val="TableParagraph"/>
              <w:tabs>
                <w:tab w:val="left" w:pos="157"/>
              </w:tabs>
              <w:spacing w:line="160" w:lineRule="exact"/>
              <w:ind w:right="168" w:hanging="99"/>
              <w:rPr>
                <w:sz w:val="14"/>
              </w:rPr>
            </w:pPr>
            <w:r>
              <w:rPr>
                <w:color w:val="231F20"/>
                <w:sz w:val="14"/>
              </w:rPr>
              <w:t>познаје основне скуповне</w:t>
            </w:r>
            <w:r>
              <w:rPr>
                <w:color w:val="231F20"/>
                <w:spacing w:val="-12"/>
                <w:sz w:val="14"/>
              </w:rPr>
              <w:t xml:space="preserve"> </w:t>
            </w:r>
            <w:r>
              <w:rPr>
                <w:color w:val="231F20"/>
                <w:sz w:val="14"/>
              </w:rPr>
              <w:t>једнакости и обавља елементарне операције са скуповима;</w:t>
            </w:r>
          </w:p>
          <w:p w:rsidR="00041039" w:rsidRDefault="001B26CB">
            <w:pPr>
              <w:pStyle w:val="TableParagraph"/>
              <w:tabs>
                <w:tab w:val="left" w:pos="157"/>
              </w:tabs>
              <w:spacing w:line="158" w:lineRule="exact"/>
              <w:ind w:hanging="99"/>
              <w:rPr>
                <w:sz w:val="14"/>
              </w:rPr>
            </w:pPr>
            <w:r>
              <w:rPr>
                <w:color w:val="231F20"/>
                <w:sz w:val="14"/>
              </w:rPr>
              <w:t>решава лакше комбинаторне</w:t>
            </w:r>
            <w:r>
              <w:rPr>
                <w:color w:val="231F20"/>
                <w:spacing w:val="-14"/>
                <w:sz w:val="14"/>
              </w:rPr>
              <w:t xml:space="preserve"> </w:t>
            </w:r>
            <w:r>
              <w:rPr>
                <w:color w:val="231F20"/>
                <w:sz w:val="14"/>
              </w:rPr>
              <w:t>задатке;</w:t>
            </w:r>
          </w:p>
        </w:tc>
        <w:tc>
          <w:tcPr>
            <w:tcW w:w="2834" w:type="dxa"/>
          </w:tcPr>
          <w:p w:rsidR="00041039" w:rsidRDefault="001B26CB">
            <w:pPr>
              <w:pStyle w:val="TableParagraph"/>
              <w:tabs>
                <w:tab w:val="left" w:pos="157"/>
              </w:tabs>
              <w:spacing w:before="10" w:line="166" w:lineRule="exact"/>
              <w:ind w:hanging="99"/>
              <w:rPr>
                <w:sz w:val="14"/>
              </w:rPr>
            </w:pPr>
            <w:r>
              <w:rPr>
                <w:color w:val="231F20"/>
                <w:sz w:val="14"/>
              </w:rPr>
              <w:t>Искази и операције са</w:t>
            </w:r>
            <w:r>
              <w:rPr>
                <w:color w:val="231F20"/>
                <w:spacing w:val="-2"/>
                <w:sz w:val="14"/>
              </w:rPr>
              <w:t xml:space="preserve"> </w:t>
            </w:r>
            <w:r>
              <w:rPr>
                <w:color w:val="231F20"/>
                <w:sz w:val="14"/>
              </w:rPr>
              <w:t>њима.</w:t>
            </w:r>
          </w:p>
          <w:p w:rsidR="00041039" w:rsidRDefault="001B26CB">
            <w:pPr>
              <w:pStyle w:val="TableParagraph"/>
              <w:tabs>
                <w:tab w:val="left" w:pos="157"/>
              </w:tabs>
              <w:spacing w:line="160" w:lineRule="exact"/>
              <w:ind w:hanging="99"/>
              <w:rPr>
                <w:sz w:val="14"/>
              </w:rPr>
            </w:pPr>
            <w:r>
              <w:rPr>
                <w:color w:val="231F20"/>
                <w:sz w:val="14"/>
              </w:rPr>
              <w:t>Истинитосна вредност</w:t>
            </w:r>
            <w:r>
              <w:rPr>
                <w:color w:val="231F20"/>
                <w:spacing w:val="-2"/>
                <w:sz w:val="14"/>
              </w:rPr>
              <w:t xml:space="preserve"> </w:t>
            </w:r>
            <w:r>
              <w:rPr>
                <w:color w:val="231F20"/>
                <w:sz w:val="14"/>
              </w:rPr>
              <w:t>формуле.</w:t>
            </w:r>
          </w:p>
          <w:p w:rsidR="00041039" w:rsidRDefault="001B26CB">
            <w:pPr>
              <w:pStyle w:val="TableParagraph"/>
              <w:tabs>
                <w:tab w:val="left" w:pos="157"/>
              </w:tabs>
              <w:spacing w:line="160" w:lineRule="exact"/>
              <w:ind w:hanging="99"/>
              <w:rPr>
                <w:sz w:val="14"/>
              </w:rPr>
            </w:pPr>
            <w:r>
              <w:rPr>
                <w:color w:val="231F20"/>
                <w:sz w:val="14"/>
              </w:rPr>
              <w:t>Основне операције са</w:t>
            </w:r>
            <w:r>
              <w:rPr>
                <w:color w:val="231F20"/>
                <w:spacing w:val="-3"/>
                <w:sz w:val="14"/>
              </w:rPr>
              <w:t xml:space="preserve"> </w:t>
            </w:r>
            <w:r>
              <w:rPr>
                <w:color w:val="231F20"/>
                <w:sz w:val="14"/>
              </w:rPr>
              <w:t>скуповима.</w:t>
            </w:r>
          </w:p>
          <w:p w:rsidR="00041039" w:rsidRDefault="001B26CB">
            <w:pPr>
              <w:pStyle w:val="TableParagraph"/>
              <w:tabs>
                <w:tab w:val="left" w:pos="157"/>
              </w:tabs>
              <w:spacing w:line="160" w:lineRule="exact"/>
              <w:ind w:hanging="99"/>
              <w:rPr>
                <w:sz w:val="14"/>
              </w:rPr>
            </w:pPr>
            <w:r>
              <w:rPr>
                <w:color w:val="231F20"/>
                <w:sz w:val="14"/>
              </w:rPr>
              <w:t>Доказивање лакших скуповних</w:t>
            </w:r>
            <w:r>
              <w:rPr>
                <w:color w:val="231F20"/>
                <w:spacing w:val="-12"/>
                <w:sz w:val="14"/>
              </w:rPr>
              <w:t xml:space="preserve"> </w:t>
            </w:r>
            <w:r>
              <w:rPr>
                <w:color w:val="231F20"/>
                <w:sz w:val="14"/>
              </w:rPr>
              <w:t>једнакости.</w:t>
            </w:r>
          </w:p>
          <w:p w:rsidR="00041039" w:rsidRDefault="001B26CB">
            <w:pPr>
              <w:pStyle w:val="TableParagraph"/>
              <w:tabs>
                <w:tab w:val="left" w:pos="157"/>
              </w:tabs>
              <w:spacing w:line="160" w:lineRule="exact"/>
              <w:ind w:hanging="99"/>
              <w:rPr>
                <w:i/>
                <w:sz w:val="14"/>
              </w:rPr>
            </w:pPr>
            <w:r>
              <w:rPr>
                <w:color w:val="231F20"/>
                <w:sz w:val="14"/>
              </w:rPr>
              <w:t xml:space="preserve">Скупови бројева </w:t>
            </w:r>
            <w:r>
              <w:rPr>
                <w:i/>
                <w:color w:val="231F20"/>
                <w:sz w:val="14"/>
              </w:rPr>
              <w:t>N, Z, Q, I,</w:t>
            </w:r>
            <w:r>
              <w:rPr>
                <w:i/>
                <w:color w:val="231F20"/>
                <w:spacing w:val="-4"/>
                <w:sz w:val="14"/>
              </w:rPr>
              <w:t xml:space="preserve"> </w:t>
            </w:r>
            <w:r>
              <w:rPr>
                <w:i/>
                <w:color w:val="231F20"/>
                <w:sz w:val="14"/>
              </w:rPr>
              <w:t>R.</w:t>
            </w:r>
          </w:p>
          <w:p w:rsidR="00041039" w:rsidRDefault="001B26CB">
            <w:pPr>
              <w:pStyle w:val="TableParagraph"/>
              <w:tabs>
                <w:tab w:val="left" w:pos="157"/>
              </w:tabs>
              <w:spacing w:line="160" w:lineRule="exact"/>
              <w:ind w:hanging="99"/>
              <w:rPr>
                <w:sz w:val="14"/>
              </w:rPr>
            </w:pPr>
            <w:r>
              <w:rPr>
                <w:color w:val="231F20"/>
                <w:sz w:val="14"/>
              </w:rPr>
              <w:t>Правило збира и</w:t>
            </w:r>
            <w:r>
              <w:rPr>
                <w:color w:val="231F20"/>
                <w:spacing w:val="-5"/>
                <w:sz w:val="14"/>
              </w:rPr>
              <w:t xml:space="preserve"> </w:t>
            </w:r>
            <w:r>
              <w:rPr>
                <w:color w:val="231F20"/>
                <w:sz w:val="14"/>
              </w:rPr>
              <w:t>производа.</w:t>
            </w:r>
          </w:p>
          <w:p w:rsidR="00041039" w:rsidRDefault="001B26CB">
            <w:pPr>
              <w:pStyle w:val="TableParagraph"/>
              <w:tabs>
                <w:tab w:val="left" w:pos="157"/>
              </w:tabs>
              <w:spacing w:line="160" w:lineRule="exact"/>
              <w:ind w:hanging="99"/>
              <w:rPr>
                <w:sz w:val="14"/>
              </w:rPr>
            </w:pPr>
            <w:r>
              <w:rPr>
                <w:color w:val="231F20"/>
                <w:sz w:val="14"/>
              </w:rPr>
              <w:t>Релација.</w:t>
            </w:r>
          </w:p>
          <w:p w:rsidR="00041039" w:rsidRDefault="001B26CB">
            <w:pPr>
              <w:pStyle w:val="TableParagraph"/>
              <w:tabs>
                <w:tab w:val="left" w:pos="157"/>
              </w:tabs>
              <w:spacing w:line="164" w:lineRule="exact"/>
              <w:ind w:hanging="99"/>
              <w:rPr>
                <w:sz w:val="14"/>
              </w:rPr>
            </w:pPr>
            <w:r>
              <w:rPr>
                <w:color w:val="231F20"/>
                <w:sz w:val="14"/>
              </w:rPr>
              <w:t>Функција.</w:t>
            </w:r>
          </w:p>
        </w:tc>
        <w:tc>
          <w:tcPr>
            <w:tcW w:w="2267" w:type="dxa"/>
            <w:vMerge/>
            <w:tcBorders>
              <w:top w:val="nil"/>
            </w:tcBorders>
          </w:tcPr>
          <w:p w:rsidR="00041039" w:rsidRDefault="00041039">
            <w:pPr>
              <w:rPr>
                <w:sz w:val="2"/>
                <w:szCs w:val="2"/>
              </w:rPr>
            </w:pPr>
          </w:p>
        </w:tc>
      </w:tr>
      <w:tr w:rsidR="00041039">
        <w:trPr>
          <w:trHeight w:val="1320"/>
        </w:trPr>
        <w:tc>
          <w:tcPr>
            <w:tcW w:w="1304" w:type="dxa"/>
          </w:tcPr>
          <w:p w:rsidR="00041039" w:rsidRDefault="001B26CB">
            <w:pPr>
              <w:pStyle w:val="TableParagraph"/>
              <w:spacing w:before="20"/>
              <w:ind w:left="56"/>
              <w:rPr>
                <w:sz w:val="14"/>
              </w:rPr>
            </w:pPr>
            <w:r>
              <w:rPr>
                <w:color w:val="231F20"/>
                <w:sz w:val="14"/>
              </w:rPr>
              <w:t>Реални бројеви</w:t>
            </w:r>
          </w:p>
        </w:tc>
        <w:tc>
          <w:tcPr>
            <w:tcW w:w="1587" w:type="dxa"/>
          </w:tcPr>
          <w:p w:rsidR="00041039" w:rsidRDefault="001B26CB">
            <w:pPr>
              <w:pStyle w:val="TableParagraph"/>
              <w:tabs>
                <w:tab w:val="left" w:pos="157"/>
              </w:tabs>
              <w:spacing w:before="10"/>
              <w:ind w:right="44" w:hanging="100"/>
              <w:rPr>
                <w:sz w:val="14"/>
              </w:rPr>
            </w:pPr>
            <w:r>
              <w:rPr>
                <w:color w:val="231F20"/>
                <w:sz w:val="14"/>
              </w:rPr>
              <w:t>Упознавање са основним особинама најважнијих скупова бројева и</w:t>
            </w:r>
            <w:r>
              <w:rPr>
                <w:color w:val="231F20"/>
                <w:spacing w:val="-10"/>
                <w:sz w:val="14"/>
              </w:rPr>
              <w:t xml:space="preserve"> </w:t>
            </w:r>
            <w:r>
              <w:rPr>
                <w:color w:val="231F20"/>
                <w:sz w:val="14"/>
              </w:rPr>
              <w:t>одређивањем приближних вреднос­ ти реалног</w:t>
            </w:r>
            <w:r>
              <w:rPr>
                <w:color w:val="231F20"/>
                <w:spacing w:val="-2"/>
                <w:sz w:val="14"/>
              </w:rPr>
              <w:t xml:space="preserve"> </w:t>
            </w:r>
            <w:r>
              <w:rPr>
                <w:color w:val="231F20"/>
                <w:sz w:val="14"/>
              </w:rPr>
              <w:t>броја.</w:t>
            </w:r>
          </w:p>
        </w:tc>
        <w:tc>
          <w:tcPr>
            <w:tcW w:w="2551" w:type="dxa"/>
          </w:tcPr>
          <w:p w:rsidR="00041039" w:rsidRDefault="001B26CB">
            <w:pPr>
              <w:pStyle w:val="TableParagraph"/>
              <w:tabs>
                <w:tab w:val="left" w:pos="157"/>
              </w:tabs>
              <w:spacing w:before="10"/>
              <w:ind w:right="50" w:hanging="99"/>
              <w:rPr>
                <w:sz w:val="14"/>
              </w:rPr>
            </w:pPr>
            <w:r>
              <w:rPr>
                <w:color w:val="231F20"/>
                <w:sz w:val="14"/>
              </w:rPr>
              <w:t>наведе основне подскупове скупа реалних бројева (</w:t>
            </w:r>
            <w:r>
              <w:rPr>
                <w:i/>
                <w:color w:val="231F20"/>
                <w:sz w:val="14"/>
              </w:rPr>
              <w:t>N, Z, Q, I</w:t>
            </w:r>
            <w:r>
              <w:rPr>
                <w:color w:val="231F20"/>
                <w:sz w:val="14"/>
              </w:rPr>
              <w:t>) и разликује њихове елементе на</w:t>
            </w:r>
            <w:r>
              <w:rPr>
                <w:color w:val="231F20"/>
                <w:spacing w:val="-5"/>
                <w:sz w:val="14"/>
              </w:rPr>
              <w:t xml:space="preserve"> </w:t>
            </w:r>
            <w:r>
              <w:rPr>
                <w:color w:val="231F20"/>
                <w:sz w:val="14"/>
              </w:rPr>
              <w:t>примерима;</w:t>
            </w:r>
          </w:p>
          <w:p w:rsidR="00041039" w:rsidRDefault="001B26CB">
            <w:pPr>
              <w:pStyle w:val="TableParagraph"/>
              <w:tabs>
                <w:tab w:val="left" w:pos="157"/>
              </w:tabs>
              <w:spacing w:line="157" w:lineRule="exact"/>
              <w:ind w:hanging="99"/>
              <w:rPr>
                <w:sz w:val="14"/>
              </w:rPr>
            </w:pPr>
            <w:r>
              <w:rPr>
                <w:color w:val="231F20"/>
                <w:sz w:val="14"/>
              </w:rPr>
              <w:t>одреди приближну вредност</w:t>
            </w:r>
            <w:r>
              <w:rPr>
                <w:color w:val="231F20"/>
                <w:spacing w:val="-9"/>
                <w:sz w:val="14"/>
              </w:rPr>
              <w:t xml:space="preserve"> </w:t>
            </w:r>
            <w:r>
              <w:rPr>
                <w:color w:val="231F20"/>
                <w:sz w:val="14"/>
              </w:rPr>
              <w:t>реалног</w:t>
            </w:r>
          </w:p>
          <w:p w:rsidR="00041039" w:rsidRDefault="001B26CB">
            <w:pPr>
              <w:pStyle w:val="TableParagraph"/>
              <w:spacing w:line="155" w:lineRule="exact"/>
              <w:rPr>
                <w:sz w:val="14"/>
              </w:rPr>
            </w:pPr>
            <w:r>
              <w:rPr>
                <w:color w:val="231F20"/>
                <w:sz w:val="14"/>
              </w:rPr>
              <w:t>броја и израчуна грешку;</w:t>
            </w:r>
          </w:p>
          <w:p w:rsidR="00041039" w:rsidRDefault="001B26CB">
            <w:pPr>
              <w:pStyle w:val="TableParagraph"/>
              <w:tabs>
                <w:tab w:val="left" w:pos="157"/>
              </w:tabs>
              <w:spacing w:before="7" w:line="160" w:lineRule="exact"/>
              <w:ind w:right="334" w:hanging="99"/>
              <w:rPr>
                <w:sz w:val="14"/>
              </w:rPr>
            </w:pPr>
            <w:r>
              <w:rPr>
                <w:color w:val="231F20"/>
                <w:sz w:val="14"/>
              </w:rPr>
              <w:t>обавља елементарне рачунске операције са приближним</w:t>
            </w:r>
            <w:r>
              <w:rPr>
                <w:color w:val="231F20"/>
                <w:spacing w:val="-14"/>
                <w:sz w:val="14"/>
              </w:rPr>
              <w:t xml:space="preserve"> </w:t>
            </w:r>
            <w:r>
              <w:rPr>
                <w:color w:val="231F20"/>
                <w:sz w:val="14"/>
              </w:rPr>
              <w:t>вредно­ стима;</w:t>
            </w:r>
          </w:p>
        </w:tc>
        <w:tc>
          <w:tcPr>
            <w:tcW w:w="2834" w:type="dxa"/>
          </w:tcPr>
          <w:p w:rsidR="00041039" w:rsidRDefault="001B26CB">
            <w:pPr>
              <w:pStyle w:val="TableParagraph"/>
              <w:tabs>
                <w:tab w:val="left" w:pos="158"/>
              </w:tabs>
              <w:spacing w:before="10" w:line="166" w:lineRule="exact"/>
              <w:ind w:left="157" w:hanging="100"/>
              <w:rPr>
                <w:i/>
                <w:sz w:val="14"/>
              </w:rPr>
            </w:pPr>
            <w:r>
              <w:rPr>
                <w:color w:val="231F20"/>
                <w:sz w:val="14"/>
              </w:rPr>
              <w:t xml:space="preserve">Скупови бројева </w:t>
            </w:r>
            <w:r>
              <w:rPr>
                <w:i/>
                <w:color w:val="231F20"/>
                <w:sz w:val="14"/>
              </w:rPr>
              <w:t>N, Z, Q, I,</w:t>
            </w:r>
            <w:r>
              <w:rPr>
                <w:i/>
                <w:color w:val="231F20"/>
                <w:spacing w:val="-4"/>
                <w:sz w:val="14"/>
              </w:rPr>
              <w:t xml:space="preserve"> </w:t>
            </w:r>
            <w:r>
              <w:rPr>
                <w:i/>
                <w:color w:val="231F20"/>
                <w:sz w:val="14"/>
              </w:rPr>
              <w:t>R.</w:t>
            </w:r>
          </w:p>
          <w:p w:rsidR="00041039" w:rsidRDefault="001B26CB">
            <w:pPr>
              <w:pStyle w:val="TableParagraph"/>
              <w:tabs>
                <w:tab w:val="left" w:pos="158"/>
              </w:tabs>
              <w:spacing w:line="160" w:lineRule="exact"/>
              <w:ind w:left="157" w:hanging="100"/>
              <w:rPr>
                <w:sz w:val="14"/>
              </w:rPr>
            </w:pPr>
            <w:r>
              <w:rPr>
                <w:color w:val="231F20"/>
                <w:sz w:val="14"/>
              </w:rPr>
              <w:t>Бројевна</w:t>
            </w:r>
            <w:r>
              <w:rPr>
                <w:color w:val="231F20"/>
                <w:spacing w:val="-2"/>
                <w:sz w:val="14"/>
              </w:rPr>
              <w:t xml:space="preserve"> </w:t>
            </w:r>
            <w:r>
              <w:rPr>
                <w:color w:val="231F20"/>
                <w:sz w:val="14"/>
              </w:rPr>
              <w:t>оса.</w:t>
            </w:r>
          </w:p>
          <w:p w:rsidR="00041039" w:rsidRDefault="001B26CB">
            <w:pPr>
              <w:pStyle w:val="TableParagraph"/>
              <w:tabs>
                <w:tab w:val="left" w:pos="158"/>
              </w:tabs>
              <w:spacing w:line="160" w:lineRule="exact"/>
              <w:ind w:left="157" w:hanging="100"/>
              <w:rPr>
                <w:sz w:val="14"/>
              </w:rPr>
            </w:pPr>
            <w:r>
              <w:rPr>
                <w:color w:val="231F20"/>
                <w:sz w:val="14"/>
              </w:rPr>
              <w:t>Приближне вредности реалних</w:t>
            </w:r>
            <w:r>
              <w:rPr>
                <w:color w:val="231F20"/>
                <w:spacing w:val="-6"/>
                <w:sz w:val="14"/>
              </w:rPr>
              <w:t xml:space="preserve"> </w:t>
            </w:r>
            <w:r>
              <w:rPr>
                <w:color w:val="231F20"/>
                <w:sz w:val="14"/>
              </w:rPr>
              <w:t>бројева.</w:t>
            </w:r>
          </w:p>
          <w:p w:rsidR="00041039" w:rsidRDefault="001B26CB">
            <w:pPr>
              <w:pStyle w:val="TableParagraph"/>
              <w:tabs>
                <w:tab w:val="left" w:pos="158"/>
              </w:tabs>
              <w:spacing w:line="160" w:lineRule="exact"/>
              <w:ind w:left="157" w:hanging="100"/>
              <w:rPr>
                <w:sz w:val="14"/>
              </w:rPr>
            </w:pPr>
            <w:r>
              <w:rPr>
                <w:color w:val="231F20"/>
                <w:sz w:val="14"/>
              </w:rPr>
              <w:t>Грешка, граница</w:t>
            </w:r>
            <w:r>
              <w:rPr>
                <w:color w:val="231F20"/>
                <w:spacing w:val="-3"/>
                <w:sz w:val="14"/>
              </w:rPr>
              <w:t xml:space="preserve"> </w:t>
            </w:r>
            <w:r>
              <w:rPr>
                <w:color w:val="231F20"/>
                <w:sz w:val="14"/>
              </w:rPr>
              <w:t>грешке.</w:t>
            </w:r>
          </w:p>
          <w:p w:rsidR="00041039" w:rsidRDefault="001B26CB">
            <w:pPr>
              <w:pStyle w:val="TableParagraph"/>
              <w:tabs>
                <w:tab w:val="left" w:pos="158"/>
              </w:tabs>
              <w:spacing w:line="166" w:lineRule="exact"/>
              <w:ind w:left="157" w:hanging="100"/>
              <w:rPr>
                <w:sz w:val="14"/>
              </w:rPr>
            </w:pPr>
            <w:r>
              <w:rPr>
                <w:color w:val="231F20"/>
                <w:sz w:val="14"/>
              </w:rPr>
              <w:t>Операције са приближним</w:t>
            </w:r>
            <w:r>
              <w:rPr>
                <w:color w:val="231F20"/>
                <w:spacing w:val="-8"/>
                <w:sz w:val="14"/>
              </w:rPr>
              <w:t xml:space="preserve"> </w:t>
            </w:r>
            <w:r>
              <w:rPr>
                <w:color w:val="231F20"/>
                <w:sz w:val="14"/>
              </w:rPr>
              <w:t>вредностима.</w:t>
            </w:r>
          </w:p>
        </w:tc>
        <w:tc>
          <w:tcPr>
            <w:tcW w:w="2267" w:type="dxa"/>
            <w:vMerge/>
            <w:tcBorders>
              <w:top w:val="nil"/>
            </w:tcBorders>
          </w:tcPr>
          <w:p w:rsidR="00041039" w:rsidRDefault="00041039">
            <w:pPr>
              <w:rPr>
                <w:sz w:val="2"/>
                <w:szCs w:val="2"/>
              </w:rPr>
            </w:pPr>
          </w:p>
        </w:tc>
      </w:tr>
      <w:tr w:rsidR="00041039">
        <w:trPr>
          <w:trHeight w:val="2760"/>
        </w:trPr>
        <w:tc>
          <w:tcPr>
            <w:tcW w:w="1304" w:type="dxa"/>
          </w:tcPr>
          <w:p w:rsidR="00041039" w:rsidRDefault="001B26CB">
            <w:pPr>
              <w:pStyle w:val="TableParagraph"/>
              <w:spacing w:before="20"/>
              <w:ind w:left="57" w:right="167"/>
              <w:rPr>
                <w:sz w:val="14"/>
              </w:rPr>
            </w:pPr>
            <w:r>
              <w:rPr>
                <w:color w:val="231F20"/>
                <w:sz w:val="14"/>
              </w:rPr>
              <w:t>Рационални алге­ барски изрази</w:t>
            </w:r>
          </w:p>
        </w:tc>
        <w:tc>
          <w:tcPr>
            <w:tcW w:w="1587" w:type="dxa"/>
          </w:tcPr>
          <w:p w:rsidR="00041039" w:rsidRDefault="001B26CB">
            <w:pPr>
              <w:pStyle w:val="TableParagraph"/>
              <w:tabs>
                <w:tab w:val="left" w:pos="157"/>
              </w:tabs>
              <w:spacing w:before="10"/>
              <w:ind w:right="86" w:hanging="99"/>
              <w:rPr>
                <w:sz w:val="14"/>
              </w:rPr>
            </w:pPr>
            <w:r>
              <w:rPr>
                <w:color w:val="231F20"/>
                <w:sz w:val="14"/>
              </w:rPr>
              <w:t>Стицање знања о</w:t>
            </w:r>
            <w:r>
              <w:rPr>
                <w:color w:val="231F20"/>
                <w:spacing w:val="-11"/>
                <w:sz w:val="14"/>
              </w:rPr>
              <w:t xml:space="preserve"> </w:t>
            </w:r>
            <w:r>
              <w:rPr>
                <w:color w:val="231F20"/>
                <w:sz w:val="14"/>
              </w:rPr>
              <w:t>раду са</w:t>
            </w:r>
            <w:r>
              <w:rPr>
                <w:color w:val="231F20"/>
                <w:spacing w:val="-1"/>
                <w:sz w:val="14"/>
              </w:rPr>
              <w:t xml:space="preserve"> </w:t>
            </w:r>
            <w:r>
              <w:rPr>
                <w:color w:val="231F20"/>
                <w:sz w:val="14"/>
              </w:rPr>
              <w:t>разломцима.</w:t>
            </w:r>
          </w:p>
        </w:tc>
        <w:tc>
          <w:tcPr>
            <w:tcW w:w="2551" w:type="dxa"/>
          </w:tcPr>
          <w:p w:rsidR="00041039" w:rsidRDefault="001B26CB">
            <w:pPr>
              <w:pStyle w:val="TableParagraph"/>
              <w:tabs>
                <w:tab w:val="left" w:pos="157"/>
              </w:tabs>
              <w:spacing w:before="10"/>
              <w:ind w:right="236" w:hanging="99"/>
              <w:rPr>
                <w:sz w:val="14"/>
              </w:rPr>
            </w:pPr>
            <w:r>
              <w:rPr>
                <w:color w:val="231F20"/>
                <w:sz w:val="14"/>
              </w:rPr>
              <w:t>сређује полиноме и обавља основне рачунске операције са</w:t>
            </w:r>
            <w:r>
              <w:rPr>
                <w:color w:val="231F20"/>
                <w:spacing w:val="-3"/>
                <w:sz w:val="14"/>
              </w:rPr>
              <w:t xml:space="preserve"> </w:t>
            </w:r>
            <w:r>
              <w:rPr>
                <w:color w:val="231F20"/>
                <w:sz w:val="14"/>
              </w:rPr>
              <w:t>њима;</w:t>
            </w:r>
          </w:p>
          <w:p w:rsidR="00041039" w:rsidRDefault="001B26CB">
            <w:pPr>
              <w:pStyle w:val="TableParagraph"/>
              <w:tabs>
                <w:tab w:val="left" w:pos="157"/>
              </w:tabs>
              <w:spacing w:line="153" w:lineRule="exact"/>
              <w:ind w:hanging="99"/>
              <w:rPr>
                <w:sz w:val="14"/>
              </w:rPr>
            </w:pPr>
            <w:r>
              <w:rPr>
                <w:color w:val="231F20"/>
                <w:sz w:val="14"/>
              </w:rPr>
              <w:t>подели два</w:t>
            </w:r>
            <w:r>
              <w:rPr>
                <w:color w:val="231F20"/>
                <w:spacing w:val="-2"/>
                <w:sz w:val="14"/>
              </w:rPr>
              <w:t xml:space="preserve"> </w:t>
            </w:r>
            <w:r>
              <w:rPr>
                <w:color w:val="231F20"/>
                <w:sz w:val="14"/>
              </w:rPr>
              <w:t>полинома;</w:t>
            </w:r>
          </w:p>
          <w:p w:rsidR="00041039" w:rsidRDefault="001B26CB">
            <w:pPr>
              <w:pStyle w:val="TableParagraph"/>
              <w:tabs>
                <w:tab w:val="left" w:pos="157"/>
              </w:tabs>
              <w:spacing w:line="237" w:lineRule="auto"/>
              <w:ind w:right="200" w:hanging="99"/>
              <w:rPr>
                <w:sz w:val="14"/>
              </w:rPr>
            </w:pPr>
            <w:r>
              <w:rPr>
                <w:color w:val="231F20"/>
                <w:sz w:val="14"/>
              </w:rPr>
              <w:t>користи Безуов став при дељењу</w:t>
            </w:r>
            <w:r>
              <w:rPr>
                <w:color w:val="231F20"/>
                <w:spacing w:val="-19"/>
                <w:sz w:val="14"/>
              </w:rPr>
              <w:t xml:space="preserve"> </w:t>
            </w:r>
            <w:r>
              <w:rPr>
                <w:color w:val="231F20"/>
                <w:sz w:val="14"/>
              </w:rPr>
              <w:t>по­ линома и одређивању</w:t>
            </w:r>
            <w:r>
              <w:rPr>
                <w:color w:val="231F20"/>
                <w:spacing w:val="-5"/>
                <w:sz w:val="14"/>
              </w:rPr>
              <w:t xml:space="preserve"> </w:t>
            </w:r>
            <w:r>
              <w:rPr>
                <w:color w:val="231F20"/>
                <w:sz w:val="14"/>
              </w:rPr>
              <w:t>остатка;</w:t>
            </w:r>
          </w:p>
          <w:p w:rsidR="00041039" w:rsidRDefault="001B26CB">
            <w:pPr>
              <w:pStyle w:val="TableParagraph"/>
              <w:tabs>
                <w:tab w:val="left" w:pos="157"/>
              </w:tabs>
              <w:spacing w:line="160" w:lineRule="exact"/>
              <w:ind w:right="62" w:hanging="99"/>
              <w:rPr>
                <w:sz w:val="14"/>
              </w:rPr>
            </w:pPr>
            <w:r>
              <w:rPr>
                <w:color w:val="231F20"/>
                <w:sz w:val="14"/>
              </w:rPr>
              <w:t>растави полином на чиниоце при­ меном основних формула (дистрибу­ тивни</w:t>
            </w:r>
            <w:r>
              <w:rPr>
                <w:color w:val="231F20"/>
                <w:spacing w:val="-9"/>
                <w:sz w:val="14"/>
              </w:rPr>
              <w:t xml:space="preserve"> </w:t>
            </w:r>
            <w:r>
              <w:rPr>
                <w:color w:val="231F20"/>
                <w:sz w:val="14"/>
              </w:rPr>
              <w:t>закон</w:t>
            </w:r>
            <w:r>
              <w:rPr>
                <w:color w:val="231F20"/>
                <w:spacing w:val="-9"/>
                <w:sz w:val="14"/>
              </w:rPr>
              <w:t xml:space="preserve"> </w:t>
            </w:r>
            <w:r>
              <w:rPr>
                <w:color w:val="231F20"/>
                <w:sz w:val="14"/>
              </w:rPr>
              <w:t>множења</w:t>
            </w:r>
            <w:r>
              <w:rPr>
                <w:color w:val="231F20"/>
                <w:spacing w:val="-9"/>
                <w:sz w:val="14"/>
              </w:rPr>
              <w:t xml:space="preserve"> </w:t>
            </w:r>
            <w:r>
              <w:rPr>
                <w:color w:val="231F20"/>
                <w:sz w:val="14"/>
              </w:rPr>
              <w:t>према</w:t>
            </w:r>
            <w:r>
              <w:rPr>
                <w:color w:val="231F20"/>
                <w:spacing w:val="-9"/>
                <w:sz w:val="14"/>
              </w:rPr>
              <w:t xml:space="preserve"> </w:t>
            </w:r>
            <w:r>
              <w:rPr>
                <w:color w:val="231F20"/>
                <w:sz w:val="14"/>
              </w:rPr>
              <w:t>сабирању, квадрат бинома, разлика квадрата, куб бинома, збир и разлика</w:t>
            </w:r>
            <w:r>
              <w:rPr>
                <w:color w:val="231F20"/>
                <w:spacing w:val="-7"/>
                <w:sz w:val="14"/>
              </w:rPr>
              <w:t xml:space="preserve"> </w:t>
            </w:r>
            <w:r>
              <w:rPr>
                <w:color w:val="231F20"/>
                <w:sz w:val="14"/>
              </w:rPr>
              <w:t>кубова);</w:t>
            </w:r>
          </w:p>
          <w:p w:rsidR="00041039" w:rsidRDefault="001B26CB">
            <w:pPr>
              <w:pStyle w:val="TableParagraph"/>
              <w:tabs>
                <w:tab w:val="left" w:pos="157"/>
              </w:tabs>
              <w:spacing w:line="153" w:lineRule="exact"/>
              <w:ind w:hanging="99"/>
              <w:rPr>
                <w:sz w:val="14"/>
              </w:rPr>
            </w:pPr>
            <w:r>
              <w:rPr>
                <w:color w:val="231F20"/>
                <w:sz w:val="14"/>
              </w:rPr>
              <w:t xml:space="preserve">одреди НЗС и </w:t>
            </w:r>
            <w:r>
              <w:rPr>
                <w:color w:val="231F20"/>
                <w:spacing w:val="-4"/>
                <w:sz w:val="14"/>
              </w:rPr>
              <w:t xml:space="preserve">НЗД </w:t>
            </w:r>
            <w:r>
              <w:rPr>
                <w:color w:val="231F20"/>
                <w:sz w:val="14"/>
              </w:rPr>
              <w:t>датих</w:t>
            </w:r>
            <w:r>
              <w:rPr>
                <w:color w:val="231F20"/>
                <w:spacing w:val="-9"/>
                <w:sz w:val="14"/>
              </w:rPr>
              <w:t xml:space="preserve"> </w:t>
            </w:r>
            <w:r>
              <w:rPr>
                <w:color w:val="231F20"/>
                <w:sz w:val="14"/>
              </w:rPr>
              <w:t>полинома;</w:t>
            </w:r>
          </w:p>
          <w:p w:rsidR="00041039" w:rsidRDefault="001B26CB">
            <w:pPr>
              <w:pStyle w:val="TableParagraph"/>
              <w:tabs>
                <w:tab w:val="left" w:pos="157"/>
              </w:tabs>
              <w:spacing w:line="237" w:lineRule="auto"/>
              <w:ind w:right="46" w:hanging="99"/>
              <w:rPr>
                <w:sz w:val="14"/>
              </w:rPr>
            </w:pPr>
            <w:r>
              <w:rPr>
                <w:color w:val="231F20"/>
                <w:sz w:val="14"/>
              </w:rPr>
              <w:t>трансформише рационални алгебарски израз;</w:t>
            </w:r>
          </w:p>
          <w:p w:rsidR="00041039" w:rsidRDefault="001B26CB">
            <w:pPr>
              <w:pStyle w:val="TableParagraph"/>
              <w:tabs>
                <w:tab w:val="left" w:pos="157"/>
              </w:tabs>
              <w:spacing w:line="160" w:lineRule="exact"/>
              <w:ind w:right="750" w:hanging="99"/>
              <w:rPr>
                <w:sz w:val="14"/>
              </w:rPr>
            </w:pPr>
            <w:r>
              <w:rPr>
                <w:color w:val="231F20"/>
                <w:sz w:val="14"/>
              </w:rPr>
              <w:t>реши линеарне једначине</w:t>
            </w:r>
            <w:r>
              <w:rPr>
                <w:color w:val="231F20"/>
                <w:spacing w:val="-10"/>
                <w:sz w:val="14"/>
              </w:rPr>
              <w:t xml:space="preserve"> </w:t>
            </w:r>
            <w:r>
              <w:rPr>
                <w:color w:val="231F20"/>
                <w:sz w:val="14"/>
              </w:rPr>
              <w:t>и неједначине;</w:t>
            </w:r>
          </w:p>
          <w:p w:rsidR="00041039" w:rsidRDefault="001B26CB">
            <w:pPr>
              <w:pStyle w:val="TableParagraph"/>
              <w:tabs>
                <w:tab w:val="left" w:pos="157"/>
              </w:tabs>
              <w:spacing w:line="160" w:lineRule="exact"/>
              <w:ind w:right="169" w:hanging="99"/>
              <w:rPr>
                <w:sz w:val="14"/>
              </w:rPr>
            </w:pPr>
            <w:r>
              <w:rPr>
                <w:color w:val="231F20"/>
                <w:sz w:val="14"/>
              </w:rPr>
              <w:t>реши систем линеарних једначина</w:t>
            </w:r>
            <w:r>
              <w:rPr>
                <w:color w:val="231F20"/>
                <w:spacing w:val="-9"/>
                <w:sz w:val="14"/>
              </w:rPr>
              <w:t xml:space="preserve"> </w:t>
            </w:r>
            <w:r>
              <w:rPr>
                <w:color w:val="231F20"/>
                <w:sz w:val="14"/>
              </w:rPr>
              <w:t>са две</w:t>
            </w:r>
            <w:r>
              <w:rPr>
                <w:color w:val="231F20"/>
                <w:spacing w:val="-1"/>
                <w:sz w:val="14"/>
              </w:rPr>
              <w:t xml:space="preserve"> </w:t>
            </w:r>
            <w:r>
              <w:rPr>
                <w:color w:val="231F20"/>
                <w:sz w:val="14"/>
              </w:rPr>
              <w:t>непознате;</w:t>
            </w:r>
          </w:p>
        </w:tc>
        <w:tc>
          <w:tcPr>
            <w:tcW w:w="2834" w:type="dxa"/>
          </w:tcPr>
          <w:p w:rsidR="00041039" w:rsidRDefault="001B26CB">
            <w:pPr>
              <w:pStyle w:val="TableParagraph"/>
              <w:tabs>
                <w:tab w:val="left" w:pos="158"/>
              </w:tabs>
              <w:spacing w:before="11"/>
              <w:ind w:left="157" w:right="446" w:hanging="100"/>
              <w:rPr>
                <w:sz w:val="14"/>
              </w:rPr>
            </w:pPr>
            <w:r>
              <w:rPr>
                <w:color w:val="231F20"/>
                <w:sz w:val="14"/>
              </w:rPr>
              <w:t>Сређивање, сабирање и множење</w:t>
            </w:r>
            <w:r>
              <w:rPr>
                <w:color w:val="231F20"/>
                <w:spacing w:val="-11"/>
                <w:sz w:val="14"/>
              </w:rPr>
              <w:t xml:space="preserve"> </w:t>
            </w:r>
            <w:r>
              <w:rPr>
                <w:color w:val="231F20"/>
                <w:sz w:val="14"/>
              </w:rPr>
              <w:t>по­ линома.</w:t>
            </w:r>
          </w:p>
          <w:p w:rsidR="00041039" w:rsidRDefault="001B26CB">
            <w:pPr>
              <w:pStyle w:val="TableParagraph"/>
              <w:tabs>
                <w:tab w:val="left" w:pos="158"/>
              </w:tabs>
              <w:spacing w:line="153" w:lineRule="exact"/>
              <w:ind w:left="157" w:hanging="100"/>
              <w:rPr>
                <w:sz w:val="14"/>
              </w:rPr>
            </w:pPr>
            <w:r>
              <w:rPr>
                <w:color w:val="231F20"/>
                <w:sz w:val="14"/>
              </w:rPr>
              <w:t>Дељење</w:t>
            </w:r>
            <w:r>
              <w:rPr>
                <w:color w:val="231F20"/>
                <w:spacing w:val="-1"/>
                <w:sz w:val="14"/>
              </w:rPr>
              <w:t xml:space="preserve"> </w:t>
            </w:r>
            <w:r>
              <w:rPr>
                <w:color w:val="231F20"/>
                <w:sz w:val="14"/>
              </w:rPr>
              <w:t>полинома.</w:t>
            </w:r>
          </w:p>
          <w:p w:rsidR="00041039" w:rsidRDefault="001B26CB">
            <w:pPr>
              <w:pStyle w:val="TableParagraph"/>
              <w:tabs>
                <w:tab w:val="left" w:pos="158"/>
              </w:tabs>
              <w:spacing w:line="237" w:lineRule="auto"/>
              <w:ind w:left="157" w:right="117" w:hanging="100"/>
              <w:rPr>
                <w:sz w:val="14"/>
              </w:rPr>
            </w:pPr>
            <w:r>
              <w:rPr>
                <w:color w:val="231F20"/>
                <w:sz w:val="14"/>
              </w:rPr>
              <w:t>Растављање полинома на чиниоце метода­ ма груписања чланова, разлике квадрата, квадрата бинома, разлике и збира кубова</w:t>
            </w:r>
            <w:r>
              <w:rPr>
                <w:color w:val="231F20"/>
                <w:spacing w:val="-25"/>
                <w:sz w:val="14"/>
              </w:rPr>
              <w:t xml:space="preserve"> </w:t>
            </w:r>
            <w:r>
              <w:rPr>
                <w:color w:val="231F20"/>
                <w:sz w:val="14"/>
              </w:rPr>
              <w:t>и куба збира и</w:t>
            </w:r>
            <w:r>
              <w:rPr>
                <w:color w:val="231F20"/>
                <w:spacing w:val="-3"/>
                <w:sz w:val="14"/>
              </w:rPr>
              <w:t xml:space="preserve"> </w:t>
            </w:r>
            <w:r>
              <w:rPr>
                <w:color w:val="231F20"/>
                <w:sz w:val="14"/>
              </w:rPr>
              <w:t>разлике.</w:t>
            </w:r>
          </w:p>
          <w:p w:rsidR="00041039" w:rsidRDefault="001B26CB">
            <w:pPr>
              <w:pStyle w:val="TableParagraph"/>
              <w:tabs>
                <w:tab w:val="left" w:pos="158"/>
              </w:tabs>
              <w:spacing w:line="157" w:lineRule="exact"/>
              <w:ind w:left="157" w:hanging="100"/>
              <w:rPr>
                <w:sz w:val="14"/>
              </w:rPr>
            </w:pPr>
            <w:r>
              <w:rPr>
                <w:color w:val="231F20"/>
                <w:sz w:val="14"/>
              </w:rPr>
              <w:t>НЗС</w:t>
            </w:r>
            <w:r>
              <w:rPr>
                <w:color w:val="231F20"/>
                <w:spacing w:val="-2"/>
                <w:sz w:val="14"/>
              </w:rPr>
              <w:t xml:space="preserve"> </w:t>
            </w:r>
            <w:r>
              <w:rPr>
                <w:color w:val="231F20"/>
                <w:sz w:val="14"/>
              </w:rPr>
              <w:t>полинома.</w:t>
            </w:r>
          </w:p>
          <w:p w:rsidR="00041039" w:rsidRDefault="001B26CB">
            <w:pPr>
              <w:pStyle w:val="TableParagraph"/>
              <w:tabs>
                <w:tab w:val="left" w:pos="158"/>
              </w:tabs>
              <w:spacing w:line="160" w:lineRule="exact"/>
              <w:ind w:left="157" w:hanging="100"/>
              <w:rPr>
                <w:sz w:val="14"/>
              </w:rPr>
            </w:pPr>
            <w:r>
              <w:rPr>
                <w:color w:val="231F20"/>
                <w:sz w:val="14"/>
              </w:rPr>
              <w:t>Множење и дељење</w:t>
            </w:r>
            <w:r>
              <w:rPr>
                <w:color w:val="231F20"/>
                <w:spacing w:val="-3"/>
                <w:sz w:val="14"/>
              </w:rPr>
              <w:t xml:space="preserve"> </w:t>
            </w:r>
            <w:r>
              <w:rPr>
                <w:color w:val="231F20"/>
                <w:sz w:val="14"/>
              </w:rPr>
              <w:t>разломака.</w:t>
            </w:r>
          </w:p>
          <w:p w:rsidR="00041039" w:rsidRDefault="001B26CB">
            <w:pPr>
              <w:pStyle w:val="TableParagraph"/>
              <w:tabs>
                <w:tab w:val="left" w:pos="158"/>
              </w:tabs>
              <w:spacing w:line="160" w:lineRule="exact"/>
              <w:ind w:left="157" w:hanging="100"/>
              <w:rPr>
                <w:sz w:val="14"/>
              </w:rPr>
            </w:pPr>
            <w:r>
              <w:rPr>
                <w:color w:val="231F20"/>
                <w:sz w:val="14"/>
              </w:rPr>
              <w:t>Сабирање</w:t>
            </w:r>
            <w:r>
              <w:rPr>
                <w:color w:val="231F20"/>
                <w:spacing w:val="-1"/>
                <w:sz w:val="14"/>
              </w:rPr>
              <w:t xml:space="preserve"> </w:t>
            </w:r>
            <w:r>
              <w:rPr>
                <w:color w:val="231F20"/>
                <w:sz w:val="14"/>
              </w:rPr>
              <w:t>разломака.</w:t>
            </w:r>
          </w:p>
          <w:p w:rsidR="00041039" w:rsidRDefault="001B26CB">
            <w:pPr>
              <w:pStyle w:val="TableParagraph"/>
              <w:tabs>
                <w:tab w:val="left" w:pos="158"/>
              </w:tabs>
              <w:spacing w:line="160" w:lineRule="exact"/>
              <w:ind w:left="157" w:hanging="100"/>
              <w:rPr>
                <w:sz w:val="14"/>
              </w:rPr>
            </w:pPr>
            <w:r>
              <w:rPr>
                <w:color w:val="231F20"/>
                <w:sz w:val="14"/>
              </w:rPr>
              <w:t>Линеарне</w:t>
            </w:r>
            <w:r>
              <w:rPr>
                <w:color w:val="231F20"/>
                <w:spacing w:val="-1"/>
                <w:sz w:val="14"/>
              </w:rPr>
              <w:t xml:space="preserve"> </w:t>
            </w:r>
            <w:r>
              <w:rPr>
                <w:color w:val="231F20"/>
                <w:sz w:val="14"/>
              </w:rPr>
              <w:t>једначине.</w:t>
            </w:r>
          </w:p>
          <w:p w:rsidR="00041039" w:rsidRDefault="001B26CB">
            <w:pPr>
              <w:pStyle w:val="TableParagraph"/>
              <w:tabs>
                <w:tab w:val="left" w:pos="158"/>
              </w:tabs>
              <w:spacing w:line="160" w:lineRule="exact"/>
              <w:ind w:left="157" w:hanging="100"/>
              <w:rPr>
                <w:sz w:val="14"/>
              </w:rPr>
            </w:pPr>
            <w:r>
              <w:rPr>
                <w:color w:val="231F20"/>
                <w:sz w:val="14"/>
              </w:rPr>
              <w:t>Линеарне</w:t>
            </w:r>
            <w:r>
              <w:rPr>
                <w:color w:val="231F20"/>
                <w:spacing w:val="-1"/>
                <w:sz w:val="14"/>
              </w:rPr>
              <w:t xml:space="preserve"> </w:t>
            </w:r>
            <w:r>
              <w:rPr>
                <w:color w:val="231F20"/>
                <w:sz w:val="14"/>
              </w:rPr>
              <w:t>неједначине.</w:t>
            </w:r>
          </w:p>
          <w:p w:rsidR="00041039" w:rsidRDefault="001B26CB">
            <w:pPr>
              <w:pStyle w:val="TableParagraph"/>
              <w:tabs>
                <w:tab w:val="left" w:pos="158"/>
              </w:tabs>
              <w:spacing w:line="166" w:lineRule="exact"/>
              <w:ind w:left="157" w:hanging="100"/>
              <w:rPr>
                <w:sz w:val="14"/>
              </w:rPr>
            </w:pPr>
            <w:r>
              <w:rPr>
                <w:color w:val="231F20"/>
                <w:sz w:val="14"/>
              </w:rPr>
              <w:t>Систем ли</w:t>
            </w:r>
            <w:r>
              <w:rPr>
                <w:color w:val="231F20"/>
                <w:sz w:val="14"/>
              </w:rPr>
              <w:t>неарних</w:t>
            </w:r>
            <w:r>
              <w:rPr>
                <w:color w:val="231F20"/>
                <w:spacing w:val="-1"/>
                <w:sz w:val="14"/>
              </w:rPr>
              <w:t xml:space="preserve"> </w:t>
            </w:r>
            <w:r>
              <w:rPr>
                <w:color w:val="231F20"/>
                <w:sz w:val="14"/>
              </w:rPr>
              <w:t>једначина.</w:t>
            </w:r>
          </w:p>
        </w:tc>
        <w:tc>
          <w:tcPr>
            <w:tcW w:w="2267" w:type="dxa"/>
            <w:vMerge/>
            <w:tcBorders>
              <w:top w:val="nil"/>
            </w:tcBorders>
          </w:tcPr>
          <w:p w:rsidR="00041039" w:rsidRDefault="00041039">
            <w:pPr>
              <w:rPr>
                <w:sz w:val="2"/>
                <w:szCs w:val="2"/>
              </w:rPr>
            </w:pPr>
          </w:p>
        </w:tc>
      </w:tr>
      <w:tr w:rsidR="00041039">
        <w:trPr>
          <w:trHeight w:val="1320"/>
        </w:trPr>
        <w:tc>
          <w:tcPr>
            <w:tcW w:w="1304" w:type="dxa"/>
          </w:tcPr>
          <w:p w:rsidR="00041039" w:rsidRDefault="001B26CB">
            <w:pPr>
              <w:pStyle w:val="TableParagraph"/>
              <w:spacing w:before="21"/>
              <w:ind w:left="57"/>
              <w:rPr>
                <w:sz w:val="14"/>
              </w:rPr>
            </w:pPr>
            <w:r>
              <w:rPr>
                <w:color w:val="231F20"/>
                <w:sz w:val="14"/>
              </w:rPr>
              <w:t>Пропорционалност</w:t>
            </w:r>
          </w:p>
        </w:tc>
        <w:tc>
          <w:tcPr>
            <w:tcW w:w="1587" w:type="dxa"/>
          </w:tcPr>
          <w:p w:rsidR="00041039" w:rsidRDefault="001B26CB">
            <w:pPr>
              <w:pStyle w:val="TableParagraph"/>
              <w:tabs>
                <w:tab w:val="left" w:pos="157"/>
              </w:tabs>
              <w:spacing w:before="11"/>
              <w:ind w:right="160" w:hanging="99"/>
              <w:rPr>
                <w:sz w:val="14"/>
              </w:rPr>
            </w:pPr>
            <w:r>
              <w:rPr>
                <w:color w:val="231F20"/>
                <w:sz w:val="14"/>
              </w:rPr>
              <w:t>Стицање основних знања из решавања</w:t>
            </w:r>
            <w:r>
              <w:rPr>
                <w:color w:val="231F20"/>
                <w:spacing w:val="-9"/>
                <w:sz w:val="14"/>
              </w:rPr>
              <w:t xml:space="preserve"> </w:t>
            </w:r>
            <w:r>
              <w:rPr>
                <w:color w:val="231F20"/>
                <w:sz w:val="14"/>
              </w:rPr>
              <w:t>и примена</w:t>
            </w:r>
            <w:r>
              <w:rPr>
                <w:color w:val="231F20"/>
                <w:spacing w:val="-12"/>
                <w:sz w:val="14"/>
              </w:rPr>
              <w:t xml:space="preserve"> </w:t>
            </w:r>
            <w:r>
              <w:rPr>
                <w:color w:val="231F20"/>
                <w:sz w:val="14"/>
              </w:rPr>
              <w:t>пропорција.</w:t>
            </w:r>
          </w:p>
        </w:tc>
        <w:tc>
          <w:tcPr>
            <w:tcW w:w="2551" w:type="dxa"/>
          </w:tcPr>
          <w:p w:rsidR="00041039" w:rsidRDefault="001B26CB">
            <w:pPr>
              <w:pStyle w:val="TableParagraph"/>
              <w:tabs>
                <w:tab w:val="left" w:pos="158"/>
              </w:tabs>
              <w:spacing w:before="11"/>
              <w:ind w:left="157" w:right="516" w:hanging="100"/>
              <w:rPr>
                <w:sz w:val="14"/>
              </w:rPr>
            </w:pPr>
            <w:r>
              <w:rPr>
                <w:color w:val="231F20"/>
                <w:sz w:val="14"/>
              </w:rPr>
              <w:t>самостално поставља и решава пропорције;</w:t>
            </w:r>
          </w:p>
          <w:p w:rsidR="00041039" w:rsidRDefault="001B26CB">
            <w:pPr>
              <w:pStyle w:val="TableParagraph"/>
              <w:tabs>
                <w:tab w:val="left" w:pos="158"/>
              </w:tabs>
              <w:spacing w:line="160" w:lineRule="exact"/>
              <w:ind w:left="157" w:right="114" w:hanging="100"/>
              <w:rPr>
                <w:sz w:val="14"/>
              </w:rPr>
            </w:pPr>
            <w:r>
              <w:rPr>
                <w:color w:val="231F20"/>
                <w:sz w:val="14"/>
              </w:rPr>
              <w:t>препозна директну или обрнуту пропорционалност две величине и примени их у решавању једноставних проблема;</w:t>
            </w:r>
          </w:p>
          <w:p w:rsidR="00041039" w:rsidRDefault="001B26CB">
            <w:pPr>
              <w:pStyle w:val="TableParagraph"/>
              <w:tabs>
                <w:tab w:val="left" w:pos="158"/>
              </w:tabs>
              <w:spacing w:line="160" w:lineRule="exact"/>
              <w:ind w:left="157" w:right="435" w:hanging="100"/>
              <w:rPr>
                <w:sz w:val="14"/>
              </w:rPr>
            </w:pPr>
            <w:r>
              <w:rPr>
                <w:color w:val="231F20"/>
                <w:sz w:val="14"/>
              </w:rPr>
              <w:t>решава једноставније процентне једначине;</w:t>
            </w:r>
          </w:p>
        </w:tc>
        <w:tc>
          <w:tcPr>
            <w:tcW w:w="2834" w:type="dxa"/>
          </w:tcPr>
          <w:p w:rsidR="00041039" w:rsidRDefault="001B26CB">
            <w:pPr>
              <w:pStyle w:val="TableParagraph"/>
              <w:tabs>
                <w:tab w:val="left" w:pos="158"/>
              </w:tabs>
              <w:spacing w:before="11" w:line="166" w:lineRule="exact"/>
              <w:ind w:left="157" w:hanging="100"/>
              <w:rPr>
                <w:sz w:val="14"/>
              </w:rPr>
            </w:pPr>
            <w:r>
              <w:rPr>
                <w:color w:val="231F20"/>
                <w:sz w:val="14"/>
              </w:rPr>
              <w:t>Решавање</w:t>
            </w:r>
            <w:r>
              <w:rPr>
                <w:color w:val="231F20"/>
                <w:spacing w:val="-1"/>
                <w:sz w:val="14"/>
              </w:rPr>
              <w:t xml:space="preserve"> </w:t>
            </w:r>
            <w:r>
              <w:rPr>
                <w:color w:val="231F20"/>
                <w:sz w:val="14"/>
              </w:rPr>
              <w:t>пропорције.</w:t>
            </w:r>
          </w:p>
          <w:p w:rsidR="00041039" w:rsidRDefault="001B26CB">
            <w:pPr>
              <w:pStyle w:val="TableParagraph"/>
              <w:tabs>
                <w:tab w:val="left" w:pos="158"/>
              </w:tabs>
              <w:spacing w:line="160" w:lineRule="exact"/>
              <w:ind w:left="157" w:hanging="100"/>
              <w:rPr>
                <w:sz w:val="14"/>
              </w:rPr>
            </w:pPr>
            <w:r>
              <w:rPr>
                <w:color w:val="231F20"/>
                <w:sz w:val="14"/>
              </w:rPr>
              <w:t>Директна и обрнута</w:t>
            </w:r>
            <w:r>
              <w:rPr>
                <w:color w:val="231F20"/>
                <w:spacing w:val="-8"/>
                <w:sz w:val="14"/>
              </w:rPr>
              <w:t xml:space="preserve"> </w:t>
            </w:r>
            <w:r>
              <w:rPr>
                <w:color w:val="231F20"/>
                <w:sz w:val="14"/>
              </w:rPr>
              <w:t>пропорционалност.</w:t>
            </w:r>
          </w:p>
          <w:p w:rsidR="00041039" w:rsidRDefault="001B26CB">
            <w:pPr>
              <w:pStyle w:val="TableParagraph"/>
              <w:tabs>
                <w:tab w:val="left" w:pos="158"/>
              </w:tabs>
              <w:spacing w:line="160" w:lineRule="exact"/>
              <w:ind w:left="157" w:hanging="100"/>
              <w:rPr>
                <w:sz w:val="14"/>
              </w:rPr>
            </w:pPr>
            <w:r>
              <w:rPr>
                <w:color w:val="231F20"/>
                <w:sz w:val="14"/>
              </w:rPr>
              <w:t>Рачун</w:t>
            </w:r>
            <w:r>
              <w:rPr>
                <w:color w:val="231F20"/>
                <w:spacing w:val="-1"/>
                <w:sz w:val="14"/>
              </w:rPr>
              <w:t xml:space="preserve"> </w:t>
            </w:r>
            <w:r>
              <w:rPr>
                <w:color w:val="231F20"/>
                <w:sz w:val="14"/>
              </w:rPr>
              <w:t>поделе.</w:t>
            </w:r>
          </w:p>
          <w:p w:rsidR="00041039" w:rsidRDefault="001B26CB">
            <w:pPr>
              <w:pStyle w:val="TableParagraph"/>
              <w:tabs>
                <w:tab w:val="left" w:pos="158"/>
              </w:tabs>
              <w:spacing w:line="160" w:lineRule="exact"/>
              <w:ind w:left="157" w:hanging="100"/>
              <w:rPr>
                <w:sz w:val="14"/>
              </w:rPr>
            </w:pPr>
            <w:r>
              <w:rPr>
                <w:color w:val="231F20"/>
                <w:sz w:val="14"/>
              </w:rPr>
              <w:t>Рачун</w:t>
            </w:r>
            <w:r>
              <w:rPr>
                <w:color w:val="231F20"/>
                <w:spacing w:val="-1"/>
                <w:sz w:val="14"/>
              </w:rPr>
              <w:t xml:space="preserve"> </w:t>
            </w:r>
            <w:r>
              <w:rPr>
                <w:color w:val="231F20"/>
                <w:sz w:val="14"/>
              </w:rPr>
              <w:t>мешања.</w:t>
            </w:r>
          </w:p>
          <w:p w:rsidR="00041039" w:rsidRDefault="001B26CB">
            <w:pPr>
              <w:pStyle w:val="TableParagraph"/>
              <w:tabs>
                <w:tab w:val="left" w:pos="158"/>
              </w:tabs>
              <w:spacing w:line="166" w:lineRule="exact"/>
              <w:ind w:left="157" w:hanging="100"/>
              <w:rPr>
                <w:sz w:val="14"/>
              </w:rPr>
            </w:pPr>
            <w:r>
              <w:rPr>
                <w:color w:val="231F20"/>
                <w:sz w:val="14"/>
              </w:rPr>
              <w:t>Процентни</w:t>
            </w:r>
            <w:r>
              <w:rPr>
                <w:color w:val="231F20"/>
                <w:spacing w:val="-2"/>
                <w:sz w:val="14"/>
              </w:rPr>
              <w:t xml:space="preserve"> </w:t>
            </w:r>
            <w:r>
              <w:rPr>
                <w:color w:val="231F20"/>
                <w:sz w:val="14"/>
              </w:rPr>
              <w:t>рачун.</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21"/>
              <w:ind w:left="57"/>
              <w:rPr>
                <w:sz w:val="14"/>
              </w:rPr>
            </w:pPr>
            <w:r>
              <w:rPr>
                <w:color w:val="231F20"/>
                <w:sz w:val="14"/>
              </w:rPr>
              <w:t>Сличност</w:t>
            </w:r>
          </w:p>
        </w:tc>
        <w:tc>
          <w:tcPr>
            <w:tcW w:w="1587" w:type="dxa"/>
          </w:tcPr>
          <w:p w:rsidR="00041039" w:rsidRDefault="001B26CB">
            <w:pPr>
              <w:pStyle w:val="TableParagraph"/>
              <w:tabs>
                <w:tab w:val="left" w:pos="157"/>
              </w:tabs>
              <w:spacing w:before="11"/>
              <w:ind w:right="84" w:hanging="99"/>
              <w:rPr>
                <w:sz w:val="14"/>
              </w:rPr>
            </w:pPr>
            <w:r>
              <w:rPr>
                <w:color w:val="231F20"/>
                <w:sz w:val="14"/>
              </w:rPr>
              <w:t xml:space="preserve">Оспособљавање за решавање планиме­ тријских проблема </w:t>
            </w:r>
            <w:r>
              <w:rPr>
                <w:color w:val="231F20"/>
                <w:spacing w:val="-3"/>
                <w:sz w:val="14"/>
              </w:rPr>
              <w:t xml:space="preserve">ко­ </w:t>
            </w:r>
            <w:r>
              <w:rPr>
                <w:color w:val="231F20"/>
                <w:sz w:val="14"/>
              </w:rPr>
              <w:t>ришћењем</w:t>
            </w:r>
            <w:r>
              <w:rPr>
                <w:color w:val="231F20"/>
                <w:spacing w:val="1"/>
                <w:sz w:val="14"/>
              </w:rPr>
              <w:t xml:space="preserve"> </w:t>
            </w:r>
            <w:r>
              <w:rPr>
                <w:color w:val="231F20"/>
                <w:sz w:val="14"/>
              </w:rPr>
              <w:t>сличности.</w:t>
            </w:r>
          </w:p>
        </w:tc>
        <w:tc>
          <w:tcPr>
            <w:tcW w:w="2551" w:type="dxa"/>
          </w:tcPr>
          <w:p w:rsidR="00041039" w:rsidRDefault="001B26CB">
            <w:pPr>
              <w:pStyle w:val="TableParagraph"/>
              <w:tabs>
                <w:tab w:val="left" w:pos="158"/>
              </w:tabs>
              <w:spacing w:before="11"/>
              <w:ind w:left="157" w:right="144" w:hanging="100"/>
              <w:rPr>
                <w:sz w:val="14"/>
              </w:rPr>
            </w:pPr>
            <w:r>
              <w:rPr>
                <w:color w:val="231F20"/>
                <w:sz w:val="14"/>
              </w:rPr>
              <w:t>ставове сличности троуглова</w:t>
            </w:r>
            <w:r>
              <w:rPr>
                <w:color w:val="231F20"/>
                <w:spacing w:val="-22"/>
                <w:sz w:val="14"/>
              </w:rPr>
              <w:t xml:space="preserve"> </w:t>
            </w:r>
            <w:r>
              <w:rPr>
                <w:color w:val="231F20"/>
                <w:sz w:val="14"/>
              </w:rPr>
              <w:t>користи у</w:t>
            </w:r>
            <w:r>
              <w:rPr>
                <w:color w:val="231F20"/>
                <w:spacing w:val="-1"/>
                <w:sz w:val="14"/>
              </w:rPr>
              <w:t xml:space="preserve"> </w:t>
            </w:r>
            <w:r>
              <w:rPr>
                <w:color w:val="231F20"/>
                <w:sz w:val="14"/>
              </w:rPr>
              <w:t>доказивању;</w:t>
            </w:r>
          </w:p>
          <w:p w:rsidR="00041039" w:rsidRDefault="001B26CB">
            <w:pPr>
              <w:pStyle w:val="TableParagraph"/>
              <w:tabs>
                <w:tab w:val="left" w:pos="158"/>
              </w:tabs>
              <w:spacing w:before="1" w:line="160" w:lineRule="exact"/>
              <w:ind w:left="157" w:right="83" w:hanging="100"/>
              <w:rPr>
                <w:sz w:val="14"/>
              </w:rPr>
            </w:pPr>
            <w:r>
              <w:rPr>
                <w:color w:val="231F20"/>
                <w:sz w:val="14"/>
              </w:rPr>
              <w:t>проналази и израчунава непознате елементе сличних троуглова на</w:t>
            </w:r>
            <w:r>
              <w:rPr>
                <w:color w:val="231F20"/>
                <w:spacing w:val="-18"/>
                <w:sz w:val="14"/>
              </w:rPr>
              <w:t xml:space="preserve"> </w:t>
            </w:r>
            <w:r>
              <w:rPr>
                <w:color w:val="231F20"/>
                <w:sz w:val="14"/>
              </w:rPr>
              <w:t>слици;</w:t>
            </w:r>
          </w:p>
          <w:p w:rsidR="00041039" w:rsidRDefault="001B26CB">
            <w:pPr>
              <w:pStyle w:val="TableParagraph"/>
              <w:tabs>
                <w:tab w:val="left" w:pos="158"/>
              </w:tabs>
              <w:spacing w:line="160" w:lineRule="exact"/>
              <w:ind w:left="157" w:right="246" w:hanging="100"/>
              <w:jc w:val="both"/>
              <w:rPr>
                <w:sz w:val="14"/>
              </w:rPr>
            </w:pPr>
            <w:r>
              <w:rPr>
                <w:color w:val="231F20"/>
                <w:sz w:val="14"/>
              </w:rPr>
              <w:t xml:space="preserve">примени ставове сличности на пра­ </w:t>
            </w:r>
            <w:r>
              <w:rPr>
                <w:color w:val="231F20"/>
                <w:spacing w:val="-3"/>
                <w:sz w:val="14"/>
              </w:rPr>
              <w:t xml:space="preserve">воугли </w:t>
            </w:r>
            <w:r>
              <w:rPr>
                <w:color w:val="231F20"/>
                <w:sz w:val="14"/>
              </w:rPr>
              <w:t>троугао (доказни и</w:t>
            </w:r>
            <w:r>
              <w:rPr>
                <w:color w:val="231F20"/>
                <w:spacing w:val="-11"/>
                <w:sz w:val="14"/>
              </w:rPr>
              <w:t xml:space="preserve"> </w:t>
            </w:r>
            <w:r>
              <w:rPr>
                <w:color w:val="231F20"/>
                <w:sz w:val="14"/>
              </w:rPr>
              <w:t>рачунски задаци);</w:t>
            </w:r>
          </w:p>
        </w:tc>
        <w:tc>
          <w:tcPr>
            <w:tcW w:w="2834" w:type="dxa"/>
          </w:tcPr>
          <w:p w:rsidR="00041039" w:rsidRDefault="001B26CB">
            <w:pPr>
              <w:pStyle w:val="TableParagraph"/>
              <w:tabs>
                <w:tab w:val="left" w:pos="158"/>
              </w:tabs>
              <w:spacing w:before="11"/>
              <w:ind w:left="157" w:right="478" w:hanging="99"/>
              <w:rPr>
                <w:sz w:val="14"/>
              </w:rPr>
            </w:pPr>
            <w:r>
              <w:rPr>
                <w:color w:val="231F20"/>
                <w:sz w:val="14"/>
              </w:rPr>
              <w:t>Пропорционалност дужи и Талесова теорема.</w:t>
            </w:r>
          </w:p>
          <w:p w:rsidR="00041039" w:rsidRDefault="001B26CB">
            <w:pPr>
              <w:pStyle w:val="TableParagraph"/>
              <w:tabs>
                <w:tab w:val="left" w:pos="158"/>
              </w:tabs>
              <w:spacing w:line="153" w:lineRule="exact"/>
              <w:ind w:left="157" w:hanging="99"/>
              <w:rPr>
                <w:sz w:val="14"/>
              </w:rPr>
            </w:pPr>
            <w:r>
              <w:rPr>
                <w:color w:val="231F20"/>
                <w:sz w:val="14"/>
              </w:rPr>
              <w:t>Сличност фигура и</w:t>
            </w:r>
            <w:r>
              <w:rPr>
                <w:color w:val="231F20"/>
                <w:spacing w:val="-3"/>
                <w:sz w:val="14"/>
              </w:rPr>
              <w:t xml:space="preserve"> </w:t>
            </w:r>
            <w:r>
              <w:rPr>
                <w:color w:val="231F20"/>
                <w:sz w:val="14"/>
              </w:rPr>
              <w:t>троуглова.</w:t>
            </w:r>
          </w:p>
          <w:p w:rsidR="00041039" w:rsidRDefault="001B26CB">
            <w:pPr>
              <w:pStyle w:val="TableParagraph"/>
              <w:tabs>
                <w:tab w:val="left" w:pos="158"/>
              </w:tabs>
              <w:spacing w:line="237" w:lineRule="auto"/>
              <w:ind w:left="157" w:right="136" w:hanging="99"/>
              <w:rPr>
                <w:sz w:val="14"/>
              </w:rPr>
            </w:pPr>
            <w:r>
              <w:rPr>
                <w:color w:val="231F20"/>
                <w:sz w:val="14"/>
              </w:rPr>
              <w:t>Ставови сличности троуглова и примене</w:t>
            </w:r>
            <w:r>
              <w:rPr>
                <w:color w:val="231F20"/>
                <w:spacing w:val="-23"/>
                <w:sz w:val="14"/>
              </w:rPr>
              <w:t xml:space="preserve"> </w:t>
            </w:r>
            <w:r>
              <w:rPr>
                <w:color w:val="231F20"/>
                <w:sz w:val="14"/>
              </w:rPr>
              <w:t>у доказивању.</w:t>
            </w:r>
          </w:p>
          <w:p w:rsidR="00041039" w:rsidRDefault="001B26CB">
            <w:pPr>
              <w:pStyle w:val="TableParagraph"/>
              <w:tabs>
                <w:tab w:val="left" w:pos="158"/>
              </w:tabs>
              <w:spacing w:line="155" w:lineRule="exact"/>
              <w:ind w:left="157" w:hanging="99"/>
              <w:rPr>
                <w:sz w:val="14"/>
              </w:rPr>
            </w:pPr>
            <w:r>
              <w:rPr>
                <w:color w:val="231F20"/>
                <w:sz w:val="14"/>
              </w:rPr>
              <w:t xml:space="preserve">Примена сличности на </w:t>
            </w:r>
            <w:r>
              <w:rPr>
                <w:color w:val="231F20"/>
                <w:spacing w:val="-3"/>
                <w:sz w:val="14"/>
              </w:rPr>
              <w:t>правоугли</w:t>
            </w:r>
            <w:r>
              <w:rPr>
                <w:color w:val="231F20"/>
                <w:spacing w:val="-4"/>
                <w:sz w:val="14"/>
              </w:rPr>
              <w:t xml:space="preserve"> </w:t>
            </w:r>
            <w:r>
              <w:rPr>
                <w:color w:val="231F20"/>
                <w:sz w:val="14"/>
              </w:rPr>
              <w:t>троугао.</w:t>
            </w:r>
          </w:p>
          <w:p w:rsidR="00041039" w:rsidRDefault="001B26CB">
            <w:pPr>
              <w:pStyle w:val="TableParagraph"/>
              <w:tabs>
                <w:tab w:val="left" w:pos="158"/>
              </w:tabs>
              <w:spacing w:line="163" w:lineRule="exact"/>
              <w:ind w:left="157" w:hanging="99"/>
              <w:rPr>
                <w:sz w:val="14"/>
              </w:rPr>
            </w:pPr>
            <w:r>
              <w:rPr>
                <w:color w:val="231F20"/>
                <w:sz w:val="14"/>
              </w:rPr>
              <w:t>Круг и</w:t>
            </w:r>
            <w:r>
              <w:rPr>
                <w:color w:val="231F20"/>
                <w:spacing w:val="-2"/>
                <w:sz w:val="14"/>
              </w:rPr>
              <w:t xml:space="preserve"> </w:t>
            </w:r>
            <w:r>
              <w:rPr>
                <w:color w:val="231F20"/>
                <w:sz w:val="14"/>
              </w:rPr>
              <w:t>сличност.</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840"/>
        </w:trPr>
        <w:tc>
          <w:tcPr>
            <w:tcW w:w="1304" w:type="dxa"/>
          </w:tcPr>
          <w:p w:rsidR="00041039" w:rsidRDefault="001B26CB">
            <w:pPr>
              <w:pStyle w:val="TableParagraph"/>
              <w:spacing w:before="18"/>
              <w:ind w:left="56"/>
              <w:rPr>
                <w:sz w:val="14"/>
              </w:rPr>
            </w:pPr>
            <w:r>
              <w:rPr>
                <w:color w:val="231F20"/>
                <w:sz w:val="14"/>
              </w:rPr>
              <w:lastRenderedPageBreak/>
              <w:t>Увод у геометрију</w:t>
            </w:r>
          </w:p>
        </w:tc>
        <w:tc>
          <w:tcPr>
            <w:tcW w:w="1587" w:type="dxa"/>
          </w:tcPr>
          <w:p w:rsidR="00041039" w:rsidRDefault="001B26CB">
            <w:pPr>
              <w:pStyle w:val="TableParagraph"/>
              <w:tabs>
                <w:tab w:val="left" w:pos="157"/>
              </w:tabs>
              <w:spacing w:before="8"/>
              <w:ind w:right="148" w:hanging="100"/>
              <w:rPr>
                <w:sz w:val="14"/>
              </w:rPr>
            </w:pPr>
            <w:r>
              <w:rPr>
                <w:color w:val="231F20"/>
                <w:sz w:val="14"/>
              </w:rPr>
              <w:t>Упознавање са осно­ вама аксиоматског заснивања на</w:t>
            </w:r>
            <w:r>
              <w:rPr>
                <w:color w:val="231F20"/>
                <w:spacing w:val="-13"/>
                <w:sz w:val="14"/>
              </w:rPr>
              <w:t xml:space="preserve"> </w:t>
            </w:r>
            <w:r>
              <w:rPr>
                <w:color w:val="231F20"/>
                <w:sz w:val="14"/>
              </w:rPr>
              <w:t>геомет­ ријском</w:t>
            </w:r>
            <w:r>
              <w:rPr>
                <w:color w:val="231F20"/>
                <w:spacing w:val="-1"/>
                <w:sz w:val="14"/>
              </w:rPr>
              <w:t xml:space="preserve"> </w:t>
            </w:r>
            <w:r>
              <w:rPr>
                <w:color w:val="231F20"/>
                <w:spacing w:val="-3"/>
                <w:sz w:val="14"/>
              </w:rPr>
              <w:t>моделу.</w:t>
            </w:r>
          </w:p>
        </w:tc>
        <w:tc>
          <w:tcPr>
            <w:tcW w:w="2551" w:type="dxa"/>
          </w:tcPr>
          <w:p w:rsidR="00041039" w:rsidRDefault="001B26CB">
            <w:pPr>
              <w:pStyle w:val="TableParagraph"/>
              <w:tabs>
                <w:tab w:val="left" w:pos="157"/>
              </w:tabs>
              <w:spacing w:before="8"/>
              <w:ind w:right="487" w:hanging="99"/>
              <w:rPr>
                <w:sz w:val="14"/>
              </w:rPr>
            </w:pPr>
            <w:r>
              <w:rPr>
                <w:color w:val="231F20"/>
                <w:sz w:val="14"/>
              </w:rPr>
              <w:t>разликује основне</w:t>
            </w:r>
            <w:r>
              <w:rPr>
                <w:color w:val="231F20"/>
                <w:spacing w:val="-7"/>
                <w:sz w:val="14"/>
              </w:rPr>
              <w:t xml:space="preserve"> </w:t>
            </w:r>
            <w:r>
              <w:rPr>
                <w:color w:val="231F20"/>
                <w:sz w:val="14"/>
              </w:rPr>
              <w:t>геометријске објекте;</w:t>
            </w:r>
          </w:p>
          <w:p w:rsidR="00041039" w:rsidRDefault="001B26CB">
            <w:pPr>
              <w:pStyle w:val="TableParagraph"/>
              <w:tabs>
                <w:tab w:val="left" w:pos="157"/>
              </w:tabs>
              <w:spacing w:line="160" w:lineRule="exact"/>
              <w:ind w:right="45" w:hanging="99"/>
              <w:rPr>
                <w:sz w:val="14"/>
              </w:rPr>
            </w:pPr>
            <w:r>
              <w:rPr>
                <w:color w:val="231F20"/>
                <w:sz w:val="14"/>
              </w:rPr>
              <w:t>наведе основне ставове везане за релације припадања, распореда и</w:t>
            </w:r>
            <w:r>
              <w:rPr>
                <w:color w:val="231F20"/>
                <w:spacing w:val="-17"/>
                <w:sz w:val="14"/>
              </w:rPr>
              <w:t xml:space="preserve"> </w:t>
            </w:r>
            <w:r>
              <w:rPr>
                <w:color w:val="231F20"/>
                <w:sz w:val="14"/>
              </w:rPr>
              <w:t>пара­ лелности;</w:t>
            </w:r>
          </w:p>
        </w:tc>
        <w:tc>
          <w:tcPr>
            <w:tcW w:w="2834" w:type="dxa"/>
          </w:tcPr>
          <w:p w:rsidR="00041039" w:rsidRDefault="001B26CB">
            <w:pPr>
              <w:pStyle w:val="TableParagraph"/>
              <w:tabs>
                <w:tab w:val="left" w:pos="157"/>
              </w:tabs>
              <w:spacing w:before="8" w:line="166" w:lineRule="exact"/>
              <w:ind w:hanging="99"/>
              <w:rPr>
                <w:sz w:val="14"/>
              </w:rPr>
            </w:pPr>
            <w:r>
              <w:rPr>
                <w:color w:val="231F20"/>
                <w:spacing w:val="-3"/>
                <w:sz w:val="14"/>
              </w:rPr>
              <w:t xml:space="preserve">Увођење </w:t>
            </w:r>
            <w:r>
              <w:rPr>
                <w:color w:val="231F20"/>
                <w:sz w:val="14"/>
              </w:rPr>
              <w:t>основних геометријских појмова.</w:t>
            </w:r>
          </w:p>
          <w:p w:rsidR="00041039" w:rsidRDefault="001B26CB">
            <w:pPr>
              <w:pStyle w:val="TableParagraph"/>
              <w:tabs>
                <w:tab w:val="left" w:pos="157"/>
              </w:tabs>
              <w:spacing w:line="237" w:lineRule="auto"/>
              <w:ind w:right="119" w:hanging="99"/>
              <w:rPr>
                <w:sz w:val="14"/>
              </w:rPr>
            </w:pPr>
            <w:r>
              <w:rPr>
                <w:color w:val="231F20"/>
                <w:sz w:val="14"/>
              </w:rPr>
              <w:t>Аксиоме припадања, распореда и</w:t>
            </w:r>
            <w:r>
              <w:rPr>
                <w:color w:val="231F20"/>
                <w:spacing w:val="-24"/>
                <w:sz w:val="14"/>
              </w:rPr>
              <w:t xml:space="preserve"> </w:t>
            </w:r>
            <w:r>
              <w:rPr>
                <w:color w:val="231F20"/>
                <w:sz w:val="14"/>
              </w:rPr>
              <w:t>паралел­ ности.</w:t>
            </w:r>
          </w:p>
        </w:tc>
        <w:tc>
          <w:tcPr>
            <w:tcW w:w="2267" w:type="dxa"/>
            <w:vMerge w:val="restart"/>
          </w:tcPr>
          <w:p w:rsidR="00041039" w:rsidRDefault="001B26CB">
            <w:pPr>
              <w:pStyle w:val="TableParagraph"/>
              <w:tabs>
                <w:tab w:val="left" w:pos="143"/>
              </w:tabs>
              <w:spacing w:before="18"/>
              <w:ind w:left="142" w:right="188" w:hanging="84"/>
              <w:rPr>
                <w:sz w:val="14"/>
              </w:rPr>
            </w:pPr>
            <w:r>
              <w:rPr>
                <w:b/>
                <w:color w:val="231F20"/>
                <w:sz w:val="14"/>
              </w:rPr>
              <w:t xml:space="preserve">Сличност: </w:t>
            </w:r>
            <w:r>
              <w:rPr>
                <w:color w:val="231F20"/>
                <w:sz w:val="14"/>
              </w:rPr>
              <w:t>истаћи значај ставова сличности троуглова у доказивању, развијати смисао</w:t>
            </w:r>
            <w:r>
              <w:rPr>
                <w:color w:val="231F20"/>
                <w:spacing w:val="-24"/>
                <w:sz w:val="14"/>
              </w:rPr>
              <w:t xml:space="preserve"> </w:t>
            </w:r>
            <w:r>
              <w:rPr>
                <w:color w:val="231F20"/>
                <w:sz w:val="14"/>
              </w:rPr>
              <w:t xml:space="preserve">за проналажење сличних троу­ </w:t>
            </w:r>
            <w:r>
              <w:rPr>
                <w:color w:val="231F20"/>
                <w:spacing w:val="-3"/>
                <w:sz w:val="14"/>
              </w:rPr>
              <w:t xml:space="preserve">глова </w:t>
            </w:r>
            <w:r>
              <w:rPr>
                <w:color w:val="231F20"/>
                <w:sz w:val="14"/>
              </w:rPr>
              <w:t>у сложенијим сликама са многоугловима и</w:t>
            </w:r>
            <w:r>
              <w:rPr>
                <w:color w:val="231F20"/>
                <w:spacing w:val="-6"/>
                <w:sz w:val="14"/>
              </w:rPr>
              <w:t xml:space="preserve"> </w:t>
            </w:r>
            <w:r>
              <w:rPr>
                <w:color w:val="231F20"/>
                <w:sz w:val="14"/>
              </w:rPr>
              <w:t>кругом.</w:t>
            </w:r>
          </w:p>
          <w:p w:rsidR="00041039" w:rsidRDefault="001B26CB">
            <w:pPr>
              <w:pStyle w:val="TableParagraph"/>
              <w:tabs>
                <w:tab w:val="left" w:pos="143"/>
              </w:tabs>
              <w:spacing w:line="237" w:lineRule="auto"/>
              <w:ind w:left="142" w:right="158" w:hanging="84"/>
              <w:rPr>
                <w:sz w:val="14"/>
              </w:rPr>
            </w:pPr>
            <w:r>
              <w:rPr>
                <w:b/>
                <w:color w:val="231F20"/>
                <w:spacing w:val="-5"/>
                <w:sz w:val="14"/>
              </w:rPr>
              <w:t xml:space="preserve">Увод </w:t>
            </w:r>
            <w:r>
              <w:rPr>
                <w:b/>
                <w:color w:val="231F20"/>
                <w:sz w:val="14"/>
              </w:rPr>
              <w:t xml:space="preserve">у геометрију: </w:t>
            </w:r>
            <w:r>
              <w:rPr>
                <w:color w:val="231F20"/>
                <w:sz w:val="14"/>
              </w:rPr>
              <w:t>дати кратак приказ, са примерима,</w:t>
            </w:r>
            <w:r>
              <w:rPr>
                <w:color w:val="231F20"/>
                <w:spacing w:val="-22"/>
                <w:sz w:val="14"/>
              </w:rPr>
              <w:t xml:space="preserve"> </w:t>
            </w:r>
            <w:r>
              <w:rPr>
                <w:color w:val="231F20"/>
                <w:sz w:val="14"/>
              </w:rPr>
              <w:t>аксиомат­ ског заснивања</w:t>
            </w:r>
            <w:r>
              <w:rPr>
                <w:color w:val="231F20"/>
                <w:spacing w:val="-4"/>
                <w:sz w:val="14"/>
              </w:rPr>
              <w:t xml:space="preserve"> </w:t>
            </w:r>
            <w:r>
              <w:rPr>
                <w:color w:val="231F20"/>
                <w:sz w:val="14"/>
              </w:rPr>
              <w:t>геометрије.</w:t>
            </w:r>
          </w:p>
          <w:p w:rsidR="00041039" w:rsidRDefault="001B26CB">
            <w:pPr>
              <w:pStyle w:val="TableParagraph"/>
              <w:tabs>
                <w:tab w:val="left" w:pos="143"/>
              </w:tabs>
              <w:ind w:left="142" w:right="76" w:hanging="84"/>
              <w:rPr>
                <w:sz w:val="14"/>
              </w:rPr>
            </w:pPr>
            <w:r>
              <w:rPr>
                <w:b/>
                <w:color w:val="231F20"/>
                <w:sz w:val="14"/>
              </w:rPr>
              <w:t xml:space="preserve">Подударност: </w:t>
            </w:r>
            <w:r>
              <w:rPr>
                <w:color w:val="231F20"/>
                <w:sz w:val="14"/>
              </w:rPr>
              <w:t>инсистирати на прецизности и систематичности у раду кроз конструктивне задатке; приближити појмове подудар­ ности, симетричности и развијати смисао за опажање</w:t>
            </w:r>
            <w:r>
              <w:rPr>
                <w:color w:val="231F20"/>
                <w:spacing w:val="-1"/>
                <w:sz w:val="14"/>
              </w:rPr>
              <w:t xml:space="preserve"> </w:t>
            </w:r>
            <w:r>
              <w:rPr>
                <w:color w:val="231F20"/>
                <w:sz w:val="14"/>
              </w:rPr>
              <w:t>детаља</w:t>
            </w:r>
          </w:p>
          <w:p w:rsidR="00041039" w:rsidRDefault="001B26CB">
            <w:pPr>
              <w:pStyle w:val="TableParagraph"/>
              <w:spacing w:line="237" w:lineRule="auto"/>
              <w:ind w:left="142"/>
              <w:rPr>
                <w:sz w:val="14"/>
              </w:rPr>
            </w:pPr>
            <w:r>
              <w:rPr>
                <w:color w:val="231F20"/>
                <w:sz w:val="14"/>
              </w:rPr>
              <w:t>на геометријским фигурама. Систематизовати знања о многоу­ гловима и кругу.</w:t>
            </w:r>
          </w:p>
          <w:p w:rsidR="00041039" w:rsidRDefault="00041039">
            <w:pPr>
              <w:pStyle w:val="TableParagraph"/>
              <w:spacing w:before="3"/>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tabs>
                <w:tab w:val="left" w:pos="158"/>
              </w:tabs>
              <w:spacing w:line="154" w:lineRule="exact"/>
              <w:ind w:left="157"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tabs>
                <w:tab w:val="left" w:pos="158"/>
              </w:tabs>
              <w:spacing w:line="166" w:lineRule="exact"/>
              <w:ind w:left="157"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теми</w:t>
            </w:r>
          </w:p>
          <w:p w:rsidR="00041039" w:rsidRDefault="001B26CB">
            <w:pPr>
              <w:pStyle w:val="TableParagraph"/>
              <w:tabs>
                <w:tab w:val="left" w:pos="158"/>
              </w:tabs>
              <w:spacing w:line="237" w:lineRule="auto"/>
              <w:ind w:left="157" w:right="172" w:hanging="99"/>
              <w:rPr>
                <w:b/>
                <w:sz w:val="14"/>
              </w:rPr>
            </w:pPr>
            <w:r>
              <w:rPr>
                <w:color w:val="231F20"/>
                <w:sz w:val="14"/>
              </w:rPr>
              <w:t>Тригонометрија правоуглог</w:t>
            </w:r>
            <w:r>
              <w:rPr>
                <w:color w:val="231F20"/>
                <w:spacing w:val="-27"/>
                <w:sz w:val="14"/>
              </w:rPr>
              <w:t xml:space="preserve"> </w:t>
            </w:r>
            <w:r>
              <w:rPr>
                <w:color w:val="231F20"/>
                <w:sz w:val="14"/>
              </w:rPr>
              <w:t xml:space="preserve">тро­ </w:t>
            </w:r>
            <w:r>
              <w:rPr>
                <w:color w:val="231F20"/>
                <w:spacing w:val="-3"/>
                <w:sz w:val="14"/>
              </w:rPr>
              <w:t xml:space="preserve">угла </w:t>
            </w:r>
            <w:r>
              <w:rPr>
                <w:b/>
                <w:color w:val="231F20"/>
                <w:sz w:val="14"/>
              </w:rPr>
              <w:t>(9</w:t>
            </w:r>
            <w:r>
              <w:rPr>
                <w:b/>
                <w:color w:val="231F20"/>
                <w:sz w:val="14"/>
              </w:rPr>
              <w:t xml:space="preserve"> </w:t>
            </w:r>
            <w:r>
              <w:rPr>
                <w:b/>
                <w:color w:val="231F20"/>
                <w:sz w:val="14"/>
              </w:rPr>
              <w:t>часова)</w:t>
            </w:r>
          </w:p>
          <w:p w:rsidR="00041039" w:rsidRDefault="001B26CB">
            <w:pPr>
              <w:pStyle w:val="TableParagraph"/>
              <w:tabs>
                <w:tab w:val="left" w:pos="158"/>
              </w:tabs>
              <w:spacing w:line="155" w:lineRule="exact"/>
              <w:ind w:left="157" w:hanging="99"/>
              <w:rPr>
                <w:b/>
                <w:sz w:val="14"/>
              </w:rPr>
            </w:pPr>
            <w:r>
              <w:rPr>
                <w:color w:val="231F20"/>
                <w:sz w:val="14"/>
              </w:rPr>
              <w:t xml:space="preserve">Логика и скупови </w:t>
            </w:r>
            <w:r>
              <w:rPr>
                <w:b/>
                <w:color w:val="231F20"/>
                <w:sz w:val="14"/>
              </w:rPr>
              <w:t>(15</w:t>
            </w:r>
            <w:r>
              <w:rPr>
                <w:b/>
                <w:color w:val="231F20"/>
                <w:spacing w:val="-7"/>
                <w:sz w:val="14"/>
              </w:rPr>
              <w:t xml:space="preserve"> </w:t>
            </w:r>
            <w:r>
              <w:rPr>
                <w:b/>
                <w:color w:val="231F20"/>
                <w:sz w:val="14"/>
              </w:rPr>
              <w:t>часова)</w:t>
            </w:r>
          </w:p>
          <w:p w:rsidR="00041039" w:rsidRDefault="001B26CB">
            <w:pPr>
              <w:pStyle w:val="TableParagraph"/>
              <w:tabs>
                <w:tab w:val="left" w:pos="158"/>
              </w:tabs>
              <w:spacing w:line="165" w:lineRule="exact"/>
              <w:ind w:left="157" w:hanging="99"/>
              <w:rPr>
                <w:sz w:val="14"/>
              </w:rPr>
            </w:pPr>
            <w:r>
              <w:rPr>
                <w:color w:val="231F20"/>
                <w:sz w:val="14"/>
              </w:rPr>
              <w:t>Рационални алгебарски</w:t>
            </w:r>
            <w:r>
              <w:rPr>
                <w:color w:val="231F20"/>
                <w:spacing w:val="-4"/>
                <w:sz w:val="14"/>
              </w:rPr>
              <w:t xml:space="preserve"> </w:t>
            </w:r>
            <w:r>
              <w:rPr>
                <w:color w:val="231F20"/>
                <w:sz w:val="14"/>
              </w:rPr>
              <w:t>изрази</w:t>
            </w:r>
          </w:p>
          <w:p w:rsidR="00041039" w:rsidRDefault="001B26CB">
            <w:pPr>
              <w:pStyle w:val="TableParagraph"/>
              <w:spacing w:line="155" w:lineRule="exact"/>
              <w:ind w:left="157"/>
              <w:rPr>
                <w:b/>
                <w:sz w:val="14"/>
              </w:rPr>
            </w:pPr>
            <w:r>
              <w:rPr>
                <w:b/>
                <w:color w:val="231F20"/>
                <w:sz w:val="14"/>
              </w:rPr>
              <w:t>(32 часа)</w:t>
            </w:r>
          </w:p>
          <w:p w:rsidR="00041039" w:rsidRDefault="001B26CB">
            <w:pPr>
              <w:pStyle w:val="TableParagraph"/>
              <w:tabs>
                <w:tab w:val="left" w:pos="158"/>
              </w:tabs>
              <w:spacing w:line="160" w:lineRule="exact"/>
              <w:ind w:left="157" w:hanging="99"/>
              <w:rPr>
                <w:b/>
                <w:sz w:val="14"/>
              </w:rPr>
            </w:pPr>
            <w:r>
              <w:rPr>
                <w:color w:val="231F20"/>
                <w:spacing w:val="-6"/>
                <w:sz w:val="14"/>
              </w:rPr>
              <w:t xml:space="preserve">Увод </w:t>
            </w:r>
            <w:r>
              <w:rPr>
                <w:color w:val="231F20"/>
                <w:sz w:val="14"/>
              </w:rPr>
              <w:t xml:space="preserve">у геометрију </w:t>
            </w:r>
            <w:r>
              <w:rPr>
                <w:b/>
                <w:color w:val="231F20"/>
                <w:sz w:val="14"/>
              </w:rPr>
              <w:t>(5</w:t>
            </w:r>
            <w:r>
              <w:rPr>
                <w:b/>
                <w:color w:val="231F20"/>
                <w:spacing w:val="1"/>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Подударност </w:t>
            </w:r>
            <w:r>
              <w:rPr>
                <w:b/>
                <w:color w:val="231F20"/>
                <w:sz w:val="14"/>
              </w:rPr>
              <w:t>(32</w:t>
            </w:r>
            <w:r>
              <w:rPr>
                <w:b/>
                <w:color w:val="231F20"/>
                <w:spacing w:val="-2"/>
                <w:sz w:val="14"/>
              </w:rPr>
              <w:t xml:space="preserve"> </w:t>
            </w:r>
            <w:r>
              <w:rPr>
                <w:b/>
                <w:color w:val="231F20"/>
                <w:sz w:val="14"/>
              </w:rPr>
              <w:t>часа)</w:t>
            </w:r>
          </w:p>
          <w:p w:rsidR="00041039" w:rsidRDefault="001B26CB">
            <w:pPr>
              <w:pStyle w:val="TableParagraph"/>
              <w:tabs>
                <w:tab w:val="left" w:pos="158"/>
              </w:tabs>
              <w:spacing w:line="160" w:lineRule="exact"/>
              <w:ind w:left="157" w:hanging="99"/>
              <w:rPr>
                <w:b/>
                <w:sz w:val="14"/>
              </w:rPr>
            </w:pPr>
            <w:r>
              <w:rPr>
                <w:color w:val="231F20"/>
                <w:sz w:val="14"/>
              </w:rPr>
              <w:t xml:space="preserve">Пропорционалност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tabs>
                <w:tab w:val="left" w:pos="158"/>
              </w:tabs>
              <w:spacing w:line="160" w:lineRule="exact"/>
              <w:ind w:left="157" w:hanging="99"/>
              <w:rPr>
                <w:b/>
                <w:sz w:val="14"/>
              </w:rPr>
            </w:pPr>
            <w:r>
              <w:rPr>
                <w:color w:val="231F20"/>
                <w:sz w:val="14"/>
              </w:rPr>
              <w:t xml:space="preserve">Сличност </w:t>
            </w:r>
            <w:r>
              <w:rPr>
                <w:b/>
                <w:color w:val="231F20"/>
                <w:sz w:val="14"/>
              </w:rPr>
              <w:t>(14</w:t>
            </w:r>
            <w:r>
              <w:rPr>
                <w:b/>
                <w:color w:val="231F20"/>
                <w:spacing w:val="-2"/>
                <w:sz w:val="14"/>
              </w:rPr>
              <w:t xml:space="preserve"> </w:t>
            </w:r>
            <w:r>
              <w:rPr>
                <w:b/>
                <w:color w:val="231F20"/>
                <w:sz w:val="14"/>
              </w:rPr>
              <w:t>часова)</w:t>
            </w:r>
          </w:p>
          <w:p w:rsidR="00041039" w:rsidRDefault="001B26CB">
            <w:pPr>
              <w:pStyle w:val="TableParagraph"/>
              <w:tabs>
                <w:tab w:val="left" w:pos="158"/>
              </w:tabs>
              <w:spacing w:line="166" w:lineRule="exact"/>
              <w:ind w:left="157" w:hanging="99"/>
              <w:rPr>
                <w:b/>
                <w:sz w:val="14"/>
              </w:rPr>
            </w:pPr>
            <w:r>
              <w:rPr>
                <w:color w:val="231F20"/>
                <w:sz w:val="14"/>
              </w:rPr>
              <w:t xml:space="preserve">Реални бројеви </w:t>
            </w:r>
            <w:r>
              <w:rPr>
                <w:b/>
                <w:color w:val="231F20"/>
                <w:sz w:val="14"/>
              </w:rPr>
              <w:t>(13</w:t>
            </w:r>
            <w:r>
              <w:rPr>
                <w:b/>
                <w:color w:val="231F20"/>
                <w:spacing w:val="-4"/>
                <w:sz w:val="14"/>
              </w:rPr>
              <w:t xml:space="preserve"> </w:t>
            </w:r>
            <w:r>
              <w:rPr>
                <w:b/>
                <w:color w:val="231F20"/>
                <w:sz w:val="14"/>
              </w:rPr>
              <w:t>часова)</w:t>
            </w:r>
          </w:p>
          <w:p w:rsidR="00041039" w:rsidRDefault="00041039">
            <w:pPr>
              <w:pStyle w:val="TableParagraph"/>
              <w:spacing w:before="5"/>
              <w:ind w:left="0"/>
              <w:rPr>
                <w:b/>
                <w:sz w:val="13"/>
              </w:rPr>
            </w:pPr>
          </w:p>
          <w:p w:rsidR="00041039" w:rsidRDefault="001B26CB">
            <w:pPr>
              <w:pStyle w:val="TableParagraph"/>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5749"/>
        </w:trPr>
        <w:tc>
          <w:tcPr>
            <w:tcW w:w="1304" w:type="dxa"/>
          </w:tcPr>
          <w:p w:rsidR="00041039" w:rsidRDefault="001B26CB">
            <w:pPr>
              <w:pStyle w:val="TableParagraph"/>
              <w:spacing w:before="19"/>
              <w:ind w:left="56"/>
              <w:rPr>
                <w:sz w:val="14"/>
              </w:rPr>
            </w:pPr>
            <w:r>
              <w:rPr>
                <w:color w:val="231F20"/>
                <w:sz w:val="14"/>
              </w:rPr>
              <w:t>Подударност</w:t>
            </w:r>
          </w:p>
        </w:tc>
        <w:tc>
          <w:tcPr>
            <w:tcW w:w="1587" w:type="dxa"/>
          </w:tcPr>
          <w:p w:rsidR="00041039" w:rsidRDefault="001B26CB">
            <w:pPr>
              <w:pStyle w:val="TableParagraph"/>
              <w:tabs>
                <w:tab w:val="left" w:pos="157"/>
              </w:tabs>
              <w:spacing w:before="9"/>
              <w:ind w:right="100" w:hanging="100"/>
              <w:rPr>
                <w:sz w:val="14"/>
              </w:rPr>
            </w:pPr>
            <w:r>
              <w:rPr>
                <w:color w:val="231F20"/>
                <w:sz w:val="14"/>
              </w:rPr>
              <w:t>Стицање и</w:t>
            </w:r>
            <w:r>
              <w:rPr>
                <w:color w:val="231F20"/>
                <w:spacing w:val="-14"/>
                <w:sz w:val="14"/>
              </w:rPr>
              <w:t xml:space="preserve"> </w:t>
            </w:r>
            <w:r>
              <w:rPr>
                <w:color w:val="231F20"/>
                <w:sz w:val="14"/>
              </w:rPr>
              <w:t>продубљи­ вање основних знања о многоугловима и кружници уз елемен­ тарне</w:t>
            </w:r>
            <w:r>
              <w:rPr>
                <w:color w:val="231F20"/>
                <w:spacing w:val="-2"/>
                <w:sz w:val="14"/>
              </w:rPr>
              <w:t xml:space="preserve"> </w:t>
            </w:r>
            <w:r>
              <w:rPr>
                <w:color w:val="231F20"/>
                <w:sz w:val="14"/>
              </w:rPr>
              <w:t>конструкције.</w:t>
            </w:r>
          </w:p>
        </w:tc>
        <w:tc>
          <w:tcPr>
            <w:tcW w:w="2551" w:type="dxa"/>
          </w:tcPr>
          <w:p w:rsidR="00041039" w:rsidRDefault="001B26CB">
            <w:pPr>
              <w:pStyle w:val="TableParagraph"/>
              <w:tabs>
                <w:tab w:val="left" w:pos="157"/>
              </w:tabs>
              <w:spacing w:before="9" w:line="166" w:lineRule="exact"/>
              <w:ind w:hanging="99"/>
              <w:rPr>
                <w:sz w:val="14"/>
              </w:rPr>
            </w:pPr>
            <w:r>
              <w:rPr>
                <w:color w:val="231F20"/>
                <w:sz w:val="14"/>
              </w:rPr>
              <w:t>конструише и преноси</w:t>
            </w:r>
            <w:r>
              <w:rPr>
                <w:color w:val="231F20"/>
                <w:spacing w:val="-5"/>
                <w:sz w:val="14"/>
              </w:rPr>
              <w:t xml:space="preserve"> </w:t>
            </w:r>
            <w:r>
              <w:rPr>
                <w:color w:val="231F20"/>
                <w:sz w:val="14"/>
              </w:rPr>
              <w:t>углове;</w:t>
            </w:r>
          </w:p>
          <w:p w:rsidR="00041039" w:rsidRDefault="001B26CB">
            <w:pPr>
              <w:pStyle w:val="TableParagraph"/>
              <w:tabs>
                <w:tab w:val="left" w:pos="157"/>
              </w:tabs>
              <w:spacing w:line="237" w:lineRule="auto"/>
              <w:ind w:right="194" w:hanging="99"/>
              <w:rPr>
                <w:sz w:val="14"/>
              </w:rPr>
            </w:pPr>
            <w:r>
              <w:rPr>
                <w:color w:val="231F20"/>
                <w:sz w:val="14"/>
              </w:rPr>
              <w:t>одреди обим, странице, висине, симетрале страна, симетрале</w:t>
            </w:r>
            <w:r>
              <w:rPr>
                <w:color w:val="231F20"/>
                <w:spacing w:val="-10"/>
                <w:sz w:val="14"/>
              </w:rPr>
              <w:t xml:space="preserve"> </w:t>
            </w:r>
            <w:r>
              <w:rPr>
                <w:color w:val="231F20"/>
                <w:sz w:val="14"/>
              </w:rPr>
              <w:t xml:space="preserve">углова, тржишне дужи </w:t>
            </w:r>
            <w:r>
              <w:rPr>
                <w:color w:val="231F20"/>
                <w:spacing w:val="-3"/>
                <w:sz w:val="14"/>
              </w:rPr>
              <w:t>троугла;</w:t>
            </w:r>
          </w:p>
          <w:p w:rsidR="00041039" w:rsidRDefault="001B26CB">
            <w:pPr>
              <w:pStyle w:val="TableParagraph"/>
              <w:tabs>
                <w:tab w:val="left" w:pos="157"/>
              </w:tabs>
              <w:spacing w:line="237" w:lineRule="auto"/>
              <w:ind w:right="194" w:hanging="99"/>
              <w:rPr>
                <w:sz w:val="14"/>
              </w:rPr>
            </w:pPr>
            <w:r>
              <w:rPr>
                <w:color w:val="231F20"/>
                <w:sz w:val="14"/>
              </w:rPr>
              <w:t>одреди обим, странице, висине, симетрале страна, с</w:t>
            </w:r>
            <w:r>
              <w:rPr>
                <w:color w:val="231F20"/>
                <w:sz w:val="14"/>
              </w:rPr>
              <w:t>иметрале</w:t>
            </w:r>
            <w:r>
              <w:rPr>
                <w:color w:val="231F20"/>
                <w:spacing w:val="-10"/>
                <w:sz w:val="14"/>
              </w:rPr>
              <w:t xml:space="preserve"> </w:t>
            </w:r>
            <w:r>
              <w:rPr>
                <w:color w:val="231F20"/>
                <w:sz w:val="14"/>
              </w:rPr>
              <w:t>углова, тржишне дужи</w:t>
            </w:r>
            <w:r>
              <w:rPr>
                <w:color w:val="231F20"/>
                <w:spacing w:val="-3"/>
                <w:sz w:val="14"/>
              </w:rPr>
              <w:t xml:space="preserve"> </w:t>
            </w:r>
            <w:r>
              <w:rPr>
                <w:color w:val="231F20"/>
                <w:sz w:val="14"/>
              </w:rPr>
              <w:t>четвороугла;</w:t>
            </w:r>
          </w:p>
          <w:p w:rsidR="00041039" w:rsidRDefault="001B26CB">
            <w:pPr>
              <w:pStyle w:val="TableParagraph"/>
              <w:tabs>
                <w:tab w:val="left" w:pos="157"/>
              </w:tabs>
              <w:spacing w:line="237" w:lineRule="auto"/>
              <w:ind w:right="115" w:hanging="99"/>
              <w:rPr>
                <w:sz w:val="14"/>
              </w:rPr>
            </w:pPr>
            <w:r>
              <w:rPr>
                <w:color w:val="231F20"/>
                <w:sz w:val="14"/>
              </w:rPr>
              <w:t>одреди пречник, полупречник,</w:t>
            </w:r>
            <w:r>
              <w:rPr>
                <w:color w:val="231F20"/>
                <w:spacing w:val="-20"/>
                <w:sz w:val="14"/>
              </w:rPr>
              <w:t xml:space="preserve"> </w:t>
            </w:r>
            <w:r>
              <w:rPr>
                <w:color w:val="231F20"/>
                <w:spacing w:val="-3"/>
                <w:sz w:val="14"/>
              </w:rPr>
              <w:t xml:space="preserve">тетиву, </w:t>
            </w:r>
            <w:r>
              <w:rPr>
                <w:color w:val="231F20"/>
                <w:sz w:val="14"/>
              </w:rPr>
              <w:t>тангенту и сечицу</w:t>
            </w:r>
            <w:r>
              <w:rPr>
                <w:color w:val="231F20"/>
                <w:spacing w:val="-2"/>
                <w:sz w:val="14"/>
              </w:rPr>
              <w:t xml:space="preserve"> </w:t>
            </w:r>
            <w:r>
              <w:rPr>
                <w:color w:val="231F20"/>
                <w:sz w:val="14"/>
              </w:rPr>
              <w:t>круга;</w:t>
            </w:r>
          </w:p>
          <w:p w:rsidR="00041039" w:rsidRDefault="001B26CB">
            <w:pPr>
              <w:pStyle w:val="TableParagraph"/>
              <w:tabs>
                <w:tab w:val="left" w:pos="157"/>
              </w:tabs>
              <w:spacing w:line="155" w:lineRule="exact"/>
              <w:ind w:hanging="99"/>
              <w:rPr>
                <w:sz w:val="14"/>
              </w:rPr>
            </w:pPr>
            <w:r>
              <w:rPr>
                <w:color w:val="231F20"/>
                <w:sz w:val="14"/>
              </w:rPr>
              <w:t>препознаје подударне</w:t>
            </w:r>
            <w:r>
              <w:rPr>
                <w:color w:val="231F20"/>
                <w:spacing w:val="-24"/>
                <w:sz w:val="14"/>
              </w:rPr>
              <w:t xml:space="preserve"> </w:t>
            </w:r>
            <w:r>
              <w:rPr>
                <w:color w:val="231F20"/>
                <w:sz w:val="14"/>
              </w:rPr>
              <w:t>фигуре;</w:t>
            </w:r>
          </w:p>
          <w:p w:rsidR="00041039" w:rsidRDefault="001B26CB">
            <w:pPr>
              <w:pStyle w:val="TableParagraph"/>
              <w:tabs>
                <w:tab w:val="left" w:pos="157"/>
              </w:tabs>
              <w:spacing w:line="237" w:lineRule="auto"/>
              <w:ind w:right="97" w:hanging="99"/>
              <w:rPr>
                <w:sz w:val="14"/>
              </w:rPr>
            </w:pPr>
            <w:r>
              <w:rPr>
                <w:color w:val="231F20"/>
                <w:sz w:val="14"/>
              </w:rPr>
              <w:t>употреби једнакост елемената у доказивању</w:t>
            </w:r>
            <w:r>
              <w:rPr>
                <w:color w:val="231F20"/>
                <w:spacing w:val="-11"/>
                <w:sz w:val="14"/>
              </w:rPr>
              <w:t xml:space="preserve"> </w:t>
            </w:r>
            <w:r>
              <w:rPr>
                <w:color w:val="231F20"/>
                <w:sz w:val="14"/>
              </w:rPr>
              <w:t>подударности</w:t>
            </w:r>
            <w:r>
              <w:rPr>
                <w:color w:val="231F20"/>
                <w:spacing w:val="-11"/>
                <w:sz w:val="14"/>
              </w:rPr>
              <w:t xml:space="preserve"> </w:t>
            </w:r>
            <w:r>
              <w:rPr>
                <w:color w:val="231F20"/>
                <w:sz w:val="14"/>
              </w:rPr>
              <w:t>троуглова</w:t>
            </w:r>
            <w:r>
              <w:rPr>
                <w:color w:val="231F20"/>
                <w:spacing w:val="-11"/>
                <w:sz w:val="14"/>
              </w:rPr>
              <w:t xml:space="preserve"> </w:t>
            </w:r>
            <w:r>
              <w:rPr>
                <w:color w:val="231F20"/>
                <w:sz w:val="14"/>
              </w:rPr>
              <w:t>и четвороуглова;</w:t>
            </w:r>
          </w:p>
          <w:p w:rsidR="00041039" w:rsidRDefault="001B26CB">
            <w:pPr>
              <w:pStyle w:val="TableParagraph"/>
              <w:tabs>
                <w:tab w:val="left" w:pos="157"/>
              </w:tabs>
              <w:spacing w:line="156" w:lineRule="exact"/>
              <w:ind w:hanging="99"/>
              <w:rPr>
                <w:sz w:val="14"/>
              </w:rPr>
            </w:pPr>
            <w:r>
              <w:rPr>
                <w:color w:val="231F20"/>
                <w:sz w:val="14"/>
              </w:rPr>
              <w:t xml:space="preserve">препозна основне особине </w:t>
            </w:r>
            <w:r>
              <w:rPr>
                <w:color w:val="231F20"/>
                <w:spacing w:val="-3"/>
                <w:sz w:val="14"/>
              </w:rPr>
              <w:t>троугла;</w:t>
            </w:r>
          </w:p>
          <w:p w:rsidR="00041039" w:rsidRDefault="001B26CB">
            <w:pPr>
              <w:pStyle w:val="TableParagraph"/>
              <w:tabs>
                <w:tab w:val="left" w:pos="157"/>
              </w:tabs>
              <w:spacing w:line="237" w:lineRule="auto"/>
              <w:ind w:right="364" w:hanging="99"/>
              <w:rPr>
                <w:sz w:val="14"/>
              </w:rPr>
            </w:pPr>
            <w:r>
              <w:rPr>
                <w:color w:val="231F20"/>
                <w:sz w:val="14"/>
              </w:rPr>
              <w:t>изводи елементарне</w:t>
            </w:r>
            <w:r>
              <w:rPr>
                <w:color w:val="231F20"/>
                <w:spacing w:val="-15"/>
                <w:sz w:val="14"/>
              </w:rPr>
              <w:t xml:space="preserve"> </w:t>
            </w:r>
            <w:r>
              <w:rPr>
                <w:color w:val="231F20"/>
                <w:sz w:val="14"/>
              </w:rPr>
              <w:t>конструкције лењиром и</w:t>
            </w:r>
            <w:r>
              <w:rPr>
                <w:color w:val="231F20"/>
                <w:spacing w:val="-2"/>
                <w:sz w:val="14"/>
              </w:rPr>
              <w:t xml:space="preserve"> </w:t>
            </w:r>
            <w:r>
              <w:rPr>
                <w:color w:val="231F20"/>
                <w:sz w:val="14"/>
              </w:rPr>
              <w:t>шестаром;</w:t>
            </w:r>
          </w:p>
          <w:p w:rsidR="00041039" w:rsidRDefault="001B26CB">
            <w:pPr>
              <w:pStyle w:val="TableParagraph"/>
              <w:tabs>
                <w:tab w:val="left" w:pos="157"/>
              </w:tabs>
              <w:spacing w:line="155" w:lineRule="exact"/>
              <w:ind w:hanging="99"/>
              <w:rPr>
                <w:sz w:val="14"/>
              </w:rPr>
            </w:pPr>
            <w:r>
              <w:rPr>
                <w:color w:val="231F20"/>
                <w:sz w:val="14"/>
              </w:rPr>
              <w:t>одреди значајне тачке</w:t>
            </w:r>
            <w:r>
              <w:rPr>
                <w:color w:val="231F20"/>
                <w:spacing w:val="-3"/>
                <w:sz w:val="14"/>
              </w:rPr>
              <w:t xml:space="preserve"> троугла;</w:t>
            </w:r>
          </w:p>
          <w:p w:rsidR="00041039" w:rsidRDefault="001B26CB">
            <w:pPr>
              <w:pStyle w:val="TableParagraph"/>
              <w:tabs>
                <w:tab w:val="left" w:pos="157"/>
              </w:tabs>
              <w:spacing w:line="237" w:lineRule="auto"/>
              <w:ind w:right="244" w:hanging="99"/>
              <w:rPr>
                <w:sz w:val="14"/>
              </w:rPr>
            </w:pPr>
            <w:r>
              <w:rPr>
                <w:color w:val="231F20"/>
                <w:sz w:val="14"/>
              </w:rPr>
              <w:t xml:space="preserve">препозна основне особине четворо­ </w:t>
            </w:r>
            <w:r>
              <w:rPr>
                <w:color w:val="231F20"/>
                <w:spacing w:val="-3"/>
                <w:sz w:val="14"/>
              </w:rPr>
              <w:t>угла;</w:t>
            </w:r>
          </w:p>
          <w:p w:rsidR="00041039" w:rsidRDefault="001B26CB">
            <w:pPr>
              <w:pStyle w:val="TableParagraph"/>
              <w:tabs>
                <w:tab w:val="left" w:pos="157"/>
              </w:tabs>
              <w:spacing w:line="160" w:lineRule="exact"/>
              <w:ind w:right="92" w:hanging="99"/>
              <w:rPr>
                <w:sz w:val="14"/>
              </w:rPr>
            </w:pPr>
            <w:r>
              <w:rPr>
                <w:color w:val="231F20"/>
                <w:sz w:val="14"/>
              </w:rPr>
              <w:t>влада основним појмовима везаним за угао, троугао, четвороугао и</w:t>
            </w:r>
            <w:r>
              <w:rPr>
                <w:color w:val="231F20"/>
                <w:spacing w:val="-6"/>
                <w:sz w:val="14"/>
              </w:rPr>
              <w:t xml:space="preserve"> </w:t>
            </w:r>
            <w:r>
              <w:rPr>
                <w:color w:val="231F20"/>
                <w:sz w:val="14"/>
              </w:rPr>
              <w:t>круг;</w:t>
            </w:r>
          </w:p>
          <w:p w:rsidR="00041039" w:rsidRDefault="001B26CB">
            <w:pPr>
              <w:pStyle w:val="TableParagraph"/>
              <w:tabs>
                <w:tab w:val="left" w:pos="157"/>
              </w:tabs>
              <w:spacing w:line="160" w:lineRule="exact"/>
              <w:ind w:right="179" w:hanging="99"/>
              <w:rPr>
                <w:sz w:val="14"/>
              </w:rPr>
            </w:pPr>
            <w:r>
              <w:rPr>
                <w:color w:val="231F20"/>
                <w:sz w:val="14"/>
              </w:rPr>
              <w:t>наведе</w:t>
            </w:r>
            <w:r>
              <w:rPr>
                <w:color w:val="231F20"/>
                <w:spacing w:val="-7"/>
                <w:sz w:val="14"/>
              </w:rPr>
              <w:t xml:space="preserve"> </w:t>
            </w:r>
            <w:r>
              <w:rPr>
                <w:color w:val="231F20"/>
                <w:sz w:val="14"/>
              </w:rPr>
              <w:t>и</w:t>
            </w:r>
            <w:r>
              <w:rPr>
                <w:color w:val="231F20"/>
                <w:spacing w:val="-8"/>
                <w:sz w:val="14"/>
              </w:rPr>
              <w:t xml:space="preserve"> </w:t>
            </w:r>
            <w:r>
              <w:rPr>
                <w:color w:val="231F20"/>
                <w:sz w:val="14"/>
              </w:rPr>
              <w:t>користи</w:t>
            </w:r>
            <w:r>
              <w:rPr>
                <w:color w:val="231F20"/>
                <w:spacing w:val="-7"/>
                <w:sz w:val="14"/>
              </w:rPr>
              <w:t xml:space="preserve"> </w:t>
            </w:r>
            <w:r>
              <w:rPr>
                <w:color w:val="231F20"/>
                <w:sz w:val="14"/>
              </w:rPr>
              <w:t>ставове</w:t>
            </w:r>
            <w:r>
              <w:rPr>
                <w:color w:val="231F20"/>
                <w:spacing w:val="-7"/>
                <w:sz w:val="14"/>
              </w:rPr>
              <w:t xml:space="preserve"> </w:t>
            </w:r>
            <w:r>
              <w:rPr>
                <w:color w:val="231F20"/>
                <w:sz w:val="14"/>
              </w:rPr>
              <w:t>подударно­ сти</w:t>
            </w:r>
            <w:r>
              <w:rPr>
                <w:color w:val="231F20"/>
                <w:spacing w:val="-1"/>
                <w:sz w:val="14"/>
              </w:rPr>
              <w:t xml:space="preserve"> </w:t>
            </w:r>
            <w:r>
              <w:rPr>
                <w:color w:val="231F20"/>
                <w:sz w:val="14"/>
              </w:rPr>
              <w:t>троуглова;</w:t>
            </w:r>
          </w:p>
          <w:p w:rsidR="00041039" w:rsidRDefault="001B26CB">
            <w:pPr>
              <w:pStyle w:val="TableParagraph"/>
              <w:tabs>
                <w:tab w:val="left" w:pos="157"/>
              </w:tabs>
              <w:spacing w:line="160" w:lineRule="exact"/>
              <w:ind w:right="46" w:hanging="99"/>
              <w:rPr>
                <w:sz w:val="14"/>
              </w:rPr>
            </w:pPr>
            <w:r>
              <w:rPr>
                <w:color w:val="231F20"/>
                <w:sz w:val="14"/>
              </w:rPr>
              <w:t xml:space="preserve">израчуна непознате елементе </w:t>
            </w:r>
            <w:r>
              <w:rPr>
                <w:color w:val="231F20"/>
                <w:spacing w:val="-3"/>
                <w:sz w:val="14"/>
              </w:rPr>
              <w:t xml:space="preserve">троугла </w:t>
            </w:r>
            <w:r>
              <w:rPr>
                <w:color w:val="231F20"/>
                <w:sz w:val="14"/>
              </w:rPr>
              <w:t>и четвороугла;</w:t>
            </w:r>
          </w:p>
          <w:p w:rsidR="00041039" w:rsidRDefault="001B26CB">
            <w:pPr>
              <w:pStyle w:val="TableParagraph"/>
              <w:tabs>
                <w:tab w:val="left" w:pos="157"/>
              </w:tabs>
              <w:spacing w:line="160" w:lineRule="exact"/>
              <w:ind w:right="115" w:hanging="99"/>
              <w:rPr>
                <w:sz w:val="14"/>
              </w:rPr>
            </w:pPr>
            <w:r>
              <w:rPr>
                <w:color w:val="231F20"/>
                <w:sz w:val="14"/>
              </w:rPr>
              <w:t>решава лакше задатке са</w:t>
            </w:r>
            <w:r>
              <w:rPr>
                <w:color w:val="231F20"/>
                <w:spacing w:val="-17"/>
                <w:sz w:val="14"/>
              </w:rPr>
              <w:t xml:space="preserve"> </w:t>
            </w:r>
            <w:r>
              <w:rPr>
                <w:color w:val="231F20"/>
                <w:sz w:val="14"/>
              </w:rPr>
              <w:t>тангентиним и тетивним</w:t>
            </w:r>
            <w:r>
              <w:rPr>
                <w:color w:val="231F20"/>
                <w:spacing w:val="-5"/>
                <w:sz w:val="14"/>
              </w:rPr>
              <w:t xml:space="preserve"> </w:t>
            </w:r>
            <w:r>
              <w:rPr>
                <w:color w:val="231F20"/>
                <w:sz w:val="14"/>
              </w:rPr>
              <w:t>четвороугловима;</w:t>
            </w:r>
          </w:p>
          <w:p w:rsidR="00041039" w:rsidRDefault="001B26CB">
            <w:pPr>
              <w:pStyle w:val="TableParagraph"/>
              <w:tabs>
                <w:tab w:val="left" w:pos="157"/>
              </w:tabs>
              <w:spacing w:line="160" w:lineRule="exact"/>
              <w:ind w:right="92" w:hanging="99"/>
              <w:jc w:val="both"/>
              <w:rPr>
                <w:sz w:val="14"/>
              </w:rPr>
            </w:pPr>
            <w:r>
              <w:rPr>
                <w:color w:val="231F20"/>
                <w:sz w:val="14"/>
              </w:rPr>
              <w:t>користи изометријске</w:t>
            </w:r>
            <w:r>
              <w:rPr>
                <w:color w:val="231F20"/>
                <w:spacing w:val="-16"/>
                <w:sz w:val="14"/>
              </w:rPr>
              <w:t xml:space="preserve"> </w:t>
            </w:r>
            <w:r>
              <w:rPr>
                <w:color w:val="231F20"/>
                <w:sz w:val="14"/>
              </w:rPr>
              <w:t>трансформације у решавању лакших планиметријских проблема;</w:t>
            </w:r>
          </w:p>
        </w:tc>
        <w:tc>
          <w:tcPr>
            <w:tcW w:w="2834" w:type="dxa"/>
          </w:tcPr>
          <w:p w:rsidR="00041039" w:rsidRDefault="001B26CB">
            <w:pPr>
              <w:pStyle w:val="TableParagraph"/>
              <w:tabs>
                <w:tab w:val="left" w:pos="157"/>
              </w:tabs>
              <w:spacing w:before="9" w:line="166" w:lineRule="exact"/>
              <w:ind w:hanging="99"/>
              <w:rPr>
                <w:sz w:val="14"/>
              </w:rPr>
            </w:pPr>
            <w:r>
              <w:rPr>
                <w:color w:val="231F20"/>
                <w:sz w:val="14"/>
              </w:rPr>
              <w:t>Основне особине</w:t>
            </w:r>
            <w:r>
              <w:rPr>
                <w:color w:val="231F20"/>
                <w:spacing w:val="-1"/>
                <w:sz w:val="14"/>
              </w:rPr>
              <w:t xml:space="preserve"> </w:t>
            </w:r>
            <w:r>
              <w:rPr>
                <w:color w:val="231F20"/>
                <w:spacing w:val="-3"/>
                <w:sz w:val="14"/>
              </w:rPr>
              <w:t>троугла.</w:t>
            </w:r>
          </w:p>
          <w:p w:rsidR="00041039" w:rsidRDefault="001B26CB">
            <w:pPr>
              <w:pStyle w:val="TableParagraph"/>
              <w:tabs>
                <w:tab w:val="left" w:pos="157"/>
              </w:tabs>
              <w:spacing w:line="160" w:lineRule="exact"/>
              <w:ind w:hanging="99"/>
              <w:rPr>
                <w:sz w:val="14"/>
              </w:rPr>
            </w:pPr>
            <w:r>
              <w:rPr>
                <w:color w:val="231F20"/>
                <w:sz w:val="14"/>
              </w:rPr>
              <w:t>Основне особине</w:t>
            </w:r>
            <w:r>
              <w:rPr>
                <w:color w:val="231F20"/>
                <w:spacing w:val="-3"/>
                <w:sz w:val="14"/>
              </w:rPr>
              <w:t xml:space="preserve"> </w:t>
            </w:r>
            <w:r>
              <w:rPr>
                <w:color w:val="231F20"/>
                <w:sz w:val="14"/>
              </w:rPr>
              <w:t>четвороугла.</w:t>
            </w:r>
          </w:p>
          <w:p w:rsidR="00041039" w:rsidRDefault="001B26CB">
            <w:pPr>
              <w:pStyle w:val="TableParagraph"/>
              <w:tabs>
                <w:tab w:val="left" w:pos="157"/>
              </w:tabs>
              <w:spacing w:line="160" w:lineRule="exact"/>
              <w:ind w:hanging="99"/>
              <w:rPr>
                <w:sz w:val="14"/>
              </w:rPr>
            </w:pPr>
            <w:r>
              <w:rPr>
                <w:color w:val="231F20"/>
                <w:sz w:val="14"/>
              </w:rPr>
              <w:t>Основне особине</w:t>
            </w:r>
            <w:r>
              <w:rPr>
                <w:color w:val="231F20"/>
                <w:spacing w:val="-2"/>
                <w:sz w:val="14"/>
              </w:rPr>
              <w:t xml:space="preserve"> </w:t>
            </w:r>
            <w:r>
              <w:rPr>
                <w:color w:val="231F20"/>
                <w:sz w:val="14"/>
              </w:rPr>
              <w:t>круга.</w:t>
            </w:r>
          </w:p>
          <w:p w:rsidR="00041039" w:rsidRDefault="001B26CB">
            <w:pPr>
              <w:pStyle w:val="TableParagraph"/>
              <w:tabs>
                <w:tab w:val="left" w:pos="157"/>
              </w:tabs>
              <w:spacing w:line="237" w:lineRule="auto"/>
              <w:ind w:right="166" w:hanging="99"/>
              <w:rPr>
                <w:sz w:val="14"/>
              </w:rPr>
            </w:pPr>
            <w:r>
              <w:rPr>
                <w:color w:val="231F20"/>
                <w:sz w:val="14"/>
              </w:rPr>
              <w:t>Ставови</w:t>
            </w:r>
            <w:r>
              <w:rPr>
                <w:color w:val="231F20"/>
                <w:spacing w:val="-8"/>
                <w:sz w:val="14"/>
              </w:rPr>
              <w:t xml:space="preserve"> </w:t>
            </w:r>
            <w:r>
              <w:rPr>
                <w:color w:val="231F20"/>
                <w:sz w:val="14"/>
              </w:rPr>
              <w:t>подударности</w:t>
            </w:r>
            <w:r>
              <w:rPr>
                <w:color w:val="231F20"/>
                <w:spacing w:val="-8"/>
                <w:sz w:val="14"/>
              </w:rPr>
              <w:t xml:space="preserve"> </w:t>
            </w:r>
            <w:r>
              <w:rPr>
                <w:color w:val="231F20"/>
                <w:sz w:val="14"/>
              </w:rPr>
              <w:t>троуглова</w:t>
            </w:r>
            <w:r>
              <w:rPr>
                <w:color w:val="231F20"/>
                <w:spacing w:val="-8"/>
                <w:sz w:val="14"/>
              </w:rPr>
              <w:t xml:space="preserve"> </w:t>
            </w:r>
            <w:r>
              <w:rPr>
                <w:color w:val="231F20"/>
                <w:sz w:val="14"/>
              </w:rPr>
              <w:t>и</w:t>
            </w:r>
            <w:r>
              <w:rPr>
                <w:color w:val="231F20"/>
                <w:spacing w:val="-9"/>
                <w:sz w:val="14"/>
              </w:rPr>
              <w:t xml:space="preserve"> </w:t>
            </w:r>
            <w:r>
              <w:rPr>
                <w:color w:val="231F20"/>
                <w:sz w:val="14"/>
              </w:rPr>
              <w:t>лакши докази.</w:t>
            </w:r>
          </w:p>
          <w:p w:rsidR="00041039" w:rsidRDefault="001B26CB">
            <w:pPr>
              <w:pStyle w:val="TableParagraph"/>
              <w:tabs>
                <w:tab w:val="left" w:pos="157"/>
              </w:tabs>
              <w:spacing w:line="160" w:lineRule="exact"/>
              <w:ind w:right="387" w:hanging="99"/>
              <w:rPr>
                <w:sz w:val="14"/>
              </w:rPr>
            </w:pPr>
            <w:r>
              <w:rPr>
                <w:color w:val="231F20"/>
                <w:sz w:val="14"/>
              </w:rPr>
              <w:t>Елементарне конструкције лењиром</w:t>
            </w:r>
            <w:r>
              <w:rPr>
                <w:color w:val="231F20"/>
                <w:spacing w:val="-15"/>
                <w:sz w:val="14"/>
              </w:rPr>
              <w:t xml:space="preserve"> </w:t>
            </w:r>
            <w:r>
              <w:rPr>
                <w:color w:val="231F20"/>
                <w:sz w:val="14"/>
              </w:rPr>
              <w:t>и шестаром.</w:t>
            </w:r>
          </w:p>
          <w:p w:rsidR="00041039" w:rsidRDefault="001B26CB">
            <w:pPr>
              <w:pStyle w:val="TableParagraph"/>
              <w:tabs>
                <w:tab w:val="left" w:pos="157"/>
              </w:tabs>
              <w:spacing w:line="153" w:lineRule="exact"/>
              <w:ind w:hanging="99"/>
              <w:rPr>
                <w:sz w:val="14"/>
              </w:rPr>
            </w:pPr>
            <w:r>
              <w:rPr>
                <w:color w:val="231F20"/>
                <w:sz w:val="14"/>
              </w:rPr>
              <w:t>Лакши примери конструкције</w:t>
            </w:r>
            <w:r>
              <w:rPr>
                <w:color w:val="231F20"/>
                <w:spacing w:val="-5"/>
                <w:sz w:val="14"/>
              </w:rPr>
              <w:t xml:space="preserve"> </w:t>
            </w:r>
            <w:r>
              <w:rPr>
                <w:color w:val="231F20"/>
                <w:spacing w:val="-3"/>
                <w:sz w:val="14"/>
              </w:rPr>
              <w:t>троугла.</w:t>
            </w:r>
          </w:p>
          <w:p w:rsidR="00041039" w:rsidRDefault="001B26CB">
            <w:pPr>
              <w:pStyle w:val="TableParagraph"/>
              <w:tabs>
                <w:tab w:val="left" w:pos="157"/>
              </w:tabs>
              <w:spacing w:line="160" w:lineRule="exact"/>
              <w:ind w:hanging="99"/>
              <w:rPr>
                <w:sz w:val="14"/>
              </w:rPr>
            </w:pPr>
            <w:r>
              <w:rPr>
                <w:color w:val="231F20"/>
                <w:sz w:val="14"/>
              </w:rPr>
              <w:t>Изометријске</w:t>
            </w:r>
            <w:r>
              <w:rPr>
                <w:color w:val="231F20"/>
                <w:spacing w:val="-1"/>
                <w:sz w:val="14"/>
              </w:rPr>
              <w:t xml:space="preserve"> </w:t>
            </w:r>
            <w:r>
              <w:rPr>
                <w:color w:val="231F20"/>
                <w:sz w:val="14"/>
              </w:rPr>
              <w:t>трансформације.</w:t>
            </w:r>
          </w:p>
          <w:p w:rsidR="00041039" w:rsidRDefault="001B26CB">
            <w:pPr>
              <w:pStyle w:val="TableParagraph"/>
              <w:tabs>
                <w:tab w:val="left" w:pos="157"/>
              </w:tabs>
              <w:spacing w:line="166" w:lineRule="exact"/>
              <w:ind w:hanging="99"/>
              <w:rPr>
                <w:sz w:val="14"/>
              </w:rPr>
            </w:pPr>
            <w:r>
              <w:rPr>
                <w:color w:val="231F20"/>
                <w:sz w:val="14"/>
              </w:rPr>
              <w:t>Вектори и операције са</w:t>
            </w:r>
            <w:r>
              <w:rPr>
                <w:color w:val="231F20"/>
                <w:spacing w:val="-2"/>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7" w:line="314" w:lineRule="auto"/>
        <w:ind w:left="157" w:right="8288"/>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175 часова </w:t>
      </w:r>
      <w:r>
        <w:rPr>
          <w:color w:val="231F20"/>
          <w:sz w:val="14"/>
        </w:rPr>
        <w:t>Разред:</w:t>
      </w:r>
      <w:r>
        <w:rPr>
          <w:color w:val="231F20"/>
          <w:sz w:val="14"/>
        </w:rPr>
        <w:tab/>
      </w:r>
      <w:r>
        <w:rPr>
          <w:b/>
          <w:color w:val="231F20"/>
          <w:sz w:val="14"/>
        </w:rPr>
        <w:t>други</w:t>
      </w:r>
    </w:p>
    <w:p w:rsidR="00041039" w:rsidRDefault="00041039">
      <w:pPr>
        <w:pStyle w:val="BodyText"/>
        <w:spacing w:after="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5160"/>
        </w:trPr>
        <w:tc>
          <w:tcPr>
            <w:tcW w:w="1304" w:type="dxa"/>
          </w:tcPr>
          <w:p w:rsidR="00041039" w:rsidRDefault="001B26CB">
            <w:pPr>
              <w:pStyle w:val="TableParagraph"/>
              <w:spacing w:before="18"/>
              <w:ind w:left="56" w:right="37"/>
              <w:rPr>
                <w:sz w:val="14"/>
              </w:rPr>
            </w:pPr>
            <w:r>
              <w:rPr>
                <w:color w:val="231F20"/>
                <w:sz w:val="14"/>
              </w:rPr>
              <w:t>Степеновање и кореновање</w:t>
            </w:r>
          </w:p>
        </w:tc>
        <w:tc>
          <w:tcPr>
            <w:tcW w:w="1587" w:type="dxa"/>
          </w:tcPr>
          <w:p w:rsidR="00041039" w:rsidRDefault="001B26CB" w:rsidP="00FA3A94">
            <w:pPr>
              <w:pStyle w:val="TableParagraph"/>
              <w:tabs>
                <w:tab w:val="left" w:pos="157"/>
              </w:tabs>
              <w:spacing w:before="8"/>
              <w:ind w:right="122" w:hanging="100"/>
              <w:jc w:val="both"/>
              <w:rPr>
                <w:sz w:val="14"/>
              </w:rPr>
            </w:pPr>
            <w:r>
              <w:rPr>
                <w:color w:val="231F20"/>
                <w:sz w:val="14"/>
              </w:rPr>
              <w:t>Стицање знања о сте­ пенима и коренима и операцијама са</w:t>
            </w:r>
            <w:r>
              <w:rPr>
                <w:color w:val="231F20"/>
                <w:spacing w:val="-3"/>
                <w:sz w:val="14"/>
              </w:rPr>
              <w:t xml:space="preserve"> </w:t>
            </w:r>
            <w:r>
              <w:rPr>
                <w:color w:val="231F20"/>
                <w:sz w:val="14"/>
              </w:rPr>
              <w:t>њима.</w:t>
            </w:r>
          </w:p>
        </w:tc>
        <w:tc>
          <w:tcPr>
            <w:tcW w:w="2551" w:type="dxa"/>
          </w:tcPr>
          <w:p w:rsidR="00041039" w:rsidRDefault="001B26CB">
            <w:pPr>
              <w:pStyle w:val="TableParagraph"/>
              <w:numPr>
                <w:ilvl w:val="0"/>
                <w:numId w:val="2046"/>
              </w:numPr>
              <w:tabs>
                <w:tab w:val="left" w:pos="157"/>
              </w:tabs>
              <w:spacing w:before="8"/>
              <w:ind w:right="433" w:hanging="99"/>
              <w:rPr>
                <w:sz w:val="14"/>
              </w:rPr>
            </w:pPr>
            <w:r>
              <w:rPr>
                <w:color w:val="231F20"/>
                <w:sz w:val="14"/>
              </w:rPr>
              <w:t>дефинише степен и операције са степенима;</w:t>
            </w:r>
          </w:p>
          <w:p w:rsidR="00041039" w:rsidRDefault="001B26CB">
            <w:pPr>
              <w:pStyle w:val="TableParagraph"/>
              <w:numPr>
                <w:ilvl w:val="0"/>
                <w:numId w:val="2046"/>
              </w:numPr>
              <w:tabs>
                <w:tab w:val="left" w:pos="157"/>
              </w:tabs>
              <w:spacing w:line="160" w:lineRule="exact"/>
              <w:ind w:right="44" w:hanging="99"/>
              <w:rPr>
                <w:sz w:val="14"/>
              </w:rPr>
            </w:pPr>
            <w:r>
              <w:rPr>
                <w:color w:val="231F20"/>
                <w:sz w:val="14"/>
              </w:rPr>
              <w:t>наведе особине операција степеновања са целим изложиоцем и примени их у трансформацијама</w:t>
            </w:r>
            <w:r>
              <w:rPr>
                <w:color w:val="231F20"/>
                <w:spacing w:val="-1"/>
                <w:sz w:val="14"/>
              </w:rPr>
              <w:t xml:space="preserve"> </w:t>
            </w:r>
            <w:r>
              <w:rPr>
                <w:color w:val="231F20"/>
                <w:sz w:val="14"/>
              </w:rPr>
              <w:t>израза;</w:t>
            </w:r>
          </w:p>
          <w:p w:rsidR="00041039" w:rsidRDefault="001B26CB">
            <w:pPr>
              <w:pStyle w:val="TableParagraph"/>
              <w:numPr>
                <w:ilvl w:val="0"/>
                <w:numId w:val="2046"/>
              </w:numPr>
              <w:tabs>
                <w:tab w:val="left" w:pos="157"/>
              </w:tabs>
              <w:spacing w:line="160" w:lineRule="exact"/>
              <w:ind w:right="281" w:hanging="99"/>
              <w:rPr>
                <w:sz w:val="14"/>
              </w:rPr>
            </w:pPr>
            <w:r>
              <w:rPr>
                <w:color w:val="231F20"/>
                <w:sz w:val="14"/>
              </w:rPr>
              <w:t>упрости и среди израз са целим из­ ложиоцем;</w:t>
            </w:r>
          </w:p>
          <w:p w:rsidR="00041039" w:rsidRDefault="001B26CB">
            <w:pPr>
              <w:pStyle w:val="TableParagraph"/>
              <w:numPr>
                <w:ilvl w:val="0"/>
                <w:numId w:val="2046"/>
              </w:numPr>
              <w:tabs>
                <w:tab w:val="left" w:pos="157"/>
              </w:tabs>
              <w:spacing w:line="160" w:lineRule="exact"/>
              <w:ind w:right="65" w:hanging="99"/>
              <w:rPr>
                <w:sz w:val="14"/>
              </w:rPr>
            </w:pPr>
            <w:r>
              <w:rPr>
                <w:color w:val="231F20"/>
                <w:sz w:val="14"/>
              </w:rPr>
              <w:t>упрости и среди израз са рационалним изложиоцем;</w:t>
            </w:r>
          </w:p>
          <w:p w:rsidR="00041039" w:rsidRDefault="001B26CB">
            <w:pPr>
              <w:pStyle w:val="TableParagraph"/>
              <w:numPr>
                <w:ilvl w:val="0"/>
                <w:numId w:val="2046"/>
              </w:numPr>
              <w:tabs>
                <w:tab w:val="left" w:pos="157"/>
              </w:tabs>
              <w:spacing w:line="159" w:lineRule="exact"/>
              <w:ind w:hanging="99"/>
              <w:rPr>
                <w:sz w:val="14"/>
              </w:rPr>
            </w:pPr>
            <w:r>
              <w:rPr>
                <w:color w:val="231F20"/>
                <w:sz w:val="14"/>
              </w:rPr>
              <w:t>рационалише</w:t>
            </w:r>
            <w:r>
              <w:rPr>
                <w:color w:val="231F20"/>
                <w:spacing w:val="-10"/>
                <w:sz w:val="14"/>
              </w:rPr>
              <w:t xml:space="preserve"> </w:t>
            </w:r>
            <w:r>
              <w:rPr>
                <w:color w:val="231F20"/>
                <w:sz w:val="14"/>
              </w:rPr>
              <w:t>разломке;</w:t>
            </w:r>
          </w:p>
        </w:tc>
        <w:tc>
          <w:tcPr>
            <w:tcW w:w="2834" w:type="dxa"/>
          </w:tcPr>
          <w:p w:rsidR="00041039" w:rsidRDefault="001B26CB">
            <w:pPr>
              <w:pStyle w:val="TableParagraph"/>
              <w:numPr>
                <w:ilvl w:val="0"/>
                <w:numId w:val="2045"/>
              </w:numPr>
              <w:tabs>
                <w:tab w:val="left" w:pos="157"/>
              </w:tabs>
              <w:spacing w:before="8" w:line="166" w:lineRule="exact"/>
              <w:ind w:hanging="99"/>
              <w:rPr>
                <w:sz w:val="14"/>
              </w:rPr>
            </w:pPr>
            <w:r>
              <w:rPr>
                <w:color w:val="231F20"/>
                <w:sz w:val="14"/>
              </w:rPr>
              <w:t>Појам</w:t>
            </w:r>
            <w:r>
              <w:rPr>
                <w:color w:val="231F20"/>
                <w:spacing w:val="-2"/>
                <w:sz w:val="14"/>
              </w:rPr>
              <w:t xml:space="preserve"> </w:t>
            </w:r>
            <w:r>
              <w:rPr>
                <w:color w:val="231F20"/>
                <w:sz w:val="14"/>
              </w:rPr>
              <w:t>степена.</w:t>
            </w:r>
          </w:p>
          <w:p w:rsidR="00041039" w:rsidRDefault="001B26CB">
            <w:pPr>
              <w:pStyle w:val="TableParagraph"/>
              <w:numPr>
                <w:ilvl w:val="0"/>
                <w:numId w:val="2045"/>
              </w:numPr>
              <w:tabs>
                <w:tab w:val="left" w:pos="157"/>
              </w:tabs>
              <w:spacing w:line="160" w:lineRule="exact"/>
              <w:ind w:hanging="99"/>
              <w:rPr>
                <w:sz w:val="14"/>
              </w:rPr>
            </w:pPr>
            <w:r>
              <w:rPr>
                <w:color w:val="231F20"/>
                <w:sz w:val="14"/>
              </w:rPr>
              <w:t>Операције са</w:t>
            </w:r>
            <w:r>
              <w:rPr>
                <w:color w:val="231F20"/>
                <w:spacing w:val="-2"/>
                <w:sz w:val="14"/>
              </w:rPr>
              <w:t xml:space="preserve"> </w:t>
            </w:r>
            <w:r>
              <w:rPr>
                <w:color w:val="231F20"/>
                <w:sz w:val="14"/>
              </w:rPr>
              <w:t>степенима.</w:t>
            </w:r>
          </w:p>
          <w:p w:rsidR="00041039" w:rsidRDefault="001B26CB">
            <w:pPr>
              <w:pStyle w:val="TableParagraph"/>
              <w:numPr>
                <w:ilvl w:val="0"/>
                <w:numId w:val="2045"/>
              </w:numPr>
              <w:tabs>
                <w:tab w:val="left" w:pos="157"/>
              </w:tabs>
              <w:spacing w:line="160" w:lineRule="exact"/>
              <w:ind w:hanging="99"/>
              <w:rPr>
                <w:sz w:val="14"/>
              </w:rPr>
            </w:pPr>
            <w:r>
              <w:rPr>
                <w:color w:val="231F20"/>
                <w:sz w:val="14"/>
              </w:rPr>
              <w:t>Степен са целим</w:t>
            </w:r>
            <w:r>
              <w:rPr>
                <w:color w:val="231F20"/>
                <w:spacing w:val="-3"/>
                <w:sz w:val="14"/>
              </w:rPr>
              <w:t xml:space="preserve"> </w:t>
            </w:r>
            <w:r>
              <w:rPr>
                <w:color w:val="231F20"/>
                <w:sz w:val="14"/>
              </w:rPr>
              <w:t>изложиоцем.</w:t>
            </w:r>
          </w:p>
          <w:p w:rsidR="00041039" w:rsidRDefault="001B26CB">
            <w:pPr>
              <w:pStyle w:val="TableParagraph"/>
              <w:numPr>
                <w:ilvl w:val="0"/>
                <w:numId w:val="2045"/>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корена.</w:t>
            </w:r>
          </w:p>
          <w:p w:rsidR="00041039" w:rsidRDefault="001B26CB">
            <w:pPr>
              <w:pStyle w:val="TableParagraph"/>
              <w:numPr>
                <w:ilvl w:val="0"/>
                <w:numId w:val="2045"/>
              </w:numPr>
              <w:tabs>
                <w:tab w:val="left" w:pos="157"/>
              </w:tabs>
              <w:spacing w:line="160" w:lineRule="exact"/>
              <w:ind w:hanging="99"/>
              <w:rPr>
                <w:sz w:val="14"/>
              </w:rPr>
            </w:pPr>
            <w:r>
              <w:rPr>
                <w:color w:val="231F20"/>
                <w:sz w:val="14"/>
              </w:rPr>
              <w:t>Операције са</w:t>
            </w:r>
            <w:r>
              <w:rPr>
                <w:color w:val="231F20"/>
                <w:spacing w:val="-2"/>
                <w:sz w:val="14"/>
              </w:rPr>
              <w:t xml:space="preserve"> </w:t>
            </w:r>
            <w:r>
              <w:rPr>
                <w:color w:val="231F20"/>
                <w:sz w:val="14"/>
              </w:rPr>
              <w:t>коренима.</w:t>
            </w:r>
          </w:p>
          <w:p w:rsidR="00041039" w:rsidRDefault="001B26CB">
            <w:pPr>
              <w:pStyle w:val="TableParagraph"/>
              <w:numPr>
                <w:ilvl w:val="0"/>
                <w:numId w:val="2045"/>
              </w:numPr>
              <w:tabs>
                <w:tab w:val="left" w:pos="157"/>
              </w:tabs>
              <w:spacing w:line="160" w:lineRule="exact"/>
              <w:ind w:hanging="99"/>
              <w:rPr>
                <w:sz w:val="14"/>
              </w:rPr>
            </w:pPr>
            <w:r>
              <w:rPr>
                <w:color w:val="231F20"/>
                <w:sz w:val="14"/>
              </w:rPr>
              <w:t>Степен са рационалним</w:t>
            </w:r>
            <w:r>
              <w:rPr>
                <w:color w:val="231F20"/>
                <w:spacing w:val="-4"/>
                <w:sz w:val="14"/>
              </w:rPr>
              <w:t xml:space="preserve"> </w:t>
            </w:r>
            <w:r>
              <w:rPr>
                <w:color w:val="231F20"/>
                <w:sz w:val="14"/>
              </w:rPr>
              <w:t>изложиоцем.</w:t>
            </w:r>
          </w:p>
          <w:p w:rsidR="00041039" w:rsidRDefault="001B26CB">
            <w:pPr>
              <w:pStyle w:val="TableParagraph"/>
              <w:numPr>
                <w:ilvl w:val="0"/>
                <w:numId w:val="2045"/>
              </w:numPr>
              <w:tabs>
                <w:tab w:val="left" w:pos="157"/>
              </w:tabs>
              <w:spacing w:line="160" w:lineRule="exact"/>
              <w:ind w:hanging="99"/>
              <w:rPr>
                <w:sz w:val="14"/>
              </w:rPr>
            </w:pPr>
            <w:r>
              <w:rPr>
                <w:color w:val="231F20"/>
                <w:sz w:val="14"/>
              </w:rPr>
              <w:t>Рационалисање имениоца</w:t>
            </w:r>
            <w:r>
              <w:rPr>
                <w:color w:val="231F20"/>
                <w:spacing w:val="-4"/>
                <w:sz w:val="14"/>
              </w:rPr>
              <w:t xml:space="preserve"> </w:t>
            </w:r>
            <w:r>
              <w:rPr>
                <w:color w:val="231F20"/>
                <w:sz w:val="14"/>
              </w:rPr>
              <w:t>разломка.</w:t>
            </w:r>
          </w:p>
          <w:p w:rsidR="00041039" w:rsidRDefault="001B26CB">
            <w:pPr>
              <w:pStyle w:val="TableParagraph"/>
              <w:numPr>
                <w:ilvl w:val="0"/>
                <w:numId w:val="2045"/>
              </w:numPr>
              <w:tabs>
                <w:tab w:val="left" w:pos="157"/>
              </w:tabs>
              <w:spacing w:line="237" w:lineRule="auto"/>
              <w:ind w:right="553" w:hanging="99"/>
              <w:rPr>
                <w:sz w:val="14"/>
              </w:rPr>
            </w:pPr>
            <w:r>
              <w:rPr>
                <w:color w:val="231F20"/>
                <w:sz w:val="14"/>
              </w:rPr>
              <w:t>График и особине степене и</w:t>
            </w:r>
            <w:r>
              <w:rPr>
                <w:color w:val="231F20"/>
                <w:spacing w:val="-16"/>
                <w:sz w:val="14"/>
              </w:rPr>
              <w:t xml:space="preserve"> </w:t>
            </w:r>
            <w:r>
              <w:rPr>
                <w:color w:val="231F20"/>
                <w:sz w:val="14"/>
              </w:rPr>
              <w:t>корене функције.</w:t>
            </w:r>
          </w:p>
          <w:p w:rsidR="00041039" w:rsidRDefault="001B26CB">
            <w:pPr>
              <w:pStyle w:val="TableParagraph"/>
              <w:numPr>
                <w:ilvl w:val="0"/>
                <w:numId w:val="2045"/>
              </w:numPr>
              <w:tabs>
                <w:tab w:val="left" w:pos="157"/>
              </w:tabs>
              <w:spacing w:line="155" w:lineRule="exact"/>
              <w:ind w:hanging="99"/>
              <w:rPr>
                <w:sz w:val="14"/>
              </w:rPr>
            </w:pPr>
            <w:r>
              <w:rPr>
                <w:color w:val="231F20"/>
                <w:sz w:val="14"/>
              </w:rPr>
              <w:t>Изрази са рационалним</w:t>
            </w:r>
            <w:r>
              <w:rPr>
                <w:color w:val="231F20"/>
                <w:spacing w:val="-5"/>
                <w:sz w:val="14"/>
              </w:rPr>
              <w:t xml:space="preserve"> </w:t>
            </w:r>
            <w:r>
              <w:rPr>
                <w:color w:val="231F20"/>
                <w:sz w:val="14"/>
              </w:rPr>
              <w:t>изложиоцем.</w:t>
            </w:r>
          </w:p>
          <w:p w:rsidR="00041039" w:rsidRDefault="001B26CB">
            <w:pPr>
              <w:pStyle w:val="TableParagraph"/>
              <w:numPr>
                <w:ilvl w:val="0"/>
                <w:numId w:val="2045"/>
              </w:numPr>
              <w:tabs>
                <w:tab w:val="left" w:pos="157"/>
              </w:tabs>
              <w:spacing w:line="166" w:lineRule="exact"/>
              <w:ind w:hanging="99"/>
              <w:rPr>
                <w:sz w:val="14"/>
              </w:rPr>
            </w:pPr>
            <w:r>
              <w:rPr>
                <w:color w:val="231F20"/>
                <w:sz w:val="14"/>
              </w:rPr>
              <w:t>Комплексни бројеви и основне</w:t>
            </w:r>
            <w:r>
              <w:rPr>
                <w:color w:val="231F20"/>
                <w:spacing w:val="-6"/>
                <w:sz w:val="14"/>
              </w:rPr>
              <w:t xml:space="preserve"> </w:t>
            </w:r>
            <w:r>
              <w:rPr>
                <w:color w:val="231F20"/>
                <w:sz w:val="14"/>
              </w:rPr>
              <w:t>операције.</w:t>
            </w:r>
          </w:p>
        </w:tc>
        <w:tc>
          <w:tcPr>
            <w:tcW w:w="2267" w:type="dxa"/>
          </w:tcPr>
          <w:p w:rsidR="00041039" w:rsidRDefault="001B26CB">
            <w:pPr>
              <w:pStyle w:val="TableParagraph"/>
              <w:numPr>
                <w:ilvl w:val="0"/>
                <w:numId w:val="2044"/>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044"/>
              </w:numPr>
              <w:tabs>
                <w:tab w:val="left" w:pos="158"/>
              </w:tabs>
              <w:spacing w:line="160" w:lineRule="exact"/>
              <w:ind w:hanging="99"/>
              <w:rPr>
                <w:b/>
                <w:sz w:val="14"/>
              </w:rPr>
            </w:pPr>
            <w:r>
              <w:rPr>
                <w:color w:val="231F20"/>
                <w:sz w:val="14"/>
              </w:rPr>
              <w:t xml:space="preserve">теоријска настава </w:t>
            </w:r>
            <w:r>
              <w:rPr>
                <w:b/>
                <w:color w:val="231F20"/>
                <w:sz w:val="14"/>
              </w:rPr>
              <w:t>(175</w:t>
            </w:r>
            <w:r>
              <w:rPr>
                <w:b/>
                <w:color w:val="231F20"/>
                <w:spacing w:val="-5"/>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2044"/>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numPr>
                <w:ilvl w:val="0"/>
                <w:numId w:val="2044"/>
              </w:numPr>
              <w:tabs>
                <w:tab w:val="left" w:pos="158"/>
              </w:tabs>
              <w:spacing w:before="1"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2044"/>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2044"/>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2044"/>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2044"/>
              </w:numPr>
              <w:tabs>
                <w:tab w:val="left" w:pos="158"/>
              </w:tabs>
              <w:spacing w:line="160" w:lineRule="exact"/>
              <w:ind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w:t>
            </w:r>
            <w:r>
              <w:rPr>
                <w:color w:val="231F20"/>
                <w:sz w:val="14"/>
              </w:rPr>
              <w:t>ија;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120"/>
        </w:trPr>
        <w:tc>
          <w:tcPr>
            <w:tcW w:w="1304" w:type="dxa"/>
          </w:tcPr>
          <w:p w:rsidR="00041039" w:rsidRDefault="001B26CB">
            <w:pPr>
              <w:pStyle w:val="TableParagraph"/>
              <w:spacing w:before="18"/>
              <w:ind w:left="56" w:right="215"/>
              <w:jc w:val="both"/>
              <w:rPr>
                <w:sz w:val="14"/>
              </w:rPr>
            </w:pPr>
            <w:r>
              <w:rPr>
                <w:color w:val="231F20"/>
                <w:sz w:val="14"/>
              </w:rPr>
              <w:lastRenderedPageBreak/>
              <w:t>Квадратна једна­ чина и</w:t>
            </w:r>
            <w:r>
              <w:rPr>
                <w:color w:val="231F20"/>
                <w:spacing w:val="-10"/>
                <w:sz w:val="14"/>
              </w:rPr>
              <w:t xml:space="preserve"> </w:t>
            </w:r>
            <w:r>
              <w:rPr>
                <w:color w:val="231F20"/>
                <w:sz w:val="14"/>
              </w:rPr>
              <w:t>квадратна функција</w:t>
            </w:r>
          </w:p>
        </w:tc>
        <w:tc>
          <w:tcPr>
            <w:tcW w:w="1587" w:type="dxa"/>
          </w:tcPr>
          <w:p w:rsidR="00041039" w:rsidRDefault="001B26CB">
            <w:pPr>
              <w:pStyle w:val="TableParagraph"/>
              <w:numPr>
                <w:ilvl w:val="0"/>
                <w:numId w:val="2043"/>
              </w:numPr>
              <w:tabs>
                <w:tab w:val="left" w:pos="157"/>
              </w:tabs>
              <w:spacing w:before="8"/>
              <w:ind w:right="94"/>
              <w:rPr>
                <w:sz w:val="14"/>
              </w:rPr>
            </w:pPr>
            <w:r>
              <w:rPr>
                <w:color w:val="231F20"/>
                <w:sz w:val="14"/>
              </w:rPr>
              <w:t>Стицање знања о комплексним</w:t>
            </w:r>
            <w:r>
              <w:rPr>
                <w:color w:val="231F20"/>
                <w:spacing w:val="-14"/>
                <w:sz w:val="14"/>
              </w:rPr>
              <w:t xml:space="preserve"> </w:t>
            </w:r>
            <w:r>
              <w:rPr>
                <w:color w:val="231F20"/>
                <w:sz w:val="14"/>
              </w:rPr>
              <w:t>бројеви­ ма и операцијама са њима и о решавању квадратних једначина и</w:t>
            </w:r>
            <w:r>
              <w:rPr>
                <w:color w:val="231F20"/>
                <w:spacing w:val="-2"/>
                <w:sz w:val="14"/>
              </w:rPr>
              <w:t xml:space="preserve"> </w:t>
            </w:r>
            <w:r>
              <w:rPr>
                <w:color w:val="231F20"/>
                <w:sz w:val="14"/>
              </w:rPr>
              <w:t>неједначина.</w:t>
            </w:r>
          </w:p>
        </w:tc>
        <w:tc>
          <w:tcPr>
            <w:tcW w:w="2551" w:type="dxa"/>
          </w:tcPr>
          <w:p w:rsidR="00041039" w:rsidRDefault="001B26CB">
            <w:pPr>
              <w:pStyle w:val="TableParagraph"/>
              <w:numPr>
                <w:ilvl w:val="0"/>
                <w:numId w:val="2042"/>
              </w:numPr>
              <w:tabs>
                <w:tab w:val="left" w:pos="157"/>
              </w:tabs>
              <w:spacing w:before="8"/>
              <w:ind w:right="315" w:hanging="99"/>
              <w:rPr>
                <w:sz w:val="14"/>
              </w:rPr>
            </w:pPr>
            <w:r>
              <w:rPr>
                <w:color w:val="231F20"/>
                <w:sz w:val="14"/>
              </w:rPr>
              <w:t>дефинише комплексан број у ал­ гебарском</w:t>
            </w:r>
            <w:r>
              <w:rPr>
                <w:color w:val="231F20"/>
                <w:spacing w:val="-7"/>
                <w:sz w:val="14"/>
              </w:rPr>
              <w:t xml:space="preserve"> </w:t>
            </w:r>
            <w:r>
              <w:rPr>
                <w:color w:val="231F20"/>
                <w:sz w:val="14"/>
              </w:rPr>
              <w:t>облику</w:t>
            </w:r>
            <w:r>
              <w:rPr>
                <w:color w:val="231F20"/>
                <w:spacing w:val="-7"/>
                <w:sz w:val="14"/>
              </w:rPr>
              <w:t xml:space="preserve"> </w:t>
            </w:r>
            <w:r>
              <w:rPr>
                <w:color w:val="231F20"/>
                <w:sz w:val="14"/>
              </w:rPr>
              <w:t>и</w:t>
            </w:r>
            <w:r>
              <w:rPr>
                <w:color w:val="231F20"/>
                <w:spacing w:val="-8"/>
                <w:sz w:val="14"/>
              </w:rPr>
              <w:t xml:space="preserve"> </w:t>
            </w:r>
            <w:r>
              <w:rPr>
                <w:color w:val="231F20"/>
                <w:sz w:val="14"/>
              </w:rPr>
              <w:t>одреди</w:t>
            </w:r>
            <w:r>
              <w:rPr>
                <w:color w:val="231F20"/>
                <w:spacing w:val="-7"/>
                <w:sz w:val="14"/>
              </w:rPr>
              <w:t xml:space="preserve"> </w:t>
            </w:r>
            <w:r>
              <w:rPr>
                <w:color w:val="231F20"/>
                <w:sz w:val="14"/>
              </w:rPr>
              <w:t>реални и имагинарни део комплексног броја представи комплексан број</w:t>
            </w:r>
            <w:r>
              <w:rPr>
                <w:color w:val="231F20"/>
                <w:spacing w:val="-16"/>
                <w:sz w:val="14"/>
              </w:rPr>
              <w:t xml:space="preserve"> </w:t>
            </w:r>
            <w:r>
              <w:rPr>
                <w:color w:val="231F20"/>
                <w:sz w:val="14"/>
              </w:rPr>
              <w:t>у комплексној</w:t>
            </w:r>
            <w:r>
              <w:rPr>
                <w:color w:val="231F20"/>
                <w:spacing w:val="-1"/>
                <w:sz w:val="14"/>
              </w:rPr>
              <w:t xml:space="preserve"> </w:t>
            </w:r>
            <w:r>
              <w:rPr>
                <w:color w:val="231F20"/>
                <w:sz w:val="14"/>
              </w:rPr>
              <w:t>равни;</w:t>
            </w:r>
          </w:p>
          <w:p w:rsidR="00041039" w:rsidRDefault="001B26CB">
            <w:pPr>
              <w:pStyle w:val="TableParagraph"/>
              <w:numPr>
                <w:ilvl w:val="0"/>
                <w:numId w:val="2042"/>
              </w:numPr>
              <w:tabs>
                <w:tab w:val="left" w:pos="157"/>
              </w:tabs>
              <w:spacing w:line="155" w:lineRule="exact"/>
              <w:ind w:hanging="99"/>
              <w:rPr>
                <w:sz w:val="14"/>
              </w:rPr>
            </w:pPr>
            <w:r>
              <w:rPr>
                <w:color w:val="231F20"/>
                <w:sz w:val="14"/>
              </w:rPr>
              <w:t>обавља основне рачунске</w:t>
            </w:r>
            <w:r>
              <w:rPr>
                <w:color w:val="231F20"/>
                <w:spacing w:val="-3"/>
                <w:sz w:val="14"/>
              </w:rPr>
              <w:t xml:space="preserve"> </w:t>
            </w:r>
            <w:r>
              <w:rPr>
                <w:color w:val="231F20"/>
                <w:sz w:val="14"/>
              </w:rPr>
              <w:t>операције</w:t>
            </w:r>
          </w:p>
          <w:p w:rsidR="00041039" w:rsidRDefault="001B26CB">
            <w:pPr>
              <w:pStyle w:val="TableParagraph"/>
              <w:rPr>
                <w:sz w:val="14"/>
              </w:rPr>
            </w:pPr>
            <w:r>
              <w:rPr>
                <w:color w:val="231F20"/>
                <w:sz w:val="14"/>
              </w:rPr>
              <w:t>са комплексним бројем у алгебарском облику;</w:t>
            </w:r>
          </w:p>
          <w:p w:rsidR="00041039" w:rsidRDefault="001B26CB">
            <w:pPr>
              <w:pStyle w:val="TableParagraph"/>
              <w:numPr>
                <w:ilvl w:val="0"/>
                <w:numId w:val="2042"/>
              </w:numPr>
              <w:tabs>
                <w:tab w:val="left" w:pos="157"/>
              </w:tabs>
              <w:spacing w:line="154" w:lineRule="exact"/>
              <w:ind w:hanging="99"/>
              <w:rPr>
                <w:sz w:val="14"/>
              </w:rPr>
            </w:pPr>
            <w:r>
              <w:rPr>
                <w:color w:val="231F20"/>
                <w:sz w:val="14"/>
              </w:rPr>
              <w:t xml:space="preserve">одреди </w:t>
            </w:r>
            <w:r>
              <w:rPr>
                <w:color w:val="231F20"/>
                <w:spacing w:val="-3"/>
                <w:sz w:val="14"/>
              </w:rPr>
              <w:t xml:space="preserve">модул </w:t>
            </w:r>
            <w:r>
              <w:rPr>
                <w:color w:val="231F20"/>
                <w:sz w:val="14"/>
              </w:rPr>
              <w:t>комплексног</w:t>
            </w:r>
            <w:r>
              <w:rPr>
                <w:color w:val="231F20"/>
                <w:spacing w:val="-2"/>
                <w:sz w:val="14"/>
              </w:rPr>
              <w:t xml:space="preserve"> </w:t>
            </w:r>
            <w:r>
              <w:rPr>
                <w:color w:val="231F20"/>
                <w:sz w:val="14"/>
              </w:rPr>
              <w:t>броја;</w:t>
            </w:r>
          </w:p>
          <w:p w:rsidR="00041039" w:rsidRDefault="001B26CB">
            <w:pPr>
              <w:pStyle w:val="TableParagraph"/>
              <w:numPr>
                <w:ilvl w:val="0"/>
                <w:numId w:val="2042"/>
              </w:numPr>
              <w:tabs>
                <w:tab w:val="left" w:pos="157"/>
              </w:tabs>
              <w:spacing w:line="237" w:lineRule="auto"/>
              <w:ind w:right="513" w:hanging="99"/>
              <w:rPr>
                <w:sz w:val="14"/>
              </w:rPr>
            </w:pPr>
            <w:r>
              <w:rPr>
                <w:color w:val="231F20"/>
                <w:sz w:val="14"/>
              </w:rPr>
              <w:t>одреди</w:t>
            </w:r>
            <w:r>
              <w:rPr>
                <w:color w:val="231F20"/>
                <w:spacing w:val="-17"/>
                <w:sz w:val="14"/>
              </w:rPr>
              <w:t xml:space="preserve"> </w:t>
            </w:r>
            <w:r>
              <w:rPr>
                <w:color w:val="231F20"/>
                <w:sz w:val="14"/>
              </w:rPr>
              <w:t>коњуговано</w:t>
            </w:r>
            <w:r>
              <w:rPr>
                <w:color w:val="231F20"/>
                <w:spacing w:val="-17"/>
                <w:sz w:val="14"/>
              </w:rPr>
              <w:t xml:space="preserve"> </w:t>
            </w:r>
            <w:r>
              <w:rPr>
                <w:color w:val="231F20"/>
                <w:sz w:val="14"/>
              </w:rPr>
              <w:t>комплексне бројеве;</w:t>
            </w:r>
          </w:p>
          <w:p w:rsidR="00041039" w:rsidRDefault="001B26CB">
            <w:pPr>
              <w:pStyle w:val="TableParagraph"/>
              <w:numPr>
                <w:ilvl w:val="0"/>
                <w:numId w:val="2042"/>
              </w:numPr>
              <w:tabs>
                <w:tab w:val="left" w:pos="157"/>
              </w:tabs>
              <w:spacing w:line="160" w:lineRule="exact"/>
              <w:ind w:right="429" w:hanging="99"/>
              <w:rPr>
                <w:sz w:val="14"/>
              </w:rPr>
            </w:pPr>
            <w:r>
              <w:rPr>
                <w:color w:val="231F20"/>
                <w:sz w:val="14"/>
              </w:rPr>
              <w:t>решава једноставне једначине</w:t>
            </w:r>
            <w:r>
              <w:rPr>
                <w:color w:val="231F20"/>
                <w:spacing w:val="-7"/>
                <w:sz w:val="14"/>
              </w:rPr>
              <w:t xml:space="preserve"> </w:t>
            </w:r>
            <w:r>
              <w:rPr>
                <w:color w:val="231F20"/>
                <w:sz w:val="14"/>
              </w:rPr>
              <w:t>са комплексним</w:t>
            </w:r>
            <w:r>
              <w:rPr>
                <w:color w:val="231F20"/>
                <w:spacing w:val="-2"/>
                <w:sz w:val="14"/>
              </w:rPr>
              <w:t xml:space="preserve"> </w:t>
            </w:r>
            <w:r>
              <w:rPr>
                <w:color w:val="231F20"/>
                <w:sz w:val="14"/>
              </w:rPr>
              <w:t>бројевима;</w:t>
            </w:r>
          </w:p>
          <w:p w:rsidR="00041039" w:rsidRDefault="001B26CB">
            <w:pPr>
              <w:pStyle w:val="TableParagraph"/>
              <w:numPr>
                <w:ilvl w:val="0"/>
                <w:numId w:val="2042"/>
              </w:numPr>
              <w:tabs>
                <w:tab w:val="left" w:pos="157"/>
              </w:tabs>
              <w:spacing w:line="160" w:lineRule="exact"/>
              <w:ind w:right="308" w:hanging="99"/>
              <w:rPr>
                <w:sz w:val="14"/>
              </w:rPr>
            </w:pPr>
            <w:r>
              <w:rPr>
                <w:color w:val="231F20"/>
                <w:sz w:val="14"/>
              </w:rPr>
              <w:t>објасни шта је дискриминанта и одреди природу решења</w:t>
            </w:r>
            <w:r>
              <w:rPr>
                <w:color w:val="231F20"/>
                <w:spacing w:val="-23"/>
                <w:sz w:val="14"/>
              </w:rPr>
              <w:t xml:space="preserve"> </w:t>
            </w:r>
            <w:r>
              <w:rPr>
                <w:color w:val="231F20"/>
                <w:sz w:val="14"/>
              </w:rPr>
              <w:t>квадратне једначине;</w:t>
            </w:r>
          </w:p>
          <w:p w:rsidR="00041039" w:rsidRDefault="001B26CB">
            <w:pPr>
              <w:pStyle w:val="TableParagraph"/>
              <w:numPr>
                <w:ilvl w:val="0"/>
                <w:numId w:val="2042"/>
              </w:numPr>
              <w:tabs>
                <w:tab w:val="left" w:pos="157"/>
              </w:tabs>
              <w:spacing w:line="153" w:lineRule="exact"/>
              <w:ind w:hanging="99"/>
              <w:rPr>
                <w:sz w:val="14"/>
              </w:rPr>
            </w:pPr>
            <w:r>
              <w:rPr>
                <w:color w:val="231F20"/>
                <w:sz w:val="14"/>
              </w:rPr>
              <w:t>решава квадратне</w:t>
            </w:r>
            <w:r>
              <w:rPr>
                <w:color w:val="231F20"/>
                <w:spacing w:val="-2"/>
                <w:sz w:val="14"/>
              </w:rPr>
              <w:t xml:space="preserve"> </w:t>
            </w:r>
            <w:r>
              <w:rPr>
                <w:color w:val="231F20"/>
                <w:sz w:val="14"/>
              </w:rPr>
              <w:t>једначине;</w:t>
            </w:r>
          </w:p>
          <w:p w:rsidR="00041039" w:rsidRDefault="001B26CB">
            <w:pPr>
              <w:pStyle w:val="TableParagraph"/>
              <w:numPr>
                <w:ilvl w:val="0"/>
                <w:numId w:val="2042"/>
              </w:numPr>
              <w:tabs>
                <w:tab w:val="left" w:pos="157"/>
              </w:tabs>
              <w:spacing w:line="237" w:lineRule="auto"/>
              <w:ind w:right="226" w:hanging="99"/>
              <w:rPr>
                <w:sz w:val="14"/>
              </w:rPr>
            </w:pPr>
            <w:r>
              <w:rPr>
                <w:color w:val="231F20"/>
                <w:sz w:val="14"/>
              </w:rPr>
              <w:t>напише Виетова правила и</w:t>
            </w:r>
            <w:r>
              <w:rPr>
                <w:color w:val="231F20"/>
                <w:spacing w:val="-23"/>
                <w:sz w:val="14"/>
              </w:rPr>
              <w:t xml:space="preserve"> </w:t>
            </w:r>
            <w:r>
              <w:rPr>
                <w:color w:val="231F20"/>
                <w:sz w:val="14"/>
              </w:rPr>
              <w:t>примени их;</w:t>
            </w:r>
          </w:p>
          <w:p w:rsidR="00041039" w:rsidRDefault="001B26CB">
            <w:pPr>
              <w:pStyle w:val="TableParagraph"/>
              <w:numPr>
                <w:ilvl w:val="0"/>
                <w:numId w:val="2042"/>
              </w:numPr>
              <w:tabs>
                <w:tab w:val="left" w:pos="157"/>
              </w:tabs>
              <w:spacing w:line="155" w:lineRule="exact"/>
              <w:ind w:hanging="99"/>
              <w:rPr>
                <w:sz w:val="14"/>
              </w:rPr>
            </w:pPr>
            <w:r>
              <w:rPr>
                <w:color w:val="231F20"/>
                <w:sz w:val="14"/>
              </w:rPr>
              <w:t>растави квадратни трином на</w:t>
            </w:r>
            <w:r>
              <w:rPr>
                <w:color w:val="231F20"/>
                <w:spacing w:val="-8"/>
                <w:sz w:val="14"/>
              </w:rPr>
              <w:t xml:space="preserve"> </w:t>
            </w:r>
            <w:r>
              <w:rPr>
                <w:color w:val="231F20"/>
                <w:sz w:val="14"/>
              </w:rPr>
              <w:t>чиниоце;</w:t>
            </w:r>
          </w:p>
          <w:p w:rsidR="00041039" w:rsidRDefault="001B26CB">
            <w:pPr>
              <w:pStyle w:val="TableParagraph"/>
              <w:numPr>
                <w:ilvl w:val="0"/>
                <w:numId w:val="2042"/>
              </w:numPr>
              <w:tabs>
                <w:tab w:val="left" w:pos="157"/>
              </w:tabs>
              <w:spacing w:line="237" w:lineRule="auto"/>
              <w:ind w:right="179" w:hanging="99"/>
              <w:rPr>
                <w:sz w:val="14"/>
              </w:rPr>
            </w:pPr>
            <w:r>
              <w:rPr>
                <w:color w:val="231F20"/>
                <w:sz w:val="14"/>
              </w:rPr>
              <w:t>реши једначине које се сменом</w:t>
            </w:r>
            <w:r>
              <w:rPr>
                <w:color w:val="231F20"/>
                <w:spacing w:val="-24"/>
                <w:sz w:val="14"/>
              </w:rPr>
              <w:t xml:space="preserve"> </w:t>
            </w:r>
            <w:r>
              <w:rPr>
                <w:color w:val="231F20"/>
                <w:sz w:val="14"/>
              </w:rPr>
              <w:t>своде на</w:t>
            </w:r>
            <w:r>
              <w:rPr>
                <w:color w:val="231F20"/>
                <w:spacing w:val="-2"/>
                <w:sz w:val="14"/>
              </w:rPr>
              <w:t xml:space="preserve"> </w:t>
            </w:r>
            <w:r>
              <w:rPr>
                <w:color w:val="231F20"/>
                <w:sz w:val="14"/>
              </w:rPr>
              <w:t>квадратне;</w:t>
            </w:r>
          </w:p>
          <w:p w:rsidR="00041039" w:rsidRDefault="001B26CB">
            <w:pPr>
              <w:pStyle w:val="TableParagraph"/>
              <w:numPr>
                <w:ilvl w:val="0"/>
                <w:numId w:val="2042"/>
              </w:numPr>
              <w:tabs>
                <w:tab w:val="left" w:pos="157"/>
              </w:tabs>
              <w:spacing w:line="160" w:lineRule="exact"/>
              <w:ind w:right="144" w:hanging="99"/>
              <w:rPr>
                <w:sz w:val="14"/>
              </w:rPr>
            </w:pPr>
            <w:r>
              <w:rPr>
                <w:color w:val="231F20"/>
                <w:sz w:val="14"/>
              </w:rPr>
              <w:t>реши систем линеарне и квадратне једначине и карактеристичне</w:t>
            </w:r>
            <w:r>
              <w:rPr>
                <w:color w:val="231F20"/>
                <w:spacing w:val="-21"/>
                <w:sz w:val="14"/>
              </w:rPr>
              <w:t xml:space="preserve"> </w:t>
            </w:r>
            <w:r>
              <w:rPr>
                <w:color w:val="231F20"/>
                <w:sz w:val="14"/>
              </w:rPr>
              <w:t>системе две квадратне</w:t>
            </w:r>
            <w:r>
              <w:rPr>
                <w:color w:val="231F20"/>
                <w:spacing w:val="-2"/>
                <w:sz w:val="14"/>
              </w:rPr>
              <w:t xml:space="preserve"> </w:t>
            </w:r>
            <w:r>
              <w:rPr>
                <w:color w:val="231F20"/>
                <w:sz w:val="14"/>
              </w:rPr>
              <w:t>једначине;</w:t>
            </w:r>
          </w:p>
          <w:p w:rsidR="00041039" w:rsidRDefault="001B26CB">
            <w:pPr>
              <w:pStyle w:val="TableParagraph"/>
              <w:numPr>
                <w:ilvl w:val="0"/>
                <w:numId w:val="2042"/>
              </w:numPr>
              <w:tabs>
                <w:tab w:val="left" w:pos="157"/>
              </w:tabs>
              <w:spacing w:line="160" w:lineRule="exact"/>
              <w:ind w:right="189" w:hanging="99"/>
              <w:rPr>
                <w:sz w:val="14"/>
              </w:rPr>
            </w:pPr>
            <w:r>
              <w:rPr>
                <w:color w:val="231F20"/>
                <w:sz w:val="14"/>
              </w:rPr>
              <w:t>разликује шест могућих типова гра­ фика квадратне функције и примени их при одређивању знака</w:t>
            </w:r>
            <w:r>
              <w:rPr>
                <w:color w:val="231F20"/>
                <w:spacing w:val="-25"/>
                <w:sz w:val="14"/>
              </w:rPr>
              <w:t xml:space="preserve"> </w:t>
            </w:r>
            <w:r>
              <w:rPr>
                <w:color w:val="231F20"/>
                <w:sz w:val="14"/>
              </w:rPr>
              <w:t xml:space="preserve">квадратног тринома </w:t>
            </w:r>
            <w:r>
              <w:rPr>
                <w:color w:val="231F20"/>
                <w:sz w:val="14"/>
              </w:rPr>
              <w:t>и решавању квадратне неједначине;</w:t>
            </w:r>
          </w:p>
          <w:p w:rsidR="00041039" w:rsidRDefault="001B26CB">
            <w:pPr>
              <w:pStyle w:val="TableParagraph"/>
              <w:numPr>
                <w:ilvl w:val="0"/>
                <w:numId w:val="2042"/>
              </w:numPr>
              <w:tabs>
                <w:tab w:val="left" w:pos="157"/>
              </w:tabs>
              <w:spacing w:line="153" w:lineRule="exact"/>
              <w:ind w:hanging="99"/>
              <w:rPr>
                <w:sz w:val="14"/>
              </w:rPr>
            </w:pPr>
            <w:r>
              <w:rPr>
                <w:color w:val="231F20"/>
                <w:sz w:val="14"/>
              </w:rPr>
              <w:t>решава квадратне</w:t>
            </w:r>
            <w:r>
              <w:rPr>
                <w:color w:val="231F20"/>
                <w:spacing w:val="-3"/>
                <w:sz w:val="14"/>
              </w:rPr>
              <w:t xml:space="preserve"> </w:t>
            </w:r>
            <w:r>
              <w:rPr>
                <w:color w:val="231F20"/>
                <w:sz w:val="14"/>
              </w:rPr>
              <w:t>неједначине;</w:t>
            </w:r>
          </w:p>
          <w:p w:rsidR="00041039" w:rsidRDefault="001B26CB">
            <w:pPr>
              <w:pStyle w:val="TableParagraph"/>
              <w:numPr>
                <w:ilvl w:val="0"/>
                <w:numId w:val="2042"/>
              </w:numPr>
              <w:tabs>
                <w:tab w:val="left" w:pos="157"/>
              </w:tabs>
              <w:spacing w:line="237" w:lineRule="auto"/>
              <w:ind w:right="454" w:hanging="99"/>
              <w:rPr>
                <w:sz w:val="14"/>
              </w:rPr>
            </w:pPr>
            <w:r>
              <w:rPr>
                <w:color w:val="231F20"/>
                <w:sz w:val="14"/>
              </w:rPr>
              <w:t>решава неједначине у којима се јављају разломци са</w:t>
            </w:r>
            <w:r>
              <w:rPr>
                <w:color w:val="231F20"/>
                <w:spacing w:val="-12"/>
                <w:sz w:val="14"/>
              </w:rPr>
              <w:t xml:space="preserve"> </w:t>
            </w:r>
            <w:r>
              <w:rPr>
                <w:color w:val="231F20"/>
                <w:sz w:val="14"/>
              </w:rPr>
              <w:t>квадратним триномима;</w:t>
            </w:r>
          </w:p>
          <w:p w:rsidR="00041039" w:rsidRDefault="001B26CB">
            <w:pPr>
              <w:pStyle w:val="TableParagraph"/>
              <w:numPr>
                <w:ilvl w:val="0"/>
                <w:numId w:val="2042"/>
              </w:numPr>
              <w:tabs>
                <w:tab w:val="left" w:pos="157"/>
              </w:tabs>
              <w:spacing w:line="237" w:lineRule="auto"/>
              <w:ind w:right="195" w:hanging="99"/>
              <w:rPr>
                <w:sz w:val="14"/>
              </w:rPr>
            </w:pPr>
            <w:r>
              <w:rPr>
                <w:color w:val="231F20"/>
                <w:sz w:val="14"/>
              </w:rPr>
              <w:t>нацрта график квадратне функције</w:t>
            </w:r>
            <w:r>
              <w:rPr>
                <w:color w:val="231F20"/>
                <w:spacing w:val="-20"/>
                <w:sz w:val="14"/>
              </w:rPr>
              <w:t xml:space="preserve"> </w:t>
            </w:r>
            <w:r>
              <w:rPr>
                <w:color w:val="231F20"/>
                <w:sz w:val="14"/>
              </w:rPr>
              <w:t>и опише њене</w:t>
            </w:r>
            <w:r>
              <w:rPr>
                <w:color w:val="231F20"/>
                <w:spacing w:val="-1"/>
                <w:sz w:val="14"/>
              </w:rPr>
              <w:t xml:space="preserve"> </w:t>
            </w:r>
            <w:r>
              <w:rPr>
                <w:color w:val="231F20"/>
                <w:sz w:val="14"/>
              </w:rPr>
              <w:t>особине;</w:t>
            </w:r>
          </w:p>
          <w:p w:rsidR="00041039" w:rsidRDefault="001B26CB">
            <w:pPr>
              <w:pStyle w:val="TableParagraph"/>
              <w:numPr>
                <w:ilvl w:val="0"/>
                <w:numId w:val="2042"/>
              </w:numPr>
              <w:tabs>
                <w:tab w:val="left" w:pos="157"/>
              </w:tabs>
              <w:spacing w:line="155" w:lineRule="exact"/>
              <w:ind w:hanging="99"/>
              <w:rPr>
                <w:sz w:val="14"/>
              </w:rPr>
            </w:pPr>
            <w:r>
              <w:rPr>
                <w:color w:val="231F20"/>
                <w:sz w:val="14"/>
              </w:rPr>
              <w:t>одреди теме квадратне</w:t>
            </w:r>
            <w:r>
              <w:rPr>
                <w:color w:val="231F20"/>
                <w:spacing w:val="-5"/>
                <w:sz w:val="14"/>
              </w:rPr>
              <w:t xml:space="preserve"> </w:t>
            </w:r>
            <w:r>
              <w:rPr>
                <w:color w:val="231F20"/>
                <w:sz w:val="14"/>
              </w:rPr>
              <w:t>функције;</w:t>
            </w:r>
          </w:p>
          <w:p w:rsidR="00041039" w:rsidRDefault="001B26CB">
            <w:pPr>
              <w:pStyle w:val="TableParagraph"/>
              <w:numPr>
                <w:ilvl w:val="0"/>
                <w:numId w:val="2042"/>
              </w:numPr>
              <w:tabs>
                <w:tab w:val="left" w:pos="157"/>
              </w:tabs>
              <w:spacing w:line="166" w:lineRule="exact"/>
              <w:ind w:hanging="99"/>
              <w:rPr>
                <w:sz w:val="14"/>
              </w:rPr>
            </w:pPr>
            <w:r>
              <w:rPr>
                <w:color w:val="231F20"/>
                <w:sz w:val="14"/>
              </w:rPr>
              <w:t>решава ирационалне</w:t>
            </w:r>
            <w:r>
              <w:rPr>
                <w:color w:val="231F20"/>
                <w:spacing w:val="-4"/>
                <w:sz w:val="14"/>
              </w:rPr>
              <w:t xml:space="preserve"> </w:t>
            </w:r>
            <w:r>
              <w:rPr>
                <w:color w:val="231F20"/>
                <w:sz w:val="14"/>
              </w:rPr>
              <w:t>једначине;</w:t>
            </w:r>
          </w:p>
        </w:tc>
        <w:tc>
          <w:tcPr>
            <w:tcW w:w="2834" w:type="dxa"/>
          </w:tcPr>
          <w:p w:rsidR="00041039" w:rsidRDefault="001B26CB">
            <w:pPr>
              <w:pStyle w:val="TableParagraph"/>
              <w:numPr>
                <w:ilvl w:val="0"/>
                <w:numId w:val="2041"/>
              </w:numPr>
              <w:tabs>
                <w:tab w:val="left" w:pos="157"/>
              </w:tabs>
              <w:spacing w:before="9"/>
              <w:ind w:right="336" w:hanging="99"/>
              <w:rPr>
                <w:sz w:val="14"/>
              </w:rPr>
            </w:pPr>
            <w:r>
              <w:rPr>
                <w:color w:val="231F20"/>
                <w:sz w:val="14"/>
              </w:rPr>
              <w:t>Алгебарски облик комплексног броја</w:t>
            </w:r>
            <w:r>
              <w:rPr>
                <w:color w:val="231F20"/>
                <w:spacing w:val="-24"/>
                <w:sz w:val="14"/>
              </w:rPr>
              <w:t xml:space="preserve"> </w:t>
            </w:r>
            <w:r>
              <w:rPr>
                <w:color w:val="231F20"/>
                <w:sz w:val="14"/>
              </w:rPr>
              <w:t>и основне операције.</w:t>
            </w:r>
          </w:p>
          <w:p w:rsidR="00041039" w:rsidRDefault="001B26CB">
            <w:pPr>
              <w:pStyle w:val="TableParagraph"/>
              <w:numPr>
                <w:ilvl w:val="0"/>
                <w:numId w:val="2041"/>
              </w:numPr>
              <w:tabs>
                <w:tab w:val="left" w:pos="157"/>
              </w:tabs>
              <w:spacing w:line="153" w:lineRule="exact"/>
              <w:ind w:hanging="99"/>
              <w:rPr>
                <w:sz w:val="14"/>
              </w:rPr>
            </w:pPr>
            <w:r>
              <w:rPr>
                <w:color w:val="231F20"/>
                <w:sz w:val="14"/>
              </w:rPr>
              <w:t>Комплексна</w:t>
            </w:r>
            <w:r>
              <w:rPr>
                <w:color w:val="231F20"/>
                <w:spacing w:val="-1"/>
                <w:sz w:val="14"/>
              </w:rPr>
              <w:t xml:space="preserve"> </w:t>
            </w:r>
            <w:r>
              <w:rPr>
                <w:color w:val="231F20"/>
                <w:sz w:val="14"/>
              </w:rPr>
              <w:t>раван.</w:t>
            </w:r>
          </w:p>
          <w:p w:rsidR="00041039" w:rsidRDefault="001B26CB">
            <w:pPr>
              <w:pStyle w:val="TableParagraph"/>
              <w:numPr>
                <w:ilvl w:val="0"/>
                <w:numId w:val="2041"/>
              </w:numPr>
              <w:tabs>
                <w:tab w:val="left" w:pos="157"/>
              </w:tabs>
              <w:spacing w:line="160" w:lineRule="exact"/>
              <w:ind w:hanging="99"/>
              <w:rPr>
                <w:sz w:val="14"/>
              </w:rPr>
            </w:pPr>
            <w:r>
              <w:rPr>
                <w:color w:val="231F20"/>
                <w:sz w:val="14"/>
              </w:rPr>
              <w:t>Једначине са комплексним</w:t>
            </w:r>
            <w:r>
              <w:rPr>
                <w:color w:val="231F20"/>
                <w:spacing w:val="-5"/>
                <w:sz w:val="14"/>
              </w:rPr>
              <w:t xml:space="preserve"> </w:t>
            </w:r>
            <w:r>
              <w:rPr>
                <w:color w:val="231F20"/>
                <w:sz w:val="14"/>
              </w:rPr>
              <w:t>бројевима.</w:t>
            </w:r>
          </w:p>
          <w:p w:rsidR="00041039" w:rsidRDefault="001B26CB">
            <w:pPr>
              <w:pStyle w:val="TableParagraph"/>
              <w:numPr>
                <w:ilvl w:val="0"/>
                <w:numId w:val="2041"/>
              </w:numPr>
              <w:tabs>
                <w:tab w:val="left" w:pos="157"/>
              </w:tabs>
              <w:spacing w:line="160" w:lineRule="exact"/>
              <w:ind w:hanging="99"/>
              <w:rPr>
                <w:sz w:val="14"/>
              </w:rPr>
            </w:pPr>
            <w:r>
              <w:rPr>
                <w:color w:val="231F20"/>
                <w:sz w:val="14"/>
              </w:rPr>
              <w:t>Квадратна</w:t>
            </w:r>
            <w:r>
              <w:rPr>
                <w:color w:val="231F20"/>
                <w:spacing w:val="-1"/>
                <w:sz w:val="14"/>
              </w:rPr>
              <w:t xml:space="preserve"> </w:t>
            </w:r>
            <w:r>
              <w:rPr>
                <w:color w:val="231F20"/>
                <w:sz w:val="14"/>
              </w:rPr>
              <w:t>једначина.</w:t>
            </w:r>
          </w:p>
          <w:p w:rsidR="00041039" w:rsidRDefault="001B26CB">
            <w:pPr>
              <w:pStyle w:val="TableParagraph"/>
              <w:numPr>
                <w:ilvl w:val="0"/>
                <w:numId w:val="2041"/>
              </w:numPr>
              <w:tabs>
                <w:tab w:val="left" w:pos="157"/>
              </w:tabs>
              <w:spacing w:line="237" w:lineRule="auto"/>
              <w:ind w:right="544" w:hanging="99"/>
              <w:rPr>
                <w:sz w:val="14"/>
              </w:rPr>
            </w:pPr>
            <w:r>
              <w:rPr>
                <w:color w:val="231F20"/>
                <w:sz w:val="14"/>
              </w:rPr>
              <w:t>Растављање квадратног тринома</w:t>
            </w:r>
            <w:r>
              <w:rPr>
                <w:color w:val="231F20"/>
                <w:spacing w:val="-15"/>
                <w:sz w:val="14"/>
              </w:rPr>
              <w:t xml:space="preserve"> </w:t>
            </w:r>
            <w:r>
              <w:rPr>
                <w:color w:val="231F20"/>
                <w:sz w:val="14"/>
              </w:rPr>
              <w:t>на чиниоце.</w:t>
            </w:r>
          </w:p>
          <w:p w:rsidR="00041039" w:rsidRDefault="001B26CB">
            <w:pPr>
              <w:pStyle w:val="TableParagraph"/>
              <w:numPr>
                <w:ilvl w:val="0"/>
                <w:numId w:val="2041"/>
              </w:numPr>
              <w:tabs>
                <w:tab w:val="left" w:pos="157"/>
              </w:tabs>
              <w:spacing w:line="155" w:lineRule="exact"/>
              <w:ind w:hanging="99"/>
              <w:rPr>
                <w:sz w:val="14"/>
              </w:rPr>
            </w:pPr>
            <w:r>
              <w:rPr>
                <w:color w:val="231F20"/>
                <w:sz w:val="14"/>
              </w:rPr>
              <w:t>Природа решења квадратне</w:t>
            </w:r>
            <w:r>
              <w:rPr>
                <w:color w:val="231F20"/>
                <w:spacing w:val="-6"/>
                <w:sz w:val="14"/>
              </w:rPr>
              <w:t xml:space="preserve"> </w:t>
            </w:r>
            <w:r>
              <w:rPr>
                <w:color w:val="231F20"/>
                <w:sz w:val="14"/>
              </w:rPr>
              <w:t>једначине.</w:t>
            </w:r>
          </w:p>
          <w:p w:rsidR="00041039" w:rsidRDefault="001B26CB">
            <w:pPr>
              <w:pStyle w:val="TableParagraph"/>
              <w:numPr>
                <w:ilvl w:val="0"/>
                <w:numId w:val="2041"/>
              </w:numPr>
              <w:tabs>
                <w:tab w:val="left" w:pos="157"/>
              </w:tabs>
              <w:spacing w:line="160" w:lineRule="exact"/>
              <w:ind w:hanging="99"/>
              <w:rPr>
                <w:sz w:val="14"/>
              </w:rPr>
            </w:pPr>
            <w:r>
              <w:rPr>
                <w:color w:val="231F20"/>
                <w:sz w:val="14"/>
              </w:rPr>
              <w:t>Вијетове</w:t>
            </w:r>
            <w:r>
              <w:rPr>
                <w:color w:val="231F20"/>
                <w:spacing w:val="-1"/>
                <w:sz w:val="14"/>
              </w:rPr>
              <w:t xml:space="preserve"> </w:t>
            </w:r>
            <w:r>
              <w:rPr>
                <w:color w:val="231F20"/>
                <w:sz w:val="14"/>
              </w:rPr>
              <w:t>везе.</w:t>
            </w:r>
          </w:p>
          <w:p w:rsidR="00041039" w:rsidRDefault="001B26CB">
            <w:pPr>
              <w:pStyle w:val="TableParagraph"/>
              <w:numPr>
                <w:ilvl w:val="0"/>
                <w:numId w:val="2041"/>
              </w:numPr>
              <w:tabs>
                <w:tab w:val="left" w:pos="157"/>
              </w:tabs>
              <w:spacing w:line="160" w:lineRule="exact"/>
              <w:ind w:hanging="99"/>
              <w:rPr>
                <w:sz w:val="14"/>
              </w:rPr>
            </w:pPr>
            <w:r>
              <w:rPr>
                <w:color w:val="231F20"/>
                <w:sz w:val="14"/>
              </w:rPr>
              <w:t>Квадратне</w:t>
            </w:r>
            <w:r>
              <w:rPr>
                <w:color w:val="231F20"/>
                <w:spacing w:val="-1"/>
                <w:sz w:val="14"/>
              </w:rPr>
              <w:t xml:space="preserve"> </w:t>
            </w:r>
            <w:r>
              <w:rPr>
                <w:color w:val="231F20"/>
                <w:sz w:val="14"/>
              </w:rPr>
              <w:t>неједначине.</w:t>
            </w:r>
          </w:p>
          <w:p w:rsidR="00041039" w:rsidRDefault="001B26CB">
            <w:pPr>
              <w:pStyle w:val="TableParagraph"/>
              <w:numPr>
                <w:ilvl w:val="0"/>
                <w:numId w:val="2041"/>
              </w:numPr>
              <w:tabs>
                <w:tab w:val="left" w:pos="157"/>
              </w:tabs>
              <w:spacing w:line="160" w:lineRule="exact"/>
              <w:ind w:hanging="99"/>
              <w:rPr>
                <w:sz w:val="14"/>
              </w:rPr>
            </w:pPr>
            <w:r>
              <w:rPr>
                <w:color w:val="231F20"/>
                <w:sz w:val="14"/>
              </w:rPr>
              <w:t>Квадратна функција­график и</w:t>
            </w:r>
            <w:r>
              <w:rPr>
                <w:color w:val="231F20"/>
                <w:spacing w:val="-6"/>
                <w:sz w:val="14"/>
              </w:rPr>
              <w:t xml:space="preserve"> </w:t>
            </w:r>
            <w:r>
              <w:rPr>
                <w:color w:val="231F20"/>
                <w:sz w:val="14"/>
              </w:rPr>
              <w:t>особине.</w:t>
            </w:r>
          </w:p>
          <w:p w:rsidR="00041039" w:rsidRDefault="001B26CB">
            <w:pPr>
              <w:pStyle w:val="TableParagraph"/>
              <w:numPr>
                <w:ilvl w:val="0"/>
                <w:numId w:val="2041"/>
              </w:numPr>
              <w:tabs>
                <w:tab w:val="left" w:pos="157"/>
              </w:tabs>
              <w:spacing w:line="160" w:lineRule="exact"/>
              <w:ind w:hanging="99"/>
              <w:rPr>
                <w:sz w:val="14"/>
              </w:rPr>
            </w:pPr>
            <w:r>
              <w:rPr>
                <w:color w:val="231F20"/>
                <w:sz w:val="14"/>
              </w:rPr>
              <w:t>Биквадратна</w:t>
            </w:r>
            <w:r>
              <w:rPr>
                <w:color w:val="231F20"/>
                <w:spacing w:val="-1"/>
                <w:sz w:val="14"/>
              </w:rPr>
              <w:t xml:space="preserve"> </w:t>
            </w:r>
            <w:r>
              <w:rPr>
                <w:color w:val="231F20"/>
                <w:sz w:val="14"/>
              </w:rPr>
              <w:t>једначина.</w:t>
            </w:r>
          </w:p>
          <w:p w:rsidR="00041039" w:rsidRDefault="001B26CB">
            <w:pPr>
              <w:pStyle w:val="TableParagraph"/>
              <w:numPr>
                <w:ilvl w:val="0"/>
                <w:numId w:val="2041"/>
              </w:numPr>
              <w:tabs>
                <w:tab w:val="left" w:pos="157"/>
              </w:tabs>
              <w:spacing w:line="237" w:lineRule="auto"/>
              <w:ind w:right="348" w:hanging="99"/>
              <w:rPr>
                <w:sz w:val="14"/>
              </w:rPr>
            </w:pPr>
            <w:r>
              <w:rPr>
                <w:color w:val="231F20"/>
                <w:sz w:val="14"/>
              </w:rPr>
              <w:t>Једначине</w:t>
            </w:r>
            <w:r>
              <w:rPr>
                <w:color w:val="231F20"/>
                <w:spacing w:val="-5"/>
                <w:sz w:val="14"/>
              </w:rPr>
              <w:t xml:space="preserve"> </w:t>
            </w:r>
            <w:r>
              <w:rPr>
                <w:color w:val="231F20"/>
                <w:sz w:val="14"/>
              </w:rPr>
              <w:t>које</w:t>
            </w:r>
            <w:r>
              <w:rPr>
                <w:color w:val="231F20"/>
                <w:spacing w:val="-5"/>
                <w:sz w:val="14"/>
              </w:rPr>
              <w:t xml:space="preserve"> </w:t>
            </w:r>
            <w:r>
              <w:rPr>
                <w:color w:val="231F20"/>
                <w:sz w:val="14"/>
              </w:rPr>
              <w:t>се</w:t>
            </w:r>
            <w:r>
              <w:rPr>
                <w:color w:val="231F20"/>
                <w:spacing w:val="-5"/>
                <w:sz w:val="14"/>
              </w:rPr>
              <w:t xml:space="preserve"> </w:t>
            </w:r>
            <w:r>
              <w:rPr>
                <w:color w:val="231F20"/>
                <w:sz w:val="14"/>
              </w:rPr>
              <w:t>сменом</w:t>
            </w:r>
            <w:r>
              <w:rPr>
                <w:color w:val="231F20"/>
                <w:spacing w:val="-5"/>
                <w:sz w:val="14"/>
              </w:rPr>
              <w:t xml:space="preserve"> </w:t>
            </w:r>
            <w:r>
              <w:rPr>
                <w:color w:val="231F20"/>
                <w:sz w:val="14"/>
              </w:rPr>
              <w:t>своде</w:t>
            </w:r>
            <w:r>
              <w:rPr>
                <w:color w:val="231F20"/>
                <w:spacing w:val="-5"/>
                <w:sz w:val="14"/>
              </w:rPr>
              <w:t xml:space="preserve"> </w:t>
            </w:r>
            <w:r>
              <w:rPr>
                <w:color w:val="231F20"/>
                <w:sz w:val="14"/>
              </w:rPr>
              <w:t>на</w:t>
            </w:r>
            <w:r>
              <w:rPr>
                <w:color w:val="231F20"/>
                <w:spacing w:val="-6"/>
                <w:sz w:val="14"/>
              </w:rPr>
              <w:t xml:space="preserve"> </w:t>
            </w:r>
            <w:r>
              <w:rPr>
                <w:color w:val="231F20"/>
                <w:sz w:val="14"/>
              </w:rPr>
              <w:t>ква­ дратне.</w:t>
            </w:r>
          </w:p>
          <w:p w:rsidR="00041039" w:rsidRDefault="001B26CB">
            <w:pPr>
              <w:pStyle w:val="TableParagraph"/>
              <w:numPr>
                <w:ilvl w:val="0"/>
                <w:numId w:val="2041"/>
              </w:numPr>
              <w:tabs>
                <w:tab w:val="left" w:pos="157"/>
              </w:tabs>
              <w:spacing w:line="155" w:lineRule="exact"/>
              <w:ind w:hanging="99"/>
              <w:rPr>
                <w:sz w:val="14"/>
              </w:rPr>
            </w:pPr>
            <w:r>
              <w:rPr>
                <w:color w:val="231F20"/>
                <w:sz w:val="14"/>
              </w:rPr>
              <w:t>Систем квадратних</w:t>
            </w:r>
            <w:r>
              <w:rPr>
                <w:color w:val="231F20"/>
                <w:spacing w:val="-2"/>
                <w:sz w:val="14"/>
              </w:rPr>
              <w:t xml:space="preserve"> </w:t>
            </w:r>
            <w:r>
              <w:rPr>
                <w:color w:val="231F20"/>
                <w:sz w:val="14"/>
              </w:rPr>
              <w:t>једначина.</w:t>
            </w:r>
          </w:p>
          <w:p w:rsidR="00041039" w:rsidRDefault="001B26CB">
            <w:pPr>
              <w:pStyle w:val="TableParagraph"/>
              <w:numPr>
                <w:ilvl w:val="0"/>
                <w:numId w:val="2041"/>
              </w:numPr>
              <w:tabs>
                <w:tab w:val="left" w:pos="157"/>
              </w:tabs>
              <w:spacing w:line="166" w:lineRule="exact"/>
              <w:ind w:hanging="99"/>
              <w:rPr>
                <w:sz w:val="14"/>
              </w:rPr>
            </w:pPr>
            <w:r>
              <w:rPr>
                <w:color w:val="231F20"/>
                <w:sz w:val="14"/>
              </w:rPr>
              <w:t>Ирационалне једначине и</w:t>
            </w:r>
            <w:r>
              <w:rPr>
                <w:color w:val="231F20"/>
                <w:spacing w:val="-8"/>
                <w:sz w:val="14"/>
              </w:rPr>
              <w:t xml:space="preserve"> </w:t>
            </w:r>
            <w:r>
              <w:rPr>
                <w:color w:val="231F20"/>
                <w:sz w:val="14"/>
              </w:rPr>
              <w:t>неједначине.</w:t>
            </w:r>
          </w:p>
        </w:tc>
        <w:tc>
          <w:tcPr>
            <w:tcW w:w="2267" w:type="dxa"/>
            <w:vMerge w:val="restart"/>
          </w:tcPr>
          <w:p w:rsidR="00041039" w:rsidRDefault="001B26CB">
            <w:pPr>
              <w:pStyle w:val="TableParagraph"/>
              <w:numPr>
                <w:ilvl w:val="0"/>
                <w:numId w:val="2040"/>
              </w:numPr>
              <w:tabs>
                <w:tab w:val="left" w:pos="143"/>
              </w:tabs>
              <w:spacing w:before="17"/>
              <w:ind w:right="71"/>
              <w:rPr>
                <w:sz w:val="14"/>
              </w:rPr>
            </w:pPr>
            <w:r>
              <w:rPr>
                <w:b/>
                <w:color w:val="231F20"/>
                <w:sz w:val="14"/>
              </w:rPr>
              <w:t xml:space="preserve">Степеновање и кореновање: </w:t>
            </w:r>
            <w:r>
              <w:rPr>
                <w:color w:val="231F20"/>
                <w:sz w:val="14"/>
              </w:rPr>
              <w:t>пажљиво увежбати најважнија правила степеновања и коре­ новања, упрошћавање корена и рационалисање; почети са систе­ матизацијом основних својстава функције на примерима степене функције; увежбати основне опе­ рације са комплексним</w:t>
            </w:r>
            <w:r>
              <w:rPr>
                <w:color w:val="231F20"/>
                <w:spacing w:val="-15"/>
                <w:sz w:val="14"/>
              </w:rPr>
              <w:t xml:space="preserve"> </w:t>
            </w:r>
            <w:r>
              <w:rPr>
                <w:color w:val="231F20"/>
                <w:sz w:val="14"/>
              </w:rPr>
              <w:t>бројевима.</w:t>
            </w:r>
          </w:p>
          <w:p w:rsidR="00041039" w:rsidRDefault="001B26CB">
            <w:pPr>
              <w:pStyle w:val="TableParagraph"/>
              <w:numPr>
                <w:ilvl w:val="0"/>
                <w:numId w:val="2040"/>
              </w:numPr>
              <w:tabs>
                <w:tab w:val="left" w:pos="143"/>
              </w:tabs>
              <w:spacing w:line="237" w:lineRule="auto"/>
              <w:ind w:right="167"/>
              <w:rPr>
                <w:sz w:val="14"/>
              </w:rPr>
            </w:pPr>
            <w:r>
              <w:rPr>
                <w:b/>
                <w:color w:val="231F20"/>
                <w:sz w:val="14"/>
              </w:rPr>
              <w:t xml:space="preserve">Квадратна једначина и ква- дратна функција: </w:t>
            </w:r>
            <w:r>
              <w:rPr>
                <w:color w:val="231F20"/>
                <w:sz w:val="14"/>
              </w:rPr>
              <w:t>проћи кроз разне облике једначина које се сведена квадратну, укључујући и ирационалне, увежбати рас­ тављање квадратног тринома и Вијетове везе, користити</w:t>
            </w:r>
            <w:r>
              <w:rPr>
                <w:color w:val="231F20"/>
                <w:spacing w:val="-18"/>
                <w:sz w:val="14"/>
              </w:rPr>
              <w:t xml:space="preserve"> </w:t>
            </w:r>
            <w:r>
              <w:rPr>
                <w:color w:val="231F20"/>
                <w:sz w:val="14"/>
              </w:rPr>
              <w:t>график квадратне функције у решавању неједначина.</w:t>
            </w:r>
          </w:p>
          <w:p w:rsidR="00041039" w:rsidRDefault="001B26CB">
            <w:pPr>
              <w:pStyle w:val="TableParagraph"/>
              <w:numPr>
                <w:ilvl w:val="0"/>
                <w:numId w:val="2040"/>
              </w:numPr>
              <w:tabs>
                <w:tab w:val="left" w:pos="143"/>
              </w:tabs>
              <w:ind w:right="46"/>
              <w:rPr>
                <w:sz w:val="14"/>
              </w:rPr>
            </w:pPr>
            <w:r>
              <w:rPr>
                <w:b/>
                <w:color w:val="231F20"/>
                <w:sz w:val="14"/>
              </w:rPr>
              <w:t>Тригоно</w:t>
            </w:r>
            <w:r>
              <w:rPr>
                <w:b/>
                <w:color w:val="231F20"/>
                <w:sz w:val="14"/>
              </w:rPr>
              <w:t>метријске функције:</w:t>
            </w:r>
            <w:r>
              <w:rPr>
                <w:b/>
                <w:color w:val="231F20"/>
                <w:spacing w:val="-26"/>
                <w:sz w:val="14"/>
              </w:rPr>
              <w:t xml:space="preserve"> </w:t>
            </w:r>
            <w:r>
              <w:rPr>
                <w:color w:val="231F20"/>
                <w:sz w:val="14"/>
              </w:rPr>
              <w:t>ин­ систирати на тригонометријском кругу и употреби симетрије при свођењу на први квадрант; увеж­ бавати теореме и идентитете кроз што бројније примене; посветити пажњу решавању тригономет­ ријских једначина и једноставних неједначина и</w:t>
            </w:r>
            <w:r>
              <w:rPr>
                <w:color w:val="231F20"/>
                <w:sz w:val="14"/>
              </w:rPr>
              <w:t xml:space="preserve"> користити ова знања при одређивању графика тригонометријских функција; ис­ тицати особине функција кад </w:t>
            </w:r>
            <w:r>
              <w:rPr>
                <w:color w:val="231F20"/>
                <w:spacing w:val="-3"/>
                <w:sz w:val="14"/>
              </w:rPr>
              <w:t xml:space="preserve">год </w:t>
            </w:r>
            <w:r>
              <w:rPr>
                <w:color w:val="231F20"/>
                <w:sz w:val="14"/>
              </w:rPr>
              <w:t>је могуће. Проширити употребу синусне и косинусне теореме на што већи део</w:t>
            </w:r>
            <w:r>
              <w:rPr>
                <w:color w:val="231F20"/>
                <w:spacing w:val="-3"/>
                <w:sz w:val="14"/>
              </w:rPr>
              <w:t xml:space="preserve"> </w:t>
            </w:r>
            <w:r>
              <w:rPr>
                <w:color w:val="231F20"/>
                <w:sz w:val="14"/>
              </w:rPr>
              <w:t>планиметрије.</w:t>
            </w:r>
          </w:p>
          <w:p w:rsidR="00041039" w:rsidRDefault="001B26CB">
            <w:pPr>
              <w:pStyle w:val="TableParagraph"/>
              <w:numPr>
                <w:ilvl w:val="0"/>
                <w:numId w:val="2040"/>
              </w:numPr>
              <w:tabs>
                <w:tab w:val="left" w:pos="143"/>
              </w:tabs>
              <w:spacing w:line="146" w:lineRule="exact"/>
              <w:rPr>
                <w:b/>
                <w:sz w:val="14"/>
              </w:rPr>
            </w:pPr>
            <w:r>
              <w:rPr>
                <w:b/>
                <w:color w:val="231F20"/>
                <w:sz w:val="14"/>
              </w:rPr>
              <w:t>Експоненцијална и</w:t>
            </w:r>
            <w:r>
              <w:rPr>
                <w:b/>
                <w:color w:val="231F20"/>
                <w:spacing w:val="-6"/>
                <w:sz w:val="14"/>
              </w:rPr>
              <w:t xml:space="preserve"> </w:t>
            </w:r>
            <w:r>
              <w:rPr>
                <w:b/>
                <w:color w:val="231F20"/>
                <w:sz w:val="14"/>
              </w:rPr>
              <w:t>логаритам-</w:t>
            </w:r>
          </w:p>
          <w:p w:rsidR="00041039" w:rsidRDefault="001B26CB">
            <w:pPr>
              <w:pStyle w:val="TableParagraph"/>
              <w:ind w:left="142"/>
              <w:rPr>
                <w:sz w:val="14"/>
              </w:rPr>
            </w:pPr>
            <w:r>
              <w:rPr>
                <w:b/>
                <w:color w:val="231F20"/>
                <w:sz w:val="14"/>
              </w:rPr>
              <w:t xml:space="preserve">ска функција: </w:t>
            </w:r>
            <w:r>
              <w:rPr>
                <w:color w:val="231F20"/>
                <w:sz w:val="14"/>
              </w:rPr>
              <w:t>поновити својства</w:t>
            </w:r>
            <w:r>
              <w:rPr>
                <w:color w:val="231F20"/>
                <w:sz w:val="14"/>
              </w:rPr>
              <w:t xml:space="preserve"> функција и на овим примери­</w:t>
            </w:r>
          </w:p>
          <w:p w:rsidR="00041039" w:rsidRDefault="001B26CB">
            <w:pPr>
              <w:pStyle w:val="TableParagraph"/>
              <w:ind w:left="142" w:right="385"/>
              <w:jc w:val="both"/>
              <w:rPr>
                <w:sz w:val="14"/>
              </w:rPr>
            </w:pPr>
            <w:r>
              <w:rPr>
                <w:color w:val="231F20"/>
                <w:sz w:val="14"/>
              </w:rPr>
              <w:t>ма, увежбати</w:t>
            </w:r>
            <w:r>
              <w:rPr>
                <w:color w:val="231F20"/>
                <w:spacing w:val="-17"/>
                <w:sz w:val="14"/>
              </w:rPr>
              <w:t xml:space="preserve"> </w:t>
            </w:r>
            <w:r>
              <w:rPr>
                <w:color w:val="231F20"/>
                <w:sz w:val="14"/>
              </w:rPr>
              <w:t>логаритмовање и повећати фонд једначина</w:t>
            </w:r>
            <w:r>
              <w:rPr>
                <w:color w:val="231F20"/>
                <w:spacing w:val="-16"/>
                <w:sz w:val="14"/>
              </w:rPr>
              <w:t xml:space="preserve"> </w:t>
            </w:r>
            <w:r>
              <w:rPr>
                <w:color w:val="231F20"/>
                <w:sz w:val="14"/>
              </w:rPr>
              <w:t>и неједначина.</w:t>
            </w:r>
          </w:p>
          <w:p w:rsidR="00041039" w:rsidRDefault="00041039">
            <w:pPr>
              <w:pStyle w:val="TableParagraph"/>
              <w:spacing w:before="2"/>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039"/>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2039"/>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теми</w:t>
            </w:r>
          </w:p>
          <w:p w:rsidR="00041039" w:rsidRDefault="001B26CB">
            <w:pPr>
              <w:pStyle w:val="TableParagraph"/>
              <w:numPr>
                <w:ilvl w:val="0"/>
                <w:numId w:val="2039"/>
              </w:numPr>
              <w:tabs>
                <w:tab w:val="left" w:pos="158"/>
              </w:tabs>
              <w:spacing w:line="237" w:lineRule="auto"/>
              <w:ind w:right="246" w:hanging="99"/>
              <w:rPr>
                <w:b/>
                <w:sz w:val="14"/>
              </w:rPr>
            </w:pPr>
            <w:r>
              <w:rPr>
                <w:color w:val="231F20"/>
                <w:sz w:val="14"/>
              </w:rPr>
              <w:t>Степеновање и кореновање</w:t>
            </w:r>
            <w:r>
              <w:rPr>
                <w:color w:val="231F20"/>
                <w:spacing w:val="-15"/>
                <w:sz w:val="14"/>
              </w:rPr>
              <w:t xml:space="preserve"> </w:t>
            </w:r>
            <w:r>
              <w:rPr>
                <w:b/>
                <w:color w:val="231F20"/>
                <w:sz w:val="14"/>
              </w:rPr>
              <w:t>(35 часова)</w:t>
            </w:r>
          </w:p>
          <w:p w:rsidR="00041039" w:rsidRDefault="001B26CB">
            <w:pPr>
              <w:pStyle w:val="TableParagraph"/>
              <w:numPr>
                <w:ilvl w:val="0"/>
                <w:numId w:val="2039"/>
              </w:numPr>
              <w:tabs>
                <w:tab w:val="left" w:pos="158"/>
              </w:tabs>
              <w:spacing w:line="160" w:lineRule="exact"/>
              <w:ind w:right="122" w:hanging="99"/>
              <w:rPr>
                <w:b/>
                <w:sz w:val="14"/>
              </w:rPr>
            </w:pPr>
            <w:r>
              <w:rPr>
                <w:color w:val="231F20"/>
                <w:sz w:val="14"/>
              </w:rPr>
              <w:t>Квадратна једначина и</w:t>
            </w:r>
            <w:r>
              <w:rPr>
                <w:color w:val="231F20"/>
                <w:spacing w:val="-24"/>
                <w:sz w:val="14"/>
              </w:rPr>
              <w:t xml:space="preserve"> </w:t>
            </w:r>
            <w:r>
              <w:rPr>
                <w:color w:val="231F20"/>
                <w:sz w:val="14"/>
              </w:rPr>
              <w:t xml:space="preserve">квадратна функција </w:t>
            </w:r>
            <w:r>
              <w:rPr>
                <w:b/>
                <w:color w:val="231F20"/>
                <w:sz w:val="14"/>
              </w:rPr>
              <w:t>(46</w:t>
            </w:r>
            <w:r>
              <w:rPr>
                <w:b/>
                <w:color w:val="231F20"/>
                <w:spacing w:val="-1"/>
                <w:sz w:val="14"/>
              </w:rPr>
              <w:t xml:space="preserve"> </w:t>
            </w:r>
            <w:r>
              <w:rPr>
                <w:b/>
                <w:color w:val="231F20"/>
                <w:sz w:val="14"/>
              </w:rPr>
              <w:t>часова)</w:t>
            </w:r>
          </w:p>
          <w:p w:rsidR="00041039" w:rsidRDefault="001B26CB">
            <w:pPr>
              <w:pStyle w:val="TableParagraph"/>
              <w:numPr>
                <w:ilvl w:val="0"/>
                <w:numId w:val="2039"/>
              </w:numPr>
              <w:tabs>
                <w:tab w:val="left" w:pos="158"/>
              </w:tabs>
              <w:spacing w:line="160" w:lineRule="exact"/>
              <w:ind w:right="116" w:hanging="99"/>
              <w:rPr>
                <w:b/>
                <w:sz w:val="14"/>
              </w:rPr>
            </w:pPr>
            <w:r>
              <w:rPr>
                <w:color w:val="231F20"/>
                <w:sz w:val="14"/>
              </w:rPr>
              <w:t>Експоненцијална и</w:t>
            </w:r>
            <w:r>
              <w:rPr>
                <w:color w:val="231F20"/>
                <w:spacing w:val="-13"/>
                <w:sz w:val="14"/>
              </w:rPr>
              <w:t xml:space="preserve"> </w:t>
            </w:r>
            <w:r>
              <w:rPr>
                <w:color w:val="231F20"/>
                <w:sz w:val="14"/>
              </w:rPr>
              <w:t xml:space="preserve">логаритамска функција </w:t>
            </w:r>
            <w:r>
              <w:rPr>
                <w:b/>
                <w:color w:val="231F20"/>
                <w:sz w:val="14"/>
              </w:rPr>
              <w:t>(30</w:t>
            </w:r>
            <w:r>
              <w:rPr>
                <w:b/>
                <w:color w:val="231F20"/>
                <w:spacing w:val="-1"/>
                <w:sz w:val="14"/>
              </w:rPr>
              <w:t xml:space="preserve"> </w:t>
            </w:r>
            <w:r>
              <w:rPr>
                <w:b/>
                <w:color w:val="231F20"/>
                <w:sz w:val="14"/>
              </w:rPr>
              <w:t>часова)</w:t>
            </w:r>
          </w:p>
          <w:p w:rsidR="00041039" w:rsidRDefault="001B26CB">
            <w:pPr>
              <w:pStyle w:val="TableParagraph"/>
              <w:numPr>
                <w:ilvl w:val="0"/>
                <w:numId w:val="2039"/>
              </w:numPr>
              <w:tabs>
                <w:tab w:val="left" w:pos="158"/>
              </w:tabs>
              <w:spacing w:line="160" w:lineRule="exact"/>
              <w:ind w:right="212" w:hanging="99"/>
              <w:rPr>
                <w:b/>
                <w:sz w:val="14"/>
              </w:rPr>
            </w:pPr>
            <w:r>
              <w:rPr>
                <w:color w:val="231F20"/>
                <w:sz w:val="14"/>
              </w:rPr>
              <w:t>Тригонометријске функције</w:t>
            </w:r>
            <w:r>
              <w:rPr>
                <w:color w:val="231F20"/>
                <w:spacing w:val="-19"/>
                <w:sz w:val="14"/>
              </w:rPr>
              <w:t xml:space="preserve"> </w:t>
            </w:r>
            <w:r>
              <w:rPr>
                <w:b/>
                <w:color w:val="231F20"/>
                <w:sz w:val="14"/>
              </w:rPr>
              <w:t>(52 часа)</w:t>
            </w:r>
          </w:p>
          <w:p w:rsidR="00041039" w:rsidRDefault="00041039">
            <w:pPr>
              <w:pStyle w:val="TableParagraph"/>
              <w:spacing w:before="5"/>
              <w:ind w:left="0"/>
              <w:rPr>
                <w:b/>
                <w:sz w:val="13"/>
              </w:rPr>
            </w:pPr>
          </w:p>
          <w:p w:rsidR="00041039" w:rsidRDefault="001B26CB">
            <w:pPr>
              <w:pStyle w:val="TableParagraph"/>
              <w:spacing w:before="1"/>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3718"/>
        </w:trPr>
        <w:tc>
          <w:tcPr>
            <w:tcW w:w="1304" w:type="dxa"/>
          </w:tcPr>
          <w:p w:rsidR="00041039" w:rsidRDefault="001B26CB">
            <w:pPr>
              <w:pStyle w:val="TableParagraph"/>
              <w:spacing w:before="18"/>
              <w:ind w:left="56" w:right="37"/>
              <w:rPr>
                <w:sz w:val="14"/>
              </w:rPr>
            </w:pPr>
            <w:r>
              <w:rPr>
                <w:color w:val="231F20"/>
                <w:sz w:val="14"/>
              </w:rPr>
              <w:t>Тригонометријске функције</w:t>
            </w:r>
          </w:p>
        </w:tc>
        <w:tc>
          <w:tcPr>
            <w:tcW w:w="1587" w:type="dxa"/>
          </w:tcPr>
          <w:p w:rsidR="00041039" w:rsidRDefault="001B26CB">
            <w:pPr>
              <w:pStyle w:val="TableParagraph"/>
              <w:numPr>
                <w:ilvl w:val="0"/>
                <w:numId w:val="2038"/>
              </w:numPr>
              <w:tabs>
                <w:tab w:val="left" w:pos="157"/>
              </w:tabs>
              <w:spacing w:before="8"/>
              <w:ind w:right="53"/>
              <w:rPr>
                <w:sz w:val="14"/>
              </w:rPr>
            </w:pPr>
            <w:r>
              <w:rPr>
                <w:color w:val="231F20"/>
                <w:sz w:val="14"/>
              </w:rPr>
              <w:t>Решавање</w:t>
            </w:r>
            <w:r>
              <w:rPr>
                <w:color w:val="231F20"/>
                <w:spacing w:val="-9"/>
                <w:sz w:val="14"/>
              </w:rPr>
              <w:t xml:space="preserve"> </w:t>
            </w:r>
            <w:r>
              <w:rPr>
                <w:color w:val="231F20"/>
                <w:sz w:val="14"/>
              </w:rPr>
              <w:t>тригономет­ ријских једначина и обављање елементар­ них трансформација тригонометријских израза.</w:t>
            </w:r>
          </w:p>
        </w:tc>
        <w:tc>
          <w:tcPr>
            <w:tcW w:w="2551" w:type="dxa"/>
          </w:tcPr>
          <w:p w:rsidR="00041039" w:rsidRDefault="001B26CB">
            <w:pPr>
              <w:pStyle w:val="TableParagraph"/>
              <w:numPr>
                <w:ilvl w:val="0"/>
                <w:numId w:val="2037"/>
              </w:numPr>
              <w:tabs>
                <w:tab w:val="left" w:pos="157"/>
              </w:tabs>
              <w:spacing w:before="8"/>
              <w:ind w:right="360" w:hanging="99"/>
              <w:jc w:val="both"/>
              <w:rPr>
                <w:sz w:val="14"/>
              </w:rPr>
            </w:pPr>
            <w:r>
              <w:rPr>
                <w:color w:val="231F20"/>
                <w:sz w:val="14"/>
              </w:rPr>
              <w:t>представи вредности</w:t>
            </w:r>
            <w:r>
              <w:rPr>
                <w:color w:val="231F20"/>
                <w:spacing w:val="-9"/>
                <w:sz w:val="14"/>
              </w:rPr>
              <w:t xml:space="preserve"> </w:t>
            </w:r>
            <w:r>
              <w:rPr>
                <w:color w:val="231F20"/>
                <w:sz w:val="14"/>
              </w:rPr>
              <w:t>тригономет­ ријских функција на тригономет­ ријској</w:t>
            </w:r>
            <w:r>
              <w:rPr>
                <w:color w:val="231F20"/>
                <w:spacing w:val="-1"/>
                <w:sz w:val="14"/>
              </w:rPr>
              <w:t xml:space="preserve"> </w:t>
            </w:r>
            <w:r>
              <w:rPr>
                <w:color w:val="231F20"/>
                <w:sz w:val="14"/>
              </w:rPr>
              <w:t>кружници;</w:t>
            </w:r>
          </w:p>
          <w:p w:rsidR="00041039" w:rsidRDefault="001B26CB">
            <w:pPr>
              <w:pStyle w:val="TableParagraph"/>
              <w:numPr>
                <w:ilvl w:val="0"/>
                <w:numId w:val="2037"/>
              </w:numPr>
              <w:tabs>
                <w:tab w:val="left" w:pos="157"/>
              </w:tabs>
              <w:spacing w:line="157" w:lineRule="exact"/>
              <w:ind w:hanging="99"/>
              <w:rPr>
                <w:sz w:val="14"/>
              </w:rPr>
            </w:pPr>
            <w:r>
              <w:rPr>
                <w:color w:val="231F20"/>
                <w:sz w:val="14"/>
              </w:rPr>
              <w:t>изводи трансформације на</w:t>
            </w:r>
            <w:r>
              <w:rPr>
                <w:color w:val="231F20"/>
                <w:spacing w:val="-6"/>
                <w:sz w:val="14"/>
              </w:rPr>
              <w:t xml:space="preserve"> </w:t>
            </w:r>
            <w:r>
              <w:rPr>
                <w:color w:val="231F20"/>
                <w:sz w:val="14"/>
              </w:rPr>
              <w:t>тригоно­</w:t>
            </w:r>
          </w:p>
          <w:p w:rsidR="00041039" w:rsidRDefault="001B26CB">
            <w:pPr>
              <w:pStyle w:val="TableParagraph"/>
              <w:spacing w:line="155" w:lineRule="exact"/>
              <w:rPr>
                <w:sz w:val="14"/>
              </w:rPr>
            </w:pPr>
            <w:r>
              <w:rPr>
                <w:color w:val="231F20"/>
                <w:sz w:val="14"/>
              </w:rPr>
              <w:t>метријској кружници;</w:t>
            </w:r>
          </w:p>
          <w:p w:rsidR="00041039" w:rsidRDefault="001B26CB">
            <w:pPr>
              <w:pStyle w:val="TableParagraph"/>
              <w:numPr>
                <w:ilvl w:val="0"/>
                <w:numId w:val="2037"/>
              </w:numPr>
              <w:tabs>
                <w:tab w:val="left" w:pos="157"/>
              </w:tabs>
              <w:spacing w:line="237" w:lineRule="auto"/>
              <w:ind w:right="455" w:hanging="99"/>
              <w:rPr>
                <w:sz w:val="14"/>
              </w:rPr>
            </w:pPr>
            <w:r>
              <w:rPr>
                <w:color w:val="231F20"/>
                <w:sz w:val="14"/>
              </w:rPr>
              <w:t>докаже лакше</w:t>
            </w:r>
            <w:r>
              <w:rPr>
                <w:color w:val="231F20"/>
                <w:spacing w:val="-17"/>
                <w:sz w:val="14"/>
              </w:rPr>
              <w:t xml:space="preserve"> </w:t>
            </w:r>
            <w:r>
              <w:rPr>
                <w:color w:val="231F20"/>
                <w:sz w:val="14"/>
              </w:rPr>
              <w:t>тригонометријске идентичности;</w:t>
            </w:r>
          </w:p>
          <w:p w:rsidR="00041039" w:rsidRDefault="001B26CB">
            <w:pPr>
              <w:pStyle w:val="TableParagraph"/>
              <w:numPr>
                <w:ilvl w:val="0"/>
                <w:numId w:val="2037"/>
              </w:numPr>
              <w:tabs>
                <w:tab w:val="left" w:pos="157"/>
              </w:tabs>
              <w:spacing w:line="155" w:lineRule="exact"/>
              <w:ind w:hanging="99"/>
              <w:rPr>
                <w:sz w:val="14"/>
              </w:rPr>
            </w:pPr>
            <w:r>
              <w:rPr>
                <w:color w:val="231F20"/>
                <w:sz w:val="14"/>
              </w:rPr>
              <w:t>наведе и примени адиционе</w:t>
            </w:r>
            <w:r>
              <w:rPr>
                <w:color w:val="231F20"/>
                <w:spacing w:val="-7"/>
                <w:sz w:val="14"/>
              </w:rPr>
              <w:t xml:space="preserve"> </w:t>
            </w:r>
            <w:r>
              <w:rPr>
                <w:color w:val="231F20"/>
                <w:sz w:val="14"/>
              </w:rPr>
              <w:t>теореме;</w:t>
            </w:r>
          </w:p>
          <w:p w:rsidR="00041039" w:rsidRDefault="001B26CB">
            <w:pPr>
              <w:pStyle w:val="TableParagraph"/>
              <w:numPr>
                <w:ilvl w:val="0"/>
                <w:numId w:val="2037"/>
              </w:numPr>
              <w:tabs>
                <w:tab w:val="left" w:pos="157"/>
              </w:tabs>
              <w:spacing w:line="237" w:lineRule="auto"/>
              <w:ind w:right="65" w:hanging="99"/>
              <w:rPr>
                <w:sz w:val="14"/>
              </w:rPr>
            </w:pPr>
            <w:r>
              <w:rPr>
                <w:color w:val="231F20"/>
                <w:sz w:val="14"/>
              </w:rPr>
              <w:t>наведе и примени формуле за</w:t>
            </w:r>
            <w:r>
              <w:rPr>
                <w:color w:val="231F20"/>
                <w:spacing w:val="-24"/>
                <w:sz w:val="14"/>
              </w:rPr>
              <w:t xml:space="preserve"> </w:t>
            </w:r>
            <w:r>
              <w:rPr>
                <w:color w:val="231F20"/>
                <w:sz w:val="14"/>
              </w:rPr>
              <w:t>двостру­ ки угао;</w:t>
            </w:r>
          </w:p>
          <w:p w:rsidR="00041039" w:rsidRDefault="001B26CB">
            <w:pPr>
              <w:pStyle w:val="TableParagraph"/>
              <w:numPr>
                <w:ilvl w:val="0"/>
                <w:numId w:val="2037"/>
              </w:numPr>
              <w:tabs>
                <w:tab w:val="left" w:pos="157"/>
              </w:tabs>
              <w:spacing w:line="160" w:lineRule="exact"/>
              <w:ind w:right="302" w:hanging="99"/>
              <w:rPr>
                <w:sz w:val="14"/>
              </w:rPr>
            </w:pPr>
            <w:r>
              <w:rPr>
                <w:color w:val="231F20"/>
                <w:sz w:val="14"/>
              </w:rPr>
              <w:t>наведе</w:t>
            </w:r>
            <w:r>
              <w:rPr>
                <w:color w:val="231F20"/>
                <w:spacing w:val="-6"/>
                <w:sz w:val="14"/>
              </w:rPr>
              <w:t xml:space="preserve"> </w:t>
            </w:r>
            <w:r>
              <w:rPr>
                <w:color w:val="231F20"/>
                <w:sz w:val="14"/>
              </w:rPr>
              <w:t>и</w:t>
            </w:r>
            <w:r>
              <w:rPr>
                <w:color w:val="231F20"/>
                <w:spacing w:val="-6"/>
                <w:sz w:val="14"/>
              </w:rPr>
              <w:t xml:space="preserve"> </w:t>
            </w:r>
            <w:r>
              <w:rPr>
                <w:color w:val="231F20"/>
                <w:sz w:val="14"/>
              </w:rPr>
              <w:t>примени</w:t>
            </w:r>
            <w:r>
              <w:rPr>
                <w:color w:val="231F20"/>
                <w:spacing w:val="-6"/>
                <w:sz w:val="14"/>
              </w:rPr>
              <w:t xml:space="preserve"> </w:t>
            </w:r>
            <w:r>
              <w:rPr>
                <w:color w:val="231F20"/>
                <w:sz w:val="14"/>
              </w:rPr>
              <w:t>формуле</w:t>
            </w:r>
            <w:r>
              <w:rPr>
                <w:color w:val="231F20"/>
                <w:spacing w:val="-6"/>
                <w:sz w:val="14"/>
              </w:rPr>
              <w:t xml:space="preserve"> </w:t>
            </w:r>
            <w:r>
              <w:rPr>
                <w:color w:val="231F20"/>
                <w:sz w:val="14"/>
              </w:rPr>
              <w:t>за</w:t>
            </w:r>
            <w:r>
              <w:rPr>
                <w:color w:val="231F20"/>
                <w:spacing w:val="-6"/>
                <w:sz w:val="14"/>
              </w:rPr>
              <w:t xml:space="preserve"> </w:t>
            </w:r>
            <w:r>
              <w:rPr>
                <w:color w:val="231F20"/>
                <w:sz w:val="14"/>
              </w:rPr>
              <w:t>полу угао;</w:t>
            </w:r>
          </w:p>
          <w:p w:rsidR="00041039" w:rsidRDefault="001B26CB">
            <w:pPr>
              <w:pStyle w:val="TableParagraph"/>
              <w:numPr>
                <w:ilvl w:val="0"/>
                <w:numId w:val="2037"/>
              </w:numPr>
              <w:tabs>
                <w:tab w:val="left" w:pos="157"/>
              </w:tabs>
              <w:spacing w:line="160" w:lineRule="exact"/>
              <w:ind w:right="189" w:hanging="99"/>
              <w:rPr>
                <w:sz w:val="14"/>
              </w:rPr>
            </w:pPr>
            <w:r>
              <w:rPr>
                <w:color w:val="231F20"/>
                <w:sz w:val="14"/>
              </w:rPr>
              <w:t>изводи елементарне</w:t>
            </w:r>
            <w:r>
              <w:rPr>
                <w:color w:val="231F20"/>
                <w:spacing w:val="-8"/>
                <w:sz w:val="14"/>
              </w:rPr>
              <w:t xml:space="preserve"> </w:t>
            </w:r>
            <w:r>
              <w:rPr>
                <w:color w:val="231F20"/>
                <w:sz w:val="14"/>
              </w:rPr>
              <w:t>трансформације тригонометријских</w:t>
            </w:r>
            <w:r>
              <w:rPr>
                <w:color w:val="231F20"/>
                <w:spacing w:val="-1"/>
                <w:sz w:val="14"/>
              </w:rPr>
              <w:t xml:space="preserve"> </w:t>
            </w:r>
            <w:r>
              <w:rPr>
                <w:color w:val="231F20"/>
                <w:sz w:val="14"/>
              </w:rPr>
              <w:t>израза;</w:t>
            </w:r>
          </w:p>
          <w:p w:rsidR="00041039" w:rsidRDefault="001B26CB">
            <w:pPr>
              <w:pStyle w:val="TableParagraph"/>
              <w:numPr>
                <w:ilvl w:val="0"/>
                <w:numId w:val="2037"/>
              </w:numPr>
              <w:tabs>
                <w:tab w:val="left" w:pos="157"/>
              </w:tabs>
              <w:spacing w:line="160" w:lineRule="exact"/>
              <w:ind w:right="185" w:hanging="99"/>
              <w:rPr>
                <w:sz w:val="14"/>
              </w:rPr>
            </w:pPr>
            <w:r>
              <w:rPr>
                <w:color w:val="231F20"/>
                <w:sz w:val="14"/>
              </w:rPr>
              <w:t>реши елементарне</w:t>
            </w:r>
            <w:r>
              <w:rPr>
                <w:color w:val="231F20"/>
                <w:spacing w:val="-8"/>
                <w:sz w:val="14"/>
              </w:rPr>
              <w:t xml:space="preserve"> </w:t>
            </w:r>
            <w:r>
              <w:rPr>
                <w:color w:val="231F20"/>
                <w:sz w:val="14"/>
              </w:rPr>
              <w:t>тригонометријске једначине;</w:t>
            </w:r>
          </w:p>
          <w:p w:rsidR="00041039" w:rsidRDefault="001B26CB">
            <w:pPr>
              <w:pStyle w:val="TableParagraph"/>
              <w:numPr>
                <w:ilvl w:val="0"/>
                <w:numId w:val="2037"/>
              </w:numPr>
              <w:tabs>
                <w:tab w:val="left" w:pos="157"/>
              </w:tabs>
              <w:spacing w:line="160" w:lineRule="exact"/>
              <w:ind w:right="623" w:hanging="99"/>
              <w:rPr>
                <w:sz w:val="14"/>
              </w:rPr>
            </w:pPr>
            <w:r>
              <w:rPr>
                <w:color w:val="231F20"/>
                <w:sz w:val="14"/>
              </w:rPr>
              <w:t>решава и друге</w:t>
            </w:r>
            <w:r>
              <w:rPr>
                <w:color w:val="231F20"/>
                <w:spacing w:val="-5"/>
                <w:sz w:val="14"/>
              </w:rPr>
              <w:t xml:space="preserve"> </w:t>
            </w:r>
            <w:r>
              <w:rPr>
                <w:color w:val="231F20"/>
                <w:sz w:val="14"/>
              </w:rPr>
              <w:t>једноставније тригонометријске</w:t>
            </w:r>
            <w:r>
              <w:rPr>
                <w:color w:val="231F20"/>
                <w:spacing w:val="-8"/>
                <w:sz w:val="14"/>
              </w:rPr>
              <w:t xml:space="preserve"> </w:t>
            </w:r>
            <w:r>
              <w:rPr>
                <w:color w:val="231F20"/>
                <w:sz w:val="14"/>
              </w:rPr>
              <w:t>једначине;</w:t>
            </w:r>
          </w:p>
          <w:p w:rsidR="00041039" w:rsidRDefault="001B26CB">
            <w:pPr>
              <w:pStyle w:val="TableParagraph"/>
              <w:numPr>
                <w:ilvl w:val="0"/>
                <w:numId w:val="2037"/>
              </w:numPr>
              <w:tabs>
                <w:tab w:val="left" w:pos="157"/>
              </w:tabs>
              <w:spacing w:line="160" w:lineRule="exact"/>
              <w:ind w:right="196" w:hanging="99"/>
              <w:jc w:val="both"/>
              <w:rPr>
                <w:sz w:val="14"/>
              </w:rPr>
            </w:pPr>
            <w:r>
              <w:rPr>
                <w:color w:val="231F20"/>
                <w:sz w:val="14"/>
              </w:rPr>
              <w:t>скицира графике</w:t>
            </w:r>
            <w:r>
              <w:rPr>
                <w:color w:val="231F20"/>
                <w:spacing w:val="-13"/>
                <w:sz w:val="14"/>
              </w:rPr>
              <w:t xml:space="preserve"> </w:t>
            </w:r>
            <w:r>
              <w:rPr>
                <w:color w:val="231F20"/>
                <w:sz w:val="14"/>
              </w:rPr>
              <w:t>тригонометријских функција и са графика чита основне особине;</w:t>
            </w:r>
          </w:p>
          <w:p w:rsidR="00041039" w:rsidRDefault="001B26CB">
            <w:pPr>
              <w:pStyle w:val="TableParagraph"/>
              <w:numPr>
                <w:ilvl w:val="0"/>
                <w:numId w:val="2037"/>
              </w:numPr>
              <w:tabs>
                <w:tab w:val="left" w:pos="157"/>
              </w:tabs>
              <w:spacing w:line="160" w:lineRule="exact"/>
              <w:ind w:right="96" w:hanging="99"/>
              <w:rPr>
                <w:sz w:val="14"/>
              </w:rPr>
            </w:pPr>
            <w:r>
              <w:rPr>
                <w:color w:val="231F20"/>
                <w:sz w:val="14"/>
              </w:rPr>
              <w:t>користи синусну и косинусну</w:t>
            </w:r>
            <w:r>
              <w:rPr>
                <w:color w:val="231F20"/>
                <w:spacing w:val="-20"/>
                <w:sz w:val="14"/>
              </w:rPr>
              <w:t xml:space="preserve"> </w:t>
            </w:r>
            <w:r>
              <w:rPr>
                <w:color w:val="231F20"/>
                <w:sz w:val="14"/>
              </w:rPr>
              <w:t>теорему при решавању</w:t>
            </w:r>
            <w:r>
              <w:rPr>
                <w:color w:val="231F20"/>
                <w:spacing w:val="-1"/>
                <w:sz w:val="14"/>
              </w:rPr>
              <w:t xml:space="preserve"> </w:t>
            </w:r>
            <w:r>
              <w:rPr>
                <w:color w:val="231F20"/>
                <w:spacing w:val="-3"/>
                <w:sz w:val="14"/>
              </w:rPr>
              <w:t>троугла;</w:t>
            </w:r>
          </w:p>
        </w:tc>
        <w:tc>
          <w:tcPr>
            <w:tcW w:w="2834" w:type="dxa"/>
          </w:tcPr>
          <w:p w:rsidR="00041039" w:rsidRDefault="001B26CB">
            <w:pPr>
              <w:pStyle w:val="TableParagraph"/>
              <w:numPr>
                <w:ilvl w:val="0"/>
                <w:numId w:val="2036"/>
              </w:numPr>
              <w:tabs>
                <w:tab w:val="left" w:pos="157"/>
              </w:tabs>
              <w:spacing w:before="9" w:line="166" w:lineRule="exact"/>
              <w:ind w:hanging="99"/>
              <w:rPr>
                <w:sz w:val="14"/>
              </w:rPr>
            </w:pPr>
            <w:r>
              <w:rPr>
                <w:color w:val="231F20"/>
                <w:sz w:val="14"/>
              </w:rPr>
              <w:t>Тригонометријска</w:t>
            </w:r>
            <w:r>
              <w:rPr>
                <w:color w:val="231F20"/>
                <w:spacing w:val="-1"/>
                <w:sz w:val="14"/>
              </w:rPr>
              <w:t xml:space="preserve"> </w:t>
            </w:r>
            <w:r>
              <w:rPr>
                <w:color w:val="231F20"/>
                <w:sz w:val="14"/>
              </w:rPr>
              <w:t>кружница.</w:t>
            </w:r>
          </w:p>
          <w:p w:rsidR="00041039" w:rsidRDefault="001B26CB">
            <w:pPr>
              <w:pStyle w:val="TableParagraph"/>
              <w:numPr>
                <w:ilvl w:val="0"/>
                <w:numId w:val="2036"/>
              </w:numPr>
              <w:tabs>
                <w:tab w:val="left" w:pos="157"/>
              </w:tabs>
              <w:spacing w:line="237" w:lineRule="auto"/>
              <w:ind w:right="502" w:hanging="99"/>
              <w:rPr>
                <w:sz w:val="14"/>
              </w:rPr>
            </w:pPr>
            <w:r>
              <w:rPr>
                <w:color w:val="231F20"/>
                <w:sz w:val="14"/>
              </w:rPr>
              <w:t>Трансформације</w:t>
            </w:r>
            <w:r>
              <w:rPr>
                <w:color w:val="231F20"/>
                <w:spacing w:val="-12"/>
                <w:sz w:val="14"/>
              </w:rPr>
              <w:t xml:space="preserve"> </w:t>
            </w:r>
            <w:r>
              <w:rPr>
                <w:color w:val="231F20"/>
                <w:sz w:val="14"/>
              </w:rPr>
              <w:t>тригонометријских функција и</w:t>
            </w:r>
            <w:r>
              <w:rPr>
                <w:color w:val="231F20"/>
                <w:spacing w:val="-2"/>
                <w:sz w:val="14"/>
              </w:rPr>
              <w:t xml:space="preserve"> </w:t>
            </w:r>
            <w:r>
              <w:rPr>
                <w:color w:val="231F20"/>
                <w:sz w:val="14"/>
              </w:rPr>
              <w:t>израза.</w:t>
            </w:r>
          </w:p>
          <w:p w:rsidR="00041039" w:rsidRDefault="001B26CB">
            <w:pPr>
              <w:pStyle w:val="TableParagraph"/>
              <w:numPr>
                <w:ilvl w:val="0"/>
                <w:numId w:val="2036"/>
              </w:numPr>
              <w:tabs>
                <w:tab w:val="left" w:pos="157"/>
              </w:tabs>
              <w:spacing w:line="155" w:lineRule="exact"/>
              <w:ind w:hanging="99"/>
              <w:rPr>
                <w:sz w:val="14"/>
              </w:rPr>
            </w:pPr>
            <w:r>
              <w:rPr>
                <w:color w:val="231F20"/>
                <w:sz w:val="14"/>
              </w:rPr>
              <w:t>Адиционе</w:t>
            </w:r>
            <w:r>
              <w:rPr>
                <w:color w:val="231F20"/>
                <w:spacing w:val="-2"/>
                <w:sz w:val="14"/>
              </w:rPr>
              <w:t xml:space="preserve"> </w:t>
            </w:r>
            <w:r>
              <w:rPr>
                <w:color w:val="231F20"/>
                <w:sz w:val="14"/>
              </w:rPr>
              <w:t>теореме.</w:t>
            </w:r>
          </w:p>
          <w:p w:rsidR="00041039" w:rsidRDefault="001B26CB">
            <w:pPr>
              <w:pStyle w:val="TableParagraph"/>
              <w:numPr>
                <w:ilvl w:val="0"/>
                <w:numId w:val="2036"/>
              </w:numPr>
              <w:tabs>
                <w:tab w:val="left" w:pos="157"/>
              </w:tabs>
              <w:spacing w:line="160" w:lineRule="exact"/>
              <w:ind w:hanging="99"/>
              <w:rPr>
                <w:sz w:val="14"/>
              </w:rPr>
            </w:pPr>
            <w:r>
              <w:rPr>
                <w:color w:val="231F20"/>
                <w:sz w:val="14"/>
              </w:rPr>
              <w:t>Формуле за двоструки</w:t>
            </w:r>
            <w:r>
              <w:rPr>
                <w:color w:val="231F20"/>
                <w:spacing w:val="-4"/>
                <w:sz w:val="14"/>
              </w:rPr>
              <w:t xml:space="preserve"> </w:t>
            </w:r>
            <w:r>
              <w:rPr>
                <w:color w:val="231F20"/>
                <w:sz w:val="14"/>
              </w:rPr>
              <w:t>угао.</w:t>
            </w:r>
          </w:p>
          <w:p w:rsidR="00041039" w:rsidRDefault="001B26CB">
            <w:pPr>
              <w:pStyle w:val="TableParagraph"/>
              <w:numPr>
                <w:ilvl w:val="0"/>
                <w:numId w:val="2036"/>
              </w:numPr>
              <w:tabs>
                <w:tab w:val="left" w:pos="157"/>
              </w:tabs>
              <w:spacing w:line="160" w:lineRule="exact"/>
              <w:ind w:hanging="99"/>
              <w:rPr>
                <w:sz w:val="14"/>
              </w:rPr>
            </w:pPr>
            <w:r>
              <w:rPr>
                <w:color w:val="231F20"/>
                <w:sz w:val="14"/>
              </w:rPr>
              <w:t>Формуле за полу</w:t>
            </w:r>
            <w:r>
              <w:rPr>
                <w:color w:val="231F20"/>
                <w:spacing w:val="-5"/>
                <w:sz w:val="14"/>
              </w:rPr>
              <w:t xml:space="preserve"> </w:t>
            </w:r>
            <w:r>
              <w:rPr>
                <w:color w:val="231F20"/>
                <w:sz w:val="14"/>
              </w:rPr>
              <w:t>угао.</w:t>
            </w:r>
          </w:p>
          <w:p w:rsidR="00041039" w:rsidRDefault="001B26CB">
            <w:pPr>
              <w:pStyle w:val="TableParagraph"/>
              <w:numPr>
                <w:ilvl w:val="0"/>
                <w:numId w:val="2036"/>
              </w:numPr>
              <w:tabs>
                <w:tab w:val="left" w:pos="157"/>
              </w:tabs>
              <w:spacing w:line="237" w:lineRule="auto"/>
              <w:ind w:right="518" w:hanging="99"/>
              <w:rPr>
                <w:sz w:val="14"/>
              </w:rPr>
            </w:pPr>
            <w:r>
              <w:rPr>
                <w:color w:val="231F20"/>
                <w:sz w:val="14"/>
              </w:rPr>
              <w:t>Трансформације збира у производ</w:t>
            </w:r>
            <w:r>
              <w:rPr>
                <w:color w:val="231F20"/>
                <w:spacing w:val="-23"/>
                <w:sz w:val="14"/>
              </w:rPr>
              <w:t xml:space="preserve"> </w:t>
            </w:r>
            <w:r>
              <w:rPr>
                <w:color w:val="231F20"/>
                <w:sz w:val="14"/>
              </w:rPr>
              <w:t>и обрнуто.</w:t>
            </w:r>
          </w:p>
          <w:p w:rsidR="00041039" w:rsidRDefault="001B26CB">
            <w:pPr>
              <w:pStyle w:val="TableParagraph"/>
              <w:numPr>
                <w:ilvl w:val="0"/>
                <w:numId w:val="2036"/>
              </w:numPr>
              <w:tabs>
                <w:tab w:val="left" w:pos="157"/>
              </w:tabs>
              <w:spacing w:line="155" w:lineRule="exact"/>
              <w:ind w:hanging="99"/>
              <w:rPr>
                <w:sz w:val="14"/>
              </w:rPr>
            </w:pPr>
            <w:r>
              <w:rPr>
                <w:color w:val="231F20"/>
                <w:sz w:val="14"/>
              </w:rPr>
              <w:t>Тригонометријске</w:t>
            </w:r>
            <w:r>
              <w:rPr>
                <w:color w:val="231F20"/>
                <w:spacing w:val="-1"/>
                <w:sz w:val="14"/>
              </w:rPr>
              <w:t xml:space="preserve"> </w:t>
            </w:r>
            <w:r>
              <w:rPr>
                <w:color w:val="231F20"/>
                <w:sz w:val="14"/>
              </w:rPr>
              <w:t>једначине.</w:t>
            </w:r>
          </w:p>
          <w:p w:rsidR="00041039" w:rsidRDefault="001B26CB">
            <w:pPr>
              <w:pStyle w:val="TableParagraph"/>
              <w:numPr>
                <w:ilvl w:val="0"/>
                <w:numId w:val="2036"/>
              </w:numPr>
              <w:tabs>
                <w:tab w:val="left" w:pos="157"/>
              </w:tabs>
              <w:spacing w:line="237" w:lineRule="auto"/>
              <w:ind w:right="204" w:hanging="99"/>
              <w:rPr>
                <w:sz w:val="14"/>
              </w:rPr>
            </w:pPr>
            <w:r>
              <w:rPr>
                <w:color w:val="231F20"/>
                <w:sz w:val="14"/>
              </w:rPr>
              <w:t>Једноставније тригонометријске</w:t>
            </w:r>
            <w:r>
              <w:rPr>
                <w:color w:val="231F20"/>
                <w:spacing w:val="-12"/>
                <w:sz w:val="14"/>
              </w:rPr>
              <w:t xml:space="preserve"> </w:t>
            </w:r>
            <w:r>
              <w:rPr>
                <w:color w:val="231F20"/>
                <w:sz w:val="14"/>
              </w:rPr>
              <w:t>неједна­ чине.</w:t>
            </w:r>
          </w:p>
          <w:p w:rsidR="00041039" w:rsidRDefault="001B26CB">
            <w:pPr>
              <w:pStyle w:val="TableParagraph"/>
              <w:numPr>
                <w:ilvl w:val="0"/>
                <w:numId w:val="2036"/>
              </w:numPr>
              <w:tabs>
                <w:tab w:val="left" w:pos="157"/>
              </w:tabs>
              <w:spacing w:line="155" w:lineRule="exact"/>
              <w:ind w:hanging="99"/>
              <w:rPr>
                <w:sz w:val="14"/>
              </w:rPr>
            </w:pPr>
            <w:r>
              <w:rPr>
                <w:color w:val="231F20"/>
                <w:sz w:val="14"/>
              </w:rPr>
              <w:t>Графици тригонометријских</w:t>
            </w:r>
            <w:r>
              <w:rPr>
                <w:color w:val="231F20"/>
                <w:spacing w:val="-3"/>
                <w:sz w:val="14"/>
              </w:rPr>
              <w:t xml:space="preserve"> </w:t>
            </w:r>
            <w:r>
              <w:rPr>
                <w:color w:val="231F20"/>
                <w:sz w:val="14"/>
              </w:rPr>
              <w:t>функција.</w:t>
            </w:r>
          </w:p>
          <w:p w:rsidR="00041039" w:rsidRDefault="001B26CB">
            <w:pPr>
              <w:pStyle w:val="TableParagraph"/>
              <w:numPr>
                <w:ilvl w:val="0"/>
                <w:numId w:val="2036"/>
              </w:numPr>
              <w:tabs>
                <w:tab w:val="left" w:pos="157"/>
              </w:tabs>
              <w:spacing w:line="166" w:lineRule="exact"/>
              <w:ind w:hanging="99"/>
              <w:rPr>
                <w:sz w:val="14"/>
              </w:rPr>
            </w:pPr>
            <w:r>
              <w:rPr>
                <w:color w:val="231F20"/>
                <w:sz w:val="14"/>
              </w:rPr>
              <w:t>Синусна и косинусна</w:t>
            </w:r>
            <w:r>
              <w:rPr>
                <w:color w:val="231F20"/>
                <w:spacing w:val="-2"/>
                <w:sz w:val="14"/>
              </w:rPr>
              <w:t xml:space="preserve"> </w:t>
            </w:r>
            <w:r>
              <w:rPr>
                <w:color w:val="231F20"/>
                <w:sz w:val="14"/>
              </w:rPr>
              <w:t>теорема.</w:t>
            </w:r>
          </w:p>
        </w:tc>
        <w:tc>
          <w:tcPr>
            <w:tcW w:w="2267" w:type="dxa"/>
            <w:vMerge/>
            <w:tcBorders>
              <w:top w:val="nil"/>
            </w:tcBorders>
          </w:tcPr>
          <w:p w:rsidR="00041039" w:rsidRDefault="00041039">
            <w:pPr>
              <w:rPr>
                <w:sz w:val="2"/>
                <w:szCs w:val="2"/>
              </w:rPr>
            </w:pPr>
          </w:p>
        </w:tc>
      </w:tr>
      <w:tr w:rsidR="00041039">
        <w:trPr>
          <w:trHeight w:val="2600"/>
        </w:trPr>
        <w:tc>
          <w:tcPr>
            <w:tcW w:w="1304" w:type="dxa"/>
          </w:tcPr>
          <w:p w:rsidR="00041039" w:rsidRDefault="001B26CB">
            <w:pPr>
              <w:pStyle w:val="TableParagraph"/>
              <w:spacing w:before="21"/>
              <w:ind w:left="56" w:right="187"/>
              <w:rPr>
                <w:sz w:val="14"/>
              </w:rPr>
            </w:pPr>
            <w:r>
              <w:rPr>
                <w:color w:val="231F20"/>
                <w:sz w:val="14"/>
              </w:rPr>
              <w:t>Експоненцијална и логаритамска функција</w:t>
            </w:r>
          </w:p>
        </w:tc>
        <w:tc>
          <w:tcPr>
            <w:tcW w:w="1587" w:type="dxa"/>
          </w:tcPr>
          <w:p w:rsidR="00041039" w:rsidRDefault="001B26CB">
            <w:pPr>
              <w:pStyle w:val="TableParagraph"/>
              <w:numPr>
                <w:ilvl w:val="0"/>
                <w:numId w:val="2035"/>
              </w:numPr>
              <w:tabs>
                <w:tab w:val="left" w:pos="157"/>
              </w:tabs>
              <w:spacing w:before="11"/>
              <w:ind w:right="199"/>
              <w:rPr>
                <w:sz w:val="14"/>
              </w:rPr>
            </w:pPr>
            <w:r>
              <w:rPr>
                <w:color w:val="231F20"/>
                <w:sz w:val="14"/>
              </w:rPr>
              <w:t>Стицање знања о решавању</w:t>
            </w:r>
            <w:r>
              <w:rPr>
                <w:color w:val="231F20"/>
                <w:spacing w:val="-10"/>
                <w:sz w:val="14"/>
              </w:rPr>
              <w:t xml:space="preserve"> </w:t>
            </w:r>
            <w:r>
              <w:rPr>
                <w:color w:val="231F20"/>
                <w:sz w:val="14"/>
              </w:rPr>
              <w:t>једначина и неједначина са експоненцијалним</w:t>
            </w:r>
          </w:p>
          <w:p w:rsidR="00041039" w:rsidRDefault="001B26CB">
            <w:pPr>
              <w:pStyle w:val="TableParagraph"/>
              <w:spacing w:line="237" w:lineRule="auto"/>
              <w:ind w:right="381"/>
              <w:rPr>
                <w:sz w:val="14"/>
              </w:rPr>
            </w:pPr>
            <w:r>
              <w:rPr>
                <w:color w:val="231F20"/>
                <w:sz w:val="14"/>
              </w:rPr>
              <w:t>и логаритамским изразима.</w:t>
            </w:r>
          </w:p>
        </w:tc>
        <w:tc>
          <w:tcPr>
            <w:tcW w:w="2551" w:type="dxa"/>
          </w:tcPr>
          <w:p w:rsidR="00041039" w:rsidRDefault="001B26CB">
            <w:pPr>
              <w:pStyle w:val="TableParagraph"/>
              <w:numPr>
                <w:ilvl w:val="0"/>
                <w:numId w:val="2034"/>
              </w:numPr>
              <w:tabs>
                <w:tab w:val="left" w:pos="157"/>
              </w:tabs>
              <w:spacing w:before="11"/>
              <w:ind w:right="680" w:hanging="99"/>
              <w:rPr>
                <w:sz w:val="14"/>
              </w:rPr>
            </w:pPr>
            <w:r>
              <w:rPr>
                <w:color w:val="231F20"/>
                <w:sz w:val="14"/>
              </w:rPr>
              <w:t>скицира и даје опис</w:t>
            </w:r>
            <w:r>
              <w:rPr>
                <w:color w:val="231F20"/>
                <w:spacing w:val="-9"/>
                <w:sz w:val="14"/>
              </w:rPr>
              <w:t xml:space="preserve"> </w:t>
            </w:r>
            <w:r>
              <w:rPr>
                <w:color w:val="231F20"/>
                <w:sz w:val="14"/>
              </w:rPr>
              <w:t>графика експоненцијалне</w:t>
            </w:r>
            <w:r>
              <w:rPr>
                <w:color w:val="231F20"/>
                <w:spacing w:val="-4"/>
                <w:sz w:val="14"/>
              </w:rPr>
              <w:t xml:space="preserve"> </w:t>
            </w:r>
            <w:r>
              <w:rPr>
                <w:color w:val="231F20"/>
                <w:sz w:val="14"/>
              </w:rPr>
              <w:t>функције;</w:t>
            </w:r>
          </w:p>
          <w:p w:rsidR="00041039" w:rsidRDefault="001B26CB">
            <w:pPr>
              <w:pStyle w:val="TableParagraph"/>
              <w:numPr>
                <w:ilvl w:val="0"/>
                <w:numId w:val="2034"/>
              </w:numPr>
              <w:tabs>
                <w:tab w:val="left" w:pos="157"/>
              </w:tabs>
              <w:spacing w:line="160" w:lineRule="exact"/>
              <w:ind w:right="233" w:hanging="99"/>
              <w:rPr>
                <w:sz w:val="14"/>
              </w:rPr>
            </w:pPr>
            <w:r>
              <w:rPr>
                <w:color w:val="231F20"/>
                <w:sz w:val="14"/>
              </w:rPr>
              <w:t>реши лакше експоненцијалне</w:t>
            </w:r>
            <w:r>
              <w:rPr>
                <w:color w:val="231F20"/>
                <w:spacing w:val="-12"/>
                <w:sz w:val="14"/>
              </w:rPr>
              <w:t xml:space="preserve"> </w:t>
            </w:r>
            <w:r>
              <w:rPr>
                <w:color w:val="231F20"/>
                <w:sz w:val="14"/>
              </w:rPr>
              <w:t>једна­ чине;</w:t>
            </w:r>
          </w:p>
          <w:p w:rsidR="00041039" w:rsidRDefault="001B26CB">
            <w:pPr>
              <w:pStyle w:val="TableParagraph"/>
              <w:numPr>
                <w:ilvl w:val="0"/>
                <w:numId w:val="2034"/>
              </w:numPr>
              <w:tabs>
                <w:tab w:val="left" w:pos="157"/>
              </w:tabs>
              <w:spacing w:line="160" w:lineRule="exact"/>
              <w:ind w:right="233" w:hanging="99"/>
              <w:rPr>
                <w:sz w:val="14"/>
              </w:rPr>
            </w:pPr>
            <w:r>
              <w:rPr>
                <w:color w:val="231F20"/>
                <w:sz w:val="14"/>
              </w:rPr>
              <w:t>реши лакше експоненцијалне</w:t>
            </w:r>
            <w:r>
              <w:rPr>
                <w:color w:val="231F20"/>
                <w:spacing w:val="-15"/>
                <w:sz w:val="14"/>
              </w:rPr>
              <w:t xml:space="preserve"> </w:t>
            </w:r>
            <w:r>
              <w:rPr>
                <w:color w:val="231F20"/>
                <w:sz w:val="14"/>
              </w:rPr>
              <w:t>нејед­ начине;</w:t>
            </w:r>
          </w:p>
          <w:p w:rsidR="00041039" w:rsidRDefault="001B26CB">
            <w:pPr>
              <w:pStyle w:val="TableParagraph"/>
              <w:numPr>
                <w:ilvl w:val="0"/>
                <w:numId w:val="2034"/>
              </w:numPr>
              <w:tabs>
                <w:tab w:val="left" w:pos="157"/>
              </w:tabs>
              <w:spacing w:line="160" w:lineRule="exact"/>
              <w:ind w:right="194" w:hanging="99"/>
              <w:rPr>
                <w:sz w:val="14"/>
              </w:rPr>
            </w:pPr>
            <w:r>
              <w:rPr>
                <w:color w:val="231F20"/>
                <w:sz w:val="14"/>
              </w:rPr>
              <w:t>скицира и даје опис графика</w:t>
            </w:r>
            <w:r>
              <w:rPr>
                <w:color w:val="231F20"/>
                <w:spacing w:val="-15"/>
                <w:sz w:val="14"/>
              </w:rPr>
              <w:t xml:space="preserve"> </w:t>
            </w:r>
            <w:r>
              <w:rPr>
                <w:color w:val="231F20"/>
                <w:sz w:val="14"/>
              </w:rPr>
              <w:t>логари­ тамске</w:t>
            </w:r>
            <w:r>
              <w:rPr>
                <w:color w:val="231F20"/>
                <w:spacing w:val="-1"/>
                <w:sz w:val="14"/>
              </w:rPr>
              <w:t xml:space="preserve"> </w:t>
            </w:r>
            <w:r>
              <w:rPr>
                <w:color w:val="231F20"/>
                <w:sz w:val="14"/>
              </w:rPr>
              <w:t>функције;</w:t>
            </w:r>
          </w:p>
          <w:p w:rsidR="00041039" w:rsidRDefault="001B26CB">
            <w:pPr>
              <w:pStyle w:val="TableParagraph"/>
              <w:numPr>
                <w:ilvl w:val="0"/>
                <w:numId w:val="2034"/>
              </w:numPr>
              <w:tabs>
                <w:tab w:val="left" w:pos="157"/>
              </w:tabs>
              <w:spacing w:line="160" w:lineRule="exact"/>
              <w:ind w:right="207" w:hanging="99"/>
              <w:rPr>
                <w:sz w:val="14"/>
              </w:rPr>
            </w:pPr>
            <w:r>
              <w:rPr>
                <w:color w:val="231F20"/>
                <w:sz w:val="14"/>
              </w:rPr>
              <w:t>изведе елементарне трансформације логаритамских</w:t>
            </w:r>
            <w:r>
              <w:rPr>
                <w:color w:val="231F20"/>
                <w:spacing w:val="-1"/>
                <w:sz w:val="14"/>
              </w:rPr>
              <w:t xml:space="preserve"> </w:t>
            </w:r>
            <w:r>
              <w:rPr>
                <w:color w:val="231F20"/>
                <w:sz w:val="14"/>
              </w:rPr>
              <w:t>израза;</w:t>
            </w:r>
          </w:p>
          <w:p w:rsidR="00041039" w:rsidRDefault="001B26CB">
            <w:pPr>
              <w:pStyle w:val="TableParagraph"/>
              <w:numPr>
                <w:ilvl w:val="0"/>
                <w:numId w:val="2034"/>
              </w:numPr>
              <w:tabs>
                <w:tab w:val="left" w:pos="157"/>
              </w:tabs>
              <w:spacing w:line="153" w:lineRule="exact"/>
              <w:ind w:hanging="99"/>
              <w:rPr>
                <w:sz w:val="14"/>
              </w:rPr>
            </w:pPr>
            <w:r>
              <w:rPr>
                <w:color w:val="231F20"/>
                <w:sz w:val="14"/>
              </w:rPr>
              <w:t>реши лакше логаритамске</w:t>
            </w:r>
            <w:r>
              <w:rPr>
                <w:color w:val="231F20"/>
                <w:spacing w:val="-9"/>
                <w:sz w:val="14"/>
              </w:rPr>
              <w:t xml:space="preserve"> </w:t>
            </w:r>
            <w:r>
              <w:rPr>
                <w:color w:val="231F20"/>
                <w:sz w:val="14"/>
              </w:rPr>
              <w:t>једначине;</w:t>
            </w:r>
          </w:p>
          <w:p w:rsidR="00041039" w:rsidRDefault="001B26CB">
            <w:pPr>
              <w:pStyle w:val="TableParagraph"/>
              <w:numPr>
                <w:ilvl w:val="0"/>
                <w:numId w:val="2034"/>
              </w:numPr>
              <w:tabs>
                <w:tab w:val="left" w:pos="157"/>
              </w:tabs>
              <w:spacing w:line="237" w:lineRule="auto"/>
              <w:ind w:right="294" w:hanging="99"/>
              <w:rPr>
                <w:sz w:val="14"/>
              </w:rPr>
            </w:pPr>
            <w:r>
              <w:rPr>
                <w:color w:val="231F20"/>
                <w:sz w:val="14"/>
              </w:rPr>
              <w:t>реши лакше логаритамске</w:t>
            </w:r>
            <w:r>
              <w:rPr>
                <w:color w:val="231F20"/>
                <w:spacing w:val="-17"/>
                <w:sz w:val="14"/>
              </w:rPr>
              <w:t xml:space="preserve"> </w:t>
            </w:r>
            <w:r>
              <w:rPr>
                <w:color w:val="231F20"/>
                <w:sz w:val="14"/>
              </w:rPr>
              <w:t>неједна­ чине;</w:t>
            </w:r>
          </w:p>
          <w:p w:rsidR="00041039" w:rsidRDefault="001B26CB">
            <w:pPr>
              <w:pStyle w:val="TableParagraph"/>
              <w:numPr>
                <w:ilvl w:val="0"/>
                <w:numId w:val="2034"/>
              </w:numPr>
              <w:tabs>
                <w:tab w:val="left" w:pos="157"/>
              </w:tabs>
              <w:spacing w:line="160" w:lineRule="exact"/>
              <w:ind w:right="256" w:hanging="99"/>
              <w:rPr>
                <w:sz w:val="14"/>
              </w:rPr>
            </w:pPr>
            <w:r>
              <w:rPr>
                <w:color w:val="231F20"/>
                <w:sz w:val="14"/>
              </w:rPr>
              <w:t>реши једноставније системе експоненцијалних и логаритамских једначина;</w:t>
            </w:r>
          </w:p>
        </w:tc>
        <w:tc>
          <w:tcPr>
            <w:tcW w:w="2834" w:type="dxa"/>
          </w:tcPr>
          <w:p w:rsidR="00041039" w:rsidRDefault="001B26CB">
            <w:pPr>
              <w:pStyle w:val="TableParagraph"/>
              <w:numPr>
                <w:ilvl w:val="0"/>
                <w:numId w:val="2033"/>
              </w:numPr>
              <w:tabs>
                <w:tab w:val="left" w:pos="158"/>
              </w:tabs>
              <w:spacing w:before="11"/>
              <w:ind w:right="401"/>
              <w:rPr>
                <w:sz w:val="14"/>
              </w:rPr>
            </w:pPr>
            <w:r>
              <w:rPr>
                <w:color w:val="231F20"/>
                <w:sz w:val="14"/>
              </w:rPr>
              <w:t>Експоненцијална функција ­ график</w:t>
            </w:r>
            <w:r>
              <w:rPr>
                <w:color w:val="231F20"/>
                <w:spacing w:val="-16"/>
                <w:sz w:val="14"/>
              </w:rPr>
              <w:t xml:space="preserve"> </w:t>
            </w:r>
            <w:r>
              <w:rPr>
                <w:color w:val="231F20"/>
                <w:sz w:val="14"/>
              </w:rPr>
              <w:t>и особине.</w:t>
            </w:r>
          </w:p>
          <w:p w:rsidR="00041039" w:rsidRDefault="001B26CB">
            <w:pPr>
              <w:pStyle w:val="TableParagraph"/>
              <w:numPr>
                <w:ilvl w:val="0"/>
                <w:numId w:val="2033"/>
              </w:numPr>
              <w:tabs>
                <w:tab w:val="left" w:pos="158"/>
              </w:tabs>
              <w:spacing w:before="1" w:line="160" w:lineRule="exact"/>
              <w:ind w:right="397"/>
              <w:rPr>
                <w:sz w:val="14"/>
              </w:rPr>
            </w:pPr>
            <w:r>
              <w:rPr>
                <w:color w:val="231F20"/>
                <w:sz w:val="14"/>
              </w:rPr>
              <w:t>Експоненцијални изрази, једначине и неједначине.</w:t>
            </w:r>
          </w:p>
          <w:p w:rsidR="00041039" w:rsidRDefault="001B26CB">
            <w:pPr>
              <w:pStyle w:val="TableParagraph"/>
              <w:numPr>
                <w:ilvl w:val="0"/>
                <w:numId w:val="2033"/>
              </w:numPr>
              <w:tabs>
                <w:tab w:val="left" w:pos="158"/>
              </w:tabs>
              <w:spacing w:line="153" w:lineRule="exact"/>
              <w:rPr>
                <w:sz w:val="14"/>
              </w:rPr>
            </w:pPr>
            <w:r>
              <w:rPr>
                <w:color w:val="231F20"/>
                <w:sz w:val="14"/>
              </w:rPr>
              <w:t>Инверзна</w:t>
            </w:r>
            <w:r>
              <w:rPr>
                <w:color w:val="231F20"/>
                <w:spacing w:val="-2"/>
                <w:sz w:val="14"/>
              </w:rPr>
              <w:t xml:space="preserve"> </w:t>
            </w:r>
            <w:r>
              <w:rPr>
                <w:color w:val="231F20"/>
                <w:sz w:val="14"/>
              </w:rPr>
              <w:t>функција.</w:t>
            </w:r>
          </w:p>
          <w:p w:rsidR="00041039" w:rsidRDefault="001B26CB">
            <w:pPr>
              <w:pStyle w:val="TableParagraph"/>
              <w:numPr>
                <w:ilvl w:val="0"/>
                <w:numId w:val="2033"/>
              </w:numPr>
              <w:tabs>
                <w:tab w:val="left" w:pos="158"/>
              </w:tabs>
              <w:spacing w:line="160" w:lineRule="exact"/>
              <w:rPr>
                <w:sz w:val="14"/>
              </w:rPr>
            </w:pPr>
            <w:r>
              <w:rPr>
                <w:color w:val="231F20"/>
                <w:sz w:val="14"/>
              </w:rPr>
              <w:t>Логаритамска функција ­ график и</w:t>
            </w:r>
            <w:r>
              <w:rPr>
                <w:color w:val="231F20"/>
                <w:spacing w:val="-14"/>
                <w:sz w:val="14"/>
              </w:rPr>
              <w:t xml:space="preserve"> </w:t>
            </w:r>
            <w:r>
              <w:rPr>
                <w:color w:val="231F20"/>
                <w:sz w:val="14"/>
              </w:rPr>
              <w:t>особине.</w:t>
            </w:r>
          </w:p>
          <w:p w:rsidR="00041039" w:rsidRDefault="001B26CB">
            <w:pPr>
              <w:pStyle w:val="TableParagraph"/>
              <w:numPr>
                <w:ilvl w:val="0"/>
                <w:numId w:val="2033"/>
              </w:numPr>
              <w:tabs>
                <w:tab w:val="left" w:pos="158"/>
              </w:tabs>
              <w:spacing w:line="237" w:lineRule="auto"/>
              <w:ind w:right="316"/>
              <w:rPr>
                <w:sz w:val="14"/>
              </w:rPr>
            </w:pPr>
            <w:r>
              <w:rPr>
                <w:color w:val="231F20"/>
                <w:sz w:val="14"/>
              </w:rPr>
              <w:t>Правила логаритмовања, логаритамски изрази.</w:t>
            </w:r>
          </w:p>
          <w:p w:rsidR="00041039" w:rsidRDefault="001B26CB">
            <w:pPr>
              <w:pStyle w:val="TableParagraph"/>
              <w:numPr>
                <w:ilvl w:val="0"/>
                <w:numId w:val="2033"/>
              </w:numPr>
              <w:tabs>
                <w:tab w:val="left" w:pos="158"/>
              </w:tabs>
              <w:spacing w:line="155" w:lineRule="exact"/>
              <w:rPr>
                <w:sz w:val="14"/>
              </w:rPr>
            </w:pPr>
            <w:r>
              <w:rPr>
                <w:color w:val="231F20"/>
                <w:sz w:val="14"/>
              </w:rPr>
              <w:t>Логаритамске једначине и</w:t>
            </w:r>
            <w:r>
              <w:rPr>
                <w:color w:val="231F20"/>
                <w:spacing w:val="-8"/>
                <w:sz w:val="14"/>
              </w:rPr>
              <w:t xml:space="preserve"> </w:t>
            </w:r>
            <w:r>
              <w:rPr>
                <w:color w:val="231F20"/>
                <w:sz w:val="14"/>
              </w:rPr>
              <w:t>неједначине.</w:t>
            </w:r>
          </w:p>
          <w:p w:rsidR="00041039" w:rsidRDefault="001B26CB">
            <w:pPr>
              <w:pStyle w:val="TableParagraph"/>
              <w:numPr>
                <w:ilvl w:val="0"/>
                <w:numId w:val="2033"/>
              </w:numPr>
              <w:tabs>
                <w:tab w:val="left" w:pos="158"/>
              </w:tabs>
              <w:spacing w:line="237" w:lineRule="auto"/>
              <w:ind w:right="61"/>
              <w:rPr>
                <w:sz w:val="14"/>
              </w:rPr>
            </w:pPr>
            <w:r>
              <w:rPr>
                <w:color w:val="231F20"/>
                <w:sz w:val="14"/>
              </w:rPr>
              <w:t>Систем експоненцијалних и логаритамских једначина.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p w:rsidR="00041039" w:rsidRDefault="001B26CB">
      <w:pPr>
        <w:tabs>
          <w:tab w:val="left" w:pos="1460"/>
        </w:tabs>
        <w:spacing w:before="69" w:line="314" w:lineRule="auto"/>
        <w:ind w:left="157" w:right="8289"/>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175 часова </w:t>
      </w:r>
      <w:r>
        <w:rPr>
          <w:color w:val="231F20"/>
          <w:sz w:val="14"/>
        </w:rPr>
        <w:t>Разред:</w:t>
      </w:r>
      <w:r>
        <w:rPr>
          <w:color w:val="231F20"/>
          <w:sz w:val="14"/>
        </w:rPr>
        <w:tab/>
      </w:r>
      <w:r>
        <w:rPr>
          <w:b/>
          <w:color w:val="231F20"/>
          <w:sz w:val="14"/>
        </w:rPr>
        <w:t>трећи</w:t>
      </w:r>
    </w:p>
    <w:p w:rsidR="00041039" w:rsidRDefault="00041039">
      <w:pPr>
        <w:pStyle w:val="BodyText"/>
        <w:spacing w:before="2" w:after="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Pr>
                <w:sz w:val="14"/>
              </w:rPr>
            </w:pPr>
            <w:r>
              <w:rPr>
                <w:color w:val="231F20"/>
                <w:sz w:val="14"/>
              </w:rPr>
              <w:t>Полиедри</w:t>
            </w:r>
          </w:p>
        </w:tc>
        <w:tc>
          <w:tcPr>
            <w:tcW w:w="1587" w:type="dxa"/>
          </w:tcPr>
          <w:p w:rsidR="00041039" w:rsidRDefault="001B26CB">
            <w:pPr>
              <w:pStyle w:val="TableParagraph"/>
              <w:numPr>
                <w:ilvl w:val="0"/>
                <w:numId w:val="2032"/>
              </w:numPr>
              <w:tabs>
                <w:tab w:val="left" w:pos="157"/>
              </w:tabs>
              <w:spacing w:before="8"/>
              <w:ind w:right="169"/>
              <w:rPr>
                <w:sz w:val="14"/>
              </w:rPr>
            </w:pPr>
            <w:r>
              <w:rPr>
                <w:color w:val="231F20"/>
                <w:sz w:val="14"/>
              </w:rPr>
              <w:t>Обнављање и упо­ тпуњавање знања о површини и запре­ мини полиедара и примена ових</w:t>
            </w:r>
            <w:r>
              <w:rPr>
                <w:color w:val="231F20"/>
                <w:spacing w:val="-11"/>
                <w:sz w:val="14"/>
              </w:rPr>
              <w:t xml:space="preserve"> </w:t>
            </w:r>
            <w:r>
              <w:rPr>
                <w:color w:val="231F20"/>
                <w:sz w:val="14"/>
              </w:rPr>
              <w:t>знања.</w:t>
            </w:r>
          </w:p>
        </w:tc>
        <w:tc>
          <w:tcPr>
            <w:tcW w:w="2551" w:type="dxa"/>
          </w:tcPr>
          <w:p w:rsidR="00041039" w:rsidRDefault="001B26CB">
            <w:pPr>
              <w:pStyle w:val="TableParagraph"/>
              <w:numPr>
                <w:ilvl w:val="0"/>
                <w:numId w:val="2031"/>
              </w:numPr>
              <w:tabs>
                <w:tab w:val="left" w:pos="157"/>
              </w:tabs>
              <w:spacing w:before="8"/>
              <w:ind w:right="81" w:hanging="99"/>
              <w:rPr>
                <w:sz w:val="14"/>
              </w:rPr>
            </w:pPr>
            <w:r>
              <w:rPr>
                <w:color w:val="231F20"/>
                <w:sz w:val="14"/>
              </w:rPr>
              <w:t>примени формуле за израчунавање обима и површине: правоугаоника, квадрата, паралелограма, троугла,</w:t>
            </w:r>
            <w:r>
              <w:rPr>
                <w:color w:val="231F20"/>
                <w:spacing w:val="-27"/>
                <w:sz w:val="14"/>
              </w:rPr>
              <w:t xml:space="preserve"> </w:t>
            </w:r>
            <w:r>
              <w:rPr>
                <w:color w:val="231F20"/>
                <w:sz w:val="14"/>
              </w:rPr>
              <w:t xml:space="preserve">чет­ </w:t>
            </w:r>
            <w:r>
              <w:rPr>
                <w:color w:val="231F20"/>
                <w:spacing w:val="-3"/>
                <w:sz w:val="14"/>
              </w:rPr>
              <w:t xml:space="preserve">вороугла </w:t>
            </w:r>
            <w:r>
              <w:rPr>
                <w:color w:val="231F20"/>
                <w:sz w:val="14"/>
              </w:rPr>
              <w:t>са нормалним дијагоналама, једнакостраничног троугла, трапеза, правилног</w:t>
            </w:r>
            <w:r>
              <w:rPr>
                <w:color w:val="231F20"/>
                <w:spacing w:val="-2"/>
                <w:sz w:val="14"/>
              </w:rPr>
              <w:t xml:space="preserve"> </w:t>
            </w:r>
            <w:r>
              <w:rPr>
                <w:color w:val="231F20"/>
                <w:sz w:val="14"/>
              </w:rPr>
              <w:t>шестоугла;</w:t>
            </w:r>
          </w:p>
          <w:p w:rsidR="00041039" w:rsidRDefault="001B26CB">
            <w:pPr>
              <w:pStyle w:val="TableParagraph"/>
              <w:numPr>
                <w:ilvl w:val="0"/>
                <w:numId w:val="2031"/>
              </w:numPr>
              <w:tabs>
                <w:tab w:val="left" w:pos="157"/>
              </w:tabs>
              <w:spacing w:line="154" w:lineRule="exact"/>
              <w:ind w:hanging="99"/>
              <w:rPr>
                <w:sz w:val="14"/>
              </w:rPr>
            </w:pPr>
            <w:r>
              <w:rPr>
                <w:color w:val="231F20"/>
                <w:sz w:val="14"/>
              </w:rPr>
              <w:t>израчуна површину и</w:t>
            </w:r>
            <w:r>
              <w:rPr>
                <w:color w:val="231F20"/>
                <w:spacing w:val="-7"/>
                <w:sz w:val="14"/>
              </w:rPr>
              <w:t xml:space="preserve"> </w:t>
            </w:r>
            <w:r>
              <w:rPr>
                <w:color w:val="231F20"/>
                <w:sz w:val="14"/>
              </w:rPr>
              <w:t>запремину</w:t>
            </w:r>
          </w:p>
          <w:p w:rsidR="00041039" w:rsidRDefault="001B26CB">
            <w:pPr>
              <w:pStyle w:val="TableParagraph"/>
              <w:spacing w:line="155" w:lineRule="exact"/>
              <w:rPr>
                <w:sz w:val="14"/>
              </w:rPr>
            </w:pPr>
            <w:r>
              <w:rPr>
                <w:color w:val="231F20"/>
                <w:sz w:val="14"/>
              </w:rPr>
              <w:t>призме;</w:t>
            </w:r>
          </w:p>
          <w:p w:rsidR="00041039" w:rsidRDefault="001B26CB">
            <w:pPr>
              <w:pStyle w:val="TableParagraph"/>
              <w:numPr>
                <w:ilvl w:val="0"/>
                <w:numId w:val="2031"/>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пирамиде;</w:t>
            </w:r>
          </w:p>
          <w:p w:rsidR="00041039" w:rsidRDefault="001B26CB">
            <w:pPr>
              <w:pStyle w:val="TableParagraph"/>
              <w:numPr>
                <w:ilvl w:val="0"/>
                <w:numId w:val="2031"/>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сложеног</w:t>
            </w:r>
            <w:r>
              <w:rPr>
                <w:color w:val="231F20"/>
                <w:spacing w:val="-1"/>
                <w:sz w:val="14"/>
              </w:rPr>
              <w:t xml:space="preserve"> </w:t>
            </w:r>
            <w:r>
              <w:rPr>
                <w:color w:val="231F20"/>
                <w:sz w:val="14"/>
              </w:rPr>
              <w:t>тела;</w:t>
            </w:r>
          </w:p>
          <w:p w:rsidR="00041039" w:rsidRDefault="001B26CB">
            <w:pPr>
              <w:pStyle w:val="TableParagraph"/>
              <w:numPr>
                <w:ilvl w:val="0"/>
                <w:numId w:val="2031"/>
              </w:numPr>
              <w:tabs>
                <w:tab w:val="left" w:pos="157"/>
              </w:tabs>
              <w:spacing w:line="160" w:lineRule="exact"/>
              <w:ind w:right="201" w:hanging="99"/>
              <w:rPr>
                <w:sz w:val="14"/>
              </w:rPr>
            </w:pPr>
            <w:r>
              <w:rPr>
                <w:color w:val="231F20"/>
                <w:sz w:val="14"/>
              </w:rPr>
              <w:t>проналази равне пресеке полиедра и израчунава им</w:t>
            </w:r>
            <w:r>
              <w:rPr>
                <w:color w:val="231F20"/>
                <w:spacing w:val="-3"/>
                <w:sz w:val="14"/>
              </w:rPr>
              <w:t xml:space="preserve"> </w:t>
            </w:r>
            <w:r>
              <w:rPr>
                <w:color w:val="231F20"/>
                <w:sz w:val="14"/>
              </w:rPr>
              <w:t>површину;</w:t>
            </w:r>
          </w:p>
          <w:p w:rsidR="00041039" w:rsidRDefault="001B26CB">
            <w:pPr>
              <w:pStyle w:val="TableParagraph"/>
              <w:numPr>
                <w:ilvl w:val="0"/>
                <w:numId w:val="2031"/>
              </w:numPr>
              <w:tabs>
                <w:tab w:val="left" w:pos="157"/>
              </w:tabs>
              <w:spacing w:line="153" w:lineRule="exact"/>
              <w:ind w:hanging="99"/>
              <w:rPr>
                <w:sz w:val="14"/>
              </w:rPr>
            </w:pPr>
            <w:r>
              <w:rPr>
                <w:color w:val="231F20"/>
                <w:sz w:val="14"/>
              </w:rPr>
              <w:t>разликује пет правилних</w:t>
            </w:r>
            <w:r>
              <w:rPr>
                <w:color w:val="231F20"/>
                <w:spacing w:val="-8"/>
                <w:sz w:val="14"/>
              </w:rPr>
              <w:t xml:space="preserve"> </w:t>
            </w:r>
            <w:r>
              <w:rPr>
                <w:color w:val="231F20"/>
                <w:sz w:val="14"/>
              </w:rPr>
              <w:t>полиедара;</w:t>
            </w:r>
          </w:p>
          <w:p w:rsidR="00041039" w:rsidRDefault="001B26CB">
            <w:pPr>
              <w:pStyle w:val="TableParagraph"/>
              <w:numPr>
                <w:ilvl w:val="0"/>
                <w:numId w:val="2031"/>
              </w:numPr>
              <w:tabs>
                <w:tab w:val="left" w:pos="157"/>
              </w:tabs>
              <w:spacing w:line="237" w:lineRule="auto"/>
              <w:ind w:right="236" w:hanging="99"/>
              <w:rPr>
                <w:sz w:val="14"/>
              </w:rPr>
            </w:pPr>
            <w:r>
              <w:rPr>
                <w:color w:val="231F20"/>
                <w:sz w:val="14"/>
              </w:rPr>
              <w:t>примени стечено знање у</w:t>
            </w:r>
            <w:r>
              <w:rPr>
                <w:color w:val="231F20"/>
                <w:spacing w:val="-17"/>
                <w:sz w:val="14"/>
              </w:rPr>
              <w:t xml:space="preserve"> </w:t>
            </w:r>
            <w:r>
              <w:rPr>
                <w:color w:val="231F20"/>
                <w:sz w:val="14"/>
              </w:rPr>
              <w:t>решавању практичних</w:t>
            </w:r>
            <w:r>
              <w:rPr>
                <w:color w:val="231F20"/>
                <w:spacing w:val="-1"/>
                <w:sz w:val="14"/>
              </w:rPr>
              <w:t xml:space="preserve"> </w:t>
            </w:r>
            <w:r>
              <w:rPr>
                <w:color w:val="231F20"/>
                <w:sz w:val="14"/>
              </w:rPr>
              <w:t>проблема;</w:t>
            </w:r>
          </w:p>
        </w:tc>
        <w:tc>
          <w:tcPr>
            <w:tcW w:w="2834" w:type="dxa"/>
          </w:tcPr>
          <w:p w:rsidR="00041039" w:rsidRDefault="001B26CB">
            <w:pPr>
              <w:pStyle w:val="TableParagraph"/>
              <w:numPr>
                <w:ilvl w:val="0"/>
                <w:numId w:val="2030"/>
              </w:numPr>
              <w:tabs>
                <w:tab w:val="left" w:pos="157"/>
              </w:tabs>
              <w:spacing w:before="8" w:line="166" w:lineRule="exact"/>
              <w:ind w:hanging="99"/>
              <w:rPr>
                <w:sz w:val="14"/>
              </w:rPr>
            </w:pPr>
            <w:r>
              <w:rPr>
                <w:color w:val="231F20"/>
                <w:sz w:val="14"/>
              </w:rPr>
              <w:t>Површине равних</w:t>
            </w:r>
            <w:r>
              <w:rPr>
                <w:color w:val="231F20"/>
                <w:spacing w:val="-2"/>
                <w:sz w:val="14"/>
              </w:rPr>
              <w:t xml:space="preserve"> </w:t>
            </w:r>
            <w:r>
              <w:rPr>
                <w:color w:val="231F20"/>
                <w:sz w:val="14"/>
              </w:rPr>
              <w:t>фигура.</w:t>
            </w:r>
          </w:p>
          <w:p w:rsidR="00041039" w:rsidRDefault="001B26CB">
            <w:pPr>
              <w:pStyle w:val="TableParagraph"/>
              <w:numPr>
                <w:ilvl w:val="0"/>
                <w:numId w:val="2030"/>
              </w:numPr>
              <w:tabs>
                <w:tab w:val="left" w:pos="157"/>
              </w:tabs>
              <w:spacing w:line="160" w:lineRule="exact"/>
              <w:ind w:hanging="99"/>
              <w:rPr>
                <w:sz w:val="14"/>
              </w:rPr>
            </w:pPr>
            <w:r>
              <w:rPr>
                <w:color w:val="231F20"/>
                <w:sz w:val="14"/>
              </w:rPr>
              <w:t>Површина и запремина</w:t>
            </w:r>
            <w:r>
              <w:rPr>
                <w:color w:val="231F20"/>
                <w:spacing w:val="-6"/>
                <w:sz w:val="14"/>
              </w:rPr>
              <w:t xml:space="preserve"> </w:t>
            </w:r>
            <w:r>
              <w:rPr>
                <w:color w:val="231F20"/>
                <w:sz w:val="14"/>
              </w:rPr>
              <w:t>призме.</w:t>
            </w:r>
          </w:p>
          <w:p w:rsidR="00041039" w:rsidRDefault="001B26CB">
            <w:pPr>
              <w:pStyle w:val="TableParagraph"/>
              <w:numPr>
                <w:ilvl w:val="0"/>
                <w:numId w:val="2030"/>
              </w:numPr>
              <w:tabs>
                <w:tab w:val="left" w:pos="157"/>
              </w:tabs>
              <w:spacing w:line="160" w:lineRule="exact"/>
              <w:ind w:hanging="99"/>
              <w:rPr>
                <w:sz w:val="14"/>
              </w:rPr>
            </w:pPr>
            <w:r>
              <w:rPr>
                <w:color w:val="231F20"/>
                <w:sz w:val="14"/>
              </w:rPr>
              <w:t>Површина и запремина</w:t>
            </w:r>
            <w:r>
              <w:rPr>
                <w:color w:val="231F20"/>
                <w:spacing w:val="-7"/>
                <w:sz w:val="14"/>
              </w:rPr>
              <w:t xml:space="preserve"> </w:t>
            </w:r>
            <w:r>
              <w:rPr>
                <w:color w:val="231F20"/>
                <w:sz w:val="14"/>
              </w:rPr>
              <w:t>пирамиде.</w:t>
            </w:r>
          </w:p>
          <w:p w:rsidR="00041039" w:rsidRDefault="001B26CB">
            <w:pPr>
              <w:pStyle w:val="TableParagraph"/>
              <w:numPr>
                <w:ilvl w:val="0"/>
                <w:numId w:val="2030"/>
              </w:numPr>
              <w:tabs>
                <w:tab w:val="left" w:pos="157"/>
              </w:tabs>
              <w:spacing w:line="237" w:lineRule="auto"/>
              <w:ind w:right="245" w:hanging="99"/>
              <w:rPr>
                <w:sz w:val="14"/>
              </w:rPr>
            </w:pPr>
            <w:r>
              <w:rPr>
                <w:color w:val="231F20"/>
                <w:sz w:val="14"/>
              </w:rPr>
              <w:t>Површина и запремина зарубљене</w:t>
            </w:r>
            <w:r>
              <w:rPr>
                <w:color w:val="231F20"/>
                <w:spacing w:val="-26"/>
                <w:sz w:val="14"/>
              </w:rPr>
              <w:t xml:space="preserve"> </w:t>
            </w:r>
            <w:r>
              <w:rPr>
                <w:color w:val="231F20"/>
                <w:sz w:val="14"/>
              </w:rPr>
              <w:t>пира­ миде.</w:t>
            </w:r>
          </w:p>
          <w:p w:rsidR="00041039" w:rsidRDefault="001B26CB">
            <w:pPr>
              <w:pStyle w:val="TableParagraph"/>
              <w:numPr>
                <w:ilvl w:val="0"/>
                <w:numId w:val="2030"/>
              </w:numPr>
              <w:tabs>
                <w:tab w:val="left" w:pos="157"/>
              </w:tabs>
              <w:spacing w:line="155" w:lineRule="exact"/>
              <w:ind w:hanging="99"/>
              <w:rPr>
                <w:sz w:val="14"/>
              </w:rPr>
            </w:pPr>
            <w:r>
              <w:rPr>
                <w:color w:val="231F20"/>
                <w:sz w:val="14"/>
              </w:rPr>
              <w:t>Равни пресеци</w:t>
            </w:r>
            <w:r>
              <w:rPr>
                <w:color w:val="231F20"/>
                <w:spacing w:val="-2"/>
                <w:sz w:val="14"/>
              </w:rPr>
              <w:t xml:space="preserve"> </w:t>
            </w:r>
            <w:r>
              <w:rPr>
                <w:color w:val="231F20"/>
                <w:sz w:val="14"/>
              </w:rPr>
              <w:t>полиедара.</w:t>
            </w:r>
          </w:p>
          <w:p w:rsidR="00041039" w:rsidRDefault="001B26CB">
            <w:pPr>
              <w:pStyle w:val="TableParagraph"/>
              <w:numPr>
                <w:ilvl w:val="0"/>
                <w:numId w:val="2030"/>
              </w:numPr>
              <w:tabs>
                <w:tab w:val="left" w:pos="157"/>
              </w:tabs>
              <w:spacing w:line="166" w:lineRule="exact"/>
              <w:ind w:hanging="99"/>
              <w:rPr>
                <w:sz w:val="14"/>
              </w:rPr>
            </w:pPr>
            <w:r>
              <w:rPr>
                <w:color w:val="231F20"/>
                <w:sz w:val="14"/>
              </w:rPr>
              <w:t>Правилни</w:t>
            </w:r>
            <w:r>
              <w:rPr>
                <w:color w:val="231F20"/>
                <w:spacing w:val="-2"/>
                <w:sz w:val="14"/>
              </w:rPr>
              <w:t xml:space="preserve"> </w:t>
            </w:r>
            <w:r>
              <w:rPr>
                <w:color w:val="231F20"/>
                <w:sz w:val="14"/>
              </w:rPr>
              <w:t>полиедри.</w:t>
            </w:r>
          </w:p>
        </w:tc>
        <w:tc>
          <w:tcPr>
            <w:tcW w:w="2267" w:type="dxa"/>
            <w:vMerge w:val="restart"/>
          </w:tcPr>
          <w:p w:rsidR="00041039" w:rsidRDefault="001B26CB">
            <w:pPr>
              <w:pStyle w:val="TableParagraph"/>
              <w:numPr>
                <w:ilvl w:val="0"/>
                <w:numId w:val="2029"/>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029"/>
              </w:numPr>
              <w:tabs>
                <w:tab w:val="left" w:pos="158"/>
              </w:tabs>
              <w:spacing w:line="160" w:lineRule="exact"/>
              <w:ind w:hanging="99"/>
              <w:rPr>
                <w:b/>
                <w:sz w:val="14"/>
              </w:rPr>
            </w:pPr>
            <w:r>
              <w:rPr>
                <w:color w:val="231F20"/>
                <w:sz w:val="14"/>
              </w:rPr>
              <w:t xml:space="preserve">теоријска настава </w:t>
            </w:r>
            <w:r>
              <w:rPr>
                <w:b/>
                <w:color w:val="231F20"/>
                <w:sz w:val="14"/>
              </w:rPr>
              <w:t>(175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2029"/>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2029"/>
              </w:numPr>
              <w:tabs>
                <w:tab w:val="left" w:pos="158"/>
              </w:tabs>
              <w:spacing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2029"/>
              </w:numPr>
              <w:tabs>
                <w:tab w:val="left" w:pos="158"/>
              </w:tabs>
              <w:spacing w:before="1"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2029"/>
              </w:numPr>
              <w:tabs>
                <w:tab w:val="left" w:pos="158"/>
              </w:tabs>
              <w:spacing w:line="160" w:lineRule="exact"/>
              <w:ind w:right="476" w:hanging="99"/>
              <w:rPr>
                <w:sz w:val="14"/>
              </w:rPr>
            </w:pPr>
            <w:r>
              <w:rPr>
                <w:color w:val="231F20"/>
                <w:sz w:val="14"/>
              </w:rPr>
              <w:t>подстицати ученике на размишљање и самостално закључивање;</w:t>
            </w:r>
          </w:p>
          <w:p w:rsidR="00041039" w:rsidRDefault="001B26CB">
            <w:pPr>
              <w:pStyle w:val="TableParagraph"/>
              <w:numPr>
                <w:ilvl w:val="0"/>
                <w:numId w:val="2029"/>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2029"/>
              </w:numPr>
              <w:tabs>
                <w:tab w:val="left" w:pos="158"/>
              </w:tabs>
              <w:spacing w:line="160" w:lineRule="exact"/>
              <w:ind w:right="309" w:hanging="99"/>
              <w:rPr>
                <w:sz w:val="14"/>
              </w:rPr>
            </w:pPr>
            <w:r>
              <w:rPr>
                <w:color w:val="231F20"/>
                <w:sz w:val="14"/>
              </w:rPr>
              <w:t>упући</w:t>
            </w:r>
            <w:r>
              <w:rPr>
                <w:color w:val="231F20"/>
                <w:sz w:val="14"/>
              </w:rPr>
              <w:t>вати ученике на претраживање различитих извора и примену савремених технологија;</w:t>
            </w:r>
          </w:p>
          <w:p w:rsidR="00041039" w:rsidRDefault="001B26CB">
            <w:pPr>
              <w:pStyle w:val="TableParagraph"/>
              <w:numPr>
                <w:ilvl w:val="0"/>
                <w:numId w:val="2028"/>
              </w:numPr>
              <w:tabs>
                <w:tab w:val="left" w:pos="143"/>
              </w:tabs>
              <w:spacing w:line="237" w:lineRule="auto"/>
              <w:ind w:right="140"/>
              <w:rPr>
                <w:sz w:val="14"/>
              </w:rPr>
            </w:pPr>
            <w:r>
              <w:rPr>
                <w:b/>
                <w:color w:val="231F20"/>
                <w:sz w:val="14"/>
              </w:rPr>
              <w:t xml:space="preserve">Полиедри и обртна тела: </w:t>
            </w:r>
            <w:r>
              <w:rPr>
                <w:color w:val="231F20"/>
                <w:sz w:val="14"/>
              </w:rPr>
              <w:t>до­ пунити већ постојећа знања о телима новим планиметријским садржајима; омогућити учени­ цима боље виђење простора кроз разне примене и кроз рад са сложеним</w:t>
            </w:r>
            <w:r>
              <w:rPr>
                <w:color w:val="231F20"/>
                <w:spacing w:val="-1"/>
                <w:sz w:val="14"/>
              </w:rPr>
              <w:t xml:space="preserve"> </w:t>
            </w:r>
            <w:r>
              <w:rPr>
                <w:color w:val="231F20"/>
                <w:sz w:val="14"/>
              </w:rPr>
              <w:t>телима.</w:t>
            </w:r>
          </w:p>
          <w:p w:rsidR="00041039" w:rsidRDefault="001B26CB">
            <w:pPr>
              <w:pStyle w:val="TableParagraph"/>
              <w:numPr>
                <w:ilvl w:val="0"/>
                <w:numId w:val="2028"/>
              </w:numPr>
              <w:tabs>
                <w:tab w:val="left" w:pos="143"/>
              </w:tabs>
              <w:spacing w:before="2"/>
              <w:ind w:right="101"/>
              <w:rPr>
                <w:sz w:val="14"/>
              </w:rPr>
            </w:pPr>
            <w:r>
              <w:rPr>
                <w:b/>
                <w:color w:val="231F20"/>
                <w:sz w:val="14"/>
              </w:rPr>
              <w:t xml:space="preserve">Вектори: </w:t>
            </w:r>
            <w:r>
              <w:rPr>
                <w:color w:val="231F20"/>
                <w:sz w:val="14"/>
              </w:rPr>
              <w:t>представити коор­ динатно скаларни, векторски и мешовити производ и користити их</w:t>
            </w:r>
            <w:r>
              <w:rPr>
                <w:color w:val="231F20"/>
                <w:sz w:val="14"/>
              </w:rPr>
              <w:t xml:space="preserve"> при израчунавању површина</w:t>
            </w:r>
            <w:r>
              <w:rPr>
                <w:color w:val="231F20"/>
                <w:spacing w:val="-22"/>
                <w:sz w:val="14"/>
              </w:rPr>
              <w:t xml:space="preserve"> </w:t>
            </w:r>
            <w:r>
              <w:rPr>
                <w:color w:val="231F20"/>
                <w:sz w:val="14"/>
              </w:rPr>
              <w:t>и запремина.</w:t>
            </w:r>
          </w:p>
          <w:p w:rsidR="00041039" w:rsidRDefault="001B26CB">
            <w:pPr>
              <w:pStyle w:val="TableParagraph"/>
              <w:numPr>
                <w:ilvl w:val="0"/>
                <w:numId w:val="2028"/>
              </w:numPr>
              <w:tabs>
                <w:tab w:val="left" w:pos="143"/>
              </w:tabs>
              <w:spacing w:line="237" w:lineRule="auto"/>
              <w:ind w:right="419"/>
              <w:rPr>
                <w:sz w:val="14"/>
              </w:rPr>
            </w:pPr>
            <w:r>
              <w:rPr>
                <w:b/>
                <w:color w:val="231F20"/>
                <w:sz w:val="14"/>
              </w:rPr>
              <w:t xml:space="preserve">Аналитичка геометрија у равни: </w:t>
            </w:r>
            <w:r>
              <w:rPr>
                <w:color w:val="231F20"/>
                <w:sz w:val="14"/>
              </w:rPr>
              <w:t>развијати способно­ сти за формирање</w:t>
            </w:r>
            <w:r>
              <w:rPr>
                <w:color w:val="231F20"/>
                <w:spacing w:val="-13"/>
                <w:sz w:val="14"/>
              </w:rPr>
              <w:t xml:space="preserve"> </w:t>
            </w:r>
            <w:r>
              <w:rPr>
                <w:color w:val="231F20"/>
                <w:sz w:val="14"/>
              </w:rPr>
              <w:t>једначина</w:t>
            </w:r>
          </w:p>
          <w:p w:rsidR="00041039" w:rsidRDefault="001B26CB">
            <w:pPr>
              <w:pStyle w:val="TableParagraph"/>
              <w:ind w:left="142"/>
              <w:rPr>
                <w:sz w:val="14"/>
              </w:rPr>
            </w:pPr>
            <w:r>
              <w:rPr>
                <w:color w:val="231F20"/>
                <w:sz w:val="14"/>
              </w:rPr>
              <w:t>правих и кривих другог реда при испитивању међусобних положаја ових линија; решавати познате планиметријске проблеме алатом аналитичке гео</w:t>
            </w:r>
            <w:r>
              <w:rPr>
                <w:color w:val="231F20"/>
                <w:sz w:val="14"/>
              </w:rPr>
              <w:t>метрије.</w:t>
            </w:r>
          </w:p>
          <w:p w:rsidR="00041039" w:rsidRDefault="001B26CB">
            <w:pPr>
              <w:pStyle w:val="TableParagraph"/>
              <w:numPr>
                <w:ilvl w:val="0"/>
                <w:numId w:val="2028"/>
              </w:numPr>
              <w:tabs>
                <w:tab w:val="left" w:pos="143"/>
              </w:tabs>
              <w:spacing w:line="237" w:lineRule="auto"/>
              <w:ind w:right="82"/>
              <w:rPr>
                <w:sz w:val="14"/>
              </w:rPr>
            </w:pPr>
            <w:r>
              <w:rPr>
                <w:b/>
                <w:color w:val="231F20"/>
                <w:sz w:val="14"/>
              </w:rPr>
              <w:t xml:space="preserve">Математичка индукција. Низови: </w:t>
            </w:r>
            <w:r>
              <w:rPr>
                <w:color w:val="231F20"/>
                <w:sz w:val="14"/>
              </w:rPr>
              <w:t>математичку индукцију вежбати на једноставним при­ мерима; објаснити поја низа и особине; радити на граничним вредностима што шире.</w:t>
            </w:r>
            <w:r>
              <w:rPr>
                <w:color w:val="231F20"/>
                <w:spacing w:val="-17"/>
                <w:sz w:val="14"/>
              </w:rPr>
              <w:t xml:space="preserve"> </w:t>
            </w:r>
            <w:r>
              <w:rPr>
                <w:color w:val="231F20"/>
                <w:sz w:val="14"/>
              </w:rPr>
              <w:t>Нарочито увежбати аритметички и геомет­ ријски</w:t>
            </w:r>
            <w:r>
              <w:rPr>
                <w:color w:val="231F20"/>
                <w:spacing w:val="-1"/>
                <w:sz w:val="14"/>
              </w:rPr>
              <w:t xml:space="preserve"> </w:t>
            </w:r>
            <w:r>
              <w:rPr>
                <w:color w:val="231F20"/>
                <w:sz w:val="14"/>
              </w:rPr>
              <w:t>низ.</w:t>
            </w:r>
          </w:p>
          <w:p w:rsidR="00041039" w:rsidRDefault="001B26CB">
            <w:pPr>
              <w:pStyle w:val="TableParagraph"/>
              <w:numPr>
                <w:ilvl w:val="0"/>
                <w:numId w:val="2028"/>
              </w:numPr>
              <w:tabs>
                <w:tab w:val="left" w:pos="143"/>
              </w:tabs>
              <w:ind w:right="184"/>
              <w:rPr>
                <w:sz w:val="14"/>
              </w:rPr>
            </w:pPr>
            <w:r>
              <w:rPr>
                <w:b/>
                <w:color w:val="231F20"/>
                <w:sz w:val="14"/>
              </w:rPr>
              <w:t xml:space="preserve">Комплексни бројеви и по- линоми: </w:t>
            </w:r>
            <w:r>
              <w:rPr>
                <w:color w:val="231F20"/>
                <w:sz w:val="14"/>
              </w:rPr>
              <w:t>кроз степен и корен комплексног броја, уз помоћ основног става алгебре, довести до генерализације решавања алгебарских</w:t>
            </w:r>
            <w:r>
              <w:rPr>
                <w:color w:val="231F20"/>
                <w:spacing w:val="-1"/>
                <w:sz w:val="14"/>
              </w:rPr>
              <w:t xml:space="preserve"> </w:t>
            </w:r>
            <w:r>
              <w:rPr>
                <w:color w:val="231F20"/>
                <w:sz w:val="14"/>
              </w:rPr>
              <w:t>једначина.</w:t>
            </w:r>
          </w:p>
          <w:p w:rsidR="00041039" w:rsidRDefault="00041039">
            <w:pPr>
              <w:pStyle w:val="TableParagraph"/>
              <w:spacing w:before="2"/>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027"/>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2027"/>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2600"/>
        </w:trPr>
        <w:tc>
          <w:tcPr>
            <w:tcW w:w="1304" w:type="dxa"/>
          </w:tcPr>
          <w:p w:rsidR="00041039" w:rsidRDefault="001B26CB">
            <w:pPr>
              <w:pStyle w:val="TableParagraph"/>
              <w:spacing w:before="20"/>
              <w:ind w:left="56"/>
              <w:rPr>
                <w:sz w:val="14"/>
              </w:rPr>
            </w:pPr>
            <w:r>
              <w:rPr>
                <w:color w:val="231F20"/>
                <w:sz w:val="14"/>
              </w:rPr>
              <w:t>Обртна тела</w:t>
            </w:r>
          </w:p>
        </w:tc>
        <w:tc>
          <w:tcPr>
            <w:tcW w:w="1587" w:type="dxa"/>
          </w:tcPr>
          <w:p w:rsidR="00041039" w:rsidRDefault="001B26CB">
            <w:pPr>
              <w:pStyle w:val="TableParagraph"/>
              <w:numPr>
                <w:ilvl w:val="0"/>
                <w:numId w:val="2026"/>
              </w:numPr>
              <w:tabs>
                <w:tab w:val="left" w:pos="157"/>
              </w:tabs>
              <w:spacing w:before="10"/>
              <w:ind w:right="138"/>
              <w:rPr>
                <w:sz w:val="14"/>
              </w:rPr>
            </w:pPr>
            <w:r>
              <w:rPr>
                <w:color w:val="231F20"/>
                <w:sz w:val="14"/>
              </w:rPr>
              <w:t>Употпуњавање</w:t>
            </w:r>
            <w:r>
              <w:rPr>
                <w:color w:val="231F20"/>
                <w:spacing w:val="-18"/>
                <w:sz w:val="14"/>
              </w:rPr>
              <w:t xml:space="preserve"> </w:t>
            </w:r>
            <w:r>
              <w:rPr>
                <w:color w:val="231F20"/>
                <w:sz w:val="14"/>
              </w:rPr>
              <w:t>знања о површини и запре­ мини обртних тела и примена ових</w:t>
            </w:r>
            <w:r>
              <w:rPr>
                <w:color w:val="231F20"/>
                <w:spacing w:val="-9"/>
                <w:sz w:val="14"/>
              </w:rPr>
              <w:t xml:space="preserve"> </w:t>
            </w:r>
            <w:r>
              <w:rPr>
                <w:color w:val="231F20"/>
                <w:sz w:val="14"/>
              </w:rPr>
              <w:t>знања.</w:t>
            </w:r>
          </w:p>
        </w:tc>
        <w:tc>
          <w:tcPr>
            <w:tcW w:w="2551" w:type="dxa"/>
          </w:tcPr>
          <w:p w:rsidR="00041039" w:rsidRDefault="001B26CB">
            <w:pPr>
              <w:pStyle w:val="TableParagraph"/>
              <w:numPr>
                <w:ilvl w:val="0"/>
                <w:numId w:val="2025"/>
              </w:numPr>
              <w:tabs>
                <w:tab w:val="left" w:pos="157"/>
              </w:tabs>
              <w:spacing w:before="10"/>
              <w:ind w:right="197" w:hanging="99"/>
              <w:jc w:val="both"/>
              <w:rPr>
                <w:sz w:val="14"/>
              </w:rPr>
            </w:pPr>
            <w:r>
              <w:rPr>
                <w:color w:val="231F20"/>
                <w:sz w:val="14"/>
              </w:rPr>
              <w:t>напише и примени формуле за изра­ чунавање обима и површине круга</w:t>
            </w:r>
            <w:r>
              <w:rPr>
                <w:color w:val="231F20"/>
                <w:spacing w:val="-14"/>
                <w:sz w:val="14"/>
              </w:rPr>
              <w:t xml:space="preserve"> </w:t>
            </w:r>
            <w:r>
              <w:rPr>
                <w:color w:val="231F20"/>
                <w:sz w:val="14"/>
              </w:rPr>
              <w:t>и делова</w:t>
            </w:r>
            <w:r>
              <w:rPr>
                <w:color w:val="231F20"/>
                <w:spacing w:val="-1"/>
                <w:sz w:val="14"/>
              </w:rPr>
              <w:t xml:space="preserve"> </w:t>
            </w:r>
            <w:r>
              <w:rPr>
                <w:color w:val="231F20"/>
                <w:sz w:val="14"/>
              </w:rPr>
              <w:t>круга;</w:t>
            </w:r>
          </w:p>
          <w:p w:rsidR="00041039" w:rsidRDefault="001B26CB">
            <w:pPr>
              <w:pStyle w:val="TableParagraph"/>
              <w:numPr>
                <w:ilvl w:val="0"/>
                <w:numId w:val="2025"/>
              </w:numPr>
              <w:tabs>
                <w:tab w:val="left" w:pos="157"/>
              </w:tabs>
              <w:spacing w:line="157" w:lineRule="exact"/>
              <w:ind w:hanging="99"/>
              <w:rPr>
                <w:sz w:val="14"/>
              </w:rPr>
            </w:pPr>
            <w:r>
              <w:rPr>
                <w:color w:val="231F20"/>
                <w:sz w:val="14"/>
              </w:rPr>
              <w:t>проналази равне пресеке облих тела</w:t>
            </w:r>
            <w:r>
              <w:rPr>
                <w:color w:val="231F20"/>
                <w:spacing w:val="-12"/>
                <w:sz w:val="14"/>
              </w:rPr>
              <w:t xml:space="preserve"> </w:t>
            </w:r>
            <w:r>
              <w:rPr>
                <w:color w:val="231F20"/>
                <w:sz w:val="14"/>
              </w:rPr>
              <w:t>и</w:t>
            </w:r>
          </w:p>
          <w:p w:rsidR="00041039" w:rsidRDefault="001B26CB">
            <w:pPr>
              <w:pStyle w:val="TableParagraph"/>
              <w:spacing w:line="155" w:lineRule="exact"/>
              <w:rPr>
                <w:sz w:val="14"/>
              </w:rPr>
            </w:pPr>
            <w:r>
              <w:rPr>
                <w:color w:val="231F20"/>
                <w:sz w:val="14"/>
              </w:rPr>
              <w:t>израчунава им површину;</w:t>
            </w:r>
          </w:p>
          <w:p w:rsidR="00041039" w:rsidRDefault="001B26CB">
            <w:pPr>
              <w:pStyle w:val="TableParagraph"/>
              <w:numPr>
                <w:ilvl w:val="0"/>
                <w:numId w:val="2025"/>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ваљка;</w:t>
            </w:r>
          </w:p>
          <w:p w:rsidR="00041039" w:rsidRDefault="001B26CB">
            <w:pPr>
              <w:pStyle w:val="TableParagraph"/>
              <w:numPr>
                <w:ilvl w:val="0"/>
                <w:numId w:val="2025"/>
              </w:numPr>
              <w:tabs>
                <w:tab w:val="left" w:pos="157"/>
              </w:tabs>
              <w:spacing w:line="155" w:lineRule="exact"/>
              <w:ind w:hanging="99"/>
              <w:rPr>
                <w:sz w:val="14"/>
              </w:rPr>
            </w:pPr>
            <w:r>
              <w:rPr>
                <w:color w:val="231F20"/>
                <w:sz w:val="14"/>
              </w:rPr>
              <w:t>израчуна површину и запремину</w:t>
            </w:r>
            <w:r>
              <w:rPr>
                <w:color w:val="231F20"/>
                <w:spacing w:val="-19"/>
                <w:sz w:val="14"/>
              </w:rPr>
              <w:t xml:space="preserve"> </w:t>
            </w:r>
            <w:r>
              <w:rPr>
                <w:color w:val="231F20"/>
                <w:sz w:val="14"/>
              </w:rPr>
              <w:t>купе;</w:t>
            </w:r>
          </w:p>
          <w:p w:rsidR="00041039" w:rsidRDefault="001B26CB">
            <w:pPr>
              <w:pStyle w:val="TableParagraph"/>
              <w:numPr>
                <w:ilvl w:val="0"/>
                <w:numId w:val="2025"/>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зарубљене</w:t>
            </w:r>
            <w:r>
              <w:rPr>
                <w:color w:val="231F20"/>
                <w:spacing w:val="-1"/>
                <w:sz w:val="14"/>
              </w:rPr>
              <w:t xml:space="preserve"> </w:t>
            </w:r>
            <w:r>
              <w:rPr>
                <w:color w:val="231F20"/>
                <w:sz w:val="14"/>
              </w:rPr>
              <w:t>купе;</w:t>
            </w:r>
          </w:p>
          <w:p w:rsidR="00041039" w:rsidRDefault="001B26CB">
            <w:pPr>
              <w:pStyle w:val="TableParagraph"/>
              <w:numPr>
                <w:ilvl w:val="0"/>
                <w:numId w:val="2025"/>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ротационог</w:t>
            </w:r>
            <w:r>
              <w:rPr>
                <w:color w:val="231F20"/>
                <w:spacing w:val="-1"/>
                <w:sz w:val="14"/>
              </w:rPr>
              <w:t xml:space="preserve"> </w:t>
            </w:r>
            <w:r>
              <w:rPr>
                <w:color w:val="231F20"/>
                <w:sz w:val="14"/>
              </w:rPr>
              <w:t>тела;</w:t>
            </w:r>
          </w:p>
          <w:p w:rsidR="00041039" w:rsidRDefault="001B26CB">
            <w:pPr>
              <w:pStyle w:val="TableParagraph"/>
              <w:numPr>
                <w:ilvl w:val="0"/>
                <w:numId w:val="2025"/>
              </w:numPr>
              <w:tabs>
                <w:tab w:val="left" w:pos="157"/>
              </w:tabs>
              <w:spacing w:line="160" w:lineRule="exact"/>
              <w:ind w:right="55" w:hanging="99"/>
              <w:rPr>
                <w:sz w:val="14"/>
              </w:rPr>
            </w:pPr>
            <w:r>
              <w:rPr>
                <w:color w:val="231F20"/>
                <w:sz w:val="14"/>
              </w:rPr>
              <w:t>израчуна</w:t>
            </w:r>
            <w:r>
              <w:rPr>
                <w:color w:val="231F20"/>
                <w:spacing w:val="-7"/>
                <w:sz w:val="14"/>
              </w:rPr>
              <w:t xml:space="preserve"> </w:t>
            </w:r>
            <w:r>
              <w:rPr>
                <w:color w:val="231F20"/>
                <w:sz w:val="14"/>
              </w:rPr>
              <w:t>површину</w:t>
            </w:r>
            <w:r>
              <w:rPr>
                <w:color w:val="231F20"/>
                <w:spacing w:val="-8"/>
                <w:sz w:val="14"/>
              </w:rPr>
              <w:t xml:space="preserve"> </w:t>
            </w:r>
            <w:r>
              <w:rPr>
                <w:color w:val="231F20"/>
                <w:sz w:val="14"/>
              </w:rPr>
              <w:t>и</w:t>
            </w:r>
            <w:r>
              <w:rPr>
                <w:color w:val="231F20"/>
                <w:spacing w:val="-8"/>
                <w:sz w:val="14"/>
              </w:rPr>
              <w:t xml:space="preserve"> </w:t>
            </w:r>
            <w:r>
              <w:rPr>
                <w:color w:val="231F20"/>
                <w:sz w:val="14"/>
              </w:rPr>
              <w:t>запремину</w:t>
            </w:r>
            <w:r>
              <w:rPr>
                <w:color w:val="231F20"/>
                <w:spacing w:val="-8"/>
                <w:sz w:val="14"/>
              </w:rPr>
              <w:t xml:space="preserve"> </w:t>
            </w:r>
            <w:r>
              <w:rPr>
                <w:color w:val="231F20"/>
                <w:sz w:val="14"/>
              </w:rPr>
              <w:t>лопте и делова</w:t>
            </w:r>
            <w:r>
              <w:rPr>
                <w:color w:val="231F20"/>
                <w:spacing w:val="-2"/>
                <w:sz w:val="14"/>
              </w:rPr>
              <w:t xml:space="preserve"> </w:t>
            </w:r>
            <w:r>
              <w:rPr>
                <w:color w:val="231F20"/>
                <w:sz w:val="14"/>
              </w:rPr>
              <w:t>лопте;</w:t>
            </w:r>
          </w:p>
          <w:p w:rsidR="00041039" w:rsidRDefault="001B26CB">
            <w:pPr>
              <w:pStyle w:val="TableParagraph"/>
              <w:numPr>
                <w:ilvl w:val="0"/>
                <w:numId w:val="2025"/>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сложеног</w:t>
            </w:r>
            <w:r>
              <w:rPr>
                <w:color w:val="231F20"/>
                <w:spacing w:val="-1"/>
                <w:sz w:val="14"/>
              </w:rPr>
              <w:t xml:space="preserve"> </w:t>
            </w:r>
            <w:r>
              <w:rPr>
                <w:color w:val="231F20"/>
                <w:sz w:val="14"/>
              </w:rPr>
              <w:t>тела;</w:t>
            </w:r>
          </w:p>
        </w:tc>
        <w:tc>
          <w:tcPr>
            <w:tcW w:w="2834" w:type="dxa"/>
          </w:tcPr>
          <w:p w:rsidR="00041039" w:rsidRDefault="001B26CB">
            <w:pPr>
              <w:pStyle w:val="TableParagraph"/>
              <w:numPr>
                <w:ilvl w:val="0"/>
                <w:numId w:val="2024"/>
              </w:numPr>
              <w:tabs>
                <w:tab w:val="left" w:pos="157"/>
              </w:tabs>
              <w:spacing w:before="10" w:line="166" w:lineRule="exact"/>
              <w:ind w:hanging="99"/>
              <w:rPr>
                <w:sz w:val="14"/>
              </w:rPr>
            </w:pPr>
            <w:r>
              <w:rPr>
                <w:color w:val="231F20"/>
                <w:sz w:val="14"/>
              </w:rPr>
              <w:t>Површина круга и делова</w:t>
            </w:r>
            <w:r>
              <w:rPr>
                <w:color w:val="231F20"/>
                <w:spacing w:val="-5"/>
                <w:sz w:val="14"/>
              </w:rPr>
              <w:t xml:space="preserve"> </w:t>
            </w:r>
            <w:r>
              <w:rPr>
                <w:color w:val="231F20"/>
                <w:sz w:val="14"/>
              </w:rPr>
              <w:t>круга.</w:t>
            </w:r>
          </w:p>
          <w:p w:rsidR="00041039" w:rsidRDefault="001B26CB">
            <w:pPr>
              <w:pStyle w:val="TableParagraph"/>
              <w:numPr>
                <w:ilvl w:val="0"/>
                <w:numId w:val="2024"/>
              </w:numPr>
              <w:tabs>
                <w:tab w:val="left" w:pos="157"/>
              </w:tabs>
              <w:spacing w:line="160" w:lineRule="exact"/>
              <w:ind w:hanging="99"/>
              <w:rPr>
                <w:sz w:val="14"/>
              </w:rPr>
            </w:pPr>
            <w:r>
              <w:rPr>
                <w:color w:val="231F20"/>
                <w:sz w:val="14"/>
              </w:rPr>
              <w:t>Површина и запремина</w:t>
            </w:r>
            <w:r>
              <w:rPr>
                <w:color w:val="231F20"/>
                <w:spacing w:val="-6"/>
                <w:sz w:val="14"/>
              </w:rPr>
              <w:t xml:space="preserve"> </w:t>
            </w:r>
            <w:r>
              <w:rPr>
                <w:color w:val="231F20"/>
                <w:sz w:val="14"/>
              </w:rPr>
              <w:t>ваљка.</w:t>
            </w:r>
          </w:p>
          <w:p w:rsidR="00041039" w:rsidRDefault="001B26CB">
            <w:pPr>
              <w:pStyle w:val="TableParagraph"/>
              <w:numPr>
                <w:ilvl w:val="0"/>
                <w:numId w:val="2024"/>
              </w:numPr>
              <w:tabs>
                <w:tab w:val="left" w:pos="157"/>
              </w:tabs>
              <w:spacing w:line="237" w:lineRule="auto"/>
              <w:ind w:right="191" w:hanging="99"/>
              <w:rPr>
                <w:sz w:val="14"/>
              </w:rPr>
            </w:pPr>
            <w:r>
              <w:rPr>
                <w:color w:val="231F20"/>
                <w:sz w:val="14"/>
              </w:rPr>
              <w:t>Површина и запремина купе и</w:t>
            </w:r>
            <w:r>
              <w:rPr>
                <w:color w:val="231F20"/>
                <w:spacing w:val="-26"/>
                <w:sz w:val="14"/>
              </w:rPr>
              <w:t xml:space="preserve"> </w:t>
            </w:r>
            <w:r>
              <w:rPr>
                <w:color w:val="231F20"/>
                <w:sz w:val="14"/>
              </w:rPr>
              <w:t>зарубљене купе.</w:t>
            </w:r>
          </w:p>
          <w:p w:rsidR="00041039" w:rsidRDefault="001B26CB">
            <w:pPr>
              <w:pStyle w:val="TableParagraph"/>
              <w:numPr>
                <w:ilvl w:val="0"/>
                <w:numId w:val="2024"/>
              </w:numPr>
              <w:tabs>
                <w:tab w:val="left" w:pos="157"/>
              </w:tabs>
              <w:spacing w:line="160" w:lineRule="exact"/>
              <w:ind w:right="352" w:hanging="99"/>
              <w:rPr>
                <w:sz w:val="14"/>
              </w:rPr>
            </w:pPr>
            <w:r>
              <w:rPr>
                <w:color w:val="231F20"/>
                <w:sz w:val="14"/>
              </w:rPr>
              <w:t>Површина и запремина лопте и</w:t>
            </w:r>
            <w:r>
              <w:rPr>
                <w:color w:val="231F20"/>
                <w:spacing w:val="-24"/>
                <w:sz w:val="14"/>
              </w:rPr>
              <w:t xml:space="preserve"> </w:t>
            </w:r>
            <w:r>
              <w:rPr>
                <w:color w:val="231F20"/>
                <w:sz w:val="14"/>
              </w:rPr>
              <w:t>делова лопте.</w:t>
            </w:r>
          </w:p>
          <w:p w:rsidR="00041039" w:rsidRDefault="001B26CB">
            <w:pPr>
              <w:pStyle w:val="TableParagraph"/>
              <w:numPr>
                <w:ilvl w:val="0"/>
                <w:numId w:val="2024"/>
              </w:numPr>
              <w:tabs>
                <w:tab w:val="left" w:pos="157"/>
              </w:tabs>
              <w:spacing w:line="159" w:lineRule="exact"/>
              <w:ind w:hanging="99"/>
              <w:rPr>
                <w:sz w:val="14"/>
              </w:rPr>
            </w:pPr>
            <w:r>
              <w:rPr>
                <w:color w:val="231F20"/>
                <w:sz w:val="14"/>
              </w:rPr>
              <w:t>Ротациона</w:t>
            </w:r>
            <w:r>
              <w:rPr>
                <w:color w:val="231F20"/>
                <w:spacing w:val="-1"/>
                <w:sz w:val="14"/>
              </w:rPr>
              <w:t xml:space="preserve"> </w:t>
            </w:r>
            <w:r>
              <w:rPr>
                <w:color w:val="231F20"/>
                <w:sz w:val="14"/>
              </w:rPr>
              <w:t>тела.</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6"/>
              <w:rPr>
                <w:sz w:val="14"/>
              </w:rPr>
            </w:pPr>
            <w:r>
              <w:rPr>
                <w:color w:val="231F20"/>
                <w:sz w:val="14"/>
              </w:rPr>
              <w:t>Вектори</w:t>
            </w:r>
          </w:p>
        </w:tc>
        <w:tc>
          <w:tcPr>
            <w:tcW w:w="1587" w:type="dxa"/>
          </w:tcPr>
          <w:p w:rsidR="00041039" w:rsidRDefault="001B26CB">
            <w:pPr>
              <w:pStyle w:val="TableParagraph"/>
              <w:numPr>
                <w:ilvl w:val="0"/>
                <w:numId w:val="2023"/>
              </w:numPr>
              <w:tabs>
                <w:tab w:val="left" w:pos="157"/>
              </w:tabs>
              <w:spacing w:before="10"/>
              <w:ind w:right="128"/>
              <w:rPr>
                <w:sz w:val="14"/>
              </w:rPr>
            </w:pPr>
            <w:r>
              <w:rPr>
                <w:color w:val="231F20"/>
                <w:sz w:val="14"/>
              </w:rPr>
              <w:t>Систематизација стеченог знања о</w:t>
            </w:r>
            <w:r>
              <w:rPr>
                <w:color w:val="231F20"/>
                <w:spacing w:val="-10"/>
                <w:sz w:val="14"/>
              </w:rPr>
              <w:t xml:space="preserve"> </w:t>
            </w:r>
            <w:r>
              <w:rPr>
                <w:color w:val="231F20"/>
                <w:sz w:val="14"/>
              </w:rPr>
              <w:t>век­ торима и</w:t>
            </w:r>
            <w:r>
              <w:rPr>
                <w:color w:val="231F20"/>
                <w:spacing w:val="-4"/>
                <w:sz w:val="14"/>
              </w:rPr>
              <w:t xml:space="preserve"> </w:t>
            </w:r>
            <w:r>
              <w:rPr>
                <w:color w:val="231F20"/>
                <w:sz w:val="14"/>
              </w:rPr>
              <w:t>примена.</w:t>
            </w:r>
          </w:p>
        </w:tc>
        <w:tc>
          <w:tcPr>
            <w:tcW w:w="2551" w:type="dxa"/>
          </w:tcPr>
          <w:p w:rsidR="00041039" w:rsidRDefault="001B26CB">
            <w:pPr>
              <w:pStyle w:val="TableParagraph"/>
              <w:numPr>
                <w:ilvl w:val="0"/>
                <w:numId w:val="2022"/>
              </w:numPr>
              <w:tabs>
                <w:tab w:val="left" w:pos="157"/>
              </w:tabs>
              <w:spacing w:before="10"/>
              <w:ind w:right="213" w:hanging="99"/>
              <w:rPr>
                <w:sz w:val="14"/>
              </w:rPr>
            </w:pPr>
            <w:r>
              <w:rPr>
                <w:color w:val="231F20"/>
                <w:sz w:val="14"/>
              </w:rPr>
              <w:t>одреди</w:t>
            </w:r>
            <w:r>
              <w:rPr>
                <w:color w:val="231F20"/>
                <w:spacing w:val="-7"/>
                <w:sz w:val="14"/>
              </w:rPr>
              <w:t xml:space="preserve"> </w:t>
            </w:r>
            <w:r>
              <w:rPr>
                <w:color w:val="231F20"/>
                <w:sz w:val="14"/>
              </w:rPr>
              <w:t>вектор</w:t>
            </w:r>
            <w:r>
              <w:rPr>
                <w:color w:val="231F20"/>
                <w:spacing w:val="-7"/>
                <w:sz w:val="14"/>
              </w:rPr>
              <w:t xml:space="preserve"> </w:t>
            </w:r>
            <w:r>
              <w:rPr>
                <w:color w:val="231F20"/>
                <w:sz w:val="14"/>
              </w:rPr>
              <w:t>положаја</w:t>
            </w:r>
            <w:r>
              <w:rPr>
                <w:color w:val="231F20"/>
                <w:spacing w:val="-7"/>
                <w:sz w:val="14"/>
              </w:rPr>
              <w:t xml:space="preserve"> </w:t>
            </w:r>
            <w:r>
              <w:rPr>
                <w:color w:val="231F20"/>
                <w:sz w:val="14"/>
              </w:rPr>
              <w:t>тачке</w:t>
            </w:r>
            <w:r>
              <w:rPr>
                <w:color w:val="231F20"/>
                <w:spacing w:val="-7"/>
                <w:sz w:val="14"/>
              </w:rPr>
              <w:t xml:space="preserve"> </w:t>
            </w:r>
            <w:r>
              <w:rPr>
                <w:color w:val="231F20"/>
                <w:sz w:val="14"/>
              </w:rPr>
              <w:t>у</w:t>
            </w:r>
            <w:r>
              <w:rPr>
                <w:color w:val="231F20"/>
                <w:spacing w:val="-7"/>
                <w:sz w:val="14"/>
              </w:rPr>
              <w:t xml:space="preserve"> </w:t>
            </w:r>
            <w:r>
              <w:rPr>
                <w:color w:val="231F20"/>
                <w:sz w:val="14"/>
              </w:rPr>
              <w:t>про­ стору;</w:t>
            </w:r>
          </w:p>
          <w:p w:rsidR="00041039" w:rsidRDefault="001B26CB">
            <w:pPr>
              <w:pStyle w:val="TableParagraph"/>
              <w:numPr>
                <w:ilvl w:val="0"/>
                <w:numId w:val="2022"/>
              </w:numPr>
              <w:tabs>
                <w:tab w:val="left" w:pos="157"/>
              </w:tabs>
              <w:spacing w:line="160" w:lineRule="exact"/>
              <w:ind w:right="284" w:hanging="99"/>
              <w:rPr>
                <w:sz w:val="14"/>
              </w:rPr>
            </w:pPr>
            <w:r>
              <w:rPr>
                <w:color w:val="231F20"/>
                <w:sz w:val="14"/>
              </w:rPr>
              <w:t>одређује линеарну комбинацију</w:t>
            </w:r>
            <w:r>
              <w:rPr>
                <w:color w:val="231F20"/>
                <w:spacing w:val="-19"/>
                <w:sz w:val="14"/>
              </w:rPr>
              <w:t xml:space="preserve"> </w:t>
            </w:r>
            <w:r>
              <w:rPr>
                <w:color w:val="231F20"/>
                <w:sz w:val="14"/>
              </w:rPr>
              <w:t>за­ датих</w:t>
            </w:r>
            <w:r>
              <w:rPr>
                <w:color w:val="231F20"/>
                <w:spacing w:val="-1"/>
                <w:sz w:val="14"/>
              </w:rPr>
              <w:t xml:space="preserve"> </w:t>
            </w:r>
            <w:r>
              <w:rPr>
                <w:color w:val="231F20"/>
                <w:sz w:val="14"/>
              </w:rPr>
              <w:t>вектора;</w:t>
            </w:r>
          </w:p>
          <w:p w:rsidR="00041039" w:rsidRDefault="001B26CB">
            <w:pPr>
              <w:pStyle w:val="TableParagraph"/>
              <w:numPr>
                <w:ilvl w:val="0"/>
                <w:numId w:val="2022"/>
              </w:numPr>
              <w:tabs>
                <w:tab w:val="left" w:pos="157"/>
              </w:tabs>
              <w:spacing w:before="1" w:line="160" w:lineRule="exact"/>
              <w:ind w:right="137" w:hanging="99"/>
              <w:rPr>
                <w:sz w:val="14"/>
              </w:rPr>
            </w:pPr>
            <w:r>
              <w:rPr>
                <w:color w:val="231F20"/>
                <w:sz w:val="14"/>
              </w:rPr>
              <w:t>одреди</w:t>
            </w:r>
            <w:r>
              <w:rPr>
                <w:color w:val="231F20"/>
                <w:spacing w:val="-7"/>
                <w:sz w:val="14"/>
              </w:rPr>
              <w:t xml:space="preserve"> </w:t>
            </w:r>
            <w:r>
              <w:rPr>
                <w:color w:val="231F20"/>
                <w:sz w:val="14"/>
              </w:rPr>
              <w:t>скаларни</w:t>
            </w:r>
            <w:r>
              <w:rPr>
                <w:color w:val="231F20"/>
                <w:spacing w:val="-8"/>
                <w:sz w:val="14"/>
              </w:rPr>
              <w:t xml:space="preserve"> </w:t>
            </w:r>
            <w:r>
              <w:rPr>
                <w:color w:val="231F20"/>
                <w:sz w:val="14"/>
              </w:rPr>
              <w:t>производ</w:t>
            </w:r>
            <w:r>
              <w:rPr>
                <w:color w:val="231F20"/>
                <w:spacing w:val="-7"/>
                <w:sz w:val="14"/>
              </w:rPr>
              <w:t xml:space="preserve"> </w:t>
            </w:r>
            <w:r>
              <w:rPr>
                <w:color w:val="231F20"/>
                <w:sz w:val="14"/>
              </w:rPr>
              <w:t>вектора</w:t>
            </w:r>
            <w:r>
              <w:rPr>
                <w:color w:val="231F20"/>
                <w:spacing w:val="-7"/>
                <w:sz w:val="14"/>
              </w:rPr>
              <w:t xml:space="preserve"> </w:t>
            </w:r>
            <w:r>
              <w:rPr>
                <w:color w:val="231F20"/>
                <w:sz w:val="14"/>
              </w:rPr>
              <w:t>по дефиницији и</w:t>
            </w:r>
            <w:r>
              <w:rPr>
                <w:color w:val="231F20"/>
                <w:spacing w:val="-3"/>
                <w:sz w:val="14"/>
              </w:rPr>
              <w:t xml:space="preserve"> </w:t>
            </w:r>
            <w:r>
              <w:rPr>
                <w:color w:val="231F20"/>
                <w:sz w:val="14"/>
              </w:rPr>
              <w:t>координатно;</w:t>
            </w:r>
          </w:p>
          <w:p w:rsidR="00041039" w:rsidRDefault="001B26CB">
            <w:pPr>
              <w:pStyle w:val="TableParagraph"/>
              <w:numPr>
                <w:ilvl w:val="0"/>
                <w:numId w:val="2022"/>
              </w:numPr>
              <w:tabs>
                <w:tab w:val="left" w:pos="157"/>
              </w:tabs>
              <w:spacing w:line="153" w:lineRule="exact"/>
              <w:ind w:hanging="99"/>
              <w:rPr>
                <w:sz w:val="14"/>
              </w:rPr>
            </w:pPr>
            <w:r>
              <w:rPr>
                <w:color w:val="231F20"/>
                <w:sz w:val="14"/>
              </w:rPr>
              <w:t>израчуна детерминанту трећег</w:t>
            </w:r>
            <w:r>
              <w:rPr>
                <w:color w:val="231F20"/>
                <w:spacing w:val="-5"/>
                <w:sz w:val="14"/>
              </w:rPr>
              <w:t xml:space="preserve"> </w:t>
            </w:r>
            <w:r>
              <w:rPr>
                <w:color w:val="231F20"/>
                <w:sz w:val="14"/>
              </w:rPr>
              <w:t>реда;</w:t>
            </w:r>
          </w:p>
          <w:p w:rsidR="00041039" w:rsidRDefault="001B26CB">
            <w:pPr>
              <w:pStyle w:val="TableParagraph"/>
              <w:numPr>
                <w:ilvl w:val="0"/>
                <w:numId w:val="2022"/>
              </w:numPr>
              <w:tabs>
                <w:tab w:val="left" w:pos="157"/>
              </w:tabs>
              <w:spacing w:line="237" w:lineRule="auto"/>
              <w:ind w:right="153" w:hanging="99"/>
              <w:rPr>
                <w:sz w:val="14"/>
              </w:rPr>
            </w:pPr>
            <w:r>
              <w:rPr>
                <w:color w:val="231F20"/>
                <w:sz w:val="14"/>
              </w:rPr>
              <w:t>одреди</w:t>
            </w:r>
            <w:r>
              <w:rPr>
                <w:color w:val="231F20"/>
                <w:spacing w:val="-7"/>
                <w:sz w:val="14"/>
              </w:rPr>
              <w:t xml:space="preserve"> </w:t>
            </w:r>
            <w:r>
              <w:rPr>
                <w:color w:val="231F20"/>
                <w:sz w:val="14"/>
              </w:rPr>
              <w:t>векторски</w:t>
            </w:r>
            <w:r>
              <w:rPr>
                <w:color w:val="231F20"/>
                <w:spacing w:val="-7"/>
                <w:sz w:val="14"/>
              </w:rPr>
              <w:t xml:space="preserve"> </w:t>
            </w:r>
            <w:r>
              <w:rPr>
                <w:color w:val="231F20"/>
                <w:sz w:val="14"/>
              </w:rPr>
              <w:t>и</w:t>
            </w:r>
            <w:r>
              <w:rPr>
                <w:color w:val="231F20"/>
                <w:spacing w:val="-8"/>
                <w:sz w:val="14"/>
              </w:rPr>
              <w:t xml:space="preserve"> </w:t>
            </w:r>
            <w:r>
              <w:rPr>
                <w:color w:val="231F20"/>
                <w:sz w:val="14"/>
              </w:rPr>
              <w:t>производ</w:t>
            </w:r>
            <w:r>
              <w:rPr>
                <w:color w:val="231F20"/>
                <w:spacing w:val="-7"/>
                <w:sz w:val="14"/>
              </w:rPr>
              <w:t xml:space="preserve"> </w:t>
            </w:r>
            <w:r>
              <w:rPr>
                <w:color w:val="231F20"/>
                <w:sz w:val="14"/>
              </w:rPr>
              <w:t>вектора по дефиницији и</w:t>
            </w:r>
            <w:r>
              <w:rPr>
                <w:color w:val="231F20"/>
                <w:spacing w:val="-5"/>
                <w:sz w:val="14"/>
              </w:rPr>
              <w:t xml:space="preserve"> </w:t>
            </w:r>
            <w:r>
              <w:rPr>
                <w:color w:val="231F20"/>
                <w:sz w:val="14"/>
              </w:rPr>
              <w:t>координатно;</w:t>
            </w:r>
          </w:p>
          <w:p w:rsidR="00041039" w:rsidRDefault="001B26CB">
            <w:pPr>
              <w:pStyle w:val="TableParagraph"/>
              <w:numPr>
                <w:ilvl w:val="0"/>
                <w:numId w:val="2022"/>
              </w:numPr>
              <w:tabs>
                <w:tab w:val="left" w:pos="157"/>
              </w:tabs>
              <w:spacing w:line="160" w:lineRule="exact"/>
              <w:ind w:right="75" w:hanging="99"/>
              <w:rPr>
                <w:sz w:val="14"/>
              </w:rPr>
            </w:pPr>
            <w:r>
              <w:rPr>
                <w:color w:val="231F20"/>
                <w:sz w:val="14"/>
              </w:rPr>
              <w:t xml:space="preserve">одреди мешовити </w:t>
            </w:r>
            <w:r>
              <w:rPr>
                <w:color w:val="231F20"/>
                <w:sz w:val="14"/>
              </w:rPr>
              <w:t>производ вектора</w:t>
            </w:r>
            <w:r>
              <w:rPr>
                <w:color w:val="231F20"/>
                <w:spacing w:val="-23"/>
                <w:sz w:val="14"/>
              </w:rPr>
              <w:t xml:space="preserve"> </w:t>
            </w:r>
            <w:r>
              <w:rPr>
                <w:color w:val="231F20"/>
                <w:sz w:val="14"/>
              </w:rPr>
              <w:t>по дефиницији и</w:t>
            </w:r>
            <w:r>
              <w:rPr>
                <w:color w:val="231F20"/>
                <w:spacing w:val="-3"/>
                <w:sz w:val="14"/>
              </w:rPr>
              <w:t xml:space="preserve"> </w:t>
            </w:r>
            <w:r>
              <w:rPr>
                <w:color w:val="231F20"/>
                <w:sz w:val="14"/>
              </w:rPr>
              <w:t>координатно;</w:t>
            </w:r>
          </w:p>
          <w:p w:rsidR="00041039" w:rsidRDefault="001B26CB">
            <w:pPr>
              <w:pStyle w:val="TableParagraph"/>
              <w:numPr>
                <w:ilvl w:val="0"/>
                <w:numId w:val="2022"/>
              </w:numPr>
              <w:tabs>
                <w:tab w:val="left" w:pos="157"/>
              </w:tabs>
              <w:spacing w:line="160" w:lineRule="exact"/>
              <w:ind w:right="50" w:hanging="99"/>
              <w:rPr>
                <w:sz w:val="14"/>
              </w:rPr>
            </w:pPr>
            <w:r>
              <w:rPr>
                <w:color w:val="231F20"/>
                <w:sz w:val="14"/>
              </w:rPr>
              <w:t>одреди запремину и површину базе</w:t>
            </w:r>
            <w:r>
              <w:rPr>
                <w:color w:val="231F20"/>
                <w:spacing w:val="-23"/>
                <w:sz w:val="14"/>
              </w:rPr>
              <w:t xml:space="preserve"> </w:t>
            </w:r>
            <w:r>
              <w:rPr>
                <w:color w:val="231F20"/>
                <w:spacing w:val="-3"/>
                <w:sz w:val="14"/>
              </w:rPr>
              <w:t xml:space="preserve">ко­ </w:t>
            </w:r>
            <w:r>
              <w:rPr>
                <w:color w:val="231F20"/>
                <w:sz w:val="14"/>
              </w:rPr>
              <w:t>ординатно задате призме и</w:t>
            </w:r>
            <w:r>
              <w:rPr>
                <w:color w:val="231F20"/>
                <w:spacing w:val="-16"/>
                <w:sz w:val="14"/>
              </w:rPr>
              <w:t xml:space="preserve"> </w:t>
            </w:r>
            <w:r>
              <w:rPr>
                <w:color w:val="231F20"/>
                <w:sz w:val="14"/>
              </w:rPr>
              <w:t>пирамиде</w:t>
            </w:r>
          </w:p>
        </w:tc>
        <w:tc>
          <w:tcPr>
            <w:tcW w:w="2834" w:type="dxa"/>
          </w:tcPr>
          <w:p w:rsidR="00041039" w:rsidRDefault="001B26CB">
            <w:pPr>
              <w:pStyle w:val="TableParagraph"/>
              <w:numPr>
                <w:ilvl w:val="0"/>
                <w:numId w:val="2021"/>
              </w:numPr>
              <w:tabs>
                <w:tab w:val="left" w:pos="158"/>
              </w:tabs>
              <w:spacing w:before="10" w:line="166" w:lineRule="exact"/>
              <w:rPr>
                <w:sz w:val="14"/>
              </w:rPr>
            </w:pPr>
            <w:r>
              <w:rPr>
                <w:color w:val="231F20"/>
                <w:sz w:val="14"/>
              </w:rPr>
              <w:t>Детерминанте другог и трећег</w:t>
            </w:r>
            <w:r>
              <w:rPr>
                <w:color w:val="231F20"/>
                <w:spacing w:val="-3"/>
                <w:sz w:val="14"/>
              </w:rPr>
              <w:t xml:space="preserve"> </w:t>
            </w:r>
            <w:r>
              <w:rPr>
                <w:color w:val="231F20"/>
                <w:sz w:val="14"/>
              </w:rPr>
              <w:t>реда.</w:t>
            </w:r>
          </w:p>
          <w:p w:rsidR="00041039" w:rsidRDefault="001B26CB">
            <w:pPr>
              <w:pStyle w:val="TableParagraph"/>
              <w:numPr>
                <w:ilvl w:val="0"/>
                <w:numId w:val="2021"/>
              </w:numPr>
              <w:tabs>
                <w:tab w:val="left" w:pos="158"/>
              </w:tabs>
              <w:spacing w:line="237" w:lineRule="auto"/>
              <w:ind w:right="110"/>
              <w:rPr>
                <w:sz w:val="14"/>
              </w:rPr>
            </w:pPr>
            <w:r>
              <w:rPr>
                <w:color w:val="231F20"/>
                <w:sz w:val="14"/>
              </w:rPr>
              <w:t>Основне</w:t>
            </w:r>
            <w:r>
              <w:rPr>
                <w:color w:val="231F20"/>
                <w:spacing w:val="-8"/>
                <w:sz w:val="14"/>
              </w:rPr>
              <w:t xml:space="preserve"> </w:t>
            </w:r>
            <w:r>
              <w:rPr>
                <w:color w:val="231F20"/>
                <w:sz w:val="14"/>
              </w:rPr>
              <w:t>рачунске</w:t>
            </w:r>
            <w:r>
              <w:rPr>
                <w:color w:val="231F20"/>
                <w:spacing w:val="-7"/>
                <w:sz w:val="14"/>
              </w:rPr>
              <w:t xml:space="preserve"> </w:t>
            </w:r>
            <w:r>
              <w:rPr>
                <w:color w:val="231F20"/>
                <w:sz w:val="14"/>
              </w:rPr>
              <w:t>операције</w:t>
            </w:r>
            <w:r>
              <w:rPr>
                <w:color w:val="231F20"/>
                <w:spacing w:val="-7"/>
                <w:sz w:val="14"/>
              </w:rPr>
              <w:t xml:space="preserve"> </w:t>
            </w:r>
            <w:r>
              <w:rPr>
                <w:color w:val="231F20"/>
                <w:sz w:val="14"/>
              </w:rPr>
              <w:t>са</w:t>
            </w:r>
            <w:r>
              <w:rPr>
                <w:color w:val="231F20"/>
                <w:spacing w:val="-7"/>
                <w:sz w:val="14"/>
              </w:rPr>
              <w:t xml:space="preserve"> </w:t>
            </w:r>
            <w:r>
              <w:rPr>
                <w:color w:val="231F20"/>
                <w:sz w:val="14"/>
              </w:rPr>
              <w:t>координат­ но</w:t>
            </w:r>
            <w:r>
              <w:rPr>
                <w:color w:val="231F20"/>
                <w:spacing w:val="-6"/>
                <w:sz w:val="14"/>
              </w:rPr>
              <w:t xml:space="preserve"> </w:t>
            </w:r>
            <w:r>
              <w:rPr>
                <w:color w:val="231F20"/>
                <w:sz w:val="14"/>
              </w:rPr>
              <w:t>задатим</w:t>
            </w:r>
            <w:r>
              <w:rPr>
                <w:color w:val="231F20"/>
                <w:spacing w:val="-5"/>
                <w:sz w:val="14"/>
              </w:rPr>
              <w:t xml:space="preserve"> </w:t>
            </w:r>
            <w:r>
              <w:rPr>
                <w:color w:val="231F20"/>
                <w:sz w:val="14"/>
              </w:rPr>
              <w:t>векторима</w:t>
            </w:r>
            <w:r>
              <w:rPr>
                <w:color w:val="231F20"/>
                <w:spacing w:val="-5"/>
                <w:sz w:val="14"/>
              </w:rPr>
              <w:t xml:space="preserve"> </w:t>
            </w:r>
            <w:r>
              <w:rPr>
                <w:color w:val="231F20"/>
                <w:sz w:val="14"/>
              </w:rPr>
              <w:t>у</w:t>
            </w:r>
            <w:r>
              <w:rPr>
                <w:color w:val="231F20"/>
                <w:spacing w:val="-5"/>
                <w:sz w:val="14"/>
              </w:rPr>
              <w:t xml:space="preserve"> </w:t>
            </w:r>
            <w:r>
              <w:rPr>
                <w:color w:val="231F20"/>
                <w:sz w:val="14"/>
              </w:rPr>
              <w:t>равни</w:t>
            </w:r>
            <w:r>
              <w:rPr>
                <w:color w:val="231F20"/>
                <w:spacing w:val="-5"/>
                <w:sz w:val="14"/>
              </w:rPr>
              <w:t xml:space="preserve"> </w:t>
            </w:r>
            <w:r>
              <w:rPr>
                <w:color w:val="231F20"/>
                <w:sz w:val="14"/>
              </w:rPr>
              <w:t>и</w:t>
            </w:r>
            <w:r>
              <w:rPr>
                <w:color w:val="231F20"/>
                <w:spacing w:val="-6"/>
                <w:sz w:val="14"/>
              </w:rPr>
              <w:t xml:space="preserve"> </w:t>
            </w:r>
            <w:r>
              <w:rPr>
                <w:color w:val="231F20"/>
                <w:sz w:val="14"/>
              </w:rPr>
              <w:t>простору.</w:t>
            </w:r>
          </w:p>
          <w:p w:rsidR="00041039" w:rsidRDefault="001B26CB">
            <w:pPr>
              <w:pStyle w:val="TableParagraph"/>
              <w:numPr>
                <w:ilvl w:val="0"/>
                <w:numId w:val="2021"/>
              </w:numPr>
              <w:tabs>
                <w:tab w:val="left" w:pos="158"/>
              </w:tabs>
              <w:spacing w:line="155" w:lineRule="exact"/>
              <w:rPr>
                <w:sz w:val="14"/>
              </w:rPr>
            </w:pPr>
            <w:r>
              <w:rPr>
                <w:color w:val="231F20"/>
                <w:sz w:val="14"/>
              </w:rPr>
              <w:t>Линеарна зависност</w:t>
            </w:r>
            <w:r>
              <w:rPr>
                <w:color w:val="231F20"/>
                <w:spacing w:val="-1"/>
                <w:sz w:val="14"/>
              </w:rPr>
              <w:t xml:space="preserve"> </w:t>
            </w:r>
            <w:r>
              <w:rPr>
                <w:color w:val="231F20"/>
                <w:sz w:val="14"/>
              </w:rPr>
              <w:t>вектора.</w:t>
            </w:r>
          </w:p>
          <w:p w:rsidR="00041039" w:rsidRDefault="001B26CB">
            <w:pPr>
              <w:pStyle w:val="TableParagraph"/>
              <w:numPr>
                <w:ilvl w:val="0"/>
                <w:numId w:val="2021"/>
              </w:numPr>
              <w:tabs>
                <w:tab w:val="left" w:pos="158"/>
              </w:tabs>
              <w:spacing w:line="160" w:lineRule="exact"/>
              <w:rPr>
                <w:sz w:val="14"/>
              </w:rPr>
            </w:pPr>
            <w:r>
              <w:rPr>
                <w:color w:val="231F20"/>
                <w:sz w:val="14"/>
              </w:rPr>
              <w:t>Скаларни производ</w:t>
            </w:r>
            <w:r>
              <w:rPr>
                <w:color w:val="231F20"/>
                <w:spacing w:val="-3"/>
                <w:sz w:val="14"/>
              </w:rPr>
              <w:t xml:space="preserve"> </w:t>
            </w:r>
            <w:r>
              <w:rPr>
                <w:color w:val="231F20"/>
                <w:sz w:val="14"/>
              </w:rPr>
              <w:t>вектора.</w:t>
            </w:r>
          </w:p>
          <w:p w:rsidR="00041039" w:rsidRDefault="001B26CB">
            <w:pPr>
              <w:pStyle w:val="TableParagraph"/>
              <w:numPr>
                <w:ilvl w:val="0"/>
                <w:numId w:val="2021"/>
              </w:numPr>
              <w:tabs>
                <w:tab w:val="left" w:pos="158"/>
              </w:tabs>
              <w:spacing w:line="160" w:lineRule="exact"/>
              <w:rPr>
                <w:sz w:val="14"/>
              </w:rPr>
            </w:pPr>
            <w:r>
              <w:rPr>
                <w:color w:val="231F20"/>
                <w:sz w:val="14"/>
              </w:rPr>
              <w:t>Векторски производ</w:t>
            </w:r>
            <w:r>
              <w:rPr>
                <w:color w:val="231F20"/>
                <w:spacing w:val="-20"/>
                <w:sz w:val="14"/>
              </w:rPr>
              <w:t xml:space="preserve"> </w:t>
            </w:r>
            <w:r>
              <w:rPr>
                <w:color w:val="231F20"/>
                <w:sz w:val="14"/>
              </w:rPr>
              <w:t>вектора.</w:t>
            </w:r>
          </w:p>
          <w:p w:rsidR="00041039" w:rsidRDefault="001B26CB">
            <w:pPr>
              <w:pStyle w:val="TableParagraph"/>
              <w:numPr>
                <w:ilvl w:val="0"/>
                <w:numId w:val="2021"/>
              </w:numPr>
              <w:tabs>
                <w:tab w:val="left" w:pos="158"/>
              </w:tabs>
              <w:spacing w:line="160" w:lineRule="exact"/>
              <w:rPr>
                <w:sz w:val="14"/>
              </w:rPr>
            </w:pPr>
            <w:r>
              <w:rPr>
                <w:color w:val="231F20"/>
                <w:sz w:val="14"/>
              </w:rPr>
              <w:t>Мешовити производ</w:t>
            </w:r>
            <w:r>
              <w:rPr>
                <w:color w:val="231F20"/>
                <w:spacing w:val="-18"/>
                <w:sz w:val="14"/>
              </w:rPr>
              <w:t xml:space="preserve"> </w:t>
            </w:r>
            <w:r>
              <w:rPr>
                <w:color w:val="231F20"/>
                <w:sz w:val="14"/>
              </w:rPr>
              <w:t>вектора.</w:t>
            </w:r>
          </w:p>
          <w:p w:rsidR="00041039" w:rsidRDefault="001B26CB">
            <w:pPr>
              <w:pStyle w:val="TableParagraph"/>
              <w:numPr>
                <w:ilvl w:val="0"/>
                <w:numId w:val="2021"/>
              </w:numPr>
              <w:tabs>
                <w:tab w:val="left" w:pos="158"/>
              </w:tabs>
              <w:spacing w:line="166" w:lineRule="exact"/>
              <w:rPr>
                <w:sz w:val="14"/>
              </w:rPr>
            </w:pPr>
            <w:r>
              <w:rPr>
                <w:color w:val="231F20"/>
                <w:sz w:val="14"/>
              </w:rPr>
              <w:t>Примена мешовитог производа</w:t>
            </w:r>
            <w:r>
              <w:rPr>
                <w:color w:val="231F20"/>
                <w:spacing w:val="-8"/>
                <w:sz w:val="14"/>
              </w:rPr>
              <w:t xml:space="preserve"> </w:t>
            </w:r>
            <w:r>
              <w:rPr>
                <w:color w:val="231F20"/>
                <w:sz w:val="14"/>
              </w:rPr>
              <w:t>вектора.</w:t>
            </w:r>
          </w:p>
        </w:tc>
        <w:tc>
          <w:tcPr>
            <w:tcW w:w="2267" w:type="dxa"/>
            <w:vMerge/>
            <w:tcBorders>
              <w:top w:val="nil"/>
            </w:tcBorders>
          </w:tcPr>
          <w:p w:rsidR="00041039" w:rsidRDefault="00041039">
            <w:pPr>
              <w:rPr>
                <w:sz w:val="2"/>
                <w:szCs w:val="2"/>
              </w:rPr>
            </w:pPr>
          </w:p>
        </w:tc>
      </w:tr>
      <w:tr w:rsidR="00041039">
        <w:trPr>
          <w:trHeight w:val="4369"/>
        </w:trPr>
        <w:tc>
          <w:tcPr>
            <w:tcW w:w="1304" w:type="dxa"/>
          </w:tcPr>
          <w:p w:rsidR="00041039" w:rsidRDefault="001B26CB">
            <w:pPr>
              <w:pStyle w:val="TableParagraph"/>
              <w:spacing w:before="21"/>
              <w:ind w:left="57" w:right="226"/>
              <w:rPr>
                <w:sz w:val="14"/>
              </w:rPr>
            </w:pPr>
            <w:r>
              <w:rPr>
                <w:color w:val="231F20"/>
                <w:sz w:val="14"/>
              </w:rPr>
              <w:t>Аналитичка гео­ метрија у равни</w:t>
            </w:r>
          </w:p>
        </w:tc>
        <w:tc>
          <w:tcPr>
            <w:tcW w:w="1587" w:type="dxa"/>
          </w:tcPr>
          <w:p w:rsidR="00041039" w:rsidRDefault="001B26CB">
            <w:pPr>
              <w:pStyle w:val="TableParagraph"/>
              <w:numPr>
                <w:ilvl w:val="0"/>
                <w:numId w:val="2020"/>
              </w:numPr>
              <w:tabs>
                <w:tab w:val="left" w:pos="157"/>
              </w:tabs>
              <w:spacing w:before="11"/>
              <w:ind w:right="80" w:hanging="99"/>
              <w:rPr>
                <w:sz w:val="14"/>
              </w:rPr>
            </w:pPr>
            <w:r>
              <w:rPr>
                <w:color w:val="231F20"/>
                <w:sz w:val="14"/>
              </w:rPr>
              <w:t>Стицање знања о ре­ шавању елементарних проблема са</w:t>
            </w:r>
            <w:r>
              <w:rPr>
                <w:color w:val="231F20"/>
                <w:spacing w:val="-3"/>
                <w:sz w:val="14"/>
              </w:rPr>
              <w:t xml:space="preserve"> </w:t>
            </w:r>
            <w:r>
              <w:rPr>
                <w:color w:val="231F20"/>
                <w:sz w:val="14"/>
              </w:rPr>
              <w:t>кривим</w:t>
            </w:r>
          </w:p>
          <w:p w:rsidR="00041039" w:rsidRDefault="001B26CB">
            <w:pPr>
              <w:pStyle w:val="TableParagraph"/>
              <w:spacing w:line="237" w:lineRule="auto"/>
              <w:ind w:right="168"/>
              <w:rPr>
                <w:sz w:val="14"/>
              </w:rPr>
            </w:pPr>
            <w:r>
              <w:rPr>
                <w:color w:val="231F20"/>
                <w:sz w:val="14"/>
              </w:rPr>
              <w:t>и правим линијама у координатној равни.</w:t>
            </w:r>
          </w:p>
        </w:tc>
        <w:tc>
          <w:tcPr>
            <w:tcW w:w="2551" w:type="dxa"/>
          </w:tcPr>
          <w:p w:rsidR="00041039" w:rsidRDefault="001B26CB">
            <w:pPr>
              <w:pStyle w:val="TableParagraph"/>
              <w:numPr>
                <w:ilvl w:val="0"/>
                <w:numId w:val="2019"/>
              </w:numPr>
              <w:tabs>
                <w:tab w:val="left" w:pos="157"/>
              </w:tabs>
              <w:spacing w:before="11" w:line="166" w:lineRule="exact"/>
              <w:ind w:hanging="99"/>
              <w:rPr>
                <w:sz w:val="14"/>
              </w:rPr>
            </w:pPr>
            <w:r>
              <w:rPr>
                <w:color w:val="231F20"/>
                <w:sz w:val="14"/>
              </w:rPr>
              <w:t>одреди растојање између две</w:t>
            </w:r>
            <w:r>
              <w:rPr>
                <w:color w:val="231F20"/>
                <w:spacing w:val="-8"/>
                <w:sz w:val="14"/>
              </w:rPr>
              <w:t xml:space="preserve"> </w:t>
            </w:r>
            <w:r>
              <w:rPr>
                <w:color w:val="231F20"/>
                <w:sz w:val="14"/>
              </w:rPr>
              <w:t>тачке;</w:t>
            </w:r>
          </w:p>
          <w:p w:rsidR="00041039" w:rsidRDefault="001B26CB">
            <w:pPr>
              <w:pStyle w:val="TableParagraph"/>
              <w:numPr>
                <w:ilvl w:val="0"/>
                <w:numId w:val="2019"/>
              </w:numPr>
              <w:tabs>
                <w:tab w:val="left" w:pos="157"/>
              </w:tabs>
              <w:spacing w:line="160" w:lineRule="exact"/>
              <w:ind w:hanging="99"/>
              <w:rPr>
                <w:sz w:val="14"/>
              </w:rPr>
            </w:pPr>
            <w:r>
              <w:rPr>
                <w:color w:val="231F20"/>
                <w:sz w:val="14"/>
              </w:rPr>
              <w:t>одреди тежиште</w:t>
            </w:r>
            <w:r>
              <w:rPr>
                <w:color w:val="231F20"/>
                <w:spacing w:val="-1"/>
                <w:sz w:val="14"/>
              </w:rPr>
              <w:t xml:space="preserve"> </w:t>
            </w:r>
            <w:r>
              <w:rPr>
                <w:color w:val="231F20"/>
                <w:spacing w:val="-3"/>
                <w:sz w:val="14"/>
              </w:rPr>
              <w:t>троугла;</w:t>
            </w:r>
          </w:p>
          <w:p w:rsidR="00041039" w:rsidRDefault="001B26CB">
            <w:pPr>
              <w:pStyle w:val="TableParagraph"/>
              <w:numPr>
                <w:ilvl w:val="0"/>
                <w:numId w:val="2019"/>
              </w:numPr>
              <w:tabs>
                <w:tab w:val="left" w:pos="157"/>
              </w:tabs>
              <w:spacing w:line="160" w:lineRule="exact"/>
              <w:ind w:hanging="99"/>
              <w:rPr>
                <w:sz w:val="14"/>
              </w:rPr>
            </w:pPr>
            <w:r>
              <w:rPr>
                <w:color w:val="231F20"/>
                <w:sz w:val="14"/>
              </w:rPr>
              <w:t>одреди површину</w:t>
            </w:r>
            <w:r>
              <w:rPr>
                <w:color w:val="231F20"/>
                <w:spacing w:val="-2"/>
                <w:sz w:val="14"/>
              </w:rPr>
              <w:t xml:space="preserve"> </w:t>
            </w:r>
            <w:r>
              <w:rPr>
                <w:color w:val="231F20"/>
                <w:spacing w:val="-3"/>
                <w:sz w:val="14"/>
              </w:rPr>
              <w:t>троугла;</w:t>
            </w:r>
          </w:p>
          <w:p w:rsidR="00041039" w:rsidRDefault="001B26CB">
            <w:pPr>
              <w:pStyle w:val="TableParagraph"/>
              <w:numPr>
                <w:ilvl w:val="0"/>
                <w:numId w:val="2019"/>
              </w:numPr>
              <w:tabs>
                <w:tab w:val="left" w:pos="157"/>
              </w:tabs>
              <w:spacing w:line="237" w:lineRule="auto"/>
              <w:ind w:right="255" w:hanging="99"/>
              <w:rPr>
                <w:sz w:val="14"/>
              </w:rPr>
            </w:pPr>
            <w:r>
              <w:rPr>
                <w:color w:val="231F20"/>
                <w:sz w:val="14"/>
              </w:rPr>
              <w:t>постави једначину праве из</w:t>
            </w:r>
            <w:r>
              <w:rPr>
                <w:color w:val="231F20"/>
                <w:spacing w:val="-19"/>
                <w:sz w:val="14"/>
              </w:rPr>
              <w:t xml:space="preserve"> </w:t>
            </w:r>
            <w:r>
              <w:rPr>
                <w:color w:val="231F20"/>
                <w:sz w:val="14"/>
              </w:rPr>
              <w:t>задатих услова;</w:t>
            </w:r>
          </w:p>
          <w:p w:rsidR="00041039" w:rsidRDefault="001B26CB">
            <w:pPr>
              <w:pStyle w:val="TableParagraph"/>
              <w:numPr>
                <w:ilvl w:val="0"/>
                <w:numId w:val="2019"/>
              </w:numPr>
              <w:tabs>
                <w:tab w:val="left" w:pos="157"/>
              </w:tabs>
              <w:spacing w:line="160" w:lineRule="exact"/>
              <w:ind w:right="238" w:hanging="99"/>
              <w:rPr>
                <w:sz w:val="14"/>
              </w:rPr>
            </w:pPr>
            <w:r>
              <w:rPr>
                <w:color w:val="231F20"/>
                <w:sz w:val="14"/>
              </w:rPr>
              <w:t>одреди</w:t>
            </w:r>
            <w:r>
              <w:rPr>
                <w:color w:val="231F20"/>
                <w:spacing w:val="-6"/>
                <w:sz w:val="14"/>
              </w:rPr>
              <w:t xml:space="preserve"> </w:t>
            </w:r>
            <w:r>
              <w:rPr>
                <w:color w:val="231F20"/>
                <w:sz w:val="14"/>
              </w:rPr>
              <w:t>пресеке</w:t>
            </w:r>
            <w:r>
              <w:rPr>
                <w:color w:val="231F20"/>
                <w:spacing w:val="-6"/>
                <w:sz w:val="14"/>
              </w:rPr>
              <w:t xml:space="preserve"> </w:t>
            </w:r>
            <w:r>
              <w:rPr>
                <w:color w:val="231F20"/>
                <w:sz w:val="14"/>
              </w:rPr>
              <w:t>линија,</w:t>
            </w:r>
            <w:r>
              <w:rPr>
                <w:color w:val="231F20"/>
                <w:spacing w:val="-7"/>
                <w:sz w:val="14"/>
              </w:rPr>
              <w:t xml:space="preserve"> </w:t>
            </w:r>
            <w:r>
              <w:rPr>
                <w:color w:val="231F20"/>
                <w:sz w:val="14"/>
              </w:rPr>
              <w:t>као</w:t>
            </w:r>
            <w:r>
              <w:rPr>
                <w:color w:val="231F20"/>
                <w:spacing w:val="-6"/>
                <w:sz w:val="14"/>
              </w:rPr>
              <w:t xml:space="preserve"> </w:t>
            </w:r>
            <w:r>
              <w:rPr>
                <w:color w:val="231F20"/>
                <w:sz w:val="14"/>
              </w:rPr>
              <w:t>и</w:t>
            </w:r>
            <w:r>
              <w:rPr>
                <w:color w:val="231F20"/>
                <w:spacing w:val="-7"/>
                <w:sz w:val="14"/>
              </w:rPr>
              <w:t xml:space="preserve"> </w:t>
            </w:r>
            <w:r>
              <w:rPr>
                <w:color w:val="231F20"/>
                <w:sz w:val="14"/>
              </w:rPr>
              <w:t>углове пресека;</w:t>
            </w:r>
          </w:p>
          <w:p w:rsidR="00041039" w:rsidRDefault="001B26CB">
            <w:pPr>
              <w:pStyle w:val="TableParagraph"/>
              <w:numPr>
                <w:ilvl w:val="0"/>
                <w:numId w:val="2019"/>
              </w:numPr>
              <w:tabs>
                <w:tab w:val="left" w:pos="157"/>
              </w:tabs>
              <w:spacing w:line="160" w:lineRule="exact"/>
              <w:ind w:right="177" w:hanging="99"/>
              <w:rPr>
                <w:sz w:val="14"/>
              </w:rPr>
            </w:pPr>
            <w:r>
              <w:rPr>
                <w:color w:val="231F20"/>
                <w:sz w:val="14"/>
              </w:rPr>
              <w:t>постави једначину криве другог</w:t>
            </w:r>
            <w:r>
              <w:rPr>
                <w:color w:val="231F20"/>
                <w:spacing w:val="-14"/>
                <w:sz w:val="14"/>
              </w:rPr>
              <w:t xml:space="preserve"> </w:t>
            </w:r>
            <w:r>
              <w:rPr>
                <w:color w:val="231F20"/>
                <w:sz w:val="14"/>
              </w:rPr>
              <w:t>реда из задатих</w:t>
            </w:r>
            <w:r>
              <w:rPr>
                <w:color w:val="231F20"/>
                <w:spacing w:val="-2"/>
                <w:sz w:val="14"/>
              </w:rPr>
              <w:t xml:space="preserve"> </w:t>
            </w:r>
            <w:r>
              <w:rPr>
                <w:color w:val="231F20"/>
                <w:sz w:val="14"/>
              </w:rPr>
              <w:t>услова;</w:t>
            </w:r>
          </w:p>
          <w:p w:rsidR="00041039" w:rsidRDefault="001B26CB">
            <w:pPr>
              <w:pStyle w:val="TableParagraph"/>
              <w:numPr>
                <w:ilvl w:val="0"/>
                <w:numId w:val="2019"/>
              </w:numPr>
              <w:tabs>
                <w:tab w:val="left" w:pos="157"/>
              </w:tabs>
              <w:spacing w:line="153" w:lineRule="exact"/>
              <w:ind w:hanging="99"/>
              <w:rPr>
                <w:sz w:val="14"/>
              </w:rPr>
            </w:pPr>
            <w:r>
              <w:rPr>
                <w:color w:val="231F20"/>
                <w:sz w:val="14"/>
              </w:rPr>
              <w:t>постави тангенту на</w:t>
            </w:r>
            <w:r>
              <w:rPr>
                <w:color w:val="231F20"/>
                <w:spacing w:val="-2"/>
                <w:sz w:val="14"/>
              </w:rPr>
              <w:t xml:space="preserve"> </w:t>
            </w:r>
            <w:r>
              <w:rPr>
                <w:color w:val="231F20"/>
                <w:sz w:val="14"/>
              </w:rPr>
              <w:t>криву;</w:t>
            </w:r>
          </w:p>
          <w:p w:rsidR="00041039" w:rsidRDefault="001B26CB">
            <w:pPr>
              <w:pStyle w:val="TableParagraph"/>
              <w:numPr>
                <w:ilvl w:val="0"/>
                <w:numId w:val="2019"/>
              </w:numPr>
              <w:tabs>
                <w:tab w:val="left" w:pos="157"/>
              </w:tabs>
              <w:spacing w:line="160" w:lineRule="exact"/>
              <w:ind w:hanging="99"/>
              <w:rPr>
                <w:sz w:val="14"/>
              </w:rPr>
            </w:pPr>
            <w:r>
              <w:rPr>
                <w:color w:val="231F20"/>
                <w:sz w:val="14"/>
              </w:rPr>
              <w:t>одреди угао између две</w:t>
            </w:r>
            <w:r>
              <w:rPr>
                <w:color w:val="231F20"/>
                <w:spacing w:val="-3"/>
                <w:sz w:val="14"/>
              </w:rPr>
              <w:t xml:space="preserve"> </w:t>
            </w:r>
            <w:r>
              <w:rPr>
                <w:color w:val="231F20"/>
                <w:sz w:val="14"/>
              </w:rPr>
              <w:t>криве;</w:t>
            </w:r>
          </w:p>
          <w:p w:rsidR="00041039" w:rsidRDefault="001B26CB">
            <w:pPr>
              <w:pStyle w:val="TableParagraph"/>
              <w:numPr>
                <w:ilvl w:val="0"/>
                <w:numId w:val="2019"/>
              </w:numPr>
              <w:tabs>
                <w:tab w:val="left" w:pos="157"/>
              </w:tabs>
              <w:spacing w:line="237" w:lineRule="auto"/>
              <w:ind w:right="88" w:hanging="99"/>
              <w:rPr>
                <w:sz w:val="14"/>
              </w:rPr>
            </w:pPr>
            <w:r>
              <w:rPr>
                <w:color w:val="231F20"/>
                <w:sz w:val="14"/>
              </w:rPr>
              <w:t>решава и друге елементарне кон­ структивне</w:t>
            </w:r>
            <w:r>
              <w:rPr>
                <w:color w:val="231F20"/>
                <w:spacing w:val="-10"/>
                <w:sz w:val="14"/>
              </w:rPr>
              <w:t xml:space="preserve"> </w:t>
            </w:r>
            <w:r>
              <w:rPr>
                <w:color w:val="231F20"/>
                <w:sz w:val="14"/>
              </w:rPr>
              <w:t>задатке</w:t>
            </w:r>
            <w:r>
              <w:rPr>
                <w:color w:val="231F20"/>
                <w:spacing w:val="-10"/>
                <w:sz w:val="14"/>
              </w:rPr>
              <w:t xml:space="preserve"> </w:t>
            </w:r>
            <w:r>
              <w:rPr>
                <w:color w:val="231F20"/>
                <w:sz w:val="14"/>
              </w:rPr>
              <w:t>алатом</w:t>
            </w:r>
            <w:r>
              <w:rPr>
                <w:color w:val="231F20"/>
                <w:spacing w:val="-10"/>
                <w:sz w:val="14"/>
              </w:rPr>
              <w:t xml:space="preserve"> </w:t>
            </w:r>
            <w:r>
              <w:rPr>
                <w:color w:val="231F20"/>
                <w:sz w:val="14"/>
              </w:rPr>
              <w:t>аналитичке геометрије;</w:t>
            </w:r>
          </w:p>
          <w:p w:rsidR="00041039" w:rsidRDefault="001B26CB">
            <w:pPr>
              <w:pStyle w:val="TableParagraph"/>
              <w:numPr>
                <w:ilvl w:val="0"/>
                <w:numId w:val="2019"/>
              </w:numPr>
              <w:tabs>
                <w:tab w:val="left" w:pos="157"/>
              </w:tabs>
              <w:spacing w:line="237" w:lineRule="auto"/>
              <w:ind w:right="230" w:hanging="99"/>
              <w:rPr>
                <w:sz w:val="14"/>
              </w:rPr>
            </w:pPr>
            <w:r>
              <w:rPr>
                <w:color w:val="231F20"/>
                <w:sz w:val="14"/>
              </w:rPr>
              <w:t>реши и дискутује систем</w:t>
            </w:r>
            <w:r>
              <w:rPr>
                <w:color w:val="231F20"/>
                <w:spacing w:val="-7"/>
                <w:sz w:val="14"/>
              </w:rPr>
              <w:t xml:space="preserve"> </w:t>
            </w:r>
            <w:r>
              <w:rPr>
                <w:color w:val="231F20"/>
                <w:sz w:val="14"/>
              </w:rPr>
              <w:t>линеарних једначина;</w:t>
            </w:r>
          </w:p>
        </w:tc>
        <w:tc>
          <w:tcPr>
            <w:tcW w:w="2834" w:type="dxa"/>
          </w:tcPr>
          <w:p w:rsidR="00041039" w:rsidRDefault="001B26CB">
            <w:pPr>
              <w:pStyle w:val="TableParagraph"/>
              <w:numPr>
                <w:ilvl w:val="0"/>
                <w:numId w:val="2018"/>
              </w:numPr>
              <w:tabs>
                <w:tab w:val="left" w:pos="158"/>
              </w:tabs>
              <w:spacing w:before="11" w:line="166" w:lineRule="exact"/>
              <w:rPr>
                <w:sz w:val="14"/>
              </w:rPr>
            </w:pPr>
            <w:r>
              <w:rPr>
                <w:color w:val="231F20"/>
                <w:sz w:val="14"/>
              </w:rPr>
              <w:t>Растојање између две</w:t>
            </w:r>
            <w:r>
              <w:rPr>
                <w:color w:val="231F20"/>
                <w:spacing w:val="-2"/>
                <w:sz w:val="14"/>
              </w:rPr>
              <w:t xml:space="preserve"> </w:t>
            </w:r>
            <w:r>
              <w:rPr>
                <w:color w:val="231F20"/>
                <w:sz w:val="14"/>
              </w:rPr>
              <w:t>тачке.</w:t>
            </w:r>
          </w:p>
          <w:p w:rsidR="00041039" w:rsidRDefault="001B26CB">
            <w:pPr>
              <w:pStyle w:val="TableParagraph"/>
              <w:numPr>
                <w:ilvl w:val="0"/>
                <w:numId w:val="2018"/>
              </w:numPr>
              <w:tabs>
                <w:tab w:val="left" w:pos="158"/>
              </w:tabs>
              <w:spacing w:line="160" w:lineRule="exact"/>
              <w:rPr>
                <w:sz w:val="14"/>
              </w:rPr>
            </w:pPr>
            <w:r>
              <w:rPr>
                <w:color w:val="231F20"/>
                <w:sz w:val="14"/>
              </w:rPr>
              <w:t>Подела дужи у датом</w:t>
            </w:r>
            <w:r>
              <w:rPr>
                <w:color w:val="231F20"/>
                <w:spacing w:val="-2"/>
                <w:sz w:val="14"/>
              </w:rPr>
              <w:t xml:space="preserve"> </w:t>
            </w:r>
            <w:r>
              <w:rPr>
                <w:color w:val="231F20"/>
                <w:spacing w:val="-3"/>
                <w:sz w:val="14"/>
              </w:rPr>
              <w:t>односу.</w:t>
            </w:r>
          </w:p>
          <w:p w:rsidR="00041039" w:rsidRDefault="001B26CB">
            <w:pPr>
              <w:pStyle w:val="TableParagraph"/>
              <w:numPr>
                <w:ilvl w:val="0"/>
                <w:numId w:val="2018"/>
              </w:numPr>
              <w:tabs>
                <w:tab w:val="left" w:pos="158"/>
              </w:tabs>
              <w:spacing w:line="160" w:lineRule="exact"/>
              <w:rPr>
                <w:sz w:val="14"/>
              </w:rPr>
            </w:pPr>
            <w:r>
              <w:rPr>
                <w:color w:val="231F20"/>
                <w:sz w:val="14"/>
              </w:rPr>
              <w:t>Површина</w:t>
            </w:r>
            <w:r>
              <w:rPr>
                <w:color w:val="231F20"/>
                <w:spacing w:val="-2"/>
                <w:sz w:val="14"/>
              </w:rPr>
              <w:t xml:space="preserve"> </w:t>
            </w:r>
            <w:r>
              <w:rPr>
                <w:color w:val="231F20"/>
                <w:sz w:val="14"/>
              </w:rPr>
              <w:t>троугла.</w:t>
            </w:r>
          </w:p>
          <w:p w:rsidR="00041039" w:rsidRDefault="001B26CB">
            <w:pPr>
              <w:pStyle w:val="TableParagraph"/>
              <w:numPr>
                <w:ilvl w:val="0"/>
                <w:numId w:val="2018"/>
              </w:numPr>
              <w:tabs>
                <w:tab w:val="left" w:pos="158"/>
              </w:tabs>
              <w:spacing w:line="160" w:lineRule="exact"/>
              <w:rPr>
                <w:sz w:val="14"/>
              </w:rPr>
            </w:pPr>
            <w:r>
              <w:rPr>
                <w:color w:val="231F20"/>
                <w:sz w:val="14"/>
              </w:rPr>
              <w:t>Једначине правих у</w:t>
            </w:r>
            <w:r>
              <w:rPr>
                <w:color w:val="231F20"/>
                <w:spacing w:val="-3"/>
                <w:sz w:val="14"/>
              </w:rPr>
              <w:t xml:space="preserve"> </w:t>
            </w:r>
            <w:r>
              <w:rPr>
                <w:color w:val="231F20"/>
                <w:sz w:val="14"/>
              </w:rPr>
              <w:t>равни.</w:t>
            </w:r>
          </w:p>
          <w:p w:rsidR="00041039" w:rsidRDefault="001B26CB">
            <w:pPr>
              <w:pStyle w:val="TableParagraph"/>
              <w:numPr>
                <w:ilvl w:val="0"/>
                <w:numId w:val="2018"/>
              </w:numPr>
              <w:tabs>
                <w:tab w:val="left" w:pos="158"/>
              </w:tabs>
              <w:spacing w:line="237" w:lineRule="auto"/>
              <w:ind w:right="91"/>
              <w:rPr>
                <w:sz w:val="14"/>
              </w:rPr>
            </w:pPr>
            <w:r>
              <w:rPr>
                <w:color w:val="231F20"/>
                <w:sz w:val="14"/>
              </w:rPr>
              <w:t>Однос две праве, услов паралелности, услов нормалности, угао између две</w:t>
            </w:r>
            <w:r>
              <w:rPr>
                <w:color w:val="231F20"/>
                <w:spacing w:val="-12"/>
                <w:sz w:val="14"/>
              </w:rPr>
              <w:t xml:space="preserve"> </w:t>
            </w:r>
            <w:r>
              <w:rPr>
                <w:color w:val="231F20"/>
                <w:sz w:val="14"/>
              </w:rPr>
              <w:t>праве.</w:t>
            </w:r>
          </w:p>
          <w:p w:rsidR="00041039" w:rsidRDefault="001B26CB">
            <w:pPr>
              <w:pStyle w:val="TableParagraph"/>
              <w:numPr>
                <w:ilvl w:val="0"/>
                <w:numId w:val="2018"/>
              </w:numPr>
              <w:tabs>
                <w:tab w:val="left" w:pos="158"/>
              </w:tabs>
              <w:spacing w:line="155" w:lineRule="exact"/>
              <w:rPr>
                <w:sz w:val="14"/>
              </w:rPr>
            </w:pPr>
            <w:r>
              <w:rPr>
                <w:color w:val="231F20"/>
                <w:sz w:val="14"/>
              </w:rPr>
              <w:t>Једначина</w:t>
            </w:r>
            <w:r>
              <w:rPr>
                <w:color w:val="231F20"/>
                <w:spacing w:val="-1"/>
                <w:sz w:val="14"/>
              </w:rPr>
              <w:t xml:space="preserve"> </w:t>
            </w:r>
            <w:r>
              <w:rPr>
                <w:color w:val="231F20"/>
                <w:sz w:val="14"/>
              </w:rPr>
              <w:t>круга.</w:t>
            </w:r>
          </w:p>
          <w:p w:rsidR="00041039" w:rsidRDefault="001B26CB">
            <w:pPr>
              <w:pStyle w:val="TableParagraph"/>
              <w:numPr>
                <w:ilvl w:val="0"/>
                <w:numId w:val="2018"/>
              </w:numPr>
              <w:tabs>
                <w:tab w:val="left" w:pos="158"/>
              </w:tabs>
              <w:spacing w:line="237" w:lineRule="auto"/>
              <w:ind w:right="215"/>
              <w:rPr>
                <w:sz w:val="14"/>
              </w:rPr>
            </w:pPr>
            <w:r>
              <w:rPr>
                <w:color w:val="231F20"/>
                <w:sz w:val="14"/>
              </w:rPr>
              <w:t>Однос круга и праве, услов додира</w:t>
            </w:r>
            <w:r>
              <w:rPr>
                <w:color w:val="231F20"/>
                <w:spacing w:val="-15"/>
                <w:sz w:val="14"/>
              </w:rPr>
              <w:t xml:space="preserve"> </w:t>
            </w:r>
            <w:r>
              <w:rPr>
                <w:color w:val="231F20"/>
                <w:sz w:val="14"/>
              </w:rPr>
              <w:t>праве и</w:t>
            </w:r>
            <w:r>
              <w:rPr>
                <w:color w:val="231F20"/>
                <w:spacing w:val="-2"/>
                <w:sz w:val="14"/>
              </w:rPr>
              <w:t xml:space="preserve"> </w:t>
            </w:r>
            <w:r>
              <w:rPr>
                <w:color w:val="231F20"/>
                <w:sz w:val="14"/>
              </w:rPr>
              <w:t>круга.</w:t>
            </w:r>
          </w:p>
          <w:p w:rsidR="00041039" w:rsidRDefault="001B26CB">
            <w:pPr>
              <w:pStyle w:val="TableParagraph"/>
              <w:numPr>
                <w:ilvl w:val="0"/>
                <w:numId w:val="2018"/>
              </w:numPr>
              <w:tabs>
                <w:tab w:val="left" w:pos="158"/>
              </w:tabs>
              <w:spacing w:line="155" w:lineRule="exact"/>
              <w:rPr>
                <w:sz w:val="14"/>
              </w:rPr>
            </w:pPr>
            <w:r>
              <w:rPr>
                <w:color w:val="231F20"/>
                <w:sz w:val="14"/>
              </w:rPr>
              <w:t>Однос два</w:t>
            </w:r>
            <w:r>
              <w:rPr>
                <w:color w:val="231F20"/>
                <w:spacing w:val="-1"/>
                <w:sz w:val="14"/>
              </w:rPr>
              <w:t xml:space="preserve"> </w:t>
            </w:r>
            <w:r>
              <w:rPr>
                <w:color w:val="231F20"/>
                <w:sz w:val="14"/>
              </w:rPr>
              <w:t>круга.</w:t>
            </w:r>
          </w:p>
          <w:p w:rsidR="00041039" w:rsidRDefault="001B26CB">
            <w:pPr>
              <w:pStyle w:val="TableParagraph"/>
              <w:numPr>
                <w:ilvl w:val="0"/>
                <w:numId w:val="2018"/>
              </w:numPr>
              <w:tabs>
                <w:tab w:val="left" w:pos="158"/>
              </w:tabs>
              <w:spacing w:line="160" w:lineRule="exact"/>
              <w:rPr>
                <w:sz w:val="14"/>
              </w:rPr>
            </w:pPr>
            <w:r>
              <w:rPr>
                <w:color w:val="231F20"/>
                <w:sz w:val="14"/>
              </w:rPr>
              <w:t>Једначина</w:t>
            </w:r>
            <w:r>
              <w:rPr>
                <w:color w:val="231F20"/>
                <w:spacing w:val="-1"/>
                <w:sz w:val="14"/>
              </w:rPr>
              <w:t xml:space="preserve"> </w:t>
            </w:r>
            <w:r>
              <w:rPr>
                <w:color w:val="231F20"/>
                <w:sz w:val="14"/>
              </w:rPr>
              <w:t>елипсе.</w:t>
            </w:r>
          </w:p>
          <w:p w:rsidR="00041039" w:rsidRDefault="001B26CB">
            <w:pPr>
              <w:pStyle w:val="TableParagraph"/>
              <w:numPr>
                <w:ilvl w:val="0"/>
                <w:numId w:val="2018"/>
              </w:numPr>
              <w:tabs>
                <w:tab w:val="left" w:pos="158"/>
              </w:tabs>
              <w:spacing w:line="160" w:lineRule="exact"/>
              <w:rPr>
                <w:sz w:val="14"/>
              </w:rPr>
            </w:pPr>
            <w:r>
              <w:rPr>
                <w:color w:val="231F20"/>
                <w:spacing w:val="-4"/>
                <w:sz w:val="14"/>
              </w:rPr>
              <w:t xml:space="preserve">Услов </w:t>
            </w:r>
            <w:r>
              <w:rPr>
                <w:color w:val="231F20"/>
                <w:sz w:val="14"/>
              </w:rPr>
              <w:t>додира праве и</w:t>
            </w:r>
            <w:r>
              <w:rPr>
                <w:color w:val="231F20"/>
                <w:spacing w:val="1"/>
                <w:sz w:val="14"/>
              </w:rPr>
              <w:t xml:space="preserve"> </w:t>
            </w:r>
            <w:r>
              <w:rPr>
                <w:color w:val="231F20"/>
                <w:sz w:val="14"/>
              </w:rPr>
              <w:t>елипсе.</w:t>
            </w:r>
          </w:p>
          <w:p w:rsidR="00041039" w:rsidRDefault="001B26CB">
            <w:pPr>
              <w:pStyle w:val="TableParagraph"/>
              <w:numPr>
                <w:ilvl w:val="0"/>
                <w:numId w:val="2018"/>
              </w:numPr>
              <w:tabs>
                <w:tab w:val="left" w:pos="158"/>
              </w:tabs>
              <w:spacing w:line="160" w:lineRule="exact"/>
              <w:rPr>
                <w:sz w:val="14"/>
              </w:rPr>
            </w:pPr>
            <w:r>
              <w:rPr>
                <w:color w:val="231F20"/>
                <w:sz w:val="14"/>
              </w:rPr>
              <w:t>Једначина</w:t>
            </w:r>
            <w:r>
              <w:rPr>
                <w:color w:val="231F20"/>
                <w:spacing w:val="-1"/>
                <w:sz w:val="14"/>
              </w:rPr>
              <w:t xml:space="preserve"> </w:t>
            </w:r>
            <w:r>
              <w:rPr>
                <w:color w:val="231F20"/>
                <w:sz w:val="14"/>
              </w:rPr>
              <w:t>хиперболе.</w:t>
            </w:r>
          </w:p>
          <w:p w:rsidR="00041039" w:rsidRDefault="001B26CB">
            <w:pPr>
              <w:pStyle w:val="TableParagraph"/>
              <w:numPr>
                <w:ilvl w:val="0"/>
                <w:numId w:val="2018"/>
              </w:numPr>
              <w:tabs>
                <w:tab w:val="left" w:pos="158"/>
              </w:tabs>
              <w:spacing w:line="160" w:lineRule="exact"/>
              <w:rPr>
                <w:sz w:val="14"/>
              </w:rPr>
            </w:pPr>
            <w:r>
              <w:rPr>
                <w:color w:val="231F20"/>
                <w:spacing w:val="-4"/>
                <w:sz w:val="14"/>
              </w:rPr>
              <w:t xml:space="preserve">Услов </w:t>
            </w:r>
            <w:r>
              <w:rPr>
                <w:color w:val="231F20"/>
                <w:sz w:val="14"/>
              </w:rPr>
              <w:t>додира праве и</w:t>
            </w:r>
            <w:r>
              <w:rPr>
                <w:color w:val="231F20"/>
                <w:sz w:val="14"/>
              </w:rPr>
              <w:t xml:space="preserve"> </w:t>
            </w:r>
            <w:r>
              <w:rPr>
                <w:color w:val="231F20"/>
                <w:sz w:val="14"/>
              </w:rPr>
              <w:t>хиперболе.</w:t>
            </w:r>
          </w:p>
          <w:p w:rsidR="00041039" w:rsidRDefault="001B26CB">
            <w:pPr>
              <w:pStyle w:val="TableParagraph"/>
              <w:numPr>
                <w:ilvl w:val="0"/>
                <w:numId w:val="2018"/>
              </w:numPr>
              <w:tabs>
                <w:tab w:val="left" w:pos="158"/>
              </w:tabs>
              <w:spacing w:line="160" w:lineRule="exact"/>
              <w:rPr>
                <w:sz w:val="14"/>
              </w:rPr>
            </w:pPr>
            <w:r>
              <w:rPr>
                <w:color w:val="231F20"/>
                <w:sz w:val="14"/>
              </w:rPr>
              <w:t>Једначина</w:t>
            </w:r>
            <w:r>
              <w:rPr>
                <w:color w:val="231F20"/>
                <w:spacing w:val="-1"/>
                <w:sz w:val="14"/>
              </w:rPr>
              <w:t xml:space="preserve"> </w:t>
            </w:r>
            <w:r>
              <w:rPr>
                <w:color w:val="231F20"/>
                <w:sz w:val="14"/>
              </w:rPr>
              <w:t>параболе.</w:t>
            </w:r>
          </w:p>
          <w:p w:rsidR="00041039" w:rsidRDefault="001B26CB">
            <w:pPr>
              <w:pStyle w:val="TableParagraph"/>
              <w:numPr>
                <w:ilvl w:val="0"/>
                <w:numId w:val="2018"/>
              </w:numPr>
              <w:tabs>
                <w:tab w:val="left" w:pos="158"/>
              </w:tabs>
              <w:spacing w:line="160" w:lineRule="exact"/>
              <w:rPr>
                <w:sz w:val="14"/>
              </w:rPr>
            </w:pPr>
            <w:r>
              <w:rPr>
                <w:color w:val="231F20"/>
                <w:spacing w:val="-4"/>
                <w:sz w:val="14"/>
              </w:rPr>
              <w:t xml:space="preserve">Услов </w:t>
            </w:r>
            <w:r>
              <w:rPr>
                <w:color w:val="231F20"/>
                <w:sz w:val="14"/>
              </w:rPr>
              <w:t>додира праве и параболе.</w:t>
            </w:r>
          </w:p>
          <w:p w:rsidR="00041039" w:rsidRDefault="001B26CB">
            <w:pPr>
              <w:pStyle w:val="TableParagraph"/>
              <w:numPr>
                <w:ilvl w:val="0"/>
                <w:numId w:val="2018"/>
              </w:numPr>
              <w:tabs>
                <w:tab w:val="left" w:pos="158"/>
              </w:tabs>
              <w:spacing w:line="160" w:lineRule="exact"/>
              <w:rPr>
                <w:sz w:val="14"/>
              </w:rPr>
            </w:pPr>
            <w:r>
              <w:rPr>
                <w:color w:val="231F20"/>
                <w:spacing w:val="-4"/>
                <w:sz w:val="14"/>
              </w:rPr>
              <w:t xml:space="preserve">Угао </w:t>
            </w:r>
            <w:r>
              <w:rPr>
                <w:color w:val="231F20"/>
                <w:sz w:val="14"/>
              </w:rPr>
              <w:t>између две криве другог реда.</w:t>
            </w:r>
          </w:p>
          <w:p w:rsidR="00041039" w:rsidRDefault="001B26CB">
            <w:pPr>
              <w:pStyle w:val="TableParagraph"/>
              <w:numPr>
                <w:ilvl w:val="0"/>
                <w:numId w:val="2018"/>
              </w:numPr>
              <w:tabs>
                <w:tab w:val="left" w:pos="158"/>
              </w:tabs>
              <w:spacing w:line="160" w:lineRule="exact"/>
              <w:rPr>
                <w:sz w:val="14"/>
              </w:rPr>
            </w:pPr>
            <w:r>
              <w:rPr>
                <w:color w:val="231F20"/>
                <w:sz w:val="14"/>
              </w:rPr>
              <w:t>Решавање система линеарних</w:t>
            </w:r>
            <w:r>
              <w:rPr>
                <w:color w:val="231F20"/>
                <w:spacing w:val="-5"/>
                <w:sz w:val="14"/>
              </w:rPr>
              <w:t xml:space="preserve"> </w:t>
            </w:r>
            <w:r>
              <w:rPr>
                <w:color w:val="231F20"/>
                <w:sz w:val="14"/>
              </w:rPr>
              <w:t>једначина.</w:t>
            </w:r>
          </w:p>
          <w:p w:rsidR="00041039" w:rsidRDefault="001B26CB">
            <w:pPr>
              <w:pStyle w:val="TableParagraph"/>
              <w:numPr>
                <w:ilvl w:val="0"/>
                <w:numId w:val="2018"/>
              </w:numPr>
              <w:tabs>
                <w:tab w:val="left" w:pos="158"/>
              </w:tabs>
              <w:spacing w:line="160" w:lineRule="exact"/>
              <w:rPr>
                <w:sz w:val="14"/>
              </w:rPr>
            </w:pPr>
            <w:r>
              <w:rPr>
                <w:color w:val="231F20"/>
                <w:spacing w:val="-3"/>
                <w:sz w:val="14"/>
              </w:rPr>
              <w:t xml:space="preserve">Графичко </w:t>
            </w:r>
            <w:r>
              <w:rPr>
                <w:color w:val="231F20"/>
                <w:sz w:val="14"/>
              </w:rPr>
              <w:t>решавање система</w:t>
            </w:r>
            <w:r>
              <w:rPr>
                <w:color w:val="231F20"/>
                <w:sz w:val="14"/>
              </w:rPr>
              <w:t xml:space="preserve"> </w:t>
            </w:r>
            <w:r>
              <w:rPr>
                <w:color w:val="231F20"/>
                <w:sz w:val="14"/>
              </w:rPr>
              <w:t>једначина.</w:t>
            </w:r>
          </w:p>
          <w:p w:rsidR="00041039" w:rsidRDefault="001B26CB">
            <w:pPr>
              <w:pStyle w:val="TableParagraph"/>
              <w:numPr>
                <w:ilvl w:val="0"/>
                <w:numId w:val="2018"/>
              </w:numPr>
              <w:tabs>
                <w:tab w:val="left" w:pos="158"/>
              </w:tabs>
              <w:spacing w:line="237" w:lineRule="auto"/>
              <w:ind w:right="132"/>
              <w:rPr>
                <w:sz w:val="14"/>
              </w:rPr>
            </w:pPr>
            <w:r>
              <w:rPr>
                <w:color w:val="231F20"/>
                <w:sz w:val="14"/>
              </w:rPr>
              <w:t>Решавање система линеарних</w:t>
            </w:r>
            <w:r>
              <w:rPr>
                <w:color w:val="231F20"/>
                <w:spacing w:val="-18"/>
                <w:sz w:val="14"/>
              </w:rPr>
              <w:t xml:space="preserve"> </w:t>
            </w:r>
            <w:r>
              <w:rPr>
                <w:color w:val="231F20"/>
                <w:sz w:val="14"/>
              </w:rPr>
              <w:t>неједначина са две</w:t>
            </w:r>
            <w:r>
              <w:rPr>
                <w:color w:val="231F20"/>
                <w:spacing w:val="-1"/>
                <w:sz w:val="14"/>
              </w:rPr>
              <w:t xml:space="preserve"> </w:t>
            </w:r>
            <w:r>
              <w:rPr>
                <w:color w:val="231F20"/>
                <w:sz w:val="14"/>
              </w:rPr>
              <w:t>непознате.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640"/>
        </w:trPr>
        <w:tc>
          <w:tcPr>
            <w:tcW w:w="1304" w:type="dxa"/>
          </w:tcPr>
          <w:p w:rsidR="00041039" w:rsidRDefault="001B26CB">
            <w:pPr>
              <w:pStyle w:val="TableParagraph"/>
              <w:spacing w:before="18"/>
              <w:ind w:left="56" w:right="37"/>
              <w:rPr>
                <w:sz w:val="14"/>
              </w:rPr>
            </w:pPr>
            <w:r>
              <w:rPr>
                <w:color w:val="231F20"/>
                <w:sz w:val="14"/>
              </w:rPr>
              <w:lastRenderedPageBreak/>
              <w:t>Математичка ин­ дукција. Низови</w:t>
            </w:r>
          </w:p>
        </w:tc>
        <w:tc>
          <w:tcPr>
            <w:tcW w:w="1587" w:type="dxa"/>
          </w:tcPr>
          <w:p w:rsidR="00041039" w:rsidRDefault="001B26CB">
            <w:pPr>
              <w:pStyle w:val="TableParagraph"/>
              <w:numPr>
                <w:ilvl w:val="0"/>
                <w:numId w:val="2017"/>
              </w:numPr>
              <w:tabs>
                <w:tab w:val="left" w:pos="157"/>
              </w:tabs>
              <w:spacing w:before="8"/>
              <w:ind w:right="248"/>
              <w:rPr>
                <w:sz w:val="14"/>
              </w:rPr>
            </w:pPr>
            <w:r>
              <w:rPr>
                <w:color w:val="231F20"/>
                <w:sz w:val="14"/>
              </w:rPr>
              <w:t>Стицање основних знања о низовима</w:t>
            </w:r>
            <w:r>
              <w:rPr>
                <w:color w:val="231F20"/>
                <w:spacing w:val="-9"/>
                <w:sz w:val="14"/>
              </w:rPr>
              <w:t xml:space="preserve"> </w:t>
            </w:r>
            <w:r>
              <w:rPr>
                <w:color w:val="231F20"/>
                <w:sz w:val="14"/>
              </w:rPr>
              <w:t>и примена.</w:t>
            </w:r>
          </w:p>
        </w:tc>
        <w:tc>
          <w:tcPr>
            <w:tcW w:w="2551" w:type="dxa"/>
          </w:tcPr>
          <w:p w:rsidR="00041039" w:rsidRDefault="001B26CB">
            <w:pPr>
              <w:pStyle w:val="TableParagraph"/>
              <w:numPr>
                <w:ilvl w:val="0"/>
                <w:numId w:val="2016"/>
              </w:numPr>
              <w:tabs>
                <w:tab w:val="left" w:pos="157"/>
              </w:tabs>
              <w:spacing w:before="8"/>
              <w:ind w:right="274" w:hanging="99"/>
              <w:rPr>
                <w:sz w:val="14"/>
              </w:rPr>
            </w:pPr>
            <w:r>
              <w:rPr>
                <w:color w:val="231F20"/>
                <w:sz w:val="14"/>
              </w:rPr>
              <w:t>изводи</w:t>
            </w:r>
            <w:r>
              <w:rPr>
                <w:color w:val="231F20"/>
                <w:spacing w:val="-11"/>
                <w:sz w:val="14"/>
              </w:rPr>
              <w:t xml:space="preserve"> </w:t>
            </w:r>
            <w:r>
              <w:rPr>
                <w:color w:val="231F20"/>
                <w:sz w:val="14"/>
              </w:rPr>
              <w:t>лакше</w:t>
            </w:r>
            <w:r>
              <w:rPr>
                <w:color w:val="231F20"/>
                <w:spacing w:val="-12"/>
                <w:sz w:val="14"/>
              </w:rPr>
              <w:t xml:space="preserve"> </w:t>
            </w:r>
            <w:r>
              <w:rPr>
                <w:color w:val="231F20"/>
                <w:sz w:val="14"/>
              </w:rPr>
              <w:t>доказе</w:t>
            </w:r>
            <w:r>
              <w:rPr>
                <w:color w:val="231F20"/>
                <w:spacing w:val="-11"/>
                <w:sz w:val="14"/>
              </w:rPr>
              <w:t xml:space="preserve"> </w:t>
            </w:r>
            <w:r>
              <w:rPr>
                <w:color w:val="231F20"/>
                <w:sz w:val="14"/>
              </w:rPr>
              <w:t>математичком индукцијом;</w:t>
            </w:r>
          </w:p>
          <w:p w:rsidR="00041039" w:rsidRDefault="001B26CB">
            <w:pPr>
              <w:pStyle w:val="TableParagraph"/>
              <w:numPr>
                <w:ilvl w:val="0"/>
                <w:numId w:val="2016"/>
              </w:numPr>
              <w:tabs>
                <w:tab w:val="left" w:pos="157"/>
              </w:tabs>
              <w:spacing w:line="160" w:lineRule="exact"/>
              <w:ind w:right="271" w:hanging="99"/>
              <w:rPr>
                <w:sz w:val="14"/>
              </w:rPr>
            </w:pPr>
            <w:r>
              <w:rPr>
                <w:color w:val="231F20"/>
                <w:sz w:val="14"/>
              </w:rPr>
              <w:t>одреди аритметички низ из</w:t>
            </w:r>
            <w:r>
              <w:rPr>
                <w:color w:val="231F20"/>
                <w:spacing w:val="-20"/>
                <w:sz w:val="14"/>
              </w:rPr>
              <w:t xml:space="preserve"> </w:t>
            </w:r>
            <w:r>
              <w:rPr>
                <w:color w:val="231F20"/>
                <w:sz w:val="14"/>
              </w:rPr>
              <w:t>задатих услова;</w:t>
            </w:r>
          </w:p>
          <w:p w:rsidR="00041039" w:rsidRDefault="001B26CB">
            <w:pPr>
              <w:pStyle w:val="TableParagraph"/>
              <w:numPr>
                <w:ilvl w:val="0"/>
                <w:numId w:val="2016"/>
              </w:numPr>
              <w:tabs>
                <w:tab w:val="left" w:pos="157"/>
              </w:tabs>
              <w:spacing w:line="160" w:lineRule="exact"/>
              <w:ind w:right="252" w:hanging="99"/>
              <w:rPr>
                <w:sz w:val="14"/>
              </w:rPr>
            </w:pPr>
            <w:r>
              <w:rPr>
                <w:color w:val="231F20"/>
                <w:sz w:val="14"/>
              </w:rPr>
              <w:t>одреди геометријски низ из</w:t>
            </w:r>
            <w:r>
              <w:rPr>
                <w:color w:val="231F20"/>
                <w:spacing w:val="-24"/>
                <w:sz w:val="14"/>
              </w:rPr>
              <w:t xml:space="preserve"> </w:t>
            </w:r>
            <w:r>
              <w:rPr>
                <w:color w:val="231F20"/>
                <w:sz w:val="14"/>
              </w:rPr>
              <w:t>задатих услова;</w:t>
            </w:r>
          </w:p>
          <w:p w:rsidR="00041039" w:rsidRDefault="001B26CB">
            <w:pPr>
              <w:pStyle w:val="TableParagraph"/>
              <w:numPr>
                <w:ilvl w:val="0"/>
                <w:numId w:val="2016"/>
              </w:numPr>
              <w:tabs>
                <w:tab w:val="left" w:pos="157"/>
              </w:tabs>
              <w:spacing w:line="153" w:lineRule="exact"/>
              <w:ind w:hanging="99"/>
              <w:rPr>
                <w:sz w:val="14"/>
              </w:rPr>
            </w:pPr>
            <w:r>
              <w:rPr>
                <w:color w:val="231F20"/>
                <w:sz w:val="14"/>
              </w:rPr>
              <w:t>одреди суму геометријског</w:t>
            </w:r>
            <w:r>
              <w:rPr>
                <w:color w:val="231F20"/>
                <w:spacing w:val="-5"/>
                <w:sz w:val="14"/>
              </w:rPr>
              <w:t xml:space="preserve"> </w:t>
            </w:r>
            <w:r>
              <w:rPr>
                <w:color w:val="231F20"/>
                <w:sz w:val="14"/>
              </w:rPr>
              <w:t>реда;</w:t>
            </w:r>
          </w:p>
          <w:p w:rsidR="00041039" w:rsidRDefault="001B26CB">
            <w:pPr>
              <w:pStyle w:val="TableParagraph"/>
              <w:numPr>
                <w:ilvl w:val="0"/>
                <w:numId w:val="2016"/>
              </w:numPr>
              <w:tabs>
                <w:tab w:val="left" w:pos="157"/>
              </w:tabs>
              <w:spacing w:line="237" w:lineRule="auto"/>
              <w:ind w:right="697" w:hanging="99"/>
              <w:rPr>
                <w:sz w:val="14"/>
              </w:rPr>
            </w:pPr>
            <w:r>
              <w:rPr>
                <w:color w:val="231F20"/>
                <w:sz w:val="14"/>
              </w:rPr>
              <w:t>примени геометријски ред</w:t>
            </w:r>
            <w:r>
              <w:rPr>
                <w:color w:val="231F20"/>
                <w:spacing w:val="-12"/>
                <w:sz w:val="14"/>
              </w:rPr>
              <w:t xml:space="preserve"> </w:t>
            </w:r>
            <w:r>
              <w:rPr>
                <w:color w:val="231F20"/>
                <w:sz w:val="14"/>
              </w:rPr>
              <w:t>у геометрији;</w:t>
            </w:r>
          </w:p>
          <w:p w:rsidR="00041039" w:rsidRDefault="001B26CB">
            <w:pPr>
              <w:pStyle w:val="TableParagraph"/>
              <w:numPr>
                <w:ilvl w:val="0"/>
                <w:numId w:val="2016"/>
              </w:numPr>
              <w:tabs>
                <w:tab w:val="left" w:pos="157"/>
              </w:tabs>
              <w:spacing w:line="161" w:lineRule="exact"/>
              <w:ind w:hanging="99"/>
              <w:rPr>
                <w:sz w:val="14"/>
              </w:rPr>
            </w:pPr>
            <w:r>
              <w:rPr>
                <w:color w:val="231F20"/>
                <w:sz w:val="14"/>
              </w:rPr>
              <w:t>израчуна граничну вредност</w:t>
            </w:r>
            <w:r>
              <w:rPr>
                <w:color w:val="231F20"/>
                <w:spacing w:val="-6"/>
                <w:sz w:val="14"/>
              </w:rPr>
              <w:t xml:space="preserve"> </w:t>
            </w:r>
            <w:r>
              <w:rPr>
                <w:color w:val="231F20"/>
                <w:sz w:val="14"/>
              </w:rPr>
              <w:t>низа;</w:t>
            </w:r>
          </w:p>
        </w:tc>
        <w:tc>
          <w:tcPr>
            <w:tcW w:w="2834" w:type="dxa"/>
          </w:tcPr>
          <w:p w:rsidR="00041039" w:rsidRDefault="001B26CB">
            <w:pPr>
              <w:pStyle w:val="TableParagraph"/>
              <w:numPr>
                <w:ilvl w:val="0"/>
                <w:numId w:val="2015"/>
              </w:numPr>
              <w:tabs>
                <w:tab w:val="left" w:pos="157"/>
              </w:tabs>
              <w:spacing w:before="8" w:line="166" w:lineRule="exact"/>
              <w:ind w:hanging="99"/>
              <w:rPr>
                <w:sz w:val="14"/>
              </w:rPr>
            </w:pPr>
            <w:r>
              <w:rPr>
                <w:color w:val="231F20"/>
                <w:sz w:val="14"/>
              </w:rPr>
              <w:t>Математичка</w:t>
            </w:r>
            <w:r>
              <w:rPr>
                <w:color w:val="231F20"/>
                <w:spacing w:val="-1"/>
                <w:sz w:val="14"/>
              </w:rPr>
              <w:t xml:space="preserve"> </w:t>
            </w:r>
            <w:r>
              <w:rPr>
                <w:color w:val="231F20"/>
                <w:sz w:val="14"/>
              </w:rPr>
              <w:t>индукција.</w:t>
            </w:r>
          </w:p>
          <w:p w:rsidR="00041039" w:rsidRDefault="001B26CB">
            <w:pPr>
              <w:pStyle w:val="TableParagraph"/>
              <w:numPr>
                <w:ilvl w:val="0"/>
                <w:numId w:val="2015"/>
              </w:numPr>
              <w:tabs>
                <w:tab w:val="left" w:pos="157"/>
              </w:tabs>
              <w:spacing w:line="160" w:lineRule="exact"/>
              <w:ind w:hanging="99"/>
              <w:rPr>
                <w:sz w:val="14"/>
              </w:rPr>
            </w:pPr>
            <w:r>
              <w:rPr>
                <w:color w:val="231F20"/>
                <w:sz w:val="14"/>
              </w:rPr>
              <w:t>Дељивост, прости бројеви,</w:t>
            </w:r>
            <w:r>
              <w:rPr>
                <w:color w:val="231F20"/>
                <w:spacing w:val="-7"/>
                <w:sz w:val="14"/>
              </w:rPr>
              <w:t xml:space="preserve"> </w:t>
            </w:r>
            <w:r>
              <w:rPr>
                <w:color w:val="231F20"/>
                <w:sz w:val="14"/>
              </w:rPr>
              <w:t>конгруенције.</w:t>
            </w:r>
          </w:p>
          <w:p w:rsidR="00041039" w:rsidRDefault="001B26CB">
            <w:pPr>
              <w:pStyle w:val="TableParagraph"/>
              <w:numPr>
                <w:ilvl w:val="0"/>
                <w:numId w:val="2015"/>
              </w:numPr>
              <w:tabs>
                <w:tab w:val="left" w:pos="157"/>
              </w:tabs>
              <w:spacing w:line="160" w:lineRule="exact"/>
              <w:ind w:hanging="99"/>
              <w:rPr>
                <w:sz w:val="14"/>
              </w:rPr>
            </w:pPr>
            <w:r>
              <w:rPr>
                <w:color w:val="231F20"/>
                <w:sz w:val="14"/>
              </w:rPr>
              <w:t>Аритметички</w:t>
            </w:r>
            <w:r>
              <w:rPr>
                <w:color w:val="231F20"/>
                <w:spacing w:val="-15"/>
                <w:sz w:val="14"/>
              </w:rPr>
              <w:t xml:space="preserve"> </w:t>
            </w:r>
            <w:r>
              <w:rPr>
                <w:color w:val="231F20"/>
                <w:sz w:val="14"/>
              </w:rPr>
              <w:t>низ.</w:t>
            </w:r>
          </w:p>
          <w:p w:rsidR="00041039" w:rsidRDefault="001B26CB">
            <w:pPr>
              <w:pStyle w:val="TableParagraph"/>
              <w:numPr>
                <w:ilvl w:val="0"/>
                <w:numId w:val="2015"/>
              </w:numPr>
              <w:tabs>
                <w:tab w:val="left" w:pos="157"/>
              </w:tabs>
              <w:spacing w:line="160" w:lineRule="exact"/>
              <w:ind w:hanging="99"/>
              <w:rPr>
                <w:sz w:val="14"/>
              </w:rPr>
            </w:pPr>
            <w:r>
              <w:rPr>
                <w:color w:val="231F20"/>
                <w:sz w:val="14"/>
              </w:rPr>
              <w:t>Геометријски</w:t>
            </w:r>
            <w:r>
              <w:rPr>
                <w:color w:val="231F20"/>
                <w:spacing w:val="-17"/>
                <w:sz w:val="14"/>
              </w:rPr>
              <w:t xml:space="preserve"> </w:t>
            </w:r>
            <w:r>
              <w:rPr>
                <w:color w:val="231F20"/>
                <w:sz w:val="14"/>
              </w:rPr>
              <w:t>низ.</w:t>
            </w:r>
          </w:p>
          <w:p w:rsidR="00041039" w:rsidRDefault="001B26CB">
            <w:pPr>
              <w:pStyle w:val="TableParagraph"/>
              <w:numPr>
                <w:ilvl w:val="0"/>
                <w:numId w:val="2015"/>
              </w:numPr>
              <w:tabs>
                <w:tab w:val="left" w:pos="157"/>
              </w:tabs>
              <w:spacing w:line="160" w:lineRule="exact"/>
              <w:ind w:hanging="99"/>
              <w:rPr>
                <w:sz w:val="14"/>
              </w:rPr>
            </w:pPr>
            <w:r>
              <w:rPr>
                <w:color w:val="231F20"/>
                <w:sz w:val="14"/>
              </w:rPr>
              <w:t>Геометријски</w:t>
            </w:r>
            <w:r>
              <w:rPr>
                <w:color w:val="231F20"/>
                <w:spacing w:val="-15"/>
                <w:sz w:val="14"/>
              </w:rPr>
              <w:t xml:space="preserve"> </w:t>
            </w:r>
            <w:r>
              <w:rPr>
                <w:color w:val="231F20"/>
                <w:sz w:val="14"/>
              </w:rPr>
              <w:t>ред.</w:t>
            </w:r>
          </w:p>
          <w:p w:rsidR="00041039" w:rsidRDefault="001B26CB">
            <w:pPr>
              <w:pStyle w:val="TableParagraph"/>
              <w:numPr>
                <w:ilvl w:val="0"/>
                <w:numId w:val="2015"/>
              </w:numPr>
              <w:tabs>
                <w:tab w:val="left" w:pos="157"/>
              </w:tabs>
              <w:spacing w:line="160" w:lineRule="exact"/>
              <w:ind w:hanging="99"/>
              <w:rPr>
                <w:sz w:val="14"/>
              </w:rPr>
            </w:pPr>
            <w:r>
              <w:rPr>
                <w:color w:val="231F20"/>
                <w:sz w:val="14"/>
              </w:rPr>
              <w:t>Гранична вредност</w:t>
            </w:r>
            <w:r>
              <w:rPr>
                <w:color w:val="231F20"/>
                <w:spacing w:val="-1"/>
                <w:sz w:val="14"/>
              </w:rPr>
              <w:t xml:space="preserve"> </w:t>
            </w:r>
            <w:r>
              <w:rPr>
                <w:color w:val="231F20"/>
                <w:sz w:val="14"/>
              </w:rPr>
              <w:t>низа.</w:t>
            </w:r>
          </w:p>
          <w:p w:rsidR="00041039" w:rsidRDefault="001B26CB">
            <w:pPr>
              <w:pStyle w:val="TableParagraph"/>
              <w:numPr>
                <w:ilvl w:val="0"/>
                <w:numId w:val="2015"/>
              </w:numPr>
              <w:tabs>
                <w:tab w:val="left" w:pos="157"/>
              </w:tabs>
              <w:spacing w:line="160" w:lineRule="exact"/>
              <w:ind w:hanging="99"/>
              <w:rPr>
                <w:sz w:val="14"/>
              </w:rPr>
            </w:pPr>
            <w:r>
              <w:rPr>
                <w:color w:val="231F20"/>
                <w:sz w:val="14"/>
              </w:rPr>
              <w:t>Дефиниција броја е.</w:t>
            </w:r>
          </w:p>
          <w:p w:rsidR="00041039" w:rsidRDefault="001B26CB">
            <w:pPr>
              <w:pStyle w:val="TableParagraph"/>
              <w:numPr>
                <w:ilvl w:val="0"/>
                <w:numId w:val="2015"/>
              </w:numPr>
              <w:tabs>
                <w:tab w:val="left" w:pos="157"/>
              </w:tabs>
              <w:spacing w:line="166" w:lineRule="exact"/>
              <w:ind w:hanging="99"/>
              <w:rPr>
                <w:sz w:val="14"/>
              </w:rPr>
            </w:pPr>
            <w:r>
              <w:rPr>
                <w:color w:val="231F20"/>
                <w:sz w:val="14"/>
              </w:rPr>
              <w:t>Основне граничне</w:t>
            </w:r>
            <w:r>
              <w:rPr>
                <w:color w:val="231F20"/>
                <w:spacing w:val="-3"/>
                <w:sz w:val="14"/>
              </w:rPr>
              <w:t xml:space="preserve"> </w:t>
            </w:r>
            <w:r>
              <w:rPr>
                <w:color w:val="231F20"/>
                <w:sz w:val="14"/>
              </w:rPr>
              <w:t>вредности.</w:t>
            </w:r>
          </w:p>
        </w:tc>
        <w:tc>
          <w:tcPr>
            <w:tcW w:w="2267" w:type="dxa"/>
            <w:vMerge w:val="restart"/>
          </w:tcPr>
          <w:p w:rsidR="00041039" w:rsidRDefault="001B26CB">
            <w:pPr>
              <w:pStyle w:val="TableParagraph"/>
              <w:spacing w:before="18" w:line="155" w:lineRule="exact"/>
              <w:ind w:left="58"/>
              <w:rPr>
                <w:b/>
                <w:sz w:val="14"/>
              </w:rPr>
            </w:pPr>
            <w:r>
              <w:rPr>
                <w:b/>
                <w:color w:val="231F20"/>
                <w:sz w:val="14"/>
              </w:rPr>
              <w:t>Оквирни број часова по теми</w:t>
            </w:r>
          </w:p>
          <w:p w:rsidR="00041039" w:rsidRDefault="001B26CB">
            <w:pPr>
              <w:pStyle w:val="TableParagraph"/>
              <w:numPr>
                <w:ilvl w:val="0"/>
                <w:numId w:val="2014"/>
              </w:numPr>
              <w:tabs>
                <w:tab w:val="left" w:pos="158"/>
              </w:tabs>
              <w:spacing w:line="160" w:lineRule="exact"/>
              <w:ind w:hanging="99"/>
              <w:rPr>
                <w:b/>
                <w:sz w:val="14"/>
              </w:rPr>
            </w:pPr>
            <w:r>
              <w:rPr>
                <w:color w:val="231F20"/>
                <w:sz w:val="14"/>
              </w:rPr>
              <w:t xml:space="preserve">Полиедри </w:t>
            </w:r>
            <w:r>
              <w:rPr>
                <w:b/>
                <w:color w:val="231F20"/>
                <w:sz w:val="14"/>
              </w:rPr>
              <w:t>(25</w:t>
            </w:r>
            <w:r>
              <w:rPr>
                <w:b/>
                <w:color w:val="231F20"/>
                <w:spacing w:val="-3"/>
                <w:sz w:val="14"/>
              </w:rPr>
              <w:t xml:space="preserve"> </w:t>
            </w:r>
            <w:r>
              <w:rPr>
                <w:b/>
                <w:color w:val="231F20"/>
                <w:sz w:val="14"/>
              </w:rPr>
              <w:t>часова)</w:t>
            </w:r>
          </w:p>
          <w:p w:rsidR="00041039" w:rsidRDefault="001B26CB">
            <w:pPr>
              <w:pStyle w:val="TableParagraph"/>
              <w:numPr>
                <w:ilvl w:val="0"/>
                <w:numId w:val="2014"/>
              </w:numPr>
              <w:tabs>
                <w:tab w:val="left" w:pos="158"/>
              </w:tabs>
              <w:spacing w:line="160" w:lineRule="exact"/>
              <w:ind w:hanging="99"/>
              <w:rPr>
                <w:b/>
                <w:sz w:val="14"/>
              </w:rPr>
            </w:pPr>
            <w:r>
              <w:rPr>
                <w:color w:val="231F20"/>
                <w:sz w:val="14"/>
              </w:rPr>
              <w:t xml:space="preserve">Обртна тела </w:t>
            </w:r>
            <w:r>
              <w:rPr>
                <w:b/>
                <w:color w:val="231F20"/>
                <w:sz w:val="14"/>
              </w:rPr>
              <w:t>(20</w:t>
            </w:r>
            <w:r>
              <w:rPr>
                <w:b/>
                <w:color w:val="231F20"/>
                <w:spacing w:val="-3"/>
                <w:sz w:val="14"/>
              </w:rPr>
              <w:t xml:space="preserve"> </w:t>
            </w:r>
            <w:r>
              <w:rPr>
                <w:b/>
                <w:color w:val="231F20"/>
                <w:sz w:val="14"/>
              </w:rPr>
              <w:t>часова)</w:t>
            </w:r>
          </w:p>
          <w:p w:rsidR="00041039" w:rsidRDefault="001B26CB">
            <w:pPr>
              <w:pStyle w:val="TableParagraph"/>
              <w:numPr>
                <w:ilvl w:val="0"/>
                <w:numId w:val="2014"/>
              </w:numPr>
              <w:tabs>
                <w:tab w:val="left" w:pos="158"/>
              </w:tabs>
              <w:spacing w:line="160" w:lineRule="exact"/>
              <w:ind w:hanging="99"/>
              <w:rPr>
                <w:b/>
                <w:sz w:val="14"/>
              </w:rPr>
            </w:pPr>
            <w:r>
              <w:rPr>
                <w:color w:val="231F20"/>
                <w:sz w:val="14"/>
              </w:rPr>
              <w:t xml:space="preserve">Вектори </w:t>
            </w:r>
            <w:r>
              <w:rPr>
                <w:b/>
                <w:color w:val="231F20"/>
                <w:sz w:val="14"/>
              </w:rPr>
              <w:t>(15</w:t>
            </w:r>
            <w:r>
              <w:rPr>
                <w:b/>
                <w:color w:val="231F20"/>
                <w:spacing w:val="-2"/>
                <w:sz w:val="14"/>
              </w:rPr>
              <w:t xml:space="preserve"> </w:t>
            </w:r>
            <w:r>
              <w:rPr>
                <w:b/>
                <w:color w:val="231F20"/>
                <w:sz w:val="14"/>
              </w:rPr>
              <w:t>часова)</w:t>
            </w:r>
          </w:p>
          <w:p w:rsidR="00041039" w:rsidRDefault="001B26CB">
            <w:pPr>
              <w:pStyle w:val="TableParagraph"/>
              <w:numPr>
                <w:ilvl w:val="0"/>
                <w:numId w:val="2014"/>
              </w:numPr>
              <w:tabs>
                <w:tab w:val="left" w:pos="158"/>
              </w:tabs>
              <w:spacing w:line="165" w:lineRule="exact"/>
              <w:ind w:hanging="99"/>
              <w:rPr>
                <w:sz w:val="14"/>
              </w:rPr>
            </w:pPr>
            <w:r>
              <w:rPr>
                <w:color w:val="231F20"/>
                <w:sz w:val="14"/>
              </w:rPr>
              <w:t>Аналитичка геометрија у</w:t>
            </w:r>
            <w:r>
              <w:rPr>
                <w:color w:val="231F20"/>
                <w:spacing w:val="-5"/>
                <w:sz w:val="14"/>
              </w:rPr>
              <w:t xml:space="preserve"> </w:t>
            </w:r>
            <w:r>
              <w:rPr>
                <w:color w:val="231F20"/>
                <w:sz w:val="14"/>
              </w:rPr>
              <w:t>равни</w:t>
            </w:r>
          </w:p>
          <w:p w:rsidR="00041039" w:rsidRDefault="001B26CB">
            <w:pPr>
              <w:pStyle w:val="TableParagraph"/>
              <w:spacing w:line="155" w:lineRule="exact"/>
              <w:ind w:left="157"/>
              <w:rPr>
                <w:b/>
                <w:sz w:val="14"/>
              </w:rPr>
            </w:pPr>
            <w:r>
              <w:rPr>
                <w:b/>
                <w:color w:val="231F20"/>
                <w:sz w:val="14"/>
              </w:rPr>
              <w:t>(50 часова)</w:t>
            </w:r>
          </w:p>
          <w:p w:rsidR="00041039" w:rsidRDefault="001B26CB">
            <w:pPr>
              <w:pStyle w:val="TableParagraph"/>
              <w:numPr>
                <w:ilvl w:val="0"/>
                <w:numId w:val="2014"/>
              </w:numPr>
              <w:tabs>
                <w:tab w:val="left" w:pos="158"/>
              </w:tabs>
              <w:spacing w:line="165" w:lineRule="exact"/>
              <w:ind w:hanging="99"/>
              <w:rPr>
                <w:sz w:val="14"/>
              </w:rPr>
            </w:pPr>
            <w:r>
              <w:rPr>
                <w:color w:val="231F20"/>
                <w:sz w:val="14"/>
              </w:rPr>
              <w:t>Математичка индукција.</w:t>
            </w:r>
            <w:r>
              <w:rPr>
                <w:color w:val="231F20"/>
                <w:spacing w:val="-9"/>
                <w:sz w:val="14"/>
              </w:rPr>
              <w:t xml:space="preserve"> </w:t>
            </w:r>
            <w:r>
              <w:rPr>
                <w:color w:val="231F20"/>
                <w:sz w:val="14"/>
              </w:rPr>
              <w:t>Низови</w:t>
            </w:r>
          </w:p>
          <w:p w:rsidR="00041039" w:rsidRDefault="001B26CB">
            <w:pPr>
              <w:pStyle w:val="TableParagraph"/>
              <w:spacing w:line="155" w:lineRule="exact"/>
              <w:ind w:left="157"/>
              <w:rPr>
                <w:b/>
                <w:sz w:val="14"/>
              </w:rPr>
            </w:pPr>
            <w:r>
              <w:rPr>
                <w:b/>
                <w:color w:val="231F20"/>
                <w:sz w:val="14"/>
              </w:rPr>
              <w:t>(38 часова)</w:t>
            </w:r>
          </w:p>
          <w:p w:rsidR="00041039" w:rsidRDefault="001B26CB">
            <w:pPr>
              <w:pStyle w:val="TableParagraph"/>
              <w:numPr>
                <w:ilvl w:val="0"/>
                <w:numId w:val="2014"/>
              </w:numPr>
              <w:tabs>
                <w:tab w:val="left" w:pos="158"/>
              </w:tabs>
              <w:spacing w:line="165" w:lineRule="exact"/>
              <w:ind w:hanging="99"/>
              <w:rPr>
                <w:sz w:val="14"/>
              </w:rPr>
            </w:pPr>
            <w:r>
              <w:rPr>
                <w:color w:val="231F20"/>
                <w:sz w:val="14"/>
              </w:rPr>
              <w:t>Комплексни бројеви и</w:t>
            </w:r>
            <w:r>
              <w:rPr>
                <w:color w:val="231F20"/>
                <w:spacing w:val="-11"/>
                <w:sz w:val="14"/>
              </w:rPr>
              <w:t xml:space="preserve"> </w:t>
            </w:r>
            <w:r>
              <w:rPr>
                <w:color w:val="231F20"/>
                <w:sz w:val="14"/>
              </w:rPr>
              <w:t>полиноми</w:t>
            </w:r>
          </w:p>
          <w:p w:rsidR="00041039" w:rsidRDefault="001B26CB">
            <w:pPr>
              <w:pStyle w:val="TableParagraph"/>
              <w:spacing w:line="160" w:lineRule="exact"/>
              <w:ind w:left="157"/>
              <w:rPr>
                <w:b/>
                <w:sz w:val="14"/>
              </w:rPr>
            </w:pPr>
            <w:r>
              <w:rPr>
                <w:b/>
                <w:color w:val="231F20"/>
                <w:sz w:val="14"/>
              </w:rPr>
              <w:t>(15 часова)</w:t>
            </w:r>
          </w:p>
          <w:p w:rsidR="00041039" w:rsidRDefault="00041039">
            <w:pPr>
              <w:pStyle w:val="TableParagraph"/>
              <w:spacing w:before="9"/>
              <w:ind w:left="0"/>
              <w:rPr>
                <w:b/>
                <w:sz w:val="13"/>
              </w:rPr>
            </w:pPr>
          </w:p>
          <w:p w:rsidR="00041039" w:rsidRDefault="001B26CB">
            <w:pPr>
              <w:pStyle w:val="TableParagraph"/>
              <w:spacing w:before="1"/>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1320"/>
        </w:trPr>
        <w:tc>
          <w:tcPr>
            <w:tcW w:w="1304" w:type="dxa"/>
          </w:tcPr>
          <w:p w:rsidR="00041039" w:rsidRDefault="001B26CB">
            <w:pPr>
              <w:pStyle w:val="TableParagraph"/>
              <w:spacing w:before="18"/>
              <w:ind w:left="56" w:right="37"/>
              <w:rPr>
                <w:sz w:val="14"/>
              </w:rPr>
            </w:pPr>
            <w:r>
              <w:rPr>
                <w:color w:val="231F20"/>
                <w:sz w:val="14"/>
              </w:rPr>
              <w:t>Комплексни броје­ ви и полиноми</w:t>
            </w:r>
          </w:p>
        </w:tc>
        <w:tc>
          <w:tcPr>
            <w:tcW w:w="1587" w:type="dxa"/>
          </w:tcPr>
          <w:p w:rsidR="00041039" w:rsidRDefault="001B26CB">
            <w:pPr>
              <w:pStyle w:val="TableParagraph"/>
              <w:numPr>
                <w:ilvl w:val="0"/>
                <w:numId w:val="2013"/>
              </w:numPr>
              <w:tabs>
                <w:tab w:val="left" w:pos="157"/>
              </w:tabs>
              <w:spacing w:before="8"/>
              <w:ind w:right="211"/>
              <w:rPr>
                <w:sz w:val="14"/>
              </w:rPr>
            </w:pPr>
            <w:r>
              <w:rPr>
                <w:color w:val="231F20"/>
                <w:sz w:val="14"/>
              </w:rPr>
              <w:t xml:space="preserve">Стицање знања о степеновању и </w:t>
            </w:r>
            <w:r>
              <w:rPr>
                <w:color w:val="231F20"/>
                <w:spacing w:val="-3"/>
                <w:sz w:val="14"/>
              </w:rPr>
              <w:t xml:space="preserve">ко­ </w:t>
            </w:r>
            <w:r>
              <w:rPr>
                <w:color w:val="231F20"/>
                <w:sz w:val="14"/>
              </w:rPr>
              <w:t>реновању</w:t>
            </w:r>
            <w:r>
              <w:rPr>
                <w:color w:val="231F20"/>
                <w:spacing w:val="-15"/>
                <w:sz w:val="14"/>
              </w:rPr>
              <w:t xml:space="preserve"> </w:t>
            </w:r>
            <w:r>
              <w:rPr>
                <w:color w:val="231F20"/>
                <w:sz w:val="14"/>
              </w:rPr>
              <w:t>комплекс­ них бројева и неке примене.</w:t>
            </w:r>
          </w:p>
        </w:tc>
        <w:tc>
          <w:tcPr>
            <w:tcW w:w="2551" w:type="dxa"/>
          </w:tcPr>
          <w:p w:rsidR="00041039" w:rsidRDefault="001B26CB">
            <w:pPr>
              <w:pStyle w:val="TableParagraph"/>
              <w:numPr>
                <w:ilvl w:val="0"/>
                <w:numId w:val="2012"/>
              </w:numPr>
              <w:tabs>
                <w:tab w:val="left" w:pos="157"/>
              </w:tabs>
              <w:spacing w:before="8"/>
              <w:ind w:right="173" w:hanging="99"/>
              <w:rPr>
                <w:sz w:val="14"/>
              </w:rPr>
            </w:pPr>
            <w:r>
              <w:rPr>
                <w:color w:val="231F20"/>
                <w:sz w:val="14"/>
              </w:rPr>
              <w:t>одреди тригонометријски облик</w:t>
            </w:r>
            <w:r>
              <w:rPr>
                <w:color w:val="231F20"/>
                <w:spacing w:val="-17"/>
                <w:sz w:val="14"/>
              </w:rPr>
              <w:t xml:space="preserve"> </w:t>
            </w:r>
            <w:r>
              <w:rPr>
                <w:color w:val="231F20"/>
                <w:spacing w:val="-3"/>
                <w:sz w:val="14"/>
              </w:rPr>
              <w:t xml:space="preserve">ком­ </w:t>
            </w:r>
            <w:r>
              <w:rPr>
                <w:color w:val="231F20"/>
                <w:sz w:val="14"/>
              </w:rPr>
              <w:t>плексног броја</w:t>
            </w:r>
            <w:r>
              <w:rPr>
                <w:color w:val="231F20"/>
                <w:spacing w:val="-1"/>
                <w:sz w:val="14"/>
              </w:rPr>
              <w:t xml:space="preserve"> </w:t>
            </w:r>
            <w:r>
              <w:rPr>
                <w:color w:val="231F20"/>
                <w:sz w:val="14"/>
              </w:rPr>
              <w:t>;</w:t>
            </w:r>
          </w:p>
          <w:p w:rsidR="00041039" w:rsidRDefault="001B26CB">
            <w:pPr>
              <w:pStyle w:val="TableParagraph"/>
              <w:numPr>
                <w:ilvl w:val="0"/>
                <w:numId w:val="2012"/>
              </w:numPr>
              <w:tabs>
                <w:tab w:val="left" w:pos="157"/>
              </w:tabs>
              <w:spacing w:before="1" w:line="160" w:lineRule="exact"/>
              <w:ind w:right="265" w:hanging="99"/>
              <w:rPr>
                <w:sz w:val="14"/>
              </w:rPr>
            </w:pPr>
            <w:r>
              <w:rPr>
                <w:color w:val="231F20"/>
                <w:sz w:val="14"/>
              </w:rPr>
              <w:t>одреди</w:t>
            </w:r>
            <w:r>
              <w:rPr>
                <w:color w:val="231F20"/>
                <w:spacing w:val="-8"/>
                <w:sz w:val="14"/>
              </w:rPr>
              <w:t xml:space="preserve"> </w:t>
            </w:r>
            <w:r>
              <w:rPr>
                <w:color w:val="231F20"/>
                <w:sz w:val="14"/>
              </w:rPr>
              <w:t>степен</w:t>
            </w:r>
            <w:r>
              <w:rPr>
                <w:color w:val="231F20"/>
                <w:spacing w:val="-8"/>
                <w:sz w:val="14"/>
              </w:rPr>
              <w:t xml:space="preserve"> </w:t>
            </w:r>
            <w:r>
              <w:rPr>
                <w:color w:val="231F20"/>
                <w:sz w:val="14"/>
              </w:rPr>
              <w:t>и</w:t>
            </w:r>
            <w:r>
              <w:rPr>
                <w:color w:val="231F20"/>
                <w:spacing w:val="-8"/>
                <w:sz w:val="14"/>
              </w:rPr>
              <w:t xml:space="preserve"> </w:t>
            </w:r>
            <w:r>
              <w:rPr>
                <w:color w:val="231F20"/>
                <w:sz w:val="14"/>
              </w:rPr>
              <w:t>корен</w:t>
            </w:r>
            <w:r>
              <w:rPr>
                <w:color w:val="231F20"/>
                <w:spacing w:val="-8"/>
                <w:sz w:val="14"/>
              </w:rPr>
              <w:t xml:space="preserve"> </w:t>
            </w:r>
            <w:r>
              <w:rPr>
                <w:color w:val="231F20"/>
                <w:sz w:val="14"/>
              </w:rPr>
              <w:t>комплексног броја у тригонометријском</w:t>
            </w:r>
            <w:r>
              <w:rPr>
                <w:color w:val="231F20"/>
                <w:spacing w:val="-20"/>
                <w:sz w:val="14"/>
              </w:rPr>
              <w:t xml:space="preserve"> </w:t>
            </w:r>
            <w:r>
              <w:rPr>
                <w:color w:val="231F20"/>
                <w:sz w:val="14"/>
              </w:rPr>
              <w:t>облику;</w:t>
            </w:r>
          </w:p>
          <w:p w:rsidR="00041039" w:rsidRDefault="001B26CB">
            <w:pPr>
              <w:pStyle w:val="TableParagraph"/>
              <w:numPr>
                <w:ilvl w:val="0"/>
                <w:numId w:val="2012"/>
              </w:numPr>
              <w:tabs>
                <w:tab w:val="left" w:pos="157"/>
              </w:tabs>
              <w:spacing w:line="160" w:lineRule="exact"/>
              <w:ind w:right="62" w:hanging="99"/>
              <w:rPr>
                <w:sz w:val="14"/>
              </w:rPr>
            </w:pPr>
            <w:r>
              <w:rPr>
                <w:color w:val="231F20"/>
                <w:sz w:val="14"/>
              </w:rPr>
              <w:t xml:space="preserve">одреди </w:t>
            </w:r>
            <w:r>
              <w:rPr>
                <w:color w:val="231F20"/>
                <w:spacing w:val="-3"/>
                <w:sz w:val="14"/>
              </w:rPr>
              <w:t xml:space="preserve">нуле </w:t>
            </w:r>
            <w:r>
              <w:rPr>
                <w:color w:val="231F20"/>
                <w:sz w:val="14"/>
              </w:rPr>
              <w:t>полинома са</w:t>
            </w:r>
            <w:r>
              <w:rPr>
                <w:color w:val="231F20"/>
                <w:spacing w:val="-24"/>
                <w:sz w:val="14"/>
              </w:rPr>
              <w:t xml:space="preserve"> </w:t>
            </w:r>
            <w:r>
              <w:rPr>
                <w:color w:val="231F20"/>
                <w:sz w:val="14"/>
              </w:rPr>
              <w:t>комплексним коефицијентима;</w:t>
            </w:r>
          </w:p>
        </w:tc>
        <w:tc>
          <w:tcPr>
            <w:tcW w:w="2834" w:type="dxa"/>
          </w:tcPr>
          <w:p w:rsidR="00041039" w:rsidRDefault="001B26CB">
            <w:pPr>
              <w:pStyle w:val="TableParagraph"/>
              <w:numPr>
                <w:ilvl w:val="0"/>
                <w:numId w:val="2011"/>
              </w:numPr>
              <w:tabs>
                <w:tab w:val="left" w:pos="157"/>
              </w:tabs>
              <w:spacing w:before="9"/>
              <w:ind w:right="397" w:hanging="99"/>
              <w:rPr>
                <w:sz w:val="14"/>
              </w:rPr>
            </w:pPr>
            <w:r>
              <w:rPr>
                <w:color w:val="231F20"/>
                <w:sz w:val="14"/>
              </w:rPr>
              <w:t>Тригонометријски</w:t>
            </w:r>
            <w:r>
              <w:rPr>
                <w:color w:val="231F20"/>
                <w:spacing w:val="-15"/>
                <w:sz w:val="14"/>
              </w:rPr>
              <w:t xml:space="preserve"> </w:t>
            </w:r>
            <w:r>
              <w:rPr>
                <w:color w:val="231F20"/>
                <w:sz w:val="14"/>
              </w:rPr>
              <w:t>облик</w:t>
            </w:r>
            <w:r>
              <w:rPr>
                <w:color w:val="231F20"/>
                <w:spacing w:val="-15"/>
                <w:sz w:val="14"/>
              </w:rPr>
              <w:t xml:space="preserve"> </w:t>
            </w:r>
            <w:r>
              <w:rPr>
                <w:color w:val="231F20"/>
                <w:sz w:val="14"/>
              </w:rPr>
              <w:t>комплексног броја.</w:t>
            </w:r>
          </w:p>
          <w:p w:rsidR="00041039" w:rsidRDefault="001B26CB">
            <w:pPr>
              <w:pStyle w:val="TableParagraph"/>
              <w:numPr>
                <w:ilvl w:val="0"/>
                <w:numId w:val="2011"/>
              </w:numPr>
              <w:tabs>
                <w:tab w:val="left" w:pos="157"/>
              </w:tabs>
              <w:spacing w:line="153" w:lineRule="exact"/>
              <w:ind w:hanging="99"/>
              <w:rPr>
                <w:sz w:val="14"/>
              </w:rPr>
            </w:pPr>
            <w:r>
              <w:rPr>
                <w:color w:val="231F20"/>
                <w:sz w:val="14"/>
              </w:rPr>
              <w:t>Моаврова</w:t>
            </w:r>
            <w:r>
              <w:rPr>
                <w:color w:val="231F20"/>
                <w:spacing w:val="-1"/>
                <w:sz w:val="14"/>
              </w:rPr>
              <w:t xml:space="preserve"> </w:t>
            </w:r>
            <w:r>
              <w:rPr>
                <w:color w:val="231F20"/>
                <w:sz w:val="14"/>
              </w:rPr>
              <w:t>формула.</w:t>
            </w:r>
          </w:p>
          <w:p w:rsidR="00041039" w:rsidRDefault="001B26CB">
            <w:pPr>
              <w:pStyle w:val="TableParagraph"/>
              <w:numPr>
                <w:ilvl w:val="0"/>
                <w:numId w:val="2011"/>
              </w:numPr>
              <w:tabs>
                <w:tab w:val="left" w:pos="157"/>
              </w:tabs>
              <w:spacing w:line="160" w:lineRule="exact"/>
              <w:ind w:hanging="99"/>
              <w:rPr>
                <w:sz w:val="14"/>
              </w:rPr>
            </w:pPr>
            <w:r>
              <w:rPr>
                <w:color w:val="231F20"/>
                <w:sz w:val="14"/>
              </w:rPr>
              <w:t>Корен комплексног</w:t>
            </w:r>
            <w:r>
              <w:rPr>
                <w:color w:val="231F20"/>
                <w:spacing w:val="-2"/>
                <w:sz w:val="14"/>
              </w:rPr>
              <w:t xml:space="preserve"> </w:t>
            </w:r>
            <w:r>
              <w:rPr>
                <w:color w:val="231F20"/>
                <w:sz w:val="14"/>
              </w:rPr>
              <w:t>броја.</w:t>
            </w:r>
          </w:p>
          <w:p w:rsidR="00041039" w:rsidRDefault="001B26CB">
            <w:pPr>
              <w:pStyle w:val="TableParagraph"/>
              <w:numPr>
                <w:ilvl w:val="0"/>
                <w:numId w:val="2011"/>
              </w:numPr>
              <w:tabs>
                <w:tab w:val="left" w:pos="157"/>
              </w:tabs>
              <w:spacing w:line="160" w:lineRule="exact"/>
              <w:ind w:hanging="99"/>
              <w:rPr>
                <w:sz w:val="14"/>
              </w:rPr>
            </w:pPr>
            <w:r>
              <w:rPr>
                <w:color w:val="231F20"/>
                <w:sz w:val="14"/>
              </w:rPr>
              <w:t>Основни став</w:t>
            </w:r>
            <w:r>
              <w:rPr>
                <w:color w:val="231F20"/>
                <w:spacing w:val="-2"/>
                <w:sz w:val="14"/>
              </w:rPr>
              <w:t xml:space="preserve"> </w:t>
            </w:r>
            <w:r>
              <w:rPr>
                <w:color w:val="231F20"/>
                <w:sz w:val="14"/>
              </w:rPr>
              <w:t>алгебре.</w:t>
            </w:r>
          </w:p>
          <w:p w:rsidR="00041039" w:rsidRDefault="001B26CB">
            <w:pPr>
              <w:pStyle w:val="TableParagraph"/>
              <w:numPr>
                <w:ilvl w:val="0"/>
                <w:numId w:val="2011"/>
              </w:numPr>
              <w:tabs>
                <w:tab w:val="left" w:pos="157"/>
              </w:tabs>
              <w:spacing w:line="160" w:lineRule="exact"/>
              <w:ind w:hanging="99"/>
              <w:rPr>
                <w:sz w:val="14"/>
              </w:rPr>
            </w:pPr>
            <w:r>
              <w:rPr>
                <w:color w:val="231F20"/>
                <w:sz w:val="14"/>
              </w:rPr>
              <w:t>Вијетове</w:t>
            </w:r>
            <w:r>
              <w:rPr>
                <w:color w:val="231F20"/>
                <w:spacing w:val="-1"/>
                <w:sz w:val="14"/>
              </w:rPr>
              <w:t xml:space="preserve"> </w:t>
            </w:r>
            <w:r>
              <w:rPr>
                <w:color w:val="231F20"/>
                <w:sz w:val="14"/>
              </w:rPr>
              <w:t>везе.</w:t>
            </w:r>
          </w:p>
          <w:p w:rsidR="00041039" w:rsidRDefault="001B26CB">
            <w:pPr>
              <w:pStyle w:val="TableParagraph"/>
              <w:numPr>
                <w:ilvl w:val="0"/>
                <w:numId w:val="2011"/>
              </w:numPr>
              <w:tabs>
                <w:tab w:val="left" w:pos="157"/>
              </w:tabs>
              <w:spacing w:line="237" w:lineRule="auto"/>
              <w:ind w:right="279" w:hanging="99"/>
              <w:rPr>
                <w:sz w:val="14"/>
              </w:rPr>
            </w:pPr>
            <w:r>
              <w:rPr>
                <w:color w:val="231F20"/>
                <w:sz w:val="14"/>
              </w:rPr>
              <w:t>Решавање алгебарских једначина</w:t>
            </w:r>
            <w:r>
              <w:rPr>
                <w:color w:val="231F20"/>
                <w:spacing w:val="-18"/>
                <w:sz w:val="14"/>
              </w:rPr>
              <w:t xml:space="preserve"> </w:t>
            </w:r>
            <w:r>
              <w:rPr>
                <w:color w:val="231F20"/>
                <w:sz w:val="14"/>
              </w:rPr>
              <w:t>вишег реда.</w:t>
            </w:r>
          </w:p>
        </w:tc>
        <w:tc>
          <w:tcPr>
            <w:tcW w:w="2267" w:type="dxa"/>
            <w:vMerge/>
            <w:tcBorders>
              <w:top w:val="nil"/>
            </w:tcBorders>
          </w:tcPr>
          <w:p w:rsidR="00041039" w:rsidRDefault="00041039">
            <w:pPr>
              <w:rPr>
                <w:sz w:val="2"/>
                <w:szCs w:val="2"/>
              </w:rPr>
            </w:pPr>
          </w:p>
        </w:tc>
      </w:tr>
    </w:tbl>
    <w:p w:rsidR="00041039" w:rsidRDefault="00041039">
      <w:pPr>
        <w:pStyle w:val="BodyText"/>
        <w:spacing w:before="6"/>
        <w:rPr>
          <w:b/>
          <w:sz w:val="18"/>
        </w:rPr>
      </w:pPr>
    </w:p>
    <w:p w:rsidR="00041039" w:rsidRDefault="001B26CB">
      <w:pPr>
        <w:tabs>
          <w:tab w:val="left" w:pos="1461"/>
        </w:tabs>
        <w:spacing w:before="97" w:line="314" w:lineRule="auto"/>
        <w:ind w:left="157" w:right="8288"/>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128 часова </w:t>
      </w:r>
      <w:r>
        <w:rPr>
          <w:color w:val="231F20"/>
          <w:sz w:val="14"/>
        </w:rPr>
        <w:t>Разред:</w:t>
      </w:r>
      <w:r>
        <w:rPr>
          <w:color w:val="231F20"/>
          <w:sz w:val="14"/>
        </w:rPr>
        <w:tab/>
      </w:r>
      <w:r>
        <w:rPr>
          <w:b/>
          <w:color w:val="231F20"/>
          <w:sz w:val="14"/>
        </w:rPr>
        <w:t>четврти</w:t>
      </w:r>
    </w:p>
    <w:p w:rsidR="00041039" w:rsidRDefault="00041039">
      <w:pPr>
        <w:pStyle w:val="BodyText"/>
        <w:spacing w:before="1" w:after="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Pr>
                <w:sz w:val="14"/>
              </w:rPr>
            </w:pPr>
            <w:r>
              <w:rPr>
                <w:color w:val="231F20"/>
                <w:sz w:val="14"/>
              </w:rPr>
              <w:t>Функција</w:t>
            </w:r>
          </w:p>
        </w:tc>
        <w:tc>
          <w:tcPr>
            <w:tcW w:w="1587" w:type="dxa"/>
          </w:tcPr>
          <w:p w:rsidR="00041039" w:rsidRDefault="001B26CB">
            <w:pPr>
              <w:pStyle w:val="TableParagraph"/>
              <w:numPr>
                <w:ilvl w:val="0"/>
                <w:numId w:val="2010"/>
              </w:numPr>
              <w:tabs>
                <w:tab w:val="left" w:pos="157"/>
              </w:tabs>
              <w:spacing w:before="8"/>
              <w:ind w:right="222"/>
              <w:rPr>
                <w:sz w:val="14"/>
              </w:rPr>
            </w:pPr>
            <w:r>
              <w:rPr>
                <w:color w:val="231F20"/>
                <w:sz w:val="14"/>
              </w:rPr>
              <w:t>Систематизација знања о</w:t>
            </w:r>
            <w:r>
              <w:rPr>
                <w:color w:val="231F20"/>
                <w:spacing w:val="-10"/>
                <w:sz w:val="14"/>
              </w:rPr>
              <w:t xml:space="preserve"> </w:t>
            </w:r>
            <w:r>
              <w:rPr>
                <w:color w:val="231F20"/>
                <w:sz w:val="14"/>
              </w:rPr>
              <w:t>функцијама датим аналитичким изразом.</w:t>
            </w:r>
          </w:p>
        </w:tc>
        <w:tc>
          <w:tcPr>
            <w:tcW w:w="2551" w:type="dxa"/>
          </w:tcPr>
          <w:p w:rsidR="00041039" w:rsidRDefault="001B26CB">
            <w:pPr>
              <w:pStyle w:val="TableParagraph"/>
              <w:numPr>
                <w:ilvl w:val="0"/>
                <w:numId w:val="2009"/>
              </w:numPr>
              <w:tabs>
                <w:tab w:val="left" w:pos="157"/>
              </w:tabs>
              <w:spacing w:before="8"/>
              <w:ind w:right="301" w:hanging="99"/>
              <w:rPr>
                <w:sz w:val="14"/>
              </w:rPr>
            </w:pPr>
            <w:r>
              <w:rPr>
                <w:color w:val="231F20"/>
                <w:sz w:val="14"/>
              </w:rPr>
              <w:t>одреди</w:t>
            </w:r>
            <w:r>
              <w:rPr>
                <w:color w:val="231F20"/>
                <w:spacing w:val="-10"/>
                <w:sz w:val="14"/>
              </w:rPr>
              <w:t xml:space="preserve"> </w:t>
            </w:r>
            <w:r>
              <w:rPr>
                <w:color w:val="231F20"/>
                <w:sz w:val="14"/>
              </w:rPr>
              <w:t>домен,</w:t>
            </w:r>
            <w:r>
              <w:rPr>
                <w:color w:val="231F20"/>
                <w:spacing w:val="-10"/>
                <w:sz w:val="14"/>
              </w:rPr>
              <w:t xml:space="preserve"> </w:t>
            </w:r>
            <w:r>
              <w:rPr>
                <w:color w:val="231F20"/>
                <w:sz w:val="14"/>
              </w:rPr>
              <w:t>кодомен,</w:t>
            </w:r>
            <w:r>
              <w:rPr>
                <w:color w:val="231F20"/>
                <w:spacing w:val="-10"/>
                <w:sz w:val="14"/>
              </w:rPr>
              <w:t xml:space="preserve"> </w:t>
            </w:r>
            <w:r>
              <w:rPr>
                <w:color w:val="231F20"/>
                <w:sz w:val="14"/>
              </w:rPr>
              <w:t>нуле,</w:t>
            </w:r>
            <w:r>
              <w:rPr>
                <w:color w:val="231F20"/>
                <w:spacing w:val="-10"/>
                <w:sz w:val="14"/>
              </w:rPr>
              <w:t xml:space="preserve"> </w:t>
            </w:r>
            <w:r>
              <w:rPr>
                <w:color w:val="231F20"/>
                <w:sz w:val="14"/>
              </w:rPr>
              <w:t>знак, парност рационалне</w:t>
            </w:r>
            <w:r>
              <w:rPr>
                <w:color w:val="231F20"/>
                <w:spacing w:val="-3"/>
                <w:sz w:val="14"/>
              </w:rPr>
              <w:t xml:space="preserve"> </w:t>
            </w:r>
            <w:r>
              <w:rPr>
                <w:color w:val="231F20"/>
                <w:sz w:val="14"/>
              </w:rPr>
              <w:t>функције;</w:t>
            </w:r>
          </w:p>
          <w:p w:rsidR="00041039" w:rsidRDefault="001B26CB">
            <w:pPr>
              <w:pStyle w:val="TableParagraph"/>
              <w:numPr>
                <w:ilvl w:val="0"/>
                <w:numId w:val="2009"/>
              </w:numPr>
              <w:tabs>
                <w:tab w:val="left" w:pos="157"/>
              </w:tabs>
              <w:spacing w:line="160" w:lineRule="exact"/>
              <w:ind w:right="182" w:hanging="99"/>
              <w:rPr>
                <w:sz w:val="14"/>
              </w:rPr>
            </w:pPr>
            <w:r>
              <w:rPr>
                <w:color w:val="231F20"/>
                <w:sz w:val="14"/>
              </w:rPr>
              <w:t>слаже пресликавања и решава</w:t>
            </w:r>
            <w:r>
              <w:rPr>
                <w:color w:val="231F20"/>
                <w:spacing w:val="-13"/>
                <w:sz w:val="14"/>
              </w:rPr>
              <w:t xml:space="preserve"> </w:t>
            </w:r>
            <w:r>
              <w:rPr>
                <w:color w:val="231F20"/>
                <w:sz w:val="14"/>
              </w:rPr>
              <w:t>лакше функционалне</w:t>
            </w:r>
            <w:r>
              <w:rPr>
                <w:color w:val="231F20"/>
                <w:spacing w:val="-2"/>
                <w:sz w:val="14"/>
              </w:rPr>
              <w:t xml:space="preserve"> </w:t>
            </w:r>
            <w:r>
              <w:rPr>
                <w:color w:val="231F20"/>
                <w:sz w:val="14"/>
              </w:rPr>
              <w:t>једначине;</w:t>
            </w:r>
          </w:p>
          <w:p w:rsidR="00041039" w:rsidRDefault="001B26CB">
            <w:pPr>
              <w:pStyle w:val="TableParagraph"/>
              <w:numPr>
                <w:ilvl w:val="0"/>
                <w:numId w:val="2009"/>
              </w:numPr>
              <w:tabs>
                <w:tab w:val="left" w:pos="157"/>
              </w:tabs>
              <w:spacing w:line="153" w:lineRule="exact"/>
              <w:ind w:hanging="99"/>
              <w:rPr>
                <w:sz w:val="14"/>
              </w:rPr>
            </w:pPr>
            <w:r>
              <w:rPr>
                <w:color w:val="231F20"/>
                <w:sz w:val="14"/>
              </w:rPr>
              <w:t>израчуна лакше граничне</w:t>
            </w:r>
            <w:r>
              <w:rPr>
                <w:color w:val="231F20"/>
                <w:spacing w:val="-10"/>
                <w:sz w:val="14"/>
              </w:rPr>
              <w:t xml:space="preserve"> </w:t>
            </w:r>
            <w:r>
              <w:rPr>
                <w:color w:val="231F20"/>
                <w:sz w:val="14"/>
              </w:rPr>
              <w:t>вредности;</w:t>
            </w:r>
          </w:p>
          <w:p w:rsidR="00041039" w:rsidRDefault="001B26CB">
            <w:pPr>
              <w:pStyle w:val="TableParagraph"/>
              <w:numPr>
                <w:ilvl w:val="0"/>
                <w:numId w:val="2009"/>
              </w:numPr>
              <w:tabs>
                <w:tab w:val="left" w:pos="157"/>
              </w:tabs>
              <w:spacing w:line="160" w:lineRule="exact"/>
              <w:ind w:hanging="99"/>
              <w:rPr>
                <w:sz w:val="14"/>
              </w:rPr>
            </w:pPr>
            <w:r>
              <w:rPr>
                <w:color w:val="231F20"/>
                <w:sz w:val="14"/>
              </w:rPr>
              <w:t>одреди асимптоте</w:t>
            </w:r>
            <w:r>
              <w:rPr>
                <w:color w:val="231F20"/>
                <w:spacing w:val="-2"/>
                <w:sz w:val="14"/>
              </w:rPr>
              <w:t xml:space="preserve"> </w:t>
            </w:r>
            <w:r>
              <w:rPr>
                <w:color w:val="231F20"/>
                <w:sz w:val="14"/>
              </w:rPr>
              <w:t>функције;</w:t>
            </w:r>
          </w:p>
          <w:p w:rsidR="00041039" w:rsidRDefault="001B26CB">
            <w:pPr>
              <w:pStyle w:val="TableParagraph"/>
              <w:numPr>
                <w:ilvl w:val="0"/>
                <w:numId w:val="2009"/>
              </w:numPr>
              <w:tabs>
                <w:tab w:val="left" w:pos="157"/>
              </w:tabs>
              <w:spacing w:line="237" w:lineRule="auto"/>
              <w:ind w:right="100" w:hanging="99"/>
              <w:rPr>
                <w:sz w:val="14"/>
              </w:rPr>
            </w:pPr>
            <w:r>
              <w:rPr>
                <w:color w:val="231F20"/>
                <w:sz w:val="14"/>
              </w:rPr>
              <w:t>испита понашање функције у</w:t>
            </w:r>
            <w:r>
              <w:rPr>
                <w:color w:val="231F20"/>
                <w:spacing w:val="-26"/>
                <w:sz w:val="14"/>
              </w:rPr>
              <w:t xml:space="preserve"> </w:t>
            </w:r>
            <w:r>
              <w:rPr>
                <w:color w:val="231F20"/>
                <w:sz w:val="14"/>
              </w:rPr>
              <w:t>околини вертикалних</w:t>
            </w:r>
            <w:r>
              <w:rPr>
                <w:color w:val="231F20"/>
                <w:spacing w:val="-2"/>
                <w:sz w:val="14"/>
              </w:rPr>
              <w:t xml:space="preserve"> </w:t>
            </w:r>
            <w:r>
              <w:rPr>
                <w:color w:val="231F20"/>
                <w:sz w:val="14"/>
              </w:rPr>
              <w:t>асимптота;</w:t>
            </w:r>
          </w:p>
        </w:tc>
        <w:tc>
          <w:tcPr>
            <w:tcW w:w="2834" w:type="dxa"/>
          </w:tcPr>
          <w:p w:rsidR="00041039" w:rsidRDefault="001B26CB">
            <w:pPr>
              <w:pStyle w:val="TableParagraph"/>
              <w:numPr>
                <w:ilvl w:val="0"/>
                <w:numId w:val="2008"/>
              </w:numPr>
              <w:tabs>
                <w:tab w:val="left" w:pos="157"/>
              </w:tabs>
              <w:spacing w:before="8" w:line="166" w:lineRule="exact"/>
              <w:ind w:hanging="99"/>
              <w:rPr>
                <w:sz w:val="14"/>
              </w:rPr>
            </w:pPr>
            <w:r>
              <w:rPr>
                <w:color w:val="231F20"/>
                <w:sz w:val="14"/>
              </w:rPr>
              <w:t xml:space="preserve">Домен, </w:t>
            </w:r>
            <w:r>
              <w:rPr>
                <w:color w:val="231F20"/>
                <w:spacing w:val="-4"/>
                <w:sz w:val="14"/>
              </w:rPr>
              <w:t xml:space="preserve">ко </w:t>
            </w:r>
            <w:r>
              <w:rPr>
                <w:color w:val="231F20"/>
                <w:sz w:val="14"/>
              </w:rPr>
              <w:t>домен, нуле, знак,</w:t>
            </w:r>
            <w:r>
              <w:rPr>
                <w:color w:val="231F20"/>
                <w:spacing w:val="-8"/>
                <w:sz w:val="14"/>
              </w:rPr>
              <w:t xml:space="preserve"> </w:t>
            </w:r>
            <w:r>
              <w:rPr>
                <w:color w:val="231F20"/>
                <w:sz w:val="14"/>
              </w:rPr>
              <w:t>парност.</w:t>
            </w:r>
          </w:p>
          <w:p w:rsidR="00041039" w:rsidRDefault="001B26CB">
            <w:pPr>
              <w:pStyle w:val="TableParagraph"/>
              <w:numPr>
                <w:ilvl w:val="0"/>
                <w:numId w:val="2008"/>
              </w:numPr>
              <w:tabs>
                <w:tab w:val="left" w:pos="157"/>
              </w:tabs>
              <w:spacing w:line="160" w:lineRule="exact"/>
              <w:ind w:hanging="99"/>
              <w:rPr>
                <w:sz w:val="14"/>
              </w:rPr>
            </w:pPr>
            <w:r>
              <w:rPr>
                <w:color w:val="231F20"/>
                <w:sz w:val="14"/>
              </w:rPr>
              <w:t>Инверзна</w:t>
            </w:r>
            <w:r>
              <w:rPr>
                <w:color w:val="231F20"/>
                <w:spacing w:val="-2"/>
                <w:sz w:val="14"/>
              </w:rPr>
              <w:t xml:space="preserve"> </w:t>
            </w:r>
            <w:r>
              <w:rPr>
                <w:color w:val="231F20"/>
                <w:sz w:val="14"/>
              </w:rPr>
              <w:t>функција.</w:t>
            </w:r>
          </w:p>
          <w:p w:rsidR="00041039" w:rsidRDefault="001B26CB">
            <w:pPr>
              <w:pStyle w:val="TableParagraph"/>
              <w:numPr>
                <w:ilvl w:val="0"/>
                <w:numId w:val="2008"/>
              </w:numPr>
              <w:tabs>
                <w:tab w:val="left" w:pos="157"/>
              </w:tabs>
              <w:spacing w:line="160" w:lineRule="exact"/>
              <w:ind w:hanging="99"/>
              <w:rPr>
                <w:sz w:val="14"/>
              </w:rPr>
            </w:pPr>
            <w:r>
              <w:rPr>
                <w:color w:val="231F20"/>
                <w:sz w:val="14"/>
              </w:rPr>
              <w:t>Слагање</w:t>
            </w:r>
            <w:r>
              <w:rPr>
                <w:color w:val="231F20"/>
                <w:spacing w:val="-1"/>
                <w:sz w:val="14"/>
              </w:rPr>
              <w:t xml:space="preserve"> </w:t>
            </w:r>
            <w:r>
              <w:rPr>
                <w:color w:val="231F20"/>
                <w:sz w:val="14"/>
              </w:rPr>
              <w:t>пресликавања.</w:t>
            </w:r>
          </w:p>
          <w:p w:rsidR="00041039" w:rsidRDefault="001B26CB">
            <w:pPr>
              <w:pStyle w:val="TableParagraph"/>
              <w:numPr>
                <w:ilvl w:val="0"/>
                <w:numId w:val="2008"/>
              </w:numPr>
              <w:tabs>
                <w:tab w:val="left" w:pos="157"/>
              </w:tabs>
              <w:spacing w:line="160" w:lineRule="exact"/>
              <w:ind w:hanging="99"/>
              <w:rPr>
                <w:sz w:val="14"/>
              </w:rPr>
            </w:pPr>
            <w:r>
              <w:rPr>
                <w:color w:val="231F20"/>
                <w:sz w:val="14"/>
              </w:rPr>
              <w:t>Функционалне</w:t>
            </w:r>
            <w:r>
              <w:rPr>
                <w:color w:val="231F20"/>
                <w:spacing w:val="-2"/>
                <w:sz w:val="14"/>
              </w:rPr>
              <w:t xml:space="preserve"> </w:t>
            </w:r>
            <w:r>
              <w:rPr>
                <w:color w:val="231F20"/>
                <w:sz w:val="14"/>
              </w:rPr>
              <w:t>једначине.</w:t>
            </w:r>
          </w:p>
          <w:p w:rsidR="00041039" w:rsidRDefault="001B26CB">
            <w:pPr>
              <w:pStyle w:val="TableParagraph"/>
              <w:numPr>
                <w:ilvl w:val="0"/>
                <w:numId w:val="2008"/>
              </w:numPr>
              <w:tabs>
                <w:tab w:val="left" w:pos="157"/>
              </w:tabs>
              <w:spacing w:line="160" w:lineRule="exact"/>
              <w:ind w:hanging="99"/>
              <w:rPr>
                <w:sz w:val="14"/>
              </w:rPr>
            </w:pPr>
            <w:r>
              <w:rPr>
                <w:color w:val="231F20"/>
                <w:sz w:val="14"/>
              </w:rPr>
              <w:t>Гранична вредност</w:t>
            </w:r>
            <w:r>
              <w:rPr>
                <w:color w:val="231F20"/>
                <w:spacing w:val="-1"/>
                <w:sz w:val="14"/>
              </w:rPr>
              <w:t xml:space="preserve"> </w:t>
            </w:r>
            <w:r>
              <w:rPr>
                <w:color w:val="231F20"/>
                <w:sz w:val="14"/>
              </w:rPr>
              <w:t>функције.</w:t>
            </w:r>
          </w:p>
          <w:p w:rsidR="00041039" w:rsidRDefault="001B26CB">
            <w:pPr>
              <w:pStyle w:val="TableParagraph"/>
              <w:numPr>
                <w:ilvl w:val="0"/>
                <w:numId w:val="2008"/>
              </w:numPr>
              <w:tabs>
                <w:tab w:val="left" w:pos="157"/>
              </w:tabs>
              <w:spacing w:line="166" w:lineRule="exact"/>
              <w:ind w:hanging="99"/>
              <w:rPr>
                <w:sz w:val="14"/>
              </w:rPr>
            </w:pPr>
            <w:r>
              <w:rPr>
                <w:color w:val="231F20"/>
                <w:sz w:val="14"/>
              </w:rPr>
              <w:t>Асимптоте</w:t>
            </w:r>
            <w:r>
              <w:rPr>
                <w:color w:val="231F20"/>
                <w:spacing w:val="-1"/>
                <w:sz w:val="14"/>
              </w:rPr>
              <w:t xml:space="preserve"> </w:t>
            </w:r>
            <w:r>
              <w:rPr>
                <w:color w:val="231F20"/>
                <w:sz w:val="14"/>
              </w:rPr>
              <w:t>функције.</w:t>
            </w:r>
          </w:p>
        </w:tc>
        <w:tc>
          <w:tcPr>
            <w:tcW w:w="2267" w:type="dxa"/>
            <w:vMerge w:val="restart"/>
          </w:tcPr>
          <w:p w:rsidR="00041039" w:rsidRDefault="001B26CB">
            <w:pPr>
              <w:pStyle w:val="TableParagraph"/>
              <w:numPr>
                <w:ilvl w:val="0"/>
                <w:numId w:val="2007"/>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007"/>
              </w:numPr>
              <w:tabs>
                <w:tab w:val="left" w:pos="158"/>
              </w:tabs>
              <w:spacing w:line="160" w:lineRule="exact"/>
              <w:ind w:hanging="99"/>
              <w:rPr>
                <w:b/>
                <w:sz w:val="14"/>
              </w:rPr>
            </w:pPr>
            <w:r>
              <w:rPr>
                <w:color w:val="231F20"/>
                <w:sz w:val="14"/>
              </w:rPr>
              <w:t xml:space="preserve">теоријска настава </w:t>
            </w:r>
            <w:r>
              <w:rPr>
                <w:b/>
                <w:color w:val="231F20"/>
                <w:sz w:val="14"/>
              </w:rPr>
              <w:t>(128</w:t>
            </w:r>
            <w:r>
              <w:rPr>
                <w:b/>
                <w:color w:val="231F20"/>
                <w:spacing w:val="-5"/>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r>
              <w:rPr>
                <w:color w:val="231F20"/>
                <w:sz w:val="14"/>
              </w:rPr>
              <w:t>.</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200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numPr>
                <w:ilvl w:val="0"/>
                <w:numId w:val="2007"/>
              </w:numPr>
              <w:tabs>
                <w:tab w:val="left" w:pos="158"/>
              </w:tabs>
              <w:spacing w:before="1"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2007"/>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2007"/>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2007"/>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2007"/>
              </w:numPr>
              <w:tabs>
                <w:tab w:val="left" w:pos="158"/>
              </w:tabs>
              <w:spacing w:line="160" w:lineRule="exact"/>
              <w:ind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технологија;</w:t>
            </w:r>
          </w:p>
          <w:p w:rsidR="00041039" w:rsidRDefault="001B26CB">
            <w:pPr>
              <w:pStyle w:val="TableParagraph"/>
              <w:numPr>
                <w:ilvl w:val="0"/>
                <w:numId w:val="2006"/>
              </w:numPr>
              <w:tabs>
                <w:tab w:val="left" w:pos="143"/>
              </w:tabs>
              <w:spacing w:line="237" w:lineRule="auto"/>
              <w:ind w:right="42"/>
              <w:rPr>
                <w:sz w:val="14"/>
              </w:rPr>
            </w:pPr>
            <w:r>
              <w:rPr>
                <w:b/>
                <w:color w:val="231F20"/>
                <w:sz w:val="14"/>
              </w:rPr>
              <w:t xml:space="preserve">Функција: </w:t>
            </w:r>
            <w:r>
              <w:rPr>
                <w:color w:val="231F20"/>
                <w:sz w:val="14"/>
              </w:rPr>
              <w:t>допунити и система­ тизовати знања о особинама</w:t>
            </w:r>
            <w:r>
              <w:rPr>
                <w:color w:val="231F20"/>
                <w:spacing w:val="-16"/>
                <w:sz w:val="14"/>
              </w:rPr>
              <w:t xml:space="preserve"> </w:t>
            </w:r>
            <w:r>
              <w:rPr>
                <w:color w:val="231F20"/>
                <w:sz w:val="14"/>
              </w:rPr>
              <w:t>функ­ ција; дати преглед елементарних функција; проширити и допунити постојећа знања о граничним вредностима.</w:t>
            </w:r>
          </w:p>
          <w:p w:rsidR="00041039" w:rsidRDefault="001B26CB">
            <w:pPr>
              <w:pStyle w:val="TableParagraph"/>
              <w:numPr>
                <w:ilvl w:val="0"/>
                <w:numId w:val="2006"/>
              </w:numPr>
              <w:tabs>
                <w:tab w:val="left" w:pos="143"/>
              </w:tabs>
              <w:spacing w:before="2"/>
              <w:ind w:right="72"/>
              <w:rPr>
                <w:sz w:val="14"/>
              </w:rPr>
            </w:pPr>
            <w:r>
              <w:rPr>
                <w:b/>
                <w:color w:val="231F20"/>
                <w:sz w:val="14"/>
              </w:rPr>
              <w:t xml:space="preserve">Извод функције: </w:t>
            </w:r>
            <w:r>
              <w:rPr>
                <w:color w:val="231F20"/>
                <w:sz w:val="14"/>
              </w:rPr>
              <w:t>дати бројне примене извода функције и задржати се на испитивању тока</w:t>
            </w:r>
            <w:r>
              <w:rPr>
                <w:color w:val="231F20"/>
                <w:spacing w:val="-22"/>
                <w:sz w:val="14"/>
              </w:rPr>
              <w:t xml:space="preserve"> </w:t>
            </w:r>
            <w:r>
              <w:rPr>
                <w:color w:val="231F20"/>
                <w:sz w:val="14"/>
              </w:rPr>
              <w:t>и цртању графи</w:t>
            </w:r>
            <w:r>
              <w:rPr>
                <w:color w:val="231F20"/>
                <w:sz w:val="14"/>
              </w:rPr>
              <w:t>ка</w:t>
            </w:r>
            <w:r>
              <w:rPr>
                <w:color w:val="231F20"/>
                <w:spacing w:val="-2"/>
                <w:sz w:val="14"/>
              </w:rPr>
              <w:t xml:space="preserve"> </w:t>
            </w:r>
            <w:r>
              <w:rPr>
                <w:color w:val="231F20"/>
                <w:sz w:val="14"/>
              </w:rPr>
              <w:t>функције.</w:t>
            </w:r>
          </w:p>
          <w:p w:rsidR="00041039" w:rsidRDefault="001B26CB">
            <w:pPr>
              <w:pStyle w:val="TableParagraph"/>
              <w:numPr>
                <w:ilvl w:val="0"/>
                <w:numId w:val="2006"/>
              </w:numPr>
              <w:tabs>
                <w:tab w:val="left" w:pos="143"/>
              </w:tabs>
              <w:spacing w:line="237" w:lineRule="auto"/>
              <w:ind w:right="122"/>
              <w:rPr>
                <w:sz w:val="14"/>
              </w:rPr>
            </w:pPr>
            <w:r>
              <w:rPr>
                <w:b/>
                <w:color w:val="231F20"/>
                <w:sz w:val="14"/>
              </w:rPr>
              <w:t xml:space="preserve">Интеграл: </w:t>
            </w:r>
            <w:r>
              <w:rPr>
                <w:color w:val="231F20"/>
                <w:sz w:val="14"/>
              </w:rPr>
              <w:t>након разних ти­ пова неодређеног интеграла и понављању кроз израчунавање одређеног интеграла, акценат је на бројним применама</w:t>
            </w:r>
            <w:r>
              <w:rPr>
                <w:color w:val="231F20"/>
                <w:spacing w:val="-14"/>
                <w:sz w:val="14"/>
              </w:rPr>
              <w:t xml:space="preserve"> </w:t>
            </w:r>
            <w:r>
              <w:rPr>
                <w:color w:val="231F20"/>
                <w:sz w:val="14"/>
              </w:rPr>
              <w:t>одређеног интеграла.</w:t>
            </w:r>
          </w:p>
          <w:p w:rsidR="00041039" w:rsidRDefault="001B26CB">
            <w:pPr>
              <w:pStyle w:val="TableParagraph"/>
              <w:numPr>
                <w:ilvl w:val="0"/>
                <w:numId w:val="2006"/>
              </w:numPr>
              <w:tabs>
                <w:tab w:val="left" w:pos="143"/>
              </w:tabs>
              <w:spacing w:before="1" w:line="237" w:lineRule="auto"/>
              <w:ind w:right="116"/>
              <w:rPr>
                <w:sz w:val="14"/>
              </w:rPr>
            </w:pPr>
            <w:r>
              <w:rPr>
                <w:b/>
                <w:color w:val="231F20"/>
                <w:sz w:val="14"/>
              </w:rPr>
              <w:t xml:space="preserve">Комбинаторика: </w:t>
            </w:r>
            <w:r>
              <w:rPr>
                <w:color w:val="231F20"/>
                <w:sz w:val="14"/>
              </w:rPr>
              <w:t>наставити упо­ требу стечених знања о</w:t>
            </w:r>
            <w:r>
              <w:rPr>
                <w:color w:val="231F20"/>
                <w:spacing w:val="-21"/>
                <w:sz w:val="14"/>
              </w:rPr>
              <w:t xml:space="preserve"> </w:t>
            </w:r>
            <w:r>
              <w:rPr>
                <w:color w:val="231F20"/>
                <w:sz w:val="14"/>
              </w:rPr>
              <w:t>преброја­ вању додавањем сложени</w:t>
            </w:r>
            <w:r>
              <w:rPr>
                <w:color w:val="231F20"/>
                <w:sz w:val="14"/>
              </w:rPr>
              <w:t xml:space="preserve">јих примера и то, </w:t>
            </w:r>
            <w:r>
              <w:rPr>
                <w:color w:val="231F20"/>
                <w:spacing w:val="-3"/>
                <w:sz w:val="14"/>
              </w:rPr>
              <w:t xml:space="preserve">како </w:t>
            </w:r>
            <w:r>
              <w:rPr>
                <w:color w:val="231F20"/>
                <w:sz w:val="14"/>
              </w:rPr>
              <w:t>интуитивно, тако и кроз формуле; користити и комбинаторне идентитете који проширују ово</w:t>
            </w:r>
            <w:r>
              <w:rPr>
                <w:color w:val="231F20"/>
                <w:spacing w:val="-2"/>
                <w:sz w:val="14"/>
              </w:rPr>
              <w:t xml:space="preserve"> </w:t>
            </w:r>
            <w:r>
              <w:rPr>
                <w:color w:val="231F20"/>
                <w:sz w:val="14"/>
              </w:rPr>
              <w:t>подручје.</w:t>
            </w:r>
          </w:p>
        </w:tc>
      </w:tr>
      <w:tr w:rsidR="00041039">
        <w:trPr>
          <w:trHeight w:val="1640"/>
        </w:trPr>
        <w:tc>
          <w:tcPr>
            <w:tcW w:w="1304" w:type="dxa"/>
          </w:tcPr>
          <w:p w:rsidR="00041039" w:rsidRDefault="001B26CB">
            <w:pPr>
              <w:pStyle w:val="TableParagraph"/>
              <w:spacing w:before="19"/>
              <w:ind w:left="56"/>
              <w:rPr>
                <w:sz w:val="14"/>
              </w:rPr>
            </w:pPr>
            <w:r>
              <w:rPr>
                <w:color w:val="231F20"/>
                <w:sz w:val="14"/>
              </w:rPr>
              <w:t>Извод функције</w:t>
            </w:r>
          </w:p>
        </w:tc>
        <w:tc>
          <w:tcPr>
            <w:tcW w:w="1587" w:type="dxa"/>
          </w:tcPr>
          <w:p w:rsidR="00041039" w:rsidRDefault="001B26CB">
            <w:pPr>
              <w:pStyle w:val="TableParagraph"/>
              <w:numPr>
                <w:ilvl w:val="0"/>
                <w:numId w:val="2005"/>
              </w:numPr>
              <w:tabs>
                <w:tab w:val="left" w:pos="157"/>
              </w:tabs>
              <w:spacing w:before="9"/>
              <w:ind w:right="108"/>
              <w:rPr>
                <w:sz w:val="14"/>
              </w:rPr>
            </w:pPr>
            <w:r>
              <w:rPr>
                <w:color w:val="231F20"/>
                <w:sz w:val="14"/>
              </w:rPr>
              <w:t>Стицање знања о изводу функције и знања неопходних за испитивање и цртање графика једноставних функција.</w:t>
            </w:r>
          </w:p>
        </w:tc>
        <w:tc>
          <w:tcPr>
            <w:tcW w:w="2551" w:type="dxa"/>
          </w:tcPr>
          <w:p w:rsidR="00041039" w:rsidRDefault="001B26CB">
            <w:pPr>
              <w:pStyle w:val="TableParagraph"/>
              <w:numPr>
                <w:ilvl w:val="0"/>
                <w:numId w:val="2004"/>
              </w:numPr>
              <w:tabs>
                <w:tab w:val="left" w:pos="157"/>
              </w:tabs>
              <w:spacing w:before="9"/>
              <w:ind w:right="242" w:hanging="99"/>
              <w:rPr>
                <w:sz w:val="14"/>
              </w:rPr>
            </w:pPr>
            <w:r>
              <w:rPr>
                <w:color w:val="231F20"/>
                <w:sz w:val="14"/>
              </w:rPr>
              <w:t>израчуна</w:t>
            </w:r>
            <w:r>
              <w:rPr>
                <w:color w:val="231F20"/>
                <w:spacing w:val="-9"/>
                <w:sz w:val="14"/>
              </w:rPr>
              <w:t xml:space="preserve"> </w:t>
            </w:r>
            <w:r>
              <w:rPr>
                <w:color w:val="231F20"/>
                <w:sz w:val="14"/>
              </w:rPr>
              <w:t>извод</w:t>
            </w:r>
            <w:r>
              <w:rPr>
                <w:color w:val="231F20"/>
                <w:spacing w:val="-9"/>
                <w:sz w:val="14"/>
              </w:rPr>
              <w:t xml:space="preserve"> </w:t>
            </w:r>
            <w:r>
              <w:rPr>
                <w:color w:val="231F20"/>
                <w:sz w:val="14"/>
              </w:rPr>
              <w:t>ма</w:t>
            </w:r>
            <w:r>
              <w:rPr>
                <w:color w:val="231F20"/>
                <w:spacing w:val="-9"/>
                <w:sz w:val="14"/>
              </w:rPr>
              <w:t xml:space="preserve"> </w:t>
            </w:r>
            <w:r>
              <w:rPr>
                <w:color w:val="231F20"/>
                <w:sz w:val="14"/>
              </w:rPr>
              <w:t>које</w:t>
            </w:r>
            <w:r>
              <w:rPr>
                <w:color w:val="231F20"/>
                <w:spacing w:val="-9"/>
                <w:sz w:val="14"/>
              </w:rPr>
              <w:t xml:space="preserve"> </w:t>
            </w:r>
            <w:r>
              <w:rPr>
                <w:color w:val="231F20"/>
                <w:sz w:val="14"/>
              </w:rPr>
              <w:t>комбинације елементарних функција применом правила за израчунавање</w:t>
            </w:r>
            <w:r>
              <w:rPr>
                <w:color w:val="231F20"/>
                <w:spacing w:val="-11"/>
                <w:sz w:val="14"/>
              </w:rPr>
              <w:t xml:space="preserve"> </w:t>
            </w:r>
            <w:r>
              <w:rPr>
                <w:color w:val="231F20"/>
                <w:sz w:val="14"/>
              </w:rPr>
              <w:t>извода;</w:t>
            </w:r>
          </w:p>
          <w:p w:rsidR="00041039" w:rsidRDefault="001B26CB">
            <w:pPr>
              <w:pStyle w:val="TableParagraph"/>
              <w:numPr>
                <w:ilvl w:val="0"/>
                <w:numId w:val="2004"/>
              </w:numPr>
              <w:tabs>
                <w:tab w:val="left" w:pos="157"/>
              </w:tabs>
              <w:spacing w:line="152" w:lineRule="exact"/>
              <w:ind w:hanging="99"/>
              <w:rPr>
                <w:sz w:val="14"/>
              </w:rPr>
            </w:pPr>
            <w:r>
              <w:rPr>
                <w:color w:val="231F20"/>
                <w:sz w:val="14"/>
              </w:rPr>
              <w:t>израчуна извод вишег</w:t>
            </w:r>
            <w:r>
              <w:rPr>
                <w:color w:val="231F20"/>
                <w:spacing w:val="-4"/>
                <w:sz w:val="14"/>
              </w:rPr>
              <w:t xml:space="preserve"> </w:t>
            </w:r>
            <w:r>
              <w:rPr>
                <w:color w:val="231F20"/>
                <w:sz w:val="14"/>
              </w:rPr>
              <w:t>реда;</w:t>
            </w:r>
          </w:p>
          <w:p w:rsidR="00041039" w:rsidRDefault="001B26CB">
            <w:pPr>
              <w:pStyle w:val="TableParagraph"/>
              <w:numPr>
                <w:ilvl w:val="0"/>
                <w:numId w:val="2004"/>
              </w:numPr>
              <w:tabs>
                <w:tab w:val="left" w:pos="157"/>
              </w:tabs>
              <w:spacing w:line="160" w:lineRule="exact"/>
              <w:ind w:hanging="99"/>
              <w:rPr>
                <w:sz w:val="14"/>
              </w:rPr>
            </w:pPr>
            <w:r>
              <w:rPr>
                <w:color w:val="231F20"/>
                <w:sz w:val="14"/>
              </w:rPr>
              <w:t>одреди екстремне вредности</w:t>
            </w:r>
            <w:r>
              <w:rPr>
                <w:color w:val="231F20"/>
                <w:spacing w:val="-10"/>
                <w:sz w:val="14"/>
              </w:rPr>
              <w:t xml:space="preserve"> </w:t>
            </w:r>
            <w:r>
              <w:rPr>
                <w:color w:val="231F20"/>
                <w:sz w:val="14"/>
              </w:rPr>
              <w:t>функције;</w:t>
            </w:r>
          </w:p>
          <w:p w:rsidR="00041039" w:rsidRDefault="001B26CB">
            <w:pPr>
              <w:pStyle w:val="TableParagraph"/>
              <w:numPr>
                <w:ilvl w:val="0"/>
                <w:numId w:val="2004"/>
              </w:numPr>
              <w:tabs>
                <w:tab w:val="left" w:pos="157"/>
              </w:tabs>
              <w:spacing w:line="160" w:lineRule="exact"/>
              <w:ind w:hanging="99"/>
              <w:rPr>
                <w:sz w:val="14"/>
              </w:rPr>
            </w:pPr>
            <w:r>
              <w:rPr>
                <w:color w:val="231F20"/>
                <w:sz w:val="14"/>
              </w:rPr>
              <w:t>одреди конкавност</w:t>
            </w:r>
            <w:r>
              <w:rPr>
                <w:color w:val="231F20"/>
                <w:spacing w:val="-2"/>
                <w:sz w:val="14"/>
              </w:rPr>
              <w:t xml:space="preserve"> </w:t>
            </w:r>
            <w:r>
              <w:rPr>
                <w:color w:val="231F20"/>
                <w:sz w:val="14"/>
              </w:rPr>
              <w:t>функције;</w:t>
            </w:r>
          </w:p>
          <w:p w:rsidR="00041039" w:rsidRDefault="001B26CB">
            <w:pPr>
              <w:pStyle w:val="TableParagraph"/>
              <w:numPr>
                <w:ilvl w:val="0"/>
                <w:numId w:val="2004"/>
              </w:numPr>
              <w:tabs>
                <w:tab w:val="left" w:pos="157"/>
              </w:tabs>
              <w:spacing w:line="237" w:lineRule="auto"/>
              <w:ind w:right="130" w:hanging="99"/>
              <w:rPr>
                <w:sz w:val="14"/>
              </w:rPr>
            </w:pPr>
            <w:r>
              <w:rPr>
                <w:color w:val="231F20"/>
                <w:sz w:val="14"/>
              </w:rPr>
              <w:t>израчуна сложеније граничне</w:t>
            </w:r>
            <w:r>
              <w:rPr>
                <w:color w:val="231F20"/>
                <w:spacing w:val="-24"/>
                <w:sz w:val="14"/>
              </w:rPr>
              <w:t xml:space="preserve"> </w:t>
            </w:r>
            <w:r>
              <w:rPr>
                <w:color w:val="231F20"/>
                <w:sz w:val="14"/>
              </w:rPr>
              <w:t>вредно­ сти применом Лопиталовог</w:t>
            </w:r>
            <w:r>
              <w:rPr>
                <w:color w:val="231F20"/>
                <w:spacing w:val="-13"/>
                <w:sz w:val="14"/>
              </w:rPr>
              <w:t xml:space="preserve"> </w:t>
            </w:r>
            <w:r>
              <w:rPr>
                <w:color w:val="231F20"/>
                <w:sz w:val="14"/>
              </w:rPr>
              <w:t>правила;</w:t>
            </w:r>
          </w:p>
          <w:p w:rsidR="00041039" w:rsidRDefault="001B26CB">
            <w:pPr>
              <w:pStyle w:val="TableParagraph"/>
              <w:numPr>
                <w:ilvl w:val="0"/>
                <w:numId w:val="2004"/>
              </w:numPr>
              <w:tabs>
                <w:tab w:val="left" w:pos="157"/>
              </w:tabs>
              <w:spacing w:line="160" w:lineRule="exact"/>
              <w:ind w:right="214" w:hanging="99"/>
              <w:rPr>
                <w:sz w:val="14"/>
              </w:rPr>
            </w:pPr>
            <w:r>
              <w:rPr>
                <w:color w:val="231F20"/>
                <w:sz w:val="14"/>
              </w:rPr>
              <w:t>испита ток и скицира график рацио­ налне</w:t>
            </w:r>
            <w:r>
              <w:rPr>
                <w:color w:val="231F20"/>
                <w:spacing w:val="-2"/>
                <w:sz w:val="14"/>
              </w:rPr>
              <w:t xml:space="preserve"> </w:t>
            </w:r>
            <w:r>
              <w:rPr>
                <w:color w:val="231F20"/>
                <w:sz w:val="14"/>
              </w:rPr>
              <w:t>функције;</w:t>
            </w:r>
          </w:p>
        </w:tc>
        <w:tc>
          <w:tcPr>
            <w:tcW w:w="2834" w:type="dxa"/>
          </w:tcPr>
          <w:p w:rsidR="00041039" w:rsidRDefault="001B26CB">
            <w:pPr>
              <w:pStyle w:val="TableParagraph"/>
              <w:numPr>
                <w:ilvl w:val="0"/>
                <w:numId w:val="2003"/>
              </w:numPr>
              <w:tabs>
                <w:tab w:val="left" w:pos="157"/>
              </w:tabs>
              <w:spacing w:before="9" w:line="166" w:lineRule="exact"/>
              <w:ind w:hanging="99"/>
              <w:rPr>
                <w:sz w:val="14"/>
              </w:rPr>
            </w:pPr>
            <w:r>
              <w:rPr>
                <w:color w:val="231F20"/>
                <w:sz w:val="14"/>
              </w:rPr>
              <w:t>Прираштај</w:t>
            </w:r>
            <w:r>
              <w:rPr>
                <w:color w:val="231F20"/>
                <w:spacing w:val="-1"/>
                <w:sz w:val="14"/>
              </w:rPr>
              <w:t xml:space="preserve"> </w:t>
            </w:r>
            <w:r>
              <w:rPr>
                <w:color w:val="231F20"/>
                <w:sz w:val="14"/>
              </w:rPr>
              <w:t>функције.</w:t>
            </w:r>
          </w:p>
          <w:p w:rsidR="00041039" w:rsidRDefault="001B26CB">
            <w:pPr>
              <w:pStyle w:val="TableParagraph"/>
              <w:numPr>
                <w:ilvl w:val="0"/>
                <w:numId w:val="2003"/>
              </w:numPr>
              <w:tabs>
                <w:tab w:val="left" w:pos="157"/>
              </w:tabs>
              <w:spacing w:line="160" w:lineRule="exact"/>
              <w:ind w:hanging="99"/>
              <w:rPr>
                <w:sz w:val="14"/>
              </w:rPr>
            </w:pPr>
            <w:r>
              <w:rPr>
                <w:color w:val="231F20"/>
                <w:sz w:val="14"/>
              </w:rPr>
              <w:t>Извод</w:t>
            </w:r>
            <w:r>
              <w:rPr>
                <w:color w:val="231F20"/>
                <w:spacing w:val="-1"/>
                <w:sz w:val="14"/>
              </w:rPr>
              <w:t xml:space="preserve"> </w:t>
            </w:r>
            <w:r>
              <w:rPr>
                <w:color w:val="231F20"/>
                <w:sz w:val="14"/>
              </w:rPr>
              <w:t>функције.</w:t>
            </w:r>
          </w:p>
          <w:p w:rsidR="00041039" w:rsidRDefault="001B26CB">
            <w:pPr>
              <w:pStyle w:val="TableParagraph"/>
              <w:numPr>
                <w:ilvl w:val="0"/>
                <w:numId w:val="2003"/>
              </w:numPr>
              <w:tabs>
                <w:tab w:val="left" w:pos="157"/>
              </w:tabs>
              <w:spacing w:line="160" w:lineRule="exact"/>
              <w:ind w:hanging="99"/>
              <w:rPr>
                <w:sz w:val="14"/>
              </w:rPr>
            </w:pPr>
            <w:r>
              <w:rPr>
                <w:color w:val="231F20"/>
                <w:sz w:val="14"/>
              </w:rPr>
              <w:t>Израчунавање извода</w:t>
            </w:r>
            <w:r>
              <w:rPr>
                <w:color w:val="231F20"/>
                <w:spacing w:val="-2"/>
                <w:sz w:val="14"/>
              </w:rPr>
              <w:t xml:space="preserve"> </w:t>
            </w:r>
            <w:r>
              <w:rPr>
                <w:color w:val="231F20"/>
                <w:sz w:val="14"/>
              </w:rPr>
              <w:t>функције.</w:t>
            </w:r>
          </w:p>
          <w:p w:rsidR="00041039" w:rsidRDefault="001B26CB">
            <w:pPr>
              <w:pStyle w:val="TableParagraph"/>
              <w:numPr>
                <w:ilvl w:val="0"/>
                <w:numId w:val="2003"/>
              </w:numPr>
              <w:tabs>
                <w:tab w:val="left" w:pos="157"/>
              </w:tabs>
              <w:spacing w:line="237" w:lineRule="auto"/>
              <w:ind w:right="225" w:hanging="99"/>
              <w:rPr>
                <w:sz w:val="14"/>
              </w:rPr>
            </w:pPr>
            <w:r>
              <w:rPr>
                <w:color w:val="231F20"/>
                <w:sz w:val="14"/>
              </w:rPr>
              <w:t>Одређивање монотоности и</w:t>
            </w:r>
            <w:r>
              <w:rPr>
                <w:color w:val="231F20"/>
                <w:spacing w:val="-14"/>
                <w:sz w:val="14"/>
              </w:rPr>
              <w:t xml:space="preserve"> </w:t>
            </w:r>
            <w:r>
              <w:rPr>
                <w:color w:val="231F20"/>
                <w:sz w:val="14"/>
              </w:rPr>
              <w:t>конкавности функције.</w:t>
            </w:r>
          </w:p>
          <w:p w:rsidR="00041039" w:rsidRDefault="001B26CB">
            <w:pPr>
              <w:pStyle w:val="TableParagraph"/>
              <w:numPr>
                <w:ilvl w:val="0"/>
                <w:numId w:val="2003"/>
              </w:numPr>
              <w:tabs>
                <w:tab w:val="left" w:pos="157"/>
              </w:tabs>
              <w:spacing w:line="155" w:lineRule="exact"/>
              <w:ind w:hanging="99"/>
              <w:rPr>
                <w:sz w:val="14"/>
              </w:rPr>
            </w:pPr>
            <w:r>
              <w:rPr>
                <w:color w:val="231F20"/>
                <w:sz w:val="14"/>
              </w:rPr>
              <w:t>Примене монотоности</w:t>
            </w:r>
            <w:r>
              <w:rPr>
                <w:color w:val="231F20"/>
                <w:spacing w:val="-2"/>
                <w:sz w:val="14"/>
              </w:rPr>
              <w:t xml:space="preserve"> </w:t>
            </w:r>
            <w:r>
              <w:rPr>
                <w:color w:val="231F20"/>
                <w:sz w:val="14"/>
              </w:rPr>
              <w:t>функције.</w:t>
            </w:r>
          </w:p>
          <w:p w:rsidR="00041039" w:rsidRDefault="001B26CB">
            <w:pPr>
              <w:pStyle w:val="TableParagraph"/>
              <w:numPr>
                <w:ilvl w:val="0"/>
                <w:numId w:val="2003"/>
              </w:numPr>
              <w:tabs>
                <w:tab w:val="left" w:pos="157"/>
              </w:tabs>
              <w:spacing w:line="160" w:lineRule="exact"/>
              <w:ind w:hanging="99"/>
              <w:rPr>
                <w:sz w:val="14"/>
              </w:rPr>
            </w:pPr>
            <w:r>
              <w:rPr>
                <w:color w:val="231F20"/>
                <w:sz w:val="14"/>
              </w:rPr>
              <w:t>Лопиталово</w:t>
            </w:r>
            <w:r>
              <w:rPr>
                <w:color w:val="231F20"/>
                <w:spacing w:val="-1"/>
                <w:sz w:val="14"/>
              </w:rPr>
              <w:t xml:space="preserve"> </w:t>
            </w:r>
            <w:r>
              <w:rPr>
                <w:color w:val="231F20"/>
                <w:sz w:val="14"/>
              </w:rPr>
              <w:t>правило.</w:t>
            </w:r>
          </w:p>
          <w:p w:rsidR="00041039" w:rsidRDefault="001B26CB">
            <w:pPr>
              <w:pStyle w:val="TableParagraph"/>
              <w:numPr>
                <w:ilvl w:val="0"/>
                <w:numId w:val="2003"/>
              </w:numPr>
              <w:tabs>
                <w:tab w:val="left" w:pos="157"/>
              </w:tabs>
              <w:spacing w:line="166" w:lineRule="exact"/>
              <w:ind w:hanging="99"/>
              <w:rPr>
                <w:sz w:val="14"/>
              </w:rPr>
            </w:pPr>
            <w:r>
              <w:rPr>
                <w:color w:val="231F20"/>
                <w:sz w:val="14"/>
              </w:rPr>
              <w:t>График</w:t>
            </w:r>
            <w:r>
              <w:rPr>
                <w:color w:val="231F20"/>
                <w:spacing w:val="-1"/>
                <w:sz w:val="14"/>
              </w:rPr>
              <w:t xml:space="preserve"> </w:t>
            </w:r>
            <w:r>
              <w:rPr>
                <w:color w:val="231F20"/>
                <w:sz w:val="14"/>
              </w:rPr>
              <w:t>функције.</w:t>
            </w:r>
          </w:p>
        </w:tc>
        <w:tc>
          <w:tcPr>
            <w:tcW w:w="2267" w:type="dxa"/>
            <w:vMerge/>
            <w:tcBorders>
              <w:top w:val="nil"/>
            </w:tcBorders>
          </w:tcPr>
          <w:p w:rsidR="00041039" w:rsidRDefault="00041039">
            <w:pPr>
              <w:rPr>
                <w:sz w:val="2"/>
                <w:szCs w:val="2"/>
              </w:rPr>
            </w:pPr>
          </w:p>
        </w:tc>
      </w:tr>
      <w:tr w:rsidR="00041039">
        <w:trPr>
          <w:trHeight w:val="3880"/>
        </w:trPr>
        <w:tc>
          <w:tcPr>
            <w:tcW w:w="1304" w:type="dxa"/>
          </w:tcPr>
          <w:p w:rsidR="00041039" w:rsidRDefault="001B26CB">
            <w:pPr>
              <w:pStyle w:val="TableParagraph"/>
              <w:spacing w:before="20"/>
              <w:ind w:left="56"/>
              <w:rPr>
                <w:sz w:val="14"/>
              </w:rPr>
            </w:pPr>
            <w:r>
              <w:rPr>
                <w:color w:val="231F20"/>
                <w:sz w:val="14"/>
              </w:rPr>
              <w:t>Интеграл</w:t>
            </w:r>
          </w:p>
        </w:tc>
        <w:tc>
          <w:tcPr>
            <w:tcW w:w="1587" w:type="dxa"/>
          </w:tcPr>
          <w:p w:rsidR="00041039" w:rsidRDefault="001B26CB">
            <w:pPr>
              <w:pStyle w:val="TableParagraph"/>
              <w:numPr>
                <w:ilvl w:val="0"/>
                <w:numId w:val="2002"/>
              </w:numPr>
              <w:tabs>
                <w:tab w:val="left" w:pos="157"/>
              </w:tabs>
              <w:spacing w:before="10"/>
              <w:ind w:right="64"/>
              <w:jc w:val="both"/>
              <w:rPr>
                <w:sz w:val="14"/>
              </w:rPr>
            </w:pPr>
            <w:r>
              <w:rPr>
                <w:color w:val="231F20"/>
                <w:sz w:val="14"/>
              </w:rPr>
              <w:t>Оспособљавање за из­ рачунавање и</w:t>
            </w:r>
            <w:r>
              <w:rPr>
                <w:color w:val="231F20"/>
                <w:spacing w:val="-14"/>
                <w:sz w:val="14"/>
              </w:rPr>
              <w:t xml:space="preserve"> </w:t>
            </w:r>
            <w:r>
              <w:rPr>
                <w:color w:val="231F20"/>
                <w:sz w:val="14"/>
              </w:rPr>
              <w:t>примену интеграла.</w:t>
            </w:r>
          </w:p>
        </w:tc>
        <w:tc>
          <w:tcPr>
            <w:tcW w:w="2551" w:type="dxa"/>
          </w:tcPr>
          <w:p w:rsidR="00041039" w:rsidRDefault="001B26CB">
            <w:pPr>
              <w:pStyle w:val="TableParagraph"/>
              <w:numPr>
                <w:ilvl w:val="0"/>
                <w:numId w:val="2001"/>
              </w:numPr>
              <w:tabs>
                <w:tab w:val="left" w:pos="157"/>
              </w:tabs>
              <w:spacing w:before="10"/>
              <w:ind w:right="137" w:hanging="99"/>
              <w:rPr>
                <w:sz w:val="14"/>
              </w:rPr>
            </w:pPr>
            <w:r>
              <w:rPr>
                <w:color w:val="231F20"/>
                <w:sz w:val="14"/>
              </w:rPr>
              <w:t>реши применом табличних</w:t>
            </w:r>
            <w:r>
              <w:rPr>
                <w:color w:val="231F20"/>
                <w:spacing w:val="-21"/>
                <w:sz w:val="14"/>
              </w:rPr>
              <w:t xml:space="preserve"> </w:t>
            </w:r>
            <w:r>
              <w:rPr>
                <w:color w:val="231F20"/>
                <w:sz w:val="14"/>
              </w:rPr>
              <w:t>интеграла и правила интеграције неодређене интеграле;</w:t>
            </w:r>
          </w:p>
          <w:p w:rsidR="00041039" w:rsidRDefault="001B26CB">
            <w:pPr>
              <w:pStyle w:val="TableParagraph"/>
              <w:numPr>
                <w:ilvl w:val="0"/>
                <w:numId w:val="2001"/>
              </w:numPr>
              <w:tabs>
                <w:tab w:val="left" w:pos="157"/>
              </w:tabs>
              <w:spacing w:line="157" w:lineRule="exact"/>
              <w:ind w:hanging="99"/>
              <w:rPr>
                <w:sz w:val="14"/>
              </w:rPr>
            </w:pPr>
            <w:r>
              <w:rPr>
                <w:color w:val="231F20"/>
                <w:sz w:val="14"/>
              </w:rPr>
              <w:t>примени методу замене при</w:t>
            </w:r>
            <w:r>
              <w:rPr>
                <w:color w:val="231F20"/>
                <w:spacing w:val="-16"/>
                <w:sz w:val="14"/>
              </w:rPr>
              <w:t xml:space="preserve"> </w:t>
            </w:r>
            <w:r>
              <w:rPr>
                <w:color w:val="231F20"/>
                <w:sz w:val="14"/>
              </w:rPr>
              <w:t>решавању</w:t>
            </w:r>
          </w:p>
          <w:p w:rsidR="00041039" w:rsidRDefault="001B26CB">
            <w:pPr>
              <w:pStyle w:val="TableParagraph"/>
              <w:spacing w:line="155" w:lineRule="exact"/>
              <w:rPr>
                <w:sz w:val="14"/>
              </w:rPr>
            </w:pPr>
            <w:r>
              <w:rPr>
                <w:color w:val="231F20"/>
                <w:sz w:val="14"/>
              </w:rPr>
              <w:t>неодређеног интеграла;</w:t>
            </w:r>
          </w:p>
          <w:p w:rsidR="00041039" w:rsidRDefault="001B26CB">
            <w:pPr>
              <w:pStyle w:val="TableParagraph"/>
              <w:numPr>
                <w:ilvl w:val="0"/>
                <w:numId w:val="2001"/>
              </w:numPr>
              <w:tabs>
                <w:tab w:val="left" w:pos="157"/>
              </w:tabs>
              <w:spacing w:line="237" w:lineRule="auto"/>
              <w:ind w:right="289" w:hanging="99"/>
              <w:rPr>
                <w:sz w:val="14"/>
              </w:rPr>
            </w:pPr>
            <w:r>
              <w:rPr>
                <w:color w:val="231F20"/>
                <w:sz w:val="14"/>
              </w:rPr>
              <w:t>реши једноставније интеграле пар­ цијалном</w:t>
            </w:r>
            <w:r>
              <w:rPr>
                <w:color w:val="231F20"/>
                <w:spacing w:val="-1"/>
                <w:sz w:val="14"/>
              </w:rPr>
              <w:t xml:space="preserve"> </w:t>
            </w:r>
            <w:r>
              <w:rPr>
                <w:color w:val="231F20"/>
                <w:sz w:val="14"/>
              </w:rPr>
              <w:t>интеграцијом;</w:t>
            </w:r>
          </w:p>
          <w:p w:rsidR="00041039" w:rsidRDefault="001B26CB">
            <w:pPr>
              <w:pStyle w:val="TableParagraph"/>
              <w:numPr>
                <w:ilvl w:val="0"/>
                <w:numId w:val="2001"/>
              </w:numPr>
              <w:tabs>
                <w:tab w:val="left" w:pos="157"/>
              </w:tabs>
              <w:spacing w:line="160" w:lineRule="exact"/>
              <w:ind w:right="314" w:hanging="99"/>
              <w:rPr>
                <w:sz w:val="14"/>
              </w:rPr>
            </w:pPr>
            <w:r>
              <w:rPr>
                <w:color w:val="231F20"/>
                <w:sz w:val="14"/>
              </w:rPr>
              <w:t>реши интег</w:t>
            </w:r>
            <w:r>
              <w:rPr>
                <w:color w:val="231F20"/>
                <w:sz w:val="14"/>
              </w:rPr>
              <w:t>рал ма које</w:t>
            </w:r>
            <w:r>
              <w:rPr>
                <w:color w:val="231F20"/>
                <w:spacing w:val="-16"/>
                <w:sz w:val="14"/>
              </w:rPr>
              <w:t xml:space="preserve"> </w:t>
            </w:r>
            <w:r>
              <w:rPr>
                <w:color w:val="231F20"/>
                <w:sz w:val="14"/>
              </w:rPr>
              <w:t>рационалне функције;</w:t>
            </w:r>
          </w:p>
          <w:p w:rsidR="00041039" w:rsidRDefault="001B26CB">
            <w:pPr>
              <w:pStyle w:val="TableParagraph"/>
              <w:numPr>
                <w:ilvl w:val="0"/>
                <w:numId w:val="2001"/>
              </w:numPr>
              <w:tabs>
                <w:tab w:val="left" w:pos="157"/>
              </w:tabs>
              <w:spacing w:line="160" w:lineRule="exact"/>
              <w:ind w:right="119" w:hanging="99"/>
              <w:rPr>
                <w:sz w:val="14"/>
              </w:rPr>
            </w:pPr>
            <w:r>
              <w:rPr>
                <w:color w:val="231F20"/>
                <w:sz w:val="14"/>
              </w:rPr>
              <w:t>реши и друге једноставније</w:t>
            </w:r>
            <w:r>
              <w:rPr>
                <w:color w:val="231F20"/>
                <w:spacing w:val="-10"/>
                <w:sz w:val="14"/>
              </w:rPr>
              <w:t xml:space="preserve"> </w:t>
            </w:r>
            <w:r>
              <w:rPr>
                <w:color w:val="231F20"/>
                <w:sz w:val="14"/>
              </w:rPr>
              <w:t>неодређе­ не</w:t>
            </w:r>
            <w:r>
              <w:rPr>
                <w:color w:val="231F20"/>
                <w:spacing w:val="-2"/>
                <w:sz w:val="14"/>
              </w:rPr>
              <w:t xml:space="preserve"> </w:t>
            </w:r>
            <w:r>
              <w:rPr>
                <w:color w:val="231F20"/>
                <w:sz w:val="14"/>
              </w:rPr>
              <w:t>интеграле;</w:t>
            </w:r>
          </w:p>
          <w:p w:rsidR="00041039" w:rsidRDefault="001B26CB">
            <w:pPr>
              <w:pStyle w:val="TableParagraph"/>
              <w:numPr>
                <w:ilvl w:val="0"/>
                <w:numId w:val="2001"/>
              </w:numPr>
              <w:tabs>
                <w:tab w:val="left" w:pos="157"/>
              </w:tabs>
              <w:spacing w:line="160" w:lineRule="exact"/>
              <w:ind w:right="193" w:hanging="99"/>
              <w:rPr>
                <w:sz w:val="14"/>
              </w:rPr>
            </w:pPr>
            <w:r>
              <w:rPr>
                <w:color w:val="231F20"/>
                <w:sz w:val="14"/>
              </w:rPr>
              <w:t>израчуна одређене интеграле</w:t>
            </w:r>
            <w:r>
              <w:rPr>
                <w:color w:val="231F20"/>
                <w:spacing w:val="-23"/>
                <w:sz w:val="14"/>
              </w:rPr>
              <w:t xml:space="preserve"> </w:t>
            </w:r>
            <w:r>
              <w:rPr>
                <w:color w:val="231F20"/>
                <w:sz w:val="14"/>
              </w:rPr>
              <w:t>приме­ ном Њутн­Лајбницове</w:t>
            </w:r>
            <w:r>
              <w:rPr>
                <w:color w:val="231F20"/>
                <w:spacing w:val="-6"/>
                <w:sz w:val="14"/>
              </w:rPr>
              <w:t xml:space="preserve"> </w:t>
            </w:r>
            <w:r>
              <w:rPr>
                <w:color w:val="231F20"/>
                <w:sz w:val="14"/>
              </w:rPr>
              <w:t>формуле;</w:t>
            </w:r>
          </w:p>
          <w:p w:rsidR="00041039" w:rsidRDefault="001B26CB">
            <w:pPr>
              <w:pStyle w:val="TableParagraph"/>
              <w:numPr>
                <w:ilvl w:val="0"/>
                <w:numId w:val="2001"/>
              </w:numPr>
              <w:tabs>
                <w:tab w:val="left" w:pos="157"/>
              </w:tabs>
              <w:spacing w:line="160"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замене;</w:t>
            </w:r>
          </w:p>
          <w:p w:rsidR="00041039" w:rsidRDefault="001B26CB">
            <w:pPr>
              <w:pStyle w:val="TableParagraph"/>
              <w:numPr>
                <w:ilvl w:val="0"/>
                <w:numId w:val="2001"/>
              </w:numPr>
              <w:tabs>
                <w:tab w:val="left" w:pos="157"/>
              </w:tabs>
              <w:spacing w:line="160"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парцијалне</w:t>
            </w:r>
            <w:r>
              <w:rPr>
                <w:color w:val="231F20"/>
                <w:spacing w:val="-2"/>
                <w:sz w:val="14"/>
              </w:rPr>
              <w:t xml:space="preserve"> </w:t>
            </w:r>
            <w:r>
              <w:rPr>
                <w:color w:val="231F20"/>
                <w:sz w:val="14"/>
              </w:rPr>
              <w:t>интеграције;</w:t>
            </w:r>
          </w:p>
          <w:p w:rsidR="00041039" w:rsidRDefault="001B26CB">
            <w:pPr>
              <w:pStyle w:val="TableParagraph"/>
              <w:numPr>
                <w:ilvl w:val="0"/>
                <w:numId w:val="2001"/>
              </w:numPr>
              <w:tabs>
                <w:tab w:val="left" w:pos="157"/>
              </w:tabs>
              <w:spacing w:line="160"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интеграције рационалних</w:t>
            </w:r>
            <w:r>
              <w:rPr>
                <w:color w:val="231F20"/>
                <w:spacing w:val="-8"/>
                <w:sz w:val="14"/>
              </w:rPr>
              <w:t xml:space="preserve"> </w:t>
            </w:r>
            <w:r>
              <w:rPr>
                <w:color w:val="231F20"/>
                <w:sz w:val="14"/>
              </w:rPr>
              <w:t>функција;</w:t>
            </w:r>
          </w:p>
          <w:p w:rsidR="00041039" w:rsidRDefault="001B26CB">
            <w:pPr>
              <w:pStyle w:val="TableParagraph"/>
              <w:numPr>
                <w:ilvl w:val="0"/>
                <w:numId w:val="2001"/>
              </w:numPr>
              <w:tabs>
                <w:tab w:val="left" w:pos="157"/>
              </w:tabs>
              <w:spacing w:line="160" w:lineRule="exact"/>
              <w:ind w:right="414" w:hanging="99"/>
              <w:rPr>
                <w:sz w:val="14"/>
              </w:rPr>
            </w:pPr>
            <w:r>
              <w:rPr>
                <w:color w:val="231F20"/>
                <w:sz w:val="14"/>
              </w:rPr>
              <w:t>одреди површину између</w:t>
            </w:r>
            <w:r>
              <w:rPr>
                <w:color w:val="231F20"/>
                <w:spacing w:val="-17"/>
                <w:sz w:val="14"/>
              </w:rPr>
              <w:t xml:space="preserve"> </w:t>
            </w:r>
            <w:r>
              <w:rPr>
                <w:color w:val="231F20"/>
                <w:sz w:val="14"/>
              </w:rPr>
              <w:t>кривих линија у</w:t>
            </w:r>
            <w:r>
              <w:rPr>
                <w:color w:val="231F20"/>
                <w:spacing w:val="-2"/>
                <w:sz w:val="14"/>
              </w:rPr>
              <w:t xml:space="preserve"> </w:t>
            </w:r>
            <w:r>
              <w:rPr>
                <w:color w:val="231F20"/>
                <w:sz w:val="14"/>
              </w:rPr>
              <w:t>равни;</w:t>
            </w:r>
          </w:p>
          <w:p w:rsidR="00041039" w:rsidRDefault="001B26CB">
            <w:pPr>
              <w:pStyle w:val="TableParagraph"/>
              <w:numPr>
                <w:ilvl w:val="0"/>
                <w:numId w:val="2001"/>
              </w:numPr>
              <w:tabs>
                <w:tab w:val="left" w:pos="157"/>
              </w:tabs>
              <w:spacing w:line="153" w:lineRule="exact"/>
              <w:ind w:hanging="99"/>
              <w:rPr>
                <w:sz w:val="14"/>
              </w:rPr>
            </w:pPr>
            <w:r>
              <w:rPr>
                <w:color w:val="231F20"/>
                <w:sz w:val="14"/>
              </w:rPr>
              <w:t>израчуна дужину лука криве</w:t>
            </w:r>
            <w:r>
              <w:rPr>
                <w:color w:val="231F20"/>
                <w:spacing w:val="-10"/>
                <w:sz w:val="14"/>
              </w:rPr>
              <w:t xml:space="preserve"> </w:t>
            </w:r>
            <w:r>
              <w:rPr>
                <w:color w:val="231F20"/>
                <w:sz w:val="14"/>
              </w:rPr>
              <w:t>линије;</w:t>
            </w:r>
          </w:p>
          <w:p w:rsidR="00041039" w:rsidRDefault="001B26CB">
            <w:pPr>
              <w:pStyle w:val="TableParagraph"/>
              <w:numPr>
                <w:ilvl w:val="0"/>
                <w:numId w:val="2001"/>
              </w:numPr>
              <w:tabs>
                <w:tab w:val="left" w:pos="157"/>
              </w:tabs>
              <w:spacing w:before="5" w:line="160" w:lineRule="exact"/>
              <w:ind w:right="169" w:hanging="99"/>
              <w:rPr>
                <w:sz w:val="14"/>
              </w:rPr>
            </w:pPr>
            <w:r>
              <w:rPr>
                <w:color w:val="231F20"/>
                <w:sz w:val="14"/>
              </w:rPr>
              <w:t>одреди запремину и површину рота­ ционог</w:t>
            </w:r>
            <w:r>
              <w:rPr>
                <w:color w:val="231F20"/>
                <w:spacing w:val="-2"/>
                <w:sz w:val="14"/>
              </w:rPr>
              <w:t xml:space="preserve"> </w:t>
            </w:r>
            <w:r>
              <w:rPr>
                <w:color w:val="231F20"/>
                <w:sz w:val="14"/>
              </w:rPr>
              <w:t>тела;</w:t>
            </w:r>
          </w:p>
        </w:tc>
        <w:tc>
          <w:tcPr>
            <w:tcW w:w="2834" w:type="dxa"/>
          </w:tcPr>
          <w:p w:rsidR="00041039" w:rsidRDefault="001B26CB">
            <w:pPr>
              <w:pStyle w:val="TableParagraph"/>
              <w:numPr>
                <w:ilvl w:val="0"/>
                <w:numId w:val="2000"/>
              </w:numPr>
              <w:tabs>
                <w:tab w:val="left" w:pos="158"/>
              </w:tabs>
              <w:spacing w:before="10"/>
              <w:ind w:right="44"/>
              <w:rPr>
                <w:sz w:val="14"/>
              </w:rPr>
            </w:pPr>
            <w:r>
              <w:rPr>
                <w:color w:val="231F20"/>
                <w:sz w:val="14"/>
              </w:rPr>
              <w:t>Дефиниција примитивне функције,</w:t>
            </w:r>
            <w:r>
              <w:rPr>
                <w:color w:val="231F20"/>
                <w:spacing w:val="-16"/>
                <w:sz w:val="14"/>
              </w:rPr>
              <w:t xml:space="preserve"> </w:t>
            </w:r>
            <w:r>
              <w:rPr>
                <w:color w:val="231F20"/>
                <w:sz w:val="14"/>
              </w:rPr>
              <w:t>правила интеграције, таблица</w:t>
            </w:r>
            <w:r>
              <w:rPr>
                <w:color w:val="231F20"/>
                <w:spacing w:val="-5"/>
                <w:sz w:val="14"/>
              </w:rPr>
              <w:t xml:space="preserve"> </w:t>
            </w:r>
            <w:r>
              <w:rPr>
                <w:color w:val="231F20"/>
                <w:sz w:val="14"/>
              </w:rPr>
              <w:t>интеграла.</w:t>
            </w:r>
          </w:p>
          <w:p w:rsidR="00041039" w:rsidRDefault="001B26CB">
            <w:pPr>
              <w:pStyle w:val="TableParagraph"/>
              <w:numPr>
                <w:ilvl w:val="0"/>
                <w:numId w:val="2000"/>
              </w:numPr>
              <w:tabs>
                <w:tab w:val="left" w:pos="158"/>
              </w:tabs>
              <w:spacing w:line="153" w:lineRule="exact"/>
              <w:rPr>
                <w:sz w:val="14"/>
              </w:rPr>
            </w:pPr>
            <w:r>
              <w:rPr>
                <w:color w:val="231F20"/>
                <w:sz w:val="14"/>
              </w:rPr>
              <w:t>Решавање</w:t>
            </w:r>
            <w:r>
              <w:rPr>
                <w:color w:val="231F20"/>
                <w:spacing w:val="-10"/>
                <w:sz w:val="14"/>
              </w:rPr>
              <w:t xml:space="preserve"> </w:t>
            </w:r>
            <w:r>
              <w:rPr>
                <w:color w:val="231F20"/>
                <w:sz w:val="14"/>
              </w:rPr>
              <w:t>интеграла</w:t>
            </w:r>
            <w:r>
              <w:rPr>
                <w:color w:val="231F20"/>
                <w:spacing w:val="-10"/>
                <w:sz w:val="14"/>
              </w:rPr>
              <w:t xml:space="preserve"> </w:t>
            </w:r>
            <w:r>
              <w:rPr>
                <w:color w:val="231F20"/>
                <w:sz w:val="14"/>
              </w:rPr>
              <w:t>методом</w:t>
            </w:r>
            <w:r>
              <w:rPr>
                <w:color w:val="231F20"/>
                <w:spacing w:val="-10"/>
                <w:sz w:val="14"/>
              </w:rPr>
              <w:t xml:space="preserve"> </w:t>
            </w:r>
            <w:r>
              <w:rPr>
                <w:color w:val="231F20"/>
                <w:sz w:val="14"/>
              </w:rPr>
              <w:t>замене.</w:t>
            </w:r>
          </w:p>
          <w:p w:rsidR="00041039" w:rsidRDefault="001B26CB">
            <w:pPr>
              <w:pStyle w:val="TableParagraph"/>
              <w:numPr>
                <w:ilvl w:val="0"/>
                <w:numId w:val="2000"/>
              </w:numPr>
              <w:tabs>
                <w:tab w:val="left" w:pos="158"/>
              </w:tabs>
              <w:spacing w:line="237" w:lineRule="auto"/>
              <w:ind w:right="196"/>
              <w:rPr>
                <w:sz w:val="14"/>
              </w:rPr>
            </w:pPr>
            <w:r>
              <w:rPr>
                <w:color w:val="231F20"/>
                <w:sz w:val="14"/>
              </w:rPr>
              <w:t>Решавање интеграла методом</w:t>
            </w:r>
            <w:r>
              <w:rPr>
                <w:color w:val="231F20"/>
                <w:spacing w:val="-25"/>
                <w:sz w:val="14"/>
              </w:rPr>
              <w:t xml:space="preserve"> </w:t>
            </w:r>
            <w:r>
              <w:rPr>
                <w:color w:val="231F20"/>
                <w:sz w:val="14"/>
              </w:rPr>
              <w:t>парцијалне интеграције.</w:t>
            </w:r>
          </w:p>
          <w:p w:rsidR="00041039" w:rsidRDefault="001B26CB">
            <w:pPr>
              <w:pStyle w:val="TableParagraph"/>
              <w:numPr>
                <w:ilvl w:val="0"/>
                <w:numId w:val="2000"/>
              </w:numPr>
              <w:tabs>
                <w:tab w:val="left" w:pos="158"/>
              </w:tabs>
              <w:spacing w:line="155" w:lineRule="exact"/>
              <w:rPr>
                <w:sz w:val="14"/>
              </w:rPr>
            </w:pPr>
            <w:r>
              <w:rPr>
                <w:color w:val="231F20"/>
                <w:sz w:val="14"/>
              </w:rPr>
              <w:t>Интеграција рационалних</w:t>
            </w:r>
            <w:r>
              <w:rPr>
                <w:color w:val="231F20"/>
                <w:spacing w:val="-4"/>
                <w:sz w:val="14"/>
              </w:rPr>
              <w:t xml:space="preserve"> </w:t>
            </w:r>
            <w:r>
              <w:rPr>
                <w:color w:val="231F20"/>
                <w:sz w:val="14"/>
              </w:rPr>
              <w:t>функција.</w:t>
            </w:r>
          </w:p>
          <w:p w:rsidR="00041039" w:rsidRDefault="001B26CB">
            <w:pPr>
              <w:pStyle w:val="TableParagraph"/>
              <w:numPr>
                <w:ilvl w:val="0"/>
                <w:numId w:val="2000"/>
              </w:numPr>
              <w:tabs>
                <w:tab w:val="left" w:pos="158"/>
              </w:tabs>
              <w:spacing w:line="237" w:lineRule="auto"/>
              <w:ind w:right="90"/>
              <w:rPr>
                <w:sz w:val="14"/>
              </w:rPr>
            </w:pPr>
            <w:r>
              <w:rPr>
                <w:color w:val="231F20"/>
                <w:sz w:val="14"/>
              </w:rPr>
              <w:t>Израчунавање одређеног интеграла</w:t>
            </w:r>
            <w:r>
              <w:rPr>
                <w:color w:val="231F20"/>
                <w:spacing w:val="-21"/>
                <w:sz w:val="14"/>
              </w:rPr>
              <w:t xml:space="preserve"> </w:t>
            </w:r>
            <w:r>
              <w:rPr>
                <w:color w:val="231F20"/>
                <w:sz w:val="14"/>
              </w:rPr>
              <w:t>(Њутн­ Лајбницова формула, основне особине одређеног</w:t>
            </w:r>
            <w:r>
              <w:rPr>
                <w:color w:val="231F20"/>
                <w:spacing w:val="-1"/>
                <w:sz w:val="14"/>
              </w:rPr>
              <w:t xml:space="preserve"> </w:t>
            </w:r>
            <w:r>
              <w:rPr>
                <w:color w:val="231F20"/>
                <w:sz w:val="14"/>
              </w:rPr>
              <w:t>интеграла)</w:t>
            </w:r>
            <w:r>
              <w:rPr>
                <w:color w:val="231F20"/>
                <w:sz w:val="14"/>
              </w:rPr>
              <w:t>.</w:t>
            </w:r>
          </w:p>
          <w:p w:rsidR="00041039" w:rsidRDefault="001B26CB">
            <w:pPr>
              <w:pStyle w:val="TableParagraph"/>
              <w:numPr>
                <w:ilvl w:val="0"/>
                <w:numId w:val="2000"/>
              </w:numPr>
              <w:tabs>
                <w:tab w:val="left" w:pos="158"/>
              </w:tabs>
              <w:spacing w:line="237" w:lineRule="auto"/>
              <w:ind w:right="119"/>
              <w:rPr>
                <w:sz w:val="14"/>
              </w:rPr>
            </w:pPr>
            <w:r>
              <w:rPr>
                <w:color w:val="231F20"/>
                <w:sz w:val="14"/>
              </w:rPr>
              <w:t>Интеграција одређеног интеграла</w:t>
            </w:r>
            <w:r>
              <w:rPr>
                <w:color w:val="231F20"/>
                <w:spacing w:val="-27"/>
                <w:sz w:val="14"/>
              </w:rPr>
              <w:t xml:space="preserve"> </w:t>
            </w:r>
            <w:r>
              <w:rPr>
                <w:color w:val="231F20"/>
                <w:sz w:val="14"/>
              </w:rPr>
              <w:t>методом замене.</w:t>
            </w:r>
          </w:p>
          <w:p w:rsidR="00041039" w:rsidRDefault="001B26CB">
            <w:pPr>
              <w:pStyle w:val="TableParagraph"/>
              <w:numPr>
                <w:ilvl w:val="0"/>
                <w:numId w:val="2000"/>
              </w:numPr>
              <w:tabs>
                <w:tab w:val="left" w:pos="158"/>
              </w:tabs>
              <w:spacing w:line="155" w:lineRule="exact"/>
              <w:rPr>
                <w:sz w:val="14"/>
              </w:rPr>
            </w:pPr>
            <w:r>
              <w:rPr>
                <w:color w:val="231F20"/>
                <w:sz w:val="14"/>
              </w:rPr>
              <w:t>Метод парцијалне</w:t>
            </w:r>
            <w:r>
              <w:rPr>
                <w:color w:val="231F20"/>
                <w:spacing w:val="-4"/>
                <w:sz w:val="14"/>
              </w:rPr>
              <w:t xml:space="preserve"> </w:t>
            </w:r>
            <w:r>
              <w:rPr>
                <w:color w:val="231F20"/>
                <w:sz w:val="14"/>
              </w:rPr>
              <w:t>интеграције.</w:t>
            </w:r>
          </w:p>
          <w:p w:rsidR="00041039" w:rsidRDefault="001B26CB">
            <w:pPr>
              <w:pStyle w:val="TableParagraph"/>
              <w:numPr>
                <w:ilvl w:val="0"/>
                <w:numId w:val="2000"/>
              </w:numPr>
              <w:tabs>
                <w:tab w:val="left" w:pos="158"/>
              </w:tabs>
              <w:spacing w:line="160" w:lineRule="exact"/>
              <w:rPr>
                <w:sz w:val="14"/>
              </w:rPr>
            </w:pPr>
            <w:r>
              <w:rPr>
                <w:color w:val="231F20"/>
                <w:sz w:val="14"/>
              </w:rPr>
              <w:t>Интеграција рационалних</w:t>
            </w:r>
            <w:r>
              <w:rPr>
                <w:color w:val="231F20"/>
                <w:spacing w:val="-4"/>
                <w:sz w:val="14"/>
              </w:rPr>
              <w:t xml:space="preserve"> </w:t>
            </w:r>
            <w:r>
              <w:rPr>
                <w:color w:val="231F20"/>
                <w:sz w:val="14"/>
              </w:rPr>
              <w:t>функција.</w:t>
            </w:r>
          </w:p>
          <w:p w:rsidR="00041039" w:rsidRDefault="001B26CB">
            <w:pPr>
              <w:pStyle w:val="TableParagraph"/>
              <w:numPr>
                <w:ilvl w:val="0"/>
                <w:numId w:val="2000"/>
              </w:numPr>
              <w:tabs>
                <w:tab w:val="left" w:pos="158"/>
              </w:tabs>
              <w:spacing w:line="160" w:lineRule="exact"/>
              <w:rPr>
                <w:sz w:val="14"/>
              </w:rPr>
            </w:pPr>
            <w:r>
              <w:rPr>
                <w:color w:val="231F20"/>
                <w:sz w:val="14"/>
              </w:rPr>
              <w:t>Површина равне</w:t>
            </w:r>
            <w:r>
              <w:rPr>
                <w:color w:val="231F20"/>
                <w:spacing w:val="-2"/>
                <w:sz w:val="14"/>
              </w:rPr>
              <w:t xml:space="preserve"> </w:t>
            </w:r>
            <w:r>
              <w:rPr>
                <w:color w:val="231F20"/>
                <w:sz w:val="14"/>
              </w:rPr>
              <w:t>фигуре.</w:t>
            </w:r>
          </w:p>
          <w:p w:rsidR="00041039" w:rsidRDefault="001B26CB">
            <w:pPr>
              <w:pStyle w:val="TableParagraph"/>
              <w:numPr>
                <w:ilvl w:val="0"/>
                <w:numId w:val="2000"/>
              </w:numPr>
              <w:tabs>
                <w:tab w:val="left" w:pos="158"/>
              </w:tabs>
              <w:spacing w:line="160" w:lineRule="exact"/>
              <w:rPr>
                <w:sz w:val="14"/>
              </w:rPr>
            </w:pPr>
            <w:r>
              <w:rPr>
                <w:color w:val="231F20"/>
                <w:sz w:val="14"/>
              </w:rPr>
              <w:t>Запремина ротационог</w:t>
            </w:r>
            <w:r>
              <w:rPr>
                <w:color w:val="231F20"/>
                <w:spacing w:val="-10"/>
                <w:sz w:val="14"/>
              </w:rPr>
              <w:t xml:space="preserve"> </w:t>
            </w:r>
            <w:r>
              <w:rPr>
                <w:color w:val="231F20"/>
                <w:sz w:val="14"/>
              </w:rPr>
              <w:t>тела.</w:t>
            </w:r>
          </w:p>
          <w:p w:rsidR="00041039" w:rsidRDefault="001B26CB">
            <w:pPr>
              <w:pStyle w:val="TableParagraph"/>
              <w:numPr>
                <w:ilvl w:val="0"/>
                <w:numId w:val="2000"/>
              </w:numPr>
              <w:tabs>
                <w:tab w:val="left" w:pos="158"/>
              </w:tabs>
              <w:spacing w:line="160" w:lineRule="exact"/>
              <w:rPr>
                <w:sz w:val="14"/>
              </w:rPr>
            </w:pPr>
            <w:r>
              <w:rPr>
                <w:color w:val="231F20"/>
                <w:sz w:val="14"/>
              </w:rPr>
              <w:t>Површина ротационог</w:t>
            </w:r>
            <w:r>
              <w:rPr>
                <w:color w:val="231F20"/>
                <w:spacing w:val="-9"/>
                <w:sz w:val="14"/>
              </w:rPr>
              <w:t xml:space="preserve"> </w:t>
            </w:r>
            <w:r>
              <w:rPr>
                <w:color w:val="231F20"/>
                <w:sz w:val="14"/>
              </w:rPr>
              <w:t>тела.</w:t>
            </w:r>
          </w:p>
          <w:p w:rsidR="00041039" w:rsidRDefault="001B26CB">
            <w:pPr>
              <w:pStyle w:val="TableParagraph"/>
              <w:numPr>
                <w:ilvl w:val="0"/>
                <w:numId w:val="2000"/>
              </w:numPr>
              <w:tabs>
                <w:tab w:val="left" w:pos="158"/>
              </w:tabs>
              <w:spacing w:line="166" w:lineRule="exact"/>
              <w:rPr>
                <w:sz w:val="14"/>
              </w:rPr>
            </w:pPr>
            <w:r>
              <w:rPr>
                <w:color w:val="231F20"/>
                <w:sz w:val="14"/>
              </w:rPr>
              <w:t>Дужина лука</w:t>
            </w:r>
            <w:r>
              <w:rPr>
                <w:color w:val="231F20"/>
                <w:spacing w:val="-1"/>
                <w:sz w:val="14"/>
              </w:rPr>
              <w:t xml:space="preserve"> </w:t>
            </w:r>
            <w:r>
              <w:rPr>
                <w:color w:val="231F20"/>
                <w:sz w:val="14"/>
              </w:rPr>
              <w:t>криве.</w:t>
            </w:r>
          </w:p>
        </w:tc>
        <w:tc>
          <w:tcPr>
            <w:tcW w:w="2267" w:type="dxa"/>
            <w:vMerge/>
            <w:tcBorders>
              <w:top w:val="nil"/>
            </w:tcBorders>
          </w:tcPr>
          <w:p w:rsidR="00041039" w:rsidRDefault="00041039">
            <w:pPr>
              <w:rPr>
                <w:sz w:val="2"/>
                <w:szCs w:val="2"/>
              </w:rPr>
            </w:pPr>
          </w:p>
        </w:tc>
      </w:tr>
      <w:tr w:rsidR="00041039">
        <w:trPr>
          <w:trHeight w:val="1969"/>
        </w:trPr>
        <w:tc>
          <w:tcPr>
            <w:tcW w:w="1304" w:type="dxa"/>
          </w:tcPr>
          <w:p w:rsidR="00041039" w:rsidRDefault="001B26CB">
            <w:pPr>
              <w:pStyle w:val="TableParagraph"/>
              <w:spacing w:before="20"/>
              <w:ind w:left="57"/>
              <w:rPr>
                <w:sz w:val="14"/>
              </w:rPr>
            </w:pPr>
            <w:r>
              <w:rPr>
                <w:color w:val="231F20"/>
                <w:sz w:val="14"/>
              </w:rPr>
              <w:t>Комбинаторика</w:t>
            </w:r>
          </w:p>
        </w:tc>
        <w:tc>
          <w:tcPr>
            <w:tcW w:w="1587" w:type="dxa"/>
          </w:tcPr>
          <w:p w:rsidR="00041039" w:rsidRDefault="001B26CB">
            <w:pPr>
              <w:pStyle w:val="TableParagraph"/>
              <w:numPr>
                <w:ilvl w:val="0"/>
                <w:numId w:val="1999"/>
              </w:numPr>
              <w:tabs>
                <w:tab w:val="left" w:pos="157"/>
              </w:tabs>
              <w:spacing w:before="10"/>
              <w:ind w:right="105" w:hanging="99"/>
              <w:rPr>
                <w:sz w:val="14"/>
              </w:rPr>
            </w:pPr>
            <w:r>
              <w:rPr>
                <w:color w:val="231F20"/>
                <w:sz w:val="14"/>
              </w:rPr>
              <w:t>Стицање основних знања о начинима пребројавања</w:t>
            </w:r>
            <w:r>
              <w:rPr>
                <w:color w:val="231F20"/>
                <w:spacing w:val="-12"/>
                <w:sz w:val="14"/>
              </w:rPr>
              <w:t xml:space="preserve"> </w:t>
            </w:r>
            <w:r>
              <w:rPr>
                <w:color w:val="231F20"/>
                <w:sz w:val="14"/>
              </w:rPr>
              <w:t>скупова и примени биномног обрасца.</w:t>
            </w:r>
          </w:p>
        </w:tc>
        <w:tc>
          <w:tcPr>
            <w:tcW w:w="2551" w:type="dxa"/>
          </w:tcPr>
          <w:p w:rsidR="00041039" w:rsidRDefault="001B26CB">
            <w:pPr>
              <w:pStyle w:val="TableParagraph"/>
              <w:numPr>
                <w:ilvl w:val="0"/>
                <w:numId w:val="1998"/>
              </w:numPr>
              <w:tabs>
                <w:tab w:val="left" w:pos="157"/>
              </w:tabs>
              <w:spacing w:before="10"/>
              <w:ind w:right="43" w:hanging="99"/>
              <w:rPr>
                <w:sz w:val="14"/>
              </w:rPr>
            </w:pPr>
            <w:r>
              <w:rPr>
                <w:color w:val="231F20"/>
                <w:sz w:val="14"/>
              </w:rPr>
              <w:t>решава елементарне задатке пребројавања применом правила збира и</w:t>
            </w:r>
            <w:r>
              <w:rPr>
                <w:color w:val="231F20"/>
                <w:spacing w:val="-6"/>
                <w:sz w:val="14"/>
              </w:rPr>
              <w:t xml:space="preserve"> </w:t>
            </w:r>
            <w:r>
              <w:rPr>
                <w:color w:val="231F20"/>
                <w:sz w:val="14"/>
              </w:rPr>
              <w:t>производа</w:t>
            </w:r>
            <w:r>
              <w:rPr>
                <w:color w:val="231F20"/>
                <w:spacing w:val="-6"/>
                <w:sz w:val="14"/>
              </w:rPr>
              <w:t xml:space="preserve"> </w:t>
            </w:r>
            <w:r>
              <w:rPr>
                <w:color w:val="231F20"/>
                <w:sz w:val="14"/>
              </w:rPr>
              <w:t>и</w:t>
            </w:r>
            <w:r>
              <w:rPr>
                <w:color w:val="231F20"/>
                <w:spacing w:val="-6"/>
                <w:sz w:val="14"/>
              </w:rPr>
              <w:t xml:space="preserve"> </w:t>
            </w:r>
            <w:r>
              <w:rPr>
                <w:color w:val="231F20"/>
                <w:sz w:val="14"/>
              </w:rPr>
              <w:t>формула</w:t>
            </w:r>
            <w:r>
              <w:rPr>
                <w:color w:val="231F20"/>
                <w:spacing w:val="-6"/>
                <w:sz w:val="14"/>
              </w:rPr>
              <w:t xml:space="preserve"> </w:t>
            </w:r>
            <w:r>
              <w:rPr>
                <w:color w:val="231F20"/>
                <w:sz w:val="14"/>
              </w:rPr>
              <w:t>за</w:t>
            </w:r>
            <w:r>
              <w:rPr>
                <w:color w:val="231F20"/>
                <w:spacing w:val="-6"/>
                <w:sz w:val="14"/>
              </w:rPr>
              <w:t xml:space="preserve"> </w:t>
            </w:r>
            <w:r>
              <w:rPr>
                <w:color w:val="231F20"/>
                <w:sz w:val="14"/>
              </w:rPr>
              <w:t>пермутације, варијације и</w:t>
            </w:r>
            <w:r>
              <w:rPr>
                <w:color w:val="231F20"/>
                <w:spacing w:val="-3"/>
                <w:sz w:val="14"/>
              </w:rPr>
              <w:t xml:space="preserve"> </w:t>
            </w:r>
            <w:r>
              <w:rPr>
                <w:color w:val="231F20"/>
                <w:sz w:val="14"/>
              </w:rPr>
              <w:t>комбинације;</w:t>
            </w:r>
          </w:p>
          <w:p w:rsidR="00041039" w:rsidRDefault="001B26CB">
            <w:pPr>
              <w:pStyle w:val="TableParagraph"/>
              <w:numPr>
                <w:ilvl w:val="0"/>
                <w:numId w:val="1998"/>
              </w:numPr>
              <w:tabs>
                <w:tab w:val="left" w:pos="157"/>
              </w:tabs>
              <w:spacing w:line="156" w:lineRule="exact"/>
              <w:ind w:hanging="99"/>
              <w:rPr>
                <w:sz w:val="14"/>
              </w:rPr>
            </w:pPr>
            <w:r>
              <w:rPr>
                <w:color w:val="231F20"/>
                <w:sz w:val="14"/>
              </w:rPr>
              <w:t>одреди пермутације у</w:t>
            </w:r>
            <w:r>
              <w:rPr>
                <w:color w:val="231F20"/>
                <w:spacing w:val="-7"/>
                <w:sz w:val="14"/>
              </w:rPr>
              <w:t xml:space="preserve"> </w:t>
            </w:r>
            <w:r>
              <w:rPr>
                <w:color w:val="231F20"/>
                <w:sz w:val="14"/>
              </w:rPr>
              <w:t>лексикограф­</w:t>
            </w:r>
          </w:p>
          <w:p w:rsidR="00041039" w:rsidRDefault="001B26CB">
            <w:pPr>
              <w:pStyle w:val="TableParagraph"/>
              <w:spacing w:line="155" w:lineRule="exact"/>
              <w:rPr>
                <w:sz w:val="14"/>
              </w:rPr>
            </w:pPr>
            <w:r>
              <w:rPr>
                <w:color w:val="231F20"/>
                <w:sz w:val="14"/>
              </w:rPr>
              <w:t>ском поретку</w:t>
            </w:r>
            <w:r>
              <w:rPr>
                <w:color w:val="231F20"/>
                <w:sz w:val="14"/>
              </w:rPr>
              <w:t>;</w:t>
            </w:r>
          </w:p>
          <w:p w:rsidR="00041039" w:rsidRDefault="001B26CB">
            <w:pPr>
              <w:pStyle w:val="TableParagraph"/>
              <w:numPr>
                <w:ilvl w:val="0"/>
                <w:numId w:val="1998"/>
              </w:numPr>
              <w:tabs>
                <w:tab w:val="left" w:pos="157"/>
              </w:tabs>
              <w:spacing w:line="166" w:lineRule="exact"/>
              <w:ind w:hanging="99"/>
              <w:rPr>
                <w:sz w:val="14"/>
              </w:rPr>
            </w:pPr>
            <w:r>
              <w:rPr>
                <w:color w:val="231F20"/>
                <w:sz w:val="14"/>
              </w:rPr>
              <w:t>примени биномни</w:t>
            </w:r>
            <w:r>
              <w:rPr>
                <w:color w:val="231F20"/>
                <w:spacing w:val="-2"/>
                <w:sz w:val="14"/>
              </w:rPr>
              <w:t xml:space="preserve"> </w:t>
            </w:r>
            <w:r>
              <w:rPr>
                <w:color w:val="231F20"/>
                <w:sz w:val="14"/>
              </w:rPr>
              <w:t>образац;</w:t>
            </w:r>
          </w:p>
        </w:tc>
        <w:tc>
          <w:tcPr>
            <w:tcW w:w="2834" w:type="dxa"/>
          </w:tcPr>
          <w:p w:rsidR="00041039" w:rsidRDefault="001B26CB">
            <w:pPr>
              <w:pStyle w:val="TableParagraph"/>
              <w:numPr>
                <w:ilvl w:val="0"/>
                <w:numId w:val="1997"/>
              </w:numPr>
              <w:tabs>
                <w:tab w:val="left" w:pos="158"/>
              </w:tabs>
              <w:spacing w:before="11"/>
              <w:ind w:right="113"/>
              <w:rPr>
                <w:sz w:val="14"/>
              </w:rPr>
            </w:pPr>
            <w:r>
              <w:rPr>
                <w:color w:val="231F20"/>
                <w:sz w:val="14"/>
              </w:rPr>
              <w:t>Пермутације, варијације, комбинације</w:t>
            </w:r>
            <w:r>
              <w:rPr>
                <w:color w:val="231F20"/>
                <w:spacing w:val="-17"/>
                <w:sz w:val="14"/>
              </w:rPr>
              <w:t xml:space="preserve"> </w:t>
            </w:r>
            <w:r>
              <w:rPr>
                <w:color w:val="231F20"/>
                <w:sz w:val="14"/>
              </w:rPr>
              <w:t>(без понављања).</w:t>
            </w:r>
          </w:p>
          <w:p w:rsidR="00041039" w:rsidRDefault="001B26CB">
            <w:pPr>
              <w:pStyle w:val="TableParagraph"/>
              <w:numPr>
                <w:ilvl w:val="0"/>
                <w:numId w:val="1997"/>
              </w:numPr>
              <w:tabs>
                <w:tab w:val="left" w:pos="158"/>
              </w:tabs>
              <w:spacing w:line="153" w:lineRule="exact"/>
              <w:rPr>
                <w:sz w:val="14"/>
              </w:rPr>
            </w:pPr>
            <w:r>
              <w:rPr>
                <w:color w:val="231F20"/>
                <w:sz w:val="14"/>
              </w:rPr>
              <w:t>Биномни</w:t>
            </w:r>
            <w:r>
              <w:rPr>
                <w:color w:val="231F20"/>
                <w:spacing w:val="-1"/>
                <w:sz w:val="14"/>
              </w:rPr>
              <w:t xml:space="preserve"> </w:t>
            </w:r>
            <w:r>
              <w:rPr>
                <w:color w:val="231F20"/>
                <w:sz w:val="14"/>
              </w:rPr>
              <w:t>образац.</w:t>
            </w:r>
          </w:p>
          <w:p w:rsidR="00041039" w:rsidRDefault="001B26CB">
            <w:pPr>
              <w:pStyle w:val="TableParagraph"/>
              <w:numPr>
                <w:ilvl w:val="0"/>
                <w:numId w:val="1997"/>
              </w:numPr>
              <w:tabs>
                <w:tab w:val="left" w:pos="158"/>
              </w:tabs>
              <w:spacing w:line="166" w:lineRule="exact"/>
              <w:rPr>
                <w:sz w:val="14"/>
              </w:rPr>
            </w:pPr>
            <w:r>
              <w:rPr>
                <w:color w:val="231F20"/>
                <w:sz w:val="14"/>
              </w:rPr>
              <w:t>Комбинаторни</w:t>
            </w:r>
            <w:r>
              <w:rPr>
                <w:color w:val="231F20"/>
                <w:spacing w:val="-1"/>
                <w:sz w:val="14"/>
              </w:rPr>
              <w:t xml:space="preserve"> </w:t>
            </w:r>
            <w:r>
              <w:rPr>
                <w:color w:val="231F20"/>
                <w:sz w:val="14"/>
              </w:rPr>
              <w:t>идентитети.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4040"/>
        </w:trPr>
        <w:tc>
          <w:tcPr>
            <w:tcW w:w="1304" w:type="dxa"/>
          </w:tcPr>
          <w:p w:rsidR="00041039" w:rsidRDefault="001B26CB">
            <w:pPr>
              <w:pStyle w:val="TableParagraph"/>
              <w:spacing w:before="18"/>
              <w:ind w:left="56" w:right="37"/>
              <w:rPr>
                <w:sz w:val="14"/>
              </w:rPr>
            </w:pPr>
            <w:r>
              <w:rPr>
                <w:color w:val="231F20"/>
                <w:sz w:val="14"/>
              </w:rPr>
              <w:lastRenderedPageBreak/>
              <w:t>Вероватноћа и статистика</w:t>
            </w:r>
          </w:p>
        </w:tc>
        <w:tc>
          <w:tcPr>
            <w:tcW w:w="1587" w:type="dxa"/>
          </w:tcPr>
          <w:p w:rsidR="00041039" w:rsidRDefault="001B26CB">
            <w:pPr>
              <w:pStyle w:val="TableParagraph"/>
              <w:numPr>
                <w:ilvl w:val="0"/>
                <w:numId w:val="1996"/>
              </w:numPr>
              <w:tabs>
                <w:tab w:val="left" w:pos="157"/>
              </w:tabs>
              <w:spacing w:before="8"/>
              <w:ind w:right="134"/>
              <w:rPr>
                <w:sz w:val="14"/>
              </w:rPr>
            </w:pPr>
            <w:r>
              <w:rPr>
                <w:color w:val="231F20"/>
                <w:sz w:val="14"/>
              </w:rPr>
              <w:t>Стицање основних знања из</w:t>
            </w:r>
            <w:r>
              <w:rPr>
                <w:color w:val="231F20"/>
                <w:spacing w:val="-16"/>
                <w:sz w:val="14"/>
              </w:rPr>
              <w:t xml:space="preserve"> </w:t>
            </w:r>
            <w:r>
              <w:rPr>
                <w:color w:val="231F20"/>
                <w:sz w:val="14"/>
              </w:rPr>
              <w:t>вероватноће и статистичке обраде података.</w:t>
            </w:r>
          </w:p>
        </w:tc>
        <w:tc>
          <w:tcPr>
            <w:tcW w:w="2551" w:type="dxa"/>
          </w:tcPr>
          <w:p w:rsidR="00041039" w:rsidRDefault="001B26CB">
            <w:pPr>
              <w:pStyle w:val="TableParagraph"/>
              <w:numPr>
                <w:ilvl w:val="0"/>
                <w:numId w:val="1995"/>
              </w:numPr>
              <w:tabs>
                <w:tab w:val="left" w:pos="157"/>
              </w:tabs>
              <w:spacing w:before="8"/>
              <w:ind w:right="224" w:hanging="99"/>
              <w:rPr>
                <w:sz w:val="14"/>
              </w:rPr>
            </w:pPr>
            <w:r>
              <w:rPr>
                <w:color w:val="231F20"/>
                <w:sz w:val="14"/>
              </w:rPr>
              <w:t>израчуна вероватноћу</w:t>
            </w:r>
            <w:r>
              <w:rPr>
                <w:color w:val="231F20"/>
                <w:spacing w:val="-17"/>
                <w:sz w:val="14"/>
              </w:rPr>
              <w:t xml:space="preserve"> </w:t>
            </w:r>
            <w:r>
              <w:rPr>
                <w:color w:val="231F20"/>
                <w:sz w:val="14"/>
              </w:rPr>
              <w:t>елементарног догађаја;</w:t>
            </w:r>
          </w:p>
          <w:p w:rsidR="00041039" w:rsidRDefault="001B26CB">
            <w:pPr>
              <w:pStyle w:val="TableParagraph"/>
              <w:numPr>
                <w:ilvl w:val="0"/>
                <w:numId w:val="1995"/>
              </w:numPr>
              <w:tabs>
                <w:tab w:val="left" w:pos="157"/>
              </w:tabs>
              <w:spacing w:line="160" w:lineRule="exact"/>
              <w:ind w:right="69" w:hanging="99"/>
              <w:rPr>
                <w:sz w:val="14"/>
              </w:rPr>
            </w:pPr>
            <w:r>
              <w:rPr>
                <w:color w:val="231F20"/>
                <w:sz w:val="14"/>
              </w:rPr>
              <w:t>примењује основне формуле за израчунавање вероватноће</w:t>
            </w:r>
            <w:r>
              <w:rPr>
                <w:color w:val="231F20"/>
                <w:spacing w:val="-19"/>
                <w:sz w:val="14"/>
              </w:rPr>
              <w:t xml:space="preserve"> </w:t>
            </w:r>
            <w:r>
              <w:rPr>
                <w:color w:val="231F20"/>
                <w:sz w:val="14"/>
              </w:rPr>
              <w:t>дискретних догађаја;</w:t>
            </w:r>
          </w:p>
          <w:p w:rsidR="00041039" w:rsidRDefault="001B26CB">
            <w:pPr>
              <w:pStyle w:val="TableParagraph"/>
              <w:numPr>
                <w:ilvl w:val="0"/>
                <w:numId w:val="1995"/>
              </w:numPr>
              <w:tabs>
                <w:tab w:val="left" w:pos="157"/>
              </w:tabs>
              <w:spacing w:line="160" w:lineRule="exact"/>
              <w:ind w:right="80" w:hanging="99"/>
              <w:rPr>
                <w:sz w:val="14"/>
              </w:rPr>
            </w:pPr>
            <w:r>
              <w:rPr>
                <w:color w:val="231F20"/>
                <w:sz w:val="14"/>
              </w:rPr>
              <w:t>одреди расподелу вероватноће случајне променљиве и израчуна</w:t>
            </w:r>
            <w:r>
              <w:rPr>
                <w:color w:val="231F20"/>
                <w:spacing w:val="-19"/>
                <w:sz w:val="14"/>
              </w:rPr>
              <w:t xml:space="preserve"> </w:t>
            </w:r>
            <w:r>
              <w:rPr>
                <w:color w:val="231F20"/>
                <w:sz w:val="14"/>
              </w:rPr>
              <w:t>њене параметре;</w:t>
            </w:r>
          </w:p>
        </w:tc>
        <w:tc>
          <w:tcPr>
            <w:tcW w:w="2834" w:type="dxa"/>
          </w:tcPr>
          <w:p w:rsidR="00041039" w:rsidRDefault="001B26CB">
            <w:pPr>
              <w:pStyle w:val="TableParagraph"/>
              <w:numPr>
                <w:ilvl w:val="0"/>
                <w:numId w:val="1994"/>
              </w:numPr>
              <w:tabs>
                <w:tab w:val="left" w:pos="157"/>
              </w:tabs>
              <w:spacing w:before="8" w:line="166" w:lineRule="exact"/>
              <w:ind w:hanging="99"/>
              <w:rPr>
                <w:sz w:val="14"/>
              </w:rPr>
            </w:pPr>
            <w:r>
              <w:rPr>
                <w:color w:val="231F20"/>
                <w:sz w:val="14"/>
              </w:rPr>
              <w:t>Случајни догађаји.</w:t>
            </w:r>
          </w:p>
          <w:p w:rsidR="00041039" w:rsidRDefault="001B26CB">
            <w:pPr>
              <w:pStyle w:val="TableParagraph"/>
              <w:numPr>
                <w:ilvl w:val="0"/>
                <w:numId w:val="1994"/>
              </w:numPr>
              <w:tabs>
                <w:tab w:val="left" w:pos="157"/>
              </w:tabs>
              <w:spacing w:line="160" w:lineRule="exact"/>
              <w:ind w:hanging="99"/>
              <w:rPr>
                <w:sz w:val="14"/>
              </w:rPr>
            </w:pPr>
            <w:r>
              <w:rPr>
                <w:color w:val="231F20"/>
                <w:sz w:val="14"/>
              </w:rPr>
              <w:t>Вероватноћа и</w:t>
            </w:r>
            <w:r>
              <w:rPr>
                <w:color w:val="231F20"/>
                <w:spacing w:val="-2"/>
                <w:sz w:val="14"/>
              </w:rPr>
              <w:t xml:space="preserve"> </w:t>
            </w:r>
            <w:r>
              <w:rPr>
                <w:color w:val="231F20"/>
                <w:sz w:val="14"/>
              </w:rPr>
              <w:t>особине.</w:t>
            </w:r>
          </w:p>
          <w:p w:rsidR="00041039" w:rsidRDefault="001B26CB">
            <w:pPr>
              <w:pStyle w:val="TableParagraph"/>
              <w:numPr>
                <w:ilvl w:val="0"/>
                <w:numId w:val="1994"/>
              </w:numPr>
              <w:tabs>
                <w:tab w:val="left" w:pos="157"/>
              </w:tabs>
              <w:spacing w:line="160" w:lineRule="exact"/>
              <w:ind w:hanging="99"/>
              <w:rPr>
                <w:sz w:val="14"/>
              </w:rPr>
            </w:pPr>
            <w:r>
              <w:rPr>
                <w:color w:val="231F20"/>
                <w:spacing w:val="-3"/>
                <w:sz w:val="14"/>
              </w:rPr>
              <w:t xml:space="preserve">Условна </w:t>
            </w:r>
            <w:r>
              <w:rPr>
                <w:color w:val="231F20"/>
                <w:sz w:val="14"/>
              </w:rPr>
              <w:t>вероватноћа и Бајесова</w:t>
            </w:r>
            <w:r>
              <w:rPr>
                <w:color w:val="231F20"/>
                <w:spacing w:val="-8"/>
                <w:sz w:val="14"/>
              </w:rPr>
              <w:t xml:space="preserve"> </w:t>
            </w:r>
            <w:r>
              <w:rPr>
                <w:color w:val="231F20"/>
                <w:sz w:val="14"/>
              </w:rPr>
              <w:t>формула.</w:t>
            </w:r>
          </w:p>
          <w:p w:rsidR="00041039" w:rsidRDefault="001B26CB">
            <w:pPr>
              <w:pStyle w:val="TableParagraph"/>
              <w:numPr>
                <w:ilvl w:val="0"/>
                <w:numId w:val="1994"/>
              </w:numPr>
              <w:tabs>
                <w:tab w:val="left" w:pos="157"/>
              </w:tabs>
              <w:spacing w:line="160" w:lineRule="exact"/>
              <w:ind w:hanging="99"/>
              <w:rPr>
                <w:sz w:val="14"/>
              </w:rPr>
            </w:pPr>
            <w:r>
              <w:rPr>
                <w:color w:val="231F20"/>
                <w:sz w:val="14"/>
              </w:rPr>
              <w:t>Бернулијева</w:t>
            </w:r>
            <w:r>
              <w:rPr>
                <w:color w:val="231F20"/>
                <w:spacing w:val="-1"/>
                <w:sz w:val="14"/>
              </w:rPr>
              <w:t xml:space="preserve"> </w:t>
            </w:r>
            <w:r>
              <w:rPr>
                <w:color w:val="231F20"/>
                <w:sz w:val="14"/>
              </w:rPr>
              <w:t>шема.</w:t>
            </w:r>
          </w:p>
          <w:p w:rsidR="00041039" w:rsidRDefault="001B26CB">
            <w:pPr>
              <w:pStyle w:val="TableParagraph"/>
              <w:numPr>
                <w:ilvl w:val="0"/>
                <w:numId w:val="1994"/>
              </w:numPr>
              <w:tabs>
                <w:tab w:val="left" w:pos="157"/>
              </w:tabs>
              <w:spacing w:line="160" w:lineRule="exact"/>
              <w:ind w:hanging="99"/>
              <w:rPr>
                <w:sz w:val="14"/>
              </w:rPr>
            </w:pPr>
            <w:r>
              <w:rPr>
                <w:color w:val="231F20"/>
                <w:sz w:val="14"/>
              </w:rPr>
              <w:t>Случајне</w:t>
            </w:r>
            <w:r>
              <w:rPr>
                <w:color w:val="231F20"/>
                <w:spacing w:val="-1"/>
                <w:sz w:val="14"/>
              </w:rPr>
              <w:t xml:space="preserve"> </w:t>
            </w:r>
            <w:r>
              <w:rPr>
                <w:color w:val="231F20"/>
                <w:sz w:val="14"/>
              </w:rPr>
              <w:t>променљиве.</w:t>
            </w:r>
          </w:p>
          <w:p w:rsidR="00041039" w:rsidRDefault="001B26CB">
            <w:pPr>
              <w:pStyle w:val="TableParagraph"/>
              <w:numPr>
                <w:ilvl w:val="0"/>
                <w:numId w:val="1994"/>
              </w:numPr>
              <w:tabs>
                <w:tab w:val="left" w:pos="157"/>
              </w:tabs>
              <w:spacing w:line="237" w:lineRule="auto"/>
              <w:ind w:right="531" w:hanging="99"/>
              <w:rPr>
                <w:sz w:val="14"/>
              </w:rPr>
            </w:pPr>
            <w:r>
              <w:rPr>
                <w:color w:val="231F20"/>
                <w:sz w:val="14"/>
              </w:rPr>
              <w:t>Расподела, математичко</w:t>
            </w:r>
            <w:r>
              <w:rPr>
                <w:color w:val="231F20"/>
                <w:spacing w:val="-29"/>
                <w:sz w:val="14"/>
              </w:rPr>
              <w:t xml:space="preserve"> </w:t>
            </w:r>
            <w:r>
              <w:rPr>
                <w:color w:val="231F20"/>
                <w:sz w:val="14"/>
              </w:rPr>
              <w:t>очекивање, дисперзија и</w:t>
            </w:r>
            <w:r>
              <w:rPr>
                <w:color w:val="231F20"/>
                <w:spacing w:val="-3"/>
                <w:sz w:val="14"/>
              </w:rPr>
              <w:t xml:space="preserve"> </w:t>
            </w:r>
            <w:r>
              <w:rPr>
                <w:color w:val="231F20"/>
                <w:sz w:val="14"/>
              </w:rPr>
              <w:t>одступање.</w:t>
            </w:r>
          </w:p>
          <w:p w:rsidR="00041039" w:rsidRDefault="001B26CB">
            <w:pPr>
              <w:pStyle w:val="TableParagraph"/>
              <w:numPr>
                <w:ilvl w:val="0"/>
                <w:numId w:val="1994"/>
              </w:numPr>
              <w:tabs>
                <w:tab w:val="left" w:pos="157"/>
              </w:tabs>
              <w:spacing w:line="161" w:lineRule="exact"/>
              <w:ind w:hanging="99"/>
              <w:rPr>
                <w:sz w:val="14"/>
              </w:rPr>
            </w:pPr>
            <w:r>
              <w:rPr>
                <w:color w:val="231F20"/>
                <w:sz w:val="14"/>
              </w:rPr>
              <w:t>Основни појмови</w:t>
            </w:r>
            <w:r>
              <w:rPr>
                <w:color w:val="231F20"/>
                <w:spacing w:val="-4"/>
                <w:sz w:val="14"/>
              </w:rPr>
              <w:t xml:space="preserve"> </w:t>
            </w:r>
            <w:r>
              <w:rPr>
                <w:color w:val="231F20"/>
                <w:sz w:val="14"/>
              </w:rPr>
              <w:t>статистике.</w:t>
            </w:r>
          </w:p>
        </w:tc>
        <w:tc>
          <w:tcPr>
            <w:tcW w:w="2267" w:type="dxa"/>
          </w:tcPr>
          <w:p w:rsidR="00041039" w:rsidRDefault="001B26CB">
            <w:pPr>
              <w:pStyle w:val="TableParagraph"/>
              <w:numPr>
                <w:ilvl w:val="0"/>
                <w:numId w:val="1993"/>
              </w:numPr>
              <w:tabs>
                <w:tab w:val="left" w:pos="143"/>
              </w:tabs>
              <w:spacing w:before="18"/>
              <w:ind w:right="66"/>
              <w:rPr>
                <w:sz w:val="14"/>
              </w:rPr>
            </w:pPr>
            <w:r>
              <w:rPr>
                <w:b/>
                <w:color w:val="231F20"/>
                <w:sz w:val="14"/>
              </w:rPr>
              <w:t xml:space="preserve">Вероватноћа и статистика: </w:t>
            </w:r>
            <w:r>
              <w:rPr>
                <w:color w:val="231F20"/>
                <w:sz w:val="14"/>
              </w:rPr>
              <w:t>дати основна знања о вероватноћи</w:t>
            </w:r>
            <w:r>
              <w:rPr>
                <w:color w:val="231F20"/>
                <w:spacing w:val="-12"/>
                <w:sz w:val="14"/>
              </w:rPr>
              <w:t xml:space="preserve"> </w:t>
            </w:r>
            <w:r>
              <w:rPr>
                <w:color w:val="231F20"/>
                <w:sz w:val="14"/>
              </w:rPr>
              <w:t>дис­ кретних догађаја; увести случајну променљиву и расподелу. Истаћи значај случајног узорка и ста­ тистичког</w:t>
            </w:r>
            <w:r>
              <w:rPr>
                <w:color w:val="231F20"/>
                <w:spacing w:val="-1"/>
                <w:sz w:val="14"/>
              </w:rPr>
              <w:t xml:space="preserve"> </w:t>
            </w:r>
            <w:r>
              <w:rPr>
                <w:color w:val="231F20"/>
                <w:sz w:val="14"/>
              </w:rPr>
              <w:t>експеримента.</w:t>
            </w:r>
          </w:p>
          <w:p w:rsidR="00041039" w:rsidRDefault="00041039">
            <w:pPr>
              <w:pStyle w:val="TableParagraph"/>
              <w:spacing w:before="5"/>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992"/>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992"/>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теми</w:t>
            </w:r>
          </w:p>
          <w:p w:rsidR="00041039" w:rsidRDefault="001B26CB">
            <w:pPr>
              <w:pStyle w:val="TableParagraph"/>
              <w:numPr>
                <w:ilvl w:val="0"/>
                <w:numId w:val="1992"/>
              </w:numPr>
              <w:tabs>
                <w:tab w:val="left" w:pos="158"/>
              </w:tabs>
              <w:spacing w:line="160" w:lineRule="exact"/>
              <w:ind w:hanging="99"/>
              <w:rPr>
                <w:b/>
                <w:sz w:val="14"/>
              </w:rPr>
            </w:pPr>
            <w:r>
              <w:rPr>
                <w:color w:val="231F20"/>
                <w:sz w:val="14"/>
              </w:rPr>
              <w:t xml:space="preserve">Функције </w:t>
            </w:r>
            <w:r>
              <w:rPr>
                <w:b/>
                <w:color w:val="231F20"/>
                <w:sz w:val="14"/>
              </w:rPr>
              <w:t>(28</w:t>
            </w:r>
            <w:r>
              <w:rPr>
                <w:b/>
                <w:color w:val="231F20"/>
                <w:spacing w:val="-2"/>
                <w:sz w:val="14"/>
              </w:rPr>
              <w:t xml:space="preserve"> </w:t>
            </w:r>
            <w:r>
              <w:rPr>
                <w:b/>
                <w:color w:val="231F20"/>
                <w:sz w:val="14"/>
              </w:rPr>
              <w:t>часова)</w:t>
            </w:r>
          </w:p>
          <w:p w:rsidR="00041039" w:rsidRDefault="001B26CB">
            <w:pPr>
              <w:pStyle w:val="TableParagraph"/>
              <w:numPr>
                <w:ilvl w:val="0"/>
                <w:numId w:val="1992"/>
              </w:numPr>
              <w:tabs>
                <w:tab w:val="left" w:pos="158"/>
              </w:tabs>
              <w:spacing w:line="160" w:lineRule="exact"/>
              <w:ind w:hanging="99"/>
              <w:rPr>
                <w:b/>
                <w:sz w:val="14"/>
              </w:rPr>
            </w:pPr>
            <w:r>
              <w:rPr>
                <w:color w:val="231F20"/>
                <w:sz w:val="14"/>
              </w:rPr>
              <w:t xml:space="preserve">Извод функције </w:t>
            </w:r>
            <w:r>
              <w:rPr>
                <w:b/>
                <w:color w:val="231F20"/>
                <w:sz w:val="14"/>
              </w:rPr>
              <w:t>(26</w:t>
            </w:r>
            <w:r>
              <w:rPr>
                <w:b/>
                <w:color w:val="231F20"/>
                <w:spacing w:val="-5"/>
                <w:sz w:val="14"/>
              </w:rPr>
              <w:t xml:space="preserve"> </w:t>
            </w:r>
            <w:r>
              <w:rPr>
                <w:b/>
                <w:color w:val="231F20"/>
                <w:sz w:val="14"/>
              </w:rPr>
              <w:t>часова)</w:t>
            </w:r>
          </w:p>
          <w:p w:rsidR="00041039" w:rsidRDefault="001B26CB">
            <w:pPr>
              <w:pStyle w:val="TableParagraph"/>
              <w:numPr>
                <w:ilvl w:val="0"/>
                <w:numId w:val="1992"/>
              </w:numPr>
              <w:tabs>
                <w:tab w:val="left" w:pos="158"/>
              </w:tabs>
              <w:spacing w:line="160" w:lineRule="exact"/>
              <w:ind w:hanging="99"/>
              <w:rPr>
                <w:b/>
                <w:sz w:val="14"/>
              </w:rPr>
            </w:pPr>
            <w:r>
              <w:rPr>
                <w:color w:val="231F20"/>
                <w:sz w:val="14"/>
              </w:rPr>
              <w:t xml:space="preserve">Интеграл </w:t>
            </w:r>
            <w:r>
              <w:rPr>
                <w:b/>
                <w:color w:val="231F20"/>
                <w:sz w:val="14"/>
              </w:rPr>
              <w:t>(22</w:t>
            </w:r>
            <w:r>
              <w:rPr>
                <w:b/>
                <w:color w:val="231F20"/>
                <w:spacing w:val="-2"/>
                <w:sz w:val="14"/>
              </w:rPr>
              <w:t xml:space="preserve"> </w:t>
            </w:r>
            <w:r>
              <w:rPr>
                <w:b/>
                <w:color w:val="231F20"/>
                <w:sz w:val="14"/>
              </w:rPr>
              <w:t>часа)</w:t>
            </w:r>
          </w:p>
          <w:p w:rsidR="00041039" w:rsidRDefault="001B26CB">
            <w:pPr>
              <w:pStyle w:val="TableParagraph"/>
              <w:numPr>
                <w:ilvl w:val="0"/>
                <w:numId w:val="1992"/>
              </w:numPr>
              <w:tabs>
                <w:tab w:val="left" w:pos="158"/>
              </w:tabs>
              <w:spacing w:line="160" w:lineRule="exact"/>
              <w:ind w:hanging="99"/>
              <w:rPr>
                <w:b/>
                <w:sz w:val="14"/>
              </w:rPr>
            </w:pPr>
            <w:r>
              <w:rPr>
                <w:color w:val="231F20"/>
                <w:sz w:val="14"/>
              </w:rPr>
              <w:t xml:space="preserve">Комбинаторика </w:t>
            </w:r>
            <w:r>
              <w:rPr>
                <w:b/>
                <w:color w:val="231F20"/>
                <w:sz w:val="14"/>
              </w:rPr>
              <w:t>(12</w:t>
            </w:r>
            <w:r>
              <w:rPr>
                <w:b/>
                <w:color w:val="231F20"/>
                <w:spacing w:val="-5"/>
                <w:sz w:val="14"/>
              </w:rPr>
              <w:t xml:space="preserve"> </w:t>
            </w:r>
            <w:r>
              <w:rPr>
                <w:b/>
                <w:color w:val="231F20"/>
                <w:sz w:val="14"/>
              </w:rPr>
              <w:t>часова)</w:t>
            </w:r>
          </w:p>
          <w:p w:rsidR="00041039" w:rsidRDefault="001B26CB">
            <w:pPr>
              <w:pStyle w:val="TableParagraph"/>
              <w:numPr>
                <w:ilvl w:val="0"/>
                <w:numId w:val="1992"/>
              </w:numPr>
              <w:tabs>
                <w:tab w:val="left" w:pos="158"/>
              </w:tabs>
              <w:spacing w:line="237" w:lineRule="auto"/>
              <w:ind w:right="328" w:hanging="99"/>
              <w:rPr>
                <w:b/>
                <w:sz w:val="14"/>
              </w:rPr>
            </w:pPr>
            <w:r>
              <w:rPr>
                <w:color w:val="231F20"/>
                <w:sz w:val="14"/>
              </w:rPr>
              <w:t>Вероватноћа и статистика</w:t>
            </w:r>
            <w:r>
              <w:rPr>
                <w:color w:val="231F20"/>
                <w:spacing w:val="-16"/>
                <w:sz w:val="14"/>
              </w:rPr>
              <w:t xml:space="preserve"> </w:t>
            </w:r>
            <w:r>
              <w:rPr>
                <w:b/>
                <w:color w:val="231F20"/>
                <w:sz w:val="14"/>
              </w:rPr>
              <w:t>(28 часова)</w:t>
            </w:r>
          </w:p>
          <w:p w:rsidR="00041039" w:rsidRDefault="00041039">
            <w:pPr>
              <w:pStyle w:val="TableParagraph"/>
              <w:spacing w:before="6"/>
              <w:ind w:left="0"/>
              <w:rPr>
                <w:b/>
                <w:sz w:val="13"/>
              </w:rPr>
            </w:pPr>
          </w:p>
          <w:p w:rsidR="00041039" w:rsidRDefault="001B26CB">
            <w:pPr>
              <w:pStyle w:val="TableParagraph"/>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tabs>
          <w:tab w:val="left" w:pos="633"/>
        </w:tabs>
        <w:ind w:left="632" w:hanging="135"/>
      </w:pPr>
      <w:r>
        <w:rPr>
          <w:color w:val="231F20"/>
        </w:rPr>
        <w:t>Изабрана поглавља</w:t>
      </w:r>
      <w:r>
        <w:rPr>
          <w:color w:val="231F20"/>
          <w:spacing w:val="-3"/>
        </w:rPr>
        <w:t xml:space="preserve"> математике</w:t>
      </w:r>
    </w:p>
    <w:p w:rsidR="00041039" w:rsidRDefault="001B26CB">
      <w:pPr>
        <w:pStyle w:val="ListParagraph"/>
        <w:tabs>
          <w:tab w:val="left" w:pos="633"/>
        </w:tabs>
        <w:rPr>
          <w:sz w:val="18"/>
        </w:rPr>
      </w:pPr>
      <w:r>
        <w:rPr>
          <w:color w:val="231F20"/>
          <w:sz w:val="18"/>
        </w:rPr>
        <w:t>Физика</w:t>
      </w:r>
    </w:p>
    <w:p w:rsidR="00041039" w:rsidRDefault="001B26CB">
      <w:pPr>
        <w:pStyle w:val="ListParagraph"/>
        <w:tabs>
          <w:tab w:val="left" w:pos="633"/>
        </w:tabs>
        <w:rPr>
          <w:sz w:val="18"/>
        </w:rPr>
      </w:pPr>
      <w:r>
        <w:rPr>
          <w:color w:val="231F20"/>
          <w:spacing w:val="-3"/>
          <w:sz w:val="18"/>
        </w:rPr>
        <w:t xml:space="preserve">Техничко </w:t>
      </w:r>
      <w:r>
        <w:rPr>
          <w:color w:val="231F20"/>
          <w:sz w:val="18"/>
        </w:rPr>
        <w:t>цртање са нацртном</w:t>
      </w:r>
      <w:r>
        <w:rPr>
          <w:color w:val="231F20"/>
          <w:spacing w:val="1"/>
          <w:sz w:val="18"/>
        </w:rPr>
        <w:t xml:space="preserve"> </w:t>
      </w:r>
      <w:r>
        <w:rPr>
          <w:color w:val="231F20"/>
          <w:sz w:val="18"/>
        </w:rPr>
        <w:t>геометријом</w:t>
      </w:r>
    </w:p>
    <w:p w:rsidR="00041039" w:rsidRDefault="001B26CB">
      <w:pPr>
        <w:pStyle w:val="ListParagraph"/>
        <w:tabs>
          <w:tab w:val="left" w:pos="633"/>
        </w:tabs>
        <w:rPr>
          <w:sz w:val="18"/>
        </w:rPr>
      </w:pPr>
      <w:r>
        <w:rPr>
          <w:color w:val="231F20"/>
          <w:sz w:val="18"/>
        </w:rPr>
        <w:t>Рачунарство и</w:t>
      </w:r>
      <w:r>
        <w:rPr>
          <w:color w:val="231F20"/>
          <w:spacing w:val="-2"/>
          <w:sz w:val="18"/>
        </w:rPr>
        <w:t xml:space="preserve"> </w:t>
      </w:r>
      <w:r>
        <w:rPr>
          <w:color w:val="231F20"/>
          <w:sz w:val="18"/>
        </w:rPr>
        <w:t>информатика</w:t>
      </w:r>
    </w:p>
    <w:p w:rsidR="00041039" w:rsidRDefault="001B26CB">
      <w:pPr>
        <w:pStyle w:val="ListParagraph"/>
        <w:tabs>
          <w:tab w:val="left" w:pos="633"/>
        </w:tabs>
        <w:rPr>
          <w:sz w:val="18"/>
        </w:rPr>
      </w:pPr>
      <w:r>
        <w:rPr>
          <w:color w:val="231F20"/>
          <w:sz w:val="18"/>
        </w:rPr>
        <w:t>Аеродинамика</w:t>
      </w:r>
    </w:p>
    <w:p w:rsidR="00041039" w:rsidRDefault="001B26CB">
      <w:pPr>
        <w:pStyle w:val="ListParagraph"/>
        <w:tabs>
          <w:tab w:val="left" w:pos="633"/>
        </w:tabs>
        <w:rPr>
          <w:sz w:val="18"/>
        </w:rPr>
      </w:pPr>
      <w:r>
        <w:rPr>
          <w:color w:val="231F20"/>
          <w:sz w:val="18"/>
        </w:rPr>
        <w:t>Рачунари</w:t>
      </w:r>
    </w:p>
    <w:p w:rsidR="00041039" w:rsidRDefault="001B26CB">
      <w:pPr>
        <w:pStyle w:val="ListParagraph"/>
        <w:tabs>
          <w:tab w:val="left" w:pos="633"/>
        </w:tabs>
        <w:rPr>
          <w:sz w:val="18"/>
        </w:rPr>
      </w:pPr>
      <w:r>
        <w:rPr>
          <w:color w:val="231F20"/>
          <w:sz w:val="18"/>
        </w:rPr>
        <w:t>Механика</w:t>
      </w:r>
      <w:r>
        <w:rPr>
          <w:color w:val="231F20"/>
          <w:spacing w:val="-1"/>
          <w:sz w:val="18"/>
        </w:rPr>
        <w:t xml:space="preserve"> </w:t>
      </w:r>
      <w:r>
        <w:rPr>
          <w:color w:val="231F20"/>
          <w:sz w:val="18"/>
        </w:rPr>
        <w:t>лета</w:t>
      </w:r>
    </w:p>
    <w:p w:rsidR="00041039" w:rsidRDefault="001B26CB">
      <w:pPr>
        <w:pStyle w:val="ListParagraph"/>
        <w:tabs>
          <w:tab w:val="left" w:pos="633"/>
        </w:tabs>
        <w:rPr>
          <w:sz w:val="18"/>
        </w:rPr>
      </w:pPr>
      <w:r>
        <w:rPr>
          <w:color w:val="231F20"/>
          <w:sz w:val="18"/>
        </w:rPr>
        <w:t>Економика ваздушног</w:t>
      </w:r>
      <w:r>
        <w:rPr>
          <w:color w:val="231F20"/>
          <w:spacing w:val="-1"/>
          <w:sz w:val="18"/>
        </w:rPr>
        <w:t xml:space="preserve"> </w:t>
      </w:r>
      <w:r>
        <w:rPr>
          <w:color w:val="231F20"/>
          <w:sz w:val="18"/>
        </w:rPr>
        <w:t>саобраћаја</w:t>
      </w:r>
    </w:p>
    <w:p w:rsidR="00041039" w:rsidRDefault="001B26CB">
      <w:pPr>
        <w:pStyle w:val="ListParagraph"/>
        <w:tabs>
          <w:tab w:val="left" w:pos="633"/>
        </w:tabs>
        <w:rPr>
          <w:sz w:val="18"/>
        </w:rPr>
      </w:pPr>
      <w:r>
        <w:rPr>
          <w:color w:val="231F20"/>
          <w:spacing w:val="-3"/>
          <w:sz w:val="18"/>
        </w:rPr>
        <w:t xml:space="preserve">Аутоматска </w:t>
      </w:r>
      <w:r>
        <w:rPr>
          <w:color w:val="231F20"/>
          <w:sz w:val="18"/>
        </w:rPr>
        <w:t>обрада</w:t>
      </w:r>
      <w:r>
        <w:rPr>
          <w:color w:val="231F20"/>
          <w:spacing w:val="1"/>
          <w:sz w:val="18"/>
        </w:rPr>
        <w:t xml:space="preserve"> </w:t>
      </w:r>
      <w:r>
        <w:rPr>
          <w:color w:val="231F20"/>
          <w:sz w:val="18"/>
        </w:rPr>
        <w:t>података</w:t>
      </w:r>
    </w:p>
    <w:p w:rsidR="00041039" w:rsidRDefault="001B26CB">
      <w:pPr>
        <w:pStyle w:val="ListParagraph"/>
        <w:tabs>
          <w:tab w:val="left" w:pos="633"/>
        </w:tabs>
        <w:rPr>
          <w:sz w:val="18"/>
        </w:rPr>
      </w:pPr>
      <w:r>
        <w:rPr>
          <w:color w:val="231F20"/>
          <w:sz w:val="18"/>
        </w:rPr>
        <w:t>Ваздухопловна</w:t>
      </w:r>
      <w:r>
        <w:rPr>
          <w:color w:val="231F20"/>
          <w:spacing w:val="-1"/>
          <w:sz w:val="18"/>
        </w:rPr>
        <w:t xml:space="preserve"> </w:t>
      </w:r>
      <w:r>
        <w:rPr>
          <w:color w:val="231F20"/>
          <w:sz w:val="18"/>
        </w:rPr>
        <w:t>навигација</w:t>
      </w:r>
    </w:p>
    <w:p w:rsidR="00041039" w:rsidRDefault="001B26CB">
      <w:pPr>
        <w:pStyle w:val="ListParagraph"/>
        <w:tabs>
          <w:tab w:val="left" w:pos="633"/>
        </w:tabs>
        <w:spacing w:line="203" w:lineRule="exact"/>
        <w:rPr>
          <w:sz w:val="18"/>
        </w:rPr>
      </w:pPr>
      <w:r>
        <w:rPr>
          <w:color w:val="231F20"/>
          <w:sz w:val="18"/>
        </w:rPr>
        <w:t>Мас</w:t>
      </w:r>
      <w:r>
        <w:rPr>
          <w:color w:val="231F20"/>
          <w:sz w:val="18"/>
        </w:rPr>
        <w:t>а и центража</w:t>
      </w:r>
      <w:r>
        <w:rPr>
          <w:color w:val="231F20"/>
          <w:spacing w:val="-2"/>
          <w:sz w:val="18"/>
        </w:rPr>
        <w:t xml:space="preserve"> </w:t>
      </w:r>
      <w:r>
        <w:rPr>
          <w:color w:val="231F20"/>
          <w:sz w:val="18"/>
        </w:rPr>
        <w:t>ваздухоплова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ИСТОРИЈА</w:t>
      </w:r>
    </w:p>
    <w:p w:rsidR="00041039" w:rsidRDefault="001B26CB">
      <w:pPr>
        <w:pStyle w:val="BodyText"/>
        <w:spacing w:before="50" w:line="161" w:lineRule="exact"/>
        <w:ind w:left="157"/>
      </w:pPr>
      <w:r>
        <w:rPr>
          <w:color w:val="231F20"/>
        </w:rPr>
        <w:t>Циљеви предмета: – Стицање хуманистичког образовања и развијање историјске свести;</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7"/>
          <w:sz w:val="14"/>
        </w:rPr>
        <w:t xml:space="preserve"> </w:t>
      </w:r>
      <w:r>
        <w:rPr>
          <w:color w:val="231F20"/>
          <w:sz w:val="14"/>
        </w:rPr>
        <w:t>личности;</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041039" w:rsidRDefault="001B26CB">
      <w:pPr>
        <w:pStyle w:val="ListParagraph"/>
        <w:numPr>
          <w:ilvl w:val="1"/>
          <w:numId w:val="0"/>
        </w:numPr>
        <w:tabs>
          <w:tab w:val="left" w:pos="1566"/>
        </w:tabs>
        <w:spacing w:line="240" w:lineRule="auto"/>
        <w:ind w:left="1565" w:right="255" w:hanging="105"/>
        <w:rPr>
          <w:sz w:val="14"/>
        </w:rPr>
      </w:pPr>
      <w:r>
        <w:rPr>
          <w:color w:val="231F20"/>
          <w:sz w:val="14"/>
        </w:rPr>
        <w:t>Стицање</w:t>
      </w:r>
      <w:r>
        <w:rPr>
          <w:color w:val="231F20"/>
          <w:spacing w:val="-4"/>
          <w:sz w:val="14"/>
        </w:rPr>
        <w:t xml:space="preserve"> </w:t>
      </w:r>
      <w:r>
        <w:rPr>
          <w:color w:val="231F20"/>
          <w:sz w:val="14"/>
        </w:rPr>
        <w:t>и</w:t>
      </w:r>
      <w:r>
        <w:rPr>
          <w:color w:val="231F20"/>
          <w:spacing w:val="-5"/>
          <w:sz w:val="14"/>
        </w:rPr>
        <w:t xml:space="preserve"> </w:t>
      </w:r>
      <w:r>
        <w:rPr>
          <w:color w:val="231F20"/>
          <w:sz w:val="14"/>
        </w:rPr>
        <w:t>проширивање</w:t>
      </w:r>
      <w:r>
        <w:rPr>
          <w:color w:val="231F20"/>
          <w:spacing w:val="-4"/>
          <w:sz w:val="14"/>
        </w:rPr>
        <w:t xml:space="preserve"> </w:t>
      </w:r>
      <w:r>
        <w:rPr>
          <w:color w:val="231F20"/>
          <w:sz w:val="14"/>
        </w:rPr>
        <w:t>знања,</w:t>
      </w:r>
      <w:r>
        <w:rPr>
          <w:color w:val="231F20"/>
          <w:spacing w:val="-5"/>
          <w:sz w:val="14"/>
        </w:rPr>
        <w:t xml:space="preserve"> </w:t>
      </w:r>
      <w:r>
        <w:rPr>
          <w:color w:val="231F20"/>
          <w:sz w:val="14"/>
        </w:rPr>
        <w:t>развијање</w:t>
      </w:r>
      <w:r>
        <w:rPr>
          <w:color w:val="231F20"/>
          <w:spacing w:val="-4"/>
          <w:sz w:val="14"/>
        </w:rPr>
        <w:t xml:space="preserve"> </w:t>
      </w:r>
      <w:r>
        <w:rPr>
          <w:color w:val="231F20"/>
          <w:sz w:val="14"/>
        </w:rPr>
        <w:t>вештина</w:t>
      </w:r>
      <w:r>
        <w:rPr>
          <w:color w:val="231F20"/>
          <w:spacing w:val="-4"/>
          <w:sz w:val="14"/>
        </w:rPr>
        <w:t xml:space="preserve"> </w:t>
      </w:r>
      <w:r>
        <w:rPr>
          <w:color w:val="231F20"/>
          <w:sz w:val="14"/>
        </w:rPr>
        <w:t>и</w:t>
      </w:r>
      <w:r>
        <w:rPr>
          <w:color w:val="231F20"/>
          <w:spacing w:val="-5"/>
          <w:sz w:val="14"/>
        </w:rPr>
        <w:t xml:space="preserve"> </w:t>
      </w:r>
      <w:r>
        <w:rPr>
          <w:color w:val="231F20"/>
          <w:sz w:val="14"/>
        </w:rPr>
        <w:t>формирање</w:t>
      </w:r>
      <w:r>
        <w:rPr>
          <w:color w:val="231F20"/>
          <w:spacing w:val="-4"/>
          <w:sz w:val="14"/>
        </w:rPr>
        <w:t xml:space="preserve"> </w:t>
      </w:r>
      <w:r>
        <w:rPr>
          <w:color w:val="231F20"/>
          <w:sz w:val="14"/>
        </w:rPr>
        <w:t>ставова</w:t>
      </w:r>
      <w:r>
        <w:rPr>
          <w:color w:val="231F20"/>
          <w:spacing w:val="-4"/>
          <w:sz w:val="14"/>
        </w:rPr>
        <w:t xml:space="preserve"> </w:t>
      </w:r>
      <w:r>
        <w:rPr>
          <w:color w:val="231F20"/>
          <w:sz w:val="14"/>
        </w:rPr>
        <w:t>неопходних</w:t>
      </w:r>
      <w:r>
        <w:rPr>
          <w:color w:val="231F20"/>
          <w:spacing w:val="-4"/>
          <w:sz w:val="14"/>
        </w:rPr>
        <w:t xml:space="preserve"> </w:t>
      </w:r>
      <w:r>
        <w:rPr>
          <w:color w:val="231F20"/>
          <w:sz w:val="14"/>
        </w:rPr>
        <w:t>за</w:t>
      </w:r>
      <w:r>
        <w:rPr>
          <w:color w:val="231F20"/>
          <w:spacing w:val="-5"/>
          <w:sz w:val="14"/>
        </w:rPr>
        <w:t xml:space="preserve"> </w:t>
      </w:r>
      <w:r>
        <w:rPr>
          <w:color w:val="231F20"/>
          <w:sz w:val="14"/>
        </w:rPr>
        <w:t>разумевање</w:t>
      </w:r>
      <w:r>
        <w:rPr>
          <w:color w:val="231F20"/>
          <w:spacing w:val="-4"/>
          <w:sz w:val="14"/>
        </w:rPr>
        <w:t xml:space="preserve"> </w:t>
      </w:r>
      <w:r>
        <w:rPr>
          <w:color w:val="231F20"/>
          <w:sz w:val="14"/>
        </w:rPr>
        <w:t>савременог</w:t>
      </w:r>
      <w:r>
        <w:rPr>
          <w:color w:val="231F20"/>
          <w:spacing w:val="-4"/>
          <w:sz w:val="14"/>
        </w:rPr>
        <w:t xml:space="preserve"> </w:t>
      </w:r>
      <w:r>
        <w:rPr>
          <w:color w:val="231F20"/>
          <w:sz w:val="14"/>
        </w:rPr>
        <w:t>света</w:t>
      </w:r>
      <w:r>
        <w:rPr>
          <w:color w:val="231F20"/>
          <w:spacing w:val="-4"/>
          <w:sz w:val="14"/>
        </w:rPr>
        <w:t xml:space="preserve"> </w:t>
      </w:r>
      <w:r>
        <w:rPr>
          <w:color w:val="231F20"/>
          <w:sz w:val="14"/>
        </w:rPr>
        <w:t>(у</w:t>
      </w:r>
      <w:r>
        <w:rPr>
          <w:color w:val="231F20"/>
          <w:spacing w:val="-4"/>
          <w:sz w:val="14"/>
        </w:rPr>
        <w:t xml:space="preserve"> </w:t>
      </w:r>
      <w:r>
        <w:rPr>
          <w:color w:val="231F20"/>
          <w:sz w:val="14"/>
        </w:rPr>
        <w:t>националном,</w:t>
      </w:r>
      <w:r>
        <w:rPr>
          <w:color w:val="231F20"/>
          <w:spacing w:val="-4"/>
          <w:sz w:val="14"/>
        </w:rPr>
        <w:t xml:space="preserve"> </w:t>
      </w:r>
      <w:r>
        <w:rPr>
          <w:color w:val="231F20"/>
          <w:sz w:val="14"/>
        </w:rPr>
        <w:t>регионалном. европском и глобалном</w:t>
      </w:r>
      <w:r>
        <w:rPr>
          <w:color w:val="231F20"/>
          <w:spacing w:val="-2"/>
          <w:sz w:val="14"/>
        </w:rPr>
        <w:t xml:space="preserve"> </w:t>
      </w:r>
      <w:r>
        <w:rPr>
          <w:color w:val="231F20"/>
          <w:sz w:val="14"/>
        </w:rPr>
        <w:t>оквиру);</w:t>
      </w:r>
    </w:p>
    <w:p w:rsidR="00041039" w:rsidRDefault="001B26CB">
      <w:pPr>
        <w:pStyle w:val="ListParagraph"/>
        <w:numPr>
          <w:ilvl w:val="1"/>
          <w:numId w:val="0"/>
        </w:numPr>
        <w:tabs>
          <w:tab w:val="left" w:pos="1566"/>
        </w:tabs>
        <w:spacing w:line="240" w:lineRule="auto"/>
        <w:ind w:left="1565" w:right="529" w:hanging="105"/>
        <w:jc w:val="both"/>
        <w:rPr>
          <w:sz w:val="14"/>
        </w:rPr>
      </w:pPr>
      <w:r>
        <w:rPr>
          <w:color w:val="231F20"/>
          <w:sz w:val="14"/>
        </w:rPr>
        <w:t>Унапређивање</w:t>
      </w:r>
      <w:r>
        <w:rPr>
          <w:color w:val="231F20"/>
          <w:spacing w:val="-6"/>
          <w:sz w:val="14"/>
        </w:rPr>
        <w:t xml:space="preserve"> </w:t>
      </w:r>
      <w:r>
        <w:rPr>
          <w:color w:val="231F20"/>
          <w:sz w:val="14"/>
        </w:rPr>
        <w:t>функционалних</w:t>
      </w:r>
      <w:r>
        <w:rPr>
          <w:color w:val="231F20"/>
          <w:spacing w:val="-7"/>
          <w:sz w:val="14"/>
        </w:rPr>
        <w:t xml:space="preserve"> </w:t>
      </w:r>
      <w:r>
        <w:rPr>
          <w:color w:val="231F20"/>
          <w:sz w:val="14"/>
        </w:rPr>
        <w:t>вештина</w:t>
      </w:r>
      <w:r>
        <w:rPr>
          <w:color w:val="231F20"/>
          <w:spacing w:val="-6"/>
          <w:sz w:val="14"/>
        </w:rPr>
        <w:t xml:space="preserve"> </w:t>
      </w:r>
      <w:r>
        <w:rPr>
          <w:color w:val="231F20"/>
          <w:sz w:val="14"/>
        </w:rPr>
        <w:t>и</w:t>
      </w:r>
      <w:r>
        <w:rPr>
          <w:color w:val="231F20"/>
          <w:spacing w:val="-7"/>
          <w:sz w:val="14"/>
        </w:rPr>
        <w:t xml:space="preserve"> </w:t>
      </w:r>
      <w:r>
        <w:rPr>
          <w:color w:val="231F20"/>
          <w:sz w:val="14"/>
        </w:rPr>
        <w:t>компетенција</w:t>
      </w:r>
      <w:r>
        <w:rPr>
          <w:color w:val="231F20"/>
          <w:spacing w:val="-6"/>
          <w:sz w:val="14"/>
        </w:rPr>
        <w:t xml:space="preserve"> </w:t>
      </w:r>
      <w:r>
        <w:rPr>
          <w:color w:val="231F20"/>
          <w:sz w:val="14"/>
        </w:rPr>
        <w:t>неопходних</w:t>
      </w:r>
      <w:r>
        <w:rPr>
          <w:color w:val="231F20"/>
          <w:spacing w:val="-6"/>
          <w:sz w:val="14"/>
        </w:rPr>
        <w:t xml:space="preserve"> </w:t>
      </w:r>
      <w:r>
        <w:rPr>
          <w:color w:val="231F20"/>
          <w:sz w:val="14"/>
        </w:rPr>
        <w:t>за</w:t>
      </w:r>
      <w:r>
        <w:rPr>
          <w:color w:val="231F20"/>
          <w:spacing w:val="-7"/>
          <w:sz w:val="14"/>
        </w:rPr>
        <w:t xml:space="preserve"> </w:t>
      </w:r>
      <w:r>
        <w:rPr>
          <w:color w:val="231F20"/>
          <w:sz w:val="14"/>
        </w:rPr>
        <w:t>живот</w:t>
      </w:r>
      <w:r>
        <w:rPr>
          <w:color w:val="231F20"/>
          <w:spacing w:val="-6"/>
          <w:sz w:val="14"/>
        </w:rPr>
        <w:t xml:space="preserve"> </w:t>
      </w:r>
      <w:r>
        <w:rPr>
          <w:color w:val="231F20"/>
          <w:sz w:val="14"/>
        </w:rPr>
        <w:t>у</w:t>
      </w:r>
      <w:r>
        <w:rPr>
          <w:color w:val="231F20"/>
          <w:spacing w:val="-6"/>
          <w:sz w:val="14"/>
        </w:rPr>
        <w:t xml:space="preserve"> </w:t>
      </w:r>
      <w:r>
        <w:rPr>
          <w:color w:val="231F20"/>
          <w:sz w:val="14"/>
        </w:rPr>
        <w:t>савременом</w:t>
      </w:r>
      <w:r>
        <w:rPr>
          <w:color w:val="231F20"/>
          <w:spacing w:val="-6"/>
          <w:sz w:val="14"/>
        </w:rPr>
        <w:t xml:space="preserve"> </w:t>
      </w:r>
      <w:r>
        <w:rPr>
          <w:color w:val="231F20"/>
          <w:sz w:val="14"/>
        </w:rPr>
        <w:t>друштву</w:t>
      </w:r>
      <w:r>
        <w:rPr>
          <w:color w:val="231F20"/>
          <w:spacing w:val="-6"/>
          <w:sz w:val="14"/>
        </w:rPr>
        <w:t xml:space="preserve"> </w:t>
      </w:r>
      <w:r>
        <w:rPr>
          <w:color w:val="231F20"/>
          <w:sz w:val="14"/>
        </w:rPr>
        <w:t>(истраживачких</w:t>
      </w:r>
      <w:r>
        <w:rPr>
          <w:color w:val="231F20"/>
          <w:spacing w:val="-6"/>
          <w:sz w:val="14"/>
        </w:rPr>
        <w:t xml:space="preserve"> </w:t>
      </w:r>
      <w:r>
        <w:rPr>
          <w:color w:val="231F20"/>
          <w:sz w:val="14"/>
        </w:rPr>
        <w:t>вештина,</w:t>
      </w:r>
      <w:r>
        <w:rPr>
          <w:color w:val="231F20"/>
          <w:spacing w:val="-6"/>
          <w:sz w:val="14"/>
        </w:rPr>
        <w:t xml:space="preserve"> </w:t>
      </w:r>
      <w:r>
        <w:rPr>
          <w:color w:val="231F20"/>
          <w:sz w:val="14"/>
        </w:rPr>
        <w:t>критичког</w:t>
      </w:r>
      <w:r>
        <w:rPr>
          <w:color w:val="231F20"/>
          <w:spacing w:val="-6"/>
          <w:sz w:val="14"/>
        </w:rPr>
        <w:t xml:space="preserve"> </w:t>
      </w:r>
      <w:r>
        <w:rPr>
          <w:color w:val="231F20"/>
          <w:sz w:val="14"/>
        </w:rPr>
        <w:t>и</w:t>
      </w:r>
      <w:r>
        <w:rPr>
          <w:color w:val="231F20"/>
          <w:spacing w:val="-7"/>
          <w:sz w:val="14"/>
        </w:rPr>
        <w:t xml:space="preserve"> </w:t>
      </w:r>
      <w:r>
        <w:rPr>
          <w:color w:val="231F20"/>
          <w:sz w:val="14"/>
        </w:rPr>
        <w:t>креа­ тивног</w:t>
      </w:r>
      <w:r>
        <w:rPr>
          <w:color w:val="231F20"/>
          <w:spacing w:val="-5"/>
          <w:sz w:val="14"/>
        </w:rPr>
        <w:t xml:space="preserve"> </w:t>
      </w:r>
      <w:r>
        <w:rPr>
          <w:color w:val="231F20"/>
          <w:sz w:val="14"/>
        </w:rPr>
        <w:t>мишљења,</w:t>
      </w:r>
      <w:r>
        <w:rPr>
          <w:color w:val="231F20"/>
          <w:spacing w:val="-5"/>
          <w:sz w:val="14"/>
        </w:rPr>
        <w:t xml:space="preserve"> </w:t>
      </w:r>
      <w:r>
        <w:rPr>
          <w:color w:val="231F20"/>
          <w:sz w:val="14"/>
        </w:rPr>
        <w:t>способности</w:t>
      </w:r>
      <w:r>
        <w:rPr>
          <w:color w:val="231F20"/>
          <w:spacing w:val="-5"/>
          <w:sz w:val="14"/>
        </w:rPr>
        <w:t xml:space="preserve"> </w:t>
      </w:r>
      <w:r>
        <w:rPr>
          <w:color w:val="231F20"/>
          <w:sz w:val="14"/>
        </w:rPr>
        <w:t>изражавања</w:t>
      </w:r>
      <w:r>
        <w:rPr>
          <w:color w:val="231F20"/>
          <w:spacing w:val="-5"/>
          <w:sz w:val="14"/>
        </w:rPr>
        <w:t xml:space="preserve"> </w:t>
      </w:r>
      <w:r>
        <w:rPr>
          <w:color w:val="231F20"/>
          <w:sz w:val="14"/>
        </w:rPr>
        <w:t>и</w:t>
      </w:r>
      <w:r>
        <w:rPr>
          <w:color w:val="231F20"/>
          <w:spacing w:val="-6"/>
          <w:sz w:val="14"/>
        </w:rPr>
        <w:t xml:space="preserve"> </w:t>
      </w:r>
      <w:r>
        <w:rPr>
          <w:color w:val="231F20"/>
          <w:sz w:val="14"/>
        </w:rPr>
        <w:t>образлагања</w:t>
      </w:r>
      <w:r>
        <w:rPr>
          <w:color w:val="231F20"/>
          <w:spacing w:val="-5"/>
          <w:sz w:val="14"/>
        </w:rPr>
        <w:t xml:space="preserve"> </w:t>
      </w:r>
      <w:r>
        <w:rPr>
          <w:color w:val="231F20"/>
          <w:sz w:val="14"/>
        </w:rPr>
        <w:t>сопствених</w:t>
      </w:r>
      <w:r>
        <w:rPr>
          <w:color w:val="231F20"/>
          <w:spacing w:val="-5"/>
          <w:sz w:val="14"/>
        </w:rPr>
        <w:t xml:space="preserve"> </w:t>
      </w:r>
      <w:r>
        <w:rPr>
          <w:color w:val="231F20"/>
          <w:sz w:val="14"/>
        </w:rPr>
        <w:t>ставова,разумевањемултикултуралности,</w:t>
      </w:r>
      <w:r>
        <w:rPr>
          <w:color w:val="231F20"/>
          <w:spacing w:val="-5"/>
          <w:sz w:val="14"/>
        </w:rPr>
        <w:t xml:space="preserve"> </w:t>
      </w:r>
      <w:r>
        <w:rPr>
          <w:color w:val="231F20"/>
          <w:sz w:val="14"/>
        </w:rPr>
        <w:t>развијање</w:t>
      </w:r>
      <w:r>
        <w:rPr>
          <w:color w:val="231F20"/>
          <w:spacing w:val="-5"/>
          <w:sz w:val="14"/>
        </w:rPr>
        <w:t xml:space="preserve"> </w:t>
      </w:r>
      <w:r>
        <w:rPr>
          <w:color w:val="231F20"/>
          <w:sz w:val="14"/>
        </w:rPr>
        <w:t>толеранције</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културе аргументованог</w:t>
      </w:r>
      <w:r>
        <w:rPr>
          <w:color w:val="231F20"/>
          <w:spacing w:val="-1"/>
          <w:sz w:val="14"/>
        </w:rPr>
        <w:t xml:space="preserve"> </w:t>
      </w:r>
      <w:r>
        <w:rPr>
          <w:color w:val="231F20"/>
          <w:sz w:val="14"/>
        </w:rPr>
        <w:t>дијалога);</w:t>
      </w:r>
    </w:p>
    <w:p w:rsidR="00041039" w:rsidRDefault="001B26CB">
      <w:pPr>
        <w:pStyle w:val="ListParagraph"/>
        <w:numPr>
          <w:ilvl w:val="1"/>
          <w:numId w:val="0"/>
        </w:numPr>
        <w:tabs>
          <w:tab w:val="left" w:pos="1566"/>
        </w:tabs>
        <w:spacing w:line="158" w:lineRule="exact"/>
        <w:ind w:left="1565" w:hanging="105"/>
        <w:rPr>
          <w:sz w:val="14"/>
        </w:rPr>
      </w:pPr>
      <w:r>
        <w:rPr>
          <w:color w:val="231F20"/>
          <w:sz w:val="14"/>
        </w:rPr>
        <w:t>Оспособљавање за ефикасно коришћење информационо­комуникационих</w:t>
      </w:r>
      <w:r>
        <w:rPr>
          <w:color w:val="231F20"/>
          <w:spacing w:val="-3"/>
          <w:sz w:val="14"/>
        </w:rPr>
        <w:t xml:space="preserve"> </w:t>
      </w:r>
      <w:r>
        <w:rPr>
          <w:color w:val="231F20"/>
          <w:sz w:val="14"/>
        </w:rPr>
        <w:t>технологија;</w:t>
      </w:r>
    </w:p>
    <w:p w:rsidR="00041039" w:rsidRDefault="001B26CB">
      <w:pPr>
        <w:pStyle w:val="ListParagraph"/>
        <w:numPr>
          <w:ilvl w:val="1"/>
          <w:numId w:val="0"/>
        </w:numPr>
        <w:tabs>
          <w:tab w:val="left" w:pos="1566"/>
        </w:tabs>
        <w:spacing w:line="161" w:lineRule="exact"/>
        <w:ind w:left="1565" w:hanging="105"/>
        <w:rPr>
          <w:sz w:val="14"/>
        </w:rPr>
      </w:pPr>
      <w:r>
        <w:rPr>
          <w:color w:val="231F20"/>
          <w:sz w:val="14"/>
        </w:rPr>
        <w:t>Развијање свести о потреби сталног усавршавања и свести о важности неговања културно­историјске</w:t>
      </w:r>
      <w:r>
        <w:rPr>
          <w:color w:val="231F20"/>
          <w:spacing w:val="-9"/>
          <w:sz w:val="14"/>
        </w:rPr>
        <w:t xml:space="preserve"> </w:t>
      </w:r>
      <w:r>
        <w:rPr>
          <w:color w:val="231F20"/>
          <w:sz w:val="14"/>
        </w:rPr>
        <w:t>баштине.</w:t>
      </w:r>
    </w:p>
    <w:p w:rsidR="00041039" w:rsidRDefault="001B26CB">
      <w:pPr>
        <w:tabs>
          <w:tab w:val="left" w:pos="1460"/>
        </w:tabs>
        <w:spacing w:before="47"/>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720"/>
        </w:trPr>
        <w:tc>
          <w:tcPr>
            <w:tcW w:w="1304" w:type="dxa"/>
          </w:tcPr>
          <w:p w:rsidR="00041039" w:rsidRDefault="001B26CB">
            <w:pPr>
              <w:pStyle w:val="TableParagraph"/>
              <w:spacing w:before="18"/>
              <w:ind w:left="56" w:right="37"/>
              <w:rPr>
                <w:sz w:val="14"/>
              </w:rPr>
            </w:pPr>
            <w:r>
              <w:rPr>
                <w:color w:val="231F20"/>
                <w:sz w:val="14"/>
              </w:rPr>
              <w:t>Српска држава и државност</w:t>
            </w:r>
          </w:p>
        </w:tc>
        <w:tc>
          <w:tcPr>
            <w:tcW w:w="1587" w:type="dxa"/>
          </w:tcPr>
          <w:p w:rsidR="00041039" w:rsidRDefault="001B26CB">
            <w:pPr>
              <w:pStyle w:val="TableParagraph"/>
              <w:numPr>
                <w:ilvl w:val="0"/>
                <w:numId w:val="1991"/>
              </w:numPr>
              <w:tabs>
                <w:tab w:val="left" w:pos="157"/>
              </w:tabs>
              <w:spacing w:before="8"/>
              <w:ind w:right="72"/>
              <w:rPr>
                <w:sz w:val="14"/>
              </w:rPr>
            </w:pPr>
            <w:r>
              <w:rPr>
                <w:color w:val="231F20"/>
                <w:sz w:val="14"/>
              </w:rPr>
              <w:t>Проширивање знања о настанку модерне српске државе и најважнијим</w:t>
            </w:r>
            <w:r>
              <w:rPr>
                <w:color w:val="231F20"/>
                <w:spacing w:val="-12"/>
                <w:sz w:val="14"/>
              </w:rPr>
              <w:t xml:space="preserve"> </w:t>
            </w:r>
            <w:r>
              <w:rPr>
                <w:color w:val="231F20"/>
                <w:sz w:val="14"/>
              </w:rPr>
              <w:t>одликама српске</w:t>
            </w:r>
            <w:r>
              <w:rPr>
                <w:color w:val="231F20"/>
                <w:spacing w:val="-1"/>
                <w:sz w:val="14"/>
              </w:rPr>
              <w:t xml:space="preserve"> </w:t>
            </w:r>
            <w:r>
              <w:rPr>
                <w:color w:val="231F20"/>
                <w:sz w:val="14"/>
              </w:rPr>
              <w:t>државности.</w:t>
            </w:r>
          </w:p>
          <w:p w:rsidR="00041039" w:rsidRDefault="001B26CB">
            <w:pPr>
              <w:pStyle w:val="TableParagraph"/>
              <w:numPr>
                <w:ilvl w:val="0"/>
                <w:numId w:val="1991"/>
              </w:numPr>
              <w:tabs>
                <w:tab w:val="left" w:pos="157"/>
              </w:tabs>
              <w:spacing w:line="155" w:lineRule="exact"/>
              <w:rPr>
                <w:sz w:val="14"/>
              </w:rPr>
            </w:pPr>
            <w:r>
              <w:rPr>
                <w:color w:val="231F20"/>
                <w:sz w:val="14"/>
              </w:rPr>
              <w:t>Развијање</w:t>
            </w:r>
            <w:r>
              <w:rPr>
                <w:color w:val="231F20"/>
                <w:spacing w:val="-2"/>
                <w:sz w:val="14"/>
              </w:rPr>
              <w:t xml:space="preserve"> </w:t>
            </w:r>
            <w:r>
              <w:rPr>
                <w:color w:val="231F20"/>
                <w:sz w:val="14"/>
              </w:rPr>
              <w:t>свести</w:t>
            </w:r>
          </w:p>
          <w:p w:rsidR="00041039" w:rsidRDefault="001B26CB">
            <w:pPr>
              <w:pStyle w:val="TableParagraph"/>
              <w:ind w:right="206"/>
              <w:rPr>
                <w:sz w:val="14"/>
              </w:rPr>
            </w:pPr>
            <w:r>
              <w:rPr>
                <w:color w:val="231F20"/>
                <w:sz w:val="14"/>
              </w:rPr>
              <w:t>означају средњове­ ковне државности за настанак</w:t>
            </w:r>
            <w:r>
              <w:rPr>
                <w:color w:val="231F20"/>
                <w:spacing w:val="-8"/>
                <w:sz w:val="14"/>
              </w:rPr>
              <w:t xml:space="preserve"> </w:t>
            </w:r>
            <w:r>
              <w:rPr>
                <w:color w:val="231F20"/>
                <w:sz w:val="14"/>
              </w:rPr>
              <w:t>модерне српске</w:t>
            </w:r>
            <w:r>
              <w:rPr>
                <w:color w:val="231F20"/>
                <w:spacing w:val="-1"/>
                <w:sz w:val="14"/>
              </w:rPr>
              <w:t xml:space="preserve"> </w:t>
            </w:r>
            <w:r>
              <w:rPr>
                <w:color w:val="231F20"/>
                <w:sz w:val="14"/>
              </w:rPr>
              <w:t>државе.</w:t>
            </w:r>
          </w:p>
          <w:p w:rsidR="00041039" w:rsidRDefault="001B26CB">
            <w:pPr>
              <w:pStyle w:val="TableParagraph"/>
              <w:numPr>
                <w:ilvl w:val="0"/>
                <w:numId w:val="1991"/>
              </w:numPr>
              <w:tabs>
                <w:tab w:val="left" w:pos="157"/>
              </w:tabs>
              <w:spacing w:line="157" w:lineRule="exact"/>
              <w:rPr>
                <w:sz w:val="14"/>
              </w:rPr>
            </w:pPr>
            <w:r>
              <w:rPr>
                <w:color w:val="231F20"/>
                <w:spacing w:val="-3"/>
                <w:sz w:val="14"/>
              </w:rPr>
              <w:t>Уочавање</w:t>
            </w:r>
            <w:r>
              <w:rPr>
                <w:color w:val="231F20"/>
                <w:sz w:val="14"/>
              </w:rPr>
              <w:t xml:space="preserve"> </w:t>
            </w:r>
            <w:r>
              <w:rPr>
                <w:color w:val="231F20"/>
                <w:spacing w:val="-3"/>
                <w:sz w:val="14"/>
              </w:rPr>
              <w:t>улоге</w:t>
            </w:r>
          </w:p>
          <w:p w:rsidR="00041039" w:rsidRDefault="001B26CB">
            <w:pPr>
              <w:pStyle w:val="TableParagraph"/>
              <w:ind w:right="108"/>
              <w:rPr>
                <w:sz w:val="14"/>
              </w:rPr>
            </w:pPr>
            <w:r>
              <w:rPr>
                <w:color w:val="231F20"/>
                <w:sz w:val="14"/>
              </w:rPr>
              <w:t>знаменитих личности у развоју српске државности.</w:t>
            </w:r>
          </w:p>
          <w:p w:rsidR="00041039" w:rsidRDefault="001B26CB">
            <w:pPr>
              <w:pStyle w:val="TableParagraph"/>
              <w:numPr>
                <w:ilvl w:val="0"/>
                <w:numId w:val="1991"/>
              </w:numPr>
              <w:tabs>
                <w:tab w:val="left" w:pos="157"/>
              </w:tabs>
              <w:spacing w:line="158" w:lineRule="exact"/>
              <w:rPr>
                <w:sz w:val="14"/>
              </w:rPr>
            </w:pPr>
            <w:r>
              <w:rPr>
                <w:color w:val="231F20"/>
                <w:sz w:val="14"/>
              </w:rPr>
              <w:t>Разумевање</w:t>
            </w:r>
            <w:r>
              <w:rPr>
                <w:color w:val="231F20"/>
                <w:spacing w:val="-5"/>
                <w:sz w:val="14"/>
              </w:rPr>
              <w:t xml:space="preserve"> </w:t>
            </w:r>
            <w:r>
              <w:rPr>
                <w:color w:val="231F20"/>
                <w:sz w:val="14"/>
              </w:rPr>
              <w:t>најзначај­</w:t>
            </w:r>
          </w:p>
          <w:p w:rsidR="00041039" w:rsidRDefault="001B26CB">
            <w:pPr>
              <w:pStyle w:val="TableParagraph"/>
              <w:ind w:right="15"/>
              <w:rPr>
                <w:sz w:val="14"/>
              </w:rPr>
            </w:pPr>
            <w:r>
              <w:rPr>
                <w:color w:val="231F20"/>
                <w:sz w:val="14"/>
              </w:rPr>
              <w:t>нијих идеја модерног доба и њиховог ути­ цаја у процесу ства­ рања српске државе.</w:t>
            </w:r>
          </w:p>
          <w:p w:rsidR="00041039" w:rsidRDefault="001B26CB">
            <w:pPr>
              <w:pStyle w:val="TableParagraph"/>
              <w:numPr>
                <w:ilvl w:val="0"/>
                <w:numId w:val="1991"/>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међуна­</w:t>
            </w:r>
          </w:p>
          <w:p w:rsidR="00041039" w:rsidRDefault="001B26CB">
            <w:pPr>
              <w:pStyle w:val="TableParagraph"/>
              <w:ind w:right="15"/>
              <w:rPr>
                <w:sz w:val="14"/>
              </w:rPr>
            </w:pPr>
            <w:r>
              <w:rPr>
                <w:color w:val="231F20"/>
                <w:sz w:val="14"/>
              </w:rPr>
              <w:t>родног контекста у коме настаје и постоји српска држава.</w:t>
            </w:r>
          </w:p>
        </w:tc>
        <w:tc>
          <w:tcPr>
            <w:tcW w:w="2551" w:type="dxa"/>
          </w:tcPr>
          <w:p w:rsidR="00041039" w:rsidRDefault="001B26CB">
            <w:pPr>
              <w:pStyle w:val="TableParagraph"/>
              <w:numPr>
                <w:ilvl w:val="0"/>
                <w:numId w:val="1990"/>
              </w:numPr>
              <w:tabs>
                <w:tab w:val="left" w:pos="157"/>
              </w:tabs>
              <w:spacing w:before="8"/>
              <w:ind w:right="159" w:hanging="99"/>
              <w:rPr>
                <w:sz w:val="14"/>
              </w:rPr>
            </w:pPr>
            <w:r>
              <w:rPr>
                <w:color w:val="231F20"/>
                <w:sz w:val="14"/>
              </w:rPr>
              <w:t>препозна различите историјске садржаје (личности, догађаје, појаве и процесе) и доведе их увезу са</w:t>
            </w:r>
            <w:r>
              <w:rPr>
                <w:color w:val="231F20"/>
                <w:spacing w:val="-18"/>
                <w:sz w:val="14"/>
              </w:rPr>
              <w:t xml:space="preserve"> </w:t>
            </w:r>
            <w:r>
              <w:rPr>
                <w:color w:val="231F20"/>
                <w:sz w:val="14"/>
              </w:rPr>
              <w:t>одго­ варајућом временском одредницом и историјским</w:t>
            </w:r>
            <w:r>
              <w:rPr>
                <w:color w:val="231F20"/>
                <w:spacing w:val="-1"/>
                <w:sz w:val="14"/>
              </w:rPr>
              <w:t xml:space="preserve"> </w:t>
            </w:r>
            <w:r>
              <w:rPr>
                <w:color w:val="231F20"/>
                <w:sz w:val="14"/>
              </w:rPr>
              <w:t>периодом;</w:t>
            </w:r>
          </w:p>
          <w:p w:rsidR="00041039" w:rsidRDefault="001B26CB">
            <w:pPr>
              <w:pStyle w:val="TableParagraph"/>
              <w:numPr>
                <w:ilvl w:val="0"/>
                <w:numId w:val="1990"/>
              </w:numPr>
              <w:tabs>
                <w:tab w:val="left" w:pos="157"/>
              </w:tabs>
              <w:spacing w:line="155" w:lineRule="exact"/>
              <w:ind w:hanging="99"/>
              <w:rPr>
                <w:sz w:val="14"/>
              </w:rPr>
            </w:pPr>
            <w:r>
              <w:rPr>
                <w:color w:val="231F20"/>
                <w:sz w:val="14"/>
              </w:rPr>
              <w:t>разликује периоде у којима</w:t>
            </w:r>
            <w:r>
              <w:rPr>
                <w:color w:val="231F20"/>
                <w:spacing w:val="-4"/>
                <w:sz w:val="14"/>
              </w:rPr>
              <w:t xml:space="preserve"> </w:t>
            </w:r>
            <w:r>
              <w:rPr>
                <w:color w:val="231F20"/>
                <w:sz w:val="14"/>
              </w:rPr>
              <w:t>је</w:t>
            </w:r>
          </w:p>
          <w:p w:rsidR="00041039" w:rsidRDefault="001B26CB">
            <w:pPr>
              <w:pStyle w:val="TableParagraph"/>
              <w:ind w:right="207"/>
              <w:rPr>
                <w:sz w:val="14"/>
              </w:rPr>
            </w:pPr>
            <w:r>
              <w:rPr>
                <w:color w:val="231F20"/>
                <w:sz w:val="14"/>
              </w:rPr>
              <w:t>постојала, престала да постоји и по­ ново настала српска држава;</w:t>
            </w:r>
          </w:p>
          <w:p w:rsidR="00041039" w:rsidRDefault="001B26CB">
            <w:pPr>
              <w:pStyle w:val="TableParagraph"/>
              <w:numPr>
                <w:ilvl w:val="0"/>
                <w:numId w:val="1990"/>
              </w:numPr>
              <w:tabs>
                <w:tab w:val="left" w:pos="157"/>
              </w:tabs>
              <w:spacing w:line="160" w:lineRule="exact"/>
              <w:ind w:right="167" w:hanging="99"/>
              <w:rPr>
                <w:sz w:val="14"/>
              </w:rPr>
            </w:pPr>
            <w:r>
              <w:rPr>
                <w:color w:val="231F20"/>
                <w:sz w:val="14"/>
              </w:rPr>
              <w:t>наведе и упореди одлике српске државности у средњем и новом</w:t>
            </w:r>
            <w:r>
              <w:rPr>
                <w:color w:val="231F20"/>
                <w:spacing w:val="-12"/>
                <w:sz w:val="14"/>
              </w:rPr>
              <w:t xml:space="preserve"> </w:t>
            </w:r>
            <w:r>
              <w:rPr>
                <w:color w:val="231F20"/>
                <w:sz w:val="14"/>
              </w:rPr>
              <w:t>веку;</w:t>
            </w:r>
          </w:p>
          <w:p w:rsidR="00041039" w:rsidRDefault="001B26CB">
            <w:pPr>
              <w:pStyle w:val="TableParagraph"/>
              <w:numPr>
                <w:ilvl w:val="0"/>
                <w:numId w:val="1990"/>
              </w:numPr>
              <w:tabs>
                <w:tab w:val="left" w:pos="157"/>
              </w:tabs>
              <w:spacing w:line="160" w:lineRule="exact"/>
              <w:ind w:right="119" w:hanging="99"/>
              <w:rPr>
                <w:sz w:val="14"/>
              </w:rPr>
            </w:pPr>
            <w:r>
              <w:rPr>
                <w:color w:val="231F20"/>
                <w:sz w:val="14"/>
              </w:rPr>
              <w:t>уочи утицај европских</w:t>
            </w:r>
            <w:r>
              <w:rPr>
                <w:color w:val="231F20"/>
                <w:spacing w:val="-18"/>
                <w:sz w:val="14"/>
              </w:rPr>
              <w:t xml:space="preserve"> </w:t>
            </w:r>
            <w:r>
              <w:rPr>
                <w:color w:val="231F20"/>
                <w:sz w:val="14"/>
              </w:rPr>
              <w:t>револуционар­ них збивања на развој српске нацио­ налне и државне</w:t>
            </w:r>
            <w:r>
              <w:rPr>
                <w:color w:val="231F20"/>
                <w:spacing w:val="-3"/>
                <w:sz w:val="14"/>
              </w:rPr>
              <w:t xml:space="preserve"> </w:t>
            </w:r>
            <w:r>
              <w:rPr>
                <w:color w:val="231F20"/>
                <w:sz w:val="14"/>
              </w:rPr>
              <w:t>идеје;</w:t>
            </w:r>
          </w:p>
          <w:p w:rsidR="00041039" w:rsidRDefault="001B26CB">
            <w:pPr>
              <w:pStyle w:val="TableParagraph"/>
              <w:numPr>
                <w:ilvl w:val="0"/>
                <w:numId w:val="1990"/>
              </w:numPr>
              <w:tabs>
                <w:tab w:val="left" w:pos="157"/>
              </w:tabs>
              <w:spacing w:line="160" w:lineRule="exact"/>
              <w:ind w:right="65" w:hanging="99"/>
              <w:rPr>
                <w:sz w:val="14"/>
              </w:rPr>
            </w:pPr>
            <w:r>
              <w:rPr>
                <w:color w:val="231F20"/>
                <w:sz w:val="14"/>
              </w:rPr>
              <w:t>објасни узроке и последице Српскереволуције, ослободилачких ратова 1876­1878, Балканских ратова</w:t>
            </w:r>
            <w:r>
              <w:rPr>
                <w:color w:val="231F20"/>
                <w:spacing w:val="-20"/>
                <w:sz w:val="14"/>
              </w:rPr>
              <w:t xml:space="preserve"> </w:t>
            </w:r>
            <w:r>
              <w:rPr>
                <w:color w:val="231F20"/>
                <w:sz w:val="14"/>
              </w:rPr>
              <w:t>и Првог светског</w:t>
            </w:r>
            <w:r>
              <w:rPr>
                <w:color w:val="231F20"/>
                <w:spacing w:val="-1"/>
                <w:sz w:val="14"/>
              </w:rPr>
              <w:t xml:space="preserve"> </w:t>
            </w:r>
            <w:r>
              <w:rPr>
                <w:color w:val="231F20"/>
                <w:sz w:val="14"/>
              </w:rPr>
              <w:t>рата;</w:t>
            </w:r>
          </w:p>
          <w:p w:rsidR="00041039" w:rsidRDefault="001B26CB">
            <w:pPr>
              <w:pStyle w:val="TableParagraph"/>
              <w:numPr>
                <w:ilvl w:val="0"/>
                <w:numId w:val="1990"/>
              </w:numPr>
              <w:tabs>
                <w:tab w:val="left" w:pos="157"/>
              </w:tabs>
              <w:spacing w:line="160" w:lineRule="exact"/>
              <w:ind w:right="248" w:hanging="99"/>
              <w:rPr>
                <w:sz w:val="14"/>
              </w:rPr>
            </w:pPr>
            <w:r>
              <w:rPr>
                <w:color w:val="231F20"/>
                <w:sz w:val="14"/>
              </w:rPr>
              <w:t>уочи</w:t>
            </w:r>
            <w:r>
              <w:rPr>
                <w:color w:val="231F20"/>
                <w:spacing w:val="-6"/>
                <w:sz w:val="14"/>
              </w:rPr>
              <w:t xml:space="preserve"> </w:t>
            </w:r>
            <w:r>
              <w:rPr>
                <w:color w:val="231F20"/>
                <w:sz w:val="14"/>
              </w:rPr>
              <w:t>и</w:t>
            </w:r>
            <w:r>
              <w:rPr>
                <w:color w:val="231F20"/>
                <w:spacing w:val="-7"/>
                <w:sz w:val="14"/>
              </w:rPr>
              <w:t xml:space="preserve"> </w:t>
            </w:r>
            <w:r>
              <w:rPr>
                <w:color w:val="231F20"/>
                <w:sz w:val="14"/>
              </w:rPr>
              <w:t>објасни</w:t>
            </w:r>
            <w:r>
              <w:rPr>
                <w:color w:val="231F20"/>
                <w:spacing w:val="-6"/>
                <w:sz w:val="14"/>
              </w:rPr>
              <w:t xml:space="preserve"> </w:t>
            </w:r>
            <w:r>
              <w:rPr>
                <w:color w:val="231F20"/>
                <w:sz w:val="14"/>
              </w:rPr>
              <w:t>на</w:t>
            </w:r>
            <w:r>
              <w:rPr>
                <w:color w:val="231F20"/>
                <w:spacing w:val="-7"/>
                <w:sz w:val="14"/>
              </w:rPr>
              <w:t xml:space="preserve"> </w:t>
            </w:r>
            <w:r>
              <w:rPr>
                <w:color w:val="231F20"/>
                <w:sz w:val="14"/>
              </w:rPr>
              <w:t>историјској</w:t>
            </w:r>
            <w:r>
              <w:rPr>
                <w:color w:val="231F20"/>
                <w:spacing w:val="-6"/>
                <w:sz w:val="14"/>
              </w:rPr>
              <w:t xml:space="preserve"> </w:t>
            </w:r>
            <w:r>
              <w:rPr>
                <w:color w:val="231F20"/>
                <w:sz w:val="14"/>
              </w:rPr>
              <w:t>карти промене граница српске</w:t>
            </w:r>
            <w:r>
              <w:rPr>
                <w:color w:val="231F20"/>
                <w:spacing w:val="-7"/>
                <w:sz w:val="14"/>
              </w:rPr>
              <w:t xml:space="preserve"> </w:t>
            </w:r>
            <w:r>
              <w:rPr>
                <w:color w:val="231F20"/>
                <w:sz w:val="14"/>
              </w:rPr>
              <w:t>државе;</w:t>
            </w:r>
          </w:p>
          <w:p w:rsidR="00041039" w:rsidRDefault="001B26CB">
            <w:pPr>
              <w:pStyle w:val="TableParagraph"/>
              <w:numPr>
                <w:ilvl w:val="0"/>
                <w:numId w:val="1990"/>
              </w:numPr>
              <w:tabs>
                <w:tab w:val="left" w:pos="150"/>
              </w:tabs>
              <w:spacing w:before="1" w:line="160" w:lineRule="exact"/>
              <w:ind w:left="149" w:right="52" w:hanging="92"/>
              <w:rPr>
                <w:sz w:val="14"/>
              </w:rPr>
            </w:pPr>
            <w:r>
              <w:rPr>
                <w:color w:val="231F20"/>
                <w:spacing w:val="-4"/>
                <w:sz w:val="14"/>
              </w:rPr>
              <w:t xml:space="preserve">лоцира </w:t>
            </w:r>
            <w:r>
              <w:rPr>
                <w:color w:val="231F20"/>
                <w:sz w:val="14"/>
              </w:rPr>
              <w:t xml:space="preserve">места </w:t>
            </w:r>
            <w:r>
              <w:rPr>
                <w:color w:val="231F20"/>
                <w:spacing w:val="-4"/>
                <w:sz w:val="14"/>
              </w:rPr>
              <w:t xml:space="preserve">најважнијих битака </w:t>
            </w:r>
            <w:r>
              <w:rPr>
                <w:color w:val="231F20"/>
                <w:spacing w:val="-5"/>
                <w:sz w:val="14"/>
              </w:rPr>
              <w:t xml:space="preserve">које </w:t>
            </w:r>
            <w:r>
              <w:rPr>
                <w:color w:val="231F20"/>
                <w:spacing w:val="-3"/>
                <w:sz w:val="14"/>
              </w:rPr>
              <w:t xml:space="preserve">су </w:t>
            </w:r>
            <w:r>
              <w:rPr>
                <w:color w:val="231F20"/>
                <w:spacing w:val="-4"/>
                <w:sz w:val="14"/>
              </w:rPr>
              <w:t xml:space="preserve">вођене </w:t>
            </w:r>
            <w:r>
              <w:rPr>
                <w:color w:val="231F20"/>
                <w:spacing w:val="-6"/>
                <w:sz w:val="14"/>
              </w:rPr>
              <w:t xml:space="preserve">током </w:t>
            </w:r>
            <w:r>
              <w:rPr>
                <w:color w:val="231F20"/>
                <w:spacing w:val="-4"/>
                <w:sz w:val="14"/>
              </w:rPr>
              <w:t xml:space="preserve">Српске револуције, </w:t>
            </w:r>
            <w:r>
              <w:rPr>
                <w:color w:val="231F20"/>
                <w:spacing w:val="-3"/>
                <w:sz w:val="14"/>
              </w:rPr>
              <w:t xml:space="preserve">ослобо­ </w:t>
            </w:r>
            <w:r>
              <w:rPr>
                <w:color w:val="231F20"/>
                <w:spacing w:val="-5"/>
                <w:sz w:val="14"/>
              </w:rPr>
              <w:t xml:space="preserve">дилачких ратова </w:t>
            </w:r>
            <w:r>
              <w:rPr>
                <w:color w:val="231F20"/>
                <w:spacing w:val="-4"/>
                <w:sz w:val="14"/>
              </w:rPr>
              <w:t xml:space="preserve">1876­ 1878. Балканских </w:t>
            </w:r>
            <w:r>
              <w:rPr>
                <w:color w:val="231F20"/>
                <w:spacing w:val="-5"/>
                <w:sz w:val="14"/>
              </w:rPr>
              <w:t xml:space="preserve">ратова </w:t>
            </w:r>
            <w:r>
              <w:rPr>
                <w:color w:val="231F20"/>
                <w:sz w:val="14"/>
              </w:rPr>
              <w:t xml:space="preserve">и </w:t>
            </w:r>
            <w:r>
              <w:rPr>
                <w:color w:val="231F20"/>
                <w:spacing w:val="-4"/>
                <w:sz w:val="14"/>
              </w:rPr>
              <w:t xml:space="preserve">Првог </w:t>
            </w:r>
            <w:r>
              <w:rPr>
                <w:color w:val="231F20"/>
                <w:spacing w:val="-5"/>
                <w:sz w:val="14"/>
              </w:rPr>
              <w:t>светског</w:t>
            </w:r>
            <w:r>
              <w:rPr>
                <w:color w:val="231F20"/>
                <w:spacing w:val="-21"/>
                <w:sz w:val="14"/>
              </w:rPr>
              <w:t xml:space="preserve"> </w:t>
            </w:r>
            <w:r>
              <w:rPr>
                <w:color w:val="231F20"/>
                <w:spacing w:val="-4"/>
                <w:sz w:val="14"/>
              </w:rPr>
              <w:t>рата;</w:t>
            </w:r>
          </w:p>
        </w:tc>
        <w:tc>
          <w:tcPr>
            <w:tcW w:w="2834" w:type="dxa"/>
          </w:tcPr>
          <w:p w:rsidR="00041039" w:rsidRDefault="001B26CB">
            <w:pPr>
              <w:pStyle w:val="TableParagraph"/>
              <w:numPr>
                <w:ilvl w:val="0"/>
                <w:numId w:val="1989"/>
              </w:numPr>
              <w:tabs>
                <w:tab w:val="left" w:pos="157"/>
              </w:tabs>
              <w:spacing w:before="9" w:line="166" w:lineRule="exact"/>
              <w:ind w:hanging="99"/>
              <w:rPr>
                <w:sz w:val="14"/>
              </w:rPr>
            </w:pPr>
            <w:r>
              <w:rPr>
                <w:color w:val="231F20"/>
                <w:sz w:val="14"/>
              </w:rPr>
              <w:t xml:space="preserve">Српска државност у средњем </w:t>
            </w:r>
            <w:r>
              <w:rPr>
                <w:color w:val="231F20"/>
                <w:spacing w:val="-4"/>
                <w:sz w:val="14"/>
              </w:rPr>
              <w:t>веку.</w:t>
            </w:r>
          </w:p>
          <w:p w:rsidR="00041039" w:rsidRDefault="001B26CB">
            <w:pPr>
              <w:pStyle w:val="TableParagraph"/>
              <w:numPr>
                <w:ilvl w:val="0"/>
                <w:numId w:val="1989"/>
              </w:numPr>
              <w:tabs>
                <w:tab w:val="left" w:pos="157"/>
              </w:tabs>
              <w:spacing w:line="237" w:lineRule="auto"/>
              <w:ind w:right="177" w:hanging="99"/>
              <w:rPr>
                <w:sz w:val="14"/>
              </w:rPr>
            </w:pPr>
            <w:r>
              <w:rPr>
                <w:color w:val="231F20"/>
                <w:sz w:val="14"/>
              </w:rPr>
              <w:t>Српски народ и његови суседи у</w:t>
            </w:r>
            <w:r>
              <w:rPr>
                <w:color w:val="231F20"/>
                <w:spacing w:val="-19"/>
                <w:sz w:val="14"/>
              </w:rPr>
              <w:t xml:space="preserve"> </w:t>
            </w:r>
            <w:r>
              <w:rPr>
                <w:color w:val="231F20"/>
                <w:sz w:val="14"/>
              </w:rPr>
              <w:t xml:space="preserve">средњем </w:t>
            </w:r>
            <w:r>
              <w:rPr>
                <w:color w:val="231F20"/>
                <w:spacing w:val="-4"/>
                <w:sz w:val="14"/>
              </w:rPr>
              <w:t>веку.</w:t>
            </w:r>
          </w:p>
          <w:p w:rsidR="00041039" w:rsidRDefault="001B26CB">
            <w:pPr>
              <w:pStyle w:val="TableParagraph"/>
              <w:numPr>
                <w:ilvl w:val="0"/>
                <w:numId w:val="1989"/>
              </w:numPr>
              <w:tabs>
                <w:tab w:val="left" w:pos="157"/>
              </w:tabs>
              <w:spacing w:line="160" w:lineRule="exact"/>
              <w:ind w:right="51" w:hanging="99"/>
              <w:rPr>
                <w:sz w:val="14"/>
              </w:rPr>
            </w:pPr>
            <w:r>
              <w:rPr>
                <w:color w:val="231F20"/>
                <w:sz w:val="14"/>
              </w:rPr>
              <w:t>Положај</w:t>
            </w:r>
            <w:r>
              <w:rPr>
                <w:color w:val="231F20"/>
                <w:spacing w:val="-10"/>
                <w:sz w:val="14"/>
              </w:rPr>
              <w:t xml:space="preserve"> </w:t>
            </w:r>
            <w:r>
              <w:rPr>
                <w:color w:val="231F20"/>
                <w:sz w:val="14"/>
              </w:rPr>
              <w:t>Срба</w:t>
            </w:r>
            <w:r>
              <w:rPr>
                <w:color w:val="231F20"/>
                <w:spacing w:val="-10"/>
                <w:sz w:val="14"/>
              </w:rPr>
              <w:t xml:space="preserve"> </w:t>
            </w:r>
            <w:r>
              <w:rPr>
                <w:color w:val="231F20"/>
                <w:sz w:val="14"/>
              </w:rPr>
              <w:t>под</w:t>
            </w:r>
            <w:r>
              <w:rPr>
                <w:color w:val="231F20"/>
                <w:spacing w:val="-10"/>
                <w:sz w:val="14"/>
              </w:rPr>
              <w:t xml:space="preserve"> </w:t>
            </w:r>
            <w:r>
              <w:rPr>
                <w:color w:val="231F20"/>
                <w:sz w:val="14"/>
              </w:rPr>
              <w:t>османском,</w:t>
            </w:r>
            <w:r>
              <w:rPr>
                <w:color w:val="231F20"/>
                <w:spacing w:val="-10"/>
                <w:sz w:val="14"/>
              </w:rPr>
              <w:t xml:space="preserve"> </w:t>
            </w:r>
            <w:r>
              <w:rPr>
                <w:color w:val="231F20"/>
                <w:sz w:val="14"/>
              </w:rPr>
              <w:t>хабзбуршком и млетачком влашћу (ХVI­ХVIII</w:t>
            </w:r>
            <w:r>
              <w:rPr>
                <w:color w:val="231F20"/>
                <w:spacing w:val="-11"/>
                <w:sz w:val="14"/>
              </w:rPr>
              <w:t xml:space="preserve"> </w:t>
            </w:r>
            <w:r>
              <w:rPr>
                <w:color w:val="231F20"/>
                <w:sz w:val="14"/>
              </w:rPr>
              <w:t>век).</w:t>
            </w:r>
          </w:p>
          <w:p w:rsidR="00041039" w:rsidRDefault="001B26CB">
            <w:pPr>
              <w:pStyle w:val="TableParagraph"/>
              <w:numPr>
                <w:ilvl w:val="0"/>
                <w:numId w:val="1989"/>
              </w:numPr>
              <w:tabs>
                <w:tab w:val="left" w:pos="157"/>
              </w:tabs>
              <w:spacing w:line="160" w:lineRule="exact"/>
              <w:ind w:right="379" w:hanging="99"/>
              <w:rPr>
                <w:sz w:val="14"/>
              </w:rPr>
            </w:pPr>
            <w:r>
              <w:rPr>
                <w:color w:val="231F20"/>
                <w:sz w:val="14"/>
              </w:rPr>
              <w:t>Српска револуција 1804­1835. и њено место у контексту европских</w:t>
            </w:r>
            <w:r>
              <w:rPr>
                <w:color w:val="231F20"/>
                <w:spacing w:val="-17"/>
                <w:sz w:val="14"/>
              </w:rPr>
              <w:t xml:space="preserve"> </w:t>
            </w:r>
            <w:r>
              <w:rPr>
                <w:color w:val="231F20"/>
                <w:sz w:val="14"/>
              </w:rPr>
              <w:t>збивања.</w:t>
            </w:r>
          </w:p>
          <w:p w:rsidR="00041039" w:rsidRDefault="001B26CB">
            <w:pPr>
              <w:pStyle w:val="TableParagraph"/>
              <w:numPr>
                <w:ilvl w:val="0"/>
                <w:numId w:val="1989"/>
              </w:numPr>
              <w:tabs>
                <w:tab w:val="left" w:pos="157"/>
              </w:tabs>
              <w:spacing w:line="153" w:lineRule="exact"/>
              <w:ind w:hanging="99"/>
              <w:rPr>
                <w:sz w:val="14"/>
              </w:rPr>
            </w:pPr>
            <w:r>
              <w:rPr>
                <w:color w:val="231F20"/>
                <w:sz w:val="14"/>
              </w:rPr>
              <w:t>Развој државних</w:t>
            </w:r>
            <w:r>
              <w:rPr>
                <w:color w:val="231F20"/>
                <w:spacing w:val="-1"/>
                <w:sz w:val="14"/>
              </w:rPr>
              <w:t xml:space="preserve"> </w:t>
            </w:r>
            <w:r>
              <w:rPr>
                <w:color w:val="231F20"/>
                <w:sz w:val="14"/>
              </w:rPr>
              <w:t>институција.</w:t>
            </w:r>
          </w:p>
          <w:p w:rsidR="00041039" w:rsidRDefault="001B26CB">
            <w:pPr>
              <w:pStyle w:val="TableParagraph"/>
              <w:numPr>
                <w:ilvl w:val="0"/>
                <w:numId w:val="1989"/>
              </w:numPr>
              <w:tabs>
                <w:tab w:val="left" w:pos="157"/>
              </w:tabs>
              <w:spacing w:line="160" w:lineRule="exact"/>
              <w:ind w:hanging="99"/>
              <w:rPr>
                <w:sz w:val="14"/>
              </w:rPr>
            </w:pPr>
            <w:r>
              <w:rPr>
                <w:color w:val="231F20"/>
                <w:sz w:val="14"/>
              </w:rPr>
              <w:t>Развој уставности.</w:t>
            </w:r>
          </w:p>
          <w:p w:rsidR="00041039" w:rsidRDefault="001B26CB">
            <w:pPr>
              <w:pStyle w:val="TableParagraph"/>
              <w:numPr>
                <w:ilvl w:val="0"/>
                <w:numId w:val="1989"/>
              </w:numPr>
              <w:tabs>
                <w:tab w:val="left" w:pos="157"/>
              </w:tabs>
              <w:spacing w:line="237" w:lineRule="auto"/>
              <w:ind w:right="65" w:hanging="99"/>
              <w:rPr>
                <w:sz w:val="14"/>
              </w:rPr>
            </w:pPr>
            <w:r>
              <w:rPr>
                <w:color w:val="231F20"/>
                <w:spacing w:val="-4"/>
                <w:sz w:val="14"/>
              </w:rPr>
              <w:t xml:space="preserve">Улога </w:t>
            </w:r>
            <w:r>
              <w:rPr>
                <w:color w:val="231F20"/>
                <w:sz w:val="14"/>
              </w:rPr>
              <w:t>модерних династија (Карађорђевићи, Обреновићи, Петровићи) у развоју српске државности.</w:t>
            </w:r>
          </w:p>
          <w:p w:rsidR="00041039" w:rsidRDefault="001B26CB">
            <w:pPr>
              <w:pStyle w:val="TableParagraph"/>
              <w:numPr>
                <w:ilvl w:val="0"/>
                <w:numId w:val="1989"/>
              </w:numPr>
              <w:tabs>
                <w:tab w:val="left" w:pos="157"/>
              </w:tabs>
              <w:spacing w:line="237" w:lineRule="auto"/>
              <w:ind w:right="135" w:hanging="99"/>
              <w:rPr>
                <w:sz w:val="14"/>
              </w:rPr>
            </w:pPr>
            <w:r>
              <w:rPr>
                <w:color w:val="231F20"/>
                <w:sz w:val="14"/>
              </w:rPr>
              <w:t xml:space="preserve">Ратови Србије и Црне </w:t>
            </w:r>
            <w:r>
              <w:rPr>
                <w:color w:val="231F20"/>
                <w:spacing w:val="-4"/>
                <w:sz w:val="14"/>
              </w:rPr>
              <w:t xml:space="preserve">Горе </w:t>
            </w:r>
            <w:r>
              <w:rPr>
                <w:color w:val="231F20"/>
                <w:sz w:val="14"/>
              </w:rPr>
              <w:t>за независност 1876 ­ 1878.</w:t>
            </w:r>
          </w:p>
          <w:p w:rsidR="00041039" w:rsidRDefault="001B26CB">
            <w:pPr>
              <w:pStyle w:val="TableParagraph"/>
              <w:numPr>
                <w:ilvl w:val="0"/>
                <w:numId w:val="1989"/>
              </w:numPr>
              <w:tabs>
                <w:tab w:val="left" w:pos="157"/>
              </w:tabs>
              <w:spacing w:line="160" w:lineRule="exact"/>
              <w:ind w:right="86" w:hanging="99"/>
              <w:rPr>
                <w:sz w:val="14"/>
              </w:rPr>
            </w:pPr>
            <w:r>
              <w:rPr>
                <w:color w:val="231F20"/>
                <w:sz w:val="14"/>
              </w:rPr>
              <w:t>Формирање модерног политичког система и настанак странака (радикалне, либералне и</w:t>
            </w:r>
            <w:r>
              <w:rPr>
                <w:color w:val="231F20"/>
                <w:spacing w:val="-2"/>
                <w:sz w:val="14"/>
              </w:rPr>
              <w:t xml:space="preserve"> </w:t>
            </w:r>
            <w:r>
              <w:rPr>
                <w:color w:val="231F20"/>
                <w:sz w:val="14"/>
              </w:rPr>
              <w:t>напредњачке).</w:t>
            </w:r>
          </w:p>
          <w:p w:rsidR="00041039" w:rsidRDefault="001B26CB">
            <w:pPr>
              <w:pStyle w:val="TableParagraph"/>
              <w:numPr>
                <w:ilvl w:val="0"/>
                <w:numId w:val="1989"/>
              </w:numPr>
              <w:tabs>
                <w:tab w:val="left" w:pos="157"/>
              </w:tabs>
              <w:spacing w:line="160" w:lineRule="exact"/>
              <w:ind w:right="146" w:hanging="99"/>
              <w:rPr>
                <w:sz w:val="14"/>
              </w:rPr>
            </w:pPr>
            <w:r>
              <w:rPr>
                <w:color w:val="231F20"/>
                <w:sz w:val="14"/>
              </w:rPr>
              <w:t>Положај</w:t>
            </w:r>
            <w:r>
              <w:rPr>
                <w:color w:val="231F20"/>
                <w:spacing w:val="-6"/>
                <w:sz w:val="14"/>
              </w:rPr>
              <w:t xml:space="preserve"> </w:t>
            </w:r>
            <w:r>
              <w:rPr>
                <w:color w:val="231F20"/>
                <w:sz w:val="14"/>
              </w:rPr>
              <w:t>Срба</w:t>
            </w:r>
            <w:r>
              <w:rPr>
                <w:color w:val="231F20"/>
                <w:spacing w:val="-6"/>
                <w:sz w:val="14"/>
              </w:rPr>
              <w:t xml:space="preserve"> </w:t>
            </w:r>
            <w:r>
              <w:rPr>
                <w:color w:val="231F20"/>
                <w:sz w:val="14"/>
              </w:rPr>
              <w:t>под</w:t>
            </w:r>
            <w:r>
              <w:rPr>
                <w:color w:val="231F20"/>
                <w:spacing w:val="-6"/>
                <w:sz w:val="14"/>
              </w:rPr>
              <w:t xml:space="preserve"> </w:t>
            </w:r>
            <w:r>
              <w:rPr>
                <w:color w:val="231F20"/>
                <w:sz w:val="14"/>
              </w:rPr>
              <w:t>османском</w:t>
            </w:r>
            <w:r>
              <w:rPr>
                <w:color w:val="231F20"/>
                <w:spacing w:val="-6"/>
                <w:sz w:val="14"/>
              </w:rPr>
              <w:t xml:space="preserve"> </w:t>
            </w:r>
            <w:r>
              <w:rPr>
                <w:color w:val="231F20"/>
                <w:sz w:val="14"/>
              </w:rPr>
              <w:t>и</w:t>
            </w:r>
            <w:r>
              <w:rPr>
                <w:color w:val="231F20"/>
                <w:spacing w:val="-7"/>
                <w:sz w:val="14"/>
              </w:rPr>
              <w:t xml:space="preserve"> </w:t>
            </w:r>
            <w:r>
              <w:rPr>
                <w:color w:val="231F20"/>
                <w:sz w:val="14"/>
              </w:rPr>
              <w:t xml:space="preserve">хабзбурш­ </w:t>
            </w:r>
            <w:r>
              <w:rPr>
                <w:color w:val="231F20"/>
                <w:spacing w:val="-4"/>
                <w:sz w:val="14"/>
              </w:rPr>
              <w:t xml:space="preserve">ком </w:t>
            </w:r>
            <w:r>
              <w:rPr>
                <w:color w:val="231F20"/>
                <w:sz w:val="14"/>
              </w:rPr>
              <w:t>влашћу у XIX и почетком XX</w:t>
            </w:r>
            <w:r>
              <w:rPr>
                <w:color w:val="231F20"/>
                <w:spacing w:val="-16"/>
                <w:sz w:val="14"/>
              </w:rPr>
              <w:t xml:space="preserve"> </w:t>
            </w:r>
            <w:r>
              <w:rPr>
                <w:color w:val="231F20"/>
                <w:sz w:val="14"/>
              </w:rPr>
              <w:t>века.</w:t>
            </w:r>
          </w:p>
        </w:tc>
        <w:tc>
          <w:tcPr>
            <w:tcW w:w="2267" w:type="dxa"/>
          </w:tcPr>
          <w:p w:rsidR="00041039" w:rsidRDefault="001B26CB">
            <w:pPr>
              <w:pStyle w:val="TableParagraph"/>
              <w:numPr>
                <w:ilvl w:val="0"/>
                <w:numId w:val="1988"/>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 xml:space="preserve">исходима </w:t>
            </w:r>
            <w:r>
              <w:rPr>
                <w:color w:val="231F20"/>
                <w:sz w:val="14"/>
              </w:rPr>
              <w:t>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988"/>
              </w:numPr>
              <w:tabs>
                <w:tab w:val="left" w:pos="158"/>
              </w:tabs>
              <w:spacing w:line="160"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988"/>
              </w:numPr>
              <w:tabs>
                <w:tab w:val="left" w:pos="158"/>
              </w:tabs>
              <w:spacing w:line="237" w:lineRule="auto"/>
              <w:ind w:right="264" w:hanging="99"/>
              <w:rPr>
                <w:sz w:val="14"/>
              </w:rPr>
            </w:pPr>
            <w:r>
              <w:rPr>
                <w:color w:val="231F20"/>
                <w:sz w:val="14"/>
              </w:rPr>
              <w:t>Теоријска настава се</w:t>
            </w:r>
            <w:r>
              <w:rPr>
                <w:color w:val="231F20"/>
                <w:spacing w:val="-14"/>
                <w:sz w:val="14"/>
              </w:rPr>
              <w:t xml:space="preserve"> </w:t>
            </w:r>
            <w:r>
              <w:rPr>
                <w:color w:val="231F20"/>
                <w:sz w:val="14"/>
              </w:rPr>
              <w:t xml:space="preserve">реализује учионици или одговарајућем </w:t>
            </w:r>
            <w:r>
              <w:rPr>
                <w:color w:val="231F20"/>
                <w:spacing w:val="-3"/>
                <w:sz w:val="14"/>
              </w:rPr>
              <w:t>кабинету.</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988"/>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988"/>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tc>
      </w:tr>
    </w:tbl>
    <w:p w:rsidR="00041039" w:rsidRDefault="00041039">
      <w:pPr>
        <w:spacing w:line="166"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4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1B26CB">
            <w:pPr>
              <w:pStyle w:val="TableParagraph"/>
              <w:numPr>
                <w:ilvl w:val="0"/>
                <w:numId w:val="1987"/>
              </w:numPr>
              <w:tabs>
                <w:tab w:val="left" w:pos="157"/>
              </w:tabs>
              <w:spacing w:before="8"/>
              <w:ind w:right="313" w:hanging="99"/>
              <w:rPr>
                <w:sz w:val="14"/>
              </w:rPr>
            </w:pPr>
            <w:r>
              <w:rPr>
                <w:color w:val="231F20"/>
                <w:sz w:val="14"/>
              </w:rPr>
              <w:t>опише улогу истакнутих личности у Српској револуцији, у</w:t>
            </w:r>
            <w:r>
              <w:rPr>
                <w:color w:val="231F20"/>
                <w:spacing w:val="-9"/>
                <w:sz w:val="14"/>
              </w:rPr>
              <w:t xml:space="preserve"> </w:t>
            </w:r>
            <w:r>
              <w:rPr>
                <w:color w:val="231F20"/>
                <w:sz w:val="14"/>
              </w:rPr>
              <w:t>развоју</w:t>
            </w:r>
          </w:p>
          <w:p w:rsidR="00041039" w:rsidRDefault="001B26CB">
            <w:pPr>
              <w:pStyle w:val="TableParagraph"/>
              <w:spacing w:line="237" w:lineRule="auto"/>
              <w:rPr>
                <w:sz w:val="14"/>
              </w:rPr>
            </w:pPr>
            <w:r>
              <w:rPr>
                <w:color w:val="231F20"/>
                <w:sz w:val="14"/>
              </w:rPr>
              <w:t>државних институција и формирању модерног политичког система, у ослободилачким ратовима 1876­1878, Балканским ратовима и Првом свет­ ском рату;</w:t>
            </w:r>
          </w:p>
          <w:p w:rsidR="00041039" w:rsidRDefault="001B26CB">
            <w:pPr>
              <w:pStyle w:val="TableParagraph"/>
              <w:numPr>
                <w:ilvl w:val="0"/>
                <w:numId w:val="1987"/>
              </w:numPr>
              <w:tabs>
                <w:tab w:val="left" w:pos="157"/>
              </w:tabs>
              <w:spacing w:line="237" w:lineRule="auto"/>
              <w:ind w:right="173" w:hanging="99"/>
              <w:rPr>
                <w:sz w:val="14"/>
              </w:rPr>
            </w:pPr>
            <w:r>
              <w:rPr>
                <w:color w:val="231F20"/>
                <w:sz w:val="14"/>
              </w:rPr>
              <w:t>изведе закључак о значају устав­ ности за развој модерног</w:t>
            </w:r>
            <w:r>
              <w:rPr>
                <w:color w:val="231F20"/>
                <w:spacing w:val="-20"/>
                <w:sz w:val="14"/>
              </w:rPr>
              <w:t xml:space="preserve"> </w:t>
            </w:r>
            <w:r>
              <w:rPr>
                <w:color w:val="231F20"/>
                <w:sz w:val="14"/>
              </w:rPr>
              <w:t>политичког система;</w:t>
            </w:r>
          </w:p>
        </w:tc>
        <w:tc>
          <w:tcPr>
            <w:tcW w:w="2834" w:type="dxa"/>
          </w:tcPr>
          <w:p w:rsidR="00041039" w:rsidRDefault="001B26CB">
            <w:pPr>
              <w:pStyle w:val="TableParagraph"/>
              <w:numPr>
                <w:ilvl w:val="0"/>
                <w:numId w:val="1986"/>
              </w:numPr>
              <w:tabs>
                <w:tab w:val="left" w:pos="157"/>
              </w:tabs>
              <w:spacing w:before="8"/>
              <w:ind w:right="217" w:hanging="99"/>
              <w:rPr>
                <w:sz w:val="14"/>
              </w:rPr>
            </w:pPr>
            <w:r>
              <w:rPr>
                <w:color w:val="231F20"/>
                <w:sz w:val="14"/>
              </w:rPr>
              <w:t xml:space="preserve">Србија и Црна </w:t>
            </w:r>
            <w:r>
              <w:rPr>
                <w:color w:val="231F20"/>
                <w:spacing w:val="-4"/>
                <w:sz w:val="14"/>
              </w:rPr>
              <w:t xml:space="preserve">Гора </w:t>
            </w:r>
            <w:r>
              <w:rPr>
                <w:color w:val="231F20"/>
                <w:sz w:val="14"/>
              </w:rPr>
              <w:t xml:space="preserve">у Балканским ратовима и Првом светском </w:t>
            </w:r>
            <w:r>
              <w:rPr>
                <w:color w:val="231F20"/>
                <w:spacing w:val="-4"/>
                <w:sz w:val="14"/>
              </w:rPr>
              <w:t xml:space="preserve">рату. </w:t>
            </w:r>
            <w:r>
              <w:rPr>
                <w:color w:val="231F20"/>
                <w:sz w:val="14"/>
              </w:rPr>
              <w:t>Најзначајније личности (вожд</w:t>
            </w:r>
            <w:r>
              <w:rPr>
                <w:color w:val="231F20"/>
                <w:spacing w:val="-17"/>
                <w:sz w:val="14"/>
              </w:rPr>
              <w:t xml:space="preserve"> </w:t>
            </w:r>
            <w:r>
              <w:rPr>
                <w:color w:val="231F20"/>
                <w:sz w:val="14"/>
              </w:rPr>
              <w:t xml:space="preserve">Карађорђе Петровић, кнез Милош Обреновић, прота Матеја Ненадовић, митрополит Стефан Стратимировић, Димитрије Давидовић, </w:t>
            </w:r>
            <w:r>
              <w:rPr>
                <w:color w:val="231F20"/>
                <w:spacing w:val="-4"/>
                <w:sz w:val="14"/>
              </w:rPr>
              <w:t xml:space="preserve">Тома </w:t>
            </w:r>
            <w:r>
              <w:rPr>
                <w:color w:val="231F20"/>
                <w:sz w:val="14"/>
              </w:rPr>
              <w:t>Вучић</w:t>
            </w:r>
            <w:r>
              <w:rPr>
                <w:color w:val="231F20"/>
                <w:spacing w:val="-1"/>
                <w:sz w:val="14"/>
              </w:rPr>
              <w:t xml:space="preserve"> </w:t>
            </w:r>
            <w:r>
              <w:rPr>
                <w:color w:val="231F20"/>
                <w:sz w:val="14"/>
              </w:rPr>
              <w:t>Перишић,</w:t>
            </w:r>
          </w:p>
          <w:p w:rsidR="00041039" w:rsidRDefault="001B26CB">
            <w:pPr>
              <w:pStyle w:val="TableParagraph"/>
              <w:spacing w:line="237" w:lineRule="auto"/>
              <w:ind w:right="84"/>
              <w:rPr>
                <w:sz w:val="14"/>
              </w:rPr>
            </w:pPr>
            <w:r>
              <w:rPr>
                <w:color w:val="231F20"/>
                <w:sz w:val="14"/>
              </w:rPr>
              <w:t>Илија Гарашанин, кнез Александар Карађорђе</w:t>
            </w:r>
            <w:r>
              <w:rPr>
                <w:color w:val="231F20"/>
                <w:sz w:val="14"/>
              </w:rPr>
              <w:t>вић, кнез Михаило Обреновић, Владимир Јовановић, Светозар Милетић. краљ Милан Обреновић, владика Петар IПетровић, владика Петар II Петровић. књаз Данило Петровић, књаз Никола Петровић, Лука Вукаловић, Јован Ристић, Стојан Новаковић, Никола Пашић, краљ Алек</w:t>
            </w:r>
            <w:r>
              <w:rPr>
                <w:color w:val="231F20"/>
                <w:sz w:val="14"/>
              </w:rPr>
              <w:t>сандар Обреновић, краљ Петар</w:t>
            </w:r>
          </w:p>
          <w:p w:rsidR="00041039" w:rsidRDefault="001B26CB">
            <w:pPr>
              <w:pStyle w:val="TableParagraph"/>
              <w:ind w:right="84"/>
              <w:rPr>
                <w:sz w:val="14"/>
              </w:rPr>
            </w:pPr>
            <w:r>
              <w:rPr>
                <w:color w:val="231F20"/>
                <w:sz w:val="14"/>
              </w:rPr>
              <w:t>I Карађорђевић, престолонаследник Александар Карађорђевић, Радомир Путник, Степа Степановић, Живојин Мишић, Петар Бојовић, Јанко Вукотић...).</w:t>
            </w:r>
          </w:p>
        </w:tc>
        <w:tc>
          <w:tcPr>
            <w:tcW w:w="2267" w:type="dxa"/>
            <w:vMerge w:val="restart"/>
          </w:tcPr>
          <w:p w:rsidR="00041039" w:rsidRDefault="001B26CB">
            <w:pPr>
              <w:pStyle w:val="TableParagraph"/>
              <w:spacing w:before="16"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985"/>
              </w:numPr>
              <w:tabs>
                <w:tab w:val="left" w:pos="158"/>
              </w:tabs>
              <w:spacing w:line="237" w:lineRule="auto"/>
              <w:ind w:right="202"/>
              <w:rPr>
                <w:b/>
                <w:sz w:val="14"/>
              </w:rPr>
            </w:pPr>
            <w:r>
              <w:rPr>
                <w:color w:val="231F20"/>
                <w:sz w:val="14"/>
              </w:rPr>
              <w:t xml:space="preserve">Српска држава и државност </w:t>
            </w:r>
            <w:r>
              <w:rPr>
                <w:b/>
                <w:color w:val="231F20"/>
                <w:sz w:val="14"/>
              </w:rPr>
              <w:t>(32 часа)</w:t>
            </w:r>
          </w:p>
          <w:p w:rsidR="00041039" w:rsidRDefault="001B26CB">
            <w:pPr>
              <w:pStyle w:val="TableParagraph"/>
              <w:numPr>
                <w:ilvl w:val="0"/>
                <w:numId w:val="1985"/>
              </w:numPr>
              <w:tabs>
                <w:tab w:val="left" w:pos="158"/>
              </w:tabs>
              <w:spacing w:line="160" w:lineRule="exact"/>
              <w:ind w:right="262"/>
              <w:rPr>
                <w:b/>
                <w:sz w:val="14"/>
              </w:rPr>
            </w:pPr>
            <w:r>
              <w:rPr>
                <w:color w:val="231F20"/>
                <w:sz w:val="14"/>
              </w:rPr>
              <w:t>Српски народ у</w:t>
            </w:r>
            <w:r>
              <w:rPr>
                <w:color w:val="231F20"/>
                <w:spacing w:val="-17"/>
                <w:sz w:val="14"/>
              </w:rPr>
              <w:t xml:space="preserve"> </w:t>
            </w:r>
            <w:r>
              <w:rPr>
                <w:color w:val="231F20"/>
                <w:sz w:val="14"/>
              </w:rPr>
              <w:t>југо</w:t>
            </w:r>
            <w:r>
              <w:rPr>
                <w:color w:val="231F20"/>
                <w:sz w:val="14"/>
              </w:rPr>
              <w:t xml:space="preserve">словенској држави </w:t>
            </w:r>
            <w:r>
              <w:rPr>
                <w:b/>
                <w:color w:val="231F20"/>
                <w:sz w:val="14"/>
              </w:rPr>
              <w:t>(18</w:t>
            </w:r>
            <w:r>
              <w:rPr>
                <w:b/>
                <w:color w:val="231F20"/>
                <w:spacing w:val="-2"/>
                <w:sz w:val="14"/>
              </w:rPr>
              <w:t xml:space="preserve"> </w:t>
            </w:r>
            <w:r>
              <w:rPr>
                <w:b/>
                <w:color w:val="231F20"/>
                <w:sz w:val="14"/>
              </w:rPr>
              <w:t>часова)</w:t>
            </w:r>
          </w:p>
          <w:p w:rsidR="00041039" w:rsidRDefault="001B26CB">
            <w:pPr>
              <w:pStyle w:val="TableParagraph"/>
              <w:numPr>
                <w:ilvl w:val="0"/>
                <w:numId w:val="1985"/>
              </w:numPr>
              <w:tabs>
                <w:tab w:val="left" w:pos="158"/>
              </w:tabs>
              <w:spacing w:line="160" w:lineRule="exact"/>
              <w:ind w:right="254"/>
              <w:rPr>
                <w:b/>
                <w:sz w:val="14"/>
              </w:rPr>
            </w:pPr>
            <w:r>
              <w:rPr>
                <w:color w:val="231F20"/>
                <w:sz w:val="14"/>
              </w:rPr>
              <w:t>Достигнућа српске културе</w:t>
            </w:r>
            <w:r>
              <w:rPr>
                <w:color w:val="231F20"/>
                <w:spacing w:val="-13"/>
                <w:sz w:val="14"/>
              </w:rPr>
              <w:t xml:space="preserve"> </w:t>
            </w:r>
            <w:r>
              <w:rPr>
                <w:b/>
                <w:color w:val="231F20"/>
                <w:spacing w:val="-3"/>
                <w:sz w:val="14"/>
              </w:rPr>
              <w:t xml:space="preserve">(11 </w:t>
            </w:r>
            <w:r>
              <w:rPr>
                <w:b/>
                <w:color w:val="231F20"/>
                <w:sz w:val="14"/>
              </w:rPr>
              <w:t>часова)</w:t>
            </w:r>
          </w:p>
          <w:p w:rsidR="00041039" w:rsidRDefault="001B26CB">
            <w:pPr>
              <w:pStyle w:val="TableParagraph"/>
              <w:numPr>
                <w:ilvl w:val="0"/>
                <w:numId w:val="1985"/>
              </w:numPr>
              <w:tabs>
                <w:tab w:val="left" w:pos="158"/>
              </w:tabs>
              <w:spacing w:line="160" w:lineRule="exact"/>
              <w:ind w:right="57"/>
              <w:rPr>
                <w:b/>
                <w:sz w:val="14"/>
              </w:rPr>
            </w:pPr>
            <w:r>
              <w:rPr>
                <w:color w:val="231F20"/>
                <w:sz w:val="14"/>
              </w:rPr>
              <w:t>Српски народ и Србија у</w:t>
            </w:r>
            <w:r>
              <w:rPr>
                <w:color w:val="231F20"/>
                <w:spacing w:val="-9"/>
                <w:sz w:val="14"/>
              </w:rPr>
              <w:t xml:space="preserve"> </w:t>
            </w:r>
            <w:r>
              <w:rPr>
                <w:color w:val="231F20"/>
                <w:sz w:val="14"/>
              </w:rPr>
              <w:t xml:space="preserve">савреме­ ном свету </w:t>
            </w:r>
            <w:r>
              <w:rPr>
                <w:b/>
                <w:color w:val="231F20"/>
                <w:sz w:val="14"/>
              </w:rPr>
              <w:t>(9</w:t>
            </w:r>
            <w:r>
              <w:rPr>
                <w:b/>
                <w:color w:val="231F20"/>
                <w:spacing w:val="-3"/>
                <w:sz w:val="14"/>
              </w:rPr>
              <w:t xml:space="preserve"> </w:t>
            </w:r>
            <w:r>
              <w:rPr>
                <w:b/>
                <w:color w:val="231F20"/>
                <w:sz w:val="14"/>
              </w:rPr>
              <w:t>часова)</w:t>
            </w:r>
          </w:p>
          <w:p w:rsidR="00041039" w:rsidRDefault="00041039">
            <w:pPr>
              <w:pStyle w:val="TableParagraph"/>
              <w:spacing w:before="6"/>
              <w:ind w:left="0"/>
              <w:rPr>
                <w:b/>
                <w:sz w:val="13"/>
              </w:rPr>
            </w:pPr>
          </w:p>
          <w:p w:rsidR="00041039" w:rsidRDefault="001B26CB">
            <w:pPr>
              <w:pStyle w:val="TableParagraph"/>
              <w:ind w:left="57" w:right="157"/>
              <w:rPr>
                <w:b/>
                <w:sz w:val="14"/>
              </w:rPr>
            </w:pPr>
            <w:r>
              <w:rPr>
                <w:b/>
                <w:color w:val="231F20"/>
                <w:sz w:val="14"/>
              </w:rPr>
              <w:t>Препоруке за реализацију садр- жаја програма</w:t>
            </w:r>
          </w:p>
          <w:p w:rsidR="00041039" w:rsidRDefault="001B26CB">
            <w:pPr>
              <w:pStyle w:val="TableParagraph"/>
              <w:numPr>
                <w:ilvl w:val="0"/>
                <w:numId w:val="1985"/>
              </w:numPr>
              <w:tabs>
                <w:tab w:val="left" w:pos="158"/>
              </w:tabs>
              <w:spacing w:before="1" w:line="160" w:lineRule="exact"/>
              <w:ind w:right="52"/>
              <w:rPr>
                <w:sz w:val="14"/>
              </w:rPr>
            </w:pPr>
            <w:r>
              <w:rPr>
                <w:color w:val="231F20"/>
                <w:sz w:val="14"/>
              </w:rPr>
              <w:t>структура програма конципирана је с циљем да помогне</w:t>
            </w:r>
            <w:r>
              <w:rPr>
                <w:color w:val="231F20"/>
                <w:spacing w:val="-13"/>
                <w:sz w:val="14"/>
              </w:rPr>
              <w:t xml:space="preserve"> </w:t>
            </w:r>
            <w:r>
              <w:rPr>
                <w:color w:val="231F20"/>
                <w:sz w:val="14"/>
              </w:rPr>
              <w:t>наставнику у планирању непосредног</w:t>
            </w:r>
            <w:r>
              <w:rPr>
                <w:color w:val="231F20"/>
                <w:spacing w:val="-5"/>
                <w:sz w:val="14"/>
              </w:rPr>
              <w:t xml:space="preserve"> </w:t>
            </w:r>
            <w:r>
              <w:rPr>
                <w:color w:val="231F20"/>
                <w:sz w:val="14"/>
              </w:rPr>
              <w:t>рада</w:t>
            </w:r>
          </w:p>
          <w:p w:rsidR="00041039" w:rsidRDefault="001B26CB">
            <w:pPr>
              <w:pStyle w:val="TableParagraph"/>
              <w:spacing w:line="237" w:lineRule="auto"/>
              <w:ind w:left="157"/>
              <w:rPr>
                <w:sz w:val="14"/>
              </w:rPr>
            </w:pPr>
            <w:r>
              <w:rPr>
                <w:color w:val="231F20"/>
                <w:sz w:val="14"/>
              </w:rPr>
              <w:t>са ученицима, олакшавајући му одређивање обима и дубине обра­ де појединих наставних садржаја;</w:t>
            </w:r>
          </w:p>
          <w:p w:rsidR="00041039" w:rsidRDefault="001B26CB">
            <w:pPr>
              <w:pStyle w:val="TableParagraph"/>
              <w:numPr>
                <w:ilvl w:val="0"/>
                <w:numId w:val="1985"/>
              </w:numPr>
              <w:tabs>
                <w:tab w:val="left" w:pos="158"/>
              </w:tabs>
              <w:spacing w:line="237" w:lineRule="auto"/>
              <w:ind w:right="165"/>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треба да послуже да</w:t>
            </w:r>
            <w:r>
              <w:rPr>
                <w:color w:val="231F20"/>
                <w:spacing w:val="2"/>
                <w:sz w:val="14"/>
              </w:rPr>
              <w:t xml:space="preserve"> </w:t>
            </w:r>
            <w:r>
              <w:rPr>
                <w:color w:val="231F20"/>
                <w:sz w:val="14"/>
              </w:rPr>
              <w:t>нас­</w:t>
            </w:r>
          </w:p>
          <w:p w:rsidR="00041039" w:rsidRDefault="001B26CB">
            <w:pPr>
              <w:pStyle w:val="TableParagraph"/>
              <w:ind w:left="157"/>
              <w:rPr>
                <w:sz w:val="14"/>
              </w:rPr>
            </w:pPr>
            <w:r>
              <w:rPr>
                <w:color w:val="231F20"/>
                <w:sz w:val="14"/>
              </w:rPr>
              <w:t>тавни процес буде тако обликован да се наведени циљеви остваре</w:t>
            </w:r>
            <w:r>
              <w:rPr>
                <w:color w:val="231F20"/>
                <w:sz w:val="14"/>
              </w:rPr>
              <w:t>;</w:t>
            </w:r>
          </w:p>
          <w:p w:rsidR="00041039" w:rsidRDefault="001B26CB">
            <w:pPr>
              <w:pStyle w:val="TableParagraph"/>
              <w:numPr>
                <w:ilvl w:val="0"/>
                <w:numId w:val="1985"/>
              </w:numPr>
              <w:tabs>
                <w:tab w:val="left" w:pos="158"/>
              </w:tabs>
              <w:spacing w:line="160" w:lineRule="exact"/>
              <w:ind w:right="307"/>
              <w:rPr>
                <w:sz w:val="14"/>
              </w:rPr>
            </w:pPr>
            <w:r>
              <w:rPr>
                <w:color w:val="231F20"/>
                <w:sz w:val="14"/>
              </w:rPr>
              <w:t>садржаје треба</w:t>
            </w:r>
            <w:r>
              <w:rPr>
                <w:color w:val="231F20"/>
                <w:spacing w:val="-13"/>
                <w:sz w:val="14"/>
              </w:rPr>
              <w:t xml:space="preserve"> </w:t>
            </w:r>
            <w:r>
              <w:rPr>
                <w:color w:val="231F20"/>
                <w:sz w:val="14"/>
              </w:rPr>
              <w:t xml:space="preserve">прилагођавати ученицима, </w:t>
            </w:r>
            <w:r>
              <w:rPr>
                <w:color w:val="231F20"/>
                <w:spacing w:val="-3"/>
                <w:sz w:val="14"/>
              </w:rPr>
              <w:t xml:space="preserve">како </w:t>
            </w:r>
            <w:r>
              <w:rPr>
                <w:color w:val="231F20"/>
                <w:sz w:val="14"/>
              </w:rPr>
              <w:t>би најлакше и најбрже достигли наведене исходе;</w:t>
            </w:r>
          </w:p>
          <w:p w:rsidR="00041039" w:rsidRDefault="001B26CB">
            <w:pPr>
              <w:pStyle w:val="TableParagraph"/>
              <w:numPr>
                <w:ilvl w:val="0"/>
                <w:numId w:val="1985"/>
              </w:numPr>
              <w:tabs>
                <w:tab w:val="left" w:pos="158"/>
              </w:tabs>
              <w:spacing w:line="160" w:lineRule="exact"/>
              <w:ind w:right="133"/>
              <w:rPr>
                <w:sz w:val="14"/>
              </w:rPr>
            </w:pPr>
            <w:r>
              <w:rPr>
                <w:color w:val="231F20"/>
                <w:sz w:val="14"/>
              </w:rPr>
              <w:t xml:space="preserve">наставник има слободу да сам одреди распоред и динамику активности за сваку </w:t>
            </w:r>
            <w:r>
              <w:rPr>
                <w:color w:val="231F20"/>
                <w:spacing w:val="-3"/>
                <w:sz w:val="14"/>
              </w:rPr>
              <w:t xml:space="preserve">тему. </w:t>
            </w:r>
            <w:r>
              <w:rPr>
                <w:color w:val="231F20"/>
                <w:sz w:val="14"/>
              </w:rPr>
              <w:t>уважа­ вајући циљеве</w:t>
            </w:r>
            <w:r>
              <w:rPr>
                <w:color w:val="231F20"/>
                <w:spacing w:val="-2"/>
                <w:sz w:val="14"/>
              </w:rPr>
              <w:t xml:space="preserve"> </w:t>
            </w:r>
            <w:r>
              <w:rPr>
                <w:color w:val="231F20"/>
                <w:sz w:val="14"/>
              </w:rPr>
              <w:t>предмета;</w:t>
            </w:r>
          </w:p>
          <w:p w:rsidR="00041039" w:rsidRDefault="001B26CB">
            <w:pPr>
              <w:pStyle w:val="TableParagraph"/>
              <w:numPr>
                <w:ilvl w:val="0"/>
                <w:numId w:val="1985"/>
              </w:numPr>
              <w:tabs>
                <w:tab w:val="left" w:pos="158"/>
              </w:tabs>
              <w:spacing w:line="160" w:lineRule="exact"/>
              <w:ind w:right="139"/>
              <w:rPr>
                <w:sz w:val="14"/>
              </w:rPr>
            </w:pPr>
            <w:r>
              <w:rPr>
                <w:color w:val="231F20"/>
                <w:sz w:val="14"/>
              </w:rPr>
              <w:t>програм се може допунити</w:t>
            </w:r>
            <w:r>
              <w:rPr>
                <w:color w:val="231F20"/>
                <w:spacing w:val="-10"/>
                <w:sz w:val="14"/>
              </w:rPr>
              <w:t xml:space="preserve"> </w:t>
            </w:r>
            <w:r>
              <w:rPr>
                <w:color w:val="231F20"/>
                <w:sz w:val="14"/>
              </w:rPr>
              <w:t xml:space="preserve">садр­ жајима из прошлости завичаја, чиме се </w:t>
            </w:r>
            <w:r>
              <w:rPr>
                <w:color w:val="231F20"/>
                <w:spacing w:val="-5"/>
                <w:sz w:val="14"/>
              </w:rPr>
              <w:t xml:space="preserve">код </w:t>
            </w:r>
            <w:r>
              <w:rPr>
                <w:color w:val="231F20"/>
                <w:sz w:val="14"/>
              </w:rPr>
              <w:t>ученика постиже јаснија представа</w:t>
            </w:r>
            <w:r>
              <w:rPr>
                <w:color w:val="231F20"/>
                <w:spacing w:val="-6"/>
                <w:sz w:val="14"/>
              </w:rPr>
              <w:t xml:space="preserve"> </w:t>
            </w:r>
            <w:r>
              <w:rPr>
                <w:color w:val="231F20"/>
                <w:sz w:val="14"/>
              </w:rPr>
              <w:t>оисторијској</w:t>
            </w:r>
          </w:p>
          <w:p w:rsidR="00041039" w:rsidRDefault="001B26CB">
            <w:pPr>
              <w:pStyle w:val="TableParagraph"/>
              <w:spacing w:line="237" w:lineRule="auto"/>
              <w:ind w:left="157"/>
              <w:rPr>
                <w:sz w:val="14"/>
              </w:rPr>
            </w:pPr>
            <w:r>
              <w:rPr>
                <w:color w:val="231F20"/>
                <w:sz w:val="14"/>
              </w:rPr>
              <w:t>и културној баштини у њиховом крају (археолошка налазишта, музејске збирке);</w:t>
            </w:r>
          </w:p>
          <w:p w:rsidR="00041039" w:rsidRDefault="001B26CB">
            <w:pPr>
              <w:pStyle w:val="TableParagraph"/>
              <w:numPr>
                <w:ilvl w:val="0"/>
                <w:numId w:val="1985"/>
              </w:numPr>
              <w:tabs>
                <w:tab w:val="left" w:pos="158"/>
              </w:tabs>
              <w:spacing w:line="237" w:lineRule="auto"/>
              <w:ind w:right="117"/>
              <w:rPr>
                <w:sz w:val="14"/>
              </w:rPr>
            </w:pPr>
            <w:r>
              <w:rPr>
                <w:color w:val="231F20"/>
                <w:sz w:val="14"/>
              </w:rPr>
              <w:t xml:space="preserve">у школама на наставном језику неке </w:t>
            </w:r>
            <w:r>
              <w:rPr>
                <w:color w:val="231F20"/>
                <w:spacing w:val="-3"/>
                <w:sz w:val="14"/>
              </w:rPr>
              <w:t xml:space="preserve">од </w:t>
            </w:r>
            <w:r>
              <w:rPr>
                <w:color w:val="231F20"/>
                <w:sz w:val="14"/>
              </w:rPr>
              <w:t>националних мањина могу се обрадити проширени наставни садржаји из прошлости тог</w:t>
            </w:r>
            <w:r>
              <w:rPr>
                <w:color w:val="231F20"/>
                <w:spacing w:val="-1"/>
                <w:sz w:val="14"/>
              </w:rPr>
              <w:t xml:space="preserve"> </w:t>
            </w:r>
            <w:r>
              <w:rPr>
                <w:color w:val="231F20"/>
                <w:sz w:val="14"/>
              </w:rPr>
              <w:t>народа;</w:t>
            </w:r>
          </w:p>
          <w:p w:rsidR="00041039" w:rsidRDefault="001B26CB">
            <w:pPr>
              <w:pStyle w:val="TableParagraph"/>
              <w:numPr>
                <w:ilvl w:val="0"/>
                <w:numId w:val="1985"/>
              </w:numPr>
              <w:tabs>
                <w:tab w:val="left" w:pos="158"/>
              </w:tabs>
              <w:spacing w:line="237" w:lineRule="auto"/>
              <w:ind w:right="127"/>
              <w:rPr>
                <w:sz w:val="14"/>
              </w:rPr>
            </w:pPr>
            <w:r>
              <w:rPr>
                <w:color w:val="231F20"/>
                <w:sz w:val="14"/>
              </w:rPr>
              <w:t>важно је искористити велике могућности које историја као наративни предмет пружа у под­ стицању ученичке радозналости, која је у основи сваког</w:t>
            </w:r>
            <w:r>
              <w:rPr>
                <w:color w:val="231F20"/>
                <w:spacing w:val="-10"/>
                <w:sz w:val="14"/>
              </w:rPr>
              <w:t xml:space="preserve"> </w:t>
            </w:r>
            <w:r>
              <w:rPr>
                <w:color w:val="231F20"/>
                <w:sz w:val="14"/>
              </w:rPr>
              <w:t>сазнања;</w:t>
            </w:r>
          </w:p>
          <w:p w:rsidR="00041039" w:rsidRDefault="001B26CB">
            <w:pPr>
              <w:pStyle w:val="TableParagraph"/>
              <w:numPr>
                <w:ilvl w:val="0"/>
                <w:numId w:val="1985"/>
              </w:numPr>
              <w:tabs>
                <w:tab w:val="left" w:pos="158"/>
              </w:tabs>
              <w:spacing w:line="237" w:lineRule="auto"/>
              <w:ind w:right="66"/>
              <w:rPr>
                <w:sz w:val="14"/>
              </w:rPr>
            </w:pPr>
            <w:r>
              <w:rPr>
                <w:color w:val="231F20"/>
                <w:sz w:val="14"/>
              </w:rPr>
              <w:t>наставни садржа</w:t>
            </w:r>
            <w:r>
              <w:rPr>
                <w:color w:val="231F20"/>
                <w:sz w:val="14"/>
              </w:rPr>
              <w:t xml:space="preserve">ји треба да </w:t>
            </w:r>
            <w:r>
              <w:rPr>
                <w:color w:val="231F20"/>
                <w:spacing w:val="-4"/>
                <w:sz w:val="14"/>
              </w:rPr>
              <w:t xml:space="preserve">буду </w:t>
            </w:r>
            <w:r>
              <w:rPr>
                <w:color w:val="231F20"/>
                <w:sz w:val="14"/>
              </w:rPr>
              <w:t>представљени као „прича” богата информацијама и детаљима, не зато даби оптеретили памћење ученика, већ даби им историјски догађаји, појаве и процеси били предочени јасно, детаљно, живо</w:t>
            </w:r>
            <w:r>
              <w:rPr>
                <w:color w:val="231F20"/>
                <w:spacing w:val="-8"/>
                <w:sz w:val="14"/>
              </w:rPr>
              <w:t xml:space="preserve"> </w:t>
            </w:r>
            <w:r>
              <w:rPr>
                <w:color w:val="231F20"/>
                <w:sz w:val="14"/>
              </w:rPr>
              <w:t>и динамично;</w:t>
            </w:r>
          </w:p>
          <w:p w:rsidR="00041039" w:rsidRDefault="001B26CB">
            <w:pPr>
              <w:pStyle w:val="TableParagraph"/>
              <w:numPr>
                <w:ilvl w:val="0"/>
                <w:numId w:val="1985"/>
              </w:numPr>
              <w:tabs>
                <w:tab w:val="left" w:pos="158"/>
              </w:tabs>
              <w:spacing w:line="237" w:lineRule="auto"/>
              <w:ind w:right="71"/>
              <w:rPr>
                <w:sz w:val="14"/>
              </w:rPr>
            </w:pPr>
            <w:r>
              <w:rPr>
                <w:color w:val="231F20"/>
                <w:sz w:val="14"/>
              </w:rPr>
              <w:t xml:space="preserve">посебно место у настави историје имају питања, </w:t>
            </w:r>
            <w:r>
              <w:rPr>
                <w:color w:val="231F20"/>
                <w:spacing w:val="-3"/>
                <w:sz w:val="14"/>
              </w:rPr>
              <w:t xml:space="preserve">како </w:t>
            </w:r>
            <w:r>
              <w:rPr>
                <w:color w:val="231F20"/>
                <w:sz w:val="14"/>
              </w:rPr>
              <w:t xml:space="preserve">она која поставља наставник ученицима, тако и она која долазе </w:t>
            </w:r>
            <w:r>
              <w:rPr>
                <w:color w:val="231F20"/>
                <w:spacing w:val="-3"/>
                <w:sz w:val="14"/>
              </w:rPr>
              <w:t>од</w:t>
            </w:r>
            <w:r>
              <w:rPr>
                <w:color w:val="231F20"/>
                <w:spacing w:val="-23"/>
                <w:sz w:val="14"/>
              </w:rPr>
              <w:t xml:space="preserve"> </w:t>
            </w:r>
            <w:r>
              <w:rPr>
                <w:color w:val="231F20"/>
                <w:sz w:val="14"/>
              </w:rPr>
              <w:t>ученика, подстакнута оним што су чули у учионици или што су сазнали ван ње користећи различите изворе информација, добро  осмишље­ на питањ</w:t>
            </w:r>
            <w:r>
              <w:rPr>
                <w:color w:val="231F20"/>
                <w:sz w:val="14"/>
              </w:rPr>
              <w:t>а наставника имају подстицајну функцију за развој историјског мишљења и</w:t>
            </w:r>
            <w:r>
              <w:rPr>
                <w:color w:val="231F20"/>
                <w:spacing w:val="-16"/>
                <w:sz w:val="14"/>
              </w:rPr>
              <w:t xml:space="preserve"> </w:t>
            </w:r>
            <w:r>
              <w:rPr>
                <w:color w:val="231F20"/>
                <w:sz w:val="14"/>
              </w:rPr>
              <w:t>критичке свести, не само у фази утврђи­ вања и систематизације градива, већ и у самој обради наставних садржаја;</w:t>
            </w:r>
          </w:p>
          <w:p w:rsidR="00041039" w:rsidRDefault="001B26CB">
            <w:pPr>
              <w:pStyle w:val="TableParagraph"/>
              <w:numPr>
                <w:ilvl w:val="0"/>
                <w:numId w:val="1985"/>
              </w:numPr>
              <w:tabs>
                <w:tab w:val="left" w:pos="158"/>
              </w:tabs>
              <w:spacing w:line="237" w:lineRule="auto"/>
              <w:ind w:right="81"/>
              <w:rPr>
                <w:sz w:val="14"/>
              </w:rPr>
            </w:pPr>
            <w:r>
              <w:rPr>
                <w:color w:val="231F20"/>
                <w:sz w:val="14"/>
              </w:rPr>
              <w:t xml:space="preserve">у зависности </w:t>
            </w:r>
            <w:r>
              <w:rPr>
                <w:color w:val="231F20"/>
                <w:spacing w:val="-3"/>
                <w:sz w:val="14"/>
              </w:rPr>
              <w:t xml:space="preserve">од </w:t>
            </w:r>
            <w:r>
              <w:rPr>
                <w:color w:val="231F20"/>
                <w:sz w:val="14"/>
              </w:rPr>
              <w:t>циља који на­ ставник жели да оствари, питања могу имат</w:t>
            </w:r>
            <w:r>
              <w:rPr>
                <w:color w:val="231F20"/>
                <w:sz w:val="14"/>
              </w:rPr>
              <w:t>и различите функције, као што су: фокусирање пажње на неки садржај или аспект, подстицање поређења, трагање</w:t>
            </w:r>
            <w:r>
              <w:rPr>
                <w:color w:val="231F20"/>
                <w:spacing w:val="-14"/>
                <w:sz w:val="14"/>
              </w:rPr>
              <w:t xml:space="preserve"> </w:t>
            </w:r>
            <w:r>
              <w:rPr>
                <w:color w:val="231F20"/>
                <w:sz w:val="14"/>
              </w:rPr>
              <w:t>за појашњењем;</w:t>
            </w:r>
          </w:p>
          <w:p w:rsidR="00041039" w:rsidRDefault="001B26CB">
            <w:pPr>
              <w:pStyle w:val="TableParagraph"/>
              <w:numPr>
                <w:ilvl w:val="0"/>
                <w:numId w:val="1985"/>
              </w:numPr>
              <w:tabs>
                <w:tab w:val="left" w:pos="158"/>
              </w:tabs>
              <w:spacing w:line="237" w:lineRule="auto"/>
              <w:ind w:right="148"/>
              <w:rPr>
                <w:sz w:val="14"/>
              </w:rPr>
            </w:pPr>
            <w:r>
              <w:rPr>
                <w:color w:val="231F20"/>
                <w:sz w:val="14"/>
              </w:rPr>
              <w:t>настава би требало да помогне ученицима у стварању што јасније представе не само о</w:t>
            </w:r>
            <w:r>
              <w:rPr>
                <w:color w:val="231F20"/>
                <w:spacing w:val="-10"/>
                <w:sz w:val="14"/>
              </w:rPr>
              <w:t xml:space="preserve"> </w:t>
            </w:r>
            <w:r>
              <w:rPr>
                <w:color w:val="231F20"/>
                <w:sz w:val="14"/>
              </w:rPr>
              <w:t>томе шта се десило, већ и зашто се то десило и как</w:t>
            </w:r>
            <w:r>
              <w:rPr>
                <w:color w:val="231F20"/>
                <w:sz w:val="14"/>
              </w:rPr>
              <w:t>ве су последице из тога</w:t>
            </w:r>
            <w:r>
              <w:rPr>
                <w:color w:val="231F20"/>
                <w:spacing w:val="-1"/>
                <w:sz w:val="14"/>
              </w:rPr>
              <w:t xml:space="preserve"> </w:t>
            </w:r>
            <w:r>
              <w:rPr>
                <w:color w:val="231F20"/>
                <w:sz w:val="14"/>
              </w:rPr>
              <w:t>проистекле;</w:t>
            </w:r>
          </w:p>
        </w:tc>
      </w:tr>
      <w:tr w:rsidR="00041039">
        <w:trPr>
          <w:trHeight w:val="10227"/>
        </w:trPr>
        <w:tc>
          <w:tcPr>
            <w:tcW w:w="1304" w:type="dxa"/>
          </w:tcPr>
          <w:p w:rsidR="00041039" w:rsidRDefault="001B26CB">
            <w:pPr>
              <w:pStyle w:val="TableParagraph"/>
              <w:spacing w:before="20"/>
              <w:ind w:left="56" w:right="37"/>
              <w:rPr>
                <w:sz w:val="14"/>
              </w:rPr>
            </w:pPr>
            <w:r>
              <w:rPr>
                <w:color w:val="231F20"/>
                <w:sz w:val="14"/>
              </w:rPr>
              <w:t>Српски народ у југословенској држави</w:t>
            </w:r>
          </w:p>
        </w:tc>
        <w:tc>
          <w:tcPr>
            <w:tcW w:w="1587" w:type="dxa"/>
          </w:tcPr>
          <w:p w:rsidR="00041039" w:rsidRDefault="001B26CB">
            <w:pPr>
              <w:pStyle w:val="TableParagraph"/>
              <w:numPr>
                <w:ilvl w:val="0"/>
                <w:numId w:val="1984"/>
              </w:numPr>
              <w:tabs>
                <w:tab w:val="left" w:pos="157"/>
              </w:tabs>
              <w:spacing w:before="10"/>
              <w:ind w:right="84"/>
              <w:rPr>
                <w:sz w:val="14"/>
              </w:rPr>
            </w:pPr>
            <w:r>
              <w:rPr>
                <w:color w:val="231F20"/>
                <w:sz w:val="14"/>
              </w:rPr>
              <w:t>Проширивање знања о југословенској</w:t>
            </w:r>
            <w:r>
              <w:rPr>
                <w:color w:val="231F20"/>
                <w:spacing w:val="-14"/>
                <w:sz w:val="14"/>
              </w:rPr>
              <w:t xml:space="preserve"> </w:t>
            </w:r>
            <w:r>
              <w:rPr>
                <w:color w:val="231F20"/>
                <w:sz w:val="14"/>
              </w:rPr>
              <w:t>идеји и носиоцима идеје стварања југословен­ ске</w:t>
            </w:r>
            <w:r>
              <w:rPr>
                <w:color w:val="231F20"/>
                <w:spacing w:val="-1"/>
                <w:sz w:val="14"/>
              </w:rPr>
              <w:t xml:space="preserve"> </w:t>
            </w:r>
            <w:r>
              <w:rPr>
                <w:color w:val="231F20"/>
                <w:sz w:val="14"/>
              </w:rPr>
              <w:t>државе.</w:t>
            </w:r>
          </w:p>
          <w:p w:rsidR="00041039" w:rsidRDefault="001B26CB">
            <w:pPr>
              <w:pStyle w:val="TableParagraph"/>
              <w:numPr>
                <w:ilvl w:val="0"/>
                <w:numId w:val="1984"/>
              </w:numPr>
              <w:tabs>
                <w:tab w:val="left" w:pos="157"/>
              </w:tabs>
              <w:spacing w:line="155" w:lineRule="exact"/>
              <w:rPr>
                <w:sz w:val="14"/>
              </w:rPr>
            </w:pPr>
            <w:r>
              <w:rPr>
                <w:color w:val="231F20"/>
                <w:sz w:val="14"/>
              </w:rPr>
              <w:t>Разумевање</w:t>
            </w:r>
            <w:r>
              <w:rPr>
                <w:color w:val="231F20"/>
                <w:spacing w:val="-2"/>
                <w:sz w:val="14"/>
              </w:rPr>
              <w:t xml:space="preserve"> </w:t>
            </w:r>
            <w:r>
              <w:rPr>
                <w:color w:val="231F20"/>
                <w:sz w:val="14"/>
              </w:rPr>
              <w:t>међуна­</w:t>
            </w:r>
          </w:p>
          <w:p w:rsidR="00041039" w:rsidRDefault="001B26CB">
            <w:pPr>
              <w:pStyle w:val="TableParagraph"/>
              <w:ind w:right="15"/>
              <w:rPr>
                <w:sz w:val="14"/>
              </w:rPr>
            </w:pPr>
            <w:r>
              <w:rPr>
                <w:color w:val="231F20"/>
                <w:sz w:val="14"/>
              </w:rPr>
              <w:t>родног контекста у коме настаје југосло­ венска држава.</w:t>
            </w:r>
          </w:p>
          <w:p w:rsidR="00041039" w:rsidRDefault="001B26CB">
            <w:pPr>
              <w:pStyle w:val="TableParagraph"/>
              <w:numPr>
                <w:ilvl w:val="0"/>
                <w:numId w:val="1984"/>
              </w:numPr>
              <w:tabs>
                <w:tab w:val="left" w:pos="157"/>
              </w:tabs>
              <w:spacing w:line="158"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15"/>
              <w:rPr>
                <w:sz w:val="14"/>
              </w:rPr>
            </w:pPr>
            <w:r>
              <w:rPr>
                <w:color w:val="231F20"/>
                <w:sz w:val="14"/>
              </w:rPr>
              <w:t>одликама југословен­ ске државе.</w:t>
            </w:r>
          </w:p>
          <w:p w:rsidR="00041039" w:rsidRDefault="001B26CB">
            <w:pPr>
              <w:pStyle w:val="TableParagraph"/>
              <w:numPr>
                <w:ilvl w:val="0"/>
                <w:numId w:val="1984"/>
              </w:numPr>
              <w:tabs>
                <w:tab w:val="left" w:pos="157"/>
              </w:tabs>
              <w:spacing w:line="160" w:lineRule="exact"/>
              <w:ind w:right="169"/>
              <w:rPr>
                <w:sz w:val="14"/>
              </w:rPr>
            </w:pPr>
            <w:r>
              <w:rPr>
                <w:color w:val="231F20"/>
                <w:sz w:val="14"/>
              </w:rPr>
              <w:t>Проширивање</w:t>
            </w:r>
            <w:r>
              <w:rPr>
                <w:color w:val="231F20"/>
                <w:spacing w:val="-10"/>
                <w:sz w:val="14"/>
              </w:rPr>
              <w:t xml:space="preserve"> </w:t>
            </w:r>
            <w:r>
              <w:rPr>
                <w:color w:val="231F20"/>
                <w:sz w:val="14"/>
              </w:rPr>
              <w:t>знања о положају српског народа у југословен­ ској</w:t>
            </w:r>
            <w:r>
              <w:rPr>
                <w:color w:val="231F20"/>
                <w:spacing w:val="-1"/>
                <w:sz w:val="14"/>
              </w:rPr>
              <w:t xml:space="preserve"> </w:t>
            </w:r>
            <w:r>
              <w:rPr>
                <w:color w:val="231F20"/>
                <w:sz w:val="14"/>
              </w:rPr>
              <w:t>држави.</w:t>
            </w:r>
          </w:p>
          <w:p w:rsidR="00041039" w:rsidRDefault="001B26CB">
            <w:pPr>
              <w:pStyle w:val="TableParagraph"/>
              <w:numPr>
                <w:ilvl w:val="0"/>
                <w:numId w:val="1984"/>
              </w:numPr>
              <w:tabs>
                <w:tab w:val="left" w:pos="157"/>
              </w:tabs>
              <w:spacing w:line="160" w:lineRule="exact"/>
              <w:ind w:right="91"/>
              <w:rPr>
                <w:sz w:val="14"/>
              </w:rPr>
            </w:pPr>
            <w:r>
              <w:rPr>
                <w:color w:val="231F20"/>
                <w:spacing w:val="-3"/>
                <w:sz w:val="14"/>
              </w:rPr>
              <w:t xml:space="preserve">Уочавање улоге </w:t>
            </w:r>
            <w:r>
              <w:rPr>
                <w:color w:val="231F20"/>
                <w:sz w:val="14"/>
              </w:rPr>
              <w:t>знаменитих личности у политичком животу југословенске</w:t>
            </w:r>
            <w:r>
              <w:rPr>
                <w:color w:val="231F20"/>
                <w:spacing w:val="-7"/>
                <w:sz w:val="14"/>
              </w:rPr>
              <w:t xml:space="preserve"> </w:t>
            </w:r>
            <w:r>
              <w:rPr>
                <w:color w:val="231F20"/>
                <w:sz w:val="14"/>
              </w:rPr>
              <w:t>државе.</w:t>
            </w:r>
          </w:p>
          <w:p w:rsidR="00041039" w:rsidRDefault="001B26CB">
            <w:pPr>
              <w:pStyle w:val="TableParagraph"/>
              <w:numPr>
                <w:ilvl w:val="0"/>
                <w:numId w:val="1984"/>
              </w:numPr>
              <w:tabs>
                <w:tab w:val="left" w:pos="157"/>
              </w:tabs>
              <w:spacing w:line="160" w:lineRule="exact"/>
              <w:ind w:right="91"/>
              <w:rPr>
                <w:sz w:val="14"/>
              </w:rPr>
            </w:pPr>
            <w:r>
              <w:rPr>
                <w:color w:val="231F20"/>
                <w:sz w:val="14"/>
              </w:rPr>
              <w:t>Сагледавање међу­ народног положаја југословенске</w:t>
            </w:r>
            <w:r>
              <w:rPr>
                <w:color w:val="231F20"/>
                <w:spacing w:val="-7"/>
                <w:sz w:val="14"/>
              </w:rPr>
              <w:t xml:space="preserve"> </w:t>
            </w:r>
            <w:r>
              <w:rPr>
                <w:color w:val="231F20"/>
                <w:sz w:val="14"/>
              </w:rPr>
              <w:t>државе.</w:t>
            </w:r>
          </w:p>
        </w:tc>
        <w:tc>
          <w:tcPr>
            <w:tcW w:w="2551" w:type="dxa"/>
          </w:tcPr>
          <w:p w:rsidR="00041039" w:rsidRDefault="001B26CB">
            <w:pPr>
              <w:pStyle w:val="TableParagraph"/>
              <w:numPr>
                <w:ilvl w:val="0"/>
                <w:numId w:val="1983"/>
              </w:numPr>
              <w:tabs>
                <w:tab w:val="left" w:pos="157"/>
              </w:tabs>
              <w:spacing w:before="10"/>
              <w:ind w:right="68" w:hanging="99"/>
              <w:rPr>
                <w:sz w:val="14"/>
              </w:rPr>
            </w:pPr>
            <w:r>
              <w:rPr>
                <w:color w:val="231F20"/>
                <w:sz w:val="14"/>
              </w:rPr>
              <w:t>образложи најважније мотиве и</w:t>
            </w:r>
            <w:r>
              <w:rPr>
                <w:color w:val="231F20"/>
                <w:spacing w:val="-17"/>
                <w:sz w:val="14"/>
              </w:rPr>
              <w:t xml:space="preserve"> </w:t>
            </w:r>
            <w:r>
              <w:rPr>
                <w:color w:val="231F20"/>
                <w:sz w:val="14"/>
              </w:rPr>
              <w:t>узроке стварање југословенске</w:t>
            </w:r>
            <w:r>
              <w:rPr>
                <w:color w:val="231F20"/>
                <w:spacing w:val="-2"/>
                <w:sz w:val="14"/>
              </w:rPr>
              <w:t xml:space="preserve"> </w:t>
            </w:r>
            <w:r>
              <w:rPr>
                <w:color w:val="231F20"/>
                <w:sz w:val="14"/>
              </w:rPr>
              <w:t>државе;</w:t>
            </w:r>
          </w:p>
          <w:p w:rsidR="00041039" w:rsidRDefault="001B26CB">
            <w:pPr>
              <w:pStyle w:val="TableParagraph"/>
              <w:numPr>
                <w:ilvl w:val="0"/>
                <w:numId w:val="1983"/>
              </w:numPr>
              <w:tabs>
                <w:tab w:val="left" w:pos="157"/>
              </w:tabs>
              <w:spacing w:before="1" w:line="160" w:lineRule="exact"/>
              <w:ind w:right="284" w:hanging="99"/>
              <w:rPr>
                <w:sz w:val="14"/>
              </w:rPr>
            </w:pPr>
            <w:r>
              <w:rPr>
                <w:color w:val="231F20"/>
                <w:sz w:val="14"/>
              </w:rPr>
              <w:t>уочи значај настанка</w:t>
            </w:r>
            <w:r>
              <w:rPr>
                <w:color w:val="231F20"/>
                <w:spacing w:val="-25"/>
                <w:sz w:val="14"/>
              </w:rPr>
              <w:t xml:space="preserve"> </w:t>
            </w:r>
            <w:r>
              <w:rPr>
                <w:color w:val="231F20"/>
                <w:sz w:val="14"/>
              </w:rPr>
              <w:t>југословенске државе за српски</w:t>
            </w:r>
            <w:r>
              <w:rPr>
                <w:color w:val="231F20"/>
                <w:spacing w:val="-3"/>
                <w:sz w:val="14"/>
              </w:rPr>
              <w:t xml:space="preserve"> </w:t>
            </w:r>
            <w:r>
              <w:rPr>
                <w:color w:val="231F20"/>
                <w:sz w:val="14"/>
              </w:rPr>
              <w:t>народ;</w:t>
            </w:r>
          </w:p>
          <w:p w:rsidR="00041039" w:rsidRDefault="001B26CB">
            <w:pPr>
              <w:pStyle w:val="TableParagraph"/>
              <w:numPr>
                <w:ilvl w:val="0"/>
                <w:numId w:val="1983"/>
              </w:numPr>
              <w:tabs>
                <w:tab w:val="left" w:pos="157"/>
              </w:tabs>
              <w:spacing w:line="160" w:lineRule="exact"/>
              <w:ind w:right="43" w:hanging="99"/>
              <w:rPr>
                <w:sz w:val="14"/>
              </w:rPr>
            </w:pPr>
            <w:r>
              <w:rPr>
                <w:color w:val="231F20"/>
                <w:sz w:val="14"/>
              </w:rPr>
              <w:t>идентификује одлике југословенске државе као монархије и као</w:t>
            </w:r>
            <w:r>
              <w:rPr>
                <w:color w:val="231F20"/>
                <w:spacing w:val="-19"/>
                <w:sz w:val="14"/>
              </w:rPr>
              <w:t xml:space="preserve"> </w:t>
            </w:r>
            <w:r>
              <w:rPr>
                <w:color w:val="231F20"/>
                <w:sz w:val="14"/>
              </w:rPr>
              <w:t>републике;</w:t>
            </w:r>
          </w:p>
          <w:p w:rsidR="00041039" w:rsidRDefault="001B26CB">
            <w:pPr>
              <w:pStyle w:val="TableParagraph"/>
              <w:numPr>
                <w:ilvl w:val="0"/>
                <w:numId w:val="1983"/>
              </w:numPr>
              <w:tabs>
                <w:tab w:val="left" w:pos="157"/>
              </w:tabs>
              <w:spacing w:line="160" w:lineRule="exact"/>
              <w:ind w:right="138" w:hanging="99"/>
              <w:jc w:val="both"/>
              <w:rPr>
                <w:sz w:val="14"/>
              </w:rPr>
            </w:pPr>
            <w:r>
              <w:rPr>
                <w:color w:val="231F20"/>
                <w:sz w:val="14"/>
              </w:rPr>
              <w:t>разликује особености друштвено­по­ литичких система који су постојали</w:t>
            </w:r>
            <w:r>
              <w:rPr>
                <w:color w:val="231F20"/>
                <w:spacing w:val="-19"/>
                <w:sz w:val="14"/>
              </w:rPr>
              <w:t xml:space="preserve"> </w:t>
            </w:r>
            <w:r>
              <w:rPr>
                <w:color w:val="231F20"/>
                <w:sz w:val="14"/>
              </w:rPr>
              <w:t>у југословенској</w:t>
            </w:r>
            <w:r>
              <w:rPr>
                <w:color w:val="231F20"/>
                <w:spacing w:val="-1"/>
                <w:sz w:val="14"/>
              </w:rPr>
              <w:t xml:space="preserve"> </w:t>
            </w:r>
            <w:r>
              <w:rPr>
                <w:color w:val="231F20"/>
                <w:sz w:val="14"/>
              </w:rPr>
              <w:t>држави;</w:t>
            </w:r>
          </w:p>
          <w:p w:rsidR="00041039" w:rsidRDefault="001B26CB">
            <w:pPr>
              <w:pStyle w:val="TableParagraph"/>
              <w:numPr>
                <w:ilvl w:val="0"/>
                <w:numId w:val="1983"/>
              </w:numPr>
              <w:tabs>
                <w:tab w:val="left" w:pos="157"/>
              </w:tabs>
              <w:spacing w:line="160" w:lineRule="exact"/>
              <w:ind w:right="225" w:hanging="99"/>
              <w:rPr>
                <w:sz w:val="14"/>
              </w:rPr>
            </w:pPr>
            <w:r>
              <w:rPr>
                <w:color w:val="231F20"/>
                <w:sz w:val="14"/>
              </w:rPr>
              <w:t>уочи и разуме међународни</w:t>
            </w:r>
            <w:r>
              <w:rPr>
                <w:color w:val="231F20"/>
                <w:spacing w:val="-26"/>
                <w:sz w:val="14"/>
              </w:rPr>
              <w:t xml:space="preserve"> </w:t>
            </w:r>
            <w:r>
              <w:rPr>
                <w:color w:val="231F20"/>
                <w:sz w:val="14"/>
              </w:rPr>
              <w:t>положај југословенске</w:t>
            </w:r>
            <w:r>
              <w:rPr>
                <w:color w:val="231F20"/>
                <w:spacing w:val="-1"/>
                <w:sz w:val="14"/>
              </w:rPr>
              <w:t xml:space="preserve"> </w:t>
            </w:r>
            <w:r>
              <w:rPr>
                <w:color w:val="231F20"/>
                <w:sz w:val="14"/>
              </w:rPr>
              <w:t>државе;</w:t>
            </w:r>
          </w:p>
          <w:p w:rsidR="00041039" w:rsidRDefault="001B26CB">
            <w:pPr>
              <w:pStyle w:val="TableParagraph"/>
              <w:numPr>
                <w:ilvl w:val="0"/>
                <w:numId w:val="1983"/>
              </w:numPr>
              <w:tabs>
                <w:tab w:val="left" w:pos="157"/>
              </w:tabs>
              <w:spacing w:line="160" w:lineRule="exact"/>
              <w:ind w:right="246" w:hanging="99"/>
              <w:rPr>
                <w:sz w:val="14"/>
              </w:rPr>
            </w:pPr>
            <w:r>
              <w:rPr>
                <w:color w:val="231F20"/>
                <w:sz w:val="14"/>
              </w:rPr>
              <w:t>образложи доприносјугословенски­ хантифашистичких покретапобеди савезника у Другом светском</w:t>
            </w:r>
            <w:r>
              <w:rPr>
                <w:color w:val="231F20"/>
                <w:spacing w:val="-22"/>
                <w:sz w:val="14"/>
              </w:rPr>
              <w:t xml:space="preserve"> </w:t>
            </w:r>
            <w:r>
              <w:rPr>
                <w:color w:val="231F20"/>
                <w:sz w:val="14"/>
              </w:rPr>
              <w:t>рату;</w:t>
            </w:r>
          </w:p>
          <w:p w:rsidR="00041039" w:rsidRDefault="001B26CB">
            <w:pPr>
              <w:pStyle w:val="TableParagraph"/>
              <w:numPr>
                <w:ilvl w:val="0"/>
                <w:numId w:val="1983"/>
              </w:numPr>
              <w:tabs>
                <w:tab w:val="left" w:pos="157"/>
              </w:tabs>
              <w:spacing w:line="160" w:lineRule="exact"/>
              <w:ind w:right="214" w:hanging="99"/>
              <w:rPr>
                <w:sz w:val="14"/>
              </w:rPr>
            </w:pPr>
            <w:r>
              <w:rPr>
                <w:color w:val="231F20"/>
                <w:sz w:val="14"/>
              </w:rPr>
              <w:t>именује</w:t>
            </w:r>
            <w:r>
              <w:rPr>
                <w:color w:val="231F20"/>
                <w:sz w:val="14"/>
              </w:rPr>
              <w:t xml:space="preserve"> најважније личности које су утицале на</w:t>
            </w:r>
            <w:r>
              <w:rPr>
                <w:color w:val="231F20"/>
                <w:spacing w:val="-18"/>
                <w:sz w:val="14"/>
              </w:rPr>
              <w:t xml:space="preserve"> </w:t>
            </w:r>
            <w:r>
              <w:rPr>
                <w:color w:val="231F20"/>
                <w:sz w:val="14"/>
              </w:rPr>
              <w:t>друштвено­политичка збивања у</w:t>
            </w:r>
            <w:r>
              <w:rPr>
                <w:color w:val="231F20"/>
                <w:spacing w:val="-1"/>
                <w:sz w:val="14"/>
              </w:rPr>
              <w:t xml:space="preserve"> </w:t>
            </w:r>
            <w:r>
              <w:rPr>
                <w:color w:val="231F20"/>
                <w:sz w:val="14"/>
              </w:rPr>
              <w:t>Југославији;</w:t>
            </w:r>
          </w:p>
        </w:tc>
        <w:tc>
          <w:tcPr>
            <w:tcW w:w="2834" w:type="dxa"/>
          </w:tcPr>
          <w:p w:rsidR="00041039" w:rsidRDefault="001B26CB">
            <w:pPr>
              <w:pStyle w:val="TableParagraph"/>
              <w:numPr>
                <w:ilvl w:val="0"/>
                <w:numId w:val="1982"/>
              </w:numPr>
              <w:tabs>
                <w:tab w:val="left" w:pos="157"/>
              </w:tabs>
              <w:spacing w:before="11"/>
              <w:ind w:right="431" w:hanging="99"/>
              <w:rPr>
                <w:sz w:val="14"/>
              </w:rPr>
            </w:pPr>
            <w:r>
              <w:rPr>
                <w:color w:val="231F20"/>
                <w:sz w:val="14"/>
              </w:rPr>
              <w:t>Југословенска идеја и</w:t>
            </w:r>
            <w:r>
              <w:rPr>
                <w:color w:val="231F20"/>
                <w:spacing w:val="-20"/>
                <w:sz w:val="14"/>
              </w:rPr>
              <w:t xml:space="preserve"> </w:t>
            </w:r>
            <w:r>
              <w:rPr>
                <w:color w:val="231F20"/>
                <w:sz w:val="14"/>
              </w:rPr>
              <w:t>конституисање државе.</w:t>
            </w:r>
          </w:p>
          <w:p w:rsidR="00041039" w:rsidRDefault="001B26CB">
            <w:pPr>
              <w:pStyle w:val="TableParagraph"/>
              <w:numPr>
                <w:ilvl w:val="0"/>
                <w:numId w:val="1982"/>
              </w:numPr>
              <w:tabs>
                <w:tab w:val="left" w:pos="157"/>
              </w:tabs>
              <w:spacing w:line="160" w:lineRule="exact"/>
              <w:ind w:right="372" w:hanging="99"/>
              <w:rPr>
                <w:sz w:val="14"/>
              </w:rPr>
            </w:pPr>
            <w:r>
              <w:rPr>
                <w:color w:val="231F20"/>
                <w:sz w:val="14"/>
              </w:rPr>
              <w:t>Одлике политичког система у</w:t>
            </w:r>
            <w:r>
              <w:rPr>
                <w:color w:val="231F20"/>
                <w:spacing w:val="-22"/>
                <w:sz w:val="14"/>
              </w:rPr>
              <w:t xml:space="preserve"> </w:t>
            </w:r>
            <w:r>
              <w:rPr>
                <w:color w:val="231F20"/>
                <w:sz w:val="14"/>
              </w:rPr>
              <w:t>југосло­ венској краљевини (политичке борбе, Видовдански и Октроисани</w:t>
            </w:r>
            <w:r>
              <w:rPr>
                <w:color w:val="231F20"/>
                <w:spacing w:val="-3"/>
                <w:sz w:val="14"/>
              </w:rPr>
              <w:t xml:space="preserve"> </w:t>
            </w:r>
            <w:r>
              <w:rPr>
                <w:color w:val="231F20"/>
                <w:sz w:val="14"/>
              </w:rPr>
              <w:t>устав,</w:t>
            </w:r>
          </w:p>
          <w:p w:rsidR="00041039" w:rsidRDefault="001B26CB">
            <w:pPr>
              <w:pStyle w:val="TableParagraph"/>
              <w:spacing w:line="237" w:lineRule="auto"/>
              <w:rPr>
                <w:sz w:val="14"/>
              </w:rPr>
            </w:pPr>
            <w:r>
              <w:rPr>
                <w:color w:val="231F20"/>
                <w:sz w:val="14"/>
              </w:rPr>
              <w:t>лични режим краља Александра, стварање Бановине Хрватске и отварање српског питања).</w:t>
            </w:r>
          </w:p>
          <w:p w:rsidR="00041039" w:rsidRDefault="001B26CB">
            <w:pPr>
              <w:pStyle w:val="TableParagraph"/>
              <w:numPr>
                <w:ilvl w:val="0"/>
                <w:numId w:val="1982"/>
              </w:numPr>
              <w:tabs>
                <w:tab w:val="left" w:pos="157"/>
              </w:tabs>
              <w:spacing w:line="237" w:lineRule="auto"/>
              <w:ind w:right="92" w:hanging="99"/>
              <w:rPr>
                <w:sz w:val="14"/>
              </w:rPr>
            </w:pPr>
            <w:r>
              <w:rPr>
                <w:color w:val="231F20"/>
                <w:sz w:val="14"/>
              </w:rPr>
              <w:t>Априлски рат и последице пораза,</w:t>
            </w:r>
            <w:r>
              <w:rPr>
                <w:color w:val="231F20"/>
                <w:spacing w:val="-20"/>
                <w:sz w:val="14"/>
              </w:rPr>
              <w:t xml:space="preserve"> </w:t>
            </w:r>
            <w:r>
              <w:rPr>
                <w:color w:val="231F20"/>
                <w:sz w:val="14"/>
              </w:rPr>
              <w:t>геноцид над Србима у</w:t>
            </w:r>
            <w:r>
              <w:rPr>
                <w:color w:val="231F20"/>
                <w:spacing w:val="-2"/>
                <w:sz w:val="14"/>
              </w:rPr>
              <w:t xml:space="preserve"> </w:t>
            </w:r>
            <w:r>
              <w:rPr>
                <w:color w:val="231F20"/>
                <w:sz w:val="14"/>
              </w:rPr>
              <w:t>НДХ.</w:t>
            </w:r>
          </w:p>
          <w:p w:rsidR="00041039" w:rsidRDefault="001B26CB">
            <w:pPr>
              <w:pStyle w:val="TableParagraph"/>
              <w:numPr>
                <w:ilvl w:val="0"/>
                <w:numId w:val="1982"/>
              </w:numPr>
              <w:tabs>
                <w:tab w:val="left" w:pos="157"/>
              </w:tabs>
              <w:spacing w:line="155" w:lineRule="exact"/>
              <w:ind w:hanging="99"/>
              <w:rPr>
                <w:sz w:val="14"/>
              </w:rPr>
            </w:pPr>
            <w:r>
              <w:rPr>
                <w:color w:val="231F20"/>
                <w:sz w:val="14"/>
              </w:rPr>
              <w:t>Отпор, устанак и грађански</w:t>
            </w:r>
            <w:r>
              <w:rPr>
                <w:color w:val="231F20"/>
                <w:spacing w:val="-5"/>
                <w:sz w:val="14"/>
              </w:rPr>
              <w:t xml:space="preserve"> </w:t>
            </w:r>
            <w:r>
              <w:rPr>
                <w:color w:val="231F20"/>
                <w:spacing w:val="-4"/>
                <w:sz w:val="14"/>
              </w:rPr>
              <w:t>рат.</w:t>
            </w:r>
          </w:p>
          <w:p w:rsidR="00041039" w:rsidRDefault="001B26CB">
            <w:pPr>
              <w:pStyle w:val="TableParagraph"/>
              <w:numPr>
                <w:ilvl w:val="0"/>
                <w:numId w:val="1982"/>
              </w:numPr>
              <w:tabs>
                <w:tab w:val="left" w:pos="157"/>
              </w:tabs>
              <w:spacing w:line="237" w:lineRule="auto"/>
              <w:ind w:right="56" w:hanging="99"/>
              <w:rPr>
                <w:sz w:val="14"/>
              </w:rPr>
            </w:pPr>
            <w:r>
              <w:rPr>
                <w:color w:val="231F20"/>
                <w:sz w:val="14"/>
              </w:rPr>
              <w:t>Биланс рата и допринос Југославије</w:t>
            </w:r>
            <w:r>
              <w:rPr>
                <w:color w:val="231F20"/>
                <w:spacing w:val="-15"/>
                <w:sz w:val="14"/>
              </w:rPr>
              <w:t xml:space="preserve"> </w:t>
            </w:r>
            <w:r>
              <w:rPr>
                <w:color w:val="231F20"/>
                <w:sz w:val="14"/>
              </w:rPr>
              <w:t>победи антифашистичке</w:t>
            </w:r>
            <w:r>
              <w:rPr>
                <w:color w:val="231F20"/>
                <w:spacing w:val="-1"/>
                <w:sz w:val="14"/>
              </w:rPr>
              <w:t xml:space="preserve"> </w:t>
            </w:r>
            <w:r>
              <w:rPr>
                <w:color w:val="231F20"/>
                <w:sz w:val="14"/>
              </w:rPr>
              <w:t>коалиције.</w:t>
            </w:r>
          </w:p>
          <w:p w:rsidR="00041039" w:rsidRDefault="001B26CB">
            <w:pPr>
              <w:pStyle w:val="TableParagraph"/>
              <w:numPr>
                <w:ilvl w:val="0"/>
                <w:numId w:val="1982"/>
              </w:numPr>
              <w:tabs>
                <w:tab w:val="left" w:pos="157"/>
              </w:tabs>
              <w:spacing w:line="160" w:lineRule="exact"/>
              <w:ind w:right="187" w:hanging="99"/>
              <w:rPr>
                <w:sz w:val="14"/>
              </w:rPr>
            </w:pPr>
            <w:r>
              <w:rPr>
                <w:color w:val="231F20"/>
                <w:sz w:val="14"/>
              </w:rPr>
              <w:t>Проглашење</w:t>
            </w:r>
            <w:r>
              <w:rPr>
                <w:color w:val="231F20"/>
                <w:spacing w:val="-9"/>
                <w:sz w:val="14"/>
              </w:rPr>
              <w:t xml:space="preserve"> </w:t>
            </w:r>
            <w:r>
              <w:rPr>
                <w:color w:val="231F20"/>
                <w:sz w:val="14"/>
              </w:rPr>
              <w:t>р</w:t>
            </w:r>
            <w:r>
              <w:rPr>
                <w:color w:val="231F20"/>
                <w:sz w:val="14"/>
              </w:rPr>
              <w:t>епублике</w:t>
            </w:r>
            <w:r>
              <w:rPr>
                <w:color w:val="231F20"/>
                <w:spacing w:val="-9"/>
                <w:sz w:val="14"/>
              </w:rPr>
              <w:t xml:space="preserve"> </w:t>
            </w:r>
            <w:r>
              <w:rPr>
                <w:color w:val="231F20"/>
                <w:sz w:val="14"/>
              </w:rPr>
              <w:t>и</w:t>
            </w:r>
            <w:r>
              <w:rPr>
                <w:color w:val="231F20"/>
                <w:spacing w:val="-9"/>
                <w:sz w:val="14"/>
              </w:rPr>
              <w:t xml:space="preserve"> </w:t>
            </w:r>
            <w:r>
              <w:rPr>
                <w:color w:val="231F20"/>
                <w:sz w:val="14"/>
              </w:rPr>
              <w:t>изградња</w:t>
            </w:r>
            <w:r>
              <w:rPr>
                <w:color w:val="231F20"/>
                <w:spacing w:val="-9"/>
                <w:sz w:val="14"/>
              </w:rPr>
              <w:t xml:space="preserve"> </w:t>
            </w:r>
            <w:r>
              <w:rPr>
                <w:color w:val="231F20"/>
                <w:sz w:val="14"/>
              </w:rPr>
              <w:t>новог државног и друштвеног</w:t>
            </w:r>
            <w:r>
              <w:rPr>
                <w:color w:val="231F20"/>
                <w:spacing w:val="-2"/>
                <w:sz w:val="14"/>
              </w:rPr>
              <w:t xml:space="preserve"> </w:t>
            </w:r>
            <w:r>
              <w:rPr>
                <w:color w:val="231F20"/>
                <w:sz w:val="14"/>
              </w:rPr>
              <w:t>уређења.</w:t>
            </w:r>
          </w:p>
          <w:p w:rsidR="00041039" w:rsidRDefault="001B26CB">
            <w:pPr>
              <w:pStyle w:val="TableParagraph"/>
              <w:numPr>
                <w:ilvl w:val="0"/>
                <w:numId w:val="1982"/>
              </w:numPr>
              <w:tabs>
                <w:tab w:val="left" w:pos="157"/>
              </w:tabs>
              <w:spacing w:line="160" w:lineRule="exact"/>
              <w:ind w:right="323" w:hanging="99"/>
              <w:rPr>
                <w:sz w:val="14"/>
              </w:rPr>
            </w:pPr>
            <w:r>
              <w:rPr>
                <w:color w:val="231F20"/>
                <w:spacing w:val="-3"/>
                <w:sz w:val="14"/>
              </w:rPr>
              <w:t xml:space="preserve">Сукоб </w:t>
            </w:r>
            <w:r>
              <w:rPr>
                <w:color w:val="231F20"/>
                <w:sz w:val="14"/>
              </w:rPr>
              <w:t xml:space="preserve">Југославије и социјалистичких земаља резолуција Информбироа, </w:t>
            </w:r>
            <w:r>
              <w:rPr>
                <w:color w:val="231F20"/>
                <w:spacing w:val="-5"/>
                <w:sz w:val="14"/>
              </w:rPr>
              <w:t xml:space="preserve">Голи </w:t>
            </w:r>
            <w:r>
              <w:rPr>
                <w:color w:val="231F20"/>
                <w:sz w:val="14"/>
              </w:rPr>
              <w:t>оток.</w:t>
            </w:r>
          </w:p>
          <w:p w:rsidR="00041039" w:rsidRDefault="001B26CB">
            <w:pPr>
              <w:pStyle w:val="TableParagraph"/>
              <w:numPr>
                <w:ilvl w:val="0"/>
                <w:numId w:val="1982"/>
              </w:numPr>
              <w:tabs>
                <w:tab w:val="left" w:pos="157"/>
              </w:tabs>
              <w:spacing w:line="153" w:lineRule="exact"/>
              <w:ind w:hanging="99"/>
              <w:rPr>
                <w:sz w:val="14"/>
              </w:rPr>
            </w:pPr>
            <w:r>
              <w:rPr>
                <w:color w:val="231F20"/>
                <w:sz w:val="14"/>
              </w:rPr>
              <w:t>Југославија између истока и</w:t>
            </w:r>
            <w:r>
              <w:rPr>
                <w:color w:val="231F20"/>
                <w:spacing w:val="-6"/>
                <w:sz w:val="14"/>
              </w:rPr>
              <w:t xml:space="preserve"> </w:t>
            </w:r>
            <w:r>
              <w:rPr>
                <w:color w:val="231F20"/>
                <w:sz w:val="14"/>
              </w:rPr>
              <w:t>запада.</w:t>
            </w:r>
          </w:p>
          <w:p w:rsidR="00041039" w:rsidRDefault="001B26CB">
            <w:pPr>
              <w:pStyle w:val="TableParagraph"/>
              <w:numPr>
                <w:ilvl w:val="0"/>
                <w:numId w:val="1982"/>
              </w:numPr>
              <w:tabs>
                <w:tab w:val="left" w:pos="157"/>
              </w:tabs>
              <w:spacing w:line="237" w:lineRule="auto"/>
              <w:ind w:right="105" w:hanging="99"/>
              <w:rPr>
                <w:sz w:val="14"/>
              </w:rPr>
            </w:pPr>
            <w:r>
              <w:rPr>
                <w:color w:val="231F20"/>
                <w:sz w:val="14"/>
              </w:rPr>
              <w:t>Разбијање и распад Југославије ­пораз Југославије</w:t>
            </w:r>
            <w:r>
              <w:rPr>
                <w:color w:val="231F20"/>
                <w:spacing w:val="-8"/>
                <w:sz w:val="14"/>
              </w:rPr>
              <w:t xml:space="preserve"> </w:t>
            </w:r>
            <w:r>
              <w:rPr>
                <w:color w:val="231F20"/>
                <w:sz w:val="14"/>
              </w:rPr>
              <w:t>као</w:t>
            </w:r>
            <w:r>
              <w:rPr>
                <w:color w:val="231F20"/>
                <w:spacing w:val="-8"/>
                <w:sz w:val="14"/>
              </w:rPr>
              <w:t xml:space="preserve"> </w:t>
            </w:r>
            <w:r>
              <w:rPr>
                <w:color w:val="231F20"/>
                <w:sz w:val="14"/>
              </w:rPr>
              <w:t>идеје,</w:t>
            </w:r>
            <w:r>
              <w:rPr>
                <w:color w:val="231F20"/>
                <w:spacing w:val="-8"/>
                <w:sz w:val="14"/>
              </w:rPr>
              <w:t xml:space="preserve"> </w:t>
            </w:r>
            <w:r>
              <w:rPr>
                <w:color w:val="231F20"/>
                <w:sz w:val="14"/>
              </w:rPr>
              <w:t>политичког</w:t>
            </w:r>
            <w:r>
              <w:rPr>
                <w:color w:val="231F20"/>
                <w:spacing w:val="-8"/>
                <w:sz w:val="14"/>
              </w:rPr>
              <w:t xml:space="preserve"> </w:t>
            </w:r>
            <w:r>
              <w:rPr>
                <w:color w:val="231F20"/>
                <w:sz w:val="14"/>
              </w:rPr>
              <w:t>пројекта и друштвеног система, велике силе и југословенска криза, ратови уСловенији, Хрватској, Босни и Херцеговини, на­ станак нових држава, сукоби на</w:t>
            </w:r>
            <w:r>
              <w:rPr>
                <w:color w:val="231F20"/>
                <w:spacing w:val="-13"/>
                <w:sz w:val="14"/>
              </w:rPr>
              <w:t xml:space="preserve"> </w:t>
            </w:r>
            <w:r>
              <w:rPr>
                <w:color w:val="231F20"/>
                <w:sz w:val="14"/>
              </w:rPr>
              <w:t>Косову</w:t>
            </w:r>
          </w:p>
          <w:p w:rsidR="00041039" w:rsidRDefault="001B26CB">
            <w:pPr>
              <w:pStyle w:val="TableParagraph"/>
              <w:ind w:right="84"/>
              <w:rPr>
                <w:sz w:val="14"/>
              </w:rPr>
            </w:pPr>
            <w:r>
              <w:rPr>
                <w:color w:val="231F20"/>
                <w:sz w:val="14"/>
              </w:rPr>
              <w:t>и Метохији и НАТО интервенција 1999., Косовско питање, раздвајање Србије и Црне Горе.</w:t>
            </w:r>
          </w:p>
          <w:p w:rsidR="00041039" w:rsidRDefault="001B26CB">
            <w:pPr>
              <w:pStyle w:val="TableParagraph"/>
              <w:numPr>
                <w:ilvl w:val="0"/>
                <w:numId w:val="1982"/>
              </w:numPr>
              <w:tabs>
                <w:tab w:val="left" w:pos="157"/>
              </w:tabs>
              <w:spacing w:line="158" w:lineRule="exact"/>
              <w:ind w:hanging="99"/>
              <w:rPr>
                <w:sz w:val="14"/>
              </w:rPr>
            </w:pPr>
            <w:r>
              <w:rPr>
                <w:color w:val="231F20"/>
                <w:sz w:val="14"/>
              </w:rPr>
              <w:t>Најзначајније личности (краљ</w:t>
            </w:r>
            <w:r>
              <w:rPr>
                <w:color w:val="231F20"/>
                <w:spacing w:val="-9"/>
                <w:sz w:val="14"/>
              </w:rPr>
              <w:t xml:space="preserve"> </w:t>
            </w:r>
            <w:r>
              <w:rPr>
                <w:color w:val="231F20"/>
                <w:sz w:val="14"/>
              </w:rPr>
              <w:t>Александар</w:t>
            </w:r>
          </w:p>
          <w:p w:rsidR="00041039" w:rsidRDefault="001B26CB">
            <w:pPr>
              <w:pStyle w:val="TableParagraph"/>
              <w:numPr>
                <w:ilvl w:val="1"/>
                <w:numId w:val="1982"/>
              </w:numPr>
              <w:tabs>
                <w:tab w:val="left" w:pos="239"/>
              </w:tabs>
              <w:ind w:right="255" w:firstLine="0"/>
              <w:rPr>
                <w:sz w:val="14"/>
              </w:rPr>
            </w:pPr>
            <w:r>
              <w:rPr>
                <w:color w:val="231F20"/>
                <w:sz w:val="14"/>
              </w:rPr>
              <w:t xml:space="preserve">Карађорђевић, </w:t>
            </w:r>
            <w:r>
              <w:rPr>
                <w:color w:val="231F20"/>
                <w:spacing w:val="-3"/>
                <w:sz w:val="14"/>
              </w:rPr>
              <w:t xml:space="preserve">Никола </w:t>
            </w:r>
            <w:r>
              <w:rPr>
                <w:color w:val="231F20"/>
                <w:sz w:val="14"/>
              </w:rPr>
              <w:t xml:space="preserve">Пашић, Стјепан Радић, Љуба Давидовић, Светозар Прибићевић, Антон Корошец, Милан Стојадиновић, </w:t>
            </w:r>
            <w:r>
              <w:rPr>
                <w:color w:val="231F20"/>
                <w:spacing w:val="-2"/>
                <w:sz w:val="14"/>
              </w:rPr>
              <w:t xml:space="preserve">Влатко </w:t>
            </w:r>
            <w:r>
              <w:rPr>
                <w:color w:val="231F20"/>
                <w:sz w:val="14"/>
              </w:rPr>
              <w:t>Мачек, кнез Павле Карађорђевић, краљ</w:t>
            </w:r>
            <w:r>
              <w:rPr>
                <w:color w:val="231F20"/>
                <w:spacing w:val="-3"/>
                <w:sz w:val="14"/>
              </w:rPr>
              <w:t xml:space="preserve"> </w:t>
            </w:r>
            <w:r>
              <w:rPr>
                <w:color w:val="231F20"/>
                <w:sz w:val="14"/>
              </w:rPr>
              <w:t>Петар</w:t>
            </w:r>
          </w:p>
          <w:p w:rsidR="00041039" w:rsidRDefault="001B26CB">
            <w:pPr>
              <w:pStyle w:val="TableParagraph"/>
              <w:numPr>
                <w:ilvl w:val="1"/>
                <w:numId w:val="1982"/>
              </w:numPr>
              <w:tabs>
                <w:tab w:val="left" w:pos="286"/>
              </w:tabs>
              <w:spacing w:line="237" w:lineRule="auto"/>
              <w:ind w:right="158" w:firstLine="0"/>
              <w:rPr>
                <w:sz w:val="14"/>
              </w:rPr>
            </w:pPr>
            <w:r>
              <w:rPr>
                <w:color w:val="231F20"/>
                <w:sz w:val="14"/>
              </w:rPr>
              <w:t xml:space="preserve">Карађорђевић, генерал Драгољуб Михаиловић, генерал </w:t>
            </w:r>
            <w:r>
              <w:rPr>
                <w:color w:val="231F20"/>
                <w:sz w:val="14"/>
              </w:rPr>
              <w:t>Милан Недић,</w:t>
            </w:r>
            <w:r>
              <w:rPr>
                <w:color w:val="231F20"/>
                <w:spacing w:val="-17"/>
                <w:sz w:val="14"/>
              </w:rPr>
              <w:t xml:space="preserve"> </w:t>
            </w:r>
            <w:r>
              <w:rPr>
                <w:color w:val="231F20"/>
                <w:sz w:val="14"/>
              </w:rPr>
              <w:t>Анте Павелић, Јосип Броз Тито, Слободан Милошевић, Фрањо</w:t>
            </w:r>
            <w:r>
              <w:rPr>
                <w:color w:val="231F20"/>
                <w:spacing w:val="-4"/>
                <w:sz w:val="14"/>
              </w:rPr>
              <w:t xml:space="preserve"> </w:t>
            </w:r>
            <w:r>
              <w:rPr>
                <w:color w:val="231F20"/>
                <w:sz w:val="14"/>
              </w:rPr>
              <w:t>Туђман...).</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960"/>
        </w:trPr>
        <w:tc>
          <w:tcPr>
            <w:tcW w:w="1304" w:type="dxa"/>
          </w:tcPr>
          <w:p w:rsidR="00041039" w:rsidRDefault="001B26CB">
            <w:pPr>
              <w:pStyle w:val="TableParagraph"/>
              <w:spacing w:before="18"/>
              <w:ind w:left="56" w:right="85"/>
              <w:rPr>
                <w:sz w:val="14"/>
              </w:rPr>
            </w:pPr>
            <w:r>
              <w:rPr>
                <w:color w:val="231F20"/>
                <w:sz w:val="14"/>
              </w:rPr>
              <w:lastRenderedPageBreak/>
              <w:t>Достигнућа српске културе</w:t>
            </w:r>
          </w:p>
        </w:tc>
        <w:tc>
          <w:tcPr>
            <w:tcW w:w="1587" w:type="dxa"/>
          </w:tcPr>
          <w:p w:rsidR="00041039" w:rsidRDefault="001B26CB">
            <w:pPr>
              <w:pStyle w:val="TableParagraph"/>
              <w:numPr>
                <w:ilvl w:val="0"/>
                <w:numId w:val="1981"/>
              </w:numPr>
              <w:tabs>
                <w:tab w:val="left" w:pos="157"/>
              </w:tabs>
              <w:spacing w:before="8"/>
              <w:ind w:right="324"/>
              <w:jc w:val="both"/>
              <w:rPr>
                <w:sz w:val="14"/>
              </w:rPr>
            </w:pPr>
            <w:r>
              <w:rPr>
                <w:color w:val="231F20"/>
                <w:sz w:val="14"/>
              </w:rPr>
              <w:t>Разумевање појма српског</w:t>
            </w:r>
            <w:r>
              <w:rPr>
                <w:color w:val="231F20"/>
                <w:spacing w:val="-18"/>
                <w:sz w:val="14"/>
              </w:rPr>
              <w:t xml:space="preserve"> </w:t>
            </w:r>
            <w:r>
              <w:rPr>
                <w:color w:val="231F20"/>
                <w:sz w:val="14"/>
              </w:rPr>
              <w:t>културног простора.</w:t>
            </w:r>
          </w:p>
          <w:p w:rsidR="00041039" w:rsidRDefault="001B26CB">
            <w:pPr>
              <w:pStyle w:val="TableParagraph"/>
              <w:numPr>
                <w:ilvl w:val="0"/>
                <w:numId w:val="1981"/>
              </w:numPr>
              <w:tabs>
                <w:tab w:val="left" w:pos="157"/>
              </w:tabs>
              <w:spacing w:line="157" w:lineRule="exact"/>
              <w:rPr>
                <w:sz w:val="14"/>
              </w:rPr>
            </w:pPr>
            <w:r>
              <w:rPr>
                <w:color w:val="231F20"/>
                <w:sz w:val="14"/>
              </w:rPr>
              <w:t>Развијање</w:t>
            </w:r>
            <w:r>
              <w:rPr>
                <w:color w:val="231F20"/>
                <w:spacing w:val="-2"/>
                <w:sz w:val="14"/>
              </w:rPr>
              <w:t xml:space="preserve"> </w:t>
            </w:r>
            <w:r>
              <w:rPr>
                <w:color w:val="231F20"/>
                <w:sz w:val="14"/>
              </w:rPr>
              <w:t>свести</w:t>
            </w:r>
          </w:p>
          <w:p w:rsidR="00041039" w:rsidRDefault="001B26CB">
            <w:pPr>
              <w:pStyle w:val="TableParagraph"/>
              <w:ind w:right="15"/>
              <w:rPr>
                <w:sz w:val="14"/>
              </w:rPr>
            </w:pPr>
            <w:r>
              <w:rPr>
                <w:color w:val="231F20"/>
                <w:sz w:val="14"/>
              </w:rPr>
              <w:t>овишевековном континуитету српске културе.</w:t>
            </w:r>
          </w:p>
          <w:p w:rsidR="00041039" w:rsidRDefault="001B26CB">
            <w:pPr>
              <w:pStyle w:val="TableParagraph"/>
              <w:numPr>
                <w:ilvl w:val="0"/>
                <w:numId w:val="1981"/>
              </w:numPr>
              <w:tabs>
                <w:tab w:val="left" w:pos="157"/>
              </w:tabs>
              <w:spacing w:line="158" w:lineRule="exact"/>
              <w:rPr>
                <w:sz w:val="14"/>
              </w:rPr>
            </w:pPr>
            <w:r>
              <w:rPr>
                <w:color w:val="231F20"/>
                <w:sz w:val="14"/>
              </w:rPr>
              <w:t>Сагледавање</w:t>
            </w:r>
            <w:r>
              <w:rPr>
                <w:color w:val="231F20"/>
                <w:spacing w:val="-3"/>
                <w:sz w:val="14"/>
              </w:rPr>
              <w:t xml:space="preserve"> </w:t>
            </w:r>
            <w:r>
              <w:rPr>
                <w:color w:val="231F20"/>
                <w:sz w:val="14"/>
              </w:rPr>
              <w:t>српске</w:t>
            </w:r>
          </w:p>
          <w:p w:rsidR="00041039" w:rsidRDefault="001B26CB">
            <w:pPr>
              <w:pStyle w:val="TableParagraph"/>
              <w:ind w:right="15"/>
              <w:rPr>
                <w:sz w:val="14"/>
              </w:rPr>
            </w:pPr>
            <w:r>
              <w:rPr>
                <w:color w:val="231F20"/>
                <w:sz w:val="14"/>
              </w:rPr>
              <w:t>културе као дела европског културног наслеђа.</w:t>
            </w:r>
          </w:p>
          <w:p w:rsidR="00041039" w:rsidRDefault="001B26CB">
            <w:pPr>
              <w:pStyle w:val="TableParagraph"/>
              <w:numPr>
                <w:ilvl w:val="0"/>
                <w:numId w:val="1981"/>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71"/>
              <w:rPr>
                <w:sz w:val="14"/>
              </w:rPr>
            </w:pPr>
            <w:r>
              <w:rPr>
                <w:color w:val="231F20"/>
                <w:sz w:val="14"/>
              </w:rPr>
              <w:t>o највишим дометима и представницима српске културе.</w:t>
            </w:r>
          </w:p>
          <w:p w:rsidR="00041039" w:rsidRDefault="001B26CB">
            <w:pPr>
              <w:pStyle w:val="TableParagraph"/>
              <w:numPr>
                <w:ilvl w:val="0"/>
                <w:numId w:val="1981"/>
              </w:numPr>
              <w:tabs>
                <w:tab w:val="left" w:pos="157"/>
              </w:tabs>
              <w:spacing w:line="158" w:lineRule="exact"/>
              <w:rPr>
                <w:sz w:val="14"/>
              </w:rPr>
            </w:pPr>
            <w:r>
              <w:rPr>
                <w:color w:val="231F20"/>
                <w:sz w:val="14"/>
              </w:rPr>
              <w:t>Развијање</w:t>
            </w:r>
            <w:r>
              <w:rPr>
                <w:color w:val="231F20"/>
                <w:spacing w:val="-2"/>
                <w:sz w:val="14"/>
              </w:rPr>
              <w:t xml:space="preserve"> </w:t>
            </w:r>
            <w:r>
              <w:rPr>
                <w:color w:val="231F20"/>
                <w:sz w:val="14"/>
              </w:rPr>
              <w:t>свести</w:t>
            </w:r>
          </w:p>
          <w:p w:rsidR="00041039" w:rsidRDefault="001B26CB">
            <w:pPr>
              <w:pStyle w:val="TableParagraph"/>
              <w:ind w:right="152"/>
              <w:rPr>
                <w:sz w:val="14"/>
              </w:rPr>
            </w:pPr>
            <w:r>
              <w:rPr>
                <w:color w:val="231F20"/>
                <w:sz w:val="14"/>
              </w:rPr>
              <w:t>означају образовања за општи културни напредак.</w:t>
            </w:r>
          </w:p>
          <w:p w:rsidR="00041039" w:rsidRDefault="001B26CB">
            <w:pPr>
              <w:pStyle w:val="TableParagraph"/>
              <w:numPr>
                <w:ilvl w:val="0"/>
                <w:numId w:val="1981"/>
              </w:numPr>
              <w:tabs>
                <w:tab w:val="left" w:pos="157"/>
              </w:tabs>
              <w:spacing w:line="158" w:lineRule="exact"/>
              <w:rPr>
                <w:sz w:val="14"/>
              </w:rPr>
            </w:pPr>
            <w:r>
              <w:rPr>
                <w:color w:val="231F20"/>
                <w:spacing w:val="-3"/>
                <w:sz w:val="14"/>
              </w:rPr>
              <w:t xml:space="preserve">Уочавање </w:t>
            </w:r>
            <w:r>
              <w:rPr>
                <w:color w:val="231F20"/>
                <w:sz w:val="14"/>
              </w:rPr>
              <w:t>промена</w:t>
            </w:r>
            <w:r>
              <w:rPr>
                <w:color w:val="231F20"/>
                <w:spacing w:val="1"/>
                <w:sz w:val="14"/>
              </w:rPr>
              <w:t xml:space="preserve"> </w:t>
            </w:r>
            <w:r>
              <w:rPr>
                <w:color w:val="231F20"/>
                <w:sz w:val="14"/>
              </w:rPr>
              <w:t>у</w:t>
            </w:r>
          </w:p>
          <w:p w:rsidR="00041039" w:rsidRDefault="001B26CB">
            <w:pPr>
              <w:pStyle w:val="TableParagraph"/>
              <w:ind w:right="15"/>
              <w:rPr>
                <w:sz w:val="14"/>
              </w:rPr>
            </w:pPr>
            <w:r>
              <w:rPr>
                <w:color w:val="231F20"/>
                <w:sz w:val="14"/>
              </w:rPr>
              <w:t>свакодневном животу код Срба кроз векове.</w:t>
            </w:r>
          </w:p>
        </w:tc>
        <w:tc>
          <w:tcPr>
            <w:tcW w:w="2551" w:type="dxa"/>
          </w:tcPr>
          <w:p w:rsidR="00041039" w:rsidRDefault="001B26CB">
            <w:pPr>
              <w:pStyle w:val="TableParagraph"/>
              <w:numPr>
                <w:ilvl w:val="0"/>
                <w:numId w:val="1980"/>
              </w:numPr>
              <w:tabs>
                <w:tab w:val="left" w:pos="157"/>
              </w:tabs>
              <w:spacing w:before="8"/>
              <w:ind w:right="104" w:hanging="99"/>
              <w:rPr>
                <w:sz w:val="14"/>
              </w:rPr>
            </w:pPr>
            <w:r>
              <w:rPr>
                <w:color w:val="231F20"/>
                <w:sz w:val="14"/>
              </w:rPr>
              <w:t>разликује пер</w:t>
            </w:r>
            <w:r>
              <w:rPr>
                <w:color w:val="231F20"/>
                <w:sz w:val="14"/>
              </w:rPr>
              <w:t>иоде у којима су</w:t>
            </w:r>
            <w:r>
              <w:rPr>
                <w:color w:val="231F20"/>
                <w:spacing w:val="-23"/>
                <w:sz w:val="14"/>
              </w:rPr>
              <w:t xml:space="preserve"> </w:t>
            </w:r>
            <w:r>
              <w:rPr>
                <w:color w:val="231F20"/>
                <w:sz w:val="14"/>
              </w:rPr>
              <w:t>настала најзначајнија дела српске</w:t>
            </w:r>
            <w:r>
              <w:rPr>
                <w:color w:val="231F20"/>
                <w:spacing w:val="-9"/>
                <w:sz w:val="14"/>
              </w:rPr>
              <w:t xml:space="preserve"> </w:t>
            </w:r>
            <w:r>
              <w:rPr>
                <w:color w:val="231F20"/>
                <w:sz w:val="14"/>
              </w:rPr>
              <w:t>културе;</w:t>
            </w:r>
          </w:p>
          <w:p w:rsidR="00041039" w:rsidRDefault="001B26CB">
            <w:pPr>
              <w:pStyle w:val="TableParagraph"/>
              <w:numPr>
                <w:ilvl w:val="0"/>
                <w:numId w:val="1980"/>
              </w:numPr>
              <w:tabs>
                <w:tab w:val="left" w:pos="157"/>
              </w:tabs>
              <w:spacing w:line="160" w:lineRule="exact"/>
              <w:ind w:right="106" w:hanging="99"/>
              <w:rPr>
                <w:sz w:val="14"/>
              </w:rPr>
            </w:pPr>
            <w:r>
              <w:rPr>
                <w:color w:val="231F20"/>
                <w:sz w:val="14"/>
              </w:rPr>
              <w:t>упореди одлике српске културе</w:t>
            </w:r>
            <w:r>
              <w:rPr>
                <w:color w:val="231F20"/>
                <w:spacing w:val="-27"/>
                <w:sz w:val="14"/>
              </w:rPr>
              <w:t xml:space="preserve"> </w:t>
            </w:r>
            <w:r>
              <w:rPr>
                <w:color w:val="231F20"/>
                <w:sz w:val="14"/>
              </w:rPr>
              <w:t>разли­ читих</w:t>
            </w:r>
            <w:r>
              <w:rPr>
                <w:color w:val="231F20"/>
                <w:spacing w:val="-1"/>
                <w:sz w:val="14"/>
              </w:rPr>
              <w:t xml:space="preserve"> </w:t>
            </w:r>
            <w:r>
              <w:rPr>
                <w:color w:val="231F20"/>
                <w:sz w:val="14"/>
              </w:rPr>
              <w:t>периода;</w:t>
            </w:r>
          </w:p>
          <w:p w:rsidR="00041039" w:rsidRDefault="001B26CB">
            <w:pPr>
              <w:pStyle w:val="TableParagraph"/>
              <w:numPr>
                <w:ilvl w:val="0"/>
                <w:numId w:val="1980"/>
              </w:numPr>
              <w:tabs>
                <w:tab w:val="left" w:pos="157"/>
              </w:tabs>
              <w:spacing w:line="160" w:lineRule="exact"/>
              <w:ind w:right="162" w:hanging="99"/>
              <w:rPr>
                <w:sz w:val="14"/>
              </w:rPr>
            </w:pPr>
            <w:r>
              <w:rPr>
                <w:color w:val="231F20"/>
                <w:sz w:val="14"/>
              </w:rPr>
              <w:t>објасни утицаје историјских</w:t>
            </w:r>
            <w:r>
              <w:rPr>
                <w:color w:val="231F20"/>
                <w:spacing w:val="-9"/>
                <w:sz w:val="14"/>
              </w:rPr>
              <w:t xml:space="preserve"> </w:t>
            </w:r>
            <w:r>
              <w:rPr>
                <w:color w:val="231F20"/>
                <w:sz w:val="14"/>
              </w:rPr>
              <w:t>збивања на културна</w:t>
            </w:r>
            <w:r>
              <w:rPr>
                <w:color w:val="231F20"/>
                <w:spacing w:val="-2"/>
                <w:sz w:val="14"/>
              </w:rPr>
              <w:t xml:space="preserve"> </w:t>
            </w:r>
            <w:r>
              <w:rPr>
                <w:color w:val="231F20"/>
                <w:sz w:val="14"/>
              </w:rPr>
              <w:t>кретања;</w:t>
            </w:r>
          </w:p>
          <w:p w:rsidR="00041039" w:rsidRDefault="001B26CB">
            <w:pPr>
              <w:pStyle w:val="TableParagraph"/>
              <w:numPr>
                <w:ilvl w:val="0"/>
                <w:numId w:val="1980"/>
              </w:numPr>
              <w:tabs>
                <w:tab w:val="left" w:pos="157"/>
              </w:tabs>
              <w:spacing w:before="1" w:line="160" w:lineRule="exact"/>
              <w:ind w:right="256" w:hanging="99"/>
              <w:rPr>
                <w:sz w:val="14"/>
              </w:rPr>
            </w:pPr>
            <w:r>
              <w:rPr>
                <w:color w:val="231F20"/>
                <w:sz w:val="14"/>
              </w:rPr>
              <w:t>опише одлике свакодневног</w:t>
            </w:r>
            <w:r>
              <w:rPr>
                <w:color w:val="231F20"/>
                <w:spacing w:val="-25"/>
                <w:sz w:val="14"/>
              </w:rPr>
              <w:t xml:space="preserve"> </w:t>
            </w:r>
            <w:r>
              <w:rPr>
                <w:color w:val="231F20"/>
                <w:sz w:val="14"/>
              </w:rPr>
              <w:t xml:space="preserve">живота </w:t>
            </w:r>
            <w:r>
              <w:rPr>
                <w:color w:val="231F20"/>
                <w:spacing w:val="-5"/>
                <w:sz w:val="14"/>
              </w:rPr>
              <w:t xml:space="preserve">код </w:t>
            </w:r>
            <w:r>
              <w:rPr>
                <w:color w:val="231F20"/>
                <w:sz w:val="14"/>
              </w:rPr>
              <w:t>Срба у различитим епохама и областима;</w:t>
            </w:r>
          </w:p>
          <w:p w:rsidR="00041039" w:rsidRDefault="001B26CB">
            <w:pPr>
              <w:pStyle w:val="TableParagraph"/>
              <w:numPr>
                <w:ilvl w:val="0"/>
                <w:numId w:val="1980"/>
              </w:numPr>
              <w:tabs>
                <w:tab w:val="left" w:pos="157"/>
              </w:tabs>
              <w:spacing w:line="160" w:lineRule="exact"/>
              <w:ind w:right="196" w:hanging="99"/>
              <w:rPr>
                <w:sz w:val="14"/>
              </w:rPr>
            </w:pPr>
            <w:r>
              <w:rPr>
                <w:color w:val="231F20"/>
                <w:sz w:val="14"/>
              </w:rPr>
              <w:t>именује најважније личности које</w:t>
            </w:r>
            <w:r>
              <w:rPr>
                <w:color w:val="231F20"/>
                <w:spacing w:val="-21"/>
                <w:sz w:val="14"/>
              </w:rPr>
              <w:t xml:space="preserve"> </w:t>
            </w:r>
            <w:r>
              <w:rPr>
                <w:color w:val="231F20"/>
                <w:sz w:val="14"/>
              </w:rPr>
              <w:t>су заслужне за развој српске</w:t>
            </w:r>
            <w:r>
              <w:rPr>
                <w:color w:val="231F20"/>
                <w:spacing w:val="-14"/>
                <w:sz w:val="14"/>
              </w:rPr>
              <w:t xml:space="preserve"> </w:t>
            </w:r>
            <w:r>
              <w:rPr>
                <w:color w:val="231F20"/>
                <w:sz w:val="14"/>
              </w:rPr>
              <w:t>културе;</w:t>
            </w:r>
          </w:p>
        </w:tc>
        <w:tc>
          <w:tcPr>
            <w:tcW w:w="2834" w:type="dxa"/>
          </w:tcPr>
          <w:p w:rsidR="00041039" w:rsidRDefault="001B26CB">
            <w:pPr>
              <w:pStyle w:val="TableParagraph"/>
              <w:numPr>
                <w:ilvl w:val="0"/>
                <w:numId w:val="1979"/>
              </w:numPr>
              <w:tabs>
                <w:tab w:val="left" w:pos="157"/>
              </w:tabs>
              <w:spacing w:before="8"/>
              <w:ind w:right="527" w:hanging="99"/>
              <w:rPr>
                <w:sz w:val="14"/>
              </w:rPr>
            </w:pPr>
            <w:r>
              <w:rPr>
                <w:color w:val="231F20"/>
                <w:sz w:val="14"/>
              </w:rPr>
              <w:t>Средњовековна култура Срба</w:t>
            </w:r>
            <w:r>
              <w:rPr>
                <w:color w:val="231F20"/>
                <w:spacing w:val="-23"/>
                <w:sz w:val="14"/>
              </w:rPr>
              <w:t xml:space="preserve"> </w:t>
            </w:r>
            <w:r>
              <w:rPr>
                <w:color w:val="231F20"/>
                <w:sz w:val="14"/>
              </w:rPr>
              <w:t>(језик и писмо, верски карактер</w:t>
            </w:r>
            <w:r>
              <w:rPr>
                <w:color w:val="231F20"/>
                <w:spacing w:val="-17"/>
                <w:sz w:val="14"/>
              </w:rPr>
              <w:t xml:space="preserve"> </w:t>
            </w:r>
            <w:r>
              <w:rPr>
                <w:color w:val="231F20"/>
                <w:sz w:val="14"/>
              </w:rPr>
              <w:t>културе.</w:t>
            </w:r>
          </w:p>
          <w:p w:rsidR="00041039" w:rsidRDefault="001B26CB">
            <w:pPr>
              <w:pStyle w:val="TableParagraph"/>
              <w:spacing w:line="237" w:lineRule="auto"/>
              <w:ind w:right="280"/>
              <w:jc w:val="both"/>
              <w:rPr>
                <w:sz w:val="14"/>
              </w:rPr>
            </w:pPr>
            <w:r>
              <w:rPr>
                <w:color w:val="231F20"/>
                <w:sz w:val="14"/>
              </w:rPr>
              <w:t>Мирослављево јеванђеље, књижевност, најзначајније задужбине, правни</w:t>
            </w:r>
            <w:r>
              <w:rPr>
                <w:color w:val="231F20"/>
                <w:spacing w:val="-24"/>
                <w:sz w:val="14"/>
              </w:rPr>
              <w:t xml:space="preserve"> </w:t>
            </w:r>
            <w:r>
              <w:rPr>
                <w:color w:val="231F20"/>
                <w:sz w:val="14"/>
              </w:rPr>
              <w:t>споме­ ници).</w:t>
            </w:r>
          </w:p>
          <w:p w:rsidR="00041039" w:rsidRDefault="001B26CB">
            <w:pPr>
              <w:pStyle w:val="TableParagraph"/>
              <w:numPr>
                <w:ilvl w:val="0"/>
                <w:numId w:val="1979"/>
              </w:numPr>
              <w:tabs>
                <w:tab w:val="left" w:pos="157"/>
              </w:tabs>
              <w:spacing w:line="237" w:lineRule="auto"/>
              <w:ind w:right="72" w:hanging="99"/>
              <w:rPr>
                <w:sz w:val="14"/>
              </w:rPr>
            </w:pPr>
            <w:r>
              <w:rPr>
                <w:color w:val="231F20"/>
                <w:sz w:val="14"/>
              </w:rPr>
              <w:t>Последице сеоба на српску културу</w:t>
            </w:r>
            <w:r>
              <w:rPr>
                <w:color w:val="231F20"/>
                <w:spacing w:val="-23"/>
                <w:sz w:val="14"/>
              </w:rPr>
              <w:t xml:space="preserve"> </w:t>
            </w:r>
            <w:r>
              <w:rPr>
                <w:color w:val="231F20"/>
                <w:sz w:val="14"/>
              </w:rPr>
              <w:t>(</w:t>
            </w:r>
            <w:r>
              <w:rPr>
                <w:color w:val="231F20"/>
                <w:sz w:val="14"/>
              </w:rPr>
              <w:t>утицај западноевропских културних кретања на српску</w:t>
            </w:r>
            <w:r>
              <w:rPr>
                <w:color w:val="231F20"/>
                <w:spacing w:val="-1"/>
                <w:sz w:val="14"/>
              </w:rPr>
              <w:t xml:space="preserve"> </w:t>
            </w:r>
            <w:r>
              <w:rPr>
                <w:color w:val="231F20"/>
                <w:sz w:val="14"/>
              </w:rPr>
              <w:t>културу).</w:t>
            </w:r>
          </w:p>
          <w:p w:rsidR="00041039" w:rsidRDefault="001B26CB">
            <w:pPr>
              <w:pStyle w:val="TableParagraph"/>
              <w:numPr>
                <w:ilvl w:val="0"/>
                <w:numId w:val="1979"/>
              </w:numPr>
              <w:tabs>
                <w:tab w:val="left" w:pos="157"/>
              </w:tabs>
              <w:spacing w:line="156" w:lineRule="exact"/>
              <w:ind w:hanging="99"/>
              <w:rPr>
                <w:sz w:val="14"/>
              </w:rPr>
            </w:pPr>
            <w:r>
              <w:rPr>
                <w:color w:val="231F20"/>
                <w:spacing w:val="-4"/>
                <w:sz w:val="14"/>
              </w:rPr>
              <w:t xml:space="preserve">Успон </w:t>
            </w:r>
            <w:r>
              <w:rPr>
                <w:color w:val="231F20"/>
                <w:sz w:val="14"/>
              </w:rPr>
              <w:t>грађанске</w:t>
            </w:r>
            <w:r>
              <w:rPr>
                <w:color w:val="231F20"/>
                <w:spacing w:val="2"/>
                <w:sz w:val="14"/>
              </w:rPr>
              <w:t xml:space="preserve"> </w:t>
            </w:r>
            <w:r>
              <w:rPr>
                <w:color w:val="231F20"/>
                <w:sz w:val="14"/>
              </w:rPr>
              <w:t>класе.</w:t>
            </w:r>
          </w:p>
          <w:p w:rsidR="00041039" w:rsidRDefault="001B26CB">
            <w:pPr>
              <w:pStyle w:val="TableParagraph"/>
              <w:numPr>
                <w:ilvl w:val="0"/>
                <w:numId w:val="1979"/>
              </w:numPr>
              <w:tabs>
                <w:tab w:val="left" w:pos="157"/>
              </w:tabs>
              <w:spacing w:line="237" w:lineRule="auto"/>
              <w:ind w:right="351" w:hanging="99"/>
              <w:rPr>
                <w:sz w:val="14"/>
              </w:rPr>
            </w:pPr>
            <w:r>
              <w:rPr>
                <w:color w:val="231F20"/>
                <w:sz w:val="14"/>
              </w:rPr>
              <w:t>Свакодневни</w:t>
            </w:r>
            <w:r>
              <w:rPr>
                <w:color w:val="231F20"/>
                <w:spacing w:val="-8"/>
                <w:sz w:val="14"/>
              </w:rPr>
              <w:t xml:space="preserve"> </w:t>
            </w:r>
            <w:r>
              <w:rPr>
                <w:color w:val="231F20"/>
                <w:sz w:val="14"/>
              </w:rPr>
              <w:t>живот</w:t>
            </w:r>
            <w:r>
              <w:rPr>
                <w:color w:val="231F20"/>
                <w:spacing w:val="-8"/>
                <w:sz w:val="14"/>
              </w:rPr>
              <w:t xml:space="preserve"> </w:t>
            </w:r>
            <w:r>
              <w:rPr>
                <w:color w:val="231F20"/>
                <w:sz w:val="14"/>
              </w:rPr>
              <w:t>сеоског</w:t>
            </w:r>
            <w:r>
              <w:rPr>
                <w:color w:val="231F20"/>
                <w:spacing w:val="-8"/>
                <w:sz w:val="14"/>
              </w:rPr>
              <w:t xml:space="preserve"> </w:t>
            </w:r>
            <w:r>
              <w:rPr>
                <w:color w:val="231F20"/>
                <w:sz w:val="14"/>
              </w:rPr>
              <w:t>и</w:t>
            </w:r>
            <w:r>
              <w:rPr>
                <w:color w:val="231F20"/>
                <w:spacing w:val="-9"/>
                <w:sz w:val="14"/>
              </w:rPr>
              <w:t xml:space="preserve"> </w:t>
            </w:r>
            <w:r>
              <w:rPr>
                <w:color w:val="231F20"/>
                <w:sz w:val="14"/>
              </w:rPr>
              <w:t>градског становништва.</w:t>
            </w:r>
          </w:p>
          <w:p w:rsidR="00041039" w:rsidRDefault="001B26CB">
            <w:pPr>
              <w:pStyle w:val="TableParagraph"/>
              <w:numPr>
                <w:ilvl w:val="0"/>
                <w:numId w:val="1979"/>
              </w:numPr>
              <w:tabs>
                <w:tab w:val="left" w:pos="157"/>
              </w:tabs>
              <w:spacing w:line="160" w:lineRule="exact"/>
              <w:ind w:right="117" w:hanging="99"/>
              <w:rPr>
                <w:sz w:val="14"/>
              </w:rPr>
            </w:pPr>
            <w:r>
              <w:rPr>
                <w:color w:val="231F20"/>
                <w:spacing w:val="-3"/>
                <w:sz w:val="14"/>
              </w:rPr>
              <w:t xml:space="preserve">Културна </w:t>
            </w:r>
            <w:r>
              <w:rPr>
                <w:color w:val="231F20"/>
                <w:sz w:val="14"/>
              </w:rPr>
              <w:t xml:space="preserve">и просветна политика­ оснивање Велике </w:t>
            </w:r>
            <w:r>
              <w:rPr>
                <w:color w:val="231F20"/>
                <w:spacing w:val="-3"/>
                <w:sz w:val="14"/>
              </w:rPr>
              <w:t xml:space="preserve">школе, </w:t>
            </w:r>
            <w:r>
              <w:rPr>
                <w:color w:val="231F20"/>
                <w:sz w:val="14"/>
              </w:rPr>
              <w:t>Универзитета, Академије наука, Народног</w:t>
            </w:r>
            <w:r>
              <w:rPr>
                <w:color w:val="231F20"/>
                <w:spacing w:val="-2"/>
                <w:sz w:val="14"/>
              </w:rPr>
              <w:t xml:space="preserve"> </w:t>
            </w:r>
            <w:r>
              <w:rPr>
                <w:color w:val="231F20"/>
                <w:sz w:val="14"/>
              </w:rPr>
              <w:t>позоришта.</w:t>
            </w:r>
          </w:p>
          <w:p w:rsidR="00041039" w:rsidRDefault="001B26CB">
            <w:pPr>
              <w:pStyle w:val="TableParagraph"/>
              <w:numPr>
                <w:ilvl w:val="0"/>
                <w:numId w:val="1979"/>
              </w:numPr>
              <w:tabs>
                <w:tab w:val="left" w:pos="157"/>
              </w:tabs>
              <w:spacing w:line="153" w:lineRule="exact"/>
              <w:ind w:hanging="99"/>
              <w:rPr>
                <w:sz w:val="14"/>
              </w:rPr>
            </w:pPr>
            <w:r>
              <w:rPr>
                <w:color w:val="231F20"/>
                <w:sz w:val="14"/>
              </w:rPr>
              <w:t>Европски културни</w:t>
            </w:r>
            <w:r>
              <w:rPr>
                <w:color w:val="231F20"/>
                <w:spacing w:val="-1"/>
                <w:sz w:val="14"/>
              </w:rPr>
              <w:t xml:space="preserve"> </w:t>
            </w:r>
            <w:r>
              <w:rPr>
                <w:color w:val="231F20"/>
                <w:sz w:val="14"/>
              </w:rPr>
              <w:t>утицаји.</w:t>
            </w:r>
          </w:p>
          <w:p w:rsidR="00041039" w:rsidRDefault="001B26CB">
            <w:pPr>
              <w:pStyle w:val="TableParagraph"/>
              <w:numPr>
                <w:ilvl w:val="0"/>
                <w:numId w:val="1979"/>
              </w:numPr>
              <w:tabs>
                <w:tab w:val="left" w:pos="157"/>
              </w:tabs>
              <w:spacing w:line="237" w:lineRule="auto"/>
              <w:ind w:right="104" w:hanging="99"/>
              <w:rPr>
                <w:sz w:val="14"/>
              </w:rPr>
            </w:pPr>
            <w:r>
              <w:rPr>
                <w:color w:val="231F20"/>
                <w:sz w:val="14"/>
              </w:rPr>
              <w:t>Личности ­ Свети Сава, деспот Стефан Лазаревић, монахиња Јефимија, Доситеј Обрадовић, Вук Караџић, Сава Текелија, Петар II Петровић Његош, Паја</w:t>
            </w:r>
            <w:r>
              <w:rPr>
                <w:color w:val="231F20"/>
                <w:spacing w:val="-16"/>
                <w:sz w:val="14"/>
              </w:rPr>
              <w:t xml:space="preserve"> </w:t>
            </w:r>
            <w:r>
              <w:rPr>
                <w:color w:val="231F20"/>
                <w:sz w:val="14"/>
              </w:rPr>
              <w:t xml:space="preserve">Јовановић, </w:t>
            </w:r>
            <w:r>
              <w:rPr>
                <w:color w:val="231F20"/>
                <w:spacing w:val="-4"/>
                <w:sz w:val="14"/>
              </w:rPr>
              <w:t xml:space="preserve">Урош </w:t>
            </w:r>
            <w:r>
              <w:rPr>
                <w:color w:val="231F20"/>
                <w:sz w:val="14"/>
              </w:rPr>
              <w:t>Предић, Надежда Петровић, Лаза Костић...);</w:t>
            </w:r>
          </w:p>
          <w:p w:rsidR="00041039" w:rsidRDefault="001B26CB">
            <w:pPr>
              <w:pStyle w:val="TableParagraph"/>
              <w:numPr>
                <w:ilvl w:val="0"/>
                <w:numId w:val="1979"/>
              </w:numPr>
              <w:tabs>
                <w:tab w:val="left" w:pos="157"/>
              </w:tabs>
              <w:spacing w:line="237" w:lineRule="auto"/>
              <w:ind w:right="75" w:hanging="99"/>
              <w:rPr>
                <w:sz w:val="14"/>
              </w:rPr>
            </w:pPr>
            <w:r>
              <w:rPr>
                <w:color w:val="231F20"/>
                <w:sz w:val="14"/>
              </w:rPr>
              <w:t>Српска култура као део југ</w:t>
            </w:r>
            <w:r>
              <w:rPr>
                <w:color w:val="231F20"/>
                <w:sz w:val="14"/>
              </w:rPr>
              <w:t xml:space="preserve">ословенског културног простора (културна сарадња и прожимања, наука, уметнички покрети, хуманитарне и спортске организације, популарна култура, личности ­ </w:t>
            </w:r>
            <w:r>
              <w:rPr>
                <w:color w:val="231F20"/>
                <w:spacing w:val="-3"/>
                <w:sz w:val="14"/>
              </w:rPr>
              <w:t xml:space="preserve">Никола </w:t>
            </w:r>
            <w:r>
              <w:rPr>
                <w:color w:val="231F20"/>
                <w:sz w:val="14"/>
              </w:rPr>
              <w:t>Тесла, Михајло Пупин, Михаило Петровић Алас,</w:t>
            </w:r>
            <w:r>
              <w:rPr>
                <w:color w:val="231F20"/>
                <w:spacing w:val="-8"/>
                <w:sz w:val="14"/>
              </w:rPr>
              <w:t xml:space="preserve"> </w:t>
            </w:r>
            <w:r>
              <w:rPr>
                <w:color w:val="231F20"/>
                <w:sz w:val="14"/>
              </w:rPr>
              <w:t>Јован</w:t>
            </w:r>
            <w:r>
              <w:rPr>
                <w:color w:val="231F20"/>
                <w:spacing w:val="-7"/>
                <w:sz w:val="14"/>
              </w:rPr>
              <w:t xml:space="preserve"> </w:t>
            </w:r>
            <w:r>
              <w:rPr>
                <w:color w:val="231F20"/>
                <w:sz w:val="14"/>
              </w:rPr>
              <w:t>Цвијић,</w:t>
            </w:r>
            <w:r>
              <w:rPr>
                <w:color w:val="231F20"/>
                <w:spacing w:val="-8"/>
                <w:sz w:val="14"/>
              </w:rPr>
              <w:t xml:space="preserve"> </w:t>
            </w:r>
            <w:r>
              <w:rPr>
                <w:color w:val="231F20"/>
                <w:sz w:val="14"/>
              </w:rPr>
              <w:t>Милутин</w:t>
            </w:r>
            <w:r>
              <w:rPr>
                <w:color w:val="231F20"/>
                <w:spacing w:val="-8"/>
                <w:sz w:val="14"/>
              </w:rPr>
              <w:t xml:space="preserve"> </w:t>
            </w:r>
            <w:r>
              <w:rPr>
                <w:color w:val="231F20"/>
                <w:sz w:val="14"/>
              </w:rPr>
              <w:t>Миланковић, Бранислав Нушић</w:t>
            </w:r>
            <w:r>
              <w:rPr>
                <w:color w:val="231F20"/>
                <w:sz w:val="14"/>
              </w:rPr>
              <w:t>,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Ђосић, Александар Петровић, Александар Поповић, Емир Кустурица,</w:t>
            </w:r>
            <w:r>
              <w:rPr>
                <w:color w:val="231F20"/>
                <w:sz w:val="14"/>
              </w:rPr>
              <w:t xml:space="preserve"> Душан Ковачевић...).</w:t>
            </w:r>
          </w:p>
        </w:tc>
        <w:tc>
          <w:tcPr>
            <w:tcW w:w="2267" w:type="dxa"/>
            <w:vMerge w:val="restart"/>
          </w:tcPr>
          <w:p w:rsidR="00041039" w:rsidRDefault="001B26CB">
            <w:pPr>
              <w:pStyle w:val="TableParagraph"/>
              <w:numPr>
                <w:ilvl w:val="0"/>
                <w:numId w:val="1978"/>
              </w:numPr>
              <w:tabs>
                <w:tab w:val="left" w:pos="158"/>
              </w:tabs>
              <w:spacing w:before="9"/>
              <w:ind w:right="72" w:hanging="99"/>
              <w:rPr>
                <w:sz w:val="14"/>
              </w:rPr>
            </w:pPr>
            <w:r>
              <w:rPr>
                <w:color w:val="231F20"/>
                <w:sz w:val="14"/>
              </w:rPr>
              <w:t>у настави треба што више користити различите облике организоване активности</w:t>
            </w:r>
            <w:r>
              <w:rPr>
                <w:color w:val="231F20"/>
                <w:spacing w:val="-5"/>
                <w:sz w:val="14"/>
              </w:rPr>
              <w:t xml:space="preserve"> </w:t>
            </w:r>
            <w:r>
              <w:rPr>
                <w:color w:val="231F20"/>
                <w:sz w:val="14"/>
              </w:rPr>
              <w:t xml:space="preserve">ученика (индивидуални рад, рад у </w:t>
            </w:r>
            <w:r>
              <w:rPr>
                <w:color w:val="231F20"/>
                <w:spacing w:val="-4"/>
                <w:sz w:val="14"/>
              </w:rPr>
              <w:t xml:space="preserve">пару, </w:t>
            </w:r>
            <w:r>
              <w:rPr>
                <w:color w:val="231F20"/>
                <w:sz w:val="14"/>
              </w:rPr>
              <w:t>рад у групи, радионице или домаћи</w:t>
            </w:r>
            <w:r>
              <w:rPr>
                <w:color w:val="231F20"/>
                <w:spacing w:val="-1"/>
                <w:sz w:val="14"/>
              </w:rPr>
              <w:t xml:space="preserve"> </w:t>
            </w:r>
            <w:r>
              <w:rPr>
                <w:color w:val="231F20"/>
                <w:sz w:val="14"/>
              </w:rPr>
              <w:t>задатак);</w:t>
            </w:r>
          </w:p>
          <w:p w:rsidR="00041039" w:rsidRDefault="001B26CB">
            <w:pPr>
              <w:pStyle w:val="TableParagraph"/>
              <w:numPr>
                <w:ilvl w:val="0"/>
                <w:numId w:val="1978"/>
              </w:numPr>
              <w:tabs>
                <w:tab w:val="left" w:pos="158"/>
              </w:tabs>
              <w:spacing w:line="154" w:lineRule="exact"/>
              <w:ind w:hanging="99"/>
              <w:rPr>
                <w:sz w:val="14"/>
              </w:rPr>
            </w:pPr>
            <w:r>
              <w:rPr>
                <w:color w:val="231F20"/>
                <w:sz w:val="14"/>
              </w:rPr>
              <w:t>да би схватио догађаје из</w:t>
            </w:r>
            <w:r>
              <w:rPr>
                <w:color w:val="231F20"/>
                <w:spacing w:val="-15"/>
                <w:sz w:val="14"/>
              </w:rPr>
              <w:t xml:space="preserve"> </w:t>
            </w:r>
            <w:r>
              <w:rPr>
                <w:color w:val="231F20"/>
                <w:sz w:val="14"/>
              </w:rPr>
              <w:t>прошло­</w:t>
            </w:r>
          </w:p>
          <w:p w:rsidR="00041039" w:rsidRDefault="001B26CB">
            <w:pPr>
              <w:pStyle w:val="TableParagraph"/>
              <w:ind w:left="157" w:right="59"/>
              <w:rPr>
                <w:sz w:val="14"/>
              </w:rPr>
            </w:pPr>
            <w:r>
              <w:rPr>
                <w:color w:val="231F20"/>
                <w:sz w:val="14"/>
              </w:rPr>
              <w:t>сти, ученик треба да их „оживи у свом уму”, у чему велику помоћ може пружити употреба различи­ тих историјских текстова, карата и других извора историјских података (документарни и играни видео и дигитални материјали, музејски експонати, илустра­ ције), об</w:t>
            </w:r>
            <w:r>
              <w:rPr>
                <w:color w:val="231F20"/>
                <w:sz w:val="14"/>
              </w:rPr>
              <w:t>илажење културно ­ историјских споменика и посете установама културе;</w:t>
            </w:r>
          </w:p>
          <w:p w:rsidR="00041039" w:rsidRDefault="001B26CB">
            <w:pPr>
              <w:pStyle w:val="TableParagraph"/>
              <w:numPr>
                <w:ilvl w:val="0"/>
                <w:numId w:val="1978"/>
              </w:numPr>
              <w:tabs>
                <w:tab w:val="left" w:pos="158"/>
              </w:tabs>
              <w:spacing w:line="150" w:lineRule="exact"/>
              <w:ind w:hanging="99"/>
              <w:rPr>
                <w:sz w:val="14"/>
              </w:rPr>
            </w:pPr>
            <w:r>
              <w:rPr>
                <w:color w:val="231F20"/>
                <w:sz w:val="14"/>
              </w:rPr>
              <w:t>треба искористити и</w:t>
            </w:r>
            <w:r>
              <w:rPr>
                <w:color w:val="231F20"/>
                <w:spacing w:val="-3"/>
                <w:sz w:val="14"/>
              </w:rPr>
              <w:t xml:space="preserve"> </w:t>
            </w:r>
            <w:r>
              <w:rPr>
                <w:color w:val="231F20"/>
                <w:sz w:val="14"/>
              </w:rPr>
              <w:t>утицај</w:t>
            </w:r>
          </w:p>
          <w:p w:rsidR="00041039" w:rsidRDefault="001B26CB">
            <w:pPr>
              <w:pStyle w:val="TableParagraph"/>
              <w:ind w:left="157"/>
              <w:rPr>
                <w:sz w:val="14"/>
              </w:rPr>
            </w:pPr>
            <w:r>
              <w:rPr>
                <w:color w:val="231F20"/>
                <w:sz w:val="14"/>
              </w:rPr>
              <w:t>наставе историје на развијање језичке и говорне културе (бесед­ ништва), јер историјски садржаји богате и оплемењују језички фонд ученика;</w:t>
            </w:r>
          </w:p>
          <w:p w:rsidR="00041039" w:rsidRDefault="001B26CB">
            <w:pPr>
              <w:pStyle w:val="TableParagraph"/>
              <w:numPr>
                <w:ilvl w:val="0"/>
                <w:numId w:val="1978"/>
              </w:numPr>
              <w:tabs>
                <w:tab w:val="left" w:pos="158"/>
              </w:tabs>
              <w:spacing w:line="156" w:lineRule="exact"/>
              <w:ind w:hanging="99"/>
              <w:rPr>
                <w:sz w:val="14"/>
              </w:rPr>
            </w:pPr>
            <w:r>
              <w:rPr>
                <w:color w:val="231F20"/>
                <w:sz w:val="14"/>
              </w:rPr>
              <w:t xml:space="preserve">у раду са ученицима </w:t>
            </w:r>
            <w:r>
              <w:rPr>
                <w:color w:val="231F20"/>
                <w:sz w:val="14"/>
              </w:rPr>
              <w:t>неопходно</w:t>
            </w:r>
            <w:r>
              <w:rPr>
                <w:color w:val="231F20"/>
                <w:spacing w:val="-11"/>
                <w:sz w:val="14"/>
              </w:rPr>
              <w:t xml:space="preserve"> </w:t>
            </w:r>
            <w:r>
              <w:rPr>
                <w:color w:val="231F20"/>
                <w:sz w:val="14"/>
              </w:rPr>
              <w:t>је</w:t>
            </w:r>
          </w:p>
          <w:p w:rsidR="00041039" w:rsidRDefault="001B26CB">
            <w:pPr>
              <w:pStyle w:val="TableParagraph"/>
              <w:ind w:left="157" w:right="65"/>
              <w:rPr>
                <w:sz w:val="14"/>
              </w:rPr>
            </w:pPr>
            <w:r>
              <w:rPr>
                <w:color w:val="231F20"/>
                <w:sz w:val="14"/>
              </w:rPr>
              <w:t>имати у виду интегративну функ­ 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w:t>
            </w:r>
            <w:r>
              <w:rPr>
                <w:color w:val="231F20"/>
                <w:sz w:val="14"/>
              </w:rPr>
              <w:t>оз простор и време;</w:t>
            </w:r>
          </w:p>
          <w:p w:rsidR="00041039" w:rsidRDefault="001B26CB">
            <w:pPr>
              <w:pStyle w:val="TableParagraph"/>
              <w:numPr>
                <w:ilvl w:val="0"/>
                <w:numId w:val="1978"/>
              </w:numPr>
              <w:tabs>
                <w:tab w:val="left" w:pos="158"/>
              </w:tabs>
              <w:spacing w:line="151" w:lineRule="exact"/>
              <w:ind w:hanging="99"/>
              <w:rPr>
                <w:sz w:val="14"/>
              </w:rPr>
            </w:pPr>
            <w:r>
              <w:rPr>
                <w:color w:val="231F20"/>
                <w:sz w:val="14"/>
              </w:rPr>
              <w:t>пожељно је избегавати</w:t>
            </w:r>
            <w:r>
              <w:rPr>
                <w:color w:val="231F20"/>
                <w:spacing w:val="-4"/>
                <w:sz w:val="14"/>
              </w:rPr>
              <w:t xml:space="preserve"> </w:t>
            </w:r>
            <w:r>
              <w:rPr>
                <w:color w:val="231F20"/>
                <w:sz w:val="14"/>
              </w:rPr>
              <w:t>фраг­</w:t>
            </w:r>
          </w:p>
          <w:p w:rsidR="00041039" w:rsidRDefault="001B26CB">
            <w:pPr>
              <w:pStyle w:val="TableParagraph"/>
              <w:ind w:left="157" w:right="105"/>
              <w:rPr>
                <w:sz w:val="14"/>
              </w:rPr>
            </w:pPr>
            <w:r>
              <w:rPr>
                <w:color w:val="231F20"/>
                <w:sz w:val="14"/>
              </w:rPr>
              <w:t>ментарно и изоловано учење историјских чињеница јер оно има најкраће трајање у памћењу и најслабији трансфер у стицању других знања и вештина;</w:t>
            </w:r>
          </w:p>
          <w:p w:rsidR="00041039" w:rsidRDefault="001B26CB">
            <w:pPr>
              <w:pStyle w:val="TableParagraph"/>
              <w:numPr>
                <w:ilvl w:val="0"/>
                <w:numId w:val="1978"/>
              </w:numPr>
              <w:tabs>
                <w:tab w:val="left" w:pos="158"/>
              </w:tabs>
              <w:spacing w:line="156" w:lineRule="exact"/>
              <w:ind w:hanging="99"/>
              <w:rPr>
                <w:sz w:val="14"/>
              </w:rPr>
            </w:pPr>
            <w:r>
              <w:rPr>
                <w:color w:val="231F20"/>
                <w:sz w:val="14"/>
              </w:rPr>
              <w:t xml:space="preserve">у настави треба, кад </w:t>
            </w:r>
            <w:r>
              <w:rPr>
                <w:color w:val="231F20"/>
                <w:spacing w:val="-3"/>
                <w:sz w:val="14"/>
              </w:rPr>
              <w:t xml:space="preserve">год </w:t>
            </w:r>
            <w:r>
              <w:rPr>
                <w:color w:val="231F20"/>
                <w:sz w:val="14"/>
              </w:rPr>
              <w:t>је то</w:t>
            </w:r>
          </w:p>
          <w:p w:rsidR="00041039" w:rsidRDefault="001B26CB">
            <w:pPr>
              <w:pStyle w:val="TableParagraph"/>
              <w:ind w:left="157"/>
              <w:rPr>
                <w:sz w:val="14"/>
              </w:rPr>
            </w:pPr>
            <w:r>
              <w:rPr>
                <w:color w:val="231F20"/>
                <w:sz w:val="14"/>
              </w:rPr>
              <w:t>могуће, примењивати дидактички концепт мултиперспективности;</w:t>
            </w:r>
          </w:p>
          <w:p w:rsidR="00041039" w:rsidRDefault="001B26CB">
            <w:pPr>
              <w:pStyle w:val="TableParagraph"/>
              <w:numPr>
                <w:ilvl w:val="0"/>
                <w:numId w:val="1978"/>
              </w:numPr>
              <w:tabs>
                <w:tab w:val="left" w:pos="158"/>
              </w:tabs>
              <w:spacing w:line="160" w:lineRule="exact"/>
              <w:ind w:right="208" w:hanging="99"/>
              <w:rPr>
                <w:sz w:val="14"/>
              </w:rPr>
            </w:pPr>
            <w:r>
              <w:rPr>
                <w:color w:val="231F20"/>
                <w:sz w:val="14"/>
              </w:rPr>
              <w:t>одређене теме, по могућности, треба реализовати са одгова­ рајућим садржајима из</w:t>
            </w:r>
            <w:r>
              <w:rPr>
                <w:color w:val="231F20"/>
                <w:spacing w:val="-8"/>
                <w:sz w:val="14"/>
              </w:rPr>
              <w:t xml:space="preserve"> </w:t>
            </w:r>
            <w:r>
              <w:rPr>
                <w:color w:val="231F20"/>
                <w:sz w:val="14"/>
              </w:rPr>
              <w:t>сродних предмета;</w:t>
            </w:r>
          </w:p>
          <w:p w:rsidR="00041039" w:rsidRDefault="001B26CB">
            <w:pPr>
              <w:pStyle w:val="TableParagraph"/>
              <w:numPr>
                <w:ilvl w:val="0"/>
                <w:numId w:val="1978"/>
              </w:numPr>
              <w:tabs>
                <w:tab w:val="left" w:pos="158"/>
              </w:tabs>
              <w:spacing w:line="160" w:lineRule="exact"/>
              <w:ind w:right="111" w:hanging="99"/>
              <w:rPr>
                <w:sz w:val="14"/>
              </w:rPr>
            </w:pPr>
            <w:r>
              <w:rPr>
                <w:color w:val="231F20"/>
                <w:spacing w:val="-3"/>
                <w:sz w:val="14"/>
              </w:rPr>
              <w:t xml:space="preserve">током </w:t>
            </w:r>
            <w:r>
              <w:rPr>
                <w:color w:val="231F20"/>
                <w:sz w:val="14"/>
              </w:rPr>
              <w:t>рада са ученицима потреб­ но је стално правити поређења са савременим добом, чиме се</w:t>
            </w:r>
          </w:p>
          <w:p w:rsidR="00041039" w:rsidRDefault="001B26CB">
            <w:pPr>
              <w:pStyle w:val="TableParagraph"/>
              <w:spacing w:line="237" w:lineRule="auto"/>
              <w:ind w:left="157"/>
              <w:rPr>
                <w:sz w:val="14"/>
              </w:rPr>
            </w:pPr>
            <w:r>
              <w:rPr>
                <w:color w:val="231F20"/>
                <w:sz w:val="14"/>
              </w:rPr>
              <w:t>нагла</w:t>
            </w:r>
            <w:r>
              <w:rPr>
                <w:color w:val="231F20"/>
                <w:sz w:val="14"/>
              </w:rPr>
              <w:t>шава схватање континуитета у развоју друштва и богатство садржаја из прошлости;</w:t>
            </w:r>
          </w:p>
          <w:p w:rsidR="00041039" w:rsidRDefault="001B26CB">
            <w:pPr>
              <w:pStyle w:val="TableParagraph"/>
              <w:numPr>
                <w:ilvl w:val="0"/>
                <w:numId w:val="1978"/>
              </w:numPr>
              <w:tabs>
                <w:tab w:val="left" w:pos="158"/>
              </w:tabs>
              <w:spacing w:line="237" w:lineRule="auto"/>
              <w:ind w:right="99" w:hanging="99"/>
              <w:rPr>
                <w:sz w:val="14"/>
              </w:rPr>
            </w:pPr>
            <w:r>
              <w:rPr>
                <w:color w:val="231F20"/>
                <w:sz w:val="14"/>
              </w:rPr>
              <w:t>задатак наставника је и да под­ стиче осамостаљивање  ученика у прикупљању и сређивању</w:t>
            </w:r>
            <w:r>
              <w:rPr>
                <w:color w:val="231F20"/>
                <w:spacing w:val="-12"/>
                <w:sz w:val="14"/>
              </w:rPr>
              <w:t xml:space="preserve"> </w:t>
            </w:r>
            <w:r>
              <w:rPr>
                <w:color w:val="231F20"/>
                <w:sz w:val="14"/>
              </w:rPr>
              <w:t>исто­ ријских података, да их</w:t>
            </w:r>
            <w:r>
              <w:rPr>
                <w:color w:val="231F20"/>
                <w:spacing w:val="-14"/>
                <w:sz w:val="14"/>
              </w:rPr>
              <w:t xml:space="preserve"> </w:t>
            </w:r>
            <w:r>
              <w:rPr>
                <w:color w:val="231F20"/>
                <w:sz w:val="14"/>
              </w:rPr>
              <w:t>усмерава</w:t>
            </w:r>
          </w:p>
          <w:p w:rsidR="00041039" w:rsidRDefault="001B26CB">
            <w:pPr>
              <w:pStyle w:val="TableParagraph"/>
              <w:ind w:left="157" w:right="32"/>
              <w:rPr>
                <w:sz w:val="14"/>
              </w:rPr>
            </w:pPr>
            <w:r>
              <w:rPr>
                <w:color w:val="231F20"/>
                <w:sz w:val="14"/>
              </w:rPr>
              <w:t>на различите изворе информација и подучава их како да се према њима критички односе, чиме</w:t>
            </w:r>
          </w:p>
          <w:p w:rsidR="00041039" w:rsidRDefault="001B26CB">
            <w:pPr>
              <w:pStyle w:val="TableParagraph"/>
              <w:spacing w:line="237" w:lineRule="auto"/>
              <w:ind w:left="157" w:right="276"/>
              <w:rPr>
                <w:sz w:val="14"/>
              </w:rPr>
            </w:pPr>
            <w:r>
              <w:rPr>
                <w:color w:val="231F20"/>
                <w:sz w:val="14"/>
              </w:rPr>
              <w:t>се негује истраживачки дух и занимање за науку и подстиче развој мишљења заснованог на провереним чињеницама и аргументима;</w:t>
            </w:r>
          </w:p>
          <w:p w:rsidR="00041039" w:rsidRDefault="001B26CB">
            <w:pPr>
              <w:pStyle w:val="TableParagraph"/>
              <w:numPr>
                <w:ilvl w:val="0"/>
                <w:numId w:val="1978"/>
              </w:numPr>
              <w:tabs>
                <w:tab w:val="left" w:pos="158"/>
              </w:tabs>
              <w:spacing w:line="237" w:lineRule="auto"/>
              <w:ind w:right="61" w:hanging="99"/>
              <w:rPr>
                <w:sz w:val="14"/>
              </w:rPr>
            </w:pPr>
            <w:r>
              <w:rPr>
                <w:color w:val="231F20"/>
                <w:sz w:val="14"/>
              </w:rPr>
              <w:t>овај предмет пружа велике</w:t>
            </w:r>
            <w:r>
              <w:rPr>
                <w:color w:val="231F20"/>
                <w:spacing w:val="-16"/>
                <w:sz w:val="14"/>
              </w:rPr>
              <w:t xml:space="preserve"> </w:t>
            </w:r>
            <w:r>
              <w:rPr>
                <w:color w:val="231F20"/>
                <w:sz w:val="14"/>
              </w:rPr>
              <w:t xml:space="preserve">могућ­ ности за </w:t>
            </w:r>
            <w:r>
              <w:rPr>
                <w:color w:val="231F20"/>
                <w:sz w:val="14"/>
              </w:rPr>
              <w:t>интеграцију</w:t>
            </w:r>
            <w:r>
              <w:rPr>
                <w:color w:val="231F20"/>
                <w:spacing w:val="-4"/>
                <w:sz w:val="14"/>
              </w:rPr>
              <w:t xml:space="preserve"> </w:t>
            </w:r>
            <w:r>
              <w:rPr>
                <w:color w:val="231F20"/>
                <w:spacing w:val="-3"/>
                <w:sz w:val="14"/>
              </w:rPr>
              <w:t>школског</w:t>
            </w:r>
          </w:p>
          <w:p w:rsidR="00041039" w:rsidRDefault="001B26CB">
            <w:pPr>
              <w:pStyle w:val="TableParagraph"/>
              <w:ind w:left="157" w:right="191"/>
              <w:jc w:val="both"/>
              <w:rPr>
                <w:sz w:val="14"/>
              </w:rPr>
            </w:pPr>
            <w:r>
              <w:rPr>
                <w:color w:val="231F20"/>
                <w:sz w:val="14"/>
              </w:rPr>
              <w:t>и ваншколског знања ученика, за излазак из оквира школских уџбеника и учионица, укључи­ вање родитеља и суграђана</w:t>
            </w:r>
            <w:r>
              <w:rPr>
                <w:color w:val="231F20"/>
                <w:spacing w:val="-18"/>
                <w:sz w:val="14"/>
              </w:rPr>
              <w:t xml:space="preserve"> </w:t>
            </w:r>
            <w:r>
              <w:rPr>
                <w:color w:val="231F20"/>
                <w:sz w:val="14"/>
              </w:rPr>
              <w:t>који</w:t>
            </w:r>
          </w:p>
          <w:p w:rsidR="00041039" w:rsidRDefault="001B26CB">
            <w:pPr>
              <w:pStyle w:val="TableParagraph"/>
              <w:spacing w:line="237" w:lineRule="auto"/>
              <w:ind w:left="157"/>
              <w:rPr>
                <w:sz w:val="14"/>
              </w:rPr>
            </w:pPr>
            <w:r>
              <w:rPr>
                <w:color w:val="231F20"/>
                <w:sz w:val="14"/>
              </w:rPr>
              <w:t>поседују знања, колекције, књиге, филмове и другу грађу која</w:t>
            </w:r>
          </w:p>
          <w:p w:rsidR="00041039" w:rsidRDefault="001B26CB">
            <w:pPr>
              <w:pStyle w:val="TableParagraph"/>
              <w:ind w:left="157"/>
              <w:rPr>
                <w:sz w:val="14"/>
              </w:rPr>
            </w:pPr>
            <w:r>
              <w:rPr>
                <w:color w:val="231F20"/>
                <w:sz w:val="14"/>
              </w:rPr>
              <w:t>може да помогне у реализацији програма;</w:t>
            </w:r>
          </w:p>
          <w:p w:rsidR="00041039" w:rsidRDefault="001B26CB">
            <w:pPr>
              <w:pStyle w:val="TableParagraph"/>
              <w:numPr>
                <w:ilvl w:val="0"/>
                <w:numId w:val="1978"/>
              </w:numPr>
              <w:tabs>
                <w:tab w:val="left" w:pos="158"/>
              </w:tabs>
              <w:spacing w:line="160" w:lineRule="exact"/>
              <w:ind w:right="136" w:hanging="99"/>
              <w:rPr>
                <w:sz w:val="14"/>
              </w:rPr>
            </w:pPr>
            <w:r>
              <w:rPr>
                <w:color w:val="231F20"/>
                <w:sz w:val="14"/>
              </w:rPr>
              <w:t>наставник треба да тежи комби­ новању различитих метода рада (кратка предавања, гледање</w:t>
            </w:r>
            <w:r>
              <w:rPr>
                <w:color w:val="231F20"/>
                <w:spacing w:val="-22"/>
                <w:sz w:val="14"/>
              </w:rPr>
              <w:t xml:space="preserve"> </w:t>
            </w:r>
            <w:r>
              <w:rPr>
                <w:color w:val="231F20"/>
                <w:sz w:val="14"/>
              </w:rPr>
              <w:t>фил­ мова, читање књига, дискусије, анализа писаних извора, слика и фотографија...);</w:t>
            </w:r>
          </w:p>
        </w:tc>
      </w:tr>
      <w:tr w:rsidR="00041039">
        <w:trPr>
          <w:trHeight w:val="7190"/>
        </w:trPr>
        <w:tc>
          <w:tcPr>
            <w:tcW w:w="1304" w:type="dxa"/>
          </w:tcPr>
          <w:p w:rsidR="00041039" w:rsidRDefault="001B26CB">
            <w:pPr>
              <w:pStyle w:val="TableParagraph"/>
              <w:spacing w:before="21"/>
              <w:ind w:left="56" w:right="147"/>
              <w:rPr>
                <w:sz w:val="14"/>
              </w:rPr>
            </w:pPr>
            <w:r>
              <w:rPr>
                <w:color w:val="231F20"/>
                <w:sz w:val="14"/>
              </w:rPr>
              <w:t>Српски народи Србија у савреме­ ном свету</w:t>
            </w:r>
          </w:p>
        </w:tc>
        <w:tc>
          <w:tcPr>
            <w:tcW w:w="1587" w:type="dxa"/>
          </w:tcPr>
          <w:p w:rsidR="00041039" w:rsidRDefault="001B26CB">
            <w:pPr>
              <w:pStyle w:val="TableParagraph"/>
              <w:numPr>
                <w:ilvl w:val="0"/>
                <w:numId w:val="1977"/>
              </w:numPr>
              <w:tabs>
                <w:tab w:val="left" w:pos="157"/>
              </w:tabs>
              <w:spacing w:before="11"/>
              <w:ind w:right="155"/>
              <w:rPr>
                <w:sz w:val="14"/>
              </w:rPr>
            </w:pPr>
            <w:r>
              <w:rPr>
                <w:color w:val="231F20"/>
                <w:sz w:val="14"/>
              </w:rPr>
              <w:t>Разумевање поли­ тичких и</w:t>
            </w:r>
            <w:r>
              <w:rPr>
                <w:color w:val="231F20"/>
                <w:spacing w:val="-15"/>
                <w:sz w:val="14"/>
              </w:rPr>
              <w:t xml:space="preserve"> </w:t>
            </w:r>
            <w:r>
              <w:rPr>
                <w:color w:val="231F20"/>
                <w:sz w:val="14"/>
              </w:rPr>
              <w:t xml:space="preserve">економских односа у савременом </w:t>
            </w:r>
            <w:r>
              <w:rPr>
                <w:color w:val="231F20"/>
                <w:spacing w:val="-3"/>
                <w:sz w:val="14"/>
              </w:rPr>
              <w:t>свету.</w:t>
            </w:r>
          </w:p>
          <w:p w:rsidR="00041039" w:rsidRDefault="001B26CB">
            <w:pPr>
              <w:pStyle w:val="TableParagraph"/>
              <w:numPr>
                <w:ilvl w:val="0"/>
                <w:numId w:val="1977"/>
              </w:numPr>
              <w:tabs>
                <w:tab w:val="left" w:pos="157"/>
              </w:tabs>
              <w:spacing w:line="156" w:lineRule="exact"/>
              <w:rPr>
                <w:sz w:val="14"/>
              </w:rPr>
            </w:pPr>
            <w:r>
              <w:rPr>
                <w:color w:val="231F20"/>
                <w:sz w:val="14"/>
              </w:rPr>
              <w:t>Сагледавање</w:t>
            </w:r>
            <w:r>
              <w:rPr>
                <w:color w:val="231F20"/>
                <w:spacing w:val="-2"/>
                <w:sz w:val="14"/>
              </w:rPr>
              <w:t xml:space="preserve"> </w:t>
            </w:r>
            <w:r>
              <w:rPr>
                <w:color w:val="231F20"/>
                <w:sz w:val="14"/>
              </w:rPr>
              <w:t>међу­</w:t>
            </w:r>
          </w:p>
          <w:p w:rsidR="00041039" w:rsidRDefault="001B26CB">
            <w:pPr>
              <w:pStyle w:val="TableParagraph"/>
              <w:ind w:right="15"/>
              <w:rPr>
                <w:sz w:val="14"/>
              </w:rPr>
            </w:pPr>
            <w:r>
              <w:rPr>
                <w:color w:val="231F20"/>
                <w:sz w:val="14"/>
              </w:rPr>
              <w:t>народног положаја Србије.</w:t>
            </w:r>
          </w:p>
          <w:p w:rsidR="00041039" w:rsidRDefault="001B26CB">
            <w:pPr>
              <w:pStyle w:val="TableParagraph"/>
              <w:numPr>
                <w:ilvl w:val="0"/>
                <w:numId w:val="1977"/>
              </w:numPr>
              <w:tabs>
                <w:tab w:val="left" w:pos="157"/>
              </w:tabs>
              <w:spacing w:line="160" w:lineRule="exact"/>
              <w:ind w:right="169"/>
              <w:rPr>
                <w:sz w:val="14"/>
              </w:rPr>
            </w:pPr>
            <w:r>
              <w:rPr>
                <w:color w:val="231F20"/>
                <w:sz w:val="14"/>
              </w:rPr>
              <w:t>Проширивање</w:t>
            </w:r>
            <w:r>
              <w:rPr>
                <w:color w:val="231F20"/>
                <w:spacing w:val="-10"/>
                <w:sz w:val="14"/>
              </w:rPr>
              <w:t xml:space="preserve"> </w:t>
            </w:r>
            <w:r>
              <w:rPr>
                <w:color w:val="231F20"/>
                <w:sz w:val="14"/>
              </w:rPr>
              <w:t>знања о најзначајнијим међународним организацијама и чланству Србије у њима.</w:t>
            </w:r>
          </w:p>
          <w:p w:rsidR="00041039" w:rsidRDefault="001B26CB">
            <w:pPr>
              <w:pStyle w:val="TableParagraph"/>
              <w:numPr>
                <w:ilvl w:val="0"/>
                <w:numId w:val="1977"/>
              </w:numPr>
              <w:tabs>
                <w:tab w:val="left" w:pos="157"/>
              </w:tabs>
              <w:spacing w:line="160" w:lineRule="exact"/>
              <w:ind w:right="78"/>
              <w:rPr>
                <w:sz w:val="14"/>
              </w:rPr>
            </w:pPr>
            <w:r>
              <w:rPr>
                <w:color w:val="231F20"/>
                <w:sz w:val="14"/>
              </w:rPr>
              <w:t>Проширивање знања опоследицама</w:t>
            </w:r>
            <w:r>
              <w:rPr>
                <w:color w:val="231F20"/>
                <w:spacing w:val="-9"/>
                <w:sz w:val="14"/>
              </w:rPr>
              <w:t xml:space="preserve"> </w:t>
            </w:r>
            <w:r>
              <w:rPr>
                <w:color w:val="231F20"/>
                <w:sz w:val="14"/>
              </w:rPr>
              <w:t>научно­ технолошког развоја на живот савременог човека.</w:t>
            </w:r>
          </w:p>
        </w:tc>
        <w:tc>
          <w:tcPr>
            <w:tcW w:w="2551" w:type="dxa"/>
          </w:tcPr>
          <w:p w:rsidR="00041039" w:rsidRDefault="001B26CB">
            <w:pPr>
              <w:pStyle w:val="TableParagraph"/>
              <w:numPr>
                <w:ilvl w:val="0"/>
                <w:numId w:val="1976"/>
              </w:numPr>
              <w:tabs>
                <w:tab w:val="left" w:pos="157"/>
              </w:tabs>
              <w:spacing w:before="11"/>
              <w:ind w:right="134" w:hanging="99"/>
              <w:rPr>
                <w:sz w:val="14"/>
              </w:rPr>
            </w:pPr>
            <w:r>
              <w:rPr>
                <w:color w:val="231F20"/>
                <w:sz w:val="14"/>
              </w:rPr>
              <w:t>идентификује најважније чиниоце у међународним политичким и</w:t>
            </w:r>
            <w:r>
              <w:rPr>
                <w:color w:val="231F20"/>
                <w:spacing w:val="-25"/>
                <w:sz w:val="14"/>
              </w:rPr>
              <w:t xml:space="preserve"> </w:t>
            </w:r>
            <w:r>
              <w:rPr>
                <w:color w:val="231F20"/>
                <w:sz w:val="14"/>
              </w:rPr>
              <w:t>економ­ ским</w:t>
            </w:r>
            <w:r>
              <w:rPr>
                <w:color w:val="231F20"/>
                <w:spacing w:val="-1"/>
                <w:sz w:val="14"/>
              </w:rPr>
              <w:t xml:space="preserve"> </w:t>
            </w:r>
            <w:r>
              <w:rPr>
                <w:color w:val="231F20"/>
                <w:sz w:val="14"/>
              </w:rPr>
              <w:t>односима;</w:t>
            </w:r>
          </w:p>
          <w:p w:rsidR="00041039" w:rsidRDefault="001B26CB">
            <w:pPr>
              <w:pStyle w:val="TableParagraph"/>
              <w:numPr>
                <w:ilvl w:val="0"/>
                <w:numId w:val="1976"/>
              </w:numPr>
              <w:tabs>
                <w:tab w:val="left" w:pos="157"/>
              </w:tabs>
              <w:spacing w:line="157" w:lineRule="exact"/>
              <w:ind w:hanging="99"/>
              <w:rPr>
                <w:sz w:val="14"/>
              </w:rPr>
            </w:pPr>
            <w:r>
              <w:rPr>
                <w:color w:val="231F20"/>
                <w:sz w:val="14"/>
              </w:rPr>
              <w:t>разуме место и улогу Србије у</w:t>
            </w:r>
            <w:r>
              <w:rPr>
                <w:color w:val="231F20"/>
                <w:spacing w:val="-10"/>
                <w:sz w:val="14"/>
              </w:rPr>
              <w:t xml:space="preserve"> </w:t>
            </w:r>
            <w:r>
              <w:rPr>
                <w:color w:val="231F20"/>
                <w:sz w:val="14"/>
              </w:rPr>
              <w:t>савре­</w:t>
            </w:r>
          </w:p>
          <w:p w:rsidR="00041039" w:rsidRDefault="001B26CB">
            <w:pPr>
              <w:pStyle w:val="TableParagraph"/>
              <w:spacing w:line="155" w:lineRule="exact"/>
              <w:rPr>
                <w:sz w:val="14"/>
              </w:rPr>
            </w:pPr>
            <w:r>
              <w:rPr>
                <w:color w:val="231F20"/>
                <w:sz w:val="14"/>
              </w:rPr>
              <w:t>меном свету;</w:t>
            </w:r>
          </w:p>
          <w:p w:rsidR="00041039" w:rsidRDefault="001B26CB">
            <w:pPr>
              <w:pStyle w:val="TableParagraph"/>
              <w:numPr>
                <w:ilvl w:val="0"/>
                <w:numId w:val="1976"/>
              </w:numPr>
              <w:tabs>
                <w:tab w:val="left" w:pos="157"/>
              </w:tabs>
              <w:spacing w:line="237" w:lineRule="auto"/>
              <w:ind w:right="94" w:hanging="99"/>
              <w:rPr>
                <w:sz w:val="14"/>
              </w:rPr>
            </w:pPr>
            <w:r>
              <w:rPr>
                <w:color w:val="231F20"/>
                <w:sz w:val="14"/>
              </w:rPr>
              <w:t>утврди значај чланства Србије у</w:t>
            </w:r>
            <w:r>
              <w:rPr>
                <w:color w:val="231F20"/>
                <w:spacing w:val="-13"/>
                <w:sz w:val="14"/>
              </w:rPr>
              <w:t xml:space="preserve"> </w:t>
            </w:r>
            <w:r>
              <w:rPr>
                <w:color w:val="231F20"/>
                <w:sz w:val="14"/>
              </w:rPr>
              <w:t>међу­ народним</w:t>
            </w:r>
            <w:r>
              <w:rPr>
                <w:color w:val="231F20"/>
                <w:spacing w:val="-1"/>
                <w:sz w:val="14"/>
              </w:rPr>
              <w:t xml:space="preserve"> </w:t>
            </w:r>
            <w:r>
              <w:rPr>
                <w:color w:val="231F20"/>
                <w:sz w:val="14"/>
              </w:rPr>
              <w:t>организацијама;</w:t>
            </w:r>
          </w:p>
          <w:p w:rsidR="00041039" w:rsidRDefault="001B26CB">
            <w:pPr>
              <w:pStyle w:val="TableParagraph"/>
              <w:numPr>
                <w:ilvl w:val="0"/>
                <w:numId w:val="1976"/>
              </w:numPr>
              <w:tabs>
                <w:tab w:val="left" w:pos="157"/>
              </w:tabs>
              <w:spacing w:line="160" w:lineRule="exact"/>
              <w:ind w:right="121" w:hanging="99"/>
              <w:rPr>
                <w:sz w:val="14"/>
              </w:rPr>
            </w:pPr>
            <w:r>
              <w:rPr>
                <w:color w:val="231F20"/>
                <w:sz w:val="14"/>
              </w:rPr>
              <w:t xml:space="preserve">објасни утицај савремених техничких достигнућа на повезивање </w:t>
            </w:r>
            <w:r>
              <w:rPr>
                <w:color w:val="231F20"/>
                <w:spacing w:val="-3"/>
                <w:sz w:val="14"/>
              </w:rPr>
              <w:t xml:space="preserve">људи </w:t>
            </w:r>
            <w:r>
              <w:rPr>
                <w:color w:val="231F20"/>
                <w:sz w:val="14"/>
              </w:rPr>
              <w:t>у свету;</w:t>
            </w:r>
          </w:p>
        </w:tc>
        <w:tc>
          <w:tcPr>
            <w:tcW w:w="2834" w:type="dxa"/>
          </w:tcPr>
          <w:p w:rsidR="00041039" w:rsidRDefault="001B26CB">
            <w:pPr>
              <w:pStyle w:val="TableParagraph"/>
              <w:numPr>
                <w:ilvl w:val="0"/>
                <w:numId w:val="1975"/>
              </w:numPr>
              <w:tabs>
                <w:tab w:val="left" w:pos="157"/>
              </w:tabs>
              <w:spacing w:before="11"/>
              <w:ind w:right="170" w:hanging="99"/>
              <w:rPr>
                <w:sz w:val="14"/>
              </w:rPr>
            </w:pPr>
            <w:r>
              <w:rPr>
                <w:color w:val="231F20"/>
                <w:sz w:val="14"/>
              </w:rPr>
              <w:t>Најутицајније државе и организације у међународним политичким и</w:t>
            </w:r>
            <w:r>
              <w:rPr>
                <w:color w:val="231F20"/>
                <w:spacing w:val="-25"/>
                <w:sz w:val="14"/>
              </w:rPr>
              <w:t xml:space="preserve"> </w:t>
            </w:r>
            <w:r>
              <w:rPr>
                <w:color w:val="231F20"/>
                <w:sz w:val="14"/>
              </w:rPr>
              <w:t>економским односима.</w:t>
            </w:r>
          </w:p>
          <w:p w:rsidR="00041039" w:rsidRDefault="001B26CB">
            <w:pPr>
              <w:pStyle w:val="TableParagraph"/>
              <w:numPr>
                <w:ilvl w:val="0"/>
                <w:numId w:val="1975"/>
              </w:numPr>
              <w:tabs>
                <w:tab w:val="left" w:pos="157"/>
              </w:tabs>
              <w:spacing w:line="157" w:lineRule="exact"/>
              <w:ind w:hanging="99"/>
              <w:rPr>
                <w:sz w:val="14"/>
              </w:rPr>
            </w:pPr>
            <w:r>
              <w:rPr>
                <w:color w:val="231F20"/>
                <w:spacing w:val="-4"/>
                <w:sz w:val="14"/>
              </w:rPr>
              <w:t xml:space="preserve">Улога </w:t>
            </w:r>
            <w:r>
              <w:rPr>
                <w:color w:val="231F20"/>
                <w:sz w:val="14"/>
              </w:rPr>
              <w:t>Организације уједињених нација</w:t>
            </w:r>
            <w:r>
              <w:rPr>
                <w:color w:val="231F20"/>
                <w:spacing w:val="-6"/>
                <w:sz w:val="14"/>
              </w:rPr>
              <w:t xml:space="preserve"> </w:t>
            </w:r>
            <w:r>
              <w:rPr>
                <w:color w:val="231F20"/>
                <w:sz w:val="14"/>
              </w:rPr>
              <w:t>у</w:t>
            </w:r>
          </w:p>
          <w:p w:rsidR="00041039" w:rsidRDefault="001B26CB">
            <w:pPr>
              <w:pStyle w:val="TableParagraph"/>
              <w:rPr>
                <w:sz w:val="14"/>
              </w:rPr>
            </w:pPr>
            <w:r>
              <w:rPr>
                <w:color w:val="231F20"/>
                <w:sz w:val="14"/>
              </w:rPr>
              <w:t>очувању мира у свету, борби против сиро­ маштва и заштити</w:t>
            </w:r>
            <w:r>
              <w:rPr>
                <w:color w:val="231F20"/>
                <w:sz w:val="14"/>
              </w:rPr>
              <w:t xml:space="preserve"> културних споменика.</w:t>
            </w:r>
          </w:p>
          <w:p w:rsidR="00041039" w:rsidRDefault="001B26CB">
            <w:pPr>
              <w:pStyle w:val="TableParagraph"/>
              <w:numPr>
                <w:ilvl w:val="0"/>
                <w:numId w:val="1975"/>
              </w:numPr>
              <w:tabs>
                <w:tab w:val="left" w:pos="157"/>
              </w:tabs>
              <w:spacing w:line="154" w:lineRule="exact"/>
              <w:ind w:hanging="99"/>
              <w:rPr>
                <w:sz w:val="14"/>
              </w:rPr>
            </w:pPr>
            <w:r>
              <w:rPr>
                <w:color w:val="231F20"/>
                <w:sz w:val="14"/>
              </w:rPr>
              <w:t>Геополитички положај</w:t>
            </w:r>
            <w:r>
              <w:rPr>
                <w:color w:val="231F20"/>
                <w:spacing w:val="-4"/>
                <w:sz w:val="14"/>
              </w:rPr>
              <w:t xml:space="preserve"> </w:t>
            </w:r>
            <w:r>
              <w:rPr>
                <w:color w:val="231F20"/>
                <w:sz w:val="14"/>
              </w:rPr>
              <w:t>Србије.</w:t>
            </w:r>
          </w:p>
          <w:p w:rsidR="00041039" w:rsidRDefault="001B26CB">
            <w:pPr>
              <w:pStyle w:val="TableParagraph"/>
              <w:numPr>
                <w:ilvl w:val="0"/>
                <w:numId w:val="1975"/>
              </w:numPr>
              <w:tabs>
                <w:tab w:val="left" w:pos="157"/>
              </w:tabs>
              <w:spacing w:line="237" w:lineRule="auto"/>
              <w:ind w:right="282" w:hanging="99"/>
              <w:jc w:val="both"/>
              <w:rPr>
                <w:sz w:val="14"/>
              </w:rPr>
            </w:pPr>
            <w:r>
              <w:rPr>
                <w:color w:val="231F20"/>
                <w:sz w:val="14"/>
              </w:rPr>
              <w:t>Чланство Србије у регионалним, европ­ ским и светским организацијама (Савет Европе, ОЕБС,</w:t>
            </w:r>
            <w:r>
              <w:rPr>
                <w:color w:val="231F20"/>
                <w:spacing w:val="-1"/>
                <w:sz w:val="14"/>
              </w:rPr>
              <w:t xml:space="preserve"> </w:t>
            </w:r>
            <w:r>
              <w:rPr>
                <w:color w:val="231F20"/>
                <w:sz w:val="14"/>
              </w:rPr>
              <w:t>ОУН...).</w:t>
            </w:r>
          </w:p>
          <w:p w:rsidR="00041039" w:rsidRDefault="001B26CB">
            <w:pPr>
              <w:pStyle w:val="TableParagraph"/>
              <w:numPr>
                <w:ilvl w:val="0"/>
                <w:numId w:val="1975"/>
              </w:numPr>
              <w:tabs>
                <w:tab w:val="left" w:pos="157"/>
              </w:tabs>
              <w:spacing w:line="237" w:lineRule="auto"/>
              <w:ind w:right="42" w:hanging="99"/>
              <w:rPr>
                <w:sz w:val="14"/>
              </w:rPr>
            </w:pPr>
            <w:r>
              <w:rPr>
                <w:color w:val="231F20"/>
                <w:sz w:val="14"/>
              </w:rPr>
              <w:t xml:space="preserve">Срби ван Србије (проблем избеглица, Црна </w:t>
            </w:r>
            <w:r>
              <w:rPr>
                <w:color w:val="231F20"/>
                <w:spacing w:val="-3"/>
                <w:sz w:val="14"/>
              </w:rPr>
              <w:t xml:space="preserve">Гора, </w:t>
            </w:r>
            <w:r>
              <w:rPr>
                <w:color w:val="231F20"/>
                <w:sz w:val="14"/>
              </w:rPr>
              <w:t>Република Српска, Срби у</w:t>
            </w:r>
            <w:r>
              <w:rPr>
                <w:color w:val="231F20"/>
                <w:spacing w:val="-16"/>
                <w:sz w:val="14"/>
              </w:rPr>
              <w:t xml:space="preserve"> </w:t>
            </w:r>
            <w:r>
              <w:rPr>
                <w:color w:val="231F20"/>
                <w:sz w:val="14"/>
              </w:rPr>
              <w:t>дијаспори).</w:t>
            </w:r>
          </w:p>
          <w:p w:rsidR="00041039" w:rsidRDefault="001B26CB">
            <w:pPr>
              <w:pStyle w:val="TableParagraph"/>
              <w:numPr>
                <w:ilvl w:val="0"/>
                <w:numId w:val="1975"/>
              </w:numPr>
              <w:tabs>
                <w:tab w:val="left" w:pos="157"/>
              </w:tabs>
              <w:spacing w:line="160" w:lineRule="exact"/>
              <w:ind w:right="75" w:hanging="99"/>
              <w:rPr>
                <w:sz w:val="14"/>
              </w:rPr>
            </w:pPr>
            <w:r>
              <w:rPr>
                <w:color w:val="231F20"/>
                <w:sz w:val="14"/>
              </w:rPr>
              <w:t xml:space="preserve">Свет почетком XXI века ­ научни и технолошки развој. </w:t>
            </w:r>
            <w:r>
              <w:rPr>
                <w:color w:val="231F20"/>
                <w:spacing w:val="-2"/>
                <w:sz w:val="14"/>
              </w:rPr>
              <w:t xml:space="preserve">Интернет, </w:t>
            </w:r>
            <w:r>
              <w:rPr>
                <w:color w:val="231F20"/>
                <w:sz w:val="14"/>
              </w:rPr>
              <w:t>утицај медија</w:t>
            </w:r>
            <w:r>
              <w:rPr>
                <w:color w:val="231F20"/>
                <w:spacing w:val="-6"/>
                <w:sz w:val="14"/>
              </w:rPr>
              <w:t xml:space="preserve"> </w:t>
            </w:r>
            <w:r>
              <w:rPr>
                <w:color w:val="231F20"/>
                <w:sz w:val="14"/>
              </w:rPr>
              <w:t>на</w:t>
            </w:r>
            <w:r>
              <w:rPr>
                <w:color w:val="231F20"/>
                <w:spacing w:val="-7"/>
                <w:sz w:val="14"/>
              </w:rPr>
              <w:t xml:space="preserve"> </w:t>
            </w:r>
            <w:r>
              <w:rPr>
                <w:color w:val="231F20"/>
                <w:sz w:val="14"/>
              </w:rPr>
              <w:t>јавно</w:t>
            </w:r>
            <w:r>
              <w:rPr>
                <w:color w:val="231F20"/>
                <w:spacing w:val="-6"/>
                <w:sz w:val="14"/>
              </w:rPr>
              <w:t xml:space="preserve"> </w:t>
            </w:r>
            <w:r>
              <w:rPr>
                <w:color w:val="231F20"/>
                <w:sz w:val="14"/>
              </w:rPr>
              <w:t>мњење,</w:t>
            </w:r>
            <w:r>
              <w:rPr>
                <w:color w:val="231F20"/>
                <w:spacing w:val="-6"/>
                <w:sz w:val="14"/>
              </w:rPr>
              <w:t xml:space="preserve"> </w:t>
            </w:r>
            <w:r>
              <w:rPr>
                <w:color w:val="231F20"/>
                <w:sz w:val="14"/>
              </w:rPr>
              <w:t>популарна</w:t>
            </w:r>
            <w:r>
              <w:rPr>
                <w:color w:val="231F20"/>
                <w:spacing w:val="-7"/>
                <w:sz w:val="14"/>
              </w:rPr>
              <w:t xml:space="preserve"> </w:t>
            </w:r>
            <w:r>
              <w:rPr>
                <w:color w:val="231F20"/>
                <w:sz w:val="14"/>
              </w:rPr>
              <w:t>култура, глобализација, тероризам, еколошки про­ блеми...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64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1974"/>
              </w:numPr>
              <w:tabs>
                <w:tab w:val="left" w:pos="158"/>
              </w:tabs>
              <w:spacing w:before="8"/>
              <w:ind w:right="64"/>
              <w:rPr>
                <w:sz w:val="14"/>
              </w:rPr>
            </w:pPr>
            <w:r>
              <w:rPr>
                <w:color w:val="231F20"/>
                <w:sz w:val="14"/>
              </w:rPr>
              <w:t xml:space="preserve">у извођењу наставе самостално истраживање ученика је најваж­ није, без обзира на изабране методе рада, а наставникова је улога да организује </w:t>
            </w:r>
            <w:r>
              <w:rPr>
                <w:color w:val="231F20"/>
                <w:spacing w:val="-3"/>
                <w:sz w:val="14"/>
              </w:rPr>
              <w:t xml:space="preserve">наставу, </w:t>
            </w:r>
            <w:r>
              <w:rPr>
                <w:color w:val="231F20"/>
                <w:sz w:val="14"/>
              </w:rPr>
              <w:t>пру­ жи помоћ ученицима у раду (од давања информација до упући­ вања на изворе информација) и</w:t>
            </w:r>
            <w:r>
              <w:rPr>
                <w:color w:val="231F20"/>
                <w:spacing w:val="-15"/>
                <w:sz w:val="14"/>
              </w:rPr>
              <w:t xml:space="preserve"> </w:t>
            </w:r>
            <w:r>
              <w:rPr>
                <w:color w:val="231F20"/>
                <w:sz w:val="14"/>
              </w:rPr>
              <w:t xml:space="preserve">да подстиче </w:t>
            </w:r>
            <w:r>
              <w:rPr>
                <w:color w:val="231F20"/>
                <w:sz w:val="14"/>
              </w:rPr>
              <w:t>интересовање ученика за</w:t>
            </w:r>
            <w:r>
              <w:rPr>
                <w:color w:val="231F20"/>
                <w:spacing w:val="-2"/>
                <w:sz w:val="14"/>
              </w:rPr>
              <w:t xml:space="preserve"> </w:t>
            </w:r>
            <w:r>
              <w:rPr>
                <w:color w:val="231F20"/>
                <w:sz w:val="14"/>
              </w:rPr>
              <w:t>предмет.</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tabs>
          <w:tab w:val="left" w:pos="633"/>
        </w:tabs>
        <w:ind w:left="632" w:hanging="135"/>
      </w:pPr>
      <w:r>
        <w:rPr>
          <w:color w:val="231F20"/>
        </w:rPr>
        <w:t>Социологија са правима</w:t>
      </w:r>
      <w:r>
        <w:rPr>
          <w:color w:val="231F20"/>
          <w:spacing w:val="-2"/>
        </w:rPr>
        <w:t xml:space="preserve"> </w:t>
      </w:r>
      <w:r>
        <w:rPr>
          <w:color w:val="231F20"/>
        </w:rPr>
        <w:t>грађана</w:t>
      </w:r>
    </w:p>
    <w:p w:rsidR="00041039" w:rsidRDefault="001B26CB">
      <w:pPr>
        <w:pStyle w:val="ListParagraph"/>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tabs>
          <w:tab w:val="left" w:pos="633"/>
        </w:tabs>
        <w:spacing w:line="203" w:lineRule="exact"/>
        <w:rPr>
          <w:sz w:val="18"/>
        </w:rPr>
      </w:pPr>
      <w:r>
        <w:rPr>
          <w:color w:val="231F20"/>
          <w:sz w:val="18"/>
        </w:rPr>
        <w:t>Историја</w:t>
      </w:r>
      <w:r>
        <w:rPr>
          <w:color w:val="231F20"/>
          <w:spacing w:val="-1"/>
          <w:sz w:val="18"/>
        </w:rPr>
        <w:t xml:space="preserve"> </w:t>
      </w:r>
      <w:r>
        <w:rPr>
          <w:color w:val="231F20"/>
          <w:sz w:val="18"/>
        </w:rPr>
        <w:t>ваздухопловства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СОЦИОЛОГИЈА </w:t>
      </w:r>
      <w:r>
        <w:rPr>
          <w:b/>
          <w:color w:val="231F20"/>
          <w:spacing w:val="-4"/>
          <w:sz w:val="14"/>
        </w:rPr>
        <w:t>СА ПРАВИМА</w:t>
      </w:r>
      <w:r>
        <w:rPr>
          <w:b/>
          <w:color w:val="231F20"/>
          <w:spacing w:val="1"/>
          <w:sz w:val="14"/>
        </w:rPr>
        <w:t xml:space="preserve"> </w:t>
      </w:r>
      <w:r>
        <w:rPr>
          <w:b/>
          <w:color w:val="231F20"/>
          <w:spacing w:val="-4"/>
          <w:sz w:val="14"/>
        </w:rPr>
        <w:t>ГРАЂАНА</w:t>
      </w:r>
    </w:p>
    <w:p w:rsidR="00041039" w:rsidRDefault="001B26CB">
      <w:pPr>
        <w:pStyle w:val="BodyText"/>
        <w:spacing w:before="49" w:line="161" w:lineRule="exact"/>
        <w:ind w:left="157"/>
      </w:pPr>
      <w:r>
        <w:rPr>
          <w:color w:val="231F20"/>
        </w:rPr>
        <w:t>Циљеви предмета: – Оспособљава ученика за живот у друштву изложеном сталним променама и изазовима које доноси развој савременог друштва.</w:t>
      </w:r>
    </w:p>
    <w:p w:rsidR="00041039" w:rsidRDefault="001B26CB">
      <w:pPr>
        <w:pStyle w:val="ListParagraph"/>
        <w:numPr>
          <w:ilvl w:val="1"/>
          <w:numId w:val="0"/>
        </w:numPr>
        <w:tabs>
          <w:tab w:val="left" w:pos="1566"/>
        </w:tabs>
        <w:spacing w:line="160" w:lineRule="exact"/>
        <w:ind w:left="1565" w:hanging="105"/>
        <w:rPr>
          <w:sz w:val="14"/>
        </w:rPr>
      </w:pPr>
      <w:r>
        <w:rPr>
          <w:color w:val="231F20"/>
          <w:sz w:val="14"/>
        </w:rPr>
        <w:t xml:space="preserve">Развија способност </w:t>
      </w:r>
      <w:r>
        <w:rPr>
          <w:color w:val="231F20"/>
          <w:spacing w:val="-5"/>
          <w:sz w:val="14"/>
        </w:rPr>
        <w:t xml:space="preserve">код </w:t>
      </w:r>
      <w:r>
        <w:rPr>
          <w:color w:val="231F20"/>
          <w:sz w:val="14"/>
        </w:rPr>
        <w:t>ученика за улогу одговорног грађанина за живот у демократски уређеном и хуманом</w:t>
      </w:r>
      <w:r>
        <w:rPr>
          <w:color w:val="231F20"/>
          <w:spacing w:val="-11"/>
          <w:sz w:val="14"/>
        </w:rPr>
        <w:t xml:space="preserve"> </w:t>
      </w:r>
      <w:r>
        <w:rPr>
          <w:color w:val="231F20"/>
          <w:spacing w:val="-3"/>
          <w:sz w:val="14"/>
        </w:rPr>
        <w:t>друштву.</w:t>
      </w:r>
    </w:p>
    <w:p w:rsidR="00041039" w:rsidRDefault="001B26CB">
      <w:pPr>
        <w:pStyle w:val="ListParagraph"/>
        <w:numPr>
          <w:ilvl w:val="1"/>
          <w:numId w:val="0"/>
        </w:numPr>
        <w:tabs>
          <w:tab w:val="left" w:pos="1566"/>
        </w:tabs>
        <w:spacing w:line="161" w:lineRule="exact"/>
        <w:ind w:left="1565" w:hanging="105"/>
        <w:rPr>
          <w:sz w:val="14"/>
        </w:rPr>
      </w:pPr>
      <w:r>
        <w:rPr>
          <w:color w:val="231F20"/>
          <w:spacing w:val="-3"/>
          <w:sz w:val="14"/>
        </w:rPr>
        <w:t>Унапређ</w:t>
      </w:r>
      <w:r>
        <w:rPr>
          <w:color w:val="231F20"/>
          <w:spacing w:val="-3"/>
          <w:sz w:val="14"/>
        </w:rPr>
        <w:t xml:space="preserve">ује </w:t>
      </w:r>
      <w:r>
        <w:rPr>
          <w:color w:val="231F20"/>
          <w:sz w:val="14"/>
        </w:rPr>
        <w:t>ученичке способности за све облике комуникације дијалога и исказивања аргументованог</w:t>
      </w:r>
      <w:r>
        <w:rPr>
          <w:color w:val="231F20"/>
          <w:spacing w:val="-5"/>
          <w:sz w:val="14"/>
        </w:rPr>
        <w:t xml:space="preserve"> </w:t>
      </w:r>
      <w:r>
        <w:rPr>
          <w:color w:val="231F20"/>
          <w:sz w:val="14"/>
        </w:rPr>
        <w:t>става.</w:t>
      </w:r>
    </w:p>
    <w:p w:rsidR="00041039" w:rsidRDefault="00041039">
      <w:pPr>
        <w:spacing w:line="161" w:lineRule="exact"/>
        <w:rPr>
          <w:sz w:val="14"/>
        </w:rPr>
        <w:sectPr w:rsidR="00041039">
          <w:pgSz w:w="11910" w:h="15710"/>
          <w:pgMar w:top="160" w:right="540" w:bottom="280" w:left="580" w:header="720" w:footer="720" w:gutter="0"/>
          <w:cols w:space="720"/>
        </w:sectPr>
      </w:pPr>
    </w:p>
    <w:p w:rsidR="00041039" w:rsidRDefault="001B26CB">
      <w:pPr>
        <w:pStyle w:val="BodyText"/>
        <w:spacing w:before="50"/>
        <w:ind w:left="157" w:right="-12"/>
      </w:pPr>
      <w:r>
        <w:rPr>
          <w:color w:val="231F20"/>
          <w:spacing w:val="-3"/>
        </w:rPr>
        <w:t xml:space="preserve">Годишњи </w:t>
      </w:r>
      <w:r>
        <w:rPr>
          <w:color w:val="231F20"/>
        </w:rPr>
        <w:t>фондча­ сова:</w:t>
      </w:r>
    </w:p>
    <w:p w:rsidR="00041039" w:rsidRDefault="001B26CB">
      <w:pPr>
        <w:pStyle w:val="Heading3"/>
      </w:pPr>
      <w:r>
        <w:rPr>
          <w:b w:val="0"/>
        </w:rPr>
        <w:br w:type="column"/>
      </w:r>
      <w:r>
        <w:rPr>
          <w:color w:val="231F20"/>
        </w:rPr>
        <w:t>64 часа</w:t>
      </w:r>
    </w:p>
    <w:p w:rsidR="00041039" w:rsidRDefault="00041039">
      <w:pPr>
        <w:sectPr w:rsidR="00041039">
          <w:type w:val="continuous"/>
          <w:pgSz w:w="11910" w:h="15710"/>
          <w:pgMar w:top="1480" w:right="540" w:bottom="280" w:left="580" w:header="720" w:footer="720" w:gutter="0"/>
          <w:cols w:num="2" w:space="720" w:equalWidth="0">
            <w:col w:w="1244" w:space="60"/>
            <w:col w:w="9486"/>
          </w:cols>
        </w:sectPr>
      </w:pPr>
    </w:p>
    <w:p w:rsidR="00041039" w:rsidRDefault="001B26CB">
      <w:pPr>
        <w:tabs>
          <w:tab w:val="left" w:pos="1460"/>
        </w:tabs>
        <w:spacing w:before="48"/>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154" w:firstLine="725"/>
              <w:rPr>
                <w:b/>
                <w:sz w:val="14"/>
              </w:rPr>
            </w:pPr>
            <w:r>
              <w:rPr>
                <w:b/>
                <w:color w:val="231F20"/>
                <w:sz w:val="14"/>
              </w:rPr>
              <w:t>НАЧИН ОСТВАРИВАЊА ПРОГРАМ A</w:t>
            </w:r>
          </w:p>
        </w:tc>
      </w:tr>
      <w:tr w:rsidR="00041039">
        <w:trPr>
          <w:trHeight w:val="1960"/>
        </w:trPr>
        <w:tc>
          <w:tcPr>
            <w:tcW w:w="1304" w:type="dxa"/>
          </w:tcPr>
          <w:p w:rsidR="00041039" w:rsidRDefault="001B26CB">
            <w:pPr>
              <w:pStyle w:val="TableParagraph"/>
              <w:spacing w:before="18"/>
              <w:ind w:left="56" w:right="37"/>
              <w:rPr>
                <w:sz w:val="14"/>
              </w:rPr>
            </w:pPr>
            <w:r>
              <w:rPr>
                <w:color w:val="231F20"/>
                <w:sz w:val="14"/>
              </w:rPr>
              <w:t>Структура и орга­ низација друштва</w:t>
            </w:r>
          </w:p>
        </w:tc>
        <w:tc>
          <w:tcPr>
            <w:tcW w:w="1587" w:type="dxa"/>
          </w:tcPr>
          <w:p w:rsidR="00041039" w:rsidRDefault="001B26CB">
            <w:pPr>
              <w:pStyle w:val="TableParagraph"/>
              <w:numPr>
                <w:ilvl w:val="0"/>
                <w:numId w:val="1973"/>
              </w:numPr>
              <w:tabs>
                <w:tab w:val="left" w:pos="157"/>
              </w:tabs>
              <w:spacing w:before="8"/>
              <w:ind w:right="95"/>
              <w:rPr>
                <w:sz w:val="14"/>
              </w:rPr>
            </w:pPr>
            <w:r>
              <w:rPr>
                <w:color w:val="231F20"/>
                <w:sz w:val="14"/>
              </w:rPr>
              <w:t>Упознавање са функ­ ционисањем,</w:t>
            </w:r>
            <w:r>
              <w:rPr>
                <w:color w:val="231F20"/>
                <w:spacing w:val="-7"/>
                <w:sz w:val="14"/>
              </w:rPr>
              <w:t xml:space="preserve"> </w:t>
            </w:r>
            <w:r>
              <w:rPr>
                <w:color w:val="231F20"/>
                <w:sz w:val="14"/>
              </w:rPr>
              <w:t>структу­ ром и организацијом друштва.</w:t>
            </w:r>
          </w:p>
        </w:tc>
        <w:tc>
          <w:tcPr>
            <w:tcW w:w="2551" w:type="dxa"/>
          </w:tcPr>
          <w:p w:rsidR="00041039" w:rsidRDefault="001B26CB">
            <w:pPr>
              <w:pStyle w:val="TableParagraph"/>
              <w:numPr>
                <w:ilvl w:val="0"/>
                <w:numId w:val="1972"/>
              </w:numPr>
              <w:tabs>
                <w:tab w:val="left" w:pos="157"/>
              </w:tabs>
              <w:spacing w:before="8"/>
              <w:ind w:right="430" w:hanging="99"/>
              <w:rPr>
                <w:sz w:val="14"/>
              </w:rPr>
            </w:pPr>
            <w:r>
              <w:rPr>
                <w:color w:val="231F20"/>
                <w:sz w:val="14"/>
              </w:rPr>
              <w:t>схвати структуру и</w:t>
            </w:r>
            <w:r>
              <w:rPr>
                <w:color w:val="231F20"/>
                <w:spacing w:val="-16"/>
                <w:sz w:val="14"/>
              </w:rPr>
              <w:t xml:space="preserve"> </w:t>
            </w:r>
            <w:r>
              <w:rPr>
                <w:color w:val="231F20"/>
                <w:sz w:val="14"/>
              </w:rPr>
              <w:t>организацију друштва;</w:t>
            </w:r>
          </w:p>
          <w:p w:rsidR="00041039" w:rsidRDefault="001B26CB">
            <w:pPr>
              <w:pStyle w:val="TableParagraph"/>
              <w:numPr>
                <w:ilvl w:val="0"/>
                <w:numId w:val="1972"/>
              </w:numPr>
              <w:tabs>
                <w:tab w:val="left" w:pos="157"/>
              </w:tabs>
              <w:spacing w:line="160" w:lineRule="exact"/>
              <w:ind w:right="109" w:hanging="99"/>
              <w:rPr>
                <w:sz w:val="14"/>
              </w:rPr>
            </w:pPr>
            <w:r>
              <w:rPr>
                <w:color w:val="231F20"/>
                <w:sz w:val="14"/>
              </w:rPr>
              <w:t>објасни улогу друштвених група с</w:t>
            </w:r>
            <w:r>
              <w:rPr>
                <w:color w:val="231F20"/>
                <w:spacing w:val="-19"/>
                <w:sz w:val="14"/>
              </w:rPr>
              <w:t xml:space="preserve"> </w:t>
            </w:r>
            <w:r>
              <w:rPr>
                <w:color w:val="231F20"/>
                <w:sz w:val="14"/>
              </w:rPr>
              <w:t>по­ себним освртом на брак и</w:t>
            </w:r>
            <w:r>
              <w:rPr>
                <w:color w:val="231F20"/>
                <w:spacing w:val="-11"/>
                <w:sz w:val="14"/>
              </w:rPr>
              <w:t xml:space="preserve"> </w:t>
            </w:r>
            <w:r>
              <w:rPr>
                <w:color w:val="231F20"/>
                <w:sz w:val="14"/>
              </w:rPr>
              <w:t>породицу;</w:t>
            </w:r>
          </w:p>
          <w:p w:rsidR="00041039" w:rsidRDefault="001B26CB">
            <w:pPr>
              <w:pStyle w:val="TableParagraph"/>
              <w:numPr>
                <w:ilvl w:val="0"/>
                <w:numId w:val="1972"/>
              </w:numPr>
              <w:tabs>
                <w:tab w:val="left" w:pos="157"/>
              </w:tabs>
              <w:spacing w:line="153" w:lineRule="exact"/>
              <w:ind w:hanging="99"/>
              <w:rPr>
                <w:sz w:val="14"/>
              </w:rPr>
            </w:pPr>
            <w:r>
              <w:rPr>
                <w:color w:val="231F20"/>
                <w:sz w:val="14"/>
              </w:rPr>
              <w:t>схвати друштвену поделу</w:t>
            </w:r>
            <w:r>
              <w:rPr>
                <w:color w:val="231F20"/>
                <w:spacing w:val="-3"/>
                <w:sz w:val="14"/>
              </w:rPr>
              <w:t xml:space="preserve"> </w:t>
            </w:r>
            <w:r>
              <w:rPr>
                <w:color w:val="231F20"/>
                <w:sz w:val="14"/>
              </w:rPr>
              <w:t>рада;</w:t>
            </w:r>
          </w:p>
          <w:p w:rsidR="00041039" w:rsidRDefault="001B26CB">
            <w:pPr>
              <w:pStyle w:val="TableParagraph"/>
              <w:numPr>
                <w:ilvl w:val="0"/>
                <w:numId w:val="1972"/>
              </w:numPr>
              <w:tabs>
                <w:tab w:val="left" w:pos="157"/>
              </w:tabs>
              <w:spacing w:line="237" w:lineRule="auto"/>
              <w:ind w:right="241" w:hanging="99"/>
              <w:rPr>
                <w:sz w:val="14"/>
              </w:rPr>
            </w:pPr>
            <w:r>
              <w:rPr>
                <w:color w:val="231F20"/>
                <w:sz w:val="14"/>
              </w:rPr>
              <w:t>објасни узроке друштвеног</w:t>
            </w:r>
            <w:r>
              <w:rPr>
                <w:color w:val="231F20"/>
                <w:spacing w:val="-7"/>
                <w:sz w:val="14"/>
              </w:rPr>
              <w:t xml:space="preserve"> </w:t>
            </w:r>
            <w:r>
              <w:rPr>
                <w:color w:val="231F20"/>
                <w:sz w:val="14"/>
              </w:rPr>
              <w:t>раслоја­ вања;</w:t>
            </w:r>
          </w:p>
          <w:p w:rsidR="00041039" w:rsidRDefault="001B26CB">
            <w:pPr>
              <w:pStyle w:val="TableParagraph"/>
              <w:numPr>
                <w:ilvl w:val="0"/>
                <w:numId w:val="1972"/>
              </w:numPr>
              <w:tabs>
                <w:tab w:val="left" w:pos="157"/>
              </w:tabs>
              <w:spacing w:line="160" w:lineRule="exact"/>
              <w:ind w:right="173" w:hanging="99"/>
              <w:jc w:val="both"/>
              <w:rPr>
                <w:sz w:val="14"/>
              </w:rPr>
            </w:pPr>
            <w:r>
              <w:rPr>
                <w:color w:val="231F20"/>
                <w:sz w:val="14"/>
              </w:rPr>
              <w:t>наведе друштвене установе и</w:t>
            </w:r>
            <w:r>
              <w:rPr>
                <w:color w:val="231F20"/>
                <w:spacing w:val="-11"/>
                <w:sz w:val="14"/>
              </w:rPr>
              <w:t xml:space="preserve"> </w:t>
            </w:r>
            <w:r>
              <w:rPr>
                <w:color w:val="231F20"/>
                <w:sz w:val="14"/>
              </w:rPr>
              <w:t>друшт­ вене организације и направи</w:t>
            </w:r>
            <w:r>
              <w:rPr>
                <w:color w:val="231F20"/>
                <w:spacing w:val="-12"/>
                <w:sz w:val="14"/>
              </w:rPr>
              <w:t xml:space="preserve"> </w:t>
            </w:r>
            <w:r>
              <w:rPr>
                <w:color w:val="231F20"/>
                <w:sz w:val="14"/>
              </w:rPr>
              <w:t>разлику између</w:t>
            </w:r>
            <w:r>
              <w:rPr>
                <w:color w:val="231F20"/>
                <w:spacing w:val="-1"/>
                <w:sz w:val="14"/>
              </w:rPr>
              <w:t xml:space="preserve"> </w:t>
            </w:r>
            <w:r>
              <w:rPr>
                <w:color w:val="231F20"/>
                <w:sz w:val="14"/>
              </w:rPr>
              <w:t>њих;</w:t>
            </w:r>
          </w:p>
          <w:p w:rsidR="00041039" w:rsidRDefault="001B26CB">
            <w:pPr>
              <w:pStyle w:val="TableParagraph"/>
              <w:numPr>
                <w:ilvl w:val="0"/>
                <w:numId w:val="1972"/>
              </w:numPr>
              <w:tabs>
                <w:tab w:val="left" w:pos="157"/>
              </w:tabs>
              <w:spacing w:line="160" w:lineRule="exact"/>
              <w:ind w:right="609" w:hanging="99"/>
              <w:rPr>
                <w:sz w:val="14"/>
              </w:rPr>
            </w:pPr>
            <w:r>
              <w:rPr>
                <w:color w:val="231F20"/>
                <w:sz w:val="14"/>
              </w:rPr>
              <w:t>разликује особености сеоског и градског</w:t>
            </w:r>
            <w:r>
              <w:rPr>
                <w:color w:val="231F20"/>
                <w:spacing w:val="-5"/>
                <w:sz w:val="14"/>
              </w:rPr>
              <w:t xml:space="preserve"> </w:t>
            </w:r>
            <w:r>
              <w:rPr>
                <w:color w:val="231F20"/>
                <w:sz w:val="14"/>
              </w:rPr>
              <w:t>становништва;</w:t>
            </w:r>
          </w:p>
        </w:tc>
        <w:tc>
          <w:tcPr>
            <w:tcW w:w="2834" w:type="dxa"/>
          </w:tcPr>
          <w:p w:rsidR="00041039" w:rsidRDefault="001B26CB">
            <w:pPr>
              <w:pStyle w:val="TableParagraph"/>
              <w:numPr>
                <w:ilvl w:val="0"/>
                <w:numId w:val="1971"/>
              </w:numPr>
              <w:tabs>
                <w:tab w:val="left" w:pos="142"/>
              </w:tabs>
              <w:spacing w:before="18" w:line="161" w:lineRule="exact"/>
              <w:rPr>
                <w:sz w:val="14"/>
              </w:rPr>
            </w:pPr>
            <w:r>
              <w:rPr>
                <w:color w:val="231F20"/>
                <w:sz w:val="14"/>
              </w:rPr>
              <w:t>Појам и</w:t>
            </w:r>
            <w:r>
              <w:rPr>
                <w:color w:val="231F20"/>
                <w:spacing w:val="-3"/>
                <w:sz w:val="14"/>
              </w:rPr>
              <w:t xml:space="preserve"> </w:t>
            </w:r>
            <w:r>
              <w:rPr>
                <w:color w:val="231F20"/>
                <w:sz w:val="14"/>
              </w:rPr>
              <w:t>е</w:t>
            </w:r>
            <w:r>
              <w:rPr>
                <w:color w:val="231F20"/>
                <w:sz w:val="14"/>
              </w:rPr>
              <w:t>лементидруштва.</w:t>
            </w:r>
          </w:p>
          <w:p w:rsidR="00041039" w:rsidRDefault="001B26CB">
            <w:pPr>
              <w:pStyle w:val="TableParagraph"/>
              <w:numPr>
                <w:ilvl w:val="0"/>
                <w:numId w:val="1971"/>
              </w:numPr>
              <w:tabs>
                <w:tab w:val="left" w:pos="142"/>
              </w:tabs>
              <w:spacing w:line="160" w:lineRule="exact"/>
              <w:rPr>
                <w:sz w:val="14"/>
              </w:rPr>
            </w:pPr>
            <w:r>
              <w:rPr>
                <w:color w:val="231F20"/>
                <w:sz w:val="14"/>
              </w:rPr>
              <w:t>Друштвене</w:t>
            </w:r>
            <w:r>
              <w:rPr>
                <w:color w:val="231F20"/>
                <w:spacing w:val="-1"/>
                <w:sz w:val="14"/>
              </w:rPr>
              <w:t xml:space="preserve"> </w:t>
            </w:r>
            <w:r>
              <w:rPr>
                <w:color w:val="231F20"/>
                <w:sz w:val="14"/>
              </w:rPr>
              <w:t>групе.</w:t>
            </w:r>
          </w:p>
          <w:p w:rsidR="00041039" w:rsidRDefault="001B26CB">
            <w:pPr>
              <w:pStyle w:val="TableParagraph"/>
              <w:numPr>
                <w:ilvl w:val="0"/>
                <w:numId w:val="1971"/>
              </w:numPr>
              <w:tabs>
                <w:tab w:val="left" w:pos="142"/>
              </w:tabs>
              <w:spacing w:line="160" w:lineRule="exact"/>
              <w:rPr>
                <w:sz w:val="14"/>
              </w:rPr>
            </w:pPr>
            <w:r>
              <w:rPr>
                <w:color w:val="231F20"/>
                <w:sz w:val="14"/>
              </w:rPr>
              <w:t>Брак и</w:t>
            </w:r>
            <w:r>
              <w:rPr>
                <w:color w:val="231F20"/>
                <w:spacing w:val="-3"/>
                <w:sz w:val="14"/>
              </w:rPr>
              <w:t xml:space="preserve"> </w:t>
            </w:r>
            <w:r>
              <w:rPr>
                <w:color w:val="231F20"/>
                <w:sz w:val="14"/>
              </w:rPr>
              <w:t>породица.</w:t>
            </w:r>
          </w:p>
          <w:p w:rsidR="00041039" w:rsidRDefault="001B26CB">
            <w:pPr>
              <w:pStyle w:val="TableParagraph"/>
              <w:numPr>
                <w:ilvl w:val="0"/>
                <w:numId w:val="1971"/>
              </w:numPr>
              <w:tabs>
                <w:tab w:val="left" w:pos="142"/>
              </w:tabs>
              <w:spacing w:line="160" w:lineRule="exact"/>
              <w:rPr>
                <w:sz w:val="14"/>
              </w:rPr>
            </w:pPr>
            <w:r>
              <w:rPr>
                <w:color w:val="231F20"/>
                <w:sz w:val="14"/>
              </w:rPr>
              <w:t>Друштвена подела</w:t>
            </w:r>
            <w:r>
              <w:rPr>
                <w:color w:val="231F20"/>
                <w:spacing w:val="-10"/>
                <w:sz w:val="14"/>
              </w:rPr>
              <w:t xml:space="preserve"> </w:t>
            </w:r>
            <w:r>
              <w:rPr>
                <w:color w:val="231F20"/>
                <w:sz w:val="14"/>
              </w:rPr>
              <w:t>рада.</w:t>
            </w:r>
          </w:p>
          <w:p w:rsidR="00041039" w:rsidRDefault="001B26CB">
            <w:pPr>
              <w:pStyle w:val="TableParagraph"/>
              <w:numPr>
                <w:ilvl w:val="0"/>
                <w:numId w:val="1971"/>
              </w:numPr>
              <w:tabs>
                <w:tab w:val="left" w:pos="142"/>
              </w:tabs>
              <w:spacing w:line="160" w:lineRule="exact"/>
              <w:rPr>
                <w:sz w:val="14"/>
              </w:rPr>
            </w:pPr>
            <w:r>
              <w:rPr>
                <w:color w:val="231F20"/>
                <w:sz w:val="14"/>
              </w:rPr>
              <w:t>Друштвено</w:t>
            </w:r>
            <w:r>
              <w:rPr>
                <w:color w:val="231F20"/>
                <w:spacing w:val="-6"/>
                <w:sz w:val="14"/>
              </w:rPr>
              <w:t xml:space="preserve"> </w:t>
            </w:r>
            <w:r>
              <w:rPr>
                <w:color w:val="231F20"/>
                <w:sz w:val="14"/>
              </w:rPr>
              <w:t>раслојавање.</w:t>
            </w:r>
          </w:p>
          <w:p w:rsidR="00041039" w:rsidRDefault="001B26CB">
            <w:pPr>
              <w:pStyle w:val="TableParagraph"/>
              <w:numPr>
                <w:ilvl w:val="0"/>
                <w:numId w:val="1971"/>
              </w:numPr>
              <w:tabs>
                <w:tab w:val="left" w:pos="142"/>
              </w:tabs>
              <w:spacing w:line="160" w:lineRule="exact"/>
              <w:rPr>
                <w:sz w:val="14"/>
              </w:rPr>
            </w:pPr>
            <w:r>
              <w:rPr>
                <w:color w:val="231F20"/>
                <w:sz w:val="14"/>
              </w:rPr>
              <w:t>Друштвене установе и</w:t>
            </w:r>
            <w:r>
              <w:rPr>
                <w:color w:val="231F20"/>
                <w:spacing w:val="-2"/>
                <w:sz w:val="14"/>
              </w:rPr>
              <w:t xml:space="preserve"> </w:t>
            </w:r>
            <w:r>
              <w:rPr>
                <w:color w:val="231F20"/>
                <w:sz w:val="14"/>
              </w:rPr>
              <w:t>организације.</w:t>
            </w:r>
          </w:p>
          <w:p w:rsidR="00041039" w:rsidRDefault="001B26CB">
            <w:pPr>
              <w:pStyle w:val="TableParagraph"/>
              <w:numPr>
                <w:ilvl w:val="0"/>
                <w:numId w:val="1971"/>
              </w:numPr>
              <w:tabs>
                <w:tab w:val="left" w:pos="142"/>
              </w:tabs>
              <w:spacing w:line="161" w:lineRule="exact"/>
              <w:rPr>
                <w:sz w:val="14"/>
              </w:rPr>
            </w:pPr>
            <w:r>
              <w:rPr>
                <w:color w:val="231F20"/>
                <w:sz w:val="14"/>
              </w:rPr>
              <w:t>Насеља и</w:t>
            </w:r>
            <w:r>
              <w:rPr>
                <w:color w:val="231F20"/>
                <w:spacing w:val="-2"/>
                <w:sz w:val="14"/>
              </w:rPr>
              <w:t xml:space="preserve"> </w:t>
            </w:r>
            <w:r>
              <w:rPr>
                <w:color w:val="231F20"/>
                <w:sz w:val="14"/>
              </w:rPr>
              <w:t>становништво.</w:t>
            </w:r>
          </w:p>
        </w:tc>
        <w:tc>
          <w:tcPr>
            <w:tcW w:w="2267" w:type="dxa"/>
            <w:vMerge w:val="restart"/>
          </w:tcPr>
          <w:p w:rsidR="00041039" w:rsidRDefault="001B26CB">
            <w:pPr>
              <w:pStyle w:val="TableParagraph"/>
              <w:numPr>
                <w:ilvl w:val="0"/>
                <w:numId w:val="1970"/>
              </w:numPr>
              <w:tabs>
                <w:tab w:val="left" w:pos="158"/>
              </w:tabs>
              <w:spacing w:before="8"/>
              <w:ind w:right="50"/>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7"/>
              <w:rPr>
                <w:b/>
                <w:sz w:val="14"/>
              </w:rPr>
            </w:pPr>
            <w:r>
              <w:rPr>
                <w:b/>
                <w:color w:val="231F20"/>
                <w:sz w:val="14"/>
              </w:rPr>
              <w:t>Облици наставе</w:t>
            </w:r>
          </w:p>
          <w:p w:rsidR="00041039" w:rsidRDefault="001B26CB">
            <w:pPr>
              <w:pStyle w:val="TableParagraph"/>
              <w:ind w:left="57" w:right="110"/>
              <w:rPr>
                <w:sz w:val="14"/>
              </w:rPr>
            </w:pPr>
            <w:r>
              <w:rPr>
                <w:color w:val="231F20"/>
                <w:sz w:val="14"/>
              </w:rPr>
              <w:t>Предмет се реализује кроз следеће облике наставе:</w:t>
            </w:r>
          </w:p>
          <w:p w:rsidR="00041039" w:rsidRDefault="001B26CB">
            <w:pPr>
              <w:pStyle w:val="TableParagraph"/>
              <w:numPr>
                <w:ilvl w:val="0"/>
                <w:numId w:val="1970"/>
              </w:numPr>
              <w:tabs>
                <w:tab w:val="left" w:pos="158"/>
              </w:tabs>
              <w:spacing w:line="160" w:lineRule="exact"/>
              <w:rPr>
                <w:b/>
                <w:sz w:val="14"/>
              </w:rPr>
            </w:pPr>
            <w:r>
              <w:rPr>
                <w:color w:val="231F20"/>
                <w:sz w:val="14"/>
              </w:rPr>
              <w:t xml:space="preserve">теоријска настава </w:t>
            </w:r>
            <w:r>
              <w:rPr>
                <w:b/>
                <w:color w:val="231F20"/>
                <w:sz w:val="14"/>
              </w:rPr>
              <w:t>(64</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7"/>
              <w:rPr>
                <w:b/>
                <w:sz w:val="14"/>
              </w:rPr>
            </w:pPr>
            <w:r>
              <w:rPr>
                <w:b/>
                <w:color w:val="231F20"/>
                <w:sz w:val="14"/>
              </w:rPr>
              <w:t>Подела одељења на групе</w:t>
            </w:r>
          </w:p>
          <w:p w:rsidR="00041039" w:rsidRDefault="001B26CB">
            <w:pPr>
              <w:pStyle w:val="TableParagraph"/>
              <w:spacing w:line="161" w:lineRule="exact"/>
              <w:ind w:left="57"/>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7"/>
              <w:rPr>
                <w:b/>
                <w:sz w:val="14"/>
              </w:rPr>
            </w:pPr>
            <w:r>
              <w:rPr>
                <w:b/>
                <w:color w:val="231F20"/>
                <w:sz w:val="14"/>
              </w:rPr>
              <w:t>Место реализације наставе</w:t>
            </w:r>
          </w:p>
          <w:p w:rsidR="00041039" w:rsidRDefault="001B26CB">
            <w:pPr>
              <w:pStyle w:val="TableParagraph"/>
              <w:numPr>
                <w:ilvl w:val="0"/>
                <w:numId w:val="1970"/>
              </w:numPr>
              <w:tabs>
                <w:tab w:val="left" w:pos="158"/>
              </w:tabs>
              <w:spacing w:line="237" w:lineRule="auto"/>
              <w:ind w:right="15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7" w:right="109"/>
              <w:rPr>
                <w:b/>
                <w:sz w:val="14"/>
              </w:rPr>
            </w:pPr>
            <w:r>
              <w:rPr>
                <w:b/>
                <w:color w:val="231F20"/>
                <w:sz w:val="14"/>
              </w:rPr>
              <w:t>Препоруке за реализацију наставе</w:t>
            </w:r>
          </w:p>
          <w:p w:rsidR="00041039" w:rsidRDefault="001B26CB">
            <w:pPr>
              <w:pStyle w:val="TableParagraph"/>
              <w:numPr>
                <w:ilvl w:val="0"/>
                <w:numId w:val="1970"/>
              </w:numPr>
              <w:tabs>
                <w:tab w:val="left" w:pos="158"/>
              </w:tabs>
              <w:spacing w:line="160" w:lineRule="exact"/>
              <w:ind w:right="42"/>
              <w:rPr>
                <w:sz w:val="14"/>
              </w:rPr>
            </w:pPr>
            <w:r>
              <w:rPr>
                <w:color w:val="231F20"/>
                <w:sz w:val="14"/>
              </w:rPr>
              <w:t>Користити актуелне примере из штампе и других медија</w:t>
            </w:r>
            <w:r>
              <w:rPr>
                <w:color w:val="231F20"/>
                <w:spacing w:val="-7"/>
                <w:sz w:val="14"/>
              </w:rPr>
              <w:t xml:space="preserve"> </w:t>
            </w:r>
            <w:r>
              <w:rPr>
                <w:color w:val="231F20"/>
                <w:sz w:val="14"/>
              </w:rPr>
              <w:t>релевант­ не за</w:t>
            </w:r>
            <w:r>
              <w:rPr>
                <w:color w:val="231F20"/>
                <w:spacing w:val="-3"/>
                <w:sz w:val="14"/>
              </w:rPr>
              <w:t xml:space="preserve"> </w:t>
            </w:r>
            <w:r>
              <w:rPr>
                <w:color w:val="231F20"/>
                <w:sz w:val="14"/>
              </w:rPr>
              <w:t>предмет.</w:t>
            </w:r>
          </w:p>
          <w:p w:rsidR="00041039" w:rsidRDefault="001B26CB">
            <w:pPr>
              <w:pStyle w:val="TableParagraph"/>
              <w:numPr>
                <w:ilvl w:val="0"/>
                <w:numId w:val="1970"/>
              </w:numPr>
              <w:tabs>
                <w:tab w:val="left" w:pos="158"/>
              </w:tabs>
              <w:spacing w:line="160" w:lineRule="exact"/>
              <w:ind w:right="170"/>
              <w:rPr>
                <w:sz w:val="14"/>
              </w:rPr>
            </w:pPr>
            <w:r>
              <w:rPr>
                <w:color w:val="231F20"/>
                <w:sz w:val="14"/>
              </w:rPr>
              <w:t xml:space="preserve">Користити </w:t>
            </w:r>
            <w:r>
              <w:rPr>
                <w:color w:val="231F20"/>
                <w:spacing w:val="-4"/>
                <w:sz w:val="14"/>
              </w:rPr>
              <w:t xml:space="preserve">Устав </w:t>
            </w:r>
            <w:r>
              <w:rPr>
                <w:color w:val="231F20"/>
                <w:sz w:val="14"/>
              </w:rPr>
              <w:t xml:space="preserve">и релевантне законе у зависности </w:t>
            </w:r>
            <w:r>
              <w:rPr>
                <w:color w:val="231F20"/>
                <w:spacing w:val="-3"/>
                <w:sz w:val="14"/>
              </w:rPr>
              <w:t xml:space="preserve">од </w:t>
            </w:r>
            <w:r>
              <w:rPr>
                <w:color w:val="231F20"/>
                <w:sz w:val="14"/>
              </w:rPr>
              <w:t>садржаја који се</w:t>
            </w:r>
            <w:r>
              <w:rPr>
                <w:color w:val="231F20"/>
                <w:spacing w:val="-1"/>
                <w:sz w:val="14"/>
              </w:rPr>
              <w:t xml:space="preserve"> </w:t>
            </w:r>
            <w:r>
              <w:rPr>
                <w:color w:val="231F20"/>
                <w:sz w:val="14"/>
              </w:rPr>
              <w:t>обрађује.</w:t>
            </w:r>
          </w:p>
          <w:p w:rsidR="00041039" w:rsidRDefault="00041039">
            <w:pPr>
              <w:pStyle w:val="TableParagraph"/>
              <w:spacing w:before="8"/>
              <w:ind w:left="0"/>
              <w:rPr>
                <w:b/>
                <w:sz w:val="13"/>
              </w:rPr>
            </w:pPr>
          </w:p>
          <w:p w:rsidR="00041039" w:rsidRDefault="001B26CB">
            <w:pPr>
              <w:pStyle w:val="TableParagraph"/>
              <w:spacing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1970"/>
              </w:numPr>
              <w:tabs>
                <w:tab w:val="left" w:pos="158"/>
              </w:tabs>
              <w:spacing w:line="154"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970"/>
              </w:numPr>
              <w:tabs>
                <w:tab w:val="left" w:pos="158"/>
              </w:tabs>
              <w:spacing w:line="166" w:lineRule="exact"/>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3"/>
              </w:rPr>
            </w:pPr>
          </w:p>
          <w:p w:rsidR="00041039" w:rsidRDefault="001B26CB">
            <w:pPr>
              <w:pStyle w:val="TableParagraph"/>
              <w:spacing w:line="161" w:lineRule="exact"/>
              <w:ind w:left="57"/>
              <w:rPr>
                <w:b/>
                <w:sz w:val="14"/>
              </w:rPr>
            </w:pPr>
            <w:r>
              <w:rPr>
                <w:b/>
                <w:color w:val="231F20"/>
                <w:sz w:val="14"/>
              </w:rPr>
              <w:t>Оквирни број часова по темама</w:t>
            </w:r>
          </w:p>
          <w:p w:rsidR="00041039" w:rsidRDefault="001B26CB">
            <w:pPr>
              <w:pStyle w:val="TableParagraph"/>
              <w:numPr>
                <w:ilvl w:val="0"/>
                <w:numId w:val="1969"/>
              </w:numPr>
              <w:tabs>
                <w:tab w:val="left" w:pos="142"/>
              </w:tabs>
              <w:ind w:right="110"/>
              <w:rPr>
                <w:b/>
                <w:sz w:val="14"/>
              </w:rPr>
            </w:pPr>
            <w:r>
              <w:rPr>
                <w:color w:val="231F20"/>
                <w:sz w:val="14"/>
              </w:rPr>
              <w:t>Структура и организација</w:t>
            </w:r>
            <w:r>
              <w:rPr>
                <w:color w:val="231F20"/>
                <w:spacing w:val="-10"/>
                <w:sz w:val="14"/>
              </w:rPr>
              <w:t xml:space="preserve"> </w:t>
            </w:r>
            <w:r>
              <w:rPr>
                <w:color w:val="231F20"/>
                <w:sz w:val="14"/>
              </w:rPr>
              <w:t xml:space="preserve">друшт­ ва </w:t>
            </w:r>
            <w:r>
              <w:rPr>
                <w:b/>
                <w:color w:val="231F20"/>
                <w:sz w:val="14"/>
              </w:rPr>
              <w:t>(15</w:t>
            </w:r>
            <w:r>
              <w:rPr>
                <w:b/>
                <w:color w:val="231F20"/>
                <w:spacing w:val="-2"/>
                <w:sz w:val="14"/>
              </w:rPr>
              <w:t xml:space="preserve"> </w:t>
            </w:r>
            <w:r>
              <w:rPr>
                <w:b/>
                <w:color w:val="231F20"/>
                <w:sz w:val="14"/>
              </w:rPr>
              <w:t>часова)</w:t>
            </w:r>
          </w:p>
          <w:p w:rsidR="00041039" w:rsidRDefault="001B26CB">
            <w:pPr>
              <w:pStyle w:val="TableParagraph"/>
              <w:numPr>
                <w:ilvl w:val="0"/>
                <w:numId w:val="1969"/>
              </w:numPr>
              <w:tabs>
                <w:tab w:val="left" w:pos="142"/>
              </w:tabs>
              <w:spacing w:line="159" w:lineRule="exact"/>
              <w:rPr>
                <w:b/>
                <w:sz w:val="14"/>
              </w:rPr>
            </w:pPr>
            <w:r>
              <w:rPr>
                <w:color w:val="231F20"/>
                <w:sz w:val="14"/>
              </w:rPr>
              <w:t xml:space="preserve">Држава и политика </w:t>
            </w:r>
            <w:r>
              <w:rPr>
                <w:b/>
                <w:color w:val="231F20"/>
                <w:sz w:val="14"/>
              </w:rPr>
              <w:t>(17</w:t>
            </w:r>
            <w:r>
              <w:rPr>
                <w:b/>
                <w:color w:val="231F20"/>
                <w:spacing w:val="-10"/>
                <w:sz w:val="14"/>
              </w:rPr>
              <w:t xml:space="preserve"> </w:t>
            </w:r>
            <w:r>
              <w:rPr>
                <w:b/>
                <w:color w:val="231F20"/>
                <w:sz w:val="14"/>
              </w:rPr>
              <w:t>часова)</w:t>
            </w:r>
          </w:p>
          <w:p w:rsidR="00041039" w:rsidRDefault="001B26CB">
            <w:pPr>
              <w:pStyle w:val="TableParagraph"/>
              <w:numPr>
                <w:ilvl w:val="0"/>
                <w:numId w:val="1969"/>
              </w:numPr>
              <w:tabs>
                <w:tab w:val="left" w:pos="142"/>
              </w:tabs>
              <w:spacing w:line="160" w:lineRule="exact"/>
              <w:rPr>
                <w:b/>
                <w:sz w:val="14"/>
              </w:rPr>
            </w:pPr>
            <w:r>
              <w:rPr>
                <w:color w:val="231F20"/>
                <w:spacing w:val="-4"/>
                <w:sz w:val="14"/>
              </w:rPr>
              <w:t xml:space="preserve">Устав </w:t>
            </w:r>
            <w:r>
              <w:rPr>
                <w:color w:val="231F20"/>
                <w:sz w:val="14"/>
              </w:rPr>
              <w:t xml:space="preserve">и правна држава </w:t>
            </w:r>
            <w:r>
              <w:rPr>
                <w:b/>
                <w:color w:val="231F20"/>
                <w:sz w:val="14"/>
              </w:rPr>
              <w:t>(6</w:t>
            </w:r>
            <w:r>
              <w:rPr>
                <w:b/>
                <w:color w:val="231F20"/>
                <w:spacing w:val="-4"/>
                <w:sz w:val="14"/>
              </w:rPr>
              <w:t xml:space="preserve"> </w:t>
            </w:r>
            <w:r>
              <w:rPr>
                <w:b/>
                <w:color w:val="231F20"/>
                <w:sz w:val="14"/>
              </w:rPr>
              <w:t>часова)</w:t>
            </w:r>
          </w:p>
          <w:p w:rsidR="00041039" w:rsidRDefault="001B26CB">
            <w:pPr>
              <w:pStyle w:val="TableParagraph"/>
              <w:numPr>
                <w:ilvl w:val="0"/>
                <w:numId w:val="1969"/>
              </w:numPr>
              <w:tabs>
                <w:tab w:val="left" w:pos="142"/>
              </w:tabs>
              <w:ind w:right="530"/>
              <w:rPr>
                <w:b/>
                <w:sz w:val="14"/>
              </w:rPr>
            </w:pPr>
            <w:r>
              <w:rPr>
                <w:color w:val="231F20"/>
                <w:spacing w:val="-3"/>
                <w:sz w:val="14"/>
              </w:rPr>
              <w:t xml:space="preserve">Људска </w:t>
            </w:r>
            <w:r>
              <w:rPr>
                <w:color w:val="231F20"/>
                <w:sz w:val="14"/>
              </w:rPr>
              <w:t xml:space="preserve">права и слободе </w:t>
            </w:r>
            <w:r>
              <w:rPr>
                <w:b/>
                <w:color w:val="231F20"/>
                <w:sz w:val="14"/>
              </w:rPr>
              <w:t>(7 часова)</w:t>
            </w:r>
          </w:p>
          <w:p w:rsidR="00041039" w:rsidRDefault="001B26CB">
            <w:pPr>
              <w:pStyle w:val="TableParagraph"/>
              <w:numPr>
                <w:ilvl w:val="0"/>
                <w:numId w:val="1969"/>
              </w:numPr>
              <w:tabs>
                <w:tab w:val="left" w:pos="142"/>
              </w:tabs>
              <w:spacing w:line="159" w:lineRule="exact"/>
              <w:rPr>
                <w:b/>
                <w:sz w:val="14"/>
              </w:rPr>
            </w:pPr>
            <w:r>
              <w:rPr>
                <w:color w:val="231F20"/>
                <w:spacing w:val="-3"/>
                <w:sz w:val="14"/>
              </w:rPr>
              <w:t xml:space="preserve">Култура </w:t>
            </w:r>
            <w:r>
              <w:rPr>
                <w:color w:val="231F20"/>
                <w:sz w:val="14"/>
              </w:rPr>
              <w:t xml:space="preserve">и друштво </w:t>
            </w:r>
            <w:r>
              <w:rPr>
                <w:b/>
                <w:color w:val="231F20"/>
                <w:sz w:val="14"/>
              </w:rPr>
              <w:t>(14</w:t>
            </w:r>
            <w:r>
              <w:rPr>
                <w:b/>
                <w:color w:val="231F20"/>
                <w:spacing w:val="-3"/>
                <w:sz w:val="14"/>
              </w:rPr>
              <w:t xml:space="preserve"> </w:t>
            </w:r>
            <w:r>
              <w:rPr>
                <w:b/>
                <w:color w:val="231F20"/>
                <w:sz w:val="14"/>
              </w:rPr>
              <w:t>часова)</w:t>
            </w:r>
          </w:p>
          <w:p w:rsidR="00041039" w:rsidRDefault="001B26CB">
            <w:pPr>
              <w:pStyle w:val="TableParagraph"/>
              <w:numPr>
                <w:ilvl w:val="0"/>
                <w:numId w:val="1969"/>
              </w:numPr>
              <w:tabs>
                <w:tab w:val="left" w:pos="142"/>
              </w:tabs>
              <w:ind w:right="404"/>
              <w:rPr>
                <w:b/>
                <w:sz w:val="14"/>
              </w:rPr>
            </w:pPr>
            <w:r>
              <w:rPr>
                <w:color w:val="231F20"/>
                <w:sz w:val="14"/>
              </w:rPr>
              <w:t>Друштвене промене и</w:t>
            </w:r>
            <w:r>
              <w:rPr>
                <w:color w:val="231F20"/>
                <w:spacing w:val="-11"/>
                <w:sz w:val="14"/>
              </w:rPr>
              <w:t xml:space="preserve"> </w:t>
            </w:r>
            <w:r>
              <w:rPr>
                <w:color w:val="231F20"/>
                <w:sz w:val="14"/>
              </w:rPr>
              <w:t xml:space="preserve">развој друштва </w:t>
            </w:r>
            <w:r>
              <w:rPr>
                <w:b/>
                <w:color w:val="231F20"/>
                <w:sz w:val="14"/>
              </w:rPr>
              <w:t>(5</w:t>
            </w:r>
            <w:r>
              <w:rPr>
                <w:b/>
                <w:color w:val="231F20"/>
                <w:spacing w:val="-3"/>
                <w:sz w:val="14"/>
              </w:rPr>
              <w:t xml:space="preserve"> </w:t>
            </w:r>
            <w:r>
              <w:rPr>
                <w:b/>
                <w:color w:val="231F20"/>
                <w:sz w:val="14"/>
              </w:rPr>
              <w:t>часова)</w:t>
            </w:r>
          </w:p>
        </w:tc>
      </w:tr>
      <w:tr w:rsidR="00041039">
        <w:trPr>
          <w:trHeight w:val="2600"/>
        </w:trPr>
        <w:tc>
          <w:tcPr>
            <w:tcW w:w="1304" w:type="dxa"/>
          </w:tcPr>
          <w:p w:rsidR="00041039" w:rsidRDefault="001B26CB">
            <w:pPr>
              <w:pStyle w:val="TableParagraph"/>
              <w:spacing w:before="19"/>
              <w:ind w:left="34" w:right="65"/>
              <w:jc w:val="center"/>
              <w:rPr>
                <w:sz w:val="14"/>
              </w:rPr>
            </w:pPr>
            <w:r>
              <w:rPr>
                <w:color w:val="231F20"/>
                <w:sz w:val="14"/>
              </w:rPr>
              <w:t>Држава и политика</w:t>
            </w:r>
          </w:p>
        </w:tc>
        <w:tc>
          <w:tcPr>
            <w:tcW w:w="1587" w:type="dxa"/>
          </w:tcPr>
          <w:p w:rsidR="00041039" w:rsidRDefault="001B26CB">
            <w:pPr>
              <w:pStyle w:val="TableParagraph"/>
              <w:numPr>
                <w:ilvl w:val="0"/>
                <w:numId w:val="1968"/>
              </w:numPr>
              <w:tabs>
                <w:tab w:val="left" w:pos="157"/>
              </w:tabs>
              <w:spacing w:before="9"/>
              <w:ind w:right="50"/>
              <w:rPr>
                <w:sz w:val="14"/>
              </w:rPr>
            </w:pPr>
            <w:r>
              <w:rPr>
                <w:color w:val="231F20"/>
                <w:sz w:val="14"/>
              </w:rPr>
              <w:t xml:space="preserve">Упознавање са по­ </w:t>
            </w:r>
            <w:r>
              <w:rPr>
                <w:color w:val="231F20"/>
                <w:spacing w:val="-3"/>
                <w:sz w:val="14"/>
              </w:rPr>
              <w:t xml:space="preserve">литиком </w:t>
            </w:r>
            <w:r>
              <w:rPr>
                <w:color w:val="231F20"/>
                <w:sz w:val="14"/>
              </w:rPr>
              <w:t>као вештином управљања</w:t>
            </w:r>
            <w:r>
              <w:rPr>
                <w:color w:val="231F20"/>
                <w:spacing w:val="-4"/>
                <w:sz w:val="14"/>
              </w:rPr>
              <w:t xml:space="preserve"> </w:t>
            </w:r>
            <w:r>
              <w:rPr>
                <w:color w:val="231F20"/>
                <w:sz w:val="14"/>
              </w:rPr>
              <w:t>друштвом.</w:t>
            </w:r>
          </w:p>
          <w:p w:rsidR="00041039" w:rsidRDefault="001B26CB">
            <w:pPr>
              <w:pStyle w:val="TableParagraph"/>
              <w:numPr>
                <w:ilvl w:val="0"/>
                <w:numId w:val="1968"/>
              </w:numPr>
              <w:tabs>
                <w:tab w:val="left" w:pos="157"/>
              </w:tabs>
              <w:spacing w:line="157" w:lineRule="exact"/>
              <w:rPr>
                <w:sz w:val="14"/>
              </w:rPr>
            </w:pPr>
            <w:r>
              <w:rPr>
                <w:color w:val="231F20"/>
                <w:sz w:val="14"/>
              </w:rPr>
              <w:t>Оспособљавање за</w:t>
            </w:r>
            <w:r>
              <w:rPr>
                <w:color w:val="231F20"/>
                <w:spacing w:val="-3"/>
                <w:sz w:val="14"/>
              </w:rPr>
              <w:t xml:space="preserve"> </w:t>
            </w:r>
            <w:r>
              <w:rPr>
                <w:color w:val="231F20"/>
                <w:sz w:val="14"/>
              </w:rPr>
              <w:t>де­</w:t>
            </w:r>
          </w:p>
          <w:p w:rsidR="00041039" w:rsidRDefault="001B26CB">
            <w:pPr>
              <w:pStyle w:val="TableParagraph"/>
              <w:spacing w:line="155" w:lineRule="exact"/>
              <w:rPr>
                <w:sz w:val="14"/>
              </w:rPr>
            </w:pPr>
            <w:r>
              <w:rPr>
                <w:color w:val="231F20"/>
                <w:sz w:val="14"/>
              </w:rPr>
              <w:t>мократско мишљење.</w:t>
            </w:r>
          </w:p>
          <w:p w:rsidR="00041039" w:rsidRDefault="001B26CB">
            <w:pPr>
              <w:pStyle w:val="TableParagraph"/>
              <w:numPr>
                <w:ilvl w:val="0"/>
                <w:numId w:val="1968"/>
              </w:numPr>
              <w:tabs>
                <w:tab w:val="left" w:pos="157"/>
              </w:tabs>
              <w:spacing w:line="237" w:lineRule="auto"/>
              <w:ind w:right="69"/>
              <w:rPr>
                <w:sz w:val="14"/>
              </w:rPr>
            </w:pPr>
            <w:r>
              <w:rPr>
                <w:color w:val="231F20"/>
                <w:sz w:val="14"/>
              </w:rPr>
              <w:t>Упознавање са функционисањем државних</w:t>
            </w:r>
            <w:r>
              <w:rPr>
                <w:color w:val="231F20"/>
                <w:spacing w:val="-6"/>
                <w:sz w:val="14"/>
              </w:rPr>
              <w:t xml:space="preserve"> </w:t>
            </w:r>
            <w:r>
              <w:rPr>
                <w:color w:val="231F20"/>
                <w:sz w:val="14"/>
              </w:rPr>
              <w:t>институција и органа</w:t>
            </w:r>
            <w:r>
              <w:rPr>
                <w:color w:val="231F20"/>
                <w:spacing w:val="-3"/>
                <w:sz w:val="14"/>
              </w:rPr>
              <w:t xml:space="preserve"> </w:t>
            </w:r>
            <w:r>
              <w:rPr>
                <w:color w:val="231F20"/>
                <w:sz w:val="14"/>
              </w:rPr>
              <w:t>власти.</w:t>
            </w:r>
          </w:p>
        </w:tc>
        <w:tc>
          <w:tcPr>
            <w:tcW w:w="2551" w:type="dxa"/>
          </w:tcPr>
          <w:p w:rsidR="00041039" w:rsidRDefault="001B26CB">
            <w:pPr>
              <w:pStyle w:val="TableParagraph"/>
              <w:numPr>
                <w:ilvl w:val="0"/>
                <w:numId w:val="1967"/>
              </w:numPr>
              <w:tabs>
                <w:tab w:val="left" w:pos="157"/>
              </w:tabs>
              <w:spacing w:before="9" w:line="166" w:lineRule="exact"/>
              <w:ind w:hanging="99"/>
              <w:rPr>
                <w:sz w:val="14"/>
              </w:rPr>
            </w:pPr>
            <w:r>
              <w:rPr>
                <w:color w:val="231F20"/>
                <w:sz w:val="14"/>
              </w:rPr>
              <w:t>опише улогу политике у</w:t>
            </w:r>
            <w:r>
              <w:rPr>
                <w:color w:val="231F20"/>
                <w:spacing w:val="-10"/>
                <w:sz w:val="14"/>
              </w:rPr>
              <w:t xml:space="preserve"> </w:t>
            </w:r>
            <w:r>
              <w:rPr>
                <w:color w:val="231F20"/>
                <w:sz w:val="14"/>
              </w:rPr>
              <w:t>друштву;</w:t>
            </w:r>
          </w:p>
          <w:p w:rsidR="00041039" w:rsidRDefault="001B26CB">
            <w:pPr>
              <w:pStyle w:val="TableParagraph"/>
              <w:numPr>
                <w:ilvl w:val="0"/>
                <w:numId w:val="1967"/>
              </w:numPr>
              <w:tabs>
                <w:tab w:val="left" w:pos="157"/>
              </w:tabs>
              <w:spacing w:line="237" w:lineRule="auto"/>
              <w:ind w:right="101" w:hanging="99"/>
              <w:rPr>
                <w:sz w:val="14"/>
              </w:rPr>
            </w:pPr>
            <w:r>
              <w:rPr>
                <w:color w:val="231F20"/>
                <w:sz w:val="14"/>
              </w:rPr>
              <w:t>објасни појам, развој и облике</w:t>
            </w:r>
            <w:r>
              <w:rPr>
                <w:color w:val="231F20"/>
                <w:spacing w:val="-20"/>
                <w:sz w:val="14"/>
              </w:rPr>
              <w:t xml:space="preserve"> </w:t>
            </w:r>
            <w:r>
              <w:rPr>
                <w:color w:val="231F20"/>
                <w:sz w:val="14"/>
              </w:rPr>
              <w:t>сувере­ ности и</w:t>
            </w:r>
            <w:r>
              <w:rPr>
                <w:color w:val="231F20"/>
                <w:spacing w:val="-2"/>
                <w:sz w:val="14"/>
              </w:rPr>
              <w:t xml:space="preserve"> </w:t>
            </w:r>
            <w:r>
              <w:rPr>
                <w:color w:val="231F20"/>
                <w:sz w:val="14"/>
              </w:rPr>
              <w:t>демократије;</w:t>
            </w:r>
          </w:p>
          <w:p w:rsidR="00041039" w:rsidRDefault="001B26CB">
            <w:pPr>
              <w:pStyle w:val="TableParagraph"/>
              <w:numPr>
                <w:ilvl w:val="0"/>
                <w:numId w:val="1967"/>
              </w:numPr>
              <w:tabs>
                <w:tab w:val="left" w:pos="157"/>
              </w:tabs>
              <w:spacing w:line="160" w:lineRule="exact"/>
              <w:ind w:right="359" w:hanging="99"/>
              <w:rPr>
                <w:sz w:val="14"/>
              </w:rPr>
            </w:pPr>
            <w:r>
              <w:rPr>
                <w:color w:val="231F20"/>
                <w:sz w:val="14"/>
              </w:rPr>
              <w:t xml:space="preserve">разликује </w:t>
            </w:r>
            <w:r>
              <w:rPr>
                <w:color w:val="231F20"/>
                <w:spacing w:val="-3"/>
                <w:sz w:val="14"/>
              </w:rPr>
              <w:t xml:space="preserve">законодавну, </w:t>
            </w:r>
            <w:r>
              <w:rPr>
                <w:color w:val="231F20"/>
                <w:sz w:val="14"/>
              </w:rPr>
              <w:t xml:space="preserve">извршну и </w:t>
            </w:r>
            <w:r>
              <w:rPr>
                <w:color w:val="231F20"/>
                <w:spacing w:val="-3"/>
                <w:sz w:val="14"/>
              </w:rPr>
              <w:t>судску</w:t>
            </w:r>
            <w:r>
              <w:rPr>
                <w:color w:val="231F20"/>
                <w:spacing w:val="-1"/>
                <w:sz w:val="14"/>
              </w:rPr>
              <w:t xml:space="preserve"> </w:t>
            </w:r>
            <w:r>
              <w:rPr>
                <w:color w:val="231F20"/>
                <w:sz w:val="14"/>
              </w:rPr>
              <w:t>власт;</w:t>
            </w:r>
          </w:p>
          <w:p w:rsidR="00041039" w:rsidRDefault="001B26CB">
            <w:pPr>
              <w:pStyle w:val="TableParagraph"/>
              <w:numPr>
                <w:ilvl w:val="0"/>
                <w:numId w:val="1967"/>
              </w:numPr>
              <w:tabs>
                <w:tab w:val="left" w:pos="157"/>
              </w:tabs>
              <w:spacing w:line="160" w:lineRule="exact"/>
              <w:ind w:right="218" w:hanging="99"/>
              <w:rPr>
                <w:sz w:val="14"/>
              </w:rPr>
            </w:pPr>
            <w:r>
              <w:rPr>
                <w:color w:val="231F20"/>
                <w:sz w:val="14"/>
              </w:rPr>
              <w:t>разликује</w:t>
            </w:r>
            <w:r>
              <w:rPr>
                <w:color w:val="231F20"/>
                <w:spacing w:val="-7"/>
                <w:sz w:val="14"/>
              </w:rPr>
              <w:t xml:space="preserve"> </w:t>
            </w:r>
            <w:r>
              <w:rPr>
                <w:color w:val="231F20"/>
                <w:sz w:val="14"/>
              </w:rPr>
              <w:t>удружења</w:t>
            </w:r>
            <w:r>
              <w:rPr>
                <w:color w:val="231F20"/>
                <w:spacing w:val="-7"/>
                <w:sz w:val="14"/>
              </w:rPr>
              <w:t xml:space="preserve"> </w:t>
            </w:r>
            <w:r>
              <w:rPr>
                <w:color w:val="231F20"/>
                <w:sz w:val="14"/>
              </w:rPr>
              <w:t>грађана</w:t>
            </w:r>
            <w:r>
              <w:rPr>
                <w:color w:val="231F20"/>
                <w:spacing w:val="-8"/>
                <w:sz w:val="14"/>
              </w:rPr>
              <w:t xml:space="preserve"> </w:t>
            </w:r>
            <w:r>
              <w:rPr>
                <w:color w:val="231F20"/>
                <w:sz w:val="14"/>
              </w:rPr>
              <w:t>и</w:t>
            </w:r>
            <w:r>
              <w:rPr>
                <w:color w:val="231F20"/>
                <w:spacing w:val="-8"/>
                <w:sz w:val="14"/>
              </w:rPr>
              <w:t xml:space="preserve"> </w:t>
            </w:r>
            <w:r>
              <w:rPr>
                <w:color w:val="231F20"/>
                <w:sz w:val="14"/>
              </w:rPr>
              <w:t>поли­ тичке</w:t>
            </w:r>
            <w:r>
              <w:rPr>
                <w:color w:val="231F20"/>
                <w:spacing w:val="-1"/>
                <w:sz w:val="14"/>
              </w:rPr>
              <w:t xml:space="preserve"> </w:t>
            </w:r>
            <w:r>
              <w:rPr>
                <w:color w:val="231F20"/>
                <w:sz w:val="14"/>
              </w:rPr>
              <w:t>партије;</w:t>
            </w:r>
          </w:p>
          <w:p w:rsidR="00041039" w:rsidRDefault="001B26CB">
            <w:pPr>
              <w:pStyle w:val="TableParagraph"/>
              <w:numPr>
                <w:ilvl w:val="0"/>
                <w:numId w:val="1967"/>
              </w:numPr>
              <w:tabs>
                <w:tab w:val="left" w:pos="157"/>
              </w:tabs>
              <w:spacing w:line="160" w:lineRule="exact"/>
              <w:ind w:right="71" w:hanging="99"/>
              <w:rPr>
                <w:sz w:val="14"/>
              </w:rPr>
            </w:pPr>
            <w:r>
              <w:rPr>
                <w:color w:val="231F20"/>
                <w:sz w:val="14"/>
              </w:rPr>
              <w:t>препозна</w:t>
            </w:r>
            <w:r>
              <w:rPr>
                <w:color w:val="231F20"/>
                <w:spacing w:val="-27"/>
                <w:sz w:val="14"/>
              </w:rPr>
              <w:t xml:space="preserve"> </w:t>
            </w:r>
            <w:r>
              <w:rPr>
                <w:color w:val="231F20"/>
                <w:sz w:val="14"/>
              </w:rPr>
              <w:t xml:space="preserve">идеолошке разлике партија и поделу на </w:t>
            </w:r>
            <w:r>
              <w:rPr>
                <w:color w:val="231F20"/>
                <w:spacing w:val="-3"/>
                <w:sz w:val="14"/>
              </w:rPr>
              <w:t xml:space="preserve">левицу, </w:t>
            </w:r>
            <w:r>
              <w:rPr>
                <w:color w:val="231F20"/>
                <w:sz w:val="14"/>
              </w:rPr>
              <w:t>десницу и</w:t>
            </w:r>
            <w:r>
              <w:rPr>
                <w:color w:val="231F20"/>
                <w:spacing w:val="-2"/>
                <w:sz w:val="14"/>
              </w:rPr>
              <w:t xml:space="preserve"> </w:t>
            </w:r>
            <w:r>
              <w:rPr>
                <w:color w:val="231F20"/>
                <w:sz w:val="14"/>
              </w:rPr>
              <w:t>центар;</w:t>
            </w:r>
          </w:p>
          <w:p w:rsidR="00041039" w:rsidRDefault="001B26CB">
            <w:pPr>
              <w:pStyle w:val="TableParagraph"/>
              <w:numPr>
                <w:ilvl w:val="0"/>
                <w:numId w:val="1967"/>
              </w:numPr>
              <w:tabs>
                <w:tab w:val="left" w:pos="157"/>
              </w:tabs>
              <w:spacing w:line="160" w:lineRule="exact"/>
              <w:ind w:right="317" w:hanging="99"/>
              <w:rPr>
                <w:sz w:val="14"/>
              </w:rPr>
            </w:pPr>
            <w:r>
              <w:rPr>
                <w:color w:val="231F20"/>
                <w:sz w:val="14"/>
              </w:rPr>
              <w:t>схвати изборни поступак и конституисање скупштине</w:t>
            </w:r>
            <w:r>
              <w:rPr>
                <w:color w:val="231F20"/>
                <w:spacing w:val="-18"/>
                <w:sz w:val="14"/>
              </w:rPr>
              <w:t xml:space="preserve"> </w:t>
            </w:r>
            <w:r>
              <w:rPr>
                <w:color w:val="231F20"/>
                <w:sz w:val="14"/>
              </w:rPr>
              <w:t>ивладе;</w:t>
            </w:r>
          </w:p>
          <w:p w:rsidR="00041039" w:rsidRDefault="001B26CB">
            <w:pPr>
              <w:pStyle w:val="TableParagraph"/>
              <w:numPr>
                <w:ilvl w:val="0"/>
                <w:numId w:val="1967"/>
              </w:numPr>
              <w:tabs>
                <w:tab w:val="left" w:pos="157"/>
              </w:tabs>
              <w:spacing w:line="153" w:lineRule="exact"/>
              <w:ind w:hanging="99"/>
              <w:rPr>
                <w:sz w:val="14"/>
              </w:rPr>
            </w:pPr>
            <w:r>
              <w:rPr>
                <w:color w:val="231F20"/>
                <w:sz w:val="14"/>
              </w:rPr>
              <w:t>разликује државне органе</w:t>
            </w:r>
            <w:r>
              <w:rPr>
                <w:color w:val="231F20"/>
                <w:spacing w:val="-2"/>
                <w:sz w:val="14"/>
              </w:rPr>
              <w:t xml:space="preserve"> </w:t>
            </w:r>
            <w:r>
              <w:rPr>
                <w:color w:val="231F20"/>
                <w:sz w:val="14"/>
              </w:rPr>
              <w:t>власти</w:t>
            </w:r>
          </w:p>
          <w:p w:rsidR="00041039" w:rsidRDefault="001B26CB">
            <w:pPr>
              <w:pStyle w:val="TableParagraph"/>
              <w:numPr>
                <w:ilvl w:val="0"/>
                <w:numId w:val="1967"/>
              </w:numPr>
              <w:tabs>
                <w:tab w:val="left" w:pos="157"/>
              </w:tabs>
              <w:spacing w:line="237" w:lineRule="auto"/>
              <w:ind w:right="480" w:hanging="99"/>
              <w:rPr>
                <w:sz w:val="14"/>
              </w:rPr>
            </w:pPr>
            <w:r>
              <w:rPr>
                <w:color w:val="231F20"/>
                <w:sz w:val="14"/>
              </w:rPr>
              <w:t>разликује аутономију и</w:t>
            </w:r>
            <w:r>
              <w:rPr>
                <w:color w:val="231F20"/>
                <w:spacing w:val="-21"/>
                <w:sz w:val="14"/>
              </w:rPr>
              <w:t xml:space="preserve"> </w:t>
            </w:r>
            <w:r>
              <w:rPr>
                <w:color w:val="231F20"/>
                <w:sz w:val="14"/>
              </w:rPr>
              <w:t>локалну самоуправу;</w:t>
            </w:r>
          </w:p>
          <w:p w:rsidR="00041039" w:rsidRDefault="001B26CB">
            <w:pPr>
              <w:pStyle w:val="TableParagraph"/>
              <w:numPr>
                <w:ilvl w:val="0"/>
                <w:numId w:val="1967"/>
              </w:numPr>
              <w:tabs>
                <w:tab w:val="left" w:pos="157"/>
              </w:tabs>
              <w:spacing w:line="160" w:lineRule="exact"/>
              <w:ind w:right="473" w:hanging="99"/>
              <w:rPr>
                <w:sz w:val="14"/>
              </w:rPr>
            </w:pPr>
            <w:r>
              <w:rPr>
                <w:color w:val="231F20"/>
                <w:sz w:val="14"/>
              </w:rPr>
              <w:t>разуме функционисање</w:t>
            </w:r>
            <w:r>
              <w:rPr>
                <w:color w:val="231F20"/>
                <w:spacing w:val="-13"/>
                <w:sz w:val="14"/>
              </w:rPr>
              <w:t xml:space="preserve"> </w:t>
            </w:r>
            <w:r>
              <w:rPr>
                <w:color w:val="231F20"/>
                <w:sz w:val="14"/>
              </w:rPr>
              <w:t>локалне самоуправе;</w:t>
            </w:r>
          </w:p>
        </w:tc>
        <w:tc>
          <w:tcPr>
            <w:tcW w:w="2834" w:type="dxa"/>
          </w:tcPr>
          <w:p w:rsidR="00041039" w:rsidRDefault="001B26CB">
            <w:pPr>
              <w:pStyle w:val="TableParagraph"/>
              <w:numPr>
                <w:ilvl w:val="0"/>
                <w:numId w:val="1966"/>
              </w:numPr>
              <w:tabs>
                <w:tab w:val="left" w:pos="142"/>
              </w:tabs>
              <w:spacing w:before="20" w:line="161" w:lineRule="exact"/>
              <w:rPr>
                <w:sz w:val="14"/>
              </w:rPr>
            </w:pPr>
            <w:r>
              <w:rPr>
                <w:color w:val="231F20"/>
                <w:sz w:val="14"/>
              </w:rPr>
              <w:t>Политика ­ вештина управљања</w:t>
            </w:r>
            <w:r>
              <w:rPr>
                <w:color w:val="231F20"/>
                <w:spacing w:val="-10"/>
                <w:sz w:val="14"/>
              </w:rPr>
              <w:t xml:space="preserve"> </w:t>
            </w:r>
            <w:r>
              <w:rPr>
                <w:color w:val="231F20"/>
                <w:sz w:val="14"/>
              </w:rPr>
              <w:t>друштвом.</w:t>
            </w:r>
          </w:p>
          <w:p w:rsidR="00041039" w:rsidRDefault="001B26CB">
            <w:pPr>
              <w:pStyle w:val="TableParagraph"/>
              <w:numPr>
                <w:ilvl w:val="0"/>
                <w:numId w:val="1966"/>
              </w:numPr>
              <w:tabs>
                <w:tab w:val="left" w:pos="142"/>
              </w:tabs>
              <w:spacing w:line="160" w:lineRule="exact"/>
              <w:rPr>
                <w:sz w:val="14"/>
              </w:rPr>
            </w:pPr>
            <w:r>
              <w:rPr>
                <w:color w:val="231F20"/>
                <w:sz w:val="14"/>
              </w:rPr>
              <w:t>Појам и развој</w:t>
            </w:r>
            <w:r>
              <w:rPr>
                <w:color w:val="231F20"/>
                <w:spacing w:val="-3"/>
                <w:sz w:val="14"/>
              </w:rPr>
              <w:t xml:space="preserve"> </w:t>
            </w:r>
            <w:r>
              <w:rPr>
                <w:color w:val="231F20"/>
                <w:sz w:val="14"/>
              </w:rPr>
              <w:t>демократије.</w:t>
            </w:r>
          </w:p>
          <w:p w:rsidR="00041039" w:rsidRDefault="001B26CB">
            <w:pPr>
              <w:pStyle w:val="TableParagraph"/>
              <w:numPr>
                <w:ilvl w:val="0"/>
                <w:numId w:val="1966"/>
              </w:numPr>
              <w:tabs>
                <w:tab w:val="left" w:pos="142"/>
              </w:tabs>
              <w:spacing w:line="160" w:lineRule="exact"/>
              <w:rPr>
                <w:sz w:val="14"/>
              </w:rPr>
            </w:pPr>
            <w:r>
              <w:rPr>
                <w:color w:val="231F20"/>
                <w:sz w:val="14"/>
              </w:rPr>
              <w:t>Конститутивни елементи</w:t>
            </w:r>
            <w:r>
              <w:rPr>
                <w:color w:val="231F20"/>
                <w:spacing w:val="-1"/>
                <w:sz w:val="14"/>
              </w:rPr>
              <w:t xml:space="preserve"> </w:t>
            </w:r>
            <w:r>
              <w:rPr>
                <w:color w:val="231F20"/>
                <w:sz w:val="14"/>
              </w:rPr>
              <w:t>државе.</w:t>
            </w:r>
          </w:p>
          <w:p w:rsidR="00041039" w:rsidRDefault="001B26CB">
            <w:pPr>
              <w:pStyle w:val="TableParagraph"/>
              <w:numPr>
                <w:ilvl w:val="0"/>
                <w:numId w:val="1966"/>
              </w:numPr>
              <w:tabs>
                <w:tab w:val="left" w:pos="142"/>
              </w:tabs>
              <w:spacing w:line="160" w:lineRule="exact"/>
              <w:rPr>
                <w:sz w:val="14"/>
              </w:rPr>
            </w:pPr>
            <w:r>
              <w:rPr>
                <w:color w:val="231F20"/>
                <w:sz w:val="14"/>
              </w:rPr>
              <w:t>Подела</w:t>
            </w:r>
            <w:r>
              <w:rPr>
                <w:color w:val="231F20"/>
                <w:spacing w:val="-1"/>
                <w:sz w:val="14"/>
              </w:rPr>
              <w:t xml:space="preserve"> </w:t>
            </w:r>
            <w:r>
              <w:rPr>
                <w:color w:val="231F20"/>
                <w:sz w:val="14"/>
              </w:rPr>
              <w:t>власти.</w:t>
            </w:r>
          </w:p>
          <w:p w:rsidR="00041039" w:rsidRDefault="001B26CB">
            <w:pPr>
              <w:pStyle w:val="TableParagraph"/>
              <w:numPr>
                <w:ilvl w:val="0"/>
                <w:numId w:val="1966"/>
              </w:numPr>
              <w:tabs>
                <w:tab w:val="left" w:pos="142"/>
              </w:tabs>
              <w:spacing w:line="160" w:lineRule="exact"/>
              <w:rPr>
                <w:sz w:val="14"/>
              </w:rPr>
            </w:pPr>
            <w:r>
              <w:rPr>
                <w:color w:val="231F20"/>
                <w:sz w:val="14"/>
              </w:rPr>
              <w:t>Организације</w:t>
            </w:r>
            <w:r>
              <w:rPr>
                <w:color w:val="231F20"/>
                <w:spacing w:val="-2"/>
                <w:sz w:val="14"/>
              </w:rPr>
              <w:t xml:space="preserve"> </w:t>
            </w:r>
            <w:r>
              <w:rPr>
                <w:color w:val="231F20"/>
                <w:sz w:val="14"/>
              </w:rPr>
              <w:t>грађана.</w:t>
            </w:r>
          </w:p>
          <w:p w:rsidR="00041039" w:rsidRDefault="001B26CB">
            <w:pPr>
              <w:pStyle w:val="TableParagraph"/>
              <w:numPr>
                <w:ilvl w:val="0"/>
                <w:numId w:val="1966"/>
              </w:numPr>
              <w:tabs>
                <w:tab w:val="left" w:pos="142"/>
              </w:tabs>
              <w:spacing w:line="160" w:lineRule="exact"/>
              <w:rPr>
                <w:sz w:val="14"/>
              </w:rPr>
            </w:pPr>
            <w:r>
              <w:rPr>
                <w:color w:val="231F20"/>
                <w:sz w:val="14"/>
              </w:rPr>
              <w:t>Политичке</w:t>
            </w:r>
            <w:r>
              <w:rPr>
                <w:color w:val="231F20"/>
                <w:spacing w:val="-1"/>
                <w:sz w:val="14"/>
              </w:rPr>
              <w:t xml:space="preserve"> </w:t>
            </w:r>
            <w:r>
              <w:rPr>
                <w:color w:val="231F20"/>
                <w:sz w:val="14"/>
              </w:rPr>
              <w:t>партије.</w:t>
            </w:r>
          </w:p>
          <w:p w:rsidR="00041039" w:rsidRDefault="001B26CB">
            <w:pPr>
              <w:pStyle w:val="TableParagraph"/>
              <w:numPr>
                <w:ilvl w:val="0"/>
                <w:numId w:val="1966"/>
              </w:numPr>
              <w:tabs>
                <w:tab w:val="left" w:pos="142"/>
              </w:tabs>
              <w:spacing w:line="160" w:lineRule="exact"/>
              <w:rPr>
                <w:sz w:val="14"/>
              </w:rPr>
            </w:pPr>
            <w:r>
              <w:rPr>
                <w:color w:val="231F20"/>
                <w:sz w:val="14"/>
              </w:rPr>
              <w:t>Избори.</w:t>
            </w:r>
          </w:p>
          <w:p w:rsidR="00041039" w:rsidRDefault="001B26CB">
            <w:pPr>
              <w:pStyle w:val="TableParagraph"/>
              <w:numPr>
                <w:ilvl w:val="0"/>
                <w:numId w:val="1966"/>
              </w:numPr>
              <w:tabs>
                <w:tab w:val="left" w:pos="142"/>
              </w:tabs>
              <w:spacing w:line="160" w:lineRule="exact"/>
              <w:rPr>
                <w:sz w:val="14"/>
              </w:rPr>
            </w:pPr>
            <w:r>
              <w:rPr>
                <w:color w:val="231F20"/>
                <w:sz w:val="14"/>
              </w:rPr>
              <w:t>Скупштина.</w:t>
            </w:r>
          </w:p>
          <w:p w:rsidR="00041039" w:rsidRDefault="001B26CB">
            <w:pPr>
              <w:pStyle w:val="TableParagraph"/>
              <w:numPr>
                <w:ilvl w:val="0"/>
                <w:numId w:val="1966"/>
              </w:numPr>
              <w:tabs>
                <w:tab w:val="left" w:pos="142"/>
              </w:tabs>
              <w:spacing w:line="160" w:lineRule="exact"/>
              <w:rPr>
                <w:sz w:val="14"/>
              </w:rPr>
            </w:pPr>
            <w:r>
              <w:rPr>
                <w:color w:val="231F20"/>
                <w:sz w:val="14"/>
              </w:rPr>
              <w:t>Државни органи</w:t>
            </w:r>
            <w:r>
              <w:rPr>
                <w:color w:val="231F20"/>
                <w:spacing w:val="-2"/>
                <w:sz w:val="14"/>
              </w:rPr>
              <w:t xml:space="preserve"> </w:t>
            </w:r>
            <w:r>
              <w:rPr>
                <w:color w:val="231F20"/>
                <w:sz w:val="14"/>
              </w:rPr>
              <w:t>власти.</w:t>
            </w:r>
          </w:p>
          <w:p w:rsidR="00041039" w:rsidRDefault="001B26CB">
            <w:pPr>
              <w:pStyle w:val="TableParagraph"/>
              <w:numPr>
                <w:ilvl w:val="0"/>
                <w:numId w:val="1966"/>
              </w:numPr>
              <w:tabs>
                <w:tab w:val="left" w:pos="142"/>
              </w:tabs>
              <w:spacing w:line="160" w:lineRule="exact"/>
              <w:rPr>
                <w:sz w:val="14"/>
              </w:rPr>
            </w:pPr>
            <w:r>
              <w:rPr>
                <w:color w:val="231F20"/>
                <w:sz w:val="14"/>
              </w:rPr>
              <w:t>Аутономија.</w:t>
            </w:r>
          </w:p>
          <w:p w:rsidR="00041039" w:rsidRDefault="001B26CB">
            <w:pPr>
              <w:pStyle w:val="TableParagraph"/>
              <w:numPr>
                <w:ilvl w:val="0"/>
                <w:numId w:val="1966"/>
              </w:numPr>
              <w:tabs>
                <w:tab w:val="left" w:pos="142"/>
              </w:tabs>
              <w:spacing w:line="161" w:lineRule="exact"/>
              <w:rPr>
                <w:sz w:val="14"/>
              </w:rPr>
            </w:pPr>
            <w:r>
              <w:rPr>
                <w:color w:val="231F20"/>
                <w:sz w:val="14"/>
              </w:rPr>
              <w:t>Локална</w:t>
            </w:r>
            <w:r>
              <w:rPr>
                <w:color w:val="231F20"/>
                <w:spacing w:val="-2"/>
                <w:sz w:val="14"/>
              </w:rPr>
              <w:t xml:space="preserve"> </w:t>
            </w:r>
            <w:r>
              <w:rPr>
                <w:color w:val="231F20"/>
                <w:sz w:val="14"/>
              </w:rPr>
              <w:t>самоуправа.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20"/>
              <w:ind w:left="56" w:right="37"/>
              <w:rPr>
                <w:sz w:val="14"/>
              </w:rPr>
            </w:pPr>
            <w:r>
              <w:rPr>
                <w:color w:val="231F20"/>
                <w:sz w:val="14"/>
              </w:rPr>
              <w:t>Устав и правна држава</w:t>
            </w:r>
          </w:p>
        </w:tc>
        <w:tc>
          <w:tcPr>
            <w:tcW w:w="1587" w:type="dxa"/>
          </w:tcPr>
          <w:p w:rsidR="00041039" w:rsidRDefault="001B26CB">
            <w:pPr>
              <w:pStyle w:val="TableParagraph"/>
              <w:numPr>
                <w:ilvl w:val="0"/>
                <w:numId w:val="1965"/>
              </w:numPr>
              <w:tabs>
                <w:tab w:val="left" w:pos="157"/>
              </w:tabs>
              <w:spacing w:before="10"/>
              <w:ind w:right="44"/>
              <w:rPr>
                <w:sz w:val="14"/>
              </w:rPr>
            </w:pPr>
            <w:r>
              <w:rPr>
                <w:color w:val="231F20"/>
                <w:sz w:val="14"/>
              </w:rPr>
              <w:t xml:space="preserve">Упознавање са </w:t>
            </w:r>
            <w:r>
              <w:rPr>
                <w:color w:val="231F20"/>
                <w:spacing w:val="-3"/>
                <w:sz w:val="14"/>
              </w:rPr>
              <w:t xml:space="preserve">Уставом </w:t>
            </w:r>
            <w:r>
              <w:rPr>
                <w:color w:val="231F20"/>
                <w:sz w:val="14"/>
              </w:rPr>
              <w:t>Републике Србије, његовим исто­ ријским претечама и правосудним</w:t>
            </w:r>
            <w:r>
              <w:rPr>
                <w:color w:val="231F20"/>
                <w:spacing w:val="-18"/>
                <w:sz w:val="14"/>
              </w:rPr>
              <w:t xml:space="preserve"> </w:t>
            </w:r>
            <w:r>
              <w:rPr>
                <w:color w:val="231F20"/>
                <w:sz w:val="14"/>
              </w:rPr>
              <w:t>системом Републике</w:t>
            </w:r>
            <w:r>
              <w:rPr>
                <w:color w:val="231F20"/>
                <w:spacing w:val="-2"/>
                <w:sz w:val="14"/>
              </w:rPr>
              <w:t xml:space="preserve"> </w:t>
            </w:r>
            <w:r>
              <w:rPr>
                <w:color w:val="231F20"/>
                <w:sz w:val="14"/>
              </w:rPr>
              <w:t>Србије.</w:t>
            </w:r>
          </w:p>
        </w:tc>
        <w:tc>
          <w:tcPr>
            <w:tcW w:w="2551" w:type="dxa"/>
          </w:tcPr>
          <w:p w:rsidR="00041039" w:rsidRDefault="001B26CB">
            <w:pPr>
              <w:pStyle w:val="TableParagraph"/>
              <w:numPr>
                <w:ilvl w:val="0"/>
                <w:numId w:val="1964"/>
              </w:numPr>
              <w:tabs>
                <w:tab w:val="left" w:pos="157"/>
              </w:tabs>
              <w:spacing w:before="10"/>
              <w:ind w:right="369" w:hanging="99"/>
              <w:rPr>
                <w:sz w:val="14"/>
              </w:rPr>
            </w:pPr>
            <w:r>
              <w:rPr>
                <w:color w:val="231F20"/>
                <w:sz w:val="14"/>
              </w:rPr>
              <w:t>схвати значај устава као</w:t>
            </w:r>
            <w:r>
              <w:rPr>
                <w:color w:val="231F20"/>
                <w:spacing w:val="-26"/>
                <w:sz w:val="14"/>
              </w:rPr>
              <w:t xml:space="preserve"> </w:t>
            </w:r>
            <w:r>
              <w:rPr>
                <w:color w:val="231F20"/>
                <w:sz w:val="14"/>
              </w:rPr>
              <w:t>највишег правног</w:t>
            </w:r>
            <w:r>
              <w:rPr>
                <w:color w:val="231F20"/>
                <w:spacing w:val="-2"/>
                <w:sz w:val="14"/>
              </w:rPr>
              <w:t xml:space="preserve"> </w:t>
            </w:r>
            <w:r>
              <w:rPr>
                <w:color w:val="231F20"/>
                <w:sz w:val="14"/>
              </w:rPr>
              <w:t>акта;</w:t>
            </w:r>
          </w:p>
          <w:p w:rsidR="00041039" w:rsidRDefault="001B26CB">
            <w:pPr>
              <w:pStyle w:val="TableParagraph"/>
              <w:numPr>
                <w:ilvl w:val="0"/>
                <w:numId w:val="1964"/>
              </w:numPr>
              <w:tabs>
                <w:tab w:val="left" w:pos="157"/>
              </w:tabs>
              <w:spacing w:line="153" w:lineRule="exact"/>
              <w:ind w:hanging="99"/>
              <w:rPr>
                <w:sz w:val="14"/>
              </w:rPr>
            </w:pPr>
            <w:r>
              <w:rPr>
                <w:color w:val="231F20"/>
                <w:sz w:val="14"/>
              </w:rPr>
              <w:t xml:space="preserve">разликује устав </w:t>
            </w:r>
            <w:r>
              <w:rPr>
                <w:color w:val="231F20"/>
                <w:spacing w:val="-3"/>
                <w:sz w:val="14"/>
              </w:rPr>
              <w:t>од</w:t>
            </w:r>
            <w:r>
              <w:rPr>
                <w:color w:val="231F20"/>
                <w:spacing w:val="-2"/>
                <w:sz w:val="14"/>
              </w:rPr>
              <w:t xml:space="preserve"> </w:t>
            </w:r>
            <w:r>
              <w:rPr>
                <w:color w:val="231F20"/>
                <w:sz w:val="14"/>
              </w:rPr>
              <w:t>закона;</w:t>
            </w:r>
          </w:p>
          <w:p w:rsidR="00041039" w:rsidRDefault="001B26CB">
            <w:pPr>
              <w:pStyle w:val="TableParagraph"/>
              <w:numPr>
                <w:ilvl w:val="0"/>
                <w:numId w:val="1964"/>
              </w:numPr>
              <w:tabs>
                <w:tab w:val="left" w:pos="157"/>
              </w:tabs>
              <w:spacing w:line="237" w:lineRule="auto"/>
              <w:ind w:right="241" w:hanging="99"/>
              <w:rPr>
                <w:sz w:val="14"/>
              </w:rPr>
            </w:pPr>
            <w:r>
              <w:rPr>
                <w:color w:val="231F20"/>
                <w:sz w:val="14"/>
              </w:rPr>
              <w:t>направи преглед развоја</w:t>
            </w:r>
            <w:r>
              <w:rPr>
                <w:color w:val="231F20"/>
                <w:spacing w:val="-17"/>
                <w:sz w:val="14"/>
              </w:rPr>
              <w:t xml:space="preserve"> </w:t>
            </w:r>
            <w:r>
              <w:rPr>
                <w:color w:val="231F20"/>
                <w:sz w:val="14"/>
              </w:rPr>
              <w:t>уставности у Србији;</w:t>
            </w:r>
          </w:p>
          <w:p w:rsidR="00041039" w:rsidRDefault="001B26CB">
            <w:pPr>
              <w:pStyle w:val="TableParagraph"/>
              <w:numPr>
                <w:ilvl w:val="0"/>
                <w:numId w:val="1964"/>
              </w:numPr>
              <w:tabs>
                <w:tab w:val="left" w:pos="157"/>
              </w:tabs>
              <w:spacing w:line="160" w:lineRule="exact"/>
              <w:ind w:right="144" w:hanging="99"/>
              <w:rPr>
                <w:sz w:val="14"/>
              </w:rPr>
            </w:pPr>
            <w:r>
              <w:rPr>
                <w:color w:val="231F20"/>
                <w:sz w:val="14"/>
              </w:rPr>
              <w:t>уочи</w:t>
            </w:r>
            <w:r>
              <w:rPr>
                <w:color w:val="231F20"/>
                <w:spacing w:val="-7"/>
                <w:sz w:val="14"/>
              </w:rPr>
              <w:t xml:space="preserve"> </w:t>
            </w:r>
            <w:r>
              <w:rPr>
                <w:color w:val="231F20"/>
                <w:sz w:val="14"/>
              </w:rPr>
              <w:t>значај</w:t>
            </w:r>
            <w:r>
              <w:rPr>
                <w:color w:val="231F20"/>
                <w:spacing w:val="-7"/>
                <w:sz w:val="14"/>
              </w:rPr>
              <w:t xml:space="preserve"> </w:t>
            </w:r>
            <w:r>
              <w:rPr>
                <w:color w:val="231F20"/>
                <w:sz w:val="14"/>
              </w:rPr>
              <w:t>владавине</w:t>
            </w:r>
            <w:r>
              <w:rPr>
                <w:color w:val="231F20"/>
                <w:spacing w:val="-8"/>
                <w:sz w:val="14"/>
              </w:rPr>
              <w:t xml:space="preserve"> </w:t>
            </w:r>
            <w:r>
              <w:rPr>
                <w:color w:val="231F20"/>
                <w:sz w:val="14"/>
              </w:rPr>
              <w:t>права</w:t>
            </w:r>
            <w:r>
              <w:rPr>
                <w:color w:val="231F20"/>
                <w:spacing w:val="-7"/>
                <w:sz w:val="14"/>
              </w:rPr>
              <w:t xml:space="preserve"> </w:t>
            </w:r>
            <w:r>
              <w:rPr>
                <w:color w:val="231F20"/>
                <w:sz w:val="14"/>
              </w:rPr>
              <w:t>и</w:t>
            </w:r>
            <w:r>
              <w:rPr>
                <w:color w:val="231F20"/>
                <w:spacing w:val="-8"/>
                <w:sz w:val="14"/>
              </w:rPr>
              <w:t xml:space="preserve"> </w:t>
            </w:r>
            <w:r>
              <w:rPr>
                <w:color w:val="231F20"/>
                <w:sz w:val="14"/>
              </w:rPr>
              <w:t>правне државе;</w:t>
            </w:r>
          </w:p>
          <w:p w:rsidR="00041039" w:rsidRDefault="001B26CB">
            <w:pPr>
              <w:pStyle w:val="TableParagraph"/>
              <w:numPr>
                <w:ilvl w:val="0"/>
                <w:numId w:val="1964"/>
              </w:numPr>
              <w:tabs>
                <w:tab w:val="left" w:pos="157"/>
              </w:tabs>
              <w:spacing w:line="160" w:lineRule="exact"/>
              <w:ind w:right="79" w:hanging="99"/>
              <w:rPr>
                <w:sz w:val="14"/>
              </w:rPr>
            </w:pPr>
            <w:r>
              <w:rPr>
                <w:color w:val="231F20"/>
                <w:sz w:val="14"/>
              </w:rPr>
              <w:t xml:space="preserve">зна основне одредбе </w:t>
            </w:r>
            <w:r>
              <w:rPr>
                <w:color w:val="231F20"/>
                <w:spacing w:val="-4"/>
                <w:sz w:val="14"/>
              </w:rPr>
              <w:t>Устава</w:t>
            </w:r>
            <w:r>
              <w:rPr>
                <w:color w:val="231F20"/>
                <w:spacing w:val="-16"/>
                <w:sz w:val="14"/>
              </w:rPr>
              <w:t xml:space="preserve"> </w:t>
            </w:r>
            <w:r>
              <w:rPr>
                <w:color w:val="231F20"/>
                <w:sz w:val="14"/>
              </w:rPr>
              <w:t>Републике Србије;</w:t>
            </w:r>
          </w:p>
          <w:p w:rsidR="00041039" w:rsidRDefault="001B26CB">
            <w:pPr>
              <w:pStyle w:val="TableParagraph"/>
              <w:numPr>
                <w:ilvl w:val="0"/>
                <w:numId w:val="1964"/>
              </w:numPr>
              <w:tabs>
                <w:tab w:val="left" w:pos="157"/>
              </w:tabs>
              <w:spacing w:line="160" w:lineRule="exact"/>
              <w:ind w:right="222" w:hanging="99"/>
              <w:rPr>
                <w:sz w:val="14"/>
              </w:rPr>
            </w:pPr>
            <w:r>
              <w:rPr>
                <w:color w:val="231F20"/>
                <w:sz w:val="14"/>
              </w:rPr>
              <w:t>схвати функционисање</w:t>
            </w:r>
            <w:r>
              <w:rPr>
                <w:color w:val="231F20"/>
                <w:spacing w:val="-21"/>
                <w:sz w:val="14"/>
              </w:rPr>
              <w:t xml:space="preserve"> </w:t>
            </w:r>
            <w:r>
              <w:rPr>
                <w:color w:val="231F20"/>
                <w:sz w:val="14"/>
              </w:rPr>
              <w:t>правосудног система Републике</w:t>
            </w:r>
            <w:r>
              <w:rPr>
                <w:color w:val="231F20"/>
                <w:spacing w:val="-2"/>
                <w:sz w:val="14"/>
              </w:rPr>
              <w:t xml:space="preserve"> </w:t>
            </w:r>
            <w:r>
              <w:rPr>
                <w:color w:val="231F20"/>
                <w:sz w:val="14"/>
              </w:rPr>
              <w:t>Србије;</w:t>
            </w:r>
          </w:p>
        </w:tc>
        <w:tc>
          <w:tcPr>
            <w:tcW w:w="2834" w:type="dxa"/>
          </w:tcPr>
          <w:p w:rsidR="00041039" w:rsidRDefault="001B26CB">
            <w:pPr>
              <w:pStyle w:val="TableParagraph"/>
              <w:numPr>
                <w:ilvl w:val="0"/>
                <w:numId w:val="1963"/>
              </w:numPr>
              <w:tabs>
                <w:tab w:val="left" w:pos="142"/>
              </w:tabs>
              <w:spacing w:before="20" w:line="161" w:lineRule="exact"/>
              <w:rPr>
                <w:sz w:val="14"/>
              </w:rPr>
            </w:pPr>
            <w:r>
              <w:rPr>
                <w:color w:val="231F20"/>
                <w:sz w:val="14"/>
              </w:rPr>
              <w:t>Значење појма</w:t>
            </w:r>
            <w:r>
              <w:rPr>
                <w:color w:val="231F20"/>
                <w:spacing w:val="-1"/>
                <w:sz w:val="14"/>
              </w:rPr>
              <w:t xml:space="preserve"> </w:t>
            </w:r>
            <w:r>
              <w:rPr>
                <w:color w:val="231F20"/>
                <w:sz w:val="14"/>
              </w:rPr>
              <w:t>устав.</w:t>
            </w:r>
          </w:p>
          <w:p w:rsidR="00041039" w:rsidRDefault="001B26CB">
            <w:pPr>
              <w:pStyle w:val="TableParagraph"/>
              <w:numPr>
                <w:ilvl w:val="0"/>
                <w:numId w:val="1963"/>
              </w:numPr>
              <w:tabs>
                <w:tab w:val="left" w:pos="142"/>
              </w:tabs>
              <w:spacing w:line="160" w:lineRule="exact"/>
              <w:rPr>
                <w:sz w:val="14"/>
              </w:rPr>
            </w:pPr>
            <w:r>
              <w:rPr>
                <w:color w:val="231F20"/>
                <w:sz w:val="14"/>
              </w:rPr>
              <w:t>Историјски развој</w:t>
            </w:r>
            <w:r>
              <w:rPr>
                <w:color w:val="231F20"/>
                <w:spacing w:val="-1"/>
                <w:sz w:val="14"/>
              </w:rPr>
              <w:t xml:space="preserve"> </w:t>
            </w:r>
            <w:r>
              <w:rPr>
                <w:color w:val="231F20"/>
                <w:sz w:val="14"/>
              </w:rPr>
              <w:t>уставности.</w:t>
            </w:r>
          </w:p>
          <w:p w:rsidR="00041039" w:rsidRDefault="001B26CB">
            <w:pPr>
              <w:pStyle w:val="TableParagraph"/>
              <w:numPr>
                <w:ilvl w:val="0"/>
                <w:numId w:val="1963"/>
              </w:numPr>
              <w:tabs>
                <w:tab w:val="left" w:pos="142"/>
              </w:tabs>
              <w:spacing w:line="160" w:lineRule="exact"/>
              <w:rPr>
                <w:sz w:val="14"/>
              </w:rPr>
            </w:pPr>
            <w:r>
              <w:rPr>
                <w:color w:val="231F20"/>
                <w:sz w:val="14"/>
              </w:rPr>
              <w:t>Уставност и</w:t>
            </w:r>
            <w:r>
              <w:rPr>
                <w:color w:val="231F20"/>
                <w:spacing w:val="-3"/>
                <w:sz w:val="14"/>
              </w:rPr>
              <w:t xml:space="preserve"> </w:t>
            </w:r>
            <w:r>
              <w:rPr>
                <w:color w:val="231F20"/>
                <w:sz w:val="14"/>
              </w:rPr>
              <w:t>законитост.</w:t>
            </w:r>
          </w:p>
          <w:p w:rsidR="00041039" w:rsidRDefault="001B26CB">
            <w:pPr>
              <w:pStyle w:val="TableParagraph"/>
              <w:numPr>
                <w:ilvl w:val="0"/>
                <w:numId w:val="1963"/>
              </w:numPr>
              <w:tabs>
                <w:tab w:val="left" w:pos="142"/>
              </w:tabs>
              <w:spacing w:line="160" w:lineRule="exact"/>
              <w:rPr>
                <w:sz w:val="14"/>
              </w:rPr>
            </w:pPr>
            <w:r>
              <w:rPr>
                <w:color w:val="231F20"/>
                <w:sz w:val="14"/>
              </w:rPr>
              <w:t>Владавина права ­ правна</w:t>
            </w:r>
            <w:r>
              <w:rPr>
                <w:color w:val="231F20"/>
                <w:spacing w:val="-4"/>
                <w:sz w:val="14"/>
              </w:rPr>
              <w:t xml:space="preserve"> </w:t>
            </w:r>
            <w:r>
              <w:rPr>
                <w:color w:val="231F20"/>
                <w:sz w:val="14"/>
              </w:rPr>
              <w:t>држава.</w:t>
            </w:r>
          </w:p>
          <w:p w:rsidR="00041039" w:rsidRDefault="001B26CB">
            <w:pPr>
              <w:pStyle w:val="TableParagraph"/>
              <w:numPr>
                <w:ilvl w:val="0"/>
                <w:numId w:val="1963"/>
              </w:numPr>
              <w:tabs>
                <w:tab w:val="left" w:pos="142"/>
              </w:tabs>
              <w:spacing w:line="160" w:lineRule="exact"/>
              <w:rPr>
                <w:sz w:val="14"/>
              </w:rPr>
            </w:pPr>
            <w:r>
              <w:rPr>
                <w:color w:val="231F20"/>
                <w:spacing w:val="-4"/>
                <w:sz w:val="14"/>
              </w:rPr>
              <w:t xml:space="preserve">Устав </w:t>
            </w:r>
            <w:r>
              <w:rPr>
                <w:color w:val="231F20"/>
                <w:sz w:val="14"/>
              </w:rPr>
              <w:t>Републике</w:t>
            </w:r>
            <w:r>
              <w:rPr>
                <w:color w:val="231F20"/>
                <w:spacing w:val="2"/>
                <w:sz w:val="14"/>
              </w:rPr>
              <w:t xml:space="preserve"> </w:t>
            </w:r>
            <w:r>
              <w:rPr>
                <w:color w:val="231F20"/>
                <w:sz w:val="14"/>
              </w:rPr>
              <w:t>Србије.</w:t>
            </w:r>
          </w:p>
          <w:p w:rsidR="00041039" w:rsidRDefault="001B26CB">
            <w:pPr>
              <w:pStyle w:val="TableParagraph"/>
              <w:numPr>
                <w:ilvl w:val="0"/>
                <w:numId w:val="1963"/>
              </w:numPr>
              <w:tabs>
                <w:tab w:val="left" w:pos="142"/>
              </w:tabs>
              <w:ind w:right="418"/>
              <w:rPr>
                <w:sz w:val="14"/>
              </w:rPr>
            </w:pPr>
            <w:r>
              <w:rPr>
                <w:color w:val="231F20"/>
                <w:sz w:val="14"/>
              </w:rPr>
              <w:t>Правосудни систем Републике</w:t>
            </w:r>
            <w:r>
              <w:rPr>
                <w:color w:val="231F20"/>
                <w:spacing w:val="-24"/>
                <w:sz w:val="14"/>
              </w:rPr>
              <w:t xml:space="preserve"> </w:t>
            </w:r>
            <w:r>
              <w:rPr>
                <w:color w:val="231F20"/>
                <w:sz w:val="14"/>
              </w:rPr>
              <w:t>Србије (судовиитужилаштва).</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20"/>
              <w:ind w:left="56" w:right="37"/>
              <w:rPr>
                <w:sz w:val="14"/>
              </w:rPr>
            </w:pPr>
            <w:r>
              <w:rPr>
                <w:color w:val="231F20"/>
                <w:sz w:val="14"/>
              </w:rPr>
              <w:t>Људска права и слободе</w:t>
            </w:r>
          </w:p>
        </w:tc>
        <w:tc>
          <w:tcPr>
            <w:tcW w:w="1587" w:type="dxa"/>
          </w:tcPr>
          <w:p w:rsidR="00041039" w:rsidRDefault="001B26CB">
            <w:pPr>
              <w:pStyle w:val="TableParagraph"/>
              <w:numPr>
                <w:ilvl w:val="0"/>
                <w:numId w:val="1962"/>
              </w:numPr>
              <w:tabs>
                <w:tab w:val="left" w:pos="157"/>
              </w:tabs>
              <w:spacing w:before="10"/>
              <w:ind w:right="123"/>
              <w:rPr>
                <w:sz w:val="14"/>
              </w:rPr>
            </w:pPr>
            <w:r>
              <w:rPr>
                <w:color w:val="231F20"/>
                <w:sz w:val="14"/>
              </w:rPr>
              <w:t xml:space="preserve">Богаћење знања о људским правима и слободама и о </w:t>
            </w:r>
            <w:r>
              <w:rPr>
                <w:color w:val="231F20"/>
                <w:spacing w:val="-3"/>
                <w:sz w:val="14"/>
              </w:rPr>
              <w:t xml:space="preserve">улози </w:t>
            </w:r>
            <w:r>
              <w:rPr>
                <w:color w:val="231F20"/>
                <w:sz w:val="14"/>
              </w:rPr>
              <w:t>појединца у</w:t>
            </w:r>
            <w:r>
              <w:rPr>
                <w:color w:val="231F20"/>
                <w:spacing w:val="-8"/>
                <w:sz w:val="14"/>
              </w:rPr>
              <w:t xml:space="preserve"> </w:t>
            </w:r>
            <w:r>
              <w:rPr>
                <w:color w:val="231F20"/>
                <w:sz w:val="14"/>
              </w:rPr>
              <w:t xml:space="preserve">друштве­ ном и политичком </w:t>
            </w:r>
            <w:r>
              <w:rPr>
                <w:color w:val="231F20"/>
                <w:spacing w:val="-3"/>
                <w:sz w:val="14"/>
              </w:rPr>
              <w:t>животу.</w:t>
            </w:r>
          </w:p>
        </w:tc>
        <w:tc>
          <w:tcPr>
            <w:tcW w:w="2551" w:type="dxa"/>
          </w:tcPr>
          <w:p w:rsidR="00041039" w:rsidRDefault="001B26CB">
            <w:pPr>
              <w:pStyle w:val="TableParagraph"/>
              <w:numPr>
                <w:ilvl w:val="0"/>
                <w:numId w:val="1961"/>
              </w:numPr>
              <w:tabs>
                <w:tab w:val="left" w:pos="157"/>
              </w:tabs>
              <w:spacing w:before="10"/>
              <w:ind w:right="166" w:hanging="99"/>
              <w:rPr>
                <w:sz w:val="14"/>
              </w:rPr>
            </w:pPr>
            <w:r>
              <w:rPr>
                <w:color w:val="231F20"/>
                <w:sz w:val="14"/>
              </w:rPr>
              <w:t xml:space="preserve">схвати </w:t>
            </w:r>
            <w:r>
              <w:rPr>
                <w:color w:val="231F20"/>
                <w:spacing w:val="-3"/>
                <w:sz w:val="14"/>
              </w:rPr>
              <w:t xml:space="preserve">људска </w:t>
            </w:r>
            <w:r>
              <w:rPr>
                <w:color w:val="231F20"/>
                <w:sz w:val="14"/>
              </w:rPr>
              <w:t>права и слободе и</w:t>
            </w:r>
            <w:r>
              <w:rPr>
                <w:color w:val="231F20"/>
                <w:spacing w:val="-14"/>
                <w:sz w:val="14"/>
              </w:rPr>
              <w:t xml:space="preserve"> </w:t>
            </w:r>
            <w:r>
              <w:rPr>
                <w:color w:val="231F20"/>
                <w:sz w:val="14"/>
              </w:rPr>
              <w:t>свој положај у</w:t>
            </w:r>
            <w:r>
              <w:rPr>
                <w:color w:val="231F20"/>
                <w:spacing w:val="-2"/>
                <w:sz w:val="14"/>
              </w:rPr>
              <w:t xml:space="preserve"> </w:t>
            </w:r>
            <w:r>
              <w:rPr>
                <w:color w:val="231F20"/>
                <w:sz w:val="14"/>
              </w:rPr>
              <w:t>друштву;</w:t>
            </w:r>
          </w:p>
          <w:p w:rsidR="00041039" w:rsidRDefault="001B26CB">
            <w:pPr>
              <w:pStyle w:val="TableParagraph"/>
              <w:numPr>
                <w:ilvl w:val="0"/>
                <w:numId w:val="1961"/>
              </w:numPr>
              <w:tabs>
                <w:tab w:val="left" w:pos="157"/>
              </w:tabs>
              <w:spacing w:before="1" w:line="160" w:lineRule="exact"/>
              <w:ind w:right="309" w:hanging="99"/>
              <w:rPr>
                <w:sz w:val="14"/>
              </w:rPr>
            </w:pPr>
            <w:r>
              <w:rPr>
                <w:color w:val="231F20"/>
                <w:sz w:val="14"/>
              </w:rPr>
              <w:t>зна</w:t>
            </w:r>
            <w:r>
              <w:rPr>
                <w:color w:val="231F20"/>
                <w:spacing w:val="-5"/>
                <w:sz w:val="14"/>
              </w:rPr>
              <w:t xml:space="preserve"> </w:t>
            </w:r>
            <w:r>
              <w:rPr>
                <w:color w:val="231F20"/>
                <w:sz w:val="14"/>
              </w:rPr>
              <w:t>на</w:t>
            </w:r>
            <w:r>
              <w:rPr>
                <w:color w:val="231F20"/>
                <w:spacing w:val="-5"/>
                <w:sz w:val="14"/>
              </w:rPr>
              <w:t xml:space="preserve"> </w:t>
            </w:r>
            <w:r>
              <w:rPr>
                <w:color w:val="231F20"/>
                <w:sz w:val="14"/>
              </w:rPr>
              <w:t>који</w:t>
            </w:r>
            <w:r>
              <w:rPr>
                <w:color w:val="231F20"/>
                <w:spacing w:val="-4"/>
                <w:sz w:val="14"/>
              </w:rPr>
              <w:t xml:space="preserve"> </w:t>
            </w:r>
            <w:r>
              <w:rPr>
                <w:color w:val="231F20"/>
                <w:sz w:val="14"/>
              </w:rPr>
              <w:t>начин</w:t>
            </w:r>
            <w:r>
              <w:rPr>
                <w:color w:val="231F20"/>
                <w:spacing w:val="-4"/>
                <w:sz w:val="14"/>
              </w:rPr>
              <w:t xml:space="preserve"> </w:t>
            </w:r>
            <w:r>
              <w:rPr>
                <w:color w:val="231F20"/>
                <w:sz w:val="14"/>
              </w:rPr>
              <w:t>се</w:t>
            </w:r>
            <w:r>
              <w:rPr>
                <w:color w:val="231F20"/>
                <w:spacing w:val="-4"/>
                <w:sz w:val="14"/>
              </w:rPr>
              <w:t xml:space="preserve"> </w:t>
            </w:r>
            <w:r>
              <w:rPr>
                <w:color w:val="231F20"/>
                <w:sz w:val="14"/>
              </w:rPr>
              <w:t>штите</w:t>
            </w:r>
            <w:r>
              <w:rPr>
                <w:color w:val="231F20"/>
                <w:spacing w:val="-5"/>
                <w:sz w:val="14"/>
              </w:rPr>
              <w:t xml:space="preserve"> </w:t>
            </w:r>
            <w:r>
              <w:rPr>
                <w:color w:val="231F20"/>
                <w:sz w:val="14"/>
              </w:rPr>
              <w:t>права</w:t>
            </w:r>
            <w:r>
              <w:rPr>
                <w:color w:val="231F20"/>
                <w:spacing w:val="-4"/>
                <w:sz w:val="14"/>
              </w:rPr>
              <w:t xml:space="preserve"> </w:t>
            </w:r>
            <w:r>
              <w:rPr>
                <w:color w:val="231F20"/>
                <w:sz w:val="14"/>
              </w:rPr>
              <w:t>и слободе</w:t>
            </w:r>
            <w:r>
              <w:rPr>
                <w:color w:val="231F20"/>
                <w:spacing w:val="-1"/>
                <w:sz w:val="14"/>
              </w:rPr>
              <w:t xml:space="preserve"> </w:t>
            </w:r>
            <w:r>
              <w:rPr>
                <w:color w:val="231F20"/>
                <w:sz w:val="14"/>
              </w:rPr>
              <w:t>грађана;</w:t>
            </w:r>
          </w:p>
        </w:tc>
        <w:tc>
          <w:tcPr>
            <w:tcW w:w="2834" w:type="dxa"/>
          </w:tcPr>
          <w:p w:rsidR="00041039" w:rsidRDefault="001B26CB">
            <w:pPr>
              <w:pStyle w:val="TableParagraph"/>
              <w:numPr>
                <w:ilvl w:val="0"/>
                <w:numId w:val="1960"/>
              </w:numPr>
              <w:tabs>
                <w:tab w:val="left" w:pos="142"/>
              </w:tabs>
              <w:spacing w:before="20" w:line="161" w:lineRule="exact"/>
              <w:rPr>
                <w:sz w:val="14"/>
              </w:rPr>
            </w:pPr>
            <w:r>
              <w:rPr>
                <w:color w:val="231F20"/>
                <w:sz w:val="14"/>
              </w:rPr>
              <w:t>Појам грађанина и његове обавезе и</w:t>
            </w:r>
            <w:r>
              <w:rPr>
                <w:color w:val="231F20"/>
                <w:spacing w:val="-19"/>
                <w:sz w:val="14"/>
              </w:rPr>
              <w:t xml:space="preserve"> </w:t>
            </w:r>
            <w:r>
              <w:rPr>
                <w:color w:val="231F20"/>
                <w:sz w:val="14"/>
              </w:rPr>
              <w:t>права.</w:t>
            </w:r>
          </w:p>
          <w:p w:rsidR="00041039" w:rsidRDefault="001B26CB">
            <w:pPr>
              <w:pStyle w:val="TableParagraph"/>
              <w:numPr>
                <w:ilvl w:val="0"/>
                <w:numId w:val="1960"/>
              </w:numPr>
              <w:tabs>
                <w:tab w:val="left" w:pos="142"/>
              </w:tabs>
              <w:spacing w:line="160" w:lineRule="exact"/>
              <w:rPr>
                <w:sz w:val="14"/>
              </w:rPr>
            </w:pPr>
            <w:r>
              <w:rPr>
                <w:color w:val="231F20"/>
                <w:sz w:val="14"/>
              </w:rPr>
              <w:t>Лична права и слободе</w:t>
            </w:r>
            <w:r>
              <w:rPr>
                <w:color w:val="231F20"/>
                <w:spacing w:val="-6"/>
                <w:sz w:val="14"/>
              </w:rPr>
              <w:t xml:space="preserve"> </w:t>
            </w:r>
            <w:r>
              <w:rPr>
                <w:color w:val="231F20"/>
                <w:sz w:val="14"/>
              </w:rPr>
              <w:t>грађана.</w:t>
            </w:r>
          </w:p>
          <w:p w:rsidR="00041039" w:rsidRDefault="001B26CB">
            <w:pPr>
              <w:pStyle w:val="TableParagraph"/>
              <w:numPr>
                <w:ilvl w:val="0"/>
                <w:numId w:val="1960"/>
              </w:numPr>
              <w:tabs>
                <w:tab w:val="left" w:pos="142"/>
              </w:tabs>
              <w:spacing w:line="160" w:lineRule="exact"/>
              <w:rPr>
                <w:sz w:val="14"/>
              </w:rPr>
            </w:pPr>
            <w:r>
              <w:rPr>
                <w:color w:val="231F20"/>
                <w:sz w:val="14"/>
              </w:rPr>
              <w:t>Политичка права и слободе</w:t>
            </w:r>
            <w:r>
              <w:rPr>
                <w:color w:val="231F20"/>
                <w:spacing w:val="-7"/>
                <w:sz w:val="14"/>
              </w:rPr>
              <w:t xml:space="preserve"> </w:t>
            </w:r>
            <w:r>
              <w:rPr>
                <w:color w:val="231F20"/>
                <w:sz w:val="14"/>
              </w:rPr>
              <w:t>грађана.</w:t>
            </w:r>
          </w:p>
          <w:p w:rsidR="00041039" w:rsidRDefault="001B26CB">
            <w:pPr>
              <w:pStyle w:val="TableParagraph"/>
              <w:numPr>
                <w:ilvl w:val="0"/>
                <w:numId w:val="1960"/>
              </w:numPr>
              <w:tabs>
                <w:tab w:val="left" w:pos="142"/>
              </w:tabs>
              <w:spacing w:line="160" w:lineRule="exact"/>
              <w:rPr>
                <w:sz w:val="14"/>
              </w:rPr>
            </w:pPr>
            <w:r>
              <w:rPr>
                <w:color w:val="231F20"/>
                <w:sz w:val="14"/>
              </w:rPr>
              <w:t>Економска права и слободе</w:t>
            </w:r>
            <w:r>
              <w:rPr>
                <w:color w:val="231F20"/>
                <w:spacing w:val="-7"/>
                <w:sz w:val="14"/>
              </w:rPr>
              <w:t xml:space="preserve"> </w:t>
            </w:r>
            <w:r>
              <w:rPr>
                <w:color w:val="231F20"/>
                <w:sz w:val="14"/>
              </w:rPr>
              <w:t>грађана</w:t>
            </w:r>
          </w:p>
          <w:p w:rsidR="00041039" w:rsidRDefault="001B26CB">
            <w:pPr>
              <w:pStyle w:val="TableParagraph"/>
              <w:numPr>
                <w:ilvl w:val="0"/>
                <w:numId w:val="1960"/>
              </w:numPr>
              <w:tabs>
                <w:tab w:val="left" w:pos="142"/>
              </w:tabs>
              <w:spacing w:line="160" w:lineRule="exact"/>
              <w:rPr>
                <w:sz w:val="14"/>
              </w:rPr>
            </w:pPr>
            <w:r>
              <w:rPr>
                <w:color w:val="231F20"/>
                <w:sz w:val="14"/>
              </w:rPr>
              <w:t>Породично</w:t>
            </w:r>
            <w:r>
              <w:rPr>
                <w:color w:val="231F20"/>
                <w:spacing w:val="-1"/>
                <w:sz w:val="14"/>
              </w:rPr>
              <w:t xml:space="preserve"> </w:t>
            </w:r>
            <w:r>
              <w:rPr>
                <w:color w:val="231F20"/>
                <w:sz w:val="14"/>
              </w:rPr>
              <w:t>право.</w:t>
            </w:r>
          </w:p>
          <w:p w:rsidR="00041039" w:rsidRDefault="001B26CB">
            <w:pPr>
              <w:pStyle w:val="TableParagraph"/>
              <w:numPr>
                <w:ilvl w:val="0"/>
                <w:numId w:val="1960"/>
              </w:numPr>
              <w:tabs>
                <w:tab w:val="left" w:pos="142"/>
              </w:tabs>
              <w:spacing w:line="160" w:lineRule="exact"/>
              <w:rPr>
                <w:sz w:val="14"/>
              </w:rPr>
            </w:pPr>
            <w:r>
              <w:rPr>
                <w:color w:val="231F20"/>
                <w:sz w:val="14"/>
              </w:rPr>
              <w:t>Остала права и слободе</w:t>
            </w:r>
            <w:r>
              <w:rPr>
                <w:color w:val="231F20"/>
                <w:spacing w:val="-5"/>
                <w:sz w:val="14"/>
              </w:rPr>
              <w:t xml:space="preserve"> </w:t>
            </w:r>
            <w:r>
              <w:rPr>
                <w:color w:val="231F20"/>
                <w:sz w:val="14"/>
              </w:rPr>
              <w:t>грађана.</w:t>
            </w:r>
          </w:p>
          <w:p w:rsidR="00041039" w:rsidRDefault="001B26CB">
            <w:pPr>
              <w:pStyle w:val="TableParagraph"/>
              <w:numPr>
                <w:ilvl w:val="0"/>
                <w:numId w:val="1960"/>
              </w:numPr>
              <w:tabs>
                <w:tab w:val="left" w:pos="142"/>
              </w:tabs>
              <w:spacing w:line="159" w:lineRule="exact"/>
              <w:rPr>
                <w:sz w:val="14"/>
              </w:rPr>
            </w:pPr>
            <w:r>
              <w:rPr>
                <w:color w:val="231F20"/>
                <w:sz w:val="14"/>
              </w:rPr>
              <w:t>Заштита права и слобода</w:t>
            </w:r>
            <w:r>
              <w:rPr>
                <w:color w:val="231F20"/>
                <w:spacing w:val="-4"/>
                <w:sz w:val="14"/>
              </w:rPr>
              <w:t xml:space="preserve"> </w:t>
            </w:r>
            <w:r>
              <w:rPr>
                <w:color w:val="231F20"/>
                <w:sz w:val="14"/>
              </w:rPr>
              <w:t>грађана.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type w:val="continuous"/>
          <w:pgSz w:w="11910" w:h="15710"/>
          <w:pgMar w:top="148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1B26CB">
            <w:pPr>
              <w:pStyle w:val="TableParagraph"/>
              <w:spacing w:before="18"/>
              <w:ind w:left="56"/>
              <w:rPr>
                <w:sz w:val="14"/>
              </w:rPr>
            </w:pPr>
            <w:r>
              <w:rPr>
                <w:color w:val="231F20"/>
                <w:sz w:val="14"/>
              </w:rPr>
              <w:lastRenderedPageBreak/>
              <w:t>Култура и друштво</w:t>
            </w:r>
          </w:p>
        </w:tc>
        <w:tc>
          <w:tcPr>
            <w:tcW w:w="1587" w:type="dxa"/>
          </w:tcPr>
          <w:p w:rsidR="00041039" w:rsidRDefault="001B26CB">
            <w:pPr>
              <w:pStyle w:val="TableParagraph"/>
              <w:numPr>
                <w:ilvl w:val="0"/>
                <w:numId w:val="1959"/>
              </w:numPr>
              <w:tabs>
                <w:tab w:val="left" w:pos="157"/>
              </w:tabs>
              <w:spacing w:before="8"/>
              <w:ind w:right="44"/>
              <w:rPr>
                <w:sz w:val="14"/>
              </w:rPr>
            </w:pPr>
            <w:r>
              <w:rPr>
                <w:color w:val="231F20"/>
                <w:sz w:val="14"/>
              </w:rPr>
              <w:t xml:space="preserve">Развијање знања о </w:t>
            </w:r>
            <w:r>
              <w:rPr>
                <w:color w:val="231F20"/>
                <w:spacing w:val="-3"/>
                <w:sz w:val="14"/>
              </w:rPr>
              <w:t xml:space="preserve">кул­ </w:t>
            </w:r>
            <w:r>
              <w:rPr>
                <w:color w:val="231F20"/>
                <w:sz w:val="14"/>
              </w:rPr>
              <w:t>турним</w:t>
            </w:r>
            <w:r>
              <w:rPr>
                <w:color w:val="231F20"/>
                <w:spacing w:val="-2"/>
                <w:sz w:val="14"/>
              </w:rPr>
              <w:t xml:space="preserve"> </w:t>
            </w:r>
            <w:r>
              <w:rPr>
                <w:color w:val="231F20"/>
                <w:sz w:val="14"/>
              </w:rPr>
              <w:t>тековинама.</w:t>
            </w:r>
          </w:p>
        </w:tc>
        <w:tc>
          <w:tcPr>
            <w:tcW w:w="2551" w:type="dxa"/>
          </w:tcPr>
          <w:p w:rsidR="00041039" w:rsidRDefault="001B26CB">
            <w:pPr>
              <w:pStyle w:val="TableParagraph"/>
              <w:numPr>
                <w:ilvl w:val="0"/>
                <w:numId w:val="1958"/>
              </w:numPr>
              <w:tabs>
                <w:tab w:val="left" w:pos="157"/>
              </w:tabs>
              <w:spacing w:before="8"/>
              <w:ind w:right="380" w:hanging="99"/>
              <w:rPr>
                <w:sz w:val="14"/>
              </w:rPr>
            </w:pPr>
            <w:r>
              <w:rPr>
                <w:color w:val="231F20"/>
                <w:sz w:val="14"/>
              </w:rPr>
              <w:t>уочи разлику и сличности</w:t>
            </w:r>
            <w:r>
              <w:rPr>
                <w:color w:val="231F20"/>
                <w:spacing w:val="-11"/>
                <w:sz w:val="14"/>
              </w:rPr>
              <w:t xml:space="preserve"> </w:t>
            </w:r>
            <w:r>
              <w:rPr>
                <w:color w:val="231F20"/>
                <w:sz w:val="14"/>
              </w:rPr>
              <w:t>између културе и</w:t>
            </w:r>
            <w:r>
              <w:rPr>
                <w:color w:val="231F20"/>
                <w:spacing w:val="-4"/>
                <w:sz w:val="14"/>
              </w:rPr>
              <w:t xml:space="preserve"> </w:t>
            </w:r>
            <w:r>
              <w:rPr>
                <w:color w:val="231F20"/>
                <w:sz w:val="14"/>
              </w:rPr>
              <w:t>цивилизације;</w:t>
            </w:r>
          </w:p>
          <w:p w:rsidR="00041039" w:rsidRDefault="001B26CB">
            <w:pPr>
              <w:pStyle w:val="TableParagraph"/>
              <w:numPr>
                <w:ilvl w:val="0"/>
                <w:numId w:val="1958"/>
              </w:numPr>
              <w:tabs>
                <w:tab w:val="left" w:pos="157"/>
              </w:tabs>
              <w:spacing w:line="160" w:lineRule="exact"/>
              <w:ind w:right="44" w:hanging="99"/>
              <w:rPr>
                <w:sz w:val="14"/>
              </w:rPr>
            </w:pPr>
            <w:r>
              <w:rPr>
                <w:color w:val="231F20"/>
                <w:sz w:val="14"/>
              </w:rPr>
              <w:t>схвати настанак религије и</w:t>
            </w:r>
            <w:r>
              <w:rPr>
                <w:color w:val="231F20"/>
                <w:spacing w:val="-23"/>
                <w:sz w:val="14"/>
              </w:rPr>
              <w:t xml:space="preserve"> </w:t>
            </w:r>
            <w:r>
              <w:rPr>
                <w:color w:val="231F20"/>
                <w:sz w:val="14"/>
              </w:rPr>
              <w:t>религијског мишљења;</w:t>
            </w:r>
          </w:p>
          <w:p w:rsidR="00041039" w:rsidRDefault="001B26CB">
            <w:pPr>
              <w:pStyle w:val="TableParagraph"/>
              <w:numPr>
                <w:ilvl w:val="0"/>
                <w:numId w:val="1958"/>
              </w:numPr>
              <w:tabs>
                <w:tab w:val="left" w:pos="157"/>
              </w:tabs>
              <w:spacing w:line="160" w:lineRule="exact"/>
              <w:ind w:right="305" w:hanging="99"/>
              <w:rPr>
                <w:sz w:val="14"/>
              </w:rPr>
            </w:pPr>
            <w:r>
              <w:rPr>
                <w:color w:val="231F20"/>
                <w:sz w:val="14"/>
              </w:rPr>
              <w:t>идентификује монотеистичке религије и објасни специфичности хришћанства;</w:t>
            </w:r>
          </w:p>
          <w:p w:rsidR="00041039" w:rsidRDefault="001B26CB">
            <w:pPr>
              <w:pStyle w:val="TableParagraph"/>
              <w:numPr>
                <w:ilvl w:val="0"/>
                <w:numId w:val="1958"/>
              </w:numPr>
              <w:tabs>
                <w:tab w:val="left" w:pos="157"/>
              </w:tabs>
              <w:spacing w:line="153" w:lineRule="exact"/>
              <w:ind w:hanging="99"/>
              <w:rPr>
                <w:sz w:val="14"/>
              </w:rPr>
            </w:pPr>
            <w:r>
              <w:rPr>
                <w:color w:val="231F20"/>
                <w:sz w:val="14"/>
              </w:rPr>
              <w:t>разликује обичај и</w:t>
            </w:r>
            <w:r>
              <w:rPr>
                <w:color w:val="231F20"/>
                <w:spacing w:val="-2"/>
                <w:sz w:val="14"/>
              </w:rPr>
              <w:t xml:space="preserve"> </w:t>
            </w:r>
            <w:r>
              <w:rPr>
                <w:color w:val="231F20"/>
                <w:sz w:val="14"/>
              </w:rPr>
              <w:t>морал;</w:t>
            </w:r>
          </w:p>
          <w:p w:rsidR="00041039" w:rsidRDefault="001B26CB">
            <w:pPr>
              <w:pStyle w:val="TableParagraph"/>
              <w:numPr>
                <w:ilvl w:val="0"/>
                <w:numId w:val="1958"/>
              </w:numPr>
              <w:tabs>
                <w:tab w:val="left" w:pos="157"/>
              </w:tabs>
              <w:spacing w:line="237" w:lineRule="auto"/>
              <w:ind w:right="166" w:hanging="99"/>
              <w:rPr>
                <w:sz w:val="14"/>
              </w:rPr>
            </w:pPr>
            <w:r>
              <w:rPr>
                <w:color w:val="231F20"/>
                <w:sz w:val="14"/>
              </w:rPr>
              <w:t>схвати разлику између уметности, масовне</w:t>
            </w:r>
            <w:r>
              <w:rPr>
                <w:color w:val="231F20"/>
                <w:spacing w:val="-9"/>
                <w:sz w:val="14"/>
              </w:rPr>
              <w:t xml:space="preserve"> </w:t>
            </w:r>
            <w:r>
              <w:rPr>
                <w:color w:val="231F20"/>
                <w:sz w:val="14"/>
              </w:rPr>
              <w:t>културе,</w:t>
            </w:r>
            <w:r>
              <w:rPr>
                <w:color w:val="231F20"/>
                <w:spacing w:val="-9"/>
                <w:sz w:val="14"/>
              </w:rPr>
              <w:t xml:space="preserve"> </w:t>
            </w:r>
            <w:r>
              <w:rPr>
                <w:color w:val="231F20"/>
                <w:sz w:val="14"/>
              </w:rPr>
              <w:t>под</w:t>
            </w:r>
            <w:r>
              <w:rPr>
                <w:color w:val="231F20"/>
                <w:spacing w:val="-9"/>
                <w:sz w:val="14"/>
              </w:rPr>
              <w:t xml:space="preserve"> </w:t>
            </w:r>
            <w:r>
              <w:rPr>
                <w:color w:val="231F20"/>
                <w:sz w:val="14"/>
              </w:rPr>
              <w:t>културе,</w:t>
            </w:r>
            <w:r>
              <w:rPr>
                <w:color w:val="231F20"/>
                <w:spacing w:val="-9"/>
                <w:sz w:val="14"/>
              </w:rPr>
              <w:t xml:space="preserve"> </w:t>
            </w:r>
            <w:r>
              <w:rPr>
                <w:color w:val="231F20"/>
                <w:sz w:val="14"/>
              </w:rPr>
              <w:t>шунда и</w:t>
            </w:r>
            <w:r>
              <w:rPr>
                <w:color w:val="231F20"/>
                <w:spacing w:val="-1"/>
                <w:sz w:val="14"/>
              </w:rPr>
              <w:t xml:space="preserve"> </w:t>
            </w:r>
            <w:r>
              <w:rPr>
                <w:color w:val="231F20"/>
                <w:sz w:val="14"/>
              </w:rPr>
              <w:t>кича;</w:t>
            </w:r>
          </w:p>
        </w:tc>
        <w:tc>
          <w:tcPr>
            <w:tcW w:w="2834" w:type="dxa"/>
          </w:tcPr>
          <w:p w:rsidR="00041039" w:rsidRDefault="001B26CB">
            <w:pPr>
              <w:pStyle w:val="TableParagraph"/>
              <w:numPr>
                <w:ilvl w:val="0"/>
                <w:numId w:val="1957"/>
              </w:numPr>
              <w:tabs>
                <w:tab w:val="left" w:pos="142"/>
              </w:tabs>
              <w:spacing w:before="18" w:line="161" w:lineRule="exact"/>
              <w:rPr>
                <w:sz w:val="14"/>
              </w:rPr>
            </w:pPr>
            <w:r>
              <w:rPr>
                <w:color w:val="231F20"/>
                <w:sz w:val="14"/>
              </w:rPr>
              <w:t>Појам културе и</w:t>
            </w:r>
            <w:r>
              <w:rPr>
                <w:color w:val="231F20"/>
                <w:spacing w:val="-6"/>
                <w:sz w:val="14"/>
              </w:rPr>
              <w:t xml:space="preserve"> </w:t>
            </w:r>
            <w:r>
              <w:rPr>
                <w:color w:val="231F20"/>
                <w:sz w:val="14"/>
              </w:rPr>
              <w:t>цивилизације.</w:t>
            </w:r>
          </w:p>
          <w:p w:rsidR="00041039" w:rsidRDefault="001B26CB">
            <w:pPr>
              <w:pStyle w:val="TableParagraph"/>
              <w:numPr>
                <w:ilvl w:val="0"/>
                <w:numId w:val="1957"/>
              </w:numPr>
              <w:tabs>
                <w:tab w:val="left" w:pos="142"/>
              </w:tabs>
              <w:spacing w:line="160" w:lineRule="exact"/>
              <w:rPr>
                <w:sz w:val="14"/>
              </w:rPr>
            </w:pPr>
            <w:r>
              <w:rPr>
                <w:color w:val="231F20"/>
                <w:sz w:val="14"/>
              </w:rPr>
              <w:t>Религија.</w:t>
            </w:r>
          </w:p>
          <w:p w:rsidR="00041039" w:rsidRDefault="001B26CB">
            <w:pPr>
              <w:pStyle w:val="TableParagraph"/>
              <w:numPr>
                <w:ilvl w:val="0"/>
                <w:numId w:val="1957"/>
              </w:numPr>
              <w:tabs>
                <w:tab w:val="left" w:pos="142"/>
              </w:tabs>
              <w:spacing w:line="160" w:lineRule="exact"/>
              <w:rPr>
                <w:sz w:val="14"/>
              </w:rPr>
            </w:pPr>
            <w:r>
              <w:rPr>
                <w:color w:val="231F20"/>
                <w:sz w:val="14"/>
              </w:rPr>
              <w:t>Настанак религијског</w:t>
            </w:r>
            <w:r>
              <w:rPr>
                <w:color w:val="231F20"/>
                <w:spacing w:val="-1"/>
                <w:sz w:val="14"/>
              </w:rPr>
              <w:t xml:space="preserve"> </w:t>
            </w:r>
            <w:r>
              <w:rPr>
                <w:color w:val="231F20"/>
                <w:sz w:val="14"/>
              </w:rPr>
              <w:t>мишљења.</w:t>
            </w:r>
          </w:p>
          <w:p w:rsidR="00041039" w:rsidRDefault="001B26CB">
            <w:pPr>
              <w:pStyle w:val="TableParagraph"/>
              <w:numPr>
                <w:ilvl w:val="0"/>
                <w:numId w:val="1957"/>
              </w:numPr>
              <w:tabs>
                <w:tab w:val="left" w:pos="142"/>
              </w:tabs>
              <w:spacing w:line="160" w:lineRule="exact"/>
              <w:rPr>
                <w:sz w:val="14"/>
              </w:rPr>
            </w:pPr>
            <w:r>
              <w:rPr>
                <w:color w:val="231F20"/>
                <w:sz w:val="14"/>
              </w:rPr>
              <w:t>Монотеистичке</w:t>
            </w:r>
            <w:r>
              <w:rPr>
                <w:color w:val="231F20"/>
                <w:spacing w:val="-1"/>
                <w:sz w:val="14"/>
              </w:rPr>
              <w:t xml:space="preserve"> </w:t>
            </w:r>
            <w:r>
              <w:rPr>
                <w:color w:val="231F20"/>
                <w:sz w:val="14"/>
              </w:rPr>
              <w:t>религије.</w:t>
            </w:r>
          </w:p>
          <w:p w:rsidR="00041039" w:rsidRDefault="001B26CB">
            <w:pPr>
              <w:pStyle w:val="TableParagraph"/>
              <w:numPr>
                <w:ilvl w:val="0"/>
                <w:numId w:val="1957"/>
              </w:numPr>
              <w:tabs>
                <w:tab w:val="left" w:pos="142"/>
              </w:tabs>
              <w:spacing w:line="160" w:lineRule="exact"/>
              <w:rPr>
                <w:sz w:val="14"/>
              </w:rPr>
            </w:pPr>
            <w:r>
              <w:rPr>
                <w:color w:val="231F20"/>
                <w:sz w:val="14"/>
              </w:rPr>
              <w:t>Хришћанство.</w:t>
            </w:r>
          </w:p>
          <w:p w:rsidR="00041039" w:rsidRDefault="001B26CB">
            <w:pPr>
              <w:pStyle w:val="TableParagraph"/>
              <w:numPr>
                <w:ilvl w:val="0"/>
                <w:numId w:val="1957"/>
              </w:numPr>
              <w:tabs>
                <w:tab w:val="left" w:pos="142"/>
              </w:tabs>
              <w:spacing w:line="160" w:lineRule="exact"/>
              <w:rPr>
                <w:sz w:val="14"/>
              </w:rPr>
            </w:pPr>
            <w:r>
              <w:rPr>
                <w:color w:val="231F20"/>
                <w:sz w:val="14"/>
              </w:rPr>
              <w:t>Обичај и</w:t>
            </w:r>
            <w:r>
              <w:rPr>
                <w:color w:val="231F20"/>
                <w:spacing w:val="-3"/>
                <w:sz w:val="14"/>
              </w:rPr>
              <w:t xml:space="preserve"> </w:t>
            </w:r>
            <w:r>
              <w:rPr>
                <w:color w:val="231F20"/>
                <w:sz w:val="14"/>
              </w:rPr>
              <w:t>морал.</w:t>
            </w:r>
          </w:p>
          <w:p w:rsidR="00041039" w:rsidRDefault="001B26CB">
            <w:pPr>
              <w:pStyle w:val="TableParagraph"/>
              <w:numPr>
                <w:ilvl w:val="0"/>
                <w:numId w:val="1957"/>
              </w:numPr>
              <w:tabs>
                <w:tab w:val="left" w:pos="142"/>
              </w:tabs>
              <w:spacing w:line="160" w:lineRule="exact"/>
              <w:rPr>
                <w:sz w:val="14"/>
              </w:rPr>
            </w:pPr>
            <w:r>
              <w:rPr>
                <w:color w:val="231F20"/>
                <w:spacing w:val="-3"/>
                <w:sz w:val="14"/>
              </w:rPr>
              <w:t>Уметност.</w:t>
            </w:r>
          </w:p>
          <w:p w:rsidR="00041039" w:rsidRDefault="001B26CB">
            <w:pPr>
              <w:pStyle w:val="TableParagraph"/>
              <w:numPr>
                <w:ilvl w:val="0"/>
                <w:numId w:val="1957"/>
              </w:numPr>
              <w:tabs>
                <w:tab w:val="left" w:pos="142"/>
              </w:tabs>
              <w:spacing w:line="161" w:lineRule="exact"/>
              <w:rPr>
                <w:sz w:val="14"/>
              </w:rPr>
            </w:pPr>
            <w:r>
              <w:rPr>
                <w:color w:val="231F20"/>
                <w:sz w:val="14"/>
              </w:rPr>
              <w:t>Масовна</w:t>
            </w:r>
            <w:r>
              <w:rPr>
                <w:color w:val="231F20"/>
                <w:spacing w:val="-2"/>
                <w:sz w:val="14"/>
              </w:rPr>
              <w:t xml:space="preserve"> </w:t>
            </w:r>
            <w:r>
              <w:rPr>
                <w:color w:val="231F20"/>
                <w:sz w:val="14"/>
              </w:rPr>
              <w:t>култура.</w:t>
            </w:r>
          </w:p>
        </w:tc>
        <w:tc>
          <w:tcPr>
            <w:tcW w:w="2267" w:type="dxa"/>
            <w:vMerge w:val="restart"/>
          </w:tcPr>
          <w:p w:rsidR="00041039" w:rsidRDefault="00041039">
            <w:pPr>
              <w:pStyle w:val="TableParagraph"/>
              <w:ind w:left="0"/>
              <w:rPr>
                <w:sz w:val="14"/>
              </w:rPr>
            </w:pPr>
          </w:p>
        </w:tc>
      </w:tr>
      <w:tr w:rsidR="00041039">
        <w:trPr>
          <w:trHeight w:val="1640"/>
        </w:trPr>
        <w:tc>
          <w:tcPr>
            <w:tcW w:w="1304" w:type="dxa"/>
          </w:tcPr>
          <w:p w:rsidR="00041039" w:rsidRDefault="001B26CB">
            <w:pPr>
              <w:pStyle w:val="TableParagraph"/>
              <w:spacing w:before="18"/>
              <w:ind w:left="56" w:right="17"/>
              <w:rPr>
                <w:sz w:val="14"/>
              </w:rPr>
            </w:pPr>
            <w:r>
              <w:rPr>
                <w:color w:val="231F20"/>
                <w:sz w:val="14"/>
              </w:rPr>
              <w:t>Друштвене проме­ не и развој друштва</w:t>
            </w:r>
          </w:p>
        </w:tc>
        <w:tc>
          <w:tcPr>
            <w:tcW w:w="1587" w:type="dxa"/>
          </w:tcPr>
          <w:p w:rsidR="00041039" w:rsidRDefault="001B26CB">
            <w:pPr>
              <w:pStyle w:val="TableParagraph"/>
              <w:numPr>
                <w:ilvl w:val="0"/>
                <w:numId w:val="1956"/>
              </w:numPr>
              <w:tabs>
                <w:tab w:val="left" w:pos="157"/>
              </w:tabs>
              <w:spacing w:before="8"/>
              <w:ind w:right="119"/>
              <w:rPr>
                <w:sz w:val="14"/>
              </w:rPr>
            </w:pPr>
            <w:r>
              <w:rPr>
                <w:color w:val="231F20"/>
                <w:sz w:val="14"/>
              </w:rPr>
              <w:t>Оспособљавање за живот у друштву изложеном сталним променама и</w:t>
            </w:r>
            <w:r>
              <w:rPr>
                <w:color w:val="231F20"/>
                <w:spacing w:val="-10"/>
                <w:sz w:val="14"/>
              </w:rPr>
              <w:t xml:space="preserve"> </w:t>
            </w:r>
            <w:r>
              <w:rPr>
                <w:color w:val="231F20"/>
                <w:sz w:val="14"/>
              </w:rPr>
              <w:t>изазови­ ма које доноси развој савременог</w:t>
            </w:r>
            <w:r>
              <w:rPr>
                <w:color w:val="231F20"/>
                <w:spacing w:val="-2"/>
                <w:sz w:val="14"/>
              </w:rPr>
              <w:t xml:space="preserve"> </w:t>
            </w:r>
            <w:r>
              <w:rPr>
                <w:color w:val="231F20"/>
                <w:sz w:val="14"/>
              </w:rPr>
              <w:t>друштва.</w:t>
            </w:r>
          </w:p>
          <w:p w:rsidR="00041039" w:rsidRDefault="001B26CB">
            <w:pPr>
              <w:pStyle w:val="TableParagraph"/>
              <w:numPr>
                <w:ilvl w:val="0"/>
                <w:numId w:val="1956"/>
              </w:numPr>
              <w:tabs>
                <w:tab w:val="left" w:pos="157"/>
              </w:tabs>
              <w:spacing w:line="154"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80"/>
              <w:rPr>
                <w:sz w:val="14"/>
              </w:rPr>
            </w:pPr>
            <w:r>
              <w:rPr>
                <w:color w:val="231F20"/>
                <w:sz w:val="14"/>
              </w:rPr>
              <w:t>хоризонталној и вер­ тикалној покретљиво­ сти друштва.</w:t>
            </w:r>
          </w:p>
        </w:tc>
        <w:tc>
          <w:tcPr>
            <w:tcW w:w="2551" w:type="dxa"/>
          </w:tcPr>
          <w:p w:rsidR="00041039" w:rsidRDefault="001B26CB">
            <w:pPr>
              <w:pStyle w:val="TableParagraph"/>
              <w:numPr>
                <w:ilvl w:val="0"/>
                <w:numId w:val="1955"/>
              </w:numPr>
              <w:tabs>
                <w:tab w:val="left" w:pos="157"/>
              </w:tabs>
              <w:spacing w:before="8" w:line="166" w:lineRule="exact"/>
              <w:ind w:hanging="99"/>
              <w:rPr>
                <w:sz w:val="14"/>
              </w:rPr>
            </w:pPr>
            <w:r>
              <w:rPr>
                <w:color w:val="231F20"/>
                <w:sz w:val="14"/>
              </w:rPr>
              <w:t>идентификује друштвене</w:t>
            </w:r>
            <w:r>
              <w:rPr>
                <w:color w:val="231F20"/>
                <w:spacing w:val="-4"/>
                <w:sz w:val="14"/>
              </w:rPr>
              <w:t xml:space="preserve"> </w:t>
            </w:r>
            <w:r>
              <w:rPr>
                <w:color w:val="231F20"/>
                <w:sz w:val="14"/>
              </w:rPr>
              <w:t>промене;</w:t>
            </w:r>
          </w:p>
          <w:p w:rsidR="00041039" w:rsidRDefault="001B26CB">
            <w:pPr>
              <w:pStyle w:val="TableParagraph"/>
              <w:numPr>
                <w:ilvl w:val="0"/>
                <w:numId w:val="1955"/>
              </w:numPr>
              <w:tabs>
                <w:tab w:val="left" w:pos="157"/>
              </w:tabs>
              <w:spacing w:line="237" w:lineRule="auto"/>
              <w:ind w:right="155" w:hanging="99"/>
              <w:rPr>
                <w:sz w:val="14"/>
              </w:rPr>
            </w:pPr>
            <w:r>
              <w:rPr>
                <w:color w:val="231F20"/>
                <w:sz w:val="14"/>
              </w:rPr>
              <w:t>зна основне карактеристике</w:t>
            </w:r>
            <w:r>
              <w:rPr>
                <w:color w:val="231F20"/>
                <w:spacing w:val="-15"/>
                <w:sz w:val="14"/>
              </w:rPr>
              <w:t xml:space="preserve"> </w:t>
            </w:r>
            <w:r>
              <w:rPr>
                <w:color w:val="231F20"/>
                <w:sz w:val="14"/>
              </w:rPr>
              <w:t>хоризон­ талне и вертикалне</w:t>
            </w:r>
            <w:r>
              <w:rPr>
                <w:color w:val="231F20"/>
                <w:spacing w:val="-10"/>
                <w:sz w:val="14"/>
              </w:rPr>
              <w:t xml:space="preserve"> </w:t>
            </w:r>
            <w:r>
              <w:rPr>
                <w:color w:val="231F20"/>
                <w:sz w:val="14"/>
              </w:rPr>
              <w:t>покретљивости;</w:t>
            </w:r>
          </w:p>
          <w:p w:rsidR="00041039" w:rsidRDefault="001B26CB">
            <w:pPr>
              <w:pStyle w:val="TableParagraph"/>
              <w:numPr>
                <w:ilvl w:val="0"/>
                <w:numId w:val="1955"/>
              </w:numPr>
              <w:tabs>
                <w:tab w:val="left" w:pos="157"/>
              </w:tabs>
              <w:spacing w:line="155" w:lineRule="exact"/>
              <w:ind w:hanging="99"/>
              <w:rPr>
                <w:sz w:val="14"/>
              </w:rPr>
            </w:pPr>
            <w:r>
              <w:rPr>
                <w:color w:val="231F20"/>
                <w:sz w:val="14"/>
              </w:rPr>
              <w:t>препозна друштвени</w:t>
            </w:r>
            <w:r>
              <w:rPr>
                <w:color w:val="231F20"/>
                <w:spacing w:val="-2"/>
                <w:sz w:val="14"/>
              </w:rPr>
              <w:t xml:space="preserve"> </w:t>
            </w:r>
            <w:r>
              <w:rPr>
                <w:color w:val="231F20"/>
                <w:sz w:val="14"/>
              </w:rPr>
              <w:t>развој;</w:t>
            </w:r>
          </w:p>
          <w:p w:rsidR="00041039" w:rsidRDefault="001B26CB">
            <w:pPr>
              <w:pStyle w:val="TableParagraph"/>
              <w:numPr>
                <w:ilvl w:val="0"/>
                <w:numId w:val="1955"/>
              </w:numPr>
              <w:tabs>
                <w:tab w:val="left" w:pos="157"/>
              </w:tabs>
              <w:spacing w:line="237" w:lineRule="auto"/>
              <w:ind w:right="371" w:hanging="99"/>
              <w:rPr>
                <w:sz w:val="14"/>
              </w:rPr>
            </w:pPr>
            <w:r>
              <w:rPr>
                <w:color w:val="231F20"/>
                <w:sz w:val="14"/>
              </w:rPr>
              <w:t>формира став према савременим тенденцијама у развоју</w:t>
            </w:r>
            <w:r>
              <w:rPr>
                <w:color w:val="231F20"/>
                <w:spacing w:val="-15"/>
                <w:sz w:val="14"/>
              </w:rPr>
              <w:t xml:space="preserve"> </w:t>
            </w:r>
            <w:r>
              <w:rPr>
                <w:color w:val="231F20"/>
                <w:sz w:val="14"/>
              </w:rPr>
              <w:t>глобалног друштва;</w:t>
            </w:r>
          </w:p>
        </w:tc>
        <w:tc>
          <w:tcPr>
            <w:tcW w:w="2834" w:type="dxa"/>
          </w:tcPr>
          <w:p w:rsidR="00041039" w:rsidRDefault="001B26CB">
            <w:pPr>
              <w:pStyle w:val="TableParagraph"/>
              <w:numPr>
                <w:ilvl w:val="0"/>
                <w:numId w:val="1954"/>
              </w:numPr>
              <w:tabs>
                <w:tab w:val="left" w:pos="157"/>
              </w:tabs>
              <w:spacing w:before="8" w:line="166" w:lineRule="exact"/>
              <w:ind w:hanging="99"/>
              <w:rPr>
                <w:sz w:val="14"/>
              </w:rPr>
            </w:pPr>
            <w:r>
              <w:rPr>
                <w:color w:val="231F20"/>
                <w:sz w:val="14"/>
              </w:rPr>
              <w:t>Појам и врсте друштвених</w:t>
            </w:r>
            <w:r>
              <w:rPr>
                <w:color w:val="231F20"/>
                <w:spacing w:val="-7"/>
                <w:sz w:val="14"/>
              </w:rPr>
              <w:t xml:space="preserve"> </w:t>
            </w:r>
            <w:r>
              <w:rPr>
                <w:color w:val="231F20"/>
                <w:sz w:val="14"/>
              </w:rPr>
              <w:t>промена.</w:t>
            </w:r>
          </w:p>
          <w:p w:rsidR="00041039" w:rsidRDefault="001B26CB">
            <w:pPr>
              <w:pStyle w:val="TableParagraph"/>
              <w:numPr>
                <w:ilvl w:val="0"/>
                <w:numId w:val="1954"/>
              </w:numPr>
              <w:tabs>
                <w:tab w:val="left" w:pos="157"/>
              </w:tabs>
              <w:spacing w:line="160" w:lineRule="exact"/>
              <w:ind w:hanging="99"/>
              <w:rPr>
                <w:sz w:val="14"/>
              </w:rPr>
            </w:pPr>
            <w:r>
              <w:rPr>
                <w:color w:val="231F20"/>
                <w:sz w:val="14"/>
              </w:rPr>
              <w:t>Друштвена</w:t>
            </w:r>
            <w:r>
              <w:rPr>
                <w:color w:val="231F20"/>
                <w:spacing w:val="-1"/>
                <w:sz w:val="14"/>
              </w:rPr>
              <w:t xml:space="preserve"> </w:t>
            </w:r>
            <w:r>
              <w:rPr>
                <w:color w:val="231F20"/>
                <w:sz w:val="14"/>
              </w:rPr>
              <w:t>покретљивост.</w:t>
            </w:r>
          </w:p>
          <w:p w:rsidR="00041039" w:rsidRDefault="001B26CB">
            <w:pPr>
              <w:pStyle w:val="TableParagraph"/>
              <w:numPr>
                <w:ilvl w:val="0"/>
                <w:numId w:val="1954"/>
              </w:numPr>
              <w:tabs>
                <w:tab w:val="left" w:pos="157"/>
              </w:tabs>
              <w:spacing w:line="166" w:lineRule="exact"/>
              <w:ind w:hanging="99"/>
              <w:rPr>
                <w:sz w:val="14"/>
              </w:rPr>
            </w:pPr>
            <w:r>
              <w:rPr>
                <w:color w:val="231F20"/>
                <w:sz w:val="14"/>
              </w:rPr>
              <w:t>Друштвени</w:t>
            </w:r>
            <w:r>
              <w:rPr>
                <w:color w:val="231F20"/>
                <w:spacing w:val="-1"/>
                <w:sz w:val="14"/>
              </w:rPr>
              <w:t xml:space="preserve"> </w:t>
            </w:r>
            <w:r>
              <w:rPr>
                <w:color w:val="231F20"/>
                <w:sz w:val="14"/>
              </w:rPr>
              <w:t>развој.</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Историја</w:t>
      </w:r>
    </w:p>
    <w:p w:rsidR="00041039" w:rsidRDefault="001B26CB">
      <w:pPr>
        <w:pStyle w:val="ListParagraph"/>
        <w:numPr>
          <w:ilvl w:val="0"/>
          <w:numId w:val="3"/>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3"/>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spacing w:before="163"/>
        <w:ind w:left="2815"/>
        <w:rPr>
          <w:b/>
          <w:sz w:val="18"/>
        </w:rPr>
      </w:pPr>
      <w:r>
        <w:rPr>
          <w:b/>
          <w:color w:val="231F20"/>
          <w:sz w:val="18"/>
        </w:rPr>
        <w:t>Б: ИЗБОРНИ ОБАВЕЗНИ ОПШТЕОБРАЗОВНИ ПРЕДМЕТИ</w:t>
      </w:r>
    </w:p>
    <w:p w:rsidR="00041039" w:rsidRDefault="00041039">
      <w:pPr>
        <w:pStyle w:val="BodyText"/>
        <w:spacing w:before="11"/>
        <w:rPr>
          <w:b/>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pStyle w:val="BodyText"/>
        <w:spacing w:before="50"/>
        <w:ind w:left="1565" w:hanging="1409"/>
      </w:pPr>
      <w:r>
        <w:rPr>
          <w:color w:val="231F20"/>
        </w:rPr>
        <w:t>Циљеви предмета: – Стицање знања, развијање вештина, усвајање вредности и формирање ставова који су претпоставка за успешан, одговоран и ангажован живот у демократском друштву;</w:t>
      </w:r>
    </w:p>
    <w:p w:rsidR="00041039" w:rsidRDefault="001B26CB">
      <w:pPr>
        <w:pStyle w:val="ListParagraph"/>
        <w:numPr>
          <w:ilvl w:val="1"/>
          <w:numId w:val="3"/>
        </w:numPr>
        <w:tabs>
          <w:tab w:val="left" w:pos="1566"/>
        </w:tabs>
        <w:spacing w:line="159" w:lineRule="exact"/>
        <w:rPr>
          <w:sz w:val="14"/>
        </w:rPr>
      </w:pPr>
      <w:r>
        <w:rPr>
          <w:color w:val="231F20"/>
          <w:sz w:val="14"/>
        </w:rPr>
        <w:t>Оснаживање ученика за поштовање, одбрану и афирмацију вредности демократског</w:t>
      </w:r>
      <w:r>
        <w:rPr>
          <w:color w:val="231F20"/>
          <w:spacing w:val="-6"/>
          <w:sz w:val="14"/>
        </w:rPr>
        <w:t xml:space="preserve"> </w:t>
      </w:r>
      <w:r>
        <w:rPr>
          <w:color w:val="231F20"/>
          <w:sz w:val="14"/>
        </w:rPr>
        <w:t>др</w:t>
      </w:r>
      <w:r>
        <w:rPr>
          <w:color w:val="231F20"/>
          <w:sz w:val="14"/>
        </w:rPr>
        <w:t>уштва;</w:t>
      </w:r>
    </w:p>
    <w:p w:rsidR="00041039" w:rsidRDefault="001B26CB">
      <w:pPr>
        <w:pStyle w:val="ListParagraph"/>
        <w:numPr>
          <w:ilvl w:val="1"/>
          <w:numId w:val="3"/>
        </w:numPr>
        <w:tabs>
          <w:tab w:val="left" w:pos="1566"/>
        </w:tabs>
        <w:spacing w:line="161" w:lineRule="exact"/>
        <w:rPr>
          <w:sz w:val="14"/>
        </w:rPr>
      </w:pPr>
      <w:r>
        <w:rPr>
          <w:color w:val="231F20"/>
          <w:sz w:val="14"/>
        </w:rPr>
        <w:t xml:space="preserve">Јачање друштвене </w:t>
      </w:r>
      <w:r>
        <w:rPr>
          <w:color w:val="231F20"/>
          <w:spacing w:val="-3"/>
          <w:sz w:val="14"/>
        </w:rPr>
        <w:t xml:space="preserve">кохезије, </w:t>
      </w:r>
      <w:r>
        <w:rPr>
          <w:color w:val="231F20"/>
          <w:sz w:val="14"/>
        </w:rPr>
        <w:t>уважавање различитости и подршка сузбијању сваког облика дискриминације и</w:t>
      </w:r>
      <w:r>
        <w:rPr>
          <w:color w:val="231F20"/>
          <w:spacing w:val="-7"/>
          <w:sz w:val="14"/>
        </w:rPr>
        <w:t xml:space="preserve"> </w:t>
      </w:r>
      <w:r>
        <w:rPr>
          <w:color w:val="231F20"/>
          <w:sz w:val="14"/>
        </w:rPr>
        <w:t>насиља.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0" w:right="430"/>
              <w:jc w:val="right"/>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0" w:right="398"/>
              <w:jc w:val="right"/>
              <w:rPr>
                <w:sz w:val="14"/>
              </w:rPr>
            </w:pPr>
            <w:r>
              <w:rPr>
                <w:color w:val="231F20"/>
                <w:sz w:val="14"/>
              </w:rPr>
              <w:t>Ја, ми и други</w:t>
            </w:r>
          </w:p>
        </w:tc>
        <w:tc>
          <w:tcPr>
            <w:tcW w:w="1587" w:type="dxa"/>
          </w:tcPr>
          <w:p w:rsidR="00041039" w:rsidRDefault="001B26CB">
            <w:pPr>
              <w:pStyle w:val="TableParagraph"/>
              <w:numPr>
                <w:ilvl w:val="0"/>
                <w:numId w:val="1953"/>
              </w:numPr>
              <w:tabs>
                <w:tab w:val="left" w:pos="157"/>
              </w:tabs>
              <w:spacing w:before="8"/>
              <w:ind w:right="120"/>
              <w:rPr>
                <w:sz w:val="14"/>
              </w:rPr>
            </w:pPr>
            <w:r>
              <w:rPr>
                <w:color w:val="231F20"/>
                <w:sz w:val="14"/>
              </w:rPr>
              <w:t>Подстицање ученика на међусобно упозна­ вање.</w:t>
            </w:r>
          </w:p>
          <w:p w:rsidR="00041039" w:rsidRDefault="001B26CB">
            <w:pPr>
              <w:pStyle w:val="TableParagraph"/>
              <w:numPr>
                <w:ilvl w:val="0"/>
                <w:numId w:val="1953"/>
              </w:numPr>
              <w:tabs>
                <w:tab w:val="left" w:pos="157"/>
              </w:tabs>
              <w:spacing w:line="157" w:lineRule="exact"/>
              <w:rPr>
                <w:sz w:val="14"/>
              </w:rPr>
            </w:pPr>
            <w:r>
              <w:rPr>
                <w:color w:val="231F20"/>
                <w:sz w:val="14"/>
              </w:rPr>
              <w:t>Подстицање</w:t>
            </w:r>
            <w:r>
              <w:rPr>
                <w:color w:val="231F20"/>
                <w:spacing w:val="-2"/>
                <w:sz w:val="14"/>
              </w:rPr>
              <w:t xml:space="preserve"> </w:t>
            </w:r>
            <w:r>
              <w:rPr>
                <w:color w:val="231F20"/>
                <w:sz w:val="14"/>
              </w:rPr>
              <w:t>ученика</w:t>
            </w:r>
          </w:p>
          <w:p w:rsidR="00041039" w:rsidRDefault="001B26CB">
            <w:pPr>
              <w:pStyle w:val="TableParagraph"/>
              <w:ind w:right="246"/>
              <w:jc w:val="both"/>
              <w:rPr>
                <w:sz w:val="14"/>
              </w:rPr>
            </w:pPr>
            <w:r>
              <w:rPr>
                <w:color w:val="231F20"/>
                <w:sz w:val="14"/>
              </w:rPr>
              <w:t>да сагледају међу­ собне сличности и разлике и уваже</w:t>
            </w:r>
            <w:r>
              <w:rPr>
                <w:color w:val="231F20"/>
                <w:spacing w:val="-12"/>
                <w:sz w:val="14"/>
              </w:rPr>
              <w:t xml:space="preserve"> </w:t>
            </w:r>
            <w:r>
              <w:rPr>
                <w:color w:val="231F20"/>
                <w:sz w:val="14"/>
              </w:rPr>
              <w:t>их.</w:t>
            </w:r>
          </w:p>
          <w:p w:rsidR="00041039" w:rsidRDefault="001B26CB">
            <w:pPr>
              <w:pStyle w:val="TableParagraph"/>
              <w:numPr>
                <w:ilvl w:val="0"/>
                <w:numId w:val="1953"/>
              </w:numPr>
              <w:tabs>
                <w:tab w:val="left" w:pos="157"/>
              </w:tabs>
              <w:spacing w:line="158" w:lineRule="exact"/>
              <w:rPr>
                <w:sz w:val="14"/>
              </w:rPr>
            </w:pPr>
            <w:r>
              <w:rPr>
                <w:color w:val="231F20"/>
                <w:sz w:val="14"/>
              </w:rPr>
              <w:t>Развој</w:t>
            </w:r>
            <w:r>
              <w:rPr>
                <w:color w:val="231F20"/>
                <w:spacing w:val="-17"/>
                <w:sz w:val="14"/>
              </w:rPr>
              <w:t xml:space="preserve"> </w:t>
            </w:r>
            <w:r>
              <w:rPr>
                <w:color w:val="231F20"/>
                <w:sz w:val="14"/>
              </w:rPr>
              <w:t>негативног</w:t>
            </w:r>
          </w:p>
          <w:p w:rsidR="00041039" w:rsidRDefault="001B26CB">
            <w:pPr>
              <w:pStyle w:val="TableParagraph"/>
              <w:ind w:right="15"/>
              <w:rPr>
                <w:sz w:val="14"/>
              </w:rPr>
            </w:pPr>
            <w:r>
              <w:rPr>
                <w:color w:val="231F20"/>
                <w:sz w:val="14"/>
              </w:rPr>
              <w:t>става према било ком облику дискримина­ ције.</w:t>
            </w:r>
          </w:p>
        </w:tc>
        <w:tc>
          <w:tcPr>
            <w:tcW w:w="2551" w:type="dxa"/>
          </w:tcPr>
          <w:p w:rsidR="00041039" w:rsidRDefault="001B26CB">
            <w:pPr>
              <w:pStyle w:val="TableParagraph"/>
              <w:numPr>
                <w:ilvl w:val="0"/>
                <w:numId w:val="1952"/>
              </w:numPr>
              <w:tabs>
                <w:tab w:val="left" w:pos="157"/>
              </w:tabs>
              <w:spacing w:before="8"/>
              <w:ind w:right="101" w:hanging="99"/>
              <w:rPr>
                <w:sz w:val="14"/>
              </w:rPr>
            </w:pPr>
            <w:r>
              <w:rPr>
                <w:color w:val="231F20"/>
                <w:sz w:val="14"/>
              </w:rPr>
              <w:t>анализира своје особине и да их пред­ стави</w:t>
            </w:r>
            <w:r>
              <w:rPr>
                <w:color w:val="231F20"/>
                <w:spacing w:val="-1"/>
                <w:sz w:val="14"/>
              </w:rPr>
              <w:t xml:space="preserve"> </w:t>
            </w:r>
            <w:r>
              <w:rPr>
                <w:color w:val="231F20"/>
                <w:sz w:val="14"/>
              </w:rPr>
              <w:t>другима;</w:t>
            </w:r>
          </w:p>
          <w:p w:rsidR="00041039" w:rsidRDefault="001B26CB">
            <w:pPr>
              <w:pStyle w:val="TableParagraph"/>
              <w:numPr>
                <w:ilvl w:val="0"/>
                <w:numId w:val="1952"/>
              </w:numPr>
              <w:tabs>
                <w:tab w:val="left" w:pos="157"/>
              </w:tabs>
              <w:spacing w:line="160" w:lineRule="exact"/>
              <w:ind w:right="391" w:hanging="99"/>
              <w:rPr>
                <w:sz w:val="14"/>
              </w:rPr>
            </w:pPr>
            <w:r>
              <w:rPr>
                <w:color w:val="231F20"/>
                <w:sz w:val="14"/>
              </w:rPr>
              <w:t>препозна, анализира сличности и разлике унутар</w:t>
            </w:r>
            <w:r>
              <w:rPr>
                <w:color w:val="231F20"/>
                <w:spacing w:val="-1"/>
                <w:sz w:val="14"/>
              </w:rPr>
              <w:t xml:space="preserve"> </w:t>
            </w:r>
            <w:r>
              <w:rPr>
                <w:color w:val="231F20"/>
                <w:sz w:val="14"/>
              </w:rPr>
              <w:t>групе;</w:t>
            </w:r>
          </w:p>
          <w:p w:rsidR="00041039" w:rsidRDefault="001B26CB">
            <w:pPr>
              <w:pStyle w:val="TableParagraph"/>
              <w:numPr>
                <w:ilvl w:val="0"/>
                <w:numId w:val="1952"/>
              </w:numPr>
              <w:tabs>
                <w:tab w:val="left" w:pos="157"/>
              </w:tabs>
              <w:spacing w:line="160" w:lineRule="exact"/>
              <w:ind w:right="51" w:hanging="99"/>
              <w:rPr>
                <w:sz w:val="14"/>
              </w:rPr>
            </w:pPr>
            <w:r>
              <w:rPr>
                <w:color w:val="231F20"/>
                <w:sz w:val="14"/>
              </w:rPr>
              <w:t>прихвати</w:t>
            </w:r>
            <w:r>
              <w:rPr>
                <w:color w:val="231F20"/>
                <w:spacing w:val="-6"/>
                <w:sz w:val="14"/>
              </w:rPr>
              <w:t xml:space="preserve"> </w:t>
            </w:r>
            <w:r>
              <w:rPr>
                <w:color w:val="231F20"/>
                <w:sz w:val="14"/>
              </w:rPr>
              <w:t>друге</w:t>
            </w:r>
            <w:r>
              <w:rPr>
                <w:color w:val="231F20"/>
                <w:spacing w:val="-6"/>
                <w:sz w:val="14"/>
              </w:rPr>
              <w:t xml:space="preserve"> </w:t>
            </w:r>
            <w:r>
              <w:rPr>
                <w:color w:val="231F20"/>
                <w:sz w:val="14"/>
              </w:rPr>
              <w:t>ученике</w:t>
            </w:r>
            <w:r>
              <w:rPr>
                <w:color w:val="231F20"/>
                <w:spacing w:val="-6"/>
                <w:sz w:val="14"/>
              </w:rPr>
              <w:t xml:space="preserve"> </w:t>
            </w:r>
            <w:r>
              <w:rPr>
                <w:color w:val="231F20"/>
                <w:sz w:val="14"/>
              </w:rPr>
              <w:t>и</w:t>
            </w:r>
            <w:r>
              <w:rPr>
                <w:color w:val="231F20"/>
                <w:spacing w:val="-7"/>
                <w:sz w:val="14"/>
              </w:rPr>
              <w:t xml:space="preserve"> </w:t>
            </w:r>
            <w:r>
              <w:rPr>
                <w:color w:val="231F20"/>
                <w:sz w:val="14"/>
              </w:rPr>
              <w:t>уважи</w:t>
            </w:r>
            <w:r>
              <w:rPr>
                <w:color w:val="231F20"/>
                <w:spacing w:val="-6"/>
                <w:sz w:val="14"/>
              </w:rPr>
              <w:t xml:space="preserve"> </w:t>
            </w:r>
            <w:r>
              <w:rPr>
                <w:color w:val="231F20"/>
                <w:sz w:val="14"/>
              </w:rPr>
              <w:t xml:space="preserve">њихо­ </w:t>
            </w:r>
            <w:r>
              <w:rPr>
                <w:color w:val="231F20"/>
                <w:spacing w:val="-3"/>
                <w:sz w:val="14"/>
              </w:rPr>
              <w:t>ву</w:t>
            </w:r>
            <w:r>
              <w:rPr>
                <w:color w:val="231F20"/>
                <w:sz w:val="14"/>
              </w:rPr>
              <w:t xml:space="preserve"> различитост;</w:t>
            </w:r>
          </w:p>
          <w:p w:rsidR="00041039" w:rsidRDefault="001B26CB">
            <w:pPr>
              <w:pStyle w:val="TableParagraph"/>
              <w:numPr>
                <w:ilvl w:val="0"/>
                <w:numId w:val="1952"/>
              </w:numPr>
              <w:tabs>
                <w:tab w:val="left" w:pos="157"/>
              </w:tabs>
              <w:spacing w:line="160" w:lineRule="exact"/>
              <w:ind w:right="303" w:hanging="99"/>
              <w:rPr>
                <w:sz w:val="14"/>
              </w:rPr>
            </w:pPr>
            <w:r>
              <w:rPr>
                <w:color w:val="231F20"/>
                <w:sz w:val="14"/>
              </w:rPr>
              <w:t>препозна предрасуде, стереотипе, дискриминацију, нетолеранцију</w:t>
            </w:r>
            <w:r>
              <w:rPr>
                <w:color w:val="231F20"/>
                <w:spacing w:val="-26"/>
                <w:sz w:val="14"/>
              </w:rPr>
              <w:t xml:space="preserve"> </w:t>
            </w:r>
            <w:r>
              <w:rPr>
                <w:color w:val="231F20"/>
                <w:sz w:val="14"/>
              </w:rPr>
              <w:t>по различитим основама;</w:t>
            </w:r>
          </w:p>
          <w:p w:rsidR="00041039" w:rsidRDefault="001B26CB">
            <w:pPr>
              <w:pStyle w:val="TableParagraph"/>
              <w:numPr>
                <w:ilvl w:val="0"/>
                <w:numId w:val="1952"/>
              </w:numPr>
              <w:tabs>
                <w:tab w:val="left" w:pos="157"/>
              </w:tabs>
              <w:spacing w:line="160" w:lineRule="exact"/>
              <w:ind w:right="144" w:hanging="99"/>
              <w:rPr>
                <w:sz w:val="14"/>
              </w:rPr>
            </w:pPr>
            <w:r>
              <w:rPr>
                <w:color w:val="231F20"/>
                <w:sz w:val="14"/>
              </w:rPr>
              <w:t>сагледа могуће последице</w:t>
            </w:r>
            <w:r>
              <w:rPr>
                <w:color w:val="231F20"/>
                <w:spacing w:val="-19"/>
                <w:sz w:val="14"/>
              </w:rPr>
              <w:t xml:space="preserve"> </w:t>
            </w:r>
            <w:r>
              <w:rPr>
                <w:color w:val="231F20"/>
                <w:sz w:val="14"/>
              </w:rPr>
              <w:t>нетолеран­ ције, дискриминације, стереотипа, предрасуда и</w:t>
            </w:r>
            <w:r>
              <w:rPr>
                <w:color w:val="231F20"/>
                <w:spacing w:val="-3"/>
                <w:sz w:val="14"/>
              </w:rPr>
              <w:t xml:space="preserve"> </w:t>
            </w:r>
            <w:r>
              <w:rPr>
                <w:color w:val="231F20"/>
                <w:sz w:val="14"/>
              </w:rPr>
              <w:t>начине;</w:t>
            </w:r>
          </w:p>
        </w:tc>
        <w:tc>
          <w:tcPr>
            <w:tcW w:w="2834" w:type="dxa"/>
          </w:tcPr>
          <w:p w:rsidR="00041039" w:rsidRDefault="001B26CB">
            <w:pPr>
              <w:pStyle w:val="TableParagraph"/>
              <w:numPr>
                <w:ilvl w:val="0"/>
                <w:numId w:val="1951"/>
              </w:numPr>
              <w:tabs>
                <w:tab w:val="left" w:pos="157"/>
              </w:tabs>
              <w:spacing w:before="8" w:line="166" w:lineRule="exact"/>
              <w:ind w:hanging="99"/>
              <w:rPr>
                <w:sz w:val="14"/>
              </w:rPr>
            </w:pPr>
            <w:r>
              <w:rPr>
                <w:color w:val="231F20"/>
                <w:sz w:val="14"/>
              </w:rPr>
              <w:t>Лични</w:t>
            </w:r>
            <w:r>
              <w:rPr>
                <w:color w:val="231F20"/>
                <w:spacing w:val="-2"/>
                <w:sz w:val="14"/>
              </w:rPr>
              <w:t xml:space="preserve"> </w:t>
            </w:r>
            <w:r>
              <w:rPr>
                <w:color w:val="231F20"/>
                <w:sz w:val="14"/>
              </w:rPr>
              <w:t>идентитет.</w:t>
            </w:r>
          </w:p>
          <w:p w:rsidR="00041039" w:rsidRDefault="001B26CB">
            <w:pPr>
              <w:pStyle w:val="TableParagraph"/>
              <w:numPr>
                <w:ilvl w:val="0"/>
                <w:numId w:val="1951"/>
              </w:numPr>
              <w:tabs>
                <w:tab w:val="left" w:pos="157"/>
              </w:tabs>
              <w:spacing w:line="160" w:lineRule="exact"/>
              <w:ind w:hanging="99"/>
              <w:rPr>
                <w:sz w:val="14"/>
              </w:rPr>
            </w:pPr>
            <w:r>
              <w:rPr>
                <w:color w:val="231F20"/>
                <w:sz w:val="14"/>
              </w:rPr>
              <w:t>Откривање и уважавање</w:t>
            </w:r>
            <w:r>
              <w:rPr>
                <w:color w:val="231F20"/>
                <w:spacing w:val="-3"/>
                <w:sz w:val="14"/>
              </w:rPr>
              <w:t xml:space="preserve"> </w:t>
            </w:r>
            <w:r>
              <w:rPr>
                <w:color w:val="231F20"/>
                <w:sz w:val="14"/>
              </w:rPr>
              <w:t>разлика.</w:t>
            </w:r>
          </w:p>
          <w:p w:rsidR="00041039" w:rsidRDefault="001B26CB">
            <w:pPr>
              <w:pStyle w:val="TableParagraph"/>
              <w:numPr>
                <w:ilvl w:val="0"/>
                <w:numId w:val="1951"/>
              </w:numPr>
              <w:tabs>
                <w:tab w:val="left" w:pos="157"/>
              </w:tabs>
              <w:spacing w:line="160" w:lineRule="exact"/>
              <w:ind w:hanging="99"/>
              <w:rPr>
                <w:sz w:val="14"/>
              </w:rPr>
            </w:pPr>
            <w:r>
              <w:rPr>
                <w:color w:val="231F20"/>
                <w:sz w:val="14"/>
              </w:rPr>
              <w:t>Групна</w:t>
            </w:r>
            <w:r>
              <w:rPr>
                <w:color w:val="231F20"/>
                <w:spacing w:val="-1"/>
                <w:sz w:val="14"/>
              </w:rPr>
              <w:t xml:space="preserve"> </w:t>
            </w:r>
            <w:r>
              <w:rPr>
                <w:color w:val="231F20"/>
                <w:sz w:val="14"/>
              </w:rPr>
              <w:t>припадност.</w:t>
            </w:r>
          </w:p>
          <w:p w:rsidR="00041039" w:rsidRDefault="001B26CB">
            <w:pPr>
              <w:pStyle w:val="TableParagraph"/>
              <w:numPr>
                <w:ilvl w:val="0"/>
                <w:numId w:val="1951"/>
              </w:numPr>
              <w:tabs>
                <w:tab w:val="left" w:pos="157"/>
              </w:tabs>
              <w:spacing w:line="160" w:lineRule="exact"/>
              <w:ind w:hanging="99"/>
              <w:rPr>
                <w:sz w:val="14"/>
              </w:rPr>
            </w:pPr>
            <w:r>
              <w:rPr>
                <w:color w:val="231F20"/>
                <w:sz w:val="14"/>
              </w:rPr>
              <w:t>Стереотипи и</w:t>
            </w:r>
            <w:r>
              <w:rPr>
                <w:color w:val="231F20"/>
                <w:spacing w:val="-3"/>
                <w:sz w:val="14"/>
              </w:rPr>
              <w:t xml:space="preserve"> </w:t>
            </w:r>
            <w:r>
              <w:rPr>
                <w:color w:val="231F20"/>
                <w:sz w:val="14"/>
              </w:rPr>
              <w:t>предрасуде.</w:t>
            </w:r>
          </w:p>
          <w:p w:rsidR="00041039" w:rsidRDefault="001B26CB">
            <w:pPr>
              <w:pStyle w:val="TableParagraph"/>
              <w:numPr>
                <w:ilvl w:val="0"/>
                <w:numId w:val="1951"/>
              </w:numPr>
              <w:tabs>
                <w:tab w:val="left" w:pos="157"/>
              </w:tabs>
              <w:spacing w:line="166" w:lineRule="exact"/>
              <w:ind w:hanging="99"/>
              <w:rPr>
                <w:sz w:val="14"/>
              </w:rPr>
            </w:pPr>
            <w:r>
              <w:rPr>
                <w:color w:val="231F20"/>
                <w:sz w:val="14"/>
              </w:rPr>
              <w:t>Толеранција и</w:t>
            </w:r>
            <w:r>
              <w:rPr>
                <w:color w:val="231F20"/>
                <w:spacing w:val="-4"/>
                <w:sz w:val="14"/>
              </w:rPr>
              <w:t xml:space="preserve"> </w:t>
            </w:r>
            <w:r>
              <w:rPr>
                <w:color w:val="231F20"/>
                <w:sz w:val="14"/>
              </w:rPr>
              <w:t>дискриминација.</w:t>
            </w:r>
          </w:p>
        </w:tc>
        <w:tc>
          <w:tcPr>
            <w:tcW w:w="2267" w:type="dxa"/>
            <w:vMerge w:val="restart"/>
          </w:tcPr>
          <w:p w:rsidR="00041039" w:rsidRDefault="001B26CB">
            <w:pPr>
              <w:pStyle w:val="TableParagraph"/>
              <w:numPr>
                <w:ilvl w:val="0"/>
                <w:numId w:val="1950"/>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950"/>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950"/>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950"/>
              </w:numPr>
              <w:tabs>
                <w:tab w:val="left" w:pos="158"/>
              </w:tabs>
              <w:spacing w:line="160" w:lineRule="exact"/>
              <w:ind w:right="158" w:hanging="99"/>
              <w:rPr>
                <w:sz w:val="14"/>
              </w:rPr>
            </w:pPr>
            <w:r>
              <w:rPr>
                <w:color w:val="231F20"/>
                <w:sz w:val="14"/>
              </w:rPr>
              <w:t>Активности на првим часовима треба тако организовати да се обезбеди међусобно</w:t>
            </w:r>
            <w:r>
              <w:rPr>
                <w:color w:val="231F20"/>
                <w:spacing w:val="-8"/>
                <w:sz w:val="14"/>
              </w:rPr>
              <w:t xml:space="preserve"> </w:t>
            </w:r>
            <w:r>
              <w:rPr>
                <w:color w:val="231F20"/>
                <w:sz w:val="14"/>
              </w:rPr>
              <w:t>упознавање ученика, упознавање</w:t>
            </w:r>
            <w:r>
              <w:rPr>
                <w:color w:val="231F20"/>
                <w:spacing w:val="-2"/>
                <w:sz w:val="14"/>
              </w:rPr>
              <w:t xml:space="preserve"> </w:t>
            </w:r>
            <w:r>
              <w:rPr>
                <w:color w:val="231F20"/>
                <w:sz w:val="14"/>
              </w:rPr>
              <w:t>учени­</w:t>
            </w:r>
          </w:p>
          <w:p w:rsidR="00041039" w:rsidRDefault="001B26CB">
            <w:pPr>
              <w:pStyle w:val="TableParagraph"/>
              <w:spacing w:line="237" w:lineRule="auto"/>
              <w:ind w:left="157" w:right="115"/>
              <w:rPr>
                <w:sz w:val="14"/>
              </w:rPr>
            </w:pPr>
            <w:r>
              <w:rPr>
                <w:color w:val="231F20"/>
                <w:sz w:val="14"/>
              </w:rPr>
              <w:t>ка са циљевима и наставним садржајима предмета, али и тако да наставник добије почетни увид у то са каквим знањима, ставовима и вештинама из об­</w:t>
            </w:r>
          </w:p>
          <w:p w:rsidR="00041039" w:rsidRDefault="001B26CB">
            <w:pPr>
              <w:pStyle w:val="TableParagraph"/>
              <w:spacing w:before="1"/>
              <w:ind w:left="157"/>
              <w:rPr>
                <w:sz w:val="14"/>
              </w:rPr>
            </w:pPr>
            <w:r>
              <w:rPr>
                <w:color w:val="231F20"/>
                <w:sz w:val="14"/>
              </w:rPr>
              <w:t>ласти грађанског васпитања група располаже с обзиром да нису</w:t>
            </w:r>
          </w:p>
          <w:p w:rsidR="00041039" w:rsidRDefault="001B26CB">
            <w:pPr>
              <w:pStyle w:val="TableParagraph"/>
              <w:ind w:left="157"/>
              <w:rPr>
                <w:sz w:val="14"/>
              </w:rPr>
            </w:pPr>
            <w:r>
              <w:rPr>
                <w:color w:val="231F20"/>
                <w:sz w:val="14"/>
              </w:rPr>
              <w:t>сви ученици у основној школи похађали наставу грађ</w:t>
            </w:r>
            <w:r>
              <w:rPr>
                <w:color w:val="231F20"/>
                <w:sz w:val="14"/>
              </w:rPr>
              <w:t>анског васпитања у истој мери.</w:t>
            </w:r>
          </w:p>
          <w:p w:rsidR="00041039" w:rsidRDefault="001B26CB">
            <w:pPr>
              <w:pStyle w:val="TableParagraph"/>
              <w:numPr>
                <w:ilvl w:val="0"/>
                <w:numId w:val="1950"/>
              </w:numPr>
              <w:tabs>
                <w:tab w:val="left" w:pos="158"/>
              </w:tabs>
              <w:spacing w:line="158" w:lineRule="exact"/>
              <w:ind w:hanging="99"/>
              <w:rPr>
                <w:sz w:val="14"/>
              </w:rPr>
            </w:pPr>
            <w:r>
              <w:rPr>
                <w:color w:val="231F20"/>
                <w:sz w:val="14"/>
              </w:rPr>
              <w:t>Реализација програма треба</w:t>
            </w:r>
            <w:r>
              <w:rPr>
                <w:color w:val="231F20"/>
                <w:spacing w:val="-5"/>
                <w:sz w:val="14"/>
              </w:rPr>
              <w:t xml:space="preserve"> </w:t>
            </w:r>
            <w:r>
              <w:rPr>
                <w:color w:val="231F20"/>
                <w:sz w:val="14"/>
              </w:rPr>
              <w:t>да</w:t>
            </w:r>
          </w:p>
          <w:p w:rsidR="00041039" w:rsidRDefault="001B26CB">
            <w:pPr>
              <w:pStyle w:val="TableParagraph"/>
              <w:spacing w:line="237" w:lineRule="auto"/>
              <w:ind w:left="157" w:right="54"/>
              <w:rPr>
                <w:sz w:val="14"/>
              </w:rPr>
            </w:pPr>
            <w:r>
              <w:rPr>
                <w:color w:val="231F20"/>
                <w:sz w:val="14"/>
              </w:rPr>
              <w:t>се одвија у складу са принци­ пима активне, проблемске и истраживачке наставе са сталним рефлексијама на одговарајуће појаве из друштвеног контекста прошлости и садашњости.</w:t>
            </w:r>
          </w:p>
        </w:tc>
      </w:tr>
      <w:tr w:rsidR="00041039">
        <w:trPr>
          <w:trHeight w:val="4470"/>
        </w:trPr>
        <w:tc>
          <w:tcPr>
            <w:tcW w:w="1304" w:type="dxa"/>
          </w:tcPr>
          <w:p w:rsidR="00041039" w:rsidRDefault="001B26CB">
            <w:pPr>
              <w:pStyle w:val="TableParagraph"/>
              <w:spacing w:before="19"/>
              <w:ind w:left="56" w:right="37"/>
              <w:rPr>
                <w:sz w:val="14"/>
              </w:rPr>
            </w:pPr>
            <w:r>
              <w:rPr>
                <w:color w:val="231F20"/>
                <w:sz w:val="14"/>
              </w:rPr>
              <w:t>Комуникација у групи</w:t>
            </w:r>
          </w:p>
        </w:tc>
        <w:tc>
          <w:tcPr>
            <w:tcW w:w="1587" w:type="dxa"/>
          </w:tcPr>
          <w:p w:rsidR="00041039" w:rsidRDefault="001B26CB">
            <w:pPr>
              <w:pStyle w:val="TableParagraph"/>
              <w:numPr>
                <w:ilvl w:val="0"/>
                <w:numId w:val="1949"/>
              </w:numPr>
              <w:tabs>
                <w:tab w:val="left" w:pos="157"/>
              </w:tabs>
              <w:spacing w:before="9"/>
              <w:ind w:right="129"/>
              <w:jc w:val="both"/>
              <w:rPr>
                <w:sz w:val="14"/>
              </w:rPr>
            </w:pPr>
            <w:r>
              <w:rPr>
                <w:color w:val="231F20"/>
                <w:sz w:val="14"/>
              </w:rPr>
              <w:t>Оспособљавање уче­ ника за</w:t>
            </w:r>
            <w:r>
              <w:rPr>
                <w:color w:val="231F20"/>
                <w:spacing w:val="-19"/>
                <w:sz w:val="14"/>
              </w:rPr>
              <w:t xml:space="preserve"> </w:t>
            </w:r>
            <w:r>
              <w:rPr>
                <w:color w:val="231F20"/>
                <w:sz w:val="14"/>
              </w:rPr>
              <w:t>комуникацију у</w:t>
            </w:r>
            <w:r>
              <w:rPr>
                <w:color w:val="231F20"/>
                <w:spacing w:val="-1"/>
                <w:sz w:val="14"/>
              </w:rPr>
              <w:t xml:space="preserve"> </w:t>
            </w:r>
            <w:r>
              <w:rPr>
                <w:color w:val="231F20"/>
                <w:sz w:val="14"/>
              </w:rPr>
              <w:t>групи.</w:t>
            </w:r>
          </w:p>
        </w:tc>
        <w:tc>
          <w:tcPr>
            <w:tcW w:w="2551" w:type="dxa"/>
          </w:tcPr>
          <w:p w:rsidR="00041039" w:rsidRDefault="001B26CB">
            <w:pPr>
              <w:pStyle w:val="TableParagraph"/>
              <w:numPr>
                <w:ilvl w:val="0"/>
                <w:numId w:val="1948"/>
              </w:numPr>
              <w:tabs>
                <w:tab w:val="left" w:pos="157"/>
              </w:tabs>
              <w:spacing w:before="9"/>
              <w:ind w:right="120" w:hanging="99"/>
              <w:rPr>
                <w:sz w:val="14"/>
              </w:rPr>
            </w:pPr>
            <w:r>
              <w:rPr>
                <w:color w:val="231F20"/>
                <w:sz w:val="14"/>
              </w:rPr>
              <w:t>искаже, образложи и брани</w:t>
            </w:r>
            <w:r>
              <w:rPr>
                <w:color w:val="231F20"/>
                <w:spacing w:val="-12"/>
                <w:sz w:val="14"/>
              </w:rPr>
              <w:t xml:space="preserve"> </w:t>
            </w:r>
            <w:r>
              <w:rPr>
                <w:color w:val="231F20"/>
                <w:sz w:val="14"/>
              </w:rPr>
              <w:t>мишљење аргументима;</w:t>
            </w:r>
          </w:p>
          <w:p w:rsidR="00041039" w:rsidRDefault="001B26CB">
            <w:pPr>
              <w:pStyle w:val="TableParagraph"/>
              <w:numPr>
                <w:ilvl w:val="0"/>
                <w:numId w:val="1948"/>
              </w:numPr>
              <w:tabs>
                <w:tab w:val="left" w:pos="157"/>
              </w:tabs>
              <w:spacing w:line="153" w:lineRule="exact"/>
              <w:ind w:hanging="99"/>
              <w:rPr>
                <w:sz w:val="14"/>
              </w:rPr>
            </w:pPr>
            <w:r>
              <w:rPr>
                <w:color w:val="231F20"/>
                <w:sz w:val="14"/>
              </w:rPr>
              <w:t>активно</w:t>
            </w:r>
            <w:r>
              <w:rPr>
                <w:color w:val="231F20"/>
                <w:spacing w:val="-6"/>
                <w:sz w:val="14"/>
              </w:rPr>
              <w:t xml:space="preserve"> </w:t>
            </w:r>
            <w:r>
              <w:rPr>
                <w:color w:val="231F20"/>
                <w:sz w:val="14"/>
              </w:rPr>
              <w:t>слуша;</w:t>
            </w:r>
          </w:p>
          <w:p w:rsidR="00041039" w:rsidRDefault="001B26CB">
            <w:pPr>
              <w:pStyle w:val="TableParagraph"/>
              <w:numPr>
                <w:ilvl w:val="0"/>
                <w:numId w:val="1948"/>
              </w:numPr>
              <w:tabs>
                <w:tab w:val="left" w:pos="157"/>
              </w:tabs>
              <w:spacing w:line="237" w:lineRule="auto"/>
              <w:ind w:right="386" w:hanging="99"/>
              <w:rPr>
                <w:sz w:val="14"/>
              </w:rPr>
            </w:pPr>
            <w:r>
              <w:rPr>
                <w:color w:val="231F20"/>
                <w:sz w:val="14"/>
              </w:rPr>
              <w:t>дебатује и дискутује на не угрожавајући начин,</w:t>
            </w:r>
            <w:r>
              <w:rPr>
                <w:color w:val="231F20"/>
                <w:spacing w:val="-16"/>
                <w:sz w:val="14"/>
              </w:rPr>
              <w:t xml:space="preserve"> </w:t>
            </w:r>
            <w:r>
              <w:rPr>
                <w:color w:val="231F20"/>
                <w:sz w:val="14"/>
              </w:rPr>
              <w:t>уважавајући мишљење</w:t>
            </w:r>
            <w:r>
              <w:rPr>
                <w:color w:val="231F20"/>
                <w:spacing w:val="-1"/>
                <w:sz w:val="14"/>
              </w:rPr>
              <w:t xml:space="preserve"> </w:t>
            </w:r>
            <w:r>
              <w:rPr>
                <w:color w:val="231F20"/>
                <w:sz w:val="14"/>
              </w:rPr>
              <w:t>других;</w:t>
            </w:r>
          </w:p>
          <w:p w:rsidR="00041039" w:rsidRDefault="001B26CB">
            <w:pPr>
              <w:pStyle w:val="TableParagraph"/>
              <w:numPr>
                <w:ilvl w:val="0"/>
                <w:numId w:val="1948"/>
              </w:numPr>
              <w:tabs>
                <w:tab w:val="left" w:pos="157"/>
              </w:tabs>
              <w:spacing w:line="237" w:lineRule="auto"/>
              <w:ind w:right="320" w:hanging="99"/>
              <w:rPr>
                <w:sz w:val="14"/>
              </w:rPr>
            </w:pPr>
            <w:r>
              <w:rPr>
                <w:color w:val="231F20"/>
                <w:sz w:val="14"/>
              </w:rPr>
              <w:t>објасни разлику између дијалога</w:t>
            </w:r>
            <w:r>
              <w:rPr>
                <w:color w:val="231F20"/>
                <w:spacing w:val="-9"/>
                <w:sz w:val="14"/>
              </w:rPr>
              <w:t xml:space="preserve"> </w:t>
            </w:r>
            <w:r>
              <w:rPr>
                <w:color w:val="231F20"/>
                <w:sz w:val="14"/>
              </w:rPr>
              <w:t>и дебате;</w:t>
            </w:r>
          </w:p>
          <w:p w:rsidR="00041039" w:rsidRDefault="001B26CB">
            <w:pPr>
              <w:pStyle w:val="TableParagraph"/>
              <w:numPr>
                <w:ilvl w:val="0"/>
                <w:numId w:val="1948"/>
              </w:numPr>
              <w:tabs>
                <w:tab w:val="left" w:pos="157"/>
              </w:tabs>
              <w:spacing w:line="160" w:lineRule="exact"/>
              <w:ind w:right="148" w:hanging="99"/>
              <w:rPr>
                <w:sz w:val="14"/>
              </w:rPr>
            </w:pPr>
            <w:r>
              <w:rPr>
                <w:color w:val="231F20"/>
                <w:sz w:val="14"/>
              </w:rPr>
              <w:t>објасни разлоге и начине настанка гласина</w:t>
            </w:r>
            <w:r>
              <w:rPr>
                <w:color w:val="231F20"/>
                <w:spacing w:val="-14"/>
                <w:sz w:val="14"/>
              </w:rPr>
              <w:t xml:space="preserve"> </w:t>
            </w:r>
            <w:r>
              <w:rPr>
                <w:color w:val="231F20"/>
                <w:sz w:val="14"/>
              </w:rPr>
              <w:t>у</w:t>
            </w:r>
            <w:r>
              <w:rPr>
                <w:color w:val="231F20"/>
                <w:spacing w:val="-13"/>
                <w:sz w:val="14"/>
              </w:rPr>
              <w:t xml:space="preserve"> </w:t>
            </w:r>
            <w:r>
              <w:rPr>
                <w:color w:val="231F20"/>
                <w:sz w:val="14"/>
              </w:rPr>
              <w:t>свакодневној</w:t>
            </w:r>
            <w:r>
              <w:rPr>
                <w:color w:val="231F20"/>
                <w:spacing w:val="-13"/>
                <w:sz w:val="14"/>
              </w:rPr>
              <w:t xml:space="preserve"> </w:t>
            </w:r>
            <w:r>
              <w:rPr>
                <w:color w:val="231F20"/>
                <w:sz w:val="14"/>
              </w:rPr>
              <w:t>комуникацији и објасни последице које изазивају гласине;</w:t>
            </w:r>
          </w:p>
        </w:tc>
        <w:tc>
          <w:tcPr>
            <w:tcW w:w="2834" w:type="dxa"/>
          </w:tcPr>
          <w:p w:rsidR="00041039" w:rsidRDefault="001B26CB">
            <w:pPr>
              <w:pStyle w:val="TableParagraph"/>
              <w:numPr>
                <w:ilvl w:val="0"/>
                <w:numId w:val="1947"/>
              </w:numPr>
              <w:tabs>
                <w:tab w:val="left" w:pos="157"/>
              </w:tabs>
              <w:spacing w:before="9" w:line="166" w:lineRule="exact"/>
              <w:ind w:hanging="99"/>
              <w:rPr>
                <w:sz w:val="14"/>
              </w:rPr>
            </w:pPr>
            <w:r>
              <w:rPr>
                <w:color w:val="231F20"/>
                <w:sz w:val="14"/>
              </w:rPr>
              <w:t>Самопоуздано</w:t>
            </w:r>
            <w:r>
              <w:rPr>
                <w:color w:val="231F20"/>
                <w:spacing w:val="-1"/>
                <w:sz w:val="14"/>
              </w:rPr>
              <w:t xml:space="preserve"> </w:t>
            </w:r>
            <w:r>
              <w:rPr>
                <w:color w:val="231F20"/>
                <w:sz w:val="14"/>
              </w:rPr>
              <w:t>реаговање.</w:t>
            </w:r>
          </w:p>
          <w:p w:rsidR="00041039" w:rsidRDefault="001B26CB">
            <w:pPr>
              <w:pStyle w:val="TableParagraph"/>
              <w:numPr>
                <w:ilvl w:val="0"/>
                <w:numId w:val="1947"/>
              </w:numPr>
              <w:tabs>
                <w:tab w:val="left" w:pos="157"/>
              </w:tabs>
              <w:spacing w:line="160" w:lineRule="exact"/>
              <w:ind w:hanging="99"/>
              <w:rPr>
                <w:sz w:val="14"/>
              </w:rPr>
            </w:pPr>
            <w:r>
              <w:rPr>
                <w:color w:val="231F20"/>
                <w:spacing w:val="-3"/>
                <w:sz w:val="14"/>
              </w:rPr>
              <w:t>Гласине.</w:t>
            </w:r>
          </w:p>
          <w:p w:rsidR="00041039" w:rsidRDefault="001B26CB">
            <w:pPr>
              <w:pStyle w:val="TableParagraph"/>
              <w:numPr>
                <w:ilvl w:val="0"/>
                <w:numId w:val="1947"/>
              </w:numPr>
              <w:tabs>
                <w:tab w:val="left" w:pos="157"/>
              </w:tabs>
              <w:spacing w:line="160" w:lineRule="exact"/>
              <w:ind w:hanging="99"/>
              <w:rPr>
                <w:sz w:val="14"/>
              </w:rPr>
            </w:pPr>
            <w:r>
              <w:rPr>
                <w:color w:val="231F20"/>
                <w:sz w:val="14"/>
              </w:rPr>
              <w:t>Наслушање, активно,</w:t>
            </w:r>
            <w:r>
              <w:rPr>
                <w:color w:val="231F20"/>
                <w:spacing w:val="-3"/>
                <w:sz w:val="14"/>
              </w:rPr>
              <w:t xml:space="preserve"> </w:t>
            </w:r>
            <w:r>
              <w:rPr>
                <w:color w:val="231F20"/>
                <w:sz w:val="14"/>
              </w:rPr>
              <w:t>слушање.</w:t>
            </w:r>
          </w:p>
          <w:p w:rsidR="00041039" w:rsidRDefault="001B26CB">
            <w:pPr>
              <w:pStyle w:val="TableParagraph"/>
              <w:numPr>
                <w:ilvl w:val="0"/>
                <w:numId w:val="1947"/>
              </w:numPr>
              <w:tabs>
                <w:tab w:val="left" w:pos="157"/>
              </w:tabs>
              <w:spacing w:line="160" w:lineRule="exact"/>
              <w:ind w:hanging="99"/>
              <w:rPr>
                <w:sz w:val="14"/>
              </w:rPr>
            </w:pPr>
            <w:r>
              <w:rPr>
                <w:color w:val="231F20"/>
                <w:sz w:val="14"/>
              </w:rPr>
              <w:t>Не оптужујуће</w:t>
            </w:r>
            <w:r>
              <w:rPr>
                <w:color w:val="231F20"/>
                <w:spacing w:val="-2"/>
                <w:sz w:val="14"/>
              </w:rPr>
              <w:t xml:space="preserve"> </w:t>
            </w:r>
            <w:r>
              <w:rPr>
                <w:color w:val="231F20"/>
                <w:sz w:val="14"/>
              </w:rPr>
              <w:t>поруке.</w:t>
            </w:r>
          </w:p>
          <w:p w:rsidR="00041039" w:rsidRDefault="001B26CB">
            <w:pPr>
              <w:pStyle w:val="TableParagraph"/>
              <w:numPr>
                <w:ilvl w:val="0"/>
                <w:numId w:val="1947"/>
              </w:numPr>
              <w:tabs>
                <w:tab w:val="left" w:pos="157"/>
              </w:tabs>
              <w:spacing w:line="160" w:lineRule="exact"/>
              <w:ind w:hanging="99"/>
              <w:rPr>
                <w:sz w:val="14"/>
              </w:rPr>
            </w:pPr>
            <w:r>
              <w:rPr>
                <w:color w:val="231F20"/>
                <w:sz w:val="14"/>
              </w:rPr>
              <w:t>Изражавање</w:t>
            </w:r>
            <w:r>
              <w:rPr>
                <w:color w:val="231F20"/>
                <w:spacing w:val="-1"/>
                <w:sz w:val="14"/>
              </w:rPr>
              <w:t xml:space="preserve"> </w:t>
            </w:r>
            <w:r>
              <w:rPr>
                <w:color w:val="231F20"/>
                <w:sz w:val="14"/>
              </w:rPr>
              <w:t>мишљења.</w:t>
            </w:r>
          </w:p>
          <w:p w:rsidR="00041039" w:rsidRDefault="001B26CB">
            <w:pPr>
              <w:pStyle w:val="TableParagraph"/>
              <w:numPr>
                <w:ilvl w:val="0"/>
                <w:numId w:val="1947"/>
              </w:numPr>
              <w:tabs>
                <w:tab w:val="left" w:pos="157"/>
              </w:tabs>
              <w:spacing w:line="166" w:lineRule="exact"/>
              <w:ind w:hanging="99"/>
              <w:rPr>
                <w:sz w:val="14"/>
              </w:rPr>
            </w:pPr>
            <w:r>
              <w:rPr>
                <w:color w:val="231F20"/>
                <w:sz w:val="14"/>
              </w:rPr>
              <w:t>Вођење дебате и</w:t>
            </w:r>
            <w:r>
              <w:rPr>
                <w:color w:val="231F20"/>
                <w:spacing w:val="-2"/>
                <w:sz w:val="14"/>
              </w:rPr>
              <w:t xml:space="preserve"> </w:t>
            </w:r>
            <w:r>
              <w:rPr>
                <w:color w:val="231F20"/>
                <w:sz w:val="14"/>
              </w:rPr>
              <w:t>дијалога.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7080"/>
        </w:trPr>
        <w:tc>
          <w:tcPr>
            <w:tcW w:w="1304" w:type="dxa"/>
          </w:tcPr>
          <w:p w:rsidR="00041039" w:rsidRDefault="001B26CB">
            <w:pPr>
              <w:pStyle w:val="TableParagraph"/>
              <w:spacing w:before="18"/>
              <w:ind w:left="56" w:right="237"/>
              <w:rPr>
                <w:sz w:val="14"/>
              </w:rPr>
            </w:pPr>
            <w:r>
              <w:rPr>
                <w:color w:val="231F20"/>
                <w:sz w:val="14"/>
              </w:rPr>
              <w:lastRenderedPageBreak/>
              <w:t>Односи у групи/ заједници</w:t>
            </w:r>
          </w:p>
        </w:tc>
        <w:tc>
          <w:tcPr>
            <w:tcW w:w="1587" w:type="dxa"/>
          </w:tcPr>
          <w:p w:rsidR="00041039" w:rsidRDefault="001B26CB">
            <w:pPr>
              <w:pStyle w:val="TableParagraph"/>
              <w:numPr>
                <w:ilvl w:val="0"/>
                <w:numId w:val="1946"/>
              </w:numPr>
              <w:tabs>
                <w:tab w:val="left" w:pos="157"/>
              </w:tabs>
              <w:spacing w:before="8"/>
              <w:ind w:right="165"/>
              <w:rPr>
                <w:sz w:val="14"/>
              </w:rPr>
            </w:pPr>
            <w:r>
              <w:rPr>
                <w:color w:val="231F20"/>
                <w:sz w:val="14"/>
              </w:rPr>
              <w:t>Оспособљавање уче­ ника за рад у групи/ тиму и међусобну сарадњу.</w:t>
            </w:r>
          </w:p>
          <w:p w:rsidR="00041039" w:rsidRDefault="001B26CB">
            <w:pPr>
              <w:pStyle w:val="TableParagraph"/>
              <w:numPr>
                <w:ilvl w:val="0"/>
                <w:numId w:val="1946"/>
              </w:numPr>
              <w:tabs>
                <w:tab w:val="left" w:pos="157"/>
              </w:tabs>
              <w:spacing w:line="156" w:lineRule="exact"/>
              <w:rPr>
                <w:sz w:val="14"/>
              </w:rPr>
            </w:pPr>
            <w:r>
              <w:rPr>
                <w:color w:val="231F20"/>
                <w:sz w:val="14"/>
              </w:rPr>
              <w:t>Подстицање</w:t>
            </w:r>
            <w:r>
              <w:rPr>
                <w:color w:val="231F20"/>
                <w:spacing w:val="-2"/>
                <w:sz w:val="14"/>
              </w:rPr>
              <w:t xml:space="preserve"> </w:t>
            </w:r>
            <w:r>
              <w:rPr>
                <w:color w:val="231F20"/>
                <w:sz w:val="14"/>
              </w:rPr>
              <w:t>ученика</w:t>
            </w:r>
          </w:p>
          <w:p w:rsidR="00041039" w:rsidRDefault="001B26CB">
            <w:pPr>
              <w:pStyle w:val="TableParagraph"/>
              <w:ind w:right="15"/>
              <w:rPr>
                <w:sz w:val="14"/>
              </w:rPr>
            </w:pPr>
            <w:r>
              <w:rPr>
                <w:color w:val="231F20"/>
                <w:sz w:val="14"/>
              </w:rPr>
              <w:t>да сукобе решавају на конструктиван начин и избегавају сукобе.</w:t>
            </w:r>
          </w:p>
          <w:p w:rsidR="00041039" w:rsidRDefault="001B26CB">
            <w:pPr>
              <w:pStyle w:val="TableParagraph"/>
              <w:numPr>
                <w:ilvl w:val="0"/>
                <w:numId w:val="1946"/>
              </w:numPr>
              <w:tabs>
                <w:tab w:val="left" w:pos="157"/>
              </w:tabs>
              <w:spacing w:line="158" w:lineRule="exact"/>
              <w:rPr>
                <w:sz w:val="14"/>
              </w:rPr>
            </w:pPr>
            <w:r>
              <w:rPr>
                <w:color w:val="231F20"/>
                <w:sz w:val="14"/>
              </w:rPr>
              <w:t>Оспособљавање</w:t>
            </w:r>
          </w:p>
          <w:p w:rsidR="00041039" w:rsidRDefault="001B26CB">
            <w:pPr>
              <w:pStyle w:val="TableParagraph"/>
              <w:ind w:right="42"/>
              <w:rPr>
                <w:sz w:val="14"/>
              </w:rPr>
            </w:pPr>
            <w:r>
              <w:rPr>
                <w:color w:val="231F20"/>
                <w:sz w:val="14"/>
              </w:rPr>
              <w:t>ученика да препознају примере насиља у својој средини и пре­ узму одговорност за сопствено понашање у таквој ситуацији.</w:t>
            </w:r>
          </w:p>
        </w:tc>
        <w:tc>
          <w:tcPr>
            <w:tcW w:w="2551" w:type="dxa"/>
          </w:tcPr>
          <w:p w:rsidR="00041039" w:rsidRDefault="001B26CB">
            <w:pPr>
              <w:pStyle w:val="TableParagraph"/>
              <w:numPr>
                <w:ilvl w:val="0"/>
                <w:numId w:val="1945"/>
              </w:numPr>
              <w:tabs>
                <w:tab w:val="left" w:pos="157"/>
              </w:tabs>
              <w:spacing w:before="8" w:line="166" w:lineRule="exact"/>
              <w:ind w:hanging="99"/>
              <w:rPr>
                <w:sz w:val="14"/>
              </w:rPr>
            </w:pPr>
            <w:r>
              <w:rPr>
                <w:color w:val="231F20"/>
                <w:sz w:val="14"/>
              </w:rPr>
              <w:t>ради у</w:t>
            </w:r>
            <w:r>
              <w:rPr>
                <w:color w:val="231F20"/>
                <w:spacing w:val="-5"/>
                <w:sz w:val="14"/>
              </w:rPr>
              <w:t xml:space="preserve"> </w:t>
            </w:r>
            <w:r>
              <w:rPr>
                <w:color w:val="231F20"/>
                <w:sz w:val="14"/>
              </w:rPr>
              <w:t>групи/тиму;</w:t>
            </w:r>
          </w:p>
          <w:p w:rsidR="00041039" w:rsidRDefault="001B26CB">
            <w:pPr>
              <w:pStyle w:val="TableParagraph"/>
              <w:numPr>
                <w:ilvl w:val="0"/>
                <w:numId w:val="1945"/>
              </w:numPr>
              <w:tabs>
                <w:tab w:val="left" w:pos="157"/>
              </w:tabs>
              <w:spacing w:line="237" w:lineRule="auto"/>
              <w:ind w:right="157" w:hanging="99"/>
              <w:rPr>
                <w:sz w:val="14"/>
              </w:rPr>
            </w:pPr>
            <w:r>
              <w:rPr>
                <w:color w:val="231F20"/>
                <w:sz w:val="14"/>
              </w:rPr>
              <w:t>препозна предности</w:t>
            </w:r>
            <w:r>
              <w:rPr>
                <w:color w:val="231F20"/>
                <w:spacing w:val="-17"/>
                <w:sz w:val="14"/>
              </w:rPr>
              <w:t xml:space="preserve"> </w:t>
            </w:r>
            <w:r>
              <w:rPr>
                <w:color w:val="231F20"/>
                <w:sz w:val="14"/>
              </w:rPr>
              <w:t>групног/тимског рада;</w:t>
            </w:r>
          </w:p>
          <w:p w:rsidR="00041039" w:rsidRDefault="001B26CB">
            <w:pPr>
              <w:pStyle w:val="TableParagraph"/>
              <w:numPr>
                <w:ilvl w:val="0"/>
                <w:numId w:val="1945"/>
              </w:numPr>
              <w:tabs>
                <w:tab w:val="left" w:pos="157"/>
              </w:tabs>
              <w:spacing w:line="155" w:lineRule="exact"/>
              <w:ind w:hanging="99"/>
              <w:rPr>
                <w:sz w:val="14"/>
              </w:rPr>
            </w:pPr>
            <w:r>
              <w:rPr>
                <w:color w:val="231F20"/>
                <w:sz w:val="14"/>
              </w:rPr>
              <w:t>учествује у доношењу групних</w:t>
            </w:r>
            <w:r>
              <w:rPr>
                <w:color w:val="231F20"/>
                <w:spacing w:val="-12"/>
                <w:sz w:val="14"/>
              </w:rPr>
              <w:t xml:space="preserve"> </w:t>
            </w:r>
            <w:r>
              <w:rPr>
                <w:color w:val="231F20"/>
                <w:sz w:val="14"/>
              </w:rPr>
              <w:t>одлука;</w:t>
            </w:r>
          </w:p>
          <w:p w:rsidR="00041039" w:rsidRDefault="001B26CB">
            <w:pPr>
              <w:pStyle w:val="TableParagraph"/>
              <w:numPr>
                <w:ilvl w:val="0"/>
                <w:numId w:val="1945"/>
              </w:numPr>
              <w:tabs>
                <w:tab w:val="left" w:pos="157"/>
              </w:tabs>
              <w:spacing w:line="237" w:lineRule="auto"/>
              <w:ind w:right="438" w:hanging="99"/>
              <w:rPr>
                <w:sz w:val="14"/>
              </w:rPr>
            </w:pPr>
            <w:r>
              <w:rPr>
                <w:color w:val="231F20"/>
                <w:sz w:val="14"/>
              </w:rPr>
              <w:t>разликује могуће облике</w:t>
            </w:r>
            <w:r>
              <w:rPr>
                <w:color w:val="231F20"/>
                <w:spacing w:val="-12"/>
                <w:sz w:val="14"/>
              </w:rPr>
              <w:t xml:space="preserve"> </w:t>
            </w:r>
            <w:r>
              <w:rPr>
                <w:color w:val="231F20"/>
                <w:sz w:val="14"/>
              </w:rPr>
              <w:t>учешћа младих у друштвеном</w:t>
            </w:r>
            <w:r>
              <w:rPr>
                <w:color w:val="231F20"/>
                <w:spacing w:val="-6"/>
                <w:sz w:val="14"/>
              </w:rPr>
              <w:t xml:space="preserve"> </w:t>
            </w:r>
            <w:r>
              <w:rPr>
                <w:color w:val="231F20"/>
                <w:sz w:val="14"/>
              </w:rPr>
              <w:t>животу;</w:t>
            </w:r>
          </w:p>
          <w:p w:rsidR="00041039" w:rsidRDefault="001B26CB">
            <w:pPr>
              <w:pStyle w:val="TableParagraph"/>
              <w:numPr>
                <w:ilvl w:val="0"/>
                <w:numId w:val="1945"/>
              </w:numPr>
              <w:tabs>
                <w:tab w:val="left" w:pos="157"/>
              </w:tabs>
              <w:spacing w:line="160" w:lineRule="exact"/>
              <w:ind w:right="69" w:hanging="99"/>
              <w:rPr>
                <w:sz w:val="14"/>
              </w:rPr>
            </w:pPr>
            <w:r>
              <w:rPr>
                <w:color w:val="231F20"/>
                <w:sz w:val="14"/>
              </w:rPr>
              <w:t>објасни потребу и важност</w:t>
            </w:r>
            <w:r>
              <w:rPr>
                <w:color w:val="231F20"/>
                <w:spacing w:val="-12"/>
                <w:sz w:val="14"/>
              </w:rPr>
              <w:t xml:space="preserve"> </w:t>
            </w:r>
            <w:r>
              <w:rPr>
                <w:color w:val="231F20"/>
                <w:sz w:val="14"/>
              </w:rPr>
              <w:t>партиципа­ ције младих у друштвеном</w:t>
            </w:r>
            <w:r>
              <w:rPr>
                <w:color w:val="231F20"/>
                <w:spacing w:val="-8"/>
                <w:sz w:val="14"/>
              </w:rPr>
              <w:t xml:space="preserve"> </w:t>
            </w:r>
            <w:r>
              <w:rPr>
                <w:color w:val="231F20"/>
                <w:sz w:val="14"/>
              </w:rPr>
              <w:t>животу;</w:t>
            </w:r>
          </w:p>
          <w:p w:rsidR="00041039" w:rsidRDefault="001B26CB">
            <w:pPr>
              <w:pStyle w:val="TableParagraph"/>
              <w:numPr>
                <w:ilvl w:val="0"/>
                <w:numId w:val="1945"/>
              </w:numPr>
              <w:tabs>
                <w:tab w:val="left" w:pos="157"/>
              </w:tabs>
              <w:spacing w:line="160" w:lineRule="exact"/>
              <w:ind w:right="402" w:hanging="99"/>
              <w:rPr>
                <w:sz w:val="14"/>
              </w:rPr>
            </w:pPr>
            <w:r>
              <w:rPr>
                <w:color w:val="231F20"/>
                <w:sz w:val="14"/>
              </w:rPr>
              <w:t>објасни степене и облике</w:t>
            </w:r>
            <w:r>
              <w:rPr>
                <w:color w:val="231F20"/>
                <w:spacing w:val="-11"/>
                <w:sz w:val="14"/>
              </w:rPr>
              <w:t xml:space="preserve"> </w:t>
            </w:r>
            <w:r>
              <w:rPr>
                <w:color w:val="231F20"/>
                <w:sz w:val="14"/>
              </w:rPr>
              <w:t>учешћа младих у друштвеном</w:t>
            </w:r>
            <w:r>
              <w:rPr>
                <w:color w:val="231F20"/>
                <w:spacing w:val="-6"/>
                <w:sz w:val="14"/>
              </w:rPr>
              <w:t xml:space="preserve"> </w:t>
            </w:r>
            <w:r>
              <w:rPr>
                <w:color w:val="231F20"/>
                <w:sz w:val="14"/>
              </w:rPr>
              <w:t>животу;</w:t>
            </w:r>
          </w:p>
          <w:p w:rsidR="00041039" w:rsidRDefault="001B26CB">
            <w:pPr>
              <w:pStyle w:val="TableParagraph"/>
              <w:numPr>
                <w:ilvl w:val="0"/>
                <w:numId w:val="1945"/>
              </w:numPr>
              <w:tabs>
                <w:tab w:val="left" w:pos="157"/>
              </w:tabs>
              <w:spacing w:line="160" w:lineRule="exact"/>
              <w:ind w:right="411" w:hanging="99"/>
              <w:rPr>
                <w:sz w:val="14"/>
              </w:rPr>
            </w:pPr>
            <w:r>
              <w:rPr>
                <w:color w:val="231F20"/>
                <w:sz w:val="14"/>
              </w:rPr>
              <w:t>објасни разлоге, ток и</w:t>
            </w:r>
            <w:r>
              <w:rPr>
                <w:color w:val="231F20"/>
                <w:spacing w:val="-5"/>
                <w:sz w:val="14"/>
              </w:rPr>
              <w:t xml:space="preserve"> </w:t>
            </w:r>
            <w:r>
              <w:rPr>
                <w:color w:val="231F20"/>
                <w:sz w:val="14"/>
              </w:rPr>
              <w:t>последице сукоба;</w:t>
            </w:r>
          </w:p>
          <w:p w:rsidR="00041039" w:rsidRDefault="001B26CB">
            <w:pPr>
              <w:pStyle w:val="TableParagraph"/>
              <w:numPr>
                <w:ilvl w:val="0"/>
                <w:numId w:val="1945"/>
              </w:numPr>
              <w:tabs>
                <w:tab w:val="left" w:pos="157"/>
              </w:tabs>
              <w:spacing w:line="160" w:lineRule="exact"/>
              <w:ind w:right="418" w:hanging="99"/>
              <w:rPr>
                <w:sz w:val="14"/>
              </w:rPr>
            </w:pPr>
            <w:r>
              <w:rPr>
                <w:color w:val="231F20"/>
                <w:sz w:val="14"/>
              </w:rPr>
              <w:t>објасни ефекте конфликта на</w:t>
            </w:r>
            <w:r>
              <w:rPr>
                <w:color w:val="231F20"/>
                <w:spacing w:val="-20"/>
                <w:sz w:val="14"/>
              </w:rPr>
              <w:t xml:space="preserve"> </w:t>
            </w:r>
            <w:r>
              <w:rPr>
                <w:color w:val="231F20"/>
                <w:sz w:val="14"/>
              </w:rPr>
              <w:t>ток комуникације;</w:t>
            </w:r>
          </w:p>
          <w:p w:rsidR="00041039" w:rsidRDefault="001B26CB">
            <w:pPr>
              <w:pStyle w:val="TableParagraph"/>
              <w:numPr>
                <w:ilvl w:val="0"/>
                <w:numId w:val="1945"/>
              </w:numPr>
              <w:tabs>
                <w:tab w:val="left" w:pos="157"/>
              </w:tabs>
              <w:spacing w:line="160" w:lineRule="exact"/>
              <w:ind w:right="107" w:hanging="99"/>
              <w:rPr>
                <w:sz w:val="14"/>
              </w:rPr>
            </w:pPr>
            <w:r>
              <w:rPr>
                <w:color w:val="231F20"/>
                <w:sz w:val="14"/>
              </w:rPr>
              <w:t>уочи</w:t>
            </w:r>
            <w:r>
              <w:rPr>
                <w:color w:val="231F20"/>
                <w:spacing w:val="-8"/>
                <w:sz w:val="14"/>
              </w:rPr>
              <w:t xml:space="preserve"> </w:t>
            </w:r>
            <w:r>
              <w:rPr>
                <w:color w:val="231F20"/>
                <w:sz w:val="14"/>
              </w:rPr>
              <w:t>факторе</w:t>
            </w:r>
            <w:r>
              <w:rPr>
                <w:color w:val="231F20"/>
                <w:spacing w:val="-8"/>
                <w:sz w:val="14"/>
              </w:rPr>
              <w:t xml:space="preserve"> </w:t>
            </w:r>
            <w:r>
              <w:rPr>
                <w:color w:val="231F20"/>
                <w:sz w:val="14"/>
              </w:rPr>
              <w:t>који</w:t>
            </w:r>
            <w:r>
              <w:rPr>
                <w:color w:val="231F20"/>
                <w:spacing w:val="-8"/>
                <w:sz w:val="14"/>
              </w:rPr>
              <w:t xml:space="preserve"> </w:t>
            </w:r>
            <w:r>
              <w:rPr>
                <w:color w:val="231F20"/>
                <w:sz w:val="14"/>
              </w:rPr>
              <w:t>одређују</w:t>
            </w:r>
            <w:r>
              <w:rPr>
                <w:color w:val="231F20"/>
                <w:spacing w:val="-8"/>
                <w:sz w:val="14"/>
              </w:rPr>
              <w:t xml:space="preserve"> </w:t>
            </w:r>
            <w:r>
              <w:rPr>
                <w:color w:val="231F20"/>
                <w:sz w:val="14"/>
              </w:rPr>
              <w:t>понашање у ситуацијама</w:t>
            </w:r>
            <w:r>
              <w:rPr>
                <w:color w:val="231F20"/>
                <w:spacing w:val="-2"/>
                <w:sz w:val="14"/>
              </w:rPr>
              <w:t xml:space="preserve"> </w:t>
            </w:r>
            <w:r>
              <w:rPr>
                <w:color w:val="231F20"/>
                <w:sz w:val="14"/>
              </w:rPr>
              <w:t>конфликта;</w:t>
            </w:r>
          </w:p>
          <w:p w:rsidR="00041039" w:rsidRDefault="001B26CB">
            <w:pPr>
              <w:pStyle w:val="TableParagraph"/>
              <w:numPr>
                <w:ilvl w:val="0"/>
                <w:numId w:val="1945"/>
              </w:numPr>
              <w:tabs>
                <w:tab w:val="left" w:pos="157"/>
              </w:tabs>
              <w:spacing w:line="158" w:lineRule="exact"/>
              <w:ind w:hanging="99"/>
              <w:rPr>
                <w:sz w:val="14"/>
              </w:rPr>
            </w:pPr>
            <w:r>
              <w:rPr>
                <w:color w:val="231F20"/>
                <w:sz w:val="14"/>
              </w:rPr>
              <w:t>анализира сукоб из</w:t>
            </w:r>
            <w:r>
              <w:rPr>
                <w:color w:val="231F20"/>
                <w:spacing w:val="-5"/>
                <w:sz w:val="14"/>
              </w:rPr>
              <w:t xml:space="preserve"> </w:t>
            </w:r>
            <w:r>
              <w:rPr>
                <w:color w:val="231F20"/>
                <w:sz w:val="14"/>
              </w:rPr>
              <w:t>различитих</w:t>
            </w:r>
          </w:p>
          <w:p w:rsidR="00041039" w:rsidRDefault="001B26CB">
            <w:pPr>
              <w:pStyle w:val="TableParagraph"/>
              <w:rPr>
                <w:sz w:val="14"/>
              </w:rPr>
            </w:pPr>
            <w:r>
              <w:rPr>
                <w:color w:val="231F20"/>
                <w:sz w:val="14"/>
              </w:rPr>
              <w:t>улога, (препознаје потребе и страхове актера сукоба) и налази конструктивна решења прихватљива за обе стране у сукобу;</w:t>
            </w:r>
          </w:p>
          <w:p w:rsidR="00041039" w:rsidRDefault="001B26CB">
            <w:pPr>
              <w:pStyle w:val="TableParagraph"/>
              <w:numPr>
                <w:ilvl w:val="0"/>
                <w:numId w:val="1945"/>
              </w:numPr>
              <w:tabs>
                <w:tab w:val="left" w:pos="157"/>
              </w:tabs>
              <w:spacing w:line="157" w:lineRule="exact"/>
              <w:ind w:hanging="99"/>
              <w:rPr>
                <w:sz w:val="14"/>
              </w:rPr>
            </w:pPr>
            <w:r>
              <w:rPr>
                <w:color w:val="231F20"/>
                <w:sz w:val="14"/>
              </w:rPr>
              <w:t>образложи предности</w:t>
            </w:r>
            <w:r>
              <w:rPr>
                <w:color w:val="231F20"/>
                <w:spacing w:val="-8"/>
                <w:sz w:val="14"/>
              </w:rPr>
              <w:t xml:space="preserve"> </w:t>
            </w:r>
            <w:r>
              <w:rPr>
                <w:color w:val="231F20"/>
                <w:sz w:val="14"/>
              </w:rPr>
              <w:t>конструктивног</w:t>
            </w:r>
          </w:p>
          <w:p w:rsidR="00041039" w:rsidRDefault="001B26CB">
            <w:pPr>
              <w:pStyle w:val="TableParagraph"/>
              <w:spacing w:line="155" w:lineRule="exact"/>
              <w:rPr>
                <w:sz w:val="14"/>
              </w:rPr>
            </w:pPr>
            <w:r>
              <w:rPr>
                <w:color w:val="231F20"/>
                <w:sz w:val="14"/>
              </w:rPr>
              <w:t>начина решавања сукоба;</w:t>
            </w:r>
          </w:p>
          <w:p w:rsidR="00041039" w:rsidRDefault="001B26CB">
            <w:pPr>
              <w:pStyle w:val="TableParagraph"/>
              <w:numPr>
                <w:ilvl w:val="0"/>
                <w:numId w:val="1945"/>
              </w:numPr>
              <w:tabs>
                <w:tab w:val="left" w:pos="157"/>
              </w:tabs>
              <w:spacing w:line="160" w:lineRule="exact"/>
              <w:ind w:hanging="99"/>
              <w:rPr>
                <w:sz w:val="14"/>
              </w:rPr>
            </w:pPr>
            <w:r>
              <w:rPr>
                <w:color w:val="231F20"/>
                <w:sz w:val="14"/>
              </w:rPr>
              <w:t>објасни значај посредовања у</w:t>
            </w:r>
            <w:r>
              <w:rPr>
                <w:color w:val="231F20"/>
                <w:spacing w:val="-4"/>
                <w:sz w:val="14"/>
              </w:rPr>
              <w:t xml:space="preserve"> </w:t>
            </w:r>
            <w:r>
              <w:rPr>
                <w:color w:val="231F20"/>
                <w:spacing w:val="-3"/>
                <w:sz w:val="14"/>
              </w:rPr>
              <w:t>сукобу;</w:t>
            </w:r>
          </w:p>
          <w:p w:rsidR="00041039" w:rsidRDefault="001B26CB">
            <w:pPr>
              <w:pStyle w:val="TableParagraph"/>
              <w:numPr>
                <w:ilvl w:val="0"/>
                <w:numId w:val="1945"/>
              </w:numPr>
              <w:tabs>
                <w:tab w:val="left" w:pos="157"/>
              </w:tabs>
              <w:spacing w:line="160" w:lineRule="exact"/>
              <w:ind w:hanging="99"/>
              <w:rPr>
                <w:sz w:val="14"/>
              </w:rPr>
            </w:pPr>
            <w:r>
              <w:rPr>
                <w:color w:val="231F20"/>
                <w:sz w:val="14"/>
              </w:rPr>
              <w:t>препозна и објасни врсте</w:t>
            </w:r>
            <w:r>
              <w:rPr>
                <w:color w:val="231F20"/>
                <w:spacing w:val="-8"/>
                <w:sz w:val="14"/>
              </w:rPr>
              <w:t xml:space="preserve"> </w:t>
            </w:r>
            <w:r>
              <w:rPr>
                <w:color w:val="231F20"/>
                <w:sz w:val="14"/>
              </w:rPr>
              <w:t>насиља;</w:t>
            </w:r>
          </w:p>
          <w:p w:rsidR="00041039" w:rsidRDefault="001B26CB">
            <w:pPr>
              <w:pStyle w:val="TableParagraph"/>
              <w:numPr>
                <w:ilvl w:val="0"/>
                <w:numId w:val="1945"/>
              </w:numPr>
              <w:tabs>
                <w:tab w:val="left" w:pos="157"/>
              </w:tabs>
              <w:spacing w:line="237" w:lineRule="auto"/>
              <w:ind w:right="88" w:hanging="99"/>
              <w:rPr>
                <w:sz w:val="14"/>
              </w:rPr>
            </w:pPr>
            <w:r>
              <w:rPr>
                <w:color w:val="231F20"/>
                <w:sz w:val="14"/>
              </w:rPr>
              <w:t>идентификује и анализира узроке насиља у својој средини, међу</w:t>
            </w:r>
            <w:r>
              <w:rPr>
                <w:color w:val="231F20"/>
                <w:spacing w:val="-14"/>
                <w:sz w:val="14"/>
              </w:rPr>
              <w:t xml:space="preserve"> </w:t>
            </w:r>
            <w:r>
              <w:rPr>
                <w:color w:val="231F20"/>
                <w:sz w:val="14"/>
              </w:rPr>
              <w:t xml:space="preserve">вршња­ цима у </w:t>
            </w:r>
            <w:r>
              <w:rPr>
                <w:color w:val="231F20"/>
                <w:spacing w:val="-3"/>
                <w:sz w:val="14"/>
              </w:rPr>
              <w:t>школи;</w:t>
            </w:r>
          </w:p>
          <w:p w:rsidR="00041039" w:rsidRDefault="001B26CB">
            <w:pPr>
              <w:pStyle w:val="TableParagraph"/>
              <w:numPr>
                <w:ilvl w:val="0"/>
                <w:numId w:val="1945"/>
              </w:numPr>
              <w:tabs>
                <w:tab w:val="left" w:pos="157"/>
              </w:tabs>
              <w:spacing w:line="237" w:lineRule="auto"/>
              <w:ind w:right="286" w:hanging="99"/>
              <w:rPr>
                <w:sz w:val="14"/>
              </w:rPr>
            </w:pPr>
            <w:r>
              <w:rPr>
                <w:color w:val="231F20"/>
                <w:sz w:val="14"/>
              </w:rPr>
              <w:t>идентификује и анализира могуће начине реаговања појединца у ситуацијама</w:t>
            </w:r>
            <w:r>
              <w:rPr>
                <w:color w:val="231F20"/>
                <w:spacing w:val="-9"/>
                <w:sz w:val="14"/>
              </w:rPr>
              <w:t xml:space="preserve"> </w:t>
            </w:r>
            <w:r>
              <w:rPr>
                <w:color w:val="231F20"/>
                <w:sz w:val="14"/>
              </w:rPr>
              <w:t>вршњачког</w:t>
            </w:r>
            <w:r>
              <w:rPr>
                <w:color w:val="231F20"/>
                <w:spacing w:val="-9"/>
                <w:sz w:val="14"/>
              </w:rPr>
              <w:t xml:space="preserve"> </w:t>
            </w:r>
            <w:r>
              <w:rPr>
                <w:color w:val="231F20"/>
                <w:sz w:val="14"/>
              </w:rPr>
              <w:t>насиља,</w:t>
            </w:r>
            <w:r>
              <w:rPr>
                <w:color w:val="231F20"/>
                <w:spacing w:val="-10"/>
                <w:sz w:val="14"/>
              </w:rPr>
              <w:t xml:space="preserve"> </w:t>
            </w:r>
            <w:r>
              <w:rPr>
                <w:color w:val="231F20"/>
                <w:sz w:val="14"/>
              </w:rPr>
              <w:t>из позиције жртве и</w:t>
            </w:r>
            <w:r>
              <w:rPr>
                <w:color w:val="231F20"/>
                <w:spacing w:val="-7"/>
                <w:sz w:val="14"/>
              </w:rPr>
              <w:t xml:space="preserve"> </w:t>
            </w:r>
            <w:r>
              <w:rPr>
                <w:color w:val="231F20"/>
                <w:sz w:val="14"/>
              </w:rPr>
              <w:t>посматрача;</w:t>
            </w:r>
          </w:p>
          <w:p w:rsidR="00041039" w:rsidRDefault="001B26CB">
            <w:pPr>
              <w:pStyle w:val="TableParagraph"/>
              <w:numPr>
                <w:ilvl w:val="0"/>
                <w:numId w:val="1945"/>
              </w:numPr>
              <w:tabs>
                <w:tab w:val="left" w:pos="157"/>
              </w:tabs>
              <w:spacing w:line="237" w:lineRule="auto"/>
              <w:ind w:right="270" w:hanging="99"/>
              <w:rPr>
                <w:sz w:val="14"/>
              </w:rPr>
            </w:pPr>
            <w:r>
              <w:rPr>
                <w:color w:val="231F20"/>
                <w:sz w:val="14"/>
              </w:rPr>
              <w:t>прихвати одговорност за</w:t>
            </w:r>
            <w:r>
              <w:rPr>
                <w:color w:val="231F20"/>
                <w:spacing w:val="-19"/>
                <w:sz w:val="14"/>
              </w:rPr>
              <w:t xml:space="preserve"> </w:t>
            </w:r>
            <w:r>
              <w:rPr>
                <w:color w:val="231F20"/>
                <w:sz w:val="14"/>
              </w:rPr>
              <w:t>сопствено понашање;</w:t>
            </w:r>
          </w:p>
        </w:tc>
        <w:tc>
          <w:tcPr>
            <w:tcW w:w="2834" w:type="dxa"/>
          </w:tcPr>
          <w:p w:rsidR="00041039" w:rsidRDefault="001B26CB">
            <w:pPr>
              <w:pStyle w:val="TableParagraph"/>
              <w:numPr>
                <w:ilvl w:val="0"/>
                <w:numId w:val="1944"/>
              </w:numPr>
              <w:tabs>
                <w:tab w:val="left" w:pos="157"/>
              </w:tabs>
              <w:spacing w:before="9" w:line="166" w:lineRule="exact"/>
              <w:ind w:hanging="99"/>
              <w:rPr>
                <w:sz w:val="14"/>
              </w:rPr>
            </w:pPr>
            <w:r>
              <w:rPr>
                <w:color w:val="231F20"/>
                <w:sz w:val="14"/>
              </w:rPr>
              <w:t>Сарадња.</w:t>
            </w:r>
          </w:p>
          <w:p w:rsidR="00041039" w:rsidRDefault="001B26CB">
            <w:pPr>
              <w:pStyle w:val="TableParagraph"/>
              <w:numPr>
                <w:ilvl w:val="0"/>
                <w:numId w:val="1944"/>
              </w:numPr>
              <w:tabs>
                <w:tab w:val="left" w:pos="157"/>
              </w:tabs>
              <w:spacing w:line="160" w:lineRule="exact"/>
              <w:ind w:hanging="99"/>
              <w:rPr>
                <w:sz w:val="14"/>
              </w:rPr>
            </w:pPr>
            <w:r>
              <w:rPr>
                <w:color w:val="231F20"/>
                <w:sz w:val="14"/>
              </w:rPr>
              <w:t>Групни</w:t>
            </w:r>
            <w:r>
              <w:rPr>
                <w:color w:val="231F20"/>
                <w:spacing w:val="-1"/>
                <w:sz w:val="14"/>
              </w:rPr>
              <w:t xml:space="preserve"> </w:t>
            </w:r>
            <w:r>
              <w:rPr>
                <w:color w:val="231F20"/>
                <w:sz w:val="14"/>
              </w:rPr>
              <w:t>рад.</w:t>
            </w:r>
          </w:p>
          <w:p w:rsidR="00041039" w:rsidRDefault="001B26CB">
            <w:pPr>
              <w:pStyle w:val="TableParagraph"/>
              <w:numPr>
                <w:ilvl w:val="0"/>
                <w:numId w:val="1944"/>
              </w:numPr>
              <w:tabs>
                <w:tab w:val="left" w:pos="157"/>
              </w:tabs>
              <w:spacing w:line="160" w:lineRule="exact"/>
              <w:ind w:hanging="99"/>
              <w:rPr>
                <w:sz w:val="14"/>
              </w:rPr>
            </w:pPr>
            <w:r>
              <w:rPr>
                <w:color w:val="231F20"/>
                <w:sz w:val="14"/>
              </w:rPr>
              <w:t>Групно</w:t>
            </w:r>
            <w:r>
              <w:rPr>
                <w:color w:val="231F20"/>
                <w:spacing w:val="-1"/>
                <w:sz w:val="14"/>
              </w:rPr>
              <w:t xml:space="preserve"> </w:t>
            </w:r>
            <w:r>
              <w:rPr>
                <w:color w:val="231F20"/>
                <w:sz w:val="14"/>
              </w:rPr>
              <w:t>одлучивање.</w:t>
            </w:r>
          </w:p>
          <w:p w:rsidR="00041039" w:rsidRDefault="001B26CB">
            <w:pPr>
              <w:pStyle w:val="TableParagraph"/>
              <w:numPr>
                <w:ilvl w:val="0"/>
                <w:numId w:val="1944"/>
              </w:numPr>
              <w:tabs>
                <w:tab w:val="left" w:pos="157"/>
              </w:tabs>
              <w:spacing w:line="237" w:lineRule="auto"/>
              <w:ind w:right="314" w:hanging="99"/>
              <w:rPr>
                <w:sz w:val="14"/>
              </w:rPr>
            </w:pPr>
            <w:r>
              <w:rPr>
                <w:color w:val="231F20"/>
                <w:sz w:val="14"/>
              </w:rPr>
              <w:t>Учешће младих: „Лествица партиципа­ ције”.</w:t>
            </w:r>
          </w:p>
          <w:p w:rsidR="00041039" w:rsidRDefault="001B26CB">
            <w:pPr>
              <w:pStyle w:val="TableParagraph"/>
              <w:numPr>
                <w:ilvl w:val="0"/>
                <w:numId w:val="1944"/>
              </w:numPr>
              <w:tabs>
                <w:tab w:val="left" w:pos="157"/>
              </w:tabs>
              <w:spacing w:line="155" w:lineRule="exact"/>
              <w:ind w:hanging="99"/>
              <w:rPr>
                <w:sz w:val="14"/>
              </w:rPr>
            </w:pPr>
            <w:r>
              <w:rPr>
                <w:color w:val="231F20"/>
                <w:sz w:val="14"/>
              </w:rPr>
              <w:t>Радити</w:t>
            </w:r>
            <w:r>
              <w:rPr>
                <w:color w:val="231F20"/>
                <w:spacing w:val="-11"/>
                <w:sz w:val="14"/>
              </w:rPr>
              <w:t xml:space="preserve"> </w:t>
            </w:r>
            <w:r>
              <w:rPr>
                <w:color w:val="231F20"/>
                <w:sz w:val="14"/>
              </w:rPr>
              <w:t>заједно.</w:t>
            </w:r>
          </w:p>
          <w:p w:rsidR="00041039" w:rsidRDefault="001B26CB">
            <w:pPr>
              <w:pStyle w:val="TableParagraph"/>
              <w:numPr>
                <w:ilvl w:val="0"/>
                <w:numId w:val="1944"/>
              </w:numPr>
              <w:tabs>
                <w:tab w:val="left" w:pos="157"/>
              </w:tabs>
              <w:spacing w:line="160" w:lineRule="exact"/>
              <w:ind w:hanging="99"/>
              <w:rPr>
                <w:sz w:val="14"/>
              </w:rPr>
            </w:pPr>
            <w:r>
              <w:rPr>
                <w:color w:val="231F20"/>
                <w:sz w:val="14"/>
              </w:rPr>
              <w:t xml:space="preserve">Динамика и </w:t>
            </w:r>
            <w:r>
              <w:rPr>
                <w:color w:val="231F20"/>
                <w:spacing w:val="-3"/>
                <w:sz w:val="14"/>
              </w:rPr>
              <w:t xml:space="preserve">исходи </w:t>
            </w:r>
            <w:r>
              <w:rPr>
                <w:color w:val="231F20"/>
                <w:sz w:val="14"/>
              </w:rPr>
              <w:t>сукоба</w:t>
            </w:r>
          </w:p>
          <w:p w:rsidR="00041039" w:rsidRDefault="001B26CB">
            <w:pPr>
              <w:pStyle w:val="TableParagraph"/>
              <w:numPr>
                <w:ilvl w:val="0"/>
                <w:numId w:val="1944"/>
              </w:numPr>
              <w:tabs>
                <w:tab w:val="left" w:pos="157"/>
              </w:tabs>
              <w:spacing w:line="160" w:lineRule="exact"/>
              <w:ind w:hanging="99"/>
              <w:rPr>
                <w:sz w:val="14"/>
              </w:rPr>
            </w:pPr>
            <w:r>
              <w:rPr>
                <w:color w:val="231F20"/>
                <w:sz w:val="14"/>
              </w:rPr>
              <w:t>Стилови поступања у</w:t>
            </w:r>
            <w:r>
              <w:rPr>
                <w:color w:val="231F20"/>
                <w:spacing w:val="-4"/>
                <w:sz w:val="14"/>
              </w:rPr>
              <w:t xml:space="preserve"> </w:t>
            </w:r>
            <w:r>
              <w:rPr>
                <w:color w:val="231F20"/>
                <w:sz w:val="14"/>
              </w:rPr>
              <w:t>конфликтима.</w:t>
            </w:r>
          </w:p>
          <w:p w:rsidR="00041039" w:rsidRDefault="001B26CB">
            <w:pPr>
              <w:pStyle w:val="TableParagraph"/>
              <w:numPr>
                <w:ilvl w:val="0"/>
                <w:numId w:val="1944"/>
              </w:numPr>
              <w:tabs>
                <w:tab w:val="left" w:pos="157"/>
              </w:tabs>
              <w:spacing w:line="237" w:lineRule="auto"/>
              <w:ind w:right="422" w:hanging="99"/>
              <w:rPr>
                <w:sz w:val="14"/>
              </w:rPr>
            </w:pPr>
            <w:r>
              <w:rPr>
                <w:color w:val="231F20"/>
                <w:sz w:val="14"/>
              </w:rPr>
              <w:t>Сагледавање проблема из</w:t>
            </w:r>
            <w:r>
              <w:rPr>
                <w:color w:val="231F20"/>
                <w:spacing w:val="-23"/>
                <w:sz w:val="14"/>
              </w:rPr>
              <w:t xml:space="preserve"> </w:t>
            </w:r>
            <w:r>
              <w:rPr>
                <w:color w:val="231F20"/>
                <w:sz w:val="14"/>
              </w:rPr>
              <w:t>различитих углова.</w:t>
            </w:r>
          </w:p>
          <w:p w:rsidR="00041039" w:rsidRDefault="001B26CB">
            <w:pPr>
              <w:pStyle w:val="TableParagraph"/>
              <w:numPr>
                <w:ilvl w:val="0"/>
                <w:numId w:val="1944"/>
              </w:numPr>
              <w:tabs>
                <w:tab w:val="left" w:pos="157"/>
              </w:tabs>
              <w:spacing w:line="155" w:lineRule="exact"/>
              <w:ind w:hanging="99"/>
              <w:rPr>
                <w:sz w:val="14"/>
              </w:rPr>
            </w:pPr>
            <w:r>
              <w:rPr>
                <w:color w:val="231F20"/>
                <w:sz w:val="14"/>
              </w:rPr>
              <w:t>Налажење</w:t>
            </w:r>
            <w:r>
              <w:rPr>
                <w:color w:val="231F20"/>
                <w:spacing w:val="-1"/>
                <w:sz w:val="14"/>
              </w:rPr>
              <w:t xml:space="preserve"> </w:t>
            </w:r>
            <w:r>
              <w:rPr>
                <w:color w:val="231F20"/>
                <w:sz w:val="14"/>
              </w:rPr>
              <w:t>решења.</w:t>
            </w:r>
          </w:p>
          <w:p w:rsidR="00041039" w:rsidRDefault="001B26CB">
            <w:pPr>
              <w:pStyle w:val="TableParagraph"/>
              <w:numPr>
                <w:ilvl w:val="0"/>
                <w:numId w:val="1944"/>
              </w:numPr>
              <w:tabs>
                <w:tab w:val="left" w:pos="157"/>
              </w:tabs>
              <w:spacing w:line="160" w:lineRule="exact"/>
              <w:ind w:hanging="99"/>
              <w:rPr>
                <w:sz w:val="14"/>
              </w:rPr>
            </w:pPr>
            <w:r>
              <w:rPr>
                <w:color w:val="231F20"/>
                <w:sz w:val="14"/>
              </w:rPr>
              <w:t>Постизање</w:t>
            </w:r>
            <w:r>
              <w:rPr>
                <w:color w:val="231F20"/>
                <w:spacing w:val="-1"/>
                <w:sz w:val="14"/>
              </w:rPr>
              <w:t xml:space="preserve"> </w:t>
            </w:r>
            <w:r>
              <w:rPr>
                <w:color w:val="231F20"/>
                <w:sz w:val="14"/>
              </w:rPr>
              <w:t>договора.</w:t>
            </w:r>
          </w:p>
          <w:p w:rsidR="00041039" w:rsidRDefault="001B26CB">
            <w:pPr>
              <w:pStyle w:val="TableParagraph"/>
              <w:numPr>
                <w:ilvl w:val="0"/>
                <w:numId w:val="1944"/>
              </w:numPr>
              <w:tabs>
                <w:tab w:val="left" w:pos="157"/>
              </w:tabs>
              <w:spacing w:line="160" w:lineRule="exact"/>
              <w:ind w:hanging="99"/>
              <w:rPr>
                <w:sz w:val="14"/>
              </w:rPr>
            </w:pPr>
            <w:r>
              <w:rPr>
                <w:color w:val="231F20"/>
                <w:sz w:val="14"/>
              </w:rPr>
              <w:t>Извини.</w:t>
            </w:r>
          </w:p>
          <w:p w:rsidR="00041039" w:rsidRDefault="001B26CB">
            <w:pPr>
              <w:pStyle w:val="TableParagraph"/>
              <w:numPr>
                <w:ilvl w:val="0"/>
                <w:numId w:val="1944"/>
              </w:numPr>
              <w:tabs>
                <w:tab w:val="left" w:pos="157"/>
              </w:tabs>
              <w:spacing w:line="160" w:lineRule="exact"/>
              <w:ind w:hanging="99"/>
              <w:rPr>
                <w:sz w:val="14"/>
              </w:rPr>
            </w:pPr>
            <w:r>
              <w:rPr>
                <w:color w:val="231F20"/>
                <w:sz w:val="14"/>
              </w:rPr>
              <w:t>Посредовање.</w:t>
            </w:r>
          </w:p>
          <w:p w:rsidR="00041039" w:rsidRDefault="001B26CB">
            <w:pPr>
              <w:pStyle w:val="TableParagraph"/>
              <w:numPr>
                <w:ilvl w:val="0"/>
                <w:numId w:val="1944"/>
              </w:numPr>
              <w:tabs>
                <w:tab w:val="left" w:pos="157"/>
              </w:tabs>
              <w:spacing w:line="160" w:lineRule="exact"/>
              <w:ind w:hanging="99"/>
              <w:rPr>
                <w:sz w:val="14"/>
              </w:rPr>
            </w:pPr>
            <w:r>
              <w:rPr>
                <w:color w:val="231F20"/>
                <w:sz w:val="14"/>
              </w:rPr>
              <w:t>Насиље у</w:t>
            </w:r>
            <w:r>
              <w:rPr>
                <w:color w:val="231F20"/>
                <w:spacing w:val="-20"/>
                <w:sz w:val="14"/>
              </w:rPr>
              <w:t xml:space="preserve"> </w:t>
            </w:r>
            <w:r>
              <w:rPr>
                <w:color w:val="231F20"/>
                <w:sz w:val="14"/>
              </w:rPr>
              <w:t>околини.</w:t>
            </w:r>
          </w:p>
          <w:p w:rsidR="00041039" w:rsidRDefault="001B26CB">
            <w:pPr>
              <w:pStyle w:val="TableParagraph"/>
              <w:numPr>
                <w:ilvl w:val="0"/>
                <w:numId w:val="1944"/>
              </w:numPr>
              <w:tabs>
                <w:tab w:val="left" w:pos="157"/>
              </w:tabs>
              <w:spacing w:line="160" w:lineRule="exact"/>
              <w:ind w:hanging="99"/>
              <w:rPr>
                <w:sz w:val="14"/>
              </w:rPr>
            </w:pPr>
            <w:r>
              <w:rPr>
                <w:color w:val="231F20"/>
                <w:sz w:val="14"/>
              </w:rPr>
              <w:t>Вршњачконасиље.</w:t>
            </w:r>
          </w:p>
          <w:p w:rsidR="00041039" w:rsidRDefault="001B26CB">
            <w:pPr>
              <w:pStyle w:val="TableParagraph"/>
              <w:numPr>
                <w:ilvl w:val="0"/>
                <w:numId w:val="1944"/>
              </w:numPr>
              <w:tabs>
                <w:tab w:val="left" w:pos="157"/>
              </w:tabs>
              <w:spacing w:line="160" w:lineRule="exact"/>
              <w:ind w:hanging="99"/>
              <w:rPr>
                <w:sz w:val="14"/>
              </w:rPr>
            </w:pPr>
            <w:r>
              <w:rPr>
                <w:color w:val="231F20"/>
                <w:sz w:val="14"/>
              </w:rPr>
              <w:t>Насиље у</w:t>
            </w:r>
            <w:r>
              <w:rPr>
                <w:color w:val="231F20"/>
                <w:spacing w:val="-1"/>
                <w:sz w:val="14"/>
              </w:rPr>
              <w:t xml:space="preserve"> </w:t>
            </w:r>
            <w:r>
              <w:rPr>
                <w:color w:val="231F20"/>
                <w:spacing w:val="-3"/>
                <w:sz w:val="14"/>
              </w:rPr>
              <w:t>школи.</w:t>
            </w:r>
          </w:p>
          <w:p w:rsidR="00041039" w:rsidRDefault="001B26CB">
            <w:pPr>
              <w:pStyle w:val="TableParagraph"/>
              <w:numPr>
                <w:ilvl w:val="0"/>
                <w:numId w:val="1944"/>
              </w:numPr>
              <w:tabs>
                <w:tab w:val="left" w:pos="157"/>
              </w:tabs>
              <w:spacing w:line="166" w:lineRule="exact"/>
              <w:ind w:hanging="99"/>
              <w:rPr>
                <w:sz w:val="14"/>
              </w:rPr>
            </w:pPr>
            <w:r>
              <w:rPr>
                <w:color w:val="231F20"/>
                <w:sz w:val="14"/>
              </w:rPr>
              <w:t>Постизање</w:t>
            </w:r>
            <w:r>
              <w:rPr>
                <w:color w:val="231F20"/>
                <w:sz w:val="14"/>
              </w:rPr>
              <w:t xml:space="preserve"> </w:t>
            </w:r>
            <w:r>
              <w:rPr>
                <w:color w:val="231F20"/>
                <w:sz w:val="14"/>
              </w:rPr>
              <w:t>мира.</w:t>
            </w:r>
          </w:p>
        </w:tc>
        <w:tc>
          <w:tcPr>
            <w:tcW w:w="2267" w:type="dxa"/>
          </w:tcPr>
          <w:p w:rsidR="00041039" w:rsidRDefault="001B26CB">
            <w:pPr>
              <w:pStyle w:val="TableParagraph"/>
              <w:numPr>
                <w:ilvl w:val="0"/>
                <w:numId w:val="1943"/>
              </w:numPr>
              <w:tabs>
                <w:tab w:val="left" w:pos="158"/>
              </w:tabs>
              <w:spacing w:before="9"/>
              <w:ind w:right="162" w:hanging="99"/>
              <w:rPr>
                <w:sz w:val="14"/>
              </w:rPr>
            </w:pPr>
            <w:r>
              <w:rPr>
                <w:color w:val="231F20"/>
                <w:sz w:val="14"/>
              </w:rPr>
              <w:t>Квалитет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p w:rsidR="00041039" w:rsidRDefault="001B26CB">
            <w:pPr>
              <w:pStyle w:val="TableParagraph"/>
              <w:numPr>
                <w:ilvl w:val="0"/>
                <w:numId w:val="1943"/>
              </w:numPr>
              <w:tabs>
                <w:tab w:val="left" w:pos="158"/>
              </w:tabs>
              <w:spacing w:line="155" w:lineRule="exact"/>
              <w:ind w:hanging="99"/>
              <w:rPr>
                <w:sz w:val="14"/>
              </w:rPr>
            </w:pPr>
            <w:r>
              <w:rPr>
                <w:color w:val="231F20"/>
                <w:sz w:val="14"/>
              </w:rPr>
              <w:t>Добар индикатор успешне</w:t>
            </w:r>
            <w:r>
              <w:rPr>
                <w:color w:val="231F20"/>
                <w:spacing w:val="-6"/>
                <w:sz w:val="14"/>
              </w:rPr>
              <w:t xml:space="preserve"> </w:t>
            </w:r>
            <w:r>
              <w:rPr>
                <w:color w:val="231F20"/>
                <w:sz w:val="14"/>
              </w:rPr>
              <w:t>на­</w:t>
            </w:r>
          </w:p>
          <w:p w:rsidR="00041039" w:rsidRDefault="001B26CB">
            <w:pPr>
              <w:pStyle w:val="TableParagraph"/>
              <w:ind w:left="157" w:right="179"/>
              <w:rPr>
                <w:sz w:val="14"/>
              </w:rPr>
            </w:pPr>
            <w:r>
              <w:rPr>
                <w:color w:val="231F20"/>
                <w:sz w:val="14"/>
              </w:rPr>
              <w:t>ставе је способност ученика да адекватно примењују стечена знања и вештине и да у прак</w:t>
            </w:r>
            <w:r>
              <w:rPr>
                <w:color w:val="231F20"/>
                <w:sz w:val="14"/>
              </w:rPr>
              <w:t>си изражавају ставове и вредности демократског друштва.</w:t>
            </w:r>
          </w:p>
          <w:p w:rsidR="00041039" w:rsidRDefault="001B26CB">
            <w:pPr>
              <w:pStyle w:val="TableParagraph"/>
              <w:numPr>
                <w:ilvl w:val="0"/>
                <w:numId w:val="1943"/>
              </w:numPr>
              <w:tabs>
                <w:tab w:val="left" w:pos="158"/>
              </w:tabs>
              <w:spacing w:line="156" w:lineRule="exact"/>
              <w:ind w:hanging="99"/>
              <w:rPr>
                <w:sz w:val="14"/>
              </w:rPr>
            </w:pPr>
            <w:r>
              <w:rPr>
                <w:color w:val="231F20"/>
                <w:sz w:val="14"/>
              </w:rPr>
              <w:t>Наставник треба</w:t>
            </w:r>
            <w:r>
              <w:rPr>
                <w:color w:val="231F20"/>
                <w:spacing w:val="-2"/>
                <w:sz w:val="14"/>
              </w:rPr>
              <w:t xml:space="preserve"> </w:t>
            </w:r>
            <w:r>
              <w:rPr>
                <w:color w:val="231F20"/>
                <w:sz w:val="14"/>
              </w:rPr>
              <w:t>дапружинеоп­</w:t>
            </w:r>
          </w:p>
          <w:p w:rsidR="00041039" w:rsidRDefault="001B26CB">
            <w:pPr>
              <w:pStyle w:val="TableParagraph"/>
              <w:ind w:left="157"/>
              <w:rPr>
                <w:sz w:val="14"/>
              </w:rPr>
            </w:pPr>
            <w:r>
              <w:rPr>
                <w:color w:val="231F20"/>
                <w:sz w:val="14"/>
              </w:rPr>
              <w:t>ходну помоћ и подршкуученици­ мау припреми и реализацији ак­ тивности, а заједно са групом да обезбеди повратну информацију о њеној успешности.</w:t>
            </w:r>
          </w:p>
          <w:p w:rsidR="00041039" w:rsidRDefault="001B26CB">
            <w:pPr>
              <w:pStyle w:val="TableParagraph"/>
              <w:numPr>
                <w:ilvl w:val="0"/>
                <w:numId w:val="1943"/>
              </w:numPr>
              <w:tabs>
                <w:tab w:val="left" w:pos="158"/>
              </w:tabs>
              <w:spacing w:line="156" w:lineRule="exact"/>
              <w:ind w:hanging="99"/>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ученичких актив­ ности и особа која даје повратну информацију.</w:t>
            </w:r>
          </w:p>
          <w:p w:rsidR="00041039" w:rsidRDefault="001B26CB">
            <w:pPr>
              <w:pStyle w:val="TableParagraph"/>
              <w:numPr>
                <w:ilvl w:val="0"/>
                <w:numId w:val="1943"/>
              </w:numPr>
              <w:tabs>
                <w:tab w:val="left" w:pos="158"/>
              </w:tabs>
              <w:spacing w:line="157" w:lineRule="exact"/>
              <w:ind w:hanging="99"/>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1943"/>
              </w:numPr>
              <w:tabs>
                <w:tab w:val="left" w:pos="158"/>
              </w:tabs>
              <w:spacing w:line="237" w:lineRule="auto"/>
              <w:ind w:right="105"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w:t>
            </w:r>
            <w:r>
              <w:rPr>
                <w:color w:val="231F20"/>
                <w:spacing w:val="-11"/>
                <w:sz w:val="14"/>
              </w:rPr>
              <w:t xml:space="preserve"> </w:t>
            </w:r>
            <w:r>
              <w:rPr>
                <w:color w:val="231F20"/>
                <w:sz w:val="14"/>
              </w:rPr>
              <w:t>15–20 ученика.</w:t>
            </w:r>
          </w:p>
          <w:p w:rsidR="00041039" w:rsidRDefault="00041039">
            <w:pPr>
              <w:pStyle w:val="TableParagraph"/>
              <w:spacing w:before="10"/>
              <w:ind w:left="0"/>
              <w:rPr>
                <w:b/>
                <w:sz w:val="12"/>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943"/>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943"/>
              </w:numPr>
              <w:tabs>
                <w:tab w:val="left" w:pos="158"/>
              </w:tabs>
              <w:spacing w:line="160" w:lineRule="exact"/>
              <w:ind w:hanging="99"/>
              <w:rPr>
                <w:b/>
                <w:sz w:val="14"/>
              </w:rPr>
            </w:pPr>
            <w:r>
              <w:rPr>
                <w:color w:val="231F20"/>
                <w:sz w:val="14"/>
              </w:rPr>
              <w:t xml:space="preserve">Ја, ми и други </w:t>
            </w:r>
            <w:r>
              <w:rPr>
                <w:b/>
                <w:color w:val="231F20"/>
                <w:sz w:val="14"/>
              </w:rPr>
              <w:t>(8</w:t>
            </w:r>
            <w:r>
              <w:rPr>
                <w:b/>
                <w:color w:val="231F20"/>
                <w:spacing w:val="-6"/>
                <w:sz w:val="14"/>
              </w:rPr>
              <w:t xml:space="preserve"> </w:t>
            </w:r>
            <w:r>
              <w:rPr>
                <w:b/>
                <w:color w:val="231F20"/>
                <w:sz w:val="14"/>
              </w:rPr>
              <w:t>часова)</w:t>
            </w:r>
          </w:p>
          <w:p w:rsidR="00041039" w:rsidRDefault="001B26CB">
            <w:pPr>
              <w:pStyle w:val="TableParagraph"/>
              <w:numPr>
                <w:ilvl w:val="0"/>
                <w:numId w:val="1943"/>
              </w:numPr>
              <w:tabs>
                <w:tab w:val="left" w:pos="158"/>
              </w:tabs>
              <w:spacing w:line="160" w:lineRule="exact"/>
              <w:ind w:hanging="99"/>
              <w:rPr>
                <w:b/>
                <w:sz w:val="14"/>
              </w:rPr>
            </w:pPr>
            <w:r>
              <w:rPr>
                <w:color w:val="231F20"/>
                <w:sz w:val="14"/>
              </w:rPr>
              <w:t xml:space="preserve">Комуникација у групи </w:t>
            </w:r>
            <w:r>
              <w:rPr>
                <w:b/>
                <w:color w:val="231F20"/>
                <w:sz w:val="14"/>
              </w:rPr>
              <w:t>(8</w:t>
            </w:r>
            <w:r>
              <w:rPr>
                <w:b/>
                <w:color w:val="231F20"/>
                <w:spacing w:val="-14"/>
                <w:sz w:val="14"/>
              </w:rPr>
              <w:t xml:space="preserve"> </w:t>
            </w:r>
            <w:r>
              <w:rPr>
                <w:b/>
                <w:color w:val="231F20"/>
                <w:sz w:val="14"/>
              </w:rPr>
              <w:t>часова)</w:t>
            </w:r>
          </w:p>
          <w:p w:rsidR="00041039" w:rsidRDefault="001B26CB">
            <w:pPr>
              <w:pStyle w:val="TableParagraph"/>
              <w:numPr>
                <w:ilvl w:val="0"/>
                <w:numId w:val="1943"/>
              </w:numPr>
              <w:tabs>
                <w:tab w:val="left" w:pos="158"/>
              </w:tabs>
              <w:spacing w:before="7" w:line="160" w:lineRule="exact"/>
              <w:ind w:right="307" w:hanging="99"/>
              <w:rPr>
                <w:b/>
                <w:sz w:val="14"/>
              </w:rPr>
            </w:pPr>
            <w:r>
              <w:rPr>
                <w:color w:val="231F20"/>
                <w:sz w:val="14"/>
              </w:rPr>
              <w:t>Односи у групи/заједници</w:t>
            </w:r>
            <w:r>
              <w:rPr>
                <w:color w:val="231F20"/>
                <w:spacing w:val="-4"/>
                <w:sz w:val="14"/>
              </w:rPr>
              <w:t xml:space="preserve"> </w:t>
            </w:r>
            <w:r>
              <w:rPr>
                <w:b/>
                <w:color w:val="231F20"/>
                <w:sz w:val="14"/>
              </w:rPr>
              <w:t>(19 часова)</w:t>
            </w:r>
          </w:p>
        </w:tc>
      </w:tr>
    </w:tbl>
    <w:p w:rsidR="00041039" w:rsidRDefault="00041039">
      <w:pPr>
        <w:pStyle w:val="BodyText"/>
        <w:spacing w:before="8"/>
        <w:rPr>
          <w:b/>
          <w:sz w:val="18"/>
        </w:rPr>
      </w:pPr>
    </w:p>
    <w:p w:rsidR="00041039" w:rsidRDefault="001B26CB">
      <w:pPr>
        <w:tabs>
          <w:tab w:val="left" w:pos="1461"/>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5000"/>
        </w:trPr>
        <w:tc>
          <w:tcPr>
            <w:tcW w:w="1304" w:type="dxa"/>
          </w:tcPr>
          <w:p w:rsidR="00041039" w:rsidRDefault="001B26CB">
            <w:pPr>
              <w:pStyle w:val="TableParagraph"/>
              <w:spacing w:before="18"/>
              <w:ind w:left="56" w:right="37"/>
              <w:rPr>
                <w:sz w:val="14"/>
              </w:rPr>
            </w:pPr>
            <w:r>
              <w:rPr>
                <w:color w:val="231F20"/>
                <w:sz w:val="14"/>
              </w:rPr>
              <w:t>Права и одговор­ ности</w:t>
            </w:r>
          </w:p>
        </w:tc>
        <w:tc>
          <w:tcPr>
            <w:tcW w:w="1587" w:type="dxa"/>
          </w:tcPr>
          <w:p w:rsidR="00041039" w:rsidRDefault="001B26CB">
            <w:pPr>
              <w:pStyle w:val="TableParagraph"/>
              <w:numPr>
                <w:ilvl w:val="0"/>
                <w:numId w:val="1942"/>
              </w:numPr>
              <w:tabs>
                <w:tab w:val="left" w:pos="157"/>
              </w:tabs>
              <w:spacing w:before="8"/>
              <w:ind w:right="189"/>
              <w:rPr>
                <w:sz w:val="14"/>
              </w:rPr>
            </w:pPr>
            <w:r>
              <w:rPr>
                <w:color w:val="231F20"/>
                <w:sz w:val="14"/>
              </w:rPr>
              <w:t>Упознавање</w:t>
            </w:r>
            <w:r>
              <w:rPr>
                <w:color w:val="231F20"/>
                <w:spacing w:val="-19"/>
                <w:sz w:val="14"/>
              </w:rPr>
              <w:t xml:space="preserve"> </w:t>
            </w:r>
            <w:r>
              <w:rPr>
                <w:color w:val="231F20"/>
                <w:sz w:val="14"/>
              </w:rPr>
              <w:t>ученика са врстама права и природом (универ­ залност,</w:t>
            </w:r>
            <w:r>
              <w:rPr>
                <w:color w:val="231F20"/>
                <w:spacing w:val="-16"/>
                <w:sz w:val="14"/>
              </w:rPr>
              <w:t xml:space="preserve"> </w:t>
            </w:r>
            <w:r>
              <w:rPr>
                <w:color w:val="231F20"/>
                <w:sz w:val="14"/>
              </w:rPr>
              <w:t>целовитост, недељивост).</w:t>
            </w:r>
          </w:p>
          <w:p w:rsidR="00041039" w:rsidRDefault="001B26CB">
            <w:pPr>
              <w:pStyle w:val="TableParagraph"/>
              <w:numPr>
                <w:ilvl w:val="0"/>
                <w:numId w:val="1942"/>
              </w:numPr>
              <w:tabs>
                <w:tab w:val="left" w:pos="157"/>
              </w:tabs>
              <w:spacing w:line="155" w:lineRule="exact"/>
              <w:rPr>
                <w:sz w:val="14"/>
              </w:rPr>
            </w:pPr>
            <w:r>
              <w:rPr>
                <w:color w:val="231F20"/>
                <w:sz w:val="14"/>
              </w:rPr>
              <w:t>Упознавање</w:t>
            </w:r>
            <w:r>
              <w:rPr>
                <w:color w:val="231F20"/>
                <w:spacing w:val="-4"/>
                <w:sz w:val="14"/>
              </w:rPr>
              <w:t xml:space="preserve"> </w:t>
            </w:r>
            <w:r>
              <w:rPr>
                <w:color w:val="231F20"/>
                <w:sz w:val="14"/>
              </w:rPr>
              <w:t>ученика</w:t>
            </w:r>
          </w:p>
          <w:p w:rsidR="00041039" w:rsidRDefault="001B26CB">
            <w:pPr>
              <w:pStyle w:val="TableParagraph"/>
              <w:ind w:right="15"/>
              <w:rPr>
                <w:sz w:val="14"/>
              </w:rPr>
            </w:pPr>
            <w:r>
              <w:rPr>
                <w:color w:val="231F20"/>
                <w:sz w:val="14"/>
              </w:rPr>
              <w:t>са начинима и механи­ змима заштите права.</w:t>
            </w:r>
          </w:p>
          <w:p w:rsidR="00041039" w:rsidRDefault="001B26CB">
            <w:pPr>
              <w:pStyle w:val="TableParagraph"/>
              <w:numPr>
                <w:ilvl w:val="0"/>
                <w:numId w:val="1942"/>
              </w:numPr>
              <w:tabs>
                <w:tab w:val="left" w:pos="157"/>
              </w:tabs>
              <w:spacing w:line="160" w:lineRule="exact"/>
              <w:ind w:right="151"/>
              <w:rPr>
                <w:sz w:val="14"/>
              </w:rPr>
            </w:pPr>
            <w:r>
              <w:rPr>
                <w:color w:val="231F20"/>
                <w:sz w:val="14"/>
              </w:rPr>
              <w:t>Сагледавање значаја личног ангажовања</w:t>
            </w:r>
            <w:r>
              <w:rPr>
                <w:color w:val="231F20"/>
                <w:spacing w:val="-11"/>
                <w:sz w:val="14"/>
              </w:rPr>
              <w:t xml:space="preserve"> </w:t>
            </w:r>
            <w:r>
              <w:rPr>
                <w:color w:val="231F20"/>
                <w:sz w:val="14"/>
              </w:rPr>
              <w:t>у заштити сопствених права и права других људи.</w:t>
            </w:r>
          </w:p>
        </w:tc>
        <w:tc>
          <w:tcPr>
            <w:tcW w:w="2551" w:type="dxa"/>
          </w:tcPr>
          <w:p w:rsidR="00041039" w:rsidRDefault="001B26CB">
            <w:pPr>
              <w:pStyle w:val="TableParagraph"/>
              <w:numPr>
                <w:ilvl w:val="0"/>
                <w:numId w:val="1941"/>
              </w:numPr>
              <w:tabs>
                <w:tab w:val="left" w:pos="157"/>
              </w:tabs>
              <w:spacing w:before="8"/>
              <w:ind w:right="299" w:hanging="99"/>
              <w:rPr>
                <w:sz w:val="14"/>
              </w:rPr>
            </w:pPr>
            <w:r>
              <w:rPr>
                <w:color w:val="231F20"/>
                <w:sz w:val="14"/>
              </w:rPr>
              <w:t>објасни значење и смисао</w:t>
            </w:r>
            <w:r>
              <w:rPr>
                <w:color w:val="231F20"/>
                <w:spacing w:val="-17"/>
                <w:sz w:val="14"/>
              </w:rPr>
              <w:t xml:space="preserve"> </w:t>
            </w:r>
            <w:r>
              <w:rPr>
                <w:color w:val="231F20"/>
                <w:sz w:val="14"/>
              </w:rPr>
              <w:t>људских права;</w:t>
            </w:r>
          </w:p>
          <w:p w:rsidR="00041039" w:rsidRDefault="001B26CB">
            <w:pPr>
              <w:pStyle w:val="TableParagraph"/>
              <w:numPr>
                <w:ilvl w:val="0"/>
                <w:numId w:val="1941"/>
              </w:numPr>
              <w:tabs>
                <w:tab w:val="left" w:pos="157"/>
              </w:tabs>
              <w:spacing w:line="160" w:lineRule="exact"/>
              <w:ind w:right="74" w:hanging="99"/>
              <w:rPr>
                <w:sz w:val="14"/>
              </w:rPr>
            </w:pPr>
            <w:r>
              <w:rPr>
                <w:color w:val="231F20"/>
                <w:sz w:val="14"/>
              </w:rPr>
              <w:t>разликује врсте људских права</w:t>
            </w:r>
            <w:r>
              <w:rPr>
                <w:color w:val="231F20"/>
                <w:spacing w:val="-26"/>
                <w:sz w:val="14"/>
              </w:rPr>
              <w:t xml:space="preserve"> </w:t>
            </w:r>
            <w:r>
              <w:rPr>
                <w:color w:val="231F20"/>
                <w:sz w:val="14"/>
              </w:rPr>
              <w:t>(лична, политичка, социјалноекономска, културна, здравств</w:t>
            </w:r>
            <w:r>
              <w:rPr>
                <w:color w:val="231F20"/>
                <w:sz w:val="14"/>
              </w:rPr>
              <w:t>ена</w:t>
            </w:r>
            <w:r>
              <w:rPr>
                <w:color w:val="231F20"/>
                <w:spacing w:val="-3"/>
                <w:sz w:val="14"/>
              </w:rPr>
              <w:t xml:space="preserve"> </w:t>
            </w:r>
            <w:r>
              <w:rPr>
                <w:color w:val="231F20"/>
                <w:sz w:val="14"/>
              </w:rPr>
              <w:t>права);</w:t>
            </w:r>
          </w:p>
          <w:p w:rsidR="00041039" w:rsidRDefault="001B26CB">
            <w:pPr>
              <w:pStyle w:val="TableParagraph"/>
              <w:numPr>
                <w:ilvl w:val="0"/>
                <w:numId w:val="1941"/>
              </w:numPr>
              <w:tabs>
                <w:tab w:val="left" w:pos="157"/>
              </w:tabs>
              <w:spacing w:line="160" w:lineRule="exact"/>
              <w:ind w:right="128" w:hanging="99"/>
              <w:rPr>
                <w:sz w:val="14"/>
              </w:rPr>
            </w:pPr>
            <w:r>
              <w:rPr>
                <w:color w:val="231F20"/>
                <w:sz w:val="14"/>
              </w:rPr>
              <w:t>анализира и објашњава однос права</w:t>
            </w:r>
            <w:r>
              <w:rPr>
                <w:color w:val="231F20"/>
                <w:spacing w:val="-14"/>
                <w:sz w:val="14"/>
              </w:rPr>
              <w:t xml:space="preserve"> </w:t>
            </w:r>
            <w:r>
              <w:rPr>
                <w:color w:val="231F20"/>
                <w:sz w:val="14"/>
              </w:rPr>
              <w:t>и одговорности;</w:t>
            </w:r>
          </w:p>
          <w:p w:rsidR="00041039" w:rsidRDefault="001B26CB">
            <w:pPr>
              <w:pStyle w:val="TableParagraph"/>
              <w:numPr>
                <w:ilvl w:val="0"/>
                <w:numId w:val="1941"/>
              </w:numPr>
              <w:tabs>
                <w:tab w:val="left" w:pos="157"/>
              </w:tabs>
              <w:spacing w:before="1" w:line="160" w:lineRule="exact"/>
              <w:ind w:right="79" w:hanging="99"/>
              <w:rPr>
                <w:sz w:val="14"/>
              </w:rPr>
            </w:pPr>
            <w:r>
              <w:rPr>
                <w:color w:val="231F20"/>
                <w:sz w:val="14"/>
              </w:rPr>
              <w:t>објасни целовитост н узајамну повеза­ ност људских</w:t>
            </w:r>
            <w:r>
              <w:rPr>
                <w:color w:val="231F20"/>
                <w:spacing w:val="-1"/>
                <w:sz w:val="14"/>
              </w:rPr>
              <w:t xml:space="preserve"> </w:t>
            </w:r>
            <w:r>
              <w:rPr>
                <w:color w:val="231F20"/>
                <w:sz w:val="14"/>
              </w:rPr>
              <w:t>права;</w:t>
            </w:r>
          </w:p>
          <w:p w:rsidR="00041039" w:rsidRDefault="001B26CB">
            <w:pPr>
              <w:pStyle w:val="TableParagraph"/>
              <w:numPr>
                <w:ilvl w:val="0"/>
                <w:numId w:val="1941"/>
              </w:numPr>
              <w:tabs>
                <w:tab w:val="left" w:pos="157"/>
              </w:tabs>
              <w:spacing w:line="160" w:lineRule="exact"/>
              <w:ind w:right="235" w:hanging="99"/>
              <w:rPr>
                <w:sz w:val="14"/>
              </w:rPr>
            </w:pPr>
            <w:r>
              <w:rPr>
                <w:color w:val="231F20"/>
                <w:sz w:val="14"/>
              </w:rPr>
              <w:t>објасни универзалност и развојност људских</w:t>
            </w:r>
            <w:r>
              <w:rPr>
                <w:color w:val="231F20"/>
                <w:spacing w:val="-1"/>
                <w:sz w:val="14"/>
              </w:rPr>
              <w:t xml:space="preserve"> </w:t>
            </w:r>
            <w:r>
              <w:rPr>
                <w:color w:val="231F20"/>
                <w:sz w:val="14"/>
              </w:rPr>
              <w:t>права;</w:t>
            </w:r>
          </w:p>
          <w:p w:rsidR="00041039" w:rsidRDefault="001B26CB">
            <w:pPr>
              <w:pStyle w:val="TableParagraph"/>
              <w:numPr>
                <w:ilvl w:val="0"/>
                <w:numId w:val="1941"/>
              </w:numPr>
              <w:tabs>
                <w:tab w:val="left" w:pos="157"/>
              </w:tabs>
              <w:spacing w:line="160" w:lineRule="exact"/>
              <w:ind w:right="196" w:hanging="99"/>
              <w:rPr>
                <w:sz w:val="14"/>
              </w:rPr>
            </w:pPr>
            <w:r>
              <w:rPr>
                <w:color w:val="231F20"/>
                <w:sz w:val="14"/>
              </w:rPr>
              <w:t>објашњава потребу посебне</w:t>
            </w:r>
            <w:r>
              <w:rPr>
                <w:color w:val="231F20"/>
                <w:spacing w:val="-13"/>
                <w:sz w:val="14"/>
              </w:rPr>
              <w:t xml:space="preserve"> </w:t>
            </w:r>
            <w:r>
              <w:rPr>
                <w:color w:val="231F20"/>
                <w:sz w:val="14"/>
              </w:rPr>
              <w:t>заштите права</w:t>
            </w:r>
            <w:r>
              <w:rPr>
                <w:color w:val="231F20"/>
                <w:spacing w:val="-1"/>
                <w:sz w:val="14"/>
              </w:rPr>
              <w:t xml:space="preserve"> </w:t>
            </w:r>
            <w:r>
              <w:rPr>
                <w:color w:val="231F20"/>
                <w:sz w:val="14"/>
              </w:rPr>
              <w:t>детета;</w:t>
            </w:r>
          </w:p>
          <w:p w:rsidR="00041039" w:rsidRDefault="001B26CB">
            <w:pPr>
              <w:pStyle w:val="TableParagraph"/>
              <w:numPr>
                <w:ilvl w:val="0"/>
                <w:numId w:val="1941"/>
              </w:numPr>
              <w:tabs>
                <w:tab w:val="left" w:pos="157"/>
              </w:tabs>
              <w:spacing w:line="160" w:lineRule="exact"/>
              <w:ind w:right="55" w:hanging="99"/>
              <w:rPr>
                <w:sz w:val="14"/>
              </w:rPr>
            </w:pPr>
            <w:r>
              <w:rPr>
                <w:color w:val="231F20"/>
                <w:sz w:val="14"/>
              </w:rPr>
              <w:t>проналази примере и показатеље остваривања и кршења људских</w:t>
            </w:r>
            <w:r>
              <w:rPr>
                <w:color w:val="231F20"/>
                <w:spacing w:val="-16"/>
                <w:sz w:val="14"/>
              </w:rPr>
              <w:t xml:space="preserve"> </w:t>
            </w:r>
            <w:r>
              <w:rPr>
                <w:color w:val="231F20"/>
                <w:sz w:val="14"/>
              </w:rPr>
              <w:t>права;</w:t>
            </w:r>
          </w:p>
          <w:p w:rsidR="00041039" w:rsidRDefault="001B26CB">
            <w:pPr>
              <w:pStyle w:val="TableParagraph"/>
              <w:numPr>
                <w:ilvl w:val="0"/>
                <w:numId w:val="1941"/>
              </w:numPr>
              <w:tabs>
                <w:tab w:val="left" w:pos="157"/>
              </w:tabs>
              <w:spacing w:line="160" w:lineRule="exact"/>
              <w:ind w:right="95" w:hanging="99"/>
              <w:rPr>
                <w:sz w:val="14"/>
              </w:rPr>
            </w:pPr>
            <w:r>
              <w:rPr>
                <w:color w:val="231F20"/>
                <w:sz w:val="14"/>
              </w:rPr>
              <w:t>процени положај појединца и друштвених група са аспекта</w:t>
            </w:r>
            <w:r>
              <w:rPr>
                <w:color w:val="231F20"/>
                <w:spacing w:val="-16"/>
                <w:sz w:val="14"/>
              </w:rPr>
              <w:t xml:space="preserve"> </w:t>
            </w:r>
            <w:r>
              <w:rPr>
                <w:color w:val="231F20"/>
                <w:sz w:val="14"/>
              </w:rPr>
              <w:t>људских права;</w:t>
            </w:r>
          </w:p>
          <w:p w:rsidR="00041039" w:rsidRDefault="001B26CB">
            <w:pPr>
              <w:pStyle w:val="TableParagraph"/>
              <w:numPr>
                <w:ilvl w:val="0"/>
                <w:numId w:val="1941"/>
              </w:numPr>
              <w:tabs>
                <w:tab w:val="left" w:pos="157"/>
              </w:tabs>
              <w:spacing w:line="160" w:lineRule="exact"/>
              <w:ind w:right="105" w:hanging="99"/>
              <w:rPr>
                <w:sz w:val="14"/>
              </w:rPr>
            </w:pPr>
            <w:r>
              <w:rPr>
                <w:color w:val="231F20"/>
                <w:sz w:val="14"/>
              </w:rPr>
              <w:t>објасни механизме и начине за</w:t>
            </w:r>
            <w:r>
              <w:rPr>
                <w:color w:val="231F20"/>
                <w:spacing w:val="-21"/>
                <w:sz w:val="14"/>
              </w:rPr>
              <w:t xml:space="preserve"> </w:t>
            </w:r>
            <w:r>
              <w:rPr>
                <w:color w:val="231F20"/>
                <w:sz w:val="14"/>
              </w:rPr>
              <w:t>зашти­ ту људских</w:t>
            </w:r>
            <w:r>
              <w:rPr>
                <w:color w:val="231F20"/>
                <w:spacing w:val="-1"/>
                <w:sz w:val="14"/>
              </w:rPr>
              <w:t xml:space="preserve"> </w:t>
            </w:r>
            <w:r>
              <w:rPr>
                <w:color w:val="231F20"/>
                <w:sz w:val="14"/>
              </w:rPr>
              <w:t>права;</w:t>
            </w:r>
          </w:p>
          <w:p w:rsidR="00041039" w:rsidRDefault="001B26CB">
            <w:pPr>
              <w:pStyle w:val="TableParagraph"/>
              <w:numPr>
                <w:ilvl w:val="0"/>
                <w:numId w:val="1941"/>
              </w:numPr>
              <w:tabs>
                <w:tab w:val="left" w:pos="157"/>
              </w:tabs>
              <w:spacing w:line="160" w:lineRule="exact"/>
              <w:ind w:right="220" w:hanging="99"/>
              <w:rPr>
                <w:sz w:val="14"/>
              </w:rPr>
            </w:pPr>
            <w:r>
              <w:rPr>
                <w:color w:val="231F20"/>
                <w:sz w:val="14"/>
              </w:rPr>
              <w:t>анализира и тумачи основна међународна и домаћа документа</w:t>
            </w:r>
            <w:r>
              <w:rPr>
                <w:color w:val="231F20"/>
                <w:spacing w:val="-15"/>
                <w:sz w:val="14"/>
              </w:rPr>
              <w:t xml:space="preserve"> </w:t>
            </w:r>
            <w:r>
              <w:rPr>
                <w:color w:val="231F20"/>
                <w:sz w:val="14"/>
              </w:rPr>
              <w:t>из об</w:t>
            </w:r>
            <w:r>
              <w:rPr>
                <w:color w:val="231F20"/>
                <w:sz w:val="14"/>
              </w:rPr>
              <w:t>ласти људских</w:t>
            </w:r>
            <w:r>
              <w:rPr>
                <w:color w:val="231F20"/>
                <w:spacing w:val="-3"/>
                <w:sz w:val="14"/>
              </w:rPr>
              <w:t xml:space="preserve"> </w:t>
            </w:r>
            <w:r>
              <w:rPr>
                <w:color w:val="231F20"/>
                <w:sz w:val="14"/>
              </w:rPr>
              <w:t>права;</w:t>
            </w:r>
          </w:p>
          <w:p w:rsidR="00041039" w:rsidRDefault="001B26CB">
            <w:pPr>
              <w:pStyle w:val="TableParagraph"/>
              <w:numPr>
                <w:ilvl w:val="0"/>
                <w:numId w:val="1941"/>
              </w:numPr>
              <w:tabs>
                <w:tab w:val="left" w:pos="157"/>
              </w:tabs>
              <w:spacing w:line="160" w:lineRule="exact"/>
              <w:ind w:right="366" w:hanging="99"/>
              <w:rPr>
                <w:sz w:val="14"/>
              </w:rPr>
            </w:pPr>
            <w:r>
              <w:rPr>
                <w:color w:val="231F20"/>
                <w:sz w:val="14"/>
              </w:rPr>
              <w:t>објасни улогу најзначајнијих институција и процедуре</w:t>
            </w:r>
            <w:r>
              <w:rPr>
                <w:color w:val="231F20"/>
                <w:spacing w:val="-18"/>
                <w:sz w:val="14"/>
              </w:rPr>
              <w:t xml:space="preserve"> </w:t>
            </w:r>
            <w:r>
              <w:rPr>
                <w:color w:val="231F20"/>
                <w:sz w:val="14"/>
              </w:rPr>
              <w:t>заштите људских</w:t>
            </w:r>
            <w:r>
              <w:rPr>
                <w:color w:val="231F20"/>
                <w:spacing w:val="-1"/>
                <w:sz w:val="14"/>
              </w:rPr>
              <w:t xml:space="preserve"> </w:t>
            </w:r>
            <w:r>
              <w:rPr>
                <w:color w:val="231F20"/>
                <w:sz w:val="14"/>
              </w:rPr>
              <w:t>права;</w:t>
            </w:r>
          </w:p>
          <w:p w:rsidR="00041039" w:rsidRDefault="001B26CB">
            <w:pPr>
              <w:pStyle w:val="TableParagraph"/>
              <w:numPr>
                <w:ilvl w:val="0"/>
                <w:numId w:val="1941"/>
              </w:numPr>
              <w:tabs>
                <w:tab w:val="left" w:pos="157"/>
              </w:tabs>
              <w:spacing w:line="160" w:lineRule="exact"/>
              <w:ind w:right="342" w:hanging="99"/>
              <w:rPr>
                <w:sz w:val="14"/>
              </w:rPr>
            </w:pPr>
            <w:r>
              <w:rPr>
                <w:color w:val="231F20"/>
                <w:sz w:val="14"/>
              </w:rPr>
              <w:t>објасни улогу појединца и група</w:t>
            </w:r>
            <w:r>
              <w:rPr>
                <w:color w:val="231F20"/>
                <w:spacing w:val="-19"/>
                <w:sz w:val="14"/>
              </w:rPr>
              <w:t xml:space="preserve"> </w:t>
            </w:r>
            <w:r>
              <w:rPr>
                <w:color w:val="231F20"/>
                <w:sz w:val="14"/>
              </w:rPr>
              <w:t>у заштити људских</w:t>
            </w:r>
            <w:r>
              <w:rPr>
                <w:color w:val="231F20"/>
                <w:spacing w:val="-4"/>
                <w:sz w:val="14"/>
              </w:rPr>
              <w:t xml:space="preserve"> </w:t>
            </w:r>
            <w:r>
              <w:rPr>
                <w:color w:val="231F20"/>
                <w:sz w:val="14"/>
              </w:rPr>
              <w:t>права;</w:t>
            </w:r>
          </w:p>
        </w:tc>
        <w:tc>
          <w:tcPr>
            <w:tcW w:w="2834" w:type="dxa"/>
          </w:tcPr>
          <w:p w:rsidR="00041039" w:rsidRDefault="001B26CB">
            <w:pPr>
              <w:pStyle w:val="TableParagraph"/>
              <w:numPr>
                <w:ilvl w:val="0"/>
                <w:numId w:val="1940"/>
              </w:numPr>
              <w:tabs>
                <w:tab w:val="left" w:pos="157"/>
              </w:tabs>
              <w:spacing w:before="9" w:line="166" w:lineRule="exact"/>
              <w:ind w:hanging="99"/>
              <w:rPr>
                <w:sz w:val="14"/>
              </w:rPr>
            </w:pPr>
            <w:r>
              <w:rPr>
                <w:color w:val="231F20"/>
                <w:sz w:val="14"/>
              </w:rPr>
              <w:t>Потребе и</w:t>
            </w:r>
            <w:r>
              <w:rPr>
                <w:color w:val="231F20"/>
                <w:spacing w:val="-10"/>
                <w:sz w:val="14"/>
              </w:rPr>
              <w:t xml:space="preserve"> </w:t>
            </w:r>
            <w:r>
              <w:rPr>
                <w:color w:val="231F20"/>
                <w:sz w:val="14"/>
              </w:rPr>
              <w:t>права.</w:t>
            </w:r>
          </w:p>
          <w:p w:rsidR="00041039" w:rsidRDefault="001B26CB">
            <w:pPr>
              <w:pStyle w:val="TableParagraph"/>
              <w:numPr>
                <w:ilvl w:val="0"/>
                <w:numId w:val="1940"/>
              </w:numPr>
              <w:tabs>
                <w:tab w:val="left" w:pos="157"/>
              </w:tabs>
              <w:spacing w:line="160" w:lineRule="exact"/>
              <w:ind w:hanging="99"/>
              <w:rPr>
                <w:sz w:val="14"/>
              </w:rPr>
            </w:pPr>
            <w:r>
              <w:rPr>
                <w:color w:val="231F20"/>
                <w:sz w:val="14"/>
              </w:rPr>
              <w:t>Права и</w:t>
            </w:r>
            <w:r>
              <w:rPr>
                <w:color w:val="231F20"/>
                <w:spacing w:val="-14"/>
                <w:sz w:val="14"/>
              </w:rPr>
              <w:t xml:space="preserve"> </w:t>
            </w:r>
            <w:r>
              <w:rPr>
                <w:color w:val="231F20"/>
                <w:sz w:val="14"/>
              </w:rPr>
              <w:t>правила.</w:t>
            </w:r>
          </w:p>
          <w:p w:rsidR="00041039" w:rsidRDefault="001B26CB">
            <w:pPr>
              <w:pStyle w:val="TableParagraph"/>
              <w:numPr>
                <w:ilvl w:val="0"/>
                <w:numId w:val="1940"/>
              </w:numPr>
              <w:tabs>
                <w:tab w:val="left" w:pos="157"/>
              </w:tabs>
              <w:spacing w:line="160" w:lineRule="exact"/>
              <w:ind w:hanging="99"/>
              <w:rPr>
                <w:sz w:val="14"/>
              </w:rPr>
            </w:pPr>
            <w:r>
              <w:rPr>
                <w:color w:val="231F20"/>
                <w:sz w:val="14"/>
              </w:rPr>
              <w:t>Права и</w:t>
            </w:r>
            <w:r>
              <w:rPr>
                <w:color w:val="231F20"/>
                <w:spacing w:val="-2"/>
                <w:sz w:val="14"/>
              </w:rPr>
              <w:t xml:space="preserve"> </w:t>
            </w:r>
            <w:r>
              <w:rPr>
                <w:color w:val="231F20"/>
                <w:sz w:val="14"/>
              </w:rPr>
              <w:t>закони.</w:t>
            </w:r>
          </w:p>
          <w:p w:rsidR="00041039" w:rsidRDefault="001B26CB">
            <w:pPr>
              <w:pStyle w:val="TableParagraph"/>
              <w:numPr>
                <w:ilvl w:val="0"/>
                <w:numId w:val="1940"/>
              </w:numPr>
              <w:tabs>
                <w:tab w:val="left" w:pos="157"/>
              </w:tabs>
              <w:spacing w:line="160" w:lineRule="exact"/>
              <w:ind w:hanging="99"/>
              <w:rPr>
                <w:sz w:val="14"/>
              </w:rPr>
            </w:pPr>
            <w:r>
              <w:rPr>
                <w:color w:val="231F20"/>
                <w:sz w:val="14"/>
              </w:rPr>
              <w:t>Међународна документа о заштити</w:t>
            </w:r>
            <w:r>
              <w:rPr>
                <w:color w:val="231F20"/>
                <w:spacing w:val="-11"/>
                <w:sz w:val="14"/>
              </w:rPr>
              <w:t xml:space="preserve"> </w:t>
            </w:r>
            <w:r>
              <w:rPr>
                <w:color w:val="231F20"/>
                <w:sz w:val="14"/>
              </w:rPr>
              <w:t>права.</w:t>
            </w:r>
          </w:p>
          <w:p w:rsidR="00041039" w:rsidRDefault="001B26CB">
            <w:pPr>
              <w:pStyle w:val="TableParagraph"/>
              <w:numPr>
                <w:ilvl w:val="0"/>
                <w:numId w:val="1940"/>
              </w:numPr>
              <w:tabs>
                <w:tab w:val="left" w:pos="157"/>
              </w:tabs>
              <w:spacing w:line="160" w:lineRule="exact"/>
              <w:ind w:hanging="99"/>
              <w:rPr>
                <w:sz w:val="14"/>
              </w:rPr>
            </w:pPr>
            <w:r>
              <w:rPr>
                <w:color w:val="231F20"/>
                <w:sz w:val="14"/>
              </w:rPr>
              <w:t>Права и</w:t>
            </w:r>
            <w:r>
              <w:rPr>
                <w:color w:val="231F20"/>
                <w:spacing w:val="-2"/>
                <w:sz w:val="14"/>
              </w:rPr>
              <w:t xml:space="preserve"> </w:t>
            </w:r>
            <w:r>
              <w:rPr>
                <w:color w:val="231F20"/>
                <w:sz w:val="14"/>
              </w:rPr>
              <w:t>вредности.</w:t>
            </w:r>
          </w:p>
          <w:p w:rsidR="00041039" w:rsidRDefault="001B26CB">
            <w:pPr>
              <w:pStyle w:val="TableParagraph"/>
              <w:numPr>
                <w:ilvl w:val="0"/>
                <w:numId w:val="1940"/>
              </w:numPr>
              <w:tabs>
                <w:tab w:val="left" w:pos="157"/>
              </w:tabs>
              <w:spacing w:line="160" w:lineRule="exact"/>
              <w:ind w:hanging="99"/>
              <w:rPr>
                <w:sz w:val="14"/>
              </w:rPr>
            </w:pPr>
            <w:r>
              <w:rPr>
                <w:color w:val="231F20"/>
                <w:sz w:val="14"/>
              </w:rPr>
              <w:t>Врсте</w:t>
            </w:r>
            <w:r>
              <w:rPr>
                <w:color w:val="231F20"/>
                <w:spacing w:val="-1"/>
                <w:sz w:val="14"/>
              </w:rPr>
              <w:t xml:space="preserve"> </w:t>
            </w:r>
            <w:r>
              <w:rPr>
                <w:color w:val="231F20"/>
                <w:sz w:val="14"/>
              </w:rPr>
              <w:t>права.</w:t>
            </w:r>
          </w:p>
          <w:p w:rsidR="00041039" w:rsidRDefault="001B26CB">
            <w:pPr>
              <w:pStyle w:val="TableParagraph"/>
              <w:numPr>
                <w:ilvl w:val="0"/>
                <w:numId w:val="1940"/>
              </w:numPr>
              <w:tabs>
                <w:tab w:val="left" w:pos="157"/>
              </w:tabs>
              <w:spacing w:line="160" w:lineRule="exact"/>
              <w:ind w:hanging="99"/>
              <w:rPr>
                <w:sz w:val="14"/>
              </w:rPr>
            </w:pPr>
            <w:r>
              <w:rPr>
                <w:color w:val="231F20"/>
                <w:sz w:val="14"/>
              </w:rPr>
              <w:t>Односи међу</w:t>
            </w:r>
            <w:r>
              <w:rPr>
                <w:color w:val="231F20"/>
                <w:spacing w:val="-1"/>
                <w:sz w:val="14"/>
              </w:rPr>
              <w:t xml:space="preserve"> </w:t>
            </w:r>
            <w:r>
              <w:rPr>
                <w:color w:val="231F20"/>
                <w:sz w:val="14"/>
              </w:rPr>
              <w:t>правима.</w:t>
            </w:r>
          </w:p>
          <w:p w:rsidR="00041039" w:rsidRDefault="001B26CB">
            <w:pPr>
              <w:pStyle w:val="TableParagraph"/>
              <w:numPr>
                <w:ilvl w:val="0"/>
                <w:numId w:val="1940"/>
              </w:numPr>
              <w:tabs>
                <w:tab w:val="left" w:pos="157"/>
              </w:tabs>
              <w:spacing w:line="160" w:lineRule="exact"/>
              <w:ind w:hanging="99"/>
              <w:rPr>
                <w:sz w:val="14"/>
              </w:rPr>
            </w:pPr>
            <w:r>
              <w:rPr>
                <w:color w:val="231F20"/>
                <w:spacing w:val="-3"/>
                <w:sz w:val="14"/>
              </w:rPr>
              <w:t>Сукоб</w:t>
            </w:r>
            <w:r>
              <w:rPr>
                <w:color w:val="231F20"/>
                <w:spacing w:val="-1"/>
                <w:sz w:val="14"/>
              </w:rPr>
              <w:t xml:space="preserve"> </w:t>
            </w:r>
            <w:r>
              <w:rPr>
                <w:color w:val="231F20"/>
                <w:sz w:val="14"/>
              </w:rPr>
              <w:t>пpaвa.</w:t>
            </w:r>
          </w:p>
          <w:p w:rsidR="00041039" w:rsidRDefault="001B26CB">
            <w:pPr>
              <w:pStyle w:val="TableParagraph"/>
              <w:numPr>
                <w:ilvl w:val="0"/>
                <w:numId w:val="1940"/>
              </w:numPr>
              <w:tabs>
                <w:tab w:val="left" w:pos="157"/>
              </w:tabs>
              <w:spacing w:line="160" w:lineRule="exact"/>
              <w:ind w:hanging="99"/>
              <w:rPr>
                <w:sz w:val="14"/>
              </w:rPr>
            </w:pPr>
            <w:r>
              <w:rPr>
                <w:color w:val="231F20"/>
                <w:sz w:val="14"/>
              </w:rPr>
              <w:t xml:space="preserve">Дечја и </w:t>
            </w:r>
            <w:r>
              <w:rPr>
                <w:color w:val="231F20"/>
                <w:spacing w:val="-3"/>
                <w:sz w:val="14"/>
              </w:rPr>
              <w:t>људска</w:t>
            </w:r>
            <w:r>
              <w:rPr>
                <w:color w:val="231F20"/>
                <w:spacing w:val="-2"/>
                <w:sz w:val="14"/>
              </w:rPr>
              <w:t xml:space="preserve"> </w:t>
            </w:r>
            <w:r>
              <w:rPr>
                <w:color w:val="231F20"/>
                <w:sz w:val="14"/>
              </w:rPr>
              <w:t>права.</w:t>
            </w:r>
          </w:p>
          <w:p w:rsidR="00041039" w:rsidRDefault="001B26CB">
            <w:pPr>
              <w:pStyle w:val="TableParagraph"/>
              <w:numPr>
                <w:ilvl w:val="0"/>
                <w:numId w:val="1940"/>
              </w:numPr>
              <w:tabs>
                <w:tab w:val="left" w:pos="157"/>
              </w:tabs>
              <w:spacing w:line="237" w:lineRule="auto"/>
              <w:ind w:right="542" w:hanging="99"/>
              <w:rPr>
                <w:sz w:val="14"/>
              </w:rPr>
            </w:pPr>
            <w:r>
              <w:rPr>
                <w:color w:val="231F20"/>
                <w:sz w:val="14"/>
              </w:rPr>
              <w:t>Конвенције и заступљеност права</w:t>
            </w:r>
            <w:r>
              <w:rPr>
                <w:color w:val="231F20"/>
                <w:spacing w:val="-15"/>
                <w:sz w:val="14"/>
              </w:rPr>
              <w:t xml:space="preserve"> </w:t>
            </w:r>
            <w:r>
              <w:rPr>
                <w:color w:val="231F20"/>
                <w:sz w:val="14"/>
              </w:rPr>
              <w:t>у штампи.</w:t>
            </w:r>
          </w:p>
          <w:p w:rsidR="00041039" w:rsidRDefault="001B26CB">
            <w:pPr>
              <w:pStyle w:val="TableParagraph"/>
              <w:numPr>
                <w:ilvl w:val="0"/>
                <w:numId w:val="1940"/>
              </w:numPr>
              <w:tabs>
                <w:tab w:val="left" w:pos="157"/>
              </w:tabs>
              <w:spacing w:line="155" w:lineRule="exact"/>
              <w:ind w:hanging="99"/>
              <w:rPr>
                <w:sz w:val="14"/>
              </w:rPr>
            </w:pPr>
            <w:r>
              <w:rPr>
                <w:color w:val="231F20"/>
                <w:sz w:val="14"/>
              </w:rPr>
              <w:t>Одговорност</w:t>
            </w:r>
            <w:r>
              <w:rPr>
                <w:color w:val="231F20"/>
                <w:spacing w:val="-1"/>
                <w:sz w:val="14"/>
              </w:rPr>
              <w:t xml:space="preserve"> </w:t>
            </w:r>
            <w:r>
              <w:rPr>
                <w:color w:val="231F20"/>
                <w:sz w:val="14"/>
              </w:rPr>
              <w:t>одраслих.</w:t>
            </w:r>
          </w:p>
          <w:p w:rsidR="00041039" w:rsidRDefault="001B26CB">
            <w:pPr>
              <w:pStyle w:val="TableParagraph"/>
              <w:numPr>
                <w:ilvl w:val="0"/>
                <w:numId w:val="1940"/>
              </w:numPr>
              <w:tabs>
                <w:tab w:val="left" w:pos="157"/>
              </w:tabs>
              <w:spacing w:line="160" w:lineRule="exact"/>
              <w:ind w:hanging="99"/>
              <w:rPr>
                <w:sz w:val="14"/>
              </w:rPr>
            </w:pPr>
            <w:r>
              <w:rPr>
                <w:color w:val="231F20"/>
                <w:sz w:val="14"/>
              </w:rPr>
              <w:t>Одговорност</w:t>
            </w:r>
            <w:r>
              <w:rPr>
                <w:color w:val="231F20"/>
                <w:spacing w:val="-1"/>
                <w:sz w:val="14"/>
              </w:rPr>
              <w:t xml:space="preserve"> </w:t>
            </w:r>
            <w:r>
              <w:rPr>
                <w:color w:val="231F20"/>
                <w:sz w:val="14"/>
              </w:rPr>
              <w:t>деце.</w:t>
            </w:r>
          </w:p>
          <w:p w:rsidR="00041039" w:rsidRDefault="001B26CB">
            <w:pPr>
              <w:pStyle w:val="TableParagraph"/>
              <w:numPr>
                <w:ilvl w:val="0"/>
                <w:numId w:val="1940"/>
              </w:numPr>
              <w:tabs>
                <w:tab w:val="left" w:pos="157"/>
              </w:tabs>
              <w:spacing w:line="160" w:lineRule="exact"/>
              <w:ind w:hanging="99"/>
              <w:rPr>
                <w:sz w:val="14"/>
              </w:rPr>
            </w:pPr>
            <w:r>
              <w:rPr>
                <w:color w:val="231F20"/>
                <w:sz w:val="14"/>
              </w:rPr>
              <w:t>Кршење права</w:t>
            </w:r>
            <w:r>
              <w:rPr>
                <w:color w:val="231F20"/>
                <w:spacing w:val="-4"/>
                <w:sz w:val="14"/>
              </w:rPr>
              <w:t xml:space="preserve"> </w:t>
            </w:r>
            <w:r>
              <w:rPr>
                <w:color w:val="231F20"/>
                <w:sz w:val="14"/>
              </w:rPr>
              <w:t>детета.</w:t>
            </w:r>
          </w:p>
          <w:p w:rsidR="00041039" w:rsidRDefault="001B26CB">
            <w:pPr>
              <w:pStyle w:val="TableParagraph"/>
              <w:numPr>
                <w:ilvl w:val="0"/>
                <w:numId w:val="1940"/>
              </w:numPr>
              <w:tabs>
                <w:tab w:val="left" w:pos="157"/>
              </w:tabs>
              <w:spacing w:line="166" w:lineRule="exact"/>
              <w:ind w:hanging="99"/>
              <w:rPr>
                <w:sz w:val="14"/>
              </w:rPr>
            </w:pPr>
            <w:r>
              <w:rPr>
                <w:color w:val="231F20"/>
                <w:sz w:val="14"/>
              </w:rPr>
              <w:t>Заштита права</w:t>
            </w:r>
            <w:r>
              <w:rPr>
                <w:color w:val="231F20"/>
                <w:spacing w:val="-3"/>
                <w:sz w:val="14"/>
              </w:rPr>
              <w:t xml:space="preserve"> </w:t>
            </w:r>
            <w:r>
              <w:rPr>
                <w:color w:val="231F20"/>
                <w:sz w:val="14"/>
              </w:rPr>
              <w:t>детета.</w:t>
            </w:r>
          </w:p>
        </w:tc>
        <w:tc>
          <w:tcPr>
            <w:tcW w:w="2267" w:type="dxa"/>
          </w:tcPr>
          <w:p w:rsidR="00041039" w:rsidRDefault="001B26CB">
            <w:pPr>
              <w:pStyle w:val="TableParagraph"/>
              <w:numPr>
                <w:ilvl w:val="0"/>
                <w:numId w:val="1939"/>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939"/>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939"/>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939"/>
              </w:numPr>
              <w:tabs>
                <w:tab w:val="left" w:pos="158"/>
              </w:tabs>
              <w:spacing w:before="1" w:line="160" w:lineRule="exact"/>
              <w:ind w:right="260" w:hanging="99"/>
              <w:rPr>
                <w:sz w:val="14"/>
              </w:rPr>
            </w:pPr>
            <w:r>
              <w:rPr>
                <w:color w:val="231F20"/>
                <w:sz w:val="14"/>
              </w:rPr>
              <w:t>Реализација програма треба да се одвија у складу са принци­ пима активне, проблемске</w:t>
            </w:r>
            <w:r>
              <w:rPr>
                <w:color w:val="231F20"/>
                <w:spacing w:val="-10"/>
                <w:sz w:val="14"/>
              </w:rPr>
              <w:t xml:space="preserve"> </w:t>
            </w:r>
            <w:r>
              <w:rPr>
                <w:color w:val="231F20"/>
                <w:sz w:val="14"/>
              </w:rPr>
              <w:t>и</w:t>
            </w:r>
          </w:p>
          <w:p w:rsidR="00041039" w:rsidRDefault="001B26CB">
            <w:pPr>
              <w:pStyle w:val="TableParagraph"/>
              <w:spacing w:line="237" w:lineRule="auto"/>
              <w:ind w:left="157"/>
              <w:rPr>
                <w:sz w:val="14"/>
              </w:rPr>
            </w:pPr>
            <w:r>
              <w:rPr>
                <w:color w:val="231F20"/>
                <w:sz w:val="14"/>
              </w:rPr>
              <w:t>истраживачке наставе са сталним рефлексијама на одговарајуће појаве из друштвено</w:t>
            </w:r>
            <w:r>
              <w:rPr>
                <w:color w:val="231F20"/>
                <w:sz w:val="14"/>
              </w:rPr>
              <w:t>г контекста прошлости и садашњости.</w:t>
            </w:r>
          </w:p>
          <w:p w:rsidR="00041039" w:rsidRDefault="001B26CB">
            <w:pPr>
              <w:pStyle w:val="TableParagraph"/>
              <w:numPr>
                <w:ilvl w:val="0"/>
                <w:numId w:val="1939"/>
              </w:numPr>
              <w:tabs>
                <w:tab w:val="left" w:pos="158"/>
              </w:tabs>
              <w:spacing w:line="237" w:lineRule="auto"/>
              <w:ind w:right="162" w:hanging="99"/>
              <w:rPr>
                <w:sz w:val="14"/>
              </w:rPr>
            </w:pPr>
            <w:r>
              <w:rPr>
                <w:color w:val="231F20"/>
                <w:sz w:val="14"/>
              </w:rPr>
              <w:t>Квалитет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120"/>
        </w:trPr>
        <w:tc>
          <w:tcPr>
            <w:tcW w:w="1304" w:type="dxa"/>
          </w:tcPr>
          <w:p w:rsidR="00041039" w:rsidRDefault="001B26CB">
            <w:pPr>
              <w:pStyle w:val="TableParagraph"/>
              <w:spacing w:before="18"/>
              <w:ind w:left="56" w:right="242"/>
              <w:rPr>
                <w:sz w:val="14"/>
              </w:rPr>
            </w:pPr>
            <w:r>
              <w:rPr>
                <w:color w:val="231F20"/>
                <w:sz w:val="14"/>
              </w:rPr>
              <w:lastRenderedPageBreak/>
              <w:t>Планирање и извођење акције</w:t>
            </w:r>
          </w:p>
        </w:tc>
        <w:tc>
          <w:tcPr>
            <w:tcW w:w="1587" w:type="dxa"/>
          </w:tcPr>
          <w:p w:rsidR="00041039" w:rsidRDefault="001B26CB">
            <w:pPr>
              <w:pStyle w:val="TableParagraph"/>
              <w:numPr>
                <w:ilvl w:val="0"/>
                <w:numId w:val="1938"/>
              </w:numPr>
              <w:tabs>
                <w:tab w:val="left" w:pos="157"/>
              </w:tabs>
              <w:spacing w:before="8"/>
              <w:ind w:right="61"/>
              <w:rPr>
                <w:sz w:val="14"/>
              </w:rPr>
            </w:pPr>
            <w:r>
              <w:rPr>
                <w:color w:val="231F20"/>
                <w:sz w:val="14"/>
              </w:rPr>
              <w:t>Подстицање ученика на активну</w:t>
            </w:r>
            <w:r>
              <w:rPr>
                <w:color w:val="231F20"/>
                <w:spacing w:val="-11"/>
                <w:sz w:val="14"/>
              </w:rPr>
              <w:t xml:space="preserve"> </w:t>
            </w:r>
            <w:r>
              <w:rPr>
                <w:color w:val="231F20"/>
                <w:sz w:val="14"/>
              </w:rPr>
              <w:t>партиципа­ цију у животу</w:t>
            </w:r>
            <w:r>
              <w:rPr>
                <w:color w:val="231F20"/>
                <w:spacing w:val="-4"/>
                <w:sz w:val="14"/>
              </w:rPr>
              <w:t xml:space="preserve"> </w:t>
            </w:r>
            <w:r>
              <w:rPr>
                <w:color w:val="231F20"/>
                <w:spacing w:val="-3"/>
                <w:sz w:val="14"/>
              </w:rPr>
              <w:t>школе.</w:t>
            </w:r>
          </w:p>
          <w:p w:rsidR="00041039" w:rsidRDefault="001B26CB">
            <w:pPr>
              <w:pStyle w:val="TableParagraph"/>
              <w:numPr>
                <w:ilvl w:val="0"/>
                <w:numId w:val="1938"/>
              </w:numPr>
              <w:tabs>
                <w:tab w:val="left" w:pos="157"/>
              </w:tabs>
              <w:spacing w:line="157" w:lineRule="exact"/>
              <w:rPr>
                <w:sz w:val="14"/>
              </w:rPr>
            </w:pPr>
            <w:r>
              <w:rPr>
                <w:color w:val="231F20"/>
                <w:sz w:val="14"/>
              </w:rPr>
              <w:t>Развијање</w:t>
            </w:r>
            <w:r>
              <w:rPr>
                <w:color w:val="231F20"/>
                <w:spacing w:val="-2"/>
                <w:sz w:val="14"/>
              </w:rPr>
              <w:t xml:space="preserve"> </w:t>
            </w:r>
            <w:r>
              <w:rPr>
                <w:color w:val="231F20"/>
                <w:sz w:val="14"/>
              </w:rPr>
              <w:t>вештина</w:t>
            </w:r>
          </w:p>
          <w:p w:rsidR="00041039" w:rsidRDefault="001B26CB">
            <w:pPr>
              <w:pStyle w:val="TableParagraph"/>
              <w:spacing w:line="160" w:lineRule="exact"/>
              <w:rPr>
                <w:sz w:val="14"/>
              </w:rPr>
            </w:pPr>
            <w:r>
              <w:rPr>
                <w:color w:val="231F20"/>
                <w:sz w:val="14"/>
              </w:rPr>
              <w:t>планирања акција.</w:t>
            </w:r>
          </w:p>
        </w:tc>
        <w:tc>
          <w:tcPr>
            <w:tcW w:w="2551" w:type="dxa"/>
          </w:tcPr>
          <w:p w:rsidR="00041039" w:rsidRDefault="001B26CB">
            <w:pPr>
              <w:pStyle w:val="TableParagraph"/>
              <w:numPr>
                <w:ilvl w:val="0"/>
                <w:numId w:val="1937"/>
              </w:numPr>
              <w:tabs>
                <w:tab w:val="left" w:pos="157"/>
              </w:tabs>
              <w:spacing w:before="8"/>
              <w:ind w:right="54" w:hanging="99"/>
              <w:rPr>
                <w:sz w:val="14"/>
              </w:rPr>
            </w:pPr>
            <w:r>
              <w:rPr>
                <w:color w:val="231F20"/>
                <w:sz w:val="14"/>
              </w:rPr>
              <w:t>идентификује проблеме у својој</w:t>
            </w:r>
            <w:r>
              <w:rPr>
                <w:color w:val="231F20"/>
                <w:spacing w:val="-25"/>
                <w:sz w:val="14"/>
              </w:rPr>
              <w:t xml:space="preserve"> </w:t>
            </w:r>
            <w:r>
              <w:rPr>
                <w:color w:val="231F20"/>
                <w:sz w:val="14"/>
              </w:rPr>
              <w:t>локал­ ној заједници /</w:t>
            </w:r>
            <w:r>
              <w:rPr>
                <w:color w:val="231F20"/>
                <w:spacing w:val="-2"/>
                <w:sz w:val="14"/>
              </w:rPr>
              <w:t xml:space="preserve"> </w:t>
            </w:r>
            <w:r>
              <w:rPr>
                <w:color w:val="231F20"/>
                <w:spacing w:val="-3"/>
                <w:sz w:val="14"/>
              </w:rPr>
              <w:t>школи;</w:t>
            </w:r>
          </w:p>
          <w:p w:rsidR="00041039" w:rsidRDefault="001B26CB">
            <w:pPr>
              <w:pStyle w:val="TableParagraph"/>
              <w:numPr>
                <w:ilvl w:val="0"/>
                <w:numId w:val="1937"/>
              </w:numPr>
              <w:tabs>
                <w:tab w:val="left" w:pos="157"/>
              </w:tabs>
              <w:spacing w:line="160" w:lineRule="exact"/>
              <w:ind w:right="80" w:hanging="99"/>
              <w:rPr>
                <w:sz w:val="14"/>
              </w:rPr>
            </w:pPr>
            <w:r>
              <w:rPr>
                <w:color w:val="231F20"/>
                <w:sz w:val="14"/>
              </w:rPr>
              <w:t>анализира изабране проблеме,</w:t>
            </w:r>
            <w:r>
              <w:rPr>
                <w:color w:val="231F20"/>
                <w:spacing w:val="-26"/>
                <w:sz w:val="14"/>
              </w:rPr>
              <w:t xml:space="preserve"> </w:t>
            </w:r>
            <w:r>
              <w:rPr>
                <w:color w:val="231F20"/>
                <w:sz w:val="14"/>
              </w:rPr>
              <w:t>изучава их;</w:t>
            </w:r>
          </w:p>
          <w:p w:rsidR="00041039" w:rsidRDefault="001B26CB">
            <w:pPr>
              <w:pStyle w:val="TableParagraph"/>
              <w:numPr>
                <w:ilvl w:val="0"/>
                <w:numId w:val="1937"/>
              </w:numPr>
              <w:tabs>
                <w:tab w:val="left" w:pos="157"/>
              </w:tabs>
              <w:spacing w:line="160" w:lineRule="exact"/>
              <w:ind w:right="279" w:hanging="99"/>
              <w:rPr>
                <w:sz w:val="14"/>
              </w:rPr>
            </w:pPr>
            <w:r>
              <w:rPr>
                <w:color w:val="231F20"/>
                <w:sz w:val="14"/>
              </w:rPr>
              <w:t>предлаже активности и дискутује</w:t>
            </w:r>
            <w:r>
              <w:rPr>
                <w:color w:val="231F20"/>
                <w:spacing w:val="-10"/>
                <w:sz w:val="14"/>
              </w:rPr>
              <w:t xml:space="preserve"> </w:t>
            </w:r>
            <w:r>
              <w:rPr>
                <w:color w:val="231F20"/>
                <w:sz w:val="14"/>
              </w:rPr>
              <w:t>о њима са осталим члановима</w:t>
            </w:r>
            <w:r>
              <w:rPr>
                <w:color w:val="231F20"/>
                <w:spacing w:val="-2"/>
                <w:sz w:val="14"/>
              </w:rPr>
              <w:t xml:space="preserve"> </w:t>
            </w:r>
            <w:r>
              <w:rPr>
                <w:color w:val="231F20"/>
                <w:sz w:val="14"/>
              </w:rPr>
              <w:t>тима;</w:t>
            </w:r>
          </w:p>
          <w:p w:rsidR="00041039" w:rsidRDefault="001B26CB">
            <w:pPr>
              <w:pStyle w:val="TableParagraph"/>
              <w:numPr>
                <w:ilvl w:val="0"/>
                <w:numId w:val="1937"/>
              </w:numPr>
              <w:tabs>
                <w:tab w:val="left" w:pos="157"/>
              </w:tabs>
              <w:spacing w:line="160" w:lineRule="exact"/>
              <w:ind w:right="209" w:hanging="99"/>
              <w:rPr>
                <w:sz w:val="14"/>
              </w:rPr>
            </w:pPr>
            <w:r>
              <w:rPr>
                <w:color w:val="231F20"/>
                <w:sz w:val="14"/>
              </w:rPr>
              <w:t>сарађује са члановима тима и учест­ вује у доношењу</w:t>
            </w:r>
            <w:r>
              <w:rPr>
                <w:color w:val="231F20"/>
                <w:spacing w:val="-2"/>
                <w:sz w:val="14"/>
              </w:rPr>
              <w:t xml:space="preserve"> </w:t>
            </w:r>
            <w:r>
              <w:rPr>
                <w:color w:val="231F20"/>
                <w:sz w:val="14"/>
              </w:rPr>
              <w:t>одлука;</w:t>
            </w:r>
          </w:p>
          <w:p w:rsidR="00041039" w:rsidRDefault="001B26CB">
            <w:pPr>
              <w:pStyle w:val="TableParagraph"/>
              <w:numPr>
                <w:ilvl w:val="0"/>
                <w:numId w:val="1937"/>
              </w:numPr>
              <w:tabs>
                <w:tab w:val="left" w:pos="157"/>
              </w:tabs>
              <w:spacing w:line="153" w:lineRule="exact"/>
              <w:ind w:hanging="99"/>
              <w:rPr>
                <w:sz w:val="14"/>
              </w:rPr>
            </w:pPr>
            <w:r>
              <w:rPr>
                <w:color w:val="231F20"/>
                <w:sz w:val="14"/>
              </w:rPr>
              <w:t xml:space="preserve">формулише циљеве и </w:t>
            </w:r>
            <w:r>
              <w:rPr>
                <w:color w:val="231F20"/>
                <w:spacing w:val="-2"/>
                <w:sz w:val="14"/>
              </w:rPr>
              <w:t>кораке</w:t>
            </w:r>
            <w:r>
              <w:rPr>
                <w:color w:val="231F20"/>
                <w:spacing w:val="-9"/>
                <w:sz w:val="14"/>
              </w:rPr>
              <w:t xml:space="preserve"> </w:t>
            </w:r>
            <w:r>
              <w:rPr>
                <w:color w:val="231F20"/>
                <w:sz w:val="14"/>
              </w:rPr>
              <w:t>акције;</w:t>
            </w:r>
          </w:p>
          <w:p w:rsidR="00041039" w:rsidRDefault="001B26CB">
            <w:pPr>
              <w:pStyle w:val="TableParagraph"/>
              <w:numPr>
                <w:ilvl w:val="0"/>
                <w:numId w:val="1937"/>
              </w:numPr>
              <w:tabs>
                <w:tab w:val="left" w:pos="157"/>
              </w:tabs>
              <w:spacing w:line="237" w:lineRule="auto"/>
              <w:ind w:right="464" w:hanging="99"/>
              <w:rPr>
                <w:sz w:val="14"/>
              </w:rPr>
            </w:pPr>
            <w:r>
              <w:rPr>
                <w:color w:val="231F20"/>
                <w:sz w:val="14"/>
              </w:rPr>
              <w:t>иницира активности, прати их</w:t>
            </w:r>
            <w:r>
              <w:rPr>
                <w:color w:val="231F20"/>
                <w:spacing w:val="-14"/>
                <w:sz w:val="14"/>
              </w:rPr>
              <w:t xml:space="preserve"> </w:t>
            </w:r>
            <w:r>
              <w:rPr>
                <w:color w:val="231F20"/>
                <w:sz w:val="14"/>
              </w:rPr>
              <w:t>и оцењује</w:t>
            </w:r>
            <w:r>
              <w:rPr>
                <w:color w:val="231F20"/>
                <w:spacing w:val="-1"/>
                <w:sz w:val="14"/>
              </w:rPr>
              <w:t xml:space="preserve"> </w:t>
            </w:r>
            <w:r>
              <w:rPr>
                <w:color w:val="231F20"/>
                <w:sz w:val="14"/>
              </w:rPr>
              <w:t>их;</w:t>
            </w:r>
          </w:p>
          <w:p w:rsidR="00041039" w:rsidRDefault="001B26CB">
            <w:pPr>
              <w:pStyle w:val="TableParagraph"/>
              <w:numPr>
                <w:ilvl w:val="0"/>
                <w:numId w:val="1937"/>
              </w:numPr>
              <w:tabs>
                <w:tab w:val="left" w:pos="157"/>
              </w:tabs>
              <w:spacing w:line="160" w:lineRule="exact"/>
              <w:ind w:right="234" w:hanging="99"/>
              <w:rPr>
                <w:sz w:val="14"/>
              </w:rPr>
            </w:pPr>
            <w:r>
              <w:rPr>
                <w:color w:val="231F20"/>
                <w:sz w:val="14"/>
              </w:rPr>
              <w:t>представи путем јавне презентације нацрт акције и резултате</w:t>
            </w:r>
            <w:r>
              <w:rPr>
                <w:color w:val="231F20"/>
                <w:spacing w:val="-8"/>
                <w:sz w:val="14"/>
              </w:rPr>
              <w:t xml:space="preserve"> </w:t>
            </w:r>
            <w:r>
              <w:rPr>
                <w:color w:val="231F20"/>
                <w:sz w:val="14"/>
              </w:rPr>
              <w:t>акције;</w:t>
            </w:r>
          </w:p>
        </w:tc>
        <w:tc>
          <w:tcPr>
            <w:tcW w:w="2834" w:type="dxa"/>
          </w:tcPr>
          <w:p w:rsidR="00041039" w:rsidRDefault="001B26CB">
            <w:pPr>
              <w:pStyle w:val="TableParagraph"/>
              <w:numPr>
                <w:ilvl w:val="0"/>
                <w:numId w:val="1936"/>
              </w:numPr>
              <w:tabs>
                <w:tab w:val="left" w:pos="142"/>
              </w:tabs>
              <w:spacing w:before="18" w:line="161" w:lineRule="exact"/>
              <w:rPr>
                <w:sz w:val="14"/>
              </w:rPr>
            </w:pPr>
            <w:r>
              <w:rPr>
                <w:color w:val="231F20"/>
                <w:sz w:val="14"/>
              </w:rPr>
              <w:t>Избор</w:t>
            </w:r>
            <w:r>
              <w:rPr>
                <w:color w:val="231F20"/>
                <w:spacing w:val="-2"/>
                <w:sz w:val="14"/>
              </w:rPr>
              <w:t xml:space="preserve"> </w:t>
            </w:r>
            <w:r>
              <w:rPr>
                <w:color w:val="231F20"/>
                <w:sz w:val="14"/>
              </w:rPr>
              <w:t>проблема.</w:t>
            </w:r>
          </w:p>
          <w:p w:rsidR="00041039" w:rsidRDefault="001B26CB">
            <w:pPr>
              <w:pStyle w:val="TableParagraph"/>
              <w:numPr>
                <w:ilvl w:val="0"/>
                <w:numId w:val="1936"/>
              </w:numPr>
              <w:tabs>
                <w:tab w:val="left" w:pos="142"/>
              </w:tabs>
              <w:spacing w:line="160" w:lineRule="exact"/>
              <w:rPr>
                <w:sz w:val="14"/>
              </w:rPr>
            </w:pPr>
            <w:r>
              <w:rPr>
                <w:color w:val="231F20"/>
                <w:sz w:val="14"/>
              </w:rPr>
              <w:t>Идентификација могућих</w:t>
            </w:r>
            <w:r>
              <w:rPr>
                <w:color w:val="231F20"/>
                <w:spacing w:val="-1"/>
                <w:sz w:val="14"/>
              </w:rPr>
              <w:t xml:space="preserve"> </w:t>
            </w:r>
            <w:r>
              <w:rPr>
                <w:color w:val="231F20"/>
                <w:sz w:val="14"/>
              </w:rPr>
              <w:t>решења.</w:t>
            </w:r>
          </w:p>
          <w:p w:rsidR="00041039" w:rsidRDefault="001B26CB">
            <w:pPr>
              <w:pStyle w:val="TableParagraph"/>
              <w:numPr>
                <w:ilvl w:val="0"/>
                <w:numId w:val="1936"/>
              </w:numPr>
              <w:tabs>
                <w:tab w:val="left" w:pos="142"/>
              </w:tabs>
              <w:spacing w:line="160" w:lineRule="exact"/>
              <w:rPr>
                <w:sz w:val="14"/>
              </w:rPr>
            </w:pPr>
            <w:r>
              <w:rPr>
                <w:color w:val="231F20"/>
                <w:sz w:val="14"/>
              </w:rPr>
              <w:t>Припрема нацрта</w:t>
            </w:r>
            <w:r>
              <w:rPr>
                <w:color w:val="231F20"/>
                <w:spacing w:val="-1"/>
                <w:sz w:val="14"/>
              </w:rPr>
              <w:t xml:space="preserve"> </w:t>
            </w:r>
            <w:r>
              <w:rPr>
                <w:color w:val="231F20"/>
                <w:sz w:val="14"/>
              </w:rPr>
              <w:t>акције.</w:t>
            </w:r>
          </w:p>
          <w:p w:rsidR="00041039" w:rsidRDefault="001B26CB">
            <w:pPr>
              <w:pStyle w:val="TableParagraph"/>
              <w:numPr>
                <w:ilvl w:val="0"/>
                <w:numId w:val="1936"/>
              </w:numPr>
              <w:tabs>
                <w:tab w:val="left" w:pos="142"/>
              </w:tabs>
              <w:ind w:right="136"/>
              <w:rPr>
                <w:sz w:val="14"/>
              </w:rPr>
            </w:pPr>
            <w:r>
              <w:rPr>
                <w:color w:val="231F20"/>
                <w:sz w:val="14"/>
              </w:rPr>
              <w:t>Реализација акције (ван редовних часова</w:t>
            </w:r>
            <w:r>
              <w:rPr>
                <w:color w:val="231F20"/>
                <w:spacing w:val="-14"/>
                <w:sz w:val="14"/>
              </w:rPr>
              <w:t xml:space="preserve"> </w:t>
            </w:r>
            <w:r>
              <w:rPr>
                <w:color w:val="231F20"/>
                <w:sz w:val="14"/>
              </w:rPr>
              <w:t>и учионице).</w:t>
            </w:r>
          </w:p>
          <w:p w:rsidR="00041039" w:rsidRDefault="001B26CB">
            <w:pPr>
              <w:pStyle w:val="TableParagraph"/>
              <w:numPr>
                <w:ilvl w:val="0"/>
                <w:numId w:val="1936"/>
              </w:numPr>
              <w:tabs>
                <w:tab w:val="left" w:pos="142"/>
              </w:tabs>
              <w:spacing w:line="159" w:lineRule="exact"/>
              <w:rPr>
                <w:sz w:val="14"/>
              </w:rPr>
            </w:pPr>
            <w:r>
              <w:rPr>
                <w:color w:val="231F20"/>
                <w:sz w:val="14"/>
              </w:rPr>
              <w:t>Анализа реализоване</w:t>
            </w:r>
            <w:r>
              <w:rPr>
                <w:color w:val="231F20"/>
                <w:spacing w:val="-2"/>
                <w:sz w:val="14"/>
              </w:rPr>
              <w:t xml:space="preserve"> </w:t>
            </w:r>
            <w:r>
              <w:rPr>
                <w:color w:val="231F20"/>
                <w:sz w:val="14"/>
              </w:rPr>
              <w:t>акције.</w:t>
            </w:r>
          </w:p>
          <w:p w:rsidR="00041039" w:rsidRDefault="001B26CB">
            <w:pPr>
              <w:pStyle w:val="TableParagraph"/>
              <w:numPr>
                <w:ilvl w:val="0"/>
                <w:numId w:val="1936"/>
              </w:numPr>
              <w:tabs>
                <w:tab w:val="left" w:pos="142"/>
              </w:tabs>
              <w:spacing w:line="161" w:lineRule="exact"/>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267" w:type="dxa"/>
          </w:tcPr>
          <w:p w:rsidR="00041039" w:rsidRDefault="001B26CB">
            <w:pPr>
              <w:pStyle w:val="TableParagraph"/>
              <w:numPr>
                <w:ilvl w:val="0"/>
                <w:numId w:val="1935"/>
              </w:numPr>
              <w:tabs>
                <w:tab w:val="left" w:pos="158"/>
              </w:tabs>
              <w:spacing w:before="8"/>
              <w:ind w:right="197"/>
              <w:rPr>
                <w:sz w:val="14"/>
              </w:rPr>
            </w:pPr>
            <w:r>
              <w:rPr>
                <w:color w:val="231F20"/>
                <w:sz w:val="14"/>
              </w:rPr>
              <w:t>Добар индикатор успешне на­ ставе је способност ученика да адекватно примењују стечена знања и вештине и да у пракси изр</w:t>
            </w:r>
            <w:r>
              <w:rPr>
                <w:color w:val="231F20"/>
                <w:sz w:val="14"/>
              </w:rPr>
              <w:t>ажавају ставове и вредности демократског</w:t>
            </w:r>
            <w:r>
              <w:rPr>
                <w:color w:val="231F20"/>
                <w:spacing w:val="-1"/>
                <w:sz w:val="14"/>
              </w:rPr>
              <w:t xml:space="preserve"> </w:t>
            </w:r>
            <w:r>
              <w:rPr>
                <w:color w:val="231F20"/>
                <w:sz w:val="14"/>
              </w:rPr>
              <w:t>друштва.</w:t>
            </w:r>
          </w:p>
          <w:p w:rsidR="00041039" w:rsidRDefault="001B26CB">
            <w:pPr>
              <w:pStyle w:val="TableParagraph"/>
              <w:numPr>
                <w:ilvl w:val="0"/>
                <w:numId w:val="1935"/>
              </w:numPr>
              <w:tabs>
                <w:tab w:val="left" w:pos="158"/>
              </w:tabs>
              <w:spacing w:line="154" w:lineRule="exact"/>
              <w:rPr>
                <w:sz w:val="14"/>
              </w:rPr>
            </w:pPr>
            <w:r>
              <w:rPr>
                <w:color w:val="231F20"/>
                <w:sz w:val="14"/>
              </w:rPr>
              <w:t>Наставник треба</w:t>
            </w:r>
            <w:r>
              <w:rPr>
                <w:color w:val="231F20"/>
                <w:spacing w:val="-2"/>
                <w:sz w:val="14"/>
              </w:rPr>
              <w:t xml:space="preserve"> </w:t>
            </w:r>
            <w:r>
              <w:rPr>
                <w:color w:val="231F20"/>
                <w:sz w:val="14"/>
              </w:rPr>
              <w:t>дапружинеоп­</w:t>
            </w:r>
          </w:p>
          <w:p w:rsidR="00041039" w:rsidRDefault="001B26CB">
            <w:pPr>
              <w:pStyle w:val="TableParagraph"/>
              <w:ind w:left="157"/>
              <w:rPr>
                <w:sz w:val="14"/>
              </w:rPr>
            </w:pPr>
            <w:r>
              <w:rPr>
                <w:color w:val="231F20"/>
                <w:sz w:val="14"/>
              </w:rPr>
              <w:t>ходну помоћ и подршкуученици­ мау припреми и реализацији ак­ тивности, а заједно са групом да обезбеди повратну информацију о њеној успешности.</w:t>
            </w:r>
          </w:p>
          <w:p w:rsidR="00041039" w:rsidRDefault="001B26CB">
            <w:pPr>
              <w:pStyle w:val="TableParagraph"/>
              <w:numPr>
                <w:ilvl w:val="0"/>
                <w:numId w:val="1935"/>
              </w:numPr>
              <w:tabs>
                <w:tab w:val="left" w:pos="158"/>
              </w:tabs>
              <w:spacing w:line="156" w:lineRule="exact"/>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ученичких актив­ ности и особа која даје повратну информацију.</w:t>
            </w:r>
          </w:p>
          <w:p w:rsidR="00041039" w:rsidRDefault="001B26CB">
            <w:pPr>
              <w:pStyle w:val="TableParagraph"/>
              <w:numPr>
                <w:ilvl w:val="0"/>
                <w:numId w:val="1935"/>
              </w:numPr>
              <w:tabs>
                <w:tab w:val="left" w:pos="158"/>
              </w:tabs>
              <w:spacing w:line="157" w:lineRule="exact"/>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1935"/>
              </w:numPr>
              <w:tabs>
                <w:tab w:val="left" w:pos="158"/>
              </w:tabs>
              <w:spacing w:line="237" w:lineRule="auto"/>
              <w:ind w:right="105"/>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w:t>
            </w:r>
            <w:r>
              <w:rPr>
                <w:color w:val="231F20"/>
                <w:spacing w:val="-11"/>
                <w:sz w:val="14"/>
              </w:rPr>
              <w:t xml:space="preserve"> </w:t>
            </w:r>
            <w:r>
              <w:rPr>
                <w:color w:val="231F20"/>
                <w:sz w:val="14"/>
              </w:rPr>
              <w:t>15–20 ученика.</w:t>
            </w:r>
          </w:p>
          <w:p w:rsidR="00041039" w:rsidRDefault="00041039">
            <w:pPr>
              <w:pStyle w:val="TableParagraph"/>
              <w:ind w:left="0"/>
              <w:rPr>
                <w:b/>
                <w:sz w:val="13"/>
              </w:rPr>
            </w:pPr>
          </w:p>
          <w:p w:rsidR="00041039" w:rsidRDefault="001B26CB">
            <w:pPr>
              <w:pStyle w:val="TableParagraph"/>
              <w:spacing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1935"/>
              </w:numPr>
              <w:tabs>
                <w:tab w:val="left" w:pos="158"/>
              </w:tabs>
              <w:spacing w:line="160" w:lineRule="exact"/>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935"/>
              </w:numPr>
              <w:tabs>
                <w:tab w:val="left" w:pos="158"/>
              </w:tabs>
              <w:spacing w:line="160" w:lineRule="exact"/>
              <w:rPr>
                <w:b/>
                <w:sz w:val="14"/>
              </w:rPr>
            </w:pPr>
            <w:r>
              <w:rPr>
                <w:color w:val="231F20"/>
                <w:sz w:val="14"/>
              </w:rPr>
              <w:t>Права и одговорности</w:t>
            </w:r>
            <w:r>
              <w:rPr>
                <w:color w:val="231F20"/>
                <w:spacing w:val="-20"/>
                <w:sz w:val="14"/>
              </w:rPr>
              <w:t xml:space="preserve"> </w:t>
            </w:r>
            <w:r>
              <w:rPr>
                <w:b/>
                <w:color w:val="231F20"/>
                <w:sz w:val="14"/>
              </w:rPr>
              <w:t>(16часова)</w:t>
            </w:r>
          </w:p>
          <w:p w:rsidR="00041039" w:rsidRDefault="001B26CB">
            <w:pPr>
              <w:pStyle w:val="TableParagraph"/>
              <w:numPr>
                <w:ilvl w:val="0"/>
                <w:numId w:val="1935"/>
              </w:numPr>
              <w:tabs>
                <w:tab w:val="left" w:pos="158"/>
              </w:tabs>
              <w:spacing w:line="237" w:lineRule="auto"/>
              <w:ind w:right="78"/>
              <w:rPr>
                <w:b/>
                <w:sz w:val="14"/>
              </w:rPr>
            </w:pPr>
            <w:r>
              <w:rPr>
                <w:color w:val="231F20"/>
                <w:sz w:val="14"/>
              </w:rPr>
              <w:t>Планирање и извођење акције</w:t>
            </w:r>
            <w:r>
              <w:rPr>
                <w:color w:val="231F20"/>
                <w:spacing w:val="-13"/>
                <w:sz w:val="14"/>
              </w:rPr>
              <w:t xml:space="preserve"> </w:t>
            </w:r>
            <w:r>
              <w:rPr>
                <w:b/>
                <w:color w:val="231F20"/>
                <w:sz w:val="14"/>
              </w:rPr>
              <w:t>(19 часова)</w:t>
            </w:r>
          </w:p>
        </w:tc>
      </w:tr>
    </w:tbl>
    <w:p w:rsidR="00041039" w:rsidRDefault="00041039">
      <w:pPr>
        <w:pStyle w:val="BodyText"/>
        <w:spacing w:before="7"/>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354"/>
              <w:rPr>
                <w:sz w:val="14"/>
              </w:rPr>
            </w:pPr>
            <w:r>
              <w:rPr>
                <w:color w:val="231F20"/>
                <w:sz w:val="14"/>
              </w:rPr>
              <w:t>Демократија и политика</w:t>
            </w:r>
          </w:p>
        </w:tc>
        <w:tc>
          <w:tcPr>
            <w:tcW w:w="1587" w:type="dxa"/>
          </w:tcPr>
          <w:p w:rsidR="00041039" w:rsidRDefault="001B26CB">
            <w:pPr>
              <w:pStyle w:val="TableParagraph"/>
              <w:numPr>
                <w:ilvl w:val="0"/>
                <w:numId w:val="1934"/>
              </w:numPr>
              <w:tabs>
                <w:tab w:val="left" w:pos="157"/>
              </w:tabs>
              <w:spacing w:before="8"/>
              <w:ind w:right="70"/>
              <w:jc w:val="both"/>
              <w:rPr>
                <w:sz w:val="14"/>
              </w:rPr>
            </w:pPr>
            <w:r>
              <w:rPr>
                <w:color w:val="231F20"/>
                <w:sz w:val="14"/>
              </w:rPr>
              <w:t xml:space="preserve">Разумевање појмоваде </w:t>
            </w:r>
            <w:r>
              <w:rPr>
                <w:color w:val="231F20"/>
                <w:spacing w:val="-1"/>
                <w:sz w:val="14"/>
              </w:rPr>
              <w:t xml:space="preserve">мократија,политика,вл </w:t>
            </w:r>
            <w:r>
              <w:rPr>
                <w:color w:val="231F20"/>
                <w:spacing w:val="-3"/>
                <w:sz w:val="14"/>
              </w:rPr>
              <w:t xml:space="preserve">аст, </w:t>
            </w:r>
            <w:r>
              <w:rPr>
                <w:color w:val="231F20"/>
                <w:sz w:val="14"/>
              </w:rPr>
              <w:t xml:space="preserve">грађански </w:t>
            </w:r>
            <w:r>
              <w:rPr>
                <w:color w:val="231F20"/>
                <w:spacing w:val="-3"/>
                <w:sz w:val="14"/>
              </w:rPr>
              <w:t>живот.</w:t>
            </w:r>
          </w:p>
          <w:p w:rsidR="00041039" w:rsidRDefault="001B26CB">
            <w:pPr>
              <w:pStyle w:val="TableParagraph"/>
              <w:numPr>
                <w:ilvl w:val="0"/>
                <w:numId w:val="1934"/>
              </w:numPr>
              <w:tabs>
                <w:tab w:val="left" w:pos="157"/>
              </w:tabs>
              <w:spacing w:line="157" w:lineRule="exact"/>
              <w:rPr>
                <w:sz w:val="14"/>
              </w:rPr>
            </w:pPr>
            <w:r>
              <w:rPr>
                <w:color w:val="231F20"/>
                <w:sz w:val="14"/>
              </w:rPr>
              <w:t>Упознавање са</w:t>
            </w:r>
            <w:r>
              <w:rPr>
                <w:color w:val="231F20"/>
                <w:spacing w:val="-7"/>
                <w:sz w:val="14"/>
              </w:rPr>
              <w:t xml:space="preserve"> </w:t>
            </w:r>
            <w:r>
              <w:rPr>
                <w:color w:val="231F20"/>
                <w:sz w:val="14"/>
              </w:rPr>
              <w:t>меха­</w:t>
            </w:r>
          </w:p>
          <w:p w:rsidR="00041039" w:rsidRDefault="001B26CB">
            <w:pPr>
              <w:pStyle w:val="TableParagraph"/>
              <w:ind w:right="15"/>
              <w:rPr>
                <w:sz w:val="14"/>
              </w:rPr>
            </w:pPr>
            <w:r>
              <w:rPr>
                <w:color w:val="231F20"/>
                <w:sz w:val="14"/>
              </w:rPr>
              <w:t>низмима функцио­ нисањадемократије иинституцијамадемо­ кратије.</w:t>
            </w:r>
          </w:p>
          <w:p w:rsidR="00041039" w:rsidRDefault="001B26CB">
            <w:pPr>
              <w:pStyle w:val="TableParagraph"/>
              <w:numPr>
                <w:ilvl w:val="0"/>
                <w:numId w:val="1934"/>
              </w:numPr>
              <w:tabs>
                <w:tab w:val="left" w:pos="157"/>
              </w:tabs>
              <w:spacing w:line="157" w:lineRule="exact"/>
              <w:rPr>
                <w:sz w:val="14"/>
              </w:rPr>
            </w:pPr>
            <w:r>
              <w:rPr>
                <w:color w:val="231F20"/>
                <w:sz w:val="14"/>
              </w:rPr>
              <w:t>Сагледавање</w:t>
            </w:r>
            <w:r>
              <w:rPr>
                <w:color w:val="231F20"/>
                <w:spacing w:val="-3"/>
                <w:sz w:val="14"/>
              </w:rPr>
              <w:t xml:space="preserve"> </w:t>
            </w:r>
            <w:r>
              <w:rPr>
                <w:color w:val="231F20"/>
                <w:sz w:val="14"/>
              </w:rPr>
              <w:t>значаја</w:t>
            </w:r>
          </w:p>
          <w:p w:rsidR="00041039" w:rsidRDefault="001B26CB">
            <w:pPr>
              <w:pStyle w:val="TableParagraph"/>
              <w:ind w:right="179"/>
              <w:jc w:val="both"/>
              <w:rPr>
                <w:sz w:val="14"/>
              </w:rPr>
            </w:pPr>
            <w:r>
              <w:rPr>
                <w:color w:val="231F20"/>
                <w:sz w:val="14"/>
              </w:rPr>
              <w:t>и начина контроле и ограничења власти у демократији.</w:t>
            </w:r>
          </w:p>
        </w:tc>
        <w:tc>
          <w:tcPr>
            <w:tcW w:w="2551" w:type="dxa"/>
          </w:tcPr>
          <w:p w:rsidR="00041039" w:rsidRDefault="001B26CB">
            <w:pPr>
              <w:pStyle w:val="TableParagraph"/>
              <w:numPr>
                <w:ilvl w:val="0"/>
                <w:numId w:val="1933"/>
              </w:numPr>
              <w:tabs>
                <w:tab w:val="left" w:pos="157"/>
              </w:tabs>
              <w:spacing w:before="8"/>
              <w:ind w:right="122" w:hanging="99"/>
              <w:rPr>
                <w:sz w:val="14"/>
              </w:rPr>
            </w:pPr>
            <w:r>
              <w:rPr>
                <w:color w:val="231F20"/>
                <w:sz w:val="14"/>
              </w:rPr>
              <w:t>објасни појмове демократија,</w:t>
            </w:r>
            <w:r>
              <w:rPr>
                <w:color w:val="231F20"/>
                <w:spacing w:val="-19"/>
                <w:sz w:val="14"/>
              </w:rPr>
              <w:t xml:space="preserve"> </w:t>
            </w:r>
            <w:r>
              <w:rPr>
                <w:color w:val="231F20"/>
                <w:sz w:val="14"/>
              </w:rPr>
              <w:t xml:space="preserve">полити­ ка, </w:t>
            </w:r>
            <w:r>
              <w:rPr>
                <w:color w:val="231F20"/>
                <w:spacing w:val="-3"/>
                <w:sz w:val="14"/>
              </w:rPr>
              <w:t xml:space="preserve">власт, </w:t>
            </w:r>
            <w:r>
              <w:rPr>
                <w:color w:val="231F20"/>
                <w:sz w:val="14"/>
              </w:rPr>
              <w:t>грађански живот;</w:t>
            </w:r>
          </w:p>
          <w:p w:rsidR="00041039" w:rsidRDefault="001B26CB">
            <w:pPr>
              <w:pStyle w:val="TableParagraph"/>
              <w:numPr>
                <w:ilvl w:val="0"/>
                <w:numId w:val="1933"/>
              </w:numPr>
              <w:tabs>
                <w:tab w:val="left" w:pos="157"/>
              </w:tabs>
              <w:spacing w:line="160" w:lineRule="exact"/>
              <w:ind w:right="93" w:hanging="99"/>
              <w:rPr>
                <w:sz w:val="14"/>
              </w:rPr>
            </w:pPr>
            <w:r>
              <w:rPr>
                <w:color w:val="231F20"/>
                <w:sz w:val="14"/>
              </w:rPr>
              <w:t>наведе разлике између демократског</w:t>
            </w:r>
            <w:r>
              <w:rPr>
                <w:color w:val="231F20"/>
                <w:spacing w:val="-22"/>
                <w:sz w:val="14"/>
              </w:rPr>
              <w:t xml:space="preserve"> </w:t>
            </w:r>
            <w:r>
              <w:rPr>
                <w:color w:val="231F20"/>
                <w:sz w:val="14"/>
              </w:rPr>
              <w:t>и недемократског начина</w:t>
            </w:r>
            <w:r>
              <w:rPr>
                <w:color w:val="231F20"/>
                <w:spacing w:val="-10"/>
                <w:sz w:val="14"/>
              </w:rPr>
              <w:t xml:space="preserve"> </w:t>
            </w:r>
            <w:r>
              <w:rPr>
                <w:color w:val="231F20"/>
                <w:sz w:val="14"/>
              </w:rPr>
              <w:t>одлучивања;</w:t>
            </w:r>
          </w:p>
          <w:p w:rsidR="00041039" w:rsidRDefault="001B26CB">
            <w:pPr>
              <w:pStyle w:val="TableParagraph"/>
              <w:numPr>
                <w:ilvl w:val="0"/>
                <w:numId w:val="1933"/>
              </w:numPr>
              <w:tabs>
                <w:tab w:val="left" w:pos="157"/>
              </w:tabs>
              <w:spacing w:line="160" w:lineRule="exact"/>
              <w:ind w:right="151" w:hanging="99"/>
              <w:rPr>
                <w:sz w:val="14"/>
              </w:rPr>
            </w:pPr>
            <w:r>
              <w:rPr>
                <w:color w:val="231F20"/>
                <w:sz w:val="14"/>
              </w:rPr>
              <w:t>објасни разлике између непосредне</w:t>
            </w:r>
            <w:r>
              <w:rPr>
                <w:color w:val="231F20"/>
                <w:spacing w:val="-9"/>
                <w:sz w:val="14"/>
              </w:rPr>
              <w:t xml:space="preserve"> </w:t>
            </w:r>
            <w:r>
              <w:rPr>
                <w:color w:val="231F20"/>
                <w:sz w:val="14"/>
              </w:rPr>
              <w:t>и посредне</w:t>
            </w:r>
            <w:r>
              <w:rPr>
                <w:color w:val="231F20"/>
                <w:spacing w:val="-1"/>
                <w:sz w:val="14"/>
              </w:rPr>
              <w:t xml:space="preserve"> </w:t>
            </w:r>
            <w:r>
              <w:rPr>
                <w:color w:val="231F20"/>
                <w:sz w:val="14"/>
              </w:rPr>
              <w:t>демократије;</w:t>
            </w:r>
          </w:p>
          <w:p w:rsidR="00041039" w:rsidRDefault="001B26CB">
            <w:pPr>
              <w:pStyle w:val="TableParagraph"/>
              <w:numPr>
                <w:ilvl w:val="0"/>
                <w:numId w:val="1933"/>
              </w:numPr>
              <w:tabs>
                <w:tab w:val="left" w:pos="157"/>
              </w:tabs>
              <w:spacing w:line="160" w:lineRule="exact"/>
              <w:ind w:right="66" w:hanging="99"/>
              <w:rPr>
                <w:sz w:val="14"/>
              </w:rPr>
            </w:pPr>
            <w:r>
              <w:rPr>
                <w:color w:val="231F20"/>
                <w:sz w:val="14"/>
              </w:rPr>
              <w:t>анализира различите начине</w:t>
            </w:r>
            <w:r>
              <w:rPr>
                <w:color w:val="231F20"/>
                <w:spacing w:val="-11"/>
                <w:sz w:val="14"/>
              </w:rPr>
              <w:t xml:space="preserve"> </w:t>
            </w:r>
            <w:r>
              <w:rPr>
                <w:color w:val="231F20"/>
                <w:sz w:val="14"/>
              </w:rPr>
              <w:t>огранича­ вања</w:t>
            </w:r>
            <w:r>
              <w:rPr>
                <w:color w:val="231F20"/>
                <w:spacing w:val="-1"/>
                <w:sz w:val="14"/>
              </w:rPr>
              <w:t xml:space="preserve"> </w:t>
            </w:r>
            <w:r>
              <w:rPr>
                <w:color w:val="231F20"/>
                <w:sz w:val="14"/>
              </w:rPr>
              <w:t>власти;</w:t>
            </w:r>
          </w:p>
          <w:p w:rsidR="00041039" w:rsidRDefault="001B26CB">
            <w:pPr>
              <w:pStyle w:val="TableParagraph"/>
              <w:numPr>
                <w:ilvl w:val="0"/>
                <w:numId w:val="1933"/>
              </w:numPr>
              <w:tabs>
                <w:tab w:val="left" w:pos="157"/>
              </w:tabs>
              <w:spacing w:before="1" w:line="160" w:lineRule="exact"/>
              <w:ind w:right="216" w:hanging="99"/>
              <w:rPr>
                <w:sz w:val="14"/>
              </w:rPr>
            </w:pPr>
            <w:r>
              <w:rPr>
                <w:color w:val="231F20"/>
                <w:sz w:val="14"/>
              </w:rPr>
              <w:t>разликује надлежностизаконодавне,извршне</w:t>
            </w:r>
            <w:r>
              <w:rPr>
                <w:color w:val="231F20"/>
                <w:spacing w:val="-13"/>
                <w:sz w:val="14"/>
              </w:rPr>
              <w:t xml:space="preserve"> </w:t>
            </w:r>
            <w:r>
              <w:rPr>
                <w:color w:val="231F20"/>
                <w:sz w:val="14"/>
              </w:rPr>
              <w:t xml:space="preserve">и </w:t>
            </w:r>
            <w:r>
              <w:rPr>
                <w:color w:val="231F20"/>
                <w:spacing w:val="-3"/>
                <w:sz w:val="14"/>
              </w:rPr>
              <w:t>судске</w:t>
            </w:r>
            <w:r>
              <w:rPr>
                <w:color w:val="231F20"/>
                <w:spacing w:val="-1"/>
                <w:sz w:val="14"/>
              </w:rPr>
              <w:t xml:space="preserve"> </w:t>
            </w:r>
            <w:r>
              <w:rPr>
                <w:color w:val="231F20"/>
                <w:sz w:val="14"/>
              </w:rPr>
              <w:t>власти;</w:t>
            </w:r>
          </w:p>
        </w:tc>
        <w:tc>
          <w:tcPr>
            <w:tcW w:w="2834" w:type="dxa"/>
          </w:tcPr>
          <w:p w:rsidR="00041039" w:rsidRDefault="001B26CB">
            <w:pPr>
              <w:pStyle w:val="TableParagraph"/>
              <w:numPr>
                <w:ilvl w:val="0"/>
                <w:numId w:val="1932"/>
              </w:numPr>
              <w:tabs>
                <w:tab w:val="left" w:pos="157"/>
              </w:tabs>
              <w:spacing w:before="8" w:line="166" w:lineRule="exact"/>
              <w:ind w:hanging="99"/>
              <w:rPr>
                <w:sz w:val="14"/>
              </w:rPr>
            </w:pPr>
            <w:r>
              <w:rPr>
                <w:color w:val="231F20"/>
                <w:sz w:val="14"/>
              </w:rPr>
              <w:t>Демократија, политика и</w:t>
            </w:r>
            <w:r>
              <w:rPr>
                <w:color w:val="231F20"/>
                <w:spacing w:val="-3"/>
                <w:sz w:val="14"/>
              </w:rPr>
              <w:t xml:space="preserve"> власт.</w:t>
            </w:r>
          </w:p>
          <w:p w:rsidR="00041039" w:rsidRDefault="001B26CB">
            <w:pPr>
              <w:pStyle w:val="TableParagraph"/>
              <w:numPr>
                <w:ilvl w:val="0"/>
                <w:numId w:val="1932"/>
              </w:numPr>
              <w:tabs>
                <w:tab w:val="left" w:pos="157"/>
              </w:tabs>
              <w:spacing w:line="160" w:lineRule="exact"/>
              <w:ind w:hanging="99"/>
              <w:rPr>
                <w:sz w:val="14"/>
              </w:rPr>
            </w:pPr>
            <w:r>
              <w:rPr>
                <w:color w:val="231F20"/>
                <w:sz w:val="14"/>
              </w:rPr>
              <w:t>Функционисања институције</w:t>
            </w:r>
            <w:r>
              <w:rPr>
                <w:color w:val="231F20"/>
                <w:spacing w:val="-7"/>
                <w:sz w:val="14"/>
              </w:rPr>
              <w:t xml:space="preserve"> </w:t>
            </w:r>
            <w:r>
              <w:rPr>
                <w:color w:val="231F20"/>
                <w:sz w:val="14"/>
              </w:rPr>
              <w:t>демократије.</w:t>
            </w:r>
          </w:p>
          <w:p w:rsidR="00041039" w:rsidRDefault="001B26CB">
            <w:pPr>
              <w:pStyle w:val="TableParagraph"/>
              <w:numPr>
                <w:ilvl w:val="0"/>
                <w:numId w:val="1932"/>
              </w:numPr>
              <w:tabs>
                <w:tab w:val="left" w:pos="157"/>
              </w:tabs>
              <w:spacing w:line="237" w:lineRule="auto"/>
              <w:ind w:right="333" w:hanging="99"/>
              <w:rPr>
                <w:sz w:val="14"/>
              </w:rPr>
            </w:pPr>
            <w:r>
              <w:rPr>
                <w:color w:val="231F20"/>
                <w:sz w:val="14"/>
              </w:rPr>
              <w:t>Механизми и начини контроле и ограничења власти у демократском</w:t>
            </w:r>
            <w:r>
              <w:rPr>
                <w:color w:val="231F20"/>
                <w:spacing w:val="-22"/>
                <w:sz w:val="14"/>
              </w:rPr>
              <w:t xml:space="preserve"> </w:t>
            </w:r>
            <w:r>
              <w:rPr>
                <w:color w:val="231F20"/>
                <w:sz w:val="14"/>
              </w:rPr>
              <w:t xml:space="preserve">по­ </w:t>
            </w:r>
            <w:r>
              <w:rPr>
                <w:color w:val="231F20"/>
                <w:spacing w:val="-3"/>
                <w:sz w:val="14"/>
              </w:rPr>
              <w:t>ретку.</w:t>
            </w:r>
          </w:p>
        </w:tc>
        <w:tc>
          <w:tcPr>
            <w:tcW w:w="2267" w:type="dxa"/>
            <w:vMerge w:val="restart"/>
          </w:tcPr>
          <w:p w:rsidR="00041039" w:rsidRDefault="001B26CB">
            <w:pPr>
              <w:pStyle w:val="TableParagraph"/>
              <w:numPr>
                <w:ilvl w:val="0"/>
                <w:numId w:val="1931"/>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w:t>
            </w:r>
            <w:r>
              <w:rPr>
                <w:color w:val="231F20"/>
                <w:sz w:val="14"/>
              </w:rPr>
              <w:t xml:space="preserve"> кроз следеће облике наставе:</w:t>
            </w:r>
          </w:p>
          <w:p w:rsidR="00041039" w:rsidRDefault="001B26CB">
            <w:pPr>
              <w:pStyle w:val="TableParagraph"/>
              <w:numPr>
                <w:ilvl w:val="0"/>
                <w:numId w:val="1931"/>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931"/>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931"/>
              </w:numPr>
              <w:tabs>
                <w:tab w:val="left" w:pos="158"/>
              </w:tabs>
              <w:spacing w:line="160" w:lineRule="exact"/>
              <w:ind w:right="260" w:hanging="99"/>
              <w:rPr>
                <w:sz w:val="14"/>
              </w:rPr>
            </w:pPr>
            <w:r>
              <w:rPr>
                <w:color w:val="231F20"/>
                <w:sz w:val="14"/>
              </w:rPr>
              <w:t>Реализација програма треба да се одвија у складу са принци­ пима активне, проблемске</w:t>
            </w:r>
            <w:r>
              <w:rPr>
                <w:color w:val="231F20"/>
                <w:spacing w:val="-10"/>
                <w:sz w:val="14"/>
              </w:rPr>
              <w:t xml:space="preserve"> </w:t>
            </w:r>
            <w:r>
              <w:rPr>
                <w:color w:val="231F20"/>
                <w:sz w:val="14"/>
              </w:rPr>
              <w:t>и</w:t>
            </w:r>
          </w:p>
          <w:p w:rsidR="00041039" w:rsidRDefault="001B26CB">
            <w:pPr>
              <w:pStyle w:val="TableParagraph"/>
              <w:spacing w:line="237" w:lineRule="auto"/>
              <w:ind w:left="157"/>
              <w:rPr>
                <w:sz w:val="14"/>
              </w:rPr>
            </w:pPr>
            <w:r>
              <w:rPr>
                <w:color w:val="231F20"/>
                <w:sz w:val="14"/>
              </w:rPr>
              <w:t>истраживачке наставе са сталним рефлексијама на одговарајуће појаве из друштвеног контекста прошлости и садашњости.</w:t>
            </w:r>
          </w:p>
          <w:p w:rsidR="00041039" w:rsidRDefault="001B26CB">
            <w:pPr>
              <w:pStyle w:val="TableParagraph"/>
              <w:numPr>
                <w:ilvl w:val="0"/>
                <w:numId w:val="1931"/>
              </w:numPr>
              <w:tabs>
                <w:tab w:val="left" w:pos="158"/>
              </w:tabs>
              <w:spacing w:line="237" w:lineRule="auto"/>
              <w:ind w:right="162" w:hanging="99"/>
              <w:rPr>
                <w:sz w:val="14"/>
              </w:rPr>
            </w:pPr>
            <w:r>
              <w:rPr>
                <w:color w:val="231F20"/>
                <w:sz w:val="14"/>
              </w:rPr>
              <w:t>Квалитет наставе се обезбеђује усаглашавањем садржаја</w:t>
            </w:r>
            <w:r>
              <w:rPr>
                <w:color w:val="231F20"/>
                <w:sz w:val="14"/>
              </w:rPr>
              <w:t xml:space="preserve">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p w:rsidR="00041039" w:rsidRDefault="001B26CB">
            <w:pPr>
              <w:pStyle w:val="TableParagraph"/>
              <w:numPr>
                <w:ilvl w:val="0"/>
                <w:numId w:val="1931"/>
              </w:numPr>
              <w:tabs>
                <w:tab w:val="left" w:pos="158"/>
              </w:tabs>
              <w:spacing w:line="237" w:lineRule="auto"/>
              <w:ind w:right="196" w:hanging="99"/>
              <w:rPr>
                <w:sz w:val="14"/>
              </w:rPr>
            </w:pPr>
            <w:r>
              <w:rPr>
                <w:color w:val="231F20"/>
                <w:sz w:val="14"/>
              </w:rPr>
              <w:t>Добар индикатор успешне на­ ставе је способност ученика да адекватно примењују стечена знања и вештине и да у пракси изражавају ставове и вредности демократског</w:t>
            </w:r>
            <w:r>
              <w:rPr>
                <w:color w:val="231F20"/>
                <w:spacing w:val="-1"/>
                <w:sz w:val="14"/>
              </w:rPr>
              <w:t xml:space="preserve"> </w:t>
            </w:r>
            <w:r>
              <w:rPr>
                <w:color w:val="231F20"/>
                <w:sz w:val="14"/>
              </w:rPr>
              <w:t>друштв</w:t>
            </w:r>
            <w:r>
              <w:rPr>
                <w:color w:val="231F20"/>
                <w:sz w:val="14"/>
              </w:rPr>
              <w:t>а.</w:t>
            </w:r>
          </w:p>
        </w:tc>
      </w:tr>
      <w:tr w:rsidR="00041039">
        <w:trPr>
          <w:trHeight w:val="3990"/>
        </w:trPr>
        <w:tc>
          <w:tcPr>
            <w:tcW w:w="1304" w:type="dxa"/>
          </w:tcPr>
          <w:p w:rsidR="00041039" w:rsidRDefault="001B26CB">
            <w:pPr>
              <w:pStyle w:val="TableParagraph"/>
              <w:spacing w:before="19"/>
              <w:ind w:left="56" w:right="174"/>
              <w:rPr>
                <w:sz w:val="14"/>
              </w:rPr>
            </w:pPr>
            <w:r>
              <w:rPr>
                <w:color w:val="231F20"/>
                <w:sz w:val="14"/>
              </w:rPr>
              <w:t>Грађанин и друштво</w:t>
            </w:r>
          </w:p>
        </w:tc>
        <w:tc>
          <w:tcPr>
            <w:tcW w:w="1587" w:type="dxa"/>
          </w:tcPr>
          <w:p w:rsidR="00041039" w:rsidRDefault="001B26CB">
            <w:pPr>
              <w:pStyle w:val="TableParagraph"/>
              <w:numPr>
                <w:ilvl w:val="0"/>
                <w:numId w:val="1930"/>
              </w:numPr>
              <w:tabs>
                <w:tab w:val="left" w:pos="157"/>
              </w:tabs>
              <w:spacing w:before="9"/>
              <w:ind w:right="303"/>
              <w:jc w:val="both"/>
              <w:rPr>
                <w:sz w:val="14"/>
              </w:rPr>
            </w:pPr>
            <w:r>
              <w:rPr>
                <w:color w:val="231F20"/>
                <w:sz w:val="14"/>
              </w:rPr>
              <w:t>Сагледавање</w:t>
            </w:r>
            <w:r>
              <w:rPr>
                <w:color w:val="231F20"/>
                <w:spacing w:val="-8"/>
                <w:sz w:val="14"/>
              </w:rPr>
              <w:t xml:space="preserve"> </w:t>
            </w:r>
            <w:r>
              <w:rPr>
                <w:color w:val="231F20"/>
                <w:spacing w:val="-3"/>
                <w:sz w:val="14"/>
              </w:rPr>
              <w:t xml:space="preserve">улоге </w:t>
            </w:r>
            <w:r>
              <w:rPr>
                <w:color w:val="231F20"/>
                <w:sz w:val="14"/>
              </w:rPr>
              <w:t xml:space="preserve">грађанина/грађан­ ке у демократском </w:t>
            </w:r>
            <w:r>
              <w:rPr>
                <w:color w:val="231F20"/>
                <w:spacing w:val="-3"/>
                <w:sz w:val="14"/>
              </w:rPr>
              <w:t>друштву.</w:t>
            </w:r>
          </w:p>
          <w:p w:rsidR="00041039" w:rsidRDefault="001B26CB">
            <w:pPr>
              <w:pStyle w:val="TableParagraph"/>
              <w:numPr>
                <w:ilvl w:val="0"/>
                <w:numId w:val="1930"/>
              </w:numPr>
              <w:tabs>
                <w:tab w:val="left" w:pos="157"/>
              </w:tabs>
              <w:spacing w:line="156" w:lineRule="exact"/>
              <w:rPr>
                <w:sz w:val="14"/>
              </w:rPr>
            </w:pPr>
            <w:r>
              <w:rPr>
                <w:color w:val="231F20"/>
                <w:sz w:val="14"/>
              </w:rPr>
              <w:t>Упознавање са</w:t>
            </w:r>
            <w:r>
              <w:rPr>
                <w:color w:val="231F20"/>
                <w:spacing w:val="-7"/>
                <w:sz w:val="14"/>
              </w:rPr>
              <w:t xml:space="preserve"> </w:t>
            </w:r>
            <w:r>
              <w:rPr>
                <w:color w:val="231F20"/>
                <w:sz w:val="14"/>
              </w:rPr>
              <w:t>радом</w:t>
            </w:r>
          </w:p>
          <w:p w:rsidR="00041039" w:rsidRDefault="001B26CB">
            <w:pPr>
              <w:pStyle w:val="TableParagraph"/>
              <w:spacing w:line="155" w:lineRule="exact"/>
              <w:rPr>
                <w:sz w:val="14"/>
              </w:rPr>
            </w:pPr>
            <w:r>
              <w:rPr>
                <w:color w:val="231F20"/>
                <w:sz w:val="14"/>
              </w:rPr>
              <w:t>локалне самоуправе.</w:t>
            </w:r>
          </w:p>
          <w:p w:rsidR="00041039" w:rsidRDefault="001B26CB">
            <w:pPr>
              <w:pStyle w:val="TableParagraph"/>
              <w:numPr>
                <w:ilvl w:val="0"/>
                <w:numId w:val="1930"/>
              </w:numPr>
              <w:tabs>
                <w:tab w:val="left" w:pos="157"/>
              </w:tabs>
              <w:spacing w:line="237" w:lineRule="auto"/>
              <w:ind w:right="211"/>
              <w:rPr>
                <w:sz w:val="14"/>
              </w:rPr>
            </w:pPr>
            <w:r>
              <w:rPr>
                <w:color w:val="231F20"/>
                <w:sz w:val="14"/>
              </w:rPr>
              <w:t xml:space="preserve">Сагледавање </w:t>
            </w:r>
            <w:r>
              <w:rPr>
                <w:color w:val="231F20"/>
                <w:spacing w:val="-3"/>
                <w:sz w:val="14"/>
              </w:rPr>
              <w:t xml:space="preserve">улоге </w:t>
            </w:r>
            <w:r>
              <w:rPr>
                <w:color w:val="231F20"/>
                <w:sz w:val="14"/>
              </w:rPr>
              <w:t>и карактеристика цивилног друштва</w:t>
            </w:r>
            <w:r>
              <w:rPr>
                <w:color w:val="231F20"/>
                <w:spacing w:val="-11"/>
                <w:sz w:val="14"/>
              </w:rPr>
              <w:t xml:space="preserve"> </w:t>
            </w:r>
            <w:r>
              <w:rPr>
                <w:color w:val="231F20"/>
                <w:sz w:val="14"/>
              </w:rPr>
              <w:t>у демократији.</w:t>
            </w:r>
          </w:p>
          <w:p w:rsidR="00041039" w:rsidRDefault="001B26CB">
            <w:pPr>
              <w:pStyle w:val="TableParagraph"/>
              <w:numPr>
                <w:ilvl w:val="0"/>
                <w:numId w:val="1930"/>
              </w:numPr>
              <w:tabs>
                <w:tab w:val="left" w:pos="157"/>
              </w:tabs>
              <w:spacing w:line="237" w:lineRule="auto"/>
              <w:ind w:right="147"/>
              <w:rPr>
                <w:sz w:val="14"/>
              </w:rPr>
            </w:pPr>
            <w:r>
              <w:rPr>
                <w:color w:val="231F20"/>
                <w:sz w:val="14"/>
              </w:rPr>
              <w:t>Сагледавање значаја и</w:t>
            </w:r>
            <w:r>
              <w:rPr>
                <w:color w:val="231F20"/>
                <w:spacing w:val="-14"/>
                <w:sz w:val="14"/>
              </w:rPr>
              <w:t xml:space="preserve"> </w:t>
            </w:r>
            <w:r>
              <w:rPr>
                <w:color w:val="231F20"/>
                <w:sz w:val="14"/>
              </w:rPr>
              <w:t>начинаучествовања грађанина/грађанке</w:t>
            </w:r>
            <w:r>
              <w:rPr>
                <w:color w:val="231F20"/>
                <w:spacing w:val="-13"/>
                <w:sz w:val="14"/>
              </w:rPr>
              <w:t xml:space="preserve"> </w:t>
            </w:r>
            <w:r>
              <w:rPr>
                <w:color w:val="231F20"/>
                <w:sz w:val="14"/>
              </w:rPr>
              <w:t>у политици.</w:t>
            </w:r>
          </w:p>
        </w:tc>
        <w:tc>
          <w:tcPr>
            <w:tcW w:w="2551" w:type="dxa"/>
          </w:tcPr>
          <w:p w:rsidR="00041039" w:rsidRDefault="001B26CB">
            <w:pPr>
              <w:pStyle w:val="TableParagraph"/>
              <w:numPr>
                <w:ilvl w:val="0"/>
                <w:numId w:val="1929"/>
              </w:numPr>
              <w:tabs>
                <w:tab w:val="left" w:pos="157"/>
              </w:tabs>
              <w:spacing w:before="9"/>
              <w:ind w:right="352" w:hanging="99"/>
              <w:rPr>
                <w:sz w:val="14"/>
              </w:rPr>
            </w:pPr>
            <w:r>
              <w:rPr>
                <w:color w:val="231F20"/>
                <w:sz w:val="14"/>
              </w:rPr>
              <w:t>разуме политичко одређење</w:t>
            </w:r>
            <w:r>
              <w:rPr>
                <w:color w:val="231F20"/>
                <w:spacing w:val="-27"/>
                <w:sz w:val="14"/>
              </w:rPr>
              <w:t xml:space="preserve"> </w:t>
            </w:r>
            <w:r>
              <w:rPr>
                <w:color w:val="231F20"/>
                <w:sz w:val="14"/>
              </w:rPr>
              <w:t>појма грађанин/грађанка;</w:t>
            </w:r>
          </w:p>
          <w:p w:rsidR="00041039" w:rsidRDefault="001B26CB">
            <w:pPr>
              <w:pStyle w:val="TableParagraph"/>
              <w:numPr>
                <w:ilvl w:val="0"/>
                <w:numId w:val="1929"/>
              </w:numPr>
              <w:tabs>
                <w:tab w:val="left" w:pos="157"/>
              </w:tabs>
              <w:spacing w:before="1" w:line="160" w:lineRule="exact"/>
              <w:ind w:right="353" w:hanging="99"/>
              <w:rPr>
                <w:sz w:val="14"/>
              </w:rPr>
            </w:pPr>
            <w:r>
              <w:rPr>
                <w:color w:val="231F20"/>
                <w:sz w:val="14"/>
              </w:rPr>
              <w:t>разуме</w:t>
            </w:r>
            <w:r>
              <w:rPr>
                <w:color w:val="231F20"/>
                <w:spacing w:val="-7"/>
                <w:sz w:val="14"/>
              </w:rPr>
              <w:t xml:space="preserve"> </w:t>
            </w:r>
            <w:r>
              <w:rPr>
                <w:color w:val="231F20"/>
                <w:sz w:val="14"/>
              </w:rPr>
              <w:t>значај</w:t>
            </w:r>
            <w:r>
              <w:rPr>
                <w:color w:val="231F20"/>
                <w:spacing w:val="-7"/>
                <w:sz w:val="14"/>
              </w:rPr>
              <w:t xml:space="preserve"> </w:t>
            </w:r>
            <w:r>
              <w:rPr>
                <w:color w:val="231F20"/>
                <w:sz w:val="14"/>
              </w:rPr>
              <w:t>поштовања</w:t>
            </w:r>
            <w:r>
              <w:rPr>
                <w:color w:val="231F20"/>
                <w:spacing w:val="-7"/>
                <w:sz w:val="14"/>
              </w:rPr>
              <w:t xml:space="preserve"> </w:t>
            </w:r>
            <w:r>
              <w:rPr>
                <w:color w:val="231F20"/>
                <w:sz w:val="14"/>
              </w:rPr>
              <w:t>закона</w:t>
            </w:r>
            <w:r>
              <w:rPr>
                <w:color w:val="231F20"/>
                <w:spacing w:val="-7"/>
                <w:sz w:val="14"/>
              </w:rPr>
              <w:t xml:space="preserve"> </w:t>
            </w:r>
            <w:r>
              <w:rPr>
                <w:color w:val="231F20"/>
                <w:sz w:val="14"/>
              </w:rPr>
              <w:t>у демократској</w:t>
            </w:r>
            <w:r>
              <w:rPr>
                <w:color w:val="231F20"/>
                <w:spacing w:val="-1"/>
                <w:sz w:val="14"/>
              </w:rPr>
              <w:t xml:space="preserve"> </w:t>
            </w:r>
            <w:r>
              <w:rPr>
                <w:color w:val="231F20"/>
                <w:sz w:val="14"/>
              </w:rPr>
              <w:t>држави;</w:t>
            </w:r>
          </w:p>
          <w:p w:rsidR="00041039" w:rsidRDefault="001B26CB">
            <w:pPr>
              <w:pStyle w:val="TableParagraph"/>
              <w:numPr>
                <w:ilvl w:val="0"/>
                <w:numId w:val="1929"/>
              </w:numPr>
              <w:tabs>
                <w:tab w:val="left" w:pos="157"/>
              </w:tabs>
              <w:spacing w:line="160" w:lineRule="exact"/>
              <w:ind w:right="222" w:hanging="99"/>
              <w:rPr>
                <w:sz w:val="14"/>
              </w:rPr>
            </w:pPr>
            <w:r>
              <w:rPr>
                <w:color w:val="231F20"/>
                <w:sz w:val="14"/>
              </w:rPr>
              <w:t>објасни улогу локалне самоуправе</w:t>
            </w:r>
            <w:r>
              <w:rPr>
                <w:color w:val="231F20"/>
                <w:spacing w:val="-22"/>
                <w:sz w:val="14"/>
              </w:rPr>
              <w:t xml:space="preserve"> </w:t>
            </w:r>
            <w:r>
              <w:rPr>
                <w:color w:val="231F20"/>
                <w:sz w:val="14"/>
              </w:rPr>
              <w:t>и послове којима се она</w:t>
            </w:r>
            <w:r>
              <w:rPr>
                <w:color w:val="231F20"/>
                <w:spacing w:val="-2"/>
                <w:sz w:val="14"/>
              </w:rPr>
              <w:t xml:space="preserve"> </w:t>
            </w:r>
            <w:r>
              <w:rPr>
                <w:color w:val="231F20"/>
                <w:sz w:val="14"/>
              </w:rPr>
              <w:t>бави;</w:t>
            </w:r>
          </w:p>
          <w:p w:rsidR="00041039" w:rsidRDefault="001B26CB">
            <w:pPr>
              <w:pStyle w:val="TableParagraph"/>
              <w:numPr>
                <w:ilvl w:val="0"/>
                <w:numId w:val="1929"/>
              </w:numPr>
              <w:tabs>
                <w:tab w:val="left" w:pos="157"/>
              </w:tabs>
              <w:spacing w:line="160" w:lineRule="exact"/>
              <w:ind w:right="55" w:hanging="99"/>
              <w:rPr>
                <w:sz w:val="14"/>
              </w:rPr>
            </w:pPr>
            <w:r>
              <w:rPr>
                <w:color w:val="231F20"/>
                <w:sz w:val="14"/>
              </w:rPr>
              <w:t>објасни карактеристике и улогу</w:t>
            </w:r>
            <w:r>
              <w:rPr>
                <w:color w:val="231F20"/>
                <w:spacing w:val="-23"/>
                <w:sz w:val="14"/>
              </w:rPr>
              <w:t xml:space="preserve"> </w:t>
            </w:r>
            <w:r>
              <w:rPr>
                <w:color w:val="231F20"/>
                <w:sz w:val="14"/>
              </w:rPr>
              <w:t>цивил­ ног</w:t>
            </w:r>
            <w:r>
              <w:rPr>
                <w:color w:val="231F20"/>
                <w:spacing w:val="-2"/>
                <w:sz w:val="14"/>
              </w:rPr>
              <w:t xml:space="preserve"> </w:t>
            </w:r>
            <w:r>
              <w:rPr>
                <w:color w:val="231F20"/>
                <w:sz w:val="14"/>
              </w:rPr>
              <w:t>друштва;</w:t>
            </w:r>
          </w:p>
          <w:p w:rsidR="00041039" w:rsidRDefault="001B26CB">
            <w:pPr>
              <w:pStyle w:val="TableParagraph"/>
              <w:numPr>
                <w:ilvl w:val="0"/>
                <w:numId w:val="1929"/>
              </w:numPr>
              <w:tabs>
                <w:tab w:val="left" w:pos="157"/>
              </w:tabs>
              <w:spacing w:line="160" w:lineRule="exact"/>
              <w:ind w:right="229" w:hanging="99"/>
              <w:rPr>
                <w:sz w:val="14"/>
              </w:rPr>
            </w:pPr>
            <w:r>
              <w:rPr>
                <w:color w:val="231F20"/>
                <w:sz w:val="14"/>
              </w:rPr>
              <w:t xml:space="preserve">наведе могућности утицаја грађа­ на на </w:t>
            </w:r>
            <w:r>
              <w:rPr>
                <w:color w:val="231F20"/>
                <w:spacing w:val="-3"/>
                <w:sz w:val="14"/>
              </w:rPr>
              <w:t xml:space="preserve">власт, </w:t>
            </w:r>
            <w:r>
              <w:rPr>
                <w:color w:val="231F20"/>
                <w:sz w:val="14"/>
              </w:rPr>
              <w:t>правни и политички систем(различите форме</w:t>
            </w:r>
            <w:r>
              <w:rPr>
                <w:color w:val="231F20"/>
                <w:spacing w:val="-16"/>
                <w:sz w:val="14"/>
              </w:rPr>
              <w:t xml:space="preserve"> </w:t>
            </w:r>
            <w:r>
              <w:rPr>
                <w:color w:val="231F20"/>
                <w:sz w:val="14"/>
              </w:rPr>
              <w:t>грађанског</w:t>
            </w:r>
          </w:p>
          <w:p w:rsidR="00041039" w:rsidRDefault="001B26CB">
            <w:pPr>
              <w:pStyle w:val="TableParagraph"/>
              <w:spacing w:line="237" w:lineRule="auto"/>
              <w:rPr>
                <w:sz w:val="14"/>
              </w:rPr>
            </w:pPr>
            <w:r>
              <w:rPr>
                <w:color w:val="231F20"/>
                <w:sz w:val="14"/>
              </w:rPr>
              <w:t>удруживања, различите форме грађан­ ских иницијатива и акција);</w:t>
            </w:r>
          </w:p>
          <w:p w:rsidR="00041039" w:rsidRDefault="001B26CB">
            <w:pPr>
              <w:pStyle w:val="TableParagraph"/>
              <w:numPr>
                <w:ilvl w:val="0"/>
                <w:numId w:val="1929"/>
              </w:numPr>
              <w:tabs>
                <w:tab w:val="left" w:pos="157"/>
              </w:tabs>
              <w:spacing w:line="237" w:lineRule="auto"/>
              <w:ind w:right="268" w:hanging="99"/>
              <w:jc w:val="both"/>
              <w:rPr>
                <w:sz w:val="14"/>
              </w:rPr>
            </w:pPr>
            <w:r>
              <w:rPr>
                <w:color w:val="231F20"/>
                <w:sz w:val="14"/>
              </w:rPr>
              <w:t>идентификује и анализира факторе који ометају/подстичу</w:t>
            </w:r>
            <w:r>
              <w:rPr>
                <w:color w:val="231F20"/>
                <w:spacing w:val="-17"/>
                <w:sz w:val="14"/>
              </w:rPr>
              <w:t xml:space="preserve"> </w:t>
            </w:r>
            <w:r>
              <w:rPr>
                <w:color w:val="231F20"/>
                <w:sz w:val="14"/>
              </w:rPr>
              <w:t>демократски развој</w:t>
            </w:r>
            <w:r>
              <w:rPr>
                <w:color w:val="231F20"/>
                <w:spacing w:val="-1"/>
                <w:sz w:val="14"/>
              </w:rPr>
              <w:t xml:space="preserve"> </w:t>
            </w:r>
            <w:r>
              <w:rPr>
                <w:color w:val="231F20"/>
                <w:sz w:val="14"/>
              </w:rPr>
              <w:t>друштва;</w:t>
            </w:r>
          </w:p>
        </w:tc>
        <w:tc>
          <w:tcPr>
            <w:tcW w:w="2834" w:type="dxa"/>
          </w:tcPr>
          <w:p w:rsidR="00041039" w:rsidRDefault="001B26CB">
            <w:pPr>
              <w:pStyle w:val="TableParagraph"/>
              <w:numPr>
                <w:ilvl w:val="0"/>
                <w:numId w:val="1928"/>
              </w:numPr>
              <w:tabs>
                <w:tab w:val="left" w:pos="157"/>
              </w:tabs>
              <w:spacing w:before="10" w:line="166" w:lineRule="exact"/>
              <w:ind w:hanging="99"/>
              <w:rPr>
                <w:sz w:val="14"/>
              </w:rPr>
            </w:pPr>
            <w:r>
              <w:rPr>
                <w:color w:val="231F20"/>
                <w:sz w:val="14"/>
              </w:rPr>
              <w:t>Однос државе и грађанског</w:t>
            </w:r>
            <w:r>
              <w:rPr>
                <w:color w:val="231F20"/>
                <w:spacing w:val="-6"/>
                <w:sz w:val="14"/>
              </w:rPr>
              <w:t xml:space="preserve"> </w:t>
            </w:r>
            <w:r>
              <w:rPr>
                <w:color w:val="231F20"/>
                <w:sz w:val="14"/>
              </w:rPr>
              <w:t>друштва.</w:t>
            </w:r>
          </w:p>
          <w:p w:rsidR="00041039" w:rsidRDefault="001B26CB">
            <w:pPr>
              <w:pStyle w:val="TableParagraph"/>
              <w:numPr>
                <w:ilvl w:val="0"/>
                <w:numId w:val="1928"/>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грађанина.</w:t>
            </w:r>
          </w:p>
          <w:p w:rsidR="00041039" w:rsidRDefault="001B26CB">
            <w:pPr>
              <w:pStyle w:val="TableParagraph"/>
              <w:numPr>
                <w:ilvl w:val="0"/>
                <w:numId w:val="1928"/>
              </w:numPr>
              <w:tabs>
                <w:tab w:val="left" w:pos="157"/>
              </w:tabs>
              <w:spacing w:line="237" w:lineRule="auto"/>
              <w:ind w:right="260" w:hanging="99"/>
              <w:rPr>
                <w:sz w:val="14"/>
              </w:rPr>
            </w:pPr>
            <w:r>
              <w:rPr>
                <w:color w:val="231F20"/>
                <w:sz w:val="14"/>
              </w:rPr>
              <w:t>Значај и начин учествовања грађанина</w:t>
            </w:r>
            <w:r>
              <w:rPr>
                <w:color w:val="231F20"/>
                <w:spacing w:val="-22"/>
                <w:sz w:val="14"/>
              </w:rPr>
              <w:t xml:space="preserve"> </w:t>
            </w:r>
            <w:r>
              <w:rPr>
                <w:color w:val="231F20"/>
                <w:sz w:val="14"/>
              </w:rPr>
              <w:t>у политици.</w:t>
            </w:r>
          </w:p>
          <w:p w:rsidR="00041039" w:rsidRDefault="001B26CB">
            <w:pPr>
              <w:pStyle w:val="TableParagraph"/>
              <w:numPr>
                <w:ilvl w:val="0"/>
                <w:numId w:val="1928"/>
              </w:numPr>
              <w:tabs>
                <w:tab w:val="left" w:pos="157"/>
              </w:tabs>
              <w:spacing w:line="161" w:lineRule="exact"/>
              <w:ind w:hanging="99"/>
              <w:rPr>
                <w:sz w:val="14"/>
              </w:rPr>
            </w:pPr>
            <w:r>
              <w:rPr>
                <w:color w:val="231F20"/>
                <w:spacing w:val="-4"/>
                <w:sz w:val="14"/>
              </w:rPr>
              <w:t xml:space="preserve">Улога </w:t>
            </w:r>
            <w:r>
              <w:rPr>
                <w:color w:val="231F20"/>
                <w:sz w:val="14"/>
              </w:rPr>
              <w:t>грађана у остваривању</w:t>
            </w:r>
            <w:r>
              <w:rPr>
                <w:color w:val="231F20"/>
                <w:spacing w:val="-1"/>
                <w:sz w:val="14"/>
              </w:rPr>
              <w:t xml:space="preserve"> </w:t>
            </w:r>
            <w:r>
              <w:rPr>
                <w:color w:val="231F20"/>
                <w:sz w:val="14"/>
              </w:rPr>
              <w:t>права.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880"/>
        </w:trPr>
        <w:tc>
          <w:tcPr>
            <w:tcW w:w="1304" w:type="dxa"/>
          </w:tcPr>
          <w:p w:rsidR="00041039" w:rsidRDefault="001B26CB">
            <w:pPr>
              <w:pStyle w:val="TableParagraph"/>
              <w:spacing w:before="18"/>
              <w:ind w:left="56" w:right="37"/>
              <w:rPr>
                <w:sz w:val="14"/>
              </w:rPr>
            </w:pPr>
            <w:r>
              <w:rPr>
                <w:color w:val="231F20"/>
                <w:sz w:val="14"/>
              </w:rPr>
              <w:lastRenderedPageBreak/>
              <w:t>Грађанска и политичка права и право на грађанску иницијативу</w:t>
            </w:r>
          </w:p>
        </w:tc>
        <w:tc>
          <w:tcPr>
            <w:tcW w:w="1587" w:type="dxa"/>
          </w:tcPr>
          <w:p w:rsidR="00041039" w:rsidRDefault="001B26CB">
            <w:pPr>
              <w:pStyle w:val="TableParagraph"/>
              <w:numPr>
                <w:ilvl w:val="0"/>
                <w:numId w:val="1927"/>
              </w:numPr>
              <w:tabs>
                <w:tab w:val="left" w:pos="157"/>
              </w:tabs>
              <w:spacing w:before="8"/>
              <w:ind w:right="191"/>
              <w:rPr>
                <w:sz w:val="14"/>
              </w:rPr>
            </w:pPr>
            <w:r>
              <w:rPr>
                <w:color w:val="231F20"/>
                <w:sz w:val="14"/>
              </w:rPr>
              <w:t>Упознавање уче­ ника са суштином грађанских права н правом на</w:t>
            </w:r>
            <w:r>
              <w:rPr>
                <w:color w:val="231F20"/>
                <w:spacing w:val="-16"/>
                <w:sz w:val="14"/>
              </w:rPr>
              <w:t xml:space="preserve"> </w:t>
            </w:r>
            <w:r>
              <w:rPr>
                <w:color w:val="231F20"/>
                <w:sz w:val="14"/>
              </w:rPr>
              <w:t xml:space="preserve">грађанску </w:t>
            </w:r>
            <w:r>
              <w:rPr>
                <w:color w:val="231F20"/>
                <w:spacing w:val="-3"/>
                <w:sz w:val="14"/>
              </w:rPr>
              <w:t>иницијативу.</w:t>
            </w:r>
          </w:p>
          <w:p w:rsidR="00041039" w:rsidRDefault="001B26CB">
            <w:pPr>
              <w:pStyle w:val="TableParagraph"/>
              <w:numPr>
                <w:ilvl w:val="0"/>
                <w:numId w:val="1927"/>
              </w:numPr>
              <w:tabs>
                <w:tab w:val="left" w:pos="157"/>
              </w:tabs>
              <w:spacing w:line="155" w:lineRule="exact"/>
              <w:rPr>
                <w:sz w:val="14"/>
              </w:rPr>
            </w:pPr>
            <w:r>
              <w:rPr>
                <w:color w:val="231F20"/>
                <w:sz w:val="14"/>
              </w:rPr>
              <w:t>Сагледавање</w:t>
            </w:r>
            <w:r>
              <w:rPr>
                <w:color w:val="231F20"/>
                <w:spacing w:val="-1"/>
                <w:sz w:val="14"/>
              </w:rPr>
              <w:t xml:space="preserve"> </w:t>
            </w:r>
            <w:r>
              <w:rPr>
                <w:color w:val="231F20"/>
                <w:spacing w:val="-3"/>
                <w:sz w:val="14"/>
              </w:rPr>
              <w:t>улоге</w:t>
            </w:r>
          </w:p>
          <w:p w:rsidR="00041039" w:rsidRDefault="001B26CB">
            <w:pPr>
              <w:pStyle w:val="TableParagraph"/>
              <w:ind w:right="56"/>
              <w:jc w:val="both"/>
              <w:rPr>
                <w:sz w:val="14"/>
              </w:rPr>
            </w:pPr>
            <w:r>
              <w:rPr>
                <w:color w:val="231F20"/>
                <w:sz w:val="14"/>
              </w:rPr>
              <w:t>грађана у остваривању људских права у</w:t>
            </w:r>
            <w:r>
              <w:rPr>
                <w:color w:val="231F20"/>
                <w:spacing w:val="-15"/>
                <w:sz w:val="14"/>
              </w:rPr>
              <w:t xml:space="preserve"> </w:t>
            </w:r>
            <w:r>
              <w:rPr>
                <w:color w:val="231F20"/>
                <w:sz w:val="14"/>
              </w:rPr>
              <w:t>демо­ кратском</w:t>
            </w:r>
            <w:r>
              <w:rPr>
                <w:color w:val="231F20"/>
                <w:spacing w:val="-2"/>
                <w:sz w:val="14"/>
              </w:rPr>
              <w:t xml:space="preserve"> </w:t>
            </w:r>
            <w:r>
              <w:rPr>
                <w:color w:val="231F20"/>
                <w:spacing w:val="-3"/>
                <w:sz w:val="14"/>
              </w:rPr>
              <w:t>друштву.</w:t>
            </w:r>
          </w:p>
          <w:p w:rsidR="00041039" w:rsidRDefault="001B26CB">
            <w:pPr>
              <w:pStyle w:val="TableParagraph"/>
              <w:numPr>
                <w:ilvl w:val="0"/>
                <w:numId w:val="1927"/>
              </w:numPr>
              <w:tabs>
                <w:tab w:val="left" w:pos="157"/>
              </w:tabs>
              <w:spacing w:line="158" w:lineRule="exact"/>
              <w:rPr>
                <w:sz w:val="14"/>
              </w:rPr>
            </w:pPr>
            <w:r>
              <w:rPr>
                <w:color w:val="231F20"/>
                <w:sz w:val="14"/>
              </w:rPr>
              <w:t>Сагледавање</w:t>
            </w:r>
            <w:r>
              <w:rPr>
                <w:color w:val="231F20"/>
                <w:spacing w:val="-2"/>
                <w:sz w:val="14"/>
              </w:rPr>
              <w:t xml:space="preserve"> </w:t>
            </w:r>
            <w:r>
              <w:rPr>
                <w:color w:val="231F20"/>
                <w:sz w:val="14"/>
              </w:rPr>
              <w:t>неоп­</w:t>
            </w:r>
          </w:p>
          <w:p w:rsidR="00041039" w:rsidRDefault="001B26CB">
            <w:pPr>
              <w:pStyle w:val="TableParagraph"/>
              <w:ind w:right="15"/>
              <w:rPr>
                <w:sz w:val="14"/>
              </w:rPr>
            </w:pPr>
            <w:r>
              <w:rPr>
                <w:color w:val="231F20"/>
                <w:sz w:val="14"/>
              </w:rPr>
              <w:t>ходности и начина активног учешћа грађана у демократ­ ском друштву.</w:t>
            </w:r>
          </w:p>
        </w:tc>
        <w:tc>
          <w:tcPr>
            <w:tcW w:w="2551" w:type="dxa"/>
          </w:tcPr>
          <w:p w:rsidR="00041039" w:rsidRDefault="001B26CB">
            <w:pPr>
              <w:pStyle w:val="TableParagraph"/>
              <w:numPr>
                <w:ilvl w:val="0"/>
                <w:numId w:val="1926"/>
              </w:numPr>
              <w:tabs>
                <w:tab w:val="left" w:pos="157"/>
              </w:tabs>
              <w:spacing w:before="8" w:line="166" w:lineRule="exact"/>
              <w:ind w:hanging="99"/>
              <w:rPr>
                <w:sz w:val="14"/>
              </w:rPr>
            </w:pPr>
            <w:r>
              <w:rPr>
                <w:color w:val="231F20"/>
                <w:sz w:val="14"/>
              </w:rPr>
              <w:t>објасни појам људских</w:t>
            </w:r>
            <w:r>
              <w:rPr>
                <w:color w:val="231F20"/>
                <w:spacing w:val="-4"/>
                <w:sz w:val="14"/>
              </w:rPr>
              <w:t xml:space="preserve"> </w:t>
            </w:r>
            <w:r>
              <w:rPr>
                <w:color w:val="231F20"/>
                <w:sz w:val="14"/>
              </w:rPr>
              <w:t>права;</w:t>
            </w:r>
          </w:p>
          <w:p w:rsidR="00041039" w:rsidRDefault="001B26CB">
            <w:pPr>
              <w:pStyle w:val="TableParagraph"/>
              <w:numPr>
                <w:ilvl w:val="0"/>
                <w:numId w:val="1926"/>
              </w:numPr>
              <w:tabs>
                <w:tab w:val="left" w:pos="157"/>
              </w:tabs>
              <w:spacing w:line="237" w:lineRule="auto"/>
              <w:ind w:right="117" w:hanging="99"/>
              <w:rPr>
                <w:sz w:val="14"/>
              </w:rPr>
            </w:pPr>
            <w:r>
              <w:rPr>
                <w:color w:val="231F20"/>
                <w:sz w:val="14"/>
              </w:rPr>
              <w:t>наведе врсте људских права и</w:t>
            </w:r>
            <w:r>
              <w:rPr>
                <w:color w:val="231F20"/>
                <w:spacing w:val="-24"/>
                <w:sz w:val="14"/>
              </w:rPr>
              <w:t xml:space="preserve"> </w:t>
            </w:r>
            <w:r>
              <w:rPr>
                <w:color w:val="231F20"/>
                <w:sz w:val="14"/>
              </w:rPr>
              <w:t>објасни њихов</w:t>
            </w:r>
            <w:r>
              <w:rPr>
                <w:color w:val="231F20"/>
                <w:spacing w:val="-1"/>
                <w:sz w:val="14"/>
              </w:rPr>
              <w:t xml:space="preserve"> </w:t>
            </w:r>
            <w:r>
              <w:rPr>
                <w:color w:val="231F20"/>
                <w:sz w:val="14"/>
              </w:rPr>
              <w:t>садржај;</w:t>
            </w:r>
          </w:p>
          <w:p w:rsidR="00041039" w:rsidRDefault="001B26CB">
            <w:pPr>
              <w:pStyle w:val="TableParagraph"/>
              <w:numPr>
                <w:ilvl w:val="0"/>
                <w:numId w:val="1926"/>
              </w:numPr>
              <w:tabs>
                <w:tab w:val="left" w:pos="157"/>
              </w:tabs>
              <w:spacing w:line="160" w:lineRule="exact"/>
              <w:ind w:right="338" w:hanging="99"/>
              <w:rPr>
                <w:sz w:val="14"/>
              </w:rPr>
            </w:pPr>
            <w:r>
              <w:rPr>
                <w:color w:val="231F20"/>
                <w:sz w:val="14"/>
              </w:rPr>
              <w:t>анализира представљање</w:t>
            </w:r>
            <w:r>
              <w:rPr>
                <w:color w:val="231F20"/>
                <w:spacing w:val="-16"/>
                <w:sz w:val="14"/>
              </w:rPr>
              <w:t xml:space="preserve"> </w:t>
            </w:r>
            <w:r>
              <w:rPr>
                <w:color w:val="231F20"/>
                <w:sz w:val="14"/>
              </w:rPr>
              <w:t>људских права у актуелним</w:t>
            </w:r>
            <w:r>
              <w:rPr>
                <w:color w:val="231F20"/>
                <w:spacing w:val="-4"/>
                <w:sz w:val="14"/>
              </w:rPr>
              <w:t xml:space="preserve"> </w:t>
            </w:r>
            <w:r>
              <w:rPr>
                <w:color w:val="231F20"/>
                <w:sz w:val="14"/>
              </w:rPr>
              <w:t>медијима;</w:t>
            </w:r>
          </w:p>
          <w:p w:rsidR="00041039" w:rsidRDefault="001B26CB">
            <w:pPr>
              <w:pStyle w:val="TableParagraph"/>
              <w:numPr>
                <w:ilvl w:val="0"/>
                <w:numId w:val="1926"/>
              </w:numPr>
              <w:tabs>
                <w:tab w:val="left" w:pos="157"/>
              </w:tabs>
              <w:spacing w:line="160" w:lineRule="exact"/>
              <w:ind w:right="177" w:hanging="99"/>
              <w:rPr>
                <w:sz w:val="14"/>
              </w:rPr>
            </w:pPr>
            <w:r>
              <w:rPr>
                <w:color w:val="231F20"/>
                <w:sz w:val="14"/>
              </w:rPr>
              <w:t>објасни улогу појединца у заштити</w:t>
            </w:r>
            <w:r>
              <w:rPr>
                <w:color w:val="231F20"/>
                <w:spacing w:val="-21"/>
                <w:sz w:val="14"/>
              </w:rPr>
              <w:t xml:space="preserve"> </w:t>
            </w:r>
            <w:r>
              <w:rPr>
                <w:color w:val="231F20"/>
                <w:sz w:val="14"/>
              </w:rPr>
              <w:t>и остваривању људских</w:t>
            </w:r>
            <w:r>
              <w:rPr>
                <w:color w:val="231F20"/>
                <w:spacing w:val="-2"/>
                <w:sz w:val="14"/>
              </w:rPr>
              <w:t xml:space="preserve"> </w:t>
            </w:r>
            <w:r>
              <w:rPr>
                <w:color w:val="231F20"/>
                <w:sz w:val="14"/>
              </w:rPr>
              <w:t>права;</w:t>
            </w:r>
          </w:p>
          <w:p w:rsidR="00041039" w:rsidRDefault="001B26CB">
            <w:pPr>
              <w:pStyle w:val="TableParagraph"/>
              <w:numPr>
                <w:ilvl w:val="0"/>
                <w:numId w:val="1926"/>
              </w:numPr>
              <w:tabs>
                <w:tab w:val="left" w:pos="157"/>
              </w:tabs>
              <w:spacing w:line="153" w:lineRule="exact"/>
              <w:ind w:hanging="99"/>
              <w:rPr>
                <w:sz w:val="14"/>
              </w:rPr>
            </w:pPr>
            <w:r>
              <w:rPr>
                <w:color w:val="231F20"/>
                <w:sz w:val="14"/>
              </w:rPr>
              <w:t>објасни појам грађанске</w:t>
            </w:r>
            <w:r>
              <w:rPr>
                <w:color w:val="231F20"/>
                <w:spacing w:val="-12"/>
                <w:sz w:val="14"/>
              </w:rPr>
              <w:t xml:space="preserve"> </w:t>
            </w:r>
            <w:r>
              <w:rPr>
                <w:color w:val="231F20"/>
                <w:sz w:val="14"/>
              </w:rPr>
              <w:t>иницијативе;</w:t>
            </w:r>
          </w:p>
          <w:p w:rsidR="00041039" w:rsidRDefault="001B26CB">
            <w:pPr>
              <w:pStyle w:val="TableParagraph"/>
              <w:numPr>
                <w:ilvl w:val="0"/>
                <w:numId w:val="1926"/>
              </w:numPr>
              <w:tabs>
                <w:tab w:val="left" w:pos="157"/>
              </w:tabs>
              <w:spacing w:line="237" w:lineRule="auto"/>
              <w:ind w:right="270" w:hanging="99"/>
              <w:rPr>
                <w:sz w:val="14"/>
              </w:rPr>
            </w:pPr>
            <w:r>
              <w:rPr>
                <w:color w:val="231F20"/>
                <w:sz w:val="14"/>
              </w:rPr>
              <w:t>наведе надлежности општине и по­ слове којима се она</w:t>
            </w:r>
            <w:r>
              <w:rPr>
                <w:color w:val="231F20"/>
                <w:spacing w:val="-2"/>
                <w:sz w:val="14"/>
              </w:rPr>
              <w:t xml:space="preserve"> </w:t>
            </w:r>
            <w:r>
              <w:rPr>
                <w:color w:val="231F20"/>
                <w:sz w:val="14"/>
              </w:rPr>
              <w:t>бави;</w:t>
            </w:r>
          </w:p>
          <w:p w:rsidR="00041039" w:rsidRDefault="001B26CB">
            <w:pPr>
              <w:pStyle w:val="TableParagraph"/>
              <w:numPr>
                <w:ilvl w:val="0"/>
                <w:numId w:val="1926"/>
              </w:numPr>
              <w:tabs>
                <w:tab w:val="left" w:pos="157"/>
              </w:tabs>
              <w:spacing w:line="160" w:lineRule="exact"/>
              <w:ind w:right="251" w:hanging="99"/>
              <w:rPr>
                <w:sz w:val="14"/>
              </w:rPr>
            </w:pPr>
            <w:r>
              <w:rPr>
                <w:color w:val="231F20"/>
                <w:sz w:val="14"/>
              </w:rPr>
              <w:t xml:space="preserve">разликује формалну </w:t>
            </w:r>
            <w:r>
              <w:rPr>
                <w:color w:val="231F20"/>
                <w:spacing w:val="-3"/>
                <w:sz w:val="14"/>
              </w:rPr>
              <w:t xml:space="preserve">од </w:t>
            </w:r>
            <w:r>
              <w:rPr>
                <w:color w:val="231F20"/>
                <w:sz w:val="14"/>
              </w:rPr>
              <w:t>неформалне иницијативе;</w:t>
            </w:r>
          </w:p>
          <w:p w:rsidR="00041039" w:rsidRDefault="001B26CB">
            <w:pPr>
              <w:pStyle w:val="TableParagraph"/>
              <w:numPr>
                <w:ilvl w:val="0"/>
                <w:numId w:val="1926"/>
              </w:numPr>
              <w:tabs>
                <w:tab w:val="left" w:pos="157"/>
              </w:tabs>
              <w:spacing w:line="160" w:lineRule="exact"/>
              <w:ind w:right="267" w:hanging="99"/>
              <w:rPr>
                <w:sz w:val="14"/>
              </w:rPr>
            </w:pPr>
            <w:r>
              <w:rPr>
                <w:color w:val="231F20"/>
                <w:sz w:val="14"/>
              </w:rPr>
              <w:t>наведе форму и садржај</w:t>
            </w:r>
            <w:r>
              <w:rPr>
                <w:color w:val="231F20"/>
                <w:spacing w:val="-14"/>
                <w:sz w:val="14"/>
              </w:rPr>
              <w:t xml:space="preserve"> </w:t>
            </w:r>
            <w:r>
              <w:rPr>
                <w:color w:val="231F20"/>
                <w:sz w:val="14"/>
              </w:rPr>
              <w:t>формалног предлога грађанске</w:t>
            </w:r>
            <w:r>
              <w:rPr>
                <w:color w:val="231F20"/>
                <w:spacing w:val="-8"/>
                <w:sz w:val="14"/>
              </w:rPr>
              <w:t xml:space="preserve"> </w:t>
            </w:r>
            <w:r>
              <w:rPr>
                <w:color w:val="231F20"/>
                <w:sz w:val="14"/>
              </w:rPr>
              <w:t>иницијативе;</w:t>
            </w:r>
          </w:p>
          <w:p w:rsidR="00041039" w:rsidRDefault="001B26CB">
            <w:pPr>
              <w:pStyle w:val="TableParagraph"/>
              <w:numPr>
                <w:ilvl w:val="0"/>
                <w:numId w:val="1926"/>
              </w:numPr>
              <w:tabs>
                <w:tab w:val="left" w:pos="157"/>
              </w:tabs>
              <w:spacing w:line="160" w:lineRule="exact"/>
              <w:ind w:right="105" w:hanging="99"/>
              <w:rPr>
                <w:sz w:val="14"/>
              </w:rPr>
            </w:pPr>
            <w:r>
              <w:rPr>
                <w:color w:val="231F20"/>
                <w:sz w:val="14"/>
              </w:rPr>
              <w:t xml:space="preserve">наведе </w:t>
            </w:r>
            <w:r>
              <w:rPr>
                <w:color w:val="231F20"/>
                <w:spacing w:val="-3"/>
                <w:sz w:val="14"/>
              </w:rPr>
              <w:t xml:space="preserve">структуру, </w:t>
            </w:r>
            <w:r>
              <w:rPr>
                <w:color w:val="231F20"/>
                <w:sz w:val="14"/>
              </w:rPr>
              <w:t>функционисање, правила и процедуре рада</w:t>
            </w:r>
            <w:r>
              <w:rPr>
                <w:color w:val="231F20"/>
                <w:spacing w:val="-16"/>
                <w:sz w:val="14"/>
              </w:rPr>
              <w:t xml:space="preserve"> </w:t>
            </w:r>
            <w:r>
              <w:rPr>
                <w:color w:val="231F20"/>
                <w:sz w:val="14"/>
              </w:rPr>
              <w:t>скупштине;</w:t>
            </w:r>
          </w:p>
          <w:p w:rsidR="00041039" w:rsidRDefault="001B26CB">
            <w:pPr>
              <w:pStyle w:val="TableParagraph"/>
              <w:numPr>
                <w:ilvl w:val="0"/>
                <w:numId w:val="1926"/>
              </w:numPr>
              <w:tabs>
                <w:tab w:val="left" w:pos="157"/>
              </w:tabs>
              <w:spacing w:line="160" w:lineRule="exact"/>
              <w:ind w:right="65" w:hanging="99"/>
              <w:rPr>
                <w:sz w:val="14"/>
              </w:rPr>
            </w:pPr>
            <w:r>
              <w:rPr>
                <w:color w:val="231F20"/>
                <w:sz w:val="14"/>
              </w:rPr>
              <w:t>изведе симулацију заседања скупшти­ не поштујући све процедуре у</w:t>
            </w:r>
            <w:r>
              <w:rPr>
                <w:color w:val="231F20"/>
                <w:spacing w:val="-16"/>
                <w:sz w:val="14"/>
              </w:rPr>
              <w:t xml:space="preserve"> </w:t>
            </w:r>
            <w:r>
              <w:rPr>
                <w:color w:val="231F20"/>
                <w:sz w:val="14"/>
              </w:rPr>
              <w:t>процесу доношења одлука на предлог</w:t>
            </w:r>
            <w:r>
              <w:rPr>
                <w:color w:val="231F20"/>
                <w:spacing w:val="-16"/>
                <w:sz w:val="14"/>
              </w:rPr>
              <w:t xml:space="preserve"> </w:t>
            </w:r>
            <w:r>
              <w:rPr>
                <w:color w:val="231F20"/>
                <w:sz w:val="14"/>
              </w:rPr>
              <w:t>грађана;</w:t>
            </w:r>
          </w:p>
          <w:p w:rsidR="00041039" w:rsidRDefault="001B26CB">
            <w:pPr>
              <w:pStyle w:val="TableParagraph"/>
              <w:numPr>
                <w:ilvl w:val="0"/>
                <w:numId w:val="1926"/>
              </w:numPr>
              <w:tabs>
                <w:tab w:val="left" w:pos="157"/>
              </w:tabs>
              <w:spacing w:line="160" w:lineRule="exact"/>
              <w:ind w:right="58" w:hanging="99"/>
              <w:rPr>
                <w:sz w:val="14"/>
              </w:rPr>
            </w:pPr>
            <w:r>
              <w:rPr>
                <w:color w:val="231F20"/>
                <w:sz w:val="14"/>
              </w:rPr>
              <w:t>објасни појам, карактеристике, улогу</w:t>
            </w:r>
            <w:r>
              <w:rPr>
                <w:color w:val="231F20"/>
                <w:spacing w:val="-23"/>
                <w:sz w:val="14"/>
              </w:rPr>
              <w:t xml:space="preserve"> </w:t>
            </w:r>
            <w:r>
              <w:rPr>
                <w:color w:val="231F20"/>
                <w:sz w:val="14"/>
              </w:rPr>
              <w:t>и врсте удруживања</w:t>
            </w:r>
            <w:r>
              <w:rPr>
                <w:color w:val="231F20"/>
                <w:spacing w:val="-4"/>
                <w:sz w:val="14"/>
              </w:rPr>
              <w:t xml:space="preserve"> </w:t>
            </w:r>
            <w:r>
              <w:rPr>
                <w:color w:val="231F20"/>
                <w:sz w:val="14"/>
              </w:rPr>
              <w:t>грађана;</w:t>
            </w:r>
          </w:p>
          <w:p w:rsidR="00041039" w:rsidRDefault="001B26CB">
            <w:pPr>
              <w:pStyle w:val="TableParagraph"/>
              <w:numPr>
                <w:ilvl w:val="0"/>
                <w:numId w:val="1926"/>
              </w:numPr>
              <w:tabs>
                <w:tab w:val="left" w:pos="157"/>
              </w:tabs>
              <w:spacing w:line="160" w:lineRule="exact"/>
              <w:ind w:right="95" w:hanging="99"/>
              <w:rPr>
                <w:sz w:val="14"/>
              </w:rPr>
            </w:pPr>
            <w:r>
              <w:rPr>
                <w:color w:val="231F20"/>
                <w:sz w:val="14"/>
              </w:rPr>
              <w:t>идентификује и анализира активности и акције удружења грађана у својој локалној</w:t>
            </w:r>
            <w:r>
              <w:rPr>
                <w:color w:val="231F20"/>
                <w:spacing w:val="-2"/>
                <w:sz w:val="14"/>
              </w:rPr>
              <w:t xml:space="preserve"> </w:t>
            </w:r>
            <w:r>
              <w:rPr>
                <w:color w:val="231F20"/>
                <w:sz w:val="14"/>
              </w:rPr>
              <w:t>заједници;</w:t>
            </w:r>
          </w:p>
        </w:tc>
        <w:tc>
          <w:tcPr>
            <w:tcW w:w="2834" w:type="dxa"/>
          </w:tcPr>
          <w:p w:rsidR="00041039" w:rsidRDefault="001B26CB">
            <w:pPr>
              <w:pStyle w:val="TableParagraph"/>
              <w:numPr>
                <w:ilvl w:val="0"/>
                <w:numId w:val="1925"/>
              </w:numPr>
              <w:tabs>
                <w:tab w:val="left" w:pos="157"/>
              </w:tabs>
              <w:spacing w:before="8" w:line="166" w:lineRule="exact"/>
              <w:ind w:hanging="99"/>
              <w:rPr>
                <w:sz w:val="14"/>
              </w:rPr>
            </w:pPr>
            <w:r>
              <w:rPr>
                <w:color w:val="231F20"/>
                <w:sz w:val="14"/>
              </w:rPr>
              <w:t>Право на грађанску</w:t>
            </w:r>
            <w:r>
              <w:rPr>
                <w:color w:val="231F20"/>
                <w:spacing w:val="-2"/>
                <w:sz w:val="14"/>
              </w:rPr>
              <w:t xml:space="preserve"> </w:t>
            </w:r>
            <w:r>
              <w:rPr>
                <w:color w:val="231F20"/>
                <w:spacing w:val="-3"/>
                <w:sz w:val="14"/>
              </w:rPr>
              <w:t>иницијативу.</w:t>
            </w:r>
          </w:p>
          <w:p w:rsidR="00041039" w:rsidRDefault="001B26CB">
            <w:pPr>
              <w:pStyle w:val="TableParagraph"/>
              <w:numPr>
                <w:ilvl w:val="0"/>
                <w:numId w:val="1925"/>
              </w:numPr>
              <w:tabs>
                <w:tab w:val="left" w:pos="157"/>
              </w:tabs>
              <w:spacing w:line="237" w:lineRule="auto"/>
              <w:ind w:right="640" w:hanging="99"/>
              <w:rPr>
                <w:sz w:val="14"/>
              </w:rPr>
            </w:pPr>
            <w:r>
              <w:rPr>
                <w:color w:val="231F20"/>
                <w:sz w:val="14"/>
              </w:rPr>
              <w:t>Партиципација грађана у про­ цесу доношења одлука и право</w:t>
            </w:r>
            <w:r>
              <w:rPr>
                <w:color w:val="231F20"/>
                <w:spacing w:val="-14"/>
                <w:sz w:val="14"/>
              </w:rPr>
              <w:t xml:space="preserve"> </w:t>
            </w:r>
            <w:r>
              <w:rPr>
                <w:color w:val="231F20"/>
                <w:sz w:val="14"/>
              </w:rPr>
              <w:t>на самоорганизовање</w:t>
            </w:r>
            <w:r>
              <w:rPr>
                <w:color w:val="231F20"/>
                <w:spacing w:val="-1"/>
                <w:sz w:val="14"/>
              </w:rPr>
              <w:t xml:space="preserve"> </w:t>
            </w:r>
            <w:r>
              <w:rPr>
                <w:color w:val="231F20"/>
                <w:sz w:val="14"/>
              </w:rPr>
              <w:t>грађана.</w:t>
            </w:r>
          </w:p>
          <w:p w:rsidR="00041039" w:rsidRDefault="001B26CB">
            <w:pPr>
              <w:pStyle w:val="TableParagraph"/>
              <w:numPr>
                <w:ilvl w:val="0"/>
                <w:numId w:val="1925"/>
              </w:numPr>
              <w:tabs>
                <w:tab w:val="left" w:pos="157"/>
              </w:tabs>
              <w:spacing w:line="162" w:lineRule="exact"/>
              <w:ind w:hanging="99"/>
              <w:rPr>
                <w:sz w:val="14"/>
              </w:rPr>
            </w:pPr>
            <w:r>
              <w:rPr>
                <w:color w:val="231F20"/>
                <w:spacing w:val="-4"/>
                <w:sz w:val="14"/>
              </w:rPr>
              <w:t xml:space="preserve">Улога </w:t>
            </w:r>
            <w:r>
              <w:rPr>
                <w:color w:val="231F20"/>
                <w:sz w:val="14"/>
              </w:rPr>
              <w:t>невладиних</w:t>
            </w:r>
            <w:r>
              <w:rPr>
                <w:color w:val="231F20"/>
                <w:sz w:val="14"/>
              </w:rPr>
              <w:t xml:space="preserve"> </w:t>
            </w:r>
            <w:r>
              <w:rPr>
                <w:color w:val="231F20"/>
                <w:sz w:val="14"/>
              </w:rPr>
              <w:t>организација.</w:t>
            </w:r>
          </w:p>
        </w:tc>
        <w:tc>
          <w:tcPr>
            <w:tcW w:w="2267" w:type="dxa"/>
            <w:vMerge w:val="restart"/>
          </w:tcPr>
          <w:p w:rsidR="00041039" w:rsidRDefault="001B26CB">
            <w:pPr>
              <w:pStyle w:val="TableParagraph"/>
              <w:numPr>
                <w:ilvl w:val="0"/>
                <w:numId w:val="1924"/>
              </w:numPr>
              <w:tabs>
                <w:tab w:val="left" w:pos="158"/>
              </w:tabs>
              <w:spacing w:before="9"/>
              <w:ind w:right="55" w:hanging="99"/>
              <w:rPr>
                <w:sz w:val="14"/>
              </w:rPr>
            </w:pPr>
            <w:r>
              <w:rPr>
                <w:color w:val="231F20"/>
                <w:sz w:val="14"/>
              </w:rPr>
              <w:t xml:space="preserve">Наставник треба дапружинеоп­ </w:t>
            </w:r>
            <w:r>
              <w:rPr>
                <w:color w:val="231F20"/>
                <w:spacing w:val="-3"/>
                <w:sz w:val="14"/>
              </w:rPr>
              <w:t xml:space="preserve">ходну </w:t>
            </w:r>
            <w:r>
              <w:rPr>
                <w:color w:val="231F20"/>
                <w:sz w:val="14"/>
              </w:rPr>
              <w:t xml:space="preserve">помоћ и подршкуученици­ </w:t>
            </w:r>
            <w:r>
              <w:rPr>
                <w:color w:val="231F20"/>
                <w:spacing w:val="-3"/>
                <w:sz w:val="14"/>
              </w:rPr>
              <w:t xml:space="preserve">мау </w:t>
            </w:r>
            <w:r>
              <w:rPr>
                <w:color w:val="231F20"/>
                <w:sz w:val="14"/>
              </w:rPr>
              <w:t>припреми и реализацији ак­ тивно</w:t>
            </w:r>
            <w:r>
              <w:rPr>
                <w:color w:val="231F20"/>
                <w:sz w:val="14"/>
              </w:rPr>
              <w:t>сти, а заједно са групом да обезбеди повратну информацију</w:t>
            </w:r>
            <w:r>
              <w:rPr>
                <w:color w:val="231F20"/>
                <w:spacing w:val="-21"/>
                <w:sz w:val="14"/>
              </w:rPr>
              <w:t xml:space="preserve"> </w:t>
            </w:r>
            <w:r>
              <w:rPr>
                <w:color w:val="231F20"/>
                <w:sz w:val="14"/>
              </w:rPr>
              <w:t>о њеној</w:t>
            </w:r>
            <w:r>
              <w:rPr>
                <w:color w:val="231F20"/>
                <w:spacing w:val="-2"/>
                <w:sz w:val="14"/>
              </w:rPr>
              <w:t xml:space="preserve"> </w:t>
            </w:r>
            <w:r>
              <w:rPr>
                <w:color w:val="231F20"/>
                <w:sz w:val="14"/>
              </w:rPr>
              <w:t>успешности.</w:t>
            </w:r>
          </w:p>
          <w:p w:rsidR="00041039" w:rsidRDefault="001B26CB">
            <w:pPr>
              <w:pStyle w:val="TableParagraph"/>
              <w:numPr>
                <w:ilvl w:val="0"/>
                <w:numId w:val="1924"/>
              </w:numPr>
              <w:tabs>
                <w:tab w:val="left" w:pos="158"/>
              </w:tabs>
              <w:spacing w:line="154" w:lineRule="exact"/>
              <w:ind w:hanging="99"/>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ученичких актив­ ности и особа која даје повратну информацију.</w:t>
            </w:r>
          </w:p>
          <w:p w:rsidR="00041039" w:rsidRDefault="001B26CB">
            <w:pPr>
              <w:pStyle w:val="TableParagraph"/>
              <w:numPr>
                <w:ilvl w:val="0"/>
                <w:numId w:val="1924"/>
              </w:numPr>
              <w:tabs>
                <w:tab w:val="left" w:pos="158"/>
              </w:tabs>
              <w:spacing w:line="157" w:lineRule="exact"/>
              <w:ind w:hanging="99"/>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1924"/>
              </w:numPr>
              <w:tabs>
                <w:tab w:val="left" w:pos="158"/>
              </w:tabs>
              <w:spacing w:line="237" w:lineRule="auto"/>
              <w:ind w:right="105"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w:t>
            </w:r>
            <w:r>
              <w:rPr>
                <w:color w:val="231F20"/>
                <w:spacing w:val="-11"/>
                <w:sz w:val="14"/>
              </w:rPr>
              <w:t xml:space="preserve"> </w:t>
            </w:r>
            <w:r>
              <w:rPr>
                <w:color w:val="231F20"/>
                <w:sz w:val="14"/>
              </w:rPr>
              <w:t>15–2</w:t>
            </w:r>
            <w:r>
              <w:rPr>
                <w:color w:val="231F20"/>
                <w:sz w:val="14"/>
              </w:rPr>
              <w:t>0 ученика.</w:t>
            </w:r>
          </w:p>
          <w:p w:rsidR="00041039" w:rsidRDefault="00041039">
            <w:pPr>
              <w:pStyle w:val="TableParagraph"/>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924"/>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924"/>
              </w:numPr>
              <w:tabs>
                <w:tab w:val="left" w:pos="158"/>
              </w:tabs>
              <w:spacing w:line="237" w:lineRule="auto"/>
              <w:ind w:right="497" w:hanging="99"/>
              <w:rPr>
                <w:b/>
                <w:sz w:val="14"/>
              </w:rPr>
            </w:pPr>
            <w:r>
              <w:rPr>
                <w:color w:val="231F20"/>
                <w:sz w:val="14"/>
              </w:rPr>
              <w:t>Демократија и политика</w:t>
            </w:r>
            <w:r>
              <w:rPr>
                <w:color w:val="231F20"/>
                <w:spacing w:val="-16"/>
                <w:sz w:val="14"/>
              </w:rPr>
              <w:t xml:space="preserve"> </w:t>
            </w:r>
            <w:r>
              <w:rPr>
                <w:b/>
                <w:color w:val="231F20"/>
                <w:sz w:val="14"/>
              </w:rPr>
              <w:t>(5 часова)</w:t>
            </w:r>
          </w:p>
          <w:p w:rsidR="00041039" w:rsidRDefault="001B26CB">
            <w:pPr>
              <w:pStyle w:val="TableParagraph"/>
              <w:numPr>
                <w:ilvl w:val="0"/>
                <w:numId w:val="1924"/>
              </w:numPr>
              <w:tabs>
                <w:tab w:val="left" w:pos="158"/>
              </w:tabs>
              <w:spacing w:line="155" w:lineRule="exact"/>
              <w:ind w:hanging="99"/>
              <w:rPr>
                <w:b/>
                <w:sz w:val="14"/>
              </w:rPr>
            </w:pPr>
            <w:r>
              <w:rPr>
                <w:color w:val="231F20"/>
                <w:sz w:val="14"/>
              </w:rPr>
              <w:t xml:space="preserve">Грађанин и друштво </w:t>
            </w:r>
            <w:r>
              <w:rPr>
                <w:b/>
                <w:color w:val="231F20"/>
                <w:spacing w:val="-3"/>
                <w:sz w:val="14"/>
              </w:rPr>
              <w:t>(11</w:t>
            </w:r>
            <w:r>
              <w:rPr>
                <w:b/>
                <w:color w:val="231F20"/>
                <w:spacing w:val="-11"/>
                <w:sz w:val="14"/>
              </w:rPr>
              <w:t xml:space="preserve"> </w:t>
            </w:r>
            <w:r>
              <w:rPr>
                <w:b/>
                <w:color w:val="231F20"/>
                <w:sz w:val="14"/>
              </w:rPr>
              <w:t>часова)</w:t>
            </w:r>
          </w:p>
          <w:p w:rsidR="00041039" w:rsidRDefault="001B26CB">
            <w:pPr>
              <w:pStyle w:val="TableParagraph"/>
              <w:numPr>
                <w:ilvl w:val="0"/>
                <w:numId w:val="1924"/>
              </w:numPr>
              <w:tabs>
                <w:tab w:val="left" w:pos="158"/>
              </w:tabs>
              <w:spacing w:line="237" w:lineRule="auto"/>
              <w:ind w:right="181" w:hanging="99"/>
              <w:rPr>
                <w:b/>
                <w:sz w:val="14"/>
              </w:rPr>
            </w:pPr>
            <w:r>
              <w:rPr>
                <w:color w:val="231F20"/>
                <w:sz w:val="14"/>
              </w:rPr>
              <w:t>Грађанска и политичка права и право на грађанску</w:t>
            </w:r>
            <w:r>
              <w:rPr>
                <w:color w:val="231F20"/>
                <w:spacing w:val="-26"/>
                <w:sz w:val="14"/>
              </w:rPr>
              <w:t xml:space="preserve"> </w:t>
            </w:r>
            <w:r>
              <w:rPr>
                <w:color w:val="231F20"/>
                <w:sz w:val="14"/>
              </w:rPr>
              <w:t xml:space="preserve">иницијативу </w:t>
            </w:r>
            <w:r>
              <w:rPr>
                <w:b/>
                <w:color w:val="231F20"/>
                <w:sz w:val="14"/>
              </w:rPr>
              <w:t>(10</w:t>
            </w:r>
            <w:r>
              <w:rPr>
                <w:b/>
                <w:color w:val="231F20"/>
                <w:spacing w:val="-1"/>
                <w:sz w:val="14"/>
              </w:rPr>
              <w:t xml:space="preserve"> </w:t>
            </w:r>
            <w:r>
              <w:rPr>
                <w:b/>
                <w:color w:val="231F20"/>
                <w:sz w:val="14"/>
              </w:rPr>
              <w:t>часова)</w:t>
            </w:r>
          </w:p>
          <w:p w:rsidR="00041039" w:rsidRDefault="001B26CB">
            <w:pPr>
              <w:pStyle w:val="TableParagraph"/>
              <w:numPr>
                <w:ilvl w:val="0"/>
                <w:numId w:val="1924"/>
              </w:numPr>
              <w:tabs>
                <w:tab w:val="left" w:pos="158"/>
              </w:tabs>
              <w:spacing w:line="237" w:lineRule="auto"/>
              <w:ind w:right="211" w:hanging="99"/>
              <w:rPr>
                <w:b/>
                <w:sz w:val="14"/>
              </w:rPr>
            </w:pPr>
            <w:r>
              <w:rPr>
                <w:color w:val="231F20"/>
                <w:sz w:val="14"/>
              </w:rPr>
              <w:t>Планирање конкретне акције</w:t>
            </w:r>
            <w:r>
              <w:rPr>
                <w:color w:val="231F20"/>
                <w:spacing w:val="-15"/>
                <w:sz w:val="14"/>
              </w:rPr>
              <w:t xml:space="preserve"> </w:t>
            </w:r>
            <w:r>
              <w:rPr>
                <w:b/>
                <w:color w:val="231F20"/>
                <w:sz w:val="14"/>
              </w:rPr>
              <w:t>(9 часова)</w:t>
            </w:r>
          </w:p>
        </w:tc>
      </w:tr>
      <w:tr w:rsidR="00041039">
        <w:trPr>
          <w:trHeight w:val="2120"/>
        </w:trPr>
        <w:tc>
          <w:tcPr>
            <w:tcW w:w="1304" w:type="dxa"/>
          </w:tcPr>
          <w:p w:rsidR="00041039" w:rsidRDefault="001B26CB">
            <w:pPr>
              <w:pStyle w:val="TableParagraph"/>
              <w:spacing w:before="19"/>
              <w:ind w:left="56" w:right="37"/>
              <w:rPr>
                <w:sz w:val="14"/>
              </w:rPr>
            </w:pPr>
            <w:r>
              <w:rPr>
                <w:color w:val="231F20"/>
                <w:sz w:val="14"/>
              </w:rPr>
              <w:t>Планирање кон­ кретне акције</w:t>
            </w:r>
          </w:p>
        </w:tc>
        <w:tc>
          <w:tcPr>
            <w:tcW w:w="1587" w:type="dxa"/>
          </w:tcPr>
          <w:p w:rsidR="00041039" w:rsidRDefault="001B26CB">
            <w:pPr>
              <w:pStyle w:val="TableParagraph"/>
              <w:numPr>
                <w:ilvl w:val="0"/>
                <w:numId w:val="1923"/>
              </w:numPr>
              <w:tabs>
                <w:tab w:val="left" w:pos="157"/>
              </w:tabs>
              <w:spacing w:before="9"/>
              <w:ind w:right="79"/>
              <w:rPr>
                <w:sz w:val="14"/>
              </w:rPr>
            </w:pPr>
            <w:r>
              <w:rPr>
                <w:color w:val="231F20"/>
                <w:sz w:val="14"/>
              </w:rPr>
              <w:t>Подстицање и оспо­ собљавање ученика за планирање заједнич­ ких акција и</w:t>
            </w:r>
            <w:r>
              <w:rPr>
                <w:color w:val="231F20"/>
                <w:spacing w:val="-11"/>
                <w:sz w:val="14"/>
              </w:rPr>
              <w:t xml:space="preserve"> </w:t>
            </w:r>
            <w:r>
              <w:rPr>
                <w:color w:val="231F20"/>
                <w:sz w:val="14"/>
              </w:rPr>
              <w:t>пројеката у локалној</w:t>
            </w:r>
            <w:r>
              <w:rPr>
                <w:color w:val="231F20"/>
                <w:spacing w:val="-8"/>
                <w:sz w:val="14"/>
              </w:rPr>
              <w:t xml:space="preserve"> </w:t>
            </w:r>
            <w:r>
              <w:rPr>
                <w:color w:val="231F20"/>
                <w:sz w:val="14"/>
              </w:rPr>
              <w:t>заједници.</w:t>
            </w:r>
          </w:p>
        </w:tc>
        <w:tc>
          <w:tcPr>
            <w:tcW w:w="2551" w:type="dxa"/>
          </w:tcPr>
          <w:p w:rsidR="00041039" w:rsidRDefault="001B26CB">
            <w:pPr>
              <w:pStyle w:val="TableParagraph"/>
              <w:numPr>
                <w:ilvl w:val="0"/>
                <w:numId w:val="1922"/>
              </w:numPr>
              <w:tabs>
                <w:tab w:val="left" w:pos="157"/>
              </w:tabs>
              <w:spacing w:before="9"/>
              <w:ind w:right="54" w:hanging="99"/>
              <w:rPr>
                <w:sz w:val="14"/>
              </w:rPr>
            </w:pPr>
            <w:r>
              <w:rPr>
                <w:color w:val="231F20"/>
                <w:sz w:val="14"/>
              </w:rPr>
              <w:t>идентификује проблеме у својој</w:t>
            </w:r>
            <w:r>
              <w:rPr>
                <w:color w:val="231F20"/>
                <w:spacing w:val="-25"/>
                <w:sz w:val="14"/>
              </w:rPr>
              <w:t xml:space="preserve"> </w:t>
            </w:r>
            <w:r>
              <w:rPr>
                <w:color w:val="231F20"/>
                <w:sz w:val="14"/>
              </w:rPr>
              <w:t>локал­ ној</w:t>
            </w:r>
            <w:r>
              <w:rPr>
                <w:color w:val="231F20"/>
                <w:spacing w:val="-2"/>
                <w:sz w:val="14"/>
              </w:rPr>
              <w:t xml:space="preserve"> </w:t>
            </w:r>
            <w:r>
              <w:rPr>
                <w:color w:val="231F20"/>
                <w:sz w:val="14"/>
              </w:rPr>
              <w:t>заједници;</w:t>
            </w:r>
          </w:p>
          <w:p w:rsidR="00041039" w:rsidRDefault="001B26CB">
            <w:pPr>
              <w:pStyle w:val="TableParagraph"/>
              <w:numPr>
                <w:ilvl w:val="0"/>
                <w:numId w:val="1922"/>
              </w:numPr>
              <w:tabs>
                <w:tab w:val="left" w:pos="157"/>
              </w:tabs>
              <w:spacing w:before="1" w:line="160" w:lineRule="exact"/>
              <w:ind w:right="80" w:hanging="99"/>
              <w:rPr>
                <w:sz w:val="14"/>
              </w:rPr>
            </w:pPr>
            <w:r>
              <w:rPr>
                <w:color w:val="231F20"/>
                <w:sz w:val="14"/>
              </w:rPr>
              <w:t>анализира изабране проблеме,</w:t>
            </w:r>
            <w:r>
              <w:rPr>
                <w:color w:val="231F20"/>
                <w:spacing w:val="-26"/>
                <w:sz w:val="14"/>
              </w:rPr>
              <w:t xml:space="preserve"> </w:t>
            </w:r>
            <w:r>
              <w:rPr>
                <w:color w:val="231F20"/>
                <w:sz w:val="14"/>
              </w:rPr>
              <w:t>изучава их;</w:t>
            </w:r>
          </w:p>
          <w:p w:rsidR="00041039" w:rsidRDefault="001B26CB">
            <w:pPr>
              <w:pStyle w:val="TableParagraph"/>
              <w:numPr>
                <w:ilvl w:val="0"/>
                <w:numId w:val="1922"/>
              </w:numPr>
              <w:tabs>
                <w:tab w:val="left" w:pos="157"/>
              </w:tabs>
              <w:spacing w:line="160" w:lineRule="exact"/>
              <w:ind w:right="279" w:hanging="99"/>
              <w:rPr>
                <w:sz w:val="14"/>
              </w:rPr>
            </w:pPr>
            <w:r>
              <w:rPr>
                <w:color w:val="231F20"/>
                <w:sz w:val="14"/>
              </w:rPr>
              <w:t>предлаже активности и дискутује</w:t>
            </w:r>
            <w:r>
              <w:rPr>
                <w:color w:val="231F20"/>
                <w:spacing w:val="-10"/>
                <w:sz w:val="14"/>
              </w:rPr>
              <w:t xml:space="preserve"> </w:t>
            </w:r>
            <w:r>
              <w:rPr>
                <w:color w:val="231F20"/>
                <w:sz w:val="14"/>
              </w:rPr>
              <w:t>о њима са осталим члановима</w:t>
            </w:r>
            <w:r>
              <w:rPr>
                <w:color w:val="231F20"/>
                <w:spacing w:val="-2"/>
                <w:sz w:val="14"/>
              </w:rPr>
              <w:t xml:space="preserve"> </w:t>
            </w:r>
            <w:r>
              <w:rPr>
                <w:color w:val="231F20"/>
                <w:sz w:val="14"/>
              </w:rPr>
              <w:t>тима;</w:t>
            </w:r>
          </w:p>
          <w:p w:rsidR="00041039" w:rsidRDefault="001B26CB">
            <w:pPr>
              <w:pStyle w:val="TableParagraph"/>
              <w:numPr>
                <w:ilvl w:val="0"/>
                <w:numId w:val="1922"/>
              </w:numPr>
              <w:tabs>
                <w:tab w:val="left" w:pos="157"/>
              </w:tabs>
              <w:spacing w:line="160" w:lineRule="exact"/>
              <w:ind w:right="209" w:hanging="99"/>
              <w:rPr>
                <w:sz w:val="14"/>
              </w:rPr>
            </w:pPr>
            <w:r>
              <w:rPr>
                <w:color w:val="231F20"/>
                <w:sz w:val="14"/>
              </w:rPr>
              <w:t>сарађује са члановима тима и учест­ вује у доношењу</w:t>
            </w:r>
            <w:r>
              <w:rPr>
                <w:color w:val="231F20"/>
                <w:spacing w:val="-2"/>
                <w:sz w:val="14"/>
              </w:rPr>
              <w:t xml:space="preserve"> </w:t>
            </w:r>
            <w:r>
              <w:rPr>
                <w:color w:val="231F20"/>
                <w:sz w:val="14"/>
              </w:rPr>
              <w:t>одлука;</w:t>
            </w:r>
          </w:p>
          <w:p w:rsidR="00041039" w:rsidRDefault="001B26CB">
            <w:pPr>
              <w:pStyle w:val="TableParagraph"/>
              <w:numPr>
                <w:ilvl w:val="0"/>
                <w:numId w:val="1922"/>
              </w:numPr>
              <w:tabs>
                <w:tab w:val="left" w:pos="157"/>
              </w:tabs>
              <w:spacing w:line="153" w:lineRule="exact"/>
              <w:ind w:hanging="99"/>
              <w:rPr>
                <w:sz w:val="14"/>
              </w:rPr>
            </w:pPr>
            <w:r>
              <w:rPr>
                <w:color w:val="231F20"/>
                <w:sz w:val="14"/>
              </w:rPr>
              <w:t xml:space="preserve">формулише циљеве и </w:t>
            </w:r>
            <w:r>
              <w:rPr>
                <w:color w:val="231F20"/>
                <w:spacing w:val="-2"/>
                <w:sz w:val="14"/>
              </w:rPr>
              <w:t>кораке</w:t>
            </w:r>
            <w:r>
              <w:rPr>
                <w:color w:val="231F20"/>
                <w:spacing w:val="-9"/>
                <w:sz w:val="14"/>
              </w:rPr>
              <w:t xml:space="preserve"> </w:t>
            </w:r>
            <w:r>
              <w:rPr>
                <w:color w:val="231F20"/>
                <w:sz w:val="14"/>
              </w:rPr>
              <w:t>акције;</w:t>
            </w:r>
          </w:p>
          <w:p w:rsidR="00041039" w:rsidRDefault="001B26CB">
            <w:pPr>
              <w:pStyle w:val="TableParagraph"/>
              <w:numPr>
                <w:ilvl w:val="0"/>
                <w:numId w:val="1922"/>
              </w:numPr>
              <w:tabs>
                <w:tab w:val="left" w:pos="157"/>
              </w:tabs>
              <w:spacing w:line="237" w:lineRule="auto"/>
              <w:ind w:right="464" w:hanging="99"/>
              <w:rPr>
                <w:sz w:val="14"/>
              </w:rPr>
            </w:pPr>
            <w:r>
              <w:rPr>
                <w:color w:val="231F20"/>
                <w:sz w:val="14"/>
              </w:rPr>
              <w:t>иницира активности, прати их</w:t>
            </w:r>
            <w:r>
              <w:rPr>
                <w:color w:val="231F20"/>
                <w:spacing w:val="-14"/>
                <w:sz w:val="14"/>
              </w:rPr>
              <w:t xml:space="preserve"> </w:t>
            </w:r>
            <w:r>
              <w:rPr>
                <w:color w:val="231F20"/>
                <w:sz w:val="14"/>
              </w:rPr>
              <w:t>и оцењује</w:t>
            </w:r>
          </w:p>
          <w:p w:rsidR="00041039" w:rsidRDefault="001B26CB">
            <w:pPr>
              <w:pStyle w:val="TableParagraph"/>
              <w:numPr>
                <w:ilvl w:val="0"/>
                <w:numId w:val="1922"/>
              </w:numPr>
              <w:tabs>
                <w:tab w:val="left" w:pos="157"/>
              </w:tabs>
              <w:spacing w:line="160" w:lineRule="exact"/>
              <w:ind w:right="234" w:hanging="99"/>
              <w:rPr>
                <w:sz w:val="14"/>
              </w:rPr>
            </w:pPr>
            <w:r>
              <w:rPr>
                <w:color w:val="231F20"/>
                <w:sz w:val="14"/>
              </w:rPr>
              <w:t>представи путем јавне презентације нацрт акције и резултате</w:t>
            </w:r>
            <w:r>
              <w:rPr>
                <w:color w:val="231F20"/>
                <w:spacing w:val="-8"/>
                <w:sz w:val="14"/>
              </w:rPr>
              <w:t xml:space="preserve"> </w:t>
            </w:r>
            <w:r>
              <w:rPr>
                <w:color w:val="231F20"/>
                <w:sz w:val="14"/>
              </w:rPr>
              <w:t>акције;</w:t>
            </w:r>
          </w:p>
        </w:tc>
        <w:tc>
          <w:tcPr>
            <w:tcW w:w="2834" w:type="dxa"/>
          </w:tcPr>
          <w:p w:rsidR="00041039" w:rsidRDefault="001B26CB">
            <w:pPr>
              <w:pStyle w:val="TableParagraph"/>
              <w:numPr>
                <w:ilvl w:val="0"/>
                <w:numId w:val="1921"/>
              </w:numPr>
              <w:tabs>
                <w:tab w:val="left" w:pos="157"/>
              </w:tabs>
              <w:spacing w:before="10" w:line="166" w:lineRule="exact"/>
              <w:ind w:hanging="99"/>
              <w:rPr>
                <w:sz w:val="14"/>
              </w:rPr>
            </w:pPr>
            <w:r>
              <w:rPr>
                <w:color w:val="231F20"/>
                <w:sz w:val="14"/>
              </w:rPr>
              <w:t>Избор</w:t>
            </w:r>
            <w:r>
              <w:rPr>
                <w:color w:val="231F20"/>
                <w:spacing w:val="-2"/>
                <w:sz w:val="14"/>
              </w:rPr>
              <w:t xml:space="preserve"> </w:t>
            </w:r>
            <w:r>
              <w:rPr>
                <w:color w:val="231F20"/>
                <w:sz w:val="14"/>
              </w:rPr>
              <w:t>проблема.</w:t>
            </w:r>
          </w:p>
          <w:p w:rsidR="00041039" w:rsidRDefault="001B26CB">
            <w:pPr>
              <w:pStyle w:val="TableParagraph"/>
              <w:numPr>
                <w:ilvl w:val="0"/>
                <w:numId w:val="1921"/>
              </w:numPr>
              <w:tabs>
                <w:tab w:val="left" w:pos="157"/>
              </w:tabs>
              <w:spacing w:line="160" w:lineRule="exact"/>
              <w:ind w:hanging="99"/>
              <w:rPr>
                <w:sz w:val="14"/>
              </w:rPr>
            </w:pPr>
            <w:r>
              <w:rPr>
                <w:color w:val="231F20"/>
                <w:sz w:val="14"/>
              </w:rPr>
              <w:t>Идентификација могућих</w:t>
            </w:r>
            <w:r>
              <w:rPr>
                <w:color w:val="231F20"/>
                <w:spacing w:val="-2"/>
                <w:sz w:val="14"/>
              </w:rPr>
              <w:t xml:space="preserve"> </w:t>
            </w:r>
            <w:r>
              <w:rPr>
                <w:color w:val="231F20"/>
                <w:sz w:val="14"/>
              </w:rPr>
              <w:t>решења.</w:t>
            </w:r>
          </w:p>
          <w:p w:rsidR="00041039" w:rsidRDefault="001B26CB">
            <w:pPr>
              <w:pStyle w:val="TableParagraph"/>
              <w:numPr>
                <w:ilvl w:val="0"/>
                <w:numId w:val="1921"/>
              </w:numPr>
              <w:tabs>
                <w:tab w:val="left" w:pos="157"/>
              </w:tabs>
              <w:spacing w:line="160" w:lineRule="exact"/>
              <w:ind w:hanging="99"/>
              <w:rPr>
                <w:sz w:val="14"/>
              </w:rPr>
            </w:pPr>
            <w:r>
              <w:rPr>
                <w:color w:val="231F20"/>
                <w:sz w:val="14"/>
              </w:rPr>
              <w:t>Припрема нацрта</w:t>
            </w:r>
            <w:r>
              <w:rPr>
                <w:color w:val="231F20"/>
                <w:spacing w:val="-1"/>
                <w:sz w:val="14"/>
              </w:rPr>
              <w:t xml:space="preserve"> </w:t>
            </w:r>
            <w:r>
              <w:rPr>
                <w:color w:val="231F20"/>
                <w:sz w:val="14"/>
              </w:rPr>
              <w:t>акције.</w:t>
            </w:r>
          </w:p>
          <w:p w:rsidR="00041039" w:rsidRDefault="001B26CB">
            <w:pPr>
              <w:pStyle w:val="TableParagraph"/>
              <w:numPr>
                <w:ilvl w:val="0"/>
                <w:numId w:val="1921"/>
              </w:numPr>
              <w:tabs>
                <w:tab w:val="left" w:pos="157"/>
              </w:tabs>
              <w:spacing w:line="237" w:lineRule="auto"/>
              <w:ind w:right="120" w:hanging="99"/>
              <w:rPr>
                <w:sz w:val="14"/>
              </w:rPr>
            </w:pPr>
            <w:r>
              <w:rPr>
                <w:color w:val="231F20"/>
                <w:sz w:val="14"/>
              </w:rPr>
              <w:t>Реализација акције (ван редовних часова</w:t>
            </w:r>
            <w:r>
              <w:rPr>
                <w:color w:val="231F20"/>
                <w:spacing w:val="-13"/>
                <w:sz w:val="14"/>
              </w:rPr>
              <w:t xml:space="preserve"> </w:t>
            </w:r>
            <w:r>
              <w:rPr>
                <w:color w:val="231F20"/>
                <w:sz w:val="14"/>
              </w:rPr>
              <w:t>и учионице).</w:t>
            </w:r>
          </w:p>
          <w:p w:rsidR="00041039" w:rsidRDefault="001B26CB">
            <w:pPr>
              <w:pStyle w:val="TableParagraph"/>
              <w:numPr>
                <w:ilvl w:val="0"/>
                <w:numId w:val="1921"/>
              </w:numPr>
              <w:tabs>
                <w:tab w:val="left" w:pos="157"/>
              </w:tabs>
              <w:spacing w:line="155" w:lineRule="exact"/>
              <w:ind w:hanging="99"/>
              <w:rPr>
                <w:sz w:val="14"/>
              </w:rPr>
            </w:pPr>
            <w:r>
              <w:rPr>
                <w:color w:val="231F20"/>
                <w:sz w:val="14"/>
              </w:rPr>
              <w:t>Анализа реализоване</w:t>
            </w:r>
            <w:r>
              <w:rPr>
                <w:color w:val="231F20"/>
                <w:spacing w:val="-2"/>
                <w:sz w:val="14"/>
              </w:rPr>
              <w:t xml:space="preserve"> </w:t>
            </w:r>
            <w:r>
              <w:rPr>
                <w:color w:val="231F20"/>
                <w:sz w:val="14"/>
              </w:rPr>
              <w:t>акције.</w:t>
            </w:r>
          </w:p>
          <w:p w:rsidR="00041039" w:rsidRDefault="001B26CB">
            <w:pPr>
              <w:pStyle w:val="TableParagraph"/>
              <w:numPr>
                <w:ilvl w:val="0"/>
                <w:numId w:val="1921"/>
              </w:numPr>
              <w:tabs>
                <w:tab w:val="left" w:pos="157"/>
              </w:tabs>
              <w:spacing w:line="166" w:lineRule="exact"/>
              <w:ind w:hanging="99"/>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32 часа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400"/>
        </w:trPr>
        <w:tc>
          <w:tcPr>
            <w:tcW w:w="1304" w:type="dxa"/>
          </w:tcPr>
          <w:p w:rsidR="00041039" w:rsidRDefault="001B26CB">
            <w:pPr>
              <w:pStyle w:val="TableParagraph"/>
              <w:spacing w:before="18"/>
              <w:ind w:left="34" w:right="116"/>
              <w:jc w:val="center"/>
              <w:rPr>
                <w:sz w:val="14"/>
              </w:rPr>
            </w:pPr>
            <w:r>
              <w:rPr>
                <w:color w:val="231F20"/>
                <w:sz w:val="14"/>
              </w:rPr>
              <w:t>Свет информација</w:t>
            </w:r>
          </w:p>
        </w:tc>
        <w:tc>
          <w:tcPr>
            <w:tcW w:w="1587" w:type="dxa"/>
          </w:tcPr>
          <w:p w:rsidR="00041039" w:rsidRDefault="001B26CB">
            <w:pPr>
              <w:pStyle w:val="TableParagraph"/>
              <w:numPr>
                <w:ilvl w:val="0"/>
                <w:numId w:val="1920"/>
              </w:numPr>
              <w:tabs>
                <w:tab w:val="left" w:pos="157"/>
              </w:tabs>
              <w:spacing w:before="8"/>
              <w:ind w:right="76"/>
              <w:rPr>
                <w:sz w:val="14"/>
              </w:rPr>
            </w:pPr>
            <w:r>
              <w:rPr>
                <w:color w:val="231F20"/>
                <w:sz w:val="14"/>
              </w:rPr>
              <w:t xml:space="preserve">Упознавање са могућ­ ностима које </w:t>
            </w:r>
            <w:r>
              <w:rPr>
                <w:i/>
                <w:color w:val="231F20"/>
                <w:sz w:val="14"/>
              </w:rPr>
              <w:t xml:space="preserve">Закон о </w:t>
            </w:r>
            <w:r>
              <w:rPr>
                <w:i/>
                <w:color w:val="231F20"/>
                <w:sz w:val="14"/>
              </w:rPr>
              <w:t>слободном приступу информацијама</w:t>
            </w:r>
            <w:r>
              <w:rPr>
                <w:i/>
                <w:color w:val="231F20"/>
                <w:spacing w:val="-17"/>
                <w:sz w:val="14"/>
              </w:rPr>
              <w:t xml:space="preserve"> </w:t>
            </w:r>
            <w:r>
              <w:rPr>
                <w:color w:val="231F20"/>
                <w:sz w:val="14"/>
              </w:rPr>
              <w:t xml:space="preserve">пружа у остваривању </w:t>
            </w:r>
            <w:r>
              <w:rPr>
                <w:color w:val="231F20"/>
                <w:spacing w:val="-3"/>
                <w:sz w:val="14"/>
              </w:rPr>
              <w:t xml:space="preserve">људ­ </w:t>
            </w:r>
            <w:r>
              <w:rPr>
                <w:color w:val="231F20"/>
                <w:sz w:val="14"/>
              </w:rPr>
              <w:t>ских права и</w:t>
            </w:r>
            <w:r>
              <w:rPr>
                <w:color w:val="231F20"/>
                <w:spacing w:val="-8"/>
                <w:sz w:val="14"/>
              </w:rPr>
              <w:t xml:space="preserve"> </w:t>
            </w:r>
            <w:r>
              <w:rPr>
                <w:color w:val="231F20"/>
                <w:sz w:val="14"/>
              </w:rPr>
              <w:t>слобода.</w:t>
            </w:r>
          </w:p>
          <w:p w:rsidR="00041039" w:rsidRDefault="001B26CB">
            <w:pPr>
              <w:pStyle w:val="TableParagraph"/>
              <w:numPr>
                <w:ilvl w:val="0"/>
                <w:numId w:val="1920"/>
              </w:numPr>
              <w:tabs>
                <w:tab w:val="left" w:pos="157"/>
              </w:tabs>
              <w:spacing w:line="154" w:lineRule="exact"/>
              <w:rPr>
                <w:sz w:val="14"/>
              </w:rPr>
            </w:pPr>
            <w:r>
              <w:rPr>
                <w:color w:val="231F20"/>
                <w:sz w:val="14"/>
              </w:rPr>
              <w:t>Оспособљавање</w:t>
            </w:r>
          </w:p>
          <w:p w:rsidR="00041039" w:rsidRDefault="001B26CB">
            <w:pPr>
              <w:pStyle w:val="TableParagraph"/>
              <w:ind w:right="31"/>
              <w:rPr>
                <w:sz w:val="14"/>
              </w:rPr>
            </w:pPr>
            <w:r>
              <w:rPr>
                <w:color w:val="231F20"/>
                <w:sz w:val="14"/>
              </w:rPr>
              <w:t>ученика да самостално траже и долазе до информација од јавног значаја.</w:t>
            </w:r>
          </w:p>
          <w:p w:rsidR="00041039" w:rsidRDefault="001B26CB">
            <w:pPr>
              <w:pStyle w:val="TableParagraph"/>
              <w:numPr>
                <w:ilvl w:val="0"/>
                <w:numId w:val="1920"/>
              </w:numPr>
              <w:tabs>
                <w:tab w:val="left" w:pos="157"/>
              </w:tabs>
              <w:spacing w:line="157" w:lineRule="exact"/>
              <w:rPr>
                <w:sz w:val="14"/>
              </w:rPr>
            </w:pPr>
            <w:r>
              <w:rPr>
                <w:color w:val="231F20"/>
                <w:sz w:val="14"/>
              </w:rPr>
              <w:t xml:space="preserve">Разумевање </w:t>
            </w:r>
            <w:r>
              <w:rPr>
                <w:color w:val="231F20"/>
                <w:spacing w:val="-3"/>
                <w:sz w:val="14"/>
              </w:rPr>
              <w:t>улоге</w:t>
            </w:r>
            <w:r>
              <w:rPr>
                <w:color w:val="231F20"/>
                <w:spacing w:val="-2"/>
                <w:sz w:val="14"/>
              </w:rPr>
              <w:t xml:space="preserve"> </w:t>
            </w:r>
            <w:r>
              <w:rPr>
                <w:color w:val="231F20"/>
                <w:sz w:val="14"/>
              </w:rPr>
              <w:t>и</w:t>
            </w:r>
          </w:p>
          <w:p w:rsidR="00041039" w:rsidRDefault="001B26CB">
            <w:pPr>
              <w:pStyle w:val="TableParagraph"/>
              <w:ind w:right="15"/>
              <w:rPr>
                <w:sz w:val="14"/>
              </w:rPr>
            </w:pPr>
            <w:r>
              <w:rPr>
                <w:color w:val="231F20"/>
                <w:sz w:val="14"/>
              </w:rPr>
              <w:t>значаја медија у савре­ меном друштву.</w:t>
            </w:r>
          </w:p>
          <w:p w:rsidR="00041039" w:rsidRDefault="001B26CB">
            <w:pPr>
              <w:pStyle w:val="TableParagraph"/>
              <w:numPr>
                <w:ilvl w:val="0"/>
                <w:numId w:val="1920"/>
              </w:numPr>
              <w:tabs>
                <w:tab w:val="left" w:pos="157"/>
              </w:tabs>
              <w:spacing w:line="160" w:lineRule="exact"/>
              <w:ind w:right="124"/>
              <w:rPr>
                <w:sz w:val="14"/>
              </w:rPr>
            </w:pPr>
            <w:r>
              <w:rPr>
                <w:color w:val="231F20"/>
                <w:sz w:val="14"/>
              </w:rPr>
              <w:t>Развијање критичког односа према</w:t>
            </w:r>
            <w:r>
              <w:rPr>
                <w:color w:val="231F20"/>
                <w:spacing w:val="-7"/>
                <w:sz w:val="14"/>
              </w:rPr>
              <w:t xml:space="preserve"> </w:t>
            </w:r>
            <w:r>
              <w:rPr>
                <w:color w:val="231F20"/>
                <w:sz w:val="14"/>
              </w:rPr>
              <w:t xml:space="preserve">медији­ ма и информацијама добијеним </w:t>
            </w:r>
            <w:r>
              <w:rPr>
                <w:color w:val="231F20"/>
                <w:spacing w:val="-3"/>
                <w:sz w:val="14"/>
              </w:rPr>
              <w:t xml:space="preserve">преко </w:t>
            </w:r>
            <w:r>
              <w:rPr>
                <w:color w:val="231F20"/>
                <w:sz w:val="14"/>
              </w:rPr>
              <w:t>различитих</w:t>
            </w:r>
            <w:r>
              <w:rPr>
                <w:color w:val="231F20"/>
                <w:spacing w:val="-1"/>
                <w:sz w:val="14"/>
              </w:rPr>
              <w:t xml:space="preserve"> </w:t>
            </w:r>
            <w:r>
              <w:rPr>
                <w:color w:val="231F20"/>
                <w:sz w:val="14"/>
              </w:rPr>
              <w:t>медија.</w:t>
            </w:r>
          </w:p>
        </w:tc>
        <w:tc>
          <w:tcPr>
            <w:tcW w:w="2551" w:type="dxa"/>
          </w:tcPr>
          <w:p w:rsidR="00041039" w:rsidRDefault="001B26CB">
            <w:pPr>
              <w:pStyle w:val="TableParagraph"/>
              <w:numPr>
                <w:ilvl w:val="0"/>
                <w:numId w:val="1919"/>
              </w:numPr>
              <w:tabs>
                <w:tab w:val="left" w:pos="157"/>
              </w:tabs>
              <w:spacing w:before="8"/>
              <w:ind w:right="310" w:hanging="99"/>
              <w:rPr>
                <w:sz w:val="14"/>
              </w:rPr>
            </w:pPr>
            <w:r>
              <w:rPr>
                <w:color w:val="231F20"/>
                <w:sz w:val="14"/>
              </w:rPr>
              <w:t>објасни значај постојања права на слободан приступ</w:t>
            </w:r>
            <w:r>
              <w:rPr>
                <w:color w:val="231F20"/>
                <w:spacing w:val="-17"/>
                <w:sz w:val="14"/>
              </w:rPr>
              <w:t xml:space="preserve"> </w:t>
            </w:r>
            <w:r>
              <w:rPr>
                <w:color w:val="231F20"/>
                <w:sz w:val="14"/>
              </w:rPr>
              <w:t>информацијама;</w:t>
            </w:r>
          </w:p>
          <w:p w:rsidR="00041039" w:rsidRDefault="001B26CB">
            <w:pPr>
              <w:pStyle w:val="TableParagraph"/>
              <w:numPr>
                <w:ilvl w:val="0"/>
                <w:numId w:val="1919"/>
              </w:numPr>
              <w:tabs>
                <w:tab w:val="left" w:pos="157"/>
              </w:tabs>
              <w:spacing w:before="1" w:line="160" w:lineRule="exact"/>
              <w:ind w:right="86" w:hanging="99"/>
              <w:rPr>
                <w:sz w:val="14"/>
              </w:rPr>
            </w:pPr>
            <w:r>
              <w:rPr>
                <w:color w:val="231F20"/>
                <w:sz w:val="14"/>
              </w:rPr>
              <w:t xml:space="preserve">објасни појам јавне информације и идентификује информације које су </w:t>
            </w:r>
            <w:r>
              <w:rPr>
                <w:color w:val="231F20"/>
                <w:spacing w:val="-3"/>
                <w:sz w:val="14"/>
              </w:rPr>
              <w:t xml:space="preserve">од </w:t>
            </w:r>
            <w:r>
              <w:rPr>
                <w:color w:val="231F20"/>
                <w:sz w:val="14"/>
              </w:rPr>
              <w:t>јавног</w:t>
            </w:r>
            <w:r>
              <w:rPr>
                <w:color w:val="231F20"/>
                <w:spacing w:val="-5"/>
                <w:sz w:val="14"/>
              </w:rPr>
              <w:t xml:space="preserve"> </w:t>
            </w:r>
            <w:r>
              <w:rPr>
                <w:color w:val="231F20"/>
                <w:sz w:val="14"/>
              </w:rPr>
              <w:t>значаја</w:t>
            </w:r>
            <w:r>
              <w:rPr>
                <w:color w:val="231F20"/>
                <w:spacing w:val="-5"/>
                <w:sz w:val="14"/>
              </w:rPr>
              <w:t xml:space="preserve"> </w:t>
            </w:r>
            <w:r>
              <w:rPr>
                <w:color w:val="231F20"/>
                <w:sz w:val="14"/>
              </w:rPr>
              <w:t>и</w:t>
            </w:r>
            <w:r>
              <w:rPr>
                <w:color w:val="231F20"/>
                <w:spacing w:val="-6"/>
                <w:sz w:val="14"/>
              </w:rPr>
              <w:t xml:space="preserve"> </w:t>
            </w:r>
            <w:r>
              <w:rPr>
                <w:color w:val="231F20"/>
                <w:sz w:val="14"/>
              </w:rPr>
              <w:t>које</w:t>
            </w:r>
            <w:r>
              <w:rPr>
                <w:color w:val="231F20"/>
                <w:spacing w:val="-5"/>
                <w:sz w:val="14"/>
              </w:rPr>
              <w:t xml:space="preserve"> </w:t>
            </w:r>
            <w:r>
              <w:rPr>
                <w:color w:val="231F20"/>
                <w:sz w:val="14"/>
              </w:rPr>
              <w:t>грађанин</w:t>
            </w:r>
            <w:r>
              <w:rPr>
                <w:color w:val="231F20"/>
                <w:spacing w:val="-6"/>
                <w:sz w:val="14"/>
              </w:rPr>
              <w:t xml:space="preserve"> </w:t>
            </w:r>
            <w:r>
              <w:rPr>
                <w:color w:val="231F20"/>
                <w:sz w:val="14"/>
              </w:rPr>
              <w:t>може</w:t>
            </w:r>
            <w:r>
              <w:rPr>
                <w:color w:val="231F20"/>
                <w:spacing w:val="-5"/>
                <w:sz w:val="14"/>
              </w:rPr>
              <w:t xml:space="preserve"> </w:t>
            </w:r>
            <w:r>
              <w:rPr>
                <w:color w:val="231F20"/>
                <w:sz w:val="14"/>
              </w:rPr>
              <w:t>да добије по</w:t>
            </w:r>
            <w:r>
              <w:rPr>
                <w:color w:val="231F20"/>
                <w:spacing w:val="-2"/>
                <w:sz w:val="14"/>
              </w:rPr>
              <w:t xml:space="preserve"> </w:t>
            </w:r>
            <w:r>
              <w:rPr>
                <w:color w:val="231F20"/>
                <w:sz w:val="14"/>
              </w:rPr>
              <w:t>закону;</w:t>
            </w:r>
          </w:p>
          <w:p w:rsidR="00041039" w:rsidRDefault="001B26CB">
            <w:pPr>
              <w:pStyle w:val="TableParagraph"/>
              <w:numPr>
                <w:ilvl w:val="0"/>
                <w:numId w:val="1919"/>
              </w:numPr>
              <w:tabs>
                <w:tab w:val="left" w:pos="157"/>
              </w:tabs>
              <w:spacing w:line="160" w:lineRule="exact"/>
              <w:ind w:right="76" w:hanging="99"/>
              <w:rPr>
                <w:sz w:val="14"/>
              </w:rPr>
            </w:pPr>
            <w:r>
              <w:rPr>
                <w:color w:val="231F20"/>
                <w:sz w:val="14"/>
              </w:rPr>
              <w:t>н</w:t>
            </w:r>
            <w:r>
              <w:rPr>
                <w:color w:val="231F20"/>
                <w:sz w:val="14"/>
              </w:rPr>
              <w:t xml:space="preserve">аведе основне одредбе </w:t>
            </w:r>
            <w:r>
              <w:rPr>
                <w:i/>
                <w:color w:val="231F20"/>
                <w:sz w:val="14"/>
              </w:rPr>
              <w:t>Закона о слободном</w:t>
            </w:r>
            <w:r>
              <w:rPr>
                <w:i/>
                <w:color w:val="231F20"/>
                <w:spacing w:val="-10"/>
                <w:sz w:val="14"/>
              </w:rPr>
              <w:t xml:space="preserve"> </w:t>
            </w:r>
            <w:r>
              <w:rPr>
                <w:i/>
                <w:color w:val="231F20"/>
                <w:sz w:val="14"/>
              </w:rPr>
              <w:t>приступу</w:t>
            </w:r>
            <w:r>
              <w:rPr>
                <w:i/>
                <w:color w:val="231F20"/>
                <w:spacing w:val="-10"/>
                <w:sz w:val="14"/>
              </w:rPr>
              <w:t xml:space="preserve"> </w:t>
            </w:r>
            <w:r>
              <w:rPr>
                <w:i/>
                <w:color w:val="231F20"/>
                <w:sz w:val="14"/>
              </w:rPr>
              <w:t>информацијама</w:t>
            </w:r>
            <w:r>
              <w:rPr>
                <w:i/>
                <w:color w:val="231F20"/>
                <w:spacing w:val="-10"/>
                <w:sz w:val="14"/>
              </w:rPr>
              <w:t xml:space="preserve"> </w:t>
            </w:r>
            <w:r>
              <w:rPr>
                <w:color w:val="231F20"/>
                <w:sz w:val="14"/>
              </w:rPr>
              <w:t>и објасни улогу</w:t>
            </w:r>
            <w:r>
              <w:rPr>
                <w:color w:val="231F20"/>
                <w:spacing w:val="-3"/>
                <w:sz w:val="14"/>
              </w:rPr>
              <w:t xml:space="preserve"> </w:t>
            </w:r>
            <w:r>
              <w:rPr>
                <w:color w:val="231F20"/>
                <w:sz w:val="14"/>
              </w:rPr>
              <w:t>повереника;</w:t>
            </w:r>
          </w:p>
          <w:p w:rsidR="00041039" w:rsidRDefault="001B26CB">
            <w:pPr>
              <w:pStyle w:val="TableParagraph"/>
              <w:numPr>
                <w:ilvl w:val="0"/>
                <w:numId w:val="1919"/>
              </w:numPr>
              <w:tabs>
                <w:tab w:val="left" w:pos="157"/>
              </w:tabs>
              <w:spacing w:line="160" w:lineRule="exact"/>
              <w:ind w:right="127" w:hanging="99"/>
              <w:rPr>
                <w:sz w:val="14"/>
              </w:rPr>
            </w:pPr>
            <w:r>
              <w:rPr>
                <w:color w:val="231F20"/>
                <w:sz w:val="14"/>
              </w:rPr>
              <w:t>наведе процедуру подношења</w:t>
            </w:r>
            <w:r>
              <w:rPr>
                <w:color w:val="231F20"/>
                <w:spacing w:val="-24"/>
                <w:sz w:val="14"/>
              </w:rPr>
              <w:t xml:space="preserve"> </w:t>
            </w:r>
            <w:r>
              <w:rPr>
                <w:color w:val="231F20"/>
                <w:sz w:val="14"/>
              </w:rPr>
              <w:t>захтева за приступ информацијама одјавног значаја;</w:t>
            </w:r>
          </w:p>
          <w:p w:rsidR="00041039" w:rsidRDefault="001B26CB">
            <w:pPr>
              <w:pStyle w:val="TableParagraph"/>
              <w:numPr>
                <w:ilvl w:val="0"/>
                <w:numId w:val="1919"/>
              </w:numPr>
              <w:tabs>
                <w:tab w:val="left" w:pos="157"/>
              </w:tabs>
              <w:spacing w:line="160" w:lineRule="exact"/>
              <w:ind w:right="108" w:hanging="99"/>
              <w:rPr>
                <w:sz w:val="14"/>
              </w:rPr>
            </w:pPr>
            <w:r>
              <w:rPr>
                <w:color w:val="231F20"/>
                <w:sz w:val="14"/>
              </w:rPr>
              <w:t>попуни образац и тражи</w:t>
            </w:r>
            <w:r>
              <w:rPr>
                <w:color w:val="231F20"/>
                <w:spacing w:val="-12"/>
                <w:sz w:val="14"/>
              </w:rPr>
              <w:t xml:space="preserve"> </w:t>
            </w:r>
            <w:r>
              <w:rPr>
                <w:color w:val="231F20"/>
                <w:sz w:val="14"/>
              </w:rPr>
              <w:t xml:space="preserve">информацију </w:t>
            </w:r>
            <w:r>
              <w:rPr>
                <w:color w:val="231F20"/>
                <w:spacing w:val="-3"/>
                <w:sz w:val="14"/>
              </w:rPr>
              <w:t xml:space="preserve">од </w:t>
            </w:r>
            <w:r>
              <w:rPr>
                <w:color w:val="231F20"/>
                <w:sz w:val="14"/>
              </w:rPr>
              <w:t>јавног</w:t>
            </w:r>
            <w:r>
              <w:rPr>
                <w:color w:val="231F20"/>
                <w:spacing w:val="1"/>
                <w:sz w:val="14"/>
              </w:rPr>
              <w:t xml:space="preserve"> </w:t>
            </w:r>
            <w:r>
              <w:rPr>
                <w:color w:val="231F20"/>
                <w:sz w:val="14"/>
              </w:rPr>
              <w:t>значаја;</w:t>
            </w:r>
          </w:p>
          <w:p w:rsidR="00041039" w:rsidRDefault="001B26CB">
            <w:pPr>
              <w:pStyle w:val="TableParagraph"/>
              <w:numPr>
                <w:ilvl w:val="0"/>
                <w:numId w:val="1919"/>
              </w:numPr>
              <w:tabs>
                <w:tab w:val="left" w:pos="157"/>
              </w:tabs>
              <w:spacing w:line="160" w:lineRule="exact"/>
              <w:ind w:right="269" w:hanging="99"/>
              <w:rPr>
                <w:sz w:val="14"/>
              </w:rPr>
            </w:pPr>
            <w:r>
              <w:rPr>
                <w:color w:val="231F20"/>
                <w:sz w:val="14"/>
              </w:rPr>
              <w:t>анализира информације које</w:t>
            </w:r>
            <w:r>
              <w:rPr>
                <w:color w:val="231F20"/>
                <w:spacing w:val="-19"/>
                <w:sz w:val="14"/>
              </w:rPr>
              <w:t xml:space="preserve"> </w:t>
            </w:r>
            <w:r>
              <w:rPr>
                <w:color w:val="231F20"/>
                <w:sz w:val="14"/>
              </w:rPr>
              <w:t xml:space="preserve">добија </w:t>
            </w:r>
            <w:r>
              <w:rPr>
                <w:color w:val="231F20"/>
                <w:spacing w:val="-3"/>
                <w:sz w:val="14"/>
              </w:rPr>
              <w:t xml:space="preserve">преко </w:t>
            </w:r>
            <w:r>
              <w:rPr>
                <w:color w:val="231F20"/>
                <w:sz w:val="14"/>
              </w:rPr>
              <w:t>различитих</w:t>
            </w:r>
            <w:r>
              <w:rPr>
                <w:color w:val="231F20"/>
                <w:spacing w:val="2"/>
                <w:sz w:val="14"/>
              </w:rPr>
              <w:t xml:space="preserve"> </w:t>
            </w:r>
            <w:r>
              <w:rPr>
                <w:color w:val="231F20"/>
                <w:sz w:val="14"/>
              </w:rPr>
              <w:t>медија;</w:t>
            </w:r>
          </w:p>
          <w:p w:rsidR="00041039" w:rsidRDefault="001B26CB">
            <w:pPr>
              <w:pStyle w:val="TableParagraph"/>
              <w:numPr>
                <w:ilvl w:val="0"/>
                <w:numId w:val="1919"/>
              </w:numPr>
              <w:tabs>
                <w:tab w:val="left" w:pos="157"/>
              </w:tabs>
              <w:spacing w:line="153" w:lineRule="exact"/>
              <w:ind w:hanging="99"/>
              <w:rPr>
                <w:sz w:val="14"/>
              </w:rPr>
            </w:pPr>
            <w:r>
              <w:rPr>
                <w:color w:val="231F20"/>
                <w:sz w:val="14"/>
              </w:rPr>
              <w:t>тражи, пронађе и даје</w:t>
            </w:r>
            <w:r>
              <w:rPr>
                <w:color w:val="231F20"/>
                <w:spacing w:val="-8"/>
                <w:sz w:val="14"/>
              </w:rPr>
              <w:t xml:space="preserve"> </w:t>
            </w:r>
            <w:r>
              <w:rPr>
                <w:color w:val="231F20"/>
                <w:sz w:val="14"/>
              </w:rPr>
              <w:t>информацију;</w:t>
            </w:r>
          </w:p>
          <w:p w:rsidR="00041039" w:rsidRDefault="001B26CB">
            <w:pPr>
              <w:pStyle w:val="TableParagraph"/>
              <w:numPr>
                <w:ilvl w:val="0"/>
                <w:numId w:val="1919"/>
              </w:numPr>
              <w:tabs>
                <w:tab w:val="left" w:pos="157"/>
              </w:tabs>
              <w:spacing w:line="237" w:lineRule="auto"/>
              <w:ind w:right="414" w:hanging="99"/>
              <w:rPr>
                <w:sz w:val="14"/>
              </w:rPr>
            </w:pPr>
            <w:r>
              <w:rPr>
                <w:color w:val="231F20"/>
                <w:sz w:val="14"/>
              </w:rPr>
              <w:t>открива примере манипулације</w:t>
            </w:r>
            <w:r>
              <w:rPr>
                <w:color w:val="231F20"/>
                <w:spacing w:val="-22"/>
                <w:sz w:val="14"/>
              </w:rPr>
              <w:t xml:space="preserve"> </w:t>
            </w:r>
            <w:r>
              <w:rPr>
                <w:color w:val="231F20"/>
                <w:sz w:val="14"/>
              </w:rPr>
              <w:t>у медијима;</w:t>
            </w:r>
          </w:p>
          <w:p w:rsidR="00041039" w:rsidRDefault="001B26CB">
            <w:pPr>
              <w:pStyle w:val="TableParagraph"/>
              <w:numPr>
                <w:ilvl w:val="0"/>
                <w:numId w:val="1919"/>
              </w:numPr>
              <w:tabs>
                <w:tab w:val="left" w:pos="157"/>
              </w:tabs>
              <w:spacing w:line="160" w:lineRule="exact"/>
              <w:ind w:right="183" w:hanging="99"/>
              <w:rPr>
                <w:sz w:val="14"/>
              </w:rPr>
            </w:pPr>
            <w:r>
              <w:rPr>
                <w:color w:val="231F20"/>
                <w:sz w:val="14"/>
              </w:rPr>
              <w:t>објасни значај објективности и</w:t>
            </w:r>
            <w:r>
              <w:rPr>
                <w:color w:val="231F20"/>
                <w:spacing w:val="-9"/>
                <w:sz w:val="14"/>
              </w:rPr>
              <w:t xml:space="preserve"> </w:t>
            </w:r>
            <w:r>
              <w:rPr>
                <w:color w:val="231F20"/>
                <w:sz w:val="14"/>
              </w:rPr>
              <w:t>веро­ достојности</w:t>
            </w:r>
            <w:r>
              <w:rPr>
                <w:color w:val="231F20"/>
                <w:spacing w:val="-1"/>
                <w:sz w:val="14"/>
              </w:rPr>
              <w:t xml:space="preserve"> </w:t>
            </w:r>
            <w:r>
              <w:rPr>
                <w:color w:val="231F20"/>
                <w:sz w:val="14"/>
              </w:rPr>
              <w:t>информација;</w:t>
            </w:r>
          </w:p>
        </w:tc>
        <w:tc>
          <w:tcPr>
            <w:tcW w:w="2834" w:type="dxa"/>
          </w:tcPr>
          <w:p w:rsidR="00041039" w:rsidRDefault="001B26CB">
            <w:pPr>
              <w:pStyle w:val="TableParagraph"/>
              <w:numPr>
                <w:ilvl w:val="0"/>
                <w:numId w:val="1918"/>
              </w:numPr>
              <w:tabs>
                <w:tab w:val="left" w:pos="157"/>
              </w:tabs>
              <w:spacing w:before="9" w:line="166" w:lineRule="exact"/>
              <w:ind w:hanging="99"/>
              <w:rPr>
                <w:sz w:val="14"/>
              </w:rPr>
            </w:pPr>
            <w:r>
              <w:rPr>
                <w:color w:val="231F20"/>
                <w:sz w:val="14"/>
              </w:rPr>
              <w:t>Извори</w:t>
            </w:r>
            <w:r>
              <w:rPr>
                <w:color w:val="231F20"/>
                <w:spacing w:val="-1"/>
                <w:sz w:val="14"/>
              </w:rPr>
              <w:t xml:space="preserve"> </w:t>
            </w:r>
            <w:r>
              <w:rPr>
                <w:color w:val="231F20"/>
                <w:sz w:val="14"/>
              </w:rPr>
              <w:t>информација.</w:t>
            </w:r>
          </w:p>
          <w:p w:rsidR="00041039" w:rsidRDefault="001B26CB">
            <w:pPr>
              <w:pStyle w:val="TableParagraph"/>
              <w:numPr>
                <w:ilvl w:val="0"/>
                <w:numId w:val="1918"/>
              </w:numPr>
              <w:tabs>
                <w:tab w:val="left" w:pos="157"/>
              </w:tabs>
              <w:spacing w:line="160" w:lineRule="exact"/>
              <w:ind w:hanging="99"/>
              <w:rPr>
                <w:sz w:val="14"/>
              </w:rPr>
            </w:pPr>
            <w:r>
              <w:rPr>
                <w:color w:val="231F20"/>
                <w:sz w:val="14"/>
              </w:rPr>
              <w:t>Појам јавне</w:t>
            </w:r>
            <w:r>
              <w:rPr>
                <w:color w:val="231F20"/>
                <w:spacing w:val="-2"/>
                <w:sz w:val="14"/>
              </w:rPr>
              <w:t xml:space="preserve"> </w:t>
            </w:r>
            <w:r>
              <w:rPr>
                <w:color w:val="231F20"/>
                <w:sz w:val="14"/>
              </w:rPr>
              <w:t>информације.</w:t>
            </w:r>
          </w:p>
          <w:p w:rsidR="00041039" w:rsidRDefault="001B26CB">
            <w:pPr>
              <w:pStyle w:val="TableParagraph"/>
              <w:numPr>
                <w:ilvl w:val="0"/>
                <w:numId w:val="1918"/>
              </w:numPr>
              <w:tabs>
                <w:tab w:val="left" w:pos="157"/>
              </w:tabs>
              <w:spacing w:line="237" w:lineRule="auto"/>
              <w:ind w:right="143" w:hanging="99"/>
              <w:rPr>
                <w:sz w:val="14"/>
              </w:rPr>
            </w:pPr>
            <w:r>
              <w:rPr>
                <w:color w:val="231F20"/>
                <w:sz w:val="14"/>
              </w:rPr>
              <w:t>Приступ информацијама­основна</w:t>
            </w:r>
            <w:r>
              <w:rPr>
                <w:color w:val="231F20"/>
                <w:spacing w:val="-16"/>
                <w:sz w:val="14"/>
              </w:rPr>
              <w:t xml:space="preserve"> </w:t>
            </w:r>
            <w:r>
              <w:rPr>
                <w:color w:val="231F20"/>
                <w:sz w:val="14"/>
              </w:rPr>
              <w:t>правила и</w:t>
            </w:r>
            <w:r>
              <w:rPr>
                <w:color w:val="231F20"/>
                <w:spacing w:val="-1"/>
                <w:sz w:val="14"/>
              </w:rPr>
              <w:t xml:space="preserve"> </w:t>
            </w:r>
            <w:r>
              <w:rPr>
                <w:color w:val="231F20"/>
                <w:sz w:val="14"/>
              </w:rPr>
              <w:t>ограничења.</w:t>
            </w:r>
          </w:p>
          <w:p w:rsidR="00041039" w:rsidRDefault="001B26CB">
            <w:pPr>
              <w:pStyle w:val="TableParagraph"/>
              <w:numPr>
                <w:ilvl w:val="0"/>
                <w:numId w:val="1918"/>
              </w:numPr>
              <w:tabs>
                <w:tab w:val="left" w:pos="157"/>
              </w:tabs>
              <w:spacing w:line="160" w:lineRule="exact"/>
              <w:ind w:right="352" w:hanging="99"/>
              <w:rPr>
                <w:sz w:val="14"/>
              </w:rPr>
            </w:pPr>
            <w:r>
              <w:rPr>
                <w:color w:val="231F20"/>
                <w:sz w:val="14"/>
              </w:rPr>
              <w:t xml:space="preserve">Заштита права на информисање­ </w:t>
            </w:r>
            <w:r>
              <w:rPr>
                <w:color w:val="231F20"/>
                <w:spacing w:val="-3"/>
                <w:sz w:val="14"/>
              </w:rPr>
              <w:t xml:space="preserve">улога </w:t>
            </w:r>
            <w:r>
              <w:rPr>
                <w:color w:val="231F20"/>
                <w:sz w:val="14"/>
              </w:rPr>
              <w:t>повереника.</w:t>
            </w:r>
          </w:p>
          <w:p w:rsidR="00041039" w:rsidRDefault="001B26CB">
            <w:pPr>
              <w:pStyle w:val="TableParagraph"/>
              <w:numPr>
                <w:ilvl w:val="0"/>
                <w:numId w:val="1918"/>
              </w:numPr>
              <w:tabs>
                <w:tab w:val="left" w:pos="157"/>
              </w:tabs>
              <w:spacing w:line="160" w:lineRule="exact"/>
              <w:ind w:right="147" w:hanging="99"/>
              <w:rPr>
                <w:sz w:val="14"/>
              </w:rPr>
            </w:pPr>
            <w:r>
              <w:rPr>
                <w:color w:val="231F20"/>
                <w:sz w:val="14"/>
              </w:rPr>
              <w:t>Процедура подношења захтева за</w:t>
            </w:r>
            <w:r>
              <w:rPr>
                <w:color w:val="231F20"/>
                <w:spacing w:val="-25"/>
                <w:sz w:val="14"/>
              </w:rPr>
              <w:t xml:space="preserve"> </w:t>
            </w:r>
            <w:r>
              <w:rPr>
                <w:color w:val="231F20"/>
                <w:sz w:val="14"/>
              </w:rPr>
              <w:t>приступ информацијама.</w:t>
            </w:r>
          </w:p>
          <w:p w:rsidR="00041039" w:rsidRDefault="001B26CB">
            <w:pPr>
              <w:pStyle w:val="TableParagraph"/>
              <w:numPr>
                <w:ilvl w:val="0"/>
                <w:numId w:val="1918"/>
              </w:numPr>
              <w:tabs>
                <w:tab w:val="left" w:pos="157"/>
              </w:tabs>
              <w:spacing w:line="160" w:lineRule="exact"/>
              <w:ind w:right="319" w:hanging="99"/>
              <w:rPr>
                <w:sz w:val="14"/>
              </w:rPr>
            </w:pPr>
            <w:r>
              <w:rPr>
                <w:color w:val="231F20"/>
                <w:sz w:val="14"/>
              </w:rPr>
              <w:t>Медији као извор</w:t>
            </w:r>
            <w:r>
              <w:rPr>
                <w:color w:val="231F20"/>
                <w:spacing w:val="-18"/>
                <w:sz w:val="14"/>
              </w:rPr>
              <w:t xml:space="preserve"> </w:t>
            </w:r>
            <w:r>
              <w:rPr>
                <w:color w:val="231F20"/>
                <w:sz w:val="14"/>
              </w:rPr>
              <w:t>информација­питање веродостојности.</w:t>
            </w:r>
          </w:p>
          <w:p w:rsidR="00041039" w:rsidRDefault="001B26CB">
            <w:pPr>
              <w:pStyle w:val="TableParagraph"/>
              <w:numPr>
                <w:ilvl w:val="0"/>
                <w:numId w:val="1918"/>
              </w:numPr>
              <w:tabs>
                <w:tab w:val="left" w:pos="157"/>
              </w:tabs>
              <w:spacing w:line="153" w:lineRule="exact"/>
              <w:ind w:hanging="99"/>
              <w:rPr>
                <w:sz w:val="14"/>
              </w:rPr>
            </w:pPr>
            <w:r>
              <w:rPr>
                <w:color w:val="231F20"/>
                <w:sz w:val="14"/>
              </w:rPr>
              <w:t>Разумевање и тумачење медијских</w:t>
            </w:r>
            <w:r>
              <w:rPr>
                <w:color w:val="231F20"/>
                <w:spacing w:val="-14"/>
                <w:sz w:val="14"/>
              </w:rPr>
              <w:t xml:space="preserve"> </w:t>
            </w:r>
            <w:r>
              <w:rPr>
                <w:color w:val="231F20"/>
                <w:sz w:val="14"/>
              </w:rPr>
              <w:t>порука</w:t>
            </w:r>
          </w:p>
          <w:p w:rsidR="00041039" w:rsidRDefault="001B26CB">
            <w:pPr>
              <w:pStyle w:val="TableParagraph"/>
              <w:numPr>
                <w:ilvl w:val="0"/>
                <w:numId w:val="1918"/>
              </w:numPr>
              <w:tabs>
                <w:tab w:val="left" w:pos="157"/>
              </w:tabs>
              <w:spacing w:line="160" w:lineRule="exact"/>
              <w:ind w:hanging="99"/>
              <w:rPr>
                <w:sz w:val="14"/>
              </w:rPr>
            </w:pPr>
            <w:r>
              <w:rPr>
                <w:color w:val="231F20"/>
                <w:sz w:val="14"/>
              </w:rPr>
              <w:t>Механизми медијске</w:t>
            </w:r>
            <w:r>
              <w:rPr>
                <w:color w:val="231F20"/>
                <w:spacing w:val="-4"/>
                <w:sz w:val="14"/>
              </w:rPr>
              <w:t xml:space="preserve"> </w:t>
            </w:r>
            <w:r>
              <w:rPr>
                <w:color w:val="231F20"/>
                <w:sz w:val="14"/>
              </w:rPr>
              <w:t>манипулације.</w:t>
            </w:r>
          </w:p>
          <w:p w:rsidR="00041039" w:rsidRDefault="001B26CB">
            <w:pPr>
              <w:pStyle w:val="TableParagraph"/>
              <w:numPr>
                <w:ilvl w:val="0"/>
                <w:numId w:val="1918"/>
              </w:numPr>
              <w:tabs>
                <w:tab w:val="left" w:pos="157"/>
              </w:tabs>
              <w:spacing w:line="237" w:lineRule="auto"/>
              <w:ind w:right="318" w:hanging="99"/>
              <w:rPr>
                <w:sz w:val="14"/>
              </w:rPr>
            </w:pPr>
            <w:r>
              <w:rPr>
                <w:color w:val="231F20"/>
                <w:sz w:val="14"/>
              </w:rPr>
              <w:t>Утицај тачке гледишта на</w:t>
            </w:r>
            <w:r>
              <w:rPr>
                <w:color w:val="231F20"/>
                <w:spacing w:val="-23"/>
                <w:sz w:val="14"/>
              </w:rPr>
              <w:t xml:space="preserve"> </w:t>
            </w:r>
            <w:r>
              <w:rPr>
                <w:color w:val="231F20"/>
                <w:sz w:val="14"/>
              </w:rPr>
              <w:t>објективност информација.</w:t>
            </w:r>
          </w:p>
          <w:p w:rsidR="00041039" w:rsidRDefault="001B26CB">
            <w:pPr>
              <w:pStyle w:val="TableParagraph"/>
              <w:numPr>
                <w:ilvl w:val="0"/>
                <w:numId w:val="1918"/>
              </w:numPr>
              <w:tabs>
                <w:tab w:val="left" w:pos="157"/>
              </w:tabs>
              <w:spacing w:line="160" w:lineRule="exact"/>
              <w:ind w:right="153" w:hanging="99"/>
              <w:rPr>
                <w:sz w:val="14"/>
              </w:rPr>
            </w:pPr>
            <w:r>
              <w:rPr>
                <w:color w:val="231F20"/>
                <w:sz w:val="14"/>
              </w:rPr>
              <w:t>Селекција информација: објективност</w:t>
            </w:r>
            <w:r>
              <w:rPr>
                <w:color w:val="231F20"/>
                <w:spacing w:val="-9"/>
                <w:sz w:val="14"/>
              </w:rPr>
              <w:t xml:space="preserve"> </w:t>
            </w:r>
            <w:r>
              <w:rPr>
                <w:color w:val="231F20"/>
                <w:sz w:val="14"/>
              </w:rPr>
              <w:t>као одговорност.</w:t>
            </w:r>
          </w:p>
        </w:tc>
        <w:tc>
          <w:tcPr>
            <w:tcW w:w="2267" w:type="dxa"/>
            <w:vMerge w:val="restart"/>
          </w:tcPr>
          <w:p w:rsidR="00041039" w:rsidRDefault="001B26CB">
            <w:pPr>
              <w:pStyle w:val="TableParagraph"/>
              <w:numPr>
                <w:ilvl w:val="0"/>
                <w:numId w:val="1917"/>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w:t>
            </w:r>
            <w:r>
              <w:rPr>
                <w:color w:val="231F20"/>
                <w:sz w:val="14"/>
              </w:rPr>
              <w:t>деће облике наставе:</w:t>
            </w:r>
          </w:p>
          <w:p w:rsidR="00041039" w:rsidRDefault="001B26CB">
            <w:pPr>
              <w:pStyle w:val="TableParagraph"/>
              <w:numPr>
                <w:ilvl w:val="0"/>
                <w:numId w:val="1917"/>
              </w:numPr>
              <w:tabs>
                <w:tab w:val="left" w:pos="158"/>
              </w:tabs>
              <w:spacing w:line="160" w:lineRule="exact"/>
              <w:ind w:hanging="99"/>
              <w:rPr>
                <w:b/>
                <w:sz w:val="14"/>
              </w:rPr>
            </w:pPr>
            <w:r>
              <w:rPr>
                <w:color w:val="231F20"/>
                <w:sz w:val="14"/>
              </w:rPr>
              <w:t xml:space="preserve">теоријска настава </w:t>
            </w:r>
            <w:r>
              <w:rPr>
                <w:b/>
                <w:color w:val="231F20"/>
                <w:sz w:val="14"/>
              </w:rPr>
              <w:t>(32</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91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917"/>
              </w:numPr>
              <w:tabs>
                <w:tab w:val="left" w:pos="158"/>
              </w:tabs>
              <w:spacing w:before="1" w:line="160" w:lineRule="exact"/>
              <w:ind w:right="260" w:hanging="99"/>
              <w:rPr>
                <w:sz w:val="14"/>
              </w:rPr>
            </w:pPr>
            <w:r>
              <w:rPr>
                <w:color w:val="231F20"/>
                <w:sz w:val="14"/>
              </w:rPr>
              <w:t>Реализација програма треба да се одвија у складу са принци­ пима активне, проблемске</w:t>
            </w:r>
            <w:r>
              <w:rPr>
                <w:color w:val="231F20"/>
                <w:spacing w:val="-10"/>
                <w:sz w:val="14"/>
              </w:rPr>
              <w:t xml:space="preserve"> </w:t>
            </w:r>
            <w:r>
              <w:rPr>
                <w:color w:val="231F20"/>
                <w:sz w:val="14"/>
              </w:rPr>
              <w:t>и</w:t>
            </w:r>
          </w:p>
          <w:p w:rsidR="00041039" w:rsidRDefault="001B26CB">
            <w:pPr>
              <w:pStyle w:val="TableParagraph"/>
              <w:spacing w:line="237" w:lineRule="auto"/>
              <w:ind w:left="157"/>
              <w:rPr>
                <w:sz w:val="14"/>
              </w:rPr>
            </w:pPr>
            <w:r>
              <w:rPr>
                <w:color w:val="231F20"/>
                <w:sz w:val="14"/>
              </w:rPr>
              <w:t>истраживачке наставе са сталним рефлексијама на одговарајуће појаве из друштвеног контекста прошлости и садашњости.</w:t>
            </w:r>
          </w:p>
          <w:p w:rsidR="00041039" w:rsidRDefault="001B26CB">
            <w:pPr>
              <w:pStyle w:val="TableParagraph"/>
              <w:numPr>
                <w:ilvl w:val="0"/>
                <w:numId w:val="1917"/>
              </w:numPr>
              <w:tabs>
                <w:tab w:val="left" w:pos="158"/>
              </w:tabs>
              <w:spacing w:line="237" w:lineRule="auto"/>
              <w:ind w:right="162" w:hanging="99"/>
              <w:rPr>
                <w:sz w:val="14"/>
              </w:rPr>
            </w:pPr>
            <w:r>
              <w:rPr>
                <w:color w:val="231F20"/>
                <w:sz w:val="14"/>
              </w:rPr>
              <w:t>Квалитет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p w:rsidR="00041039" w:rsidRDefault="001B26CB">
            <w:pPr>
              <w:pStyle w:val="TableParagraph"/>
              <w:numPr>
                <w:ilvl w:val="0"/>
                <w:numId w:val="1917"/>
              </w:numPr>
              <w:tabs>
                <w:tab w:val="left" w:pos="158"/>
              </w:tabs>
              <w:spacing w:line="237" w:lineRule="auto"/>
              <w:ind w:right="196" w:hanging="99"/>
              <w:rPr>
                <w:sz w:val="14"/>
              </w:rPr>
            </w:pPr>
            <w:r>
              <w:rPr>
                <w:color w:val="231F20"/>
                <w:sz w:val="14"/>
              </w:rPr>
              <w:t>Добар индикатор успешне на­ ставе је способност ученика да адекватно примењују стечена знања и вештине и да у прак</w:t>
            </w:r>
            <w:r>
              <w:rPr>
                <w:color w:val="231F20"/>
                <w:sz w:val="14"/>
              </w:rPr>
              <w:t>си изражавају ставове и вредности демократског</w:t>
            </w:r>
            <w:r>
              <w:rPr>
                <w:color w:val="231F20"/>
                <w:spacing w:val="-1"/>
                <w:sz w:val="14"/>
              </w:rPr>
              <w:t xml:space="preserve"> </w:t>
            </w:r>
            <w:r>
              <w:rPr>
                <w:color w:val="231F20"/>
                <w:sz w:val="14"/>
              </w:rPr>
              <w:t>друштва.</w:t>
            </w:r>
          </w:p>
        </w:tc>
      </w:tr>
      <w:tr w:rsidR="00041039">
        <w:trPr>
          <w:trHeight w:val="2550"/>
        </w:trPr>
        <w:tc>
          <w:tcPr>
            <w:tcW w:w="1304" w:type="dxa"/>
          </w:tcPr>
          <w:p w:rsidR="00041039" w:rsidRDefault="001B26CB">
            <w:pPr>
              <w:pStyle w:val="TableParagraph"/>
              <w:spacing w:before="20"/>
              <w:ind w:left="56" w:right="83"/>
              <w:rPr>
                <w:sz w:val="14"/>
              </w:rPr>
            </w:pPr>
            <w:r>
              <w:rPr>
                <w:color w:val="231F20"/>
                <w:sz w:val="14"/>
              </w:rPr>
              <w:t>Свет професио­ налног образовања и рада</w:t>
            </w:r>
          </w:p>
        </w:tc>
        <w:tc>
          <w:tcPr>
            <w:tcW w:w="1587" w:type="dxa"/>
          </w:tcPr>
          <w:p w:rsidR="00041039" w:rsidRDefault="001B26CB">
            <w:pPr>
              <w:pStyle w:val="TableParagraph"/>
              <w:numPr>
                <w:ilvl w:val="0"/>
                <w:numId w:val="1916"/>
              </w:numPr>
              <w:tabs>
                <w:tab w:val="left" w:pos="157"/>
              </w:tabs>
              <w:spacing w:before="10"/>
              <w:ind w:right="65"/>
              <w:rPr>
                <w:sz w:val="14"/>
              </w:rPr>
            </w:pPr>
            <w:r>
              <w:rPr>
                <w:color w:val="231F20"/>
                <w:sz w:val="14"/>
              </w:rPr>
              <w:t>Разумевање</w:t>
            </w:r>
            <w:r>
              <w:rPr>
                <w:color w:val="231F20"/>
                <w:spacing w:val="-7"/>
                <w:sz w:val="14"/>
              </w:rPr>
              <w:t xml:space="preserve"> </w:t>
            </w:r>
            <w:r>
              <w:rPr>
                <w:color w:val="231F20"/>
                <w:sz w:val="14"/>
              </w:rPr>
              <w:t>важности­ дефинисањапрофе­ сионалних циљеваи планирање</w:t>
            </w:r>
            <w:r>
              <w:rPr>
                <w:color w:val="231F20"/>
                <w:spacing w:val="-4"/>
                <w:sz w:val="14"/>
              </w:rPr>
              <w:t xml:space="preserve"> </w:t>
            </w:r>
            <w:r>
              <w:rPr>
                <w:color w:val="231F20"/>
                <w:sz w:val="14"/>
              </w:rPr>
              <w:t>каријере.</w:t>
            </w:r>
          </w:p>
          <w:p w:rsidR="00041039" w:rsidRDefault="001B26CB">
            <w:pPr>
              <w:pStyle w:val="TableParagraph"/>
              <w:numPr>
                <w:ilvl w:val="0"/>
                <w:numId w:val="1916"/>
              </w:numPr>
              <w:tabs>
                <w:tab w:val="left" w:pos="157"/>
              </w:tabs>
              <w:spacing w:line="156" w:lineRule="exact"/>
              <w:rPr>
                <w:sz w:val="14"/>
              </w:rPr>
            </w:pPr>
            <w:r>
              <w:rPr>
                <w:color w:val="231F20"/>
                <w:sz w:val="14"/>
              </w:rPr>
              <w:t>Развијање</w:t>
            </w:r>
            <w:r>
              <w:rPr>
                <w:color w:val="231F20"/>
                <w:spacing w:val="-2"/>
                <w:sz w:val="14"/>
              </w:rPr>
              <w:t xml:space="preserve"> </w:t>
            </w:r>
            <w:r>
              <w:rPr>
                <w:color w:val="231F20"/>
                <w:sz w:val="14"/>
              </w:rPr>
              <w:t>вештине</w:t>
            </w:r>
          </w:p>
          <w:p w:rsidR="00041039" w:rsidRDefault="001B26CB">
            <w:pPr>
              <w:pStyle w:val="TableParagraph"/>
              <w:ind w:right="103"/>
              <w:rPr>
                <w:sz w:val="14"/>
              </w:rPr>
            </w:pPr>
            <w:r>
              <w:rPr>
                <w:color w:val="231F20"/>
                <w:sz w:val="14"/>
              </w:rPr>
              <w:t>тражењаинформација значајних запрофе­ сионалнообразовање иукључивање у свет рада.</w:t>
            </w:r>
          </w:p>
          <w:p w:rsidR="00041039" w:rsidRDefault="001B26CB">
            <w:pPr>
              <w:pStyle w:val="TableParagraph"/>
              <w:numPr>
                <w:ilvl w:val="0"/>
                <w:numId w:val="1916"/>
              </w:numPr>
              <w:tabs>
                <w:tab w:val="left" w:pos="157"/>
              </w:tabs>
              <w:spacing w:line="156" w:lineRule="exact"/>
              <w:rPr>
                <w:sz w:val="14"/>
              </w:rPr>
            </w:pPr>
            <w:r>
              <w:rPr>
                <w:color w:val="231F20"/>
                <w:sz w:val="14"/>
              </w:rPr>
              <w:t>Оснаживање</w:t>
            </w:r>
            <w:r>
              <w:rPr>
                <w:color w:val="231F20"/>
                <w:spacing w:val="-3"/>
                <w:sz w:val="14"/>
              </w:rPr>
              <w:t xml:space="preserve"> </w:t>
            </w:r>
            <w:r>
              <w:rPr>
                <w:color w:val="231F20"/>
                <w:sz w:val="14"/>
              </w:rPr>
              <w:t>ученика</w:t>
            </w:r>
          </w:p>
          <w:p w:rsidR="00041039" w:rsidRDefault="001B26CB">
            <w:pPr>
              <w:pStyle w:val="TableParagraph"/>
              <w:ind w:right="81"/>
              <w:rPr>
                <w:sz w:val="14"/>
              </w:rPr>
            </w:pPr>
            <w:r>
              <w:rPr>
                <w:color w:val="231F20"/>
                <w:sz w:val="14"/>
              </w:rPr>
              <w:t>да постављајуциљеве личног развоја ипла­ нирају свој професио­ нални развој.</w:t>
            </w:r>
          </w:p>
        </w:tc>
        <w:tc>
          <w:tcPr>
            <w:tcW w:w="2551" w:type="dxa"/>
          </w:tcPr>
          <w:p w:rsidR="00041039" w:rsidRDefault="001B26CB">
            <w:pPr>
              <w:pStyle w:val="TableParagraph"/>
              <w:numPr>
                <w:ilvl w:val="0"/>
                <w:numId w:val="1915"/>
              </w:numPr>
              <w:tabs>
                <w:tab w:val="left" w:pos="157"/>
              </w:tabs>
              <w:spacing w:before="10"/>
              <w:ind w:right="198" w:hanging="99"/>
              <w:rPr>
                <w:sz w:val="14"/>
              </w:rPr>
            </w:pPr>
            <w:r>
              <w:rPr>
                <w:color w:val="231F20"/>
                <w:sz w:val="14"/>
              </w:rPr>
              <w:t>разуме значај поштовања</w:t>
            </w:r>
            <w:r>
              <w:rPr>
                <w:color w:val="231F20"/>
                <w:spacing w:val="-20"/>
                <w:sz w:val="14"/>
              </w:rPr>
              <w:t xml:space="preserve"> </w:t>
            </w:r>
            <w:r>
              <w:rPr>
                <w:color w:val="231F20"/>
                <w:sz w:val="14"/>
              </w:rPr>
              <w:t>социјално­ економских</w:t>
            </w:r>
            <w:r>
              <w:rPr>
                <w:color w:val="231F20"/>
                <w:spacing w:val="-1"/>
                <w:sz w:val="14"/>
              </w:rPr>
              <w:t xml:space="preserve"> </w:t>
            </w:r>
            <w:r>
              <w:rPr>
                <w:color w:val="231F20"/>
                <w:sz w:val="14"/>
              </w:rPr>
              <w:t>права;</w:t>
            </w:r>
          </w:p>
          <w:p w:rsidR="00041039" w:rsidRDefault="001B26CB">
            <w:pPr>
              <w:pStyle w:val="TableParagraph"/>
              <w:numPr>
                <w:ilvl w:val="0"/>
                <w:numId w:val="1915"/>
              </w:numPr>
              <w:tabs>
                <w:tab w:val="left" w:pos="157"/>
              </w:tabs>
              <w:spacing w:line="160" w:lineRule="exact"/>
              <w:ind w:right="429" w:hanging="99"/>
              <w:rPr>
                <w:sz w:val="14"/>
              </w:rPr>
            </w:pPr>
            <w:r>
              <w:rPr>
                <w:color w:val="231F20"/>
                <w:sz w:val="14"/>
              </w:rPr>
              <w:t>поставља циљеве личног ра</w:t>
            </w:r>
            <w:r>
              <w:rPr>
                <w:color w:val="231F20"/>
                <w:sz w:val="14"/>
              </w:rPr>
              <w:t>звоја ипланира свој</w:t>
            </w:r>
            <w:r>
              <w:rPr>
                <w:color w:val="231F20"/>
                <w:spacing w:val="-2"/>
                <w:sz w:val="14"/>
              </w:rPr>
              <w:t xml:space="preserve"> </w:t>
            </w:r>
            <w:r>
              <w:rPr>
                <w:color w:val="231F20"/>
                <w:sz w:val="14"/>
              </w:rPr>
              <w:t>развој;</w:t>
            </w:r>
          </w:p>
          <w:p w:rsidR="00041039" w:rsidRDefault="001B26CB">
            <w:pPr>
              <w:pStyle w:val="TableParagraph"/>
              <w:numPr>
                <w:ilvl w:val="0"/>
                <w:numId w:val="1915"/>
              </w:numPr>
              <w:tabs>
                <w:tab w:val="left" w:pos="157"/>
              </w:tabs>
              <w:spacing w:line="160" w:lineRule="exact"/>
              <w:ind w:right="211" w:hanging="99"/>
              <w:rPr>
                <w:sz w:val="14"/>
              </w:rPr>
            </w:pPr>
            <w:r>
              <w:rPr>
                <w:color w:val="231F20"/>
                <w:sz w:val="14"/>
              </w:rPr>
              <w:t>анализира сопствене способности, особине и вештине значајне за</w:t>
            </w:r>
            <w:r>
              <w:rPr>
                <w:color w:val="231F20"/>
                <w:spacing w:val="-9"/>
                <w:sz w:val="14"/>
              </w:rPr>
              <w:t xml:space="preserve"> </w:t>
            </w:r>
            <w:r>
              <w:rPr>
                <w:color w:val="231F20"/>
                <w:sz w:val="14"/>
              </w:rPr>
              <w:t>даљи професионални</w:t>
            </w:r>
            <w:r>
              <w:rPr>
                <w:color w:val="231F20"/>
                <w:spacing w:val="-2"/>
                <w:sz w:val="14"/>
              </w:rPr>
              <w:t xml:space="preserve"> </w:t>
            </w:r>
            <w:r>
              <w:rPr>
                <w:color w:val="231F20"/>
                <w:sz w:val="14"/>
              </w:rPr>
              <w:t>развој;</w:t>
            </w:r>
          </w:p>
          <w:p w:rsidR="00041039" w:rsidRDefault="001B26CB">
            <w:pPr>
              <w:pStyle w:val="TableParagraph"/>
              <w:numPr>
                <w:ilvl w:val="0"/>
                <w:numId w:val="1915"/>
              </w:numPr>
              <w:tabs>
                <w:tab w:val="left" w:pos="157"/>
              </w:tabs>
              <w:spacing w:line="160" w:lineRule="exact"/>
              <w:ind w:right="160" w:hanging="99"/>
              <w:rPr>
                <w:sz w:val="14"/>
              </w:rPr>
            </w:pPr>
            <w:r>
              <w:rPr>
                <w:color w:val="231F20"/>
                <w:sz w:val="14"/>
              </w:rPr>
              <w:t>активно тражи информације</w:t>
            </w:r>
            <w:r>
              <w:rPr>
                <w:color w:val="231F20"/>
                <w:spacing w:val="-19"/>
                <w:sz w:val="14"/>
              </w:rPr>
              <w:t xml:space="preserve"> </w:t>
            </w:r>
            <w:r>
              <w:rPr>
                <w:color w:val="231F20"/>
                <w:sz w:val="14"/>
              </w:rPr>
              <w:t>значајне за даљи професионални</w:t>
            </w:r>
            <w:r>
              <w:rPr>
                <w:color w:val="231F20"/>
                <w:spacing w:val="-3"/>
                <w:sz w:val="14"/>
              </w:rPr>
              <w:t xml:space="preserve"> </w:t>
            </w:r>
            <w:r>
              <w:rPr>
                <w:color w:val="231F20"/>
                <w:sz w:val="14"/>
              </w:rPr>
              <w:t>развој;</w:t>
            </w:r>
          </w:p>
          <w:p w:rsidR="00041039" w:rsidRDefault="001B26CB">
            <w:pPr>
              <w:pStyle w:val="TableParagraph"/>
              <w:numPr>
                <w:ilvl w:val="0"/>
                <w:numId w:val="1915"/>
              </w:numPr>
              <w:tabs>
                <w:tab w:val="left" w:pos="157"/>
              </w:tabs>
              <w:spacing w:line="153" w:lineRule="exact"/>
              <w:ind w:hanging="99"/>
              <w:rPr>
                <w:sz w:val="14"/>
              </w:rPr>
            </w:pPr>
            <w:r>
              <w:rPr>
                <w:color w:val="231F20"/>
                <w:sz w:val="14"/>
              </w:rPr>
              <w:t>напише личну радну</w:t>
            </w:r>
            <w:r>
              <w:rPr>
                <w:color w:val="231F20"/>
                <w:spacing w:val="-5"/>
                <w:sz w:val="14"/>
              </w:rPr>
              <w:t xml:space="preserve"> </w:t>
            </w:r>
            <w:r>
              <w:rPr>
                <w:color w:val="231F20"/>
                <w:sz w:val="14"/>
              </w:rPr>
              <w:t>биографију;</w:t>
            </w:r>
          </w:p>
          <w:p w:rsidR="00041039" w:rsidRDefault="001B26CB">
            <w:pPr>
              <w:pStyle w:val="TableParagraph"/>
              <w:numPr>
                <w:ilvl w:val="0"/>
                <w:numId w:val="1915"/>
              </w:numPr>
              <w:tabs>
                <w:tab w:val="left" w:pos="157"/>
              </w:tabs>
              <w:spacing w:line="237" w:lineRule="auto"/>
              <w:ind w:right="102" w:hanging="99"/>
              <w:rPr>
                <w:sz w:val="14"/>
              </w:rPr>
            </w:pPr>
            <w:r>
              <w:rPr>
                <w:color w:val="231F20"/>
                <w:sz w:val="14"/>
              </w:rPr>
              <w:t>представи своје личне</w:t>
            </w:r>
            <w:r>
              <w:rPr>
                <w:color w:val="231F20"/>
                <w:spacing w:val="-17"/>
                <w:sz w:val="14"/>
              </w:rPr>
              <w:t xml:space="preserve"> </w:t>
            </w:r>
            <w:r>
              <w:rPr>
                <w:color w:val="231F20"/>
                <w:sz w:val="14"/>
              </w:rPr>
              <w:t>карактеристике приликом разговора са</w:t>
            </w:r>
            <w:r>
              <w:rPr>
                <w:color w:val="231F20"/>
                <w:spacing w:val="-13"/>
                <w:sz w:val="14"/>
              </w:rPr>
              <w:t xml:space="preserve"> </w:t>
            </w:r>
            <w:r>
              <w:rPr>
                <w:color w:val="231F20"/>
                <w:sz w:val="14"/>
              </w:rPr>
              <w:t>послодавцем;</w:t>
            </w:r>
          </w:p>
        </w:tc>
        <w:tc>
          <w:tcPr>
            <w:tcW w:w="2834" w:type="dxa"/>
          </w:tcPr>
          <w:p w:rsidR="00041039" w:rsidRDefault="001B26CB">
            <w:pPr>
              <w:pStyle w:val="TableParagraph"/>
              <w:numPr>
                <w:ilvl w:val="0"/>
                <w:numId w:val="1914"/>
              </w:numPr>
              <w:tabs>
                <w:tab w:val="left" w:pos="157"/>
              </w:tabs>
              <w:spacing w:before="10" w:line="166" w:lineRule="exact"/>
              <w:ind w:hanging="99"/>
              <w:rPr>
                <w:sz w:val="14"/>
              </w:rPr>
            </w:pPr>
            <w:r>
              <w:rPr>
                <w:color w:val="231F20"/>
                <w:sz w:val="14"/>
              </w:rPr>
              <w:t>Планирање каријере и улазак у свет</w:t>
            </w:r>
            <w:r>
              <w:rPr>
                <w:color w:val="231F20"/>
                <w:spacing w:val="-14"/>
                <w:sz w:val="14"/>
              </w:rPr>
              <w:t xml:space="preserve"> </w:t>
            </w:r>
            <w:r>
              <w:rPr>
                <w:color w:val="231F20"/>
                <w:sz w:val="14"/>
              </w:rPr>
              <w:t>рада.</w:t>
            </w:r>
          </w:p>
          <w:p w:rsidR="00041039" w:rsidRDefault="001B26CB">
            <w:pPr>
              <w:pStyle w:val="TableParagraph"/>
              <w:numPr>
                <w:ilvl w:val="0"/>
                <w:numId w:val="1914"/>
              </w:numPr>
              <w:tabs>
                <w:tab w:val="left" w:pos="157"/>
              </w:tabs>
              <w:spacing w:line="237" w:lineRule="auto"/>
              <w:ind w:right="70" w:hanging="99"/>
              <w:rPr>
                <w:sz w:val="14"/>
              </w:rPr>
            </w:pPr>
            <w:r>
              <w:rPr>
                <w:color w:val="231F20"/>
                <w:sz w:val="14"/>
              </w:rPr>
              <w:t xml:space="preserve">Само процена и вештина представљањаличних карактеристика </w:t>
            </w:r>
            <w:r>
              <w:rPr>
                <w:color w:val="231F20"/>
                <w:spacing w:val="-3"/>
                <w:sz w:val="14"/>
              </w:rPr>
              <w:t xml:space="preserve">од </w:t>
            </w:r>
            <w:r>
              <w:rPr>
                <w:color w:val="231F20"/>
                <w:sz w:val="14"/>
              </w:rPr>
              <w:t>значаја за даље професионално</w:t>
            </w:r>
            <w:r>
              <w:rPr>
                <w:color w:val="231F20"/>
                <w:spacing w:val="-15"/>
                <w:sz w:val="14"/>
              </w:rPr>
              <w:t xml:space="preserve"> </w:t>
            </w:r>
            <w:r>
              <w:rPr>
                <w:color w:val="231F20"/>
                <w:sz w:val="14"/>
              </w:rPr>
              <w:t>образовање и</w:t>
            </w:r>
            <w:r>
              <w:rPr>
                <w:color w:val="231F20"/>
                <w:spacing w:val="-1"/>
                <w:sz w:val="14"/>
              </w:rPr>
              <w:t xml:space="preserve"> </w:t>
            </w:r>
            <w:r>
              <w:rPr>
                <w:color w:val="231F20"/>
                <w:sz w:val="14"/>
              </w:rPr>
              <w:t>рад.</w:t>
            </w:r>
          </w:p>
          <w:p w:rsidR="00041039" w:rsidRDefault="001B26CB">
            <w:pPr>
              <w:pStyle w:val="TableParagraph"/>
              <w:numPr>
                <w:ilvl w:val="0"/>
                <w:numId w:val="1914"/>
              </w:numPr>
              <w:tabs>
                <w:tab w:val="left" w:pos="157"/>
              </w:tabs>
              <w:spacing w:line="157" w:lineRule="exact"/>
              <w:ind w:hanging="99"/>
              <w:rPr>
                <w:sz w:val="14"/>
              </w:rPr>
            </w:pPr>
            <w:r>
              <w:rPr>
                <w:color w:val="231F20"/>
                <w:sz w:val="14"/>
              </w:rPr>
              <w:t>Разговор са</w:t>
            </w:r>
            <w:r>
              <w:rPr>
                <w:color w:val="231F20"/>
                <w:spacing w:val="-1"/>
                <w:sz w:val="14"/>
              </w:rPr>
              <w:t xml:space="preserve"> </w:t>
            </w:r>
            <w:r>
              <w:rPr>
                <w:color w:val="231F20"/>
                <w:sz w:val="14"/>
              </w:rPr>
              <w:t>послодавцем.</w:t>
            </w:r>
          </w:p>
          <w:p w:rsidR="00041039" w:rsidRDefault="001B26CB">
            <w:pPr>
              <w:pStyle w:val="TableParagraph"/>
              <w:numPr>
                <w:ilvl w:val="0"/>
                <w:numId w:val="1914"/>
              </w:numPr>
              <w:tabs>
                <w:tab w:val="left" w:pos="157"/>
              </w:tabs>
              <w:spacing w:line="237" w:lineRule="auto"/>
              <w:ind w:right="103" w:hanging="99"/>
              <w:rPr>
                <w:sz w:val="14"/>
              </w:rPr>
            </w:pPr>
            <w:r>
              <w:rPr>
                <w:color w:val="231F20"/>
                <w:sz w:val="14"/>
              </w:rPr>
              <w:t>Тражење</w:t>
            </w:r>
            <w:r>
              <w:rPr>
                <w:color w:val="231F20"/>
                <w:spacing w:val="-7"/>
                <w:sz w:val="14"/>
              </w:rPr>
              <w:t xml:space="preserve"> </w:t>
            </w:r>
            <w:r>
              <w:rPr>
                <w:color w:val="231F20"/>
                <w:sz w:val="14"/>
              </w:rPr>
              <w:t>информација</w:t>
            </w:r>
            <w:r>
              <w:rPr>
                <w:color w:val="231F20"/>
                <w:spacing w:val="-7"/>
                <w:sz w:val="14"/>
              </w:rPr>
              <w:t xml:space="preserve"> </w:t>
            </w:r>
            <w:r>
              <w:rPr>
                <w:color w:val="231F20"/>
                <w:sz w:val="14"/>
              </w:rPr>
              <w:t>значајних</w:t>
            </w:r>
            <w:r>
              <w:rPr>
                <w:color w:val="231F20"/>
                <w:spacing w:val="-7"/>
                <w:sz w:val="14"/>
              </w:rPr>
              <w:t xml:space="preserve"> </w:t>
            </w:r>
            <w:r>
              <w:rPr>
                <w:color w:val="231F20"/>
                <w:sz w:val="14"/>
              </w:rPr>
              <w:t>за</w:t>
            </w:r>
            <w:r>
              <w:rPr>
                <w:color w:val="231F20"/>
                <w:spacing w:val="-8"/>
                <w:sz w:val="14"/>
              </w:rPr>
              <w:t xml:space="preserve"> </w:t>
            </w:r>
            <w:r>
              <w:rPr>
                <w:color w:val="231F20"/>
                <w:sz w:val="14"/>
              </w:rPr>
              <w:t>профе­ сионално образовање и тражење</w:t>
            </w:r>
            <w:r>
              <w:rPr>
                <w:color w:val="231F20"/>
                <w:spacing w:val="-4"/>
                <w:sz w:val="14"/>
              </w:rPr>
              <w:t xml:space="preserve"> </w:t>
            </w:r>
            <w:r>
              <w:rPr>
                <w:color w:val="231F20"/>
                <w:sz w:val="14"/>
              </w:rPr>
              <w:t>посла.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6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1913"/>
              </w:numPr>
              <w:tabs>
                <w:tab w:val="left" w:pos="158"/>
              </w:tabs>
              <w:spacing w:before="8"/>
              <w:ind w:right="55"/>
              <w:rPr>
                <w:sz w:val="14"/>
              </w:rPr>
            </w:pPr>
            <w:r>
              <w:rPr>
                <w:color w:val="231F20"/>
                <w:sz w:val="14"/>
              </w:rPr>
              <w:t xml:space="preserve">Наставник треба дапружинеоп­ </w:t>
            </w:r>
            <w:r>
              <w:rPr>
                <w:color w:val="231F20"/>
                <w:spacing w:val="-3"/>
                <w:sz w:val="14"/>
              </w:rPr>
              <w:t xml:space="preserve">ходну </w:t>
            </w:r>
            <w:r>
              <w:rPr>
                <w:color w:val="231F20"/>
                <w:sz w:val="14"/>
              </w:rPr>
              <w:t xml:space="preserve">помоћ и подршкуученици­ </w:t>
            </w:r>
            <w:r>
              <w:rPr>
                <w:color w:val="231F20"/>
                <w:spacing w:val="-3"/>
                <w:sz w:val="14"/>
              </w:rPr>
              <w:t xml:space="preserve">мау </w:t>
            </w:r>
            <w:r>
              <w:rPr>
                <w:color w:val="231F20"/>
                <w:sz w:val="14"/>
              </w:rPr>
              <w:t>припреми и реализацији ак­ тивности, а заједно са групом да обезбеди повратну информацију</w:t>
            </w:r>
            <w:r>
              <w:rPr>
                <w:color w:val="231F20"/>
                <w:spacing w:val="-21"/>
                <w:sz w:val="14"/>
              </w:rPr>
              <w:t xml:space="preserve"> </w:t>
            </w:r>
            <w:r>
              <w:rPr>
                <w:color w:val="231F20"/>
                <w:sz w:val="14"/>
              </w:rPr>
              <w:t>о њеној</w:t>
            </w:r>
            <w:r>
              <w:rPr>
                <w:color w:val="231F20"/>
                <w:spacing w:val="-2"/>
                <w:sz w:val="14"/>
              </w:rPr>
              <w:t xml:space="preserve"> </w:t>
            </w:r>
            <w:r>
              <w:rPr>
                <w:color w:val="231F20"/>
                <w:sz w:val="14"/>
              </w:rPr>
              <w:t>успешности.</w:t>
            </w:r>
          </w:p>
          <w:p w:rsidR="00041039" w:rsidRDefault="001B26CB">
            <w:pPr>
              <w:pStyle w:val="TableParagraph"/>
              <w:numPr>
                <w:ilvl w:val="0"/>
                <w:numId w:val="1913"/>
              </w:numPr>
              <w:tabs>
                <w:tab w:val="left" w:pos="158"/>
              </w:tabs>
              <w:spacing w:line="154" w:lineRule="exact"/>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ученичких актив­ ности и особа која даје повратну информацију.</w:t>
            </w:r>
          </w:p>
          <w:p w:rsidR="00041039" w:rsidRDefault="001B26CB">
            <w:pPr>
              <w:pStyle w:val="TableParagraph"/>
              <w:numPr>
                <w:ilvl w:val="0"/>
                <w:numId w:val="1913"/>
              </w:numPr>
              <w:tabs>
                <w:tab w:val="left" w:pos="158"/>
              </w:tabs>
              <w:spacing w:line="157" w:lineRule="exact"/>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1913"/>
              </w:numPr>
              <w:tabs>
                <w:tab w:val="left" w:pos="158"/>
              </w:tabs>
              <w:spacing w:line="237" w:lineRule="auto"/>
              <w:ind w:right="105"/>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w:t>
            </w:r>
            <w:r>
              <w:rPr>
                <w:color w:val="231F20"/>
                <w:spacing w:val="-11"/>
                <w:sz w:val="14"/>
              </w:rPr>
              <w:t xml:space="preserve"> </w:t>
            </w:r>
            <w:r>
              <w:rPr>
                <w:color w:val="231F20"/>
                <w:sz w:val="14"/>
              </w:rPr>
              <w:t>15–20 ученика.</w:t>
            </w:r>
          </w:p>
          <w:p w:rsidR="00041039" w:rsidRDefault="00041039">
            <w:pPr>
              <w:pStyle w:val="TableParagraph"/>
              <w:ind w:left="0"/>
              <w:rPr>
                <w:b/>
                <w:sz w:val="13"/>
              </w:rPr>
            </w:pPr>
          </w:p>
          <w:p w:rsidR="00041039" w:rsidRDefault="001B26CB">
            <w:pPr>
              <w:pStyle w:val="TableParagraph"/>
              <w:spacing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1913"/>
              </w:numPr>
              <w:tabs>
                <w:tab w:val="left" w:pos="158"/>
              </w:tabs>
              <w:spacing w:line="160" w:lineRule="exact"/>
              <w:rPr>
                <w:sz w:val="14"/>
              </w:rPr>
            </w:pPr>
            <w:r>
              <w:rPr>
                <w:color w:val="231F20"/>
                <w:sz w:val="14"/>
              </w:rPr>
              <w:t>праћење оствареност</w:t>
            </w:r>
            <w:r>
              <w:rPr>
                <w:color w:val="231F20"/>
                <w:sz w:val="14"/>
              </w:rPr>
              <w:t>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before="1"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913"/>
              </w:numPr>
              <w:tabs>
                <w:tab w:val="left" w:pos="158"/>
              </w:tabs>
              <w:spacing w:line="160" w:lineRule="exact"/>
              <w:rPr>
                <w:b/>
                <w:sz w:val="14"/>
              </w:rPr>
            </w:pPr>
            <w:r>
              <w:rPr>
                <w:color w:val="231F20"/>
                <w:sz w:val="14"/>
              </w:rPr>
              <w:t xml:space="preserve">Свет информација </w:t>
            </w:r>
            <w:r>
              <w:rPr>
                <w:b/>
                <w:color w:val="231F20"/>
                <w:sz w:val="14"/>
              </w:rPr>
              <w:t>(16</w:t>
            </w:r>
            <w:r>
              <w:rPr>
                <w:b/>
                <w:color w:val="231F20"/>
                <w:spacing w:val="-6"/>
                <w:sz w:val="14"/>
              </w:rPr>
              <w:t xml:space="preserve"> </w:t>
            </w:r>
            <w:r>
              <w:rPr>
                <w:b/>
                <w:color w:val="231F20"/>
                <w:sz w:val="14"/>
              </w:rPr>
              <w:t>часова)</w:t>
            </w:r>
          </w:p>
          <w:p w:rsidR="00041039" w:rsidRDefault="001B26CB">
            <w:pPr>
              <w:pStyle w:val="TableParagraph"/>
              <w:numPr>
                <w:ilvl w:val="0"/>
                <w:numId w:val="1913"/>
              </w:numPr>
              <w:tabs>
                <w:tab w:val="left" w:pos="158"/>
              </w:tabs>
              <w:spacing w:line="237" w:lineRule="auto"/>
              <w:ind w:right="69"/>
              <w:rPr>
                <w:b/>
                <w:sz w:val="14"/>
              </w:rPr>
            </w:pPr>
            <w:r>
              <w:rPr>
                <w:color w:val="231F20"/>
                <w:sz w:val="14"/>
              </w:rPr>
              <w:t xml:space="preserve">Свет професионалног образовања и рада </w:t>
            </w:r>
            <w:r>
              <w:rPr>
                <w:b/>
                <w:color w:val="231F20"/>
                <w:sz w:val="14"/>
              </w:rPr>
              <w:t>(16</w:t>
            </w:r>
            <w:r>
              <w:rPr>
                <w:b/>
                <w:color w:val="231F20"/>
                <w:spacing w:val="-2"/>
                <w:sz w:val="14"/>
              </w:rPr>
              <w:t xml:space="preserve"> </w:t>
            </w:r>
            <w:r>
              <w:rPr>
                <w:b/>
                <w:color w:val="231F20"/>
                <w:sz w:val="14"/>
              </w:rPr>
              <w:t>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Историја</w:t>
      </w:r>
    </w:p>
    <w:p w:rsidR="00041039" w:rsidRDefault="001B26CB">
      <w:pPr>
        <w:pStyle w:val="ListParagraph"/>
        <w:numPr>
          <w:ilvl w:val="0"/>
          <w:numId w:val="3"/>
        </w:numPr>
        <w:tabs>
          <w:tab w:val="left" w:pos="633"/>
        </w:tabs>
        <w:spacing w:line="203" w:lineRule="exact"/>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3"/>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840"/>
        </w:trPr>
        <w:tc>
          <w:tcPr>
            <w:tcW w:w="1304" w:type="dxa"/>
          </w:tcPr>
          <w:p w:rsidR="00041039" w:rsidRDefault="001B26CB">
            <w:pPr>
              <w:pStyle w:val="TableParagraph"/>
              <w:spacing w:before="18"/>
              <w:ind w:left="56" w:right="37"/>
              <w:rPr>
                <w:sz w:val="14"/>
              </w:rPr>
            </w:pPr>
            <w:r>
              <w:rPr>
                <w:color w:val="231F20"/>
                <w:sz w:val="14"/>
              </w:rPr>
              <w:t>Хришћанство је црква (заједнички литургијски живот као израз вере у Бога)</w:t>
            </w:r>
          </w:p>
        </w:tc>
        <w:tc>
          <w:tcPr>
            <w:tcW w:w="1587" w:type="dxa"/>
          </w:tcPr>
          <w:p w:rsidR="00041039" w:rsidRDefault="001B26CB">
            <w:pPr>
              <w:pStyle w:val="TableParagraph"/>
              <w:numPr>
                <w:ilvl w:val="0"/>
                <w:numId w:val="1912"/>
              </w:numPr>
              <w:tabs>
                <w:tab w:val="left" w:pos="157"/>
              </w:tabs>
              <w:spacing w:before="8"/>
              <w:ind w:right="44"/>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томе да је хришћанство црква тј. конкретна</w:t>
            </w:r>
            <w:r>
              <w:rPr>
                <w:color w:val="231F20"/>
                <w:spacing w:val="-19"/>
                <w:sz w:val="14"/>
              </w:rPr>
              <w:t xml:space="preserve"> </w:t>
            </w:r>
            <w:r>
              <w:rPr>
                <w:color w:val="231F20"/>
                <w:sz w:val="14"/>
              </w:rPr>
              <w:t>ли­ тургијска</w:t>
            </w:r>
            <w:r>
              <w:rPr>
                <w:color w:val="231F20"/>
                <w:spacing w:val="-2"/>
                <w:sz w:val="14"/>
              </w:rPr>
              <w:t xml:space="preserve"> </w:t>
            </w:r>
            <w:r>
              <w:rPr>
                <w:color w:val="231F20"/>
                <w:sz w:val="14"/>
              </w:rPr>
              <w:t>заједница.</w:t>
            </w:r>
          </w:p>
        </w:tc>
        <w:tc>
          <w:tcPr>
            <w:tcW w:w="2551" w:type="dxa"/>
          </w:tcPr>
          <w:p w:rsidR="00041039" w:rsidRDefault="001B26CB">
            <w:pPr>
              <w:pStyle w:val="TableParagraph"/>
              <w:numPr>
                <w:ilvl w:val="0"/>
                <w:numId w:val="1911"/>
              </w:numPr>
              <w:tabs>
                <w:tab w:val="left" w:pos="157"/>
              </w:tabs>
              <w:spacing w:before="8"/>
              <w:ind w:right="240" w:hanging="99"/>
              <w:rPr>
                <w:sz w:val="14"/>
              </w:rPr>
            </w:pPr>
            <w:r>
              <w:rPr>
                <w:color w:val="231F20"/>
                <w:sz w:val="14"/>
              </w:rPr>
              <w:t>спознају да је хришћанство живот</w:t>
            </w:r>
            <w:r>
              <w:rPr>
                <w:color w:val="231F20"/>
                <w:spacing w:val="-5"/>
                <w:sz w:val="14"/>
              </w:rPr>
              <w:t xml:space="preserve"> </w:t>
            </w:r>
            <w:r>
              <w:rPr>
                <w:color w:val="231F20"/>
                <w:sz w:val="14"/>
              </w:rPr>
              <w:t>у литургијској</w:t>
            </w:r>
            <w:r>
              <w:rPr>
                <w:color w:val="231F20"/>
                <w:spacing w:val="-1"/>
                <w:sz w:val="14"/>
              </w:rPr>
              <w:t xml:space="preserve"> </w:t>
            </w:r>
            <w:r>
              <w:rPr>
                <w:color w:val="231F20"/>
                <w:sz w:val="14"/>
              </w:rPr>
              <w:t>заједници;</w:t>
            </w:r>
          </w:p>
        </w:tc>
        <w:tc>
          <w:tcPr>
            <w:tcW w:w="2834" w:type="dxa"/>
          </w:tcPr>
          <w:p w:rsidR="00041039" w:rsidRDefault="001B26CB">
            <w:pPr>
              <w:pStyle w:val="TableParagraph"/>
              <w:numPr>
                <w:ilvl w:val="0"/>
                <w:numId w:val="1910"/>
              </w:numPr>
              <w:tabs>
                <w:tab w:val="left" w:pos="157"/>
              </w:tabs>
              <w:spacing w:before="8" w:line="166" w:lineRule="exact"/>
              <w:ind w:hanging="99"/>
              <w:rPr>
                <w:sz w:val="14"/>
              </w:rPr>
            </w:pPr>
            <w:r>
              <w:rPr>
                <w:color w:val="231F20"/>
                <w:sz w:val="14"/>
              </w:rPr>
              <w:t>Хришћанство ­ Црква као</w:t>
            </w:r>
            <w:r>
              <w:rPr>
                <w:color w:val="231F20"/>
                <w:spacing w:val="-5"/>
                <w:sz w:val="14"/>
              </w:rPr>
              <w:t xml:space="preserve"> </w:t>
            </w:r>
            <w:r>
              <w:rPr>
                <w:color w:val="231F20"/>
                <w:sz w:val="14"/>
              </w:rPr>
              <w:t>заједница.</w:t>
            </w:r>
          </w:p>
          <w:p w:rsidR="00041039" w:rsidRDefault="001B26CB">
            <w:pPr>
              <w:pStyle w:val="TableParagraph"/>
              <w:numPr>
                <w:ilvl w:val="0"/>
                <w:numId w:val="1910"/>
              </w:numPr>
              <w:tabs>
                <w:tab w:val="left" w:pos="157"/>
              </w:tabs>
              <w:spacing w:line="160" w:lineRule="exact"/>
              <w:ind w:hanging="99"/>
              <w:rPr>
                <w:sz w:val="14"/>
              </w:rPr>
            </w:pPr>
            <w:r>
              <w:rPr>
                <w:color w:val="231F20"/>
                <w:sz w:val="14"/>
              </w:rPr>
              <w:t>Христос ­ Посредник између Бога и</w:t>
            </w:r>
            <w:r>
              <w:rPr>
                <w:color w:val="231F20"/>
                <w:spacing w:val="-8"/>
                <w:sz w:val="14"/>
              </w:rPr>
              <w:t xml:space="preserve"> </w:t>
            </w:r>
            <w:r>
              <w:rPr>
                <w:color w:val="231F20"/>
                <w:sz w:val="14"/>
              </w:rPr>
              <w:t>света.</w:t>
            </w:r>
          </w:p>
          <w:p w:rsidR="00041039" w:rsidRDefault="001B26CB">
            <w:pPr>
              <w:pStyle w:val="TableParagraph"/>
              <w:numPr>
                <w:ilvl w:val="0"/>
                <w:numId w:val="1910"/>
              </w:numPr>
              <w:tabs>
                <w:tab w:val="left" w:pos="157"/>
              </w:tabs>
              <w:spacing w:line="166" w:lineRule="exact"/>
              <w:ind w:hanging="99"/>
              <w:rPr>
                <w:sz w:val="14"/>
              </w:rPr>
            </w:pPr>
            <w:r>
              <w:rPr>
                <w:color w:val="231F20"/>
                <w:sz w:val="14"/>
              </w:rPr>
              <w:t>Света Литургија ­ присутни</w:t>
            </w:r>
            <w:r>
              <w:rPr>
                <w:color w:val="231F20"/>
                <w:spacing w:val="-4"/>
                <w:sz w:val="14"/>
              </w:rPr>
              <w:t xml:space="preserve"> </w:t>
            </w:r>
            <w:r>
              <w:rPr>
                <w:color w:val="231F20"/>
                <w:sz w:val="14"/>
              </w:rPr>
              <w:t>Христос.</w:t>
            </w:r>
          </w:p>
        </w:tc>
        <w:tc>
          <w:tcPr>
            <w:tcW w:w="2267" w:type="dxa"/>
            <w:vMerge w:val="restart"/>
            <w:tcBorders>
              <w:bottom w:val="nil"/>
            </w:tcBorders>
          </w:tcPr>
          <w:p w:rsidR="00041039" w:rsidRDefault="001B26CB">
            <w:pPr>
              <w:pStyle w:val="TableParagraph"/>
              <w:numPr>
                <w:ilvl w:val="0"/>
                <w:numId w:val="1909"/>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909"/>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tc>
      </w:tr>
      <w:tr w:rsidR="00041039">
        <w:trPr>
          <w:trHeight w:val="686"/>
        </w:trPr>
        <w:tc>
          <w:tcPr>
            <w:tcW w:w="1304" w:type="dxa"/>
            <w:tcBorders>
              <w:bottom w:val="nil"/>
            </w:tcBorders>
          </w:tcPr>
          <w:p w:rsidR="00041039" w:rsidRDefault="001B26CB">
            <w:pPr>
              <w:pStyle w:val="TableParagraph"/>
              <w:spacing w:before="19"/>
              <w:ind w:left="56" w:right="334"/>
              <w:rPr>
                <w:sz w:val="14"/>
              </w:rPr>
            </w:pPr>
            <w:r>
              <w:rPr>
                <w:color w:val="231F20"/>
                <w:sz w:val="14"/>
              </w:rPr>
              <w:t>Појам о Богу у Хришћанству</w:t>
            </w:r>
          </w:p>
        </w:tc>
        <w:tc>
          <w:tcPr>
            <w:tcW w:w="1587" w:type="dxa"/>
            <w:vMerge w:val="restart"/>
          </w:tcPr>
          <w:p w:rsidR="00041039" w:rsidRDefault="001B26CB">
            <w:pPr>
              <w:pStyle w:val="TableParagraph"/>
              <w:numPr>
                <w:ilvl w:val="0"/>
                <w:numId w:val="1908"/>
              </w:numPr>
              <w:tabs>
                <w:tab w:val="left" w:pos="157"/>
              </w:tabs>
              <w:spacing w:before="9"/>
              <w:ind w:right="95"/>
              <w:rPr>
                <w:sz w:val="14"/>
              </w:rPr>
            </w:pPr>
            <w:r>
              <w:rPr>
                <w:color w:val="231F20"/>
                <w:sz w:val="14"/>
              </w:rPr>
              <w:t>Да се ученицима скрене пажња да је појам личности кључ­ ни појам без кога се хришћанство не може разумети.</w:t>
            </w:r>
          </w:p>
        </w:tc>
        <w:tc>
          <w:tcPr>
            <w:tcW w:w="2551" w:type="dxa"/>
            <w:vMerge w:val="restart"/>
          </w:tcPr>
          <w:p w:rsidR="00041039" w:rsidRDefault="001B26CB">
            <w:pPr>
              <w:pStyle w:val="TableParagraph"/>
              <w:numPr>
                <w:ilvl w:val="0"/>
                <w:numId w:val="1907"/>
              </w:numPr>
              <w:tabs>
                <w:tab w:val="left" w:pos="157"/>
              </w:tabs>
              <w:spacing w:before="9"/>
              <w:ind w:right="350" w:hanging="99"/>
              <w:rPr>
                <w:sz w:val="14"/>
              </w:rPr>
            </w:pPr>
            <w:r>
              <w:rPr>
                <w:color w:val="231F20"/>
                <w:sz w:val="14"/>
              </w:rPr>
              <w:t>уоче да је појам личности</w:t>
            </w:r>
            <w:r>
              <w:rPr>
                <w:color w:val="231F20"/>
                <w:spacing w:val="-13"/>
                <w:sz w:val="14"/>
              </w:rPr>
              <w:t xml:space="preserve"> </w:t>
            </w:r>
            <w:r>
              <w:rPr>
                <w:color w:val="231F20"/>
                <w:sz w:val="14"/>
              </w:rPr>
              <w:t>кључни појам разумевања учења о Богу и људима;</w:t>
            </w:r>
          </w:p>
        </w:tc>
        <w:tc>
          <w:tcPr>
            <w:tcW w:w="2834" w:type="dxa"/>
            <w:tcBorders>
              <w:bottom w:val="nil"/>
            </w:tcBorders>
          </w:tcPr>
          <w:p w:rsidR="00041039" w:rsidRDefault="001B26CB">
            <w:pPr>
              <w:pStyle w:val="TableParagraph"/>
              <w:numPr>
                <w:ilvl w:val="0"/>
                <w:numId w:val="1906"/>
              </w:numPr>
              <w:tabs>
                <w:tab w:val="left" w:pos="157"/>
              </w:tabs>
              <w:spacing w:before="9" w:line="166" w:lineRule="exact"/>
              <w:ind w:hanging="99"/>
              <w:rPr>
                <w:sz w:val="14"/>
              </w:rPr>
            </w:pPr>
            <w:r>
              <w:rPr>
                <w:color w:val="231F20"/>
                <w:sz w:val="14"/>
              </w:rPr>
              <w:t>Вера и</w:t>
            </w:r>
            <w:r>
              <w:rPr>
                <w:color w:val="231F20"/>
                <w:spacing w:val="-2"/>
                <w:sz w:val="14"/>
              </w:rPr>
              <w:t xml:space="preserve"> </w:t>
            </w:r>
            <w:r>
              <w:rPr>
                <w:color w:val="231F20"/>
                <w:sz w:val="14"/>
              </w:rPr>
              <w:t>атеизам.</w:t>
            </w:r>
          </w:p>
          <w:p w:rsidR="00041039" w:rsidRDefault="001B26CB">
            <w:pPr>
              <w:pStyle w:val="TableParagraph"/>
              <w:numPr>
                <w:ilvl w:val="0"/>
                <w:numId w:val="1906"/>
              </w:numPr>
              <w:tabs>
                <w:tab w:val="left" w:pos="157"/>
              </w:tabs>
              <w:spacing w:line="166" w:lineRule="exact"/>
              <w:ind w:hanging="99"/>
              <w:rPr>
                <w:sz w:val="14"/>
              </w:rPr>
            </w:pPr>
            <w:r>
              <w:rPr>
                <w:color w:val="231F20"/>
                <w:sz w:val="14"/>
              </w:rPr>
              <w:t>Проблем</w:t>
            </w:r>
            <w:r>
              <w:rPr>
                <w:color w:val="231F20"/>
                <w:spacing w:val="-2"/>
                <w:sz w:val="14"/>
              </w:rPr>
              <w:t xml:space="preserve"> </w:t>
            </w:r>
            <w:r>
              <w:rPr>
                <w:color w:val="231F20"/>
                <w:sz w:val="14"/>
              </w:rPr>
              <w:t>сазнања.</w:t>
            </w:r>
          </w:p>
        </w:tc>
        <w:tc>
          <w:tcPr>
            <w:tcW w:w="2267" w:type="dxa"/>
            <w:vMerge/>
            <w:tcBorders>
              <w:top w:val="nil"/>
              <w:bottom w:val="nil"/>
            </w:tcBorders>
          </w:tcPr>
          <w:p w:rsidR="00041039" w:rsidRDefault="00041039">
            <w:pPr>
              <w:rPr>
                <w:sz w:val="2"/>
                <w:szCs w:val="2"/>
              </w:rPr>
            </w:pPr>
          </w:p>
        </w:tc>
      </w:tr>
      <w:tr w:rsidR="00041039">
        <w:trPr>
          <w:trHeight w:val="30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vMerge w:val="restart"/>
            <w:tcBorders>
              <w:top w:val="nil"/>
              <w:bottom w:val="nil"/>
            </w:tcBorders>
          </w:tcPr>
          <w:p w:rsidR="00041039" w:rsidRDefault="001B26CB">
            <w:pPr>
              <w:pStyle w:val="TableParagraph"/>
              <w:spacing w:before="7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numPr>
                <w:ilvl w:val="0"/>
                <w:numId w:val="1905"/>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r w:rsidR="00041039">
        <w:trPr>
          <w:trHeight w:val="796"/>
        </w:trPr>
        <w:tc>
          <w:tcPr>
            <w:tcW w:w="1304" w:type="dxa"/>
            <w:tcBorders>
              <w:bottom w:val="nil"/>
            </w:tcBorders>
          </w:tcPr>
          <w:p w:rsidR="00041039" w:rsidRDefault="001B26CB">
            <w:pPr>
              <w:pStyle w:val="TableParagraph"/>
              <w:spacing w:before="19"/>
              <w:ind w:left="56" w:right="87"/>
              <w:rPr>
                <w:sz w:val="14"/>
              </w:rPr>
            </w:pPr>
            <w:r>
              <w:rPr>
                <w:color w:val="231F20"/>
                <w:sz w:val="14"/>
              </w:rPr>
              <w:t>Познање Бога кроз Христау цркви</w:t>
            </w:r>
          </w:p>
        </w:tc>
        <w:tc>
          <w:tcPr>
            <w:tcW w:w="1587" w:type="dxa"/>
            <w:vMerge w:val="restart"/>
          </w:tcPr>
          <w:p w:rsidR="00041039" w:rsidRDefault="001B26CB">
            <w:pPr>
              <w:pStyle w:val="TableParagraph"/>
              <w:numPr>
                <w:ilvl w:val="0"/>
                <w:numId w:val="1904"/>
              </w:numPr>
              <w:tabs>
                <w:tab w:val="left" w:pos="157"/>
              </w:tabs>
              <w:spacing w:before="10" w:line="237" w:lineRule="auto"/>
              <w:ind w:right="64"/>
              <w:rPr>
                <w:sz w:val="14"/>
              </w:rPr>
            </w:pPr>
            <w:r>
              <w:rPr>
                <w:color w:val="231F20"/>
                <w:sz w:val="14"/>
              </w:rPr>
              <w:t>Да је крштење као израз вере у Бога неопходан услов за сједињење са</w:t>
            </w:r>
            <w:r>
              <w:rPr>
                <w:color w:val="231F20"/>
                <w:spacing w:val="-9"/>
                <w:sz w:val="14"/>
              </w:rPr>
              <w:t xml:space="preserve"> </w:t>
            </w:r>
            <w:r>
              <w:rPr>
                <w:color w:val="231F20"/>
                <w:sz w:val="14"/>
              </w:rPr>
              <w:t>Христом и улазак у литургију, да се рукоположењем конституише литур­ гијска</w:t>
            </w:r>
            <w:r>
              <w:rPr>
                <w:color w:val="231F20"/>
                <w:spacing w:val="-2"/>
                <w:sz w:val="14"/>
              </w:rPr>
              <w:t xml:space="preserve"> </w:t>
            </w:r>
            <w:r>
              <w:rPr>
                <w:color w:val="231F20"/>
                <w:sz w:val="14"/>
              </w:rPr>
              <w:t>заједница.</w:t>
            </w:r>
          </w:p>
        </w:tc>
        <w:tc>
          <w:tcPr>
            <w:tcW w:w="2551" w:type="dxa"/>
            <w:vMerge w:val="restart"/>
          </w:tcPr>
          <w:p w:rsidR="00041039" w:rsidRDefault="001B26CB">
            <w:pPr>
              <w:pStyle w:val="TableParagraph"/>
              <w:numPr>
                <w:ilvl w:val="0"/>
                <w:numId w:val="1903"/>
              </w:numPr>
              <w:tabs>
                <w:tab w:val="left" w:pos="157"/>
              </w:tabs>
              <w:spacing w:before="9"/>
              <w:ind w:right="116" w:hanging="99"/>
              <w:rPr>
                <w:sz w:val="14"/>
              </w:rPr>
            </w:pPr>
            <w:r>
              <w:rPr>
                <w:color w:val="231F20"/>
                <w:sz w:val="14"/>
              </w:rPr>
              <w:t>науче да је Бог личност и да се само у заједници личности</w:t>
            </w:r>
            <w:r>
              <w:rPr>
                <w:color w:val="231F20"/>
                <w:spacing w:val="-2"/>
                <w:sz w:val="14"/>
              </w:rPr>
              <w:t xml:space="preserve"> </w:t>
            </w:r>
            <w:r>
              <w:rPr>
                <w:color w:val="231F20"/>
                <w:sz w:val="14"/>
              </w:rPr>
              <w:t>открива;</w:t>
            </w:r>
          </w:p>
        </w:tc>
        <w:tc>
          <w:tcPr>
            <w:tcW w:w="2834" w:type="dxa"/>
            <w:tcBorders>
              <w:bottom w:val="nil"/>
            </w:tcBorders>
          </w:tcPr>
          <w:p w:rsidR="00041039" w:rsidRDefault="001B26CB">
            <w:pPr>
              <w:pStyle w:val="TableParagraph"/>
              <w:numPr>
                <w:ilvl w:val="0"/>
                <w:numId w:val="1902"/>
              </w:numPr>
              <w:tabs>
                <w:tab w:val="left" w:pos="158"/>
              </w:tabs>
              <w:spacing w:before="9" w:line="166" w:lineRule="exact"/>
              <w:rPr>
                <w:sz w:val="14"/>
              </w:rPr>
            </w:pPr>
            <w:r>
              <w:rPr>
                <w:color w:val="231F20"/>
                <w:sz w:val="14"/>
              </w:rPr>
              <w:t>Познање Бога кроз Исуса</w:t>
            </w:r>
            <w:r>
              <w:rPr>
                <w:color w:val="231F20"/>
                <w:spacing w:val="-5"/>
                <w:sz w:val="14"/>
              </w:rPr>
              <w:t xml:space="preserve"> </w:t>
            </w:r>
            <w:r>
              <w:rPr>
                <w:color w:val="231F20"/>
                <w:sz w:val="14"/>
              </w:rPr>
              <w:t>Христа.</w:t>
            </w:r>
          </w:p>
          <w:p w:rsidR="00041039" w:rsidRDefault="001B26CB">
            <w:pPr>
              <w:pStyle w:val="TableParagraph"/>
              <w:numPr>
                <w:ilvl w:val="0"/>
                <w:numId w:val="1902"/>
              </w:numPr>
              <w:tabs>
                <w:tab w:val="left" w:pos="158"/>
              </w:tabs>
              <w:spacing w:line="166" w:lineRule="exact"/>
              <w:rPr>
                <w:sz w:val="14"/>
              </w:rPr>
            </w:pPr>
            <w:r>
              <w:rPr>
                <w:color w:val="231F20"/>
                <w:sz w:val="14"/>
              </w:rPr>
              <w:t>Литургијско­подвижничко искуство</w:t>
            </w:r>
            <w:r>
              <w:rPr>
                <w:color w:val="231F20"/>
                <w:spacing w:val="-9"/>
                <w:sz w:val="14"/>
              </w:rPr>
              <w:t xml:space="preserve"> </w:t>
            </w:r>
            <w:r>
              <w:rPr>
                <w:color w:val="231F20"/>
                <w:sz w:val="14"/>
              </w:rPr>
              <w:t>вере.</w:t>
            </w:r>
          </w:p>
        </w:tc>
        <w:tc>
          <w:tcPr>
            <w:tcW w:w="2267" w:type="dxa"/>
            <w:vMerge/>
            <w:tcBorders>
              <w:top w:val="nil"/>
              <w:bottom w:val="nil"/>
            </w:tcBorders>
          </w:tcPr>
          <w:p w:rsidR="00041039" w:rsidRDefault="00041039">
            <w:pPr>
              <w:rPr>
                <w:sz w:val="2"/>
                <w:szCs w:val="2"/>
              </w:rPr>
            </w:pPr>
          </w:p>
        </w:tc>
      </w:tr>
      <w:tr w:rsidR="00041039">
        <w:trPr>
          <w:trHeight w:val="514"/>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bottom w:val="nil"/>
            </w:tcBorders>
          </w:tcPr>
          <w:p w:rsidR="00041039" w:rsidRDefault="001B26CB">
            <w:pPr>
              <w:pStyle w:val="TableParagraph"/>
              <w:spacing w:before="71"/>
              <w:ind w:left="58"/>
              <w:rPr>
                <w:b/>
                <w:sz w:val="14"/>
              </w:rPr>
            </w:pPr>
            <w:r>
              <w:rPr>
                <w:b/>
                <w:color w:val="231F20"/>
                <w:sz w:val="14"/>
              </w:rPr>
              <w:t>Препоруке за реализацију садр- жаја програма</w:t>
            </w:r>
          </w:p>
        </w:tc>
      </w:tr>
      <w:tr w:rsidR="00041039">
        <w:trPr>
          <w:trHeight w:val="746"/>
        </w:trPr>
        <w:tc>
          <w:tcPr>
            <w:tcW w:w="1304" w:type="dxa"/>
            <w:tcBorders>
              <w:bottom w:val="nil"/>
            </w:tcBorders>
          </w:tcPr>
          <w:p w:rsidR="00041039" w:rsidRDefault="001B26CB">
            <w:pPr>
              <w:pStyle w:val="TableParagraph"/>
              <w:spacing w:before="19"/>
              <w:ind w:left="57"/>
              <w:rPr>
                <w:sz w:val="14"/>
              </w:rPr>
            </w:pPr>
            <w:r>
              <w:rPr>
                <w:color w:val="231F20"/>
                <w:sz w:val="14"/>
              </w:rPr>
              <w:t>Крштење и руко­ положење као сје­ дињење са Христом у литургији</w:t>
            </w:r>
          </w:p>
        </w:tc>
        <w:tc>
          <w:tcPr>
            <w:tcW w:w="1587" w:type="dxa"/>
            <w:vMerge w:val="restart"/>
          </w:tcPr>
          <w:p w:rsidR="00041039" w:rsidRDefault="001B26CB">
            <w:pPr>
              <w:pStyle w:val="TableParagraph"/>
              <w:numPr>
                <w:ilvl w:val="0"/>
                <w:numId w:val="1901"/>
              </w:numPr>
              <w:tabs>
                <w:tab w:val="left" w:pos="157"/>
              </w:tabs>
              <w:spacing w:before="9"/>
              <w:ind w:right="174" w:hanging="99"/>
              <w:rPr>
                <w:sz w:val="14"/>
              </w:rPr>
            </w:pPr>
            <w:r>
              <w:rPr>
                <w:color w:val="231F20"/>
                <w:sz w:val="14"/>
              </w:rPr>
              <w:t>Да ученици схвате да је Бог биће заједнице, с обзиром да је заједница три комплетне</w:t>
            </w:r>
            <w:r>
              <w:rPr>
                <w:color w:val="231F20"/>
                <w:spacing w:val="-12"/>
                <w:sz w:val="14"/>
              </w:rPr>
              <w:t xml:space="preserve"> </w:t>
            </w:r>
            <w:r>
              <w:rPr>
                <w:color w:val="231F20"/>
                <w:sz w:val="14"/>
              </w:rPr>
              <w:t>Личности</w:t>
            </w:r>
          </w:p>
          <w:p w:rsidR="00041039" w:rsidRDefault="001B26CB">
            <w:pPr>
              <w:pStyle w:val="TableParagraph"/>
              <w:numPr>
                <w:ilvl w:val="0"/>
                <w:numId w:val="1901"/>
              </w:numPr>
              <w:tabs>
                <w:tab w:val="left" w:pos="157"/>
              </w:tabs>
              <w:spacing w:line="155" w:lineRule="exact"/>
              <w:ind w:hanging="99"/>
              <w:rPr>
                <w:sz w:val="14"/>
              </w:rPr>
            </w:pPr>
            <w:r>
              <w:rPr>
                <w:color w:val="231F20"/>
                <w:sz w:val="14"/>
              </w:rPr>
              <w:t>Да ученици</w:t>
            </w:r>
            <w:r>
              <w:rPr>
                <w:color w:val="231F20"/>
                <w:spacing w:val="-12"/>
                <w:sz w:val="14"/>
              </w:rPr>
              <w:t xml:space="preserve"> </w:t>
            </w:r>
            <w:r>
              <w:rPr>
                <w:color w:val="231F20"/>
                <w:sz w:val="14"/>
              </w:rPr>
              <w:t>схвате</w:t>
            </w:r>
          </w:p>
          <w:p w:rsidR="00041039" w:rsidRDefault="001B26CB">
            <w:pPr>
              <w:pStyle w:val="TableParagraph"/>
              <w:ind w:right="71"/>
              <w:rPr>
                <w:sz w:val="14"/>
              </w:rPr>
            </w:pPr>
            <w:r>
              <w:rPr>
                <w:color w:val="231F20"/>
                <w:sz w:val="14"/>
              </w:rPr>
              <w:t>да је Црква икона Царства Божијег, које је права истина света.</w:t>
            </w:r>
          </w:p>
        </w:tc>
        <w:tc>
          <w:tcPr>
            <w:tcW w:w="2551" w:type="dxa"/>
            <w:vMerge w:val="restart"/>
          </w:tcPr>
          <w:p w:rsidR="00041039" w:rsidRDefault="001B26CB">
            <w:pPr>
              <w:pStyle w:val="TableParagraph"/>
              <w:numPr>
                <w:ilvl w:val="0"/>
                <w:numId w:val="1900"/>
              </w:numPr>
              <w:tabs>
                <w:tab w:val="left" w:pos="157"/>
              </w:tabs>
              <w:spacing w:before="9"/>
              <w:ind w:right="145" w:hanging="99"/>
              <w:rPr>
                <w:sz w:val="14"/>
              </w:rPr>
            </w:pPr>
            <w:r>
              <w:rPr>
                <w:color w:val="231F20"/>
                <w:sz w:val="14"/>
              </w:rPr>
              <w:t>уоче</w:t>
            </w:r>
            <w:r>
              <w:rPr>
                <w:color w:val="231F20"/>
                <w:spacing w:val="-6"/>
                <w:sz w:val="14"/>
              </w:rPr>
              <w:t xml:space="preserve"> </w:t>
            </w:r>
            <w:r>
              <w:rPr>
                <w:color w:val="231F20"/>
                <w:sz w:val="14"/>
              </w:rPr>
              <w:t>да</w:t>
            </w:r>
            <w:r>
              <w:rPr>
                <w:color w:val="231F20"/>
                <w:spacing w:val="-6"/>
                <w:sz w:val="14"/>
              </w:rPr>
              <w:t xml:space="preserve"> </w:t>
            </w:r>
            <w:r>
              <w:rPr>
                <w:color w:val="231F20"/>
                <w:sz w:val="14"/>
              </w:rPr>
              <w:t>је</w:t>
            </w:r>
            <w:r>
              <w:rPr>
                <w:color w:val="231F20"/>
                <w:spacing w:val="-6"/>
                <w:sz w:val="14"/>
              </w:rPr>
              <w:t xml:space="preserve"> </w:t>
            </w:r>
            <w:r>
              <w:rPr>
                <w:color w:val="231F20"/>
                <w:sz w:val="14"/>
              </w:rPr>
              <w:t>подвиг</w:t>
            </w:r>
            <w:r>
              <w:rPr>
                <w:color w:val="231F20"/>
                <w:spacing w:val="-6"/>
                <w:sz w:val="14"/>
              </w:rPr>
              <w:t xml:space="preserve"> </w:t>
            </w:r>
            <w:r>
              <w:rPr>
                <w:color w:val="231F20"/>
                <w:sz w:val="14"/>
              </w:rPr>
              <w:t>неопходно</w:t>
            </w:r>
            <w:r>
              <w:rPr>
                <w:color w:val="231F20"/>
                <w:spacing w:val="-6"/>
                <w:sz w:val="14"/>
              </w:rPr>
              <w:t xml:space="preserve"> </w:t>
            </w:r>
            <w:r>
              <w:rPr>
                <w:color w:val="231F20"/>
                <w:sz w:val="14"/>
              </w:rPr>
              <w:t>средство за остваривање личне заједнице са Богом;</w:t>
            </w:r>
          </w:p>
          <w:p w:rsidR="00041039" w:rsidRDefault="001B26CB">
            <w:pPr>
              <w:pStyle w:val="TableParagraph"/>
              <w:numPr>
                <w:ilvl w:val="0"/>
                <w:numId w:val="1900"/>
              </w:numPr>
              <w:tabs>
                <w:tab w:val="left" w:pos="157"/>
              </w:tabs>
              <w:spacing w:line="158" w:lineRule="exact"/>
              <w:ind w:hanging="99"/>
              <w:rPr>
                <w:sz w:val="14"/>
              </w:rPr>
            </w:pPr>
            <w:r>
              <w:rPr>
                <w:color w:val="231F20"/>
                <w:sz w:val="14"/>
              </w:rPr>
              <w:t>уоче да је Бог особа као што смо и</w:t>
            </w:r>
            <w:r>
              <w:rPr>
                <w:color w:val="231F20"/>
                <w:spacing w:val="-12"/>
                <w:sz w:val="14"/>
              </w:rPr>
              <w:t xml:space="preserve"> </w:t>
            </w:r>
            <w:r>
              <w:rPr>
                <w:color w:val="231F20"/>
                <w:sz w:val="14"/>
              </w:rPr>
              <w:t>ми;</w:t>
            </w:r>
          </w:p>
        </w:tc>
        <w:tc>
          <w:tcPr>
            <w:tcW w:w="2834" w:type="dxa"/>
            <w:vMerge w:val="restart"/>
          </w:tcPr>
          <w:p w:rsidR="00041039" w:rsidRDefault="001B26CB">
            <w:pPr>
              <w:pStyle w:val="TableParagraph"/>
              <w:numPr>
                <w:ilvl w:val="0"/>
                <w:numId w:val="1899"/>
              </w:numPr>
              <w:tabs>
                <w:tab w:val="left" w:pos="158"/>
              </w:tabs>
              <w:spacing w:before="9"/>
              <w:ind w:right="258"/>
              <w:rPr>
                <w:sz w:val="14"/>
              </w:rPr>
            </w:pPr>
            <w:r>
              <w:rPr>
                <w:color w:val="231F20"/>
                <w:sz w:val="14"/>
              </w:rPr>
              <w:t>Лична заједница са Богом ­ основ вере</w:t>
            </w:r>
            <w:r>
              <w:rPr>
                <w:color w:val="231F20"/>
                <w:spacing w:val="-17"/>
                <w:sz w:val="14"/>
              </w:rPr>
              <w:t xml:space="preserve"> </w:t>
            </w:r>
            <w:r>
              <w:rPr>
                <w:color w:val="231F20"/>
                <w:sz w:val="14"/>
              </w:rPr>
              <w:t>у Бога.</w:t>
            </w:r>
          </w:p>
          <w:p w:rsidR="00041039" w:rsidRDefault="001B26CB">
            <w:pPr>
              <w:pStyle w:val="TableParagraph"/>
              <w:numPr>
                <w:ilvl w:val="0"/>
                <w:numId w:val="1899"/>
              </w:numPr>
              <w:tabs>
                <w:tab w:val="left" w:pos="158"/>
              </w:tabs>
              <w:spacing w:line="153" w:lineRule="exact"/>
              <w:rPr>
                <w:sz w:val="14"/>
              </w:rPr>
            </w:pPr>
            <w:r>
              <w:rPr>
                <w:color w:val="231F20"/>
                <w:sz w:val="14"/>
              </w:rPr>
              <w:t xml:space="preserve">Вера ­ знање ­ </w:t>
            </w:r>
            <w:r>
              <w:rPr>
                <w:color w:val="231F20"/>
                <w:spacing w:val="-3"/>
                <w:sz w:val="14"/>
              </w:rPr>
              <w:t>живот.</w:t>
            </w:r>
          </w:p>
          <w:p w:rsidR="00041039" w:rsidRDefault="001B26CB">
            <w:pPr>
              <w:pStyle w:val="TableParagraph"/>
              <w:numPr>
                <w:ilvl w:val="0"/>
                <w:numId w:val="1899"/>
              </w:numPr>
              <w:tabs>
                <w:tab w:val="left" w:pos="158"/>
              </w:tabs>
              <w:spacing w:line="160" w:lineRule="exact"/>
              <w:rPr>
                <w:sz w:val="14"/>
              </w:rPr>
            </w:pPr>
            <w:r>
              <w:rPr>
                <w:color w:val="231F20"/>
                <w:sz w:val="14"/>
              </w:rPr>
              <w:t>Бог као биће</w:t>
            </w:r>
            <w:r>
              <w:rPr>
                <w:color w:val="231F20"/>
                <w:spacing w:val="-2"/>
                <w:sz w:val="14"/>
              </w:rPr>
              <w:t xml:space="preserve"> </w:t>
            </w:r>
            <w:r>
              <w:rPr>
                <w:color w:val="231F20"/>
                <w:sz w:val="14"/>
              </w:rPr>
              <w:t>заједнице.</w:t>
            </w:r>
          </w:p>
          <w:p w:rsidR="00041039" w:rsidRDefault="001B26CB">
            <w:pPr>
              <w:pStyle w:val="TableParagraph"/>
              <w:numPr>
                <w:ilvl w:val="0"/>
                <w:numId w:val="1899"/>
              </w:numPr>
              <w:tabs>
                <w:tab w:val="left" w:pos="158"/>
              </w:tabs>
              <w:spacing w:line="160" w:lineRule="exact"/>
              <w:rPr>
                <w:sz w:val="14"/>
              </w:rPr>
            </w:pPr>
            <w:r>
              <w:rPr>
                <w:color w:val="231F20"/>
                <w:sz w:val="14"/>
              </w:rPr>
              <w:t>Бог као</w:t>
            </w:r>
            <w:r>
              <w:rPr>
                <w:color w:val="231F20"/>
                <w:spacing w:val="-2"/>
                <w:sz w:val="14"/>
              </w:rPr>
              <w:t xml:space="preserve"> </w:t>
            </w:r>
            <w:r>
              <w:rPr>
                <w:color w:val="231F20"/>
                <w:sz w:val="14"/>
              </w:rPr>
              <w:t>личност.</w:t>
            </w:r>
          </w:p>
          <w:p w:rsidR="00041039" w:rsidRDefault="001B26CB">
            <w:pPr>
              <w:pStyle w:val="TableParagraph"/>
              <w:numPr>
                <w:ilvl w:val="0"/>
                <w:numId w:val="1899"/>
              </w:numPr>
              <w:tabs>
                <w:tab w:val="left" w:pos="158"/>
              </w:tabs>
              <w:spacing w:line="160" w:lineRule="exact"/>
              <w:rPr>
                <w:sz w:val="14"/>
              </w:rPr>
            </w:pPr>
            <w:r>
              <w:rPr>
                <w:color w:val="231F20"/>
                <w:sz w:val="14"/>
              </w:rPr>
              <w:t>Личност или</w:t>
            </w:r>
            <w:r>
              <w:rPr>
                <w:color w:val="231F20"/>
                <w:spacing w:val="-2"/>
                <w:sz w:val="14"/>
              </w:rPr>
              <w:t xml:space="preserve"> </w:t>
            </w:r>
            <w:r>
              <w:rPr>
                <w:color w:val="231F20"/>
                <w:sz w:val="14"/>
              </w:rPr>
              <w:t>индивидуа?</w:t>
            </w:r>
          </w:p>
          <w:p w:rsidR="00041039" w:rsidRDefault="001B26CB">
            <w:pPr>
              <w:pStyle w:val="TableParagraph"/>
              <w:numPr>
                <w:ilvl w:val="0"/>
                <w:numId w:val="1899"/>
              </w:numPr>
              <w:tabs>
                <w:tab w:val="left" w:pos="158"/>
              </w:tabs>
              <w:spacing w:line="160" w:lineRule="exact"/>
              <w:rPr>
                <w:sz w:val="14"/>
              </w:rPr>
            </w:pPr>
            <w:r>
              <w:rPr>
                <w:color w:val="231F20"/>
                <w:sz w:val="14"/>
              </w:rPr>
              <w:t>Религија или</w:t>
            </w:r>
            <w:r>
              <w:rPr>
                <w:color w:val="231F20"/>
                <w:spacing w:val="-2"/>
                <w:sz w:val="14"/>
              </w:rPr>
              <w:t xml:space="preserve"> </w:t>
            </w:r>
            <w:r>
              <w:rPr>
                <w:color w:val="231F20"/>
                <w:sz w:val="14"/>
              </w:rPr>
              <w:t>црква?</w:t>
            </w:r>
          </w:p>
          <w:p w:rsidR="00041039" w:rsidRDefault="001B26CB">
            <w:pPr>
              <w:pStyle w:val="TableParagraph"/>
              <w:numPr>
                <w:ilvl w:val="0"/>
                <w:numId w:val="1899"/>
              </w:numPr>
              <w:tabs>
                <w:tab w:val="left" w:pos="158"/>
              </w:tabs>
              <w:spacing w:line="160" w:lineRule="exact"/>
              <w:rPr>
                <w:sz w:val="14"/>
              </w:rPr>
            </w:pPr>
            <w:r>
              <w:rPr>
                <w:color w:val="231F20"/>
                <w:sz w:val="14"/>
              </w:rPr>
              <w:t>Слобода у</w:t>
            </w:r>
            <w:r>
              <w:rPr>
                <w:color w:val="231F20"/>
                <w:spacing w:val="-1"/>
                <w:sz w:val="14"/>
              </w:rPr>
              <w:t xml:space="preserve"> </w:t>
            </w:r>
            <w:r>
              <w:rPr>
                <w:color w:val="231F20"/>
                <w:sz w:val="14"/>
              </w:rPr>
              <w:t>љубави.</w:t>
            </w:r>
          </w:p>
          <w:p w:rsidR="00041039" w:rsidRDefault="001B26CB">
            <w:pPr>
              <w:pStyle w:val="TableParagraph"/>
              <w:numPr>
                <w:ilvl w:val="0"/>
                <w:numId w:val="1899"/>
              </w:numPr>
              <w:tabs>
                <w:tab w:val="left" w:pos="158"/>
              </w:tabs>
              <w:spacing w:line="237" w:lineRule="auto"/>
              <w:ind w:right="302"/>
              <w:rPr>
                <w:sz w:val="14"/>
              </w:rPr>
            </w:pPr>
            <w:r>
              <w:rPr>
                <w:color w:val="231F20"/>
                <w:sz w:val="14"/>
              </w:rPr>
              <w:t>Црква</w:t>
            </w:r>
            <w:r>
              <w:rPr>
                <w:color w:val="231F20"/>
                <w:spacing w:val="-6"/>
                <w:sz w:val="14"/>
              </w:rPr>
              <w:t xml:space="preserve"> </w:t>
            </w:r>
            <w:r>
              <w:rPr>
                <w:color w:val="231F20"/>
                <w:sz w:val="14"/>
              </w:rPr>
              <w:t>у</w:t>
            </w:r>
            <w:r>
              <w:rPr>
                <w:color w:val="231F20"/>
                <w:spacing w:val="-6"/>
                <w:sz w:val="14"/>
              </w:rPr>
              <w:t xml:space="preserve"> </w:t>
            </w:r>
            <w:r>
              <w:rPr>
                <w:color w:val="231F20"/>
                <w:sz w:val="14"/>
              </w:rPr>
              <w:t>свом</w:t>
            </w:r>
            <w:r>
              <w:rPr>
                <w:color w:val="231F20"/>
                <w:spacing w:val="-6"/>
                <w:sz w:val="14"/>
              </w:rPr>
              <w:t xml:space="preserve"> </w:t>
            </w:r>
            <w:r>
              <w:rPr>
                <w:color w:val="231F20"/>
                <w:sz w:val="14"/>
              </w:rPr>
              <w:t>есхатолошком</w:t>
            </w:r>
            <w:r>
              <w:rPr>
                <w:color w:val="231F20"/>
                <w:spacing w:val="-6"/>
                <w:sz w:val="14"/>
              </w:rPr>
              <w:t xml:space="preserve"> </w:t>
            </w:r>
            <w:r>
              <w:rPr>
                <w:color w:val="231F20"/>
                <w:sz w:val="14"/>
              </w:rPr>
              <w:t>стању</w:t>
            </w:r>
            <w:r>
              <w:rPr>
                <w:color w:val="231F20"/>
                <w:spacing w:val="-7"/>
                <w:sz w:val="14"/>
              </w:rPr>
              <w:t xml:space="preserve"> </w:t>
            </w:r>
            <w:r>
              <w:rPr>
                <w:color w:val="231F20"/>
                <w:sz w:val="14"/>
              </w:rPr>
              <w:t>­</w:t>
            </w:r>
            <w:r>
              <w:rPr>
                <w:color w:val="231F20"/>
                <w:spacing w:val="-6"/>
                <w:sz w:val="14"/>
              </w:rPr>
              <w:t xml:space="preserve"> </w:t>
            </w:r>
            <w:r>
              <w:rPr>
                <w:color w:val="231F20"/>
                <w:sz w:val="14"/>
              </w:rPr>
              <w:t>ис­ тински начин постојања</w:t>
            </w:r>
            <w:r>
              <w:rPr>
                <w:color w:val="231F20"/>
                <w:spacing w:val="-2"/>
                <w:sz w:val="14"/>
              </w:rPr>
              <w:t xml:space="preserve"> </w:t>
            </w:r>
            <w:r>
              <w:rPr>
                <w:color w:val="231F20"/>
                <w:sz w:val="14"/>
              </w:rPr>
              <w:t>света.</w:t>
            </w:r>
          </w:p>
          <w:p w:rsidR="00041039" w:rsidRDefault="001B26CB">
            <w:pPr>
              <w:pStyle w:val="TableParagraph"/>
              <w:numPr>
                <w:ilvl w:val="0"/>
                <w:numId w:val="1899"/>
              </w:numPr>
              <w:tabs>
                <w:tab w:val="left" w:pos="158"/>
              </w:tabs>
              <w:spacing w:line="155" w:lineRule="exact"/>
              <w:rPr>
                <w:sz w:val="14"/>
              </w:rPr>
            </w:pPr>
            <w:r>
              <w:rPr>
                <w:color w:val="231F20"/>
                <w:sz w:val="14"/>
              </w:rPr>
              <w:t>Егоизам или</w:t>
            </w:r>
            <w:r>
              <w:rPr>
                <w:color w:val="231F20"/>
                <w:spacing w:val="-2"/>
                <w:sz w:val="14"/>
              </w:rPr>
              <w:t xml:space="preserve"> </w:t>
            </w:r>
            <w:r>
              <w:rPr>
                <w:color w:val="231F20"/>
                <w:sz w:val="14"/>
              </w:rPr>
              <w:t>љубав?</w:t>
            </w:r>
          </w:p>
          <w:p w:rsidR="00041039" w:rsidRDefault="001B26CB">
            <w:pPr>
              <w:pStyle w:val="TableParagraph"/>
              <w:numPr>
                <w:ilvl w:val="0"/>
                <w:numId w:val="1899"/>
              </w:numPr>
              <w:tabs>
                <w:tab w:val="left" w:pos="158"/>
              </w:tabs>
              <w:spacing w:line="160" w:lineRule="exact"/>
              <w:rPr>
                <w:sz w:val="14"/>
              </w:rPr>
            </w:pPr>
            <w:r>
              <w:rPr>
                <w:color w:val="231F20"/>
                <w:sz w:val="14"/>
              </w:rPr>
              <w:t>Свет ­ дело воље</w:t>
            </w:r>
            <w:r>
              <w:rPr>
                <w:color w:val="231F20"/>
                <w:spacing w:val="-2"/>
                <w:sz w:val="14"/>
              </w:rPr>
              <w:t xml:space="preserve"> </w:t>
            </w:r>
            <w:r>
              <w:rPr>
                <w:color w:val="231F20"/>
                <w:sz w:val="14"/>
              </w:rPr>
              <w:t>Божије.</w:t>
            </w:r>
          </w:p>
          <w:p w:rsidR="00041039" w:rsidRDefault="001B26CB">
            <w:pPr>
              <w:pStyle w:val="TableParagraph"/>
              <w:numPr>
                <w:ilvl w:val="0"/>
                <w:numId w:val="1899"/>
              </w:numPr>
              <w:tabs>
                <w:tab w:val="left" w:pos="158"/>
              </w:tabs>
              <w:spacing w:line="166" w:lineRule="exact"/>
              <w:rPr>
                <w:sz w:val="14"/>
              </w:rPr>
            </w:pPr>
            <w:r>
              <w:rPr>
                <w:color w:val="231F20"/>
                <w:sz w:val="14"/>
              </w:rPr>
              <w:t>Слобода Божија и слобода</w:t>
            </w:r>
            <w:r>
              <w:rPr>
                <w:color w:val="231F20"/>
                <w:spacing w:val="-4"/>
                <w:sz w:val="14"/>
              </w:rPr>
              <w:t xml:space="preserve"> </w:t>
            </w:r>
            <w:r>
              <w:rPr>
                <w:color w:val="231F20"/>
                <w:sz w:val="14"/>
              </w:rPr>
              <w:t>света.</w:t>
            </w:r>
          </w:p>
        </w:tc>
        <w:tc>
          <w:tcPr>
            <w:tcW w:w="2267" w:type="dxa"/>
            <w:tcBorders>
              <w:top w:val="nil"/>
              <w:bottom w:val="nil"/>
            </w:tcBorders>
          </w:tcPr>
          <w:p w:rsidR="00041039" w:rsidRDefault="001B26CB">
            <w:pPr>
              <w:pStyle w:val="TableParagraph"/>
              <w:spacing w:before="27"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898"/>
              </w:numPr>
              <w:tabs>
                <w:tab w:val="left" w:pos="158"/>
              </w:tabs>
              <w:spacing w:line="160"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tc>
      </w:tr>
      <w:tr w:rsidR="00041039">
        <w:trPr>
          <w:trHeight w:val="2332"/>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897"/>
              </w:numPr>
              <w:tabs>
                <w:tab w:val="left" w:pos="158"/>
              </w:tabs>
              <w:spacing w:line="237" w:lineRule="auto"/>
              <w:ind w:right="131" w:hanging="99"/>
              <w:rPr>
                <w:b/>
                <w:sz w:val="14"/>
              </w:rPr>
            </w:pPr>
            <w:r>
              <w:rPr>
                <w:color w:val="231F20"/>
                <w:sz w:val="14"/>
              </w:rPr>
              <w:t>Хришћанство је црква</w:t>
            </w:r>
            <w:r>
              <w:rPr>
                <w:color w:val="231F20"/>
                <w:spacing w:val="-15"/>
                <w:sz w:val="14"/>
              </w:rPr>
              <w:t xml:space="preserve"> </w:t>
            </w:r>
            <w:r>
              <w:rPr>
                <w:color w:val="231F20"/>
                <w:sz w:val="14"/>
              </w:rPr>
              <w:t xml:space="preserve">(заједнич­ ки литургијски живот као израз вере у Бога) </w:t>
            </w:r>
            <w:r>
              <w:rPr>
                <w:b/>
                <w:color w:val="231F20"/>
                <w:sz w:val="14"/>
              </w:rPr>
              <w:t>(5</w:t>
            </w:r>
            <w:r>
              <w:rPr>
                <w:b/>
                <w:color w:val="231F20"/>
                <w:spacing w:val="-4"/>
                <w:sz w:val="14"/>
              </w:rPr>
              <w:t xml:space="preserve"> </w:t>
            </w:r>
            <w:r>
              <w:rPr>
                <w:b/>
                <w:color w:val="231F20"/>
                <w:sz w:val="14"/>
              </w:rPr>
              <w:t>часова)</w:t>
            </w:r>
          </w:p>
          <w:p w:rsidR="00041039" w:rsidRDefault="001B26CB">
            <w:pPr>
              <w:pStyle w:val="TableParagraph"/>
              <w:numPr>
                <w:ilvl w:val="0"/>
                <w:numId w:val="1897"/>
              </w:numPr>
              <w:tabs>
                <w:tab w:val="left" w:pos="158"/>
              </w:tabs>
              <w:spacing w:line="237" w:lineRule="auto"/>
              <w:ind w:right="242" w:hanging="99"/>
              <w:rPr>
                <w:b/>
                <w:sz w:val="14"/>
              </w:rPr>
            </w:pPr>
            <w:r>
              <w:rPr>
                <w:color w:val="231F20"/>
                <w:sz w:val="14"/>
              </w:rPr>
              <w:t>Појам о Богу у хришћанству</w:t>
            </w:r>
            <w:r>
              <w:rPr>
                <w:color w:val="231F20"/>
                <w:spacing w:val="-14"/>
                <w:sz w:val="14"/>
              </w:rPr>
              <w:t xml:space="preserve"> </w:t>
            </w:r>
            <w:r>
              <w:rPr>
                <w:b/>
                <w:color w:val="231F20"/>
                <w:sz w:val="14"/>
              </w:rPr>
              <w:t>(2 часа)</w:t>
            </w:r>
          </w:p>
          <w:p w:rsidR="00041039" w:rsidRDefault="001B26CB">
            <w:pPr>
              <w:pStyle w:val="TableParagraph"/>
              <w:numPr>
                <w:ilvl w:val="0"/>
                <w:numId w:val="1897"/>
              </w:numPr>
              <w:tabs>
                <w:tab w:val="left" w:pos="158"/>
              </w:tabs>
              <w:spacing w:line="160" w:lineRule="exact"/>
              <w:ind w:right="382" w:hanging="99"/>
              <w:rPr>
                <w:b/>
                <w:sz w:val="14"/>
              </w:rPr>
            </w:pPr>
            <w:r>
              <w:rPr>
                <w:color w:val="231F20"/>
                <w:sz w:val="14"/>
              </w:rPr>
              <w:t xml:space="preserve">Познање Бога кроз Христа­у цркви </w:t>
            </w:r>
            <w:r>
              <w:rPr>
                <w:b/>
                <w:color w:val="231F20"/>
                <w:sz w:val="14"/>
              </w:rPr>
              <w:t>(3</w:t>
            </w:r>
            <w:r>
              <w:rPr>
                <w:b/>
                <w:color w:val="231F20"/>
                <w:spacing w:val="-2"/>
                <w:sz w:val="14"/>
              </w:rPr>
              <w:t xml:space="preserve"> </w:t>
            </w:r>
            <w:r>
              <w:rPr>
                <w:b/>
                <w:color w:val="231F20"/>
                <w:sz w:val="14"/>
              </w:rPr>
              <w:t>часа)</w:t>
            </w:r>
          </w:p>
          <w:p w:rsidR="00041039" w:rsidRDefault="001B26CB">
            <w:pPr>
              <w:pStyle w:val="TableParagraph"/>
              <w:numPr>
                <w:ilvl w:val="0"/>
                <w:numId w:val="1897"/>
              </w:numPr>
              <w:tabs>
                <w:tab w:val="left" w:pos="158"/>
              </w:tabs>
              <w:spacing w:line="160" w:lineRule="exact"/>
              <w:ind w:right="47" w:hanging="99"/>
              <w:rPr>
                <w:b/>
                <w:sz w:val="14"/>
              </w:rPr>
            </w:pPr>
            <w:r>
              <w:rPr>
                <w:color w:val="231F20"/>
                <w:sz w:val="14"/>
              </w:rPr>
              <w:t>Крштење и рукоположење као</w:t>
            </w:r>
            <w:r>
              <w:rPr>
                <w:color w:val="231F20"/>
                <w:spacing w:val="-23"/>
                <w:sz w:val="14"/>
              </w:rPr>
              <w:t xml:space="preserve"> </w:t>
            </w:r>
            <w:r>
              <w:rPr>
                <w:color w:val="231F20"/>
                <w:sz w:val="14"/>
              </w:rPr>
              <w:t xml:space="preserve">сје­ дињење са Христом у литургији </w:t>
            </w:r>
            <w:r>
              <w:rPr>
                <w:b/>
                <w:color w:val="231F20"/>
                <w:sz w:val="14"/>
              </w:rPr>
              <w:t>(18</w:t>
            </w:r>
            <w:r>
              <w:rPr>
                <w:b/>
                <w:color w:val="231F20"/>
                <w:spacing w:val="-1"/>
                <w:sz w:val="14"/>
              </w:rPr>
              <w:t xml:space="preserve"> </w:t>
            </w:r>
            <w:r>
              <w:rPr>
                <w:b/>
                <w:color w:val="231F20"/>
                <w:sz w:val="14"/>
              </w:rPr>
              <w:t>часова)</w:t>
            </w:r>
          </w:p>
          <w:p w:rsidR="00041039" w:rsidRDefault="001B26CB">
            <w:pPr>
              <w:pStyle w:val="TableParagraph"/>
              <w:numPr>
                <w:ilvl w:val="0"/>
                <w:numId w:val="1897"/>
              </w:numPr>
              <w:tabs>
                <w:tab w:val="left" w:pos="158"/>
              </w:tabs>
              <w:spacing w:line="160" w:lineRule="exact"/>
              <w:ind w:right="83" w:hanging="99"/>
              <w:rPr>
                <w:b/>
                <w:sz w:val="14"/>
              </w:rPr>
            </w:pPr>
            <w:r>
              <w:rPr>
                <w:color w:val="231F20"/>
                <w:sz w:val="14"/>
              </w:rPr>
              <w:t>Сликарство као израз човековог односа према Богу и свету који</w:t>
            </w:r>
            <w:r>
              <w:rPr>
                <w:color w:val="231F20"/>
                <w:spacing w:val="-22"/>
                <w:sz w:val="14"/>
              </w:rPr>
              <w:t xml:space="preserve"> </w:t>
            </w:r>
            <w:r>
              <w:rPr>
                <w:color w:val="231F20"/>
                <w:sz w:val="14"/>
              </w:rPr>
              <w:t xml:space="preserve">га окружује </w:t>
            </w:r>
            <w:r>
              <w:rPr>
                <w:b/>
                <w:color w:val="231F20"/>
                <w:sz w:val="14"/>
              </w:rPr>
              <w:t>(7</w:t>
            </w:r>
            <w:r>
              <w:rPr>
                <w:b/>
                <w:color w:val="231F20"/>
                <w:spacing w:val="-2"/>
                <w:sz w:val="14"/>
              </w:rPr>
              <w:t xml:space="preserve"> </w:t>
            </w:r>
            <w:r>
              <w:rPr>
                <w:b/>
                <w:color w:val="231F20"/>
                <w:sz w:val="14"/>
              </w:rPr>
              <w:t>часова)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20"/>
        </w:trPr>
        <w:tc>
          <w:tcPr>
            <w:tcW w:w="1304" w:type="dxa"/>
          </w:tcPr>
          <w:p w:rsidR="00041039" w:rsidRDefault="001B26CB">
            <w:pPr>
              <w:pStyle w:val="TableParagraph"/>
              <w:spacing w:before="18"/>
              <w:ind w:left="56" w:right="101"/>
              <w:rPr>
                <w:sz w:val="14"/>
              </w:rPr>
            </w:pPr>
            <w:r>
              <w:rPr>
                <w:color w:val="231F20"/>
                <w:sz w:val="14"/>
              </w:rPr>
              <w:lastRenderedPageBreak/>
              <w:t>Сликарство као израз човековог односа према Богу и свету који га окружује</w:t>
            </w:r>
          </w:p>
        </w:tc>
        <w:tc>
          <w:tcPr>
            <w:tcW w:w="1587" w:type="dxa"/>
          </w:tcPr>
          <w:p w:rsidR="00041039" w:rsidRDefault="001B26CB">
            <w:pPr>
              <w:pStyle w:val="TableParagraph"/>
              <w:numPr>
                <w:ilvl w:val="0"/>
                <w:numId w:val="1896"/>
              </w:numPr>
              <w:tabs>
                <w:tab w:val="left" w:pos="157"/>
              </w:tabs>
              <w:spacing w:before="8"/>
              <w:ind w:right="186"/>
              <w:rPr>
                <w:sz w:val="14"/>
              </w:rPr>
            </w:pPr>
            <w:r>
              <w:rPr>
                <w:color w:val="231F20"/>
                <w:sz w:val="14"/>
              </w:rPr>
              <w:t>Да се црквена уметност препознаје на основу тога што се слобода уметника изражава као</w:t>
            </w:r>
            <w:r>
              <w:rPr>
                <w:color w:val="231F20"/>
                <w:spacing w:val="-8"/>
                <w:sz w:val="14"/>
              </w:rPr>
              <w:t xml:space="preserve"> </w:t>
            </w:r>
            <w:r>
              <w:rPr>
                <w:color w:val="231F20"/>
                <w:sz w:val="14"/>
              </w:rPr>
              <w:t>љубав</w:t>
            </w:r>
          </w:p>
          <w:p w:rsidR="00041039" w:rsidRDefault="001B26CB">
            <w:pPr>
              <w:pStyle w:val="TableParagraph"/>
              <w:spacing w:line="237" w:lineRule="auto"/>
              <w:ind w:right="93"/>
              <w:jc w:val="both"/>
              <w:rPr>
                <w:sz w:val="14"/>
              </w:rPr>
            </w:pPr>
            <w:r>
              <w:rPr>
                <w:color w:val="231F20"/>
                <w:sz w:val="14"/>
              </w:rPr>
              <w:t>према Богу за</w:t>
            </w:r>
            <w:r>
              <w:rPr>
                <w:color w:val="231F20"/>
                <w:spacing w:val="-11"/>
                <w:sz w:val="14"/>
              </w:rPr>
              <w:t xml:space="preserve"> </w:t>
            </w:r>
            <w:r>
              <w:rPr>
                <w:color w:val="231F20"/>
                <w:sz w:val="14"/>
              </w:rPr>
              <w:t xml:space="preserve">разлику </w:t>
            </w:r>
            <w:r>
              <w:rPr>
                <w:color w:val="231F20"/>
                <w:spacing w:val="-3"/>
                <w:sz w:val="14"/>
              </w:rPr>
              <w:t xml:space="preserve">од </w:t>
            </w:r>
            <w:r>
              <w:rPr>
                <w:color w:val="231F20"/>
                <w:sz w:val="14"/>
              </w:rPr>
              <w:t>световне која тежи промени</w:t>
            </w:r>
            <w:r>
              <w:rPr>
                <w:color w:val="231F20"/>
                <w:spacing w:val="-1"/>
                <w:sz w:val="14"/>
              </w:rPr>
              <w:t xml:space="preserve"> </w:t>
            </w:r>
            <w:r>
              <w:rPr>
                <w:color w:val="231F20"/>
                <w:sz w:val="14"/>
              </w:rPr>
              <w:t>форме.</w:t>
            </w:r>
          </w:p>
        </w:tc>
        <w:tc>
          <w:tcPr>
            <w:tcW w:w="2551" w:type="dxa"/>
          </w:tcPr>
          <w:p w:rsidR="00041039" w:rsidRDefault="001B26CB">
            <w:pPr>
              <w:pStyle w:val="TableParagraph"/>
              <w:numPr>
                <w:ilvl w:val="0"/>
                <w:numId w:val="1895"/>
              </w:numPr>
              <w:tabs>
                <w:tab w:val="left" w:pos="157"/>
              </w:tabs>
              <w:spacing w:before="8"/>
              <w:ind w:right="73" w:hanging="99"/>
              <w:rPr>
                <w:sz w:val="14"/>
              </w:rPr>
            </w:pPr>
            <w:r>
              <w:rPr>
                <w:color w:val="231F20"/>
                <w:sz w:val="14"/>
              </w:rPr>
              <w:t>уоче разлику између црквеног и</w:t>
            </w:r>
            <w:r>
              <w:rPr>
                <w:color w:val="231F20"/>
                <w:spacing w:val="-21"/>
                <w:sz w:val="14"/>
              </w:rPr>
              <w:t xml:space="preserve"> </w:t>
            </w:r>
            <w:r>
              <w:rPr>
                <w:color w:val="231F20"/>
                <w:sz w:val="14"/>
              </w:rPr>
              <w:t>свето­ вног</w:t>
            </w:r>
            <w:r>
              <w:rPr>
                <w:color w:val="231F20"/>
                <w:spacing w:val="-2"/>
                <w:sz w:val="14"/>
              </w:rPr>
              <w:t xml:space="preserve"> </w:t>
            </w:r>
            <w:r>
              <w:rPr>
                <w:color w:val="231F20"/>
                <w:sz w:val="14"/>
              </w:rPr>
              <w:t>сликарства;</w:t>
            </w:r>
          </w:p>
        </w:tc>
        <w:tc>
          <w:tcPr>
            <w:tcW w:w="2834" w:type="dxa"/>
          </w:tcPr>
          <w:p w:rsidR="00041039" w:rsidRDefault="001B26CB">
            <w:pPr>
              <w:pStyle w:val="TableParagraph"/>
              <w:numPr>
                <w:ilvl w:val="0"/>
                <w:numId w:val="1894"/>
              </w:numPr>
              <w:tabs>
                <w:tab w:val="left" w:pos="157"/>
              </w:tabs>
              <w:spacing w:before="8" w:line="166" w:lineRule="exact"/>
              <w:ind w:hanging="99"/>
              <w:rPr>
                <w:sz w:val="14"/>
              </w:rPr>
            </w:pPr>
            <w:r>
              <w:rPr>
                <w:color w:val="231F20"/>
                <w:sz w:val="14"/>
              </w:rPr>
              <w:t>Истина света­царство</w:t>
            </w:r>
            <w:r>
              <w:rPr>
                <w:color w:val="231F20"/>
                <w:spacing w:val="-3"/>
                <w:sz w:val="14"/>
              </w:rPr>
              <w:t xml:space="preserve"> </w:t>
            </w:r>
            <w:r>
              <w:rPr>
                <w:color w:val="231F20"/>
                <w:sz w:val="14"/>
              </w:rPr>
              <w:t>божије.</w:t>
            </w:r>
          </w:p>
          <w:p w:rsidR="00041039" w:rsidRDefault="001B26CB">
            <w:pPr>
              <w:pStyle w:val="TableParagraph"/>
              <w:numPr>
                <w:ilvl w:val="0"/>
                <w:numId w:val="1894"/>
              </w:numPr>
              <w:tabs>
                <w:tab w:val="left" w:pos="157"/>
              </w:tabs>
              <w:spacing w:line="237" w:lineRule="auto"/>
              <w:ind w:right="134" w:hanging="99"/>
              <w:rPr>
                <w:sz w:val="14"/>
              </w:rPr>
            </w:pPr>
            <w:r>
              <w:rPr>
                <w:color w:val="231F20"/>
                <w:sz w:val="14"/>
              </w:rPr>
              <w:t>Икона и истина ­ разлика између</w:t>
            </w:r>
            <w:r>
              <w:rPr>
                <w:color w:val="231F20"/>
                <w:spacing w:val="-24"/>
                <w:sz w:val="14"/>
              </w:rPr>
              <w:t xml:space="preserve"> </w:t>
            </w:r>
            <w:r>
              <w:rPr>
                <w:color w:val="231F20"/>
                <w:sz w:val="14"/>
              </w:rPr>
              <w:t>црквеног и световног</w:t>
            </w:r>
            <w:r>
              <w:rPr>
                <w:color w:val="231F20"/>
                <w:spacing w:val="-2"/>
                <w:sz w:val="14"/>
              </w:rPr>
              <w:t xml:space="preserve"> </w:t>
            </w:r>
            <w:r>
              <w:rPr>
                <w:color w:val="231F20"/>
                <w:sz w:val="14"/>
              </w:rPr>
              <w:t>сликарства.</w:t>
            </w:r>
          </w:p>
        </w:tc>
        <w:tc>
          <w:tcPr>
            <w:tcW w:w="2267" w:type="dxa"/>
          </w:tcPr>
          <w:p w:rsidR="00041039" w:rsidRDefault="00041039">
            <w:pPr>
              <w:pStyle w:val="TableParagraph"/>
              <w:ind w:left="0"/>
              <w:rPr>
                <w:sz w:val="14"/>
              </w:rPr>
            </w:pPr>
          </w:p>
        </w:tc>
      </w:tr>
    </w:tbl>
    <w:p w:rsidR="00041039" w:rsidRDefault="00041039">
      <w:pPr>
        <w:pStyle w:val="BodyText"/>
        <w:spacing w:before="6"/>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736"/>
        </w:trPr>
        <w:tc>
          <w:tcPr>
            <w:tcW w:w="1304" w:type="dxa"/>
            <w:tcBorders>
              <w:bottom w:val="nil"/>
            </w:tcBorders>
          </w:tcPr>
          <w:p w:rsidR="00041039" w:rsidRDefault="001B26CB">
            <w:pPr>
              <w:pStyle w:val="TableParagraph"/>
              <w:spacing w:before="18"/>
              <w:ind w:left="56" w:right="17"/>
              <w:rPr>
                <w:sz w:val="14"/>
              </w:rPr>
            </w:pPr>
            <w:r>
              <w:rPr>
                <w:color w:val="231F20"/>
                <w:sz w:val="14"/>
              </w:rPr>
              <w:t>Света Тројица један Бог (Бог као биће заједнице слободе, љубави)</w:t>
            </w:r>
          </w:p>
        </w:tc>
        <w:tc>
          <w:tcPr>
            <w:tcW w:w="1587" w:type="dxa"/>
            <w:vMerge w:val="restart"/>
          </w:tcPr>
          <w:p w:rsidR="00041039" w:rsidRDefault="001B26CB">
            <w:pPr>
              <w:pStyle w:val="TableParagraph"/>
              <w:numPr>
                <w:ilvl w:val="0"/>
                <w:numId w:val="1893"/>
              </w:numPr>
              <w:tabs>
                <w:tab w:val="left" w:pos="157"/>
              </w:tabs>
              <w:spacing w:before="8"/>
              <w:ind w:right="74"/>
              <w:rPr>
                <w:sz w:val="14"/>
              </w:rPr>
            </w:pPr>
            <w:r>
              <w:rPr>
                <w:color w:val="231F20"/>
                <w:sz w:val="14"/>
              </w:rPr>
              <w:t>Да ученици уоче да је Бог једна конкретна личност, биће</w:t>
            </w:r>
            <w:r>
              <w:rPr>
                <w:color w:val="231F20"/>
                <w:spacing w:val="-15"/>
                <w:sz w:val="14"/>
              </w:rPr>
              <w:t xml:space="preserve"> </w:t>
            </w:r>
            <w:r>
              <w:rPr>
                <w:color w:val="231F20"/>
                <w:sz w:val="14"/>
              </w:rPr>
              <w:t>заједни­ це, слободе и љубави са Сином и Светим Духом.</w:t>
            </w:r>
          </w:p>
        </w:tc>
        <w:tc>
          <w:tcPr>
            <w:tcW w:w="2551" w:type="dxa"/>
            <w:vMerge w:val="restart"/>
          </w:tcPr>
          <w:p w:rsidR="00041039" w:rsidRDefault="001B26CB">
            <w:pPr>
              <w:pStyle w:val="TableParagraph"/>
              <w:numPr>
                <w:ilvl w:val="0"/>
                <w:numId w:val="1892"/>
              </w:numPr>
              <w:tabs>
                <w:tab w:val="left" w:pos="157"/>
              </w:tabs>
              <w:spacing w:before="8"/>
              <w:ind w:right="102" w:hanging="99"/>
              <w:rPr>
                <w:sz w:val="14"/>
              </w:rPr>
            </w:pPr>
            <w:r>
              <w:rPr>
                <w:color w:val="231F20"/>
                <w:sz w:val="14"/>
              </w:rPr>
              <w:t>правилно дефинише појмове као што су; личност, слобода, љубав на</w:t>
            </w:r>
            <w:r>
              <w:rPr>
                <w:color w:val="231F20"/>
                <w:spacing w:val="-27"/>
                <w:sz w:val="14"/>
              </w:rPr>
              <w:t xml:space="preserve"> </w:t>
            </w:r>
            <w:r>
              <w:rPr>
                <w:color w:val="231F20"/>
                <w:sz w:val="14"/>
              </w:rPr>
              <w:t>основу учења о Светој</w:t>
            </w:r>
            <w:r>
              <w:rPr>
                <w:color w:val="231F20"/>
                <w:spacing w:val="-2"/>
                <w:sz w:val="14"/>
              </w:rPr>
              <w:t xml:space="preserve"> </w:t>
            </w:r>
            <w:r>
              <w:rPr>
                <w:color w:val="231F20"/>
                <w:sz w:val="14"/>
              </w:rPr>
              <w:t>Тројици;</w:t>
            </w:r>
          </w:p>
        </w:tc>
        <w:tc>
          <w:tcPr>
            <w:tcW w:w="2834" w:type="dxa"/>
            <w:tcBorders>
              <w:bottom w:val="nil"/>
            </w:tcBorders>
          </w:tcPr>
          <w:p w:rsidR="00041039" w:rsidRDefault="001B26CB">
            <w:pPr>
              <w:pStyle w:val="TableParagraph"/>
              <w:numPr>
                <w:ilvl w:val="0"/>
                <w:numId w:val="1891"/>
              </w:numPr>
              <w:tabs>
                <w:tab w:val="left" w:pos="157"/>
              </w:tabs>
              <w:spacing w:before="8"/>
              <w:ind w:hanging="99"/>
              <w:rPr>
                <w:sz w:val="14"/>
              </w:rPr>
            </w:pPr>
            <w:r>
              <w:rPr>
                <w:color w:val="231F20"/>
                <w:sz w:val="14"/>
              </w:rPr>
              <w:t>Вера у Бога у Старом</w:t>
            </w:r>
            <w:r>
              <w:rPr>
                <w:color w:val="231F20"/>
                <w:spacing w:val="-2"/>
                <w:sz w:val="14"/>
              </w:rPr>
              <w:t xml:space="preserve"> </w:t>
            </w:r>
            <w:r>
              <w:rPr>
                <w:color w:val="231F20"/>
                <w:spacing w:val="-3"/>
                <w:sz w:val="14"/>
              </w:rPr>
              <w:t>Завету.</w:t>
            </w:r>
          </w:p>
        </w:tc>
        <w:tc>
          <w:tcPr>
            <w:tcW w:w="2267" w:type="dxa"/>
            <w:tcBorders>
              <w:bottom w:val="nil"/>
            </w:tcBorders>
          </w:tcPr>
          <w:p w:rsidR="00041039" w:rsidRDefault="001B26CB">
            <w:pPr>
              <w:pStyle w:val="TableParagraph"/>
              <w:numPr>
                <w:ilvl w:val="0"/>
                <w:numId w:val="1890"/>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tc>
      </w:tr>
      <w:tr w:rsidR="00041039">
        <w:trPr>
          <w:trHeight w:val="25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vMerge w:val="restart"/>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889"/>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tc>
      </w:tr>
      <w:tr w:rsidR="00041039">
        <w:trPr>
          <w:trHeight w:val="1006"/>
        </w:trPr>
        <w:tc>
          <w:tcPr>
            <w:tcW w:w="1304" w:type="dxa"/>
            <w:tcBorders>
              <w:bottom w:val="nil"/>
            </w:tcBorders>
          </w:tcPr>
          <w:p w:rsidR="00041039" w:rsidRDefault="001B26CB">
            <w:pPr>
              <w:pStyle w:val="TableParagraph"/>
              <w:spacing w:before="19"/>
              <w:ind w:left="56" w:right="115"/>
              <w:jc w:val="both"/>
              <w:rPr>
                <w:sz w:val="14"/>
              </w:rPr>
            </w:pPr>
            <w:r>
              <w:rPr>
                <w:color w:val="231F20"/>
                <w:sz w:val="14"/>
              </w:rPr>
              <w:t>Онтолошке после­ дице вере у Свету Тројицу као</w:t>
            </w:r>
            <w:r>
              <w:rPr>
                <w:color w:val="231F20"/>
                <w:spacing w:val="-11"/>
                <w:sz w:val="14"/>
              </w:rPr>
              <w:t xml:space="preserve"> </w:t>
            </w:r>
            <w:r>
              <w:rPr>
                <w:color w:val="231F20"/>
                <w:sz w:val="14"/>
              </w:rPr>
              <w:t>једног Бога</w:t>
            </w:r>
          </w:p>
        </w:tc>
        <w:tc>
          <w:tcPr>
            <w:tcW w:w="1587" w:type="dxa"/>
            <w:vMerge w:val="restart"/>
          </w:tcPr>
          <w:p w:rsidR="00041039" w:rsidRDefault="001B26CB">
            <w:pPr>
              <w:pStyle w:val="TableParagraph"/>
              <w:numPr>
                <w:ilvl w:val="0"/>
                <w:numId w:val="1888"/>
              </w:numPr>
              <w:tabs>
                <w:tab w:val="left" w:pos="157"/>
              </w:tabs>
              <w:spacing w:before="9"/>
              <w:ind w:right="150"/>
              <w:rPr>
                <w:sz w:val="14"/>
              </w:rPr>
            </w:pPr>
            <w:r>
              <w:rPr>
                <w:color w:val="231F20"/>
                <w:sz w:val="14"/>
              </w:rPr>
              <w:t>Да се слобода</w:t>
            </w:r>
            <w:r>
              <w:rPr>
                <w:color w:val="231F20"/>
                <w:spacing w:val="-11"/>
                <w:sz w:val="14"/>
              </w:rPr>
              <w:t xml:space="preserve"> </w:t>
            </w:r>
            <w:r>
              <w:rPr>
                <w:color w:val="231F20"/>
                <w:sz w:val="14"/>
              </w:rPr>
              <w:t>лично­ сти у Богу изражава као љубав према другој</w:t>
            </w:r>
            <w:r>
              <w:rPr>
                <w:color w:val="231F20"/>
                <w:spacing w:val="-1"/>
                <w:sz w:val="14"/>
              </w:rPr>
              <w:t xml:space="preserve"> </w:t>
            </w:r>
            <w:r>
              <w:rPr>
                <w:color w:val="231F20"/>
                <w:sz w:val="14"/>
              </w:rPr>
              <w:t>личности.</w:t>
            </w:r>
          </w:p>
        </w:tc>
        <w:tc>
          <w:tcPr>
            <w:tcW w:w="2551" w:type="dxa"/>
            <w:vMerge w:val="restart"/>
          </w:tcPr>
          <w:p w:rsidR="00041039" w:rsidRDefault="001B26CB">
            <w:pPr>
              <w:pStyle w:val="TableParagraph"/>
              <w:numPr>
                <w:ilvl w:val="0"/>
                <w:numId w:val="1887"/>
              </w:numPr>
              <w:tabs>
                <w:tab w:val="left" w:pos="157"/>
              </w:tabs>
              <w:spacing w:before="9"/>
              <w:ind w:right="132" w:hanging="99"/>
              <w:rPr>
                <w:sz w:val="14"/>
              </w:rPr>
            </w:pPr>
            <w:r>
              <w:rPr>
                <w:color w:val="231F20"/>
                <w:sz w:val="14"/>
              </w:rPr>
              <w:t>Ученици треба да запазе да је литур­ гија икона начина Божијег</w:t>
            </w:r>
            <w:r>
              <w:rPr>
                <w:color w:val="231F20"/>
                <w:spacing w:val="-23"/>
                <w:sz w:val="14"/>
              </w:rPr>
              <w:t xml:space="preserve"> </w:t>
            </w:r>
            <w:r>
              <w:rPr>
                <w:color w:val="231F20"/>
                <w:sz w:val="14"/>
              </w:rPr>
              <w:t>постојања;</w:t>
            </w:r>
          </w:p>
        </w:tc>
        <w:tc>
          <w:tcPr>
            <w:tcW w:w="2834" w:type="dxa"/>
            <w:vMerge w:val="restart"/>
          </w:tcPr>
          <w:p w:rsidR="00041039" w:rsidRDefault="001B26CB">
            <w:pPr>
              <w:pStyle w:val="TableParagraph"/>
              <w:numPr>
                <w:ilvl w:val="0"/>
                <w:numId w:val="1886"/>
              </w:numPr>
              <w:tabs>
                <w:tab w:val="left" w:pos="157"/>
              </w:tabs>
              <w:spacing w:before="9"/>
              <w:ind w:right="43" w:hanging="99"/>
              <w:rPr>
                <w:sz w:val="14"/>
              </w:rPr>
            </w:pPr>
            <w:r>
              <w:rPr>
                <w:color w:val="231F20"/>
                <w:sz w:val="14"/>
              </w:rPr>
              <w:t>Један Бог је Отац ­ конкретна личност</w:t>
            </w:r>
            <w:r>
              <w:rPr>
                <w:color w:val="231F20"/>
                <w:spacing w:val="-21"/>
                <w:sz w:val="14"/>
              </w:rPr>
              <w:t xml:space="preserve"> </w:t>
            </w:r>
            <w:r>
              <w:rPr>
                <w:color w:val="231F20"/>
                <w:sz w:val="14"/>
              </w:rPr>
              <w:t>(биб­ лијска и Свето отачка</w:t>
            </w:r>
            <w:r>
              <w:rPr>
                <w:color w:val="231F20"/>
                <w:spacing w:val="-8"/>
                <w:sz w:val="14"/>
              </w:rPr>
              <w:t xml:space="preserve"> </w:t>
            </w:r>
            <w:r>
              <w:rPr>
                <w:color w:val="231F20"/>
                <w:sz w:val="14"/>
              </w:rPr>
              <w:t>сведочанства).</w:t>
            </w:r>
          </w:p>
          <w:p w:rsidR="00041039" w:rsidRDefault="001B26CB">
            <w:pPr>
              <w:pStyle w:val="TableParagraph"/>
              <w:numPr>
                <w:ilvl w:val="0"/>
                <w:numId w:val="1886"/>
              </w:numPr>
              <w:tabs>
                <w:tab w:val="left" w:pos="157"/>
              </w:tabs>
              <w:spacing w:line="160" w:lineRule="exact"/>
              <w:ind w:right="226" w:hanging="99"/>
              <w:rPr>
                <w:sz w:val="14"/>
              </w:rPr>
            </w:pPr>
            <w:r>
              <w:rPr>
                <w:color w:val="231F20"/>
                <w:sz w:val="14"/>
              </w:rPr>
              <w:t>Исус Христос ­ Син Божији (библијска</w:t>
            </w:r>
            <w:r>
              <w:rPr>
                <w:color w:val="231F20"/>
                <w:spacing w:val="-21"/>
                <w:sz w:val="14"/>
              </w:rPr>
              <w:t xml:space="preserve"> </w:t>
            </w:r>
            <w:r>
              <w:rPr>
                <w:color w:val="231F20"/>
                <w:sz w:val="14"/>
              </w:rPr>
              <w:t>и Свето отачка</w:t>
            </w:r>
            <w:r>
              <w:rPr>
                <w:color w:val="231F20"/>
                <w:spacing w:val="-2"/>
                <w:sz w:val="14"/>
              </w:rPr>
              <w:t xml:space="preserve"> </w:t>
            </w:r>
            <w:r>
              <w:rPr>
                <w:color w:val="231F20"/>
                <w:sz w:val="14"/>
              </w:rPr>
              <w:t>сведочанства).</w:t>
            </w:r>
          </w:p>
          <w:p w:rsidR="00041039" w:rsidRDefault="001B26CB">
            <w:pPr>
              <w:pStyle w:val="TableParagraph"/>
              <w:numPr>
                <w:ilvl w:val="0"/>
                <w:numId w:val="1886"/>
              </w:numPr>
              <w:tabs>
                <w:tab w:val="left" w:pos="157"/>
              </w:tabs>
              <w:spacing w:line="160" w:lineRule="exact"/>
              <w:ind w:right="46" w:hanging="99"/>
              <w:rPr>
                <w:sz w:val="14"/>
              </w:rPr>
            </w:pPr>
            <w:r>
              <w:rPr>
                <w:color w:val="231F20"/>
                <w:sz w:val="14"/>
              </w:rPr>
              <w:t>Свети Дух ­ треће лице Свете Тројице</w:t>
            </w:r>
            <w:r>
              <w:rPr>
                <w:color w:val="231F20"/>
                <w:spacing w:val="-14"/>
                <w:sz w:val="14"/>
              </w:rPr>
              <w:t xml:space="preserve"> </w:t>
            </w:r>
            <w:r>
              <w:rPr>
                <w:color w:val="231F20"/>
                <w:sz w:val="14"/>
              </w:rPr>
              <w:t>(биб­ лијска и Свето отачка</w:t>
            </w:r>
            <w:r>
              <w:rPr>
                <w:color w:val="231F20"/>
                <w:spacing w:val="-8"/>
                <w:sz w:val="14"/>
              </w:rPr>
              <w:t xml:space="preserve"> </w:t>
            </w:r>
            <w:r>
              <w:rPr>
                <w:color w:val="231F20"/>
                <w:sz w:val="14"/>
              </w:rPr>
              <w:t>сведочанства).</w:t>
            </w:r>
          </w:p>
          <w:p w:rsidR="00041039" w:rsidRDefault="001B26CB">
            <w:pPr>
              <w:pStyle w:val="TableParagraph"/>
              <w:numPr>
                <w:ilvl w:val="0"/>
                <w:numId w:val="1886"/>
              </w:numPr>
              <w:tabs>
                <w:tab w:val="left" w:pos="157"/>
              </w:tabs>
              <w:spacing w:line="160" w:lineRule="exact"/>
              <w:ind w:right="138" w:hanging="99"/>
              <w:rPr>
                <w:sz w:val="14"/>
              </w:rPr>
            </w:pPr>
            <w:r>
              <w:rPr>
                <w:color w:val="231F20"/>
                <w:sz w:val="14"/>
              </w:rPr>
              <w:t>Тумачење</w:t>
            </w:r>
            <w:r>
              <w:rPr>
                <w:color w:val="231F20"/>
                <w:spacing w:val="-5"/>
                <w:sz w:val="14"/>
              </w:rPr>
              <w:t xml:space="preserve"> </w:t>
            </w:r>
            <w:r>
              <w:rPr>
                <w:color w:val="231F20"/>
                <w:sz w:val="14"/>
              </w:rPr>
              <w:t>вере</w:t>
            </w:r>
            <w:r>
              <w:rPr>
                <w:color w:val="231F20"/>
                <w:spacing w:val="-5"/>
                <w:sz w:val="14"/>
              </w:rPr>
              <w:t xml:space="preserve"> </w:t>
            </w:r>
            <w:r>
              <w:rPr>
                <w:color w:val="231F20"/>
                <w:sz w:val="14"/>
              </w:rPr>
              <w:t>у</w:t>
            </w:r>
            <w:r>
              <w:rPr>
                <w:color w:val="231F20"/>
                <w:spacing w:val="-5"/>
                <w:sz w:val="14"/>
              </w:rPr>
              <w:t xml:space="preserve"> </w:t>
            </w:r>
            <w:r>
              <w:rPr>
                <w:color w:val="231F20"/>
                <w:sz w:val="14"/>
              </w:rPr>
              <w:t>Свету</w:t>
            </w:r>
            <w:r>
              <w:rPr>
                <w:color w:val="231F20"/>
                <w:spacing w:val="-5"/>
                <w:sz w:val="14"/>
              </w:rPr>
              <w:t xml:space="preserve"> </w:t>
            </w:r>
            <w:r>
              <w:rPr>
                <w:color w:val="231F20"/>
                <w:sz w:val="14"/>
              </w:rPr>
              <w:t>Тројицу</w:t>
            </w:r>
            <w:r>
              <w:rPr>
                <w:color w:val="231F20"/>
                <w:spacing w:val="-5"/>
                <w:sz w:val="14"/>
              </w:rPr>
              <w:t xml:space="preserve"> </w:t>
            </w:r>
            <w:r>
              <w:rPr>
                <w:color w:val="231F20"/>
                <w:sz w:val="14"/>
              </w:rPr>
              <w:t>као</w:t>
            </w:r>
            <w:r>
              <w:rPr>
                <w:color w:val="231F20"/>
                <w:spacing w:val="-5"/>
                <w:sz w:val="14"/>
              </w:rPr>
              <w:t xml:space="preserve"> </w:t>
            </w:r>
            <w:r>
              <w:rPr>
                <w:color w:val="231F20"/>
                <w:sz w:val="14"/>
              </w:rPr>
              <w:t>једног Бога.</w:t>
            </w:r>
          </w:p>
        </w:tc>
        <w:tc>
          <w:tcPr>
            <w:tcW w:w="2267" w:type="dxa"/>
            <w:vMerge/>
            <w:tcBorders>
              <w:top w:val="nil"/>
              <w:bottom w:val="nil"/>
            </w:tcBorders>
          </w:tcPr>
          <w:p w:rsidR="00041039" w:rsidRDefault="00041039">
            <w:pPr>
              <w:rPr>
                <w:sz w:val="2"/>
                <w:szCs w:val="2"/>
              </w:rPr>
            </w:pPr>
          </w:p>
        </w:tc>
      </w:tr>
      <w:tr w:rsidR="00041039">
        <w:trPr>
          <w:trHeight w:val="30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line="155" w:lineRule="exact"/>
              <w:ind w:left="58"/>
              <w:rPr>
                <w:b/>
                <w:sz w:val="14"/>
              </w:rPr>
            </w:pPr>
            <w:r>
              <w:rPr>
                <w:b/>
                <w:color w:val="231F20"/>
                <w:sz w:val="14"/>
              </w:rPr>
              <w:t>Место реализације наставе</w:t>
            </w:r>
          </w:p>
          <w:p w:rsidR="00041039" w:rsidRDefault="001B26CB">
            <w:pPr>
              <w:pStyle w:val="TableParagraph"/>
              <w:numPr>
                <w:ilvl w:val="0"/>
                <w:numId w:val="1885"/>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885"/>
              </w:numPr>
              <w:tabs>
                <w:tab w:val="left" w:pos="158"/>
              </w:tabs>
              <w:spacing w:line="160"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tc>
      </w:tr>
      <w:tr w:rsidR="00041039">
        <w:trPr>
          <w:trHeight w:val="1596"/>
        </w:trPr>
        <w:tc>
          <w:tcPr>
            <w:tcW w:w="1304" w:type="dxa"/>
            <w:tcBorders>
              <w:bottom w:val="nil"/>
            </w:tcBorders>
          </w:tcPr>
          <w:p w:rsidR="00041039" w:rsidRDefault="001B26CB">
            <w:pPr>
              <w:pStyle w:val="TableParagraph"/>
              <w:spacing w:before="19"/>
              <w:ind w:left="56" w:right="200"/>
              <w:rPr>
                <w:sz w:val="14"/>
              </w:rPr>
            </w:pPr>
            <w:r>
              <w:rPr>
                <w:color w:val="231F20"/>
                <w:sz w:val="14"/>
              </w:rPr>
              <w:t>Стварање света ни из чега (узрок постојања света јесте Бог као личност, Божија слобода)</w:t>
            </w:r>
          </w:p>
        </w:tc>
        <w:tc>
          <w:tcPr>
            <w:tcW w:w="1587" w:type="dxa"/>
            <w:vMerge w:val="restart"/>
          </w:tcPr>
          <w:p w:rsidR="00041039" w:rsidRDefault="001B26CB">
            <w:pPr>
              <w:pStyle w:val="TableParagraph"/>
              <w:numPr>
                <w:ilvl w:val="0"/>
                <w:numId w:val="1884"/>
              </w:numPr>
              <w:tabs>
                <w:tab w:val="left" w:pos="157"/>
              </w:tabs>
              <w:spacing w:before="9"/>
              <w:ind w:right="253"/>
              <w:rPr>
                <w:sz w:val="14"/>
              </w:rPr>
            </w:pPr>
            <w:r>
              <w:rPr>
                <w:color w:val="231F20"/>
                <w:sz w:val="14"/>
              </w:rPr>
              <w:t>Да узрок постојања света јесте Бог као личност, Божија слобода.</w:t>
            </w:r>
          </w:p>
        </w:tc>
        <w:tc>
          <w:tcPr>
            <w:tcW w:w="2551" w:type="dxa"/>
            <w:vMerge w:val="restart"/>
          </w:tcPr>
          <w:p w:rsidR="00041039" w:rsidRDefault="001B26CB">
            <w:pPr>
              <w:pStyle w:val="TableParagraph"/>
              <w:numPr>
                <w:ilvl w:val="0"/>
                <w:numId w:val="1883"/>
              </w:numPr>
              <w:tabs>
                <w:tab w:val="left" w:pos="157"/>
              </w:tabs>
              <w:spacing w:before="9"/>
              <w:ind w:right="67" w:hanging="99"/>
              <w:rPr>
                <w:sz w:val="14"/>
              </w:rPr>
            </w:pPr>
            <w:r>
              <w:rPr>
                <w:color w:val="231F20"/>
                <w:sz w:val="14"/>
              </w:rPr>
              <w:t xml:space="preserve">Треба да запазе да је Бог апсолутно слободан у свом постојању у односу на </w:t>
            </w:r>
            <w:r>
              <w:rPr>
                <w:color w:val="231F20"/>
                <w:spacing w:val="-3"/>
                <w:sz w:val="14"/>
              </w:rPr>
              <w:t xml:space="preserve">свет, </w:t>
            </w:r>
            <w:r>
              <w:rPr>
                <w:color w:val="231F20"/>
                <w:sz w:val="14"/>
              </w:rPr>
              <w:t xml:space="preserve">чије постојање зависи </w:t>
            </w:r>
            <w:r>
              <w:rPr>
                <w:color w:val="231F20"/>
                <w:spacing w:val="-3"/>
                <w:sz w:val="14"/>
              </w:rPr>
              <w:t>од</w:t>
            </w:r>
            <w:r>
              <w:rPr>
                <w:color w:val="231F20"/>
                <w:spacing w:val="-6"/>
                <w:sz w:val="14"/>
              </w:rPr>
              <w:t xml:space="preserve"> </w:t>
            </w:r>
            <w:r>
              <w:rPr>
                <w:color w:val="231F20"/>
                <w:sz w:val="14"/>
              </w:rPr>
              <w:t>Бога;</w:t>
            </w:r>
          </w:p>
        </w:tc>
        <w:tc>
          <w:tcPr>
            <w:tcW w:w="2834" w:type="dxa"/>
            <w:tcBorders>
              <w:bottom w:val="nil"/>
            </w:tcBorders>
          </w:tcPr>
          <w:p w:rsidR="00041039" w:rsidRDefault="001B26CB">
            <w:pPr>
              <w:pStyle w:val="TableParagraph"/>
              <w:numPr>
                <w:ilvl w:val="0"/>
                <w:numId w:val="1882"/>
              </w:numPr>
              <w:tabs>
                <w:tab w:val="left" w:pos="158"/>
              </w:tabs>
              <w:spacing w:before="9" w:line="166" w:lineRule="exact"/>
              <w:rPr>
                <w:sz w:val="14"/>
              </w:rPr>
            </w:pPr>
            <w:r>
              <w:rPr>
                <w:color w:val="231F20"/>
                <w:sz w:val="14"/>
              </w:rPr>
              <w:t>Старо јелинско, философско схватање</w:t>
            </w:r>
            <w:r>
              <w:rPr>
                <w:color w:val="231F20"/>
                <w:spacing w:val="-20"/>
                <w:sz w:val="14"/>
              </w:rPr>
              <w:t xml:space="preserve"> </w:t>
            </w:r>
            <w:r>
              <w:rPr>
                <w:color w:val="231F20"/>
                <w:sz w:val="14"/>
              </w:rPr>
              <w:t>бића.</w:t>
            </w:r>
          </w:p>
          <w:p w:rsidR="00041039" w:rsidRDefault="001B26CB">
            <w:pPr>
              <w:pStyle w:val="TableParagraph"/>
              <w:numPr>
                <w:ilvl w:val="0"/>
                <w:numId w:val="1882"/>
              </w:numPr>
              <w:tabs>
                <w:tab w:val="left" w:pos="158"/>
              </w:tabs>
              <w:spacing w:line="166" w:lineRule="exact"/>
              <w:rPr>
                <w:sz w:val="14"/>
              </w:rPr>
            </w:pPr>
            <w:r>
              <w:rPr>
                <w:color w:val="231F20"/>
                <w:sz w:val="14"/>
              </w:rPr>
              <w:t>Јединство и</w:t>
            </w:r>
            <w:r>
              <w:rPr>
                <w:color w:val="231F20"/>
                <w:spacing w:val="-2"/>
                <w:sz w:val="14"/>
              </w:rPr>
              <w:t xml:space="preserve"> </w:t>
            </w:r>
            <w:r>
              <w:rPr>
                <w:color w:val="231F20"/>
                <w:sz w:val="14"/>
              </w:rPr>
              <w:t>мноштво.</w:t>
            </w:r>
          </w:p>
        </w:tc>
        <w:tc>
          <w:tcPr>
            <w:tcW w:w="2267" w:type="dxa"/>
            <w:vMerge/>
            <w:tcBorders>
              <w:top w:val="nil"/>
              <w:bottom w:val="nil"/>
            </w:tcBorders>
          </w:tcPr>
          <w:p w:rsidR="00041039" w:rsidRDefault="00041039">
            <w:pPr>
              <w:rPr>
                <w:sz w:val="2"/>
                <w:szCs w:val="2"/>
              </w:rPr>
            </w:pPr>
          </w:p>
        </w:tc>
      </w:tr>
      <w:tr w:rsidR="00041039">
        <w:trPr>
          <w:trHeight w:val="1692"/>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881"/>
              </w:numPr>
              <w:tabs>
                <w:tab w:val="left" w:pos="158"/>
              </w:tabs>
              <w:spacing w:line="237" w:lineRule="auto"/>
              <w:ind w:right="137" w:hanging="99"/>
              <w:jc w:val="both"/>
              <w:rPr>
                <w:b/>
                <w:sz w:val="14"/>
              </w:rPr>
            </w:pPr>
            <w:r>
              <w:rPr>
                <w:color w:val="231F20"/>
                <w:sz w:val="14"/>
              </w:rPr>
              <w:t>Света Тројица један Бог (Бог</w:t>
            </w:r>
            <w:r>
              <w:rPr>
                <w:color w:val="231F20"/>
                <w:spacing w:val="-16"/>
                <w:sz w:val="14"/>
              </w:rPr>
              <w:t xml:space="preserve"> </w:t>
            </w:r>
            <w:r>
              <w:rPr>
                <w:color w:val="231F20"/>
                <w:sz w:val="14"/>
              </w:rPr>
              <w:t>као биће заједнице слободе,</w:t>
            </w:r>
            <w:r>
              <w:rPr>
                <w:color w:val="231F20"/>
                <w:spacing w:val="-12"/>
                <w:sz w:val="14"/>
              </w:rPr>
              <w:t xml:space="preserve"> </w:t>
            </w:r>
            <w:r>
              <w:rPr>
                <w:color w:val="231F20"/>
                <w:sz w:val="14"/>
              </w:rPr>
              <w:t xml:space="preserve">љубави) </w:t>
            </w:r>
            <w:r>
              <w:rPr>
                <w:b/>
                <w:color w:val="231F20"/>
                <w:sz w:val="14"/>
              </w:rPr>
              <w:t>(18</w:t>
            </w:r>
            <w:r>
              <w:rPr>
                <w:b/>
                <w:color w:val="231F20"/>
                <w:spacing w:val="-1"/>
                <w:sz w:val="14"/>
              </w:rPr>
              <w:t xml:space="preserve"> </w:t>
            </w:r>
            <w:r>
              <w:rPr>
                <w:b/>
                <w:color w:val="231F20"/>
                <w:sz w:val="14"/>
              </w:rPr>
              <w:t>часова)</w:t>
            </w:r>
          </w:p>
          <w:p w:rsidR="00041039" w:rsidRDefault="001B26CB">
            <w:pPr>
              <w:pStyle w:val="TableParagraph"/>
              <w:numPr>
                <w:ilvl w:val="0"/>
                <w:numId w:val="1881"/>
              </w:numPr>
              <w:tabs>
                <w:tab w:val="left" w:pos="158"/>
              </w:tabs>
              <w:spacing w:line="237" w:lineRule="auto"/>
              <w:ind w:right="135" w:hanging="99"/>
              <w:rPr>
                <w:b/>
                <w:sz w:val="14"/>
              </w:rPr>
            </w:pPr>
            <w:r>
              <w:rPr>
                <w:color w:val="231F20"/>
                <w:sz w:val="14"/>
              </w:rPr>
              <w:t>Онтолошке последице вере у Свету Тројицу као једног Бога</w:t>
            </w:r>
            <w:r>
              <w:rPr>
                <w:color w:val="231F20"/>
                <w:spacing w:val="-18"/>
                <w:sz w:val="14"/>
              </w:rPr>
              <w:t xml:space="preserve"> </w:t>
            </w:r>
            <w:r>
              <w:rPr>
                <w:b/>
                <w:color w:val="231F20"/>
                <w:sz w:val="14"/>
              </w:rPr>
              <w:t>(9 часова)</w:t>
            </w:r>
          </w:p>
          <w:p w:rsidR="00041039" w:rsidRDefault="001B26CB">
            <w:pPr>
              <w:pStyle w:val="TableParagraph"/>
              <w:numPr>
                <w:ilvl w:val="0"/>
                <w:numId w:val="1881"/>
              </w:numPr>
              <w:tabs>
                <w:tab w:val="left" w:pos="158"/>
              </w:tabs>
              <w:spacing w:line="237" w:lineRule="auto"/>
              <w:ind w:right="45" w:hanging="99"/>
              <w:rPr>
                <w:b/>
                <w:sz w:val="14"/>
              </w:rPr>
            </w:pPr>
            <w:r>
              <w:rPr>
                <w:color w:val="231F20"/>
                <w:sz w:val="14"/>
              </w:rPr>
              <w:t xml:space="preserve">Стварање света ни из чега (узрок постојања света јесте Бог као лич­ ност, Божија слобода) </w:t>
            </w:r>
            <w:r>
              <w:rPr>
                <w:b/>
                <w:color w:val="231F20"/>
                <w:sz w:val="14"/>
              </w:rPr>
              <w:t>(8</w:t>
            </w:r>
            <w:r>
              <w:rPr>
                <w:b/>
                <w:color w:val="231F20"/>
                <w:spacing w:val="-16"/>
                <w:sz w:val="14"/>
              </w:rPr>
              <w:t xml:space="preserve"> </w:t>
            </w:r>
            <w:r>
              <w:rPr>
                <w:b/>
                <w:color w:val="231F20"/>
                <w:sz w:val="14"/>
              </w:rPr>
              <w:t>часова)</w:t>
            </w:r>
          </w:p>
        </w:tc>
      </w:tr>
    </w:tbl>
    <w:p w:rsidR="00041039" w:rsidRDefault="00041039">
      <w:pPr>
        <w:pStyle w:val="BodyText"/>
        <w:rPr>
          <w:b/>
          <w:sz w:val="16"/>
        </w:rPr>
      </w:pPr>
    </w:p>
    <w:p w:rsidR="00041039" w:rsidRDefault="001B26CB">
      <w:pPr>
        <w:tabs>
          <w:tab w:val="left" w:pos="1461"/>
        </w:tabs>
        <w:spacing w:before="120"/>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736"/>
        </w:trPr>
        <w:tc>
          <w:tcPr>
            <w:tcW w:w="1304" w:type="dxa"/>
            <w:tcBorders>
              <w:bottom w:val="nil"/>
            </w:tcBorders>
          </w:tcPr>
          <w:p w:rsidR="00041039" w:rsidRDefault="001B26CB">
            <w:pPr>
              <w:pStyle w:val="TableParagraph"/>
              <w:spacing w:before="18" w:line="161" w:lineRule="exact"/>
              <w:ind w:left="56"/>
              <w:rPr>
                <w:sz w:val="14"/>
              </w:rPr>
            </w:pPr>
            <w:r>
              <w:rPr>
                <w:color w:val="231F20"/>
                <w:sz w:val="14"/>
              </w:rPr>
              <w:t>Тајна Христова</w:t>
            </w:r>
          </w:p>
          <w:p w:rsidR="00041039" w:rsidRDefault="001B26CB">
            <w:pPr>
              <w:pStyle w:val="TableParagraph"/>
              <w:ind w:left="56" w:right="194"/>
              <w:rPr>
                <w:sz w:val="14"/>
              </w:rPr>
            </w:pPr>
            <w:r>
              <w:rPr>
                <w:color w:val="231F20"/>
                <w:sz w:val="14"/>
              </w:rPr>
              <w:t>- јединство Бога и човека као циљ стварања света</w:t>
            </w:r>
          </w:p>
        </w:tc>
        <w:tc>
          <w:tcPr>
            <w:tcW w:w="1587" w:type="dxa"/>
            <w:vMerge w:val="restart"/>
          </w:tcPr>
          <w:p w:rsidR="00041039" w:rsidRDefault="001B26CB">
            <w:pPr>
              <w:pStyle w:val="TableParagraph"/>
              <w:numPr>
                <w:ilvl w:val="0"/>
                <w:numId w:val="1880"/>
              </w:numPr>
              <w:tabs>
                <w:tab w:val="left" w:pos="157"/>
              </w:tabs>
              <w:spacing w:before="8"/>
              <w:ind w:right="84"/>
              <w:rPr>
                <w:sz w:val="14"/>
              </w:rPr>
            </w:pPr>
            <w:r>
              <w:rPr>
                <w:color w:val="231F20"/>
                <w:sz w:val="14"/>
              </w:rPr>
              <w:t>Христос је спаситељ јер је једино у</w:t>
            </w:r>
            <w:r>
              <w:rPr>
                <w:color w:val="231F20"/>
                <w:spacing w:val="-9"/>
                <w:sz w:val="14"/>
              </w:rPr>
              <w:t xml:space="preserve"> </w:t>
            </w:r>
            <w:r>
              <w:rPr>
                <w:color w:val="231F20"/>
                <w:sz w:val="14"/>
              </w:rPr>
              <w:t>његовој личности остварена заједница тварне природе са</w:t>
            </w:r>
            <w:r>
              <w:rPr>
                <w:color w:val="231F20"/>
                <w:spacing w:val="-4"/>
                <w:sz w:val="14"/>
              </w:rPr>
              <w:t xml:space="preserve"> </w:t>
            </w:r>
            <w:r>
              <w:rPr>
                <w:color w:val="231F20"/>
                <w:sz w:val="14"/>
              </w:rPr>
              <w:t>Богом.</w:t>
            </w:r>
          </w:p>
        </w:tc>
        <w:tc>
          <w:tcPr>
            <w:tcW w:w="2551" w:type="dxa"/>
            <w:vMerge w:val="restart"/>
          </w:tcPr>
          <w:p w:rsidR="00041039" w:rsidRDefault="001B26CB">
            <w:pPr>
              <w:pStyle w:val="TableParagraph"/>
              <w:numPr>
                <w:ilvl w:val="0"/>
                <w:numId w:val="1879"/>
              </w:numPr>
              <w:tabs>
                <w:tab w:val="left" w:pos="157"/>
              </w:tabs>
              <w:spacing w:before="8"/>
              <w:ind w:right="448" w:hanging="99"/>
              <w:rPr>
                <w:sz w:val="14"/>
              </w:rPr>
            </w:pPr>
            <w:r>
              <w:rPr>
                <w:color w:val="231F20"/>
                <w:sz w:val="14"/>
              </w:rPr>
              <w:t>схвати да је Тајна Христова</w:t>
            </w:r>
            <w:r>
              <w:rPr>
                <w:color w:val="231F20"/>
                <w:spacing w:val="-23"/>
                <w:sz w:val="14"/>
              </w:rPr>
              <w:t xml:space="preserve"> </w:t>
            </w:r>
            <w:r>
              <w:rPr>
                <w:color w:val="231F20"/>
                <w:sz w:val="14"/>
              </w:rPr>
              <w:t>циљ стварања</w:t>
            </w:r>
            <w:r>
              <w:rPr>
                <w:color w:val="231F20"/>
                <w:spacing w:val="-1"/>
                <w:sz w:val="14"/>
              </w:rPr>
              <w:t xml:space="preserve"> </w:t>
            </w:r>
            <w:r>
              <w:rPr>
                <w:color w:val="231F20"/>
                <w:sz w:val="14"/>
              </w:rPr>
              <w:t>света;</w:t>
            </w:r>
          </w:p>
        </w:tc>
        <w:tc>
          <w:tcPr>
            <w:tcW w:w="2834" w:type="dxa"/>
            <w:vMerge w:val="restart"/>
          </w:tcPr>
          <w:p w:rsidR="00041039" w:rsidRDefault="001B26CB">
            <w:pPr>
              <w:pStyle w:val="TableParagraph"/>
              <w:numPr>
                <w:ilvl w:val="0"/>
                <w:numId w:val="1878"/>
              </w:numPr>
              <w:tabs>
                <w:tab w:val="left" w:pos="157"/>
              </w:tabs>
              <w:spacing w:before="8"/>
              <w:ind w:right="43" w:hanging="99"/>
              <w:rPr>
                <w:sz w:val="14"/>
              </w:rPr>
            </w:pPr>
            <w:r>
              <w:rPr>
                <w:color w:val="231F20"/>
                <w:sz w:val="14"/>
              </w:rPr>
              <w:t>Тајна</w:t>
            </w:r>
            <w:r>
              <w:rPr>
                <w:color w:val="231F20"/>
                <w:spacing w:val="-6"/>
                <w:sz w:val="14"/>
              </w:rPr>
              <w:t xml:space="preserve"> </w:t>
            </w:r>
            <w:r>
              <w:rPr>
                <w:color w:val="231F20"/>
                <w:sz w:val="14"/>
              </w:rPr>
              <w:t>Христова­јединство</w:t>
            </w:r>
            <w:r>
              <w:rPr>
                <w:color w:val="231F20"/>
                <w:spacing w:val="-6"/>
                <w:sz w:val="14"/>
              </w:rPr>
              <w:t xml:space="preserve"> </w:t>
            </w:r>
            <w:r>
              <w:rPr>
                <w:color w:val="231F20"/>
                <w:sz w:val="14"/>
              </w:rPr>
              <w:t>Бога</w:t>
            </w:r>
            <w:r>
              <w:rPr>
                <w:color w:val="231F20"/>
                <w:spacing w:val="-6"/>
                <w:sz w:val="14"/>
              </w:rPr>
              <w:t xml:space="preserve"> </w:t>
            </w:r>
            <w:r>
              <w:rPr>
                <w:color w:val="231F20"/>
                <w:sz w:val="14"/>
              </w:rPr>
              <w:t>и</w:t>
            </w:r>
            <w:r>
              <w:rPr>
                <w:color w:val="231F20"/>
                <w:spacing w:val="-6"/>
                <w:sz w:val="14"/>
              </w:rPr>
              <w:t xml:space="preserve"> </w:t>
            </w:r>
            <w:r>
              <w:rPr>
                <w:color w:val="231F20"/>
                <w:sz w:val="14"/>
              </w:rPr>
              <w:t>човека</w:t>
            </w:r>
            <w:r>
              <w:rPr>
                <w:color w:val="231F20"/>
                <w:spacing w:val="-6"/>
                <w:sz w:val="14"/>
              </w:rPr>
              <w:t xml:space="preserve"> </w:t>
            </w:r>
            <w:r>
              <w:rPr>
                <w:color w:val="231F20"/>
                <w:sz w:val="14"/>
              </w:rPr>
              <w:t>као циљ стварања</w:t>
            </w:r>
            <w:r>
              <w:rPr>
                <w:color w:val="231F20"/>
                <w:spacing w:val="-2"/>
                <w:sz w:val="14"/>
              </w:rPr>
              <w:t xml:space="preserve"> </w:t>
            </w:r>
            <w:r>
              <w:rPr>
                <w:color w:val="231F20"/>
                <w:sz w:val="14"/>
              </w:rPr>
              <w:t>света.</w:t>
            </w:r>
          </w:p>
        </w:tc>
        <w:tc>
          <w:tcPr>
            <w:tcW w:w="2267" w:type="dxa"/>
            <w:tcBorders>
              <w:bottom w:val="nil"/>
            </w:tcBorders>
          </w:tcPr>
          <w:p w:rsidR="00041039" w:rsidRDefault="001B26CB">
            <w:pPr>
              <w:pStyle w:val="TableParagraph"/>
              <w:numPr>
                <w:ilvl w:val="0"/>
                <w:numId w:val="1877"/>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tc>
      </w:tr>
      <w:tr w:rsidR="00041039">
        <w:trPr>
          <w:trHeight w:val="93"/>
        </w:trPr>
        <w:tc>
          <w:tcPr>
            <w:tcW w:w="1304" w:type="dxa"/>
            <w:tcBorders>
              <w:top w:val="nil"/>
            </w:tcBorders>
          </w:tcPr>
          <w:p w:rsidR="00041039" w:rsidRDefault="00041039">
            <w:pPr>
              <w:pStyle w:val="TableParagraph"/>
              <w:ind w:left="0"/>
              <w:rPr>
                <w:sz w:val="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876"/>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tc>
      </w:tr>
      <w:tr w:rsidR="00041039">
        <w:trPr>
          <w:trHeight w:val="680"/>
        </w:trPr>
        <w:tc>
          <w:tcPr>
            <w:tcW w:w="1304" w:type="dxa"/>
          </w:tcPr>
          <w:p w:rsidR="00041039" w:rsidRDefault="001B26CB">
            <w:pPr>
              <w:pStyle w:val="TableParagraph"/>
              <w:spacing w:before="18"/>
              <w:ind w:left="56" w:right="43"/>
              <w:rPr>
                <w:sz w:val="14"/>
              </w:rPr>
            </w:pPr>
            <w:r>
              <w:rPr>
                <w:color w:val="231F20"/>
                <w:sz w:val="14"/>
              </w:rPr>
              <w:t>Христово овап­ лоћење и страдање, смрт као последица греха првих људи</w:t>
            </w:r>
          </w:p>
        </w:tc>
        <w:tc>
          <w:tcPr>
            <w:tcW w:w="1587" w:type="dxa"/>
          </w:tcPr>
          <w:p w:rsidR="00041039" w:rsidRDefault="001B26CB">
            <w:pPr>
              <w:pStyle w:val="TableParagraph"/>
              <w:numPr>
                <w:ilvl w:val="0"/>
                <w:numId w:val="1875"/>
              </w:numPr>
              <w:tabs>
                <w:tab w:val="left" w:pos="157"/>
              </w:tabs>
              <w:spacing w:before="8"/>
              <w:ind w:right="44"/>
              <w:rPr>
                <w:sz w:val="14"/>
              </w:rPr>
            </w:pPr>
            <w:r>
              <w:rPr>
                <w:color w:val="231F20"/>
                <w:spacing w:val="-3"/>
                <w:sz w:val="14"/>
              </w:rPr>
              <w:t xml:space="preserve">Указати </w:t>
            </w:r>
            <w:r>
              <w:rPr>
                <w:color w:val="231F20"/>
                <w:sz w:val="14"/>
              </w:rPr>
              <w:t>да је Христово страдање и смрт последица првородног греха.</w:t>
            </w:r>
          </w:p>
        </w:tc>
        <w:tc>
          <w:tcPr>
            <w:tcW w:w="2551" w:type="dxa"/>
          </w:tcPr>
          <w:p w:rsidR="00041039" w:rsidRDefault="001B26CB">
            <w:pPr>
              <w:pStyle w:val="TableParagraph"/>
              <w:numPr>
                <w:ilvl w:val="0"/>
                <w:numId w:val="1874"/>
              </w:numPr>
              <w:tabs>
                <w:tab w:val="left" w:pos="157"/>
              </w:tabs>
              <w:spacing w:before="8"/>
              <w:ind w:right="240" w:hanging="99"/>
              <w:jc w:val="both"/>
              <w:rPr>
                <w:sz w:val="14"/>
              </w:rPr>
            </w:pPr>
            <w:r>
              <w:rPr>
                <w:color w:val="231F20"/>
                <w:sz w:val="14"/>
              </w:rPr>
              <w:t xml:space="preserve">зна да је Првородни грех променио начин остваривања циља због </w:t>
            </w:r>
            <w:r>
              <w:rPr>
                <w:color w:val="231F20"/>
                <w:spacing w:val="-3"/>
                <w:sz w:val="14"/>
              </w:rPr>
              <w:t xml:space="preserve">ког </w:t>
            </w:r>
            <w:r>
              <w:rPr>
                <w:color w:val="231F20"/>
                <w:sz w:val="14"/>
              </w:rPr>
              <w:t>је свет створен али не и сам</w:t>
            </w:r>
            <w:r>
              <w:rPr>
                <w:color w:val="231F20"/>
                <w:spacing w:val="-6"/>
                <w:sz w:val="14"/>
              </w:rPr>
              <w:t xml:space="preserve"> </w:t>
            </w:r>
            <w:r>
              <w:rPr>
                <w:color w:val="231F20"/>
                <w:sz w:val="14"/>
              </w:rPr>
              <w:t>циљ;</w:t>
            </w:r>
          </w:p>
        </w:tc>
        <w:tc>
          <w:tcPr>
            <w:tcW w:w="2834" w:type="dxa"/>
          </w:tcPr>
          <w:p w:rsidR="00041039" w:rsidRDefault="001B26CB">
            <w:pPr>
              <w:pStyle w:val="TableParagraph"/>
              <w:numPr>
                <w:ilvl w:val="0"/>
                <w:numId w:val="1873"/>
              </w:numPr>
              <w:tabs>
                <w:tab w:val="left" w:pos="157"/>
              </w:tabs>
              <w:spacing w:before="8"/>
              <w:ind w:right="70" w:hanging="99"/>
              <w:rPr>
                <w:sz w:val="14"/>
              </w:rPr>
            </w:pPr>
            <w:r>
              <w:rPr>
                <w:color w:val="231F20"/>
                <w:sz w:val="14"/>
              </w:rPr>
              <w:t>Христово оваплоћење и страдање, смрт</w:t>
            </w:r>
            <w:r>
              <w:rPr>
                <w:color w:val="231F20"/>
                <w:spacing w:val="-21"/>
                <w:sz w:val="14"/>
              </w:rPr>
              <w:t xml:space="preserve"> </w:t>
            </w:r>
            <w:r>
              <w:rPr>
                <w:color w:val="231F20"/>
                <w:sz w:val="14"/>
              </w:rPr>
              <w:t>као последица греха првих</w:t>
            </w:r>
            <w:r>
              <w:rPr>
                <w:color w:val="231F20"/>
                <w:spacing w:val="-4"/>
                <w:sz w:val="14"/>
              </w:rPr>
              <w:t xml:space="preserve"> </w:t>
            </w:r>
            <w:r>
              <w:rPr>
                <w:color w:val="231F20"/>
                <w:sz w:val="14"/>
              </w:rPr>
              <w:t>људи.</w:t>
            </w:r>
          </w:p>
        </w:tc>
        <w:tc>
          <w:tcPr>
            <w:tcW w:w="2267" w:type="dxa"/>
            <w:vMerge/>
            <w:tcBorders>
              <w:top w:val="nil"/>
              <w:bottom w:val="nil"/>
            </w:tcBorders>
          </w:tcPr>
          <w:p w:rsidR="00041039" w:rsidRDefault="00041039">
            <w:pPr>
              <w:rPr>
                <w:sz w:val="2"/>
                <w:szCs w:val="2"/>
              </w:rPr>
            </w:pPr>
          </w:p>
        </w:tc>
      </w:tr>
      <w:tr w:rsidR="00041039">
        <w:trPr>
          <w:trHeight w:val="526"/>
        </w:trPr>
        <w:tc>
          <w:tcPr>
            <w:tcW w:w="1304" w:type="dxa"/>
            <w:tcBorders>
              <w:bottom w:val="nil"/>
            </w:tcBorders>
          </w:tcPr>
          <w:p w:rsidR="00041039" w:rsidRDefault="001B26CB">
            <w:pPr>
              <w:pStyle w:val="TableParagraph"/>
              <w:spacing w:before="18"/>
              <w:ind w:left="56" w:right="155"/>
              <w:rPr>
                <w:sz w:val="14"/>
              </w:rPr>
            </w:pPr>
            <w:r>
              <w:rPr>
                <w:color w:val="231F20"/>
                <w:sz w:val="14"/>
              </w:rPr>
              <w:t>Бог је васкрсао Христа из мртвих Духом Светим</w:t>
            </w:r>
          </w:p>
        </w:tc>
        <w:tc>
          <w:tcPr>
            <w:tcW w:w="1587" w:type="dxa"/>
            <w:vMerge w:val="restart"/>
          </w:tcPr>
          <w:p w:rsidR="00041039" w:rsidRDefault="001B26CB">
            <w:pPr>
              <w:pStyle w:val="TableParagraph"/>
              <w:numPr>
                <w:ilvl w:val="0"/>
                <w:numId w:val="1872"/>
              </w:numPr>
              <w:tabs>
                <w:tab w:val="left" w:pos="157"/>
              </w:tabs>
              <w:spacing w:before="8"/>
              <w:ind w:right="87"/>
              <w:rPr>
                <w:sz w:val="14"/>
              </w:rPr>
            </w:pPr>
            <w:r>
              <w:rPr>
                <w:color w:val="231F20"/>
                <w:spacing w:val="-3"/>
                <w:sz w:val="14"/>
              </w:rPr>
              <w:t xml:space="preserve">Указати </w:t>
            </w:r>
            <w:r>
              <w:rPr>
                <w:color w:val="231F20"/>
                <w:sz w:val="14"/>
              </w:rPr>
              <w:t xml:space="preserve">им да је Бог васкрсао Христоса из мртвих </w:t>
            </w:r>
            <w:r>
              <w:rPr>
                <w:color w:val="231F20"/>
                <w:spacing w:val="-3"/>
                <w:sz w:val="14"/>
              </w:rPr>
              <w:t xml:space="preserve">Духом </w:t>
            </w:r>
            <w:r>
              <w:rPr>
                <w:color w:val="231F20"/>
                <w:sz w:val="14"/>
              </w:rPr>
              <w:t>Светим који ствара и литур­ гијску</w:t>
            </w:r>
            <w:r>
              <w:rPr>
                <w:color w:val="231F20"/>
                <w:spacing w:val="-3"/>
                <w:sz w:val="14"/>
              </w:rPr>
              <w:t xml:space="preserve"> </w:t>
            </w:r>
            <w:r>
              <w:rPr>
                <w:color w:val="231F20"/>
                <w:sz w:val="14"/>
              </w:rPr>
              <w:t>заједницу.</w:t>
            </w:r>
          </w:p>
        </w:tc>
        <w:tc>
          <w:tcPr>
            <w:tcW w:w="2551" w:type="dxa"/>
            <w:vMerge w:val="restart"/>
          </w:tcPr>
          <w:p w:rsidR="00041039" w:rsidRDefault="001B26CB">
            <w:pPr>
              <w:pStyle w:val="TableParagraph"/>
              <w:numPr>
                <w:ilvl w:val="0"/>
                <w:numId w:val="1871"/>
              </w:numPr>
              <w:tabs>
                <w:tab w:val="left" w:pos="157"/>
              </w:tabs>
              <w:spacing w:before="8"/>
              <w:ind w:right="45" w:hanging="99"/>
              <w:rPr>
                <w:sz w:val="14"/>
              </w:rPr>
            </w:pPr>
            <w:r>
              <w:rPr>
                <w:color w:val="231F20"/>
                <w:sz w:val="14"/>
              </w:rPr>
              <w:t>уочи да је превазилажење смрти за створену природу плод слободне</w:t>
            </w:r>
            <w:r>
              <w:rPr>
                <w:color w:val="231F20"/>
                <w:spacing w:val="-25"/>
                <w:sz w:val="14"/>
              </w:rPr>
              <w:t xml:space="preserve"> </w:t>
            </w:r>
            <w:r>
              <w:rPr>
                <w:color w:val="231F20"/>
                <w:sz w:val="14"/>
              </w:rPr>
              <w:t>зајед­ нице Бога и човека у</w:t>
            </w:r>
            <w:r>
              <w:rPr>
                <w:color w:val="231F20"/>
                <w:spacing w:val="-8"/>
                <w:sz w:val="14"/>
              </w:rPr>
              <w:t xml:space="preserve"> </w:t>
            </w:r>
            <w:r>
              <w:rPr>
                <w:color w:val="231F20"/>
                <w:sz w:val="14"/>
              </w:rPr>
              <w:t>Христосу;</w:t>
            </w:r>
          </w:p>
        </w:tc>
        <w:tc>
          <w:tcPr>
            <w:tcW w:w="2834" w:type="dxa"/>
            <w:vMerge w:val="restart"/>
          </w:tcPr>
          <w:p w:rsidR="00041039" w:rsidRDefault="001B26CB">
            <w:pPr>
              <w:pStyle w:val="TableParagraph"/>
              <w:numPr>
                <w:ilvl w:val="0"/>
                <w:numId w:val="1870"/>
              </w:numPr>
              <w:tabs>
                <w:tab w:val="left" w:pos="158"/>
              </w:tabs>
              <w:spacing w:before="8"/>
              <w:ind w:right="245"/>
              <w:rPr>
                <w:sz w:val="14"/>
              </w:rPr>
            </w:pPr>
            <w:r>
              <w:rPr>
                <w:color w:val="231F20"/>
                <w:sz w:val="14"/>
              </w:rPr>
              <w:t xml:space="preserve">Бог је васкрсао Христа из мртвих </w:t>
            </w:r>
            <w:r>
              <w:rPr>
                <w:color w:val="231F20"/>
                <w:spacing w:val="-3"/>
                <w:sz w:val="14"/>
              </w:rPr>
              <w:t xml:space="preserve">Духом </w:t>
            </w:r>
            <w:r>
              <w:rPr>
                <w:color w:val="231F20"/>
                <w:sz w:val="14"/>
              </w:rPr>
              <w:t>Светим.</w:t>
            </w:r>
          </w:p>
        </w:tc>
        <w:tc>
          <w:tcPr>
            <w:tcW w:w="2267" w:type="dxa"/>
            <w:tcBorders>
              <w:top w:val="nil"/>
              <w:bottom w:val="nil"/>
            </w:tcBorders>
          </w:tcPr>
          <w:p w:rsidR="00041039" w:rsidRDefault="001B26CB">
            <w:pPr>
              <w:pStyle w:val="TableParagraph"/>
              <w:spacing w:before="77"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tc>
      </w:tr>
      <w:tr w:rsidR="00041039">
        <w:trPr>
          <w:trHeight w:val="30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tcBorders>
          </w:tcPr>
          <w:p w:rsidR="00041039" w:rsidRDefault="001B26CB">
            <w:pPr>
              <w:pStyle w:val="TableParagraph"/>
              <w:spacing w:before="21" w:line="155" w:lineRule="exact"/>
              <w:ind w:left="58"/>
              <w:rPr>
                <w:b/>
                <w:sz w:val="14"/>
              </w:rPr>
            </w:pPr>
            <w:r>
              <w:rPr>
                <w:b/>
                <w:color w:val="231F20"/>
                <w:sz w:val="14"/>
              </w:rPr>
              <w:t>Место реализације наставе</w:t>
            </w:r>
          </w:p>
          <w:p w:rsidR="00041039" w:rsidRDefault="001B26CB">
            <w:pPr>
              <w:pStyle w:val="TableParagraph"/>
              <w:numPr>
                <w:ilvl w:val="0"/>
                <w:numId w:val="1869"/>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r w:rsidR="00041039">
        <w:trPr>
          <w:trHeight w:val="680"/>
        </w:trPr>
        <w:tc>
          <w:tcPr>
            <w:tcW w:w="1304" w:type="dxa"/>
          </w:tcPr>
          <w:p w:rsidR="00041039" w:rsidRDefault="001B26CB">
            <w:pPr>
              <w:pStyle w:val="TableParagraph"/>
              <w:spacing w:before="19"/>
              <w:ind w:left="57"/>
              <w:rPr>
                <w:sz w:val="14"/>
              </w:rPr>
            </w:pPr>
            <w:r>
              <w:rPr>
                <w:color w:val="231F20"/>
                <w:sz w:val="14"/>
              </w:rPr>
              <w:t>Исус Христос као нови Адам и начел­ ник све твари</w:t>
            </w:r>
          </w:p>
        </w:tc>
        <w:tc>
          <w:tcPr>
            <w:tcW w:w="1587" w:type="dxa"/>
          </w:tcPr>
          <w:p w:rsidR="00041039" w:rsidRDefault="001B26CB">
            <w:pPr>
              <w:pStyle w:val="TableParagraph"/>
              <w:numPr>
                <w:ilvl w:val="0"/>
                <w:numId w:val="1868"/>
              </w:numPr>
              <w:tabs>
                <w:tab w:val="left" w:pos="157"/>
              </w:tabs>
              <w:spacing w:before="9"/>
              <w:ind w:right="85" w:hanging="99"/>
              <w:jc w:val="both"/>
              <w:rPr>
                <w:sz w:val="14"/>
              </w:rPr>
            </w:pPr>
            <w:r>
              <w:rPr>
                <w:color w:val="231F20"/>
                <w:sz w:val="14"/>
              </w:rPr>
              <w:t>Исус Христос је нови Адам и једино са њим се остварује заједница са</w:t>
            </w:r>
            <w:r>
              <w:rPr>
                <w:color w:val="231F20"/>
                <w:spacing w:val="-1"/>
                <w:sz w:val="14"/>
              </w:rPr>
              <w:t xml:space="preserve"> </w:t>
            </w:r>
            <w:r>
              <w:rPr>
                <w:color w:val="231F20"/>
                <w:sz w:val="14"/>
              </w:rPr>
              <w:t>Богом.</w:t>
            </w:r>
          </w:p>
        </w:tc>
        <w:tc>
          <w:tcPr>
            <w:tcW w:w="2551" w:type="dxa"/>
          </w:tcPr>
          <w:p w:rsidR="00041039" w:rsidRDefault="001B26CB">
            <w:pPr>
              <w:pStyle w:val="TableParagraph"/>
              <w:numPr>
                <w:ilvl w:val="0"/>
                <w:numId w:val="1867"/>
              </w:numPr>
              <w:tabs>
                <w:tab w:val="left" w:pos="157"/>
              </w:tabs>
              <w:spacing w:before="9"/>
              <w:ind w:right="216" w:hanging="99"/>
              <w:rPr>
                <w:sz w:val="14"/>
              </w:rPr>
            </w:pPr>
            <w:r>
              <w:rPr>
                <w:color w:val="231F20"/>
                <w:sz w:val="14"/>
              </w:rPr>
              <w:t>схвати да се Тајна Христова</w:t>
            </w:r>
            <w:r>
              <w:rPr>
                <w:color w:val="231F20"/>
                <w:spacing w:val="-24"/>
                <w:sz w:val="14"/>
              </w:rPr>
              <w:t xml:space="preserve"> </w:t>
            </w:r>
            <w:r>
              <w:rPr>
                <w:color w:val="231F20"/>
                <w:sz w:val="14"/>
              </w:rPr>
              <w:t>поисто­ већује са</w:t>
            </w:r>
            <w:r>
              <w:rPr>
                <w:color w:val="231F20"/>
                <w:spacing w:val="-1"/>
                <w:sz w:val="14"/>
              </w:rPr>
              <w:t xml:space="preserve"> </w:t>
            </w:r>
            <w:r>
              <w:rPr>
                <w:color w:val="231F20"/>
                <w:sz w:val="14"/>
              </w:rPr>
              <w:t>литургијом;</w:t>
            </w:r>
          </w:p>
        </w:tc>
        <w:tc>
          <w:tcPr>
            <w:tcW w:w="2834" w:type="dxa"/>
          </w:tcPr>
          <w:p w:rsidR="00041039" w:rsidRDefault="001B26CB">
            <w:pPr>
              <w:pStyle w:val="TableParagraph"/>
              <w:numPr>
                <w:ilvl w:val="0"/>
                <w:numId w:val="1866"/>
              </w:numPr>
              <w:tabs>
                <w:tab w:val="left" w:pos="158"/>
              </w:tabs>
              <w:spacing w:before="9"/>
              <w:ind w:right="224"/>
              <w:rPr>
                <w:sz w:val="14"/>
              </w:rPr>
            </w:pPr>
            <w:r>
              <w:rPr>
                <w:color w:val="231F20"/>
                <w:sz w:val="14"/>
              </w:rPr>
              <w:t>Исус Христос као нови Адам и</w:t>
            </w:r>
            <w:r>
              <w:rPr>
                <w:color w:val="231F20"/>
                <w:spacing w:val="-24"/>
                <w:sz w:val="14"/>
              </w:rPr>
              <w:t xml:space="preserve"> </w:t>
            </w:r>
            <w:r>
              <w:rPr>
                <w:color w:val="231F20"/>
                <w:sz w:val="14"/>
              </w:rPr>
              <w:t>начелник све</w:t>
            </w:r>
            <w:r>
              <w:rPr>
                <w:color w:val="231F20"/>
                <w:spacing w:val="-1"/>
                <w:sz w:val="14"/>
              </w:rPr>
              <w:t xml:space="preserve"> </w:t>
            </w:r>
            <w:r>
              <w:rPr>
                <w:color w:val="231F20"/>
                <w:sz w:val="14"/>
              </w:rPr>
              <w:t>твари.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840"/>
        </w:trPr>
        <w:tc>
          <w:tcPr>
            <w:tcW w:w="1304" w:type="dxa"/>
          </w:tcPr>
          <w:p w:rsidR="00041039" w:rsidRDefault="001B26CB">
            <w:pPr>
              <w:pStyle w:val="TableParagraph"/>
              <w:spacing w:before="18"/>
              <w:ind w:left="56" w:right="73"/>
              <w:rPr>
                <w:sz w:val="14"/>
              </w:rPr>
            </w:pPr>
            <w:r>
              <w:rPr>
                <w:color w:val="231F20"/>
                <w:spacing w:val="-4"/>
                <w:sz w:val="14"/>
              </w:rPr>
              <w:lastRenderedPageBreak/>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и створене</w:t>
            </w:r>
            <w:r>
              <w:rPr>
                <w:color w:val="231F20"/>
                <w:spacing w:val="-10"/>
                <w:sz w:val="14"/>
              </w:rPr>
              <w:t xml:space="preserve"> </w:t>
            </w:r>
            <w:r>
              <w:rPr>
                <w:color w:val="231F20"/>
                <w:sz w:val="14"/>
              </w:rPr>
              <w:t>природе са</w:t>
            </w:r>
            <w:r>
              <w:rPr>
                <w:color w:val="231F20"/>
                <w:spacing w:val="-1"/>
                <w:sz w:val="14"/>
              </w:rPr>
              <w:t xml:space="preserve"> </w:t>
            </w:r>
            <w:r>
              <w:rPr>
                <w:color w:val="231F20"/>
                <w:sz w:val="14"/>
              </w:rPr>
              <w:t>Христом</w:t>
            </w:r>
          </w:p>
        </w:tc>
        <w:tc>
          <w:tcPr>
            <w:tcW w:w="1587" w:type="dxa"/>
          </w:tcPr>
          <w:p w:rsidR="00041039" w:rsidRDefault="001B26CB">
            <w:pPr>
              <w:pStyle w:val="TableParagraph"/>
              <w:numPr>
                <w:ilvl w:val="0"/>
                <w:numId w:val="1865"/>
              </w:numPr>
              <w:tabs>
                <w:tab w:val="left" w:pos="157"/>
              </w:tabs>
              <w:spacing w:before="8"/>
              <w:ind w:right="104"/>
              <w:rPr>
                <w:sz w:val="14"/>
              </w:rPr>
            </w:pPr>
            <w:r>
              <w:rPr>
                <w:color w:val="231F20"/>
                <w:sz w:val="14"/>
              </w:rPr>
              <w:t xml:space="preserve">Да </w:t>
            </w:r>
            <w:r>
              <w:rPr>
                <w:color w:val="231F20"/>
                <w:spacing w:val="-3"/>
                <w:sz w:val="14"/>
              </w:rPr>
              <w:t xml:space="preserve">људи </w:t>
            </w:r>
            <w:r>
              <w:rPr>
                <w:color w:val="231F20"/>
                <w:sz w:val="14"/>
              </w:rPr>
              <w:t>и створена природа могу да остваре заједницу са Христом</w:t>
            </w:r>
            <w:r>
              <w:rPr>
                <w:color w:val="231F20"/>
                <w:spacing w:val="-11"/>
                <w:sz w:val="14"/>
              </w:rPr>
              <w:t xml:space="preserve"> </w:t>
            </w:r>
            <w:r>
              <w:rPr>
                <w:color w:val="231F20"/>
                <w:sz w:val="14"/>
              </w:rPr>
              <w:t>посредством Духа</w:t>
            </w:r>
            <w:r>
              <w:rPr>
                <w:color w:val="231F20"/>
                <w:spacing w:val="-1"/>
                <w:sz w:val="14"/>
              </w:rPr>
              <w:t xml:space="preserve"> </w:t>
            </w:r>
            <w:r>
              <w:rPr>
                <w:color w:val="231F20"/>
                <w:spacing w:val="-3"/>
                <w:sz w:val="14"/>
              </w:rPr>
              <w:t>Светог.</w:t>
            </w:r>
          </w:p>
        </w:tc>
        <w:tc>
          <w:tcPr>
            <w:tcW w:w="2551" w:type="dxa"/>
          </w:tcPr>
          <w:p w:rsidR="00041039" w:rsidRDefault="001B26CB">
            <w:pPr>
              <w:pStyle w:val="TableParagraph"/>
              <w:numPr>
                <w:ilvl w:val="0"/>
                <w:numId w:val="1864"/>
              </w:numPr>
              <w:tabs>
                <w:tab w:val="left" w:pos="157"/>
              </w:tabs>
              <w:spacing w:before="8"/>
              <w:ind w:right="115" w:hanging="99"/>
              <w:rPr>
                <w:sz w:val="14"/>
              </w:rPr>
            </w:pPr>
            <w:r>
              <w:rPr>
                <w:color w:val="231F20"/>
                <w:sz w:val="14"/>
              </w:rPr>
              <w:t>уочи да Дух Свети конституише цркву кроз крштење, миропомазање</w:t>
            </w:r>
            <w:r>
              <w:rPr>
                <w:color w:val="231F20"/>
                <w:spacing w:val="-12"/>
                <w:sz w:val="14"/>
              </w:rPr>
              <w:t xml:space="preserve"> </w:t>
            </w:r>
            <w:r>
              <w:rPr>
                <w:color w:val="231F20"/>
                <w:sz w:val="14"/>
              </w:rPr>
              <w:t>и рукоположење;</w:t>
            </w:r>
          </w:p>
        </w:tc>
        <w:tc>
          <w:tcPr>
            <w:tcW w:w="2834" w:type="dxa"/>
          </w:tcPr>
          <w:p w:rsidR="00041039" w:rsidRDefault="001B26CB">
            <w:pPr>
              <w:pStyle w:val="TableParagraph"/>
              <w:numPr>
                <w:ilvl w:val="0"/>
                <w:numId w:val="1863"/>
              </w:numPr>
              <w:tabs>
                <w:tab w:val="left" w:pos="157"/>
              </w:tabs>
              <w:spacing w:before="8"/>
              <w:ind w:right="312" w:hanging="99"/>
              <w:rPr>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и створене природе са</w:t>
            </w:r>
            <w:r>
              <w:rPr>
                <w:color w:val="231F20"/>
                <w:spacing w:val="-3"/>
                <w:sz w:val="14"/>
              </w:rPr>
              <w:t xml:space="preserve"> </w:t>
            </w:r>
            <w:r>
              <w:rPr>
                <w:color w:val="231F20"/>
                <w:sz w:val="14"/>
              </w:rPr>
              <w:t>Христом.</w:t>
            </w:r>
          </w:p>
        </w:tc>
        <w:tc>
          <w:tcPr>
            <w:tcW w:w="2267" w:type="dxa"/>
            <w:vMerge w:val="restart"/>
          </w:tcPr>
          <w:p w:rsidR="00041039" w:rsidRDefault="001B26CB">
            <w:pPr>
              <w:pStyle w:val="TableParagraph"/>
              <w:spacing w:before="16"/>
              <w:ind w:left="58"/>
              <w:rPr>
                <w:b/>
                <w:sz w:val="14"/>
              </w:rPr>
            </w:pPr>
            <w:r>
              <w:rPr>
                <w:b/>
                <w:color w:val="231F20"/>
                <w:sz w:val="14"/>
              </w:rPr>
              <w:t>Препоруке за реализацију садр- жаја програма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w:t>
            </w:r>
            <w:r>
              <w:rPr>
                <w:color w:val="231F20"/>
                <w:sz w:val="14"/>
              </w:rPr>
              <w:t xml:space="preserve"> вршити кроз:</w:t>
            </w:r>
          </w:p>
          <w:p w:rsidR="00041039" w:rsidRDefault="001B26CB">
            <w:pPr>
              <w:pStyle w:val="TableParagraph"/>
              <w:numPr>
                <w:ilvl w:val="0"/>
                <w:numId w:val="1862"/>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862"/>
              </w:numPr>
              <w:tabs>
                <w:tab w:val="left" w:pos="158"/>
              </w:tabs>
              <w:spacing w:line="237" w:lineRule="auto"/>
              <w:ind w:right="141" w:hanging="99"/>
              <w:rPr>
                <w:b/>
                <w:sz w:val="14"/>
              </w:rPr>
            </w:pPr>
            <w:r>
              <w:rPr>
                <w:color w:val="231F20"/>
                <w:sz w:val="14"/>
              </w:rPr>
              <w:t>Тајна Христова­јединство Бога и човека као циљ стварања</w:t>
            </w:r>
            <w:r>
              <w:rPr>
                <w:color w:val="231F20"/>
                <w:spacing w:val="-13"/>
                <w:sz w:val="14"/>
              </w:rPr>
              <w:t xml:space="preserve"> </w:t>
            </w:r>
            <w:r>
              <w:rPr>
                <w:color w:val="231F20"/>
                <w:sz w:val="14"/>
              </w:rPr>
              <w:t xml:space="preserve">света </w:t>
            </w:r>
            <w:r>
              <w:rPr>
                <w:b/>
                <w:color w:val="231F20"/>
                <w:sz w:val="14"/>
              </w:rPr>
              <w:t>(3 часа)</w:t>
            </w:r>
          </w:p>
          <w:p w:rsidR="00041039" w:rsidRDefault="001B26CB">
            <w:pPr>
              <w:pStyle w:val="TableParagraph"/>
              <w:numPr>
                <w:ilvl w:val="0"/>
                <w:numId w:val="1862"/>
              </w:numPr>
              <w:tabs>
                <w:tab w:val="left" w:pos="158"/>
              </w:tabs>
              <w:spacing w:line="237" w:lineRule="auto"/>
              <w:ind w:right="51" w:hanging="99"/>
              <w:rPr>
                <w:b/>
                <w:sz w:val="14"/>
              </w:rPr>
            </w:pPr>
            <w:r>
              <w:rPr>
                <w:color w:val="231F20"/>
                <w:sz w:val="14"/>
              </w:rPr>
              <w:t>Христово оваплоћење и</w:t>
            </w:r>
            <w:r>
              <w:rPr>
                <w:color w:val="231F20"/>
                <w:spacing w:val="-16"/>
                <w:sz w:val="14"/>
              </w:rPr>
              <w:t xml:space="preserve"> </w:t>
            </w:r>
            <w:r>
              <w:rPr>
                <w:color w:val="231F20"/>
                <w:sz w:val="14"/>
              </w:rPr>
              <w:t xml:space="preserve">страдање, смрт као последица греха првих </w:t>
            </w:r>
            <w:r>
              <w:rPr>
                <w:color w:val="231F20"/>
                <w:spacing w:val="-3"/>
                <w:sz w:val="14"/>
              </w:rPr>
              <w:t xml:space="preserve">људи </w:t>
            </w:r>
            <w:r>
              <w:rPr>
                <w:b/>
                <w:color w:val="231F20"/>
                <w:sz w:val="14"/>
              </w:rPr>
              <w:t>(3</w:t>
            </w:r>
            <w:r>
              <w:rPr>
                <w:b/>
                <w:color w:val="231F20"/>
                <w:spacing w:val="1"/>
                <w:sz w:val="14"/>
              </w:rPr>
              <w:t xml:space="preserve"> </w:t>
            </w:r>
            <w:r>
              <w:rPr>
                <w:b/>
                <w:color w:val="231F20"/>
                <w:sz w:val="14"/>
              </w:rPr>
              <w:t>часа)</w:t>
            </w:r>
          </w:p>
          <w:p w:rsidR="00041039" w:rsidRDefault="001B26CB">
            <w:pPr>
              <w:pStyle w:val="TableParagraph"/>
              <w:numPr>
                <w:ilvl w:val="0"/>
                <w:numId w:val="1862"/>
              </w:numPr>
              <w:tabs>
                <w:tab w:val="left" w:pos="158"/>
              </w:tabs>
              <w:spacing w:line="237" w:lineRule="auto"/>
              <w:ind w:right="98" w:hanging="99"/>
              <w:rPr>
                <w:b/>
                <w:sz w:val="14"/>
              </w:rPr>
            </w:pPr>
            <w:r>
              <w:rPr>
                <w:color w:val="231F20"/>
                <w:sz w:val="14"/>
              </w:rPr>
              <w:t xml:space="preserve">Бог је васкрсао Христа из мртвих </w:t>
            </w:r>
            <w:r>
              <w:rPr>
                <w:color w:val="231F20"/>
                <w:spacing w:val="-3"/>
                <w:sz w:val="14"/>
              </w:rPr>
              <w:t xml:space="preserve">Духом </w:t>
            </w:r>
            <w:r>
              <w:rPr>
                <w:color w:val="231F20"/>
                <w:sz w:val="14"/>
              </w:rPr>
              <w:t xml:space="preserve">Светим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862"/>
              </w:numPr>
              <w:tabs>
                <w:tab w:val="left" w:pos="158"/>
              </w:tabs>
              <w:spacing w:line="160" w:lineRule="exact"/>
              <w:ind w:right="244" w:hanging="99"/>
              <w:rPr>
                <w:b/>
                <w:sz w:val="14"/>
              </w:rPr>
            </w:pPr>
            <w:r>
              <w:rPr>
                <w:color w:val="231F20"/>
                <w:sz w:val="14"/>
              </w:rPr>
              <w:t>Исус Христос као нови Адам</w:t>
            </w:r>
            <w:r>
              <w:rPr>
                <w:color w:val="231F20"/>
                <w:spacing w:val="-16"/>
                <w:sz w:val="14"/>
              </w:rPr>
              <w:t xml:space="preserve"> </w:t>
            </w:r>
            <w:r>
              <w:rPr>
                <w:color w:val="231F20"/>
                <w:sz w:val="14"/>
              </w:rPr>
              <w:t xml:space="preserve">и начелник све твари </w:t>
            </w:r>
            <w:r>
              <w:rPr>
                <w:b/>
                <w:color w:val="231F20"/>
                <w:sz w:val="14"/>
              </w:rPr>
              <w:t>(3</w:t>
            </w:r>
            <w:r>
              <w:rPr>
                <w:b/>
                <w:color w:val="231F20"/>
                <w:spacing w:val="-5"/>
                <w:sz w:val="14"/>
              </w:rPr>
              <w:t xml:space="preserve"> </w:t>
            </w:r>
            <w:r>
              <w:rPr>
                <w:b/>
                <w:color w:val="231F20"/>
                <w:sz w:val="14"/>
              </w:rPr>
              <w:t>часа)</w:t>
            </w:r>
          </w:p>
          <w:p w:rsidR="00041039" w:rsidRDefault="001B26CB">
            <w:pPr>
              <w:pStyle w:val="TableParagraph"/>
              <w:numPr>
                <w:ilvl w:val="0"/>
                <w:numId w:val="1862"/>
              </w:numPr>
              <w:tabs>
                <w:tab w:val="left" w:pos="158"/>
              </w:tabs>
              <w:spacing w:line="160" w:lineRule="exact"/>
              <w:ind w:right="199" w:hanging="99"/>
              <w:rPr>
                <w:b/>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 xml:space="preserve">и створене природе са Христом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1862"/>
              </w:numPr>
              <w:tabs>
                <w:tab w:val="left" w:pos="158"/>
              </w:tabs>
              <w:spacing w:line="160" w:lineRule="exact"/>
              <w:ind w:right="106" w:hanging="99"/>
              <w:rPr>
                <w:b/>
                <w:sz w:val="14"/>
              </w:rPr>
            </w:pPr>
            <w:r>
              <w:rPr>
                <w:color w:val="231F20"/>
                <w:sz w:val="14"/>
              </w:rPr>
              <w:t>Литургија као икона истинског постојања света ­ Царства</w:t>
            </w:r>
            <w:r>
              <w:rPr>
                <w:color w:val="231F20"/>
                <w:spacing w:val="-11"/>
                <w:sz w:val="14"/>
              </w:rPr>
              <w:t xml:space="preserve"> </w:t>
            </w:r>
            <w:r>
              <w:rPr>
                <w:color w:val="231F20"/>
                <w:sz w:val="14"/>
              </w:rPr>
              <w:t xml:space="preserve">Божјег </w:t>
            </w:r>
            <w:r>
              <w:rPr>
                <w:b/>
                <w:color w:val="231F20"/>
                <w:sz w:val="14"/>
              </w:rPr>
              <w:t>(6</w:t>
            </w:r>
            <w:r>
              <w:rPr>
                <w:b/>
                <w:color w:val="231F20"/>
                <w:spacing w:val="-1"/>
                <w:sz w:val="14"/>
              </w:rPr>
              <w:t xml:space="preserve"> </w:t>
            </w:r>
            <w:r>
              <w:rPr>
                <w:b/>
                <w:color w:val="231F20"/>
                <w:sz w:val="14"/>
              </w:rPr>
              <w:t>часова)</w:t>
            </w:r>
          </w:p>
          <w:p w:rsidR="00041039" w:rsidRDefault="001B26CB">
            <w:pPr>
              <w:pStyle w:val="TableParagraph"/>
              <w:numPr>
                <w:ilvl w:val="0"/>
                <w:numId w:val="1862"/>
              </w:numPr>
              <w:tabs>
                <w:tab w:val="left" w:pos="158"/>
              </w:tabs>
              <w:spacing w:line="153" w:lineRule="exact"/>
              <w:ind w:hanging="99"/>
              <w:rPr>
                <w:b/>
                <w:sz w:val="14"/>
              </w:rPr>
            </w:pPr>
            <w:r>
              <w:rPr>
                <w:color w:val="231F20"/>
                <w:sz w:val="14"/>
              </w:rPr>
              <w:t xml:space="preserve">Апостолско прејемство </w:t>
            </w:r>
            <w:r>
              <w:rPr>
                <w:b/>
                <w:color w:val="231F20"/>
                <w:sz w:val="14"/>
              </w:rPr>
              <w:t>(6</w:t>
            </w:r>
            <w:r>
              <w:rPr>
                <w:b/>
                <w:color w:val="231F20"/>
                <w:spacing w:val="-18"/>
                <w:sz w:val="14"/>
              </w:rPr>
              <w:t xml:space="preserve"> </w:t>
            </w:r>
            <w:r>
              <w:rPr>
                <w:b/>
                <w:color w:val="231F20"/>
                <w:sz w:val="14"/>
              </w:rPr>
              <w:t>часова)</w:t>
            </w:r>
          </w:p>
          <w:p w:rsidR="00041039" w:rsidRDefault="001B26CB">
            <w:pPr>
              <w:pStyle w:val="TableParagraph"/>
              <w:numPr>
                <w:ilvl w:val="0"/>
                <w:numId w:val="1862"/>
              </w:numPr>
              <w:tabs>
                <w:tab w:val="left" w:pos="151"/>
              </w:tabs>
              <w:spacing w:line="237" w:lineRule="auto"/>
              <w:ind w:left="150" w:right="59" w:hanging="92"/>
              <w:rPr>
                <w:b/>
                <w:sz w:val="14"/>
              </w:rPr>
            </w:pPr>
            <w:r>
              <w:rPr>
                <w:color w:val="231F20"/>
                <w:spacing w:val="-4"/>
                <w:sz w:val="14"/>
              </w:rPr>
              <w:t xml:space="preserve">Распеће </w:t>
            </w:r>
            <w:r>
              <w:rPr>
                <w:color w:val="231F20"/>
                <w:sz w:val="14"/>
              </w:rPr>
              <w:t xml:space="preserve">и </w:t>
            </w:r>
            <w:r>
              <w:rPr>
                <w:color w:val="231F20"/>
                <w:spacing w:val="-4"/>
                <w:sz w:val="14"/>
              </w:rPr>
              <w:t xml:space="preserve">васкрсење Христово </w:t>
            </w:r>
            <w:r>
              <w:rPr>
                <w:color w:val="231F20"/>
                <w:sz w:val="14"/>
              </w:rPr>
              <w:t xml:space="preserve">у </w:t>
            </w:r>
            <w:r>
              <w:rPr>
                <w:color w:val="231F20"/>
                <w:spacing w:val="-4"/>
                <w:sz w:val="14"/>
              </w:rPr>
              <w:t xml:space="preserve">православној </w:t>
            </w:r>
            <w:r>
              <w:rPr>
                <w:color w:val="231F20"/>
                <w:spacing w:val="-5"/>
                <w:sz w:val="14"/>
              </w:rPr>
              <w:t xml:space="preserve">иконографији </w:t>
            </w:r>
            <w:r>
              <w:rPr>
                <w:b/>
                <w:color w:val="231F20"/>
                <w:sz w:val="14"/>
              </w:rPr>
              <w:t>(4</w:t>
            </w:r>
            <w:r>
              <w:rPr>
                <w:b/>
                <w:color w:val="231F20"/>
                <w:spacing w:val="-1"/>
                <w:sz w:val="14"/>
              </w:rPr>
              <w:t xml:space="preserve"> </w:t>
            </w:r>
            <w:r>
              <w:rPr>
                <w:b/>
                <w:color w:val="231F20"/>
                <w:spacing w:val="-3"/>
                <w:sz w:val="14"/>
              </w:rPr>
              <w:t>часа)</w:t>
            </w:r>
          </w:p>
        </w:tc>
      </w:tr>
      <w:tr w:rsidR="00041039">
        <w:trPr>
          <w:trHeight w:val="1000"/>
        </w:trPr>
        <w:tc>
          <w:tcPr>
            <w:tcW w:w="1304" w:type="dxa"/>
          </w:tcPr>
          <w:p w:rsidR="00041039" w:rsidRDefault="001B26CB">
            <w:pPr>
              <w:pStyle w:val="TableParagraph"/>
              <w:spacing w:before="19"/>
              <w:ind w:left="56" w:right="185"/>
              <w:rPr>
                <w:sz w:val="14"/>
              </w:rPr>
            </w:pPr>
            <w:r>
              <w:rPr>
                <w:color w:val="231F20"/>
                <w:sz w:val="14"/>
              </w:rPr>
              <w:t>Литургија као икона истинског постојања света ­ Царства Божјег</w:t>
            </w:r>
          </w:p>
        </w:tc>
        <w:tc>
          <w:tcPr>
            <w:tcW w:w="1587" w:type="dxa"/>
          </w:tcPr>
          <w:p w:rsidR="00041039" w:rsidRDefault="001B26CB">
            <w:pPr>
              <w:pStyle w:val="TableParagraph"/>
              <w:numPr>
                <w:ilvl w:val="0"/>
                <w:numId w:val="1861"/>
              </w:numPr>
              <w:tabs>
                <w:tab w:val="left" w:pos="157"/>
              </w:tabs>
              <w:spacing w:before="8"/>
              <w:ind w:right="43"/>
              <w:rPr>
                <w:sz w:val="14"/>
              </w:rPr>
            </w:pPr>
            <w:r>
              <w:rPr>
                <w:color w:val="231F20"/>
                <w:spacing w:val="-3"/>
                <w:sz w:val="14"/>
              </w:rPr>
              <w:t xml:space="preserve">Указати </w:t>
            </w:r>
            <w:r>
              <w:rPr>
                <w:color w:val="231F20"/>
                <w:sz w:val="14"/>
              </w:rPr>
              <w:t>да постоји онтолошка разлика између иконе чији је прототип у</w:t>
            </w:r>
            <w:r>
              <w:rPr>
                <w:color w:val="231F20"/>
                <w:spacing w:val="-22"/>
                <w:sz w:val="14"/>
              </w:rPr>
              <w:t xml:space="preserve"> </w:t>
            </w:r>
            <w:r>
              <w:rPr>
                <w:color w:val="231F20"/>
                <w:sz w:val="14"/>
              </w:rPr>
              <w:t>будућности и слике која има про­ тотип у</w:t>
            </w:r>
            <w:r>
              <w:rPr>
                <w:color w:val="231F20"/>
                <w:spacing w:val="-3"/>
                <w:sz w:val="14"/>
              </w:rPr>
              <w:t xml:space="preserve"> </w:t>
            </w:r>
            <w:r>
              <w:rPr>
                <w:color w:val="231F20"/>
                <w:sz w:val="14"/>
              </w:rPr>
              <w:t>прошлости.</w:t>
            </w:r>
          </w:p>
        </w:tc>
        <w:tc>
          <w:tcPr>
            <w:tcW w:w="2551" w:type="dxa"/>
          </w:tcPr>
          <w:p w:rsidR="00041039" w:rsidRDefault="001B26CB">
            <w:pPr>
              <w:pStyle w:val="TableParagraph"/>
              <w:numPr>
                <w:ilvl w:val="0"/>
                <w:numId w:val="1860"/>
              </w:numPr>
              <w:tabs>
                <w:tab w:val="left" w:pos="157"/>
              </w:tabs>
              <w:spacing w:before="9"/>
              <w:ind w:right="188" w:hanging="99"/>
              <w:rPr>
                <w:sz w:val="14"/>
              </w:rPr>
            </w:pPr>
            <w:r>
              <w:rPr>
                <w:color w:val="231F20"/>
                <w:sz w:val="14"/>
              </w:rPr>
              <w:t xml:space="preserve">уочи идентичност структуре </w:t>
            </w:r>
            <w:r>
              <w:rPr>
                <w:color w:val="231F20"/>
                <w:spacing w:val="-3"/>
                <w:sz w:val="14"/>
              </w:rPr>
              <w:t xml:space="preserve">будућег </w:t>
            </w:r>
            <w:r>
              <w:rPr>
                <w:color w:val="231F20"/>
                <w:sz w:val="14"/>
              </w:rPr>
              <w:t>Царства Божјег и</w:t>
            </w:r>
            <w:r>
              <w:rPr>
                <w:color w:val="231F20"/>
                <w:spacing w:val="-4"/>
                <w:sz w:val="14"/>
              </w:rPr>
              <w:t xml:space="preserve"> </w:t>
            </w:r>
            <w:r>
              <w:rPr>
                <w:color w:val="231F20"/>
                <w:sz w:val="14"/>
              </w:rPr>
              <w:t>литургије;</w:t>
            </w:r>
          </w:p>
        </w:tc>
        <w:tc>
          <w:tcPr>
            <w:tcW w:w="2834" w:type="dxa"/>
          </w:tcPr>
          <w:p w:rsidR="00041039" w:rsidRDefault="001B26CB">
            <w:pPr>
              <w:pStyle w:val="TableParagraph"/>
              <w:numPr>
                <w:ilvl w:val="0"/>
                <w:numId w:val="1859"/>
              </w:numPr>
              <w:tabs>
                <w:tab w:val="left" w:pos="158"/>
              </w:tabs>
              <w:spacing w:before="9"/>
              <w:ind w:right="178"/>
              <w:rPr>
                <w:sz w:val="14"/>
              </w:rPr>
            </w:pPr>
            <w:r>
              <w:rPr>
                <w:color w:val="231F20"/>
                <w:sz w:val="14"/>
              </w:rPr>
              <w:t>Литургија</w:t>
            </w:r>
            <w:r>
              <w:rPr>
                <w:color w:val="231F20"/>
                <w:spacing w:val="-7"/>
                <w:sz w:val="14"/>
              </w:rPr>
              <w:t xml:space="preserve"> </w:t>
            </w:r>
            <w:r>
              <w:rPr>
                <w:color w:val="231F20"/>
                <w:sz w:val="14"/>
              </w:rPr>
              <w:t>као</w:t>
            </w:r>
            <w:r>
              <w:rPr>
                <w:color w:val="231F20"/>
                <w:spacing w:val="-7"/>
                <w:sz w:val="14"/>
              </w:rPr>
              <w:t xml:space="preserve"> </w:t>
            </w:r>
            <w:r>
              <w:rPr>
                <w:color w:val="231F20"/>
                <w:sz w:val="14"/>
              </w:rPr>
              <w:t>икона</w:t>
            </w:r>
            <w:r>
              <w:rPr>
                <w:color w:val="231F20"/>
                <w:spacing w:val="-7"/>
                <w:sz w:val="14"/>
              </w:rPr>
              <w:t xml:space="preserve"> </w:t>
            </w:r>
            <w:r>
              <w:rPr>
                <w:color w:val="231F20"/>
                <w:sz w:val="14"/>
              </w:rPr>
              <w:t>истинског</w:t>
            </w:r>
            <w:r>
              <w:rPr>
                <w:color w:val="231F20"/>
                <w:spacing w:val="-7"/>
                <w:sz w:val="14"/>
              </w:rPr>
              <w:t xml:space="preserve"> </w:t>
            </w:r>
            <w:r>
              <w:rPr>
                <w:color w:val="231F20"/>
                <w:sz w:val="14"/>
              </w:rPr>
              <w:t>постојања света ­ Царства</w:t>
            </w:r>
            <w:r>
              <w:rPr>
                <w:color w:val="231F20"/>
                <w:spacing w:val="-2"/>
                <w:sz w:val="14"/>
              </w:rPr>
              <w:t xml:space="preserve"> </w:t>
            </w:r>
            <w:r>
              <w:rPr>
                <w:color w:val="231F20"/>
                <w:spacing w:val="-3"/>
                <w:sz w:val="14"/>
              </w:rPr>
              <w:t>Божјег.</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Pr>
                <w:sz w:val="14"/>
              </w:rPr>
            </w:pPr>
            <w:r>
              <w:rPr>
                <w:color w:val="231F20"/>
                <w:sz w:val="14"/>
              </w:rPr>
              <w:t>Апостолско прејем­ ство</w:t>
            </w:r>
          </w:p>
        </w:tc>
        <w:tc>
          <w:tcPr>
            <w:tcW w:w="1587" w:type="dxa"/>
          </w:tcPr>
          <w:p w:rsidR="00041039" w:rsidRDefault="001B26CB">
            <w:pPr>
              <w:pStyle w:val="TableParagraph"/>
              <w:numPr>
                <w:ilvl w:val="0"/>
                <w:numId w:val="1858"/>
              </w:numPr>
              <w:tabs>
                <w:tab w:val="left" w:pos="157"/>
              </w:tabs>
              <w:spacing w:before="9"/>
              <w:ind w:right="67" w:hanging="99"/>
              <w:rPr>
                <w:sz w:val="14"/>
              </w:rPr>
            </w:pPr>
            <w:r>
              <w:rPr>
                <w:color w:val="231F20"/>
                <w:spacing w:val="-3"/>
                <w:sz w:val="14"/>
              </w:rPr>
              <w:t xml:space="preserve">Указати </w:t>
            </w:r>
            <w:r>
              <w:rPr>
                <w:color w:val="231F20"/>
                <w:sz w:val="14"/>
              </w:rPr>
              <w:t>ученицима да апостолско</w:t>
            </w:r>
            <w:r>
              <w:rPr>
                <w:color w:val="231F20"/>
                <w:spacing w:val="-16"/>
                <w:sz w:val="14"/>
              </w:rPr>
              <w:t xml:space="preserve"> </w:t>
            </w:r>
            <w:r>
              <w:rPr>
                <w:color w:val="231F20"/>
                <w:sz w:val="14"/>
              </w:rPr>
              <w:t>прејемство подразумева да се црква установљује не на основу прошлости већ</w:t>
            </w:r>
            <w:r>
              <w:rPr>
                <w:color w:val="231F20"/>
                <w:spacing w:val="-2"/>
                <w:sz w:val="14"/>
              </w:rPr>
              <w:t xml:space="preserve"> </w:t>
            </w:r>
            <w:r>
              <w:rPr>
                <w:color w:val="231F20"/>
                <w:sz w:val="14"/>
              </w:rPr>
              <w:t>будућности.</w:t>
            </w:r>
          </w:p>
        </w:tc>
        <w:tc>
          <w:tcPr>
            <w:tcW w:w="2551" w:type="dxa"/>
          </w:tcPr>
          <w:p w:rsidR="00041039" w:rsidRDefault="001B26CB">
            <w:pPr>
              <w:pStyle w:val="TableParagraph"/>
              <w:numPr>
                <w:ilvl w:val="0"/>
                <w:numId w:val="1857"/>
              </w:numPr>
              <w:tabs>
                <w:tab w:val="left" w:pos="157"/>
              </w:tabs>
              <w:spacing w:before="9"/>
              <w:ind w:right="55" w:hanging="99"/>
              <w:rPr>
                <w:sz w:val="14"/>
              </w:rPr>
            </w:pPr>
            <w:r>
              <w:rPr>
                <w:color w:val="231F20"/>
                <w:sz w:val="14"/>
              </w:rPr>
              <w:t>уочи</w:t>
            </w:r>
            <w:r>
              <w:rPr>
                <w:color w:val="231F20"/>
                <w:spacing w:val="-7"/>
                <w:sz w:val="14"/>
              </w:rPr>
              <w:t xml:space="preserve"> </w:t>
            </w:r>
            <w:r>
              <w:rPr>
                <w:color w:val="231F20"/>
                <w:sz w:val="14"/>
              </w:rPr>
              <w:t>да</w:t>
            </w:r>
            <w:r>
              <w:rPr>
                <w:color w:val="231F20"/>
                <w:spacing w:val="-7"/>
                <w:sz w:val="14"/>
              </w:rPr>
              <w:t xml:space="preserve"> </w:t>
            </w:r>
            <w:r>
              <w:rPr>
                <w:color w:val="231F20"/>
                <w:sz w:val="14"/>
              </w:rPr>
              <w:t>апостолско</w:t>
            </w:r>
            <w:r>
              <w:rPr>
                <w:color w:val="231F20"/>
                <w:spacing w:val="-7"/>
                <w:sz w:val="14"/>
              </w:rPr>
              <w:t xml:space="preserve"> </w:t>
            </w:r>
            <w:r>
              <w:rPr>
                <w:color w:val="231F20"/>
                <w:sz w:val="14"/>
              </w:rPr>
              <w:t>прејемство</w:t>
            </w:r>
            <w:r>
              <w:rPr>
                <w:color w:val="231F20"/>
                <w:spacing w:val="-7"/>
                <w:sz w:val="14"/>
              </w:rPr>
              <w:t xml:space="preserve"> </w:t>
            </w:r>
            <w:r>
              <w:rPr>
                <w:color w:val="231F20"/>
                <w:sz w:val="14"/>
              </w:rPr>
              <w:t xml:space="preserve">посред­ ством Духа Светог </w:t>
            </w:r>
            <w:r>
              <w:rPr>
                <w:color w:val="231F20"/>
                <w:spacing w:val="-3"/>
                <w:sz w:val="14"/>
              </w:rPr>
              <w:t xml:space="preserve">преко </w:t>
            </w:r>
            <w:r>
              <w:rPr>
                <w:color w:val="231F20"/>
                <w:sz w:val="14"/>
              </w:rPr>
              <w:t>литургије улази у</w:t>
            </w:r>
            <w:r>
              <w:rPr>
                <w:color w:val="231F20"/>
                <w:spacing w:val="-2"/>
                <w:sz w:val="14"/>
              </w:rPr>
              <w:t xml:space="preserve"> </w:t>
            </w:r>
            <w:r>
              <w:rPr>
                <w:color w:val="231F20"/>
                <w:sz w:val="14"/>
              </w:rPr>
              <w:t>историју;</w:t>
            </w:r>
          </w:p>
        </w:tc>
        <w:tc>
          <w:tcPr>
            <w:tcW w:w="2834" w:type="dxa"/>
          </w:tcPr>
          <w:p w:rsidR="00041039" w:rsidRDefault="001B26CB">
            <w:pPr>
              <w:pStyle w:val="TableParagraph"/>
              <w:numPr>
                <w:ilvl w:val="0"/>
                <w:numId w:val="1856"/>
              </w:numPr>
              <w:tabs>
                <w:tab w:val="left" w:pos="158"/>
              </w:tabs>
              <w:spacing w:before="9"/>
              <w:rPr>
                <w:sz w:val="14"/>
              </w:rPr>
            </w:pPr>
            <w:r>
              <w:rPr>
                <w:color w:val="231F20"/>
                <w:sz w:val="14"/>
              </w:rPr>
              <w:t>Апостолско</w:t>
            </w:r>
            <w:r>
              <w:rPr>
                <w:color w:val="231F20"/>
                <w:spacing w:val="-1"/>
                <w:sz w:val="14"/>
              </w:rPr>
              <w:t xml:space="preserve"> </w:t>
            </w:r>
            <w:r>
              <w:rPr>
                <w:color w:val="231F20"/>
                <w:sz w:val="14"/>
              </w:rPr>
              <w:t>прејемство.</w:t>
            </w:r>
          </w:p>
        </w:tc>
        <w:tc>
          <w:tcPr>
            <w:tcW w:w="2267" w:type="dxa"/>
            <w:vMerge/>
            <w:tcBorders>
              <w:top w:val="nil"/>
            </w:tcBorders>
          </w:tcPr>
          <w:p w:rsidR="00041039" w:rsidRDefault="00041039">
            <w:pPr>
              <w:rPr>
                <w:sz w:val="2"/>
                <w:szCs w:val="2"/>
              </w:rPr>
            </w:pPr>
          </w:p>
        </w:tc>
      </w:tr>
      <w:tr w:rsidR="00041039">
        <w:trPr>
          <w:trHeight w:val="1646"/>
        </w:trPr>
        <w:tc>
          <w:tcPr>
            <w:tcW w:w="1304" w:type="dxa"/>
          </w:tcPr>
          <w:p w:rsidR="00041039" w:rsidRDefault="001B26CB">
            <w:pPr>
              <w:pStyle w:val="TableParagraph"/>
              <w:spacing w:before="19"/>
              <w:ind w:left="57" w:right="245"/>
              <w:rPr>
                <w:sz w:val="14"/>
              </w:rPr>
            </w:pPr>
            <w:r>
              <w:rPr>
                <w:color w:val="231F20"/>
                <w:sz w:val="14"/>
              </w:rPr>
              <w:t>Распеће и</w:t>
            </w:r>
            <w:r>
              <w:rPr>
                <w:color w:val="231F20"/>
                <w:spacing w:val="-9"/>
                <w:sz w:val="14"/>
              </w:rPr>
              <w:t xml:space="preserve"> </w:t>
            </w:r>
            <w:r>
              <w:rPr>
                <w:color w:val="231F20"/>
                <w:sz w:val="14"/>
              </w:rPr>
              <w:t>васкр­ сење Христово у православној иконографији</w:t>
            </w:r>
          </w:p>
        </w:tc>
        <w:tc>
          <w:tcPr>
            <w:tcW w:w="1587" w:type="dxa"/>
          </w:tcPr>
          <w:p w:rsidR="00041039" w:rsidRDefault="001B26CB">
            <w:pPr>
              <w:pStyle w:val="TableParagraph"/>
              <w:numPr>
                <w:ilvl w:val="0"/>
                <w:numId w:val="1855"/>
              </w:numPr>
              <w:tabs>
                <w:tab w:val="left" w:pos="157"/>
              </w:tabs>
              <w:spacing w:before="9"/>
              <w:ind w:right="108" w:hanging="99"/>
              <w:rPr>
                <w:sz w:val="14"/>
              </w:rPr>
            </w:pPr>
            <w:r>
              <w:rPr>
                <w:color w:val="231F20"/>
                <w:spacing w:val="-3"/>
                <w:sz w:val="14"/>
              </w:rPr>
              <w:t xml:space="preserve">Указати </w:t>
            </w:r>
            <w:r>
              <w:rPr>
                <w:color w:val="231F20"/>
                <w:sz w:val="14"/>
              </w:rPr>
              <w:t>ученицима да се на иконама</w:t>
            </w:r>
            <w:r>
              <w:rPr>
                <w:color w:val="231F20"/>
                <w:spacing w:val="-11"/>
                <w:sz w:val="14"/>
              </w:rPr>
              <w:t xml:space="preserve"> </w:t>
            </w:r>
            <w:r>
              <w:rPr>
                <w:color w:val="231F20"/>
                <w:sz w:val="14"/>
              </w:rPr>
              <w:t>ових догађаја види</w:t>
            </w:r>
            <w:r>
              <w:rPr>
                <w:color w:val="231F20"/>
                <w:spacing w:val="-3"/>
                <w:sz w:val="14"/>
              </w:rPr>
              <w:t xml:space="preserve"> </w:t>
            </w:r>
            <w:r>
              <w:rPr>
                <w:color w:val="231F20"/>
                <w:sz w:val="14"/>
              </w:rPr>
              <w:t>однос</w:t>
            </w:r>
          </w:p>
          <w:p w:rsidR="00041039" w:rsidRDefault="001B26CB">
            <w:pPr>
              <w:pStyle w:val="TableParagraph"/>
              <w:spacing w:line="237" w:lineRule="auto"/>
              <w:ind w:right="15"/>
              <w:rPr>
                <w:sz w:val="14"/>
              </w:rPr>
            </w:pPr>
            <w:r>
              <w:rPr>
                <w:color w:val="231F20"/>
                <w:sz w:val="14"/>
              </w:rPr>
              <w:t>у коме ови догађаји стоје са будућим Царством Божијим.</w:t>
            </w:r>
          </w:p>
        </w:tc>
        <w:tc>
          <w:tcPr>
            <w:tcW w:w="2551" w:type="dxa"/>
          </w:tcPr>
          <w:p w:rsidR="00041039" w:rsidRDefault="001B26CB">
            <w:pPr>
              <w:pStyle w:val="TableParagraph"/>
              <w:numPr>
                <w:ilvl w:val="0"/>
                <w:numId w:val="1854"/>
              </w:numPr>
              <w:tabs>
                <w:tab w:val="left" w:pos="158"/>
              </w:tabs>
              <w:spacing w:before="9"/>
              <w:ind w:right="94"/>
              <w:rPr>
                <w:sz w:val="14"/>
              </w:rPr>
            </w:pPr>
            <w:r>
              <w:rPr>
                <w:color w:val="231F20"/>
                <w:sz w:val="14"/>
              </w:rPr>
              <w:t>запази разлику између иконографског приказивања распећа и васкрсења Христовог у православној</w:t>
            </w:r>
            <w:r>
              <w:rPr>
                <w:color w:val="231F20"/>
                <w:sz w:val="14"/>
              </w:rPr>
              <w:t xml:space="preserve"> и ренесанс­ ној</w:t>
            </w:r>
            <w:r>
              <w:rPr>
                <w:color w:val="231F20"/>
                <w:spacing w:val="-2"/>
                <w:sz w:val="14"/>
              </w:rPr>
              <w:t xml:space="preserve"> </w:t>
            </w:r>
            <w:r>
              <w:rPr>
                <w:color w:val="231F20"/>
                <w:sz w:val="14"/>
              </w:rPr>
              <w:t>традицији;</w:t>
            </w:r>
          </w:p>
        </w:tc>
        <w:tc>
          <w:tcPr>
            <w:tcW w:w="2834" w:type="dxa"/>
          </w:tcPr>
          <w:p w:rsidR="00041039" w:rsidRDefault="001B26CB">
            <w:pPr>
              <w:pStyle w:val="TableParagraph"/>
              <w:numPr>
                <w:ilvl w:val="0"/>
                <w:numId w:val="1853"/>
              </w:numPr>
              <w:tabs>
                <w:tab w:val="left" w:pos="158"/>
              </w:tabs>
              <w:spacing w:before="9"/>
              <w:ind w:right="296"/>
              <w:rPr>
                <w:sz w:val="14"/>
              </w:rPr>
            </w:pPr>
            <w:r>
              <w:rPr>
                <w:color w:val="231F20"/>
                <w:sz w:val="14"/>
              </w:rPr>
              <w:t>Распеће и васкрсење Христово у</w:t>
            </w:r>
            <w:r>
              <w:rPr>
                <w:color w:val="231F20"/>
                <w:spacing w:val="-19"/>
                <w:sz w:val="14"/>
              </w:rPr>
              <w:t xml:space="preserve"> </w:t>
            </w:r>
            <w:r>
              <w:rPr>
                <w:color w:val="231F20"/>
                <w:sz w:val="14"/>
              </w:rPr>
              <w:t>право­ славној</w:t>
            </w:r>
            <w:r>
              <w:rPr>
                <w:color w:val="231F20"/>
                <w:spacing w:val="-1"/>
                <w:sz w:val="14"/>
              </w:rPr>
              <w:t xml:space="preserve"> </w:t>
            </w:r>
            <w:r>
              <w:rPr>
                <w:color w:val="231F20"/>
                <w:sz w:val="14"/>
              </w:rPr>
              <w:t>иконографији.</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1"/>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32 часа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2"/>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650"/>
        </w:trPr>
        <w:tc>
          <w:tcPr>
            <w:tcW w:w="1304" w:type="dxa"/>
          </w:tcPr>
          <w:p w:rsidR="00041039" w:rsidRDefault="001B26CB">
            <w:pPr>
              <w:pStyle w:val="TableParagraph"/>
              <w:spacing w:before="27" w:line="223" w:lineRule="auto"/>
              <w:ind w:left="56" w:right="37"/>
              <w:rPr>
                <w:sz w:val="14"/>
              </w:rPr>
            </w:pPr>
            <w:r>
              <w:rPr>
                <w:color w:val="231F20"/>
                <w:sz w:val="14"/>
              </w:rPr>
              <w:t>Хришћанско схва­ тање историје</w:t>
            </w:r>
          </w:p>
        </w:tc>
        <w:tc>
          <w:tcPr>
            <w:tcW w:w="1587" w:type="dxa"/>
          </w:tcPr>
          <w:p w:rsidR="00041039" w:rsidRDefault="001B26CB">
            <w:pPr>
              <w:pStyle w:val="TableParagraph"/>
              <w:numPr>
                <w:ilvl w:val="0"/>
                <w:numId w:val="1852"/>
              </w:numPr>
              <w:tabs>
                <w:tab w:val="left" w:pos="157"/>
              </w:tabs>
              <w:spacing w:before="18" w:line="223" w:lineRule="auto"/>
              <w:ind w:right="75"/>
              <w:rPr>
                <w:sz w:val="14"/>
              </w:rPr>
            </w:pPr>
            <w:r>
              <w:rPr>
                <w:color w:val="231F20"/>
                <w:sz w:val="14"/>
              </w:rPr>
              <w:t>Да ученици увиде раз­ лику између циклич­ ног и праволинијског схватања</w:t>
            </w:r>
            <w:r>
              <w:rPr>
                <w:color w:val="231F20"/>
                <w:spacing w:val="-2"/>
                <w:sz w:val="14"/>
              </w:rPr>
              <w:t xml:space="preserve"> </w:t>
            </w:r>
            <w:r>
              <w:rPr>
                <w:color w:val="231F20"/>
                <w:sz w:val="14"/>
              </w:rPr>
              <w:t>времена.</w:t>
            </w:r>
          </w:p>
        </w:tc>
        <w:tc>
          <w:tcPr>
            <w:tcW w:w="2551" w:type="dxa"/>
          </w:tcPr>
          <w:p w:rsidR="00041039" w:rsidRDefault="001B26CB">
            <w:pPr>
              <w:pStyle w:val="TableParagraph"/>
              <w:numPr>
                <w:ilvl w:val="0"/>
                <w:numId w:val="1851"/>
              </w:numPr>
              <w:tabs>
                <w:tab w:val="left" w:pos="157"/>
              </w:tabs>
              <w:spacing w:before="18" w:line="223" w:lineRule="auto"/>
              <w:ind w:right="44" w:hanging="99"/>
              <w:rPr>
                <w:sz w:val="14"/>
              </w:rPr>
            </w:pPr>
            <w:r>
              <w:rPr>
                <w:color w:val="231F20"/>
                <w:sz w:val="14"/>
              </w:rPr>
              <w:t>Да ученици ту разлику могу когнитив­ но</w:t>
            </w:r>
            <w:r>
              <w:rPr>
                <w:color w:val="231F20"/>
                <w:spacing w:val="-6"/>
                <w:sz w:val="14"/>
              </w:rPr>
              <w:t xml:space="preserve"> </w:t>
            </w:r>
            <w:r>
              <w:rPr>
                <w:color w:val="231F20"/>
                <w:sz w:val="14"/>
              </w:rPr>
              <w:t>да</w:t>
            </w:r>
            <w:r>
              <w:rPr>
                <w:color w:val="231F20"/>
                <w:spacing w:val="-6"/>
                <w:sz w:val="14"/>
              </w:rPr>
              <w:t xml:space="preserve"> </w:t>
            </w:r>
            <w:r>
              <w:rPr>
                <w:color w:val="231F20"/>
                <w:sz w:val="14"/>
              </w:rPr>
              <w:t>примене</w:t>
            </w:r>
            <w:r>
              <w:rPr>
                <w:color w:val="231F20"/>
                <w:spacing w:val="-6"/>
                <w:sz w:val="14"/>
              </w:rPr>
              <w:t xml:space="preserve"> </w:t>
            </w:r>
            <w:r>
              <w:rPr>
                <w:color w:val="231F20"/>
                <w:sz w:val="14"/>
              </w:rPr>
              <w:t>на</w:t>
            </w:r>
            <w:r>
              <w:rPr>
                <w:color w:val="231F20"/>
                <w:spacing w:val="-6"/>
                <w:sz w:val="14"/>
              </w:rPr>
              <w:t xml:space="preserve"> </w:t>
            </w:r>
            <w:r>
              <w:rPr>
                <w:color w:val="231F20"/>
                <w:sz w:val="14"/>
              </w:rPr>
              <w:t>схватање</w:t>
            </w:r>
            <w:r>
              <w:rPr>
                <w:color w:val="231F20"/>
                <w:spacing w:val="-6"/>
                <w:sz w:val="14"/>
              </w:rPr>
              <w:t xml:space="preserve"> </w:t>
            </w:r>
            <w:r>
              <w:rPr>
                <w:color w:val="231F20"/>
                <w:sz w:val="14"/>
              </w:rPr>
              <w:t>историјског тока времена као приближавања Царству</w:t>
            </w:r>
            <w:r>
              <w:rPr>
                <w:color w:val="231F20"/>
                <w:spacing w:val="-1"/>
                <w:sz w:val="14"/>
              </w:rPr>
              <w:t xml:space="preserve"> </w:t>
            </w:r>
            <w:r>
              <w:rPr>
                <w:color w:val="231F20"/>
                <w:sz w:val="14"/>
              </w:rPr>
              <w:t>Божијем;</w:t>
            </w:r>
          </w:p>
        </w:tc>
        <w:tc>
          <w:tcPr>
            <w:tcW w:w="2834" w:type="dxa"/>
          </w:tcPr>
          <w:p w:rsidR="00041039" w:rsidRDefault="001B26CB">
            <w:pPr>
              <w:pStyle w:val="TableParagraph"/>
              <w:numPr>
                <w:ilvl w:val="0"/>
                <w:numId w:val="1850"/>
              </w:numPr>
              <w:tabs>
                <w:tab w:val="left" w:pos="157"/>
              </w:tabs>
              <w:spacing w:before="8"/>
              <w:ind w:hanging="99"/>
              <w:rPr>
                <w:sz w:val="14"/>
              </w:rPr>
            </w:pPr>
            <w:r>
              <w:rPr>
                <w:color w:val="231F20"/>
                <w:sz w:val="14"/>
              </w:rPr>
              <w:t>Хришћанско схватање</w:t>
            </w:r>
            <w:r>
              <w:rPr>
                <w:color w:val="231F20"/>
                <w:spacing w:val="-3"/>
                <w:sz w:val="14"/>
              </w:rPr>
              <w:t xml:space="preserve"> </w:t>
            </w:r>
            <w:r>
              <w:rPr>
                <w:color w:val="231F20"/>
                <w:sz w:val="14"/>
              </w:rPr>
              <w:t>историје.</w:t>
            </w:r>
          </w:p>
        </w:tc>
        <w:tc>
          <w:tcPr>
            <w:tcW w:w="2267" w:type="dxa"/>
            <w:vMerge w:val="restart"/>
          </w:tcPr>
          <w:p w:rsidR="00041039" w:rsidRDefault="001B26CB">
            <w:pPr>
              <w:pStyle w:val="TableParagraph"/>
              <w:numPr>
                <w:ilvl w:val="0"/>
                <w:numId w:val="1849"/>
              </w:numPr>
              <w:tabs>
                <w:tab w:val="left" w:pos="158"/>
              </w:tabs>
              <w:spacing w:before="17" w:line="223"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spacing w:before="142" w:line="155" w:lineRule="exact"/>
              <w:ind w:left="58"/>
              <w:rPr>
                <w:b/>
                <w:sz w:val="14"/>
              </w:rPr>
            </w:pPr>
            <w:r>
              <w:rPr>
                <w:b/>
                <w:color w:val="231F20"/>
                <w:sz w:val="14"/>
              </w:rPr>
              <w:t>Облици наставе</w:t>
            </w:r>
          </w:p>
          <w:p w:rsidR="00041039" w:rsidRDefault="001B26CB">
            <w:pPr>
              <w:pStyle w:val="TableParagraph"/>
              <w:spacing w:before="3" w:line="223"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849"/>
              </w:numPr>
              <w:tabs>
                <w:tab w:val="left" w:pos="158"/>
              </w:tabs>
              <w:spacing w:line="153" w:lineRule="exact"/>
              <w:ind w:hanging="99"/>
              <w:rPr>
                <w:b/>
                <w:sz w:val="14"/>
              </w:rPr>
            </w:pPr>
            <w:r>
              <w:rPr>
                <w:color w:val="231F20"/>
                <w:sz w:val="14"/>
              </w:rPr>
              <w:t xml:space="preserve">теоријска настава </w:t>
            </w:r>
            <w:r>
              <w:rPr>
                <w:b/>
                <w:color w:val="231F20"/>
                <w:sz w:val="14"/>
              </w:rPr>
              <w:t>(32</w:t>
            </w:r>
            <w:r>
              <w:rPr>
                <w:b/>
                <w:color w:val="231F20"/>
                <w:spacing w:val="-2"/>
                <w:sz w:val="14"/>
              </w:rPr>
              <w:t xml:space="preserve"> </w:t>
            </w:r>
            <w:r>
              <w:rPr>
                <w:b/>
                <w:color w:val="231F20"/>
                <w:sz w:val="14"/>
              </w:rPr>
              <w:t>часа)</w:t>
            </w:r>
          </w:p>
          <w:p w:rsidR="00041039" w:rsidRDefault="001B26CB">
            <w:pPr>
              <w:pStyle w:val="TableParagraph"/>
              <w:spacing w:before="139" w:line="155" w:lineRule="exact"/>
              <w:ind w:left="58"/>
              <w:rPr>
                <w:b/>
                <w:sz w:val="14"/>
              </w:rPr>
            </w:pPr>
            <w:r>
              <w:rPr>
                <w:b/>
                <w:color w:val="231F20"/>
                <w:sz w:val="14"/>
              </w:rPr>
              <w:t>Подела одељења на групе</w:t>
            </w:r>
          </w:p>
          <w:p w:rsidR="00041039" w:rsidRDefault="001B26CB">
            <w:pPr>
              <w:pStyle w:val="TableParagraph"/>
              <w:spacing w:line="155" w:lineRule="exact"/>
              <w:ind w:left="58"/>
              <w:rPr>
                <w:sz w:val="14"/>
              </w:rPr>
            </w:pPr>
            <w:r>
              <w:rPr>
                <w:color w:val="231F20"/>
                <w:sz w:val="14"/>
              </w:rPr>
              <w:t>Одељење се не дели на групе.</w:t>
            </w:r>
          </w:p>
          <w:p w:rsidR="00041039" w:rsidRDefault="001B26CB">
            <w:pPr>
              <w:pStyle w:val="TableParagraph"/>
              <w:spacing w:before="139" w:line="150" w:lineRule="exact"/>
              <w:ind w:left="58"/>
              <w:rPr>
                <w:b/>
                <w:sz w:val="14"/>
              </w:rPr>
            </w:pPr>
            <w:r>
              <w:rPr>
                <w:b/>
                <w:color w:val="231F20"/>
                <w:sz w:val="14"/>
              </w:rPr>
              <w:t>Место реализације наставе</w:t>
            </w:r>
          </w:p>
          <w:p w:rsidR="00041039" w:rsidRDefault="001B26CB">
            <w:pPr>
              <w:pStyle w:val="TableParagraph"/>
              <w:numPr>
                <w:ilvl w:val="0"/>
                <w:numId w:val="1849"/>
              </w:numPr>
              <w:tabs>
                <w:tab w:val="left" w:pos="158"/>
              </w:tabs>
              <w:spacing w:line="223"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ind w:left="0"/>
              <w:rPr>
                <w:b/>
                <w:sz w:val="13"/>
              </w:rPr>
            </w:pPr>
          </w:p>
          <w:p w:rsidR="00041039" w:rsidRDefault="001B26CB">
            <w:pPr>
              <w:pStyle w:val="TableParagraph"/>
              <w:spacing w:line="223" w:lineRule="auto"/>
              <w:ind w:left="58"/>
              <w:rPr>
                <w:b/>
                <w:sz w:val="14"/>
              </w:rPr>
            </w:pPr>
            <w:r>
              <w:rPr>
                <w:b/>
                <w:color w:val="231F20"/>
                <w:sz w:val="14"/>
              </w:rPr>
              <w:t>Препоруке за реализацију садр- жаја програма</w:t>
            </w:r>
          </w:p>
          <w:p w:rsidR="00041039" w:rsidRDefault="001B26CB">
            <w:pPr>
              <w:pStyle w:val="TableParagraph"/>
              <w:spacing w:before="141" w:line="155" w:lineRule="exact"/>
              <w:ind w:left="58"/>
              <w:rPr>
                <w:b/>
                <w:sz w:val="14"/>
              </w:rPr>
            </w:pPr>
            <w:r>
              <w:rPr>
                <w:b/>
                <w:color w:val="231F20"/>
                <w:sz w:val="14"/>
              </w:rPr>
              <w:t>Оцењивање</w:t>
            </w:r>
          </w:p>
          <w:p w:rsidR="00041039" w:rsidRDefault="001B26CB">
            <w:pPr>
              <w:pStyle w:val="TableParagraph"/>
              <w:spacing w:before="4" w:line="223"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1849"/>
              </w:numPr>
              <w:tabs>
                <w:tab w:val="left" w:pos="158"/>
              </w:tabs>
              <w:spacing w:line="153"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1B26CB">
            <w:pPr>
              <w:pStyle w:val="TableParagraph"/>
              <w:spacing w:before="138" w:line="150" w:lineRule="exact"/>
              <w:ind w:left="58"/>
              <w:rPr>
                <w:b/>
                <w:sz w:val="14"/>
              </w:rPr>
            </w:pPr>
            <w:r>
              <w:rPr>
                <w:b/>
                <w:color w:val="231F20"/>
                <w:sz w:val="14"/>
              </w:rPr>
              <w:t>Оквирни број часова по темама</w:t>
            </w:r>
          </w:p>
          <w:p w:rsidR="00041039" w:rsidRDefault="001B26CB">
            <w:pPr>
              <w:pStyle w:val="TableParagraph"/>
              <w:numPr>
                <w:ilvl w:val="0"/>
                <w:numId w:val="1849"/>
              </w:numPr>
              <w:tabs>
                <w:tab w:val="left" w:pos="158"/>
              </w:tabs>
              <w:spacing w:line="155" w:lineRule="exact"/>
              <w:ind w:hanging="99"/>
              <w:rPr>
                <w:sz w:val="14"/>
              </w:rPr>
            </w:pPr>
            <w:r>
              <w:rPr>
                <w:color w:val="231F20"/>
                <w:sz w:val="14"/>
              </w:rPr>
              <w:t>Хришћанско схватање</w:t>
            </w:r>
            <w:r>
              <w:rPr>
                <w:color w:val="231F20"/>
                <w:spacing w:val="-6"/>
                <w:sz w:val="14"/>
              </w:rPr>
              <w:t xml:space="preserve"> </w:t>
            </w:r>
            <w:r>
              <w:rPr>
                <w:color w:val="231F20"/>
                <w:sz w:val="14"/>
              </w:rPr>
              <w:t>историје</w:t>
            </w:r>
          </w:p>
          <w:p w:rsidR="00041039" w:rsidRDefault="001B26CB">
            <w:pPr>
              <w:pStyle w:val="TableParagraph"/>
              <w:spacing w:line="145" w:lineRule="exact"/>
              <w:ind w:left="157"/>
              <w:rPr>
                <w:b/>
                <w:sz w:val="14"/>
              </w:rPr>
            </w:pPr>
            <w:r>
              <w:rPr>
                <w:b/>
                <w:color w:val="231F20"/>
                <w:sz w:val="14"/>
              </w:rPr>
              <w:t>(5 часова)</w:t>
            </w:r>
          </w:p>
          <w:p w:rsidR="00041039" w:rsidRDefault="001B26CB">
            <w:pPr>
              <w:pStyle w:val="TableParagraph"/>
              <w:numPr>
                <w:ilvl w:val="0"/>
                <w:numId w:val="1849"/>
              </w:numPr>
              <w:tabs>
                <w:tab w:val="left" w:pos="152"/>
              </w:tabs>
              <w:spacing w:line="223" w:lineRule="auto"/>
              <w:ind w:left="151" w:right="57" w:hanging="93"/>
              <w:rPr>
                <w:b/>
                <w:sz w:val="14"/>
              </w:rPr>
            </w:pPr>
            <w:r>
              <w:rPr>
                <w:color w:val="231F20"/>
                <w:spacing w:val="-4"/>
                <w:sz w:val="14"/>
              </w:rPr>
              <w:t xml:space="preserve">Есхатон </w:t>
            </w:r>
            <w:r>
              <w:rPr>
                <w:color w:val="231F20"/>
                <w:sz w:val="14"/>
              </w:rPr>
              <w:t xml:space="preserve">­ </w:t>
            </w:r>
            <w:r>
              <w:rPr>
                <w:color w:val="231F20"/>
                <w:spacing w:val="-5"/>
                <w:sz w:val="14"/>
              </w:rPr>
              <w:t xml:space="preserve">будуће </w:t>
            </w:r>
            <w:r>
              <w:rPr>
                <w:color w:val="231F20"/>
                <w:spacing w:val="-3"/>
                <w:sz w:val="14"/>
              </w:rPr>
              <w:t xml:space="preserve">Царство </w:t>
            </w:r>
            <w:r>
              <w:rPr>
                <w:color w:val="231F20"/>
                <w:spacing w:val="-4"/>
                <w:sz w:val="14"/>
              </w:rPr>
              <w:t xml:space="preserve">Божије </w:t>
            </w:r>
            <w:r>
              <w:rPr>
                <w:color w:val="231F20"/>
                <w:spacing w:val="-3"/>
                <w:sz w:val="14"/>
              </w:rPr>
              <w:t xml:space="preserve">као узрок Цркве </w:t>
            </w:r>
            <w:r>
              <w:rPr>
                <w:color w:val="231F20"/>
                <w:sz w:val="14"/>
              </w:rPr>
              <w:t xml:space="preserve">и </w:t>
            </w:r>
            <w:r>
              <w:rPr>
                <w:color w:val="231F20"/>
                <w:spacing w:val="-3"/>
                <w:sz w:val="14"/>
              </w:rPr>
              <w:t xml:space="preserve">историје </w:t>
            </w:r>
            <w:r>
              <w:rPr>
                <w:b/>
                <w:color w:val="231F20"/>
                <w:sz w:val="14"/>
              </w:rPr>
              <w:t>(3</w:t>
            </w:r>
            <w:r>
              <w:rPr>
                <w:b/>
                <w:color w:val="231F20"/>
                <w:spacing w:val="-17"/>
                <w:sz w:val="14"/>
              </w:rPr>
              <w:t xml:space="preserve"> </w:t>
            </w:r>
            <w:r>
              <w:rPr>
                <w:b/>
                <w:color w:val="231F20"/>
                <w:spacing w:val="-3"/>
                <w:sz w:val="14"/>
              </w:rPr>
              <w:t>часа)</w:t>
            </w:r>
          </w:p>
          <w:p w:rsidR="00041039" w:rsidRDefault="001B26CB">
            <w:pPr>
              <w:pStyle w:val="TableParagraph"/>
              <w:numPr>
                <w:ilvl w:val="0"/>
                <w:numId w:val="1849"/>
              </w:numPr>
              <w:tabs>
                <w:tab w:val="left" w:pos="158"/>
              </w:tabs>
              <w:spacing w:before="1" w:line="150" w:lineRule="exact"/>
              <w:ind w:right="126" w:hanging="99"/>
              <w:rPr>
                <w:b/>
                <w:sz w:val="14"/>
              </w:rPr>
            </w:pPr>
            <w:r>
              <w:rPr>
                <w:color w:val="231F20"/>
                <w:sz w:val="14"/>
              </w:rPr>
              <w:t>Смрт природе као разједињење, распадање и смрт личности као прекид заједнице са личношћу за коју смо били везани, коју</w:t>
            </w:r>
            <w:r>
              <w:rPr>
                <w:color w:val="231F20"/>
                <w:spacing w:val="-22"/>
                <w:sz w:val="14"/>
              </w:rPr>
              <w:t xml:space="preserve"> </w:t>
            </w:r>
            <w:r>
              <w:rPr>
                <w:color w:val="231F20"/>
                <w:sz w:val="14"/>
              </w:rPr>
              <w:t xml:space="preserve">смо највише волели </w:t>
            </w:r>
            <w:r>
              <w:rPr>
                <w:b/>
                <w:color w:val="231F20"/>
                <w:sz w:val="14"/>
              </w:rPr>
              <w:t>(4</w:t>
            </w:r>
            <w:r>
              <w:rPr>
                <w:b/>
                <w:color w:val="231F20"/>
                <w:spacing w:val="-4"/>
                <w:sz w:val="14"/>
              </w:rPr>
              <w:t xml:space="preserve"> </w:t>
            </w:r>
            <w:r>
              <w:rPr>
                <w:b/>
                <w:color w:val="231F20"/>
                <w:sz w:val="14"/>
              </w:rPr>
              <w:t>часа)</w:t>
            </w:r>
          </w:p>
          <w:p w:rsidR="00041039" w:rsidRDefault="001B26CB">
            <w:pPr>
              <w:pStyle w:val="TableParagraph"/>
              <w:numPr>
                <w:ilvl w:val="0"/>
                <w:numId w:val="1849"/>
              </w:numPr>
              <w:tabs>
                <w:tab w:val="left" w:pos="158"/>
              </w:tabs>
              <w:spacing w:line="145" w:lineRule="exact"/>
              <w:ind w:hanging="99"/>
              <w:rPr>
                <w:sz w:val="14"/>
              </w:rPr>
            </w:pPr>
            <w:r>
              <w:rPr>
                <w:color w:val="231F20"/>
                <w:sz w:val="14"/>
              </w:rPr>
              <w:t>Литургија нам открива и циљ</w:t>
            </w:r>
            <w:r>
              <w:rPr>
                <w:color w:val="231F20"/>
                <w:spacing w:val="-15"/>
                <w:sz w:val="14"/>
              </w:rPr>
              <w:t xml:space="preserve"> </w:t>
            </w:r>
            <w:r>
              <w:rPr>
                <w:color w:val="231F20"/>
                <w:sz w:val="14"/>
              </w:rPr>
              <w:t>због</w:t>
            </w:r>
          </w:p>
          <w:p w:rsidR="00041039" w:rsidRDefault="001B26CB">
            <w:pPr>
              <w:pStyle w:val="TableParagraph"/>
              <w:spacing w:line="150" w:lineRule="exact"/>
              <w:ind w:left="157"/>
              <w:rPr>
                <w:sz w:val="14"/>
              </w:rPr>
            </w:pPr>
            <w:r>
              <w:rPr>
                <w:color w:val="231F20"/>
                <w:sz w:val="14"/>
              </w:rPr>
              <w:t>кога је Бог створио свет и људе</w:t>
            </w:r>
          </w:p>
          <w:p w:rsidR="00041039" w:rsidRDefault="001B26CB">
            <w:pPr>
              <w:pStyle w:val="TableParagraph"/>
              <w:spacing w:line="145" w:lineRule="exact"/>
              <w:ind w:left="157"/>
              <w:rPr>
                <w:b/>
                <w:sz w:val="14"/>
              </w:rPr>
            </w:pPr>
            <w:r>
              <w:rPr>
                <w:b/>
                <w:color w:val="231F20"/>
                <w:sz w:val="14"/>
              </w:rPr>
              <w:t>(2 часа)</w:t>
            </w:r>
          </w:p>
          <w:p w:rsidR="00041039" w:rsidRDefault="001B26CB">
            <w:pPr>
              <w:pStyle w:val="TableParagraph"/>
              <w:numPr>
                <w:ilvl w:val="0"/>
                <w:numId w:val="1849"/>
              </w:numPr>
              <w:tabs>
                <w:tab w:val="left" w:pos="158"/>
              </w:tabs>
              <w:spacing w:line="223" w:lineRule="auto"/>
              <w:ind w:right="313" w:hanging="99"/>
              <w:rPr>
                <w:b/>
                <w:sz w:val="14"/>
              </w:rPr>
            </w:pPr>
            <w:r>
              <w:rPr>
                <w:color w:val="231F20"/>
                <w:sz w:val="14"/>
              </w:rPr>
              <w:t>Помесна и васељенска</w:t>
            </w:r>
            <w:r>
              <w:rPr>
                <w:color w:val="231F20"/>
                <w:spacing w:val="-11"/>
                <w:sz w:val="14"/>
              </w:rPr>
              <w:t xml:space="preserve"> </w:t>
            </w:r>
            <w:r>
              <w:rPr>
                <w:color w:val="231F20"/>
                <w:sz w:val="14"/>
              </w:rPr>
              <w:t xml:space="preserve">Црква, њихов однос </w:t>
            </w:r>
            <w:r>
              <w:rPr>
                <w:b/>
                <w:color w:val="231F20"/>
                <w:sz w:val="14"/>
              </w:rPr>
              <w:t>(4</w:t>
            </w:r>
            <w:r>
              <w:rPr>
                <w:b/>
                <w:color w:val="231F20"/>
                <w:spacing w:val="-3"/>
                <w:sz w:val="14"/>
              </w:rPr>
              <w:t xml:space="preserve"> </w:t>
            </w:r>
            <w:r>
              <w:rPr>
                <w:b/>
                <w:color w:val="231F20"/>
                <w:sz w:val="14"/>
              </w:rPr>
              <w:t>часа)</w:t>
            </w:r>
          </w:p>
          <w:p w:rsidR="00041039" w:rsidRDefault="001B26CB">
            <w:pPr>
              <w:pStyle w:val="TableParagraph"/>
              <w:numPr>
                <w:ilvl w:val="0"/>
                <w:numId w:val="1849"/>
              </w:numPr>
              <w:tabs>
                <w:tab w:val="left" w:pos="158"/>
              </w:tabs>
              <w:spacing w:before="1" w:line="150" w:lineRule="exact"/>
              <w:ind w:right="148" w:hanging="99"/>
              <w:rPr>
                <w:b/>
                <w:sz w:val="14"/>
              </w:rPr>
            </w:pPr>
            <w:r>
              <w:rPr>
                <w:color w:val="231F20"/>
                <w:sz w:val="14"/>
              </w:rPr>
              <w:t>Јединство Цркве (на помесном</w:t>
            </w:r>
            <w:r>
              <w:rPr>
                <w:color w:val="231F20"/>
                <w:spacing w:val="-13"/>
                <w:sz w:val="14"/>
              </w:rPr>
              <w:t xml:space="preserve"> </w:t>
            </w:r>
            <w:r>
              <w:rPr>
                <w:color w:val="231F20"/>
                <w:sz w:val="14"/>
              </w:rPr>
              <w:t xml:space="preserve">и васељенском нивоу) </w:t>
            </w:r>
            <w:r>
              <w:rPr>
                <w:b/>
                <w:color w:val="231F20"/>
                <w:sz w:val="14"/>
              </w:rPr>
              <w:t>(6</w:t>
            </w:r>
            <w:r>
              <w:rPr>
                <w:b/>
                <w:color w:val="231F20"/>
                <w:spacing w:val="-16"/>
                <w:sz w:val="14"/>
              </w:rPr>
              <w:t xml:space="preserve"> </w:t>
            </w:r>
            <w:r>
              <w:rPr>
                <w:b/>
                <w:color w:val="231F20"/>
                <w:sz w:val="14"/>
              </w:rPr>
              <w:t>часова)</w:t>
            </w:r>
          </w:p>
          <w:p w:rsidR="00041039" w:rsidRDefault="001B26CB">
            <w:pPr>
              <w:pStyle w:val="TableParagraph"/>
              <w:numPr>
                <w:ilvl w:val="0"/>
                <w:numId w:val="1849"/>
              </w:numPr>
              <w:tabs>
                <w:tab w:val="left" w:pos="158"/>
              </w:tabs>
              <w:spacing w:line="145" w:lineRule="exact"/>
              <w:ind w:hanging="99"/>
              <w:rPr>
                <w:sz w:val="14"/>
              </w:rPr>
            </w:pPr>
            <w:r>
              <w:rPr>
                <w:color w:val="231F20"/>
                <w:sz w:val="14"/>
              </w:rPr>
              <w:t>Теологија православне</w:t>
            </w:r>
            <w:r>
              <w:rPr>
                <w:color w:val="231F20"/>
                <w:spacing w:val="-14"/>
                <w:sz w:val="14"/>
              </w:rPr>
              <w:t xml:space="preserve"> </w:t>
            </w:r>
            <w:r>
              <w:rPr>
                <w:color w:val="231F20"/>
                <w:sz w:val="14"/>
              </w:rPr>
              <w:t>уметности</w:t>
            </w:r>
          </w:p>
          <w:p w:rsidR="00041039" w:rsidRDefault="001B26CB">
            <w:pPr>
              <w:pStyle w:val="TableParagraph"/>
              <w:spacing w:line="145" w:lineRule="exact"/>
              <w:ind w:left="157"/>
              <w:rPr>
                <w:b/>
                <w:sz w:val="14"/>
              </w:rPr>
            </w:pPr>
            <w:r>
              <w:rPr>
                <w:b/>
                <w:color w:val="231F20"/>
                <w:sz w:val="14"/>
              </w:rPr>
              <w:t>(6 часова)</w:t>
            </w:r>
          </w:p>
          <w:p w:rsidR="00041039" w:rsidRDefault="001B26CB">
            <w:pPr>
              <w:pStyle w:val="TableParagraph"/>
              <w:numPr>
                <w:ilvl w:val="0"/>
                <w:numId w:val="1849"/>
              </w:numPr>
              <w:tabs>
                <w:tab w:val="left" w:pos="151"/>
              </w:tabs>
              <w:spacing w:line="161" w:lineRule="exact"/>
              <w:ind w:left="150" w:hanging="92"/>
              <w:rPr>
                <w:b/>
                <w:sz w:val="14"/>
              </w:rPr>
            </w:pPr>
            <w:r>
              <w:rPr>
                <w:color w:val="231F20"/>
                <w:spacing w:val="-4"/>
                <w:sz w:val="14"/>
              </w:rPr>
              <w:t xml:space="preserve">Црква </w:t>
            </w:r>
            <w:r>
              <w:rPr>
                <w:color w:val="231F20"/>
                <w:sz w:val="14"/>
              </w:rPr>
              <w:t xml:space="preserve">и </w:t>
            </w:r>
            <w:r>
              <w:rPr>
                <w:color w:val="231F20"/>
                <w:spacing w:val="-4"/>
                <w:sz w:val="14"/>
              </w:rPr>
              <w:t xml:space="preserve">свет </w:t>
            </w:r>
            <w:r>
              <w:rPr>
                <w:color w:val="231F20"/>
                <w:spacing w:val="-5"/>
                <w:sz w:val="14"/>
              </w:rPr>
              <w:t xml:space="preserve">(њихов </w:t>
            </w:r>
            <w:r>
              <w:rPr>
                <w:color w:val="231F20"/>
                <w:spacing w:val="-4"/>
                <w:sz w:val="14"/>
              </w:rPr>
              <w:t xml:space="preserve">однос) </w:t>
            </w:r>
            <w:r>
              <w:rPr>
                <w:b/>
                <w:color w:val="231F20"/>
                <w:sz w:val="14"/>
              </w:rPr>
              <w:t>(2</w:t>
            </w:r>
            <w:r>
              <w:rPr>
                <w:b/>
                <w:color w:val="231F20"/>
                <w:spacing w:val="-20"/>
                <w:sz w:val="14"/>
              </w:rPr>
              <w:t xml:space="preserve"> </w:t>
            </w:r>
            <w:r>
              <w:rPr>
                <w:b/>
                <w:color w:val="231F20"/>
                <w:spacing w:val="-3"/>
                <w:sz w:val="14"/>
              </w:rPr>
              <w:t>часа)</w:t>
            </w:r>
          </w:p>
        </w:tc>
      </w:tr>
      <w:tr w:rsidR="00041039">
        <w:trPr>
          <w:trHeight w:val="650"/>
        </w:trPr>
        <w:tc>
          <w:tcPr>
            <w:tcW w:w="1304" w:type="dxa"/>
          </w:tcPr>
          <w:p w:rsidR="00041039" w:rsidRDefault="001B26CB">
            <w:pPr>
              <w:pStyle w:val="TableParagraph"/>
              <w:spacing w:before="25" w:line="223" w:lineRule="auto"/>
              <w:ind w:left="56" w:right="137"/>
              <w:rPr>
                <w:sz w:val="14"/>
              </w:rPr>
            </w:pPr>
            <w:r>
              <w:rPr>
                <w:color w:val="231F20"/>
                <w:sz w:val="14"/>
              </w:rPr>
              <w:t>Есхатон ­ будуће Царство Божије као узрок Цркве и историје</w:t>
            </w:r>
          </w:p>
        </w:tc>
        <w:tc>
          <w:tcPr>
            <w:tcW w:w="1587" w:type="dxa"/>
          </w:tcPr>
          <w:p w:rsidR="00041039" w:rsidRDefault="001B26CB">
            <w:pPr>
              <w:pStyle w:val="TableParagraph"/>
              <w:numPr>
                <w:ilvl w:val="0"/>
                <w:numId w:val="1848"/>
              </w:numPr>
              <w:tabs>
                <w:tab w:val="left" w:pos="157"/>
              </w:tabs>
              <w:spacing w:before="16" w:line="223" w:lineRule="auto"/>
              <w:ind w:right="201"/>
              <w:rPr>
                <w:sz w:val="14"/>
              </w:rPr>
            </w:pPr>
            <w:r>
              <w:rPr>
                <w:color w:val="231F20"/>
                <w:sz w:val="14"/>
              </w:rPr>
              <w:t xml:space="preserve">Да се </w:t>
            </w:r>
            <w:r>
              <w:rPr>
                <w:color w:val="231F20"/>
                <w:spacing w:val="-5"/>
                <w:sz w:val="14"/>
              </w:rPr>
              <w:t xml:space="preserve">код </w:t>
            </w:r>
            <w:r>
              <w:rPr>
                <w:color w:val="231F20"/>
                <w:sz w:val="14"/>
              </w:rPr>
              <w:t xml:space="preserve">ученика изгради свест о </w:t>
            </w:r>
            <w:r>
              <w:rPr>
                <w:color w:val="231F20"/>
                <w:spacing w:val="-3"/>
                <w:sz w:val="14"/>
              </w:rPr>
              <w:t xml:space="preserve">Есхатону, </w:t>
            </w:r>
            <w:r>
              <w:rPr>
                <w:color w:val="231F20"/>
                <w:sz w:val="14"/>
              </w:rPr>
              <w:t>као правој истини</w:t>
            </w:r>
            <w:r>
              <w:rPr>
                <w:color w:val="231F20"/>
                <w:spacing w:val="-2"/>
                <w:sz w:val="14"/>
              </w:rPr>
              <w:t xml:space="preserve"> </w:t>
            </w:r>
            <w:r>
              <w:rPr>
                <w:color w:val="231F20"/>
                <w:sz w:val="14"/>
              </w:rPr>
              <w:t>света.</w:t>
            </w:r>
          </w:p>
        </w:tc>
        <w:tc>
          <w:tcPr>
            <w:tcW w:w="2551" w:type="dxa"/>
          </w:tcPr>
          <w:p w:rsidR="00041039" w:rsidRDefault="001B26CB">
            <w:pPr>
              <w:pStyle w:val="TableParagraph"/>
              <w:numPr>
                <w:ilvl w:val="0"/>
                <w:numId w:val="1847"/>
              </w:numPr>
              <w:tabs>
                <w:tab w:val="left" w:pos="157"/>
              </w:tabs>
              <w:spacing w:before="15" w:line="223" w:lineRule="auto"/>
              <w:ind w:right="152" w:hanging="99"/>
              <w:rPr>
                <w:sz w:val="14"/>
              </w:rPr>
            </w:pPr>
            <w:r>
              <w:rPr>
                <w:color w:val="231F20"/>
                <w:sz w:val="14"/>
              </w:rPr>
              <w:t>Да ученици схвате да је Есхатон</w:t>
            </w:r>
            <w:r>
              <w:rPr>
                <w:color w:val="231F20"/>
                <w:spacing w:val="-21"/>
                <w:sz w:val="14"/>
              </w:rPr>
              <w:t xml:space="preserve"> </w:t>
            </w:r>
            <w:r>
              <w:rPr>
                <w:color w:val="231F20"/>
                <w:sz w:val="14"/>
              </w:rPr>
              <w:t>сми­ сао, крај и испуњење</w:t>
            </w:r>
            <w:r>
              <w:rPr>
                <w:color w:val="231F20"/>
                <w:spacing w:val="-5"/>
                <w:sz w:val="14"/>
              </w:rPr>
              <w:t xml:space="preserve"> </w:t>
            </w:r>
            <w:r>
              <w:rPr>
                <w:color w:val="231F20"/>
                <w:sz w:val="14"/>
              </w:rPr>
              <w:t>историје;</w:t>
            </w:r>
          </w:p>
        </w:tc>
        <w:tc>
          <w:tcPr>
            <w:tcW w:w="2834" w:type="dxa"/>
          </w:tcPr>
          <w:p w:rsidR="00041039" w:rsidRDefault="001B26CB">
            <w:pPr>
              <w:pStyle w:val="TableParagraph"/>
              <w:numPr>
                <w:ilvl w:val="0"/>
                <w:numId w:val="1846"/>
              </w:numPr>
              <w:tabs>
                <w:tab w:val="left" w:pos="157"/>
              </w:tabs>
              <w:spacing w:before="15" w:line="223" w:lineRule="auto"/>
              <w:ind w:right="88" w:hanging="99"/>
              <w:rPr>
                <w:sz w:val="14"/>
              </w:rPr>
            </w:pPr>
            <w:r>
              <w:rPr>
                <w:color w:val="231F20"/>
                <w:sz w:val="14"/>
              </w:rPr>
              <w:t xml:space="preserve">Есхатон ­ </w:t>
            </w:r>
            <w:r>
              <w:rPr>
                <w:color w:val="231F20"/>
                <w:spacing w:val="-3"/>
                <w:sz w:val="14"/>
              </w:rPr>
              <w:t xml:space="preserve">будуће </w:t>
            </w:r>
            <w:r>
              <w:rPr>
                <w:color w:val="231F20"/>
                <w:sz w:val="14"/>
              </w:rPr>
              <w:t>Царство Божије као</w:t>
            </w:r>
            <w:r>
              <w:rPr>
                <w:color w:val="231F20"/>
                <w:spacing w:val="-19"/>
                <w:sz w:val="14"/>
              </w:rPr>
              <w:t xml:space="preserve"> </w:t>
            </w:r>
            <w:r>
              <w:rPr>
                <w:color w:val="231F20"/>
                <w:sz w:val="14"/>
              </w:rPr>
              <w:t>узрок Цркве и</w:t>
            </w:r>
            <w:r>
              <w:rPr>
                <w:color w:val="231F20"/>
                <w:spacing w:val="-2"/>
                <w:sz w:val="14"/>
              </w:rPr>
              <w:t xml:space="preserve"> </w:t>
            </w:r>
            <w:r>
              <w:rPr>
                <w:color w:val="231F20"/>
                <w:sz w:val="14"/>
              </w:rPr>
              <w:t>историје.</w:t>
            </w:r>
          </w:p>
        </w:tc>
        <w:tc>
          <w:tcPr>
            <w:tcW w:w="2267" w:type="dxa"/>
            <w:vMerge/>
            <w:tcBorders>
              <w:top w:val="nil"/>
            </w:tcBorders>
          </w:tcPr>
          <w:p w:rsidR="00041039" w:rsidRDefault="00041039">
            <w:pPr>
              <w:rPr>
                <w:sz w:val="2"/>
                <w:szCs w:val="2"/>
              </w:rPr>
            </w:pPr>
          </w:p>
        </w:tc>
      </w:tr>
      <w:tr w:rsidR="00041039">
        <w:trPr>
          <w:trHeight w:val="1400"/>
        </w:trPr>
        <w:tc>
          <w:tcPr>
            <w:tcW w:w="1304" w:type="dxa"/>
          </w:tcPr>
          <w:p w:rsidR="00041039" w:rsidRDefault="001B26CB">
            <w:pPr>
              <w:pStyle w:val="TableParagraph"/>
              <w:spacing w:before="25" w:line="223" w:lineRule="auto"/>
              <w:ind w:left="56" w:right="182"/>
              <w:rPr>
                <w:sz w:val="14"/>
              </w:rPr>
            </w:pPr>
            <w:r>
              <w:rPr>
                <w:color w:val="231F20"/>
                <w:sz w:val="14"/>
              </w:rPr>
              <w:t>Смрт природе као разједињење, распадање и</w:t>
            </w:r>
            <w:r>
              <w:rPr>
                <w:color w:val="231F20"/>
                <w:spacing w:val="-3"/>
                <w:sz w:val="14"/>
              </w:rPr>
              <w:t xml:space="preserve"> </w:t>
            </w:r>
            <w:r>
              <w:rPr>
                <w:color w:val="231F20"/>
                <w:sz w:val="14"/>
              </w:rPr>
              <w:t>смрт личности</w:t>
            </w:r>
            <w:r>
              <w:rPr>
                <w:color w:val="231F20"/>
                <w:spacing w:val="-1"/>
                <w:sz w:val="14"/>
              </w:rPr>
              <w:t xml:space="preserve"> </w:t>
            </w:r>
            <w:r>
              <w:rPr>
                <w:color w:val="231F20"/>
                <w:sz w:val="14"/>
              </w:rPr>
              <w:t>као</w:t>
            </w:r>
          </w:p>
          <w:p w:rsidR="00041039" w:rsidRDefault="001B26CB">
            <w:pPr>
              <w:pStyle w:val="TableParagraph"/>
              <w:spacing w:before="1" w:line="223" w:lineRule="auto"/>
              <w:ind w:left="56" w:right="25"/>
              <w:rPr>
                <w:sz w:val="14"/>
              </w:rPr>
            </w:pPr>
            <w:r>
              <w:rPr>
                <w:color w:val="231F20"/>
                <w:sz w:val="14"/>
              </w:rPr>
              <w:t>прекид заједнице са личношћу за коју смо били везани, коју смо највише волели</w:t>
            </w:r>
          </w:p>
        </w:tc>
        <w:tc>
          <w:tcPr>
            <w:tcW w:w="1587" w:type="dxa"/>
          </w:tcPr>
          <w:p w:rsidR="00041039" w:rsidRDefault="001B26CB">
            <w:pPr>
              <w:pStyle w:val="TableParagraph"/>
              <w:numPr>
                <w:ilvl w:val="0"/>
                <w:numId w:val="1845"/>
              </w:numPr>
              <w:tabs>
                <w:tab w:val="left" w:pos="157"/>
              </w:tabs>
              <w:spacing w:before="15" w:line="223" w:lineRule="auto"/>
              <w:ind w:right="44"/>
              <w:rPr>
                <w:sz w:val="14"/>
              </w:rPr>
            </w:pPr>
            <w:r>
              <w:rPr>
                <w:color w:val="231F20"/>
                <w:sz w:val="14"/>
              </w:rPr>
              <w:t xml:space="preserve">Да се </w:t>
            </w:r>
            <w:r>
              <w:rPr>
                <w:color w:val="231F20"/>
                <w:spacing w:val="-5"/>
                <w:sz w:val="14"/>
              </w:rPr>
              <w:t xml:space="preserve">код </w:t>
            </w:r>
            <w:r>
              <w:rPr>
                <w:color w:val="231F20"/>
                <w:sz w:val="14"/>
              </w:rPr>
              <w:t>ученика изгради свест да смрт није прекид постојања личности, већ прекид постојања свега</w:t>
            </w:r>
            <w:r>
              <w:rPr>
                <w:color w:val="231F20"/>
                <w:spacing w:val="-7"/>
                <w:sz w:val="14"/>
              </w:rPr>
              <w:t xml:space="preserve"> </w:t>
            </w:r>
            <w:r>
              <w:rPr>
                <w:color w:val="231F20"/>
                <w:sz w:val="14"/>
              </w:rPr>
              <w:t>другог за</w:t>
            </w:r>
            <w:r>
              <w:rPr>
                <w:color w:val="231F20"/>
                <w:spacing w:val="-2"/>
                <w:sz w:val="14"/>
              </w:rPr>
              <w:t xml:space="preserve"> </w:t>
            </w:r>
            <w:r>
              <w:rPr>
                <w:color w:val="231F20"/>
                <w:sz w:val="14"/>
              </w:rPr>
              <w:t>личност.</w:t>
            </w:r>
          </w:p>
        </w:tc>
        <w:tc>
          <w:tcPr>
            <w:tcW w:w="2551" w:type="dxa"/>
          </w:tcPr>
          <w:p w:rsidR="00041039" w:rsidRDefault="001B26CB">
            <w:pPr>
              <w:pStyle w:val="TableParagraph"/>
              <w:numPr>
                <w:ilvl w:val="0"/>
                <w:numId w:val="1844"/>
              </w:numPr>
              <w:tabs>
                <w:tab w:val="left" w:pos="157"/>
              </w:tabs>
              <w:spacing w:before="15" w:line="223" w:lineRule="auto"/>
              <w:ind w:right="170" w:hanging="99"/>
              <w:rPr>
                <w:sz w:val="14"/>
              </w:rPr>
            </w:pPr>
            <w:r>
              <w:rPr>
                <w:color w:val="231F20"/>
                <w:sz w:val="14"/>
              </w:rPr>
              <w:t>Да ученици љубав према другом до­ живе као основни начин</w:t>
            </w:r>
            <w:r>
              <w:rPr>
                <w:color w:val="231F20"/>
                <w:spacing w:val="-9"/>
                <w:sz w:val="14"/>
              </w:rPr>
              <w:t xml:space="preserve"> </w:t>
            </w:r>
            <w:r>
              <w:rPr>
                <w:color w:val="231F20"/>
                <w:sz w:val="14"/>
              </w:rPr>
              <w:t>устројавања своје свести и здраве</w:t>
            </w:r>
            <w:r>
              <w:rPr>
                <w:color w:val="231F20"/>
                <w:spacing w:val="-3"/>
                <w:sz w:val="14"/>
              </w:rPr>
              <w:t xml:space="preserve"> </w:t>
            </w:r>
            <w:r>
              <w:rPr>
                <w:color w:val="231F20"/>
                <w:sz w:val="14"/>
              </w:rPr>
              <w:t>личности;</w:t>
            </w:r>
          </w:p>
        </w:tc>
        <w:tc>
          <w:tcPr>
            <w:tcW w:w="2834" w:type="dxa"/>
          </w:tcPr>
          <w:p w:rsidR="00041039" w:rsidRDefault="001B26CB">
            <w:pPr>
              <w:pStyle w:val="TableParagraph"/>
              <w:numPr>
                <w:ilvl w:val="0"/>
                <w:numId w:val="1843"/>
              </w:numPr>
              <w:tabs>
                <w:tab w:val="left" w:pos="158"/>
              </w:tabs>
              <w:spacing w:before="14" w:line="223" w:lineRule="auto"/>
              <w:ind w:right="50"/>
              <w:rPr>
                <w:sz w:val="14"/>
              </w:rPr>
            </w:pPr>
            <w:r>
              <w:rPr>
                <w:color w:val="231F20"/>
                <w:sz w:val="14"/>
              </w:rPr>
              <w:t>Смрт природе као разједињење, распадање и смрт личности као прекид заједнице са личношћу</w:t>
            </w:r>
            <w:r>
              <w:rPr>
                <w:color w:val="231F20"/>
                <w:spacing w:val="-5"/>
                <w:sz w:val="14"/>
              </w:rPr>
              <w:t xml:space="preserve"> </w:t>
            </w:r>
            <w:r>
              <w:rPr>
                <w:color w:val="231F20"/>
                <w:sz w:val="14"/>
              </w:rPr>
              <w:t>за</w:t>
            </w:r>
            <w:r>
              <w:rPr>
                <w:color w:val="231F20"/>
                <w:spacing w:val="-5"/>
                <w:sz w:val="14"/>
              </w:rPr>
              <w:t xml:space="preserve"> </w:t>
            </w:r>
            <w:r>
              <w:rPr>
                <w:color w:val="231F20"/>
                <w:sz w:val="14"/>
              </w:rPr>
              <w:t>коју</w:t>
            </w:r>
            <w:r>
              <w:rPr>
                <w:color w:val="231F20"/>
                <w:spacing w:val="-4"/>
                <w:sz w:val="14"/>
              </w:rPr>
              <w:t xml:space="preserve"> </w:t>
            </w:r>
            <w:r>
              <w:rPr>
                <w:color w:val="231F20"/>
                <w:sz w:val="14"/>
              </w:rPr>
              <w:t>смо</w:t>
            </w:r>
            <w:r>
              <w:rPr>
                <w:color w:val="231F20"/>
                <w:spacing w:val="-4"/>
                <w:sz w:val="14"/>
              </w:rPr>
              <w:t xml:space="preserve"> </w:t>
            </w:r>
            <w:r>
              <w:rPr>
                <w:color w:val="231F20"/>
                <w:sz w:val="14"/>
              </w:rPr>
              <w:t>били</w:t>
            </w:r>
            <w:r>
              <w:rPr>
                <w:color w:val="231F20"/>
                <w:spacing w:val="-4"/>
                <w:sz w:val="14"/>
              </w:rPr>
              <w:t xml:space="preserve"> </w:t>
            </w:r>
            <w:r>
              <w:rPr>
                <w:color w:val="231F20"/>
                <w:sz w:val="14"/>
              </w:rPr>
              <w:t>везани,</w:t>
            </w:r>
            <w:r>
              <w:rPr>
                <w:color w:val="231F20"/>
                <w:spacing w:val="-5"/>
                <w:sz w:val="14"/>
              </w:rPr>
              <w:t xml:space="preserve"> </w:t>
            </w:r>
            <w:r>
              <w:rPr>
                <w:color w:val="231F20"/>
                <w:sz w:val="14"/>
              </w:rPr>
              <w:t>коју</w:t>
            </w:r>
            <w:r>
              <w:rPr>
                <w:color w:val="231F20"/>
                <w:spacing w:val="-4"/>
                <w:sz w:val="14"/>
              </w:rPr>
              <w:t xml:space="preserve"> </w:t>
            </w:r>
            <w:r>
              <w:rPr>
                <w:color w:val="231F20"/>
                <w:sz w:val="14"/>
              </w:rPr>
              <w:t>смо највише</w:t>
            </w:r>
            <w:r>
              <w:rPr>
                <w:color w:val="231F20"/>
                <w:spacing w:val="-2"/>
                <w:sz w:val="14"/>
              </w:rPr>
              <w:t xml:space="preserve"> </w:t>
            </w:r>
            <w:r>
              <w:rPr>
                <w:color w:val="231F20"/>
                <w:sz w:val="14"/>
              </w:rPr>
              <w:t>волели.</w:t>
            </w:r>
          </w:p>
        </w:tc>
        <w:tc>
          <w:tcPr>
            <w:tcW w:w="2267" w:type="dxa"/>
            <w:vMerge/>
            <w:tcBorders>
              <w:top w:val="nil"/>
            </w:tcBorders>
          </w:tcPr>
          <w:p w:rsidR="00041039" w:rsidRDefault="00041039">
            <w:pPr>
              <w:rPr>
                <w:sz w:val="2"/>
                <w:szCs w:val="2"/>
              </w:rPr>
            </w:pPr>
          </w:p>
        </w:tc>
      </w:tr>
      <w:tr w:rsidR="00041039">
        <w:trPr>
          <w:trHeight w:val="650"/>
        </w:trPr>
        <w:tc>
          <w:tcPr>
            <w:tcW w:w="1304" w:type="dxa"/>
          </w:tcPr>
          <w:p w:rsidR="00041039" w:rsidRDefault="001B26CB">
            <w:pPr>
              <w:pStyle w:val="TableParagraph"/>
              <w:spacing w:before="24" w:line="223" w:lineRule="auto"/>
              <w:ind w:left="57" w:right="37"/>
              <w:rPr>
                <w:sz w:val="14"/>
              </w:rPr>
            </w:pPr>
            <w:r>
              <w:rPr>
                <w:color w:val="231F20"/>
                <w:sz w:val="14"/>
              </w:rPr>
              <w:t>Литургија нам открива и циљ због кога је Бог створио свет и људе</w:t>
            </w:r>
          </w:p>
        </w:tc>
        <w:tc>
          <w:tcPr>
            <w:tcW w:w="1587" w:type="dxa"/>
          </w:tcPr>
          <w:p w:rsidR="00041039" w:rsidRDefault="001B26CB">
            <w:pPr>
              <w:pStyle w:val="TableParagraph"/>
              <w:numPr>
                <w:ilvl w:val="0"/>
                <w:numId w:val="1842"/>
              </w:numPr>
              <w:tabs>
                <w:tab w:val="left" w:pos="157"/>
              </w:tabs>
              <w:spacing w:before="14" w:line="223" w:lineRule="auto"/>
              <w:ind w:right="179" w:hanging="99"/>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Литургији као</w:t>
            </w:r>
            <w:r>
              <w:rPr>
                <w:color w:val="231F20"/>
                <w:spacing w:val="-15"/>
                <w:sz w:val="14"/>
              </w:rPr>
              <w:t xml:space="preserve"> </w:t>
            </w:r>
            <w:r>
              <w:rPr>
                <w:color w:val="231F20"/>
                <w:sz w:val="14"/>
              </w:rPr>
              <w:t>икони Царства</w:t>
            </w:r>
            <w:r>
              <w:rPr>
                <w:color w:val="231F20"/>
                <w:spacing w:val="-1"/>
                <w:sz w:val="14"/>
              </w:rPr>
              <w:t xml:space="preserve"> </w:t>
            </w:r>
            <w:r>
              <w:rPr>
                <w:color w:val="231F20"/>
                <w:spacing w:val="-3"/>
                <w:sz w:val="14"/>
              </w:rPr>
              <w:t>Божијег.</w:t>
            </w:r>
          </w:p>
        </w:tc>
        <w:tc>
          <w:tcPr>
            <w:tcW w:w="2551" w:type="dxa"/>
          </w:tcPr>
          <w:p w:rsidR="00041039" w:rsidRDefault="001B26CB">
            <w:pPr>
              <w:pStyle w:val="TableParagraph"/>
              <w:numPr>
                <w:ilvl w:val="0"/>
                <w:numId w:val="1841"/>
              </w:numPr>
              <w:tabs>
                <w:tab w:val="left" w:pos="157"/>
              </w:tabs>
              <w:spacing w:before="14" w:line="223" w:lineRule="auto"/>
              <w:ind w:right="155" w:hanging="99"/>
              <w:rPr>
                <w:sz w:val="14"/>
              </w:rPr>
            </w:pPr>
            <w:r>
              <w:rPr>
                <w:color w:val="231F20"/>
                <w:sz w:val="14"/>
              </w:rPr>
              <w:t>Да ученици доживе Литургију као најнепосреднији начин</w:t>
            </w:r>
            <w:r>
              <w:rPr>
                <w:color w:val="231F20"/>
                <w:spacing w:val="-22"/>
                <w:sz w:val="14"/>
              </w:rPr>
              <w:t xml:space="preserve"> </w:t>
            </w:r>
            <w:r>
              <w:rPr>
                <w:color w:val="231F20"/>
                <w:sz w:val="14"/>
              </w:rPr>
              <w:t>комуникације са Богом и заједничарења са</w:t>
            </w:r>
            <w:r>
              <w:rPr>
                <w:color w:val="231F20"/>
                <w:spacing w:val="-14"/>
                <w:sz w:val="14"/>
              </w:rPr>
              <w:t xml:space="preserve"> </w:t>
            </w:r>
            <w:r>
              <w:rPr>
                <w:color w:val="231F20"/>
                <w:sz w:val="14"/>
              </w:rPr>
              <w:t>Богом;</w:t>
            </w:r>
          </w:p>
        </w:tc>
        <w:tc>
          <w:tcPr>
            <w:tcW w:w="2834" w:type="dxa"/>
          </w:tcPr>
          <w:p w:rsidR="00041039" w:rsidRDefault="001B26CB">
            <w:pPr>
              <w:pStyle w:val="TableParagraph"/>
              <w:numPr>
                <w:ilvl w:val="0"/>
                <w:numId w:val="1840"/>
              </w:numPr>
              <w:tabs>
                <w:tab w:val="left" w:pos="158"/>
              </w:tabs>
              <w:spacing w:before="14" w:line="223" w:lineRule="auto"/>
              <w:ind w:right="191"/>
              <w:rPr>
                <w:sz w:val="14"/>
              </w:rPr>
            </w:pPr>
            <w:r>
              <w:rPr>
                <w:color w:val="231F20"/>
                <w:sz w:val="14"/>
              </w:rPr>
              <w:t>Литургија нам открива и циљ због</w:t>
            </w:r>
            <w:r>
              <w:rPr>
                <w:color w:val="231F20"/>
                <w:spacing w:val="-26"/>
                <w:sz w:val="14"/>
              </w:rPr>
              <w:t xml:space="preserve"> </w:t>
            </w:r>
            <w:r>
              <w:rPr>
                <w:color w:val="231F20"/>
                <w:sz w:val="14"/>
              </w:rPr>
              <w:t>кога је Бог створио свет и</w:t>
            </w:r>
            <w:r>
              <w:rPr>
                <w:color w:val="231F20"/>
                <w:spacing w:val="-4"/>
                <w:sz w:val="14"/>
              </w:rPr>
              <w:t xml:space="preserve"> </w:t>
            </w:r>
            <w:r>
              <w:rPr>
                <w:color w:val="231F20"/>
                <w:sz w:val="14"/>
              </w:rPr>
              <w:t>људе.</w:t>
            </w:r>
          </w:p>
        </w:tc>
        <w:tc>
          <w:tcPr>
            <w:tcW w:w="2267" w:type="dxa"/>
            <w:vMerge/>
            <w:tcBorders>
              <w:top w:val="nil"/>
            </w:tcBorders>
          </w:tcPr>
          <w:p w:rsidR="00041039" w:rsidRDefault="00041039">
            <w:pPr>
              <w:rPr>
                <w:sz w:val="2"/>
                <w:szCs w:val="2"/>
              </w:rPr>
            </w:pPr>
          </w:p>
        </w:tc>
      </w:tr>
      <w:tr w:rsidR="00041039">
        <w:trPr>
          <w:trHeight w:val="947"/>
        </w:trPr>
        <w:tc>
          <w:tcPr>
            <w:tcW w:w="1304" w:type="dxa"/>
            <w:tcBorders>
              <w:bottom w:val="single" w:sz="6" w:space="0" w:color="231F20"/>
            </w:tcBorders>
          </w:tcPr>
          <w:p w:rsidR="00041039" w:rsidRDefault="001B26CB">
            <w:pPr>
              <w:pStyle w:val="TableParagraph"/>
              <w:spacing w:before="23" w:line="223" w:lineRule="auto"/>
              <w:ind w:left="57" w:right="224"/>
              <w:rPr>
                <w:sz w:val="14"/>
              </w:rPr>
            </w:pPr>
            <w:r>
              <w:rPr>
                <w:color w:val="231F20"/>
                <w:sz w:val="14"/>
              </w:rPr>
              <w:t>Помесна и ва­ сељенска Црква, њихов однос</w:t>
            </w:r>
          </w:p>
        </w:tc>
        <w:tc>
          <w:tcPr>
            <w:tcW w:w="1587" w:type="dxa"/>
            <w:tcBorders>
              <w:bottom w:val="single" w:sz="6" w:space="0" w:color="231F20"/>
            </w:tcBorders>
          </w:tcPr>
          <w:p w:rsidR="00041039" w:rsidRDefault="001B26CB">
            <w:pPr>
              <w:pStyle w:val="TableParagraph"/>
              <w:numPr>
                <w:ilvl w:val="0"/>
                <w:numId w:val="1839"/>
              </w:numPr>
              <w:tabs>
                <w:tab w:val="left" w:pos="157"/>
              </w:tabs>
              <w:spacing w:before="14" w:line="223" w:lineRule="auto"/>
              <w:ind w:right="101" w:hanging="99"/>
              <w:rPr>
                <w:sz w:val="14"/>
              </w:rPr>
            </w:pPr>
            <w:r>
              <w:rPr>
                <w:color w:val="231F20"/>
                <w:sz w:val="14"/>
              </w:rPr>
              <w:t>Да ученици уоче раз­ лике између васељен­ ске и помесне цркве, као и начин на који помесне</w:t>
            </w:r>
            <w:r>
              <w:rPr>
                <w:color w:val="231F20"/>
                <w:spacing w:val="-10"/>
                <w:sz w:val="14"/>
              </w:rPr>
              <w:t xml:space="preserve"> </w:t>
            </w:r>
            <w:r>
              <w:rPr>
                <w:color w:val="231F20"/>
                <w:sz w:val="14"/>
              </w:rPr>
              <w:t>конституишу васељенску.</w:t>
            </w:r>
          </w:p>
        </w:tc>
        <w:tc>
          <w:tcPr>
            <w:tcW w:w="2551" w:type="dxa"/>
            <w:tcBorders>
              <w:bottom w:val="single" w:sz="6" w:space="0" w:color="231F20"/>
            </w:tcBorders>
          </w:tcPr>
          <w:p w:rsidR="00041039" w:rsidRDefault="001B26CB">
            <w:pPr>
              <w:pStyle w:val="TableParagraph"/>
              <w:numPr>
                <w:ilvl w:val="0"/>
                <w:numId w:val="1838"/>
              </w:numPr>
              <w:tabs>
                <w:tab w:val="left" w:pos="158"/>
              </w:tabs>
              <w:spacing w:before="13" w:line="223" w:lineRule="auto"/>
              <w:ind w:right="438"/>
              <w:rPr>
                <w:sz w:val="14"/>
              </w:rPr>
            </w:pPr>
            <w:r>
              <w:rPr>
                <w:color w:val="231F20"/>
                <w:sz w:val="14"/>
              </w:rPr>
              <w:t>Да ученици увиде</w:t>
            </w:r>
            <w:r>
              <w:rPr>
                <w:color w:val="231F20"/>
                <w:spacing w:val="-12"/>
                <w:sz w:val="14"/>
              </w:rPr>
              <w:t xml:space="preserve"> </w:t>
            </w:r>
            <w:r>
              <w:rPr>
                <w:color w:val="231F20"/>
                <w:sz w:val="14"/>
              </w:rPr>
              <w:t>евхаристијско јединство</w:t>
            </w:r>
            <w:r>
              <w:rPr>
                <w:color w:val="231F20"/>
                <w:spacing w:val="-1"/>
                <w:sz w:val="14"/>
              </w:rPr>
              <w:t xml:space="preserve"> </w:t>
            </w:r>
            <w:r>
              <w:rPr>
                <w:color w:val="231F20"/>
                <w:sz w:val="14"/>
              </w:rPr>
              <w:t>Цркве;</w:t>
            </w:r>
          </w:p>
        </w:tc>
        <w:tc>
          <w:tcPr>
            <w:tcW w:w="2834" w:type="dxa"/>
            <w:tcBorders>
              <w:bottom w:val="single" w:sz="6" w:space="0" w:color="231F20"/>
            </w:tcBorders>
          </w:tcPr>
          <w:p w:rsidR="00041039" w:rsidRDefault="001B26CB">
            <w:pPr>
              <w:pStyle w:val="TableParagraph"/>
              <w:numPr>
                <w:ilvl w:val="0"/>
                <w:numId w:val="1837"/>
              </w:numPr>
              <w:tabs>
                <w:tab w:val="left" w:pos="158"/>
              </w:tabs>
              <w:spacing w:before="3"/>
              <w:rPr>
                <w:sz w:val="14"/>
              </w:rPr>
            </w:pPr>
            <w:r>
              <w:rPr>
                <w:color w:val="231F20"/>
                <w:sz w:val="14"/>
              </w:rPr>
              <w:t>Помесна и васељенска Црква, њихов</w:t>
            </w:r>
            <w:r>
              <w:rPr>
                <w:color w:val="231F20"/>
                <w:spacing w:val="-16"/>
                <w:sz w:val="14"/>
              </w:rPr>
              <w:t xml:space="preserve"> </w:t>
            </w:r>
            <w:r>
              <w:rPr>
                <w:color w:val="231F20"/>
                <w:sz w:val="14"/>
              </w:rPr>
              <w:t>однос.</w:t>
            </w:r>
          </w:p>
        </w:tc>
        <w:tc>
          <w:tcPr>
            <w:tcW w:w="2267" w:type="dxa"/>
            <w:vMerge/>
            <w:tcBorders>
              <w:top w:val="nil"/>
            </w:tcBorders>
          </w:tcPr>
          <w:p w:rsidR="00041039" w:rsidRDefault="00041039">
            <w:pPr>
              <w:rPr>
                <w:sz w:val="2"/>
                <w:szCs w:val="2"/>
              </w:rPr>
            </w:pPr>
          </w:p>
        </w:tc>
      </w:tr>
      <w:tr w:rsidR="00041039">
        <w:trPr>
          <w:trHeight w:val="647"/>
        </w:trPr>
        <w:tc>
          <w:tcPr>
            <w:tcW w:w="1304" w:type="dxa"/>
            <w:tcBorders>
              <w:top w:val="single" w:sz="6" w:space="0" w:color="231F20"/>
            </w:tcBorders>
          </w:tcPr>
          <w:p w:rsidR="00041039" w:rsidRDefault="001B26CB">
            <w:pPr>
              <w:pStyle w:val="TableParagraph"/>
              <w:spacing w:before="20" w:line="223" w:lineRule="auto"/>
              <w:ind w:left="57" w:right="77"/>
              <w:rPr>
                <w:sz w:val="14"/>
              </w:rPr>
            </w:pPr>
            <w:r>
              <w:rPr>
                <w:color w:val="231F20"/>
                <w:sz w:val="14"/>
              </w:rPr>
              <w:t>Јединство Цркве (на помесном и ва­ сељенском нивоу)</w:t>
            </w:r>
          </w:p>
        </w:tc>
        <w:tc>
          <w:tcPr>
            <w:tcW w:w="1587" w:type="dxa"/>
            <w:tcBorders>
              <w:top w:val="single" w:sz="6" w:space="0" w:color="231F20"/>
            </w:tcBorders>
          </w:tcPr>
          <w:p w:rsidR="00041039" w:rsidRDefault="001B26CB">
            <w:pPr>
              <w:pStyle w:val="TableParagraph"/>
              <w:numPr>
                <w:ilvl w:val="0"/>
                <w:numId w:val="1836"/>
              </w:numPr>
              <w:tabs>
                <w:tab w:val="left" w:pos="157"/>
              </w:tabs>
              <w:spacing w:before="11" w:line="223" w:lineRule="auto"/>
              <w:ind w:right="97" w:hanging="99"/>
              <w:rPr>
                <w:sz w:val="14"/>
              </w:rPr>
            </w:pPr>
            <w:r>
              <w:rPr>
                <w:color w:val="231F20"/>
                <w:sz w:val="14"/>
              </w:rPr>
              <w:t>Да ученици схвате литургијски однос помесне и</w:t>
            </w:r>
            <w:r>
              <w:rPr>
                <w:color w:val="231F20"/>
                <w:spacing w:val="-7"/>
                <w:sz w:val="14"/>
              </w:rPr>
              <w:t xml:space="preserve"> </w:t>
            </w:r>
            <w:r>
              <w:rPr>
                <w:color w:val="231F20"/>
                <w:sz w:val="14"/>
              </w:rPr>
              <w:t>васељенске цркве.</w:t>
            </w:r>
          </w:p>
        </w:tc>
        <w:tc>
          <w:tcPr>
            <w:tcW w:w="2551" w:type="dxa"/>
            <w:tcBorders>
              <w:top w:val="single" w:sz="6" w:space="0" w:color="231F20"/>
            </w:tcBorders>
          </w:tcPr>
          <w:p w:rsidR="00041039" w:rsidRDefault="001B26CB">
            <w:pPr>
              <w:pStyle w:val="TableParagraph"/>
              <w:numPr>
                <w:ilvl w:val="0"/>
                <w:numId w:val="1835"/>
              </w:numPr>
              <w:tabs>
                <w:tab w:val="left" w:pos="158"/>
              </w:tabs>
              <w:spacing w:before="10" w:line="223" w:lineRule="auto"/>
              <w:ind w:right="239"/>
              <w:rPr>
                <w:sz w:val="14"/>
              </w:rPr>
            </w:pPr>
            <w:r>
              <w:rPr>
                <w:color w:val="231F20"/>
                <w:sz w:val="14"/>
              </w:rPr>
              <w:t>Да ученици уоче да је црква Једна</w:t>
            </w:r>
            <w:r>
              <w:rPr>
                <w:color w:val="231F20"/>
                <w:spacing w:val="-18"/>
                <w:sz w:val="14"/>
              </w:rPr>
              <w:t xml:space="preserve"> </w:t>
            </w:r>
            <w:r>
              <w:rPr>
                <w:color w:val="231F20"/>
                <w:sz w:val="14"/>
              </w:rPr>
              <w:t>и Васељенска;</w:t>
            </w:r>
          </w:p>
        </w:tc>
        <w:tc>
          <w:tcPr>
            <w:tcW w:w="2834" w:type="dxa"/>
            <w:tcBorders>
              <w:top w:val="single" w:sz="6" w:space="0" w:color="231F20"/>
            </w:tcBorders>
          </w:tcPr>
          <w:p w:rsidR="00041039" w:rsidRDefault="001B26CB">
            <w:pPr>
              <w:pStyle w:val="TableParagraph"/>
              <w:numPr>
                <w:ilvl w:val="0"/>
                <w:numId w:val="1834"/>
              </w:numPr>
              <w:tabs>
                <w:tab w:val="left" w:pos="158"/>
              </w:tabs>
              <w:spacing w:before="10" w:line="223" w:lineRule="auto"/>
              <w:ind w:right="142" w:hanging="99"/>
              <w:rPr>
                <w:sz w:val="14"/>
              </w:rPr>
            </w:pPr>
            <w:r>
              <w:rPr>
                <w:color w:val="231F20"/>
                <w:sz w:val="14"/>
              </w:rPr>
              <w:t>Јединство Цркве (на помесном и</w:t>
            </w:r>
            <w:r>
              <w:rPr>
                <w:color w:val="231F20"/>
                <w:spacing w:val="-15"/>
                <w:sz w:val="14"/>
              </w:rPr>
              <w:t xml:space="preserve"> </w:t>
            </w:r>
            <w:r>
              <w:rPr>
                <w:color w:val="231F20"/>
                <w:sz w:val="14"/>
              </w:rPr>
              <w:t xml:space="preserve">васељен­ </w:t>
            </w:r>
            <w:r>
              <w:rPr>
                <w:color w:val="231F20"/>
                <w:spacing w:val="-3"/>
                <w:sz w:val="14"/>
              </w:rPr>
              <w:t>ском</w:t>
            </w:r>
            <w:r>
              <w:rPr>
                <w:color w:val="231F20"/>
                <w:spacing w:val="-1"/>
                <w:sz w:val="14"/>
              </w:rPr>
              <w:t xml:space="preserve"> </w:t>
            </w:r>
            <w:r>
              <w:rPr>
                <w:color w:val="231F20"/>
                <w:sz w:val="14"/>
              </w:rPr>
              <w:t>нивоу).</w:t>
            </w:r>
          </w:p>
        </w:tc>
        <w:tc>
          <w:tcPr>
            <w:tcW w:w="2267" w:type="dxa"/>
            <w:vMerge/>
            <w:tcBorders>
              <w:top w:val="nil"/>
            </w:tcBorders>
          </w:tcPr>
          <w:p w:rsidR="00041039" w:rsidRDefault="00041039">
            <w:pPr>
              <w:rPr>
                <w:sz w:val="2"/>
                <w:szCs w:val="2"/>
              </w:rPr>
            </w:pPr>
          </w:p>
        </w:tc>
      </w:tr>
      <w:tr w:rsidR="00041039">
        <w:trPr>
          <w:trHeight w:val="950"/>
        </w:trPr>
        <w:tc>
          <w:tcPr>
            <w:tcW w:w="1304" w:type="dxa"/>
          </w:tcPr>
          <w:p w:rsidR="00041039" w:rsidRDefault="001B26CB">
            <w:pPr>
              <w:pStyle w:val="TableParagraph"/>
              <w:spacing w:before="22" w:line="223" w:lineRule="auto"/>
              <w:ind w:left="57" w:right="159"/>
              <w:rPr>
                <w:sz w:val="14"/>
              </w:rPr>
            </w:pPr>
            <w:r>
              <w:rPr>
                <w:color w:val="231F20"/>
                <w:sz w:val="14"/>
              </w:rPr>
              <w:t>Теологија право­ славне уметности</w:t>
            </w:r>
          </w:p>
        </w:tc>
        <w:tc>
          <w:tcPr>
            <w:tcW w:w="1587" w:type="dxa"/>
          </w:tcPr>
          <w:p w:rsidR="00041039" w:rsidRDefault="001B26CB">
            <w:pPr>
              <w:pStyle w:val="TableParagraph"/>
              <w:numPr>
                <w:ilvl w:val="0"/>
                <w:numId w:val="1833"/>
              </w:numPr>
              <w:tabs>
                <w:tab w:val="left" w:pos="157"/>
              </w:tabs>
              <w:spacing w:before="13" w:line="223" w:lineRule="auto"/>
              <w:ind w:right="199" w:hanging="99"/>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надвремености и есхатоцентричности православне умет­ ности.</w:t>
            </w:r>
          </w:p>
        </w:tc>
        <w:tc>
          <w:tcPr>
            <w:tcW w:w="2551" w:type="dxa"/>
          </w:tcPr>
          <w:p w:rsidR="00041039" w:rsidRDefault="001B26CB">
            <w:pPr>
              <w:pStyle w:val="TableParagraph"/>
              <w:numPr>
                <w:ilvl w:val="0"/>
                <w:numId w:val="1832"/>
              </w:numPr>
              <w:tabs>
                <w:tab w:val="left" w:pos="158"/>
              </w:tabs>
              <w:spacing w:before="13" w:line="223" w:lineRule="auto"/>
              <w:ind w:right="96"/>
              <w:rPr>
                <w:sz w:val="14"/>
              </w:rPr>
            </w:pPr>
            <w:r>
              <w:rPr>
                <w:color w:val="231F20"/>
                <w:sz w:val="14"/>
              </w:rPr>
              <w:t>Да ученици стечена знања могу да примене на конкретним примерима</w:t>
            </w:r>
            <w:r>
              <w:rPr>
                <w:color w:val="231F20"/>
                <w:spacing w:val="-24"/>
                <w:sz w:val="14"/>
              </w:rPr>
              <w:t xml:space="preserve"> </w:t>
            </w:r>
            <w:r>
              <w:rPr>
                <w:color w:val="231F20"/>
                <w:sz w:val="14"/>
              </w:rPr>
              <w:t>из православне уметности;</w:t>
            </w:r>
          </w:p>
        </w:tc>
        <w:tc>
          <w:tcPr>
            <w:tcW w:w="2834" w:type="dxa"/>
          </w:tcPr>
          <w:p w:rsidR="00041039" w:rsidRDefault="001B26CB">
            <w:pPr>
              <w:pStyle w:val="TableParagraph"/>
              <w:numPr>
                <w:ilvl w:val="0"/>
                <w:numId w:val="1831"/>
              </w:numPr>
              <w:tabs>
                <w:tab w:val="left" w:pos="158"/>
              </w:tabs>
              <w:spacing w:before="3"/>
              <w:ind w:hanging="99"/>
              <w:rPr>
                <w:sz w:val="14"/>
              </w:rPr>
            </w:pPr>
            <w:r>
              <w:rPr>
                <w:color w:val="231F20"/>
                <w:sz w:val="14"/>
              </w:rPr>
              <w:t>Теологија православне</w:t>
            </w:r>
            <w:r>
              <w:rPr>
                <w:color w:val="231F20"/>
                <w:spacing w:val="-3"/>
                <w:sz w:val="14"/>
              </w:rPr>
              <w:t xml:space="preserve"> </w:t>
            </w:r>
            <w:r>
              <w:rPr>
                <w:color w:val="231F20"/>
                <w:sz w:val="14"/>
              </w:rPr>
              <w:t>уметности.</w:t>
            </w:r>
          </w:p>
        </w:tc>
        <w:tc>
          <w:tcPr>
            <w:tcW w:w="2267" w:type="dxa"/>
            <w:vMerge/>
            <w:tcBorders>
              <w:top w:val="nil"/>
            </w:tcBorders>
          </w:tcPr>
          <w:p w:rsidR="00041039" w:rsidRDefault="00041039">
            <w:pPr>
              <w:rPr>
                <w:sz w:val="2"/>
                <w:szCs w:val="2"/>
              </w:rPr>
            </w:pPr>
          </w:p>
        </w:tc>
      </w:tr>
      <w:tr w:rsidR="00041039">
        <w:trPr>
          <w:trHeight w:val="827"/>
        </w:trPr>
        <w:tc>
          <w:tcPr>
            <w:tcW w:w="1304" w:type="dxa"/>
          </w:tcPr>
          <w:p w:rsidR="00041039" w:rsidRDefault="001B26CB">
            <w:pPr>
              <w:pStyle w:val="TableParagraph"/>
              <w:spacing w:before="22" w:line="223" w:lineRule="auto"/>
              <w:ind w:left="57" w:right="148"/>
              <w:rPr>
                <w:sz w:val="14"/>
              </w:rPr>
            </w:pPr>
            <w:r>
              <w:rPr>
                <w:color w:val="231F20"/>
                <w:sz w:val="14"/>
              </w:rPr>
              <w:t>Црква и свет (њи­ хов однос)</w:t>
            </w:r>
          </w:p>
        </w:tc>
        <w:tc>
          <w:tcPr>
            <w:tcW w:w="1587" w:type="dxa"/>
          </w:tcPr>
          <w:p w:rsidR="00041039" w:rsidRDefault="001B26CB">
            <w:pPr>
              <w:pStyle w:val="TableParagraph"/>
              <w:numPr>
                <w:ilvl w:val="0"/>
                <w:numId w:val="1830"/>
              </w:numPr>
              <w:tabs>
                <w:tab w:val="left" w:pos="158"/>
              </w:tabs>
              <w:spacing w:before="12" w:line="223" w:lineRule="auto"/>
              <w:ind w:right="44"/>
              <w:rPr>
                <w:sz w:val="14"/>
              </w:rPr>
            </w:pPr>
            <w:r>
              <w:rPr>
                <w:color w:val="231F20"/>
                <w:sz w:val="14"/>
              </w:rPr>
              <w:t xml:space="preserve">Да се </w:t>
            </w:r>
            <w:r>
              <w:rPr>
                <w:color w:val="231F20"/>
                <w:spacing w:val="-5"/>
                <w:sz w:val="14"/>
              </w:rPr>
              <w:t xml:space="preserve">код </w:t>
            </w:r>
            <w:r>
              <w:rPr>
                <w:color w:val="231F20"/>
                <w:sz w:val="14"/>
              </w:rPr>
              <w:t>ученика из­ гради свест о</w:t>
            </w:r>
            <w:r>
              <w:rPr>
                <w:color w:val="231F20"/>
                <w:spacing w:val="-13"/>
                <w:sz w:val="14"/>
              </w:rPr>
              <w:t xml:space="preserve"> </w:t>
            </w:r>
            <w:r>
              <w:rPr>
                <w:color w:val="231F20"/>
                <w:sz w:val="14"/>
              </w:rPr>
              <w:t>Есхатону као правој истини света и Цркви као икони</w:t>
            </w:r>
            <w:r>
              <w:rPr>
                <w:color w:val="231F20"/>
                <w:spacing w:val="-2"/>
                <w:sz w:val="14"/>
              </w:rPr>
              <w:t xml:space="preserve"> </w:t>
            </w:r>
            <w:r>
              <w:rPr>
                <w:color w:val="231F20"/>
                <w:sz w:val="14"/>
              </w:rPr>
              <w:t>Есхатона.</w:t>
            </w:r>
          </w:p>
        </w:tc>
        <w:tc>
          <w:tcPr>
            <w:tcW w:w="2551" w:type="dxa"/>
          </w:tcPr>
          <w:p w:rsidR="00041039" w:rsidRDefault="001B26CB">
            <w:pPr>
              <w:pStyle w:val="TableParagraph"/>
              <w:numPr>
                <w:ilvl w:val="0"/>
                <w:numId w:val="1829"/>
              </w:numPr>
              <w:tabs>
                <w:tab w:val="left" w:pos="158"/>
              </w:tabs>
              <w:spacing w:before="12" w:line="223" w:lineRule="auto"/>
              <w:ind w:right="63" w:hanging="99"/>
              <w:rPr>
                <w:sz w:val="14"/>
              </w:rPr>
            </w:pPr>
            <w:r>
              <w:rPr>
                <w:color w:val="231F20"/>
                <w:sz w:val="14"/>
              </w:rPr>
              <w:t>Ученици треба да спознају да је учествовање у животу Цркве</w:t>
            </w:r>
            <w:r>
              <w:rPr>
                <w:color w:val="231F20"/>
                <w:spacing w:val="-16"/>
                <w:sz w:val="14"/>
              </w:rPr>
              <w:t xml:space="preserve"> </w:t>
            </w:r>
            <w:r>
              <w:rPr>
                <w:color w:val="231F20"/>
                <w:sz w:val="14"/>
              </w:rPr>
              <w:t>истински начин постојања човека и</w:t>
            </w:r>
            <w:r>
              <w:rPr>
                <w:color w:val="231F20"/>
                <w:spacing w:val="-4"/>
                <w:sz w:val="14"/>
              </w:rPr>
              <w:t xml:space="preserve"> </w:t>
            </w:r>
            <w:r>
              <w:rPr>
                <w:color w:val="231F20"/>
                <w:sz w:val="14"/>
              </w:rPr>
              <w:t>света;</w:t>
            </w:r>
          </w:p>
        </w:tc>
        <w:tc>
          <w:tcPr>
            <w:tcW w:w="2834" w:type="dxa"/>
          </w:tcPr>
          <w:p w:rsidR="00041039" w:rsidRDefault="001B26CB">
            <w:pPr>
              <w:pStyle w:val="TableParagraph"/>
              <w:numPr>
                <w:ilvl w:val="0"/>
                <w:numId w:val="1828"/>
              </w:numPr>
              <w:tabs>
                <w:tab w:val="left" w:pos="158"/>
              </w:tabs>
              <w:spacing w:before="2"/>
              <w:ind w:hanging="99"/>
              <w:rPr>
                <w:sz w:val="14"/>
              </w:rPr>
            </w:pPr>
            <w:r>
              <w:rPr>
                <w:color w:val="231F20"/>
                <w:sz w:val="14"/>
              </w:rPr>
              <w:t>Црква и свет (њихов</w:t>
            </w:r>
            <w:r>
              <w:rPr>
                <w:color w:val="231F20"/>
                <w:spacing w:val="-3"/>
                <w:sz w:val="14"/>
              </w:rPr>
              <w:t xml:space="preserve"> </w:t>
            </w:r>
            <w:r>
              <w:rPr>
                <w:color w:val="231F20"/>
                <w:sz w:val="14"/>
              </w:rPr>
              <w:t>однос).</w:t>
            </w:r>
          </w:p>
        </w:tc>
        <w:tc>
          <w:tcPr>
            <w:tcW w:w="2267" w:type="dxa"/>
            <w:vMerge/>
            <w:tcBorders>
              <w:top w:val="nil"/>
            </w:tcBorders>
          </w:tcPr>
          <w:p w:rsidR="00041039" w:rsidRDefault="00041039">
            <w:pPr>
              <w:rPr>
                <w:sz w:val="2"/>
                <w:szCs w:val="2"/>
              </w:rPr>
            </w:pPr>
          </w:p>
        </w:tc>
      </w:tr>
    </w:tbl>
    <w:p w:rsidR="00041039" w:rsidRDefault="00041039">
      <w:pPr>
        <w:pStyle w:val="BodyText"/>
        <w:spacing w:before="1"/>
        <w:rPr>
          <w:b/>
          <w:sz w:val="20"/>
        </w:rPr>
      </w:pPr>
    </w:p>
    <w:p w:rsidR="00041039" w:rsidRDefault="001B26CB">
      <w:pPr>
        <w:pStyle w:val="Heading1"/>
        <w:spacing w:before="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3"/>
        </w:numPr>
        <w:tabs>
          <w:tab w:val="left" w:pos="633"/>
        </w:tabs>
        <w:rPr>
          <w:sz w:val="18"/>
        </w:rPr>
      </w:pPr>
      <w:r>
        <w:rPr>
          <w:color w:val="231F20"/>
          <w:sz w:val="18"/>
        </w:rPr>
        <w:t>Историја</w:t>
      </w:r>
    </w:p>
    <w:p w:rsidR="00041039" w:rsidRDefault="001B26CB">
      <w:pPr>
        <w:pStyle w:val="ListParagraph"/>
        <w:numPr>
          <w:ilvl w:val="0"/>
          <w:numId w:val="3"/>
        </w:numPr>
        <w:tabs>
          <w:tab w:val="left" w:pos="633"/>
        </w:tabs>
        <w:spacing w:line="203" w:lineRule="exact"/>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spacing w:before="80"/>
        <w:ind w:right="37"/>
        <w:jc w:val="center"/>
        <w:rPr>
          <w:b/>
          <w:sz w:val="18"/>
        </w:rPr>
      </w:pPr>
      <w:r>
        <w:rPr>
          <w:b/>
          <w:color w:val="231F20"/>
          <w:sz w:val="18"/>
        </w:rPr>
        <w:lastRenderedPageBreak/>
        <w:t>Б: ИЗБОРНИ ОПШТЕОБРАЗОВНИ ПРЕДМЕТИ</w:t>
      </w:r>
    </w:p>
    <w:p w:rsidR="00041039" w:rsidRDefault="00041039">
      <w:pPr>
        <w:pStyle w:val="BodyText"/>
        <w:spacing w:before="10"/>
        <w:rPr>
          <w:b/>
          <w:sz w:val="21"/>
        </w:rPr>
      </w:pPr>
    </w:p>
    <w:p w:rsidR="00041039" w:rsidRDefault="001B26CB">
      <w:pPr>
        <w:tabs>
          <w:tab w:val="left" w:pos="1460"/>
        </w:tabs>
        <w:ind w:left="157"/>
        <w:rPr>
          <w:b/>
          <w:sz w:val="18"/>
        </w:rPr>
      </w:pPr>
      <w:r>
        <w:rPr>
          <w:color w:val="231F20"/>
          <w:position w:val="2"/>
          <w:sz w:val="14"/>
        </w:rPr>
        <w:t>Назив</w:t>
      </w:r>
      <w:r>
        <w:rPr>
          <w:color w:val="231F20"/>
          <w:spacing w:val="-3"/>
          <w:position w:val="2"/>
          <w:sz w:val="14"/>
        </w:rPr>
        <w:t xml:space="preserve"> </w:t>
      </w:r>
      <w:r>
        <w:rPr>
          <w:color w:val="231F20"/>
          <w:position w:val="2"/>
          <w:sz w:val="14"/>
        </w:rPr>
        <w:t>предмета:</w:t>
      </w:r>
      <w:r>
        <w:rPr>
          <w:color w:val="231F20"/>
          <w:position w:val="2"/>
          <w:sz w:val="14"/>
        </w:rPr>
        <w:tab/>
      </w:r>
      <w:r>
        <w:rPr>
          <w:b/>
          <w:color w:val="231F20"/>
          <w:spacing w:val="-4"/>
          <w:sz w:val="18"/>
        </w:rPr>
        <w:t>ИЗАБРАНА ПОГЛАВЉА</w:t>
      </w:r>
      <w:r>
        <w:rPr>
          <w:b/>
          <w:color w:val="231F20"/>
          <w:spacing w:val="1"/>
          <w:sz w:val="18"/>
        </w:rPr>
        <w:t xml:space="preserve"> </w:t>
      </w:r>
      <w:r>
        <w:rPr>
          <w:b/>
          <w:color w:val="231F20"/>
          <w:spacing w:val="-4"/>
          <w:sz w:val="18"/>
        </w:rPr>
        <w:t>МАТЕМАТИКЕ</w:t>
      </w:r>
    </w:p>
    <w:p w:rsidR="00041039" w:rsidRDefault="001B26CB">
      <w:pPr>
        <w:pStyle w:val="BodyText"/>
        <w:spacing w:before="41"/>
        <w:ind w:left="157"/>
      </w:pPr>
      <w:r>
        <w:rPr>
          <w:color w:val="231F20"/>
        </w:rPr>
        <w:t>Циљеви предмета: – Развијање логичког и апстрактног мишљења;</w:t>
      </w:r>
    </w:p>
    <w:p w:rsidR="00041039" w:rsidRDefault="001B26CB">
      <w:pPr>
        <w:pStyle w:val="ListParagraph"/>
        <w:numPr>
          <w:ilvl w:val="1"/>
          <w:numId w:val="3"/>
        </w:numPr>
        <w:tabs>
          <w:tab w:val="left" w:pos="1566"/>
        </w:tabs>
        <w:spacing w:before="41" w:line="240" w:lineRule="auto"/>
        <w:rPr>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041039" w:rsidRDefault="001B26CB">
      <w:pPr>
        <w:pStyle w:val="ListParagraph"/>
        <w:numPr>
          <w:ilvl w:val="1"/>
          <w:numId w:val="3"/>
        </w:numPr>
        <w:tabs>
          <w:tab w:val="left" w:pos="1566"/>
        </w:tabs>
        <w:spacing w:before="41" w:line="240" w:lineRule="auto"/>
        <w:rPr>
          <w:sz w:val="14"/>
        </w:rPr>
      </w:pP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математици тако и у осталим</w:t>
      </w:r>
      <w:r>
        <w:rPr>
          <w:color w:val="231F20"/>
          <w:spacing w:val="-6"/>
          <w:sz w:val="14"/>
        </w:rPr>
        <w:t xml:space="preserve"> </w:t>
      </w:r>
      <w:r>
        <w:rPr>
          <w:color w:val="231F20"/>
          <w:sz w:val="14"/>
        </w:rPr>
        <w:t>предметима;</w:t>
      </w:r>
    </w:p>
    <w:p w:rsidR="00041039" w:rsidRDefault="001B26CB">
      <w:pPr>
        <w:pStyle w:val="ListParagraph"/>
        <w:numPr>
          <w:ilvl w:val="1"/>
          <w:numId w:val="3"/>
        </w:numPr>
        <w:tabs>
          <w:tab w:val="left" w:pos="1566"/>
        </w:tabs>
        <w:spacing w:before="41" w:line="240" w:lineRule="auto"/>
        <w:rPr>
          <w:sz w:val="14"/>
        </w:rPr>
      </w:pPr>
      <w:r>
        <w:rPr>
          <w:color w:val="231F20"/>
          <w:sz w:val="14"/>
        </w:rPr>
        <w:t>Формирање основа за наставак</w:t>
      </w:r>
      <w:r>
        <w:rPr>
          <w:color w:val="231F20"/>
          <w:spacing w:val="-2"/>
          <w:sz w:val="14"/>
        </w:rPr>
        <w:t xml:space="preserve"> </w:t>
      </w:r>
      <w:r>
        <w:rPr>
          <w:color w:val="231F20"/>
          <w:sz w:val="14"/>
        </w:rPr>
        <w:t>образовања;</w:t>
      </w:r>
    </w:p>
    <w:p w:rsidR="00041039" w:rsidRDefault="001B26CB">
      <w:pPr>
        <w:pStyle w:val="ListParagraph"/>
        <w:numPr>
          <w:ilvl w:val="1"/>
          <w:numId w:val="3"/>
        </w:numPr>
        <w:tabs>
          <w:tab w:val="left" w:pos="1566"/>
        </w:tabs>
        <w:spacing w:before="41" w:line="161" w:lineRule="exact"/>
        <w:rPr>
          <w:sz w:val="14"/>
        </w:rPr>
      </w:pPr>
      <w:r>
        <w:rPr>
          <w:color w:val="231F20"/>
          <w:sz w:val="14"/>
        </w:rPr>
        <w:t>Формирање</w:t>
      </w:r>
      <w:r>
        <w:rPr>
          <w:color w:val="231F20"/>
          <w:spacing w:val="-2"/>
          <w:sz w:val="14"/>
        </w:rPr>
        <w:t xml:space="preserve"> </w:t>
      </w:r>
      <w:r>
        <w:rPr>
          <w:color w:val="231F20"/>
          <w:sz w:val="14"/>
        </w:rPr>
        <w:t>математичке</w:t>
      </w:r>
      <w:r>
        <w:rPr>
          <w:color w:val="231F20"/>
          <w:spacing w:val="-2"/>
          <w:sz w:val="14"/>
        </w:rPr>
        <w:t xml:space="preserve"> </w:t>
      </w:r>
      <w:r>
        <w:rPr>
          <w:color w:val="231F20"/>
          <w:sz w:val="14"/>
        </w:rPr>
        <w:t>културе</w:t>
      </w:r>
      <w:r>
        <w:rPr>
          <w:color w:val="231F20"/>
          <w:spacing w:val="-2"/>
          <w:sz w:val="14"/>
        </w:rPr>
        <w:t xml:space="preserve"> </w:t>
      </w:r>
      <w:r>
        <w:rPr>
          <w:color w:val="231F20"/>
          <w:sz w:val="14"/>
        </w:rPr>
        <w:t>која</w:t>
      </w:r>
      <w:r>
        <w:rPr>
          <w:color w:val="231F20"/>
          <w:spacing w:val="-2"/>
          <w:sz w:val="14"/>
        </w:rPr>
        <w:t xml:space="preserve"> </w:t>
      </w:r>
      <w:r>
        <w:rPr>
          <w:color w:val="231F20"/>
          <w:sz w:val="14"/>
        </w:rPr>
        <w:t>подразумева</w:t>
      </w:r>
      <w:r>
        <w:rPr>
          <w:color w:val="231F20"/>
          <w:spacing w:val="-2"/>
          <w:sz w:val="14"/>
        </w:rPr>
        <w:t xml:space="preserve"> </w:t>
      </w:r>
      <w:r>
        <w:rPr>
          <w:color w:val="231F20"/>
          <w:sz w:val="14"/>
        </w:rPr>
        <w:t>свест</w:t>
      </w:r>
      <w:r>
        <w:rPr>
          <w:color w:val="231F20"/>
          <w:spacing w:val="-2"/>
          <w:sz w:val="14"/>
        </w:rPr>
        <w:t xml:space="preserve"> </w:t>
      </w:r>
      <w:r>
        <w:rPr>
          <w:color w:val="231F20"/>
          <w:sz w:val="14"/>
        </w:rPr>
        <w:t>универзалности</w:t>
      </w:r>
      <w:r>
        <w:rPr>
          <w:color w:val="231F20"/>
          <w:spacing w:val="-2"/>
          <w:sz w:val="14"/>
        </w:rPr>
        <w:t xml:space="preserve"> </w:t>
      </w:r>
      <w:r>
        <w:rPr>
          <w:color w:val="231F20"/>
          <w:sz w:val="14"/>
        </w:rPr>
        <w:t>и</w:t>
      </w:r>
      <w:r>
        <w:rPr>
          <w:color w:val="231F20"/>
          <w:spacing w:val="-3"/>
          <w:sz w:val="14"/>
        </w:rPr>
        <w:t xml:space="preserve"> </w:t>
      </w:r>
      <w:r>
        <w:rPr>
          <w:color w:val="231F20"/>
          <w:sz w:val="14"/>
        </w:rPr>
        <w:t>примени</w:t>
      </w:r>
      <w:r>
        <w:rPr>
          <w:color w:val="231F20"/>
          <w:spacing w:val="-3"/>
          <w:sz w:val="14"/>
        </w:rPr>
        <w:t xml:space="preserve"> </w:t>
      </w:r>
      <w:r>
        <w:rPr>
          <w:color w:val="231F20"/>
          <w:sz w:val="14"/>
        </w:rPr>
        <w:t>математике</w:t>
      </w:r>
      <w:r>
        <w:rPr>
          <w:color w:val="231F20"/>
          <w:spacing w:val="-2"/>
          <w:sz w:val="14"/>
        </w:rPr>
        <w:t xml:space="preserve"> </w:t>
      </w:r>
      <w:r>
        <w:rPr>
          <w:color w:val="231F20"/>
          <w:sz w:val="14"/>
        </w:rPr>
        <w:t>и</w:t>
      </w:r>
      <w:r>
        <w:rPr>
          <w:color w:val="231F20"/>
          <w:spacing w:val="-3"/>
          <w:sz w:val="14"/>
        </w:rPr>
        <w:t xml:space="preserve"> </w:t>
      </w:r>
      <w:r>
        <w:rPr>
          <w:color w:val="231F20"/>
          <w:sz w:val="14"/>
        </w:rPr>
        <w:t>математичког</w:t>
      </w:r>
      <w:r>
        <w:rPr>
          <w:color w:val="231F20"/>
          <w:spacing w:val="-2"/>
          <w:sz w:val="14"/>
        </w:rPr>
        <w:t xml:space="preserve"> </w:t>
      </w:r>
      <w:r>
        <w:rPr>
          <w:color w:val="231F20"/>
          <w:sz w:val="14"/>
        </w:rPr>
        <w:t>начина</w:t>
      </w:r>
      <w:r>
        <w:rPr>
          <w:color w:val="231F20"/>
          <w:spacing w:val="-2"/>
          <w:sz w:val="14"/>
        </w:rPr>
        <w:t xml:space="preserve"> </w:t>
      </w:r>
      <w:r>
        <w:rPr>
          <w:color w:val="231F20"/>
          <w:sz w:val="14"/>
        </w:rPr>
        <w:t>мишљења;</w:t>
      </w:r>
    </w:p>
    <w:p w:rsidR="00041039" w:rsidRDefault="001B26CB">
      <w:pPr>
        <w:pStyle w:val="ListParagraph"/>
        <w:numPr>
          <w:ilvl w:val="1"/>
          <w:numId w:val="3"/>
        </w:numPr>
        <w:tabs>
          <w:tab w:val="left" w:pos="1566"/>
        </w:tabs>
        <w:spacing w:line="161" w:lineRule="exact"/>
        <w:rPr>
          <w:sz w:val="14"/>
        </w:rPr>
      </w:pPr>
      <w:r>
        <w:rPr>
          <w:color w:val="231F20"/>
          <w:sz w:val="14"/>
        </w:rPr>
        <w:t>Развијање систематичности, уредности, прецизности, темељности,</w:t>
      </w:r>
      <w:r>
        <w:rPr>
          <w:color w:val="231F20"/>
          <w:spacing w:val="-2"/>
          <w:sz w:val="14"/>
        </w:rPr>
        <w:t xml:space="preserve"> </w:t>
      </w:r>
      <w:r>
        <w:rPr>
          <w:color w:val="231F20"/>
          <w:sz w:val="14"/>
        </w:rPr>
        <w:t>истрајности.</w:t>
      </w:r>
    </w:p>
    <w:p w:rsidR="00041039" w:rsidRDefault="001B26CB">
      <w:pPr>
        <w:tabs>
          <w:tab w:val="left" w:pos="1460"/>
        </w:tabs>
        <w:spacing w:before="32"/>
        <w:ind w:left="157"/>
        <w:rPr>
          <w:b/>
          <w:sz w:val="18"/>
        </w:rPr>
      </w:pPr>
      <w:r>
        <w:rPr>
          <w:color w:val="231F20"/>
          <w:spacing w:val="-3"/>
          <w:sz w:val="14"/>
        </w:rPr>
        <w:t>Годишњи</w:t>
      </w:r>
      <w:r>
        <w:rPr>
          <w:color w:val="231F20"/>
          <w:sz w:val="14"/>
        </w:rPr>
        <w:t xml:space="preserve"> фонд:</w:t>
      </w:r>
      <w:r>
        <w:rPr>
          <w:color w:val="231F20"/>
          <w:sz w:val="14"/>
        </w:rPr>
        <w:tab/>
      </w:r>
      <w:r>
        <w:rPr>
          <w:b/>
          <w:color w:val="231F20"/>
          <w:position w:val="-1"/>
          <w:sz w:val="18"/>
        </w:rPr>
        <w:t>70</w:t>
      </w:r>
      <w:r>
        <w:rPr>
          <w:b/>
          <w:color w:val="231F20"/>
          <w:spacing w:val="-1"/>
          <w:position w:val="-1"/>
          <w:sz w:val="18"/>
        </w:rPr>
        <w:t xml:space="preserve"> </w:t>
      </w:r>
      <w:r>
        <w:rPr>
          <w:b/>
          <w:color w:val="231F20"/>
          <w:position w:val="-1"/>
          <w:sz w:val="18"/>
        </w:rPr>
        <w:t>часова</w:t>
      </w:r>
    </w:p>
    <w:p w:rsidR="00041039" w:rsidRDefault="001B26CB">
      <w:pPr>
        <w:tabs>
          <w:tab w:val="left" w:pos="1460"/>
        </w:tabs>
        <w:spacing w:before="28"/>
        <w:ind w:left="157"/>
        <w:rPr>
          <w:b/>
          <w:sz w:val="18"/>
        </w:rPr>
      </w:pPr>
      <w:r>
        <w:rPr>
          <w:color w:val="231F20"/>
          <w:sz w:val="14"/>
        </w:rPr>
        <w:t>Разред:</w:t>
      </w:r>
      <w:r>
        <w:rPr>
          <w:color w:val="231F20"/>
          <w:sz w:val="14"/>
        </w:rPr>
        <w:tab/>
      </w:r>
      <w:r>
        <w:rPr>
          <w:b/>
          <w:color w:val="231F20"/>
          <w:position w:val="-1"/>
          <w:sz w:val="18"/>
        </w:rPr>
        <w:t>трећи</w:t>
      </w:r>
    </w:p>
    <w:p w:rsidR="00041039" w:rsidRDefault="00041039">
      <w:pPr>
        <w:pStyle w:val="BodyText"/>
        <w:spacing w:before="11"/>
        <w:rPr>
          <w:b/>
          <w:sz w:val="8"/>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660"/>
        </w:trPr>
        <w:tc>
          <w:tcPr>
            <w:tcW w:w="1304" w:type="dxa"/>
            <w:tcBorders>
              <w:bottom w:val="nil"/>
            </w:tcBorders>
          </w:tcPr>
          <w:p w:rsidR="00041039" w:rsidRDefault="001B26CB">
            <w:pPr>
              <w:pStyle w:val="TableParagraph"/>
              <w:spacing w:before="18"/>
              <w:ind w:left="56"/>
              <w:rPr>
                <w:sz w:val="14"/>
              </w:rPr>
            </w:pPr>
            <w:r>
              <w:rPr>
                <w:color w:val="231F20"/>
                <w:sz w:val="14"/>
              </w:rPr>
              <w:t>Полиноми</w:t>
            </w:r>
          </w:p>
        </w:tc>
        <w:tc>
          <w:tcPr>
            <w:tcW w:w="1587" w:type="dxa"/>
            <w:vMerge w:val="restart"/>
          </w:tcPr>
          <w:p w:rsidR="00041039" w:rsidRDefault="001B26CB">
            <w:pPr>
              <w:pStyle w:val="TableParagraph"/>
              <w:numPr>
                <w:ilvl w:val="0"/>
                <w:numId w:val="1827"/>
              </w:numPr>
              <w:tabs>
                <w:tab w:val="left" w:pos="157"/>
              </w:tabs>
              <w:spacing w:before="22" w:line="216" w:lineRule="auto"/>
              <w:ind w:right="64"/>
              <w:rPr>
                <w:sz w:val="14"/>
              </w:rPr>
            </w:pPr>
            <w:r>
              <w:rPr>
                <w:color w:val="231F20"/>
                <w:sz w:val="14"/>
              </w:rPr>
              <w:t>Проширивање знања</w:t>
            </w:r>
            <w:r>
              <w:rPr>
                <w:color w:val="231F20"/>
                <w:spacing w:val="-12"/>
                <w:sz w:val="14"/>
              </w:rPr>
              <w:t xml:space="preserve"> </w:t>
            </w:r>
            <w:r>
              <w:rPr>
                <w:color w:val="231F20"/>
                <w:sz w:val="14"/>
              </w:rPr>
              <w:t>о полиномима.</w:t>
            </w:r>
          </w:p>
        </w:tc>
        <w:tc>
          <w:tcPr>
            <w:tcW w:w="2551" w:type="dxa"/>
            <w:vMerge w:val="restart"/>
          </w:tcPr>
          <w:p w:rsidR="00041039" w:rsidRDefault="001B26CB">
            <w:pPr>
              <w:pStyle w:val="TableParagraph"/>
              <w:numPr>
                <w:ilvl w:val="0"/>
                <w:numId w:val="1826"/>
              </w:numPr>
              <w:tabs>
                <w:tab w:val="left" w:pos="157"/>
              </w:tabs>
              <w:spacing w:before="22" w:line="216" w:lineRule="auto"/>
              <w:ind w:right="202" w:hanging="99"/>
              <w:rPr>
                <w:sz w:val="14"/>
              </w:rPr>
            </w:pPr>
            <w:r>
              <w:rPr>
                <w:color w:val="231F20"/>
                <w:sz w:val="14"/>
              </w:rPr>
              <w:t>изврши операцију дељења два</w:t>
            </w:r>
            <w:r>
              <w:rPr>
                <w:color w:val="231F20"/>
                <w:spacing w:val="-13"/>
                <w:sz w:val="14"/>
              </w:rPr>
              <w:t xml:space="preserve"> </w:t>
            </w:r>
            <w:r>
              <w:rPr>
                <w:color w:val="231F20"/>
                <w:sz w:val="14"/>
              </w:rPr>
              <w:t>поли­ нома;</w:t>
            </w:r>
          </w:p>
          <w:p w:rsidR="00041039" w:rsidRDefault="001B26CB">
            <w:pPr>
              <w:pStyle w:val="TableParagraph"/>
              <w:numPr>
                <w:ilvl w:val="0"/>
                <w:numId w:val="1826"/>
              </w:numPr>
              <w:tabs>
                <w:tab w:val="left" w:pos="157"/>
              </w:tabs>
              <w:spacing w:line="216" w:lineRule="auto"/>
              <w:ind w:right="177" w:hanging="99"/>
              <w:rPr>
                <w:sz w:val="14"/>
              </w:rPr>
            </w:pPr>
            <w:r>
              <w:rPr>
                <w:color w:val="231F20"/>
                <w:sz w:val="14"/>
              </w:rPr>
              <w:t>примени</w:t>
            </w:r>
            <w:r>
              <w:rPr>
                <w:color w:val="231F20"/>
                <w:spacing w:val="-8"/>
                <w:sz w:val="14"/>
              </w:rPr>
              <w:t xml:space="preserve"> </w:t>
            </w:r>
            <w:r>
              <w:rPr>
                <w:color w:val="231F20"/>
                <w:sz w:val="14"/>
              </w:rPr>
              <w:t>Безуову</w:t>
            </w:r>
            <w:r>
              <w:rPr>
                <w:color w:val="231F20"/>
                <w:spacing w:val="-7"/>
                <w:sz w:val="14"/>
              </w:rPr>
              <w:t xml:space="preserve"> </w:t>
            </w:r>
            <w:r>
              <w:rPr>
                <w:color w:val="231F20"/>
                <w:sz w:val="14"/>
              </w:rPr>
              <w:t>теорему</w:t>
            </w:r>
            <w:r>
              <w:rPr>
                <w:color w:val="231F20"/>
                <w:spacing w:val="-7"/>
                <w:sz w:val="14"/>
              </w:rPr>
              <w:t xml:space="preserve"> </w:t>
            </w:r>
            <w:r>
              <w:rPr>
                <w:color w:val="231F20"/>
                <w:sz w:val="14"/>
              </w:rPr>
              <w:t>на</w:t>
            </w:r>
            <w:r>
              <w:rPr>
                <w:color w:val="231F20"/>
                <w:spacing w:val="-8"/>
                <w:sz w:val="14"/>
              </w:rPr>
              <w:t xml:space="preserve"> </w:t>
            </w:r>
            <w:r>
              <w:rPr>
                <w:color w:val="231F20"/>
                <w:sz w:val="14"/>
              </w:rPr>
              <w:t>одређи­ вање остатка дељења</w:t>
            </w:r>
            <w:r>
              <w:rPr>
                <w:color w:val="231F20"/>
                <w:spacing w:val="-4"/>
                <w:sz w:val="14"/>
              </w:rPr>
              <w:t xml:space="preserve"> </w:t>
            </w:r>
            <w:r>
              <w:rPr>
                <w:color w:val="231F20"/>
                <w:sz w:val="14"/>
              </w:rPr>
              <w:t>полинома;</w:t>
            </w:r>
          </w:p>
          <w:p w:rsidR="00041039" w:rsidRDefault="001B26CB">
            <w:pPr>
              <w:pStyle w:val="TableParagraph"/>
              <w:numPr>
                <w:ilvl w:val="0"/>
                <w:numId w:val="1826"/>
              </w:numPr>
              <w:tabs>
                <w:tab w:val="left" w:pos="157"/>
              </w:tabs>
              <w:spacing w:line="218" w:lineRule="auto"/>
              <w:ind w:right="105" w:hanging="99"/>
              <w:rPr>
                <w:sz w:val="14"/>
              </w:rPr>
            </w:pPr>
            <w:r>
              <w:rPr>
                <w:color w:val="231F20"/>
                <w:sz w:val="14"/>
              </w:rPr>
              <w:t>примени Безуову теорему на одређи­ вање непознатих коефицијената</w:t>
            </w:r>
            <w:r>
              <w:rPr>
                <w:color w:val="231F20"/>
                <w:spacing w:val="-25"/>
                <w:sz w:val="14"/>
              </w:rPr>
              <w:t xml:space="preserve"> </w:t>
            </w:r>
            <w:r>
              <w:rPr>
                <w:color w:val="231F20"/>
                <w:sz w:val="14"/>
              </w:rPr>
              <w:t>поли­ нома (ако је познат остатак</w:t>
            </w:r>
            <w:r>
              <w:rPr>
                <w:color w:val="231F20"/>
                <w:spacing w:val="-14"/>
                <w:sz w:val="14"/>
              </w:rPr>
              <w:t xml:space="preserve"> </w:t>
            </w:r>
            <w:r>
              <w:rPr>
                <w:color w:val="231F20"/>
                <w:sz w:val="14"/>
              </w:rPr>
              <w:t>дељења);</w:t>
            </w:r>
          </w:p>
        </w:tc>
        <w:tc>
          <w:tcPr>
            <w:tcW w:w="2834" w:type="dxa"/>
            <w:tcBorders>
              <w:bottom w:val="nil"/>
            </w:tcBorders>
          </w:tcPr>
          <w:p w:rsidR="00041039" w:rsidRDefault="001B26CB">
            <w:pPr>
              <w:pStyle w:val="TableParagraph"/>
              <w:numPr>
                <w:ilvl w:val="0"/>
                <w:numId w:val="1825"/>
              </w:numPr>
              <w:tabs>
                <w:tab w:val="left" w:pos="157"/>
              </w:tabs>
              <w:spacing w:before="8" w:line="159" w:lineRule="exact"/>
              <w:ind w:hanging="99"/>
              <w:rPr>
                <w:sz w:val="14"/>
              </w:rPr>
            </w:pPr>
            <w:r>
              <w:rPr>
                <w:color w:val="231F20"/>
                <w:sz w:val="14"/>
              </w:rPr>
              <w:t>Дељење</w:t>
            </w:r>
            <w:r>
              <w:rPr>
                <w:color w:val="231F20"/>
                <w:spacing w:val="-1"/>
                <w:sz w:val="14"/>
              </w:rPr>
              <w:t xml:space="preserve"> </w:t>
            </w:r>
            <w:r>
              <w:rPr>
                <w:color w:val="231F20"/>
                <w:sz w:val="14"/>
              </w:rPr>
              <w:t>полинома.</w:t>
            </w:r>
          </w:p>
          <w:p w:rsidR="00041039" w:rsidRDefault="001B26CB">
            <w:pPr>
              <w:pStyle w:val="TableParagraph"/>
              <w:numPr>
                <w:ilvl w:val="0"/>
                <w:numId w:val="1825"/>
              </w:numPr>
              <w:tabs>
                <w:tab w:val="left" w:pos="157"/>
              </w:tabs>
              <w:spacing w:line="159" w:lineRule="exact"/>
              <w:ind w:hanging="99"/>
              <w:rPr>
                <w:sz w:val="14"/>
              </w:rPr>
            </w:pPr>
            <w:r>
              <w:rPr>
                <w:color w:val="231F20"/>
                <w:sz w:val="14"/>
              </w:rPr>
              <w:t>Безуова</w:t>
            </w:r>
            <w:r>
              <w:rPr>
                <w:color w:val="231F20"/>
                <w:spacing w:val="-1"/>
                <w:sz w:val="14"/>
              </w:rPr>
              <w:t xml:space="preserve"> </w:t>
            </w:r>
            <w:r>
              <w:rPr>
                <w:color w:val="231F20"/>
                <w:sz w:val="14"/>
              </w:rPr>
              <w:t>теорема.</w:t>
            </w:r>
          </w:p>
        </w:tc>
        <w:tc>
          <w:tcPr>
            <w:tcW w:w="2267" w:type="dxa"/>
            <w:tcBorders>
              <w:bottom w:val="nil"/>
            </w:tcBorders>
          </w:tcPr>
          <w:p w:rsidR="00041039" w:rsidRDefault="001B26CB">
            <w:pPr>
              <w:pStyle w:val="TableParagraph"/>
              <w:numPr>
                <w:ilvl w:val="0"/>
                <w:numId w:val="1824"/>
              </w:numPr>
              <w:tabs>
                <w:tab w:val="left" w:pos="158"/>
              </w:tabs>
              <w:spacing w:before="21" w:line="218"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tc>
      </w:tr>
      <w:tr w:rsidR="00041039">
        <w:trPr>
          <w:trHeight w:val="405"/>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vMerge w:val="restart"/>
            <w:tcBorders>
              <w:top w:val="nil"/>
              <w:bottom w:val="nil"/>
            </w:tcBorders>
          </w:tcPr>
          <w:p w:rsidR="00041039" w:rsidRDefault="001B26CB">
            <w:pPr>
              <w:pStyle w:val="TableParagraph"/>
              <w:spacing w:before="37" w:line="154" w:lineRule="exact"/>
              <w:ind w:left="58"/>
              <w:rPr>
                <w:b/>
                <w:sz w:val="14"/>
              </w:rPr>
            </w:pPr>
            <w:r>
              <w:rPr>
                <w:b/>
                <w:color w:val="231F20"/>
                <w:sz w:val="14"/>
              </w:rPr>
              <w:t>Облици наставе</w:t>
            </w:r>
          </w:p>
          <w:p w:rsidR="00041039" w:rsidRDefault="001B26CB">
            <w:pPr>
              <w:pStyle w:val="TableParagraph"/>
              <w:spacing w:before="5" w:line="218"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823"/>
              </w:numPr>
              <w:tabs>
                <w:tab w:val="left" w:pos="158"/>
              </w:tabs>
              <w:spacing w:line="149"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1B26CB">
            <w:pPr>
              <w:pStyle w:val="TableParagraph"/>
              <w:spacing w:before="90" w:line="154" w:lineRule="exact"/>
              <w:ind w:left="58"/>
              <w:rPr>
                <w:b/>
                <w:sz w:val="14"/>
              </w:rPr>
            </w:pPr>
            <w:r>
              <w:rPr>
                <w:b/>
                <w:color w:val="231F20"/>
                <w:sz w:val="14"/>
              </w:rPr>
              <w:t>Подела одељења на групе</w:t>
            </w:r>
          </w:p>
          <w:p w:rsidR="00041039" w:rsidRDefault="001B26CB">
            <w:pPr>
              <w:pStyle w:val="TableParagraph"/>
              <w:spacing w:line="153" w:lineRule="exact"/>
              <w:ind w:left="58"/>
              <w:rPr>
                <w:sz w:val="14"/>
              </w:rPr>
            </w:pPr>
            <w:r>
              <w:rPr>
                <w:color w:val="231F20"/>
                <w:sz w:val="14"/>
              </w:rPr>
              <w:t>Одељење се не дели на групе.</w:t>
            </w:r>
          </w:p>
        </w:tc>
      </w:tr>
      <w:tr w:rsidR="00041039">
        <w:trPr>
          <w:trHeight w:val="638"/>
        </w:trPr>
        <w:tc>
          <w:tcPr>
            <w:tcW w:w="1304" w:type="dxa"/>
          </w:tcPr>
          <w:p w:rsidR="00041039" w:rsidRDefault="001B26CB">
            <w:pPr>
              <w:pStyle w:val="TableParagraph"/>
              <w:spacing w:before="31" w:line="218" w:lineRule="auto"/>
              <w:ind w:left="56" w:right="29"/>
              <w:rPr>
                <w:sz w:val="14"/>
              </w:rPr>
            </w:pPr>
            <w:r>
              <w:rPr>
                <w:color w:val="231F20"/>
                <w:sz w:val="14"/>
              </w:rPr>
              <w:t>Ирационалне једна­ чине и неједначине</w:t>
            </w:r>
          </w:p>
        </w:tc>
        <w:tc>
          <w:tcPr>
            <w:tcW w:w="1587" w:type="dxa"/>
          </w:tcPr>
          <w:p w:rsidR="00041039" w:rsidRDefault="001B26CB">
            <w:pPr>
              <w:pStyle w:val="TableParagraph"/>
              <w:numPr>
                <w:ilvl w:val="0"/>
                <w:numId w:val="1822"/>
              </w:numPr>
              <w:tabs>
                <w:tab w:val="left" w:pos="157"/>
              </w:tabs>
              <w:spacing w:before="22" w:line="218" w:lineRule="auto"/>
              <w:ind w:right="48"/>
              <w:rPr>
                <w:sz w:val="14"/>
              </w:rPr>
            </w:pPr>
            <w:r>
              <w:rPr>
                <w:color w:val="231F20"/>
                <w:sz w:val="14"/>
              </w:rPr>
              <w:t>Стицање основних знања о ирационалним једначинама и</w:t>
            </w:r>
            <w:r>
              <w:rPr>
                <w:color w:val="231F20"/>
                <w:spacing w:val="-14"/>
                <w:sz w:val="14"/>
              </w:rPr>
              <w:t xml:space="preserve"> </w:t>
            </w:r>
            <w:r>
              <w:rPr>
                <w:color w:val="231F20"/>
                <w:sz w:val="14"/>
              </w:rPr>
              <w:t>неједна­ чинама.</w:t>
            </w:r>
          </w:p>
        </w:tc>
        <w:tc>
          <w:tcPr>
            <w:tcW w:w="2551" w:type="dxa"/>
          </w:tcPr>
          <w:p w:rsidR="00041039" w:rsidRDefault="001B26CB">
            <w:pPr>
              <w:pStyle w:val="TableParagraph"/>
              <w:numPr>
                <w:ilvl w:val="0"/>
                <w:numId w:val="1821"/>
              </w:numPr>
              <w:tabs>
                <w:tab w:val="left" w:pos="157"/>
              </w:tabs>
              <w:spacing w:before="23" w:line="216" w:lineRule="auto"/>
              <w:ind w:right="402" w:hanging="99"/>
              <w:rPr>
                <w:sz w:val="14"/>
              </w:rPr>
            </w:pPr>
            <w:r>
              <w:rPr>
                <w:color w:val="231F20"/>
                <w:sz w:val="14"/>
              </w:rPr>
              <w:t>реши једноставније ирационалне једначине;</w:t>
            </w:r>
          </w:p>
          <w:p w:rsidR="00041039" w:rsidRDefault="001B26CB">
            <w:pPr>
              <w:pStyle w:val="TableParagraph"/>
              <w:numPr>
                <w:ilvl w:val="0"/>
                <w:numId w:val="1821"/>
              </w:numPr>
              <w:tabs>
                <w:tab w:val="left" w:pos="157"/>
              </w:tabs>
              <w:spacing w:line="216" w:lineRule="auto"/>
              <w:ind w:right="402" w:hanging="99"/>
              <w:rPr>
                <w:sz w:val="14"/>
              </w:rPr>
            </w:pPr>
            <w:r>
              <w:rPr>
                <w:color w:val="231F20"/>
                <w:sz w:val="14"/>
              </w:rPr>
              <w:t>реши једноставније ирационалне неједначине;</w:t>
            </w:r>
          </w:p>
        </w:tc>
        <w:tc>
          <w:tcPr>
            <w:tcW w:w="2834" w:type="dxa"/>
          </w:tcPr>
          <w:p w:rsidR="00041039" w:rsidRDefault="001B26CB">
            <w:pPr>
              <w:pStyle w:val="TableParagraph"/>
              <w:numPr>
                <w:ilvl w:val="0"/>
                <w:numId w:val="1820"/>
              </w:numPr>
              <w:tabs>
                <w:tab w:val="left" w:pos="157"/>
              </w:tabs>
              <w:spacing w:before="9" w:line="159" w:lineRule="exact"/>
              <w:ind w:hanging="99"/>
              <w:rPr>
                <w:sz w:val="14"/>
              </w:rPr>
            </w:pPr>
            <w:r>
              <w:rPr>
                <w:color w:val="231F20"/>
                <w:sz w:val="14"/>
              </w:rPr>
              <w:t>Ирационалне једначине (квадратни</w:t>
            </w:r>
            <w:r>
              <w:rPr>
                <w:color w:val="231F20"/>
                <w:spacing w:val="-16"/>
                <w:sz w:val="14"/>
              </w:rPr>
              <w:t xml:space="preserve"> </w:t>
            </w:r>
            <w:r>
              <w:rPr>
                <w:color w:val="231F20"/>
                <w:sz w:val="14"/>
              </w:rPr>
              <w:t>корен).</w:t>
            </w:r>
          </w:p>
          <w:p w:rsidR="00041039" w:rsidRDefault="001B26CB">
            <w:pPr>
              <w:pStyle w:val="TableParagraph"/>
              <w:numPr>
                <w:ilvl w:val="0"/>
                <w:numId w:val="1820"/>
              </w:numPr>
              <w:tabs>
                <w:tab w:val="left" w:pos="157"/>
              </w:tabs>
              <w:spacing w:line="146" w:lineRule="exact"/>
              <w:ind w:hanging="99"/>
              <w:rPr>
                <w:sz w:val="14"/>
              </w:rPr>
            </w:pPr>
            <w:r>
              <w:rPr>
                <w:color w:val="231F20"/>
                <w:sz w:val="14"/>
              </w:rPr>
              <w:t>Ирационалне једначине (кубни</w:t>
            </w:r>
            <w:r>
              <w:rPr>
                <w:color w:val="231F20"/>
                <w:spacing w:val="-8"/>
                <w:sz w:val="14"/>
              </w:rPr>
              <w:t xml:space="preserve"> </w:t>
            </w:r>
            <w:r>
              <w:rPr>
                <w:color w:val="231F20"/>
                <w:sz w:val="14"/>
              </w:rPr>
              <w:t>корен).</w:t>
            </w:r>
          </w:p>
          <w:p w:rsidR="00041039" w:rsidRDefault="001B26CB">
            <w:pPr>
              <w:pStyle w:val="TableParagraph"/>
              <w:numPr>
                <w:ilvl w:val="0"/>
                <w:numId w:val="1820"/>
              </w:numPr>
              <w:tabs>
                <w:tab w:val="left" w:pos="157"/>
              </w:tabs>
              <w:spacing w:line="159" w:lineRule="exact"/>
              <w:ind w:hanging="99"/>
              <w:rPr>
                <w:sz w:val="14"/>
              </w:rPr>
            </w:pPr>
            <w:r>
              <w:rPr>
                <w:color w:val="231F20"/>
                <w:sz w:val="14"/>
              </w:rPr>
              <w:t>Ирационалне</w:t>
            </w:r>
            <w:r>
              <w:rPr>
                <w:color w:val="231F20"/>
                <w:spacing w:val="-2"/>
                <w:sz w:val="14"/>
              </w:rPr>
              <w:t xml:space="preserve"> </w:t>
            </w:r>
            <w:r>
              <w:rPr>
                <w:color w:val="231F20"/>
                <w:sz w:val="14"/>
              </w:rPr>
              <w:t>неједначине.</w:t>
            </w:r>
          </w:p>
        </w:tc>
        <w:tc>
          <w:tcPr>
            <w:tcW w:w="2267" w:type="dxa"/>
            <w:vMerge/>
            <w:tcBorders>
              <w:top w:val="nil"/>
              <w:bottom w:val="nil"/>
            </w:tcBorders>
          </w:tcPr>
          <w:p w:rsidR="00041039" w:rsidRDefault="00041039">
            <w:pPr>
              <w:rPr>
                <w:sz w:val="2"/>
                <w:szCs w:val="2"/>
              </w:rPr>
            </w:pPr>
          </w:p>
        </w:tc>
      </w:tr>
      <w:tr w:rsidR="00041039">
        <w:trPr>
          <w:trHeight w:val="744"/>
        </w:trPr>
        <w:tc>
          <w:tcPr>
            <w:tcW w:w="1304" w:type="dxa"/>
            <w:tcBorders>
              <w:bottom w:val="nil"/>
            </w:tcBorders>
          </w:tcPr>
          <w:p w:rsidR="00041039" w:rsidRDefault="001B26CB">
            <w:pPr>
              <w:pStyle w:val="TableParagraph"/>
              <w:spacing w:before="19"/>
              <w:ind w:left="56"/>
              <w:rPr>
                <w:sz w:val="14"/>
              </w:rPr>
            </w:pPr>
            <w:r>
              <w:rPr>
                <w:color w:val="231F20"/>
                <w:sz w:val="14"/>
              </w:rPr>
              <w:t>Тригонометрија</w:t>
            </w:r>
          </w:p>
        </w:tc>
        <w:tc>
          <w:tcPr>
            <w:tcW w:w="1587" w:type="dxa"/>
            <w:vMerge w:val="restart"/>
          </w:tcPr>
          <w:p w:rsidR="00041039" w:rsidRDefault="001B26CB">
            <w:pPr>
              <w:pStyle w:val="TableParagraph"/>
              <w:numPr>
                <w:ilvl w:val="0"/>
                <w:numId w:val="1819"/>
              </w:numPr>
              <w:tabs>
                <w:tab w:val="left" w:pos="157"/>
              </w:tabs>
              <w:spacing w:before="22" w:line="218" w:lineRule="auto"/>
              <w:ind w:right="148"/>
              <w:jc w:val="both"/>
              <w:rPr>
                <w:sz w:val="14"/>
              </w:rPr>
            </w:pPr>
            <w:r>
              <w:rPr>
                <w:color w:val="231F20"/>
                <w:sz w:val="14"/>
              </w:rPr>
              <w:t>Проширивање знања о</w:t>
            </w:r>
            <w:r>
              <w:rPr>
                <w:color w:val="231F20"/>
                <w:spacing w:val="-5"/>
                <w:sz w:val="14"/>
              </w:rPr>
              <w:t xml:space="preserve"> </w:t>
            </w:r>
            <w:r>
              <w:rPr>
                <w:color w:val="231F20"/>
                <w:sz w:val="14"/>
              </w:rPr>
              <w:t>тригонометријским функцијама.</w:t>
            </w:r>
          </w:p>
        </w:tc>
        <w:tc>
          <w:tcPr>
            <w:tcW w:w="2551" w:type="dxa"/>
            <w:vMerge w:val="restart"/>
          </w:tcPr>
          <w:p w:rsidR="00041039" w:rsidRDefault="001B26CB">
            <w:pPr>
              <w:pStyle w:val="TableParagraph"/>
              <w:numPr>
                <w:ilvl w:val="0"/>
                <w:numId w:val="1818"/>
              </w:numPr>
              <w:tabs>
                <w:tab w:val="left" w:pos="157"/>
              </w:tabs>
              <w:spacing w:before="22" w:line="218" w:lineRule="auto"/>
              <w:ind w:right="109" w:hanging="99"/>
              <w:rPr>
                <w:sz w:val="14"/>
              </w:rPr>
            </w:pPr>
            <w:r>
              <w:rPr>
                <w:color w:val="231F20"/>
                <w:sz w:val="14"/>
              </w:rPr>
              <w:t>нацрта графике инверзних тригоно­ метријских функција и наведе</w:t>
            </w:r>
            <w:r>
              <w:rPr>
                <w:color w:val="231F20"/>
                <w:spacing w:val="-17"/>
                <w:sz w:val="14"/>
              </w:rPr>
              <w:t xml:space="preserve"> </w:t>
            </w:r>
            <w:r>
              <w:rPr>
                <w:color w:val="231F20"/>
                <w:sz w:val="14"/>
              </w:rPr>
              <w:t>њихове основне особине;</w:t>
            </w:r>
          </w:p>
          <w:p w:rsidR="00041039" w:rsidRDefault="001B26CB">
            <w:pPr>
              <w:pStyle w:val="TableParagraph"/>
              <w:numPr>
                <w:ilvl w:val="0"/>
                <w:numId w:val="1818"/>
              </w:numPr>
              <w:tabs>
                <w:tab w:val="left" w:pos="157"/>
              </w:tabs>
              <w:spacing w:line="146" w:lineRule="exact"/>
              <w:ind w:right="358" w:hanging="99"/>
              <w:jc w:val="both"/>
              <w:rPr>
                <w:sz w:val="14"/>
              </w:rPr>
            </w:pPr>
            <w:r>
              <w:rPr>
                <w:color w:val="231F20"/>
                <w:sz w:val="14"/>
              </w:rPr>
              <w:t>упрости израз применом</w:t>
            </w:r>
            <w:r>
              <w:rPr>
                <w:color w:val="231F20"/>
                <w:spacing w:val="-20"/>
                <w:sz w:val="14"/>
              </w:rPr>
              <w:t xml:space="preserve"> </w:t>
            </w:r>
            <w:r>
              <w:rPr>
                <w:color w:val="231F20"/>
                <w:sz w:val="14"/>
              </w:rPr>
              <w:t>формула за претварање производа у збир и обрнуто;</w:t>
            </w:r>
          </w:p>
          <w:p w:rsidR="00041039" w:rsidRDefault="001B26CB">
            <w:pPr>
              <w:pStyle w:val="TableParagraph"/>
              <w:numPr>
                <w:ilvl w:val="0"/>
                <w:numId w:val="1818"/>
              </w:numPr>
              <w:tabs>
                <w:tab w:val="left" w:pos="157"/>
              </w:tabs>
              <w:spacing w:line="146" w:lineRule="exact"/>
              <w:ind w:right="58" w:hanging="99"/>
              <w:rPr>
                <w:sz w:val="14"/>
              </w:rPr>
            </w:pPr>
            <w:r>
              <w:rPr>
                <w:color w:val="231F20"/>
                <w:sz w:val="14"/>
              </w:rPr>
              <w:t>докаже једноставније идентитете применом</w:t>
            </w:r>
            <w:r>
              <w:rPr>
                <w:color w:val="231F20"/>
                <w:spacing w:val="-7"/>
                <w:sz w:val="14"/>
              </w:rPr>
              <w:t xml:space="preserve"> </w:t>
            </w:r>
            <w:r>
              <w:rPr>
                <w:color w:val="231F20"/>
                <w:sz w:val="14"/>
              </w:rPr>
              <w:t>формула</w:t>
            </w:r>
            <w:r>
              <w:rPr>
                <w:color w:val="231F20"/>
                <w:spacing w:val="-8"/>
                <w:sz w:val="14"/>
              </w:rPr>
              <w:t xml:space="preserve"> </w:t>
            </w:r>
            <w:r>
              <w:rPr>
                <w:color w:val="231F20"/>
                <w:sz w:val="14"/>
              </w:rPr>
              <w:t>за</w:t>
            </w:r>
            <w:r>
              <w:rPr>
                <w:color w:val="231F20"/>
                <w:spacing w:val="-8"/>
                <w:sz w:val="14"/>
              </w:rPr>
              <w:t xml:space="preserve"> </w:t>
            </w:r>
            <w:r>
              <w:rPr>
                <w:color w:val="231F20"/>
                <w:sz w:val="14"/>
              </w:rPr>
              <w:t>претварање</w:t>
            </w:r>
            <w:r>
              <w:rPr>
                <w:color w:val="231F20"/>
                <w:spacing w:val="-7"/>
                <w:sz w:val="14"/>
              </w:rPr>
              <w:t xml:space="preserve"> </w:t>
            </w:r>
            <w:r>
              <w:rPr>
                <w:color w:val="231F20"/>
                <w:sz w:val="14"/>
              </w:rPr>
              <w:t>про­ извода у збир и</w:t>
            </w:r>
            <w:r>
              <w:rPr>
                <w:color w:val="231F20"/>
                <w:spacing w:val="-4"/>
                <w:sz w:val="14"/>
              </w:rPr>
              <w:t xml:space="preserve"> </w:t>
            </w:r>
            <w:r>
              <w:rPr>
                <w:color w:val="231F20"/>
                <w:sz w:val="14"/>
              </w:rPr>
              <w:t>обрнуто;</w:t>
            </w:r>
          </w:p>
          <w:p w:rsidR="00041039" w:rsidRDefault="001B26CB">
            <w:pPr>
              <w:pStyle w:val="TableParagraph"/>
              <w:numPr>
                <w:ilvl w:val="0"/>
                <w:numId w:val="1818"/>
              </w:numPr>
              <w:tabs>
                <w:tab w:val="left" w:pos="157"/>
              </w:tabs>
              <w:spacing w:line="146" w:lineRule="exact"/>
              <w:ind w:right="314" w:hanging="99"/>
              <w:rPr>
                <w:sz w:val="14"/>
              </w:rPr>
            </w:pPr>
            <w:r>
              <w:rPr>
                <w:color w:val="231F20"/>
                <w:sz w:val="14"/>
              </w:rPr>
              <w:t xml:space="preserve">реши тригонометријску </w:t>
            </w:r>
            <w:r>
              <w:rPr>
                <w:color w:val="231F20"/>
                <w:spacing w:val="-3"/>
                <w:sz w:val="14"/>
              </w:rPr>
              <w:t xml:space="preserve">једначину, </w:t>
            </w:r>
            <w:r>
              <w:rPr>
                <w:color w:val="231F20"/>
                <w:sz w:val="14"/>
              </w:rPr>
              <w:t>односно</w:t>
            </w:r>
            <w:r>
              <w:rPr>
                <w:color w:val="231F20"/>
                <w:spacing w:val="-1"/>
                <w:sz w:val="14"/>
              </w:rPr>
              <w:t xml:space="preserve"> </w:t>
            </w:r>
            <w:r>
              <w:rPr>
                <w:color w:val="231F20"/>
                <w:sz w:val="14"/>
              </w:rPr>
              <w:t>неједначину;</w:t>
            </w:r>
          </w:p>
          <w:p w:rsidR="00041039" w:rsidRDefault="001B26CB">
            <w:pPr>
              <w:pStyle w:val="TableParagraph"/>
              <w:numPr>
                <w:ilvl w:val="0"/>
                <w:numId w:val="1818"/>
              </w:numPr>
              <w:tabs>
                <w:tab w:val="left" w:pos="157"/>
              </w:tabs>
              <w:spacing w:line="146" w:lineRule="exact"/>
              <w:ind w:right="719" w:hanging="99"/>
              <w:rPr>
                <w:sz w:val="14"/>
              </w:rPr>
            </w:pPr>
            <w:r>
              <w:rPr>
                <w:color w:val="231F20"/>
                <w:sz w:val="14"/>
              </w:rPr>
              <w:t>претвори комплексан број</w:t>
            </w:r>
            <w:r>
              <w:rPr>
                <w:color w:val="231F20"/>
                <w:spacing w:val="-18"/>
                <w:sz w:val="14"/>
              </w:rPr>
              <w:t xml:space="preserve"> </w:t>
            </w:r>
            <w:r>
              <w:rPr>
                <w:color w:val="231F20"/>
                <w:sz w:val="14"/>
              </w:rPr>
              <w:t>у тригонометријски</w:t>
            </w:r>
            <w:r>
              <w:rPr>
                <w:color w:val="231F20"/>
                <w:spacing w:val="-3"/>
                <w:sz w:val="14"/>
              </w:rPr>
              <w:t xml:space="preserve"> </w:t>
            </w:r>
            <w:r>
              <w:rPr>
                <w:color w:val="231F20"/>
                <w:sz w:val="14"/>
              </w:rPr>
              <w:t>облик;</w:t>
            </w:r>
          </w:p>
          <w:p w:rsidR="00041039" w:rsidRDefault="001B26CB">
            <w:pPr>
              <w:pStyle w:val="TableParagraph"/>
              <w:numPr>
                <w:ilvl w:val="0"/>
                <w:numId w:val="1818"/>
              </w:numPr>
              <w:tabs>
                <w:tab w:val="left" w:pos="157"/>
              </w:tabs>
              <w:spacing w:line="147" w:lineRule="exact"/>
              <w:ind w:hanging="99"/>
              <w:rPr>
                <w:sz w:val="14"/>
              </w:rPr>
            </w:pPr>
            <w:r>
              <w:rPr>
                <w:color w:val="231F20"/>
                <w:sz w:val="14"/>
              </w:rPr>
              <w:t>примени Моаврову</w:t>
            </w:r>
            <w:r>
              <w:rPr>
                <w:color w:val="231F20"/>
                <w:spacing w:val="-4"/>
                <w:sz w:val="14"/>
              </w:rPr>
              <w:t xml:space="preserve"> </w:t>
            </w:r>
            <w:r>
              <w:rPr>
                <w:color w:val="231F20"/>
                <w:sz w:val="14"/>
              </w:rPr>
              <w:t>формулу;</w:t>
            </w:r>
          </w:p>
        </w:tc>
        <w:tc>
          <w:tcPr>
            <w:tcW w:w="2834" w:type="dxa"/>
            <w:vMerge w:val="restart"/>
          </w:tcPr>
          <w:p w:rsidR="00041039" w:rsidRDefault="001B26CB">
            <w:pPr>
              <w:pStyle w:val="TableParagraph"/>
              <w:numPr>
                <w:ilvl w:val="0"/>
                <w:numId w:val="1817"/>
              </w:numPr>
              <w:tabs>
                <w:tab w:val="left" w:pos="158"/>
              </w:tabs>
              <w:spacing w:before="24" w:line="216" w:lineRule="auto"/>
              <w:ind w:right="306"/>
              <w:rPr>
                <w:sz w:val="14"/>
              </w:rPr>
            </w:pPr>
            <w:r>
              <w:rPr>
                <w:color w:val="231F20"/>
                <w:sz w:val="14"/>
              </w:rPr>
              <w:t>Инверзне тригонометријске функције</w:t>
            </w:r>
            <w:r>
              <w:rPr>
                <w:color w:val="231F20"/>
                <w:spacing w:val="-17"/>
                <w:sz w:val="14"/>
              </w:rPr>
              <w:t xml:space="preserve"> </w:t>
            </w:r>
            <w:r>
              <w:rPr>
                <w:color w:val="231F20"/>
                <w:sz w:val="14"/>
              </w:rPr>
              <w:t>и њихови</w:t>
            </w:r>
            <w:r>
              <w:rPr>
                <w:color w:val="231F20"/>
                <w:spacing w:val="-1"/>
                <w:sz w:val="14"/>
              </w:rPr>
              <w:t xml:space="preserve"> </w:t>
            </w:r>
            <w:r>
              <w:rPr>
                <w:color w:val="231F20"/>
                <w:sz w:val="14"/>
              </w:rPr>
              <w:t>графици.</w:t>
            </w:r>
          </w:p>
          <w:p w:rsidR="00041039" w:rsidRDefault="001B26CB">
            <w:pPr>
              <w:pStyle w:val="TableParagraph"/>
              <w:numPr>
                <w:ilvl w:val="0"/>
                <w:numId w:val="1817"/>
              </w:numPr>
              <w:tabs>
                <w:tab w:val="left" w:pos="158"/>
              </w:tabs>
              <w:spacing w:line="218" w:lineRule="auto"/>
              <w:ind w:right="122"/>
              <w:rPr>
                <w:sz w:val="14"/>
              </w:rPr>
            </w:pPr>
            <w:r>
              <w:rPr>
                <w:color w:val="231F20"/>
                <w:sz w:val="14"/>
              </w:rPr>
              <w:t>Претварање производа</w:t>
            </w:r>
            <w:r>
              <w:rPr>
                <w:color w:val="231F20"/>
                <w:spacing w:val="-19"/>
                <w:sz w:val="14"/>
              </w:rPr>
              <w:t xml:space="preserve"> </w:t>
            </w:r>
            <w:r>
              <w:rPr>
                <w:color w:val="231F20"/>
                <w:sz w:val="14"/>
              </w:rPr>
              <w:t>тригонометријских функција у збир тригонометријских функција.</w:t>
            </w:r>
          </w:p>
          <w:p w:rsidR="00041039" w:rsidRDefault="001B26CB">
            <w:pPr>
              <w:pStyle w:val="TableParagraph"/>
              <w:numPr>
                <w:ilvl w:val="0"/>
                <w:numId w:val="1817"/>
              </w:numPr>
              <w:tabs>
                <w:tab w:val="left" w:pos="158"/>
              </w:tabs>
              <w:spacing w:line="146" w:lineRule="exact"/>
              <w:ind w:right="244"/>
              <w:rPr>
                <w:sz w:val="14"/>
              </w:rPr>
            </w:pPr>
            <w:r>
              <w:rPr>
                <w:color w:val="231F20"/>
                <w:sz w:val="14"/>
              </w:rPr>
              <w:t>Претварање збира тригонометријских функција у производ</w:t>
            </w:r>
            <w:r>
              <w:rPr>
                <w:color w:val="231F20"/>
                <w:spacing w:val="-18"/>
                <w:sz w:val="14"/>
              </w:rPr>
              <w:t xml:space="preserve"> </w:t>
            </w:r>
            <w:r>
              <w:rPr>
                <w:color w:val="231F20"/>
                <w:sz w:val="14"/>
              </w:rPr>
              <w:t>тригонометријских функција.</w:t>
            </w:r>
          </w:p>
          <w:p w:rsidR="00041039" w:rsidRDefault="001B26CB">
            <w:pPr>
              <w:pStyle w:val="TableParagraph"/>
              <w:numPr>
                <w:ilvl w:val="0"/>
                <w:numId w:val="1817"/>
              </w:numPr>
              <w:tabs>
                <w:tab w:val="left" w:pos="158"/>
              </w:tabs>
              <w:spacing w:line="135" w:lineRule="exact"/>
              <w:rPr>
                <w:sz w:val="14"/>
              </w:rPr>
            </w:pPr>
            <w:r>
              <w:rPr>
                <w:color w:val="231F20"/>
                <w:sz w:val="14"/>
              </w:rPr>
              <w:t>Тригонометријске</w:t>
            </w:r>
            <w:r>
              <w:rPr>
                <w:color w:val="231F20"/>
                <w:spacing w:val="-1"/>
                <w:sz w:val="14"/>
              </w:rPr>
              <w:t xml:space="preserve"> </w:t>
            </w:r>
            <w:r>
              <w:rPr>
                <w:color w:val="231F20"/>
                <w:sz w:val="14"/>
              </w:rPr>
              <w:t>једначине.</w:t>
            </w:r>
          </w:p>
          <w:p w:rsidR="00041039" w:rsidRDefault="001B26CB">
            <w:pPr>
              <w:pStyle w:val="TableParagraph"/>
              <w:numPr>
                <w:ilvl w:val="0"/>
                <w:numId w:val="1817"/>
              </w:numPr>
              <w:tabs>
                <w:tab w:val="left" w:pos="158"/>
              </w:tabs>
              <w:spacing w:line="146" w:lineRule="exact"/>
              <w:rPr>
                <w:sz w:val="14"/>
              </w:rPr>
            </w:pPr>
            <w:r>
              <w:rPr>
                <w:color w:val="231F20"/>
                <w:sz w:val="14"/>
              </w:rPr>
              <w:t>Тригонометријске</w:t>
            </w:r>
            <w:r>
              <w:rPr>
                <w:color w:val="231F20"/>
                <w:spacing w:val="-2"/>
                <w:sz w:val="14"/>
              </w:rPr>
              <w:t xml:space="preserve"> </w:t>
            </w:r>
            <w:r>
              <w:rPr>
                <w:color w:val="231F20"/>
                <w:sz w:val="14"/>
              </w:rPr>
              <w:t>неједначине.</w:t>
            </w:r>
          </w:p>
          <w:p w:rsidR="00041039" w:rsidRDefault="001B26CB">
            <w:pPr>
              <w:pStyle w:val="TableParagraph"/>
              <w:numPr>
                <w:ilvl w:val="0"/>
                <w:numId w:val="1817"/>
              </w:numPr>
              <w:tabs>
                <w:tab w:val="left" w:pos="158"/>
              </w:tabs>
              <w:spacing w:line="216" w:lineRule="auto"/>
              <w:ind w:right="397"/>
              <w:rPr>
                <w:sz w:val="14"/>
              </w:rPr>
            </w:pPr>
            <w:r>
              <w:rPr>
                <w:color w:val="231F20"/>
                <w:sz w:val="14"/>
              </w:rPr>
              <w:t>Тригонометријски</w:t>
            </w:r>
            <w:r>
              <w:rPr>
                <w:color w:val="231F20"/>
                <w:spacing w:val="-15"/>
                <w:sz w:val="14"/>
              </w:rPr>
              <w:t xml:space="preserve"> </w:t>
            </w:r>
            <w:r>
              <w:rPr>
                <w:color w:val="231F20"/>
                <w:sz w:val="14"/>
              </w:rPr>
              <w:t>облик</w:t>
            </w:r>
            <w:r>
              <w:rPr>
                <w:color w:val="231F20"/>
                <w:spacing w:val="-16"/>
                <w:sz w:val="14"/>
              </w:rPr>
              <w:t xml:space="preserve"> </w:t>
            </w:r>
            <w:r>
              <w:rPr>
                <w:color w:val="231F20"/>
                <w:sz w:val="14"/>
              </w:rPr>
              <w:t>комплексног броја.</w:t>
            </w:r>
          </w:p>
          <w:p w:rsidR="00041039" w:rsidRDefault="001B26CB">
            <w:pPr>
              <w:pStyle w:val="TableParagraph"/>
              <w:numPr>
                <w:ilvl w:val="0"/>
                <w:numId w:val="1817"/>
              </w:numPr>
              <w:tabs>
                <w:tab w:val="left" w:pos="158"/>
              </w:tabs>
              <w:spacing w:line="150" w:lineRule="exact"/>
              <w:rPr>
                <w:sz w:val="14"/>
              </w:rPr>
            </w:pPr>
            <w:r>
              <w:rPr>
                <w:color w:val="231F20"/>
                <w:sz w:val="14"/>
              </w:rPr>
              <w:t>Моаврова</w:t>
            </w:r>
            <w:r>
              <w:rPr>
                <w:color w:val="231F20"/>
                <w:spacing w:val="-1"/>
                <w:sz w:val="14"/>
              </w:rPr>
              <w:t xml:space="preserve"> </w:t>
            </w:r>
            <w:r>
              <w:rPr>
                <w:color w:val="231F20"/>
                <w:sz w:val="14"/>
              </w:rPr>
              <w:t>фо</w:t>
            </w:r>
            <w:r>
              <w:rPr>
                <w:color w:val="231F20"/>
                <w:sz w:val="14"/>
              </w:rPr>
              <w:t>рмула.</w:t>
            </w:r>
          </w:p>
        </w:tc>
        <w:tc>
          <w:tcPr>
            <w:tcW w:w="2267" w:type="dxa"/>
            <w:tcBorders>
              <w:top w:val="nil"/>
              <w:bottom w:val="nil"/>
            </w:tcBorders>
          </w:tcPr>
          <w:p w:rsidR="00041039" w:rsidRDefault="001B26CB">
            <w:pPr>
              <w:pStyle w:val="TableParagraph"/>
              <w:spacing w:before="101" w:line="154" w:lineRule="exact"/>
              <w:ind w:left="58"/>
              <w:rPr>
                <w:b/>
                <w:sz w:val="14"/>
              </w:rPr>
            </w:pPr>
            <w:r>
              <w:rPr>
                <w:b/>
                <w:color w:val="231F20"/>
                <w:sz w:val="14"/>
              </w:rPr>
              <w:t>Место реализације наставе</w:t>
            </w:r>
          </w:p>
          <w:p w:rsidR="00041039" w:rsidRDefault="001B26CB">
            <w:pPr>
              <w:pStyle w:val="TableParagraph"/>
              <w:spacing w:line="141" w:lineRule="exact"/>
              <w:ind w:left="58"/>
              <w:rPr>
                <w:sz w:val="14"/>
              </w:rPr>
            </w:pPr>
            <w:r>
              <w:rPr>
                <w:color w:val="231F20"/>
                <w:sz w:val="14"/>
              </w:rPr>
              <w:t>Теоријска настава се реализује у:</w:t>
            </w:r>
          </w:p>
          <w:p w:rsidR="00041039" w:rsidRDefault="001B26CB">
            <w:pPr>
              <w:pStyle w:val="TableParagraph"/>
              <w:numPr>
                <w:ilvl w:val="0"/>
                <w:numId w:val="1816"/>
              </w:numPr>
              <w:tabs>
                <w:tab w:val="left" w:pos="158"/>
              </w:tabs>
              <w:spacing w:line="146"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816"/>
              </w:numPr>
              <w:tabs>
                <w:tab w:val="left" w:pos="158"/>
              </w:tabs>
              <w:spacing w:line="159" w:lineRule="exact"/>
              <w:ind w:hanging="99"/>
              <w:rPr>
                <w:sz w:val="14"/>
              </w:rPr>
            </w:pPr>
            <w:r>
              <w:rPr>
                <w:color w:val="231F20"/>
                <w:sz w:val="14"/>
              </w:rPr>
              <w:t>учионици</w:t>
            </w:r>
          </w:p>
        </w:tc>
      </w:tr>
      <w:tr w:rsidR="00041039">
        <w:trPr>
          <w:trHeight w:val="1344"/>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49" w:line="218" w:lineRule="auto"/>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815"/>
              </w:numPr>
              <w:tabs>
                <w:tab w:val="left" w:pos="158"/>
              </w:tabs>
              <w:spacing w:before="1" w:line="146" w:lineRule="exact"/>
              <w:ind w:right="197" w:hanging="99"/>
              <w:rPr>
                <w:sz w:val="14"/>
              </w:rPr>
            </w:pPr>
            <w:r>
              <w:rPr>
                <w:color w:val="231F20"/>
                <w:sz w:val="14"/>
              </w:rPr>
              <w:t>образложити циљ предмета,</w:t>
            </w:r>
            <w:r>
              <w:rPr>
                <w:color w:val="231F20"/>
                <w:spacing w:val="-12"/>
                <w:sz w:val="14"/>
              </w:rPr>
              <w:t xml:space="preserve"> </w:t>
            </w:r>
            <w:r>
              <w:rPr>
                <w:color w:val="231F20"/>
                <w:sz w:val="14"/>
              </w:rPr>
              <w:t>на­ чин и критеријум</w:t>
            </w:r>
            <w:r>
              <w:rPr>
                <w:color w:val="231F20"/>
                <w:spacing w:val="-3"/>
                <w:sz w:val="14"/>
              </w:rPr>
              <w:t xml:space="preserve"> </w:t>
            </w:r>
            <w:r>
              <w:rPr>
                <w:color w:val="231F20"/>
                <w:sz w:val="14"/>
              </w:rPr>
              <w:t>оцењивања;</w:t>
            </w:r>
          </w:p>
          <w:p w:rsidR="00041039" w:rsidRDefault="001B26CB">
            <w:pPr>
              <w:pStyle w:val="TableParagraph"/>
              <w:numPr>
                <w:ilvl w:val="0"/>
                <w:numId w:val="1815"/>
              </w:numPr>
              <w:tabs>
                <w:tab w:val="left" w:pos="158"/>
              </w:tabs>
              <w:spacing w:line="146"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815"/>
              </w:numPr>
              <w:tabs>
                <w:tab w:val="left" w:pos="158"/>
              </w:tabs>
              <w:spacing w:line="146" w:lineRule="exact"/>
              <w:ind w:right="67" w:hanging="99"/>
              <w:rPr>
                <w:sz w:val="14"/>
              </w:rPr>
            </w:pPr>
            <w:r>
              <w:rPr>
                <w:color w:val="231F20"/>
                <w:sz w:val="14"/>
              </w:rPr>
              <w:t>подстицати ученике на размиш­ љање и самостално</w:t>
            </w:r>
            <w:r>
              <w:rPr>
                <w:color w:val="231F20"/>
                <w:spacing w:val="-10"/>
                <w:sz w:val="14"/>
              </w:rPr>
              <w:t xml:space="preserve"> </w:t>
            </w:r>
            <w:r>
              <w:rPr>
                <w:color w:val="231F20"/>
                <w:sz w:val="14"/>
              </w:rPr>
              <w:t>закључивање;</w:t>
            </w:r>
          </w:p>
          <w:p w:rsidR="00041039" w:rsidRDefault="001B26CB">
            <w:pPr>
              <w:pStyle w:val="TableParagraph"/>
              <w:numPr>
                <w:ilvl w:val="0"/>
                <w:numId w:val="1815"/>
              </w:numPr>
              <w:tabs>
                <w:tab w:val="left" w:pos="158"/>
              </w:tabs>
              <w:spacing w:line="146" w:lineRule="exact"/>
              <w:ind w:right="57" w:hanging="99"/>
              <w:rPr>
                <w:sz w:val="14"/>
              </w:rPr>
            </w:pPr>
            <w:r>
              <w:rPr>
                <w:color w:val="231F20"/>
                <w:sz w:val="14"/>
              </w:rPr>
              <w:t xml:space="preserve">примењивати разноврсне облике и методе рада, </w:t>
            </w:r>
            <w:r>
              <w:rPr>
                <w:color w:val="231F20"/>
                <w:spacing w:val="-3"/>
                <w:sz w:val="14"/>
              </w:rPr>
              <w:t xml:space="preserve">како </w:t>
            </w:r>
            <w:r>
              <w:rPr>
                <w:color w:val="231F20"/>
                <w:sz w:val="14"/>
              </w:rPr>
              <w:t>би се подстак­ ла активност</w:t>
            </w:r>
            <w:r>
              <w:rPr>
                <w:color w:val="231F20"/>
                <w:spacing w:val="-2"/>
                <w:sz w:val="14"/>
              </w:rPr>
              <w:t xml:space="preserve"> </w:t>
            </w:r>
            <w:r>
              <w:rPr>
                <w:color w:val="231F20"/>
                <w:sz w:val="14"/>
              </w:rPr>
              <w:t>ученика;</w:t>
            </w:r>
          </w:p>
          <w:p w:rsidR="00041039" w:rsidRDefault="001B26CB">
            <w:pPr>
              <w:pStyle w:val="TableParagraph"/>
              <w:numPr>
                <w:ilvl w:val="0"/>
                <w:numId w:val="1815"/>
              </w:numPr>
              <w:tabs>
                <w:tab w:val="left" w:pos="158"/>
              </w:tabs>
              <w:spacing w:line="146"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815"/>
              </w:numPr>
              <w:tabs>
                <w:tab w:val="left" w:pos="158"/>
              </w:tabs>
              <w:spacing w:line="146" w:lineRule="exact"/>
              <w:ind w:right="309" w:hanging="99"/>
              <w:rPr>
                <w:sz w:val="14"/>
              </w:rPr>
            </w:pPr>
            <w:r>
              <w:rPr>
                <w:color w:val="231F20"/>
                <w:sz w:val="14"/>
              </w:rPr>
              <w:t>упућивати ученике на претраживање различитих извора и примену савремених технологија;</w:t>
            </w:r>
          </w:p>
          <w:p w:rsidR="00041039" w:rsidRDefault="001B26CB">
            <w:pPr>
              <w:pStyle w:val="TableParagraph"/>
              <w:numPr>
                <w:ilvl w:val="0"/>
                <w:numId w:val="1814"/>
              </w:numPr>
              <w:tabs>
                <w:tab w:val="left" w:pos="143"/>
              </w:tabs>
              <w:spacing w:line="218" w:lineRule="auto"/>
              <w:ind w:right="296"/>
              <w:rPr>
                <w:sz w:val="14"/>
              </w:rPr>
            </w:pPr>
            <w:r>
              <w:rPr>
                <w:b/>
                <w:color w:val="231F20"/>
                <w:sz w:val="14"/>
              </w:rPr>
              <w:t xml:space="preserve">Ирационалне једначине и неједначине: </w:t>
            </w:r>
            <w:r>
              <w:rPr>
                <w:color w:val="231F20"/>
                <w:sz w:val="14"/>
              </w:rPr>
              <w:t>наглашавати</w:t>
            </w:r>
            <w:r>
              <w:rPr>
                <w:color w:val="231F20"/>
                <w:spacing w:val="-29"/>
                <w:sz w:val="14"/>
              </w:rPr>
              <w:t xml:space="preserve"> </w:t>
            </w:r>
            <w:r>
              <w:rPr>
                <w:color w:val="231F20"/>
                <w:sz w:val="14"/>
              </w:rPr>
              <w:t>не­ опходност постављања</w:t>
            </w:r>
            <w:r>
              <w:rPr>
                <w:color w:val="231F20"/>
                <w:spacing w:val="-7"/>
                <w:sz w:val="14"/>
              </w:rPr>
              <w:t xml:space="preserve"> </w:t>
            </w:r>
            <w:r>
              <w:rPr>
                <w:color w:val="231F20"/>
                <w:sz w:val="14"/>
              </w:rPr>
              <w:t>услова за дефинисаност.</w:t>
            </w:r>
            <w:r>
              <w:rPr>
                <w:color w:val="231F20"/>
                <w:spacing w:val="-16"/>
                <w:sz w:val="14"/>
              </w:rPr>
              <w:t xml:space="preserve"> </w:t>
            </w:r>
            <w:r>
              <w:rPr>
                <w:color w:val="231F20"/>
                <w:sz w:val="14"/>
              </w:rPr>
              <w:t>Неједначине обрадити на једноставнијим примерима.</w:t>
            </w:r>
          </w:p>
          <w:p w:rsidR="00041039" w:rsidRDefault="001B26CB">
            <w:pPr>
              <w:pStyle w:val="TableParagraph"/>
              <w:numPr>
                <w:ilvl w:val="0"/>
                <w:numId w:val="1814"/>
              </w:numPr>
              <w:tabs>
                <w:tab w:val="left" w:pos="143"/>
              </w:tabs>
              <w:spacing w:line="218" w:lineRule="auto"/>
              <w:ind w:right="95"/>
              <w:rPr>
                <w:sz w:val="14"/>
              </w:rPr>
            </w:pPr>
            <w:r>
              <w:rPr>
                <w:b/>
                <w:color w:val="231F20"/>
                <w:sz w:val="14"/>
              </w:rPr>
              <w:t xml:space="preserve">Тригонометрија: </w:t>
            </w:r>
            <w:r>
              <w:rPr>
                <w:color w:val="231F20"/>
                <w:sz w:val="14"/>
              </w:rPr>
              <w:t>доказа</w:t>
            </w:r>
            <w:r>
              <w:rPr>
                <w:color w:val="231F20"/>
                <w:sz w:val="14"/>
              </w:rPr>
              <w:t>ти формуле за трансформацију производа тригонометријских функција у збир и обрнуто. При решавању тригонометријских једначина н неједначина</w:t>
            </w:r>
            <w:r>
              <w:rPr>
                <w:color w:val="231F20"/>
                <w:spacing w:val="-25"/>
                <w:sz w:val="14"/>
              </w:rPr>
              <w:t xml:space="preserve"> </w:t>
            </w:r>
            <w:r>
              <w:rPr>
                <w:color w:val="231F20"/>
                <w:sz w:val="14"/>
              </w:rPr>
              <w:t>инсисти­ рати на приказивању решења на тригонометријском</w:t>
            </w:r>
            <w:r>
              <w:rPr>
                <w:color w:val="231F20"/>
                <w:spacing w:val="-1"/>
                <w:sz w:val="14"/>
              </w:rPr>
              <w:t xml:space="preserve"> </w:t>
            </w:r>
            <w:r>
              <w:rPr>
                <w:color w:val="231F20"/>
                <w:spacing w:val="-3"/>
                <w:sz w:val="14"/>
              </w:rPr>
              <w:t>кругу.</w:t>
            </w:r>
          </w:p>
          <w:p w:rsidR="00041039" w:rsidRDefault="001B26CB">
            <w:pPr>
              <w:pStyle w:val="TableParagraph"/>
              <w:numPr>
                <w:ilvl w:val="0"/>
                <w:numId w:val="1814"/>
              </w:numPr>
              <w:tabs>
                <w:tab w:val="left" w:pos="143"/>
              </w:tabs>
              <w:spacing w:line="218" w:lineRule="auto"/>
              <w:ind w:right="48"/>
              <w:rPr>
                <w:sz w:val="14"/>
              </w:rPr>
            </w:pPr>
            <w:r>
              <w:rPr>
                <w:b/>
                <w:color w:val="231F20"/>
                <w:sz w:val="14"/>
              </w:rPr>
              <w:t xml:space="preserve">Конусни пресеци: </w:t>
            </w:r>
            <w:r>
              <w:rPr>
                <w:color w:val="231F20"/>
                <w:sz w:val="14"/>
              </w:rPr>
              <w:t>на почетку теме обновити праву и кружницу. Обрадити и примере у којима се одређују једначине заједничких тангенти кривих, угао између</w:t>
            </w:r>
            <w:r>
              <w:rPr>
                <w:color w:val="231F20"/>
                <w:spacing w:val="-4"/>
                <w:sz w:val="14"/>
              </w:rPr>
              <w:t xml:space="preserve"> </w:t>
            </w:r>
            <w:r>
              <w:rPr>
                <w:color w:val="231F20"/>
                <w:sz w:val="14"/>
              </w:rPr>
              <w:t>кри­ вих и геометријско место тачака које испуњавају одређене</w:t>
            </w:r>
            <w:r>
              <w:rPr>
                <w:color w:val="231F20"/>
                <w:spacing w:val="-13"/>
                <w:sz w:val="14"/>
              </w:rPr>
              <w:t xml:space="preserve"> </w:t>
            </w:r>
            <w:r>
              <w:rPr>
                <w:color w:val="231F20"/>
                <w:sz w:val="14"/>
              </w:rPr>
              <w:t>услове.</w:t>
            </w:r>
          </w:p>
        </w:tc>
      </w:tr>
      <w:tr w:rsidR="00041039">
        <w:trPr>
          <w:trHeight w:val="4436"/>
        </w:trPr>
        <w:tc>
          <w:tcPr>
            <w:tcW w:w="1304" w:type="dxa"/>
            <w:tcBorders>
              <w:bottom w:val="nil"/>
            </w:tcBorders>
          </w:tcPr>
          <w:p w:rsidR="00041039" w:rsidRDefault="001B26CB">
            <w:pPr>
              <w:pStyle w:val="TableParagraph"/>
              <w:spacing w:before="20"/>
              <w:ind w:left="57"/>
              <w:rPr>
                <w:sz w:val="14"/>
              </w:rPr>
            </w:pPr>
            <w:r>
              <w:rPr>
                <w:color w:val="231F20"/>
                <w:sz w:val="14"/>
              </w:rPr>
              <w:t>Конусни пресеци</w:t>
            </w:r>
          </w:p>
        </w:tc>
        <w:tc>
          <w:tcPr>
            <w:tcW w:w="1587" w:type="dxa"/>
            <w:vMerge w:val="restart"/>
          </w:tcPr>
          <w:p w:rsidR="00041039" w:rsidRDefault="001B26CB">
            <w:pPr>
              <w:pStyle w:val="TableParagraph"/>
              <w:numPr>
                <w:ilvl w:val="0"/>
                <w:numId w:val="1813"/>
              </w:numPr>
              <w:tabs>
                <w:tab w:val="left" w:pos="157"/>
              </w:tabs>
              <w:spacing w:before="22" w:line="218" w:lineRule="auto"/>
              <w:ind w:right="113" w:hanging="99"/>
              <w:rPr>
                <w:sz w:val="14"/>
              </w:rPr>
            </w:pPr>
            <w:r>
              <w:rPr>
                <w:color w:val="231F20"/>
                <w:sz w:val="14"/>
              </w:rPr>
              <w:t>Проширивање знања о аналитичкој</w:t>
            </w:r>
            <w:r>
              <w:rPr>
                <w:color w:val="231F20"/>
                <w:spacing w:val="-15"/>
                <w:sz w:val="14"/>
              </w:rPr>
              <w:t xml:space="preserve"> </w:t>
            </w:r>
            <w:r>
              <w:rPr>
                <w:color w:val="231F20"/>
                <w:sz w:val="14"/>
              </w:rPr>
              <w:t>геомет­ рији.</w:t>
            </w:r>
          </w:p>
        </w:tc>
        <w:tc>
          <w:tcPr>
            <w:tcW w:w="2551" w:type="dxa"/>
            <w:vMerge w:val="restart"/>
          </w:tcPr>
          <w:p w:rsidR="00041039" w:rsidRDefault="001B26CB">
            <w:pPr>
              <w:pStyle w:val="TableParagraph"/>
              <w:numPr>
                <w:ilvl w:val="0"/>
                <w:numId w:val="1812"/>
              </w:numPr>
              <w:tabs>
                <w:tab w:val="left" w:pos="157"/>
              </w:tabs>
              <w:spacing w:before="24" w:line="216" w:lineRule="auto"/>
              <w:ind w:right="361" w:hanging="99"/>
              <w:rPr>
                <w:sz w:val="14"/>
              </w:rPr>
            </w:pPr>
            <w:r>
              <w:rPr>
                <w:color w:val="231F20"/>
                <w:sz w:val="14"/>
              </w:rPr>
              <w:t>наброји конусне пресеке и</w:t>
            </w:r>
            <w:r>
              <w:rPr>
                <w:color w:val="231F20"/>
                <w:spacing w:val="-19"/>
                <w:sz w:val="14"/>
              </w:rPr>
              <w:t xml:space="preserve"> </w:t>
            </w:r>
            <w:r>
              <w:rPr>
                <w:color w:val="231F20"/>
                <w:sz w:val="14"/>
              </w:rPr>
              <w:t>нацрта одговарајуће</w:t>
            </w:r>
            <w:r>
              <w:rPr>
                <w:color w:val="231F20"/>
                <w:spacing w:val="-1"/>
                <w:sz w:val="14"/>
              </w:rPr>
              <w:t xml:space="preserve"> </w:t>
            </w:r>
            <w:r>
              <w:rPr>
                <w:color w:val="231F20"/>
                <w:sz w:val="14"/>
              </w:rPr>
              <w:t>слике;</w:t>
            </w:r>
          </w:p>
          <w:p w:rsidR="00041039" w:rsidRDefault="001B26CB">
            <w:pPr>
              <w:pStyle w:val="TableParagraph"/>
              <w:numPr>
                <w:ilvl w:val="0"/>
                <w:numId w:val="1812"/>
              </w:numPr>
              <w:tabs>
                <w:tab w:val="left" w:pos="157"/>
              </w:tabs>
              <w:spacing w:line="216" w:lineRule="auto"/>
              <w:ind w:right="430" w:hanging="99"/>
              <w:rPr>
                <w:sz w:val="14"/>
              </w:rPr>
            </w:pPr>
            <w:r>
              <w:rPr>
                <w:color w:val="231F20"/>
                <w:sz w:val="14"/>
              </w:rPr>
              <w:t>дефинише елипсу и наведе</w:t>
            </w:r>
            <w:r>
              <w:rPr>
                <w:color w:val="231F20"/>
                <w:spacing w:val="-11"/>
                <w:sz w:val="14"/>
              </w:rPr>
              <w:t xml:space="preserve"> </w:t>
            </w:r>
            <w:r>
              <w:rPr>
                <w:color w:val="231F20"/>
                <w:sz w:val="14"/>
              </w:rPr>
              <w:t>њену једначину;</w:t>
            </w:r>
          </w:p>
          <w:p w:rsidR="00041039" w:rsidRDefault="001B26CB">
            <w:pPr>
              <w:pStyle w:val="TableParagraph"/>
              <w:numPr>
                <w:ilvl w:val="0"/>
                <w:numId w:val="1812"/>
              </w:numPr>
              <w:tabs>
                <w:tab w:val="left" w:pos="157"/>
              </w:tabs>
              <w:spacing w:line="216" w:lineRule="auto"/>
              <w:ind w:right="481" w:hanging="99"/>
              <w:rPr>
                <w:sz w:val="14"/>
              </w:rPr>
            </w:pPr>
            <w:r>
              <w:rPr>
                <w:color w:val="231F20"/>
                <w:sz w:val="14"/>
              </w:rPr>
              <w:t>одреди жиже, ексцентрицитет</w:t>
            </w:r>
            <w:r>
              <w:rPr>
                <w:color w:val="231F20"/>
                <w:spacing w:val="-12"/>
                <w:sz w:val="14"/>
              </w:rPr>
              <w:t xml:space="preserve"> </w:t>
            </w:r>
            <w:r>
              <w:rPr>
                <w:color w:val="231F20"/>
                <w:sz w:val="14"/>
              </w:rPr>
              <w:t>и директрисе елипсе;</w:t>
            </w:r>
          </w:p>
          <w:p w:rsidR="00041039" w:rsidRDefault="001B26CB">
            <w:pPr>
              <w:pStyle w:val="TableParagraph"/>
              <w:numPr>
                <w:ilvl w:val="0"/>
                <w:numId w:val="1812"/>
              </w:numPr>
              <w:tabs>
                <w:tab w:val="left" w:pos="157"/>
              </w:tabs>
              <w:spacing w:line="216" w:lineRule="auto"/>
              <w:ind w:right="244" w:hanging="99"/>
              <w:rPr>
                <w:sz w:val="14"/>
              </w:rPr>
            </w:pPr>
            <w:r>
              <w:rPr>
                <w:color w:val="231F20"/>
                <w:sz w:val="14"/>
              </w:rPr>
              <w:t>одреди једначину елипсе из</w:t>
            </w:r>
            <w:r>
              <w:rPr>
                <w:color w:val="231F20"/>
                <w:spacing w:val="-24"/>
                <w:sz w:val="14"/>
              </w:rPr>
              <w:t xml:space="preserve"> </w:t>
            </w:r>
            <w:r>
              <w:rPr>
                <w:color w:val="231F20"/>
                <w:sz w:val="14"/>
              </w:rPr>
              <w:t>задатих услова;</w:t>
            </w:r>
          </w:p>
          <w:p w:rsidR="00041039" w:rsidRDefault="001B26CB">
            <w:pPr>
              <w:pStyle w:val="TableParagraph"/>
              <w:numPr>
                <w:ilvl w:val="0"/>
                <w:numId w:val="1812"/>
              </w:numPr>
              <w:tabs>
                <w:tab w:val="left" w:pos="157"/>
              </w:tabs>
              <w:spacing w:line="216" w:lineRule="auto"/>
              <w:ind w:right="301" w:hanging="99"/>
              <w:rPr>
                <w:sz w:val="14"/>
              </w:rPr>
            </w:pPr>
            <w:r>
              <w:rPr>
                <w:color w:val="231F20"/>
                <w:sz w:val="14"/>
              </w:rPr>
              <w:t>испита међусобни положај праве</w:t>
            </w:r>
            <w:r>
              <w:rPr>
                <w:color w:val="231F20"/>
                <w:spacing w:val="-14"/>
                <w:sz w:val="14"/>
              </w:rPr>
              <w:t xml:space="preserve"> </w:t>
            </w:r>
            <w:r>
              <w:rPr>
                <w:color w:val="231F20"/>
                <w:sz w:val="14"/>
              </w:rPr>
              <w:t>и елипсе;</w:t>
            </w:r>
          </w:p>
          <w:p w:rsidR="00041039" w:rsidRDefault="001B26CB">
            <w:pPr>
              <w:pStyle w:val="TableParagraph"/>
              <w:numPr>
                <w:ilvl w:val="0"/>
                <w:numId w:val="1812"/>
              </w:numPr>
              <w:tabs>
                <w:tab w:val="left" w:pos="157"/>
              </w:tabs>
              <w:spacing w:line="216" w:lineRule="auto"/>
              <w:ind w:right="181" w:hanging="99"/>
              <w:rPr>
                <w:sz w:val="14"/>
              </w:rPr>
            </w:pPr>
            <w:r>
              <w:rPr>
                <w:color w:val="231F20"/>
                <w:sz w:val="14"/>
              </w:rPr>
              <w:t>одреди једначину тангенте елипсе</w:t>
            </w:r>
            <w:r>
              <w:rPr>
                <w:color w:val="231F20"/>
                <w:spacing w:val="-16"/>
                <w:sz w:val="14"/>
              </w:rPr>
              <w:t xml:space="preserve"> </w:t>
            </w:r>
            <w:r>
              <w:rPr>
                <w:color w:val="231F20"/>
                <w:sz w:val="14"/>
              </w:rPr>
              <w:t>из задатих</w:t>
            </w:r>
            <w:r>
              <w:rPr>
                <w:color w:val="231F20"/>
                <w:spacing w:val="-1"/>
                <w:sz w:val="14"/>
              </w:rPr>
              <w:t xml:space="preserve"> </w:t>
            </w:r>
            <w:r>
              <w:rPr>
                <w:color w:val="231F20"/>
                <w:sz w:val="14"/>
              </w:rPr>
              <w:t>услова;</w:t>
            </w:r>
          </w:p>
          <w:p w:rsidR="00041039" w:rsidRDefault="001B26CB">
            <w:pPr>
              <w:pStyle w:val="TableParagraph"/>
              <w:numPr>
                <w:ilvl w:val="0"/>
                <w:numId w:val="1812"/>
              </w:numPr>
              <w:tabs>
                <w:tab w:val="left" w:pos="157"/>
              </w:tabs>
              <w:spacing w:line="216" w:lineRule="auto"/>
              <w:ind w:right="211" w:hanging="99"/>
              <w:rPr>
                <w:sz w:val="14"/>
              </w:rPr>
            </w:pPr>
            <w:r>
              <w:rPr>
                <w:color w:val="231F20"/>
                <w:sz w:val="14"/>
              </w:rPr>
              <w:t>дефинише хиперболу и наведе</w:t>
            </w:r>
            <w:r>
              <w:rPr>
                <w:color w:val="231F20"/>
                <w:spacing w:val="-12"/>
                <w:sz w:val="14"/>
              </w:rPr>
              <w:t xml:space="preserve"> </w:t>
            </w:r>
            <w:r>
              <w:rPr>
                <w:color w:val="231F20"/>
                <w:sz w:val="14"/>
              </w:rPr>
              <w:t>њену једначину;</w:t>
            </w:r>
          </w:p>
          <w:p w:rsidR="00041039" w:rsidRDefault="001B26CB">
            <w:pPr>
              <w:pStyle w:val="TableParagraph"/>
              <w:numPr>
                <w:ilvl w:val="0"/>
                <w:numId w:val="1812"/>
              </w:numPr>
              <w:tabs>
                <w:tab w:val="left" w:pos="157"/>
              </w:tabs>
              <w:spacing w:line="216" w:lineRule="auto"/>
              <w:ind w:right="53" w:hanging="99"/>
              <w:rPr>
                <w:sz w:val="14"/>
              </w:rPr>
            </w:pPr>
            <w:r>
              <w:rPr>
                <w:color w:val="231F20"/>
                <w:sz w:val="14"/>
              </w:rPr>
              <w:t>одреди жиже, ексцентрицитет и</w:t>
            </w:r>
            <w:r>
              <w:rPr>
                <w:color w:val="231F20"/>
                <w:spacing w:val="-13"/>
                <w:sz w:val="14"/>
              </w:rPr>
              <w:t xml:space="preserve"> </w:t>
            </w:r>
            <w:r>
              <w:rPr>
                <w:color w:val="231F20"/>
                <w:sz w:val="14"/>
              </w:rPr>
              <w:t>дирек­ трисе</w:t>
            </w:r>
            <w:r>
              <w:rPr>
                <w:color w:val="231F20"/>
                <w:spacing w:val="-1"/>
                <w:sz w:val="14"/>
              </w:rPr>
              <w:t xml:space="preserve"> </w:t>
            </w:r>
            <w:r>
              <w:rPr>
                <w:color w:val="231F20"/>
                <w:sz w:val="14"/>
              </w:rPr>
              <w:t>хиперболе;</w:t>
            </w:r>
          </w:p>
          <w:p w:rsidR="00041039" w:rsidRDefault="001B26CB">
            <w:pPr>
              <w:pStyle w:val="TableParagraph"/>
              <w:numPr>
                <w:ilvl w:val="0"/>
                <w:numId w:val="1812"/>
              </w:numPr>
              <w:tabs>
                <w:tab w:val="left" w:pos="157"/>
              </w:tabs>
              <w:spacing w:line="216" w:lineRule="auto"/>
              <w:ind w:right="318" w:hanging="99"/>
              <w:rPr>
                <w:sz w:val="14"/>
              </w:rPr>
            </w:pPr>
            <w:r>
              <w:rPr>
                <w:color w:val="231F20"/>
                <w:sz w:val="14"/>
              </w:rPr>
              <w:t>одреди једначину хиперболе из</w:t>
            </w:r>
            <w:r>
              <w:rPr>
                <w:color w:val="231F20"/>
                <w:spacing w:val="-23"/>
                <w:sz w:val="14"/>
              </w:rPr>
              <w:t xml:space="preserve"> </w:t>
            </w:r>
            <w:r>
              <w:rPr>
                <w:color w:val="231F20"/>
                <w:sz w:val="14"/>
              </w:rPr>
              <w:t>за­ датих</w:t>
            </w:r>
            <w:r>
              <w:rPr>
                <w:color w:val="231F20"/>
                <w:spacing w:val="-1"/>
                <w:sz w:val="14"/>
              </w:rPr>
              <w:t xml:space="preserve"> </w:t>
            </w:r>
            <w:r>
              <w:rPr>
                <w:color w:val="231F20"/>
                <w:sz w:val="14"/>
              </w:rPr>
              <w:t>услова;</w:t>
            </w:r>
          </w:p>
          <w:p w:rsidR="00041039" w:rsidRDefault="001B26CB">
            <w:pPr>
              <w:pStyle w:val="TableParagraph"/>
              <w:numPr>
                <w:ilvl w:val="0"/>
                <w:numId w:val="1812"/>
              </w:numPr>
              <w:tabs>
                <w:tab w:val="left" w:pos="157"/>
              </w:tabs>
              <w:spacing w:line="216" w:lineRule="auto"/>
              <w:ind w:right="301" w:hanging="99"/>
              <w:rPr>
                <w:sz w:val="14"/>
              </w:rPr>
            </w:pPr>
            <w:r>
              <w:rPr>
                <w:color w:val="231F20"/>
                <w:sz w:val="14"/>
              </w:rPr>
              <w:t>испита међусобни положај праве</w:t>
            </w:r>
            <w:r>
              <w:rPr>
                <w:color w:val="231F20"/>
                <w:spacing w:val="-14"/>
                <w:sz w:val="14"/>
              </w:rPr>
              <w:t xml:space="preserve"> </w:t>
            </w:r>
            <w:r>
              <w:rPr>
                <w:color w:val="231F20"/>
                <w:sz w:val="14"/>
              </w:rPr>
              <w:t>и хиперболе;</w:t>
            </w:r>
          </w:p>
          <w:p w:rsidR="00041039" w:rsidRDefault="001B26CB">
            <w:pPr>
              <w:pStyle w:val="TableParagraph"/>
              <w:numPr>
                <w:ilvl w:val="0"/>
                <w:numId w:val="1812"/>
              </w:numPr>
              <w:tabs>
                <w:tab w:val="left" w:pos="157"/>
              </w:tabs>
              <w:spacing w:line="216" w:lineRule="auto"/>
              <w:ind w:right="131" w:hanging="99"/>
              <w:rPr>
                <w:sz w:val="14"/>
              </w:rPr>
            </w:pPr>
            <w:r>
              <w:rPr>
                <w:color w:val="231F20"/>
                <w:sz w:val="14"/>
              </w:rPr>
              <w:t>одреди једначину тангенте</w:t>
            </w:r>
            <w:r>
              <w:rPr>
                <w:color w:val="231F20"/>
                <w:spacing w:val="-19"/>
                <w:sz w:val="14"/>
              </w:rPr>
              <w:t xml:space="preserve"> </w:t>
            </w:r>
            <w:r>
              <w:rPr>
                <w:color w:val="231F20"/>
                <w:sz w:val="14"/>
              </w:rPr>
              <w:t>хиперболе из задатих</w:t>
            </w:r>
            <w:r>
              <w:rPr>
                <w:color w:val="231F20"/>
                <w:spacing w:val="-2"/>
                <w:sz w:val="14"/>
              </w:rPr>
              <w:t xml:space="preserve"> </w:t>
            </w:r>
            <w:r>
              <w:rPr>
                <w:color w:val="231F20"/>
                <w:sz w:val="14"/>
              </w:rPr>
              <w:t>услова;</w:t>
            </w:r>
          </w:p>
          <w:p w:rsidR="00041039" w:rsidRDefault="001B26CB">
            <w:pPr>
              <w:pStyle w:val="TableParagraph"/>
              <w:numPr>
                <w:ilvl w:val="0"/>
                <w:numId w:val="1812"/>
              </w:numPr>
              <w:tabs>
                <w:tab w:val="left" w:pos="157"/>
              </w:tabs>
              <w:spacing w:line="216" w:lineRule="auto"/>
              <w:ind w:right="637" w:hanging="99"/>
              <w:rPr>
                <w:sz w:val="14"/>
              </w:rPr>
            </w:pPr>
            <w:r>
              <w:rPr>
                <w:color w:val="231F20"/>
                <w:sz w:val="14"/>
              </w:rPr>
              <w:t>дефинише параболу и</w:t>
            </w:r>
            <w:r>
              <w:rPr>
                <w:color w:val="231F20"/>
                <w:spacing w:val="-13"/>
                <w:sz w:val="14"/>
              </w:rPr>
              <w:t xml:space="preserve"> </w:t>
            </w:r>
            <w:r>
              <w:rPr>
                <w:color w:val="231F20"/>
                <w:sz w:val="14"/>
              </w:rPr>
              <w:t>наведе једначину</w:t>
            </w:r>
            <w:r>
              <w:rPr>
                <w:color w:val="231F20"/>
                <w:spacing w:val="-2"/>
                <w:sz w:val="14"/>
              </w:rPr>
              <w:t xml:space="preserve"> </w:t>
            </w:r>
            <w:r>
              <w:rPr>
                <w:color w:val="231F20"/>
                <w:sz w:val="14"/>
              </w:rPr>
              <w:t>параболе;</w:t>
            </w:r>
          </w:p>
          <w:p w:rsidR="00041039" w:rsidRDefault="001B26CB">
            <w:pPr>
              <w:pStyle w:val="TableParagraph"/>
              <w:numPr>
                <w:ilvl w:val="0"/>
                <w:numId w:val="1812"/>
              </w:numPr>
              <w:tabs>
                <w:tab w:val="left" w:pos="157"/>
              </w:tabs>
              <w:spacing w:line="216" w:lineRule="auto"/>
              <w:ind w:right="53" w:hanging="99"/>
              <w:rPr>
                <w:sz w:val="14"/>
              </w:rPr>
            </w:pPr>
            <w:r>
              <w:rPr>
                <w:color w:val="231F20"/>
                <w:sz w:val="14"/>
              </w:rPr>
              <w:t>одреди жиже, ексцентрицитет и</w:t>
            </w:r>
            <w:r>
              <w:rPr>
                <w:color w:val="231F20"/>
                <w:spacing w:val="-13"/>
                <w:sz w:val="14"/>
              </w:rPr>
              <w:t xml:space="preserve"> </w:t>
            </w:r>
            <w:r>
              <w:rPr>
                <w:color w:val="231F20"/>
                <w:sz w:val="14"/>
              </w:rPr>
              <w:t>дирек­ трису</w:t>
            </w:r>
            <w:r>
              <w:rPr>
                <w:color w:val="231F20"/>
                <w:spacing w:val="-1"/>
                <w:sz w:val="14"/>
              </w:rPr>
              <w:t xml:space="preserve"> </w:t>
            </w:r>
            <w:r>
              <w:rPr>
                <w:color w:val="231F20"/>
                <w:sz w:val="14"/>
              </w:rPr>
              <w:t>параболе;</w:t>
            </w:r>
          </w:p>
          <w:p w:rsidR="00041039" w:rsidRDefault="001B26CB">
            <w:pPr>
              <w:pStyle w:val="TableParagraph"/>
              <w:numPr>
                <w:ilvl w:val="0"/>
                <w:numId w:val="1812"/>
              </w:numPr>
              <w:tabs>
                <w:tab w:val="left" w:pos="157"/>
              </w:tabs>
              <w:spacing w:line="216" w:lineRule="auto"/>
              <w:ind w:right="112" w:hanging="99"/>
              <w:rPr>
                <w:sz w:val="14"/>
              </w:rPr>
            </w:pPr>
            <w:r>
              <w:rPr>
                <w:color w:val="231F20"/>
                <w:sz w:val="14"/>
              </w:rPr>
              <w:t>одреди</w:t>
            </w:r>
            <w:r>
              <w:rPr>
                <w:color w:val="231F20"/>
                <w:spacing w:val="-8"/>
                <w:sz w:val="14"/>
              </w:rPr>
              <w:t xml:space="preserve"> </w:t>
            </w:r>
            <w:r>
              <w:rPr>
                <w:color w:val="231F20"/>
                <w:sz w:val="14"/>
              </w:rPr>
              <w:t>једначину</w:t>
            </w:r>
            <w:r>
              <w:rPr>
                <w:color w:val="231F20"/>
                <w:spacing w:val="-8"/>
                <w:sz w:val="14"/>
              </w:rPr>
              <w:t xml:space="preserve"> </w:t>
            </w:r>
            <w:r>
              <w:rPr>
                <w:color w:val="231F20"/>
                <w:sz w:val="14"/>
              </w:rPr>
              <w:t>параболе</w:t>
            </w:r>
            <w:r>
              <w:rPr>
                <w:color w:val="231F20"/>
                <w:spacing w:val="-9"/>
                <w:sz w:val="14"/>
              </w:rPr>
              <w:t xml:space="preserve"> </w:t>
            </w:r>
            <w:r>
              <w:rPr>
                <w:color w:val="231F20"/>
                <w:sz w:val="14"/>
              </w:rPr>
              <w:t>из</w:t>
            </w:r>
            <w:r>
              <w:rPr>
                <w:color w:val="231F20"/>
                <w:spacing w:val="-9"/>
                <w:sz w:val="14"/>
              </w:rPr>
              <w:t xml:space="preserve"> </w:t>
            </w:r>
            <w:r>
              <w:rPr>
                <w:color w:val="231F20"/>
                <w:sz w:val="14"/>
              </w:rPr>
              <w:t>задатих услова;</w:t>
            </w:r>
          </w:p>
          <w:p w:rsidR="00041039" w:rsidRDefault="001B26CB">
            <w:pPr>
              <w:pStyle w:val="TableParagraph"/>
              <w:numPr>
                <w:ilvl w:val="0"/>
                <w:numId w:val="1812"/>
              </w:numPr>
              <w:tabs>
                <w:tab w:val="left" w:pos="157"/>
              </w:tabs>
              <w:spacing w:line="216" w:lineRule="auto"/>
              <w:ind w:right="301" w:hanging="99"/>
              <w:rPr>
                <w:sz w:val="14"/>
              </w:rPr>
            </w:pPr>
            <w:r>
              <w:rPr>
                <w:color w:val="231F20"/>
                <w:sz w:val="14"/>
              </w:rPr>
              <w:t>испита међусобни положај праве</w:t>
            </w:r>
            <w:r>
              <w:rPr>
                <w:color w:val="231F20"/>
                <w:spacing w:val="-14"/>
                <w:sz w:val="14"/>
              </w:rPr>
              <w:t xml:space="preserve"> </w:t>
            </w:r>
            <w:r>
              <w:rPr>
                <w:color w:val="231F20"/>
                <w:sz w:val="14"/>
              </w:rPr>
              <w:t>и параболе;</w:t>
            </w:r>
          </w:p>
          <w:p w:rsidR="00041039" w:rsidRDefault="001B26CB">
            <w:pPr>
              <w:pStyle w:val="TableParagraph"/>
              <w:numPr>
                <w:ilvl w:val="0"/>
                <w:numId w:val="1812"/>
              </w:numPr>
              <w:tabs>
                <w:tab w:val="left" w:pos="157"/>
              </w:tabs>
              <w:spacing w:line="216" w:lineRule="auto"/>
              <w:ind w:right="49" w:hanging="99"/>
              <w:rPr>
                <w:sz w:val="14"/>
              </w:rPr>
            </w:pPr>
            <w:r>
              <w:rPr>
                <w:color w:val="231F20"/>
                <w:sz w:val="14"/>
              </w:rPr>
              <w:t>одреди једначину тангенте параболе</w:t>
            </w:r>
            <w:r>
              <w:rPr>
                <w:color w:val="231F20"/>
                <w:spacing w:val="-25"/>
                <w:sz w:val="14"/>
              </w:rPr>
              <w:t xml:space="preserve"> </w:t>
            </w:r>
            <w:r>
              <w:rPr>
                <w:color w:val="231F20"/>
                <w:sz w:val="14"/>
              </w:rPr>
              <w:t>из задатих</w:t>
            </w:r>
            <w:r>
              <w:rPr>
                <w:color w:val="231F20"/>
                <w:spacing w:val="-1"/>
                <w:sz w:val="14"/>
              </w:rPr>
              <w:t xml:space="preserve"> </w:t>
            </w:r>
            <w:r>
              <w:rPr>
                <w:color w:val="231F20"/>
                <w:sz w:val="14"/>
              </w:rPr>
              <w:t>услова;</w:t>
            </w:r>
          </w:p>
        </w:tc>
        <w:tc>
          <w:tcPr>
            <w:tcW w:w="2834" w:type="dxa"/>
            <w:vMerge w:val="restart"/>
          </w:tcPr>
          <w:p w:rsidR="00041039" w:rsidRDefault="001B26CB">
            <w:pPr>
              <w:pStyle w:val="TableParagraph"/>
              <w:numPr>
                <w:ilvl w:val="0"/>
                <w:numId w:val="1811"/>
              </w:numPr>
              <w:tabs>
                <w:tab w:val="left" w:pos="158"/>
              </w:tabs>
              <w:spacing w:before="10" w:line="159" w:lineRule="exact"/>
              <w:rPr>
                <w:sz w:val="14"/>
              </w:rPr>
            </w:pPr>
            <w:r>
              <w:rPr>
                <w:color w:val="231F20"/>
                <w:sz w:val="14"/>
              </w:rPr>
              <w:t>Конусна површ. Конусни</w:t>
            </w:r>
            <w:r>
              <w:rPr>
                <w:color w:val="231F20"/>
                <w:spacing w:val="-4"/>
                <w:sz w:val="14"/>
              </w:rPr>
              <w:t xml:space="preserve"> </w:t>
            </w:r>
            <w:r>
              <w:rPr>
                <w:color w:val="231F20"/>
                <w:sz w:val="14"/>
              </w:rPr>
              <w:t>пресеци.</w:t>
            </w:r>
          </w:p>
          <w:p w:rsidR="00041039" w:rsidRDefault="001B26CB">
            <w:pPr>
              <w:pStyle w:val="TableParagraph"/>
              <w:numPr>
                <w:ilvl w:val="0"/>
                <w:numId w:val="1811"/>
              </w:numPr>
              <w:tabs>
                <w:tab w:val="left" w:pos="158"/>
              </w:tabs>
              <w:spacing w:line="146" w:lineRule="exact"/>
              <w:rPr>
                <w:sz w:val="14"/>
              </w:rPr>
            </w:pPr>
            <w:r>
              <w:rPr>
                <w:color w:val="231F20"/>
                <w:sz w:val="14"/>
              </w:rPr>
              <w:t>Једначина</w:t>
            </w:r>
            <w:r>
              <w:rPr>
                <w:color w:val="231F20"/>
                <w:spacing w:val="-1"/>
                <w:sz w:val="14"/>
              </w:rPr>
              <w:t xml:space="preserve"> </w:t>
            </w:r>
            <w:r>
              <w:rPr>
                <w:color w:val="231F20"/>
                <w:sz w:val="14"/>
              </w:rPr>
              <w:t>елипсе.</w:t>
            </w:r>
          </w:p>
          <w:p w:rsidR="00041039" w:rsidRDefault="001B26CB">
            <w:pPr>
              <w:pStyle w:val="TableParagraph"/>
              <w:numPr>
                <w:ilvl w:val="0"/>
                <w:numId w:val="1811"/>
              </w:numPr>
              <w:tabs>
                <w:tab w:val="left" w:pos="158"/>
              </w:tabs>
              <w:spacing w:before="2" w:line="216" w:lineRule="auto"/>
              <w:ind w:right="172"/>
              <w:rPr>
                <w:sz w:val="14"/>
              </w:rPr>
            </w:pPr>
            <w:r>
              <w:rPr>
                <w:color w:val="231F20"/>
                <w:sz w:val="14"/>
              </w:rPr>
              <w:t>Особине елипсе (жиже, ексцентрицитет</w:t>
            </w:r>
            <w:r>
              <w:rPr>
                <w:color w:val="231F20"/>
                <w:spacing w:val="-11"/>
                <w:sz w:val="14"/>
              </w:rPr>
              <w:t xml:space="preserve"> </w:t>
            </w:r>
            <w:r>
              <w:rPr>
                <w:color w:val="231F20"/>
                <w:sz w:val="14"/>
              </w:rPr>
              <w:t>и директрисе).</w:t>
            </w:r>
          </w:p>
          <w:p w:rsidR="00041039" w:rsidRDefault="001B26CB">
            <w:pPr>
              <w:pStyle w:val="TableParagraph"/>
              <w:numPr>
                <w:ilvl w:val="0"/>
                <w:numId w:val="1811"/>
              </w:numPr>
              <w:tabs>
                <w:tab w:val="left" w:pos="158"/>
              </w:tabs>
              <w:spacing w:line="137" w:lineRule="exact"/>
              <w:rPr>
                <w:sz w:val="14"/>
              </w:rPr>
            </w:pPr>
            <w:r>
              <w:rPr>
                <w:color w:val="231F20"/>
                <w:spacing w:val="-3"/>
                <w:sz w:val="14"/>
              </w:rPr>
              <w:t xml:space="preserve">Узајамни </w:t>
            </w:r>
            <w:r>
              <w:rPr>
                <w:color w:val="231F20"/>
                <w:sz w:val="14"/>
              </w:rPr>
              <w:t>положај праве и</w:t>
            </w:r>
            <w:r>
              <w:rPr>
                <w:color w:val="231F20"/>
                <w:spacing w:val="-1"/>
                <w:sz w:val="14"/>
              </w:rPr>
              <w:t xml:space="preserve"> </w:t>
            </w:r>
            <w:r>
              <w:rPr>
                <w:color w:val="231F20"/>
                <w:sz w:val="14"/>
              </w:rPr>
              <w:t>елипсе.</w:t>
            </w:r>
          </w:p>
          <w:p w:rsidR="00041039" w:rsidRDefault="001B26CB">
            <w:pPr>
              <w:pStyle w:val="TableParagraph"/>
              <w:numPr>
                <w:ilvl w:val="0"/>
                <w:numId w:val="1811"/>
              </w:numPr>
              <w:tabs>
                <w:tab w:val="left" w:pos="158"/>
              </w:tabs>
              <w:spacing w:line="146" w:lineRule="exact"/>
              <w:rPr>
                <w:sz w:val="14"/>
              </w:rPr>
            </w:pPr>
            <w:r>
              <w:rPr>
                <w:color w:val="231F20"/>
                <w:sz w:val="14"/>
              </w:rPr>
              <w:t>Једначина</w:t>
            </w:r>
            <w:r>
              <w:rPr>
                <w:color w:val="231F20"/>
                <w:spacing w:val="-1"/>
                <w:sz w:val="14"/>
              </w:rPr>
              <w:t xml:space="preserve"> </w:t>
            </w:r>
            <w:r>
              <w:rPr>
                <w:color w:val="231F20"/>
                <w:sz w:val="14"/>
              </w:rPr>
              <w:t>хиперболе.</w:t>
            </w:r>
          </w:p>
          <w:p w:rsidR="00041039" w:rsidRDefault="001B26CB">
            <w:pPr>
              <w:pStyle w:val="TableParagraph"/>
              <w:numPr>
                <w:ilvl w:val="0"/>
                <w:numId w:val="1811"/>
              </w:numPr>
              <w:tabs>
                <w:tab w:val="left" w:pos="158"/>
              </w:tabs>
              <w:spacing w:before="1" w:line="216" w:lineRule="auto"/>
              <w:ind w:right="42"/>
              <w:rPr>
                <w:sz w:val="14"/>
              </w:rPr>
            </w:pPr>
            <w:r>
              <w:rPr>
                <w:color w:val="231F20"/>
                <w:sz w:val="14"/>
              </w:rPr>
              <w:t>Особине хиперболе (жиже,</w:t>
            </w:r>
            <w:r>
              <w:rPr>
                <w:color w:val="231F20"/>
                <w:spacing w:val="-25"/>
                <w:sz w:val="14"/>
              </w:rPr>
              <w:t xml:space="preserve"> </w:t>
            </w:r>
            <w:r>
              <w:rPr>
                <w:color w:val="231F20"/>
                <w:sz w:val="14"/>
              </w:rPr>
              <w:t>ексцентрицитет, полу осе и асимптоте,</w:t>
            </w:r>
            <w:r>
              <w:rPr>
                <w:color w:val="231F20"/>
                <w:spacing w:val="-4"/>
                <w:sz w:val="14"/>
              </w:rPr>
              <w:t xml:space="preserve"> </w:t>
            </w:r>
            <w:r>
              <w:rPr>
                <w:color w:val="231F20"/>
                <w:sz w:val="14"/>
              </w:rPr>
              <w:t>директрисе).</w:t>
            </w:r>
          </w:p>
          <w:p w:rsidR="00041039" w:rsidRDefault="001B26CB">
            <w:pPr>
              <w:pStyle w:val="TableParagraph"/>
              <w:numPr>
                <w:ilvl w:val="0"/>
                <w:numId w:val="1811"/>
              </w:numPr>
              <w:tabs>
                <w:tab w:val="left" w:pos="158"/>
              </w:tabs>
              <w:spacing w:line="137" w:lineRule="exact"/>
              <w:rPr>
                <w:sz w:val="14"/>
              </w:rPr>
            </w:pPr>
            <w:r>
              <w:rPr>
                <w:color w:val="231F20"/>
                <w:spacing w:val="-3"/>
                <w:sz w:val="14"/>
              </w:rPr>
              <w:t xml:space="preserve">Узајамни </w:t>
            </w:r>
            <w:r>
              <w:rPr>
                <w:color w:val="231F20"/>
                <w:sz w:val="14"/>
              </w:rPr>
              <w:t>положај праве и</w:t>
            </w:r>
            <w:r>
              <w:rPr>
                <w:color w:val="231F20"/>
                <w:spacing w:val="-2"/>
                <w:sz w:val="14"/>
              </w:rPr>
              <w:t xml:space="preserve"> </w:t>
            </w:r>
            <w:r>
              <w:rPr>
                <w:color w:val="231F20"/>
                <w:sz w:val="14"/>
              </w:rPr>
              <w:t>хиперболе.</w:t>
            </w:r>
          </w:p>
          <w:p w:rsidR="00041039" w:rsidRDefault="001B26CB">
            <w:pPr>
              <w:pStyle w:val="TableParagraph"/>
              <w:numPr>
                <w:ilvl w:val="0"/>
                <w:numId w:val="1811"/>
              </w:numPr>
              <w:tabs>
                <w:tab w:val="left" w:pos="158"/>
              </w:tabs>
              <w:spacing w:line="146" w:lineRule="exact"/>
              <w:rPr>
                <w:sz w:val="14"/>
              </w:rPr>
            </w:pPr>
            <w:r>
              <w:rPr>
                <w:color w:val="231F20"/>
                <w:sz w:val="14"/>
              </w:rPr>
              <w:t>Једначина</w:t>
            </w:r>
            <w:r>
              <w:rPr>
                <w:color w:val="231F20"/>
                <w:spacing w:val="-1"/>
                <w:sz w:val="14"/>
              </w:rPr>
              <w:t xml:space="preserve"> </w:t>
            </w:r>
            <w:r>
              <w:rPr>
                <w:color w:val="231F20"/>
                <w:sz w:val="14"/>
              </w:rPr>
              <w:t>параболе.</w:t>
            </w:r>
          </w:p>
          <w:p w:rsidR="00041039" w:rsidRDefault="001B26CB">
            <w:pPr>
              <w:pStyle w:val="TableParagraph"/>
              <w:numPr>
                <w:ilvl w:val="0"/>
                <w:numId w:val="1811"/>
              </w:numPr>
              <w:tabs>
                <w:tab w:val="left" w:pos="158"/>
              </w:tabs>
              <w:spacing w:before="1" w:line="216" w:lineRule="auto"/>
              <w:ind w:right="366"/>
              <w:rPr>
                <w:sz w:val="14"/>
              </w:rPr>
            </w:pPr>
            <w:r>
              <w:rPr>
                <w:color w:val="231F20"/>
                <w:sz w:val="14"/>
              </w:rPr>
              <w:t>Особине параболе (жижа, параметар</w:t>
            </w:r>
            <w:r>
              <w:rPr>
                <w:color w:val="231F20"/>
                <w:spacing w:val="-22"/>
                <w:sz w:val="14"/>
              </w:rPr>
              <w:t xml:space="preserve"> </w:t>
            </w:r>
            <w:r>
              <w:rPr>
                <w:color w:val="231F20"/>
                <w:sz w:val="14"/>
              </w:rPr>
              <w:t>и директриса).</w:t>
            </w:r>
          </w:p>
          <w:p w:rsidR="00041039" w:rsidRDefault="001B26CB">
            <w:pPr>
              <w:pStyle w:val="TableParagraph"/>
              <w:numPr>
                <w:ilvl w:val="0"/>
                <w:numId w:val="1811"/>
              </w:numPr>
              <w:tabs>
                <w:tab w:val="left" w:pos="158"/>
              </w:tabs>
              <w:spacing w:line="150" w:lineRule="exact"/>
              <w:rPr>
                <w:sz w:val="14"/>
              </w:rPr>
            </w:pPr>
            <w:r>
              <w:rPr>
                <w:color w:val="231F20"/>
                <w:spacing w:val="-3"/>
                <w:sz w:val="14"/>
              </w:rPr>
              <w:t xml:space="preserve">Узајамни </w:t>
            </w:r>
            <w:r>
              <w:rPr>
                <w:color w:val="231F20"/>
                <w:sz w:val="14"/>
              </w:rPr>
              <w:t>положај праве и</w:t>
            </w:r>
            <w:r>
              <w:rPr>
                <w:color w:val="231F20"/>
                <w:spacing w:val="-3"/>
                <w:sz w:val="14"/>
              </w:rPr>
              <w:t xml:space="preserve"> </w:t>
            </w:r>
            <w:r>
              <w:rPr>
                <w:color w:val="231F20"/>
                <w:sz w:val="14"/>
              </w:rPr>
              <w:t>параболе.</w:t>
            </w:r>
          </w:p>
        </w:tc>
        <w:tc>
          <w:tcPr>
            <w:tcW w:w="2267" w:type="dxa"/>
            <w:vMerge/>
            <w:tcBorders>
              <w:top w:val="nil"/>
              <w:bottom w:val="nil"/>
            </w:tcBorders>
          </w:tcPr>
          <w:p w:rsidR="00041039" w:rsidRDefault="00041039">
            <w:pPr>
              <w:rPr>
                <w:sz w:val="2"/>
                <w:szCs w:val="2"/>
              </w:rPr>
            </w:pPr>
          </w:p>
        </w:tc>
      </w:tr>
      <w:tr w:rsidR="00041039">
        <w:trPr>
          <w:trHeight w:val="1264"/>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37" w:line="154" w:lineRule="exact"/>
              <w:ind w:left="58"/>
              <w:rPr>
                <w:b/>
                <w:sz w:val="14"/>
              </w:rPr>
            </w:pPr>
            <w:r>
              <w:rPr>
                <w:b/>
                <w:color w:val="231F20"/>
                <w:sz w:val="14"/>
              </w:rPr>
              <w:t>Оцењивање</w:t>
            </w:r>
          </w:p>
          <w:p w:rsidR="00041039" w:rsidRDefault="001B26CB">
            <w:pPr>
              <w:pStyle w:val="TableParagraph"/>
              <w:spacing w:before="5" w:line="218"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1810"/>
              </w:numPr>
              <w:tabs>
                <w:tab w:val="left" w:pos="158"/>
              </w:tabs>
              <w:spacing w:line="136"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810"/>
              </w:numPr>
              <w:tabs>
                <w:tab w:val="left" w:pos="158"/>
              </w:tabs>
              <w:spacing w:line="146" w:lineRule="exact"/>
              <w:ind w:hanging="99"/>
              <w:rPr>
                <w:sz w:val="14"/>
              </w:rPr>
            </w:pPr>
            <w:r>
              <w:rPr>
                <w:color w:val="231F20"/>
                <w:sz w:val="14"/>
              </w:rPr>
              <w:t>активност ученика на</w:t>
            </w:r>
            <w:r>
              <w:rPr>
                <w:color w:val="231F20"/>
                <w:spacing w:val="-2"/>
                <w:sz w:val="14"/>
              </w:rPr>
              <w:t xml:space="preserve"> </w:t>
            </w:r>
            <w:r>
              <w:rPr>
                <w:color w:val="231F20"/>
                <w:sz w:val="14"/>
              </w:rPr>
              <w:t>часу</w:t>
            </w:r>
          </w:p>
          <w:p w:rsidR="00041039" w:rsidRDefault="001B26CB">
            <w:pPr>
              <w:pStyle w:val="TableParagraph"/>
              <w:numPr>
                <w:ilvl w:val="0"/>
                <w:numId w:val="1810"/>
              </w:numPr>
              <w:tabs>
                <w:tab w:val="left" w:pos="158"/>
              </w:tabs>
              <w:spacing w:line="146" w:lineRule="exact"/>
              <w:ind w:hanging="99"/>
              <w:rPr>
                <w:sz w:val="14"/>
              </w:rPr>
            </w:pPr>
            <w:r>
              <w:rPr>
                <w:color w:val="231F20"/>
                <w:sz w:val="14"/>
              </w:rPr>
              <w:t>усмену проверу</w:t>
            </w:r>
            <w:r>
              <w:rPr>
                <w:color w:val="231F20"/>
                <w:spacing w:val="-1"/>
                <w:sz w:val="14"/>
              </w:rPr>
              <w:t xml:space="preserve"> </w:t>
            </w:r>
            <w:r>
              <w:rPr>
                <w:color w:val="231F20"/>
                <w:sz w:val="14"/>
              </w:rPr>
              <w:t>знања</w:t>
            </w:r>
          </w:p>
          <w:p w:rsidR="00041039" w:rsidRDefault="001B26CB">
            <w:pPr>
              <w:pStyle w:val="TableParagraph"/>
              <w:numPr>
                <w:ilvl w:val="0"/>
                <w:numId w:val="1810"/>
              </w:numPr>
              <w:tabs>
                <w:tab w:val="left" w:pos="158"/>
              </w:tabs>
              <w:spacing w:line="146" w:lineRule="exact"/>
              <w:ind w:hanging="99"/>
              <w:rPr>
                <w:sz w:val="14"/>
              </w:rPr>
            </w:pPr>
            <w:r>
              <w:rPr>
                <w:color w:val="231F20"/>
                <w:sz w:val="14"/>
              </w:rPr>
              <w:t>писмену провера</w:t>
            </w:r>
            <w:r>
              <w:rPr>
                <w:color w:val="231F20"/>
                <w:spacing w:val="-3"/>
                <w:sz w:val="14"/>
              </w:rPr>
              <w:t xml:space="preserve"> </w:t>
            </w:r>
            <w:r>
              <w:rPr>
                <w:color w:val="231F20"/>
                <w:sz w:val="14"/>
              </w:rPr>
              <w:t>знања</w:t>
            </w:r>
          </w:p>
          <w:p w:rsidR="00041039" w:rsidRDefault="001B26CB">
            <w:pPr>
              <w:pStyle w:val="TableParagraph"/>
              <w:numPr>
                <w:ilvl w:val="0"/>
                <w:numId w:val="1810"/>
              </w:numPr>
              <w:tabs>
                <w:tab w:val="left" w:pos="158"/>
              </w:tabs>
              <w:spacing w:line="159"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972"/>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37" w:line="148" w:lineRule="exact"/>
              <w:ind w:left="58"/>
              <w:rPr>
                <w:b/>
                <w:sz w:val="14"/>
              </w:rPr>
            </w:pPr>
            <w:r>
              <w:rPr>
                <w:b/>
                <w:color w:val="231F20"/>
                <w:sz w:val="14"/>
              </w:rPr>
              <w:t>Оквирни број часова по темама</w:t>
            </w:r>
          </w:p>
          <w:p w:rsidR="00041039" w:rsidRDefault="001B26CB">
            <w:pPr>
              <w:pStyle w:val="TableParagraph"/>
              <w:numPr>
                <w:ilvl w:val="0"/>
                <w:numId w:val="1809"/>
              </w:numPr>
              <w:tabs>
                <w:tab w:val="left" w:pos="158"/>
              </w:tabs>
              <w:spacing w:line="146" w:lineRule="exact"/>
              <w:ind w:hanging="99"/>
              <w:rPr>
                <w:b/>
                <w:sz w:val="14"/>
              </w:rPr>
            </w:pPr>
            <w:r>
              <w:rPr>
                <w:color w:val="231F20"/>
                <w:sz w:val="14"/>
              </w:rPr>
              <w:t xml:space="preserve">Полиноми </w:t>
            </w:r>
            <w:r>
              <w:rPr>
                <w:b/>
                <w:color w:val="231F20"/>
                <w:sz w:val="14"/>
              </w:rPr>
              <w:t>(7</w:t>
            </w:r>
            <w:r>
              <w:rPr>
                <w:b/>
                <w:color w:val="231F20"/>
                <w:spacing w:val="-3"/>
                <w:sz w:val="14"/>
              </w:rPr>
              <w:t xml:space="preserve"> </w:t>
            </w:r>
            <w:r>
              <w:rPr>
                <w:b/>
                <w:color w:val="231F20"/>
                <w:sz w:val="14"/>
              </w:rPr>
              <w:t>часова)</w:t>
            </w:r>
          </w:p>
          <w:p w:rsidR="00041039" w:rsidRDefault="001B26CB">
            <w:pPr>
              <w:pStyle w:val="TableParagraph"/>
              <w:numPr>
                <w:ilvl w:val="0"/>
                <w:numId w:val="1809"/>
              </w:numPr>
              <w:tabs>
                <w:tab w:val="left" w:pos="158"/>
              </w:tabs>
              <w:spacing w:before="1" w:line="216" w:lineRule="auto"/>
              <w:ind w:right="569" w:hanging="99"/>
              <w:rPr>
                <w:b/>
                <w:sz w:val="14"/>
              </w:rPr>
            </w:pPr>
            <w:r>
              <w:rPr>
                <w:color w:val="231F20"/>
                <w:sz w:val="14"/>
              </w:rPr>
              <w:t>Ирационалне једначине</w:t>
            </w:r>
            <w:r>
              <w:rPr>
                <w:color w:val="231F20"/>
                <w:spacing w:val="-15"/>
                <w:sz w:val="14"/>
              </w:rPr>
              <w:t xml:space="preserve"> </w:t>
            </w:r>
            <w:r>
              <w:rPr>
                <w:color w:val="231F20"/>
                <w:sz w:val="14"/>
              </w:rPr>
              <w:t xml:space="preserve">и неједначине </w:t>
            </w:r>
            <w:r>
              <w:rPr>
                <w:b/>
                <w:color w:val="231F20"/>
                <w:sz w:val="14"/>
              </w:rPr>
              <w:t>(12</w:t>
            </w:r>
            <w:r>
              <w:rPr>
                <w:b/>
                <w:color w:val="231F20"/>
                <w:spacing w:val="-9"/>
                <w:sz w:val="14"/>
              </w:rPr>
              <w:t xml:space="preserve"> </w:t>
            </w:r>
            <w:r>
              <w:rPr>
                <w:b/>
                <w:color w:val="231F20"/>
                <w:sz w:val="14"/>
              </w:rPr>
              <w:t>часова)</w:t>
            </w:r>
          </w:p>
          <w:p w:rsidR="00041039" w:rsidRDefault="001B26CB">
            <w:pPr>
              <w:pStyle w:val="TableParagraph"/>
              <w:numPr>
                <w:ilvl w:val="0"/>
                <w:numId w:val="1809"/>
              </w:numPr>
              <w:tabs>
                <w:tab w:val="left" w:pos="158"/>
              </w:tabs>
              <w:spacing w:line="137" w:lineRule="exact"/>
              <w:ind w:hanging="99"/>
              <w:rPr>
                <w:b/>
                <w:sz w:val="14"/>
              </w:rPr>
            </w:pPr>
            <w:r>
              <w:rPr>
                <w:color w:val="231F20"/>
                <w:sz w:val="14"/>
              </w:rPr>
              <w:t xml:space="preserve">Тригонометрија </w:t>
            </w:r>
            <w:r>
              <w:rPr>
                <w:b/>
                <w:color w:val="231F20"/>
                <w:sz w:val="14"/>
              </w:rPr>
              <w:t>(21</w:t>
            </w:r>
            <w:r>
              <w:rPr>
                <w:b/>
                <w:color w:val="231F20"/>
                <w:spacing w:val="-3"/>
                <w:sz w:val="14"/>
              </w:rPr>
              <w:t xml:space="preserve"> </w:t>
            </w:r>
            <w:r>
              <w:rPr>
                <w:b/>
                <w:color w:val="231F20"/>
                <w:sz w:val="14"/>
              </w:rPr>
              <w:t>час)</w:t>
            </w:r>
          </w:p>
          <w:p w:rsidR="00041039" w:rsidRDefault="001B26CB">
            <w:pPr>
              <w:pStyle w:val="TableParagraph"/>
              <w:numPr>
                <w:ilvl w:val="0"/>
                <w:numId w:val="1809"/>
              </w:numPr>
              <w:tabs>
                <w:tab w:val="left" w:pos="158"/>
              </w:tabs>
              <w:spacing w:line="159" w:lineRule="exact"/>
              <w:ind w:hanging="99"/>
              <w:rPr>
                <w:b/>
                <w:sz w:val="14"/>
              </w:rPr>
            </w:pPr>
            <w:r>
              <w:rPr>
                <w:color w:val="231F20"/>
                <w:sz w:val="14"/>
              </w:rPr>
              <w:t>Конусни пресеци</w:t>
            </w:r>
            <w:r>
              <w:rPr>
                <w:color w:val="231F20"/>
                <w:spacing w:val="-1"/>
                <w:sz w:val="14"/>
              </w:rPr>
              <w:t xml:space="preserve"> </w:t>
            </w:r>
            <w:r>
              <w:rPr>
                <w:b/>
                <w:color w:val="231F20"/>
                <w:sz w:val="14"/>
              </w:rPr>
              <w:t>(22часа)</w:t>
            </w:r>
          </w:p>
        </w:tc>
      </w:tr>
      <w:tr w:rsidR="00041039">
        <w:trPr>
          <w:trHeight w:val="364"/>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49" w:line="218" w:lineRule="auto"/>
              <w:ind w:left="58"/>
              <w:rPr>
                <w:b/>
                <w:sz w:val="14"/>
              </w:rPr>
            </w:pPr>
            <w:r>
              <w:rPr>
                <w:color w:val="231F20"/>
                <w:sz w:val="14"/>
              </w:rPr>
              <w:t>За реализацију 4 писмена задатка са исправкама планирано је 8 часова</w:t>
            </w:r>
            <w:r>
              <w:rPr>
                <w:b/>
                <w:color w:val="231F20"/>
                <w:sz w:val="14"/>
              </w:rPr>
              <w:t>.</w:t>
            </w:r>
          </w:p>
        </w:tc>
      </w:tr>
    </w:tbl>
    <w:p w:rsidR="00041039" w:rsidRDefault="00041039">
      <w:pPr>
        <w:spacing w:line="218" w:lineRule="auto"/>
        <w:rPr>
          <w:sz w:val="14"/>
        </w:rPr>
        <w:sectPr w:rsidR="00041039">
          <w:pgSz w:w="11910" w:h="15710"/>
          <w:pgMar w:top="4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ИЗАБРАНА </w:t>
      </w:r>
      <w:r>
        <w:rPr>
          <w:b/>
          <w:color w:val="231F20"/>
          <w:spacing w:val="-4"/>
          <w:sz w:val="14"/>
        </w:rPr>
        <w:t>ПОГЛАВЉА</w:t>
      </w:r>
      <w:r>
        <w:rPr>
          <w:b/>
          <w:color w:val="231F20"/>
          <w:sz w:val="14"/>
        </w:rPr>
        <w:t xml:space="preserve"> </w:t>
      </w:r>
      <w:r>
        <w:rPr>
          <w:b/>
          <w:color w:val="231F20"/>
          <w:spacing w:val="-3"/>
          <w:sz w:val="14"/>
        </w:rPr>
        <w:t>МАТЕМАТИКЕ</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ight="18"/>
              <w:rPr>
                <w:sz w:val="14"/>
              </w:rPr>
            </w:pPr>
            <w:r>
              <w:rPr>
                <w:color w:val="231F20"/>
                <w:sz w:val="14"/>
              </w:rPr>
              <w:t>Експоненцијалне и логаритамске једна­ чине и неједначине</w:t>
            </w:r>
          </w:p>
        </w:tc>
        <w:tc>
          <w:tcPr>
            <w:tcW w:w="1587" w:type="dxa"/>
          </w:tcPr>
          <w:p w:rsidR="00041039" w:rsidRDefault="001B26CB">
            <w:pPr>
              <w:pStyle w:val="TableParagraph"/>
              <w:numPr>
                <w:ilvl w:val="0"/>
                <w:numId w:val="1808"/>
              </w:numPr>
              <w:tabs>
                <w:tab w:val="left" w:pos="157"/>
              </w:tabs>
              <w:spacing w:before="8"/>
              <w:ind w:right="169"/>
              <w:rPr>
                <w:sz w:val="14"/>
              </w:rPr>
            </w:pPr>
            <w:r>
              <w:rPr>
                <w:color w:val="231F20"/>
                <w:sz w:val="14"/>
              </w:rPr>
              <w:t>Проширивање</w:t>
            </w:r>
            <w:r>
              <w:rPr>
                <w:color w:val="231F20"/>
                <w:spacing w:val="-10"/>
                <w:sz w:val="14"/>
              </w:rPr>
              <w:t xml:space="preserve"> </w:t>
            </w:r>
            <w:r>
              <w:rPr>
                <w:color w:val="231F20"/>
                <w:sz w:val="14"/>
              </w:rPr>
              <w:t>знања о експоненцијалним и логаритамским једначинама.</w:t>
            </w:r>
          </w:p>
          <w:p w:rsidR="00041039" w:rsidRDefault="001B26CB">
            <w:pPr>
              <w:pStyle w:val="TableParagraph"/>
              <w:numPr>
                <w:ilvl w:val="0"/>
                <w:numId w:val="1808"/>
              </w:numPr>
              <w:tabs>
                <w:tab w:val="left" w:pos="157"/>
              </w:tabs>
              <w:spacing w:line="156"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100"/>
              <w:rPr>
                <w:sz w:val="14"/>
              </w:rPr>
            </w:pPr>
            <w:r>
              <w:rPr>
                <w:color w:val="231F20"/>
                <w:sz w:val="14"/>
              </w:rPr>
              <w:t>експоненцијалним и логаритамским нејед­ начинама.</w:t>
            </w:r>
          </w:p>
        </w:tc>
        <w:tc>
          <w:tcPr>
            <w:tcW w:w="2551" w:type="dxa"/>
          </w:tcPr>
          <w:p w:rsidR="00041039" w:rsidRDefault="001B26CB">
            <w:pPr>
              <w:pStyle w:val="TableParagraph"/>
              <w:numPr>
                <w:ilvl w:val="0"/>
                <w:numId w:val="1807"/>
              </w:numPr>
              <w:tabs>
                <w:tab w:val="left" w:pos="157"/>
              </w:tabs>
              <w:spacing w:before="8" w:line="166" w:lineRule="exact"/>
              <w:ind w:hanging="99"/>
              <w:rPr>
                <w:sz w:val="14"/>
              </w:rPr>
            </w:pPr>
            <w:r>
              <w:rPr>
                <w:color w:val="231F20"/>
                <w:sz w:val="14"/>
              </w:rPr>
              <w:t>реши експоненцијалне</w:t>
            </w:r>
            <w:r>
              <w:rPr>
                <w:color w:val="231F20"/>
                <w:spacing w:val="-4"/>
                <w:sz w:val="14"/>
              </w:rPr>
              <w:t xml:space="preserve"> </w:t>
            </w:r>
            <w:r>
              <w:rPr>
                <w:color w:val="231F20"/>
                <w:sz w:val="14"/>
              </w:rPr>
              <w:t>једначине;</w:t>
            </w:r>
          </w:p>
          <w:p w:rsidR="00041039" w:rsidRDefault="001B26CB">
            <w:pPr>
              <w:pStyle w:val="TableParagraph"/>
              <w:numPr>
                <w:ilvl w:val="0"/>
                <w:numId w:val="1807"/>
              </w:numPr>
              <w:tabs>
                <w:tab w:val="left" w:pos="157"/>
              </w:tabs>
              <w:spacing w:line="237" w:lineRule="auto"/>
              <w:ind w:right="169" w:hanging="99"/>
              <w:rPr>
                <w:sz w:val="14"/>
              </w:rPr>
            </w:pPr>
            <w:r>
              <w:rPr>
                <w:color w:val="231F20"/>
                <w:sz w:val="14"/>
              </w:rPr>
              <w:t>реши једноставније експоненцијалне неједначине;</w:t>
            </w:r>
          </w:p>
          <w:p w:rsidR="00041039" w:rsidRDefault="001B26CB">
            <w:pPr>
              <w:pStyle w:val="TableParagraph"/>
              <w:numPr>
                <w:ilvl w:val="0"/>
                <w:numId w:val="1807"/>
              </w:numPr>
              <w:tabs>
                <w:tab w:val="left" w:pos="157"/>
              </w:tabs>
              <w:spacing w:line="155" w:lineRule="exact"/>
              <w:ind w:hanging="99"/>
              <w:rPr>
                <w:sz w:val="14"/>
              </w:rPr>
            </w:pPr>
            <w:r>
              <w:rPr>
                <w:color w:val="231F20"/>
                <w:sz w:val="14"/>
              </w:rPr>
              <w:t>реши логаритамске</w:t>
            </w:r>
            <w:r>
              <w:rPr>
                <w:color w:val="231F20"/>
                <w:spacing w:val="-2"/>
                <w:sz w:val="14"/>
              </w:rPr>
              <w:t xml:space="preserve"> </w:t>
            </w:r>
            <w:r>
              <w:rPr>
                <w:color w:val="231F20"/>
                <w:sz w:val="14"/>
              </w:rPr>
              <w:t>једначине;</w:t>
            </w:r>
          </w:p>
          <w:p w:rsidR="00041039" w:rsidRDefault="001B26CB">
            <w:pPr>
              <w:pStyle w:val="TableParagraph"/>
              <w:numPr>
                <w:ilvl w:val="0"/>
                <w:numId w:val="1807"/>
              </w:numPr>
              <w:tabs>
                <w:tab w:val="left" w:pos="157"/>
              </w:tabs>
              <w:spacing w:line="237" w:lineRule="auto"/>
              <w:ind w:right="367" w:hanging="99"/>
              <w:rPr>
                <w:sz w:val="14"/>
              </w:rPr>
            </w:pPr>
            <w:r>
              <w:rPr>
                <w:color w:val="231F20"/>
                <w:sz w:val="14"/>
              </w:rPr>
              <w:t>реши једноставније логаритамске неједначине;</w:t>
            </w:r>
          </w:p>
        </w:tc>
        <w:tc>
          <w:tcPr>
            <w:tcW w:w="2834" w:type="dxa"/>
          </w:tcPr>
          <w:p w:rsidR="00041039" w:rsidRDefault="001B26CB">
            <w:pPr>
              <w:pStyle w:val="TableParagraph"/>
              <w:numPr>
                <w:ilvl w:val="0"/>
                <w:numId w:val="1806"/>
              </w:numPr>
              <w:tabs>
                <w:tab w:val="left" w:pos="157"/>
              </w:tabs>
              <w:spacing w:before="8" w:line="166" w:lineRule="exact"/>
              <w:ind w:hanging="99"/>
              <w:rPr>
                <w:sz w:val="14"/>
              </w:rPr>
            </w:pPr>
            <w:r>
              <w:rPr>
                <w:color w:val="231F20"/>
                <w:sz w:val="14"/>
              </w:rPr>
              <w:t>Експоненцијалне</w:t>
            </w:r>
            <w:r>
              <w:rPr>
                <w:color w:val="231F20"/>
                <w:spacing w:val="-2"/>
                <w:sz w:val="14"/>
              </w:rPr>
              <w:t xml:space="preserve"> </w:t>
            </w:r>
            <w:r>
              <w:rPr>
                <w:color w:val="231F20"/>
                <w:sz w:val="14"/>
              </w:rPr>
              <w:t>једначине.</w:t>
            </w:r>
          </w:p>
          <w:p w:rsidR="00041039" w:rsidRDefault="001B26CB">
            <w:pPr>
              <w:pStyle w:val="TableParagraph"/>
              <w:numPr>
                <w:ilvl w:val="0"/>
                <w:numId w:val="1806"/>
              </w:numPr>
              <w:tabs>
                <w:tab w:val="left" w:pos="157"/>
              </w:tabs>
              <w:spacing w:line="160" w:lineRule="exact"/>
              <w:ind w:hanging="99"/>
              <w:rPr>
                <w:sz w:val="14"/>
              </w:rPr>
            </w:pPr>
            <w:r>
              <w:rPr>
                <w:color w:val="231F20"/>
                <w:sz w:val="14"/>
              </w:rPr>
              <w:t>Експоненцијалне</w:t>
            </w:r>
            <w:r>
              <w:rPr>
                <w:color w:val="231F20"/>
                <w:spacing w:val="-2"/>
                <w:sz w:val="14"/>
              </w:rPr>
              <w:t xml:space="preserve"> </w:t>
            </w:r>
            <w:r>
              <w:rPr>
                <w:color w:val="231F20"/>
                <w:sz w:val="14"/>
              </w:rPr>
              <w:t>неједначине.</w:t>
            </w:r>
          </w:p>
          <w:p w:rsidR="00041039" w:rsidRDefault="001B26CB">
            <w:pPr>
              <w:pStyle w:val="TableParagraph"/>
              <w:numPr>
                <w:ilvl w:val="0"/>
                <w:numId w:val="1806"/>
              </w:numPr>
              <w:tabs>
                <w:tab w:val="left" w:pos="157"/>
              </w:tabs>
              <w:spacing w:line="160" w:lineRule="exact"/>
              <w:ind w:hanging="99"/>
              <w:rPr>
                <w:sz w:val="14"/>
              </w:rPr>
            </w:pPr>
            <w:r>
              <w:rPr>
                <w:color w:val="231F20"/>
                <w:sz w:val="14"/>
              </w:rPr>
              <w:t>Логаритамске</w:t>
            </w:r>
            <w:r>
              <w:rPr>
                <w:color w:val="231F20"/>
                <w:spacing w:val="-1"/>
                <w:sz w:val="14"/>
              </w:rPr>
              <w:t xml:space="preserve"> </w:t>
            </w:r>
            <w:r>
              <w:rPr>
                <w:color w:val="231F20"/>
                <w:sz w:val="14"/>
              </w:rPr>
              <w:t>једначине.</w:t>
            </w:r>
          </w:p>
          <w:p w:rsidR="00041039" w:rsidRDefault="001B26CB">
            <w:pPr>
              <w:pStyle w:val="TableParagraph"/>
              <w:numPr>
                <w:ilvl w:val="0"/>
                <w:numId w:val="1806"/>
              </w:numPr>
              <w:tabs>
                <w:tab w:val="left" w:pos="157"/>
              </w:tabs>
              <w:spacing w:line="166" w:lineRule="exact"/>
              <w:ind w:hanging="99"/>
              <w:rPr>
                <w:sz w:val="14"/>
              </w:rPr>
            </w:pPr>
            <w:r>
              <w:rPr>
                <w:color w:val="231F20"/>
                <w:sz w:val="14"/>
              </w:rPr>
              <w:t>Логаритамске</w:t>
            </w:r>
            <w:r>
              <w:rPr>
                <w:color w:val="231F20"/>
                <w:spacing w:val="-1"/>
                <w:sz w:val="14"/>
              </w:rPr>
              <w:t xml:space="preserve"> </w:t>
            </w:r>
            <w:r>
              <w:rPr>
                <w:color w:val="231F20"/>
                <w:sz w:val="14"/>
              </w:rPr>
              <w:t>неједначине.</w:t>
            </w:r>
          </w:p>
        </w:tc>
        <w:tc>
          <w:tcPr>
            <w:tcW w:w="2267" w:type="dxa"/>
            <w:vMerge w:val="restart"/>
          </w:tcPr>
          <w:p w:rsidR="00041039" w:rsidRDefault="001B26CB">
            <w:pPr>
              <w:pStyle w:val="TableParagraph"/>
              <w:numPr>
                <w:ilvl w:val="0"/>
                <w:numId w:val="1805"/>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805"/>
              </w:numPr>
              <w:tabs>
                <w:tab w:val="left" w:pos="158"/>
              </w:tabs>
              <w:spacing w:line="160" w:lineRule="exact"/>
              <w:ind w:hanging="99"/>
              <w:rPr>
                <w:b/>
                <w:sz w:val="14"/>
              </w:rPr>
            </w:pPr>
            <w:r>
              <w:rPr>
                <w:color w:val="231F20"/>
                <w:sz w:val="14"/>
              </w:rPr>
              <w:t xml:space="preserve">теоријска настава </w:t>
            </w:r>
            <w:r>
              <w:rPr>
                <w:b/>
                <w:color w:val="231F20"/>
                <w:sz w:val="14"/>
              </w:rPr>
              <w:t>(64</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w:t>
            </w:r>
            <w:r>
              <w:rPr>
                <w:color w:val="231F20"/>
                <w:sz w:val="14"/>
              </w:rPr>
              <w:t>и на групе.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805"/>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805"/>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805"/>
              </w:numPr>
              <w:tabs>
                <w:tab w:val="left" w:pos="158"/>
              </w:tabs>
              <w:spacing w:line="160" w:lineRule="exact"/>
              <w:ind w:right="197" w:hanging="99"/>
              <w:rPr>
                <w:sz w:val="14"/>
              </w:rPr>
            </w:pPr>
            <w:r>
              <w:rPr>
                <w:color w:val="231F20"/>
                <w:sz w:val="14"/>
              </w:rPr>
              <w:t>образложити циљ предмета,</w:t>
            </w:r>
            <w:r>
              <w:rPr>
                <w:color w:val="231F20"/>
                <w:spacing w:val="-12"/>
                <w:sz w:val="14"/>
              </w:rPr>
              <w:t xml:space="preserve"> </w:t>
            </w:r>
            <w:r>
              <w:rPr>
                <w:color w:val="231F20"/>
                <w:sz w:val="14"/>
              </w:rPr>
              <w:t>на­ чин и критеријум</w:t>
            </w:r>
            <w:r>
              <w:rPr>
                <w:color w:val="231F20"/>
                <w:spacing w:val="-3"/>
                <w:sz w:val="14"/>
              </w:rPr>
              <w:t xml:space="preserve"> </w:t>
            </w:r>
            <w:r>
              <w:rPr>
                <w:color w:val="231F20"/>
                <w:sz w:val="14"/>
              </w:rPr>
              <w:t>оцењивања;</w:t>
            </w:r>
          </w:p>
          <w:p w:rsidR="00041039" w:rsidRDefault="001B26CB">
            <w:pPr>
              <w:pStyle w:val="TableParagraph"/>
              <w:numPr>
                <w:ilvl w:val="0"/>
                <w:numId w:val="1805"/>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805"/>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1805"/>
              </w:numPr>
              <w:tabs>
                <w:tab w:val="left" w:pos="158"/>
              </w:tabs>
              <w:spacing w:line="160" w:lineRule="exact"/>
              <w:ind w:right="145" w:hanging="99"/>
              <w:rPr>
                <w:sz w:val="14"/>
              </w:rPr>
            </w:pPr>
            <w:r>
              <w:rPr>
                <w:color w:val="231F20"/>
                <w:sz w:val="14"/>
              </w:rPr>
              <w:t>примењивати разноврсне</w:t>
            </w:r>
            <w:r>
              <w:rPr>
                <w:color w:val="231F20"/>
                <w:spacing w:val="-20"/>
                <w:sz w:val="14"/>
              </w:rPr>
              <w:t xml:space="preserve"> </w:t>
            </w:r>
            <w:r>
              <w:rPr>
                <w:color w:val="231F20"/>
                <w:sz w:val="14"/>
              </w:rPr>
              <w:t xml:space="preserve">облике и методе рада, </w:t>
            </w:r>
            <w:r>
              <w:rPr>
                <w:color w:val="231F20"/>
                <w:spacing w:val="-3"/>
                <w:sz w:val="14"/>
              </w:rPr>
              <w:t xml:space="preserve">како </w:t>
            </w:r>
            <w:r>
              <w:rPr>
                <w:color w:val="231F20"/>
                <w:sz w:val="14"/>
              </w:rPr>
              <w:t>би се под­ стакла активност</w:t>
            </w:r>
            <w:r>
              <w:rPr>
                <w:color w:val="231F20"/>
                <w:spacing w:val="-1"/>
                <w:sz w:val="14"/>
              </w:rPr>
              <w:t xml:space="preserve"> </w:t>
            </w:r>
            <w:r>
              <w:rPr>
                <w:color w:val="231F20"/>
                <w:sz w:val="14"/>
              </w:rPr>
              <w:t>ученика;</w:t>
            </w:r>
          </w:p>
          <w:p w:rsidR="00041039" w:rsidRDefault="001B26CB">
            <w:pPr>
              <w:pStyle w:val="TableParagraph"/>
              <w:numPr>
                <w:ilvl w:val="0"/>
                <w:numId w:val="1805"/>
              </w:numPr>
              <w:tabs>
                <w:tab w:val="left" w:pos="158"/>
              </w:tabs>
              <w:spacing w:before="1"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805"/>
              </w:numPr>
              <w:tabs>
                <w:tab w:val="left" w:pos="158"/>
              </w:tabs>
              <w:spacing w:line="160" w:lineRule="exact"/>
              <w:ind w:right="309" w:hanging="99"/>
              <w:rPr>
                <w:sz w:val="14"/>
              </w:rPr>
            </w:pPr>
            <w:r>
              <w:rPr>
                <w:color w:val="231F20"/>
                <w:sz w:val="14"/>
              </w:rPr>
              <w:t>упућивати ученике на претраживање различитих извора и примену савремених технологија;</w:t>
            </w:r>
          </w:p>
          <w:p w:rsidR="00041039" w:rsidRDefault="001B26CB">
            <w:pPr>
              <w:pStyle w:val="TableParagraph"/>
              <w:numPr>
                <w:ilvl w:val="0"/>
                <w:numId w:val="1804"/>
              </w:numPr>
              <w:tabs>
                <w:tab w:val="left" w:pos="143"/>
              </w:tabs>
              <w:spacing w:line="237" w:lineRule="auto"/>
              <w:ind w:right="131"/>
              <w:rPr>
                <w:sz w:val="14"/>
              </w:rPr>
            </w:pPr>
            <w:r>
              <w:rPr>
                <w:b/>
                <w:color w:val="231F20"/>
                <w:sz w:val="14"/>
              </w:rPr>
              <w:t xml:space="preserve">Експоненцијалне и логаритам- ске једначине и неједначине: </w:t>
            </w:r>
            <w:r>
              <w:rPr>
                <w:color w:val="231F20"/>
                <w:sz w:val="14"/>
              </w:rPr>
              <w:t>наглашавати неопходност постављања услова за дефиниса­ ност. Неједначине обрадити на једноставнијим</w:t>
            </w:r>
            <w:r>
              <w:rPr>
                <w:color w:val="231F20"/>
                <w:spacing w:val="-1"/>
                <w:sz w:val="14"/>
              </w:rPr>
              <w:t xml:space="preserve"> </w:t>
            </w:r>
            <w:r>
              <w:rPr>
                <w:color w:val="231F20"/>
                <w:sz w:val="14"/>
              </w:rPr>
              <w:t>пример</w:t>
            </w:r>
            <w:r>
              <w:rPr>
                <w:color w:val="231F20"/>
                <w:sz w:val="14"/>
              </w:rPr>
              <w:t>има.</w:t>
            </w:r>
          </w:p>
          <w:p w:rsidR="00041039" w:rsidRDefault="001B26CB">
            <w:pPr>
              <w:pStyle w:val="TableParagraph"/>
              <w:numPr>
                <w:ilvl w:val="0"/>
                <w:numId w:val="1804"/>
              </w:numPr>
              <w:tabs>
                <w:tab w:val="left" w:pos="143"/>
              </w:tabs>
              <w:spacing w:before="1"/>
              <w:ind w:right="122"/>
              <w:rPr>
                <w:sz w:val="14"/>
              </w:rPr>
            </w:pPr>
            <w:r>
              <w:rPr>
                <w:b/>
                <w:color w:val="231F20"/>
                <w:sz w:val="14"/>
              </w:rPr>
              <w:t xml:space="preserve">Комбинаторика: </w:t>
            </w:r>
            <w:r>
              <w:rPr>
                <w:color w:val="231F20"/>
                <w:sz w:val="14"/>
              </w:rPr>
              <w:t>при решавању задатака пребројавања разма­ трати варијације, пермутације и комбинације са и без</w:t>
            </w:r>
            <w:r>
              <w:rPr>
                <w:color w:val="231F20"/>
                <w:spacing w:val="-21"/>
                <w:sz w:val="14"/>
              </w:rPr>
              <w:t xml:space="preserve"> </w:t>
            </w:r>
            <w:r>
              <w:rPr>
                <w:color w:val="231F20"/>
                <w:sz w:val="14"/>
              </w:rPr>
              <w:t>понављања. Користити што више</w:t>
            </w:r>
            <w:r>
              <w:rPr>
                <w:color w:val="231F20"/>
                <w:spacing w:val="-19"/>
                <w:sz w:val="14"/>
              </w:rPr>
              <w:t xml:space="preserve"> </w:t>
            </w:r>
            <w:r>
              <w:rPr>
                <w:color w:val="231F20"/>
                <w:sz w:val="14"/>
              </w:rPr>
              <w:t>конкретних примера из</w:t>
            </w:r>
            <w:r>
              <w:rPr>
                <w:color w:val="231F20"/>
                <w:spacing w:val="-3"/>
                <w:sz w:val="14"/>
              </w:rPr>
              <w:t xml:space="preserve"> </w:t>
            </w:r>
            <w:r>
              <w:rPr>
                <w:color w:val="231F20"/>
                <w:sz w:val="14"/>
              </w:rPr>
              <w:t>живота.</w:t>
            </w:r>
          </w:p>
          <w:p w:rsidR="00041039" w:rsidRDefault="001B26CB">
            <w:pPr>
              <w:pStyle w:val="TableParagraph"/>
              <w:numPr>
                <w:ilvl w:val="0"/>
                <w:numId w:val="1804"/>
              </w:numPr>
              <w:tabs>
                <w:tab w:val="left" w:pos="143"/>
              </w:tabs>
              <w:spacing w:line="237" w:lineRule="auto"/>
              <w:ind w:right="105"/>
              <w:rPr>
                <w:sz w:val="14"/>
              </w:rPr>
            </w:pPr>
            <w:r>
              <w:rPr>
                <w:b/>
                <w:color w:val="231F20"/>
                <w:sz w:val="14"/>
              </w:rPr>
              <w:t>Вероватноћа и статистика:</w:t>
            </w:r>
            <w:r>
              <w:rPr>
                <w:color w:val="231F20"/>
                <w:sz w:val="14"/>
              </w:rPr>
              <w:t>при обради новог градива користити што више конкретних примера</w:t>
            </w:r>
            <w:r>
              <w:rPr>
                <w:color w:val="231F20"/>
                <w:spacing w:val="-22"/>
                <w:sz w:val="14"/>
              </w:rPr>
              <w:t xml:space="preserve"> </w:t>
            </w:r>
            <w:r>
              <w:rPr>
                <w:color w:val="231F20"/>
                <w:sz w:val="14"/>
              </w:rPr>
              <w:t>из живота.</w:t>
            </w:r>
          </w:p>
          <w:p w:rsidR="00041039" w:rsidRDefault="001B26CB">
            <w:pPr>
              <w:pStyle w:val="TableParagraph"/>
              <w:numPr>
                <w:ilvl w:val="0"/>
                <w:numId w:val="1804"/>
              </w:numPr>
              <w:tabs>
                <w:tab w:val="left" w:pos="143"/>
              </w:tabs>
              <w:ind w:right="189"/>
              <w:rPr>
                <w:sz w:val="14"/>
              </w:rPr>
            </w:pPr>
            <w:r>
              <w:rPr>
                <w:b/>
                <w:color w:val="231F20"/>
                <w:sz w:val="14"/>
              </w:rPr>
              <w:t xml:space="preserve">Диференцијалне једначине: </w:t>
            </w:r>
            <w:r>
              <w:rPr>
                <w:color w:val="231F20"/>
                <w:sz w:val="14"/>
              </w:rPr>
              <w:t>изабрати једноставније</w:t>
            </w:r>
            <w:r>
              <w:rPr>
                <w:color w:val="231F20"/>
                <w:spacing w:val="-13"/>
                <w:sz w:val="14"/>
              </w:rPr>
              <w:t xml:space="preserve"> </w:t>
            </w:r>
            <w:r>
              <w:rPr>
                <w:color w:val="231F20"/>
                <w:sz w:val="14"/>
              </w:rPr>
              <w:t>примере диференцијалних</w:t>
            </w:r>
            <w:r>
              <w:rPr>
                <w:color w:val="231F20"/>
                <w:spacing w:val="-3"/>
                <w:sz w:val="14"/>
              </w:rPr>
              <w:t xml:space="preserve"> </w:t>
            </w:r>
            <w:r>
              <w:rPr>
                <w:color w:val="231F20"/>
                <w:sz w:val="14"/>
              </w:rPr>
              <w:t>једначина.</w:t>
            </w:r>
          </w:p>
          <w:p w:rsidR="00041039" w:rsidRDefault="001B26CB">
            <w:pPr>
              <w:pStyle w:val="TableParagraph"/>
              <w:spacing w:line="237" w:lineRule="auto"/>
              <w:ind w:left="142"/>
              <w:rPr>
                <w:sz w:val="14"/>
              </w:rPr>
            </w:pPr>
            <w:r>
              <w:rPr>
                <w:color w:val="231F20"/>
                <w:sz w:val="14"/>
              </w:rPr>
              <w:t xml:space="preserve">У делу теме који се односи на диференцијалне једначине другог реда обрадити само једначине облика </w:t>
            </w:r>
            <w:r>
              <w:rPr>
                <w:color w:val="231F20"/>
                <w:sz w:val="14"/>
              </w:rPr>
              <w:t>y’’= f(x).</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803"/>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803"/>
              </w:numPr>
              <w:tabs>
                <w:tab w:val="left" w:pos="158"/>
              </w:tabs>
              <w:spacing w:line="160" w:lineRule="exact"/>
              <w:ind w:hanging="99"/>
              <w:rPr>
                <w:sz w:val="14"/>
              </w:rPr>
            </w:pPr>
            <w:r>
              <w:rPr>
                <w:color w:val="231F20"/>
                <w:sz w:val="14"/>
              </w:rPr>
              <w:t>активност ученика на</w:t>
            </w:r>
            <w:r>
              <w:rPr>
                <w:color w:val="231F20"/>
                <w:spacing w:val="-2"/>
                <w:sz w:val="14"/>
              </w:rPr>
              <w:t xml:space="preserve"> </w:t>
            </w:r>
            <w:r>
              <w:rPr>
                <w:color w:val="231F20"/>
                <w:sz w:val="14"/>
              </w:rPr>
              <w:t>часу</w:t>
            </w:r>
          </w:p>
          <w:p w:rsidR="00041039" w:rsidRDefault="001B26CB">
            <w:pPr>
              <w:pStyle w:val="TableParagraph"/>
              <w:numPr>
                <w:ilvl w:val="0"/>
                <w:numId w:val="1803"/>
              </w:numPr>
              <w:tabs>
                <w:tab w:val="left" w:pos="158"/>
              </w:tabs>
              <w:spacing w:line="160" w:lineRule="exact"/>
              <w:ind w:hanging="99"/>
              <w:rPr>
                <w:sz w:val="14"/>
              </w:rPr>
            </w:pPr>
            <w:r>
              <w:rPr>
                <w:color w:val="231F20"/>
                <w:sz w:val="14"/>
              </w:rPr>
              <w:t>усмену проверу</w:t>
            </w:r>
            <w:r>
              <w:rPr>
                <w:color w:val="231F20"/>
                <w:spacing w:val="-1"/>
                <w:sz w:val="14"/>
              </w:rPr>
              <w:t xml:space="preserve"> </w:t>
            </w:r>
            <w:r>
              <w:rPr>
                <w:color w:val="231F20"/>
                <w:sz w:val="14"/>
              </w:rPr>
              <w:t>знања</w:t>
            </w:r>
          </w:p>
          <w:p w:rsidR="00041039" w:rsidRDefault="001B26CB">
            <w:pPr>
              <w:pStyle w:val="TableParagraph"/>
              <w:numPr>
                <w:ilvl w:val="0"/>
                <w:numId w:val="1803"/>
              </w:numPr>
              <w:tabs>
                <w:tab w:val="left" w:pos="158"/>
              </w:tabs>
              <w:spacing w:line="160" w:lineRule="exact"/>
              <w:ind w:hanging="99"/>
              <w:rPr>
                <w:sz w:val="14"/>
              </w:rPr>
            </w:pPr>
            <w:r>
              <w:rPr>
                <w:color w:val="231F20"/>
                <w:sz w:val="14"/>
              </w:rPr>
              <w:t>писмену провера</w:t>
            </w:r>
            <w:r>
              <w:rPr>
                <w:color w:val="231F20"/>
                <w:spacing w:val="-3"/>
                <w:sz w:val="14"/>
              </w:rPr>
              <w:t xml:space="preserve"> </w:t>
            </w:r>
            <w:r>
              <w:rPr>
                <w:color w:val="231F20"/>
                <w:sz w:val="14"/>
              </w:rPr>
              <w:t>знања</w:t>
            </w:r>
          </w:p>
          <w:p w:rsidR="00041039" w:rsidRDefault="001B26CB">
            <w:pPr>
              <w:pStyle w:val="TableParagraph"/>
              <w:numPr>
                <w:ilvl w:val="0"/>
                <w:numId w:val="1803"/>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803"/>
              </w:numPr>
              <w:tabs>
                <w:tab w:val="left" w:pos="158"/>
              </w:tabs>
              <w:spacing w:line="237" w:lineRule="auto"/>
              <w:ind w:right="209" w:hanging="99"/>
              <w:rPr>
                <w:b/>
                <w:sz w:val="14"/>
              </w:rPr>
            </w:pPr>
            <w:r>
              <w:rPr>
                <w:color w:val="231F20"/>
                <w:sz w:val="14"/>
              </w:rPr>
              <w:t>Експоненцијалне и логаритам­ ске једначине и неједначине</w:t>
            </w:r>
            <w:r>
              <w:rPr>
                <w:color w:val="231F20"/>
                <w:spacing w:val="-22"/>
                <w:sz w:val="14"/>
              </w:rPr>
              <w:t xml:space="preserve"> </w:t>
            </w:r>
            <w:r>
              <w:rPr>
                <w:b/>
                <w:color w:val="231F20"/>
                <w:spacing w:val="-3"/>
                <w:sz w:val="14"/>
              </w:rPr>
              <w:t xml:space="preserve">(11 </w:t>
            </w:r>
            <w:r>
              <w:rPr>
                <w:b/>
                <w:color w:val="231F20"/>
                <w:sz w:val="14"/>
              </w:rPr>
              <w:t>часова)</w:t>
            </w:r>
          </w:p>
          <w:p w:rsidR="00041039" w:rsidRDefault="001B26CB">
            <w:pPr>
              <w:pStyle w:val="TableParagraph"/>
              <w:numPr>
                <w:ilvl w:val="0"/>
                <w:numId w:val="1803"/>
              </w:numPr>
              <w:tabs>
                <w:tab w:val="left" w:pos="158"/>
              </w:tabs>
              <w:spacing w:line="161" w:lineRule="exact"/>
              <w:ind w:hanging="99"/>
              <w:rPr>
                <w:b/>
                <w:sz w:val="14"/>
              </w:rPr>
            </w:pPr>
            <w:r>
              <w:rPr>
                <w:color w:val="231F20"/>
                <w:sz w:val="14"/>
              </w:rPr>
              <w:t xml:space="preserve">Комбинаторика </w:t>
            </w:r>
            <w:r>
              <w:rPr>
                <w:b/>
                <w:color w:val="231F20"/>
                <w:sz w:val="14"/>
              </w:rPr>
              <w:t>(13</w:t>
            </w:r>
            <w:r>
              <w:rPr>
                <w:b/>
                <w:color w:val="231F20"/>
                <w:spacing w:val="-5"/>
                <w:sz w:val="14"/>
              </w:rPr>
              <w:t xml:space="preserve"> </w:t>
            </w:r>
            <w:r>
              <w:rPr>
                <w:b/>
                <w:color w:val="231F20"/>
                <w:sz w:val="14"/>
              </w:rPr>
              <w:t>часова)</w:t>
            </w:r>
          </w:p>
        </w:tc>
      </w:tr>
      <w:tr w:rsidR="00041039">
        <w:trPr>
          <w:trHeight w:val="2120"/>
        </w:trPr>
        <w:tc>
          <w:tcPr>
            <w:tcW w:w="1304" w:type="dxa"/>
          </w:tcPr>
          <w:p w:rsidR="00041039" w:rsidRDefault="001B26CB">
            <w:pPr>
              <w:pStyle w:val="TableParagraph"/>
              <w:spacing w:before="20"/>
              <w:ind w:left="56"/>
              <w:rPr>
                <w:sz w:val="14"/>
              </w:rPr>
            </w:pPr>
            <w:r>
              <w:rPr>
                <w:color w:val="231F20"/>
                <w:sz w:val="14"/>
              </w:rPr>
              <w:t>Комбинаторика</w:t>
            </w:r>
          </w:p>
        </w:tc>
        <w:tc>
          <w:tcPr>
            <w:tcW w:w="1587" w:type="dxa"/>
          </w:tcPr>
          <w:p w:rsidR="00041039" w:rsidRDefault="001B26CB">
            <w:pPr>
              <w:pStyle w:val="TableParagraph"/>
              <w:numPr>
                <w:ilvl w:val="0"/>
                <w:numId w:val="1802"/>
              </w:numPr>
              <w:tabs>
                <w:tab w:val="left" w:pos="157"/>
              </w:tabs>
              <w:spacing w:before="10"/>
              <w:ind w:right="190"/>
              <w:rPr>
                <w:sz w:val="14"/>
              </w:rPr>
            </w:pPr>
            <w:r>
              <w:rPr>
                <w:color w:val="231F20"/>
                <w:sz w:val="14"/>
              </w:rPr>
              <w:t>Стицање основних знања из</w:t>
            </w:r>
            <w:r>
              <w:rPr>
                <w:color w:val="231F20"/>
                <w:spacing w:val="-21"/>
                <w:sz w:val="14"/>
              </w:rPr>
              <w:t xml:space="preserve"> </w:t>
            </w:r>
            <w:r>
              <w:rPr>
                <w:color w:val="231F20"/>
                <w:sz w:val="14"/>
              </w:rPr>
              <w:t>комбинато­ рике.</w:t>
            </w:r>
          </w:p>
        </w:tc>
        <w:tc>
          <w:tcPr>
            <w:tcW w:w="2551" w:type="dxa"/>
          </w:tcPr>
          <w:p w:rsidR="00041039" w:rsidRDefault="001B26CB">
            <w:pPr>
              <w:pStyle w:val="TableParagraph"/>
              <w:numPr>
                <w:ilvl w:val="0"/>
                <w:numId w:val="1801"/>
              </w:numPr>
              <w:tabs>
                <w:tab w:val="left" w:pos="157"/>
              </w:tabs>
              <w:spacing w:before="10"/>
              <w:ind w:right="338" w:hanging="99"/>
              <w:rPr>
                <w:sz w:val="14"/>
              </w:rPr>
            </w:pPr>
            <w:r>
              <w:rPr>
                <w:color w:val="231F20"/>
                <w:sz w:val="14"/>
              </w:rPr>
              <w:t>примени правило збира и правило производа;</w:t>
            </w:r>
          </w:p>
          <w:p w:rsidR="00041039" w:rsidRDefault="001B26CB">
            <w:pPr>
              <w:pStyle w:val="TableParagraph"/>
              <w:numPr>
                <w:ilvl w:val="0"/>
                <w:numId w:val="1801"/>
              </w:numPr>
              <w:tabs>
                <w:tab w:val="left" w:pos="157"/>
              </w:tabs>
              <w:spacing w:line="153" w:lineRule="exact"/>
              <w:ind w:hanging="99"/>
              <w:rPr>
                <w:sz w:val="14"/>
              </w:rPr>
            </w:pPr>
            <w:r>
              <w:rPr>
                <w:color w:val="231F20"/>
                <w:sz w:val="14"/>
              </w:rPr>
              <w:t>одреди број пермутација датог</w:t>
            </w:r>
            <w:r>
              <w:rPr>
                <w:color w:val="231F20"/>
                <w:spacing w:val="-9"/>
                <w:sz w:val="14"/>
              </w:rPr>
              <w:t xml:space="preserve"> </w:t>
            </w:r>
            <w:r>
              <w:rPr>
                <w:color w:val="231F20"/>
                <w:sz w:val="14"/>
              </w:rPr>
              <w:t>скупа;</w:t>
            </w:r>
          </w:p>
          <w:p w:rsidR="00041039" w:rsidRDefault="001B26CB">
            <w:pPr>
              <w:pStyle w:val="TableParagraph"/>
              <w:numPr>
                <w:ilvl w:val="0"/>
                <w:numId w:val="1801"/>
              </w:numPr>
              <w:tabs>
                <w:tab w:val="left" w:pos="157"/>
              </w:tabs>
              <w:spacing w:line="160" w:lineRule="exact"/>
              <w:ind w:hanging="99"/>
              <w:rPr>
                <w:sz w:val="14"/>
              </w:rPr>
            </w:pPr>
            <w:r>
              <w:rPr>
                <w:color w:val="231F20"/>
                <w:sz w:val="14"/>
              </w:rPr>
              <w:t>одреди број варијација датог</w:t>
            </w:r>
            <w:r>
              <w:rPr>
                <w:color w:val="231F20"/>
                <w:spacing w:val="-6"/>
                <w:sz w:val="14"/>
              </w:rPr>
              <w:t xml:space="preserve"> </w:t>
            </w:r>
            <w:r>
              <w:rPr>
                <w:color w:val="231F20"/>
                <w:sz w:val="14"/>
              </w:rPr>
              <w:t>скупа;</w:t>
            </w:r>
          </w:p>
          <w:p w:rsidR="00041039" w:rsidRDefault="001B26CB">
            <w:pPr>
              <w:pStyle w:val="TableParagraph"/>
              <w:numPr>
                <w:ilvl w:val="0"/>
                <w:numId w:val="1801"/>
              </w:numPr>
              <w:tabs>
                <w:tab w:val="left" w:pos="157"/>
              </w:tabs>
              <w:spacing w:line="160" w:lineRule="exact"/>
              <w:ind w:hanging="99"/>
              <w:rPr>
                <w:sz w:val="14"/>
              </w:rPr>
            </w:pPr>
            <w:r>
              <w:rPr>
                <w:color w:val="231F20"/>
                <w:sz w:val="14"/>
              </w:rPr>
              <w:t>одреди број комбинација датог</w:t>
            </w:r>
            <w:r>
              <w:rPr>
                <w:color w:val="231F20"/>
                <w:spacing w:val="-13"/>
                <w:sz w:val="14"/>
              </w:rPr>
              <w:t xml:space="preserve"> </w:t>
            </w:r>
            <w:r>
              <w:rPr>
                <w:color w:val="231F20"/>
                <w:sz w:val="14"/>
              </w:rPr>
              <w:t>скупа;</w:t>
            </w:r>
          </w:p>
          <w:p w:rsidR="00041039" w:rsidRDefault="001B26CB">
            <w:pPr>
              <w:pStyle w:val="TableParagraph"/>
              <w:numPr>
                <w:ilvl w:val="0"/>
                <w:numId w:val="1801"/>
              </w:numPr>
              <w:tabs>
                <w:tab w:val="left" w:pos="157"/>
              </w:tabs>
              <w:spacing w:line="237" w:lineRule="auto"/>
              <w:ind w:right="168" w:hanging="99"/>
              <w:rPr>
                <w:sz w:val="14"/>
              </w:rPr>
            </w:pPr>
            <w:r>
              <w:rPr>
                <w:color w:val="231F20"/>
                <w:sz w:val="14"/>
              </w:rPr>
              <w:t xml:space="preserve">напише пермутације (варијације, комбинације) датог скупа </w:t>
            </w:r>
            <w:r>
              <w:rPr>
                <w:color w:val="231F20"/>
                <w:spacing w:val="-3"/>
                <w:sz w:val="14"/>
              </w:rPr>
              <w:t>од</w:t>
            </w:r>
            <w:r>
              <w:rPr>
                <w:color w:val="231F20"/>
                <w:spacing w:val="-23"/>
                <w:sz w:val="14"/>
              </w:rPr>
              <w:t xml:space="preserve"> </w:t>
            </w:r>
            <w:r>
              <w:rPr>
                <w:color w:val="231F20"/>
                <w:sz w:val="14"/>
              </w:rPr>
              <w:t>највише четири члана;</w:t>
            </w:r>
          </w:p>
          <w:p w:rsidR="00041039" w:rsidRDefault="001B26CB">
            <w:pPr>
              <w:pStyle w:val="TableParagraph"/>
              <w:numPr>
                <w:ilvl w:val="0"/>
                <w:numId w:val="1801"/>
              </w:numPr>
              <w:tabs>
                <w:tab w:val="left" w:pos="157"/>
              </w:tabs>
              <w:spacing w:line="237" w:lineRule="auto"/>
              <w:ind w:right="229" w:hanging="99"/>
              <w:rPr>
                <w:sz w:val="14"/>
              </w:rPr>
            </w:pPr>
            <w:r>
              <w:rPr>
                <w:color w:val="231F20"/>
                <w:sz w:val="14"/>
              </w:rPr>
              <w:t>одреди k­ти биномни коефицијент</w:t>
            </w:r>
            <w:r>
              <w:rPr>
                <w:color w:val="231F20"/>
                <w:spacing w:val="-17"/>
                <w:sz w:val="14"/>
              </w:rPr>
              <w:t xml:space="preserve"> </w:t>
            </w:r>
            <w:r>
              <w:rPr>
                <w:color w:val="231F20"/>
                <w:sz w:val="14"/>
              </w:rPr>
              <w:t>у развоју бинома на n­ти</w:t>
            </w:r>
            <w:r>
              <w:rPr>
                <w:color w:val="231F20"/>
                <w:spacing w:val="-4"/>
                <w:sz w:val="14"/>
              </w:rPr>
              <w:t xml:space="preserve"> </w:t>
            </w:r>
            <w:r>
              <w:rPr>
                <w:color w:val="231F20"/>
                <w:sz w:val="14"/>
              </w:rPr>
              <w:t>степен;</w:t>
            </w:r>
          </w:p>
          <w:p w:rsidR="00041039" w:rsidRDefault="001B26CB">
            <w:pPr>
              <w:pStyle w:val="TableParagraph"/>
              <w:numPr>
                <w:ilvl w:val="0"/>
                <w:numId w:val="1801"/>
              </w:numPr>
              <w:tabs>
                <w:tab w:val="left" w:pos="157"/>
              </w:tabs>
              <w:spacing w:line="160" w:lineRule="exact"/>
              <w:ind w:right="52" w:hanging="99"/>
              <w:rPr>
                <w:sz w:val="14"/>
              </w:rPr>
            </w:pPr>
            <w:r>
              <w:rPr>
                <w:color w:val="231F20"/>
                <w:sz w:val="14"/>
              </w:rPr>
              <w:t>одреди непознати члан у развоју бинома на n­ти степен који</w:t>
            </w:r>
            <w:r>
              <w:rPr>
                <w:color w:val="231F20"/>
                <w:spacing w:val="-22"/>
                <w:sz w:val="14"/>
              </w:rPr>
              <w:t xml:space="preserve"> </w:t>
            </w:r>
            <w:r>
              <w:rPr>
                <w:color w:val="231F20"/>
                <w:sz w:val="14"/>
              </w:rPr>
              <w:t>задовољава дате</w:t>
            </w:r>
            <w:r>
              <w:rPr>
                <w:color w:val="231F20"/>
                <w:spacing w:val="-1"/>
                <w:sz w:val="14"/>
              </w:rPr>
              <w:t xml:space="preserve"> </w:t>
            </w:r>
            <w:r>
              <w:rPr>
                <w:color w:val="231F20"/>
                <w:sz w:val="14"/>
              </w:rPr>
              <w:t>услове;</w:t>
            </w:r>
          </w:p>
        </w:tc>
        <w:tc>
          <w:tcPr>
            <w:tcW w:w="2834" w:type="dxa"/>
          </w:tcPr>
          <w:p w:rsidR="00041039" w:rsidRDefault="001B26CB">
            <w:pPr>
              <w:pStyle w:val="TableParagraph"/>
              <w:numPr>
                <w:ilvl w:val="0"/>
                <w:numId w:val="1800"/>
              </w:numPr>
              <w:tabs>
                <w:tab w:val="left" w:pos="157"/>
              </w:tabs>
              <w:spacing w:before="10"/>
              <w:ind w:right="155" w:hanging="99"/>
              <w:rPr>
                <w:sz w:val="14"/>
              </w:rPr>
            </w:pPr>
            <w:r>
              <w:rPr>
                <w:color w:val="231F20"/>
                <w:sz w:val="14"/>
              </w:rPr>
              <w:t>Комбинаторика.</w:t>
            </w:r>
            <w:r>
              <w:rPr>
                <w:color w:val="231F20"/>
                <w:spacing w:val="-8"/>
                <w:sz w:val="14"/>
              </w:rPr>
              <w:t xml:space="preserve"> </w:t>
            </w:r>
            <w:r>
              <w:rPr>
                <w:color w:val="231F20"/>
                <w:sz w:val="14"/>
              </w:rPr>
              <w:t>Правило</w:t>
            </w:r>
            <w:r>
              <w:rPr>
                <w:color w:val="231F20"/>
                <w:spacing w:val="-9"/>
                <w:sz w:val="14"/>
              </w:rPr>
              <w:t xml:space="preserve"> </w:t>
            </w:r>
            <w:r>
              <w:rPr>
                <w:color w:val="231F20"/>
                <w:sz w:val="14"/>
              </w:rPr>
              <w:t>збира</w:t>
            </w:r>
            <w:r>
              <w:rPr>
                <w:color w:val="231F20"/>
                <w:spacing w:val="-9"/>
                <w:sz w:val="14"/>
              </w:rPr>
              <w:t xml:space="preserve"> </w:t>
            </w:r>
            <w:r>
              <w:rPr>
                <w:color w:val="231F20"/>
                <w:sz w:val="14"/>
              </w:rPr>
              <w:t>и</w:t>
            </w:r>
            <w:r>
              <w:rPr>
                <w:color w:val="231F20"/>
                <w:spacing w:val="-9"/>
                <w:sz w:val="14"/>
              </w:rPr>
              <w:t xml:space="preserve"> </w:t>
            </w:r>
            <w:r>
              <w:rPr>
                <w:color w:val="231F20"/>
                <w:sz w:val="14"/>
              </w:rPr>
              <w:t>правило производа.</w:t>
            </w:r>
          </w:p>
          <w:p w:rsidR="00041039" w:rsidRDefault="001B26CB">
            <w:pPr>
              <w:pStyle w:val="TableParagraph"/>
              <w:numPr>
                <w:ilvl w:val="0"/>
                <w:numId w:val="1800"/>
              </w:numPr>
              <w:tabs>
                <w:tab w:val="left" w:pos="157"/>
              </w:tabs>
              <w:spacing w:line="153" w:lineRule="exact"/>
              <w:ind w:hanging="99"/>
              <w:rPr>
                <w:sz w:val="14"/>
              </w:rPr>
            </w:pPr>
            <w:r>
              <w:rPr>
                <w:color w:val="231F20"/>
                <w:sz w:val="14"/>
              </w:rPr>
              <w:t>Пермутације.</w:t>
            </w:r>
          </w:p>
          <w:p w:rsidR="00041039" w:rsidRDefault="001B26CB">
            <w:pPr>
              <w:pStyle w:val="TableParagraph"/>
              <w:numPr>
                <w:ilvl w:val="0"/>
                <w:numId w:val="1800"/>
              </w:numPr>
              <w:tabs>
                <w:tab w:val="left" w:pos="157"/>
              </w:tabs>
              <w:spacing w:line="160" w:lineRule="exact"/>
              <w:ind w:hanging="99"/>
              <w:rPr>
                <w:sz w:val="14"/>
              </w:rPr>
            </w:pPr>
            <w:r>
              <w:rPr>
                <w:color w:val="231F20"/>
                <w:sz w:val="14"/>
              </w:rPr>
              <w:t>Варијације.</w:t>
            </w:r>
          </w:p>
          <w:p w:rsidR="00041039" w:rsidRDefault="001B26CB">
            <w:pPr>
              <w:pStyle w:val="TableParagraph"/>
              <w:numPr>
                <w:ilvl w:val="0"/>
                <w:numId w:val="1800"/>
              </w:numPr>
              <w:tabs>
                <w:tab w:val="left" w:pos="157"/>
              </w:tabs>
              <w:spacing w:line="160" w:lineRule="exact"/>
              <w:ind w:hanging="99"/>
              <w:rPr>
                <w:sz w:val="14"/>
              </w:rPr>
            </w:pPr>
            <w:r>
              <w:rPr>
                <w:color w:val="231F20"/>
                <w:sz w:val="14"/>
              </w:rPr>
              <w:t>Комбинације.</w:t>
            </w:r>
          </w:p>
          <w:p w:rsidR="00041039" w:rsidRDefault="001B26CB">
            <w:pPr>
              <w:pStyle w:val="TableParagraph"/>
              <w:numPr>
                <w:ilvl w:val="0"/>
                <w:numId w:val="1800"/>
              </w:numPr>
              <w:tabs>
                <w:tab w:val="left" w:pos="157"/>
              </w:tabs>
              <w:spacing w:line="166" w:lineRule="exact"/>
              <w:ind w:hanging="99"/>
              <w:rPr>
                <w:sz w:val="14"/>
              </w:rPr>
            </w:pPr>
            <w:r>
              <w:rPr>
                <w:color w:val="231F20"/>
                <w:sz w:val="14"/>
              </w:rPr>
              <w:t>Биномни</w:t>
            </w:r>
            <w:r>
              <w:rPr>
                <w:color w:val="231F20"/>
                <w:spacing w:val="-1"/>
                <w:sz w:val="14"/>
              </w:rPr>
              <w:t xml:space="preserve"> </w:t>
            </w:r>
            <w:r>
              <w:rPr>
                <w:color w:val="231F20"/>
                <w:sz w:val="14"/>
              </w:rPr>
              <w:t>образац.</w:t>
            </w:r>
          </w:p>
        </w:tc>
        <w:tc>
          <w:tcPr>
            <w:tcW w:w="2267" w:type="dxa"/>
            <w:vMerge/>
            <w:tcBorders>
              <w:top w:val="nil"/>
            </w:tcBorders>
          </w:tcPr>
          <w:p w:rsidR="00041039" w:rsidRDefault="00041039">
            <w:pPr>
              <w:rPr>
                <w:sz w:val="2"/>
                <w:szCs w:val="2"/>
              </w:rPr>
            </w:pPr>
          </w:p>
        </w:tc>
      </w:tr>
      <w:tr w:rsidR="00041039">
        <w:trPr>
          <w:trHeight w:val="4040"/>
        </w:trPr>
        <w:tc>
          <w:tcPr>
            <w:tcW w:w="1304" w:type="dxa"/>
          </w:tcPr>
          <w:p w:rsidR="00041039" w:rsidRDefault="001B26CB">
            <w:pPr>
              <w:pStyle w:val="TableParagraph"/>
              <w:spacing w:before="20"/>
              <w:ind w:left="56" w:right="37"/>
              <w:rPr>
                <w:sz w:val="14"/>
              </w:rPr>
            </w:pPr>
            <w:r>
              <w:rPr>
                <w:color w:val="231F20"/>
                <w:sz w:val="14"/>
              </w:rPr>
              <w:t>Вероватноћа и статистика</w:t>
            </w:r>
          </w:p>
        </w:tc>
        <w:tc>
          <w:tcPr>
            <w:tcW w:w="1587" w:type="dxa"/>
          </w:tcPr>
          <w:p w:rsidR="00041039" w:rsidRDefault="001B26CB">
            <w:pPr>
              <w:pStyle w:val="TableParagraph"/>
              <w:numPr>
                <w:ilvl w:val="0"/>
                <w:numId w:val="1799"/>
              </w:numPr>
              <w:tabs>
                <w:tab w:val="left" w:pos="157"/>
              </w:tabs>
              <w:spacing w:before="10"/>
              <w:ind w:right="134"/>
              <w:rPr>
                <w:sz w:val="14"/>
              </w:rPr>
            </w:pPr>
            <w:r>
              <w:rPr>
                <w:color w:val="231F20"/>
                <w:sz w:val="14"/>
              </w:rPr>
              <w:t>Стицање основних знања из</w:t>
            </w:r>
            <w:r>
              <w:rPr>
                <w:color w:val="231F20"/>
                <w:spacing w:val="-16"/>
                <w:sz w:val="14"/>
              </w:rPr>
              <w:t xml:space="preserve"> </w:t>
            </w:r>
            <w:r>
              <w:rPr>
                <w:color w:val="231F20"/>
                <w:sz w:val="14"/>
              </w:rPr>
              <w:t>вероватноће и</w:t>
            </w:r>
            <w:r>
              <w:rPr>
                <w:color w:val="231F20"/>
                <w:spacing w:val="-2"/>
                <w:sz w:val="14"/>
              </w:rPr>
              <w:t xml:space="preserve"> </w:t>
            </w:r>
            <w:r>
              <w:rPr>
                <w:color w:val="231F20"/>
                <w:sz w:val="14"/>
              </w:rPr>
              <w:t>статистике.</w:t>
            </w:r>
          </w:p>
        </w:tc>
        <w:tc>
          <w:tcPr>
            <w:tcW w:w="2551" w:type="dxa"/>
          </w:tcPr>
          <w:p w:rsidR="00041039" w:rsidRDefault="001B26CB">
            <w:pPr>
              <w:pStyle w:val="TableParagraph"/>
              <w:numPr>
                <w:ilvl w:val="0"/>
                <w:numId w:val="1798"/>
              </w:numPr>
              <w:tabs>
                <w:tab w:val="left" w:pos="157"/>
              </w:tabs>
              <w:spacing w:before="10" w:line="166" w:lineRule="exact"/>
              <w:ind w:hanging="99"/>
              <w:rPr>
                <w:sz w:val="14"/>
              </w:rPr>
            </w:pPr>
            <w:r>
              <w:rPr>
                <w:color w:val="231F20"/>
                <w:sz w:val="14"/>
              </w:rPr>
              <w:t>уочи случајне</w:t>
            </w:r>
            <w:r>
              <w:rPr>
                <w:color w:val="231F20"/>
                <w:spacing w:val="-1"/>
                <w:sz w:val="14"/>
              </w:rPr>
              <w:t xml:space="preserve"> </w:t>
            </w:r>
            <w:r>
              <w:rPr>
                <w:color w:val="231F20"/>
                <w:sz w:val="14"/>
              </w:rPr>
              <w:t>догађаје;</w:t>
            </w:r>
          </w:p>
          <w:p w:rsidR="00041039" w:rsidRDefault="001B26CB">
            <w:pPr>
              <w:pStyle w:val="TableParagraph"/>
              <w:numPr>
                <w:ilvl w:val="0"/>
                <w:numId w:val="1798"/>
              </w:numPr>
              <w:tabs>
                <w:tab w:val="left" w:pos="157"/>
              </w:tabs>
              <w:spacing w:line="237" w:lineRule="auto"/>
              <w:ind w:right="351" w:hanging="99"/>
              <w:rPr>
                <w:sz w:val="14"/>
              </w:rPr>
            </w:pPr>
            <w:r>
              <w:rPr>
                <w:color w:val="231F20"/>
                <w:sz w:val="14"/>
              </w:rPr>
              <w:t>препозна који су догађаји</w:t>
            </w:r>
            <w:r>
              <w:rPr>
                <w:color w:val="231F20"/>
                <w:spacing w:val="-16"/>
                <w:sz w:val="14"/>
              </w:rPr>
              <w:t xml:space="preserve"> </w:t>
            </w:r>
            <w:r>
              <w:rPr>
                <w:color w:val="231F20"/>
                <w:sz w:val="14"/>
              </w:rPr>
              <w:t>могући, повољни, сигурни,</w:t>
            </w:r>
            <w:r>
              <w:rPr>
                <w:color w:val="231F20"/>
                <w:spacing w:val="-3"/>
                <w:sz w:val="14"/>
              </w:rPr>
              <w:t xml:space="preserve"> </w:t>
            </w:r>
            <w:r>
              <w:rPr>
                <w:color w:val="231F20"/>
                <w:sz w:val="14"/>
              </w:rPr>
              <w:t>немогући;</w:t>
            </w:r>
          </w:p>
          <w:p w:rsidR="00041039" w:rsidRDefault="001B26CB">
            <w:pPr>
              <w:pStyle w:val="TableParagraph"/>
              <w:numPr>
                <w:ilvl w:val="0"/>
                <w:numId w:val="1798"/>
              </w:numPr>
              <w:tabs>
                <w:tab w:val="left" w:pos="157"/>
              </w:tabs>
              <w:spacing w:line="160" w:lineRule="exact"/>
              <w:ind w:right="193" w:hanging="99"/>
              <w:rPr>
                <w:sz w:val="14"/>
              </w:rPr>
            </w:pPr>
            <w:r>
              <w:rPr>
                <w:color w:val="231F20"/>
                <w:sz w:val="14"/>
              </w:rPr>
              <w:t>израчуна вероватноћу догађаја (статистичка и класична</w:t>
            </w:r>
            <w:r>
              <w:rPr>
                <w:color w:val="231F20"/>
                <w:spacing w:val="-6"/>
                <w:sz w:val="14"/>
              </w:rPr>
              <w:t xml:space="preserve"> </w:t>
            </w:r>
            <w:r>
              <w:rPr>
                <w:color w:val="231F20"/>
                <w:sz w:val="14"/>
              </w:rPr>
              <w:t>дефиниција вероватноће);</w:t>
            </w:r>
          </w:p>
          <w:p w:rsidR="00041039" w:rsidRDefault="001B26CB">
            <w:pPr>
              <w:pStyle w:val="TableParagraph"/>
              <w:numPr>
                <w:ilvl w:val="0"/>
                <w:numId w:val="1798"/>
              </w:numPr>
              <w:tabs>
                <w:tab w:val="left" w:pos="157"/>
              </w:tabs>
              <w:spacing w:line="160" w:lineRule="exact"/>
              <w:ind w:right="152" w:hanging="99"/>
              <w:rPr>
                <w:sz w:val="14"/>
              </w:rPr>
            </w:pPr>
            <w:r>
              <w:rPr>
                <w:color w:val="231F20"/>
                <w:sz w:val="14"/>
              </w:rPr>
              <w:t>одреди условну вероватноћу</w:t>
            </w:r>
            <w:r>
              <w:rPr>
                <w:color w:val="231F20"/>
                <w:spacing w:val="-17"/>
                <w:sz w:val="14"/>
              </w:rPr>
              <w:t xml:space="preserve"> </w:t>
            </w:r>
            <w:r>
              <w:rPr>
                <w:color w:val="231F20"/>
                <w:sz w:val="14"/>
              </w:rPr>
              <w:t>догађаја А у односу на догађај</w:t>
            </w:r>
            <w:r>
              <w:rPr>
                <w:color w:val="231F20"/>
                <w:spacing w:val="-3"/>
                <w:sz w:val="14"/>
              </w:rPr>
              <w:t xml:space="preserve"> </w:t>
            </w:r>
            <w:r>
              <w:rPr>
                <w:color w:val="231F20"/>
                <w:sz w:val="14"/>
              </w:rPr>
              <w:t>В;</w:t>
            </w:r>
          </w:p>
          <w:p w:rsidR="00041039" w:rsidRDefault="001B26CB">
            <w:pPr>
              <w:pStyle w:val="TableParagraph"/>
              <w:numPr>
                <w:ilvl w:val="0"/>
                <w:numId w:val="1798"/>
              </w:numPr>
              <w:tabs>
                <w:tab w:val="left" w:pos="157"/>
              </w:tabs>
              <w:spacing w:line="160" w:lineRule="exact"/>
              <w:ind w:right="210" w:hanging="99"/>
              <w:rPr>
                <w:sz w:val="14"/>
              </w:rPr>
            </w:pPr>
            <w:r>
              <w:rPr>
                <w:color w:val="231F20"/>
                <w:sz w:val="14"/>
              </w:rPr>
              <w:t>објасни и примени формулу</w:t>
            </w:r>
            <w:r>
              <w:rPr>
                <w:color w:val="231F20"/>
                <w:spacing w:val="-22"/>
                <w:sz w:val="14"/>
              </w:rPr>
              <w:t xml:space="preserve"> </w:t>
            </w:r>
            <w:r>
              <w:rPr>
                <w:color w:val="231F20"/>
                <w:sz w:val="14"/>
              </w:rPr>
              <w:t>тоталне вероватноће;</w:t>
            </w:r>
          </w:p>
          <w:p w:rsidR="00041039" w:rsidRDefault="001B26CB">
            <w:pPr>
              <w:pStyle w:val="TableParagraph"/>
              <w:numPr>
                <w:ilvl w:val="0"/>
                <w:numId w:val="1798"/>
              </w:numPr>
              <w:tabs>
                <w:tab w:val="left" w:pos="157"/>
              </w:tabs>
              <w:spacing w:line="153" w:lineRule="exact"/>
              <w:ind w:hanging="99"/>
              <w:rPr>
                <w:sz w:val="14"/>
              </w:rPr>
            </w:pPr>
            <w:r>
              <w:rPr>
                <w:color w:val="231F20"/>
                <w:sz w:val="14"/>
              </w:rPr>
              <w:t>објасни и примени Бајесову</w:t>
            </w:r>
            <w:r>
              <w:rPr>
                <w:color w:val="231F20"/>
                <w:spacing w:val="-14"/>
                <w:sz w:val="14"/>
              </w:rPr>
              <w:t xml:space="preserve"> </w:t>
            </w:r>
            <w:r>
              <w:rPr>
                <w:color w:val="231F20"/>
                <w:sz w:val="14"/>
              </w:rPr>
              <w:t>формулу;</w:t>
            </w:r>
          </w:p>
          <w:p w:rsidR="00041039" w:rsidRDefault="001B26CB">
            <w:pPr>
              <w:pStyle w:val="TableParagraph"/>
              <w:numPr>
                <w:ilvl w:val="0"/>
                <w:numId w:val="1798"/>
              </w:numPr>
              <w:tabs>
                <w:tab w:val="left" w:pos="157"/>
              </w:tabs>
              <w:spacing w:line="160" w:lineRule="exact"/>
              <w:ind w:hanging="99"/>
              <w:rPr>
                <w:sz w:val="14"/>
              </w:rPr>
            </w:pPr>
            <w:r>
              <w:rPr>
                <w:color w:val="231F20"/>
                <w:sz w:val="14"/>
              </w:rPr>
              <w:t>наведе пример случајне</w:t>
            </w:r>
            <w:r>
              <w:rPr>
                <w:color w:val="231F20"/>
                <w:spacing w:val="-8"/>
                <w:sz w:val="14"/>
              </w:rPr>
              <w:t xml:space="preserve"> </w:t>
            </w:r>
            <w:r>
              <w:rPr>
                <w:color w:val="231F20"/>
                <w:sz w:val="14"/>
              </w:rPr>
              <w:t>променљиве;</w:t>
            </w:r>
          </w:p>
          <w:p w:rsidR="00041039" w:rsidRDefault="001B26CB">
            <w:pPr>
              <w:pStyle w:val="TableParagraph"/>
              <w:numPr>
                <w:ilvl w:val="0"/>
                <w:numId w:val="1798"/>
              </w:numPr>
              <w:tabs>
                <w:tab w:val="left" w:pos="157"/>
              </w:tabs>
              <w:spacing w:line="160" w:lineRule="exact"/>
              <w:ind w:hanging="99"/>
              <w:rPr>
                <w:sz w:val="14"/>
              </w:rPr>
            </w:pPr>
            <w:r>
              <w:rPr>
                <w:color w:val="231F20"/>
                <w:sz w:val="14"/>
              </w:rPr>
              <w:t>примени биномну</w:t>
            </w:r>
            <w:r>
              <w:rPr>
                <w:color w:val="231F20"/>
                <w:spacing w:val="-3"/>
                <w:sz w:val="14"/>
              </w:rPr>
              <w:t xml:space="preserve"> </w:t>
            </w:r>
            <w:r>
              <w:rPr>
                <w:color w:val="231F20"/>
                <w:sz w:val="14"/>
              </w:rPr>
              <w:t>расподелу;</w:t>
            </w:r>
          </w:p>
          <w:p w:rsidR="00041039" w:rsidRDefault="001B26CB">
            <w:pPr>
              <w:pStyle w:val="TableParagraph"/>
              <w:numPr>
                <w:ilvl w:val="0"/>
                <w:numId w:val="1798"/>
              </w:numPr>
              <w:tabs>
                <w:tab w:val="left" w:pos="157"/>
              </w:tabs>
              <w:spacing w:line="160" w:lineRule="exact"/>
              <w:ind w:hanging="99"/>
              <w:rPr>
                <w:sz w:val="14"/>
              </w:rPr>
            </w:pPr>
            <w:r>
              <w:rPr>
                <w:color w:val="231F20"/>
                <w:sz w:val="14"/>
              </w:rPr>
              <w:t>примени нормалну</w:t>
            </w:r>
            <w:r>
              <w:rPr>
                <w:color w:val="231F20"/>
                <w:spacing w:val="-4"/>
                <w:sz w:val="14"/>
              </w:rPr>
              <w:t xml:space="preserve"> </w:t>
            </w:r>
            <w:r>
              <w:rPr>
                <w:color w:val="231F20"/>
                <w:sz w:val="14"/>
              </w:rPr>
              <w:t>расподелу;</w:t>
            </w:r>
          </w:p>
          <w:p w:rsidR="00041039" w:rsidRDefault="001B26CB">
            <w:pPr>
              <w:pStyle w:val="TableParagraph"/>
              <w:numPr>
                <w:ilvl w:val="0"/>
                <w:numId w:val="1798"/>
              </w:numPr>
              <w:tabs>
                <w:tab w:val="left" w:pos="157"/>
              </w:tabs>
              <w:spacing w:line="237" w:lineRule="auto"/>
              <w:ind w:right="92" w:hanging="99"/>
              <w:rPr>
                <w:sz w:val="14"/>
              </w:rPr>
            </w:pPr>
            <w:r>
              <w:rPr>
                <w:color w:val="231F20"/>
                <w:sz w:val="14"/>
              </w:rPr>
              <w:t>израчуна нумеричке карактеристике случајних променљивих</w:t>
            </w:r>
            <w:r>
              <w:rPr>
                <w:color w:val="231F20"/>
                <w:spacing w:val="-21"/>
                <w:sz w:val="14"/>
              </w:rPr>
              <w:t xml:space="preserve"> </w:t>
            </w:r>
            <w:r>
              <w:rPr>
                <w:color w:val="231F20"/>
                <w:sz w:val="14"/>
              </w:rPr>
              <w:t>(математичко очекивање, дисперзију, медијану и мод);</w:t>
            </w:r>
          </w:p>
          <w:p w:rsidR="00041039" w:rsidRDefault="001B26CB">
            <w:pPr>
              <w:pStyle w:val="TableParagraph"/>
              <w:numPr>
                <w:ilvl w:val="0"/>
                <w:numId w:val="1798"/>
              </w:numPr>
              <w:tabs>
                <w:tab w:val="left" w:pos="157"/>
              </w:tabs>
              <w:spacing w:line="157" w:lineRule="exact"/>
              <w:ind w:hanging="99"/>
              <w:rPr>
                <w:sz w:val="14"/>
              </w:rPr>
            </w:pPr>
            <w:r>
              <w:rPr>
                <w:color w:val="231F20"/>
                <w:sz w:val="14"/>
              </w:rPr>
              <w:t>препозна основне појмове</w:t>
            </w:r>
            <w:r>
              <w:rPr>
                <w:color w:val="231F20"/>
                <w:spacing w:val="-10"/>
                <w:sz w:val="14"/>
              </w:rPr>
              <w:t xml:space="preserve"> </w:t>
            </w:r>
            <w:r>
              <w:rPr>
                <w:color w:val="231F20"/>
                <w:sz w:val="14"/>
              </w:rPr>
              <w:t>статистике;</w:t>
            </w:r>
          </w:p>
          <w:p w:rsidR="00041039" w:rsidRDefault="001B26CB">
            <w:pPr>
              <w:pStyle w:val="TableParagraph"/>
              <w:numPr>
                <w:ilvl w:val="0"/>
                <w:numId w:val="1798"/>
              </w:numPr>
              <w:tabs>
                <w:tab w:val="left" w:pos="157"/>
              </w:tabs>
              <w:spacing w:line="237" w:lineRule="auto"/>
              <w:ind w:right="43" w:hanging="99"/>
              <w:rPr>
                <w:sz w:val="14"/>
              </w:rPr>
            </w:pPr>
            <w:r>
              <w:rPr>
                <w:color w:val="231F20"/>
                <w:sz w:val="14"/>
              </w:rPr>
              <w:t>формира статистичке табеле и на</w:t>
            </w:r>
            <w:r>
              <w:rPr>
                <w:color w:val="231F20"/>
                <w:spacing w:val="-14"/>
                <w:sz w:val="14"/>
              </w:rPr>
              <w:t xml:space="preserve"> </w:t>
            </w:r>
            <w:r>
              <w:rPr>
                <w:color w:val="231F20"/>
                <w:sz w:val="14"/>
              </w:rPr>
              <w:t xml:space="preserve">осно­ </w:t>
            </w:r>
            <w:r>
              <w:rPr>
                <w:color w:val="231F20"/>
                <w:spacing w:val="-3"/>
                <w:sz w:val="14"/>
              </w:rPr>
              <w:t xml:space="preserve">ву </w:t>
            </w:r>
            <w:r>
              <w:rPr>
                <w:color w:val="231F20"/>
                <w:sz w:val="14"/>
              </w:rPr>
              <w:t>њих графички приказује</w:t>
            </w:r>
            <w:r>
              <w:rPr>
                <w:color w:val="231F20"/>
                <w:spacing w:val="-12"/>
                <w:sz w:val="14"/>
              </w:rPr>
              <w:t xml:space="preserve"> </w:t>
            </w:r>
            <w:r>
              <w:rPr>
                <w:color w:val="231F20"/>
                <w:sz w:val="14"/>
              </w:rPr>
              <w:t>податке;</w:t>
            </w:r>
          </w:p>
          <w:p w:rsidR="00041039" w:rsidRDefault="001B26CB">
            <w:pPr>
              <w:pStyle w:val="TableParagraph"/>
              <w:numPr>
                <w:ilvl w:val="0"/>
                <w:numId w:val="1798"/>
              </w:numPr>
              <w:tabs>
                <w:tab w:val="left" w:pos="157"/>
              </w:tabs>
              <w:spacing w:line="160" w:lineRule="exact"/>
              <w:ind w:right="47" w:hanging="99"/>
              <w:rPr>
                <w:sz w:val="14"/>
              </w:rPr>
            </w:pPr>
            <w:r>
              <w:rPr>
                <w:color w:val="231F20"/>
                <w:sz w:val="14"/>
              </w:rPr>
              <w:t>израчуна одређене карактеристике случајног узорка (аритметичку среди­ ну узорка, медијану узо</w:t>
            </w:r>
            <w:r>
              <w:rPr>
                <w:color w:val="231F20"/>
                <w:sz w:val="14"/>
              </w:rPr>
              <w:t>рка, мод</w:t>
            </w:r>
            <w:r>
              <w:rPr>
                <w:color w:val="231F20"/>
                <w:spacing w:val="-20"/>
                <w:sz w:val="14"/>
              </w:rPr>
              <w:t xml:space="preserve"> </w:t>
            </w:r>
            <w:r>
              <w:rPr>
                <w:color w:val="231F20"/>
                <w:sz w:val="14"/>
              </w:rPr>
              <w:t>узорка и дисперзију</w:t>
            </w:r>
            <w:r>
              <w:rPr>
                <w:color w:val="231F20"/>
                <w:spacing w:val="-3"/>
                <w:sz w:val="14"/>
              </w:rPr>
              <w:t xml:space="preserve"> </w:t>
            </w:r>
            <w:r>
              <w:rPr>
                <w:color w:val="231F20"/>
                <w:sz w:val="14"/>
              </w:rPr>
              <w:t>узорка);</w:t>
            </w:r>
          </w:p>
        </w:tc>
        <w:tc>
          <w:tcPr>
            <w:tcW w:w="2834" w:type="dxa"/>
          </w:tcPr>
          <w:p w:rsidR="00041039" w:rsidRDefault="001B26CB">
            <w:pPr>
              <w:pStyle w:val="TableParagraph"/>
              <w:numPr>
                <w:ilvl w:val="0"/>
                <w:numId w:val="1797"/>
              </w:numPr>
              <w:tabs>
                <w:tab w:val="left" w:pos="158"/>
              </w:tabs>
              <w:spacing w:before="10"/>
              <w:ind w:right="125"/>
              <w:rPr>
                <w:sz w:val="14"/>
              </w:rPr>
            </w:pPr>
            <w:r>
              <w:rPr>
                <w:color w:val="231F20"/>
                <w:sz w:val="14"/>
              </w:rPr>
              <w:t>Случајни догађаји. Простор елементарних догађаја.</w:t>
            </w:r>
          </w:p>
          <w:p w:rsidR="00041039" w:rsidRDefault="001B26CB">
            <w:pPr>
              <w:pStyle w:val="TableParagraph"/>
              <w:numPr>
                <w:ilvl w:val="0"/>
                <w:numId w:val="1797"/>
              </w:numPr>
              <w:tabs>
                <w:tab w:val="left" w:pos="158"/>
              </w:tabs>
              <w:spacing w:before="1" w:line="160" w:lineRule="exact"/>
              <w:ind w:right="492"/>
              <w:rPr>
                <w:sz w:val="14"/>
              </w:rPr>
            </w:pPr>
            <w:r>
              <w:rPr>
                <w:color w:val="231F20"/>
                <w:sz w:val="14"/>
              </w:rPr>
              <w:t>Статистичка и класична</w:t>
            </w:r>
            <w:r>
              <w:rPr>
                <w:color w:val="231F20"/>
                <w:spacing w:val="-8"/>
                <w:sz w:val="14"/>
              </w:rPr>
              <w:t xml:space="preserve"> </w:t>
            </w:r>
            <w:r>
              <w:rPr>
                <w:color w:val="231F20"/>
                <w:sz w:val="14"/>
              </w:rPr>
              <w:t>дефиниција вероватноће.</w:t>
            </w:r>
          </w:p>
          <w:p w:rsidR="00041039" w:rsidRDefault="001B26CB">
            <w:pPr>
              <w:pStyle w:val="TableParagraph"/>
              <w:numPr>
                <w:ilvl w:val="0"/>
                <w:numId w:val="1797"/>
              </w:numPr>
              <w:tabs>
                <w:tab w:val="left" w:pos="158"/>
              </w:tabs>
              <w:spacing w:line="153" w:lineRule="exact"/>
              <w:rPr>
                <w:sz w:val="14"/>
              </w:rPr>
            </w:pPr>
            <w:r>
              <w:rPr>
                <w:color w:val="231F20"/>
                <w:spacing w:val="-3"/>
                <w:sz w:val="14"/>
              </w:rPr>
              <w:t>Условна</w:t>
            </w:r>
            <w:r>
              <w:rPr>
                <w:color w:val="231F20"/>
                <w:spacing w:val="-1"/>
                <w:sz w:val="14"/>
              </w:rPr>
              <w:t xml:space="preserve"> </w:t>
            </w:r>
            <w:r>
              <w:rPr>
                <w:color w:val="231F20"/>
                <w:sz w:val="14"/>
              </w:rPr>
              <w:t>вероватноћа.</w:t>
            </w:r>
          </w:p>
          <w:p w:rsidR="00041039" w:rsidRDefault="001B26CB">
            <w:pPr>
              <w:pStyle w:val="TableParagraph"/>
              <w:numPr>
                <w:ilvl w:val="0"/>
                <w:numId w:val="1797"/>
              </w:numPr>
              <w:tabs>
                <w:tab w:val="left" w:pos="158"/>
              </w:tabs>
              <w:spacing w:line="237" w:lineRule="auto"/>
              <w:ind w:right="297"/>
              <w:rPr>
                <w:sz w:val="14"/>
              </w:rPr>
            </w:pPr>
            <w:r>
              <w:rPr>
                <w:color w:val="231F20"/>
                <w:sz w:val="14"/>
              </w:rPr>
              <w:t>Формула</w:t>
            </w:r>
            <w:r>
              <w:rPr>
                <w:color w:val="231F20"/>
                <w:spacing w:val="-10"/>
                <w:sz w:val="14"/>
              </w:rPr>
              <w:t xml:space="preserve"> </w:t>
            </w:r>
            <w:r>
              <w:rPr>
                <w:color w:val="231F20"/>
                <w:sz w:val="14"/>
              </w:rPr>
              <w:t>тоталне</w:t>
            </w:r>
            <w:r>
              <w:rPr>
                <w:color w:val="231F20"/>
                <w:spacing w:val="-10"/>
                <w:sz w:val="14"/>
              </w:rPr>
              <w:t xml:space="preserve"> </w:t>
            </w:r>
            <w:r>
              <w:rPr>
                <w:color w:val="231F20"/>
                <w:sz w:val="14"/>
              </w:rPr>
              <w:t>вероватноће,</w:t>
            </w:r>
            <w:r>
              <w:rPr>
                <w:color w:val="231F20"/>
                <w:spacing w:val="-9"/>
                <w:sz w:val="14"/>
              </w:rPr>
              <w:t xml:space="preserve"> </w:t>
            </w:r>
            <w:r>
              <w:rPr>
                <w:color w:val="231F20"/>
                <w:sz w:val="14"/>
              </w:rPr>
              <w:t>Бајесова формула.</w:t>
            </w:r>
          </w:p>
          <w:p w:rsidR="00041039" w:rsidRDefault="001B26CB">
            <w:pPr>
              <w:pStyle w:val="TableParagraph"/>
              <w:numPr>
                <w:ilvl w:val="0"/>
                <w:numId w:val="1797"/>
              </w:numPr>
              <w:tabs>
                <w:tab w:val="left" w:pos="158"/>
              </w:tabs>
              <w:spacing w:line="160" w:lineRule="exact"/>
              <w:ind w:right="99"/>
              <w:rPr>
                <w:sz w:val="14"/>
              </w:rPr>
            </w:pPr>
            <w:r>
              <w:rPr>
                <w:color w:val="231F20"/>
                <w:sz w:val="14"/>
              </w:rPr>
              <w:t>Случајне променљиве. Дискретне</w:t>
            </w:r>
            <w:r>
              <w:rPr>
                <w:color w:val="231F20"/>
                <w:spacing w:val="-14"/>
                <w:sz w:val="14"/>
              </w:rPr>
              <w:t xml:space="preserve"> </w:t>
            </w:r>
            <w:r>
              <w:rPr>
                <w:color w:val="231F20"/>
                <w:sz w:val="14"/>
              </w:rPr>
              <w:t>случајне променљиве и</w:t>
            </w:r>
            <w:r>
              <w:rPr>
                <w:color w:val="231F20"/>
                <w:spacing w:val="-3"/>
                <w:sz w:val="14"/>
              </w:rPr>
              <w:t xml:space="preserve"> </w:t>
            </w:r>
            <w:r>
              <w:rPr>
                <w:color w:val="231F20"/>
                <w:sz w:val="14"/>
              </w:rPr>
              <w:t>биномнарасподела.</w:t>
            </w:r>
          </w:p>
          <w:p w:rsidR="00041039" w:rsidRDefault="001B26CB">
            <w:pPr>
              <w:pStyle w:val="TableParagraph"/>
              <w:numPr>
                <w:ilvl w:val="0"/>
                <w:numId w:val="1797"/>
              </w:numPr>
              <w:tabs>
                <w:tab w:val="left" w:pos="158"/>
              </w:tabs>
              <w:spacing w:line="160" w:lineRule="exact"/>
              <w:ind w:right="214"/>
              <w:rPr>
                <w:sz w:val="14"/>
              </w:rPr>
            </w:pPr>
            <w:r>
              <w:rPr>
                <w:color w:val="231F20"/>
                <w:sz w:val="14"/>
              </w:rPr>
              <w:t>Непрекидне случајне променљиве и</w:t>
            </w:r>
            <w:r>
              <w:rPr>
                <w:color w:val="231F20"/>
                <w:spacing w:val="-19"/>
                <w:sz w:val="14"/>
              </w:rPr>
              <w:t xml:space="preserve"> </w:t>
            </w:r>
            <w:r>
              <w:rPr>
                <w:color w:val="231F20"/>
                <w:sz w:val="14"/>
              </w:rPr>
              <w:t>нор­ мална</w:t>
            </w:r>
            <w:r>
              <w:rPr>
                <w:color w:val="231F20"/>
                <w:spacing w:val="-2"/>
                <w:sz w:val="14"/>
              </w:rPr>
              <w:t xml:space="preserve"> </w:t>
            </w:r>
            <w:r>
              <w:rPr>
                <w:color w:val="231F20"/>
                <w:sz w:val="14"/>
              </w:rPr>
              <w:t>расподела.</w:t>
            </w:r>
          </w:p>
          <w:p w:rsidR="00041039" w:rsidRDefault="001B26CB">
            <w:pPr>
              <w:pStyle w:val="TableParagraph"/>
              <w:numPr>
                <w:ilvl w:val="0"/>
                <w:numId w:val="1797"/>
              </w:numPr>
              <w:tabs>
                <w:tab w:val="left" w:pos="158"/>
              </w:tabs>
              <w:spacing w:line="160" w:lineRule="exact"/>
              <w:ind w:right="302"/>
              <w:rPr>
                <w:sz w:val="14"/>
              </w:rPr>
            </w:pPr>
            <w:r>
              <w:rPr>
                <w:color w:val="231F20"/>
                <w:sz w:val="14"/>
              </w:rPr>
              <w:t>Нумеричке карактеристике случајних променљивих (математичко</w:t>
            </w:r>
            <w:r>
              <w:rPr>
                <w:color w:val="231F20"/>
                <w:spacing w:val="-27"/>
                <w:sz w:val="14"/>
              </w:rPr>
              <w:t xml:space="preserve"> </w:t>
            </w:r>
            <w:r>
              <w:rPr>
                <w:color w:val="231F20"/>
                <w:sz w:val="14"/>
              </w:rPr>
              <w:t>очекивање, дисперзија, медијана,</w:t>
            </w:r>
            <w:r>
              <w:rPr>
                <w:color w:val="231F20"/>
                <w:spacing w:val="-2"/>
                <w:sz w:val="14"/>
              </w:rPr>
              <w:t xml:space="preserve"> </w:t>
            </w:r>
            <w:r>
              <w:rPr>
                <w:color w:val="231F20"/>
                <w:sz w:val="14"/>
              </w:rPr>
              <w:t>мод).</w:t>
            </w:r>
          </w:p>
          <w:p w:rsidR="00041039" w:rsidRDefault="001B26CB">
            <w:pPr>
              <w:pStyle w:val="TableParagraph"/>
              <w:numPr>
                <w:ilvl w:val="0"/>
                <w:numId w:val="1797"/>
              </w:numPr>
              <w:tabs>
                <w:tab w:val="left" w:pos="158"/>
              </w:tabs>
              <w:spacing w:line="153" w:lineRule="exact"/>
              <w:rPr>
                <w:sz w:val="14"/>
              </w:rPr>
            </w:pPr>
            <w:r>
              <w:rPr>
                <w:color w:val="231F20"/>
                <w:sz w:val="14"/>
              </w:rPr>
              <w:t>Статистика. Основни</w:t>
            </w:r>
            <w:r>
              <w:rPr>
                <w:color w:val="231F20"/>
                <w:spacing w:val="-3"/>
                <w:sz w:val="14"/>
              </w:rPr>
              <w:t xml:space="preserve"> </w:t>
            </w:r>
            <w:r>
              <w:rPr>
                <w:color w:val="231F20"/>
                <w:sz w:val="14"/>
              </w:rPr>
              <w:t>појмови.</w:t>
            </w:r>
          </w:p>
          <w:p w:rsidR="00041039" w:rsidRDefault="001B26CB">
            <w:pPr>
              <w:pStyle w:val="TableParagraph"/>
              <w:numPr>
                <w:ilvl w:val="0"/>
                <w:numId w:val="1797"/>
              </w:numPr>
              <w:tabs>
                <w:tab w:val="left" w:pos="158"/>
              </w:tabs>
              <w:spacing w:line="237" w:lineRule="auto"/>
              <w:ind w:right="316"/>
              <w:rPr>
                <w:sz w:val="14"/>
              </w:rPr>
            </w:pPr>
            <w:r>
              <w:rPr>
                <w:color w:val="231F20"/>
                <w:sz w:val="14"/>
              </w:rPr>
              <w:t>Формирање статистичких табела и</w:t>
            </w:r>
            <w:r>
              <w:rPr>
                <w:color w:val="231F20"/>
                <w:spacing w:val="-20"/>
                <w:sz w:val="14"/>
              </w:rPr>
              <w:t xml:space="preserve"> </w:t>
            </w:r>
            <w:r>
              <w:rPr>
                <w:color w:val="231F20"/>
                <w:sz w:val="14"/>
              </w:rPr>
              <w:t>гра­ фичко приказивање</w:t>
            </w:r>
            <w:r>
              <w:rPr>
                <w:color w:val="231F20"/>
                <w:spacing w:val="-3"/>
                <w:sz w:val="14"/>
              </w:rPr>
              <w:t xml:space="preserve"> </w:t>
            </w:r>
            <w:r>
              <w:rPr>
                <w:color w:val="231F20"/>
                <w:sz w:val="14"/>
              </w:rPr>
              <w:t>података.</w:t>
            </w:r>
          </w:p>
          <w:p w:rsidR="00041039" w:rsidRDefault="001B26CB">
            <w:pPr>
              <w:pStyle w:val="TableParagraph"/>
              <w:numPr>
                <w:ilvl w:val="0"/>
                <w:numId w:val="1797"/>
              </w:numPr>
              <w:tabs>
                <w:tab w:val="left" w:pos="158"/>
              </w:tabs>
              <w:spacing w:line="160" w:lineRule="exact"/>
              <w:ind w:right="321"/>
              <w:rPr>
                <w:sz w:val="14"/>
              </w:rPr>
            </w:pPr>
            <w:r>
              <w:rPr>
                <w:color w:val="231F20"/>
                <w:sz w:val="14"/>
              </w:rPr>
              <w:t>Карактеристике емпиријске расподеле (аритметичка средина узорка,</w:t>
            </w:r>
            <w:r>
              <w:rPr>
                <w:color w:val="231F20"/>
                <w:spacing w:val="-11"/>
                <w:sz w:val="14"/>
              </w:rPr>
              <w:t xml:space="preserve"> </w:t>
            </w:r>
            <w:r>
              <w:rPr>
                <w:color w:val="231F20"/>
                <w:sz w:val="14"/>
              </w:rPr>
              <w:t>медијана узорка, мод узорка, дисперзија</w:t>
            </w:r>
            <w:r>
              <w:rPr>
                <w:color w:val="231F20"/>
                <w:spacing w:val="-19"/>
                <w:sz w:val="14"/>
              </w:rPr>
              <w:t xml:space="preserve"> </w:t>
            </w:r>
            <w:r>
              <w:rPr>
                <w:color w:val="231F20"/>
                <w:sz w:val="14"/>
              </w:rPr>
              <w:t>узорка).</w:t>
            </w:r>
          </w:p>
        </w:tc>
        <w:tc>
          <w:tcPr>
            <w:tcW w:w="2267" w:type="dxa"/>
            <w:vMerge/>
            <w:tcBorders>
              <w:top w:val="nil"/>
            </w:tcBorders>
          </w:tcPr>
          <w:p w:rsidR="00041039" w:rsidRDefault="00041039">
            <w:pPr>
              <w:rPr>
                <w:sz w:val="2"/>
                <w:szCs w:val="2"/>
              </w:rPr>
            </w:pPr>
          </w:p>
        </w:tc>
      </w:tr>
      <w:tr w:rsidR="00041039">
        <w:trPr>
          <w:trHeight w:val="4529"/>
        </w:trPr>
        <w:tc>
          <w:tcPr>
            <w:tcW w:w="1304" w:type="dxa"/>
          </w:tcPr>
          <w:p w:rsidR="00041039" w:rsidRDefault="001B26CB">
            <w:pPr>
              <w:pStyle w:val="TableParagraph"/>
              <w:spacing w:before="21"/>
              <w:ind w:left="57" w:right="228"/>
              <w:rPr>
                <w:sz w:val="14"/>
              </w:rPr>
            </w:pPr>
            <w:r>
              <w:rPr>
                <w:color w:val="231F20"/>
                <w:sz w:val="14"/>
              </w:rPr>
              <w:t>Диференцијалне једначине</w:t>
            </w:r>
          </w:p>
        </w:tc>
        <w:tc>
          <w:tcPr>
            <w:tcW w:w="1587" w:type="dxa"/>
          </w:tcPr>
          <w:p w:rsidR="00041039" w:rsidRDefault="001B26CB">
            <w:pPr>
              <w:pStyle w:val="TableParagraph"/>
              <w:numPr>
                <w:ilvl w:val="0"/>
                <w:numId w:val="1796"/>
              </w:numPr>
              <w:tabs>
                <w:tab w:val="left" w:pos="157"/>
              </w:tabs>
              <w:spacing w:before="11"/>
              <w:ind w:right="47" w:hanging="99"/>
              <w:rPr>
                <w:sz w:val="14"/>
              </w:rPr>
            </w:pPr>
            <w:r>
              <w:rPr>
                <w:color w:val="231F20"/>
                <w:sz w:val="14"/>
              </w:rPr>
              <w:t>Стицање основних знања о диференцијал­ ним</w:t>
            </w:r>
            <w:r>
              <w:rPr>
                <w:color w:val="231F20"/>
                <w:spacing w:val="-3"/>
                <w:sz w:val="14"/>
              </w:rPr>
              <w:t xml:space="preserve"> </w:t>
            </w:r>
            <w:r>
              <w:rPr>
                <w:color w:val="231F20"/>
                <w:sz w:val="14"/>
              </w:rPr>
              <w:t>једначинама.</w:t>
            </w:r>
          </w:p>
        </w:tc>
        <w:tc>
          <w:tcPr>
            <w:tcW w:w="2551" w:type="dxa"/>
          </w:tcPr>
          <w:p w:rsidR="00041039" w:rsidRDefault="001B26CB">
            <w:pPr>
              <w:pStyle w:val="TableParagraph"/>
              <w:numPr>
                <w:ilvl w:val="0"/>
                <w:numId w:val="1795"/>
              </w:numPr>
              <w:tabs>
                <w:tab w:val="left" w:pos="157"/>
              </w:tabs>
              <w:spacing w:before="11"/>
              <w:ind w:right="558" w:hanging="99"/>
              <w:rPr>
                <w:sz w:val="14"/>
              </w:rPr>
            </w:pPr>
            <w:r>
              <w:rPr>
                <w:color w:val="231F20"/>
                <w:sz w:val="14"/>
              </w:rPr>
              <w:t>објасни појам диференцијалне једначине;</w:t>
            </w:r>
          </w:p>
          <w:p w:rsidR="00041039" w:rsidRDefault="001B26CB">
            <w:pPr>
              <w:pStyle w:val="TableParagraph"/>
              <w:numPr>
                <w:ilvl w:val="0"/>
                <w:numId w:val="1795"/>
              </w:numPr>
              <w:tabs>
                <w:tab w:val="left" w:pos="157"/>
              </w:tabs>
              <w:spacing w:line="160" w:lineRule="exact"/>
              <w:ind w:right="323" w:hanging="99"/>
              <w:rPr>
                <w:sz w:val="14"/>
              </w:rPr>
            </w:pPr>
            <w:r>
              <w:rPr>
                <w:color w:val="231F20"/>
                <w:sz w:val="14"/>
              </w:rPr>
              <w:t>препозна тип диференцијалне једначине и примени</w:t>
            </w:r>
            <w:r>
              <w:rPr>
                <w:color w:val="231F20"/>
                <w:spacing w:val="-24"/>
                <w:sz w:val="14"/>
              </w:rPr>
              <w:t xml:space="preserve"> </w:t>
            </w:r>
            <w:r>
              <w:rPr>
                <w:color w:val="231F20"/>
                <w:sz w:val="14"/>
              </w:rPr>
              <w:t>одговарајући начин</w:t>
            </w:r>
            <w:r>
              <w:rPr>
                <w:color w:val="231F20"/>
                <w:spacing w:val="-1"/>
                <w:sz w:val="14"/>
              </w:rPr>
              <w:t xml:space="preserve"> </w:t>
            </w:r>
            <w:r>
              <w:rPr>
                <w:color w:val="231F20"/>
                <w:sz w:val="14"/>
              </w:rPr>
              <w:t>решавања;</w:t>
            </w:r>
          </w:p>
          <w:p w:rsidR="00041039" w:rsidRDefault="001B26CB">
            <w:pPr>
              <w:pStyle w:val="TableParagraph"/>
              <w:numPr>
                <w:ilvl w:val="0"/>
                <w:numId w:val="1795"/>
              </w:numPr>
              <w:tabs>
                <w:tab w:val="left" w:pos="157"/>
              </w:tabs>
              <w:spacing w:line="160" w:lineRule="exact"/>
              <w:ind w:right="119" w:hanging="99"/>
              <w:rPr>
                <w:sz w:val="14"/>
              </w:rPr>
            </w:pPr>
            <w:r>
              <w:rPr>
                <w:color w:val="231F20"/>
                <w:sz w:val="14"/>
              </w:rPr>
              <w:t>примени</w:t>
            </w:r>
            <w:r>
              <w:rPr>
                <w:color w:val="231F20"/>
                <w:spacing w:val="-6"/>
                <w:sz w:val="14"/>
              </w:rPr>
              <w:t xml:space="preserve"> </w:t>
            </w:r>
            <w:r>
              <w:rPr>
                <w:color w:val="231F20"/>
                <w:sz w:val="14"/>
              </w:rPr>
              <w:t>знања</w:t>
            </w:r>
            <w:r>
              <w:rPr>
                <w:color w:val="231F20"/>
                <w:spacing w:val="-6"/>
                <w:sz w:val="14"/>
              </w:rPr>
              <w:t xml:space="preserve"> </w:t>
            </w:r>
            <w:r>
              <w:rPr>
                <w:color w:val="231F20"/>
                <w:sz w:val="14"/>
              </w:rPr>
              <w:t>о</w:t>
            </w:r>
            <w:r>
              <w:rPr>
                <w:color w:val="231F20"/>
                <w:spacing w:val="-5"/>
                <w:sz w:val="14"/>
              </w:rPr>
              <w:t xml:space="preserve"> </w:t>
            </w:r>
            <w:r>
              <w:rPr>
                <w:color w:val="231F20"/>
                <w:sz w:val="14"/>
              </w:rPr>
              <w:t>изводима</w:t>
            </w:r>
            <w:r>
              <w:rPr>
                <w:color w:val="231F20"/>
                <w:spacing w:val="-5"/>
                <w:sz w:val="14"/>
              </w:rPr>
              <w:t xml:space="preserve"> </w:t>
            </w:r>
            <w:r>
              <w:rPr>
                <w:color w:val="231F20"/>
                <w:sz w:val="14"/>
              </w:rPr>
              <w:t>и</w:t>
            </w:r>
            <w:r>
              <w:rPr>
                <w:color w:val="231F20"/>
                <w:spacing w:val="-6"/>
                <w:sz w:val="14"/>
              </w:rPr>
              <w:t xml:space="preserve"> </w:t>
            </w:r>
            <w:r>
              <w:rPr>
                <w:color w:val="231F20"/>
                <w:sz w:val="14"/>
              </w:rPr>
              <w:t>интегра­ лима на решавање диференцијалних једначина;</w:t>
            </w:r>
          </w:p>
        </w:tc>
        <w:tc>
          <w:tcPr>
            <w:tcW w:w="2834" w:type="dxa"/>
          </w:tcPr>
          <w:p w:rsidR="00041039" w:rsidRDefault="001B26CB">
            <w:pPr>
              <w:pStyle w:val="TableParagraph"/>
              <w:numPr>
                <w:ilvl w:val="0"/>
                <w:numId w:val="1794"/>
              </w:numPr>
              <w:tabs>
                <w:tab w:val="left" w:pos="158"/>
              </w:tabs>
              <w:spacing w:before="11" w:line="166" w:lineRule="exact"/>
              <w:rPr>
                <w:sz w:val="14"/>
              </w:rPr>
            </w:pPr>
            <w:r>
              <w:rPr>
                <w:color w:val="231F20"/>
                <w:sz w:val="14"/>
              </w:rPr>
              <w:t>Појам диференцијалне</w:t>
            </w:r>
            <w:r>
              <w:rPr>
                <w:color w:val="231F20"/>
                <w:spacing w:val="-4"/>
                <w:sz w:val="14"/>
              </w:rPr>
              <w:t xml:space="preserve"> </w:t>
            </w:r>
            <w:r>
              <w:rPr>
                <w:color w:val="231F20"/>
                <w:sz w:val="14"/>
              </w:rPr>
              <w:t>једначине.</w:t>
            </w:r>
          </w:p>
          <w:p w:rsidR="00041039" w:rsidRDefault="001B26CB">
            <w:pPr>
              <w:pStyle w:val="TableParagraph"/>
              <w:numPr>
                <w:ilvl w:val="0"/>
                <w:numId w:val="1794"/>
              </w:numPr>
              <w:tabs>
                <w:tab w:val="left" w:pos="158"/>
              </w:tabs>
              <w:spacing w:line="237" w:lineRule="auto"/>
              <w:ind w:right="235"/>
              <w:rPr>
                <w:sz w:val="14"/>
              </w:rPr>
            </w:pPr>
            <w:r>
              <w:rPr>
                <w:color w:val="231F20"/>
                <w:sz w:val="14"/>
              </w:rPr>
              <w:t>Диференцијална једначина која</w:t>
            </w:r>
            <w:r>
              <w:rPr>
                <w:color w:val="231F20"/>
                <w:spacing w:val="-24"/>
                <w:sz w:val="14"/>
              </w:rPr>
              <w:t xml:space="preserve"> </w:t>
            </w:r>
            <w:r>
              <w:rPr>
                <w:color w:val="231F20"/>
                <w:sz w:val="14"/>
              </w:rPr>
              <w:t>допушта раздвајање</w:t>
            </w:r>
            <w:r>
              <w:rPr>
                <w:color w:val="231F20"/>
                <w:spacing w:val="-1"/>
                <w:sz w:val="14"/>
              </w:rPr>
              <w:t xml:space="preserve"> </w:t>
            </w:r>
            <w:r>
              <w:rPr>
                <w:color w:val="231F20"/>
                <w:sz w:val="14"/>
              </w:rPr>
              <w:t>променљивих.</w:t>
            </w:r>
          </w:p>
          <w:p w:rsidR="00041039" w:rsidRDefault="001B26CB">
            <w:pPr>
              <w:pStyle w:val="TableParagraph"/>
              <w:numPr>
                <w:ilvl w:val="0"/>
                <w:numId w:val="1794"/>
              </w:numPr>
              <w:tabs>
                <w:tab w:val="left" w:pos="158"/>
              </w:tabs>
              <w:spacing w:line="155" w:lineRule="exact"/>
              <w:rPr>
                <w:sz w:val="14"/>
              </w:rPr>
            </w:pPr>
            <w:r>
              <w:rPr>
                <w:color w:val="231F20"/>
                <w:sz w:val="14"/>
              </w:rPr>
              <w:t>Хомогена диференцијална</w:t>
            </w:r>
            <w:r>
              <w:rPr>
                <w:color w:val="231F20"/>
                <w:spacing w:val="-24"/>
                <w:sz w:val="14"/>
              </w:rPr>
              <w:t xml:space="preserve"> </w:t>
            </w:r>
            <w:r>
              <w:rPr>
                <w:color w:val="231F20"/>
                <w:sz w:val="14"/>
              </w:rPr>
              <w:t>једначина.</w:t>
            </w:r>
          </w:p>
          <w:p w:rsidR="00041039" w:rsidRDefault="001B26CB">
            <w:pPr>
              <w:pStyle w:val="TableParagraph"/>
              <w:numPr>
                <w:ilvl w:val="0"/>
                <w:numId w:val="1794"/>
              </w:numPr>
              <w:tabs>
                <w:tab w:val="left" w:pos="158"/>
              </w:tabs>
              <w:spacing w:line="160" w:lineRule="exact"/>
              <w:rPr>
                <w:sz w:val="14"/>
              </w:rPr>
            </w:pPr>
            <w:r>
              <w:rPr>
                <w:color w:val="231F20"/>
                <w:sz w:val="14"/>
              </w:rPr>
              <w:t>Линеарна диференцијална</w:t>
            </w:r>
            <w:r>
              <w:rPr>
                <w:color w:val="231F20"/>
                <w:spacing w:val="-12"/>
                <w:sz w:val="14"/>
              </w:rPr>
              <w:t xml:space="preserve"> </w:t>
            </w:r>
            <w:r>
              <w:rPr>
                <w:color w:val="231F20"/>
                <w:sz w:val="14"/>
              </w:rPr>
              <w:t>једначина.</w:t>
            </w:r>
          </w:p>
          <w:p w:rsidR="00041039" w:rsidRDefault="001B26CB">
            <w:pPr>
              <w:pStyle w:val="TableParagraph"/>
              <w:numPr>
                <w:ilvl w:val="0"/>
                <w:numId w:val="1794"/>
              </w:numPr>
              <w:tabs>
                <w:tab w:val="left" w:pos="158"/>
              </w:tabs>
              <w:spacing w:line="160" w:lineRule="exact"/>
              <w:rPr>
                <w:sz w:val="14"/>
              </w:rPr>
            </w:pPr>
            <w:r>
              <w:rPr>
                <w:color w:val="231F20"/>
                <w:sz w:val="14"/>
              </w:rPr>
              <w:t>Бернулијева диференцијална</w:t>
            </w:r>
            <w:r>
              <w:rPr>
                <w:color w:val="231F20"/>
                <w:spacing w:val="-27"/>
                <w:sz w:val="14"/>
              </w:rPr>
              <w:t xml:space="preserve"> </w:t>
            </w:r>
            <w:r>
              <w:rPr>
                <w:color w:val="231F20"/>
                <w:sz w:val="14"/>
              </w:rPr>
              <w:t>једначина.</w:t>
            </w:r>
          </w:p>
          <w:p w:rsidR="00041039" w:rsidRDefault="001B26CB">
            <w:pPr>
              <w:pStyle w:val="TableParagraph"/>
              <w:numPr>
                <w:ilvl w:val="0"/>
                <w:numId w:val="1794"/>
              </w:numPr>
              <w:tabs>
                <w:tab w:val="left" w:pos="158"/>
              </w:tabs>
              <w:spacing w:line="166" w:lineRule="exact"/>
              <w:rPr>
                <w:sz w:val="14"/>
              </w:rPr>
            </w:pPr>
            <w:r>
              <w:rPr>
                <w:color w:val="231F20"/>
                <w:sz w:val="14"/>
              </w:rPr>
              <w:t>Диференцијална</w:t>
            </w:r>
            <w:r>
              <w:rPr>
                <w:color w:val="231F20"/>
                <w:spacing w:val="-10"/>
                <w:sz w:val="14"/>
              </w:rPr>
              <w:t xml:space="preserve"> </w:t>
            </w:r>
            <w:r>
              <w:rPr>
                <w:color w:val="231F20"/>
                <w:sz w:val="14"/>
              </w:rPr>
              <w:t>једначина</w:t>
            </w:r>
            <w:r>
              <w:rPr>
                <w:color w:val="231F20"/>
                <w:spacing w:val="-10"/>
                <w:sz w:val="14"/>
              </w:rPr>
              <w:t xml:space="preserve"> </w:t>
            </w:r>
            <w:r>
              <w:rPr>
                <w:color w:val="231F20"/>
                <w:sz w:val="14"/>
              </w:rPr>
              <w:t>другог</w:t>
            </w:r>
            <w:r>
              <w:rPr>
                <w:color w:val="231F20"/>
                <w:spacing w:val="-10"/>
                <w:sz w:val="14"/>
              </w:rPr>
              <w:t xml:space="preserve"> </w:t>
            </w:r>
            <w:r>
              <w:rPr>
                <w:color w:val="231F20"/>
                <w:sz w:val="14"/>
              </w:rPr>
              <w:t>реда.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2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20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1793"/>
              </w:numPr>
              <w:tabs>
                <w:tab w:val="left" w:pos="158"/>
              </w:tabs>
              <w:spacing w:before="8"/>
              <w:ind w:right="328"/>
              <w:rPr>
                <w:b/>
                <w:sz w:val="14"/>
              </w:rPr>
            </w:pPr>
            <w:r>
              <w:rPr>
                <w:color w:val="231F20"/>
                <w:sz w:val="14"/>
              </w:rPr>
              <w:t>Вероватноћа и статистика</w:t>
            </w:r>
            <w:r>
              <w:rPr>
                <w:color w:val="231F20"/>
                <w:spacing w:val="-16"/>
                <w:sz w:val="14"/>
              </w:rPr>
              <w:t xml:space="preserve"> </w:t>
            </w:r>
            <w:r>
              <w:rPr>
                <w:b/>
                <w:color w:val="231F20"/>
                <w:sz w:val="14"/>
              </w:rPr>
              <w:t>(20 часова)</w:t>
            </w:r>
          </w:p>
          <w:p w:rsidR="00041039" w:rsidRDefault="001B26CB">
            <w:pPr>
              <w:pStyle w:val="TableParagraph"/>
              <w:numPr>
                <w:ilvl w:val="0"/>
                <w:numId w:val="1793"/>
              </w:numPr>
              <w:tabs>
                <w:tab w:val="left" w:pos="158"/>
              </w:tabs>
              <w:spacing w:line="160" w:lineRule="exact"/>
              <w:ind w:right="267"/>
              <w:rPr>
                <w:b/>
                <w:sz w:val="14"/>
              </w:rPr>
            </w:pPr>
            <w:r>
              <w:rPr>
                <w:color w:val="231F20"/>
                <w:sz w:val="14"/>
              </w:rPr>
              <w:t>Диференцијалне једначине</w:t>
            </w:r>
            <w:r>
              <w:rPr>
                <w:color w:val="231F20"/>
                <w:spacing w:val="-17"/>
                <w:sz w:val="14"/>
              </w:rPr>
              <w:t xml:space="preserve"> </w:t>
            </w:r>
            <w:r>
              <w:rPr>
                <w:b/>
                <w:color w:val="231F20"/>
                <w:sz w:val="14"/>
              </w:rPr>
              <w:t>(12 часова)</w:t>
            </w:r>
          </w:p>
          <w:p w:rsidR="00041039" w:rsidRDefault="00041039">
            <w:pPr>
              <w:pStyle w:val="TableParagraph"/>
              <w:spacing w:before="2"/>
              <w:ind w:left="0"/>
              <w:rPr>
                <w:b/>
                <w:sz w:val="17"/>
              </w:rPr>
            </w:pPr>
          </w:p>
          <w:p w:rsidR="00041039" w:rsidRDefault="001B26CB">
            <w:pPr>
              <w:pStyle w:val="TableParagraph"/>
              <w:ind w:left="57"/>
              <w:rPr>
                <w:sz w:val="14"/>
              </w:rPr>
            </w:pPr>
            <w:r>
              <w:rPr>
                <w:color w:val="231F20"/>
                <w:sz w:val="14"/>
              </w:rPr>
              <w:t>За реализацију 4 писмена задатка са исправкама планирано је 8 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Математика</w:t>
      </w:r>
    </w:p>
    <w:p w:rsidR="00041039" w:rsidRDefault="001B26CB">
      <w:pPr>
        <w:pStyle w:val="ListParagraph"/>
        <w:numPr>
          <w:ilvl w:val="0"/>
          <w:numId w:val="3"/>
        </w:numPr>
        <w:tabs>
          <w:tab w:val="left" w:pos="633"/>
        </w:tabs>
        <w:rPr>
          <w:sz w:val="18"/>
        </w:rPr>
      </w:pPr>
      <w:r>
        <w:rPr>
          <w:color w:val="231F20"/>
          <w:sz w:val="18"/>
        </w:rPr>
        <w:t>Физика</w:t>
      </w:r>
    </w:p>
    <w:p w:rsidR="00041039" w:rsidRDefault="001B26CB">
      <w:pPr>
        <w:pStyle w:val="ListParagraph"/>
        <w:numPr>
          <w:ilvl w:val="0"/>
          <w:numId w:val="3"/>
        </w:numPr>
        <w:tabs>
          <w:tab w:val="left" w:pos="633"/>
        </w:tabs>
        <w:rPr>
          <w:sz w:val="18"/>
        </w:rPr>
      </w:pPr>
      <w:r>
        <w:rPr>
          <w:color w:val="231F20"/>
          <w:sz w:val="18"/>
        </w:rPr>
        <w:t>Аеродинамика</w:t>
      </w:r>
    </w:p>
    <w:p w:rsidR="00041039" w:rsidRDefault="001B26CB">
      <w:pPr>
        <w:pStyle w:val="ListParagraph"/>
        <w:numPr>
          <w:ilvl w:val="0"/>
          <w:numId w:val="3"/>
        </w:numPr>
        <w:tabs>
          <w:tab w:val="left" w:pos="633"/>
        </w:tabs>
        <w:spacing w:line="203" w:lineRule="exact"/>
        <w:rPr>
          <w:sz w:val="18"/>
        </w:rPr>
      </w:pPr>
      <w:r>
        <w:rPr>
          <w:color w:val="231F20"/>
          <w:sz w:val="18"/>
        </w:rPr>
        <w:t>Механика</w:t>
      </w:r>
      <w:r>
        <w:rPr>
          <w:color w:val="231F20"/>
          <w:spacing w:val="-12"/>
          <w:sz w:val="18"/>
        </w:rPr>
        <w:t xml:space="preserve"> </w:t>
      </w:r>
      <w:r>
        <w:rPr>
          <w:color w:val="231F20"/>
          <w:sz w:val="18"/>
        </w:rPr>
        <w:t>лета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ИСТОРИЈА </w:t>
      </w:r>
      <w:r>
        <w:rPr>
          <w:b/>
          <w:color w:val="231F20"/>
          <w:spacing w:val="-3"/>
          <w:sz w:val="14"/>
        </w:rPr>
        <w:t>(ОДАБРАНЕ</w:t>
      </w:r>
      <w:r>
        <w:rPr>
          <w:b/>
          <w:color w:val="231F20"/>
          <w:spacing w:val="-2"/>
          <w:sz w:val="14"/>
        </w:rPr>
        <w:t xml:space="preserve"> </w:t>
      </w:r>
      <w:r>
        <w:rPr>
          <w:b/>
          <w:color w:val="231F20"/>
          <w:sz w:val="14"/>
        </w:rPr>
        <w:t>ТЕМЕ)</w:t>
      </w:r>
    </w:p>
    <w:p w:rsidR="00041039" w:rsidRDefault="001B26CB">
      <w:pPr>
        <w:pStyle w:val="BodyText"/>
        <w:spacing w:before="49" w:line="161" w:lineRule="exact"/>
        <w:ind w:left="157"/>
      </w:pPr>
      <w:r>
        <w:rPr>
          <w:color w:val="231F20"/>
        </w:rPr>
        <w:t>Циљеви предмета: – Стицање хуманистичког образовања и развијање историјске свести;</w:t>
      </w:r>
    </w:p>
    <w:p w:rsidR="00041039" w:rsidRDefault="001B26CB">
      <w:pPr>
        <w:pStyle w:val="ListParagraph"/>
        <w:numPr>
          <w:ilvl w:val="1"/>
          <w:numId w:val="3"/>
        </w:numPr>
        <w:tabs>
          <w:tab w:val="left" w:pos="1566"/>
        </w:tabs>
        <w:spacing w:line="160" w:lineRule="exact"/>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7"/>
          <w:sz w:val="14"/>
        </w:rPr>
        <w:t xml:space="preserve"> </w:t>
      </w:r>
      <w:r>
        <w:rPr>
          <w:color w:val="231F20"/>
          <w:sz w:val="14"/>
        </w:rPr>
        <w:t>личности;</w:t>
      </w:r>
    </w:p>
    <w:p w:rsidR="00041039" w:rsidRDefault="001B26CB">
      <w:pPr>
        <w:pStyle w:val="ListParagraph"/>
        <w:numPr>
          <w:ilvl w:val="1"/>
          <w:numId w:val="3"/>
        </w:numPr>
        <w:tabs>
          <w:tab w:val="left" w:pos="1566"/>
        </w:tabs>
        <w:spacing w:line="160" w:lineRule="exact"/>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041039" w:rsidRDefault="001B26CB">
      <w:pPr>
        <w:pStyle w:val="ListParagraph"/>
        <w:numPr>
          <w:ilvl w:val="1"/>
          <w:numId w:val="3"/>
        </w:numPr>
        <w:tabs>
          <w:tab w:val="left" w:pos="1566"/>
        </w:tabs>
        <w:spacing w:line="240" w:lineRule="auto"/>
        <w:ind w:right="255"/>
        <w:rPr>
          <w:sz w:val="14"/>
        </w:rPr>
      </w:pPr>
      <w:r>
        <w:rPr>
          <w:color w:val="231F20"/>
          <w:sz w:val="14"/>
        </w:rPr>
        <w:t>Стицање</w:t>
      </w:r>
      <w:r>
        <w:rPr>
          <w:color w:val="231F20"/>
          <w:spacing w:val="-4"/>
          <w:sz w:val="14"/>
        </w:rPr>
        <w:t xml:space="preserve"> </w:t>
      </w:r>
      <w:r>
        <w:rPr>
          <w:color w:val="231F20"/>
          <w:sz w:val="14"/>
        </w:rPr>
        <w:t>и</w:t>
      </w:r>
      <w:r>
        <w:rPr>
          <w:color w:val="231F20"/>
          <w:spacing w:val="-5"/>
          <w:sz w:val="14"/>
        </w:rPr>
        <w:t xml:space="preserve"> </w:t>
      </w:r>
      <w:r>
        <w:rPr>
          <w:color w:val="231F20"/>
          <w:sz w:val="14"/>
        </w:rPr>
        <w:t>проширивање</w:t>
      </w:r>
      <w:r>
        <w:rPr>
          <w:color w:val="231F20"/>
          <w:spacing w:val="-4"/>
          <w:sz w:val="14"/>
        </w:rPr>
        <w:t xml:space="preserve"> </w:t>
      </w:r>
      <w:r>
        <w:rPr>
          <w:color w:val="231F20"/>
          <w:sz w:val="14"/>
        </w:rPr>
        <w:t>знања,</w:t>
      </w:r>
      <w:r>
        <w:rPr>
          <w:color w:val="231F20"/>
          <w:spacing w:val="-5"/>
          <w:sz w:val="14"/>
        </w:rPr>
        <w:t xml:space="preserve"> </w:t>
      </w:r>
      <w:r>
        <w:rPr>
          <w:color w:val="231F20"/>
          <w:sz w:val="14"/>
        </w:rPr>
        <w:t>развијање</w:t>
      </w:r>
      <w:r>
        <w:rPr>
          <w:color w:val="231F20"/>
          <w:spacing w:val="-4"/>
          <w:sz w:val="14"/>
        </w:rPr>
        <w:t xml:space="preserve"> </w:t>
      </w:r>
      <w:r>
        <w:rPr>
          <w:color w:val="231F20"/>
          <w:sz w:val="14"/>
        </w:rPr>
        <w:t>вештина</w:t>
      </w:r>
      <w:r>
        <w:rPr>
          <w:color w:val="231F20"/>
          <w:spacing w:val="-4"/>
          <w:sz w:val="14"/>
        </w:rPr>
        <w:t xml:space="preserve"> </w:t>
      </w:r>
      <w:r>
        <w:rPr>
          <w:color w:val="231F20"/>
          <w:sz w:val="14"/>
        </w:rPr>
        <w:t>и</w:t>
      </w:r>
      <w:r>
        <w:rPr>
          <w:color w:val="231F20"/>
          <w:spacing w:val="-5"/>
          <w:sz w:val="14"/>
        </w:rPr>
        <w:t xml:space="preserve"> </w:t>
      </w:r>
      <w:r>
        <w:rPr>
          <w:color w:val="231F20"/>
          <w:sz w:val="14"/>
        </w:rPr>
        <w:t>формирање</w:t>
      </w:r>
      <w:r>
        <w:rPr>
          <w:color w:val="231F20"/>
          <w:spacing w:val="-4"/>
          <w:sz w:val="14"/>
        </w:rPr>
        <w:t xml:space="preserve"> </w:t>
      </w:r>
      <w:r>
        <w:rPr>
          <w:color w:val="231F20"/>
          <w:sz w:val="14"/>
        </w:rPr>
        <w:t>ставова</w:t>
      </w:r>
      <w:r>
        <w:rPr>
          <w:color w:val="231F20"/>
          <w:spacing w:val="-4"/>
          <w:sz w:val="14"/>
        </w:rPr>
        <w:t xml:space="preserve"> </w:t>
      </w:r>
      <w:r>
        <w:rPr>
          <w:color w:val="231F20"/>
          <w:sz w:val="14"/>
        </w:rPr>
        <w:t>неопходних</w:t>
      </w:r>
      <w:r>
        <w:rPr>
          <w:color w:val="231F20"/>
          <w:spacing w:val="-4"/>
          <w:sz w:val="14"/>
        </w:rPr>
        <w:t xml:space="preserve"> </w:t>
      </w:r>
      <w:r>
        <w:rPr>
          <w:color w:val="231F20"/>
          <w:sz w:val="14"/>
        </w:rPr>
        <w:t>за</w:t>
      </w:r>
      <w:r>
        <w:rPr>
          <w:color w:val="231F20"/>
          <w:spacing w:val="-5"/>
          <w:sz w:val="14"/>
        </w:rPr>
        <w:t xml:space="preserve"> </w:t>
      </w:r>
      <w:r>
        <w:rPr>
          <w:color w:val="231F20"/>
          <w:sz w:val="14"/>
        </w:rPr>
        <w:t>разумевање</w:t>
      </w:r>
      <w:r>
        <w:rPr>
          <w:color w:val="231F20"/>
          <w:spacing w:val="-4"/>
          <w:sz w:val="14"/>
        </w:rPr>
        <w:t xml:space="preserve"> </w:t>
      </w:r>
      <w:r>
        <w:rPr>
          <w:color w:val="231F20"/>
          <w:sz w:val="14"/>
        </w:rPr>
        <w:t>савременог</w:t>
      </w:r>
      <w:r>
        <w:rPr>
          <w:color w:val="231F20"/>
          <w:spacing w:val="-4"/>
          <w:sz w:val="14"/>
        </w:rPr>
        <w:t xml:space="preserve"> </w:t>
      </w:r>
      <w:r>
        <w:rPr>
          <w:color w:val="231F20"/>
          <w:sz w:val="14"/>
        </w:rPr>
        <w:t>света</w:t>
      </w:r>
      <w:r>
        <w:rPr>
          <w:color w:val="231F20"/>
          <w:spacing w:val="-4"/>
          <w:sz w:val="14"/>
        </w:rPr>
        <w:t xml:space="preserve"> </w:t>
      </w:r>
      <w:r>
        <w:rPr>
          <w:color w:val="231F20"/>
          <w:sz w:val="14"/>
        </w:rPr>
        <w:t>(у</w:t>
      </w:r>
      <w:r>
        <w:rPr>
          <w:color w:val="231F20"/>
          <w:spacing w:val="-4"/>
          <w:sz w:val="14"/>
        </w:rPr>
        <w:t xml:space="preserve"> </w:t>
      </w:r>
      <w:r>
        <w:rPr>
          <w:color w:val="231F20"/>
          <w:sz w:val="14"/>
        </w:rPr>
        <w:t>националном,</w:t>
      </w:r>
      <w:r>
        <w:rPr>
          <w:color w:val="231F20"/>
          <w:spacing w:val="-4"/>
          <w:sz w:val="14"/>
        </w:rPr>
        <w:t xml:space="preserve"> </w:t>
      </w:r>
      <w:r>
        <w:rPr>
          <w:color w:val="231F20"/>
          <w:sz w:val="14"/>
        </w:rPr>
        <w:t>регионалном, европском и глобалном</w:t>
      </w:r>
      <w:r>
        <w:rPr>
          <w:color w:val="231F20"/>
          <w:spacing w:val="-2"/>
          <w:sz w:val="14"/>
        </w:rPr>
        <w:t xml:space="preserve"> </w:t>
      </w:r>
      <w:r>
        <w:rPr>
          <w:color w:val="231F20"/>
          <w:sz w:val="14"/>
        </w:rPr>
        <w:t>оквиру);</w:t>
      </w:r>
    </w:p>
    <w:p w:rsidR="00041039" w:rsidRDefault="001B26CB">
      <w:pPr>
        <w:pStyle w:val="ListParagraph"/>
        <w:numPr>
          <w:ilvl w:val="1"/>
          <w:numId w:val="3"/>
        </w:numPr>
        <w:tabs>
          <w:tab w:val="left" w:pos="1566"/>
        </w:tabs>
        <w:spacing w:line="240" w:lineRule="auto"/>
        <w:ind w:right="459"/>
        <w:rPr>
          <w:sz w:val="14"/>
        </w:rPr>
      </w:pPr>
      <w:r>
        <w:rPr>
          <w:color w:val="231F20"/>
          <w:sz w:val="14"/>
        </w:rPr>
        <w:t>Унапређивање функционалних вештина и компетенција неопходних за живот у савременом друштву (истра</w:t>
      </w:r>
      <w:r>
        <w:rPr>
          <w:color w:val="231F20"/>
          <w:sz w:val="14"/>
        </w:rPr>
        <w:t>живачких вештина, критичког и креа­ тивног</w:t>
      </w:r>
      <w:r>
        <w:rPr>
          <w:color w:val="231F20"/>
          <w:spacing w:val="-5"/>
          <w:sz w:val="14"/>
        </w:rPr>
        <w:t xml:space="preserve"> </w:t>
      </w:r>
      <w:r>
        <w:rPr>
          <w:color w:val="231F20"/>
          <w:sz w:val="14"/>
        </w:rPr>
        <w:t>мишљења,</w:t>
      </w:r>
      <w:r>
        <w:rPr>
          <w:color w:val="231F20"/>
          <w:spacing w:val="-5"/>
          <w:sz w:val="14"/>
        </w:rPr>
        <w:t xml:space="preserve"> </w:t>
      </w:r>
      <w:r>
        <w:rPr>
          <w:color w:val="231F20"/>
          <w:sz w:val="14"/>
        </w:rPr>
        <w:t>способности</w:t>
      </w:r>
      <w:r>
        <w:rPr>
          <w:color w:val="231F20"/>
          <w:spacing w:val="-5"/>
          <w:sz w:val="14"/>
        </w:rPr>
        <w:t xml:space="preserve"> </w:t>
      </w:r>
      <w:r>
        <w:rPr>
          <w:color w:val="231F20"/>
          <w:sz w:val="14"/>
        </w:rPr>
        <w:t>изражавања</w:t>
      </w:r>
      <w:r>
        <w:rPr>
          <w:color w:val="231F20"/>
          <w:spacing w:val="-5"/>
          <w:sz w:val="14"/>
        </w:rPr>
        <w:t xml:space="preserve"> </w:t>
      </w:r>
      <w:r>
        <w:rPr>
          <w:color w:val="231F20"/>
          <w:sz w:val="14"/>
        </w:rPr>
        <w:t>и</w:t>
      </w:r>
      <w:r>
        <w:rPr>
          <w:color w:val="231F20"/>
          <w:spacing w:val="-6"/>
          <w:sz w:val="14"/>
        </w:rPr>
        <w:t xml:space="preserve"> </w:t>
      </w:r>
      <w:r>
        <w:rPr>
          <w:color w:val="231F20"/>
          <w:sz w:val="14"/>
        </w:rPr>
        <w:t>образлагања</w:t>
      </w:r>
      <w:r>
        <w:rPr>
          <w:color w:val="231F20"/>
          <w:spacing w:val="-5"/>
          <w:sz w:val="14"/>
        </w:rPr>
        <w:t xml:space="preserve"> </w:t>
      </w:r>
      <w:r>
        <w:rPr>
          <w:color w:val="231F20"/>
          <w:sz w:val="14"/>
        </w:rPr>
        <w:t>сопствених</w:t>
      </w:r>
      <w:r>
        <w:rPr>
          <w:color w:val="231F20"/>
          <w:spacing w:val="-5"/>
          <w:sz w:val="14"/>
        </w:rPr>
        <w:t xml:space="preserve"> </w:t>
      </w:r>
      <w:r>
        <w:rPr>
          <w:color w:val="231F20"/>
          <w:sz w:val="14"/>
        </w:rPr>
        <w:t>ставова,</w:t>
      </w:r>
      <w:r>
        <w:rPr>
          <w:color w:val="231F20"/>
          <w:spacing w:val="-5"/>
          <w:sz w:val="14"/>
        </w:rPr>
        <w:t xml:space="preserve"> </w:t>
      </w:r>
      <w:r>
        <w:rPr>
          <w:color w:val="231F20"/>
          <w:sz w:val="14"/>
        </w:rPr>
        <w:t>разумевања</w:t>
      </w:r>
      <w:r>
        <w:rPr>
          <w:color w:val="231F20"/>
          <w:spacing w:val="-5"/>
          <w:sz w:val="14"/>
        </w:rPr>
        <w:t xml:space="preserve"> </w:t>
      </w:r>
      <w:r>
        <w:rPr>
          <w:color w:val="231F20"/>
          <w:sz w:val="14"/>
        </w:rPr>
        <w:t>мултикултуралности,</w:t>
      </w:r>
      <w:r>
        <w:rPr>
          <w:color w:val="231F20"/>
          <w:spacing w:val="-5"/>
          <w:sz w:val="14"/>
        </w:rPr>
        <w:t xml:space="preserve"> </w:t>
      </w:r>
      <w:r>
        <w:rPr>
          <w:color w:val="231F20"/>
          <w:sz w:val="14"/>
        </w:rPr>
        <w:t>развијање</w:t>
      </w:r>
      <w:r>
        <w:rPr>
          <w:color w:val="231F20"/>
          <w:spacing w:val="-5"/>
          <w:sz w:val="14"/>
        </w:rPr>
        <w:t xml:space="preserve"> </w:t>
      </w:r>
      <w:r>
        <w:rPr>
          <w:color w:val="231F20"/>
          <w:sz w:val="14"/>
        </w:rPr>
        <w:t>толеранције</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културе аргументованог</w:t>
      </w:r>
      <w:r>
        <w:rPr>
          <w:color w:val="231F20"/>
          <w:spacing w:val="-1"/>
          <w:sz w:val="14"/>
        </w:rPr>
        <w:t xml:space="preserve"> </w:t>
      </w:r>
      <w:r>
        <w:rPr>
          <w:color w:val="231F20"/>
          <w:sz w:val="14"/>
        </w:rPr>
        <w:t>дијалога);</w:t>
      </w:r>
    </w:p>
    <w:p w:rsidR="00041039" w:rsidRDefault="001B26CB">
      <w:pPr>
        <w:pStyle w:val="ListParagraph"/>
        <w:numPr>
          <w:ilvl w:val="1"/>
          <w:numId w:val="3"/>
        </w:numPr>
        <w:tabs>
          <w:tab w:val="left" w:pos="1566"/>
        </w:tabs>
        <w:spacing w:line="158" w:lineRule="exact"/>
        <w:rPr>
          <w:sz w:val="14"/>
        </w:rPr>
      </w:pPr>
      <w:r>
        <w:rPr>
          <w:color w:val="231F20"/>
          <w:sz w:val="14"/>
        </w:rPr>
        <w:t>Оспособљавање за ефикасно коришћење информационо­комуникац</w:t>
      </w:r>
      <w:r>
        <w:rPr>
          <w:color w:val="231F20"/>
          <w:sz w:val="14"/>
        </w:rPr>
        <w:t>ионих</w:t>
      </w:r>
      <w:r>
        <w:rPr>
          <w:color w:val="231F20"/>
          <w:spacing w:val="-3"/>
          <w:sz w:val="14"/>
        </w:rPr>
        <w:t xml:space="preserve"> </w:t>
      </w:r>
      <w:r>
        <w:rPr>
          <w:color w:val="231F20"/>
          <w:sz w:val="14"/>
        </w:rPr>
        <w:t>технологија;</w:t>
      </w:r>
    </w:p>
    <w:p w:rsidR="00041039" w:rsidRDefault="001B26CB">
      <w:pPr>
        <w:pStyle w:val="ListParagraph"/>
        <w:numPr>
          <w:ilvl w:val="1"/>
          <w:numId w:val="3"/>
        </w:numPr>
        <w:tabs>
          <w:tab w:val="left" w:pos="1566"/>
        </w:tabs>
        <w:spacing w:line="161" w:lineRule="exact"/>
        <w:rPr>
          <w:sz w:val="14"/>
        </w:rPr>
      </w:pPr>
      <w:r>
        <w:rPr>
          <w:color w:val="231F20"/>
          <w:sz w:val="14"/>
        </w:rPr>
        <w:t>Развијање свести о потреби сталног усавршавања и свести о важности неговања културно­историјске</w:t>
      </w:r>
      <w:r>
        <w:rPr>
          <w:color w:val="231F20"/>
          <w:spacing w:val="-9"/>
          <w:sz w:val="14"/>
        </w:rPr>
        <w:t xml:space="preserve"> </w:t>
      </w:r>
      <w:r>
        <w:rPr>
          <w:color w:val="231F20"/>
          <w:sz w:val="14"/>
        </w:rPr>
        <w:t>баштине.</w:t>
      </w:r>
    </w:p>
    <w:p w:rsidR="00041039" w:rsidRDefault="001B26CB">
      <w:pPr>
        <w:tabs>
          <w:tab w:val="left" w:pos="1460"/>
        </w:tabs>
        <w:spacing w:before="47"/>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3"/>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8200"/>
        </w:trPr>
        <w:tc>
          <w:tcPr>
            <w:tcW w:w="1304" w:type="dxa"/>
          </w:tcPr>
          <w:p w:rsidR="00041039" w:rsidRDefault="001B26CB">
            <w:pPr>
              <w:pStyle w:val="TableParagraph"/>
              <w:spacing w:before="18"/>
              <w:ind w:left="56" w:right="143"/>
              <w:rPr>
                <w:sz w:val="14"/>
              </w:rPr>
            </w:pPr>
            <w:r>
              <w:rPr>
                <w:color w:val="231F20"/>
                <w:sz w:val="14"/>
              </w:rPr>
              <w:t>Село и град некад и сад</w:t>
            </w:r>
          </w:p>
        </w:tc>
        <w:tc>
          <w:tcPr>
            <w:tcW w:w="1587" w:type="dxa"/>
          </w:tcPr>
          <w:p w:rsidR="00041039" w:rsidRDefault="001B26CB">
            <w:pPr>
              <w:pStyle w:val="TableParagraph"/>
              <w:numPr>
                <w:ilvl w:val="0"/>
                <w:numId w:val="1792"/>
              </w:numPr>
              <w:tabs>
                <w:tab w:val="left" w:pos="157"/>
              </w:tabs>
              <w:spacing w:before="8"/>
              <w:ind w:right="90"/>
              <w:rPr>
                <w:sz w:val="14"/>
              </w:rPr>
            </w:pPr>
            <w:r>
              <w:rPr>
                <w:color w:val="231F20"/>
                <w:sz w:val="14"/>
              </w:rPr>
              <w:t>Проширивање знања о променама у начину живота градског и сеоског</w:t>
            </w:r>
            <w:r>
              <w:rPr>
                <w:color w:val="231F20"/>
                <w:spacing w:val="-5"/>
                <w:sz w:val="14"/>
              </w:rPr>
              <w:t xml:space="preserve"> </w:t>
            </w:r>
            <w:r>
              <w:rPr>
                <w:color w:val="231F20"/>
                <w:sz w:val="14"/>
              </w:rPr>
              <w:t>становништва кроз</w:t>
            </w:r>
            <w:r>
              <w:rPr>
                <w:color w:val="231F20"/>
                <w:spacing w:val="-2"/>
                <w:sz w:val="14"/>
              </w:rPr>
              <w:t xml:space="preserve"> </w:t>
            </w:r>
            <w:r>
              <w:rPr>
                <w:color w:val="231F20"/>
                <w:sz w:val="14"/>
              </w:rPr>
              <w:t>историју.</w:t>
            </w:r>
          </w:p>
          <w:p w:rsidR="00041039" w:rsidRDefault="001B26CB">
            <w:pPr>
              <w:pStyle w:val="TableParagraph"/>
              <w:numPr>
                <w:ilvl w:val="0"/>
                <w:numId w:val="1792"/>
              </w:numPr>
              <w:tabs>
                <w:tab w:val="left" w:pos="157"/>
              </w:tabs>
              <w:spacing w:line="155" w:lineRule="exact"/>
              <w:rPr>
                <w:sz w:val="14"/>
              </w:rPr>
            </w:pPr>
            <w:r>
              <w:rPr>
                <w:color w:val="231F20"/>
                <w:spacing w:val="-3"/>
                <w:sz w:val="14"/>
              </w:rPr>
              <w:t>Уочавање</w:t>
            </w:r>
            <w:r>
              <w:rPr>
                <w:color w:val="231F20"/>
                <w:sz w:val="14"/>
              </w:rPr>
              <w:t xml:space="preserve"> сличности</w:t>
            </w:r>
          </w:p>
          <w:p w:rsidR="00041039" w:rsidRDefault="001B26CB">
            <w:pPr>
              <w:pStyle w:val="TableParagraph"/>
              <w:ind w:right="274"/>
              <w:jc w:val="both"/>
              <w:rPr>
                <w:sz w:val="14"/>
              </w:rPr>
            </w:pPr>
            <w:r>
              <w:rPr>
                <w:color w:val="231F20"/>
                <w:sz w:val="14"/>
              </w:rPr>
              <w:t>и разлика у</w:t>
            </w:r>
            <w:r>
              <w:rPr>
                <w:color w:val="231F20"/>
                <w:spacing w:val="-9"/>
                <w:sz w:val="14"/>
              </w:rPr>
              <w:t xml:space="preserve"> </w:t>
            </w:r>
            <w:r>
              <w:rPr>
                <w:color w:val="231F20"/>
                <w:sz w:val="14"/>
              </w:rPr>
              <w:t>животу градског и сеоског становништва кроз историју.</w:t>
            </w:r>
          </w:p>
          <w:p w:rsidR="00041039" w:rsidRDefault="001B26CB">
            <w:pPr>
              <w:pStyle w:val="TableParagraph"/>
              <w:numPr>
                <w:ilvl w:val="0"/>
                <w:numId w:val="1792"/>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односа</w:t>
            </w:r>
          </w:p>
          <w:p w:rsidR="00041039" w:rsidRDefault="001B26CB">
            <w:pPr>
              <w:pStyle w:val="TableParagraph"/>
              <w:ind w:right="27"/>
              <w:rPr>
                <w:sz w:val="14"/>
              </w:rPr>
            </w:pPr>
            <w:r>
              <w:rPr>
                <w:color w:val="231F20"/>
                <w:sz w:val="14"/>
              </w:rPr>
              <w:t>села и града у прошло­ сти и садашњости.</w:t>
            </w:r>
          </w:p>
          <w:p w:rsidR="00041039" w:rsidRDefault="001B26CB">
            <w:pPr>
              <w:pStyle w:val="TableParagraph"/>
              <w:numPr>
                <w:ilvl w:val="0"/>
                <w:numId w:val="1792"/>
              </w:numPr>
              <w:tabs>
                <w:tab w:val="left" w:pos="157"/>
              </w:tabs>
              <w:spacing w:line="160" w:lineRule="exact"/>
              <w:ind w:right="122"/>
              <w:rPr>
                <w:sz w:val="14"/>
              </w:rPr>
            </w:pPr>
            <w:r>
              <w:rPr>
                <w:color w:val="231F20"/>
                <w:sz w:val="14"/>
              </w:rPr>
              <w:t>Стицање знања о миграцијама село ­ град као</w:t>
            </w:r>
            <w:r>
              <w:rPr>
                <w:color w:val="231F20"/>
                <w:spacing w:val="-13"/>
                <w:sz w:val="14"/>
              </w:rPr>
              <w:t xml:space="preserve"> </w:t>
            </w:r>
            <w:r>
              <w:rPr>
                <w:color w:val="231F20"/>
                <w:sz w:val="14"/>
              </w:rPr>
              <w:t xml:space="preserve">константним појавама у историји </w:t>
            </w:r>
            <w:r>
              <w:rPr>
                <w:color w:val="231F20"/>
                <w:spacing w:val="-3"/>
                <w:sz w:val="14"/>
              </w:rPr>
              <w:t>људског</w:t>
            </w:r>
            <w:r>
              <w:rPr>
                <w:color w:val="231F20"/>
                <w:spacing w:val="-1"/>
                <w:sz w:val="14"/>
              </w:rPr>
              <w:t xml:space="preserve"> </w:t>
            </w:r>
            <w:r>
              <w:rPr>
                <w:color w:val="231F20"/>
                <w:sz w:val="14"/>
              </w:rPr>
              <w:t>друштва.</w:t>
            </w:r>
          </w:p>
          <w:p w:rsidR="00041039" w:rsidRDefault="001B26CB">
            <w:pPr>
              <w:pStyle w:val="TableParagraph"/>
              <w:numPr>
                <w:ilvl w:val="0"/>
                <w:numId w:val="1792"/>
              </w:numPr>
              <w:tabs>
                <w:tab w:val="left" w:pos="157"/>
              </w:tabs>
              <w:spacing w:line="160" w:lineRule="exact"/>
              <w:ind w:right="109"/>
              <w:rPr>
                <w:sz w:val="14"/>
              </w:rPr>
            </w:pPr>
            <w:r>
              <w:rPr>
                <w:color w:val="231F20"/>
                <w:sz w:val="14"/>
              </w:rPr>
              <w:t>Проширивање знања о животу сеоског и градског</w:t>
            </w:r>
            <w:r>
              <w:rPr>
                <w:color w:val="231F20"/>
                <w:spacing w:val="-10"/>
                <w:sz w:val="14"/>
              </w:rPr>
              <w:t xml:space="preserve"> </w:t>
            </w:r>
            <w:r>
              <w:rPr>
                <w:color w:val="231F20"/>
                <w:sz w:val="14"/>
              </w:rPr>
              <w:t>становништ­ ва у Србији у ХIХ иXX</w:t>
            </w:r>
            <w:r>
              <w:rPr>
                <w:color w:val="231F20"/>
                <w:spacing w:val="-1"/>
                <w:sz w:val="14"/>
              </w:rPr>
              <w:t xml:space="preserve"> </w:t>
            </w:r>
            <w:r>
              <w:rPr>
                <w:color w:val="231F20"/>
                <w:spacing w:val="-4"/>
                <w:sz w:val="14"/>
              </w:rPr>
              <w:t>веку.</w:t>
            </w:r>
          </w:p>
        </w:tc>
        <w:tc>
          <w:tcPr>
            <w:tcW w:w="2551" w:type="dxa"/>
          </w:tcPr>
          <w:p w:rsidR="00041039" w:rsidRDefault="001B26CB">
            <w:pPr>
              <w:pStyle w:val="TableParagraph"/>
              <w:numPr>
                <w:ilvl w:val="0"/>
                <w:numId w:val="1791"/>
              </w:numPr>
              <w:tabs>
                <w:tab w:val="left" w:pos="157"/>
              </w:tabs>
              <w:spacing w:before="8"/>
              <w:ind w:right="300" w:hanging="99"/>
              <w:rPr>
                <w:sz w:val="14"/>
              </w:rPr>
            </w:pPr>
            <w:r>
              <w:rPr>
                <w:color w:val="231F20"/>
                <w:sz w:val="14"/>
              </w:rPr>
              <w:t>уочи основна обележја</w:t>
            </w:r>
            <w:r>
              <w:rPr>
                <w:color w:val="231F20"/>
                <w:spacing w:val="-7"/>
                <w:sz w:val="14"/>
              </w:rPr>
              <w:t xml:space="preserve"> </w:t>
            </w:r>
            <w:r>
              <w:rPr>
                <w:color w:val="231F20"/>
                <w:sz w:val="14"/>
              </w:rPr>
              <w:t xml:space="preserve">различитих типова насеља </w:t>
            </w:r>
            <w:r>
              <w:rPr>
                <w:color w:val="231F20"/>
                <w:spacing w:val="-3"/>
                <w:sz w:val="14"/>
              </w:rPr>
              <w:t xml:space="preserve">од </w:t>
            </w:r>
            <w:r>
              <w:rPr>
                <w:color w:val="231F20"/>
                <w:sz w:val="14"/>
              </w:rPr>
              <w:t>праисторије до савременог доба;</w:t>
            </w:r>
          </w:p>
          <w:p w:rsidR="00041039" w:rsidRDefault="001B26CB">
            <w:pPr>
              <w:pStyle w:val="TableParagraph"/>
              <w:numPr>
                <w:ilvl w:val="0"/>
                <w:numId w:val="1791"/>
              </w:numPr>
              <w:tabs>
                <w:tab w:val="left" w:pos="157"/>
              </w:tabs>
              <w:spacing w:line="157" w:lineRule="exact"/>
              <w:ind w:hanging="99"/>
              <w:rPr>
                <w:sz w:val="14"/>
              </w:rPr>
            </w:pPr>
            <w:r>
              <w:rPr>
                <w:color w:val="231F20"/>
                <w:sz w:val="14"/>
              </w:rPr>
              <w:t>изведе закључак о значају</w:t>
            </w:r>
            <w:r>
              <w:rPr>
                <w:color w:val="231F20"/>
                <w:spacing w:val="-10"/>
                <w:sz w:val="14"/>
              </w:rPr>
              <w:t xml:space="preserve"> </w:t>
            </w:r>
            <w:r>
              <w:rPr>
                <w:color w:val="231F20"/>
                <w:sz w:val="14"/>
              </w:rPr>
              <w:t>настанка</w:t>
            </w:r>
          </w:p>
          <w:p w:rsidR="00041039" w:rsidRDefault="001B26CB">
            <w:pPr>
              <w:pStyle w:val="TableParagraph"/>
              <w:spacing w:line="155" w:lineRule="exact"/>
              <w:rPr>
                <w:sz w:val="14"/>
              </w:rPr>
            </w:pPr>
            <w:r>
              <w:rPr>
                <w:color w:val="231F20"/>
                <w:sz w:val="14"/>
              </w:rPr>
              <w:t>градова;</w:t>
            </w:r>
          </w:p>
          <w:p w:rsidR="00041039" w:rsidRDefault="001B26CB">
            <w:pPr>
              <w:pStyle w:val="TableParagraph"/>
              <w:numPr>
                <w:ilvl w:val="0"/>
                <w:numId w:val="1791"/>
              </w:numPr>
              <w:tabs>
                <w:tab w:val="left" w:pos="157"/>
              </w:tabs>
              <w:spacing w:line="237" w:lineRule="auto"/>
              <w:ind w:right="125" w:hanging="99"/>
              <w:rPr>
                <w:sz w:val="14"/>
              </w:rPr>
            </w:pPr>
            <w:r>
              <w:rPr>
                <w:color w:val="231F20"/>
                <w:sz w:val="14"/>
              </w:rPr>
              <w:t>лоцира на историјској карти најзначајније античке,</w:t>
            </w:r>
            <w:r>
              <w:rPr>
                <w:color w:val="231F20"/>
                <w:spacing w:val="-23"/>
                <w:sz w:val="14"/>
              </w:rPr>
              <w:t xml:space="preserve"> </w:t>
            </w:r>
            <w:r>
              <w:rPr>
                <w:color w:val="231F20"/>
                <w:sz w:val="14"/>
              </w:rPr>
              <w:t xml:space="preserve">средњовековне и модерне градове у </w:t>
            </w:r>
            <w:r>
              <w:rPr>
                <w:color w:val="231F20"/>
                <w:spacing w:val="-3"/>
                <w:sz w:val="14"/>
              </w:rPr>
              <w:t xml:space="preserve">свету, </w:t>
            </w:r>
            <w:r>
              <w:rPr>
                <w:color w:val="231F20"/>
                <w:sz w:val="14"/>
              </w:rPr>
              <w:t>Европи и Србији;</w:t>
            </w:r>
          </w:p>
          <w:p w:rsidR="00041039" w:rsidRDefault="001B26CB">
            <w:pPr>
              <w:pStyle w:val="TableParagraph"/>
              <w:numPr>
                <w:ilvl w:val="0"/>
                <w:numId w:val="1791"/>
              </w:numPr>
              <w:tabs>
                <w:tab w:val="left" w:pos="157"/>
              </w:tabs>
              <w:spacing w:line="237" w:lineRule="auto"/>
              <w:ind w:right="296" w:hanging="99"/>
              <w:rPr>
                <w:sz w:val="14"/>
              </w:rPr>
            </w:pPr>
            <w:r>
              <w:rPr>
                <w:color w:val="231F20"/>
                <w:sz w:val="14"/>
              </w:rPr>
              <w:t>опише начин живота у граду у</w:t>
            </w:r>
            <w:r>
              <w:rPr>
                <w:color w:val="231F20"/>
                <w:spacing w:val="-15"/>
                <w:sz w:val="14"/>
              </w:rPr>
              <w:t xml:space="preserve"> </w:t>
            </w:r>
            <w:r>
              <w:rPr>
                <w:color w:val="231F20"/>
                <w:sz w:val="14"/>
              </w:rPr>
              <w:t>раз­ личитим историјским периодима (на примеру Цариграда, Венеције, Фиренце, Париза, Лондона, Берлина, Њујорка, Москве, Санкт Петербурга...);</w:t>
            </w:r>
          </w:p>
          <w:p w:rsidR="00041039" w:rsidRDefault="001B26CB">
            <w:pPr>
              <w:pStyle w:val="TableParagraph"/>
              <w:numPr>
                <w:ilvl w:val="0"/>
                <w:numId w:val="1791"/>
              </w:numPr>
              <w:tabs>
                <w:tab w:val="left" w:pos="157"/>
              </w:tabs>
              <w:spacing w:line="237" w:lineRule="auto"/>
              <w:ind w:right="206" w:hanging="99"/>
              <w:rPr>
                <w:sz w:val="14"/>
              </w:rPr>
            </w:pPr>
            <w:r>
              <w:rPr>
                <w:color w:val="231F20"/>
                <w:sz w:val="14"/>
              </w:rPr>
              <w:t>опише начин живот у српским градовима у XIX и XX веку (на</w:t>
            </w:r>
            <w:r>
              <w:rPr>
                <w:color w:val="231F20"/>
                <w:spacing w:val="-23"/>
                <w:sz w:val="14"/>
              </w:rPr>
              <w:t xml:space="preserve"> </w:t>
            </w:r>
            <w:r>
              <w:rPr>
                <w:color w:val="231F20"/>
                <w:sz w:val="14"/>
              </w:rPr>
              <w:t>при</w:t>
            </w:r>
            <w:r>
              <w:rPr>
                <w:color w:val="231F20"/>
                <w:sz w:val="14"/>
              </w:rPr>
              <w:t>­ меру Београда, Новог Сада, Ниша, Крагујевца...);</w:t>
            </w:r>
          </w:p>
          <w:p w:rsidR="00041039" w:rsidRDefault="001B26CB">
            <w:pPr>
              <w:pStyle w:val="TableParagraph"/>
              <w:numPr>
                <w:ilvl w:val="0"/>
                <w:numId w:val="1791"/>
              </w:numPr>
              <w:tabs>
                <w:tab w:val="left" w:pos="157"/>
              </w:tabs>
              <w:spacing w:line="237" w:lineRule="auto"/>
              <w:ind w:right="44" w:hanging="99"/>
              <w:rPr>
                <w:sz w:val="14"/>
              </w:rPr>
            </w:pPr>
            <w:r>
              <w:rPr>
                <w:color w:val="231F20"/>
                <w:sz w:val="14"/>
              </w:rPr>
              <w:t>опише начин живота у српским</w:t>
            </w:r>
            <w:r>
              <w:rPr>
                <w:color w:val="231F20"/>
                <w:spacing w:val="-9"/>
                <w:sz w:val="14"/>
              </w:rPr>
              <w:t xml:space="preserve"> </w:t>
            </w:r>
            <w:r>
              <w:rPr>
                <w:color w:val="231F20"/>
                <w:sz w:val="14"/>
              </w:rPr>
              <w:t>селима у XIX и XX</w:t>
            </w:r>
            <w:r>
              <w:rPr>
                <w:color w:val="231F20"/>
                <w:spacing w:val="-4"/>
                <w:sz w:val="14"/>
              </w:rPr>
              <w:t xml:space="preserve"> </w:t>
            </w:r>
            <w:r>
              <w:rPr>
                <w:color w:val="231F20"/>
                <w:sz w:val="14"/>
              </w:rPr>
              <w:t>веку;</w:t>
            </w:r>
          </w:p>
          <w:p w:rsidR="00041039" w:rsidRDefault="001B26CB">
            <w:pPr>
              <w:pStyle w:val="TableParagraph"/>
              <w:numPr>
                <w:ilvl w:val="0"/>
                <w:numId w:val="1791"/>
              </w:numPr>
              <w:tabs>
                <w:tab w:val="left" w:pos="157"/>
              </w:tabs>
              <w:spacing w:line="160" w:lineRule="exact"/>
              <w:ind w:right="89" w:hanging="99"/>
              <w:rPr>
                <w:sz w:val="14"/>
              </w:rPr>
            </w:pPr>
            <w:r>
              <w:rPr>
                <w:color w:val="231F20"/>
                <w:sz w:val="14"/>
              </w:rPr>
              <w:t>уочи сличности и разлике у начину живота у српским градовима и</w:t>
            </w:r>
            <w:r>
              <w:rPr>
                <w:color w:val="231F20"/>
                <w:spacing w:val="-11"/>
                <w:sz w:val="14"/>
              </w:rPr>
              <w:t xml:space="preserve"> </w:t>
            </w:r>
            <w:r>
              <w:rPr>
                <w:color w:val="231F20"/>
                <w:sz w:val="14"/>
              </w:rPr>
              <w:t>селима у XIX и XX</w:t>
            </w:r>
            <w:r>
              <w:rPr>
                <w:color w:val="231F20"/>
                <w:spacing w:val="-4"/>
                <w:sz w:val="14"/>
              </w:rPr>
              <w:t xml:space="preserve"> </w:t>
            </w:r>
            <w:r>
              <w:rPr>
                <w:color w:val="231F20"/>
                <w:sz w:val="14"/>
              </w:rPr>
              <w:t>веку;</w:t>
            </w:r>
          </w:p>
          <w:p w:rsidR="00041039" w:rsidRDefault="001B26CB">
            <w:pPr>
              <w:pStyle w:val="TableParagraph"/>
              <w:numPr>
                <w:ilvl w:val="0"/>
                <w:numId w:val="1791"/>
              </w:numPr>
              <w:tabs>
                <w:tab w:val="left" w:pos="157"/>
              </w:tabs>
              <w:spacing w:line="160" w:lineRule="exact"/>
              <w:ind w:right="358" w:hanging="99"/>
              <w:rPr>
                <w:sz w:val="14"/>
              </w:rPr>
            </w:pPr>
            <w:r>
              <w:rPr>
                <w:color w:val="231F20"/>
                <w:sz w:val="14"/>
              </w:rPr>
              <w:t>разуме значај и последице</w:t>
            </w:r>
            <w:r>
              <w:rPr>
                <w:color w:val="231F20"/>
                <w:spacing w:val="-15"/>
                <w:sz w:val="14"/>
              </w:rPr>
              <w:t xml:space="preserve"> </w:t>
            </w:r>
            <w:r>
              <w:rPr>
                <w:color w:val="231F20"/>
                <w:sz w:val="14"/>
              </w:rPr>
              <w:t>развоја модерних</w:t>
            </w:r>
            <w:r>
              <w:rPr>
                <w:color w:val="231F20"/>
                <w:spacing w:val="-1"/>
                <w:sz w:val="14"/>
              </w:rPr>
              <w:t xml:space="preserve"> </w:t>
            </w:r>
            <w:r>
              <w:rPr>
                <w:color w:val="231F20"/>
                <w:sz w:val="14"/>
              </w:rPr>
              <w:t>градова;</w:t>
            </w:r>
          </w:p>
          <w:p w:rsidR="00041039" w:rsidRDefault="001B26CB">
            <w:pPr>
              <w:pStyle w:val="TableParagraph"/>
              <w:numPr>
                <w:ilvl w:val="0"/>
                <w:numId w:val="1791"/>
              </w:numPr>
              <w:tabs>
                <w:tab w:val="left" w:pos="157"/>
              </w:tabs>
              <w:spacing w:line="160" w:lineRule="exact"/>
              <w:ind w:right="297" w:hanging="99"/>
              <w:rPr>
                <w:sz w:val="14"/>
              </w:rPr>
            </w:pPr>
            <w:r>
              <w:rPr>
                <w:color w:val="231F20"/>
                <w:sz w:val="14"/>
              </w:rPr>
              <w:t>образложи најважније узроке и</w:t>
            </w:r>
            <w:r>
              <w:rPr>
                <w:color w:val="231F20"/>
                <w:spacing w:val="-16"/>
                <w:sz w:val="14"/>
              </w:rPr>
              <w:t xml:space="preserve"> </w:t>
            </w:r>
            <w:r>
              <w:rPr>
                <w:color w:val="231F20"/>
                <w:sz w:val="14"/>
              </w:rPr>
              <w:t>по­ следице миграција</w:t>
            </w:r>
            <w:r>
              <w:rPr>
                <w:color w:val="231F20"/>
                <w:spacing w:val="-2"/>
                <w:sz w:val="14"/>
              </w:rPr>
              <w:t xml:space="preserve"> </w:t>
            </w:r>
            <w:r>
              <w:rPr>
                <w:color w:val="231F20"/>
                <w:sz w:val="14"/>
              </w:rPr>
              <w:t>село­град;</w:t>
            </w:r>
          </w:p>
          <w:p w:rsidR="00041039" w:rsidRDefault="001B26CB">
            <w:pPr>
              <w:pStyle w:val="TableParagraph"/>
              <w:numPr>
                <w:ilvl w:val="0"/>
                <w:numId w:val="1791"/>
              </w:numPr>
              <w:tabs>
                <w:tab w:val="left" w:pos="157"/>
              </w:tabs>
              <w:spacing w:line="160" w:lineRule="exact"/>
              <w:ind w:right="314" w:hanging="99"/>
              <w:rPr>
                <w:sz w:val="14"/>
              </w:rPr>
            </w:pPr>
            <w:r>
              <w:rPr>
                <w:color w:val="231F20"/>
                <w:sz w:val="14"/>
              </w:rPr>
              <w:t>уочи разлике у начину становања између села и града кроз</w:t>
            </w:r>
            <w:r>
              <w:rPr>
                <w:color w:val="231F20"/>
                <w:spacing w:val="-14"/>
                <w:sz w:val="14"/>
              </w:rPr>
              <w:t xml:space="preserve"> </w:t>
            </w:r>
            <w:r>
              <w:rPr>
                <w:color w:val="231F20"/>
                <w:sz w:val="14"/>
              </w:rPr>
              <w:t>историју;</w:t>
            </w:r>
          </w:p>
          <w:p w:rsidR="00041039" w:rsidRDefault="001B26CB">
            <w:pPr>
              <w:pStyle w:val="TableParagraph"/>
              <w:numPr>
                <w:ilvl w:val="0"/>
                <w:numId w:val="1791"/>
              </w:numPr>
              <w:tabs>
                <w:tab w:val="left" w:pos="157"/>
              </w:tabs>
              <w:spacing w:line="160" w:lineRule="exact"/>
              <w:ind w:right="46" w:hanging="99"/>
              <w:rPr>
                <w:sz w:val="14"/>
              </w:rPr>
            </w:pPr>
            <w:r>
              <w:rPr>
                <w:color w:val="231F20"/>
                <w:sz w:val="14"/>
              </w:rPr>
              <w:t>уочи разлике у начину становања између припадника различитих</w:t>
            </w:r>
            <w:r>
              <w:rPr>
                <w:color w:val="231F20"/>
                <w:spacing w:val="-15"/>
                <w:sz w:val="14"/>
              </w:rPr>
              <w:t xml:space="preserve"> </w:t>
            </w:r>
            <w:r>
              <w:rPr>
                <w:color w:val="231F20"/>
                <w:sz w:val="14"/>
              </w:rPr>
              <w:t>друшт­ вених слојева кроз</w:t>
            </w:r>
            <w:r>
              <w:rPr>
                <w:color w:val="231F20"/>
                <w:spacing w:val="-2"/>
                <w:sz w:val="14"/>
              </w:rPr>
              <w:t xml:space="preserve"> </w:t>
            </w:r>
            <w:r>
              <w:rPr>
                <w:color w:val="231F20"/>
                <w:sz w:val="14"/>
              </w:rPr>
              <w:t>историју;</w:t>
            </w:r>
          </w:p>
        </w:tc>
        <w:tc>
          <w:tcPr>
            <w:tcW w:w="2834" w:type="dxa"/>
          </w:tcPr>
          <w:p w:rsidR="00041039" w:rsidRDefault="001B26CB">
            <w:pPr>
              <w:pStyle w:val="TableParagraph"/>
              <w:numPr>
                <w:ilvl w:val="0"/>
                <w:numId w:val="1790"/>
              </w:numPr>
              <w:tabs>
                <w:tab w:val="left" w:pos="157"/>
              </w:tabs>
              <w:spacing w:before="9"/>
              <w:ind w:right="332" w:hanging="99"/>
              <w:rPr>
                <w:sz w:val="14"/>
              </w:rPr>
            </w:pPr>
            <w:r>
              <w:rPr>
                <w:color w:val="231F20"/>
                <w:sz w:val="14"/>
              </w:rPr>
              <w:t>Насеља у праисторији (примери Винче иЛепенског</w:t>
            </w:r>
            <w:r>
              <w:rPr>
                <w:color w:val="231F20"/>
                <w:spacing w:val="-1"/>
                <w:sz w:val="14"/>
              </w:rPr>
              <w:t xml:space="preserve"> </w:t>
            </w:r>
            <w:r>
              <w:rPr>
                <w:color w:val="231F20"/>
                <w:sz w:val="14"/>
              </w:rPr>
              <w:t>Вира).</w:t>
            </w:r>
          </w:p>
          <w:p w:rsidR="00041039" w:rsidRDefault="001B26CB">
            <w:pPr>
              <w:pStyle w:val="TableParagraph"/>
              <w:numPr>
                <w:ilvl w:val="0"/>
                <w:numId w:val="1790"/>
              </w:numPr>
              <w:tabs>
                <w:tab w:val="left" w:pos="157"/>
              </w:tabs>
              <w:spacing w:line="160" w:lineRule="exact"/>
              <w:ind w:right="244" w:hanging="99"/>
              <w:rPr>
                <w:sz w:val="14"/>
              </w:rPr>
            </w:pPr>
            <w:r>
              <w:rPr>
                <w:color w:val="231F20"/>
                <w:sz w:val="14"/>
              </w:rPr>
              <w:t>Живот у античким градовима (примери Вавилона, грчких полиса,</w:t>
            </w:r>
            <w:r>
              <w:rPr>
                <w:color w:val="231F20"/>
                <w:spacing w:val="-14"/>
                <w:sz w:val="14"/>
              </w:rPr>
              <w:t xml:space="preserve"> </w:t>
            </w:r>
            <w:r>
              <w:rPr>
                <w:color w:val="231F20"/>
                <w:sz w:val="14"/>
              </w:rPr>
              <w:t>Александрије, Рима...),</w:t>
            </w:r>
          </w:p>
          <w:p w:rsidR="00041039" w:rsidRDefault="001B26CB">
            <w:pPr>
              <w:pStyle w:val="TableParagraph"/>
              <w:numPr>
                <w:ilvl w:val="0"/>
                <w:numId w:val="1790"/>
              </w:numPr>
              <w:tabs>
                <w:tab w:val="left" w:pos="152"/>
              </w:tabs>
              <w:spacing w:line="160" w:lineRule="exact"/>
              <w:ind w:left="151" w:right="134" w:hanging="94"/>
              <w:rPr>
                <w:sz w:val="14"/>
              </w:rPr>
            </w:pPr>
            <w:r>
              <w:rPr>
                <w:color w:val="231F20"/>
                <w:spacing w:val="-4"/>
                <w:sz w:val="14"/>
              </w:rPr>
              <w:t xml:space="preserve">Животу средњовековним </w:t>
            </w:r>
            <w:r>
              <w:rPr>
                <w:color w:val="231F20"/>
                <w:spacing w:val="-3"/>
                <w:sz w:val="14"/>
              </w:rPr>
              <w:t xml:space="preserve">градовима </w:t>
            </w:r>
            <w:r>
              <w:rPr>
                <w:color w:val="231F20"/>
                <w:sz w:val="14"/>
              </w:rPr>
              <w:t xml:space="preserve">и </w:t>
            </w:r>
            <w:r>
              <w:rPr>
                <w:color w:val="231F20"/>
                <w:spacing w:val="-3"/>
                <w:sz w:val="14"/>
              </w:rPr>
              <w:t xml:space="preserve">селима(примери Цариграда, Венеције, Фиренце, Париза, </w:t>
            </w:r>
            <w:r>
              <w:rPr>
                <w:color w:val="231F20"/>
                <w:spacing w:val="-4"/>
                <w:sz w:val="14"/>
              </w:rPr>
              <w:t xml:space="preserve">Лондона, </w:t>
            </w:r>
            <w:r>
              <w:rPr>
                <w:color w:val="231F20"/>
                <w:spacing w:val="-3"/>
                <w:sz w:val="14"/>
              </w:rPr>
              <w:t xml:space="preserve">Београда...; </w:t>
            </w:r>
            <w:r>
              <w:rPr>
                <w:color w:val="231F20"/>
                <w:spacing w:val="-4"/>
                <w:sz w:val="14"/>
              </w:rPr>
              <w:t>средњове</w:t>
            </w:r>
            <w:r>
              <w:rPr>
                <w:color w:val="231F20"/>
                <w:spacing w:val="-4"/>
                <w:sz w:val="14"/>
              </w:rPr>
              <w:t xml:space="preserve">ковни </w:t>
            </w:r>
            <w:r>
              <w:rPr>
                <w:color w:val="231F20"/>
                <w:spacing w:val="-3"/>
                <w:sz w:val="14"/>
              </w:rPr>
              <w:t xml:space="preserve">замак­ </w:t>
            </w:r>
            <w:r>
              <w:rPr>
                <w:color w:val="231F20"/>
                <w:sz w:val="14"/>
              </w:rPr>
              <w:t xml:space="preserve">у </w:t>
            </w:r>
            <w:r>
              <w:rPr>
                <w:color w:val="231F20"/>
                <w:spacing w:val="-3"/>
                <w:sz w:val="14"/>
              </w:rPr>
              <w:t xml:space="preserve">миру </w:t>
            </w:r>
            <w:r>
              <w:rPr>
                <w:color w:val="231F20"/>
                <w:sz w:val="14"/>
              </w:rPr>
              <w:t>и за</w:t>
            </w:r>
            <w:r>
              <w:rPr>
                <w:color w:val="231F20"/>
                <w:spacing w:val="-26"/>
                <w:sz w:val="14"/>
              </w:rPr>
              <w:t xml:space="preserve"> </w:t>
            </w:r>
            <w:r>
              <w:rPr>
                <w:color w:val="231F20"/>
                <w:spacing w:val="-3"/>
                <w:sz w:val="14"/>
              </w:rPr>
              <w:t xml:space="preserve">време </w:t>
            </w:r>
            <w:r>
              <w:rPr>
                <w:color w:val="231F20"/>
                <w:sz w:val="14"/>
              </w:rPr>
              <w:t xml:space="preserve">оп­ </w:t>
            </w:r>
            <w:r>
              <w:rPr>
                <w:color w:val="231F20"/>
                <w:spacing w:val="-3"/>
                <w:sz w:val="14"/>
              </w:rPr>
              <w:t xml:space="preserve">саде; </w:t>
            </w:r>
            <w:r>
              <w:rPr>
                <w:color w:val="231F20"/>
                <w:spacing w:val="-4"/>
                <w:sz w:val="14"/>
              </w:rPr>
              <w:t xml:space="preserve">положај </w:t>
            </w:r>
            <w:r>
              <w:rPr>
                <w:color w:val="231F20"/>
                <w:spacing w:val="-3"/>
                <w:sz w:val="14"/>
              </w:rPr>
              <w:t xml:space="preserve">зависног сељака </w:t>
            </w:r>
            <w:r>
              <w:rPr>
                <w:color w:val="231F20"/>
                <w:sz w:val="14"/>
              </w:rPr>
              <w:t xml:space="preserve">­ </w:t>
            </w:r>
            <w:r>
              <w:rPr>
                <w:color w:val="231F20"/>
                <w:spacing w:val="-3"/>
                <w:sz w:val="14"/>
              </w:rPr>
              <w:t xml:space="preserve">обавезе </w:t>
            </w:r>
            <w:r>
              <w:rPr>
                <w:color w:val="231F20"/>
                <w:sz w:val="14"/>
              </w:rPr>
              <w:t xml:space="preserve">ста­ </w:t>
            </w:r>
            <w:r>
              <w:rPr>
                <w:color w:val="231F20"/>
                <w:spacing w:val="-3"/>
                <w:sz w:val="14"/>
              </w:rPr>
              <w:t xml:space="preserve">новништва, порез, присилни </w:t>
            </w:r>
            <w:r>
              <w:rPr>
                <w:color w:val="231F20"/>
                <w:sz w:val="14"/>
              </w:rPr>
              <w:t xml:space="preserve">рад ­ </w:t>
            </w:r>
            <w:r>
              <w:rPr>
                <w:color w:val="231F20"/>
                <w:spacing w:val="-3"/>
                <w:sz w:val="14"/>
              </w:rPr>
              <w:t>изградња путева, насипа, утврђења...;</w:t>
            </w:r>
            <w:r>
              <w:rPr>
                <w:color w:val="231F20"/>
                <w:spacing w:val="-11"/>
                <w:sz w:val="14"/>
              </w:rPr>
              <w:t xml:space="preserve"> </w:t>
            </w:r>
            <w:r>
              <w:rPr>
                <w:color w:val="231F20"/>
                <w:spacing w:val="-3"/>
                <w:sz w:val="14"/>
              </w:rPr>
              <w:t>становање</w:t>
            </w:r>
          </w:p>
          <w:p w:rsidR="00041039" w:rsidRDefault="001B26CB">
            <w:pPr>
              <w:pStyle w:val="TableParagraph"/>
              <w:spacing w:line="237" w:lineRule="auto"/>
              <w:ind w:left="151" w:right="116"/>
              <w:jc w:val="both"/>
              <w:rPr>
                <w:sz w:val="14"/>
              </w:rPr>
            </w:pPr>
            <w:r>
              <w:rPr>
                <w:color w:val="231F20"/>
                <w:spacing w:val="-3"/>
                <w:sz w:val="14"/>
              </w:rPr>
              <w:t xml:space="preserve">­грађевински </w:t>
            </w:r>
            <w:r>
              <w:rPr>
                <w:color w:val="231F20"/>
                <w:spacing w:val="-4"/>
                <w:sz w:val="14"/>
              </w:rPr>
              <w:t xml:space="preserve">материјали, начин </w:t>
            </w:r>
            <w:r>
              <w:rPr>
                <w:color w:val="231F20"/>
                <w:spacing w:val="-3"/>
                <w:sz w:val="14"/>
              </w:rPr>
              <w:t xml:space="preserve">градње, раз­ лика </w:t>
            </w:r>
            <w:r>
              <w:rPr>
                <w:color w:val="231F20"/>
                <w:spacing w:val="-4"/>
                <w:sz w:val="14"/>
              </w:rPr>
              <w:t xml:space="preserve">уначину </w:t>
            </w:r>
            <w:r>
              <w:rPr>
                <w:color w:val="231F20"/>
                <w:spacing w:val="-3"/>
                <w:sz w:val="14"/>
              </w:rPr>
              <w:t xml:space="preserve">становања између </w:t>
            </w:r>
            <w:r>
              <w:rPr>
                <w:color w:val="231F20"/>
                <w:sz w:val="14"/>
              </w:rPr>
              <w:t>села и</w:t>
            </w:r>
            <w:r>
              <w:rPr>
                <w:color w:val="231F20"/>
                <w:spacing w:val="-20"/>
                <w:sz w:val="14"/>
              </w:rPr>
              <w:t xml:space="preserve"> </w:t>
            </w:r>
            <w:r>
              <w:rPr>
                <w:color w:val="231F20"/>
                <w:spacing w:val="-3"/>
                <w:sz w:val="14"/>
              </w:rPr>
              <w:t xml:space="preserve">града </w:t>
            </w:r>
            <w:r>
              <w:rPr>
                <w:color w:val="231F20"/>
                <w:sz w:val="14"/>
              </w:rPr>
              <w:t xml:space="preserve">и </w:t>
            </w:r>
            <w:r>
              <w:rPr>
                <w:color w:val="231F20"/>
                <w:spacing w:val="-3"/>
                <w:sz w:val="14"/>
              </w:rPr>
              <w:t xml:space="preserve">између </w:t>
            </w:r>
            <w:r>
              <w:rPr>
                <w:color w:val="231F20"/>
                <w:spacing w:val="-4"/>
                <w:sz w:val="14"/>
              </w:rPr>
              <w:t xml:space="preserve">богатих </w:t>
            </w:r>
            <w:r>
              <w:rPr>
                <w:color w:val="231F20"/>
                <w:sz w:val="14"/>
              </w:rPr>
              <w:t xml:space="preserve">и </w:t>
            </w:r>
            <w:r>
              <w:rPr>
                <w:color w:val="231F20"/>
                <w:spacing w:val="-4"/>
                <w:sz w:val="14"/>
              </w:rPr>
              <w:t xml:space="preserve">сиромашних; </w:t>
            </w:r>
            <w:r>
              <w:rPr>
                <w:color w:val="231F20"/>
                <w:spacing w:val="-3"/>
                <w:sz w:val="14"/>
              </w:rPr>
              <w:t xml:space="preserve">хигијенски услови, опасност </w:t>
            </w:r>
            <w:r>
              <w:rPr>
                <w:color w:val="231F20"/>
                <w:spacing w:val="-4"/>
                <w:sz w:val="14"/>
              </w:rPr>
              <w:t>од</w:t>
            </w:r>
            <w:r>
              <w:rPr>
                <w:color w:val="231F20"/>
                <w:spacing w:val="-11"/>
                <w:sz w:val="14"/>
              </w:rPr>
              <w:t xml:space="preserve"> </w:t>
            </w:r>
            <w:r>
              <w:rPr>
                <w:color w:val="231F20"/>
                <w:spacing w:val="-3"/>
                <w:sz w:val="14"/>
              </w:rPr>
              <w:t>епидемија...).</w:t>
            </w:r>
          </w:p>
          <w:p w:rsidR="00041039" w:rsidRDefault="001B26CB">
            <w:pPr>
              <w:pStyle w:val="TableParagraph"/>
              <w:numPr>
                <w:ilvl w:val="0"/>
                <w:numId w:val="1790"/>
              </w:numPr>
              <w:tabs>
                <w:tab w:val="left" w:pos="153"/>
              </w:tabs>
              <w:spacing w:line="237" w:lineRule="auto"/>
              <w:ind w:left="152" w:right="229" w:hanging="95"/>
              <w:rPr>
                <w:sz w:val="14"/>
              </w:rPr>
            </w:pPr>
            <w:r>
              <w:rPr>
                <w:color w:val="231F20"/>
                <w:spacing w:val="-3"/>
                <w:sz w:val="14"/>
              </w:rPr>
              <w:t xml:space="preserve">Живот </w:t>
            </w:r>
            <w:r>
              <w:rPr>
                <w:color w:val="231F20"/>
                <w:sz w:val="14"/>
              </w:rPr>
              <w:t xml:space="preserve">у </w:t>
            </w:r>
            <w:r>
              <w:rPr>
                <w:color w:val="231F20"/>
                <w:spacing w:val="-3"/>
                <w:sz w:val="14"/>
              </w:rPr>
              <w:t xml:space="preserve">градовима </w:t>
            </w:r>
            <w:r>
              <w:rPr>
                <w:color w:val="231F20"/>
                <w:sz w:val="14"/>
              </w:rPr>
              <w:t xml:space="preserve">и </w:t>
            </w:r>
            <w:r>
              <w:rPr>
                <w:color w:val="231F20"/>
                <w:spacing w:val="-3"/>
                <w:sz w:val="14"/>
              </w:rPr>
              <w:t xml:space="preserve">селима </w:t>
            </w:r>
            <w:r>
              <w:rPr>
                <w:color w:val="231F20"/>
                <w:sz w:val="14"/>
              </w:rPr>
              <w:t xml:space="preserve">у </w:t>
            </w:r>
            <w:r>
              <w:rPr>
                <w:color w:val="231F20"/>
                <w:spacing w:val="-3"/>
                <w:sz w:val="14"/>
              </w:rPr>
              <w:t xml:space="preserve">новом  веку </w:t>
            </w:r>
            <w:r>
              <w:rPr>
                <w:color w:val="231F20"/>
                <w:sz w:val="14"/>
              </w:rPr>
              <w:t xml:space="preserve">и </w:t>
            </w:r>
            <w:r>
              <w:rPr>
                <w:color w:val="231F20"/>
                <w:spacing w:val="-3"/>
                <w:sz w:val="14"/>
              </w:rPr>
              <w:t xml:space="preserve">савременом </w:t>
            </w:r>
            <w:r>
              <w:rPr>
                <w:color w:val="231F20"/>
                <w:spacing w:val="-4"/>
                <w:sz w:val="14"/>
              </w:rPr>
              <w:t xml:space="preserve">добу </w:t>
            </w:r>
            <w:r>
              <w:rPr>
                <w:color w:val="231F20"/>
                <w:spacing w:val="-3"/>
                <w:sz w:val="14"/>
              </w:rPr>
              <w:t>(примери Париза, Лондона, Берлина, Њујорка,</w:t>
            </w:r>
            <w:r>
              <w:rPr>
                <w:color w:val="231F20"/>
                <w:spacing w:val="-8"/>
                <w:sz w:val="14"/>
              </w:rPr>
              <w:t xml:space="preserve"> </w:t>
            </w:r>
            <w:r>
              <w:rPr>
                <w:color w:val="231F20"/>
                <w:spacing w:val="-3"/>
                <w:sz w:val="14"/>
              </w:rPr>
              <w:t>Москве,</w:t>
            </w:r>
          </w:p>
          <w:p w:rsidR="00041039" w:rsidRDefault="001B26CB">
            <w:pPr>
              <w:pStyle w:val="TableParagraph"/>
              <w:ind w:left="152" w:right="131"/>
              <w:rPr>
                <w:sz w:val="14"/>
              </w:rPr>
            </w:pPr>
            <w:r>
              <w:rPr>
                <w:color w:val="231F20"/>
                <w:spacing w:val="-3"/>
                <w:sz w:val="14"/>
              </w:rPr>
              <w:t xml:space="preserve">Санкт </w:t>
            </w:r>
            <w:r>
              <w:rPr>
                <w:color w:val="231F20"/>
                <w:spacing w:val="-4"/>
                <w:sz w:val="14"/>
              </w:rPr>
              <w:t xml:space="preserve">Петербурга...; </w:t>
            </w:r>
            <w:r>
              <w:rPr>
                <w:color w:val="231F20"/>
                <w:spacing w:val="-3"/>
                <w:sz w:val="14"/>
              </w:rPr>
              <w:t xml:space="preserve">просторно </w:t>
            </w:r>
            <w:r>
              <w:rPr>
                <w:color w:val="231F20"/>
                <w:sz w:val="14"/>
              </w:rPr>
              <w:t xml:space="preserve">и </w:t>
            </w:r>
            <w:r>
              <w:rPr>
                <w:color w:val="231F20"/>
                <w:spacing w:val="-3"/>
                <w:sz w:val="14"/>
              </w:rPr>
              <w:t xml:space="preserve">урбано планирање; индустријске четврти, радничка насеља </w:t>
            </w:r>
            <w:r>
              <w:rPr>
                <w:color w:val="231F20"/>
                <w:sz w:val="14"/>
              </w:rPr>
              <w:t xml:space="preserve">и </w:t>
            </w:r>
            <w:r>
              <w:rPr>
                <w:color w:val="231F20"/>
                <w:spacing w:val="-3"/>
                <w:sz w:val="14"/>
              </w:rPr>
              <w:t xml:space="preserve">предграђа; боемске четврти;  појава </w:t>
            </w:r>
            <w:r>
              <w:rPr>
                <w:color w:val="231F20"/>
                <w:spacing w:val="-4"/>
                <w:sz w:val="14"/>
              </w:rPr>
              <w:t xml:space="preserve">модерне </w:t>
            </w:r>
            <w:r>
              <w:rPr>
                <w:color w:val="231F20"/>
                <w:spacing w:val="-3"/>
                <w:sz w:val="14"/>
              </w:rPr>
              <w:t xml:space="preserve">инфраструктуре </w:t>
            </w:r>
            <w:r>
              <w:rPr>
                <w:color w:val="231F20"/>
                <w:sz w:val="14"/>
              </w:rPr>
              <w:t xml:space="preserve">­ </w:t>
            </w:r>
            <w:r>
              <w:rPr>
                <w:color w:val="231F20"/>
                <w:spacing w:val="-4"/>
                <w:sz w:val="14"/>
              </w:rPr>
              <w:t xml:space="preserve">водовод, </w:t>
            </w:r>
            <w:r>
              <w:rPr>
                <w:color w:val="231F20"/>
                <w:spacing w:val="-3"/>
                <w:sz w:val="14"/>
              </w:rPr>
              <w:t>канализација, метро, проблем</w:t>
            </w:r>
            <w:r>
              <w:rPr>
                <w:color w:val="231F20"/>
                <w:spacing w:val="-7"/>
                <w:sz w:val="14"/>
              </w:rPr>
              <w:t xml:space="preserve"> </w:t>
            </w:r>
            <w:r>
              <w:rPr>
                <w:color w:val="231F20"/>
                <w:spacing w:val="-3"/>
                <w:sz w:val="14"/>
              </w:rPr>
              <w:t>загађења,</w:t>
            </w:r>
          </w:p>
          <w:p w:rsidR="00041039" w:rsidRDefault="001B26CB">
            <w:pPr>
              <w:pStyle w:val="TableParagraph"/>
              <w:spacing w:line="156" w:lineRule="exact"/>
              <w:ind w:left="152"/>
              <w:rPr>
                <w:sz w:val="14"/>
              </w:rPr>
            </w:pPr>
            <w:r>
              <w:rPr>
                <w:color w:val="231F20"/>
                <w:spacing w:val="-4"/>
                <w:sz w:val="14"/>
              </w:rPr>
              <w:t xml:space="preserve">одношење </w:t>
            </w:r>
            <w:r>
              <w:rPr>
                <w:color w:val="231F20"/>
                <w:sz w:val="14"/>
              </w:rPr>
              <w:t xml:space="preserve">и </w:t>
            </w:r>
            <w:r>
              <w:rPr>
                <w:color w:val="231F20"/>
                <w:spacing w:val="-3"/>
                <w:sz w:val="14"/>
              </w:rPr>
              <w:t>складиштење отпада; становање</w:t>
            </w:r>
          </w:p>
          <w:p w:rsidR="00041039" w:rsidRDefault="001B26CB">
            <w:pPr>
              <w:pStyle w:val="TableParagraph"/>
              <w:ind w:left="152" w:right="192"/>
              <w:rPr>
                <w:sz w:val="14"/>
              </w:rPr>
            </w:pPr>
            <w:r>
              <w:rPr>
                <w:color w:val="231F20"/>
                <w:sz w:val="14"/>
              </w:rPr>
              <w:t xml:space="preserve">- </w:t>
            </w:r>
            <w:r>
              <w:rPr>
                <w:color w:val="231F20"/>
                <w:spacing w:val="-3"/>
                <w:sz w:val="14"/>
              </w:rPr>
              <w:t xml:space="preserve">грађевински материјали, </w:t>
            </w:r>
            <w:r>
              <w:rPr>
                <w:color w:val="231F20"/>
                <w:spacing w:val="-4"/>
                <w:sz w:val="14"/>
              </w:rPr>
              <w:t xml:space="preserve">начин </w:t>
            </w:r>
            <w:r>
              <w:rPr>
                <w:color w:val="231F20"/>
                <w:spacing w:val="-3"/>
                <w:sz w:val="14"/>
              </w:rPr>
              <w:t>градње, развој г</w:t>
            </w:r>
            <w:r>
              <w:rPr>
                <w:color w:val="231F20"/>
                <w:spacing w:val="-3"/>
                <w:sz w:val="14"/>
              </w:rPr>
              <w:t xml:space="preserve">рађевинске </w:t>
            </w:r>
            <w:r>
              <w:rPr>
                <w:color w:val="231F20"/>
                <w:spacing w:val="-4"/>
                <w:sz w:val="14"/>
              </w:rPr>
              <w:t xml:space="preserve">технике, </w:t>
            </w:r>
            <w:r>
              <w:rPr>
                <w:color w:val="231F20"/>
                <w:spacing w:val="-3"/>
                <w:sz w:val="14"/>
              </w:rPr>
              <w:t xml:space="preserve">врсте објеката </w:t>
            </w:r>
            <w:r>
              <w:rPr>
                <w:color w:val="231F20"/>
                <w:sz w:val="14"/>
              </w:rPr>
              <w:t xml:space="preserve">и </w:t>
            </w:r>
            <w:r>
              <w:rPr>
                <w:color w:val="231F20"/>
                <w:spacing w:val="-3"/>
                <w:sz w:val="14"/>
              </w:rPr>
              <w:t xml:space="preserve">организација простора; разлика </w:t>
            </w:r>
            <w:r>
              <w:rPr>
                <w:color w:val="231F20"/>
                <w:sz w:val="14"/>
              </w:rPr>
              <w:t xml:space="preserve">у </w:t>
            </w:r>
            <w:r>
              <w:rPr>
                <w:color w:val="231F20"/>
                <w:spacing w:val="-4"/>
                <w:sz w:val="14"/>
              </w:rPr>
              <w:t xml:space="preserve">начину </w:t>
            </w:r>
            <w:r>
              <w:rPr>
                <w:color w:val="231F20"/>
                <w:spacing w:val="-3"/>
                <w:sz w:val="14"/>
              </w:rPr>
              <w:t xml:space="preserve">становања између </w:t>
            </w:r>
            <w:r>
              <w:rPr>
                <w:color w:val="231F20"/>
                <w:sz w:val="14"/>
              </w:rPr>
              <w:t xml:space="preserve">села и </w:t>
            </w:r>
            <w:r>
              <w:rPr>
                <w:color w:val="231F20"/>
                <w:spacing w:val="-3"/>
                <w:sz w:val="14"/>
              </w:rPr>
              <w:t xml:space="preserve">града </w:t>
            </w:r>
            <w:r>
              <w:rPr>
                <w:color w:val="231F20"/>
                <w:sz w:val="14"/>
              </w:rPr>
              <w:t xml:space="preserve">и </w:t>
            </w:r>
            <w:r>
              <w:rPr>
                <w:color w:val="231F20"/>
                <w:spacing w:val="-3"/>
                <w:sz w:val="14"/>
              </w:rPr>
              <w:t>између</w:t>
            </w:r>
          </w:p>
          <w:p w:rsidR="00041039" w:rsidRDefault="001B26CB">
            <w:pPr>
              <w:pStyle w:val="TableParagraph"/>
              <w:spacing w:line="237" w:lineRule="auto"/>
              <w:ind w:left="152"/>
              <w:rPr>
                <w:sz w:val="14"/>
              </w:rPr>
            </w:pPr>
            <w:r>
              <w:rPr>
                <w:color w:val="231F20"/>
                <w:spacing w:val="-3"/>
                <w:sz w:val="14"/>
              </w:rPr>
              <w:t xml:space="preserve">припадника различитих друштвених слојева, миграције; осветљење </w:t>
            </w:r>
            <w:r>
              <w:rPr>
                <w:color w:val="231F20"/>
                <w:sz w:val="14"/>
              </w:rPr>
              <w:t xml:space="preserve">­ гас и </w:t>
            </w:r>
            <w:r>
              <w:rPr>
                <w:color w:val="231F20"/>
                <w:spacing w:val="-3"/>
                <w:sz w:val="14"/>
              </w:rPr>
              <w:t xml:space="preserve">струја; грејање, употреба соларне енергије, кућни </w:t>
            </w:r>
            <w:r>
              <w:rPr>
                <w:color w:val="231F20"/>
                <w:spacing w:val="-4"/>
                <w:sz w:val="14"/>
              </w:rPr>
              <w:t xml:space="preserve">апарати; </w:t>
            </w:r>
            <w:r>
              <w:rPr>
                <w:color w:val="231F20"/>
                <w:spacing w:val="-3"/>
                <w:sz w:val="14"/>
              </w:rPr>
              <w:t>оплемењива</w:t>
            </w:r>
            <w:r>
              <w:rPr>
                <w:color w:val="231F20"/>
                <w:spacing w:val="-3"/>
                <w:sz w:val="14"/>
              </w:rPr>
              <w:t>ње стамбеног простора).</w:t>
            </w:r>
          </w:p>
          <w:p w:rsidR="00041039" w:rsidRDefault="001B26CB">
            <w:pPr>
              <w:pStyle w:val="TableParagraph"/>
              <w:numPr>
                <w:ilvl w:val="0"/>
                <w:numId w:val="1789"/>
              </w:numPr>
              <w:tabs>
                <w:tab w:val="left" w:pos="156"/>
              </w:tabs>
              <w:spacing w:line="237" w:lineRule="auto"/>
              <w:ind w:right="130"/>
              <w:rPr>
                <w:sz w:val="14"/>
              </w:rPr>
            </w:pPr>
            <w:r>
              <w:rPr>
                <w:color w:val="231F20"/>
                <w:sz w:val="14"/>
              </w:rPr>
              <w:t>Живот у српским градовима и селима у XIX и XX веку (примери Београда, Новог Сада,</w:t>
            </w:r>
            <w:r>
              <w:rPr>
                <w:color w:val="231F20"/>
                <w:spacing w:val="-9"/>
                <w:sz w:val="14"/>
              </w:rPr>
              <w:t xml:space="preserve"> </w:t>
            </w:r>
            <w:r>
              <w:rPr>
                <w:color w:val="231F20"/>
                <w:sz w:val="14"/>
              </w:rPr>
              <w:t>Ниша,</w:t>
            </w:r>
            <w:r>
              <w:rPr>
                <w:color w:val="231F20"/>
                <w:spacing w:val="-9"/>
                <w:sz w:val="14"/>
              </w:rPr>
              <w:t xml:space="preserve"> </w:t>
            </w:r>
            <w:r>
              <w:rPr>
                <w:color w:val="231F20"/>
                <w:sz w:val="14"/>
              </w:rPr>
              <w:t>Крагујевца...;</w:t>
            </w:r>
            <w:r>
              <w:rPr>
                <w:color w:val="231F20"/>
                <w:spacing w:val="-9"/>
                <w:sz w:val="14"/>
              </w:rPr>
              <w:t xml:space="preserve"> </w:t>
            </w:r>
            <w:r>
              <w:rPr>
                <w:color w:val="231F20"/>
                <w:sz w:val="14"/>
              </w:rPr>
              <w:t>основни</w:t>
            </w:r>
            <w:r>
              <w:rPr>
                <w:color w:val="231F20"/>
                <w:spacing w:val="-9"/>
                <w:sz w:val="14"/>
              </w:rPr>
              <w:t xml:space="preserve"> </w:t>
            </w:r>
            <w:r>
              <w:rPr>
                <w:color w:val="231F20"/>
                <w:sz w:val="14"/>
              </w:rPr>
              <w:t>типови градских насеља­град, варош,</w:t>
            </w:r>
            <w:r>
              <w:rPr>
                <w:color w:val="231F20"/>
                <w:spacing w:val="-20"/>
                <w:sz w:val="14"/>
              </w:rPr>
              <w:t xml:space="preserve"> </w:t>
            </w:r>
            <w:r>
              <w:rPr>
                <w:color w:val="231F20"/>
                <w:sz w:val="14"/>
              </w:rPr>
              <w:t>варошица,</w:t>
            </w:r>
          </w:p>
          <w:p w:rsidR="00041039" w:rsidRDefault="001B26CB">
            <w:pPr>
              <w:pStyle w:val="TableParagraph"/>
              <w:ind w:left="155" w:right="226"/>
              <w:jc w:val="both"/>
              <w:rPr>
                <w:sz w:val="14"/>
              </w:rPr>
            </w:pPr>
            <w:r>
              <w:rPr>
                <w:color w:val="231F20"/>
                <w:sz w:val="14"/>
              </w:rPr>
              <w:t>„дивља”</w:t>
            </w:r>
            <w:r>
              <w:rPr>
                <w:color w:val="231F20"/>
                <w:spacing w:val="-8"/>
                <w:sz w:val="14"/>
              </w:rPr>
              <w:t xml:space="preserve"> </w:t>
            </w:r>
            <w:r>
              <w:rPr>
                <w:color w:val="231F20"/>
                <w:sz w:val="14"/>
              </w:rPr>
              <w:t>насеља;</w:t>
            </w:r>
            <w:r>
              <w:rPr>
                <w:color w:val="231F20"/>
                <w:spacing w:val="-8"/>
                <w:sz w:val="14"/>
              </w:rPr>
              <w:t xml:space="preserve"> </w:t>
            </w:r>
            <w:r>
              <w:rPr>
                <w:color w:val="231F20"/>
                <w:sz w:val="14"/>
              </w:rPr>
              <w:t>оријентални</w:t>
            </w:r>
            <w:r>
              <w:rPr>
                <w:color w:val="231F20"/>
                <w:spacing w:val="-8"/>
                <w:sz w:val="14"/>
              </w:rPr>
              <w:t xml:space="preserve"> </w:t>
            </w:r>
            <w:r>
              <w:rPr>
                <w:color w:val="231F20"/>
                <w:sz w:val="14"/>
              </w:rPr>
              <w:t>и</w:t>
            </w:r>
            <w:r>
              <w:rPr>
                <w:color w:val="231F20"/>
                <w:spacing w:val="-8"/>
                <w:sz w:val="14"/>
              </w:rPr>
              <w:t xml:space="preserve"> </w:t>
            </w:r>
            <w:r>
              <w:rPr>
                <w:color w:val="231F20"/>
                <w:sz w:val="14"/>
              </w:rPr>
              <w:t>европски утицаји; електрификација, јавни градски превоз­фијакери, трамваји,</w:t>
            </w:r>
            <w:r>
              <w:rPr>
                <w:color w:val="231F20"/>
                <w:spacing w:val="-16"/>
                <w:sz w:val="14"/>
              </w:rPr>
              <w:t xml:space="preserve"> </w:t>
            </w:r>
            <w:r>
              <w:rPr>
                <w:color w:val="231F20"/>
                <w:sz w:val="14"/>
              </w:rPr>
              <w:t>тролејбуси</w:t>
            </w:r>
          </w:p>
          <w:p w:rsidR="00041039" w:rsidRDefault="001B26CB">
            <w:pPr>
              <w:pStyle w:val="TableParagraph"/>
              <w:spacing w:line="237" w:lineRule="auto"/>
              <w:ind w:left="155" w:right="70"/>
              <w:rPr>
                <w:sz w:val="14"/>
              </w:rPr>
            </w:pPr>
            <w:r>
              <w:rPr>
                <w:color w:val="231F20"/>
                <w:sz w:val="14"/>
              </w:rPr>
              <w:t xml:space="preserve">и </w:t>
            </w:r>
            <w:r>
              <w:rPr>
                <w:color w:val="231F20"/>
                <w:spacing w:val="-3"/>
                <w:sz w:val="14"/>
              </w:rPr>
              <w:t xml:space="preserve">аутобуси; </w:t>
            </w:r>
            <w:r>
              <w:rPr>
                <w:color w:val="231F20"/>
                <w:sz w:val="14"/>
              </w:rPr>
              <w:t>основни типови сеоских насеља, обележја земљорадње, вино­ градарства и сточарства; задруга, моба, позајмица;</w:t>
            </w:r>
            <w:r>
              <w:rPr>
                <w:color w:val="231F20"/>
                <w:spacing w:val="-13"/>
                <w:sz w:val="14"/>
              </w:rPr>
              <w:t xml:space="preserve"> </w:t>
            </w:r>
            <w:r>
              <w:rPr>
                <w:color w:val="231F20"/>
                <w:sz w:val="14"/>
              </w:rPr>
              <w:t>пољопривредна</w:t>
            </w:r>
            <w:r>
              <w:rPr>
                <w:color w:val="231F20"/>
                <w:spacing w:val="-13"/>
                <w:sz w:val="14"/>
              </w:rPr>
              <w:t xml:space="preserve"> </w:t>
            </w:r>
            <w:r>
              <w:rPr>
                <w:color w:val="231F20"/>
                <w:sz w:val="14"/>
              </w:rPr>
              <w:t>оруђа,</w:t>
            </w:r>
            <w:r>
              <w:rPr>
                <w:color w:val="231F20"/>
                <w:spacing w:val="-13"/>
                <w:sz w:val="14"/>
              </w:rPr>
              <w:t xml:space="preserve"> </w:t>
            </w:r>
            <w:r>
              <w:rPr>
                <w:color w:val="231F20"/>
                <w:sz w:val="14"/>
              </w:rPr>
              <w:t>млинови, ветрењаче; миграције село ­град,</w:t>
            </w:r>
            <w:r>
              <w:rPr>
                <w:color w:val="231F20"/>
                <w:spacing w:val="-26"/>
                <w:sz w:val="14"/>
              </w:rPr>
              <w:t xml:space="preserve"> </w:t>
            </w:r>
            <w:r>
              <w:rPr>
                <w:color w:val="231F20"/>
                <w:sz w:val="14"/>
              </w:rPr>
              <w:t>разлике</w:t>
            </w:r>
          </w:p>
          <w:p w:rsidR="00041039" w:rsidRDefault="001B26CB">
            <w:pPr>
              <w:pStyle w:val="TableParagraph"/>
              <w:ind w:left="155" w:right="61"/>
              <w:rPr>
                <w:sz w:val="14"/>
              </w:rPr>
            </w:pPr>
            <w:r>
              <w:rPr>
                <w:color w:val="231F20"/>
                <w:sz w:val="14"/>
              </w:rPr>
              <w:t>у становању код Срба: дворци, градске куће, конаци, сеоске куће; дворови владара</w:t>
            </w:r>
          </w:p>
          <w:p w:rsidR="00041039" w:rsidRDefault="001B26CB">
            <w:pPr>
              <w:pStyle w:val="TableParagraph"/>
              <w:spacing w:line="237" w:lineRule="auto"/>
              <w:ind w:left="155" w:right="-6"/>
              <w:rPr>
                <w:sz w:val="14"/>
              </w:rPr>
            </w:pPr>
            <w:r>
              <w:rPr>
                <w:color w:val="231F20"/>
                <w:sz w:val="14"/>
              </w:rPr>
              <w:t>­Милоша, Михаила, Милана и Александра Обреновића, кнеза Александра и краљева Петра и Александра Карађорђевића, Николе Петрови</w:t>
            </w:r>
            <w:r>
              <w:rPr>
                <w:color w:val="231F20"/>
                <w:sz w:val="14"/>
              </w:rPr>
              <w:t>ћа, резиденције Јосипа Броза).</w:t>
            </w:r>
          </w:p>
        </w:tc>
        <w:tc>
          <w:tcPr>
            <w:tcW w:w="2267" w:type="dxa"/>
          </w:tcPr>
          <w:p w:rsidR="00041039" w:rsidRDefault="001B26CB">
            <w:pPr>
              <w:pStyle w:val="TableParagraph"/>
              <w:numPr>
                <w:ilvl w:val="0"/>
                <w:numId w:val="1788"/>
              </w:numPr>
              <w:tabs>
                <w:tab w:val="left" w:pos="158"/>
              </w:tabs>
              <w:spacing w:before="10"/>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788"/>
              </w:numPr>
              <w:tabs>
                <w:tab w:val="left" w:pos="158"/>
              </w:tabs>
              <w:spacing w:line="160" w:lineRule="exact"/>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788"/>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788"/>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788"/>
              </w:numPr>
              <w:tabs>
                <w:tab w:val="left" w:pos="158"/>
              </w:tabs>
              <w:spacing w:before="1" w:line="160" w:lineRule="exact"/>
              <w:ind w:right="126" w:hanging="99"/>
              <w:rPr>
                <w:sz w:val="14"/>
              </w:rPr>
            </w:pPr>
            <w:r>
              <w:rPr>
                <w:color w:val="231F20"/>
                <w:sz w:val="14"/>
              </w:rPr>
              <w:t xml:space="preserve">задатак наставника је да на почетку </w:t>
            </w:r>
            <w:r>
              <w:rPr>
                <w:color w:val="231F20"/>
                <w:spacing w:val="-3"/>
                <w:sz w:val="14"/>
              </w:rPr>
              <w:t xml:space="preserve">школске </w:t>
            </w:r>
            <w:r>
              <w:rPr>
                <w:color w:val="231F20"/>
                <w:sz w:val="14"/>
              </w:rPr>
              <w:t xml:space="preserve">године </w:t>
            </w:r>
            <w:r>
              <w:rPr>
                <w:color w:val="231F20"/>
                <w:spacing w:val="-3"/>
                <w:sz w:val="14"/>
              </w:rPr>
              <w:t xml:space="preserve">од </w:t>
            </w:r>
            <w:r>
              <w:rPr>
                <w:color w:val="231F20"/>
                <w:sz w:val="14"/>
              </w:rPr>
              <w:t>дванаест понуђених наставних тема, ученицима предложи</w:t>
            </w:r>
            <w:r>
              <w:rPr>
                <w:color w:val="231F20"/>
                <w:spacing w:val="-18"/>
                <w:sz w:val="14"/>
              </w:rPr>
              <w:t xml:space="preserve"> </w:t>
            </w:r>
            <w:r>
              <w:rPr>
                <w:color w:val="231F20"/>
                <w:sz w:val="14"/>
              </w:rPr>
              <w:t xml:space="preserve">шест, </w:t>
            </w:r>
            <w:r>
              <w:rPr>
                <w:color w:val="231F20"/>
                <w:spacing w:val="-3"/>
                <w:sz w:val="14"/>
              </w:rPr>
              <w:t xml:space="preserve">од </w:t>
            </w:r>
            <w:r>
              <w:rPr>
                <w:color w:val="231F20"/>
                <w:sz w:val="14"/>
              </w:rPr>
              <w:t>којих ће они, као група, у складусасвојим склоностима, изабрати</w:t>
            </w:r>
            <w:r>
              <w:rPr>
                <w:color w:val="231F20"/>
                <w:spacing w:val="-1"/>
                <w:sz w:val="14"/>
              </w:rPr>
              <w:t xml:space="preserve"> </w:t>
            </w:r>
            <w:r>
              <w:rPr>
                <w:color w:val="231F20"/>
                <w:sz w:val="14"/>
              </w:rPr>
              <w:t>четири;</w:t>
            </w:r>
          </w:p>
          <w:p w:rsidR="00041039" w:rsidRDefault="001B26CB">
            <w:pPr>
              <w:pStyle w:val="TableParagraph"/>
              <w:numPr>
                <w:ilvl w:val="0"/>
                <w:numId w:val="1788"/>
              </w:numPr>
              <w:tabs>
                <w:tab w:val="left" w:pos="158"/>
              </w:tabs>
              <w:spacing w:line="160" w:lineRule="exact"/>
              <w:ind w:right="64" w:hanging="99"/>
              <w:rPr>
                <w:sz w:val="14"/>
              </w:rPr>
            </w:pPr>
            <w:r>
              <w:rPr>
                <w:color w:val="231F20"/>
                <w:sz w:val="14"/>
              </w:rPr>
              <w:t>структура програма конципирана је с циљем да помогле</w:t>
            </w:r>
            <w:r>
              <w:rPr>
                <w:color w:val="231F20"/>
                <w:spacing w:val="-22"/>
                <w:sz w:val="14"/>
              </w:rPr>
              <w:t xml:space="preserve"> </w:t>
            </w:r>
            <w:r>
              <w:rPr>
                <w:color w:val="231F20"/>
                <w:sz w:val="14"/>
              </w:rPr>
              <w:t>наставнику у планирању непосредног</w:t>
            </w:r>
            <w:r>
              <w:rPr>
                <w:color w:val="231F20"/>
                <w:spacing w:val="-5"/>
                <w:sz w:val="14"/>
              </w:rPr>
              <w:t xml:space="preserve"> </w:t>
            </w:r>
            <w:r>
              <w:rPr>
                <w:color w:val="231F20"/>
                <w:sz w:val="14"/>
              </w:rPr>
              <w:t>рада</w:t>
            </w:r>
          </w:p>
          <w:p w:rsidR="00041039" w:rsidRDefault="001B26CB">
            <w:pPr>
              <w:pStyle w:val="TableParagraph"/>
              <w:spacing w:line="237" w:lineRule="auto"/>
              <w:ind w:left="157"/>
              <w:rPr>
                <w:sz w:val="14"/>
              </w:rPr>
            </w:pPr>
            <w:r>
              <w:rPr>
                <w:color w:val="231F20"/>
                <w:sz w:val="14"/>
              </w:rPr>
              <w:t>са ученицима, олакшавајући м</w:t>
            </w:r>
            <w:r>
              <w:rPr>
                <w:color w:val="231F20"/>
                <w:sz w:val="14"/>
              </w:rPr>
              <w:t>у одређивање обима и дубине обра­ де појединих наставних садржаја;</w:t>
            </w:r>
          </w:p>
          <w:p w:rsidR="00041039" w:rsidRDefault="001B26CB">
            <w:pPr>
              <w:pStyle w:val="TableParagraph"/>
              <w:numPr>
                <w:ilvl w:val="0"/>
                <w:numId w:val="1788"/>
              </w:numPr>
              <w:tabs>
                <w:tab w:val="left" w:pos="158"/>
              </w:tabs>
              <w:spacing w:line="237" w:lineRule="auto"/>
              <w:ind w:right="163" w:hanging="99"/>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треба да послуже да</w:t>
            </w:r>
            <w:r>
              <w:rPr>
                <w:color w:val="231F20"/>
                <w:spacing w:val="2"/>
                <w:sz w:val="14"/>
              </w:rPr>
              <w:t xml:space="preserve"> </w:t>
            </w:r>
            <w:r>
              <w:rPr>
                <w:color w:val="231F20"/>
                <w:sz w:val="14"/>
              </w:rPr>
              <w:t>нас­</w:t>
            </w:r>
          </w:p>
          <w:p w:rsidR="00041039" w:rsidRDefault="001B26CB">
            <w:pPr>
              <w:pStyle w:val="TableParagraph"/>
              <w:ind w:left="157"/>
              <w:rPr>
                <w:sz w:val="14"/>
              </w:rPr>
            </w:pPr>
            <w:r>
              <w:rPr>
                <w:color w:val="231F20"/>
                <w:sz w:val="14"/>
              </w:rPr>
              <w:t>тавни процес буде тако обликован да се наведени циљеви остваре;</w:t>
            </w:r>
          </w:p>
          <w:p w:rsidR="00041039" w:rsidRDefault="001B26CB">
            <w:pPr>
              <w:pStyle w:val="TableParagraph"/>
              <w:numPr>
                <w:ilvl w:val="0"/>
                <w:numId w:val="1788"/>
              </w:numPr>
              <w:tabs>
                <w:tab w:val="left" w:pos="158"/>
              </w:tabs>
              <w:spacing w:line="160" w:lineRule="exact"/>
              <w:ind w:right="307" w:hanging="99"/>
              <w:rPr>
                <w:sz w:val="14"/>
              </w:rPr>
            </w:pPr>
            <w:r>
              <w:rPr>
                <w:color w:val="231F20"/>
                <w:sz w:val="14"/>
              </w:rPr>
              <w:t>садржаје треба</w:t>
            </w:r>
            <w:r>
              <w:rPr>
                <w:color w:val="231F20"/>
                <w:spacing w:val="-13"/>
                <w:sz w:val="14"/>
              </w:rPr>
              <w:t xml:space="preserve"> </w:t>
            </w:r>
            <w:r>
              <w:rPr>
                <w:color w:val="231F20"/>
                <w:sz w:val="14"/>
              </w:rPr>
              <w:t>прилагођавати уч</w:t>
            </w:r>
            <w:r>
              <w:rPr>
                <w:color w:val="231F20"/>
                <w:sz w:val="14"/>
              </w:rPr>
              <w:t xml:space="preserve">еницима, </w:t>
            </w:r>
            <w:r>
              <w:rPr>
                <w:color w:val="231F20"/>
                <w:spacing w:val="-3"/>
                <w:sz w:val="14"/>
              </w:rPr>
              <w:t xml:space="preserve">како </w:t>
            </w:r>
            <w:r>
              <w:rPr>
                <w:color w:val="231F20"/>
                <w:sz w:val="14"/>
              </w:rPr>
              <w:t>би најлакше и најбрже достигли наведене исходе;</w:t>
            </w:r>
          </w:p>
          <w:p w:rsidR="00041039" w:rsidRDefault="001B26CB">
            <w:pPr>
              <w:pStyle w:val="TableParagraph"/>
              <w:numPr>
                <w:ilvl w:val="0"/>
                <w:numId w:val="1788"/>
              </w:numPr>
              <w:tabs>
                <w:tab w:val="left" w:pos="158"/>
              </w:tabs>
              <w:spacing w:line="160" w:lineRule="exact"/>
              <w:ind w:right="133" w:hanging="99"/>
              <w:rPr>
                <w:sz w:val="14"/>
              </w:rPr>
            </w:pPr>
            <w:r>
              <w:rPr>
                <w:color w:val="231F20"/>
                <w:sz w:val="14"/>
              </w:rPr>
              <w:t xml:space="preserve">наставник има слободу да сам одреди распоред и динамику активности за сваку </w:t>
            </w:r>
            <w:r>
              <w:rPr>
                <w:color w:val="231F20"/>
                <w:spacing w:val="-3"/>
                <w:sz w:val="14"/>
              </w:rPr>
              <w:t xml:space="preserve">тему, </w:t>
            </w:r>
            <w:r>
              <w:rPr>
                <w:color w:val="231F20"/>
                <w:sz w:val="14"/>
              </w:rPr>
              <w:t>уважа­ вајући циљеве</w:t>
            </w:r>
            <w:r>
              <w:rPr>
                <w:color w:val="231F20"/>
                <w:spacing w:val="-2"/>
                <w:sz w:val="14"/>
              </w:rPr>
              <w:t xml:space="preserve"> </w:t>
            </w:r>
            <w:r>
              <w:rPr>
                <w:color w:val="231F20"/>
                <w:sz w:val="14"/>
              </w:rPr>
              <w:t>предмета;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4840"/>
        </w:trPr>
        <w:tc>
          <w:tcPr>
            <w:tcW w:w="1304" w:type="dxa"/>
          </w:tcPr>
          <w:p w:rsidR="00041039" w:rsidRDefault="001B26CB">
            <w:pPr>
              <w:pStyle w:val="TableParagraph"/>
              <w:spacing w:before="18"/>
              <w:ind w:left="56" w:right="27"/>
              <w:rPr>
                <w:sz w:val="14"/>
              </w:rPr>
            </w:pPr>
            <w:r>
              <w:rPr>
                <w:color w:val="231F20"/>
                <w:sz w:val="14"/>
              </w:rPr>
              <w:lastRenderedPageBreak/>
              <w:t>Култура одевања и исхране некад и сад</w:t>
            </w:r>
          </w:p>
        </w:tc>
        <w:tc>
          <w:tcPr>
            <w:tcW w:w="1587" w:type="dxa"/>
          </w:tcPr>
          <w:p w:rsidR="00041039" w:rsidRDefault="001B26CB">
            <w:pPr>
              <w:pStyle w:val="TableParagraph"/>
              <w:numPr>
                <w:ilvl w:val="0"/>
                <w:numId w:val="1787"/>
              </w:numPr>
              <w:tabs>
                <w:tab w:val="left" w:pos="157"/>
              </w:tabs>
              <w:spacing w:before="8"/>
              <w:ind w:right="137"/>
              <w:rPr>
                <w:sz w:val="14"/>
              </w:rPr>
            </w:pPr>
            <w:r>
              <w:rPr>
                <w:color w:val="231F20"/>
                <w:sz w:val="14"/>
              </w:rPr>
              <w:t>Проширивање знања опроменама у</w:t>
            </w:r>
            <w:r>
              <w:rPr>
                <w:color w:val="231F20"/>
                <w:spacing w:val="-11"/>
                <w:sz w:val="14"/>
              </w:rPr>
              <w:t xml:space="preserve"> </w:t>
            </w:r>
            <w:r>
              <w:rPr>
                <w:color w:val="231F20"/>
                <w:sz w:val="14"/>
              </w:rPr>
              <w:t>начину одевања и исхрани кроз</w:t>
            </w:r>
            <w:r>
              <w:rPr>
                <w:color w:val="231F20"/>
                <w:spacing w:val="-2"/>
                <w:sz w:val="14"/>
              </w:rPr>
              <w:t xml:space="preserve"> </w:t>
            </w:r>
            <w:r>
              <w:rPr>
                <w:color w:val="231F20"/>
                <w:sz w:val="14"/>
              </w:rPr>
              <w:t>историју.</w:t>
            </w:r>
          </w:p>
          <w:p w:rsidR="00041039" w:rsidRDefault="001B26CB">
            <w:pPr>
              <w:pStyle w:val="TableParagraph"/>
              <w:numPr>
                <w:ilvl w:val="0"/>
                <w:numId w:val="1787"/>
              </w:numPr>
              <w:tabs>
                <w:tab w:val="left" w:pos="157"/>
              </w:tabs>
              <w:spacing w:line="156" w:lineRule="exact"/>
              <w:rPr>
                <w:sz w:val="14"/>
              </w:rPr>
            </w:pPr>
            <w:r>
              <w:rPr>
                <w:color w:val="231F20"/>
                <w:spacing w:val="-3"/>
                <w:sz w:val="14"/>
              </w:rPr>
              <w:t>Уочавање</w:t>
            </w:r>
            <w:r>
              <w:rPr>
                <w:color w:val="231F20"/>
                <w:spacing w:val="-2"/>
                <w:sz w:val="14"/>
              </w:rPr>
              <w:t xml:space="preserve"> </w:t>
            </w:r>
            <w:r>
              <w:rPr>
                <w:color w:val="231F20"/>
                <w:sz w:val="14"/>
              </w:rPr>
              <w:t>променау</w:t>
            </w:r>
          </w:p>
          <w:p w:rsidR="00041039" w:rsidRDefault="001B26CB">
            <w:pPr>
              <w:pStyle w:val="TableParagraph"/>
              <w:ind w:right="15"/>
              <w:rPr>
                <w:sz w:val="14"/>
              </w:rPr>
            </w:pPr>
            <w:r>
              <w:rPr>
                <w:color w:val="231F20"/>
                <w:sz w:val="14"/>
              </w:rPr>
              <w:t>начинуодевања код Срба кроз историју.</w:t>
            </w:r>
          </w:p>
          <w:p w:rsidR="00041039" w:rsidRDefault="001B26CB">
            <w:pPr>
              <w:pStyle w:val="TableParagraph"/>
              <w:numPr>
                <w:ilvl w:val="0"/>
                <w:numId w:val="1787"/>
              </w:numPr>
              <w:tabs>
                <w:tab w:val="left" w:pos="157"/>
              </w:tabs>
              <w:spacing w:line="160" w:lineRule="exact"/>
              <w:ind w:right="104"/>
              <w:rPr>
                <w:sz w:val="14"/>
              </w:rPr>
            </w:pPr>
            <w:r>
              <w:rPr>
                <w:color w:val="231F20"/>
                <w:spacing w:val="-3"/>
                <w:sz w:val="14"/>
              </w:rPr>
              <w:t xml:space="preserve">Уочавање </w:t>
            </w:r>
            <w:r>
              <w:rPr>
                <w:color w:val="231F20"/>
                <w:sz w:val="14"/>
              </w:rPr>
              <w:t>улогераз­ личитихкултурни­ хутицаја на начин одевања и</w:t>
            </w:r>
            <w:r>
              <w:rPr>
                <w:color w:val="231F20"/>
                <w:spacing w:val="-22"/>
                <w:sz w:val="14"/>
              </w:rPr>
              <w:t xml:space="preserve"> </w:t>
            </w:r>
            <w:r>
              <w:rPr>
                <w:color w:val="231F20"/>
                <w:sz w:val="14"/>
              </w:rPr>
              <w:t>исхранукод Србакроз</w:t>
            </w:r>
            <w:r>
              <w:rPr>
                <w:color w:val="231F20"/>
                <w:spacing w:val="-3"/>
                <w:sz w:val="14"/>
              </w:rPr>
              <w:t xml:space="preserve"> </w:t>
            </w:r>
            <w:r>
              <w:rPr>
                <w:color w:val="231F20"/>
                <w:sz w:val="14"/>
              </w:rPr>
              <w:t>историју.</w:t>
            </w:r>
          </w:p>
        </w:tc>
        <w:tc>
          <w:tcPr>
            <w:tcW w:w="2551" w:type="dxa"/>
          </w:tcPr>
          <w:p w:rsidR="00041039" w:rsidRDefault="001B26CB">
            <w:pPr>
              <w:pStyle w:val="TableParagraph"/>
              <w:numPr>
                <w:ilvl w:val="0"/>
                <w:numId w:val="1786"/>
              </w:numPr>
              <w:tabs>
                <w:tab w:val="left" w:pos="157"/>
              </w:tabs>
              <w:spacing w:before="8"/>
              <w:ind w:right="241" w:hanging="99"/>
              <w:rPr>
                <w:sz w:val="14"/>
              </w:rPr>
            </w:pPr>
            <w:r>
              <w:rPr>
                <w:color w:val="231F20"/>
                <w:sz w:val="14"/>
              </w:rPr>
              <w:t>уочи основна обележја културе</w:t>
            </w:r>
            <w:r>
              <w:rPr>
                <w:color w:val="231F20"/>
                <w:spacing w:val="-24"/>
                <w:sz w:val="14"/>
              </w:rPr>
              <w:t xml:space="preserve"> </w:t>
            </w:r>
            <w:r>
              <w:rPr>
                <w:color w:val="231F20"/>
                <w:sz w:val="14"/>
              </w:rPr>
              <w:t xml:space="preserve">оде­ вања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1786"/>
              </w:numPr>
              <w:tabs>
                <w:tab w:val="left" w:pos="157"/>
              </w:tabs>
              <w:spacing w:line="160" w:lineRule="exact"/>
              <w:ind w:right="64" w:hanging="99"/>
              <w:rPr>
                <w:sz w:val="14"/>
              </w:rPr>
            </w:pPr>
            <w:r>
              <w:rPr>
                <w:color w:val="231F20"/>
                <w:sz w:val="14"/>
              </w:rPr>
              <w:t xml:space="preserve">идентификује основна обележја </w:t>
            </w:r>
            <w:r>
              <w:rPr>
                <w:color w:val="231F20"/>
                <w:spacing w:val="-3"/>
                <w:sz w:val="14"/>
              </w:rPr>
              <w:t xml:space="preserve">култу­ </w:t>
            </w:r>
            <w:r>
              <w:rPr>
                <w:color w:val="231F20"/>
                <w:sz w:val="14"/>
              </w:rPr>
              <w:t xml:space="preserve">ре одевања </w:t>
            </w:r>
            <w:r>
              <w:rPr>
                <w:color w:val="231F20"/>
                <w:spacing w:val="-5"/>
                <w:sz w:val="14"/>
              </w:rPr>
              <w:t xml:space="preserve">код </w:t>
            </w:r>
            <w:r>
              <w:rPr>
                <w:color w:val="231F20"/>
                <w:sz w:val="14"/>
              </w:rPr>
              <w:t>Срба кроз историју;</w:t>
            </w:r>
          </w:p>
          <w:p w:rsidR="00041039" w:rsidRDefault="001B26CB">
            <w:pPr>
              <w:pStyle w:val="TableParagraph"/>
              <w:numPr>
                <w:ilvl w:val="0"/>
                <w:numId w:val="1786"/>
              </w:numPr>
              <w:tabs>
                <w:tab w:val="left" w:pos="157"/>
              </w:tabs>
              <w:spacing w:line="160" w:lineRule="exact"/>
              <w:ind w:right="294" w:hanging="99"/>
              <w:rPr>
                <w:sz w:val="14"/>
              </w:rPr>
            </w:pPr>
            <w:r>
              <w:rPr>
                <w:color w:val="231F20"/>
                <w:sz w:val="14"/>
              </w:rPr>
              <w:t>наведе и упореди разлике у</w:t>
            </w:r>
            <w:r>
              <w:rPr>
                <w:color w:val="231F20"/>
                <w:spacing w:val="-19"/>
                <w:sz w:val="14"/>
              </w:rPr>
              <w:t xml:space="preserve"> </w:t>
            </w:r>
            <w:r>
              <w:rPr>
                <w:color w:val="231F20"/>
                <w:sz w:val="14"/>
              </w:rPr>
              <w:t>начину одевања између села и града кроз историју;</w:t>
            </w:r>
          </w:p>
          <w:p w:rsidR="00041039" w:rsidRDefault="001B26CB">
            <w:pPr>
              <w:pStyle w:val="TableParagraph"/>
              <w:numPr>
                <w:ilvl w:val="0"/>
                <w:numId w:val="1786"/>
              </w:numPr>
              <w:tabs>
                <w:tab w:val="left" w:pos="157"/>
              </w:tabs>
              <w:spacing w:line="160" w:lineRule="exact"/>
              <w:ind w:right="141" w:hanging="99"/>
              <w:rPr>
                <w:sz w:val="14"/>
              </w:rPr>
            </w:pPr>
            <w:r>
              <w:rPr>
                <w:color w:val="231F20"/>
                <w:sz w:val="14"/>
              </w:rPr>
              <w:t>наведе и упореди разлике у начину одевања између припадника</w:t>
            </w:r>
            <w:r>
              <w:rPr>
                <w:color w:val="231F20"/>
                <w:spacing w:val="-19"/>
                <w:sz w:val="14"/>
              </w:rPr>
              <w:t xml:space="preserve"> </w:t>
            </w:r>
            <w:r>
              <w:rPr>
                <w:color w:val="231F20"/>
                <w:sz w:val="14"/>
              </w:rPr>
              <w:t>различи</w:t>
            </w:r>
            <w:r>
              <w:rPr>
                <w:color w:val="231F20"/>
                <w:sz w:val="14"/>
              </w:rPr>
              <w:t>­ тих друштвених група кроз</w:t>
            </w:r>
            <w:r>
              <w:rPr>
                <w:color w:val="231F20"/>
                <w:spacing w:val="-12"/>
                <w:sz w:val="14"/>
              </w:rPr>
              <w:t xml:space="preserve"> </w:t>
            </w:r>
            <w:r>
              <w:rPr>
                <w:color w:val="231F20"/>
                <w:sz w:val="14"/>
              </w:rPr>
              <w:t>историју;</w:t>
            </w:r>
          </w:p>
          <w:p w:rsidR="00041039" w:rsidRDefault="001B26CB">
            <w:pPr>
              <w:pStyle w:val="TableParagraph"/>
              <w:numPr>
                <w:ilvl w:val="0"/>
                <w:numId w:val="1786"/>
              </w:numPr>
              <w:tabs>
                <w:tab w:val="left" w:pos="157"/>
              </w:tabs>
              <w:spacing w:line="160" w:lineRule="exact"/>
              <w:ind w:right="91" w:hanging="99"/>
              <w:rPr>
                <w:sz w:val="14"/>
              </w:rPr>
            </w:pPr>
            <w:r>
              <w:rPr>
                <w:color w:val="231F20"/>
                <w:sz w:val="14"/>
              </w:rPr>
              <w:t>препозна и разуме утицаје</w:t>
            </w:r>
            <w:r>
              <w:rPr>
                <w:color w:val="231F20"/>
                <w:spacing w:val="-13"/>
                <w:sz w:val="14"/>
              </w:rPr>
              <w:t xml:space="preserve"> </w:t>
            </w:r>
            <w:r>
              <w:rPr>
                <w:color w:val="231F20"/>
                <w:sz w:val="14"/>
              </w:rPr>
              <w:t xml:space="preserve">различитих култура на начин одевања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786"/>
              </w:numPr>
              <w:tabs>
                <w:tab w:val="left" w:pos="157"/>
              </w:tabs>
              <w:spacing w:before="1" w:line="160" w:lineRule="exact"/>
              <w:ind w:right="91" w:hanging="99"/>
              <w:rPr>
                <w:sz w:val="14"/>
              </w:rPr>
            </w:pPr>
            <w:r>
              <w:rPr>
                <w:color w:val="231F20"/>
                <w:sz w:val="14"/>
              </w:rPr>
              <w:t>препозна и разуме утицаје</w:t>
            </w:r>
            <w:r>
              <w:rPr>
                <w:color w:val="231F20"/>
                <w:spacing w:val="-13"/>
                <w:sz w:val="14"/>
              </w:rPr>
              <w:t xml:space="preserve"> </w:t>
            </w:r>
            <w:r>
              <w:rPr>
                <w:color w:val="231F20"/>
                <w:sz w:val="14"/>
              </w:rPr>
              <w:t xml:space="preserve">различитих култура на начин исхране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786"/>
              </w:numPr>
              <w:tabs>
                <w:tab w:val="left" w:pos="157"/>
              </w:tabs>
              <w:spacing w:line="160" w:lineRule="exact"/>
              <w:ind w:right="286" w:hanging="99"/>
              <w:rPr>
                <w:sz w:val="14"/>
              </w:rPr>
            </w:pPr>
            <w:r>
              <w:rPr>
                <w:color w:val="231F20"/>
                <w:sz w:val="14"/>
              </w:rPr>
              <w:t>наведе и упореди карактеристике исхране у различитим</w:t>
            </w:r>
            <w:r>
              <w:rPr>
                <w:color w:val="231F20"/>
                <w:spacing w:val="-7"/>
                <w:sz w:val="14"/>
              </w:rPr>
              <w:t xml:space="preserve"> </w:t>
            </w:r>
            <w:r>
              <w:rPr>
                <w:color w:val="231F20"/>
                <w:sz w:val="14"/>
              </w:rPr>
              <w:t>историјским периодима;</w:t>
            </w:r>
          </w:p>
        </w:tc>
        <w:tc>
          <w:tcPr>
            <w:tcW w:w="2834" w:type="dxa"/>
          </w:tcPr>
          <w:p w:rsidR="00041039" w:rsidRDefault="001B26CB">
            <w:pPr>
              <w:pStyle w:val="TableParagraph"/>
              <w:numPr>
                <w:ilvl w:val="0"/>
                <w:numId w:val="1785"/>
              </w:numPr>
              <w:tabs>
                <w:tab w:val="left" w:pos="157"/>
              </w:tabs>
              <w:spacing w:before="8"/>
              <w:ind w:right="65" w:hanging="99"/>
              <w:rPr>
                <w:sz w:val="14"/>
              </w:rPr>
            </w:pPr>
            <w:r>
              <w:rPr>
                <w:color w:val="231F20"/>
                <w:spacing w:val="-3"/>
                <w:sz w:val="14"/>
              </w:rPr>
              <w:t xml:space="preserve">Култура </w:t>
            </w:r>
            <w:r>
              <w:rPr>
                <w:color w:val="231F20"/>
                <w:sz w:val="14"/>
              </w:rPr>
              <w:t xml:space="preserve">одевања </w:t>
            </w:r>
            <w:r>
              <w:rPr>
                <w:color w:val="231F20"/>
                <w:spacing w:val="-3"/>
                <w:sz w:val="14"/>
              </w:rPr>
              <w:t xml:space="preserve">од </w:t>
            </w:r>
            <w:r>
              <w:rPr>
                <w:color w:val="231F20"/>
                <w:sz w:val="14"/>
              </w:rPr>
              <w:t xml:space="preserve">антике до данас(материјали, начин обраде и бојење, разлике у одевању </w:t>
            </w:r>
            <w:r>
              <w:rPr>
                <w:color w:val="231F20"/>
                <w:spacing w:val="-5"/>
                <w:sz w:val="14"/>
              </w:rPr>
              <w:t xml:space="preserve">код </w:t>
            </w:r>
            <w:r>
              <w:rPr>
                <w:color w:val="231F20"/>
                <w:sz w:val="14"/>
              </w:rPr>
              <w:t>припадника разли­ читих друштвених група; појава</w:t>
            </w:r>
            <w:r>
              <w:rPr>
                <w:color w:val="231F20"/>
                <w:spacing w:val="-17"/>
                <w:sz w:val="14"/>
              </w:rPr>
              <w:t xml:space="preserve"> </w:t>
            </w:r>
            <w:r>
              <w:rPr>
                <w:color w:val="231F20"/>
                <w:sz w:val="14"/>
              </w:rPr>
              <w:t xml:space="preserve">вештачких материјала, стилови у </w:t>
            </w:r>
            <w:r>
              <w:rPr>
                <w:color w:val="231F20"/>
                <w:spacing w:val="-3"/>
                <w:sz w:val="14"/>
              </w:rPr>
              <w:t>одевању</w:t>
            </w:r>
            <w:r>
              <w:rPr>
                <w:color w:val="231F20"/>
                <w:spacing w:val="-3"/>
                <w:sz w:val="14"/>
              </w:rPr>
              <w:t xml:space="preserve">, </w:t>
            </w:r>
            <w:r>
              <w:rPr>
                <w:color w:val="231F20"/>
                <w:sz w:val="14"/>
              </w:rPr>
              <w:t xml:space="preserve">модне куће, појава модне индустрије, свакодневна и свечана одећа, џинс као карактеристика одевања младих у читавом свету; </w:t>
            </w:r>
            <w:r>
              <w:rPr>
                <w:color w:val="231F20"/>
                <w:spacing w:val="-3"/>
                <w:sz w:val="14"/>
              </w:rPr>
              <w:t xml:space="preserve">накит, </w:t>
            </w:r>
            <w:r>
              <w:rPr>
                <w:color w:val="231F20"/>
                <w:sz w:val="14"/>
              </w:rPr>
              <w:t>фризуре, шминка,</w:t>
            </w:r>
            <w:r>
              <w:rPr>
                <w:color w:val="231F20"/>
                <w:spacing w:val="-2"/>
                <w:sz w:val="14"/>
              </w:rPr>
              <w:t xml:space="preserve"> </w:t>
            </w:r>
            <w:r>
              <w:rPr>
                <w:color w:val="231F20"/>
                <w:sz w:val="14"/>
              </w:rPr>
              <w:t>парфеми...).</w:t>
            </w:r>
          </w:p>
          <w:p w:rsidR="00041039" w:rsidRDefault="001B26CB">
            <w:pPr>
              <w:pStyle w:val="TableParagraph"/>
              <w:numPr>
                <w:ilvl w:val="0"/>
                <w:numId w:val="1785"/>
              </w:numPr>
              <w:tabs>
                <w:tab w:val="left" w:pos="157"/>
              </w:tabs>
              <w:spacing w:line="152" w:lineRule="exact"/>
              <w:ind w:hanging="99"/>
              <w:rPr>
                <w:sz w:val="14"/>
              </w:rPr>
            </w:pPr>
            <w:r>
              <w:rPr>
                <w:color w:val="231F20"/>
                <w:sz w:val="14"/>
              </w:rPr>
              <w:t xml:space="preserve">Одевање </w:t>
            </w:r>
            <w:r>
              <w:rPr>
                <w:color w:val="231F20"/>
                <w:spacing w:val="-5"/>
                <w:sz w:val="14"/>
              </w:rPr>
              <w:t xml:space="preserve">код </w:t>
            </w:r>
            <w:r>
              <w:rPr>
                <w:color w:val="231F20"/>
                <w:sz w:val="14"/>
              </w:rPr>
              <w:t>Срба кроз историју</w:t>
            </w:r>
            <w:r>
              <w:rPr>
                <w:color w:val="231F20"/>
                <w:sz w:val="14"/>
              </w:rPr>
              <w:t xml:space="preserve"> </w:t>
            </w:r>
            <w:r>
              <w:rPr>
                <w:color w:val="231F20"/>
                <w:sz w:val="14"/>
              </w:rPr>
              <w:t>(мате­</w:t>
            </w:r>
          </w:p>
          <w:p w:rsidR="00041039" w:rsidRDefault="001B26CB">
            <w:pPr>
              <w:pStyle w:val="TableParagraph"/>
              <w:ind w:right="71"/>
              <w:rPr>
                <w:sz w:val="14"/>
              </w:rPr>
            </w:pPr>
            <w:r>
              <w:rPr>
                <w:color w:val="231F20"/>
                <w:sz w:val="14"/>
              </w:rPr>
              <w:t>ријали и тканине ­ кудеља, конопља, чоја, крзно, кожа, лан, свила; разлика у одевању код СрбауХабзбуршком и Османском царству, као и код припадника различитих друштвених група; грађанско одело и европски узори у облачењу српскогграђан­ ског сталежа; унифор</w:t>
            </w:r>
            <w:r>
              <w:rPr>
                <w:color w:val="231F20"/>
                <w:sz w:val="14"/>
              </w:rPr>
              <w:t>ме државних чинов­ ника, лекара, цариника, професора Лицеја и гимназија у обновљеној Србији; народна ношња, савремени начин одевања).</w:t>
            </w:r>
          </w:p>
          <w:p w:rsidR="00041039" w:rsidRDefault="001B26CB">
            <w:pPr>
              <w:pStyle w:val="TableParagraph"/>
              <w:numPr>
                <w:ilvl w:val="0"/>
                <w:numId w:val="1785"/>
              </w:numPr>
              <w:tabs>
                <w:tab w:val="left" w:pos="157"/>
              </w:tabs>
              <w:spacing w:line="151" w:lineRule="exact"/>
              <w:ind w:hanging="99"/>
              <w:rPr>
                <w:sz w:val="14"/>
              </w:rPr>
            </w:pPr>
            <w:r>
              <w:rPr>
                <w:color w:val="231F20"/>
                <w:spacing w:val="-3"/>
                <w:sz w:val="14"/>
              </w:rPr>
              <w:t xml:space="preserve">Култура </w:t>
            </w:r>
            <w:r>
              <w:rPr>
                <w:color w:val="231F20"/>
                <w:sz w:val="14"/>
              </w:rPr>
              <w:t xml:space="preserve">исхране </w:t>
            </w:r>
            <w:r>
              <w:rPr>
                <w:color w:val="231F20"/>
                <w:spacing w:val="-3"/>
                <w:sz w:val="14"/>
              </w:rPr>
              <w:t xml:space="preserve">од </w:t>
            </w:r>
            <w:r>
              <w:rPr>
                <w:color w:val="231F20"/>
                <w:sz w:val="14"/>
              </w:rPr>
              <w:t>антике до данас</w:t>
            </w:r>
          </w:p>
          <w:p w:rsidR="00041039" w:rsidRDefault="001B26CB">
            <w:pPr>
              <w:pStyle w:val="TableParagraph"/>
              <w:spacing w:line="160" w:lineRule="exact"/>
              <w:rPr>
                <w:sz w:val="14"/>
              </w:rPr>
            </w:pPr>
            <w:r>
              <w:rPr>
                <w:color w:val="231F20"/>
                <w:sz w:val="14"/>
              </w:rPr>
              <w:t>(сакупљање и припремање намирница,</w:t>
            </w:r>
          </w:p>
          <w:p w:rsidR="00041039" w:rsidRDefault="001B26CB">
            <w:pPr>
              <w:pStyle w:val="TableParagraph"/>
              <w:ind w:right="13"/>
              <w:rPr>
                <w:sz w:val="14"/>
              </w:rPr>
            </w:pPr>
            <w:r>
              <w:rPr>
                <w:color w:val="231F20"/>
                <w:sz w:val="14"/>
              </w:rPr>
              <w:t>лов и риболов, начини чувања хране, пиће, реконструкција могућег јеловника ­ двор, град, село; посни и мрсни циклуси; наци­ онална кухиња код Срба, утицаји других кухиња; конзумирање кафе и дувана, употреба источњачких зачина, понашање за столом, прибор за</w:t>
            </w:r>
            <w:r>
              <w:rPr>
                <w:color w:val="231F20"/>
                <w:sz w:val="14"/>
              </w:rPr>
              <w:t>јело; кухињски апарати; ресторани „брзе хране”).</w:t>
            </w:r>
          </w:p>
        </w:tc>
        <w:tc>
          <w:tcPr>
            <w:tcW w:w="2267" w:type="dxa"/>
            <w:vMerge w:val="restart"/>
          </w:tcPr>
          <w:p w:rsidR="00041039" w:rsidRDefault="001B26CB">
            <w:pPr>
              <w:pStyle w:val="TableParagraph"/>
              <w:numPr>
                <w:ilvl w:val="0"/>
                <w:numId w:val="1784"/>
              </w:numPr>
              <w:tabs>
                <w:tab w:val="left" w:pos="158"/>
              </w:tabs>
              <w:spacing w:before="9"/>
              <w:ind w:right="139" w:hanging="99"/>
              <w:rPr>
                <w:sz w:val="14"/>
              </w:rPr>
            </w:pPr>
            <w:r>
              <w:rPr>
                <w:color w:val="231F20"/>
                <w:sz w:val="14"/>
              </w:rPr>
              <w:t>програм се може допунити</w:t>
            </w:r>
            <w:r>
              <w:rPr>
                <w:color w:val="231F20"/>
                <w:spacing w:val="-10"/>
                <w:sz w:val="14"/>
              </w:rPr>
              <w:t xml:space="preserve"> </w:t>
            </w:r>
            <w:r>
              <w:rPr>
                <w:color w:val="231F20"/>
                <w:sz w:val="14"/>
              </w:rPr>
              <w:t xml:space="preserve">садр­ жајима из прошлости завичаја, чиме се </w:t>
            </w:r>
            <w:r>
              <w:rPr>
                <w:color w:val="231F20"/>
                <w:spacing w:val="-5"/>
                <w:sz w:val="14"/>
              </w:rPr>
              <w:t xml:space="preserve">код </w:t>
            </w:r>
            <w:r>
              <w:rPr>
                <w:color w:val="231F20"/>
                <w:sz w:val="14"/>
              </w:rPr>
              <w:t>ученика постиже јаснија представа о историјској и културној баштини у њиховом крају(археолошка налазишта, музејске</w:t>
            </w:r>
            <w:r>
              <w:rPr>
                <w:color w:val="231F20"/>
                <w:spacing w:val="-1"/>
                <w:sz w:val="14"/>
              </w:rPr>
              <w:t xml:space="preserve"> </w:t>
            </w:r>
            <w:r>
              <w:rPr>
                <w:color w:val="231F20"/>
                <w:sz w:val="14"/>
              </w:rPr>
              <w:t>збирке);</w:t>
            </w:r>
          </w:p>
          <w:p w:rsidR="00041039" w:rsidRDefault="001B26CB">
            <w:pPr>
              <w:pStyle w:val="TableParagraph"/>
              <w:numPr>
                <w:ilvl w:val="0"/>
                <w:numId w:val="1784"/>
              </w:numPr>
              <w:tabs>
                <w:tab w:val="left" w:pos="158"/>
              </w:tabs>
              <w:spacing w:line="153" w:lineRule="exact"/>
              <w:ind w:hanging="99"/>
              <w:rPr>
                <w:sz w:val="14"/>
              </w:rPr>
            </w:pPr>
            <w:r>
              <w:rPr>
                <w:color w:val="231F20"/>
                <w:sz w:val="14"/>
              </w:rPr>
              <w:t xml:space="preserve">у школама </w:t>
            </w:r>
            <w:r>
              <w:rPr>
                <w:color w:val="231F20"/>
                <w:sz w:val="14"/>
              </w:rPr>
              <w:t>на наставном</w:t>
            </w:r>
            <w:r>
              <w:rPr>
                <w:color w:val="231F20"/>
                <w:spacing w:val="-10"/>
                <w:sz w:val="14"/>
              </w:rPr>
              <w:t xml:space="preserve"> </w:t>
            </w:r>
            <w:r>
              <w:rPr>
                <w:color w:val="231F20"/>
                <w:sz w:val="14"/>
              </w:rPr>
              <w:t>језику</w:t>
            </w:r>
          </w:p>
          <w:p w:rsidR="00041039" w:rsidRDefault="001B26CB">
            <w:pPr>
              <w:pStyle w:val="TableParagraph"/>
              <w:ind w:left="157" w:right="107"/>
              <w:rPr>
                <w:sz w:val="14"/>
              </w:rPr>
            </w:pPr>
            <w:r>
              <w:rPr>
                <w:color w:val="231F20"/>
                <w:sz w:val="14"/>
              </w:rPr>
              <w:t>неке од националних мањина могу се обрадити и проширени наставни садржаји из прошлости тог народа;</w:t>
            </w:r>
          </w:p>
          <w:p w:rsidR="00041039" w:rsidRDefault="001B26CB">
            <w:pPr>
              <w:pStyle w:val="TableParagraph"/>
              <w:numPr>
                <w:ilvl w:val="0"/>
                <w:numId w:val="1784"/>
              </w:numPr>
              <w:tabs>
                <w:tab w:val="left" w:pos="158"/>
              </w:tabs>
              <w:spacing w:line="157" w:lineRule="exact"/>
              <w:ind w:hanging="99"/>
              <w:rPr>
                <w:sz w:val="14"/>
              </w:rPr>
            </w:pPr>
            <w:r>
              <w:rPr>
                <w:color w:val="231F20"/>
                <w:sz w:val="14"/>
              </w:rPr>
              <w:t>важно је искористити</w:t>
            </w:r>
            <w:r>
              <w:rPr>
                <w:color w:val="231F20"/>
                <w:spacing w:val="-17"/>
                <w:sz w:val="14"/>
              </w:rPr>
              <w:t xml:space="preserve"> </w:t>
            </w:r>
            <w:r>
              <w:rPr>
                <w:color w:val="231F20"/>
                <w:sz w:val="14"/>
              </w:rPr>
              <w:t>велике</w:t>
            </w:r>
          </w:p>
          <w:p w:rsidR="00041039" w:rsidRDefault="001B26CB">
            <w:pPr>
              <w:pStyle w:val="TableParagraph"/>
              <w:ind w:left="157" w:right="111"/>
              <w:rPr>
                <w:sz w:val="14"/>
              </w:rPr>
            </w:pPr>
            <w:r>
              <w:rPr>
                <w:color w:val="231F20"/>
                <w:sz w:val="14"/>
              </w:rPr>
              <w:t>могућности које историја као наративни предмет пружа у под­ стицању ученичке радозналости, која је у основи с</w:t>
            </w:r>
            <w:r>
              <w:rPr>
                <w:color w:val="231F20"/>
                <w:sz w:val="14"/>
              </w:rPr>
              <w:t>ваког сазнања;</w:t>
            </w:r>
          </w:p>
          <w:p w:rsidR="00041039" w:rsidRDefault="001B26CB">
            <w:pPr>
              <w:pStyle w:val="TableParagraph"/>
              <w:numPr>
                <w:ilvl w:val="0"/>
                <w:numId w:val="1784"/>
              </w:numPr>
              <w:tabs>
                <w:tab w:val="left" w:pos="158"/>
              </w:tabs>
              <w:spacing w:line="157" w:lineRule="exact"/>
              <w:ind w:hanging="99"/>
              <w:rPr>
                <w:sz w:val="14"/>
              </w:rPr>
            </w:pPr>
            <w:r>
              <w:rPr>
                <w:color w:val="231F20"/>
                <w:sz w:val="14"/>
              </w:rPr>
              <w:t xml:space="preserve">наставни садржаји треба да </w:t>
            </w:r>
            <w:r>
              <w:rPr>
                <w:color w:val="231F20"/>
                <w:spacing w:val="-4"/>
                <w:sz w:val="14"/>
              </w:rPr>
              <w:t>буду</w:t>
            </w:r>
          </w:p>
          <w:p w:rsidR="00041039" w:rsidRDefault="001B26CB">
            <w:pPr>
              <w:pStyle w:val="TableParagraph"/>
              <w:ind w:left="157" w:right="18"/>
              <w:rPr>
                <w:sz w:val="14"/>
              </w:rPr>
            </w:pPr>
            <w:r>
              <w:rPr>
                <w:color w:val="231F20"/>
                <w:sz w:val="14"/>
              </w:rPr>
              <w:t>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rsidR="00041039" w:rsidRDefault="001B26CB">
            <w:pPr>
              <w:pStyle w:val="TableParagraph"/>
              <w:numPr>
                <w:ilvl w:val="0"/>
                <w:numId w:val="1784"/>
              </w:numPr>
              <w:tabs>
                <w:tab w:val="left" w:pos="158"/>
              </w:tabs>
              <w:spacing w:line="154" w:lineRule="exact"/>
              <w:ind w:hanging="99"/>
              <w:rPr>
                <w:sz w:val="14"/>
              </w:rPr>
            </w:pPr>
            <w:r>
              <w:rPr>
                <w:color w:val="231F20"/>
                <w:sz w:val="14"/>
              </w:rPr>
              <w:t>посебно место у настави</w:t>
            </w:r>
            <w:r>
              <w:rPr>
                <w:color w:val="231F20"/>
                <w:spacing w:val="-2"/>
                <w:sz w:val="14"/>
              </w:rPr>
              <w:t xml:space="preserve"> </w:t>
            </w:r>
            <w:r>
              <w:rPr>
                <w:color w:val="231F20"/>
                <w:sz w:val="14"/>
              </w:rPr>
              <w:t>историје</w:t>
            </w:r>
          </w:p>
          <w:p w:rsidR="00041039" w:rsidRDefault="001B26CB">
            <w:pPr>
              <w:pStyle w:val="TableParagraph"/>
              <w:ind w:left="157"/>
              <w:rPr>
                <w:sz w:val="14"/>
              </w:rPr>
            </w:pPr>
            <w:r>
              <w:rPr>
                <w:color w:val="231F20"/>
                <w:sz w:val="14"/>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041039" w:rsidRDefault="001B26CB">
            <w:pPr>
              <w:pStyle w:val="TableParagraph"/>
              <w:numPr>
                <w:ilvl w:val="0"/>
                <w:numId w:val="1784"/>
              </w:numPr>
              <w:tabs>
                <w:tab w:val="left" w:pos="158"/>
              </w:tabs>
              <w:spacing w:line="154" w:lineRule="exact"/>
              <w:ind w:hanging="99"/>
              <w:rPr>
                <w:sz w:val="14"/>
              </w:rPr>
            </w:pPr>
            <w:r>
              <w:rPr>
                <w:color w:val="231F20"/>
                <w:sz w:val="14"/>
              </w:rPr>
              <w:t>добро осмишљена питања н</w:t>
            </w:r>
            <w:r>
              <w:rPr>
                <w:color w:val="231F20"/>
                <w:sz w:val="14"/>
              </w:rPr>
              <w:t>астав­</w:t>
            </w:r>
          </w:p>
          <w:p w:rsidR="00041039" w:rsidRDefault="001B26CB">
            <w:pPr>
              <w:pStyle w:val="TableParagraph"/>
              <w:ind w:left="157"/>
              <w:rPr>
                <w:sz w:val="14"/>
              </w:rPr>
            </w:pPr>
            <w:r>
              <w:rPr>
                <w:color w:val="231F20"/>
                <w:sz w:val="14"/>
              </w:rPr>
              <w:t>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rsidR="00041039" w:rsidRDefault="001B26CB">
            <w:pPr>
              <w:pStyle w:val="TableParagraph"/>
              <w:numPr>
                <w:ilvl w:val="0"/>
                <w:numId w:val="1784"/>
              </w:numPr>
              <w:tabs>
                <w:tab w:val="left" w:pos="158"/>
              </w:tabs>
              <w:spacing w:line="155" w:lineRule="exact"/>
              <w:ind w:hanging="99"/>
              <w:rPr>
                <w:sz w:val="14"/>
              </w:rPr>
            </w:pPr>
            <w:r>
              <w:rPr>
                <w:color w:val="231F20"/>
                <w:sz w:val="14"/>
              </w:rPr>
              <w:t xml:space="preserve">у зависности </w:t>
            </w:r>
            <w:r>
              <w:rPr>
                <w:color w:val="231F20"/>
                <w:spacing w:val="-3"/>
                <w:sz w:val="14"/>
              </w:rPr>
              <w:t xml:space="preserve">од </w:t>
            </w:r>
            <w:r>
              <w:rPr>
                <w:color w:val="231F20"/>
                <w:sz w:val="14"/>
              </w:rPr>
              <w:t>циља који</w:t>
            </w:r>
            <w:r>
              <w:rPr>
                <w:color w:val="231F20"/>
                <w:spacing w:val="-4"/>
                <w:sz w:val="14"/>
              </w:rPr>
              <w:t xml:space="preserve"> </w:t>
            </w:r>
            <w:r>
              <w:rPr>
                <w:color w:val="231F20"/>
                <w:sz w:val="14"/>
              </w:rPr>
              <w:t>на­</w:t>
            </w:r>
          </w:p>
          <w:p w:rsidR="00041039" w:rsidRDefault="001B26CB">
            <w:pPr>
              <w:pStyle w:val="TableParagraph"/>
              <w:ind w:left="157" w:right="81"/>
              <w:rPr>
                <w:sz w:val="14"/>
              </w:rPr>
            </w:pPr>
            <w:r>
              <w:rPr>
                <w:color w:val="231F20"/>
                <w:sz w:val="14"/>
              </w:rPr>
              <w:t>ставник жели да оствари, питања могу имати р</w:t>
            </w:r>
            <w:r>
              <w:rPr>
                <w:color w:val="231F20"/>
                <w:sz w:val="14"/>
              </w:rPr>
              <w:t>азличите функције, као што су: фокусирање пажње на неки садржај или аспект, подстицање поређења, трагање</w:t>
            </w:r>
            <w:r>
              <w:rPr>
                <w:color w:val="231F20"/>
                <w:spacing w:val="-14"/>
                <w:sz w:val="14"/>
              </w:rPr>
              <w:t xml:space="preserve"> </w:t>
            </w:r>
            <w:r>
              <w:rPr>
                <w:color w:val="231F20"/>
                <w:sz w:val="14"/>
              </w:rPr>
              <w:t>за појашњењем;</w:t>
            </w:r>
          </w:p>
          <w:p w:rsidR="00041039" w:rsidRDefault="001B26CB">
            <w:pPr>
              <w:pStyle w:val="TableParagraph"/>
              <w:numPr>
                <w:ilvl w:val="0"/>
                <w:numId w:val="1784"/>
              </w:numPr>
              <w:tabs>
                <w:tab w:val="left" w:pos="158"/>
              </w:tabs>
              <w:spacing w:line="155" w:lineRule="exact"/>
              <w:ind w:hanging="99"/>
              <w:rPr>
                <w:sz w:val="14"/>
              </w:rPr>
            </w:pPr>
            <w:r>
              <w:rPr>
                <w:color w:val="231F20"/>
                <w:sz w:val="14"/>
              </w:rPr>
              <w:t>настава би требало да</w:t>
            </w:r>
            <w:r>
              <w:rPr>
                <w:color w:val="231F20"/>
                <w:spacing w:val="-4"/>
                <w:sz w:val="14"/>
              </w:rPr>
              <w:t xml:space="preserve"> </w:t>
            </w:r>
            <w:r>
              <w:rPr>
                <w:color w:val="231F20"/>
                <w:sz w:val="14"/>
              </w:rPr>
              <w:t>помогне</w:t>
            </w:r>
          </w:p>
          <w:p w:rsidR="00041039" w:rsidRDefault="001B26CB">
            <w:pPr>
              <w:pStyle w:val="TableParagraph"/>
              <w:ind w:left="157" w:right="104"/>
              <w:rPr>
                <w:sz w:val="14"/>
              </w:rPr>
            </w:pPr>
            <w:r>
              <w:rPr>
                <w:color w:val="231F20"/>
                <w:sz w:val="14"/>
              </w:rPr>
              <w:t>ученицима у стварању што јасније представе не само о томе шта се десило, већ и зашто се то десило и какве су последице из тога проистекле;</w:t>
            </w:r>
          </w:p>
          <w:p w:rsidR="00041039" w:rsidRDefault="001B26CB">
            <w:pPr>
              <w:pStyle w:val="TableParagraph"/>
              <w:numPr>
                <w:ilvl w:val="0"/>
                <w:numId w:val="1784"/>
              </w:numPr>
              <w:tabs>
                <w:tab w:val="left" w:pos="158"/>
              </w:tabs>
              <w:spacing w:line="156" w:lineRule="exact"/>
              <w:ind w:hanging="99"/>
              <w:rPr>
                <w:sz w:val="14"/>
              </w:rPr>
            </w:pPr>
            <w:r>
              <w:rPr>
                <w:color w:val="231F20"/>
                <w:sz w:val="14"/>
              </w:rPr>
              <w:t>у настави треба што</w:t>
            </w:r>
            <w:r>
              <w:rPr>
                <w:color w:val="231F20"/>
                <w:spacing w:val="-2"/>
                <w:sz w:val="14"/>
              </w:rPr>
              <w:t xml:space="preserve"> </w:t>
            </w:r>
            <w:r>
              <w:rPr>
                <w:color w:val="231F20"/>
                <w:sz w:val="14"/>
              </w:rPr>
              <w:t>више</w:t>
            </w:r>
          </w:p>
          <w:p w:rsidR="00041039" w:rsidRDefault="001B26CB">
            <w:pPr>
              <w:pStyle w:val="TableParagraph"/>
              <w:ind w:left="157" w:right="51"/>
              <w:rPr>
                <w:sz w:val="14"/>
              </w:rPr>
            </w:pPr>
            <w:r>
              <w:rPr>
                <w:color w:val="231F20"/>
                <w:sz w:val="14"/>
              </w:rPr>
              <w:t>користити различите облике организоване активности ученика (индивидуални рад, рад у пару, ра</w:t>
            </w:r>
            <w:r>
              <w:rPr>
                <w:color w:val="231F20"/>
                <w:sz w:val="14"/>
              </w:rPr>
              <w:t>д у групи, радионице или домаћи задатак);</w:t>
            </w:r>
          </w:p>
          <w:p w:rsidR="00041039" w:rsidRDefault="001B26CB">
            <w:pPr>
              <w:pStyle w:val="TableParagraph"/>
              <w:numPr>
                <w:ilvl w:val="0"/>
                <w:numId w:val="1784"/>
              </w:numPr>
              <w:tabs>
                <w:tab w:val="left" w:pos="158"/>
              </w:tabs>
              <w:spacing w:line="156" w:lineRule="exact"/>
              <w:ind w:hanging="99"/>
              <w:rPr>
                <w:sz w:val="14"/>
              </w:rPr>
            </w:pPr>
            <w:r>
              <w:rPr>
                <w:color w:val="231F20"/>
                <w:sz w:val="14"/>
              </w:rPr>
              <w:t>да би схватио догађаје из</w:t>
            </w:r>
            <w:r>
              <w:rPr>
                <w:color w:val="231F20"/>
                <w:spacing w:val="-20"/>
                <w:sz w:val="14"/>
              </w:rPr>
              <w:t xml:space="preserve"> </w:t>
            </w:r>
            <w:r>
              <w:rPr>
                <w:color w:val="231F20"/>
                <w:sz w:val="14"/>
              </w:rPr>
              <w:t>прошло­</w:t>
            </w:r>
          </w:p>
          <w:p w:rsidR="00041039" w:rsidRDefault="001B26CB">
            <w:pPr>
              <w:pStyle w:val="TableParagraph"/>
              <w:ind w:left="157" w:right="53"/>
              <w:rPr>
                <w:sz w:val="14"/>
              </w:rPr>
            </w:pPr>
            <w:r>
              <w:rPr>
                <w:color w:val="231F20"/>
                <w:sz w:val="14"/>
              </w:rPr>
              <w:t>сти, ученик треба да их „оживи у свом уму”, у чему велику помоћ може пружити употреба различи­ 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w:t>
            </w:r>
            <w:r>
              <w:rPr>
                <w:color w:val="231F20"/>
                <w:sz w:val="14"/>
              </w:rPr>
              <w:t>ажење културно­историјских споменика и посете установама културе;</w:t>
            </w:r>
          </w:p>
          <w:p w:rsidR="00041039" w:rsidRDefault="001B26CB">
            <w:pPr>
              <w:pStyle w:val="TableParagraph"/>
              <w:numPr>
                <w:ilvl w:val="0"/>
                <w:numId w:val="1784"/>
              </w:numPr>
              <w:tabs>
                <w:tab w:val="left" w:pos="158"/>
              </w:tabs>
              <w:spacing w:line="150" w:lineRule="exact"/>
              <w:ind w:hanging="99"/>
              <w:rPr>
                <w:sz w:val="14"/>
              </w:rPr>
            </w:pPr>
            <w:r>
              <w:rPr>
                <w:color w:val="231F20"/>
                <w:sz w:val="14"/>
              </w:rPr>
              <w:t>треба искористити и</w:t>
            </w:r>
            <w:r>
              <w:rPr>
                <w:color w:val="231F20"/>
                <w:spacing w:val="-3"/>
                <w:sz w:val="14"/>
              </w:rPr>
              <w:t xml:space="preserve"> </w:t>
            </w:r>
            <w:r>
              <w:rPr>
                <w:color w:val="231F20"/>
                <w:sz w:val="14"/>
              </w:rPr>
              <w:t>утицај</w:t>
            </w:r>
          </w:p>
          <w:p w:rsidR="00041039" w:rsidRDefault="001B26CB">
            <w:pPr>
              <w:pStyle w:val="TableParagraph"/>
              <w:spacing w:line="237" w:lineRule="auto"/>
              <w:ind w:left="157"/>
              <w:rPr>
                <w:sz w:val="14"/>
              </w:rPr>
            </w:pPr>
            <w:r>
              <w:rPr>
                <w:color w:val="231F20"/>
                <w:sz w:val="14"/>
              </w:rPr>
              <w:t>наставе историје на развијање језичке и говорне културе (бесед­ ништва), јер историјски садржаји богате и оплемењују језички фонд ученика;</w:t>
            </w:r>
          </w:p>
        </w:tc>
      </w:tr>
      <w:tr w:rsidR="00041039">
        <w:trPr>
          <w:trHeight w:val="3560"/>
        </w:trPr>
        <w:tc>
          <w:tcPr>
            <w:tcW w:w="1304" w:type="dxa"/>
          </w:tcPr>
          <w:p w:rsidR="00041039" w:rsidRDefault="001B26CB">
            <w:pPr>
              <w:pStyle w:val="TableParagraph"/>
              <w:spacing w:before="21"/>
              <w:ind w:left="56" w:right="174"/>
              <w:rPr>
                <w:sz w:val="14"/>
              </w:rPr>
            </w:pPr>
            <w:r>
              <w:rPr>
                <w:color w:val="231F20"/>
                <w:sz w:val="14"/>
              </w:rPr>
              <w:t>Војска, оружје и рат не</w:t>
            </w:r>
            <w:r>
              <w:rPr>
                <w:color w:val="231F20"/>
                <w:sz w:val="14"/>
              </w:rPr>
              <w:t>кад и сад</w:t>
            </w:r>
          </w:p>
        </w:tc>
        <w:tc>
          <w:tcPr>
            <w:tcW w:w="1587" w:type="dxa"/>
          </w:tcPr>
          <w:p w:rsidR="00041039" w:rsidRDefault="001B26CB">
            <w:pPr>
              <w:pStyle w:val="TableParagraph"/>
              <w:numPr>
                <w:ilvl w:val="0"/>
                <w:numId w:val="1783"/>
              </w:numPr>
              <w:tabs>
                <w:tab w:val="left" w:pos="157"/>
              </w:tabs>
              <w:spacing w:before="10"/>
              <w:ind w:right="115"/>
              <w:rPr>
                <w:sz w:val="14"/>
              </w:rPr>
            </w:pPr>
            <w:r>
              <w:rPr>
                <w:color w:val="231F20"/>
                <w:sz w:val="14"/>
              </w:rPr>
              <w:t>Проширивање знања о развоју војне тех­ нике и променама у начину ратовања</w:t>
            </w:r>
            <w:r>
              <w:rPr>
                <w:color w:val="231F20"/>
                <w:spacing w:val="-14"/>
                <w:sz w:val="14"/>
              </w:rPr>
              <w:t xml:space="preserve"> </w:t>
            </w:r>
            <w:r>
              <w:rPr>
                <w:color w:val="231F20"/>
                <w:sz w:val="14"/>
              </w:rPr>
              <w:t>кроз историју.</w:t>
            </w:r>
          </w:p>
          <w:p w:rsidR="00041039" w:rsidRDefault="001B26CB">
            <w:pPr>
              <w:pStyle w:val="TableParagraph"/>
              <w:numPr>
                <w:ilvl w:val="0"/>
                <w:numId w:val="1783"/>
              </w:numPr>
              <w:tabs>
                <w:tab w:val="left" w:pos="157"/>
              </w:tabs>
              <w:spacing w:line="155"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121"/>
              <w:jc w:val="both"/>
              <w:rPr>
                <w:sz w:val="14"/>
              </w:rPr>
            </w:pPr>
            <w:r>
              <w:rPr>
                <w:color w:val="231F20"/>
                <w:sz w:val="14"/>
              </w:rPr>
              <w:t>развоју војске и</w:t>
            </w:r>
            <w:r>
              <w:rPr>
                <w:color w:val="231F20"/>
                <w:spacing w:val="-15"/>
                <w:sz w:val="14"/>
              </w:rPr>
              <w:t xml:space="preserve"> </w:t>
            </w:r>
            <w:r>
              <w:rPr>
                <w:color w:val="231F20"/>
                <w:sz w:val="14"/>
              </w:rPr>
              <w:t xml:space="preserve">начи­ ну ратовања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1783"/>
              </w:numPr>
              <w:tabs>
                <w:tab w:val="left" w:pos="157"/>
              </w:tabs>
              <w:spacing w:line="158" w:lineRule="exact"/>
              <w:rPr>
                <w:sz w:val="14"/>
              </w:rPr>
            </w:pPr>
            <w:r>
              <w:rPr>
                <w:color w:val="231F20"/>
                <w:sz w:val="14"/>
              </w:rPr>
              <w:t>Развијање</w:t>
            </w:r>
            <w:r>
              <w:rPr>
                <w:color w:val="231F20"/>
                <w:spacing w:val="-4"/>
                <w:sz w:val="14"/>
              </w:rPr>
              <w:t xml:space="preserve"> </w:t>
            </w:r>
            <w:r>
              <w:rPr>
                <w:color w:val="231F20"/>
                <w:sz w:val="14"/>
              </w:rPr>
              <w:t>критичког</w:t>
            </w:r>
          </w:p>
          <w:p w:rsidR="00041039" w:rsidRDefault="001B26CB">
            <w:pPr>
              <w:pStyle w:val="TableParagraph"/>
              <w:spacing w:line="160" w:lineRule="exact"/>
              <w:rPr>
                <w:sz w:val="14"/>
              </w:rPr>
            </w:pPr>
            <w:r>
              <w:rPr>
                <w:color w:val="231F20"/>
                <w:sz w:val="14"/>
              </w:rPr>
              <w:t>става према рату.</w:t>
            </w:r>
          </w:p>
        </w:tc>
        <w:tc>
          <w:tcPr>
            <w:tcW w:w="2551" w:type="dxa"/>
          </w:tcPr>
          <w:p w:rsidR="00041039" w:rsidRDefault="001B26CB">
            <w:pPr>
              <w:pStyle w:val="TableParagraph"/>
              <w:numPr>
                <w:ilvl w:val="0"/>
                <w:numId w:val="1782"/>
              </w:numPr>
              <w:tabs>
                <w:tab w:val="left" w:pos="157"/>
              </w:tabs>
              <w:spacing w:before="11"/>
              <w:ind w:right="143" w:hanging="99"/>
              <w:rPr>
                <w:sz w:val="14"/>
              </w:rPr>
            </w:pPr>
            <w:r>
              <w:rPr>
                <w:color w:val="231F20"/>
                <w:sz w:val="14"/>
              </w:rPr>
              <w:t>уочи основна обележја ратова и</w:t>
            </w:r>
            <w:r>
              <w:rPr>
                <w:color w:val="231F20"/>
                <w:spacing w:val="-18"/>
                <w:sz w:val="14"/>
              </w:rPr>
              <w:t xml:space="preserve"> </w:t>
            </w:r>
            <w:r>
              <w:rPr>
                <w:color w:val="231F20"/>
                <w:sz w:val="14"/>
              </w:rPr>
              <w:t xml:space="preserve">војне организације и технике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1782"/>
              </w:numPr>
              <w:tabs>
                <w:tab w:val="left" w:pos="157"/>
              </w:tabs>
              <w:spacing w:line="157" w:lineRule="exact"/>
              <w:ind w:hanging="99"/>
              <w:rPr>
                <w:sz w:val="14"/>
              </w:rPr>
            </w:pPr>
            <w:r>
              <w:rPr>
                <w:color w:val="231F20"/>
                <w:sz w:val="14"/>
              </w:rPr>
              <w:t>разуме утицај научно­</w:t>
            </w:r>
            <w:r>
              <w:rPr>
                <w:color w:val="231F20"/>
                <w:spacing w:val="-8"/>
                <w:sz w:val="14"/>
              </w:rPr>
              <w:t xml:space="preserve"> </w:t>
            </w:r>
            <w:r>
              <w:rPr>
                <w:color w:val="231F20"/>
                <w:sz w:val="14"/>
              </w:rPr>
              <w:t>технолошких</w:t>
            </w:r>
          </w:p>
          <w:p w:rsidR="00041039" w:rsidRDefault="001B26CB">
            <w:pPr>
              <w:pStyle w:val="TableParagraph"/>
              <w:rPr>
                <w:sz w:val="14"/>
              </w:rPr>
            </w:pPr>
            <w:r>
              <w:rPr>
                <w:color w:val="231F20"/>
                <w:sz w:val="14"/>
              </w:rPr>
              <w:t>достигнућа на промене у начину рато­ вања кроз историју;</w:t>
            </w:r>
          </w:p>
          <w:p w:rsidR="00041039" w:rsidRDefault="001B26CB">
            <w:pPr>
              <w:pStyle w:val="TableParagraph"/>
              <w:numPr>
                <w:ilvl w:val="0"/>
                <w:numId w:val="1782"/>
              </w:numPr>
              <w:tabs>
                <w:tab w:val="left" w:pos="157"/>
              </w:tabs>
              <w:spacing w:line="160" w:lineRule="exact"/>
              <w:ind w:right="142" w:hanging="99"/>
              <w:rPr>
                <w:sz w:val="14"/>
              </w:rPr>
            </w:pPr>
            <w:r>
              <w:rPr>
                <w:color w:val="231F20"/>
                <w:sz w:val="14"/>
              </w:rPr>
              <w:t>уочи карактеристике развоја оружја</w:t>
            </w:r>
            <w:r>
              <w:rPr>
                <w:color w:val="231F20"/>
                <w:spacing w:val="-22"/>
                <w:sz w:val="14"/>
              </w:rPr>
              <w:t xml:space="preserve"> </w:t>
            </w:r>
            <w:r>
              <w:rPr>
                <w:color w:val="231F20"/>
                <w:sz w:val="14"/>
              </w:rPr>
              <w:t>и војне</w:t>
            </w:r>
            <w:r>
              <w:rPr>
                <w:color w:val="231F20"/>
                <w:spacing w:val="-1"/>
                <w:sz w:val="14"/>
              </w:rPr>
              <w:t xml:space="preserve"> </w:t>
            </w:r>
            <w:r>
              <w:rPr>
                <w:color w:val="231F20"/>
                <w:sz w:val="14"/>
              </w:rPr>
              <w:t>организације;</w:t>
            </w:r>
          </w:p>
          <w:p w:rsidR="00041039" w:rsidRDefault="001B26CB">
            <w:pPr>
              <w:pStyle w:val="TableParagraph"/>
              <w:numPr>
                <w:ilvl w:val="0"/>
                <w:numId w:val="1782"/>
              </w:numPr>
              <w:tabs>
                <w:tab w:val="left" w:pos="157"/>
              </w:tabs>
              <w:spacing w:line="160" w:lineRule="exact"/>
              <w:ind w:right="64" w:hanging="99"/>
              <w:rPr>
                <w:sz w:val="14"/>
              </w:rPr>
            </w:pPr>
            <w:r>
              <w:rPr>
                <w:color w:val="231F20"/>
                <w:sz w:val="14"/>
              </w:rPr>
              <w:t>уочи основна обележја војне</w:t>
            </w:r>
            <w:r>
              <w:rPr>
                <w:color w:val="231F20"/>
                <w:spacing w:val="-9"/>
                <w:sz w:val="14"/>
              </w:rPr>
              <w:t xml:space="preserve"> </w:t>
            </w:r>
            <w:r>
              <w:rPr>
                <w:color w:val="231F20"/>
                <w:sz w:val="14"/>
              </w:rPr>
              <w:t xml:space="preserve">организа­ ције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782"/>
              </w:numPr>
              <w:tabs>
                <w:tab w:val="left" w:pos="157"/>
              </w:tabs>
              <w:spacing w:line="160" w:lineRule="exact"/>
              <w:ind w:right="55" w:hanging="99"/>
              <w:rPr>
                <w:sz w:val="14"/>
              </w:rPr>
            </w:pPr>
            <w:r>
              <w:rPr>
                <w:color w:val="231F20"/>
                <w:sz w:val="14"/>
              </w:rPr>
              <w:t>наведе и упореди карактеристике</w:t>
            </w:r>
            <w:r>
              <w:rPr>
                <w:color w:val="231F20"/>
                <w:spacing w:val="-22"/>
                <w:sz w:val="14"/>
              </w:rPr>
              <w:t xml:space="preserve"> </w:t>
            </w:r>
            <w:r>
              <w:rPr>
                <w:color w:val="231F20"/>
                <w:sz w:val="14"/>
              </w:rPr>
              <w:t>рато­ вања у различитим</w:t>
            </w:r>
            <w:r>
              <w:rPr>
                <w:color w:val="231F20"/>
                <w:spacing w:val="-3"/>
                <w:sz w:val="14"/>
              </w:rPr>
              <w:t xml:space="preserve"> </w:t>
            </w:r>
            <w:r>
              <w:rPr>
                <w:color w:val="231F20"/>
                <w:sz w:val="14"/>
              </w:rPr>
              <w:t>периодима;</w:t>
            </w:r>
          </w:p>
          <w:p w:rsidR="00041039" w:rsidRDefault="001B26CB">
            <w:pPr>
              <w:pStyle w:val="TableParagraph"/>
              <w:numPr>
                <w:ilvl w:val="0"/>
                <w:numId w:val="1782"/>
              </w:numPr>
              <w:tabs>
                <w:tab w:val="left" w:pos="157"/>
              </w:tabs>
              <w:spacing w:line="160" w:lineRule="exact"/>
              <w:ind w:right="82" w:hanging="99"/>
              <w:rPr>
                <w:sz w:val="14"/>
              </w:rPr>
            </w:pPr>
            <w:r>
              <w:rPr>
                <w:color w:val="231F20"/>
                <w:sz w:val="14"/>
              </w:rPr>
              <w:t>разуме</w:t>
            </w:r>
            <w:r>
              <w:rPr>
                <w:color w:val="231F20"/>
                <w:spacing w:val="-7"/>
                <w:sz w:val="14"/>
              </w:rPr>
              <w:t xml:space="preserve"> </w:t>
            </w:r>
            <w:r>
              <w:rPr>
                <w:color w:val="231F20"/>
                <w:sz w:val="14"/>
              </w:rPr>
              <w:t>улогу</w:t>
            </w:r>
            <w:r>
              <w:rPr>
                <w:color w:val="231F20"/>
                <w:spacing w:val="-8"/>
                <w:sz w:val="14"/>
              </w:rPr>
              <w:t xml:space="preserve"> </w:t>
            </w:r>
            <w:r>
              <w:rPr>
                <w:color w:val="231F20"/>
                <w:sz w:val="14"/>
              </w:rPr>
              <w:t>појединца</w:t>
            </w:r>
            <w:r>
              <w:rPr>
                <w:color w:val="231F20"/>
                <w:spacing w:val="-7"/>
                <w:sz w:val="14"/>
              </w:rPr>
              <w:t xml:space="preserve"> </w:t>
            </w:r>
            <w:r>
              <w:rPr>
                <w:color w:val="231F20"/>
                <w:sz w:val="14"/>
              </w:rPr>
              <w:t>у</w:t>
            </w:r>
            <w:r>
              <w:rPr>
                <w:color w:val="231F20"/>
                <w:spacing w:val="-7"/>
                <w:sz w:val="14"/>
              </w:rPr>
              <w:t xml:space="preserve"> </w:t>
            </w:r>
            <w:r>
              <w:rPr>
                <w:color w:val="231F20"/>
                <w:sz w:val="14"/>
              </w:rPr>
              <w:t>рату</w:t>
            </w:r>
            <w:r>
              <w:rPr>
                <w:color w:val="231F20"/>
                <w:spacing w:val="-7"/>
                <w:sz w:val="14"/>
              </w:rPr>
              <w:t xml:space="preserve"> </w:t>
            </w:r>
            <w:r>
              <w:rPr>
                <w:color w:val="231F20"/>
                <w:sz w:val="14"/>
              </w:rPr>
              <w:t>(војско­ вођа, официра, регрута,</w:t>
            </w:r>
            <w:r>
              <w:rPr>
                <w:color w:val="231F20"/>
                <w:spacing w:val="-3"/>
                <w:sz w:val="14"/>
              </w:rPr>
              <w:t xml:space="preserve"> </w:t>
            </w:r>
            <w:r>
              <w:rPr>
                <w:color w:val="231F20"/>
                <w:sz w:val="14"/>
              </w:rPr>
              <w:t>цивила);</w:t>
            </w:r>
          </w:p>
          <w:p w:rsidR="00041039" w:rsidRDefault="001B26CB">
            <w:pPr>
              <w:pStyle w:val="TableParagraph"/>
              <w:numPr>
                <w:ilvl w:val="0"/>
                <w:numId w:val="1782"/>
              </w:numPr>
              <w:tabs>
                <w:tab w:val="left" w:pos="157"/>
              </w:tabs>
              <w:spacing w:line="160" w:lineRule="exact"/>
              <w:ind w:right="135" w:hanging="99"/>
              <w:rPr>
                <w:sz w:val="14"/>
              </w:rPr>
            </w:pPr>
            <w:r>
              <w:rPr>
                <w:color w:val="231F20"/>
                <w:sz w:val="14"/>
              </w:rPr>
              <w:t>аргументовано дискутује о рату и</w:t>
            </w:r>
            <w:r>
              <w:rPr>
                <w:color w:val="231F20"/>
                <w:spacing w:val="-20"/>
                <w:sz w:val="14"/>
              </w:rPr>
              <w:t xml:space="preserve"> </w:t>
            </w:r>
            <w:r>
              <w:rPr>
                <w:color w:val="231F20"/>
                <w:sz w:val="14"/>
              </w:rPr>
              <w:t>ње­ говим последицама на живот</w:t>
            </w:r>
            <w:r>
              <w:rPr>
                <w:color w:val="231F20"/>
                <w:spacing w:val="-11"/>
                <w:sz w:val="14"/>
              </w:rPr>
              <w:t xml:space="preserve"> </w:t>
            </w:r>
            <w:r>
              <w:rPr>
                <w:color w:val="231F20"/>
                <w:sz w:val="14"/>
              </w:rPr>
              <w:t>људи.</w:t>
            </w:r>
          </w:p>
        </w:tc>
        <w:tc>
          <w:tcPr>
            <w:tcW w:w="2834" w:type="dxa"/>
          </w:tcPr>
          <w:p w:rsidR="00041039" w:rsidRDefault="001B26CB">
            <w:pPr>
              <w:pStyle w:val="TableParagraph"/>
              <w:numPr>
                <w:ilvl w:val="0"/>
                <w:numId w:val="1781"/>
              </w:numPr>
              <w:tabs>
                <w:tab w:val="left" w:pos="157"/>
              </w:tabs>
              <w:spacing w:before="11"/>
              <w:ind w:right="45" w:hanging="99"/>
              <w:rPr>
                <w:sz w:val="14"/>
              </w:rPr>
            </w:pPr>
            <w:r>
              <w:rPr>
                <w:color w:val="231F20"/>
                <w:sz w:val="14"/>
              </w:rPr>
              <w:t>Војска, оружје и рат кроз и</w:t>
            </w:r>
            <w:r>
              <w:rPr>
                <w:color w:val="231F20"/>
                <w:sz w:val="14"/>
              </w:rPr>
              <w:t xml:space="preserve">сторију (вој­ ничка опрема ­ одећа, оклопи, штитови, оружје; родови војске, опсадне справе, увежбавање ратничких вештина, витешки турнири, мегдани, појава ватреног оружја­ </w:t>
            </w:r>
            <w:r>
              <w:rPr>
                <w:color w:val="231F20"/>
                <w:spacing w:val="-3"/>
                <w:sz w:val="14"/>
              </w:rPr>
              <w:t xml:space="preserve">од </w:t>
            </w:r>
            <w:r>
              <w:rPr>
                <w:color w:val="231F20"/>
                <w:sz w:val="14"/>
              </w:rPr>
              <w:t>примитивних пушака аркебуза и</w:t>
            </w:r>
            <w:r>
              <w:rPr>
                <w:color w:val="231F20"/>
                <w:spacing w:val="-25"/>
                <w:sz w:val="14"/>
              </w:rPr>
              <w:t xml:space="preserve"> </w:t>
            </w:r>
            <w:r>
              <w:rPr>
                <w:color w:val="231F20"/>
                <w:sz w:val="14"/>
              </w:rPr>
              <w:t>мускета до разорне артиљерије; увођење стајаће војс</w:t>
            </w:r>
            <w:r>
              <w:rPr>
                <w:color w:val="231F20"/>
                <w:sz w:val="14"/>
              </w:rPr>
              <w:t>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 народне конвенције о правилима ратовања, највеће</w:t>
            </w:r>
            <w:r>
              <w:rPr>
                <w:color w:val="231F20"/>
                <w:spacing w:val="-1"/>
                <w:sz w:val="14"/>
              </w:rPr>
              <w:t xml:space="preserve"> </w:t>
            </w:r>
            <w:r>
              <w:rPr>
                <w:color w:val="231F20"/>
                <w:sz w:val="14"/>
              </w:rPr>
              <w:t>војсковође).</w:t>
            </w:r>
          </w:p>
          <w:p w:rsidR="00041039" w:rsidRDefault="001B26CB">
            <w:pPr>
              <w:pStyle w:val="TableParagraph"/>
              <w:numPr>
                <w:ilvl w:val="0"/>
                <w:numId w:val="1781"/>
              </w:numPr>
              <w:tabs>
                <w:tab w:val="left" w:pos="157"/>
              </w:tabs>
              <w:spacing w:line="148" w:lineRule="exact"/>
              <w:ind w:hanging="99"/>
              <w:rPr>
                <w:sz w:val="14"/>
              </w:rPr>
            </w:pPr>
            <w:r>
              <w:rPr>
                <w:color w:val="231F20"/>
                <w:sz w:val="14"/>
              </w:rPr>
              <w:t xml:space="preserve">Војска </w:t>
            </w:r>
            <w:r>
              <w:rPr>
                <w:color w:val="231F20"/>
                <w:spacing w:val="-5"/>
                <w:sz w:val="14"/>
              </w:rPr>
              <w:t xml:space="preserve">код </w:t>
            </w:r>
            <w:r>
              <w:rPr>
                <w:color w:val="231F20"/>
                <w:sz w:val="14"/>
              </w:rPr>
              <w:t>Срба кроз историју</w:t>
            </w:r>
            <w:r>
              <w:rPr>
                <w:color w:val="231F20"/>
                <w:spacing w:val="1"/>
                <w:sz w:val="14"/>
              </w:rPr>
              <w:t xml:space="preserve"> </w:t>
            </w:r>
            <w:r>
              <w:rPr>
                <w:color w:val="231F20"/>
                <w:sz w:val="14"/>
              </w:rPr>
              <w:t>(српска</w:t>
            </w:r>
          </w:p>
          <w:p w:rsidR="00041039" w:rsidRDefault="001B26CB">
            <w:pPr>
              <w:pStyle w:val="TableParagraph"/>
              <w:ind w:right="396"/>
              <w:rPr>
                <w:sz w:val="14"/>
              </w:rPr>
            </w:pPr>
            <w:r>
              <w:rPr>
                <w:color w:val="231F20"/>
                <w:sz w:val="14"/>
              </w:rPr>
              <w:t>војска у средњем веку ­ опрема, на­ чин ратовања; Срби у аустријској и</w:t>
            </w:r>
          </w:p>
          <w:p w:rsidR="00041039" w:rsidRDefault="001B26CB">
            <w:pPr>
              <w:pStyle w:val="TableParagraph"/>
              <w:spacing w:line="237" w:lineRule="auto"/>
              <w:rPr>
                <w:sz w:val="14"/>
              </w:rPr>
            </w:pPr>
            <w:r>
              <w:rPr>
                <w:color w:val="231F20"/>
                <w:sz w:val="14"/>
              </w:rPr>
              <w:t xml:space="preserve">османској војсци; војска устаничке Србије; војна организација у XIX и XX веку у српској и југословенској држави; војно образовање ­ оснивање војне академије; </w:t>
            </w:r>
            <w:r>
              <w:rPr>
                <w:color w:val="231F20"/>
                <w:sz w:val="14"/>
              </w:rPr>
              <w:t>српске и југословенске војне униформе и одликовања).</w:t>
            </w:r>
          </w:p>
        </w:tc>
        <w:tc>
          <w:tcPr>
            <w:tcW w:w="2267" w:type="dxa"/>
            <w:vMerge/>
            <w:tcBorders>
              <w:top w:val="nil"/>
            </w:tcBorders>
          </w:tcPr>
          <w:p w:rsidR="00041039" w:rsidRDefault="00041039">
            <w:pPr>
              <w:rPr>
                <w:sz w:val="2"/>
                <w:szCs w:val="2"/>
              </w:rPr>
            </w:pPr>
          </w:p>
        </w:tc>
      </w:tr>
      <w:tr w:rsidR="00041039">
        <w:trPr>
          <w:trHeight w:val="3939"/>
        </w:trPr>
        <w:tc>
          <w:tcPr>
            <w:tcW w:w="1304" w:type="dxa"/>
          </w:tcPr>
          <w:p w:rsidR="00041039" w:rsidRDefault="001B26CB">
            <w:pPr>
              <w:pStyle w:val="TableParagraph"/>
              <w:spacing w:before="21"/>
              <w:ind w:left="56" w:right="37"/>
              <w:rPr>
                <w:sz w:val="14"/>
              </w:rPr>
            </w:pPr>
            <w:r>
              <w:rPr>
                <w:color w:val="231F20"/>
                <w:sz w:val="14"/>
              </w:rPr>
              <w:t>Новац и банке кроз историју</w:t>
            </w:r>
          </w:p>
        </w:tc>
        <w:tc>
          <w:tcPr>
            <w:tcW w:w="1587" w:type="dxa"/>
          </w:tcPr>
          <w:p w:rsidR="00041039" w:rsidRDefault="001B26CB">
            <w:pPr>
              <w:pStyle w:val="TableParagraph"/>
              <w:numPr>
                <w:ilvl w:val="0"/>
                <w:numId w:val="1780"/>
              </w:numPr>
              <w:tabs>
                <w:tab w:val="left" w:pos="157"/>
              </w:tabs>
              <w:spacing w:before="11"/>
              <w:ind w:right="53"/>
              <w:rPr>
                <w:sz w:val="14"/>
              </w:rPr>
            </w:pPr>
            <w:r>
              <w:rPr>
                <w:color w:val="231F20"/>
                <w:sz w:val="14"/>
              </w:rPr>
              <w:t>Проширивање знања о улози новца и банака</w:t>
            </w:r>
            <w:r>
              <w:rPr>
                <w:color w:val="231F20"/>
                <w:spacing w:val="-19"/>
                <w:sz w:val="14"/>
              </w:rPr>
              <w:t xml:space="preserve"> </w:t>
            </w:r>
            <w:r>
              <w:rPr>
                <w:color w:val="231F20"/>
                <w:sz w:val="14"/>
              </w:rPr>
              <w:t>у економским системи­ ма кроз</w:t>
            </w:r>
            <w:r>
              <w:rPr>
                <w:color w:val="231F20"/>
                <w:spacing w:val="-4"/>
                <w:sz w:val="14"/>
              </w:rPr>
              <w:t xml:space="preserve"> </w:t>
            </w:r>
            <w:r>
              <w:rPr>
                <w:color w:val="231F20"/>
                <w:sz w:val="14"/>
              </w:rPr>
              <w:t>историју.</w:t>
            </w:r>
          </w:p>
          <w:p w:rsidR="00041039" w:rsidRDefault="001B26CB">
            <w:pPr>
              <w:pStyle w:val="TableParagraph"/>
              <w:numPr>
                <w:ilvl w:val="0"/>
                <w:numId w:val="1780"/>
              </w:numPr>
              <w:tabs>
                <w:tab w:val="left" w:pos="157"/>
              </w:tabs>
              <w:spacing w:line="156" w:lineRule="exact"/>
              <w:rPr>
                <w:sz w:val="14"/>
              </w:rPr>
            </w:pPr>
            <w:r>
              <w:rPr>
                <w:color w:val="231F20"/>
                <w:spacing w:val="-3"/>
                <w:sz w:val="14"/>
              </w:rPr>
              <w:t xml:space="preserve">Усвајање </w:t>
            </w:r>
            <w:r>
              <w:rPr>
                <w:color w:val="231F20"/>
                <w:sz w:val="14"/>
              </w:rPr>
              <w:t>знања</w:t>
            </w:r>
            <w:r>
              <w:rPr>
                <w:color w:val="231F20"/>
                <w:spacing w:val="1"/>
                <w:sz w:val="14"/>
              </w:rPr>
              <w:t xml:space="preserve"> </w:t>
            </w:r>
            <w:r>
              <w:rPr>
                <w:color w:val="231F20"/>
                <w:sz w:val="14"/>
              </w:rPr>
              <w:t>о</w:t>
            </w:r>
          </w:p>
          <w:p w:rsidR="00041039" w:rsidRDefault="001B26CB">
            <w:pPr>
              <w:pStyle w:val="TableParagraph"/>
              <w:ind w:right="15"/>
              <w:rPr>
                <w:sz w:val="14"/>
              </w:rPr>
            </w:pPr>
            <w:r>
              <w:rPr>
                <w:color w:val="231F20"/>
                <w:sz w:val="14"/>
              </w:rPr>
              <w:t>улози новца и банака у свакодневном животу некад и сад.</w:t>
            </w:r>
          </w:p>
          <w:p w:rsidR="00041039" w:rsidRDefault="001B26CB">
            <w:pPr>
              <w:pStyle w:val="TableParagraph"/>
              <w:numPr>
                <w:ilvl w:val="0"/>
                <w:numId w:val="1780"/>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историји новца и развоју банкарства код Срба.</w:t>
            </w:r>
          </w:p>
        </w:tc>
        <w:tc>
          <w:tcPr>
            <w:tcW w:w="2551" w:type="dxa"/>
          </w:tcPr>
          <w:p w:rsidR="00041039" w:rsidRDefault="001B26CB">
            <w:pPr>
              <w:pStyle w:val="TableParagraph"/>
              <w:numPr>
                <w:ilvl w:val="0"/>
                <w:numId w:val="1779"/>
              </w:numPr>
              <w:tabs>
                <w:tab w:val="left" w:pos="157"/>
              </w:tabs>
              <w:spacing w:before="12"/>
              <w:ind w:right="138" w:hanging="99"/>
              <w:rPr>
                <w:sz w:val="14"/>
              </w:rPr>
            </w:pPr>
            <w:r>
              <w:rPr>
                <w:color w:val="231F20"/>
                <w:sz w:val="14"/>
              </w:rPr>
              <w:t>уочи основне карактеристике и</w:t>
            </w:r>
            <w:r>
              <w:rPr>
                <w:color w:val="231F20"/>
                <w:spacing w:val="-18"/>
                <w:sz w:val="14"/>
              </w:rPr>
              <w:t xml:space="preserve"> </w:t>
            </w:r>
            <w:r>
              <w:rPr>
                <w:color w:val="231F20"/>
                <w:sz w:val="14"/>
              </w:rPr>
              <w:t xml:space="preserve">функ­ ције новца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1779"/>
              </w:numPr>
              <w:tabs>
                <w:tab w:val="left" w:pos="157"/>
              </w:tabs>
              <w:spacing w:line="157" w:lineRule="exact"/>
              <w:ind w:hanging="99"/>
              <w:rPr>
                <w:sz w:val="14"/>
              </w:rPr>
            </w:pPr>
            <w:r>
              <w:rPr>
                <w:color w:val="231F20"/>
                <w:sz w:val="14"/>
              </w:rPr>
              <w:t>изведе закључак о улози и</w:t>
            </w:r>
            <w:r>
              <w:rPr>
                <w:color w:val="231F20"/>
                <w:spacing w:val="-13"/>
                <w:sz w:val="14"/>
              </w:rPr>
              <w:t xml:space="preserve"> </w:t>
            </w:r>
            <w:r>
              <w:rPr>
                <w:color w:val="231F20"/>
                <w:sz w:val="14"/>
              </w:rPr>
              <w:t>значају</w:t>
            </w:r>
          </w:p>
          <w:p w:rsidR="00041039" w:rsidRDefault="001B26CB">
            <w:pPr>
              <w:pStyle w:val="TableParagraph"/>
              <w:spacing w:line="155" w:lineRule="exact"/>
              <w:rPr>
                <w:sz w:val="14"/>
              </w:rPr>
            </w:pPr>
            <w:r>
              <w:rPr>
                <w:color w:val="231F20"/>
                <w:sz w:val="14"/>
              </w:rPr>
              <w:t>банака кроз историју;</w:t>
            </w:r>
          </w:p>
          <w:p w:rsidR="00041039" w:rsidRDefault="001B26CB">
            <w:pPr>
              <w:pStyle w:val="TableParagraph"/>
              <w:numPr>
                <w:ilvl w:val="0"/>
                <w:numId w:val="1779"/>
              </w:numPr>
              <w:tabs>
                <w:tab w:val="left" w:pos="157"/>
              </w:tabs>
              <w:spacing w:line="237" w:lineRule="auto"/>
              <w:ind w:right="61" w:hanging="99"/>
              <w:rPr>
                <w:sz w:val="14"/>
              </w:rPr>
            </w:pPr>
            <w:r>
              <w:rPr>
                <w:color w:val="231F20"/>
                <w:sz w:val="14"/>
              </w:rPr>
              <w:t>уочи основна обележја историјата</w:t>
            </w:r>
            <w:r>
              <w:rPr>
                <w:color w:val="231F20"/>
                <w:spacing w:val="-14"/>
                <w:sz w:val="14"/>
              </w:rPr>
              <w:t xml:space="preserve"> </w:t>
            </w:r>
            <w:r>
              <w:rPr>
                <w:color w:val="231F20"/>
                <w:sz w:val="14"/>
              </w:rPr>
              <w:t>срп­ ског новца и банака кроз</w:t>
            </w:r>
            <w:r>
              <w:rPr>
                <w:color w:val="231F20"/>
                <w:spacing w:val="-11"/>
                <w:sz w:val="14"/>
              </w:rPr>
              <w:t xml:space="preserve"> </w:t>
            </w:r>
            <w:r>
              <w:rPr>
                <w:color w:val="231F20"/>
                <w:sz w:val="14"/>
              </w:rPr>
              <w:t>историју;</w:t>
            </w:r>
          </w:p>
          <w:p w:rsidR="00041039" w:rsidRDefault="001B26CB">
            <w:pPr>
              <w:pStyle w:val="TableParagraph"/>
              <w:numPr>
                <w:ilvl w:val="0"/>
                <w:numId w:val="1779"/>
              </w:numPr>
              <w:tabs>
                <w:tab w:val="left" w:pos="157"/>
              </w:tabs>
              <w:spacing w:line="160" w:lineRule="exact"/>
              <w:ind w:right="370" w:hanging="99"/>
              <w:rPr>
                <w:sz w:val="14"/>
              </w:rPr>
            </w:pPr>
            <w:r>
              <w:rPr>
                <w:color w:val="231F20"/>
                <w:sz w:val="14"/>
              </w:rPr>
              <w:t>примени стечено знање о новцу</w:t>
            </w:r>
            <w:r>
              <w:rPr>
                <w:color w:val="231F20"/>
                <w:spacing w:val="-19"/>
                <w:sz w:val="14"/>
              </w:rPr>
              <w:t xml:space="preserve"> </w:t>
            </w:r>
            <w:r>
              <w:rPr>
                <w:color w:val="231F20"/>
                <w:sz w:val="14"/>
              </w:rPr>
              <w:t>и банкама у свакодневном</w:t>
            </w:r>
            <w:r>
              <w:rPr>
                <w:color w:val="231F20"/>
                <w:spacing w:val="-12"/>
                <w:sz w:val="14"/>
              </w:rPr>
              <w:t xml:space="preserve"> </w:t>
            </w:r>
            <w:r>
              <w:rPr>
                <w:color w:val="231F20"/>
                <w:spacing w:val="-3"/>
                <w:sz w:val="14"/>
              </w:rPr>
              <w:t>животу.</w:t>
            </w:r>
          </w:p>
        </w:tc>
        <w:tc>
          <w:tcPr>
            <w:tcW w:w="2834" w:type="dxa"/>
          </w:tcPr>
          <w:p w:rsidR="00041039" w:rsidRDefault="001B26CB">
            <w:pPr>
              <w:pStyle w:val="TableParagraph"/>
              <w:numPr>
                <w:ilvl w:val="0"/>
                <w:numId w:val="1778"/>
              </w:numPr>
              <w:tabs>
                <w:tab w:val="left" w:pos="158"/>
              </w:tabs>
              <w:spacing w:before="12"/>
              <w:ind w:right="51"/>
              <w:rPr>
                <w:sz w:val="14"/>
              </w:rPr>
            </w:pPr>
            <w:r>
              <w:rPr>
                <w:color w:val="231F20"/>
                <w:sz w:val="14"/>
              </w:rPr>
              <w:t xml:space="preserve">Нумизматика (као </w:t>
            </w:r>
            <w:r>
              <w:rPr>
                <w:color w:val="231F20"/>
                <w:spacing w:val="-3"/>
                <w:sz w:val="14"/>
              </w:rPr>
              <w:t xml:space="preserve">наука </w:t>
            </w:r>
            <w:r>
              <w:rPr>
                <w:color w:val="231F20"/>
                <w:sz w:val="14"/>
              </w:rPr>
              <w:t>о постанку,</w:t>
            </w:r>
            <w:r>
              <w:rPr>
                <w:color w:val="231F20"/>
                <w:spacing w:val="-23"/>
                <w:sz w:val="14"/>
              </w:rPr>
              <w:t xml:space="preserve"> </w:t>
            </w:r>
            <w:r>
              <w:rPr>
                <w:color w:val="231F20"/>
                <w:sz w:val="14"/>
              </w:rPr>
              <w:t>развоју и употреби кованог</w:t>
            </w:r>
            <w:r>
              <w:rPr>
                <w:color w:val="231F20"/>
                <w:spacing w:val="-3"/>
                <w:sz w:val="14"/>
              </w:rPr>
              <w:t xml:space="preserve"> </w:t>
            </w:r>
            <w:r>
              <w:rPr>
                <w:color w:val="231F20"/>
                <w:sz w:val="14"/>
              </w:rPr>
              <w:t>новца).</w:t>
            </w:r>
          </w:p>
          <w:p w:rsidR="00041039" w:rsidRDefault="001B26CB">
            <w:pPr>
              <w:pStyle w:val="TableParagraph"/>
              <w:numPr>
                <w:ilvl w:val="0"/>
                <w:numId w:val="1778"/>
              </w:numPr>
              <w:tabs>
                <w:tab w:val="left" w:pos="158"/>
              </w:tabs>
              <w:spacing w:line="160" w:lineRule="exact"/>
              <w:ind w:right="76"/>
              <w:rPr>
                <w:sz w:val="14"/>
              </w:rPr>
            </w:pPr>
            <w:r>
              <w:rPr>
                <w:color w:val="231F20"/>
                <w:sz w:val="14"/>
              </w:rPr>
              <w:t>Новац и банке у садашњости (новац као мера вредности, платежно средство и</w:t>
            </w:r>
            <w:r>
              <w:rPr>
                <w:color w:val="231F20"/>
                <w:spacing w:val="-16"/>
                <w:sz w:val="14"/>
              </w:rPr>
              <w:t xml:space="preserve"> </w:t>
            </w:r>
            <w:r>
              <w:rPr>
                <w:color w:val="231F20"/>
                <w:sz w:val="14"/>
              </w:rPr>
              <w:t xml:space="preserve">једно </w:t>
            </w:r>
            <w:r>
              <w:rPr>
                <w:color w:val="231F20"/>
                <w:spacing w:val="-3"/>
                <w:sz w:val="14"/>
              </w:rPr>
              <w:t xml:space="preserve">од </w:t>
            </w:r>
            <w:r>
              <w:rPr>
                <w:color w:val="231F20"/>
                <w:sz w:val="14"/>
              </w:rPr>
              <w:t>обележја самосталности државе; банка као предузеће које тргује новцем;</w:t>
            </w:r>
            <w:r>
              <w:rPr>
                <w:color w:val="231F20"/>
                <w:spacing w:val="-19"/>
                <w:sz w:val="14"/>
              </w:rPr>
              <w:t xml:space="preserve"> </w:t>
            </w:r>
            <w:r>
              <w:rPr>
                <w:color w:val="231F20"/>
                <w:sz w:val="14"/>
              </w:rPr>
              <w:t>појмови</w:t>
            </w:r>
          </w:p>
          <w:p w:rsidR="00041039" w:rsidRDefault="001B26CB">
            <w:pPr>
              <w:pStyle w:val="TableParagraph"/>
              <w:spacing w:line="237" w:lineRule="auto"/>
              <w:ind w:left="157"/>
              <w:rPr>
                <w:sz w:val="14"/>
              </w:rPr>
            </w:pPr>
            <w:r>
              <w:rPr>
                <w:color w:val="231F20"/>
                <w:sz w:val="14"/>
              </w:rPr>
              <w:t>- штедња, трезор, кредит, камата, деоница, инфлација, дефлација; фалсификовања новца, новац у савременом потрошачком друштву...).</w:t>
            </w:r>
          </w:p>
          <w:p w:rsidR="00041039" w:rsidRDefault="001B26CB">
            <w:pPr>
              <w:pStyle w:val="TableParagraph"/>
              <w:numPr>
                <w:ilvl w:val="0"/>
                <w:numId w:val="1778"/>
              </w:numPr>
              <w:tabs>
                <w:tab w:val="left" w:pos="158"/>
              </w:tabs>
              <w:spacing w:line="237" w:lineRule="auto"/>
              <w:ind w:right="174"/>
              <w:rPr>
                <w:sz w:val="14"/>
              </w:rPr>
            </w:pPr>
            <w:r>
              <w:rPr>
                <w:color w:val="231F20"/>
                <w:sz w:val="14"/>
              </w:rPr>
              <w:t>Новац и банке у прошлости (историјат новца и ба</w:t>
            </w:r>
            <w:r>
              <w:rPr>
                <w:color w:val="231F20"/>
                <w:sz w:val="14"/>
              </w:rPr>
              <w:t xml:space="preserve">нака­од старог века до данас; материјали </w:t>
            </w:r>
            <w:r>
              <w:rPr>
                <w:color w:val="231F20"/>
                <w:spacing w:val="-3"/>
                <w:sz w:val="14"/>
              </w:rPr>
              <w:t xml:space="preserve">од </w:t>
            </w:r>
            <w:r>
              <w:rPr>
                <w:color w:val="231F20"/>
                <w:sz w:val="14"/>
              </w:rPr>
              <w:t>којих је израђиван новац, историјски феномен „кварења” новца; ликовии</w:t>
            </w:r>
            <w:r>
              <w:rPr>
                <w:color w:val="231F20"/>
                <w:spacing w:val="-6"/>
                <w:sz w:val="14"/>
              </w:rPr>
              <w:t xml:space="preserve"> </w:t>
            </w:r>
            <w:r>
              <w:rPr>
                <w:color w:val="231F20"/>
                <w:sz w:val="14"/>
              </w:rPr>
              <w:t>различити</w:t>
            </w:r>
            <w:r>
              <w:rPr>
                <w:color w:val="231F20"/>
                <w:spacing w:val="-6"/>
                <w:sz w:val="14"/>
              </w:rPr>
              <w:t xml:space="preserve"> </w:t>
            </w:r>
            <w:r>
              <w:rPr>
                <w:color w:val="231F20"/>
                <w:sz w:val="14"/>
              </w:rPr>
              <w:t>симболи</w:t>
            </w:r>
            <w:r>
              <w:rPr>
                <w:color w:val="231F20"/>
                <w:spacing w:val="-6"/>
                <w:sz w:val="14"/>
              </w:rPr>
              <w:t xml:space="preserve"> </w:t>
            </w:r>
            <w:r>
              <w:rPr>
                <w:color w:val="231F20"/>
                <w:sz w:val="14"/>
              </w:rPr>
              <w:t>на</w:t>
            </w:r>
            <w:r>
              <w:rPr>
                <w:color w:val="231F20"/>
                <w:spacing w:val="-6"/>
                <w:sz w:val="14"/>
              </w:rPr>
              <w:t xml:space="preserve"> </w:t>
            </w:r>
            <w:r>
              <w:rPr>
                <w:color w:val="231F20"/>
                <w:sz w:val="14"/>
              </w:rPr>
              <w:t>кованом</w:t>
            </w:r>
            <w:r>
              <w:rPr>
                <w:color w:val="231F20"/>
                <w:spacing w:val="-6"/>
                <w:sz w:val="14"/>
              </w:rPr>
              <w:t xml:space="preserve"> </w:t>
            </w:r>
            <w:r>
              <w:rPr>
                <w:color w:val="231F20"/>
                <w:sz w:val="14"/>
              </w:rPr>
              <w:t>и папирном</w:t>
            </w:r>
            <w:r>
              <w:rPr>
                <w:color w:val="231F20"/>
                <w:spacing w:val="-1"/>
                <w:sz w:val="14"/>
              </w:rPr>
              <w:t xml:space="preserve"> </w:t>
            </w:r>
            <w:r>
              <w:rPr>
                <w:color w:val="231F20"/>
                <w:sz w:val="14"/>
              </w:rPr>
              <w:t>новцу...).</w:t>
            </w:r>
          </w:p>
          <w:p w:rsidR="00041039" w:rsidRDefault="001B26CB">
            <w:pPr>
              <w:pStyle w:val="TableParagraph"/>
              <w:numPr>
                <w:ilvl w:val="0"/>
                <w:numId w:val="1778"/>
              </w:numPr>
              <w:tabs>
                <w:tab w:val="left" w:pos="158"/>
              </w:tabs>
              <w:spacing w:line="237" w:lineRule="auto"/>
              <w:ind w:right="65"/>
              <w:rPr>
                <w:sz w:val="14"/>
              </w:rPr>
            </w:pPr>
            <w:r>
              <w:rPr>
                <w:color w:val="231F20"/>
                <w:sz w:val="14"/>
              </w:rPr>
              <w:t xml:space="preserve">Новац у Србији некад и сад (историјат новца </w:t>
            </w:r>
            <w:r>
              <w:rPr>
                <w:color w:val="231F20"/>
                <w:spacing w:val="-3"/>
                <w:sz w:val="14"/>
              </w:rPr>
              <w:t xml:space="preserve">од </w:t>
            </w:r>
            <w:r>
              <w:rPr>
                <w:color w:val="231F20"/>
                <w:sz w:val="14"/>
              </w:rPr>
              <w:t>средњег века до данас; динар као званична ва</w:t>
            </w:r>
            <w:r>
              <w:rPr>
                <w:color w:val="231F20"/>
                <w:sz w:val="14"/>
              </w:rPr>
              <w:t>лута модерне Србије; мотиви на новчаницама; настанак и развој</w:t>
            </w:r>
            <w:r>
              <w:rPr>
                <w:color w:val="231F20"/>
                <w:spacing w:val="-22"/>
                <w:sz w:val="14"/>
              </w:rPr>
              <w:t xml:space="preserve"> </w:t>
            </w:r>
            <w:r>
              <w:rPr>
                <w:color w:val="231F20"/>
                <w:sz w:val="14"/>
              </w:rPr>
              <w:t>Народне банке као прве финансијске институције у Србији).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400"/>
        </w:trPr>
        <w:tc>
          <w:tcPr>
            <w:tcW w:w="1304" w:type="dxa"/>
          </w:tcPr>
          <w:p w:rsidR="00041039" w:rsidRDefault="001B26CB">
            <w:pPr>
              <w:pStyle w:val="TableParagraph"/>
              <w:spacing w:before="18"/>
              <w:ind w:left="56" w:right="308"/>
              <w:rPr>
                <w:sz w:val="14"/>
              </w:rPr>
            </w:pPr>
            <w:r>
              <w:rPr>
                <w:color w:val="231F20"/>
                <w:sz w:val="14"/>
              </w:rPr>
              <w:lastRenderedPageBreak/>
              <w:t>Верски животи обичаји кроз историју</w:t>
            </w:r>
          </w:p>
        </w:tc>
        <w:tc>
          <w:tcPr>
            <w:tcW w:w="1587" w:type="dxa"/>
          </w:tcPr>
          <w:p w:rsidR="00041039" w:rsidRDefault="001B26CB">
            <w:pPr>
              <w:pStyle w:val="TableParagraph"/>
              <w:numPr>
                <w:ilvl w:val="0"/>
                <w:numId w:val="1777"/>
              </w:numPr>
              <w:tabs>
                <w:tab w:val="left" w:pos="157"/>
              </w:tabs>
              <w:spacing w:before="8"/>
              <w:ind w:right="108"/>
              <w:rPr>
                <w:sz w:val="14"/>
              </w:rPr>
            </w:pPr>
            <w:r>
              <w:rPr>
                <w:color w:val="231F20"/>
                <w:sz w:val="14"/>
              </w:rPr>
              <w:t>Проширивање знања о веровањима и оби­ чајима у прошлости и садашњости.</w:t>
            </w:r>
          </w:p>
          <w:p w:rsidR="00041039" w:rsidRDefault="001B26CB">
            <w:pPr>
              <w:pStyle w:val="TableParagraph"/>
              <w:numPr>
                <w:ilvl w:val="0"/>
                <w:numId w:val="1777"/>
              </w:numPr>
              <w:tabs>
                <w:tab w:val="left" w:pos="157"/>
              </w:tabs>
              <w:spacing w:line="156" w:lineRule="exact"/>
              <w:rPr>
                <w:sz w:val="14"/>
              </w:rPr>
            </w:pPr>
            <w:r>
              <w:rPr>
                <w:color w:val="231F20"/>
                <w:spacing w:val="-3"/>
                <w:sz w:val="14"/>
              </w:rPr>
              <w:t>Уочавање</w:t>
            </w:r>
            <w:r>
              <w:rPr>
                <w:color w:val="231F20"/>
                <w:spacing w:val="-2"/>
                <w:sz w:val="14"/>
              </w:rPr>
              <w:t xml:space="preserve"> </w:t>
            </w:r>
            <w:r>
              <w:rPr>
                <w:color w:val="231F20"/>
                <w:sz w:val="14"/>
              </w:rPr>
              <w:t>прожимања</w:t>
            </w:r>
          </w:p>
          <w:p w:rsidR="00041039" w:rsidRDefault="001B26CB">
            <w:pPr>
              <w:pStyle w:val="TableParagraph"/>
              <w:ind w:right="15"/>
              <w:rPr>
                <w:sz w:val="14"/>
              </w:rPr>
            </w:pPr>
            <w:r>
              <w:rPr>
                <w:color w:val="231F20"/>
                <w:sz w:val="14"/>
              </w:rPr>
              <w:t>веровања и културе кроз историју.</w:t>
            </w:r>
          </w:p>
          <w:p w:rsidR="00041039" w:rsidRDefault="001B26CB">
            <w:pPr>
              <w:pStyle w:val="TableParagraph"/>
              <w:numPr>
                <w:ilvl w:val="0"/>
                <w:numId w:val="1777"/>
              </w:numPr>
              <w:tabs>
                <w:tab w:val="left" w:pos="157"/>
              </w:tabs>
              <w:spacing w:line="160" w:lineRule="exact"/>
              <w:ind w:right="69"/>
              <w:rPr>
                <w:sz w:val="14"/>
              </w:rPr>
            </w:pPr>
            <w:r>
              <w:rPr>
                <w:color w:val="231F20"/>
                <w:sz w:val="14"/>
              </w:rPr>
              <w:t>Сагледавање слич­ ности и разлика у ве­ ровањима и</w:t>
            </w:r>
            <w:r>
              <w:rPr>
                <w:color w:val="231F20"/>
                <w:spacing w:val="-5"/>
                <w:sz w:val="14"/>
              </w:rPr>
              <w:t xml:space="preserve"> </w:t>
            </w:r>
            <w:r>
              <w:rPr>
                <w:color w:val="231F20"/>
                <w:sz w:val="14"/>
              </w:rPr>
              <w:t>обичајима некад и</w:t>
            </w:r>
            <w:r>
              <w:rPr>
                <w:color w:val="231F20"/>
                <w:spacing w:val="-2"/>
                <w:sz w:val="14"/>
              </w:rPr>
              <w:t xml:space="preserve"> </w:t>
            </w:r>
            <w:r>
              <w:rPr>
                <w:color w:val="231F20"/>
                <w:sz w:val="14"/>
              </w:rPr>
              <w:t>сад.</w:t>
            </w:r>
          </w:p>
          <w:p w:rsidR="00041039" w:rsidRDefault="001B26CB">
            <w:pPr>
              <w:pStyle w:val="TableParagraph"/>
              <w:numPr>
                <w:ilvl w:val="0"/>
                <w:numId w:val="1777"/>
              </w:numPr>
              <w:tabs>
                <w:tab w:val="left" w:pos="157"/>
              </w:tabs>
              <w:spacing w:line="160" w:lineRule="exact"/>
              <w:ind w:right="159"/>
              <w:jc w:val="both"/>
              <w:rPr>
                <w:sz w:val="14"/>
              </w:rPr>
            </w:pPr>
            <w:r>
              <w:rPr>
                <w:color w:val="231F20"/>
                <w:sz w:val="14"/>
              </w:rPr>
              <w:t xml:space="preserve">Проширивање знања о веровањима и оби­ чајима </w:t>
            </w:r>
            <w:r>
              <w:rPr>
                <w:color w:val="231F20"/>
                <w:spacing w:val="-5"/>
                <w:sz w:val="14"/>
              </w:rPr>
              <w:t xml:space="preserve">код </w:t>
            </w:r>
            <w:r>
              <w:rPr>
                <w:color w:val="231F20"/>
                <w:sz w:val="14"/>
              </w:rPr>
              <w:t>Срба кроз историју.</w:t>
            </w:r>
          </w:p>
        </w:tc>
        <w:tc>
          <w:tcPr>
            <w:tcW w:w="2551" w:type="dxa"/>
          </w:tcPr>
          <w:p w:rsidR="00041039" w:rsidRDefault="001B26CB">
            <w:pPr>
              <w:pStyle w:val="TableParagraph"/>
              <w:numPr>
                <w:ilvl w:val="0"/>
                <w:numId w:val="1776"/>
              </w:numPr>
              <w:tabs>
                <w:tab w:val="left" w:pos="157"/>
              </w:tabs>
              <w:spacing w:before="8"/>
              <w:ind w:right="254" w:hanging="99"/>
              <w:rPr>
                <w:sz w:val="14"/>
              </w:rPr>
            </w:pPr>
            <w:r>
              <w:rPr>
                <w:color w:val="231F20"/>
                <w:sz w:val="14"/>
              </w:rPr>
              <w:t>уочи основна обележја веровања</w:t>
            </w:r>
            <w:r>
              <w:rPr>
                <w:color w:val="231F20"/>
                <w:spacing w:val="-9"/>
                <w:sz w:val="14"/>
              </w:rPr>
              <w:t xml:space="preserve"> </w:t>
            </w:r>
            <w:r>
              <w:rPr>
                <w:color w:val="231F20"/>
                <w:spacing w:val="-3"/>
                <w:sz w:val="14"/>
              </w:rPr>
              <w:t xml:space="preserve">од </w:t>
            </w:r>
            <w:r>
              <w:rPr>
                <w:color w:val="231F20"/>
                <w:sz w:val="14"/>
              </w:rPr>
              <w:t>праисторије до савременог</w:t>
            </w:r>
            <w:r>
              <w:rPr>
                <w:color w:val="231F20"/>
                <w:spacing w:val="-3"/>
                <w:sz w:val="14"/>
              </w:rPr>
              <w:t xml:space="preserve"> </w:t>
            </w:r>
            <w:r>
              <w:rPr>
                <w:color w:val="231F20"/>
                <w:sz w:val="14"/>
              </w:rPr>
              <w:t>доба;</w:t>
            </w:r>
          </w:p>
          <w:p w:rsidR="00041039" w:rsidRDefault="001B26CB">
            <w:pPr>
              <w:pStyle w:val="TableParagraph"/>
              <w:numPr>
                <w:ilvl w:val="0"/>
                <w:numId w:val="1776"/>
              </w:numPr>
              <w:tabs>
                <w:tab w:val="left" w:pos="157"/>
              </w:tabs>
              <w:spacing w:line="160" w:lineRule="exact"/>
              <w:ind w:right="388" w:hanging="99"/>
              <w:jc w:val="both"/>
              <w:rPr>
                <w:sz w:val="14"/>
              </w:rPr>
            </w:pPr>
            <w:r>
              <w:rPr>
                <w:color w:val="231F20"/>
                <w:sz w:val="14"/>
              </w:rPr>
              <w:t>наведе и упореди</w:t>
            </w:r>
            <w:r>
              <w:rPr>
                <w:color w:val="231F20"/>
                <w:spacing w:val="-15"/>
                <w:sz w:val="14"/>
              </w:rPr>
              <w:t xml:space="preserve"> </w:t>
            </w:r>
            <w:r>
              <w:rPr>
                <w:color w:val="231F20"/>
                <w:sz w:val="14"/>
              </w:rPr>
              <w:t>карактеристике обичаја и веровања у</w:t>
            </w:r>
            <w:r>
              <w:rPr>
                <w:color w:val="231F20"/>
                <w:spacing w:val="-4"/>
                <w:sz w:val="14"/>
              </w:rPr>
              <w:t xml:space="preserve"> </w:t>
            </w:r>
            <w:r>
              <w:rPr>
                <w:color w:val="231F20"/>
                <w:sz w:val="14"/>
              </w:rPr>
              <w:t>различитим периодима;</w:t>
            </w:r>
          </w:p>
          <w:p w:rsidR="00041039" w:rsidRDefault="001B26CB">
            <w:pPr>
              <w:pStyle w:val="TableParagraph"/>
              <w:numPr>
                <w:ilvl w:val="0"/>
                <w:numId w:val="1776"/>
              </w:numPr>
              <w:tabs>
                <w:tab w:val="left" w:pos="157"/>
              </w:tabs>
              <w:spacing w:line="160" w:lineRule="exact"/>
              <w:ind w:right="297" w:hanging="99"/>
              <w:rPr>
                <w:sz w:val="14"/>
              </w:rPr>
            </w:pPr>
            <w:r>
              <w:rPr>
                <w:color w:val="231F20"/>
                <w:sz w:val="14"/>
              </w:rPr>
              <w:t>идентификује сличности и</w:t>
            </w:r>
            <w:r>
              <w:rPr>
                <w:color w:val="231F20"/>
                <w:spacing w:val="-11"/>
                <w:sz w:val="14"/>
              </w:rPr>
              <w:t xml:space="preserve"> </w:t>
            </w:r>
            <w:r>
              <w:rPr>
                <w:color w:val="231F20"/>
                <w:sz w:val="14"/>
              </w:rPr>
              <w:t>разлике у обичајима различитих верских заједница;</w:t>
            </w:r>
          </w:p>
          <w:p w:rsidR="00041039" w:rsidRDefault="001B26CB">
            <w:pPr>
              <w:pStyle w:val="TableParagraph"/>
              <w:numPr>
                <w:ilvl w:val="0"/>
                <w:numId w:val="1776"/>
              </w:numPr>
              <w:tabs>
                <w:tab w:val="left" w:pos="157"/>
              </w:tabs>
              <w:spacing w:line="160" w:lineRule="exact"/>
              <w:ind w:right="328" w:hanging="99"/>
              <w:rPr>
                <w:sz w:val="14"/>
              </w:rPr>
            </w:pPr>
            <w:r>
              <w:rPr>
                <w:color w:val="231F20"/>
                <w:sz w:val="14"/>
              </w:rPr>
              <w:t>уочи утицај веровања и обичаја</w:t>
            </w:r>
            <w:r>
              <w:rPr>
                <w:color w:val="231F20"/>
                <w:spacing w:val="-14"/>
                <w:sz w:val="14"/>
              </w:rPr>
              <w:t xml:space="preserve"> </w:t>
            </w:r>
            <w:r>
              <w:rPr>
                <w:color w:val="231F20"/>
                <w:sz w:val="14"/>
              </w:rPr>
              <w:t>на културно</w:t>
            </w:r>
            <w:r>
              <w:rPr>
                <w:color w:val="231F20"/>
                <w:spacing w:val="-1"/>
                <w:sz w:val="14"/>
              </w:rPr>
              <w:t xml:space="preserve"> </w:t>
            </w:r>
            <w:r>
              <w:rPr>
                <w:color w:val="231F20"/>
                <w:sz w:val="14"/>
              </w:rPr>
              <w:t>стваралаштво;</w:t>
            </w:r>
          </w:p>
          <w:p w:rsidR="00041039" w:rsidRDefault="001B26CB">
            <w:pPr>
              <w:pStyle w:val="TableParagraph"/>
              <w:numPr>
                <w:ilvl w:val="0"/>
                <w:numId w:val="1776"/>
              </w:numPr>
              <w:tabs>
                <w:tab w:val="left" w:pos="157"/>
              </w:tabs>
              <w:spacing w:line="160" w:lineRule="exact"/>
              <w:ind w:right="246" w:hanging="99"/>
              <w:rPr>
                <w:sz w:val="14"/>
              </w:rPr>
            </w:pPr>
            <w:r>
              <w:rPr>
                <w:color w:val="231F20"/>
                <w:sz w:val="14"/>
              </w:rPr>
              <w:t>разуме утицај и повезаност</w:t>
            </w:r>
            <w:r>
              <w:rPr>
                <w:color w:val="231F20"/>
                <w:spacing w:val="-9"/>
                <w:sz w:val="14"/>
              </w:rPr>
              <w:t xml:space="preserve"> </w:t>
            </w:r>
            <w:r>
              <w:rPr>
                <w:color w:val="231F20"/>
                <w:sz w:val="14"/>
              </w:rPr>
              <w:t>верских институција и верског живота кроз историју;</w:t>
            </w:r>
          </w:p>
          <w:p w:rsidR="00041039" w:rsidRDefault="001B26CB">
            <w:pPr>
              <w:pStyle w:val="TableParagraph"/>
              <w:numPr>
                <w:ilvl w:val="0"/>
                <w:numId w:val="1776"/>
              </w:numPr>
              <w:tabs>
                <w:tab w:val="left" w:pos="157"/>
              </w:tabs>
              <w:spacing w:before="1" w:line="160" w:lineRule="exact"/>
              <w:ind w:right="246" w:hanging="99"/>
              <w:rPr>
                <w:sz w:val="14"/>
              </w:rPr>
            </w:pPr>
            <w:r>
              <w:rPr>
                <w:color w:val="231F20"/>
                <w:sz w:val="14"/>
              </w:rPr>
              <w:t>разуме утицај и повезаност</w:t>
            </w:r>
            <w:r>
              <w:rPr>
                <w:color w:val="231F20"/>
                <w:spacing w:val="-9"/>
                <w:sz w:val="14"/>
              </w:rPr>
              <w:t xml:space="preserve"> </w:t>
            </w:r>
            <w:r>
              <w:rPr>
                <w:color w:val="231F20"/>
                <w:sz w:val="14"/>
              </w:rPr>
              <w:t xml:space="preserve">верских институција и верског живота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776"/>
              </w:numPr>
              <w:tabs>
                <w:tab w:val="left" w:pos="157"/>
              </w:tabs>
              <w:spacing w:line="160" w:lineRule="exact"/>
              <w:ind w:right="310" w:hanging="99"/>
              <w:jc w:val="both"/>
              <w:rPr>
                <w:sz w:val="14"/>
              </w:rPr>
            </w:pPr>
            <w:r>
              <w:rPr>
                <w:color w:val="231F20"/>
                <w:sz w:val="14"/>
              </w:rPr>
              <w:t xml:space="preserve">препозна и разуме основне одлике верског живота и обичаја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tc>
        <w:tc>
          <w:tcPr>
            <w:tcW w:w="2834" w:type="dxa"/>
          </w:tcPr>
          <w:p w:rsidR="00041039" w:rsidRDefault="001B26CB">
            <w:pPr>
              <w:pStyle w:val="TableParagraph"/>
              <w:numPr>
                <w:ilvl w:val="0"/>
                <w:numId w:val="1775"/>
              </w:numPr>
              <w:tabs>
                <w:tab w:val="left" w:pos="157"/>
              </w:tabs>
              <w:spacing w:before="8"/>
              <w:ind w:right="58" w:hanging="99"/>
              <w:rPr>
                <w:sz w:val="14"/>
              </w:rPr>
            </w:pPr>
            <w:r>
              <w:rPr>
                <w:color w:val="231F20"/>
                <w:sz w:val="14"/>
              </w:rPr>
              <w:t>Веровања у старом Египту и</w:t>
            </w:r>
            <w:r>
              <w:rPr>
                <w:color w:val="231F20"/>
                <w:spacing w:val="-7"/>
                <w:sz w:val="14"/>
              </w:rPr>
              <w:t xml:space="preserve"> </w:t>
            </w:r>
            <w:r>
              <w:rPr>
                <w:color w:val="231F20"/>
                <w:sz w:val="14"/>
              </w:rPr>
              <w:t>Месопот</w:t>
            </w:r>
            <w:r>
              <w:rPr>
                <w:color w:val="231F20"/>
                <w:sz w:val="14"/>
              </w:rPr>
              <w:t xml:space="preserve">амији (загробни </w:t>
            </w:r>
            <w:r>
              <w:rPr>
                <w:color w:val="231F20"/>
                <w:spacing w:val="-3"/>
                <w:sz w:val="14"/>
              </w:rPr>
              <w:t xml:space="preserve">живот, </w:t>
            </w:r>
            <w:r>
              <w:rPr>
                <w:color w:val="231F20"/>
                <w:sz w:val="14"/>
              </w:rPr>
              <w:t>балсамовање, хороскопи, астрологија, обреди и ритуални предме­ ти...).</w:t>
            </w:r>
          </w:p>
          <w:p w:rsidR="00041039" w:rsidRDefault="001B26CB">
            <w:pPr>
              <w:pStyle w:val="TableParagraph"/>
              <w:numPr>
                <w:ilvl w:val="0"/>
                <w:numId w:val="1775"/>
              </w:numPr>
              <w:tabs>
                <w:tab w:val="left" w:pos="157"/>
              </w:tabs>
              <w:spacing w:line="156" w:lineRule="exact"/>
              <w:ind w:hanging="99"/>
              <w:rPr>
                <w:sz w:val="14"/>
              </w:rPr>
            </w:pPr>
            <w:r>
              <w:rPr>
                <w:color w:val="231F20"/>
                <w:sz w:val="14"/>
              </w:rPr>
              <w:t xml:space="preserve">Веровања старих </w:t>
            </w:r>
            <w:r>
              <w:rPr>
                <w:color w:val="231F20"/>
                <w:spacing w:val="-3"/>
                <w:sz w:val="14"/>
              </w:rPr>
              <w:t xml:space="preserve">Грка </w:t>
            </w:r>
            <w:r>
              <w:rPr>
                <w:color w:val="231F20"/>
                <w:sz w:val="14"/>
              </w:rPr>
              <w:t>и Римљана</w:t>
            </w:r>
            <w:r>
              <w:rPr>
                <w:color w:val="231F20"/>
                <w:spacing w:val="-2"/>
                <w:sz w:val="14"/>
              </w:rPr>
              <w:t xml:space="preserve"> </w:t>
            </w:r>
            <w:r>
              <w:rPr>
                <w:color w:val="231F20"/>
                <w:sz w:val="14"/>
              </w:rPr>
              <w:t>(про­</w:t>
            </w:r>
          </w:p>
          <w:p w:rsidR="00041039" w:rsidRDefault="001B26CB">
            <w:pPr>
              <w:pStyle w:val="TableParagraph"/>
              <w:rPr>
                <w:sz w:val="14"/>
              </w:rPr>
            </w:pPr>
            <w:r>
              <w:rPr>
                <w:color w:val="231F20"/>
                <w:sz w:val="14"/>
              </w:rPr>
              <w:t>рочишта, загробни живот, свештеници и свештенице, приношење жртве богови­ ма...).</w:t>
            </w:r>
          </w:p>
          <w:p w:rsidR="00041039" w:rsidRDefault="001B26CB">
            <w:pPr>
              <w:pStyle w:val="TableParagraph"/>
              <w:numPr>
                <w:ilvl w:val="0"/>
                <w:numId w:val="1775"/>
              </w:numPr>
              <w:tabs>
                <w:tab w:val="left" w:pos="157"/>
              </w:tabs>
              <w:spacing w:line="153" w:lineRule="exact"/>
              <w:ind w:hanging="99"/>
              <w:rPr>
                <w:sz w:val="14"/>
              </w:rPr>
            </w:pPr>
            <w:r>
              <w:rPr>
                <w:color w:val="231F20"/>
                <w:sz w:val="14"/>
              </w:rPr>
              <w:t>Религије Далеког</w:t>
            </w:r>
            <w:r>
              <w:rPr>
                <w:color w:val="231F20"/>
                <w:spacing w:val="-2"/>
                <w:sz w:val="14"/>
              </w:rPr>
              <w:t xml:space="preserve"> </w:t>
            </w:r>
            <w:r>
              <w:rPr>
                <w:color w:val="231F20"/>
                <w:sz w:val="14"/>
              </w:rPr>
              <w:t>истока.</w:t>
            </w:r>
          </w:p>
          <w:p w:rsidR="00041039" w:rsidRDefault="001B26CB">
            <w:pPr>
              <w:pStyle w:val="TableParagraph"/>
              <w:numPr>
                <w:ilvl w:val="0"/>
                <w:numId w:val="1775"/>
              </w:numPr>
              <w:tabs>
                <w:tab w:val="left" w:pos="157"/>
              </w:tabs>
              <w:spacing w:line="237" w:lineRule="auto"/>
              <w:ind w:right="271" w:hanging="99"/>
              <w:rPr>
                <w:sz w:val="14"/>
              </w:rPr>
            </w:pPr>
            <w:r>
              <w:rPr>
                <w:color w:val="231F20"/>
                <w:sz w:val="14"/>
              </w:rPr>
              <w:t>Верски живот и обичаји у средњем</w:t>
            </w:r>
            <w:r>
              <w:rPr>
                <w:color w:val="231F20"/>
                <w:spacing w:val="-11"/>
                <w:sz w:val="14"/>
              </w:rPr>
              <w:t xml:space="preserve"> </w:t>
            </w:r>
            <w:r>
              <w:rPr>
                <w:color w:val="231F20"/>
                <w:sz w:val="14"/>
              </w:rPr>
              <w:t>веку (главне одлике хришћанства, ислама и јудаизма; обележја различитих вер­ ских конфесија ­ сличности и разлике</w:t>
            </w:r>
            <w:r>
              <w:rPr>
                <w:color w:val="231F20"/>
                <w:spacing w:val="-7"/>
                <w:sz w:val="14"/>
              </w:rPr>
              <w:t xml:space="preserve"> </w:t>
            </w:r>
            <w:r>
              <w:rPr>
                <w:color w:val="231F20"/>
                <w:sz w:val="14"/>
              </w:rPr>
              <w:t>у</w:t>
            </w:r>
          </w:p>
          <w:p w:rsidR="00041039" w:rsidRDefault="001B26CB">
            <w:pPr>
              <w:pStyle w:val="TableParagraph"/>
              <w:rPr>
                <w:sz w:val="14"/>
              </w:rPr>
            </w:pPr>
            <w:r>
              <w:rPr>
                <w:color w:val="231F20"/>
                <w:sz w:val="14"/>
              </w:rPr>
              <w:t>веровањима и обичајима; обележавање вер­ ских празника, страхови средњовековног човека).</w:t>
            </w:r>
          </w:p>
          <w:p w:rsidR="00041039" w:rsidRDefault="001B26CB">
            <w:pPr>
              <w:pStyle w:val="TableParagraph"/>
              <w:numPr>
                <w:ilvl w:val="0"/>
                <w:numId w:val="1775"/>
              </w:numPr>
              <w:tabs>
                <w:tab w:val="left" w:pos="157"/>
              </w:tabs>
              <w:spacing w:line="158" w:lineRule="exact"/>
              <w:ind w:hanging="99"/>
              <w:rPr>
                <w:sz w:val="14"/>
              </w:rPr>
            </w:pPr>
            <w:r>
              <w:rPr>
                <w:color w:val="231F20"/>
                <w:sz w:val="14"/>
              </w:rPr>
              <w:t>Верски живот и обичаји у новом</w:t>
            </w:r>
            <w:r>
              <w:rPr>
                <w:color w:val="231F20"/>
                <w:spacing w:val="-6"/>
                <w:sz w:val="14"/>
              </w:rPr>
              <w:t xml:space="preserve"> </w:t>
            </w:r>
            <w:r>
              <w:rPr>
                <w:color w:val="231F20"/>
                <w:sz w:val="14"/>
              </w:rPr>
              <w:t>веку</w:t>
            </w:r>
          </w:p>
          <w:p w:rsidR="00041039" w:rsidRDefault="001B26CB">
            <w:pPr>
              <w:pStyle w:val="TableParagraph"/>
              <w:ind w:right="233"/>
              <w:rPr>
                <w:sz w:val="14"/>
              </w:rPr>
            </w:pPr>
            <w:r>
              <w:rPr>
                <w:color w:val="231F20"/>
                <w:sz w:val="14"/>
              </w:rPr>
              <w:t>и савременом добу (верски идентитет, сличности и разлике између католика, протестаната, православаца, муслимана, Јевреја; атеизам).</w:t>
            </w:r>
          </w:p>
        </w:tc>
        <w:tc>
          <w:tcPr>
            <w:tcW w:w="2267" w:type="dxa"/>
            <w:vMerge w:val="restart"/>
          </w:tcPr>
          <w:p w:rsidR="00041039" w:rsidRDefault="001B26CB">
            <w:pPr>
              <w:pStyle w:val="TableParagraph"/>
              <w:numPr>
                <w:ilvl w:val="0"/>
                <w:numId w:val="1774"/>
              </w:numPr>
              <w:tabs>
                <w:tab w:val="left" w:pos="158"/>
              </w:tabs>
              <w:spacing w:before="9"/>
              <w:ind w:right="71" w:hanging="99"/>
              <w:rPr>
                <w:sz w:val="14"/>
              </w:rPr>
            </w:pPr>
            <w:r>
              <w:rPr>
                <w:color w:val="231F20"/>
                <w:sz w:val="14"/>
              </w:rPr>
              <w:t>у раду са ученицима неопходно</w:t>
            </w:r>
            <w:r>
              <w:rPr>
                <w:color w:val="231F20"/>
                <w:spacing w:val="-15"/>
                <w:sz w:val="14"/>
              </w:rPr>
              <w:t xml:space="preserve"> </w:t>
            </w:r>
            <w:r>
              <w:rPr>
                <w:color w:val="231F20"/>
                <w:sz w:val="14"/>
              </w:rPr>
              <w:t>је имати у виду интегративну функ­ цију историје, која у о</w:t>
            </w:r>
            <w:r>
              <w:rPr>
                <w:color w:val="231F20"/>
                <w:sz w:val="14"/>
              </w:rPr>
              <w:t xml:space="preserve">бразовном систему, </w:t>
            </w:r>
            <w:r>
              <w:rPr>
                <w:color w:val="231F20"/>
                <w:spacing w:val="-3"/>
                <w:sz w:val="14"/>
              </w:rPr>
              <w:t xml:space="preserve">где </w:t>
            </w:r>
            <w:r>
              <w:rPr>
                <w:color w:val="231F20"/>
                <w:sz w:val="14"/>
              </w:rPr>
              <w:t>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041039" w:rsidRDefault="001B26CB">
            <w:pPr>
              <w:pStyle w:val="TableParagraph"/>
              <w:numPr>
                <w:ilvl w:val="0"/>
                <w:numId w:val="1774"/>
              </w:numPr>
              <w:tabs>
                <w:tab w:val="left" w:pos="158"/>
              </w:tabs>
              <w:spacing w:line="150" w:lineRule="exact"/>
              <w:ind w:hanging="99"/>
              <w:rPr>
                <w:sz w:val="14"/>
              </w:rPr>
            </w:pPr>
            <w:r>
              <w:rPr>
                <w:color w:val="231F20"/>
                <w:sz w:val="14"/>
              </w:rPr>
              <w:t>пожељно је избегавати</w:t>
            </w:r>
            <w:r>
              <w:rPr>
                <w:color w:val="231F20"/>
                <w:spacing w:val="-4"/>
                <w:sz w:val="14"/>
              </w:rPr>
              <w:t xml:space="preserve"> </w:t>
            </w:r>
            <w:r>
              <w:rPr>
                <w:color w:val="231F20"/>
                <w:sz w:val="14"/>
              </w:rPr>
              <w:t>фраг­</w:t>
            </w:r>
          </w:p>
          <w:p w:rsidR="00041039" w:rsidRDefault="001B26CB">
            <w:pPr>
              <w:pStyle w:val="TableParagraph"/>
              <w:ind w:left="157" w:right="105"/>
              <w:rPr>
                <w:sz w:val="14"/>
              </w:rPr>
            </w:pPr>
            <w:r>
              <w:rPr>
                <w:color w:val="231F20"/>
                <w:sz w:val="14"/>
              </w:rPr>
              <w:t>ментарн</w:t>
            </w:r>
            <w:r>
              <w:rPr>
                <w:color w:val="231F20"/>
                <w:sz w:val="14"/>
              </w:rPr>
              <w:t>о и изоловано учење историјских чињеница јер оно има најкраће трајање у памћењу и најслабији трансфер у стицању других знања и вештина;</w:t>
            </w:r>
          </w:p>
          <w:p w:rsidR="00041039" w:rsidRDefault="001B26CB">
            <w:pPr>
              <w:pStyle w:val="TableParagraph"/>
              <w:numPr>
                <w:ilvl w:val="0"/>
                <w:numId w:val="1774"/>
              </w:numPr>
              <w:tabs>
                <w:tab w:val="left" w:pos="158"/>
              </w:tabs>
              <w:spacing w:line="156" w:lineRule="exact"/>
              <w:ind w:hanging="99"/>
              <w:rPr>
                <w:sz w:val="14"/>
              </w:rPr>
            </w:pPr>
            <w:r>
              <w:rPr>
                <w:color w:val="231F20"/>
                <w:sz w:val="14"/>
              </w:rPr>
              <w:t xml:space="preserve">у настави треба, кад </w:t>
            </w:r>
            <w:r>
              <w:rPr>
                <w:color w:val="231F20"/>
                <w:spacing w:val="-3"/>
                <w:sz w:val="14"/>
              </w:rPr>
              <w:t xml:space="preserve">год </w:t>
            </w:r>
            <w:r>
              <w:rPr>
                <w:color w:val="231F20"/>
                <w:sz w:val="14"/>
              </w:rPr>
              <w:t>је то</w:t>
            </w:r>
          </w:p>
          <w:p w:rsidR="00041039" w:rsidRDefault="001B26CB">
            <w:pPr>
              <w:pStyle w:val="TableParagraph"/>
              <w:ind w:left="157"/>
              <w:rPr>
                <w:sz w:val="14"/>
              </w:rPr>
            </w:pPr>
            <w:r>
              <w:rPr>
                <w:color w:val="231F20"/>
                <w:sz w:val="14"/>
              </w:rPr>
              <w:t>могуће, примењивати дидактички концепт мултиперспективности;</w:t>
            </w:r>
          </w:p>
          <w:p w:rsidR="00041039" w:rsidRDefault="001B26CB">
            <w:pPr>
              <w:pStyle w:val="TableParagraph"/>
              <w:numPr>
                <w:ilvl w:val="0"/>
                <w:numId w:val="1774"/>
              </w:numPr>
              <w:tabs>
                <w:tab w:val="left" w:pos="158"/>
              </w:tabs>
              <w:spacing w:line="160" w:lineRule="exact"/>
              <w:ind w:right="208" w:hanging="99"/>
              <w:rPr>
                <w:sz w:val="14"/>
              </w:rPr>
            </w:pPr>
            <w:r>
              <w:rPr>
                <w:color w:val="231F20"/>
                <w:sz w:val="14"/>
              </w:rPr>
              <w:t>одређене теме, по могућности, треба реализовати са одгова­ рајућим садржајима из</w:t>
            </w:r>
            <w:r>
              <w:rPr>
                <w:color w:val="231F20"/>
                <w:spacing w:val="-8"/>
                <w:sz w:val="14"/>
              </w:rPr>
              <w:t xml:space="preserve"> </w:t>
            </w:r>
            <w:r>
              <w:rPr>
                <w:color w:val="231F20"/>
                <w:sz w:val="14"/>
              </w:rPr>
              <w:t>сродних предмета;</w:t>
            </w:r>
          </w:p>
          <w:p w:rsidR="00041039" w:rsidRDefault="001B26CB">
            <w:pPr>
              <w:pStyle w:val="TableParagraph"/>
              <w:numPr>
                <w:ilvl w:val="0"/>
                <w:numId w:val="1774"/>
              </w:numPr>
              <w:tabs>
                <w:tab w:val="left" w:pos="158"/>
              </w:tabs>
              <w:spacing w:line="160" w:lineRule="exact"/>
              <w:ind w:right="111" w:hanging="99"/>
              <w:rPr>
                <w:sz w:val="14"/>
              </w:rPr>
            </w:pPr>
            <w:r>
              <w:rPr>
                <w:color w:val="231F20"/>
                <w:spacing w:val="-3"/>
                <w:sz w:val="14"/>
              </w:rPr>
              <w:t xml:space="preserve">током </w:t>
            </w:r>
            <w:r>
              <w:rPr>
                <w:color w:val="231F20"/>
                <w:sz w:val="14"/>
              </w:rPr>
              <w:t>рада са ученицима потреб­ но је стално правити поређења са савременим добом, чиме се</w:t>
            </w:r>
          </w:p>
          <w:p w:rsidR="00041039" w:rsidRDefault="001B26CB">
            <w:pPr>
              <w:pStyle w:val="TableParagraph"/>
              <w:spacing w:line="237" w:lineRule="auto"/>
              <w:ind w:left="157"/>
              <w:rPr>
                <w:sz w:val="14"/>
              </w:rPr>
            </w:pPr>
            <w:r>
              <w:rPr>
                <w:color w:val="231F20"/>
                <w:sz w:val="14"/>
              </w:rPr>
              <w:t>наглашава схватање континуитета у развоју друштва и богатство садр</w:t>
            </w:r>
            <w:r>
              <w:rPr>
                <w:color w:val="231F20"/>
                <w:sz w:val="14"/>
              </w:rPr>
              <w:t>жаја из прошлости;</w:t>
            </w:r>
          </w:p>
          <w:p w:rsidR="00041039" w:rsidRDefault="001B26CB">
            <w:pPr>
              <w:pStyle w:val="TableParagraph"/>
              <w:numPr>
                <w:ilvl w:val="0"/>
                <w:numId w:val="1774"/>
              </w:numPr>
              <w:tabs>
                <w:tab w:val="left" w:pos="158"/>
              </w:tabs>
              <w:spacing w:line="237" w:lineRule="auto"/>
              <w:ind w:right="99" w:hanging="99"/>
              <w:rPr>
                <w:sz w:val="14"/>
              </w:rPr>
            </w:pPr>
            <w:r>
              <w:rPr>
                <w:color w:val="231F20"/>
                <w:sz w:val="14"/>
              </w:rPr>
              <w:t>задатак наставника је и да под­ стиче осамостаљивање  ученика у прикупљању и сређивању</w:t>
            </w:r>
            <w:r>
              <w:rPr>
                <w:color w:val="231F20"/>
                <w:spacing w:val="-12"/>
                <w:sz w:val="14"/>
              </w:rPr>
              <w:t xml:space="preserve"> </w:t>
            </w:r>
            <w:r>
              <w:rPr>
                <w:color w:val="231F20"/>
                <w:sz w:val="14"/>
              </w:rPr>
              <w:t>исто­ ријских података, да их</w:t>
            </w:r>
            <w:r>
              <w:rPr>
                <w:color w:val="231F20"/>
                <w:spacing w:val="-14"/>
                <w:sz w:val="14"/>
              </w:rPr>
              <w:t xml:space="preserve"> </w:t>
            </w:r>
            <w:r>
              <w:rPr>
                <w:color w:val="231F20"/>
                <w:sz w:val="14"/>
              </w:rPr>
              <w:t>усмерава</w:t>
            </w:r>
          </w:p>
          <w:p w:rsidR="00041039" w:rsidRDefault="001B26CB">
            <w:pPr>
              <w:pStyle w:val="TableParagraph"/>
              <w:ind w:left="157" w:right="32"/>
              <w:rPr>
                <w:sz w:val="14"/>
              </w:rPr>
            </w:pPr>
            <w:r>
              <w:rPr>
                <w:color w:val="231F20"/>
                <w:sz w:val="14"/>
              </w:rPr>
              <w:t>на различите изворе информација и подучава их како да се према њима критички односе, чиме</w:t>
            </w:r>
          </w:p>
          <w:p w:rsidR="00041039" w:rsidRDefault="001B26CB">
            <w:pPr>
              <w:pStyle w:val="TableParagraph"/>
              <w:spacing w:line="237" w:lineRule="auto"/>
              <w:ind w:left="157" w:right="276"/>
              <w:rPr>
                <w:sz w:val="14"/>
              </w:rPr>
            </w:pPr>
            <w:r>
              <w:rPr>
                <w:color w:val="231F20"/>
                <w:sz w:val="14"/>
              </w:rPr>
              <w:t>се негује истраживачк</w:t>
            </w:r>
            <w:r>
              <w:rPr>
                <w:color w:val="231F20"/>
                <w:sz w:val="14"/>
              </w:rPr>
              <w:t>и дух и занимање за науку и подстиче развој мишљења заснованог на провереним чињеницама и аргументима;</w:t>
            </w:r>
          </w:p>
          <w:p w:rsidR="00041039" w:rsidRDefault="001B26CB">
            <w:pPr>
              <w:pStyle w:val="TableParagraph"/>
              <w:numPr>
                <w:ilvl w:val="0"/>
                <w:numId w:val="1774"/>
              </w:numPr>
              <w:tabs>
                <w:tab w:val="left" w:pos="158"/>
              </w:tabs>
              <w:spacing w:line="237" w:lineRule="auto"/>
              <w:ind w:right="61" w:hanging="99"/>
              <w:rPr>
                <w:sz w:val="14"/>
              </w:rPr>
            </w:pPr>
            <w:r>
              <w:rPr>
                <w:color w:val="231F20"/>
                <w:sz w:val="14"/>
              </w:rPr>
              <w:t>овај предмет пружа велике</w:t>
            </w:r>
            <w:r>
              <w:rPr>
                <w:color w:val="231F20"/>
                <w:spacing w:val="-16"/>
                <w:sz w:val="14"/>
              </w:rPr>
              <w:t xml:space="preserve"> </w:t>
            </w:r>
            <w:r>
              <w:rPr>
                <w:color w:val="231F20"/>
                <w:sz w:val="14"/>
              </w:rPr>
              <w:t>могућ­ ности за интеграцију</w:t>
            </w:r>
            <w:r>
              <w:rPr>
                <w:color w:val="231F20"/>
                <w:spacing w:val="-4"/>
                <w:sz w:val="14"/>
              </w:rPr>
              <w:t xml:space="preserve"> </w:t>
            </w:r>
            <w:r>
              <w:rPr>
                <w:color w:val="231F20"/>
                <w:spacing w:val="-3"/>
                <w:sz w:val="14"/>
              </w:rPr>
              <w:t>школског</w:t>
            </w:r>
          </w:p>
          <w:p w:rsidR="00041039" w:rsidRDefault="001B26CB">
            <w:pPr>
              <w:pStyle w:val="TableParagraph"/>
              <w:ind w:left="157" w:right="191"/>
              <w:jc w:val="both"/>
              <w:rPr>
                <w:sz w:val="14"/>
              </w:rPr>
            </w:pPr>
            <w:r>
              <w:rPr>
                <w:color w:val="231F20"/>
                <w:sz w:val="14"/>
              </w:rPr>
              <w:t>и ваншколског знања ученика, за излазак из оквира школских уџбеника и учионица, укључи­ вање родитеља и суграђана</w:t>
            </w:r>
            <w:r>
              <w:rPr>
                <w:color w:val="231F20"/>
                <w:spacing w:val="-18"/>
                <w:sz w:val="14"/>
              </w:rPr>
              <w:t xml:space="preserve"> </w:t>
            </w:r>
            <w:r>
              <w:rPr>
                <w:color w:val="231F20"/>
                <w:sz w:val="14"/>
              </w:rPr>
              <w:t>који</w:t>
            </w:r>
          </w:p>
          <w:p w:rsidR="00041039" w:rsidRDefault="001B26CB">
            <w:pPr>
              <w:pStyle w:val="TableParagraph"/>
              <w:spacing w:line="237" w:lineRule="auto"/>
              <w:ind w:left="157"/>
              <w:rPr>
                <w:sz w:val="14"/>
              </w:rPr>
            </w:pPr>
            <w:r>
              <w:rPr>
                <w:color w:val="231F20"/>
                <w:sz w:val="14"/>
              </w:rPr>
              <w:t>поседују знања, колекције, књиге, филмове и другу грађу која</w:t>
            </w:r>
          </w:p>
          <w:p w:rsidR="00041039" w:rsidRDefault="001B26CB">
            <w:pPr>
              <w:pStyle w:val="TableParagraph"/>
              <w:ind w:left="157"/>
              <w:rPr>
                <w:sz w:val="14"/>
              </w:rPr>
            </w:pPr>
            <w:r>
              <w:rPr>
                <w:color w:val="231F20"/>
                <w:sz w:val="14"/>
              </w:rPr>
              <w:t>може да помогне у реализацији програма;</w:t>
            </w:r>
          </w:p>
          <w:p w:rsidR="00041039" w:rsidRDefault="001B26CB">
            <w:pPr>
              <w:pStyle w:val="TableParagraph"/>
              <w:numPr>
                <w:ilvl w:val="0"/>
                <w:numId w:val="1774"/>
              </w:numPr>
              <w:tabs>
                <w:tab w:val="left" w:pos="158"/>
              </w:tabs>
              <w:spacing w:line="160" w:lineRule="exact"/>
              <w:ind w:right="136" w:hanging="99"/>
              <w:rPr>
                <w:sz w:val="14"/>
              </w:rPr>
            </w:pPr>
            <w:r>
              <w:rPr>
                <w:color w:val="231F20"/>
                <w:sz w:val="14"/>
              </w:rPr>
              <w:t>наставник треба да тежи комби­ новањ</w:t>
            </w:r>
            <w:r>
              <w:rPr>
                <w:color w:val="231F20"/>
                <w:sz w:val="14"/>
              </w:rPr>
              <w:t>у различитих метода рада (кратка предавања, гледање</w:t>
            </w:r>
            <w:r>
              <w:rPr>
                <w:color w:val="231F20"/>
                <w:spacing w:val="-22"/>
                <w:sz w:val="14"/>
              </w:rPr>
              <w:t xml:space="preserve"> </w:t>
            </w:r>
            <w:r>
              <w:rPr>
                <w:color w:val="231F20"/>
                <w:sz w:val="14"/>
              </w:rPr>
              <w:t>фил­ мова, читање књига, дискусије, анализа писаних извора, слика и фотографија...);</w:t>
            </w:r>
          </w:p>
          <w:p w:rsidR="00041039" w:rsidRDefault="001B26CB">
            <w:pPr>
              <w:pStyle w:val="TableParagraph"/>
              <w:numPr>
                <w:ilvl w:val="0"/>
                <w:numId w:val="1774"/>
              </w:numPr>
              <w:tabs>
                <w:tab w:val="left" w:pos="158"/>
              </w:tabs>
              <w:spacing w:line="160" w:lineRule="exact"/>
              <w:ind w:right="65" w:hanging="99"/>
              <w:rPr>
                <w:sz w:val="14"/>
              </w:rPr>
            </w:pPr>
            <w:r>
              <w:rPr>
                <w:color w:val="231F20"/>
                <w:sz w:val="14"/>
              </w:rPr>
              <w:t xml:space="preserve">у извођењу наставе самостално истраживање ученика је најваж­ није, без обзира на изабране методе рада, а наставникова је улога да организује </w:t>
            </w:r>
            <w:r>
              <w:rPr>
                <w:color w:val="231F20"/>
                <w:spacing w:val="-3"/>
                <w:sz w:val="14"/>
              </w:rPr>
              <w:t xml:space="preserve">наставу, </w:t>
            </w:r>
            <w:r>
              <w:rPr>
                <w:color w:val="231F20"/>
                <w:sz w:val="14"/>
              </w:rPr>
              <w:t>пру­ жи помоћ ученицима у раду (од давања информација до упући­ вања на изворе информација) и</w:t>
            </w:r>
            <w:r>
              <w:rPr>
                <w:color w:val="231F20"/>
                <w:spacing w:val="-16"/>
                <w:sz w:val="14"/>
              </w:rPr>
              <w:t xml:space="preserve"> </w:t>
            </w:r>
            <w:r>
              <w:rPr>
                <w:color w:val="231F20"/>
                <w:sz w:val="14"/>
              </w:rPr>
              <w:t xml:space="preserve">да подстиче </w:t>
            </w:r>
            <w:r>
              <w:rPr>
                <w:color w:val="231F20"/>
                <w:sz w:val="14"/>
              </w:rPr>
              <w:t>интересовање ученика за</w:t>
            </w:r>
            <w:r>
              <w:rPr>
                <w:color w:val="231F20"/>
                <w:spacing w:val="-2"/>
                <w:sz w:val="14"/>
              </w:rPr>
              <w:t xml:space="preserve"> </w:t>
            </w:r>
            <w:r>
              <w:rPr>
                <w:color w:val="231F20"/>
                <w:sz w:val="14"/>
              </w:rPr>
              <w:t>предмет;</w:t>
            </w:r>
          </w:p>
          <w:p w:rsidR="00041039" w:rsidRDefault="001B26CB">
            <w:pPr>
              <w:pStyle w:val="TableParagraph"/>
              <w:numPr>
                <w:ilvl w:val="0"/>
                <w:numId w:val="1774"/>
              </w:numPr>
              <w:tabs>
                <w:tab w:val="left" w:pos="158"/>
              </w:tabs>
              <w:spacing w:line="160" w:lineRule="exact"/>
              <w:ind w:right="108" w:hanging="99"/>
              <w:rPr>
                <w:sz w:val="14"/>
              </w:rPr>
            </w:pPr>
            <w:r>
              <w:rPr>
                <w:color w:val="231F20"/>
                <w:sz w:val="14"/>
              </w:rPr>
              <w:t>у припреми и реализацији часова наставницима може користити следећа</w:t>
            </w:r>
            <w:r>
              <w:rPr>
                <w:color w:val="231F20"/>
                <w:spacing w:val="-1"/>
                <w:sz w:val="14"/>
              </w:rPr>
              <w:t xml:space="preserve"> </w:t>
            </w:r>
            <w:r>
              <w:rPr>
                <w:color w:val="231F20"/>
                <w:sz w:val="14"/>
              </w:rPr>
              <w:t>литература:</w:t>
            </w:r>
          </w:p>
          <w:p w:rsidR="00041039" w:rsidRDefault="001B26CB">
            <w:pPr>
              <w:pStyle w:val="TableParagraph"/>
              <w:spacing w:line="237" w:lineRule="auto"/>
              <w:ind w:left="58"/>
              <w:rPr>
                <w:sz w:val="14"/>
              </w:rPr>
            </w:pPr>
            <w:r>
              <w:rPr>
                <w:color w:val="231F20"/>
                <w:sz w:val="14"/>
              </w:rPr>
              <w:t xml:space="preserve">Д. М. Ацовић, </w:t>
            </w:r>
            <w:r>
              <w:rPr>
                <w:i/>
                <w:color w:val="231F20"/>
                <w:sz w:val="14"/>
              </w:rPr>
              <w:t>Хералдика и Срби</w:t>
            </w:r>
            <w:r>
              <w:rPr>
                <w:color w:val="231F20"/>
                <w:sz w:val="14"/>
              </w:rPr>
              <w:t>, Београд 2008.</w:t>
            </w:r>
          </w:p>
          <w:p w:rsidR="00041039" w:rsidRDefault="001B26CB">
            <w:pPr>
              <w:pStyle w:val="TableParagraph"/>
              <w:ind w:left="58"/>
              <w:rPr>
                <w:sz w:val="14"/>
              </w:rPr>
            </w:pPr>
            <w:r>
              <w:rPr>
                <w:color w:val="231F20"/>
                <w:sz w:val="14"/>
              </w:rPr>
              <w:t xml:space="preserve">Д. Бабац, </w:t>
            </w:r>
            <w:r>
              <w:rPr>
                <w:i/>
                <w:color w:val="231F20"/>
                <w:sz w:val="14"/>
              </w:rPr>
              <w:t>Специјалне јединице југословенске војске у Априлскомрату</w:t>
            </w:r>
            <w:r>
              <w:rPr>
                <w:color w:val="231F20"/>
                <w:sz w:val="14"/>
              </w:rPr>
              <w:t>, Београд 2006.</w:t>
            </w:r>
          </w:p>
          <w:p w:rsidR="00041039" w:rsidRDefault="001B26CB">
            <w:pPr>
              <w:pStyle w:val="TableParagraph"/>
              <w:spacing w:line="158" w:lineRule="exact"/>
              <w:ind w:left="58"/>
              <w:rPr>
                <w:sz w:val="14"/>
              </w:rPr>
            </w:pPr>
            <w:r>
              <w:rPr>
                <w:color w:val="231F20"/>
                <w:sz w:val="14"/>
              </w:rPr>
              <w:t>Д. Бабац, Ч. Васић, М. Марковић,</w:t>
            </w:r>
          </w:p>
          <w:p w:rsidR="00041039" w:rsidRDefault="001B26CB">
            <w:pPr>
              <w:pStyle w:val="TableParagraph"/>
              <w:spacing w:line="160" w:lineRule="exact"/>
              <w:ind w:left="58"/>
              <w:rPr>
                <w:sz w:val="14"/>
              </w:rPr>
            </w:pPr>
            <w:r>
              <w:rPr>
                <w:i/>
                <w:color w:val="231F20"/>
                <w:sz w:val="14"/>
              </w:rPr>
              <w:t xml:space="preserve">Црногорска војска </w:t>
            </w:r>
            <w:r>
              <w:rPr>
                <w:color w:val="231F20"/>
                <w:sz w:val="14"/>
              </w:rPr>
              <w:t>1896­1916,</w:t>
            </w:r>
          </w:p>
          <w:p w:rsidR="00041039" w:rsidRDefault="001B26CB">
            <w:pPr>
              <w:pStyle w:val="TableParagraph"/>
              <w:spacing w:line="160" w:lineRule="exact"/>
              <w:ind w:left="58"/>
              <w:rPr>
                <w:sz w:val="14"/>
              </w:rPr>
            </w:pPr>
            <w:r>
              <w:rPr>
                <w:color w:val="231F20"/>
                <w:sz w:val="14"/>
              </w:rPr>
              <w:t>Београд 2007.</w:t>
            </w:r>
          </w:p>
          <w:p w:rsidR="00041039" w:rsidRDefault="001B26CB">
            <w:pPr>
              <w:pStyle w:val="TableParagraph"/>
              <w:ind w:left="58"/>
              <w:rPr>
                <w:sz w:val="14"/>
              </w:rPr>
            </w:pPr>
            <w:r>
              <w:rPr>
                <w:color w:val="231F20"/>
                <w:sz w:val="14"/>
              </w:rPr>
              <w:t xml:space="preserve">Д. Бандић, </w:t>
            </w:r>
            <w:r>
              <w:rPr>
                <w:i/>
                <w:color w:val="231F20"/>
                <w:sz w:val="14"/>
              </w:rPr>
              <w:t>Народна религија Срба у 100 појмова</w:t>
            </w:r>
            <w:r>
              <w:rPr>
                <w:color w:val="231F20"/>
                <w:sz w:val="14"/>
              </w:rPr>
              <w:t>, Београд 2004.</w:t>
            </w:r>
          </w:p>
          <w:p w:rsidR="00041039" w:rsidRDefault="001B26CB">
            <w:pPr>
              <w:pStyle w:val="TableParagraph"/>
              <w:ind w:left="58"/>
              <w:rPr>
                <w:sz w:val="14"/>
              </w:rPr>
            </w:pPr>
            <w:r>
              <w:rPr>
                <w:color w:val="231F20"/>
                <w:sz w:val="14"/>
              </w:rPr>
              <w:t xml:space="preserve">B. Бикић, </w:t>
            </w:r>
            <w:r>
              <w:rPr>
                <w:i/>
                <w:color w:val="231F20"/>
                <w:sz w:val="14"/>
              </w:rPr>
              <w:t>Средњовековно село</w:t>
            </w:r>
            <w:r>
              <w:rPr>
                <w:color w:val="231F20"/>
                <w:sz w:val="14"/>
              </w:rPr>
              <w:t>, Београд 2007.</w:t>
            </w:r>
          </w:p>
          <w:p w:rsidR="00041039" w:rsidRDefault="001B26CB">
            <w:pPr>
              <w:pStyle w:val="TableParagraph"/>
              <w:ind w:left="58"/>
              <w:rPr>
                <w:sz w:val="14"/>
              </w:rPr>
            </w:pPr>
            <w:r>
              <w:rPr>
                <w:color w:val="231F20"/>
                <w:sz w:val="14"/>
              </w:rPr>
              <w:t>М. Благојевић,</w:t>
            </w:r>
            <w:r>
              <w:rPr>
                <w:i/>
                <w:color w:val="231F20"/>
                <w:sz w:val="14"/>
              </w:rPr>
              <w:t>Србијау добаНемањића</w:t>
            </w:r>
            <w:r>
              <w:rPr>
                <w:color w:val="231F20"/>
                <w:sz w:val="14"/>
              </w:rPr>
              <w:t>, Београд 1989.</w:t>
            </w:r>
          </w:p>
        </w:tc>
      </w:tr>
      <w:tr w:rsidR="00041039">
        <w:trPr>
          <w:trHeight w:val="3560"/>
        </w:trPr>
        <w:tc>
          <w:tcPr>
            <w:tcW w:w="1304" w:type="dxa"/>
          </w:tcPr>
          <w:p w:rsidR="00041039" w:rsidRDefault="001B26CB">
            <w:pPr>
              <w:pStyle w:val="TableParagraph"/>
              <w:spacing w:before="21"/>
              <w:ind w:left="56" w:right="292"/>
              <w:rPr>
                <w:sz w:val="14"/>
              </w:rPr>
            </w:pPr>
            <w:r>
              <w:rPr>
                <w:color w:val="231F20"/>
                <w:sz w:val="14"/>
              </w:rPr>
              <w:t>Образовање и васпитање кроз историју</w:t>
            </w:r>
          </w:p>
        </w:tc>
        <w:tc>
          <w:tcPr>
            <w:tcW w:w="1587" w:type="dxa"/>
          </w:tcPr>
          <w:p w:rsidR="00041039" w:rsidRDefault="001B26CB">
            <w:pPr>
              <w:pStyle w:val="TableParagraph"/>
              <w:numPr>
                <w:ilvl w:val="0"/>
                <w:numId w:val="1773"/>
              </w:numPr>
              <w:tabs>
                <w:tab w:val="left" w:pos="157"/>
              </w:tabs>
              <w:spacing w:before="10"/>
              <w:ind w:right="113"/>
              <w:rPr>
                <w:sz w:val="14"/>
              </w:rPr>
            </w:pPr>
            <w:r>
              <w:rPr>
                <w:color w:val="231F20"/>
                <w:sz w:val="14"/>
              </w:rPr>
              <w:t>Продубљивање</w:t>
            </w:r>
            <w:r>
              <w:rPr>
                <w:color w:val="231F20"/>
                <w:spacing w:val="-13"/>
                <w:sz w:val="14"/>
              </w:rPr>
              <w:t xml:space="preserve"> </w:t>
            </w:r>
            <w:r>
              <w:rPr>
                <w:color w:val="231F20"/>
                <w:sz w:val="14"/>
              </w:rPr>
              <w:t>знања о развоју образовања кроз</w:t>
            </w:r>
            <w:r>
              <w:rPr>
                <w:color w:val="231F20"/>
                <w:spacing w:val="-2"/>
                <w:sz w:val="14"/>
              </w:rPr>
              <w:t xml:space="preserve"> </w:t>
            </w:r>
            <w:r>
              <w:rPr>
                <w:color w:val="231F20"/>
                <w:sz w:val="14"/>
              </w:rPr>
              <w:t>историју.</w:t>
            </w:r>
          </w:p>
          <w:p w:rsidR="00041039" w:rsidRDefault="001B26CB">
            <w:pPr>
              <w:pStyle w:val="TableParagraph"/>
              <w:numPr>
                <w:ilvl w:val="0"/>
                <w:numId w:val="1773"/>
              </w:numPr>
              <w:tabs>
                <w:tab w:val="left" w:pos="157"/>
              </w:tabs>
              <w:spacing w:line="157" w:lineRule="exact"/>
              <w:rPr>
                <w:sz w:val="14"/>
              </w:rPr>
            </w:pPr>
            <w:r>
              <w:rPr>
                <w:color w:val="231F20"/>
                <w:spacing w:val="-3"/>
                <w:sz w:val="14"/>
              </w:rPr>
              <w:t xml:space="preserve">Уочавање </w:t>
            </w:r>
            <w:r>
              <w:rPr>
                <w:color w:val="231F20"/>
                <w:sz w:val="14"/>
              </w:rPr>
              <w:t>сличности</w:t>
            </w:r>
            <w:r>
              <w:rPr>
                <w:color w:val="231F20"/>
                <w:spacing w:val="5"/>
                <w:sz w:val="14"/>
              </w:rPr>
              <w:t xml:space="preserve"> </w:t>
            </w:r>
            <w:r>
              <w:rPr>
                <w:color w:val="231F20"/>
                <w:sz w:val="14"/>
              </w:rPr>
              <w:t>и</w:t>
            </w:r>
          </w:p>
          <w:p w:rsidR="00041039" w:rsidRDefault="001B26CB">
            <w:pPr>
              <w:pStyle w:val="TableParagraph"/>
              <w:ind w:right="71"/>
              <w:rPr>
                <w:sz w:val="14"/>
              </w:rPr>
            </w:pPr>
            <w:r>
              <w:rPr>
                <w:color w:val="231F20"/>
                <w:sz w:val="14"/>
              </w:rPr>
              <w:t>разлика у образовању и васпитању некад</w:t>
            </w:r>
          </w:p>
          <w:p w:rsidR="00041039" w:rsidRDefault="001B26CB">
            <w:pPr>
              <w:pStyle w:val="TableParagraph"/>
              <w:spacing w:line="154" w:lineRule="exact"/>
              <w:rPr>
                <w:sz w:val="14"/>
              </w:rPr>
            </w:pPr>
            <w:r>
              <w:rPr>
                <w:color w:val="231F20"/>
                <w:sz w:val="14"/>
              </w:rPr>
              <w:t>и сад.</w:t>
            </w:r>
          </w:p>
          <w:p w:rsidR="00041039" w:rsidRDefault="001B26CB">
            <w:pPr>
              <w:pStyle w:val="TableParagraph"/>
              <w:numPr>
                <w:ilvl w:val="0"/>
                <w:numId w:val="1773"/>
              </w:numPr>
              <w:tabs>
                <w:tab w:val="left" w:pos="157"/>
              </w:tabs>
              <w:spacing w:line="237" w:lineRule="auto"/>
              <w:ind w:right="98"/>
              <w:rPr>
                <w:sz w:val="14"/>
              </w:rPr>
            </w:pPr>
            <w:r>
              <w:rPr>
                <w:color w:val="231F20"/>
                <w:sz w:val="14"/>
              </w:rPr>
              <w:t>Разумевање утицаја привредног развоја</w:t>
            </w:r>
            <w:r>
              <w:rPr>
                <w:color w:val="231F20"/>
                <w:spacing w:val="-9"/>
                <w:sz w:val="14"/>
              </w:rPr>
              <w:t xml:space="preserve"> </w:t>
            </w:r>
            <w:r>
              <w:rPr>
                <w:color w:val="231F20"/>
                <w:sz w:val="14"/>
              </w:rPr>
              <w:t>на квалитет</w:t>
            </w:r>
            <w:r>
              <w:rPr>
                <w:color w:val="231F20"/>
                <w:spacing w:val="-5"/>
                <w:sz w:val="14"/>
              </w:rPr>
              <w:t xml:space="preserve"> </w:t>
            </w:r>
            <w:r>
              <w:rPr>
                <w:color w:val="231F20"/>
                <w:sz w:val="14"/>
              </w:rPr>
              <w:t>образовања.</w:t>
            </w:r>
          </w:p>
          <w:p w:rsidR="00041039" w:rsidRDefault="001B26CB">
            <w:pPr>
              <w:pStyle w:val="TableParagraph"/>
              <w:numPr>
                <w:ilvl w:val="0"/>
                <w:numId w:val="1773"/>
              </w:numPr>
              <w:tabs>
                <w:tab w:val="left" w:pos="157"/>
              </w:tabs>
              <w:spacing w:line="237" w:lineRule="auto"/>
              <w:ind w:right="113"/>
              <w:rPr>
                <w:sz w:val="14"/>
              </w:rPr>
            </w:pPr>
            <w:r>
              <w:rPr>
                <w:color w:val="231F20"/>
                <w:sz w:val="14"/>
              </w:rPr>
              <w:t>Продубљивање</w:t>
            </w:r>
            <w:r>
              <w:rPr>
                <w:color w:val="231F20"/>
                <w:spacing w:val="-13"/>
                <w:sz w:val="14"/>
              </w:rPr>
              <w:t xml:space="preserve"> </w:t>
            </w:r>
            <w:r>
              <w:rPr>
                <w:color w:val="231F20"/>
                <w:sz w:val="14"/>
              </w:rPr>
              <w:t xml:space="preserve">знања о развоју образо­ вања </w:t>
            </w:r>
            <w:r>
              <w:rPr>
                <w:color w:val="231F20"/>
                <w:spacing w:val="-5"/>
                <w:sz w:val="14"/>
              </w:rPr>
              <w:t xml:space="preserve">код </w:t>
            </w:r>
            <w:r>
              <w:rPr>
                <w:color w:val="231F20"/>
                <w:sz w:val="14"/>
              </w:rPr>
              <w:t>Срба кроз историју.</w:t>
            </w:r>
          </w:p>
        </w:tc>
        <w:tc>
          <w:tcPr>
            <w:tcW w:w="2551" w:type="dxa"/>
          </w:tcPr>
          <w:p w:rsidR="00041039" w:rsidRDefault="001B26CB">
            <w:pPr>
              <w:pStyle w:val="TableParagraph"/>
              <w:numPr>
                <w:ilvl w:val="0"/>
                <w:numId w:val="1772"/>
              </w:numPr>
              <w:tabs>
                <w:tab w:val="left" w:pos="157"/>
              </w:tabs>
              <w:spacing w:before="11"/>
              <w:ind w:right="186" w:hanging="99"/>
              <w:rPr>
                <w:sz w:val="14"/>
              </w:rPr>
            </w:pPr>
            <w:r>
              <w:rPr>
                <w:color w:val="231F20"/>
                <w:sz w:val="14"/>
              </w:rPr>
              <w:t>уочи основна обележја образовања</w:t>
            </w:r>
            <w:r>
              <w:rPr>
                <w:color w:val="231F20"/>
                <w:spacing w:val="-10"/>
                <w:sz w:val="14"/>
              </w:rPr>
              <w:t xml:space="preserve"> </w:t>
            </w:r>
            <w:r>
              <w:rPr>
                <w:color w:val="231F20"/>
                <w:sz w:val="14"/>
              </w:rPr>
              <w:t xml:space="preserve">и васпитања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1772"/>
              </w:numPr>
              <w:tabs>
                <w:tab w:val="left" w:pos="157"/>
              </w:tabs>
              <w:spacing w:line="157" w:lineRule="exact"/>
              <w:ind w:hanging="99"/>
              <w:rPr>
                <w:sz w:val="14"/>
              </w:rPr>
            </w:pPr>
            <w:r>
              <w:rPr>
                <w:color w:val="231F20"/>
                <w:sz w:val="14"/>
              </w:rPr>
              <w:t>опише развој система образовања</w:t>
            </w:r>
            <w:r>
              <w:rPr>
                <w:color w:val="231F20"/>
                <w:spacing w:val="-3"/>
                <w:sz w:val="14"/>
              </w:rPr>
              <w:t xml:space="preserve"> </w:t>
            </w:r>
            <w:r>
              <w:rPr>
                <w:color w:val="231F20"/>
                <w:sz w:val="14"/>
              </w:rPr>
              <w:t>и</w:t>
            </w:r>
          </w:p>
          <w:p w:rsidR="00041039" w:rsidRDefault="001B26CB">
            <w:pPr>
              <w:pStyle w:val="TableParagraph"/>
              <w:spacing w:line="155" w:lineRule="exact"/>
              <w:rPr>
                <w:sz w:val="14"/>
              </w:rPr>
            </w:pPr>
            <w:r>
              <w:rPr>
                <w:color w:val="231F20"/>
                <w:sz w:val="14"/>
              </w:rPr>
              <w:t>васпитања кроз историју;</w:t>
            </w:r>
          </w:p>
          <w:p w:rsidR="00041039" w:rsidRDefault="001B26CB">
            <w:pPr>
              <w:pStyle w:val="TableParagraph"/>
              <w:numPr>
                <w:ilvl w:val="0"/>
                <w:numId w:val="1772"/>
              </w:numPr>
              <w:tabs>
                <w:tab w:val="left" w:pos="157"/>
              </w:tabs>
              <w:spacing w:line="237" w:lineRule="auto"/>
              <w:ind w:right="256" w:hanging="99"/>
              <w:rPr>
                <w:sz w:val="14"/>
              </w:rPr>
            </w:pPr>
            <w:r>
              <w:rPr>
                <w:color w:val="231F20"/>
                <w:sz w:val="14"/>
              </w:rPr>
              <w:t>опише развој система образовања</w:t>
            </w:r>
            <w:r>
              <w:rPr>
                <w:color w:val="231F20"/>
                <w:spacing w:val="-7"/>
                <w:sz w:val="14"/>
              </w:rPr>
              <w:t xml:space="preserve"> </w:t>
            </w:r>
            <w:r>
              <w:rPr>
                <w:color w:val="231F20"/>
                <w:sz w:val="14"/>
              </w:rPr>
              <w:t xml:space="preserve">и васпитања </w:t>
            </w:r>
            <w:r>
              <w:rPr>
                <w:color w:val="231F20"/>
                <w:spacing w:val="-5"/>
                <w:sz w:val="14"/>
              </w:rPr>
              <w:t xml:space="preserve">код </w:t>
            </w:r>
            <w:r>
              <w:rPr>
                <w:color w:val="231F20"/>
                <w:sz w:val="14"/>
              </w:rPr>
              <w:t>Срба кроз</w:t>
            </w:r>
            <w:r>
              <w:rPr>
                <w:color w:val="231F20"/>
                <w:sz w:val="14"/>
              </w:rPr>
              <w:t xml:space="preserve"> </w:t>
            </w:r>
            <w:r>
              <w:rPr>
                <w:color w:val="231F20"/>
                <w:sz w:val="14"/>
              </w:rPr>
              <w:t>историју;</w:t>
            </w:r>
          </w:p>
          <w:p w:rsidR="00041039" w:rsidRDefault="001B26CB">
            <w:pPr>
              <w:pStyle w:val="TableParagraph"/>
              <w:numPr>
                <w:ilvl w:val="0"/>
                <w:numId w:val="1772"/>
              </w:numPr>
              <w:tabs>
                <w:tab w:val="left" w:pos="157"/>
              </w:tabs>
              <w:spacing w:line="160" w:lineRule="exact"/>
              <w:ind w:right="103" w:hanging="99"/>
              <w:rPr>
                <w:sz w:val="14"/>
              </w:rPr>
            </w:pPr>
            <w:r>
              <w:rPr>
                <w:color w:val="231F20"/>
                <w:sz w:val="14"/>
              </w:rPr>
              <w:t>упореди карактеристике образовања</w:t>
            </w:r>
            <w:r>
              <w:rPr>
                <w:color w:val="231F20"/>
                <w:spacing w:val="-14"/>
                <w:sz w:val="14"/>
              </w:rPr>
              <w:t xml:space="preserve"> </w:t>
            </w:r>
            <w:r>
              <w:rPr>
                <w:color w:val="231F20"/>
                <w:sz w:val="14"/>
              </w:rPr>
              <w:t>и васпитања у различитим</w:t>
            </w:r>
            <w:r>
              <w:rPr>
                <w:color w:val="231F20"/>
                <w:spacing w:val="-6"/>
                <w:sz w:val="14"/>
              </w:rPr>
              <w:t xml:space="preserve"> </w:t>
            </w:r>
            <w:r>
              <w:rPr>
                <w:color w:val="231F20"/>
                <w:sz w:val="14"/>
              </w:rPr>
              <w:t>периодима;</w:t>
            </w:r>
          </w:p>
          <w:p w:rsidR="00041039" w:rsidRDefault="001B26CB">
            <w:pPr>
              <w:pStyle w:val="TableParagraph"/>
              <w:numPr>
                <w:ilvl w:val="0"/>
                <w:numId w:val="1772"/>
              </w:numPr>
              <w:tabs>
                <w:tab w:val="left" w:pos="157"/>
              </w:tabs>
              <w:spacing w:line="160" w:lineRule="exact"/>
              <w:ind w:right="109" w:hanging="99"/>
              <w:rPr>
                <w:sz w:val="14"/>
              </w:rPr>
            </w:pPr>
            <w:r>
              <w:rPr>
                <w:color w:val="231F20"/>
                <w:sz w:val="14"/>
              </w:rPr>
              <w:t>изведе закључак о значају</w:t>
            </w:r>
            <w:r>
              <w:rPr>
                <w:color w:val="231F20"/>
                <w:spacing w:val="-22"/>
                <w:sz w:val="14"/>
              </w:rPr>
              <w:t xml:space="preserve"> </w:t>
            </w:r>
            <w:r>
              <w:rPr>
                <w:color w:val="231F20"/>
                <w:sz w:val="14"/>
              </w:rPr>
              <w:t>образовања и васпитања у животу</w:t>
            </w:r>
            <w:r>
              <w:rPr>
                <w:color w:val="231F20"/>
                <w:spacing w:val="-5"/>
                <w:sz w:val="14"/>
              </w:rPr>
              <w:t xml:space="preserve"> </w:t>
            </w:r>
            <w:r>
              <w:rPr>
                <w:color w:val="231F20"/>
                <w:sz w:val="14"/>
              </w:rPr>
              <w:t>људи;</w:t>
            </w:r>
          </w:p>
          <w:p w:rsidR="00041039" w:rsidRDefault="001B26CB">
            <w:pPr>
              <w:pStyle w:val="TableParagraph"/>
              <w:numPr>
                <w:ilvl w:val="0"/>
                <w:numId w:val="1772"/>
              </w:numPr>
              <w:tabs>
                <w:tab w:val="left" w:pos="157"/>
              </w:tabs>
              <w:spacing w:line="160" w:lineRule="exact"/>
              <w:ind w:right="90" w:hanging="99"/>
              <w:jc w:val="both"/>
              <w:rPr>
                <w:sz w:val="14"/>
              </w:rPr>
            </w:pPr>
            <w:r>
              <w:rPr>
                <w:color w:val="231F20"/>
                <w:sz w:val="14"/>
              </w:rPr>
              <w:t>препозна међусобну условљеност сте­ пена привредног развитка и квалитета образовања;</w:t>
            </w:r>
          </w:p>
        </w:tc>
        <w:tc>
          <w:tcPr>
            <w:tcW w:w="2834" w:type="dxa"/>
          </w:tcPr>
          <w:p w:rsidR="00041039" w:rsidRDefault="001B26CB">
            <w:pPr>
              <w:pStyle w:val="TableParagraph"/>
              <w:numPr>
                <w:ilvl w:val="0"/>
                <w:numId w:val="1771"/>
              </w:numPr>
              <w:tabs>
                <w:tab w:val="left" w:pos="157"/>
              </w:tabs>
              <w:spacing w:before="11"/>
              <w:ind w:right="63" w:hanging="99"/>
              <w:rPr>
                <w:sz w:val="14"/>
              </w:rPr>
            </w:pPr>
            <w:r>
              <w:rPr>
                <w:color w:val="231F20"/>
                <w:sz w:val="14"/>
              </w:rPr>
              <w:t xml:space="preserve">Образовање и васпитање у старом веку </w:t>
            </w:r>
            <w:r>
              <w:rPr>
                <w:color w:val="231F20"/>
                <w:sz w:val="14"/>
              </w:rPr>
              <w:t xml:space="preserve">(Египат, Месопотамија, стара </w:t>
            </w:r>
            <w:r>
              <w:rPr>
                <w:color w:val="231F20"/>
                <w:spacing w:val="-4"/>
                <w:sz w:val="14"/>
              </w:rPr>
              <w:t xml:space="preserve">Грчка </w:t>
            </w:r>
            <w:r>
              <w:rPr>
                <w:color w:val="231F20"/>
                <w:sz w:val="14"/>
              </w:rPr>
              <w:t>и</w:t>
            </w:r>
            <w:r>
              <w:rPr>
                <w:color w:val="231F20"/>
                <w:spacing w:val="-12"/>
                <w:sz w:val="14"/>
              </w:rPr>
              <w:t xml:space="preserve"> </w:t>
            </w:r>
            <w:r>
              <w:rPr>
                <w:color w:val="231F20"/>
                <w:sz w:val="14"/>
              </w:rPr>
              <w:t>Рим).</w:t>
            </w:r>
          </w:p>
          <w:p w:rsidR="00041039" w:rsidRDefault="001B26CB">
            <w:pPr>
              <w:pStyle w:val="TableParagraph"/>
              <w:numPr>
                <w:ilvl w:val="0"/>
                <w:numId w:val="1771"/>
              </w:numPr>
              <w:tabs>
                <w:tab w:val="left" w:pos="157"/>
              </w:tabs>
              <w:spacing w:line="160" w:lineRule="exact"/>
              <w:ind w:right="54" w:hanging="99"/>
              <w:rPr>
                <w:sz w:val="14"/>
              </w:rPr>
            </w:pPr>
            <w:r>
              <w:rPr>
                <w:color w:val="231F20"/>
                <w:sz w:val="14"/>
              </w:rPr>
              <w:t xml:space="preserve">Образовање и васпитање у средњем веку (манастири као центри писмености и обра­ зовања; оснивање </w:t>
            </w:r>
            <w:r>
              <w:rPr>
                <w:color w:val="231F20"/>
                <w:spacing w:val="-3"/>
                <w:sz w:val="14"/>
              </w:rPr>
              <w:t xml:space="preserve">школа </w:t>
            </w:r>
            <w:r>
              <w:rPr>
                <w:color w:val="231F20"/>
                <w:sz w:val="14"/>
              </w:rPr>
              <w:t>и универзитета, утицај цркве на образовање и</w:t>
            </w:r>
            <w:r>
              <w:rPr>
                <w:color w:val="231F20"/>
                <w:spacing w:val="-11"/>
                <w:sz w:val="14"/>
              </w:rPr>
              <w:t xml:space="preserve"> </w:t>
            </w:r>
            <w:r>
              <w:rPr>
                <w:color w:val="231F20"/>
                <w:sz w:val="14"/>
              </w:rPr>
              <w:t>васпитање...).</w:t>
            </w:r>
          </w:p>
          <w:p w:rsidR="00041039" w:rsidRDefault="001B26CB">
            <w:pPr>
              <w:pStyle w:val="TableParagraph"/>
              <w:numPr>
                <w:ilvl w:val="0"/>
                <w:numId w:val="1771"/>
              </w:numPr>
              <w:tabs>
                <w:tab w:val="left" w:pos="157"/>
              </w:tabs>
              <w:spacing w:line="160" w:lineRule="exact"/>
              <w:ind w:right="101" w:hanging="99"/>
              <w:rPr>
                <w:sz w:val="14"/>
              </w:rPr>
            </w:pPr>
            <w:r>
              <w:rPr>
                <w:color w:val="231F20"/>
                <w:sz w:val="14"/>
              </w:rPr>
              <w:t>Образовање и васпитање у новом веку и савременом добу (појава штампарства и ширење писмености, улога цркве и</w:t>
            </w:r>
            <w:r>
              <w:rPr>
                <w:color w:val="231F20"/>
                <w:spacing w:val="-24"/>
                <w:sz w:val="14"/>
              </w:rPr>
              <w:t xml:space="preserve"> </w:t>
            </w:r>
            <w:r>
              <w:rPr>
                <w:color w:val="231F20"/>
                <w:sz w:val="14"/>
              </w:rPr>
              <w:t>државе</w:t>
            </w:r>
          </w:p>
          <w:p w:rsidR="00041039" w:rsidRDefault="001B26CB">
            <w:pPr>
              <w:pStyle w:val="TableParagraph"/>
              <w:numPr>
                <w:ilvl w:val="1"/>
                <w:numId w:val="1771"/>
              </w:numPr>
              <w:tabs>
                <w:tab w:val="left" w:pos="239"/>
              </w:tabs>
              <w:spacing w:line="237" w:lineRule="auto"/>
              <w:ind w:right="95" w:firstLine="0"/>
              <w:rPr>
                <w:sz w:val="14"/>
              </w:rPr>
            </w:pPr>
            <w:r>
              <w:rPr>
                <w:color w:val="231F20"/>
                <w:sz w:val="14"/>
              </w:rPr>
              <w:t>појава световног и обавезног</w:t>
            </w:r>
            <w:r>
              <w:rPr>
                <w:color w:val="231F20"/>
                <w:spacing w:val="-16"/>
                <w:sz w:val="14"/>
              </w:rPr>
              <w:t xml:space="preserve"> </w:t>
            </w:r>
            <w:r>
              <w:rPr>
                <w:color w:val="231F20"/>
                <w:sz w:val="14"/>
              </w:rPr>
              <w:t>образовања, школских уџбеника; положај</w:t>
            </w:r>
            <w:r>
              <w:rPr>
                <w:color w:val="231F20"/>
                <w:spacing w:val="-9"/>
                <w:sz w:val="14"/>
              </w:rPr>
              <w:t xml:space="preserve"> </w:t>
            </w:r>
            <w:r>
              <w:rPr>
                <w:color w:val="231F20"/>
                <w:sz w:val="14"/>
              </w:rPr>
              <w:t>ученика</w:t>
            </w:r>
          </w:p>
          <w:p w:rsidR="00041039" w:rsidRDefault="001B26CB">
            <w:pPr>
              <w:pStyle w:val="TableParagraph"/>
              <w:numPr>
                <w:ilvl w:val="1"/>
                <w:numId w:val="1771"/>
              </w:numPr>
              <w:tabs>
                <w:tab w:val="left" w:pos="239"/>
              </w:tabs>
              <w:ind w:right="442" w:firstLine="0"/>
              <w:rPr>
                <w:sz w:val="14"/>
              </w:rPr>
            </w:pPr>
            <w:r>
              <w:rPr>
                <w:color w:val="231F20"/>
                <w:sz w:val="14"/>
              </w:rPr>
              <w:t>награђивање и кажњавање.</w:t>
            </w:r>
            <w:r>
              <w:rPr>
                <w:color w:val="231F20"/>
                <w:spacing w:val="-20"/>
                <w:sz w:val="14"/>
              </w:rPr>
              <w:t xml:space="preserve"> </w:t>
            </w:r>
            <w:r>
              <w:rPr>
                <w:color w:val="231F20"/>
                <w:sz w:val="14"/>
              </w:rPr>
              <w:t>одевање ученика...).</w:t>
            </w:r>
          </w:p>
          <w:p w:rsidR="00041039" w:rsidRDefault="001B26CB">
            <w:pPr>
              <w:pStyle w:val="TableParagraph"/>
              <w:numPr>
                <w:ilvl w:val="0"/>
                <w:numId w:val="1771"/>
              </w:numPr>
              <w:tabs>
                <w:tab w:val="left" w:pos="157"/>
              </w:tabs>
              <w:spacing w:line="160" w:lineRule="exact"/>
              <w:ind w:right="52" w:hanging="99"/>
              <w:rPr>
                <w:sz w:val="14"/>
              </w:rPr>
            </w:pPr>
            <w:r>
              <w:rPr>
                <w:color w:val="231F20"/>
                <w:sz w:val="14"/>
              </w:rPr>
              <w:t>Образовање и васпи</w:t>
            </w:r>
            <w:r>
              <w:rPr>
                <w:color w:val="231F20"/>
                <w:sz w:val="14"/>
              </w:rPr>
              <w:t xml:space="preserve">тање </w:t>
            </w:r>
            <w:r>
              <w:rPr>
                <w:color w:val="231F20"/>
                <w:spacing w:val="-5"/>
                <w:sz w:val="14"/>
              </w:rPr>
              <w:t xml:space="preserve">код </w:t>
            </w:r>
            <w:r>
              <w:rPr>
                <w:color w:val="231F20"/>
                <w:sz w:val="14"/>
              </w:rPr>
              <w:t xml:space="preserve">Срба (мана­ стири као центри писмености и образо­ вања; значај Хиландара, просветитељски рад у устаничкој Србији, оснивање светов­ них </w:t>
            </w:r>
            <w:r>
              <w:rPr>
                <w:color w:val="231F20"/>
                <w:spacing w:val="-3"/>
                <w:sz w:val="14"/>
              </w:rPr>
              <w:t xml:space="preserve">школа, </w:t>
            </w:r>
            <w:r>
              <w:rPr>
                <w:color w:val="231F20"/>
                <w:sz w:val="14"/>
              </w:rPr>
              <w:t xml:space="preserve">оснивање Лицеја, Велике </w:t>
            </w:r>
            <w:r>
              <w:rPr>
                <w:color w:val="231F20"/>
                <w:spacing w:val="-3"/>
                <w:sz w:val="14"/>
              </w:rPr>
              <w:t xml:space="preserve">школе </w:t>
            </w:r>
            <w:r>
              <w:rPr>
                <w:color w:val="231F20"/>
                <w:sz w:val="14"/>
              </w:rPr>
              <w:t xml:space="preserve">и Београдског универзитета; један дан у </w:t>
            </w:r>
            <w:r>
              <w:rPr>
                <w:color w:val="231F20"/>
                <w:spacing w:val="-3"/>
                <w:sz w:val="14"/>
              </w:rPr>
              <w:t xml:space="preserve">школи, школска </w:t>
            </w:r>
            <w:r>
              <w:rPr>
                <w:color w:val="231F20"/>
                <w:sz w:val="14"/>
              </w:rPr>
              <w:t>слава, одевање учени</w:t>
            </w:r>
            <w:r>
              <w:rPr>
                <w:color w:val="231F20"/>
                <w:sz w:val="14"/>
              </w:rPr>
              <w:t>ка, школовање женске деце; стипендирање ученика).</w:t>
            </w:r>
          </w:p>
        </w:tc>
        <w:tc>
          <w:tcPr>
            <w:tcW w:w="2267" w:type="dxa"/>
            <w:vMerge/>
            <w:tcBorders>
              <w:top w:val="nil"/>
            </w:tcBorders>
          </w:tcPr>
          <w:p w:rsidR="00041039" w:rsidRDefault="00041039">
            <w:pPr>
              <w:rPr>
                <w:sz w:val="2"/>
                <w:szCs w:val="2"/>
              </w:rPr>
            </w:pPr>
          </w:p>
        </w:tc>
      </w:tr>
      <w:tr w:rsidR="00041039">
        <w:trPr>
          <w:trHeight w:val="2760"/>
        </w:trPr>
        <w:tc>
          <w:tcPr>
            <w:tcW w:w="1304" w:type="dxa"/>
          </w:tcPr>
          <w:p w:rsidR="00041039" w:rsidRDefault="001B26CB">
            <w:pPr>
              <w:pStyle w:val="TableParagraph"/>
              <w:spacing w:before="21"/>
              <w:ind w:left="56"/>
              <w:rPr>
                <w:sz w:val="14"/>
              </w:rPr>
            </w:pPr>
            <w:r>
              <w:rPr>
                <w:color w:val="231F20"/>
                <w:sz w:val="14"/>
              </w:rPr>
              <w:t>Комуникације, путовања и туризам некад и сад</w:t>
            </w:r>
          </w:p>
        </w:tc>
        <w:tc>
          <w:tcPr>
            <w:tcW w:w="1587" w:type="dxa"/>
          </w:tcPr>
          <w:p w:rsidR="00041039" w:rsidRDefault="001B26CB">
            <w:pPr>
              <w:pStyle w:val="TableParagraph"/>
              <w:numPr>
                <w:ilvl w:val="0"/>
                <w:numId w:val="1770"/>
              </w:numPr>
              <w:tabs>
                <w:tab w:val="left" w:pos="157"/>
              </w:tabs>
              <w:spacing w:before="11"/>
              <w:ind w:right="82"/>
              <w:rPr>
                <w:sz w:val="14"/>
              </w:rPr>
            </w:pPr>
            <w:r>
              <w:rPr>
                <w:color w:val="231F20"/>
                <w:spacing w:val="-3"/>
                <w:sz w:val="14"/>
              </w:rPr>
              <w:t xml:space="preserve">Уочавање </w:t>
            </w:r>
            <w:r>
              <w:rPr>
                <w:color w:val="231F20"/>
                <w:sz w:val="14"/>
              </w:rPr>
              <w:t xml:space="preserve">значаја </w:t>
            </w:r>
            <w:r>
              <w:rPr>
                <w:color w:val="231F20"/>
                <w:spacing w:val="-3"/>
                <w:sz w:val="14"/>
              </w:rPr>
              <w:t xml:space="preserve">ко­ </w:t>
            </w:r>
            <w:r>
              <w:rPr>
                <w:color w:val="231F20"/>
                <w:sz w:val="14"/>
              </w:rPr>
              <w:t>муникација и</w:t>
            </w:r>
            <w:r>
              <w:rPr>
                <w:color w:val="231F20"/>
                <w:spacing w:val="-12"/>
                <w:sz w:val="14"/>
              </w:rPr>
              <w:t xml:space="preserve"> </w:t>
            </w:r>
            <w:r>
              <w:rPr>
                <w:color w:val="231F20"/>
                <w:sz w:val="14"/>
              </w:rPr>
              <w:t>њиховог развоја у историји друштва.</w:t>
            </w:r>
          </w:p>
          <w:p w:rsidR="00041039" w:rsidRDefault="001B26CB">
            <w:pPr>
              <w:pStyle w:val="TableParagraph"/>
              <w:numPr>
                <w:ilvl w:val="0"/>
                <w:numId w:val="1770"/>
              </w:numPr>
              <w:tabs>
                <w:tab w:val="left" w:pos="157"/>
              </w:tabs>
              <w:spacing w:line="156" w:lineRule="exact"/>
              <w:rPr>
                <w:sz w:val="14"/>
              </w:rPr>
            </w:pPr>
            <w:r>
              <w:rPr>
                <w:color w:val="231F20"/>
                <w:sz w:val="14"/>
              </w:rPr>
              <w:t>Разумевање</w:t>
            </w:r>
            <w:r>
              <w:rPr>
                <w:color w:val="231F20"/>
                <w:spacing w:val="-2"/>
                <w:sz w:val="14"/>
              </w:rPr>
              <w:t xml:space="preserve"> </w:t>
            </w:r>
            <w:r>
              <w:rPr>
                <w:color w:val="231F20"/>
                <w:sz w:val="14"/>
              </w:rPr>
              <w:t>утицаја</w:t>
            </w:r>
          </w:p>
          <w:p w:rsidR="00041039" w:rsidRDefault="001B26CB">
            <w:pPr>
              <w:pStyle w:val="TableParagraph"/>
              <w:ind w:right="15"/>
              <w:rPr>
                <w:sz w:val="14"/>
              </w:rPr>
            </w:pPr>
            <w:r>
              <w:rPr>
                <w:color w:val="231F20"/>
                <w:sz w:val="14"/>
              </w:rPr>
              <w:t>комуникација на упознавање и при­ ближавање држава, народа и њихових култура.</w:t>
            </w:r>
          </w:p>
        </w:tc>
        <w:tc>
          <w:tcPr>
            <w:tcW w:w="2551" w:type="dxa"/>
          </w:tcPr>
          <w:p w:rsidR="00041039" w:rsidRDefault="001B26CB">
            <w:pPr>
              <w:pStyle w:val="TableParagraph"/>
              <w:numPr>
                <w:ilvl w:val="0"/>
                <w:numId w:val="1769"/>
              </w:numPr>
              <w:tabs>
                <w:tab w:val="left" w:pos="157"/>
              </w:tabs>
              <w:spacing w:before="12"/>
              <w:ind w:right="147" w:hanging="99"/>
              <w:rPr>
                <w:sz w:val="14"/>
              </w:rPr>
            </w:pPr>
            <w:r>
              <w:rPr>
                <w:color w:val="231F20"/>
                <w:sz w:val="14"/>
              </w:rPr>
              <w:t xml:space="preserve">опише развој комуникација </w:t>
            </w:r>
            <w:r>
              <w:rPr>
                <w:color w:val="231F20"/>
                <w:spacing w:val="-3"/>
                <w:sz w:val="14"/>
              </w:rPr>
              <w:t>од</w:t>
            </w:r>
            <w:r>
              <w:rPr>
                <w:color w:val="231F20"/>
                <w:spacing w:val="-20"/>
                <w:sz w:val="14"/>
              </w:rPr>
              <w:t xml:space="preserve"> </w:t>
            </w:r>
            <w:r>
              <w:rPr>
                <w:color w:val="231F20"/>
                <w:sz w:val="14"/>
              </w:rPr>
              <w:t>праис­ торије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1769"/>
              </w:numPr>
              <w:tabs>
                <w:tab w:val="left" w:pos="157"/>
              </w:tabs>
              <w:spacing w:line="160" w:lineRule="exact"/>
              <w:ind w:right="134" w:hanging="99"/>
              <w:rPr>
                <w:sz w:val="14"/>
              </w:rPr>
            </w:pPr>
            <w:r>
              <w:rPr>
                <w:color w:val="231F20"/>
                <w:sz w:val="14"/>
              </w:rPr>
              <w:t xml:space="preserve">наведе и упореди карактеристике </w:t>
            </w:r>
            <w:r>
              <w:rPr>
                <w:color w:val="231F20"/>
                <w:spacing w:val="-3"/>
                <w:sz w:val="14"/>
              </w:rPr>
              <w:t xml:space="preserve">ко­ </w:t>
            </w:r>
            <w:r>
              <w:rPr>
                <w:color w:val="231F20"/>
                <w:sz w:val="14"/>
              </w:rPr>
              <w:t>муникације у различитим</w:t>
            </w:r>
            <w:r>
              <w:rPr>
                <w:color w:val="231F20"/>
                <w:spacing w:val="-12"/>
                <w:sz w:val="14"/>
              </w:rPr>
              <w:t xml:space="preserve"> </w:t>
            </w:r>
            <w:r>
              <w:rPr>
                <w:color w:val="231F20"/>
                <w:sz w:val="14"/>
              </w:rPr>
              <w:t>периодима;</w:t>
            </w:r>
          </w:p>
          <w:p w:rsidR="00041039" w:rsidRDefault="001B26CB">
            <w:pPr>
              <w:pStyle w:val="TableParagraph"/>
              <w:numPr>
                <w:ilvl w:val="0"/>
                <w:numId w:val="1769"/>
              </w:numPr>
              <w:tabs>
                <w:tab w:val="left" w:pos="157"/>
              </w:tabs>
              <w:spacing w:line="160" w:lineRule="exact"/>
              <w:ind w:right="185" w:hanging="99"/>
              <w:rPr>
                <w:sz w:val="14"/>
              </w:rPr>
            </w:pPr>
            <w:r>
              <w:rPr>
                <w:color w:val="231F20"/>
                <w:sz w:val="14"/>
              </w:rPr>
              <w:t>изведе</w:t>
            </w:r>
            <w:r>
              <w:rPr>
                <w:color w:val="231F20"/>
                <w:spacing w:val="-8"/>
                <w:sz w:val="14"/>
              </w:rPr>
              <w:t xml:space="preserve"> </w:t>
            </w:r>
            <w:r>
              <w:rPr>
                <w:color w:val="231F20"/>
                <w:sz w:val="14"/>
              </w:rPr>
              <w:t>закључак</w:t>
            </w:r>
            <w:r>
              <w:rPr>
                <w:color w:val="231F20"/>
                <w:spacing w:val="-9"/>
                <w:sz w:val="14"/>
              </w:rPr>
              <w:t xml:space="preserve"> </w:t>
            </w:r>
            <w:r>
              <w:rPr>
                <w:color w:val="231F20"/>
                <w:sz w:val="14"/>
              </w:rPr>
              <w:t>о</w:t>
            </w:r>
            <w:r>
              <w:rPr>
                <w:color w:val="231F20"/>
                <w:spacing w:val="-8"/>
                <w:sz w:val="14"/>
              </w:rPr>
              <w:t xml:space="preserve"> </w:t>
            </w:r>
            <w:r>
              <w:rPr>
                <w:color w:val="231F20"/>
                <w:sz w:val="14"/>
              </w:rPr>
              <w:t>значају</w:t>
            </w:r>
            <w:r>
              <w:rPr>
                <w:color w:val="231F20"/>
                <w:spacing w:val="-8"/>
                <w:sz w:val="14"/>
              </w:rPr>
              <w:t xml:space="preserve"> </w:t>
            </w:r>
            <w:r>
              <w:rPr>
                <w:color w:val="231F20"/>
                <w:sz w:val="14"/>
              </w:rPr>
              <w:t xml:space="preserve">комуника­ ције у животу </w:t>
            </w:r>
            <w:r>
              <w:rPr>
                <w:color w:val="231F20"/>
                <w:spacing w:val="-3"/>
                <w:sz w:val="14"/>
              </w:rPr>
              <w:t xml:space="preserve">људи </w:t>
            </w:r>
            <w:r>
              <w:rPr>
                <w:color w:val="231F20"/>
                <w:sz w:val="14"/>
              </w:rPr>
              <w:t>кроз</w:t>
            </w:r>
            <w:r>
              <w:rPr>
                <w:color w:val="231F20"/>
                <w:spacing w:val="-5"/>
                <w:sz w:val="14"/>
              </w:rPr>
              <w:t xml:space="preserve"> </w:t>
            </w:r>
            <w:r>
              <w:rPr>
                <w:color w:val="231F20"/>
                <w:sz w:val="14"/>
              </w:rPr>
              <w:t>историју;</w:t>
            </w:r>
          </w:p>
          <w:p w:rsidR="00041039" w:rsidRDefault="001B26CB">
            <w:pPr>
              <w:pStyle w:val="TableParagraph"/>
              <w:numPr>
                <w:ilvl w:val="0"/>
                <w:numId w:val="1769"/>
              </w:numPr>
              <w:tabs>
                <w:tab w:val="left" w:pos="157"/>
              </w:tabs>
              <w:spacing w:line="160" w:lineRule="exact"/>
              <w:ind w:right="247" w:hanging="99"/>
              <w:rPr>
                <w:sz w:val="14"/>
              </w:rPr>
            </w:pPr>
            <w:r>
              <w:rPr>
                <w:color w:val="231F20"/>
                <w:sz w:val="14"/>
              </w:rPr>
              <w:t>разуме последице развоја</w:t>
            </w:r>
            <w:r>
              <w:rPr>
                <w:color w:val="231F20"/>
                <w:spacing w:val="-11"/>
                <w:sz w:val="14"/>
              </w:rPr>
              <w:t xml:space="preserve"> </w:t>
            </w:r>
            <w:r>
              <w:rPr>
                <w:color w:val="231F20"/>
                <w:sz w:val="14"/>
              </w:rPr>
              <w:t>модерних комуникација;</w:t>
            </w:r>
          </w:p>
          <w:p w:rsidR="00041039" w:rsidRDefault="001B26CB">
            <w:pPr>
              <w:pStyle w:val="TableParagraph"/>
              <w:numPr>
                <w:ilvl w:val="0"/>
                <w:numId w:val="1769"/>
              </w:numPr>
              <w:tabs>
                <w:tab w:val="left" w:pos="157"/>
              </w:tabs>
              <w:spacing w:line="160" w:lineRule="exact"/>
              <w:ind w:right="287" w:hanging="99"/>
              <w:rPr>
                <w:sz w:val="14"/>
              </w:rPr>
            </w:pPr>
            <w:r>
              <w:rPr>
                <w:color w:val="231F20"/>
                <w:sz w:val="14"/>
              </w:rPr>
              <w:t>изведе закључак о утицају развоја комуникација</w:t>
            </w:r>
            <w:r>
              <w:rPr>
                <w:color w:val="231F20"/>
                <w:spacing w:val="-9"/>
                <w:sz w:val="14"/>
              </w:rPr>
              <w:t xml:space="preserve"> </w:t>
            </w:r>
            <w:r>
              <w:rPr>
                <w:color w:val="231F20"/>
                <w:sz w:val="14"/>
              </w:rPr>
              <w:t>на</w:t>
            </w:r>
            <w:r>
              <w:rPr>
                <w:color w:val="231F20"/>
                <w:spacing w:val="-10"/>
                <w:sz w:val="14"/>
              </w:rPr>
              <w:t xml:space="preserve"> </w:t>
            </w:r>
            <w:r>
              <w:rPr>
                <w:color w:val="231F20"/>
                <w:sz w:val="14"/>
              </w:rPr>
              <w:t>интеграцију</w:t>
            </w:r>
            <w:r>
              <w:rPr>
                <w:color w:val="231F20"/>
                <w:spacing w:val="-10"/>
                <w:sz w:val="14"/>
              </w:rPr>
              <w:t xml:space="preserve"> </w:t>
            </w:r>
            <w:r>
              <w:rPr>
                <w:color w:val="231F20"/>
                <w:sz w:val="14"/>
              </w:rPr>
              <w:t>сваке нације и</w:t>
            </w:r>
            <w:r>
              <w:rPr>
                <w:color w:val="231F20"/>
                <w:spacing w:val="-3"/>
                <w:sz w:val="14"/>
              </w:rPr>
              <w:t xml:space="preserve"> </w:t>
            </w:r>
            <w:r>
              <w:rPr>
                <w:color w:val="231F20"/>
                <w:sz w:val="14"/>
              </w:rPr>
              <w:t>друштва;</w:t>
            </w:r>
          </w:p>
          <w:p w:rsidR="00041039" w:rsidRDefault="001B26CB">
            <w:pPr>
              <w:pStyle w:val="TableParagraph"/>
              <w:numPr>
                <w:ilvl w:val="0"/>
                <w:numId w:val="1769"/>
              </w:numPr>
              <w:tabs>
                <w:tab w:val="left" w:pos="157"/>
              </w:tabs>
              <w:spacing w:line="160" w:lineRule="exact"/>
              <w:ind w:right="80" w:hanging="99"/>
              <w:rPr>
                <w:sz w:val="14"/>
              </w:rPr>
            </w:pPr>
            <w:r>
              <w:rPr>
                <w:color w:val="231F20"/>
                <w:sz w:val="14"/>
              </w:rPr>
              <w:t>користи информације са историјске карте и повеже их са стеченим</w:t>
            </w:r>
            <w:r>
              <w:rPr>
                <w:color w:val="231F20"/>
                <w:spacing w:val="-22"/>
                <w:sz w:val="14"/>
              </w:rPr>
              <w:t xml:space="preserve"> </w:t>
            </w:r>
            <w:r>
              <w:rPr>
                <w:color w:val="231F20"/>
                <w:sz w:val="14"/>
              </w:rPr>
              <w:t>знањем о</w:t>
            </w:r>
            <w:r>
              <w:rPr>
                <w:color w:val="231F20"/>
                <w:spacing w:val="-1"/>
                <w:sz w:val="14"/>
              </w:rPr>
              <w:t xml:space="preserve"> </w:t>
            </w:r>
            <w:r>
              <w:rPr>
                <w:color w:val="231F20"/>
                <w:sz w:val="14"/>
              </w:rPr>
              <w:t>комун</w:t>
            </w:r>
            <w:r>
              <w:rPr>
                <w:color w:val="231F20"/>
                <w:sz w:val="14"/>
              </w:rPr>
              <w:t>икацијама;</w:t>
            </w:r>
          </w:p>
          <w:p w:rsidR="00041039" w:rsidRDefault="001B26CB">
            <w:pPr>
              <w:pStyle w:val="TableParagraph"/>
              <w:numPr>
                <w:ilvl w:val="0"/>
                <w:numId w:val="1769"/>
              </w:numPr>
              <w:tabs>
                <w:tab w:val="left" w:pos="157"/>
              </w:tabs>
              <w:spacing w:line="160" w:lineRule="exact"/>
              <w:ind w:right="150" w:hanging="99"/>
              <w:rPr>
                <w:sz w:val="14"/>
              </w:rPr>
            </w:pPr>
            <w:r>
              <w:rPr>
                <w:color w:val="231F20"/>
                <w:sz w:val="14"/>
              </w:rPr>
              <w:t>уочи</w:t>
            </w:r>
            <w:r>
              <w:rPr>
                <w:color w:val="231F20"/>
                <w:spacing w:val="-8"/>
                <w:sz w:val="14"/>
              </w:rPr>
              <w:t xml:space="preserve"> </w:t>
            </w:r>
            <w:r>
              <w:rPr>
                <w:color w:val="231F20"/>
                <w:sz w:val="14"/>
              </w:rPr>
              <w:t>утицај</w:t>
            </w:r>
            <w:r>
              <w:rPr>
                <w:color w:val="231F20"/>
                <w:spacing w:val="-8"/>
                <w:sz w:val="14"/>
              </w:rPr>
              <w:t xml:space="preserve"> </w:t>
            </w:r>
            <w:r>
              <w:rPr>
                <w:color w:val="231F20"/>
                <w:sz w:val="14"/>
              </w:rPr>
              <w:t>комуникација</w:t>
            </w:r>
            <w:r>
              <w:rPr>
                <w:color w:val="231F20"/>
                <w:spacing w:val="-8"/>
                <w:sz w:val="14"/>
              </w:rPr>
              <w:t xml:space="preserve"> </w:t>
            </w:r>
            <w:r>
              <w:rPr>
                <w:color w:val="231F20"/>
                <w:sz w:val="14"/>
              </w:rPr>
              <w:t>на</w:t>
            </w:r>
            <w:r>
              <w:rPr>
                <w:color w:val="231F20"/>
                <w:spacing w:val="-9"/>
                <w:sz w:val="14"/>
              </w:rPr>
              <w:t xml:space="preserve"> </w:t>
            </w:r>
            <w:r>
              <w:rPr>
                <w:color w:val="231F20"/>
                <w:sz w:val="14"/>
              </w:rPr>
              <w:t>прибли­ жавање држава, народа и њихових култура.</w:t>
            </w:r>
          </w:p>
        </w:tc>
        <w:tc>
          <w:tcPr>
            <w:tcW w:w="2834" w:type="dxa"/>
          </w:tcPr>
          <w:p w:rsidR="00041039" w:rsidRDefault="001B26CB">
            <w:pPr>
              <w:pStyle w:val="TableParagraph"/>
              <w:numPr>
                <w:ilvl w:val="0"/>
                <w:numId w:val="1768"/>
              </w:numPr>
              <w:tabs>
                <w:tab w:val="left" w:pos="158"/>
              </w:tabs>
              <w:spacing w:before="12"/>
              <w:ind w:right="87"/>
              <w:rPr>
                <w:sz w:val="14"/>
              </w:rPr>
            </w:pPr>
            <w:r>
              <w:rPr>
                <w:color w:val="231F20"/>
                <w:sz w:val="14"/>
              </w:rPr>
              <w:t xml:space="preserve">Комуникације, путовања и туризам кроз историју (утицај трговине и војних </w:t>
            </w:r>
            <w:r>
              <w:rPr>
                <w:color w:val="231F20"/>
                <w:spacing w:val="-3"/>
                <w:sz w:val="14"/>
              </w:rPr>
              <w:t xml:space="preserve">похода </w:t>
            </w:r>
            <w:r>
              <w:rPr>
                <w:color w:val="231F20"/>
                <w:sz w:val="14"/>
              </w:rPr>
              <w:t xml:space="preserve">на развој комуникација; ходочашћа ­ света места, мисионари; значајни сајмови, развој </w:t>
            </w:r>
            <w:r>
              <w:rPr>
                <w:color w:val="231F20"/>
                <w:spacing w:val="-3"/>
                <w:sz w:val="14"/>
              </w:rPr>
              <w:t xml:space="preserve">поштанског, </w:t>
            </w:r>
            <w:r>
              <w:rPr>
                <w:color w:val="231F20"/>
                <w:sz w:val="14"/>
              </w:rPr>
              <w:t xml:space="preserve">телеграфског, </w:t>
            </w:r>
            <w:r>
              <w:rPr>
                <w:color w:val="231F20"/>
                <w:spacing w:val="-2"/>
                <w:sz w:val="14"/>
              </w:rPr>
              <w:t xml:space="preserve">телефонског, </w:t>
            </w:r>
            <w:r>
              <w:rPr>
                <w:color w:val="231F20"/>
                <w:spacing w:val="-3"/>
                <w:sz w:val="14"/>
              </w:rPr>
              <w:t xml:space="preserve">железничког, </w:t>
            </w:r>
            <w:r>
              <w:rPr>
                <w:color w:val="231F20"/>
                <w:sz w:val="14"/>
              </w:rPr>
              <w:t xml:space="preserve">аутомобилског и авионског саобраћаја; </w:t>
            </w:r>
            <w:r>
              <w:rPr>
                <w:color w:val="231F20"/>
                <w:spacing w:val="-3"/>
                <w:sz w:val="14"/>
              </w:rPr>
              <w:t xml:space="preserve">ауто </w:t>
            </w:r>
            <w:r>
              <w:rPr>
                <w:color w:val="231F20"/>
                <w:sz w:val="14"/>
              </w:rPr>
              <w:t xml:space="preserve">и авио клубови, новине и новинарство, </w:t>
            </w:r>
            <w:r>
              <w:rPr>
                <w:color w:val="231F20"/>
                <w:spacing w:val="-2"/>
                <w:sz w:val="14"/>
              </w:rPr>
              <w:t xml:space="preserve">Интернет, </w:t>
            </w:r>
            <w:r>
              <w:rPr>
                <w:color w:val="231F20"/>
                <w:sz w:val="14"/>
              </w:rPr>
              <w:t>откривање нових дестинација, гостионице и хотели,</w:t>
            </w:r>
            <w:r>
              <w:rPr>
                <w:color w:val="231F20"/>
                <w:spacing w:val="-7"/>
                <w:sz w:val="14"/>
              </w:rPr>
              <w:t xml:space="preserve"> </w:t>
            </w:r>
            <w:r>
              <w:rPr>
                <w:color w:val="231F20"/>
                <w:sz w:val="14"/>
              </w:rPr>
              <w:t>бање).</w:t>
            </w:r>
          </w:p>
        </w:tc>
        <w:tc>
          <w:tcPr>
            <w:tcW w:w="2267" w:type="dxa"/>
            <w:vMerge/>
            <w:tcBorders>
              <w:top w:val="nil"/>
            </w:tcBorders>
          </w:tcPr>
          <w:p w:rsidR="00041039" w:rsidRDefault="00041039">
            <w:pPr>
              <w:rPr>
                <w:sz w:val="2"/>
                <w:szCs w:val="2"/>
              </w:rPr>
            </w:pPr>
          </w:p>
        </w:tc>
      </w:tr>
      <w:tr w:rsidR="00041039">
        <w:trPr>
          <w:trHeight w:val="4040"/>
        </w:trPr>
        <w:tc>
          <w:tcPr>
            <w:tcW w:w="1304" w:type="dxa"/>
          </w:tcPr>
          <w:p w:rsidR="00041039" w:rsidRDefault="001B26CB">
            <w:pPr>
              <w:pStyle w:val="TableParagraph"/>
              <w:spacing w:before="22"/>
              <w:ind w:left="57" w:right="37"/>
              <w:rPr>
                <w:sz w:val="14"/>
              </w:rPr>
            </w:pPr>
            <w:r>
              <w:rPr>
                <w:color w:val="231F20"/>
                <w:sz w:val="14"/>
              </w:rPr>
              <w:t>Друштвени и поро­ дични живот кроз историју</w:t>
            </w:r>
          </w:p>
        </w:tc>
        <w:tc>
          <w:tcPr>
            <w:tcW w:w="1587" w:type="dxa"/>
          </w:tcPr>
          <w:p w:rsidR="00041039" w:rsidRDefault="001B26CB">
            <w:pPr>
              <w:pStyle w:val="TableParagraph"/>
              <w:numPr>
                <w:ilvl w:val="0"/>
                <w:numId w:val="1767"/>
              </w:numPr>
              <w:tabs>
                <w:tab w:val="left" w:pos="157"/>
              </w:tabs>
              <w:spacing w:before="12"/>
              <w:ind w:right="113" w:hanging="99"/>
              <w:jc w:val="both"/>
              <w:rPr>
                <w:sz w:val="14"/>
              </w:rPr>
            </w:pPr>
            <w:r>
              <w:rPr>
                <w:color w:val="231F20"/>
                <w:sz w:val="14"/>
              </w:rPr>
              <w:t>Продубљивање</w:t>
            </w:r>
            <w:r>
              <w:rPr>
                <w:color w:val="231F20"/>
                <w:spacing w:val="-13"/>
                <w:sz w:val="14"/>
              </w:rPr>
              <w:t xml:space="preserve"> </w:t>
            </w:r>
            <w:r>
              <w:rPr>
                <w:color w:val="231F20"/>
                <w:sz w:val="14"/>
              </w:rPr>
              <w:t>знања о развоју друштвеног и породичног живота кроз</w:t>
            </w:r>
            <w:r>
              <w:rPr>
                <w:color w:val="231F20"/>
                <w:spacing w:val="-2"/>
                <w:sz w:val="14"/>
              </w:rPr>
              <w:t xml:space="preserve"> </w:t>
            </w:r>
            <w:r>
              <w:rPr>
                <w:color w:val="231F20"/>
                <w:sz w:val="14"/>
              </w:rPr>
              <w:t>историју.</w:t>
            </w:r>
          </w:p>
          <w:p w:rsidR="00041039" w:rsidRDefault="001B26CB">
            <w:pPr>
              <w:pStyle w:val="TableParagraph"/>
              <w:numPr>
                <w:ilvl w:val="0"/>
                <w:numId w:val="1767"/>
              </w:numPr>
              <w:tabs>
                <w:tab w:val="left" w:pos="157"/>
              </w:tabs>
              <w:spacing w:line="156" w:lineRule="exact"/>
              <w:ind w:hanging="99"/>
              <w:rPr>
                <w:sz w:val="14"/>
              </w:rPr>
            </w:pPr>
            <w:r>
              <w:rPr>
                <w:color w:val="231F20"/>
                <w:spacing w:val="-3"/>
                <w:sz w:val="14"/>
              </w:rPr>
              <w:t xml:space="preserve">Уочавање </w:t>
            </w:r>
            <w:r>
              <w:rPr>
                <w:color w:val="231F20"/>
                <w:sz w:val="14"/>
              </w:rPr>
              <w:t>сличности</w:t>
            </w:r>
            <w:r>
              <w:rPr>
                <w:color w:val="231F20"/>
                <w:spacing w:val="5"/>
                <w:sz w:val="14"/>
              </w:rPr>
              <w:t xml:space="preserve"> </w:t>
            </w:r>
            <w:r>
              <w:rPr>
                <w:color w:val="231F20"/>
                <w:sz w:val="14"/>
              </w:rPr>
              <w:t>и</w:t>
            </w:r>
          </w:p>
          <w:p w:rsidR="00041039" w:rsidRDefault="001B26CB">
            <w:pPr>
              <w:pStyle w:val="TableParagraph"/>
              <w:ind w:right="81"/>
              <w:jc w:val="both"/>
              <w:rPr>
                <w:sz w:val="14"/>
              </w:rPr>
            </w:pPr>
            <w:r>
              <w:rPr>
                <w:color w:val="231F20"/>
                <w:sz w:val="14"/>
              </w:rPr>
              <w:t>разлика у</w:t>
            </w:r>
            <w:r>
              <w:rPr>
                <w:color w:val="231F20"/>
                <w:spacing w:val="-9"/>
                <w:sz w:val="14"/>
              </w:rPr>
              <w:t xml:space="preserve"> </w:t>
            </w:r>
            <w:r>
              <w:rPr>
                <w:color w:val="231F20"/>
                <w:sz w:val="14"/>
              </w:rPr>
              <w:t>друштвеном и породичном животу некад и</w:t>
            </w:r>
            <w:r>
              <w:rPr>
                <w:color w:val="231F20"/>
                <w:spacing w:val="-2"/>
                <w:sz w:val="14"/>
              </w:rPr>
              <w:t xml:space="preserve"> </w:t>
            </w:r>
            <w:r>
              <w:rPr>
                <w:color w:val="231F20"/>
                <w:sz w:val="14"/>
              </w:rPr>
              <w:t>сад.</w:t>
            </w:r>
          </w:p>
          <w:p w:rsidR="00041039" w:rsidRDefault="001B26CB">
            <w:pPr>
              <w:pStyle w:val="TableParagraph"/>
              <w:numPr>
                <w:ilvl w:val="0"/>
                <w:numId w:val="1767"/>
              </w:numPr>
              <w:tabs>
                <w:tab w:val="left" w:pos="157"/>
              </w:tabs>
              <w:spacing w:line="158" w:lineRule="exact"/>
              <w:ind w:hanging="99"/>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друштвеном и по­ родичном животу код Срба кроз историју.</w:t>
            </w:r>
          </w:p>
        </w:tc>
        <w:tc>
          <w:tcPr>
            <w:tcW w:w="2551" w:type="dxa"/>
          </w:tcPr>
          <w:p w:rsidR="00041039" w:rsidRDefault="001B26CB">
            <w:pPr>
              <w:pStyle w:val="TableParagraph"/>
              <w:numPr>
                <w:ilvl w:val="0"/>
                <w:numId w:val="1766"/>
              </w:numPr>
              <w:tabs>
                <w:tab w:val="left" w:pos="157"/>
              </w:tabs>
              <w:spacing w:before="12"/>
              <w:ind w:right="424" w:hanging="99"/>
              <w:rPr>
                <w:sz w:val="14"/>
              </w:rPr>
            </w:pPr>
            <w:r>
              <w:rPr>
                <w:color w:val="231F20"/>
                <w:sz w:val="14"/>
              </w:rPr>
              <w:t>идентификује основна обележја</w:t>
            </w:r>
            <w:r>
              <w:rPr>
                <w:color w:val="231F20"/>
                <w:sz w:val="14"/>
              </w:rPr>
              <w:t xml:space="preserve"> друштвеног живота </w:t>
            </w:r>
            <w:r>
              <w:rPr>
                <w:color w:val="231F20"/>
                <w:spacing w:val="-3"/>
                <w:sz w:val="14"/>
              </w:rPr>
              <w:t xml:space="preserve">од </w:t>
            </w:r>
            <w:r>
              <w:rPr>
                <w:color w:val="231F20"/>
                <w:sz w:val="14"/>
              </w:rPr>
              <w:t>антике до данас;</w:t>
            </w:r>
          </w:p>
          <w:p w:rsidR="00041039" w:rsidRDefault="001B26CB">
            <w:pPr>
              <w:pStyle w:val="TableParagraph"/>
              <w:numPr>
                <w:ilvl w:val="0"/>
                <w:numId w:val="1766"/>
              </w:numPr>
              <w:tabs>
                <w:tab w:val="left" w:pos="157"/>
              </w:tabs>
              <w:spacing w:line="157" w:lineRule="exact"/>
              <w:ind w:hanging="99"/>
              <w:rPr>
                <w:sz w:val="14"/>
              </w:rPr>
            </w:pPr>
            <w:r>
              <w:rPr>
                <w:color w:val="231F20"/>
                <w:sz w:val="14"/>
              </w:rPr>
              <w:t>идентификује основна обележја</w:t>
            </w:r>
            <w:r>
              <w:rPr>
                <w:color w:val="231F20"/>
                <w:spacing w:val="-6"/>
                <w:sz w:val="14"/>
              </w:rPr>
              <w:t xml:space="preserve"> </w:t>
            </w:r>
            <w:r>
              <w:rPr>
                <w:color w:val="231F20"/>
                <w:sz w:val="14"/>
              </w:rPr>
              <w:t>поро­</w:t>
            </w:r>
          </w:p>
          <w:p w:rsidR="00041039" w:rsidRDefault="001B26CB">
            <w:pPr>
              <w:pStyle w:val="TableParagraph"/>
              <w:spacing w:line="155" w:lineRule="exact"/>
              <w:rPr>
                <w:sz w:val="14"/>
              </w:rPr>
            </w:pPr>
            <w:r>
              <w:rPr>
                <w:color w:val="231F20"/>
                <w:sz w:val="14"/>
              </w:rPr>
              <w:t>дичног живота од антике до данас;</w:t>
            </w:r>
          </w:p>
          <w:p w:rsidR="00041039" w:rsidRDefault="001B26CB">
            <w:pPr>
              <w:pStyle w:val="TableParagraph"/>
              <w:numPr>
                <w:ilvl w:val="0"/>
                <w:numId w:val="1766"/>
              </w:numPr>
              <w:tabs>
                <w:tab w:val="left" w:pos="157"/>
              </w:tabs>
              <w:spacing w:line="237" w:lineRule="auto"/>
              <w:ind w:right="157" w:hanging="99"/>
              <w:rPr>
                <w:sz w:val="14"/>
              </w:rPr>
            </w:pPr>
            <w:r>
              <w:rPr>
                <w:color w:val="231F20"/>
                <w:sz w:val="14"/>
              </w:rPr>
              <w:t>наведе основна обележја</w:t>
            </w:r>
            <w:r>
              <w:rPr>
                <w:color w:val="231F20"/>
                <w:spacing w:val="-7"/>
                <w:sz w:val="14"/>
              </w:rPr>
              <w:t xml:space="preserve"> </w:t>
            </w:r>
            <w:r>
              <w:rPr>
                <w:color w:val="231F20"/>
                <w:sz w:val="14"/>
              </w:rPr>
              <w:t xml:space="preserve">друштвеног живота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1766"/>
              </w:numPr>
              <w:tabs>
                <w:tab w:val="left" w:pos="157"/>
              </w:tabs>
              <w:spacing w:line="160" w:lineRule="exact"/>
              <w:ind w:right="165" w:hanging="99"/>
              <w:rPr>
                <w:sz w:val="14"/>
              </w:rPr>
            </w:pPr>
            <w:r>
              <w:rPr>
                <w:color w:val="231F20"/>
                <w:sz w:val="14"/>
              </w:rPr>
              <w:t>наведе основна обележја</w:t>
            </w:r>
            <w:r>
              <w:rPr>
                <w:color w:val="231F20"/>
                <w:spacing w:val="-11"/>
                <w:sz w:val="14"/>
              </w:rPr>
              <w:t xml:space="preserve"> </w:t>
            </w:r>
            <w:r>
              <w:rPr>
                <w:color w:val="231F20"/>
                <w:sz w:val="14"/>
              </w:rPr>
              <w:t xml:space="preserve">породичног живота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1766"/>
              </w:numPr>
              <w:tabs>
                <w:tab w:val="left" w:pos="157"/>
              </w:tabs>
              <w:spacing w:line="160" w:lineRule="exact"/>
              <w:ind w:right="192" w:hanging="99"/>
              <w:rPr>
                <w:sz w:val="14"/>
              </w:rPr>
            </w:pPr>
            <w:r>
              <w:rPr>
                <w:color w:val="231F20"/>
                <w:sz w:val="14"/>
              </w:rPr>
              <w:t>упореди карактеристике</w:t>
            </w:r>
            <w:r>
              <w:rPr>
                <w:color w:val="231F20"/>
                <w:spacing w:val="-13"/>
                <w:sz w:val="14"/>
              </w:rPr>
              <w:t xml:space="preserve"> </w:t>
            </w:r>
            <w:r>
              <w:rPr>
                <w:color w:val="231F20"/>
                <w:sz w:val="14"/>
              </w:rPr>
              <w:t>друштвеног и породичног живота у различитим периодима;</w:t>
            </w:r>
          </w:p>
          <w:p w:rsidR="00041039" w:rsidRDefault="001B26CB">
            <w:pPr>
              <w:pStyle w:val="TableParagraph"/>
              <w:numPr>
                <w:ilvl w:val="0"/>
                <w:numId w:val="1766"/>
              </w:numPr>
              <w:tabs>
                <w:tab w:val="left" w:pos="157"/>
              </w:tabs>
              <w:spacing w:line="160" w:lineRule="exact"/>
              <w:ind w:right="133" w:hanging="99"/>
              <w:rPr>
                <w:sz w:val="14"/>
              </w:rPr>
            </w:pPr>
            <w:r>
              <w:rPr>
                <w:color w:val="231F20"/>
                <w:sz w:val="14"/>
              </w:rPr>
              <w:t>уочи сличности и разлике у начину обележавања празника кроз</w:t>
            </w:r>
            <w:r>
              <w:rPr>
                <w:color w:val="231F20"/>
                <w:spacing w:val="-17"/>
                <w:sz w:val="14"/>
              </w:rPr>
              <w:t xml:space="preserve"> </w:t>
            </w:r>
            <w:r>
              <w:rPr>
                <w:color w:val="231F20"/>
                <w:sz w:val="14"/>
              </w:rPr>
              <w:t>историју;</w:t>
            </w:r>
          </w:p>
          <w:p w:rsidR="00041039" w:rsidRDefault="001B26CB">
            <w:pPr>
              <w:pStyle w:val="TableParagraph"/>
              <w:numPr>
                <w:ilvl w:val="0"/>
                <w:numId w:val="1766"/>
              </w:numPr>
              <w:tabs>
                <w:tab w:val="left" w:pos="157"/>
              </w:tabs>
              <w:spacing w:line="160" w:lineRule="exact"/>
              <w:ind w:right="265" w:hanging="99"/>
              <w:rPr>
                <w:sz w:val="14"/>
              </w:rPr>
            </w:pPr>
            <w:r>
              <w:rPr>
                <w:color w:val="231F20"/>
                <w:sz w:val="14"/>
              </w:rPr>
              <w:t>истакне одлике друштвеног и по­ родичног живота данас у односу</w:t>
            </w:r>
            <w:r>
              <w:rPr>
                <w:color w:val="231F20"/>
                <w:spacing w:val="-13"/>
                <w:sz w:val="14"/>
              </w:rPr>
              <w:t xml:space="preserve"> </w:t>
            </w:r>
            <w:r>
              <w:rPr>
                <w:color w:val="231F20"/>
                <w:sz w:val="14"/>
              </w:rPr>
              <w:t>на раније</w:t>
            </w:r>
            <w:r>
              <w:rPr>
                <w:color w:val="231F20"/>
                <w:spacing w:val="-1"/>
                <w:sz w:val="14"/>
              </w:rPr>
              <w:t xml:space="preserve"> </w:t>
            </w:r>
            <w:r>
              <w:rPr>
                <w:color w:val="231F20"/>
                <w:sz w:val="14"/>
              </w:rPr>
              <w:t>епохе;</w:t>
            </w:r>
          </w:p>
        </w:tc>
        <w:tc>
          <w:tcPr>
            <w:tcW w:w="2834" w:type="dxa"/>
          </w:tcPr>
          <w:p w:rsidR="00041039" w:rsidRDefault="001B26CB">
            <w:pPr>
              <w:pStyle w:val="TableParagraph"/>
              <w:numPr>
                <w:ilvl w:val="0"/>
                <w:numId w:val="1765"/>
              </w:numPr>
              <w:tabs>
                <w:tab w:val="left" w:pos="158"/>
              </w:tabs>
              <w:spacing w:before="13"/>
              <w:ind w:right="51"/>
              <w:rPr>
                <w:sz w:val="14"/>
              </w:rPr>
            </w:pPr>
            <w:r>
              <w:rPr>
                <w:color w:val="231F20"/>
                <w:sz w:val="14"/>
              </w:rPr>
              <w:t xml:space="preserve">Друштвени живот </w:t>
            </w:r>
            <w:r>
              <w:rPr>
                <w:color w:val="231F20"/>
                <w:spacing w:val="-3"/>
                <w:sz w:val="14"/>
              </w:rPr>
              <w:t xml:space="preserve">од </w:t>
            </w:r>
            <w:r>
              <w:rPr>
                <w:color w:val="231F20"/>
                <w:sz w:val="14"/>
              </w:rPr>
              <w:t>антике до данас</w:t>
            </w:r>
            <w:r>
              <w:rPr>
                <w:color w:val="231F20"/>
                <w:spacing w:val="-13"/>
                <w:sz w:val="14"/>
              </w:rPr>
              <w:t xml:space="preserve"> </w:t>
            </w:r>
            <w:r>
              <w:rPr>
                <w:color w:val="231F20"/>
                <w:sz w:val="14"/>
              </w:rPr>
              <w:t xml:space="preserve">(игре. гозбе, плес уз </w:t>
            </w:r>
            <w:r>
              <w:rPr>
                <w:color w:val="231F20"/>
                <w:spacing w:val="-3"/>
                <w:sz w:val="14"/>
              </w:rPr>
              <w:t xml:space="preserve">музику, </w:t>
            </w:r>
            <w:r>
              <w:rPr>
                <w:color w:val="231F20"/>
                <w:sz w:val="14"/>
              </w:rPr>
              <w:t>музички инстру­ менти, позориште, маскирање, трубадури, властеоске гозбе: жонглери, путујући свирачи и забављачи; балови,</w:t>
            </w:r>
            <w:r>
              <w:rPr>
                <w:color w:val="231F20"/>
                <w:spacing w:val="-13"/>
                <w:sz w:val="14"/>
              </w:rPr>
              <w:t xml:space="preserve"> </w:t>
            </w:r>
            <w:r>
              <w:rPr>
                <w:color w:val="231F20"/>
                <w:sz w:val="14"/>
              </w:rPr>
              <w:t>позориште</w:t>
            </w:r>
          </w:p>
          <w:p w:rsidR="00041039" w:rsidRDefault="001B26CB">
            <w:pPr>
              <w:pStyle w:val="TableParagraph"/>
              <w:spacing w:line="237" w:lineRule="auto"/>
              <w:ind w:left="157"/>
              <w:rPr>
                <w:sz w:val="14"/>
              </w:rPr>
            </w:pPr>
            <w:r>
              <w:rPr>
                <w:color w:val="231F20"/>
                <w:sz w:val="14"/>
              </w:rPr>
              <w:t>у доба Шекспира и Молијера, настанак опере, књижевне дружине и читалишта, концерти, биоскопи, игре на срећу, савре­ мена популарна музика).</w:t>
            </w:r>
          </w:p>
          <w:p w:rsidR="00041039" w:rsidRDefault="001B26CB">
            <w:pPr>
              <w:pStyle w:val="TableParagraph"/>
              <w:numPr>
                <w:ilvl w:val="0"/>
                <w:numId w:val="1765"/>
              </w:numPr>
              <w:tabs>
                <w:tab w:val="left" w:pos="158"/>
              </w:tabs>
              <w:spacing w:line="237" w:lineRule="auto"/>
              <w:ind w:right="153"/>
              <w:rPr>
                <w:sz w:val="14"/>
              </w:rPr>
            </w:pPr>
            <w:r>
              <w:rPr>
                <w:color w:val="231F20"/>
                <w:sz w:val="14"/>
              </w:rPr>
              <w:t xml:space="preserve">Друштвени живот </w:t>
            </w:r>
            <w:r>
              <w:rPr>
                <w:color w:val="231F20"/>
                <w:spacing w:val="-5"/>
                <w:sz w:val="14"/>
              </w:rPr>
              <w:t xml:space="preserve">код </w:t>
            </w:r>
            <w:r>
              <w:rPr>
                <w:color w:val="231F20"/>
                <w:sz w:val="14"/>
              </w:rPr>
              <w:t>Срба кроз историју (основни празници и њихов значај;</w:t>
            </w:r>
            <w:r>
              <w:rPr>
                <w:color w:val="231F20"/>
                <w:spacing w:val="-21"/>
                <w:sz w:val="14"/>
              </w:rPr>
              <w:t xml:space="preserve"> </w:t>
            </w:r>
            <w:r>
              <w:rPr>
                <w:color w:val="231F20"/>
                <w:sz w:val="14"/>
              </w:rPr>
              <w:t>утицај политичких прилика на празнике и пра</w:t>
            </w:r>
            <w:r>
              <w:rPr>
                <w:color w:val="231F20"/>
                <w:sz w:val="14"/>
              </w:rPr>
              <w:t>з­ новања, радни и нерадни дани; различити облици друштвених активности на селу и у</w:t>
            </w:r>
            <w:r>
              <w:rPr>
                <w:color w:val="231F20"/>
                <w:spacing w:val="-1"/>
                <w:sz w:val="14"/>
              </w:rPr>
              <w:t xml:space="preserve"> </w:t>
            </w:r>
            <w:r>
              <w:rPr>
                <w:color w:val="231F20"/>
                <w:sz w:val="14"/>
              </w:rPr>
              <w:t>граду...).</w:t>
            </w:r>
          </w:p>
          <w:p w:rsidR="00041039" w:rsidRDefault="001B26CB">
            <w:pPr>
              <w:pStyle w:val="TableParagraph"/>
              <w:numPr>
                <w:ilvl w:val="0"/>
                <w:numId w:val="1765"/>
              </w:numPr>
              <w:tabs>
                <w:tab w:val="left" w:pos="158"/>
              </w:tabs>
              <w:spacing w:line="237" w:lineRule="auto"/>
              <w:ind w:left="156" w:right="44" w:hanging="99"/>
              <w:rPr>
                <w:sz w:val="14"/>
              </w:rPr>
            </w:pPr>
            <w:r>
              <w:rPr>
                <w:color w:val="231F20"/>
                <w:sz w:val="14"/>
              </w:rPr>
              <w:t xml:space="preserve">Породични односи </w:t>
            </w:r>
            <w:r>
              <w:rPr>
                <w:color w:val="231F20"/>
                <w:spacing w:val="-3"/>
                <w:sz w:val="14"/>
              </w:rPr>
              <w:t xml:space="preserve">од </w:t>
            </w:r>
            <w:r>
              <w:rPr>
                <w:color w:val="231F20"/>
                <w:sz w:val="14"/>
              </w:rPr>
              <w:t>антике до данас (по­ ложај мушкарца, жене и детета, свадбени обичаји, однос према старијима,</w:t>
            </w:r>
            <w:r>
              <w:rPr>
                <w:color w:val="231F20"/>
                <w:spacing w:val="-13"/>
                <w:sz w:val="14"/>
              </w:rPr>
              <w:t xml:space="preserve"> </w:t>
            </w:r>
            <w:r>
              <w:rPr>
                <w:color w:val="231F20"/>
                <w:sz w:val="14"/>
              </w:rPr>
              <w:t xml:space="preserve">породични празници, традиционални и модерни </w:t>
            </w:r>
            <w:r>
              <w:rPr>
                <w:color w:val="231F20"/>
                <w:spacing w:val="-3"/>
                <w:sz w:val="14"/>
              </w:rPr>
              <w:t>погл</w:t>
            </w:r>
            <w:r>
              <w:rPr>
                <w:color w:val="231F20"/>
                <w:spacing w:val="-3"/>
                <w:sz w:val="14"/>
              </w:rPr>
              <w:t xml:space="preserve">е­ </w:t>
            </w:r>
            <w:r>
              <w:rPr>
                <w:color w:val="231F20"/>
                <w:sz w:val="14"/>
              </w:rPr>
              <w:t>ди на породицу: промене у односима међу половима...).</w:t>
            </w:r>
          </w:p>
          <w:p w:rsidR="00041039" w:rsidRDefault="001B26CB">
            <w:pPr>
              <w:pStyle w:val="TableParagraph"/>
              <w:numPr>
                <w:ilvl w:val="0"/>
                <w:numId w:val="1765"/>
              </w:numPr>
              <w:tabs>
                <w:tab w:val="left" w:pos="157"/>
              </w:tabs>
              <w:spacing w:line="158" w:lineRule="exact"/>
              <w:ind w:left="156" w:hanging="99"/>
              <w:rPr>
                <w:sz w:val="14"/>
              </w:rPr>
            </w:pPr>
            <w:r>
              <w:rPr>
                <w:color w:val="231F20"/>
                <w:sz w:val="14"/>
              </w:rPr>
              <w:t xml:space="preserve">Породични односи </w:t>
            </w:r>
            <w:r>
              <w:rPr>
                <w:color w:val="231F20"/>
                <w:spacing w:val="-5"/>
                <w:sz w:val="14"/>
              </w:rPr>
              <w:t xml:space="preserve">код </w:t>
            </w:r>
            <w:r>
              <w:rPr>
                <w:color w:val="231F20"/>
                <w:sz w:val="14"/>
              </w:rPr>
              <w:t>Срба кроз исто­</w:t>
            </w:r>
          </w:p>
          <w:p w:rsidR="00041039" w:rsidRDefault="001B26CB">
            <w:pPr>
              <w:pStyle w:val="TableParagraph"/>
              <w:rPr>
                <w:sz w:val="14"/>
              </w:rPr>
            </w:pPr>
            <w:r>
              <w:rPr>
                <w:color w:val="231F20"/>
                <w:sz w:val="14"/>
              </w:rPr>
              <w:t>рију (положај мушкарца. жене и детета: свадбени обичаји, однос према старијима, породични празници ­ крсна слава...)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60"/>
        </w:trPr>
        <w:tc>
          <w:tcPr>
            <w:tcW w:w="1304" w:type="dxa"/>
          </w:tcPr>
          <w:p w:rsidR="00041039" w:rsidRDefault="001B26CB">
            <w:pPr>
              <w:pStyle w:val="TableParagraph"/>
              <w:spacing w:before="18"/>
              <w:ind w:left="56"/>
              <w:rPr>
                <w:sz w:val="14"/>
              </w:rPr>
            </w:pPr>
            <w:r>
              <w:rPr>
                <w:color w:val="231F20"/>
                <w:sz w:val="14"/>
              </w:rPr>
              <w:lastRenderedPageBreak/>
              <w:t>Фотографија, филм, радио и телевизија кроз историју</w:t>
            </w:r>
          </w:p>
        </w:tc>
        <w:tc>
          <w:tcPr>
            <w:tcW w:w="1587" w:type="dxa"/>
          </w:tcPr>
          <w:p w:rsidR="00041039" w:rsidRDefault="001B26CB">
            <w:pPr>
              <w:pStyle w:val="TableParagraph"/>
              <w:numPr>
                <w:ilvl w:val="0"/>
                <w:numId w:val="1764"/>
              </w:numPr>
              <w:tabs>
                <w:tab w:val="left" w:pos="157"/>
              </w:tabs>
              <w:spacing w:before="8"/>
              <w:ind w:right="67"/>
              <w:rPr>
                <w:sz w:val="14"/>
              </w:rPr>
            </w:pPr>
            <w:r>
              <w:rPr>
                <w:color w:val="231F20"/>
                <w:sz w:val="14"/>
              </w:rPr>
              <w:t>Проширивање знања о развоју</w:t>
            </w:r>
            <w:r>
              <w:rPr>
                <w:color w:val="231F20"/>
                <w:spacing w:val="-5"/>
                <w:sz w:val="14"/>
              </w:rPr>
              <w:t xml:space="preserve"> </w:t>
            </w:r>
            <w:r>
              <w:rPr>
                <w:color w:val="231F20"/>
                <w:sz w:val="14"/>
              </w:rPr>
              <w:t>фотографије, филма, радија и теле­ визије кроз</w:t>
            </w:r>
            <w:r>
              <w:rPr>
                <w:color w:val="231F20"/>
                <w:spacing w:val="-10"/>
                <w:sz w:val="14"/>
              </w:rPr>
              <w:t xml:space="preserve"> </w:t>
            </w:r>
            <w:r>
              <w:rPr>
                <w:color w:val="231F20"/>
                <w:sz w:val="14"/>
              </w:rPr>
              <w:t>историју.</w:t>
            </w:r>
          </w:p>
          <w:p w:rsidR="00041039" w:rsidRDefault="001B26CB">
            <w:pPr>
              <w:pStyle w:val="TableParagraph"/>
              <w:numPr>
                <w:ilvl w:val="0"/>
                <w:numId w:val="1764"/>
              </w:numPr>
              <w:tabs>
                <w:tab w:val="left" w:pos="157"/>
              </w:tabs>
              <w:spacing w:line="156" w:lineRule="exact"/>
              <w:rPr>
                <w:sz w:val="14"/>
              </w:rPr>
            </w:pPr>
            <w:r>
              <w:rPr>
                <w:color w:val="231F20"/>
                <w:sz w:val="14"/>
              </w:rPr>
              <w:t>Разумевање</w:t>
            </w:r>
            <w:r>
              <w:rPr>
                <w:color w:val="231F20"/>
                <w:spacing w:val="-2"/>
                <w:sz w:val="14"/>
              </w:rPr>
              <w:t xml:space="preserve"> </w:t>
            </w:r>
            <w:r>
              <w:rPr>
                <w:color w:val="231F20"/>
                <w:sz w:val="14"/>
              </w:rPr>
              <w:t>утицаја</w:t>
            </w:r>
          </w:p>
          <w:p w:rsidR="00041039" w:rsidRDefault="001B26CB">
            <w:pPr>
              <w:pStyle w:val="TableParagraph"/>
              <w:ind w:right="15"/>
              <w:rPr>
                <w:sz w:val="14"/>
              </w:rPr>
            </w:pPr>
            <w:r>
              <w:rPr>
                <w:color w:val="231F20"/>
                <w:sz w:val="14"/>
              </w:rPr>
              <w:t>фотографије, филма, радија и телевизије на друштвени, политички и културни живот.</w:t>
            </w:r>
          </w:p>
          <w:p w:rsidR="00041039" w:rsidRDefault="001B26CB">
            <w:pPr>
              <w:pStyle w:val="TableParagraph"/>
              <w:numPr>
                <w:ilvl w:val="0"/>
                <w:numId w:val="1764"/>
              </w:numPr>
              <w:tabs>
                <w:tab w:val="left" w:pos="157"/>
              </w:tabs>
              <w:spacing w:line="157"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фотографије, филма, радија и теле­ визије у Србији.</w:t>
            </w:r>
          </w:p>
          <w:p w:rsidR="00041039" w:rsidRDefault="001B26CB">
            <w:pPr>
              <w:pStyle w:val="TableParagraph"/>
              <w:numPr>
                <w:ilvl w:val="0"/>
                <w:numId w:val="1764"/>
              </w:numPr>
              <w:tabs>
                <w:tab w:val="left" w:pos="157"/>
              </w:tabs>
              <w:spacing w:line="158" w:lineRule="exact"/>
              <w:rPr>
                <w:sz w:val="14"/>
              </w:rPr>
            </w:pPr>
            <w:r>
              <w:rPr>
                <w:color w:val="231F20"/>
                <w:spacing w:val="-3"/>
                <w:sz w:val="14"/>
              </w:rPr>
              <w:t>Уочавање</w:t>
            </w:r>
            <w:r>
              <w:rPr>
                <w:color w:val="231F20"/>
                <w:spacing w:val="-1"/>
                <w:sz w:val="14"/>
              </w:rPr>
              <w:t xml:space="preserve"> </w:t>
            </w:r>
            <w:r>
              <w:rPr>
                <w:color w:val="231F20"/>
                <w:sz w:val="14"/>
              </w:rPr>
              <w:t>значаја</w:t>
            </w:r>
          </w:p>
          <w:p w:rsidR="00041039" w:rsidRDefault="001B26CB">
            <w:pPr>
              <w:pStyle w:val="TableParagraph"/>
              <w:ind w:right="108"/>
              <w:rPr>
                <w:sz w:val="14"/>
              </w:rPr>
            </w:pPr>
            <w:r>
              <w:rPr>
                <w:color w:val="231F20"/>
                <w:sz w:val="14"/>
              </w:rPr>
              <w:t>фотографије, филма, радија и телевизије као историјских извора.</w:t>
            </w:r>
          </w:p>
        </w:tc>
        <w:tc>
          <w:tcPr>
            <w:tcW w:w="2551" w:type="dxa"/>
          </w:tcPr>
          <w:p w:rsidR="00041039" w:rsidRDefault="001B26CB">
            <w:pPr>
              <w:pStyle w:val="TableParagraph"/>
              <w:numPr>
                <w:ilvl w:val="0"/>
                <w:numId w:val="1763"/>
              </w:numPr>
              <w:tabs>
                <w:tab w:val="left" w:pos="157"/>
              </w:tabs>
              <w:spacing w:before="8"/>
              <w:ind w:right="119" w:hanging="99"/>
              <w:rPr>
                <w:sz w:val="14"/>
              </w:rPr>
            </w:pPr>
            <w:r>
              <w:rPr>
                <w:color w:val="231F20"/>
                <w:sz w:val="14"/>
              </w:rPr>
              <w:t>уочи основна обележја развоја фо­ тографије, филма, радија и</w:t>
            </w:r>
            <w:r>
              <w:rPr>
                <w:color w:val="231F20"/>
                <w:spacing w:val="-13"/>
                <w:sz w:val="14"/>
              </w:rPr>
              <w:t xml:space="preserve"> </w:t>
            </w:r>
            <w:r>
              <w:rPr>
                <w:color w:val="231F20"/>
                <w:sz w:val="14"/>
              </w:rPr>
              <w:t>телевизије кроз</w:t>
            </w:r>
            <w:r>
              <w:rPr>
                <w:color w:val="231F20"/>
                <w:spacing w:val="-1"/>
                <w:sz w:val="14"/>
              </w:rPr>
              <w:t xml:space="preserve"> </w:t>
            </w:r>
            <w:r>
              <w:rPr>
                <w:color w:val="231F20"/>
                <w:sz w:val="14"/>
              </w:rPr>
              <w:t>историју;</w:t>
            </w:r>
          </w:p>
          <w:p w:rsidR="00041039" w:rsidRDefault="001B26CB">
            <w:pPr>
              <w:pStyle w:val="TableParagraph"/>
              <w:numPr>
                <w:ilvl w:val="0"/>
                <w:numId w:val="1763"/>
              </w:numPr>
              <w:tabs>
                <w:tab w:val="left" w:pos="157"/>
              </w:tabs>
              <w:spacing w:line="157" w:lineRule="exact"/>
              <w:ind w:hanging="99"/>
              <w:rPr>
                <w:sz w:val="14"/>
              </w:rPr>
            </w:pPr>
            <w:r>
              <w:rPr>
                <w:color w:val="231F20"/>
                <w:sz w:val="14"/>
              </w:rPr>
              <w:t>изведе закључак о значају</w:t>
            </w:r>
            <w:r>
              <w:rPr>
                <w:color w:val="231F20"/>
                <w:spacing w:val="-25"/>
                <w:sz w:val="14"/>
              </w:rPr>
              <w:t xml:space="preserve"> </w:t>
            </w:r>
            <w:r>
              <w:rPr>
                <w:color w:val="231F20"/>
                <w:sz w:val="14"/>
              </w:rPr>
              <w:t>фотогра­</w:t>
            </w:r>
          </w:p>
          <w:p w:rsidR="00041039" w:rsidRDefault="001B26CB">
            <w:pPr>
              <w:pStyle w:val="TableParagraph"/>
              <w:rPr>
                <w:sz w:val="14"/>
              </w:rPr>
            </w:pPr>
            <w:r>
              <w:rPr>
                <w:color w:val="231F20"/>
                <w:sz w:val="14"/>
              </w:rPr>
              <w:t>фије, филма, радија и телевизије у животу појединца и читавог друштва;</w:t>
            </w:r>
          </w:p>
          <w:p w:rsidR="00041039" w:rsidRDefault="001B26CB">
            <w:pPr>
              <w:pStyle w:val="TableParagraph"/>
              <w:numPr>
                <w:ilvl w:val="0"/>
                <w:numId w:val="1763"/>
              </w:numPr>
              <w:tabs>
                <w:tab w:val="left" w:pos="157"/>
              </w:tabs>
              <w:spacing w:line="160" w:lineRule="exact"/>
              <w:ind w:right="205" w:hanging="99"/>
              <w:rPr>
                <w:sz w:val="14"/>
              </w:rPr>
            </w:pPr>
            <w:r>
              <w:rPr>
                <w:color w:val="231F20"/>
                <w:sz w:val="14"/>
              </w:rPr>
              <w:t>изведе закључак о значају фотогра­ фије, филма, радија и телевизије</w:t>
            </w:r>
            <w:r>
              <w:rPr>
                <w:color w:val="231F20"/>
                <w:spacing w:val="-13"/>
                <w:sz w:val="14"/>
              </w:rPr>
              <w:t xml:space="preserve"> </w:t>
            </w:r>
            <w:r>
              <w:rPr>
                <w:color w:val="231F20"/>
                <w:sz w:val="14"/>
              </w:rPr>
              <w:t>као историјских</w:t>
            </w:r>
            <w:r>
              <w:rPr>
                <w:color w:val="231F20"/>
                <w:spacing w:val="-1"/>
                <w:sz w:val="14"/>
              </w:rPr>
              <w:t xml:space="preserve"> </w:t>
            </w:r>
            <w:r>
              <w:rPr>
                <w:color w:val="231F20"/>
                <w:sz w:val="14"/>
              </w:rPr>
              <w:t>извора;</w:t>
            </w:r>
          </w:p>
          <w:p w:rsidR="00041039" w:rsidRDefault="001B26CB">
            <w:pPr>
              <w:pStyle w:val="TableParagraph"/>
              <w:numPr>
                <w:ilvl w:val="0"/>
                <w:numId w:val="1763"/>
              </w:numPr>
              <w:tabs>
                <w:tab w:val="left" w:pos="157"/>
              </w:tabs>
              <w:spacing w:line="160" w:lineRule="exact"/>
              <w:ind w:right="326" w:hanging="99"/>
              <w:rPr>
                <w:sz w:val="14"/>
              </w:rPr>
            </w:pPr>
            <w:r>
              <w:rPr>
                <w:color w:val="231F20"/>
                <w:sz w:val="14"/>
              </w:rPr>
              <w:t>опише развој фотографије,</w:t>
            </w:r>
            <w:r>
              <w:rPr>
                <w:color w:val="231F20"/>
                <w:spacing w:val="-7"/>
                <w:sz w:val="14"/>
              </w:rPr>
              <w:t xml:space="preserve"> </w:t>
            </w:r>
            <w:r>
              <w:rPr>
                <w:color w:val="231F20"/>
                <w:sz w:val="14"/>
              </w:rPr>
              <w:t>филма, радија и телевизије у</w:t>
            </w:r>
            <w:r>
              <w:rPr>
                <w:color w:val="231F20"/>
                <w:spacing w:val="-4"/>
                <w:sz w:val="14"/>
              </w:rPr>
              <w:t xml:space="preserve"> </w:t>
            </w:r>
            <w:r>
              <w:rPr>
                <w:color w:val="231F20"/>
                <w:sz w:val="14"/>
              </w:rPr>
              <w:t>Србији;</w:t>
            </w:r>
          </w:p>
          <w:p w:rsidR="00041039" w:rsidRDefault="001B26CB">
            <w:pPr>
              <w:pStyle w:val="TableParagraph"/>
              <w:numPr>
                <w:ilvl w:val="0"/>
                <w:numId w:val="1763"/>
              </w:numPr>
              <w:tabs>
                <w:tab w:val="left" w:pos="157"/>
              </w:tabs>
              <w:spacing w:line="160" w:lineRule="exact"/>
              <w:ind w:right="46" w:hanging="99"/>
              <w:rPr>
                <w:sz w:val="14"/>
              </w:rPr>
            </w:pPr>
            <w:r>
              <w:rPr>
                <w:color w:val="231F20"/>
                <w:sz w:val="14"/>
              </w:rPr>
              <w:t>разуме последице развоја</w:t>
            </w:r>
            <w:r>
              <w:rPr>
                <w:color w:val="231F20"/>
                <w:spacing w:val="-10"/>
                <w:sz w:val="14"/>
              </w:rPr>
              <w:t xml:space="preserve"> </w:t>
            </w:r>
            <w:r>
              <w:rPr>
                <w:color w:val="231F20"/>
                <w:sz w:val="14"/>
              </w:rPr>
              <w:t>фотографије, филма, радија и</w:t>
            </w:r>
            <w:r>
              <w:rPr>
                <w:color w:val="231F20"/>
                <w:spacing w:val="-2"/>
                <w:sz w:val="14"/>
              </w:rPr>
              <w:t xml:space="preserve"> </w:t>
            </w:r>
            <w:r>
              <w:rPr>
                <w:color w:val="231F20"/>
                <w:sz w:val="14"/>
              </w:rPr>
              <w:t>телевизије;</w:t>
            </w:r>
          </w:p>
        </w:tc>
        <w:tc>
          <w:tcPr>
            <w:tcW w:w="2834" w:type="dxa"/>
          </w:tcPr>
          <w:p w:rsidR="00041039" w:rsidRDefault="001B26CB">
            <w:pPr>
              <w:pStyle w:val="TableParagraph"/>
              <w:numPr>
                <w:ilvl w:val="0"/>
                <w:numId w:val="1762"/>
              </w:numPr>
              <w:tabs>
                <w:tab w:val="left" w:pos="157"/>
              </w:tabs>
              <w:spacing w:before="8"/>
              <w:ind w:right="134" w:hanging="99"/>
              <w:rPr>
                <w:sz w:val="14"/>
              </w:rPr>
            </w:pPr>
            <w:r>
              <w:rPr>
                <w:color w:val="231F20"/>
                <w:sz w:val="14"/>
              </w:rPr>
              <w:t>Значај фотографије, филма, радија и телевизије (као техничких достигнућа, начина уметничког изражавања,</w:t>
            </w:r>
            <w:r>
              <w:rPr>
                <w:color w:val="231F20"/>
                <w:spacing w:val="-25"/>
                <w:sz w:val="14"/>
              </w:rPr>
              <w:t xml:space="preserve"> </w:t>
            </w:r>
            <w:r>
              <w:rPr>
                <w:color w:val="231F20"/>
                <w:sz w:val="14"/>
              </w:rPr>
              <w:t>средстава масовне комуникације, сазнавања и образовања, и као историјских</w:t>
            </w:r>
            <w:r>
              <w:rPr>
                <w:color w:val="231F20"/>
                <w:spacing w:val="-7"/>
                <w:sz w:val="14"/>
              </w:rPr>
              <w:t xml:space="preserve"> </w:t>
            </w:r>
            <w:r>
              <w:rPr>
                <w:color w:val="231F20"/>
                <w:sz w:val="14"/>
              </w:rPr>
              <w:t>извора).</w:t>
            </w:r>
          </w:p>
          <w:p w:rsidR="00041039" w:rsidRDefault="001B26CB">
            <w:pPr>
              <w:pStyle w:val="TableParagraph"/>
              <w:numPr>
                <w:ilvl w:val="0"/>
                <w:numId w:val="1762"/>
              </w:numPr>
              <w:tabs>
                <w:tab w:val="left" w:pos="157"/>
              </w:tabs>
              <w:spacing w:line="155" w:lineRule="exact"/>
              <w:ind w:hanging="99"/>
              <w:rPr>
                <w:sz w:val="14"/>
              </w:rPr>
            </w:pPr>
            <w:r>
              <w:rPr>
                <w:color w:val="231F20"/>
                <w:sz w:val="14"/>
              </w:rPr>
              <w:t>Фот</w:t>
            </w:r>
            <w:r>
              <w:rPr>
                <w:color w:val="231F20"/>
                <w:sz w:val="14"/>
              </w:rPr>
              <w:t>ографија, филм, радио и</w:t>
            </w:r>
            <w:r>
              <w:rPr>
                <w:color w:val="231F20"/>
                <w:spacing w:val="-6"/>
                <w:sz w:val="14"/>
              </w:rPr>
              <w:t xml:space="preserve"> </w:t>
            </w:r>
            <w:r>
              <w:rPr>
                <w:color w:val="231F20"/>
                <w:sz w:val="14"/>
              </w:rPr>
              <w:t>телевизија</w:t>
            </w:r>
          </w:p>
          <w:p w:rsidR="00041039" w:rsidRDefault="001B26CB">
            <w:pPr>
              <w:pStyle w:val="TableParagraph"/>
              <w:rPr>
                <w:sz w:val="14"/>
              </w:rPr>
            </w:pPr>
            <w:r>
              <w:rPr>
                <w:color w:val="231F20"/>
                <w:sz w:val="14"/>
              </w:rPr>
              <w:t>кроз историју (развој ­ оптичка сочива, дагеротипија, мокра плоча, фото­апарат, филмска трака, покретне слике, биоскоп, радио таласи; прва филмска пројекција, филм као извор информација о догађајима; филм као масовна заба</w:t>
            </w:r>
            <w:r>
              <w:rPr>
                <w:color w:val="231F20"/>
                <w:sz w:val="14"/>
              </w:rPr>
              <w:t>ва и индустрија; почетак ере звучног филма, појава ани­ 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w:t>
            </w:r>
            <w:r>
              <w:rPr>
                <w:color w:val="231F20"/>
                <w:sz w:val="14"/>
              </w:rPr>
              <w:t>тографије, филма, радија и телевизије у XX веку).</w:t>
            </w:r>
          </w:p>
          <w:p w:rsidR="00041039" w:rsidRDefault="001B26CB">
            <w:pPr>
              <w:pStyle w:val="TableParagraph"/>
              <w:numPr>
                <w:ilvl w:val="0"/>
                <w:numId w:val="1762"/>
              </w:numPr>
              <w:tabs>
                <w:tab w:val="left" w:pos="157"/>
              </w:tabs>
              <w:spacing w:line="147" w:lineRule="exact"/>
              <w:ind w:hanging="99"/>
              <w:rPr>
                <w:sz w:val="14"/>
              </w:rPr>
            </w:pPr>
            <w:r>
              <w:rPr>
                <w:color w:val="231F20"/>
                <w:sz w:val="14"/>
              </w:rPr>
              <w:t>Фотографија, филм, радио и телевизија</w:t>
            </w:r>
            <w:r>
              <w:rPr>
                <w:color w:val="231F20"/>
                <w:spacing w:val="-15"/>
                <w:sz w:val="14"/>
              </w:rPr>
              <w:t xml:space="preserve"> </w:t>
            </w:r>
            <w:r>
              <w:rPr>
                <w:color w:val="231F20"/>
                <w:sz w:val="14"/>
              </w:rPr>
              <w:t>у</w:t>
            </w:r>
          </w:p>
          <w:p w:rsidR="00041039" w:rsidRDefault="001B26CB">
            <w:pPr>
              <w:pStyle w:val="TableParagraph"/>
              <w:ind w:right="49"/>
              <w:rPr>
                <w:sz w:val="14"/>
              </w:rPr>
            </w:pPr>
            <w:r>
              <w:rPr>
                <w:color w:val="231F20"/>
                <w:sz w:val="14"/>
              </w:rPr>
              <w:t xml:space="preserve">Србији некад и сад (делатност дворског фотографа Анастаса Јовановића, породич­ ни фото­албуми, прва филмска пројекција у Србији 1896. први српски филмови и биоскопи; </w:t>
            </w:r>
            <w:r>
              <w:rPr>
                <w:color w:val="231F20"/>
                <w:sz w:val="14"/>
              </w:rPr>
              <w:t>почетак рада прве</w:t>
            </w:r>
            <w:r>
              <w:rPr>
                <w:color w:val="231F20"/>
                <w:spacing w:val="-12"/>
                <w:sz w:val="14"/>
              </w:rPr>
              <w:t xml:space="preserve"> </w:t>
            </w:r>
            <w:r>
              <w:rPr>
                <w:color w:val="231F20"/>
                <w:sz w:val="14"/>
              </w:rPr>
              <w:t>радио­станице</w:t>
            </w:r>
          </w:p>
          <w:p w:rsidR="00041039" w:rsidRDefault="001B26CB">
            <w:pPr>
              <w:pStyle w:val="TableParagraph"/>
              <w:spacing w:line="237" w:lineRule="auto"/>
              <w:ind w:right="74"/>
              <w:rPr>
                <w:sz w:val="14"/>
              </w:rPr>
            </w:pPr>
            <w:r>
              <w:rPr>
                <w:color w:val="231F20"/>
                <w:sz w:val="14"/>
              </w:rPr>
              <w:t>- Радио Београда 1929.јавна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2267" w:type="dxa"/>
            <w:vMerge w:val="restart"/>
          </w:tcPr>
          <w:p w:rsidR="00041039" w:rsidRDefault="001B26CB">
            <w:pPr>
              <w:pStyle w:val="TableParagraph"/>
              <w:spacing w:before="19"/>
              <w:ind w:left="58" w:right="13"/>
              <w:rPr>
                <w:sz w:val="14"/>
              </w:rPr>
            </w:pPr>
            <w:r>
              <w:rPr>
                <w:color w:val="231F20"/>
                <w:sz w:val="14"/>
              </w:rPr>
              <w:t xml:space="preserve">C. Бојанин, </w:t>
            </w:r>
            <w:r>
              <w:rPr>
                <w:i/>
                <w:color w:val="231F20"/>
                <w:sz w:val="14"/>
              </w:rPr>
              <w:t>Забаве и светковине у средњовековној Србији (од краја XII до крајаХV века)</w:t>
            </w:r>
            <w:r>
              <w:rPr>
                <w:color w:val="231F20"/>
                <w:sz w:val="14"/>
              </w:rPr>
              <w:t>, Београд 2005.</w:t>
            </w:r>
          </w:p>
          <w:p w:rsidR="00041039" w:rsidRDefault="001B26CB">
            <w:pPr>
              <w:pStyle w:val="TableParagraph"/>
              <w:spacing w:line="237" w:lineRule="auto"/>
              <w:ind w:left="58"/>
              <w:rPr>
                <w:sz w:val="14"/>
              </w:rPr>
            </w:pPr>
            <w:r>
              <w:rPr>
                <w:color w:val="231F20"/>
                <w:sz w:val="14"/>
              </w:rPr>
              <w:t xml:space="preserve">Е. Бухари, </w:t>
            </w:r>
            <w:r>
              <w:rPr>
                <w:i/>
                <w:color w:val="231F20"/>
                <w:sz w:val="14"/>
              </w:rPr>
              <w:t>Наполеонова гардијска коњица</w:t>
            </w:r>
            <w:r>
              <w:rPr>
                <w:color w:val="231F20"/>
                <w:sz w:val="14"/>
              </w:rPr>
              <w:t>, Београд 2006.</w:t>
            </w:r>
          </w:p>
          <w:p w:rsidR="00041039" w:rsidRDefault="001B26CB">
            <w:pPr>
              <w:pStyle w:val="TableParagraph"/>
              <w:ind w:left="58"/>
              <w:rPr>
                <w:sz w:val="14"/>
              </w:rPr>
            </w:pPr>
            <w:r>
              <w:rPr>
                <w:color w:val="231F20"/>
                <w:sz w:val="14"/>
              </w:rPr>
              <w:t xml:space="preserve">А. Веселиновић, Р. Љушић, </w:t>
            </w:r>
            <w:r>
              <w:rPr>
                <w:i/>
                <w:color w:val="231F20"/>
                <w:sz w:val="14"/>
              </w:rPr>
              <w:t>Српске династије</w:t>
            </w:r>
            <w:r>
              <w:rPr>
                <w:color w:val="231F20"/>
                <w:sz w:val="14"/>
              </w:rPr>
              <w:t>, Нови Сад 2001.</w:t>
            </w:r>
          </w:p>
          <w:p w:rsidR="00041039" w:rsidRDefault="001B26CB">
            <w:pPr>
              <w:pStyle w:val="TableParagraph"/>
              <w:ind w:left="58" w:right="46"/>
              <w:rPr>
                <w:i/>
                <w:sz w:val="14"/>
              </w:rPr>
            </w:pPr>
            <w:r>
              <w:rPr>
                <w:color w:val="231F20"/>
                <w:sz w:val="14"/>
              </w:rPr>
              <w:t xml:space="preserve">П. Билар, </w:t>
            </w:r>
            <w:r>
              <w:rPr>
                <w:i/>
                <w:color w:val="231F20"/>
                <w:sz w:val="14"/>
              </w:rPr>
              <w:t>Злато и новац у повијести 1450-1920</w:t>
            </w:r>
            <w:r>
              <w:rPr>
                <w:color w:val="231F20"/>
                <w:sz w:val="14"/>
              </w:rPr>
              <w:t>, Беогр</w:t>
            </w:r>
            <w:r>
              <w:rPr>
                <w:color w:val="231F20"/>
                <w:sz w:val="14"/>
              </w:rPr>
              <w:t xml:space="preserve">ад 1990. А. Вулетић, Ј. Мијаиловић, </w:t>
            </w:r>
            <w:r>
              <w:rPr>
                <w:i/>
                <w:color w:val="231F20"/>
                <w:sz w:val="14"/>
              </w:rPr>
              <w:t>Између посела и балова</w:t>
            </w:r>
            <w:r>
              <w:rPr>
                <w:color w:val="231F20"/>
                <w:sz w:val="14"/>
              </w:rPr>
              <w:t xml:space="preserve">. </w:t>
            </w:r>
            <w:r>
              <w:rPr>
                <w:i/>
                <w:color w:val="231F20"/>
                <w:sz w:val="14"/>
              </w:rPr>
              <w:t>Живот у Србији у</w:t>
            </w:r>
          </w:p>
          <w:p w:rsidR="00041039" w:rsidRDefault="001B26CB">
            <w:pPr>
              <w:pStyle w:val="TableParagraph"/>
              <w:spacing w:line="157" w:lineRule="exact"/>
              <w:ind w:left="58"/>
              <w:rPr>
                <w:sz w:val="14"/>
              </w:rPr>
            </w:pPr>
            <w:r>
              <w:rPr>
                <w:i/>
                <w:color w:val="231F20"/>
                <w:sz w:val="14"/>
              </w:rPr>
              <w:t>19. веку</w:t>
            </w:r>
            <w:r>
              <w:rPr>
                <w:color w:val="231F20"/>
                <w:sz w:val="14"/>
              </w:rPr>
              <w:t>, Београд 2005.</w:t>
            </w:r>
          </w:p>
          <w:p w:rsidR="00041039" w:rsidRDefault="001B26CB">
            <w:pPr>
              <w:pStyle w:val="TableParagraph"/>
              <w:ind w:left="58" w:right="54"/>
              <w:rPr>
                <w:sz w:val="14"/>
              </w:rPr>
            </w:pPr>
            <w:r>
              <w:rPr>
                <w:color w:val="231F20"/>
                <w:sz w:val="14"/>
              </w:rPr>
              <w:t xml:space="preserve">Р. Вучетић, </w:t>
            </w:r>
            <w:r>
              <w:rPr>
                <w:i/>
                <w:color w:val="231F20"/>
                <w:sz w:val="14"/>
              </w:rPr>
              <w:t>Престоница независне Србије (1878 - 1918)</w:t>
            </w:r>
            <w:r>
              <w:rPr>
                <w:color w:val="231F20"/>
                <w:sz w:val="14"/>
              </w:rPr>
              <w:t xml:space="preserve">, Београд2008. К. Гравет, </w:t>
            </w:r>
            <w:r>
              <w:rPr>
                <w:i/>
                <w:color w:val="231F20"/>
                <w:sz w:val="14"/>
              </w:rPr>
              <w:t>Витезови</w:t>
            </w:r>
            <w:r>
              <w:rPr>
                <w:color w:val="231F20"/>
                <w:sz w:val="14"/>
              </w:rPr>
              <w:t xml:space="preserve">, Београд 2006. С. Димитријевић, </w:t>
            </w:r>
            <w:r>
              <w:rPr>
                <w:i/>
                <w:color w:val="231F20"/>
                <w:sz w:val="14"/>
              </w:rPr>
              <w:t>Средњовековни српски новац</w:t>
            </w:r>
            <w:r>
              <w:rPr>
                <w:color w:val="231F20"/>
                <w:sz w:val="14"/>
              </w:rPr>
              <w:t>, Београд</w:t>
            </w:r>
            <w:r>
              <w:rPr>
                <w:color w:val="231F20"/>
                <w:sz w:val="14"/>
              </w:rPr>
              <w:t xml:space="preserve"> 1997.</w:t>
            </w:r>
          </w:p>
          <w:p w:rsidR="00041039" w:rsidRDefault="001B26CB">
            <w:pPr>
              <w:pStyle w:val="TableParagraph"/>
              <w:spacing w:line="237" w:lineRule="auto"/>
              <w:ind w:left="58" w:right="125"/>
              <w:rPr>
                <w:i/>
                <w:sz w:val="14"/>
              </w:rPr>
            </w:pPr>
            <w:r>
              <w:rPr>
                <w:color w:val="231F20"/>
                <w:sz w:val="14"/>
              </w:rPr>
              <w:t xml:space="preserve">Љ. Димић, </w:t>
            </w:r>
            <w:r>
              <w:rPr>
                <w:i/>
                <w:color w:val="231F20"/>
                <w:sz w:val="14"/>
              </w:rPr>
              <w:t>Културна политика у Краљевини Југославији 1918-1941,</w:t>
            </w:r>
          </w:p>
          <w:p w:rsidR="00041039" w:rsidRDefault="001B26CB">
            <w:pPr>
              <w:pStyle w:val="TableParagraph"/>
              <w:spacing w:line="160" w:lineRule="exact"/>
              <w:ind w:left="58"/>
              <w:rPr>
                <w:sz w:val="14"/>
              </w:rPr>
            </w:pPr>
            <w:r>
              <w:rPr>
                <w:i/>
                <w:color w:val="231F20"/>
                <w:sz w:val="14"/>
              </w:rPr>
              <w:t>I-III</w:t>
            </w:r>
            <w:r>
              <w:rPr>
                <w:color w:val="231F20"/>
                <w:sz w:val="14"/>
              </w:rPr>
              <w:t>, Београд 1996.</w:t>
            </w:r>
          </w:p>
          <w:p w:rsidR="00041039" w:rsidRDefault="001B26CB">
            <w:pPr>
              <w:pStyle w:val="TableParagraph"/>
              <w:ind w:left="58" w:right="214"/>
              <w:rPr>
                <w:sz w:val="14"/>
              </w:rPr>
            </w:pPr>
            <w:r>
              <w:rPr>
                <w:color w:val="231F20"/>
                <w:sz w:val="14"/>
              </w:rPr>
              <w:t xml:space="preserve">А. Ђуровић, </w:t>
            </w:r>
            <w:r>
              <w:rPr>
                <w:i/>
                <w:color w:val="231F20"/>
                <w:sz w:val="14"/>
              </w:rPr>
              <w:t>Модернизација образовања у Краљевини Србији 1905-1914</w:t>
            </w:r>
            <w:r>
              <w:rPr>
                <w:color w:val="231F20"/>
                <w:sz w:val="14"/>
              </w:rPr>
              <w:t>, Београд 2004.</w:t>
            </w:r>
          </w:p>
          <w:p w:rsidR="00041039" w:rsidRDefault="001B26CB">
            <w:pPr>
              <w:pStyle w:val="TableParagraph"/>
              <w:spacing w:line="237" w:lineRule="auto"/>
              <w:ind w:left="58" w:right="103"/>
              <w:rPr>
                <w:sz w:val="14"/>
              </w:rPr>
            </w:pPr>
            <w:r>
              <w:rPr>
                <w:i/>
                <w:color w:val="231F20"/>
                <w:sz w:val="14"/>
              </w:rPr>
              <w:t>Историја приватног живота, I-V</w:t>
            </w:r>
            <w:r>
              <w:rPr>
                <w:color w:val="231F20"/>
                <w:sz w:val="14"/>
              </w:rPr>
              <w:t>, приредили Ф. Аријес и Ж. Диби, Београд 2000­2004.</w:t>
            </w:r>
          </w:p>
          <w:p w:rsidR="00041039" w:rsidRDefault="001B26CB">
            <w:pPr>
              <w:pStyle w:val="TableParagraph"/>
              <w:ind w:left="58"/>
              <w:rPr>
                <w:sz w:val="14"/>
              </w:rPr>
            </w:pPr>
            <w:r>
              <w:rPr>
                <w:color w:val="231F20"/>
                <w:sz w:val="14"/>
              </w:rPr>
              <w:t xml:space="preserve">М. Јовановић­Стојимировић, </w:t>
            </w:r>
            <w:r>
              <w:rPr>
                <w:i/>
                <w:color w:val="231F20"/>
                <w:sz w:val="14"/>
              </w:rPr>
              <w:t>Силуете старог Београда</w:t>
            </w:r>
            <w:r>
              <w:rPr>
                <w:color w:val="231F20"/>
                <w:sz w:val="14"/>
              </w:rPr>
              <w:t>, Београд 2008.</w:t>
            </w:r>
          </w:p>
          <w:p w:rsidR="00041039" w:rsidRDefault="001B26CB">
            <w:pPr>
              <w:pStyle w:val="TableParagraph"/>
              <w:spacing w:line="237" w:lineRule="auto"/>
              <w:ind w:left="58" w:right="320"/>
              <w:rPr>
                <w:sz w:val="14"/>
              </w:rPr>
            </w:pPr>
            <w:r>
              <w:rPr>
                <w:color w:val="231F20"/>
                <w:sz w:val="14"/>
              </w:rPr>
              <w:t xml:space="preserve">Д. Косановић. </w:t>
            </w:r>
            <w:r>
              <w:rPr>
                <w:i/>
                <w:color w:val="231F20"/>
                <w:sz w:val="14"/>
              </w:rPr>
              <w:t>Почеци кинематографије на тлу Југославије 1896-1918</w:t>
            </w:r>
            <w:r>
              <w:rPr>
                <w:color w:val="231F20"/>
                <w:sz w:val="14"/>
              </w:rPr>
              <w:t>, Београд</w:t>
            </w:r>
          </w:p>
          <w:p w:rsidR="00041039" w:rsidRDefault="001B26CB">
            <w:pPr>
              <w:pStyle w:val="TableParagraph"/>
              <w:spacing w:line="161" w:lineRule="exact"/>
              <w:ind w:left="58"/>
              <w:rPr>
                <w:sz w:val="14"/>
              </w:rPr>
            </w:pPr>
            <w:r>
              <w:rPr>
                <w:color w:val="231F20"/>
                <w:sz w:val="14"/>
              </w:rPr>
              <w:t>1985.</w:t>
            </w:r>
          </w:p>
          <w:p w:rsidR="00041039" w:rsidRDefault="001B26CB">
            <w:pPr>
              <w:pStyle w:val="TableParagraph"/>
              <w:ind w:left="58"/>
              <w:rPr>
                <w:sz w:val="14"/>
              </w:rPr>
            </w:pPr>
            <w:r>
              <w:rPr>
                <w:i/>
                <w:color w:val="231F20"/>
                <w:sz w:val="14"/>
              </w:rPr>
              <w:t>Лексикон српског средњег века</w:t>
            </w:r>
            <w:r>
              <w:rPr>
                <w:color w:val="231F20"/>
                <w:sz w:val="14"/>
              </w:rPr>
              <w:t>, приредили С. Ћирковић и Р. Михаљчић, Београд 1999.</w:t>
            </w:r>
          </w:p>
          <w:p w:rsidR="00041039" w:rsidRDefault="001B26CB">
            <w:pPr>
              <w:pStyle w:val="TableParagraph"/>
              <w:spacing w:line="237" w:lineRule="auto"/>
              <w:ind w:left="58"/>
              <w:rPr>
                <w:sz w:val="14"/>
              </w:rPr>
            </w:pPr>
            <w:r>
              <w:rPr>
                <w:color w:val="231F20"/>
                <w:sz w:val="14"/>
              </w:rPr>
              <w:t xml:space="preserve">П. Ј. Марковић, </w:t>
            </w:r>
            <w:r>
              <w:rPr>
                <w:i/>
                <w:color w:val="231F20"/>
                <w:sz w:val="14"/>
              </w:rPr>
              <w:t>Београд 191</w:t>
            </w:r>
            <w:r>
              <w:rPr>
                <w:i/>
                <w:color w:val="231F20"/>
                <w:sz w:val="14"/>
              </w:rPr>
              <w:t>8-1941</w:t>
            </w:r>
            <w:r>
              <w:rPr>
                <w:color w:val="231F20"/>
                <w:sz w:val="14"/>
              </w:rPr>
              <w:t>, Београд 1992.</w:t>
            </w:r>
          </w:p>
          <w:p w:rsidR="00041039" w:rsidRDefault="001B26CB">
            <w:pPr>
              <w:pStyle w:val="TableParagraph"/>
              <w:ind w:left="58" w:right="109"/>
              <w:rPr>
                <w:sz w:val="14"/>
              </w:rPr>
            </w:pPr>
            <w:r>
              <w:rPr>
                <w:color w:val="231F20"/>
                <w:sz w:val="14"/>
              </w:rPr>
              <w:t xml:space="preserve">П. Ј. Марковић, </w:t>
            </w:r>
            <w:r>
              <w:rPr>
                <w:i/>
                <w:color w:val="231F20"/>
                <w:sz w:val="14"/>
              </w:rPr>
              <w:t>Београд између Истока и Запада 1948-1965</w:t>
            </w:r>
            <w:r>
              <w:rPr>
                <w:color w:val="231F20"/>
                <w:sz w:val="14"/>
              </w:rPr>
              <w:t>, Београд 1996.</w:t>
            </w:r>
          </w:p>
          <w:p w:rsidR="00041039" w:rsidRDefault="001B26CB">
            <w:pPr>
              <w:pStyle w:val="TableParagraph"/>
              <w:spacing w:line="237" w:lineRule="auto"/>
              <w:ind w:left="58" w:right="51"/>
              <w:rPr>
                <w:sz w:val="14"/>
              </w:rPr>
            </w:pPr>
            <w:r>
              <w:rPr>
                <w:color w:val="231F20"/>
                <w:sz w:val="14"/>
              </w:rPr>
              <w:t xml:space="preserve">П. Ј. Марковић, </w:t>
            </w:r>
            <w:r>
              <w:rPr>
                <w:i/>
                <w:color w:val="231F20"/>
                <w:sz w:val="14"/>
              </w:rPr>
              <w:t>Трајност и промена. Друштвена историја социјалистичке свакодневице у Југославији и Србији</w:t>
            </w:r>
            <w:r>
              <w:rPr>
                <w:color w:val="231F20"/>
                <w:sz w:val="14"/>
              </w:rPr>
              <w:t xml:space="preserve">, Београд 2007. М. Милићевић, </w:t>
            </w:r>
            <w:r>
              <w:rPr>
                <w:i/>
                <w:color w:val="231F20"/>
                <w:sz w:val="14"/>
              </w:rPr>
              <w:t>ГрбСрбије: развој кроз исто</w:t>
            </w:r>
            <w:r>
              <w:rPr>
                <w:i/>
                <w:color w:val="231F20"/>
                <w:sz w:val="14"/>
              </w:rPr>
              <w:t>рију</w:t>
            </w:r>
            <w:r>
              <w:rPr>
                <w:color w:val="231F20"/>
                <w:sz w:val="14"/>
              </w:rPr>
              <w:t>, Београд 1995.</w:t>
            </w:r>
          </w:p>
          <w:p w:rsidR="00041039" w:rsidRDefault="001B26CB">
            <w:pPr>
              <w:pStyle w:val="TableParagraph"/>
              <w:ind w:left="58"/>
              <w:rPr>
                <w:sz w:val="14"/>
              </w:rPr>
            </w:pPr>
            <w:r>
              <w:rPr>
                <w:color w:val="231F20"/>
                <w:sz w:val="14"/>
              </w:rPr>
              <w:t xml:space="preserve">Ј. Миодраговић, </w:t>
            </w:r>
            <w:r>
              <w:rPr>
                <w:i/>
                <w:color w:val="231F20"/>
                <w:sz w:val="14"/>
              </w:rPr>
              <w:t>Народнапедагогија у Срба или како наш народ подиже пород свој</w:t>
            </w:r>
            <w:r>
              <w:rPr>
                <w:color w:val="231F20"/>
                <w:sz w:val="14"/>
              </w:rPr>
              <w:t>, Београд 1914.</w:t>
            </w:r>
          </w:p>
          <w:p w:rsidR="00041039" w:rsidRDefault="001B26CB">
            <w:pPr>
              <w:pStyle w:val="TableParagraph"/>
              <w:spacing w:line="237" w:lineRule="auto"/>
              <w:ind w:left="58" w:right="25"/>
              <w:rPr>
                <w:sz w:val="14"/>
              </w:rPr>
            </w:pPr>
            <w:r>
              <w:rPr>
                <w:color w:val="231F20"/>
                <w:sz w:val="14"/>
              </w:rPr>
              <w:t xml:space="preserve">Д. Мрђеновић, А. Палавестра, Д. Спасић, </w:t>
            </w:r>
            <w:r>
              <w:rPr>
                <w:i/>
                <w:color w:val="231F20"/>
                <w:sz w:val="14"/>
              </w:rPr>
              <w:t>Родословне таблице и грбови српских династија и власте- ле</w:t>
            </w:r>
            <w:r>
              <w:rPr>
                <w:color w:val="231F20"/>
                <w:sz w:val="14"/>
              </w:rPr>
              <w:t>, Београд 1987.</w:t>
            </w:r>
          </w:p>
          <w:p w:rsidR="00041039" w:rsidRDefault="001B26CB">
            <w:pPr>
              <w:pStyle w:val="TableParagraph"/>
              <w:ind w:left="58"/>
              <w:rPr>
                <w:sz w:val="14"/>
              </w:rPr>
            </w:pPr>
            <w:r>
              <w:rPr>
                <w:i/>
                <w:color w:val="231F20"/>
                <w:sz w:val="14"/>
              </w:rPr>
              <w:t>Образовање код Срба кроз веко</w:t>
            </w:r>
            <w:r>
              <w:rPr>
                <w:i/>
                <w:color w:val="231F20"/>
                <w:sz w:val="14"/>
              </w:rPr>
              <w:t>ве</w:t>
            </w:r>
            <w:r>
              <w:rPr>
                <w:color w:val="231F20"/>
                <w:sz w:val="14"/>
              </w:rPr>
              <w:t>, Београд 2001.</w:t>
            </w:r>
          </w:p>
          <w:p w:rsidR="00041039" w:rsidRDefault="001B26CB">
            <w:pPr>
              <w:pStyle w:val="TableParagraph"/>
              <w:ind w:left="58"/>
              <w:rPr>
                <w:sz w:val="14"/>
              </w:rPr>
            </w:pPr>
            <w:r>
              <w:rPr>
                <w:color w:val="231F20"/>
                <w:sz w:val="14"/>
              </w:rPr>
              <w:t xml:space="preserve">Е. Пирсон, </w:t>
            </w:r>
            <w:r>
              <w:rPr>
                <w:i/>
                <w:color w:val="231F20"/>
                <w:sz w:val="14"/>
              </w:rPr>
              <w:t>Стара Грчка</w:t>
            </w:r>
            <w:r>
              <w:rPr>
                <w:color w:val="231F20"/>
                <w:sz w:val="14"/>
              </w:rPr>
              <w:t>, Београд 2006.</w:t>
            </w:r>
          </w:p>
          <w:p w:rsidR="00041039" w:rsidRDefault="001B26CB">
            <w:pPr>
              <w:pStyle w:val="TableParagraph"/>
              <w:ind w:left="58" w:right="82"/>
              <w:rPr>
                <w:sz w:val="14"/>
              </w:rPr>
            </w:pPr>
            <w:r>
              <w:rPr>
                <w:color w:val="231F20"/>
                <w:spacing w:val="-9"/>
                <w:sz w:val="14"/>
              </w:rPr>
              <w:t xml:space="preserve">Р. </w:t>
            </w:r>
            <w:r>
              <w:rPr>
                <w:color w:val="231F20"/>
                <w:spacing w:val="-4"/>
                <w:sz w:val="14"/>
              </w:rPr>
              <w:t xml:space="preserve">Плат, </w:t>
            </w:r>
            <w:r>
              <w:rPr>
                <w:i/>
                <w:color w:val="231F20"/>
                <w:sz w:val="14"/>
              </w:rPr>
              <w:t>Свет филма</w:t>
            </w:r>
            <w:r>
              <w:rPr>
                <w:color w:val="231F20"/>
                <w:sz w:val="14"/>
              </w:rPr>
              <w:t xml:space="preserve">, Београд 2006. </w:t>
            </w:r>
            <w:r>
              <w:rPr>
                <w:i/>
                <w:color w:val="231F20"/>
                <w:sz w:val="14"/>
              </w:rPr>
              <w:t>Приватни животу српским земљама средњегвека</w:t>
            </w:r>
            <w:r>
              <w:rPr>
                <w:color w:val="231F20"/>
                <w:sz w:val="14"/>
              </w:rPr>
              <w:t>, приредиле С. Марјановић­Душанић и Д. Поповић, Београд 2004.</w:t>
            </w:r>
          </w:p>
          <w:p w:rsidR="00041039" w:rsidRDefault="001B26CB">
            <w:pPr>
              <w:pStyle w:val="TableParagraph"/>
              <w:spacing w:line="237" w:lineRule="auto"/>
              <w:ind w:left="58" w:right="18"/>
              <w:rPr>
                <w:sz w:val="14"/>
              </w:rPr>
            </w:pPr>
            <w:r>
              <w:rPr>
                <w:i/>
                <w:color w:val="231F20"/>
                <w:sz w:val="14"/>
              </w:rPr>
              <w:t>Приватни животу српским земљама у освит модерног доба</w:t>
            </w:r>
            <w:r>
              <w:rPr>
                <w:color w:val="231F20"/>
                <w:sz w:val="14"/>
              </w:rPr>
              <w:t xml:space="preserve">, приредио А. Фотић, Београд 2005. </w:t>
            </w:r>
            <w:r>
              <w:rPr>
                <w:i/>
                <w:color w:val="231F20"/>
                <w:sz w:val="14"/>
              </w:rPr>
              <w:t>Приватни живот код Срба удевет- наестом веку. Од краја осам- наестог века до Првог светског рата</w:t>
            </w:r>
            <w:r>
              <w:rPr>
                <w:color w:val="231F20"/>
                <w:sz w:val="14"/>
              </w:rPr>
              <w:t>, приредили А. Столић и Н. Макуљевић, Београд 2006.</w:t>
            </w:r>
          </w:p>
          <w:p w:rsidR="00041039" w:rsidRDefault="001B26CB">
            <w:pPr>
              <w:pStyle w:val="TableParagraph"/>
              <w:ind w:left="58"/>
              <w:rPr>
                <w:sz w:val="14"/>
              </w:rPr>
            </w:pPr>
            <w:r>
              <w:rPr>
                <w:i/>
                <w:color w:val="231F20"/>
                <w:sz w:val="14"/>
              </w:rPr>
              <w:t>Приватни живот код Срба у двадесетом веку</w:t>
            </w:r>
            <w:r>
              <w:rPr>
                <w:color w:val="231F20"/>
                <w:sz w:val="14"/>
              </w:rPr>
              <w:t xml:space="preserve">, приредио М. Ристовић, Београд </w:t>
            </w:r>
            <w:r>
              <w:rPr>
                <w:color w:val="231F20"/>
                <w:sz w:val="14"/>
              </w:rPr>
              <w:t>2007.</w:t>
            </w:r>
          </w:p>
          <w:p w:rsidR="00041039" w:rsidRDefault="001B26CB">
            <w:pPr>
              <w:pStyle w:val="TableParagraph"/>
              <w:spacing w:line="237" w:lineRule="auto"/>
              <w:ind w:left="58" w:right="61"/>
              <w:rPr>
                <w:sz w:val="14"/>
              </w:rPr>
            </w:pPr>
            <w:r>
              <w:rPr>
                <w:color w:val="231F20"/>
                <w:sz w:val="14"/>
              </w:rPr>
              <w:t xml:space="preserve">Р. Радић, </w:t>
            </w:r>
            <w:r>
              <w:rPr>
                <w:i/>
                <w:color w:val="231F20"/>
                <w:sz w:val="14"/>
              </w:rPr>
              <w:t>Страху позној Византији I-II</w:t>
            </w:r>
            <w:r>
              <w:rPr>
                <w:color w:val="231F20"/>
                <w:sz w:val="14"/>
              </w:rPr>
              <w:t>, Београд 2000.</w:t>
            </w:r>
          </w:p>
          <w:p w:rsidR="00041039" w:rsidRDefault="001B26CB">
            <w:pPr>
              <w:pStyle w:val="TableParagraph"/>
              <w:ind w:left="58"/>
              <w:rPr>
                <w:sz w:val="14"/>
              </w:rPr>
            </w:pPr>
            <w:r>
              <w:rPr>
                <w:color w:val="231F20"/>
                <w:sz w:val="14"/>
              </w:rPr>
              <w:t xml:space="preserve">Р. Радић, </w:t>
            </w:r>
            <w:r>
              <w:rPr>
                <w:i/>
                <w:color w:val="231F20"/>
                <w:sz w:val="14"/>
              </w:rPr>
              <w:t>Византија - пурпур и пергамент</w:t>
            </w:r>
            <w:r>
              <w:rPr>
                <w:color w:val="231F20"/>
                <w:sz w:val="14"/>
              </w:rPr>
              <w:t>, Београд 2006.</w:t>
            </w:r>
          </w:p>
          <w:p w:rsidR="00041039" w:rsidRDefault="001B26CB">
            <w:pPr>
              <w:pStyle w:val="TableParagraph"/>
              <w:ind w:left="58"/>
              <w:rPr>
                <w:sz w:val="14"/>
              </w:rPr>
            </w:pPr>
            <w:r>
              <w:rPr>
                <w:color w:val="231F20"/>
                <w:sz w:val="14"/>
              </w:rPr>
              <w:t xml:space="preserve">Р. Радић, </w:t>
            </w:r>
            <w:r>
              <w:rPr>
                <w:i/>
                <w:color w:val="231F20"/>
                <w:sz w:val="14"/>
              </w:rPr>
              <w:t>Цариград - приче са Босфора</w:t>
            </w:r>
            <w:r>
              <w:rPr>
                <w:color w:val="231F20"/>
                <w:sz w:val="14"/>
              </w:rPr>
              <w:t>, Београд 2007.</w:t>
            </w:r>
          </w:p>
          <w:p w:rsidR="00041039" w:rsidRDefault="001B26CB">
            <w:pPr>
              <w:pStyle w:val="TableParagraph"/>
              <w:ind w:left="58"/>
              <w:rPr>
                <w:sz w:val="14"/>
              </w:rPr>
            </w:pPr>
            <w:r>
              <w:rPr>
                <w:i/>
                <w:color w:val="231F20"/>
                <w:sz w:val="14"/>
              </w:rPr>
              <w:t>Службено одело у Србији у 19. и 20. веку</w:t>
            </w:r>
            <w:r>
              <w:rPr>
                <w:color w:val="231F20"/>
                <w:sz w:val="14"/>
              </w:rPr>
              <w:t>, Београд 2001.</w:t>
            </w:r>
          </w:p>
          <w:p w:rsidR="00041039" w:rsidRDefault="001B26CB">
            <w:pPr>
              <w:pStyle w:val="TableParagraph"/>
              <w:spacing w:line="237" w:lineRule="auto"/>
              <w:ind w:left="58"/>
              <w:rPr>
                <w:sz w:val="14"/>
              </w:rPr>
            </w:pPr>
            <w:r>
              <w:rPr>
                <w:color w:val="231F20"/>
                <w:sz w:val="14"/>
              </w:rPr>
              <w:t xml:space="preserve">Д. Стојановић, </w:t>
            </w:r>
            <w:r>
              <w:rPr>
                <w:i/>
                <w:color w:val="231F20"/>
                <w:sz w:val="14"/>
              </w:rPr>
              <w:t>Калдрма и асфалт</w:t>
            </w:r>
            <w:r>
              <w:rPr>
                <w:i/>
                <w:color w:val="231F20"/>
                <w:sz w:val="14"/>
              </w:rPr>
              <w:t>. Урбанизација и европеизација Београда 1890-1914</w:t>
            </w:r>
            <w:r>
              <w:rPr>
                <w:color w:val="231F20"/>
                <w:sz w:val="14"/>
              </w:rPr>
              <w:t>, Београд 2008.</w:t>
            </w:r>
          </w:p>
        </w:tc>
      </w:tr>
      <w:tr w:rsidR="00041039">
        <w:trPr>
          <w:trHeight w:val="2600"/>
        </w:trPr>
        <w:tc>
          <w:tcPr>
            <w:tcW w:w="1304" w:type="dxa"/>
          </w:tcPr>
          <w:p w:rsidR="00041039" w:rsidRDefault="001B26CB">
            <w:pPr>
              <w:pStyle w:val="TableParagraph"/>
              <w:spacing w:before="21"/>
              <w:ind w:left="56" w:right="360"/>
              <w:rPr>
                <w:sz w:val="14"/>
              </w:rPr>
            </w:pPr>
            <w:r>
              <w:rPr>
                <w:color w:val="231F20"/>
                <w:sz w:val="14"/>
              </w:rPr>
              <w:t>Брига о телу и здрављу кроз историју</w:t>
            </w:r>
          </w:p>
        </w:tc>
        <w:tc>
          <w:tcPr>
            <w:tcW w:w="1587" w:type="dxa"/>
          </w:tcPr>
          <w:p w:rsidR="00041039" w:rsidRDefault="001B26CB">
            <w:pPr>
              <w:pStyle w:val="TableParagraph"/>
              <w:numPr>
                <w:ilvl w:val="0"/>
                <w:numId w:val="1761"/>
              </w:numPr>
              <w:tabs>
                <w:tab w:val="left" w:pos="157"/>
              </w:tabs>
              <w:spacing w:before="11"/>
              <w:ind w:right="82"/>
              <w:jc w:val="both"/>
              <w:rPr>
                <w:sz w:val="14"/>
              </w:rPr>
            </w:pPr>
            <w:r>
              <w:rPr>
                <w:color w:val="231F20"/>
                <w:sz w:val="14"/>
              </w:rPr>
              <w:t>Продубљивање знања о развоју здравствене културе кроз</w:t>
            </w:r>
            <w:r>
              <w:rPr>
                <w:color w:val="231F20"/>
                <w:spacing w:val="-28"/>
                <w:sz w:val="14"/>
              </w:rPr>
              <w:t xml:space="preserve"> </w:t>
            </w:r>
            <w:r>
              <w:rPr>
                <w:color w:val="231F20"/>
                <w:sz w:val="14"/>
              </w:rPr>
              <w:t>историју.</w:t>
            </w:r>
          </w:p>
          <w:p w:rsidR="00041039" w:rsidRDefault="001B26CB">
            <w:pPr>
              <w:pStyle w:val="TableParagraph"/>
              <w:numPr>
                <w:ilvl w:val="0"/>
                <w:numId w:val="1761"/>
              </w:numPr>
              <w:tabs>
                <w:tab w:val="left" w:pos="157"/>
              </w:tabs>
              <w:spacing w:line="157" w:lineRule="exact"/>
              <w:rPr>
                <w:sz w:val="14"/>
              </w:rPr>
            </w:pPr>
            <w:r>
              <w:rPr>
                <w:color w:val="231F20"/>
                <w:spacing w:val="-3"/>
                <w:sz w:val="14"/>
              </w:rPr>
              <w:t xml:space="preserve">Уочавање </w:t>
            </w:r>
            <w:r>
              <w:rPr>
                <w:color w:val="231F20"/>
                <w:sz w:val="14"/>
              </w:rPr>
              <w:t>утицаја еко­</w:t>
            </w:r>
          </w:p>
          <w:p w:rsidR="00041039" w:rsidRDefault="001B26CB">
            <w:pPr>
              <w:pStyle w:val="TableParagraph"/>
              <w:ind w:right="15"/>
              <w:rPr>
                <w:sz w:val="14"/>
              </w:rPr>
            </w:pPr>
            <w:r>
              <w:rPr>
                <w:color w:val="231F20"/>
                <w:sz w:val="14"/>
              </w:rPr>
              <w:t>номског и културног развитка на степен здравствене културе.</w:t>
            </w:r>
          </w:p>
          <w:p w:rsidR="00041039" w:rsidRDefault="001B26CB">
            <w:pPr>
              <w:pStyle w:val="TableParagraph"/>
              <w:numPr>
                <w:ilvl w:val="0"/>
                <w:numId w:val="1761"/>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здравствене културе код Срба.</w:t>
            </w:r>
          </w:p>
        </w:tc>
        <w:tc>
          <w:tcPr>
            <w:tcW w:w="2551" w:type="dxa"/>
          </w:tcPr>
          <w:p w:rsidR="00041039" w:rsidRDefault="001B26CB">
            <w:pPr>
              <w:pStyle w:val="TableParagraph"/>
              <w:numPr>
                <w:ilvl w:val="0"/>
                <w:numId w:val="1760"/>
              </w:numPr>
              <w:tabs>
                <w:tab w:val="left" w:pos="157"/>
              </w:tabs>
              <w:spacing w:before="11"/>
              <w:ind w:right="94" w:hanging="99"/>
              <w:rPr>
                <w:sz w:val="14"/>
              </w:rPr>
            </w:pPr>
            <w:r>
              <w:rPr>
                <w:color w:val="231F20"/>
                <w:sz w:val="14"/>
              </w:rPr>
              <w:t>уочи основна обележја развоја</w:t>
            </w:r>
            <w:r>
              <w:rPr>
                <w:color w:val="231F20"/>
                <w:spacing w:val="-13"/>
                <w:sz w:val="14"/>
              </w:rPr>
              <w:t xml:space="preserve"> </w:t>
            </w:r>
            <w:r>
              <w:rPr>
                <w:color w:val="231F20"/>
                <w:sz w:val="14"/>
              </w:rPr>
              <w:t xml:space="preserve">здравс­ твене културе </w:t>
            </w:r>
            <w:r>
              <w:rPr>
                <w:color w:val="231F20"/>
                <w:spacing w:val="-3"/>
                <w:sz w:val="14"/>
              </w:rPr>
              <w:t xml:space="preserve">од </w:t>
            </w:r>
            <w:r>
              <w:rPr>
                <w:color w:val="231F20"/>
                <w:sz w:val="14"/>
              </w:rPr>
              <w:t>антике до</w:t>
            </w:r>
            <w:r>
              <w:rPr>
                <w:color w:val="231F20"/>
                <w:spacing w:val="-4"/>
                <w:sz w:val="14"/>
              </w:rPr>
              <w:t xml:space="preserve"> </w:t>
            </w:r>
            <w:r>
              <w:rPr>
                <w:color w:val="231F20"/>
                <w:sz w:val="14"/>
              </w:rPr>
              <w:t>данас;</w:t>
            </w:r>
          </w:p>
          <w:p w:rsidR="00041039" w:rsidRDefault="001B26CB">
            <w:pPr>
              <w:pStyle w:val="TableParagraph"/>
              <w:numPr>
                <w:ilvl w:val="0"/>
                <w:numId w:val="1760"/>
              </w:numPr>
              <w:tabs>
                <w:tab w:val="left" w:pos="157"/>
              </w:tabs>
              <w:spacing w:line="160" w:lineRule="exact"/>
              <w:ind w:right="43" w:hanging="99"/>
              <w:rPr>
                <w:sz w:val="14"/>
              </w:rPr>
            </w:pPr>
            <w:r>
              <w:rPr>
                <w:color w:val="231F20"/>
                <w:sz w:val="14"/>
              </w:rPr>
              <w:t xml:space="preserve">уочи основна обележја развоја здрав­ ствене културе </w:t>
            </w:r>
            <w:r>
              <w:rPr>
                <w:color w:val="231F20"/>
                <w:spacing w:val="-5"/>
                <w:sz w:val="14"/>
              </w:rPr>
              <w:t xml:space="preserve">код </w:t>
            </w:r>
            <w:r>
              <w:rPr>
                <w:color w:val="231F20"/>
                <w:sz w:val="14"/>
              </w:rPr>
              <w:t>Срба кроз</w:t>
            </w:r>
            <w:r>
              <w:rPr>
                <w:color w:val="231F20"/>
                <w:spacing w:val="-16"/>
                <w:sz w:val="14"/>
              </w:rPr>
              <w:t xml:space="preserve"> </w:t>
            </w:r>
            <w:r>
              <w:rPr>
                <w:color w:val="231F20"/>
                <w:sz w:val="14"/>
              </w:rPr>
              <w:t>историју;</w:t>
            </w:r>
          </w:p>
          <w:p w:rsidR="00041039" w:rsidRDefault="001B26CB">
            <w:pPr>
              <w:pStyle w:val="TableParagraph"/>
              <w:numPr>
                <w:ilvl w:val="0"/>
                <w:numId w:val="1760"/>
              </w:numPr>
              <w:tabs>
                <w:tab w:val="left" w:pos="157"/>
              </w:tabs>
              <w:spacing w:line="160" w:lineRule="exact"/>
              <w:ind w:right="269" w:hanging="99"/>
              <w:rPr>
                <w:sz w:val="14"/>
              </w:rPr>
            </w:pPr>
            <w:r>
              <w:rPr>
                <w:color w:val="231F20"/>
                <w:sz w:val="14"/>
              </w:rPr>
              <w:t>наведе и упореди различите</w:t>
            </w:r>
            <w:r>
              <w:rPr>
                <w:color w:val="231F20"/>
                <w:spacing w:val="-15"/>
                <w:sz w:val="14"/>
              </w:rPr>
              <w:t xml:space="preserve"> </w:t>
            </w:r>
            <w:r>
              <w:rPr>
                <w:color w:val="231F20"/>
                <w:sz w:val="14"/>
              </w:rPr>
              <w:t>методе лечења кроз</w:t>
            </w:r>
            <w:r>
              <w:rPr>
                <w:color w:val="231F20"/>
                <w:spacing w:val="-1"/>
                <w:sz w:val="14"/>
              </w:rPr>
              <w:t xml:space="preserve"> </w:t>
            </w:r>
            <w:r>
              <w:rPr>
                <w:color w:val="231F20"/>
                <w:sz w:val="14"/>
              </w:rPr>
              <w:t>историју;</w:t>
            </w:r>
          </w:p>
          <w:p w:rsidR="00041039" w:rsidRDefault="001B26CB">
            <w:pPr>
              <w:pStyle w:val="TableParagraph"/>
              <w:numPr>
                <w:ilvl w:val="0"/>
                <w:numId w:val="1760"/>
              </w:numPr>
              <w:tabs>
                <w:tab w:val="left" w:pos="157"/>
              </w:tabs>
              <w:spacing w:line="160" w:lineRule="exact"/>
              <w:ind w:right="76" w:hanging="99"/>
              <w:rPr>
                <w:sz w:val="14"/>
              </w:rPr>
            </w:pPr>
            <w:r>
              <w:rPr>
                <w:color w:val="231F20"/>
                <w:sz w:val="14"/>
              </w:rPr>
              <w:t>разуме повезаност степена</w:t>
            </w:r>
            <w:r>
              <w:rPr>
                <w:color w:val="231F20"/>
                <w:spacing w:val="-24"/>
                <w:sz w:val="14"/>
              </w:rPr>
              <w:t xml:space="preserve"> </w:t>
            </w:r>
            <w:r>
              <w:rPr>
                <w:color w:val="231F20"/>
                <w:sz w:val="14"/>
              </w:rPr>
              <w:t>економског и културног развитка и здравствене културе;</w:t>
            </w:r>
          </w:p>
          <w:p w:rsidR="00041039" w:rsidRDefault="001B26CB">
            <w:pPr>
              <w:pStyle w:val="TableParagraph"/>
              <w:numPr>
                <w:ilvl w:val="0"/>
                <w:numId w:val="1760"/>
              </w:numPr>
              <w:tabs>
                <w:tab w:val="left" w:pos="157"/>
              </w:tabs>
              <w:spacing w:line="160" w:lineRule="exact"/>
              <w:ind w:right="94" w:hanging="99"/>
              <w:rPr>
                <w:sz w:val="14"/>
              </w:rPr>
            </w:pPr>
            <w:r>
              <w:rPr>
                <w:color w:val="231F20"/>
                <w:sz w:val="14"/>
              </w:rPr>
              <w:t>разуме значај хуманитарних</w:t>
            </w:r>
            <w:r>
              <w:rPr>
                <w:color w:val="231F20"/>
                <w:spacing w:val="-20"/>
                <w:sz w:val="14"/>
              </w:rPr>
              <w:t xml:space="preserve"> </w:t>
            </w:r>
            <w:r>
              <w:rPr>
                <w:color w:val="231F20"/>
                <w:sz w:val="14"/>
              </w:rPr>
              <w:t>организа­ ција и њиховог</w:t>
            </w:r>
            <w:r>
              <w:rPr>
                <w:color w:val="231F20"/>
                <w:spacing w:val="-4"/>
                <w:sz w:val="14"/>
              </w:rPr>
              <w:t xml:space="preserve"> </w:t>
            </w:r>
            <w:r>
              <w:rPr>
                <w:color w:val="231F20"/>
                <w:sz w:val="14"/>
              </w:rPr>
              <w:t>деловања;</w:t>
            </w:r>
          </w:p>
        </w:tc>
        <w:tc>
          <w:tcPr>
            <w:tcW w:w="2834" w:type="dxa"/>
          </w:tcPr>
          <w:p w:rsidR="00041039" w:rsidRDefault="001B26CB">
            <w:pPr>
              <w:pStyle w:val="TableParagraph"/>
              <w:numPr>
                <w:ilvl w:val="0"/>
                <w:numId w:val="1759"/>
              </w:numPr>
              <w:tabs>
                <w:tab w:val="left" w:pos="157"/>
              </w:tabs>
              <w:spacing w:before="11"/>
              <w:ind w:right="47" w:hanging="99"/>
              <w:rPr>
                <w:sz w:val="14"/>
              </w:rPr>
            </w:pPr>
            <w:r>
              <w:rPr>
                <w:color w:val="231F20"/>
                <w:sz w:val="14"/>
              </w:rPr>
              <w:t xml:space="preserve">Брига о телу и здрављу </w:t>
            </w:r>
            <w:r>
              <w:rPr>
                <w:color w:val="231F20"/>
                <w:spacing w:val="-3"/>
                <w:sz w:val="14"/>
              </w:rPr>
              <w:t xml:space="preserve">од </w:t>
            </w:r>
            <w:r>
              <w:rPr>
                <w:color w:val="231F20"/>
                <w:sz w:val="14"/>
              </w:rPr>
              <w:t xml:space="preserve">антике до данас(болести људи, хигијенски услови, епидемије, развој медицине, </w:t>
            </w:r>
            <w:r>
              <w:rPr>
                <w:color w:val="231F20"/>
                <w:sz w:val="14"/>
              </w:rPr>
              <w:t>медицински инструменти, лекови и лековито биље, здравствене установе ­ манастирске болни­ це, санаторијуми, стационари, домови</w:t>
            </w:r>
            <w:r>
              <w:rPr>
                <w:color w:val="231F20"/>
                <w:spacing w:val="-14"/>
                <w:sz w:val="14"/>
              </w:rPr>
              <w:t xml:space="preserve"> </w:t>
            </w:r>
            <w:r>
              <w:rPr>
                <w:color w:val="231F20"/>
                <w:sz w:val="14"/>
              </w:rPr>
              <w:t>здра­ вља, апотеке; начини здравствене заштите и превентиве, хуманитарне</w:t>
            </w:r>
            <w:r>
              <w:rPr>
                <w:color w:val="231F20"/>
                <w:spacing w:val="-8"/>
                <w:sz w:val="14"/>
              </w:rPr>
              <w:t xml:space="preserve"> </w:t>
            </w:r>
            <w:r>
              <w:rPr>
                <w:color w:val="231F20"/>
                <w:sz w:val="14"/>
              </w:rPr>
              <w:t>организације).</w:t>
            </w:r>
          </w:p>
          <w:p w:rsidR="00041039" w:rsidRDefault="001B26CB">
            <w:pPr>
              <w:pStyle w:val="TableParagraph"/>
              <w:numPr>
                <w:ilvl w:val="0"/>
                <w:numId w:val="1759"/>
              </w:numPr>
              <w:tabs>
                <w:tab w:val="left" w:pos="157"/>
              </w:tabs>
              <w:spacing w:line="153" w:lineRule="exact"/>
              <w:ind w:hanging="99"/>
              <w:rPr>
                <w:sz w:val="14"/>
              </w:rPr>
            </w:pPr>
            <w:r>
              <w:rPr>
                <w:color w:val="231F20"/>
                <w:sz w:val="14"/>
              </w:rPr>
              <w:t xml:space="preserve">Брига о телу и здрављу </w:t>
            </w:r>
            <w:r>
              <w:rPr>
                <w:color w:val="231F20"/>
                <w:spacing w:val="-5"/>
                <w:sz w:val="14"/>
              </w:rPr>
              <w:t xml:space="preserve">код </w:t>
            </w:r>
            <w:r>
              <w:rPr>
                <w:color w:val="231F20"/>
                <w:sz w:val="14"/>
              </w:rPr>
              <w:t>Срба</w:t>
            </w:r>
            <w:r>
              <w:rPr>
                <w:color w:val="231F20"/>
                <w:spacing w:val="-5"/>
                <w:sz w:val="14"/>
              </w:rPr>
              <w:t xml:space="preserve"> </w:t>
            </w:r>
            <w:r>
              <w:rPr>
                <w:color w:val="231F20"/>
                <w:sz w:val="14"/>
              </w:rPr>
              <w:t>(утицај</w:t>
            </w:r>
          </w:p>
          <w:p w:rsidR="00041039" w:rsidRDefault="001B26CB">
            <w:pPr>
              <w:pStyle w:val="TableParagraph"/>
              <w:spacing w:line="237" w:lineRule="auto"/>
              <w:rPr>
                <w:sz w:val="14"/>
              </w:rPr>
            </w:pPr>
            <w:r>
              <w:rPr>
                <w:color w:val="231F20"/>
                <w:sz w:val="14"/>
              </w:rPr>
              <w:t>животних услова и хигијенских прилика на појаву болести; најчешће болести и епиде­ 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w:t>
            </w:r>
            <w:r>
              <w:rPr>
                <w:color w:val="231F20"/>
                <w:sz w:val="14"/>
              </w:rPr>
              <w:t>у...).</w:t>
            </w:r>
          </w:p>
        </w:tc>
        <w:tc>
          <w:tcPr>
            <w:tcW w:w="2267" w:type="dxa"/>
            <w:vMerge/>
            <w:tcBorders>
              <w:top w:val="nil"/>
            </w:tcBorders>
          </w:tcPr>
          <w:p w:rsidR="00041039" w:rsidRDefault="00041039">
            <w:pPr>
              <w:rPr>
                <w:sz w:val="2"/>
                <w:szCs w:val="2"/>
              </w:rPr>
            </w:pPr>
          </w:p>
        </w:tc>
      </w:tr>
      <w:tr w:rsidR="00041039">
        <w:trPr>
          <w:trHeight w:val="5859"/>
        </w:trPr>
        <w:tc>
          <w:tcPr>
            <w:tcW w:w="1304" w:type="dxa"/>
          </w:tcPr>
          <w:p w:rsidR="00041039" w:rsidRDefault="001B26CB">
            <w:pPr>
              <w:pStyle w:val="TableParagraph"/>
              <w:spacing w:before="21"/>
              <w:ind w:left="56" w:right="37"/>
              <w:rPr>
                <w:sz w:val="14"/>
              </w:rPr>
            </w:pPr>
            <w:r>
              <w:rPr>
                <w:color w:val="231F20"/>
                <w:sz w:val="14"/>
              </w:rPr>
              <w:t>Грбови и заставе некад и сад</w:t>
            </w:r>
          </w:p>
        </w:tc>
        <w:tc>
          <w:tcPr>
            <w:tcW w:w="1587" w:type="dxa"/>
          </w:tcPr>
          <w:p w:rsidR="00041039" w:rsidRDefault="001B26CB">
            <w:pPr>
              <w:pStyle w:val="TableParagraph"/>
              <w:numPr>
                <w:ilvl w:val="0"/>
                <w:numId w:val="1758"/>
              </w:numPr>
              <w:tabs>
                <w:tab w:val="left" w:pos="157"/>
              </w:tabs>
              <w:spacing w:before="11"/>
              <w:ind w:right="113"/>
              <w:rPr>
                <w:sz w:val="14"/>
              </w:rPr>
            </w:pPr>
            <w:r>
              <w:rPr>
                <w:color w:val="231F20"/>
                <w:sz w:val="14"/>
              </w:rPr>
              <w:t>Продубљивање</w:t>
            </w:r>
            <w:r>
              <w:rPr>
                <w:color w:val="231F20"/>
                <w:spacing w:val="-13"/>
                <w:sz w:val="14"/>
              </w:rPr>
              <w:t xml:space="preserve"> </w:t>
            </w:r>
            <w:r>
              <w:rPr>
                <w:color w:val="231F20"/>
                <w:sz w:val="14"/>
              </w:rPr>
              <w:t>знања о развоју грбова и застава и њиховом значају у</w:t>
            </w:r>
            <w:r>
              <w:rPr>
                <w:color w:val="231F20"/>
                <w:spacing w:val="-4"/>
                <w:sz w:val="14"/>
              </w:rPr>
              <w:t xml:space="preserve"> </w:t>
            </w:r>
            <w:r>
              <w:rPr>
                <w:color w:val="231F20"/>
                <w:sz w:val="14"/>
              </w:rPr>
              <w:t>историји.</w:t>
            </w:r>
          </w:p>
          <w:p w:rsidR="00041039" w:rsidRDefault="001B26CB">
            <w:pPr>
              <w:pStyle w:val="TableParagraph"/>
              <w:numPr>
                <w:ilvl w:val="0"/>
                <w:numId w:val="1758"/>
              </w:numPr>
              <w:tabs>
                <w:tab w:val="left" w:pos="157"/>
              </w:tabs>
              <w:spacing w:line="156" w:lineRule="exact"/>
              <w:rPr>
                <w:sz w:val="14"/>
              </w:rPr>
            </w:pPr>
            <w:r>
              <w:rPr>
                <w:color w:val="231F20"/>
                <w:sz w:val="14"/>
              </w:rPr>
              <w:t>Упознавањеса</w:t>
            </w:r>
          </w:p>
          <w:p w:rsidR="00041039" w:rsidRDefault="001B26CB">
            <w:pPr>
              <w:pStyle w:val="TableParagraph"/>
              <w:ind w:right="20"/>
              <w:rPr>
                <w:sz w:val="14"/>
              </w:rPr>
            </w:pPr>
            <w:r>
              <w:rPr>
                <w:color w:val="231F20"/>
                <w:sz w:val="14"/>
              </w:rPr>
              <w:t>развојем, улогом и зна­ чајем грбова и застава у прошлости српског народа.</w:t>
            </w:r>
          </w:p>
        </w:tc>
        <w:tc>
          <w:tcPr>
            <w:tcW w:w="2551" w:type="dxa"/>
          </w:tcPr>
          <w:p w:rsidR="00041039" w:rsidRDefault="001B26CB">
            <w:pPr>
              <w:pStyle w:val="TableParagraph"/>
              <w:numPr>
                <w:ilvl w:val="0"/>
                <w:numId w:val="1757"/>
              </w:numPr>
              <w:tabs>
                <w:tab w:val="left" w:pos="157"/>
              </w:tabs>
              <w:spacing w:before="11"/>
              <w:ind w:right="131" w:hanging="99"/>
              <w:rPr>
                <w:sz w:val="14"/>
              </w:rPr>
            </w:pPr>
            <w:r>
              <w:rPr>
                <w:color w:val="231F20"/>
                <w:sz w:val="14"/>
              </w:rPr>
              <w:t>уочи основна обележја развоја</w:t>
            </w:r>
            <w:r>
              <w:rPr>
                <w:color w:val="231F20"/>
                <w:spacing w:val="-15"/>
                <w:sz w:val="14"/>
              </w:rPr>
              <w:t xml:space="preserve"> </w:t>
            </w:r>
            <w:r>
              <w:rPr>
                <w:color w:val="231F20"/>
                <w:sz w:val="14"/>
              </w:rPr>
              <w:t>грбова и застава кроз</w:t>
            </w:r>
            <w:r>
              <w:rPr>
                <w:color w:val="231F20"/>
                <w:spacing w:val="-3"/>
                <w:sz w:val="14"/>
              </w:rPr>
              <w:t xml:space="preserve"> </w:t>
            </w:r>
            <w:r>
              <w:rPr>
                <w:color w:val="231F20"/>
                <w:sz w:val="14"/>
              </w:rPr>
              <w:t>историју;</w:t>
            </w:r>
          </w:p>
          <w:p w:rsidR="00041039" w:rsidRDefault="001B26CB">
            <w:pPr>
              <w:pStyle w:val="TableParagraph"/>
              <w:numPr>
                <w:ilvl w:val="0"/>
                <w:numId w:val="1757"/>
              </w:numPr>
              <w:tabs>
                <w:tab w:val="left" w:pos="157"/>
              </w:tabs>
              <w:spacing w:before="1" w:line="160" w:lineRule="exact"/>
              <w:ind w:right="131" w:hanging="99"/>
              <w:rPr>
                <w:sz w:val="14"/>
              </w:rPr>
            </w:pPr>
            <w:r>
              <w:rPr>
                <w:color w:val="231F20"/>
                <w:sz w:val="14"/>
              </w:rPr>
              <w:t>уочи основна обележја развоја</w:t>
            </w:r>
            <w:r>
              <w:rPr>
                <w:color w:val="231F20"/>
                <w:spacing w:val="-15"/>
                <w:sz w:val="14"/>
              </w:rPr>
              <w:t xml:space="preserve"> </w:t>
            </w:r>
            <w:r>
              <w:rPr>
                <w:color w:val="231F20"/>
                <w:sz w:val="14"/>
              </w:rPr>
              <w:t xml:space="preserve">грбова и застава </w:t>
            </w:r>
            <w:r>
              <w:rPr>
                <w:color w:val="231F20"/>
                <w:spacing w:val="-5"/>
                <w:sz w:val="14"/>
              </w:rPr>
              <w:t xml:space="preserve">код </w:t>
            </w:r>
            <w:r>
              <w:rPr>
                <w:color w:val="231F20"/>
                <w:sz w:val="14"/>
              </w:rPr>
              <w:t>Срба кроз историју;</w:t>
            </w:r>
          </w:p>
          <w:p w:rsidR="00041039" w:rsidRDefault="001B26CB">
            <w:pPr>
              <w:pStyle w:val="TableParagraph"/>
              <w:numPr>
                <w:ilvl w:val="0"/>
                <w:numId w:val="1757"/>
              </w:numPr>
              <w:tabs>
                <w:tab w:val="left" w:pos="157"/>
              </w:tabs>
              <w:spacing w:line="160" w:lineRule="exact"/>
              <w:ind w:right="292" w:hanging="99"/>
              <w:rPr>
                <w:sz w:val="14"/>
              </w:rPr>
            </w:pPr>
            <w:r>
              <w:rPr>
                <w:color w:val="231F20"/>
                <w:sz w:val="14"/>
              </w:rPr>
              <w:t>изведе закључак о значају грбова</w:t>
            </w:r>
            <w:r>
              <w:rPr>
                <w:color w:val="231F20"/>
                <w:spacing w:val="-25"/>
                <w:sz w:val="14"/>
              </w:rPr>
              <w:t xml:space="preserve"> </w:t>
            </w:r>
            <w:r>
              <w:rPr>
                <w:color w:val="231F20"/>
                <w:sz w:val="14"/>
              </w:rPr>
              <w:t>и застава кроз</w:t>
            </w:r>
            <w:r>
              <w:rPr>
                <w:color w:val="231F20"/>
                <w:spacing w:val="-1"/>
                <w:sz w:val="14"/>
              </w:rPr>
              <w:t xml:space="preserve"> </w:t>
            </w:r>
            <w:r>
              <w:rPr>
                <w:color w:val="231F20"/>
                <w:sz w:val="14"/>
              </w:rPr>
              <w:t>историју;</w:t>
            </w:r>
          </w:p>
          <w:p w:rsidR="00041039" w:rsidRDefault="001B26CB">
            <w:pPr>
              <w:pStyle w:val="TableParagraph"/>
              <w:numPr>
                <w:ilvl w:val="0"/>
                <w:numId w:val="1757"/>
              </w:numPr>
              <w:tabs>
                <w:tab w:val="left" w:pos="157"/>
              </w:tabs>
              <w:spacing w:line="153" w:lineRule="exact"/>
              <w:ind w:hanging="99"/>
              <w:rPr>
                <w:sz w:val="14"/>
              </w:rPr>
            </w:pPr>
            <w:r>
              <w:rPr>
                <w:color w:val="231F20"/>
                <w:sz w:val="14"/>
              </w:rPr>
              <w:t>наведе најчешће хералдичке</w:t>
            </w:r>
            <w:r>
              <w:rPr>
                <w:color w:val="231F20"/>
                <w:spacing w:val="-13"/>
                <w:sz w:val="14"/>
              </w:rPr>
              <w:t xml:space="preserve"> </w:t>
            </w:r>
            <w:r>
              <w:rPr>
                <w:color w:val="231F20"/>
                <w:sz w:val="14"/>
              </w:rPr>
              <w:t>симболе;</w:t>
            </w:r>
          </w:p>
          <w:p w:rsidR="00041039" w:rsidRDefault="001B26CB">
            <w:pPr>
              <w:pStyle w:val="TableParagraph"/>
              <w:numPr>
                <w:ilvl w:val="0"/>
                <w:numId w:val="1757"/>
              </w:numPr>
              <w:tabs>
                <w:tab w:val="left" w:pos="157"/>
              </w:tabs>
              <w:spacing w:line="237" w:lineRule="auto"/>
              <w:ind w:right="233" w:hanging="99"/>
              <w:rPr>
                <w:sz w:val="14"/>
              </w:rPr>
            </w:pPr>
            <w:r>
              <w:rPr>
                <w:color w:val="231F20"/>
                <w:sz w:val="14"/>
              </w:rPr>
              <w:t xml:space="preserve">опише </w:t>
            </w:r>
            <w:r>
              <w:rPr>
                <w:color w:val="231F20"/>
                <w:spacing w:val="-3"/>
                <w:sz w:val="14"/>
              </w:rPr>
              <w:t xml:space="preserve">изглед </w:t>
            </w:r>
            <w:r>
              <w:rPr>
                <w:color w:val="231F20"/>
                <w:sz w:val="14"/>
              </w:rPr>
              <w:t>и порекло савременог српског грба и</w:t>
            </w:r>
            <w:r>
              <w:rPr>
                <w:color w:val="231F20"/>
                <w:spacing w:val="-4"/>
                <w:sz w:val="14"/>
              </w:rPr>
              <w:t xml:space="preserve"> </w:t>
            </w:r>
            <w:r>
              <w:rPr>
                <w:color w:val="231F20"/>
                <w:sz w:val="14"/>
              </w:rPr>
              <w:t>заставе;</w:t>
            </w:r>
          </w:p>
        </w:tc>
        <w:tc>
          <w:tcPr>
            <w:tcW w:w="2834" w:type="dxa"/>
          </w:tcPr>
          <w:p w:rsidR="00041039" w:rsidRDefault="001B26CB">
            <w:pPr>
              <w:pStyle w:val="TableParagraph"/>
              <w:numPr>
                <w:ilvl w:val="0"/>
                <w:numId w:val="1756"/>
              </w:numPr>
              <w:tabs>
                <w:tab w:val="left" w:pos="158"/>
              </w:tabs>
              <w:spacing w:before="11"/>
              <w:ind w:right="131"/>
              <w:rPr>
                <w:sz w:val="14"/>
              </w:rPr>
            </w:pPr>
            <w:r>
              <w:rPr>
                <w:color w:val="231F20"/>
                <w:spacing w:val="-4"/>
                <w:sz w:val="14"/>
              </w:rPr>
              <w:t xml:space="preserve">Улога </w:t>
            </w:r>
            <w:r>
              <w:rPr>
                <w:color w:val="231F20"/>
                <w:sz w:val="14"/>
              </w:rPr>
              <w:t>и значај грбова и застава (као симбола државе, нације, владара, војске, града, установе, предузећа, политичке организације, спортског друштва...;</w:t>
            </w:r>
            <w:r>
              <w:rPr>
                <w:color w:val="231F20"/>
                <w:spacing w:val="-17"/>
                <w:sz w:val="14"/>
              </w:rPr>
              <w:t xml:space="preserve"> </w:t>
            </w:r>
            <w:r>
              <w:rPr>
                <w:color w:val="231F20"/>
                <w:sz w:val="14"/>
              </w:rPr>
              <w:t>појава грбова у XII веку ­ породични грбови на штитовима као начин распознавања вите­ зова на турнирима и у ра</w:t>
            </w:r>
            <w:r>
              <w:rPr>
                <w:color w:val="231F20"/>
                <w:sz w:val="14"/>
              </w:rPr>
              <w:t xml:space="preserve">тним походима; грбови на заставама, </w:t>
            </w:r>
            <w:r>
              <w:rPr>
                <w:color w:val="231F20"/>
                <w:spacing w:val="-4"/>
                <w:sz w:val="14"/>
              </w:rPr>
              <w:t xml:space="preserve">новцу, </w:t>
            </w:r>
            <w:r>
              <w:rPr>
                <w:color w:val="231F20"/>
                <w:sz w:val="14"/>
              </w:rPr>
              <w:t>печатима, поштанским маркама, споменицима, шлемовима...; најчешћи хералдички симболи;</w:t>
            </w:r>
            <w:r>
              <w:rPr>
                <w:color w:val="231F20"/>
                <w:spacing w:val="-6"/>
                <w:sz w:val="14"/>
              </w:rPr>
              <w:t xml:space="preserve"> </w:t>
            </w:r>
            <w:r>
              <w:rPr>
                <w:color w:val="231F20"/>
                <w:sz w:val="14"/>
              </w:rPr>
              <w:t>појава</w:t>
            </w:r>
            <w:r>
              <w:rPr>
                <w:color w:val="231F20"/>
                <w:spacing w:val="-5"/>
                <w:sz w:val="14"/>
              </w:rPr>
              <w:t xml:space="preserve"> </w:t>
            </w:r>
            <w:r>
              <w:rPr>
                <w:color w:val="231F20"/>
                <w:sz w:val="14"/>
              </w:rPr>
              <w:t>првих</w:t>
            </w:r>
            <w:r>
              <w:rPr>
                <w:color w:val="231F20"/>
                <w:spacing w:val="-6"/>
                <w:sz w:val="14"/>
              </w:rPr>
              <w:t xml:space="preserve"> </w:t>
            </w:r>
            <w:r>
              <w:rPr>
                <w:color w:val="231F20"/>
                <w:sz w:val="14"/>
              </w:rPr>
              <w:t>застава</w:t>
            </w:r>
            <w:r>
              <w:rPr>
                <w:color w:val="231F20"/>
                <w:spacing w:val="-5"/>
                <w:sz w:val="14"/>
              </w:rPr>
              <w:t xml:space="preserve"> </w:t>
            </w:r>
            <w:r>
              <w:rPr>
                <w:color w:val="231F20"/>
                <w:sz w:val="14"/>
              </w:rPr>
              <w:t>­</w:t>
            </w:r>
            <w:r>
              <w:rPr>
                <w:color w:val="231F20"/>
                <w:spacing w:val="-5"/>
                <w:sz w:val="14"/>
              </w:rPr>
              <w:t xml:space="preserve"> </w:t>
            </w:r>
            <w:r>
              <w:rPr>
                <w:i/>
                <w:color w:val="231F20"/>
                <w:sz w:val="14"/>
              </w:rPr>
              <w:t>вексилум</w:t>
            </w:r>
            <w:r>
              <w:rPr>
                <w:i/>
                <w:color w:val="231F20"/>
                <w:spacing w:val="-5"/>
                <w:sz w:val="14"/>
              </w:rPr>
              <w:t xml:space="preserve"> </w:t>
            </w:r>
            <w:r>
              <w:rPr>
                <w:color w:val="231F20"/>
                <w:sz w:val="14"/>
              </w:rPr>
              <w:t xml:space="preserve">­ застава римских царева, </w:t>
            </w:r>
            <w:r>
              <w:rPr>
                <w:i/>
                <w:color w:val="231F20"/>
                <w:sz w:val="14"/>
              </w:rPr>
              <w:t xml:space="preserve">лабарум </w:t>
            </w:r>
            <w:r>
              <w:rPr>
                <w:color w:val="231F20"/>
                <w:sz w:val="14"/>
              </w:rPr>
              <w:t>­ застава Константина Великог; основни елементи застава).</w:t>
            </w:r>
          </w:p>
          <w:p w:rsidR="00041039" w:rsidRDefault="001B26CB">
            <w:pPr>
              <w:pStyle w:val="TableParagraph"/>
              <w:numPr>
                <w:ilvl w:val="0"/>
                <w:numId w:val="1756"/>
              </w:numPr>
              <w:tabs>
                <w:tab w:val="left" w:pos="158"/>
              </w:tabs>
              <w:spacing w:line="147" w:lineRule="exact"/>
              <w:rPr>
                <w:sz w:val="14"/>
              </w:rPr>
            </w:pPr>
            <w:r>
              <w:rPr>
                <w:color w:val="231F20"/>
                <w:sz w:val="14"/>
              </w:rPr>
              <w:t>Грб</w:t>
            </w:r>
            <w:r>
              <w:rPr>
                <w:color w:val="231F20"/>
                <w:sz w:val="14"/>
              </w:rPr>
              <w:t>ови и заставе у прошлости</w:t>
            </w:r>
            <w:r>
              <w:rPr>
                <w:color w:val="231F20"/>
                <w:spacing w:val="-8"/>
                <w:sz w:val="14"/>
              </w:rPr>
              <w:t xml:space="preserve"> </w:t>
            </w:r>
            <w:r>
              <w:rPr>
                <w:color w:val="231F20"/>
                <w:sz w:val="14"/>
              </w:rPr>
              <w:t>српског</w:t>
            </w:r>
          </w:p>
          <w:p w:rsidR="00041039" w:rsidRDefault="001B26CB">
            <w:pPr>
              <w:pStyle w:val="TableParagraph"/>
              <w:ind w:left="157" w:right="238"/>
              <w:rPr>
                <w:sz w:val="14"/>
              </w:rPr>
            </w:pPr>
            <w:r>
              <w:rPr>
                <w:color w:val="231F20"/>
                <w:sz w:val="14"/>
              </w:rPr>
              <w:t>народа (порекло савременог српског грба и заставе, значење четири оцила,</w:t>
            </w:r>
          </w:p>
          <w:p w:rsidR="00041039" w:rsidRDefault="001B26CB">
            <w:pPr>
              <w:pStyle w:val="TableParagraph"/>
              <w:ind w:left="157"/>
              <w:rPr>
                <w:sz w:val="14"/>
              </w:rPr>
            </w:pPr>
            <w:r>
              <w:rPr>
                <w:color w:val="231F20"/>
                <w:sz w:val="14"/>
              </w:rPr>
              <w:t>најчешћи хералдички симболи на грбовима српских нововековних и средњовеков­</w:t>
            </w:r>
          </w:p>
          <w:p w:rsidR="00041039" w:rsidRDefault="001B26CB">
            <w:pPr>
              <w:pStyle w:val="TableParagraph"/>
              <w:ind w:left="157" w:right="144"/>
              <w:rPr>
                <w:sz w:val="14"/>
              </w:rPr>
            </w:pPr>
            <w:r>
              <w:rPr>
                <w:color w:val="231F20"/>
                <w:sz w:val="14"/>
              </w:rPr>
              <w:t>них држава и династија и властелинских породица ­ двоглави бели орао</w:t>
            </w:r>
            <w:r>
              <w:rPr>
                <w:color w:val="231F20"/>
                <w:spacing w:val="-26"/>
                <w:sz w:val="14"/>
              </w:rPr>
              <w:t xml:space="preserve"> </w:t>
            </w:r>
            <w:r>
              <w:rPr>
                <w:color w:val="231F20"/>
                <w:sz w:val="14"/>
              </w:rPr>
              <w:t>Немањића, Лазаревића, Карађорђевића, Обреновића и Петровића­Његоша, лав Бранковића</w:t>
            </w:r>
            <w:r>
              <w:rPr>
                <w:color w:val="231F20"/>
                <w:spacing w:val="-12"/>
                <w:sz w:val="14"/>
              </w:rPr>
              <w:t xml:space="preserve"> </w:t>
            </w:r>
            <w:r>
              <w:rPr>
                <w:color w:val="231F20"/>
                <w:sz w:val="14"/>
              </w:rPr>
              <w:t>и</w:t>
            </w:r>
          </w:p>
          <w:p w:rsidR="00041039" w:rsidRDefault="001B26CB">
            <w:pPr>
              <w:pStyle w:val="TableParagraph"/>
              <w:spacing w:line="237" w:lineRule="auto"/>
              <w:ind w:left="157"/>
              <w:rPr>
                <w:sz w:val="14"/>
              </w:rPr>
            </w:pPr>
            <w:r>
              <w:rPr>
                <w:color w:val="231F20"/>
                <w:sz w:val="14"/>
              </w:rPr>
              <w:t>Петровића­Његоша, вук Балшића, љиљани Котроманића...).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4840"/>
        </w:trPr>
        <w:tc>
          <w:tcPr>
            <w:tcW w:w="1304" w:type="dxa"/>
          </w:tcPr>
          <w:p w:rsidR="00041039" w:rsidRDefault="001B26CB">
            <w:pPr>
              <w:pStyle w:val="TableParagraph"/>
              <w:spacing w:before="18"/>
              <w:ind w:left="56"/>
              <w:rPr>
                <w:sz w:val="14"/>
              </w:rPr>
            </w:pPr>
            <w:r>
              <w:rPr>
                <w:color w:val="231F20"/>
                <w:sz w:val="14"/>
              </w:rPr>
              <w:lastRenderedPageBreak/>
              <w:t>Спорт некад и сад</w:t>
            </w:r>
          </w:p>
        </w:tc>
        <w:tc>
          <w:tcPr>
            <w:tcW w:w="1587" w:type="dxa"/>
          </w:tcPr>
          <w:p w:rsidR="00041039" w:rsidRDefault="001B26CB">
            <w:pPr>
              <w:pStyle w:val="TableParagraph"/>
              <w:numPr>
                <w:ilvl w:val="0"/>
                <w:numId w:val="1755"/>
              </w:numPr>
              <w:tabs>
                <w:tab w:val="left" w:pos="157"/>
              </w:tabs>
              <w:spacing w:before="8"/>
              <w:ind w:right="114"/>
              <w:rPr>
                <w:sz w:val="14"/>
              </w:rPr>
            </w:pPr>
            <w:r>
              <w:rPr>
                <w:color w:val="231F20"/>
                <w:sz w:val="14"/>
              </w:rPr>
              <w:t>Проширивање знања о развоју спортског живота кроз</w:t>
            </w:r>
            <w:r>
              <w:rPr>
                <w:color w:val="231F20"/>
                <w:spacing w:val="-19"/>
                <w:sz w:val="14"/>
              </w:rPr>
              <w:t xml:space="preserve"> </w:t>
            </w:r>
            <w:r>
              <w:rPr>
                <w:color w:val="231F20"/>
                <w:sz w:val="14"/>
              </w:rPr>
              <w:t>историју.</w:t>
            </w:r>
          </w:p>
          <w:p w:rsidR="00041039" w:rsidRDefault="001B26CB">
            <w:pPr>
              <w:pStyle w:val="TableParagraph"/>
              <w:numPr>
                <w:ilvl w:val="0"/>
                <w:numId w:val="1755"/>
              </w:numPr>
              <w:tabs>
                <w:tab w:val="left" w:pos="157"/>
              </w:tabs>
              <w:spacing w:line="157" w:lineRule="exact"/>
              <w:rPr>
                <w:sz w:val="14"/>
              </w:rPr>
            </w:pPr>
            <w:r>
              <w:rPr>
                <w:color w:val="231F20"/>
                <w:spacing w:val="-3"/>
                <w:sz w:val="14"/>
              </w:rPr>
              <w:t>Уочавање</w:t>
            </w:r>
            <w:r>
              <w:rPr>
                <w:color w:val="231F20"/>
                <w:sz w:val="14"/>
              </w:rPr>
              <w:t xml:space="preserve"> сличности</w:t>
            </w:r>
          </w:p>
          <w:p w:rsidR="00041039" w:rsidRDefault="001B26CB">
            <w:pPr>
              <w:pStyle w:val="TableParagraph"/>
              <w:ind w:right="82"/>
              <w:rPr>
                <w:sz w:val="14"/>
              </w:rPr>
            </w:pPr>
            <w:r>
              <w:rPr>
                <w:color w:val="231F20"/>
                <w:sz w:val="14"/>
              </w:rPr>
              <w:t>и разлика успортски­ миграма инадметањи­ манекад и сад.</w:t>
            </w:r>
          </w:p>
          <w:p w:rsidR="00041039" w:rsidRDefault="001B26CB">
            <w:pPr>
              <w:pStyle w:val="TableParagraph"/>
              <w:numPr>
                <w:ilvl w:val="0"/>
                <w:numId w:val="1755"/>
              </w:numPr>
              <w:tabs>
                <w:tab w:val="left" w:pos="157"/>
              </w:tabs>
              <w:spacing w:line="158"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18"/>
              <w:rPr>
                <w:sz w:val="14"/>
              </w:rPr>
            </w:pPr>
            <w:r>
              <w:rPr>
                <w:color w:val="231F20"/>
                <w:sz w:val="14"/>
              </w:rPr>
              <w:t>развојуспортскогживо­ та кодСрба.</w:t>
            </w:r>
          </w:p>
        </w:tc>
        <w:tc>
          <w:tcPr>
            <w:tcW w:w="2551" w:type="dxa"/>
          </w:tcPr>
          <w:p w:rsidR="00041039" w:rsidRDefault="001B26CB">
            <w:pPr>
              <w:pStyle w:val="TableParagraph"/>
              <w:numPr>
                <w:ilvl w:val="0"/>
                <w:numId w:val="1754"/>
              </w:numPr>
              <w:tabs>
                <w:tab w:val="left" w:pos="157"/>
              </w:tabs>
              <w:spacing w:before="8"/>
              <w:ind w:right="411" w:hanging="99"/>
              <w:rPr>
                <w:sz w:val="14"/>
              </w:rPr>
            </w:pPr>
            <w:r>
              <w:rPr>
                <w:color w:val="231F20"/>
                <w:sz w:val="14"/>
              </w:rPr>
              <w:t>уочи основна обележја спорта</w:t>
            </w:r>
            <w:r>
              <w:rPr>
                <w:color w:val="231F20"/>
                <w:spacing w:val="-7"/>
                <w:sz w:val="14"/>
              </w:rPr>
              <w:t xml:space="preserve">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1754"/>
              </w:numPr>
              <w:tabs>
                <w:tab w:val="left" w:pos="157"/>
              </w:tabs>
              <w:spacing w:line="160" w:lineRule="exact"/>
              <w:ind w:right="253" w:hanging="99"/>
              <w:rPr>
                <w:sz w:val="14"/>
              </w:rPr>
            </w:pPr>
            <w:r>
              <w:rPr>
                <w:color w:val="231F20"/>
                <w:sz w:val="14"/>
              </w:rPr>
              <w:t>разуме улогу и значај спорта у</w:t>
            </w:r>
            <w:r>
              <w:rPr>
                <w:color w:val="231F20"/>
                <w:spacing w:val="-23"/>
                <w:sz w:val="14"/>
              </w:rPr>
              <w:t xml:space="preserve"> </w:t>
            </w:r>
            <w:r>
              <w:rPr>
                <w:color w:val="231F20"/>
                <w:spacing w:val="-3"/>
                <w:sz w:val="14"/>
              </w:rPr>
              <w:t>људ­ ском</w:t>
            </w:r>
            <w:r>
              <w:rPr>
                <w:color w:val="231F20"/>
                <w:spacing w:val="-1"/>
                <w:sz w:val="14"/>
              </w:rPr>
              <w:t xml:space="preserve"> </w:t>
            </w:r>
            <w:r>
              <w:rPr>
                <w:color w:val="231F20"/>
                <w:sz w:val="14"/>
              </w:rPr>
              <w:t>друштву;</w:t>
            </w:r>
          </w:p>
          <w:p w:rsidR="00041039" w:rsidRDefault="001B26CB">
            <w:pPr>
              <w:pStyle w:val="TableParagraph"/>
              <w:numPr>
                <w:ilvl w:val="0"/>
                <w:numId w:val="1754"/>
              </w:numPr>
              <w:tabs>
                <w:tab w:val="left" w:pos="157"/>
              </w:tabs>
              <w:spacing w:line="160" w:lineRule="exact"/>
              <w:ind w:right="63" w:hanging="99"/>
              <w:jc w:val="both"/>
              <w:rPr>
                <w:sz w:val="14"/>
              </w:rPr>
            </w:pPr>
            <w:r>
              <w:rPr>
                <w:color w:val="231F20"/>
                <w:sz w:val="14"/>
              </w:rPr>
              <w:t>именује и опише спортске</w:t>
            </w:r>
            <w:r>
              <w:rPr>
                <w:color w:val="231F20"/>
                <w:spacing w:val="-12"/>
                <w:sz w:val="14"/>
              </w:rPr>
              <w:t xml:space="preserve"> </w:t>
            </w:r>
            <w:r>
              <w:rPr>
                <w:color w:val="231F20"/>
                <w:sz w:val="14"/>
              </w:rPr>
              <w:t>дисциплине заступљене на античким</w:t>
            </w:r>
            <w:r>
              <w:rPr>
                <w:color w:val="231F20"/>
                <w:spacing w:val="-16"/>
                <w:sz w:val="14"/>
              </w:rPr>
              <w:t xml:space="preserve"> </w:t>
            </w:r>
            <w:r>
              <w:rPr>
                <w:color w:val="231F20"/>
                <w:sz w:val="14"/>
              </w:rPr>
              <w:t>Олимпијским играма;</w:t>
            </w:r>
          </w:p>
          <w:p w:rsidR="00041039" w:rsidRDefault="001B26CB">
            <w:pPr>
              <w:pStyle w:val="TableParagraph"/>
              <w:numPr>
                <w:ilvl w:val="0"/>
                <w:numId w:val="1754"/>
              </w:numPr>
              <w:tabs>
                <w:tab w:val="left" w:pos="157"/>
              </w:tabs>
              <w:spacing w:line="160" w:lineRule="exact"/>
              <w:ind w:right="244" w:hanging="99"/>
              <w:rPr>
                <w:sz w:val="14"/>
              </w:rPr>
            </w:pPr>
            <w:r>
              <w:rPr>
                <w:color w:val="231F20"/>
                <w:sz w:val="14"/>
              </w:rPr>
              <w:t>наведе и упореди карактеристике спортских надметања у различитим периодима;</w:t>
            </w:r>
          </w:p>
          <w:p w:rsidR="00041039" w:rsidRDefault="001B26CB">
            <w:pPr>
              <w:pStyle w:val="TableParagraph"/>
              <w:numPr>
                <w:ilvl w:val="0"/>
                <w:numId w:val="1754"/>
              </w:numPr>
              <w:tabs>
                <w:tab w:val="left" w:pos="157"/>
              </w:tabs>
              <w:spacing w:line="160" w:lineRule="exact"/>
              <w:ind w:right="274" w:hanging="99"/>
              <w:rPr>
                <w:sz w:val="14"/>
              </w:rPr>
            </w:pPr>
            <w:r>
              <w:rPr>
                <w:color w:val="231F20"/>
                <w:sz w:val="14"/>
              </w:rPr>
              <w:t>опише развој спортског живота</w:t>
            </w:r>
            <w:r>
              <w:rPr>
                <w:color w:val="231F20"/>
                <w:spacing w:val="-11"/>
                <w:sz w:val="14"/>
              </w:rPr>
              <w:t xml:space="preserve"> </w:t>
            </w:r>
            <w:r>
              <w:rPr>
                <w:color w:val="231F20"/>
                <w:spacing w:val="-5"/>
                <w:sz w:val="14"/>
              </w:rPr>
              <w:t xml:space="preserve">код </w:t>
            </w:r>
            <w:r>
              <w:rPr>
                <w:color w:val="231F20"/>
                <w:sz w:val="14"/>
              </w:rPr>
              <w:t>Срба;</w:t>
            </w:r>
          </w:p>
        </w:tc>
        <w:tc>
          <w:tcPr>
            <w:tcW w:w="2834" w:type="dxa"/>
          </w:tcPr>
          <w:p w:rsidR="00041039" w:rsidRDefault="001B26CB">
            <w:pPr>
              <w:pStyle w:val="TableParagraph"/>
              <w:numPr>
                <w:ilvl w:val="0"/>
                <w:numId w:val="1753"/>
              </w:numPr>
              <w:tabs>
                <w:tab w:val="left" w:pos="157"/>
              </w:tabs>
              <w:spacing w:before="8"/>
              <w:ind w:right="109" w:hanging="99"/>
              <w:rPr>
                <w:sz w:val="14"/>
              </w:rPr>
            </w:pPr>
            <w:r>
              <w:rPr>
                <w:color w:val="231F20"/>
                <w:spacing w:val="-4"/>
                <w:sz w:val="14"/>
              </w:rPr>
              <w:t xml:space="preserve">Улога </w:t>
            </w:r>
            <w:r>
              <w:rPr>
                <w:color w:val="231F20"/>
                <w:sz w:val="14"/>
              </w:rPr>
              <w:t xml:space="preserve">и значај спорта </w:t>
            </w:r>
            <w:r>
              <w:rPr>
                <w:color w:val="231F20"/>
                <w:spacing w:val="-3"/>
                <w:sz w:val="14"/>
              </w:rPr>
              <w:t xml:space="preserve">од </w:t>
            </w:r>
            <w:r>
              <w:rPr>
                <w:color w:val="231F20"/>
                <w:sz w:val="14"/>
              </w:rPr>
              <w:t>антике до савре­ меног доба (спорт као део бриге о</w:t>
            </w:r>
            <w:r>
              <w:rPr>
                <w:color w:val="231F20"/>
                <w:spacing w:val="-10"/>
                <w:sz w:val="14"/>
              </w:rPr>
              <w:t xml:space="preserve"> </w:t>
            </w:r>
            <w:r>
              <w:rPr>
                <w:color w:val="231F20"/>
                <w:sz w:val="14"/>
              </w:rPr>
              <w:t>здрављу и као забава; спорт и Олимпијске</w:t>
            </w:r>
            <w:r>
              <w:rPr>
                <w:color w:val="231F20"/>
                <w:spacing w:val="-14"/>
                <w:sz w:val="14"/>
              </w:rPr>
              <w:t xml:space="preserve"> </w:t>
            </w:r>
            <w:r>
              <w:rPr>
                <w:color w:val="231F20"/>
                <w:sz w:val="14"/>
              </w:rPr>
              <w:t>игре</w:t>
            </w:r>
          </w:p>
          <w:p w:rsidR="00041039" w:rsidRDefault="001B26CB">
            <w:pPr>
              <w:pStyle w:val="TableParagraph"/>
              <w:spacing w:line="237" w:lineRule="auto"/>
              <w:ind w:right="48"/>
              <w:rPr>
                <w:sz w:val="14"/>
              </w:rPr>
            </w:pPr>
            <w:r>
              <w:rPr>
                <w:color w:val="231F20"/>
                <w:sz w:val="14"/>
              </w:rPr>
              <w:t xml:space="preserve">у античкој </w:t>
            </w:r>
            <w:r>
              <w:rPr>
                <w:color w:val="231F20"/>
                <w:spacing w:val="-4"/>
                <w:sz w:val="14"/>
              </w:rPr>
              <w:t xml:space="preserve">Грчкој </w:t>
            </w:r>
            <w:r>
              <w:rPr>
                <w:color w:val="231F20"/>
                <w:sz w:val="14"/>
              </w:rPr>
              <w:t xml:space="preserve">као основ спортских игара савременогдоба;спортска надметања кроз историју­ најпопуларнији спортови, аматерски и професионални </w:t>
            </w:r>
            <w:r>
              <w:rPr>
                <w:color w:val="231F20"/>
                <w:spacing w:val="-3"/>
                <w:sz w:val="14"/>
              </w:rPr>
              <w:t xml:space="preserve">спорт, </w:t>
            </w:r>
            <w:r>
              <w:rPr>
                <w:color w:val="231F20"/>
                <w:sz w:val="14"/>
              </w:rPr>
              <w:t>модерне Олимпијске игре).</w:t>
            </w:r>
          </w:p>
          <w:p w:rsidR="00041039" w:rsidRDefault="001B26CB">
            <w:pPr>
              <w:pStyle w:val="TableParagraph"/>
              <w:numPr>
                <w:ilvl w:val="0"/>
                <w:numId w:val="1753"/>
              </w:numPr>
              <w:tabs>
                <w:tab w:val="left" w:pos="157"/>
              </w:tabs>
              <w:spacing w:line="237" w:lineRule="auto"/>
              <w:ind w:right="198" w:hanging="99"/>
              <w:rPr>
                <w:sz w:val="14"/>
              </w:rPr>
            </w:pPr>
            <w:r>
              <w:rPr>
                <w:color w:val="231F20"/>
                <w:sz w:val="14"/>
              </w:rPr>
              <w:t xml:space="preserve">Спорт </w:t>
            </w:r>
            <w:r>
              <w:rPr>
                <w:color w:val="231F20"/>
                <w:spacing w:val="-5"/>
                <w:sz w:val="14"/>
              </w:rPr>
              <w:t xml:space="preserve">код </w:t>
            </w:r>
            <w:r>
              <w:rPr>
                <w:color w:val="231F20"/>
                <w:sz w:val="14"/>
              </w:rPr>
              <w:t>Срба кроз историју (нар</w:t>
            </w:r>
            <w:r>
              <w:rPr>
                <w:color w:val="231F20"/>
                <w:sz w:val="14"/>
              </w:rPr>
              <w:t>одне и пастирске игре као прва спортска надме­ тања, прва спортска друштва, оснивање Српског олимпијског клуба 1910.</w:t>
            </w:r>
            <w:r>
              <w:rPr>
                <w:color w:val="231F20"/>
                <w:spacing w:val="-25"/>
                <w:sz w:val="14"/>
              </w:rPr>
              <w:t xml:space="preserve"> </w:t>
            </w:r>
            <w:r>
              <w:rPr>
                <w:color w:val="231F20"/>
                <w:sz w:val="14"/>
              </w:rPr>
              <w:t>учешће на међународним такмичењима и велики успеси, спортска друштва и клубови; савремени спорт и спортски</w:t>
            </w:r>
            <w:r>
              <w:rPr>
                <w:color w:val="231F20"/>
                <w:spacing w:val="-3"/>
                <w:sz w:val="14"/>
              </w:rPr>
              <w:t xml:space="preserve"> </w:t>
            </w:r>
            <w:r>
              <w:rPr>
                <w:color w:val="231F20"/>
                <w:sz w:val="14"/>
              </w:rPr>
              <w:t>живот).</w:t>
            </w:r>
          </w:p>
        </w:tc>
        <w:tc>
          <w:tcPr>
            <w:tcW w:w="2267" w:type="dxa"/>
          </w:tcPr>
          <w:p w:rsidR="00041039" w:rsidRDefault="001B26CB">
            <w:pPr>
              <w:pStyle w:val="TableParagraph"/>
              <w:spacing w:before="19"/>
              <w:ind w:left="58" w:right="66"/>
              <w:rPr>
                <w:sz w:val="14"/>
              </w:rPr>
            </w:pPr>
            <w:r>
              <w:rPr>
                <w:color w:val="231F20"/>
                <w:sz w:val="14"/>
              </w:rPr>
              <w:t xml:space="preserve">Ж. Стојановић, </w:t>
            </w:r>
            <w:r>
              <w:rPr>
                <w:i/>
                <w:color w:val="231F20"/>
                <w:sz w:val="14"/>
              </w:rPr>
              <w:t>Папирни н</w:t>
            </w:r>
            <w:r>
              <w:rPr>
                <w:i/>
                <w:color w:val="231F20"/>
                <w:sz w:val="14"/>
              </w:rPr>
              <w:t>овац Србије и Југославије</w:t>
            </w:r>
            <w:r>
              <w:rPr>
                <w:color w:val="231F20"/>
                <w:sz w:val="14"/>
              </w:rPr>
              <w:t xml:space="preserve">, Београд 1996. Н. Томас, Д. Бабац, </w:t>
            </w:r>
            <w:r>
              <w:rPr>
                <w:i/>
                <w:color w:val="231F20"/>
                <w:sz w:val="14"/>
              </w:rPr>
              <w:t>Армије на Балкану 1914-1918</w:t>
            </w:r>
            <w:r>
              <w:rPr>
                <w:color w:val="231F20"/>
                <w:sz w:val="14"/>
              </w:rPr>
              <w:t xml:space="preserve">, Београд 2006, Џ. Харт, </w:t>
            </w:r>
            <w:r>
              <w:rPr>
                <w:i/>
                <w:color w:val="231F20"/>
                <w:sz w:val="14"/>
              </w:rPr>
              <w:t>Стари Египат</w:t>
            </w:r>
            <w:r>
              <w:rPr>
                <w:color w:val="231F20"/>
                <w:sz w:val="14"/>
              </w:rPr>
              <w:t>, Београд 2006.</w:t>
            </w:r>
          </w:p>
          <w:p w:rsidR="00041039" w:rsidRDefault="001B26CB">
            <w:pPr>
              <w:pStyle w:val="TableParagraph"/>
              <w:spacing w:line="237" w:lineRule="auto"/>
              <w:ind w:left="58"/>
              <w:rPr>
                <w:sz w:val="14"/>
              </w:rPr>
            </w:pPr>
            <w:r>
              <w:rPr>
                <w:color w:val="231F20"/>
                <w:sz w:val="14"/>
              </w:rPr>
              <w:t xml:space="preserve">Ф. Џајс, </w:t>
            </w:r>
            <w:r>
              <w:rPr>
                <w:i/>
                <w:color w:val="231F20"/>
                <w:sz w:val="14"/>
              </w:rPr>
              <w:t>Витезови кроз историју</w:t>
            </w:r>
            <w:r>
              <w:rPr>
                <w:color w:val="231F20"/>
                <w:sz w:val="14"/>
              </w:rPr>
              <w:t>, Београд 2003.</w:t>
            </w:r>
          </w:p>
          <w:p w:rsidR="00041039" w:rsidRDefault="001B26CB">
            <w:pPr>
              <w:pStyle w:val="TableParagraph"/>
              <w:ind w:left="58" w:right="109"/>
              <w:rPr>
                <w:sz w:val="14"/>
              </w:rPr>
            </w:pPr>
            <w:r>
              <w:rPr>
                <w:color w:val="231F20"/>
                <w:sz w:val="14"/>
              </w:rPr>
              <w:t xml:space="preserve">Ф. Џајс, Џ. Џајс, </w:t>
            </w:r>
            <w:r>
              <w:rPr>
                <w:i/>
                <w:color w:val="231F20"/>
                <w:sz w:val="14"/>
              </w:rPr>
              <w:t>Животу средњовековном граду</w:t>
            </w:r>
            <w:r>
              <w:rPr>
                <w:color w:val="231F20"/>
                <w:sz w:val="14"/>
              </w:rPr>
              <w:t>, Београд 2004.</w:t>
            </w:r>
          </w:p>
          <w:p w:rsidR="00041039" w:rsidRDefault="001B26CB">
            <w:pPr>
              <w:pStyle w:val="TableParagraph"/>
              <w:spacing w:line="237" w:lineRule="auto"/>
              <w:ind w:left="58" w:right="109"/>
              <w:rPr>
                <w:sz w:val="14"/>
              </w:rPr>
            </w:pPr>
            <w:r>
              <w:rPr>
                <w:color w:val="231F20"/>
                <w:sz w:val="14"/>
              </w:rPr>
              <w:t>Ф. Џајс</w:t>
            </w:r>
            <w:r>
              <w:rPr>
                <w:color w:val="231F20"/>
                <w:sz w:val="14"/>
              </w:rPr>
              <w:t xml:space="preserve">, Џ. Џајс, </w:t>
            </w:r>
            <w:r>
              <w:rPr>
                <w:i/>
                <w:color w:val="231F20"/>
                <w:sz w:val="14"/>
              </w:rPr>
              <w:t>Животу средњовековном замку</w:t>
            </w:r>
            <w:r>
              <w:rPr>
                <w:color w:val="231F20"/>
                <w:sz w:val="14"/>
              </w:rPr>
              <w:t>, Београд 2005.</w:t>
            </w:r>
          </w:p>
          <w:p w:rsidR="00041039" w:rsidRDefault="001B26CB">
            <w:pPr>
              <w:pStyle w:val="TableParagraph"/>
              <w:ind w:left="58" w:right="60"/>
              <w:rPr>
                <w:sz w:val="14"/>
              </w:rPr>
            </w:pPr>
            <w:r>
              <w:rPr>
                <w:color w:val="231F20"/>
                <w:sz w:val="14"/>
              </w:rPr>
              <w:t xml:space="preserve">Ф. Џајс, Џ. Џајс, </w:t>
            </w:r>
            <w:r>
              <w:rPr>
                <w:i/>
                <w:color w:val="231F20"/>
                <w:sz w:val="14"/>
              </w:rPr>
              <w:t>Животу средњовековном</w:t>
            </w:r>
            <w:r>
              <w:rPr>
                <w:i/>
                <w:color w:val="231F20"/>
                <w:spacing w:val="-10"/>
                <w:sz w:val="14"/>
              </w:rPr>
              <w:t xml:space="preserve"> </w:t>
            </w:r>
            <w:r>
              <w:rPr>
                <w:i/>
                <w:color w:val="231F20"/>
                <w:sz w:val="14"/>
              </w:rPr>
              <w:t>селу</w:t>
            </w:r>
            <w:r>
              <w:rPr>
                <w:color w:val="231F20"/>
                <w:sz w:val="14"/>
              </w:rPr>
              <w:t>,</w:t>
            </w:r>
            <w:r>
              <w:rPr>
                <w:color w:val="231F20"/>
                <w:spacing w:val="-10"/>
                <w:sz w:val="14"/>
              </w:rPr>
              <w:t xml:space="preserve"> </w:t>
            </w:r>
            <w:r>
              <w:rPr>
                <w:color w:val="231F20"/>
                <w:sz w:val="14"/>
              </w:rPr>
              <w:t>Београд</w:t>
            </w:r>
            <w:r>
              <w:rPr>
                <w:color w:val="231F20"/>
                <w:spacing w:val="-10"/>
                <w:sz w:val="14"/>
              </w:rPr>
              <w:t xml:space="preserve"> </w:t>
            </w:r>
            <w:r>
              <w:rPr>
                <w:color w:val="231F20"/>
                <w:sz w:val="14"/>
              </w:rPr>
              <w:t xml:space="preserve">2006. С. Цејмс, </w:t>
            </w:r>
            <w:r>
              <w:rPr>
                <w:i/>
                <w:color w:val="231F20"/>
                <w:sz w:val="14"/>
              </w:rPr>
              <w:t>Стари Рим</w:t>
            </w:r>
            <w:r>
              <w:rPr>
                <w:color w:val="231F20"/>
                <w:sz w:val="14"/>
              </w:rPr>
              <w:t>, Београд 2006.</w:t>
            </w:r>
          </w:p>
          <w:p w:rsidR="00041039" w:rsidRDefault="00041039">
            <w:pPr>
              <w:pStyle w:val="TableParagraph"/>
              <w:spacing w:before="1"/>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752"/>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752"/>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752"/>
              </w:numPr>
              <w:tabs>
                <w:tab w:val="left" w:pos="158"/>
              </w:tabs>
              <w:spacing w:line="237" w:lineRule="auto"/>
              <w:ind w:right="253" w:hanging="99"/>
              <w:rPr>
                <w:sz w:val="14"/>
              </w:rPr>
            </w:pPr>
            <w:r>
              <w:rPr>
                <w:color w:val="231F20"/>
                <w:sz w:val="14"/>
              </w:rPr>
              <w:t xml:space="preserve">Свакој </w:t>
            </w:r>
            <w:r>
              <w:rPr>
                <w:color w:val="231F20"/>
                <w:spacing w:val="-3"/>
                <w:sz w:val="14"/>
              </w:rPr>
              <w:t xml:space="preserve">од </w:t>
            </w:r>
            <w:r>
              <w:rPr>
                <w:color w:val="231F20"/>
                <w:sz w:val="14"/>
              </w:rPr>
              <w:t xml:space="preserve">четири теме које </w:t>
            </w:r>
            <w:r>
              <w:rPr>
                <w:color w:val="231F20"/>
                <w:spacing w:val="-4"/>
                <w:sz w:val="14"/>
              </w:rPr>
              <w:t xml:space="preserve">буду </w:t>
            </w:r>
            <w:r>
              <w:rPr>
                <w:color w:val="231F20"/>
                <w:sz w:val="14"/>
              </w:rPr>
              <w:t>изабране треба посветити четвртину часова предвиђених наставним</w:t>
            </w:r>
            <w:r>
              <w:rPr>
                <w:color w:val="231F20"/>
                <w:spacing w:val="-1"/>
                <w:sz w:val="14"/>
              </w:rPr>
              <w:t xml:space="preserve"> </w:t>
            </w:r>
            <w:r>
              <w:rPr>
                <w:color w:val="231F20"/>
                <w:sz w:val="14"/>
              </w:rPr>
              <w:t>планом.</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3"/>
        </w:numPr>
        <w:tabs>
          <w:tab w:val="left" w:pos="633"/>
        </w:tabs>
        <w:rPr>
          <w:sz w:val="18"/>
        </w:rPr>
      </w:pPr>
      <w:r>
        <w:rPr>
          <w:color w:val="231F20"/>
          <w:sz w:val="18"/>
        </w:rPr>
        <w:t>Историја</w:t>
      </w:r>
    </w:p>
    <w:p w:rsidR="00041039" w:rsidRDefault="001B26CB">
      <w:pPr>
        <w:pStyle w:val="ListParagraph"/>
        <w:numPr>
          <w:ilvl w:val="0"/>
          <w:numId w:val="3"/>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0"/>
          <w:numId w:val="3"/>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3"/>
        </w:numPr>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numPr>
          <w:ilvl w:val="0"/>
          <w:numId w:val="3"/>
        </w:numPr>
        <w:tabs>
          <w:tab w:val="left" w:pos="633"/>
        </w:tabs>
        <w:rPr>
          <w:sz w:val="18"/>
        </w:rPr>
      </w:pPr>
      <w:r>
        <w:rPr>
          <w:color w:val="231F20"/>
          <w:sz w:val="18"/>
        </w:rPr>
        <w:t>Историја</w:t>
      </w:r>
      <w:r>
        <w:rPr>
          <w:color w:val="231F20"/>
          <w:spacing w:val="-1"/>
          <w:sz w:val="18"/>
        </w:rPr>
        <w:t xml:space="preserve"> </w:t>
      </w:r>
      <w:r>
        <w:rPr>
          <w:color w:val="231F20"/>
          <w:sz w:val="18"/>
        </w:rPr>
        <w:t>ваздухопловства</w:t>
      </w:r>
    </w:p>
    <w:p w:rsidR="00041039" w:rsidRDefault="001B26CB">
      <w:pPr>
        <w:pStyle w:val="ListParagraph"/>
        <w:numPr>
          <w:ilvl w:val="0"/>
          <w:numId w:val="3"/>
        </w:numPr>
        <w:tabs>
          <w:tab w:val="left" w:pos="633"/>
        </w:tabs>
        <w:spacing w:line="203" w:lineRule="exact"/>
        <w:rPr>
          <w:sz w:val="18"/>
        </w:rPr>
      </w:pPr>
      <w:r>
        <w:rPr>
          <w:color w:val="231F20"/>
          <w:sz w:val="18"/>
        </w:rPr>
        <w:t>Географија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ПСИХОЛОГИЈА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50"/>
        </w:trPr>
        <w:tc>
          <w:tcPr>
            <w:tcW w:w="1304" w:type="dxa"/>
          </w:tcPr>
          <w:p w:rsidR="00041039" w:rsidRDefault="001B26CB">
            <w:pPr>
              <w:pStyle w:val="TableParagraph"/>
              <w:spacing w:before="18"/>
              <w:ind w:left="56"/>
              <w:rPr>
                <w:sz w:val="14"/>
              </w:rPr>
            </w:pPr>
            <w:r>
              <w:rPr>
                <w:color w:val="231F20"/>
                <w:sz w:val="14"/>
              </w:rPr>
              <w:t>Увод</w:t>
            </w:r>
          </w:p>
        </w:tc>
        <w:tc>
          <w:tcPr>
            <w:tcW w:w="1587" w:type="dxa"/>
          </w:tcPr>
          <w:p w:rsidR="00041039" w:rsidRDefault="001B26CB">
            <w:pPr>
              <w:pStyle w:val="TableParagraph"/>
              <w:numPr>
                <w:ilvl w:val="0"/>
                <w:numId w:val="1751"/>
              </w:numPr>
              <w:tabs>
                <w:tab w:val="left" w:pos="157"/>
              </w:tabs>
              <w:spacing w:before="18" w:line="223" w:lineRule="auto"/>
              <w:ind w:right="115"/>
              <w:rPr>
                <w:sz w:val="14"/>
              </w:rPr>
            </w:pPr>
            <w:r>
              <w:rPr>
                <w:color w:val="231F20"/>
                <w:sz w:val="14"/>
              </w:rPr>
              <w:t>Упознавање са</w:t>
            </w:r>
            <w:r>
              <w:rPr>
                <w:color w:val="231F20"/>
                <w:spacing w:val="-24"/>
                <w:sz w:val="14"/>
              </w:rPr>
              <w:t xml:space="preserve"> </w:t>
            </w:r>
            <w:r>
              <w:rPr>
                <w:color w:val="231F20"/>
                <w:sz w:val="14"/>
              </w:rPr>
              <w:t>психо­ логијом као</w:t>
            </w:r>
            <w:r>
              <w:rPr>
                <w:color w:val="231F20"/>
                <w:spacing w:val="-4"/>
                <w:sz w:val="14"/>
              </w:rPr>
              <w:t xml:space="preserve"> </w:t>
            </w:r>
            <w:r>
              <w:rPr>
                <w:color w:val="231F20"/>
                <w:spacing w:val="-3"/>
                <w:sz w:val="14"/>
              </w:rPr>
              <w:t>науком.</w:t>
            </w:r>
          </w:p>
        </w:tc>
        <w:tc>
          <w:tcPr>
            <w:tcW w:w="2551" w:type="dxa"/>
          </w:tcPr>
          <w:p w:rsidR="00041039" w:rsidRDefault="001B26CB">
            <w:pPr>
              <w:pStyle w:val="TableParagraph"/>
              <w:numPr>
                <w:ilvl w:val="0"/>
                <w:numId w:val="1750"/>
              </w:numPr>
              <w:tabs>
                <w:tab w:val="left" w:pos="157"/>
              </w:tabs>
              <w:spacing w:before="18" w:line="223" w:lineRule="auto"/>
              <w:ind w:right="100" w:hanging="99"/>
              <w:rPr>
                <w:sz w:val="14"/>
              </w:rPr>
            </w:pPr>
            <w:r>
              <w:rPr>
                <w:color w:val="231F20"/>
                <w:sz w:val="14"/>
              </w:rPr>
              <w:t>објасни шта проучава психологија</w:t>
            </w:r>
            <w:r>
              <w:rPr>
                <w:color w:val="231F20"/>
                <w:spacing w:val="-27"/>
                <w:sz w:val="14"/>
              </w:rPr>
              <w:t xml:space="preserve"> </w:t>
            </w:r>
            <w:r>
              <w:rPr>
                <w:color w:val="231F20"/>
                <w:sz w:val="14"/>
              </w:rPr>
              <w:t>као наука;</w:t>
            </w:r>
          </w:p>
        </w:tc>
        <w:tc>
          <w:tcPr>
            <w:tcW w:w="2834" w:type="dxa"/>
          </w:tcPr>
          <w:p w:rsidR="00041039" w:rsidRDefault="001B26CB">
            <w:pPr>
              <w:pStyle w:val="TableParagraph"/>
              <w:numPr>
                <w:ilvl w:val="0"/>
                <w:numId w:val="1749"/>
              </w:numPr>
              <w:tabs>
                <w:tab w:val="left" w:pos="157"/>
              </w:tabs>
              <w:spacing w:before="8"/>
              <w:ind w:hanging="99"/>
              <w:rPr>
                <w:sz w:val="14"/>
              </w:rPr>
            </w:pPr>
            <w:r>
              <w:rPr>
                <w:color w:val="231F20"/>
                <w:sz w:val="14"/>
              </w:rPr>
              <w:t>Психологија као</w:t>
            </w:r>
            <w:r>
              <w:rPr>
                <w:color w:val="231F20"/>
                <w:spacing w:val="-3"/>
                <w:sz w:val="14"/>
              </w:rPr>
              <w:t xml:space="preserve"> </w:t>
            </w:r>
            <w:r>
              <w:rPr>
                <w:color w:val="231F20"/>
                <w:sz w:val="14"/>
              </w:rPr>
              <w:t>наука.</w:t>
            </w:r>
          </w:p>
        </w:tc>
        <w:tc>
          <w:tcPr>
            <w:tcW w:w="2267" w:type="dxa"/>
            <w:vMerge w:val="restart"/>
          </w:tcPr>
          <w:p w:rsidR="00041039" w:rsidRDefault="001B26CB">
            <w:pPr>
              <w:pStyle w:val="TableParagraph"/>
              <w:numPr>
                <w:ilvl w:val="0"/>
                <w:numId w:val="1748"/>
              </w:numPr>
              <w:tabs>
                <w:tab w:val="left" w:pos="158"/>
              </w:tabs>
              <w:spacing w:before="18" w:line="223"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spacing w:before="141" w:line="155" w:lineRule="exact"/>
              <w:ind w:left="58"/>
              <w:rPr>
                <w:b/>
                <w:sz w:val="14"/>
              </w:rPr>
            </w:pPr>
            <w:r>
              <w:rPr>
                <w:b/>
                <w:color w:val="231F20"/>
                <w:sz w:val="14"/>
              </w:rPr>
              <w:t>Облици наставе</w:t>
            </w:r>
          </w:p>
          <w:p w:rsidR="00041039" w:rsidRDefault="001B26CB">
            <w:pPr>
              <w:pStyle w:val="TableParagraph"/>
              <w:spacing w:before="4" w:line="223"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748"/>
              </w:numPr>
              <w:tabs>
                <w:tab w:val="left" w:pos="158"/>
              </w:tabs>
              <w:spacing w:line="153"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1B26CB">
            <w:pPr>
              <w:pStyle w:val="TableParagraph"/>
              <w:spacing w:before="138" w:line="155" w:lineRule="exact"/>
              <w:ind w:left="58"/>
              <w:rPr>
                <w:b/>
                <w:sz w:val="14"/>
              </w:rPr>
            </w:pPr>
            <w:r>
              <w:rPr>
                <w:b/>
                <w:color w:val="231F20"/>
                <w:sz w:val="14"/>
              </w:rPr>
              <w:t>Подела одељења на групе</w:t>
            </w:r>
          </w:p>
          <w:p w:rsidR="00041039" w:rsidRDefault="001B26CB">
            <w:pPr>
              <w:pStyle w:val="TableParagraph"/>
              <w:spacing w:line="155" w:lineRule="exact"/>
              <w:ind w:left="58"/>
              <w:rPr>
                <w:sz w:val="14"/>
              </w:rPr>
            </w:pPr>
            <w:r>
              <w:rPr>
                <w:color w:val="231F20"/>
                <w:sz w:val="14"/>
              </w:rPr>
              <w:t>Одељење се не дели на групе.</w:t>
            </w:r>
          </w:p>
          <w:p w:rsidR="00041039" w:rsidRDefault="001B26CB">
            <w:pPr>
              <w:pStyle w:val="TableParagraph"/>
              <w:spacing w:before="139" w:line="155" w:lineRule="exact"/>
              <w:ind w:left="58"/>
              <w:rPr>
                <w:b/>
                <w:sz w:val="14"/>
              </w:rPr>
            </w:pPr>
            <w:r>
              <w:rPr>
                <w:b/>
                <w:color w:val="231F20"/>
                <w:sz w:val="14"/>
              </w:rPr>
              <w:t>Место реализације наставе</w:t>
            </w:r>
          </w:p>
          <w:p w:rsidR="00041039" w:rsidRDefault="001B26CB">
            <w:pPr>
              <w:pStyle w:val="TableParagraph"/>
              <w:spacing w:line="145" w:lineRule="exact"/>
              <w:ind w:left="58"/>
              <w:rPr>
                <w:sz w:val="14"/>
              </w:rPr>
            </w:pPr>
            <w:r>
              <w:rPr>
                <w:color w:val="231F20"/>
                <w:sz w:val="14"/>
              </w:rPr>
              <w:t>Теоријска настава се реализује у:</w:t>
            </w:r>
          </w:p>
          <w:p w:rsidR="00041039" w:rsidRDefault="001B26CB">
            <w:pPr>
              <w:pStyle w:val="TableParagraph"/>
              <w:numPr>
                <w:ilvl w:val="0"/>
                <w:numId w:val="1748"/>
              </w:numPr>
              <w:tabs>
                <w:tab w:val="left" w:pos="158"/>
              </w:tabs>
              <w:spacing w:line="161" w:lineRule="exact"/>
              <w:ind w:hanging="99"/>
              <w:rPr>
                <w:sz w:val="14"/>
              </w:rPr>
            </w:pPr>
            <w:r>
              <w:rPr>
                <w:color w:val="231F20"/>
                <w:sz w:val="14"/>
              </w:rPr>
              <w:t>учионици</w:t>
            </w:r>
          </w:p>
          <w:p w:rsidR="00041039" w:rsidRDefault="00041039">
            <w:pPr>
              <w:pStyle w:val="TableParagraph"/>
              <w:spacing w:before="10"/>
              <w:ind w:left="0"/>
              <w:rPr>
                <w:b/>
                <w:sz w:val="12"/>
              </w:rPr>
            </w:pPr>
          </w:p>
          <w:p w:rsidR="00041039" w:rsidRDefault="001B26CB">
            <w:pPr>
              <w:pStyle w:val="TableParagraph"/>
              <w:spacing w:line="223" w:lineRule="auto"/>
              <w:ind w:left="58"/>
              <w:rPr>
                <w:b/>
                <w:sz w:val="14"/>
              </w:rPr>
            </w:pPr>
            <w:r>
              <w:rPr>
                <w:b/>
                <w:color w:val="231F20"/>
                <w:sz w:val="14"/>
              </w:rPr>
              <w:t>Препоруке за реализацију садр- жаја програма</w:t>
            </w:r>
          </w:p>
          <w:p w:rsidR="00041039" w:rsidRDefault="001B26CB">
            <w:pPr>
              <w:pStyle w:val="TableParagraph"/>
              <w:spacing w:before="141" w:line="155" w:lineRule="exact"/>
              <w:ind w:left="58"/>
              <w:rPr>
                <w:b/>
                <w:sz w:val="14"/>
              </w:rPr>
            </w:pPr>
            <w:r>
              <w:rPr>
                <w:b/>
                <w:color w:val="231F20"/>
                <w:sz w:val="14"/>
              </w:rPr>
              <w:t>Оцењивање</w:t>
            </w:r>
          </w:p>
          <w:p w:rsidR="00041039" w:rsidRDefault="001B26CB">
            <w:pPr>
              <w:pStyle w:val="TableParagraph"/>
              <w:spacing w:before="4" w:line="223"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1748"/>
              </w:numPr>
              <w:tabs>
                <w:tab w:val="left" w:pos="158"/>
              </w:tabs>
              <w:spacing w:line="142"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748"/>
              </w:numPr>
              <w:tabs>
                <w:tab w:val="left" w:pos="158"/>
              </w:tabs>
              <w:spacing w:line="161"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1B26CB">
            <w:pPr>
              <w:pStyle w:val="TableParagraph"/>
              <w:spacing w:before="139" w:line="150" w:lineRule="exact"/>
              <w:ind w:left="58"/>
              <w:rPr>
                <w:b/>
                <w:sz w:val="14"/>
              </w:rPr>
            </w:pPr>
            <w:r>
              <w:rPr>
                <w:b/>
                <w:color w:val="231F20"/>
                <w:sz w:val="14"/>
              </w:rPr>
              <w:t>Оквирни број часова по темама</w:t>
            </w:r>
          </w:p>
          <w:p w:rsidR="00041039" w:rsidRDefault="001B26CB">
            <w:pPr>
              <w:pStyle w:val="TableParagraph"/>
              <w:numPr>
                <w:ilvl w:val="0"/>
                <w:numId w:val="1748"/>
              </w:numPr>
              <w:tabs>
                <w:tab w:val="left" w:pos="158"/>
              </w:tabs>
              <w:spacing w:line="150" w:lineRule="exact"/>
              <w:ind w:hanging="99"/>
              <w:rPr>
                <w:b/>
                <w:sz w:val="14"/>
              </w:rPr>
            </w:pPr>
            <w:r>
              <w:rPr>
                <w:color w:val="231F20"/>
                <w:spacing w:val="-6"/>
                <w:sz w:val="14"/>
              </w:rPr>
              <w:t xml:space="preserve">Увод </w:t>
            </w:r>
            <w:r>
              <w:rPr>
                <w:b/>
                <w:color w:val="231F20"/>
                <w:sz w:val="14"/>
              </w:rPr>
              <w:t>(2</w:t>
            </w:r>
            <w:r>
              <w:rPr>
                <w:b/>
                <w:color w:val="231F20"/>
                <w:spacing w:val="5"/>
                <w:sz w:val="14"/>
              </w:rPr>
              <w:t xml:space="preserve"> </w:t>
            </w:r>
            <w:r>
              <w:rPr>
                <w:b/>
                <w:color w:val="231F20"/>
                <w:sz w:val="14"/>
              </w:rPr>
              <w:t>часа)</w:t>
            </w:r>
          </w:p>
          <w:p w:rsidR="00041039" w:rsidRDefault="001B26CB">
            <w:pPr>
              <w:pStyle w:val="TableParagraph"/>
              <w:numPr>
                <w:ilvl w:val="0"/>
                <w:numId w:val="1748"/>
              </w:numPr>
              <w:tabs>
                <w:tab w:val="left" w:pos="158"/>
              </w:tabs>
              <w:spacing w:line="150" w:lineRule="exact"/>
              <w:ind w:hanging="99"/>
              <w:rPr>
                <w:b/>
                <w:sz w:val="14"/>
              </w:rPr>
            </w:pPr>
            <w:r>
              <w:rPr>
                <w:color w:val="231F20"/>
                <w:sz w:val="14"/>
              </w:rPr>
              <w:t xml:space="preserve">Човек у друштву </w:t>
            </w:r>
            <w:r>
              <w:rPr>
                <w:b/>
                <w:color w:val="231F20"/>
                <w:sz w:val="14"/>
              </w:rPr>
              <w:t>(10</w:t>
            </w:r>
            <w:r>
              <w:rPr>
                <w:b/>
                <w:color w:val="231F20"/>
                <w:spacing w:val="-6"/>
                <w:sz w:val="14"/>
              </w:rPr>
              <w:t xml:space="preserve"> </w:t>
            </w:r>
            <w:r>
              <w:rPr>
                <w:b/>
                <w:color w:val="231F20"/>
                <w:sz w:val="14"/>
              </w:rPr>
              <w:t>часова)</w:t>
            </w:r>
          </w:p>
          <w:p w:rsidR="00041039" w:rsidRDefault="001B26CB">
            <w:pPr>
              <w:pStyle w:val="TableParagraph"/>
              <w:numPr>
                <w:ilvl w:val="0"/>
                <w:numId w:val="1748"/>
              </w:numPr>
              <w:tabs>
                <w:tab w:val="left" w:pos="158"/>
              </w:tabs>
              <w:spacing w:line="150" w:lineRule="exact"/>
              <w:ind w:hanging="99"/>
              <w:rPr>
                <w:b/>
                <w:sz w:val="14"/>
              </w:rPr>
            </w:pPr>
            <w:r>
              <w:rPr>
                <w:color w:val="231F20"/>
                <w:sz w:val="14"/>
              </w:rPr>
              <w:t xml:space="preserve">Учење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1748"/>
              </w:numPr>
              <w:tabs>
                <w:tab w:val="left" w:pos="158"/>
              </w:tabs>
              <w:spacing w:line="150" w:lineRule="exact"/>
              <w:ind w:hanging="99"/>
              <w:rPr>
                <w:b/>
                <w:sz w:val="14"/>
              </w:rPr>
            </w:pPr>
            <w:r>
              <w:rPr>
                <w:color w:val="231F20"/>
                <w:sz w:val="14"/>
              </w:rPr>
              <w:t>Памћење</w:t>
            </w:r>
            <w:r>
              <w:rPr>
                <w:color w:val="231F20"/>
                <w:spacing w:val="-1"/>
                <w:sz w:val="14"/>
              </w:rPr>
              <w:t xml:space="preserve"> </w:t>
            </w:r>
            <w:r>
              <w:rPr>
                <w:b/>
                <w:color w:val="231F20"/>
                <w:sz w:val="14"/>
              </w:rPr>
              <w:t>(4часа)</w:t>
            </w:r>
          </w:p>
          <w:p w:rsidR="00041039" w:rsidRDefault="001B26CB">
            <w:pPr>
              <w:pStyle w:val="TableParagraph"/>
              <w:numPr>
                <w:ilvl w:val="0"/>
                <w:numId w:val="1748"/>
              </w:numPr>
              <w:tabs>
                <w:tab w:val="left" w:pos="158"/>
              </w:tabs>
              <w:spacing w:line="150" w:lineRule="exact"/>
              <w:ind w:hanging="99"/>
              <w:rPr>
                <w:b/>
                <w:sz w:val="14"/>
              </w:rPr>
            </w:pPr>
            <w:r>
              <w:rPr>
                <w:color w:val="231F20"/>
                <w:sz w:val="14"/>
              </w:rPr>
              <w:t xml:space="preserve">Адолесценција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1748"/>
              </w:numPr>
              <w:tabs>
                <w:tab w:val="left" w:pos="158"/>
              </w:tabs>
              <w:spacing w:line="223" w:lineRule="auto"/>
              <w:ind w:right="404" w:hanging="99"/>
              <w:rPr>
                <w:b/>
                <w:sz w:val="14"/>
              </w:rPr>
            </w:pPr>
            <w:r>
              <w:rPr>
                <w:color w:val="231F20"/>
                <w:sz w:val="14"/>
              </w:rPr>
              <w:t>Фрустрација и конфликти</w:t>
            </w:r>
            <w:r>
              <w:rPr>
                <w:color w:val="231F20"/>
                <w:spacing w:val="-19"/>
                <w:sz w:val="14"/>
              </w:rPr>
              <w:t xml:space="preserve"> </w:t>
            </w:r>
            <w:r>
              <w:rPr>
                <w:b/>
                <w:color w:val="231F20"/>
                <w:sz w:val="14"/>
              </w:rPr>
              <w:t>(7 часова)</w:t>
            </w:r>
          </w:p>
        </w:tc>
      </w:tr>
      <w:tr w:rsidR="00041039">
        <w:trPr>
          <w:trHeight w:val="2150"/>
        </w:trPr>
        <w:tc>
          <w:tcPr>
            <w:tcW w:w="1304" w:type="dxa"/>
          </w:tcPr>
          <w:p w:rsidR="00041039" w:rsidRDefault="001B26CB">
            <w:pPr>
              <w:pStyle w:val="TableParagraph"/>
              <w:spacing w:before="17"/>
              <w:ind w:left="56"/>
              <w:rPr>
                <w:sz w:val="14"/>
              </w:rPr>
            </w:pPr>
            <w:r>
              <w:rPr>
                <w:color w:val="231F20"/>
                <w:sz w:val="14"/>
              </w:rPr>
              <w:t>Човек у друштву</w:t>
            </w:r>
          </w:p>
        </w:tc>
        <w:tc>
          <w:tcPr>
            <w:tcW w:w="1587" w:type="dxa"/>
          </w:tcPr>
          <w:p w:rsidR="00041039" w:rsidRDefault="001B26CB">
            <w:pPr>
              <w:pStyle w:val="TableParagraph"/>
              <w:numPr>
                <w:ilvl w:val="0"/>
                <w:numId w:val="1747"/>
              </w:numPr>
              <w:tabs>
                <w:tab w:val="left" w:pos="157"/>
              </w:tabs>
              <w:spacing w:before="17" w:line="223" w:lineRule="auto"/>
              <w:ind w:right="69"/>
              <w:rPr>
                <w:sz w:val="14"/>
              </w:rPr>
            </w:pPr>
            <w:r>
              <w:rPr>
                <w:color w:val="231F20"/>
                <w:sz w:val="14"/>
              </w:rPr>
              <w:t>Упознавањеса појмом социјализације ичини­ оцимасоцијализације.</w:t>
            </w:r>
          </w:p>
        </w:tc>
        <w:tc>
          <w:tcPr>
            <w:tcW w:w="2551" w:type="dxa"/>
          </w:tcPr>
          <w:p w:rsidR="00041039" w:rsidRDefault="001B26CB">
            <w:pPr>
              <w:pStyle w:val="TableParagraph"/>
              <w:numPr>
                <w:ilvl w:val="0"/>
                <w:numId w:val="1746"/>
              </w:numPr>
              <w:tabs>
                <w:tab w:val="left" w:pos="157"/>
              </w:tabs>
              <w:spacing w:before="7" w:line="161" w:lineRule="exact"/>
              <w:ind w:hanging="99"/>
              <w:rPr>
                <w:sz w:val="14"/>
              </w:rPr>
            </w:pPr>
            <w:r>
              <w:rPr>
                <w:color w:val="231F20"/>
                <w:sz w:val="14"/>
              </w:rPr>
              <w:t>објасни шта је само опажање;</w:t>
            </w:r>
          </w:p>
          <w:p w:rsidR="00041039" w:rsidRDefault="001B26CB">
            <w:pPr>
              <w:pStyle w:val="TableParagraph"/>
              <w:numPr>
                <w:ilvl w:val="0"/>
                <w:numId w:val="1746"/>
              </w:numPr>
              <w:tabs>
                <w:tab w:val="left" w:pos="157"/>
              </w:tabs>
              <w:spacing w:line="223" w:lineRule="auto"/>
              <w:ind w:right="284" w:hanging="99"/>
              <w:rPr>
                <w:sz w:val="14"/>
              </w:rPr>
            </w:pPr>
            <w:r>
              <w:rPr>
                <w:color w:val="231F20"/>
                <w:sz w:val="14"/>
              </w:rPr>
              <w:t>објасни шта је прва импресија и до којих грешака доводи у опажању других особа;</w:t>
            </w:r>
          </w:p>
          <w:p w:rsidR="00041039" w:rsidRDefault="001B26CB">
            <w:pPr>
              <w:pStyle w:val="TableParagraph"/>
              <w:numPr>
                <w:ilvl w:val="0"/>
                <w:numId w:val="1746"/>
              </w:numPr>
              <w:tabs>
                <w:tab w:val="left" w:pos="157"/>
              </w:tabs>
              <w:spacing w:line="142" w:lineRule="exact"/>
              <w:ind w:hanging="99"/>
              <w:rPr>
                <w:sz w:val="14"/>
              </w:rPr>
            </w:pPr>
            <w:r>
              <w:rPr>
                <w:color w:val="231F20"/>
                <w:sz w:val="14"/>
              </w:rPr>
              <w:t>објасни шта је</w:t>
            </w:r>
            <w:r>
              <w:rPr>
                <w:color w:val="231F20"/>
                <w:spacing w:val="-2"/>
                <w:sz w:val="14"/>
              </w:rPr>
              <w:t xml:space="preserve"> </w:t>
            </w:r>
            <w:r>
              <w:rPr>
                <w:color w:val="231F20"/>
                <w:sz w:val="14"/>
              </w:rPr>
              <w:t>социјализација;</w:t>
            </w:r>
          </w:p>
          <w:p w:rsidR="00041039" w:rsidRDefault="001B26CB">
            <w:pPr>
              <w:pStyle w:val="TableParagraph"/>
              <w:numPr>
                <w:ilvl w:val="0"/>
                <w:numId w:val="1746"/>
              </w:numPr>
              <w:tabs>
                <w:tab w:val="left" w:pos="157"/>
              </w:tabs>
              <w:spacing w:line="223" w:lineRule="auto"/>
              <w:ind w:right="489" w:hanging="99"/>
              <w:rPr>
                <w:sz w:val="14"/>
              </w:rPr>
            </w:pPr>
            <w:r>
              <w:rPr>
                <w:color w:val="231F20"/>
                <w:sz w:val="14"/>
              </w:rPr>
              <w:t xml:space="preserve">објасни </w:t>
            </w:r>
            <w:r>
              <w:rPr>
                <w:color w:val="231F20"/>
                <w:spacing w:val="-3"/>
                <w:sz w:val="14"/>
              </w:rPr>
              <w:t xml:space="preserve">како </w:t>
            </w:r>
            <w:r>
              <w:rPr>
                <w:color w:val="231F20"/>
                <w:sz w:val="14"/>
              </w:rPr>
              <w:t>породица утиче на формирање и развој</w:t>
            </w:r>
            <w:r>
              <w:rPr>
                <w:color w:val="231F20"/>
                <w:spacing w:val="-4"/>
                <w:sz w:val="14"/>
              </w:rPr>
              <w:t xml:space="preserve"> </w:t>
            </w:r>
            <w:r>
              <w:rPr>
                <w:color w:val="231F20"/>
                <w:sz w:val="14"/>
              </w:rPr>
              <w:t>личности;</w:t>
            </w:r>
          </w:p>
          <w:p w:rsidR="00041039" w:rsidRDefault="001B26CB">
            <w:pPr>
              <w:pStyle w:val="TableParagraph"/>
              <w:numPr>
                <w:ilvl w:val="0"/>
                <w:numId w:val="1746"/>
              </w:numPr>
              <w:tabs>
                <w:tab w:val="left" w:pos="157"/>
              </w:tabs>
              <w:spacing w:line="150" w:lineRule="exact"/>
              <w:ind w:right="288" w:hanging="99"/>
              <w:rPr>
                <w:sz w:val="14"/>
              </w:rPr>
            </w:pPr>
            <w:r>
              <w:rPr>
                <w:color w:val="231F20"/>
                <w:sz w:val="14"/>
              </w:rPr>
              <w:t xml:space="preserve">објасни </w:t>
            </w:r>
            <w:r>
              <w:rPr>
                <w:color w:val="231F20"/>
                <w:spacing w:val="-3"/>
                <w:sz w:val="14"/>
              </w:rPr>
              <w:t xml:space="preserve">како школа </w:t>
            </w:r>
            <w:r>
              <w:rPr>
                <w:color w:val="231F20"/>
                <w:sz w:val="14"/>
              </w:rPr>
              <w:t>утиче на развој личности;</w:t>
            </w:r>
          </w:p>
          <w:p w:rsidR="00041039" w:rsidRDefault="001B26CB">
            <w:pPr>
              <w:pStyle w:val="TableParagraph"/>
              <w:numPr>
                <w:ilvl w:val="0"/>
                <w:numId w:val="1746"/>
              </w:numPr>
              <w:tabs>
                <w:tab w:val="left" w:pos="157"/>
              </w:tabs>
              <w:spacing w:line="150" w:lineRule="exact"/>
              <w:ind w:right="92" w:hanging="99"/>
              <w:rPr>
                <w:sz w:val="14"/>
              </w:rPr>
            </w:pPr>
            <w:r>
              <w:rPr>
                <w:color w:val="231F20"/>
                <w:sz w:val="14"/>
              </w:rPr>
              <w:t xml:space="preserve">објасни </w:t>
            </w:r>
            <w:r>
              <w:rPr>
                <w:color w:val="231F20"/>
                <w:spacing w:val="-3"/>
                <w:sz w:val="14"/>
              </w:rPr>
              <w:t xml:space="preserve">како </w:t>
            </w:r>
            <w:r>
              <w:rPr>
                <w:color w:val="231F20"/>
                <w:sz w:val="14"/>
              </w:rPr>
              <w:t>вршњаци утичу на развој личности;</w:t>
            </w:r>
          </w:p>
          <w:p w:rsidR="00041039" w:rsidRDefault="001B26CB">
            <w:pPr>
              <w:pStyle w:val="TableParagraph"/>
              <w:numPr>
                <w:ilvl w:val="0"/>
                <w:numId w:val="1746"/>
              </w:numPr>
              <w:tabs>
                <w:tab w:val="left" w:pos="157"/>
              </w:tabs>
              <w:spacing w:line="150" w:lineRule="exact"/>
              <w:ind w:right="319" w:hanging="99"/>
              <w:rPr>
                <w:sz w:val="14"/>
              </w:rPr>
            </w:pPr>
            <w:r>
              <w:rPr>
                <w:color w:val="231F20"/>
                <w:sz w:val="14"/>
              </w:rPr>
              <w:t xml:space="preserve">објасни </w:t>
            </w:r>
            <w:r>
              <w:rPr>
                <w:color w:val="231F20"/>
                <w:spacing w:val="-3"/>
                <w:sz w:val="14"/>
              </w:rPr>
              <w:t xml:space="preserve">како </w:t>
            </w:r>
            <w:r>
              <w:rPr>
                <w:color w:val="231F20"/>
                <w:sz w:val="14"/>
              </w:rPr>
              <w:t>средства масовних комуникација утичу на развој</w:t>
            </w:r>
            <w:r>
              <w:rPr>
                <w:color w:val="231F20"/>
                <w:spacing w:val="-20"/>
                <w:sz w:val="14"/>
              </w:rPr>
              <w:t xml:space="preserve"> </w:t>
            </w:r>
            <w:r>
              <w:rPr>
                <w:color w:val="231F20"/>
                <w:sz w:val="14"/>
              </w:rPr>
              <w:t>лич­ ности;</w:t>
            </w:r>
          </w:p>
        </w:tc>
        <w:tc>
          <w:tcPr>
            <w:tcW w:w="2834" w:type="dxa"/>
          </w:tcPr>
          <w:p w:rsidR="00041039" w:rsidRDefault="001B26CB">
            <w:pPr>
              <w:pStyle w:val="TableParagraph"/>
              <w:numPr>
                <w:ilvl w:val="0"/>
                <w:numId w:val="1745"/>
              </w:numPr>
              <w:tabs>
                <w:tab w:val="left" w:pos="157"/>
              </w:tabs>
              <w:spacing w:before="6" w:line="161" w:lineRule="exact"/>
              <w:ind w:hanging="99"/>
              <w:rPr>
                <w:sz w:val="14"/>
              </w:rPr>
            </w:pPr>
            <w:r>
              <w:rPr>
                <w:color w:val="231F20"/>
                <w:sz w:val="14"/>
              </w:rPr>
              <w:t>Само опажање.</w:t>
            </w:r>
          </w:p>
          <w:p w:rsidR="00041039" w:rsidRDefault="001B26CB">
            <w:pPr>
              <w:pStyle w:val="TableParagraph"/>
              <w:numPr>
                <w:ilvl w:val="0"/>
                <w:numId w:val="1745"/>
              </w:numPr>
              <w:tabs>
                <w:tab w:val="left" w:pos="157"/>
              </w:tabs>
              <w:spacing w:line="150" w:lineRule="exact"/>
              <w:ind w:hanging="99"/>
              <w:rPr>
                <w:sz w:val="14"/>
              </w:rPr>
            </w:pPr>
            <w:r>
              <w:rPr>
                <w:color w:val="231F20"/>
                <w:sz w:val="14"/>
              </w:rPr>
              <w:t>Прва</w:t>
            </w:r>
            <w:r>
              <w:rPr>
                <w:color w:val="231F20"/>
                <w:spacing w:val="-1"/>
                <w:sz w:val="14"/>
              </w:rPr>
              <w:t xml:space="preserve"> </w:t>
            </w:r>
            <w:r>
              <w:rPr>
                <w:color w:val="231F20"/>
                <w:sz w:val="14"/>
              </w:rPr>
              <w:t>импресија.</w:t>
            </w:r>
          </w:p>
          <w:p w:rsidR="00041039" w:rsidRDefault="001B26CB">
            <w:pPr>
              <w:pStyle w:val="TableParagraph"/>
              <w:numPr>
                <w:ilvl w:val="0"/>
                <w:numId w:val="1745"/>
              </w:numPr>
              <w:tabs>
                <w:tab w:val="left" w:pos="157"/>
              </w:tabs>
              <w:spacing w:line="150" w:lineRule="exact"/>
              <w:ind w:hanging="99"/>
              <w:rPr>
                <w:sz w:val="14"/>
              </w:rPr>
            </w:pPr>
            <w:r>
              <w:rPr>
                <w:color w:val="231F20"/>
                <w:sz w:val="14"/>
              </w:rPr>
              <w:t>Појам</w:t>
            </w:r>
            <w:r>
              <w:rPr>
                <w:color w:val="231F20"/>
                <w:spacing w:val="-2"/>
                <w:sz w:val="14"/>
              </w:rPr>
              <w:t xml:space="preserve"> </w:t>
            </w:r>
            <w:r>
              <w:rPr>
                <w:color w:val="231F20"/>
                <w:sz w:val="14"/>
              </w:rPr>
              <w:t>социјализације.</w:t>
            </w:r>
          </w:p>
          <w:p w:rsidR="00041039" w:rsidRDefault="001B26CB">
            <w:pPr>
              <w:pStyle w:val="TableParagraph"/>
              <w:numPr>
                <w:ilvl w:val="0"/>
                <w:numId w:val="1745"/>
              </w:numPr>
              <w:tabs>
                <w:tab w:val="left" w:pos="157"/>
              </w:tabs>
              <w:spacing w:line="150" w:lineRule="exact"/>
              <w:ind w:hanging="99"/>
              <w:rPr>
                <w:sz w:val="14"/>
              </w:rPr>
            </w:pPr>
            <w:r>
              <w:rPr>
                <w:color w:val="231F20"/>
                <w:sz w:val="14"/>
              </w:rPr>
              <w:t>Породица (односи у</w:t>
            </w:r>
            <w:r>
              <w:rPr>
                <w:color w:val="231F20"/>
                <w:spacing w:val="-3"/>
                <w:sz w:val="14"/>
              </w:rPr>
              <w:t xml:space="preserve"> </w:t>
            </w:r>
            <w:r>
              <w:rPr>
                <w:color w:val="231F20"/>
                <w:sz w:val="14"/>
              </w:rPr>
              <w:t>породици).</w:t>
            </w:r>
          </w:p>
          <w:p w:rsidR="00041039" w:rsidRDefault="001B26CB">
            <w:pPr>
              <w:pStyle w:val="TableParagraph"/>
              <w:numPr>
                <w:ilvl w:val="0"/>
                <w:numId w:val="1745"/>
              </w:numPr>
              <w:tabs>
                <w:tab w:val="left" w:pos="157"/>
              </w:tabs>
              <w:spacing w:line="150" w:lineRule="exact"/>
              <w:ind w:hanging="99"/>
              <w:rPr>
                <w:sz w:val="14"/>
              </w:rPr>
            </w:pPr>
            <w:r>
              <w:rPr>
                <w:color w:val="231F20"/>
                <w:spacing w:val="-3"/>
                <w:sz w:val="14"/>
              </w:rPr>
              <w:t xml:space="preserve">Школа </w:t>
            </w:r>
            <w:r>
              <w:rPr>
                <w:color w:val="231F20"/>
                <w:sz w:val="14"/>
              </w:rPr>
              <w:t>­</w:t>
            </w:r>
            <w:r>
              <w:rPr>
                <w:color w:val="231F20"/>
                <w:spacing w:val="2"/>
                <w:sz w:val="14"/>
              </w:rPr>
              <w:t xml:space="preserve"> </w:t>
            </w:r>
            <w:r>
              <w:rPr>
                <w:color w:val="231F20"/>
                <w:sz w:val="14"/>
              </w:rPr>
              <w:t>обавезе.</w:t>
            </w:r>
          </w:p>
          <w:p w:rsidR="00041039" w:rsidRDefault="001B26CB">
            <w:pPr>
              <w:pStyle w:val="TableParagraph"/>
              <w:numPr>
                <w:ilvl w:val="0"/>
                <w:numId w:val="1745"/>
              </w:numPr>
              <w:tabs>
                <w:tab w:val="left" w:pos="157"/>
              </w:tabs>
              <w:spacing w:line="150" w:lineRule="exact"/>
              <w:ind w:hanging="99"/>
              <w:rPr>
                <w:sz w:val="14"/>
              </w:rPr>
            </w:pPr>
            <w:r>
              <w:rPr>
                <w:color w:val="231F20"/>
                <w:sz w:val="14"/>
              </w:rPr>
              <w:t>Вршњаци.</w:t>
            </w:r>
          </w:p>
          <w:p w:rsidR="00041039" w:rsidRDefault="001B26CB">
            <w:pPr>
              <w:pStyle w:val="TableParagraph"/>
              <w:numPr>
                <w:ilvl w:val="0"/>
                <w:numId w:val="1745"/>
              </w:numPr>
              <w:tabs>
                <w:tab w:val="left" w:pos="157"/>
              </w:tabs>
              <w:spacing w:line="161" w:lineRule="exact"/>
              <w:ind w:hanging="99"/>
              <w:rPr>
                <w:sz w:val="14"/>
              </w:rPr>
            </w:pPr>
            <w:r>
              <w:rPr>
                <w:color w:val="231F20"/>
                <w:sz w:val="14"/>
              </w:rPr>
              <w:t>Средства масовних</w:t>
            </w:r>
            <w:r>
              <w:rPr>
                <w:color w:val="231F20"/>
                <w:spacing w:val="-2"/>
                <w:sz w:val="14"/>
              </w:rPr>
              <w:t xml:space="preserve"> </w:t>
            </w:r>
            <w:r>
              <w:rPr>
                <w:color w:val="231F20"/>
                <w:sz w:val="14"/>
              </w:rPr>
              <w:t>комуникација.</w:t>
            </w:r>
          </w:p>
        </w:tc>
        <w:tc>
          <w:tcPr>
            <w:tcW w:w="2267" w:type="dxa"/>
            <w:vMerge/>
            <w:tcBorders>
              <w:top w:val="nil"/>
            </w:tcBorders>
          </w:tcPr>
          <w:p w:rsidR="00041039" w:rsidRDefault="00041039">
            <w:pPr>
              <w:rPr>
                <w:sz w:val="2"/>
                <w:szCs w:val="2"/>
              </w:rPr>
            </w:pPr>
          </w:p>
        </w:tc>
      </w:tr>
      <w:tr w:rsidR="00041039">
        <w:trPr>
          <w:trHeight w:val="1850"/>
        </w:trPr>
        <w:tc>
          <w:tcPr>
            <w:tcW w:w="1304" w:type="dxa"/>
          </w:tcPr>
          <w:p w:rsidR="00041039" w:rsidRDefault="001B26CB">
            <w:pPr>
              <w:pStyle w:val="TableParagraph"/>
              <w:spacing w:before="15"/>
              <w:ind w:left="56"/>
              <w:rPr>
                <w:sz w:val="14"/>
              </w:rPr>
            </w:pPr>
            <w:r>
              <w:rPr>
                <w:color w:val="231F20"/>
                <w:sz w:val="14"/>
              </w:rPr>
              <w:t>Учење</w:t>
            </w:r>
          </w:p>
        </w:tc>
        <w:tc>
          <w:tcPr>
            <w:tcW w:w="1587" w:type="dxa"/>
          </w:tcPr>
          <w:p w:rsidR="00041039" w:rsidRDefault="001B26CB">
            <w:pPr>
              <w:pStyle w:val="TableParagraph"/>
              <w:numPr>
                <w:ilvl w:val="0"/>
                <w:numId w:val="1744"/>
              </w:numPr>
              <w:tabs>
                <w:tab w:val="left" w:pos="157"/>
              </w:tabs>
              <w:spacing w:before="15" w:line="223" w:lineRule="auto"/>
              <w:ind w:right="110"/>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1"/>
                <w:sz w:val="14"/>
              </w:rPr>
              <w:t xml:space="preserve"> </w:t>
            </w:r>
            <w:r>
              <w:rPr>
                <w:color w:val="231F20"/>
                <w:sz w:val="14"/>
              </w:rPr>
              <w:t>учења.</w:t>
            </w:r>
          </w:p>
        </w:tc>
        <w:tc>
          <w:tcPr>
            <w:tcW w:w="2551" w:type="dxa"/>
          </w:tcPr>
          <w:p w:rsidR="00041039" w:rsidRDefault="001B26CB">
            <w:pPr>
              <w:pStyle w:val="TableParagraph"/>
              <w:numPr>
                <w:ilvl w:val="0"/>
                <w:numId w:val="1743"/>
              </w:numPr>
              <w:tabs>
                <w:tab w:val="left" w:pos="157"/>
              </w:tabs>
              <w:spacing w:before="15" w:line="223" w:lineRule="auto"/>
              <w:ind w:right="259" w:hanging="99"/>
              <w:rPr>
                <w:sz w:val="14"/>
              </w:rPr>
            </w:pPr>
            <w:r>
              <w:rPr>
                <w:color w:val="231F20"/>
                <w:sz w:val="14"/>
              </w:rPr>
              <w:t>објасни шта је учење наведе које</w:t>
            </w:r>
            <w:r>
              <w:rPr>
                <w:color w:val="231F20"/>
                <w:spacing w:val="-15"/>
                <w:sz w:val="14"/>
              </w:rPr>
              <w:t xml:space="preserve"> </w:t>
            </w:r>
            <w:r>
              <w:rPr>
                <w:color w:val="231F20"/>
                <w:sz w:val="14"/>
              </w:rPr>
              <w:t>су врсте</w:t>
            </w:r>
            <w:r>
              <w:rPr>
                <w:color w:val="231F20"/>
                <w:spacing w:val="-2"/>
                <w:sz w:val="14"/>
              </w:rPr>
              <w:t xml:space="preserve"> </w:t>
            </w:r>
            <w:r>
              <w:rPr>
                <w:color w:val="231F20"/>
                <w:sz w:val="14"/>
              </w:rPr>
              <w:t>учења;</w:t>
            </w:r>
          </w:p>
          <w:p w:rsidR="00041039" w:rsidRDefault="001B26CB">
            <w:pPr>
              <w:pStyle w:val="TableParagraph"/>
              <w:numPr>
                <w:ilvl w:val="0"/>
                <w:numId w:val="1743"/>
              </w:numPr>
              <w:tabs>
                <w:tab w:val="left" w:pos="157"/>
              </w:tabs>
              <w:spacing w:before="2" w:line="150" w:lineRule="exact"/>
              <w:ind w:right="160" w:hanging="99"/>
              <w:rPr>
                <w:sz w:val="14"/>
              </w:rPr>
            </w:pPr>
            <w:r>
              <w:rPr>
                <w:color w:val="231F20"/>
                <w:sz w:val="14"/>
              </w:rPr>
              <w:t>објасни шта је социјално учење и на­ веде које су врсте социјалног</w:t>
            </w:r>
            <w:r>
              <w:rPr>
                <w:color w:val="231F20"/>
                <w:spacing w:val="-17"/>
                <w:sz w:val="14"/>
              </w:rPr>
              <w:t xml:space="preserve"> </w:t>
            </w:r>
            <w:r>
              <w:rPr>
                <w:color w:val="231F20"/>
                <w:sz w:val="14"/>
              </w:rPr>
              <w:t>учења;</w:t>
            </w:r>
          </w:p>
          <w:p w:rsidR="00041039" w:rsidRDefault="001B26CB">
            <w:pPr>
              <w:pStyle w:val="TableParagraph"/>
              <w:numPr>
                <w:ilvl w:val="0"/>
                <w:numId w:val="1743"/>
              </w:numPr>
              <w:tabs>
                <w:tab w:val="left" w:pos="157"/>
              </w:tabs>
              <w:spacing w:line="140" w:lineRule="exact"/>
              <w:ind w:hanging="99"/>
              <w:rPr>
                <w:sz w:val="14"/>
              </w:rPr>
            </w:pPr>
            <w:r>
              <w:rPr>
                <w:color w:val="231F20"/>
                <w:sz w:val="14"/>
              </w:rPr>
              <w:t>објасни шта је класично</w:t>
            </w:r>
            <w:r>
              <w:rPr>
                <w:color w:val="231F20"/>
                <w:spacing w:val="-2"/>
                <w:sz w:val="14"/>
              </w:rPr>
              <w:t xml:space="preserve"> </w:t>
            </w:r>
            <w:r>
              <w:rPr>
                <w:color w:val="231F20"/>
                <w:sz w:val="14"/>
              </w:rPr>
              <w:t>условљавање;</w:t>
            </w:r>
          </w:p>
          <w:p w:rsidR="00041039" w:rsidRDefault="001B26CB">
            <w:pPr>
              <w:pStyle w:val="TableParagraph"/>
              <w:numPr>
                <w:ilvl w:val="0"/>
                <w:numId w:val="1743"/>
              </w:numPr>
              <w:tabs>
                <w:tab w:val="left" w:pos="157"/>
              </w:tabs>
              <w:spacing w:line="150" w:lineRule="exact"/>
              <w:ind w:hanging="99"/>
              <w:rPr>
                <w:sz w:val="14"/>
              </w:rPr>
            </w:pPr>
            <w:r>
              <w:rPr>
                <w:color w:val="231F20"/>
                <w:sz w:val="14"/>
              </w:rPr>
              <w:t>објасни шта је инструментално</w:t>
            </w:r>
            <w:r>
              <w:rPr>
                <w:color w:val="231F20"/>
                <w:spacing w:val="-5"/>
                <w:sz w:val="14"/>
              </w:rPr>
              <w:t xml:space="preserve"> </w:t>
            </w:r>
            <w:r>
              <w:rPr>
                <w:color w:val="231F20"/>
                <w:sz w:val="14"/>
              </w:rPr>
              <w:t>учење;</w:t>
            </w:r>
          </w:p>
          <w:p w:rsidR="00041039" w:rsidRDefault="001B26CB">
            <w:pPr>
              <w:pStyle w:val="TableParagraph"/>
              <w:numPr>
                <w:ilvl w:val="0"/>
                <w:numId w:val="1743"/>
              </w:numPr>
              <w:tabs>
                <w:tab w:val="left" w:pos="157"/>
              </w:tabs>
              <w:spacing w:line="223" w:lineRule="auto"/>
              <w:ind w:right="151" w:hanging="99"/>
              <w:rPr>
                <w:sz w:val="14"/>
              </w:rPr>
            </w:pPr>
            <w:r>
              <w:rPr>
                <w:color w:val="231F20"/>
                <w:sz w:val="14"/>
              </w:rPr>
              <w:t>објасни шта је учење по моделу и</w:t>
            </w:r>
            <w:r>
              <w:rPr>
                <w:color w:val="231F20"/>
                <w:spacing w:val="-11"/>
                <w:sz w:val="14"/>
              </w:rPr>
              <w:t xml:space="preserve"> </w:t>
            </w:r>
            <w:r>
              <w:rPr>
                <w:color w:val="231F20"/>
                <w:sz w:val="14"/>
              </w:rPr>
              <w:t>на­ веде врсте тог</w:t>
            </w:r>
            <w:r>
              <w:rPr>
                <w:color w:val="231F20"/>
                <w:spacing w:val="-2"/>
                <w:sz w:val="14"/>
              </w:rPr>
              <w:t xml:space="preserve"> </w:t>
            </w:r>
            <w:r>
              <w:rPr>
                <w:color w:val="231F20"/>
                <w:sz w:val="14"/>
              </w:rPr>
              <w:t>учења;</w:t>
            </w:r>
          </w:p>
          <w:p w:rsidR="00041039" w:rsidRDefault="001B26CB">
            <w:pPr>
              <w:pStyle w:val="TableParagraph"/>
              <w:numPr>
                <w:ilvl w:val="0"/>
                <w:numId w:val="1743"/>
              </w:numPr>
              <w:tabs>
                <w:tab w:val="left" w:pos="157"/>
              </w:tabs>
              <w:spacing w:line="142" w:lineRule="exact"/>
              <w:ind w:hanging="99"/>
              <w:rPr>
                <w:sz w:val="14"/>
              </w:rPr>
            </w:pPr>
            <w:r>
              <w:rPr>
                <w:color w:val="231F20"/>
                <w:sz w:val="14"/>
              </w:rPr>
              <w:t>објасни методе</w:t>
            </w:r>
            <w:r>
              <w:rPr>
                <w:color w:val="231F20"/>
                <w:spacing w:val="-7"/>
                <w:sz w:val="14"/>
              </w:rPr>
              <w:t xml:space="preserve"> </w:t>
            </w:r>
            <w:r>
              <w:rPr>
                <w:color w:val="231F20"/>
                <w:sz w:val="14"/>
              </w:rPr>
              <w:t>учења;</w:t>
            </w:r>
          </w:p>
          <w:p w:rsidR="00041039" w:rsidRDefault="001B26CB">
            <w:pPr>
              <w:pStyle w:val="TableParagraph"/>
              <w:numPr>
                <w:ilvl w:val="0"/>
                <w:numId w:val="1743"/>
              </w:numPr>
              <w:tabs>
                <w:tab w:val="left" w:pos="157"/>
              </w:tabs>
              <w:spacing w:line="150" w:lineRule="exact"/>
              <w:ind w:hanging="99"/>
              <w:rPr>
                <w:sz w:val="14"/>
              </w:rPr>
            </w:pPr>
            <w:r>
              <w:rPr>
                <w:color w:val="231F20"/>
                <w:sz w:val="14"/>
              </w:rPr>
              <w:t>направи индивидуални план</w:t>
            </w:r>
            <w:r>
              <w:rPr>
                <w:color w:val="231F20"/>
                <w:spacing w:val="-9"/>
                <w:sz w:val="14"/>
              </w:rPr>
              <w:t xml:space="preserve"> </w:t>
            </w:r>
            <w:r>
              <w:rPr>
                <w:color w:val="231F20"/>
                <w:sz w:val="14"/>
              </w:rPr>
              <w:t>учења;</w:t>
            </w:r>
          </w:p>
          <w:p w:rsidR="00041039" w:rsidRDefault="001B26CB">
            <w:pPr>
              <w:pStyle w:val="TableParagraph"/>
              <w:numPr>
                <w:ilvl w:val="0"/>
                <w:numId w:val="1743"/>
              </w:numPr>
              <w:tabs>
                <w:tab w:val="left" w:pos="157"/>
              </w:tabs>
              <w:spacing w:line="223" w:lineRule="auto"/>
              <w:ind w:right="52" w:hanging="99"/>
              <w:rPr>
                <w:sz w:val="14"/>
              </w:rPr>
            </w:pPr>
            <w:r>
              <w:rPr>
                <w:color w:val="231F20"/>
                <w:sz w:val="14"/>
              </w:rPr>
              <w:t>објасни процес доношења одлуке и</w:t>
            </w:r>
            <w:r>
              <w:rPr>
                <w:color w:val="231F20"/>
                <w:spacing w:val="-13"/>
                <w:sz w:val="14"/>
              </w:rPr>
              <w:t xml:space="preserve"> </w:t>
            </w:r>
            <w:r>
              <w:rPr>
                <w:color w:val="231F20"/>
                <w:sz w:val="14"/>
              </w:rPr>
              <w:t>на­ чин дефинисања и остварења</w:t>
            </w:r>
            <w:r>
              <w:rPr>
                <w:color w:val="231F20"/>
                <w:spacing w:val="-2"/>
                <w:sz w:val="14"/>
              </w:rPr>
              <w:t xml:space="preserve"> </w:t>
            </w:r>
            <w:r>
              <w:rPr>
                <w:color w:val="231F20"/>
                <w:sz w:val="14"/>
              </w:rPr>
              <w:t>циља;</w:t>
            </w:r>
          </w:p>
        </w:tc>
        <w:tc>
          <w:tcPr>
            <w:tcW w:w="2834" w:type="dxa"/>
          </w:tcPr>
          <w:p w:rsidR="00041039" w:rsidRDefault="001B26CB">
            <w:pPr>
              <w:pStyle w:val="TableParagraph"/>
              <w:numPr>
                <w:ilvl w:val="0"/>
                <w:numId w:val="1742"/>
              </w:numPr>
              <w:tabs>
                <w:tab w:val="left" w:pos="158"/>
              </w:tabs>
              <w:spacing w:before="5" w:line="161" w:lineRule="exact"/>
              <w:rPr>
                <w:sz w:val="14"/>
              </w:rPr>
            </w:pPr>
            <w:r>
              <w:rPr>
                <w:color w:val="231F20"/>
                <w:sz w:val="14"/>
              </w:rPr>
              <w:t>Учење и врсте</w:t>
            </w:r>
            <w:r>
              <w:rPr>
                <w:color w:val="231F20"/>
                <w:spacing w:val="-3"/>
                <w:sz w:val="14"/>
              </w:rPr>
              <w:t xml:space="preserve"> </w:t>
            </w:r>
            <w:r>
              <w:rPr>
                <w:color w:val="231F20"/>
                <w:sz w:val="14"/>
              </w:rPr>
              <w:t>учења.</w:t>
            </w:r>
          </w:p>
          <w:p w:rsidR="00041039" w:rsidRDefault="001B26CB">
            <w:pPr>
              <w:pStyle w:val="TableParagraph"/>
              <w:numPr>
                <w:ilvl w:val="0"/>
                <w:numId w:val="1742"/>
              </w:numPr>
              <w:tabs>
                <w:tab w:val="left" w:pos="158"/>
              </w:tabs>
              <w:spacing w:line="150" w:lineRule="exact"/>
              <w:rPr>
                <w:sz w:val="14"/>
              </w:rPr>
            </w:pPr>
            <w:r>
              <w:rPr>
                <w:color w:val="231F20"/>
                <w:sz w:val="14"/>
              </w:rPr>
              <w:t>Социјално учење и</w:t>
            </w:r>
            <w:r>
              <w:rPr>
                <w:color w:val="231F20"/>
                <w:spacing w:val="-3"/>
                <w:sz w:val="14"/>
              </w:rPr>
              <w:t xml:space="preserve"> </w:t>
            </w:r>
            <w:r>
              <w:rPr>
                <w:color w:val="231F20"/>
                <w:sz w:val="14"/>
              </w:rPr>
              <w:t>врсте.</w:t>
            </w:r>
          </w:p>
          <w:p w:rsidR="00041039" w:rsidRDefault="001B26CB">
            <w:pPr>
              <w:pStyle w:val="TableParagraph"/>
              <w:numPr>
                <w:ilvl w:val="0"/>
                <w:numId w:val="1742"/>
              </w:numPr>
              <w:tabs>
                <w:tab w:val="left" w:pos="158"/>
              </w:tabs>
              <w:spacing w:line="150" w:lineRule="exact"/>
              <w:rPr>
                <w:sz w:val="14"/>
              </w:rPr>
            </w:pPr>
            <w:r>
              <w:rPr>
                <w:color w:val="231F20"/>
                <w:sz w:val="14"/>
              </w:rPr>
              <w:t>Класично</w:t>
            </w:r>
            <w:r>
              <w:rPr>
                <w:color w:val="231F20"/>
                <w:spacing w:val="-2"/>
                <w:sz w:val="14"/>
              </w:rPr>
              <w:t xml:space="preserve"> </w:t>
            </w:r>
            <w:r>
              <w:rPr>
                <w:color w:val="231F20"/>
                <w:sz w:val="14"/>
              </w:rPr>
              <w:t>условљавање.</w:t>
            </w:r>
          </w:p>
          <w:p w:rsidR="00041039" w:rsidRDefault="001B26CB">
            <w:pPr>
              <w:pStyle w:val="TableParagraph"/>
              <w:numPr>
                <w:ilvl w:val="0"/>
                <w:numId w:val="1742"/>
              </w:numPr>
              <w:tabs>
                <w:tab w:val="left" w:pos="158"/>
              </w:tabs>
              <w:spacing w:line="150" w:lineRule="exact"/>
              <w:rPr>
                <w:sz w:val="14"/>
              </w:rPr>
            </w:pPr>
            <w:r>
              <w:rPr>
                <w:color w:val="231F20"/>
                <w:sz w:val="14"/>
              </w:rPr>
              <w:t>Инструментално</w:t>
            </w:r>
            <w:r>
              <w:rPr>
                <w:color w:val="231F20"/>
                <w:spacing w:val="-7"/>
                <w:sz w:val="14"/>
              </w:rPr>
              <w:t xml:space="preserve"> </w:t>
            </w:r>
            <w:r>
              <w:rPr>
                <w:color w:val="231F20"/>
                <w:sz w:val="14"/>
              </w:rPr>
              <w:t>учење.</w:t>
            </w:r>
          </w:p>
          <w:p w:rsidR="00041039" w:rsidRDefault="001B26CB">
            <w:pPr>
              <w:pStyle w:val="TableParagraph"/>
              <w:numPr>
                <w:ilvl w:val="0"/>
                <w:numId w:val="1742"/>
              </w:numPr>
              <w:tabs>
                <w:tab w:val="left" w:pos="158"/>
              </w:tabs>
              <w:spacing w:line="150" w:lineRule="exact"/>
              <w:rPr>
                <w:sz w:val="14"/>
              </w:rPr>
            </w:pPr>
            <w:r>
              <w:rPr>
                <w:color w:val="231F20"/>
                <w:sz w:val="14"/>
              </w:rPr>
              <w:t>Учење по</w:t>
            </w:r>
            <w:r>
              <w:rPr>
                <w:color w:val="231F20"/>
                <w:spacing w:val="-2"/>
                <w:sz w:val="14"/>
              </w:rPr>
              <w:t xml:space="preserve"> </w:t>
            </w:r>
            <w:r>
              <w:rPr>
                <w:color w:val="231F20"/>
                <w:spacing w:val="-3"/>
                <w:sz w:val="14"/>
              </w:rPr>
              <w:t>моделу.</w:t>
            </w:r>
          </w:p>
          <w:p w:rsidR="00041039" w:rsidRDefault="001B26CB">
            <w:pPr>
              <w:pStyle w:val="TableParagraph"/>
              <w:numPr>
                <w:ilvl w:val="0"/>
                <w:numId w:val="1742"/>
              </w:numPr>
              <w:tabs>
                <w:tab w:val="left" w:pos="158"/>
              </w:tabs>
              <w:spacing w:line="150" w:lineRule="exact"/>
              <w:rPr>
                <w:sz w:val="14"/>
              </w:rPr>
            </w:pPr>
            <w:r>
              <w:rPr>
                <w:color w:val="231F20"/>
                <w:sz w:val="14"/>
              </w:rPr>
              <w:t>Методе</w:t>
            </w:r>
            <w:r>
              <w:rPr>
                <w:color w:val="231F20"/>
                <w:spacing w:val="-1"/>
                <w:sz w:val="14"/>
              </w:rPr>
              <w:t xml:space="preserve"> </w:t>
            </w:r>
            <w:r>
              <w:rPr>
                <w:color w:val="231F20"/>
                <w:sz w:val="14"/>
              </w:rPr>
              <w:t>учења.</w:t>
            </w:r>
          </w:p>
          <w:p w:rsidR="00041039" w:rsidRDefault="001B26CB">
            <w:pPr>
              <w:pStyle w:val="TableParagraph"/>
              <w:numPr>
                <w:ilvl w:val="0"/>
                <w:numId w:val="1742"/>
              </w:numPr>
              <w:tabs>
                <w:tab w:val="left" w:pos="158"/>
              </w:tabs>
              <w:spacing w:line="150" w:lineRule="exact"/>
              <w:rPr>
                <w:sz w:val="14"/>
              </w:rPr>
            </w:pPr>
            <w:r>
              <w:rPr>
                <w:color w:val="231F20"/>
                <w:sz w:val="14"/>
              </w:rPr>
              <w:t>План</w:t>
            </w:r>
            <w:r>
              <w:rPr>
                <w:color w:val="231F20"/>
                <w:spacing w:val="-2"/>
                <w:sz w:val="14"/>
              </w:rPr>
              <w:t xml:space="preserve"> </w:t>
            </w:r>
            <w:r>
              <w:rPr>
                <w:color w:val="231F20"/>
                <w:sz w:val="14"/>
              </w:rPr>
              <w:t>учења.</w:t>
            </w:r>
          </w:p>
          <w:p w:rsidR="00041039" w:rsidRDefault="001B26CB">
            <w:pPr>
              <w:pStyle w:val="TableParagraph"/>
              <w:numPr>
                <w:ilvl w:val="0"/>
                <w:numId w:val="1742"/>
              </w:numPr>
              <w:tabs>
                <w:tab w:val="left" w:pos="158"/>
              </w:tabs>
              <w:spacing w:line="161" w:lineRule="exact"/>
              <w:rPr>
                <w:sz w:val="14"/>
              </w:rPr>
            </w:pPr>
            <w:r>
              <w:rPr>
                <w:color w:val="231F20"/>
                <w:sz w:val="14"/>
              </w:rPr>
              <w:t>Доношење одлука (остварење</w:t>
            </w:r>
            <w:r>
              <w:rPr>
                <w:color w:val="231F20"/>
                <w:spacing w:val="-5"/>
                <w:sz w:val="14"/>
              </w:rPr>
              <w:t xml:space="preserve"> </w:t>
            </w:r>
            <w:r>
              <w:rPr>
                <w:color w:val="231F20"/>
                <w:sz w:val="14"/>
              </w:rPr>
              <w:t>циља).</w:t>
            </w:r>
          </w:p>
        </w:tc>
        <w:tc>
          <w:tcPr>
            <w:tcW w:w="2267" w:type="dxa"/>
            <w:vMerge/>
            <w:tcBorders>
              <w:top w:val="nil"/>
            </w:tcBorders>
          </w:tcPr>
          <w:p w:rsidR="00041039" w:rsidRDefault="00041039">
            <w:pPr>
              <w:rPr>
                <w:sz w:val="2"/>
                <w:szCs w:val="2"/>
              </w:rPr>
            </w:pPr>
          </w:p>
        </w:tc>
      </w:tr>
      <w:tr w:rsidR="00041039">
        <w:trPr>
          <w:trHeight w:val="1100"/>
        </w:trPr>
        <w:tc>
          <w:tcPr>
            <w:tcW w:w="1304" w:type="dxa"/>
          </w:tcPr>
          <w:p w:rsidR="00041039" w:rsidRDefault="001B26CB">
            <w:pPr>
              <w:pStyle w:val="TableParagraph"/>
              <w:spacing w:before="14"/>
              <w:ind w:left="57"/>
              <w:rPr>
                <w:sz w:val="14"/>
              </w:rPr>
            </w:pPr>
            <w:r>
              <w:rPr>
                <w:color w:val="231F20"/>
                <w:sz w:val="14"/>
              </w:rPr>
              <w:t>Памћење</w:t>
            </w:r>
          </w:p>
        </w:tc>
        <w:tc>
          <w:tcPr>
            <w:tcW w:w="1587" w:type="dxa"/>
          </w:tcPr>
          <w:p w:rsidR="00041039" w:rsidRDefault="001B26CB">
            <w:pPr>
              <w:pStyle w:val="TableParagraph"/>
              <w:numPr>
                <w:ilvl w:val="0"/>
                <w:numId w:val="1741"/>
              </w:numPr>
              <w:tabs>
                <w:tab w:val="left" w:pos="157"/>
              </w:tabs>
              <w:spacing w:before="14" w:line="223" w:lineRule="auto"/>
              <w:ind w:right="110" w:hanging="99"/>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1"/>
                <w:sz w:val="14"/>
              </w:rPr>
              <w:t xml:space="preserve"> </w:t>
            </w:r>
            <w:r>
              <w:rPr>
                <w:color w:val="231F20"/>
                <w:sz w:val="14"/>
              </w:rPr>
              <w:t>памћења.</w:t>
            </w:r>
          </w:p>
        </w:tc>
        <w:tc>
          <w:tcPr>
            <w:tcW w:w="2551" w:type="dxa"/>
          </w:tcPr>
          <w:p w:rsidR="00041039" w:rsidRDefault="001B26CB">
            <w:pPr>
              <w:pStyle w:val="TableParagraph"/>
              <w:numPr>
                <w:ilvl w:val="0"/>
                <w:numId w:val="1740"/>
              </w:numPr>
              <w:tabs>
                <w:tab w:val="left" w:pos="157"/>
              </w:tabs>
              <w:spacing w:before="4" w:line="161" w:lineRule="exact"/>
              <w:ind w:hanging="99"/>
              <w:rPr>
                <w:sz w:val="14"/>
              </w:rPr>
            </w:pPr>
            <w:r>
              <w:rPr>
                <w:color w:val="231F20"/>
                <w:sz w:val="14"/>
              </w:rPr>
              <w:t>објасни шта је</w:t>
            </w:r>
            <w:r>
              <w:rPr>
                <w:color w:val="231F20"/>
                <w:spacing w:val="-1"/>
                <w:sz w:val="14"/>
              </w:rPr>
              <w:t xml:space="preserve"> </w:t>
            </w:r>
            <w:r>
              <w:rPr>
                <w:color w:val="231F20"/>
                <w:sz w:val="14"/>
              </w:rPr>
              <w:t>памћење;</w:t>
            </w:r>
          </w:p>
          <w:p w:rsidR="00041039" w:rsidRDefault="001B26CB">
            <w:pPr>
              <w:pStyle w:val="TableParagraph"/>
              <w:numPr>
                <w:ilvl w:val="0"/>
                <w:numId w:val="1740"/>
              </w:numPr>
              <w:tabs>
                <w:tab w:val="left" w:pos="157"/>
              </w:tabs>
              <w:spacing w:line="223" w:lineRule="auto"/>
              <w:ind w:right="170" w:hanging="99"/>
              <w:rPr>
                <w:sz w:val="14"/>
              </w:rPr>
            </w:pPr>
            <w:r>
              <w:rPr>
                <w:color w:val="231F20"/>
                <w:sz w:val="14"/>
              </w:rPr>
              <w:t>објасни карактеристике сензорног, краткорочног</w:t>
            </w:r>
            <w:r>
              <w:rPr>
                <w:color w:val="231F20"/>
                <w:spacing w:val="-10"/>
                <w:sz w:val="14"/>
              </w:rPr>
              <w:t xml:space="preserve"> </w:t>
            </w:r>
            <w:r>
              <w:rPr>
                <w:color w:val="231F20"/>
                <w:sz w:val="14"/>
              </w:rPr>
              <w:t>и</w:t>
            </w:r>
            <w:r>
              <w:rPr>
                <w:color w:val="231F20"/>
                <w:spacing w:val="-11"/>
                <w:sz w:val="14"/>
              </w:rPr>
              <w:t xml:space="preserve"> </w:t>
            </w:r>
            <w:r>
              <w:rPr>
                <w:color w:val="231F20"/>
                <w:sz w:val="14"/>
              </w:rPr>
              <w:t>дугорочног</w:t>
            </w:r>
            <w:r>
              <w:rPr>
                <w:color w:val="231F20"/>
                <w:spacing w:val="-10"/>
                <w:sz w:val="14"/>
              </w:rPr>
              <w:t xml:space="preserve"> </w:t>
            </w:r>
            <w:r>
              <w:rPr>
                <w:color w:val="231F20"/>
                <w:sz w:val="14"/>
              </w:rPr>
              <w:t>памћења;</w:t>
            </w:r>
          </w:p>
          <w:p w:rsidR="00041039" w:rsidRDefault="001B26CB">
            <w:pPr>
              <w:pStyle w:val="TableParagraph"/>
              <w:numPr>
                <w:ilvl w:val="0"/>
                <w:numId w:val="1740"/>
              </w:numPr>
              <w:tabs>
                <w:tab w:val="left" w:pos="157"/>
              </w:tabs>
              <w:spacing w:before="1" w:line="150" w:lineRule="exact"/>
              <w:ind w:right="334" w:hanging="99"/>
              <w:jc w:val="both"/>
              <w:rPr>
                <w:sz w:val="14"/>
              </w:rPr>
            </w:pPr>
            <w:r>
              <w:rPr>
                <w:color w:val="231F20"/>
                <w:sz w:val="14"/>
              </w:rPr>
              <w:t>објасни карактеристике</w:t>
            </w:r>
            <w:r>
              <w:rPr>
                <w:color w:val="231F20"/>
                <w:spacing w:val="-9"/>
                <w:sz w:val="14"/>
              </w:rPr>
              <w:t xml:space="preserve"> </w:t>
            </w:r>
            <w:r>
              <w:rPr>
                <w:color w:val="231F20"/>
                <w:sz w:val="14"/>
              </w:rPr>
              <w:t xml:space="preserve">семантич­ </w:t>
            </w:r>
            <w:r>
              <w:rPr>
                <w:color w:val="231F20"/>
                <w:spacing w:val="-6"/>
                <w:sz w:val="14"/>
              </w:rPr>
              <w:t xml:space="preserve">ког, </w:t>
            </w:r>
            <w:r>
              <w:rPr>
                <w:color w:val="231F20"/>
                <w:sz w:val="14"/>
              </w:rPr>
              <w:t>епизодичног и процедуралног памћења;</w:t>
            </w:r>
          </w:p>
          <w:p w:rsidR="00041039" w:rsidRDefault="001B26CB">
            <w:pPr>
              <w:pStyle w:val="TableParagraph"/>
              <w:numPr>
                <w:ilvl w:val="0"/>
                <w:numId w:val="1740"/>
              </w:numPr>
              <w:tabs>
                <w:tab w:val="left" w:pos="157"/>
              </w:tabs>
              <w:spacing w:line="151" w:lineRule="exact"/>
              <w:ind w:hanging="99"/>
              <w:jc w:val="both"/>
              <w:rPr>
                <w:sz w:val="14"/>
              </w:rPr>
            </w:pPr>
            <w:r>
              <w:rPr>
                <w:color w:val="231F20"/>
                <w:sz w:val="14"/>
              </w:rPr>
              <w:t>наведе и објасни</w:t>
            </w:r>
            <w:r>
              <w:rPr>
                <w:color w:val="231F20"/>
                <w:spacing w:val="-4"/>
                <w:sz w:val="14"/>
              </w:rPr>
              <w:t xml:space="preserve"> </w:t>
            </w:r>
            <w:r>
              <w:rPr>
                <w:color w:val="231F20"/>
                <w:sz w:val="14"/>
              </w:rPr>
              <w:t>мнемотехнике;</w:t>
            </w:r>
          </w:p>
        </w:tc>
        <w:tc>
          <w:tcPr>
            <w:tcW w:w="2834" w:type="dxa"/>
          </w:tcPr>
          <w:p w:rsidR="00041039" w:rsidRDefault="001B26CB">
            <w:pPr>
              <w:pStyle w:val="TableParagraph"/>
              <w:numPr>
                <w:ilvl w:val="0"/>
                <w:numId w:val="1739"/>
              </w:numPr>
              <w:tabs>
                <w:tab w:val="left" w:pos="158"/>
              </w:tabs>
              <w:spacing w:before="4" w:line="161" w:lineRule="exact"/>
              <w:rPr>
                <w:sz w:val="14"/>
              </w:rPr>
            </w:pPr>
            <w:r>
              <w:rPr>
                <w:color w:val="231F20"/>
                <w:sz w:val="14"/>
              </w:rPr>
              <w:t>Памћење.</w:t>
            </w:r>
          </w:p>
          <w:p w:rsidR="00041039" w:rsidRDefault="001B26CB">
            <w:pPr>
              <w:pStyle w:val="TableParagraph"/>
              <w:numPr>
                <w:ilvl w:val="0"/>
                <w:numId w:val="1739"/>
              </w:numPr>
              <w:tabs>
                <w:tab w:val="left" w:pos="158"/>
              </w:tabs>
              <w:spacing w:line="223" w:lineRule="auto"/>
              <w:ind w:right="521"/>
              <w:rPr>
                <w:sz w:val="14"/>
              </w:rPr>
            </w:pPr>
            <w:r>
              <w:rPr>
                <w:color w:val="231F20"/>
                <w:sz w:val="14"/>
              </w:rPr>
              <w:t>Сензорно, краткорочно и</w:t>
            </w:r>
            <w:r>
              <w:rPr>
                <w:color w:val="231F20"/>
                <w:spacing w:val="-24"/>
                <w:sz w:val="14"/>
              </w:rPr>
              <w:t xml:space="preserve"> </w:t>
            </w:r>
            <w:r>
              <w:rPr>
                <w:color w:val="231F20"/>
                <w:sz w:val="14"/>
              </w:rPr>
              <w:t>дугорочно памћење.</w:t>
            </w:r>
          </w:p>
          <w:p w:rsidR="00041039" w:rsidRDefault="001B26CB">
            <w:pPr>
              <w:pStyle w:val="TableParagraph"/>
              <w:numPr>
                <w:ilvl w:val="0"/>
                <w:numId w:val="1739"/>
              </w:numPr>
              <w:tabs>
                <w:tab w:val="left" w:pos="158"/>
              </w:tabs>
              <w:spacing w:line="150" w:lineRule="exact"/>
              <w:ind w:right="196"/>
              <w:rPr>
                <w:sz w:val="14"/>
              </w:rPr>
            </w:pPr>
            <w:r>
              <w:rPr>
                <w:color w:val="231F20"/>
                <w:sz w:val="14"/>
              </w:rPr>
              <w:t>Семантичко, епизодично и</w:t>
            </w:r>
            <w:r>
              <w:rPr>
                <w:color w:val="231F20"/>
                <w:spacing w:val="-21"/>
                <w:sz w:val="14"/>
              </w:rPr>
              <w:t xml:space="preserve"> </w:t>
            </w:r>
            <w:r>
              <w:rPr>
                <w:color w:val="231F20"/>
                <w:sz w:val="14"/>
              </w:rPr>
              <w:t>процедурално памћење.</w:t>
            </w:r>
          </w:p>
          <w:p w:rsidR="00041039" w:rsidRDefault="001B26CB">
            <w:pPr>
              <w:pStyle w:val="TableParagraph"/>
              <w:numPr>
                <w:ilvl w:val="0"/>
                <w:numId w:val="1739"/>
              </w:numPr>
              <w:tabs>
                <w:tab w:val="left" w:pos="158"/>
              </w:tabs>
              <w:spacing w:line="151" w:lineRule="exact"/>
              <w:rPr>
                <w:sz w:val="14"/>
              </w:rPr>
            </w:pPr>
            <w:r>
              <w:rPr>
                <w:color w:val="231F20"/>
                <w:sz w:val="14"/>
              </w:rPr>
              <w:t>Мнемотехнике.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760"/>
        </w:trPr>
        <w:tc>
          <w:tcPr>
            <w:tcW w:w="1304" w:type="dxa"/>
          </w:tcPr>
          <w:p w:rsidR="00041039" w:rsidRDefault="001B26CB">
            <w:pPr>
              <w:pStyle w:val="TableParagraph"/>
              <w:spacing w:before="18"/>
              <w:ind w:left="56"/>
              <w:rPr>
                <w:sz w:val="14"/>
              </w:rPr>
            </w:pPr>
            <w:r>
              <w:rPr>
                <w:color w:val="231F20"/>
                <w:sz w:val="14"/>
              </w:rPr>
              <w:lastRenderedPageBreak/>
              <w:t>Адолесценција</w:t>
            </w:r>
          </w:p>
        </w:tc>
        <w:tc>
          <w:tcPr>
            <w:tcW w:w="1587" w:type="dxa"/>
          </w:tcPr>
          <w:p w:rsidR="00041039" w:rsidRDefault="001B26CB">
            <w:pPr>
              <w:pStyle w:val="TableParagraph"/>
              <w:numPr>
                <w:ilvl w:val="0"/>
                <w:numId w:val="1738"/>
              </w:numPr>
              <w:tabs>
                <w:tab w:val="left" w:pos="157"/>
              </w:tabs>
              <w:spacing w:before="8"/>
              <w:ind w:right="125"/>
              <w:rPr>
                <w:sz w:val="14"/>
              </w:rPr>
            </w:pPr>
            <w:r>
              <w:rPr>
                <w:color w:val="231F20"/>
                <w:sz w:val="14"/>
              </w:rPr>
              <w:t>Упознавање са</w:t>
            </w:r>
            <w:r>
              <w:rPr>
                <w:color w:val="231F20"/>
                <w:spacing w:val="-16"/>
                <w:sz w:val="14"/>
              </w:rPr>
              <w:t xml:space="preserve"> </w:t>
            </w:r>
            <w:r>
              <w:rPr>
                <w:color w:val="231F20"/>
                <w:sz w:val="14"/>
              </w:rPr>
              <w:t>особе­ ностима адолесцен­ ције.</w:t>
            </w:r>
          </w:p>
        </w:tc>
        <w:tc>
          <w:tcPr>
            <w:tcW w:w="2551" w:type="dxa"/>
          </w:tcPr>
          <w:p w:rsidR="00041039" w:rsidRDefault="001B26CB">
            <w:pPr>
              <w:pStyle w:val="TableParagraph"/>
              <w:numPr>
                <w:ilvl w:val="0"/>
                <w:numId w:val="1737"/>
              </w:numPr>
              <w:tabs>
                <w:tab w:val="left" w:pos="157"/>
              </w:tabs>
              <w:spacing w:before="8"/>
              <w:ind w:right="280" w:hanging="99"/>
              <w:rPr>
                <w:sz w:val="14"/>
              </w:rPr>
            </w:pPr>
            <w:r>
              <w:rPr>
                <w:color w:val="231F20"/>
                <w:sz w:val="14"/>
              </w:rPr>
              <w:t>објасни карактеристике</w:t>
            </w:r>
            <w:r>
              <w:rPr>
                <w:color w:val="231F20"/>
                <w:spacing w:val="-9"/>
                <w:sz w:val="14"/>
              </w:rPr>
              <w:t xml:space="preserve"> </w:t>
            </w:r>
            <w:r>
              <w:rPr>
                <w:color w:val="231F20"/>
                <w:sz w:val="14"/>
              </w:rPr>
              <w:t>адолесцен­ ције;</w:t>
            </w:r>
          </w:p>
          <w:p w:rsidR="00041039" w:rsidRDefault="001B26CB">
            <w:pPr>
              <w:pStyle w:val="TableParagraph"/>
              <w:numPr>
                <w:ilvl w:val="0"/>
                <w:numId w:val="1737"/>
              </w:numPr>
              <w:tabs>
                <w:tab w:val="left" w:pos="157"/>
              </w:tabs>
              <w:spacing w:line="160" w:lineRule="exact"/>
              <w:ind w:right="290" w:hanging="99"/>
              <w:rPr>
                <w:sz w:val="14"/>
              </w:rPr>
            </w:pPr>
            <w:r>
              <w:rPr>
                <w:color w:val="231F20"/>
                <w:sz w:val="14"/>
              </w:rPr>
              <w:t>наведе</w:t>
            </w:r>
            <w:r>
              <w:rPr>
                <w:color w:val="231F20"/>
                <w:spacing w:val="-6"/>
                <w:sz w:val="14"/>
              </w:rPr>
              <w:t xml:space="preserve"> </w:t>
            </w:r>
            <w:r>
              <w:rPr>
                <w:color w:val="231F20"/>
                <w:sz w:val="14"/>
              </w:rPr>
              <w:t>које</w:t>
            </w:r>
            <w:r>
              <w:rPr>
                <w:color w:val="231F20"/>
                <w:spacing w:val="-6"/>
                <w:sz w:val="14"/>
              </w:rPr>
              <w:t xml:space="preserve"> </w:t>
            </w:r>
            <w:r>
              <w:rPr>
                <w:color w:val="231F20"/>
                <w:sz w:val="14"/>
              </w:rPr>
              <w:t>су</w:t>
            </w:r>
            <w:r>
              <w:rPr>
                <w:color w:val="231F20"/>
                <w:spacing w:val="-6"/>
                <w:sz w:val="14"/>
              </w:rPr>
              <w:t xml:space="preserve"> </w:t>
            </w:r>
            <w:r>
              <w:rPr>
                <w:color w:val="231F20"/>
                <w:sz w:val="14"/>
              </w:rPr>
              <w:t>биолошке</w:t>
            </w:r>
            <w:r>
              <w:rPr>
                <w:color w:val="231F20"/>
                <w:spacing w:val="-6"/>
                <w:sz w:val="14"/>
              </w:rPr>
              <w:t xml:space="preserve"> </w:t>
            </w:r>
            <w:r>
              <w:rPr>
                <w:color w:val="231F20"/>
                <w:sz w:val="14"/>
              </w:rPr>
              <w:t>промене</w:t>
            </w:r>
            <w:r>
              <w:rPr>
                <w:color w:val="231F20"/>
                <w:spacing w:val="-6"/>
                <w:sz w:val="14"/>
              </w:rPr>
              <w:t xml:space="preserve"> </w:t>
            </w:r>
            <w:r>
              <w:rPr>
                <w:color w:val="231F20"/>
                <w:sz w:val="14"/>
              </w:rPr>
              <w:t>у адолесценцији;</w:t>
            </w:r>
          </w:p>
          <w:p w:rsidR="00041039" w:rsidRDefault="001B26CB">
            <w:pPr>
              <w:pStyle w:val="TableParagraph"/>
              <w:numPr>
                <w:ilvl w:val="0"/>
                <w:numId w:val="1737"/>
              </w:numPr>
              <w:tabs>
                <w:tab w:val="left" w:pos="157"/>
              </w:tabs>
              <w:spacing w:line="160" w:lineRule="exact"/>
              <w:ind w:right="187" w:hanging="99"/>
              <w:rPr>
                <w:sz w:val="14"/>
              </w:rPr>
            </w:pPr>
            <w:r>
              <w:rPr>
                <w:color w:val="231F20"/>
                <w:sz w:val="14"/>
              </w:rPr>
              <w:t>објасни шта је и који је значај ре­ продуктивног здравља, наведе</w:t>
            </w:r>
            <w:r>
              <w:rPr>
                <w:color w:val="231F20"/>
                <w:spacing w:val="-24"/>
                <w:sz w:val="14"/>
              </w:rPr>
              <w:t xml:space="preserve"> </w:t>
            </w:r>
            <w:r>
              <w:rPr>
                <w:color w:val="231F20"/>
                <w:sz w:val="14"/>
              </w:rPr>
              <w:t>полне болести и начине превенције</w:t>
            </w:r>
            <w:r>
              <w:rPr>
                <w:color w:val="231F20"/>
                <w:spacing w:val="-18"/>
                <w:sz w:val="14"/>
              </w:rPr>
              <w:t xml:space="preserve"> </w:t>
            </w:r>
            <w:r>
              <w:rPr>
                <w:color w:val="231F20"/>
                <w:sz w:val="14"/>
              </w:rPr>
              <w:t>полних болести;</w:t>
            </w:r>
          </w:p>
          <w:p w:rsidR="00041039" w:rsidRDefault="001B26CB">
            <w:pPr>
              <w:pStyle w:val="TableParagraph"/>
              <w:numPr>
                <w:ilvl w:val="0"/>
                <w:numId w:val="1737"/>
              </w:numPr>
              <w:tabs>
                <w:tab w:val="left" w:pos="157"/>
              </w:tabs>
              <w:spacing w:line="153" w:lineRule="exact"/>
              <w:ind w:hanging="99"/>
              <w:rPr>
                <w:sz w:val="14"/>
              </w:rPr>
            </w:pPr>
            <w:r>
              <w:rPr>
                <w:color w:val="231F20"/>
                <w:sz w:val="14"/>
              </w:rPr>
              <w:t>објасни методе</w:t>
            </w:r>
            <w:r>
              <w:rPr>
                <w:color w:val="231F20"/>
                <w:spacing w:val="-2"/>
                <w:sz w:val="14"/>
              </w:rPr>
              <w:t xml:space="preserve"> </w:t>
            </w:r>
            <w:r>
              <w:rPr>
                <w:color w:val="231F20"/>
                <w:sz w:val="14"/>
              </w:rPr>
              <w:t>контрацепције;</w:t>
            </w:r>
          </w:p>
          <w:p w:rsidR="00041039" w:rsidRDefault="001B26CB">
            <w:pPr>
              <w:pStyle w:val="TableParagraph"/>
              <w:numPr>
                <w:ilvl w:val="0"/>
                <w:numId w:val="1737"/>
              </w:numPr>
              <w:tabs>
                <w:tab w:val="left" w:pos="157"/>
              </w:tabs>
              <w:spacing w:line="237" w:lineRule="auto"/>
              <w:ind w:right="457" w:hanging="99"/>
              <w:rPr>
                <w:sz w:val="14"/>
              </w:rPr>
            </w:pPr>
            <w:r>
              <w:rPr>
                <w:color w:val="231F20"/>
                <w:sz w:val="14"/>
              </w:rPr>
              <w:t>наведе које су промене у</w:t>
            </w:r>
            <w:r>
              <w:rPr>
                <w:color w:val="231F20"/>
                <w:spacing w:val="-26"/>
                <w:sz w:val="14"/>
              </w:rPr>
              <w:t xml:space="preserve"> </w:t>
            </w:r>
            <w:r>
              <w:rPr>
                <w:color w:val="231F20"/>
                <w:sz w:val="14"/>
              </w:rPr>
              <w:t>начину размишљања</w:t>
            </w:r>
            <w:r>
              <w:rPr>
                <w:color w:val="231F20"/>
                <w:spacing w:val="-1"/>
                <w:sz w:val="14"/>
              </w:rPr>
              <w:t xml:space="preserve"> </w:t>
            </w:r>
            <w:r>
              <w:rPr>
                <w:color w:val="231F20"/>
                <w:sz w:val="14"/>
              </w:rPr>
              <w:t>адолесцента;</w:t>
            </w:r>
          </w:p>
          <w:p w:rsidR="00041039" w:rsidRDefault="001B26CB">
            <w:pPr>
              <w:pStyle w:val="TableParagraph"/>
              <w:numPr>
                <w:ilvl w:val="0"/>
                <w:numId w:val="1737"/>
              </w:numPr>
              <w:tabs>
                <w:tab w:val="left" w:pos="157"/>
              </w:tabs>
              <w:spacing w:line="160" w:lineRule="exact"/>
              <w:ind w:right="719" w:hanging="99"/>
              <w:rPr>
                <w:sz w:val="14"/>
              </w:rPr>
            </w:pPr>
            <w:r>
              <w:rPr>
                <w:color w:val="231F20"/>
                <w:sz w:val="14"/>
              </w:rPr>
              <w:t>наведе социјалне промене</w:t>
            </w:r>
            <w:r>
              <w:rPr>
                <w:color w:val="231F20"/>
                <w:spacing w:val="-11"/>
                <w:sz w:val="14"/>
              </w:rPr>
              <w:t xml:space="preserve"> </w:t>
            </w:r>
            <w:r>
              <w:rPr>
                <w:color w:val="231F20"/>
                <w:sz w:val="14"/>
              </w:rPr>
              <w:t>у адолесценцији;</w:t>
            </w:r>
          </w:p>
          <w:p w:rsidR="00041039" w:rsidRDefault="001B26CB">
            <w:pPr>
              <w:pStyle w:val="TableParagraph"/>
              <w:numPr>
                <w:ilvl w:val="0"/>
                <w:numId w:val="1737"/>
              </w:numPr>
              <w:tabs>
                <w:tab w:val="left" w:pos="157"/>
              </w:tabs>
              <w:spacing w:line="160" w:lineRule="exact"/>
              <w:ind w:right="496" w:hanging="99"/>
              <w:rPr>
                <w:sz w:val="14"/>
              </w:rPr>
            </w:pPr>
            <w:r>
              <w:rPr>
                <w:color w:val="231F20"/>
                <w:sz w:val="14"/>
              </w:rPr>
              <w:t>наведе које обавезе и права</w:t>
            </w:r>
            <w:r>
              <w:rPr>
                <w:color w:val="231F20"/>
                <w:spacing w:val="-22"/>
                <w:sz w:val="14"/>
              </w:rPr>
              <w:t xml:space="preserve"> </w:t>
            </w:r>
            <w:r>
              <w:rPr>
                <w:color w:val="231F20"/>
                <w:sz w:val="14"/>
              </w:rPr>
              <w:t>има адолесцент;</w:t>
            </w:r>
          </w:p>
          <w:p w:rsidR="00041039" w:rsidRDefault="001B26CB">
            <w:pPr>
              <w:pStyle w:val="TableParagraph"/>
              <w:numPr>
                <w:ilvl w:val="0"/>
                <w:numId w:val="1737"/>
              </w:numPr>
              <w:tabs>
                <w:tab w:val="left" w:pos="157"/>
              </w:tabs>
              <w:spacing w:line="160" w:lineRule="exact"/>
              <w:ind w:right="162" w:hanging="99"/>
              <w:rPr>
                <w:sz w:val="14"/>
              </w:rPr>
            </w:pPr>
            <w:r>
              <w:rPr>
                <w:color w:val="231F20"/>
                <w:sz w:val="14"/>
              </w:rPr>
              <w:t xml:space="preserve">наведе правила сигурности </w:t>
            </w:r>
            <w:r>
              <w:rPr>
                <w:color w:val="231F20"/>
                <w:spacing w:val="-3"/>
                <w:sz w:val="14"/>
              </w:rPr>
              <w:t xml:space="preserve">током </w:t>
            </w:r>
            <w:r>
              <w:rPr>
                <w:color w:val="231F20"/>
                <w:sz w:val="14"/>
              </w:rPr>
              <w:t>из­ лазака са</w:t>
            </w:r>
            <w:r>
              <w:rPr>
                <w:color w:val="231F20"/>
                <w:spacing w:val="-2"/>
                <w:sz w:val="14"/>
              </w:rPr>
              <w:t xml:space="preserve"> </w:t>
            </w:r>
            <w:r>
              <w:rPr>
                <w:color w:val="231F20"/>
                <w:sz w:val="14"/>
              </w:rPr>
              <w:t>вршњацима;</w:t>
            </w:r>
          </w:p>
        </w:tc>
        <w:tc>
          <w:tcPr>
            <w:tcW w:w="2834" w:type="dxa"/>
          </w:tcPr>
          <w:p w:rsidR="00041039" w:rsidRDefault="001B26CB">
            <w:pPr>
              <w:pStyle w:val="TableParagraph"/>
              <w:numPr>
                <w:ilvl w:val="0"/>
                <w:numId w:val="1736"/>
              </w:numPr>
              <w:tabs>
                <w:tab w:val="left" w:pos="157"/>
              </w:tabs>
              <w:spacing w:before="8" w:line="166" w:lineRule="exact"/>
              <w:ind w:hanging="99"/>
              <w:rPr>
                <w:sz w:val="14"/>
              </w:rPr>
            </w:pPr>
            <w:r>
              <w:rPr>
                <w:color w:val="231F20"/>
                <w:sz w:val="14"/>
              </w:rPr>
              <w:t>Адолесценција као развојни</w:t>
            </w:r>
            <w:r>
              <w:rPr>
                <w:color w:val="231F20"/>
                <w:spacing w:val="-15"/>
                <w:sz w:val="14"/>
              </w:rPr>
              <w:t xml:space="preserve"> </w:t>
            </w:r>
            <w:r>
              <w:rPr>
                <w:color w:val="231F20"/>
                <w:sz w:val="14"/>
              </w:rPr>
              <w:t>период.</w:t>
            </w:r>
          </w:p>
          <w:p w:rsidR="00041039" w:rsidRDefault="001B26CB">
            <w:pPr>
              <w:pStyle w:val="TableParagraph"/>
              <w:numPr>
                <w:ilvl w:val="0"/>
                <w:numId w:val="1736"/>
              </w:numPr>
              <w:tabs>
                <w:tab w:val="left" w:pos="157"/>
              </w:tabs>
              <w:spacing w:line="160" w:lineRule="exact"/>
              <w:ind w:hanging="99"/>
              <w:rPr>
                <w:sz w:val="14"/>
              </w:rPr>
            </w:pPr>
            <w:r>
              <w:rPr>
                <w:color w:val="231F20"/>
                <w:sz w:val="14"/>
              </w:rPr>
              <w:t>Биолошке промене у</w:t>
            </w:r>
            <w:r>
              <w:rPr>
                <w:color w:val="231F20"/>
                <w:spacing w:val="-16"/>
                <w:sz w:val="14"/>
              </w:rPr>
              <w:t xml:space="preserve"> </w:t>
            </w:r>
            <w:r>
              <w:rPr>
                <w:color w:val="231F20"/>
                <w:sz w:val="14"/>
              </w:rPr>
              <w:t>адолесценцији.</w:t>
            </w:r>
          </w:p>
          <w:p w:rsidR="00041039" w:rsidRDefault="001B26CB">
            <w:pPr>
              <w:pStyle w:val="TableParagraph"/>
              <w:numPr>
                <w:ilvl w:val="0"/>
                <w:numId w:val="1736"/>
              </w:numPr>
              <w:tabs>
                <w:tab w:val="left" w:pos="157"/>
              </w:tabs>
              <w:spacing w:line="160" w:lineRule="exact"/>
              <w:ind w:hanging="99"/>
              <w:rPr>
                <w:sz w:val="14"/>
              </w:rPr>
            </w:pPr>
            <w:r>
              <w:rPr>
                <w:color w:val="231F20"/>
                <w:sz w:val="14"/>
              </w:rPr>
              <w:t>Репродуктивно</w:t>
            </w:r>
            <w:r>
              <w:rPr>
                <w:color w:val="231F20"/>
                <w:spacing w:val="-1"/>
                <w:sz w:val="14"/>
              </w:rPr>
              <w:t xml:space="preserve"> </w:t>
            </w:r>
            <w:r>
              <w:rPr>
                <w:color w:val="231F20"/>
                <w:sz w:val="14"/>
              </w:rPr>
              <w:t>здравље.</w:t>
            </w:r>
          </w:p>
          <w:p w:rsidR="00041039" w:rsidRDefault="001B26CB">
            <w:pPr>
              <w:pStyle w:val="TableParagraph"/>
              <w:numPr>
                <w:ilvl w:val="0"/>
                <w:numId w:val="1736"/>
              </w:numPr>
              <w:tabs>
                <w:tab w:val="left" w:pos="157"/>
              </w:tabs>
              <w:spacing w:line="160" w:lineRule="exact"/>
              <w:ind w:hanging="99"/>
              <w:rPr>
                <w:sz w:val="14"/>
              </w:rPr>
            </w:pPr>
            <w:r>
              <w:rPr>
                <w:color w:val="231F20"/>
                <w:sz w:val="14"/>
              </w:rPr>
              <w:t>Контрацепција.</w:t>
            </w:r>
          </w:p>
          <w:p w:rsidR="00041039" w:rsidRDefault="001B26CB">
            <w:pPr>
              <w:pStyle w:val="TableParagraph"/>
              <w:numPr>
                <w:ilvl w:val="0"/>
                <w:numId w:val="1736"/>
              </w:numPr>
              <w:tabs>
                <w:tab w:val="left" w:pos="157"/>
              </w:tabs>
              <w:spacing w:line="160" w:lineRule="exact"/>
              <w:ind w:hanging="99"/>
              <w:rPr>
                <w:sz w:val="14"/>
              </w:rPr>
            </w:pPr>
            <w:r>
              <w:rPr>
                <w:color w:val="231F20"/>
                <w:sz w:val="14"/>
              </w:rPr>
              <w:t>Промене у начину</w:t>
            </w:r>
            <w:r>
              <w:rPr>
                <w:color w:val="231F20"/>
                <w:spacing w:val="-2"/>
                <w:sz w:val="14"/>
              </w:rPr>
              <w:t xml:space="preserve"> </w:t>
            </w:r>
            <w:r>
              <w:rPr>
                <w:color w:val="231F20"/>
                <w:sz w:val="14"/>
              </w:rPr>
              <w:t>размишљања.</w:t>
            </w:r>
          </w:p>
          <w:p w:rsidR="00041039" w:rsidRDefault="001B26CB">
            <w:pPr>
              <w:pStyle w:val="TableParagraph"/>
              <w:numPr>
                <w:ilvl w:val="0"/>
                <w:numId w:val="1736"/>
              </w:numPr>
              <w:tabs>
                <w:tab w:val="left" w:pos="157"/>
              </w:tabs>
              <w:spacing w:line="160" w:lineRule="exact"/>
              <w:ind w:hanging="99"/>
              <w:rPr>
                <w:sz w:val="14"/>
              </w:rPr>
            </w:pPr>
            <w:r>
              <w:rPr>
                <w:color w:val="231F20"/>
                <w:sz w:val="14"/>
              </w:rPr>
              <w:t>Социјалне</w:t>
            </w:r>
            <w:r>
              <w:rPr>
                <w:color w:val="231F20"/>
                <w:spacing w:val="-2"/>
                <w:sz w:val="14"/>
              </w:rPr>
              <w:t xml:space="preserve"> </w:t>
            </w:r>
            <w:r>
              <w:rPr>
                <w:color w:val="231F20"/>
                <w:sz w:val="14"/>
              </w:rPr>
              <w:t>промене.</w:t>
            </w:r>
          </w:p>
          <w:p w:rsidR="00041039" w:rsidRDefault="001B26CB">
            <w:pPr>
              <w:pStyle w:val="TableParagraph"/>
              <w:numPr>
                <w:ilvl w:val="0"/>
                <w:numId w:val="1736"/>
              </w:numPr>
              <w:tabs>
                <w:tab w:val="left" w:pos="157"/>
              </w:tabs>
              <w:spacing w:line="160" w:lineRule="exact"/>
              <w:ind w:hanging="99"/>
              <w:rPr>
                <w:sz w:val="14"/>
              </w:rPr>
            </w:pPr>
            <w:r>
              <w:rPr>
                <w:color w:val="231F20"/>
                <w:sz w:val="14"/>
              </w:rPr>
              <w:t>Обавезе и права</w:t>
            </w:r>
            <w:r>
              <w:rPr>
                <w:color w:val="231F20"/>
                <w:spacing w:val="-3"/>
                <w:sz w:val="14"/>
              </w:rPr>
              <w:t xml:space="preserve"> </w:t>
            </w:r>
            <w:r>
              <w:rPr>
                <w:color w:val="231F20"/>
                <w:sz w:val="14"/>
              </w:rPr>
              <w:t>детета.</w:t>
            </w:r>
          </w:p>
          <w:p w:rsidR="00041039" w:rsidRDefault="001B26CB">
            <w:pPr>
              <w:pStyle w:val="TableParagraph"/>
              <w:numPr>
                <w:ilvl w:val="0"/>
                <w:numId w:val="1736"/>
              </w:numPr>
              <w:tabs>
                <w:tab w:val="left" w:pos="157"/>
              </w:tabs>
              <w:spacing w:line="166" w:lineRule="exact"/>
              <w:ind w:hanging="99"/>
              <w:rPr>
                <w:sz w:val="14"/>
              </w:rPr>
            </w:pPr>
            <w:r>
              <w:rPr>
                <w:color w:val="231F20"/>
                <w:sz w:val="14"/>
              </w:rPr>
              <w:t>Изласци­правила</w:t>
            </w:r>
            <w:r>
              <w:rPr>
                <w:color w:val="231F20"/>
                <w:spacing w:val="-2"/>
                <w:sz w:val="14"/>
              </w:rPr>
              <w:t xml:space="preserve"> </w:t>
            </w:r>
            <w:r>
              <w:rPr>
                <w:color w:val="231F20"/>
                <w:sz w:val="14"/>
              </w:rPr>
              <w:t>сигурности.</w:t>
            </w:r>
          </w:p>
        </w:tc>
        <w:tc>
          <w:tcPr>
            <w:tcW w:w="2267" w:type="dxa"/>
            <w:vMerge w:val="restart"/>
          </w:tcPr>
          <w:p w:rsidR="00041039" w:rsidRDefault="001B26CB">
            <w:pPr>
              <w:pStyle w:val="TableParagraph"/>
              <w:numPr>
                <w:ilvl w:val="0"/>
                <w:numId w:val="1735"/>
              </w:numPr>
              <w:tabs>
                <w:tab w:val="left" w:pos="158"/>
              </w:tabs>
              <w:spacing w:before="8" w:line="166" w:lineRule="exact"/>
              <w:ind w:hanging="99"/>
              <w:rPr>
                <w:b/>
                <w:sz w:val="14"/>
              </w:rPr>
            </w:pPr>
            <w:r>
              <w:rPr>
                <w:color w:val="231F20"/>
                <w:sz w:val="14"/>
              </w:rPr>
              <w:t xml:space="preserve">Комуникација </w:t>
            </w:r>
            <w:r>
              <w:rPr>
                <w:b/>
                <w:color w:val="231F20"/>
                <w:spacing w:val="-3"/>
                <w:sz w:val="14"/>
              </w:rPr>
              <w:t>(11</w:t>
            </w:r>
            <w:r>
              <w:rPr>
                <w:b/>
                <w:color w:val="231F20"/>
                <w:spacing w:val="-4"/>
                <w:sz w:val="14"/>
              </w:rPr>
              <w:t xml:space="preserve"> </w:t>
            </w:r>
            <w:r>
              <w:rPr>
                <w:b/>
                <w:color w:val="231F20"/>
                <w:sz w:val="14"/>
              </w:rPr>
              <w:t>часова)</w:t>
            </w:r>
          </w:p>
          <w:p w:rsidR="00041039" w:rsidRDefault="001B26CB">
            <w:pPr>
              <w:pStyle w:val="TableParagraph"/>
              <w:numPr>
                <w:ilvl w:val="0"/>
                <w:numId w:val="1735"/>
              </w:numPr>
              <w:tabs>
                <w:tab w:val="left" w:pos="158"/>
              </w:tabs>
              <w:spacing w:line="160" w:lineRule="exact"/>
              <w:ind w:hanging="99"/>
              <w:rPr>
                <w:b/>
                <w:sz w:val="14"/>
              </w:rPr>
            </w:pPr>
            <w:r>
              <w:rPr>
                <w:color w:val="231F20"/>
                <w:sz w:val="14"/>
              </w:rPr>
              <w:t>Стрес и траума</w:t>
            </w:r>
            <w:r>
              <w:rPr>
                <w:color w:val="231F20"/>
                <w:spacing w:val="-2"/>
                <w:sz w:val="14"/>
              </w:rPr>
              <w:t xml:space="preserve"> </w:t>
            </w:r>
            <w:r>
              <w:rPr>
                <w:b/>
                <w:color w:val="231F20"/>
                <w:sz w:val="14"/>
              </w:rPr>
              <w:t>(4часа)</w:t>
            </w:r>
          </w:p>
          <w:p w:rsidR="00041039" w:rsidRDefault="001B26CB">
            <w:pPr>
              <w:pStyle w:val="TableParagraph"/>
              <w:numPr>
                <w:ilvl w:val="0"/>
                <w:numId w:val="1735"/>
              </w:numPr>
              <w:tabs>
                <w:tab w:val="left" w:pos="158"/>
              </w:tabs>
              <w:spacing w:line="237" w:lineRule="auto"/>
              <w:ind w:right="501" w:hanging="99"/>
              <w:rPr>
                <w:b/>
                <w:sz w:val="14"/>
              </w:rPr>
            </w:pPr>
            <w:r>
              <w:rPr>
                <w:color w:val="231F20"/>
                <w:sz w:val="14"/>
              </w:rPr>
              <w:t>Психолошки проблеми</w:t>
            </w:r>
            <w:r>
              <w:rPr>
                <w:color w:val="231F20"/>
                <w:spacing w:val="-22"/>
                <w:sz w:val="14"/>
              </w:rPr>
              <w:t xml:space="preserve"> </w:t>
            </w:r>
            <w:r>
              <w:rPr>
                <w:b/>
                <w:color w:val="231F20"/>
                <w:sz w:val="14"/>
              </w:rPr>
              <w:t>(10 часова)</w:t>
            </w:r>
          </w:p>
        </w:tc>
      </w:tr>
      <w:tr w:rsidR="00041039">
        <w:trPr>
          <w:trHeight w:val="1160"/>
        </w:trPr>
        <w:tc>
          <w:tcPr>
            <w:tcW w:w="1304" w:type="dxa"/>
          </w:tcPr>
          <w:p w:rsidR="00041039" w:rsidRDefault="001B26CB">
            <w:pPr>
              <w:pStyle w:val="TableParagraph"/>
              <w:spacing w:before="18"/>
              <w:ind w:left="56" w:right="351"/>
              <w:rPr>
                <w:sz w:val="14"/>
              </w:rPr>
            </w:pPr>
            <w:r>
              <w:rPr>
                <w:color w:val="231F20"/>
                <w:sz w:val="14"/>
              </w:rPr>
              <w:t>Фрустрације и конфликти</w:t>
            </w:r>
          </w:p>
        </w:tc>
        <w:tc>
          <w:tcPr>
            <w:tcW w:w="1587" w:type="dxa"/>
          </w:tcPr>
          <w:p w:rsidR="00041039" w:rsidRDefault="001B26CB">
            <w:pPr>
              <w:pStyle w:val="TableParagraph"/>
              <w:numPr>
                <w:ilvl w:val="0"/>
                <w:numId w:val="1734"/>
              </w:numPr>
              <w:tabs>
                <w:tab w:val="left" w:pos="157"/>
              </w:tabs>
              <w:spacing w:before="8"/>
              <w:ind w:right="80"/>
              <w:rPr>
                <w:sz w:val="14"/>
              </w:rPr>
            </w:pPr>
            <w:r>
              <w:rPr>
                <w:color w:val="231F20"/>
                <w:sz w:val="14"/>
              </w:rPr>
              <w:t>Упознавање са</w:t>
            </w:r>
            <w:r>
              <w:rPr>
                <w:color w:val="231F20"/>
                <w:spacing w:val="-22"/>
                <w:sz w:val="14"/>
              </w:rPr>
              <w:t xml:space="preserve"> </w:t>
            </w:r>
            <w:r>
              <w:rPr>
                <w:color w:val="231F20"/>
                <w:sz w:val="14"/>
              </w:rPr>
              <w:t xml:space="preserve">појмом фрустрација и кон­ </w:t>
            </w:r>
            <w:r>
              <w:rPr>
                <w:color w:val="231F20"/>
                <w:spacing w:val="-4"/>
                <w:sz w:val="14"/>
              </w:rPr>
              <w:t>фликт.</w:t>
            </w:r>
          </w:p>
        </w:tc>
        <w:tc>
          <w:tcPr>
            <w:tcW w:w="2551" w:type="dxa"/>
          </w:tcPr>
          <w:p w:rsidR="00041039" w:rsidRDefault="001B26CB">
            <w:pPr>
              <w:pStyle w:val="TableParagraph"/>
              <w:numPr>
                <w:ilvl w:val="0"/>
                <w:numId w:val="1733"/>
              </w:numPr>
              <w:tabs>
                <w:tab w:val="left" w:pos="157"/>
              </w:tabs>
              <w:spacing w:before="8" w:line="166" w:lineRule="exact"/>
              <w:ind w:hanging="99"/>
              <w:rPr>
                <w:sz w:val="14"/>
              </w:rPr>
            </w:pPr>
            <w:r>
              <w:rPr>
                <w:color w:val="231F20"/>
                <w:sz w:val="14"/>
              </w:rPr>
              <w:t>објасни шта су</w:t>
            </w:r>
            <w:r>
              <w:rPr>
                <w:color w:val="231F20"/>
                <w:spacing w:val="-1"/>
                <w:sz w:val="14"/>
              </w:rPr>
              <w:t xml:space="preserve"> </w:t>
            </w:r>
            <w:r>
              <w:rPr>
                <w:color w:val="231F20"/>
                <w:sz w:val="14"/>
              </w:rPr>
              <w:t>фрустрације;</w:t>
            </w:r>
          </w:p>
          <w:p w:rsidR="00041039" w:rsidRDefault="001B26CB">
            <w:pPr>
              <w:pStyle w:val="TableParagraph"/>
              <w:numPr>
                <w:ilvl w:val="0"/>
                <w:numId w:val="1733"/>
              </w:numPr>
              <w:tabs>
                <w:tab w:val="left" w:pos="157"/>
              </w:tabs>
              <w:spacing w:line="160" w:lineRule="exact"/>
              <w:ind w:hanging="99"/>
              <w:rPr>
                <w:sz w:val="14"/>
              </w:rPr>
            </w:pPr>
            <w:r>
              <w:rPr>
                <w:color w:val="231F20"/>
                <w:sz w:val="14"/>
              </w:rPr>
              <w:t>објасни шта су</w:t>
            </w:r>
            <w:r>
              <w:rPr>
                <w:color w:val="231F20"/>
                <w:spacing w:val="-3"/>
                <w:sz w:val="14"/>
              </w:rPr>
              <w:t xml:space="preserve"> </w:t>
            </w:r>
            <w:r>
              <w:rPr>
                <w:color w:val="231F20"/>
                <w:sz w:val="14"/>
              </w:rPr>
              <w:t>конфликти;</w:t>
            </w:r>
          </w:p>
          <w:p w:rsidR="00041039" w:rsidRDefault="001B26CB">
            <w:pPr>
              <w:pStyle w:val="TableParagraph"/>
              <w:numPr>
                <w:ilvl w:val="0"/>
                <w:numId w:val="1733"/>
              </w:numPr>
              <w:tabs>
                <w:tab w:val="left" w:pos="157"/>
              </w:tabs>
              <w:spacing w:line="160" w:lineRule="exact"/>
              <w:ind w:hanging="99"/>
              <w:rPr>
                <w:sz w:val="14"/>
              </w:rPr>
            </w:pPr>
            <w:r>
              <w:rPr>
                <w:color w:val="231F20"/>
                <w:sz w:val="14"/>
              </w:rPr>
              <w:t>наведе врсте</w:t>
            </w:r>
            <w:r>
              <w:rPr>
                <w:color w:val="231F20"/>
                <w:spacing w:val="-4"/>
                <w:sz w:val="14"/>
              </w:rPr>
              <w:t xml:space="preserve"> </w:t>
            </w:r>
            <w:r>
              <w:rPr>
                <w:color w:val="231F20"/>
                <w:sz w:val="14"/>
              </w:rPr>
              <w:t>конфликата;</w:t>
            </w:r>
          </w:p>
          <w:p w:rsidR="00041039" w:rsidRDefault="001B26CB">
            <w:pPr>
              <w:pStyle w:val="TableParagraph"/>
              <w:numPr>
                <w:ilvl w:val="0"/>
                <w:numId w:val="1733"/>
              </w:numPr>
              <w:tabs>
                <w:tab w:val="left" w:pos="157"/>
              </w:tabs>
              <w:spacing w:line="237" w:lineRule="auto"/>
              <w:ind w:right="158" w:hanging="99"/>
              <w:rPr>
                <w:sz w:val="14"/>
              </w:rPr>
            </w:pPr>
            <w:r>
              <w:rPr>
                <w:color w:val="231F20"/>
                <w:sz w:val="14"/>
              </w:rPr>
              <w:t>наведе и објасни реакције на фрустрације и конфликте</w:t>
            </w:r>
            <w:r>
              <w:rPr>
                <w:color w:val="231F20"/>
                <w:spacing w:val="-23"/>
                <w:sz w:val="14"/>
              </w:rPr>
              <w:t xml:space="preserve"> </w:t>
            </w:r>
            <w:r>
              <w:rPr>
                <w:color w:val="231F20"/>
                <w:sz w:val="14"/>
              </w:rPr>
              <w:t>(механизме одбране);</w:t>
            </w:r>
          </w:p>
          <w:p w:rsidR="00041039" w:rsidRDefault="001B26CB">
            <w:pPr>
              <w:pStyle w:val="TableParagraph"/>
              <w:numPr>
                <w:ilvl w:val="0"/>
                <w:numId w:val="1733"/>
              </w:numPr>
              <w:tabs>
                <w:tab w:val="left" w:pos="157"/>
              </w:tabs>
              <w:spacing w:line="162" w:lineRule="exact"/>
              <w:ind w:hanging="99"/>
              <w:rPr>
                <w:sz w:val="14"/>
              </w:rPr>
            </w:pPr>
            <w:r>
              <w:rPr>
                <w:color w:val="231F20"/>
                <w:sz w:val="14"/>
              </w:rPr>
              <w:t>објасни шта је</w:t>
            </w:r>
            <w:r>
              <w:rPr>
                <w:color w:val="231F20"/>
                <w:spacing w:val="-1"/>
                <w:sz w:val="14"/>
              </w:rPr>
              <w:t xml:space="preserve"> </w:t>
            </w:r>
            <w:r>
              <w:rPr>
                <w:color w:val="231F20"/>
                <w:sz w:val="14"/>
              </w:rPr>
              <w:t>медијација;</w:t>
            </w:r>
          </w:p>
        </w:tc>
        <w:tc>
          <w:tcPr>
            <w:tcW w:w="2834" w:type="dxa"/>
          </w:tcPr>
          <w:p w:rsidR="00041039" w:rsidRDefault="001B26CB">
            <w:pPr>
              <w:pStyle w:val="TableParagraph"/>
              <w:numPr>
                <w:ilvl w:val="0"/>
                <w:numId w:val="1732"/>
              </w:numPr>
              <w:tabs>
                <w:tab w:val="left" w:pos="157"/>
              </w:tabs>
              <w:spacing w:before="8" w:line="166" w:lineRule="exact"/>
              <w:ind w:hanging="99"/>
              <w:rPr>
                <w:sz w:val="14"/>
              </w:rPr>
            </w:pPr>
            <w:r>
              <w:rPr>
                <w:color w:val="231F20"/>
                <w:sz w:val="14"/>
              </w:rPr>
              <w:t>Фрустрације.</w:t>
            </w:r>
          </w:p>
          <w:p w:rsidR="00041039" w:rsidRDefault="001B26CB">
            <w:pPr>
              <w:pStyle w:val="TableParagraph"/>
              <w:numPr>
                <w:ilvl w:val="0"/>
                <w:numId w:val="1732"/>
              </w:numPr>
              <w:tabs>
                <w:tab w:val="left" w:pos="157"/>
              </w:tabs>
              <w:spacing w:line="160" w:lineRule="exact"/>
              <w:ind w:hanging="99"/>
              <w:rPr>
                <w:sz w:val="14"/>
              </w:rPr>
            </w:pPr>
            <w:r>
              <w:rPr>
                <w:color w:val="231F20"/>
                <w:sz w:val="14"/>
              </w:rPr>
              <w:t>Конфликти.</w:t>
            </w:r>
          </w:p>
          <w:p w:rsidR="00041039" w:rsidRDefault="001B26CB">
            <w:pPr>
              <w:pStyle w:val="TableParagraph"/>
              <w:numPr>
                <w:ilvl w:val="0"/>
                <w:numId w:val="1732"/>
              </w:numPr>
              <w:tabs>
                <w:tab w:val="left" w:pos="157"/>
              </w:tabs>
              <w:spacing w:line="160" w:lineRule="exact"/>
              <w:ind w:hanging="99"/>
              <w:rPr>
                <w:sz w:val="14"/>
              </w:rPr>
            </w:pPr>
            <w:r>
              <w:rPr>
                <w:color w:val="231F20"/>
                <w:sz w:val="14"/>
              </w:rPr>
              <w:t>Врсте</w:t>
            </w:r>
            <w:r>
              <w:rPr>
                <w:color w:val="231F20"/>
                <w:spacing w:val="-1"/>
                <w:sz w:val="14"/>
              </w:rPr>
              <w:t xml:space="preserve"> </w:t>
            </w:r>
            <w:r>
              <w:rPr>
                <w:color w:val="231F20"/>
                <w:sz w:val="14"/>
              </w:rPr>
              <w:t>конфликата.</w:t>
            </w:r>
          </w:p>
          <w:p w:rsidR="00041039" w:rsidRDefault="001B26CB">
            <w:pPr>
              <w:pStyle w:val="TableParagraph"/>
              <w:numPr>
                <w:ilvl w:val="0"/>
                <w:numId w:val="1732"/>
              </w:numPr>
              <w:tabs>
                <w:tab w:val="left" w:pos="157"/>
              </w:tabs>
              <w:spacing w:line="160" w:lineRule="exact"/>
              <w:ind w:hanging="99"/>
              <w:rPr>
                <w:sz w:val="14"/>
              </w:rPr>
            </w:pPr>
            <w:r>
              <w:rPr>
                <w:color w:val="231F20"/>
                <w:sz w:val="14"/>
              </w:rPr>
              <w:t>Реакција на фрустрације и</w:t>
            </w:r>
            <w:r>
              <w:rPr>
                <w:color w:val="231F20"/>
                <w:spacing w:val="-7"/>
                <w:sz w:val="14"/>
              </w:rPr>
              <w:t xml:space="preserve"> </w:t>
            </w:r>
            <w:r>
              <w:rPr>
                <w:color w:val="231F20"/>
                <w:sz w:val="14"/>
              </w:rPr>
              <w:t>конфликте.</w:t>
            </w:r>
          </w:p>
          <w:p w:rsidR="00041039" w:rsidRDefault="001B26CB">
            <w:pPr>
              <w:pStyle w:val="TableParagraph"/>
              <w:numPr>
                <w:ilvl w:val="0"/>
                <w:numId w:val="1732"/>
              </w:numPr>
              <w:tabs>
                <w:tab w:val="left" w:pos="157"/>
              </w:tabs>
              <w:spacing w:line="166" w:lineRule="exact"/>
              <w:ind w:hanging="99"/>
              <w:rPr>
                <w:sz w:val="14"/>
              </w:rPr>
            </w:pPr>
            <w:r>
              <w:rPr>
                <w:color w:val="231F20"/>
                <w:sz w:val="14"/>
              </w:rPr>
              <w:t>Медијација.</w:t>
            </w:r>
          </w:p>
        </w:tc>
        <w:tc>
          <w:tcPr>
            <w:tcW w:w="2267" w:type="dxa"/>
            <w:vMerge/>
            <w:tcBorders>
              <w:top w:val="nil"/>
            </w:tcBorders>
          </w:tcPr>
          <w:p w:rsidR="00041039" w:rsidRDefault="00041039">
            <w:pPr>
              <w:rPr>
                <w:sz w:val="2"/>
                <w:szCs w:val="2"/>
              </w:rPr>
            </w:pPr>
          </w:p>
        </w:tc>
      </w:tr>
      <w:tr w:rsidR="00041039">
        <w:trPr>
          <w:trHeight w:val="2600"/>
        </w:trPr>
        <w:tc>
          <w:tcPr>
            <w:tcW w:w="1304" w:type="dxa"/>
          </w:tcPr>
          <w:p w:rsidR="00041039" w:rsidRDefault="001B26CB">
            <w:pPr>
              <w:pStyle w:val="TableParagraph"/>
              <w:spacing w:before="18"/>
              <w:ind w:left="56"/>
              <w:rPr>
                <w:sz w:val="14"/>
              </w:rPr>
            </w:pPr>
            <w:r>
              <w:rPr>
                <w:color w:val="231F20"/>
                <w:sz w:val="14"/>
              </w:rPr>
              <w:t>Комуникација</w:t>
            </w:r>
          </w:p>
        </w:tc>
        <w:tc>
          <w:tcPr>
            <w:tcW w:w="1587" w:type="dxa"/>
          </w:tcPr>
          <w:p w:rsidR="00041039" w:rsidRDefault="001B26CB">
            <w:pPr>
              <w:pStyle w:val="TableParagraph"/>
              <w:numPr>
                <w:ilvl w:val="0"/>
                <w:numId w:val="1731"/>
              </w:numPr>
              <w:tabs>
                <w:tab w:val="left" w:pos="157"/>
              </w:tabs>
              <w:spacing w:before="8"/>
              <w:ind w:right="110"/>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3"/>
                <w:sz w:val="14"/>
              </w:rPr>
              <w:t xml:space="preserve"> </w:t>
            </w:r>
            <w:r>
              <w:rPr>
                <w:color w:val="231F20"/>
                <w:sz w:val="14"/>
              </w:rPr>
              <w:t>комуникације.</w:t>
            </w:r>
          </w:p>
        </w:tc>
        <w:tc>
          <w:tcPr>
            <w:tcW w:w="2551" w:type="dxa"/>
          </w:tcPr>
          <w:p w:rsidR="00041039" w:rsidRDefault="001B26CB">
            <w:pPr>
              <w:pStyle w:val="TableParagraph"/>
              <w:numPr>
                <w:ilvl w:val="0"/>
                <w:numId w:val="1730"/>
              </w:numPr>
              <w:tabs>
                <w:tab w:val="left" w:pos="157"/>
              </w:tabs>
              <w:spacing w:before="8" w:line="166" w:lineRule="exact"/>
              <w:ind w:hanging="99"/>
              <w:rPr>
                <w:sz w:val="14"/>
              </w:rPr>
            </w:pPr>
            <w:r>
              <w:rPr>
                <w:color w:val="231F20"/>
                <w:sz w:val="14"/>
              </w:rPr>
              <w:t>објасни важност учења</w:t>
            </w:r>
            <w:r>
              <w:rPr>
                <w:color w:val="231F20"/>
                <w:spacing w:val="-7"/>
                <w:sz w:val="14"/>
              </w:rPr>
              <w:t xml:space="preserve"> </w:t>
            </w:r>
            <w:r>
              <w:rPr>
                <w:color w:val="231F20"/>
                <w:sz w:val="14"/>
              </w:rPr>
              <w:t>комуникације;</w:t>
            </w:r>
          </w:p>
          <w:p w:rsidR="00041039" w:rsidRDefault="001B26CB">
            <w:pPr>
              <w:pStyle w:val="TableParagraph"/>
              <w:numPr>
                <w:ilvl w:val="0"/>
                <w:numId w:val="1730"/>
              </w:numPr>
              <w:tabs>
                <w:tab w:val="left" w:pos="157"/>
              </w:tabs>
              <w:spacing w:line="160" w:lineRule="exact"/>
              <w:ind w:hanging="99"/>
              <w:rPr>
                <w:sz w:val="14"/>
              </w:rPr>
            </w:pPr>
            <w:r>
              <w:rPr>
                <w:color w:val="231F20"/>
                <w:sz w:val="14"/>
              </w:rPr>
              <w:t>објасни шта је говор</w:t>
            </w:r>
            <w:r>
              <w:rPr>
                <w:color w:val="231F20"/>
                <w:spacing w:val="-1"/>
                <w:sz w:val="14"/>
              </w:rPr>
              <w:t xml:space="preserve"> </w:t>
            </w:r>
            <w:r>
              <w:rPr>
                <w:color w:val="231F20"/>
                <w:sz w:val="14"/>
              </w:rPr>
              <w:t>тела;</w:t>
            </w:r>
          </w:p>
          <w:p w:rsidR="00041039" w:rsidRDefault="001B26CB">
            <w:pPr>
              <w:pStyle w:val="TableParagraph"/>
              <w:numPr>
                <w:ilvl w:val="0"/>
                <w:numId w:val="1730"/>
              </w:numPr>
              <w:tabs>
                <w:tab w:val="left" w:pos="157"/>
              </w:tabs>
              <w:spacing w:line="237" w:lineRule="auto"/>
              <w:ind w:right="285" w:hanging="99"/>
              <w:rPr>
                <w:sz w:val="14"/>
              </w:rPr>
            </w:pPr>
            <w:r>
              <w:rPr>
                <w:color w:val="231F20"/>
                <w:sz w:val="14"/>
              </w:rPr>
              <w:t>наведе препреке успешне комуникације („опасне</w:t>
            </w:r>
            <w:r>
              <w:rPr>
                <w:color w:val="231F20"/>
                <w:spacing w:val="-21"/>
                <w:sz w:val="14"/>
              </w:rPr>
              <w:t xml:space="preserve"> </w:t>
            </w:r>
            <w:r>
              <w:rPr>
                <w:color w:val="231F20"/>
                <w:sz w:val="14"/>
              </w:rPr>
              <w:t>реченице”);</w:t>
            </w:r>
          </w:p>
          <w:p w:rsidR="00041039" w:rsidRDefault="001B26CB">
            <w:pPr>
              <w:pStyle w:val="TableParagraph"/>
              <w:numPr>
                <w:ilvl w:val="0"/>
                <w:numId w:val="1730"/>
              </w:numPr>
              <w:tabs>
                <w:tab w:val="left" w:pos="157"/>
              </w:tabs>
              <w:spacing w:line="160" w:lineRule="exact"/>
              <w:ind w:right="49" w:hanging="99"/>
              <w:rPr>
                <w:sz w:val="14"/>
              </w:rPr>
            </w:pPr>
            <w:r>
              <w:rPr>
                <w:color w:val="231F20"/>
                <w:sz w:val="14"/>
              </w:rPr>
              <w:t>објасни шта су осећања, наведе</w:t>
            </w:r>
            <w:r>
              <w:rPr>
                <w:color w:val="231F20"/>
                <w:spacing w:val="-10"/>
                <w:sz w:val="14"/>
              </w:rPr>
              <w:t xml:space="preserve"> </w:t>
            </w:r>
            <w:r>
              <w:rPr>
                <w:color w:val="231F20"/>
                <w:sz w:val="14"/>
              </w:rPr>
              <w:t>начине поделе</w:t>
            </w:r>
            <w:r>
              <w:rPr>
                <w:color w:val="231F20"/>
                <w:spacing w:val="-1"/>
                <w:sz w:val="14"/>
              </w:rPr>
              <w:t xml:space="preserve"> </w:t>
            </w:r>
            <w:r>
              <w:rPr>
                <w:color w:val="231F20"/>
                <w:sz w:val="14"/>
              </w:rPr>
              <w:t>осећања;</w:t>
            </w:r>
          </w:p>
          <w:p w:rsidR="00041039" w:rsidRDefault="001B26CB">
            <w:pPr>
              <w:pStyle w:val="TableParagraph"/>
              <w:numPr>
                <w:ilvl w:val="0"/>
                <w:numId w:val="1730"/>
              </w:numPr>
              <w:tabs>
                <w:tab w:val="left" w:pos="157"/>
              </w:tabs>
              <w:spacing w:line="153" w:lineRule="exact"/>
              <w:ind w:hanging="99"/>
              <w:rPr>
                <w:sz w:val="14"/>
              </w:rPr>
            </w:pPr>
            <w:r>
              <w:rPr>
                <w:color w:val="231F20"/>
                <w:sz w:val="14"/>
              </w:rPr>
              <w:t>наведе и објасни основне</w:t>
            </w:r>
            <w:r>
              <w:rPr>
                <w:color w:val="231F20"/>
                <w:spacing w:val="-2"/>
                <w:sz w:val="14"/>
              </w:rPr>
              <w:t xml:space="preserve"> </w:t>
            </w:r>
            <w:r>
              <w:rPr>
                <w:color w:val="231F20"/>
                <w:sz w:val="14"/>
              </w:rPr>
              <w:t>емоције;</w:t>
            </w:r>
          </w:p>
          <w:p w:rsidR="00041039" w:rsidRDefault="001B26CB">
            <w:pPr>
              <w:pStyle w:val="TableParagraph"/>
              <w:numPr>
                <w:ilvl w:val="0"/>
                <w:numId w:val="1730"/>
              </w:numPr>
              <w:tabs>
                <w:tab w:val="left" w:pos="157"/>
              </w:tabs>
              <w:spacing w:line="237" w:lineRule="auto"/>
              <w:ind w:right="188" w:hanging="99"/>
              <w:rPr>
                <w:sz w:val="14"/>
              </w:rPr>
            </w:pPr>
            <w:r>
              <w:rPr>
                <w:color w:val="231F20"/>
                <w:sz w:val="14"/>
              </w:rPr>
              <w:t>објасни шта су потребе и да их</w:t>
            </w:r>
            <w:r>
              <w:rPr>
                <w:color w:val="231F20"/>
                <w:spacing w:val="-9"/>
                <w:sz w:val="14"/>
              </w:rPr>
              <w:t xml:space="preserve"> </w:t>
            </w:r>
            <w:r>
              <w:rPr>
                <w:color w:val="231F20"/>
                <w:sz w:val="14"/>
              </w:rPr>
              <w:t xml:space="preserve">јасно разликује </w:t>
            </w:r>
            <w:r>
              <w:rPr>
                <w:color w:val="231F20"/>
                <w:spacing w:val="-3"/>
                <w:sz w:val="14"/>
              </w:rPr>
              <w:t>од</w:t>
            </w:r>
            <w:r>
              <w:rPr>
                <w:color w:val="231F20"/>
                <w:sz w:val="14"/>
              </w:rPr>
              <w:t xml:space="preserve"> осећања;</w:t>
            </w:r>
          </w:p>
          <w:p w:rsidR="00041039" w:rsidRDefault="001B26CB">
            <w:pPr>
              <w:pStyle w:val="TableParagraph"/>
              <w:numPr>
                <w:ilvl w:val="0"/>
                <w:numId w:val="1730"/>
              </w:numPr>
              <w:tabs>
                <w:tab w:val="left" w:pos="157"/>
              </w:tabs>
              <w:spacing w:line="160" w:lineRule="exact"/>
              <w:ind w:right="862" w:hanging="99"/>
              <w:rPr>
                <w:sz w:val="14"/>
              </w:rPr>
            </w:pPr>
            <w:r>
              <w:rPr>
                <w:color w:val="231F20"/>
                <w:sz w:val="14"/>
              </w:rPr>
              <w:t>објасни шта је емпатија</w:t>
            </w:r>
            <w:r>
              <w:rPr>
                <w:color w:val="231F20"/>
                <w:spacing w:val="-7"/>
                <w:sz w:val="14"/>
              </w:rPr>
              <w:t xml:space="preserve"> </w:t>
            </w:r>
            <w:r>
              <w:rPr>
                <w:color w:val="231F20"/>
                <w:sz w:val="14"/>
              </w:rPr>
              <w:t>у комуникацији;</w:t>
            </w:r>
          </w:p>
          <w:p w:rsidR="00041039" w:rsidRDefault="001B26CB">
            <w:pPr>
              <w:pStyle w:val="TableParagraph"/>
              <w:numPr>
                <w:ilvl w:val="0"/>
                <w:numId w:val="1730"/>
              </w:numPr>
              <w:tabs>
                <w:tab w:val="left" w:pos="157"/>
              </w:tabs>
              <w:spacing w:line="160" w:lineRule="exact"/>
              <w:ind w:right="213" w:hanging="99"/>
              <w:rPr>
                <w:sz w:val="14"/>
              </w:rPr>
            </w:pPr>
            <w:r>
              <w:rPr>
                <w:color w:val="231F20"/>
                <w:sz w:val="14"/>
              </w:rPr>
              <w:t xml:space="preserve">наведе шта су и </w:t>
            </w:r>
            <w:r>
              <w:rPr>
                <w:color w:val="231F20"/>
                <w:spacing w:val="-3"/>
                <w:sz w:val="14"/>
              </w:rPr>
              <w:t xml:space="preserve">како </w:t>
            </w:r>
            <w:r>
              <w:rPr>
                <w:color w:val="231F20"/>
                <w:sz w:val="14"/>
              </w:rPr>
              <w:t>се саопштавају потребе и</w:t>
            </w:r>
            <w:r>
              <w:rPr>
                <w:color w:val="231F20"/>
                <w:spacing w:val="-2"/>
                <w:sz w:val="14"/>
              </w:rPr>
              <w:t xml:space="preserve"> </w:t>
            </w:r>
            <w:r>
              <w:rPr>
                <w:color w:val="231F20"/>
                <w:sz w:val="14"/>
              </w:rPr>
              <w:t>жеље;</w:t>
            </w:r>
          </w:p>
          <w:p w:rsidR="00041039" w:rsidRDefault="001B26CB">
            <w:pPr>
              <w:pStyle w:val="TableParagraph"/>
              <w:numPr>
                <w:ilvl w:val="0"/>
                <w:numId w:val="1730"/>
              </w:numPr>
              <w:tabs>
                <w:tab w:val="left" w:pos="157"/>
              </w:tabs>
              <w:spacing w:line="153" w:lineRule="exact"/>
              <w:ind w:hanging="99"/>
              <w:rPr>
                <w:sz w:val="14"/>
              </w:rPr>
            </w:pPr>
            <w:r>
              <w:rPr>
                <w:color w:val="231F20"/>
                <w:sz w:val="14"/>
              </w:rPr>
              <w:t>примени „ја ­ поруке” на</w:t>
            </w:r>
            <w:r>
              <w:rPr>
                <w:color w:val="231F20"/>
                <w:spacing w:val="-14"/>
                <w:sz w:val="14"/>
              </w:rPr>
              <w:t xml:space="preserve"> </w:t>
            </w:r>
            <w:r>
              <w:rPr>
                <w:color w:val="231F20"/>
                <w:sz w:val="14"/>
              </w:rPr>
              <w:t>примерима;</w:t>
            </w:r>
          </w:p>
          <w:p w:rsidR="00041039" w:rsidRDefault="001B26CB">
            <w:pPr>
              <w:pStyle w:val="TableParagraph"/>
              <w:numPr>
                <w:ilvl w:val="0"/>
                <w:numId w:val="1730"/>
              </w:numPr>
              <w:tabs>
                <w:tab w:val="left" w:pos="157"/>
              </w:tabs>
              <w:spacing w:line="237" w:lineRule="auto"/>
              <w:ind w:right="188" w:hanging="99"/>
              <w:rPr>
                <w:sz w:val="14"/>
              </w:rPr>
            </w:pPr>
            <w:r>
              <w:rPr>
                <w:color w:val="231F20"/>
                <w:sz w:val="14"/>
              </w:rPr>
              <w:t>наведе</w:t>
            </w:r>
            <w:r>
              <w:rPr>
                <w:color w:val="231F20"/>
                <w:spacing w:val="-8"/>
                <w:sz w:val="14"/>
              </w:rPr>
              <w:t xml:space="preserve"> </w:t>
            </w:r>
            <w:r>
              <w:rPr>
                <w:color w:val="231F20"/>
                <w:sz w:val="14"/>
              </w:rPr>
              <w:t>која</w:t>
            </w:r>
            <w:r>
              <w:rPr>
                <w:color w:val="231F20"/>
                <w:spacing w:val="-8"/>
                <w:sz w:val="14"/>
              </w:rPr>
              <w:t xml:space="preserve"> </w:t>
            </w:r>
            <w:r>
              <w:rPr>
                <w:color w:val="231F20"/>
                <w:sz w:val="14"/>
              </w:rPr>
              <w:t>су</w:t>
            </w:r>
            <w:r>
              <w:rPr>
                <w:color w:val="231F20"/>
                <w:spacing w:val="-8"/>
                <w:sz w:val="14"/>
              </w:rPr>
              <w:t xml:space="preserve"> </w:t>
            </w:r>
            <w:r>
              <w:rPr>
                <w:color w:val="231F20"/>
                <w:sz w:val="14"/>
              </w:rPr>
              <w:t>правила</w:t>
            </w:r>
            <w:r>
              <w:rPr>
                <w:color w:val="231F20"/>
                <w:spacing w:val="-9"/>
                <w:sz w:val="14"/>
              </w:rPr>
              <w:t xml:space="preserve"> </w:t>
            </w:r>
            <w:r>
              <w:rPr>
                <w:color w:val="231F20"/>
                <w:sz w:val="14"/>
              </w:rPr>
              <w:t>комуникације („чаробне</w:t>
            </w:r>
            <w:r>
              <w:rPr>
                <w:color w:val="231F20"/>
                <w:spacing w:val="-1"/>
                <w:sz w:val="14"/>
              </w:rPr>
              <w:t xml:space="preserve"> </w:t>
            </w:r>
            <w:r>
              <w:rPr>
                <w:color w:val="231F20"/>
                <w:sz w:val="14"/>
              </w:rPr>
              <w:t>речи”);</w:t>
            </w:r>
          </w:p>
        </w:tc>
        <w:tc>
          <w:tcPr>
            <w:tcW w:w="2834" w:type="dxa"/>
          </w:tcPr>
          <w:p w:rsidR="00041039" w:rsidRDefault="001B26CB">
            <w:pPr>
              <w:pStyle w:val="TableParagraph"/>
              <w:numPr>
                <w:ilvl w:val="0"/>
                <w:numId w:val="1729"/>
              </w:numPr>
              <w:tabs>
                <w:tab w:val="left" w:pos="158"/>
              </w:tabs>
              <w:spacing w:before="9" w:line="166" w:lineRule="exact"/>
              <w:rPr>
                <w:sz w:val="14"/>
              </w:rPr>
            </w:pPr>
            <w:r>
              <w:rPr>
                <w:color w:val="231F20"/>
                <w:sz w:val="14"/>
              </w:rPr>
              <w:t>Неопходност учења</w:t>
            </w:r>
            <w:r>
              <w:rPr>
                <w:color w:val="231F20"/>
                <w:spacing w:val="-3"/>
                <w:sz w:val="14"/>
              </w:rPr>
              <w:t xml:space="preserve"> </w:t>
            </w:r>
            <w:r>
              <w:rPr>
                <w:color w:val="231F20"/>
                <w:sz w:val="14"/>
              </w:rPr>
              <w:t>комуникације.</w:t>
            </w:r>
          </w:p>
          <w:p w:rsidR="00041039" w:rsidRDefault="001B26CB">
            <w:pPr>
              <w:pStyle w:val="TableParagraph"/>
              <w:numPr>
                <w:ilvl w:val="0"/>
                <w:numId w:val="1729"/>
              </w:numPr>
              <w:tabs>
                <w:tab w:val="left" w:pos="158"/>
              </w:tabs>
              <w:spacing w:line="160" w:lineRule="exact"/>
              <w:rPr>
                <w:sz w:val="14"/>
              </w:rPr>
            </w:pPr>
            <w:r>
              <w:rPr>
                <w:color w:val="231F20"/>
                <w:spacing w:val="-3"/>
                <w:sz w:val="14"/>
              </w:rPr>
              <w:t>Говор</w:t>
            </w:r>
            <w:r>
              <w:rPr>
                <w:color w:val="231F20"/>
                <w:sz w:val="14"/>
              </w:rPr>
              <w:t xml:space="preserve"> тела.</w:t>
            </w:r>
          </w:p>
          <w:p w:rsidR="00041039" w:rsidRDefault="001B26CB">
            <w:pPr>
              <w:pStyle w:val="TableParagraph"/>
              <w:numPr>
                <w:ilvl w:val="0"/>
                <w:numId w:val="1729"/>
              </w:numPr>
              <w:tabs>
                <w:tab w:val="left" w:pos="158"/>
              </w:tabs>
              <w:spacing w:line="160" w:lineRule="exact"/>
              <w:rPr>
                <w:sz w:val="14"/>
              </w:rPr>
            </w:pPr>
            <w:r>
              <w:rPr>
                <w:color w:val="231F20"/>
                <w:sz w:val="14"/>
              </w:rPr>
              <w:t>Препреке успешне</w:t>
            </w:r>
            <w:r>
              <w:rPr>
                <w:color w:val="231F20"/>
                <w:spacing w:val="-3"/>
                <w:sz w:val="14"/>
              </w:rPr>
              <w:t xml:space="preserve"> </w:t>
            </w:r>
            <w:r>
              <w:rPr>
                <w:color w:val="231F20"/>
                <w:sz w:val="14"/>
              </w:rPr>
              <w:t>комуникације.</w:t>
            </w:r>
          </w:p>
          <w:p w:rsidR="00041039" w:rsidRDefault="001B26CB">
            <w:pPr>
              <w:pStyle w:val="TableParagraph"/>
              <w:numPr>
                <w:ilvl w:val="0"/>
                <w:numId w:val="1729"/>
              </w:numPr>
              <w:tabs>
                <w:tab w:val="left" w:pos="158"/>
              </w:tabs>
              <w:spacing w:line="160" w:lineRule="exact"/>
              <w:rPr>
                <w:sz w:val="14"/>
              </w:rPr>
            </w:pPr>
            <w:r>
              <w:rPr>
                <w:color w:val="231F20"/>
                <w:sz w:val="14"/>
              </w:rPr>
              <w:t>Осећања.</w:t>
            </w:r>
          </w:p>
          <w:p w:rsidR="00041039" w:rsidRDefault="001B26CB">
            <w:pPr>
              <w:pStyle w:val="TableParagraph"/>
              <w:numPr>
                <w:ilvl w:val="0"/>
                <w:numId w:val="1729"/>
              </w:numPr>
              <w:tabs>
                <w:tab w:val="left" w:pos="158"/>
              </w:tabs>
              <w:spacing w:line="160" w:lineRule="exact"/>
              <w:rPr>
                <w:sz w:val="14"/>
              </w:rPr>
            </w:pPr>
            <w:r>
              <w:rPr>
                <w:color w:val="231F20"/>
                <w:sz w:val="14"/>
              </w:rPr>
              <w:t>Потребе.</w:t>
            </w:r>
          </w:p>
          <w:p w:rsidR="00041039" w:rsidRDefault="001B26CB">
            <w:pPr>
              <w:pStyle w:val="TableParagraph"/>
              <w:numPr>
                <w:ilvl w:val="0"/>
                <w:numId w:val="1729"/>
              </w:numPr>
              <w:tabs>
                <w:tab w:val="left" w:pos="158"/>
              </w:tabs>
              <w:spacing w:line="160" w:lineRule="exact"/>
              <w:rPr>
                <w:sz w:val="14"/>
              </w:rPr>
            </w:pPr>
            <w:r>
              <w:rPr>
                <w:color w:val="231F20"/>
                <w:sz w:val="14"/>
              </w:rPr>
              <w:t>Правила</w:t>
            </w:r>
            <w:r>
              <w:rPr>
                <w:color w:val="231F20"/>
                <w:spacing w:val="-2"/>
                <w:sz w:val="14"/>
              </w:rPr>
              <w:t xml:space="preserve"> </w:t>
            </w:r>
            <w:r>
              <w:rPr>
                <w:color w:val="231F20"/>
                <w:sz w:val="14"/>
              </w:rPr>
              <w:t>комуникације.</w:t>
            </w:r>
          </w:p>
          <w:p w:rsidR="00041039" w:rsidRDefault="001B26CB">
            <w:pPr>
              <w:pStyle w:val="TableParagraph"/>
              <w:numPr>
                <w:ilvl w:val="0"/>
                <w:numId w:val="1729"/>
              </w:numPr>
              <w:tabs>
                <w:tab w:val="left" w:pos="158"/>
              </w:tabs>
              <w:spacing w:line="160" w:lineRule="exact"/>
              <w:rPr>
                <w:sz w:val="14"/>
              </w:rPr>
            </w:pPr>
            <w:r>
              <w:rPr>
                <w:color w:val="231F20"/>
                <w:sz w:val="14"/>
              </w:rPr>
              <w:t>Активно</w:t>
            </w:r>
            <w:r>
              <w:rPr>
                <w:color w:val="231F20"/>
                <w:spacing w:val="-1"/>
                <w:sz w:val="14"/>
              </w:rPr>
              <w:t xml:space="preserve"> </w:t>
            </w:r>
            <w:r>
              <w:rPr>
                <w:color w:val="231F20"/>
                <w:sz w:val="14"/>
              </w:rPr>
              <w:t>слушање.</w:t>
            </w:r>
          </w:p>
          <w:p w:rsidR="00041039" w:rsidRDefault="001B26CB">
            <w:pPr>
              <w:pStyle w:val="TableParagraph"/>
              <w:numPr>
                <w:ilvl w:val="0"/>
                <w:numId w:val="1729"/>
              </w:numPr>
              <w:tabs>
                <w:tab w:val="left" w:pos="158"/>
              </w:tabs>
              <w:spacing w:line="166" w:lineRule="exact"/>
              <w:rPr>
                <w:sz w:val="14"/>
              </w:rPr>
            </w:pPr>
            <w:r>
              <w:rPr>
                <w:color w:val="231F20"/>
                <w:sz w:val="14"/>
              </w:rPr>
              <w:t>Активан говор (ја ­</w:t>
            </w:r>
            <w:r>
              <w:rPr>
                <w:color w:val="231F20"/>
                <w:spacing w:val="-4"/>
                <w:sz w:val="14"/>
              </w:rPr>
              <w:t xml:space="preserve"> </w:t>
            </w:r>
            <w:r>
              <w:rPr>
                <w:color w:val="231F20"/>
                <w:sz w:val="14"/>
              </w:rPr>
              <w:t>поруке).</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7"/>
              <w:rPr>
                <w:sz w:val="14"/>
              </w:rPr>
            </w:pPr>
            <w:r>
              <w:rPr>
                <w:color w:val="231F20"/>
                <w:sz w:val="14"/>
              </w:rPr>
              <w:t>Стрес и траума</w:t>
            </w:r>
          </w:p>
        </w:tc>
        <w:tc>
          <w:tcPr>
            <w:tcW w:w="1587" w:type="dxa"/>
          </w:tcPr>
          <w:p w:rsidR="00041039" w:rsidRDefault="001B26CB">
            <w:pPr>
              <w:pStyle w:val="TableParagraph"/>
              <w:numPr>
                <w:ilvl w:val="0"/>
                <w:numId w:val="1728"/>
              </w:numPr>
              <w:tabs>
                <w:tab w:val="left" w:pos="157"/>
              </w:tabs>
              <w:spacing w:before="9"/>
              <w:ind w:right="80" w:hanging="99"/>
              <w:rPr>
                <w:sz w:val="14"/>
              </w:rPr>
            </w:pPr>
            <w:r>
              <w:rPr>
                <w:color w:val="231F20"/>
                <w:sz w:val="14"/>
              </w:rPr>
              <w:t>Упознавање са</w:t>
            </w:r>
            <w:r>
              <w:rPr>
                <w:color w:val="231F20"/>
                <w:spacing w:val="-22"/>
                <w:sz w:val="14"/>
              </w:rPr>
              <w:t xml:space="preserve"> </w:t>
            </w:r>
            <w:r>
              <w:rPr>
                <w:color w:val="231F20"/>
                <w:sz w:val="14"/>
              </w:rPr>
              <w:t>појмом стреса и трауме и са техникама превлада­ вања стреса.</w:t>
            </w:r>
          </w:p>
        </w:tc>
        <w:tc>
          <w:tcPr>
            <w:tcW w:w="2551" w:type="dxa"/>
          </w:tcPr>
          <w:p w:rsidR="00041039" w:rsidRDefault="001B26CB">
            <w:pPr>
              <w:pStyle w:val="TableParagraph"/>
              <w:numPr>
                <w:ilvl w:val="0"/>
                <w:numId w:val="1727"/>
              </w:numPr>
              <w:tabs>
                <w:tab w:val="left" w:pos="157"/>
              </w:tabs>
              <w:spacing w:before="9" w:line="166" w:lineRule="exact"/>
              <w:ind w:hanging="99"/>
              <w:rPr>
                <w:sz w:val="14"/>
              </w:rPr>
            </w:pPr>
            <w:r>
              <w:rPr>
                <w:color w:val="231F20"/>
                <w:sz w:val="14"/>
              </w:rPr>
              <w:t>објасни шта је стрес и</w:t>
            </w:r>
            <w:r>
              <w:rPr>
                <w:color w:val="231F20"/>
                <w:spacing w:val="-3"/>
                <w:sz w:val="14"/>
              </w:rPr>
              <w:t xml:space="preserve"> </w:t>
            </w:r>
            <w:r>
              <w:rPr>
                <w:color w:val="231F20"/>
                <w:sz w:val="14"/>
              </w:rPr>
              <w:t>траума;</w:t>
            </w:r>
          </w:p>
          <w:p w:rsidR="00041039" w:rsidRDefault="001B26CB">
            <w:pPr>
              <w:pStyle w:val="TableParagraph"/>
              <w:numPr>
                <w:ilvl w:val="0"/>
                <w:numId w:val="1727"/>
              </w:numPr>
              <w:tabs>
                <w:tab w:val="left" w:pos="157"/>
              </w:tabs>
              <w:spacing w:line="166" w:lineRule="exact"/>
              <w:ind w:hanging="99"/>
              <w:rPr>
                <w:sz w:val="14"/>
              </w:rPr>
            </w:pPr>
            <w:r>
              <w:rPr>
                <w:color w:val="231F20"/>
                <w:sz w:val="14"/>
              </w:rPr>
              <w:t>наведе технике превладавања</w:t>
            </w:r>
            <w:r>
              <w:rPr>
                <w:color w:val="231F20"/>
                <w:spacing w:val="-7"/>
                <w:sz w:val="14"/>
              </w:rPr>
              <w:t xml:space="preserve"> </w:t>
            </w:r>
            <w:r>
              <w:rPr>
                <w:color w:val="231F20"/>
                <w:sz w:val="14"/>
              </w:rPr>
              <w:t>стреса;</w:t>
            </w:r>
          </w:p>
        </w:tc>
        <w:tc>
          <w:tcPr>
            <w:tcW w:w="2834" w:type="dxa"/>
          </w:tcPr>
          <w:p w:rsidR="00041039" w:rsidRDefault="001B26CB">
            <w:pPr>
              <w:pStyle w:val="TableParagraph"/>
              <w:numPr>
                <w:ilvl w:val="0"/>
                <w:numId w:val="1726"/>
              </w:numPr>
              <w:tabs>
                <w:tab w:val="left" w:pos="158"/>
              </w:tabs>
              <w:spacing w:before="9" w:line="166" w:lineRule="exact"/>
              <w:rPr>
                <w:sz w:val="14"/>
              </w:rPr>
            </w:pPr>
            <w:r>
              <w:rPr>
                <w:color w:val="231F20"/>
                <w:sz w:val="14"/>
              </w:rPr>
              <w:t>Стрес и</w:t>
            </w:r>
            <w:r>
              <w:rPr>
                <w:color w:val="231F20"/>
                <w:spacing w:val="-2"/>
                <w:sz w:val="14"/>
              </w:rPr>
              <w:t xml:space="preserve"> </w:t>
            </w:r>
            <w:r>
              <w:rPr>
                <w:color w:val="231F20"/>
                <w:sz w:val="14"/>
              </w:rPr>
              <w:t>траума.</w:t>
            </w:r>
          </w:p>
          <w:p w:rsidR="00041039" w:rsidRDefault="001B26CB">
            <w:pPr>
              <w:pStyle w:val="TableParagraph"/>
              <w:numPr>
                <w:ilvl w:val="0"/>
                <w:numId w:val="1726"/>
              </w:numPr>
              <w:tabs>
                <w:tab w:val="left" w:pos="158"/>
              </w:tabs>
              <w:spacing w:line="166" w:lineRule="exact"/>
              <w:rPr>
                <w:sz w:val="14"/>
              </w:rPr>
            </w:pPr>
            <w:r>
              <w:rPr>
                <w:color w:val="231F20"/>
                <w:sz w:val="14"/>
              </w:rPr>
              <w:t>Технике превладавања</w:t>
            </w:r>
            <w:r>
              <w:rPr>
                <w:color w:val="231F20"/>
                <w:spacing w:val="-2"/>
                <w:sz w:val="14"/>
              </w:rPr>
              <w:t xml:space="preserve"> </w:t>
            </w:r>
            <w:r>
              <w:rPr>
                <w:color w:val="231F20"/>
                <w:sz w:val="14"/>
              </w:rPr>
              <w:t>стреса.</w:t>
            </w:r>
          </w:p>
        </w:tc>
        <w:tc>
          <w:tcPr>
            <w:tcW w:w="2267" w:type="dxa"/>
            <w:vMerge/>
            <w:tcBorders>
              <w:top w:val="nil"/>
            </w:tcBorders>
          </w:tcPr>
          <w:p w:rsidR="00041039" w:rsidRDefault="00041039">
            <w:pPr>
              <w:rPr>
                <w:sz w:val="2"/>
                <w:szCs w:val="2"/>
              </w:rPr>
            </w:pPr>
          </w:p>
        </w:tc>
      </w:tr>
      <w:tr w:rsidR="00041039">
        <w:trPr>
          <w:trHeight w:val="2760"/>
        </w:trPr>
        <w:tc>
          <w:tcPr>
            <w:tcW w:w="1304" w:type="dxa"/>
          </w:tcPr>
          <w:p w:rsidR="00041039" w:rsidRDefault="001B26CB">
            <w:pPr>
              <w:pStyle w:val="TableParagraph"/>
              <w:spacing w:before="19"/>
              <w:ind w:left="57" w:right="37"/>
              <w:rPr>
                <w:sz w:val="14"/>
              </w:rPr>
            </w:pPr>
            <w:r>
              <w:rPr>
                <w:color w:val="231F20"/>
                <w:sz w:val="14"/>
              </w:rPr>
              <w:t>Психолошки проблеми</w:t>
            </w:r>
          </w:p>
        </w:tc>
        <w:tc>
          <w:tcPr>
            <w:tcW w:w="1587" w:type="dxa"/>
          </w:tcPr>
          <w:p w:rsidR="00041039" w:rsidRDefault="001B26CB">
            <w:pPr>
              <w:pStyle w:val="TableParagraph"/>
              <w:numPr>
                <w:ilvl w:val="0"/>
                <w:numId w:val="1725"/>
              </w:numPr>
              <w:tabs>
                <w:tab w:val="left" w:pos="157"/>
              </w:tabs>
              <w:spacing w:before="9"/>
              <w:ind w:right="94" w:hanging="99"/>
              <w:rPr>
                <w:sz w:val="14"/>
              </w:rPr>
            </w:pPr>
            <w:r>
              <w:rPr>
                <w:color w:val="231F20"/>
                <w:sz w:val="14"/>
              </w:rPr>
              <w:t>Упознавање са најчешћим</w:t>
            </w:r>
            <w:r>
              <w:rPr>
                <w:color w:val="231F20"/>
                <w:spacing w:val="-16"/>
                <w:sz w:val="14"/>
              </w:rPr>
              <w:t xml:space="preserve"> </w:t>
            </w:r>
            <w:r>
              <w:rPr>
                <w:color w:val="231F20"/>
                <w:sz w:val="14"/>
              </w:rPr>
              <w:t xml:space="preserve">психолош­ ким проблемима у адолесценцији и </w:t>
            </w:r>
            <w:r>
              <w:rPr>
                <w:color w:val="231F20"/>
                <w:spacing w:val="-3"/>
                <w:sz w:val="14"/>
              </w:rPr>
              <w:t xml:space="preserve">како </w:t>
            </w:r>
            <w:r>
              <w:rPr>
                <w:color w:val="231F20"/>
                <w:sz w:val="14"/>
              </w:rPr>
              <w:t>их</w:t>
            </w:r>
            <w:r>
              <w:rPr>
                <w:color w:val="231F20"/>
                <w:spacing w:val="-2"/>
                <w:sz w:val="14"/>
              </w:rPr>
              <w:t xml:space="preserve"> </w:t>
            </w:r>
            <w:r>
              <w:rPr>
                <w:color w:val="231F20"/>
                <w:sz w:val="14"/>
              </w:rPr>
              <w:t>превазићи.</w:t>
            </w:r>
          </w:p>
        </w:tc>
        <w:tc>
          <w:tcPr>
            <w:tcW w:w="2551" w:type="dxa"/>
          </w:tcPr>
          <w:p w:rsidR="00041039" w:rsidRDefault="001B26CB">
            <w:pPr>
              <w:pStyle w:val="TableParagraph"/>
              <w:numPr>
                <w:ilvl w:val="0"/>
                <w:numId w:val="1724"/>
              </w:numPr>
              <w:tabs>
                <w:tab w:val="left" w:pos="158"/>
              </w:tabs>
              <w:spacing w:before="9"/>
              <w:ind w:right="291"/>
              <w:rPr>
                <w:sz w:val="14"/>
              </w:rPr>
            </w:pPr>
            <w:r>
              <w:rPr>
                <w:color w:val="231F20"/>
                <w:sz w:val="14"/>
              </w:rPr>
              <w:t>објасни шта је и које су врсте</w:t>
            </w:r>
            <w:r>
              <w:rPr>
                <w:color w:val="231F20"/>
                <w:spacing w:val="-16"/>
                <w:sz w:val="14"/>
              </w:rPr>
              <w:t xml:space="preserve"> </w:t>
            </w:r>
            <w:r>
              <w:rPr>
                <w:color w:val="231F20"/>
                <w:sz w:val="14"/>
              </w:rPr>
              <w:t>агре­ сивности;</w:t>
            </w:r>
          </w:p>
          <w:p w:rsidR="00041039" w:rsidRDefault="001B26CB">
            <w:pPr>
              <w:pStyle w:val="TableParagraph"/>
              <w:numPr>
                <w:ilvl w:val="0"/>
                <w:numId w:val="1724"/>
              </w:numPr>
              <w:tabs>
                <w:tab w:val="left" w:pos="158"/>
              </w:tabs>
              <w:spacing w:line="160" w:lineRule="exact"/>
              <w:ind w:right="135"/>
              <w:rPr>
                <w:sz w:val="14"/>
              </w:rPr>
            </w:pPr>
            <w:r>
              <w:rPr>
                <w:color w:val="231F20"/>
                <w:sz w:val="14"/>
              </w:rPr>
              <w:t>објасни који су узроци и последице депресије, као и механизме</w:t>
            </w:r>
            <w:r>
              <w:rPr>
                <w:color w:val="231F20"/>
                <w:spacing w:val="-16"/>
                <w:sz w:val="14"/>
              </w:rPr>
              <w:t xml:space="preserve"> </w:t>
            </w:r>
            <w:r>
              <w:rPr>
                <w:color w:val="231F20"/>
                <w:sz w:val="14"/>
              </w:rPr>
              <w:t>превлада­ вања депресије;</w:t>
            </w:r>
          </w:p>
          <w:p w:rsidR="00041039" w:rsidRDefault="001B26CB">
            <w:pPr>
              <w:pStyle w:val="TableParagraph"/>
              <w:numPr>
                <w:ilvl w:val="0"/>
                <w:numId w:val="1724"/>
              </w:numPr>
              <w:tabs>
                <w:tab w:val="left" w:pos="158"/>
              </w:tabs>
              <w:spacing w:line="160" w:lineRule="exact"/>
              <w:ind w:right="246"/>
              <w:rPr>
                <w:sz w:val="14"/>
              </w:rPr>
            </w:pPr>
            <w:r>
              <w:rPr>
                <w:color w:val="231F20"/>
                <w:sz w:val="14"/>
              </w:rPr>
              <w:t>објасни шта је комплекс ниже</w:t>
            </w:r>
            <w:r>
              <w:rPr>
                <w:color w:val="231F20"/>
                <w:spacing w:val="-22"/>
                <w:sz w:val="14"/>
              </w:rPr>
              <w:t xml:space="preserve"> </w:t>
            </w:r>
            <w:r>
              <w:rPr>
                <w:color w:val="231F20"/>
                <w:sz w:val="14"/>
              </w:rPr>
              <w:t>вред­ ности и начине постизања самопо­ уздања;</w:t>
            </w:r>
          </w:p>
          <w:p w:rsidR="00041039" w:rsidRDefault="001B26CB">
            <w:pPr>
              <w:pStyle w:val="TableParagraph"/>
              <w:numPr>
                <w:ilvl w:val="0"/>
                <w:numId w:val="1724"/>
              </w:numPr>
              <w:tabs>
                <w:tab w:val="left" w:pos="158"/>
              </w:tabs>
              <w:spacing w:line="160" w:lineRule="exact"/>
              <w:ind w:right="108"/>
              <w:rPr>
                <w:sz w:val="14"/>
              </w:rPr>
            </w:pPr>
            <w:r>
              <w:rPr>
                <w:color w:val="231F20"/>
                <w:sz w:val="14"/>
              </w:rPr>
              <w:t>наведе и објасни најчешће</w:t>
            </w:r>
            <w:r>
              <w:rPr>
                <w:color w:val="231F20"/>
                <w:spacing w:val="-21"/>
                <w:sz w:val="14"/>
              </w:rPr>
              <w:t xml:space="preserve"> </w:t>
            </w:r>
            <w:r>
              <w:rPr>
                <w:color w:val="231F20"/>
                <w:sz w:val="14"/>
              </w:rPr>
              <w:t>поремећаје исхране у</w:t>
            </w:r>
            <w:r>
              <w:rPr>
                <w:color w:val="231F20"/>
                <w:spacing w:val="-1"/>
                <w:sz w:val="14"/>
              </w:rPr>
              <w:t xml:space="preserve"> </w:t>
            </w:r>
            <w:r>
              <w:rPr>
                <w:color w:val="231F20"/>
                <w:sz w:val="14"/>
              </w:rPr>
              <w:t>адолесценцији;</w:t>
            </w:r>
          </w:p>
          <w:p w:rsidR="00041039" w:rsidRDefault="001B26CB">
            <w:pPr>
              <w:pStyle w:val="TableParagraph"/>
              <w:numPr>
                <w:ilvl w:val="0"/>
                <w:numId w:val="1724"/>
              </w:numPr>
              <w:tabs>
                <w:tab w:val="left" w:pos="158"/>
              </w:tabs>
              <w:spacing w:line="153" w:lineRule="exact"/>
              <w:rPr>
                <w:sz w:val="14"/>
              </w:rPr>
            </w:pPr>
            <w:r>
              <w:rPr>
                <w:color w:val="231F20"/>
                <w:sz w:val="14"/>
              </w:rPr>
              <w:t>објасни врсте зависности и</w:t>
            </w:r>
            <w:r>
              <w:rPr>
                <w:color w:val="231F20"/>
                <w:spacing w:val="-7"/>
                <w:sz w:val="14"/>
              </w:rPr>
              <w:t xml:space="preserve"> </w:t>
            </w:r>
            <w:r>
              <w:rPr>
                <w:color w:val="231F20"/>
                <w:sz w:val="14"/>
              </w:rPr>
              <w:t>последице;</w:t>
            </w:r>
          </w:p>
          <w:p w:rsidR="00041039" w:rsidRDefault="001B26CB">
            <w:pPr>
              <w:pStyle w:val="TableParagraph"/>
              <w:numPr>
                <w:ilvl w:val="0"/>
                <w:numId w:val="1724"/>
              </w:numPr>
              <w:tabs>
                <w:tab w:val="left" w:pos="158"/>
              </w:tabs>
              <w:spacing w:line="237" w:lineRule="auto"/>
              <w:ind w:right="120"/>
              <w:rPr>
                <w:sz w:val="14"/>
              </w:rPr>
            </w:pPr>
            <w:r>
              <w:rPr>
                <w:color w:val="231F20"/>
                <w:sz w:val="14"/>
              </w:rPr>
              <w:t>наведе врсте злостављања, последице и стратегије</w:t>
            </w:r>
            <w:r>
              <w:rPr>
                <w:color w:val="231F20"/>
                <w:spacing w:val="-3"/>
                <w:sz w:val="14"/>
              </w:rPr>
              <w:t xml:space="preserve"> </w:t>
            </w:r>
            <w:r>
              <w:rPr>
                <w:color w:val="231F20"/>
                <w:sz w:val="14"/>
              </w:rPr>
              <w:t>суочавања;</w:t>
            </w:r>
          </w:p>
          <w:p w:rsidR="00041039" w:rsidRDefault="001B26CB">
            <w:pPr>
              <w:pStyle w:val="TableParagraph"/>
              <w:numPr>
                <w:ilvl w:val="0"/>
                <w:numId w:val="1724"/>
              </w:numPr>
              <w:tabs>
                <w:tab w:val="left" w:pos="158"/>
              </w:tabs>
              <w:spacing w:line="160" w:lineRule="exact"/>
              <w:ind w:right="292"/>
              <w:rPr>
                <w:sz w:val="14"/>
              </w:rPr>
            </w:pPr>
            <w:r>
              <w:rPr>
                <w:color w:val="231F20"/>
                <w:sz w:val="14"/>
              </w:rPr>
              <w:t>наведе реакције на губитак</w:t>
            </w:r>
            <w:r>
              <w:rPr>
                <w:color w:val="231F20"/>
                <w:spacing w:val="-10"/>
                <w:sz w:val="14"/>
              </w:rPr>
              <w:t xml:space="preserve"> </w:t>
            </w:r>
            <w:r>
              <w:rPr>
                <w:color w:val="231F20"/>
                <w:sz w:val="14"/>
              </w:rPr>
              <w:t>вољене особе и стратегије</w:t>
            </w:r>
            <w:r>
              <w:rPr>
                <w:color w:val="231F20"/>
                <w:spacing w:val="-6"/>
                <w:sz w:val="14"/>
              </w:rPr>
              <w:t xml:space="preserve"> </w:t>
            </w:r>
            <w:r>
              <w:rPr>
                <w:color w:val="231F20"/>
                <w:sz w:val="14"/>
              </w:rPr>
              <w:t>суочавања;</w:t>
            </w:r>
          </w:p>
          <w:p w:rsidR="00041039" w:rsidRDefault="001B26CB">
            <w:pPr>
              <w:pStyle w:val="TableParagraph"/>
              <w:numPr>
                <w:ilvl w:val="0"/>
                <w:numId w:val="1724"/>
              </w:numPr>
              <w:tabs>
                <w:tab w:val="left" w:pos="158"/>
              </w:tabs>
              <w:spacing w:line="160" w:lineRule="exact"/>
              <w:ind w:right="44"/>
              <w:rPr>
                <w:sz w:val="14"/>
              </w:rPr>
            </w:pPr>
            <w:r>
              <w:rPr>
                <w:color w:val="231F20"/>
                <w:sz w:val="14"/>
              </w:rPr>
              <w:t>наведе и објасни поремећаје</w:t>
            </w:r>
            <w:r>
              <w:rPr>
                <w:color w:val="231F20"/>
                <w:spacing w:val="-23"/>
                <w:sz w:val="14"/>
              </w:rPr>
              <w:t xml:space="preserve"> </w:t>
            </w:r>
            <w:r>
              <w:rPr>
                <w:color w:val="231F20"/>
                <w:sz w:val="14"/>
              </w:rPr>
              <w:t>понашања (лаж, крађа,</w:t>
            </w:r>
            <w:r>
              <w:rPr>
                <w:color w:val="231F20"/>
                <w:spacing w:val="-1"/>
                <w:sz w:val="14"/>
              </w:rPr>
              <w:t xml:space="preserve"> </w:t>
            </w:r>
            <w:r>
              <w:rPr>
                <w:color w:val="231F20"/>
                <w:sz w:val="14"/>
              </w:rPr>
              <w:t>деликвенција);</w:t>
            </w:r>
          </w:p>
        </w:tc>
        <w:tc>
          <w:tcPr>
            <w:tcW w:w="2834" w:type="dxa"/>
          </w:tcPr>
          <w:p w:rsidR="00041039" w:rsidRDefault="001B26CB">
            <w:pPr>
              <w:pStyle w:val="TableParagraph"/>
              <w:numPr>
                <w:ilvl w:val="0"/>
                <w:numId w:val="1723"/>
              </w:numPr>
              <w:tabs>
                <w:tab w:val="left" w:pos="158"/>
              </w:tabs>
              <w:spacing w:before="9" w:line="166" w:lineRule="exact"/>
              <w:rPr>
                <w:sz w:val="14"/>
              </w:rPr>
            </w:pPr>
            <w:r>
              <w:rPr>
                <w:color w:val="231F20"/>
                <w:sz w:val="14"/>
              </w:rPr>
              <w:t>Агресивност.</w:t>
            </w:r>
          </w:p>
          <w:p w:rsidR="00041039" w:rsidRDefault="001B26CB">
            <w:pPr>
              <w:pStyle w:val="TableParagraph"/>
              <w:numPr>
                <w:ilvl w:val="0"/>
                <w:numId w:val="1723"/>
              </w:numPr>
              <w:tabs>
                <w:tab w:val="left" w:pos="158"/>
              </w:tabs>
              <w:spacing w:line="160" w:lineRule="exact"/>
              <w:rPr>
                <w:sz w:val="14"/>
              </w:rPr>
            </w:pPr>
            <w:r>
              <w:rPr>
                <w:color w:val="231F20"/>
                <w:sz w:val="14"/>
              </w:rPr>
              <w:t>Депресија.</w:t>
            </w:r>
          </w:p>
          <w:p w:rsidR="00041039" w:rsidRDefault="001B26CB">
            <w:pPr>
              <w:pStyle w:val="TableParagraph"/>
              <w:numPr>
                <w:ilvl w:val="0"/>
                <w:numId w:val="1723"/>
              </w:numPr>
              <w:tabs>
                <w:tab w:val="left" w:pos="158"/>
              </w:tabs>
              <w:spacing w:line="160" w:lineRule="exact"/>
              <w:rPr>
                <w:sz w:val="14"/>
              </w:rPr>
            </w:pPr>
            <w:r>
              <w:rPr>
                <w:color w:val="231F20"/>
                <w:sz w:val="14"/>
              </w:rPr>
              <w:t>Комплекс ниже</w:t>
            </w:r>
            <w:r>
              <w:rPr>
                <w:color w:val="231F20"/>
                <w:spacing w:val="-2"/>
                <w:sz w:val="14"/>
              </w:rPr>
              <w:t xml:space="preserve"> </w:t>
            </w:r>
            <w:r>
              <w:rPr>
                <w:color w:val="231F20"/>
                <w:sz w:val="14"/>
              </w:rPr>
              <w:t>вредности.</w:t>
            </w:r>
          </w:p>
          <w:p w:rsidR="00041039" w:rsidRDefault="001B26CB">
            <w:pPr>
              <w:pStyle w:val="TableParagraph"/>
              <w:numPr>
                <w:ilvl w:val="0"/>
                <w:numId w:val="1723"/>
              </w:numPr>
              <w:tabs>
                <w:tab w:val="left" w:pos="158"/>
              </w:tabs>
              <w:spacing w:line="160" w:lineRule="exact"/>
              <w:rPr>
                <w:sz w:val="14"/>
              </w:rPr>
            </w:pPr>
            <w:r>
              <w:rPr>
                <w:color w:val="231F20"/>
                <w:sz w:val="14"/>
              </w:rPr>
              <w:t>Поремећаји</w:t>
            </w:r>
            <w:r>
              <w:rPr>
                <w:color w:val="231F20"/>
                <w:spacing w:val="-2"/>
                <w:sz w:val="14"/>
              </w:rPr>
              <w:t xml:space="preserve"> </w:t>
            </w:r>
            <w:r>
              <w:rPr>
                <w:color w:val="231F20"/>
                <w:sz w:val="14"/>
              </w:rPr>
              <w:t>исхране.</w:t>
            </w:r>
          </w:p>
          <w:p w:rsidR="00041039" w:rsidRDefault="001B26CB">
            <w:pPr>
              <w:pStyle w:val="TableParagraph"/>
              <w:numPr>
                <w:ilvl w:val="0"/>
                <w:numId w:val="1723"/>
              </w:numPr>
              <w:tabs>
                <w:tab w:val="left" w:pos="158"/>
              </w:tabs>
              <w:spacing w:line="160" w:lineRule="exact"/>
              <w:rPr>
                <w:sz w:val="14"/>
              </w:rPr>
            </w:pPr>
            <w:r>
              <w:rPr>
                <w:color w:val="231F20"/>
                <w:sz w:val="14"/>
              </w:rPr>
              <w:t>Зависност.</w:t>
            </w:r>
          </w:p>
          <w:p w:rsidR="00041039" w:rsidRDefault="001B26CB">
            <w:pPr>
              <w:pStyle w:val="TableParagraph"/>
              <w:numPr>
                <w:ilvl w:val="0"/>
                <w:numId w:val="1723"/>
              </w:numPr>
              <w:tabs>
                <w:tab w:val="left" w:pos="158"/>
              </w:tabs>
              <w:spacing w:line="160" w:lineRule="exact"/>
              <w:rPr>
                <w:sz w:val="14"/>
              </w:rPr>
            </w:pPr>
            <w:r>
              <w:rPr>
                <w:color w:val="231F20"/>
                <w:sz w:val="14"/>
              </w:rPr>
              <w:t>Злостављање.</w:t>
            </w:r>
          </w:p>
          <w:p w:rsidR="00041039" w:rsidRDefault="001B26CB">
            <w:pPr>
              <w:pStyle w:val="TableParagraph"/>
              <w:numPr>
                <w:ilvl w:val="0"/>
                <w:numId w:val="1723"/>
              </w:numPr>
              <w:tabs>
                <w:tab w:val="left" w:pos="158"/>
              </w:tabs>
              <w:spacing w:line="160" w:lineRule="exact"/>
              <w:rPr>
                <w:sz w:val="14"/>
              </w:rPr>
            </w:pPr>
            <w:r>
              <w:rPr>
                <w:color w:val="231F20"/>
                <w:sz w:val="14"/>
              </w:rPr>
              <w:t>Губитак вољене</w:t>
            </w:r>
            <w:r>
              <w:rPr>
                <w:color w:val="231F20"/>
                <w:spacing w:val="-8"/>
                <w:sz w:val="14"/>
              </w:rPr>
              <w:t xml:space="preserve"> </w:t>
            </w:r>
            <w:r>
              <w:rPr>
                <w:color w:val="231F20"/>
                <w:sz w:val="14"/>
              </w:rPr>
              <w:t>особе.</w:t>
            </w:r>
          </w:p>
          <w:p w:rsidR="00041039" w:rsidRDefault="001B26CB">
            <w:pPr>
              <w:pStyle w:val="TableParagraph"/>
              <w:numPr>
                <w:ilvl w:val="0"/>
                <w:numId w:val="1723"/>
              </w:numPr>
              <w:tabs>
                <w:tab w:val="left" w:pos="158"/>
              </w:tabs>
              <w:spacing w:line="166" w:lineRule="exact"/>
              <w:rPr>
                <w:sz w:val="14"/>
              </w:rPr>
            </w:pPr>
            <w:r>
              <w:rPr>
                <w:color w:val="231F20"/>
                <w:sz w:val="14"/>
              </w:rPr>
              <w:t>Поремећаји</w:t>
            </w:r>
            <w:r>
              <w:rPr>
                <w:color w:val="231F20"/>
                <w:spacing w:val="-19"/>
                <w:sz w:val="14"/>
              </w:rPr>
              <w:t xml:space="preserve"> </w:t>
            </w:r>
            <w:r>
              <w:rPr>
                <w:color w:val="231F20"/>
                <w:sz w:val="14"/>
              </w:rPr>
              <w:t>понашања.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Верска</w:t>
      </w:r>
      <w:r>
        <w:rPr>
          <w:color w:val="231F20"/>
          <w:spacing w:val="-1"/>
        </w:rPr>
        <w:t xml:space="preserve"> </w:t>
      </w:r>
      <w:r>
        <w:rPr>
          <w:color w:val="231F20"/>
        </w:rPr>
        <w:t>настава</w:t>
      </w:r>
    </w:p>
    <w:p w:rsidR="00041039" w:rsidRDefault="001B26CB">
      <w:pPr>
        <w:pStyle w:val="ListParagraph"/>
        <w:numPr>
          <w:ilvl w:val="0"/>
          <w:numId w:val="3"/>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0"/>
          <w:numId w:val="3"/>
        </w:numPr>
        <w:tabs>
          <w:tab w:val="left" w:pos="633"/>
        </w:tabs>
        <w:spacing w:line="203" w:lineRule="exact"/>
        <w:rPr>
          <w:sz w:val="18"/>
        </w:rPr>
      </w:pPr>
      <w:r>
        <w:rPr>
          <w:color w:val="231F20"/>
          <w:spacing w:val="-3"/>
          <w:sz w:val="18"/>
        </w:rPr>
        <w:t>Људски</w:t>
      </w:r>
      <w:r>
        <w:rPr>
          <w:color w:val="231F20"/>
          <w:spacing w:val="-1"/>
          <w:sz w:val="18"/>
        </w:rPr>
        <w:t xml:space="preserve"> </w:t>
      </w:r>
      <w:r>
        <w:rPr>
          <w:color w:val="231F20"/>
          <w:sz w:val="18"/>
        </w:rPr>
        <w:t>фактор</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line="314" w:lineRule="auto"/>
        <w:ind w:left="157" w:right="8707"/>
        <w:jc w:val="both"/>
        <w:rPr>
          <w:b/>
          <w:sz w:val="14"/>
        </w:rPr>
      </w:pPr>
      <w:r>
        <w:rPr>
          <w:color w:val="231F20"/>
          <w:sz w:val="14"/>
        </w:rPr>
        <w:lastRenderedPageBreak/>
        <w:t xml:space="preserve">Назив предмета: </w:t>
      </w:r>
      <w:r>
        <w:rPr>
          <w:b/>
          <w:color w:val="231F20"/>
          <w:sz w:val="14"/>
        </w:rPr>
        <w:t xml:space="preserve">ФИЗИКА </w:t>
      </w:r>
      <w:r>
        <w:rPr>
          <w:color w:val="231F20"/>
          <w:spacing w:val="-3"/>
          <w:sz w:val="14"/>
        </w:rPr>
        <w:t xml:space="preserve">Годишњи </w:t>
      </w:r>
      <w:r>
        <w:rPr>
          <w:color w:val="231F20"/>
          <w:sz w:val="14"/>
        </w:rPr>
        <w:t xml:space="preserve">фонд: </w:t>
      </w:r>
      <w:r>
        <w:rPr>
          <w:b/>
          <w:color w:val="231F20"/>
          <w:sz w:val="14"/>
        </w:rPr>
        <w:t xml:space="preserve">70 часова </w:t>
      </w:r>
      <w:r>
        <w:rPr>
          <w:color w:val="231F20"/>
          <w:sz w:val="14"/>
        </w:rPr>
        <w:t>Разред:</w:t>
      </w:r>
      <w:r>
        <w:rPr>
          <w:color w:val="231F20"/>
          <w:sz w:val="14"/>
        </w:rPr>
        <w:tab/>
      </w:r>
      <w:r>
        <w:rPr>
          <w:b/>
          <w:color w:val="231F20"/>
          <w:sz w:val="14"/>
        </w:rPr>
        <w:t>трећи</w:t>
      </w:r>
    </w:p>
    <w:p w:rsidR="00041039" w:rsidRDefault="00041039">
      <w:pPr>
        <w:pStyle w:val="BodyText"/>
        <w:spacing w:before="2" w:after="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Pr>
                <w:sz w:val="14"/>
              </w:rPr>
            </w:pPr>
            <w:r>
              <w:rPr>
                <w:color w:val="231F20"/>
                <w:sz w:val="14"/>
              </w:rPr>
              <w:t>Закони одржања</w:t>
            </w:r>
          </w:p>
        </w:tc>
        <w:tc>
          <w:tcPr>
            <w:tcW w:w="1587" w:type="dxa"/>
          </w:tcPr>
          <w:p w:rsidR="00041039" w:rsidRDefault="001B26CB">
            <w:pPr>
              <w:pStyle w:val="TableParagraph"/>
              <w:numPr>
                <w:ilvl w:val="0"/>
                <w:numId w:val="1722"/>
              </w:numPr>
              <w:tabs>
                <w:tab w:val="left" w:pos="157"/>
              </w:tabs>
              <w:spacing w:before="8"/>
              <w:ind w:right="44"/>
              <w:rPr>
                <w:sz w:val="14"/>
              </w:rPr>
            </w:pPr>
            <w:r>
              <w:rPr>
                <w:color w:val="231F20"/>
                <w:sz w:val="14"/>
              </w:rPr>
              <w:t>Стицање представе о универзалности</w:t>
            </w:r>
            <w:r>
              <w:rPr>
                <w:color w:val="231F20"/>
                <w:spacing w:val="-7"/>
                <w:sz w:val="14"/>
              </w:rPr>
              <w:t xml:space="preserve"> </w:t>
            </w:r>
            <w:r>
              <w:rPr>
                <w:color w:val="231F20"/>
                <w:sz w:val="14"/>
              </w:rPr>
              <w:t>закона одржања и њиховом значају у природним наукама.</w:t>
            </w:r>
          </w:p>
        </w:tc>
        <w:tc>
          <w:tcPr>
            <w:tcW w:w="2551" w:type="dxa"/>
          </w:tcPr>
          <w:p w:rsidR="00041039" w:rsidRDefault="001B26CB">
            <w:pPr>
              <w:pStyle w:val="TableParagraph"/>
              <w:numPr>
                <w:ilvl w:val="0"/>
                <w:numId w:val="1721"/>
              </w:numPr>
              <w:tabs>
                <w:tab w:val="left" w:pos="157"/>
              </w:tabs>
              <w:spacing w:before="8"/>
              <w:ind w:right="151" w:hanging="99"/>
              <w:rPr>
                <w:sz w:val="14"/>
              </w:rPr>
            </w:pPr>
            <w:r>
              <w:rPr>
                <w:color w:val="231F20"/>
                <w:sz w:val="14"/>
              </w:rPr>
              <w:t>формулише</w:t>
            </w:r>
            <w:r>
              <w:rPr>
                <w:color w:val="231F20"/>
                <w:spacing w:val="-11"/>
                <w:sz w:val="14"/>
              </w:rPr>
              <w:t xml:space="preserve"> </w:t>
            </w:r>
            <w:r>
              <w:rPr>
                <w:color w:val="231F20"/>
                <w:sz w:val="14"/>
              </w:rPr>
              <w:t>законе</w:t>
            </w:r>
            <w:r>
              <w:rPr>
                <w:color w:val="231F20"/>
                <w:spacing w:val="-10"/>
                <w:sz w:val="14"/>
              </w:rPr>
              <w:t xml:space="preserve"> </w:t>
            </w:r>
            <w:r>
              <w:rPr>
                <w:color w:val="231F20"/>
                <w:sz w:val="14"/>
              </w:rPr>
              <w:t>одржања</w:t>
            </w:r>
            <w:r>
              <w:rPr>
                <w:color w:val="231F20"/>
                <w:spacing w:val="-10"/>
                <w:sz w:val="14"/>
              </w:rPr>
              <w:t xml:space="preserve"> </w:t>
            </w:r>
            <w:r>
              <w:rPr>
                <w:color w:val="231F20"/>
                <w:sz w:val="14"/>
              </w:rPr>
              <w:t>импулса и механичке енергије и примењује их у објашњавању примера из</w:t>
            </w:r>
            <w:r>
              <w:rPr>
                <w:color w:val="231F20"/>
                <w:spacing w:val="-18"/>
                <w:sz w:val="14"/>
              </w:rPr>
              <w:t xml:space="preserve"> </w:t>
            </w:r>
            <w:r>
              <w:rPr>
                <w:color w:val="231F20"/>
                <w:sz w:val="14"/>
              </w:rPr>
              <w:t>праксе и решавању задатака (рачунских и експерименталних);</w:t>
            </w:r>
          </w:p>
          <w:p w:rsidR="00041039" w:rsidRDefault="001B26CB">
            <w:pPr>
              <w:pStyle w:val="TableParagraph"/>
              <w:numPr>
                <w:ilvl w:val="0"/>
                <w:numId w:val="1721"/>
              </w:numPr>
              <w:tabs>
                <w:tab w:val="left" w:pos="157"/>
              </w:tabs>
              <w:spacing w:line="155" w:lineRule="exact"/>
              <w:ind w:hanging="99"/>
              <w:rPr>
                <w:sz w:val="14"/>
              </w:rPr>
            </w:pPr>
            <w:r>
              <w:rPr>
                <w:color w:val="231F20"/>
                <w:sz w:val="14"/>
              </w:rPr>
              <w:t>разуме универзалност закона</w:t>
            </w:r>
            <w:r>
              <w:rPr>
                <w:color w:val="231F20"/>
                <w:spacing w:val="-11"/>
                <w:sz w:val="14"/>
              </w:rPr>
              <w:t xml:space="preserve"> </w:t>
            </w:r>
            <w:r>
              <w:rPr>
                <w:color w:val="231F20"/>
                <w:sz w:val="14"/>
              </w:rPr>
              <w:t>одржања</w:t>
            </w:r>
          </w:p>
          <w:p w:rsidR="00041039" w:rsidRDefault="001B26CB">
            <w:pPr>
              <w:pStyle w:val="TableParagraph"/>
              <w:spacing w:line="160" w:lineRule="exact"/>
              <w:rPr>
                <w:sz w:val="14"/>
              </w:rPr>
            </w:pPr>
            <w:r>
              <w:rPr>
                <w:color w:val="231F20"/>
                <w:sz w:val="14"/>
              </w:rPr>
              <w:t>и њихов значај у природним наукама;</w:t>
            </w:r>
          </w:p>
        </w:tc>
        <w:tc>
          <w:tcPr>
            <w:tcW w:w="2834" w:type="dxa"/>
          </w:tcPr>
          <w:p w:rsidR="00041039" w:rsidRDefault="001B26CB">
            <w:pPr>
              <w:pStyle w:val="TableParagraph"/>
              <w:numPr>
                <w:ilvl w:val="0"/>
                <w:numId w:val="1720"/>
              </w:numPr>
              <w:tabs>
                <w:tab w:val="left" w:pos="157"/>
              </w:tabs>
              <w:spacing w:before="8"/>
              <w:ind w:right="188" w:hanging="99"/>
              <w:rPr>
                <w:sz w:val="14"/>
              </w:rPr>
            </w:pPr>
            <w:r>
              <w:rPr>
                <w:color w:val="231F20"/>
                <w:spacing w:val="-5"/>
                <w:sz w:val="14"/>
              </w:rPr>
              <w:t xml:space="preserve">Увод. </w:t>
            </w:r>
            <w:r>
              <w:rPr>
                <w:color w:val="231F20"/>
                <w:sz w:val="14"/>
              </w:rPr>
              <w:t>Закон одржања импулса.</w:t>
            </w:r>
            <w:r>
              <w:rPr>
                <w:color w:val="231F20"/>
                <w:spacing w:val="-21"/>
                <w:sz w:val="14"/>
              </w:rPr>
              <w:t xml:space="preserve"> </w:t>
            </w:r>
            <w:r>
              <w:rPr>
                <w:color w:val="231F20"/>
                <w:sz w:val="14"/>
              </w:rPr>
              <w:t>Реактивно кретање. Центар масе и кретање центра масе.</w:t>
            </w:r>
          </w:p>
          <w:p w:rsidR="00041039" w:rsidRDefault="001B26CB">
            <w:pPr>
              <w:pStyle w:val="TableParagraph"/>
              <w:numPr>
                <w:ilvl w:val="0"/>
                <w:numId w:val="1720"/>
              </w:numPr>
              <w:tabs>
                <w:tab w:val="left" w:pos="157"/>
              </w:tabs>
              <w:spacing w:line="152" w:lineRule="exact"/>
              <w:ind w:hanging="99"/>
              <w:rPr>
                <w:sz w:val="14"/>
              </w:rPr>
            </w:pPr>
            <w:r>
              <w:rPr>
                <w:color w:val="231F20"/>
                <w:sz w:val="14"/>
              </w:rPr>
              <w:t>Рад силе. Кинетичка енергија и рад.</w:t>
            </w:r>
            <w:r>
              <w:rPr>
                <w:color w:val="231F20"/>
                <w:spacing w:val="-6"/>
                <w:sz w:val="14"/>
              </w:rPr>
              <w:t xml:space="preserve"> </w:t>
            </w:r>
            <w:r>
              <w:rPr>
                <w:color w:val="231F20"/>
                <w:sz w:val="14"/>
              </w:rPr>
              <w:t>Снага.</w:t>
            </w:r>
          </w:p>
          <w:p w:rsidR="00041039" w:rsidRDefault="001B26CB">
            <w:pPr>
              <w:pStyle w:val="TableParagraph"/>
              <w:numPr>
                <w:ilvl w:val="0"/>
                <w:numId w:val="1720"/>
              </w:numPr>
              <w:tabs>
                <w:tab w:val="left" w:pos="157"/>
              </w:tabs>
              <w:spacing w:line="237" w:lineRule="auto"/>
              <w:ind w:right="45" w:hanging="99"/>
              <w:rPr>
                <w:sz w:val="14"/>
              </w:rPr>
            </w:pPr>
            <w:r>
              <w:rPr>
                <w:color w:val="231F20"/>
                <w:sz w:val="14"/>
              </w:rPr>
              <w:t>Конзервативне силе. Потенцијална</w:t>
            </w:r>
            <w:r>
              <w:rPr>
                <w:color w:val="231F20"/>
                <w:spacing w:val="-20"/>
                <w:sz w:val="14"/>
              </w:rPr>
              <w:t xml:space="preserve"> </w:t>
            </w:r>
            <w:r>
              <w:rPr>
                <w:color w:val="231F20"/>
                <w:sz w:val="14"/>
              </w:rPr>
              <w:t>енергија гравитационе и еластичне</w:t>
            </w:r>
            <w:r>
              <w:rPr>
                <w:color w:val="231F20"/>
                <w:spacing w:val="-2"/>
                <w:sz w:val="14"/>
              </w:rPr>
              <w:t xml:space="preserve"> </w:t>
            </w:r>
            <w:r>
              <w:rPr>
                <w:color w:val="231F20"/>
                <w:sz w:val="14"/>
              </w:rPr>
              <w:t>силе.</w:t>
            </w:r>
          </w:p>
          <w:p w:rsidR="00041039" w:rsidRDefault="001B26CB">
            <w:pPr>
              <w:pStyle w:val="TableParagraph"/>
              <w:numPr>
                <w:ilvl w:val="0"/>
                <w:numId w:val="1720"/>
              </w:numPr>
              <w:tabs>
                <w:tab w:val="left" w:pos="157"/>
              </w:tabs>
              <w:spacing w:line="160" w:lineRule="exact"/>
              <w:ind w:right="54" w:hanging="99"/>
              <w:rPr>
                <w:sz w:val="14"/>
              </w:rPr>
            </w:pPr>
            <w:r>
              <w:rPr>
                <w:color w:val="231F20"/>
                <w:sz w:val="14"/>
              </w:rPr>
              <w:t>Потенцијал гравитационог поља. Потенцијалне криве, потенцијална енергија и</w:t>
            </w:r>
            <w:r>
              <w:rPr>
                <w:color w:val="231F20"/>
                <w:spacing w:val="-1"/>
                <w:sz w:val="14"/>
              </w:rPr>
              <w:t xml:space="preserve"> </w:t>
            </w:r>
            <w:r>
              <w:rPr>
                <w:color w:val="231F20"/>
                <w:sz w:val="14"/>
              </w:rPr>
              <w:t>рад.</w:t>
            </w:r>
          </w:p>
          <w:p w:rsidR="00041039" w:rsidRDefault="001B26CB">
            <w:pPr>
              <w:pStyle w:val="TableParagraph"/>
              <w:numPr>
                <w:ilvl w:val="0"/>
                <w:numId w:val="1720"/>
              </w:numPr>
              <w:tabs>
                <w:tab w:val="left" w:pos="157"/>
              </w:tabs>
              <w:spacing w:line="160" w:lineRule="exact"/>
              <w:ind w:right="189" w:hanging="99"/>
              <w:rPr>
                <w:sz w:val="14"/>
              </w:rPr>
            </w:pPr>
            <w:r>
              <w:rPr>
                <w:color w:val="231F20"/>
                <w:sz w:val="14"/>
              </w:rPr>
              <w:t xml:space="preserve">Рад, снага и кинетичка енергија </w:t>
            </w:r>
            <w:r>
              <w:rPr>
                <w:color w:val="231F20"/>
                <w:spacing w:val="-5"/>
                <w:sz w:val="14"/>
              </w:rPr>
              <w:t xml:space="preserve">код </w:t>
            </w:r>
            <w:r>
              <w:rPr>
                <w:color w:val="231F20"/>
                <w:sz w:val="14"/>
              </w:rPr>
              <w:t>рота­ ционог</w:t>
            </w:r>
            <w:r>
              <w:rPr>
                <w:color w:val="231F20"/>
                <w:spacing w:val="-2"/>
                <w:sz w:val="14"/>
              </w:rPr>
              <w:t xml:space="preserve"> </w:t>
            </w:r>
            <w:r>
              <w:rPr>
                <w:color w:val="231F20"/>
                <w:sz w:val="14"/>
              </w:rPr>
              <w:t>кретања.</w:t>
            </w:r>
          </w:p>
          <w:p w:rsidR="00041039" w:rsidRDefault="001B26CB">
            <w:pPr>
              <w:pStyle w:val="TableParagraph"/>
              <w:numPr>
                <w:ilvl w:val="0"/>
                <w:numId w:val="1720"/>
              </w:numPr>
              <w:tabs>
                <w:tab w:val="left" w:pos="157"/>
              </w:tabs>
              <w:spacing w:line="160" w:lineRule="exact"/>
              <w:ind w:right="75" w:hanging="99"/>
              <w:rPr>
                <w:sz w:val="14"/>
              </w:rPr>
            </w:pPr>
            <w:r>
              <w:rPr>
                <w:color w:val="231F20"/>
                <w:sz w:val="14"/>
              </w:rPr>
              <w:t>Закон одржања механичке енергије</w:t>
            </w:r>
            <w:r>
              <w:rPr>
                <w:color w:val="231F20"/>
                <w:spacing w:val="-24"/>
                <w:sz w:val="14"/>
              </w:rPr>
              <w:t xml:space="preserve"> </w:t>
            </w:r>
            <w:r>
              <w:rPr>
                <w:color w:val="231F20"/>
                <w:sz w:val="14"/>
              </w:rPr>
              <w:t>(„мртва петља”, друга космичка</w:t>
            </w:r>
            <w:r>
              <w:rPr>
                <w:color w:val="231F20"/>
                <w:spacing w:val="-4"/>
                <w:sz w:val="14"/>
              </w:rPr>
              <w:t xml:space="preserve"> </w:t>
            </w:r>
            <w:r>
              <w:rPr>
                <w:color w:val="231F20"/>
                <w:sz w:val="14"/>
              </w:rPr>
              <w:t>брзина).</w:t>
            </w:r>
          </w:p>
          <w:p w:rsidR="00041039" w:rsidRDefault="001B26CB">
            <w:pPr>
              <w:pStyle w:val="TableParagraph"/>
              <w:numPr>
                <w:ilvl w:val="0"/>
                <w:numId w:val="1720"/>
              </w:numPr>
              <w:tabs>
                <w:tab w:val="left" w:pos="157"/>
              </w:tabs>
              <w:spacing w:line="160" w:lineRule="exact"/>
              <w:ind w:right="137" w:hanging="99"/>
              <w:rPr>
                <w:sz w:val="14"/>
              </w:rPr>
            </w:pPr>
            <w:r>
              <w:rPr>
                <w:color w:val="231F20"/>
                <w:sz w:val="14"/>
              </w:rPr>
              <w:t>Судари. Описивање кретања помоћу</w:t>
            </w:r>
            <w:r>
              <w:rPr>
                <w:color w:val="231F20"/>
                <w:spacing w:val="-22"/>
                <w:sz w:val="14"/>
              </w:rPr>
              <w:t xml:space="preserve"> </w:t>
            </w:r>
            <w:r>
              <w:rPr>
                <w:color w:val="231F20"/>
                <w:sz w:val="14"/>
              </w:rPr>
              <w:t>енер­ гијских</w:t>
            </w:r>
            <w:r>
              <w:rPr>
                <w:color w:val="231F20"/>
                <w:spacing w:val="-2"/>
                <w:sz w:val="14"/>
              </w:rPr>
              <w:t xml:space="preserve"> </w:t>
            </w:r>
            <w:r>
              <w:rPr>
                <w:color w:val="231F20"/>
                <w:sz w:val="14"/>
              </w:rPr>
              <w:t>дијаграма.</w:t>
            </w:r>
          </w:p>
          <w:p w:rsidR="00041039" w:rsidRDefault="001B26CB">
            <w:pPr>
              <w:pStyle w:val="TableParagraph"/>
              <w:numPr>
                <w:ilvl w:val="0"/>
                <w:numId w:val="1720"/>
              </w:numPr>
              <w:tabs>
                <w:tab w:val="left" w:pos="157"/>
              </w:tabs>
              <w:spacing w:line="160" w:lineRule="exact"/>
              <w:ind w:right="450" w:hanging="99"/>
              <w:rPr>
                <w:sz w:val="14"/>
              </w:rPr>
            </w:pPr>
            <w:r>
              <w:rPr>
                <w:color w:val="231F20"/>
                <w:sz w:val="14"/>
              </w:rPr>
              <w:t>Закон одржања момента импулса. Извођење Другог Кеплеровог</w:t>
            </w:r>
            <w:r>
              <w:rPr>
                <w:color w:val="231F20"/>
                <w:spacing w:val="-26"/>
                <w:sz w:val="14"/>
              </w:rPr>
              <w:t xml:space="preserve"> </w:t>
            </w:r>
            <w:r>
              <w:rPr>
                <w:color w:val="231F20"/>
                <w:sz w:val="14"/>
              </w:rPr>
              <w:t>закона.</w:t>
            </w:r>
          </w:p>
        </w:tc>
        <w:tc>
          <w:tcPr>
            <w:tcW w:w="2267" w:type="dxa"/>
            <w:vMerge w:val="restart"/>
          </w:tcPr>
          <w:p w:rsidR="00041039" w:rsidRDefault="001B26CB">
            <w:pPr>
              <w:pStyle w:val="TableParagraph"/>
              <w:numPr>
                <w:ilvl w:val="0"/>
                <w:numId w:val="1719"/>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719"/>
              </w:numPr>
              <w:tabs>
                <w:tab w:val="left" w:pos="158"/>
              </w:tabs>
              <w:spacing w:line="160" w:lineRule="exact"/>
              <w:ind w:right="177" w:hanging="99"/>
              <w:rPr>
                <w:b/>
                <w:sz w:val="14"/>
              </w:rPr>
            </w:pPr>
            <w:r>
              <w:rPr>
                <w:color w:val="231F20"/>
                <w:sz w:val="14"/>
              </w:rPr>
              <w:t xml:space="preserve">теоријска настава са демонстра­ ционим огледима </w:t>
            </w:r>
            <w:r>
              <w:rPr>
                <w:b/>
                <w:color w:val="231F20"/>
                <w:sz w:val="14"/>
              </w:rPr>
              <w:t>(62</w:t>
            </w:r>
            <w:r>
              <w:rPr>
                <w:b/>
                <w:color w:val="231F20"/>
                <w:spacing w:val="-5"/>
                <w:sz w:val="14"/>
              </w:rPr>
              <w:t xml:space="preserve"> </w:t>
            </w:r>
            <w:r>
              <w:rPr>
                <w:b/>
                <w:color w:val="231F20"/>
                <w:sz w:val="14"/>
              </w:rPr>
              <w:t>часа)</w:t>
            </w:r>
          </w:p>
          <w:p w:rsidR="00041039" w:rsidRDefault="001B26CB">
            <w:pPr>
              <w:pStyle w:val="TableParagraph"/>
              <w:numPr>
                <w:ilvl w:val="0"/>
                <w:numId w:val="1719"/>
              </w:numPr>
              <w:tabs>
                <w:tab w:val="left" w:pos="158"/>
              </w:tabs>
              <w:spacing w:line="159" w:lineRule="exact"/>
              <w:ind w:hanging="99"/>
              <w:rPr>
                <w:b/>
                <w:sz w:val="14"/>
              </w:rPr>
            </w:pPr>
            <w:r>
              <w:rPr>
                <w:color w:val="231F20"/>
                <w:sz w:val="14"/>
              </w:rPr>
              <w:t xml:space="preserve">лабораторијске вежбе </w:t>
            </w:r>
            <w:r>
              <w:rPr>
                <w:b/>
                <w:color w:val="231F20"/>
                <w:sz w:val="14"/>
              </w:rPr>
              <w:t>(8</w:t>
            </w:r>
            <w:r>
              <w:rPr>
                <w:b/>
                <w:color w:val="231F20"/>
                <w:spacing w:val="-12"/>
                <w:sz w:val="14"/>
              </w:rPr>
              <w:t xml:space="preserve"> </w:t>
            </w:r>
            <w:r>
              <w:rPr>
                <w:b/>
                <w:color w:val="231F20"/>
                <w:sz w:val="14"/>
              </w:rPr>
              <w:t>ч</w:t>
            </w:r>
            <w:r>
              <w:rPr>
                <w:b/>
                <w:color w:val="231F20"/>
                <w:sz w:val="14"/>
              </w:rPr>
              <w:t>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719"/>
              </w:numPr>
              <w:tabs>
                <w:tab w:val="left" w:pos="158"/>
              </w:tabs>
              <w:spacing w:line="160" w:lineRule="exact"/>
              <w:ind w:hanging="99"/>
              <w:rPr>
                <w:sz w:val="14"/>
              </w:rPr>
            </w:pPr>
            <w:r>
              <w:rPr>
                <w:color w:val="231F20"/>
                <w:sz w:val="14"/>
              </w:rPr>
              <w:t>учионици</w:t>
            </w:r>
          </w:p>
          <w:p w:rsidR="00041039" w:rsidRDefault="001B26CB">
            <w:pPr>
              <w:pStyle w:val="TableParagraph"/>
              <w:numPr>
                <w:ilvl w:val="0"/>
                <w:numId w:val="1719"/>
              </w:numPr>
              <w:tabs>
                <w:tab w:val="left" w:pos="158"/>
              </w:tabs>
              <w:spacing w:line="166" w:lineRule="exact"/>
              <w:ind w:hanging="99"/>
              <w:rPr>
                <w:sz w:val="14"/>
              </w:rPr>
            </w:pPr>
            <w:r>
              <w:rPr>
                <w:color w:val="231F20"/>
                <w:sz w:val="14"/>
              </w:rPr>
              <w:t>кабинет за</w:t>
            </w:r>
            <w:r>
              <w:rPr>
                <w:color w:val="231F20"/>
                <w:spacing w:val="-2"/>
                <w:sz w:val="14"/>
              </w:rPr>
              <w:t xml:space="preserve"> </w:t>
            </w:r>
            <w:r>
              <w:rPr>
                <w:color w:val="231F20"/>
                <w:sz w:val="14"/>
              </w:rPr>
              <w:t>физику</w:t>
            </w:r>
          </w:p>
          <w:p w:rsidR="00041039" w:rsidRDefault="00041039">
            <w:pPr>
              <w:pStyle w:val="TableParagraph"/>
              <w:spacing w:before="8"/>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719"/>
              </w:numPr>
              <w:tabs>
                <w:tab w:val="left" w:pos="158"/>
              </w:tabs>
              <w:spacing w:line="160" w:lineRule="exact"/>
              <w:ind w:right="117" w:hanging="99"/>
              <w:rPr>
                <w:sz w:val="14"/>
              </w:rPr>
            </w:pPr>
            <w:r>
              <w:rPr>
                <w:color w:val="231F20"/>
                <w:sz w:val="14"/>
              </w:rPr>
              <w:t>користити сва доступна</w:t>
            </w:r>
            <w:r>
              <w:rPr>
                <w:color w:val="231F20"/>
                <w:spacing w:val="-11"/>
                <w:sz w:val="14"/>
              </w:rPr>
              <w:t xml:space="preserve"> </w:t>
            </w:r>
            <w:r>
              <w:rPr>
                <w:color w:val="231F20"/>
                <w:sz w:val="14"/>
              </w:rPr>
              <w:t>наставна средства;</w:t>
            </w:r>
          </w:p>
          <w:p w:rsidR="00041039" w:rsidRDefault="001B26CB">
            <w:pPr>
              <w:pStyle w:val="TableParagraph"/>
              <w:numPr>
                <w:ilvl w:val="0"/>
                <w:numId w:val="1719"/>
              </w:numPr>
              <w:tabs>
                <w:tab w:val="left" w:pos="158"/>
              </w:tabs>
              <w:spacing w:line="160" w:lineRule="exact"/>
              <w:ind w:right="201" w:hanging="99"/>
              <w:rPr>
                <w:sz w:val="14"/>
              </w:rPr>
            </w:pPr>
            <w:r>
              <w:rPr>
                <w:color w:val="231F20"/>
                <w:sz w:val="14"/>
              </w:rPr>
              <w:t>користити мултимедијалне</w:t>
            </w:r>
            <w:r>
              <w:rPr>
                <w:color w:val="231F20"/>
                <w:spacing w:val="-23"/>
                <w:sz w:val="14"/>
              </w:rPr>
              <w:t xml:space="preserve"> </w:t>
            </w:r>
            <w:r>
              <w:rPr>
                <w:color w:val="231F20"/>
                <w:sz w:val="14"/>
              </w:rPr>
              <w:t>пре­ зентације;</w:t>
            </w:r>
          </w:p>
          <w:p w:rsidR="00041039" w:rsidRDefault="001B26CB">
            <w:pPr>
              <w:pStyle w:val="TableParagraph"/>
              <w:numPr>
                <w:ilvl w:val="0"/>
                <w:numId w:val="1719"/>
              </w:numPr>
              <w:tabs>
                <w:tab w:val="left" w:pos="158"/>
              </w:tabs>
              <w:spacing w:line="160" w:lineRule="exact"/>
              <w:ind w:right="196" w:hanging="99"/>
              <w:rPr>
                <w:sz w:val="14"/>
              </w:rPr>
            </w:pPr>
            <w:r>
              <w:rPr>
                <w:color w:val="231F20"/>
                <w:sz w:val="14"/>
              </w:rPr>
              <w:t>упућивати ученике да користе интернет и стручну</w:t>
            </w:r>
            <w:r>
              <w:rPr>
                <w:color w:val="231F20"/>
                <w:spacing w:val="-22"/>
                <w:sz w:val="14"/>
              </w:rPr>
              <w:t xml:space="preserve"> </w:t>
            </w:r>
            <w:r>
              <w:rPr>
                <w:color w:val="231F20"/>
                <w:sz w:val="14"/>
              </w:rPr>
              <w:t>литературу;</w:t>
            </w:r>
          </w:p>
          <w:p w:rsidR="00041039" w:rsidRDefault="001B26CB">
            <w:pPr>
              <w:pStyle w:val="TableParagraph"/>
              <w:numPr>
                <w:ilvl w:val="0"/>
                <w:numId w:val="1719"/>
              </w:numPr>
              <w:tabs>
                <w:tab w:val="left" w:pos="158"/>
              </w:tabs>
              <w:spacing w:before="1" w:line="160" w:lineRule="exact"/>
              <w:ind w:right="434" w:hanging="99"/>
              <w:rPr>
                <w:sz w:val="14"/>
              </w:rPr>
            </w:pPr>
            <w:r>
              <w:rPr>
                <w:color w:val="231F20"/>
                <w:sz w:val="14"/>
              </w:rPr>
              <w:t>подстицати ученике да</w:t>
            </w:r>
            <w:r>
              <w:rPr>
                <w:color w:val="231F20"/>
                <w:spacing w:val="-15"/>
                <w:sz w:val="14"/>
              </w:rPr>
              <w:t xml:space="preserve"> </w:t>
            </w:r>
            <w:r>
              <w:rPr>
                <w:color w:val="231F20"/>
                <w:sz w:val="14"/>
              </w:rPr>
              <w:t>раде рачунске</w:t>
            </w:r>
            <w:r>
              <w:rPr>
                <w:color w:val="231F20"/>
                <w:spacing w:val="-2"/>
                <w:sz w:val="14"/>
              </w:rPr>
              <w:t xml:space="preserve"> </w:t>
            </w:r>
            <w:r>
              <w:rPr>
                <w:color w:val="231F20"/>
                <w:sz w:val="14"/>
              </w:rPr>
              <w:t>задатке;</w:t>
            </w:r>
          </w:p>
          <w:p w:rsidR="00041039" w:rsidRDefault="001B26CB">
            <w:pPr>
              <w:pStyle w:val="TableParagraph"/>
              <w:numPr>
                <w:ilvl w:val="0"/>
                <w:numId w:val="1719"/>
              </w:numPr>
              <w:tabs>
                <w:tab w:val="left" w:pos="158"/>
              </w:tabs>
              <w:spacing w:line="160" w:lineRule="exact"/>
              <w:ind w:right="235" w:hanging="99"/>
              <w:rPr>
                <w:sz w:val="14"/>
              </w:rPr>
            </w:pPr>
            <w:r>
              <w:rPr>
                <w:color w:val="231F20"/>
                <w:sz w:val="14"/>
              </w:rPr>
              <w:t>примењивати рад у паровима</w:t>
            </w:r>
            <w:r>
              <w:rPr>
                <w:color w:val="231F20"/>
                <w:spacing w:val="-19"/>
                <w:sz w:val="14"/>
              </w:rPr>
              <w:t xml:space="preserve"> </w:t>
            </w:r>
            <w:r>
              <w:rPr>
                <w:color w:val="231F20"/>
                <w:sz w:val="14"/>
              </w:rPr>
              <w:t>и рад у мањим</w:t>
            </w:r>
            <w:r>
              <w:rPr>
                <w:color w:val="231F20"/>
                <w:spacing w:val="-1"/>
                <w:sz w:val="14"/>
              </w:rPr>
              <w:t xml:space="preserve"> </w:t>
            </w:r>
            <w:r>
              <w:rPr>
                <w:color w:val="231F20"/>
                <w:sz w:val="14"/>
              </w:rPr>
              <w:t>групама;</w:t>
            </w:r>
          </w:p>
          <w:p w:rsidR="00041039" w:rsidRDefault="001B26CB">
            <w:pPr>
              <w:pStyle w:val="TableParagraph"/>
              <w:numPr>
                <w:ilvl w:val="0"/>
                <w:numId w:val="1719"/>
              </w:numPr>
              <w:tabs>
                <w:tab w:val="left" w:pos="158"/>
              </w:tabs>
              <w:spacing w:line="160" w:lineRule="exact"/>
              <w:ind w:right="94" w:hanging="99"/>
              <w:rPr>
                <w:sz w:val="14"/>
              </w:rPr>
            </w:pPr>
            <w:r>
              <w:rPr>
                <w:color w:val="231F20"/>
                <w:sz w:val="14"/>
              </w:rPr>
              <w:t>мотивисати ученике да самостал­ но решавају проблеме користећи истраживачки приступ научном образовању;</w:t>
            </w:r>
          </w:p>
          <w:p w:rsidR="00041039" w:rsidRDefault="001B26CB">
            <w:pPr>
              <w:pStyle w:val="TableParagraph"/>
              <w:numPr>
                <w:ilvl w:val="0"/>
                <w:numId w:val="1719"/>
              </w:numPr>
              <w:tabs>
                <w:tab w:val="left" w:pos="158"/>
              </w:tabs>
              <w:spacing w:line="160" w:lineRule="exact"/>
              <w:ind w:right="90" w:hanging="99"/>
              <w:rPr>
                <w:sz w:val="14"/>
              </w:rPr>
            </w:pPr>
            <w:r>
              <w:rPr>
                <w:color w:val="231F20"/>
                <w:sz w:val="14"/>
              </w:rPr>
              <w:t>континуирано упућивати</w:t>
            </w:r>
            <w:r>
              <w:rPr>
                <w:color w:val="231F20"/>
                <w:spacing w:val="-18"/>
                <w:sz w:val="14"/>
              </w:rPr>
              <w:t xml:space="preserve"> </w:t>
            </w:r>
            <w:r>
              <w:rPr>
                <w:color w:val="231F20"/>
                <w:sz w:val="14"/>
              </w:rPr>
              <w:t xml:space="preserve">ученике на примену физике у </w:t>
            </w:r>
            <w:r>
              <w:rPr>
                <w:color w:val="231F20"/>
                <w:spacing w:val="-3"/>
                <w:sz w:val="14"/>
              </w:rPr>
              <w:t xml:space="preserve">будућем </w:t>
            </w:r>
            <w:r>
              <w:rPr>
                <w:color w:val="231F20"/>
                <w:sz w:val="14"/>
              </w:rPr>
              <w:t>позиву и свакодневном животу кроз примере из</w:t>
            </w:r>
            <w:r>
              <w:rPr>
                <w:color w:val="231F20"/>
                <w:spacing w:val="-4"/>
                <w:sz w:val="14"/>
              </w:rPr>
              <w:t xml:space="preserve"> </w:t>
            </w:r>
            <w:r>
              <w:rPr>
                <w:color w:val="231F20"/>
                <w:sz w:val="14"/>
              </w:rPr>
              <w:t>праксе;</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719"/>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719"/>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719"/>
              </w:numPr>
              <w:tabs>
                <w:tab w:val="left" w:pos="158"/>
              </w:tabs>
              <w:spacing w:line="160" w:lineRule="exact"/>
              <w:ind w:hanging="99"/>
              <w:rPr>
                <w:b/>
                <w:sz w:val="14"/>
              </w:rPr>
            </w:pPr>
            <w:r>
              <w:rPr>
                <w:color w:val="231F20"/>
                <w:sz w:val="14"/>
              </w:rPr>
              <w:t xml:space="preserve">Закони одржања </w:t>
            </w:r>
            <w:r>
              <w:rPr>
                <w:b/>
                <w:color w:val="231F20"/>
                <w:sz w:val="14"/>
              </w:rPr>
              <w:t>(10</w:t>
            </w:r>
            <w:r>
              <w:rPr>
                <w:b/>
                <w:color w:val="231F20"/>
                <w:spacing w:val="-21"/>
                <w:sz w:val="14"/>
              </w:rPr>
              <w:t xml:space="preserve"> </w:t>
            </w:r>
            <w:r>
              <w:rPr>
                <w:b/>
                <w:color w:val="231F20"/>
                <w:sz w:val="14"/>
              </w:rPr>
              <w:t>часова)</w:t>
            </w:r>
          </w:p>
          <w:p w:rsidR="00041039" w:rsidRDefault="001B26CB">
            <w:pPr>
              <w:pStyle w:val="TableParagraph"/>
              <w:numPr>
                <w:ilvl w:val="0"/>
                <w:numId w:val="1719"/>
              </w:numPr>
              <w:tabs>
                <w:tab w:val="left" w:pos="158"/>
              </w:tabs>
              <w:spacing w:line="160" w:lineRule="exact"/>
              <w:ind w:hanging="99"/>
              <w:rPr>
                <w:b/>
                <w:sz w:val="14"/>
              </w:rPr>
            </w:pPr>
            <w:r>
              <w:rPr>
                <w:color w:val="231F20"/>
                <w:sz w:val="14"/>
              </w:rPr>
              <w:t xml:space="preserve">Термодинамика </w:t>
            </w:r>
            <w:r>
              <w:rPr>
                <w:b/>
                <w:color w:val="231F20"/>
                <w:sz w:val="14"/>
              </w:rPr>
              <w:t>(12</w:t>
            </w:r>
            <w:r>
              <w:rPr>
                <w:b/>
                <w:color w:val="231F20"/>
                <w:spacing w:val="-25"/>
                <w:sz w:val="14"/>
              </w:rPr>
              <w:t xml:space="preserve"> </w:t>
            </w:r>
            <w:r>
              <w:rPr>
                <w:b/>
                <w:color w:val="231F20"/>
                <w:sz w:val="14"/>
              </w:rPr>
              <w:t>часова)</w:t>
            </w:r>
          </w:p>
          <w:p w:rsidR="00041039" w:rsidRDefault="001B26CB">
            <w:pPr>
              <w:pStyle w:val="TableParagraph"/>
              <w:numPr>
                <w:ilvl w:val="0"/>
                <w:numId w:val="1719"/>
              </w:numPr>
              <w:tabs>
                <w:tab w:val="left" w:pos="158"/>
              </w:tabs>
              <w:spacing w:line="237" w:lineRule="auto"/>
              <w:ind w:right="476" w:hanging="99"/>
              <w:rPr>
                <w:b/>
                <w:sz w:val="14"/>
              </w:rPr>
            </w:pPr>
            <w:r>
              <w:rPr>
                <w:color w:val="231F20"/>
                <w:sz w:val="14"/>
              </w:rPr>
              <w:t>Релативистичка физика</w:t>
            </w:r>
            <w:r>
              <w:rPr>
                <w:color w:val="231F20"/>
                <w:spacing w:val="-12"/>
                <w:sz w:val="14"/>
              </w:rPr>
              <w:t xml:space="preserve"> </w:t>
            </w:r>
            <w:r>
              <w:rPr>
                <w:b/>
                <w:color w:val="231F20"/>
                <w:sz w:val="14"/>
              </w:rPr>
              <w:t>(10 часова)</w:t>
            </w:r>
          </w:p>
          <w:p w:rsidR="00041039" w:rsidRDefault="001B26CB">
            <w:pPr>
              <w:pStyle w:val="TableParagraph"/>
              <w:numPr>
                <w:ilvl w:val="0"/>
                <w:numId w:val="1719"/>
              </w:numPr>
              <w:tabs>
                <w:tab w:val="left" w:pos="158"/>
              </w:tabs>
              <w:spacing w:line="155" w:lineRule="exact"/>
              <w:ind w:hanging="99"/>
              <w:rPr>
                <w:b/>
                <w:sz w:val="14"/>
              </w:rPr>
            </w:pPr>
            <w:r>
              <w:rPr>
                <w:color w:val="231F20"/>
                <w:sz w:val="14"/>
              </w:rPr>
              <w:t>Физика чврстог стања</w:t>
            </w:r>
            <w:r>
              <w:rPr>
                <w:color w:val="231F20"/>
                <w:spacing w:val="-6"/>
                <w:sz w:val="14"/>
              </w:rPr>
              <w:t xml:space="preserve"> </w:t>
            </w:r>
            <w:r>
              <w:rPr>
                <w:b/>
                <w:color w:val="231F20"/>
                <w:sz w:val="14"/>
              </w:rPr>
              <w:t>(9часова)</w:t>
            </w:r>
          </w:p>
          <w:p w:rsidR="00041039" w:rsidRDefault="001B26CB">
            <w:pPr>
              <w:pStyle w:val="TableParagraph"/>
              <w:numPr>
                <w:ilvl w:val="0"/>
                <w:numId w:val="1719"/>
              </w:numPr>
              <w:tabs>
                <w:tab w:val="left" w:pos="158"/>
              </w:tabs>
              <w:spacing w:line="237" w:lineRule="auto"/>
              <w:ind w:right="490" w:hanging="99"/>
              <w:rPr>
                <w:b/>
                <w:sz w:val="14"/>
              </w:rPr>
            </w:pPr>
            <w:r>
              <w:rPr>
                <w:color w:val="231F20"/>
                <w:sz w:val="14"/>
              </w:rPr>
              <w:t xml:space="preserve">Физика </w:t>
            </w:r>
            <w:r>
              <w:rPr>
                <w:color w:val="231F20"/>
                <w:spacing w:val="-3"/>
                <w:sz w:val="14"/>
              </w:rPr>
              <w:t xml:space="preserve">атомског </w:t>
            </w:r>
            <w:r>
              <w:rPr>
                <w:color w:val="231F20"/>
                <w:sz w:val="14"/>
              </w:rPr>
              <w:t xml:space="preserve">језгра </w:t>
            </w:r>
            <w:r>
              <w:rPr>
                <w:b/>
                <w:color w:val="231F20"/>
                <w:sz w:val="14"/>
              </w:rPr>
              <w:t>(16 часова)</w:t>
            </w:r>
          </w:p>
          <w:p w:rsidR="00041039" w:rsidRDefault="001B26CB">
            <w:pPr>
              <w:pStyle w:val="TableParagraph"/>
              <w:numPr>
                <w:ilvl w:val="0"/>
                <w:numId w:val="1719"/>
              </w:numPr>
              <w:tabs>
                <w:tab w:val="left" w:pos="158"/>
              </w:tabs>
              <w:spacing w:line="160" w:lineRule="exact"/>
              <w:ind w:right="125" w:hanging="99"/>
              <w:rPr>
                <w:b/>
                <w:sz w:val="14"/>
              </w:rPr>
            </w:pPr>
            <w:r>
              <w:rPr>
                <w:color w:val="231F20"/>
                <w:sz w:val="14"/>
              </w:rPr>
              <w:t xml:space="preserve">Физика елементарних честица </w:t>
            </w:r>
            <w:r>
              <w:rPr>
                <w:b/>
                <w:color w:val="231F20"/>
                <w:sz w:val="14"/>
              </w:rPr>
              <w:t>(5 часова)</w:t>
            </w:r>
          </w:p>
          <w:p w:rsidR="00041039" w:rsidRDefault="001B26CB">
            <w:pPr>
              <w:pStyle w:val="TableParagraph"/>
              <w:numPr>
                <w:ilvl w:val="0"/>
                <w:numId w:val="1719"/>
              </w:numPr>
              <w:tabs>
                <w:tab w:val="left" w:pos="158"/>
              </w:tabs>
              <w:spacing w:line="159" w:lineRule="exact"/>
              <w:ind w:hanging="99"/>
              <w:rPr>
                <w:b/>
                <w:sz w:val="14"/>
              </w:rPr>
            </w:pPr>
            <w:r>
              <w:rPr>
                <w:color w:val="231F20"/>
                <w:sz w:val="14"/>
              </w:rPr>
              <w:t xml:space="preserve">Лабораторијске вежбе </w:t>
            </w:r>
            <w:r>
              <w:rPr>
                <w:b/>
                <w:color w:val="231F20"/>
                <w:sz w:val="14"/>
              </w:rPr>
              <w:t>(8</w:t>
            </w:r>
            <w:r>
              <w:rPr>
                <w:b/>
                <w:color w:val="231F20"/>
                <w:spacing w:val="-13"/>
                <w:sz w:val="14"/>
              </w:rPr>
              <w:t xml:space="preserve"> </w:t>
            </w:r>
            <w:r>
              <w:rPr>
                <w:b/>
                <w:color w:val="231F20"/>
                <w:sz w:val="14"/>
              </w:rPr>
              <w:t>часова)</w:t>
            </w:r>
          </w:p>
        </w:tc>
      </w:tr>
      <w:tr w:rsidR="00041039">
        <w:trPr>
          <w:trHeight w:val="3720"/>
        </w:trPr>
        <w:tc>
          <w:tcPr>
            <w:tcW w:w="1304" w:type="dxa"/>
          </w:tcPr>
          <w:p w:rsidR="00041039" w:rsidRDefault="001B26CB">
            <w:pPr>
              <w:pStyle w:val="TableParagraph"/>
              <w:spacing w:before="20"/>
              <w:ind w:left="56"/>
              <w:rPr>
                <w:sz w:val="14"/>
              </w:rPr>
            </w:pPr>
            <w:r>
              <w:rPr>
                <w:color w:val="231F20"/>
                <w:sz w:val="14"/>
              </w:rPr>
              <w:t>Термодинамика</w:t>
            </w:r>
          </w:p>
        </w:tc>
        <w:tc>
          <w:tcPr>
            <w:tcW w:w="1587" w:type="dxa"/>
          </w:tcPr>
          <w:p w:rsidR="00041039" w:rsidRDefault="001B26CB">
            <w:pPr>
              <w:pStyle w:val="TableParagraph"/>
              <w:numPr>
                <w:ilvl w:val="0"/>
                <w:numId w:val="1718"/>
              </w:numPr>
              <w:tabs>
                <w:tab w:val="left" w:pos="157"/>
              </w:tabs>
              <w:spacing w:before="10"/>
              <w:ind w:right="113"/>
              <w:rPr>
                <w:sz w:val="14"/>
              </w:rPr>
            </w:pPr>
            <w:r>
              <w:rPr>
                <w:color w:val="231F20"/>
                <w:sz w:val="14"/>
              </w:rPr>
              <w:t>Продубљивање</w:t>
            </w:r>
            <w:r>
              <w:rPr>
                <w:color w:val="231F20"/>
                <w:spacing w:val="-13"/>
                <w:sz w:val="14"/>
              </w:rPr>
              <w:t xml:space="preserve"> </w:t>
            </w:r>
            <w:r>
              <w:rPr>
                <w:color w:val="231F20"/>
                <w:sz w:val="14"/>
              </w:rPr>
              <w:t>знања о законима термо­ динамике и њиховој примени.</w:t>
            </w:r>
          </w:p>
        </w:tc>
        <w:tc>
          <w:tcPr>
            <w:tcW w:w="2551" w:type="dxa"/>
          </w:tcPr>
          <w:p w:rsidR="00041039" w:rsidRDefault="001B26CB">
            <w:pPr>
              <w:pStyle w:val="TableParagraph"/>
              <w:numPr>
                <w:ilvl w:val="0"/>
                <w:numId w:val="1717"/>
              </w:numPr>
              <w:tabs>
                <w:tab w:val="left" w:pos="157"/>
              </w:tabs>
              <w:spacing w:before="10"/>
              <w:ind w:right="211" w:hanging="99"/>
              <w:rPr>
                <w:sz w:val="14"/>
              </w:rPr>
            </w:pPr>
            <w:r>
              <w:rPr>
                <w:color w:val="231F20"/>
                <w:sz w:val="14"/>
              </w:rPr>
              <w:t>формулише Први принцип</w:t>
            </w:r>
            <w:r>
              <w:rPr>
                <w:color w:val="231F20"/>
                <w:spacing w:val="-28"/>
                <w:sz w:val="14"/>
              </w:rPr>
              <w:t xml:space="preserve"> </w:t>
            </w:r>
            <w:r>
              <w:rPr>
                <w:color w:val="231F20"/>
                <w:sz w:val="14"/>
              </w:rPr>
              <w:t>термоди­ намике и у њему препознаје Закон одржања</w:t>
            </w:r>
            <w:r>
              <w:rPr>
                <w:color w:val="231F20"/>
                <w:spacing w:val="-1"/>
                <w:sz w:val="14"/>
              </w:rPr>
              <w:t xml:space="preserve"> </w:t>
            </w:r>
            <w:r>
              <w:rPr>
                <w:color w:val="231F20"/>
                <w:sz w:val="14"/>
              </w:rPr>
              <w:t>енергије;</w:t>
            </w:r>
          </w:p>
          <w:p w:rsidR="00041039" w:rsidRDefault="001B26CB">
            <w:pPr>
              <w:pStyle w:val="TableParagraph"/>
              <w:numPr>
                <w:ilvl w:val="0"/>
                <w:numId w:val="1717"/>
              </w:numPr>
              <w:tabs>
                <w:tab w:val="left" w:pos="157"/>
              </w:tabs>
              <w:spacing w:line="157" w:lineRule="exact"/>
              <w:ind w:hanging="99"/>
              <w:rPr>
                <w:sz w:val="14"/>
              </w:rPr>
            </w:pPr>
            <w:r>
              <w:rPr>
                <w:color w:val="231F20"/>
                <w:sz w:val="14"/>
              </w:rPr>
              <w:t>анализира и примењује Први</w:t>
            </w:r>
            <w:r>
              <w:rPr>
                <w:color w:val="231F20"/>
                <w:spacing w:val="-10"/>
                <w:sz w:val="14"/>
              </w:rPr>
              <w:t xml:space="preserve"> </w:t>
            </w:r>
            <w:r>
              <w:rPr>
                <w:color w:val="231F20"/>
                <w:sz w:val="14"/>
              </w:rPr>
              <w:t>прин­</w:t>
            </w:r>
          </w:p>
          <w:p w:rsidR="00041039" w:rsidRDefault="001B26CB">
            <w:pPr>
              <w:pStyle w:val="TableParagraph"/>
              <w:ind w:right="105"/>
              <w:rPr>
                <w:sz w:val="14"/>
              </w:rPr>
            </w:pPr>
            <w:r>
              <w:rPr>
                <w:color w:val="231F20"/>
                <w:sz w:val="14"/>
              </w:rPr>
              <w:t>цип термодинамике (адијабатски и изопроцеси) и решава квалитативне и квантитативне задатке;</w:t>
            </w:r>
          </w:p>
          <w:p w:rsidR="00041039" w:rsidRDefault="001B26CB">
            <w:pPr>
              <w:pStyle w:val="TableParagraph"/>
              <w:numPr>
                <w:ilvl w:val="0"/>
                <w:numId w:val="1717"/>
              </w:numPr>
              <w:tabs>
                <w:tab w:val="left" w:pos="157"/>
              </w:tabs>
              <w:spacing w:line="158" w:lineRule="exact"/>
              <w:ind w:hanging="99"/>
              <w:rPr>
                <w:sz w:val="14"/>
              </w:rPr>
            </w:pPr>
            <w:r>
              <w:rPr>
                <w:color w:val="231F20"/>
                <w:sz w:val="14"/>
              </w:rPr>
              <w:t>разликује повратне и</w:t>
            </w:r>
            <w:r>
              <w:rPr>
                <w:color w:val="231F20"/>
                <w:spacing w:val="-6"/>
                <w:sz w:val="14"/>
              </w:rPr>
              <w:t xml:space="preserve"> </w:t>
            </w:r>
            <w:r>
              <w:rPr>
                <w:color w:val="231F20"/>
                <w:sz w:val="14"/>
              </w:rPr>
              <w:t>неповратне</w:t>
            </w:r>
          </w:p>
          <w:p w:rsidR="00041039" w:rsidRDefault="001B26CB">
            <w:pPr>
              <w:pStyle w:val="TableParagraph"/>
              <w:rPr>
                <w:sz w:val="14"/>
              </w:rPr>
            </w:pPr>
            <w:r>
              <w:rPr>
                <w:color w:val="231F20"/>
                <w:sz w:val="14"/>
              </w:rPr>
              <w:t>процесе, формулише Други принцип термодинамике, објашњава његов статистички смисао, познаје појам ентропије као меру неуређености система;</w:t>
            </w:r>
          </w:p>
          <w:p w:rsidR="00041039" w:rsidRDefault="001B26CB">
            <w:pPr>
              <w:pStyle w:val="TableParagraph"/>
              <w:numPr>
                <w:ilvl w:val="0"/>
                <w:numId w:val="1717"/>
              </w:numPr>
              <w:tabs>
                <w:tab w:val="left" w:pos="157"/>
              </w:tabs>
              <w:spacing w:line="156" w:lineRule="exact"/>
              <w:ind w:hanging="99"/>
              <w:rPr>
                <w:sz w:val="14"/>
              </w:rPr>
            </w:pPr>
            <w:r>
              <w:rPr>
                <w:color w:val="231F20"/>
                <w:sz w:val="14"/>
              </w:rPr>
              <w:t>познаје основни принцип рада</w:t>
            </w:r>
            <w:r>
              <w:rPr>
                <w:color w:val="231F20"/>
                <w:spacing w:val="-10"/>
                <w:sz w:val="14"/>
              </w:rPr>
              <w:t xml:space="preserve"> </w:t>
            </w:r>
            <w:r>
              <w:rPr>
                <w:color w:val="231F20"/>
                <w:sz w:val="14"/>
              </w:rPr>
              <w:t>топлот­</w:t>
            </w:r>
          </w:p>
          <w:p w:rsidR="00041039" w:rsidRDefault="001B26CB">
            <w:pPr>
              <w:pStyle w:val="TableParagraph"/>
              <w:rPr>
                <w:sz w:val="14"/>
              </w:rPr>
            </w:pPr>
            <w:r>
              <w:rPr>
                <w:color w:val="231F20"/>
                <w:sz w:val="14"/>
              </w:rPr>
              <w:t>них машина, одређује коефицијент корисног дејства у термодинамичким циклусима;</w:t>
            </w:r>
          </w:p>
        </w:tc>
        <w:tc>
          <w:tcPr>
            <w:tcW w:w="2834" w:type="dxa"/>
          </w:tcPr>
          <w:p w:rsidR="00041039" w:rsidRDefault="001B26CB">
            <w:pPr>
              <w:pStyle w:val="TableParagraph"/>
              <w:numPr>
                <w:ilvl w:val="0"/>
                <w:numId w:val="1716"/>
              </w:numPr>
              <w:tabs>
                <w:tab w:val="left" w:pos="157"/>
              </w:tabs>
              <w:spacing w:before="10"/>
              <w:ind w:right="116" w:hanging="99"/>
              <w:jc w:val="both"/>
              <w:rPr>
                <w:sz w:val="14"/>
              </w:rPr>
            </w:pPr>
            <w:r>
              <w:rPr>
                <w:color w:val="231F20"/>
                <w:sz w:val="14"/>
              </w:rPr>
              <w:t>У</w:t>
            </w:r>
            <w:r>
              <w:rPr>
                <w:color w:val="231F20"/>
                <w:sz w:val="14"/>
              </w:rPr>
              <w:t>нутрашња енергија. Промена</w:t>
            </w:r>
            <w:r>
              <w:rPr>
                <w:color w:val="231F20"/>
                <w:spacing w:val="-17"/>
                <w:sz w:val="14"/>
              </w:rPr>
              <w:t xml:space="preserve"> </w:t>
            </w:r>
            <w:r>
              <w:rPr>
                <w:color w:val="231F20"/>
                <w:sz w:val="14"/>
              </w:rPr>
              <w:t>унутрашње енергије, рад, топлотна размена.</w:t>
            </w:r>
            <w:r>
              <w:rPr>
                <w:color w:val="231F20"/>
                <w:spacing w:val="-21"/>
                <w:sz w:val="14"/>
              </w:rPr>
              <w:t xml:space="preserve"> </w:t>
            </w:r>
            <w:r>
              <w:rPr>
                <w:color w:val="231F20"/>
                <w:sz w:val="14"/>
              </w:rPr>
              <w:t>Количина топлоте. Први принцип</w:t>
            </w:r>
            <w:r>
              <w:rPr>
                <w:color w:val="231F20"/>
                <w:spacing w:val="-12"/>
                <w:sz w:val="14"/>
              </w:rPr>
              <w:t xml:space="preserve"> </w:t>
            </w:r>
            <w:r>
              <w:rPr>
                <w:color w:val="231F20"/>
                <w:sz w:val="14"/>
              </w:rPr>
              <w:t>термодинамике.</w:t>
            </w:r>
          </w:p>
          <w:p w:rsidR="00041039" w:rsidRDefault="001B26CB">
            <w:pPr>
              <w:pStyle w:val="TableParagraph"/>
              <w:numPr>
                <w:ilvl w:val="0"/>
                <w:numId w:val="1716"/>
              </w:numPr>
              <w:tabs>
                <w:tab w:val="left" w:pos="157"/>
              </w:tabs>
              <w:spacing w:line="157" w:lineRule="exact"/>
              <w:ind w:hanging="99"/>
              <w:rPr>
                <w:sz w:val="14"/>
              </w:rPr>
            </w:pPr>
            <w:r>
              <w:rPr>
                <w:color w:val="231F20"/>
                <w:sz w:val="14"/>
              </w:rPr>
              <w:t>Примена првог принципа</w:t>
            </w:r>
            <w:r>
              <w:rPr>
                <w:color w:val="231F20"/>
                <w:spacing w:val="-11"/>
                <w:sz w:val="14"/>
              </w:rPr>
              <w:t xml:space="preserve"> </w:t>
            </w:r>
            <w:r>
              <w:rPr>
                <w:color w:val="231F20"/>
                <w:sz w:val="14"/>
              </w:rPr>
              <w:t>термодинамике</w:t>
            </w:r>
          </w:p>
          <w:p w:rsidR="00041039" w:rsidRDefault="001B26CB">
            <w:pPr>
              <w:pStyle w:val="TableParagraph"/>
              <w:spacing w:line="155" w:lineRule="exact"/>
              <w:rPr>
                <w:sz w:val="14"/>
              </w:rPr>
            </w:pPr>
            <w:r>
              <w:rPr>
                <w:color w:val="231F20"/>
                <w:sz w:val="14"/>
              </w:rPr>
              <w:t>на идеалан гас (изопроцеси).</w:t>
            </w:r>
          </w:p>
          <w:p w:rsidR="00041039" w:rsidRDefault="001B26CB">
            <w:pPr>
              <w:pStyle w:val="TableParagraph"/>
              <w:numPr>
                <w:ilvl w:val="0"/>
                <w:numId w:val="1716"/>
              </w:numPr>
              <w:tabs>
                <w:tab w:val="left" w:pos="157"/>
              </w:tabs>
              <w:spacing w:line="237" w:lineRule="auto"/>
              <w:ind w:right="738" w:hanging="99"/>
              <w:rPr>
                <w:sz w:val="14"/>
              </w:rPr>
            </w:pPr>
            <w:r>
              <w:rPr>
                <w:color w:val="231F20"/>
                <w:sz w:val="14"/>
              </w:rPr>
              <w:t>Топлотна капацитивност</w:t>
            </w:r>
            <w:r>
              <w:rPr>
                <w:color w:val="231F20"/>
                <w:spacing w:val="-25"/>
                <w:sz w:val="14"/>
              </w:rPr>
              <w:t xml:space="preserve"> </w:t>
            </w:r>
            <w:r>
              <w:rPr>
                <w:color w:val="231F20"/>
                <w:sz w:val="14"/>
              </w:rPr>
              <w:t>гасова. Адијабатски</w:t>
            </w:r>
            <w:r>
              <w:rPr>
                <w:color w:val="231F20"/>
                <w:spacing w:val="-1"/>
                <w:sz w:val="14"/>
              </w:rPr>
              <w:t xml:space="preserve"> </w:t>
            </w:r>
            <w:r>
              <w:rPr>
                <w:color w:val="231F20"/>
                <w:sz w:val="14"/>
              </w:rPr>
              <w:t>процес.</w:t>
            </w:r>
          </w:p>
          <w:p w:rsidR="00041039" w:rsidRDefault="001B26CB">
            <w:pPr>
              <w:pStyle w:val="TableParagraph"/>
              <w:numPr>
                <w:ilvl w:val="0"/>
                <w:numId w:val="1716"/>
              </w:numPr>
              <w:tabs>
                <w:tab w:val="left" w:pos="157"/>
              </w:tabs>
              <w:spacing w:line="160" w:lineRule="exact"/>
              <w:ind w:right="257" w:hanging="99"/>
              <w:rPr>
                <w:sz w:val="14"/>
              </w:rPr>
            </w:pPr>
            <w:r>
              <w:rPr>
                <w:color w:val="231F20"/>
                <w:sz w:val="14"/>
              </w:rPr>
              <w:t>Квазистатачки процеси. Реверзибилни</w:t>
            </w:r>
            <w:r>
              <w:rPr>
                <w:color w:val="231F20"/>
                <w:spacing w:val="-18"/>
                <w:sz w:val="14"/>
              </w:rPr>
              <w:t xml:space="preserve"> </w:t>
            </w:r>
            <w:r>
              <w:rPr>
                <w:color w:val="231F20"/>
                <w:sz w:val="14"/>
              </w:rPr>
              <w:t>и иреверзибилни</w:t>
            </w:r>
            <w:r>
              <w:rPr>
                <w:color w:val="231F20"/>
                <w:spacing w:val="-2"/>
                <w:sz w:val="14"/>
              </w:rPr>
              <w:t xml:space="preserve"> </w:t>
            </w:r>
            <w:r>
              <w:rPr>
                <w:color w:val="231F20"/>
                <w:sz w:val="14"/>
              </w:rPr>
              <w:t>процеси.</w:t>
            </w:r>
          </w:p>
          <w:p w:rsidR="00041039" w:rsidRDefault="001B26CB">
            <w:pPr>
              <w:pStyle w:val="TableParagraph"/>
              <w:numPr>
                <w:ilvl w:val="0"/>
                <w:numId w:val="1716"/>
              </w:numPr>
              <w:tabs>
                <w:tab w:val="left" w:pos="157"/>
              </w:tabs>
              <w:spacing w:line="160" w:lineRule="exact"/>
              <w:ind w:right="856" w:hanging="99"/>
              <w:rPr>
                <w:sz w:val="14"/>
              </w:rPr>
            </w:pPr>
            <w:r>
              <w:rPr>
                <w:color w:val="231F20"/>
                <w:sz w:val="14"/>
              </w:rPr>
              <w:t>Неповратност и статистика. Термодинамичка</w:t>
            </w:r>
            <w:r>
              <w:rPr>
                <w:color w:val="231F20"/>
                <w:spacing w:val="-20"/>
                <w:sz w:val="14"/>
              </w:rPr>
              <w:t xml:space="preserve"> </w:t>
            </w:r>
            <w:r>
              <w:rPr>
                <w:color w:val="231F20"/>
                <w:sz w:val="14"/>
              </w:rPr>
              <w:t>вероватноћа.</w:t>
            </w:r>
          </w:p>
          <w:p w:rsidR="00041039" w:rsidRDefault="001B26CB">
            <w:pPr>
              <w:pStyle w:val="TableParagraph"/>
              <w:numPr>
                <w:ilvl w:val="0"/>
                <w:numId w:val="1716"/>
              </w:numPr>
              <w:tabs>
                <w:tab w:val="left" w:pos="157"/>
              </w:tabs>
              <w:spacing w:line="153" w:lineRule="exact"/>
              <w:ind w:hanging="99"/>
              <w:rPr>
                <w:sz w:val="14"/>
              </w:rPr>
            </w:pPr>
            <w:r>
              <w:rPr>
                <w:color w:val="231F20"/>
                <w:sz w:val="14"/>
              </w:rPr>
              <w:t>Ентропија и њено статистичко</w:t>
            </w:r>
            <w:r>
              <w:rPr>
                <w:color w:val="231F20"/>
                <w:spacing w:val="-12"/>
                <w:sz w:val="14"/>
              </w:rPr>
              <w:t xml:space="preserve"> </w:t>
            </w:r>
            <w:r>
              <w:rPr>
                <w:color w:val="231F20"/>
                <w:sz w:val="14"/>
              </w:rPr>
              <w:t>тумачење.</w:t>
            </w:r>
          </w:p>
          <w:p w:rsidR="00041039" w:rsidRDefault="001B26CB">
            <w:pPr>
              <w:pStyle w:val="TableParagraph"/>
              <w:numPr>
                <w:ilvl w:val="0"/>
                <w:numId w:val="1716"/>
              </w:numPr>
              <w:tabs>
                <w:tab w:val="left" w:pos="157"/>
              </w:tabs>
              <w:spacing w:line="237" w:lineRule="auto"/>
              <w:ind w:right="381" w:hanging="99"/>
              <w:rPr>
                <w:sz w:val="14"/>
              </w:rPr>
            </w:pPr>
            <w:r>
              <w:rPr>
                <w:color w:val="231F20"/>
                <w:sz w:val="14"/>
              </w:rPr>
              <w:t>Други принцип термодинамике. Статистички смисао Другог</w:t>
            </w:r>
            <w:r>
              <w:rPr>
                <w:color w:val="231F20"/>
                <w:spacing w:val="-22"/>
                <w:sz w:val="14"/>
              </w:rPr>
              <w:t xml:space="preserve"> </w:t>
            </w:r>
            <w:r>
              <w:rPr>
                <w:color w:val="231F20"/>
                <w:sz w:val="14"/>
              </w:rPr>
              <w:t>принципа термодинамике.</w:t>
            </w:r>
          </w:p>
          <w:p w:rsidR="00041039" w:rsidRDefault="001B26CB">
            <w:pPr>
              <w:pStyle w:val="TableParagraph"/>
              <w:numPr>
                <w:ilvl w:val="0"/>
                <w:numId w:val="1716"/>
              </w:numPr>
              <w:tabs>
                <w:tab w:val="left" w:pos="157"/>
              </w:tabs>
              <w:spacing w:line="237" w:lineRule="auto"/>
              <w:ind w:right="172" w:hanging="99"/>
              <w:rPr>
                <w:sz w:val="14"/>
              </w:rPr>
            </w:pPr>
            <w:r>
              <w:rPr>
                <w:color w:val="231F20"/>
                <w:sz w:val="14"/>
              </w:rPr>
              <w:t>Топлотни мотори (принц</w:t>
            </w:r>
            <w:r>
              <w:rPr>
                <w:color w:val="231F20"/>
                <w:sz w:val="14"/>
              </w:rPr>
              <w:t>ипи рада и енергетски биланс). Карноов циклус. Коефицијент</w:t>
            </w:r>
            <w:r>
              <w:rPr>
                <w:color w:val="231F20"/>
                <w:spacing w:val="-8"/>
                <w:sz w:val="14"/>
              </w:rPr>
              <w:t xml:space="preserve"> </w:t>
            </w:r>
            <w:r>
              <w:rPr>
                <w:color w:val="231F20"/>
                <w:sz w:val="14"/>
              </w:rPr>
              <w:t>корисног</w:t>
            </w:r>
            <w:r>
              <w:rPr>
                <w:color w:val="231F20"/>
                <w:spacing w:val="-8"/>
                <w:sz w:val="14"/>
              </w:rPr>
              <w:t xml:space="preserve"> </w:t>
            </w:r>
            <w:r>
              <w:rPr>
                <w:color w:val="231F20"/>
                <w:sz w:val="14"/>
              </w:rPr>
              <w:t>дејства.</w:t>
            </w:r>
            <w:r>
              <w:rPr>
                <w:color w:val="231F20"/>
                <w:spacing w:val="-8"/>
                <w:sz w:val="14"/>
              </w:rPr>
              <w:t xml:space="preserve"> </w:t>
            </w:r>
            <w:r>
              <w:rPr>
                <w:color w:val="231F20"/>
                <w:sz w:val="14"/>
              </w:rPr>
              <w:t>Уређаји</w:t>
            </w:r>
            <w:r>
              <w:rPr>
                <w:color w:val="231F20"/>
                <w:spacing w:val="-8"/>
                <w:sz w:val="14"/>
              </w:rPr>
              <w:t xml:space="preserve"> </w:t>
            </w:r>
            <w:r>
              <w:rPr>
                <w:color w:val="231F20"/>
                <w:sz w:val="14"/>
              </w:rPr>
              <w:t>за хлађење и топлотне</w:t>
            </w:r>
            <w:r>
              <w:rPr>
                <w:color w:val="231F20"/>
                <w:spacing w:val="-2"/>
                <w:sz w:val="14"/>
              </w:rPr>
              <w:t xml:space="preserve"> </w:t>
            </w:r>
            <w:r>
              <w:rPr>
                <w:color w:val="231F20"/>
                <w:sz w:val="14"/>
              </w:rPr>
              <w:t>пумпе.</w:t>
            </w:r>
          </w:p>
          <w:p w:rsidR="00041039" w:rsidRDefault="001B26CB">
            <w:pPr>
              <w:pStyle w:val="TableParagraph"/>
              <w:spacing w:line="155" w:lineRule="exact"/>
              <w:ind w:left="57"/>
              <w:rPr>
                <w:b/>
                <w:sz w:val="14"/>
              </w:rPr>
            </w:pPr>
            <w:r>
              <w:rPr>
                <w:b/>
                <w:color w:val="231F20"/>
                <w:sz w:val="14"/>
              </w:rPr>
              <w:t>Демонстрациони огледи:</w:t>
            </w:r>
          </w:p>
          <w:p w:rsidR="00041039" w:rsidRDefault="001B26CB">
            <w:pPr>
              <w:pStyle w:val="TableParagraph"/>
              <w:numPr>
                <w:ilvl w:val="0"/>
                <w:numId w:val="1716"/>
              </w:numPr>
              <w:tabs>
                <w:tab w:val="left" w:pos="157"/>
              </w:tabs>
              <w:spacing w:line="237" w:lineRule="auto"/>
              <w:ind w:right="134" w:hanging="99"/>
              <w:rPr>
                <w:sz w:val="14"/>
              </w:rPr>
            </w:pPr>
            <w:r>
              <w:rPr>
                <w:color w:val="231F20"/>
                <w:sz w:val="14"/>
              </w:rPr>
              <w:t>Адијабатски процеси: компресија,</w:t>
            </w:r>
            <w:r>
              <w:rPr>
                <w:color w:val="231F20"/>
                <w:spacing w:val="-19"/>
                <w:sz w:val="14"/>
              </w:rPr>
              <w:t xml:space="preserve"> </w:t>
            </w:r>
            <w:r>
              <w:rPr>
                <w:color w:val="231F20"/>
                <w:sz w:val="14"/>
              </w:rPr>
              <w:t>експан­ зија.</w:t>
            </w:r>
          </w:p>
          <w:p w:rsidR="00041039" w:rsidRDefault="001B26CB">
            <w:pPr>
              <w:pStyle w:val="TableParagraph"/>
              <w:numPr>
                <w:ilvl w:val="0"/>
                <w:numId w:val="1716"/>
              </w:numPr>
              <w:tabs>
                <w:tab w:val="left" w:pos="157"/>
              </w:tabs>
              <w:spacing w:line="159" w:lineRule="exact"/>
              <w:ind w:hanging="99"/>
              <w:rPr>
                <w:sz w:val="14"/>
              </w:rPr>
            </w:pPr>
            <w:r>
              <w:rPr>
                <w:color w:val="231F20"/>
                <w:sz w:val="14"/>
              </w:rPr>
              <w:t>Повратни и неповратни</w:t>
            </w:r>
            <w:r>
              <w:rPr>
                <w:color w:val="231F20"/>
                <w:spacing w:val="-4"/>
                <w:sz w:val="14"/>
              </w:rPr>
              <w:t xml:space="preserve"> </w:t>
            </w:r>
            <w:r>
              <w:rPr>
                <w:color w:val="231F20"/>
                <w:sz w:val="14"/>
              </w:rPr>
              <w:t>процеси.</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6" w:right="37"/>
              <w:rPr>
                <w:sz w:val="14"/>
              </w:rPr>
            </w:pPr>
            <w:r>
              <w:rPr>
                <w:color w:val="231F20"/>
                <w:sz w:val="14"/>
              </w:rPr>
              <w:t>Релативистичка физика</w:t>
            </w:r>
          </w:p>
        </w:tc>
        <w:tc>
          <w:tcPr>
            <w:tcW w:w="1587" w:type="dxa"/>
          </w:tcPr>
          <w:p w:rsidR="00041039" w:rsidRDefault="001B26CB">
            <w:pPr>
              <w:pStyle w:val="TableParagraph"/>
              <w:numPr>
                <w:ilvl w:val="0"/>
                <w:numId w:val="1715"/>
              </w:numPr>
              <w:tabs>
                <w:tab w:val="left" w:pos="157"/>
              </w:tabs>
              <w:spacing w:before="10"/>
              <w:ind w:right="133"/>
              <w:jc w:val="both"/>
              <w:rPr>
                <w:sz w:val="14"/>
              </w:rPr>
            </w:pPr>
            <w:r>
              <w:rPr>
                <w:color w:val="231F20"/>
                <w:sz w:val="14"/>
              </w:rPr>
              <w:t>Стицањезнањао</w:t>
            </w:r>
            <w:r>
              <w:rPr>
                <w:color w:val="231F20"/>
                <w:spacing w:val="-13"/>
                <w:sz w:val="14"/>
              </w:rPr>
              <w:t xml:space="preserve"> </w:t>
            </w:r>
            <w:r>
              <w:rPr>
                <w:color w:val="231F20"/>
                <w:sz w:val="14"/>
              </w:rPr>
              <w:t>зако­ нима релативистичке механике.</w:t>
            </w:r>
          </w:p>
        </w:tc>
        <w:tc>
          <w:tcPr>
            <w:tcW w:w="2551" w:type="dxa"/>
          </w:tcPr>
          <w:p w:rsidR="00041039" w:rsidRDefault="001B26CB">
            <w:pPr>
              <w:pStyle w:val="TableParagraph"/>
              <w:numPr>
                <w:ilvl w:val="0"/>
                <w:numId w:val="1714"/>
              </w:numPr>
              <w:tabs>
                <w:tab w:val="left" w:pos="157"/>
              </w:tabs>
              <w:spacing w:before="10"/>
              <w:ind w:right="44" w:hanging="99"/>
              <w:rPr>
                <w:sz w:val="14"/>
              </w:rPr>
            </w:pPr>
            <w:r>
              <w:rPr>
                <w:color w:val="231F20"/>
                <w:sz w:val="14"/>
              </w:rPr>
              <w:t>формулише постулате специјалне теорије релативности и објашњава релативистичке ефекте брзине,</w:t>
            </w:r>
            <w:r>
              <w:rPr>
                <w:color w:val="231F20"/>
                <w:spacing w:val="-15"/>
                <w:sz w:val="14"/>
              </w:rPr>
              <w:t xml:space="preserve"> </w:t>
            </w:r>
            <w:r>
              <w:rPr>
                <w:color w:val="231F20"/>
                <w:sz w:val="14"/>
              </w:rPr>
              <w:t>дужине и</w:t>
            </w:r>
            <w:r>
              <w:rPr>
                <w:color w:val="231F20"/>
                <w:spacing w:val="-2"/>
                <w:sz w:val="14"/>
              </w:rPr>
              <w:t xml:space="preserve"> </w:t>
            </w:r>
            <w:r>
              <w:rPr>
                <w:color w:val="231F20"/>
                <w:sz w:val="14"/>
              </w:rPr>
              <w:t>времена;</w:t>
            </w:r>
          </w:p>
          <w:p w:rsidR="00041039" w:rsidRDefault="001B26CB">
            <w:pPr>
              <w:pStyle w:val="TableParagraph"/>
              <w:numPr>
                <w:ilvl w:val="0"/>
                <w:numId w:val="1714"/>
              </w:numPr>
              <w:tabs>
                <w:tab w:val="left" w:pos="157"/>
              </w:tabs>
              <w:spacing w:line="156" w:lineRule="exact"/>
              <w:ind w:hanging="99"/>
              <w:rPr>
                <w:sz w:val="14"/>
              </w:rPr>
            </w:pPr>
            <w:r>
              <w:rPr>
                <w:color w:val="231F20"/>
                <w:sz w:val="14"/>
              </w:rPr>
              <w:t>зна везе између масе,</w:t>
            </w:r>
            <w:r>
              <w:rPr>
                <w:color w:val="231F20"/>
                <w:spacing w:val="-14"/>
                <w:sz w:val="14"/>
              </w:rPr>
              <w:t xml:space="preserve"> </w:t>
            </w:r>
            <w:r>
              <w:rPr>
                <w:color w:val="231F20"/>
                <w:sz w:val="14"/>
              </w:rPr>
              <w:t>релативистичког</w:t>
            </w:r>
          </w:p>
          <w:p w:rsidR="00041039" w:rsidRDefault="001B26CB">
            <w:pPr>
              <w:pStyle w:val="TableParagraph"/>
              <w:spacing w:line="160" w:lineRule="exact"/>
              <w:rPr>
                <w:sz w:val="14"/>
              </w:rPr>
            </w:pPr>
            <w:r>
              <w:rPr>
                <w:color w:val="231F20"/>
                <w:sz w:val="14"/>
              </w:rPr>
              <w:t>импулса и енергије;</w:t>
            </w:r>
          </w:p>
        </w:tc>
        <w:tc>
          <w:tcPr>
            <w:tcW w:w="2834" w:type="dxa"/>
          </w:tcPr>
          <w:p w:rsidR="00041039" w:rsidRDefault="001B26CB">
            <w:pPr>
              <w:pStyle w:val="TableParagraph"/>
              <w:numPr>
                <w:ilvl w:val="0"/>
                <w:numId w:val="1713"/>
              </w:numPr>
              <w:tabs>
                <w:tab w:val="left" w:pos="158"/>
              </w:tabs>
              <w:spacing w:before="10"/>
              <w:ind w:right="146"/>
              <w:rPr>
                <w:sz w:val="14"/>
              </w:rPr>
            </w:pPr>
            <w:r>
              <w:rPr>
                <w:color w:val="231F20"/>
                <w:sz w:val="14"/>
              </w:rPr>
              <w:t>Основни постулати специјалне теорије релативности.</w:t>
            </w:r>
            <w:r>
              <w:rPr>
                <w:color w:val="231F20"/>
                <w:sz w:val="14"/>
              </w:rPr>
              <w:t xml:space="preserve"> Лоренцове</w:t>
            </w:r>
            <w:r>
              <w:rPr>
                <w:color w:val="231F20"/>
                <w:spacing w:val="-8"/>
                <w:sz w:val="14"/>
              </w:rPr>
              <w:t xml:space="preserve"> </w:t>
            </w:r>
            <w:r>
              <w:rPr>
                <w:color w:val="231F20"/>
                <w:sz w:val="14"/>
              </w:rPr>
              <w:t>трансформације координата.</w:t>
            </w:r>
          </w:p>
          <w:p w:rsidR="00041039" w:rsidRDefault="001B26CB">
            <w:pPr>
              <w:pStyle w:val="TableParagraph"/>
              <w:numPr>
                <w:ilvl w:val="0"/>
                <w:numId w:val="1713"/>
              </w:numPr>
              <w:tabs>
                <w:tab w:val="left" w:pos="158"/>
              </w:tabs>
              <w:spacing w:line="152" w:lineRule="exact"/>
              <w:rPr>
                <w:sz w:val="14"/>
              </w:rPr>
            </w:pPr>
            <w:r>
              <w:rPr>
                <w:color w:val="231F20"/>
                <w:sz w:val="14"/>
              </w:rPr>
              <w:t>Релативистички закон сабирања</w:t>
            </w:r>
            <w:r>
              <w:rPr>
                <w:color w:val="231F20"/>
                <w:spacing w:val="-8"/>
                <w:sz w:val="14"/>
              </w:rPr>
              <w:t xml:space="preserve"> </w:t>
            </w:r>
            <w:r>
              <w:rPr>
                <w:color w:val="231F20"/>
                <w:sz w:val="14"/>
              </w:rPr>
              <w:t>брзина.</w:t>
            </w:r>
          </w:p>
          <w:p w:rsidR="00041039" w:rsidRDefault="001B26CB">
            <w:pPr>
              <w:pStyle w:val="TableParagraph"/>
              <w:numPr>
                <w:ilvl w:val="0"/>
                <w:numId w:val="1713"/>
              </w:numPr>
              <w:tabs>
                <w:tab w:val="left" w:pos="158"/>
              </w:tabs>
              <w:spacing w:line="237" w:lineRule="auto"/>
              <w:ind w:right="131"/>
              <w:rPr>
                <w:sz w:val="14"/>
              </w:rPr>
            </w:pPr>
            <w:r>
              <w:rPr>
                <w:color w:val="231F20"/>
                <w:sz w:val="14"/>
              </w:rPr>
              <w:t>Релативистички</w:t>
            </w:r>
            <w:r>
              <w:rPr>
                <w:color w:val="231F20"/>
                <w:spacing w:val="-7"/>
                <w:sz w:val="14"/>
              </w:rPr>
              <w:t xml:space="preserve"> </w:t>
            </w:r>
            <w:r>
              <w:rPr>
                <w:color w:val="231F20"/>
                <w:sz w:val="14"/>
              </w:rPr>
              <w:t>карактер</w:t>
            </w:r>
            <w:r>
              <w:rPr>
                <w:color w:val="231F20"/>
                <w:spacing w:val="-7"/>
                <w:sz w:val="14"/>
              </w:rPr>
              <w:t xml:space="preserve"> </w:t>
            </w:r>
            <w:r>
              <w:rPr>
                <w:color w:val="231F20"/>
                <w:sz w:val="14"/>
              </w:rPr>
              <w:t>времена</w:t>
            </w:r>
            <w:r>
              <w:rPr>
                <w:color w:val="231F20"/>
                <w:spacing w:val="-8"/>
                <w:sz w:val="14"/>
              </w:rPr>
              <w:t xml:space="preserve"> </w:t>
            </w:r>
            <w:r>
              <w:rPr>
                <w:color w:val="231F20"/>
                <w:sz w:val="14"/>
              </w:rPr>
              <w:t>и</w:t>
            </w:r>
            <w:r>
              <w:rPr>
                <w:color w:val="231F20"/>
                <w:spacing w:val="-8"/>
                <w:sz w:val="14"/>
              </w:rPr>
              <w:t xml:space="preserve"> </w:t>
            </w:r>
            <w:r>
              <w:rPr>
                <w:color w:val="231F20"/>
                <w:sz w:val="14"/>
              </w:rPr>
              <w:t>дужи­ не. Гранични карактер брзине</w:t>
            </w:r>
            <w:r>
              <w:rPr>
                <w:color w:val="231F20"/>
                <w:spacing w:val="-15"/>
                <w:sz w:val="14"/>
              </w:rPr>
              <w:t xml:space="preserve"> </w:t>
            </w:r>
            <w:r>
              <w:rPr>
                <w:color w:val="231F20"/>
                <w:sz w:val="14"/>
              </w:rPr>
              <w:t>светлости.</w:t>
            </w:r>
          </w:p>
          <w:p w:rsidR="00041039" w:rsidRDefault="001B26CB">
            <w:pPr>
              <w:pStyle w:val="TableParagraph"/>
              <w:numPr>
                <w:ilvl w:val="0"/>
                <w:numId w:val="1713"/>
              </w:numPr>
              <w:tabs>
                <w:tab w:val="left" w:pos="158"/>
              </w:tabs>
              <w:spacing w:line="155" w:lineRule="exact"/>
              <w:rPr>
                <w:sz w:val="14"/>
              </w:rPr>
            </w:pPr>
            <w:r>
              <w:rPr>
                <w:color w:val="231F20"/>
                <w:sz w:val="14"/>
              </w:rPr>
              <w:t>Инваријантност</w:t>
            </w:r>
            <w:r>
              <w:rPr>
                <w:color w:val="231F20"/>
                <w:spacing w:val="-1"/>
                <w:sz w:val="14"/>
              </w:rPr>
              <w:t xml:space="preserve"> </w:t>
            </w:r>
            <w:r>
              <w:rPr>
                <w:color w:val="231F20"/>
                <w:sz w:val="14"/>
              </w:rPr>
              <w:t>интервала.</w:t>
            </w:r>
          </w:p>
          <w:p w:rsidR="00041039" w:rsidRDefault="001B26CB">
            <w:pPr>
              <w:pStyle w:val="TableParagraph"/>
              <w:numPr>
                <w:ilvl w:val="0"/>
                <w:numId w:val="1713"/>
              </w:numPr>
              <w:tabs>
                <w:tab w:val="left" w:pos="158"/>
              </w:tabs>
              <w:spacing w:line="237" w:lineRule="auto"/>
              <w:ind w:right="82"/>
              <w:rPr>
                <w:sz w:val="14"/>
              </w:rPr>
            </w:pPr>
            <w:r>
              <w:rPr>
                <w:color w:val="231F20"/>
                <w:sz w:val="14"/>
              </w:rPr>
              <w:t>Релативистички импулс и енергија. Везе између релативистичког импулса,</w:t>
            </w:r>
            <w:r>
              <w:rPr>
                <w:color w:val="231F20"/>
                <w:spacing w:val="-23"/>
                <w:sz w:val="14"/>
              </w:rPr>
              <w:t xml:space="preserve"> </w:t>
            </w:r>
            <w:r>
              <w:rPr>
                <w:color w:val="231F20"/>
                <w:sz w:val="14"/>
              </w:rPr>
              <w:t>кинетич­ ке енергије, енергије мировања и укупне енергије. Унутрашња енергија. Закон одржања масе и</w:t>
            </w:r>
            <w:r>
              <w:rPr>
                <w:color w:val="231F20"/>
                <w:spacing w:val="-2"/>
                <w:sz w:val="14"/>
              </w:rPr>
              <w:t xml:space="preserve"> </w:t>
            </w:r>
            <w:r>
              <w:rPr>
                <w:color w:val="231F20"/>
                <w:sz w:val="14"/>
              </w:rPr>
              <w:t>енергије.</w:t>
            </w:r>
          </w:p>
          <w:p w:rsidR="00041039" w:rsidRDefault="001B26CB">
            <w:pPr>
              <w:pStyle w:val="TableParagraph"/>
              <w:numPr>
                <w:ilvl w:val="0"/>
                <w:numId w:val="1713"/>
              </w:numPr>
              <w:tabs>
                <w:tab w:val="left" w:pos="158"/>
              </w:tabs>
              <w:spacing w:line="161" w:lineRule="exact"/>
              <w:rPr>
                <w:sz w:val="14"/>
              </w:rPr>
            </w:pPr>
            <w:r>
              <w:rPr>
                <w:color w:val="231F20"/>
                <w:sz w:val="14"/>
              </w:rPr>
              <w:t>Појам о општој теорији</w:t>
            </w:r>
            <w:r>
              <w:rPr>
                <w:color w:val="231F20"/>
                <w:spacing w:val="-5"/>
                <w:sz w:val="14"/>
              </w:rPr>
              <w:t xml:space="preserve"> </w:t>
            </w:r>
            <w:r>
              <w:rPr>
                <w:color w:val="231F20"/>
                <w:sz w:val="14"/>
              </w:rPr>
              <w:t>релативности.</w:t>
            </w:r>
          </w:p>
        </w:tc>
        <w:tc>
          <w:tcPr>
            <w:tcW w:w="2267" w:type="dxa"/>
            <w:vMerge/>
            <w:tcBorders>
              <w:top w:val="nil"/>
            </w:tcBorders>
          </w:tcPr>
          <w:p w:rsidR="00041039" w:rsidRDefault="00041039">
            <w:pPr>
              <w:rPr>
                <w:sz w:val="2"/>
                <w:szCs w:val="2"/>
              </w:rPr>
            </w:pPr>
          </w:p>
        </w:tc>
      </w:tr>
      <w:tr w:rsidR="00041039">
        <w:trPr>
          <w:trHeight w:val="3240"/>
        </w:trPr>
        <w:tc>
          <w:tcPr>
            <w:tcW w:w="1304" w:type="dxa"/>
          </w:tcPr>
          <w:p w:rsidR="00041039" w:rsidRDefault="001B26CB">
            <w:pPr>
              <w:pStyle w:val="TableParagraph"/>
              <w:spacing w:before="21"/>
              <w:ind w:left="57" w:right="37"/>
              <w:rPr>
                <w:sz w:val="14"/>
              </w:rPr>
            </w:pPr>
            <w:r>
              <w:rPr>
                <w:color w:val="231F20"/>
                <w:sz w:val="14"/>
              </w:rPr>
              <w:t>Физика чврстог стања</w:t>
            </w:r>
          </w:p>
        </w:tc>
        <w:tc>
          <w:tcPr>
            <w:tcW w:w="1587" w:type="dxa"/>
          </w:tcPr>
          <w:p w:rsidR="00041039" w:rsidRDefault="001B26CB">
            <w:pPr>
              <w:pStyle w:val="TableParagraph"/>
              <w:numPr>
                <w:ilvl w:val="0"/>
                <w:numId w:val="1712"/>
              </w:numPr>
              <w:tabs>
                <w:tab w:val="left" w:pos="157"/>
              </w:tabs>
              <w:spacing w:before="11"/>
              <w:ind w:right="151" w:hanging="99"/>
              <w:rPr>
                <w:sz w:val="14"/>
              </w:rPr>
            </w:pPr>
            <w:r>
              <w:rPr>
                <w:color w:val="231F20"/>
                <w:sz w:val="14"/>
              </w:rPr>
              <w:t>Упознавањеса зако­ нима физике чврстог стања и њиховом применом у</w:t>
            </w:r>
            <w:r>
              <w:rPr>
                <w:color w:val="231F20"/>
                <w:spacing w:val="-10"/>
                <w:sz w:val="14"/>
              </w:rPr>
              <w:t xml:space="preserve"> </w:t>
            </w:r>
            <w:r>
              <w:rPr>
                <w:color w:val="231F20"/>
                <w:sz w:val="14"/>
              </w:rPr>
              <w:t>техници.</w:t>
            </w:r>
          </w:p>
        </w:tc>
        <w:tc>
          <w:tcPr>
            <w:tcW w:w="2551" w:type="dxa"/>
          </w:tcPr>
          <w:p w:rsidR="00041039" w:rsidRDefault="001B26CB">
            <w:pPr>
              <w:pStyle w:val="TableParagraph"/>
              <w:numPr>
                <w:ilvl w:val="0"/>
                <w:numId w:val="1711"/>
              </w:numPr>
              <w:tabs>
                <w:tab w:val="left" w:pos="157"/>
              </w:tabs>
              <w:spacing w:before="11" w:line="166" w:lineRule="exact"/>
              <w:ind w:hanging="99"/>
              <w:rPr>
                <w:sz w:val="14"/>
              </w:rPr>
            </w:pPr>
            <w:r>
              <w:rPr>
                <w:color w:val="231F20"/>
                <w:sz w:val="14"/>
              </w:rPr>
              <w:t xml:space="preserve">објасни енергијске зоне </w:t>
            </w:r>
            <w:r>
              <w:rPr>
                <w:color w:val="231F20"/>
                <w:spacing w:val="-5"/>
                <w:sz w:val="14"/>
              </w:rPr>
              <w:t>код</w:t>
            </w:r>
            <w:r>
              <w:rPr>
                <w:color w:val="231F20"/>
                <w:spacing w:val="-2"/>
                <w:sz w:val="14"/>
              </w:rPr>
              <w:t xml:space="preserve"> </w:t>
            </w:r>
            <w:r>
              <w:rPr>
                <w:color w:val="231F20"/>
                <w:sz w:val="14"/>
              </w:rPr>
              <w:t>кристала</w:t>
            </w:r>
          </w:p>
          <w:p w:rsidR="00041039" w:rsidRDefault="001B26CB">
            <w:pPr>
              <w:pStyle w:val="TableParagraph"/>
              <w:numPr>
                <w:ilvl w:val="0"/>
                <w:numId w:val="1711"/>
              </w:numPr>
              <w:tabs>
                <w:tab w:val="left" w:pos="157"/>
              </w:tabs>
              <w:spacing w:line="237" w:lineRule="auto"/>
              <w:ind w:right="187" w:hanging="99"/>
              <w:rPr>
                <w:sz w:val="14"/>
              </w:rPr>
            </w:pPr>
            <w:r>
              <w:rPr>
                <w:color w:val="231F20"/>
                <w:sz w:val="14"/>
              </w:rPr>
              <w:t>разликује класичну електричну проводљивост и</w:t>
            </w:r>
            <w:r>
              <w:rPr>
                <w:color w:val="231F20"/>
                <w:spacing w:val="-13"/>
                <w:sz w:val="14"/>
              </w:rPr>
              <w:t xml:space="preserve"> </w:t>
            </w:r>
            <w:r>
              <w:rPr>
                <w:color w:val="231F20"/>
                <w:sz w:val="14"/>
              </w:rPr>
              <w:t xml:space="preserve">суперпроводљивост </w:t>
            </w:r>
            <w:r>
              <w:rPr>
                <w:color w:val="231F20"/>
                <w:spacing w:val="-5"/>
                <w:sz w:val="14"/>
              </w:rPr>
              <w:t>код</w:t>
            </w:r>
            <w:r>
              <w:rPr>
                <w:color w:val="231F20"/>
                <w:sz w:val="14"/>
              </w:rPr>
              <w:t xml:space="preserve"> метала;</w:t>
            </w:r>
          </w:p>
          <w:p w:rsidR="00041039" w:rsidRDefault="001B26CB">
            <w:pPr>
              <w:pStyle w:val="TableParagraph"/>
              <w:numPr>
                <w:ilvl w:val="0"/>
                <w:numId w:val="1711"/>
              </w:numPr>
              <w:tabs>
                <w:tab w:val="left" w:pos="157"/>
              </w:tabs>
              <w:spacing w:line="237" w:lineRule="auto"/>
              <w:ind w:right="69" w:hanging="99"/>
              <w:jc w:val="both"/>
              <w:rPr>
                <w:sz w:val="14"/>
              </w:rPr>
            </w:pPr>
            <w:r>
              <w:rPr>
                <w:color w:val="231F20"/>
                <w:sz w:val="14"/>
              </w:rPr>
              <w:t>описује својства сопствених и</w:t>
            </w:r>
            <w:r>
              <w:rPr>
                <w:color w:val="231F20"/>
                <w:spacing w:val="-8"/>
                <w:sz w:val="14"/>
              </w:rPr>
              <w:t xml:space="preserve"> </w:t>
            </w:r>
            <w:r>
              <w:rPr>
                <w:color w:val="231F20"/>
                <w:sz w:val="14"/>
              </w:rPr>
              <w:t xml:space="preserve">примес­ них полупроводника и познаје </w:t>
            </w:r>
            <w:r>
              <w:rPr>
                <w:color w:val="231F20"/>
                <w:spacing w:val="-3"/>
                <w:sz w:val="14"/>
              </w:rPr>
              <w:t xml:space="preserve">њихову </w:t>
            </w:r>
            <w:r>
              <w:rPr>
                <w:color w:val="231F20"/>
                <w:sz w:val="14"/>
              </w:rPr>
              <w:t>примену (исправљачи, галваномагнет­ ни и термоелектрични</w:t>
            </w:r>
            <w:r>
              <w:rPr>
                <w:color w:val="231F20"/>
                <w:spacing w:val="-4"/>
                <w:sz w:val="14"/>
              </w:rPr>
              <w:t xml:space="preserve"> </w:t>
            </w:r>
            <w:r>
              <w:rPr>
                <w:color w:val="231F20"/>
                <w:sz w:val="14"/>
              </w:rPr>
              <w:t>ефекти,...);</w:t>
            </w:r>
          </w:p>
          <w:p w:rsidR="00041039" w:rsidRDefault="001B26CB">
            <w:pPr>
              <w:pStyle w:val="TableParagraph"/>
              <w:numPr>
                <w:ilvl w:val="0"/>
                <w:numId w:val="1711"/>
              </w:numPr>
              <w:tabs>
                <w:tab w:val="left" w:pos="157"/>
              </w:tabs>
              <w:spacing w:line="237" w:lineRule="auto"/>
              <w:ind w:right="103" w:hanging="99"/>
              <w:jc w:val="both"/>
              <w:rPr>
                <w:sz w:val="14"/>
              </w:rPr>
            </w:pPr>
            <w:r>
              <w:rPr>
                <w:color w:val="231F20"/>
                <w:sz w:val="14"/>
              </w:rPr>
              <w:t xml:space="preserve">изведе лабораторијску </w:t>
            </w:r>
            <w:r>
              <w:rPr>
                <w:color w:val="231F20"/>
                <w:spacing w:val="-4"/>
                <w:sz w:val="14"/>
              </w:rPr>
              <w:t xml:space="preserve">вежбу, </w:t>
            </w:r>
            <w:r>
              <w:rPr>
                <w:color w:val="231F20"/>
                <w:sz w:val="14"/>
              </w:rPr>
              <w:t>правил­ но и безбедно рукује наставним сред­ ствима, изврши потребне прорачуне</w:t>
            </w:r>
            <w:r>
              <w:rPr>
                <w:color w:val="231F20"/>
                <w:spacing w:val="-18"/>
                <w:sz w:val="14"/>
              </w:rPr>
              <w:t xml:space="preserve"> </w:t>
            </w:r>
            <w:r>
              <w:rPr>
                <w:color w:val="231F20"/>
                <w:sz w:val="14"/>
              </w:rPr>
              <w:t>и израчуна грешке при</w:t>
            </w:r>
            <w:r>
              <w:rPr>
                <w:color w:val="231F20"/>
                <w:spacing w:val="-5"/>
                <w:sz w:val="14"/>
              </w:rPr>
              <w:t xml:space="preserve"> </w:t>
            </w:r>
            <w:r>
              <w:rPr>
                <w:color w:val="231F20"/>
                <w:sz w:val="14"/>
              </w:rPr>
              <w:t>мерењу;</w:t>
            </w:r>
          </w:p>
        </w:tc>
        <w:tc>
          <w:tcPr>
            <w:tcW w:w="2834" w:type="dxa"/>
          </w:tcPr>
          <w:p w:rsidR="00041039" w:rsidRDefault="001B26CB">
            <w:pPr>
              <w:pStyle w:val="TableParagraph"/>
              <w:numPr>
                <w:ilvl w:val="0"/>
                <w:numId w:val="1710"/>
              </w:numPr>
              <w:tabs>
                <w:tab w:val="left" w:pos="158"/>
              </w:tabs>
              <w:spacing w:before="11"/>
              <w:ind w:right="197"/>
              <w:rPr>
                <w:sz w:val="14"/>
              </w:rPr>
            </w:pPr>
            <w:r>
              <w:rPr>
                <w:color w:val="231F20"/>
                <w:sz w:val="14"/>
              </w:rPr>
              <w:t>Зонска теорија кристала. Енергијске</w:t>
            </w:r>
            <w:r>
              <w:rPr>
                <w:color w:val="231F20"/>
                <w:spacing w:val="-14"/>
                <w:sz w:val="14"/>
              </w:rPr>
              <w:t xml:space="preserve"> </w:t>
            </w:r>
            <w:r>
              <w:rPr>
                <w:color w:val="231F20"/>
                <w:sz w:val="14"/>
              </w:rPr>
              <w:t xml:space="preserve">зоне у чврстом </w:t>
            </w:r>
            <w:r>
              <w:rPr>
                <w:color w:val="231F20"/>
                <w:spacing w:val="-3"/>
                <w:sz w:val="14"/>
              </w:rPr>
              <w:t xml:space="preserve">телу. </w:t>
            </w:r>
            <w:r>
              <w:rPr>
                <w:color w:val="231F20"/>
                <w:sz w:val="14"/>
              </w:rPr>
              <w:t>Зонски модели метала и диелектрика.</w:t>
            </w:r>
          </w:p>
          <w:p w:rsidR="00041039" w:rsidRDefault="001B26CB">
            <w:pPr>
              <w:pStyle w:val="TableParagraph"/>
              <w:numPr>
                <w:ilvl w:val="0"/>
                <w:numId w:val="1710"/>
              </w:numPr>
              <w:tabs>
                <w:tab w:val="left" w:pos="158"/>
              </w:tabs>
              <w:spacing w:line="157" w:lineRule="exact"/>
              <w:rPr>
                <w:sz w:val="14"/>
              </w:rPr>
            </w:pPr>
            <w:r>
              <w:rPr>
                <w:color w:val="231F20"/>
                <w:sz w:val="14"/>
              </w:rPr>
              <w:t>Расподела слободних елект</w:t>
            </w:r>
            <w:r>
              <w:rPr>
                <w:color w:val="231F20"/>
                <w:sz w:val="14"/>
              </w:rPr>
              <w:t>рона</w:t>
            </w:r>
            <w:r>
              <w:rPr>
                <w:color w:val="231F20"/>
                <w:spacing w:val="-3"/>
                <w:sz w:val="14"/>
              </w:rPr>
              <w:t xml:space="preserve"> </w:t>
            </w:r>
            <w:r>
              <w:rPr>
                <w:color w:val="231F20"/>
                <w:sz w:val="14"/>
              </w:rPr>
              <w:t>по</w:t>
            </w:r>
          </w:p>
          <w:p w:rsidR="00041039" w:rsidRDefault="001B26CB">
            <w:pPr>
              <w:pStyle w:val="TableParagraph"/>
              <w:ind w:left="157"/>
              <w:rPr>
                <w:sz w:val="14"/>
              </w:rPr>
            </w:pPr>
            <w:r>
              <w:rPr>
                <w:color w:val="231F20"/>
                <w:sz w:val="14"/>
              </w:rPr>
              <w:t>енергијама у металу. Квантна теорија про­ водљивости метала. Суперпроводљивост.</w:t>
            </w:r>
          </w:p>
          <w:p w:rsidR="00041039" w:rsidRDefault="001B26CB">
            <w:pPr>
              <w:pStyle w:val="TableParagraph"/>
              <w:numPr>
                <w:ilvl w:val="0"/>
                <w:numId w:val="1710"/>
              </w:numPr>
              <w:tabs>
                <w:tab w:val="left" w:pos="158"/>
              </w:tabs>
              <w:spacing w:line="160" w:lineRule="exact"/>
              <w:ind w:right="223"/>
              <w:rPr>
                <w:sz w:val="14"/>
              </w:rPr>
            </w:pPr>
            <w:r>
              <w:rPr>
                <w:color w:val="231F20"/>
                <w:sz w:val="14"/>
              </w:rPr>
              <w:t>Полупроводници. Сопствена и</w:t>
            </w:r>
            <w:r>
              <w:rPr>
                <w:color w:val="231F20"/>
                <w:spacing w:val="-15"/>
                <w:sz w:val="14"/>
              </w:rPr>
              <w:t xml:space="preserve"> </w:t>
            </w:r>
            <w:r>
              <w:rPr>
                <w:color w:val="231F20"/>
                <w:sz w:val="14"/>
              </w:rPr>
              <w:t>примесна проводљивост.</w:t>
            </w:r>
          </w:p>
          <w:p w:rsidR="00041039" w:rsidRDefault="001B26CB">
            <w:pPr>
              <w:pStyle w:val="TableParagraph"/>
              <w:numPr>
                <w:ilvl w:val="0"/>
                <w:numId w:val="1710"/>
              </w:numPr>
              <w:tabs>
                <w:tab w:val="left" w:pos="158"/>
              </w:tabs>
              <w:spacing w:line="160" w:lineRule="exact"/>
              <w:ind w:right="209"/>
              <w:rPr>
                <w:sz w:val="14"/>
              </w:rPr>
            </w:pPr>
            <w:r>
              <w:rPr>
                <w:color w:val="231F20"/>
                <w:sz w:val="14"/>
              </w:rPr>
              <w:t>Полупроводници p иn­типа и</w:t>
            </w:r>
            <w:r>
              <w:rPr>
                <w:color w:val="231F20"/>
                <w:spacing w:val="-26"/>
                <w:sz w:val="14"/>
              </w:rPr>
              <w:t xml:space="preserve"> </w:t>
            </w:r>
            <w:r>
              <w:rPr>
                <w:color w:val="231F20"/>
                <w:sz w:val="14"/>
              </w:rPr>
              <w:t>полупрово­ днички p­n</w:t>
            </w:r>
            <w:r>
              <w:rPr>
                <w:color w:val="231F20"/>
                <w:spacing w:val="-1"/>
                <w:sz w:val="14"/>
              </w:rPr>
              <w:t xml:space="preserve"> </w:t>
            </w:r>
            <w:r>
              <w:rPr>
                <w:color w:val="231F20"/>
                <w:sz w:val="14"/>
              </w:rPr>
              <w:t>спој,</w:t>
            </w:r>
          </w:p>
          <w:p w:rsidR="00041039" w:rsidRDefault="001B26CB">
            <w:pPr>
              <w:pStyle w:val="TableParagraph"/>
              <w:numPr>
                <w:ilvl w:val="0"/>
                <w:numId w:val="1710"/>
              </w:numPr>
              <w:tabs>
                <w:tab w:val="left" w:pos="158"/>
              </w:tabs>
              <w:spacing w:line="160" w:lineRule="exact"/>
              <w:ind w:right="294"/>
              <w:rPr>
                <w:sz w:val="14"/>
              </w:rPr>
            </w:pPr>
            <w:r>
              <w:rPr>
                <w:color w:val="231F20"/>
                <w:sz w:val="14"/>
              </w:rPr>
              <w:t>Полупроводиичке диоде, транзистори</w:t>
            </w:r>
            <w:r>
              <w:rPr>
                <w:color w:val="231F20"/>
                <w:spacing w:val="-22"/>
                <w:sz w:val="14"/>
              </w:rPr>
              <w:t xml:space="preserve"> </w:t>
            </w:r>
            <w:r>
              <w:rPr>
                <w:color w:val="231F20"/>
                <w:sz w:val="14"/>
              </w:rPr>
              <w:t>и фотоотпорници.</w:t>
            </w:r>
          </w:p>
          <w:p w:rsidR="00041039" w:rsidRDefault="001B26CB">
            <w:pPr>
              <w:pStyle w:val="TableParagraph"/>
              <w:spacing w:line="153" w:lineRule="exact"/>
              <w:ind w:left="57"/>
              <w:rPr>
                <w:b/>
                <w:sz w:val="14"/>
              </w:rPr>
            </w:pPr>
            <w:r>
              <w:rPr>
                <w:b/>
                <w:color w:val="231F20"/>
                <w:sz w:val="14"/>
              </w:rPr>
              <w:t>Демонстрациони огледи:</w:t>
            </w:r>
          </w:p>
          <w:p w:rsidR="00041039" w:rsidRDefault="001B26CB">
            <w:pPr>
              <w:pStyle w:val="TableParagraph"/>
              <w:numPr>
                <w:ilvl w:val="0"/>
                <w:numId w:val="1710"/>
              </w:numPr>
              <w:tabs>
                <w:tab w:val="left" w:pos="158"/>
              </w:tabs>
              <w:spacing w:line="165" w:lineRule="exact"/>
              <w:rPr>
                <w:sz w:val="14"/>
              </w:rPr>
            </w:pPr>
            <w:r>
              <w:rPr>
                <w:color w:val="231F20"/>
                <w:sz w:val="14"/>
              </w:rPr>
              <w:t>Диоде.</w:t>
            </w:r>
            <w:r>
              <w:rPr>
                <w:color w:val="231F20"/>
                <w:spacing w:val="-1"/>
                <w:sz w:val="14"/>
              </w:rPr>
              <w:t xml:space="preserve"> </w:t>
            </w:r>
            <w:r>
              <w:rPr>
                <w:color w:val="231F20"/>
                <w:sz w:val="14"/>
              </w:rPr>
              <w:t>Фотопроводници.</w:t>
            </w:r>
          </w:p>
          <w:p w:rsidR="00041039" w:rsidRDefault="001B26CB">
            <w:pPr>
              <w:pStyle w:val="TableParagraph"/>
              <w:spacing w:line="155" w:lineRule="exact"/>
              <w:ind w:left="57"/>
              <w:rPr>
                <w:b/>
                <w:sz w:val="14"/>
              </w:rPr>
            </w:pPr>
            <w:r>
              <w:rPr>
                <w:b/>
                <w:color w:val="231F20"/>
                <w:sz w:val="14"/>
              </w:rPr>
              <w:t>Лабораторијске вежбе:</w:t>
            </w:r>
          </w:p>
          <w:p w:rsidR="00041039" w:rsidRDefault="001B26CB">
            <w:pPr>
              <w:pStyle w:val="TableParagraph"/>
              <w:numPr>
                <w:ilvl w:val="0"/>
                <w:numId w:val="1710"/>
              </w:numPr>
              <w:tabs>
                <w:tab w:val="left" w:pos="158"/>
              </w:tabs>
              <w:spacing w:line="160" w:lineRule="exact"/>
              <w:rPr>
                <w:sz w:val="14"/>
              </w:rPr>
            </w:pPr>
            <w:r>
              <w:rPr>
                <w:color w:val="231F20"/>
                <w:sz w:val="14"/>
              </w:rPr>
              <w:t>Струјно­напонска карактеристика</w:t>
            </w:r>
            <w:r>
              <w:rPr>
                <w:color w:val="231F20"/>
                <w:spacing w:val="-6"/>
                <w:sz w:val="14"/>
              </w:rPr>
              <w:t xml:space="preserve"> </w:t>
            </w:r>
            <w:r>
              <w:rPr>
                <w:color w:val="231F20"/>
                <w:sz w:val="14"/>
              </w:rPr>
              <w:t>диоде.</w:t>
            </w:r>
          </w:p>
          <w:p w:rsidR="00041039" w:rsidRDefault="001B26CB">
            <w:pPr>
              <w:pStyle w:val="TableParagraph"/>
              <w:numPr>
                <w:ilvl w:val="0"/>
                <w:numId w:val="1710"/>
              </w:numPr>
              <w:tabs>
                <w:tab w:val="left" w:pos="158"/>
              </w:tabs>
              <w:spacing w:line="237" w:lineRule="auto"/>
              <w:ind w:right="292"/>
              <w:rPr>
                <w:sz w:val="14"/>
              </w:rPr>
            </w:pPr>
            <w:r>
              <w:rPr>
                <w:color w:val="231F20"/>
                <w:sz w:val="14"/>
              </w:rPr>
              <w:t>Струјно­напонске карактеристике</w:t>
            </w:r>
            <w:r>
              <w:rPr>
                <w:color w:val="231F20"/>
                <w:spacing w:val="-19"/>
                <w:sz w:val="14"/>
              </w:rPr>
              <w:t xml:space="preserve"> </w:t>
            </w:r>
            <w:r>
              <w:rPr>
                <w:color w:val="231F20"/>
                <w:sz w:val="14"/>
              </w:rPr>
              <w:t>тран­ зистора.</w:t>
            </w:r>
          </w:p>
          <w:p w:rsidR="00041039" w:rsidRDefault="001B26CB">
            <w:pPr>
              <w:pStyle w:val="TableParagraph"/>
              <w:numPr>
                <w:ilvl w:val="0"/>
                <w:numId w:val="1710"/>
              </w:numPr>
              <w:tabs>
                <w:tab w:val="left" w:pos="158"/>
              </w:tabs>
              <w:spacing w:line="160" w:lineRule="exact"/>
              <w:ind w:right="179"/>
              <w:rPr>
                <w:sz w:val="14"/>
              </w:rPr>
            </w:pPr>
            <w:r>
              <w:rPr>
                <w:color w:val="231F20"/>
                <w:sz w:val="14"/>
              </w:rPr>
              <w:t>Одређивање Планкове константе</w:t>
            </w:r>
            <w:r>
              <w:rPr>
                <w:color w:val="231F20"/>
                <w:spacing w:val="-25"/>
                <w:sz w:val="14"/>
              </w:rPr>
              <w:t xml:space="preserve"> </w:t>
            </w:r>
            <w:r>
              <w:rPr>
                <w:color w:val="231F20"/>
                <w:sz w:val="14"/>
              </w:rPr>
              <w:t>(помоћу LED</w:t>
            </w:r>
            <w:r>
              <w:rPr>
                <w:color w:val="231F20"/>
                <w:spacing w:val="-1"/>
                <w:sz w:val="14"/>
              </w:rPr>
              <w:t xml:space="preserve"> </w:t>
            </w:r>
            <w:r>
              <w:rPr>
                <w:color w:val="231F20"/>
                <w:sz w:val="14"/>
              </w:rPr>
              <w:t>диоде).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4840"/>
        </w:trPr>
        <w:tc>
          <w:tcPr>
            <w:tcW w:w="1304" w:type="dxa"/>
          </w:tcPr>
          <w:p w:rsidR="00041039" w:rsidRDefault="001B26CB">
            <w:pPr>
              <w:pStyle w:val="TableParagraph"/>
              <w:spacing w:before="18"/>
              <w:ind w:left="56" w:right="37"/>
              <w:rPr>
                <w:sz w:val="14"/>
              </w:rPr>
            </w:pPr>
            <w:r>
              <w:rPr>
                <w:color w:val="231F20"/>
                <w:sz w:val="14"/>
              </w:rPr>
              <w:lastRenderedPageBreak/>
              <w:t>Физика атомског језгра</w:t>
            </w:r>
          </w:p>
        </w:tc>
        <w:tc>
          <w:tcPr>
            <w:tcW w:w="1587" w:type="dxa"/>
          </w:tcPr>
          <w:p w:rsidR="00041039" w:rsidRDefault="001B26CB">
            <w:pPr>
              <w:pStyle w:val="TableParagraph"/>
              <w:numPr>
                <w:ilvl w:val="0"/>
                <w:numId w:val="1709"/>
              </w:numPr>
              <w:tabs>
                <w:tab w:val="left" w:pos="157"/>
              </w:tabs>
              <w:spacing w:before="8"/>
              <w:ind w:right="113"/>
              <w:rPr>
                <w:sz w:val="14"/>
              </w:rPr>
            </w:pPr>
            <w:r>
              <w:rPr>
                <w:color w:val="231F20"/>
                <w:sz w:val="14"/>
              </w:rPr>
              <w:t>Продубљивање</w:t>
            </w:r>
            <w:r>
              <w:rPr>
                <w:color w:val="231F20"/>
                <w:spacing w:val="-13"/>
                <w:sz w:val="14"/>
              </w:rPr>
              <w:t xml:space="preserve"> </w:t>
            </w:r>
            <w:r>
              <w:rPr>
                <w:color w:val="231F20"/>
                <w:sz w:val="14"/>
              </w:rPr>
              <w:t xml:space="preserve">знања о физици </w:t>
            </w:r>
            <w:r>
              <w:rPr>
                <w:color w:val="231F20"/>
                <w:spacing w:val="-3"/>
                <w:sz w:val="14"/>
              </w:rPr>
              <w:t xml:space="preserve">атомског </w:t>
            </w:r>
            <w:r>
              <w:rPr>
                <w:color w:val="231F20"/>
                <w:sz w:val="14"/>
              </w:rPr>
              <w:t>језгра.</w:t>
            </w:r>
          </w:p>
          <w:p w:rsidR="00041039" w:rsidRDefault="001B26CB">
            <w:pPr>
              <w:pStyle w:val="TableParagraph"/>
              <w:numPr>
                <w:ilvl w:val="0"/>
                <w:numId w:val="1709"/>
              </w:numPr>
              <w:tabs>
                <w:tab w:val="left" w:pos="157"/>
              </w:tabs>
              <w:spacing w:line="157"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15"/>
              <w:rPr>
                <w:sz w:val="14"/>
              </w:rPr>
            </w:pPr>
            <w:r>
              <w:rPr>
                <w:color w:val="231F20"/>
                <w:sz w:val="14"/>
              </w:rPr>
              <w:t>природној и вештачкој радиоактивности, примени зрачења и мерама заштите.</w:t>
            </w:r>
          </w:p>
        </w:tc>
        <w:tc>
          <w:tcPr>
            <w:tcW w:w="2551" w:type="dxa"/>
          </w:tcPr>
          <w:p w:rsidR="00041039" w:rsidRDefault="001B26CB">
            <w:pPr>
              <w:pStyle w:val="TableParagraph"/>
              <w:numPr>
                <w:ilvl w:val="0"/>
                <w:numId w:val="1708"/>
              </w:numPr>
              <w:tabs>
                <w:tab w:val="left" w:pos="157"/>
              </w:tabs>
              <w:spacing w:before="8"/>
              <w:ind w:right="300" w:hanging="99"/>
              <w:rPr>
                <w:sz w:val="14"/>
              </w:rPr>
            </w:pPr>
            <w:r>
              <w:rPr>
                <w:color w:val="231F20"/>
                <w:sz w:val="14"/>
              </w:rPr>
              <w:t>објасни модел и структуру језгра</w:t>
            </w:r>
            <w:r>
              <w:rPr>
                <w:color w:val="231F20"/>
                <w:spacing w:val="-16"/>
                <w:sz w:val="14"/>
              </w:rPr>
              <w:t xml:space="preserve"> </w:t>
            </w:r>
            <w:r>
              <w:rPr>
                <w:color w:val="231F20"/>
                <w:sz w:val="14"/>
              </w:rPr>
              <w:t>и својства нуклеарних</w:t>
            </w:r>
            <w:r>
              <w:rPr>
                <w:color w:val="231F20"/>
                <w:spacing w:val="-1"/>
                <w:sz w:val="14"/>
              </w:rPr>
              <w:t xml:space="preserve"> </w:t>
            </w:r>
            <w:r>
              <w:rPr>
                <w:color w:val="231F20"/>
                <w:sz w:val="14"/>
              </w:rPr>
              <w:t>сила;</w:t>
            </w:r>
          </w:p>
          <w:p w:rsidR="00041039" w:rsidRDefault="001B26CB">
            <w:pPr>
              <w:pStyle w:val="TableParagraph"/>
              <w:numPr>
                <w:ilvl w:val="0"/>
                <w:numId w:val="1708"/>
              </w:numPr>
              <w:tabs>
                <w:tab w:val="left" w:pos="157"/>
              </w:tabs>
              <w:spacing w:line="160" w:lineRule="exact"/>
              <w:ind w:right="298" w:hanging="99"/>
              <w:rPr>
                <w:sz w:val="14"/>
              </w:rPr>
            </w:pPr>
            <w:r>
              <w:rPr>
                <w:color w:val="231F20"/>
                <w:sz w:val="14"/>
              </w:rPr>
              <w:t>разуме примену и опасности при­ родног и вештачког</w:t>
            </w:r>
            <w:r>
              <w:rPr>
                <w:color w:val="231F20"/>
                <w:spacing w:val="-25"/>
                <w:sz w:val="14"/>
              </w:rPr>
              <w:t xml:space="preserve"> </w:t>
            </w:r>
            <w:r>
              <w:rPr>
                <w:color w:val="231F20"/>
                <w:sz w:val="14"/>
              </w:rPr>
              <w:t>радиоактивног зрачења;</w:t>
            </w:r>
          </w:p>
          <w:p w:rsidR="00041039" w:rsidRDefault="001B26CB">
            <w:pPr>
              <w:pStyle w:val="TableParagraph"/>
              <w:numPr>
                <w:ilvl w:val="0"/>
                <w:numId w:val="1708"/>
              </w:numPr>
              <w:tabs>
                <w:tab w:val="left" w:pos="157"/>
              </w:tabs>
              <w:spacing w:line="160" w:lineRule="exact"/>
              <w:ind w:right="153" w:hanging="99"/>
              <w:rPr>
                <w:sz w:val="14"/>
              </w:rPr>
            </w:pPr>
            <w:r>
              <w:rPr>
                <w:color w:val="231F20"/>
                <w:sz w:val="14"/>
              </w:rPr>
              <w:t>објашњава интеракцију радиоакти­ вног зрачења са материјалима и</w:t>
            </w:r>
            <w:r>
              <w:rPr>
                <w:color w:val="231F20"/>
                <w:spacing w:val="-18"/>
                <w:sz w:val="14"/>
              </w:rPr>
              <w:t xml:space="preserve"> </w:t>
            </w:r>
            <w:r>
              <w:rPr>
                <w:color w:val="231F20"/>
                <w:sz w:val="14"/>
              </w:rPr>
              <w:t>мери интензитет</w:t>
            </w:r>
            <w:r>
              <w:rPr>
                <w:color w:val="231F20"/>
                <w:spacing w:val="-2"/>
                <w:sz w:val="14"/>
              </w:rPr>
              <w:t xml:space="preserve"> </w:t>
            </w:r>
            <w:r>
              <w:rPr>
                <w:color w:val="231F20"/>
                <w:sz w:val="14"/>
              </w:rPr>
              <w:t>зрачења;</w:t>
            </w:r>
          </w:p>
          <w:p w:rsidR="00041039" w:rsidRDefault="001B26CB">
            <w:pPr>
              <w:pStyle w:val="TableParagraph"/>
              <w:numPr>
                <w:ilvl w:val="0"/>
                <w:numId w:val="1708"/>
              </w:numPr>
              <w:tabs>
                <w:tab w:val="left" w:pos="157"/>
              </w:tabs>
              <w:spacing w:line="160" w:lineRule="exact"/>
              <w:ind w:right="166" w:hanging="99"/>
              <w:rPr>
                <w:sz w:val="14"/>
              </w:rPr>
            </w:pPr>
            <w:r>
              <w:rPr>
                <w:color w:val="231F20"/>
                <w:sz w:val="14"/>
              </w:rPr>
              <w:t xml:space="preserve">придржава мера заштите </w:t>
            </w:r>
            <w:r>
              <w:rPr>
                <w:color w:val="231F20"/>
                <w:spacing w:val="-3"/>
                <w:sz w:val="14"/>
              </w:rPr>
              <w:t xml:space="preserve">од </w:t>
            </w:r>
            <w:r>
              <w:rPr>
                <w:color w:val="231F20"/>
                <w:sz w:val="14"/>
              </w:rPr>
              <w:t>радиоак­ тивног</w:t>
            </w:r>
            <w:r>
              <w:rPr>
                <w:color w:val="231F20"/>
                <w:spacing w:val="-1"/>
                <w:sz w:val="14"/>
              </w:rPr>
              <w:t xml:space="preserve"> </w:t>
            </w:r>
            <w:r>
              <w:rPr>
                <w:color w:val="231F20"/>
                <w:sz w:val="14"/>
              </w:rPr>
              <w:t>зрачења;</w:t>
            </w:r>
          </w:p>
          <w:p w:rsidR="00041039" w:rsidRDefault="001B26CB">
            <w:pPr>
              <w:pStyle w:val="TableParagraph"/>
              <w:numPr>
                <w:ilvl w:val="0"/>
                <w:numId w:val="1708"/>
              </w:numPr>
              <w:tabs>
                <w:tab w:val="left" w:pos="157"/>
              </w:tabs>
              <w:spacing w:line="160" w:lineRule="exact"/>
              <w:ind w:right="167" w:hanging="99"/>
              <w:jc w:val="both"/>
              <w:rPr>
                <w:sz w:val="14"/>
              </w:rPr>
            </w:pPr>
            <w:r>
              <w:rPr>
                <w:color w:val="231F20"/>
                <w:sz w:val="14"/>
              </w:rPr>
              <w:t>наводи и објашњава добијање и при­ мену изотопа (енергетика,</w:t>
            </w:r>
            <w:r>
              <w:rPr>
                <w:color w:val="231F20"/>
                <w:spacing w:val="-13"/>
                <w:sz w:val="14"/>
              </w:rPr>
              <w:t xml:space="preserve"> </w:t>
            </w:r>
            <w:r>
              <w:rPr>
                <w:color w:val="231F20"/>
                <w:sz w:val="14"/>
              </w:rPr>
              <w:t>медицина, археологија,</w:t>
            </w:r>
            <w:r>
              <w:rPr>
                <w:color w:val="231F20"/>
                <w:spacing w:val="-2"/>
                <w:sz w:val="14"/>
              </w:rPr>
              <w:t xml:space="preserve"> </w:t>
            </w:r>
            <w:r>
              <w:rPr>
                <w:color w:val="231F20"/>
                <w:sz w:val="14"/>
              </w:rPr>
              <w:t>форензика...);</w:t>
            </w:r>
          </w:p>
          <w:p w:rsidR="00041039" w:rsidRDefault="001B26CB">
            <w:pPr>
              <w:pStyle w:val="TableParagraph"/>
              <w:numPr>
                <w:ilvl w:val="0"/>
                <w:numId w:val="1708"/>
              </w:numPr>
              <w:tabs>
                <w:tab w:val="left" w:pos="157"/>
              </w:tabs>
              <w:spacing w:line="160" w:lineRule="exact"/>
              <w:ind w:right="104" w:hanging="99"/>
              <w:jc w:val="both"/>
              <w:rPr>
                <w:sz w:val="14"/>
              </w:rPr>
            </w:pPr>
            <w:r>
              <w:rPr>
                <w:color w:val="231F20"/>
                <w:sz w:val="14"/>
              </w:rPr>
              <w:t>изведе лаборатори</w:t>
            </w:r>
            <w:r>
              <w:rPr>
                <w:color w:val="231F20"/>
                <w:sz w:val="14"/>
              </w:rPr>
              <w:t xml:space="preserve">јску </w:t>
            </w:r>
            <w:r>
              <w:rPr>
                <w:color w:val="231F20"/>
                <w:spacing w:val="-4"/>
                <w:sz w:val="14"/>
              </w:rPr>
              <w:t xml:space="preserve">вежбу, </w:t>
            </w:r>
            <w:r>
              <w:rPr>
                <w:color w:val="231F20"/>
                <w:sz w:val="14"/>
              </w:rPr>
              <w:t>правил­ но и безбедно рукује наставним сред­ ствима, изврши потребне прорачуне</w:t>
            </w:r>
            <w:r>
              <w:rPr>
                <w:color w:val="231F20"/>
                <w:spacing w:val="-18"/>
                <w:sz w:val="14"/>
              </w:rPr>
              <w:t xml:space="preserve"> </w:t>
            </w:r>
            <w:r>
              <w:rPr>
                <w:color w:val="231F20"/>
                <w:sz w:val="14"/>
              </w:rPr>
              <w:t>и израчуна грешке при</w:t>
            </w:r>
            <w:r>
              <w:rPr>
                <w:color w:val="231F20"/>
                <w:spacing w:val="-5"/>
                <w:sz w:val="14"/>
              </w:rPr>
              <w:t xml:space="preserve"> </w:t>
            </w:r>
            <w:r>
              <w:rPr>
                <w:color w:val="231F20"/>
                <w:sz w:val="14"/>
              </w:rPr>
              <w:t>мерењу;</w:t>
            </w:r>
          </w:p>
        </w:tc>
        <w:tc>
          <w:tcPr>
            <w:tcW w:w="2834" w:type="dxa"/>
          </w:tcPr>
          <w:p w:rsidR="00041039" w:rsidRDefault="001B26CB">
            <w:pPr>
              <w:pStyle w:val="TableParagraph"/>
              <w:numPr>
                <w:ilvl w:val="0"/>
                <w:numId w:val="1707"/>
              </w:numPr>
              <w:tabs>
                <w:tab w:val="left" w:pos="157"/>
              </w:tabs>
              <w:spacing w:before="8"/>
              <w:ind w:right="229" w:hanging="99"/>
              <w:rPr>
                <w:sz w:val="14"/>
              </w:rPr>
            </w:pPr>
            <w:r>
              <w:rPr>
                <w:color w:val="231F20"/>
                <w:sz w:val="14"/>
              </w:rPr>
              <w:t>Структура језгра. Карактеристике</w:t>
            </w:r>
            <w:r>
              <w:rPr>
                <w:color w:val="231F20"/>
                <w:spacing w:val="-20"/>
                <w:sz w:val="14"/>
              </w:rPr>
              <w:t xml:space="preserve"> </w:t>
            </w:r>
            <w:r>
              <w:rPr>
                <w:color w:val="231F20"/>
                <w:sz w:val="14"/>
              </w:rPr>
              <w:t>језгра. Дефект масе и енергија везе. Нуклеарне силе. Модели</w:t>
            </w:r>
            <w:r>
              <w:rPr>
                <w:color w:val="231F20"/>
                <w:spacing w:val="-1"/>
                <w:sz w:val="14"/>
              </w:rPr>
              <w:t xml:space="preserve"> </w:t>
            </w:r>
            <w:r>
              <w:rPr>
                <w:color w:val="231F20"/>
                <w:sz w:val="14"/>
              </w:rPr>
              <w:t>језгра.</w:t>
            </w:r>
          </w:p>
          <w:p w:rsidR="00041039" w:rsidRDefault="001B26CB">
            <w:pPr>
              <w:pStyle w:val="TableParagraph"/>
              <w:numPr>
                <w:ilvl w:val="0"/>
                <w:numId w:val="1707"/>
              </w:numPr>
              <w:tabs>
                <w:tab w:val="left" w:pos="157"/>
              </w:tabs>
              <w:spacing w:line="157" w:lineRule="exact"/>
              <w:ind w:hanging="99"/>
              <w:rPr>
                <w:sz w:val="14"/>
              </w:rPr>
            </w:pPr>
            <w:r>
              <w:rPr>
                <w:color w:val="231F20"/>
                <w:sz w:val="14"/>
              </w:rPr>
              <w:t>Природна радиоактивност. Алфа, бета</w:t>
            </w:r>
            <w:r>
              <w:rPr>
                <w:color w:val="231F20"/>
                <w:spacing w:val="-9"/>
                <w:sz w:val="14"/>
              </w:rPr>
              <w:t xml:space="preserve"> </w:t>
            </w:r>
            <w:r>
              <w:rPr>
                <w:color w:val="231F20"/>
                <w:sz w:val="14"/>
              </w:rPr>
              <w:t>и</w:t>
            </w:r>
          </w:p>
          <w:p w:rsidR="00041039" w:rsidRDefault="001B26CB">
            <w:pPr>
              <w:pStyle w:val="TableParagraph"/>
              <w:spacing w:line="155" w:lineRule="exact"/>
              <w:rPr>
                <w:sz w:val="14"/>
              </w:rPr>
            </w:pPr>
            <w:r>
              <w:rPr>
                <w:color w:val="231F20"/>
                <w:sz w:val="14"/>
              </w:rPr>
              <w:t>гама распад.</w:t>
            </w:r>
          </w:p>
          <w:p w:rsidR="00041039" w:rsidRDefault="001B26CB">
            <w:pPr>
              <w:pStyle w:val="TableParagraph"/>
              <w:numPr>
                <w:ilvl w:val="0"/>
                <w:numId w:val="1707"/>
              </w:numPr>
              <w:tabs>
                <w:tab w:val="left" w:pos="157"/>
              </w:tabs>
              <w:spacing w:line="237" w:lineRule="auto"/>
              <w:ind w:right="200" w:hanging="99"/>
              <w:rPr>
                <w:sz w:val="14"/>
              </w:rPr>
            </w:pPr>
            <w:r>
              <w:rPr>
                <w:color w:val="231F20"/>
                <w:sz w:val="14"/>
              </w:rPr>
              <w:t>Закон радиоактивног распада.</w:t>
            </w:r>
            <w:r>
              <w:rPr>
                <w:color w:val="231F20"/>
                <w:spacing w:val="-14"/>
                <w:sz w:val="14"/>
              </w:rPr>
              <w:t xml:space="preserve"> </w:t>
            </w:r>
            <w:r>
              <w:rPr>
                <w:color w:val="231F20"/>
                <w:sz w:val="14"/>
              </w:rPr>
              <w:t>Активност радиоактивног</w:t>
            </w:r>
            <w:r>
              <w:rPr>
                <w:color w:val="231F20"/>
                <w:spacing w:val="-1"/>
                <w:sz w:val="14"/>
              </w:rPr>
              <w:t xml:space="preserve"> </w:t>
            </w:r>
            <w:r>
              <w:rPr>
                <w:color w:val="231F20"/>
                <w:sz w:val="14"/>
              </w:rPr>
              <w:t>извора.</w:t>
            </w:r>
          </w:p>
          <w:p w:rsidR="00041039" w:rsidRDefault="001B26CB">
            <w:pPr>
              <w:pStyle w:val="TableParagraph"/>
              <w:numPr>
                <w:ilvl w:val="0"/>
                <w:numId w:val="1707"/>
              </w:numPr>
              <w:tabs>
                <w:tab w:val="left" w:pos="157"/>
              </w:tabs>
              <w:spacing w:line="160" w:lineRule="exact"/>
              <w:ind w:right="417" w:hanging="99"/>
              <w:rPr>
                <w:sz w:val="14"/>
              </w:rPr>
            </w:pPr>
            <w:r>
              <w:rPr>
                <w:color w:val="231F20"/>
                <w:sz w:val="14"/>
              </w:rPr>
              <w:t>Радиоактивни низови и</w:t>
            </w:r>
            <w:r>
              <w:rPr>
                <w:color w:val="231F20"/>
                <w:spacing w:val="-20"/>
                <w:sz w:val="14"/>
              </w:rPr>
              <w:t xml:space="preserve"> </w:t>
            </w:r>
            <w:r>
              <w:rPr>
                <w:color w:val="231F20"/>
                <w:sz w:val="14"/>
              </w:rPr>
              <w:t>радиоактивна равнотежа</w:t>
            </w:r>
          </w:p>
          <w:p w:rsidR="00041039" w:rsidRDefault="001B26CB">
            <w:pPr>
              <w:pStyle w:val="TableParagraph"/>
              <w:numPr>
                <w:ilvl w:val="0"/>
                <w:numId w:val="1707"/>
              </w:numPr>
              <w:tabs>
                <w:tab w:val="left" w:pos="157"/>
              </w:tabs>
              <w:spacing w:line="160" w:lineRule="exact"/>
              <w:ind w:right="472" w:hanging="99"/>
              <w:jc w:val="both"/>
              <w:rPr>
                <w:sz w:val="14"/>
              </w:rPr>
            </w:pPr>
            <w:r>
              <w:rPr>
                <w:color w:val="231F20"/>
                <w:sz w:val="14"/>
              </w:rPr>
              <w:t>Интеракција радиоактивног зрачења са супстанцијом. Детекција</w:t>
            </w:r>
            <w:r>
              <w:rPr>
                <w:color w:val="231F20"/>
                <w:spacing w:val="-10"/>
                <w:sz w:val="14"/>
              </w:rPr>
              <w:t xml:space="preserve"> </w:t>
            </w:r>
            <w:r>
              <w:rPr>
                <w:color w:val="231F20"/>
                <w:sz w:val="14"/>
              </w:rPr>
              <w:t xml:space="preserve">зрачења. Дозиметрија и заштита </w:t>
            </w:r>
            <w:r>
              <w:rPr>
                <w:color w:val="231F20"/>
                <w:spacing w:val="-3"/>
                <w:sz w:val="14"/>
              </w:rPr>
              <w:t>од</w:t>
            </w:r>
            <w:r>
              <w:rPr>
                <w:color w:val="231F20"/>
                <w:spacing w:val="-9"/>
                <w:sz w:val="14"/>
              </w:rPr>
              <w:t xml:space="preserve"> </w:t>
            </w:r>
            <w:r>
              <w:rPr>
                <w:color w:val="231F20"/>
                <w:sz w:val="14"/>
              </w:rPr>
              <w:t>зрачења</w:t>
            </w:r>
          </w:p>
          <w:p w:rsidR="00041039" w:rsidRDefault="001B26CB">
            <w:pPr>
              <w:pStyle w:val="TableParagraph"/>
              <w:numPr>
                <w:ilvl w:val="0"/>
                <w:numId w:val="1707"/>
              </w:numPr>
              <w:tabs>
                <w:tab w:val="left" w:pos="157"/>
              </w:tabs>
              <w:spacing w:line="160" w:lineRule="exact"/>
              <w:ind w:right="109" w:hanging="99"/>
              <w:rPr>
                <w:sz w:val="14"/>
              </w:rPr>
            </w:pPr>
            <w:r>
              <w:rPr>
                <w:color w:val="231F20"/>
                <w:sz w:val="14"/>
              </w:rPr>
              <w:t>Вештачка радиоактивност. Општа</w:t>
            </w:r>
            <w:r>
              <w:rPr>
                <w:color w:val="231F20"/>
                <w:spacing w:val="-21"/>
                <w:sz w:val="14"/>
              </w:rPr>
              <w:t xml:space="preserve"> </w:t>
            </w:r>
            <w:r>
              <w:rPr>
                <w:color w:val="231F20"/>
                <w:sz w:val="14"/>
              </w:rPr>
              <w:t>својства нуклеарних реакција. Примери реакција (откриће протона и неутрона, интеракције неутрона са језгром, трансурански еле­ менти).</w:t>
            </w:r>
          </w:p>
          <w:p w:rsidR="00041039" w:rsidRDefault="001B26CB">
            <w:pPr>
              <w:pStyle w:val="TableParagraph"/>
              <w:numPr>
                <w:ilvl w:val="0"/>
                <w:numId w:val="1707"/>
              </w:numPr>
              <w:tabs>
                <w:tab w:val="left" w:pos="157"/>
              </w:tabs>
              <w:spacing w:line="153" w:lineRule="exact"/>
              <w:ind w:hanging="99"/>
              <w:rPr>
                <w:sz w:val="14"/>
              </w:rPr>
            </w:pPr>
            <w:r>
              <w:rPr>
                <w:color w:val="231F20"/>
                <w:sz w:val="14"/>
              </w:rPr>
              <w:t>Акцелератори</w:t>
            </w:r>
            <w:r>
              <w:rPr>
                <w:color w:val="231F20"/>
                <w:spacing w:val="-10"/>
                <w:sz w:val="14"/>
              </w:rPr>
              <w:t xml:space="preserve"> </w:t>
            </w:r>
            <w:r>
              <w:rPr>
                <w:color w:val="231F20"/>
                <w:sz w:val="14"/>
              </w:rPr>
              <w:t>честица.</w:t>
            </w:r>
          </w:p>
          <w:p w:rsidR="00041039" w:rsidRDefault="001B26CB">
            <w:pPr>
              <w:pStyle w:val="TableParagraph"/>
              <w:numPr>
                <w:ilvl w:val="0"/>
                <w:numId w:val="1707"/>
              </w:numPr>
              <w:tabs>
                <w:tab w:val="left" w:pos="157"/>
              </w:tabs>
              <w:spacing w:line="237" w:lineRule="auto"/>
              <w:ind w:right="118" w:hanging="99"/>
              <w:rPr>
                <w:sz w:val="14"/>
              </w:rPr>
            </w:pPr>
            <w:r>
              <w:rPr>
                <w:color w:val="231F20"/>
                <w:sz w:val="14"/>
              </w:rPr>
              <w:t>Нуклеарна енергетика. Фисија. Нуклеарни реактори.</w:t>
            </w:r>
          </w:p>
          <w:p w:rsidR="00041039" w:rsidRDefault="001B26CB">
            <w:pPr>
              <w:pStyle w:val="TableParagraph"/>
              <w:numPr>
                <w:ilvl w:val="0"/>
                <w:numId w:val="1707"/>
              </w:numPr>
              <w:tabs>
                <w:tab w:val="left" w:pos="157"/>
              </w:tabs>
              <w:spacing w:line="160" w:lineRule="exact"/>
              <w:ind w:right="80" w:hanging="99"/>
              <w:rPr>
                <w:sz w:val="14"/>
              </w:rPr>
            </w:pPr>
            <w:r>
              <w:rPr>
                <w:color w:val="231F20"/>
                <w:sz w:val="14"/>
              </w:rPr>
              <w:t>Реакције фузије на звездама.</w:t>
            </w:r>
            <w:r>
              <w:rPr>
                <w:color w:val="231F20"/>
                <w:spacing w:val="-18"/>
                <w:sz w:val="14"/>
              </w:rPr>
              <w:t xml:space="preserve"> </w:t>
            </w:r>
            <w:r>
              <w:rPr>
                <w:color w:val="231F20"/>
                <w:sz w:val="14"/>
              </w:rPr>
              <w:t>Конфинирање плазме.</w:t>
            </w:r>
          </w:p>
          <w:p w:rsidR="00041039" w:rsidRDefault="001B26CB">
            <w:pPr>
              <w:pStyle w:val="TableParagraph"/>
              <w:numPr>
                <w:ilvl w:val="0"/>
                <w:numId w:val="1707"/>
              </w:numPr>
              <w:tabs>
                <w:tab w:val="left" w:pos="157"/>
              </w:tabs>
              <w:spacing w:line="158" w:lineRule="exact"/>
              <w:ind w:hanging="99"/>
              <w:rPr>
                <w:sz w:val="14"/>
              </w:rPr>
            </w:pPr>
            <w:r>
              <w:rPr>
                <w:color w:val="231F20"/>
                <w:sz w:val="14"/>
              </w:rPr>
              <w:t>Нуклеарне и термонуклеарне</w:t>
            </w:r>
            <w:r>
              <w:rPr>
                <w:color w:val="231F20"/>
                <w:spacing w:val="-3"/>
                <w:sz w:val="14"/>
              </w:rPr>
              <w:t xml:space="preserve"> </w:t>
            </w:r>
            <w:r>
              <w:rPr>
                <w:color w:val="231F20"/>
                <w:sz w:val="14"/>
              </w:rPr>
              <w:t>бомбе.</w:t>
            </w:r>
          </w:p>
          <w:p w:rsidR="00041039" w:rsidRDefault="001B26CB">
            <w:pPr>
              <w:pStyle w:val="TableParagraph"/>
              <w:spacing w:line="155" w:lineRule="exact"/>
              <w:ind w:left="57"/>
              <w:rPr>
                <w:b/>
                <w:sz w:val="14"/>
              </w:rPr>
            </w:pPr>
            <w:r>
              <w:rPr>
                <w:b/>
                <w:color w:val="231F20"/>
                <w:sz w:val="14"/>
              </w:rPr>
              <w:t>Демонстрациони оглед:</w:t>
            </w:r>
          </w:p>
          <w:p w:rsidR="00041039" w:rsidRDefault="001B26CB">
            <w:pPr>
              <w:pStyle w:val="TableParagraph"/>
              <w:numPr>
                <w:ilvl w:val="0"/>
                <w:numId w:val="1707"/>
              </w:numPr>
              <w:tabs>
                <w:tab w:val="left" w:pos="157"/>
              </w:tabs>
              <w:spacing w:line="165" w:lineRule="exact"/>
              <w:ind w:hanging="99"/>
              <w:rPr>
                <w:sz w:val="14"/>
              </w:rPr>
            </w:pPr>
            <w:r>
              <w:rPr>
                <w:color w:val="231F20"/>
                <w:sz w:val="14"/>
              </w:rPr>
              <w:t>Детекција радиоактивног</w:t>
            </w:r>
            <w:r>
              <w:rPr>
                <w:color w:val="231F20"/>
                <w:spacing w:val="-2"/>
                <w:sz w:val="14"/>
              </w:rPr>
              <w:t xml:space="preserve"> </w:t>
            </w:r>
            <w:r>
              <w:rPr>
                <w:color w:val="231F20"/>
                <w:sz w:val="14"/>
              </w:rPr>
              <w:t>зрачења.</w:t>
            </w:r>
          </w:p>
          <w:p w:rsidR="00041039" w:rsidRDefault="001B26CB">
            <w:pPr>
              <w:pStyle w:val="TableParagraph"/>
              <w:spacing w:line="155" w:lineRule="exact"/>
              <w:ind w:left="57"/>
              <w:rPr>
                <w:b/>
                <w:sz w:val="14"/>
              </w:rPr>
            </w:pPr>
            <w:r>
              <w:rPr>
                <w:b/>
                <w:color w:val="231F20"/>
                <w:sz w:val="14"/>
              </w:rPr>
              <w:t>Лабораторијске вежбе:</w:t>
            </w:r>
          </w:p>
          <w:p w:rsidR="00041039" w:rsidRDefault="001B26CB">
            <w:pPr>
              <w:pStyle w:val="TableParagraph"/>
              <w:numPr>
                <w:ilvl w:val="0"/>
                <w:numId w:val="1707"/>
              </w:numPr>
              <w:tabs>
                <w:tab w:val="left" w:pos="157"/>
              </w:tabs>
              <w:spacing w:line="160" w:lineRule="exact"/>
              <w:ind w:hanging="99"/>
              <w:rPr>
                <w:sz w:val="14"/>
              </w:rPr>
            </w:pPr>
            <w:r>
              <w:rPr>
                <w:color w:val="231F20"/>
                <w:sz w:val="14"/>
              </w:rPr>
              <w:t>Мерење</w:t>
            </w:r>
            <w:r>
              <w:rPr>
                <w:color w:val="231F20"/>
                <w:spacing w:val="-1"/>
                <w:sz w:val="14"/>
              </w:rPr>
              <w:t xml:space="preserve"> </w:t>
            </w:r>
            <w:r>
              <w:rPr>
                <w:color w:val="231F20"/>
                <w:sz w:val="14"/>
              </w:rPr>
              <w:t>активности.</w:t>
            </w:r>
          </w:p>
          <w:p w:rsidR="00041039" w:rsidRDefault="001B26CB">
            <w:pPr>
              <w:pStyle w:val="TableParagraph"/>
              <w:numPr>
                <w:ilvl w:val="0"/>
                <w:numId w:val="1707"/>
              </w:numPr>
              <w:tabs>
                <w:tab w:val="left" w:pos="157"/>
              </w:tabs>
              <w:spacing w:line="160" w:lineRule="exact"/>
              <w:ind w:hanging="99"/>
              <w:rPr>
                <w:sz w:val="14"/>
              </w:rPr>
            </w:pPr>
            <w:r>
              <w:rPr>
                <w:color w:val="231F20"/>
                <w:sz w:val="14"/>
              </w:rPr>
              <w:t>Детекција радиоактивног</w:t>
            </w:r>
            <w:r>
              <w:rPr>
                <w:color w:val="231F20"/>
                <w:spacing w:val="-2"/>
                <w:sz w:val="14"/>
              </w:rPr>
              <w:t xml:space="preserve"> </w:t>
            </w:r>
            <w:r>
              <w:rPr>
                <w:color w:val="231F20"/>
                <w:sz w:val="14"/>
              </w:rPr>
              <w:t>зрачења.</w:t>
            </w:r>
          </w:p>
          <w:p w:rsidR="00041039" w:rsidRDefault="001B26CB">
            <w:pPr>
              <w:pStyle w:val="TableParagraph"/>
              <w:numPr>
                <w:ilvl w:val="0"/>
                <w:numId w:val="1707"/>
              </w:numPr>
              <w:tabs>
                <w:tab w:val="left" w:pos="157"/>
              </w:tabs>
              <w:spacing w:line="237" w:lineRule="auto"/>
              <w:ind w:right="390" w:hanging="99"/>
              <w:rPr>
                <w:sz w:val="14"/>
              </w:rPr>
            </w:pPr>
            <w:r>
              <w:rPr>
                <w:color w:val="231F20"/>
                <w:sz w:val="14"/>
              </w:rPr>
              <w:t>Опадање интензитета гама зрачења</w:t>
            </w:r>
            <w:r>
              <w:rPr>
                <w:color w:val="231F20"/>
                <w:spacing w:val="-21"/>
                <w:sz w:val="14"/>
              </w:rPr>
              <w:t xml:space="preserve"> </w:t>
            </w:r>
            <w:r>
              <w:rPr>
                <w:color w:val="231F20"/>
                <w:sz w:val="14"/>
              </w:rPr>
              <w:t xml:space="preserve">са повећавањем удаљености </w:t>
            </w:r>
            <w:r>
              <w:rPr>
                <w:color w:val="231F20"/>
                <w:spacing w:val="-3"/>
                <w:sz w:val="14"/>
              </w:rPr>
              <w:t>од</w:t>
            </w:r>
            <w:r>
              <w:rPr>
                <w:color w:val="231F20"/>
                <w:spacing w:val="-7"/>
                <w:sz w:val="14"/>
              </w:rPr>
              <w:t xml:space="preserve"> </w:t>
            </w:r>
            <w:r>
              <w:rPr>
                <w:color w:val="231F20"/>
                <w:sz w:val="14"/>
              </w:rPr>
              <w:t>извора.</w:t>
            </w:r>
          </w:p>
        </w:tc>
        <w:tc>
          <w:tcPr>
            <w:tcW w:w="2267" w:type="dxa"/>
            <w:vMerge w:val="restart"/>
          </w:tcPr>
          <w:p w:rsidR="00041039" w:rsidRDefault="00041039">
            <w:pPr>
              <w:pStyle w:val="TableParagraph"/>
              <w:ind w:left="0"/>
              <w:rPr>
                <w:sz w:val="14"/>
              </w:rPr>
            </w:pPr>
          </w:p>
        </w:tc>
      </w:tr>
      <w:tr w:rsidR="00041039">
        <w:trPr>
          <w:trHeight w:val="680"/>
        </w:trPr>
        <w:tc>
          <w:tcPr>
            <w:tcW w:w="1304" w:type="dxa"/>
          </w:tcPr>
          <w:p w:rsidR="00041039" w:rsidRDefault="001B26CB">
            <w:pPr>
              <w:pStyle w:val="TableParagraph"/>
              <w:spacing w:before="19"/>
              <w:ind w:left="56" w:right="77"/>
              <w:rPr>
                <w:sz w:val="14"/>
              </w:rPr>
            </w:pPr>
            <w:r>
              <w:rPr>
                <w:color w:val="231F20"/>
                <w:sz w:val="14"/>
              </w:rPr>
              <w:t>Физика елементар­ них честица</w:t>
            </w:r>
          </w:p>
        </w:tc>
        <w:tc>
          <w:tcPr>
            <w:tcW w:w="1587" w:type="dxa"/>
          </w:tcPr>
          <w:p w:rsidR="00041039" w:rsidRDefault="001B26CB">
            <w:pPr>
              <w:pStyle w:val="TableParagraph"/>
              <w:numPr>
                <w:ilvl w:val="0"/>
                <w:numId w:val="1706"/>
              </w:numPr>
              <w:tabs>
                <w:tab w:val="left" w:pos="157"/>
              </w:tabs>
              <w:spacing w:before="9"/>
              <w:ind w:right="169"/>
              <w:rPr>
                <w:sz w:val="14"/>
              </w:rPr>
            </w:pPr>
            <w:r>
              <w:rPr>
                <w:color w:val="231F20"/>
                <w:sz w:val="14"/>
              </w:rPr>
              <w:t>Проширивање</w:t>
            </w:r>
            <w:r>
              <w:rPr>
                <w:color w:val="231F20"/>
                <w:spacing w:val="-10"/>
                <w:sz w:val="14"/>
              </w:rPr>
              <w:t xml:space="preserve"> </w:t>
            </w:r>
            <w:r>
              <w:rPr>
                <w:color w:val="231F20"/>
                <w:sz w:val="14"/>
              </w:rPr>
              <w:t>знања о елементарним честицама.</w:t>
            </w:r>
          </w:p>
        </w:tc>
        <w:tc>
          <w:tcPr>
            <w:tcW w:w="2551" w:type="dxa"/>
          </w:tcPr>
          <w:p w:rsidR="00041039" w:rsidRDefault="001B26CB">
            <w:pPr>
              <w:pStyle w:val="TableParagraph"/>
              <w:numPr>
                <w:ilvl w:val="0"/>
                <w:numId w:val="1705"/>
              </w:numPr>
              <w:tabs>
                <w:tab w:val="left" w:pos="157"/>
              </w:tabs>
              <w:spacing w:before="9"/>
              <w:ind w:right="44" w:hanging="99"/>
              <w:jc w:val="both"/>
              <w:rPr>
                <w:sz w:val="14"/>
              </w:rPr>
            </w:pPr>
            <w:r>
              <w:rPr>
                <w:color w:val="231F20"/>
                <w:sz w:val="14"/>
              </w:rPr>
              <w:t>Изврши класификацију елементарних честица и наведе основне карактерис­ тике</w:t>
            </w:r>
            <w:r>
              <w:rPr>
                <w:color w:val="231F20"/>
                <w:spacing w:val="-6"/>
                <w:sz w:val="14"/>
              </w:rPr>
              <w:t xml:space="preserve"> </w:t>
            </w:r>
            <w:r>
              <w:rPr>
                <w:color w:val="231F20"/>
                <w:sz w:val="14"/>
              </w:rPr>
              <w:t>и</w:t>
            </w:r>
            <w:r>
              <w:rPr>
                <w:color w:val="231F20"/>
                <w:spacing w:val="-6"/>
                <w:sz w:val="14"/>
              </w:rPr>
              <w:t xml:space="preserve"> </w:t>
            </w:r>
            <w:r>
              <w:rPr>
                <w:color w:val="231F20"/>
                <w:sz w:val="14"/>
              </w:rPr>
              <w:t>значај</w:t>
            </w:r>
            <w:r>
              <w:rPr>
                <w:color w:val="231F20"/>
                <w:spacing w:val="-6"/>
                <w:sz w:val="14"/>
              </w:rPr>
              <w:t xml:space="preserve"> </w:t>
            </w:r>
            <w:r>
              <w:rPr>
                <w:color w:val="231F20"/>
                <w:sz w:val="14"/>
              </w:rPr>
              <w:t>експеримената</w:t>
            </w:r>
            <w:r>
              <w:rPr>
                <w:color w:val="231F20"/>
                <w:spacing w:val="-6"/>
                <w:sz w:val="14"/>
              </w:rPr>
              <w:t xml:space="preserve"> </w:t>
            </w:r>
            <w:r>
              <w:rPr>
                <w:color w:val="231F20"/>
                <w:sz w:val="14"/>
              </w:rPr>
              <w:t>у</w:t>
            </w:r>
            <w:r>
              <w:rPr>
                <w:color w:val="231F20"/>
                <w:spacing w:val="-6"/>
                <w:sz w:val="14"/>
              </w:rPr>
              <w:t xml:space="preserve"> </w:t>
            </w:r>
            <w:r>
              <w:rPr>
                <w:color w:val="231F20"/>
                <w:sz w:val="14"/>
              </w:rPr>
              <w:t>ЦЕРН­у;</w:t>
            </w:r>
          </w:p>
        </w:tc>
        <w:tc>
          <w:tcPr>
            <w:tcW w:w="2834" w:type="dxa"/>
          </w:tcPr>
          <w:p w:rsidR="00041039" w:rsidRDefault="001B26CB">
            <w:pPr>
              <w:pStyle w:val="TableParagraph"/>
              <w:numPr>
                <w:ilvl w:val="0"/>
                <w:numId w:val="1704"/>
              </w:numPr>
              <w:tabs>
                <w:tab w:val="left" w:pos="157"/>
              </w:tabs>
              <w:spacing w:before="9"/>
              <w:ind w:right="346" w:hanging="99"/>
              <w:rPr>
                <w:sz w:val="14"/>
              </w:rPr>
            </w:pPr>
            <w:r>
              <w:rPr>
                <w:color w:val="231F20"/>
                <w:sz w:val="14"/>
              </w:rPr>
              <w:t>Класификација елементарних честица. Основне интеракције између честица. Честице и анти честице.</w:t>
            </w:r>
            <w:r>
              <w:rPr>
                <w:color w:val="231F20"/>
                <w:spacing w:val="-3"/>
                <w:sz w:val="14"/>
              </w:rPr>
              <w:t xml:space="preserve"> </w:t>
            </w:r>
            <w:r>
              <w:rPr>
                <w:color w:val="231F20"/>
                <w:sz w:val="14"/>
              </w:rPr>
              <w:t>Кваркови.</w:t>
            </w:r>
          </w:p>
          <w:p w:rsidR="00041039" w:rsidRDefault="001B26CB">
            <w:pPr>
              <w:pStyle w:val="TableParagraph"/>
              <w:numPr>
                <w:ilvl w:val="0"/>
                <w:numId w:val="1704"/>
              </w:numPr>
              <w:tabs>
                <w:tab w:val="left" w:pos="157"/>
              </w:tabs>
              <w:spacing w:line="158" w:lineRule="exact"/>
              <w:ind w:hanging="99"/>
              <w:rPr>
                <w:sz w:val="14"/>
              </w:rPr>
            </w:pPr>
            <w:r>
              <w:rPr>
                <w:color w:val="231F20"/>
                <w:sz w:val="14"/>
              </w:rPr>
              <w:t>Космичко</w:t>
            </w:r>
            <w:r>
              <w:rPr>
                <w:color w:val="231F20"/>
                <w:spacing w:val="-1"/>
                <w:sz w:val="14"/>
              </w:rPr>
              <w:t xml:space="preserve"> </w:t>
            </w:r>
            <w:r>
              <w:rPr>
                <w:color w:val="231F20"/>
                <w:sz w:val="14"/>
              </w:rPr>
              <w:t>зрачење.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Математика</w:t>
      </w:r>
    </w:p>
    <w:p w:rsidR="00041039" w:rsidRDefault="001B26CB">
      <w:pPr>
        <w:pStyle w:val="ListParagraph"/>
        <w:numPr>
          <w:ilvl w:val="0"/>
          <w:numId w:val="3"/>
        </w:numPr>
        <w:tabs>
          <w:tab w:val="left" w:pos="633"/>
        </w:tabs>
        <w:rPr>
          <w:sz w:val="18"/>
        </w:rPr>
      </w:pPr>
      <w:r>
        <w:rPr>
          <w:color w:val="231F20"/>
          <w:sz w:val="18"/>
        </w:rPr>
        <w:t>Аеродинамика</w:t>
      </w:r>
    </w:p>
    <w:p w:rsidR="00041039" w:rsidRDefault="001B26CB">
      <w:pPr>
        <w:pStyle w:val="ListParagraph"/>
        <w:numPr>
          <w:ilvl w:val="0"/>
          <w:numId w:val="3"/>
        </w:numPr>
        <w:tabs>
          <w:tab w:val="left" w:pos="633"/>
        </w:tabs>
        <w:spacing w:line="203" w:lineRule="exact"/>
        <w:rPr>
          <w:sz w:val="18"/>
        </w:rPr>
      </w:pPr>
      <w:r>
        <w:rPr>
          <w:color w:val="231F20"/>
          <w:sz w:val="18"/>
        </w:rPr>
        <w:t>Механика</w:t>
      </w:r>
      <w:r>
        <w:rPr>
          <w:color w:val="231F20"/>
          <w:spacing w:val="-12"/>
          <w:sz w:val="18"/>
        </w:rPr>
        <w:t xml:space="preserve"> </w:t>
      </w:r>
      <w:r>
        <w:rPr>
          <w:color w:val="231F20"/>
          <w:sz w:val="18"/>
        </w:rPr>
        <w:t>лета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БИОЛОГИЈА </w:t>
      </w:r>
      <w:r>
        <w:rPr>
          <w:b/>
          <w:color w:val="231F20"/>
          <w:spacing w:val="-3"/>
          <w:sz w:val="14"/>
        </w:rPr>
        <w:t>(ОДАБРАНЕ</w:t>
      </w:r>
      <w:r>
        <w:rPr>
          <w:b/>
          <w:color w:val="231F20"/>
          <w:spacing w:val="-1"/>
          <w:sz w:val="14"/>
        </w:rPr>
        <w:t xml:space="preserve"> </w:t>
      </w:r>
      <w:r>
        <w:rPr>
          <w:b/>
          <w:color w:val="231F20"/>
          <w:sz w:val="14"/>
        </w:rPr>
        <w:t>ТЕМЕ)</w:t>
      </w:r>
    </w:p>
    <w:p w:rsidR="00041039" w:rsidRDefault="001B26CB">
      <w:pPr>
        <w:pStyle w:val="BodyText"/>
        <w:spacing w:before="49" w:line="161" w:lineRule="exact"/>
        <w:ind w:left="157"/>
      </w:pPr>
      <w:r>
        <w:rPr>
          <w:color w:val="231F20"/>
        </w:rPr>
        <w:t>Циљеви предмета: – Проширивање знања о нивоима организације биолошких система, грађи и функцији ћелије, току и значају ћелијских деоба;</w:t>
      </w:r>
    </w:p>
    <w:p w:rsidR="00041039" w:rsidRDefault="001B26CB">
      <w:pPr>
        <w:pStyle w:val="ListParagraph"/>
        <w:numPr>
          <w:ilvl w:val="1"/>
          <w:numId w:val="3"/>
        </w:numPr>
        <w:tabs>
          <w:tab w:val="left" w:pos="1566"/>
        </w:tabs>
        <w:spacing w:line="160" w:lineRule="exact"/>
        <w:rPr>
          <w:sz w:val="14"/>
        </w:rPr>
      </w:pPr>
      <w:r>
        <w:rPr>
          <w:color w:val="231F20"/>
          <w:sz w:val="14"/>
        </w:rPr>
        <w:t xml:space="preserve">Разумевање физиолошких процеса у </w:t>
      </w:r>
      <w:r>
        <w:rPr>
          <w:color w:val="231F20"/>
          <w:spacing w:val="-3"/>
          <w:sz w:val="14"/>
        </w:rPr>
        <w:t>људском</w:t>
      </w:r>
      <w:r>
        <w:rPr>
          <w:color w:val="231F20"/>
          <w:spacing w:val="-2"/>
          <w:sz w:val="14"/>
        </w:rPr>
        <w:t xml:space="preserve"> </w:t>
      </w:r>
      <w:r>
        <w:rPr>
          <w:color w:val="231F20"/>
          <w:sz w:val="14"/>
        </w:rPr>
        <w:t>организму;</w:t>
      </w:r>
    </w:p>
    <w:p w:rsidR="00041039" w:rsidRDefault="001B26CB">
      <w:pPr>
        <w:pStyle w:val="ListParagraph"/>
        <w:numPr>
          <w:ilvl w:val="1"/>
          <w:numId w:val="3"/>
        </w:numPr>
        <w:tabs>
          <w:tab w:val="left" w:pos="1566"/>
        </w:tabs>
        <w:spacing w:line="160" w:lineRule="exact"/>
        <w:rPr>
          <w:sz w:val="14"/>
        </w:rPr>
      </w:pPr>
      <w:r>
        <w:rPr>
          <w:color w:val="231F20"/>
          <w:sz w:val="14"/>
        </w:rPr>
        <w:t>Упознавање са основним фазама развића</w:t>
      </w:r>
      <w:r>
        <w:rPr>
          <w:color w:val="231F20"/>
          <w:spacing w:val="-1"/>
          <w:sz w:val="14"/>
        </w:rPr>
        <w:t xml:space="preserve"> </w:t>
      </w:r>
      <w:r>
        <w:rPr>
          <w:color w:val="231F20"/>
          <w:sz w:val="14"/>
        </w:rPr>
        <w:t>човека;</w:t>
      </w:r>
    </w:p>
    <w:p w:rsidR="00041039" w:rsidRDefault="001B26CB">
      <w:pPr>
        <w:pStyle w:val="ListParagraph"/>
        <w:numPr>
          <w:ilvl w:val="1"/>
          <w:numId w:val="3"/>
        </w:numPr>
        <w:tabs>
          <w:tab w:val="left" w:pos="1566"/>
        </w:tabs>
        <w:spacing w:line="160" w:lineRule="exact"/>
        <w:rPr>
          <w:sz w:val="14"/>
        </w:rPr>
      </w:pPr>
      <w:r>
        <w:rPr>
          <w:color w:val="231F20"/>
          <w:sz w:val="14"/>
        </w:rPr>
        <w:t>Разумевање основних принципа наслеђивања</w:t>
      </w:r>
      <w:r>
        <w:rPr>
          <w:color w:val="231F20"/>
          <w:spacing w:val="-2"/>
          <w:sz w:val="14"/>
        </w:rPr>
        <w:t xml:space="preserve"> </w:t>
      </w:r>
      <w:r>
        <w:rPr>
          <w:color w:val="231F20"/>
          <w:sz w:val="14"/>
        </w:rPr>
        <w:t>особина;</w:t>
      </w:r>
    </w:p>
    <w:p w:rsidR="00041039" w:rsidRDefault="001B26CB">
      <w:pPr>
        <w:pStyle w:val="ListParagraph"/>
        <w:numPr>
          <w:ilvl w:val="1"/>
          <w:numId w:val="3"/>
        </w:numPr>
        <w:tabs>
          <w:tab w:val="left" w:pos="1566"/>
        </w:tabs>
        <w:spacing w:line="161" w:lineRule="exact"/>
        <w:rPr>
          <w:sz w:val="14"/>
        </w:rPr>
      </w:pPr>
      <w:r>
        <w:rPr>
          <w:color w:val="231F20"/>
          <w:sz w:val="14"/>
        </w:rPr>
        <w:t xml:space="preserve">Разумевање проблема везаних за период одрастања и облике ризичног понашања и схватање </w:t>
      </w:r>
      <w:r>
        <w:rPr>
          <w:color w:val="231F20"/>
          <w:spacing w:val="-3"/>
          <w:sz w:val="14"/>
        </w:rPr>
        <w:t xml:space="preserve">улоге </w:t>
      </w:r>
      <w:r>
        <w:rPr>
          <w:color w:val="231F20"/>
          <w:sz w:val="14"/>
        </w:rPr>
        <w:t>и значаја</w:t>
      </w:r>
      <w:r>
        <w:rPr>
          <w:color w:val="231F20"/>
          <w:spacing w:val="-17"/>
          <w:sz w:val="14"/>
        </w:rPr>
        <w:t xml:space="preserve"> </w:t>
      </w:r>
      <w:r>
        <w:rPr>
          <w:color w:val="231F20"/>
          <w:sz w:val="14"/>
        </w:rPr>
        <w:t>породице.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4680"/>
        </w:trPr>
        <w:tc>
          <w:tcPr>
            <w:tcW w:w="1304" w:type="dxa"/>
          </w:tcPr>
          <w:p w:rsidR="00041039" w:rsidRDefault="001B26CB">
            <w:pPr>
              <w:pStyle w:val="TableParagraph"/>
              <w:spacing w:before="18"/>
              <w:ind w:left="56"/>
              <w:rPr>
                <w:sz w:val="14"/>
              </w:rPr>
            </w:pPr>
            <w:r>
              <w:rPr>
                <w:color w:val="231F20"/>
                <w:sz w:val="14"/>
              </w:rPr>
              <w:t>Биологија ћелије</w:t>
            </w:r>
          </w:p>
        </w:tc>
        <w:tc>
          <w:tcPr>
            <w:tcW w:w="1587" w:type="dxa"/>
          </w:tcPr>
          <w:p w:rsidR="00041039" w:rsidRDefault="001B26CB">
            <w:pPr>
              <w:pStyle w:val="TableParagraph"/>
              <w:numPr>
                <w:ilvl w:val="0"/>
                <w:numId w:val="1703"/>
              </w:numPr>
              <w:tabs>
                <w:tab w:val="left" w:pos="157"/>
              </w:tabs>
              <w:spacing w:before="8"/>
              <w:ind w:right="92"/>
              <w:rPr>
                <w:sz w:val="14"/>
              </w:rPr>
            </w:pPr>
            <w:r>
              <w:rPr>
                <w:color w:val="231F20"/>
                <w:sz w:val="14"/>
              </w:rPr>
              <w:t>Упознавање са предметом и значајем цитологије као</w:t>
            </w:r>
            <w:r>
              <w:rPr>
                <w:color w:val="231F20"/>
                <w:spacing w:val="-21"/>
                <w:sz w:val="14"/>
              </w:rPr>
              <w:t xml:space="preserve"> </w:t>
            </w:r>
            <w:r>
              <w:rPr>
                <w:color w:val="231F20"/>
                <w:sz w:val="14"/>
              </w:rPr>
              <w:t>научне дисциплине.</w:t>
            </w:r>
          </w:p>
          <w:p w:rsidR="00041039" w:rsidRDefault="001B26CB">
            <w:pPr>
              <w:pStyle w:val="TableParagraph"/>
              <w:numPr>
                <w:ilvl w:val="0"/>
                <w:numId w:val="1703"/>
              </w:numPr>
              <w:tabs>
                <w:tab w:val="left" w:pos="157"/>
              </w:tabs>
              <w:spacing w:line="156"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33"/>
              <w:rPr>
                <w:sz w:val="14"/>
              </w:rPr>
            </w:pPr>
            <w:r>
              <w:rPr>
                <w:color w:val="231F20"/>
                <w:sz w:val="14"/>
              </w:rPr>
              <w:t>особинама живих бића и нивоима органи­ зације биолошких система.</w:t>
            </w:r>
          </w:p>
          <w:p w:rsidR="00041039" w:rsidRDefault="001B26CB">
            <w:pPr>
              <w:pStyle w:val="TableParagraph"/>
              <w:numPr>
                <w:ilvl w:val="0"/>
                <w:numId w:val="1703"/>
              </w:numPr>
              <w:tabs>
                <w:tab w:val="left" w:pos="157"/>
              </w:tabs>
              <w:spacing w:line="157" w:lineRule="exact"/>
              <w:rPr>
                <w:sz w:val="14"/>
              </w:rPr>
            </w:pPr>
            <w:r>
              <w:rPr>
                <w:color w:val="231F20"/>
                <w:sz w:val="14"/>
              </w:rPr>
              <w:t>Упознавање</w:t>
            </w:r>
            <w:r>
              <w:rPr>
                <w:color w:val="231F20"/>
                <w:spacing w:val="-2"/>
                <w:sz w:val="14"/>
              </w:rPr>
              <w:t xml:space="preserve"> </w:t>
            </w:r>
            <w:r>
              <w:rPr>
                <w:color w:val="231F20"/>
                <w:sz w:val="14"/>
              </w:rPr>
              <w:t>са</w:t>
            </w:r>
          </w:p>
          <w:p w:rsidR="00041039" w:rsidRDefault="001B26CB">
            <w:pPr>
              <w:pStyle w:val="TableParagraph"/>
              <w:ind w:right="15"/>
              <w:rPr>
                <w:sz w:val="14"/>
              </w:rPr>
            </w:pPr>
            <w:r>
              <w:rPr>
                <w:color w:val="231F20"/>
                <w:sz w:val="14"/>
              </w:rPr>
              <w:t>хемијским саставом ћелије, грађом и функцијом.</w:t>
            </w:r>
          </w:p>
          <w:p w:rsidR="00041039" w:rsidRDefault="001B26CB">
            <w:pPr>
              <w:pStyle w:val="TableParagraph"/>
              <w:numPr>
                <w:ilvl w:val="0"/>
                <w:numId w:val="1703"/>
              </w:numPr>
              <w:tabs>
                <w:tab w:val="left" w:pos="157"/>
              </w:tabs>
              <w:spacing w:line="158" w:lineRule="exact"/>
              <w:rPr>
                <w:sz w:val="14"/>
              </w:rPr>
            </w:pPr>
            <w:r>
              <w:rPr>
                <w:color w:val="231F20"/>
                <w:sz w:val="14"/>
              </w:rPr>
              <w:t>Схватање значаја</w:t>
            </w:r>
            <w:r>
              <w:rPr>
                <w:color w:val="231F20"/>
                <w:spacing w:val="-6"/>
                <w:sz w:val="14"/>
              </w:rPr>
              <w:t xml:space="preserve"> </w:t>
            </w:r>
            <w:r>
              <w:rPr>
                <w:color w:val="231F20"/>
                <w:sz w:val="14"/>
              </w:rPr>
              <w:t>(фо­</w:t>
            </w:r>
          </w:p>
          <w:p w:rsidR="00041039" w:rsidRDefault="001B26CB">
            <w:pPr>
              <w:pStyle w:val="TableParagraph"/>
              <w:ind w:right="15"/>
              <w:rPr>
                <w:sz w:val="14"/>
              </w:rPr>
            </w:pPr>
            <w:r>
              <w:rPr>
                <w:color w:val="231F20"/>
                <w:sz w:val="14"/>
              </w:rPr>
              <w:t>тосинтезе и ћелијског дисања).</w:t>
            </w:r>
          </w:p>
          <w:p w:rsidR="00041039" w:rsidRDefault="001B26CB">
            <w:pPr>
              <w:pStyle w:val="TableParagraph"/>
              <w:numPr>
                <w:ilvl w:val="0"/>
                <w:numId w:val="1703"/>
              </w:numPr>
              <w:tabs>
                <w:tab w:val="left" w:pos="157"/>
              </w:tabs>
              <w:spacing w:line="160" w:lineRule="exact"/>
              <w:ind w:right="201"/>
              <w:rPr>
                <w:sz w:val="14"/>
              </w:rPr>
            </w:pPr>
            <w:r>
              <w:rPr>
                <w:color w:val="231F20"/>
                <w:sz w:val="14"/>
              </w:rPr>
              <w:t>Разумевање</w:t>
            </w:r>
            <w:r>
              <w:rPr>
                <w:color w:val="231F20"/>
                <w:spacing w:val="-7"/>
                <w:sz w:val="14"/>
              </w:rPr>
              <w:t xml:space="preserve"> </w:t>
            </w:r>
            <w:r>
              <w:rPr>
                <w:color w:val="231F20"/>
                <w:sz w:val="14"/>
              </w:rPr>
              <w:t xml:space="preserve">процеса који се одигравају </w:t>
            </w:r>
            <w:r>
              <w:rPr>
                <w:color w:val="231F20"/>
                <w:spacing w:val="-3"/>
                <w:sz w:val="14"/>
              </w:rPr>
              <w:t xml:space="preserve">током </w:t>
            </w:r>
            <w:r>
              <w:rPr>
                <w:color w:val="231F20"/>
                <w:sz w:val="14"/>
              </w:rPr>
              <w:t>ћелијског циклуса.</w:t>
            </w:r>
          </w:p>
          <w:p w:rsidR="00041039" w:rsidRDefault="001B26CB">
            <w:pPr>
              <w:pStyle w:val="TableParagraph"/>
              <w:numPr>
                <w:ilvl w:val="0"/>
                <w:numId w:val="1703"/>
              </w:numPr>
              <w:tabs>
                <w:tab w:val="left" w:pos="157"/>
              </w:tabs>
              <w:spacing w:line="160" w:lineRule="exact"/>
              <w:ind w:right="44"/>
              <w:rPr>
                <w:sz w:val="14"/>
              </w:rPr>
            </w:pPr>
            <w:r>
              <w:rPr>
                <w:color w:val="231F20"/>
                <w:sz w:val="14"/>
              </w:rPr>
              <w:t>Разумевање ток</w:t>
            </w:r>
            <w:r>
              <w:rPr>
                <w:color w:val="231F20"/>
                <w:sz w:val="14"/>
              </w:rPr>
              <w:t>а и</w:t>
            </w:r>
            <w:r>
              <w:rPr>
                <w:color w:val="231F20"/>
                <w:spacing w:val="-20"/>
                <w:sz w:val="14"/>
              </w:rPr>
              <w:t xml:space="preserve"> </w:t>
            </w:r>
            <w:r>
              <w:rPr>
                <w:color w:val="231F20"/>
                <w:sz w:val="14"/>
              </w:rPr>
              <w:t>зна­ чаја ћелијских деоба.</w:t>
            </w:r>
          </w:p>
        </w:tc>
        <w:tc>
          <w:tcPr>
            <w:tcW w:w="2551" w:type="dxa"/>
          </w:tcPr>
          <w:p w:rsidR="00041039" w:rsidRDefault="001B26CB">
            <w:pPr>
              <w:pStyle w:val="TableParagraph"/>
              <w:numPr>
                <w:ilvl w:val="0"/>
                <w:numId w:val="1702"/>
              </w:numPr>
              <w:tabs>
                <w:tab w:val="left" w:pos="157"/>
              </w:tabs>
              <w:spacing w:before="8"/>
              <w:ind w:right="501" w:hanging="99"/>
              <w:rPr>
                <w:sz w:val="14"/>
              </w:rPr>
            </w:pPr>
            <w:r>
              <w:rPr>
                <w:color w:val="231F20"/>
                <w:sz w:val="14"/>
              </w:rPr>
              <w:t>дефинише предмет</w:t>
            </w:r>
            <w:r>
              <w:rPr>
                <w:color w:val="231F20"/>
                <w:spacing w:val="-12"/>
                <w:sz w:val="14"/>
              </w:rPr>
              <w:t xml:space="preserve"> </w:t>
            </w:r>
            <w:r>
              <w:rPr>
                <w:color w:val="231F20"/>
                <w:sz w:val="14"/>
              </w:rPr>
              <w:t>проучавања цитологије;</w:t>
            </w:r>
          </w:p>
          <w:p w:rsidR="00041039" w:rsidRDefault="001B26CB">
            <w:pPr>
              <w:pStyle w:val="TableParagraph"/>
              <w:numPr>
                <w:ilvl w:val="0"/>
                <w:numId w:val="1702"/>
              </w:numPr>
              <w:tabs>
                <w:tab w:val="left" w:pos="157"/>
              </w:tabs>
              <w:spacing w:before="1" w:line="160" w:lineRule="exact"/>
              <w:ind w:right="310" w:hanging="99"/>
              <w:rPr>
                <w:sz w:val="14"/>
              </w:rPr>
            </w:pPr>
            <w:r>
              <w:rPr>
                <w:color w:val="231F20"/>
                <w:sz w:val="14"/>
              </w:rPr>
              <w:t xml:space="preserve">наведе </w:t>
            </w:r>
            <w:r>
              <w:rPr>
                <w:color w:val="231F20"/>
                <w:spacing w:val="-2"/>
                <w:sz w:val="14"/>
              </w:rPr>
              <w:t xml:space="preserve">главне </w:t>
            </w:r>
            <w:r>
              <w:rPr>
                <w:color w:val="231F20"/>
                <w:sz w:val="14"/>
              </w:rPr>
              <w:t>особине живих бића и нивое организације биолошких система;</w:t>
            </w:r>
          </w:p>
          <w:p w:rsidR="00041039" w:rsidRDefault="001B26CB">
            <w:pPr>
              <w:pStyle w:val="TableParagraph"/>
              <w:numPr>
                <w:ilvl w:val="0"/>
                <w:numId w:val="1702"/>
              </w:numPr>
              <w:tabs>
                <w:tab w:val="left" w:pos="157"/>
              </w:tabs>
              <w:spacing w:line="153" w:lineRule="exact"/>
              <w:ind w:hanging="99"/>
              <w:rPr>
                <w:sz w:val="14"/>
              </w:rPr>
            </w:pPr>
            <w:r>
              <w:rPr>
                <w:color w:val="231F20"/>
                <w:sz w:val="14"/>
              </w:rPr>
              <w:t>објасни хемијску структуру</w:t>
            </w:r>
            <w:r>
              <w:rPr>
                <w:color w:val="231F20"/>
                <w:spacing w:val="-4"/>
                <w:sz w:val="14"/>
              </w:rPr>
              <w:t xml:space="preserve"> </w:t>
            </w:r>
            <w:r>
              <w:rPr>
                <w:color w:val="231F20"/>
                <w:sz w:val="14"/>
              </w:rPr>
              <w:t>ћелије;</w:t>
            </w:r>
          </w:p>
          <w:p w:rsidR="00041039" w:rsidRDefault="001B26CB">
            <w:pPr>
              <w:pStyle w:val="TableParagraph"/>
              <w:numPr>
                <w:ilvl w:val="0"/>
                <w:numId w:val="1702"/>
              </w:numPr>
              <w:tabs>
                <w:tab w:val="left" w:pos="157"/>
              </w:tabs>
              <w:spacing w:line="160" w:lineRule="exact"/>
              <w:ind w:hanging="99"/>
              <w:rPr>
                <w:sz w:val="14"/>
              </w:rPr>
            </w:pPr>
            <w:r>
              <w:rPr>
                <w:color w:val="231F20"/>
                <w:sz w:val="14"/>
              </w:rPr>
              <w:t>објасни функцију ћелијских</w:t>
            </w:r>
            <w:r>
              <w:rPr>
                <w:color w:val="231F20"/>
                <w:spacing w:val="-2"/>
                <w:sz w:val="14"/>
              </w:rPr>
              <w:t xml:space="preserve"> </w:t>
            </w:r>
            <w:r>
              <w:rPr>
                <w:color w:val="231F20"/>
                <w:sz w:val="14"/>
              </w:rPr>
              <w:t>органела;</w:t>
            </w:r>
          </w:p>
          <w:p w:rsidR="00041039" w:rsidRDefault="001B26CB">
            <w:pPr>
              <w:pStyle w:val="TableParagraph"/>
              <w:numPr>
                <w:ilvl w:val="0"/>
                <w:numId w:val="1702"/>
              </w:numPr>
              <w:tabs>
                <w:tab w:val="left" w:pos="157"/>
              </w:tabs>
              <w:spacing w:line="237" w:lineRule="auto"/>
              <w:ind w:right="452" w:hanging="99"/>
              <w:rPr>
                <w:sz w:val="14"/>
              </w:rPr>
            </w:pPr>
            <w:r>
              <w:rPr>
                <w:color w:val="231F20"/>
                <w:sz w:val="14"/>
              </w:rPr>
              <w:t>објасни разлике између биљне</w:t>
            </w:r>
            <w:r>
              <w:rPr>
                <w:color w:val="231F20"/>
                <w:spacing w:val="-7"/>
                <w:sz w:val="14"/>
              </w:rPr>
              <w:t xml:space="preserve"> </w:t>
            </w:r>
            <w:r>
              <w:rPr>
                <w:color w:val="231F20"/>
                <w:sz w:val="14"/>
              </w:rPr>
              <w:t>и животињске</w:t>
            </w:r>
            <w:r>
              <w:rPr>
                <w:color w:val="231F20"/>
                <w:spacing w:val="-1"/>
                <w:sz w:val="14"/>
              </w:rPr>
              <w:t xml:space="preserve"> </w:t>
            </w:r>
            <w:r>
              <w:rPr>
                <w:color w:val="231F20"/>
                <w:sz w:val="14"/>
              </w:rPr>
              <w:t>ћелије;</w:t>
            </w:r>
          </w:p>
          <w:p w:rsidR="00041039" w:rsidRDefault="001B26CB">
            <w:pPr>
              <w:pStyle w:val="TableParagraph"/>
              <w:numPr>
                <w:ilvl w:val="0"/>
                <w:numId w:val="1702"/>
              </w:numPr>
              <w:tabs>
                <w:tab w:val="left" w:pos="157"/>
              </w:tabs>
              <w:spacing w:line="160" w:lineRule="exact"/>
              <w:ind w:right="269" w:hanging="99"/>
              <w:rPr>
                <w:sz w:val="14"/>
              </w:rPr>
            </w:pPr>
            <w:r>
              <w:rPr>
                <w:color w:val="231F20"/>
                <w:sz w:val="14"/>
              </w:rPr>
              <w:t>објасни ток и значај кључних</w:t>
            </w:r>
            <w:r>
              <w:rPr>
                <w:color w:val="231F20"/>
                <w:spacing w:val="-10"/>
                <w:sz w:val="14"/>
              </w:rPr>
              <w:t xml:space="preserve"> </w:t>
            </w:r>
            <w:r>
              <w:rPr>
                <w:color w:val="231F20"/>
                <w:sz w:val="14"/>
              </w:rPr>
              <w:t>мета­ боличких процеса: фотосинтезе и ћелијског</w:t>
            </w:r>
            <w:r>
              <w:rPr>
                <w:color w:val="231F20"/>
                <w:spacing w:val="-1"/>
                <w:sz w:val="14"/>
              </w:rPr>
              <w:t xml:space="preserve"> </w:t>
            </w:r>
            <w:r>
              <w:rPr>
                <w:color w:val="231F20"/>
                <w:sz w:val="14"/>
              </w:rPr>
              <w:t>дисања;</w:t>
            </w:r>
          </w:p>
          <w:p w:rsidR="00041039" w:rsidRDefault="001B26CB">
            <w:pPr>
              <w:pStyle w:val="TableParagraph"/>
              <w:numPr>
                <w:ilvl w:val="0"/>
                <w:numId w:val="1702"/>
              </w:numPr>
              <w:tabs>
                <w:tab w:val="left" w:pos="157"/>
              </w:tabs>
              <w:spacing w:line="153" w:lineRule="exact"/>
              <w:ind w:hanging="99"/>
              <w:rPr>
                <w:sz w:val="14"/>
              </w:rPr>
            </w:pPr>
            <w:r>
              <w:rPr>
                <w:color w:val="231F20"/>
                <w:sz w:val="14"/>
              </w:rPr>
              <w:t>објасни фазе ћелијског</w:t>
            </w:r>
            <w:r>
              <w:rPr>
                <w:color w:val="231F20"/>
                <w:spacing w:val="-3"/>
                <w:sz w:val="14"/>
              </w:rPr>
              <w:t xml:space="preserve"> </w:t>
            </w:r>
            <w:r>
              <w:rPr>
                <w:color w:val="231F20"/>
                <w:sz w:val="14"/>
              </w:rPr>
              <w:t>циклуса;</w:t>
            </w:r>
          </w:p>
          <w:p w:rsidR="00041039" w:rsidRDefault="001B26CB">
            <w:pPr>
              <w:pStyle w:val="TableParagraph"/>
              <w:numPr>
                <w:ilvl w:val="0"/>
                <w:numId w:val="1702"/>
              </w:numPr>
              <w:tabs>
                <w:tab w:val="left" w:pos="157"/>
              </w:tabs>
              <w:spacing w:line="166" w:lineRule="exact"/>
              <w:ind w:hanging="99"/>
              <w:rPr>
                <w:sz w:val="14"/>
              </w:rPr>
            </w:pPr>
            <w:r>
              <w:rPr>
                <w:color w:val="231F20"/>
                <w:sz w:val="14"/>
              </w:rPr>
              <w:t>објасни ток и значај митозе и</w:t>
            </w:r>
            <w:r>
              <w:rPr>
                <w:color w:val="231F20"/>
                <w:spacing w:val="-9"/>
                <w:sz w:val="14"/>
              </w:rPr>
              <w:t xml:space="preserve"> </w:t>
            </w:r>
            <w:r>
              <w:rPr>
                <w:color w:val="231F20"/>
                <w:sz w:val="14"/>
              </w:rPr>
              <w:t>мејозе;</w:t>
            </w:r>
          </w:p>
        </w:tc>
        <w:tc>
          <w:tcPr>
            <w:tcW w:w="2834" w:type="dxa"/>
          </w:tcPr>
          <w:p w:rsidR="00041039" w:rsidRDefault="001B26CB">
            <w:pPr>
              <w:pStyle w:val="TableParagraph"/>
              <w:numPr>
                <w:ilvl w:val="0"/>
                <w:numId w:val="1701"/>
              </w:numPr>
              <w:tabs>
                <w:tab w:val="left" w:pos="157"/>
              </w:tabs>
              <w:spacing w:before="9"/>
              <w:ind w:right="416" w:hanging="99"/>
              <w:rPr>
                <w:sz w:val="14"/>
              </w:rPr>
            </w:pPr>
            <w:r>
              <w:rPr>
                <w:color w:val="231F20"/>
                <w:sz w:val="14"/>
              </w:rPr>
              <w:t>Цитологија као научна дисциплина биологије која проучава</w:t>
            </w:r>
            <w:r>
              <w:rPr>
                <w:color w:val="231F20"/>
                <w:spacing w:val="-24"/>
                <w:sz w:val="14"/>
              </w:rPr>
              <w:t xml:space="preserve"> </w:t>
            </w:r>
            <w:r>
              <w:rPr>
                <w:color w:val="231F20"/>
                <w:sz w:val="14"/>
              </w:rPr>
              <w:t>организацију ћелије.</w:t>
            </w:r>
          </w:p>
          <w:p w:rsidR="00041039" w:rsidRDefault="001B26CB">
            <w:pPr>
              <w:pStyle w:val="TableParagraph"/>
              <w:numPr>
                <w:ilvl w:val="0"/>
                <w:numId w:val="1701"/>
              </w:numPr>
              <w:tabs>
                <w:tab w:val="left" w:pos="157"/>
              </w:tabs>
              <w:spacing w:line="152" w:lineRule="exact"/>
              <w:ind w:hanging="99"/>
              <w:rPr>
                <w:sz w:val="14"/>
              </w:rPr>
            </w:pPr>
            <w:r>
              <w:rPr>
                <w:color w:val="231F20"/>
                <w:sz w:val="14"/>
              </w:rPr>
              <w:t>Основне карактеристике живих</w:t>
            </w:r>
            <w:r>
              <w:rPr>
                <w:color w:val="231F20"/>
                <w:spacing w:val="-4"/>
                <w:sz w:val="14"/>
              </w:rPr>
              <w:t xml:space="preserve"> </w:t>
            </w:r>
            <w:r>
              <w:rPr>
                <w:color w:val="231F20"/>
                <w:sz w:val="14"/>
              </w:rPr>
              <w:t>бића.</w:t>
            </w:r>
          </w:p>
          <w:p w:rsidR="00041039" w:rsidRDefault="001B26CB">
            <w:pPr>
              <w:pStyle w:val="TableParagraph"/>
              <w:numPr>
                <w:ilvl w:val="0"/>
                <w:numId w:val="1701"/>
              </w:numPr>
              <w:tabs>
                <w:tab w:val="left" w:pos="157"/>
              </w:tabs>
              <w:spacing w:line="160" w:lineRule="exact"/>
              <w:ind w:hanging="99"/>
              <w:rPr>
                <w:sz w:val="14"/>
              </w:rPr>
            </w:pPr>
            <w:r>
              <w:rPr>
                <w:color w:val="231F20"/>
                <w:sz w:val="14"/>
              </w:rPr>
              <w:t>Нивои организације биолошких</w:t>
            </w:r>
            <w:r>
              <w:rPr>
                <w:color w:val="231F20"/>
                <w:spacing w:val="-5"/>
                <w:sz w:val="14"/>
              </w:rPr>
              <w:t xml:space="preserve"> </w:t>
            </w:r>
            <w:r>
              <w:rPr>
                <w:color w:val="231F20"/>
                <w:sz w:val="14"/>
              </w:rPr>
              <w:t>система.</w:t>
            </w:r>
          </w:p>
          <w:p w:rsidR="00041039" w:rsidRDefault="001B26CB">
            <w:pPr>
              <w:pStyle w:val="TableParagraph"/>
              <w:numPr>
                <w:ilvl w:val="0"/>
                <w:numId w:val="1701"/>
              </w:numPr>
              <w:tabs>
                <w:tab w:val="left" w:pos="157"/>
              </w:tabs>
              <w:spacing w:line="160" w:lineRule="exact"/>
              <w:ind w:hanging="99"/>
              <w:rPr>
                <w:sz w:val="14"/>
              </w:rPr>
            </w:pPr>
            <w:r>
              <w:rPr>
                <w:color w:val="231F20"/>
                <w:sz w:val="14"/>
              </w:rPr>
              <w:t>Грађа ћелије и ћелијских</w:t>
            </w:r>
            <w:r>
              <w:rPr>
                <w:color w:val="231F20"/>
                <w:spacing w:val="-3"/>
                <w:sz w:val="14"/>
              </w:rPr>
              <w:t xml:space="preserve"> </w:t>
            </w:r>
            <w:r>
              <w:rPr>
                <w:color w:val="231F20"/>
                <w:sz w:val="14"/>
              </w:rPr>
              <w:t>органела.</w:t>
            </w:r>
          </w:p>
          <w:p w:rsidR="00041039" w:rsidRDefault="001B26CB">
            <w:pPr>
              <w:pStyle w:val="TableParagraph"/>
              <w:numPr>
                <w:ilvl w:val="0"/>
                <w:numId w:val="1701"/>
              </w:numPr>
              <w:tabs>
                <w:tab w:val="left" w:pos="157"/>
              </w:tabs>
              <w:spacing w:line="160" w:lineRule="exact"/>
              <w:ind w:hanging="99"/>
              <w:rPr>
                <w:sz w:val="14"/>
              </w:rPr>
            </w:pPr>
            <w:r>
              <w:rPr>
                <w:color w:val="231F20"/>
                <w:sz w:val="14"/>
              </w:rPr>
              <w:t>Биљна и животињска</w:t>
            </w:r>
            <w:r>
              <w:rPr>
                <w:color w:val="231F20"/>
                <w:spacing w:val="-3"/>
                <w:sz w:val="14"/>
              </w:rPr>
              <w:t xml:space="preserve"> </w:t>
            </w:r>
            <w:r>
              <w:rPr>
                <w:color w:val="231F20"/>
                <w:sz w:val="14"/>
              </w:rPr>
              <w:t>ћелија.</w:t>
            </w:r>
          </w:p>
          <w:p w:rsidR="00041039" w:rsidRDefault="001B26CB">
            <w:pPr>
              <w:pStyle w:val="TableParagraph"/>
              <w:numPr>
                <w:ilvl w:val="0"/>
                <w:numId w:val="1701"/>
              </w:numPr>
              <w:tabs>
                <w:tab w:val="left" w:pos="157"/>
              </w:tabs>
              <w:spacing w:line="166" w:lineRule="exact"/>
              <w:ind w:hanging="99"/>
              <w:rPr>
                <w:sz w:val="14"/>
              </w:rPr>
            </w:pPr>
            <w:r>
              <w:rPr>
                <w:color w:val="231F20"/>
                <w:sz w:val="14"/>
              </w:rPr>
              <w:t>Ћелијски циклус и ћелијске</w:t>
            </w:r>
            <w:r>
              <w:rPr>
                <w:color w:val="231F20"/>
                <w:spacing w:val="-7"/>
                <w:sz w:val="14"/>
              </w:rPr>
              <w:t xml:space="preserve"> </w:t>
            </w:r>
            <w:r>
              <w:rPr>
                <w:color w:val="231F20"/>
                <w:sz w:val="14"/>
              </w:rPr>
              <w:t>деобе.</w:t>
            </w:r>
          </w:p>
        </w:tc>
        <w:tc>
          <w:tcPr>
            <w:tcW w:w="2267" w:type="dxa"/>
          </w:tcPr>
          <w:p w:rsidR="00041039" w:rsidRDefault="001B26CB">
            <w:pPr>
              <w:pStyle w:val="TableParagraph"/>
              <w:numPr>
                <w:ilvl w:val="0"/>
                <w:numId w:val="1700"/>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 xml:space="preserve">исходима наставе / учења, планом рада и </w:t>
            </w:r>
            <w:r>
              <w:rPr>
                <w:color w:val="231F20"/>
                <w:sz w:val="14"/>
              </w:rPr>
              <w:t>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700"/>
              </w:numPr>
              <w:tabs>
                <w:tab w:val="left" w:pos="158"/>
              </w:tabs>
              <w:spacing w:line="160" w:lineRule="exact"/>
              <w:ind w:hanging="99"/>
              <w:rPr>
                <w:b/>
                <w:sz w:val="14"/>
              </w:rPr>
            </w:pPr>
            <w:r>
              <w:rPr>
                <w:color w:val="231F20"/>
                <w:sz w:val="14"/>
              </w:rPr>
              <w:t>теоријска настава</w:t>
            </w:r>
            <w:r>
              <w:rPr>
                <w:b/>
                <w:color w:val="231F20"/>
                <w:sz w:val="14"/>
              </w:rPr>
              <w:t>(70 или 64</w:t>
            </w:r>
            <w:r>
              <w:rPr>
                <w:b/>
                <w:color w:val="231F20"/>
                <w:spacing w:val="-7"/>
                <w:sz w:val="14"/>
              </w:rPr>
              <w:t xml:space="preserve"> </w:t>
            </w:r>
            <w:r>
              <w:rPr>
                <w:b/>
                <w:color w:val="231F20"/>
                <w:sz w:val="14"/>
              </w:rPr>
              <w:t>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700"/>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700"/>
              </w:numPr>
              <w:tabs>
                <w:tab w:val="left" w:pos="158"/>
              </w:tabs>
              <w:spacing w:line="160" w:lineRule="exact"/>
              <w:ind w:hanging="99"/>
              <w:rPr>
                <w:sz w:val="14"/>
              </w:rPr>
            </w:pPr>
            <w:r>
              <w:rPr>
                <w:color w:val="231F20"/>
                <w:sz w:val="14"/>
              </w:rPr>
              <w:t>учионици</w:t>
            </w:r>
          </w:p>
          <w:p w:rsidR="00041039" w:rsidRDefault="001B26CB">
            <w:pPr>
              <w:pStyle w:val="TableParagraph"/>
              <w:numPr>
                <w:ilvl w:val="0"/>
                <w:numId w:val="1700"/>
              </w:numPr>
              <w:tabs>
                <w:tab w:val="left" w:pos="158"/>
              </w:tabs>
              <w:spacing w:line="160" w:lineRule="exact"/>
              <w:ind w:hanging="99"/>
              <w:rPr>
                <w:sz w:val="14"/>
              </w:rPr>
            </w:pPr>
            <w:r>
              <w:rPr>
                <w:color w:val="231F20"/>
                <w:sz w:val="14"/>
              </w:rPr>
              <w:t>биолошкој</w:t>
            </w:r>
            <w:r>
              <w:rPr>
                <w:color w:val="231F20"/>
                <w:spacing w:val="-1"/>
                <w:sz w:val="14"/>
              </w:rPr>
              <w:t xml:space="preserve"> </w:t>
            </w:r>
            <w:r>
              <w:rPr>
                <w:color w:val="231F20"/>
                <w:sz w:val="14"/>
              </w:rPr>
              <w:t>радионици</w:t>
            </w:r>
          </w:p>
          <w:p w:rsidR="00041039" w:rsidRDefault="001B26CB">
            <w:pPr>
              <w:pStyle w:val="TableParagraph"/>
              <w:numPr>
                <w:ilvl w:val="0"/>
                <w:numId w:val="1700"/>
              </w:numPr>
              <w:tabs>
                <w:tab w:val="left" w:pos="158"/>
              </w:tabs>
              <w:spacing w:line="237" w:lineRule="auto"/>
              <w:ind w:right="191" w:hanging="99"/>
              <w:rPr>
                <w:sz w:val="14"/>
              </w:rPr>
            </w:pPr>
            <w:r>
              <w:rPr>
                <w:color w:val="231F20"/>
                <w:sz w:val="14"/>
              </w:rPr>
              <w:t>адекватном објекту изван</w:t>
            </w:r>
            <w:r>
              <w:rPr>
                <w:color w:val="231F20"/>
                <w:spacing w:val="-14"/>
                <w:sz w:val="14"/>
              </w:rPr>
              <w:t xml:space="preserve"> </w:t>
            </w:r>
            <w:r>
              <w:rPr>
                <w:color w:val="231F20"/>
                <w:spacing w:val="-3"/>
                <w:sz w:val="14"/>
              </w:rPr>
              <w:t xml:space="preserve">школ­ </w:t>
            </w:r>
            <w:r>
              <w:rPr>
                <w:color w:val="231F20"/>
                <w:sz w:val="14"/>
              </w:rPr>
              <w:t>ског</w:t>
            </w:r>
            <w:r>
              <w:rPr>
                <w:color w:val="231F20"/>
                <w:spacing w:val="-1"/>
                <w:sz w:val="14"/>
              </w:rPr>
              <w:t xml:space="preserve"> </w:t>
            </w:r>
            <w:r>
              <w:rPr>
                <w:color w:val="231F20"/>
                <w:sz w:val="14"/>
              </w:rPr>
              <w:t>комплекса</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700"/>
              </w:numPr>
              <w:tabs>
                <w:tab w:val="left" w:pos="158"/>
              </w:tabs>
              <w:spacing w:before="1" w:line="160" w:lineRule="exact"/>
              <w:ind w:right="317" w:hanging="99"/>
              <w:rPr>
                <w:sz w:val="14"/>
              </w:rPr>
            </w:pPr>
            <w:r>
              <w:rPr>
                <w:color w:val="231F20"/>
                <w:sz w:val="14"/>
              </w:rPr>
              <w:t>поштовање свих</w:t>
            </w:r>
            <w:r>
              <w:rPr>
                <w:color w:val="231F20"/>
                <w:spacing w:val="-13"/>
                <w:sz w:val="14"/>
              </w:rPr>
              <w:t xml:space="preserve"> </w:t>
            </w:r>
            <w:r>
              <w:rPr>
                <w:color w:val="231F20"/>
                <w:sz w:val="14"/>
              </w:rPr>
              <w:t>дидактичких принципа;</w:t>
            </w:r>
          </w:p>
          <w:p w:rsidR="00041039" w:rsidRDefault="001B26CB">
            <w:pPr>
              <w:pStyle w:val="TableParagraph"/>
              <w:numPr>
                <w:ilvl w:val="0"/>
                <w:numId w:val="1700"/>
              </w:numPr>
              <w:tabs>
                <w:tab w:val="left" w:pos="158"/>
              </w:tabs>
              <w:spacing w:line="160" w:lineRule="exact"/>
              <w:ind w:right="139" w:hanging="99"/>
              <w:rPr>
                <w:sz w:val="14"/>
              </w:rPr>
            </w:pPr>
            <w:r>
              <w:rPr>
                <w:color w:val="231F20"/>
                <w:sz w:val="14"/>
              </w:rPr>
              <w:t>примена природних наставних средстава, реализација</w:t>
            </w:r>
            <w:r>
              <w:rPr>
                <w:color w:val="231F20"/>
                <w:spacing w:val="-12"/>
                <w:sz w:val="14"/>
              </w:rPr>
              <w:t xml:space="preserve"> </w:t>
            </w:r>
            <w:r>
              <w:rPr>
                <w:color w:val="231F20"/>
                <w:sz w:val="14"/>
              </w:rPr>
              <w:t>теренске­ наставе, реализација биолошких наставних</w:t>
            </w:r>
            <w:r>
              <w:rPr>
                <w:color w:val="231F20"/>
                <w:spacing w:val="-1"/>
                <w:sz w:val="14"/>
              </w:rPr>
              <w:t xml:space="preserve"> </w:t>
            </w:r>
            <w:r>
              <w:rPr>
                <w:color w:val="231F20"/>
                <w:sz w:val="14"/>
              </w:rPr>
              <w:t>екскурзија;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920"/>
        </w:trPr>
        <w:tc>
          <w:tcPr>
            <w:tcW w:w="1304" w:type="dxa"/>
          </w:tcPr>
          <w:p w:rsidR="00041039" w:rsidRDefault="001B26CB">
            <w:pPr>
              <w:pStyle w:val="TableParagraph"/>
              <w:spacing w:before="18"/>
              <w:ind w:left="56" w:right="181"/>
              <w:rPr>
                <w:sz w:val="14"/>
              </w:rPr>
            </w:pPr>
            <w:r>
              <w:rPr>
                <w:color w:val="231F20"/>
                <w:sz w:val="14"/>
              </w:rPr>
              <w:lastRenderedPageBreak/>
              <w:t>Основи физиоло­ гије човека</w:t>
            </w:r>
          </w:p>
        </w:tc>
        <w:tc>
          <w:tcPr>
            <w:tcW w:w="1587" w:type="dxa"/>
          </w:tcPr>
          <w:p w:rsidR="00041039" w:rsidRDefault="001B26CB">
            <w:pPr>
              <w:pStyle w:val="TableParagraph"/>
              <w:numPr>
                <w:ilvl w:val="0"/>
                <w:numId w:val="1699"/>
              </w:numPr>
              <w:tabs>
                <w:tab w:val="left" w:pos="157"/>
              </w:tabs>
              <w:spacing w:before="8"/>
              <w:ind w:right="228"/>
              <w:rPr>
                <w:sz w:val="14"/>
              </w:rPr>
            </w:pPr>
            <w:r>
              <w:rPr>
                <w:color w:val="231F20"/>
                <w:sz w:val="14"/>
              </w:rPr>
              <w:t xml:space="preserve">Разумевање физио­ лошких процеса у </w:t>
            </w:r>
            <w:r>
              <w:rPr>
                <w:color w:val="231F20"/>
                <w:spacing w:val="-3"/>
                <w:sz w:val="14"/>
              </w:rPr>
              <w:t>људском</w:t>
            </w:r>
            <w:r>
              <w:rPr>
                <w:color w:val="231F20"/>
                <w:spacing w:val="-14"/>
                <w:sz w:val="14"/>
              </w:rPr>
              <w:t xml:space="preserve"> </w:t>
            </w:r>
            <w:r>
              <w:rPr>
                <w:color w:val="231F20"/>
                <w:sz w:val="14"/>
              </w:rPr>
              <w:t>организму.</w:t>
            </w:r>
          </w:p>
        </w:tc>
        <w:tc>
          <w:tcPr>
            <w:tcW w:w="2551" w:type="dxa"/>
          </w:tcPr>
          <w:p w:rsidR="00041039" w:rsidRDefault="001B26CB">
            <w:pPr>
              <w:pStyle w:val="TableParagraph"/>
              <w:numPr>
                <w:ilvl w:val="0"/>
                <w:numId w:val="1698"/>
              </w:numPr>
              <w:tabs>
                <w:tab w:val="left" w:pos="157"/>
              </w:tabs>
              <w:spacing w:before="8"/>
              <w:ind w:right="291" w:hanging="99"/>
              <w:rPr>
                <w:sz w:val="14"/>
              </w:rPr>
            </w:pPr>
            <w:r>
              <w:rPr>
                <w:color w:val="231F20"/>
                <w:sz w:val="14"/>
              </w:rPr>
              <w:t>објасни настанак и пренос нервног импулса;</w:t>
            </w:r>
          </w:p>
          <w:p w:rsidR="00041039" w:rsidRDefault="001B26CB">
            <w:pPr>
              <w:pStyle w:val="TableParagraph"/>
              <w:numPr>
                <w:ilvl w:val="0"/>
                <w:numId w:val="1698"/>
              </w:numPr>
              <w:tabs>
                <w:tab w:val="left" w:pos="157"/>
              </w:tabs>
              <w:spacing w:line="153" w:lineRule="exact"/>
              <w:ind w:hanging="99"/>
              <w:rPr>
                <w:sz w:val="14"/>
              </w:rPr>
            </w:pPr>
            <w:r>
              <w:rPr>
                <w:color w:val="231F20"/>
                <w:sz w:val="14"/>
              </w:rPr>
              <w:t>илуструје прост рефлексни</w:t>
            </w:r>
            <w:r>
              <w:rPr>
                <w:color w:val="231F20"/>
                <w:spacing w:val="-17"/>
                <w:sz w:val="14"/>
              </w:rPr>
              <w:t xml:space="preserve"> </w:t>
            </w:r>
            <w:r>
              <w:rPr>
                <w:color w:val="231F20"/>
                <w:sz w:val="14"/>
              </w:rPr>
              <w:t>лук;</w:t>
            </w:r>
          </w:p>
          <w:p w:rsidR="00041039" w:rsidRDefault="001B26CB">
            <w:pPr>
              <w:pStyle w:val="TableParagraph"/>
              <w:numPr>
                <w:ilvl w:val="0"/>
                <w:numId w:val="1698"/>
              </w:numPr>
              <w:tabs>
                <w:tab w:val="left" w:pos="157"/>
              </w:tabs>
              <w:spacing w:line="160" w:lineRule="exact"/>
              <w:ind w:hanging="99"/>
              <w:rPr>
                <w:sz w:val="14"/>
              </w:rPr>
            </w:pPr>
            <w:r>
              <w:rPr>
                <w:color w:val="231F20"/>
                <w:sz w:val="14"/>
              </w:rPr>
              <w:t>објасни улогу нервног</w:t>
            </w:r>
            <w:r>
              <w:rPr>
                <w:color w:val="231F20"/>
                <w:spacing w:val="-19"/>
                <w:sz w:val="14"/>
              </w:rPr>
              <w:t xml:space="preserve"> </w:t>
            </w:r>
            <w:r>
              <w:rPr>
                <w:color w:val="231F20"/>
                <w:sz w:val="14"/>
              </w:rPr>
              <w:t>система;</w:t>
            </w:r>
          </w:p>
          <w:p w:rsidR="00041039" w:rsidRDefault="001B26CB">
            <w:pPr>
              <w:pStyle w:val="TableParagraph"/>
              <w:numPr>
                <w:ilvl w:val="0"/>
                <w:numId w:val="1698"/>
              </w:numPr>
              <w:tabs>
                <w:tab w:val="left" w:pos="157"/>
              </w:tabs>
              <w:spacing w:line="160" w:lineRule="exact"/>
              <w:ind w:hanging="99"/>
              <w:rPr>
                <w:sz w:val="14"/>
              </w:rPr>
            </w:pPr>
            <w:r>
              <w:rPr>
                <w:color w:val="231F20"/>
                <w:sz w:val="14"/>
              </w:rPr>
              <w:t>објасни мишићну</w:t>
            </w:r>
            <w:r>
              <w:rPr>
                <w:color w:val="231F20"/>
                <w:spacing w:val="-9"/>
                <w:sz w:val="14"/>
              </w:rPr>
              <w:t xml:space="preserve"> </w:t>
            </w:r>
            <w:r>
              <w:rPr>
                <w:color w:val="231F20"/>
                <w:sz w:val="14"/>
              </w:rPr>
              <w:t>контракцију;</w:t>
            </w:r>
          </w:p>
          <w:p w:rsidR="00041039" w:rsidRDefault="001B26CB">
            <w:pPr>
              <w:pStyle w:val="TableParagraph"/>
              <w:numPr>
                <w:ilvl w:val="0"/>
                <w:numId w:val="1698"/>
              </w:numPr>
              <w:tabs>
                <w:tab w:val="left" w:pos="157"/>
              </w:tabs>
              <w:spacing w:line="160" w:lineRule="exact"/>
              <w:ind w:hanging="99"/>
              <w:rPr>
                <w:sz w:val="14"/>
              </w:rPr>
            </w:pPr>
            <w:r>
              <w:rPr>
                <w:color w:val="231F20"/>
                <w:sz w:val="14"/>
              </w:rPr>
              <w:t>објасни улогу чулних</w:t>
            </w:r>
            <w:r>
              <w:rPr>
                <w:color w:val="231F20"/>
                <w:spacing w:val="-5"/>
                <w:sz w:val="14"/>
              </w:rPr>
              <w:t xml:space="preserve"> </w:t>
            </w:r>
            <w:r>
              <w:rPr>
                <w:color w:val="231F20"/>
                <w:sz w:val="14"/>
              </w:rPr>
              <w:t>органа;</w:t>
            </w:r>
          </w:p>
          <w:p w:rsidR="00041039" w:rsidRDefault="001B26CB">
            <w:pPr>
              <w:pStyle w:val="TableParagraph"/>
              <w:numPr>
                <w:ilvl w:val="0"/>
                <w:numId w:val="1698"/>
              </w:numPr>
              <w:tabs>
                <w:tab w:val="left" w:pos="157"/>
              </w:tabs>
              <w:spacing w:line="237" w:lineRule="auto"/>
              <w:ind w:right="104" w:hanging="99"/>
              <w:rPr>
                <w:sz w:val="14"/>
              </w:rPr>
            </w:pPr>
            <w:r>
              <w:rPr>
                <w:color w:val="231F20"/>
                <w:sz w:val="14"/>
              </w:rPr>
              <w:t>дефинише позицију и улогу жлезда</w:t>
            </w:r>
            <w:r>
              <w:rPr>
                <w:color w:val="231F20"/>
                <w:spacing w:val="-19"/>
                <w:sz w:val="14"/>
              </w:rPr>
              <w:t xml:space="preserve"> </w:t>
            </w:r>
            <w:r>
              <w:rPr>
                <w:color w:val="231F20"/>
                <w:sz w:val="14"/>
              </w:rPr>
              <w:t>са унутрашњим</w:t>
            </w:r>
            <w:r>
              <w:rPr>
                <w:color w:val="231F20"/>
                <w:spacing w:val="-1"/>
                <w:sz w:val="14"/>
              </w:rPr>
              <w:t xml:space="preserve"> </w:t>
            </w:r>
            <w:r>
              <w:rPr>
                <w:color w:val="231F20"/>
                <w:sz w:val="14"/>
              </w:rPr>
              <w:t>лучењем;</w:t>
            </w:r>
          </w:p>
          <w:p w:rsidR="00041039" w:rsidRDefault="001B26CB">
            <w:pPr>
              <w:pStyle w:val="TableParagraph"/>
              <w:numPr>
                <w:ilvl w:val="0"/>
                <w:numId w:val="1698"/>
              </w:numPr>
              <w:tabs>
                <w:tab w:val="left" w:pos="157"/>
              </w:tabs>
              <w:spacing w:line="155" w:lineRule="exact"/>
              <w:ind w:hanging="99"/>
              <w:rPr>
                <w:sz w:val="14"/>
              </w:rPr>
            </w:pPr>
            <w:r>
              <w:rPr>
                <w:color w:val="231F20"/>
                <w:sz w:val="14"/>
              </w:rPr>
              <w:t>објасни састав и улогу крви и</w:t>
            </w:r>
            <w:r>
              <w:rPr>
                <w:color w:val="231F20"/>
                <w:spacing w:val="-11"/>
                <w:sz w:val="14"/>
              </w:rPr>
              <w:t xml:space="preserve"> </w:t>
            </w:r>
            <w:r>
              <w:rPr>
                <w:color w:val="231F20"/>
                <w:sz w:val="14"/>
              </w:rPr>
              <w:t>лимфе;</w:t>
            </w:r>
          </w:p>
          <w:p w:rsidR="00041039" w:rsidRDefault="001B26CB">
            <w:pPr>
              <w:pStyle w:val="TableParagraph"/>
              <w:numPr>
                <w:ilvl w:val="0"/>
                <w:numId w:val="1698"/>
              </w:numPr>
              <w:tabs>
                <w:tab w:val="left" w:pos="157"/>
              </w:tabs>
              <w:spacing w:line="237" w:lineRule="auto"/>
              <w:ind w:right="149" w:hanging="99"/>
              <w:rPr>
                <w:sz w:val="14"/>
              </w:rPr>
            </w:pPr>
            <w:r>
              <w:rPr>
                <w:color w:val="231F20"/>
                <w:sz w:val="14"/>
              </w:rPr>
              <w:t xml:space="preserve">објасни грађу и улогу срца и крвних </w:t>
            </w:r>
            <w:r>
              <w:rPr>
                <w:color w:val="231F20"/>
                <w:spacing w:val="-3"/>
                <w:sz w:val="14"/>
              </w:rPr>
              <w:t xml:space="preserve">судова </w:t>
            </w:r>
            <w:r>
              <w:rPr>
                <w:color w:val="231F20"/>
                <w:sz w:val="14"/>
              </w:rPr>
              <w:t>инеурохормоналну</w:t>
            </w:r>
            <w:r>
              <w:rPr>
                <w:color w:val="231F20"/>
                <w:spacing w:val="-20"/>
                <w:sz w:val="14"/>
              </w:rPr>
              <w:t xml:space="preserve"> </w:t>
            </w:r>
            <w:r>
              <w:rPr>
                <w:color w:val="231F20"/>
                <w:sz w:val="14"/>
              </w:rPr>
              <w:t>регулацију срчаног</w:t>
            </w:r>
            <w:r>
              <w:rPr>
                <w:color w:val="231F20"/>
                <w:spacing w:val="-1"/>
                <w:sz w:val="14"/>
              </w:rPr>
              <w:t xml:space="preserve"> </w:t>
            </w:r>
            <w:r>
              <w:rPr>
                <w:color w:val="231F20"/>
                <w:sz w:val="14"/>
              </w:rPr>
              <w:t>рада;</w:t>
            </w:r>
          </w:p>
          <w:p w:rsidR="00041039" w:rsidRDefault="001B26CB">
            <w:pPr>
              <w:pStyle w:val="TableParagraph"/>
              <w:numPr>
                <w:ilvl w:val="0"/>
                <w:numId w:val="1698"/>
              </w:numPr>
              <w:tabs>
                <w:tab w:val="left" w:pos="157"/>
              </w:tabs>
              <w:spacing w:line="237" w:lineRule="auto"/>
              <w:ind w:right="136" w:hanging="99"/>
              <w:rPr>
                <w:sz w:val="14"/>
              </w:rPr>
            </w:pPr>
            <w:r>
              <w:rPr>
                <w:color w:val="231F20"/>
                <w:sz w:val="14"/>
              </w:rPr>
              <w:t>објасни размену гасова у плућима и ткивима и нервну регулацију</w:t>
            </w:r>
            <w:r>
              <w:rPr>
                <w:color w:val="231F20"/>
                <w:spacing w:val="-19"/>
                <w:sz w:val="14"/>
              </w:rPr>
              <w:t xml:space="preserve"> </w:t>
            </w:r>
            <w:r>
              <w:rPr>
                <w:color w:val="231F20"/>
                <w:sz w:val="14"/>
              </w:rPr>
              <w:t>дисања;</w:t>
            </w:r>
          </w:p>
          <w:p w:rsidR="00041039" w:rsidRDefault="001B26CB">
            <w:pPr>
              <w:pStyle w:val="TableParagraph"/>
              <w:numPr>
                <w:ilvl w:val="0"/>
                <w:numId w:val="1698"/>
              </w:numPr>
              <w:tabs>
                <w:tab w:val="left" w:pos="157"/>
              </w:tabs>
              <w:spacing w:line="160" w:lineRule="exact"/>
              <w:ind w:right="78" w:hanging="99"/>
              <w:rPr>
                <w:sz w:val="14"/>
              </w:rPr>
            </w:pPr>
            <w:r>
              <w:rPr>
                <w:color w:val="231F20"/>
                <w:sz w:val="14"/>
              </w:rPr>
              <w:t>објасни варење, ресорпцију хране инеурохормоналну</w:t>
            </w:r>
            <w:r>
              <w:rPr>
                <w:color w:val="231F20"/>
                <w:spacing w:val="-18"/>
                <w:sz w:val="14"/>
              </w:rPr>
              <w:t xml:space="preserve"> </w:t>
            </w:r>
            <w:r>
              <w:rPr>
                <w:color w:val="231F20"/>
                <w:sz w:val="14"/>
              </w:rPr>
              <w:t>регулацију</w:t>
            </w:r>
            <w:r>
              <w:rPr>
                <w:color w:val="231F20"/>
                <w:spacing w:val="-18"/>
                <w:sz w:val="14"/>
              </w:rPr>
              <w:t xml:space="preserve"> </w:t>
            </w:r>
            <w:r>
              <w:rPr>
                <w:color w:val="231F20"/>
                <w:sz w:val="14"/>
              </w:rPr>
              <w:t>варења;</w:t>
            </w:r>
          </w:p>
          <w:p w:rsidR="00041039" w:rsidRDefault="001B26CB">
            <w:pPr>
              <w:pStyle w:val="TableParagraph"/>
              <w:numPr>
                <w:ilvl w:val="0"/>
                <w:numId w:val="1698"/>
              </w:numPr>
              <w:tabs>
                <w:tab w:val="left" w:pos="157"/>
              </w:tabs>
              <w:spacing w:line="153" w:lineRule="exact"/>
              <w:ind w:hanging="99"/>
              <w:rPr>
                <w:sz w:val="14"/>
              </w:rPr>
            </w:pPr>
            <w:r>
              <w:rPr>
                <w:color w:val="231F20"/>
                <w:sz w:val="14"/>
              </w:rPr>
              <w:t>објасни улогу екскреторних</w:t>
            </w:r>
            <w:r>
              <w:rPr>
                <w:color w:val="231F20"/>
                <w:spacing w:val="-17"/>
                <w:sz w:val="14"/>
              </w:rPr>
              <w:t xml:space="preserve"> </w:t>
            </w:r>
            <w:r>
              <w:rPr>
                <w:color w:val="231F20"/>
                <w:sz w:val="14"/>
              </w:rPr>
              <w:t>органа;</w:t>
            </w:r>
          </w:p>
          <w:p w:rsidR="00041039" w:rsidRDefault="001B26CB">
            <w:pPr>
              <w:pStyle w:val="TableParagraph"/>
              <w:numPr>
                <w:ilvl w:val="0"/>
                <w:numId w:val="1698"/>
              </w:numPr>
              <w:tabs>
                <w:tab w:val="left" w:pos="157"/>
              </w:tabs>
              <w:spacing w:line="166" w:lineRule="exact"/>
              <w:ind w:hanging="99"/>
              <w:rPr>
                <w:sz w:val="14"/>
              </w:rPr>
            </w:pPr>
            <w:r>
              <w:rPr>
                <w:color w:val="231F20"/>
                <w:sz w:val="14"/>
              </w:rPr>
              <w:t>објасни улогу органа за</w:t>
            </w:r>
            <w:r>
              <w:rPr>
                <w:color w:val="231F20"/>
                <w:spacing w:val="-19"/>
                <w:sz w:val="14"/>
              </w:rPr>
              <w:t xml:space="preserve"> </w:t>
            </w:r>
            <w:r>
              <w:rPr>
                <w:color w:val="231F20"/>
                <w:sz w:val="14"/>
              </w:rPr>
              <w:t>размножавање;</w:t>
            </w:r>
          </w:p>
        </w:tc>
        <w:tc>
          <w:tcPr>
            <w:tcW w:w="2834" w:type="dxa"/>
          </w:tcPr>
          <w:p w:rsidR="00041039" w:rsidRDefault="001B26CB">
            <w:pPr>
              <w:pStyle w:val="TableParagraph"/>
              <w:numPr>
                <w:ilvl w:val="0"/>
                <w:numId w:val="1697"/>
              </w:numPr>
              <w:tabs>
                <w:tab w:val="left" w:pos="157"/>
              </w:tabs>
              <w:spacing w:before="8" w:line="166" w:lineRule="exact"/>
              <w:ind w:hanging="99"/>
              <w:rPr>
                <w:sz w:val="14"/>
              </w:rPr>
            </w:pPr>
            <w:r>
              <w:rPr>
                <w:color w:val="231F20"/>
                <w:sz w:val="14"/>
              </w:rPr>
              <w:t>Нервни</w:t>
            </w:r>
            <w:r>
              <w:rPr>
                <w:color w:val="231F20"/>
                <w:spacing w:val="-2"/>
                <w:sz w:val="14"/>
              </w:rPr>
              <w:t xml:space="preserve"> </w:t>
            </w:r>
            <w:r>
              <w:rPr>
                <w:color w:val="231F20"/>
                <w:sz w:val="14"/>
              </w:rPr>
              <w:t>систем.</w:t>
            </w:r>
          </w:p>
          <w:p w:rsidR="00041039" w:rsidRDefault="001B26CB">
            <w:pPr>
              <w:pStyle w:val="TableParagraph"/>
              <w:numPr>
                <w:ilvl w:val="0"/>
                <w:numId w:val="1697"/>
              </w:numPr>
              <w:tabs>
                <w:tab w:val="left" w:pos="157"/>
              </w:tabs>
              <w:spacing w:line="160" w:lineRule="exact"/>
              <w:ind w:hanging="99"/>
              <w:rPr>
                <w:sz w:val="14"/>
              </w:rPr>
            </w:pPr>
            <w:r>
              <w:rPr>
                <w:color w:val="231F20"/>
                <w:sz w:val="14"/>
              </w:rPr>
              <w:t>Чула.</w:t>
            </w:r>
          </w:p>
          <w:p w:rsidR="00041039" w:rsidRDefault="001B26CB">
            <w:pPr>
              <w:pStyle w:val="TableParagraph"/>
              <w:numPr>
                <w:ilvl w:val="0"/>
                <w:numId w:val="1697"/>
              </w:numPr>
              <w:tabs>
                <w:tab w:val="left" w:pos="157"/>
              </w:tabs>
              <w:spacing w:line="160" w:lineRule="exact"/>
              <w:ind w:hanging="99"/>
              <w:rPr>
                <w:sz w:val="14"/>
              </w:rPr>
            </w:pPr>
            <w:r>
              <w:rPr>
                <w:color w:val="231F20"/>
                <w:sz w:val="14"/>
              </w:rPr>
              <w:t>Мишићно ­ скелетни систем</w:t>
            </w:r>
            <w:r>
              <w:rPr>
                <w:color w:val="231F20"/>
                <w:spacing w:val="-3"/>
                <w:sz w:val="14"/>
              </w:rPr>
              <w:t xml:space="preserve"> </w:t>
            </w:r>
            <w:r>
              <w:rPr>
                <w:color w:val="231F20"/>
                <w:sz w:val="14"/>
              </w:rPr>
              <w:t>органа.</w:t>
            </w:r>
          </w:p>
          <w:p w:rsidR="00041039" w:rsidRDefault="001B26CB">
            <w:pPr>
              <w:pStyle w:val="TableParagraph"/>
              <w:numPr>
                <w:ilvl w:val="0"/>
                <w:numId w:val="1697"/>
              </w:numPr>
              <w:tabs>
                <w:tab w:val="left" w:pos="157"/>
              </w:tabs>
              <w:spacing w:line="160" w:lineRule="exact"/>
              <w:ind w:hanging="99"/>
              <w:rPr>
                <w:sz w:val="14"/>
              </w:rPr>
            </w:pPr>
            <w:r>
              <w:rPr>
                <w:color w:val="231F20"/>
                <w:sz w:val="14"/>
              </w:rPr>
              <w:t>Ендокрине жлезде­ хуморална</w:t>
            </w:r>
            <w:r>
              <w:rPr>
                <w:color w:val="231F20"/>
                <w:spacing w:val="-11"/>
                <w:sz w:val="14"/>
              </w:rPr>
              <w:t xml:space="preserve"> </w:t>
            </w:r>
            <w:r>
              <w:rPr>
                <w:color w:val="231F20"/>
                <w:sz w:val="14"/>
              </w:rPr>
              <w:t>регулација.</w:t>
            </w:r>
          </w:p>
          <w:p w:rsidR="00041039" w:rsidRDefault="001B26CB">
            <w:pPr>
              <w:pStyle w:val="TableParagraph"/>
              <w:numPr>
                <w:ilvl w:val="0"/>
                <w:numId w:val="1697"/>
              </w:numPr>
              <w:tabs>
                <w:tab w:val="left" w:pos="157"/>
              </w:tabs>
              <w:spacing w:line="160" w:lineRule="exact"/>
              <w:ind w:hanging="99"/>
              <w:rPr>
                <w:sz w:val="14"/>
              </w:rPr>
            </w:pPr>
            <w:r>
              <w:rPr>
                <w:color w:val="231F20"/>
                <w:sz w:val="14"/>
              </w:rPr>
              <w:t>Систем органа за</w:t>
            </w:r>
            <w:r>
              <w:rPr>
                <w:color w:val="231F20"/>
                <w:spacing w:val="-4"/>
                <w:sz w:val="14"/>
              </w:rPr>
              <w:t xml:space="preserve"> </w:t>
            </w:r>
            <w:r>
              <w:rPr>
                <w:color w:val="231F20"/>
                <w:sz w:val="14"/>
              </w:rPr>
              <w:t>варење.</w:t>
            </w:r>
          </w:p>
          <w:p w:rsidR="00041039" w:rsidRDefault="001B26CB">
            <w:pPr>
              <w:pStyle w:val="TableParagraph"/>
              <w:numPr>
                <w:ilvl w:val="0"/>
                <w:numId w:val="1697"/>
              </w:numPr>
              <w:tabs>
                <w:tab w:val="left" w:pos="157"/>
              </w:tabs>
              <w:spacing w:line="160" w:lineRule="exact"/>
              <w:ind w:hanging="99"/>
              <w:rPr>
                <w:sz w:val="14"/>
              </w:rPr>
            </w:pPr>
            <w:r>
              <w:rPr>
                <w:color w:val="231F20"/>
                <w:sz w:val="14"/>
              </w:rPr>
              <w:t>Систем органа за</w:t>
            </w:r>
            <w:r>
              <w:rPr>
                <w:color w:val="231F20"/>
                <w:spacing w:val="-1"/>
                <w:sz w:val="14"/>
              </w:rPr>
              <w:t xml:space="preserve"> </w:t>
            </w:r>
            <w:r>
              <w:rPr>
                <w:color w:val="231F20"/>
                <w:sz w:val="14"/>
              </w:rPr>
              <w:t>дисање.</w:t>
            </w:r>
          </w:p>
          <w:p w:rsidR="00041039" w:rsidRDefault="001B26CB">
            <w:pPr>
              <w:pStyle w:val="TableParagraph"/>
              <w:numPr>
                <w:ilvl w:val="0"/>
                <w:numId w:val="1697"/>
              </w:numPr>
              <w:tabs>
                <w:tab w:val="left" w:pos="157"/>
              </w:tabs>
              <w:spacing w:line="160" w:lineRule="exact"/>
              <w:ind w:hanging="99"/>
              <w:rPr>
                <w:sz w:val="14"/>
              </w:rPr>
            </w:pPr>
            <w:r>
              <w:rPr>
                <w:color w:val="231F20"/>
                <w:sz w:val="14"/>
              </w:rPr>
              <w:t>Систем за циркулацију телесних</w:t>
            </w:r>
            <w:r>
              <w:rPr>
                <w:color w:val="231F20"/>
                <w:spacing w:val="-11"/>
                <w:sz w:val="14"/>
              </w:rPr>
              <w:t xml:space="preserve"> </w:t>
            </w:r>
            <w:r>
              <w:rPr>
                <w:color w:val="231F20"/>
                <w:sz w:val="14"/>
              </w:rPr>
              <w:t>течности.</w:t>
            </w:r>
          </w:p>
          <w:p w:rsidR="00041039" w:rsidRDefault="001B26CB">
            <w:pPr>
              <w:pStyle w:val="TableParagraph"/>
              <w:numPr>
                <w:ilvl w:val="0"/>
                <w:numId w:val="1697"/>
              </w:numPr>
              <w:tabs>
                <w:tab w:val="left" w:pos="157"/>
              </w:tabs>
              <w:spacing w:line="237" w:lineRule="auto"/>
              <w:ind w:right="788" w:hanging="99"/>
              <w:rPr>
                <w:sz w:val="14"/>
              </w:rPr>
            </w:pPr>
            <w:r>
              <w:rPr>
                <w:color w:val="231F20"/>
                <w:sz w:val="14"/>
              </w:rPr>
              <w:t>Систем органа за излучивање</w:t>
            </w:r>
            <w:r>
              <w:rPr>
                <w:color w:val="231F20"/>
                <w:spacing w:val="-10"/>
                <w:sz w:val="14"/>
              </w:rPr>
              <w:t xml:space="preserve"> </w:t>
            </w:r>
            <w:r>
              <w:rPr>
                <w:color w:val="231F20"/>
                <w:sz w:val="14"/>
              </w:rPr>
              <w:t>и размножавање.</w:t>
            </w:r>
          </w:p>
        </w:tc>
        <w:tc>
          <w:tcPr>
            <w:tcW w:w="2267" w:type="dxa"/>
            <w:vMerge w:val="restart"/>
          </w:tcPr>
          <w:p w:rsidR="00041039" w:rsidRDefault="001B26CB">
            <w:pPr>
              <w:pStyle w:val="TableParagraph"/>
              <w:numPr>
                <w:ilvl w:val="0"/>
                <w:numId w:val="1696"/>
              </w:numPr>
              <w:tabs>
                <w:tab w:val="left" w:pos="158"/>
              </w:tabs>
              <w:spacing w:before="8"/>
              <w:ind w:right="213" w:hanging="99"/>
              <w:rPr>
                <w:sz w:val="14"/>
              </w:rPr>
            </w:pPr>
            <w:r>
              <w:rPr>
                <w:color w:val="231F20"/>
                <w:sz w:val="14"/>
              </w:rPr>
              <w:t>комбиновање различитих ди­ дактичких модела</w:t>
            </w:r>
            <w:r>
              <w:rPr>
                <w:color w:val="231F20"/>
                <w:spacing w:val="-20"/>
                <w:sz w:val="14"/>
              </w:rPr>
              <w:t xml:space="preserve"> </w:t>
            </w:r>
            <w:r>
              <w:rPr>
                <w:color w:val="231F20"/>
                <w:sz w:val="14"/>
              </w:rPr>
              <w:t>(проблемска, тимска настава</w:t>
            </w:r>
            <w:r>
              <w:rPr>
                <w:color w:val="231F20"/>
                <w:spacing w:val="-4"/>
                <w:sz w:val="14"/>
              </w:rPr>
              <w:t xml:space="preserve"> </w:t>
            </w:r>
            <w:r>
              <w:rPr>
                <w:color w:val="231F20"/>
                <w:sz w:val="14"/>
              </w:rPr>
              <w:t>биологије);</w:t>
            </w:r>
          </w:p>
          <w:p w:rsidR="00041039" w:rsidRDefault="001B26CB">
            <w:pPr>
              <w:pStyle w:val="TableParagraph"/>
              <w:numPr>
                <w:ilvl w:val="0"/>
                <w:numId w:val="1696"/>
              </w:numPr>
              <w:tabs>
                <w:tab w:val="left" w:pos="158"/>
              </w:tabs>
              <w:spacing w:line="157" w:lineRule="exact"/>
              <w:ind w:hanging="99"/>
              <w:rPr>
                <w:sz w:val="14"/>
              </w:rPr>
            </w:pPr>
            <w:r>
              <w:rPr>
                <w:color w:val="231F20"/>
                <w:sz w:val="14"/>
              </w:rPr>
              <w:t>реализација самосталних</w:t>
            </w:r>
            <w:r>
              <w:rPr>
                <w:color w:val="231F20"/>
                <w:spacing w:val="-3"/>
                <w:sz w:val="14"/>
              </w:rPr>
              <w:t xml:space="preserve"> </w:t>
            </w:r>
            <w:r>
              <w:rPr>
                <w:color w:val="231F20"/>
                <w:sz w:val="14"/>
              </w:rPr>
              <w:t>ученич­</w:t>
            </w:r>
          </w:p>
          <w:p w:rsidR="00041039" w:rsidRDefault="001B26CB">
            <w:pPr>
              <w:pStyle w:val="TableParagraph"/>
              <w:ind w:left="157" w:right="169"/>
              <w:rPr>
                <w:sz w:val="14"/>
              </w:rPr>
            </w:pPr>
            <w:r>
              <w:rPr>
                <w:color w:val="231F20"/>
                <w:sz w:val="14"/>
              </w:rPr>
              <w:t>ких радова (есеји, презентације, реферати, пројекти, дебате).</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696"/>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696"/>
              </w:numPr>
              <w:tabs>
                <w:tab w:val="left" w:pos="158"/>
              </w:tabs>
              <w:spacing w:line="160"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1B26CB">
            <w:pPr>
              <w:pStyle w:val="TableParagraph"/>
              <w:numPr>
                <w:ilvl w:val="0"/>
                <w:numId w:val="1696"/>
              </w:numPr>
              <w:tabs>
                <w:tab w:val="left" w:pos="158"/>
              </w:tabs>
              <w:spacing w:line="160" w:lineRule="exact"/>
              <w:ind w:hanging="99"/>
              <w:rPr>
                <w:sz w:val="14"/>
              </w:rPr>
            </w:pPr>
            <w:r>
              <w:rPr>
                <w:color w:val="231F20"/>
                <w:sz w:val="14"/>
              </w:rPr>
              <w:t>усмене</w:t>
            </w:r>
            <w:r>
              <w:rPr>
                <w:color w:val="231F20"/>
                <w:spacing w:val="-1"/>
                <w:sz w:val="14"/>
              </w:rPr>
              <w:t xml:space="preserve"> </w:t>
            </w:r>
            <w:r>
              <w:rPr>
                <w:color w:val="231F20"/>
                <w:sz w:val="14"/>
              </w:rPr>
              <w:t>провере</w:t>
            </w:r>
          </w:p>
          <w:p w:rsidR="00041039" w:rsidRDefault="001B26CB">
            <w:pPr>
              <w:pStyle w:val="TableParagraph"/>
              <w:numPr>
                <w:ilvl w:val="0"/>
                <w:numId w:val="1696"/>
              </w:numPr>
              <w:tabs>
                <w:tab w:val="left" w:pos="158"/>
              </w:tabs>
              <w:spacing w:line="160" w:lineRule="exact"/>
              <w:ind w:hanging="99"/>
              <w:rPr>
                <w:sz w:val="14"/>
              </w:rPr>
            </w:pPr>
            <w:r>
              <w:rPr>
                <w:color w:val="231F20"/>
                <w:sz w:val="14"/>
              </w:rPr>
              <w:t>израде презентација и</w:t>
            </w:r>
            <w:r>
              <w:rPr>
                <w:color w:val="231F20"/>
                <w:spacing w:val="-9"/>
                <w:sz w:val="14"/>
              </w:rPr>
              <w:t xml:space="preserve"> </w:t>
            </w:r>
            <w:r>
              <w:rPr>
                <w:color w:val="231F20"/>
                <w:sz w:val="14"/>
              </w:rPr>
              <w:t>пројеката</w:t>
            </w:r>
          </w:p>
          <w:p w:rsidR="00041039" w:rsidRDefault="001B26CB">
            <w:pPr>
              <w:pStyle w:val="TableParagraph"/>
              <w:numPr>
                <w:ilvl w:val="0"/>
                <w:numId w:val="1696"/>
              </w:numPr>
              <w:tabs>
                <w:tab w:val="left" w:pos="158"/>
              </w:tabs>
              <w:spacing w:line="237" w:lineRule="auto"/>
              <w:ind w:right="740" w:hanging="99"/>
              <w:rPr>
                <w:sz w:val="14"/>
              </w:rPr>
            </w:pPr>
            <w:r>
              <w:rPr>
                <w:color w:val="231F20"/>
                <w:sz w:val="14"/>
              </w:rPr>
              <w:t>организовања дебата</w:t>
            </w:r>
            <w:r>
              <w:rPr>
                <w:color w:val="231F20"/>
                <w:spacing w:val="-6"/>
                <w:sz w:val="14"/>
              </w:rPr>
              <w:t xml:space="preserve"> </w:t>
            </w:r>
            <w:r>
              <w:rPr>
                <w:color w:val="231F20"/>
                <w:sz w:val="14"/>
              </w:rPr>
              <w:t>и учествовања у</w:t>
            </w:r>
            <w:r>
              <w:rPr>
                <w:color w:val="231F20"/>
                <w:spacing w:val="-1"/>
                <w:sz w:val="14"/>
              </w:rPr>
              <w:t xml:space="preserve"> </w:t>
            </w:r>
            <w:r>
              <w:rPr>
                <w:color w:val="231F20"/>
                <w:sz w:val="14"/>
              </w:rPr>
              <w:t>њима</w:t>
            </w:r>
          </w:p>
          <w:p w:rsidR="00041039" w:rsidRDefault="00041039">
            <w:pPr>
              <w:pStyle w:val="TableParagraph"/>
              <w:spacing w:before="5"/>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696"/>
              </w:numPr>
              <w:tabs>
                <w:tab w:val="left" w:pos="158"/>
              </w:tabs>
              <w:spacing w:line="160" w:lineRule="exact"/>
              <w:ind w:hanging="99"/>
              <w:rPr>
                <w:b/>
                <w:sz w:val="14"/>
              </w:rPr>
            </w:pPr>
            <w:r>
              <w:rPr>
                <w:color w:val="231F20"/>
                <w:sz w:val="14"/>
              </w:rPr>
              <w:t xml:space="preserve">Биологија ћелије </w:t>
            </w:r>
            <w:r>
              <w:rPr>
                <w:b/>
                <w:color w:val="231F20"/>
                <w:sz w:val="14"/>
              </w:rPr>
              <w:t>(7 или 6</w:t>
            </w:r>
            <w:r>
              <w:rPr>
                <w:b/>
                <w:color w:val="231F20"/>
                <w:spacing w:val="-15"/>
                <w:sz w:val="14"/>
              </w:rPr>
              <w:t xml:space="preserve"> </w:t>
            </w:r>
            <w:r>
              <w:rPr>
                <w:b/>
                <w:color w:val="231F20"/>
                <w:sz w:val="14"/>
              </w:rPr>
              <w:t>часова)</w:t>
            </w:r>
          </w:p>
          <w:p w:rsidR="00041039" w:rsidRDefault="001B26CB">
            <w:pPr>
              <w:pStyle w:val="TableParagraph"/>
              <w:numPr>
                <w:ilvl w:val="0"/>
                <w:numId w:val="1696"/>
              </w:numPr>
              <w:tabs>
                <w:tab w:val="left" w:pos="158"/>
              </w:tabs>
              <w:spacing w:line="237" w:lineRule="auto"/>
              <w:ind w:right="223" w:hanging="99"/>
              <w:rPr>
                <w:b/>
                <w:sz w:val="14"/>
              </w:rPr>
            </w:pPr>
            <w:r>
              <w:rPr>
                <w:color w:val="231F20"/>
                <w:sz w:val="14"/>
              </w:rPr>
              <w:t>Основи физиологије човека</w:t>
            </w:r>
            <w:r>
              <w:rPr>
                <w:color w:val="231F20"/>
                <w:spacing w:val="-16"/>
                <w:sz w:val="14"/>
              </w:rPr>
              <w:t xml:space="preserve"> </w:t>
            </w:r>
            <w:r>
              <w:rPr>
                <w:b/>
                <w:color w:val="231F20"/>
                <w:sz w:val="14"/>
              </w:rPr>
              <w:t>(30 или 25</w:t>
            </w:r>
            <w:r>
              <w:rPr>
                <w:b/>
                <w:color w:val="231F20"/>
                <w:spacing w:val="-2"/>
                <w:sz w:val="14"/>
              </w:rPr>
              <w:t xml:space="preserve"> </w:t>
            </w:r>
            <w:r>
              <w:rPr>
                <w:b/>
                <w:color w:val="231F20"/>
                <w:sz w:val="14"/>
              </w:rPr>
              <w:t>часова)</w:t>
            </w:r>
          </w:p>
          <w:p w:rsidR="00041039" w:rsidRDefault="001B26CB">
            <w:pPr>
              <w:pStyle w:val="TableParagraph"/>
              <w:numPr>
                <w:ilvl w:val="0"/>
                <w:numId w:val="1696"/>
              </w:numPr>
              <w:tabs>
                <w:tab w:val="left" w:pos="158"/>
              </w:tabs>
              <w:spacing w:line="160" w:lineRule="exact"/>
              <w:ind w:right="352" w:hanging="99"/>
              <w:rPr>
                <w:b/>
                <w:sz w:val="14"/>
              </w:rPr>
            </w:pPr>
            <w:r>
              <w:rPr>
                <w:color w:val="231F20"/>
                <w:sz w:val="14"/>
              </w:rPr>
              <w:t>Биологија развића човека</w:t>
            </w:r>
            <w:r>
              <w:rPr>
                <w:color w:val="231F20"/>
                <w:spacing w:val="-13"/>
                <w:sz w:val="14"/>
              </w:rPr>
              <w:t xml:space="preserve"> </w:t>
            </w:r>
            <w:r>
              <w:rPr>
                <w:b/>
                <w:color w:val="231F20"/>
                <w:sz w:val="14"/>
              </w:rPr>
              <w:t>(12 часова)</w:t>
            </w:r>
          </w:p>
          <w:p w:rsidR="00041039" w:rsidRDefault="001B26CB">
            <w:pPr>
              <w:pStyle w:val="TableParagraph"/>
              <w:numPr>
                <w:ilvl w:val="0"/>
                <w:numId w:val="1696"/>
              </w:numPr>
              <w:tabs>
                <w:tab w:val="left" w:pos="158"/>
              </w:tabs>
              <w:spacing w:line="158" w:lineRule="exact"/>
              <w:ind w:hanging="99"/>
              <w:rPr>
                <w:sz w:val="14"/>
              </w:rPr>
            </w:pPr>
            <w:r>
              <w:rPr>
                <w:color w:val="231F20"/>
                <w:sz w:val="14"/>
              </w:rPr>
              <w:t>Наслеђивање биолошких</w:t>
            </w:r>
            <w:r>
              <w:rPr>
                <w:color w:val="231F20"/>
                <w:spacing w:val="-7"/>
                <w:sz w:val="14"/>
              </w:rPr>
              <w:t xml:space="preserve"> </w:t>
            </w:r>
            <w:r>
              <w:rPr>
                <w:color w:val="231F20"/>
                <w:sz w:val="14"/>
              </w:rPr>
              <w:t>особина</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1696"/>
              </w:numPr>
              <w:tabs>
                <w:tab w:val="left" w:pos="158"/>
              </w:tabs>
              <w:spacing w:line="165" w:lineRule="exact"/>
              <w:ind w:hanging="99"/>
              <w:rPr>
                <w:sz w:val="14"/>
              </w:rPr>
            </w:pPr>
            <w:r>
              <w:rPr>
                <w:color w:val="231F20"/>
                <w:sz w:val="14"/>
              </w:rPr>
              <w:t>Полно и репродуктивно</w:t>
            </w:r>
            <w:r>
              <w:rPr>
                <w:color w:val="231F20"/>
                <w:spacing w:val="-10"/>
                <w:sz w:val="14"/>
              </w:rPr>
              <w:t xml:space="preserve"> </w:t>
            </w:r>
            <w:r>
              <w:rPr>
                <w:color w:val="231F20"/>
                <w:sz w:val="14"/>
              </w:rPr>
              <w:t>здравље</w:t>
            </w:r>
          </w:p>
          <w:p w:rsidR="00041039" w:rsidRDefault="001B26CB">
            <w:pPr>
              <w:pStyle w:val="TableParagraph"/>
              <w:spacing w:line="160" w:lineRule="exact"/>
              <w:ind w:left="157"/>
              <w:rPr>
                <w:b/>
                <w:sz w:val="14"/>
              </w:rPr>
            </w:pPr>
            <w:r>
              <w:rPr>
                <w:b/>
                <w:color w:val="231F20"/>
                <w:sz w:val="14"/>
              </w:rPr>
              <w:t>(9 часова)</w:t>
            </w:r>
          </w:p>
        </w:tc>
      </w:tr>
      <w:tr w:rsidR="00041039">
        <w:trPr>
          <w:trHeight w:val="1480"/>
        </w:trPr>
        <w:tc>
          <w:tcPr>
            <w:tcW w:w="1304" w:type="dxa"/>
          </w:tcPr>
          <w:p w:rsidR="00041039" w:rsidRDefault="001B26CB">
            <w:pPr>
              <w:pStyle w:val="TableParagraph"/>
              <w:spacing w:before="19"/>
              <w:ind w:left="56" w:right="123"/>
              <w:rPr>
                <w:sz w:val="14"/>
              </w:rPr>
            </w:pPr>
            <w:r>
              <w:rPr>
                <w:color w:val="231F20"/>
                <w:sz w:val="14"/>
              </w:rPr>
              <w:t>Биологија развића човека</w:t>
            </w:r>
          </w:p>
        </w:tc>
        <w:tc>
          <w:tcPr>
            <w:tcW w:w="1587" w:type="dxa"/>
          </w:tcPr>
          <w:p w:rsidR="00041039" w:rsidRDefault="001B26CB">
            <w:pPr>
              <w:pStyle w:val="TableParagraph"/>
              <w:numPr>
                <w:ilvl w:val="0"/>
                <w:numId w:val="1695"/>
              </w:numPr>
              <w:tabs>
                <w:tab w:val="left" w:pos="157"/>
              </w:tabs>
              <w:spacing w:before="9"/>
              <w:ind w:right="115"/>
              <w:rPr>
                <w:sz w:val="14"/>
              </w:rPr>
            </w:pPr>
            <w:r>
              <w:rPr>
                <w:color w:val="231F20"/>
                <w:sz w:val="14"/>
              </w:rPr>
              <w:t>Упознавање са</w:t>
            </w:r>
            <w:r>
              <w:rPr>
                <w:color w:val="231F20"/>
                <w:spacing w:val="-14"/>
                <w:sz w:val="14"/>
              </w:rPr>
              <w:t xml:space="preserve"> </w:t>
            </w:r>
            <w:r>
              <w:rPr>
                <w:color w:val="231F20"/>
                <w:sz w:val="14"/>
              </w:rPr>
              <w:t>основ­ нимфазама развића човека.</w:t>
            </w:r>
          </w:p>
          <w:p w:rsidR="00041039" w:rsidRDefault="001B26CB">
            <w:pPr>
              <w:pStyle w:val="TableParagraph"/>
              <w:numPr>
                <w:ilvl w:val="0"/>
                <w:numId w:val="1695"/>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процеса</w:t>
            </w:r>
          </w:p>
          <w:p w:rsidR="00041039" w:rsidRDefault="001B26CB">
            <w:pPr>
              <w:pStyle w:val="TableParagraph"/>
              <w:spacing w:line="160" w:lineRule="exact"/>
              <w:rPr>
                <w:sz w:val="14"/>
              </w:rPr>
            </w:pPr>
            <w:r>
              <w:rPr>
                <w:color w:val="231F20"/>
                <w:sz w:val="14"/>
              </w:rPr>
              <w:t>полног сазревања.</w:t>
            </w:r>
          </w:p>
        </w:tc>
        <w:tc>
          <w:tcPr>
            <w:tcW w:w="2551" w:type="dxa"/>
          </w:tcPr>
          <w:p w:rsidR="00041039" w:rsidRDefault="001B26CB">
            <w:pPr>
              <w:pStyle w:val="TableParagraph"/>
              <w:numPr>
                <w:ilvl w:val="0"/>
                <w:numId w:val="1694"/>
              </w:numPr>
              <w:tabs>
                <w:tab w:val="left" w:pos="157"/>
              </w:tabs>
              <w:spacing w:before="9"/>
              <w:ind w:right="349" w:hanging="99"/>
              <w:rPr>
                <w:sz w:val="14"/>
              </w:rPr>
            </w:pPr>
            <w:r>
              <w:rPr>
                <w:color w:val="231F20"/>
                <w:sz w:val="14"/>
              </w:rPr>
              <w:t>објасни процесе сперматогенезе</w:t>
            </w:r>
            <w:r>
              <w:rPr>
                <w:color w:val="231F20"/>
                <w:spacing w:val="-12"/>
                <w:sz w:val="14"/>
              </w:rPr>
              <w:t xml:space="preserve"> </w:t>
            </w:r>
            <w:r>
              <w:rPr>
                <w:color w:val="231F20"/>
                <w:sz w:val="14"/>
              </w:rPr>
              <w:t>и оогенезе;</w:t>
            </w:r>
          </w:p>
          <w:p w:rsidR="00041039" w:rsidRDefault="001B26CB">
            <w:pPr>
              <w:pStyle w:val="TableParagraph"/>
              <w:numPr>
                <w:ilvl w:val="0"/>
                <w:numId w:val="1694"/>
              </w:numPr>
              <w:tabs>
                <w:tab w:val="left" w:pos="157"/>
              </w:tabs>
              <w:spacing w:line="153" w:lineRule="exact"/>
              <w:ind w:hanging="99"/>
              <w:rPr>
                <w:sz w:val="14"/>
              </w:rPr>
            </w:pPr>
            <w:r>
              <w:rPr>
                <w:color w:val="231F20"/>
                <w:sz w:val="14"/>
              </w:rPr>
              <w:t>опише процес</w:t>
            </w:r>
            <w:r>
              <w:rPr>
                <w:color w:val="231F20"/>
                <w:spacing w:val="-1"/>
                <w:sz w:val="14"/>
              </w:rPr>
              <w:t xml:space="preserve"> </w:t>
            </w:r>
            <w:r>
              <w:rPr>
                <w:color w:val="231F20"/>
                <w:sz w:val="14"/>
              </w:rPr>
              <w:t>оплођења;</w:t>
            </w:r>
          </w:p>
          <w:p w:rsidR="00041039" w:rsidRDefault="001B26CB">
            <w:pPr>
              <w:pStyle w:val="TableParagraph"/>
              <w:numPr>
                <w:ilvl w:val="0"/>
                <w:numId w:val="1694"/>
              </w:numPr>
              <w:tabs>
                <w:tab w:val="left" w:pos="157"/>
              </w:tabs>
              <w:spacing w:line="160" w:lineRule="exact"/>
              <w:ind w:hanging="99"/>
              <w:rPr>
                <w:sz w:val="14"/>
              </w:rPr>
            </w:pPr>
            <w:r>
              <w:rPr>
                <w:color w:val="231F20"/>
                <w:sz w:val="14"/>
              </w:rPr>
              <w:t>наведе фазе интраутеричног</w:t>
            </w:r>
            <w:r>
              <w:rPr>
                <w:color w:val="231F20"/>
                <w:spacing w:val="-6"/>
                <w:sz w:val="14"/>
              </w:rPr>
              <w:t xml:space="preserve"> </w:t>
            </w:r>
            <w:r>
              <w:rPr>
                <w:color w:val="231F20"/>
                <w:sz w:val="14"/>
              </w:rPr>
              <w:t>развића;</w:t>
            </w:r>
          </w:p>
          <w:p w:rsidR="00041039" w:rsidRDefault="001B26CB">
            <w:pPr>
              <w:pStyle w:val="TableParagraph"/>
              <w:numPr>
                <w:ilvl w:val="0"/>
                <w:numId w:val="1694"/>
              </w:numPr>
              <w:tabs>
                <w:tab w:val="left" w:pos="157"/>
              </w:tabs>
              <w:spacing w:line="237" w:lineRule="auto"/>
              <w:ind w:right="355" w:hanging="99"/>
              <w:rPr>
                <w:sz w:val="14"/>
              </w:rPr>
            </w:pPr>
            <w:r>
              <w:rPr>
                <w:color w:val="231F20"/>
                <w:sz w:val="14"/>
              </w:rPr>
              <w:t>објасни настанак ткива и</w:t>
            </w:r>
            <w:r>
              <w:rPr>
                <w:color w:val="231F20"/>
                <w:spacing w:val="-13"/>
                <w:sz w:val="14"/>
              </w:rPr>
              <w:t xml:space="preserve"> </w:t>
            </w:r>
            <w:r>
              <w:rPr>
                <w:color w:val="231F20"/>
                <w:sz w:val="14"/>
              </w:rPr>
              <w:t>зачетака органа;</w:t>
            </w:r>
          </w:p>
          <w:p w:rsidR="00041039" w:rsidRDefault="001B26CB">
            <w:pPr>
              <w:pStyle w:val="TableParagraph"/>
              <w:numPr>
                <w:ilvl w:val="0"/>
                <w:numId w:val="1694"/>
              </w:numPr>
              <w:tabs>
                <w:tab w:val="left" w:pos="157"/>
              </w:tabs>
              <w:spacing w:line="160" w:lineRule="exact"/>
              <w:ind w:right="48" w:hanging="99"/>
              <w:rPr>
                <w:sz w:val="14"/>
              </w:rPr>
            </w:pPr>
            <w:r>
              <w:rPr>
                <w:color w:val="231F20"/>
                <w:sz w:val="14"/>
              </w:rPr>
              <w:t>опише промене које се догађају у</w:t>
            </w:r>
            <w:r>
              <w:rPr>
                <w:color w:val="231F20"/>
                <w:spacing w:val="-13"/>
                <w:sz w:val="14"/>
              </w:rPr>
              <w:t xml:space="preserve"> </w:t>
            </w:r>
            <w:r>
              <w:rPr>
                <w:color w:val="231F20"/>
                <w:sz w:val="14"/>
              </w:rPr>
              <w:t xml:space="preserve">орга­ низму </w:t>
            </w:r>
            <w:r>
              <w:rPr>
                <w:color w:val="231F20"/>
                <w:spacing w:val="-3"/>
                <w:sz w:val="14"/>
              </w:rPr>
              <w:t xml:space="preserve">од </w:t>
            </w:r>
            <w:r>
              <w:rPr>
                <w:color w:val="231F20"/>
                <w:sz w:val="14"/>
              </w:rPr>
              <w:t>рођења до</w:t>
            </w:r>
            <w:r>
              <w:rPr>
                <w:color w:val="231F20"/>
                <w:sz w:val="14"/>
              </w:rPr>
              <w:t xml:space="preserve"> </w:t>
            </w:r>
            <w:r>
              <w:rPr>
                <w:color w:val="231F20"/>
                <w:sz w:val="14"/>
              </w:rPr>
              <w:t>пубертета;</w:t>
            </w:r>
          </w:p>
          <w:p w:rsidR="00041039" w:rsidRDefault="001B26CB">
            <w:pPr>
              <w:pStyle w:val="TableParagraph"/>
              <w:numPr>
                <w:ilvl w:val="0"/>
                <w:numId w:val="1694"/>
              </w:numPr>
              <w:tabs>
                <w:tab w:val="left" w:pos="157"/>
              </w:tabs>
              <w:spacing w:line="158" w:lineRule="exact"/>
              <w:ind w:hanging="99"/>
              <w:rPr>
                <w:sz w:val="14"/>
              </w:rPr>
            </w:pPr>
            <w:r>
              <w:rPr>
                <w:color w:val="231F20"/>
                <w:sz w:val="14"/>
              </w:rPr>
              <w:t>објасни полно</w:t>
            </w:r>
            <w:r>
              <w:rPr>
                <w:color w:val="231F20"/>
                <w:spacing w:val="-2"/>
                <w:sz w:val="14"/>
              </w:rPr>
              <w:t xml:space="preserve"> </w:t>
            </w:r>
            <w:r>
              <w:rPr>
                <w:color w:val="231F20"/>
                <w:sz w:val="14"/>
              </w:rPr>
              <w:t>сазревање;</w:t>
            </w:r>
          </w:p>
        </w:tc>
        <w:tc>
          <w:tcPr>
            <w:tcW w:w="2834" w:type="dxa"/>
          </w:tcPr>
          <w:p w:rsidR="00041039" w:rsidRDefault="001B26CB">
            <w:pPr>
              <w:pStyle w:val="TableParagraph"/>
              <w:numPr>
                <w:ilvl w:val="0"/>
                <w:numId w:val="1693"/>
              </w:numPr>
              <w:tabs>
                <w:tab w:val="left" w:pos="157"/>
              </w:tabs>
              <w:spacing w:before="9" w:line="166" w:lineRule="exact"/>
              <w:ind w:hanging="99"/>
              <w:rPr>
                <w:sz w:val="14"/>
              </w:rPr>
            </w:pPr>
            <w:r>
              <w:rPr>
                <w:color w:val="231F20"/>
                <w:sz w:val="14"/>
              </w:rPr>
              <w:t>Стварање и сазревање полних</w:t>
            </w:r>
            <w:r>
              <w:rPr>
                <w:color w:val="231F20"/>
                <w:spacing w:val="-5"/>
                <w:sz w:val="14"/>
              </w:rPr>
              <w:t xml:space="preserve"> </w:t>
            </w:r>
            <w:r>
              <w:rPr>
                <w:color w:val="231F20"/>
                <w:sz w:val="14"/>
              </w:rPr>
              <w:t>ћелија.</w:t>
            </w:r>
          </w:p>
          <w:p w:rsidR="00041039" w:rsidRDefault="001B26CB">
            <w:pPr>
              <w:pStyle w:val="TableParagraph"/>
              <w:numPr>
                <w:ilvl w:val="0"/>
                <w:numId w:val="1693"/>
              </w:numPr>
              <w:tabs>
                <w:tab w:val="left" w:pos="157"/>
              </w:tabs>
              <w:spacing w:line="160" w:lineRule="exact"/>
              <w:ind w:hanging="99"/>
              <w:rPr>
                <w:sz w:val="14"/>
              </w:rPr>
            </w:pPr>
            <w:r>
              <w:rPr>
                <w:color w:val="231F20"/>
                <w:sz w:val="14"/>
              </w:rPr>
              <w:t>Оплођење.</w:t>
            </w:r>
          </w:p>
          <w:p w:rsidR="00041039" w:rsidRDefault="001B26CB">
            <w:pPr>
              <w:pStyle w:val="TableParagraph"/>
              <w:numPr>
                <w:ilvl w:val="0"/>
                <w:numId w:val="1693"/>
              </w:numPr>
              <w:tabs>
                <w:tab w:val="left" w:pos="157"/>
              </w:tabs>
              <w:spacing w:line="160" w:lineRule="exact"/>
              <w:ind w:hanging="99"/>
              <w:rPr>
                <w:sz w:val="14"/>
              </w:rPr>
            </w:pPr>
            <w:r>
              <w:rPr>
                <w:color w:val="231F20"/>
                <w:sz w:val="14"/>
              </w:rPr>
              <w:t>Интраутерично</w:t>
            </w:r>
            <w:r>
              <w:rPr>
                <w:color w:val="231F20"/>
                <w:spacing w:val="-1"/>
                <w:sz w:val="14"/>
              </w:rPr>
              <w:t xml:space="preserve"> </w:t>
            </w:r>
            <w:r>
              <w:rPr>
                <w:color w:val="231F20"/>
                <w:sz w:val="14"/>
              </w:rPr>
              <w:t>развиће.</w:t>
            </w:r>
          </w:p>
          <w:p w:rsidR="00041039" w:rsidRDefault="001B26CB">
            <w:pPr>
              <w:pStyle w:val="TableParagraph"/>
              <w:numPr>
                <w:ilvl w:val="0"/>
                <w:numId w:val="1693"/>
              </w:numPr>
              <w:tabs>
                <w:tab w:val="left" w:pos="157"/>
              </w:tabs>
              <w:spacing w:line="160" w:lineRule="exact"/>
              <w:ind w:hanging="99"/>
              <w:rPr>
                <w:sz w:val="14"/>
              </w:rPr>
            </w:pPr>
            <w:r>
              <w:rPr>
                <w:color w:val="231F20"/>
                <w:sz w:val="14"/>
              </w:rPr>
              <w:t>Рађање и</w:t>
            </w:r>
            <w:r>
              <w:rPr>
                <w:color w:val="231F20"/>
                <w:spacing w:val="-3"/>
                <w:sz w:val="14"/>
              </w:rPr>
              <w:t xml:space="preserve"> </w:t>
            </w:r>
            <w:r>
              <w:rPr>
                <w:color w:val="231F20"/>
                <w:sz w:val="14"/>
              </w:rPr>
              <w:t>детињство.</w:t>
            </w:r>
          </w:p>
          <w:p w:rsidR="00041039" w:rsidRDefault="001B26CB">
            <w:pPr>
              <w:pStyle w:val="TableParagraph"/>
              <w:numPr>
                <w:ilvl w:val="0"/>
                <w:numId w:val="1693"/>
              </w:numPr>
              <w:tabs>
                <w:tab w:val="left" w:pos="157"/>
              </w:tabs>
              <w:spacing w:line="166" w:lineRule="exact"/>
              <w:ind w:hanging="99"/>
              <w:rPr>
                <w:sz w:val="14"/>
              </w:rPr>
            </w:pPr>
            <w:r>
              <w:rPr>
                <w:color w:val="231F20"/>
                <w:sz w:val="14"/>
              </w:rPr>
              <w:t>Полно</w:t>
            </w:r>
            <w:r>
              <w:rPr>
                <w:color w:val="231F20"/>
                <w:spacing w:val="-2"/>
                <w:sz w:val="14"/>
              </w:rPr>
              <w:t xml:space="preserve"> </w:t>
            </w:r>
            <w:r>
              <w:rPr>
                <w:color w:val="231F20"/>
                <w:sz w:val="14"/>
              </w:rPr>
              <w:t>сазревање.</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19"/>
              <w:ind w:left="56" w:right="128"/>
              <w:rPr>
                <w:sz w:val="14"/>
              </w:rPr>
            </w:pPr>
            <w:r>
              <w:rPr>
                <w:color w:val="231F20"/>
                <w:sz w:val="14"/>
              </w:rPr>
              <w:t>Наслеђивање био­ лошких особина</w:t>
            </w:r>
          </w:p>
        </w:tc>
        <w:tc>
          <w:tcPr>
            <w:tcW w:w="1587" w:type="dxa"/>
          </w:tcPr>
          <w:p w:rsidR="00041039" w:rsidRDefault="001B26CB">
            <w:pPr>
              <w:pStyle w:val="TableParagraph"/>
              <w:numPr>
                <w:ilvl w:val="0"/>
                <w:numId w:val="1692"/>
              </w:numPr>
              <w:tabs>
                <w:tab w:val="left" w:pos="157"/>
              </w:tabs>
              <w:spacing w:before="9"/>
              <w:ind w:right="115"/>
              <w:rPr>
                <w:sz w:val="14"/>
              </w:rPr>
            </w:pPr>
            <w:r>
              <w:rPr>
                <w:color w:val="231F20"/>
                <w:sz w:val="14"/>
              </w:rPr>
              <w:t>Разумевање</w:t>
            </w:r>
            <w:r>
              <w:rPr>
                <w:color w:val="231F20"/>
                <w:spacing w:val="-6"/>
                <w:sz w:val="14"/>
              </w:rPr>
              <w:t xml:space="preserve"> </w:t>
            </w:r>
            <w:r>
              <w:rPr>
                <w:color w:val="231F20"/>
                <w:sz w:val="14"/>
              </w:rPr>
              <w:t>основних принципанаслеђи­ вањаособина.</w:t>
            </w:r>
          </w:p>
        </w:tc>
        <w:tc>
          <w:tcPr>
            <w:tcW w:w="2551" w:type="dxa"/>
          </w:tcPr>
          <w:p w:rsidR="00041039" w:rsidRDefault="001B26CB">
            <w:pPr>
              <w:pStyle w:val="TableParagraph"/>
              <w:numPr>
                <w:ilvl w:val="0"/>
                <w:numId w:val="1691"/>
              </w:numPr>
              <w:tabs>
                <w:tab w:val="left" w:pos="157"/>
              </w:tabs>
              <w:spacing w:before="9" w:line="166" w:lineRule="exact"/>
              <w:ind w:hanging="99"/>
              <w:rPr>
                <w:sz w:val="14"/>
              </w:rPr>
            </w:pPr>
            <w:r>
              <w:rPr>
                <w:color w:val="231F20"/>
                <w:sz w:val="14"/>
              </w:rPr>
              <w:t>упореди ДНК, хроматин,</w:t>
            </w:r>
            <w:r>
              <w:rPr>
                <w:color w:val="231F20"/>
                <w:spacing w:val="-8"/>
                <w:sz w:val="14"/>
              </w:rPr>
              <w:t xml:space="preserve"> </w:t>
            </w:r>
            <w:r>
              <w:rPr>
                <w:color w:val="231F20"/>
                <w:sz w:val="14"/>
              </w:rPr>
              <w:t>хромозом;</w:t>
            </w:r>
          </w:p>
          <w:p w:rsidR="00041039" w:rsidRDefault="001B26CB">
            <w:pPr>
              <w:pStyle w:val="TableParagraph"/>
              <w:numPr>
                <w:ilvl w:val="0"/>
                <w:numId w:val="1691"/>
              </w:numPr>
              <w:tabs>
                <w:tab w:val="left" w:pos="157"/>
              </w:tabs>
              <w:spacing w:line="237" w:lineRule="auto"/>
              <w:ind w:right="205" w:hanging="99"/>
              <w:rPr>
                <w:sz w:val="14"/>
              </w:rPr>
            </w:pPr>
            <w:r>
              <w:rPr>
                <w:color w:val="231F20"/>
                <w:sz w:val="14"/>
              </w:rPr>
              <w:t>дефинише ген, геном, генотип,</w:t>
            </w:r>
            <w:r>
              <w:rPr>
                <w:color w:val="231F20"/>
                <w:spacing w:val="-13"/>
                <w:sz w:val="14"/>
              </w:rPr>
              <w:t xml:space="preserve"> </w:t>
            </w:r>
            <w:r>
              <w:rPr>
                <w:color w:val="231F20"/>
                <w:sz w:val="14"/>
              </w:rPr>
              <w:t>фено тип;</w:t>
            </w:r>
          </w:p>
          <w:p w:rsidR="00041039" w:rsidRDefault="001B26CB">
            <w:pPr>
              <w:pStyle w:val="TableParagraph"/>
              <w:numPr>
                <w:ilvl w:val="0"/>
                <w:numId w:val="1691"/>
              </w:numPr>
              <w:tabs>
                <w:tab w:val="left" w:pos="157"/>
              </w:tabs>
              <w:spacing w:line="160" w:lineRule="exact"/>
              <w:ind w:right="95" w:hanging="99"/>
              <w:rPr>
                <w:sz w:val="14"/>
              </w:rPr>
            </w:pPr>
            <w:r>
              <w:rPr>
                <w:color w:val="231F20"/>
                <w:sz w:val="14"/>
              </w:rPr>
              <w:t>објасни основна правила наслеђивања особина (Менделова</w:t>
            </w:r>
            <w:r>
              <w:rPr>
                <w:color w:val="231F20"/>
                <w:spacing w:val="-2"/>
                <w:sz w:val="14"/>
              </w:rPr>
              <w:t xml:space="preserve"> </w:t>
            </w:r>
            <w:r>
              <w:rPr>
                <w:color w:val="231F20"/>
                <w:sz w:val="14"/>
              </w:rPr>
              <w:t>правила);</w:t>
            </w:r>
          </w:p>
          <w:p w:rsidR="00041039" w:rsidRDefault="001B26CB">
            <w:pPr>
              <w:pStyle w:val="TableParagraph"/>
              <w:numPr>
                <w:ilvl w:val="0"/>
                <w:numId w:val="1691"/>
              </w:numPr>
              <w:tabs>
                <w:tab w:val="left" w:pos="157"/>
              </w:tabs>
              <w:spacing w:line="153" w:lineRule="exact"/>
              <w:ind w:hanging="99"/>
              <w:rPr>
                <w:sz w:val="14"/>
              </w:rPr>
            </w:pPr>
            <w:r>
              <w:rPr>
                <w:color w:val="231F20"/>
                <w:sz w:val="14"/>
              </w:rPr>
              <w:t>објасни типове наслеђивања</w:t>
            </w:r>
            <w:r>
              <w:rPr>
                <w:color w:val="231F20"/>
                <w:spacing w:val="-7"/>
                <w:sz w:val="14"/>
              </w:rPr>
              <w:t xml:space="preserve"> </w:t>
            </w:r>
            <w:r>
              <w:rPr>
                <w:color w:val="231F20"/>
                <w:sz w:val="14"/>
              </w:rPr>
              <w:t>особина;</w:t>
            </w:r>
          </w:p>
          <w:p w:rsidR="00041039" w:rsidRDefault="001B26CB">
            <w:pPr>
              <w:pStyle w:val="TableParagraph"/>
              <w:numPr>
                <w:ilvl w:val="0"/>
                <w:numId w:val="1691"/>
              </w:numPr>
              <w:tabs>
                <w:tab w:val="left" w:pos="157"/>
              </w:tabs>
              <w:spacing w:line="160" w:lineRule="exact"/>
              <w:ind w:hanging="99"/>
              <w:rPr>
                <w:sz w:val="14"/>
              </w:rPr>
            </w:pPr>
            <w:r>
              <w:rPr>
                <w:color w:val="231F20"/>
                <w:sz w:val="14"/>
              </w:rPr>
              <w:t>објасни врсте и узроке</w:t>
            </w:r>
            <w:r>
              <w:rPr>
                <w:color w:val="231F20"/>
                <w:spacing w:val="-4"/>
                <w:sz w:val="14"/>
              </w:rPr>
              <w:t xml:space="preserve"> </w:t>
            </w:r>
            <w:r>
              <w:rPr>
                <w:color w:val="231F20"/>
                <w:sz w:val="14"/>
              </w:rPr>
              <w:t>мутација;</w:t>
            </w:r>
          </w:p>
          <w:p w:rsidR="00041039" w:rsidRDefault="001B26CB">
            <w:pPr>
              <w:pStyle w:val="TableParagraph"/>
              <w:numPr>
                <w:ilvl w:val="0"/>
                <w:numId w:val="1691"/>
              </w:numPr>
              <w:tabs>
                <w:tab w:val="left" w:pos="157"/>
              </w:tabs>
              <w:spacing w:line="237" w:lineRule="auto"/>
              <w:ind w:right="364" w:hanging="99"/>
              <w:rPr>
                <w:sz w:val="14"/>
              </w:rPr>
            </w:pPr>
            <w:r>
              <w:rPr>
                <w:color w:val="231F20"/>
                <w:sz w:val="14"/>
              </w:rPr>
              <w:t>наведе наследне болести човека</w:t>
            </w:r>
            <w:r>
              <w:rPr>
                <w:color w:val="231F20"/>
                <w:spacing w:val="-14"/>
                <w:sz w:val="14"/>
              </w:rPr>
              <w:t xml:space="preserve"> </w:t>
            </w:r>
            <w:r>
              <w:rPr>
                <w:color w:val="231F20"/>
                <w:sz w:val="14"/>
              </w:rPr>
              <w:t>и њихове</w:t>
            </w:r>
            <w:r>
              <w:rPr>
                <w:color w:val="231F20"/>
                <w:spacing w:val="-1"/>
                <w:sz w:val="14"/>
              </w:rPr>
              <w:t xml:space="preserve"> </w:t>
            </w:r>
            <w:r>
              <w:rPr>
                <w:color w:val="231F20"/>
                <w:sz w:val="14"/>
              </w:rPr>
              <w:t>узроке;</w:t>
            </w:r>
          </w:p>
        </w:tc>
        <w:tc>
          <w:tcPr>
            <w:tcW w:w="2834" w:type="dxa"/>
          </w:tcPr>
          <w:p w:rsidR="00041039" w:rsidRDefault="001B26CB">
            <w:pPr>
              <w:pStyle w:val="TableParagraph"/>
              <w:numPr>
                <w:ilvl w:val="0"/>
                <w:numId w:val="1690"/>
              </w:numPr>
              <w:tabs>
                <w:tab w:val="left" w:pos="158"/>
              </w:tabs>
              <w:spacing w:before="9" w:line="166" w:lineRule="exact"/>
              <w:rPr>
                <w:sz w:val="14"/>
              </w:rPr>
            </w:pPr>
            <w:r>
              <w:rPr>
                <w:color w:val="231F20"/>
                <w:sz w:val="14"/>
              </w:rPr>
              <w:t>Генетика</w:t>
            </w:r>
            <w:r>
              <w:rPr>
                <w:color w:val="231F20"/>
                <w:spacing w:val="-1"/>
                <w:sz w:val="14"/>
              </w:rPr>
              <w:t xml:space="preserve"> </w:t>
            </w:r>
            <w:r>
              <w:rPr>
                <w:color w:val="231F20"/>
                <w:sz w:val="14"/>
              </w:rPr>
              <w:t>човека.</w:t>
            </w:r>
          </w:p>
          <w:p w:rsidR="00041039" w:rsidRDefault="001B26CB">
            <w:pPr>
              <w:pStyle w:val="TableParagraph"/>
              <w:numPr>
                <w:ilvl w:val="0"/>
                <w:numId w:val="1690"/>
              </w:numPr>
              <w:tabs>
                <w:tab w:val="left" w:pos="158"/>
              </w:tabs>
              <w:spacing w:line="160" w:lineRule="exact"/>
              <w:rPr>
                <w:sz w:val="14"/>
              </w:rPr>
            </w:pPr>
            <w:r>
              <w:rPr>
                <w:color w:val="231F20"/>
                <w:sz w:val="14"/>
              </w:rPr>
              <w:t>Појам и функције</w:t>
            </w:r>
            <w:r>
              <w:rPr>
                <w:color w:val="231F20"/>
                <w:spacing w:val="-3"/>
                <w:sz w:val="14"/>
              </w:rPr>
              <w:t xml:space="preserve"> </w:t>
            </w:r>
            <w:r>
              <w:rPr>
                <w:color w:val="231F20"/>
                <w:sz w:val="14"/>
              </w:rPr>
              <w:t>гена.</w:t>
            </w:r>
          </w:p>
          <w:p w:rsidR="00041039" w:rsidRDefault="001B26CB">
            <w:pPr>
              <w:pStyle w:val="TableParagraph"/>
              <w:numPr>
                <w:ilvl w:val="0"/>
                <w:numId w:val="1690"/>
              </w:numPr>
              <w:tabs>
                <w:tab w:val="left" w:pos="158"/>
              </w:tabs>
              <w:spacing w:line="237" w:lineRule="auto"/>
              <w:ind w:right="405"/>
              <w:rPr>
                <w:sz w:val="14"/>
              </w:rPr>
            </w:pPr>
            <w:r>
              <w:rPr>
                <w:color w:val="231F20"/>
                <w:sz w:val="14"/>
              </w:rPr>
              <w:t xml:space="preserve">Наслеђивање и варирање особина </w:t>
            </w:r>
            <w:r>
              <w:rPr>
                <w:color w:val="231F20"/>
                <w:spacing w:val="-5"/>
                <w:sz w:val="14"/>
              </w:rPr>
              <w:t xml:space="preserve">код </w:t>
            </w:r>
            <w:r>
              <w:rPr>
                <w:color w:val="231F20"/>
                <w:sz w:val="14"/>
              </w:rPr>
              <w:t>човека.</w:t>
            </w:r>
          </w:p>
          <w:p w:rsidR="00041039" w:rsidRDefault="001B26CB">
            <w:pPr>
              <w:pStyle w:val="TableParagraph"/>
              <w:numPr>
                <w:ilvl w:val="0"/>
                <w:numId w:val="1690"/>
              </w:numPr>
              <w:tabs>
                <w:tab w:val="left" w:pos="158"/>
              </w:tabs>
              <w:spacing w:line="155" w:lineRule="exact"/>
              <w:rPr>
                <w:sz w:val="14"/>
              </w:rPr>
            </w:pPr>
            <w:r>
              <w:rPr>
                <w:color w:val="231F20"/>
                <w:sz w:val="14"/>
              </w:rPr>
              <w:t>Наследне</w:t>
            </w:r>
            <w:r>
              <w:rPr>
                <w:color w:val="231F20"/>
                <w:spacing w:val="-1"/>
                <w:sz w:val="14"/>
              </w:rPr>
              <w:t xml:space="preserve"> </w:t>
            </w:r>
            <w:r>
              <w:rPr>
                <w:color w:val="231F20"/>
                <w:sz w:val="14"/>
              </w:rPr>
              <w:t>болести.</w:t>
            </w:r>
          </w:p>
          <w:p w:rsidR="00041039" w:rsidRDefault="001B26CB">
            <w:pPr>
              <w:pStyle w:val="TableParagraph"/>
              <w:numPr>
                <w:ilvl w:val="0"/>
                <w:numId w:val="1690"/>
              </w:numPr>
              <w:tabs>
                <w:tab w:val="left" w:pos="158"/>
              </w:tabs>
              <w:spacing w:line="237" w:lineRule="auto"/>
              <w:ind w:right="206"/>
              <w:rPr>
                <w:sz w:val="14"/>
              </w:rPr>
            </w:pPr>
            <w:r>
              <w:rPr>
                <w:color w:val="231F20"/>
                <w:sz w:val="14"/>
              </w:rPr>
              <w:t>Праћење особина на основу родословног стабла.</w:t>
            </w:r>
          </w:p>
          <w:p w:rsidR="00041039" w:rsidRDefault="001B26CB">
            <w:pPr>
              <w:pStyle w:val="TableParagraph"/>
              <w:numPr>
                <w:ilvl w:val="0"/>
                <w:numId w:val="1690"/>
              </w:numPr>
              <w:tabs>
                <w:tab w:val="left" w:pos="158"/>
              </w:tabs>
              <w:spacing w:line="160" w:lineRule="exact"/>
              <w:ind w:right="262"/>
              <w:rPr>
                <w:sz w:val="14"/>
              </w:rPr>
            </w:pPr>
            <w:r>
              <w:rPr>
                <w:color w:val="231F20"/>
                <w:sz w:val="14"/>
              </w:rPr>
              <w:t>Генетичка условљеност човековог</w:t>
            </w:r>
            <w:r>
              <w:rPr>
                <w:color w:val="231F20"/>
                <w:spacing w:val="-24"/>
                <w:sz w:val="14"/>
              </w:rPr>
              <w:t xml:space="preserve"> </w:t>
            </w:r>
            <w:r>
              <w:rPr>
                <w:color w:val="231F20"/>
                <w:sz w:val="14"/>
              </w:rPr>
              <w:t>пона­ шања.</w:t>
            </w:r>
          </w:p>
          <w:p w:rsidR="00041039" w:rsidRDefault="001B26CB">
            <w:pPr>
              <w:pStyle w:val="TableParagraph"/>
              <w:numPr>
                <w:ilvl w:val="0"/>
                <w:numId w:val="1690"/>
              </w:numPr>
              <w:tabs>
                <w:tab w:val="left" w:pos="158"/>
              </w:tabs>
              <w:spacing w:line="158" w:lineRule="exact"/>
              <w:rPr>
                <w:sz w:val="14"/>
              </w:rPr>
            </w:pPr>
            <w:r>
              <w:rPr>
                <w:color w:val="231F20"/>
                <w:spacing w:val="-3"/>
                <w:sz w:val="14"/>
              </w:rPr>
              <w:t xml:space="preserve">Генетичко </w:t>
            </w:r>
            <w:r>
              <w:rPr>
                <w:color w:val="231F20"/>
                <w:sz w:val="14"/>
              </w:rPr>
              <w:t>саветовање и</w:t>
            </w:r>
            <w:r>
              <w:rPr>
                <w:color w:val="231F20"/>
                <w:spacing w:val="2"/>
                <w:sz w:val="14"/>
              </w:rPr>
              <w:t xml:space="preserve"> </w:t>
            </w:r>
            <w:r>
              <w:rPr>
                <w:color w:val="231F20"/>
                <w:sz w:val="14"/>
              </w:rPr>
              <w:t>тестирање.</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19"/>
              <w:ind w:left="57" w:right="37"/>
              <w:rPr>
                <w:sz w:val="14"/>
              </w:rPr>
            </w:pPr>
            <w:r>
              <w:rPr>
                <w:color w:val="231F20"/>
                <w:sz w:val="14"/>
              </w:rPr>
              <w:t>Полно и репродук­ тивно здравље</w:t>
            </w:r>
          </w:p>
        </w:tc>
        <w:tc>
          <w:tcPr>
            <w:tcW w:w="1587" w:type="dxa"/>
          </w:tcPr>
          <w:p w:rsidR="00041039" w:rsidRDefault="001B26CB">
            <w:pPr>
              <w:pStyle w:val="TableParagraph"/>
              <w:numPr>
                <w:ilvl w:val="0"/>
                <w:numId w:val="1689"/>
              </w:numPr>
              <w:tabs>
                <w:tab w:val="left" w:pos="157"/>
              </w:tabs>
              <w:spacing w:before="9"/>
              <w:ind w:right="221" w:hanging="99"/>
              <w:jc w:val="both"/>
              <w:rPr>
                <w:sz w:val="14"/>
              </w:rPr>
            </w:pPr>
            <w:r>
              <w:rPr>
                <w:color w:val="231F20"/>
                <w:sz w:val="14"/>
              </w:rPr>
              <w:t>Разумевање</w:t>
            </w:r>
            <w:r>
              <w:rPr>
                <w:color w:val="231F20"/>
                <w:spacing w:val="-15"/>
                <w:sz w:val="14"/>
              </w:rPr>
              <w:t xml:space="preserve"> </w:t>
            </w:r>
            <w:r>
              <w:rPr>
                <w:color w:val="231F20"/>
                <w:sz w:val="14"/>
              </w:rPr>
              <w:t>пробле­ мавезаних запериод одрастања.</w:t>
            </w:r>
          </w:p>
          <w:p w:rsidR="00041039" w:rsidRDefault="001B26CB">
            <w:pPr>
              <w:pStyle w:val="TableParagraph"/>
              <w:numPr>
                <w:ilvl w:val="0"/>
                <w:numId w:val="1689"/>
              </w:numPr>
              <w:tabs>
                <w:tab w:val="left" w:pos="157"/>
              </w:tabs>
              <w:spacing w:line="157" w:lineRule="exact"/>
              <w:ind w:hanging="99"/>
              <w:rPr>
                <w:sz w:val="14"/>
              </w:rPr>
            </w:pPr>
            <w:r>
              <w:rPr>
                <w:color w:val="231F20"/>
                <w:sz w:val="14"/>
              </w:rPr>
              <w:t xml:space="preserve">Схватања </w:t>
            </w:r>
            <w:r>
              <w:rPr>
                <w:color w:val="231F20"/>
                <w:spacing w:val="-3"/>
                <w:sz w:val="14"/>
              </w:rPr>
              <w:t>улоге</w:t>
            </w:r>
            <w:r>
              <w:rPr>
                <w:color w:val="231F20"/>
                <w:spacing w:val="-1"/>
                <w:sz w:val="14"/>
              </w:rPr>
              <w:t xml:space="preserve"> </w:t>
            </w:r>
            <w:r>
              <w:rPr>
                <w:color w:val="231F20"/>
                <w:sz w:val="14"/>
              </w:rPr>
              <w:t>и</w:t>
            </w:r>
          </w:p>
          <w:p w:rsidR="00041039" w:rsidRDefault="001B26CB">
            <w:pPr>
              <w:pStyle w:val="TableParagraph"/>
              <w:spacing w:line="155" w:lineRule="exact"/>
              <w:rPr>
                <w:sz w:val="14"/>
              </w:rPr>
            </w:pPr>
            <w:r>
              <w:rPr>
                <w:color w:val="231F20"/>
                <w:sz w:val="14"/>
              </w:rPr>
              <w:t>значаја породице.</w:t>
            </w:r>
          </w:p>
          <w:p w:rsidR="00041039" w:rsidRDefault="001B26CB">
            <w:pPr>
              <w:pStyle w:val="TableParagraph"/>
              <w:numPr>
                <w:ilvl w:val="0"/>
                <w:numId w:val="1689"/>
              </w:numPr>
              <w:tabs>
                <w:tab w:val="left" w:pos="157"/>
              </w:tabs>
              <w:spacing w:line="237" w:lineRule="auto"/>
              <w:ind w:right="61" w:hanging="99"/>
              <w:jc w:val="both"/>
              <w:rPr>
                <w:sz w:val="14"/>
              </w:rPr>
            </w:pPr>
            <w:r>
              <w:rPr>
                <w:color w:val="231F20"/>
                <w:sz w:val="14"/>
              </w:rPr>
              <w:t>Разумевање</w:t>
            </w:r>
            <w:r>
              <w:rPr>
                <w:color w:val="231F20"/>
                <w:spacing w:val="-12"/>
                <w:sz w:val="14"/>
              </w:rPr>
              <w:t xml:space="preserve"> </w:t>
            </w:r>
            <w:r>
              <w:rPr>
                <w:color w:val="231F20"/>
                <w:sz w:val="14"/>
              </w:rPr>
              <w:t>проблема­ повезаних саризичним понашањем.</w:t>
            </w:r>
          </w:p>
        </w:tc>
        <w:tc>
          <w:tcPr>
            <w:tcW w:w="2551" w:type="dxa"/>
          </w:tcPr>
          <w:p w:rsidR="00041039" w:rsidRDefault="001B26CB">
            <w:pPr>
              <w:pStyle w:val="TableParagraph"/>
              <w:numPr>
                <w:ilvl w:val="0"/>
                <w:numId w:val="1688"/>
              </w:numPr>
              <w:tabs>
                <w:tab w:val="left" w:pos="157"/>
              </w:tabs>
              <w:spacing w:before="10"/>
              <w:ind w:right="212" w:hanging="99"/>
              <w:rPr>
                <w:sz w:val="14"/>
              </w:rPr>
            </w:pPr>
            <w:r>
              <w:rPr>
                <w:color w:val="231F20"/>
                <w:sz w:val="14"/>
              </w:rPr>
              <w:t>препозна</w:t>
            </w:r>
            <w:r>
              <w:rPr>
                <w:color w:val="231F20"/>
                <w:spacing w:val="-8"/>
                <w:sz w:val="14"/>
              </w:rPr>
              <w:t xml:space="preserve"> </w:t>
            </w:r>
            <w:r>
              <w:rPr>
                <w:color w:val="231F20"/>
                <w:sz w:val="14"/>
              </w:rPr>
              <w:t>проблеме</w:t>
            </w:r>
            <w:r>
              <w:rPr>
                <w:color w:val="231F20"/>
                <w:spacing w:val="-8"/>
                <w:sz w:val="14"/>
              </w:rPr>
              <w:t xml:space="preserve"> </w:t>
            </w:r>
            <w:r>
              <w:rPr>
                <w:color w:val="231F20"/>
                <w:sz w:val="14"/>
              </w:rPr>
              <w:t>везане</w:t>
            </w:r>
            <w:r>
              <w:rPr>
                <w:color w:val="231F20"/>
                <w:spacing w:val="-8"/>
                <w:sz w:val="14"/>
              </w:rPr>
              <w:t xml:space="preserve"> </w:t>
            </w:r>
            <w:r>
              <w:rPr>
                <w:color w:val="231F20"/>
                <w:sz w:val="14"/>
              </w:rPr>
              <w:t>за</w:t>
            </w:r>
            <w:r>
              <w:rPr>
                <w:color w:val="231F20"/>
                <w:spacing w:val="-8"/>
                <w:sz w:val="14"/>
              </w:rPr>
              <w:t xml:space="preserve"> </w:t>
            </w:r>
            <w:r>
              <w:rPr>
                <w:color w:val="231F20"/>
                <w:sz w:val="14"/>
              </w:rPr>
              <w:t>период одрастања;</w:t>
            </w:r>
          </w:p>
          <w:p w:rsidR="00041039" w:rsidRDefault="001B26CB">
            <w:pPr>
              <w:pStyle w:val="TableParagraph"/>
              <w:numPr>
                <w:ilvl w:val="0"/>
                <w:numId w:val="1688"/>
              </w:numPr>
              <w:tabs>
                <w:tab w:val="left" w:pos="157"/>
              </w:tabs>
              <w:spacing w:line="153" w:lineRule="exact"/>
              <w:ind w:hanging="99"/>
              <w:rPr>
                <w:sz w:val="14"/>
              </w:rPr>
            </w:pPr>
            <w:r>
              <w:rPr>
                <w:color w:val="231F20"/>
                <w:sz w:val="14"/>
              </w:rPr>
              <w:t>објасни значај</w:t>
            </w:r>
            <w:r>
              <w:rPr>
                <w:color w:val="231F20"/>
                <w:spacing w:val="-2"/>
                <w:sz w:val="14"/>
              </w:rPr>
              <w:t xml:space="preserve"> </w:t>
            </w:r>
            <w:r>
              <w:rPr>
                <w:color w:val="231F20"/>
                <w:sz w:val="14"/>
              </w:rPr>
              <w:t>породице;</w:t>
            </w:r>
          </w:p>
          <w:p w:rsidR="00041039" w:rsidRDefault="001B26CB">
            <w:pPr>
              <w:pStyle w:val="TableParagraph"/>
              <w:numPr>
                <w:ilvl w:val="0"/>
                <w:numId w:val="1688"/>
              </w:numPr>
              <w:tabs>
                <w:tab w:val="left" w:pos="157"/>
              </w:tabs>
              <w:spacing w:line="160" w:lineRule="exact"/>
              <w:ind w:hanging="99"/>
              <w:rPr>
                <w:sz w:val="14"/>
              </w:rPr>
            </w:pPr>
            <w:r>
              <w:rPr>
                <w:color w:val="231F20"/>
                <w:sz w:val="14"/>
              </w:rPr>
              <w:t>опише биолошку функцију</w:t>
            </w:r>
            <w:r>
              <w:rPr>
                <w:color w:val="231F20"/>
                <w:spacing w:val="-9"/>
                <w:sz w:val="14"/>
              </w:rPr>
              <w:t xml:space="preserve"> </w:t>
            </w:r>
            <w:r>
              <w:rPr>
                <w:color w:val="231F20"/>
                <w:sz w:val="14"/>
              </w:rPr>
              <w:t>породице;</w:t>
            </w:r>
          </w:p>
          <w:p w:rsidR="00041039" w:rsidRDefault="001B26CB">
            <w:pPr>
              <w:pStyle w:val="TableParagraph"/>
              <w:numPr>
                <w:ilvl w:val="0"/>
                <w:numId w:val="1688"/>
              </w:numPr>
              <w:tabs>
                <w:tab w:val="left" w:pos="157"/>
              </w:tabs>
              <w:spacing w:line="237" w:lineRule="auto"/>
              <w:ind w:right="275" w:hanging="99"/>
              <w:rPr>
                <w:sz w:val="14"/>
              </w:rPr>
            </w:pPr>
            <w:r>
              <w:rPr>
                <w:color w:val="231F20"/>
                <w:sz w:val="14"/>
              </w:rPr>
              <w:t>дефинише појам „планирање поро­ дице”;</w:t>
            </w:r>
          </w:p>
          <w:p w:rsidR="00041039" w:rsidRDefault="001B26CB">
            <w:pPr>
              <w:pStyle w:val="TableParagraph"/>
              <w:numPr>
                <w:ilvl w:val="0"/>
                <w:numId w:val="1688"/>
              </w:numPr>
              <w:tabs>
                <w:tab w:val="left" w:pos="157"/>
              </w:tabs>
              <w:spacing w:line="160" w:lineRule="exact"/>
              <w:ind w:right="219" w:hanging="99"/>
              <w:rPr>
                <w:sz w:val="14"/>
              </w:rPr>
            </w:pPr>
            <w:r>
              <w:rPr>
                <w:color w:val="231F20"/>
                <w:sz w:val="14"/>
              </w:rPr>
              <w:t xml:space="preserve">наведе облике заштите </w:t>
            </w:r>
            <w:r>
              <w:rPr>
                <w:color w:val="231F20"/>
                <w:spacing w:val="-3"/>
                <w:sz w:val="14"/>
              </w:rPr>
              <w:t>од</w:t>
            </w:r>
            <w:r>
              <w:rPr>
                <w:color w:val="231F20"/>
                <w:spacing w:val="-22"/>
                <w:sz w:val="14"/>
              </w:rPr>
              <w:t xml:space="preserve"> </w:t>
            </w:r>
            <w:r>
              <w:rPr>
                <w:color w:val="231F20"/>
                <w:sz w:val="14"/>
              </w:rPr>
              <w:t>нежељене трудноће;</w:t>
            </w:r>
          </w:p>
          <w:p w:rsidR="00041039" w:rsidRDefault="001B26CB">
            <w:pPr>
              <w:pStyle w:val="TableParagraph"/>
              <w:numPr>
                <w:ilvl w:val="0"/>
                <w:numId w:val="1688"/>
              </w:numPr>
              <w:tabs>
                <w:tab w:val="left" w:pos="157"/>
              </w:tabs>
              <w:spacing w:line="160" w:lineRule="exact"/>
              <w:ind w:right="65" w:hanging="99"/>
              <w:rPr>
                <w:sz w:val="14"/>
              </w:rPr>
            </w:pPr>
            <w:r>
              <w:rPr>
                <w:color w:val="231F20"/>
                <w:sz w:val="14"/>
              </w:rPr>
              <w:t>објасни штетност абортуса по здравље жене;</w:t>
            </w:r>
          </w:p>
          <w:p w:rsidR="00041039" w:rsidRDefault="001B26CB">
            <w:pPr>
              <w:pStyle w:val="TableParagraph"/>
              <w:numPr>
                <w:ilvl w:val="0"/>
                <w:numId w:val="1688"/>
              </w:numPr>
              <w:tabs>
                <w:tab w:val="left" w:pos="157"/>
              </w:tabs>
              <w:spacing w:line="160" w:lineRule="exact"/>
              <w:ind w:right="168" w:hanging="99"/>
              <w:rPr>
                <w:sz w:val="14"/>
              </w:rPr>
            </w:pPr>
            <w:r>
              <w:rPr>
                <w:color w:val="231F20"/>
                <w:sz w:val="14"/>
              </w:rPr>
              <w:t>наведе облике ризичног понашања, најчешће полно преносиве болести и болести</w:t>
            </w:r>
            <w:r>
              <w:rPr>
                <w:color w:val="231F20"/>
                <w:spacing w:val="-1"/>
                <w:sz w:val="14"/>
              </w:rPr>
              <w:t xml:space="preserve"> </w:t>
            </w:r>
            <w:r>
              <w:rPr>
                <w:color w:val="231F20"/>
                <w:sz w:val="14"/>
              </w:rPr>
              <w:t>зависности;</w:t>
            </w:r>
          </w:p>
        </w:tc>
        <w:tc>
          <w:tcPr>
            <w:tcW w:w="2834" w:type="dxa"/>
          </w:tcPr>
          <w:p w:rsidR="00041039" w:rsidRDefault="001B26CB">
            <w:pPr>
              <w:pStyle w:val="TableParagraph"/>
              <w:numPr>
                <w:ilvl w:val="0"/>
                <w:numId w:val="1687"/>
              </w:numPr>
              <w:tabs>
                <w:tab w:val="left" w:pos="158"/>
              </w:tabs>
              <w:spacing w:before="10" w:line="166" w:lineRule="exact"/>
              <w:rPr>
                <w:sz w:val="14"/>
              </w:rPr>
            </w:pPr>
            <w:r>
              <w:rPr>
                <w:color w:val="231F20"/>
                <w:sz w:val="14"/>
              </w:rPr>
              <w:t>Појам и дефиниција</w:t>
            </w:r>
            <w:r>
              <w:rPr>
                <w:color w:val="231F20"/>
                <w:spacing w:val="-3"/>
                <w:sz w:val="14"/>
              </w:rPr>
              <w:t xml:space="preserve"> </w:t>
            </w:r>
            <w:r>
              <w:rPr>
                <w:color w:val="231F20"/>
                <w:sz w:val="14"/>
              </w:rPr>
              <w:t>здравља.</w:t>
            </w:r>
          </w:p>
          <w:p w:rsidR="00041039" w:rsidRDefault="001B26CB">
            <w:pPr>
              <w:pStyle w:val="TableParagraph"/>
              <w:numPr>
                <w:ilvl w:val="0"/>
                <w:numId w:val="1687"/>
              </w:numPr>
              <w:tabs>
                <w:tab w:val="left" w:pos="158"/>
              </w:tabs>
              <w:spacing w:line="160" w:lineRule="exact"/>
              <w:rPr>
                <w:sz w:val="14"/>
              </w:rPr>
            </w:pPr>
            <w:r>
              <w:rPr>
                <w:color w:val="231F20"/>
                <w:sz w:val="14"/>
              </w:rPr>
              <w:t>Проблеми везани за период</w:t>
            </w:r>
            <w:r>
              <w:rPr>
                <w:color w:val="231F20"/>
                <w:spacing w:val="-16"/>
                <w:sz w:val="14"/>
              </w:rPr>
              <w:t xml:space="preserve"> </w:t>
            </w:r>
            <w:r>
              <w:rPr>
                <w:color w:val="231F20"/>
                <w:sz w:val="14"/>
              </w:rPr>
              <w:t>адолесценције.</w:t>
            </w:r>
          </w:p>
          <w:p w:rsidR="00041039" w:rsidRDefault="001B26CB">
            <w:pPr>
              <w:pStyle w:val="TableParagraph"/>
              <w:numPr>
                <w:ilvl w:val="0"/>
                <w:numId w:val="1687"/>
              </w:numPr>
              <w:tabs>
                <w:tab w:val="left" w:pos="158"/>
              </w:tabs>
              <w:spacing w:line="160" w:lineRule="exact"/>
              <w:rPr>
                <w:sz w:val="14"/>
              </w:rPr>
            </w:pPr>
            <w:r>
              <w:rPr>
                <w:color w:val="231F20"/>
                <w:sz w:val="14"/>
              </w:rPr>
              <w:t>Планирање</w:t>
            </w:r>
            <w:r>
              <w:rPr>
                <w:color w:val="231F20"/>
                <w:spacing w:val="-2"/>
                <w:sz w:val="14"/>
              </w:rPr>
              <w:t xml:space="preserve"> </w:t>
            </w:r>
            <w:r>
              <w:rPr>
                <w:color w:val="231F20"/>
                <w:sz w:val="14"/>
              </w:rPr>
              <w:t>породице.</w:t>
            </w:r>
          </w:p>
          <w:p w:rsidR="00041039" w:rsidRDefault="001B26CB">
            <w:pPr>
              <w:pStyle w:val="TableParagraph"/>
              <w:numPr>
                <w:ilvl w:val="0"/>
                <w:numId w:val="1687"/>
              </w:numPr>
              <w:tabs>
                <w:tab w:val="left" w:pos="158"/>
              </w:tabs>
              <w:spacing w:line="160" w:lineRule="exact"/>
              <w:rPr>
                <w:sz w:val="14"/>
              </w:rPr>
            </w:pPr>
            <w:r>
              <w:rPr>
                <w:color w:val="231F20"/>
                <w:sz w:val="14"/>
              </w:rPr>
              <w:t xml:space="preserve">Заштита </w:t>
            </w:r>
            <w:r>
              <w:rPr>
                <w:color w:val="231F20"/>
                <w:spacing w:val="-3"/>
                <w:sz w:val="14"/>
              </w:rPr>
              <w:t xml:space="preserve">од </w:t>
            </w:r>
            <w:r>
              <w:rPr>
                <w:color w:val="231F20"/>
                <w:sz w:val="14"/>
              </w:rPr>
              <w:t>полних</w:t>
            </w:r>
            <w:r>
              <w:rPr>
                <w:color w:val="231F20"/>
                <w:sz w:val="14"/>
              </w:rPr>
              <w:t xml:space="preserve"> </w:t>
            </w:r>
            <w:r>
              <w:rPr>
                <w:color w:val="231F20"/>
                <w:sz w:val="14"/>
              </w:rPr>
              <w:t>болести.</w:t>
            </w:r>
          </w:p>
          <w:p w:rsidR="00041039" w:rsidRDefault="001B26CB">
            <w:pPr>
              <w:pStyle w:val="TableParagraph"/>
              <w:numPr>
                <w:ilvl w:val="0"/>
                <w:numId w:val="1687"/>
              </w:numPr>
              <w:tabs>
                <w:tab w:val="left" w:pos="158"/>
              </w:tabs>
              <w:spacing w:line="166" w:lineRule="exact"/>
              <w:rPr>
                <w:sz w:val="14"/>
              </w:rPr>
            </w:pPr>
            <w:r>
              <w:rPr>
                <w:color w:val="231F20"/>
                <w:sz w:val="14"/>
              </w:rPr>
              <w:t>Болести</w:t>
            </w:r>
            <w:r>
              <w:rPr>
                <w:color w:val="231F20"/>
                <w:spacing w:val="-1"/>
                <w:sz w:val="14"/>
              </w:rPr>
              <w:t xml:space="preserve"> </w:t>
            </w:r>
            <w:r>
              <w:rPr>
                <w:color w:val="231F20"/>
                <w:sz w:val="14"/>
              </w:rPr>
              <w:t>зависности.</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Екологија и заштита животне</w:t>
      </w:r>
      <w:r>
        <w:rPr>
          <w:color w:val="231F20"/>
          <w:spacing w:val="-3"/>
        </w:rPr>
        <w:t xml:space="preserve"> </w:t>
      </w:r>
      <w:r>
        <w:rPr>
          <w:color w:val="231F20"/>
        </w:rPr>
        <w:t>средине</w:t>
      </w:r>
    </w:p>
    <w:p w:rsidR="00041039" w:rsidRDefault="001B26CB">
      <w:pPr>
        <w:pStyle w:val="ListParagraph"/>
        <w:numPr>
          <w:ilvl w:val="0"/>
          <w:numId w:val="3"/>
        </w:numPr>
        <w:tabs>
          <w:tab w:val="left" w:pos="633"/>
        </w:tabs>
        <w:rPr>
          <w:sz w:val="18"/>
        </w:rPr>
      </w:pPr>
      <w:r>
        <w:rPr>
          <w:color w:val="231F20"/>
          <w:sz w:val="18"/>
        </w:rPr>
        <w:t>Прва</w:t>
      </w:r>
      <w:r>
        <w:rPr>
          <w:color w:val="231F20"/>
          <w:spacing w:val="-1"/>
          <w:sz w:val="18"/>
        </w:rPr>
        <w:t xml:space="preserve"> </w:t>
      </w:r>
      <w:r>
        <w:rPr>
          <w:color w:val="231F20"/>
          <w:sz w:val="18"/>
        </w:rPr>
        <w:t>помоћ</w:t>
      </w:r>
    </w:p>
    <w:p w:rsidR="00041039" w:rsidRDefault="001B26CB">
      <w:pPr>
        <w:pStyle w:val="ListParagraph"/>
        <w:numPr>
          <w:ilvl w:val="0"/>
          <w:numId w:val="3"/>
        </w:numPr>
        <w:tabs>
          <w:tab w:val="left" w:pos="633"/>
        </w:tabs>
        <w:spacing w:line="203" w:lineRule="exact"/>
        <w:rPr>
          <w:sz w:val="18"/>
        </w:rPr>
      </w:pPr>
      <w:r>
        <w:rPr>
          <w:color w:val="231F20"/>
          <w:spacing w:val="-3"/>
          <w:sz w:val="18"/>
        </w:rPr>
        <w:t>Људски</w:t>
      </w:r>
      <w:r>
        <w:rPr>
          <w:color w:val="231F20"/>
          <w:spacing w:val="-1"/>
          <w:sz w:val="18"/>
        </w:rPr>
        <w:t xml:space="preserve"> </w:t>
      </w:r>
      <w:r>
        <w:rPr>
          <w:color w:val="231F20"/>
          <w:sz w:val="18"/>
        </w:rPr>
        <w:t>фактор</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МУЗИЧКА</w:t>
      </w:r>
      <w:r>
        <w:rPr>
          <w:b/>
          <w:color w:val="231F20"/>
          <w:spacing w:val="-1"/>
          <w:sz w:val="14"/>
        </w:rPr>
        <w:t xml:space="preserve"> </w:t>
      </w:r>
      <w:r>
        <w:rPr>
          <w:b/>
          <w:color w:val="231F20"/>
          <w:spacing w:val="-7"/>
          <w:sz w:val="14"/>
        </w:rPr>
        <w:t>КУЛТУРА</w:t>
      </w:r>
    </w:p>
    <w:p w:rsidR="00041039" w:rsidRDefault="001B26CB">
      <w:pPr>
        <w:pStyle w:val="BodyText"/>
        <w:spacing w:before="49" w:line="161" w:lineRule="exact"/>
        <w:ind w:left="157"/>
      </w:pPr>
      <w:r>
        <w:rPr>
          <w:color w:val="231F20"/>
        </w:rPr>
        <w:t>Циљеви предмета: – Оспособљавање ученика за разликовање обележја стилова различитих музичких жанрова;</w:t>
      </w:r>
    </w:p>
    <w:p w:rsidR="00041039" w:rsidRDefault="001B26CB">
      <w:pPr>
        <w:pStyle w:val="ListParagraph"/>
        <w:numPr>
          <w:ilvl w:val="1"/>
          <w:numId w:val="3"/>
        </w:numPr>
        <w:tabs>
          <w:tab w:val="left" w:pos="1566"/>
        </w:tabs>
        <w:spacing w:line="160" w:lineRule="exact"/>
        <w:rPr>
          <w:sz w:val="14"/>
        </w:rPr>
      </w:pPr>
      <w:r>
        <w:rPr>
          <w:color w:val="231F20"/>
          <w:sz w:val="14"/>
        </w:rPr>
        <w:t>Развијање свести о значају и улози музичке уметности кроз развој цивилизације и</w:t>
      </w:r>
      <w:r>
        <w:rPr>
          <w:color w:val="231F20"/>
          <w:spacing w:val="-10"/>
          <w:sz w:val="14"/>
        </w:rPr>
        <w:t xml:space="preserve"> </w:t>
      </w:r>
      <w:r>
        <w:rPr>
          <w:color w:val="231F20"/>
          <w:sz w:val="14"/>
        </w:rPr>
        <w:t>друштва;</w:t>
      </w:r>
    </w:p>
    <w:p w:rsidR="00041039" w:rsidRDefault="001B26CB">
      <w:pPr>
        <w:pStyle w:val="ListParagraph"/>
        <w:numPr>
          <w:ilvl w:val="1"/>
          <w:numId w:val="3"/>
        </w:numPr>
        <w:tabs>
          <w:tab w:val="left" w:pos="1566"/>
        </w:tabs>
        <w:spacing w:line="160" w:lineRule="exact"/>
        <w:rPr>
          <w:sz w:val="14"/>
        </w:rPr>
      </w:pPr>
      <w:r>
        <w:rPr>
          <w:color w:val="231F20"/>
          <w:sz w:val="14"/>
        </w:rPr>
        <w:t>Оспособљавање ученика за уочавање разлика и сличности између наше и других традиција и култура у домену</w:t>
      </w:r>
      <w:r>
        <w:rPr>
          <w:color w:val="231F20"/>
          <w:spacing w:val="-14"/>
          <w:sz w:val="14"/>
        </w:rPr>
        <w:t xml:space="preserve"> </w:t>
      </w:r>
      <w:r>
        <w:rPr>
          <w:color w:val="231F20"/>
          <w:sz w:val="14"/>
        </w:rPr>
        <w:t>музике;</w:t>
      </w:r>
    </w:p>
    <w:p w:rsidR="00041039" w:rsidRDefault="001B26CB">
      <w:pPr>
        <w:pStyle w:val="ListParagraph"/>
        <w:numPr>
          <w:ilvl w:val="1"/>
          <w:numId w:val="3"/>
        </w:numPr>
        <w:tabs>
          <w:tab w:val="left" w:pos="1566"/>
        </w:tabs>
        <w:spacing w:line="160" w:lineRule="exact"/>
        <w:rPr>
          <w:sz w:val="14"/>
        </w:rPr>
      </w:pPr>
      <w:r>
        <w:rPr>
          <w:color w:val="231F20"/>
          <w:sz w:val="14"/>
        </w:rPr>
        <w:t xml:space="preserve">Унапређивање естетских критеријума </w:t>
      </w:r>
      <w:r>
        <w:rPr>
          <w:color w:val="231F20"/>
          <w:spacing w:val="-5"/>
          <w:sz w:val="14"/>
        </w:rPr>
        <w:t>код</w:t>
      </w:r>
      <w:r>
        <w:rPr>
          <w:color w:val="231F20"/>
          <w:spacing w:val="-1"/>
          <w:sz w:val="14"/>
        </w:rPr>
        <w:t xml:space="preserve"> </w:t>
      </w:r>
      <w:r>
        <w:rPr>
          <w:color w:val="231F20"/>
          <w:sz w:val="14"/>
        </w:rPr>
        <w:t>ученика;</w:t>
      </w:r>
    </w:p>
    <w:p w:rsidR="00041039" w:rsidRDefault="001B26CB">
      <w:pPr>
        <w:pStyle w:val="ListParagraph"/>
        <w:numPr>
          <w:ilvl w:val="1"/>
          <w:numId w:val="3"/>
        </w:numPr>
        <w:tabs>
          <w:tab w:val="left" w:pos="1566"/>
        </w:tabs>
        <w:spacing w:line="240" w:lineRule="auto"/>
        <w:ind w:right="359"/>
        <w:rPr>
          <w:sz w:val="14"/>
        </w:rPr>
      </w:pPr>
      <w:r>
        <w:rPr>
          <w:color w:val="231F20"/>
          <w:sz w:val="14"/>
        </w:rPr>
        <w:t>Развија</w:t>
      </w:r>
      <w:r>
        <w:rPr>
          <w:color w:val="231F20"/>
          <w:sz w:val="14"/>
        </w:rPr>
        <w:t>ње</w:t>
      </w:r>
      <w:r>
        <w:rPr>
          <w:color w:val="231F20"/>
          <w:spacing w:val="-5"/>
          <w:sz w:val="14"/>
        </w:rPr>
        <w:t xml:space="preserve"> </w:t>
      </w:r>
      <w:r>
        <w:rPr>
          <w:color w:val="231F20"/>
          <w:sz w:val="14"/>
        </w:rPr>
        <w:t>навика</w:t>
      </w:r>
      <w:r>
        <w:rPr>
          <w:color w:val="231F20"/>
          <w:spacing w:val="-4"/>
          <w:sz w:val="14"/>
        </w:rPr>
        <w:t xml:space="preserve"> </w:t>
      </w:r>
      <w:r>
        <w:rPr>
          <w:color w:val="231F20"/>
          <w:spacing w:val="-5"/>
          <w:sz w:val="14"/>
        </w:rPr>
        <w:t>код</w:t>
      </w:r>
      <w:r>
        <w:rPr>
          <w:color w:val="231F20"/>
          <w:spacing w:val="-4"/>
          <w:sz w:val="14"/>
        </w:rPr>
        <w:t xml:space="preserve"> </w:t>
      </w:r>
      <w:r>
        <w:rPr>
          <w:color w:val="231F20"/>
          <w:sz w:val="14"/>
        </w:rPr>
        <w:t>ученика</w:t>
      </w:r>
      <w:r>
        <w:rPr>
          <w:color w:val="231F20"/>
          <w:spacing w:val="-4"/>
          <w:sz w:val="14"/>
        </w:rPr>
        <w:t xml:space="preserve"> </w:t>
      </w:r>
      <w:r>
        <w:rPr>
          <w:color w:val="231F20"/>
          <w:sz w:val="14"/>
        </w:rPr>
        <w:t>за</w:t>
      </w:r>
      <w:r>
        <w:rPr>
          <w:color w:val="231F20"/>
          <w:spacing w:val="-5"/>
          <w:sz w:val="14"/>
        </w:rPr>
        <w:t xml:space="preserve"> </w:t>
      </w:r>
      <w:r>
        <w:rPr>
          <w:color w:val="231F20"/>
          <w:sz w:val="14"/>
        </w:rPr>
        <w:t>праћење</w:t>
      </w:r>
      <w:r>
        <w:rPr>
          <w:color w:val="231F20"/>
          <w:spacing w:val="-5"/>
          <w:sz w:val="14"/>
        </w:rPr>
        <w:t xml:space="preserve"> </w:t>
      </w:r>
      <w:r>
        <w:rPr>
          <w:color w:val="231F20"/>
          <w:sz w:val="14"/>
        </w:rPr>
        <w:t>културно­уметничких</w:t>
      </w:r>
      <w:r>
        <w:rPr>
          <w:color w:val="231F20"/>
          <w:spacing w:val="-4"/>
          <w:sz w:val="14"/>
        </w:rPr>
        <w:t xml:space="preserve"> </w:t>
      </w:r>
      <w:r>
        <w:rPr>
          <w:color w:val="231F20"/>
          <w:sz w:val="14"/>
        </w:rPr>
        <w:t>манифестација</w:t>
      </w:r>
      <w:r>
        <w:rPr>
          <w:color w:val="231F20"/>
          <w:spacing w:val="-4"/>
          <w:sz w:val="14"/>
        </w:rPr>
        <w:t xml:space="preserve"> </w:t>
      </w:r>
      <w:r>
        <w:rPr>
          <w:color w:val="231F20"/>
          <w:sz w:val="14"/>
        </w:rPr>
        <w:t>у</w:t>
      </w:r>
      <w:r>
        <w:rPr>
          <w:color w:val="231F20"/>
          <w:spacing w:val="-4"/>
          <w:sz w:val="14"/>
        </w:rPr>
        <w:t xml:space="preserve"> </w:t>
      </w:r>
      <w:r>
        <w:rPr>
          <w:color w:val="231F20"/>
          <w:sz w:val="14"/>
        </w:rPr>
        <w:t>локалној</w:t>
      </w:r>
      <w:r>
        <w:rPr>
          <w:color w:val="231F20"/>
          <w:spacing w:val="-5"/>
          <w:sz w:val="14"/>
        </w:rPr>
        <w:t xml:space="preserve"> </w:t>
      </w:r>
      <w:r>
        <w:rPr>
          <w:color w:val="231F20"/>
          <w:sz w:val="14"/>
        </w:rPr>
        <w:t>средини</w:t>
      </w:r>
      <w:r>
        <w:rPr>
          <w:color w:val="231F20"/>
          <w:spacing w:val="-4"/>
          <w:sz w:val="14"/>
        </w:rPr>
        <w:t xml:space="preserve"> </w:t>
      </w:r>
      <w:r>
        <w:rPr>
          <w:color w:val="231F20"/>
          <w:sz w:val="14"/>
        </w:rPr>
        <w:t>и</w:t>
      </w:r>
      <w:r>
        <w:rPr>
          <w:color w:val="231F20"/>
          <w:spacing w:val="-5"/>
          <w:sz w:val="14"/>
        </w:rPr>
        <w:t xml:space="preserve"> </w:t>
      </w:r>
      <w:r>
        <w:rPr>
          <w:color w:val="231F20"/>
          <w:sz w:val="14"/>
        </w:rPr>
        <w:t>путем</w:t>
      </w:r>
      <w:r>
        <w:rPr>
          <w:color w:val="231F20"/>
          <w:spacing w:val="-5"/>
          <w:sz w:val="14"/>
        </w:rPr>
        <w:t xml:space="preserve"> </w:t>
      </w:r>
      <w:r>
        <w:rPr>
          <w:color w:val="231F20"/>
          <w:sz w:val="14"/>
        </w:rPr>
        <w:t>електронских</w:t>
      </w:r>
      <w:r>
        <w:rPr>
          <w:color w:val="231F20"/>
          <w:spacing w:val="-4"/>
          <w:sz w:val="14"/>
        </w:rPr>
        <w:t xml:space="preserve"> </w:t>
      </w:r>
      <w:r>
        <w:rPr>
          <w:color w:val="231F20"/>
          <w:sz w:val="14"/>
        </w:rPr>
        <w:t>медија</w:t>
      </w:r>
      <w:r>
        <w:rPr>
          <w:color w:val="231F20"/>
          <w:spacing w:val="-4"/>
          <w:sz w:val="14"/>
        </w:rPr>
        <w:t xml:space="preserve"> </w:t>
      </w:r>
      <w:r>
        <w:rPr>
          <w:color w:val="231F20"/>
          <w:sz w:val="14"/>
        </w:rPr>
        <w:t>(концерти,</w:t>
      </w:r>
      <w:r>
        <w:rPr>
          <w:color w:val="231F20"/>
          <w:spacing w:val="-4"/>
          <w:sz w:val="14"/>
        </w:rPr>
        <w:t xml:space="preserve"> </w:t>
      </w:r>
      <w:r>
        <w:rPr>
          <w:color w:val="231F20"/>
          <w:sz w:val="14"/>
        </w:rPr>
        <w:t>телеви­ зија, филм,</w:t>
      </w:r>
      <w:r>
        <w:rPr>
          <w:color w:val="231F20"/>
          <w:spacing w:val="-2"/>
          <w:sz w:val="14"/>
        </w:rPr>
        <w:t xml:space="preserve"> </w:t>
      </w:r>
      <w:r>
        <w:rPr>
          <w:color w:val="231F20"/>
          <w:sz w:val="14"/>
        </w:rPr>
        <w:t>Интернет);</w:t>
      </w:r>
    </w:p>
    <w:p w:rsidR="00041039" w:rsidRDefault="001B26CB">
      <w:pPr>
        <w:pStyle w:val="ListParagraph"/>
        <w:numPr>
          <w:ilvl w:val="1"/>
          <w:numId w:val="3"/>
        </w:numPr>
        <w:tabs>
          <w:tab w:val="left" w:pos="1566"/>
        </w:tabs>
        <w:spacing w:line="159" w:lineRule="exact"/>
        <w:rPr>
          <w:sz w:val="14"/>
        </w:rPr>
      </w:pPr>
      <w:r>
        <w:rPr>
          <w:color w:val="231F20"/>
          <w:sz w:val="14"/>
        </w:rPr>
        <w:t>Оспособљавање ученика за самостално истраживање стручне литературе, архиве, медијатеке,</w:t>
      </w:r>
      <w:r>
        <w:rPr>
          <w:color w:val="231F20"/>
          <w:spacing w:val="-6"/>
          <w:sz w:val="14"/>
        </w:rPr>
        <w:t xml:space="preserve"> </w:t>
      </w:r>
      <w:r>
        <w:rPr>
          <w:color w:val="231F20"/>
          <w:sz w:val="14"/>
        </w:rPr>
        <w:t>интернета;</w:t>
      </w:r>
    </w:p>
    <w:p w:rsidR="00041039" w:rsidRDefault="001B26CB">
      <w:pPr>
        <w:pStyle w:val="ListParagraph"/>
        <w:numPr>
          <w:ilvl w:val="1"/>
          <w:numId w:val="3"/>
        </w:numPr>
        <w:tabs>
          <w:tab w:val="left" w:pos="1566"/>
        </w:tabs>
        <w:spacing w:line="161" w:lineRule="exact"/>
        <w:rPr>
          <w:b/>
          <w:sz w:val="14"/>
        </w:rPr>
      </w:pPr>
      <w:r>
        <w:rPr>
          <w:color w:val="231F20"/>
          <w:sz w:val="14"/>
        </w:rPr>
        <w:t>Подстицање уметничког развоја и усавршавања у складу са индивидуалним интересовањима и</w:t>
      </w:r>
      <w:r>
        <w:rPr>
          <w:color w:val="231F20"/>
          <w:spacing w:val="-7"/>
          <w:sz w:val="14"/>
        </w:rPr>
        <w:t xml:space="preserve"> </w:t>
      </w:r>
      <w:r>
        <w:rPr>
          <w:color w:val="231F20"/>
          <w:sz w:val="14"/>
        </w:rPr>
        <w:t>способностима</w:t>
      </w:r>
      <w:r>
        <w:rPr>
          <w:b/>
          <w:color w:val="231F20"/>
          <w:sz w:val="14"/>
        </w:rPr>
        <w:t>.</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817"/>
        </w:trPr>
        <w:tc>
          <w:tcPr>
            <w:tcW w:w="1304" w:type="dxa"/>
            <w:tcBorders>
              <w:bottom w:val="nil"/>
            </w:tcBorders>
          </w:tcPr>
          <w:p w:rsidR="00041039" w:rsidRDefault="001B26CB">
            <w:pPr>
              <w:pStyle w:val="TableParagraph"/>
              <w:spacing w:before="21" w:line="160" w:lineRule="exact"/>
              <w:ind w:left="56" w:right="172"/>
              <w:rPr>
                <w:sz w:val="14"/>
              </w:rPr>
            </w:pPr>
            <w:r>
              <w:rPr>
                <w:color w:val="231F20"/>
                <w:sz w:val="14"/>
              </w:rPr>
              <w:t>Класична музика (општа музичка анализа и теорија кроз слушање музике)</w:t>
            </w:r>
          </w:p>
        </w:tc>
        <w:tc>
          <w:tcPr>
            <w:tcW w:w="1587" w:type="dxa"/>
            <w:vMerge w:val="restart"/>
          </w:tcPr>
          <w:p w:rsidR="00041039" w:rsidRDefault="001B26CB">
            <w:pPr>
              <w:pStyle w:val="TableParagraph"/>
              <w:numPr>
                <w:ilvl w:val="0"/>
                <w:numId w:val="1686"/>
              </w:numPr>
              <w:tabs>
                <w:tab w:val="left" w:pos="157"/>
              </w:tabs>
              <w:spacing w:before="8"/>
              <w:ind w:right="165"/>
              <w:jc w:val="both"/>
              <w:rPr>
                <w:sz w:val="14"/>
              </w:rPr>
            </w:pPr>
            <w:r>
              <w:rPr>
                <w:color w:val="231F20"/>
                <w:sz w:val="14"/>
              </w:rPr>
              <w:t xml:space="preserve">Оспособљавање уче­ ника за разликовање музичких стилова </w:t>
            </w:r>
            <w:r>
              <w:rPr>
                <w:color w:val="231F20"/>
                <w:spacing w:val="-3"/>
                <w:sz w:val="14"/>
              </w:rPr>
              <w:t xml:space="preserve">од </w:t>
            </w:r>
            <w:r>
              <w:rPr>
                <w:color w:val="231F20"/>
                <w:sz w:val="14"/>
              </w:rPr>
              <w:t>првобитне заједнице до XXI</w:t>
            </w:r>
            <w:r>
              <w:rPr>
                <w:color w:val="231F20"/>
                <w:spacing w:val="-2"/>
                <w:sz w:val="14"/>
              </w:rPr>
              <w:t xml:space="preserve"> </w:t>
            </w:r>
            <w:r>
              <w:rPr>
                <w:color w:val="231F20"/>
                <w:sz w:val="14"/>
              </w:rPr>
              <w:t>века.</w:t>
            </w:r>
          </w:p>
          <w:p w:rsidR="00041039" w:rsidRDefault="001B26CB">
            <w:pPr>
              <w:pStyle w:val="TableParagraph"/>
              <w:numPr>
                <w:ilvl w:val="0"/>
                <w:numId w:val="1686"/>
              </w:numPr>
              <w:tabs>
                <w:tab w:val="left" w:pos="157"/>
              </w:tabs>
              <w:spacing w:line="155" w:lineRule="exact"/>
              <w:rPr>
                <w:sz w:val="14"/>
              </w:rPr>
            </w:pPr>
            <w:r>
              <w:rPr>
                <w:color w:val="231F20"/>
                <w:sz w:val="14"/>
              </w:rPr>
              <w:t>Развијање навика</w:t>
            </w:r>
            <w:r>
              <w:rPr>
                <w:color w:val="231F20"/>
                <w:spacing w:val="-5"/>
                <w:sz w:val="14"/>
              </w:rPr>
              <w:t xml:space="preserve"> </w:t>
            </w:r>
            <w:r>
              <w:rPr>
                <w:color w:val="231F20"/>
                <w:sz w:val="14"/>
              </w:rPr>
              <w:t>за</w:t>
            </w:r>
          </w:p>
          <w:p w:rsidR="00041039" w:rsidRDefault="001B26CB">
            <w:pPr>
              <w:pStyle w:val="TableParagraph"/>
              <w:ind w:right="15"/>
              <w:rPr>
                <w:sz w:val="14"/>
              </w:rPr>
            </w:pPr>
            <w:r>
              <w:rPr>
                <w:color w:val="231F20"/>
                <w:sz w:val="14"/>
              </w:rPr>
              <w:t>слушање уметничке музике.</w:t>
            </w:r>
          </w:p>
          <w:p w:rsidR="00041039" w:rsidRDefault="001B26CB">
            <w:pPr>
              <w:pStyle w:val="TableParagraph"/>
              <w:numPr>
                <w:ilvl w:val="0"/>
                <w:numId w:val="1686"/>
              </w:numPr>
              <w:tabs>
                <w:tab w:val="left" w:pos="157"/>
              </w:tabs>
              <w:spacing w:line="160" w:lineRule="exact"/>
              <w:ind w:right="152"/>
              <w:rPr>
                <w:sz w:val="14"/>
              </w:rPr>
            </w:pPr>
            <w:r>
              <w:rPr>
                <w:color w:val="231F20"/>
                <w:sz w:val="14"/>
              </w:rPr>
              <w:t>Оспособљавање уочавања разлика</w:t>
            </w:r>
            <w:r>
              <w:rPr>
                <w:color w:val="231F20"/>
                <w:spacing w:val="-14"/>
                <w:sz w:val="14"/>
              </w:rPr>
              <w:t xml:space="preserve"> </w:t>
            </w:r>
            <w:r>
              <w:rPr>
                <w:color w:val="231F20"/>
                <w:sz w:val="14"/>
              </w:rPr>
              <w:t>ка­ рактера</w:t>
            </w:r>
            <w:r>
              <w:rPr>
                <w:color w:val="231F20"/>
                <w:spacing w:val="-14"/>
                <w:sz w:val="14"/>
              </w:rPr>
              <w:t xml:space="preserve"> </w:t>
            </w:r>
            <w:r>
              <w:rPr>
                <w:color w:val="231F20"/>
                <w:sz w:val="14"/>
              </w:rPr>
              <w:t>композиција.</w:t>
            </w:r>
          </w:p>
          <w:p w:rsidR="00041039" w:rsidRDefault="001B26CB">
            <w:pPr>
              <w:pStyle w:val="TableParagraph"/>
              <w:numPr>
                <w:ilvl w:val="0"/>
                <w:numId w:val="1686"/>
              </w:numPr>
              <w:tabs>
                <w:tab w:val="left" w:pos="157"/>
              </w:tabs>
              <w:spacing w:line="160" w:lineRule="exact"/>
              <w:ind w:right="72"/>
              <w:rPr>
                <w:sz w:val="14"/>
              </w:rPr>
            </w:pPr>
            <w:r>
              <w:rPr>
                <w:color w:val="231F20"/>
                <w:sz w:val="14"/>
              </w:rPr>
              <w:t xml:space="preserve">Формирање музичког укуса и адекватног музичког експре­ сивног доживљаја музичког дела при­ </w:t>
            </w:r>
            <w:r>
              <w:rPr>
                <w:color w:val="231F20"/>
                <w:spacing w:val="-3"/>
                <w:sz w:val="14"/>
              </w:rPr>
              <w:t xml:space="preserve">ликом </w:t>
            </w:r>
            <w:r>
              <w:rPr>
                <w:color w:val="231F20"/>
                <w:sz w:val="14"/>
              </w:rPr>
              <w:t xml:space="preserve">слушања </w:t>
            </w:r>
            <w:r>
              <w:rPr>
                <w:color w:val="231F20"/>
                <w:spacing w:val="-3"/>
                <w:sz w:val="14"/>
              </w:rPr>
              <w:t xml:space="preserve">(аудио </w:t>
            </w:r>
            <w:r>
              <w:rPr>
                <w:color w:val="231F20"/>
                <w:sz w:val="14"/>
              </w:rPr>
              <w:t>апаратима и уживо на концертима).</w:t>
            </w:r>
          </w:p>
        </w:tc>
        <w:tc>
          <w:tcPr>
            <w:tcW w:w="2551" w:type="dxa"/>
            <w:vMerge w:val="restart"/>
          </w:tcPr>
          <w:p w:rsidR="00041039" w:rsidRDefault="001B26CB">
            <w:pPr>
              <w:pStyle w:val="TableParagraph"/>
              <w:numPr>
                <w:ilvl w:val="0"/>
                <w:numId w:val="1685"/>
              </w:numPr>
              <w:tabs>
                <w:tab w:val="left" w:pos="157"/>
              </w:tabs>
              <w:spacing w:before="8"/>
              <w:ind w:right="79" w:hanging="99"/>
              <w:jc w:val="both"/>
              <w:rPr>
                <w:sz w:val="14"/>
              </w:rPr>
            </w:pPr>
            <w:r>
              <w:rPr>
                <w:color w:val="231F20"/>
                <w:sz w:val="14"/>
              </w:rPr>
              <w:t>препознаје и разликује одлике</w:t>
            </w:r>
            <w:r>
              <w:rPr>
                <w:color w:val="231F20"/>
                <w:spacing w:val="-22"/>
                <w:sz w:val="14"/>
              </w:rPr>
              <w:t xml:space="preserve"> </w:t>
            </w:r>
            <w:r>
              <w:rPr>
                <w:color w:val="231F20"/>
                <w:sz w:val="14"/>
              </w:rPr>
              <w:t>стилова у музичком израж</w:t>
            </w:r>
            <w:r>
              <w:rPr>
                <w:color w:val="231F20"/>
                <w:sz w:val="14"/>
              </w:rPr>
              <w:t xml:space="preserve">авању </w:t>
            </w:r>
            <w:r>
              <w:rPr>
                <w:color w:val="231F20"/>
                <w:spacing w:val="-3"/>
                <w:sz w:val="14"/>
              </w:rPr>
              <w:t xml:space="preserve">од </w:t>
            </w:r>
            <w:r>
              <w:rPr>
                <w:color w:val="231F20"/>
                <w:sz w:val="14"/>
              </w:rPr>
              <w:t>првобитне заједнице до</w:t>
            </w:r>
            <w:r>
              <w:rPr>
                <w:color w:val="231F20"/>
                <w:spacing w:val="-1"/>
                <w:sz w:val="14"/>
              </w:rPr>
              <w:t xml:space="preserve"> </w:t>
            </w:r>
            <w:r>
              <w:rPr>
                <w:color w:val="231F20"/>
                <w:sz w:val="14"/>
              </w:rPr>
              <w:t>данас;</w:t>
            </w:r>
          </w:p>
          <w:p w:rsidR="00041039" w:rsidRDefault="001B26CB">
            <w:pPr>
              <w:pStyle w:val="TableParagraph"/>
              <w:numPr>
                <w:ilvl w:val="0"/>
                <w:numId w:val="1685"/>
              </w:numPr>
              <w:tabs>
                <w:tab w:val="left" w:pos="157"/>
              </w:tabs>
              <w:spacing w:line="157" w:lineRule="exact"/>
              <w:ind w:hanging="99"/>
              <w:rPr>
                <w:sz w:val="14"/>
              </w:rPr>
            </w:pPr>
            <w:r>
              <w:rPr>
                <w:color w:val="231F20"/>
                <w:sz w:val="14"/>
              </w:rPr>
              <w:t>испољава потребу за</w:t>
            </w:r>
            <w:r>
              <w:rPr>
                <w:color w:val="231F20"/>
                <w:spacing w:val="-10"/>
                <w:sz w:val="14"/>
              </w:rPr>
              <w:t xml:space="preserve"> </w:t>
            </w:r>
            <w:r>
              <w:rPr>
                <w:color w:val="231F20"/>
                <w:sz w:val="14"/>
              </w:rPr>
              <w:t>свакодневним</w:t>
            </w:r>
          </w:p>
          <w:p w:rsidR="00041039" w:rsidRDefault="001B26CB">
            <w:pPr>
              <w:pStyle w:val="TableParagraph"/>
              <w:ind w:right="169"/>
              <w:rPr>
                <w:sz w:val="14"/>
              </w:rPr>
            </w:pPr>
            <w:r>
              <w:rPr>
                <w:color w:val="231F20"/>
                <w:sz w:val="14"/>
              </w:rPr>
              <w:t>слушањем музике и на основу тога формира трајно интересовање према музици уопште;</w:t>
            </w:r>
          </w:p>
          <w:p w:rsidR="00041039" w:rsidRDefault="001B26CB">
            <w:pPr>
              <w:pStyle w:val="TableParagraph"/>
              <w:numPr>
                <w:ilvl w:val="0"/>
                <w:numId w:val="1685"/>
              </w:numPr>
              <w:tabs>
                <w:tab w:val="left" w:pos="157"/>
              </w:tabs>
              <w:spacing w:line="158" w:lineRule="exact"/>
              <w:ind w:hanging="99"/>
              <w:rPr>
                <w:sz w:val="14"/>
              </w:rPr>
            </w:pPr>
            <w:r>
              <w:rPr>
                <w:color w:val="231F20"/>
                <w:sz w:val="14"/>
              </w:rPr>
              <w:t>препознаје одслушане композиције</w:t>
            </w:r>
            <w:r>
              <w:rPr>
                <w:color w:val="231F20"/>
                <w:spacing w:val="-12"/>
                <w:sz w:val="14"/>
              </w:rPr>
              <w:t xml:space="preserve"> </w:t>
            </w:r>
            <w:r>
              <w:rPr>
                <w:color w:val="231F20"/>
                <w:sz w:val="14"/>
              </w:rPr>
              <w:t>уз</w:t>
            </w:r>
          </w:p>
          <w:p w:rsidR="00041039" w:rsidRDefault="001B26CB">
            <w:pPr>
              <w:pStyle w:val="TableParagraph"/>
              <w:ind w:right="14"/>
              <w:rPr>
                <w:sz w:val="14"/>
              </w:rPr>
            </w:pPr>
            <w:r>
              <w:rPr>
                <w:color w:val="231F20"/>
                <w:sz w:val="14"/>
              </w:rPr>
              <w:t>познавање њихових аутора као и време настанка;</w:t>
            </w:r>
          </w:p>
          <w:p w:rsidR="00041039" w:rsidRDefault="001B26CB">
            <w:pPr>
              <w:pStyle w:val="TableParagraph"/>
              <w:numPr>
                <w:ilvl w:val="0"/>
                <w:numId w:val="1685"/>
              </w:numPr>
              <w:tabs>
                <w:tab w:val="left" w:pos="157"/>
              </w:tabs>
              <w:spacing w:line="160" w:lineRule="exact"/>
              <w:ind w:right="233" w:hanging="99"/>
              <w:rPr>
                <w:sz w:val="14"/>
              </w:rPr>
            </w:pPr>
            <w:r>
              <w:rPr>
                <w:color w:val="231F20"/>
                <w:sz w:val="14"/>
              </w:rPr>
              <w:t>експресивно, аутономно</w:t>
            </w:r>
            <w:r>
              <w:rPr>
                <w:color w:val="231F20"/>
                <w:spacing w:val="-19"/>
                <w:sz w:val="14"/>
              </w:rPr>
              <w:t xml:space="preserve"> </w:t>
            </w:r>
            <w:r>
              <w:rPr>
                <w:color w:val="231F20"/>
                <w:sz w:val="14"/>
              </w:rPr>
              <w:t>доживљава карактер одслушане</w:t>
            </w:r>
            <w:r>
              <w:rPr>
                <w:color w:val="231F20"/>
                <w:spacing w:val="-8"/>
                <w:sz w:val="14"/>
              </w:rPr>
              <w:t xml:space="preserve"> </w:t>
            </w:r>
            <w:r>
              <w:rPr>
                <w:color w:val="231F20"/>
                <w:sz w:val="14"/>
              </w:rPr>
              <w:t>композиције;</w:t>
            </w:r>
          </w:p>
          <w:p w:rsidR="00041039" w:rsidRDefault="001B26CB">
            <w:pPr>
              <w:pStyle w:val="TableParagraph"/>
              <w:numPr>
                <w:ilvl w:val="0"/>
                <w:numId w:val="1685"/>
              </w:numPr>
              <w:tabs>
                <w:tab w:val="left" w:pos="157"/>
              </w:tabs>
              <w:spacing w:line="160" w:lineRule="exact"/>
              <w:ind w:right="158" w:hanging="99"/>
              <w:rPr>
                <w:sz w:val="14"/>
              </w:rPr>
            </w:pPr>
            <w:r>
              <w:rPr>
                <w:color w:val="231F20"/>
                <w:sz w:val="14"/>
              </w:rPr>
              <w:t>поседује адекватан музички укус, самоиницијативно посећује</w:t>
            </w:r>
            <w:r>
              <w:rPr>
                <w:color w:val="231F20"/>
                <w:spacing w:val="-14"/>
                <w:sz w:val="14"/>
              </w:rPr>
              <w:t xml:space="preserve"> </w:t>
            </w:r>
            <w:r>
              <w:rPr>
                <w:color w:val="231F20"/>
                <w:sz w:val="14"/>
              </w:rPr>
              <w:t>концерте и друге музичке манифестације у локалној</w:t>
            </w:r>
            <w:r>
              <w:rPr>
                <w:color w:val="231F20"/>
                <w:spacing w:val="-2"/>
                <w:sz w:val="14"/>
              </w:rPr>
              <w:t xml:space="preserve"> </w:t>
            </w:r>
            <w:r>
              <w:rPr>
                <w:color w:val="231F20"/>
                <w:sz w:val="14"/>
              </w:rPr>
              <w:t>заједници;</w:t>
            </w:r>
          </w:p>
        </w:tc>
        <w:tc>
          <w:tcPr>
            <w:tcW w:w="2834" w:type="dxa"/>
            <w:vMerge w:val="restart"/>
          </w:tcPr>
          <w:p w:rsidR="00041039" w:rsidRDefault="001B26CB">
            <w:pPr>
              <w:pStyle w:val="TableParagraph"/>
              <w:numPr>
                <w:ilvl w:val="0"/>
                <w:numId w:val="1684"/>
              </w:numPr>
              <w:tabs>
                <w:tab w:val="left" w:pos="157"/>
              </w:tabs>
              <w:spacing w:before="9"/>
              <w:ind w:right="67" w:hanging="99"/>
              <w:rPr>
                <w:sz w:val="14"/>
              </w:rPr>
            </w:pPr>
            <w:r>
              <w:rPr>
                <w:color w:val="231F20"/>
                <w:sz w:val="14"/>
              </w:rPr>
              <w:t>Значај музике у животу и друштву: првобитна заједница, стари век и развој музике у средњем веку (духовна и</w:t>
            </w:r>
            <w:r>
              <w:rPr>
                <w:color w:val="231F20"/>
                <w:spacing w:val="-20"/>
                <w:sz w:val="14"/>
              </w:rPr>
              <w:t xml:space="preserve"> </w:t>
            </w:r>
            <w:r>
              <w:rPr>
                <w:color w:val="231F20"/>
                <w:sz w:val="14"/>
              </w:rPr>
              <w:t>световна музика).</w:t>
            </w:r>
          </w:p>
          <w:p w:rsidR="00041039" w:rsidRDefault="001B26CB">
            <w:pPr>
              <w:pStyle w:val="TableParagraph"/>
              <w:numPr>
                <w:ilvl w:val="0"/>
                <w:numId w:val="1684"/>
              </w:numPr>
              <w:tabs>
                <w:tab w:val="left" w:pos="157"/>
              </w:tabs>
              <w:spacing w:line="156" w:lineRule="exact"/>
              <w:ind w:hanging="99"/>
              <w:rPr>
                <w:sz w:val="14"/>
              </w:rPr>
            </w:pPr>
            <w:r>
              <w:rPr>
                <w:color w:val="231F20"/>
                <w:sz w:val="14"/>
              </w:rPr>
              <w:t>Грегоријански корал, Византијско</w:t>
            </w:r>
            <w:r>
              <w:rPr>
                <w:color w:val="231F20"/>
                <w:spacing w:val="-15"/>
                <w:sz w:val="14"/>
              </w:rPr>
              <w:t xml:space="preserve"> </w:t>
            </w:r>
            <w:r>
              <w:rPr>
                <w:color w:val="231F20"/>
                <w:sz w:val="14"/>
              </w:rPr>
              <w:t>певање,</w:t>
            </w:r>
          </w:p>
          <w:p w:rsidR="00041039" w:rsidRDefault="001B26CB">
            <w:pPr>
              <w:pStyle w:val="TableParagraph"/>
              <w:spacing w:line="160" w:lineRule="exact"/>
              <w:rPr>
                <w:sz w:val="14"/>
              </w:rPr>
            </w:pPr>
            <w:r>
              <w:rPr>
                <w:color w:val="231F20"/>
                <w:sz w:val="14"/>
              </w:rPr>
              <w:t>Кир Стефан Србин: Ниња сили.</w:t>
            </w:r>
          </w:p>
          <w:p w:rsidR="00041039" w:rsidRDefault="001B26CB">
            <w:pPr>
              <w:pStyle w:val="TableParagraph"/>
              <w:spacing w:line="155" w:lineRule="exact"/>
              <w:ind w:left="57"/>
              <w:rPr>
                <w:b/>
                <w:sz w:val="14"/>
              </w:rPr>
            </w:pPr>
            <w:r>
              <w:rPr>
                <w:b/>
                <w:color w:val="231F20"/>
                <w:sz w:val="14"/>
              </w:rPr>
              <w:t>Ренесанса и барок:</w:t>
            </w:r>
          </w:p>
          <w:p w:rsidR="00041039" w:rsidRDefault="001B26CB">
            <w:pPr>
              <w:pStyle w:val="TableParagraph"/>
              <w:numPr>
                <w:ilvl w:val="0"/>
                <w:numId w:val="1684"/>
              </w:numPr>
              <w:tabs>
                <w:tab w:val="left" w:pos="157"/>
              </w:tabs>
              <w:spacing w:line="237" w:lineRule="auto"/>
              <w:ind w:right="258" w:hanging="99"/>
              <w:rPr>
                <w:i/>
                <w:sz w:val="14"/>
              </w:rPr>
            </w:pPr>
            <w:r>
              <w:rPr>
                <w:color w:val="231F20"/>
                <w:sz w:val="14"/>
              </w:rPr>
              <w:t xml:space="preserve">Палестрина Л.: </w:t>
            </w:r>
            <w:r>
              <w:rPr>
                <w:i/>
                <w:color w:val="231F20"/>
                <w:sz w:val="14"/>
              </w:rPr>
              <w:t>Огни белта</w:t>
            </w:r>
            <w:r>
              <w:rPr>
                <w:color w:val="231F20"/>
                <w:sz w:val="14"/>
              </w:rPr>
              <w:t xml:space="preserve">, Вивалди А.: </w:t>
            </w:r>
            <w:r>
              <w:rPr>
                <w:i/>
                <w:color w:val="231F20"/>
                <w:sz w:val="14"/>
              </w:rPr>
              <w:t>4 годишња доба</w:t>
            </w:r>
            <w:r>
              <w:rPr>
                <w:color w:val="231F20"/>
                <w:sz w:val="14"/>
              </w:rPr>
              <w:t xml:space="preserve">, Хендл </w:t>
            </w:r>
            <w:r>
              <w:rPr>
                <w:color w:val="231F20"/>
                <w:spacing w:val="-4"/>
                <w:sz w:val="14"/>
              </w:rPr>
              <w:t xml:space="preserve">Г.Ф.: </w:t>
            </w:r>
            <w:r>
              <w:rPr>
                <w:i/>
                <w:color w:val="231F20"/>
                <w:sz w:val="14"/>
              </w:rPr>
              <w:t>Месија (Алелуја)</w:t>
            </w:r>
            <w:r>
              <w:rPr>
                <w:color w:val="231F20"/>
                <w:sz w:val="14"/>
              </w:rPr>
              <w:t xml:space="preserve">, Бах Ј.С.: </w:t>
            </w:r>
            <w:r>
              <w:rPr>
                <w:i/>
                <w:color w:val="231F20"/>
                <w:sz w:val="14"/>
              </w:rPr>
              <w:t>Токата и фуга</w:t>
            </w:r>
            <w:r>
              <w:rPr>
                <w:i/>
                <w:color w:val="231F20"/>
                <w:spacing w:val="-24"/>
                <w:sz w:val="14"/>
              </w:rPr>
              <w:t xml:space="preserve"> </w:t>
            </w:r>
            <w:r>
              <w:rPr>
                <w:i/>
                <w:color w:val="231F20"/>
                <w:sz w:val="14"/>
              </w:rPr>
              <w:t>d-mol</w:t>
            </w:r>
            <w:r>
              <w:rPr>
                <w:color w:val="231F20"/>
                <w:sz w:val="14"/>
              </w:rPr>
              <w:t xml:space="preserve">, </w:t>
            </w:r>
            <w:r>
              <w:rPr>
                <w:i/>
                <w:color w:val="231F20"/>
                <w:sz w:val="14"/>
              </w:rPr>
              <w:t>Брандебуршки копцерт бр. З G -</w:t>
            </w:r>
            <w:r>
              <w:rPr>
                <w:i/>
                <w:color w:val="231F20"/>
                <w:spacing w:val="-8"/>
                <w:sz w:val="14"/>
              </w:rPr>
              <w:t xml:space="preserve"> </w:t>
            </w:r>
            <w:r>
              <w:rPr>
                <w:i/>
                <w:color w:val="231F20"/>
                <w:spacing w:val="-4"/>
                <w:sz w:val="14"/>
              </w:rPr>
              <w:t>dur.</w:t>
            </w:r>
          </w:p>
          <w:p w:rsidR="00041039" w:rsidRDefault="001B26CB">
            <w:pPr>
              <w:pStyle w:val="TableParagraph"/>
              <w:spacing w:line="155" w:lineRule="exact"/>
              <w:ind w:left="57"/>
              <w:rPr>
                <w:b/>
                <w:sz w:val="14"/>
              </w:rPr>
            </w:pPr>
            <w:r>
              <w:rPr>
                <w:b/>
                <w:color w:val="231F20"/>
                <w:sz w:val="14"/>
              </w:rPr>
              <w:t>Класицизам:</w:t>
            </w:r>
          </w:p>
          <w:p w:rsidR="00041039" w:rsidRDefault="001B26CB">
            <w:pPr>
              <w:pStyle w:val="TableParagraph"/>
              <w:numPr>
                <w:ilvl w:val="0"/>
                <w:numId w:val="1684"/>
              </w:numPr>
              <w:tabs>
                <w:tab w:val="left" w:pos="157"/>
              </w:tabs>
              <w:spacing w:line="237" w:lineRule="auto"/>
              <w:ind w:right="334" w:hanging="99"/>
              <w:rPr>
                <w:sz w:val="14"/>
              </w:rPr>
            </w:pPr>
            <w:r>
              <w:rPr>
                <w:color w:val="231F20"/>
                <w:sz w:val="14"/>
              </w:rPr>
              <w:t xml:space="preserve">Хајдн Ј.: </w:t>
            </w:r>
            <w:r>
              <w:rPr>
                <w:i/>
                <w:color w:val="231F20"/>
                <w:sz w:val="14"/>
              </w:rPr>
              <w:t>Симфонија изненађења бр</w:t>
            </w:r>
            <w:r>
              <w:rPr>
                <w:i/>
                <w:color w:val="231F20"/>
                <w:spacing w:val="-9"/>
                <w:sz w:val="14"/>
              </w:rPr>
              <w:t xml:space="preserve"> </w:t>
            </w:r>
            <w:r>
              <w:rPr>
                <w:i/>
                <w:color w:val="231F20"/>
                <w:sz w:val="14"/>
              </w:rPr>
              <w:t>94. G -</w:t>
            </w:r>
            <w:r>
              <w:rPr>
                <w:i/>
                <w:color w:val="231F20"/>
                <w:spacing w:val="-1"/>
                <w:sz w:val="14"/>
              </w:rPr>
              <w:t xml:space="preserve"> </w:t>
            </w:r>
            <w:r>
              <w:rPr>
                <w:i/>
                <w:color w:val="231F20"/>
                <w:sz w:val="14"/>
              </w:rPr>
              <w:t>dur</w:t>
            </w:r>
            <w:r>
              <w:rPr>
                <w:color w:val="231F20"/>
                <w:sz w:val="14"/>
              </w:rPr>
              <w:t>.</w:t>
            </w:r>
          </w:p>
          <w:p w:rsidR="00041039" w:rsidRDefault="001B26CB">
            <w:pPr>
              <w:pStyle w:val="TableParagraph"/>
              <w:numPr>
                <w:ilvl w:val="0"/>
                <w:numId w:val="1684"/>
              </w:numPr>
              <w:tabs>
                <w:tab w:val="left" w:pos="157"/>
              </w:tabs>
              <w:spacing w:line="160" w:lineRule="exact"/>
              <w:ind w:right="49" w:hanging="99"/>
              <w:rPr>
                <w:i/>
                <w:sz w:val="14"/>
              </w:rPr>
            </w:pPr>
            <w:r>
              <w:rPr>
                <w:color w:val="231F20"/>
                <w:sz w:val="14"/>
              </w:rPr>
              <w:t xml:space="preserve">Моцарт В.А.: </w:t>
            </w:r>
            <w:r>
              <w:rPr>
                <w:i/>
                <w:color w:val="231F20"/>
                <w:sz w:val="14"/>
              </w:rPr>
              <w:t>Симфонија бр. 40. G - dur</w:t>
            </w:r>
            <w:r>
              <w:rPr>
                <w:color w:val="231F20"/>
                <w:sz w:val="14"/>
              </w:rPr>
              <w:t xml:space="preserve">, </w:t>
            </w:r>
            <w:r>
              <w:rPr>
                <w:i/>
                <w:color w:val="231F20"/>
                <w:sz w:val="14"/>
              </w:rPr>
              <w:t>Реквијем,</w:t>
            </w:r>
            <w:r>
              <w:rPr>
                <w:i/>
                <w:color w:val="231F20"/>
                <w:spacing w:val="-8"/>
                <w:sz w:val="14"/>
              </w:rPr>
              <w:t xml:space="preserve"> </w:t>
            </w:r>
            <w:r>
              <w:rPr>
                <w:i/>
                <w:color w:val="231F20"/>
                <w:sz w:val="14"/>
              </w:rPr>
              <w:t>Мала</w:t>
            </w:r>
            <w:r>
              <w:rPr>
                <w:i/>
                <w:color w:val="231F20"/>
                <w:spacing w:val="-7"/>
                <w:sz w:val="14"/>
              </w:rPr>
              <w:t xml:space="preserve"> </w:t>
            </w:r>
            <w:r>
              <w:rPr>
                <w:i/>
                <w:color w:val="231F20"/>
                <w:sz w:val="14"/>
              </w:rPr>
              <w:t>ноћна</w:t>
            </w:r>
            <w:r>
              <w:rPr>
                <w:i/>
                <w:color w:val="231F20"/>
                <w:spacing w:val="-8"/>
                <w:sz w:val="14"/>
              </w:rPr>
              <w:t xml:space="preserve"> </w:t>
            </w:r>
            <w:r>
              <w:rPr>
                <w:i/>
                <w:color w:val="231F20"/>
                <w:sz w:val="14"/>
              </w:rPr>
              <w:t>музика,</w:t>
            </w:r>
            <w:r>
              <w:rPr>
                <w:i/>
                <w:color w:val="231F20"/>
                <w:spacing w:val="-7"/>
                <w:sz w:val="14"/>
              </w:rPr>
              <w:t xml:space="preserve"> </w:t>
            </w:r>
            <w:r>
              <w:rPr>
                <w:i/>
                <w:color w:val="231F20"/>
                <w:sz w:val="14"/>
              </w:rPr>
              <w:t>Турски</w:t>
            </w:r>
            <w:r>
              <w:rPr>
                <w:i/>
                <w:color w:val="231F20"/>
                <w:spacing w:val="-7"/>
                <w:sz w:val="14"/>
              </w:rPr>
              <w:t xml:space="preserve"> </w:t>
            </w:r>
            <w:r>
              <w:rPr>
                <w:i/>
                <w:color w:val="231F20"/>
                <w:sz w:val="14"/>
              </w:rPr>
              <w:t>марш</w:t>
            </w:r>
            <w:r>
              <w:rPr>
                <w:color w:val="231F20"/>
                <w:sz w:val="14"/>
              </w:rPr>
              <w:t xml:space="preserve">, Бетовен Л.В.: </w:t>
            </w:r>
            <w:r>
              <w:rPr>
                <w:i/>
                <w:color w:val="231F20"/>
                <w:sz w:val="14"/>
              </w:rPr>
              <w:t>5. и 9. симфонија, За Елизу, Месечева</w:t>
            </w:r>
            <w:r>
              <w:rPr>
                <w:i/>
                <w:color w:val="231F20"/>
                <w:spacing w:val="-1"/>
                <w:sz w:val="14"/>
              </w:rPr>
              <w:t xml:space="preserve"> </w:t>
            </w:r>
            <w:r>
              <w:rPr>
                <w:i/>
                <w:color w:val="231F20"/>
                <w:sz w:val="14"/>
              </w:rPr>
              <w:t>соната.</w:t>
            </w:r>
          </w:p>
          <w:p w:rsidR="00041039" w:rsidRDefault="001B26CB">
            <w:pPr>
              <w:pStyle w:val="TableParagraph"/>
              <w:spacing w:line="153" w:lineRule="exact"/>
              <w:ind w:left="57"/>
              <w:rPr>
                <w:b/>
                <w:sz w:val="14"/>
              </w:rPr>
            </w:pPr>
            <w:r>
              <w:rPr>
                <w:b/>
                <w:color w:val="231F20"/>
                <w:sz w:val="14"/>
              </w:rPr>
              <w:t>Романтизам:</w:t>
            </w:r>
          </w:p>
          <w:p w:rsidR="00041039" w:rsidRDefault="001B26CB">
            <w:pPr>
              <w:pStyle w:val="TableParagraph"/>
              <w:numPr>
                <w:ilvl w:val="0"/>
                <w:numId w:val="1684"/>
              </w:numPr>
              <w:tabs>
                <w:tab w:val="left" w:pos="157"/>
              </w:tabs>
              <w:spacing w:line="237" w:lineRule="auto"/>
              <w:ind w:right="91" w:hanging="99"/>
              <w:rPr>
                <w:i/>
                <w:sz w:val="14"/>
              </w:rPr>
            </w:pPr>
            <w:r>
              <w:rPr>
                <w:color w:val="231F20"/>
                <w:sz w:val="14"/>
              </w:rPr>
              <w:t xml:space="preserve">Менделсон Ф.: </w:t>
            </w:r>
            <w:r>
              <w:rPr>
                <w:i/>
                <w:color w:val="231F20"/>
                <w:sz w:val="14"/>
              </w:rPr>
              <w:t>Свадбени марш</w:t>
            </w:r>
            <w:r>
              <w:rPr>
                <w:color w:val="231F20"/>
                <w:sz w:val="14"/>
              </w:rPr>
              <w:t>, Шопен</w:t>
            </w:r>
            <w:r>
              <w:rPr>
                <w:color w:val="231F20"/>
                <w:spacing w:val="-13"/>
                <w:sz w:val="14"/>
              </w:rPr>
              <w:t xml:space="preserve"> </w:t>
            </w:r>
            <w:r>
              <w:rPr>
                <w:color w:val="231F20"/>
                <w:sz w:val="14"/>
              </w:rPr>
              <w:t xml:space="preserve">Ф.: </w:t>
            </w:r>
            <w:r>
              <w:rPr>
                <w:i/>
                <w:color w:val="231F20"/>
                <w:sz w:val="14"/>
              </w:rPr>
              <w:t>Валцер des - dur</w:t>
            </w:r>
            <w:r>
              <w:rPr>
                <w:color w:val="231F20"/>
                <w:sz w:val="14"/>
              </w:rPr>
              <w:t xml:space="preserve">, Брамс Ј.: </w:t>
            </w:r>
            <w:r>
              <w:rPr>
                <w:i/>
                <w:color w:val="231F20"/>
                <w:sz w:val="14"/>
              </w:rPr>
              <w:t>Мађарске игре по избору</w:t>
            </w:r>
            <w:r>
              <w:rPr>
                <w:color w:val="231F20"/>
                <w:sz w:val="14"/>
              </w:rPr>
              <w:t xml:space="preserve">, Сметана Б.: </w:t>
            </w:r>
            <w:r>
              <w:rPr>
                <w:i/>
                <w:color w:val="231F20"/>
                <w:sz w:val="14"/>
              </w:rPr>
              <w:t>Влтава</w:t>
            </w:r>
            <w:r>
              <w:rPr>
                <w:color w:val="231F20"/>
                <w:sz w:val="14"/>
              </w:rPr>
              <w:t xml:space="preserve">, Дворжак А.: </w:t>
            </w:r>
            <w:r>
              <w:rPr>
                <w:i/>
                <w:color w:val="231F20"/>
                <w:sz w:val="14"/>
              </w:rPr>
              <w:t>Симфонија из новог</w:t>
            </w:r>
            <w:r>
              <w:rPr>
                <w:i/>
                <w:color w:val="231F20"/>
                <w:spacing w:val="-3"/>
                <w:sz w:val="14"/>
              </w:rPr>
              <w:t xml:space="preserve"> </w:t>
            </w:r>
            <w:r>
              <w:rPr>
                <w:i/>
                <w:color w:val="231F20"/>
                <w:sz w:val="14"/>
              </w:rPr>
              <w:t>света.</w:t>
            </w:r>
          </w:p>
          <w:p w:rsidR="00041039" w:rsidRDefault="001B26CB">
            <w:pPr>
              <w:pStyle w:val="TableParagraph"/>
              <w:spacing w:line="155" w:lineRule="exact"/>
              <w:ind w:left="57"/>
              <w:rPr>
                <w:b/>
                <w:sz w:val="14"/>
              </w:rPr>
            </w:pPr>
            <w:r>
              <w:rPr>
                <w:b/>
                <w:color w:val="231F20"/>
                <w:sz w:val="14"/>
              </w:rPr>
              <w:t>Импресионизам</w:t>
            </w:r>
          </w:p>
          <w:p w:rsidR="00041039" w:rsidRDefault="001B26CB">
            <w:pPr>
              <w:pStyle w:val="TableParagraph"/>
              <w:numPr>
                <w:ilvl w:val="0"/>
                <w:numId w:val="1684"/>
              </w:numPr>
              <w:tabs>
                <w:tab w:val="left" w:pos="157"/>
              </w:tabs>
              <w:spacing w:line="237" w:lineRule="auto"/>
              <w:ind w:right="71" w:hanging="99"/>
              <w:rPr>
                <w:i/>
                <w:sz w:val="14"/>
              </w:rPr>
            </w:pPr>
            <w:r>
              <w:rPr>
                <w:color w:val="231F20"/>
                <w:sz w:val="14"/>
              </w:rPr>
              <w:t xml:space="preserve">Дебиси К.: </w:t>
            </w:r>
            <w:r>
              <w:rPr>
                <w:i/>
                <w:color w:val="231F20"/>
                <w:sz w:val="14"/>
              </w:rPr>
              <w:t>Прелид за поподне једног</w:t>
            </w:r>
            <w:r>
              <w:rPr>
                <w:i/>
                <w:color w:val="231F20"/>
                <w:spacing w:val="-18"/>
                <w:sz w:val="14"/>
              </w:rPr>
              <w:t xml:space="preserve"> </w:t>
            </w:r>
            <w:r>
              <w:rPr>
                <w:i/>
                <w:color w:val="231F20"/>
                <w:sz w:val="14"/>
              </w:rPr>
              <w:t>пауна</w:t>
            </w:r>
            <w:r>
              <w:rPr>
                <w:color w:val="231F20"/>
                <w:sz w:val="14"/>
              </w:rPr>
              <w:t>, Равел М.:</w:t>
            </w:r>
            <w:r>
              <w:rPr>
                <w:color w:val="231F20"/>
                <w:spacing w:val="-2"/>
                <w:sz w:val="14"/>
              </w:rPr>
              <w:t xml:space="preserve"> </w:t>
            </w:r>
            <w:r>
              <w:rPr>
                <w:i/>
                <w:color w:val="231F20"/>
                <w:sz w:val="14"/>
              </w:rPr>
              <w:t>Болеро.</w:t>
            </w:r>
          </w:p>
          <w:p w:rsidR="00041039" w:rsidRDefault="001B26CB">
            <w:pPr>
              <w:pStyle w:val="TableParagraph"/>
              <w:spacing w:line="155" w:lineRule="exact"/>
              <w:ind w:left="57"/>
              <w:rPr>
                <w:b/>
                <w:sz w:val="14"/>
              </w:rPr>
            </w:pPr>
            <w:r>
              <w:rPr>
                <w:b/>
                <w:color w:val="231F20"/>
                <w:sz w:val="14"/>
              </w:rPr>
              <w:t>Музика XX века</w:t>
            </w:r>
          </w:p>
          <w:p w:rsidR="00041039" w:rsidRDefault="001B26CB">
            <w:pPr>
              <w:pStyle w:val="TableParagraph"/>
              <w:numPr>
                <w:ilvl w:val="0"/>
                <w:numId w:val="1684"/>
              </w:numPr>
              <w:tabs>
                <w:tab w:val="left" w:pos="157"/>
              </w:tabs>
              <w:spacing w:line="237" w:lineRule="auto"/>
              <w:ind w:right="306" w:hanging="99"/>
              <w:rPr>
                <w:sz w:val="14"/>
              </w:rPr>
            </w:pPr>
            <w:r>
              <w:rPr>
                <w:color w:val="231F20"/>
                <w:sz w:val="14"/>
              </w:rPr>
              <w:t xml:space="preserve">Шостакович: </w:t>
            </w:r>
            <w:r>
              <w:rPr>
                <w:i/>
                <w:color w:val="231F20"/>
                <w:sz w:val="14"/>
              </w:rPr>
              <w:t>Камерна симфонија</w:t>
            </w:r>
            <w:r>
              <w:rPr>
                <w:color w:val="231F20"/>
                <w:sz w:val="14"/>
              </w:rPr>
              <w:t xml:space="preserve">, Прокофјев С.: </w:t>
            </w:r>
            <w:r>
              <w:rPr>
                <w:i/>
                <w:color w:val="231F20"/>
                <w:spacing w:val="-3"/>
                <w:sz w:val="14"/>
              </w:rPr>
              <w:t xml:space="preserve">Ромео </w:t>
            </w:r>
            <w:r>
              <w:rPr>
                <w:i/>
                <w:color w:val="231F20"/>
                <w:sz w:val="14"/>
              </w:rPr>
              <w:t>и Јулија</w:t>
            </w:r>
            <w:r>
              <w:rPr>
                <w:color w:val="231F20"/>
                <w:sz w:val="14"/>
              </w:rPr>
              <w:t xml:space="preserve">, </w:t>
            </w:r>
            <w:r>
              <w:rPr>
                <w:color w:val="231F20"/>
                <w:spacing w:val="-3"/>
                <w:sz w:val="14"/>
              </w:rPr>
              <w:t xml:space="preserve">Шенберг, </w:t>
            </w:r>
            <w:r>
              <w:rPr>
                <w:color w:val="231F20"/>
                <w:sz w:val="14"/>
              </w:rPr>
              <w:t>Стравински,</w:t>
            </w:r>
            <w:r>
              <w:rPr>
                <w:color w:val="231F20"/>
                <w:spacing w:val="-1"/>
                <w:sz w:val="14"/>
              </w:rPr>
              <w:t xml:space="preserve"> </w:t>
            </w:r>
            <w:r>
              <w:rPr>
                <w:color w:val="231F20"/>
                <w:sz w:val="14"/>
              </w:rPr>
              <w:t>Веберн.</w:t>
            </w:r>
          </w:p>
        </w:tc>
        <w:tc>
          <w:tcPr>
            <w:tcW w:w="2267" w:type="dxa"/>
            <w:tcBorders>
              <w:bottom w:val="nil"/>
            </w:tcBorders>
          </w:tcPr>
          <w:p w:rsidR="00041039" w:rsidRDefault="001B26CB">
            <w:pPr>
              <w:pStyle w:val="TableParagraph"/>
              <w:numPr>
                <w:ilvl w:val="0"/>
                <w:numId w:val="1683"/>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tc>
      </w:tr>
      <w:tr w:rsidR="00041039">
        <w:trPr>
          <w:trHeight w:val="707"/>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line="149"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682"/>
              </w:numPr>
              <w:tabs>
                <w:tab w:val="left" w:pos="158"/>
              </w:tabs>
              <w:spacing w:line="160"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tc>
      </w:tr>
      <w:tr w:rsidR="00041039">
        <w:trPr>
          <w:trHeight w:val="469"/>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tc>
      </w:tr>
      <w:tr w:rsidR="00041039">
        <w:trPr>
          <w:trHeight w:val="63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681"/>
              </w:numPr>
              <w:tabs>
                <w:tab w:val="left" w:pos="158"/>
              </w:tabs>
              <w:spacing w:line="166" w:lineRule="exact"/>
              <w:ind w:hanging="99"/>
              <w:rPr>
                <w:sz w:val="14"/>
              </w:rPr>
            </w:pPr>
            <w:r>
              <w:rPr>
                <w:color w:val="231F20"/>
                <w:sz w:val="14"/>
              </w:rPr>
              <w:t>учионици</w:t>
            </w:r>
          </w:p>
        </w:tc>
      </w:tr>
      <w:tr w:rsidR="00041039">
        <w:trPr>
          <w:trHeight w:val="2171"/>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680"/>
              </w:numPr>
              <w:tabs>
                <w:tab w:val="left" w:pos="158"/>
              </w:tabs>
              <w:spacing w:before="1" w:line="160" w:lineRule="exact"/>
              <w:ind w:right="117" w:hanging="99"/>
              <w:rPr>
                <w:sz w:val="14"/>
              </w:rPr>
            </w:pPr>
            <w:r>
              <w:rPr>
                <w:color w:val="231F20"/>
                <w:sz w:val="14"/>
              </w:rPr>
              <w:t>користити сва доступна</w:t>
            </w:r>
            <w:r>
              <w:rPr>
                <w:color w:val="231F20"/>
                <w:spacing w:val="-11"/>
                <w:sz w:val="14"/>
              </w:rPr>
              <w:t xml:space="preserve"> </w:t>
            </w:r>
            <w:r>
              <w:rPr>
                <w:color w:val="231F20"/>
                <w:sz w:val="14"/>
              </w:rPr>
              <w:t>наставна средства;</w:t>
            </w:r>
          </w:p>
          <w:p w:rsidR="00041039" w:rsidRDefault="001B26CB">
            <w:pPr>
              <w:pStyle w:val="TableParagraph"/>
              <w:numPr>
                <w:ilvl w:val="0"/>
                <w:numId w:val="1680"/>
              </w:numPr>
              <w:tabs>
                <w:tab w:val="left" w:pos="158"/>
              </w:tabs>
              <w:spacing w:line="160" w:lineRule="exact"/>
              <w:ind w:right="201" w:hanging="99"/>
              <w:rPr>
                <w:sz w:val="14"/>
              </w:rPr>
            </w:pPr>
            <w:r>
              <w:rPr>
                <w:color w:val="231F20"/>
                <w:sz w:val="14"/>
              </w:rPr>
              <w:t>користити мултимедијалне</w:t>
            </w:r>
            <w:r>
              <w:rPr>
                <w:color w:val="231F20"/>
                <w:spacing w:val="-23"/>
                <w:sz w:val="14"/>
              </w:rPr>
              <w:t xml:space="preserve"> </w:t>
            </w:r>
            <w:r>
              <w:rPr>
                <w:color w:val="231F20"/>
                <w:sz w:val="14"/>
              </w:rPr>
              <w:t>пре­ зентације;</w:t>
            </w:r>
          </w:p>
          <w:p w:rsidR="00041039" w:rsidRDefault="001B26CB">
            <w:pPr>
              <w:pStyle w:val="TableParagraph"/>
              <w:numPr>
                <w:ilvl w:val="0"/>
                <w:numId w:val="1680"/>
              </w:numPr>
              <w:tabs>
                <w:tab w:val="left" w:pos="158"/>
              </w:tabs>
              <w:spacing w:line="160" w:lineRule="exact"/>
              <w:ind w:right="196" w:hanging="99"/>
              <w:rPr>
                <w:sz w:val="14"/>
              </w:rPr>
            </w:pPr>
            <w:r>
              <w:rPr>
                <w:color w:val="231F20"/>
                <w:sz w:val="14"/>
              </w:rPr>
              <w:t>упућивати ученике да користе интернет и стручну</w:t>
            </w:r>
            <w:r>
              <w:rPr>
                <w:color w:val="231F20"/>
                <w:spacing w:val="-22"/>
                <w:sz w:val="14"/>
              </w:rPr>
              <w:t xml:space="preserve"> </w:t>
            </w:r>
            <w:r>
              <w:rPr>
                <w:color w:val="231F20"/>
                <w:sz w:val="14"/>
              </w:rPr>
              <w:t>литературу;</w:t>
            </w:r>
          </w:p>
          <w:p w:rsidR="00041039" w:rsidRDefault="001B26CB">
            <w:pPr>
              <w:pStyle w:val="TableParagraph"/>
              <w:numPr>
                <w:ilvl w:val="0"/>
                <w:numId w:val="1680"/>
              </w:numPr>
              <w:tabs>
                <w:tab w:val="left" w:pos="158"/>
              </w:tabs>
              <w:spacing w:line="160" w:lineRule="exact"/>
              <w:ind w:right="124" w:hanging="99"/>
              <w:rPr>
                <w:sz w:val="14"/>
              </w:rPr>
            </w:pPr>
            <w:r>
              <w:rPr>
                <w:color w:val="231F20"/>
                <w:sz w:val="14"/>
              </w:rPr>
              <w:t>примењивати индивидуални</w:t>
            </w:r>
            <w:r>
              <w:rPr>
                <w:color w:val="231F20"/>
                <w:spacing w:val="-20"/>
                <w:sz w:val="14"/>
              </w:rPr>
              <w:t xml:space="preserve"> </w:t>
            </w:r>
            <w:r>
              <w:rPr>
                <w:color w:val="231F20"/>
                <w:sz w:val="14"/>
              </w:rPr>
              <w:t>рад, рад у паровима и рад у мањим групама;</w:t>
            </w:r>
          </w:p>
          <w:p w:rsidR="00041039" w:rsidRDefault="001B26CB">
            <w:pPr>
              <w:pStyle w:val="TableParagraph"/>
              <w:numPr>
                <w:ilvl w:val="0"/>
                <w:numId w:val="1680"/>
              </w:numPr>
              <w:tabs>
                <w:tab w:val="left" w:pos="158"/>
              </w:tabs>
              <w:spacing w:line="160" w:lineRule="exact"/>
              <w:ind w:right="89" w:hanging="99"/>
              <w:rPr>
                <w:sz w:val="14"/>
              </w:rPr>
            </w:pPr>
            <w:r>
              <w:rPr>
                <w:color w:val="231F20"/>
                <w:sz w:val="14"/>
              </w:rPr>
              <w:t>континуирано упућивати</w:t>
            </w:r>
            <w:r>
              <w:rPr>
                <w:color w:val="231F20"/>
                <w:spacing w:val="-18"/>
                <w:sz w:val="14"/>
              </w:rPr>
              <w:t xml:space="preserve"> </w:t>
            </w:r>
            <w:r>
              <w:rPr>
                <w:color w:val="231F20"/>
                <w:sz w:val="14"/>
              </w:rPr>
              <w:t>ученике на присуство музике у</w:t>
            </w:r>
            <w:r>
              <w:rPr>
                <w:color w:val="231F20"/>
                <w:spacing w:val="-26"/>
                <w:sz w:val="14"/>
              </w:rPr>
              <w:t xml:space="preserve"> </w:t>
            </w:r>
            <w:r>
              <w:rPr>
                <w:color w:val="231F20"/>
                <w:sz w:val="14"/>
              </w:rPr>
              <w:t xml:space="preserve">свакоднев­ ном </w:t>
            </w:r>
            <w:r>
              <w:rPr>
                <w:color w:val="231F20"/>
                <w:spacing w:val="-3"/>
                <w:sz w:val="14"/>
              </w:rPr>
              <w:t xml:space="preserve">животу, </w:t>
            </w:r>
            <w:r>
              <w:rPr>
                <w:color w:val="231F20"/>
                <w:sz w:val="14"/>
              </w:rPr>
              <w:t>примену у пракси и другим наставним</w:t>
            </w:r>
            <w:r>
              <w:rPr>
                <w:color w:val="231F20"/>
                <w:spacing w:val="-4"/>
                <w:sz w:val="14"/>
              </w:rPr>
              <w:t xml:space="preserve"> </w:t>
            </w:r>
            <w:r>
              <w:rPr>
                <w:color w:val="231F20"/>
                <w:sz w:val="14"/>
              </w:rPr>
              <w:t>предметима;</w:t>
            </w:r>
          </w:p>
        </w:tc>
      </w:tr>
      <w:tr w:rsidR="00041039">
        <w:trPr>
          <w:trHeight w:val="393"/>
        </w:trPr>
        <w:tc>
          <w:tcPr>
            <w:tcW w:w="1304" w:type="dxa"/>
            <w:tcBorders>
              <w:bottom w:val="nil"/>
            </w:tcBorders>
          </w:tcPr>
          <w:p w:rsidR="00041039" w:rsidRDefault="001B26CB">
            <w:pPr>
              <w:pStyle w:val="TableParagraph"/>
              <w:spacing w:before="20"/>
              <w:ind w:left="56" w:right="113"/>
              <w:rPr>
                <w:sz w:val="14"/>
              </w:rPr>
            </w:pPr>
            <w:r>
              <w:rPr>
                <w:color w:val="231F20"/>
                <w:sz w:val="14"/>
              </w:rPr>
              <w:t>Опера и балет Оперета и мјузикл</w:t>
            </w:r>
          </w:p>
        </w:tc>
        <w:tc>
          <w:tcPr>
            <w:tcW w:w="1587" w:type="dxa"/>
            <w:vMerge w:val="restart"/>
          </w:tcPr>
          <w:p w:rsidR="00041039" w:rsidRDefault="001B26CB">
            <w:pPr>
              <w:pStyle w:val="TableParagraph"/>
              <w:numPr>
                <w:ilvl w:val="0"/>
                <w:numId w:val="1679"/>
              </w:numPr>
              <w:tabs>
                <w:tab w:val="left" w:pos="157"/>
              </w:tabs>
              <w:spacing w:before="10"/>
              <w:ind w:right="102"/>
              <w:rPr>
                <w:sz w:val="14"/>
              </w:rPr>
            </w:pPr>
            <w:r>
              <w:rPr>
                <w:color w:val="231F20"/>
                <w:sz w:val="14"/>
              </w:rPr>
              <w:t>Значај корелације из­ међу текста,</w:t>
            </w:r>
            <w:r>
              <w:rPr>
                <w:color w:val="231F20"/>
                <w:spacing w:val="-11"/>
                <w:sz w:val="14"/>
              </w:rPr>
              <w:t xml:space="preserve"> </w:t>
            </w:r>
            <w:r>
              <w:rPr>
                <w:color w:val="231F20"/>
                <w:sz w:val="14"/>
              </w:rPr>
              <w:t>музичког и сценског</w:t>
            </w:r>
            <w:r>
              <w:rPr>
                <w:color w:val="231F20"/>
                <w:spacing w:val="-7"/>
                <w:sz w:val="14"/>
              </w:rPr>
              <w:t xml:space="preserve"> </w:t>
            </w:r>
            <w:r>
              <w:rPr>
                <w:color w:val="231F20"/>
                <w:sz w:val="14"/>
              </w:rPr>
              <w:t>извођења.</w:t>
            </w:r>
          </w:p>
          <w:p w:rsidR="00041039" w:rsidRDefault="001B26CB">
            <w:pPr>
              <w:pStyle w:val="TableParagraph"/>
              <w:numPr>
                <w:ilvl w:val="0"/>
                <w:numId w:val="1679"/>
              </w:numPr>
              <w:tabs>
                <w:tab w:val="left" w:pos="157"/>
              </w:tabs>
              <w:spacing w:line="157" w:lineRule="exact"/>
              <w:rPr>
                <w:sz w:val="14"/>
              </w:rPr>
            </w:pPr>
            <w:r>
              <w:rPr>
                <w:color w:val="231F20"/>
                <w:sz w:val="14"/>
              </w:rPr>
              <w:t>Оспособљавање</w:t>
            </w:r>
            <w:r>
              <w:rPr>
                <w:color w:val="231F20"/>
                <w:spacing w:val="-1"/>
                <w:sz w:val="14"/>
              </w:rPr>
              <w:t xml:space="preserve"> </w:t>
            </w:r>
            <w:r>
              <w:rPr>
                <w:color w:val="231F20"/>
                <w:sz w:val="14"/>
              </w:rPr>
              <w:t>уче­</w:t>
            </w:r>
          </w:p>
          <w:p w:rsidR="00041039" w:rsidRDefault="001B26CB">
            <w:pPr>
              <w:pStyle w:val="TableParagraph"/>
              <w:ind w:right="71"/>
              <w:rPr>
                <w:sz w:val="14"/>
              </w:rPr>
            </w:pPr>
            <w:r>
              <w:rPr>
                <w:color w:val="231F20"/>
                <w:sz w:val="14"/>
              </w:rPr>
              <w:t>ника за препознавање и разликовање разних видова опере кроз историју.</w:t>
            </w:r>
          </w:p>
        </w:tc>
        <w:tc>
          <w:tcPr>
            <w:tcW w:w="2551" w:type="dxa"/>
            <w:vMerge w:val="restart"/>
          </w:tcPr>
          <w:p w:rsidR="00041039" w:rsidRDefault="001B26CB">
            <w:pPr>
              <w:pStyle w:val="TableParagraph"/>
              <w:numPr>
                <w:ilvl w:val="0"/>
                <w:numId w:val="1678"/>
              </w:numPr>
              <w:tabs>
                <w:tab w:val="left" w:pos="157"/>
              </w:tabs>
              <w:spacing w:before="10"/>
              <w:ind w:right="163" w:hanging="99"/>
              <w:rPr>
                <w:sz w:val="14"/>
              </w:rPr>
            </w:pPr>
            <w:r>
              <w:rPr>
                <w:color w:val="231F20"/>
                <w:sz w:val="14"/>
              </w:rPr>
              <w:t>разуме међусобну повезаност</w:t>
            </w:r>
            <w:r>
              <w:rPr>
                <w:color w:val="231F20"/>
                <w:spacing w:val="-9"/>
                <w:sz w:val="14"/>
              </w:rPr>
              <w:t xml:space="preserve"> </w:t>
            </w:r>
            <w:r>
              <w:rPr>
                <w:color w:val="231F20"/>
                <w:sz w:val="14"/>
              </w:rPr>
              <w:t>текста, музике и</w:t>
            </w:r>
            <w:r>
              <w:rPr>
                <w:color w:val="231F20"/>
                <w:spacing w:val="-2"/>
                <w:sz w:val="14"/>
              </w:rPr>
              <w:t xml:space="preserve"> </w:t>
            </w:r>
            <w:r>
              <w:rPr>
                <w:color w:val="231F20"/>
                <w:sz w:val="14"/>
              </w:rPr>
              <w:t>покрета.</w:t>
            </w:r>
          </w:p>
          <w:p w:rsidR="00041039" w:rsidRDefault="001B26CB">
            <w:pPr>
              <w:pStyle w:val="TableParagraph"/>
              <w:numPr>
                <w:ilvl w:val="0"/>
                <w:numId w:val="1678"/>
              </w:numPr>
              <w:tabs>
                <w:tab w:val="left" w:pos="157"/>
              </w:tabs>
              <w:spacing w:before="1" w:line="160" w:lineRule="exact"/>
              <w:ind w:right="96" w:hanging="99"/>
              <w:rPr>
                <w:sz w:val="14"/>
              </w:rPr>
            </w:pPr>
            <w:r>
              <w:rPr>
                <w:color w:val="231F20"/>
                <w:sz w:val="14"/>
              </w:rPr>
              <w:t>разликује музичко сценска дела</w:t>
            </w:r>
            <w:r>
              <w:rPr>
                <w:color w:val="231F20"/>
                <w:spacing w:val="-17"/>
                <w:sz w:val="14"/>
              </w:rPr>
              <w:t xml:space="preserve"> </w:t>
            </w:r>
            <w:r>
              <w:rPr>
                <w:color w:val="231F20"/>
                <w:sz w:val="14"/>
              </w:rPr>
              <w:t>према периоду</w:t>
            </w:r>
            <w:r>
              <w:rPr>
                <w:color w:val="231F20"/>
                <w:spacing w:val="-1"/>
                <w:sz w:val="14"/>
              </w:rPr>
              <w:t xml:space="preserve"> </w:t>
            </w:r>
            <w:r>
              <w:rPr>
                <w:color w:val="231F20"/>
                <w:sz w:val="14"/>
              </w:rPr>
              <w:t>настанка.</w:t>
            </w:r>
          </w:p>
          <w:p w:rsidR="00041039" w:rsidRDefault="001B26CB">
            <w:pPr>
              <w:pStyle w:val="TableParagraph"/>
              <w:numPr>
                <w:ilvl w:val="0"/>
                <w:numId w:val="1678"/>
              </w:numPr>
              <w:tabs>
                <w:tab w:val="left" w:pos="157"/>
              </w:tabs>
              <w:spacing w:line="160" w:lineRule="exact"/>
              <w:ind w:right="59" w:hanging="99"/>
              <w:rPr>
                <w:sz w:val="14"/>
              </w:rPr>
            </w:pPr>
            <w:r>
              <w:rPr>
                <w:color w:val="231F20"/>
                <w:sz w:val="14"/>
              </w:rPr>
              <w:t xml:space="preserve">препознаје историјско културни ам­ бијент у </w:t>
            </w:r>
            <w:r>
              <w:rPr>
                <w:color w:val="231F20"/>
                <w:spacing w:val="-3"/>
                <w:sz w:val="14"/>
              </w:rPr>
              <w:t xml:space="preserve">коме </w:t>
            </w:r>
            <w:r>
              <w:rPr>
                <w:color w:val="231F20"/>
                <w:sz w:val="14"/>
              </w:rPr>
              <w:t>су настала поједина</w:t>
            </w:r>
            <w:r>
              <w:rPr>
                <w:color w:val="231F20"/>
                <w:spacing w:val="-6"/>
                <w:sz w:val="14"/>
              </w:rPr>
              <w:t xml:space="preserve"> </w:t>
            </w:r>
            <w:r>
              <w:rPr>
                <w:color w:val="231F20"/>
                <w:sz w:val="14"/>
              </w:rPr>
              <w:t>дела</w:t>
            </w:r>
          </w:p>
        </w:tc>
        <w:tc>
          <w:tcPr>
            <w:tcW w:w="2834" w:type="dxa"/>
            <w:vMerge w:val="restart"/>
          </w:tcPr>
          <w:p w:rsidR="00041039" w:rsidRDefault="001B26CB">
            <w:pPr>
              <w:pStyle w:val="TableParagraph"/>
              <w:spacing w:before="18" w:line="155" w:lineRule="exact"/>
              <w:ind w:left="57"/>
              <w:rPr>
                <w:b/>
                <w:sz w:val="14"/>
              </w:rPr>
            </w:pPr>
            <w:r>
              <w:rPr>
                <w:b/>
                <w:color w:val="231F20"/>
                <w:sz w:val="14"/>
              </w:rPr>
              <w:t>Опере:</w:t>
            </w:r>
          </w:p>
          <w:p w:rsidR="00041039" w:rsidRDefault="001B26CB">
            <w:pPr>
              <w:pStyle w:val="TableParagraph"/>
              <w:numPr>
                <w:ilvl w:val="0"/>
                <w:numId w:val="1677"/>
              </w:numPr>
              <w:tabs>
                <w:tab w:val="left" w:pos="157"/>
              </w:tabs>
              <w:spacing w:line="237" w:lineRule="auto"/>
              <w:ind w:right="281" w:hanging="99"/>
              <w:rPr>
                <w:sz w:val="14"/>
              </w:rPr>
            </w:pPr>
            <w:r>
              <w:rPr>
                <w:color w:val="231F20"/>
                <w:sz w:val="14"/>
              </w:rPr>
              <w:t xml:space="preserve">Бизе Ж.: </w:t>
            </w:r>
            <w:r>
              <w:rPr>
                <w:i/>
                <w:color w:val="231F20"/>
                <w:sz w:val="14"/>
              </w:rPr>
              <w:t>Кармен</w:t>
            </w:r>
            <w:r>
              <w:rPr>
                <w:color w:val="231F20"/>
                <w:sz w:val="14"/>
              </w:rPr>
              <w:t xml:space="preserve">, Верди Ђ.: </w:t>
            </w:r>
            <w:r>
              <w:rPr>
                <w:i/>
                <w:color w:val="231F20"/>
                <w:sz w:val="14"/>
              </w:rPr>
              <w:t>Трубадур</w:t>
            </w:r>
            <w:r>
              <w:rPr>
                <w:color w:val="231F20"/>
                <w:sz w:val="14"/>
              </w:rPr>
              <w:t xml:space="preserve">, РосиниЂ.: </w:t>
            </w:r>
            <w:r>
              <w:rPr>
                <w:i/>
                <w:color w:val="231F20"/>
                <w:sz w:val="14"/>
              </w:rPr>
              <w:t>Севиљски берберин</w:t>
            </w:r>
            <w:r>
              <w:rPr>
                <w:color w:val="231F20"/>
                <w:sz w:val="14"/>
              </w:rPr>
              <w:t xml:space="preserve">, Пучини: </w:t>
            </w:r>
            <w:r>
              <w:rPr>
                <w:i/>
                <w:color w:val="231F20"/>
                <w:sz w:val="14"/>
              </w:rPr>
              <w:t>Тоска,</w:t>
            </w:r>
            <w:r>
              <w:rPr>
                <w:i/>
                <w:color w:val="231F20"/>
                <w:spacing w:val="-1"/>
                <w:sz w:val="14"/>
              </w:rPr>
              <w:t xml:space="preserve"> </w:t>
            </w:r>
            <w:r>
              <w:rPr>
                <w:i/>
                <w:color w:val="231F20"/>
                <w:sz w:val="14"/>
              </w:rPr>
              <w:t>Боеми</w:t>
            </w:r>
            <w:r>
              <w:rPr>
                <w:color w:val="231F20"/>
                <w:sz w:val="14"/>
              </w:rPr>
              <w:t>.</w:t>
            </w:r>
          </w:p>
          <w:p w:rsidR="00041039" w:rsidRDefault="001B26CB">
            <w:pPr>
              <w:pStyle w:val="TableParagraph"/>
              <w:spacing w:line="155" w:lineRule="exact"/>
              <w:ind w:left="57"/>
              <w:rPr>
                <w:b/>
                <w:sz w:val="14"/>
              </w:rPr>
            </w:pPr>
            <w:r>
              <w:rPr>
                <w:b/>
                <w:color w:val="231F20"/>
                <w:sz w:val="14"/>
              </w:rPr>
              <w:t>Балети:</w:t>
            </w:r>
          </w:p>
          <w:p w:rsidR="00041039" w:rsidRDefault="001B26CB">
            <w:pPr>
              <w:pStyle w:val="TableParagraph"/>
              <w:numPr>
                <w:ilvl w:val="0"/>
                <w:numId w:val="1677"/>
              </w:numPr>
              <w:tabs>
                <w:tab w:val="left" w:pos="157"/>
              </w:tabs>
              <w:spacing w:line="237" w:lineRule="auto"/>
              <w:ind w:right="106" w:hanging="99"/>
              <w:rPr>
                <w:i/>
                <w:sz w:val="14"/>
              </w:rPr>
            </w:pPr>
            <w:r>
              <w:rPr>
                <w:color w:val="231F20"/>
                <w:sz w:val="14"/>
              </w:rPr>
              <w:t>Чајковски</w:t>
            </w:r>
            <w:r>
              <w:rPr>
                <w:color w:val="231F20"/>
                <w:spacing w:val="-8"/>
                <w:sz w:val="14"/>
              </w:rPr>
              <w:t xml:space="preserve"> </w:t>
            </w:r>
            <w:r>
              <w:rPr>
                <w:color w:val="231F20"/>
                <w:sz w:val="14"/>
              </w:rPr>
              <w:t>П.И.:</w:t>
            </w:r>
            <w:r>
              <w:rPr>
                <w:color w:val="231F20"/>
                <w:spacing w:val="-9"/>
                <w:sz w:val="14"/>
              </w:rPr>
              <w:t xml:space="preserve"> </w:t>
            </w:r>
            <w:r>
              <w:rPr>
                <w:i/>
                <w:color w:val="231F20"/>
                <w:sz w:val="14"/>
              </w:rPr>
              <w:t>Лабудово</w:t>
            </w:r>
            <w:r>
              <w:rPr>
                <w:i/>
                <w:color w:val="231F20"/>
                <w:spacing w:val="-8"/>
                <w:sz w:val="14"/>
              </w:rPr>
              <w:t xml:space="preserve"> </w:t>
            </w:r>
            <w:r>
              <w:rPr>
                <w:i/>
                <w:color w:val="231F20"/>
                <w:sz w:val="14"/>
              </w:rPr>
              <w:t>језеро</w:t>
            </w:r>
            <w:r>
              <w:rPr>
                <w:color w:val="231F20"/>
                <w:sz w:val="14"/>
              </w:rPr>
              <w:t>,</w:t>
            </w:r>
            <w:r>
              <w:rPr>
                <w:color w:val="231F20"/>
                <w:spacing w:val="-8"/>
                <w:sz w:val="14"/>
              </w:rPr>
              <w:t xml:space="preserve"> </w:t>
            </w:r>
            <w:r>
              <w:rPr>
                <w:i/>
                <w:color w:val="231F20"/>
                <w:sz w:val="14"/>
              </w:rPr>
              <w:t>Успавана лепотица</w:t>
            </w:r>
            <w:r>
              <w:rPr>
                <w:color w:val="231F20"/>
                <w:sz w:val="14"/>
              </w:rPr>
              <w:t xml:space="preserve">, Прокофјев С.: </w:t>
            </w:r>
            <w:r>
              <w:rPr>
                <w:i/>
                <w:color w:val="231F20"/>
                <w:spacing w:val="-3"/>
                <w:sz w:val="14"/>
              </w:rPr>
              <w:t xml:space="preserve">Ромео </w:t>
            </w:r>
            <w:r>
              <w:rPr>
                <w:i/>
                <w:color w:val="231F20"/>
                <w:sz w:val="14"/>
              </w:rPr>
              <w:t>и</w:t>
            </w:r>
            <w:r>
              <w:rPr>
                <w:i/>
                <w:color w:val="231F20"/>
                <w:spacing w:val="-6"/>
                <w:sz w:val="14"/>
              </w:rPr>
              <w:t xml:space="preserve"> </w:t>
            </w:r>
            <w:r>
              <w:rPr>
                <w:i/>
                <w:color w:val="231F20"/>
                <w:sz w:val="14"/>
              </w:rPr>
              <w:t>Јулија.</w:t>
            </w:r>
          </w:p>
          <w:p w:rsidR="00041039" w:rsidRDefault="001B26CB">
            <w:pPr>
              <w:pStyle w:val="TableParagraph"/>
              <w:spacing w:line="155" w:lineRule="exact"/>
              <w:ind w:left="57"/>
              <w:rPr>
                <w:b/>
                <w:sz w:val="14"/>
              </w:rPr>
            </w:pPr>
            <w:r>
              <w:rPr>
                <w:b/>
                <w:color w:val="231F20"/>
                <w:sz w:val="14"/>
              </w:rPr>
              <w:t>Оперете:</w:t>
            </w:r>
          </w:p>
          <w:p w:rsidR="00041039" w:rsidRDefault="001B26CB">
            <w:pPr>
              <w:pStyle w:val="TableParagraph"/>
              <w:numPr>
                <w:ilvl w:val="0"/>
                <w:numId w:val="1677"/>
              </w:numPr>
              <w:tabs>
                <w:tab w:val="left" w:pos="157"/>
              </w:tabs>
              <w:spacing w:line="165" w:lineRule="exact"/>
              <w:ind w:hanging="99"/>
              <w:rPr>
                <w:i/>
                <w:sz w:val="14"/>
              </w:rPr>
            </w:pPr>
            <w:r>
              <w:rPr>
                <w:color w:val="231F20"/>
                <w:sz w:val="14"/>
              </w:rPr>
              <w:t xml:space="preserve">Штраус Ј.: </w:t>
            </w:r>
            <w:r>
              <w:rPr>
                <w:i/>
                <w:color w:val="231F20"/>
                <w:sz w:val="14"/>
              </w:rPr>
              <w:t>Слепи</w:t>
            </w:r>
            <w:r>
              <w:rPr>
                <w:i/>
                <w:color w:val="231F20"/>
                <w:spacing w:val="-2"/>
                <w:sz w:val="14"/>
              </w:rPr>
              <w:t xml:space="preserve"> </w:t>
            </w:r>
            <w:r>
              <w:rPr>
                <w:i/>
                <w:color w:val="231F20"/>
                <w:sz w:val="14"/>
              </w:rPr>
              <w:t>миш.</w:t>
            </w:r>
          </w:p>
          <w:p w:rsidR="00041039" w:rsidRDefault="001B26CB">
            <w:pPr>
              <w:pStyle w:val="TableParagraph"/>
              <w:spacing w:line="155" w:lineRule="exact"/>
              <w:ind w:left="57"/>
              <w:rPr>
                <w:b/>
                <w:sz w:val="14"/>
              </w:rPr>
            </w:pPr>
            <w:r>
              <w:rPr>
                <w:b/>
                <w:color w:val="231F20"/>
                <w:sz w:val="14"/>
              </w:rPr>
              <w:t>Мјузикли:</w:t>
            </w:r>
          </w:p>
          <w:p w:rsidR="00041039" w:rsidRDefault="001B26CB">
            <w:pPr>
              <w:pStyle w:val="TableParagraph"/>
              <w:numPr>
                <w:ilvl w:val="0"/>
                <w:numId w:val="1677"/>
              </w:numPr>
              <w:tabs>
                <w:tab w:val="left" w:pos="157"/>
              </w:tabs>
              <w:spacing w:line="160" w:lineRule="exact"/>
              <w:ind w:right="417" w:hanging="99"/>
              <w:rPr>
                <w:sz w:val="14"/>
              </w:rPr>
            </w:pPr>
            <w:r>
              <w:rPr>
                <w:color w:val="231F20"/>
                <w:sz w:val="14"/>
              </w:rPr>
              <w:t>Цигани лете у небо, Коса, Мама</w:t>
            </w:r>
            <w:r>
              <w:rPr>
                <w:color w:val="231F20"/>
                <w:spacing w:val="-24"/>
                <w:sz w:val="14"/>
              </w:rPr>
              <w:t xml:space="preserve"> </w:t>
            </w:r>
            <w:r>
              <w:rPr>
                <w:color w:val="231F20"/>
                <w:sz w:val="14"/>
              </w:rPr>
              <w:t>Миа, Чикаго...</w:t>
            </w:r>
          </w:p>
        </w:tc>
        <w:tc>
          <w:tcPr>
            <w:tcW w:w="2267" w:type="dxa"/>
            <w:vMerge/>
            <w:tcBorders>
              <w:top w:val="nil"/>
              <w:bottom w:val="nil"/>
            </w:tcBorders>
          </w:tcPr>
          <w:p w:rsidR="00041039" w:rsidRDefault="00041039">
            <w:pPr>
              <w:rPr>
                <w:sz w:val="2"/>
                <w:szCs w:val="2"/>
              </w:rPr>
            </w:pPr>
          </w:p>
        </w:tc>
      </w:tr>
      <w:tr w:rsidR="00041039">
        <w:trPr>
          <w:trHeight w:val="924"/>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46"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676"/>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676"/>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619"/>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675"/>
              </w:numPr>
              <w:tabs>
                <w:tab w:val="left" w:pos="158"/>
              </w:tabs>
              <w:spacing w:line="160" w:lineRule="exact"/>
              <w:ind w:hanging="99"/>
              <w:rPr>
                <w:b/>
                <w:sz w:val="14"/>
              </w:rPr>
            </w:pPr>
            <w:r>
              <w:rPr>
                <w:color w:val="231F20"/>
                <w:sz w:val="14"/>
              </w:rPr>
              <w:t xml:space="preserve">Класична музика </w:t>
            </w:r>
            <w:r>
              <w:rPr>
                <w:b/>
                <w:color w:val="231F20"/>
                <w:sz w:val="14"/>
              </w:rPr>
              <w:t>(16</w:t>
            </w:r>
            <w:r>
              <w:rPr>
                <w:b/>
                <w:color w:val="231F20"/>
                <w:spacing w:val="-11"/>
                <w:sz w:val="14"/>
              </w:rPr>
              <w:t xml:space="preserve"> </w:t>
            </w:r>
            <w:r>
              <w:rPr>
                <w:b/>
                <w:color w:val="231F20"/>
                <w:sz w:val="14"/>
              </w:rPr>
              <w:t>часова)</w:t>
            </w:r>
          </w:p>
          <w:p w:rsidR="00041039" w:rsidRDefault="001B26CB">
            <w:pPr>
              <w:pStyle w:val="TableParagraph"/>
              <w:numPr>
                <w:ilvl w:val="0"/>
                <w:numId w:val="1675"/>
              </w:numPr>
              <w:tabs>
                <w:tab w:val="left" w:pos="158"/>
              </w:tabs>
              <w:spacing w:line="165" w:lineRule="exact"/>
              <w:ind w:hanging="99"/>
              <w:rPr>
                <w:sz w:val="14"/>
              </w:rPr>
            </w:pPr>
            <w:r>
              <w:rPr>
                <w:color w:val="231F20"/>
                <w:sz w:val="14"/>
              </w:rPr>
              <w:t>Опера и балет; Оперета и</w:t>
            </w:r>
            <w:r>
              <w:rPr>
                <w:color w:val="231F20"/>
                <w:spacing w:val="-11"/>
                <w:sz w:val="14"/>
              </w:rPr>
              <w:t xml:space="preserve"> </w:t>
            </w:r>
            <w:r>
              <w:rPr>
                <w:color w:val="231F20"/>
                <w:sz w:val="14"/>
              </w:rPr>
              <w:t>мјузикл</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numPr>
                <w:ilvl w:val="0"/>
                <w:numId w:val="1675"/>
              </w:numPr>
              <w:tabs>
                <w:tab w:val="left" w:pos="158"/>
              </w:tabs>
              <w:spacing w:line="237" w:lineRule="auto"/>
              <w:ind w:right="500" w:hanging="99"/>
              <w:rPr>
                <w:b/>
                <w:sz w:val="14"/>
              </w:rPr>
            </w:pPr>
            <w:r>
              <w:rPr>
                <w:color w:val="231F20"/>
                <w:sz w:val="14"/>
              </w:rPr>
              <w:t>Традиционална музика</w:t>
            </w:r>
            <w:r>
              <w:rPr>
                <w:color w:val="231F20"/>
                <w:spacing w:val="-10"/>
                <w:sz w:val="14"/>
              </w:rPr>
              <w:t xml:space="preserve"> </w:t>
            </w:r>
            <w:r>
              <w:rPr>
                <w:b/>
                <w:color w:val="231F20"/>
                <w:sz w:val="14"/>
              </w:rPr>
              <w:t>(12 часова)</w:t>
            </w:r>
          </w:p>
          <w:p w:rsidR="00041039" w:rsidRDefault="001B26CB">
            <w:pPr>
              <w:pStyle w:val="TableParagraph"/>
              <w:numPr>
                <w:ilvl w:val="0"/>
                <w:numId w:val="1675"/>
              </w:numPr>
              <w:tabs>
                <w:tab w:val="left" w:pos="158"/>
              </w:tabs>
              <w:spacing w:line="155" w:lineRule="exact"/>
              <w:ind w:hanging="99"/>
              <w:rPr>
                <w:b/>
                <w:sz w:val="14"/>
              </w:rPr>
            </w:pPr>
            <w:r>
              <w:rPr>
                <w:color w:val="231F20"/>
                <w:sz w:val="14"/>
              </w:rPr>
              <w:t xml:space="preserve">Џез и блуз музика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numPr>
                <w:ilvl w:val="0"/>
                <w:numId w:val="1675"/>
              </w:numPr>
              <w:tabs>
                <w:tab w:val="left" w:pos="158"/>
              </w:tabs>
              <w:spacing w:line="237" w:lineRule="auto"/>
              <w:ind w:right="420" w:hanging="99"/>
              <w:rPr>
                <w:b/>
                <w:sz w:val="14"/>
              </w:rPr>
            </w:pPr>
            <w:r>
              <w:rPr>
                <w:color w:val="231F20"/>
                <w:sz w:val="14"/>
              </w:rPr>
              <w:t>Филм и филмска музика</w:t>
            </w:r>
            <w:r>
              <w:rPr>
                <w:color w:val="231F20"/>
                <w:spacing w:val="-11"/>
                <w:sz w:val="14"/>
              </w:rPr>
              <w:t xml:space="preserve"> </w:t>
            </w:r>
            <w:r>
              <w:rPr>
                <w:b/>
                <w:color w:val="231F20"/>
                <w:sz w:val="14"/>
              </w:rPr>
              <w:t>(10 часова)</w:t>
            </w:r>
          </w:p>
          <w:p w:rsidR="00041039" w:rsidRDefault="001B26CB">
            <w:pPr>
              <w:pStyle w:val="TableParagraph"/>
              <w:numPr>
                <w:ilvl w:val="0"/>
                <w:numId w:val="1675"/>
              </w:numPr>
              <w:tabs>
                <w:tab w:val="left" w:pos="158"/>
              </w:tabs>
              <w:spacing w:line="161" w:lineRule="exact"/>
              <w:ind w:hanging="99"/>
              <w:rPr>
                <w:b/>
                <w:sz w:val="14"/>
              </w:rPr>
            </w:pPr>
            <w:r>
              <w:rPr>
                <w:color w:val="231F20"/>
                <w:spacing w:val="-3"/>
                <w:sz w:val="14"/>
              </w:rPr>
              <w:t xml:space="preserve">Хорско </w:t>
            </w:r>
            <w:r>
              <w:rPr>
                <w:color w:val="231F20"/>
                <w:sz w:val="14"/>
              </w:rPr>
              <w:t xml:space="preserve">певање </w:t>
            </w:r>
            <w:r>
              <w:rPr>
                <w:b/>
                <w:color w:val="231F20"/>
                <w:sz w:val="14"/>
              </w:rPr>
              <w:t>(10 часова)</w:t>
            </w:r>
          </w:p>
        </w:tc>
      </w:tr>
      <w:tr w:rsidR="00041039">
        <w:trPr>
          <w:trHeight w:val="2120"/>
        </w:trPr>
        <w:tc>
          <w:tcPr>
            <w:tcW w:w="1304" w:type="dxa"/>
          </w:tcPr>
          <w:p w:rsidR="00041039" w:rsidRDefault="001B26CB">
            <w:pPr>
              <w:pStyle w:val="TableParagraph"/>
              <w:spacing w:before="21"/>
              <w:ind w:left="56" w:right="210"/>
              <w:rPr>
                <w:sz w:val="14"/>
              </w:rPr>
            </w:pPr>
            <w:r>
              <w:rPr>
                <w:color w:val="231F20"/>
                <w:sz w:val="14"/>
              </w:rPr>
              <w:t>Традиционална музика (народне песме, игре, пле­ сови).</w:t>
            </w:r>
          </w:p>
        </w:tc>
        <w:tc>
          <w:tcPr>
            <w:tcW w:w="1587" w:type="dxa"/>
          </w:tcPr>
          <w:p w:rsidR="00041039" w:rsidRDefault="001B26CB">
            <w:pPr>
              <w:pStyle w:val="TableParagraph"/>
              <w:numPr>
                <w:ilvl w:val="0"/>
                <w:numId w:val="1674"/>
              </w:numPr>
              <w:tabs>
                <w:tab w:val="left" w:pos="157"/>
              </w:tabs>
              <w:spacing w:before="11"/>
              <w:ind w:right="59"/>
              <w:rPr>
                <w:sz w:val="14"/>
              </w:rPr>
            </w:pPr>
            <w:r>
              <w:rPr>
                <w:color w:val="231F20"/>
                <w:sz w:val="14"/>
              </w:rPr>
              <w:t>Оспособљавање уче­ ника за препознавање и разликовање</w:t>
            </w:r>
            <w:r>
              <w:rPr>
                <w:color w:val="231F20"/>
                <w:spacing w:val="-22"/>
                <w:sz w:val="14"/>
              </w:rPr>
              <w:t xml:space="preserve"> </w:t>
            </w:r>
            <w:r>
              <w:rPr>
                <w:color w:val="231F20"/>
                <w:sz w:val="14"/>
              </w:rPr>
              <w:t xml:space="preserve">културе и традиције </w:t>
            </w:r>
            <w:r>
              <w:rPr>
                <w:color w:val="231F20"/>
                <w:spacing w:val="-3"/>
                <w:sz w:val="14"/>
              </w:rPr>
              <w:t xml:space="preserve">како </w:t>
            </w:r>
            <w:r>
              <w:rPr>
                <w:color w:val="231F20"/>
                <w:sz w:val="14"/>
              </w:rPr>
              <w:t>свог тако и других</w:t>
            </w:r>
            <w:r>
              <w:rPr>
                <w:color w:val="231F20"/>
                <w:spacing w:val="-11"/>
                <w:sz w:val="14"/>
              </w:rPr>
              <w:t xml:space="preserve"> </w:t>
            </w:r>
            <w:r>
              <w:rPr>
                <w:color w:val="231F20"/>
                <w:sz w:val="14"/>
              </w:rPr>
              <w:t>народа.</w:t>
            </w:r>
          </w:p>
          <w:p w:rsidR="00041039" w:rsidRDefault="001B26CB">
            <w:pPr>
              <w:pStyle w:val="TableParagraph"/>
              <w:numPr>
                <w:ilvl w:val="0"/>
                <w:numId w:val="1674"/>
              </w:numPr>
              <w:tabs>
                <w:tab w:val="left" w:pos="157"/>
              </w:tabs>
              <w:spacing w:line="155" w:lineRule="exact"/>
              <w:rPr>
                <w:sz w:val="14"/>
              </w:rPr>
            </w:pPr>
            <w:r>
              <w:rPr>
                <w:color w:val="231F20"/>
                <w:sz w:val="14"/>
              </w:rPr>
              <w:t>Развијање</w:t>
            </w:r>
            <w:r>
              <w:rPr>
                <w:color w:val="231F20"/>
                <w:spacing w:val="-2"/>
                <w:sz w:val="14"/>
              </w:rPr>
              <w:t xml:space="preserve"> </w:t>
            </w:r>
            <w:r>
              <w:rPr>
                <w:color w:val="231F20"/>
                <w:sz w:val="14"/>
              </w:rPr>
              <w:t>естетских</w:t>
            </w:r>
          </w:p>
          <w:p w:rsidR="00041039" w:rsidRDefault="001B26CB">
            <w:pPr>
              <w:pStyle w:val="TableParagraph"/>
              <w:ind w:right="15"/>
              <w:rPr>
                <w:sz w:val="14"/>
              </w:rPr>
            </w:pPr>
            <w:r>
              <w:rPr>
                <w:color w:val="231F20"/>
                <w:sz w:val="14"/>
              </w:rPr>
              <w:t>критеријума код ученика.</w:t>
            </w:r>
          </w:p>
          <w:p w:rsidR="00041039" w:rsidRDefault="001B26CB">
            <w:pPr>
              <w:pStyle w:val="TableParagraph"/>
              <w:numPr>
                <w:ilvl w:val="0"/>
                <w:numId w:val="1674"/>
              </w:numPr>
              <w:tabs>
                <w:tab w:val="left" w:pos="157"/>
              </w:tabs>
              <w:spacing w:line="160" w:lineRule="exact"/>
              <w:ind w:right="150"/>
              <w:rPr>
                <w:sz w:val="14"/>
              </w:rPr>
            </w:pPr>
            <w:r>
              <w:rPr>
                <w:color w:val="231F20"/>
                <w:sz w:val="14"/>
              </w:rPr>
              <w:t>Развијање способно­ сти уочавања</w:t>
            </w:r>
            <w:r>
              <w:rPr>
                <w:color w:val="231F20"/>
                <w:spacing w:val="-10"/>
                <w:sz w:val="14"/>
              </w:rPr>
              <w:t xml:space="preserve"> </w:t>
            </w:r>
            <w:r>
              <w:rPr>
                <w:color w:val="231F20"/>
                <w:sz w:val="14"/>
              </w:rPr>
              <w:t>утицаја народног стваралаш­ тва на уметничко стваралаштво.</w:t>
            </w:r>
          </w:p>
        </w:tc>
        <w:tc>
          <w:tcPr>
            <w:tcW w:w="2551" w:type="dxa"/>
          </w:tcPr>
          <w:p w:rsidR="00041039" w:rsidRDefault="001B26CB">
            <w:pPr>
              <w:pStyle w:val="TableParagraph"/>
              <w:numPr>
                <w:ilvl w:val="0"/>
                <w:numId w:val="1673"/>
              </w:numPr>
              <w:tabs>
                <w:tab w:val="left" w:pos="157"/>
              </w:tabs>
              <w:spacing w:before="11"/>
              <w:ind w:right="53" w:hanging="99"/>
              <w:rPr>
                <w:sz w:val="14"/>
              </w:rPr>
            </w:pPr>
            <w:r>
              <w:rPr>
                <w:color w:val="231F20"/>
                <w:sz w:val="14"/>
              </w:rPr>
              <w:t>препознаје естетске вредности у култури свог и народа других земаља уочавањем карактеристичних</w:t>
            </w:r>
            <w:r>
              <w:rPr>
                <w:color w:val="231F20"/>
                <w:spacing w:val="-22"/>
                <w:sz w:val="14"/>
              </w:rPr>
              <w:t xml:space="preserve"> </w:t>
            </w:r>
            <w:r>
              <w:rPr>
                <w:color w:val="231F20"/>
                <w:sz w:val="14"/>
              </w:rPr>
              <w:t>обележја музике светске народне</w:t>
            </w:r>
            <w:r>
              <w:rPr>
                <w:color w:val="231F20"/>
                <w:spacing w:val="-4"/>
                <w:sz w:val="14"/>
              </w:rPr>
              <w:t xml:space="preserve"> </w:t>
            </w:r>
            <w:r>
              <w:rPr>
                <w:color w:val="231F20"/>
                <w:sz w:val="14"/>
              </w:rPr>
              <w:t>баштине;</w:t>
            </w:r>
          </w:p>
          <w:p w:rsidR="00041039" w:rsidRDefault="001B26CB">
            <w:pPr>
              <w:pStyle w:val="TableParagraph"/>
              <w:numPr>
                <w:ilvl w:val="0"/>
                <w:numId w:val="1673"/>
              </w:numPr>
              <w:tabs>
                <w:tab w:val="left" w:pos="157"/>
              </w:tabs>
              <w:spacing w:line="156" w:lineRule="exact"/>
              <w:ind w:hanging="99"/>
              <w:rPr>
                <w:sz w:val="14"/>
              </w:rPr>
            </w:pPr>
            <w:r>
              <w:rPr>
                <w:color w:val="231F20"/>
                <w:sz w:val="14"/>
              </w:rPr>
              <w:t>сагледава и вреднује утицај</w:t>
            </w:r>
            <w:r>
              <w:rPr>
                <w:color w:val="231F20"/>
                <w:spacing w:val="-12"/>
                <w:sz w:val="14"/>
              </w:rPr>
              <w:t xml:space="preserve"> </w:t>
            </w:r>
            <w:r>
              <w:rPr>
                <w:color w:val="231F20"/>
                <w:sz w:val="14"/>
              </w:rPr>
              <w:t>народног</w:t>
            </w:r>
          </w:p>
          <w:p w:rsidR="00041039" w:rsidRDefault="001B26CB">
            <w:pPr>
              <w:pStyle w:val="TableParagraph"/>
              <w:rPr>
                <w:sz w:val="14"/>
              </w:rPr>
            </w:pPr>
            <w:r>
              <w:rPr>
                <w:color w:val="231F20"/>
                <w:sz w:val="14"/>
              </w:rPr>
              <w:t>стваралаштва на уметничко ствара­ лаштво;</w:t>
            </w:r>
          </w:p>
        </w:tc>
        <w:tc>
          <w:tcPr>
            <w:tcW w:w="2834" w:type="dxa"/>
          </w:tcPr>
          <w:p w:rsidR="00041039" w:rsidRDefault="001B26CB">
            <w:pPr>
              <w:pStyle w:val="TableParagraph"/>
              <w:numPr>
                <w:ilvl w:val="0"/>
                <w:numId w:val="1672"/>
              </w:numPr>
              <w:tabs>
                <w:tab w:val="left" w:pos="158"/>
              </w:tabs>
              <w:spacing w:before="11"/>
              <w:ind w:right="79"/>
              <w:rPr>
                <w:sz w:val="14"/>
              </w:rPr>
            </w:pPr>
            <w:r>
              <w:rPr>
                <w:color w:val="231F20"/>
                <w:sz w:val="14"/>
              </w:rPr>
              <w:t>Изворно певање традиционалних композиција са нашег и суседних</w:t>
            </w:r>
            <w:r>
              <w:rPr>
                <w:color w:val="231F20"/>
                <w:spacing w:val="-26"/>
                <w:sz w:val="14"/>
              </w:rPr>
              <w:t xml:space="preserve"> </w:t>
            </w:r>
            <w:r>
              <w:rPr>
                <w:color w:val="231F20"/>
                <w:sz w:val="14"/>
              </w:rPr>
              <w:t xml:space="preserve">подручја. </w:t>
            </w:r>
            <w:r>
              <w:rPr>
                <w:color w:val="231F20"/>
                <w:spacing w:val="-3"/>
                <w:sz w:val="14"/>
              </w:rPr>
              <w:t xml:space="preserve">Кола </w:t>
            </w:r>
            <w:r>
              <w:rPr>
                <w:color w:val="231F20"/>
                <w:sz w:val="14"/>
              </w:rPr>
              <w:t>и народне игре Србије и суседних земаља.</w:t>
            </w:r>
          </w:p>
          <w:p w:rsidR="00041039" w:rsidRDefault="001B26CB">
            <w:pPr>
              <w:pStyle w:val="TableParagraph"/>
              <w:spacing w:line="156" w:lineRule="exact"/>
              <w:ind w:left="57"/>
              <w:rPr>
                <w:sz w:val="14"/>
              </w:rPr>
            </w:pPr>
            <w:r>
              <w:rPr>
                <w:color w:val="231F20"/>
                <w:sz w:val="14"/>
              </w:rPr>
              <w:t xml:space="preserve">Мокрањац Ст.Ст.: </w:t>
            </w:r>
            <w:r>
              <w:rPr>
                <w:i/>
                <w:color w:val="231F20"/>
                <w:sz w:val="14"/>
              </w:rPr>
              <w:t>Р</w:t>
            </w:r>
            <w:r>
              <w:rPr>
                <w:i/>
                <w:color w:val="231F20"/>
                <w:sz w:val="14"/>
              </w:rPr>
              <w:t>уковети</w:t>
            </w:r>
            <w:r>
              <w:rPr>
                <w:color w:val="231F20"/>
                <w:sz w:val="14"/>
              </w:rPr>
              <w:t>, Тајчевић М.:</w:t>
            </w:r>
          </w:p>
          <w:p w:rsidR="00041039" w:rsidRDefault="001B26CB">
            <w:pPr>
              <w:pStyle w:val="TableParagraph"/>
              <w:spacing w:line="155" w:lineRule="exact"/>
              <w:ind w:left="57"/>
              <w:rPr>
                <w:i/>
                <w:sz w:val="14"/>
              </w:rPr>
            </w:pPr>
            <w:r>
              <w:rPr>
                <w:i/>
                <w:color w:val="231F20"/>
                <w:sz w:val="14"/>
              </w:rPr>
              <w:t>Охридска легенда.</w:t>
            </w:r>
          </w:p>
          <w:p w:rsidR="00041039" w:rsidRDefault="001B26CB">
            <w:pPr>
              <w:pStyle w:val="TableParagraph"/>
              <w:numPr>
                <w:ilvl w:val="0"/>
                <w:numId w:val="1672"/>
              </w:numPr>
              <w:tabs>
                <w:tab w:val="left" w:pos="158"/>
              </w:tabs>
              <w:spacing w:line="237" w:lineRule="auto"/>
              <w:ind w:right="309"/>
              <w:rPr>
                <w:sz w:val="14"/>
              </w:rPr>
            </w:pPr>
            <w:r>
              <w:rPr>
                <w:color w:val="231F20"/>
                <w:sz w:val="14"/>
              </w:rPr>
              <w:t xml:space="preserve">Народна музика интегрисана у </w:t>
            </w:r>
            <w:r>
              <w:rPr>
                <w:color w:val="231F20"/>
                <w:spacing w:val="-3"/>
                <w:sz w:val="14"/>
              </w:rPr>
              <w:t xml:space="preserve">забавну, </w:t>
            </w:r>
            <w:r>
              <w:rPr>
                <w:color w:val="231F20"/>
                <w:sz w:val="14"/>
              </w:rPr>
              <w:t>електронску, џез и разне алтернативне правце.</w:t>
            </w:r>
          </w:p>
          <w:p w:rsidR="00041039" w:rsidRDefault="001B26CB">
            <w:pPr>
              <w:pStyle w:val="TableParagraph"/>
              <w:numPr>
                <w:ilvl w:val="0"/>
                <w:numId w:val="1672"/>
              </w:numPr>
              <w:tabs>
                <w:tab w:val="left" w:pos="158"/>
              </w:tabs>
              <w:spacing w:line="237" w:lineRule="auto"/>
              <w:ind w:right="242"/>
              <w:rPr>
                <w:sz w:val="14"/>
              </w:rPr>
            </w:pPr>
            <w:r>
              <w:rPr>
                <w:color w:val="231F20"/>
                <w:sz w:val="14"/>
              </w:rPr>
              <w:t>Извођачи: Биљана Крстић, састав Балканика, Слободан Тркуља,</w:t>
            </w:r>
            <w:r>
              <w:rPr>
                <w:color w:val="231F20"/>
                <w:spacing w:val="-18"/>
                <w:sz w:val="14"/>
              </w:rPr>
              <w:t xml:space="preserve"> </w:t>
            </w:r>
            <w:r>
              <w:rPr>
                <w:color w:val="231F20"/>
                <w:sz w:val="14"/>
              </w:rPr>
              <w:t>Василиса, Кирил</w:t>
            </w:r>
            <w:r>
              <w:rPr>
                <w:color w:val="231F20"/>
                <w:spacing w:val="-1"/>
                <w:sz w:val="14"/>
              </w:rPr>
              <w:t xml:space="preserve"> </w:t>
            </w:r>
            <w:r>
              <w:rPr>
                <w:color w:val="231F20"/>
                <w:sz w:val="14"/>
              </w:rPr>
              <w:t>Џајковски...</w:t>
            </w:r>
          </w:p>
        </w:tc>
        <w:tc>
          <w:tcPr>
            <w:tcW w:w="2267" w:type="dxa"/>
            <w:vMerge/>
            <w:tcBorders>
              <w:top w:val="nil"/>
              <w:bottom w:val="nil"/>
            </w:tcBorders>
          </w:tcPr>
          <w:p w:rsidR="00041039" w:rsidRDefault="00041039">
            <w:pPr>
              <w:rPr>
                <w:sz w:val="2"/>
                <w:szCs w:val="2"/>
              </w:rPr>
            </w:pPr>
          </w:p>
        </w:tc>
      </w:tr>
      <w:tr w:rsidR="00041039">
        <w:trPr>
          <w:trHeight w:val="1960"/>
        </w:trPr>
        <w:tc>
          <w:tcPr>
            <w:tcW w:w="1304" w:type="dxa"/>
          </w:tcPr>
          <w:p w:rsidR="00041039" w:rsidRDefault="001B26CB">
            <w:pPr>
              <w:pStyle w:val="TableParagraph"/>
              <w:spacing w:before="21"/>
              <w:ind w:left="57" w:right="37"/>
              <w:rPr>
                <w:sz w:val="14"/>
              </w:rPr>
            </w:pPr>
            <w:r>
              <w:rPr>
                <w:color w:val="231F20"/>
                <w:sz w:val="14"/>
              </w:rPr>
              <w:t>Џез и блуз музика Филм и филмска музика</w:t>
            </w:r>
          </w:p>
        </w:tc>
        <w:tc>
          <w:tcPr>
            <w:tcW w:w="1587" w:type="dxa"/>
          </w:tcPr>
          <w:p w:rsidR="00041039" w:rsidRDefault="001B26CB">
            <w:pPr>
              <w:pStyle w:val="TableParagraph"/>
              <w:numPr>
                <w:ilvl w:val="0"/>
                <w:numId w:val="1671"/>
              </w:numPr>
              <w:tabs>
                <w:tab w:val="left" w:pos="157"/>
              </w:tabs>
              <w:spacing w:before="11"/>
              <w:ind w:right="62" w:hanging="99"/>
              <w:rPr>
                <w:sz w:val="14"/>
              </w:rPr>
            </w:pPr>
            <w:r>
              <w:rPr>
                <w:color w:val="231F20"/>
                <w:sz w:val="14"/>
              </w:rPr>
              <w:t>Способност препозна­ вања критеријума који се односе на ритмичку строгост и импро­ визовање мелодије као карактеристика одређене врсте музике (џез,</w:t>
            </w:r>
            <w:r>
              <w:rPr>
                <w:color w:val="231F20"/>
                <w:spacing w:val="-2"/>
                <w:sz w:val="14"/>
              </w:rPr>
              <w:t xml:space="preserve"> </w:t>
            </w:r>
            <w:r>
              <w:rPr>
                <w:color w:val="231F20"/>
                <w:sz w:val="14"/>
              </w:rPr>
              <w:t>блуз).</w:t>
            </w:r>
          </w:p>
          <w:p w:rsidR="00041039" w:rsidRDefault="001B26CB">
            <w:pPr>
              <w:pStyle w:val="TableParagraph"/>
              <w:numPr>
                <w:ilvl w:val="0"/>
                <w:numId w:val="1671"/>
              </w:numPr>
              <w:tabs>
                <w:tab w:val="left" w:pos="157"/>
              </w:tabs>
              <w:spacing w:line="153" w:lineRule="exact"/>
              <w:ind w:hanging="99"/>
              <w:rPr>
                <w:sz w:val="14"/>
              </w:rPr>
            </w:pPr>
            <w:r>
              <w:rPr>
                <w:color w:val="231F20"/>
                <w:sz w:val="14"/>
              </w:rPr>
              <w:t>Способности</w:t>
            </w:r>
            <w:r>
              <w:rPr>
                <w:color w:val="231F20"/>
                <w:spacing w:val="-1"/>
                <w:sz w:val="14"/>
              </w:rPr>
              <w:t xml:space="preserve"> </w:t>
            </w:r>
            <w:r>
              <w:rPr>
                <w:color w:val="231F20"/>
                <w:sz w:val="14"/>
              </w:rPr>
              <w:t>разлико­</w:t>
            </w:r>
          </w:p>
          <w:p w:rsidR="00041039" w:rsidRDefault="001B26CB">
            <w:pPr>
              <w:pStyle w:val="TableParagraph"/>
              <w:spacing w:before="2" w:line="160" w:lineRule="exact"/>
              <w:ind w:right="20"/>
              <w:rPr>
                <w:sz w:val="14"/>
              </w:rPr>
            </w:pPr>
            <w:r>
              <w:rPr>
                <w:color w:val="231F20"/>
                <w:sz w:val="14"/>
              </w:rPr>
              <w:t>вања боје звука разли­ читих инструмената као и њихових састава.</w:t>
            </w:r>
          </w:p>
        </w:tc>
        <w:tc>
          <w:tcPr>
            <w:tcW w:w="2551" w:type="dxa"/>
          </w:tcPr>
          <w:p w:rsidR="00041039" w:rsidRDefault="001B26CB">
            <w:pPr>
              <w:pStyle w:val="TableParagraph"/>
              <w:numPr>
                <w:ilvl w:val="0"/>
                <w:numId w:val="1670"/>
              </w:numPr>
              <w:tabs>
                <w:tab w:val="left" w:pos="157"/>
              </w:tabs>
              <w:spacing w:before="12"/>
              <w:ind w:right="163" w:hanging="99"/>
              <w:rPr>
                <w:sz w:val="14"/>
              </w:rPr>
            </w:pPr>
            <w:r>
              <w:rPr>
                <w:color w:val="231F20"/>
                <w:sz w:val="14"/>
              </w:rPr>
              <w:t>препознаје критеријуме који се од­ носе на начине настајања</w:t>
            </w:r>
            <w:r>
              <w:rPr>
                <w:color w:val="231F20"/>
                <w:spacing w:val="-20"/>
                <w:sz w:val="14"/>
              </w:rPr>
              <w:t xml:space="preserve"> </w:t>
            </w:r>
            <w:r>
              <w:rPr>
                <w:color w:val="231F20"/>
                <w:sz w:val="14"/>
              </w:rPr>
              <w:t>мелодијско ритмичких образаца различитих музичких</w:t>
            </w:r>
            <w:r>
              <w:rPr>
                <w:color w:val="231F20"/>
                <w:spacing w:val="-1"/>
                <w:sz w:val="14"/>
              </w:rPr>
              <w:t xml:space="preserve"> </w:t>
            </w:r>
            <w:r>
              <w:rPr>
                <w:color w:val="231F20"/>
                <w:sz w:val="14"/>
              </w:rPr>
              <w:t>жанрова;</w:t>
            </w:r>
          </w:p>
          <w:p w:rsidR="00041039" w:rsidRDefault="001B26CB">
            <w:pPr>
              <w:pStyle w:val="TableParagraph"/>
              <w:numPr>
                <w:ilvl w:val="0"/>
                <w:numId w:val="1670"/>
              </w:numPr>
              <w:tabs>
                <w:tab w:val="left" w:pos="157"/>
              </w:tabs>
              <w:spacing w:line="156" w:lineRule="exact"/>
              <w:ind w:hanging="99"/>
              <w:rPr>
                <w:sz w:val="14"/>
              </w:rPr>
            </w:pPr>
            <w:r>
              <w:rPr>
                <w:color w:val="231F20"/>
                <w:sz w:val="14"/>
              </w:rPr>
              <w:t>разликује боју звука</w:t>
            </w:r>
            <w:r>
              <w:rPr>
                <w:color w:val="231F20"/>
                <w:spacing w:val="-3"/>
                <w:sz w:val="14"/>
              </w:rPr>
              <w:t xml:space="preserve"> </w:t>
            </w:r>
            <w:r>
              <w:rPr>
                <w:color w:val="231F20"/>
                <w:sz w:val="14"/>
              </w:rPr>
              <w:t>различитих</w:t>
            </w:r>
          </w:p>
          <w:p w:rsidR="00041039" w:rsidRDefault="001B26CB">
            <w:pPr>
              <w:pStyle w:val="TableParagraph"/>
              <w:rPr>
                <w:sz w:val="14"/>
              </w:rPr>
            </w:pPr>
            <w:r>
              <w:rPr>
                <w:color w:val="231F20"/>
                <w:sz w:val="14"/>
              </w:rPr>
              <w:t>инструмената, као и њихов визуелни изглед;</w:t>
            </w:r>
          </w:p>
          <w:p w:rsidR="00041039" w:rsidRDefault="001B26CB">
            <w:pPr>
              <w:pStyle w:val="TableParagraph"/>
              <w:numPr>
                <w:ilvl w:val="0"/>
                <w:numId w:val="1670"/>
              </w:numPr>
              <w:tabs>
                <w:tab w:val="left" w:pos="157"/>
              </w:tabs>
              <w:spacing w:line="160" w:lineRule="exact"/>
              <w:ind w:right="44" w:hanging="99"/>
              <w:rPr>
                <w:sz w:val="14"/>
              </w:rPr>
            </w:pPr>
            <w:r>
              <w:rPr>
                <w:color w:val="231F20"/>
                <w:sz w:val="14"/>
              </w:rPr>
              <w:t xml:space="preserve">разликује саставе извођача (соло </w:t>
            </w:r>
            <w:r>
              <w:rPr>
                <w:color w:val="231F20"/>
                <w:spacing w:val="-3"/>
                <w:sz w:val="14"/>
              </w:rPr>
              <w:t xml:space="preserve">глас </w:t>
            </w:r>
            <w:r>
              <w:rPr>
                <w:color w:val="231F20"/>
                <w:sz w:val="14"/>
              </w:rPr>
              <w:t>– хор, соло инструмент ­</w:t>
            </w:r>
            <w:r>
              <w:rPr>
                <w:color w:val="231F20"/>
                <w:sz w:val="14"/>
              </w:rPr>
              <w:t xml:space="preserve"> камерни</w:t>
            </w:r>
            <w:r>
              <w:rPr>
                <w:color w:val="231F20"/>
                <w:spacing w:val="-15"/>
                <w:sz w:val="14"/>
              </w:rPr>
              <w:t xml:space="preserve"> </w:t>
            </w:r>
            <w:r>
              <w:rPr>
                <w:color w:val="231F20"/>
                <w:sz w:val="14"/>
              </w:rPr>
              <w:t>састав</w:t>
            </w:r>
          </w:p>
          <w:p w:rsidR="00041039" w:rsidRDefault="001B26CB">
            <w:pPr>
              <w:pStyle w:val="TableParagraph"/>
              <w:spacing w:line="158" w:lineRule="exact"/>
              <w:rPr>
                <w:sz w:val="14"/>
              </w:rPr>
            </w:pPr>
            <w:r>
              <w:rPr>
                <w:color w:val="231F20"/>
                <w:sz w:val="14"/>
              </w:rPr>
              <w:t>- оркестар);</w:t>
            </w:r>
          </w:p>
        </w:tc>
        <w:tc>
          <w:tcPr>
            <w:tcW w:w="2834" w:type="dxa"/>
          </w:tcPr>
          <w:p w:rsidR="00041039" w:rsidRDefault="001B26CB">
            <w:pPr>
              <w:pStyle w:val="TableParagraph"/>
              <w:spacing w:before="20" w:line="155" w:lineRule="exact"/>
              <w:ind w:left="57"/>
              <w:rPr>
                <w:b/>
                <w:sz w:val="14"/>
              </w:rPr>
            </w:pPr>
            <w:r>
              <w:rPr>
                <w:b/>
                <w:color w:val="231F20"/>
                <w:sz w:val="14"/>
              </w:rPr>
              <w:t>Џез и блуз:</w:t>
            </w:r>
          </w:p>
          <w:p w:rsidR="00041039" w:rsidRDefault="001B26CB">
            <w:pPr>
              <w:pStyle w:val="TableParagraph"/>
              <w:numPr>
                <w:ilvl w:val="0"/>
                <w:numId w:val="1669"/>
              </w:numPr>
              <w:tabs>
                <w:tab w:val="left" w:pos="158"/>
              </w:tabs>
              <w:spacing w:line="237" w:lineRule="auto"/>
              <w:ind w:right="299"/>
              <w:rPr>
                <w:sz w:val="14"/>
              </w:rPr>
            </w:pPr>
            <w:r>
              <w:rPr>
                <w:color w:val="231F20"/>
                <w:sz w:val="14"/>
              </w:rPr>
              <w:t>Луис Армстронг, Мајлс Дејвис, Били Холидеј, Џон Колтрејн, Чарли Паркер, Јован Маљоковић, Шабан</w:t>
            </w:r>
            <w:r>
              <w:rPr>
                <w:color w:val="231F20"/>
                <w:spacing w:val="-24"/>
                <w:sz w:val="14"/>
              </w:rPr>
              <w:t xml:space="preserve"> </w:t>
            </w:r>
            <w:r>
              <w:rPr>
                <w:color w:val="231F20"/>
                <w:sz w:val="14"/>
              </w:rPr>
              <w:t>Бајрамовић...</w:t>
            </w:r>
          </w:p>
          <w:p w:rsidR="00041039" w:rsidRDefault="001B26CB">
            <w:pPr>
              <w:pStyle w:val="TableParagraph"/>
              <w:spacing w:line="155" w:lineRule="exact"/>
              <w:ind w:left="57"/>
              <w:rPr>
                <w:b/>
                <w:sz w:val="14"/>
              </w:rPr>
            </w:pPr>
            <w:r>
              <w:rPr>
                <w:b/>
                <w:color w:val="231F20"/>
                <w:sz w:val="14"/>
              </w:rPr>
              <w:t>Филм:</w:t>
            </w:r>
          </w:p>
          <w:p w:rsidR="00041039" w:rsidRDefault="001B26CB">
            <w:pPr>
              <w:pStyle w:val="TableParagraph"/>
              <w:numPr>
                <w:ilvl w:val="0"/>
                <w:numId w:val="1669"/>
              </w:numPr>
              <w:tabs>
                <w:tab w:val="left" w:pos="158"/>
              </w:tabs>
              <w:spacing w:line="165" w:lineRule="exact"/>
              <w:rPr>
                <w:sz w:val="14"/>
              </w:rPr>
            </w:pPr>
            <w:r>
              <w:rPr>
                <w:color w:val="231F20"/>
                <w:spacing w:val="-3"/>
                <w:sz w:val="14"/>
              </w:rPr>
              <w:t>Моцарт.</w:t>
            </w:r>
          </w:p>
          <w:p w:rsidR="00041039" w:rsidRDefault="001B26CB">
            <w:pPr>
              <w:pStyle w:val="TableParagraph"/>
              <w:spacing w:line="155" w:lineRule="exact"/>
              <w:ind w:left="57"/>
              <w:rPr>
                <w:b/>
                <w:sz w:val="14"/>
              </w:rPr>
            </w:pPr>
            <w:r>
              <w:rPr>
                <w:b/>
                <w:color w:val="231F20"/>
                <w:sz w:val="14"/>
              </w:rPr>
              <w:t>Филмска музика:</w:t>
            </w:r>
          </w:p>
          <w:p w:rsidR="00041039" w:rsidRDefault="001B26CB">
            <w:pPr>
              <w:pStyle w:val="TableParagraph"/>
              <w:numPr>
                <w:ilvl w:val="0"/>
                <w:numId w:val="1669"/>
              </w:numPr>
              <w:tabs>
                <w:tab w:val="left" w:pos="158"/>
              </w:tabs>
              <w:spacing w:line="237" w:lineRule="auto"/>
              <w:ind w:right="164"/>
              <w:rPr>
                <w:sz w:val="14"/>
              </w:rPr>
            </w:pPr>
            <w:r>
              <w:rPr>
                <w:color w:val="231F20"/>
                <w:sz w:val="14"/>
              </w:rPr>
              <w:t>Е.Мориконе: музика из филмова:</w:t>
            </w:r>
            <w:r>
              <w:rPr>
                <w:color w:val="231F20"/>
                <w:spacing w:val="-23"/>
                <w:sz w:val="14"/>
              </w:rPr>
              <w:t xml:space="preserve"> </w:t>
            </w:r>
            <w:r>
              <w:rPr>
                <w:i/>
                <w:color w:val="231F20"/>
                <w:sz w:val="14"/>
              </w:rPr>
              <w:t>Амелија Пулен, Титаник, Ватрене улице,</w:t>
            </w:r>
            <w:r>
              <w:rPr>
                <w:i/>
                <w:color w:val="231F20"/>
                <w:spacing w:val="-8"/>
                <w:sz w:val="14"/>
              </w:rPr>
              <w:t xml:space="preserve"> </w:t>
            </w:r>
            <w:r>
              <w:rPr>
                <w:i/>
                <w:color w:val="231F20"/>
                <w:sz w:val="14"/>
              </w:rPr>
              <w:t>Клавир</w:t>
            </w:r>
            <w:r>
              <w:rPr>
                <w:color w:val="231F20"/>
                <w:sz w:val="14"/>
              </w:rPr>
              <w:t>...</w:t>
            </w:r>
          </w:p>
        </w:tc>
        <w:tc>
          <w:tcPr>
            <w:tcW w:w="2267" w:type="dxa"/>
            <w:tcBorders>
              <w:top w:val="nil"/>
            </w:tcBorders>
          </w:tcPr>
          <w:p w:rsidR="00041039" w:rsidRDefault="00041039">
            <w:pPr>
              <w:pStyle w:val="TableParagraph"/>
              <w:ind w:left="0"/>
              <w:rPr>
                <w:sz w:val="14"/>
              </w:rPr>
            </w:pPr>
          </w:p>
        </w:tc>
      </w:tr>
    </w:tbl>
    <w:p w:rsidR="00041039" w:rsidRDefault="00041039">
      <w:pPr>
        <w:rPr>
          <w:sz w:val="14"/>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20"/>
        </w:trPr>
        <w:tc>
          <w:tcPr>
            <w:tcW w:w="1304" w:type="dxa"/>
          </w:tcPr>
          <w:p w:rsidR="00041039" w:rsidRDefault="001B26CB">
            <w:pPr>
              <w:pStyle w:val="TableParagraph"/>
              <w:spacing w:before="18"/>
              <w:ind w:left="56"/>
              <w:rPr>
                <w:sz w:val="14"/>
              </w:rPr>
            </w:pPr>
            <w:r>
              <w:rPr>
                <w:color w:val="231F20"/>
                <w:sz w:val="14"/>
              </w:rPr>
              <w:lastRenderedPageBreak/>
              <w:t>Хорско певање</w:t>
            </w:r>
          </w:p>
        </w:tc>
        <w:tc>
          <w:tcPr>
            <w:tcW w:w="1587" w:type="dxa"/>
          </w:tcPr>
          <w:p w:rsidR="00041039" w:rsidRDefault="001B26CB">
            <w:pPr>
              <w:pStyle w:val="TableParagraph"/>
              <w:numPr>
                <w:ilvl w:val="0"/>
                <w:numId w:val="1668"/>
              </w:numPr>
              <w:tabs>
                <w:tab w:val="left" w:pos="157"/>
              </w:tabs>
              <w:spacing w:before="8"/>
              <w:ind w:right="112"/>
              <w:rPr>
                <w:sz w:val="14"/>
              </w:rPr>
            </w:pPr>
            <w:r>
              <w:rPr>
                <w:color w:val="231F20"/>
                <w:sz w:val="14"/>
              </w:rPr>
              <w:t>Оспособљавање ученика за</w:t>
            </w:r>
            <w:r>
              <w:rPr>
                <w:color w:val="231F20"/>
                <w:spacing w:val="-16"/>
                <w:sz w:val="14"/>
              </w:rPr>
              <w:t xml:space="preserve"> </w:t>
            </w:r>
            <w:r>
              <w:rPr>
                <w:color w:val="231F20"/>
                <w:sz w:val="14"/>
              </w:rPr>
              <w:t>заједничко извођење.</w:t>
            </w:r>
          </w:p>
        </w:tc>
        <w:tc>
          <w:tcPr>
            <w:tcW w:w="2551" w:type="dxa"/>
          </w:tcPr>
          <w:p w:rsidR="00041039" w:rsidRDefault="001B26CB">
            <w:pPr>
              <w:pStyle w:val="TableParagraph"/>
              <w:numPr>
                <w:ilvl w:val="0"/>
                <w:numId w:val="1667"/>
              </w:numPr>
              <w:tabs>
                <w:tab w:val="left" w:pos="157"/>
              </w:tabs>
              <w:spacing w:before="8"/>
              <w:ind w:right="79" w:hanging="99"/>
              <w:rPr>
                <w:sz w:val="14"/>
              </w:rPr>
            </w:pPr>
            <w:r>
              <w:rPr>
                <w:color w:val="231F20"/>
                <w:sz w:val="14"/>
              </w:rPr>
              <w:t>препознаје и реализује елементе</w:t>
            </w:r>
            <w:r>
              <w:rPr>
                <w:color w:val="231F20"/>
                <w:spacing w:val="-17"/>
                <w:sz w:val="14"/>
              </w:rPr>
              <w:t xml:space="preserve"> </w:t>
            </w:r>
            <w:r>
              <w:rPr>
                <w:color w:val="231F20"/>
                <w:sz w:val="14"/>
              </w:rPr>
              <w:t>зајед­ ничког</w:t>
            </w:r>
            <w:r>
              <w:rPr>
                <w:color w:val="231F20"/>
                <w:spacing w:val="-1"/>
                <w:sz w:val="14"/>
              </w:rPr>
              <w:t xml:space="preserve"> </w:t>
            </w:r>
            <w:r>
              <w:rPr>
                <w:color w:val="231F20"/>
                <w:sz w:val="14"/>
              </w:rPr>
              <w:t>музицирања;</w:t>
            </w:r>
          </w:p>
        </w:tc>
        <w:tc>
          <w:tcPr>
            <w:tcW w:w="2834" w:type="dxa"/>
          </w:tcPr>
          <w:p w:rsidR="00041039" w:rsidRDefault="001B26CB">
            <w:pPr>
              <w:pStyle w:val="TableParagraph"/>
              <w:numPr>
                <w:ilvl w:val="0"/>
                <w:numId w:val="1666"/>
              </w:numPr>
              <w:tabs>
                <w:tab w:val="left" w:pos="157"/>
              </w:tabs>
              <w:spacing w:before="8"/>
              <w:ind w:right="102" w:hanging="99"/>
              <w:rPr>
                <w:sz w:val="14"/>
              </w:rPr>
            </w:pPr>
            <w:r>
              <w:rPr>
                <w:color w:val="231F20"/>
                <w:sz w:val="14"/>
              </w:rPr>
              <w:t>Слободан избор композиција према</w:t>
            </w:r>
            <w:r>
              <w:rPr>
                <w:color w:val="231F20"/>
                <w:spacing w:val="-23"/>
                <w:sz w:val="14"/>
              </w:rPr>
              <w:t xml:space="preserve"> </w:t>
            </w:r>
            <w:r>
              <w:rPr>
                <w:color w:val="231F20"/>
                <w:sz w:val="14"/>
              </w:rPr>
              <w:t>могућ­ ностима</w:t>
            </w:r>
            <w:r>
              <w:rPr>
                <w:color w:val="231F20"/>
                <w:spacing w:val="-1"/>
                <w:sz w:val="14"/>
              </w:rPr>
              <w:t xml:space="preserve"> </w:t>
            </w:r>
            <w:r>
              <w:rPr>
                <w:color w:val="231F20"/>
                <w:sz w:val="14"/>
              </w:rPr>
              <w:t>извођача.</w:t>
            </w:r>
          </w:p>
        </w:tc>
        <w:tc>
          <w:tcPr>
            <w:tcW w:w="2267" w:type="dxa"/>
          </w:tcPr>
          <w:p w:rsidR="00041039" w:rsidRDefault="00041039">
            <w:pPr>
              <w:pStyle w:val="TableParagraph"/>
              <w:ind w:left="0"/>
              <w:rPr>
                <w:sz w:val="14"/>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3"/>
        </w:numPr>
        <w:tabs>
          <w:tab w:val="left" w:pos="633"/>
        </w:tabs>
        <w:rPr>
          <w:sz w:val="18"/>
        </w:rPr>
      </w:pPr>
      <w:r>
        <w:rPr>
          <w:color w:val="231F20"/>
          <w:sz w:val="18"/>
        </w:rPr>
        <w:t>Историја</w:t>
      </w:r>
    </w:p>
    <w:p w:rsidR="00041039" w:rsidRDefault="001B26CB">
      <w:pPr>
        <w:pStyle w:val="ListParagraph"/>
        <w:numPr>
          <w:ilvl w:val="0"/>
          <w:numId w:val="3"/>
        </w:numPr>
        <w:tabs>
          <w:tab w:val="left" w:pos="633"/>
        </w:tabs>
        <w:spacing w:line="203" w:lineRule="exact"/>
        <w:rPr>
          <w:sz w:val="18"/>
        </w:rPr>
      </w:pPr>
      <w:r>
        <w:rPr>
          <w:color w:val="231F20"/>
          <w:spacing w:val="-3"/>
          <w:sz w:val="18"/>
        </w:rPr>
        <w:t>Физичко</w:t>
      </w:r>
      <w:r>
        <w:rPr>
          <w:color w:val="231F20"/>
          <w:sz w:val="18"/>
        </w:rPr>
        <w:t xml:space="preserve"> васпитање</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ЛОГИКА </w:t>
      </w:r>
      <w:r>
        <w:rPr>
          <w:b/>
          <w:color w:val="231F20"/>
          <w:spacing w:val="-4"/>
          <w:sz w:val="14"/>
        </w:rPr>
        <w:t>СА</w:t>
      </w:r>
      <w:r>
        <w:rPr>
          <w:b/>
          <w:color w:val="231F20"/>
          <w:spacing w:val="-2"/>
          <w:sz w:val="14"/>
        </w:rPr>
        <w:t xml:space="preserve"> </w:t>
      </w:r>
      <w:r>
        <w:rPr>
          <w:b/>
          <w:color w:val="231F20"/>
          <w:sz w:val="14"/>
        </w:rPr>
        <w:t>ЕТИКОМ</w:t>
      </w:r>
    </w:p>
    <w:p w:rsidR="00041039" w:rsidRDefault="001B26CB">
      <w:pPr>
        <w:pStyle w:val="BodyText"/>
        <w:spacing w:before="49" w:line="161" w:lineRule="exact"/>
        <w:ind w:left="157"/>
      </w:pPr>
      <w:r>
        <w:rPr>
          <w:color w:val="231F20"/>
        </w:rPr>
        <w:t>Циљеви предмета: – Стицање основнихзнањао логици и етици и схватање значаја тих знања за јасно размишљање и развој личности;</w:t>
      </w:r>
    </w:p>
    <w:p w:rsidR="00041039" w:rsidRDefault="001B26CB">
      <w:pPr>
        <w:pStyle w:val="ListParagraph"/>
        <w:numPr>
          <w:ilvl w:val="1"/>
          <w:numId w:val="3"/>
        </w:numPr>
        <w:tabs>
          <w:tab w:val="left" w:pos="1566"/>
        </w:tabs>
        <w:spacing w:line="160" w:lineRule="exact"/>
        <w:rPr>
          <w:sz w:val="14"/>
        </w:rPr>
      </w:pPr>
      <w:r>
        <w:rPr>
          <w:color w:val="231F20"/>
          <w:sz w:val="14"/>
        </w:rPr>
        <w:t xml:space="preserve">Упознавање са елементима и законима логике и разумевање </w:t>
      </w:r>
      <w:r>
        <w:rPr>
          <w:color w:val="231F20"/>
          <w:spacing w:val="-3"/>
          <w:sz w:val="14"/>
        </w:rPr>
        <w:t xml:space="preserve">улоге </w:t>
      </w:r>
      <w:r>
        <w:rPr>
          <w:color w:val="231F20"/>
          <w:sz w:val="14"/>
        </w:rPr>
        <w:t>коју логика има у науци и свакодневном</w:t>
      </w:r>
      <w:r>
        <w:rPr>
          <w:color w:val="231F20"/>
          <w:spacing w:val="-18"/>
          <w:sz w:val="14"/>
        </w:rPr>
        <w:t xml:space="preserve"> </w:t>
      </w:r>
      <w:r>
        <w:rPr>
          <w:color w:val="231F20"/>
          <w:sz w:val="14"/>
        </w:rPr>
        <w:t>животу;</w:t>
      </w:r>
    </w:p>
    <w:p w:rsidR="00041039" w:rsidRDefault="001B26CB">
      <w:pPr>
        <w:pStyle w:val="ListParagraph"/>
        <w:numPr>
          <w:ilvl w:val="1"/>
          <w:numId w:val="3"/>
        </w:numPr>
        <w:tabs>
          <w:tab w:val="left" w:pos="1566"/>
        </w:tabs>
        <w:spacing w:line="160" w:lineRule="exact"/>
        <w:rPr>
          <w:sz w:val="14"/>
        </w:rPr>
      </w:pPr>
      <w:r>
        <w:rPr>
          <w:color w:val="231F20"/>
          <w:sz w:val="14"/>
        </w:rPr>
        <w:t>Разумевање појмова који се јављају у етичким расправама и развијање сензибилитета за етичка питања савременог</w:t>
      </w:r>
      <w:r>
        <w:rPr>
          <w:color w:val="231F20"/>
          <w:spacing w:val="-10"/>
          <w:sz w:val="14"/>
        </w:rPr>
        <w:t xml:space="preserve"> </w:t>
      </w:r>
      <w:r>
        <w:rPr>
          <w:color w:val="231F20"/>
          <w:sz w:val="14"/>
        </w:rPr>
        <w:t>друштва;</w:t>
      </w:r>
    </w:p>
    <w:p w:rsidR="00041039" w:rsidRDefault="001B26CB">
      <w:pPr>
        <w:pStyle w:val="ListParagraph"/>
        <w:numPr>
          <w:ilvl w:val="1"/>
          <w:numId w:val="3"/>
        </w:numPr>
        <w:tabs>
          <w:tab w:val="left" w:pos="1566"/>
        </w:tabs>
        <w:spacing w:line="161" w:lineRule="exact"/>
        <w:rPr>
          <w:sz w:val="14"/>
        </w:rPr>
      </w:pPr>
      <w:r>
        <w:rPr>
          <w:color w:val="231F20"/>
          <w:sz w:val="14"/>
        </w:rPr>
        <w:t>Оспособљавање ученика за самостално, критичко размишљање и формирање ставова о друштвеним</w:t>
      </w:r>
      <w:r>
        <w:rPr>
          <w:color w:val="231F20"/>
          <w:spacing w:val="-8"/>
          <w:sz w:val="14"/>
        </w:rPr>
        <w:t xml:space="preserve"> </w:t>
      </w:r>
      <w:r>
        <w:rPr>
          <w:color w:val="231F20"/>
          <w:sz w:val="14"/>
        </w:rPr>
        <w:t>проблемима.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0" w:right="430"/>
              <w:jc w:val="right"/>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800"/>
        </w:trPr>
        <w:tc>
          <w:tcPr>
            <w:tcW w:w="1304" w:type="dxa"/>
          </w:tcPr>
          <w:p w:rsidR="00041039" w:rsidRDefault="001B26CB">
            <w:pPr>
              <w:pStyle w:val="TableParagraph"/>
              <w:spacing w:before="18"/>
              <w:ind w:left="0" w:right="401"/>
              <w:jc w:val="right"/>
              <w:rPr>
                <w:sz w:val="14"/>
              </w:rPr>
            </w:pPr>
            <w:r>
              <w:rPr>
                <w:color w:val="231F20"/>
                <w:sz w:val="14"/>
              </w:rPr>
              <w:t>Увод у логику</w:t>
            </w:r>
          </w:p>
        </w:tc>
        <w:tc>
          <w:tcPr>
            <w:tcW w:w="1587" w:type="dxa"/>
          </w:tcPr>
          <w:p w:rsidR="00041039" w:rsidRDefault="001B26CB">
            <w:pPr>
              <w:pStyle w:val="TableParagraph"/>
              <w:numPr>
                <w:ilvl w:val="0"/>
                <w:numId w:val="1665"/>
              </w:numPr>
              <w:tabs>
                <w:tab w:val="left" w:pos="157"/>
              </w:tabs>
              <w:spacing w:before="8"/>
              <w:ind w:right="287"/>
              <w:rPr>
                <w:sz w:val="14"/>
              </w:rPr>
            </w:pPr>
            <w:r>
              <w:rPr>
                <w:color w:val="231F20"/>
                <w:spacing w:val="-3"/>
                <w:sz w:val="14"/>
              </w:rPr>
              <w:t xml:space="preserve">Увођење </w:t>
            </w:r>
            <w:r>
              <w:rPr>
                <w:color w:val="231F20"/>
                <w:sz w:val="14"/>
              </w:rPr>
              <w:t>ученика у предмет</w:t>
            </w:r>
            <w:r>
              <w:rPr>
                <w:color w:val="231F20"/>
                <w:spacing w:val="-2"/>
                <w:sz w:val="14"/>
              </w:rPr>
              <w:t xml:space="preserve"> </w:t>
            </w:r>
            <w:r>
              <w:rPr>
                <w:color w:val="231F20"/>
                <w:sz w:val="14"/>
              </w:rPr>
              <w:t>логике.</w:t>
            </w:r>
          </w:p>
        </w:tc>
        <w:tc>
          <w:tcPr>
            <w:tcW w:w="2551" w:type="dxa"/>
          </w:tcPr>
          <w:p w:rsidR="00041039" w:rsidRDefault="001B26CB">
            <w:pPr>
              <w:pStyle w:val="TableParagraph"/>
              <w:numPr>
                <w:ilvl w:val="0"/>
                <w:numId w:val="1664"/>
              </w:numPr>
              <w:tabs>
                <w:tab w:val="left" w:pos="157"/>
              </w:tabs>
              <w:spacing w:before="8"/>
              <w:ind w:right="60" w:hanging="99"/>
              <w:rPr>
                <w:sz w:val="14"/>
              </w:rPr>
            </w:pPr>
            <w:r>
              <w:rPr>
                <w:color w:val="231F20"/>
                <w:sz w:val="14"/>
              </w:rPr>
              <w:t>препозна и сам већ користи логику</w:t>
            </w:r>
            <w:r>
              <w:rPr>
                <w:color w:val="231F20"/>
                <w:spacing w:val="-24"/>
                <w:sz w:val="14"/>
              </w:rPr>
              <w:t xml:space="preserve"> </w:t>
            </w:r>
            <w:r>
              <w:rPr>
                <w:color w:val="231F20"/>
                <w:sz w:val="14"/>
              </w:rPr>
              <w:t>као и</w:t>
            </w:r>
            <w:r>
              <w:rPr>
                <w:color w:val="231F20"/>
                <w:spacing w:val="-2"/>
                <w:sz w:val="14"/>
              </w:rPr>
              <w:t xml:space="preserve"> </w:t>
            </w:r>
            <w:r>
              <w:rPr>
                <w:color w:val="231F20"/>
                <w:sz w:val="14"/>
              </w:rPr>
              <w:t>граматику;</w:t>
            </w:r>
          </w:p>
          <w:p w:rsidR="00041039" w:rsidRDefault="001B26CB">
            <w:pPr>
              <w:pStyle w:val="TableParagraph"/>
              <w:numPr>
                <w:ilvl w:val="0"/>
                <w:numId w:val="1664"/>
              </w:numPr>
              <w:tabs>
                <w:tab w:val="left" w:pos="157"/>
              </w:tabs>
              <w:spacing w:line="160" w:lineRule="exact"/>
              <w:ind w:right="52" w:hanging="99"/>
              <w:rPr>
                <w:sz w:val="14"/>
              </w:rPr>
            </w:pPr>
            <w:r>
              <w:rPr>
                <w:color w:val="231F20"/>
                <w:sz w:val="14"/>
              </w:rPr>
              <w:t xml:space="preserve">разликује мишљење </w:t>
            </w:r>
            <w:r>
              <w:rPr>
                <w:color w:val="231F20"/>
                <w:spacing w:val="-3"/>
                <w:sz w:val="14"/>
              </w:rPr>
              <w:t xml:space="preserve">од </w:t>
            </w:r>
            <w:r>
              <w:rPr>
                <w:color w:val="231F20"/>
                <w:sz w:val="14"/>
              </w:rPr>
              <w:t>маште, надања, опажања и наводи примере из свако­ дневног</w:t>
            </w:r>
            <w:r>
              <w:rPr>
                <w:color w:val="231F20"/>
                <w:spacing w:val="-1"/>
                <w:sz w:val="14"/>
              </w:rPr>
              <w:t xml:space="preserve"> </w:t>
            </w:r>
            <w:r>
              <w:rPr>
                <w:color w:val="231F20"/>
                <w:sz w:val="14"/>
              </w:rPr>
              <w:t>живота;</w:t>
            </w:r>
          </w:p>
          <w:p w:rsidR="00041039" w:rsidRDefault="001B26CB">
            <w:pPr>
              <w:pStyle w:val="TableParagraph"/>
              <w:numPr>
                <w:ilvl w:val="0"/>
                <w:numId w:val="1664"/>
              </w:numPr>
              <w:tabs>
                <w:tab w:val="left" w:pos="157"/>
              </w:tabs>
              <w:spacing w:line="160" w:lineRule="exact"/>
              <w:ind w:right="198" w:hanging="99"/>
              <w:rPr>
                <w:sz w:val="14"/>
              </w:rPr>
            </w:pPr>
            <w:r>
              <w:rPr>
                <w:color w:val="231F20"/>
                <w:sz w:val="14"/>
              </w:rPr>
              <w:t>искаже дефиницију логике, разуме</w:t>
            </w:r>
            <w:r>
              <w:rPr>
                <w:color w:val="231F20"/>
                <w:spacing w:val="-18"/>
                <w:sz w:val="14"/>
              </w:rPr>
              <w:t xml:space="preserve"> </w:t>
            </w:r>
            <w:r>
              <w:rPr>
                <w:color w:val="231F20"/>
                <w:sz w:val="14"/>
              </w:rPr>
              <w:t>и опише у чему се састоји формални карактер</w:t>
            </w:r>
            <w:r>
              <w:rPr>
                <w:color w:val="231F20"/>
                <w:spacing w:val="-1"/>
                <w:sz w:val="14"/>
              </w:rPr>
              <w:t xml:space="preserve"> </w:t>
            </w:r>
            <w:r>
              <w:rPr>
                <w:color w:val="231F20"/>
                <w:sz w:val="14"/>
              </w:rPr>
              <w:t>логике;</w:t>
            </w:r>
          </w:p>
          <w:p w:rsidR="00041039" w:rsidRDefault="001B26CB">
            <w:pPr>
              <w:pStyle w:val="TableParagraph"/>
              <w:numPr>
                <w:ilvl w:val="0"/>
                <w:numId w:val="1664"/>
              </w:numPr>
              <w:tabs>
                <w:tab w:val="left" w:pos="157"/>
              </w:tabs>
              <w:spacing w:line="160" w:lineRule="exact"/>
              <w:ind w:right="88" w:hanging="99"/>
              <w:jc w:val="both"/>
              <w:rPr>
                <w:sz w:val="14"/>
              </w:rPr>
            </w:pPr>
            <w:r>
              <w:rPr>
                <w:color w:val="231F20"/>
                <w:sz w:val="14"/>
              </w:rPr>
              <w:t>разликује принципе мишљења, наведе примере за основне логичке принципе и симболички их</w:t>
            </w:r>
            <w:r>
              <w:rPr>
                <w:color w:val="231F20"/>
                <w:spacing w:val="-6"/>
                <w:sz w:val="14"/>
              </w:rPr>
              <w:t xml:space="preserve"> </w:t>
            </w:r>
            <w:r>
              <w:rPr>
                <w:color w:val="231F20"/>
                <w:sz w:val="14"/>
              </w:rPr>
              <w:t>приказује;</w:t>
            </w:r>
          </w:p>
        </w:tc>
        <w:tc>
          <w:tcPr>
            <w:tcW w:w="2834" w:type="dxa"/>
          </w:tcPr>
          <w:p w:rsidR="00041039" w:rsidRDefault="001B26CB">
            <w:pPr>
              <w:pStyle w:val="TableParagraph"/>
              <w:numPr>
                <w:ilvl w:val="0"/>
                <w:numId w:val="1663"/>
              </w:numPr>
              <w:tabs>
                <w:tab w:val="left" w:pos="157"/>
              </w:tabs>
              <w:spacing w:before="8" w:line="166" w:lineRule="exact"/>
              <w:ind w:hanging="99"/>
              <w:rPr>
                <w:sz w:val="14"/>
              </w:rPr>
            </w:pPr>
            <w:r>
              <w:rPr>
                <w:color w:val="231F20"/>
                <w:sz w:val="14"/>
              </w:rPr>
              <w:t>Појам и подела</w:t>
            </w:r>
            <w:r>
              <w:rPr>
                <w:color w:val="231F20"/>
                <w:spacing w:val="-4"/>
                <w:sz w:val="14"/>
              </w:rPr>
              <w:t xml:space="preserve"> </w:t>
            </w:r>
            <w:r>
              <w:rPr>
                <w:color w:val="231F20"/>
                <w:sz w:val="14"/>
              </w:rPr>
              <w:t>логике.</w:t>
            </w:r>
          </w:p>
          <w:p w:rsidR="00041039" w:rsidRDefault="001B26CB">
            <w:pPr>
              <w:pStyle w:val="TableParagraph"/>
              <w:numPr>
                <w:ilvl w:val="0"/>
                <w:numId w:val="1663"/>
              </w:numPr>
              <w:tabs>
                <w:tab w:val="left" w:pos="157"/>
              </w:tabs>
              <w:spacing w:line="160" w:lineRule="exact"/>
              <w:ind w:hanging="99"/>
              <w:rPr>
                <w:sz w:val="14"/>
              </w:rPr>
            </w:pPr>
            <w:r>
              <w:rPr>
                <w:color w:val="231F20"/>
                <w:sz w:val="14"/>
              </w:rPr>
              <w:t xml:space="preserve">Логика као </w:t>
            </w:r>
            <w:r>
              <w:rPr>
                <w:color w:val="231F20"/>
                <w:spacing w:val="-3"/>
                <w:sz w:val="14"/>
              </w:rPr>
              <w:t xml:space="preserve">наука </w:t>
            </w:r>
            <w:r>
              <w:rPr>
                <w:color w:val="231F20"/>
                <w:sz w:val="14"/>
              </w:rPr>
              <w:t>о форми</w:t>
            </w:r>
            <w:r>
              <w:rPr>
                <w:color w:val="231F20"/>
                <w:spacing w:val="-7"/>
                <w:sz w:val="14"/>
              </w:rPr>
              <w:t xml:space="preserve"> </w:t>
            </w:r>
            <w:r>
              <w:rPr>
                <w:color w:val="231F20"/>
                <w:sz w:val="14"/>
              </w:rPr>
              <w:t>мишљења.</w:t>
            </w:r>
          </w:p>
          <w:p w:rsidR="00041039" w:rsidRDefault="001B26CB">
            <w:pPr>
              <w:pStyle w:val="TableParagraph"/>
              <w:numPr>
                <w:ilvl w:val="0"/>
                <w:numId w:val="1663"/>
              </w:numPr>
              <w:tabs>
                <w:tab w:val="left" w:pos="157"/>
              </w:tabs>
              <w:spacing w:line="237" w:lineRule="auto"/>
              <w:ind w:right="144" w:hanging="99"/>
              <w:rPr>
                <w:sz w:val="14"/>
              </w:rPr>
            </w:pPr>
            <w:r>
              <w:rPr>
                <w:color w:val="231F20"/>
                <w:sz w:val="14"/>
              </w:rPr>
              <w:t>Основни</w:t>
            </w:r>
            <w:r>
              <w:rPr>
                <w:color w:val="231F20"/>
                <w:spacing w:val="-12"/>
                <w:sz w:val="14"/>
              </w:rPr>
              <w:t xml:space="preserve"> </w:t>
            </w:r>
            <w:r>
              <w:rPr>
                <w:color w:val="231F20"/>
                <w:sz w:val="14"/>
              </w:rPr>
              <w:t>логички</w:t>
            </w:r>
            <w:r>
              <w:rPr>
                <w:color w:val="231F20"/>
                <w:spacing w:val="-12"/>
                <w:sz w:val="14"/>
              </w:rPr>
              <w:t xml:space="preserve"> </w:t>
            </w:r>
            <w:r>
              <w:rPr>
                <w:color w:val="231F20"/>
                <w:sz w:val="14"/>
              </w:rPr>
              <w:t>принципи(идентитет,</w:t>
            </w:r>
            <w:r>
              <w:rPr>
                <w:color w:val="231F20"/>
                <w:spacing w:val="-11"/>
                <w:sz w:val="14"/>
              </w:rPr>
              <w:t xml:space="preserve"> </w:t>
            </w:r>
            <w:r>
              <w:rPr>
                <w:color w:val="231F20"/>
                <w:sz w:val="14"/>
              </w:rPr>
              <w:t>не противуречност и искључење</w:t>
            </w:r>
            <w:r>
              <w:rPr>
                <w:color w:val="231F20"/>
                <w:spacing w:val="-7"/>
                <w:sz w:val="14"/>
              </w:rPr>
              <w:t xml:space="preserve"> </w:t>
            </w:r>
            <w:r>
              <w:rPr>
                <w:color w:val="231F20"/>
                <w:sz w:val="14"/>
              </w:rPr>
              <w:t>трећег)</w:t>
            </w:r>
          </w:p>
        </w:tc>
        <w:tc>
          <w:tcPr>
            <w:tcW w:w="2267" w:type="dxa"/>
            <w:vMerge w:val="restart"/>
          </w:tcPr>
          <w:p w:rsidR="00041039" w:rsidRDefault="001B26CB">
            <w:pPr>
              <w:pStyle w:val="TableParagraph"/>
              <w:numPr>
                <w:ilvl w:val="0"/>
                <w:numId w:val="1662"/>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662"/>
              </w:numPr>
              <w:tabs>
                <w:tab w:val="left" w:pos="158"/>
              </w:tabs>
              <w:spacing w:line="160" w:lineRule="exact"/>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662"/>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662"/>
              </w:numPr>
              <w:tabs>
                <w:tab w:val="left" w:pos="158"/>
              </w:tabs>
              <w:spacing w:before="1" w:line="160" w:lineRule="exact"/>
              <w:ind w:right="140" w:hanging="99"/>
              <w:rPr>
                <w:sz w:val="14"/>
              </w:rPr>
            </w:pPr>
            <w:r>
              <w:rPr>
                <w:color w:val="231F20"/>
                <w:sz w:val="14"/>
              </w:rPr>
              <w:t>дијалог са ученицима, самостал­ ни рад, организовање</w:t>
            </w:r>
            <w:r>
              <w:rPr>
                <w:color w:val="231F20"/>
                <w:spacing w:val="-4"/>
                <w:sz w:val="14"/>
              </w:rPr>
              <w:t xml:space="preserve"> </w:t>
            </w:r>
            <w:r>
              <w:rPr>
                <w:color w:val="231F20"/>
                <w:sz w:val="14"/>
              </w:rPr>
              <w:t>дебате;</w:t>
            </w:r>
          </w:p>
          <w:p w:rsidR="00041039" w:rsidRDefault="001B26CB">
            <w:pPr>
              <w:pStyle w:val="TableParagraph"/>
              <w:numPr>
                <w:ilvl w:val="0"/>
                <w:numId w:val="1662"/>
              </w:numPr>
              <w:tabs>
                <w:tab w:val="left" w:pos="158"/>
              </w:tabs>
              <w:spacing w:line="160" w:lineRule="exact"/>
              <w:ind w:right="224" w:hanging="99"/>
              <w:rPr>
                <w:sz w:val="14"/>
              </w:rPr>
            </w:pPr>
            <w:r>
              <w:rPr>
                <w:color w:val="231F20"/>
                <w:sz w:val="14"/>
              </w:rPr>
              <w:t>користити актуелне примере</w:t>
            </w:r>
            <w:r>
              <w:rPr>
                <w:color w:val="231F20"/>
                <w:spacing w:val="-21"/>
                <w:sz w:val="14"/>
              </w:rPr>
              <w:t xml:space="preserve"> </w:t>
            </w:r>
            <w:r>
              <w:rPr>
                <w:color w:val="231F20"/>
                <w:sz w:val="14"/>
              </w:rPr>
              <w:t>из штампе и других</w:t>
            </w:r>
            <w:r>
              <w:rPr>
                <w:color w:val="231F20"/>
                <w:spacing w:val="-2"/>
                <w:sz w:val="14"/>
              </w:rPr>
              <w:t xml:space="preserve"> </w:t>
            </w:r>
            <w:r>
              <w:rPr>
                <w:color w:val="231F20"/>
                <w:sz w:val="14"/>
              </w:rPr>
              <w:t>медија;</w:t>
            </w:r>
          </w:p>
          <w:p w:rsidR="00041039" w:rsidRDefault="001B26CB">
            <w:pPr>
              <w:pStyle w:val="TableParagraph"/>
              <w:numPr>
                <w:ilvl w:val="0"/>
                <w:numId w:val="1662"/>
              </w:numPr>
              <w:tabs>
                <w:tab w:val="left" w:pos="158"/>
              </w:tabs>
              <w:spacing w:line="160" w:lineRule="exact"/>
              <w:ind w:right="389" w:hanging="99"/>
              <w:rPr>
                <w:sz w:val="14"/>
              </w:rPr>
            </w:pPr>
            <w:r>
              <w:rPr>
                <w:color w:val="231F20"/>
                <w:sz w:val="14"/>
              </w:rPr>
              <w:t>користити актуелне</w:t>
            </w:r>
            <w:r>
              <w:rPr>
                <w:color w:val="231F20"/>
                <w:spacing w:val="-18"/>
                <w:sz w:val="14"/>
              </w:rPr>
              <w:t xml:space="preserve"> </w:t>
            </w:r>
            <w:r>
              <w:rPr>
                <w:color w:val="231F20"/>
                <w:sz w:val="14"/>
              </w:rPr>
              <w:t>примере везане за струку</w:t>
            </w:r>
            <w:r>
              <w:rPr>
                <w:color w:val="231F20"/>
                <w:spacing w:val="-6"/>
                <w:sz w:val="14"/>
              </w:rPr>
              <w:t xml:space="preserve"> </w:t>
            </w:r>
            <w:r>
              <w:rPr>
                <w:color w:val="231F20"/>
                <w:sz w:val="14"/>
              </w:rPr>
              <w:t>ученика;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662"/>
              </w:numPr>
              <w:tabs>
                <w:tab w:val="left" w:pos="158"/>
              </w:tabs>
              <w:spacing w:line="160" w:lineRule="exact"/>
              <w:ind w:right="281" w:hanging="99"/>
              <w:rPr>
                <w:sz w:val="14"/>
              </w:rPr>
            </w:pPr>
            <w:r>
              <w:rPr>
                <w:color w:val="231F20"/>
                <w:sz w:val="14"/>
              </w:rPr>
              <w:t>опажања наставника</w:t>
            </w:r>
            <w:r>
              <w:rPr>
                <w:color w:val="231F20"/>
                <w:spacing w:val="-11"/>
                <w:sz w:val="14"/>
              </w:rPr>
              <w:t xml:space="preserve"> </w:t>
            </w:r>
            <w:r>
              <w:rPr>
                <w:color w:val="231F20"/>
                <w:sz w:val="14"/>
              </w:rPr>
              <w:t>­праћење рада на</w:t>
            </w:r>
            <w:r>
              <w:rPr>
                <w:color w:val="231F20"/>
                <w:spacing w:val="-2"/>
                <w:sz w:val="14"/>
              </w:rPr>
              <w:t xml:space="preserve"> </w:t>
            </w:r>
            <w:r>
              <w:rPr>
                <w:color w:val="231F20"/>
                <w:sz w:val="14"/>
              </w:rPr>
              <w:t>часу</w:t>
            </w:r>
          </w:p>
          <w:p w:rsidR="00041039" w:rsidRDefault="001B26CB">
            <w:pPr>
              <w:pStyle w:val="TableParagraph"/>
              <w:numPr>
                <w:ilvl w:val="0"/>
                <w:numId w:val="1662"/>
              </w:numPr>
              <w:tabs>
                <w:tab w:val="left" w:pos="158"/>
              </w:tabs>
              <w:spacing w:line="159" w:lineRule="exact"/>
              <w:ind w:hanging="99"/>
              <w:rPr>
                <w:sz w:val="14"/>
              </w:rPr>
            </w:pPr>
            <w:r>
              <w:rPr>
                <w:color w:val="231F20"/>
                <w:sz w:val="14"/>
              </w:rPr>
              <w:t>питања ­</w:t>
            </w:r>
            <w:r>
              <w:rPr>
                <w:color w:val="231F20"/>
                <w:spacing w:val="-2"/>
                <w:sz w:val="14"/>
              </w:rPr>
              <w:t xml:space="preserve"> </w:t>
            </w:r>
            <w:r>
              <w:rPr>
                <w:color w:val="231F20"/>
                <w:sz w:val="14"/>
              </w:rPr>
              <w:t>одговори</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662"/>
              </w:numPr>
              <w:tabs>
                <w:tab w:val="left" w:pos="158"/>
              </w:tabs>
              <w:spacing w:line="160" w:lineRule="exact"/>
              <w:ind w:hanging="99"/>
              <w:rPr>
                <w:b/>
                <w:sz w:val="14"/>
              </w:rPr>
            </w:pPr>
            <w:r>
              <w:rPr>
                <w:color w:val="231F20"/>
                <w:spacing w:val="-6"/>
                <w:sz w:val="14"/>
              </w:rPr>
              <w:t xml:space="preserve">Увод </w:t>
            </w:r>
            <w:r>
              <w:rPr>
                <w:color w:val="231F20"/>
                <w:sz w:val="14"/>
              </w:rPr>
              <w:t xml:space="preserve">у логику </w:t>
            </w:r>
            <w:r>
              <w:rPr>
                <w:b/>
                <w:color w:val="231F20"/>
                <w:sz w:val="14"/>
              </w:rPr>
              <w:t>(3 или 2</w:t>
            </w:r>
            <w:r>
              <w:rPr>
                <w:b/>
                <w:color w:val="231F20"/>
                <w:sz w:val="14"/>
              </w:rPr>
              <w:t xml:space="preserve"> </w:t>
            </w:r>
            <w:r>
              <w:rPr>
                <w:b/>
                <w:color w:val="231F20"/>
                <w:sz w:val="14"/>
              </w:rPr>
              <w:t>часа)</w:t>
            </w:r>
          </w:p>
          <w:p w:rsidR="00041039" w:rsidRDefault="001B26CB">
            <w:pPr>
              <w:pStyle w:val="TableParagraph"/>
              <w:numPr>
                <w:ilvl w:val="0"/>
                <w:numId w:val="1662"/>
              </w:numPr>
              <w:tabs>
                <w:tab w:val="left" w:pos="158"/>
              </w:tabs>
              <w:spacing w:line="237" w:lineRule="auto"/>
              <w:ind w:right="349" w:hanging="99"/>
              <w:rPr>
                <w:b/>
                <w:sz w:val="14"/>
              </w:rPr>
            </w:pPr>
            <w:r>
              <w:rPr>
                <w:color w:val="231F20"/>
                <w:sz w:val="14"/>
              </w:rPr>
              <w:t>Формална логика: појам,</w:t>
            </w:r>
            <w:r>
              <w:rPr>
                <w:color w:val="231F20"/>
                <w:spacing w:val="-17"/>
                <w:sz w:val="14"/>
              </w:rPr>
              <w:t xml:space="preserve"> </w:t>
            </w:r>
            <w:r>
              <w:rPr>
                <w:color w:val="231F20"/>
                <w:spacing w:val="-3"/>
                <w:sz w:val="14"/>
              </w:rPr>
              <w:t xml:space="preserve">суд, </w:t>
            </w:r>
            <w:r>
              <w:rPr>
                <w:color w:val="231F20"/>
                <w:sz w:val="14"/>
              </w:rPr>
              <w:t xml:space="preserve">закључак </w:t>
            </w:r>
            <w:r>
              <w:rPr>
                <w:b/>
                <w:color w:val="231F20"/>
                <w:sz w:val="14"/>
              </w:rPr>
              <w:t>(8+8+11</w:t>
            </w:r>
            <w:r>
              <w:rPr>
                <w:b/>
                <w:color w:val="231F20"/>
                <w:spacing w:val="-7"/>
                <w:sz w:val="14"/>
              </w:rPr>
              <w:t xml:space="preserve"> </w:t>
            </w:r>
            <w:r>
              <w:rPr>
                <w:b/>
                <w:color w:val="231F20"/>
                <w:sz w:val="14"/>
              </w:rPr>
              <w:t>часова)</w:t>
            </w:r>
          </w:p>
          <w:p w:rsidR="00041039" w:rsidRDefault="001B26CB">
            <w:pPr>
              <w:pStyle w:val="TableParagraph"/>
              <w:numPr>
                <w:ilvl w:val="0"/>
                <w:numId w:val="1662"/>
              </w:numPr>
              <w:tabs>
                <w:tab w:val="left" w:pos="158"/>
              </w:tabs>
              <w:spacing w:line="155" w:lineRule="exact"/>
              <w:ind w:hanging="99"/>
              <w:rPr>
                <w:b/>
                <w:sz w:val="14"/>
              </w:rPr>
            </w:pPr>
            <w:r>
              <w:rPr>
                <w:color w:val="231F20"/>
                <w:sz w:val="14"/>
              </w:rPr>
              <w:t xml:space="preserve">Логичке грешке </w:t>
            </w:r>
            <w:r>
              <w:rPr>
                <w:b/>
                <w:color w:val="231F20"/>
                <w:sz w:val="14"/>
              </w:rPr>
              <w:t>(6 или 5</w:t>
            </w:r>
            <w:r>
              <w:rPr>
                <w:b/>
                <w:color w:val="231F20"/>
                <w:spacing w:val="-26"/>
                <w:sz w:val="14"/>
              </w:rPr>
              <w:t xml:space="preserve"> </w:t>
            </w:r>
            <w:r>
              <w:rPr>
                <w:b/>
                <w:color w:val="231F20"/>
                <w:sz w:val="14"/>
              </w:rPr>
              <w:t>часова)</w:t>
            </w:r>
          </w:p>
          <w:p w:rsidR="00041039" w:rsidRDefault="001B26CB">
            <w:pPr>
              <w:pStyle w:val="TableParagraph"/>
              <w:numPr>
                <w:ilvl w:val="0"/>
                <w:numId w:val="1662"/>
              </w:numPr>
              <w:tabs>
                <w:tab w:val="left" w:pos="158"/>
              </w:tabs>
              <w:spacing w:line="160" w:lineRule="exact"/>
              <w:ind w:hanging="99"/>
              <w:rPr>
                <w:b/>
                <w:sz w:val="14"/>
              </w:rPr>
            </w:pPr>
            <w:r>
              <w:rPr>
                <w:color w:val="231F20"/>
                <w:sz w:val="14"/>
              </w:rPr>
              <w:t>Појам и значај етике</w:t>
            </w:r>
            <w:r>
              <w:rPr>
                <w:color w:val="231F20"/>
                <w:spacing w:val="-7"/>
                <w:sz w:val="14"/>
              </w:rPr>
              <w:t xml:space="preserve"> </w:t>
            </w:r>
            <w:r>
              <w:rPr>
                <w:b/>
                <w:color w:val="231F20"/>
                <w:sz w:val="14"/>
              </w:rPr>
              <w:t>(4часа)</w:t>
            </w:r>
          </w:p>
          <w:p w:rsidR="00041039" w:rsidRDefault="001B26CB">
            <w:pPr>
              <w:pStyle w:val="TableParagraph"/>
              <w:numPr>
                <w:ilvl w:val="0"/>
                <w:numId w:val="1662"/>
              </w:numPr>
              <w:tabs>
                <w:tab w:val="left" w:pos="158"/>
              </w:tabs>
              <w:spacing w:line="237" w:lineRule="auto"/>
              <w:ind w:right="48" w:hanging="99"/>
              <w:rPr>
                <w:b/>
                <w:sz w:val="14"/>
              </w:rPr>
            </w:pPr>
            <w:r>
              <w:rPr>
                <w:color w:val="231F20"/>
                <w:sz w:val="14"/>
              </w:rPr>
              <w:t>Лични,</w:t>
            </w:r>
            <w:r>
              <w:rPr>
                <w:color w:val="231F20"/>
                <w:spacing w:val="-10"/>
                <w:sz w:val="14"/>
              </w:rPr>
              <w:t xml:space="preserve"> </w:t>
            </w:r>
            <w:r>
              <w:rPr>
                <w:color w:val="231F20"/>
                <w:sz w:val="14"/>
              </w:rPr>
              <w:t>идентитет,</w:t>
            </w:r>
            <w:r>
              <w:rPr>
                <w:color w:val="231F20"/>
                <w:spacing w:val="-9"/>
                <w:sz w:val="14"/>
              </w:rPr>
              <w:t xml:space="preserve"> </w:t>
            </w:r>
            <w:r>
              <w:rPr>
                <w:color w:val="231F20"/>
                <w:sz w:val="14"/>
              </w:rPr>
              <w:t>слобода</w:t>
            </w:r>
            <w:r>
              <w:rPr>
                <w:color w:val="231F20"/>
                <w:spacing w:val="-9"/>
                <w:sz w:val="14"/>
              </w:rPr>
              <w:t xml:space="preserve"> </w:t>
            </w:r>
            <w:r>
              <w:rPr>
                <w:color w:val="231F20"/>
                <w:sz w:val="14"/>
              </w:rPr>
              <w:t>и</w:t>
            </w:r>
            <w:r>
              <w:rPr>
                <w:color w:val="231F20"/>
                <w:spacing w:val="-10"/>
                <w:sz w:val="14"/>
              </w:rPr>
              <w:t xml:space="preserve"> </w:t>
            </w:r>
            <w:r>
              <w:rPr>
                <w:color w:val="231F20"/>
                <w:sz w:val="14"/>
              </w:rPr>
              <w:t xml:space="preserve">одго­ ворност </w:t>
            </w:r>
            <w:r>
              <w:rPr>
                <w:b/>
                <w:color w:val="231F20"/>
                <w:sz w:val="14"/>
              </w:rPr>
              <w:t>(14 или 12</w:t>
            </w:r>
            <w:r>
              <w:rPr>
                <w:b/>
                <w:color w:val="231F20"/>
                <w:spacing w:val="-5"/>
                <w:sz w:val="14"/>
              </w:rPr>
              <w:t xml:space="preserve"> </w:t>
            </w:r>
            <w:r>
              <w:rPr>
                <w:b/>
                <w:color w:val="231F20"/>
                <w:sz w:val="14"/>
              </w:rPr>
              <w:t>часова)</w:t>
            </w:r>
          </w:p>
          <w:p w:rsidR="00041039" w:rsidRDefault="001B26CB">
            <w:pPr>
              <w:pStyle w:val="TableParagraph"/>
              <w:numPr>
                <w:ilvl w:val="0"/>
                <w:numId w:val="1662"/>
              </w:numPr>
              <w:tabs>
                <w:tab w:val="left" w:pos="158"/>
              </w:tabs>
              <w:spacing w:line="160" w:lineRule="exact"/>
              <w:ind w:right="298" w:hanging="99"/>
              <w:rPr>
                <w:b/>
                <w:sz w:val="14"/>
              </w:rPr>
            </w:pPr>
            <w:r>
              <w:rPr>
                <w:color w:val="231F20"/>
                <w:sz w:val="14"/>
              </w:rPr>
              <w:t>Основне етичке норме и</w:t>
            </w:r>
            <w:r>
              <w:rPr>
                <w:color w:val="231F20"/>
                <w:spacing w:val="-19"/>
                <w:sz w:val="14"/>
              </w:rPr>
              <w:t xml:space="preserve"> </w:t>
            </w:r>
            <w:r>
              <w:rPr>
                <w:color w:val="231F20"/>
                <w:sz w:val="14"/>
              </w:rPr>
              <w:t xml:space="preserve">вред­ ности </w:t>
            </w:r>
            <w:r>
              <w:rPr>
                <w:b/>
                <w:color w:val="231F20"/>
                <w:sz w:val="14"/>
              </w:rPr>
              <w:t>(16 или 14</w:t>
            </w:r>
            <w:r>
              <w:rPr>
                <w:b/>
                <w:color w:val="231F20"/>
                <w:spacing w:val="-5"/>
                <w:sz w:val="14"/>
              </w:rPr>
              <w:t xml:space="preserve"> </w:t>
            </w:r>
            <w:r>
              <w:rPr>
                <w:b/>
                <w:color w:val="231F20"/>
                <w:sz w:val="14"/>
              </w:rPr>
              <w:t>часова)</w:t>
            </w:r>
          </w:p>
        </w:tc>
      </w:tr>
      <w:tr w:rsidR="00041039">
        <w:trPr>
          <w:trHeight w:val="7720"/>
        </w:trPr>
        <w:tc>
          <w:tcPr>
            <w:tcW w:w="1304" w:type="dxa"/>
          </w:tcPr>
          <w:p w:rsidR="00041039" w:rsidRDefault="001B26CB">
            <w:pPr>
              <w:pStyle w:val="TableParagraph"/>
              <w:spacing w:before="19"/>
              <w:ind w:left="56" w:right="154"/>
              <w:jc w:val="both"/>
              <w:rPr>
                <w:sz w:val="14"/>
              </w:rPr>
            </w:pPr>
            <w:r>
              <w:rPr>
                <w:color w:val="231F20"/>
                <w:sz w:val="14"/>
              </w:rPr>
              <w:t>Формална</w:t>
            </w:r>
            <w:r>
              <w:rPr>
                <w:color w:val="231F20"/>
                <w:spacing w:val="-11"/>
                <w:sz w:val="14"/>
              </w:rPr>
              <w:t xml:space="preserve"> </w:t>
            </w:r>
            <w:r>
              <w:rPr>
                <w:color w:val="231F20"/>
                <w:sz w:val="14"/>
              </w:rPr>
              <w:t xml:space="preserve">логика: појам, </w:t>
            </w:r>
            <w:r>
              <w:rPr>
                <w:color w:val="231F20"/>
                <w:spacing w:val="-3"/>
                <w:sz w:val="14"/>
              </w:rPr>
              <w:t xml:space="preserve">суд, </w:t>
            </w:r>
            <w:r>
              <w:rPr>
                <w:color w:val="231F20"/>
                <w:sz w:val="14"/>
              </w:rPr>
              <w:t>закљу­ чак</w:t>
            </w:r>
          </w:p>
        </w:tc>
        <w:tc>
          <w:tcPr>
            <w:tcW w:w="1587" w:type="dxa"/>
          </w:tcPr>
          <w:p w:rsidR="00041039" w:rsidRDefault="001B26CB">
            <w:pPr>
              <w:pStyle w:val="TableParagraph"/>
              <w:numPr>
                <w:ilvl w:val="0"/>
                <w:numId w:val="1661"/>
              </w:numPr>
              <w:tabs>
                <w:tab w:val="left" w:pos="157"/>
              </w:tabs>
              <w:spacing w:before="9"/>
              <w:ind w:right="50"/>
              <w:rPr>
                <w:sz w:val="14"/>
              </w:rPr>
            </w:pPr>
            <w:r>
              <w:rPr>
                <w:color w:val="231F20"/>
                <w:sz w:val="14"/>
              </w:rPr>
              <w:t>Развој сазнања о појму и односима међу појмовима.</w:t>
            </w:r>
          </w:p>
          <w:p w:rsidR="00041039" w:rsidRDefault="001B26CB">
            <w:pPr>
              <w:pStyle w:val="TableParagraph"/>
              <w:numPr>
                <w:ilvl w:val="0"/>
                <w:numId w:val="1661"/>
              </w:numPr>
              <w:tabs>
                <w:tab w:val="left" w:pos="157"/>
              </w:tabs>
              <w:spacing w:line="157" w:lineRule="exact"/>
              <w:rPr>
                <w:sz w:val="14"/>
              </w:rPr>
            </w:pPr>
            <w:r>
              <w:rPr>
                <w:color w:val="231F20"/>
                <w:sz w:val="14"/>
              </w:rPr>
              <w:t>Упознавање</w:t>
            </w:r>
            <w:r>
              <w:rPr>
                <w:color w:val="231F20"/>
                <w:spacing w:val="-4"/>
                <w:sz w:val="14"/>
              </w:rPr>
              <w:t xml:space="preserve"> </w:t>
            </w:r>
            <w:r>
              <w:rPr>
                <w:color w:val="231F20"/>
                <w:sz w:val="14"/>
              </w:rPr>
              <w:t>ученика</w:t>
            </w:r>
          </w:p>
          <w:p w:rsidR="00041039" w:rsidRDefault="001B26CB">
            <w:pPr>
              <w:pStyle w:val="TableParagraph"/>
              <w:ind w:right="14"/>
              <w:rPr>
                <w:sz w:val="14"/>
              </w:rPr>
            </w:pPr>
            <w:r>
              <w:rPr>
                <w:color w:val="231F20"/>
                <w:sz w:val="14"/>
              </w:rPr>
              <w:t>са структуром суда, врстама судова и одно­ сима између судова.</w:t>
            </w:r>
          </w:p>
          <w:p w:rsidR="00041039" w:rsidRDefault="001B26CB">
            <w:pPr>
              <w:pStyle w:val="TableParagraph"/>
              <w:numPr>
                <w:ilvl w:val="0"/>
                <w:numId w:val="1661"/>
              </w:numPr>
              <w:tabs>
                <w:tab w:val="left" w:pos="157"/>
              </w:tabs>
              <w:spacing w:line="158" w:lineRule="exact"/>
              <w:rPr>
                <w:sz w:val="14"/>
              </w:rPr>
            </w:pPr>
            <w:r>
              <w:rPr>
                <w:color w:val="231F20"/>
                <w:sz w:val="14"/>
              </w:rPr>
              <w:t>Оспособљавање</w:t>
            </w:r>
          </w:p>
          <w:p w:rsidR="00041039" w:rsidRDefault="001B26CB">
            <w:pPr>
              <w:pStyle w:val="TableParagraph"/>
              <w:ind w:right="15"/>
              <w:rPr>
                <w:sz w:val="14"/>
              </w:rPr>
            </w:pPr>
            <w:r>
              <w:rPr>
                <w:color w:val="231F20"/>
                <w:sz w:val="14"/>
              </w:rPr>
              <w:t>ученика за логичко закључивање.</w:t>
            </w:r>
          </w:p>
        </w:tc>
        <w:tc>
          <w:tcPr>
            <w:tcW w:w="2551" w:type="dxa"/>
          </w:tcPr>
          <w:p w:rsidR="00041039" w:rsidRDefault="001B26CB">
            <w:pPr>
              <w:pStyle w:val="TableParagraph"/>
              <w:numPr>
                <w:ilvl w:val="0"/>
                <w:numId w:val="1660"/>
              </w:numPr>
              <w:tabs>
                <w:tab w:val="left" w:pos="157"/>
              </w:tabs>
              <w:spacing w:before="9"/>
              <w:ind w:right="104" w:hanging="99"/>
              <w:rPr>
                <w:sz w:val="14"/>
              </w:rPr>
            </w:pPr>
            <w:r>
              <w:rPr>
                <w:color w:val="231F20"/>
                <w:sz w:val="14"/>
              </w:rPr>
              <w:t>увиди разлику између појма,</w:t>
            </w:r>
            <w:r>
              <w:rPr>
                <w:color w:val="231F20"/>
                <w:spacing w:val="-13"/>
                <w:sz w:val="14"/>
              </w:rPr>
              <w:t xml:space="preserve"> </w:t>
            </w:r>
            <w:r>
              <w:rPr>
                <w:color w:val="231F20"/>
                <w:sz w:val="14"/>
              </w:rPr>
              <w:t>термина, опажаја, предмета,</w:t>
            </w:r>
            <w:r>
              <w:rPr>
                <w:color w:val="231F20"/>
                <w:spacing w:val="-1"/>
                <w:sz w:val="14"/>
              </w:rPr>
              <w:t xml:space="preserve"> </w:t>
            </w:r>
            <w:r>
              <w:rPr>
                <w:color w:val="231F20"/>
                <w:sz w:val="14"/>
              </w:rPr>
              <w:t>представе;</w:t>
            </w:r>
          </w:p>
          <w:p w:rsidR="00041039" w:rsidRDefault="001B26CB">
            <w:pPr>
              <w:pStyle w:val="TableParagraph"/>
              <w:numPr>
                <w:ilvl w:val="0"/>
                <w:numId w:val="1660"/>
              </w:numPr>
              <w:tabs>
                <w:tab w:val="left" w:pos="157"/>
              </w:tabs>
              <w:spacing w:line="160" w:lineRule="exact"/>
              <w:ind w:right="98" w:hanging="99"/>
              <w:rPr>
                <w:sz w:val="14"/>
              </w:rPr>
            </w:pPr>
            <w:r>
              <w:rPr>
                <w:color w:val="231F20"/>
                <w:sz w:val="14"/>
              </w:rPr>
              <w:t>разликује обим и садржај појма, увиђа однос између обима и садржаја, наводи пример за обим и садржај и дефинише обим и садржај</w:t>
            </w:r>
            <w:r>
              <w:rPr>
                <w:color w:val="231F20"/>
                <w:spacing w:val="-2"/>
                <w:sz w:val="14"/>
              </w:rPr>
              <w:t xml:space="preserve"> </w:t>
            </w:r>
            <w:r>
              <w:rPr>
                <w:color w:val="231F20"/>
                <w:sz w:val="14"/>
              </w:rPr>
              <w:t>појма;</w:t>
            </w:r>
          </w:p>
          <w:p w:rsidR="00041039" w:rsidRDefault="001B26CB">
            <w:pPr>
              <w:pStyle w:val="TableParagraph"/>
              <w:numPr>
                <w:ilvl w:val="0"/>
                <w:numId w:val="1660"/>
              </w:numPr>
              <w:tabs>
                <w:tab w:val="left" w:pos="157"/>
              </w:tabs>
              <w:spacing w:line="160" w:lineRule="exact"/>
              <w:ind w:right="104" w:hanging="99"/>
              <w:rPr>
                <w:sz w:val="14"/>
              </w:rPr>
            </w:pPr>
            <w:r>
              <w:rPr>
                <w:color w:val="231F20"/>
                <w:sz w:val="14"/>
              </w:rPr>
              <w:t>препознаје и именује појмове,</w:t>
            </w:r>
            <w:r>
              <w:rPr>
                <w:color w:val="231F20"/>
                <w:spacing w:val="-25"/>
                <w:sz w:val="14"/>
              </w:rPr>
              <w:t xml:space="preserve"> </w:t>
            </w:r>
            <w:r>
              <w:rPr>
                <w:color w:val="231F20"/>
                <w:sz w:val="14"/>
              </w:rPr>
              <w:t>набраја их, уочава разлику између појединач­ них и општих</w:t>
            </w:r>
            <w:r>
              <w:rPr>
                <w:color w:val="231F20"/>
                <w:spacing w:val="-3"/>
                <w:sz w:val="14"/>
              </w:rPr>
              <w:t xml:space="preserve"> </w:t>
            </w:r>
            <w:r>
              <w:rPr>
                <w:color w:val="231F20"/>
                <w:sz w:val="14"/>
              </w:rPr>
              <w:t>појмова;</w:t>
            </w:r>
          </w:p>
          <w:p w:rsidR="00041039" w:rsidRDefault="001B26CB">
            <w:pPr>
              <w:pStyle w:val="TableParagraph"/>
              <w:numPr>
                <w:ilvl w:val="0"/>
                <w:numId w:val="1660"/>
              </w:numPr>
              <w:tabs>
                <w:tab w:val="left" w:pos="157"/>
              </w:tabs>
              <w:spacing w:line="160" w:lineRule="exact"/>
              <w:ind w:right="275" w:hanging="99"/>
              <w:jc w:val="both"/>
              <w:rPr>
                <w:sz w:val="14"/>
              </w:rPr>
            </w:pPr>
            <w:r>
              <w:rPr>
                <w:color w:val="231F20"/>
                <w:sz w:val="14"/>
              </w:rPr>
              <w:t>препознаје одн</w:t>
            </w:r>
            <w:r>
              <w:rPr>
                <w:color w:val="231F20"/>
                <w:sz w:val="14"/>
              </w:rPr>
              <w:t>осе међу појмовима и именује их (субординација,</w:t>
            </w:r>
            <w:r>
              <w:rPr>
                <w:color w:val="231F20"/>
                <w:spacing w:val="-22"/>
                <w:sz w:val="14"/>
              </w:rPr>
              <w:t xml:space="preserve"> </w:t>
            </w:r>
            <w:r>
              <w:rPr>
                <w:color w:val="231F20"/>
                <w:sz w:val="14"/>
              </w:rPr>
              <w:t>коор­ динација, контрарност) и</w:t>
            </w:r>
            <w:r>
              <w:rPr>
                <w:color w:val="231F20"/>
                <w:spacing w:val="-12"/>
                <w:sz w:val="14"/>
              </w:rPr>
              <w:t xml:space="preserve"> </w:t>
            </w:r>
            <w:r>
              <w:rPr>
                <w:color w:val="231F20"/>
                <w:sz w:val="14"/>
              </w:rPr>
              <w:t>графички приказује односе међу</w:t>
            </w:r>
            <w:r>
              <w:rPr>
                <w:color w:val="231F20"/>
                <w:spacing w:val="-12"/>
                <w:sz w:val="14"/>
              </w:rPr>
              <w:t xml:space="preserve"> </w:t>
            </w:r>
            <w:r>
              <w:rPr>
                <w:color w:val="231F20"/>
                <w:sz w:val="14"/>
              </w:rPr>
              <w:t>појмовима;</w:t>
            </w:r>
          </w:p>
          <w:p w:rsidR="00041039" w:rsidRDefault="001B26CB">
            <w:pPr>
              <w:pStyle w:val="TableParagraph"/>
              <w:numPr>
                <w:ilvl w:val="0"/>
                <w:numId w:val="1660"/>
              </w:numPr>
              <w:tabs>
                <w:tab w:val="left" w:pos="157"/>
              </w:tabs>
              <w:spacing w:line="153" w:lineRule="exact"/>
              <w:ind w:hanging="99"/>
              <w:rPr>
                <w:sz w:val="14"/>
              </w:rPr>
            </w:pPr>
            <w:r>
              <w:rPr>
                <w:color w:val="231F20"/>
                <w:sz w:val="14"/>
              </w:rPr>
              <w:t>наведе делове</w:t>
            </w:r>
            <w:r>
              <w:rPr>
                <w:color w:val="231F20"/>
                <w:spacing w:val="-1"/>
                <w:sz w:val="14"/>
              </w:rPr>
              <w:t xml:space="preserve"> </w:t>
            </w:r>
            <w:r>
              <w:rPr>
                <w:color w:val="231F20"/>
                <w:sz w:val="14"/>
              </w:rPr>
              <w:t>дефиниције;</w:t>
            </w:r>
          </w:p>
          <w:p w:rsidR="00041039" w:rsidRDefault="001B26CB">
            <w:pPr>
              <w:pStyle w:val="TableParagraph"/>
              <w:numPr>
                <w:ilvl w:val="0"/>
                <w:numId w:val="1660"/>
              </w:numPr>
              <w:tabs>
                <w:tab w:val="left" w:pos="157"/>
              </w:tabs>
              <w:spacing w:line="237" w:lineRule="auto"/>
              <w:ind w:right="375" w:hanging="99"/>
              <w:rPr>
                <w:sz w:val="14"/>
              </w:rPr>
            </w:pPr>
            <w:r>
              <w:rPr>
                <w:color w:val="231F20"/>
                <w:sz w:val="14"/>
              </w:rPr>
              <w:t>даје примере дефиниције из своје струке;</w:t>
            </w:r>
          </w:p>
          <w:p w:rsidR="00041039" w:rsidRDefault="001B26CB">
            <w:pPr>
              <w:pStyle w:val="TableParagraph"/>
              <w:numPr>
                <w:ilvl w:val="0"/>
                <w:numId w:val="1660"/>
              </w:numPr>
              <w:tabs>
                <w:tab w:val="left" w:pos="157"/>
              </w:tabs>
              <w:spacing w:line="160" w:lineRule="exact"/>
              <w:ind w:right="495" w:hanging="99"/>
              <w:rPr>
                <w:sz w:val="14"/>
              </w:rPr>
            </w:pPr>
            <w:r>
              <w:rPr>
                <w:color w:val="231F20"/>
                <w:sz w:val="14"/>
              </w:rPr>
              <w:t>разликује прешироку и</w:t>
            </w:r>
            <w:r>
              <w:rPr>
                <w:color w:val="231F20"/>
                <w:spacing w:val="-19"/>
                <w:sz w:val="14"/>
              </w:rPr>
              <w:t xml:space="preserve"> </w:t>
            </w:r>
            <w:r>
              <w:rPr>
                <w:color w:val="231F20"/>
                <w:sz w:val="14"/>
              </w:rPr>
              <w:t>преуску дефиницију;</w:t>
            </w:r>
          </w:p>
          <w:p w:rsidR="00041039" w:rsidRDefault="001B26CB">
            <w:pPr>
              <w:pStyle w:val="TableParagraph"/>
              <w:numPr>
                <w:ilvl w:val="0"/>
                <w:numId w:val="1660"/>
              </w:numPr>
              <w:tabs>
                <w:tab w:val="left" w:pos="157"/>
              </w:tabs>
              <w:spacing w:line="160" w:lineRule="exact"/>
              <w:ind w:right="144" w:hanging="99"/>
              <w:rPr>
                <w:sz w:val="14"/>
              </w:rPr>
            </w:pPr>
            <w:r>
              <w:rPr>
                <w:color w:val="231F20"/>
                <w:sz w:val="14"/>
              </w:rPr>
              <w:t xml:space="preserve">разликује чланове деобе </w:t>
            </w:r>
            <w:r>
              <w:rPr>
                <w:color w:val="231F20"/>
                <w:spacing w:val="-3"/>
                <w:sz w:val="14"/>
              </w:rPr>
              <w:t xml:space="preserve">од </w:t>
            </w:r>
            <w:r>
              <w:rPr>
                <w:color w:val="231F20"/>
                <w:sz w:val="14"/>
              </w:rPr>
              <w:t>принципа деобе;</w:t>
            </w:r>
          </w:p>
          <w:p w:rsidR="00041039" w:rsidRDefault="001B26CB">
            <w:pPr>
              <w:pStyle w:val="TableParagraph"/>
              <w:numPr>
                <w:ilvl w:val="0"/>
                <w:numId w:val="1660"/>
              </w:numPr>
              <w:tabs>
                <w:tab w:val="left" w:pos="157"/>
              </w:tabs>
              <w:spacing w:line="160" w:lineRule="exact"/>
              <w:ind w:right="260" w:hanging="99"/>
              <w:rPr>
                <w:sz w:val="14"/>
              </w:rPr>
            </w:pPr>
            <w:r>
              <w:rPr>
                <w:color w:val="231F20"/>
                <w:sz w:val="14"/>
              </w:rPr>
              <w:t>увиђа значај принципа деобе,</w:t>
            </w:r>
            <w:r>
              <w:rPr>
                <w:color w:val="231F20"/>
                <w:spacing w:val="-16"/>
                <w:sz w:val="14"/>
              </w:rPr>
              <w:t xml:space="preserve"> </w:t>
            </w:r>
            <w:r>
              <w:rPr>
                <w:color w:val="231F20"/>
                <w:sz w:val="14"/>
              </w:rPr>
              <w:t>само­ стално изводи једну</w:t>
            </w:r>
            <w:r>
              <w:rPr>
                <w:color w:val="231F20"/>
                <w:spacing w:val="-4"/>
                <w:sz w:val="14"/>
              </w:rPr>
              <w:t xml:space="preserve"> </w:t>
            </w:r>
            <w:r>
              <w:rPr>
                <w:color w:val="231F20"/>
                <w:sz w:val="14"/>
              </w:rPr>
              <w:t>деобу;</w:t>
            </w:r>
          </w:p>
          <w:p w:rsidR="00041039" w:rsidRDefault="001B26CB">
            <w:pPr>
              <w:pStyle w:val="TableParagraph"/>
              <w:numPr>
                <w:ilvl w:val="0"/>
                <w:numId w:val="1660"/>
              </w:numPr>
              <w:tabs>
                <w:tab w:val="left" w:pos="157"/>
              </w:tabs>
              <w:spacing w:line="160" w:lineRule="exact"/>
              <w:ind w:right="170" w:hanging="99"/>
              <w:rPr>
                <w:sz w:val="14"/>
              </w:rPr>
            </w:pPr>
            <w:r>
              <w:rPr>
                <w:color w:val="231F20"/>
                <w:sz w:val="14"/>
              </w:rPr>
              <w:t xml:space="preserve">разликује субјекат и предикат </w:t>
            </w:r>
            <w:r>
              <w:rPr>
                <w:color w:val="231F20"/>
                <w:spacing w:val="-3"/>
                <w:sz w:val="14"/>
              </w:rPr>
              <w:t xml:space="preserve">суда </w:t>
            </w:r>
            <w:r>
              <w:rPr>
                <w:color w:val="231F20"/>
                <w:sz w:val="14"/>
              </w:rPr>
              <w:t xml:space="preserve">и увиђа значај </w:t>
            </w:r>
            <w:r>
              <w:rPr>
                <w:color w:val="231F20"/>
                <w:spacing w:val="-3"/>
                <w:sz w:val="14"/>
              </w:rPr>
              <w:t xml:space="preserve">копуле </w:t>
            </w:r>
            <w:r>
              <w:rPr>
                <w:color w:val="231F20"/>
                <w:sz w:val="14"/>
              </w:rPr>
              <w:t>за квалитет</w:t>
            </w:r>
            <w:r>
              <w:rPr>
                <w:color w:val="231F20"/>
                <w:spacing w:val="-8"/>
                <w:sz w:val="14"/>
              </w:rPr>
              <w:t xml:space="preserve"> </w:t>
            </w:r>
            <w:r>
              <w:rPr>
                <w:color w:val="231F20"/>
                <w:spacing w:val="-3"/>
                <w:sz w:val="14"/>
              </w:rPr>
              <w:t>суда;</w:t>
            </w:r>
          </w:p>
          <w:p w:rsidR="00041039" w:rsidRDefault="001B26CB">
            <w:pPr>
              <w:pStyle w:val="TableParagraph"/>
              <w:numPr>
                <w:ilvl w:val="0"/>
                <w:numId w:val="1660"/>
              </w:numPr>
              <w:tabs>
                <w:tab w:val="left" w:pos="157"/>
              </w:tabs>
              <w:spacing w:line="160" w:lineRule="exact"/>
              <w:ind w:right="115" w:hanging="99"/>
              <w:rPr>
                <w:sz w:val="14"/>
              </w:rPr>
            </w:pPr>
            <w:r>
              <w:rPr>
                <w:color w:val="231F20"/>
                <w:sz w:val="14"/>
              </w:rPr>
              <w:t xml:space="preserve">препознаје форму сложеног </w:t>
            </w:r>
            <w:r>
              <w:rPr>
                <w:color w:val="231F20"/>
                <w:spacing w:val="-3"/>
                <w:sz w:val="14"/>
              </w:rPr>
              <w:t xml:space="preserve">суда, </w:t>
            </w:r>
            <w:r>
              <w:rPr>
                <w:color w:val="231F20"/>
                <w:sz w:val="14"/>
              </w:rPr>
              <w:t>разликује и именује логичке везнике (негација. конјукција, дисјункција, апликација и еквиваленција) и</w:t>
            </w:r>
            <w:r>
              <w:rPr>
                <w:color w:val="231F20"/>
                <w:spacing w:val="-24"/>
                <w:sz w:val="14"/>
              </w:rPr>
              <w:t xml:space="preserve"> </w:t>
            </w:r>
            <w:r>
              <w:rPr>
                <w:color w:val="231F20"/>
                <w:sz w:val="14"/>
              </w:rPr>
              <w:t>наводи примере;</w:t>
            </w:r>
          </w:p>
          <w:p w:rsidR="00041039" w:rsidRDefault="001B26CB">
            <w:pPr>
              <w:pStyle w:val="TableParagraph"/>
              <w:numPr>
                <w:ilvl w:val="0"/>
                <w:numId w:val="1660"/>
              </w:numPr>
              <w:tabs>
                <w:tab w:val="left" w:pos="157"/>
              </w:tabs>
              <w:spacing w:line="160" w:lineRule="exact"/>
              <w:ind w:right="192" w:hanging="99"/>
              <w:jc w:val="both"/>
              <w:rPr>
                <w:sz w:val="14"/>
              </w:rPr>
            </w:pPr>
            <w:r>
              <w:rPr>
                <w:color w:val="231F20"/>
                <w:sz w:val="14"/>
              </w:rPr>
              <w:t xml:space="preserve">разликује квантитет и квалитет </w:t>
            </w:r>
            <w:r>
              <w:rPr>
                <w:color w:val="231F20"/>
                <w:spacing w:val="-3"/>
                <w:sz w:val="14"/>
              </w:rPr>
              <w:t xml:space="preserve">суда, </w:t>
            </w:r>
            <w:r>
              <w:rPr>
                <w:color w:val="231F20"/>
                <w:sz w:val="14"/>
              </w:rPr>
              <w:t xml:space="preserve">препознаје форму a, e, i, о </w:t>
            </w:r>
            <w:r>
              <w:rPr>
                <w:color w:val="231F20"/>
                <w:spacing w:val="-3"/>
                <w:sz w:val="14"/>
              </w:rPr>
              <w:t xml:space="preserve">суда </w:t>
            </w:r>
            <w:r>
              <w:rPr>
                <w:color w:val="231F20"/>
                <w:sz w:val="14"/>
              </w:rPr>
              <w:t>и на­ води</w:t>
            </w:r>
            <w:r>
              <w:rPr>
                <w:color w:val="231F20"/>
                <w:spacing w:val="-1"/>
                <w:sz w:val="14"/>
              </w:rPr>
              <w:t xml:space="preserve"> </w:t>
            </w:r>
            <w:r>
              <w:rPr>
                <w:color w:val="231F20"/>
                <w:sz w:val="14"/>
              </w:rPr>
              <w:t>примере;</w:t>
            </w:r>
          </w:p>
          <w:p w:rsidR="00041039" w:rsidRDefault="001B26CB">
            <w:pPr>
              <w:pStyle w:val="TableParagraph"/>
              <w:numPr>
                <w:ilvl w:val="0"/>
                <w:numId w:val="1660"/>
              </w:numPr>
              <w:tabs>
                <w:tab w:val="left" w:pos="157"/>
              </w:tabs>
              <w:spacing w:line="153" w:lineRule="exact"/>
              <w:ind w:hanging="99"/>
              <w:rPr>
                <w:sz w:val="14"/>
              </w:rPr>
            </w:pPr>
            <w:r>
              <w:rPr>
                <w:color w:val="231F20"/>
                <w:sz w:val="14"/>
              </w:rPr>
              <w:t>именује односе међу</w:t>
            </w:r>
            <w:r>
              <w:rPr>
                <w:color w:val="231F20"/>
                <w:spacing w:val="-4"/>
                <w:sz w:val="14"/>
              </w:rPr>
              <w:t xml:space="preserve"> </w:t>
            </w:r>
            <w:r>
              <w:rPr>
                <w:color w:val="231F20"/>
                <w:sz w:val="14"/>
              </w:rPr>
              <w:t>судовима;</w:t>
            </w:r>
          </w:p>
          <w:p w:rsidR="00041039" w:rsidRDefault="001B26CB">
            <w:pPr>
              <w:pStyle w:val="TableParagraph"/>
              <w:numPr>
                <w:ilvl w:val="0"/>
                <w:numId w:val="1660"/>
              </w:numPr>
              <w:tabs>
                <w:tab w:val="left" w:pos="157"/>
              </w:tabs>
              <w:spacing w:line="237" w:lineRule="auto"/>
              <w:ind w:right="205" w:hanging="99"/>
              <w:jc w:val="both"/>
              <w:rPr>
                <w:sz w:val="14"/>
              </w:rPr>
            </w:pPr>
            <w:r>
              <w:rPr>
                <w:color w:val="231F20"/>
                <w:sz w:val="14"/>
              </w:rPr>
              <w:t>препознаје индуктивно, дедуктивно и закључивање по аналогији на при­ мерима из свакодневног</w:t>
            </w:r>
            <w:r>
              <w:rPr>
                <w:color w:val="231F20"/>
                <w:spacing w:val="-7"/>
                <w:sz w:val="14"/>
              </w:rPr>
              <w:t xml:space="preserve"> </w:t>
            </w:r>
            <w:r>
              <w:rPr>
                <w:color w:val="231F20"/>
                <w:sz w:val="14"/>
              </w:rPr>
              <w:t>живота;</w:t>
            </w:r>
          </w:p>
          <w:p w:rsidR="00041039" w:rsidRDefault="001B26CB">
            <w:pPr>
              <w:pStyle w:val="TableParagraph"/>
              <w:numPr>
                <w:ilvl w:val="0"/>
                <w:numId w:val="1660"/>
              </w:numPr>
              <w:tabs>
                <w:tab w:val="left" w:pos="157"/>
              </w:tabs>
              <w:spacing w:line="237" w:lineRule="auto"/>
              <w:ind w:right="344" w:hanging="99"/>
              <w:rPr>
                <w:sz w:val="14"/>
              </w:rPr>
            </w:pPr>
            <w:r>
              <w:rPr>
                <w:color w:val="231F20"/>
                <w:sz w:val="14"/>
              </w:rPr>
              <w:t>увиђа да и сам користи наведене форме закључивања, именује их</w:t>
            </w:r>
            <w:r>
              <w:rPr>
                <w:color w:val="231F20"/>
                <w:spacing w:val="-19"/>
                <w:sz w:val="14"/>
              </w:rPr>
              <w:t xml:space="preserve"> </w:t>
            </w:r>
            <w:r>
              <w:rPr>
                <w:color w:val="231F20"/>
                <w:sz w:val="14"/>
              </w:rPr>
              <w:t>и разликује;</w:t>
            </w:r>
          </w:p>
          <w:p w:rsidR="00041039" w:rsidRDefault="001B26CB">
            <w:pPr>
              <w:pStyle w:val="TableParagraph"/>
              <w:numPr>
                <w:ilvl w:val="0"/>
                <w:numId w:val="1660"/>
              </w:numPr>
              <w:tabs>
                <w:tab w:val="left" w:pos="157"/>
              </w:tabs>
              <w:spacing w:line="237" w:lineRule="auto"/>
              <w:ind w:right="209" w:hanging="99"/>
              <w:rPr>
                <w:sz w:val="14"/>
              </w:rPr>
            </w:pPr>
            <w:r>
              <w:rPr>
                <w:color w:val="231F20"/>
                <w:sz w:val="14"/>
              </w:rPr>
              <w:t>демонстрира конверзију и</w:t>
            </w:r>
            <w:r>
              <w:rPr>
                <w:color w:val="231F20"/>
                <w:spacing w:val="-15"/>
                <w:sz w:val="14"/>
              </w:rPr>
              <w:t xml:space="preserve"> </w:t>
            </w:r>
            <w:r>
              <w:rPr>
                <w:color w:val="231F20"/>
                <w:sz w:val="14"/>
              </w:rPr>
              <w:t>обверзију на</w:t>
            </w:r>
            <w:r>
              <w:rPr>
                <w:color w:val="231F20"/>
                <w:spacing w:val="-2"/>
                <w:sz w:val="14"/>
              </w:rPr>
              <w:t xml:space="preserve"> </w:t>
            </w:r>
            <w:r>
              <w:rPr>
                <w:color w:val="231F20"/>
                <w:sz w:val="14"/>
              </w:rPr>
              <w:t>примерима;</w:t>
            </w:r>
          </w:p>
          <w:p w:rsidR="00041039" w:rsidRDefault="001B26CB">
            <w:pPr>
              <w:pStyle w:val="TableParagraph"/>
              <w:numPr>
                <w:ilvl w:val="0"/>
                <w:numId w:val="1660"/>
              </w:numPr>
              <w:tabs>
                <w:tab w:val="left" w:pos="157"/>
              </w:tabs>
              <w:spacing w:line="160" w:lineRule="exact"/>
              <w:ind w:right="478" w:hanging="99"/>
              <w:rPr>
                <w:sz w:val="14"/>
              </w:rPr>
            </w:pPr>
            <w:r>
              <w:rPr>
                <w:color w:val="231F20"/>
                <w:sz w:val="14"/>
              </w:rPr>
              <w:t>наведе и објасни четири</w:t>
            </w:r>
            <w:r>
              <w:rPr>
                <w:color w:val="231F20"/>
                <w:spacing w:val="-6"/>
                <w:sz w:val="14"/>
              </w:rPr>
              <w:t xml:space="preserve"> </w:t>
            </w:r>
            <w:r>
              <w:rPr>
                <w:color w:val="231F20"/>
                <w:sz w:val="14"/>
              </w:rPr>
              <w:t>фигуре с</w:t>
            </w:r>
            <w:r>
              <w:rPr>
                <w:color w:val="231F20"/>
                <w:sz w:val="14"/>
              </w:rPr>
              <w:t>илогизма;</w:t>
            </w:r>
          </w:p>
          <w:p w:rsidR="00041039" w:rsidRDefault="001B26CB">
            <w:pPr>
              <w:pStyle w:val="TableParagraph"/>
              <w:numPr>
                <w:ilvl w:val="0"/>
                <w:numId w:val="1660"/>
              </w:numPr>
              <w:tabs>
                <w:tab w:val="left" w:pos="157"/>
              </w:tabs>
              <w:spacing w:line="153" w:lineRule="exact"/>
              <w:ind w:hanging="99"/>
              <w:rPr>
                <w:sz w:val="14"/>
              </w:rPr>
            </w:pPr>
            <w:r>
              <w:rPr>
                <w:color w:val="231F20"/>
                <w:sz w:val="14"/>
              </w:rPr>
              <w:t>изводи задате модусе</w:t>
            </w:r>
            <w:r>
              <w:rPr>
                <w:color w:val="231F20"/>
                <w:spacing w:val="-5"/>
                <w:sz w:val="14"/>
              </w:rPr>
              <w:t xml:space="preserve"> </w:t>
            </w:r>
            <w:r>
              <w:rPr>
                <w:color w:val="231F20"/>
                <w:sz w:val="14"/>
              </w:rPr>
              <w:t>силогизма;</w:t>
            </w:r>
          </w:p>
          <w:p w:rsidR="00041039" w:rsidRDefault="001B26CB">
            <w:pPr>
              <w:pStyle w:val="TableParagraph"/>
              <w:numPr>
                <w:ilvl w:val="0"/>
                <w:numId w:val="1660"/>
              </w:numPr>
              <w:tabs>
                <w:tab w:val="left" w:pos="157"/>
              </w:tabs>
              <w:spacing w:line="237" w:lineRule="auto"/>
              <w:ind w:right="367" w:hanging="99"/>
              <w:rPr>
                <w:sz w:val="14"/>
              </w:rPr>
            </w:pPr>
            <w:r>
              <w:rPr>
                <w:color w:val="231F20"/>
                <w:sz w:val="14"/>
              </w:rPr>
              <w:t>излаже примере за хипотетички</w:t>
            </w:r>
            <w:r>
              <w:rPr>
                <w:color w:val="231F20"/>
                <w:spacing w:val="-21"/>
                <w:sz w:val="14"/>
              </w:rPr>
              <w:t xml:space="preserve"> </w:t>
            </w:r>
            <w:r>
              <w:rPr>
                <w:color w:val="231F20"/>
                <w:sz w:val="14"/>
              </w:rPr>
              <w:t>и дисјунктивни</w:t>
            </w:r>
            <w:r>
              <w:rPr>
                <w:color w:val="231F20"/>
                <w:spacing w:val="-1"/>
                <w:sz w:val="14"/>
              </w:rPr>
              <w:t xml:space="preserve"> </w:t>
            </w:r>
            <w:r>
              <w:rPr>
                <w:color w:val="231F20"/>
                <w:sz w:val="14"/>
              </w:rPr>
              <w:t>силогизам;</w:t>
            </w:r>
          </w:p>
          <w:p w:rsidR="00041039" w:rsidRDefault="001B26CB">
            <w:pPr>
              <w:pStyle w:val="TableParagraph"/>
              <w:numPr>
                <w:ilvl w:val="0"/>
                <w:numId w:val="1660"/>
              </w:numPr>
              <w:tabs>
                <w:tab w:val="left" w:pos="157"/>
              </w:tabs>
              <w:spacing w:line="160" w:lineRule="exact"/>
              <w:ind w:right="84" w:hanging="99"/>
              <w:rPr>
                <w:sz w:val="14"/>
              </w:rPr>
            </w:pPr>
            <w:r>
              <w:rPr>
                <w:color w:val="231F20"/>
                <w:sz w:val="14"/>
              </w:rPr>
              <w:t>повезује форме закључивања у</w:t>
            </w:r>
            <w:r>
              <w:rPr>
                <w:color w:val="231F20"/>
                <w:spacing w:val="-23"/>
                <w:sz w:val="14"/>
              </w:rPr>
              <w:t xml:space="preserve"> </w:t>
            </w:r>
            <w:r>
              <w:rPr>
                <w:color w:val="231F20"/>
                <w:sz w:val="14"/>
              </w:rPr>
              <w:t>облику доказа;</w:t>
            </w:r>
          </w:p>
        </w:tc>
        <w:tc>
          <w:tcPr>
            <w:tcW w:w="2834" w:type="dxa"/>
          </w:tcPr>
          <w:p w:rsidR="00041039" w:rsidRDefault="001B26CB">
            <w:pPr>
              <w:pStyle w:val="TableParagraph"/>
              <w:numPr>
                <w:ilvl w:val="0"/>
                <w:numId w:val="1659"/>
              </w:numPr>
              <w:tabs>
                <w:tab w:val="left" w:pos="157"/>
              </w:tabs>
              <w:spacing w:before="10"/>
              <w:ind w:right="140" w:hanging="99"/>
              <w:rPr>
                <w:sz w:val="14"/>
              </w:rPr>
            </w:pPr>
            <w:r>
              <w:rPr>
                <w:color w:val="231F20"/>
                <w:sz w:val="14"/>
              </w:rPr>
              <w:t>Разлика између појма, ствари и</w:t>
            </w:r>
            <w:r>
              <w:rPr>
                <w:color w:val="231F20"/>
                <w:spacing w:val="-20"/>
                <w:sz w:val="14"/>
              </w:rPr>
              <w:t xml:space="preserve"> </w:t>
            </w:r>
            <w:r>
              <w:rPr>
                <w:color w:val="231F20"/>
                <w:sz w:val="14"/>
              </w:rPr>
              <w:t>представе. Врсте</w:t>
            </w:r>
            <w:r>
              <w:rPr>
                <w:color w:val="231F20"/>
                <w:spacing w:val="-1"/>
                <w:sz w:val="14"/>
              </w:rPr>
              <w:t xml:space="preserve"> </w:t>
            </w:r>
            <w:r>
              <w:rPr>
                <w:color w:val="231F20"/>
                <w:sz w:val="14"/>
              </w:rPr>
              <w:t>појмова.</w:t>
            </w:r>
          </w:p>
          <w:p w:rsidR="00041039" w:rsidRDefault="001B26CB">
            <w:pPr>
              <w:pStyle w:val="TableParagraph"/>
              <w:numPr>
                <w:ilvl w:val="0"/>
                <w:numId w:val="1659"/>
              </w:numPr>
              <w:tabs>
                <w:tab w:val="left" w:pos="157"/>
              </w:tabs>
              <w:spacing w:line="153" w:lineRule="exact"/>
              <w:ind w:hanging="99"/>
              <w:rPr>
                <w:sz w:val="14"/>
              </w:rPr>
            </w:pPr>
            <w:r>
              <w:rPr>
                <w:color w:val="231F20"/>
                <w:sz w:val="14"/>
              </w:rPr>
              <w:t>Обим и садржај</w:t>
            </w:r>
            <w:r>
              <w:rPr>
                <w:color w:val="231F20"/>
                <w:spacing w:val="-3"/>
                <w:sz w:val="14"/>
              </w:rPr>
              <w:t xml:space="preserve"> </w:t>
            </w:r>
            <w:r>
              <w:rPr>
                <w:color w:val="231F20"/>
                <w:sz w:val="14"/>
              </w:rPr>
              <w:t>појма.</w:t>
            </w:r>
          </w:p>
          <w:p w:rsidR="00041039" w:rsidRDefault="001B26CB">
            <w:pPr>
              <w:pStyle w:val="TableParagraph"/>
              <w:numPr>
                <w:ilvl w:val="0"/>
                <w:numId w:val="1659"/>
              </w:numPr>
              <w:tabs>
                <w:tab w:val="left" w:pos="157"/>
              </w:tabs>
              <w:spacing w:line="160" w:lineRule="exact"/>
              <w:ind w:hanging="99"/>
              <w:rPr>
                <w:sz w:val="14"/>
              </w:rPr>
            </w:pPr>
            <w:r>
              <w:rPr>
                <w:color w:val="231F20"/>
                <w:sz w:val="14"/>
              </w:rPr>
              <w:t>Односи међу</w:t>
            </w:r>
            <w:r>
              <w:rPr>
                <w:color w:val="231F20"/>
                <w:spacing w:val="-1"/>
                <w:sz w:val="14"/>
              </w:rPr>
              <w:t xml:space="preserve"> </w:t>
            </w:r>
            <w:r>
              <w:rPr>
                <w:color w:val="231F20"/>
                <w:sz w:val="14"/>
              </w:rPr>
              <w:t>појмовима.</w:t>
            </w:r>
          </w:p>
          <w:p w:rsidR="00041039" w:rsidRDefault="001B26CB">
            <w:pPr>
              <w:pStyle w:val="TableParagraph"/>
              <w:numPr>
                <w:ilvl w:val="0"/>
                <w:numId w:val="1659"/>
              </w:numPr>
              <w:tabs>
                <w:tab w:val="left" w:pos="157"/>
              </w:tabs>
              <w:spacing w:line="160" w:lineRule="exact"/>
              <w:ind w:hanging="99"/>
              <w:rPr>
                <w:sz w:val="14"/>
              </w:rPr>
            </w:pPr>
            <w:r>
              <w:rPr>
                <w:color w:val="231F20"/>
                <w:sz w:val="14"/>
              </w:rPr>
              <w:t>Дефиниција и</w:t>
            </w:r>
            <w:r>
              <w:rPr>
                <w:color w:val="231F20"/>
                <w:spacing w:val="-1"/>
                <w:sz w:val="14"/>
              </w:rPr>
              <w:t xml:space="preserve"> </w:t>
            </w:r>
            <w:r>
              <w:rPr>
                <w:color w:val="231F20"/>
                <w:sz w:val="14"/>
              </w:rPr>
              <w:t>деоба.</w:t>
            </w:r>
          </w:p>
          <w:p w:rsidR="00041039" w:rsidRDefault="001B26CB">
            <w:pPr>
              <w:pStyle w:val="TableParagraph"/>
              <w:numPr>
                <w:ilvl w:val="0"/>
                <w:numId w:val="1659"/>
              </w:numPr>
              <w:tabs>
                <w:tab w:val="left" w:pos="157"/>
              </w:tabs>
              <w:spacing w:line="160" w:lineRule="exact"/>
              <w:ind w:hanging="99"/>
              <w:rPr>
                <w:sz w:val="14"/>
              </w:rPr>
            </w:pPr>
            <w:r>
              <w:rPr>
                <w:color w:val="231F20"/>
                <w:spacing w:val="-5"/>
                <w:sz w:val="14"/>
              </w:rPr>
              <w:t xml:space="preserve">Суд </w:t>
            </w:r>
            <w:r>
              <w:rPr>
                <w:color w:val="231F20"/>
                <w:sz w:val="14"/>
              </w:rPr>
              <w:t>и врсте</w:t>
            </w:r>
            <w:r>
              <w:rPr>
                <w:color w:val="231F20"/>
                <w:spacing w:val="1"/>
                <w:sz w:val="14"/>
              </w:rPr>
              <w:t xml:space="preserve"> </w:t>
            </w:r>
            <w:r>
              <w:rPr>
                <w:color w:val="231F20"/>
                <w:sz w:val="14"/>
              </w:rPr>
              <w:t>судова.</w:t>
            </w:r>
          </w:p>
          <w:p w:rsidR="00041039" w:rsidRDefault="001B26CB">
            <w:pPr>
              <w:pStyle w:val="TableParagraph"/>
              <w:numPr>
                <w:ilvl w:val="0"/>
                <w:numId w:val="1659"/>
              </w:numPr>
              <w:tabs>
                <w:tab w:val="left" w:pos="157"/>
              </w:tabs>
              <w:spacing w:line="237" w:lineRule="auto"/>
              <w:ind w:right="429" w:hanging="99"/>
              <w:rPr>
                <w:sz w:val="14"/>
              </w:rPr>
            </w:pPr>
            <w:r>
              <w:rPr>
                <w:color w:val="231F20"/>
                <w:sz w:val="14"/>
              </w:rPr>
              <w:t xml:space="preserve">Истиносна вредност сложених </w:t>
            </w:r>
            <w:r>
              <w:rPr>
                <w:color w:val="231F20"/>
                <w:spacing w:val="-3"/>
                <w:sz w:val="14"/>
              </w:rPr>
              <w:t xml:space="preserve">судо­ </w:t>
            </w:r>
            <w:r>
              <w:rPr>
                <w:color w:val="231F20"/>
                <w:sz w:val="14"/>
              </w:rPr>
              <w:t>ва (негација, конјукција,</w:t>
            </w:r>
            <w:r>
              <w:rPr>
                <w:color w:val="231F20"/>
                <w:spacing w:val="-17"/>
                <w:sz w:val="14"/>
              </w:rPr>
              <w:t xml:space="preserve"> </w:t>
            </w:r>
            <w:r>
              <w:rPr>
                <w:color w:val="231F20"/>
                <w:sz w:val="14"/>
              </w:rPr>
              <w:t>дисјункција, импликација и</w:t>
            </w:r>
            <w:r>
              <w:rPr>
                <w:color w:val="231F20"/>
                <w:spacing w:val="-4"/>
                <w:sz w:val="14"/>
              </w:rPr>
              <w:t xml:space="preserve"> </w:t>
            </w:r>
            <w:r>
              <w:rPr>
                <w:color w:val="231F20"/>
                <w:sz w:val="14"/>
              </w:rPr>
              <w:t>еквиваленција).</w:t>
            </w:r>
          </w:p>
          <w:p w:rsidR="00041039" w:rsidRDefault="001B26CB">
            <w:pPr>
              <w:pStyle w:val="TableParagraph"/>
              <w:numPr>
                <w:ilvl w:val="0"/>
                <w:numId w:val="1659"/>
              </w:numPr>
              <w:tabs>
                <w:tab w:val="left" w:pos="157"/>
              </w:tabs>
              <w:spacing w:line="237" w:lineRule="auto"/>
              <w:ind w:right="967" w:hanging="99"/>
              <w:rPr>
                <w:sz w:val="14"/>
              </w:rPr>
            </w:pPr>
            <w:r>
              <w:rPr>
                <w:color w:val="231F20"/>
                <w:sz w:val="14"/>
              </w:rPr>
              <w:t>Комбинована подела</w:t>
            </w:r>
            <w:r>
              <w:rPr>
                <w:color w:val="231F20"/>
                <w:spacing w:val="-29"/>
                <w:sz w:val="14"/>
              </w:rPr>
              <w:t xml:space="preserve"> </w:t>
            </w:r>
            <w:r>
              <w:rPr>
                <w:color w:val="231F20"/>
                <w:sz w:val="14"/>
              </w:rPr>
              <w:t>судова, расподељеност</w:t>
            </w:r>
            <w:r>
              <w:rPr>
                <w:color w:val="231F20"/>
                <w:spacing w:val="-1"/>
                <w:sz w:val="14"/>
              </w:rPr>
              <w:t xml:space="preserve"> </w:t>
            </w:r>
            <w:r>
              <w:rPr>
                <w:color w:val="231F20"/>
                <w:sz w:val="14"/>
              </w:rPr>
              <w:t>појма.</w:t>
            </w:r>
          </w:p>
          <w:p w:rsidR="00041039" w:rsidRDefault="001B26CB">
            <w:pPr>
              <w:pStyle w:val="TableParagraph"/>
              <w:numPr>
                <w:ilvl w:val="0"/>
                <w:numId w:val="1659"/>
              </w:numPr>
              <w:tabs>
                <w:tab w:val="left" w:pos="157"/>
              </w:tabs>
              <w:spacing w:line="155" w:lineRule="exact"/>
              <w:ind w:hanging="99"/>
              <w:rPr>
                <w:sz w:val="14"/>
              </w:rPr>
            </w:pPr>
            <w:r>
              <w:rPr>
                <w:color w:val="231F20"/>
                <w:sz w:val="14"/>
              </w:rPr>
              <w:t>Односи међу судовима (логички</w:t>
            </w:r>
            <w:r>
              <w:rPr>
                <w:color w:val="231F20"/>
                <w:spacing w:val="-11"/>
                <w:sz w:val="14"/>
              </w:rPr>
              <w:t xml:space="preserve"> </w:t>
            </w:r>
            <w:r>
              <w:rPr>
                <w:color w:val="231F20"/>
                <w:sz w:val="14"/>
              </w:rPr>
              <w:t>квадрат).</w:t>
            </w:r>
          </w:p>
          <w:p w:rsidR="00041039" w:rsidRDefault="001B26CB">
            <w:pPr>
              <w:pStyle w:val="TableParagraph"/>
              <w:numPr>
                <w:ilvl w:val="0"/>
                <w:numId w:val="1659"/>
              </w:numPr>
              <w:tabs>
                <w:tab w:val="left" w:pos="157"/>
              </w:tabs>
              <w:spacing w:line="160" w:lineRule="exact"/>
              <w:ind w:hanging="99"/>
              <w:rPr>
                <w:sz w:val="14"/>
              </w:rPr>
            </w:pPr>
            <w:r>
              <w:rPr>
                <w:color w:val="231F20"/>
                <w:sz w:val="14"/>
              </w:rPr>
              <w:t>Врсте</w:t>
            </w:r>
            <w:r>
              <w:rPr>
                <w:color w:val="231F20"/>
                <w:spacing w:val="-1"/>
                <w:sz w:val="14"/>
              </w:rPr>
              <w:t xml:space="preserve"> </w:t>
            </w:r>
            <w:r>
              <w:rPr>
                <w:color w:val="231F20"/>
                <w:sz w:val="14"/>
              </w:rPr>
              <w:t>закључивања.</w:t>
            </w:r>
          </w:p>
          <w:p w:rsidR="00041039" w:rsidRDefault="001B26CB">
            <w:pPr>
              <w:pStyle w:val="TableParagraph"/>
              <w:numPr>
                <w:ilvl w:val="0"/>
                <w:numId w:val="1659"/>
              </w:numPr>
              <w:tabs>
                <w:tab w:val="left" w:pos="157"/>
              </w:tabs>
              <w:spacing w:line="237" w:lineRule="auto"/>
              <w:ind w:right="364" w:hanging="99"/>
              <w:rPr>
                <w:sz w:val="14"/>
              </w:rPr>
            </w:pPr>
            <w:r>
              <w:rPr>
                <w:color w:val="231F20"/>
                <w:sz w:val="14"/>
              </w:rPr>
              <w:t>Непосредно закључивање</w:t>
            </w:r>
            <w:r>
              <w:rPr>
                <w:color w:val="231F20"/>
                <w:spacing w:val="-20"/>
                <w:sz w:val="14"/>
              </w:rPr>
              <w:t xml:space="preserve"> </w:t>
            </w:r>
            <w:r>
              <w:rPr>
                <w:color w:val="231F20"/>
                <w:sz w:val="14"/>
              </w:rPr>
              <w:t>­конверзија, обверзија, логички</w:t>
            </w:r>
            <w:r>
              <w:rPr>
                <w:color w:val="231F20"/>
                <w:spacing w:val="-3"/>
                <w:sz w:val="14"/>
              </w:rPr>
              <w:t xml:space="preserve"> квадрат.</w:t>
            </w:r>
          </w:p>
          <w:p w:rsidR="00041039" w:rsidRDefault="001B26CB">
            <w:pPr>
              <w:pStyle w:val="TableParagraph"/>
              <w:numPr>
                <w:ilvl w:val="0"/>
                <w:numId w:val="1659"/>
              </w:numPr>
              <w:tabs>
                <w:tab w:val="left" w:pos="157"/>
              </w:tabs>
              <w:spacing w:line="160" w:lineRule="exact"/>
              <w:ind w:right="528" w:hanging="99"/>
              <w:rPr>
                <w:sz w:val="14"/>
              </w:rPr>
            </w:pPr>
            <w:r>
              <w:rPr>
                <w:color w:val="231F20"/>
                <w:sz w:val="14"/>
              </w:rPr>
              <w:t>Посредно закључивање ­индукција, аналогија и</w:t>
            </w:r>
            <w:r>
              <w:rPr>
                <w:color w:val="231F20"/>
                <w:spacing w:val="-3"/>
                <w:sz w:val="14"/>
              </w:rPr>
              <w:t xml:space="preserve"> </w:t>
            </w:r>
            <w:r>
              <w:rPr>
                <w:color w:val="231F20"/>
                <w:sz w:val="14"/>
              </w:rPr>
              <w:t>дедукција.</w:t>
            </w:r>
          </w:p>
          <w:p w:rsidR="00041039" w:rsidRDefault="001B26CB">
            <w:pPr>
              <w:pStyle w:val="TableParagraph"/>
              <w:numPr>
                <w:ilvl w:val="0"/>
                <w:numId w:val="1659"/>
              </w:numPr>
              <w:tabs>
                <w:tab w:val="left" w:pos="157"/>
              </w:tabs>
              <w:spacing w:line="160" w:lineRule="exact"/>
              <w:ind w:right="259" w:hanging="99"/>
              <w:rPr>
                <w:sz w:val="14"/>
              </w:rPr>
            </w:pPr>
            <w:r>
              <w:rPr>
                <w:color w:val="231F20"/>
                <w:sz w:val="14"/>
              </w:rPr>
              <w:t>Фигуре</w:t>
            </w:r>
            <w:r>
              <w:rPr>
                <w:color w:val="231F20"/>
                <w:spacing w:val="-11"/>
                <w:sz w:val="14"/>
              </w:rPr>
              <w:t xml:space="preserve"> </w:t>
            </w:r>
            <w:r>
              <w:rPr>
                <w:color w:val="231F20"/>
                <w:sz w:val="14"/>
              </w:rPr>
              <w:t>категоричког</w:t>
            </w:r>
            <w:r>
              <w:rPr>
                <w:color w:val="231F20"/>
                <w:spacing w:val="-10"/>
                <w:sz w:val="14"/>
              </w:rPr>
              <w:t xml:space="preserve"> </w:t>
            </w:r>
            <w:r>
              <w:rPr>
                <w:color w:val="231F20"/>
                <w:sz w:val="14"/>
              </w:rPr>
              <w:t>силогизма,</w:t>
            </w:r>
            <w:r>
              <w:rPr>
                <w:color w:val="231F20"/>
                <w:spacing w:val="-10"/>
                <w:sz w:val="14"/>
              </w:rPr>
              <w:t xml:space="preserve"> </w:t>
            </w:r>
            <w:r>
              <w:rPr>
                <w:color w:val="231F20"/>
                <w:sz w:val="14"/>
              </w:rPr>
              <w:t>модуси категоричког</w:t>
            </w:r>
            <w:r>
              <w:rPr>
                <w:color w:val="231F20"/>
                <w:spacing w:val="-1"/>
                <w:sz w:val="14"/>
              </w:rPr>
              <w:t xml:space="preserve"> </w:t>
            </w:r>
            <w:r>
              <w:rPr>
                <w:color w:val="231F20"/>
                <w:sz w:val="14"/>
              </w:rPr>
              <w:t>силогизма.</w:t>
            </w:r>
          </w:p>
          <w:p w:rsidR="00041039" w:rsidRDefault="001B26CB">
            <w:pPr>
              <w:pStyle w:val="TableParagraph"/>
              <w:numPr>
                <w:ilvl w:val="0"/>
                <w:numId w:val="1659"/>
              </w:numPr>
              <w:tabs>
                <w:tab w:val="left" w:pos="157"/>
              </w:tabs>
              <w:spacing w:line="153" w:lineRule="exact"/>
              <w:ind w:hanging="99"/>
              <w:rPr>
                <w:sz w:val="14"/>
              </w:rPr>
            </w:pPr>
            <w:r>
              <w:rPr>
                <w:color w:val="231F20"/>
                <w:sz w:val="14"/>
              </w:rPr>
              <w:t>Хипотетички и дисјунктивни</w:t>
            </w:r>
            <w:r>
              <w:rPr>
                <w:color w:val="231F20"/>
                <w:spacing w:val="-6"/>
                <w:sz w:val="14"/>
              </w:rPr>
              <w:t xml:space="preserve"> </w:t>
            </w:r>
            <w:r>
              <w:rPr>
                <w:color w:val="231F20"/>
                <w:sz w:val="14"/>
              </w:rPr>
              <w:t>силогизам.</w:t>
            </w:r>
          </w:p>
          <w:p w:rsidR="00041039" w:rsidRDefault="001B26CB">
            <w:pPr>
              <w:pStyle w:val="TableParagraph"/>
              <w:numPr>
                <w:ilvl w:val="0"/>
                <w:numId w:val="1659"/>
              </w:numPr>
              <w:tabs>
                <w:tab w:val="left" w:pos="157"/>
              </w:tabs>
              <w:spacing w:line="160" w:lineRule="exact"/>
              <w:ind w:hanging="99"/>
              <w:rPr>
                <w:sz w:val="14"/>
              </w:rPr>
            </w:pPr>
            <w:r>
              <w:rPr>
                <w:color w:val="231F20"/>
                <w:sz w:val="14"/>
              </w:rPr>
              <w:t>Доказ.</w:t>
            </w:r>
          </w:p>
          <w:p w:rsidR="00041039" w:rsidRDefault="001B26CB">
            <w:pPr>
              <w:pStyle w:val="TableParagraph"/>
              <w:numPr>
                <w:ilvl w:val="0"/>
                <w:numId w:val="1659"/>
              </w:numPr>
              <w:tabs>
                <w:tab w:val="left" w:pos="157"/>
              </w:tabs>
              <w:spacing w:line="237" w:lineRule="auto"/>
              <w:ind w:right="438" w:hanging="99"/>
              <w:rPr>
                <w:sz w:val="14"/>
              </w:rPr>
            </w:pPr>
            <w:r>
              <w:rPr>
                <w:color w:val="231F20"/>
                <w:sz w:val="14"/>
              </w:rPr>
              <w:t>Примери индуктивног и</w:t>
            </w:r>
            <w:r>
              <w:rPr>
                <w:color w:val="231F20"/>
                <w:spacing w:val="-24"/>
                <w:sz w:val="14"/>
              </w:rPr>
              <w:t xml:space="preserve"> </w:t>
            </w:r>
            <w:r>
              <w:rPr>
                <w:color w:val="231F20"/>
                <w:sz w:val="14"/>
              </w:rPr>
              <w:t>дедуктивног закључивања у</w:t>
            </w:r>
            <w:r>
              <w:rPr>
                <w:color w:val="231F20"/>
                <w:spacing w:val="-2"/>
                <w:sz w:val="14"/>
              </w:rPr>
              <w:t xml:space="preserve"> </w:t>
            </w:r>
            <w:r>
              <w:rPr>
                <w:color w:val="231F20"/>
                <w:sz w:val="14"/>
              </w:rPr>
              <w:t>наукама.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Логичке грешке</w:t>
            </w:r>
          </w:p>
        </w:tc>
        <w:tc>
          <w:tcPr>
            <w:tcW w:w="1587" w:type="dxa"/>
          </w:tcPr>
          <w:p w:rsidR="00041039" w:rsidRDefault="001B26CB">
            <w:pPr>
              <w:pStyle w:val="TableParagraph"/>
              <w:numPr>
                <w:ilvl w:val="0"/>
                <w:numId w:val="1658"/>
              </w:numPr>
              <w:tabs>
                <w:tab w:val="left" w:pos="157"/>
              </w:tabs>
              <w:spacing w:before="8"/>
              <w:ind w:right="136"/>
              <w:rPr>
                <w:sz w:val="14"/>
              </w:rPr>
            </w:pPr>
            <w:r>
              <w:rPr>
                <w:color w:val="231F20"/>
                <w:sz w:val="14"/>
              </w:rPr>
              <w:t>Оспособљавање ученика за уочавање грешака у</w:t>
            </w:r>
            <w:r>
              <w:rPr>
                <w:color w:val="231F20"/>
                <w:spacing w:val="-8"/>
                <w:sz w:val="14"/>
              </w:rPr>
              <w:t xml:space="preserve"> </w:t>
            </w:r>
            <w:r>
              <w:rPr>
                <w:color w:val="231F20"/>
                <w:sz w:val="14"/>
              </w:rPr>
              <w:t>аргумента­ цији, закључивању и доказивању.</w:t>
            </w:r>
          </w:p>
        </w:tc>
        <w:tc>
          <w:tcPr>
            <w:tcW w:w="2551" w:type="dxa"/>
          </w:tcPr>
          <w:p w:rsidR="00041039" w:rsidRDefault="001B26CB">
            <w:pPr>
              <w:pStyle w:val="TableParagraph"/>
              <w:numPr>
                <w:ilvl w:val="0"/>
                <w:numId w:val="1657"/>
              </w:numPr>
              <w:tabs>
                <w:tab w:val="left" w:pos="157"/>
              </w:tabs>
              <w:spacing w:before="8"/>
              <w:ind w:right="58" w:hanging="99"/>
              <w:rPr>
                <w:sz w:val="14"/>
              </w:rPr>
            </w:pPr>
            <w:r>
              <w:rPr>
                <w:color w:val="231F20"/>
                <w:sz w:val="14"/>
              </w:rPr>
              <w:t xml:space="preserve">разликује случајне </w:t>
            </w:r>
            <w:r>
              <w:rPr>
                <w:color w:val="231F20"/>
                <w:spacing w:val="-3"/>
                <w:sz w:val="14"/>
              </w:rPr>
              <w:t xml:space="preserve">од </w:t>
            </w:r>
            <w:r>
              <w:rPr>
                <w:color w:val="231F20"/>
                <w:sz w:val="14"/>
              </w:rPr>
              <w:t>намерних логич­ ких</w:t>
            </w:r>
            <w:r>
              <w:rPr>
                <w:color w:val="231F20"/>
                <w:spacing w:val="-1"/>
                <w:sz w:val="14"/>
              </w:rPr>
              <w:t xml:space="preserve"> </w:t>
            </w:r>
            <w:r>
              <w:rPr>
                <w:color w:val="231F20"/>
                <w:sz w:val="14"/>
              </w:rPr>
              <w:t>грешака;</w:t>
            </w:r>
          </w:p>
          <w:p w:rsidR="00041039" w:rsidRDefault="001B26CB">
            <w:pPr>
              <w:pStyle w:val="TableParagraph"/>
              <w:numPr>
                <w:ilvl w:val="0"/>
                <w:numId w:val="1657"/>
              </w:numPr>
              <w:tabs>
                <w:tab w:val="left" w:pos="157"/>
              </w:tabs>
              <w:spacing w:line="153" w:lineRule="exact"/>
              <w:ind w:hanging="99"/>
              <w:rPr>
                <w:sz w:val="14"/>
              </w:rPr>
            </w:pPr>
            <w:r>
              <w:rPr>
                <w:color w:val="231F20"/>
                <w:sz w:val="14"/>
              </w:rPr>
              <w:t>примењује форме закључка и</w:t>
            </w:r>
            <w:r>
              <w:rPr>
                <w:color w:val="231F20"/>
                <w:spacing w:val="-12"/>
                <w:sz w:val="14"/>
              </w:rPr>
              <w:t xml:space="preserve"> </w:t>
            </w:r>
            <w:r>
              <w:rPr>
                <w:color w:val="231F20"/>
                <w:sz w:val="14"/>
              </w:rPr>
              <w:t>доказа;</w:t>
            </w:r>
          </w:p>
          <w:p w:rsidR="00041039" w:rsidRDefault="001B26CB">
            <w:pPr>
              <w:pStyle w:val="TableParagraph"/>
              <w:numPr>
                <w:ilvl w:val="0"/>
                <w:numId w:val="1657"/>
              </w:numPr>
              <w:tabs>
                <w:tab w:val="left" w:pos="157"/>
              </w:tabs>
              <w:spacing w:line="237" w:lineRule="auto"/>
              <w:ind w:right="118" w:hanging="99"/>
              <w:rPr>
                <w:sz w:val="14"/>
              </w:rPr>
            </w:pPr>
            <w:r>
              <w:rPr>
                <w:color w:val="231F20"/>
                <w:sz w:val="14"/>
              </w:rPr>
              <w:t>препознаје</w:t>
            </w:r>
            <w:r>
              <w:rPr>
                <w:color w:val="231F20"/>
                <w:spacing w:val="-8"/>
                <w:sz w:val="14"/>
              </w:rPr>
              <w:t xml:space="preserve"> </w:t>
            </w:r>
            <w:r>
              <w:rPr>
                <w:color w:val="231F20"/>
                <w:sz w:val="14"/>
              </w:rPr>
              <w:t>и</w:t>
            </w:r>
            <w:r>
              <w:rPr>
                <w:color w:val="231F20"/>
                <w:spacing w:val="-8"/>
                <w:sz w:val="14"/>
              </w:rPr>
              <w:t xml:space="preserve"> </w:t>
            </w:r>
            <w:r>
              <w:rPr>
                <w:color w:val="231F20"/>
                <w:sz w:val="14"/>
              </w:rPr>
              <w:t>именује</w:t>
            </w:r>
            <w:r>
              <w:rPr>
                <w:color w:val="231F20"/>
                <w:spacing w:val="-8"/>
                <w:sz w:val="14"/>
              </w:rPr>
              <w:t xml:space="preserve"> </w:t>
            </w:r>
            <w:r>
              <w:rPr>
                <w:color w:val="231F20"/>
                <w:sz w:val="14"/>
              </w:rPr>
              <w:t>логичке</w:t>
            </w:r>
            <w:r>
              <w:rPr>
                <w:color w:val="231F20"/>
                <w:spacing w:val="-7"/>
                <w:sz w:val="14"/>
              </w:rPr>
              <w:t xml:space="preserve"> </w:t>
            </w:r>
            <w:r>
              <w:rPr>
                <w:color w:val="231F20"/>
                <w:sz w:val="14"/>
              </w:rPr>
              <w:t>грешке: увођење четвртог појма у силогизам, не расподељенпојам, замена теза, argumentum ad hominem, post hoc ergo propter hoc;</w:t>
            </w:r>
          </w:p>
        </w:tc>
        <w:tc>
          <w:tcPr>
            <w:tcW w:w="2834" w:type="dxa"/>
          </w:tcPr>
          <w:p w:rsidR="00041039" w:rsidRDefault="001B26CB">
            <w:pPr>
              <w:pStyle w:val="TableParagraph"/>
              <w:numPr>
                <w:ilvl w:val="0"/>
                <w:numId w:val="1656"/>
              </w:numPr>
              <w:tabs>
                <w:tab w:val="left" w:pos="157"/>
              </w:tabs>
              <w:spacing w:before="8" w:line="166" w:lineRule="exact"/>
              <w:ind w:hanging="99"/>
              <w:rPr>
                <w:sz w:val="14"/>
              </w:rPr>
            </w:pPr>
            <w:r>
              <w:rPr>
                <w:color w:val="231F20"/>
                <w:sz w:val="14"/>
              </w:rPr>
              <w:t>Паралогизми и</w:t>
            </w:r>
            <w:r>
              <w:rPr>
                <w:color w:val="231F20"/>
                <w:spacing w:val="-2"/>
                <w:sz w:val="14"/>
              </w:rPr>
              <w:t xml:space="preserve"> </w:t>
            </w:r>
            <w:r>
              <w:rPr>
                <w:color w:val="231F20"/>
                <w:sz w:val="14"/>
              </w:rPr>
              <w:t>софизми.</w:t>
            </w:r>
          </w:p>
          <w:p w:rsidR="00041039" w:rsidRDefault="001B26CB">
            <w:pPr>
              <w:pStyle w:val="TableParagraph"/>
              <w:numPr>
                <w:ilvl w:val="0"/>
                <w:numId w:val="1656"/>
              </w:numPr>
              <w:tabs>
                <w:tab w:val="left" w:pos="157"/>
              </w:tabs>
              <w:spacing w:line="160"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pacing w:val="-3"/>
                <w:sz w:val="14"/>
              </w:rPr>
              <w:t>закључку.</w:t>
            </w:r>
          </w:p>
          <w:p w:rsidR="00041039" w:rsidRDefault="001B26CB">
            <w:pPr>
              <w:pStyle w:val="TableParagraph"/>
              <w:numPr>
                <w:ilvl w:val="0"/>
                <w:numId w:val="1656"/>
              </w:numPr>
              <w:tabs>
                <w:tab w:val="left" w:pos="157"/>
              </w:tabs>
              <w:spacing w:line="160"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pacing w:val="-3"/>
                <w:sz w:val="14"/>
              </w:rPr>
              <w:t>доказу.</w:t>
            </w:r>
          </w:p>
          <w:p w:rsidR="00041039" w:rsidRDefault="001B26CB">
            <w:pPr>
              <w:pStyle w:val="TableParagraph"/>
              <w:numPr>
                <w:ilvl w:val="0"/>
                <w:numId w:val="1656"/>
              </w:numPr>
              <w:tabs>
                <w:tab w:val="left" w:pos="157"/>
              </w:tabs>
              <w:spacing w:line="166"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z w:val="14"/>
              </w:rPr>
              <w:t>аргументацији.</w:t>
            </w:r>
          </w:p>
        </w:tc>
        <w:tc>
          <w:tcPr>
            <w:tcW w:w="2267" w:type="dxa"/>
            <w:vMerge w:val="restart"/>
          </w:tcPr>
          <w:p w:rsidR="00041039" w:rsidRDefault="00041039">
            <w:pPr>
              <w:pStyle w:val="TableParagraph"/>
              <w:ind w:left="0"/>
              <w:rPr>
                <w:sz w:val="14"/>
              </w:rPr>
            </w:pPr>
          </w:p>
        </w:tc>
      </w:tr>
      <w:tr w:rsidR="00041039">
        <w:trPr>
          <w:trHeight w:val="1000"/>
        </w:trPr>
        <w:tc>
          <w:tcPr>
            <w:tcW w:w="1304" w:type="dxa"/>
          </w:tcPr>
          <w:p w:rsidR="00041039" w:rsidRDefault="001B26CB">
            <w:pPr>
              <w:pStyle w:val="TableParagraph"/>
              <w:spacing w:before="18"/>
              <w:ind w:left="56" w:right="174"/>
              <w:rPr>
                <w:sz w:val="14"/>
              </w:rPr>
            </w:pPr>
            <w:r>
              <w:rPr>
                <w:color w:val="231F20"/>
                <w:sz w:val="14"/>
              </w:rPr>
              <w:t>Појам и значај етике</w:t>
            </w:r>
          </w:p>
        </w:tc>
        <w:tc>
          <w:tcPr>
            <w:tcW w:w="1587" w:type="dxa"/>
          </w:tcPr>
          <w:p w:rsidR="00041039" w:rsidRDefault="001B26CB">
            <w:pPr>
              <w:pStyle w:val="TableParagraph"/>
              <w:numPr>
                <w:ilvl w:val="0"/>
                <w:numId w:val="1655"/>
              </w:numPr>
              <w:tabs>
                <w:tab w:val="left" w:pos="157"/>
              </w:tabs>
              <w:spacing w:before="8"/>
              <w:ind w:right="50"/>
              <w:rPr>
                <w:sz w:val="14"/>
              </w:rPr>
            </w:pPr>
            <w:r>
              <w:rPr>
                <w:color w:val="231F20"/>
                <w:sz w:val="14"/>
              </w:rPr>
              <w:t xml:space="preserve">Развој сазнања о појму и предмету етике, зна­ чају моралних норми за живот појединца у </w:t>
            </w:r>
            <w:r>
              <w:rPr>
                <w:color w:val="231F20"/>
                <w:spacing w:val="-3"/>
                <w:sz w:val="14"/>
              </w:rPr>
              <w:t>друштву.</w:t>
            </w:r>
          </w:p>
        </w:tc>
        <w:tc>
          <w:tcPr>
            <w:tcW w:w="2551" w:type="dxa"/>
          </w:tcPr>
          <w:p w:rsidR="00041039" w:rsidRDefault="001B26CB">
            <w:pPr>
              <w:pStyle w:val="TableParagraph"/>
              <w:numPr>
                <w:ilvl w:val="0"/>
                <w:numId w:val="1654"/>
              </w:numPr>
              <w:tabs>
                <w:tab w:val="left" w:pos="157"/>
              </w:tabs>
              <w:spacing w:before="8"/>
              <w:ind w:right="50" w:hanging="99"/>
              <w:jc w:val="both"/>
              <w:rPr>
                <w:sz w:val="14"/>
              </w:rPr>
            </w:pPr>
            <w:r>
              <w:rPr>
                <w:color w:val="231F20"/>
                <w:sz w:val="14"/>
              </w:rPr>
              <w:t>набраја правила (норме) из</w:t>
            </w:r>
            <w:r>
              <w:rPr>
                <w:color w:val="231F20"/>
                <w:spacing w:val="-17"/>
                <w:sz w:val="14"/>
              </w:rPr>
              <w:t xml:space="preserve"> </w:t>
            </w:r>
            <w:r>
              <w:rPr>
                <w:color w:val="231F20"/>
                <w:sz w:val="14"/>
              </w:rPr>
              <w:t>различитих сфера</w:t>
            </w:r>
            <w:r>
              <w:rPr>
                <w:color w:val="231F20"/>
                <w:spacing w:val="-1"/>
                <w:sz w:val="14"/>
              </w:rPr>
              <w:t xml:space="preserve"> </w:t>
            </w:r>
            <w:r>
              <w:rPr>
                <w:color w:val="231F20"/>
                <w:sz w:val="14"/>
              </w:rPr>
              <w:t>живота;</w:t>
            </w:r>
          </w:p>
          <w:p w:rsidR="00041039" w:rsidRDefault="001B26CB">
            <w:pPr>
              <w:pStyle w:val="TableParagraph"/>
              <w:numPr>
                <w:ilvl w:val="0"/>
                <w:numId w:val="1654"/>
              </w:numPr>
              <w:tabs>
                <w:tab w:val="left" w:pos="157"/>
              </w:tabs>
              <w:spacing w:before="1" w:line="160" w:lineRule="exact"/>
              <w:ind w:right="71" w:hanging="99"/>
              <w:jc w:val="both"/>
              <w:rPr>
                <w:sz w:val="14"/>
              </w:rPr>
            </w:pPr>
            <w:r>
              <w:rPr>
                <w:color w:val="231F20"/>
                <w:sz w:val="14"/>
              </w:rPr>
              <w:t>издваја правила која слободно</w:t>
            </w:r>
            <w:r>
              <w:rPr>
                <w:color w:val="231F20"/>
                <w:spacing w:val="-27"/>
                <w:sz w:val="14"/>
              </w:rPr>
              <w:t xml:space="preserve"> </w:t>
            </w:r>
            <w:r>
              <w:rPr>
                <w:color w:val="231F20"/>
                <w:sz w:val="14"/>
              </w:rPr>
              <w:t xml:space="preserve">прихва­ тамо и разликује их </w:t>
            </w:r>
            <w:r>
              <w:rPr>
                <w:color w:val="231F20"/>
                <w:spacing w:val="-3"/>
                <w:sz w:val="14"/>
              </w:rPr>
              <w:t xml:space="preserve">од </w:t>
            </w:r>
            <w:r>
              <w:rPr>
                <w:color w:val="231F20"/>
                <w:sz w:val="14"/>
              </w:rPr>
              <w:t>оних која</w:t>
            </w:r>
            <w:r>
              <w:rPr>
                <w:color w:val="231F20"/>
                <w:spacing w:val="-10"/>
                <w:sz w:val="14"/>
              </w:rPr>
              <w:t xml:space="preserve"> </w:t>
            </w:r>
            <w:r>
              <w:rPr>
                <w:color w:val="231F20"/>
                <w:sz w:val="14"/>
              </w:rPr>
              <w:t>имају спољашње</w:t>
            </w:r>
            <w:r>
              <w:rPr>
                <w:color w:val="231F20"/>
                <w:spacing w:val="-1"/>
                <w:sz w:val="14"/>
              </w:rPr>
              <w:t xml:space="preserve"> </w:t>
            </w:r>
            <w:r>
              <w:rPr>
                <w:color w:val="231F20"/>
                <w:sz w:val="14"/>
              </w:rPr>
              <w:t>порекло;</w:t>
            </w:r>
          </w:p>
          <w:p w:rsidR="00041039" w:rsidRDefault="001B26CB">
            <w:pPr>
              <w:pStyle w:val="TableParagraph"/>
              <w:numPr>
                <w:ilvl w:val="0"/>
                <w:numId w:val="1654"/>
              </w:numPr>
              <w:tabs>
                <w:tab w:val="left" w:pos="157"/>
              </w:tabs>
              <w:spacing w:line="159" w:lineRule="exact"/>
              <w:ind w:hanging="99"/>
              <w:jc w:val="both"/>
              <w:rPr>
                <w:sz w:val="14"/>
              </w:rPr>
            </w:pPr>
            <w:r>
              <w:rPr>
                <w:color w:val="231F20"/>
                <w:sz w:val="14"/>
              </w:rPr>
              <w:t>дефинише предмет</w:t>
            </w:r>
            <w:r>
              <w:rPr>
                <w:color w:val="231F20"/>
                <w:spacing w:val="-1"/>
                <w:sz w:val="14"/>
              </w:rPr>
              <w:t xml:space="preserve"> </w:t>
            </w:r>
            <w:r>
              <w:rPr>
                <w:color w:val="231F20"/>
                <w:sz w:val="14"/>
              </w:rPr>
              <w:t>етике;</w:t>
            </w:r>
          </w:p>
        </w:tc>
        <w:tc>
          <w:tcPr>
            <w:tcW w:w="2834" w:type="dxa"/>
          </w:tcPr>
          <w:p w:rsidR="00041039" w:rsidRDefault="001B26CB">
            <w:pPr>
              <w:pStyle w:val="TableParagraph"/>
              <w:numPr>
                <w:ilvl w:val="0"/>
                <w:numId w:val="1653"/>
              </w:numPr>
              <w:tabs>
                <w:tab w:val="left" w:pos="157"/>
              </w:tabs>
              <w:spacing w:before="8" w:line="166" w:lineRule="exact"/>
              <w:ind w:hanging="99"/>
              <w:rPr>
                <w:sz w:val="14"/>
              </w:rPr>
            </w:pPr>
            <w:r>
              <w:rPr>
                <w:color w:val="231F20"/>
                <w:sz w:val="14"/>
              </w:rPr>
              <w:t>Настанак и предмет</w:t>
            </w:r>
            <w:r>
              <w:rPr>
                <w:color w:val="231F20"/>
                <w:spacing w:val="-2"/>
                <w:sz w:val="14"/>
              </w:rPr>
              <w:t xml:space="preserve"> </w:t>
            </w:r>
            <w:r>
              <w:rPr>
                <w:color w:val="231F20"/>
                <w:sz w:val="14"/>
              </w:rPr>
              <w:t>етике.</w:t>
            </w:r>
          </w:p>
          <w:p w:rsidR="00041039" w:rsidRDefault="001B26CB">
            <w:pPr>
              <w:pStyle w:val="TableParagraph"/>
              <w:numPr>
                <w:ilvl w:val="0"/>
                <w:numId w:val="1653"/>
              </w:numPr>
              <w:tabs>
                <w:tab w:val="left" w:pos="157"/>
              </w:tabs>
              <w:spacing w:line="160" w:lineRule="exact"/>
              <w:ind w:hanging="99"/>
              <w:rPr>
                <w:sz w:val="14"/>
              </w:rPr>
            </w:pPr>
            <w:r>
              <w:rPr>
                <w:color w:val="231F20"/>
                <w:sz w:val="14"/>
              </w:rPr>
              <w:t>Појам норме и појам</w:t>
            </w:r>
            <w:r>
              <w:rPr>
                <w:color w:val="231F20"/>
                <w:spacing w:val="-5"/>
                <w:sz w:val="14"/>
              </w:rPr>
              <w:t xml:space="preserve"> </w:t>
            </w:r>
            <w:r>
              <w:rPr>
                <w:color w:val="231F20"/>
                <w:sz w:val="14"/>
              </w:rPr>
              <w:t>морала.</w:t>
            </w:r>
          </w:p>
          <w:p w:rsidR="00041039" w:rsidRDefault="001B26CB">
            <w:pPr>
              <w:pStyle w:val="TableParagraph"/>
              <w:numPr>
                <w:ilvl w:val="0"/>
                <w:numId w:val="1653"/>
              </w:numPr>
              <w:tabs>
                <w:tab w:val="left" w:pos="157"/>
              </w:tabs>
              <w:spacing w:line="237" w:lineRule="auto"/>
              <w:ind w:right="430" w:hanging="99"/>
              <w:rPr>
                <w:sz w:val="14"/>
              </w:rPr>
            </w:pPr>
            <w:r>
              <w:rPr>
                <w:color w:val="231F20"/>
                <w:sz w:val="14"/>
              </w:rPr>
              <w:t>Разлика између обичајних, правних</w:t>
            </w:r>
            <w:r>
              <w:rPr>
                <w:color w:val="231F20"/>
                <w:spacing w:val="-16"/>
                <w:sz w:val="14"/>
              </w:rPr>
              <w:t xml:space="preserve"> </w:t>
            </w:r>
            <w:r>
              <w:rPr>
                <w:color w:val="231F20"/>
                <w:sz w:val="14"/>
              </w:rPr>
              <w:t>и етичких</w:t>
            </w:r>
            <w:r>
              <w:rPr>
                <w:color w:val="231F20"/>
                <w:spacing w:val="-1"/>
                <w:sz w:val="14"/>
              </w:rPr>
              <w:t xml:space="preserve"> </w:t>
            </w:r>
            <w:r>
              <w:rPr>
                <w:color w:val="231F20"/>
                <w:sz w:val="14"/>
              </w:rPr>
              <w:t>норми.</w:t>
            </w:r>
          </w:p>
        </w:tc>
        <w:tc>
          <w:tcPr>
            <w:tcW w:w="2267" w:type="dxa"/>
            <w:vMerge/>
            <w:tcBorders>
              <w:top w:val="nil"/>
            </w:tcBorders>
          </w:tcPr>
          <w:p w:rsidR="00041039" w:rsidRDefault="00041039">
            <w:pPr>
              <w:rPr>
                <w:sz w:val="2"/>
                <w:szCs w:val="2"/>
              </w:rPr>
            </w:pPr>
          </w:p>
        </w:tc>
      </w:tr>
      <w:tr w:rsidR="00041039">
        <w:trPr>
          <w:trHeight w:val="2440"/>
        </w:trPr>
        <w:tc>
          <w:tcPr>
            <w:tcW w:w="1304" w:type="dxa"/>
          </w:tcPr>
          <w:p w:rsidR="00041039" w:rsidRDefault="001B26CB">
            <w:pPr>
              <w:pStyle w:val="TableParagraph"/>
              <w:spacing w:before="18"/>
              <w:ind w:left="56" w:right="37"/>
              <w:rPr>
                <w:sz w:val="14"/>
              </w:rPr>
            </w:pPr>
            <w:r>
              <w:rPr>
                <w:color w:val="231F20"/>
                <w:sz w:val="14"/>
              </w:rPr>
              <w:t>Лични, идентитет, слобода и одговор­ ност</w:t>
            </w:r>
          </w:p>
        </w:tc>
        <w:tc>
          <w:tcPr>
            <w:tcW w:w="1587" w:type="dxa"/>
          </w:tcPr>
          <w:p w:rsidR="00041039" w:rsidRDefault="001B26CB">
            <w:pPr>
              <w:pStyle w:val="TableParagraph"/>
              <w:numPr>
                <w:ilvl w:val="0"/>
                <w:numId w:val="1652"/>
              </w:numPr>
              <w:tabs>
                <w:tab w:val="left" w:pos="157"/>
              </w:tabs>
              <w:spacing w:before="8"/>
              <w:ind w:right="62"/>
              <w:rPr>
                <w:sz w:val="14"/>
              </w:rPr>
            </w:pPr>
            <w:r>
              <w:rPr>
                <w:color w:val="231F20"/>
                <w:sz w:val="14"/>
              </w:rPr>
              <w:t xml:space="preserve">Развој сазнања о иден­ </w:t>
            </w:r>
            <w:r>
              <w:rPr>
                <w:color w:val="231F20"/>
                <w:spacing w:val="-3"/>
                <w:sz w:val="14"/>
              </w:rPr>
              <w:t xml:space="preserve">титету, </w:t>
            </w:r>
            <w:r>
              <w:rPr>
                <w:color w:val="231F20"/>
                <w:sz w:val="14"/>
              </w:rPr>
              <w:t>формирању идентитета и о флуид­ ности идентитетапре­ косоцијалних</w:t>
            </w:r>
            <w:r>
              <w:rPr>
                <w:color w:val="231F20"/>
                <w:spacing w:val="-5"/>
                <w:sz w:val="14"/>
              </w:rPr>
              <w:t xml:space="preserve"> </w:t>
            </w:r>
            <w:r>
              <w:rPr>
                <w:color w:val="231F20"/>
                <w:sz w:val="14"/>
              </w:rPr>
              <w:t>улога.</w:t>
            </w:r>
          </w:p>
          <w:p w:rsidR="00041039" w:rsidRDefault="001B26CB">
            <w:pPr>
              <w:pStyle w:val="TableParagraph"/>
              <w:numPr>
                <w:ilvl w:val="0"/>
                <w:numId w:val="1652"/>
              </w:numPr>
              <w:tabs>
                <w:tab w:val="left" w:pos="157"/>
              </w:tabs>
              <w:spacing w:line="155" w:lineRule="exact"/>
              <w:rPr>
                <w:sz w:val="14"/>
              </w:rPr>
            </w:pPr>
            <w:r>
              <w:rPr>
                <w:color w:val="231F20"/>
                <w:sz w:val="14"/>
              </w:rPr>
              <w:t>Развој способности</w:t>
            </w:r>
          </w:p>
          <w:p w:rsidR="00041039" w:rsidRDefault="001B26CB">
            <w:pPr>
              <w:pStyle w:val="TableParagraph"/>
              <w:ind w:right="21"/>
              <w:rPr>
                <w:sz w:val="14"/>
              </w:rPr>
            </w:pPr>
            <w:r>
              <w:rPr>
                <w:color w:val="231F20"/>
                <w:sz w:val="14"/>
              </w:rPr>
              <w:t>идентификовања раз­ ликовања појмова пол и род и утицај културе на формирањепојмова­ пола и рода (разлике у културама).</w:t>
            </w:r>
          </w:p>
          <w:p w:rsidR="00041039" w:rsidRDefault="001B26CB">
            <w:pPr>
              <w:pStyle w:val="TableParagraph"/>
              <w:numPr>
                <w:ilvl w:val="0"/>
                <w:numId w:val="1652"/>
              </w:numPr>
              <w:tabs>
                <w:tab w:val="left" w:pos="157"/>
              </w:tabs>
              <w:spacing w:line="155" w:lineRule="exact"/>
              <w:rPr>
                <w:sz w:val="14"/>
              </w:rPr>
            </w:pPr>
            <w:r>
              <w:rPr>
                <w:color w:val="231F20"/>
                <w:sz w:val="14"/>
              </w:rPr>
              <w:t>Формирање става</w:t>
            </w:r>
            <w:r>
              <w:rPr>
                <w:color w:val="231F20"/>
                <w:spacing w:val="-2"/>
                <w:sz w:val="14"/>
              </w:rPr>
              <w:t xml:space="preserve"> </w:t>
            </w:r>
            <w:r>
              <w:rPr>
                <w:color w:val="231F20"/>
                <w:sz w:val="14"/>
              </w:rPr>
              <w:t>о</w:t>
            </w:r>
          </w:p>
          <w:p w:rsidR="00041039" w:rsidRDefault="001B26CB">
            <w:pPr>
              <w:pStyle w:val="TableParagraph"/>
              <w:ind w:right="15"/>
              <w:rPr>
                <w:sz w:val="14"/>
              </w:rPr>
            </w:pPr>
            <w:r>
              <w:rPr>
                <w:color w:val="231F20"/>
                <w:sz w:val="14"/>
              </w:rPr>
              <w:t>улози медија у креи­ рању идентитета.</w:t>
            </w:r>
          </w:p>
        </w:tc>
        <w:tc>
          <w:tcPr>
            <w:tcW w:w="2551" w:type="dxa"/>
          </w:tcPr>
          <w:p w:rsidR="00041039" w:rsidRDefault="001B26CB">
            <w:pPr>
              <w:pStyle w:val="TableParagraph"/>
              <w:numPr>
                <w:ilvl w:val="0"/>
                <w:numId w:val="1651"/>
              </w:numPr>
              <w:tabs>
                <w:tab w:val="left" w:pos="157"/>
              </w:tabs>
              <w:spacing w:before="9"/>
              <w:ind w:right="77" w:hanging="99"/>
              <w:rPr>
                <w:sz w:val="14"/>
              </w:rPr>
            </w:pPr>
            <w:r>
              <w:rPr>
                <w:color w:val="231F20"/>
                <w:sz w:val="14"/>
              </w:rPr>
              <w:t xml:space="preserve">набраја </w:t>
            </w:r>
            <w:r>
              <w:rPr>
                <w:color w:val="231F20"/>
                <w:spacing w:val="-3"/>
                <w:sz w:val="14"/>
              </w:rPr>
              <w:t xml:space="preserve">како </w:t>
            </w:r>
            <w:r>
              <w:rPr>
                <w:color w:val="231F20"/>
                <w:sz w:val="14"/>
              </w:rPr>
              <w:t>се све манифестује лични идентитет;</w:t>
            </w:r>
          </w:p>
          <w:p w:rsidR="00041039" w:rsidRDefault="001B26CB">
            <w:pPr>
              <w:pStyle w:val="TableParagraph"/>
              <w:numPr>
                <w:ilvl w:val="0"/>
                <w:numId w:val="1651"/>
              </w:numPr>
              <w:tabs>
                <w:tab w:val="left" w:pos="157"/>
              </w:tabs>
              <w:spacing w:line="160" w:lineRule="exact"/>
              <w:ind w:right="44" w:hanging="99"/>
              <w:rPr>
                <w:sz w:val="14"/>
              </w:rPr>
            </w:pPr>
            <w:r>
              <w:rPr>
                <w:color w:val="231F20"/>
                <w:sz w:val="14"/>
              </w:rPr>
              <w:t>разликује утицаје који формирају лични</w:t>
            </w:r>
            <w:r>
              <w:rPr>
                <w:color w:val="231F20"/>
                <w:spacing w:val="-6"/>
                <w:sz w:val="14"/>
              </w:rPr>
              <w:t xml:space="preserve"> </w:t>
            </w:r>
            <w:r>
              <w:rPr>
                <w:color w:val="231F20"/>
                <w:sz w:val="14"/>
              </w:rPr>
              <w:t>идентитет</w:t>
            </w:r>
            <w:r>
              <w:rPr>
                <w:color w:val="231F20"/>
                <w:spacing w:val="-6"/>
                <w:sz w:val="14"/>
              </w:rPr>
              <w:t xml:space="preserve"> </w:t>
            </w:r>
            <w:r>
              <w:rPr>
                <w:color w:val="231F20"/>
                <w:sz w:val="14"/>
              </w:rPr>
              <w:t>(разликује</w:t>
            </w:r>
            <w:r>
              <w:rPr>
                <w:color w:val="231F20"/>
                <w:spacing w:val="-6"/>
                <w:sz w:val="14"/>
              </w:rPr>
              <w:t xml:space="preserve"> </w:t>
            </w:r>
            <w:r>
              <w:rPr>
                <w:color w:val="231F20"/>
                <w:sz w:val="14"/>
              </w:rPr>
              <w:t>род</w:t>
            </w:r>
            <w:r>
              <w:rPr>
                <w:color w:val="231F20"/>
                <w:spacing w:val="-6"/>
                <w:sz w:val="14"/>
              </w:rPr>
              <w:t xml:space="preserve"> </w:t>
            </w:r>
            <w:r>
              <w:rPr>
                <w:color w:val="231F20"/>
                <w:sz w:val="14"/>
              </w:rPr>
              <w:t>и</w:t>
            </w:r>
            <w:r>
              <w:rPr>
                <w:color w:val="231F20"/>
                <w:spacing w:val="-6"/>
                <w:sz w:val="14"/>
              </w:rPr>
              <w:t xml:space="preserve"> </w:t>
            </w:r>
            <w:r>
              <w:rPr>
                <w:color w:val="231F20"/>
                <w:sz w:val="14"/>
              </w:rPr>
              <w:t>пол);</w:t>
            </w:r>
          </w:p>
          <w:p w:rsidR="00041039" w:rsidRDefault="001B26CB">
            <w:pPr>
              <w:pStyle w:val="TableParagraph"/>
              <w:numPr>
                <w:ilvl w:val="0"/>
                <w:numId w:val="1651"/>
              </w:numPr>
              <w:tabs>
                <w:tab w:val="left" w:pos="157"/>
              </w:tabs>
              <w:spacing w:line="160" w:lineRule="exact"/>
              <w:ind w:right="208" w:hanging="99"/>
              <w:rPr>
                <w:sz w:val="14"/>
              </w:rPr>
            </w:pPr>
            <w:r>
              <w:rPr>
                <w:color w:val="231F20"/>
                <w:sz w:val="14"/>
              </w:rPr>
              <w:t xml:space="preserve">увиђа </w:t>
            </w:r>
            <w:r>
              <w:rPr>
                <w:color w:val="231F20"/>
                <w:spacing w:val="-3"/>
                <w:sz w:val="14"/>
              </w:rPr>
              <w:t xml:space="preserve">колика </w:t>
            </w:r>
            <w:r>
              <w:rPr>
                <w:color w:val="231F20"/>
                <w:sz w:val="14"/>
              </w:rPr>
              <w:t>је моћ визуелног иден­ титета;</w:t>
            </w:r>
          </w:p>
          <w:p w:rsidR="00041039" w:rsidRDefault="001B26CB">
            <w:pPr>
              <w:pStyle w:val="TableParagraph"/>
              <w:numPr>
                <w:ilvl w:val="0"/>
                <w:numId w:val="1651"/>
              </w:numPr>
              <w:tabs>
                <w:tab w:val="left" w:pos="157"/>
              </w:tabs>
              <w:spacing w:line="160" w:lineRule="exact"/>
              <w:ind w:right="110" w:hanging="99"/>
              <w:rPr>
                <w:sz w:val="14"/>
              </w:rPr>
            </w:pPr>
            <w:r>
              <w:rPr>
                <w:color w:val="231F20"/>
                <w:sz w:val="14"/>
              </w:rPr>
              <w:t>препознаје утицај медија на</w:t>
            </w:r>
            <w:r>
              <w:rPr>
                <w:color w:val="231F20"/>
                <w:spacing w:val="-13"/>
                <w:sz w:val="14"/>
              </w:rPr>
              <w:t xml:space="preserve"> </w:t>
            </w:r>
            <w:r>
              <w:rPr>
                <w:color w:val="231F20"/>
                <w:sz w:val="14"/>
              </w:rPr>
              <w:t>креирање визуелног</w:t>
            </w:r>
            <w:r>
              <w:rPr>
                <w:color w:val="231F20"/>
                <w:spacing w:val="-1"/>
                <w:sz w:val="14"/>
              </w:rPr>
              <w:t xml:space="preserve"> </w:t>
            </w:r>
            <w:r>
              <w:rPr>
                <w:color w:val="231F20"/>
                <w:sz w:val="14"/>
              </w:rPr>
              <w:t>иденти</w:t>
            </w:r>
            <w:r>
              <w:rPr>
                <w:color w:val="231F20"/>
                <w:sz w:val="14"/>
              </w:rPr>
              <w:t>тета;</w:t>
            </w:r>
          </w:p>
          <w:p w:rsidR="00041039" w:rsidRDefault="001B26CB">
            <w:pPr>
              <w:pStyle w:val="TableParagraph"/>
              <w:numPr>
                <w:ilvl w:val="0"/>
                <w:numId w:val="1651"/>
              </w:numPr>
              <w:tabs>
                <w:tab w:val="left" w:pos="157"/>
              </w:tabs>
              <w:spacing w:line="160" w:lineRule="exact"/>
              <w:ind w:right="94" w:hanging="99"/>
              <w:rPr>
                <w:sz w:val="14"/>
              </w:rPr>
            </w:pPr>
            <w:r>
              <w:rPr>
                <w:color w:val="231F20"/>
                <w:sz w:val="14"/>
              </w:rPr>
              <w:t>уочава разлику између модних и</w:t>
            </w:r>
            <w:r>
              <w:rPr>
                <w:color w:val="231F20"/>
                <w:spacing w:val="-21"/>
                <w:sz w:val="14"/>
              </w:rPr>
              <w:t xml:space="preserve"> </w:t>
            </w:r>
            <w:r>
              <w:rPr>
                <w:color w:val="231F20"/>
                <w:sz w:val="14"/>
              </w:rPr>
              <w:t>етич­ ких</w:t>
            </w:r>
            <w:r>
              <w:rPr>
                <w:color w:val="231F20"/>
                <w:spacing w:val="-1"/>
                <w:sz w:val="14"/>
              </w:rPr>
              <w:t xml:space="preserve"> </w:t>
            </w:r>
            <w:r>
              <w:rPr>
                <w:color w:val="231F20"/>
                <w:sz w:val="14"/>
              </w:rPr>
              <w:t>императива;</w:t>
            </w:r>
          </w:p>
          <w:p w:rsidR="00041039" w:rsidRDefault="001B26CB">
            <w:pPr>
              <w:pStyle w:val="TableParagraph"/>
              <w:numPr>
                <w:ilvl w:val="0"/>
                <w:numId w:val="1651"/>
              </w:numPr>
              <w:tabs>
                <w:tab w:val="left" w:pos="157"/>
              </w:tabs>
              <w:spacing w:line="160" w:lineRule="exact"/>
              <w:ind w:right="210" w:hanging="99"/>
              <w:rPr>
                <w:sz w:val="14"/>
              </w:rPr>
            </w:pPr>
            <w:r>
              <w:rPr>
                <w:color w:val="231F20"/>
                <w:sz w:val="14"/>
              </w:rPr>
              <w:t>супротставља медијски наметнуте животне идеале и етичке</w:t>
            </w:r>
            <w:r>
              <w:rPr>
                <w:color w:val="231F20"/>
                <w:spacing w:val="-12"/>
                <w:sz w:val="14"/>
              </w:rPr>
              <w:t xml:space="preserve"> </w:t>
            </w:r>
            <w:r>
              <w:rPr>
                <w:color w:val="231F20"/>
                <w:sz w:val="14"/>
              </w:rPr>
              <w:t>вредности;</w:t>
            </w:r>
          </w:p>
        </w:tc>
        <w:tc>
          <w:tcPr>
            <w:tcW w:w="2834" w:type="dxa"/>
          </w:tcPr>
          <w:p w:rsidR="00041039" w:rsidRDefault="001B26CB">
            <w:pPr>
              <w:pStyle w:val="TableParagraph"/>
              <w:numPr>
                <w:ilvl w:val="0"/>
                <w:numId w:val="1650"/>
              </w:numPr>
              <w:tabs>
                <w:tab w:val="left" w:pos="158"/>
              </w:tabs>
              <w:spacing w:before="9"/>
              <w:ind w:right="152"/>
              <w:rPr>
                <w:sz w:val="14"/>
              </w:rPr>
            </w:pPr>
            <w:r>
              <w:rPr>
                <w:color w:val="231F20"/>
                <w:spacing w:val="-4"/>
                <w:sz w:val="14"/>
              </w:rPr>
              <w:t xml:space="preserve">Улога </w:t>
            </w:r>
            <w:r>
              <w:rPr>
                <w:color w:val="231F20"/>
                <w:sz w:val="14"/>
              </w:rPr>
              <w:t>визуелног идентитета у формирању личног идентитета ­ међусобни</w:t>
            </w:r>
            <w:r>
              <w:rPr>
                <w:color w:val="231F20"/>
                <w:spacing w:val="-8"/>
                <w:sz w:val="14"/>
              </w:rPr>
              <w:t xml:space="preserve"> </w:t>
            </w:r>
            <w:r>
              <w:rPr>
                <w:color w:val="231F20"/>
                <w:sz w:val="14"/>
              </w:rPr>
              <w:t>утицаји.</w:t>
            </w:r>
          </w:p>
          <w:p w:rsidR="00041039" w:rsidRDefault="001B26CB">
            <w:pPr>
              <w:pStyle w:val="TableParagraph"/>
              <w:numPr>
                <w:ilvl w:val="0"/>
                <w:numId w:val="1650"/>
              </w:numPr>
              <w:tabs>
                <w:tab w:val="left" w:pos="158"/>
              </w:tabs>
              <w:spacing w:line="153" w:lineRule="exact"/>
              <w:rPr>
                <w:sz w:val="14"/>
              </w:rPr>
            </w:pPr>
            <w:r>
              <w:rPr>
                <w:color w:val="231F20"/>
                <w:sz w:val="14"/>
              </w:rPr>
              <w:t>Појмови пола и</w:t>
            </w:r>
            <w:r>
              <w:rPr>
                <w:color w:val="231F20"/>
                <w:spacing w:val="-4"/>
                <w:sz w:val="14"/>
              </w:rPr>
              <w:t xml:space="preserve"> </w:t>
            </w:r>
            <w:r>
              <w:rPr>
                <w:color w:val="231F20"/>
                <w:sz w:val="14"/>
              </w:rPr>
              <w:t>рода.</w:t>
            </w:r>
          </w:p>
          <w:p w:rsidR="00041039" w:rsidRDefault="001B26CB">
            <w:pPr>
              <w:pStyle w:val="TableParagraph"/>
              <w:numPr>
                <w:ilvl w:val="0"/>
                <w:numId w:val="1650"/>
              </w:numPr>
              <w:tabs>
                <w:tab w:val="left" w:pos="158"/>
              </w:tabs>
              <w:spacing w:line="237" w:lineRule="auto"/>
              <w:ind w:right="185"/>
              <w:rPr>
                <w:sz w:val="14"/>
              </w:rPr>
            </w:pPr>
            <w:r>
              <w:rPr>
                <w:color w:val="231F20"/>
                <w:sz w:val="14"/>
              </w:rPr>
              <w:t>Утицај медија на релативизацију</w:t>
            </w:r>
            <w:r>
              <w:rPr>
                <w:color w:val="231F20"/>
                <w:spacing w:val="-20"/>
                <w:sz w:val="14"/>
              </w:rPr>
              <w:t xml:space="preserve"> </w:t>
            </w:r>
            <w:r>
              <w:rPr>
                <w:color w:val="231F20"/>
                <w:sz w:val="14"/>
              </w:rPr>
              <w:t>етичких вредности.</w:t>
            </w:r>
          </w:p>
          <w:p w:rsidR="00041039" w:rsidRDefault="001B26CB">
            <w:pPr>
              <w:pStyle w:val="TableParagraph"/>
              <w:numPr>
                <w:ilvl w:val="0"/>
                <w:numId w:val="1650"/>
              </w:numPr>
              <w:tabs>
                <w:tab w:val="left" w:pos="158"/>
              </w:tabs>
              <w:spacing w:line="155" w:lineRule="exact"/>
              <w:rPr>
                <w:sz w:val="14"/>
              </w:rPr>
            </w:pPr>
            <w:r>
              <w:rPr>
                <w:color w:val="231F20"/>
                <w:sz w:val="14"/>
              </w:rPr>
              <w:t>Естетски и етички</w:t>
            </w:r>
            <w:r>
              <w:rPr>
                <w:color w:val="231F20"/>
                <w:spacing w:val="-2"/>
                <w:sz w:val="14"/>
              </w:rPr>
              <w:t xml:space="preserve"> </w:t>
            </w:r>
            <w:r>
              <w:rPr>
                <w:color w:val="231F20"/>
                <w:sz w:val="14"/>
              </w:rPr>
              <w:t>идеал.</w:t>
            </w:r>
          </w:p>
          <w:p w:rsidR="00041039" w:rsidRDefault="001B26CB">
            <w:pPr>
              <w:pStyle w:val="TableParagraph"/>
              <w:numPr>
                <w:ilvl w:val="0"/>
                <w:numId w:val="1650"/>
              </w:numPr>
              <w:tabs>
                <w:tab w:val="left" w:pos="158"/>
              </w:tabs>
              <w:spacing w:line="160" w:lineRule="exact"/>
              <w:rPr>
                <w:sz w:val="14"/>
              </w:rPr>
            </w:pPr>
            <w:r>
              <w:rPr>
                <w:color w:val="231F20"/>
                <w:sz w:val="14"/>
              </w:rPr>
              <w:t>Тело и интервенције</w:t>
            </w:r>
            <w:r>
              <w:rPr>
                <w:color w:val="231F20"/>
                <w:spacing w:val="-3"/>
                <w:sz w:val="14"/>
              </w:rPr>
              <w:t xml:space="preserve"> </w:t>
            </w:r>
            <w:r>
              <w:rPr>
                <w:color w:val="231F20"/>
                <w:sz w:val="14"/>
              </w:rPr>
              <w:t>нателу</w:t>
            </w:r>
          </w:p>
          <w:p w:rsidR="00041039" w:rsidRDefault="001B26CB">
            <w:pPr>
              <w:pStyle w:val="TableParagraph"/>
              <w:numPr>
                <w:ilvl w:val="0"/>
                <w:numId w:val="1650"/>
              </w:numPr>
              <w:tabs>
                <w:tab w:val="left" w:pos="158"/>
              </w:tabs>
              <w:spacing w:line="166" w:lineRule="exact"/>
              <w:rPr>
                <w:sz w:val="14"/>
              </w:rPr>
            </w:pPr>
            <w:r>
              <w:rPr>
                <w:color w:val="231F20"/>
                <w:sz w:val="14"/>
              </w:rPr>
              <w:t>Сајбер идентитет, морал и слобода</w:t>
            </w:r>
            <w:r>
              <w:rPr>
                <w:color w:val="231F20"/>
                <w:spacing w:val="-20"/>
                <w:sz w:val="14"/>
              </w:rPr>
              <w:t xml:space="preserve"> </w:t>
            </w:r>
            <w:r>
              <w:rPr>
                <w:color w:val="231F20"/>
                <w:sz w:val="14"/>
              </w:rPr>
              <w:t>избора.</w:t>
            </w:r>
          </w:p>
        </w:tc>
        <w:tc>
          <w:tcPr>
            <w:tcW w:w="2267" w:type="dxa"/>
            <w:vMerge/>
            <w:tcBorders>
              <w:top w:val="nil"/>
            </w:tcBorders>
          </w:tcPr>
          <w:p w:rsidR="00041039" w:rsidRDefault="00041039">
            <w:pPr>
              <w:rPr>
                <w:sz w:val="2"/>
                <w:szCs w:val="2"/>
              </w:rPr>
            </w:pPr>
          </w:p>
        </w:tc>
      </w:tr>
      <w:tr w:rsidR="00041039">
        <w:trPr>
          <w:trHeight w:val="2280"/>
        </w:trPr>
        <w:tc>
          <w:tcPr>
            <w:tcW w:w="1304" w:type="dxa"/>
          </w:tcPr>
          <w:p w:rsidR="00041039" w:rsidRDefault="001B26CB">
            <w:pPr>
              <w:pStyle w:val="TableParagraph"/>
              <w:spacing w:before="19"/>
              <w:ind w:left="57" w:right="93"/>
              <w:rPr>
                <w:sz w:val="14"/>
              </w:rPr>
            </w:pPr>
            <w:r>
              <w:rPr>
                <w:color w:val="231F20"/>
                <w:sz w:val="14"/>
              </w:rPr>
              <w:t>Основне етичке норме и вредности</w:t>
            </w:r>
          </w:p>
        </w:tc>
        <w:tc>
          <w:tcPr>
            <w:tcW w:w="1587" w:type="dxa"/>
          </w:tcPr>
          <w:p w:rsidR="00041039" w:rsidRDefault="001B26CB">
            <w:pPr>
              <w:pStyle w:val="TableParagraph"/>
              <w:numPr>
                <w:ilvl w:val="0"/>
                <w:numId w:val="1649"/>
              </w:numPr>
              <w:tabs>
                <w:tab w:val="left" w:pos="157"/>
              </w:tabs>
              <w:spacing w:before="9"/>
              <w:ind w:right="78" w:hanging="99"/>
              <w:rPr>
                <w:sz w:val="14"/>
              </w:rPr>
            </w:pPr>
            <w:r>
              <w:rPr>
                <w:color w:val="231F20"/>
                <w:sz w:val="14"/>
              </w:rPr>
              <w:t>Упознавање ученика са основним етичким нормама и вредности­ ма и развијање</w:t>
            </w:r>
            <w:r>
              <w:rPr>
                <w:color w:val="231F20"/>
                <w:spacing w:val="-8"/>
                <w:sz w:val="14"/>
              </w:rPr>
              <w:t xml:space="preserve"> </w:t>
            </w:r>
            <w:r>
              <w:rPr>
                <w:color w:val="231F20"/>
                <w:sz w:val="14"/>
              </w:rPr>
              <w:t>личног вредносног</w:t>
            </w:r>
            <w:r>
              <w:rPr>
                <w:color w:val="231F20"/>
                <w:spacing w:val="-1"/>
                <w:sz w:val="14"/>
              </w:rPr>
              <w:t xml:space="preserve"> </w:t>
            </w:r>
            <w:r>
              <w:rPr>
                <w:color w:val="231F20"/>
                <w:sz w:val="14"/>
              </w:rPr>
              <w:t>система.</w:t>
            </w:r>
          </w:p>
        </w:tc>
        <w:tc>
          <w:tcPr>
            <w:tcW w:w="2551" w:type="dxa"/>
          </w:tcPr>
          <w:p w:rsidR="00041039" w:rsidRDefault="001B26CB">
            <w:pPr>
              <w:pStyle w:val="TableParagraph"/>
              <w:numPr>
                <w:ilvl w:val="0"/>
                <w:numId w:val="1648"/>
              </w:numPr>
              <w:tabs>
                <w:tab w:val="left" w:pos="157"/>
              </w:tabs>
              <w:spacing w:before="9" w:line="166" w:lineRule="exact"/>
              <w:ind w:hanging="99"/>
              <w:rPr>
                <w:sz w:val="14"/>
              </w:rPr>
            </w:pPr>
            <w:r>
              <w:rPr>
                <w:color w:val="231F20"/>
                <w:sz w:val="14"/>
              </w:rPr>
              <w:t xml:space="preserve">препознаје важније </w:t>
            </w:r>
            <w:r>
              <w:rPr>
                <w:color w:val="231F20"/>
                <w:spacing w:val="-3"/>
                <w:sz w:val="14"/>
              </w:rPr>
              <w:t>људске</w:t>
            </w:r>
            <w:r>
              <w:rPr>
                <w:color w:val="231F20"/>
                <w:spacing w:val="-9"/>
                <w:sz w:val="14"/>
              </w:rPr>
              <w:t xml:space="preserve"> </w:t>
            </w:r>
            <w:r>
              <w:rPr>
                <w:color w:val="231F20"/>
                <w:sz w:val="14"/>
              </w:rPr>
              <w:t>вредности;</w:t>
            </w:r>
          </w:p>
          <w:p w:rsidR="00041039" w:rsidRDefault="001B26CB">
            <w:pPr>
              <w:pStyle w:val="TableParagraph"/>
              <w:numPr>
                <w:ilvl w:val="0"/>
                <w:numId w:val="1648"/>
              </w:numPr>
              <w:tabs>
                <w:tab w:val="left" w:pos="157"/>
              </w:tabs>
              <w:spacing w:line="237" w:lineRule="auto"/>
              <w:ind w:right="171" w:hanging="99"/>
              <w:rPr>
                <w:sz w:val="14"/>
              </w:rPr>
            </w:pPr>
            <w:r>
              <w:rPr>
                <w:color w:val="231F20"/>
                <w:sz w:val="14"/>
              </w:rPr>
              <w:t xml:space="preserve">разликује слободне </w:t>
            </w:r>
            <w:r>
              <w:rPr>
                <w:color w:val="231F20"/>
                <w:spacing w:val="-3"/>
                <w:sz w:val="14"/>
              </w:rPr>
              <w:t xml:space="preserve">од </w:t>
            </w:r>
            <w:r>
              <w:rPr>
                <w:color w:val="231F20"/>
                <w:sz w:val="14"/>
              </w:rPr>
              <w:t>самовољних и наметнутих</w:t>
            </w:r>
            <w:r>
              <w:rPr>
                <w:color w:val="231F20"/>
                <w:spacing w:val="-2"/>
                <w:sz w:val="14"/>
              </w:rPr>
              <w:t xml:space="preserve"> </w:t>
            </w:r>
            <w:r>
              <w:rPr>
                <w:color w:val="231F20"/>
                <w:sz w:val="14"/>
              </w:rPr>
              <w:t>поступака;</w:t>
            </w:r>
          </w:p>
          <w:p w:rsidR="00041039" w:rsidRDefault="001B26CB">
            <w:pPr>
              <w:pStyle w:val="TableParagraph"/>
              <w:numPr>
                <w:ilvl w:val="0"/>
                <w:numId w:val="1648"/>
              </w:numPr>
              <w:tabs>
                <w:tab w:val="left" w:pos="157"/>
              </w:tabs>
              <w:spacing w:line="160" w:lineRule="exact"/>
              <w:ind w:right="185" w:hanging="99"/>
              <w:rPr>
                <w:sz w:val="14"/>
              </w:rPr>
            </w:pPr>
            <w:r>
              <w:rPr>
                <w:color w:val="231F20"/>
                <w:sz w:val="14"/>
              </w:rPr>
              <w:t>схвата постојање слободе избора</w:t>
            </w:r>
            <w:r>
              <w:rPr>
                <w:color w:val="231F20"/>
                <w:spacing w:val="-20"/>
                <w:sz w:val="14"/>
              </w:rPr>
              <w:t xml:space="preserve"> </w:t>
            </w:r>
            <w:r>
              <w:rPr>
                <w:color w:val="231F20"/>
                <w:sz w:val="14"/>
              </w:rPr>
              <w:t>као услова моралног</w:t>
            </w:r>
            <w:r>
              <w:rPr>
                <w:color w:val="231F20"/>
                <w:spacing w:val="-2"/>
                <w:sz w:val="14"/>
              </w:rPr>
              <w:t xml:space="preserve"> </w:t>
            </w:r>
            <w:r>
              <w:rPr>
                <w:color w:val="231F20"/>
                <w:sz w:val="14"/>
              </w:rPr>
              <w:t>поступања;</w:t>
            </w:r>
          </w:p>
          <w:p w:rsidR="00041039" w:rsidRDefault="001B26CB">
            <w:pPr>
              <w:pStyle w:val="TableParagraph"/>
              <w:numPr>
                <w:ilvl w:val="0"/>
                <w:numId w:val="1648"/>
              </w:numPr>
              <w:tabs>
                <w:tab w:val="left" w:pos="157"/>
              </w:tabs>
              <w:spacing w:line="160" w:lineRule="exact"/>
              <w:ind w:right="144" w:hanging="99"/>
              <w:rPr>
                <w:sz w:val="14"/>
              </w:rPr>
            </w:pPr>
            <w:r>
              <w:rPr>
                <w:color w:val="231F20"/>
                <w:sz w:val="14"/>
              </w:rPr>
              <w:t>разуме везу између избора и</w:t>
            </w:r>
            <w:r>
              <w:rPr>
                <w:color w:val="231F20"/>
                <w:spacing w:val="-27"/>
                <w:sz w:val="14"/>
              </w:rPr>
              <w:t xml:space="preserve"> </w:t>
            </w:r>
            <w:r>
              <w:rPr>
                <w:color w:val="231F20"/>
                <w:sz w:val="14"/>
              </w:rPr>
              <w:t>одговор­ ности;</w:t>
            </w:r>
          </w:p>
          <w:p w:rsidR="00041039" w:rsidRDefault="001B26CB">
            <w:pPr>
              <w:pStyle w:val="TableParagraph"/>
              <w:numPr>
                <w:ilvl w:val="0"/>
                <w:numId w:val="1648"/>
              </w:numPr>
              <w:tabs>
                <w:tab w:val="left" w:pos="157"/>
              </w:tabs>
              <w:spacing w:line="160" w:lineRule="exact"/>
              <w:ind w:right="272" w:hanging="99"/>
              <w:rPr>
                <w:sz w:val="14"/>
              </w:rPr>
            </w:pPr>
            <w:r>
              <w:rPr>
                <w:color w:val="231F20"/>
                <w:sz w:val="14"/>
              </w:rPr>
              <w:t>упоређује одговорне и</w:t>
            </w:r>
            <w:r>
              <w:rPr>
                <w:color w:val="231F20"/>
                <w:spacing w:val="-22"/>
                <w:sz w:val="14"/>
              </w:rPr>
              <w:t xml:space="preserve"> </w:t>
            </w:r>
            <w:r>
              <w:rPr>
                <w:color w:val="231F20"/>
                <w:sz w:val="14"/>
              </w:rPr>
              <w:t>неодговорне поступке;</w:t>
            </w:r>
          </w:p>
          <w:p w:rsidR="00041039" w:rsidRDefault="001B26CB">
            <w:pPr>
              <w:pStyle w:val="TableParagraph"/>
              <w:numPr>
                <w:ilvl w:val="0"/>
                <w:numId w:val="1648"/>
              </w:numPr>
              <w:tabs>
                <w:tab w:val="left" w:pos="157"/>
              </w:tabs>
              <w:spacing w:line="160" w:lineRule="exact"/>
              <w:ind w:right="305" w:hanging="99"/>
              <w:jc w:val="both"/>
              <w:rPr>
                <w:sz w:val="14"/>
              </w:rPr>
            </w:pPr>
            <w:r>
              <w:rPr>
                <w:color w:val="231F20"/>
                <w:sz w:val="14"/>
              </w:rPr>
              <w:t>може да расправља о томе да ли је извор морала у нама или изван</w:t>
            </w:r>
            <w:r>
              <w:rPr>
                <w:color w:val="231F20"/>
                <w:spacing w:val="-16"/>
                <w:sz w:val="14"/>
              </w:rPr>
              <w:t xml:space="preserve"> </w:t>
            </w:r>
            <w:r>
              <w:rPr>
                <w:color w:val="231F20"/>
                <w:sz w:val="14"/>
              </w:rPr>
              <w:t>нас (аутономна и хетерономна</w:t>
            </w:r>
            <w:r>
              <w:rPr>
                <w:color w:val="231F20"/>
                <w:spacing w:val="-16"/>
                <w:sz w:val="14"/>
              </w:rPr>
              <w:t xml:space="preserve"> </w:t>
            </w:r>
            <w:r>
              <w:rPr>
                <w:color w:val="231F20"/>
                <w:sz w:val="14"/>
              </w:rPr>
              <w:t>етика);</w:t>
            </w:r>
          </w:p>
          <w:p w:rsidR="00041039" w:rsidRDefault="001B26CB">
            <w:pPr>
              <w:pStyle w:val="TableParagraph"/>
              <w:numPr>
                <w:ilvl w:val="0"/>
                <w:numId w:val="1648"/>
              </w:numPr>
              <w:tabs>
                <w:tab w:val="left" w:pos="157"/>
              </w:tabs>
              <w:spacing w:line="160" w:lineRule="exact"/>
              <w:ind w:right="152" w:hanging="99"/>
              <w:rPr>
                <w:sz w:val="14"/>
              </w:rPr>
            </w:pPr>
            <w:r>
              <w:rPr>
                <w:color w:val="231F20"/>
                <w:sz w:val="14"/>
              </w:rPr>
              <w:t>увиђа разлику и међу основних етич­ ких</w:t>
            </w:r>
            <w:r>
              <w:rPr>
                <w:color w:val="231F20"/>
                <w:spacing w:val="-1"/>
                <w:sz w:val="14"/>
              </w:rPr>
              <w:t xml:space="preserve"> </w:t>
            </w:r>
            <w:r>
              <w:rPr>
                <w:color w:val="231F20"/>
                <w:sz w:val="14"/>
              </w:rPr>
              <w:t>праваца;</w:t>
            </w:r>
          </w:p>
        </w:tc>
        <w:tc>
          <w:tcPr>
            <w:tcW w:w="2834" w:type="dxa"/>
          </w:tcPr>
          <w:p w:rsidR="00041039" w:rsidRDefault="001B26CB">
            <w:pPr>
              <w:pStyle w:val="TableParagraph"/>
              <w:numPr>
                <w:ilvl w:val="0"/>
                <w:numId w:val="1647"/>
              </w:numPr>
              <w:tabs>
                <w:tab w:val="left" w:pos="158"/>
              </w:tabs>
              <w:spacing w:before="10" w:line="166" w:lineRule="exact"/>
              <w:rPr>
                <w:sz w:val="14"/>
              </w:rPr>
            </w:pPr>
            <w:r>
              <w:rPr>
                <w:color w:val="231F20"/>
                <w:sz w:val="14"/>
              </w:rPr>
              <w:t>Пријатељство.</w:t>
            </w:r>
          </w:p>
          <w:p w:rsidR="00041039" w:rsidRDefault="001B26CB">
            <w:pPr>
              <w:pStyle w:val="TableParagraph"/>
              <w:numPr>
                <w:ilvl w:val="0"/>
                <w:numId w:val="1647"/>
              </w:numPr>
              <w:tabs>
                <w:tab w:val="left" w:pos="158"/>
              </w:tabs>
              <w:spacing w:line="160" w:lineRule="exact"/>
              <w:rPr>
                <w:sz w:val="14"/>
              </w:rPr>
            </w:pPr>
            <w:r>
              <w:rPr>
                <w:color w:val="231F20"/>
                <w:sz w:val="14"/>
              </w:rPr>
              <w:t>Верност.</w:t>
            </w:r>
          </w:p>
          <w:p w:rsidR="00041039" w:rsidRDefault="001B26CB">
            <w:pPr>
              <w:pStyle w:val="TableParagraph"/>
              <w:numPr>
                <w:ilvl w:val="0"/>
                <w:numId w:val="1647"/>
              </w:numPr>
              <w:tabs>
                <w:tab w:val="left" w:pos="158"/>
              </w:tabs>
              <w:spacing w:line="160" w:lineRule="exact"/>
              <w:rPr>
                <w:sz w:val="14"/>
              </w:rPr>
            </w:pPr>
            <w:r>
              <w:rPr>
                <w:color w:val="231F20"/>
                <w:sz w:val="14"/>
              </w:rPr>
              <w:t>Породица.</w:t>
            </w:r>
          </w:p>
          <w:p w:rsidR="00041039" w:rsidRDefault="001B26CB">
            <w:pPr>
              <w:pStyle w:val="TableParagraph"/>
              <w:numPr>
                <w:ilvl w:val="0"/>
                <w:numId w:val="1647"/>
              </w:numPr>
              <w:tabs>
                <w:tab w:val="left" w:pos="158"/>
              </w:tabs>
              <w:spacing w:line="160" w:lineRule="exact"/>
              <w:rPr>
                <w:sz w:val="14"/>
              </w:rPr>
            </w:pPr>
            <w:r>
              <w:rPr>
                <w:color w:val="231F20"/>
                <w:sz w:val="14"/>
              </w:rPr>
              <w:t>Љубав.</w:t>
            </w:r>
          </w:p>
          <w:p w:rsidR="00041039" w:rsidRDefault="001B26CB">
            <w:pPr>
              <w:pStyle w:val="TableParagraph"/>
              <w:numPr>
                <w:ilvl w:val="0"/>
                <w:numId w:val="1647"/>
              </w:numPr>
              <w:tabs>
                <w:tab w:val="left" w:pos="158"/>
              </w:tabs>
              <w:spacing w:line="160" w:lineRule="exact"/>
              <w:rPr>
                <w:sz w:val="14"/>
              </w:rPr>
            </w:pPr>
            <w:r>
              <w:rPr>
                <w:color w:val="231F20"/>
                <w:sz w:val="14"/>
              </w:rPr>
              <w:t>Морално</w:t>
            </w:r>
            <w:r>
              <w:rPr>
                <w:color w:val="231F20"/>
                <w:spacing w:val="-2"/>
                <w:sz w:val="14"/>
              </w:rPr>
              <w:t xml:space="preserve"> </w:t>
            </w:r>
            <w:r>
              <w:rPr>
                <w:color w:val="231F20"/>
                <w:sz w:val="14"/>
              </w:rPr>
              <w:t>добро.</w:t>
            </w:r>
          </w:p>
          <w:p w:rsidR="00041039" w:rsidRDefault="001B26CB">
            <w:pPr>
              <w:pStyle w:val="TableParagraph"/>
              <w:numPr>
                <w:ilvl w:val="0"/>
                <w:numId w:val="1647"/>
              </w:numPr>
              <w:tabs>
                <w:tab w:val="left" w:pos="158"/>
              </w:tabs>
              <w:spacing w:line="160" w:lineRule="exact"/>
              <w:rPr>
                <w:sz w:val="14"/>
              </w:rPr>
            </w:pPr>
            <w:r>
              <w:rPr>
                <w:color w:val="231F20"/>
                <w:sz w:val="14"/>
              </w:rPr>
              <w:t>Донација</w:t>
            </w:r>
            <w:r>
              <w:rPr>
                <w:color w:val="231F20"/>
                <w:spacing w:val="-2"/>
                <w:sz w:val="14"/>
              </w:rPr>
              <w:t xml:space="preserve"> </w:t>
            </w:r>
            <w:r>
              <w:rPr>
                <w:color w:val="231F20"/>
                <w:sz w:val="14"/>
              </w:rPr>
              <w:t>органа.</w:t>
            </w:r>
          </w:p>
          <w:p w:rsidR="00041039" w:rsidRDefault="001B26CB">
            <w:pPr>
              <w:pStyle w:val="TableParagraph"/>
              <w:numPr>
                <w:ilvl w:val="0"/>
                <w:numId w:val="1647"/>
              </w:numPr>
              <w:tabs>
                <w:tab w:val="left" w:pos="158"/>
              </w:tabs>
              <w:spacing w:line="160" w:lineRule="exact"/>
              <w:rPr>
                <w:sz w:val="14"/>
              </w:rPr>
            </w:pPr>
            <w:r>
              <w:rPr>
                <w:color w:val="231F20"/>
                <w:sz w:val="14"/>
              </w:rPr>
              <w:t>Сурогат</w:t>
            </w:r>
            <w:r>
              <w:rPr>
                <w:color w:val="231F20"/>
                <w:spacing w:val="-1"/>
                <w:sz w:val="14"/>
              </w:rPr>
              <w:t xml:space="preserve"> </w:t>
            </w:r>
            <w:r>
              <w:rPr>
                <w:color w:val="231F20"/>
                <w:sz w:val="14"/>
              </w:rPr>
              <w:t>мајка.</w:t>
            </w:r>
          </w:p>
          <w:p w:rsidR="00041039" w:rsidRDefault="001B26CB">
            <w:pPr>
              <w:pStyle w:val="TableParagraph"/>
              <w:numPr>
                <w:ilvl w:val="0"/>
                <w:numId w:val="1647"/>
              </w:numPr>
              <w:tabs>
                <w:tab w:val="left" w:pos="158"/>
              </w:tabs>
              <w:spacing w:line="166" w:lineRule="exact"/>
              <w:rPr>
                <w:sz w:val="14"/>
              </w:rPr>
            </w:pPr>
            <w:r>
              <w:rPr>
                <w:color w:val="231F20"/>
                <w:sz w:val="14"/>
              </w:rPr>
              <w:t>Клонирање.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3"/>
        </w:numPr>
        <w:tabs>
          <w:tab w:val="left" w:pos="633"/>
        </w:tabs>
        <w:rPr>
          <w:sz w:val="18"/>
        </w:rPr>
      </w:pPr>
      <w:r>
        <w:rPr>
          <w:color w:val="231F20"/>
          <w:sz w:val="18"/>
        </w:rPr>
        <w:t>Историја</w:t>
      </w:r>
    </w:p>
    <w:p w:rsidR="00041039" w:rsidRDefault="001B26CB">
      <w:pPr>
        <w:pStyle w:val="ListParagraph"/>
        <w:numPr>
          <w:ilvl w:val="0"/>
          <w:numId w:val="3"/>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3"/>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BodyText"/>
        <w:ind w:left="2742"/>
        <w:rPr>
          <w:sz w:val="20"/>
        </w:rPr>
      </w:pPr>
      <w:r>
        <w:rPr>
          <w:noProof/>
          <w:sz w:val="20"/>
        </w:rPr>
        <w:lastRenderedPageBreak/>
        <w:drawing>
          <wp:inline distT="0" distB="0" distL="0" distR="0">
            <wp:extent cx="3329055" cy="861974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329055" cy="8619744"/>
                    </a:xfrm>
                    <a:prstGeom prst="rect">
                      <a:avLst/>
                    </a:prstGeom>
                  </pic:spPr>
                </pic:pic>
              </a:graphicData>
            </a:graphic>
          </wp:inline>
        </w:drawing>
      </w:r>
    </w:p>
    <w:p w:rsidR="00041039" w:rsidRDefault="00041039">
      <w:pPr>
        <w:rPr>
          <w:sz w:val="20"/>
        </w:rPr>
        <w:sectPr w:rsidR="00041039">
          <w:pgSz w:w="11910" w:h="15710"/>
          <w:pgMar w:top="260" w:right="540" w:bottom="280" w:left="580" w:header="720" w:footer="720" w:gutter="0"/>
          <w:cols w:space="720"/>
        </w:sectPr>
      </w:pPr>
    </w:p>
    <w:p w:rsidR="00041039" w:rsidRDefault="001B26CB">
      <w:pPr>
        <w:spacing w:before="80"/>
        <w:ind w:right="38"/>
        <w:jc w:val="center"/>
        <w:rPr>
          <w:b/>
          <w:sz w:val="18"/>
        </w:rPr>
      </w:pPr>
      <w:r>
        <w:rPr>
          <w:b/>
          <w:color w:val="231F20"/>
          <w:sz w:val="18"/>
        </w:rPr>
        <w:lastRenderedPageBreak/>
        <w:t>Б: Листа изборних предмета према програму образовног профила</w:t>
      </w:r>
    </w:p>
    <w:p w:rsidR="00041039" w:rsidRDefault="00041039">
      <w:pPr>
        <w:pStyle w:val="BodyText"/>
        <w:spacing w:before="11"/>
        <w:rPr>
          <w:b/>
          <w:sz w:val="20"/>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0"/>
        <w:gridCol w:w="6558"/>
        <w:gridCol w:w="850"/>
        <w:gridCol w:w="850"/>
        <w:gridCol w:w="850"/>
        <w:gridCol w:w="850"/>
      </w:tblGrid>
      <w:tr w:rsidR="00041039">
        <w:trPr>
          <w:trHeight w:val="198"/>
        </w:trPr>
        <w:tc>
          <w:tcPr>
            <w:tcW w:w="580" w:type="dxa"/>
            <w:vMerge w:val="restart"/>
            <w:shd w:val="clear" w:color="auto" w:fill="E6E7E8"/>
          </w:tcPr>
          <w:p w:rsidR="00041039" w:rsidRDefault="001B26CB">
            <w:pPr>
              <w:pStyle w:val="TableParagraph"/>
              <w:spacing w:before="120"/>
              <w:ind w:left="194"/>
              <w:rPr>
                <w:b/>
                <w:sz w:val="14"/>
              </w:rPr>
            </w:pPr>
            <w:r>
              <w:rPr>
                <w:b/>
                <w:color w:val="231F20"/>
                <w:sz w:val="14"/>
              </w:rPr>
              <w:t>Рб.</w:t>
            </w:r>
          </w:p>
        </w:tc>
        <w:tc>
          <w:tcPr>
            <w:tcW w:w="6558" w:type="dxa"/>
            <w:vMerge w:val="restart"/>
            <w:shd w:val="clear" w:color="auto" w:fill="E6E7E8"/>
          </w:tcPr>
          <w:p w:rsidR="00041039" w:rsidRDefault="001B26CB">
            <w:pPr>
              <w:pStyle w:val="TableParagraph"/>
              <w:spacing w:before="120"/>
              <w:ind w:left="2444" w:right="2434"/>
              <w:jc w:val="center"/>
              <w:rPr>
                <w:b/>
                <w:sz w:val="14"/>
              </w:rPr>
            </w:pPr>
            <w:r>
              <w:rPr>
                <w:b/>
                <w:color w:val="231F20"/>
                <w:sz w:val="14"/>
              </w:rPr>
              <w:t>Листа изборних предмета</w:t>
            </w:r>
          </w:p>
        </w:tc>
        <w:tc>
          <w:tcPr>
            <w:tcW w:w="3400" w:type="dxa"/>
            <w:gridSpan w:val="4"/>
            <w:shd w:val="clear" w:color="auto" w:fill="E6E7E8"/>
          </w:tcPr>
          <w:p w:rsidR="00041039" w:rsidRDefault="001B26CB">
            <w:pPr>
              <w:pStyle w:val="TableParagraph"/>
              <w:spacing w:before="15"/>
              <w:ind w:left="1413" w:right="1401"/>
              <w:jc w:val="center"/>
              <w:rPr>
                <w:b/>
                <w:sz w:val="14"/>
              </w:rPr>
            </w:pPr>
            <w:r>
              <w:rPr>
                <w:b/>
                <w:color w:val="231F20"/>
                <w:sz w:val="14"/>
              </w:rPr>
              <w:t>РАЗРЕД</w:t>
            </w:r>
          </w:p>
        </w:tc>
      </w:tr>
      <w:tr w:rsidR="00041039">
        <w:trPr>
          <w:trHeight w:val="198"/>
        </w:trPr>
        <w:tc>
          <w:tcPr>
            <w:tcW w:w="580" w:type="dxa"/>
            <w:vMerge/>
            <w:tcBorders>
              <w:top w:val="nil"/>
            </w:tcBorders>
            <w:shd w:val="clear" w:color="auto" w:fill="E6E7E8"/>
          </w:tcPr>
          <w:p w:rsidR="00041039" w:rsidRDefault="00041039">
            <w:pPr>
              <w:rPr>
                <w:sz w:val="2"/>
                <w:szCs w:val="2"/>
              </w:rPr>
            </w:pPr>
          </w:p>
        </w:tc>
        <w:tc>
          <w:tcPr>
            <w:tcW w:w="6558" w:type="dxa"/>
            <w:vMerge/>
            <w:tcBorders>
              <w:top w:val="nil"/>
            </w:tcBorders>
            <w:shd w:val="clear" w:color="auto" w:fill="E6E7E8"/>
          </w:tcPr>
          <w:p w:rsidR="00041039" w:rsidRDefault="00041039">
            <w:pPr>
              <w:rPr>
                <w:sz w:val="2"/>
                <w:szCs w:val="2"/>
              </w:rPr>
            </w:pPr>
          </w:p>
        </w:tc>
        <w:tc>
          <w:tcPr>
            <w:tcW w:w="850" w:type="dxa"/>
            <w:shd w:val="clear" w:color="auto" w:fill="E6E7E8"/>
          </w:tcPr>
          <w:p w:rsidR="00041039" w:rsidRDefault="001B26CB">
            <w:pPr>
              <w:pStyle w:val="TableParagraph"/>
              <w:spacing w:before="15"/>
              <w:ind w:left="11"/>
              <w:jc w:val="center"/>
              <w:rPr>
                <w:b/>
                <w:sz w:val="14"/>
              </w:rPr>
            </w:pPr>
            <w:r>
              <w:rPr>
                <w:b/>
                <w:color w:val="231F20"/>
                <w:sz w:val="14"/>
              </w:rPr>
              <w:t>I</w:t>
            </w:r>
          </w:p>
        </w:tc>
        <w:tc>
          <w:tcPr>
            <w:tcW w:w="850" w:type="dxa"/>
            <w:shd w:val="clear" w:color="auto" w:fill="E6E7E8"/>
          </w:tcPr>
          <w:p w:rsidR="00041039" w:rsidRDefault="001B26CB">
            <w:pPr>
              <w:pStyle w:val="TableParagraph"/>
              <w:spacing w:before="15"/>
              <w:ind w:left="324" w:right="312"/>
              <w:jc w:val="center"/>
              <w:rPr>
                <w:b/>
                <w:sz w:val="14"/>
              </w:rPr>
            </w:pPr>
            <w:r>
              <w:rPr>
                <w:b/>
                <w:color w:val="231F20"/>
                <w:sz w:val="14"/>
              </w:rPr>
              <w:t>II</w:t>
            </w:r>
          </w:p>
        </w:tc>
        <w:tc>
          <w:tcPr>
            <w:tcW w:w="850" w:type="dxa"/>
            <w:shd w:val="clear" w:color="auto" w:fill="E6E7E8"/>
          </w:tcPr>
          <w:p w:rsidR="00041039" w:rsidRDefault="001B26CB">
            <w:pPr>
              <w:pStyle w:val="TableParagraph"/>
              <w:spacing w:before="15"/>
              <w:ind w:left="344"/>
              <w:rPr>
                <w:b/>
                <w:sz w:val="14"/>
              </w:rPr>
            </w:pPr>
            <w:r>
              <w:rPr>
                <w:b/>
                <w:color w:val="231F20"/>
                <w:sz w:val="14"/>
              </w:rPr>
              <w:t>III</w:t>
            </w:r>
          </w:p>
        </w:tc>
        <w:tc>
          <w:tcPr>
            <w:tcW w:w="850" w:type="dxa"/>
            <w:shd w:val="clear" w:color="auto" w:fill="E6E7E8"/>
          </w:tcPr>
          <w:p w:rsidR="00041039" w:rsidRDefault="001B26CB">
            <w:pPr>
              <w:pStyle w:val="TableParagraph"/>
              <w:spacing w:before="15"/>
              <w:ind w:left="350"/>
              <w:rPr>
                <w:b/>
                <w:sz w:val="14"/>
              </w:rPr>
            </w:pPr>
            <w:r>
              <w:rPr>
                <w:b/>
                <w:color w:val="231F20"/>
                <w:sz w:val="14"/>
              </w:rPr>
              <w:t>IV</w:t>
            </w:r>
          </w:p>
        </w:tc>
      </w:tr>
      <w:tr w:rsidR="00041039">
        <w:trPr>
          <w:trHeight w:val="198"/>
        </w:trPr>
        <w:tc>
          <w:tcPr>
            <w:tcW w:w="10538" w:type="dxa"/>
            <w:gridSpan w:val="6"/>
          </w:tcPr>
          <w:p w:rsidR="00041039" w:rsidRDefault="001B26CB">
            <w:pPr>
              <w:pStyle w:val="TableParagraph"/>
              <w:spacing w:before="15"/>
              <w:ind w:left="56"/>
              <w:rPr>
                <w:b/>
                <w:sz w:val="14"/>
              </w:rPr>
            </w:pPr>
            <w:r>
              <w:rPr>
                <w:b/>
                <w:color w:val="231F20"/>
                <w:sz w:val="14"/>
              </w:rPr>
              <w:t>Општеобразовни предмети</w:t>
            </w:r>
          </w:p>
        </w:tc>
      </w:tr>
      <w:tr w:rsidR="00041039">
        <w:trPr>
          <w:trHeight w:val="200"/>
        </w:trPr>
        <w:tc>
          <w:tcPr>
            <w:tcW w:w="580" w:type="dxa"/>
          </w:tcPr>
          <w:p w:rsidR="00041039" w:rsidRDefault="001B26CB">
            <w:pPr>
              <w:pStyle w:val="TableParagraph"/>
              <w:spacing w:before="18"/>
              <w:ind w:left="56"/>
              <w:rPr>
                <w:sz w:val="14"/>
              </w:rPr>
            </w:pPr>
            <w:r>
              <w:rPr>
                <w:color w:val="231F20"/>
                <w:sz w:val="14"/>
              </w:rPr>
              <w:t>1.</w:t>
            </w:r>
          </w:p>
        </w:tc>
        <w:tc>
          <w:tcPr>
            <w:tcW w:w="6558" w:type="dxa"/>
          </w:tcPr>
          <w:p w:rsidR="00041039" w:rsidRDefault="001B26CB">
            <w:pPr>
              <w:pStyle w:val="TableParagraph"/>
              <w:spacing w:before="15"/>
              <w:ind w:left="56"/>
              <w:rPr>
                <w:b/>
                <w:sz w:val="14"/>
              </w:rPr>
            </w:pPr>
            <w:r>
              <w:rPr>
                <w:b/>
                <w:color w:val="231F20"/>
                <w:sz w:val="14"/>
              </w:rPr>
              <w:t>Изабрана поглавља математике</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391"/>
              <w:rPr>
                <w:b/>
                <w:sz w:val="14"/>
              </w:rPr>
            </w:pPr>
            <w:r>
              <w:rPr>
                <w:b/>
                <w:color w:val="231F20"/>
                <w:sz w:val="14"/>
              </w:rPr>
              <w:t>2</w:t>
            </w:r>
          </w:p>
        </w:tc>
        <w:tc>
          <w:tcPr>
            <w:tcW w:w="850" w:type="dxa"/>
          </w:tcPr>
          <w:p w:rsidR="00041039" w:rsidRDefault="001B26CB">
            <w:pPr>
              <w:pStyle w:val="TableParagraph"/>
              <w:spacing w:before="15"/>
              <w:ind w:left="391"/>
              <w:rPr>
                <w:b/>
                <w:sz w:val="14"/>
              </w:rPr>
            </w:pPr>
            <w:r>
              <w:rPr>
                <w:b/>
                <w:color w:val="231F20"/>
                <w:sz w:val="14"/>
              </w:rPr>
              <w:t>2</w:t>
            </w:r>
          </w:p>
        </w:tc>
      </w:tr>
      <w:tr w:rsidR="00041039">
        <w:trPr>
          <w:trHeight w:val="200"/>
        </w:trPr>
        <w:tc>
          <w:tcPr>
            <w:tcW w:w="580" w:type="dxa"/>
          </w:tcPr>
          <w:p w:rsidR="00041039" w:rsidRDefault="001B26CB">
            <w:pPr>
              <w:pStyle w:val="TableParagraph"/>
              <w:spacing w:before="18"/>
              <w:ind w:left="56"/>
              <w:rPr>
                <w:sz w:val="14"/>
              </w:rPr>
            </w:pPr>
            <w:r>
              <w:rPr>
                <w:color w:val="231F20"/>
                <w:sz w:val="14"/>
              </w:rPr>
              <w:t>2.</w:t>
            </w:r>
          </w:p>
        </w:tc>
        <w:tc>
          <w:tcPr>
            <w:tcW w:w="6558" w:type="dxa"/>
          </w:tcPr>
          <w:p w:rsidR="00041039" w:rsidRDefault="001B26CB">
            <w:pPr>
              <w:pStyle w:val="TableParagraph"/>
              <w:spacing w:before="15"/>
              <w:ind w:left="56"/>
              <w:rPr>
                <w:b/>
                <w:sz w:val="14"/>
              </w:rPr>
            </w:pPr>
            <w:r>
              <w:rPr>
                <w:b/>
                <w:color w:val="231F20"/>
                <w:sz w:val="14"/>
              </w:rPr>
              <w:t>Историја (одабране теме)*</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391"/>
              <w:rPr>
                <w:b/>
                <w:sz w:val="14"/>
              </w:rPr>
            </w:pPr>
            <w:r>
              <w:rPr>
                <w:b/>
                <w:color w:val="231F20"/>
                <w:sz w:val="14"/>
              </w:rPr>
              <w:t>2</w:t>
            </w:r>
          </w:p>
        </w:tc>
        <w:tc>
          <w:tcPr>
            <w:tcW w:w="850" w:type="dxa"/>
          </w:tcPr>
          <w:p w:rsidR="00041039" w:rsidRDefault="001B26CB">
            <w:pPr>
              <w:pStyle w:val="TableParagraph"/>
              <w:spacing w:before="15"/>
              <w:ind w:left="391"/>
              <w:rPr>
                <w:b/>
                <w:sz w:val="14"/>
              </w:rPr>
            </w:pPr>
            <w:r>
              <w:rPr>
                <w:b/>
                <w:color w:val="231F20"/>
                <w:sz w:val="14"/>
              </w:rPr>
              <w:t>2</w:t>
            </w:r>
          </w:p>
        </w:tc>
      </w:tr>
      <w:tr w:rsidR="00041039">
        <w:trPr>
          <w:trHeight w:val="200"/>
        </w:trPr>
        <w:tc>
          <w:tcPr>
            <w:tcW w:w="580" w:type="dxa"/>
          </w:tcPr>
          <w:p w:rsidR="00041039" w:rsidRDefault="001B26CB">
            <w:pPr>
              <w:pStyle w:val="TableParagraph"/>
              <w:spacing w:before="18"/>
              <w:ind w:left="56"/>
              <w:rPr>
                <w:sz w:val="14"/>
              </w:rPr>
            </w:pPr>
            <w:r>
              <w:rPr>
                <w:color w:val="231F20"/>
                <w:sz w:val="14"/>
              </w:rPr>
              <w:t>3.</w:t>
            </w:r>
          </w:p>
        </w:tc>
        <w:tc>
          <w:tcPr>
            <w:tcW w:w="6558" w:type="dxa"/>
          </w:tcPr>
          <w:p w:rsidR="00041039" w:rsidRDefault="001B26CB">
            <w:pPr>
              <w:pStyle w:val="TableParagraph"/>
              <w:spacing w:before="15"/>
              <w:ind w:left="56"/>
              <w:rPr>
                <w:b/>
                <w:sz w:val="14"/>
              </w:rPr>
            </w:pPr>
            <w:r>
              <w:rPr>
                <w:b/>
                <w:color w:val="231F20"/>
                <w:sz w:val="14"/>
              </w:rPr>
              <w:t>Психологија</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391"/>
              <w:rPr>
                <w:b/>
                <w:sz w:val="14"/>
              </w:rPr>
            </w:pPr>
            <w:r>
              <w:rPr>
                <w:b/>
                <w:color w:val="231F20"/>
                <w:sz w:val="14"/>
              </w:rPr>
              <w:t>2</w:t>
            </w:r>
          </w:p>
        </w:tc>
        <w:tc>
          <w:tcPr>
            <w:tcW w:w="850" w:type="dxa"/>
          </w:tcPr>
          <w:p w:rsidR="00041039" w:rsidRDefault="00041039">
            <w:pPr>
              <w:pStyle w:val="TableParagraph"/>
              <w:ind w:left="0"/>
              <w:rPr>
                <w:sz w:val="12"/>
              </w:rPr>
            </w:pPr>
          </w:p>
        </w:tc>
      </w:tr>
      <w:tr w:rsidR="00041039">
        <w:trPr>
          <w:trHeight w:val="200"/>
        </w:trPr>
        <w:tc>
          <w:tcPr>
            <w:tcW w:w="580" w:type="dxa"/>
          </w:tcPr>
          <w:p w:rsidR="00041039" w:rsidRDefault="001B26CB">
            <w:pPr>
              <w:pStyle w:val="TableParagraph"/>
              <w:spacing w:before="18"/>
              <w:ind w:left="56"/>
              <w:rPr>
                <w:sz w:val="14"/>
              </w:rPr>
            </w:pPr>
            <w:r>
              <w:rPr>
                <w:color w:val="231F20"/>
                <w:sz w:val="14"/>
              </w:rPr>
              <w:t>4.</w:t>
            </w:r>
          </w:p>
        </w:tc>
        <w:tc>
          <w:tcPr>
            <w:tcW w:w="6558" w:type="dxa"/>
          </w:tcPr>
          <w:p w:rsidR="00041039" w:rsidRDefault="001B26CB">
            <w:pPr>
              <w:pStyle w:val="TableParagraph"/>
              <w:spacing w:before="15"/>
              <w:ind w:left="56"/>
              <w:rPr>
                <w:b/>
                <w:sz w:val="14"/>
              </w:rPr>
            </w:pPr>
            <w:r>
              <w:rPr>
                <w:b/>
                <w:color w:val="231F20"/>
                <w:sz w:val="14"/>
              </w:rPr>
              <w:t>Физика</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391"/>
              <w:rPr>
                <w:b/>
                <w:sz w:val="14"/>
              </w:rPr>
            </w:pPr>
            <w:r>
              <w:rPr>
                <w:b/>
                <w:color w:val="231F20"/>
                <w:sz w:val="14"/>
              </w:rPr>
              <w:t>2</w:t>
            </w:r>
          </w:p>
        </w:tc>
        <w:tc>
          <w:tcPr>
            <w:tcW w:w="850" w:type="dxa"/>
          </w:tcPr>
          <w:p w:rsidR="00041039" w:rsidRDefault="00041039">
            <w:pPr>
              <w:pStyle w:val="TableParagraph"/>
              <w:ind w:left="0"/>
              <w:rPr>
                <w:sz w:val="12"/>
              </w:rPr>
            </w:pPr>
          </w:p>
        </w:tc>
      </w:tr>
      <w:tr w:rsidR="00041039">
        <w:trPr>
          <w:trHeight w:val="200"/>
        </w:trPr>
        <w:tc>
          <w:tcPr>
            <w:tcW w:w="580" w:type="dxa"/>
          </w:tcPr>
          <w:p w:rsidR="00041039" w:rsidRDefault="001B26CB">
            <w:pPr>
              <w:pStyle w:val="TableParagraph"/>
              <w:spacing w:before="17"/>
              <w:ind w:left="56"/>
              <w:rPr>
                <w:sz w:val="14"/>
              </w:rPr>
            </w:pPr>
            <w:r>
              <w:rPr>
                <w:color w:val="231F20"/>
                <w:sz w:val="14"/>
              </w:rPr>
              <w:t>5.</w:t>
            </w:r>
          </w:p>
        </w:tc>
        <w:tc>
          <w:tcPr>
            <w:tcW w:w="6558" w:type="dxa"/>
          </w:tcPr>
          <w:p w:rsidR="00041039" w:rsidRDefault="001B26CB">
            <w:pPr>
              <w:pStyle w:val="TableParagraph"/>
              <w:spacing w:before="15"/>
              <w:ind w:left="56"/>
              <w:rPr>
                <w:b/>
                <w:sz w:val="14"/>
              </w:rPr>
            </w:pPr>
            <w:r>
              <w:rPr>
                <w:b/>
                <w:color w:val="231F20"/>
                <w:sz w:val="14"/>
              </w:rPr>
              <w:t>Биологија (одабране теме)*</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391"/>
              <w:rPr>
                <w:b/>
                <w:sz w:val="14"/>
              </w:rPr>
            </w:pPr>
            <w:r>
              <w:rPr>
                <w:b/>
                <w:color w:val="231F20"/>
                <w:sz w:val="14"/>
              </w:rPr>
              <w:t>2</w:t>
            </w:r>
          </w:p>
        </w:tc>
        <w:tc>
          <w:tcPr>
            <w:tcW w:w="850" w:type="dxa"/>
          </w:tcPr>
          <w:p w:rsidR="00041039" w:rsidRDefault="001B26CB">
            <w:pPr>
              <w:pStyle w:val="TableParagraph"/>
              <w:spacing w:before="15"/>
              <w:ind w:left="391"/>
              <w:rPr>
                <w:b/>
                <w:sz w:val="14"/>
              </w:rPr>
            </w:pPr>
            <w:r>
              <w:rPr>
                <w:b/>
                <w:color w:val="231F20"/>
                <w:sz w:val="14"/>
              </w:rPr>
              <w:t>2</w:t>
            </w:r>
          </w:p>
        </w:tc>
      </w:tr>
      <w:tr w:rsidR="00041039">
        <w:trPr>
          <w:trHeight w:val="200"/>
        </w:trPr>
        <w:tc>
          <w:tcPr>
            <w:tcW w:w="580" w:type="dxa"/>
          </w:tcPr>
          <w:p w:rsidR="00041039" w:rsidRDefault="001B26CB">
            <w:pPr>
              <w:pStyle w:val="TableParagraph"/>
              <w:spacing w:before="17"/>
              <w:ind w:left="56"/>
              <w:rPr>
                <w:sz w:val="14"/>
              </w:rPr>
            </w:pPr>
            <w:r>
              <w:rPr>
                <w:color w:val="231F20"/>
                <w:sz w:val="14"/>
              </w:rPr>
              <w:t>6.</w:t>
            </w:r>
          </w:p>
        </w:tc>
        <w:tc>
          <w:tcPr>
            <w:tcW w:w="6558" w:type="dxa"/>
          </w:tcPr>
          <w:p w:rsidR="00041039" w:rsidRDefault="001B26CB">
            <w:pPr>
              <w:pStyle w:val="TableParagraph"/>
              <w:spacing w:before="15"/>
              <w:ind w:left="56"/>
              <w:rPr>
                <w:b/>
                <w:sz w:val="14"/>
              </w:rPr>
            </w:pPr>
            <w:r>
              <w:rPr>
                <w:b/>
                <w:color w:val="231F20"/>
                <w:sz w:val="14"/>
              </w:rPr>
              <w:t>Музичка култура</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391"/>
              <w:rPr>
                <w:b/>
                <w:sz w:val="14"/>
              </w:rPr>
            </w:pPr>
            <w:r>
              <w:rPr>
                <w:b/>
                <w:color w:val="231F20"/>
                <w:sz w:val="14"/>
              </w:rPr>
              <w:t>2</w:t>
            </w:r>
          </w:p>
        </w:tc>
        <w:tc>
          <w:tcPr>
            <w:tcW w:w="850" w:type="dxa"/>
          </w:tcPr>
          <w:p w:rsidR="00041039" w:rsidRDefault="00041039">
            <w:pPr>
              <w:pStyle w:val="TableParagraph"/>
              <w:ind w:left="0"/>
              <w:rPr>
                <w:sz w:val="12"/>
              </w:rPr>
            </w:pPr>
          </w:p>
        </w:tc>
      </w:tr>
      <w:tr w:rsidR="00041039">
        <w:trPr>
          <w:trHeight w:val="200"/>
        </w:trPr>
        <w:tc>
          <w:tcPr>
            <w:tcW w:w="580" w:type="dxa"/>
          </w:tcPr>
          <w:p w:rsidR="00041039" w:rsidRDefault="001B26CB">
            <w:pPr>
              <w:pStyle w:val="TableParagraph"/>
              <w:spacing w:before="17"/>
              <w:ind w:left="56"/>
              <w:rPr>
                <w:sz w:val="14"/>
              </w:rPr>
            </w:pPr>
            <w:r>
              <w:rPr>
                <w:color w:val="231F20"/>
                <w:sz w:val="14"/>
              </w:rPr>
              <w:t>7.</w:t>
            </w:r>
          </w:p>
        </w:tc>
        <w:tc>
          <w:tcPr>
            <w:tcW w:w="6558" w:type="dxa"/>
          </w:tcPr>
          <w:p w:rsidR="00041039" w:rsidRDefault="001B26CB">
            <w:pPr>
              <w:pStyle w:val="TableParagraph"/>
              <w:spacing w:before="15"/>
              <w:ind w:left="56"/>
              <w:rPr>
                <w:b/>
                <w:sz w:val="14"/>
              </w:rPr>
            </w:pPr>
            <w:r>
              <w:rPr>
                <w:b/>
                <w:color w:val="231F20"/>
                <w:sz w:val="14"/>
              </w:rPr>
              <w:t>Логика са етиком</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391"/>
              <w:rPr>
                <w:b/>
                <w:sz w:val="14"/>
              </w:rPr>
            </w:pPr>
            <w:r>
              <w:rPr>
                <w:b/>
                <w:color w:val="231F20"/>
                <w:sz w:val="14"/>
              </w:rPr>
              <w:t>2</w:t>
            </w:r>
          </w:p>
        </w:tc>
        <w:tc>
          <w:tcPr>
            <w:tcW w:w="850" w:type="dxa"/>
          </w:tcPr>
          <w:p w:rsidR="00041039" w:rsidRDefault="001B26CB">
            <w:pPr>
              <w:pStyle w:val="TableParagraph"/>
              <w:spacing w:before="15"/>
              <w:ind w:left="391"/>
              <w:rPr>
                <w:b/>
                <w:sz w:val="14"/>
              </w:rPr>
            </w:pPr>
            <w:r>
              <w:rPr>
                <w:b/>
                <w:color w:val="231F20"/>
                <w:sz w:val="14"/>
              </w:rPr>
              <w:t>2</w:t>
            </w:r>
          </w:p>
        </w:tc>
      </w:tr>
    </w:tbl>
    <w:p w:rsidR="00041039" w:rsidRDefault="00041039">
      <w:pPr>
        <w:pStyle w:val="BodyText"/>
        <w:spacing w:before="6"/>
        <w:rPr>
          <w:b/>
          <w:sz w:val="17"/>
        </w:rPr>
      </w:pPr>
    </w:p>
    <w:p w:rsidR="00041039" w:rsidRDefault="001B26CB">
      <w:pPr>
        <w:ind w:right="38"/>
        <w:jc w:val="center"/>
        <w:rPr>
          <w:b/>
          <w:sz w:val="18"/>
        </w:rPr>
      </w:pPr>
      <w:r>
        <w:rPr>
          <w:b/>
          <w:color w:val="231F20"/>
          <w:sz w:val="18"/>
        </w:rPr>
        <w:t>Остали обавезни облици образовно-васпитног рада током школске године</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52"/>
        <w:gridCol w:w="1134"/>
        <w:gridCol w:w="1134"/>
        <w:gridCol w:w="1134"/>
        <w:gridCol w:w="1134"/>
        <w:gridCol w:w="1134"/>
      </w:tblGrid>
      <w:tr w:rsidR="00041039">
        <w:trPr>
          <w:trHeight w:val="360"/>
        </w:trPr>
        <w:tc>
          <w:tcPr>
            <w:tcW w:w="4852" w:type="dxa"/>
            <w:shd w:val="clear" w:color="auto" w:fill="E6E7E8"/>
          </w:tcPr>
          <w:p w:rsidR="00041039" w:rsidRDefault="00041039">
            <w:pPr>
              <w:pStyle w:val="TableParagraph"/>
              <w:ind w:left="0"/>
              <w:rPr>
                <w:sz w:val="14"/>
              </w:rPr>
            </w:pPr>
          </w:p>
        </w:tc>
        <w:tc>
          <w:tcPr>
            <w:tcW w:w="1134" w:type="dxa"/>
            <w:shd w:val="clear" w:color="auto" w:fill="E6E7E8"/>
          </w:tcPr>
          <w:p w:rsidR="00041039" w:rsidRDefault="001B26CB">
            <w:pPr>
              <w:pStyle w:val="TableParagraph"/>
              <w:spacing w:before="18" w:line="161" w:lineRule="exact"/>
              <w:ind w:left="264"/>
              <w:rPr>
                <w:b/>
                <w:sz w:val="14"/>
              </w:rPr>
            </w:pPr>
            <w:r>
              <w:rPr>
                <w:b/>
                <w:color w:val="231F20"/>
                <w:sz w:val="14"/>
              </w:rPr>
              <w:t>I РАЗРЕД</w:t>
            </w:r>
          </w:p>
          <w:p w:rsidR="00041039" w:rsidRDefault="001B26CB">
            <w:pPr>
              <w:pStyle w:val="TableParagraph"/>
              <w:spacing w:line="161" w:lineRule="exact"/>
              <w:ind w:left="355"/>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II РАЗРЕД</w:t>
            </w:r>
          </w:p>
          <w:p w:rsidR="00041039" w:rsidRDefault="001B26CB">
            <w:pPr>
              <w:pStyle w:val="TableParagraph"/>
              <w:spacing w:line="161" w:lineRule="exact"/>
              <w:ind w:left="178" w:right="170"/>
              <w:jc w:val="center"/>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III РАЗРЕД</w:t>
            </w:r>
          </w:p>
          <w:p w:rsidR="00041039" w:rsidRDefault="001B26CB">
            <w:pPr>
              <w:pStyle w:val="TableParagraph"/>
              <w:spacing w:line="161" w:lineRule="exact"/>
              <w:ind w:left="178" w:right="170"/>
              <w:jc w:val="center"/>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IV РАЗРЕД</w:t>
            </w:r>
          </w:p>
          <w:p w:rsidR="00041039" w:rsidRDefault="001B26CB">
            <w:pPr>
              <w:pStyle w:val="TableParagraph"/>
              <w:spacing w:line="161" w:lineRule="exact"/>
              <w:ind w:left="178" w:right="170"/>
              <w:jc w:val="center"/>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УКУПНО</w:t>
            </w:r>
          </w:p>
          <w:p w:rsidR="00041039" w:rsidRDefault="001B26CB">
            <w:pPr>
              <w:pStyle w:val="TableParagraph"/>
              <w:spacing w:line="161" w:lineRule="exact"/>
              <w:ind w:left="178" w:right="170"/>
              <w:jc w:val="center"/>
              <w:rPr>
                <w:b/>
                <w:sz w:val="14"/>
              </w:rPr>
            </w:pPr>
            <w:r>
              <w:rPr>
                <w:b/>
                <w:color w:val="231F20"/>
                <w:sz w:val="14"/>
              </w:rPr>
              <w:t>часова</w:t>
            </w:r>
          </w:p>
        </w:tc>
      </w:tr>
      <w:tr w:rsidR="00041039">
        <w:trPr>
          <w:trHeight w:val="198"/>
        </w:trPr>
        <w:tc>
          <w:tcPr>
            <w:tcW w:w="4852" w:type="dxa"/>
          </w:tcPr>
          <w:p w:rsidR="00041039" w:rsidRDefault="001B26CB">
            <w:pPr>
              <w:pStyle w:val="TableParagraph"/>
              <w:spacing w:before="16"/>
              <w:ind w:left="56"/>
              <w:rPr>
                <w:b/>
                <w:sz w:val="14"/>
              </w:rPr>
            </w:pPr>
            <w:r>
              <w:rPr>
                <w:b/>
                <w:color w:val="231F20"/>
                <w:sz w:val="14"/>
              </w:rPr>
              <w:t>Час одељењског старешине</w:t>
            </w:r>
          </w:p>
        </w:tc>
        <w:tc>
          <w:tcPr>
            <w:tcW w:w="1134" w:type="dxa"/>
          </w:tcPr>
          <w:p w:rsidR="00041039" w:rsidRDefault="001B26CB">
            <w:pPr>
              <w:pStyle w:val="TableParagraph"/>
              <w:spacing w:before="16"/>
              <w:ind w:left="178" w:right="169"/>
              <w:jc w:val="center"/>
              <w:rPr>
                <w:b/>
                <w:sz w:val="14"/>
              </w:rPr>
            </w:pPr>
            <w:r>
              <w:rPr>
                <w:b/>
                <w:color w:val="231F20"/>
                <w:sz w:val="14"/>
              </w:rPr>
              <w:t>70</w:t>
            </w:r>
          </w:p>
        </w:tc>
        <w:tc>
          <w:tcPr>
            <w:tcW w:w="1134" w:type="dxa"/>
          </w:tcPr>
          <w:p w:rsidR="00041039" w:rsidRDefault="001B26CB">
            <w:pPr>
              <w:pStyle w:val="TableParagraph"/>
              <w:spacing w:before="16"/>
              <w:ind w:left="178" w:right="170"/>
              <w:jc w:val="center"/>
              <w:rPr>
                <w:b/>
                <w:sz w:val="14"/>
              </w:rPr>
            </w:pPr>
            <w:r>
              <w:rPr>
                <w:b/>
                <w:color w:val="231F20"/>
                <w:sz w:val="14"/>
              </w:rPr>
              <w:t>70</w:t>
            </w:r>
          </w:p>
        </w:tc>
        <w:tc>
          <w:tcPr>
            <w:tcW w:w="1134" w:type="dxa"/>
          </w:tcPr>
          <w:p w:rsidR="00041039" w:rsidRDefault="001B26CB">
            <w:pPr>
              <w:pStyle w:val="TableParagraph"/>
              <w:spacing w:before="16"/>
              <w:ind w:left="178" w:right="170"/>
              <w:jc w:val="center"/>
              <w:rPr>
                <w:b/>
                <w:sz w:val="14"/>
              </w:rPr>
            </w:pPr>
            <w:r>
              <w:rPr>
                <w:b/>
                <w:color w:val="231F20"/>
                <w:sz w:val="14"/>
              </w:rPr>
              <w:t>70</w:t>
            </w:r>
          </w:p>
        </w:tc>
        <w:tc>
          <w:tcPr>
            <w:tcW w:w="1134" w:type="dxa"/>
          </w:tcPr>
          <w:p w:rsidR="00041039" w:rsidRDefault="001B26CB">
            <w:pPr>
              <w:pStyle w:val="TableParagraph"/>
              <w:spacing w:before="16"/>
              <w:ind w:left="178" w:right="170"/>
              <w:jc w:val="center"/>
              <w:rPr>
                <w:b/>
                <w:sz w:val="14"/>
              </w:rPr>
            </w:pPr>
            <w:r>
              <w:rPr>
                <w:b/>
                <w:color w:val="231F20"/>
                <w:sz w:val="14"/>
              </w:rPr>
              <w:t>64</w:t>
            </w:r>
          </w:p>
        </w:tc>
        <w:tc>
          <w:tcPr>
            <w:tcW w:w="1134" w:type="dxa"/>
          </w:tcPr>
          <w:p w:rsidR="00041039" w:rsidRDefault="001B26CB">
            <w:pPr>
              <w:pStyle w:val="TableParagraph"/>
              <w:spacing w:before="16"/>
              <w:ind w:left="177" w:right="170"/>
              <w:jc w:val="center"/>
              <w:rPr>
                <w:b/>
                <w:sz w:val="14"/>
              </w:rPr>
            </w:pPr>
            <w:r>
              <w:rPr>
                <w:b/>
                <w:color w:val="231F20"/>
                <w:sz w:val="14"/>
              </w:rPr>
              <w:t>274</w:t>
            </w:r>
          </w:p>
        </w:tc>
      </w:tr>
      <w:tr w:rsidR="00041039">
        <w:trPr>
          <w:trHeight w:val="198"/>
        </w:trPr>
        <w:tc>
          <w:tcPr>
            <w:tcW w:w="4852" w:type="dxa"/>
          </w:tcPr>
          <w:p w:rsidR="00041039" w:rsidRDefault="001B26CB">
            <w:pPr>
              <w:pStyle w:val="TableParagraph"/>
              <w:spacing w:before="15"/>
              <w:ind w:left="56"/>
              <w:rPr>
                <w:b/>
                <w:sz w:val="14"/>
              </w:rPr>
            </w:pPr>
            <w:r>
              <w:rPr>
                <w:b/>
                <w:color w:val="231F20"/>
                <w:sz w:val="14"/>
              </w:rPr>
              <w:t>Додатни рад *</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120</w:t>
            </w:r>
          </w:p>
        </w:tc>
      </w:tr>
      <w:tr w:rsidR="00041039">
        <w:trPr>
          <w:trHeight w:val="198"/>
        </w:trPr>
        <w:tc>
          <w:tcPr>
            <w:tcW w:w="4852" w:type="dxa"/>
          </w:tcPr>
          <w:p w:rsidR="00041039" w:rsidRDefault="001B26CB">
            <w:pPr>
              <w:pStyle w:val="TableParagraph"/>
              <w:spacing w:before="15"/>
              <w:ind w:left="56"/>
              <w:rPr>
                <w:b/>
                <w:sz w:val="14"/>
              </w:rPr>
            </w:pPr>
            <w:r>
              <w:rPr>
                <w:b/>
                <w:color w:val="231F20"/>
                <w:sz w:val="14"/>
              </w:rPr>
              <w:t>Допунски рад *</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120</w:t>
            </w:r>
          </w:p>
        </w:tc>
      </w:tr>
      <w:tr w:rsidR="00041039">
        <w:trPr>
          <w:trHeight w:val="198"/>
        </w:trPr>
        <w:tc>
          <w:tcPr>
            <w:tcW w:w="4852" w:type="dxa"/>
          </w:tcPr>
          <w:p w:rsidR="00041039" w:rsidRDefault="001B26CB">
            <w:pPr>
              <w:pStyle w:val="TableParagraph"/>
              <w:spacing w:before="15"/>
              <w:ind w:left="56"/>
              <w:rPr>
                <w:b/>
                <w:sz w:val="14"/>
              </w:rPr>
            </w:pPr>
            <w:r>
              <w:rPr>
                <w:b/>
                <w:color w:val="231F20"/>
                <w:sz w:val="14"/>
              </w:rPr>
              <w:t>Припремни рад *</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120</w:t>
            </w:r>
          </w:p>
        </w:tc>
      </w:tr>
    </w:tbl>
    <w:p w:rsidR="00041039" w:rsidRDefault="00041039">
      <w:pPr>
        <w:pStyle w:val="BodyText"/>
        <w:spacing w:before="6"/>
        <w:rPr>
          <w:b/>
          <w:sz w:val="17"/>
        </w:rPr>
      </w:pPr>
    </w:p>
    <w:p w:rsidR="00041039" w:rsidRDefault="001B26CB">
      <w:pPr>
        <w:ind w:right="37"/>
        <w:jc w:val="center"/>
        <w:rPr>
          <w:b/>
          <w:sz w:val="18"/>
        </w:rPr>
      </w:pPr>
      <w:r>
        <w:rPr>
          <w:b/>
          <w:color w:val="231F20"/>
          <w:sz w:val="18"/>
        </w:rPr>
        <w:t>Остали обавезни облици образовно-васпитног рада током школске године</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6"/>
        <w:gridCol w:w="1134"/>
        <w:gridCol w:w="1134"/>
        <w:gridCol w:w="1134"/>
        <w:gridCol w:w="1134"/>
      </w:tblGrid>
      <w:tr w:rsidR="00041039">
        <w:trPr>
          <w:trHeight w:val="200"/>
        </w:trPr>
        <w:tc>
          <w:tcPr>
            <w:tcW w:w="5986" w:type="dxa"/>
          </w:tcPr>
          <w:p w:rsidR="00041039" w:rsidRDefault="00041039">
            <w:pPr>
              <w:pStyle w:val="TableParagraph"/>
              <w:ind w:left="0"/>
              <w:rPr>
                <w:sz w:val="12"/>
              </w:rPr>
            </w:pPr>
          </w:p>
        </w:tc>
        <w:tc>
          <w:tcPr>
            <w:tcW w:w="1134" w:type="dxa"/>
          </w:tcPr>
          <w:p w:rsidR="00041039" w:rsidRDefault="001B26CB">
            <w:pPr>
              <w:pStyle w:val="TableParagraph"/>
              <w:spacing w:before="16"/>
              <w:ind w:left="178" w:right="169"/>
              <w:jc w:val="center"/>
              <w:rPr>
                <w:b/>
                <w:sz w:val="14"/>
              </w:rPr>
            </w:pPr>
            <w:r>
              <w:rPr>
                <w:b/>
                <w:color w:val="231F20"/>
                <w:sz w:val="14"/>
              </w:rPr>
              <w:t>I РАЗРЕД</w:t>
            </w:r>
          </w:p>
        </w:tc>
        <w:tc>
          <w:tcPr>
            <w:tcW w:w="1134" w:type="dxa"/>
          </w:tcPr>
          <w:p w:rsidR="00041039" w:rsidRDefault="001B26CB">
            <w:pPr>
              <w:pStyle w:val="TableParagraph"/>
              <w:spacing w:before="16"/>
              <w:ind w:left="237"/>
              <w:rPr>
                <w:b/>
                <w:sz w:val="14"/>
              </w:rPr>
            </w:pPr>
            <w:r>
              <w:rPr>
                <w:b/>
                <w:color w:val="231F20"/>
                <w:sz w:val="14"/>
              </w:rPr>
              <w:t>II РАЗРЕД</w:t>
            </w:r>
          </w:p>
        </w:tc>
        <w:tc>
          <w:tcPr>
            <w:tcW w:w="1134" w:type="dxa"/>
          </w:tcPr>
          <w:p w:rsidR="00041039" w:rsidRDefault="001B26CB">
            <w:pPr>
              <w:pStyle w:val="TableParagraph"/>
              <w:spacing w:before="16"/>
              <w:ind w:left="209"/>
              <w:rPr>
                <w:b/>
                <w:sz w:val="14"/>
              </w:rPr>
            </w:pPr>
            <w:r>
              <w:rPr>
                <w:b/>
                <w:color w:val="231F20"/>
                <w:sz w:val="14"/>
              </w:rPr>
              <w:t>III РАЗРЕД</w:t>
            </w:r>
          </w:p>
        </w:tc>
        <w:tc>
          <w:tcPr>
            <w:tcW w:w="1134" w:type="dxa"/>
          </w:tcPr>
          <w:p w:rsidR="00041039" w:rsidRDefault="001B26CB">
            <w:pPr>
              <w:pStyle w:val="TableParagraph"/>
              <w:spacing w:before="16"/>
              <w:ind w:left="214"/>
              <w:rPr>
                <w:b/>
                <w:sz w:val="14"/>
              </w:rPr>
            </w:pPr>
            <w:r>
              <w:rPr>
                <w:b/>
                <w:color w:val="231F20"/>
                <w:sz w:val="14"/>
              </w:rPr>
              <w:t>IV РАЗРЕД</w:t>
            </w:r>
          </w:p>
        </w:tc>
      </w:tr>
      <w:tr w:rsidR="00041039">
        <w:trPr>
          <w:trHeight w:val="360"/>
        </w:trPr>
        <w:tc>
          <w:tcPr>
            <w:tcW w:w="5986" w:type="dxa"/>
          </w:tcPr>
          <w:p w:rsidR="00041039" w:rsidRDefault="001B26CB">
            <w:pPr>
              <w:pStyle w:val="TableParagraph"/>
              <w:spacing w:before="18"/>
              <w:ind w:left="56"/>
              <w:rPr>
                <w:sz w:val="14"/>
              </w:rPr>
            </w:pPr>
            <w:r>
              <w:rPr>
                <w:color w:val="231F20"/>
                <w:sz w:val="14"/>
              </w:rPr>
              <w:t>Екскурзија</w:t>
            </w:r>
          </w:p>
        </w:tc>
        <w:tc>
          <w:tcPr>
            <w:tcW w:w="1134" w:type="dxa"/>
          </w:tcPr>
          <w:p w:rsidR="00041039" w:rsidRDefault="001B26CB">
            <w:pPr>
              <w:pStyle w:val="TableParagraph"/>
              <w:spacing w:before="15"/>
              <w:ind w:left="178" w:right="170"/>
              <w:jc w:val="center"/>
              <w:rPr>
                <w:b/>
                <w:sz w:val="14"/>
              </w:rPr>
            </w:pPr>
            <w:r>
              <w:rPr>
                <w:b/>
                <w:color w:val="231F20"/>
                <w:sz w:val="14"/>
              </w:rPr>
              <w:t>до 3 дана</w:t>
            </w:r>
          </w:p>
        </w:tc>
        <w:tc>
          <w:tcPr>
            <w:tcW w:w="1134" w:type="dxa"/>
          </w:tcPr>
          <w:p w:rsidR="00041039" w:rsidRDefault="001B26CB">
            <w:pPr>
              <w:pStyle w:val="TableParagraph"/>
              <w:spacing w:before="15"/>
              <w:ind w:left="280"/>
              <w:rPr>
                <w:b/>
                <w:sz w:val="14"/>
              </w:rPr>
            </w:pPr>
            <w:r>
              <w:rPr>
                <w:b/>
                <w:color w:val="231F20"/>
                <w:sz w:val="14"/>
              </w:rPr>
              <w:t>до 5 дана</w:t>
            </w:r>
          </w:p>
        </w:tc>
        <w:tc>
          <w:tcPr>
            <w:tcW w:w="1134" w:type="dxa"/>
          </w:tcPr>
          <w:p w:rsidR="00041039" w:rsidRDefault="001B26CB">
            <w:pPr>
              <w:pStyle w:val="TableParagraph"/>
              <w:spacing w:before="18"/>
              <w:ind w:left="72" w:right="47" w:firstLine="370"/>
              <w:rPr>
                <w:b/>
                <w:sz w:val="14"/>
              </w:rPr>
            </w:pPr>
            <w:r>
              <w:rPr>
                <w:b/>
                <w:color w:val="231F20"/>
                <w:sz w:val="14"/>
              </w:rPr>
              <w:t>до 5 наставних дана</w:t>
            </w:r>
          </w:p>
        </w:tc>
        <w:tc>
          <w:tcPr>
            <w:tcW w:w="1134" w:type="dxa"/>
          </w:tcPr>
          <w:p w:rsidR="00041039" w:rsidRDefault="001B26CB">
            <w:pPr>
              <w:pStyle w:val="TableParagraph"/>
              <w:spacing w:before="18"/>
              <w:ind w:left="72" w:right="47" w:firstLine="370"/>
              <w:rPr>
                <w:b/>
                <w:sz w:val="14"/>
              </w:rPr>
            </w:pPr>
            <w:r>
              <w:rPr>
                <w:b/>
                <w:color w:val="231F20"/>
                <w:sz w:val="14"/>
              </w:rPr>
              <w:t>до 5 наставних дана</w:t>
            </w:r>
          </w:p>
        </w:tc>
      </w:tr>
      <w:tr w:rsidR="00041039">
        <w:trPr>
          <w:trHeight w:val="200"/>
        </w:trPr>
        <w:tc>
          <w:tcPr>
            <w:tcW w:w="5986" w:type="dxa"/>
          </w:tcPr>
          <w:p w:rsidR="00041039" w:rsidRDefault="001B26CB">
            <w:pPr>
              <w:pStyle w:val="TableParagraph"/>
              <w:spacing w:before="18"/>
              <w:ind w:left="56"/>
              <w:rPr>
                <w:sz w:val="14"/>
              </w:rPr>
            </w:pPr>
            <w:r>
              <w:rPr>
                <w:color w:val="231F20"/>
                <w:sz w:val="14"/>
              </w:rPr>
              <w:t>Језик другог народа или националне мањине са елементима националне културе</w:t>
            </w:r>
          </w:p>
        </w:tc>
        <w:tc>
          <w:tcPr>
            <w:tcW w:w="4536" w:type="dxa"/>
            <w:gridSpan w:val="4"/>
          </w:tcPr>
          <w:p w:rsidR="00041039" w:rsidRDefault="001B26CB">
            <w:pPr>
              <w:pStyle w:val="TableParagraph"/>
              <w:spacing w:before="15"/>
              <w:ind w:left="1511" w:right="1503"/>
              <w:jc w:val="center"/>
              <w:rPr>
                <w:b/>
                <w:sz w:val="14"/>
              </w:rPr>
            </w:pPr>
            <w:r>
              <w:rPr>
                <w:b/>
                <w:color w:val="231F20"/>
                <w:sz w:val="14"/>
              </w:rPr>
              <w:t>2 часа недељно</w:t>
            </w:r>
          </w:p>
        </w:tc>
      </w:tr>
      <w:tr w:rsidR="00041039">
        <w:trPr>
          <w:trHeight w:val="200"/>
        </w:trPr>
        <w:tc>
          <w:tcPr>
            <w:tcW w:w="5986" w:type="dxa"/>
          </w:tcPr>
          <w:p w:rsidR="00041039" w:rsidRDefault="001B26CB">
            <w:pPr>
              <w:pStyle w:val="TableParagraph"/>
              <w:spacing w:before="18"/>
              <w:ind w:left="56"/>
              <w:rPr>
                <w:sz w:val="14"/>
              </w:rPr>
            </w:pPr>
            <w:r>
              <w:rPr>
                <w:color w:val="231F20"/>
                <w:sz w:val="14"/>
              </w:rPr>
              <w:t>Tpeћи страни језик</w:t>
            </w:r>
          </w:p>
        </w:tc>
        <w:tc>
          <w:tcPr>
            <w:tcW w:w="4536" w:type="dxa"/>
            <w:gridSpan w:val="4"/>
          </w:tcPr>
          <w:p w:rsidR="00041039" w:rsidRDefault="001B26CB">
            <w:pPr>
              <w:pStyle w:val="TableParagraph"/>
              <w:spacing w:before="15"/>
              <w:ind w:left="1511" w:right="1503"/>
              <w:jc w:val="center"/>
              <w:rPr>
                <w:b/>
                <w:sz w:val="14"/>
              </w:rPr>
            </w:pPr>
            <w:r>
              <w:rPr>
                <w:b/>
                <w:color w:val="231F20"/>
                <w:sz w:val="14"/>
              </w:rPr>
              <w:t>2 часа недељно</w:t>
            </w:r>
          </w:p>
        </w:tc>
      </w:tr>
      <w:tr w:rsidR="00041039">
        <w:trPr>
          <w:trHeight w:val="200"/>
        </w:trPr>
        <w:tc>
          <w:tcPr>
            <w:tcW w:w="5986" w:type="dxa"/>
          </w:tcPr>
          <w:p w:rsidR="00041039" w:rsidRDefault="001B26CB">
            <w:pPr>
              <w:pStyle w:val="TableParagraph"/>
              <w:spacing w:before="18"/>
              <w:ind w:left="56"/>
              <w:rPr>
                <w:sz w:val="14"/>
              </w:rPr>
            </w:pPr>
            <w:r>
              <w:rPr>
                <w:color w:val="231F20"/>
                <w:sz w:val="14"/>
              </w:rPr>
              <w:t>Други предмети *</w:t>
            </w:r>
          </w:p>
        </w:tc>
        <w:tc>
          <w:tcPr>
            <w:tcW w:w="4536" w:type="dxa"/>
            <w:gridSpan w:val="4"/>
          </w:tcPr>
          <w:p w:rsidR="00041039" w:rsidRDefault="001B26CB">
            <w:pPr>
              <w:pStyle w:val="TableParagraph"/>
              <w:spacing w:before="15"/>
              <w:ind w:left="1511" w:right="1503"/>
              <w:jc w:val="center"/>
              <w:rPr>
                <w:b/>
                <w:sz w:val="14"/>
              </w:rPr>
            </w:pPr>
            <w:r>
              <w:rPr>
                <w:b/>
                <w:color w:val="231F20"/>
                <w:sz w:val="14"/>
              </w:rPr>
              <w:t>1 - 2 часа недељно</w:t>
            </w:r>
          </w:p>
        </w:tc>
      </w:tr>
      <w:tr w:rsidR="00041039">
        <w:trPr>
          <w:trHeight w:val="200"/>
        </w:trPr>
        <w:tc>
          <w:tcPr>
            <w:tcW w:w="5986" w:type="dxa"/>
          </w:tcPr>
          <w:p w:rsidR="00041039" w:rsidRDefault="001B26CB">
            <w:pPr>
              <w:pStyle w:val="TableParagraph"/>
              <w:spacing w:before="18"/>
              <w:ind w:left="56"/>
              <w:rPr>
                <w:sz w:val="14"/>
              </w:rPr>
            </w:pPr>
            <w:r>
              <w:rPr>
                <w:color w:val="231F20"/>
                <w:sz w:val="14"/>
              </w:rPr>
              <w:t>Стваралачке и слободне активности ученика (хор, секције и друго)</w:t>
            </w:r>
          </w:p>
        </w:tc>
        <w:tc>
          <w:tcPr>
            <w:tcW w:w="4536" w:type="dxa"/>
            <w:gridSpan w:val="4"/>
          </w:tcPr>
          <w:p w:rsidR="00041039" w:rsidRDefault="001B26CB">
            <w:pPr>
              <w:pStyle w:val="TableParagraph"/>
              <w:spacing w:before="15"/>
              <w:ind w:left="1511" w:right="1503"/>
              <w:jc w:val="center"/>
              <w:rPr>
                <w:b/>
                <w:sz w:val="14"/>
              </w:rPr>
            </w:pPr>
            <w:r>
              <w:rPr>
                <w:b/>
                <w:color w:val="231F20"/>
                <w:sz w:val="14"/>
              </w:rPr>
              <w:t>30 - 60 часова годишње</w:t>
            </w:r>
          </w:p>
        </w:tc>
      </w:tr>
      <w:tr w:rsidR="00041039">
        <w:trPr>
          <w:trHeight w:val="200"/>
        </w:trPr>
        <w:tc>
          <w:tcPr>
            <w:tcW w:w="5986" w:type="dxa"/>
          </w:tcPr>
          <w:p w:rsidR="00041039" w:rsidRDefault="001B26CB">
            <w:pPr>
              <w:pStyle w:val="TableParagraph"/>
              <w:spacing w:before="18"/>
              <w:ind w:left="56"/>
              <w:rPr>
                <w:sz w:val="14"/>
              </w:rPr>
            </w:pPr>
            <w:r>
              <w:rPr>
                <w:color w:val="231F20"/>
                <w:sz w:val="14"/>
              </w:rPr>
              <w:t>Друштвене активности ­ ученички парламент, ученичке задруге</w:t>
            </w:r>
          </w:p>
        </w:tc>
        <w:tc>
          <w:tcPr>
            <w:tcW w:w="4536" w:type="dxa"/>
            <w:gridSpan w:val="4"/>
          </w:tcPr>
          <w:p w:rsidR="00041039" w:rsidRDefault="001B26CB">
            <w:pPr>
              <w:pStyle w:val="TableParagraph"/>
              <w:spacing w:before="15"/>
              <w:ind w:left="1511" w:right="1503"/>
              <w:jc w:val="center"/>
              <w:rPr>
                <w:b/>
                <w:sz w:val="14"/>
              </w:rPr>
            </w:pPr>
            <w:r>
              <w:rPr>
                <w:b/>
                <w:color w:val="231F20"/>
                <w:sz w:val="14"/>
              </w:rPr>
              <w:t>15 - 30 часова годишње</w:t>
            </w:r>
          </w:p>
        </w:tc>
      </w:tr>
      <w:tr w:rsidR="00041039">
        <w:trPr>
          <w:trHeight w:val="200"/>
        </w:trPr>
        <w:tc>
          <w:tcPr>
            <w:tcW w:w="5986" w:type="dxa"/>
          </w:tcPr>
          <w:p w:rsidR="00041039" w:rsidRDefault="001B26CB">
            <w:pPr>
              <w:pStyle w:val="TableParagraph"/>
              <w:spacing w:before="18"/>
              <w:ind w:left="56"/>
              <w:rPr>
                <w:sz w:val="14"/>
              </w:rPr>
            </w:pPr>
            <w:r>
              <w:rPr>
                <w:color w:val="231F20"/>
                <w:sz w:val="14"/>
              </w:rPr>
              <w:t>Културна и јавна делатност школе</w:t>
            </w:r>
          </w:p>
        </w:tc>
        <w:tc>
          <w:tcPr>
            <w:tcW w:w="4536" w:type="dxa"/>
            <w:gridSpan w:val="4"/>
          </w:tcPr>
          <w:p w:rsidR="00041039" w:rsidRDefault="001B26CB">
            <w:pPr>
              <w:pStyle w:val="TableParagraph"/>
              <w:spacing w:before="15"/>
              <w:ind w:left="1511" w:right="1503"/>
              <w:jc w:val="center"/>
              <w:rPr>
                <w:b/>
                <w:sz w:val="14"/>
              </w:rPr>
            </w:pPr>
            <w:r>
              <w:rPr>
                <w:b/>
                <w:color w:val="231F20"/>
                <w:sz w:val="14"/>
              </w:rPr>
              <w:t>2 радна дана</w:t>
            </w:r>
          </w:p>
        </w:tc>
      </w:tr>
    </w:tbl>
    <w:p w:rsidR="00041039" w:rsidRDefault="00041039">
      <w:pPr>
        <w:pStyle w:val="BodyText"/>
        <w:spacing w:before="6"/>
        <w:rPr>
          <w:b/>
          <w:sz w:val="17"/>
        </w:rPr>
      </w:pPr>
    </w:p>
    <w:p w:rsidR="00041039" w:rsidRDefault="001B26CB">
      <w:pPr>
        <w:ind w:right="37"/>
        <w:jc w:val="center"/>
        <w:rPr>
          <w:b/>
          <w:sz w:val="18"/>
        </w:rPr>
      </w:pPr>
      <w:r>
        <w:rPr>
          <w:b/>
          <w:color w:val="231F20"/>
          <w:sz w:val="18"/>
        </w:rPr>
        <w:t>Остваривање школског програма по недељама</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6"/>
        <w:gridCol w:w="1134"/>
        <w:gridCol w:w="1134"/>
        <w:gridCol w:w="1134"/>
        <w:gridCol w:w="1134"/>
      </w:tblGrid>
      <w:tr w:rsidR="00041039">
        <w:trPr>
          <w:trHeight w:val="200"/>
        </w:trPr>
        <w:tc>
          <w:tcPr>
            <w:tcW w:w="5986" w:type="dxa"/>
            <w:shd w:val="clear" w:color="auto" w:fill="E6E7E8"/>
          </w:tcPr>
          <w:p w:rsidR="00041039" w:rsidRDefault="00041039">
            <w:pPr>
              <w:pStyle w:val="TableParagraph"/>
              <w:ind w:left="0"/>
              <w:rPr>
                <w:sz w:val="12"/>
              </w:rPr>
            </w:pPr>
          </w:p>
        </w:tc>
        <w:tc>
          <w:tcPr>
            <w:tcW w:w="1134" w:type="dxa"/>
            <w:shd w:val="clear" w:color="auto" w:fill="E6E7E8"/>
          </w:tcPr>
          <w:p w:rsidR="00041039" w:rsidRDefault="001B26CB">
            <w:pPr>
              <w:pStyle w:val="TableParagraph"/>
              <w:spacing w:before="16"/>
              <w:ind w:left="178" w:right="169"/>
              <w:jc w:val="center"/>
              <w:rPr>
                <w:b/>
                <w:sz w:val="14"/>
              </w:rPr>
            </w:pPr>
            <w:r>
              <w:rPr>
                <w:b/>
                <w:color w:val="231F20"/>
                <w:sz w:val="14"/>
              </w:rPr>
              <w:t>I РАЗРЕД</w:t>
            </w:r>
          </w:p>
        </w:tc>
        <w:tc>
          <w:tcPr>
            <w:tcW w:w="1134" w:type="dxa"/>
            <w:shd w:val="clear" w:color="auto" w:fill="E6E7E8"/>
          </w:tcPr>
          <w:p w:rsidR="00041039" w:rsidRDefault="001B26CB">
            <w:pPr>
              <w:pStyle w:val="TableParagraph"/>
              <w:spacing w:before="16"/>
              <w:ind w:left="178" w:right="170"/>
              <w:jc w:val="center"/>
              <w:rPr>
                <w:b/>
                <w:sz w:val="14"/>
              </w:rPr>
            </w:pPr>
            <w:r>
              <w:rPr>
                <w:b/>
                <w:color w:val="231F20"/>
                <w:sz w:val="14"/>
              </w:rPr>
              <w:t>II РАЗРЕД</w:t>
            </w:r>
          </w:p>
        </w:tc>
        <w:tc>
          <w:tcPr>
            <w:tcW w:w="1134" w:type="dxa"/>
            <w:shd w:val="clear" w:color="auto" w:fill="E6E7E8"/>
          </w:tcPr>
          <w:p w:rsidR="00041039" w:rsidRDefault="001B26CB">
            <w:pPr>
              <w:pStyle w:val="TableParagraph"/>
              <w:spacing w:before="16"/>
              <w:ind w:left="178" w:right="170"/>
              <w:jc w:val="center"/>
              <w:rPr>
                <w:b/>
                <w:sz w:val="14"/>
              </w:rPr>
            </w:pPr>
            <w:r>
              <w:rPr>
                <w:b/>
                <w:color w:val="231F20"/>
                <w:sz w:val="14"/>
              </w:rPr>
              <w:t>III РАЗРЕД</w:t>
            </w:r>
          </w:p>
        </w:tc>
        <w:tc>
          <w:tcPr>
            <w:tcW w:w="1134" w:type="dxa"/>
            <w:shd w:val="clear" w:color="auto" w:fill="E6E7E8"/>
          </w:tcPr>
          <w:p w:rsidR="00041039" w:rsidRDefault="001B26CB">
            <w:pPr>
              <w:pStyle w:val="TableParagraph"/>
              <w:spacing w:before="16"/>
              <w:ind w:left="177" w:right="170"/>
              <w:jc w:val="center"/>
              <w:rPr>
                <w:b/>
                <w:sz w:val="14"/>
              </w:rPr>
            </w:pPr>
            <w:r>
              <w:rPr>
                <w:b/>
                <w:color w:val="231F20"/>
                <w:sz w:val="14"/>
              </w:rPr>
              <w:t>IV РАЗРЕД</w:t>
            </w:r>
          </w:p>
        </w:tc>
      </w:tr>
      <w:tr w:rsidR="00041039">
        <w:trPr>
          <w:trHeight w:val="200"/>
        </w:trPr>
        <w:tc>
          <w:tcPr>
            <w:tcW w:w="5986" w:type="dxa"/>
          </w:tcPr>
          <w:p w:rsidR="00041039" w:rsidRDefault="001B26CB">
            <w:pPr>
              <w:pStyle w:val="TableParagraph"/>
              <w:spacing w:before="18"/>
              <w:ind w:left="56"/>
              <w:rPr>
                <w:sz w:val="14"/>
              </w:rPr>
            </w:pPr>
            <w:r>
              <w:rPr>
                <w:color w:val="231F20"/>
                <w:sz w:val="14"/>
              </w:rPr>
              <w:t>Разредно ­ часовна настава</w:t>
            </w:r>
          </w:p>
        </w:tc>
        <w:tc>
          <w:tcPr>
            <w:tcW w:w="1134" w:type="dxa"/>
          </w:tcPr>
          <w:p w:rsidR="00041039" w:rsidRDefault="001B26CB">
            <w:pPr>
              <w:pStyle w:val="TableParagraph"/>
              <w:spacing w:before="15"/>
              <w:ind w:left="178" w:right="170"/>
              <w:jc w:val="center"/>
              <w:rPr>
                <w:b/>
                <w:sz w:val="14"/>
              </w:rPr>
            </w:pPr>
            <w:r>
              <w:rPr>
                <w:b/>
                <w:color w:val="231F20"/>
                <w:sz w:val="14"/>
              </w:rPr>
              <w:t>35</w:t>
            </w:r>
          </w:p>
        </w:tc>
        <w:tc>
          <w:tcPr>
            <w:tcW w:w="1134" w:type="dxa"/>
          </w:tcPr>
          <w:p w:rsidR="00041039" w:rsidRDefault="001B26CB">
            <w:pPr>
              <w:pStyle w:val="TableParagraph"/>
              <w:spacing w:before="15"/>
              <w:ind w:left="178" w:right="170"/>
              <w:jc w:val="center"/>
              <w:rPr>
                <w:b/>
                <w:sz w:val="14"/>
              </w:rPr>
            </w:pPr>
            <w:r>
              <w:rPr>
                <w:b/>
                <w:color w:val="231F20"/>
                <w:sz w:val="14"/>
              </w:rPr>
              <w:t>35</w:t>
            </w:r>
          </w:p>
        </w:tc>
        <w:tc>
          <w:tcPr>
            <w:tcW w:w="1134" w:type="dxa"/>
          </w:tcPr>
          <w:p w:rsidR="00041039" w:rsidRDefault="001B26CB">
            <w:pPr>
              <w:pStyle w:val="TableParagraph"/>
              <w:spacing w:before="15"/>
              <w:ind w:left="177" w:right="170"/>
              <w:jc w:val="center"/>
              <w:rPr>
                <w:b/>
                <w:sz w:val="14"/>
              </w:rPr>
            </w:pPr>
            <w:r>
              <w:rPr>
                <w:b/>
                <w:color w:val="231F20"/>
                <w:sz w:val="14"/>
              </w:rPr>
              <w:t>35</w:t>
            </w:r>
          </w:p>
        </w:tc>
        <w:tc>
          <w:tcPr>
            <w:tcW w:w="1134" w:type="dxa"/>
          </w:tcPr>
          <w:p w:rsidR="00041039" w:rsidRDefault="001B26CB">
            <w:pPr>
              <w:pStyle w:val="TableParagraph"/>
              <w:spacing w:before="15"/>
              <w:ind w:left="177" w:right="170"/>
              <w:jc w:val="center"/>
              <w:rPr>
                <w:b/>
                <w:sz w:val="14"/>
              </w:rPr>
            </w:pPr>
            <w:r>
              <w:rPr>
                <w:b/>
                <w:color w:val="231F20"/>
                <w:sz w:val="14"/>
              </w:rPr>
              <w:t>32</w:t>
            </w:r>
          </w:p>
        </w:tc>
      </w:tr>
      <w:tr w:rsidR="00041039">
        <w:trPr>
          <w:trHeight w:val="200"/>
        </w:trPr>
        <w:tc>
          <w:tcPr>
            <w:tcW w:w="5986" w:type="dxa"/>
          </w:tcPr>
          <w:p w:rsidR="00041039" w:rsidRDefault="001B26CB">
            <w:pPr>
              <w:pStyle w:val="TableParagraph"/>
              <w:spacing w:before="18"/>
              <w:ind w:left="56"/>
              <w:rPr>
                <w:sz w:val="14"/>
              </w:rPr>
            </w:pPr>
            <w:r>
              <w:rPr>
                <w:color w:val="231F20"/>
                <w:sz w:val="14"/>
              </w:rPr>
              <w:t>Менторски рад (блок практичне наставе)</w:t>
            </w:r>
          </w:p>
        </w:tc>
        <w:tc>
          <w:tcPr>
            <w:tcW w:w="1134" w:type="dxa"/>
          </w:tcPr>
          <w:p w:rsidR="00041039" w:rsidRDefault="001B26CB">
            <w:pPr>
              <w:pStyle w:val="TableParagraph"/>
              <w:spacing w:before="15"/>
              <w:ind w:left="8"/>
              <w:jc w:val="center"/>
              <w:rPr>
                <w:b/>
                <w:sz w:val="14"/>
              </w:rPr>
            </w:pPr>
            <w:r>
              <w:rPr>
                <w:b/>
                <w:color w:val="231F20"/>
                <w:sz w:val="14"/>
              </w:rPr>
              <w:t>2</w:t>
            </w:r>
          </w:p>
        </w:tc>
        <w:tc>
          <w:tcPr>
            <w:tcW w:w="1134" w:type="dxa"/>
          </w:tcPr>
          <w:p w:rsidR="00041039" w:rsidRDefault="001B26CB">
            <w:pPr>
              <w:pStyle w:val="TableParagraph"/>
              <w:spacing w:before="15"/>
              <w:ind w:left="8"/>
              <w:jc w:val="center"/>
              <w:rPr>
                <w:b/>
                <w:sz w:val="14"/>
              </w:rPr>
            </w:pPr>
            <w:r>
              <w:rPr>
                <w:b/>
                <w:color w:val="231F20"/>
                <w:sz w:val="14"/>
              </w:rPr>
              <w:t>2</w:t>
            </w:r>
          </w:p>
        </w:tc>
        <w:tc>
          <w:tcPr>
            <w:tcW w:w="1134" w:type="dxa"/>
          </w:tcPr>
          <w:p w:rsidR="00041039" w:rsidRDefault="001B26CB">
            <w:pPr>
              <w:pStyle w:val="TableParagraph"/>
              <w:spacing w:before="15"/>
              <w:ind w:left="7"/>
              <w:jc w:val="center"/>
              <w:rPr>
                <w:b/>
                <w:sz w:val="14"/>
              </w:rPr>
            </w:pPr>
            <w:r>
              <w:rPr>
                <w:b/>
                <w:color w:val="231F20"/>
                <w:sz w:val="14"/>
              </w:rPr>
              <w:t>2</w:t>
            </w:r>
          </w:p>
        </w:tc>
        <w:tc>
          <w:tcPr>
            <w:tcW w:w="1134" w:type="dxa"/>
          </w:tcPr>
          <w:p w:rsidR="00041039" w:rsidRDefault="001B26CB">
            <w:pPr>
              <w:pStyle w:val="TableParagraph"/>
              <w:spacing w:before="15"/>
              <w:ind w:left="7"/>
              <w:jc w:val="center"/>
              <w:rPr>
                <w:b/>
                <w:sz w:val="14"/>
              </w:rPr>
            </w:pPr>
            <w:r>
              <w:rPr>
                <w:b/>
                <w:color w:val="231F20"/>
                <w:sz w:val="14"/>
              </w:rPr>
              <w:t>2</w:t>
            </w:r>
          </w:p>
        </w:tc>
      </w:tr>
      <w:tr w:rsidR="00041039">
        <w:trPr>
          <w:trHeight w:val="200"/>
        </w:trPr>
        <w:tc>
          <w:tcPr>
            <w:tcW w:w="5986" w:type="dxa"/>
          </w:tcPr>
          <w:p w:rsidR="00041039" w:rsidRDefault="001B26CB">
            <w:pPr>
              <w:pStyle w:val="TableParagraph"/>
              <w:spacing w:before="18"/>
              <w:ind w:left="56"/>
              <w:rPr>
                <w:sz w:val="14"/>
              </w:rPr>
            </w:pPr>
            <w:r>
              <w:rPr>
                <w:color w:val="231F20"/>
                <w:sz w:val="14"/>
              </w:rPr>
              <w:t>Обавезне ваннаставне активности</w:t>
            </w:r>
          </w:p>
        </w:tc>
        <w:tc>
          <w:tcPr>
            <w:tcW w:w="1134" w:type="dxa"/>
          </w:tcPr>
          <w:p w:rsidR="00041039" w:rsidRDefault="001B26CB">
            <w:pPr>
              <w:pStyle w:val="TableParagraph"/>
              <w:spacing w:before="15"/>
              <w:ind w:left="8"/>
              <w:jc w:val="center"/>
              <w:rPr>
                <w:b/>
                <w:sz w:val="14"/>
              </w:rPr>
            </w:pPr>
            <w:r>
              <w:rPr>
                <w:b/>
                <w:color w:val="231F20"/>
                <w:sz w:val="14"/>
              </w:rPr>
              <w:t>2</w:t>
            </w:r>
          </w:p>
        </w:tc>
        <w:tc>
          <w:tcPr>
            <w:tcW w:w="1134" w:type="dxa"/>
          </w:tcPr>
          <w:p w:rsidR="00041039" w:rsidRDefault="001B26CB">
            <w:pPr>
              <w:pStyle w:val="TableParagraph"/>
              <w:spacing w:before="15"/>
              <w:ind w:left="8"/>
              <w:jc w:val="center"/>
              <w:rPr>
                <w:b/>
                <w:sz w:val="14"/>
              </w:rPr>
            </w:pPr>
            <w:r>
              <w:rPr>
                <w:b/>
                <w:color w:val="231F20"/>
                <w:sz w:val="14"/>
              </w:rPr>
              <w:t>2</w:t>
            </w:r>
          </w:p>
        </w:tc>
        <w:tc>
          <w:tcPr>
            <w:tcW w:w="1134" w:type="dxa"/>
          </w:tcPr>
          <w:p w:rsidR="00041039" w:rsidRDefault="001B26CB">
            <w:pPr>
              <w:pStyle w:val="TableParagraph"/>
              <w:spacing w:before="15"/>
              <w:ind w:left="7"/>
              <w:jc w:val="center"/>
              <w:rPr>
                <w:b/>
                <w:sz w:val="14"/>
              </w:rPr>
            </w:pPr>
            <w:r>
              <w:rPr>
                <w:b/>
                <w:color w:val="231F20"/>
                <w:sz w:val="14"/>
              </w:rPr>
              <w:t>2</w:t>
            </w:r>
          </w:p>
        </w:tc>
        <w:tc>
          <w:tcPr>
            <w:tcW w:w="1134" w:type="dxa"/>
          </w:tcPr>
          <w:p w:rsidR="00041039" w:rsidRDefault="001B26CB">
            <w:pPr>
              <w:pStyle w:val="TableParagraph"/>
              <w:spacing w:before="15"/>
              <w:ind w:left="7"/>
              <w:jc w:val="center"/>
              <w:rPr>
                <w:b/>
                <w:sz w:val="14"/>
              </w:rPr>
            </w:pPr>
            <w:r>
              <w:rPr>
                <w:b/>
                <w:color w:val="231F20"/>
                <w:sz w:val="14"/>
              </w:rPr>
              <w:t>2</w:t>
            </w:r>
          </w:p>
        </w:tc>
      </w:tr>
      <w:tr w:rsidR="00041039">
        <w:trPr>
          <w:trHeight w:val="200"/>
        </w:trPr>
        <w:tc>
          <w:tcPr>
            <w:tcW w:w="5986" w:type="dxa"/>
          </w:tcPr>
          <w:p w:rsidR="00041039" w:rsidRDefault="001B26CB">
            <w:pPr>
              <w:pStyle w:val="TableParagraph"/>
              <w:spacing w:before="18"/>
              <w:ind w:left="56"/>
              <w:rPr>
                <w:sz w:val="14"/>
              </w:rPr>
            </w:pPr>
            <w:r>
              <w:rPr>
                <w:color w:val="231F20"/>
                <w:sz w:val="14"/>
              </w:rPr>
              <w:t>Матурски испит</w:t>
            </w:r>
          </w:p>
        </w:tc>
        <w:tc>
          <w:tcPr>
            <w:tcW w:w="1134" w:type="dxa"/>
          </w:tcPr>
          <w:p w:rsidR="00041039" w:rsidRDefault="00041039">
            <w:pPr>
              <w:pStyle w:val="TableParagraph"/>
              <w:ind w:left="0"/>
              <w:rPr>
                <w:sz w:val="12"/>
              </w:rPr>
            </w:pPr>
          </w:p>
        </w:tc>
        <w:tc>
          <w:tcPr>
            <w:tcW w:w="1134" w:type="dxa"/>
          </w:tcPr>
          <w:p w:rsidR="00041039" w:rsidRDefault="00041039">
            <w:pPr>
              <w:pStyle w:val="TableParagraph"/>
              <w:ind w:left="0"/>
              <w:rPr>
                <w:sz w:val="12"/>
              </w:rPr>
            </w:pPr>
          </w:p>
        </w:tc>
        <w:tc>
          <w:tcPr>
            <w:tcW w:w="1134" w:type="dxa"/>
          </w:tcPr>
          <w:p w:rsidR="00041039" w:rsidRDefault="00041039">
            <w:pPr>
              <w:pStyle w:val="TableParagraph"/>
              <w:ind w:left="0"/>
              <w:rPr>
                <w:sz w:val="12"/>
              </w:rPr>
            </w:pPr>
          </w:p>
        </w:tc>
        <w:tc>
          <w:tcPr>
            <w:tcW w:w="1134" w:type="dxa"/>
          </w:tcPr>
          <w:p w:rsidR="00041039" w:rsidRDefault="001B26CB">
            <w:pPr>
              <w:pStyle w:val="TableParagraph"/>
              <w:spacing w:before="15"/>
              <w:ind w:left="7"/>
              <w:jc w:val="center"/>
              <w:rPr>
                <w:b/>
                <w:sz w:val="14"/>
              </w:rPr>
            </w:pPr>
            <w:r>
              <w:rPr>
                <w:b/>
                <w:color w:val="231F20"/>
                <w:sz w:val="14"/>
              </w:rPr>
              <w:t>3</w:t>
            </w:r>
          </w:p>
        </w:tc>
      </w:tr>
      <w:tr w:rsidR="00041039">
        <w:trPr>
          <w:trHeight w:val="198"/>
        </w:trPr>
        <w:tc>
          <w:tcPr>
            <w:tcW w:w="5986" w:type="dxa"/>
          </w:tcPr>
          <w:p w:rsidR="00041039" w:rsidRDefault="001B26CB">
            <w:pPr>
              <w:pStyle w:val="TableParagraph"/>
              <w:spacing w:before="15"/>
              <w:ind w:left="56"/>
              <w:rPr>
                <w:b/>
                <w:sz w:val="14"/>
              </w:rPr>
            </w:pPr>
            <w:r>
              <w:rPr>
                <w:b/>
                <w:color w:val="231F20"/>
                <w:sz w:val="14"/>
              </w:rPr>
              <w:t>Укупно радних недеља</w:t>
            </w:r>
          </w:p>
        </w:tc>
        <w:tc>
          <w:tcPr>
            <w:tcW w:w="1134" w:type="dxa"/>
          </w:tcPr>
          <w:p w:rsidR="00041039" w:rsidRDefault="001B26CB">
            <w:pPr>
              <w:pStyle w:val="TableParagraph"/>
              <w:spacing w:before="15"/>
              <w:ind w:left="178" w:right="170"/>
              <w:jc w:val="center"/>
              <w:rPr>
                <w:b/>
                <w:sz w:val="14"/>
              </w:rPr>
            </w:pPr>
            <w:r>
              <w:rPr>
                <w:b/>
                <w:color w:val="231F20"/>
                <w:sz w:val="14"/>
              </w:rPr>
              <w:t>39</w:t>
            </w:r>
          </w:p>
        </w:tc>
        <w:tc>
          <w:tcPr>
            <w:tcW w:w="1134" w:type="dxa"/>
          </w:tcPr>
          <w:p w:rsidR="00041039" w:rsidRDefault="001B26CB">
            <w:pPr>
              <w:pStyle w:val="TableParagraph"/>
              <w:spacing w:before="15"/>
              <w:ind w:left="178" w:right="170"/>
              <w:jc w:val="center"/>
              <w:rPr>
                <w:b/>
                <w:sz w:val="14"/>
              </w:rPr>
            </w:pPr>
            <w:r>
              <w:rPr>
                <w:b/>
                <w:color w:val="231F20"/>
                <w:sz w:val="14"/>
              </w:rPr>
              <w:t>39</w:t>
            </w:r>
          </w:p>
        </w:tc>
        <w:tc>
          <w:tcPr>
            <w:tcW w:w="1134" w:type="dxa"/>
          </w:tcPr>
          <w:p w:rsidR="00041039" w:rsidRDefault="001B26CB">
            <w:pPr>
              <w:pStyle w:val="TableParagraph"/>
              <w:spacing w:before="15"/>
              <w:ind w:left="177" w:right="170"/>
              <w:jc w:val="center"/>
              <w:rPr>
                <w:b/>
                <w:sz w:val="14"/>
              </w:rPr>
            </w:pPr>
            <w:r>
              <w:rPr>
                <w:b/>
                <w:color w:val="231F20"/>
                <w:sz w:val="14"/>
              </w:rPr>
              <w:t>39</w:t>
            </w:r>
          </w:p>
        </w:tc>
        <w:tc>
          <w:tcPr>
            <w:tcW w:w="1134" w:type="dxa"/>
          </w:tcPr>
          <w:p w:rsidR="00041039" w:rsidRDefault="001B26CB">
            <w:pPr>
              <w:pStyle w:val="TableParagraph"/>
              <w:spacing w:before="15"/>
              <w:ind w:left="177" w:right="170"/>
              <w:jc w:val="center"/>
              <w:rPr>
                <w:b/>
                <w:sz w:val="14"/>
              </w:rPr>
            </w:pPr>
            <w:r>
              <w:rPr>
                <w:b/>
                <w:color w:val="231F20"/>
                <w:sz w:val="14"/>
              </w:rPr>
              <w:t>39</w:t>
            </w:r>
          </w:p>
        </w:tc>
      </w:tr>
    </w:tbl>
    <w:p w:rsidR="00041039" w:rsidRDefault="00041039">
      <w:pPr>
        <w:jc w:val="center"/>
        <w:rPr>
          <w:sz w:val="14"/>
        </w:rPr>
        <w:sectPr w:rsidR="00041039">
          <w:pgSz w:w="11910" w:h="15710"/>
          <w:pgMar w:top="40" w:right="540" w:bottom="280" w:left="580" w:header="720" w:footer="720" w:gutter="0"/>
          <w:cols w:space="720"/>
        </w:sectPr>
      </w:pPr>
    </w:p>
    <w:p w:rsidR="00041039" w:rsidRDefault="001B26CB">
      <w:pPr>
        <w:spacing w:before="80"/>
        <w:ind w:right="37"/>
        <w:jc w:val="center"/>
        <w:rPr>
          <w:b/>
          <w:sz w:val="18"/>
        </w:rPr>
      </w:pPr>
      <w:r>
        <w:rPr>
          <w:b/>
          <w:color w:val="231F20"/>
          <w:sz w:val="18"/>
        </w:rPr>
        <w:lastRenderedPageBreak/>
        <w:t>A1: ОБАВЕЗНИ ОПШТЕОБРАЗОВНИ ПРЕДМЕТИ</w:t>
      </w:r>
    </w:p>
    <w:p w:rsidR="00041039" w:rsidRDefault="00041039">
      <w:pPr>
        <w:pStyle w:val="BodyText"/>
        <w:spacing w:before="11"/>
        <w:rPr>
          <w:b/>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pStyle w:val="BodyText"/>
        <w:spacing w:before="49" w:line="161" w:lineRule="exact"/>
        <w:ind w:left="157"/>
      </w:pPr>
      <w:r>
        <w:rPr>
          <w:color w:val="231F20"/>
        </w:rPr>
        <w:t>Циљеви предмета: – Проширивање и продубљивање знања о српском књижевном језику;</w:t>
      </w:r>
    </w:p>
    <w:p w:rsidR="00041039" w:rsidRDefault="001B26CB">
      <w:pPr>
        <w:pStyle w:val="ListParagraph"/>
        <w:numPr>
          <w:ilvl w:val="1"/>
          <w:numId w:val="3"/>
        </w:numPr>
        <w:tabs>
          <w:tab w:val="left" w:pos="1566"/>
        </w:tabs>
        <w:spacing w:line="160" w:lineRule="exact"/>
        <w:rPr>
          <w:sz w:val="14"/>
        </w:rPr>
      </w:pPr>
      <w:r>
        <w:rPr>
          <w:color w:val="231F20"/>
          <w:sz w:val="14"/>
        </w:rPr>
        <w:t>Развијање и неговање језичке културе, поштовање правила књижевног (стандардног) језика у усменом и писаном</w:t>
      </w:r>
      <w:r>
        <w:rPr>
          <w:color w:val="231F20"/>
          <w:spacing w:val="-20"/>
          <w:sz w:val="14"/>
        </w:rPr>
        <w:t xml:space="preserve"> </w:t>
      </w:r>
      <w:r>
        <w:rPr>
          <w:color w:val="231F20"/>
          <w:sz w:val="14"/>
        </w:rPr>
        <w:t>изражавању;</w:t>
      </w:r>
    </w:p>
    <w:p w:rsidR="00041039" w:rsidRDefault="001B26CB">
      <w:pPr>
        <w:pStyle w:val="ListParagraph"/>
        <w:numPr>
          <w:ilvl w:val="1"/>
          <w:numId w:val="3"/>
        </w:numPr>
        <w:tabs>
          <w:tab w:val="left" w:pos="1566"/>
        </w:tabs>
        <w:spacing w:line="160" w:lineRule="exact"/>
        <w:rPr>
          <w:sz w:val="14"/>
        </w:rPr>
      </w:pPr>
      <w:r>
        <w:rPr>
          <w:color w:val="231F20"/>
          <w:sz w:val="14"/>
        </w:rPr>
        <w:t>Подстицање ученика на усавршавање говорења, писања и читања, као и неговање културе</w:t>
      </w:r>
      <w:r>
        <w:rPr>
          <w:color w:val="231F20"/>
          <w:spacing w:val="-8"/>
          <w:sz w:val="14"/>
        </w:rPr>
        <w:t xml:space="preserve"> </w:t>
      </w:r>
      <w:r>
        <w:rPr>
          <w:color w:val="231F20"/>
          <w:sz w:val="14"/>
        </w:rPr>
        <w:t>дијалога;</w:t>
      </w:r>
    </w:p>
    <w:p w:rsidR="00041039" w:rsidRDefault="001B26CB">
      <w:pPr>
        <w:pStyle w:val="ListParagraph"/>
        <w:numPr>
          <w:ilvl w:val="1"/>
          <w:numId w:val="3"/>
        </w:numPr>
        <w:tabs>
          <w:tab w:val="left" w:pos="1566"/>
        </w:tabs>
        <w:spacing w:line="160" w:lineRule="exact"/>
        <w:rPr>
          <w:sz w:val="14"/>
        </w:rPr>
      </w:pPr>
      <w:r>
        <w:rPr>
          <w:color w:val="231F20"/>
          <w:sz w:val="14"/>
        </w:rPr>
        <w:t>Оспособљавање за ефикасно</w:t>
      </w:r>
      <w:r>
        <w:rPr>
          <w:color w:val="231F20"/>
          <w:spacing w:val="-2"/>
          <w:sz w:val="14"/>
        </w:rPr>
        <w:t xml:space="preserve"> </w:t>
      </w:r>
      <w:r>
        <w:rPr>
          <w:color w:val="231F20"/>
          <w:sz w:val="14"/>
        </w:rPr>
        <w:t>комуницирање;</w:t>
      </w:r>
    </w:p>
    <w:p w:rsidR="00041039" w:rsidRDefault="001B26CB">
      <w:pPr>
        <w:pStyle w:val="ListParagraph"/>
        <w:numPr>
          <w:ilvl w:val="1"/>
          <w:numId w:val="3"/>
        </w:numPr>
        <w:tabs>
          <w:tab w:val="left" w:pos="1566"/>
        </w:tabs>
        <w:spacing w:line="160" w:lineRule="exact"/>
        <w:rPr>
          <w:sz w:val="14"/>
        </w:rPr>
      </w:pPr>
      <w:r>
        <w:rPr>
          <w:color w:val="231F20"/>
          <w:sz w:val="14"/>
        </w:rPr>
        <w:t>Оспособљавање ученика да користе стручну литературу и језичке</w:t>
      </w:r>
      <w:r>
        <w:rPr>
          <w:color w:val="231F20"/>
          <w:spacing w:val="-4"/>
          <w:sz w:val="14"/>
        </w:rPr>
        <w:t xml:space="preserve"> </w:t>
      </w:r>
      <w:r>
        <w:rPr>
          <w:color w:val="231F20"/>
          <w:sz w:val="14"/>
        </w:rPr>
        <w:t>приручнике;</w:t>
      </w:r>
    </w:p>
    <w:p w:rsidR="00041039" w:rsidRDefault="001B26CB">
      <w:pPr>
        <w:pStyle w:val="ListParagraph"/>
        <w:numPr>
          <w:ilvl w:val="1"/>
          <w:numId w:val="3"/>
        </w:numPr>
        <w:tabs>
          <w:tab w:val="left" w:pos="1566"/>
        </w:tabs>
        <w:spacing w:line="160" w:lineRule="exact"/>
        <w:rPr>
          <w:sz w:val="14"/>
        </w:rPr>
      </w:pPr>
      <w:r>
        <w:rPr>
          <w:color w:val="231F20"/>
          <w:sz w:val="14"/>
        </w:rPr>
        <w:t>Продубљивање н проширивање знања о српској и све</w:t>
      </w:r>
      <w:r>
        <w:rPr>
          <w:color w:val="231F20"/>
          <w:sz w:val="14"/>
        </w:rPr>
        <w:t>тској</w:t>
      </w:r>
      <w:r>
        <w:rPr>
          <w:color w:val="231F20"/>
          <w:spacing w:val="-6"/>
          <w:sz w:val="14"/>
        </w:rPr>
        <w:t xml:space="preserve"> </w:t>
      </w:r>
      <w:r>
        <w:rPr>
          <w:color w:val="231F20"/>
          <w:sz w:val="14"/>
        </w:rPr>
        <w:t>књижевности;</w:t>
      </w:r>
    </w:p>
    <w:p w:rsidR="00041039" w:rsidRDefault="001B26CB">
      <w:pPr>
        <w:pStyle w:val="ListParagraph"/>
        <w:numPr>
          <w:ilvl w:val="1"/>
          <w:numId w:val="3"/>
        </w:numPr>
        <w:tabs>
          <w:tab w:val="left" w:pos="1566"/>
        </w:tabs>
        <w:spacing w:line="160" w:lineRule="exact"/>
        <w:rPr>
          <w:sz w:val="14"/>
        </w:rPr>
      </w:pPr>
      <w:r>
        <w:rPr>
          <w:color w:val="231F20"/>
          <w:sz w:val="14"/>
        </w:rPr>
        <w:t>Оспособљавање за интерпретацију књижевних</w:t>
      </w:r>
      <w:r>
        <w:rPr>
          <w:color w:val="231F20"/>
          <w:spacing w:val="-21"/>
          <w:sz w:val="14"/>
        </w:rPr>
        <w:t xml:space="preserve"> </w:t>
      </w:r>
      <w:r>
        <w:rPr>
          <w:color w:val="231F20"/>
          <w:sz w:val="14"/>
        </w:rPr>
        <w:t>текстова;</w:t>
      </w:r>
    </w:p>
    <w:p w:rsidR="00041039" w:rsidRDefault="001B26CB">
      <w:pPr>
        <w:pStyle w:val="ListParagraph"/>
        <w:numPr>
          <w:ilvl w:val="1"/>
          <w:numId w:val="3"/>
        </w:numPr>
        <w:tabs>
          <w:tab w:val="left" w:pos="1566"/>
        </w:tabs>
        <w:spacing w:line="160" w:lineRule="exact"/>
        <w:rPr>
          <w:sz w:val="14"/>
        </w:rPr>
      </w:pPr>
      <w:r>
        <w:rPr>
          <w:color w:val="231F20"/>
          <w:sz w:val="14"/>
        </w:rPr>
        <w:t>Унапређивање</w:t>
      </w:r>
      <w:r>
        <w:rPr>
          <w:color w:val="231F20"/>
          <w:spacing w:val="-8"/>
          <w:sz w:val="14"/>
        </w:rPr>
        <w:t xml:space="preserve"> </w:t>
      </w:r>
      <w:r>
        <w:rPr>
          <w:color w:val="231F20"/>
          <w:sz w:val="14"/>
        </w:rPr>
        <w:t>књижевних</w:t>
      </w:r>
      <w:r>
        <w:rPr>
          <w:color w:val="231F20"/>
          <w:spacing w:val="-8"/>
          <w:sz w:val="14"/>
        </w:rPr>
        <w:t xml:space="preserve"> </w:t>
      </w:r>
      <w:r>
        <w:rPr>
          <w:color w:val="231F20"/>
          <w:sz w:val="14"/>
        </w:rPr>
        <w:t>знања</w:t>
      </w:r>
      <w:r>
        <w:rPr>
          <w:color w:val="231F20"/>
          <w:spacing w:val="-8"/>
          <w:sz w:val="14"/>
        </w:rPr>
        <w:t xml:space="preserve"> </w:t>
      </w:r>
      <w:r>
        <w:rPr>
          <w:color w:val="231F20"/>
          <w:sz w:val="14"/>
        </w:rPr>
        <w:t>и</w:t>
      </w:r>
      <w:r>
        <w:rPr>
          <w:color w:val="231F20"/>
          <w:spacing w:val="-8"/>
          <w:sz w:val="14"/>
        </w:rPr>
        <w:t xml:space="preserve"> </w:t>
      </w:r>
      <w:r>
        <w:rPr>
          <w:color w:val="231F20"/>
          <w:sz w:val="14"/>
        </w:rPr>
        <w:t>читалачких</w:t>
      </w:r>
      <w:r>
        <w:rPr>
          <w:color w:val="231F20"/>
          <w:spacing w:val="-8"/>
          <w:sz w:val="14"/>
        </w:rPr>
        <w:t xml:space="preserve"> </w:t>
      </w:r>
      <w:r>
        <w:rPr>
          <w:color w:val="231F20"/>
          <w:sz w:val="14"/>
        </w:rPr>
        <w:t>вештина;</w:t>
      </w:r>
    </w:p>
    <w:p w:rsidR="00041039" w:rsidRDefault="001B26CB">
      <w:pPr>
        <w:pStyle w:val="ListParagraph"/>
        <w:numPr>
          <w:ilvl w:val="1"/>
          <w:numId w:val="3"/>
        </w:numPr>
        <w:tabs>
          <w:tab w:val="left" w:pos="1566"/>
        </w:tabs>
        <w:spacing w:line="240" w:lineRule="auto"/>
        <w:ind w:right="600"/>
        <w:rPr>
          <w:sz w:val="14"/>
        </w:rPr>
      </w:pPr>
      <w:r>
        <w:rPr>
          <w:color w:val="231F20"/>
          <w:sz w:val="14"/>
        </w:rPr>
        <w:t>Упознавање</w:t>
      </w:r>
      <w:r>
        <w:rPr>
          <w:color w:val="231F20"/>
          <w:spacing w:val="-4"/>
          <w:sz w:val="14"/>
        </w:rPr>
        <w:t xml:space="preserve"> </w:t>
      </w:r>
      <w:r>
        <w:rPr>
          <w:color w:val="231F20"/>
          <w:sz w:val="14"/>
        </w:rPr>
        <w:t>и</w:t>
      </w:r>
      <w:r>
        <w:rPr>
          <w:color w:val="231F20"/>
          <w:spacing w:val="-5"/>
          <w:sz w:val="14"/>
        </w:rPr>
        <w:t xml:space="preserve"> </w:t>
      </w:r>
      <w:r>
        <w:rPr>
          <w:color w:val="231F20"/>
          <w:sz w:val="14"/>
        </w:rPr>
        <w:t>проучавање</w:t>
      </w:r>
      <w:r>
        <w:rPr>
          <w:color w:val="231F20"/>
          <w:spacing w:val="-4"/>
          <w:sz w:val="14"/>
        </w:rPr>
        <w:t xml:space="preserve"> </w:t>
      </w:r>
      <w:r>
        <w:rPr>
          <w:color w:val="231F20"/>
          <w:sz w:val="14"/>
        </w:rPr>
        <w:t>репрезентативних</w:t>
      </w:r>
      <w:r>
        <w:rPr>
          <w:color w:val="231F20"/>
          <w:spacing w:val="-4"/>
          <w:sz w:val="14"/>
        </w:rPr>
        <w:t xml:space="preserve"> </w:t>
      </w:r>
      <w:r>
        <w:rPr>
          <w:color w:val="231F20"/>
          <w:sz w:val="14"/>
        </w:rPr>
        <w:t>дела</w:t>
      </w:r>
      <w:r>
        <w:rPr>
          <w:color w:val="231F20"/>
          <w:spacing w:val="-4"/>
          <w:sz w:val="14"/>
        </w:rPr>
        <w:t xml:space="preserve"> </w:t>
      </w:r>
      <w:r>
        <w:rPr>
          <w:color w:val="231F20"/>
          <w:sz w:val="14"/>
        </w:rPr>
        <w:t>српске</w:t>
      </w:r>
      <w:r>
        <w:rPr>
          <w:color w:val="231F20"/>
          <w:spacing w:val="-4"/>
          <w:sz w:val="14"/>
        </w:rPr>
        <w:t xml:space="preserve"> </w:t>
      </w:r>
      <w:r>
        <w:rPr>
          <w:color w:val="231F20"/>
          <w:sz w:val="14"/>
        </w:rPr>
        <w:t>и</w:t>
      </w:r>
      <w:r>
        <w:rPr>
          <w:color w:val="231F20"/>
          <w:spacing w:val="-5"/>
          <w:sz w:val="14"/>
        </w:rPr>
        <w:t xml:space="preserve"> </w:t>
      </w:r>
      <w:r>
        <w:rPr>
          <w:color w:val="231F20"/>
          <w:sz w:val="14"/>
        </w:rPr>
        <w:t>опште</w:t>
      </w:r>
      <w:r>
        <w:rPr>
          <w:color w:val="231F20"/>
          <w:spacing w:val="-4"/>
          <w:sz w:val="14"/>
        </w:rPr>
        <w:t xml:space="preserve"> </w:t>
      </w:r>
      <w:r>
        <w:rPr>
          <w:color w:val="231F20"/>
          <w:sz w:val="14"/>
        </w:rPr>
        <w:t>књижевности,</w:t>
      </w:r>
      <w:r>
        <w:rPr>
          <w:color w:val="231F20"/>
          <w:spacing w:val="-4"/>
          <w:sz w:val="14"/>
        </w:rPr>
        <w:t xml:space="preserve"> </w:t>
      </w:r>
      <w:r>
        <w:rPr>
          <w:color w:val="231F20"/>
          <w:sz w:val="14"/>
        </w:rPr>
        <w:t>књижевних</w:t>
      </w:r>
      <w:r>
        <w:rPr>
          <w:color w:val="231F20"/>
          <w:spacing w:val="-4"/>
          <w:sz w:val="14"/>
        </w:rPr>
        <w:t xml:space="preserve"> </w:t>
      </w:r>
      <w:r>
        <w:rPr>
          <w:color w:val="231F20"/>
          <w:sz w:val="14"/>
        </w:rPr>
        <w:t>жанрова;</w:t>
      </w:r>
      <w:r>
        <w:rPr>
          <w:color w:val="231F20"/>
          <w:spacing w:val="-4"/>
          <w:sz w:val="14"/>
        </w:rPr>
        <w:t xml:space="preserve"> </w:t>
      </w:r>
      <w:r>
        <w:rPr>
          <w:color w:val="231F20"/>
          <w:sz w:val="14"/>
        </w:rPr>
        <w:t>књижевноисторијских</w:t>
      </w:r>
      <w:r>
        <w:rPr>
          <w:color w:val="231F20"/>
          <w:spacing w:val="-4"/>
          <w:sz w:val="14"/>
        </w:rPr>
        <w:t xml:space="preserve"> </w:t>
      </w:r>
      <w:r>
        <w:rPr>
          <w:color w:val="231F20"/>
          <w:sz w:val="14"/>
        </w:rPr>
        <w:t>појава</w:t>
      </w:r>
      <w:r>
        <w:rPr>
          <w:color w:val="231F20"/>
          <w:spacing w:val="-4"/>
          <w:sz w:val="14"/>
        </w:rPr>
        <w:t xml:space="preserve"> </w:t>
      </w:r>
      <w:r>
        <w:rPr>
          <w:color w:val="231F20"/>
          <w:sz w:val="14"/>
        </w:rPr>
        <w:t>и</w:t>
      </w:r>
      <w:r>
        <w:rPr>
          <w:color w:val="231F20"/>
          <w:spacing w:val="-5"/>
          <w:sz w:val="14"/>
        </w:rPr>
        <w:t xml:space="preserve"> </w:t>
      </w:r>
      <w:r>
        <w:rPr>
          <w:color w:val="231F20"/>
          <w:sz w:val="14"/>
        </w:rPr>
        <w:t>процеса</w:t>
      </w:r>
      <w:r>
        <w:rPr>
          <w:color w:val="231F20"/>
          <w:spacing w:val="-4"/>
          <w:sz w:val="14"/>
        </w:rPr>
        <w:t xml:space="preserve"> </w:t>
      </w:r>
      <w:r>
        <w:rPr>
          <w:color w:val="231F20"/>
          <w:sz w:val="14"/>
        </w:rPr>
        <w:t>у књижевности;</w:t>
      </w:r>
    </w:p>
    <w:p w:rsidR="00041039" w:rsidRDefault="001B26CB">
      <w:pPr>
        <w:pStyle w:val="ListParagraph"/>
        <w:numPr>
          <w:ilvl w:val="1"/>
          <w:numId w:val="3"/>
        </w:numPr>
        <w:tabs>
          <w:tab w:val="left" w:pos="1566"/>
        </w:tabs>
        <w:spacing w:line="159" w:lineRule="exact"/>
        <w:rPr>
          <w:sz w:val="14"/>
        </w:rPr>
      </w:pPr>
      <w:r>
        <w:rPr>
          <w:color w:val="231F20"/>
          <w:sz w:val="14"/>
        </w:rPr>
        <w:t>Унапређивање знања о сопственој култури и културама других</w:t>
      </w:r>
      <w:r>
        <w:rPr>
          <w:color w:val="231F20"/>
          <w:spacing w:val="-6"/>
          <w:sz w:val="14"/>
        </w:rPr>
        <w:t xml:space="preserve"> </w:t>
      </w:r>
      <w:r>
        <w:rPr>
          <w:color w:val="231F20"/>
          <w:sz w:val="14"/>
        </w:rPr>
        <w:t>народа;</w:t>
      </w:r>
    </w:p>
    <w:p w:rsidR="00041039" w:rsidRDefault="001B26CB">
      <w:pPr>
        <w:pStyle w:val="ListParagraph"/>
        <w:numPr>
          <w:ilvl w:val="1"/>
          <w:numId w:val="3"/>
        </w:numPr>
        <w:tabs>
          <w:tab w:val="left" w:pos="1566"/>
        </w:tabs>
        <w:spacing w:line="160" w:lineRule="exact"/>
        <w:rPr>
          <w:sz w:val="14"/>
        </w:rPr>
      </w:pPr>
      <w:r>
        <w:rPr>
          <w:color w:val="231F20"/>
          <w:sz w:val="14"/>
        </w:rPr>
        <w:t>Развијање хуманистичког и књижевног образовања и васпитања на најбољим делима српске и светске културне</w:t>
      </w:r>
      <w:r>
        <w:rPr>
          <w:color w:val="231F20"/>
          <w:spacing w:val="-18"/>
          <w:sz w:val="14"/>
        </w:rPr>
        <w:t xml:space="preserve"> </w:t>
      </w:r>
      <w:r>
        <w:rPr>
          <w:color w:val="231F20"/>
          <w:sz w:val="14"/>
        </w:rPr>
        <w:t>баштине;</w:t>
      </w:r>
    </w:p>
    <w:p w:rsidR="00041039" w:rsidRDefault="001B26CB">
      <w:pPr>
        <w:pStyle w:val="ListParagraph"/>
        <w:numPr>
          <w:ilvl w:val="1"/>
          <w:numId w:val="3"/>
        </w:numPr>
        <w:tabs>
          <w:tab w:val="left" w:pos="1566"/>
        </w:tabs>
        <w:spacing w:line="160" w:lineRule="exact"/>
        <w:rPr>
          <w:sz w:val="14"/>
        </w:rPr>
      </w:pPr>
      <w:r>
        <w:rPr>
          <w:color w:val="231F20"/>
          <w:spacing w:val="-3"/>
          <w:sz w:val="14"/>
        </w:rPr>
        <w:t xml:space="preserve">Упућивање </w:t>
      </w:r>
      <w:r>
        <w:rPr>
          <w:color w:val="231F20"/>
          <w:sz w:val="14"/>
        </w:rPr>
        <w:t>ученика на истраживачки и критички однос према књиж</w:t>
      </w:r>
      <w:r>
        <w:rPr>
          <w:color w:val="231F20"/>
          <w:sz w:val="14"/>
        </w:rPr>
        <w:t>евности;</w:t>
      </w:r>
    </w:p>
    <w:p w:rsidR="00041039" w:rsidRDefault="001B26CB">
      <w:pPr>
        <w:pStyle w:val="ListParagraph"/>
        <w:numPr>
          <w:ilvl w:val="1"/>
          <w:numId w:val="3"/>
        </w:numPr>
        <w:tabs>
          <w:tab w:val="left" w:pos="1566"/>
        </w:tabs>
        <w:spacing w:line="160" w:lineRule="exact"/>
        <w:rPr>
          <w:sz w:val="14"/>
        </w:rPr>
      </w:pPr>
      <w:r>
        <w:rPr>
          <w:color w:val="231F20"/>
          <w:sz w:val="14"/>
        </w:rPr>
        <w:t>Обезбеђивање функционалних знања из теорије и историје</w:t>
      </w:r>
      <w:r>
        <w:rPr>
          <w:color w:val="231F20"/>
          <w:spacing w:val="-6"/>
          <w:sz w:val="14"/>
        </w:rPr>
        <w:t xml:space="preserve"> </w:t>
      </w:r>
      <w:r>
        <w:rPr>
          <w:color w:val="231F20"/>
          <w:sz w:val="14"/>
        </w:rPr>
        <w:t>књижевности;</w:t>
      </w:r>
    </w:p>
    <w:p w:rsidR="00041039" w:rsidRDefault="001B26CB">
      <w:pPr>
        <w:pStyle w:val="ListParagraph"/>
        <w:numPr>
          <w:ilvl w:val="1"/>
          <w:numId w:val="3"/>
        </w:numPr>
        <w:tabs>
          <w:tab w:val="left" w:pos="1566"/>
        </w:tabs>
        <w:spacing w:line="161" w:lineRule="exact"/>
        <w:rPr>
          <w:sz w:val="14"/>
        </w:rPr>
      </w:pPr>
      <w:r>
        <w:rPr>
          <w:color w:val="231F20"/>
          <w:sz w:val="14"/>
        </w:rPr>
        <w:t>Развијање трајног интересовања за нова</w:t>
      </w:r>
      <w:r>
        <w:rPr>
          <w:color w:val="231F20"/>
          <w:spacing w:val="-3"/>
          <w:sz w:val="14"/>
        </w:rPr>
        <w:t xml:space="preserve"> </w:t>
      </w:r>
      <w:r>
        <w:rPr>
          <w:color w:val="231F20"/>
          <w:sz w:val="14"/>
        </w:rPr>
        <w:t>сазнања.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280"/>
        </w:trPr>
        <w:tc>
          <w:tcPr>
            <w:tcW w:w="1304" w:type="dxa"/>
          </w:tcPr>
          <w:p w:rsidR="00041039" w:rsidRDefault="001B26CB">
            <w:pPr>
              <w:pStyle w:val="TableParagraph"/>
              <w:spacing w:before="18"/>
              <w:ind w:left="56" w:right="37"/>
              <w:rPr>
                <w:sz w:val="14"/>
              </w:rPr>
            </w:pPr>
            <w:r>
              <w:rPr>
                <w:color w:val="231F20"/>
                <w:sz w:val="14"/>
              </w:rPr>
              <w:t>Увод у проучавање књижевног дела</w:t>
            </w:r>
          </w:p>
        </w:tc>
        <w:tc>
          <w:tcPr>
            <w:tcW w:w="1587" w:type="dxa"/>
          </w:tcPr>
          <w:p w:rsidR="00041039" w:rsidRDefault="001B26CB">
            <w:pPr>
              <w:pStyle w:val="TableParagraph"/>
              <w:numPr>
                <w:ilvl w:val="0"/>
                <w:numId w:val="1646"/>
              </w:numPr>
              <w:tabs>
                <w:tab w:val="left" w:pos="157"/>
              </w:tabs>
              <w:spacing w:before="8"/>
              <w:ind w:right="52"/>
              <w:rPr>
                <w:sz w:val="14"/>
              </w:rPr>
            </w:pPr>
            <w:r>
              <w:rPr>
                <w:color w:val="231F20"/>
                <w:spacing w:val="-3"/>
                <w:sz w:val="14"/>
              </w:rPr>
              <w:t xml:space="preserve">Увођење </w:t>
            </w:r>
            <w:r>
              <w:rPr>
                <w:color w:val="231F20"/>
                <w:sz w:val="14"/>
              </w:rPr>
              <w:t>ученика у свет књижевног дела</w:t>
            </w:r>
            <w:r>
              <w:rPr>
                <w:color w:val="231F20"/>
                <w:spacing w:val="-3"/>
                <w:sz w:val="14"/>
              </w:rPr>
              <w:t xml:space="preserve"> </w:t>
            </w:r>
            <w:r>
              <w:rPr>
                <w:color w:val="231F20"/>
                <w:sz w:val="14"/>
              </w:rPr>
              <w:t xml:space="preserve">и књижевност као </w:t>
            </w:r>
            <w:r>
              <w:rPr>
                <w:color w:val="231F20"/>
                <w:spacing w:val="-3"/>
                <w:sz w:val="14"/>
              </w:rPr>
              <w:t xml:space="preserve">науку </w:t>
            </w:r>
            <w:r>
              <w:rPr>
                <w:color w:val="231F20"/>
                <w:sz w:val="14"/>
              </w:rPr>
              <w:t>и</w:t>
            </w:r>
            <w:r>
              <w:rPr>
                <w:color w:val="231F20"/>
                <w:spacing w:val="-2"/>
                <w:sz w:val="14"/>
              </w:rPr>
              <w:t xml:space="preserve"> </w:t>
            </w:r>
            <w:r>
              <w:rPr>
                <w:color w:val="231F20"/>
                <w:sz w:val="14"/>
              </w:rPr>
              <w:t>уметност.</w:t>
            </w:r>
          </w:p>
        </w:tc>
        <w:tc>
          <w:tcPr>
            <w:tcW w:w="2551" w:type="dxa"/>
          </w:tcPr>
          <w:p w:rsidR="00041039" w:rsidRDefault="001B26CB">
            <w:pPr>
              <w:pStyle w:val="TableParagraph"/>
              <w:numPr>
                <w:ilvl w:val="0"/>
                <w:numId w:val="1645"/>
              </w:numPr>
              <w:tabs>
                <w:tab w:val="left" w:pos="157"/>
              </w:tabs>
              <w:spacing w:before="8"/>
              <w:ind w:right="212" w:hanging="99"/>
              <w:rPr>
                <w:sz w:val="14"/>
              </w:rPr>
            </w:pPr>
            <w:r>
              <w:rPr>
                <w:color w:val="231F20"/>
                <w:sz w:val="14"/>
              </w:rPr>
              <w:t>разликује врсте уметности и</w:t>
            </w:r>
            <w:r>
              <w:rPr>
                <w:color w:val="231F20"/>
                <w:spacing w:val="-16"/>
                <w:sz w:val="14"/>
              </w:rPr>
              <w:t xml:space="preserve"> </w:t>
            </w:r>
            <w:r>
              <w:rPr>
                <w:color w:val="231F20"/>
                <w:sz w:val="14"/>
              </w:rPr>
              <w:t>њихова изражајна</w:t>
            </w:r>
            <w:r>
              <w:rPr>
                <w:color w:val="231F20"/>
                <w:spacing w:val="-2"/>
                <w:sz w:val="14"/>
              </w:rPr>
              <w:t xml:space="preserve"> </w:t>
            </w:r>
            <w:r>
              <w:rPr>
                <w:color w:val="231F20"/>
                <w:sz w:val="14"/>
              </w:rPr>
              <w:t>средства;</w:t>
            </w:r>
          </w:p>
          <w:p w:rsidR="00041039" w:rsidRDefault="001B26CB">
            <w:pPr>
              <w:pStyle w:val="TableParagraph"/>
              <w:numPr>
                <w:ilvl w:val="0"/>
                <w:numId w:val="1645"/>
              </w:numPr>
              <w:tabs>
                <w:tab w:val="left" w:pos="157"/>
              </w:tabs>
              <w:spacing w:line="160" w:lineRule="exact"/>
              <w:ind w:right="98" w:hanging="99"/>
              <w:rPr>
                <w:sz w:val="14"/>
              </w:rPr>
            </w:pPr>
            <w:r>
              <w:rPr>
                <w:color w:val="231F20"/>
                <w:sz w:val="14"/>
              </w:rPr>
              <w:t>објасни појам и функцију књижев­ ности као уметности и однос књижев­ ности и других</w:t>
            </w:r>
            <w:r>
              <w:rPr>
                <w:color w:val="231F20"/>
                <w:spacing w:val="-1"/>
                <w:sz w:val="14"/>
              </w:rPr>
              <w:t xml:space="preserve"> </w:t>
            </w:r>
            <w:r>
              <w:rPr>
                <w:color w:val="231F20"/>
                <w:sz w:val="14"/>
              </w:rPr>
              <w:t>уметности;</w:t>
            </w:r>
          </w:p>
          <w:p w:rsidR="00041039" w:rsidRDefault="001B26CB">
            <w:pPr>
              <w:pStyle w:val="TableParagraph"/>
              <w:numPr>
                <w:ilvl w:val="0"/>
                <w:numId w:val="1645"/>
              </w:numPr>
              <w:tabs>
                <w:tab w:val="left" w:pos="157"/>
              </w:tabs>
              <w:spacing w:line="160" w:lineRule="exact"/>
              <w:ind w:right="69" w:hanging="99"/>
              <w:rPr>
                <w:sz w:val="14"/>
              </w:rPr>
            </w:pPr>
            <w:r>
              <w:rPr>
                <w:color w:val="231F20"/>
                <w:sz w:val="14"/>
              </w:rPr>
              <w:t>наведе научне дисциплине које се</w:t>
            </w:r>
            <w:r>
              <w:rPr>
                <w:color w:val="231F20"/>
                <w:spacing w:val="-21"/>
                <w:sz w:val="14"/>
              </w:rPr>
              <w:t xml:space="preserve"> </w:t>
            </w:r>
            <w:r>
              <w:rPr>
                <w:color w:val="231F20"/>
                <w:sz w:val="14"/>
              </w:rPr>
              <w:t>баве проучавањем</w:t>
            </w:r>
            <w:r>
              <w:rPr>
                <w:color w:val="231F20"/>
                <w:spacing w:val="-1"/>
                <w:sz w:val="14"/>
              </w:rPr>
              <w:t xml:space="preserve"> </w:t>
            </w:r>
            <w:r>
              <w:rPr>
                <w:color w:val="231F20"/>
                <w:sz w:val="14"/>
              </w:rPr>
              <w:t>књижевности;</w:t>
            </w:r>
          </w:p>
          <w:p w:rsidR="00041039" w:rsidRDefault="001B26CB">
            <w:pPr>
              <w:pStyle w:val="TableParagraph"/>
              <w:numPr>
                <w:ilvl w:val="0"/>
                <w:numId w:val="1645"/>
              </w:numPr>
              <w:tabs>
                <w:tab w:val="left" w:pos="157"/>
              </w:tabs>
              <w:spacing w:line="160" w:lineRule="exact"/>
              <w:ind w:right="288" w:hanging="99"/>
              <w:rPr>
                <w:sz w:val="14"/>
              </w:rPr>
            </w:pPr>
            <w:r>
              <w:rPr>
                <w:color w:val="231F20"/>
                <w:sz w:val="14"/>
              </w:rPr>
              <w:t>познаје књижевне родове и врсте</w:t>
            </w:r>
            <w:r>
              <w:rPr>
                <w:color w:val="231F20"/>
                <w:spacing w:val="-20"/>
                <w:sz w:val="14"/>
              </w:rPr>
              <w:t xml:space="preserve"> </w:t>
            </w:r>
            <w:r>
              <w:rPr>
                <w:color w:val="231F20"/>
                <w:sz w:val="14"/>
              </w:rPr>
              <w:t>и разликује њихове основне</w:t>
            </w:r>
            <w:r>
              <w:rPr>
                <w:color w:val="231F20"/>
                <w:spacing w:val="-11"/>
                <w:sz w:val="14"/>
              </w:rPr>
              <w:t xml:space="preserve"> </w:t>
            </w:r>
            <w:r>
              <w:rPr>
                <w:color w:val="231F20"/>
                <w:sz w:val="14"/>
              </w:rPr>
              <w:t>одлике;</w:t>
            </w:r>
          </w:p>
          <w:p w:rsidR="00041039" w:rsidRDefault="001B26CB">
            <w:pPr>
              <w:pStyle w:val="TableParagraph"/>
              <w:numPr>
                <w:ilvl w:val="0"/>
                <w:numId w:val="1645"/>
              </w:numPr>
              <w:tabs>
                <w:tab w:val="left" w:pos="157"/>
              </w:tabs>
              <w:spacing w:line="160" w:lineRule="exact"/>
              <w:ind w:right="111" w:hanging="99"/>
              <w:rPr>
                <w:sz w:val="14"/>
              </w:rPr>
            </w:pPr>
            <w:r>
              <w:rPr>
                <w:color w:val="231F20"/>
                <w:sz w:val="14"/>
              </w:rPr>
              <w:t xml:space="preserve">одреди </w:t>
            </w:r>
            <w:r>
              <w:rPr>
                <w:color w:val="231F20"/>
                <w:spacing w:val="-3"/>
                <w:sz w:val="14"/>
              </w:rPr>
              <w:t xml:space="preserve">тему, </w:t>
            </w:r>
            <w:r>
              <w:rPr>
                <w:color w:val="231F20"/>
                <w:sz w:val="14"/>
              </w:rPr>
              <w:t xml:space="preserve">мотив, сиже, </w:t>
            </w:r>
            <w:r>
              <w:rPr>
                <w:color w:val="231F20"/>
                <w:spacing w:val="-5"/>
                <w:sz w:val="14"/>
              </w:rPr>
              <w:t>фабул</w:t>
            </w:r>
            <w:r>
              <w:rPr>
                <w:color w:val="231F20"/>
                <w:spacing w:val="-5"/>
                <w:sz w:val="14"/>
              </w:rPr>
              <w:t xml:space="preserve">у, </w:t>
            </w:r>
            <w:r>
              <w:rPr>
                <w:color w:val="231F20"/>
                <w:sz w:val="14"/>
              </w:rPr>
              <w:t>лик и идеју у књижевном</w:t>
            </w:r>
            <w:r>
              <w:rPr>
                <w:color w:val="231F20"/>
                <w:spacing w:val="-4"/>
                <w:sz w:val="14"/>
              </w:rPr>
              <w:t xml:space="preserve"> </w:t>
            </w:r>
            <w:r>
              <w:rPr>
                <w:color w:val="231F20"/>
                <w:sz w:val="14"/>
              </w:rPr>
              <w:t>делу;</w:t>
            </w:r>
          </w:p>
          <w:p w:rsidR="00041039" w:rsidRDefault="001B26CB">
            <w:pPr>
              <w:pStyle w:val="TableParagraph"/>
              <w:numPr>
                <w:ilvl w:val="0"/>
                <w:numId w:val="1645"/>
              </w:numPr>
              <w:tabs>
                <w:tab w:val="left" w:pos="157"/>
              </w:tabs>
              <w:spacing w:line="160" w:lineRule="exact"/>
              <w:ind w:right="73" w:hanging="99"/>
              <w:rPr>
                <w:sz w:val="14"/>
              </w:rPr>
            </w:pPr>
            <w:r>
              <w:rPr>
                <w:color w:val="231F20"/>
                <w:sz w:val="14"/>
              </w:rPr>
              <w:t xml:space="preserve">износи своје утиске и запажања о књижевном </w:t>
            </w:r>
            <w:r>
              <w:rPr>
                <w:color w:val="231F20"/>
                <w:spacing w:val="-3"/>
                <w:sz w:val="14"/>
              </w:rPr>
              <w:t xml:space="preserve">делу. </w:t>
            </w:r>
            <w:r>
              <w:rPr>
                <w:color w:val="231F20"/>
                <w:sz w:val="14"/>
              </w:rPr>
              <w:t>тумачи његове</w:t>
            </w:r>
            <w:r>
              <w:rPr>
                <w:color w:val="231F20"/>
                <w:spacing w:val="-19"/>
                <w:sz w:val="14"/>
              </w:rPr>
              <w:t xml:space="preserve"> </w:t>
            </w:r>
            <w:r>
              <w:rPr>
                <w:color w:val="231F20"/>
                <w:sz w:val="14"/>
              </w:rPr>
              <w:t>битне чиниоце и вреднује</w:t>
            </w:r>
            <w:r>
              <w:rPr>
                <w:color w:val="231F20"/>
                <w:spacing w:val="-2"/>
                <w:sz w:val="14"/>
              </w:rPr>
              <w:t xml:space="preserve"> </w:t>
            </w:r>
            <w:r>
              <w:rPr>
                <w:color w:val="231F20"/>
                <w:sz w:val="14"/>
              </w:rPr>
              <w:t>га;</w:t>
            </w:r>
          </w:p>
        </w:tc>
        <w:tc>
          <w:tcPr>
            <w:tcW w:w="2834" w:type="dxa"/>
          </w:tcPr>
          <w:p w:rsidR="00041039" w:rsidRDefault="001B26CB">
            <w:pPr>
              <w:pStyle w:val="TableParagraph"/>
              <w:numPr>
                <w:ilvl w:val="0"/>
                <w:numId w:val="1644"/>
              </w:numPr>
              <w:tabs>
                <w:tab w:val="left" w:pos="157"/>
              </w:tabs>
              <w:spacing w:before="8" w:line="166" w:lineRule="exact"/>
              <w:ind w:hanging="99"/>
              <w:rPr>
                <w:sz w:val="14"/>
              </w:rPr>
            </w:pPr>
            <w:r>
              <w:rPr>
                <w:color w:val="231F20"/>
                <w:sz w:val="14"/>
              </w:rPr>
              <w:t>Врсте уметности, подела</w:t>
            </w:r>
            <w:r>
              <w:rPr>
                <w:color w:val="231F20"/>
                <w:spacing w:val="-1"/>
                <w:sz w:val="14"/>
              </w:rPr>
              <w:t xml:space="preserve"> </w:t>
            </w:r>
            <w:r>
              <w:rPr>
                <w:color w:val="231F20"/>
                <w:sz w:val="14"/>
              </w:rPr>
              <w:t>уметности.</w:t>
            </w:r>
          </w:p>
          <w:p w:rsidR="00041039" w:rsidRDefault="001B26CB">
            <w:pPr>
              <w:pStyle w:val="TableParagraph"/>
              <w:numPr>
                <w:ilvl w:val="0"/>
                <w:numId w:val="1644"/>
              </w:numPr>
              <w:tabs>
                <w:tab w:val="left" w:pos="157"/>
              </w:tabs>
              <w:spacing w:line="237" w:lineRule="auto"/>
              <w:ind w:right="171" w:hanging="99"/>
              <w:rPr>
                <w:sz w:val="14"/>
              </w:rPr>
            </w:pPr>
            <w:r>
              <w:rPr>
                <w:color w:val="231F20"/>
                <w:sz w:val="14"/>
              </w:rPr>
              <w:t>Књижевност као уметност, књижевност</w:t>
            </w:r>
            <w:r>
              <w:rPr>
                <w:color w:val="231F20"/>
                <w:spacing w:val="-11"/>
                <w:sz w:val="14"/>
              </w:rPr>
              <w:t xml:space="preserve"> </w:t>
            </w:r>
            <w:r>
              <w:rPr>
                <w:color w:val="231F20"/>
                <w:sz w:val="14"/>
              </w:rPr>
              <w:t>и друге</w:t>
            </w:r>
            <w:r>
              <w:rPr>
                <w:color w:val="231F20"/>
                <w:spacing w:val="-1"/>
                <w:sz w:val="14"/>
              </w:rPr>
              <w:t xml:space="preserve"> </w:t>
            </w:r>
            <w:r>
              <w:rPr>
                <w:color w:val="231F20"/>
                <w:sz w:val="14"/>
              </w:rPr>
              <w:t>уметности.</w:t>
            </w:r>
          </w:p>
          <w:p w:rsidR="00041039" w:rsidRDefault="001B26CB">
            <w:pPr>
              <w:pStyle w:val="TableParagraph"/>
              <w:numPr>
                <w:ilvl w:val="0"/>
                <w:numId w:val="1644"/>
              </w:numPr>
              <w:tabs>
                <w:tab w:val="left" w:pos="157"/>
              </w:tabs>
              <w:spacing w:line="160" w:lineRule="exact"/>
              <w:ind w:right="629" w:hanging="99"/>
              <w:rPr>
                <w:sz w:val="14"/>
              </w:rPr>
            </w:pPr>
            <w:r>
              <w:rPr>
                <w:color w:val="231F20"/>
                <w:sz w:val="14"/>
              </w:rPr>
              <w:t>Историја књижевности, теорија књижевности, књижевна</w:t>
            </w:r>
            <w:r>
              <w:rPr>
                <w:color w:val="231F20"/>
                <w:spacing w:val="-4"/>
                <w:sz w:val="14"/>
              </w:rPr>
              <w:t xml:space="preserve"> </w:t>
            </w:r>
            <w:r>
              <w:rPr>
                <w:color w:val="231F20"/>
                <w:sz w:val="14"/>
              </w:rPr>
              <w:t>критика.</w:t>
            </w:r>
          </w:p>
          <w:p w:rsidR="00041039" w:rsidRDefault="001B26CB">
            <w:pPr>
              <w:pStyle w:val="TableParagraph"/>
              <w:numPr>
                <w:ilvl w:val="0"/>
                <w:numId w:val="1644"/>
              </w:numPr>
              <w:tabs>
                <w:tab w:val="left" w:pos="157"/>
              </w:tabs>
              <w:spacing w:line="160" w:lineRule="exact"/>
              <w:ind w:right="66" w:hanging="99"/>
              <w:rPr>
                <w:sz w:val="14"/>
              </w:rPr>
            </w:pPr>
            <w:r>
              <w:rPr>
                <w:color w:val="231F20"/>
                <w:sz w:val="14"/>
              </w:rPr>
              <w:t>Лирика као књижевни род: народна лирска песма и уметничка лирска песма по</w:t>
            </w:r>
            <w:r>
              <w:rPr>
                <w:color w:val="231F20"/>
                <w:spacing w:val="-12"/>
                <w:sz w:val="14"/>
              </w:rPr>
              <w:t xml:space="preserve"> </w:t>
            </w:r>
            <w:r>
              <w:rPr>
                <w:color w:val="231F20"/>
                <w:spacing w:val="-3"/>
                <w:sz w:val="14"/>
              </w:rPr>
              <w:t>избору.</w:t>
            </w:r>
          </w:p>
          <w:p w:rsidR="00041039" w:rsidRDefault="001B26CB">
            <w:pPr>
              <w:pStyle w:val="TableParagraph"/>
              <w:numPr>
                <w:ilvl w:val="0"/>
                <w:numId w:val="1644"/>
              </w:numPr>
              <w:tabs>
                <w:tab w:val="left" w:pos="157"/>
              </w:tabs>
              <w:spacing w:line="160" w:lineRule="exact"/>
              <w:ind w:right="276" w:hanging="99"/>
              <w:rPr>
                <w:sz w:val="14"/>
              </w:rPr>
            </w:pPr>
            <w:r>
              <w:rPr>
                <w:color w:val="231F20"/>
                <w:sz w:val="14"/>
              </w:rPr>
              <w:t>Епика као књижевни род: епска народ­ на песма (предлог „Кнежева вечера”), приповетка по избору и роман (предлог Драгослав Михаиловић „Кад су</w:t>
            </w:r>
            <w:r>
              <w:rPr>
                <w:color w:val="231F20"/>
                <w:spacing w:val="-13"/>
                <w:sz w:val="14"/>
              </w:rPr>
              <w:t xml:space="preserve"> </w:t>
            </w:r>
            <w:r>
              <w:rPr>
                <w:color w:val="231F20"/>
                <w:sz w:val="14"/>
              </w:rPr>
              <w:t>цветале тикве”).</w:t>
            </w:r>
          </w:p>
          <w:p w:rsidR="00041039" w:rsidRDefault="001B26CB">
            <w:pPr>
              <w:pStyle w:val="TableParagraph"/>
              <w:numPr>
                <w:ilvl w:val="0"/>
                <w:numId w:val="1644"/>
              </w:numPr>
              <w:tabs>
                <w:tab w:val="left" w:pos="157"/>
              </w:tabs>
              <w:spacing w:line="159" w:lineRule="exact"/>
              <w:ind w:hanging="99"/>
              <w:rPr>
                <w:sz w:val="14"/>
              </w:rPr>
            </w:pPr>
            <w:r>
              <w:rPr>
                <w:color w:val="231F20"/>
                <w:sz w:val="14"/>
              </w:rPr>
              <w:t>Драма као књижевни род: драма по</w:t>
            </w:r>
            <w:r>
              <w:rPr>
                <w:color w:val="231F20"/>
                <w:spacing w:val="-12"/>
                <w:sz w:val="14"/>
              </w:rPr>
              <w:t xml:space="preserve"> </w:t>
            </w:r>
            <w:r>
              <w:rPr>
                <w:color w:val="231F20"/>
                <w:spacing w:val="-3"/>
                <w:sz w:val="14"/>
              </w:rPr>
              <w:t>избору.</w:t>
            </w:r>
          </w:p>
        </w:tc>
        <w:tc>
          <w:tcPr>
            <w:tcW w:w="2267" w:type="dxa"/>
            <w:vMerge w:val="restart"/>
          </w:tcPr>
          <w:p w:rsidR="00041039" w:rsidRDefault="001B26CB">
            <w:pPr>
              <w:pStyle w:val="TableParagraph"/>
              <w:numPr>
                <w:ilvl w:val="0"/>
                <w:numId w:val="1643"/>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w:t>
            </w:r>
            <w:r>
              <w:rPr>
                <w:color w:val="231F20"/>
                <w:sz w:val="14"/>
              </w:rPr>
              <w:t>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643"/>
              </w:numPr>
              <w:tabs>
                <w:tab w:val="left" w:pos="158"/>
              </w:tabs>
              <w:spacing w:line="160" w:lineRule="exact"/>
              <w:ind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643"/>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1643"/>
              </w:numPr>
              <w:tabs>
                <w:tab w:val="left" w:pos="158"/>
              </w:tabs>
              <w:spacing w:line="160" w:lineRule="exact"/>
              <w:ind w:right="68" w:hanging="99"/>
              <w:rPr>
                <w:sz w:val="14"/>
              </w:rPr>
            </w:pPr>
            <w:r>
              <w:rPr>
                <w:color w:val="231F20"/>
                <w:sz w:val="14"/>
              </w:rPr>
              <w:t xml:space="preserve">Приликом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 цији. </w:t>
            </w:r>
            <w:r>
              <w:rPr>
                <w:color w:val="231F20"/>
                <w:spacing w:val="-2"/>
                <w:sz w:val="14"/>
              </w:rPr>
              <w:t xml:space="preserve">Такође </w:t>
            </w:r>
            <w:r>
              <w:rPr>
                <w:color w:val="231F20"/>
                <w:sz w:val="14"/>
              </w:rPr>
              <w:t xml:space="preserve">је ову наставну тему могуће обрађивати </w:t>
            </w:r>
            <w:r>
              <w:rPr>
                <w:color w:val="231F20"/>
                <w:spacing w:val="-3"/>
                <w:sz w:val="14"/>
              </w:rPr>
              <w:t xml:space="preserve">током </w:t>
            </w:r>
            <w:r>
              <w:rPr>
                <w:color w:val="231F20"/>
                <w:sz w:val="14"/>
              </w:rPr>
              <w:t xml:space="preserve">целе </w:t>
            </w:r>
            <w:r>
              <w:rPr>
                <w:color w:val="231F20"/>
                <w:spacing w:val="-3"/>
                <w:sz w:val="14"/>
              </w:rPr>
              <w:t xml:space="preserve">школске </w:t>
            </w:r>
            <w:r>
              <w:rPr>
                <w:color w:val="231F20"/>
                <w:sz w:val="14"/>
              </w:rPr>
              <w:t>године, п</w:t>
            </w:r>
            <w:r>
              <w:rPr>
                <w:color w:val="231F20"/>
                <w:sz w:val="14"/>
              </w:rPr>
              <w:t>а на пример структуру и одлике драмског</w:t>
            </w:r>
            <w:r>
              <w:rPr>
                <w:color w:val="231F20"/>
                <w:spacing w:val="-24"/>
                <w:sz w:val="14"/>
              </w:rPr>
              <w:t xml:space="preserve"> </w:t>
            </w:r>
            <w:r>
              <w:rPr>
                <w:color w:val="231F20"/>
                <w:sz w:val="14"/>
              </w:rPr>
              <w:t xml:space="preserve">дела обрадити на примеру „Ромеа и Јулије”, а структуру и одлике лирске и епске народне песме обрадити </w:t>
            </w:r>
            <w:r>
              <w:rPr>
                <w:color w:val="231F20"/>
                <w:spacing w:val="-3"/>
                <w:sz w:val="14"/>
              </w:rPr>
              <w:t xml:space="preserve">током </w:t>
            </w:r>
            <w:r>
              <w:rPr>
                <w:color w:val="231F20"/>
                <w:sz w:val="14"/>
              </w:rPr>
              <w:t>реализације теме Народна</w:t>
            </w:r>
            <w:r>
              <w:rPr>
                <w:color w:val="231F20"/>
                <w:spacing w:val="-1"/>
                <w:sz w:val="14"/>
              </w:rPr>
              <w:t xml:space="preserve"> </w:t>
            </w:r>
            <w:r>
              <w:rPr>
                <w:color w:val="231F20"/>
                <w:sz w:val="14"/>
              </w:rPr>
              <w:t>књижевност.</w:t>
            </w:r>
          </w:p>
          <w:p w:rsidR="00041039" w:rsidRDefault="001B26CB">
            <w:pPr>
              <w:pStyle w:val="TableParagraph"/>
              <w:numPr>
                <w:ilvl w:val="0"/>
                <w:numId w:val="1643"/>
              </w:numPr>
              <w:tabs>
                <w:tab w:val="left" w:pos="158"/>
              </w:tabs>
              <w:spacing w:before="1" w:line="160" w:lineRule="exact"/>
              <w:ind w:right="307" w:hanging="99"/>
              <w:rPr>
                <w:sz w:val="14"/>
              </w:rPr>
            </w:pPr>
            <w:r>
              <w:rPr>
                <w:color w:val="231F20"/>
                <w:sz w:val="14"/>
              </w:rPr>
              <w:t>Народна књижевност се</w:t>
            </w:r>
            <w:r>
              <w:rPr>
                <w:color w:val="231F20"/>
                <w:spacing w:val="-11"/>
                <w:sz w:val="14"/>
              </w:rPr>
              <w:t xml:space="preserve"> </w:t>
            </w:r>
            <w:r>
              <w:rPr>
                <w:color w:val="231F20"/>
                <w:sz w:val="14"/>
              </w:rPr>
              <w:t>може обрадити по мотивима (рад у групама).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643"/>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643"/>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643"/>
              </w:numPr>
              <w:tabs>
                <w:tab w:val="left" w:pos="158"/>
              </w:tabs>
              <w:spacing w:line="237" w:lineRule="auto"/>
              <w:ind w:right="264" w:hanging="99"/>
              <w:rPr>
                <w:b/>
                <w:sz w:val="14"/>
              </w:rPr>
            </w:pPr>
            <w:r>
              <w:rPr>
                <w:color w:val="231F20"/>
                <w:spacing w:val="-6"/>
                <w:sz w:val="14"/>
              </w:rPr>
              <w:t xml:space="preserve">Увод </w:t>
            </w:r>
            <w:r>
              <w:rPr>
                <w:color w:val="231F20"/>
                <w:sz w:val="14"/>
              </w:rPr>
              <w:t xml:space="preserve">у проучавање књижевног дела </w:t>
            </w:r>
            <w:r>
              <w:rPr>
                <w:b/>
                <w:color w:val="231F20"/>
                <w:sz w:val="14"/>
              </w:rPr>
              <w:t>(15</w:t>
            </w:r>
            <w:r>
              <w:rPr>
                <w:b/>
                <w:color w:val="231F20"/>
                <w:spacing w:val="-2"/>
                <w:sz w:val="14"/>
              </w:rPr>
              <w:t xml:space="preserve"> </w:t>
            </w:r>
            <w:r>
              <w:rPr>
                <w:b/>
                <w:color w:val="231F20"/>
                <w:sz w:val="14"/>
              </w:rPr>
              <w:t>часова)</w:t>
            </w:r>
          </w:p>
          <w:p w:rsidR="00041039" w:rsidRDefault="001B26CB">
            <w:pPr>
              <w:pStyle w:val="TableParagraph"/>
              <w:numPr>
                <w:ilvl w:val="0"/>
                <w:numId w:val="1643"/>
              </w:numPr>
              <w:tabs>
                <w:tab w:val="left" w:pos="158"/>
              </w:tabs>
              <w:spacing w:line="160" w:lineRule="exact"/>
              <w:ind w:right="408" w:hanging="99"/>
              <w:rPr>
                <w:b/>
                <w:sz w:val="14"/>
              </w:rPr>
            </w:pPr>
            <w:r>
              <w:rPr>
                <w:color w:val="231F20"/>
                <w:sz w:val="14"/>
              </w:rPr>
              <w:t xml:space="preserve">Књижевност старог века </w:t>
            </w:r>
            <w:r>
              <w:rPr>
                <w:b/>
                <w:color w:val="231F20"/>
                <w:spacing w:val="-3"/>
                <w:sz w:val="14"/>
              </w:rPr>
              <w:t xml:space="preserve">(11 </w:t>
            </w:r>
            <w:r>
              <w:rPr>
                <w:b/>
                <w:color w:val="231F20"/>
                <w:sz w:val="14"/>
              </w:rPr>
              <w:t>часова)</w:t>
            </w:r>
          </w:p>
          <w:p w:rsidR="00041039" w:rsidRDefault="001B26CB">
            <w:pPr>
              <w:pStyle w:val="TableParagraph"/>
              <w:numPr>
                <w:ilvl w:val="0"/>
                <w:numId w:val="1643"/>
              </w:numPr>
              <w:tabs>
                <w:tab w:val="left" w:pos="158"/>
              </w:tabs>
              <w:spacing w:line="160" w:lineRule="exact"/>
              <w:ind w:right="181" w:hanging="99"/>
              <w:rPr>
                <w:b/>
                <w:sz w:val="14"/>
              </w:rPr>
            </w:pPr>
            <w:r>
              <w:rPr>
                <w:color w:val="231F20"/>
                <w:sz w:val="14"/>
              </w:rPr>
              <w:t>Средњовековна књижевност</w:t>
            </w:r>
            <w:r>
              <w:rPr>
                <w:color w:val="231F20"/>
                <w:spacing w:val="-9"/>
                <w:sz w:val="14"/>
              </w:rPr>
              <w:t xml:space="preserve"> </w:t>
            </w:r>
            <w:r>
              <w:rPr>
                <w:b/>
                <w:color w:val="231F20"/>
                <w:spacing w:val="-3"/>
                <w:sz w:val="14"/>
              </w:rPr>
              <w:t xml:space="preserve">(11 </w:t>
            </w:r>
            <w:r>
              <w:rPr>
                <w:b/>
                <w:color w:val="231F20"/>
                <w:sz w:val="14"/>
              </w:rPr>
              <w:t>часова)</w:t>
            </w:r>
          </w:p>
          <w:p w:rsidR="00041039" w:rsidRDefault="001B26CB">
            <w:pPr>
              <w:pStyle w:val="TableParagraph"/>
              <w:numPr>
                <w:ilvl w:val="0"/>
                <w:numId w:val="1643"/>
              </w:numPr>
              <w:tabs>
                <w:tab w:val="left" w:pos="158"/>
              </w:tabs>
              <w:spacing w:line="153" w:lineRule="exact"/>
              <w:ind w:hanging="99"/>
              <w:rPr>
                <w:b/>
                <w:sz w:val="14"/>
              </w:rPr>
            </w:pPr>
            <w:r>
              <w:rPr>
                <w:color w:val="231F20"/>
                <w:sz w:val="14"/>
              </w:rPr>
              <w:t xml:space="preserve">Народна књижевност </w:t>
            </w:r>
            <w:r>
              <w:rPr>
                <w:b/>
                <w:color w:val="231F20"/>
                <w:sz w:val="14"/>
              </w:rPr>
              <w:t>(13</w:t>
            </w:r>
            <w:r>
              <w:rPr>
                <w:b/>
                <w:color w:val="231F20"/>
                <w:spacing w:val="-8"/>
                <w:sz w:val="14"/>
              </w:rPr>
              <w:t xml:space="preserve"> </w:t>
            </w:r>
            <w:r>
              <w:rPr>
                <w:b/>
                <w:color w:val="231F20"/>
                <w:sz w:val="14"/>
              </w:rPr>
              <w:t>часова)</w:t>
            </w:r>
          </w:p>
          <w:p w:rsidR="00041039" w:rsidRDefault="001B26CB">
            <w:pPr>
              <w:pStyle w:val="TableParagraph"/>
              <w:numPr>
                <w:ilvl w:val="0"/>
                <w:numId w:val="1643"/>
              </w:numPr>
              <w:tabs>
                <w:tab w:val="left" w:pos="158"/>
              </w:tabs>
              <w:spacing w:line="237" w:lineRule="auto"/>
              <w:ind w:right="468" w:hanging="99"/>
              <w:rPr>
                <w:b/>
                <w:sz w:val="14"/>
              </w:rPr>
            </w:pPr>
            <w:r>
              <w:rPr>
                <w:color w:val="231F20"/>
                <w:sz w:val="14"/>
              </w:rPr>
              <w:t>Хуманизам и ренесанса</w:t>
            </w:r>
            <w:r>
              <w:rPr>
                <w:color w:val="231F20"/>
                <w:spacing w:val="-12"/>
                <w:sz w:val="14"/>
              </w:rPr>
              <w:t xml:space="preserve"> </w:t>
            </w:r>
            <w:r>
              <w:rPr>
                <w:b/>
                <w:color w:val="231F20"/>
                <w:sz w:val="14"/>
              </w:rPr>
              <w:t>(10 часова)</w:t>
            </w:r>
          </w:p>
          <w:p w:rsidR="00041039" w:rsidRDefault="001B26CB">
            <w:pPr>
              <w:pStyle w:val="TableParagraph"/>
              <w:numPr>
                <w:ilvl w:val="0"/>
                <w:numId w:val="1643"/>
              </w:numPr>
              <w:tabs>
                <w:tab w:val="left" w:pos="158"/>
              </w:tabs>
              <w:spacing w:line="160" w:lineRule="exact"/>
              <w:ind w:right="498" w:hanging="99"/>
              <w:rPr>
                <w:b/>
                <w:sz w:val="14"/>
              </w:rPr>
            </w:pPr>
            <w:r>
              <w:rPr>
                <w:color w:val="231F20"/>
                <w:sz w:val="14"/>
              </w:rPr>
              <w:t xml:space="preserve">Општи појмови о језику </w:t>
            </w:r>
            <w:r>
              <w:rPr>
                <w:b/>
                <w:color w:val="231F20"/>
                <w:sz w:val="14"/>
              </w:rPr>
              <w:t>(5 часова)</w:t>
            </w:r>
          </w:p>
          <w:p w:rsidR="00041039" w:rsidRDefault="001B26CB">
            <w:pPr>
              <w:pStyle w:val="TableParagraph"/>
              <w:numPr>
                <w:ilvl w:val="0"/>
                <w:numId w:val="1643"/>
              </w:numPr>
              <w:tabs>
                <w:tab w:val="left" w:pos="158"/>
              </w:tabs>
              <w:spacing w:line="153" w:lineRule="exact"/>
              <w:ind w:hanging="99"/>
              <w:rPr>
                <w:b/>
                <w:sz w:val="14"/>
              </w:rPr>
            </w:pPr>
            <w:r>
              <w:rPr>
                <w:color w:val="231F20"/>
                <w:sz w:val="14"/>
              </w:rPr>
              <w:t xml:space="preserve">Фонетика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numPr>
                <w:ilvl w:val="0"/>
                <w:numId w:val="1643"/>
              </w:numPr>
              <w:tabs>
                <w:tab w:val="left" w:pos="158"/>
              </w:tabs>
              <w:spacing w:line="160" w:lineRule="exact"/>
              <w:ind w:hanging="99"/>
              <w:rPr>
                <w:b/>
                <w:sz w:val="14"/>
              </w:rPr>
            </w:pPr>
            <w:r>
              <w:rPr>
                <w:color w:val="231F20"/>
                <w:sz w:val="14"/>
              </w:rPr>
              <w:t xml:space="preserve">Правопис </w:t>
            </w:r>
            <w:r>
              <w:rPr>
                <w:b/>
                <w:color w:val="231F20"/>
                <w:spacing w:val="-3"/>
                <w:sz w:val="14"/>
              </w:rPr>
              <w:t>(11</w:t>
            </w:r>
            <w:r>
              <w:rPr>
                <w:b/>
                <w:color w:val="231F20"/>
                <w:spacing w:val="-2"/>
                <w:sz w:val="14"/>
              </w:rPr>
              <w:t xml:space="preserve"> </w:t>
            </w:r>
            <w:r>
              <w:rPr>
                <w:b/>
                <w:color w:val="231F20"/>
                <w:sz w:val="14"/>
              </w:rPr>
              <w:t>часова)</w:t>
            </w:r>
          </w:p>
          <w:p w:rsidR="00041039" w:rsidRDefault="001B26CB">
            <w:pPr>
              <w:pStyle w:val="TableParagraph"/>
              <w:numPr>
                <w:ilvl w:val="0"/>
                <w:numId w:val="1643"/>
              </w:numPr>
              <w:tabs>
                <w:tab w:val="left" w:pos="158"/>
              </w:tabs>
              <w:spacing w:line="165"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(20</w:t>
            </w:r>
            <w:r>
              <w:rPr>
                <w:b/>
                <w:color w:val="231F20"/>
                <w:spacing w:val="-3"/>
                <w:sz w:val="14"/>
              </w:rPr>
              <w:t xml:space="preserve"> </w:t>
            </w:r>
            <w:r>
              <w:rPr>
                <w:b/>
                <w:color w:val="231F20"/>
                <w:sz w:val="14"/>
              </w:rPr>
              <w:t>часова)</w:t>
            </w:r>
          </w:p>
        </w:tc>
      </w:tr>
      <w:tr w:rsidR="00041039">
        <w:trPr>
          <w:trHeight w:val="1800"/>
        </w:trPr>
        <w:tc>
          <w:tcPr>
            <w:tcW w:w="1304" w:type="dxa"/>
          </w:tcPr>
          <w:p w:rsidR="00041039" w:rsidRDefault="001B26CB">
            <w:pPr>
              <w:pStyle w:val="TableParagraph"/>
              <w:spacing w:before="20"/>
              <w:ind w:left="56" w:right="37"/>
              <w:rPr>
                <w:sz w:val="14"/>
              </w:rPr>
            </w:pPr>
            <w:r>
              <w:rPr>
                <w:color w:val="231F20"/>
                <w:sz w:val="14"/>
              </w:rPr>
              <w:t>Књижевност старог века</w:t>
            </w:r>
          </w:p>
        </w:tc>
        <w:tc>
          <w:tcPr>
            <w:tcW w:w="1587" w:type="dxa"/>
          </w:tcPr>
          <w:p w:rsidR="00041039" w:rsidRDefault="001B26CB">
            <w:pPr>
              <w:pStyle w:val="TableParagraph"/>
              <w:numPr>
                <w:ilvl w:val="0"/>
                <w:numId w:val="1642"/>
              </w:numPr>
              <w:tabs>
                <w:tab w:val="left" w:pos="157"/>
              </w:tabs>
              <w:spacing w:before="10"/>
              <w:ind w:right="43"/>
              <w:rPr>
                <w:sz w:val="14"/>
              </w:rPr>
            </w:pPr>
            <w:r>
              <w:rPr>
                <w:color w:val="231F20"/>
                <w:sz w:val="14"/>
              </w:rPr>
              <w:t>Упознавање ученика са митологијом,</w:t>
            </w:r>
            <w:r>
              <w:rPr>
                <w:color w:val="231F20"/>
                <w:spacing w:val="-12"/>
                <w:sz w:val="14"/>
              </w:rPr>
              <w:t xml:space="preserve"> </w:t>
            </w:r>
            <w:r>
              <w:rPr>
                <w:color w:val="231F20"/>
                <w:sz w:val="14"/>
              </w:rPr>
              <w:t>репре­ зентативним делима старог века и њиховим значајем за развој европске</w:t>
            </w:r>
            <w:r>
              <w:rPr>
                <w:color w:val="231F20"/>
                <w:spacing w:val="-2"/>
                <w:sz w:val="14"/>
              </w:rPr>
              <w:t xml:space="preserve"> </w:t>
            </w:r>
            <w:r>
              <w:rPr>
                <w:color w:val="231F20"/>
                <w:sz w:val="14"/>
              </w:rPr>
              <w:t>културе.</w:t>
            </w:r>
          </w:p>
        </w:tc>
        <w:tc>
          <w:tcPr>
            <w:tcW w:w="2551" w:type="dxa"/>
          </w:tcPr>
          <w:p w:rsidR="00041039" w:rsidRDefault="001B26CB">
            <w:pPr>
              <w:pStyle w:val="TableParagraph"/>
              <w:numPr>
                <w:ilvl w:val="0"/>
                <w:numId w:val="1641"/>
              </w:numPr>
              <w:tabs>
                <w:tab w:val="left" w:pos="157"/>
              </w:tabs>
              <w:spacing w:before="10"/>
              <w:ind w:right="168" w:hanging="99"/>
              <w:rPr>
                <w:sz w:val="14"/>
              </w:rPr>
            </w:pPr>
            <w:r>
              <w:rPr>
                <w:color w:val="231F20"/>
                <w:sz w:val="14"/>
              </w:rPr>
              <w:t>објасни значај митологије за</w:t>
            </w:r>
            <w:r>
              <w:rPr>
                <w:color w:val="231F20"/>
                <w:spacing w:val="-21"/>
                <w:sz w:val="14"/>
              </w:rPr>
              <w:t xml:space="preserve"> </w:t>
            </w:r>
            <w:r>
              <w:rPr>
                <w:color w:val="231F20"/>
                <w:sz w:val="14"/>
              </w:rPr>
              <w:t>античку књижевност и развој европске културе;</w:t>
            </w:r>
          </w:p>
          <w:p w:rsidR="00041039" w:rsidRDefault="001B26CB">
            <w:pPr>
              <w:pStyle w:val="TableParagraph"/>
              <w:numPr>
                <w:ilvl w:val="0"/>
                <w:numId w:val="1641"/>
              </w:numPr>
              <w:tabs>
                <w:tab w:val="left" w:pos="157"/>
              </w:tabs>
              <w:spacing w:line="157" w:lineRule="exact"/>
              <w:ind w:hanging="99"/>
              <w:rPr>
                <w:sz w:val="14"/>
              </w:rPr>
            </w:pPr>
            <w:r>
              <w:rPr>
                <w:color w:val="231F20"/>
                <w:sz w:val="14"/>
              </w:rPr>
              <w:t>наведе имена аутора, називе</w:t>
            </w:r>
            <w:r>
              <w:rPr>
                <w:color w:val="231F20"/>
                <w:spacing w:val="-18"/>
                <w:sz w:val="14"/>
              </w:rPr>
              <w:t xml:space="preserve"> </w:t>
            </w:r>
            <w:r>
              <w:rPr>
                <w:color w:val="231F20"/>
                <w:sz w:val="14"/>
              </w:rPr>
              <w:t>обрађених</w:t>
            </w:r>
          </w:p>
          <w:p w:rsidR="00041039" w:rsidRDefault="001B26CB">
            <w:pPr>
              <w:pStyle w:val="TableParagraph"/>
              <w:rPr>
                <w:sz w:val="14"/>
              </w:rPr>
            </w:pPr>
            <w:r>
              <w:rPr>
                <w:color w:val="231F20"/>
                <w:sz w:val="14"/>
              </w:rPr>
              <w:t>дела и класификује их по културама којима припадају, књижевним родови­ ма и врстама;</w:t>
            </w:r>
          </w:p>
          <w:p w:rsidR="00041039" w:rsidRDefault="001B26CB">
            <w:pPr>
              <w:pStyle w:val="TableParagraph"/>
              <w:numPr>
                <w:ilvl w:val="0"/>
                <w:numId w:val="1641"/>
              </w:numPr>
              <w:tabs>
                <w:tab w:val="left" w:pos="157"/>
              </w:tabs>
              <w:spacing w:line="158" w:lineRule="exact"/>
              <w:ind w:hanging="99"/>
              <w:rPr>
                <w:sz w:val="14"/>
              </w:rPr>
            </w:pPr>
            <w:r>
              <w:rPr>
                <w:color w:val="231F20"/>
                <w:sz w:val="14"/>
              </w:rPr>
              <w:t>тумачи и вреднује уметничке</w:t>
            </w:r>
            <w:r>
              <w:rPr>
                <w:color w:val="231F20"/>
                <w:spacing w:val="-13"/>
                <w:sz w:val="14"/>
              </w:rPr>
              <w:t xml:space="preserve"> </w:t>
            </w:r>
            <w:r>
              <w:rPr>
                <w:color w:val="231F20"/>
                <w:sz w:val="14"/>
              </w:rPr>
              <w:t>чиниоце</w:t>
            </w:r>
          </w:p>
          <w:p w:rsidR="00041039" w:rsidRDefault="001B26CB">
            <w:pPr>
              <w:pStyle w:val="TableParagraph"/>
              <w:spacing w:line="155" w:lineRule="exact"/>
              <w:rPr>
                <w:sz w:val="14"/>
              </w:rPr>
            </w:pPr>
            <w:r>
              <w:rPr>
                <w:color w:val="231F20"/>
                <w:sz w:val="14"/>
              </w:rPr>
              <w:t>у обрађеним делима;</w:t>
            </w:r>
          </w:p>
          <w:p w:rsidR="00041039" w:rsidRDefault="001B26CB">
            <w:pPr>
              <w:pStyle w:val="TableParagraph"/>
              <w:numPr>
                <w:ilvl w:val="0"/>
                <w:numId w:val="1641"/>
              </w:numPr>
              <w:tabs>
                <w:tab w:val="left" w:pos="157"/>
              </w:tabs>
              <w:spacing w:before="6" w:line="160" w:lineRule="exact"/>
              <w:ind w:right="154" w:hanging="99"/>
              <w:rPr>
                <w:sz w:val="14"/>
              </w:rPr>
            </w:pPr>
            <w:r>
              <w:rPr>
                <w:color w:val="231F20"/>
                <w:sz w:val="14"/>
              </w:rPr>
              <w:t>објасни универзалне поруке</w:t>
            </w:r>
            <w:r>
              <w:rPr>
                <w:color w:val="231F20"/>
                <w:spacing w:val="-12"/>
                <w:sz w:val="14"/>
              </w:rPr>
              <w:t xml:space="preserve"> </w:t>
            </w:r>
            <w:r>
              <w:rPr>
                <w:color w:val="231F20"/>
                <w:sz w:val="14"/>
              </w:rPr>
              <w:t>књижев­ ности старог</w:t>
            </w:r>
            <w:r>
              <w:rPr>
                <w:color w:val="231F20"/>
                <w:spacing w:val="-1"/>
                <w:sz w:val="14"/>
              </w:rPr>
              <w:t xml:space="preserve"> </w:t>
            </w:r>
            <w:r>
              <w:rPr>
                <w:color w:val="231F20"/>
                <w:sz w:val="14"/>
              </w:rPr>
              <w:t>века;</w:t>
            </w:r>
          </w:p>
        </w:tc>
        <w:tc>
          <w:tcPr>
            <w:tcW w:w="2834" w:type="dxa"/>
          </w:tcPr>
          <w:p w:rsidR="00041039" w:rsidRDefault="001B26CB">
            <w:pPr>
              <w:pStyle w:val="TableParagraph"/>
              <w:numPr>
                <w:ilvl w:val="0"/>
                <w:numId w:val="1640"/>
              </w:numPr>
              <w:tabs>
                <w:tab w:val="left" w:pos="158"/>
              </w:tabs>
              <w:spacing w:before="10"/>
              <w:ind w:right="190"/>
              <w:rPr>
                <w:sz w:val="14"/>
              </w:rPr>
            </w:pPr>
            <w:r>
              <w:rPr>
                <w:color w:val="231F20"/>
                <w:sz w:val="14"/>
              </w:rPr>
              <w:t>Сумерско ­ вавилонска књижевност: Еп</w:t>
            </w:r>
            <w:r>
              <w:rPr>
                <w:color w:val="231F20"/>
                <w:spacing w:val="-19"/>
                <w:sz w:val="14"/>
              </w:rPr>
              <w:t xml:space="preserve"> </w:t>
            </w:r>
            <w:r>
              <w:rPr>
                <w:color w:val="231F20"/>
                <w:sz w:val="14"/>
              </w:rPr>
              <w:t>о Гилгамешу (анализа</w:t>
            </w:r>
            <w:r>
              <w:rPr>
                <w:color w:val="231F20"/>
                <w:spacing w:val="-5"/>
                <w:sz w:val="14"/>
              </w:rPr>
              <w:t xml:space="preserve"> </w:t>
            </w:r>
            <w:r>
              <w:rPr>
                <w:color w:val="231F20"/>
                <w:sz w:val="14"/>
              </w:rPr>
              <w:t>одломка).</w:t>
            </w:r>
          </w:p>
          <w:p w:rsidR="00041039" w:rsidRDefault="001B26CB">
            <w:pPr>
              <w:pStyle w:val="TableParagraph"/>
              <w:numPr>
                <w:ilvl w:val="0"/>
                <w:numId w:val="1640"/>
              </w:numPr>
              <w:tabs>
                <w:tab w:val="left" w:pos="158"/>
              </w:tabs>
              <w:spacing w:line="160" w:lineRule="exact"/>
              <w:ind w:right="358"/>
              <w:rPr>
                <w:sz w:val="14"/>
              </w:rPr>
            </w:pPr>
            <w:r>
              <w:rPr>
                <w:color w:val="231F20"/>
                <w:sz w:val="14"/>
              </w:rPr>
              <w:t xml:space="preserve">Митови: о </w:t>
            </w:r>
            <w:r>
              <w:rPr>
                <w:color w:val="231F20"/>
                <w:spacing w:val="-3"/>
                <w:sz w:val="14"/>
              </w:rPr>
              <w:t xml:space="preserve">Танталу, Сизифу, Нарцису, </w:t>
            </w:r>
            <w:r>
              <w:rPr>
                <w:color w:val="231F20"/>
                <w:sz w:val="14"/>
              </w:rPr>
              <w:t xml:space="preserve">митови о Троји: Парисов </w:t>
            </w:r>
            <w:r>
              <w:rPr>
                <w:color w:val="231F20"/>
                <w:spacing w:val="-3"/>
                <w:sz w:val="14"/>
              </w:rPr>
              <w:t xml:space="preserve">суд, </w:t>
            </w:r>
            <w:r>
              <w:rPr>
                <w:color w:val="231F20"/>
                <w:sz w:val="14"/>
              </w:rPr>
              <w:t>Одисеј</w:t>
            </w:r>
            <w:r>
              <w:rPr>
                <w:color w:val="231F20"/>
                <w:spacing w:val="-12"/>
                <w:sz w:val="14"/>
              </w:rPr>
              <w:t xml:space="preserve"> </w:t>
            </w:r>
            <w:r>
              <w:rPr>
                <w:color w:val="231F20"/>
                <w:sz w:val="14"/>
              </w:rPr>
              <w:t>и Пенелопа, Ахил,</w:t>
            </w:r>
            <w:r>
              <w:rPr>
                <w:color w:val="231F20"/>
                <w:spacing w:val="-3"/>
                <w:sz w:val="14"/>
              </w:rPr>
              <w:t xml:space="preserve"> </w:t>
            </w:r>
            <w:r>
              <w:rPr>
                <w:color w:val="231F20"/>
                <w:sz w:val="14"/>
              </w:rPr>
              <w:t>Едип...</w:t>
            </w:r>
          </w:p>
          <w:p w:rsidR="00041039" w:rsidRDefault="001B26CB">
            <w:pPr>
              <w:pStyle w:val="TableParagraph"/>
              <w:numPr>
                <w:ilvl w:val="0"/>
                <w:numId w:val="1640"/>
              </w:numPr>
              <w:tabs>
                <w:tab w:val="left" w:pos="158"/>
              </w:tabs>
              <w:spacing w:line="160" w:lineRule="exact"/>
              <w:ind w:right="321"/>
              <w:rPr>
                <w:sz w:val="14"/>
              </w:rPr>
            </w:pPr>
            <w:r>
              <w:rPr>
                <w:color w:val="231F20"/>
                <w:sz w:val="14"/>
              </w:rPr>
              <w:t>Хеленска књижевност: Хомер:</w:t>
            </w:r>
            <w:r>
              <w:rPr>
                <w:color w:val="231F20"/>
                <w:spacing w:val="-23"/>
                <w:sz w:val="14"/>
              </w:rPr>
              <w:t xml:space="preserve"> </w:t>
            </w:r>
            <w:r>
              <w:rPr>
                <w:color w:val="231F20"/>
                <w:sz w:val="14"/>
              </w:rPr>
              <w:t>Илијада (одломак).</w:t>
            </w:r>
          </w:p>
          <w:p w:rsidR="00041039" w:rsidRDefault="001B26CB">
            <w:pPr>
              <w:pStyle w:val="TableParagraph"/>
              <w:numPr>
                <w:ilvl w:val="0"/>
                <w:numId w:val="1640"/>
              </w:numPr>
              <w:tabs>
                <w:tab w:val="left" w:pos="158"/>
              </w:tabs>
              <w:spacing w:line="153" w:lineRule="exact"/>
              <w:rPr>
                <w:sz w:val="14"/>
              </w:rPr>
            </w:pPr>
            <w:r>
              <w:rPr>
                <w:color w:val="231F20"/>
                <w:sz w:val="14"/>
              </w:rPr>
              <w:t>Софокле:</w:t>
            </w:r>
            <w:r>
              <w:rPr>
                <w:color w:val="231F20"/>
                <w:spacing w:val="-1"/>
                <w:sz w:val="14"/>
              </w:rPr>
              <w:t xml:space="preserve"> </w:t>
            </w:r>
            <w:r>
              <w:rPr>
                <w:color w:val="231F20"/>
                <w:sz w:val="14"/>
              </w:rPr>
              <w:t>Антигона.</w:t>
            </w:r>
          </w:p>
          <w:p w:rsidR="00041039" w:rsidRDefault="001B26CB">
            <w:pPr>
              <w:pStyle w:val="TableParagraph"/>
              <w:numPr>
                <w:ilvl w:val="0"/>
                <w:numId w:val="1640"/>
              </w:numPr>
              <w:tabs>
                <w:tab w:val="left" w:pos="158"/>
              </w:tabs>
              <w:spacing w:line="166" w:lineRule="exact"/>
              <w:rPr>
                <w:sz w:val="14"/>
              </w:rPr>
            </w:pPr>
            <w:r>
              <w:rPr>
                <w:color w:val="231F20"/>
                <w:sz w:val="14"/>
              </w:rPr>
              <w:t>Стари и Нови завет (текстови по</w:t>
            </w:r>
            <w:r>
              <w:rPr>
                <w:color w:val="231F20"/>
                <w:spacing w:val="-13"/>
                <w:sz w:val="14"/>
              </w:rPr>
              <w:t xml:space="preserve"> </w:t>
            </w:r>
            <w:r>
              <w:rPr>
                <w:color w:val="231F20"/>
                <w:sz w:val="14"/>
              </w:rPr>
              <w:t>избору).</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7" w:right="37"/>
              <w:rPr>
                <w:sz w:val="14"/>
              </w:rPr>
            </w:pPr>
            <w:r>
              <w:rPr>
                <w:color w:val="231F20"/>
                <w:sz w:val="14"/>
              </w:rPr>
              <w:t>Средњовековна књижевност</w:t>
            </w:r>
          </w:p>
        </w:tc>
        <w:tc>
          <w:tcPr>
            <w:tcW w:w="1587" w:type="dxa"/>
          </w:tcPr>
          <w:p w:rsidR="00041039" w:rsidRDefault="001B26CB">
            <w:pPr>
              <w:pStyle w:val="TableParagraph"/>
              <w:numPr>
                <w:ilvl w:val="0"/>
                <w:numId w:val="1639"/>
              </w:numPr>
              <w:tabs>
                <w:tab w:val="left" w:pos="157"/>
              </w:tabs>
              <w:spacing w:before="10"/>
              <w:ind w:right="52" w:hanging="99"/>
              <w:rPr>
                <w:sz w:val="14"/>
              </w:rPr>
            </w:pPr>
            <w:r>
              <w:rPr>
                <w:color w:val="231F20"/>
                <w:sz w:val="14"/>
              </w:rPr>
              <w:t>Упознавањеса споме­ ницима јужнословен­ ске културе, развојем писма и језика,</w:t>
            </w:r>
            <w:r>
              <w:rPr>
                <w:color w:val="231F20"/>
                <w:spacing w:val="-10"/>
                <w:sz w:val="14"/>
              </w:rPr>
              <w:t xml:space="preserve"> </w:t>
            </w:r>
            <w:r>
              <w:rPr>
                <w:color w:val="231F20"/>
                <w:sz w:val="14"/>
              </w:rPr>
              <w:t>делима средњовековне књи­ жевности</w:t>
            </w:r>
          </w:p>
        </w:tc>
        <w:tc>
          <w:tcPr>
            <w:tcW w:w="2551" w:type="dxa"/>
          </w:tcPr>
          <w:p w:rsidR="00041039" w:rsidRDefault="001B26CB">
            <w:pPr>
              <w:pStyle w:val="TableParagraph"/>
              <w:numPr>
                <w:ilvl w:val="0"/>
                <w:numId w:val="1638"/>
              </w:numPr>
              <w:tabs>
                <w:tab w:val="left" w:pos="157"/>
              </w:tabs>
              <w:spacing w:before="10"/>
              <w:ind w:right="128" w:hanging="99"/>
              <w:rPr>
                <w:sz w:val="14"/>
              </w:rPr>
            </w:pPr>
            <w:r>
              <w:rPr>
                <w:color w:val="231F20"/>
                <w:sz w:val="14"/>
              </w:rPr>
              <w:t>наведе најзначајније споменике јужнословенске културе, језик,</w:t>
            </w:r>
            <w:r>
              <w:rPr>
                <w:color w:val="231F20"/>
                <w:spacing w:val="-22"/>
                <w:sz w:val="14"/>
              </w:rPr>
              <w:t xml:space="preserve"> </w:t>
            </w:r>
            <w:r>
              <w:rPr>
                <w:color w:val="231F20"/>
                <w:sz w:val="14"/>
              </w:rPr>
              <w:t xml:space="preserve">писмо и век у </w:t>
            </w:r>
            <w:r>
              <w:rPr>
                <w:color w:val="231F20"/>
                <w:spacing w:val="-4"/>
                <w:sz w:val="14"/>
              </w:rPr>
              <w:t xml:space="preserve">ком </w:t>
            </w:r>
            <w:r>
              <w:rPr>
                <w:color w:val="231F20"/>
                <w:sz w:val="14"/>
              </w:rPr>
              <w:t>су</w:t>
            </w:r>
            <w:r>
              <w:rPr>
                <w:color w:val="231F20"/>
                <w:spacing w:val="1"/>
                <w:sz w:val="14"/>
              </w:rPr>
              <w:t xml:space="preserve"> </w:t>
            </w:r>
            <w:r>
              <w:rPr>
                <w:color w:val="231F20"/>
                <w:sz w:val="14"/>
              </w:rPr>
              <w:t>настали;</w:t>
            </w:r>
          </w:p>
          <w:p w:rsidR="00041039" w:rsidRDefault="001B26CB">
            <w:pPr>
              <w:pStyle w:val="TableParagraph"/>
              <w:numPr>
                <w:ilvl w:val="0"/>
                <w:numId w:val="1638"/>
              </w:numPr>
              <w:tabs>
                <w:tab w:val="left" w:pos="157"/>
              </w:tabs>
              <w:spacing w:line="152" w:lineRule="exact"/>
              <w:ind w:hanging="99"/>
              <w:rPr>
                <w:sz w:val="14"/>
              </w:rPr>
            </w:pPr>
            <w:r>
              <w:rPr>
                <w:color w:val="231F20"/>
                <w:sz w:val="14"/>
              </w:rPr>
              <w:t>именује ауторе и</w:t>
            </w:r>
            <w:r>
              <w:rPr>
                <w:color w:val="231F20"/>
                <w:spacing w:val="-4"/>
                <w:sz w:val="14"/>
              </w:rPr>
              <w:t xml:space="preserve"> </w:t>
            </w:r>
            <w:r>
              <w:rPr>
                <w:color w:val="231F20"/>
                <w:sz w:val="14"/>
              </w:rPr>
              <w:t>дела;</w:t>
            </w:r>
          </w:p>
          <w:p w:rsidR="00041039" w:rsidRDefault="001B26CB">
            <w:pPr>
              <w:pStyle w:val="TableParagraph"/>
              <w:numPr>
                <w:ilvl w:val="0"/>
                <w:numId w:val="1638"/>
              </w:numPr>
              <w:tabs>
                <w:tab w:val="left" w:pos="157"/>
              </w:tabs>
              <w:spacing w:line="237" w:lineRule="auto"/>
              <w:ind w:right="597" w:hanging="99"/>
              <w:rPr>
                <w:sz w:val="14"/>
              </w:rPr>
            </w:pPr>
            <w:r>
              <w:rPr>
                <w:color w:val="231F20"/>
                <w:sz w:val="14"/>
              </w:rPr>
              <w:t>разуме поетику жанрова средњовековне</w:t>
            </w:r>
            <w:r>
              <w:rPr>
                <w:color w:val="231F20"/>
                <w:spacing w:val="-9"/>
                <w:sz w:val="14"/>
              </w:rPr>
              <w:t xml:space="preserve"> </w:t>
            </w:r>
            <w:r>
              <w:rPr>
                <w:color w:val="231F20"/>
                <w:sz w:val="14"/>
              </w:rPr>
              <w:t>књижевности;</w:t>
            </w:r>
          </w:p>
          <w:p w:rsidR="00041039" w:rsidRDefault="001B26CB">
            <w:pPr>
              <w:pStyle w:val="TableParagraph"/>
              <w:numPr>
                <w:ilvl w:val="0"/>
                <w:numId w:val="1638"/>
              </w:numPr>
              <w:tabs>
                <w:tab w:val="left" w:pos="157"/>
              </w:tabs>
              <w:spacing w:line="160" w:lineRule="exact"/>
              <w:ind w:right="48" w:hanging="99"/>
              <w:rPr>
                <w:sz w:val="14"/>
              </w:rPr>
            </w:pPr>
            <w:r>
              <w:rPr>
                <w:color w:val="231F20"/>
                <w:sz w:val="14"/>
              </w:rPr>
              <w:t>лоцира обрађене текстове у</w:t>
            </w:r>
            <w:r>
              <w:rPr>
                <w:color w:val="231F20"/>
                <w:spacing w:val="-16"/>
                <w:sz w:val="14"/>
              </w:rPr>
              <w:t xml:space="preserve"> </w:t>
            </w:r>
            <w:r>
              <w:rPr>
                <w:color w:val="231F20"/>
                <w:sz w:val="14"/>
              </w:rPr>
              <w:t>историјски контекст;</w:t>
            </w:r>
          </w:p>
          <w:p w:rsidR="00041039" w:rsidRDefault="001B26CB">
            <w:pPr>
              <w:pStyle w:val="TableParagraph"/>
              <w:numPr>
                <w:ilvl w:val="0"/>
                <w:numId w:val="1638"/>
              </w:numPr>
              <w:tabs>
                <w:tab w:val="left" w:pos="157"/>
              </w:tabs>
              <w:spacing w:line="160" w:lineRule="exact"/>
              <w:ind w:right="435" w:hanging="99"/>
              <w:rPr>
                <w:sz w:val="14"/>
              </w:rPr>
            </w:pPr>
            <w:r>
              <w:rPr>
                <w:color w:val="231F20"/>
                <w:sz w:val="14"/>
              </w:rPr>
              <w:t>објасни значај средњовековне књижевности за српску</w:t>
            </w:r>
            <w:r>
              <w:rPr>
                <w:color w:val="231F20"/>
                <w:spacing w:val="-19"/>
                <w:sz w:val="14"/>
              </w:rPr>
              <w:t xml:space="preserve"> </w:t>
            </w:r>
            <w:r>
              <w:rPr>
                <w:color w:val="231F20"/>
                <w:sz w:val="14"/>
              </w:rPr>
              <w:t>културу;</w:t>
            </w:r>
          </w:p>
          <w:p w:rsidR="00041039" w:rsidRDefault="001B26CB">
            <w:pPr>
              <w:pStyle w:val="TableParagraph"/>
              <w:numPr>
                <w:ilvl w:val="0"/>
                <w:numId w:val="1638"/>
              </w:numPr>
              <w:tabs>
                <w:tab w:val="left" w:pos="157"/>
              </w:tabs>
              <w:spacing w:line="160" w:lineRule="exact"/>
              <w:ind w:right="91" w:hanging="99"/>
              <w:rPr>
                <w:sz w:val="14"/>
              </w:rPr>
            </w:pPr>
            <w:r>
              <w:rPr>
                <w:color w:val="231F20"/>
                <w:sz w:val="14"/>
              </w:rPr>
              <w:t xml:space="preserve">анализира изабране текстове уз прет­ </w:t>
            </w:r>
            <w:r>
              <w:rPr>
                <w:color w:val="231F20"/>
                <w:spacing w:val="-3"/>
                <w:sz w:val="14"/>
              </w:rPr>
              <w:t xml:space="preserve">ходно </w:t>
            </w:r>
            <w:r>
              <w:rPr>
                <w:color w:val="231F20"/>
                <w:sz w:val="14"/>
              </w:rPr>
              <w:t>припремање путем истраживач­ ких</w:t>
            </w:r>
            <w:r>
              <w:rPr>
                <w:color w:val="231F20"/>
                <w:spacing w:val="-1"/>
                <w:sz w:val="14"/>
              </w:rPr>
              <w:t xml:space="preserve"> </w:t>
            </w:r>
            <w:r>
              <w:rPr>
                <w:color w:val="231F20"/>
                <w:sz w:val="14"/>
              </w:rPr>
              <w:t>задатака;</w:t>
            </w:r>
          </w:p>
        </w:tc>
        <w:tc>
          <w:tcPr>
            <w:tcW w:w="2834" w:type="dxa"/>
          </w:tcPr>
          <w:p w:rsidR="00041039" w:rsidRDefault="001B26CB">
            <w:pPr>
              <w:pStyle w:val="TableParagraph"/>
              <w:numPr>
                <w:ilvl w:val="0"/>
                <w:numId w:val="1637"/>
              </w:numPr>
              <w:tabs>
                <w:tab w:val="left" w:pos="158"/>
              </w:tabs>
              <w:spacing w:before="10"/>
              <w:ind w:right="115"/>
              <w:rPr>
                <w:sz w:val="14"/>
              </w:rPr>
            </w:pPr>
            <w:r>
              <w:rPr>
                <w:color w:val="231F20"/>
                <w:sz w:val="14"/>
              </w:rPr>
              <w:t>Почеци словенске писмености:</w:t>
            </w:r>
            <w:r>
              <w:rPr>
                <w:color w:val="231F20"/>
                <w:spacing w:val="-19"/>
                <w:sz w:val="14"/>
              </w:rPr>
              <w:t xml:space="preserve"> </w:t>
            </w:r>
            <w:r>
              <w:rPr>
                <w:color w:val="231F20"/>
                <w:sz w:val="14"/>
              </w:rPr>
              <w:t>Црноризац Храбар: „Слово о</w:t>
            </w:r>
            <w:r>
              <w:rPr>
                <w:color w:val="231F20"/>
                <w:spacing w:val="-3"/>
                <w:sz w:val="14"/>
              </w:rPr>
              <w:t xml:space="preserve"> </w:t>
            </w:r>
            <w:r>
              <w:rPr>
                <w:color w:val="231F20"/>
                <w:sz w:val="14"/>
              </w:rPr>
              <w:t>писменима”.</w:t>
            </w:r>
          </w:p>
          <w:p w:rsidR="00041039" w:rsidRDefault="001B26CB">
            <w:pPr>
              <w:pStyle w:val="TableParagraph"/>
              <w:numPr>
                <w:ilvl w:val="0"/>
                <w:numId w:val="1637"/>
              </w:numPr>
              <w:tabs>
                <w:tab w:val="left" w:pos="158"/>
              </w:tabs>
              <w:spacing w:line="153" w:lineRule="exact"/>
              <w:rPr>
                <w:sz w:val="14"/>
              </w:rPr>
            </w:pPr>
            <w:r>
              <w:rPr>
                <w:color w:val="231F20"/>
                <w:sz w:val="14"/>
              </w:rPr>
              <w:t>Рад Ћирила и</w:t>
            </w:r>
            <w:r>
              <w:rPr>
                <w:color w:val="231F20"/>
                <w:spacing w:val="-5"/>
                <w:sz w:val="14"/>
              </w:rPr>
              <w:t xml:space="preserve"> </w:t>
            </w:r>
            <w:r>
              <w:rPr>
                <w:color w:val="231F20"/>
                <w:sz w:val="14"/>
              </w:rPr>
              <w:t>Методија.</w:t>
            </w:r>
          </w:p>
          <w:p w:rsidR="00041039" w:rsidRDefault="001B26CB">
            <w:pPr>
              <w:pStyle w:val="TableParagraph"/>
              <w:numPr>
                <w:ilvl w:val="0"/>
                <w:numId w:val="1637"/>
              </w:numPr>
              <w:tabs>
                <w:tab w:val="left" w:pos="158"/>
              </w:tabs>
              <w:spacing w:line="237" w:lineRule="auto"/>
              <w:ind w:right="430"/>
              <w:rPr>
                <w:sz w:val="14"/>
              </w:rPr>
            </w:pPr>
            <w:r>
              <w:rPr>
                <w:color w:val="231F20"/>
                <w:sz w:val="14"/>
              </w:rPr>
              <w:t>Словенска писма и развој</w:t>
            </w:r>
            <w:r>
              <w:rPr>
                <w:color w:val="231F20"/>
                <w:spacing w:val="-12"/>
                <w:sz w:val="14"/>
              </w:rPr>
              <w:t xml:space="preserve"> </w:t>
            </w:r>
            <w:r>
              <w:rPr>
                <w:color w:val="231F20"/>
                <w:sz w:val="14"/>
              </w:rPr>
              <w:t>књижевног језика.</w:t>
            </w:r>
          </w:p>
          <w:p w:rsidR="00041039" w:rsidRDefault="001B26CB">
            <w:pPr>
              <w:pStyle w:val="TableParagraph"/>
              <w:numPr>
                <w:ilvl w:val="0"/>
                <w:numId w:val="1637"/>
              </w:numPr>
              <w:tabs>
                <w:tab w:val="left" w:pos="158"/>
              </w:tabs>
              <w:spacing w:line="160" w:lineRule="exact"/>
              <w:ind w:right="345"/>
              <w:rPr>
                <w:sz w:val="14"/>
              </w:rPr>
            </w:pPr>
            <w:r>
              <w:rPr>
                <w:color w:val="231F20"/>
                <w:sz w:val="14"/>
              </w:rPr>
              <w:t>Најстарији споменици</w:t>
            </w:r>
            <w:r>
              <w:rPr>
                <w:color w:val="231F20"/>
                <w:spacing w:val="-9"/>
                <w:sz w:val="14"/>
              </w:rPr>
              <w:t xml:space="preserve"> </w:t>
            </w:r>
            <w:r>
              <w:rPr>
                <w:color w:val="231F20"/>
                <w:sz w:val="14"/>
              </w:rPr>
              <w:t>јужнословенске културе.</w:t>
            </w:r>
          </w:p>
          <w:p w:rsidR="00041039" w:rsidRDefault="001B26CB">
            <w:pPr>
              <w:pStyle w:val="TableParagraph"/>
              <w:numPr>
                <w:ilvl w:val="0"/>
                <w:numId w:val="1637"/>
              </w:numPr>
              <w:tabs>
                <w:tab w:val="left" w:pos="158"/>
              </w:tabs>
              <w:spacing w:line="160" w:lineRule="exact"/>
              <w:ind w:right="351"/>
              <w:rPr>
                <w:sz w:val="14"/>
              </w:rPr>
            </w:pPr>
            <w:r>
              <w:rPr>
                <w:color w:val="231F20"/>
                <w:sz w:val="14"/>
              </w:rPr>
              <w:t>Свети Сава: „Житије Светог</w:t>
            </w:r>
            <w:r>
              <w:rPr>
                <w:color w:val="231F20"/>
                <w:spacing w:val="-6"/>
                <w:sz w:val="14"/>
              </w:rPr>
              <w:t xml:space="preserve"> </w:t>
            </w:r>
            <w:r>
              <w:rPr>
                <w:color w:val="231F20"/>
                <w:sz w:val="14"/>
              </w:rPr>
              <w:t>Симеона” (одломак).</w:t>
            </w:r>
          </w:p>
          <w:p w:rsidR="00041039" w:rsidRDefault="001B26CB">
            <w:pPr>
              <w:pStyle w:val="TableParagraph"/>
              <w:numPr>
                <w:ilvl w:val="0"/>
                <w:numId w:val="1637"/>
              </w:numPr>
              <w:tabs>
                <w:tab w:val="left" w:pos="158"/>
              </w:tabs>
              <w:spacing w:line="153" w:lineRule="exact"/>
              <w:rPr>
                <w:sz w:val="14"/>
              </w:rPr>
            </w:pPr>
            <w:r>
              <w:rPr>
                <w:color w:val="231F20"/>
                <w:sz w:val="14"/>
              </w:rPr>
              <w:t>Јефимија: „Похвала кнезу</w:t>
            </w:r>
            <w:r>
              <w:rPr>
                <w:color w:val="231F20"/>
                <w:spacing w:val="-4"/>
                <w:sz w:val="14"/>
              </w:rPr>
              <w:t xml:space="preserve"> </w:t>
            </w:r>
            <w:r>
              <w:rPr>
                <w:color w:val="231F20"/>
                <w:sz w:val="14"/>
              </w:rPr>
              <w:t>Лазар</w:t>
            </w:r>
            <w:r>
              <w:rPr>
                <w:color w:val="231F20"/>
                <w:sz w:val="14"/>
              </w:rPr>
              <w:t>у”.</w:t>
            </w:r>
          </w:p>
          <w:p w:rsidR="00041039" w:rsidRDefault="001B26CB">
            <w:pPr>
              <w:pStyle w:val="TableParagraph"/>
              <w:numPr>
                <w:ilvl w:val="0"/>
                <w:numId w:val="1637"/>
              </w:numPr>
              <w:tabs>
                <w:tab w:val="left" w:pos="158"/>
              </w:tabs>
              <w:spacing w:line="166" w:lineRule="exact"/>
              <w:rPr>
                <w:sz w:val="14"/>
              </w:rPr>
            </w:pPr>
            <w:r>
              <w:rPr>
                <w:color w:val="231F20"/>
                <w:sz w:val="14"/>
              </w:rPr>
              <w:t>Деспот Стефан Лазаревић: „Слово</w:t>
            </w:r>
            <w:r>
              <w:rPr>
                <w:color w:val="231F20"/>
                <w:spacing w:val="-9"/>
                <w:sz w:val="14"/>
              </w:rPr>
              <w:t xml:space="preserve"> </w:t>
            </w:r>
            <w:r>
              <w:rPr>
                <w:color w:val="231F20"/>
                <w:sz w:val="14"/>
              </w:rPr>
              <w:t>љубве”.</w:t>
            </w:r>
          </w:p>
        </w:tc>
        <w:tc>
          <w:tcPr>
            <w:tcW w:w="2267" w:type="dxa"/>
            <w:vMerge/>
            <w:tcBorders>
              <w:top w:val="nil"/>
            </w:tcBorders>
          </w:tcPr>
          <w:p w:rsidR="00041039" w:rsidRDefault="00041039">
            <w:pPr>
              <w:rPr>
                <w:sz w:val="2"/>
                <w:szCs w:val="2"/>
              </w:rPr>
            </w:pPr>
          </w:p>
        </w:tc>
      </w:tr>
      <w:tr w:rsidR="00041039">
        <w:trPr>
          <w:trHeight w:val="3249"/>
        </w:trPr>
        <w:tc>
          <w:tcPr>
            <w:tcW w:w="1304" w:type="dxa"/>
          </w:tcPr>
          <w:p w:rsidR="00041039" w:rsidRDefault="001B26CB">
            <w:pPr>
              <w:pStyle w:val="TableParagraph"/>
              <w:spacing w:before="21"/>
              <w:ind w:left="57" w:right="37"/>
              <w:rPr>
                <w:sz w:val="14"/>
              </w:rPr>
            </w:pPr>
            <w:r>
              <w:rPr>
                <w:color w:val="231F20"/>
                <w:sz w:val="14"/>
              </w:rPr>
              <w:t>Народна књижев­ ност</w:t>
            </w:r>
          </w:p>
        </w:tc>
        <w:tc>
          <w:tcPr>
            <w:tcW w:w="1587" w:type="dxa"/>
          </w:tcPr>
          <w:p w:rsidR="00041039" w:rsidRDefault="001B26CB">
            <w:pPr>
              <w:pStyle w:val="TableParagraph"/>
              <w:numPr>
                <w:ilvl w:val="0"/>
                <w:numId w:val="1636"/>
              </w:numPr>
              <w:tabs>
                <w:tab w:val="left" w:pos="157"/>
              </w:tabs>
              <w:spacing w:before="11"/>
              <w:ind w:right="52" w:hanging="99"/>
              <w:rPr>
                <w:sz w:val="14"/>
              </w:rPr>
            </w:pPr>
            <w:r>
              <w:rPr>
                <w:color w:val="231F20"/>
                <w:sz w:val="14"/>
              </w:rPr>
              <w:t>Указивање на народну књижевност као израз колективног</w:t>
            </w:r>
            <w:r>
              <w:rPr>
                <w:color w:val="231F20"/>
                <w:spacing w:val="-15"/>
                <w:sz w:val="14"/>
              </w:rPr>
              <w:t xml:space="preserve"> </w:t>
            </w:r>
            <w:r>
              <w:rPr>
                <w:color w:val="231F20"/>
                <w:sz w:val="14"/>
              </w:rPr>
              <w:t xml:space="preserve">мишљења и осећања, ризницу народних обичаја, </w:t>
            </w:r>
            <w:r>
              <w:rPr>
                <w:color w:val="231F20"/>
                <w:spacing w:val="-3"/>
                <w:sz w:val="14"/>
              </w:rPr>
              <w:t xml:space="preserve">кодекс </w:t>
            </w:r>
            <w:r>
              <w:rPr>
                <w:color w:val="231F20"/>
                <w:sz w:val="14"/>
              </w:rPr>
              <w:t>етичких норми.</w:t>
            </w:r>
          </w:p>
        </w:tc>
        <w:tc>
          <w:tcPr>
            <w:tcW w:w="2551" w:type="dxa"/>
          </w:tcPr>
          <w:p w:rsidR="00041039" w:rsidRDefault="001B26CB">
            <w:pPr>
              <w:pStyle w:val="TableParagraph"/>
              <w:numPr>
                <w:ilvl w:val="0"/>
                <w:numId w:val="1635"/>
              </w:numPr>
              <w:tabs>
                <w:tab w:val="left" w:pos="158"/>
              </w:tabs>
              <w:spacing w:before="11"/>
              <w:ind w:right="343"/>
              <w:rPr>
                <w:sz w:val="14"/>
              </w:rPr>
            </w:pPr>
            <w:r>
              <w:rPr>
                <w:color w:val="231F20"/>
                <w:sz w:val="14"/>
              </w:rPr>
              <w:t xml:space="preserve">разликује лирске, епске и </w:t>
            </w:r>
            <w:r>
              <w:rPr>
                <w:color w:val="231F20"/>
                <w:spacing w:val="-2"/>
                <w:sz w:val="14"/>
              </w:rPr>
              <w:t>лирско</w:t>
            </w:r>
            <w:r>
              <w:rPr>
                <w:color w:val="231F20"/>
                <w:spacing w:val="-14"/>
                <w:sz w:val="14"/>
              </w:rPr>
              <w:t xml:space="preserve"> </w:t>
            </w:r>
            <w:r>
              <w:rPr>
                <w:color w:val="231F20"/>
                <w:sz w:val="14"/>
              </w:rPr>
              <w:t>­ епске</w:t>
            </w:r>
            <w:r>
              <w:rPr>
                <w:color w:val="231F20"/>
                <w:spacing w:val="-1"/>
                <w:sz w:val="14"/>
              </w:rPr>
              <w:t xml:space="preserve"> </w:t>
            </w:r>
            <w:r>
              <w:rPr>
                <w:color w:val="231F20"/>
                <w:sz w:val="14"/>
              </w:rPr>
              <w:t>песме;</w:t>
            </w:r>
          </w:p>
          <w:p w:rsidR="00041039" w:rsidRDefault="001B26CB">
            <w:pPr>
              <w:pStyle w:val="TableParagraph"/>
              <w:numPr>
                <w:ilvl w:val="0"/>
                <w:numId w:val="1635"/>
              </w:numPr>
              <w:tabs>
                <w:tab w:val="left" w:pos="158"/>
              </w:tabs>
              <w:spacing w:line="160" w:lineRule="exact"/>
              <w:ind w:right="200"/>
              <w:jc w:val="both"/>
              <w:rPr>
                <w:sz w:val="14"/>
              </w:rPr>
            </w:pPr>
            <w:r>
              <w:rPr>
                <w:color w:val="231F20"/>
                <w:sz w:val="14"/>
              </w:rPr>
              <w:t>уочи одлике усмене уметности речи (колективност,</w:t>
            </w:r>
            <w:r>
              <w:rPr>
                <w:color w:val="231F20"/>
                <w:spacing w:val="-16"/>
                <w:sz w:val="14"/>
              </w:rPr>
              <w:t xml:space="preserve"> </w:t>
            </w:r>
            <w:r>
              <w:rPr>
                <w:color w:val="231F20"/>
                <w:sz w:val="14"/>
              </w:rPr>
              <w:t>варијантност,</w:t>
            </w:r>
            <w:r>
              <w:rPr>
                <w:color w:val="231F20"/>
                <w:spacing w:val="-16"/>
                <w:sz w:val="14"/>
              </w:rPr>
              <w:t xml:space="preserve"> </w:t>
            </w:r>
            <w:r>
              <w:rPr>
                <w:color w:val="231F20"/>
                <w:sz w:val="14"/>
              </w:rPr>
              <w:t>форму­ лативност);</w:t>
            </w:r>
          </w:p>
          <w:p w:rsidR="00041039" w:rsidRDefault="001B26CB">
            <w:pPr>
              <w:pStyle w:val="TableParagraph"/>
              <w:numPr>
                <w:ilvl w:val="0"/>
                <w:numId w:val="1635"/>
              </w:numPr>
              <w:tabs>
                <w:tab w:val="left" w:pos="158"/>
              </w:tabs>
              <w:spacing w:line="160" w:lineRule="exact"/>
              <w:ind w:right="147"/>
              <w:jc w:val="both"/>
              <w:rPr>
                <w:sz w:val="14"/>
              </w:rPr>
            </w:pPr>
            <w:r>
              <w:rPr>
                <w:color w:val="231F20"/>
                <w:sz w:val="14"/>
              </w:rPr>
              <w:t>процењује етичке вредности изнете</w:t>
            </w:r>
            <w:r>
              <w:rPr>
                <w:color w:val="231F20"/>
                <w:spacing w:val="-18"/>
                <w:sz w:val="14"/>
              </w:rPr>
              <w:t xml:space="preserve"> </w:t>
            </w:r>
            <w:r>
              <w:rPr>
                <w:color w:val="231F20"/>
                <w:sz w:val="14"/>
              </w:rPr>
              <w:t>у делима народне</w:t>
            </w:r>
            <w:r>
              <w:rPr>
                <w:color w:val="231F20"/>
                <w:spacing w:val="-2"/>
                <w:sz w:val="14"/>
              </w:rPr>
              <w:t xml:space="preserve"> </w:t>
            </w:r>
            <w:r>
              <w:rPr>
                <w:color w:val="231F20"/>
                <w:sz w:val="14"/>
              </w:rPr>
              <w:t>књижевности;</w:t>
            </w:r>
          </w:p>
          <w:p w:rsidR="00041039" w:rsidRDefault="001B26CB">
            <w:pPr>
              <w:pStyle w:val="TableParagraph"/>
              <w:numPr>
                <w:ilvl w:val="0"/>
                <w:numId w:val="1635"/>
              </w:numPr>
              <w:tabs>
                <w:tab w:val="left" w:pos="158"/>
              </w:tabs>
              <w:spacing w:line="160" w:lineRule="exact"/>
              <w:ind w:right="122"/>
              <w:jc w:val="both"/>
              <w:rPr>
                <w:sz w:val="14"/>
              </w:rPr>
            </w:pPr>
            <w:r>
              <w:rPr>
                <w:color w:val="231F20"/>
                <w:sz w:val="14"/>
              </w:rPr>
              <w:t xml:space="preserve">тумачи ликове, битне мотиве, </w:t>
            </w:r>
            <w:r>
              <w:rPr>
                <w:color w:val="231F20"/>
                <w:spacing w:val="-5"/>
                <w:sz w:val="14"/>
              </w:rPr>
              <w:t xml:space="preserve">фабулу, </w:t>
            </w:r>
            <w:r>
              <w:rPr>
                <w:color w:val="231F20"/>
                <w:sz w:val="14"/>
              </w:rPr>
              <w:t>сиже,</w:t>
            </w:r>
            <w:r>
              <w:rPr>
                <w:color w:val="231F20"/>
                <w:spacing w:val="-6"/>
                <w:sz w:val="14"/>
              </w:rPr>
              <w:t xml:space="preserve"> </w:t>
            </w:r>
            <w:r>
              <w:rPr>
                <w:color w:val="231F20"/>
                <w:sz w:val="14"/>
              </w:rPr>
              <w:t>композицију</w:t>
            </w:r>
            <w:r>
              <w:rPr>
                <w:color w:val="231F20"/>
                <w:spacing w:val="-6"/>
                <w:sz w:val="14"/>
              </w:rPr>
              <w:t xml:space="preserve"> </w:t>
            </w:r>
            <w:r>
              <w:rPr>
                <w:color w:val="231F20"/>
                <w:sz w:val="14"/>
              </w:rPr>
              <w:t>и</w:t>
            </w:r>
            <w:r>
              <w:rPr>
                <w:color w:val="231F20"/>
                <w:spacing w:val="-6"/>
                <w:sz w:val="14"/>
              </w:rPr>
              <w:t xml:space="preserve"> </w:t>
            </w:r>
            <w:r>
              <w:rPr>
                <w:color w:val="231F20"/>
                <w:sz w:val="14"/>
              </w:rPr>
              <w:t>поруке</w:t>
            </w:r>
            <w:r>
              <w:rPr>
                <w:color w:val="231F20"/>
                <w:spacing w:val="-6"/>
                <w:sz w:val="14"/>
              </w:rPr>
              <w:t xml:space="preserve"> </w:t>
            </w:r>
            <w:r>
              <w:rPr>
                <w:color w:val="231F20"/>
                <w:sz w:val="14"/>
              </w:rPr>
              <w:t>у</w:t>
            </w:r>
            <w:r>
              <w:rPr>
                <w:color w:val="231F20"/>
                <w:spacing w:val="-6"/>
                <w:sz w:val="14"/>
              </w:rPr>
              <w:t xml:space="preserve"> </w:t>
            </w:r>
            <w:r>
              <w:rPr>
                <w:color w:val="231F20"/>
                <w:sz w:val="14"/>
              </w:rPr>
              <w:t>одабра­ ним</w:t>
            </w:r>
            <w:r>
              <w:rPr>
                <w:color w:val="231F20"/>
                <w:spacing w:val="-2"/>
                <w:sz w:val="14"/>
              </w:rPr>
              <w:t xml:space="preserve"> </w:t>
            </w:r>
            <w:r>
              <w:rPr>
                <w:color w:val="231F20"/>
                <w:sz w:val="14"/>
              </w:rPr>
              <w:t>делима;</w:t>
            </w:r>
          </w:p>
          <w:p w:rsidR="00041039" w:rsidRDefault="001B26CB">
            <w:pPr>
              <w:pStyle w:val="TableParagraph"/>
              <w:numPr>
                <w:ilvl w:val="0"/>
                <w:numId w:val="1635"/>
              </w:numPr>
              <w:tabs>
                <w:tab w:val="left" w:pos="158"/>
              </w:tabs>
              <w:spacing w:line="160" w:lineRule="exact"/>
              <w:ind w:right="249"/>
              <w:jc w:val="both"/>
              <w:rPr>
                <w:sz w:val="14"/>
              </w:rPr>
            </w:pPr>
            <w:r>
              <w:rPr>
                <w:color w:val="231F20"/>
                <w:sz w:val="14"/>
              </w:rPr>
              <w:t>упореди уметничку</w:t>
            </w:r>
            <w:r>
              <w:rPr>
                <w:color w:val="231F20"/>
                <w:spacing w:val="-12"/>
                <w:sz w:val="14"/>
              </w:rPr>
              <w:t xml:space="preserve"> </w:t>
            </w:r>
            <w:r>
              <w:rPr>
                <w:color w:val="231F20"/>
                <w:sz w:val="14"/>
              </w:rPr>
              <w:t>интерпретацију стварности и историјске</w:t>
            </w:r>
            <w:r>
              <w:rPr>
                <w:color w:val="231F20"/>
                <w:spacing w:val="-7"/>
                <w:sz w:val="14"/>
              </w:rPr>
              <w:t xml:space="preserve"> </w:t>
            </w:r>
            <w:r>
              <w:rPr>
                <w:color w:val="231F20"/>
                <w:sz w:val="14"/>
              </w:rPr>
              <w:t>чињенице;</w:t>
            </w:r>
          </w:p>
        </w:tc>
        <w:tc>
          <w:tcPr>
            <w:tcW w:w="2834" w:type="dxa"/>
          </w:tcPr>
          <w:p w:rsidR="00041039" w:rsidRDefault="001B26CB">
            <w:pPr>
              <w:pStyle w:val="TableParagraph"/>
              <w:numPr>
                <w:ilvl w:val="0"/>
                <w:numId w:val="1634"/>
              </w:numPr>
              <w:tabs>
                <w:tab w:val="left" w:pos="158"/>
              </w:tabs>
              <w:spacing w:before="11" w:line="166" w:lineRule="exact"/>
              <w:rPr>
                <w:sz w:val="14"/>
              </w:rPr>
            </w:pPr>
            <w:r>
              <w:rPr>
                <w:color w:val="231F20"/>
                <w:sz w:val="14"/>
              </w:rPr>
              <w:t>Врсте народне</w:t>
            </w:r>
            <w:r>
              <w:rPr>
                <w:color w:val="231F20"/>
                <w:spacing w:val="-1"/>
                <w:sz w:val="14"/>
              </w:rPr>
              <w:t xml:space="preserve"> </w:t>
            </w:r>
            <w:r>
              <w:rPr>
                <w:color w:val="231F20"/>
                <w:sz w:val="14"/>
              </w:rPr>
              <w:t>књижевности.</w:t>
            </w:r>
          </w:p>
          <w:p w:rsidR="00041039" w:rsidRDefault="001B26CB">
            <w:pPr>
              <w:pStyle w:val="TableParagraph"/>
              <w:numPr>
                <w:ilvl w:val="0"/>
                <w:numId w:val="1634"/>
              </w:numPr>
              <w:tabs>
                <w:tab w:val="left" w:pos="158"/>
              </w:tabs>
              <w:spacing w:line="165" w:lineRule="exact"/>
              <w:rPr>
                <w:sz w:val="14"/>
              </w:rPr>
            </w:pPr>
            <w:r>
              <w:rPr>
                <w:color w:val="231F20"/>
                <w:sz w:val="14"/>
              </w:rPr>
              <w:t>Лирска народна песма „Овчар и</w:t>
            </w:r>
            <w:r>
              <w:rPr>
                <w:color w:val="231F20"/>
                <w:spacing w:val="-12"/>
                <w:sz w:val="14"/>
              </w:rPr>
              <w:t xml:space="preserve"> </w:t>
            </w:r>
            <w:r>
              <w:rPr>
                <w:color w:val="231F20"/>
                <w:sz w:val="14"/>
              </w:rPr>
              <w:t>девојка”,</w:t>
            </w:r>
          </w:p>
          <w:p w:rsidR="00041039" w:rsidRDefault="001B26CB">
            <w:pPr>
              <w:pStyle w:val="TableParagraph"/>
              <w:spacing w:line="155" w:lineRule="exact"/>
              <w:ind w:left="157"/>
              <w:rPr>
                <w:sz w:val="14"/>
              </w:rPr>
            </w:pPr>
            <w:r>
              <w:rPr>
                <w:color w:val="231F20"/>
                <w:sz w:val="14"/>
              </w:rPr>
              <w:t>„Зао господар” (предлог).</w:t>
            </w:r>
          </w:p>
          <w:p w:rsidR="00041039" w:rsidRDefault="001B26CB">
            <w:pPr>
              <w:pStyle w:val="TableParagraph"/>
              <w:numPr>
                <w:ilvl w:val="0"/>
                <w:numId w:val="1634"/>
              </w:numPr>
              <w:tabs>
                <w:tab w:val="left" w:pos="158"/>
              </w:tabs>
              <w:spacing w:line="237" w:lineRule="auto"/>
              <w:ind w:right="87"/>
              <w:rPr>
                <w:sz w:val="14"/>
              </w:rPr>
            </w:pPr>
            <w:r>
              <w:rPr>
                <w:color w:val="231F20"/>
                <w:sz w:val="14"/>
              </w:rPr>
              <w:t>Епска народна песма „Бановић</w:t>
            </w:r>
            <w:r>
              <w:rPr>
                <w:color w:val="231F20"/>
                <w:spacing w:val="-11"/>
                <w:sz w:val="14"/>
              </w:rPr>
              <w:t xml:space="preserve"> </w:t>
            </w:r>
            <w:r>
              <w:rPr>
                <w:color w:val="231F20"/>
                <w:sz w:val="14"/>
              </w:rPr>
              <w:t xml:space="preserve">Страхиња”, </w:t>
            </w:r>
            <w:r>
              <w:rPr>
                <w:color w:val="231F20"/>
                <w:spacing w:val="-3"/>
                <w:sz w:val="14"/>
              </w:rPr>
              <w:t xml:space="preserve">Марко </w:t>
            </w:r>
            <w:r>
              <w:rPr>
                <w:color w:val="231F20"/>
                <w:sz w:val="14"/>
              </w:rPr>
              <w:t>пије уз Рамазан вино”, „Бој на Мишару”.</w:t>
            </w:r>
          </w:p>
          <w:p w:rsidR="00041039" w:rsidRDefault="001B26CB">
            <w:pPr>
              <w:pStyle w:val="TableParagraph"/>
              <w:numPr>
                <w:ilvl w:val="0"/>
                <w:numId w:val="1634"/>
              </w:numPr>
              <w:tabs>
                <w:tab w:val="left" w:pos="158"/>
              </w:tabs>
              <w:spacing w:line="156" w:lineRule="exact"/>
              <w:rPr>
                <w:sz w:val="14"/>
              </w:rPr>
            </w:pPr>
            <w:r>
              <w:rPr>
                <w:color w:val="231F20"/>
                <w:spacing w:val="-2"/>
                <w:sz w:val="14"/>
              </w:rPr>
              <w:t xml:space="preserve">Лирско </w:t>
            </w:r>
            <w:r>
              <w:rPr>
                <w:color w:val="231F20"/>
                <w:sz w:val="14"/>
              </w:rPr>
              <w:t>­ епске песме (по</w:t>
            </w:r>
            <w:r>
              <w:rPr>
                <w:color w:val="231F20"/>
                <w:spacing w:val="-1"/>
                <w:sz w:val="14"/>
              </w:rPr>
              <w:t xml:space="preserve"> </w:t>
            </w:r>
            <w:r>
              <w:rPr>
                <w:color w:val="231F20"/>
                <w:sz w:val="14"/>
              </w:rPr>
              <w:t>избору).</w:t>
            </w:r>
          </w:p>
          <w:p w:rsidR="00041039" w:rsidRDefault="001B26CB">
            <w:pPr>
              <w:pStyle w:val="TableParagraph"/>
              <w:numPr>
                <w:ilvl w:val="0"/>
                <w:numId w:val="1634"/>
              </w:numPr>
              <w:tabs>
                <w:tab w:val="left" w:pos="158"/>
              </w:tabs>
              <w:spacing w:line="160" w:lineRule="exact"/>
              <w:rPr>
                <w:sz w:val="14"/>
              </w:rPr>
            </w:pPr>
            <w:r>
              <w:rPr>
                <w:color w:val="231F20"/>
                <w:sz w:val="14"/>
              </w:rPr>
              <w:t>Народне проза (бајка по</w:t>
            </w:r>
            <w:r>
              <w:rPr>
                <w:color w:val="231F20"/>
                <w:spacing w:val="-6"/>
                <w:sz w:val="14"/>
              </w:rPr>
              <w:t xml:space="preserve"> </w:t>
            </w:r>
            <w:r>
              <w:rPr>
                <w:color w:val="231F20"/>
                <w:sz w:val="14"/>
              </w:rPr>
              <w:t>избору).</w:t>
            </w:r>
          </w:p>
          <w:p w:rsidR="00041039" w:rsidRDefault="001B26CB">
            <w:pPr>
              <w:pStyle w:val="TableParagraph"/>
              <w:numPr>
                <w:ilvl w:val="0"/>
                <w:numId w:val="1634"/>
              </w:numPr>
              <w:tabs>
                <w:tab w:val="left" w:pos="158"/>
              </w:tabs>
              <w:spacing w:line="166" w:lineRule="exact"/>
              <w:rPr>
                <w:sz w:val="14"/>
              </w:rPr>
            </w:pPr>
            <w:r>
              <w:rPr>
                <w:color w:val="231F20"/>
                <w:sz w:val="14"/>
              </w:rPr>
              <w:t>Кратке народне прозне врсте</w:t>
            </w:r>
            <w:r>
              <w:rPr>
                <w:color w:val="231F20"/>
                <w:spacing w:val="-8"/>
                <w:sz w:val="14"/>
              </w:rPr>
              <w:t xml:space="preserve"> </w:t>
            </w:r>
            <w:r>
              <w:rPr>
                <w:color w:val="231F20"/>
                <w:sz w:val="14"/>
              </w:rPr>
              <w:t>(избор).</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1B26CB">
            <w:pPr>
              <w:pStyle w:val="TableParagraph"/>
              <w:spacing w:before="18"/>
              <w:ind w:left="56" w:right="37"/>
              <w:rPr>
                <w:sz w:val="14"/>
              </w:rPr>
            </w:pPr>
            <w:r>
              <w:rPr>
                <w:color w:val="231F20"/>
                <w:sz w:val="14"/>
              </w:rPr>
              <w:lastRenderedPageBreak/>
              <w:t>Хуманизам и ренесанса</w:t>
            </w:r>
          </w:p>
        </w:tc>
        <w:tc>
          <w:tcPr>
            <w:tcW w:w="1587" w:type="dxa"/>
          </w:tcPr>
          <w:p w:rsidR="00041039" w:rsidRDefault="001B26CB">
            <w:pPr>
              <w:pStyle w:val="TableParagraph"/>
              <w:numPr>
                <w:ilvl w:val="0"/>
                <w:numId w:val="1633"/>
              </w:numPr>
              <w:tabs>
                <w:tab w:val="left" w:pos="157"/>
              </w:tabs>
              <w:spacing w:before="8"/>
              <w:ind w:right="101"/>
              <w:rPr>
                <w:sz w:val="14"/>
              </w:rPr>
            </w:pPr>
            <w:r>
              <w:rPr>
                <w:color w:val="231F20"/>
                <w:sz w:val="14"/>
              </w:rPr>
              <w:t>Упознавање са поетиком хуманизма и ренесансе, њеним најзначајним</w:t>
            </w:r>
            <w:r>
              <w:rPr>
                <w:color w:val="231F20"/>
                <w:spacing w:val="-11"/>
                <w:sz w:val="14"/>
              </w:rPr>
              <w:t xml:space="preserve"> </w:t>
            </w:r>
            <w:r>
              <w:rPr>
                <w:color w:val="231F20"/>
                <w:sz w:val="14"/>
              </w:rPr>
              <w:t>предста­</w:t>
            </w:r>
          </w:p>
          <w:p w:rsidR="00041039" w:rsidRDefault="001B26CB">
            <w:pPr>
              <w:pStyle w:val="TableParagraph"/>
              <w:spacing w:line="237" w:lineRule="auto"/>
              <w:ind w:right="15"/>
              <w:rPr>
                <w:sz w:val="14"/>
              </w:rPr>
            </w:pPr>
            <w:r>
              <w:rPr>
                <w:color w:val="231F20"/>
                <w:sz w:val="14"/>
              </w:rPr>
              <w:t>вницима и књижевним делима</w:t>
            </w:r>
          </w:p>
        </w:tc>
        <w:tc>
          <w:tcPr>
            <w:tcW w:w="2551" w:type="dxa"/>
          </w:tcPr>
          <w:p w:rsidR="00041039" w:rsidRDefault="001B26CB">
            <w:pPr>
              <w:pStyle w:val="TableParagraph"/>
              <w:numPr>
                <w:ilvl w:val="0"/>
                <w:numId w:val="1632"/>
              </w:numPr>
              <w:tabs>
                <w:tab w:val="left" w:pos="157"/>
              </w:tabs>
              <w:spacing w:before="8"/>
              <w:ind w:right="215" w:hanging="99"/>
              <w:rPr>
                <w:sz w:val="14"/>
              </w:rPr>
            </w:pPr>
            <w:r>
              <w:rPr>
                <w:color w:val="231F20"/>
                <w:sz w:val="14"/>
              </w:rPr>
              <w:t>наведе најзначајније представнике</w:t>
            </w:r>
            <w:r>
              <w:rPr>
                <w:color w:val="231F20"/>
                <w:spacing w:val="-21"/>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1632"/>
              </w:numPr>
              <w:tabs>
                <w:tab w:val="left" w:pos="157"/>
              </w:tabs>
              <w:spacing w:line="160" w:lineRule="exact"/>
              <w:ind w:right="122" w:hanging="99"/>
              <w:jc w:val="both"/>
              <w:rPr>
                <w:sz w:val="14"/>
              </w:rPr>
            </w:pPr>
            <w:r>
              <w:rPr>
                <w:color w:val="231F20"/>
                <w:sz w:val="14"/>
              </w:rPr>
              <w:t>објасни значење појмова хуманизам</w:t>
            </w:r>
            <w:r>
              <w:rPr>
                <w:color w:val="231F20"/>
                <w:spacing w:val="-23"/>
                <w:sz w:val="14"/>
              </w:rPr>
              <w:t xml:space="preserve"> </w:t>
            </w:r>
            <w:r>
              <w:rPr>
                <w:color w:val="231F20"/>
                <w:sz w:val="14"/>
              </w:rPr>
              <w:t>и ренесанса;</w:t>
            </w:r>
          </w:p>
          <w:p w:rsidR="00041039" w:rsidRDefault="001B26CB">
            <w:pPr>
              <w:pStyle w:val="TableParagraph"/>
              <w:numPr>
                <w:ilvl w:val="0"/>
                <w:numId w:val="1632"/>
              </w:numPr>
              <w:tabs>
                <w:tab w:val="left" w:pos="157"/>
              </w:tabs>
              <w:spacing w:line="160" w:lineRule="exact"/>
              <w:ind w:right="136" w:hanging="99"/>
              <w:jc w:val="both"/>
              <w:rPr>
                <w:sz w:val="14"/>
              </w:rPr>
            </w:pPr>
            <w:r>
              <w:rPr>
                <w:color w:val="231F20"/>
                <w:sz w:val="14"/>
              </w:rPr>
              <w:t>наводи и на обрађеним делима</w:t>
            </w:r>
            <w:r>
              <w:rPr>
                <w:color w:val="231F20"/>
                <w:spacing w:val="-13"/>
                <w:sz w:val="14"/>
              </w:rPr>
              <w:t xml:space="preserve"> </w:t>
            </w:r>
            <w:r>
              <w:rPr>
                <w:color w:val="231F20"/>
                <w:sz w:val="14"/>
              </w:rPr>
              <w:t>образ­ лаже одлике</w:t>
            </w:r>
            <w:r>
              <w:rPr>
                <w:color w:val="231F20"/>
                <w:spacing w:val="-2"/>
                <w:sz w:val="14"/>
              </w:rPr>
              <w:t xml:space="preserve"> </w:t>
            </w:r>
            <w:r>
              <w:rPr>
                <w:color w:val="231F20"/>
                <w:sz w:val="14"/>
              </w:rPr>
              <w:t>епохе;</w:t>
            </w:r>
          </w:p>
          <w:p w:rsidR="00041039" w:rsidRDefault="001B26CB">
            <w:pPr>
              <w:pStyle w:val="TableParagraph"/>
              <w:numPr>
                <w:ilvl w:val="0"/>
                <w:numId w:val="1632"/>
              </w:numPr>
              <w:tabs>
                <w:tab w:val="left" w:pos="157"/>
              </w:tabs>
              <w:spacing w:line="160" w:lineRule="exact"/>
              <w:ind w:right="164" w:hanging="99"/>
              <w:rPr>
                <w:sz w:val="14"/>
              </w:rPr>
            </w:pPr>
            <w:r>
              <w:rPr>
                <w:color w:val="231F20"/>
                <w:sz w:val="14"/>
              </w:rPr>
              <w:t>упореди вредности средњег века са вредностима хуманизма и</w:t>
            </w:r>
            <w:r>
              <w:rPr>
                <w:color w:val="231F20"/>
                <w:spacing w:val="-10"/>
                <w:sz w:val="14"/>
              </w:rPr>
              <w:t xml:space="preserve"> </w:t>
            </w:r>
            <w:r>
              <w:rPr>
                <w:color w:val="231F20"/>
                <w:sz w:val="14"/>
              </w:rPr>
              <w:t>ренесансе;</w:t>
            </w:r>
          </w:p>
          <w:p w:rsidR="00041039" w:rsidRDefault="001B26CB">
            <w:pPr>
              <w:pStyle w:val="TableParagraph"/>
              <w:numPr>
                <w:ilvl w:val="0"/>
                <w:numId w:val="1632"/>
              </w:numPr>
              <w:tabs>
                <w:tab w:val="left" w:pos="157"/>
              </w:tabs>
              <w:spacing w:line="160" w:lineRule="exact"/>
              <w:ind w:right="60" w:hanging="99"/>
              <w:jc w:val="both"/>
              <w:rPr>
                <w:sz w:val="14"/>
              </w:rPr>
            </w:pPr>
            <w:r>
              <w:rPr>
                <w:color w:val="231F20"/>
                <w:sz w:val="14"/>
              </w:rPr>
              <w:t>објасни значај уметности хуманизма и ренесансе за развој европске културе</w:t>
            </w:r>
            <w:r>
              <w:rPr>
                <w:color w:val="231F20"/>
                <w:spacing w:val="-15"/>
                <w:sz w:val="14"/>
              </w:rPr>
              <w:t xml:space="preserve"> </w:t>
            </w:r>
            <w:r>
              <w:rPr>
                <w:color w:val="231F20"/>
                <w:sz w:val="14"/>
              </w:rPr>
              <w:t>и цивилизације;</w:t>
            </w:r>
          </w:p>
        </w:tc>
        <w:tc>
          <w:tcPr>
            <w:tcW w:w="2834" w:type="dxa"/>
          </w:tcPr>
          <w:p w:rsidR="00041039" w:rsidRDefault="001B26CB">
            <w:pPr>
              <w:pStyle w:val="TableParagraph"/>
              <w:numPr>
                <w:ilvl w:val="0"/>
                <w:numId w:val="1631"/>
              </w:numPr>
              <w:tabs>
                <w:tab w:val="left" w:pos="157"/>
              </w:tabs>
              <w:spacing w:before="8"/>
              <w:ind w:right="715" w:hanging="99"/>
              <w:rPr>
                <w:sz w:val="14"/>
              </w:rPr>
            </w:pPr>
            <w:r>
              <w:rPr>
                <w:color w:val="231F20"/>
                <w:sz w:val="14"/>
              </w:rPr>
              <w:t>Поетика хуманизма и</w:t>
            </w:r>
            <w:r>
              <w:rPr>
                <w:color w:val="231F20"/>
                <w:spacing w:val="-11"/>
                <w:sz w:val="14"/>
              </w:rPr>
              <w:t xml:space="preserve"> </w:t>
            </w:r>
            <w:r>
              <w:rPr>
                <w:color w:val="231F20"/>
                <w:sz w:val="14"/>
              </w:rPr>
              <w:t>ренесансе, најзначајнији</w:t>
            </w:r>
            <w:r>
              <w:rPr>
                <w:color w:val="231F20"/>
                <w:spacing w:val="-2"/>
                <w:sz w:val="14"/>
              </w:rPr>
              <w:t xml:space="preserve"> </w:t>
            </w:r>
            <w:r>
              <w:rPr>
                <w:color w:val="231F20"/>
                <w:sz w:val="14"/>
              </w:rPr>
              <w:t>представници.</w:t>
            </w:r>
          </w:p>
          <w:p w:rsidR="00041039" w:rsidRDefault="001B26CB">
            <w:pPr>
              <w:pStyle w:val="TableParagraph"/>
              <w:numPr>
                <w:ilvl w:val="0"/>
                <w:numId w:val="1631"/>
              </w:numPr>
              <w:tabs>
                <w:tab w:val="left" w:pos="157"/>
              </w:tabs>
              <w:spacing w:line="160" w:lineRule="exact"/>
              <w:ind w:right="111" w:hanging="99"/>
              <w:rPr>
                <w:sz w:val="14"/>
              </w:rPr>
            </w:pPr>
            <w:r>
              <w:rPr>
                <w:color w:val="231F20"/>
                <w:sz w:val="14"/>
              </w:rPr>
              <w:t>Франческо Петрарка: „Канцонијер”</w:t>
            </w:r>
            <w:r>
              <w:rPr>
                <w:color w:val="231F20"/>
                <w:spacing w:val="-19"/>
                <w:sz w:val="14"/>
              </w:rPr>
              <w:t xml:space="preserve"> </w:t>
            </w:r>
            <w:r>
              <w:rPr>
                <w:color w:val="231F20"/>
                <w:sz w:val="14"/>
              </w:rPr>
              <w:t>(избор сонета).</w:t>
            </w:r>
          </w:p>
          <w:p w:rsidR="00041039" w:rsidRDefault="001B26CB">
            <w:pPr>
              <w:pStyle w:val="TableParagraph"/>
              <w:numPr>
                <w:ilvl w:val="0"/>
                <w:numId w:val="1631"/>
              </w:numPr>
              <w:tabs>
                <w:tab w:val="left" w:pos="157"/>
              </w:tabs>
              <w:spacing w:line="160" w:lineRule="exact"/>
              <w:ind w:right="152" w:hanging="99"/>
              <w:jc w:val="both"/>
              <w:rPr>
                <w:sz w:val="14"/>
              </w:rPr>
            </w:pPr>
            <w:r>
              <w:rPr>
                <w:color w:val="231F20"/>
                <w:sz w:val="14"/>
              </w:rPr>
              <w:t>Ћовани Бокачо: „Декамерон”</w:t>
            </w:r>
            <w:r>
              <w:rPr>
                <w:color w:val="231F20"/>
                <w:spacing w:val="-19"/>
                <w:sz w:val="14"/>
              </w:rPr>
              <w:t xml:space="preserve"> </w:t>
            </w:r>
            <w:r>
              <w:rPr>
                <w:color w:val="231F20"/>
                <w:sz w:val="14"/>
              </w:rPr>
              <w:t>(приповетка по избору) или Данте Алигијери: „Пакао” (одломак).</w:t>
            </w:r>
          </w:p>
          <w:p w:rsidR="00041039" w:rsidRDefault="001B26CB">
            <w:pPr>
              <w:pStyle w:val="TableParagraph"/>
              <w:numPr>
                <w:ilvl w:val="0"/>
                <w:numId w:val="1631"/>
              </w:numPr>
              <w:tabs>
                <w:tab w:val="left" w:pos="157"/>
              </w:tabs>
              <w:spacing w:line="153" w:lineRule="exact"/>
              <w:ind w:hanging="99"/>
              <w:jc w:val="both"/>
              <w:rPr>
                <w:sz w:val="14"/>
              </w:rPr>
            </w:pPr>
            <w:r>
              <w:rPr>
                <w:color w:val="231F20"/>
                <w:sz w:val="14"/>
              </w:rPr>
              <w:t>Вилијам Шекспир: „Ромео и</w:t>
            </w:r>
            <w:r>
              <w:rPr>
                <w:color w:val="231F20"/>
                <w:spacing w:val="-7"/>
                <w:sz w:val="14"/>
              </w:rPr>
              <w:t xml:space="preserve"> </w:t>
            </w:r>
            <w:r>
              <w:rPr>
                <w:color w:val="231F20"/>
                <w:sz w:val="14"/>
              </w:rPr>
              <w:t>Јулија”.</w:t>
            </w:r>
          </w:p>
          <w:p w:rsidR="00041039" w:rsidRDefault="001B26CB">
            <w:pPr>
              <w:pStyle w:val="TableParagraph"/>
              <w:numPr>
                <w:ilvl w:val="0"/>
                <w:numId w:val="1631"/>
              </w:numPr>
              <w:tabs>
                <w:tab w:val="left" w:pos="157"/>
              </w:tabs>
              <w:spacing w:line="166" w:lineRule="exact"/>
              <w:ind w:hanging="99"/>
              <w:jc w:val="both"/>
              <w:rPr>
                <w:sz w:val="14"/>
              </w:rPr>
            </w:pPr>
            <w:r>
              <w:rPr>
                <w:color w:val="231F20"/>
                <w:sz w:val="14"/>
              </w:rPr>
              <w:t>Сервантес: „Дон Кихот”</w:t>
            </w:r>
            <w:r>
              <w:rPr>
                <w:color w:val="231F20"/>
                <w:spacing w:val="-3"/>
                <w:sz w:val="14"/>
              </w:rPr>
              <w:t xml:space="preserve"> </w:t>
            </w:r>
            <w:r>
              <w:rPr>
                <w:color w:val="231F20"/>
                <w:sz w:val="14"/>
              </w:rPr>
              <w:t>(одломак).</w:t>
            </w:r>
          </w:p>
        </w:tc>
        <w:tc>
          <w:tcPr>
            <w:tcW w:w="2267" w:type="dxa"/>
            <w:vMerge w:val="restart"/>
          </w:tcPr>
          <w:p w:rsidR="00041039" w:rsidRDefault="00041039">
            <w:pPr>
              <w:pStyle w:val="TableParagraph"/>
              <w:ind w:left="0"/>
              <w:rPr>
                <w:sz w:val="14"/>
              </w:rPr>
            </w:pPr>
          </w:p>
        </w:tc>
      </w:tr>
      <w:tr w:rsidR="00041039">
        <w:trPr>
          <w:trHeight w:val="1320"/>
        </w:trPr>
        <w:tc>
          <w:tcPr>
            <w:tcW w:w="1304" w:type="dxa"/>
          </w:tcPr>
          <w:p w:rsidR="00041039" w:rsidRDefault="001B26CB">
            <w:pPr>
              <w:pStyle w:val="TableParagraph"/>
              <w:spacing w:before="18"/>
              <w:ind w:left="56" w:right="174"/>
              <w:rPr>
                <w:sz w:val="14"/>
              </w:rPr>
            </w:pPr>
            <w:r>
              <w:rPr>
                <w:color w:val="231F20"/>
                <w:sz w:val="14"/>
              </w:rPr>
              <w:t>Општи појмови о језику</w:t>
            </w:r>
          </w:p>
        </w:tc>
        <w:tc>
          <w:tcPr>
            <w:tcW w:w="1587" w:type="dxa"/>
          </w:tcPr>
          <w:p w:rsidR="00041039" w:rsidRDefault="001B26CB">
            <w:pPr>
              <w:pStyle w:val="TableParagraph"/>
              <w:numPr>
                <w:ilvl w:val="0"/>
                <w:numId w:val="1630"/>
              </w:numPr>
              <w:tabs>
                <w:tab w:val="left" w:pos="157"/>
              </w:tabs>
              <w:spacing w:before="8"/>
              <w:ind w:right="98"/>
              <w:rPr>
                <w:sz w:val="14"/>
              </w:rPr>
            </w:pPr>
            <w:r>
              <w:rPr>
                <w:color w:val="231F20"/>
                <w:sz w:val="14"/>
              </w:rPr>
              <w:t>Указивање на</w:t>
            </w:r>
            <w:r>
              <w:rPr>
                <w:color w:val="231F20"/>
                <w:spacing w:val="-21"/>
                <w:sz w:val="14"/>
              </w:rPr>
              <w:t xml:space="preserve"> </w:t>
            </w:r>
            <w:r>
              <w:rPr>
                <w:color w:val="231F20"/>
                <w:sz w:val="14"/>
              </w:rPr>
              <w:t>проуча­ вање језика као сис­ тема, упознавање са његовом функцијом, друштвеном</w:t>
            </w:r>
            <w:r>
              <w:rPr>
                <w:color w:val="231F20"/>
                <w:spacing w:val="-6"/>
                <w:sz w:val="14"/>
              </w:rPr>
              <w:t xml:space="preserve"> </w:t>
            </w:r>
            <w:r>
              <w:rPr>
                <w:color w:val="231F20"/>
                <w:sz w:val="14"/>
              </w:rPr>
              <w:t>условље­ ношћу и историјским развојем.</w:t>
            </w:r>
          </w:p>
        </w:tc>
        <w:tc>
          <w:tcPr>
            <w:tcW w:w="2551" w:type="dxa"/>
          </w:tcPr>
          <w:p w:rsidR="00041039" w:rsidRDefault="001B26CB">
            <w:pPr>
              <w:pStyle w:val="TableParagraph"/>
              <w:numPr>
                <w:ilvl w:val="0"/>
                <w:numId w:val="1629"/>
              </w:numPr>
              <w:tabs>
                <w:tab w:val="left" w:pos="157"/>
              </w:tabs>
              <w:spacing w:before="8"/>
              <w:ind w:right="458" w:hanging="99"/>
              <w:rPr>
                <w:sz w:val="14"/>
              </w:rPr>
            </w:pPr>
            <w:r>
              <w:rPr>
                <w:color w:val="231F20"/>
                <w:sz w:val="14"/>
              </w:rPr>
              <w:t>објасни функцију језика и</w:t>
            </w:r>
            <w:r>
              <w:rPr>
                <w:color w:val="231F20"/>
                <w:spacing w:val="-13"/>
                <w:sz w:val="14"/>
              </w:rPr>
              <w:t xml:space="preserve"> </w:t>
            </w:r>
            <w:r>
              <w:rPr>
                <w:color w:val="231F20"/>
                <w:sz w:val="14"/>
              </w:rPr>
              <w:t>појам језичког</w:t>
            </w:r>
            <w:r>
              <w:rPr>
                <w:color w:val="231F20"/>
                <w:spacing w:val="-1"/>
                <w:sz w:val="14"/>
              </w:rPr>
              <w:t xml:space="preserve"> </w:t>
            </w:r>
            <w:r>
              <w:rPr>
                <w:color w:val="231F20"/>
                <w:sz w:val="14"/>
              </w:rPr>
              <w:t>знака;</w:t>
            </w:r>
          </w:p>
          <w:p w:rsidR="00041039" w:rsidRDefault="001B26CB">
            <w:pPr>
              <w:pStyle w:val="TableParagraph"/>
              <w:numPr>
                <w:ilvl w:val="0"/>
                <w:numId w:val="1629"/>
              </w:numPr>
              <w:tabs>
                <w:tab w:val="left" w:pos="157"/>
              </w:tabs>
              <w:spacing w:before="1" w:line="160" w:lineRule="exact"/>
              <w:ind w:right="146" w:hanging="99"/>
              <w:rPr>
                <w:sz w:val="14"/>
              </w:rPr>
            </w:pPr>
            <w:r>
              <w:rPr>
                <w:color w:val="231F20"/>
                <w:sz w:val="14"/>
              </w:rPr>
              <w:t>разуме природу модерног</w:t>
            </w:r>
            <w:r>
              <w:rPr>
                <w:color w:val="231F20"/>
                <w:spacing w:val="-20"/>
                <w:sz w:val="14"/>
              </w:rPr>
              <w:t xml:space="preserve"> </w:t>
            </w:r>
            <w:r>
              <w:rPr>
                <w:color w:val="231F20"/>
                <w:sz w:val="14"/>
              </w:rPr>
              <w:t>књижевног (стандардног)</w:t>
            </w:r>
            <w:r>
              <w:rPr>
                <w:color w:val="231F20"/>
                <w:spacing w:val="-1"/>
                <w:sz w:val="14"/>
              </w:rPr>
              <w:t xml:space="preserve"> </w:t>
            </w:r>
            <w:r>
              <w:rPr>
                <w:color w:val="231F20"/>
                <w:sz w:val="14"/>
              </w:rPr>
              <w:t>језика;</w:t>
            </w:r>
          </w:p>
          <w:p w:rsidR="00041039" w:rsidRDefault="001B26CB">
            <w:pPr>
              <w:pStyle w:val="TableParagraph"/>
              <w:numPr>
                <w:ilvl w:val="0"/>
                <w:numId w:val="1629"/>
              </w:numPr>
              <w:tabs>
                <w:tab w:val="left" w:pos="157"/>
              </w:tabs>
              <w:spacing w:line="160" w:lineRule="exact"/>
              <w:ind w:right="121" w:hanging="99"/>
              <w:rPr>
                <w:sz w:val="14"/>
              </w:rPr>
            </w:pPr>
            <w:r>
              <w:rPr>
                <w:color w:val="231F20"/>
                <w:sz w:val="14"/>
              </w:rPr>
              <w:t>наведе фазе развоја књижевног</w:t>
            </w:r>
            <w:r>
              <w:rPr>
                <w:color w:val="231F20"/>
                <w:spacing w:val="-13"/>
                <w:sz w:val="14"/>
              </w:rPr>
              <w:t xml:space="preserve"> </w:t>
            </w:r>
            <w:r>
              <w:rPr>
                <w:color w:val="231F20"/>
                <w:sz w:val="14"/>
              </w:rPr>
              <w:t>језика до</w:t>
            </w:r>
            <w:r>
              <w:rPr>
                <w:color w:val="231F20"/>
                <w:spacing w:val="-1"/>
                <w:sz w:val="14"/>
              </w:rPr>
              <w:t xml:space="preserve"> </w:t>
            </w:r>
            <w:r>
              <w:rPr>
                <w:color w:val="231F20"/>
                <w:sz w:val="14"/>
              </w:rPr>
              <w:t>19.века;</w:t>
            </w:r>
          </w:p>
          <w:p w:rsidR="00041039" w:rsidRDefault="001B26CB">
            <w:pPr>
              <w:pStyle w:val="TableParagraph"/>
              <w:numPr>
                <w:ilvl w:val="0"/>
                <w:numId w:val="1629"/>
              </w:numPr>
              <w:tabs>
                <w:tab w:val="left" w:pos="157"/>
              </w:tabs>
              <w:spacing w:line="160" w:lineRule="exact"/>
              <w:ind w:right="150" w:hanging="99"/>
              <w:rPr>
                <w:sz w:val="14"/>
              </w:rPr>
            </w:pPr>
            <w:r>
              <w:rPr>
                <w:color w:val="231F20"/>
                <w:sz w:val="14"/>
              </w:rPr>
              <w:t>наведе дисциплине које се баве</w:t>
            </w:r>
            <w:r>
              <w:rPr>
                <w:color w:val="231F20"/>
                <w:spacing w:val="-20"/>
                <w:sz w:val="14"/>
              </w:rPr>
              <w:t xml:space="preserve"> </w:t>
            </w:r>
            <w:r>
              <w:rPr>
                <w:color w:val="231F20"/>
                <w:sz w:val="14"/>
              </w:rPr>
              <w:t>проу­ чавањем језичког</w:t>
            </w:r>
            <w:r>
              <w:rPr>
                <w:color w:val="231F20"/>
                <w:spacing w:val="-2"/>
                <w:sz w:val="14"/>
              </w:rPr>
              <w:t xml:space="preserve"> </w:t>
            </w:r>
            <w:r>
              <w:rPr>
                <w:color w:val="231F20"/>
                <w:sz w:val="14"/>
              </w:rPr>
              <w:t>система;</w:t>
            </w:r>
          </w:p>
        </w:tc>
        <w:tc>
          <w:tcPr>
            <w:tcW w:w="2834" w:type="dxa"/>
          </w:tcPr>
          <w:p w:rsidR="00041039" w:rsidRDefault="001B26CB">
            <w:pPr>
              <w:pStyle w:val="TableParagraph"/>
              <w:numPr>
                <w:ilvl w:val="0"/>
                <w:numId w:val="1628"/>
              </w:numPr>
              <w:tabs>
                <w:tab w:val="left" w:pos="157"/>
              </w:tabs>
              <w:spacing w:before="8"/>
              <w:ind w:right="290" w:hanging="99"/>
              <w:rPr>
                <w:sz w:val="14"/>
              </w:rPr>
            </w:pPr>
            <w:r>
              <w:rPr>
                <w:color w:val="231F20"/>
                <w:sz w:val="14"/>
              </w:rPr>
              <w:t xml:space="preserve">Место језика у </w:t>
            </w:r>
            <w:r>
              <w:rPr>
                <w:color w:val="231F20"/>
                <w:spacing w:val="-3"/>
                <w:sz w:val="14"/>
              </w:rPr>
              <w:t xml:space="preserve">људском друштву, </w:t>
            </w:r>
            <w:r>
              <w:rPr>
                <w:color w:val="231F20"/>
                <w:sz w:val="14"/>
              </w:rPr>
              <w:t>битна својства језика, језик и</w:t>
            </w:r>
            <w:r>
              <w:rPr>
                <w:color w:val="231F20"/>
                <w:spacing w:val="-13"/>
                <w:sz w:val="14"/>
              </w:rPr>
              <w:t xml:space="preserve"> </w:t>
            </w:r>
            <w:r>
              <w:rPr>
                <w:color w:val="231F20"/>
                <w:sz w:val="14"/>
              </w:rPr>
              <w:t>комуникација.</w:t>
            </w:r>
          </w:p>
          <w:p w:rsidR="00041039" w:rsidRDefault="001B26CB">
            <w:pPr>
              <w:pStyle w:val="TableParagraph"/>
              <w:numPr>
                <w:ilvl w:val="0"/>
                <w:numId w:val="1628"/>
              </w:numPr>
              <w:tabs>
                <w:tab w:val="left" w:pos="157"/>
              </w:tabs>
              <w:spacing w:before="1" w:line="160" w:lineRule="exact"/>
              <w:ind w:right="677" w:hanging="99"/>
              <w:rPr>
                <w:sz w:val="14"/>
              </w:rPr>
            </w:pPr>
            <w:r>
              <w:rPr>
                <w:color w:val="231F20"/>
                <w:sz w:val="14"/>
              </w:rPr>
              <w:t>Књижевни језик, језичка норма</w:t>
            </w:r>
            <w:r>
              <w:rPr>
                <w:color w:val="231F20"/>
                <w:spacing w:val="-15"/>
                <w:sz w:val="14"/>
              </w:rPr>
              <w:t xml:space="preserve"> </w:t>
            </w:r>
            <w:r>
              <w:rPr>
                <w:color w:val="231F20"/>
                <w:sz w:val="14"/>
              </w:rPr>
              <w:t>и стандардизација.</w:t>
            </w:r>
          </w:p>
          <w:p w:rsidR="00041039" w:rsidRDefault="001B26CB">
            <w:pPr>
              <w:pStyle w:val="TableParagraph"/>
              <w:numPr>
                <w:ilvl w:val="0"/>
                <w:numId w:val="1628"/>
              </w:numPr>
              <w:tabs>
                <w:tab w:val="left" w:pos="157"/>
              </w:tabs>
              <w:spacing w:line="153" w:lineRule="exact"/>
              <w:ind w:hanging="99"/>
              <w:rPr>
                <w:sz w:val="14"/>
              </w:rPr>
            </w:pPr>
            <w:r>
              <w:rPr>
                <w:color w:val="231F20"/>
                <w:sz w:val="14"/>
              </w:rPr>
              <w:t xml:space="preserve">Језички систем и </w:t>
            </w:r>
            <w:r>
              <w:rPr>
                <w:color w:val="231F20"/>
                <w:spacing w:val="-3"/>
                <w:sz w:val="14"/>
              </w:rPr>
              <w:t xml:space="preserve">науке </w:t>
            </w:r>
            <w:r>
              <w:rPr>
                <w:color w:val="231F20"/>
                <w:sz w:val="14"/>
              </w:rPr>
              <w:t>које се њиме</w:t>
            </w:r>
            <w:r>
              <w:rPr>
                <w:color w:val="231F20"/>
                <w:spacing w:val="-8"/>
                <w:sz w:val="14"/>
              </w:rPr>
              <w:t xml:space="preserve"> </w:t>
            </w:r>
            <w:r>
              <w:rPr>
                <w:color w:val="231F20"/>
                <w:sz w:val="14"/>
              </w:rPr>
              <w:t>баве.</w:t>
            </w:r>
          </w:p>
          <w:p w:rsidR="00041039" w:rsidRDefault="001B26CB">
            <w:pPr>
              <w:pStyle w:val="TableParagraph"/>
              <w:numPr>
                <w:ilvl w:val="0"/>
                <w:numId w:val="1628"/>
              </w:numPr>
              <w:tabs>
                <w:tab w:val="left" w:pos="157"/>
              </w:tabs>
              <w:spacing w:line="166" w:lineRule="exact"/>
              <w:ind w:hanging="99"/>
              <w:rPr>
                <w:sz w:val="14"/>
              </w:rPr>
            </w:pPr>
            <w:r>
              <w:rPr>
                <w:color w:val="231F20"/>
                <w:sz w:val="14"/>
              </w:rPr>
              <w:t xml:space="preserve">Књижевни језици </w:t>
            </w:r>
            <w:r>
              <w:rPr>
                <w:color w:val="231F20"/>
                <w:spacing w:val="-4"/>
                <w:sz w:val="14"/>
              </w:rPr>
              <w:t xml:space="preserve">код </w:t>
            </w:r>
            <w:r>
              <w:rPr>
                <w:color w:val="231F20"/>
                <w:sz w:val="14"/>
              </w:rPr>
              <w:t>Срба до XIX</w:t>
            </w:r>
            <w:r>
              <w:rPr>
                <w:color w:val="231F20"/>
                <w:spacing w:val="-3"/>
                <w:sz w:val="14"/>
              </w:rPr>
              <w:t xml:space="preserve"> </w:t>
            </w:r>
            <w:r>
              <w:rPr>
                <w:color w:val="231F20"/>
                <w:sz w:val="14"/>
              </w:rPr>
              <w:t>века.</w:t>
            </w:r>
          </w:p>
        </w:tc>
        <w:tc>
          <w:tcPr>
            <w:tcW w:w="2267" w:type="dxa"/>
            <w:vMerge/>
            <w:tcBorders>
              <w:top w:val="nil"/>
            </w:tcBorders>
          </w:tcPr>
          <w:p w:rsidR="00041039" w:rsidRDefault="00041039">
            <w:pPr>
              <w:rPr>
                <w:sz w:val="2"/>
                <w:szCs w:val="2"/>
              </w:rPr>
            </w:pPr>
          </w:p>
        </w:tc>
      </w:tr>
      <w:tr w:rsidR="00041039">
        <w:trPr>
          <w:trHeight w:val="2440"/>
        </w:trPr>
        <w:tc>
          <w:tcPr>
            <w:tcW w:w="1304" w:type="dxa"/>
          </w:tcPr>
          <w:p w:rsidR="00041039" w:rsidRDefault="001B26CB">
            <w:pPr>
              <w:pStyle w:val="TableParagraph"/>
              <w:spacing w:before="19"/>
              <w:ind w:left="56"/>
              <w:rPr>
                <w:sz w:val="14"/>
              </w:rPr>
            </w:pPr>
            <w:r>
              <w:rPr>
                <w:color w:val="231F20"/>
                <w:sz w:val="14"/>
              </w:rPr>
              <w:t>Фонетика</w:t>
            </w:r>
          </w:p>
        </w:tc>
        <w:tc>
          <w:tcPr>
            <w:tcW w:w="1587" w:type="dxa"/>
          </w:tcPr>
          <w:p w:rsidR="00041039" w:rsidRDefault="001B26CB">
            <w:pPr>
              <w:pStyle w:val="TableParagraph"/>
              <w:numPr>
                <w:ilvl w:val="0"/>
                <w:numId w:val="1627"/>
              </w:numPr>
              <w:tabs>
                <w:tab w:val="left" w:pos="157"/>
              </w:tabs>
              <w:spacing w:before="9"/>
              <w:ind w:right="334"/>
              <w:rPr>
                <w:sz w:val="14"/>
              </w:rPr>
            </w:pPr>
            <w:r>
              <w:rPr>
                <w:color w:val="231F20"/>
                <w:sz w:val="14"/>
              </w:rPr>
              <w:t>Стицање знања</w:t>
            </w:r>
            <w:r>
              <w:rPr>
                <w:color w:val="231F20"/>
                <w:spacing w:val="-12"/>
                <w:sz w:val="14"/>
              </w:rPr>
              <w:t xml:space="preserve"> </w:t>
            </w:r>
            <w:r>
              <w:rPr>
                <w:color w:val="231F20"/>
                <w:sz w:val="14"/>
              </w:rPr>
              <w:t>из области фонети­ ке (фонологије) и морфофонологије</w:t>
            </w:r>
          </w:p>
          <w:p w:rsidR="00041039" w:rsidRDefault="001B26CB">
            <w:pPr>
              <w:pStyle w:val="TableParagraph"/>
              <w:spacing w:line="237" w:lineRule="auto"/>
              <w:ind w:right="223"/>
              <w:rPr>
                <w:sz w:val="14"/>
              </w:rPr>
            </w:pPr>
            <w:r>
              <w:rPr>
                <w:color w:val="231F20"/>
                <w:sz w:val="14"/>
              </w:rPr>
              <w:t>књижевног језика и способности да се та знања примене у говору и писању.</w:t>
            </w:r>
          </w:p>
        </w:tc>
        <w:tc>
          <w:tcPr>
            <w:tcW w:w="2551" w:type="dxa"/>
          </w:tcPr>
          <w:p w:rsidR="00041039" w:rsidRDefault="001B26CB">
            <w:pPr>
              <w:pStyle w:val="TableParagraph"/>
              <w:numPr>
                <w:ilvl w:val="0"/>
                <w:numId w:val="1626"/>
              </w:numPr>
              <w:tabs>
                <w:tab w:val="left" w:pos="157"/>
              </w:tabs>
              <w:spacing w:before="9" w:line="166" w:lineRule="exact"/>
              <w:ind w:hanging="99"/>
              <w:rPr>
                <w:sz w:val="14"/>
              </w:rPr>
            </w:pPr>
            <w:r>
              <w:rPr>
                <w:color w:val="231F20"/>
                <w:sz w:val="14"/>
              </w:rPr>
              <w:t>уме да се служи</w:t>
            </w:r>
            <w:r>
              <w:rPr>
                <w:color w:val="231F20"/>
                <w:spacing w:val="-2"/>
                <w:sz w:val="14"/>
              </w:rPr>
              <w:t xml:space="preserve"> </w:t>
            </w:r>
            <w:r>
              <w:rPr>
                <w:color w:val="231F20"/>
                <w:sz w:val="14"/>
              </w:rPr>
              <w:t>правописом;</w:t>
            </w:r>
          </w:p>
          <w:p w:rsidR="00041039" w:rsidRDefault="001B26CB">
            <w:pPr>
              <w:pStyle w:val="TableParagraph"/>
              <w:numPr>
                <w:ilvl w:val="0"/>
                <w:numId w:val="1626"/>
              </w:numPr>
              <w:tabs>
                <w:tab w:val="left" w:pos="157"/>
              </w:tabs>
              <w:spacing w:line="160" w:lineRule="exact"/>
              <w:ind w:hanging="99"/>
              <w:rPr>
                <w:sz w:val="14"/>
              </w:rPr>
            </w:pPr>
            <w:r>
              <w:rPr>
                <w:color w:val="231F20"/>
                <w:sz w:val="14"/>
              </w:rPr>
              <w:t>разликује гласовне</w:t>
            </w:r>
            <w:r>
              <w:rPr>
                <w:color w:val="231F20"/>
                <w:spacing w:val="-5"/>
                <w:sz w:val="14"/>
              </w:rPr>
              <w:t xml:space="preserve"> </w:t>
            </w:r>
            <w:r>
              <w:rPr>
                <w:color w:val="231F20"/>
                <w:sz w:val="14"/>
              </w:rPr>
              <w:t>алтернације;</w:t>
            </w:r>
          </w:p>
          <w:p w:rsidR="00041039" w:rsidRDefault="001B26CB">
            <w:pPr>
              <w:pStyle w:val="TableParagraph"/>
              <w:numPr>
                <w:ilvl w:val="0"/>
                <w:numId w:val="1626"/>
              </w:numPr>
              <w:tabs>
                <w:tab w:val="left" w:pos="157"/>
              </w:tabs>
              <w:spacing w:line="237" w:lineRule="auto"/>
              <w:ind w:right="60" w:hanging="99"/>
              <w:rPr>
                <w:sz w:val="14"/>
              </w:rPr>
            </w:pPr>
            <w:r>
              <w:rPr>
                <w:color w:val="231F20"/>
                <w:sz w:val="14"/>
              </w:rPr>
              <w:t>влада акценатским гласовним систе­ мом књижевног (стандардног) језика</w:t>
            </w:r>
            <w:r>
              <w:rPr>
                <w:color w:val="231F20"/>
                <w:spacing w:val="-10"/>
                <w:sz w:val="14"/>
              </w:rPr>
              <w:t xml:space="preserve"> </w:t>
            </w:r>
            <w:r>
              <w:rPr>
                <w:color w:val="231F20"/>
                <w:sz w:val="14"/>
              </w:rPr>
              <w:t>и да га примењује у</w:t>
            </w:r>
            <w:r>
              <w:rPr>
                <w:color w:val="231F20"/>
                <w:spacing w:val="-5"/>
                <w:sz w:val="14"/>
              </w:rPr>
              <w:t xml:space="preserve"> </w:t>
            </w:r>
            <w:r>
              <w:rPr>
                <w:color w:val="231F20"/>
                <w:sz w:val="14"/>
              </w:rPr>
              <w:t>говору;</w:t>
            </w:r>
          </w:p>
        </w:tc>
        <w:tc>
          <w:tcPr>
            <w:tcW w:w="2834" w:type="dxa"/>
          </w:tcPr>
          <w:p w:rsidR="00041039" w:rsidRDefault="001B26CB">
            <w:pPr>
              <w:pStyle w:val="TableParagraph"/>
              <w:numPr>
                <w:ilvl w:val="0"/>
                <w:numId w:val="1625"/>
              </w:numPr>
              <w:tabs>
                <w:tab w:val="left" w:pos="158"/>
              </w:tabs>
              <w:spacing w:before="9" w:line="166" w:lineRule="exact"/>
              <w:rPr>
                <w:sz w:val="14"/>
              </w:rPr>
            </w:pPr>
            <w:r>
              <w:rPr>
                <w:color w:val="231F20"/>
                <w:sz w:val="14"/>
              </w:rPr>
              <w:t>Фонетика и</w:t>
            </w:r>
            <w:r>
              <w:rPr>
                <w:color w:val="231F20"/>
                <w:spacing w:val="-2"/>
                <w:sz w:val="14"/>
              </w:rPr>
              <w:t xml:space="preserve"> </w:t>
            </w:r>
            <w:r>
              <w:rPr>
                <w:color w:val="231F20"/>
                <w:sz w:val="14"/>
              </w:rPr>
              <w:t>фонологија.</w:t>
            </w:r>
          </w:p>
          <w:p w:rsidR="00041039" w:rsidRDefault="001B26CB">
            <w:pPr>
              <w:pStyle w:val="TableParagraph"/>
              <w:numPr>
                <w:ilvl w:val="0"/>
                <w:numId w:val="1625"/>
              </w:numPr>
              <w:tabs>
                <w:tab w:val="left" w:pos="158"/>
              </w:tabs>
              <w:spacing w:line="160" w:lineRule="exact"/>
              <w:rPr>
                <w:sz w:val="14"/>
              </w:rPr>
            </w:pPr>
            <w:r>
              <w:rPr>
                <w:color w:val="231F20"/>
                <w:spacing w:val="-3"/>
                <w:sz w:val="14"/>
              </w:rPr>
              <w:t xml:space="preserve">Гласови </w:t>
            </w:r>
            <w:r>
              <w:rPr>
                <w:color w:val="231F20"/>
                <w:sz w:val="14"/>
              </w:rPr>
              <w:t>књижевног језика и њихов</w:t>
            </w:r>
            <w:r>
              <w:rPr>
                <w:color w:val="231F20"/>
                <w:spacing w:val="-19"/>
                <w:sz w:val="14"/>
              </w:rPr>
              <w:t xml:space="preserve"> </w:t>
            </w:r>
            <w:r>
              <w:rPr>
                <w:color w:val="231F20"/>
                <w:sz w:val="14"/>
              </w:rPr>
              <w:t>изговор.</w:t>
            </w:r>
          </w:p>
          <w:p w:rsidR="00041039" w:rsidRDefault="001B26CB">
            <w:pPr>
              <w:pStyle w:val="TableParagraph"/>
              <w:numPr>
                <w:ilvl w:val="0"/>
                <w:numId w:val="1625"/>
              </w:numPr>
              <w:tabs>
                <w:tab w:val="left" w:pos="158"/>
              </w:tabs>
              <w:spacing w:line="237" w:lineRule="auto"/>
              <w:ind w:right="131"/>
              <w:rPr>
                <w:sz w:val="14"/>
              </w:rPr>
            </w:pPr>
            <w:r>
              <w:rPr>
                <w:color w:val="231F20"/>
                <w:spacing w:val="-3"/>
                <w:sz w:val="14"/>
              </w:rPr>
              <w:t xml:space="preserve">Гласовне </w:t>
            </w:r>
            <w:r>
              <w:rPr>
                <w:color w:val="231F20"/>
                <w:sz w:val="14"/>
              </w:rPr>
              <w:t>алтернације сугласника (звучних и беззвучних; с:ш, з:ж, н:м;</w:t>
            </w:r>
            <w:r>
              <w:rPr>
                <w:color w:val="231F20"/>
                <w:spacing w:val="-15"/>
                <w:sz w:val="14"/>
              </w:rPr>
              <w:t xml:space="preserve"> </w:t>
            </w:r>
            <w:r>
              <w:rPr>
                <w:color w:val="231F20"/>
                <w:sz w:val="14"/>
              </w:rPr>
              <w:t>к,г,х:ч,ж,ш</w:t>
            </w:r>
          </w:p>
          <w:p w:rsidR="00041039" w:rsidRDefault="001B26CB">
            <w:pPr>
              <w:pStyle w:val="TableParagraph"/>
              <w:ind w:left="157" w:right="84"/>
              <w:rPr>
                <w:sz w:val="14"/>
              </w:rPr>
            </w:pPr>
            <w:r>
              <w:rPr>
                <w:color w:val="231F20"/>
                <w:sz w:val="14"/>
              </w:rPr>
              <w:t>и к,г,х:ц,з,с; алтернације ненепчаних са предњонепчаним сугласницима), гласовне а</w:t>
            </w:r>
            <w:r>
              <w:rPr>
                <w:color w:val="231F20"/>
                <w:sz w:val="14"/>
              </w:rPr>
              <w:t>лтернације самогласника (промена о у е, непостојано а, промена сонанта л у вокал о), и губљење сугласника са правописним решењима.</w:t>
            </w:r>
          </w:p>
          <w:p w:rsidR="00041039" w:rsidRDefault="001B26CB">
            <w:pPr>
              <w:pStyle w:val="TableParagraph"/>
              <w:numPr>
                <w:ilvl w:val="0"/>
                <w:numId w:val="1625"/>
              </w:numPr>
              <w:tabs>
                <w:tab w:val="left" w:pos="158"/>
              </w:tabs>
              <w:spacing w:line="155" w:lineRule="exact"/>
              <w:rPr>
                <w:sz w:val="14"/>
              </w:rPr>
            </w:pPr>
            <w:r>
              <w:rPr>
                <w:color w:val="231F20"/>
                <w:sz w:val="14"/>
              </w:rPr>
              <w:t>Акценатски систем књижевног</w:t>
            </w:r>
            <w:r>
              <w:rPr>
                <w:color w:val="231F20"/>
                <w:spacing w:val="-3"/>
                <w:sz w:val="14"/>
              </w:rPr>
              <w:t xml:space="preserve"> </w:t>
            </w:r>
            <w:r>
              <w:rPr>
                <w:color w:val="231F20"/>
                <w:sz w:val="14"/>
              </w:rPr>
              <w:t>језика,</w:t>
            </w:r>
          </w:p>
          <w:p w:rsidR="00041039" w:rsidRDefault="001B26CB">
            <w:pPr>
              <w:pStyle w:val="TableParagraph"/>
              <w:ind w:left="157"/>
              <w:rPr>
                <w:sz w:val="14"/>
              </w:rPr>
            </w:pPr>
            <w:r>
              <w:rPr>
                <w:color w:val="231F20"/>
                <w:sz w:val="14"/>
              </w:rPr>
              <w:t>диференцијација у односу на дијалекатско окружење.</w:t>
            </w:r>
          </w:p>
          <w:p w:rsidR="00041039" w:rsidRDefault="001B26CB">
            <w:pPr>
              <w:pStyle w:val="TableParagraph"/>
              <w:numPr>
                <w:ilvl w:val="0"/>
                <w:numId w:val="1625"/>
              </w:numPr>
              <w:tabs>
                <w:tab w:val="left" w:pos="158"/>
              </w:tabs>
              <w:spacing w:line="160" w:lineRule="exact"/>
              <w:ind w:right="328"/>
              <w:rPr>
                <w:sz w:val="14"/>
              </w:rPr>
            </w:pPr>
            <w:r>
              <w:rPr>
                <w:color w:val="231F20"/>
                <w:sz w:val="14"/>
              </w:rPr>
              <w:t>Основна правила акцентуације</w:t>
            </w:r>
            <w:r>
              <w:rPr>
                <w:color w:val="231F20"/>
                <w:spacing w:val="-23"/>
                <w:sz w:val="14"/>
              </w:rPr>
              <w:t xml:space="preserve"> </w:t>
            </w:r>
            <w:r>
              <w:rPr>
                <w:color w:val="231F20"/>
                <w:sz w:val="14"/>
              </w:rPr>
              <w:t>српског књижевног</w:t>
            </w:r>
            <w:r>
              <w:rPr>
                <w:color w:val="231F20"/>
                <w:spacing w:val="-1"/>
                <w:sz w:val="14"/>
              </w:rPr>
              <w:t xml:space="preserve"> </w:t>
            </w:r>
            <w:r>
              <w:rPr>
                <w:color w:val="231F20"/>
                <w:sz w:val="14"/>
              </w:rPr>
              <w:t>језика.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numPr>
                <w:ilvl w:val="0"/>
                <w:numId w:val="1624"/>
              </w:numPr>
              <w:tabs>
                <w:tab w:val="left" w:pos="157"/>
              </w:tabs>
              <w:spacing w:before="9"/>
              <w:ind w:right="218" w:hanging="99"/>
              <w:rPr>
                <w:sz w:val="14"/>
              </w:rPr>
            </w:pPr>
            <w:r>
              <w:rPr>
                <w:color w:val="231F20"/>
                <w:sz w:val="14"/>
              </w:rPr>
              <w:t>Оспособљавање ученика да пишу у складу са правопис­ ном</w:t>
            </w:r>
            <w:r>
              <w:rPr>
                <w:color w:val="231F20"/>
                <w:spacing w:val="-1"/>
                <w:sz w:val="14"/>
              </w:rPr>
              <w:t xml:space="preserve"> </w:t>
            </w:r>
            <w:r>
              <w:rPr>
                <w:color w:val="231F20"/>
                <w:sz w:val="14"/>
              </w:rPr>
              <w:t>нормом.</w:t>
            </w:r>
          </w:p>
        </w:tc>
        <w:tc>
          <w:tcPr>
            <w:tcW w:w="2551" w:type="dxa"/>
          </w:tcPr>
          <w:p w:rsidR="00041039" w:rsidRDefault="001B26CB">
            <w:pPr>
              <w:pStyle w:val="TableParagraph"/>
              <w:numPr>
                <w:ilvl w:val="0"/>
                <w:numId w:val="1623"/>
              </w:numPr>
              <w:tabs>
                <w:tab w:val="left" w:pos="157"/>
              </w:tabs>
              <w:spacing w:before="9"/>
              <w:ind w:right="166" w:hanging="99"/>
              <w:rPr>
                <w:sz w:val="14"/>
              </w:rPr>
            </w:pPr>
            <w:r>
              <w:rPr>
                <w:color w:val="231F20"/>
                <w:sz w:val="14"/>
              </w:rPr>
              <w:t>примени</w:t>
            </w:r>
            <w:r>
              <w:rPr>
                <w:color w:val="231F20"/>
                <w:spacing w:val="-8"/>
                <w:sz w:val="14"/>
              </w:rPr>
              <w:t xml:space="preserve"> </w:t>
            </w:r>
            <w:r>
              <w:rPr>
                <w:color w:val="231F20"/>
                <w:sz w:val="14"/>
              </w:rPr>
              <w:t>знања</w:t>
            </w:r>
            <w:r>
              <w:rPr>
                <w:color w:val="231F20"/>
                <w:spacing w:val="-8"/>
                <w:sz w:val="14"/>
              </w:rPr>
              <w:t xml:space="preserve"> </w:t>
            </w:r>
            <w:r>
              <w:rPr>
                <w:color w:val="231F20"/>
                <w:sz w:val="14"/>
              </w:rPr>
              <w:t>о</w:t>
            </w:r>
            <w:r>
              <w:rPr>
                <w:color w:val="231F20"/>
                <w:spacing w:val="-7"/>
                <w:sz w:val="14"/>
              </w:rPr>
              <w:t xml:space="preserve"> </w:t>
            </w:r>
            <w:r>
              <w:rPr>
                <w:color w:val="231F20"/>
                <w:sz w:val="14"/>
              </w:rPr>
              <w:t>гласовним</w:t>
            </w:r>
            <w:r>
              <w:rPr>
                <w:color w:val="231F20"/>
                <w:spacing w:val="-8"/>
                <w:sz w:val="14"/>
              </w:rPr>
              <w:t xml:space="preserve"> </w:t>
            </w:r>
            <w:r>
              <w:rPr>
                <w:color w:val="231F20"/>
                <w:sz w:val="14"/>
              </w:rPr>
              <w:t>алтерна­ цијама у складу са језичком</w:t>
            </w:r>
            <w:r>
              <w:rPr>
                <w:color w:val="231F20"/>
                <w:spacing w:val="-21"/>
                <w:sz w:val="14"/>
              </w:rPr>
              <w:t xml:space="preserve"> </w:t>
            </w:r>
            <w:r>
              <w:rPr>
                <w:color w:val="231F20"/>
                <w:sz w:val="14"/>
              </w:rPr>
              <w:t>нормом;</w:t>
            </w:r>
          </w:p>
          <w:p w:rsidR="00041039" w:rsidRDefault="001B26CB">
            <w:pPr>
              <w:pStyle w:val="TableParagraph"/>
              <w:numPr>
                <w:ilvl w:val="0"/>
                <w:numId w:val="1623"/>
              </w:numPr>
              <w:tabs>
                <w:tab w:val="left" w:pos="157"/>
              </w:tabs>
              <w:spacing w:line="160" w:lineRule="exact"/>
              <w:ind w:right="262" w:hanging="99"/>
              <w:rPr>
                <w:sz w:val="14"/>
              </w:rPr>
            </w:pPr>
            <w:r>
              <w:rPr>
                <w:color w:val="231F20"/>
                <w:sz w:val="14"/>
              </w:rPr>
              <w:t>примени употребу великог и малог слова у складу са језичком</w:t>
            </w:r>
            <w:r>
              <w:rPr>
                <w:color w:val="231F20"/>
                <w:spacing w:val="-22"/>
                <w:sz w:val="14"/>
              </w:rPr>
              <w:t xml:space="preserve"> </w:t>
            </w:r>
            <w:r>
              <w:rPr>
                <w:color w:val="231F20"/>
                <w:sz w:val="14"/>
              </w:rPr>
              <w:t>нормом;</w:t>
            </w:r>
          </w:p>
          <w:p w:rsidR="00041039" w:rsidRDefault="001B26CB">
            <w:pPr>
              <w:pStyle w:val="TableParagraph"/>
              <w:numPr>
                <w:ilvl w:val="0"/>
                <w:numId w:val="1623"/>
              </w:numPr>
              <w:tabs>
                <w:tab w:val="left" w:pos="157"/>
              </w:tabs>
              <w:spacing w:line="160" w:lineRule="exact"/>
              <w:ind w:right="134" w:hanging="99"/>
              <w:rPr>
                <w:sz w:val="14"/>
              </w:rPr>
            </w:pPr>
            <w:r>
              <w:rPr>
                <w:color w:val="231F20"/>
                <w:sz w:val="14"/>
              </w:rPr>
              <w:t>подели речи на крају реда у складу</w:t>
            </w:r>
            <w:r>
              <w:rPr>
                <w:color w:val="231F20"/>
                <w:spacing w:val="-13"/>
                <w:sz w:val="14"/>
              </w:rPr>
              <w:t xml:space="preserve"> </w:t>
            </w:r>
            <w:r>
              <w:rPr>
                <w:color w:val="231F20"/>
                <w:sz w:val="14"/>
              </w:rPr>
              <w:t>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numPr>
                <w:ilvl w:val="0"/>
                <w:numId w:val="1622"/>
              </w:numPr>
              <w:tabs>
                <w:tab w:val="left" w:pos="158"/>
              </w:tabs>
              <w:spacing w:before="9"/>
              <w:ind w:right="134"/>
              <w:rPr>
                <w:sz w:val="14"/>
              </w:rPr>
            </w:pPr>
            <w:r>
              <w:rPr>
                <w:color w:val="231F20"/>
                <w:spacing w:val="-3"/>
                <w:sz w:val="14"/>
              </w:rPr>
              <w:t xml:space="preserve">Главне </w:t>
            </w:r>
            <w:r>
              <w:rPr>
                <w:color w:val="231F20"/>
                <w:sz w:val="14"/>
              </w:rPr>
              <w:t>норме писања великог и малог слова (на почетку реченице, наслови и натписи, властита имена, имена народа, географски појмови, небеска тела, праз­ ници, установе и организације, присвојни придеви</w:t>
            </w:r>
            <w:r>
              <w:rPr>
                <w:color w:val="231F20"/>
                <w:sz w:val="14"/>
              </w:rPr>
              <w:t xml:space="preserve"> на ­ ов и ­ ин, куртоазна</w:t>
            </w:r>
            <w:r>
              <w:rPr>
                <w:color w:val="231F20"/>
                <w:spacing w:val="-19"/>
                <w:sz w:val="14"/>
              </w:rPr>
              <w:t xml:space="preserve"> </w:t>
            </w:r>
            <w:r>
              <w:rPr>
                <w:color w:val="231F20"/>
                <w:sz w:val="14"/>
              </w:rPr>
              <w:t>употреба великог слова, вишечлана имена земаља и остала вишечлана имена, помоћне речи у именима, називи серијских и апстрактних појмова, звања,</w:t>
            </w:r>
            <w:r>
              <w:rPr>
                <w:color w:val="231F20"/>
                <w:spacing w:val="-2"/>
                <w:sz w:val="14"/>
              </w:rPr>
              <w:t xml:space="preserve"> </w:t>
            </w:r>
            <w:r>
              <w:rPr>
                <w:color w:val="231F20"/>
                <w:sz w:val="14"/>
              </w:rPr>
              <w:t>титуле...).</w:t>
            </w:r>
          </w:p>
          <w:p w:rsidR="00041039" w:rsidRDefault="001B26CB">
            <w:pPr>
              <w:pStyle w:val="TableParagraph"/>
              <w:numPr>
                <w:ilvl w:val="0"/>
                <w:numId w:val="1622"/>
              </w:numPr>
              <w:tabs>
                <w:tab w:val="left" w:pos="158"/>
              </w:tabs>
              <w:spacing w:line="151" w:lineRule="exact"/>
              <w:rPr>
                <w:sz w:val="14"/>
              </w:rPr>
            </w:pPr>
            <w:r>
              <w:rPr>
                <w:color w:val="231F20"/>
                <w:sz w:val="14"/>
              </w:rPr>
              <w:t>Подела речи на крају</w:t>
            </w:r>
            <w:r>
              <w:rPr>
                <w:color w:val="231F20"/>
                <w:spacing w:val="-3"/>
                <w:sz w:val="14"/>
              </w:rPr>
              <w:t xml:space="preserve"> </w:t>
            </w:r>
            <w:r>
              <w:rPr>
                <w:color w:val="231F20"/>
                <w:sz w:val="14"/>
              </w:rPr>
              <w:t>реда.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19"/>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1621"/>
              </w:numPr>
              <w:tabs>
                <w:tab w:val="left" w:pos="157"/>
              </w:tabs>
              <w:spacing w:before="9"/>
              <w:ind w:right="158" w:hanging="99"/>
              <w:rPr>
                <w:sz w:val="14"/>
              </w:rPr>
            </w:pPr>
            <w:r>
              <w:rPr>
                <w:color w:val="231F20"/>
                <w:sz w:val="14"/>
              </w:rPr>
              <w:t>Оспособљавање ученика да користе различите облике казивања и</w:t>
            </w:r>
            <w:r>
              <w:rPr>
                <w:color w:val="231F20"/>
                <w:spacing w:val="-10"/>
                <w:sz w:val="14"/>
              </w:rPr>
              <w:t xml:space="preserve"> </w:t>
            </w:r>
            <w:r>
              <w:rPr>
                <w:color w:val="231F20"/>
                <w:sz w:val="14"/>
              </w:rPr>
              <w:t>функцио­ налне</w:t>
            </w:r>
            <w:r>
              <w:rPr>
                <w:color w:val="231F20"/>
                <w:spacing w:val="-2"/>
                <w:sz w:val="14"/>
              </w:rPr>
              <w:t xml:space="preserve"> </w:t>
            </w:r>
            <w:r>
              <w:rPr>
                <w:color w:val="231F20"/>
                <w:sz w:val="14"/>
              </w:rPr>
              <w:t>стилове.</w:t>
            </w:r>
          </w:p>
        </w:tc>
        <w:tc>
          <w:tcPr>
            <w:tcW w:w="2551" w:type="dxa"/>
          </w:tcPr>
          <w:p w:rsidR="00041039" w:rsidRDefault="001B26CB">
            <w:pPr>
              <w:pStyle w:val="TableParagraph"/>
              <w:numPr>
                <w:ilvl w:val="0"/>
                <w:numId w:val="1620"/>
              </w:numPr>
              <w:tabs>
                <w:tab w:val="left" w:pos="158"/>
              </w:tabs>
              <w:spacing w:before="10"/>
              <w:ind w:right="142"/>
              <w:rPr>
                <w:sz w:val="14"/>
              </w:rPr>
            </w:pPr>
            <w:r>
              <w:rPr>
                <w:color w:val="231F20"/>
                <w:sz w:val="14"/>
              </w:rPr>
              <w:t>опише стања, осећања. расположења. изрази ставове, донесе закључке у усменом и писаном</w:t>
            </w:r>
            <w:r>
              <w:rPr>
                <w:color w:val="231F20"/>
                <w:spacing w:val="-6"/>
                <w:sz w:val="14"/>
              </w:rPr>
              <w:t xml:space="preserve"> </w:t>
            </w:r>
            <w:r>
              <w:rPr>
                <w:color w:val="231F20"/>
                <w:sz w:val="14"/>
              </w:rPr>
              <w:t>изражавању;</w:t>
            </w:r>
          </w:p>
          <w:p w:rsidR="00041039" w:rsidRDefault="001B26CB">
            <w:pPr>
              <w:pStyle w:val="TableParagraph"/>
              <w:numPr>
                <w:ilvl w:val="0"/>
                <w:numId w:val="1620"/>
              </w:numPr>
              <w:tabs>
                <w:tab w:val="left" w:pos="158"/>
              </w:tabs>
              <w:spacing w:line="152" w:lineRule="exact"/>
              <w:rPr>
                <w:sz w:val="14"/>
              </w:rPr>
            </w:pPr>
            <w:r>
              <w:rPr>
                <w:color w:val="231F20"/>
                <w:sz w:val="14"/>
              </w:rPr>
              <w:t>разликује функционалне</w:t>
            </w:r>
            <w:r>
              <w:rPr>
                <w:color w:val="231F20"/>
                <w:spacing w:val="-3"/>
                <w:sz w:val="14"/>
              </w:rPr>
              <w:t xml:space="preserve"> </w:t>
            </w:r>
            <w:r>
              <w:rPr>
                <w:color w:val="231F20"/>
                <w:sz w:val="14"/>
              </w:rPr>
              <w:t>стилове;</w:t>
            </w:r>
          </w:p>
          <w:p w:rsidR="00041039" w:rsidRDefault="001B26CB">
            <w:pPr>
              <w:pStyle w:val="TableParagraph"/>
              <w:numPr>
                <w:ilvl w:val="0"/>
                <w:numId w:val="1620"/>
              </w:numPr>
              <w:tabs>
                <w:tab w:val="left" w:pos="158"/>
              </w:tabs>
              <w:spacing w:line="237" w:lineRule="auto"/>
              <w:ind w:right="130"/>
              <w:jc w:val="both"/>
              <w:rPr>
                <w:sz w:val="14"/>
              </w:rPr>
            </w:pPr>
            <w:r>
              <w:rPr>
                <w:color w:val="231F20"/>
                <w:sz w:val="14"/>
              </w:rPr>
              <w:t>препозна и примени одлике</w:t>
            </w:r>
            <w:r>
              <w:rPr>
                <w:color w:val="231F20"/>
                <w:spacing w:val="-26"/>
                <w:sz w:val="14"/>
              </w:rPr>
              <w:t xml:space="preserve"> </w:t>
            </w:r>
            <w:r>
              <w:rPr>
                <w:color w:val="231F20"/>
                <w:sz w:val="14"/>
              </w:rPr>
              <w:t>разговор­ ног и књижевноуметничког</w:t>
            </w:r>
            <w:r>
              <w:rPr>
                <w:color w:val="231F20"/>
                <w:spacing w:val="-23"/>
                <w:sz w:val="14"/>
              </w:rPr>
              <w:t xml:space="preserve"> </w:t>
            </w:r>
            <w:r>
              <w:rPr>
                <w:color w:val="231F20"/>
                <w:sz w:val="14"/>
              </w:rPr>
              <w:t>функцио­ налног</w:t>
            </w:r>
            <w:r>
              <w:rPr>
                <w:color w:val="231F20"/>
                <w:spacing w:val="-2"/>
                <w:sz w:val="14"/>
              </w:rPr>
              <w:t xml:space="preserve"> </w:t>
            </w:r>
            <w:r>
              <w:rPr>
                <w:color w:val="231F20"/>
                <w:sz w:val="14"/>
              </w:rPr>
              <w:t>стила;</w:t>
            </w:r>
          </w:p>
          <w:p w:rsidR="00041039" w:rsidRDefault="001B26CB">
            <w:pPr>
              <w:pStyle w:val="TableParagraph"/>
              <w:numPr>
                <w:ilvl w:val="0"/>
                <w:numId w:val="1620"/>
              </w:numPr>
              <w:tabs>
                <w:tab w:val="left" w:pos="158"/>
              </w:tabs>
              <w:spacing w:line="237" w:lineRule="auto"/>
              <w:ind w:right="120"/>
              <w:rPr>
                <w:sz w:val="14"/>
              </w:rPr>
            </w:pPr>
            <w:r>
              <w:rPr>
                <w:color w:val="231F20"/>
                <w:sz w:val="14"/>
              </w:rPr>
              <w:t>попуњава формуларе. уплатнице, захтеве и слично у складу са</w:t>
            </w:r>
            <w:r>
              <w:rPr>
                <w:color w:val="231F20"/>
                <w:spacing w:val="-19"/>
                <w:sz w:val="14"/>
              </w:rPr>
              <w:t xml:space="preserve"> </w:t>
            </w:r>
            <w:r>
              <w:rPr>
                <w:color w:val="231F20"/>
                <w:sz w:val="14"/>
              </w:rPr>
              <w:t>језичком нормом;</w:t>
            </w:r>
          </w:p>
        </w:tc>
        <w:tc>
          <w:tcPr>
            <w:tcW w:w="2834" w:type="dxa"/>
          </w:tcPr>
          <w:p w:rsidR="00041039" w:rsidRDefault="001B26CB">
            <w:pPr>
              <w:pStyle w:val="TableParagraph"/>
              <w:numPr>
                <w:ilvl w:val="0"/>
                <w:numId w:val="1619"/>
              </w:numPr>
              <w:tabs>
                <w:tab w:val="left" w:pos="158"/>
              </w:tabs>
              <w:spacing w:before="10" w:line="166" w:lineRule="exact"/>
              <w:rPr>
                <w:sz w:val="14"/>
              </w:rPr>
            </w:pPr>
            <w:r>
              <w:rPr>
                <w:color w:val="231F20"/>
                <w:sz w:val="14"/>
              </w:rPr>
              <w:t>Језичке</w:t>
            </w:r>
            <w:r>
              <w:rPr>
                <w:color w:val="231F20"/>
                <w:spacing w:val="-1"/>
                <w:sz w:val="14"/>
              </w:rPr>
              <w:t xml:space="preserve"> </w:t>
            </w:r>
            <w:r>
              <w:rPr>
                <w:color w:val="231F20"/>
                <w:sz w:val="14"/>
              </w:rPr>
              <w:t>вежбе.</w:t>
            </w:r>
          </w:p>
          <w:p w:rsidR="00041039" w:rsidRDefault="001B26CB">
            <w:pPr>
              <w:pStyle w:val="TableParagraph"/>
              <w:numPr>
                <w:ilvl w:val="0"/>
                <w:numId w:val="1619"/>
              </w:numPr>
              <w:tabs>
                <w:tab w:val="left" w:pos="158"/>
              </w:tabs>
              <w:spacing w:line="160" w:lineRule="exact"/>
              <w:rPr>
                <w:sz w:val="14"/>
              </w:rPr>
            </w:pPr>
            <w:r>
              <w:rPr>
                <w:color w:val="231F20"/>
                <w:sz w:val="14"/>
              </w:rPr>
              <w:t>Стилске</w:t>
            </w:r>
            <w:r>
              <w:rPr>
                <w:color w:val="231F20"/>
                <w:spacing w:val="-1"/>
                <w:sz w:val="14"/>
              </w:rPr>
              <w:t xml:space="preserve"> </w:t>
            </w:r>
            <w:r>
              <w:rPr>
                <w:color w:val="231F20"/>
                <w:sz w:val="14"/>
              </w:rPr>
              <w:t>вежбе.</w:t>
            </w:r>
          </w:p>
          <w:p w:rsidR="00041039" w:rsidRDefault="001B26CB">
            <w:pPr>
              <w:pStyle w:val="TableParagraph"/>
              <w:numPr>
                <w:ilvl w:val="0"/>
                <w:numId w:val="1619"/>
              </w:numPr>
              <w:tabs>
                <w:tab w:val="left" w:pos="158"/>
              </w:tabs>
              <w:spacing w:line="237" w:lineRule="auto"/>
              <w:ind w:right="232"/>
              <w:rPr>
                <w:sz w:val="14"/>
              </w:rPr>
            </w:pPr>
            <w:r>
              <w:rPr>
                <w:color w:val="231F20"/>
                <w:sz w:val="14"/>
              </w:rPr>
              <w:t>Врсте функционалних стилова ­ основне одлике.</w:t>
            </w:r>
          </w:p>
          <w:p w:rsidR="00041039" w:rsidRDefault="001B26CB">
            <w:pPr>
              <w:pStyle w:val="TableParagraph"/>
              <w:numPr>
                <w:ilvl w:val="0"/>
                <w:numId w:val="1619"/>
              </w:numPr>
              <w:tabs>
                <w:tab w:val="left" w:pos="158"/>
              </w:tabs>
              <w:spacing w:line="155" w:lineRule="exact"/>
              <w:rPr>
                <w:sz w:val="14"/>
              </w:rPr>
            </w:pPr>
            <w:r>
              <w:rPr>
                <w:color w:val="231F20"/>
                <w:sz w:val="14"/>
              </w:rPr>
              <w:t>Разговорни функционални</w:t>
            </w:r>
            <w:r>
              <w:rPr>
                <w:color w:val="231F20"/>
                <w:spacing w:val="-3"/>
                <w:sz w:val="14"/>
              </w:rPr>
              <w:t xml:space="preserve"> </w:t>
            </w:r>
            <w:r>
              <w:rPr>
                <w:color w:val="231F20"/>
                <w:sz w:val="14"/>
              </w:rPr>
              <w:t>стил.</w:t>
            </w:r>
          </w:p>
          <w:p w:rsidR="00041039" w:rsidRDefault="001B26CB">
            <w:pPr>
              <w:pStyle w:val="TableParagraph"/>
              <w:numPr>
                <w:ilvl w:val="0"/>
                <w:numId w:val="1619"/>
              </w:numPr>
              <w:tabs>
                <w:tab w:val="left" w:pos="158"/>
              </w:tabs>
              <w:spacing w:line="160" w:lineRule="exact"/>
              <w:rPr>
                <w:sz w:val="14"/>
              </w:rPr>
            </w:pPr>
            <w:r>
              <w:rPr>
                <w:color w:val="231F20"/>
                <w:sz w:val="14"/>
              </w:rPr>
              <w:t>Књижевноуметнич</w:t>
            </w:r>
            <w:r>
              <w:rPr>
                <w:color w:val="231F20"/>
                <w:sz w:val="14"/>
              </w:rPr>
              <w:t>ки функционални</w:t>
            </w:r>
            <w:r>
              <w:rPr>
                <w:color w:val="231F20"/>
                <w:spacing w:val="-6"/>
                <w:sz w:val="14"/>
              </w:rPr>
              <w:t xml:space="preserve"> </w:t>
            </w:r>
            <w:r>
              <w:rPr>
                <w:color w:val="231F20"/>
                <w:sz w:val="14"/>
              </w:rPr>
              <w:t>стил.</w:t>
            </w:r>
          </w:p>
          <w:p w:rsidR="00041039" w:rsidRDefault="001B26CB">
            <w:pPr>
              <w:pStyle w:val="TableParagraph"/>
              <w:numPr>
                <w:ilvl w:val="0"/>
                <w:numId w:val="1619"/>
              </w:numPr>
              <w:tabs>
                <w:tab w:val="left" w:pos="158"/>
              </w:tabs>
              <w:spacing w:line="237" w:lineRule="auto"/>
              <w:ind w:right="260"/>
              <w:rPr>
                <w:sz w:val="14"/>
              </w:rPr>
            </w:pPr>
            <w:r>
              <w:rPr>
                <w:color w:val="231F20"/>
                <w:sz w:val="14"/>
              </w:rPr>
              <w:t>Попуњавање</w:t>
            </w:r>
            <w:r>
              <w:rPr>
                <w:color w:val="231F20"/>
                <w:spacing w:val="-10"/>
                <w:sz w:val="14"/>
              </w:rPr>
              <w:t xml:space="preserve"> </w:t>
            </w:r>
            <w:r>
              <w:rPr>
                <w:color w:val="231F20"/>
                <w:sz w:val="14"/>
              </w:rPr>
              <w:t>формулара,</w:t>
            </w:r>
            <w:r>
              <w:rPr>
                <w:color w:val="231F20"/>
                <w:spacing w:val="-11"/>
                <w:sz w:val="14"/>
              </w:rPr>
              <w:t xml:space="preserve"> </w:t>
            </w:r>
            <w:r>
              <w:rPr>
                <w:color w:val="231F20"/>
                <w:sz w:val="14"/>
              </w:rPr>
              <w:t>захтева,</w:t>
            </w:r>
            <w:r>
              <w:rPr>
                <w:color w:val="231F20"/>
                <w:spacing w:val="-10"/>
                <w:sz w:val="14"/>
              </w:rPr>
              <w:t xml:space="preserve"> </w:t>
            </w:r>
            <w:r>
              <w:rPr>
                <w:color w:val="231F20"/>
                <w:sz w:val="14"/>
              </w:rPr>
              <w:t>уплат­ ница и</w:t>
            </w:r>
            <w:r>
              <w:rPr>
                <w:color w:val="231F20"/>
                <w:spacing w:val="-3"/>
                <w:sz w:val="14"/>
              </w:rPr>
              <w:t xml:space="preserve"> </w:t>
            </w:r>
            <w:r>
              <w:rPr>
                <w:color w:val="231F20"/>
                <w:sz w:val="14"/>
              </w:rPr>
              <w:t>сл.</w:t>
            </w:r>
          </w:p>
          <w:p w:rsidR="00041039" w:rsidRDefault="001B26CB">
            <w:pPr>
              <w:pStyle w:val="TableParagraph"/>
              <w:numPr>
                <w:ilvl w:val="0"/>
                <w:numId w:val="1619"/>
              </w:numPr>
              <w:tabs>
                <w:tab w:val="left" w:pos="158"/>
              </w:tabs>
              <w:spacing w:line="155" w:lineRule="exact"/>
              <w:rPr>
                <w:sz w:val="14"/>
              </w:rPr>
            </w:pPr>
            <w:r>
              <w:rPr>
                <w:color w:val="231F20"/>
                <w:sz w:val="14"/>
              </w:rPr>
              <w:t>Школски писмени задаци 4 х 2 +</w:t>
            </w:r>
            <w:r>
              <w:rPr>
                <w:color w:val="231F20"/>
                <w:spacing w:val="-10"/>
                <w:sz w:val="14"/>
              </w:rPr>
              <w:t xml:space="preserve"> </w:t>
            </w:r>
            <w:r>
              <w:rPr>
                <w:color w:val="231F20"/>
                <w:sz w:val="14"/>
              </w:rPr>
              <w:t>2.</w:t>
            </w:r>
          </w:p>
          <w:p w:rsidR="00041039" w:rsidRDefault="001B26CB">
            <w:pPr>
              <w:pStyle w:val="TableParagraph"/>
              <w:numPr>
                <w:ilvl w:val="0"/>
                <w:numId w:val="1619"/>
              </w:numPr>
              <w:tabs>
                <w:tab w:val="left" w:pos="158"/>
              </w:tabs>
              <w:spacing w:line="165" w:lineRule="exact"/>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pStyle w:val="BodyText"/>
        <w:spacing w:before="8"/>
        <w:rPr>
          <w:b/>
          <w:sz w:val="18"/>
        </w:rPr>
      </w:pPr>
    </w:p>
    <w:p w:rsidR="00041039" w:rsidRDefault="001B26CB">
      <w:pPr>
        <w:tabs>
          <w:tab w:val="left" w:pos="1461"/>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600"/>
        </w:trPr>
        <w:tc>
          <w:tcPr>
            <w:tcW w:w="1304" w:type="dxa"/>
          </w:tcPr>
          <w:p w:rsidR="00041039" w:rsidRDefault="001B26CB">
            <w:pPr>
              <w:pStyle w:val="TableParagraph"/>
              <w:spacing w:before="18"/>
              <w:ind w:left="56" w:right="69"/>
              <w:rPr>
                <w:sz w:val="14"/>
              </w:rPr>
            </w:pPr>
            <w:r>
              <w:rPr>
                <w:color w:val="231F20"/>
                <w:sz w:val="14"/>
              </w:rPr>
              <w:t>Барок, класицизам, просветитељство</w:t>
            </w:r>
          </w:p>
        </w:tc>
        <w:tc>
          <w:tcPr>
            <w:tcW w:w="1587" w:type="dxa"/>
          </w:tcPr>
          <w:p w:rsidR="00041039" w:rsidRDefault="001B26CB">
            <w:pPr>
              <w:pStyle w:val="TableParagraph"/>
              <w:numPr>
                <w:ilvl w:val="0"/>
                <w:numId w:val="1618"/>
              </w:numPr>
              <w:tabs>
                <w:tab w:val="left" w:pos="157"/>
              </w:tabs>
              <w:spacing w:before="8"/>
              <w:ind w:right="74"/>
              <w:rPr>
                <w:sz w:val="14"/>
              </w:rPr>
            </w:pPr>
            <w:r>
              <w:rPr>
                <w:color w:val="231F20"/>
                <w:sz w:val="14"/>
              </w:rPr>
              <w:t>Упознавање са европским</w:t>
            </w:r>
            <w:r>
              <w:rPr>
                <w:color w:val="231F20"/>
                <w:spacing w:val="-12"/>
                <w:sz w:val="14"/>
              </w:rPr>
              <w:t xml:space="preserve"> </w:t>
            </w:r>
            <w:r>
              <w:rPr>
                <w:color w:val="231F20"/>
                <w:sz w:val="14"/>
              </w:rPr>
              <w:t>културним, духовним и мисаоним тенденцијама XVII и XVIII века и њиховим утицајима на српску књижевност.</w:t>
            </w:r>
          </w:p>
        </w:tc>
        <w:tc>
          <w:tcPr>
            <w:tcW w:w="2551" w:type="dxa"/>
          </w:tcPr>
          <w:p w:rsidR="00041039" w:rsidRDefault="001B26CB">
            <w:pPr>
              <w:pStyle w:val="TableParagraph"/>
              <w:numPr>
                <w:ilvl w:val="0"/>
                <w:numId w:val="1617"/>
              </w:numPr>
              <w:tabs>
                <w:tab w:val="left" w:pos="157"/>
              </w:tabs>
              <w:spacing w:before="8"/>
              <w:ind w:right="58" w:hanging="99"/>
              <w:jc w:val="both"/>
              <w:rPr>
                <w:sz w:val="14"/>
              </w:rPr>
            </w:pPr>
            <w:r>
              <w:rPr>
                <w:color w:val="231F20"/>
                <w:sz w:val="14"/>
              </w:rPr>
              <w:t>наведе особености барока, класицизма и просветитељства и њихове</w:t>
            </w:r>
            <w:r>
              <w:rPr>
                <w:color w:val="231F20"/>
                <w:spacing w:val="-15"/>
                <w:sz w:val="14"/>
              </w:rPr>
              <w:t xml:space="preserve"> </w:t>
            </w:r>
            <w:r>
              <w:rPr>
                <w:color w:val="231F20"/>
                <w:sz w:val="14"/>
              </w:rPr>
              <w:t>представ­ нике у</w:t>
            </w:r>
            <w:r>
              <w:rPr>
                <w:color w:val="231F20"/>
                <w:spacing w:val="-1"/>
                <w:sz w:val="14"/>
              </w:rPr>
              <w:t xml:space="preserve"> </w:t>
            </w:r>
            <w:r>
              <w:rPr>
                <w:color w:val="231F20"/>
                <w:sz w:val="14"/>
              </w:rPr>
              <w:t>књижевности;</w:t>
            </w:r>
          </w:p>
          <w:p w:rsidR="00041039" w:rsidRDefault="001B26CB">
            <w:pPr>
              <w:pStyle w:val="TableParagraph"/>
              <w:numPr>
                <w:ilvl w:val="0"/>
                <w:numId w:val="1617"/>
              </w:numPr>
              <w:tabs>
                <w:tab w:val="left" w:pos="157"/>
              </w:tabs>
              <w:spacing w:line="157" w:lineRule="exact"/>
              <w:ind w:hanging="99"/>
              <w:rPr>
                <w:sz w:val="14"/>
              </w:rPr>
            </w:pPr>
            <w:r>
              <w:rPr>
                <w:color w:val="231F20"/>
                <w:sz w:val="14"/>
              </w:rPr>
              <w:t>објасни значај Венцловића</w:t>
            </w:r>
            <w:r>
              <w:rPr>
                <w:color w:val="231F20"/>
                <w:spacing w:val="-2"/>
                <w:sz w:val="14"/>
              </w:rPr>
              <w:t xml:space="preserve"> </w:t>
            </w:r>
            <w:r>
              <w:rPr>
                <w:color w:val="231F20"/>
                <w:sz w:val="14"/>
              </w:rPr>
              <w:t>и</w:t>
            </w:r>
          </w:p>
          <w:p w:rsidR="00041039" w:rsidRDefault="001B26CB">
            <w:pPr>
              <w:pStyle w:val="TableParagraph"/>
              <w:rPr>
                <w:sz w:val="14"/>
              </w:rPr>
            </w:pPr>
            <w:r>
              <w:rPr>
                <w:color w:val="231F20"/>
                <w:sz w:val="14"/>
              </w:rPr>
              <w:t>Орфелина за развој језика и књижев­ ности код Срба;</w:t>
            </w:r>
          </w:p>
          <w:p w:rsidR="00041039" w:rsidRDefault="001B26CB">
            <w:pPr>
              <w:pStyle w:val="TableParagraph"/>
              <w:numPr>
                <w:ilvl w:val="0"/>
                <w:numId w:val="1617"/>
              </w:numPr>
              <w:tabs>
                <w:tab w:val="left" w:pos="157"/>
              </w:tabs>
              <w:spacing w:line="160" w:lineRule="exact"/>
              <w:ind w:right="168" w:hanging="99"/>
              <w:rPr>
                <w:sz w:val="14"/>
              </w:rPr>
            </w:pPr>
            <w:r>
              <w:rPr>
                <w:color w:val="231F20"/>
                <w:sz w:val="14"/>
              </w:rPr>
              <w:t>препозна одлике просветитељства</w:t>
            </w:r>
            <w:r>
              <w:rPr>
                <w:color w:val="231F20"/>
                <w:spacing w:val="-18"/>
                <w:sz w:val="14"/>
              </w:rPr>
              <w:t xml:space="preserve"> </w:t>
            </w:r>
            <w:r>
              <w:rPr>
                <w:color w:val="231F20"/>
                <w:sz w:val="14"/>
              </w:rPr>
              <w:t>на обрађеним</w:t>
            </w:r>
            <w:r>
              <w:rPr>
                <w:color w:val="231F20"/>
                <w:spacing w:val="-1"/>
                <w:sz w:val="14"/>
              </w:rPr>
              <w:t xml:space="preserve"> </w:t>
            </w:r>
            <w:r>
              <w:rPr>
                <w:color w:val="231F20"/>
                <w:sz w:val="14"/>
              </w:rPr>
              <w:t>делима;</w:t>
            </w:r>
          </w:p>
          <w:p w:rsidR="00041039" w:rsidRDefault="001B26CB">
            <w:pPr>
              <w:pStyle w:val="TableParagraph"/>
              <w:numPr>
                <w:ilvl w:val="0"/>
                <w:numId w:val="1617"/>
              </w:numPr>
              <w:tabs>
                <w:tab w:val="left" w:pos="157"/>
              </w:tabs>
              <w:spacing w:line="160" w:lineRule="exact"/>
              <w:ind w:right="323" w:hanging="99"/>
              <w:rPr>
                <w:sz w:val="14"/>
              </w:rPr>
            </w:pPr>
            <w:r>
              <w:rPr>
                <w:color w:val="231F20"/>
                <w:sz w:val="14"/>
              </w:rPr>
              <w:t>објасни значај Доситејевог рада</w:t>
            </w:r>
            <w:r>
              <w:rPr>
                <w:color w:val="231F20"/>
                <w:spacing w:val="-9"/>
                <w:sz w:val="14"/>
              </w:rPr>
              <w:t xml:space="preserve"> </w:t>
            </w:r>
            <w:r>
              <w:rPr>
                <w:color w:val="231F20"/>
                <w:sz w:val="14"/>
              </w:rPr>
              <w:t>за српску културу и</w:t>
            </w:r>
            <w:r>
              <w:rPr>
                <w:color w:val="231F20"/>
                <w:spacing w:val="-6"/>
                <w:sz w:val="14"/>
              </w:rPr>
              <w:t xml:space="preserve"> </w:t>
            </w:r>
            <w:r>
              <w:rPr>
                <w:color w:val="231F20"/>
                <w:sz w:val="14"/>
              </w:rPr>
              <w:t>књижевност;</w:t>
            </w:r>
          </w:p>
          <w:p w:rsidR="00041039" w:rsidRDefault="001B26CB">
            <w:pPr>
              <w:pStyle w:val="TableParagraph"/>
              <w:numPr>
                <w:ilvl w:val="0"/>
                <w:numId w:val="1617"/>
              </w:numPr>
              <w:tabs>
                <w:tab w:val="left" w:pos="157"/>
              </w:tabs>
              <w:spacing w:line="160" w:lineRule="exact"/>
              <w:ind w:right="114" w:hanging="99"/>
              <w:rPr>
                <w:sz w:val="14"/>
              </w:rPr>
            </w:pPr>
            <w:r>
              <w:rPr>
                <w:color w:val="231F20"/>
                <w:sz w:val="14"/>
              </w:rPr>
              <w:t>направи паралелу у обради истих мотива у европској и српској</w:t>
            </w:r>
            <w:r>
              <w:rPr>
                <w:color w:val="231F20"/>
                <w:spacing w:val="-23"/>
                <w:sz w:val="14"/>
              </w:rPr>
              <w:t xml:space="preserve"> </w:t>
            </w:r>
            <w:r>
              <w:rPr>
                <w:color w:val="231F20"/>
                <w:sz w:val="14"/>
              </w:rPr>
              <w:t>књижев­ ности;</w:t>
            </w:r>
          </w:p>
          <w:p w:rsidR="00041039" w:rsidRDefault="001B26CB">
            <w:pPr>
              <w:pStyle w:val="TableParagraph"/>
              <w:numPr>
                <w:ilvl w:val="0"/>
                <w:numId w:val="1617"/>
              </w:numPr>
              <w:tabs>
                <w:tab w:val="left" w:pos="157"/>
              </w:tabs>
              <w:spacing w:line="160" w:lineRule="exact"/>
              <w:ind w:right="169" w:hanging="99"/>
              <w:rPr>
                <w:sz w:val="14"/>
              </w:rPr>
            </w:pPr>
            <w:r>
              <w:rPr>
                <w:color w:val="231F20"/>
                <w:sz w:val="14"/>
              </w:rPr>
              <w:t>наведе особ</w:t>
            </w:r>
            <w:r>
              <w:rPr>
                <w:color w:val="231F20"/>
                <w:sz w:val="14"/>
              </w:rPr>
              <w:t>ине ликова у обрађеним делима и заузме став према</w:t>
            </w:r>
            <w:r>
              <w:rPr>
                <w:color w:val="231F20"/>
                <w:spacing w:val="-23"/>
                <w:sz w:val="14"/>
              </w:rPr>
              <w:t xml:space="preserve"> </w:t>
            </w:r>
            <w:r>
              <w:rPr>
                <w:color w:val="231F20"/>
                <w:sz w:val="14"/>
              </w:rPr>
              <w:t>њиховим поступцима;</w:t>
            </w:r>
          </w:p>
        </w:tc>
        <w:tc>
          <w:tcPr>
            <w:tcW w:w="2834" w:type="dxa"/>
          </w:tcPr>
          <w:p w:rsidR="00041039" w:rsidRDefault="001B26CB">
            <w:pPr>
              <w:pStyle w:val="TableParagraph"/>
              <w:numPr>
                <w:ilvl w:val="0"/>
                <w:numId w:val="1616"/>
              </w:numPr>
              <w:tabs>
                <w:tab w:val="left" w:pos="157"/>
              </w:tabs>
              <w:spacing w:before="8"/>
              <w:ind w:right="437" w:hanging="99"/>
              <w:rPr>
                <w:sz w:val="14"/>
              </w:rPr>
            </w:pPr>
            <w:r>
              <w:rPr>
                <w:color w:val="231F20"/>
                <w:sz w:val="14"/>
              </w:rPr>
              <w:t xml:space="preserve">Барок и класицизам, поетика, </w:t>
            </w:r>
            <w:r>
              <w:rPr>
                <w:color w:val="231F20"/>
                <w:spacing w:val="-3"/>
                <w:sz w:val="14"/>
              </w:rPr>
              <w:t xml:space="preserve">глав­ </w:t>
            </w:r>
            <w:r>
              <w:rPr>
                <w:color w:val="231F20"/>
                <w:sz w:val="14"/>
              </w:rPr>
              <w:t>ни представници у нашој и</w:t>
            </w:r>
            <w:r>
              <w:rPr>
                <w:color w:val="231F20"/>
                <w:spacing w:val="-17"/>
                <w:sz w:val="14"/>
              </w:rPr>
              <w:t xml:space="preserve"> </w:t>
            </w:r>
            <w:r>
              <w:rPr>
                <w:color w:val="231F20"/>
                <w:sz w:val="14"/>
              </w:rPr>
              <w:t>европској књижевности.</w:t>
            </w:r>
          </w:p>
          <w:p w:rsidR="00041039" w:rsidRDefault="001B26CB">
            <w:pPr>
              <w:pStyle w:val="TableParagraph"/>
              <w:numPr>
                <w:ilvl w:val="0"/>
                <w:numId w:val="1616"/>
              </w:numPr>
              <w:tabs>
                <w:tab w:val="left" w:pos="157"/>
              </w:tabs>
              <w:spacing w:line="152" w:lineRule="exact"/>
              <w:ind w:hanging="99"/>
              <w:rPr>
                <w:sz w:val="14"/>
              </w:rPr>
            </w:pPr>
            <w:r>
              <w:rPr>
                <w:color w:val="231F20"/>
                <w:sz w:val="14"/>
              </w:rPr>
              <w:t>Гаврил</w:t>
            </w:r>
            <w:r>
              <w:rPr>
                <w:color w:val="231F20"/>
                <w:spacing w:val="-1"/>
                <w:sz w:val="14"/>
              </w:rPr>
              <w:t xml:space="preserve"> </w:t>
            </w:r>
            <w:r>
              <w:rPr>
                <w:color w:val="231F20"/>
                <w:sz w:val="14"/>
              </w:rPr>
              <w:t>Стефановић.</w:t>
            </w:r>
          </w:p>
          <w:p w:rsidR="00041039" w:rsidRDefault="001B26CB">
            <w:pPr>
              <w:pStyle w:val="TableParagraph"/>
              <w:numPr>
                <w:ilvl w:val="0"/>
                <w:numId w:val="1616"/>
              </w:numPr>
              <w:tabs>
                <w:tab w:val="left" w:pos="157"/>
              </w:tabs>
              <w:spacing w:line="160" w:lineRule="exact"/>
              <w:ind w:hanging="99"/>
              <w:rPr>
                <w:sz w:val="14"/>
              </w:rPr>
            </w:pPr>
            <w:r>
              <w:rPr>
                <w:color w:val="231F20"/>
                <w:sz w:val="14"/>
              </w:rPr>
              <w:t>Венцловић: „Песме, беседе,</w:t>
            </w:r>
            <w:r>
              <w:rPr>
                <w:color w:val="231F20"/>
                <w:spacing w:val="-1"/>
                <w:sz w:val="14"/>
              </w:rPr>
              <w:t xml:space="preserve"> </w:t>
            </w:r>
            <w:r>
              <w:rPr>
                <w:color w:val="231F20"/>
                <w:sz w:val="14"/>
              </w:rPr>
              <w:t>легенде”.</w:t>
            </w:r>
          </w:p>
          <w:p w:rsidR="00041039" w:rsidRDefault="001B26CB">
            <w:pPr>
              <w:pStyle w:val="TableParagraph"/>
              <w:numPr>
                <w:ilvl w:val="0"/>
                <w:numId w:val="1616"/>
              </w:numPr>
              <w:tabs>
                <w:tab w:val="left" w:pos="157"/>
              </w:tabs>
              <w:spacing w:line="237" w:lineRule="auto"/>
              <w:ind w:right="239" w:hanging="99"/>
              <w:rPr>
                <w:sz w:val="14"/>
              </w:rPr>
            </w:pPr>
            <w:r>
              <w:rPr>
                <w:color w:val="231F20"/>
                <w:sz w:val="14"/>
              </w:rPr>
              <w:t>Значај Венцловића и Орфелина за</w:t>
            </w:r>
            <w:r>
              <w:rPr>
                <w:color w:val="231F20"/>
                <w:spacing w:val="-17"/>
                <w:sz w:val="14"/>
              </w:rPr>
              <w:t xml:space="preserve"> </w:t>
            </w:r>
            <w:r>
              <w:rPr>
                <w:color w:val="231F20"/>
                <w:sz w:val="14"/>
              </w:rPr>
              <w:t xml:space="preserve">развој књижевног језика </w:t>
            </w:r>
            <w:r>
              <w:rPr>
                <w:color w:val="231F20"/>
                <w:spacing w:val="-5"/>
                <w:sz w:val="14"/>
              </w:rPr>
              <w:t>код</w:t>
            </w:r>
            <w:r>
              <w:rPr>
                <w:color w:val="231F20"/>
                <w:spacing w:val="-1"/>
                <w:sz w:val="14"/>
              </w:rPr>
              <w:t xml:space="preserve"> </w:t>
            </w:r>
            <w:r>
              <w:rPr>
                <w:color w:val="231F20"/>
                <w:sz w:val="14"/>
              </w:rPr>
              <w:t>Срба.</w:t>
            </w:r>
          </w:p>
          <w:p w:rsidR="00041039" w:rsidRDefault="001B26CB">
            <w:pPr>
              <w:pStyle w:val="TableParagraph"/>
              <w:numPr>
                <w:ilvl w:val="0"/>
                <w:numId w:val="1616"/>
              </w:numPr>
              <w:tabs>
                <w:tab w:val="left" w:pos="157"/>
              </w:tabs>
              <w:spacing w:line="155" w:lineRule="exact"/>
              <w:ind w:hanging="99"/>
              <w:rPr>
                <w:sz w:val="14"/>
              </w:rPr>
            </w:pPr>
            <w:r>
              <w:rPr>
                <w:color w:val="231F20"/>
                <w:sz w:val="14"/>
              </w:rPr>
              <w:t>Молијер:</w:t>
            </w:r>
            <w:r>
              <w:rPr>
                <w:color w:val="231F20"/>
                <w:spacing w:val="-2"/>
                <w:sz w:val="14"/>
              </w:rPr>
              <w:t xml:space="preserve"> </w:t>
            </w:r>
            <w:r>
              <w:rPr>
                <w:color w:val="231F20"/>
                <w:spacing w:val="-3"/>
                <w:sz w:val="14"/>
              </w:rPr>
              <w:t>„Тврдица”.</w:t>
            </w:r>
          </w:p>
          <w:p w:rsidR="00041039" w:rsidRDefault="001B26CB">
            <w:pPr>
              <w:pStyle w:val="TableParagraph"/>
              <w:numPr>
                <w:ilvl w:val="0"/>
                <w:numId w:val="1616"/>
              </w:numPr>
              <w:tabs>
                <w:tab w:val="left" w:pos="157"/>
              </w:tabs>
              <w:spacing w:line="160" w:lineRule="exact"/>
              <w:ind w:hanging="99"/>
              <w:rPr>
                <w:sz w:val="14"/>
              </w:rPr>
            </w:pPr>
            <w:r>
              <w:rPr>
                <w:color w:val="231F20"/>
                <w:sz w:val="14"/>
              </w:rPr>
              <w:t xml:space="preserve">Просветитељство у Европи и </w:t>
            </w:r>
            <w:r>
              <w:rPr>
                <w:color w:val="231F20"/>
                <w:spacing w:val="-4"/>
                <w:sz w:val="14"/>
              </w:rPr>
              <w:t>код</w:t>
            </w:r>
            <w:r>
              <w:rPr>
                <w:color w:val="231F20"/>
                <w:spacing w:val="-3"/>
                <w:sz w:val="14"/>
              </w:rPr>
              <w:t xml:space="preserve"> </w:t>
            </w:r>
            <w:r>
              <w:rPr>
                <w:color w:val="231F20"/>
                <w:sz w:val="14"/>
              </w:rPr>
              <w:t>нас.</w:t>
            </w:r>
          </w:p>
          <w:p w:rsidR="00041039" w:rsidRDefault="001B26CB">
            <w:pPr>
              <w:pStyle w:val="TableParagraph"/>
              <w:numPr>
                <w:ilvl w:val="0"/>
                <w:numId w:val="1616"/>
              </w:numPr>
              <w:tabs>
                <w:tab w:val="left" w:pos="157"/>
              </w:tabs>
              <w:spacing w:line="237" w:lineRule="auto"/>
              <w:ind w:right="132" w:hanging="99"/>
              <w:rPr>
                <w:sz w:val="14"/>
              </w:rPr>
            </w:pPr>
            <w:r>
              <w:rPr>
                <w:color w:val="231F20"/>
                <w:sz w:val="14"/>
              </w:rPr>
              <w:t>Књижевно ­ просветитељски рад Доситеја Обрадовића.</w:t>
            </w:r>
          </w:p>
          <w:p w:rsidR="00041039" w:rsidRDefault="001B26CB">
            <w:pPr>
              <w:pStyle w:val="TableParagraph"/>
              <w:numPr>
                <w:ilvl w:val="0"/>
                <w:numId w:val="1616"/>
              </w:numPr>
              <w:tabs>
                <w:tab w:val="left" w:pos="157"/>
              </w:tabs>
              <w:spacing w:line="155" w:lineRule="exact"/>
              <w:ind w:hanging="99"/>
              <w:rPr>
                <w:sz w:val="14"/>
              </w:rPr>
            </w:pPr>
            <w:r>
              <w:rPr>
                <w:color w:val="231F20"/>
                <w:sz w:val="14"/>
              </w:rPr>
              <w:t>Доситеј Обрадовић: „Писмо</w:t>
            </w:r>
            <w:r>
              <w:rPr>
                <w:color w:val="231F20"/>
                <w:spacing w:val="-11"/>
                <w:sz w:val="14"/>
              </w:rPr>
              <w:t xml:space="preserve"> </w:t>
            </w:r>
            <w:r>
              <w:rPr>
                <w:color w:val="231F20"/>
                <w:sz w:val="14"/>
              </w:rPr>
              <w:t>Харалампију”.</w:t>
            </w:r>
          </w:p>
          <w:p w:rsidR="00041039" w:rsidRDefault="001B26CB">
            <w:pPr>
              <w:pStyle w:val="TableParagraph"/>
              <w:numPr>
                <w:ilvl w:val="0"/>
                <w:numId w:val="1616"/>
              </w:numPr>
              <w:tabs>
                <w:tab w:val="left" w:pos="157"/>
              </w:tabs>
              <w:spacing w:line="237" w:lineRule="auto"/>
              <w:ind w:right="864" w:hanging="99"/>
              <w:rPr>
                <w:sz w:val="14"/>
              </w:rPr>
            </w:pPr>
            <w:r>
              <w:rPr>
                <w:color w:val="231F20"/>
                <w:sz w:val="14"/>
              </w:rPr>
              <w:t>Доситеј Обрадовић: „Живот и прикљученија”</w:t>
            </w:r>
            <w:r>
              <w:rPr>
                <w:color w:val="231F20"/>
                <w:spacing w:val="-4"/>
                <w:sz w:val="14"/>
              </w:rPr>
              <w:t xml:space="preserve"> </w:t>
            </w:r>
            <w:r>
              <w:rPr>
                <w:color w:val="231F20"/>
                <w:sz w:val="14"/>
              </w:rPr>
              <w:t>(одломци).</w:t>
            </w:r>
          </w:p>
          <w:p w:rsidR="00041039" w:rsidRDefault="001B26CB">
            <w:pPr>
              <w:pStyle w:val="TableParagraph"/>
              <w:numPr>
                <w:ilvl w:val="0"/>
                <w:numId w:val="1616"/>
              </w:numPr>
              <w:tabs>
                <w:tab w:val="left" w:pos="157"/>
              </w:tabs>
              <w:spacing w:line="161" w:lineRule="exact"/>
              <w:ind w:hanging="99"/>
              <w:rPr>
                <w:sz w:val="14"/>
              </w:rPr>
            </w:pPr>
            <w:r>
              <w:rPr>
                <w:color w:val="231F20"/>
                <w:sz w:val="14"/>
              </w:rPr>
              <w:t>Јован Стерија</w:t>
            </w:r>
            <w:r>
              <w:rPr>
                <w:color w:val="231F20"/>
                <w:spacing w:val="-5"/>
                <w:sz w:val="14"/>
              </w:rPr>
              <w:t xml:space="preserve"> </w:t>
            </w:r>
            <w:r>
              <w:rPr>
                <w:color w:val="231F20"/>
                <w:sz w:val="14"/>
              </w:rPr>
              <w:t>Поповић:„Тврдица”.</w:t>
            </w:r>
          </w:p>
        </w:tc>
        <w:tc>
          <w:tcPr>
            <w:tcW w:w="2267" w:type="dxa"/>
          </w:tcPr>
          <w:p w:rsidR="00041039" w:rsidRDefault="001B26CB">
            <w:pPr>
              <w:pStyle w:val="TableParagraph"/>
              <w:numPr>
                <w:ilvl w:val="0"/>
                <w:numId w:val="1615"/>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615"/>
              </w:numPr>
              <w:tabs>
                <w:tab w:val="left" w:pos="158"/>
              </w:tabs>
              <w:spacing w:line="160" w:lineRule="exact"/>
              <w:ind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 xml:space="preserve">Одељење </w:t>
            </w:r>
            <w:r>
              <w:rPr>
                <w:color w:val="231F20"/>
                <w:sz w:val="14"/>
              </w:rPr>
              <w:t>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615"/>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588"/>
        </w:trPr>
        <w:tc>
          <w:tcPr>
            <w:tcW w:w="1304" w:type="dxa"/>
          </w:tcPr>
          <w:p w:rsidR="00041039" w:rsidRDefault="001B26CB">
            <w:pPr>
              <w:pStyle w:val="TableParagraph"/>
              <w:spacing w:before="18"/>
              <w:ind w:left="56"/>
              <w:rPr>
                <w:sz w:val="14"/>
              </w:rPr>
            </w:pPr>
            <w:r>
              <w:rPr>
                <w:color w:val="231F20"/>
                <w:sz w:val="14"/>
              </w:rPr>
              <w:lastRenderedPageBreak/>
              <w:t>Романтизам</w:t>
            </w:r>
          </w:p>
        </w:tc>
        <w:tc>
          <w:tcPr>
            <w:tcW w:w="1587" w:type="dxa"/>
          </w:tcPr>
          <w:p w:rsidR="00041039" w:rsidRDefault="001B26CB">
            <w:pPr>
              <w:pStyle w:val="TableParagraph"/>
              <w:numPr>
                <w:ilvl w:val="0"/>
                <w:numId w:val="1614"/>
              </w:numPr>
              <w:tabs>
                <w:tab w:val="left" w:pos="157"/>
              </w:tabs>
              <w:spacing w:before="13" w:line="230" w:lineRule="auto"/>
              <w:ind w:right="85"/>
              <w:rPr>
                <w:sz w:val="14"/>
              </w:rPr>
            </w:pPr>
            <w:r>
              <w:rPr>
                <w:color w:val="231F20"/>
                <w:sz w:val="14"/>
              </w:rPr>
              <w:t>Упознавање са поетиком</w:t>
            </w:r>
            <w:r>
              <w:rPr>
                <w:color w:val="231F20"/>
                <w:spacing w:val="-16"/>
                <w:sz w:val="14"/>
              </w:rPr>
              <w:t xml:space="preserve"> </w:t>
            </w:r>
            <w:r>
              <w:rPr>
                <w:color w:val="231F20"/>
                <w:sz w:val="14"/>
              </w:rPr>
              <w:t>романтизма, представницима и делима европске и српске</w:t>
            </w:r>
            <w:r>
              <w:rPr>
                <w:color w:val="231F20"/>
                <w:spacing w:val="-2"/>
                <w:sz w:val="14"/>
              </w:rPr>
              <w:t xml:space="preserve"> </w:t>
            </w:r>
            <w:r>
              <w:rPr>
                <w:color w:val="231F20"/>
                <w:sz w:val="14"/>
              </w:rPr>
              <w:t>књижевности.</w:t>
            </w:r>
          </w:p>
        </w:tc>
        <w:tc>
          <w:tcPr>
            <w:tcW w:w="2551" w:type="dxa"/>
          </w:tcPr>
          <w:p w:rsidR="00041039" w:rsidRDefault="001B26CB">
            <w:pPr>
              <w:pStyle w:val="TableParagraph"/>
              <w:numPr>
                <w:ilvl w:val="0"/>
                <w:numId w:val="1613"/>
              </w:numPr>
              <w:tabs>
                <w:tab w:val="left" w:pos="157"/>
              </w:tabs>
              <w:spacing w:before="15" w:line="228" w:lineRule="auto"/>
              <w:ind w:right="298" w:hanging="99"/>
              <w:jc w:val="both"/>
              <w:rPr>
                <w:sz w:val="14"/>
              </w:rPr>
            </w:pPr>
            <w:r>
              <w:rPr>
                <w:color w:val="231F20"/>
                <w:sz w:val="14"/>
              </w:rPr>
              <w:t>наведе представнике романтизма</w:t>
            </w:r>
            <w:r>
              <w:rPr>
                <w:color w:val="231F20"/>
                <w:spacing w:val="-18"/>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1613"/>
              </w:numPr>
              <w:tabs>
                <w:tab w:val="left" w:pos="157"/>
              </w:tabs>
              <w:spacing w:line="228" w:lineRule="auto"/>
              <w:ind w:right="340" w:hanging="99"/>
              <w:jc w:val="both"/>
              <w:rPr>
                <w:sz w:val="14"/>
              </w:rPr>
            </w:pPr>
            <w:r>
              <w:rPr>
                <w:color w:val="231F20"/>
                <w:sz w:val="14"/>
              </w:rPr>
              <w:t>уочава и образлаже одлике</w:t>
            </w:r>
            <w:r>
              <w:rPr>
                <w:color w:val="231F20"/>
                <w:spacing w:val="-25"/>
                <w:sz w:val="14"/>
              </w:rPr>
              <w:t xml:space="preserve"> </w:t>
            </w:r>
            <w:r>
              <w:rPr>
                <w:color w:val="231F20"/>
                <w:sz w:val="14"/>
              </w:rPr>
              <w:t>роман­ тизма;</w:t>
            </w:r>
          </w:p>
          <w:p w:rsidR="00041039" w:rsidRDefault="001B26CB">
            <w:pPr>
              <w:pStyle w:val="TableParagraph"/>
              <w:numPr>
                <w:ilvl w:val="0"/>
                <w:numId w:val="1613"/>
              </w:numPr>
              <w:tabs>
                <w:tab w:val="left" w:pos="157"/>
              </w:tabs>
              <w:spacing w:line="154" w:lineRule="exact"/>
              <w:ind w:right="158" w:hanging="99"/>
              <w:jc w:val="both"/>
              <w:rPr>
                <w:sz w:val="14"/>
              </w:rPr>
            </w:pPr>
            <w:r>
              <w:rPr>
                <w:color w:val="231F20"/>
                <w:sz w:val="14"/>
              </w:rPr>
              <w:t xml:space="preserve">изнесе свој </w:t>
            </w:r>
            <w:r>
              <w:rPr>
                <w:color w:val="231F20"/>
                <w:spacing w:val="-4"/>
                <w:sz w:val="14"/>
              </w:rPr>
              <w:t xml:space="preserve">суд </w:t>
            </w:r>
            <w:r>
              <w:rPr>
                <w:color w:val="231F20"/>
                <w:sz w:val="14"/>
              </w:rPr>
              <w:t>о књижевним делима користећи стечена знања и</w:t>
            </w:r>
            <w:r>
              <w:rPr>
                <w:color w:val="231F20"/>
                <w:spacing w:val="-18"/>
                <w:sz w:val="14"/>
              </w:rPr>
              <w:t xml:space="preserve"> </w:t>
            </w:r>
            <w:r>
              <w:rPr>
                <w:color w:val="231F20"/>
                <w:sz w:val="14"/>
              </w:rPr>
              <w:t>сопствена запажања;</w:t>
            </w:r>
          </w:p>
          <w:p w:rsidR="00041039" w:rsidRDefault="001B26CB">
            <w:pPr>
              <w:pStyle w:val="TableParagraph"/>
              <w:numPr>
                <w:ilvl w:val="0"/>
                <w:numId w:val="1613"/>
              </w:numPr>
              <w:tabs>
                <w:tab w:val="left" w:pos="157"/>
              </w:tabs>
              <w:spacing w:line="154" w:lineRule="exact"/>
              <w:ind w:right="269" w:hanging="99"/>
              <w:jc w:val="both"/>
              <w:rPr>
                <w:sz w:val="14"/>
              </w:rPr>
            </w:pPr>
            <w:r>
              <w:rPr>
                <w:color w:val="231F20"/>
                <w:sz w:val="14"/>
              </w:rPr>
              <w:t>препозна и усвоји вредности наци­ оналне културе и разуме / поштује културне вредности других</w:t>
            </w:r>
            <w:r>
              <w:rPr>
                <w:color w:val="231F20"/>
                <w:spacing w:val="-21"/>
                <w:sz w:val="14"/>
              </w:rPr>
              <w:t xml:space="preserve"> </w:t>
            </w:r>
            <w:r>
              <w:rPr>
                <w:color w:val="231F20"/>
                <w:sz w:val="14"/>
              </w:rPr>
              <w:t>народа;</w:t>
            </w:r>
          </w:p>
          <w:p w:rsidR="00041039" w:rsidRDefault="001B26CB">
            <w:pPr>
              <w:pStyle w:val="TableParagraph"/>
              <w:numPr>
                <w:ilvl w:val="0"/>
                <w:numId w:val="1613"/>
              </w:numPr>
              <w:tabs>
                <w:tab w:val="left" w:pos="157"/>
              </w:tabs>
              <w:spacing w:line="154" w:lineRule="exact"/>
              <w:ind w:right="99" w:hanging="99"/>
              <w:rPr>
                <w:sz w:val="14"/>
              </w:rPr>
            </w:pPr>
            <w:r>
              <w:rPr>
                <w:color w:val="231F20"/>
                <w:sz w:val="14"/>
              </w:rPr>
              <w:t>тумачи уметнички свет и стваралач</w:t>
            </w:r>
            <w:r>
              <w:rPr>
                <w:color w:val="231F20"/>
                <w:sz w:val="14"/>
              </w:rPr>
              <w:t>ке поступке у структури обрађених</w:t>
            </w:r>
            <w:r>
              <w:rPr>
                <w:color w:val="231F20"/>
                <w:spacing w:val="-9"/>
                <w:sz w:val="14"/>
              </w:rPr>
              <w:t xml:space="preserve"> </w:t>
            </w:r>
            <w:r>
              <w:rPr>
                <w:color w:val="231F20"/>
                <w:sz w:val="14"/>
              </w:rPr>
              <w:t>дела;</w:t>
            </w:r>
          </w:p>
        </w:tc>
        <w:tc>
          <w:tcPr>
            <w:tcW w:w="2834" w:type="dxa"/>
          </w:tcPr>
          <w:p w:rsidR="00041039" w:rsidRDefault="001B26CB">
            <w:pPr>
              <w:pStyle w:val="TableParagraph"/>
              <w:numPr>
                <w:ilvl w:val="0"/>
                <w:numId w:val="1612"/>
              </w:numPr>
              <w:tabs>
                <w:tab w:val="left" w:pos="157"/>
              </w:tabs>
              <w:spacing w:before="15" w:line="228" w:lineRule="auto"/>
              <w:ind w:right="59" w:hanging="99"/>
              <w:rPr>
                <w:sz w:val="14"/>
              </w:rPr>
            </w:pPr>
            <w:r>
              <w:rPr>
                <w:color w:val="231F20"/>
                <w:sz w:val="14"/>
              </w:rPr>
              <w:t xml:space="preserve">Романтизам у Европи и </w:t>
            </w:r>
            <w:r>
              <w:rPr>
                <w:color w:val="231F20"/>
                <w:spacing w:val="-5"/>
                <w:sz w:val="14"/>
              </w:rPr>
              <w:t xml:space="preserve">код </w:t>
            </w:r>
            <w:r>
              <w:rPr>
                <w:color w:val="231F20"/>
                <w:sz w:val="14"/>
              </w:rPr>
              <w:t>нас (појам, осо­ бености, значај,</w:t>
            </w:r>
            <w:r>
              <w:rPr>
                <w:color w:val="231F20"/>
                <w:spacing w:val="-1"/>
                <w:sz w:val="14"/>
              </w:rPr>
              <w:t xml:space="preserve"> </w:t>
            </w:r>
            <w:r>
              <w:rPr>
                <w:color w:val="231F20"/>
                <w:sz w:val="14"/>
              </w:rPr>
              <w:t>представници).</w:t>
            </w:r>
          </w:p>
          <w:p w:rsidR="00041039" w:rsidRDefault="001B26CB">
            <w:pPr>
              <w:pStyle w:val="TableParagraph"/>
              <w:numPr>
                <w:ilvl w:val="0"/>
                <w:numId w:val="1612"/>
              </w:numPr>
              <w:tabs>
                <w:tab w:val="left" w:pos="157"/>
              </w:tabs>
              <w:spacing w:line="148" w:lineRule="exact"/>
              <w:ind w:hanging="99"/>
              <w:rPr>
                <w:sz w:val="14"/>
              </w:rPr>
            </w:pPr>
            <w:r>
              <w:rPr>
                <w:color w:val="231F20"/>
                <w:sz w:val="14"/>
              </w:rPr>
              <w:t>А. С. Пушкин; „Цигани”</w:t>
            </w:r>
            <w:r>
              <w:rPr>
                <w:color w:val="231F20"/>
                <w:spacing w:val="-6"/>
                <w:sz w:val="14"/>
              </w:rPr>
              <w:t xml:space="preserve"> </w:t>
            </w:r>
            <w:r>
              <w:rPr>
                <w:color w:val="231F20"/>
                <w:sz w:val="14"/>
              </w:rPr>
              <w:t>(одломак).</w:t>
            </w:r>
          </w:p>
          <w:p w:rsidR="00041039" w:rsidRDefault="001B26CB">
            <w:pPr>
              <w:pStyle w:val="TableParagraph"/>
              <w:numPr>
                <w:ilvl w:val="0"/>
                <w:numId w:val="1612"/>
              </w:numPr>
              <w:tabs>
                <w:tab w:val="left" w:pos="157"/>
              </w:tabs>
              <w:spacing w:line="230" w:lineRule="auto"/>
              <w:ind w:right="64" w:hanging="99"/>
              <w:rPr>
                <w:sz w:val="14"/>
              </w:rPr>
            </w:pPr>
            <w:r>
              <w:rPr>
                <w:color w:val="231F20"/>
                <w:sz w:val="14"/>
              </w:rPr>
              <w:t>А. С. Пушкин; „Евгеније Оњегин” (анализа Татјаниног писма Оњегину и Оњегиновог одговора и анализа Оњегиновог писма Татјани и Татјаниног</w:t>
            </w:r>
            <w:r>
              <w:rPr>
                <w:color w:val="231F20"/>
                <w:spacing w:val="-6"/>
                <w:sz w:val="14"/>
              </w:rPr>
              <w:t xml:space="preserve"> </w:t>
            </w:r>
            <w:r>
              <w:rPr>
                <w:color w:val="231F20"/>
                <w:sz w:val="14"/>
              </w:rPr>
              <w:t>одговора).</w:t>
            </w:r>
          </w:p>
          <w:p w:rsidR="00041039" w:rsidRDefault="001B26CB">
            <w:pPr>
              <w:pStyle w:val="TableParagraph"/>
              <w:numPr>
                <w:ilvl w:val="0"/>
                <w:numId w:val="1612"/>
              </w:numPr>
              <w:tabs>
                <w:tab w:val="left" w:pos="157"/>
              </w:tabs>
              <w:spacing w:line="145" w:lineRule="exact"/>
              <w:ind w:hanging="99"/>
              <w:rPr>
                <w:sz w:val="14"/>
              </w:rPr>
            </w:pPr>
            <w:r>
              <w:rPr>
                <w:color w:val="231F20"/>
                <w:sz w:val="14"/>
              </w:rPr>
              <w:t>X. Хајне:</w:t>
            </w:r>
            <w:r>
              <w:rPr>
                <w:color w:val="231F20"/>
                <w:spacing w:val="-3"/>
                <w:sz w:val="14"/>
              </w:rPr>
              <w:t xml:space="preserve"> </w:t>
            </w:r>
            <w:r>
              <w:rPr>
                <w:color w:val="231F20"/>
                <w:sz w:val="14"/>
              </w:rPr>
              <w:t>„Лорелај”</w:t>
            </w:r>
          </w:p>
          <w:p w:rsidR="00041039" w:rsidRDefault="001B26CB">
            <w:pPr>
              <w:pStyle w:val="TableParagraph"/>
              <w:numPr>
                <w:ilvl w:val="0"/>
                <w:numId w:val="1612"/>
              </w:numPr>
              <w:tabs>
                <w:tab w:val="left" w:pos="157"/>
              </w:tabs>
              <w:spacing w:line="154" w:lineRule="exact"/>
              <w:ind w:hanging="99"/>
              <w:rPr>
                <w:sz w:val="14"/>
              </w:rPr>
            </w:pPr>
            <w:r>
              <w:rPr>
                <w:color w:val="231F20"/>
                <w:sz w:val="14"/>
              </w:rPr>
              <w:t>Ш. Петефи: „Слобода</w:t>
            </w:r>
            <w:r>
              <w:rPr>
                <w:color w:val="231F20"/>
                <w:spacing w:val="-1"/>
                <w:sz w:val="14"/>
              </w:rPr>
              <w:t xml:space="preserve"> </w:t>
            </w:r>
            <w:r>
              <w:rPr>
                <w:color w:val="231F20"/>
                <w:sz w:val="14"/>
              </w:rPr>
              <w:t>света”</w:t>
            </w:r>
          </w:p>
          <w:p w:rsidR="00041039" w:rsidRDefault="001B26CB">
            <w:pPr>
              <w:pStyle w:val="TableParagraph"/>
              <w:numPr>
                <w:ilvl w:val="0"/>
                <w:numId w:val="1612"/>
              </w:numPr>
              <w:tabs>
                <w:tab w:val="left" w:pos="157"/>
              </w:tabs>
              <w:spacing w:line="230" w:lineRule="auto"/>
              <w:ind w:right="142" w:hanging="99"/>
              <w:rPr>
                <w:sz w:val="14"/>
              </w:rPr>
            </w:pPr>
            <w:r>
              <w:rPr>
                <w:color w:val="231F20"/>
                <w:sz w:val="14"/>
              </w:rPr>
              <w:t>Вук Караџић ­ рад на реформи језика и правописа, рад на сакупљ</w:t>
            </w:r>
            <w:r>
              <w:rPr>
                <w:color w:val="231F20"/>
                <w:sz w:val="14"/>
              </w:rPr>
              <w:t>ању народних умотворина, лексикографски рад, Вук као књижевни критичар и полемичар, Вук</w:t>
            </w:r>
            <w:r>
              <w:rPr>
                <w:color w:val="231F20"/>
                <w:spacing w:val="-18"/>
                <w:sz w:val="14"/>
              </w:rPr>
              <w:t xml:space="preserve"> </w:t>
            </w:r>
            <w:r>
              <w:rPr>
                <w:color w:val="231F20"/>
                <w:sz w:val="14"/>
              </w:rPr>
              <w:t>као писац, историчар и</w:t>
            </w:r>
            <w:r>
              <w:rPr>
                <w:color w:val="231F20"/>
                <w:spacing w:val="-2"/>
                <w:sz w:val="14"/>
              </w:rPr>
              <w:t xml:space="preserve"> </w:t>
            </w:r>
            <w:r>
              <w:rPr>
                <w:color w:val="231F20"/>
                <w:sz w:val="14"/>
              </w:rPr>
              <w:t>биограф.</w:t>
            </w:r>
          </w:p>
          <w:p w:rsidR="00041039" w:rsidRDefault="001B26CB">
            <w:pPr>
              <w:pStyle w:val="TableParagraph"/>
              <w:numPr>
                <w:ilvl w:val="0"/>
                <w:numId w:val="1612"/>
              </w:numPr>
              <w:tabs>
                <w:tab w:val="left" w:pos="157"/>
              </w:tabs>
              <w:spacing w:line="144" w:lineRule="exact"/>
              <w:ind w:hanging="99"/>
              <w:rPr>
                <w:sz w:val="14"/>
              </w:rPr>
            </w:pPr>
            <w:r>
              <w:rPr>
                <w:color w:val="231F20"/>
                <w:sz w:val="14"/>
              </w:rPr>
              <w:t>Значај 1847.</w:t>
            </w:r>
            <w:r>
              <w:rPr>
                <w:color w:val="231F20"/>
                <w:spacing w:val="-1"/>
                <w:sz w:val="14"/>
              </w:rPr>
              <w:t xml:space="preserve"> </w:t>
            </w:r>
            <w:r>
              <w:rPr>
                <w:color w:val="231F20"/>
                <w:sz w:val="14"/>
              </w:rPr>
              <w:t>године.</w:t>
            </w:r>
          </w:p>
          <w:p w:rsidR="00041039" w:rsidRDefault="001B26CB">
            <w:pPr>
              <w:pStyle w:val="TableParagraph"/>
              <w:numPr>
                <w:ilvl w:val="0"/>
                <w:numId w:val="1612"/>
              </w:numPr>
              <w:tabs>
                <w:tab w:val="left" w:pos="157"/>
              </w:tabs>
              <w:spacing w:line="154" w:lineRule="exact"/>
              <w:ind w:hanging="99"/>
              <w:rPr>
                <w:sz w:val="14"/>
              </w:rPr>
            </w:pPr>
            <w:r>
              <w:rPr>
                <w:color w:val="231F20"/>
                <w:sz w:val="14"/>
              </w:rPr>
              <w:t>Петар Петровић Његош: „Горски</w:t>
            </w:r>
            <w:r>
              <w:rPr>
                <w:color w:val="231F20"/>
                <w:spacing w:val="-16"/>
                <w:sz w:val="14"/>
              </w:rPr>
              <w:t xml:space="preserve"> </w:t>
            </w:r>
            <w:r>
              <w:rPr>
                <w:color w:val="231F20"/>
                <w:sz w:val="14"/>
              </w:rPr>
              <w:t>вијенац”.</w:t>
            </w:r>
          </w:p>
          <w:p w:rsidR="00041039" w:rsidRDefault="001B26CB">
            <w:pPr>
              <w:pStyle w:val="TableParagraph"/>
              <w:numPr>
                <w:ilvl w:val="0"/>
                <w:numId w:val="1612"/>
              </w:numPr>
              <w:tabs>
                <w:tab w:val="left" w:pos="157"/>
              </w:tabs>
              <w:spacing w:line="154" w:lineRule="exact"/>
              <w:ind w:hanging="99"/>
              <w:rPr>
                <w:sz w:val="14"/>
              </w:rPr>
            </w:pPr>
            <w:r>
              <w:rPr>
                <w:color w:val="231F20"/>
                <w:spacing w:val="-2"/>
                <w:sz w:val="14"/>
              </w:rPr>
              <w:t xml:space="preserve">Бранко </w:t>
            </w:r>
            <w:r>
              <w:rPr>
                <w:color w:val="231F20"/>
                <w:sz w:val="14"/>
              </w:rPr>
              <w:t>Радичевић: „Кад млидија’</w:t>
            </w:r>
            <w:r>
              <w:rPr>
                <w:color w:val="231F20"/>
                <w:spacing w:val="-15"/>
                <w:sz w:val="14"/>
              </w:rPr>
              <w:t xml:space="preserve"> </w:t>
            </w:r>
            <w:r>
              <w:rPr>
                <w:color w:val="231F20"/>
                <w:sz w:val="14"/>
              </w:rPr>
              <w:t>умрет”.</w:t>
            </w:r>
          </w:p>
          <w:p w:rsidR="00041039" w:rsidRDefault="001B26CB">
            <w:pPr>
              <w:pStyle w:val="TableParagraph"/>
              <w:numPr>
                <w:ilvl w:val="0"/>
                <w:numId w:val="1612"/>
              </w:numPr>
              <w:tabs>
                <w:tab w:val="left" w:pos="157"/>
              </w:tabs>
              <w:spacing w:line="154" w:lineRule="exact"/>
              <w:ind w:hanging="99"/>
              <w:rPr>
                <w:sz w:val="14"/>
              </w:rPr>
            </w:pPr>
            <w:r>
              <w:rPr>
                <w:color w:val="231F20"/>
                <w:sz w:val="14"/>
              </w:rPr>
              <w:t>Ћура Јакшић: „На Липару”,</w:t>
            </w:r>
            <w:r>
              <w:rPr>
                <w:color w:val="231F20"/>
                <w:spacing w:val="-7"/>
                <w:sz w:val="14"/>
              </w:rPr>
              <w:t xml:space="preserve"> </w:t>
            </w:r>
            <w:r>
              <w:rPr>
                <w:color w:val="231F20"/>
                <w:sz w:val="14"/>
              </w:rPr>
              <w:t>„Отаџбина”.</w:t>
            </w:r>
          </w:p>
          <w:p w:rsidR="00041039" w:rsidRDefault="001B26CB">
            <w:pPr>
              <w:pStyle w:val="TableParagraph"/>
              <w:numPr>
                <w:ilvl w:val="0"/>
                <w:numId w:val="1612"/>
              </w:numPr>
              <w:tabs>
                <w:tab w:val="left" w:pos="157"/>
              </w:tabs>
              <w:spacing w:line="230" w:lineRule="auto"/>
              <w:ind w:right="76" w:hanging="99"/>
              <w:jc w:val="both"/>
              <w:rPr>
                <w:sz w:val="14"/>
              </w:rPr>
            </w:pPr>
            <w:r>
              <w:rPr>
                <w:color w:val="231F20"/>
                <w:sz w:val="14"/>
              </w:rPr>
              <w:t xml:space="preserve">Јован Јовановић Змај: </w:t>
            </w:r>
            <w:r>
              <w:rPr>
                <w:color w:val="231F20"/>
                <w:spacing w:val="-4"/>
                <w:sz w:val="14"/>
              </w:rPr>
              <w:t xml:space="preserve">„Ђулићи” </w:t>
            </w:r>
            <w:r>
              <w:rPr>
                <w:color w:val="231F20"/>
                <w:sz w:val="14"/>
              </w:rPr>
              <w:t xml:space="preserve">и </w:t>
            </w:r>
            <w:r>
              <w:rPr>
                <w:color w:val="231F20"/>
                <w:spacing w:val="-4"/>
                <w:sz w:val="14"/>
              </w:rPr>
              <w:t xml:space="preserve">„Ћулићи </w:t>
            </w:r>
            <w:r>
              <w:rPr>
                <w:color w:val="231F20"/>
                <w:sz w:val="14"/>
              </w:rPr>
              <w:t>увеоци” (избор). Змајева сатирична</w:t>
            </w:r>
            <w:r>
              <w:rPr>
                <w:color w:val="231F20"/>
                <w:spacing w:val="-20"/>
                <w:sz w:val="14"/>
              </w:rPr>
              <w:t xml:space="preserve"> </w:t>
            </w:r>
            <w:r>
              <w:rPr>
                <w:color w:val="231F20"/>
                <w:sz w:val="14"/>
              </w:rPr>
              <w:t>поезија (избор).</w:t>
            </w:r>
          </w:p>
          <w:p w:rsidR="00041039" w:rsidRDefault="001B26CB">
            <w:pPr>
              <w:pStyle w:val="TableParagraph"/>
              <w:numPr>
                <w:ilvl w:val="0"/>
                <w:numId w:val="1612"/>
              </w:numPr>
              <w:tabs>
                <w:tab w:val="left" w:pos="157"/>
              </w:tabs>
              <w:spacing w:line="150" w:lineRule="exact"/>
              <w:ind w:hanging="99"/>
              <w:rPr>
                <w:sz w:val="14"/>
              </w:rPr>
            </w:pPr>
            <w:r>
              <w:rPr>
                <w:color w:val="231F20"/>
                <w:sz w:val="14"/>
              </w:rPr>
              <w:t>Лаза Костић: „Међу јавом и међ</w:t>
            </w:r>
            <w:r>
              <w:rPr>
                <w:color w:val="231F20"/>
                <w:spacing w:val="-9"/>
                <w:sz w:val="14"/>
              </w:rPr>
              <w:t xml:space="preserve"> </w:t>
            </w:r>
            <w:r>
              <w:rPr>
                <w:color w:val="231F20"/>
                <w:sz w:val="14"/>
              </w:rPr>
              <w:t>сном”,</w:t>
            </w:r>
          </w:p>
          <w:p w:rsidR="00041039" w:rsidRDefault="001B26CB">
            <w:pPr>
              <w:pStyle w:val="TableParagraph"/>
              <w:spacing w:line="157" w:lineRule="exact"/>
              <w:rPr>
                <w:sz w:val="14"/>
              </w:rPr>
            </w:pPr>
            <w:r>
              <w:rPr>
                <w:color w:val="231F20"/>
                <w:sz w:val="14"/>
              </w:rPr>
              <w:t>„Santa Maria della Salute”.</w:t>
            </w:r>
          </w:p>
        </w:tc>
        <w:tc>
          <w:tcPr>
            <w:tcW w:w="2267" w:type="dxa"/>
            <w:vMerge w:val="restart"/>
          </w:tcPr>
          <w:p w:rsidR="00041039" w:rsidRDefault="001B26CB">
            <w:pPr>
              <w:pStyle w:val="TableParagraph"/>
              <w:spacing w:before="21" w:line="230" w:lineRule="auto"/>
              <w:ind w:left="58" w:right="109"/>
              <w:rPr>
                <w:b/>
                <w:sz w:val="14"/>
              </w:rPr>
            </w:pPr>
            <w:r>
              <w:rPr>
                <w:b/>
                <w:color w:val="231F20"/>
                <w:sz w:val="14"/>
              </w:rPr>
              <w:t>Препоруке за реализацију наставе</w:t>
            </w:r>
          </w:p>
          <w:p w:rsidR="00041039" w:rsidRDefault="001B26CB">
            <w:pPr>
              <w:pStyle w:val="TableParagraph"/>
              <w:numPr>
                <w:ilvl w:val="0"/>
                <w:numId w:val="1611"/>
              </w:numPr>
              <w:tabs>
                <w:tab w:val="left" w:pos="158"/>
              </w:tabs>
              <w:spacing w:before="1" w:line="154" w:lineRule="exact"/>
              <w:ind w:right="217" w:hanging="99"/>
              <w:rPr>
                <w:sz w:val="14"/>
              </w:rPr>
            </w:pPr>
            <w:r>
              <w:rPr>
                <w:color w:val="231F20"/>
                <w:sz w:val="14"/>
              </w:rPr>
              <w:t xml:space="preserve">Могућност гледања екраниза­ ције неких </w:t>
            </w:r>
            <w:r>
              <w:rPr>
                <w:color w:val="231F20"/>
                <w:spacing w:val="-3"/>
                <w:sz w:val="14"/>
              </w:rPr>
              <w:t xml:space="preserve">од </w:t>
            </w:r>
            <w:r>
              <w:rPr>
                <w:color w:val="231F20"/>
                <w:sz w:val="14"/>
              </w:rPr>
              <w:t>дела реалистичке књижевности.</w:t>
            </w:r>
          </w:p>
          <w:p w:rsidR="00041039" w:rsidRDefault="00041039">
            <w:pPr>
              <w:pStyle w:val="TableParagraph"/>
              <w:spacing w:before="8"/>
              <w:ind w:left="0"/>
              <w:rPr>
                <w:b/>
                <w:sz w:val="12"/>
              </w:rPr>
            </w:pPr>
          </w:p>
          <w:p w:rsidR="00041039" w:rsidRDefault="001B26CB">
            <w:pPr>
              <w:pStyle w:val="TableParagraph"/>
              <w:spacing w:line="157" w:lineRule="exact"/>
              <w:ind w:left="58"/>
              <w:rPr>
                <w:b/>
                <w:sz w:val="14"/>
              </w:rPr>
            </w:pPr>
            <w:r>
              <w:rPr>
                <w:b/>
                <w:color w:val="231F20"/>
                <w:sz w:val="14"/>
              </w:rPr>
              <w:t>Оцењивање</w:t>
            </w:r>
          </w:p>
          <w:p w:rsidR="00041039" w:rsidRDefault="001B26CB">
            <w:pPr>
              <w:pStyle w:val="TableParagraph"/>
              <w:spacing w:before="2" w:line="230"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1611"/>
              </w:numPr>
              <w:tabs>
                <w:tab w:val="left" w:pos="158"/>
              </w:tabs>
              <w:spacing w:line="146"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611"/>
              </w:numPr>
              <w:tabs>
                <w:tab w:val="left" w:pos="158"/>
              </w:tabs>
              <w:spacing w:line="163"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2"/>
              </w:rPr>
            </w:pPr>
          </w:p>
          <w:p w:rsidR="00041039" w:rsidRDefault="001B26CB">
            <w:pPr>
              <w:pStyle w:val="TableParagraph"/>
              <w:spacing w:line="152" w:lineRule="exact"/>
              <w:ind w:left="58"/>
              <w:rPr>
                <w:b/>
                <w:sz w:val="14"/>
              </w:rPr>
            </w:pPr>
            <w:r>
              <w:rPr>
                <w:b/>
                <w:color w:val="231F20"/>
                <w:sz w:val="14"/>
              </w:rPr>
              <w:t>Оквирни број часова по темама</w:t>
            </w:r>
          </w:p>
          <w:p w:rsidR="00041039" w:rsidRDefault="001B26CB">
            <w:pPr>
              <w:pStyle w:val="TableParagraph"/>
              <w:numPr>
                <w:ilvl w:val="0"/>
                <w:numId w:val="1611"/>
              </w:numPr>
              <w:tabs>
                <w:tab w:val="left" w:pos="158"/>
              </w:tabs>
              <w:spacing w:line="228" w:lineRule="auto"/>
              <w:ind w:right="323" w:hanging="99"/>
              <w:rPr>
                <w:b/>
                <w:sz w:val="14"/>
              </w:rPr>
            </w:pPr>
            <w:r>
              <w:rPr>
                <w:color w:val="231F20"/>
                <w:sz w:val="14"/>
              </w:rPr>
              <w:t xml:space="preserve">Барок, класицизам, просвети­ тељство </w:t>
            </w:r>
            <w:r>
              <w:rPr>
                <w:b/>
                <w:color w:val="231F20"/>
                <w:sz w:val="14"/>
              </w:rPr>
              <w:t>(13</w:t>
            </w:r>
            <w:r>
              <w:rPr>
                <w:b/>
                <w:color w:val="231F20"/>
                <w:spacing w:val="-1"/>
                <w:sz w:val="14"/>
              </w:rPr>
              <w:t xml:space="preserve"> </w:t>
            </w:r>
            <w:r>
              <w:rPr>
                <w:b/>
                <w:color w:val="231F20"/>
                <w:sz w:val="14"/>
              </w:rPr>
              <w:t>часова)</w:t>
            </w:r>
          </w:p>
          <w:p w:rsidR="00041039" w:rsidRDefault="001B26CB">
            <w:pPr>
              <w:pStyle w:val="TableParagraph"/>
              <w:numPr>
                <w:ilvl w:val="0"/>
                <w:numId w:val="1611"/>
              </w:numPr>
              <w:tabs>
                <w:tab w:val="left" w:pos="158"/>
              </w:tabs>
              <w:spacing w:line="148" w:lineRule="exact"/>
              <w:ind w:hanging="99"/>
              <w:rPr>
                <w:b/>
                <w:sz w:val="14"/>
              </w:rPr>
            </w:pPr>
            <w:r>
              <w:rPr>
                <w:color w:val="231F20"/>
                <w:sz w:val="14"/>
              </w:rPr>
              <w:t xml:space="preserve">Романтизам </w:t>
            </w:r>
            <w:r>
              <w:rPr>
                <w:b/>
                <w:color w:val="231F20"/>
                <w:sz w:val="14"/>
              </w:rPr>
              <w:t>(25</w:t>
            </w:r>
            <w:r>
              <w:rPr>
                <w:b/>
                <w:color w:val="231F20"/>
                <w:spacing w:val="-3"/>
                <w:sz w:val="14"/>
              </w:rPr>
              <w:t xml:space="preserve"> </w:t>
            </w:r>
            <w:r>
              <w:rPr>
                <w:b/>
                <w:color w:val="231F20"/>
                <w:sz w:val="14"/>
              </w:rPr>
              <w:t>часова)</w:t>
            </w:r>
          </w:p>
          <w:p w:rsidR="00041039" w:rsidRDefault="001B26CB">
            <w:pPr>
              <w:pStyle w:val="TableParagraph"/>
              <w:numPr>
                <w:ilvl w:val="0"/>
                <w:numId w:val="1611"/>
              </w:numPr>
              <w:tabs>
                <w:tab w:val="left" w:pos="158"/>
              </w:tabs>
              <w:spacing w:line="154" w:lineRule="exact"/>
              <w:ind w:hanging="99"/>
              <w:rPr>
                <w:b/>
                <w:sz w:val="14"/>
              </w:rPr>
            </w:pPr>
            <w:r>
              <w:rPr>
                <w:color w:val="231F20"/>
                <w:sz w:val="14"/>
              </w:rPr>
              <w:t xml:space="preserve">Реализам </w:t>
            </w:r>
            <w:r>
              <w:rPr>
                <w:b/>
                <w:color w:val="231F20"/>
                <w:sz w:val="14"/>
              </w:rPr>
              <w:t>(28</w:t>
            </w:r>
            <w:r>
              <w:rPr>
                <w:b/>
                <w:color w:val="231F20"/>
                <w:spacing w:val="-2"/>
                <w:sz w:val="14"/>
              </w:rPr>
              <w:t xml:space="preserve"> </w:t>
            </w:r>
            <w:r>
              <w:rPr>
                <w:b/>
                <w:color w:val="231F20"/>
                <w:sz w:val="14"/>
              </w:rPr>
              <w:t>часова)</w:t>
            </w:r>
          </w:p>
          <w:p w:rsidR="00041039" w:rsidRDefault="001B26CB">
            <w:pPr>
              <w:pStyle w:val="TableParagraph"/>
              <w:numPr>
                <w:ilvl w:val="0"/>
                <w:numId w:val="1611"/>
              </w:numPr>
              <w:tabs>
                <w:tab w:val="left" w:pos="158"/>
              </w:tabs>
              <w:spacing w:line="154" w:lineRule="exact"/>
              <w:ind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1611"/>
              </w:numPr>
              <w:tabs>
                <w:tab w:val="left" w:pos="158"/>
              </w:tabs>
              <w:spacing w:line="154" w:lineRule="exact"/>
              <w:ind w:hanging="99"/>
              <w:rPr>
                <w:b/>
                <w:sz w:val="14"/>
              </w:rPr>
            </w:pPr>
            <w:r>
              <w:rPr>
                <w:color w:val="231F20"/>
                <w:sz w:val="14"/>
              </w:rPr>
              <w:t xml:space="preserve">Правопис </w:t>
            </w:r>
            <w:r>
              <w:rPr>
                <w:b/>
                <w:color w:val="231F20"/>
                <w:sz w:val="14"/>
              </w:rPr>
              <w:t>(5</w:t>
            </w:r>
            <w:r>
              <w:rPr>
                <w:b/>
                <w:color w:val="231F20"/>
                <w:spacing w:val="-2"/>
                <w:sz w:val="14"/>
              </w:rPr>
              <w:t xml:space="preserve"> </w:t>
            </w:r>
            <w:r>
              <w:rPr>
                <w:b/>
                <w:color w:val="231F20"/>
                <w:sz w:val="14"/>
              </w:rPr>
              <w:t>часова)</w:t>
            </w:r>
          </w:p>
          <w:p w:rsidR="00041039" w:rsidRDefault="001B26CB">
            <w:pPr>
              <w:pStyle w:val="TableParagraph"/>
              <w:numPr>
                <w:ilvl w:val="0"/>
                <w:numId w:val="1611"/>
              </w:numPr>
              <w:tabs>
                <w:tab w:val="left" w:pos="158"/>
              </w:tabs>
              <w:spacing w:line="163"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(24</w:t>
            </w:r>
            <w:r>
              <w:rPr>
                <w:b/>
                <w:color w:val="231F20"/>
                <w:sz w:val="14"/>
              </w:rPr>
              <w:t xml:space="preserve"> </w:t>
            </w:r>
            <w:r>
              <w:rPr>
                <w:b/>
                <w:color w:val="231F20"/>
                <w:sz w:val="14"/>
              </w:rPr>
              <w:t>часа)</w:t>
            </w:r>
          </w:p>
        </w:tc>
      </w:tr>
      <w:tr w:rsidR="00041039">
        <w:trPr>
          <w:trHeight w:val="1740"/>
        </w:trPr>
        <w:tc>
          <w:tcPr>
            <w:tcW w:w="1304" w:type="dxa"/>
          </w:tcPr>
          <w:p w:rsidR="00041039" w:rsidRDefault="001B26CB">
            <w:pPr>
              <w:pStyle w:val="TableParagraph"/>
              <w:spacing w:before="18"/>
              <w:ind w:left="56"/>
              <w:rPr>
                <w:sz w:val="14"/>
              </w:rPr>
            </w:pPr>
            <w:r>
              <w:rPr>
                <w:color w:val="231F20"/>
                <w:sz w:val="14"/>
              </w:rPr>
              <w:t>Реализам</w:t>
            </w:r>
          </w:p>
        </w:tc>
        <w:tc>
          <w:tcPr>
            <w:tcW w:w="1587" w:type="dxa"/>
          </w:tcPr>
          <w:p w:rsidR="00041039" w:rsidRDefault="001B26CB">
            <w:pPr>
              <w:pStyle w:val="TableParagraph"/>
              <w:numPr>
                <w:ilvl w:val="0"/>
                <w:numId w:val="1610"/>
              </w:numPr>
              <w:tabs>
                <w:tab w:val="left" w:pos="157"/>
              </w:tabs>
              <w:spacing w:before="13" w:line="230" w:lineRule="auto"/>
              <w:ind w:right="43"/>
              <w:rPr>
                <w:sz w:val="14"/>
              </w:rPr>
            </w:pPr>
            <w:r>
              <w:rPr>
                <w:color w:val="231F20"/>
                <w:sz w:val="14"/>
              </w:rPr>
              <w:t xml:space="preserve">Упознавање са поети­ </w:t>
            </w:r>
            <w:r>
              <w:rPr>
                <w:color w:val="231F20"/>
                <w:spacing w:val="-4"/>
                <w:sz w:val="14"/>
              </w:rPr>
              <w:t xml:space="preserve">ком </w:t>
            </w:r>
            <w:r>
              <w:rPr>
                <w:color w:val="231F20"/>
                <w:sz w:val="14"/>
              </w:rPr>
              <w:t>реализма, предста­ вницима и делима европске и српске књижевности.</w:t>
            </w:r>
          </w:p>
        </w:tc>
        <w:tc>
          <w:tcPr>
            <w:tcW w:w="2551" w:type="dxa"/>
          </w:tcPr>
          <w:p w:rsidR="00041039" w:rsidRDefault="001B26CB">
            <w:pPr>
              <w:pStyle w:val="TableParagraph"/>
              <w:numPr>
                <w:ilvl w:val="0"/>
                <w:numId w:val="1609"/>
              </w:numPr>
              <w:tabs>
                <w:tab w:val="left" w:pos="157"/>
              </w:tabs>
              <w:spacing w:before="15" w:line="228" w:lineRule="auto"/>
              <w:ind w:right="117" w:hanging="99"/>
              <w:jc w:val="both"/>
              <w:rPr>
                <w:sz w:val="14"/>
              </w:rPr>
            </w:pPr>
            <w:r>
              <w:rPr>
                <w:color w:val="231F20"/>
                <w:sz w:val="14"/>
              </w:rPr>
              <w:t>наведе представнике правца и</w:t>
            </w:r>
            <w:r>
              <w:rPr>
                <w:color w:val="231F20"/>
                <w:spacing w:val="-26"/>
                <w:sz w:val="14"/>
              </w:rPr>
              <w:t xml:space="preserve"> </w:t>
            </w:r>
            <w:r>
              <w:rPr>
                <w:color w:val="231F20"/>
                <w:sz w:val="14"/>
              </w:rPr>
              <w:t>њихова дела;</w:t>
            </w:r>
          </w:p>
          <w:p w:rsidR="00041039" w:rsidRDefault="001B26CB">
            <w:pPr>
              <w:pStyle w:val="TableParagraph"/>
              <w:numPr>
                <w:ilvl w:val="0"/>
                <w:numId w:val="1609"/>
              </w:numPr>
              <w:tabs>
                <w:tab w:val="left" w:pos="157"/>
              </w:tabs>
              <w:spacing w:line="228" w:lineRule="auto"/>
              <w:ind w:right="138" w:hanging="99"/>
              <w:jc w:val="both"/>
              <w:rPr>
                <w:sz w:val="14"/>
              </w:rPr>
            </w:pPr>
            <w:r>
              <w:rPr>
                <w:color w:val="231F20"/>
                <w:sz w:val="14"/>
              </w:rPr>
              <w:t>дефинише одлике реализма и</w:t>
            </w:r>
            <w:r>
              <w:rPr>
                <w:color w:val="231F20"/>
                <w:spacing w:val="-12"/>
                <w:sz w:val="14"/>
              </w:rPr>
              <w:t xml:space="preserve"> </w:t>
            </w:r>
            <w:r>
              <w:rPr>
                <w:color w:val="231F20"/>
                <w:sz w:val="14"/>
              </w:rPr>
              <w:t>објасни их на обрађеним књижевним</w:t>
            </w:r>
            <w:r>
              <w:rPr>
                <w:color w:val="231F20"/>
                <w:spacing w:val="-7"/>
                <w:sz w:val="14"/>
              </w:rPr>
              <w:t xml:space="preserve"> </w:t>
            </w:r>
            <w:r>
              <w:rPr>
                <w:color w:val="231F20"/>
                <w:sz w:val="14"/>
              </w:rPr>
              <w:t>делима;</w:t>
            </w:r>
          </w:p>
          <w:p w:rsidR="00041039" w:rsidRDefault="001B26CB">
            <w:pPr>
              <w:pStyle w:val="TableParagraph"/>
              <w:numPr>
                <w:ilvl w:val="0"/>
                <w:numId w:val="1609"/>
              </w:numPr>
              <w:tabs>
                <w:tab w:val="left" w:pos="157"/>
              </w:tabs>
              <w:spacing w:line="228" w:lineRule="auto"/>
              <w:ind w:right="99" w:hanging="99"/>
              <w:jc w:val="both"/>
              <w:rPr>
                <w:sz w:val="14"/>
              </w:rPr>
            </w:pPr>
            <w:r>
              <w:rPr>
                <w:color w:val="231F20"/>
                <w:sz w:val="14"/>
              </w:rPr>
              <w:t>тумачи уметнички свет и стваралачке поступке у структури обрађених</w:t>
            </w:r>
            <w:r>
              <w:rPr>
                <w:color w:val="231F20"/>
                <w:spacing w:val="-9"/>
                <w:sz w:val="14"/>
              </w:rPr>
              <w:t xml:space="preserve"> </w:t>
            </w:r>
            <w:r>
              <w:rPr>
                <w:color w:val="231F20"/>
                <w:sz w:val="14"/>
              </w:rPr>
              <w:t>дела;</w:t>
            </w:r>
          </w:p>
          <w:p w:rsidR="00041039" w:rsidRDefault="001B26CB">
            <w:pPr>
              <w:pStyle w:val="TableParagraph"/>
              <w:numPr>
                <w:ilvl w:val="0"/>
                <w:numId w:val="1609"/>
              </w:numPr>
              <w:tabs>
                <w:tab w:val="left" w:pos="157"/>
              </w:tabs>
              <w:spacing w:line="228" w:lineRule="auto"/>
              <w:ind w:right="65" w:hanging="99"/>
              <w:jc w:val="both"/>
              <w:rPr>
                <w:sz w:val="14"/>
              </w:rPr>
            </w:pPr>
            <w:r>
              <w:rPr>
                <w:color w:val="231F20"/>
                <w:sz w:val="14"/>
              </w:rPr>
              <w:t>процењује друштвене појаве и</w:t>
            </w:r>
            <w:r>
              <w:rPr>
                <w:color w:val="231F20"/>
                <w:spacing w:val="-25"/>
                <w:sz w:val="14"/>
              </w:rPr>
              <w:t xml:space="preserve"> </w:t>
            </w:r>
            <w:r>
              <w:rPr>
                <w:color w:val="231F20"/>
                <w:sz w:val="14"/>
              </w:rPr>
              <w:t>пробле­ ме које покреће књижевно</w:t>
            </w:r>
            <w:r>
              <w:rPr>
                <w:color w:val="231F20"/>
                <w:spacing w:val="-6"/>
                <w:sz w:val="14"/>
              </w:rPr>
              <w:t xml:space="preserve"> </w:t>
            </w:r>
            <w:r>
              <w:rPr>
                <w:color w:val="231F20"/>
                <w:sz w:val="14"/>
              </w:rPr>
              <w:t>дело;</w:t>
            </w:r>
          </w:p>
          <w:p w:rsidR="00041039" w:rsidRDefault="001B26CB">
            <w:pPr>
              <w:pStyle w:val="TableParagraph"/>
              <w:numPr>
                <w:ilvl w:val="0"/>
                <w:numId w:val="1609"/>
              </w:numPr>
              <w:tabs>
                <w:tab w:val="left" w:pos="157"/>
              </w:tabs>
              <w:spacing w:line="154" w:lineRule="exact"/>
              <w:ind w:right="68" w:hanging="99"/>
              <w:jc w:val="both"/>
              <w:rPr>
                <w:sz w:val="14"/>
              </w:rPr>
            </w:pPr>
            <w:r>
              <w:rPr>
                <w:color w:val="231F20"/>
                <w:sz w:val="14"/>
              </w:rPr>
              <w:t>развије критички став и мишљење при процени поступака и понашања јунака у обрађеним</w:t>
            </w:r>
            <w:r>
              <w:rPr>
                <w:color w:val="231F20"/>
                <w:spacing w:val="-1"/>
                <w:sz w:val="14"/>
              </w:rPr>
              <w:t xml:space="preserve"> </w:t>
            </w:r>
            <w:r>
              <w:rPr>
                <w:color w:val="231F20"/>
                <w:sz w:val="14"/>
              </w:rPr>
              <w:t>делима;</w:t>
            </w:r>
          </w:p>
        </w:tc>
        <w:tc>
          <w:tcPr>
            <w:tcW w:w="2834" w:type="dxa"/>
          </w:tcPr>
          <w:p w:rsidR="00041039" w:rsidRDefault="001B26CB">
            <w:pPr>
              <w:pStyle w:val="TableParagraph"/>
              <w:numPr>
                <w:ilvl w:val="0"/>
                <w:numId w:val="1608"/>
              </w:numPr>
              <w:tabs>
                <w:tab w:val="left" w:pos="157"/>
              </w:tabs>
              <w:spacing w:before="15" w:line="228" w:lineRule="auto"/>
              <w:ind w:right="82" w:hanging="99"/>
              <w:rPr>
                <w:sz w:val="14"/>
              </w:rPr>
            </w:pPr>
            <w:r>
              <w:rPr>
                <w:color w:val="231F20"/>
                <w:sz w:val="14"/>
              </w:rPr>
              <w:t xml:space="preserve">Реализам у Европи и </w:t>
            </w:r>
            <w:r>
              <w:rPr>
                <w:color w:val="231F20"/>
                <w:spacing w:val="-5"/>
                <w:sz w:val="14"/>
              </w:rPr>
              <w:t xml:space="preserve">код </w:t>
            </w:r>
            <w:r>
              <w:rPr>
                <w:color w:val="231F20"/>
                <w:sz w:val="14"/>
              </w:rPr>
              <w:t>нас (појам, особе­ ности, значај,</w:t>
            </w:r>
            <w:r>
              <w:rPr>
                <w:color w:val="231F20"/>
                <w:spacing w:val="-1"/>
                <w:sz w:val="14"/>
              </w:rPr>
              <w:t xml:space="preserve"> </w:t>
            </w:r>
            <w:r>
              <w:rPr>
                <w:color w:val="231F20"/>
                <w:sz w:val="14"/>
              </w:rPr>
              <w:t>представници).</w:t>
            </w:r>
          </w:p>
          <w:p w:rsidR="00041039" w:rsidRDefault="001B26CB">
            <w:pPr>
              <w:pStyle w:val="TableParagraph"/>
              <w:numPr>
                <w:ilvl w:val="0"/>
                <w:numId w:val="1608"/>
              </w:numPr>
              <w:tabs>
                <w:tab w:val="left" w:pos="157"/>
              </w:tabs>
              <w:spacing w:line="228" w:lineRule="auto"/>
              <w:ind w:right="338" w:hanging="99"/>
              <w:rPr>
                <w:sz w:val="14"/>
              </w:rPr>
            </w:pPr>
            <w:r>
              <w:rPr>
                <w:color w:val="231F20"/>
                <w:sz w:val="14"/>
              </w:rPr>
              <w:t xml:space="preserve">Балзак: </w:t>
            </w:r>
            <w:r>
              <w:rPr>
                <w:color w:val="231F20"/>
                <w:spacing w:val="-6"/>
                <w:sz w:val="14"/>
              </w:rPr>
              <w:t xml:space="preserve">„Чича </w:t>
            </w:r>
            <w:r>
              <w:rPr>
                <w:color w:val="231F20"/>
                <w:spacing w:val="-3"/>
                <w:sz w:val="14"/>
              </w:rPr>
              <w:t xml:space="preserve">Горио” </w:t>
            </w:r>
            <w:r>
              <w:rPr>
                <w:color w:val="231F20"/>
                <w:sz w:val="14"/>
              </w:rPr>
              <w:t xml:space="preserve">или </w:t>
            </w:r>
            <w:r>
              <w:rPr>
                <w:color w:val="231F20"/>
                <w:spacing w:val="-3"/>
                <w:sz w:val="14"/>
              </w:rPr>
              <w:t xml:space="preserve">Толстој </w:t>
            </w:r>
            <w:r>
              <w:rPr>
                <w:color w:val="231F20"/>
                <w:sz w:val="14"/>
              </w:rPr>
              <w:t>„Ана Карењина”.</w:t>
            </w:r>
          </w:p>
          <w:p w:rsidR="00041039" w:rsidRDefault="001B26CB">
            <w:pPr>
              <w:pStyle w:val="TableParagraph"/>
              <w:numPr>
                <w:ilvl w:val="0"/>
                <w:numId w:val="1608"/>
              </w:numPr>
              <w:tabs>
                <w:tab w:val="left" w:pos="157"/>
              </w:tabs>
              <w:spacing w:line="148" w:lineRule="exact"/>
              <w:ind w:hanging="99"/>
              <w:rPr>
                <w:sz w:val="14"/>
              </w:rPr>
            </w:pPr>
            <w:r>
              <w:rPr>
                <w:color w:val="231F20"/>
                <w:spacing w:val="-3"/>
                <w:sz w:val="14"/>
              </w:rPr>
              <w:t>Гогољ:</w:t>
            </w:r>
            <w:r>
              <w:rPr>
                <w:color w:val="231F20"/>
                <w:spacing w:val="-1"/>
                <w:sz w:val="14"/>
              </w:rPr>
              <w:t xml:space="preserve"> </w:t>
            </w:r>
            <w:r>
              <w:rPr>
                <w:color w:val="231F20"/>
                <w:sz w:val="14"/>
              </w:rPr>
              <w:t>„Ревизор”.</w:t>
            </w:r>
          </w:p>
          <w:p w:rsidR="00041039" w:rsidRDefault="001B26CB">
            <w:pPr>
              <w:pStyle w:val="TableParagraph"/>
              <w:numPr>
                <w:ilvl w:val="0"/>
                <w:numId w:val="1608"/>
              </w:numPr>
              <w:tabs>
                <w:tab w:val="left" w:pos="157"/>
              </w:tabs>
              <w:spacing w:line="154" w:lineRule="exact"/>
              <w:ind w:hanging="99"/>
              <w:rPr>
                <w:sz w:val="14"/>
              </w:rPr>
            </w:pPr>
            <w:r>
              <w:rPr>
                <w:color w:val="231F20"/>
                <w:sz w:val="14"/>
              </w:rPr>
              <w:t xml:space="preserve">Милован </w:t>
            </w:r>
            <w:r>
              <w:rPr>
                <w:color w:val="231F20"/>
                <w:spacing w:val="-3"/>
                <w:sz w:val="14"/>
              </w:rPr>
              <w:t>Глишић: „Глава</w:t>
            </w:r>
            <w:r>
              <w:rPr>
                <w:color w:val="231F20"/>
                <w:sz w:val="14"/>
              </w:rPr>
              <w:t xml:space="preserve"> </w:t>
            </w:r>
            <w:r>
              <w:rPr>
                <w:color w:val="231F20"/>
                <w:sz w:val="14"/>
              </w:rPr>
              <w:t>шећера”.</w:t>
            </w:r>
          </w:p>
          <w:p w:rsidR="00041039" w:rsidRDefault="001B26CB">
            <w:pPr>
              <w:pStyle w:val="TableParagraph"/>
              <w:numPr>
                <w:ilvl w:val="0"/>
                <w:numId w:val="1608"/>
              </w:numPr>
              <w:tabs>
                <w:tab w:val="left" w:pos="157"/>
              </w:tabs>
              <w:spacing w:line="154" w:lineRule="exact"/>
              <w:ind w:hanging="99"/>
              <w:rPr>
                <w:sz w:val="14"/>
              </w:rPr>
            </w:pPr>
            <w:r>
              <w:rPr>
                <w:color w:val="231F20"/>
                <w:sz w:val="14"/>
              </w:rPr>
              <w:t>Лаза Лазаревић:</w:t>
            </w:r>
            <w:r>
              <w:rPr>
                <w:color w:val="231F20"/>
                <w:spacing w:val="-3"/>
                <w:sz w:val="14"/>
              </w:rPr>
              <w:t xml:space="preserve"> </w:t>
            </w:r>
            <w:r>
              <w:rPr>
                <w:color w:val="231F20"/>
                <w:sz w:val="14"/>
              </w:rPr>
              <w:t>„Ветар”</w:t>
            </w:r>
          </w:p>
          <w:p w:rsidR="00041039" w:rsidRDefault="001B26CB">
            <w:pPr>
              <w:pStyle w:val="TableParagraph"/>
              <w:numPr>
                <w:ilvl w:val="0"/>
                <w:numId w:val="1608"/>
              </w:numPr>
              <w:tabs>
                <w:tab w:val="left" w:pos="157"/>
              </w:tabs>
              <w:spacing w:line="154" w:lineRule="exact"/>
              <w:ind w:hanging="99"/>
              <w:rPr>
                <w:sz w:val="14"/>
              </w:rPr>
            </w:pPr>
            <w:r>
              <w:rPr>
                <w:color w:val="231F20"/>
                <w:sz w:val="14"/>
              </w:rPr>
              <w:t>Радоје Домановић: „Данга” или</w:t>
            </w:r>
            <w:r>
              <w:rPr>
                <w:color w:val="231F20"/>
                <w:spacing w:val="-6"/>
                <w:sz w:val="14"/>
              </w:rPr>
              <w:t xml:space="preserve"> </w:t>
            </w:r>
            <w:r>
              <w:rPr>
                <w:color w:val="231F20"/>
                <w:sz w:val="14"/>
              </w:rPr>
              <w:t>„Вођа”.</w:t>
            </w:r>
          </w:p>
          <w:p w:rsidR="00041039" w:rsidRDefault="001B26CB">
            <w:pPr>
              <w:pStyle w:val="TableParagraph"/>
              <w:numPr>
                <w:ilvl w:val="0"/>
                <w:numId w:val="1608"/>
              </w:numPr>
              <w:tabs>
                <w:tab w:val="left" w:pos="157"/>
              </w:tabs>
              <w:spacing w:line="154" w:lineRule="exact"/>
              <w:ind w:hanging="99"/>
              <w:rPr>
                <w:sz w:val="14"/>
              </w:rPr>
            </w:pPr>
            <w:r>
              <w:rPr>
                <w:color w:val="231F20"/>
                <w:sz w:val="14"/>
              </w:rPr>
              <w:t>Симо Матавуљ:</w:t>
            </w:r>
            <w:r>
              <w:rPr>
                <w:color w:val="231F20"/>
                <w:spacing w:val="-1"/>
                <w:sz w:val="14"/>
              </w:rPr>
              <w:t xml:space="preserve"> </w:t>
            </w:r>
            <w:r>
              <w:rPr>
                <w:color w:val="231F20"/>
                <w:sz w:val="14"/>
              </w:rPr>
              <w:t>„Поварета”.</w:t>
            </w:r>
          </w:p>
          <w:p w:rsidR="00041039" w:rsidRDefault="001B26CB">
            <w:pPr>
              <w:pStyle w:val="TableParagraph"/>
              <w:numPr>
                <w:ilvl w:val="0"/>
                <w:numId w:val="1608"/>
              </w:numPr>
              <w:tabs>
                <w:tab w:val="left" w:pos="157"/>
              </w:tabs>
              <w:spacing w:line="154" w:lineRule="exact"/>
              <w:ind w:hanging="99"/>
              <w:rPr>
                <w:sz w:val="14"/>
              </w:rPr>
            </w:pPr>
            <w:r>
              <w:rPr>
                <w:color w:val="231F20"/>
                <w:sz w:val="14"/>
              </w:rPr>
              <w:t>Бранислав Нушић: „Госпођа</w:t>
            </w:r>
            <w:r>
              <w:rPr>
                <w:color w:val="231F20"/>
                <w:spacing w:val="-12"/>
                <w:sz w:val="14"/>
              </w:rPr>
              <w:t xml:space="preserve"> </w:t>
            </w:r>
            <w:r>
              <w:rPr>
                <w:color w:val="231F20"/>
                <w:sz w:val="14"/>
              </w:rPr>
              <w:t>министарка”.</w:t>
            </w:r>
          </w:p>
          <w:p w:rsidR="00041039" w:rsidRDefault="001B26CB">
            <w:pPr>
              <w:pStyle w:val="TableParagraph"/>
              <w:numPr>
                <w:ilvl w:val="0"/>
                <w:numId w:val="1608"/>
              </w:numPr>
              <w:tabs>
                <w:tab w:val="left" w:pos="157"/>
              </w:tabs>
              <w:spacing w:line="163" w:lineRule="exact"/>
              <w:ind w:hanging="99"/>
              <w:rPr>
                <w:sz w:val="14"/>
              </w:rPr>
            </w:pPr>
            <w:r>
              <w:rPr>
                <w:color w:val="231F20"/>
                <w:sz w:val="14"/>
              </w:rPr>
              <w:t>Војислав Илић: (избор из</w:t>
            </w:r>
            <w:r>
              <w:rPr>
                <w:color w:val="231F20"/>
                <w:spacing w:val="-5"/>
                <w:sz w:val="14"/>
              </w:rPr>
              <w:t xml:space="preserve"> </w:t>
            </w:r>
            <w:r>
              <w:rPr>
                <w:color w:val="231F20"/>
                <w:sz w:val="14"/>
              </w:rPr>
              <w:t>поезије).</w:t>
            </w:r>
          </w:p>
        </w:tc>
        <w:tc>
          <w:tcPr>
            <w:tcW w:w="2267" w:type="dxa"/>
            <w:vMerge/>
            <w:tcBorders>
              <w:top w:val="nil"/>
            </w:tcBorders>
          </w:tcPr>
          <w:p w:rsidR="00041039" w:rsidRDefault="00041039">
            <w:pPr>
              <w:rPr>
                <w:sz w:val="2"/>
                <w:szCs w:val="2"/>
              </w:rPr>
            </w:pPr>
          </w:p>
        </w:tc>
      </w:tr>
      <w:tr w:rsidR="00041039">
        <w:trPr>
          <w:trHeight w:val="1124"/>
        </w:trPr>
        <w:tc>
          <w:tcPr>
            <w:tcW w:w="1304" w:type="dxa"/>
          </w:tcPr>
          <w:p w:rsidR="00041039" w:rsidRDefault="001B26CB">
            <w:pPr>
              <w:pStyle w:val="TableParagraph"/>
              <w:spacing w:before="18"/>
              <w:ind w:left="56"/>
              <w:rPr>
                <w:sz w:val="14"/>
              </w:rPr>
            </w:pPr>
            <w:r>
              <w:rPr>
                <w:color w:val="231F20"/>
                <w:sz w:val="14"/>
              </w:rPr>
              <w:t>Морфологија</w:t>
            </w:r>
          </w:p>
        </w:tc>
        <w:tc>
          <w:tcPr>
            <w:tcW w:w="1587" w:type="dxa"/>
          </w:tcPr>
          <w:p w:rsidR="00041039" w:rsidRDefault="001B26CB">
            <w:pPr>
              <w:pStyle w:val="TableParagraph"/>
              <w:numPr>
                <w:ilvl w:val="0"/>
                <w:numId w:val="1607"/>
              </w:numPr>
              <w:tabs>
                <w:tab w:val="left" w:pos="157"/>
              </w:tabs>
              <w:spacing w:before="13" w:line="230" w:lineRule="auto"/>
              <w:ind w:right="116"/>
              <w:rPr>
                <w:sz w:val="14"/>
              </w:rPr>
            </w:pPr>
            <w:r>
              <w:rPr>
                <w:color w:val="231F20"/>
                <w:sz w:val="14"/>
              </w:rPr>
              <w:t>Систематизовање знања о врстама речи и њиховим</w:t>
            </w:r>
            <w:r>
              <w:rPr>
                <w:color w:val="231F20"/>
                <w:spacing w:val="-16"/>
                <w:sz w:val="14"/>
              </w:rPr>
              <w:t xml:space="preserve"> </w:t>
            </w:r>
            <w:r>
              <w:rPr>
                <w:color w:val="231F20"/>
                <w:sz w:val="14"/>
              </w:rPr>
              <w:t>облицима.</w:t>
            </w:r>
          </w:p>
        </w:tc>
        <w:tc>
          <w:tcPr>
            <w:tcW w:w="2551" w:type="dxa"/>
          </w:tcPr>
          <w:p w:rsidR="00041039" w:rsidRDefault="001B26CB">
            <w:pPr>
              <w:pStyle w:val="TableParagraph"/>
              <w:numPr>
                <w:ilvl w:val="0"/>
                <w:numId w:val="1606"/>
              </w:numPr>
              <w:tabs>
                <w:tab w:val="left" w:pos="157"/>
              </w:tabs>
              <w:spacing w:before="15" w:line="228" w:lineRule="auto"/>
              <w:ind w:right="483" w:hanging="99"/>
              <w:rPr>
                <w:sz w:val="14"/>
              </w:rPr>
            </w:pPr>
            <w:r>
              <w:rPr>
                <w:color w:val="231F20"/>
                <w:sz w:val="14"/>
              </w:rPr>
              <w:t>одреди врсту речи и</w:t>
            </w:r>
            <w:r>
              <w:rPr>
                <w:color w:val="231F20"/>
                <w:spacing w:val="-27"/>
                <w:sz w:val="14"/>
              </w:rPr>
              <w:t xml:space="preserve"> </w:t>
            </w:r>
            <w:r>
              <w:rPr>
                <w:color w:val="231F20"/>
                <w:sz w:val="14"/>
              </w:rPr>
              <w:t>граматичке категорије;</w:t>
            </w:r>
          </w:p>
          <w:p w:rsidR="00041039" w:rsidRDefault="001B26CB">
            <w:pPr>
              <w:pStyle w:val="TableParagraph"/>
              <w:numPr>
                <w:ilvl w:val="0"/>
                <w:numId w:val="1606"/>
              </w:numPr>
              <w:tabs>
                <w:tab w:val="left" w:pos="157"/>
              </w:tabs>
              <w:spacing w:before="2" w:line="154" w:lineRule="exact"/>
              <w:ind w:right="205" w:hanging="99"/>
              <w:rPr>
                <w:sz w:val="14"/>
              </w:rPr>
            </w:pPr>
            <w:r>
              <w:rPr>
                <w:color w:val="231F20"/>
                <w:sz w:val="14"/>
              </w:rPr>
              <w:t>употреби у усменом и писаном изражавању облике речи у складу</w:t>
            </w:r>
            <w:r>
              <w:rPr>
                <w:color w:val="231F20"/>
                <w:spacing w:val="-20"/>
                <w:sz w:val="14"/>
              </w:rPr>
              <w:t xml:space="preserve"> </w:t>
            </w:r>
            <w:r>
              <w:rPr>
                <w:color w:val="231F20"/>
                <w:sz w:val="14"/>
              </w:rPr>
              <w:t>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numPr>
                <w:ilvl w:val="0"/>
                <w:numId w:val="1605"/>
              </w:numPr>
              <w:tabs>
                <w:tab w:val="left" w:pos="158"/>
              </w:tabs>
              <w:spacing w:before="8" w:line="163" w:lineRule="exact"/>
              <w:rPr>
                <w:sz w:val="14"/>
              </w:rPr>
            </w:pPr>
            <w:r>
              <w:rPr>
                <w:color w:val="231F20"/>
                <w:sz w:val="14"/>
              </w:rPr>
              <w:t>Морфологија у ужем</w:t>
            </w:r>
            <w:r>
              <w:rPr>
                <w:color w:val="231F20"/>
                <w:spacing w:val="-2"/>
                <w:sz w:val="14"/>
              </w:rPr>
              <w:t xml:space="preserve"> </w:t>
            </w:r>
            <w:r>
              <w:rPr>
                <w:color w:val="231F20"/>
                <w:spacing w:val="-3"/>
                <w:sz w:val="14"/>
              </w:rPr>
              <w:t>смислу.</w:t>
            </w:r>
          </w:p>
          <w:p w:rsidR="00041039" w:rsidRDefault="001B26CB">
            <w:pPr>
              <w:pStyle w:val="TableParagraph"/>
              <w:numPr>
                <w:ilvl w:val="0"/>
                <w:numId w:val="1605"/>
              </w:numPr>
              <w:tabs>
                <w:tab w:val="left" w:pos="158"/>
              </w:tabs>
              <w:spacing w:line="154" w:lineRule="exact"/>
              <w:rPr>
                <w:sz w:val="14"/>
              </w:rPr>
            </w:pPr>
            <w:r>
              <w:rPr>
                <w:color w:val="231F20"/>
                <w:sz w:val="14"/>
              </w:rPr>
              <w:t>Променљиве и непроменљиве врсте</w:t>
            </w:r>
            <w:r>
              <w:rPr>
                <w:color w:val="231F20"/>
                <w:spacing w:val="-12"/>
                <w:sz w:val="14"/>
              </w:rPr>
              <w:t xml:space="preserve"> </w:t>
            </w:r>
            <w:r>
              <w:rPr>
                <w:color w:val="231F20"/>
                <w:sz w:val="14"/>
              </w:rPr>
              <w:t>речи.</w:t>
            </w:r>
          </w:p>
          <w:p w:rsidR="00041039" w:rsidRDefault="001B26CB">
            <w:pPr>
              <w:pStyle w:val="TableParagraph"/>
              <w:numPr>
                <w:ilvl w:val="0"/>
                <w:numId w:val="1605"/>
              </w:numPr>
              <w:tabs>
                <w:tab w:val="left" w:pos="158"/>
              </w:tabs>
              <w:spacing w:line="230" w:lineRule="auto"/>
              <w:ind w:right="146"/>
              <w:jc w:val="both"/>
              <w:rPr>
                <w:sz w:val="14"/>
              </w:rPr>
            </w:pPr>
            <w:r>
              <w:rPr>
                <w:color w:val="231F20"/>
                <w:sz w:val="14"/>
              </w:rPr>
              <w:t>Именице,</w:t>
            </w:r>
            <w:r>
              <w:rPr>
                <w:color w:val="231F20"/>
                <w:spacing w:val="-8"/>
                <w:sz w:val="14"/>
              </w:rPr>
              <w:t xml:space="preserve"> </w:t>
            </w:r>
            <w:r>
              <w:rPr>
                <w:color w:val="231F20"/>
                <w:sz w:val="14"/>
              </w:rPr>
              <w:t>придеви,</w:t>
            </w:r>
            <w:r>
              <w:rPr>
                <w:color w:val="231F20"/>
                <w:spacing w:val="-8"/>
                <w:sz w:val="14"/>
              </w:rPr>
              <w:t xml:space="preserve"> </w:t>
            </w:r>
            <w:r>
              <w:rPr>
                <w:color w:val="231F20"/>
                <w:sz w:val="14"/>
              </w:rPr>
              <w:t>заменице</w:t>
            </w:r>
            <w:r>
              <w:rPr>
                <w:color w:val="231F20"/>
                <w:spacing w:val="-8"/>
                <w:sz w:val="14"/>
              </w:rPr>
              <w:t xml:space="preserve"> </w:t>
            </w:r>
            <w:r>
              <w:rPr>
                <w:color w:val="231F20"/>
                <w:sz w:val="14"/>
              </w:rPr>
              <w:t>(њихове</w:t>
            </w:r>
            <w:r>
              <w:rPr>
                <w:color w:val="231F20"/>
                <w:spacing w:val="-7"/>
                <w:sz w:val="14"/>
              </w:rPr>
              <w:t xml:space="preserve"> </w:t>
            </w:r>
            <w:r>
              <w:rPr>
                <w:color w:val="231F20"/>
                <w:sz w:val="14"/>
              </w:rPr>
              <w:t>гра­ матичке категорије), бројеви (укључујући бројне именице и бројне</w:t>
            </w:r>
            <w:r>
              <w:rPr>
                <w:color w:val="231F20"/>
                <w:spacing w:val="-5"/>
                <w:sz w:val="14"/>
              </w:rPr>
              <w:t xml:space="preserve"> </w:t>
            </w:r>
            <w:r>
              <w:rPr>
                <w:color w:val="231F20"/>
                <w:sz w:val="14"/>
              </w:rPr>
              <w:t>придеве).</w:t>
            </w:r>
          </w:p>
          <w:p w:rsidR="00041039" w:rsidRDefault="001B26CB">
            <w:pPr>
              <w:pStyle w:val="TableParagraph"/>
              <w:numPr>
                <w:ilvl w:val="0"/>
                <w:numId w:val="1605"/>
              </w:numPr>
              <w:tabs>
                <w:tab w:val="left" w:pos="158"/>
              </w:tabs>
              <w:spacing w:line="145" w:lineRule="exact"/>
              <w:jc w:val="both"/>
              <w:rPr>
                <w:sz w:val="14"/>
              </w:rPr>
            </w:pPr>
            <w:r>
              <w:rPr>
                <w:color w:val="231F20"/>
                <w:spacing w:val="-3"/>
                <w:sz w:val="14"/>
              </w:rPr>
              <w:t xml:space="preserve">Глаголи, </w:t>
            </w:r>
            <w:r>
              <w:rPr>
                <w:color w:val="231F20"/>
                <w:sz w:val="14"/>
              </w:rPr>
              <w:t>граматичке категорије</w:t>
            </w:r>
            <w:r>
              <w:rPr>
                <w:color w:val="231F20"/>
                <w:spacing w:val="-2"/>
                <w:sz w:val="14"/>
              </w:rPr>
              <w:t xml:space="preserve"> </w:t>
            </w:r>
            <w:r>
              <w:rPr>
                <w:color w:val="231F20"/>
                <w:spacing w:val="-3"/>
                <w:sz w:val="14"/>
              </w:rPr>
              <w:t>глагола.</w:t>
            </w:r>
          </w:p>
          <w:p w:rsidR="00041039" w:rsidRDefault="001B26CB">
            <w:pPr>
              <w:pStyle w:val="TableParagraph"/>
              <w:numPr>
                <w:ilvl w:val="0"/>
                <w:numId w:val="1605"/>
              </w:numPr>
              <w:tabs>
                <w:tab w:val="left" w:pos="158"/>
              </w:tabs>
              <w:spacing w:line="163" w:lineRule="exact"/>
              <w:jc w:val="both"/>
              <w:rPr>
                <w:sz w:val="14"/>
              </w:rPr>
            </w:pPr>
            <w:r>
              <w:rPr>
                <w:color w:val="231F20"/>
                <w:sz w:val="14"/>
              </w:rPr>
              <w:t>Прилози, предлози, везници, речце,</w:t>
            </w:r>
            <w:r>
              <w:rPr>
                <w:color w:val="231F20"/>
                <w:spacing w:val="-16"/>
                <w:sz w:val="14"/>
              </w:rPr>
              <w:t xml:space="preserve"> </w:t>
            </w:r>
            <w:r>
              <w:rPr>
                <w:color w:val="231F20"/>
                <w:sz w:val="14"/>
              </w:rPr>
              <w:t>узвици.</w:t>
            </w:r>
          </w:p>
        </w:tc>
        <w:tc>
          <w:tcPr>
            <w:tcW w:w="2267" w:type="dxa"/>
            <w:vMerge/>
            <w:tcBorders>
              <w:top w:val="nil"/>
            </w:tcBorders>
          </w:tcPr>
          <w:p w:rsidR="00041039" w:rsidRDefault="00041039">
            <w:pPr>
              <w:rPr>
                <w:sz w:val="2"/>
                <w:szCs w:val="2"/>
              </w:rPr>
            </w:pPr>
          </w:p>
        </w:tc>
      </w:tr>
      <w:tr w:rsidR="00041039">
        <w:trPr>
          <w:trHeight w:val="816"/>
        </w:trPr>
        <w:tc>
          <w:tcPr>
            <w:tcW w:w="1304" w:type="dxa"/>
          </w:tcPr>
          <w:p w:rsidR="00041039" w:rsidRDefault="001B26CB">
            <w:pPr>
              <w:pStyle w:val="TableParagraph"/>
              <w:spacing w:before="18"/>
              <w:ind w:left="57"/>
              <w:rPr>
                <w:sz w:val="14"/>
              </w:rPr>
            </w:pPr>
            <w:r>
              <w:rPr>
                <w:color w:val="231F20"/>
                <w:sz w:val="14"/>
              </w:rPr>
              <w:t>Правопис</w:t>
            </w:r>
          </w:p>
        </w:tc>
        <w:tc>
          <w:tcPr>
            <w:tcW w:w="1587" w:type="dxa"/>
          </w:tcPr>
          <w:p w:rsidR="00041039" w:rsidRDefault="001B26CB">
            <w:pPr>
              <w:pStyle w:val="TableParagraph"/>
              <w:numPr>
                <w:ilvl w:val="0"/>
                <w:numId w:val="1604"/>
              </w:numPr>
              <w:tabs>
                <w:tab w:val="left" w:pos="157"/>
              </w:tabs>
              <w:spacing w:before="13" w:line="230" w:lineRule="auto"/>
              <w:ind w:right="218" w:hanging="99"/>
              <w:rPr>
                <w:sz w:val="14"/>
              </w:rPr>
            </w:pPr>
            <w:r>
              <w:rPr>
                <w:color w:val="231F20"/>
                <w:sz w:val="14"/>
              </w:rPr>
              <w:t>Оспособљавање ученика да пишу у складу са правопис­ ном</w:t>
            </w:r>
            <w:r>
              <w:rPr>
                <w:color w:val="231F20"/>
                <w:spacing w:val="-1"/>
                <w:sz w:val="14"/>
              </w:rPr>
              <w:t xml:space="preserve"> </w:t>
            </w:r>
            <w:r>
              <w:rPr>
                <w:color w:val="231F20"/>
                <w:sz w:val="14"/>
              </w:rPr>
              <w:t>нормом.</w:t>
            </w:r>
          </w:p>
        </w:tc>
        <w:tc>
          <w:tcPr>
            <w:tcW w:w="2551" w:type="dxa"/>
          </w:tcPr>
          <w:p w:rsidR="00041039" w:rsidRDefault="001B26CB">
            <w:pPr>
              <w:pStyle w:val="TableParagraph"/>
              <w:numPr>
                <w:ilvl w:val="0"/>
                <w:numId w:val="1603"/>
              </w:numPr>
              <w:tabs>
                <w:tab w:val="left" w:pos="157"/>
              </w:tabs>
              <w:spacing w:before="13" w:line="230" w:lineRule="auto"/>
              <w:ind w:right="148" w:hanging="99"/>
              <w:rPr>
                <w:sz w:val="14"/>
              </w:rPr>
            </w:pPr>
            <w:r>
              <w:rPr>
                <w:color w:val="231F20"/>
                <w:sz w:val="14"/>
              </w:rPr>
              <w:t>примени правила одвојеног и састављеног писања речи у складу 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numPr>
                <w:ilvl w:val="0"/>
                <w:numId w:val="1602"/>
              </w:numPr>
              <w:tabs>
                <w:tab w:val="left" w:pos="158"/>
              </w:tabs>
              <w:spacing w:before="13" w:line="230" w:lineRule="auto"/>
              <w:ind w:right="248" w:firstLine="0"/>
              <w:rPr>
                <w:sz w:val="14"/>
              </w:rPr>
            </w:pPr>
            <w:r>
              <w:rPr>
                <w:color w:val="231F20"/>
                <w:sz w:val="14"/>
              </w:rPr>
              <w:t xml:space="preserve">Спојено и одвојено писање речи (писање бројева и изведеница </w:t>
            </w:r>
            <w:r>
              <w:rPr>
                <w:color w:val="231F20"/>
                <w:spacing w:val="-3"/>
                <w:sz w:val="14"/>
              </w:rPr>
              <w:t xml:space="preserve">од </w:t>
            </w:r>
            <w:r>
              <w:rPr>
                <w:color w:val="231F20"/>
                <w:sz w:val="14"/>
              </w:rPr>
              <w:t xml:space="preserve">њих, писање заменица и заменичких прилога, спојеви предлога и других речи, </w:t>
            </w:r>
            <w:r>
              <w:rPr>
                <w:color w:val="231F20"/>
                <w:spacing w:val="-3"/>
                <w:sz w:val="14"/>
              </w:rPr>
              <w:t xml:space="preserve">глаголи </w:t>
            </w:r>
            <w:r>
              <w:rPr>
                <w:color w:val="231F20"/>
                <w:sz w:val="14"/>
              </w:rPr>
              <w:t>и речце, писање</w:t>
            </w:r>
            <w:r>
              <w:rPr>
                <w:color w:val="231F20"/>
                <w:spacing w:val="-1"/>
                <w:sz w:val="14"/>
              </w:rPr>
              <w:t xml:space="preserve"> </w:t>
            </w:r>
            <w:r>
              <w:rPr>
                <w:color w:val="231F20"/>
                <w:sz w:val="14"/>
              </w:rPr>
              <w:t>негације).</w:t>
            </w:r>
          </w:p>
        </w:tc>
        <w:tc>
          <w:tcPr>
            <w:tcW w:w="2267" w:type="dxa"/>
            <w:vMerge/>
            <w:tcBorders>
              <w:top w:val="nil"/>
            </w:tcBorders>
          </w:tcPr>
          <w:p w:rsidR="00041039" w:rsidRDefault="00041039">
            <w:pPr>
              <w:rPr>
                <w:sz w:val="2"/>
                <w:szCs w:val="2"/>
              </w:rPr>
            </w:pPr>
          </w:p>
        </w:tc>
      </w:tr>
      <w:tr w:rsidR="00041039">
        <w:trPr>
          <w:trHeight w:val="1740"/>
        </w:trPr>
        <w:tc>
          <w:tcPr>
            <w:tcW w:w="1304" w:type="dxa"/>
          </w:tcPr>
          <w:p w:rsidR="00041039" w:rsidRDefault="001B26CB">
            <w:pPr>
              <w:pStyle w:val="TableParagraph"/>
              <w:spacing w:before="23" w:line="230" w:lineRule="auto"/>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1601"/>
              </w:numPr>
              <w:tabs>
                <w:tab w:val="left" w:pos="157"/>
              </w:tabs>
              <w:spacing w:before="13" w:line="230" w:lineRule="auto"/>
              <w:ind w:right="71" w:hanging="99"/>
              <w:rPr>
                <w:sz w:val="14"/>
              </w:rPr>
            </w:pPr>
            <w:r>
              <w:rPr>
                <w:color w:val="231F20"/>
                <w:sz w:val="14"/>
              </w:rPr>
              <w:t>Оспособљавање ученика да теоријска знања из граматике и правописа примењују у усменом и писаном изражавању у складу са језичком нормом, користе различите об­ лике казивања и</w:t>
            </w:r>
            <w:r>
              <w:rPr>
                <w:color w:val="231F20"/>
                <w:spacing w:val="-15"/>
                <w:sz w:val="14"/>
              </w:rPr>
              <w:t xml:space="preserve"> </w:t>
            </w:r>
            <w:r>
              <w:rPr>
                <w:color w:val="231F20"/>
                <w:sz w:val="14"/>
              </w:rPr>
              <w:t>функ­ ционалне</w:t>
            </w:r>
            <w:r>
              <w:rPr>
                <w:color w:val="231F20"/>
                <w:spacing w:val="-2"/>
                <w:sz w:val="14"/>
              </w:rPr>
              <w:t xml:space="preserve"> </w:t>
            </w:r>
            <w:r>
              <w:rPr>
                <w:color w:val="231F20"/>
                <w:sz w:val="14"/>
              </w:rPr>
              <w:t>стилове.</w:t>
            </w:r>
          </w:p>
        </w:tc>
        <w:tc>
          <w:tcPr>
            <w:tcW w:w="2551" w:type="dxa"/>
          </w:tcPr>
          <w:p w:rsidR="00041039" w:rsidRDefault="001B26CB">
            <w:pPr>
              <w:pStyle w:val="TableParagraph"/>
              <w:numPr>
                <w:ilvl w:val="0"/>
                <w:numId w:val="1600"/>
              </w:numPr>
              <w:tabs>
                <w:tab w:val="left" w:pos="158"/>
              </w:tabs>
              <w:spacing w:before="13" w:line="230" w:lineRule="auto"/>
              <w:ind w:right="189"/>
              <w:rPr>
                <w:sz w:val="14"/>
              </w:rPr>
            </w:pPr>
            <w:r>
              <w:rPr>
                <w:color w:val="231F20"/>
                <w:sz w:val="14"/>
              </w:rPr>
              <w:t>изражава размишљања и критички став п</w:t>
            </w:r>
            <w:r>
              <w:rPr>
                <w:color w:val="231F20"/>
                <w:sz w:val="14"/>
              </w:rPr>
              <w:t>рема проблемима и појавама у књижевним текстовима и</w:t>
            </w:r>
            <w:r>
              <w:rPr>
                <w:color w:val="231F20"/>
                <w:spacing w:val="-24"/>
                <w:sz w:val="14"/>
              </w:rPr>
              <w:t xml:space="preserve"> </w:t>
            </w:r>
            <w:r>
              <w:rPr>
                <w:color w:val="231F20"/>
                <w:sz w:val="14"/>
              </w:rPr>
              <w:t>свакоднев­ ном</w:t>
            </w:r>
            <w:r>
              <w:rPr>
                <w:color w:val="231F20"/>
                <w:spacing w:val="-1"/>
                <w:sz w:val="14"/>
              </w:rPr>
              <w:t xml:space="preserve"> </w:t>
            </w:r>
            <w:r>
              <w:rPr>
                <w:color w:val="231F20"/>
                <w:sz w:val="14"/>
              </w:rPr>
              <w:t>животу;</w:t>
            </w:r>
          </w:p>
          <w:p w:rsidR="00041039" w:rsidRDefault="001B26CB">
            <w:pPr>
              <w:pStyle w:val="TableParagraph"/>
              <w:numPr>
                <w:ilvl w:val="0"/>
                <w:numId w:val="1600"/>
              </w:numPr>
              <w:tabs>
                <w:tab w:val="left" w:pos="158"/>
              </w:tabs>
              <w:spacing w:line="150" w:lineRule="exact"/>
              <w:rPr>
                <w:sz w:val="14"/>
              </w:rPr>
            </w:pPr>
            <w:r>
              <w:rPr>
                <w:color w:val="231F20"/>
                <w:sz w:val="14"/>
              </w:rPr>
              <w:t>препозна одлике стручно ­</w:t>
            </w:r>
            <w:r>
              <w:rPr>
                <w:color w:val="231F20"/>
                <w:spacing w:val="-10"/>
                <w:sz w:val="14"/>
              </w:rPr>
              <w:t xml:space="preserve"> </w:t>
            </w:r>
            <w:r>
              <w:rPr>
                <w:color w:val="231F20"/>
                <w:sz w:val="14"/>
              </w:rPr>
              <w:t>научног</w:t>
            </w:r>
          </w:p>
          <w:p w:rsidR="00041039" w:rsidRDefault="001B26CB">
            <w:pPr>
              <w:pStyle w:val="TableParagraph"/>
              <w:spacing w:line="149" w:lineRule="exact"/>
              <w:ind w:left="157"/>
              <w:rPr>
                <w:sz w:val="14"/>
              </w:rPr>
            </w:pPr>
            <w:r>
              <w:rPr>
                <w:color w:val="231F20"/>
                <w:sz w:val="14"/>
              </w:rPr>
              <w:t>стила;</w:t>
            </w:r>
          </w:p>
          <w:p w:rsidR="00041039" w:rsidRDefault="001B26CB">
            <w:pPr>
              <w:pStyle w:val="TableParagraph"/>
              <w:numPr>
                <w:ilvl w:val="0"/>
                <w:numId w:val="1600"/>
              </w:numPr>
              <w:tabs>
                <w:tab w:val="left" w:pos="158"/>
              </w:tabs>
              <w:spacing w:line="163" w:lineRule="exact"/>
              <w:rPr>
                <w:sz w:val="14"/>
              </w:rPr>
            </w:pPr>
            <w:r>
              <w:rPr>
                <w:color w:val="231F20"/>
                <w:sz w:val="14"/>
              </w:rPr>
              <w:t>примени одлике новинарског</w:t>
            </w:r>
            <w:r>
              <w:rPr>
                <w:color w:val="231F20"/>
                <w:spacing w:val="-10"/>
                <w:sz w:val="14"/>
              </w:rPr>
              <w:t xml:space="preserve"> </w:t>
            </w:r>
            <w:r>
              <w:rPr>
                <w:color w:val="231F20"/>
                <w:sz w:val="14"/>
              </w:rPr>
              <w:t>стила;</w:t>
            </w:r>
          </w:p>
        </w:tc>
        <w:tc>
          <w:tcPr>
            <w:tcW w:w="2834" w:type="dxa"/>
          </w:tcPr>
          <w:p w:rsidR="00041039" w:rsidRDefault="001B26CB">
            <w:pPr>
              <w:pStyle w:val="TableParagraph"/>
              <w:numPr>
                <w:ilvl w:val="0"/>
                <w:numId w:val="1599"/>
              </w:numPr>
              <w:tabs>
                <w:tab w:val="left" w:pos="158"/>
              </w:tabs>
              <w:spacing w:before="8" w:line="163" w:lineRule="exact"/>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numPr>
                <w:ilvl w:val="0"/>
                <w:numId w:val="1599"/>
              </w:numPr>
              <w:tabs>
                <w:tab w:val="left" w:pos="158"/>
              </w:tabs>
              <w:spacing w:line="154" w:lineRule="exact"/>
              <w:rPr>
                <w:sz w:val="14"/>
              </w:rPr>
            </w:pPr>
            <w:r>
              <w:rPr>
                <w:color w:val="231F20"/>
                <w:sz w:val="14"/>
              </w:rPr>
              <w:t>Стилске</w:t>
            </w:r>
            <w:r>
              <w:rPr>
                <w:color w:val="231F20"/>
                <w:spacing w:val="-11"/>
                <w:sz w:val="14"/>
              </w:rPr>
              <w:t xml:space="preserve"> </w:t>
            </w:r>
            <w:r>
              <w:rPr>
                <w:color w:val="231F20"/>
                <w:sz w:val="14"/>
              </w:rPr>
              <w:t>вежбе.</w:t>
            </w:r>
          </w:p>
          <w:p w:rsidR="00041039" w:rsidRDefault="001B26CB">
            <w:pPr>
              <w:pStyle w:val="TableParagraph"/>
              <w:numPr>
                <w:ilvl w:val="0"/>
                <w:numId w:val="1599"/>
              </w:numPr>
              <w:tabs>
                <w:tab w:val="left" w:pos="158"/>
              </w:tabs>
              <w:spacing w:line="154" w:lineRule="exact"/>
              <w:rPr>
                <w:sz w:val="14"/>
              </w:rPr>
            </w:pPr>
            <w:r>
              <w:rPr>
                <w:color w:val="231F20"/>
                <w:sz w:val="14"/>
              </w:rPr>
              <w:t>Домаћи</w:t>
            </w:r>
            <w:r>
              <w:rPr>
                <w:color w:val="231F20"/>
                <w:spacing w:val="-12"/>
                <w:sz w:val="14"/>
              </w:rPr>
              <w:t xml:space="preserve"> </w:t>
            </w:r>
            <w:r>
              <w:rPr>
                <w:color w:val="231F20"/>
                <w:sz w:val="14"/>
              </w:rPr>
              <w:t>задаци.</w:t>
            </w:r>
          </w:p>
          <w:p w:rsidR="00041039" w:rsidRDefault="001B26CB">
            <w:pPr>
              <w:pStyle w:val="TableParagraph"/>
              <w:numPr>
                <w:ilvl w:val="0"/>
                <w:numId w:val="1599"/>
              </w:numPr>
              <w:tabs>
                <w:tab w:val="left" w:pos="158"/>
              </w:tabs>
              <w:spacing w:line="154" w:lineRule="exact"/>
              <w:rPr>
                <w:sz w:val="14"/>
              </w:rPr>
            </w:pPr>
            <w:r>
              <w:rPr>
                <w:color w:val="231F20"/>
                <w:sz w:val="14"/>
              </w:rPr>
              <w:t>Школски писмени задаци 4 x 2 +</w:t>
            </w:r>
            <w:r>
              <w:rPr>
                <w:color w:val="231F20"/>
                <w:spacing w:val="-10"/>
                <w:sz w:val="14"/>
              </w:rPr>
              <w:t xml:space="preserve"> </w:t>
            </w:r>
            <w:r>
              <w:rPr>
                <w:color w:val="231F20"/>
                <w:sz w:val="14"/>
              </w:rPr>
              <w:t>2.</w:t>
            </w:r>
          </w:p>
          <w:p w:rsidR="00041039" w:rsidRDefault="001B26CB">
            <w:pPr>
              <w:pStyle w:val="TableParagraph"/>
              <w:numPr>
                <w:ilvl w:val="0"/>
                <w:numId w:val="1599"/>
              </w:numPr>
              <w:tabs>
                <w:tab w:val="left" w:pos="156"/>
              </w:tabs>
              <w:spacing w:line="154" w:lineRule="exact"/>
              <w:ind w:left="155" w:hanging="98"/>
              <w:rPr>
                <w:sz w:val="14"/>
              </w:rPr>
            </w:pPr>
            <w:r>
              <w:rPr>
                <w:color w:val="231F20"/>
                <w:spacing w:val="-3"/>
                <w:sz w:val="14"/>
              </w:rPr>
              <w:t xml:space="preserve">Упознавање </w:t>
            </w:r>
            <w:r>
              <w:rPr>
                <w:color w:val="231F20"/>
                <w:sz w:val="14"/>
              </w:rPr>
              <w:t>са одликама новинарског</w:t>
            </w:r>
            <w:r>
              <w:rPr>
                <w:color w:val="231F20"/>
                <w:spacing w:val="-25"/>
                <w:sz w:val="14"/>
              </w:rPr>
              <w:t xml:space="preserve"> </w:t>
            </w:r>
            <w:r>
              <w:rPr>
                <w:color w:val="231F20"/>
                <w:sz w:val="14"/>
              </w:rPr>
              <w:t>стила.</w:t>
            </w:r>
          </w:p>
          <w:p w:rsidR="00041039" w:rsidRDefault="001B26CB">
            <w:pPr>
              <w:pStyle w:val="TableParagraph"/>
              <w:numPr>
                <w:ilvl w:val="0"/>
                <w:numId w:val="1599"/>
              </w:numPr>
              <w:tabs>
                <w:tab w:val="left" w:pos="158"/>
              </w:tabs>
              <w:spacing w:line="228" w:lineRule="auto"/>
              <w:ind w:right="124"/>
              <w:rPr>
                <w:sz w:val="14"/>
              </w:rPr>
            </w:pPr>
            <w:r>
              <w:rPr>
                <w:color w:val="231F20"/>
                <w:sz w:val="14"/>
              </w:rPr>
              <w:t>Писање вести, извештаја, интервјуа и дру­ гих облика новинарског</w:t>
            </w:r>
            <w:r>
              <w:rPr>
                <w:color w:val="231F20"/>
                <w:spacing w:val="-9"/>
                <w:sz w:val="14"/>
              </w:rPr>
              <w:t xml:space="preserve"> </w:t>
            </w:r>
            <w:r>
              <w:rPr>
                <w:color w:val="231F20"/>
                <w:sz w:val="14"/>
              </w:rPr>
              <w:t>изражавања.</w:t>
            </w:r>
          </w:p>
          <w:p w:rsidR="00041039" w:rsidRDefault="001B26CB">
            <w:pPr>
              <w:pStyle w:val="TableParagraph"/>
              <w:numPr>
                <w:ilvl w:val="0"/>
                <w:numId w:val="1599"/>
              </w:numPr>
              <w:tabs>
                <w:tab w:val="left" w:pos="158"/>
              </w:tabs>
              <w:spacing w:line="228" w:lineRule="auto"/>
              <w:ind w:right="92"/>
              <w:rPr>
                <w:sz w:val="14"/>
              </w:rPr>
            </w:pPr>
            <w:r>
              <w:rPr>
                <w:color w:val="231F20"/>
                <w:sz w:val="14"/>
              </w:rPr>
              <w:t>Упознавање</w:t>
            </w:r>
            <w:r>
              <w:rPr>
                <w:color w:val="231F20"/>
                <w:spacing w:val="-8"/>
                <w:sz w:val="14"/>
              </w:rPr>
              <w:t xml:space="preserve"> </w:t>
            </w:r>
            <w:r>
              <w:rPr>
                <w:color w:val="231F20"/>
                <w:sz w:val="14"/>
              </w:rPr>
              <w:t>са</w:t>
            </w:r>
            <w:r>
              <w:rPr>
                <w:color w:val="231F20"/>
                <w:spacing w:val="-8"/>
                <w:sz w:val="14"/>
              </w:rPr>
              <w:t xml:space="preserve"> </w:t>
            </w:r>
            <w:r>
              <w:rPr>
                <w:color w:val="231F20"/>
                <w:sz w:val="14"/>
              </w:rPr>
              <w:t>одликама</w:t>
            </w:r>
            <w:r>
              <w:rPr>
                <w:color w:val="231F20"/>
                <w:spacing w:val="-8"/>
                <w:sz w:val="14"/>
              </w:rPr>
              <w:t xml:space="preserve"> </w:t>
            </w:r>
            <w:r>
              <w:rPr>
                <w:color w:val="231F20"/>
                <w:sz w:val="14"/>
              </w:rPr>
              <w:t>стручно</w:t>
            </w:r>
            <w:r>
              <w:rPr>
                <w:color w:val="231F20"/>
                <w:spacing w:val="-8"/>
                <w:sz w:val="14"/>
              </w:rPr>
              <w:t xml:space="preserve"> </w:t>
            </w:r>
            <w:r>
              <w:rPr>
                <w:color w:val="231F20"/>
                <w:sz w:val="14"/>
              </w:rPr>
              <w:t>­</w:t>
            </w:r>
            <w:r>
              <w:rPr>
                <w:color w:val="231F20"/>
                <w:spacing w:val="-8"/>
                <w:sz w:val="14"/>
              </w:rPr>
              <w:t xml:space="preserve"> </w:t>
            </w:r>
            <w:r>
              <w:rPr>
                <w:color w:val="231F20"/>
                <w:sz w:val="14"/>
              </w:rPr>
              <w:t>научног стила.</w:t>
            </w:r>
          </w:p>
          <w:p w:rsidR="00041039" w:rsidRDefault="001B26CB">
            <w:pPr>
              <w:pStyle w:val="TableParagraph"/>
              <w:numPr>
                <w:ilvl w:val="0"/>
                <w:numId w:val="1599"/>
              </w:numPr>
              <w:tabs>
                <w:tab w:val="left" w:pos="158"/>
              </w:tabs>
              <w:spacing w:line="228" w:lineRule="auto"/>
              <w:ind w:right="282"/>
              <w:rPr>
                <w:sz w:val="14"/>
              </w:rPr>
            </w:pPr>
            <w:r>
              <w:rPr>
                <w:color w:val="231F20"/>
                <w:sz w:val="14"/>
              </w:rPr>
              <w:t>Милутин Миланковић: „Кроз васиону</w:t>
            </w:r>
            <w:r>
              <w:rPr>
                <w:color w:val="231F20"/>
                <w:spacing w:val="-19"/>
                <w:sz w:val="14"/>
              </w:rPr>
              <w:t xml:space="preserve"> </w:t>
            </w:r>
            <w:r>
              <w:rPr>
                <w:color w:val="231F20"/>
                <w:sz w:val="14"/>
              </w:rPr>
              <w:t>и векове”.</w:t>
            </w:r>
          </w:p>
        </w:tc>
        <w:tc>
          <w:tcPr>
            <w:tcW w:w="2267" w:type="dxa"/>
            <w:vMerge/>
            <w:tcBorders>
              <w:top w:val="nil"/>
            </w:tcBorders>
          </w:tcPr>
          <w:p w:rsidR="00041039" w:rsidRDefault="00041039">
            <w:pPr>
              <w:rPr>
                <w:sz w:val="2"/>
                <w:szCs w:val="2"/>
              </w:rPr>
            </w:pPr>
          </w:p>
        </w:tc>
      </w:tr>
    </w:tbl>
    <w:p w:rsidR="00041039" w:rsidRDefault="00041039">
      <w:pPr>
        <w:pStyle w:val="BodyText"/>
        <w:spacing w:before="5"/>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3"/>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240"/>
        </w:trPr>
        <w:tc>
          <w:tcPr>
            <w:tcW w:w="1304" w:type="dxa"/>
          </w:tcPr>
          <w:p w:rsidR="00041039" w:rsidRDefault="001B26CB">
            <w:pPr>
              <w:pStyle w:val="TableParagraph"/>
              <w:spacing w:before="18"/>
              <w:ind w:left="56"/>
              <w:rPr>
                <w:sz w:val="14"/>
              </w:rPr>
            </w:pPr>
            <w:r>
              <w:rPr>
                <w:color w:val="231F20"/>
                <w:sz w:val="14"/>
              </w:rPr>
              <w:t>Модерна</w:t>
            </w:r>
          </w:p>
        </w:tc>
        <w:tc>
          <w:tcPr>
            <w:tcW w:w="1587" w:type="dxa"/>
          </w:tcPr>
          <w:p w:rsidR="00041039" w:rsidRDefault="001B26CB">
            <w:pPr>
              <w:pStyle w:val="TableParagraph"/>
              <w:numPr>
                <w:ilvl w:val="0"/>
                <w:numId w:val="1598"/>
              </w:numPr>
              <w:tabs>
                <w:tab w:val="left" w:pos="157"/>
              </w:tabs>
              <w:spacing w:before="8"/>
              <w:ind w:right="105"/>
              <w:rPr>
                <w:sz w:val="14"/>
              </w:rPr>
            </w:pPr>
            <w:r>
              <w:rPr>
                <w:color w:val="231F20"/>
                <w:sz w:val="14"/>
              </w:rPr>
              <w:t>Упознавање са основ­ ним одликама</w:t>
            </w:r>
            <w:r>
              <w:rPr>
                <w:color w:val="231F20"/>
                <w:spacing w:val="-16"/>
                <w:sz w:val="14"/>
              </w:rPr>
              <w:t xml:space="preserve"> </w:t>
            </w:r>
            <w:r>
              <w:rPr>
                <w:color w:val="231F20"/>
                <w:sz w:val="14"/>
              </w:rPr>
              <w:t>правца, представницима и њиховим</w:t>
            </w:r>
            <w:r>
              <w:rPr>
                <w:color w:val="231F20"/>
                <w:spacing w:val="-1"/>
                <w:sz w:val="14"/>
              </w:rPr>
              <w:t xml:space="preserve"> </w:t>
            </w:r>
            <w:r>
              <w:rPr>
                <w:color w:val="231F20"/>
                <w:sz w:val="14"/>
              </w:rPr>
              <w:t>делима.</w:t>
            </w:r>
          </w:p>
        </w:tc>
        <w:tc>
          <w:tcPr>
            <w:tcW w:w="2551" w:type="dxa"/>
          </w:tcPr>
          <w:p w:rsidR="00041039" w:rsidRDefault="001B26CB">
            <w:pPr>
              <w:pStyle w:val="TableParagraph"/>
              <w:numPr>
                <w:ilvl w:val="0"/>
                <w:numId w:val="1597"/>
              </w:numPr>
              <w:tabs>
                <w:tab w:val="left" w:pos="157"/>
              </w:tabs>
              <w:spacing w:before="8"/>
              <w:ind w:right="111" w:hanging="99"/>
              <w:rPr>
                <w:sz w:val="14"/>
              </w:rPr>
            </w:pPr>
            <w:r>
              <w:rPr>
                <w:color w:val="231F20"/>
                <w:sz w:val="14"/>
              </w:rPr>
              <w:t>наведе одлике правца, представнике</w:t>
            </w:r>
            <w:r>
              <w:rPr>
                <w:color w:val="231F20"/>
                <w:spacing w:val="-25"/>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1597"/>
              </w:numPr>
              <w:tabs>
                <w:tab w:val="left" w:pos="157"/>
              </w:tabs>
              <w:spacing w:line="160" w:lineRule="exact"/>
              <w:ind w:right="328" w:hanging="99"/>
              <w:rPr>
                <w:sz w:val="14"/>
              </w:rPr>
            </w:pPr>
            <w:r>
              <w:rPr>
                <w:color w:val="231F20"/>
                <w:sz w:val="14"/>
              </w:rPr>
              <w:t>уочи и тумачи модерне елементе</w:t>
            </w:r>
            <w:r>
              <w:rPr>
                <w:color w:val="231F20"/>
                <w:spacing w:val="-24"/>
                <w:sz w:val="14"/>
              </w:rPr>
              <w:t xml:space="preserve"> </w:t>
            </w:r>
            <w:r>
              <w:rPr>
                <w:color w:val="231F20"/>
                <w:sz w:val="14"/>
              </w:rPr>
              <w:t>у изразу и форми књижевног</w:t>
            </w:r>
            <w:r>
              <w:rPr>
                <w:color w:val="231F20"/>
                <w:spacing w:val="-9"/>
                <w:sz w:val="14"/>
              </w:rPr>
              <w:t xml:space="preserve"> </w:t>
            </w:r>
            <w:r>
              <w:rPr>
                <w:color w:val="231F20"/>
                <w:sz w:val="14"/>
              </w:rPr>
              <w:t>дела;</w:t>
            </w:r>
          </w:p>
          <w:p w:rsidR="00041039" w:rsidRDefault="001B26CB">
            <w:pPr>
              <w:pStyle w:val="TableParagraph"/>
              <w:numPr>
                <w:ilvl w:val="0"/>
                <w:numId w:val="1597"/>
              </w:numPr>
              <w:tabs>
                <w:tab w:val="left" w:pos="157"/>
              </w:tabs>
              <w:spacing w:line="160" w:lineRule="exact"/>
              <w:ind w:right="413" w:hanging="99"/>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834" w:type="dxa"/>
          </w:tcPr>
          <w:p w:rsidR="00041039" w:rsidRDefault="001B26CB">
            <w:pPr>
              <w:pStyle w:val="TableParagraph"/>
              <w:numPr>
                <w:ilvl w:val="0"/>
                <w:numId w:val="1596"/>
              </w:numPr>
              <w:tabs>
                <w:tab w:val="left" w:pos="157"/>
              </w:tabs>
              <w:spacing w:before="8"/>
              <w:ind w:right="480" w:hanging="99"/>
              <w:rPr>
                <w:sz w:val="14"/>
              </w:rPr>
            </w:pPr>
            <w:r>
              <w:rPr>
                <w:color w:val="231F20"/>
                <w:sz w:val="14"/>
              </w:rPr>
              <w:t>Модерна у европској и српској књижевности. Одлике симболизма</w:t>
            </w:r>
            <w:r>
              <w:rPr>
                <w:color w:val="231F20"/>
                <w:spacing w:val="-12"/>
                <w:sz w:val="14"/>
              </w:rPr>
              <w:t xml:space="preserve"> </w:t>
            </w:r>
            <w:r>
              <w:rPr>
                <w:color w:val="231F20"/>
                <w:sz w:val="14"/>
              </w:rPr>
              <w:t>и импресионизма.</w:t>
            </w:r>
          </w:p>
          <w:p w:rsidR="00041039" w:rsidRDefault="001B26CB">
            <w:pPr>
              <w:pStyle w:val="TableParagraph"/>
              <w:numPr>
                <w:ilvl w:val="0"/>
                <w:numId w:val="1596"/>
              </w:numPr>
              <w:tabs>
                <w:tab w:val="left" w:pos="157"/>
              </w:tabs>
              <w:spacing w:line="152" w:lineRule="exact"/>
              <w:ind w:hanging="99"/>
              <w:rPr>
                <w:sz w:val="14"/>
              </w:rPr>
            </w:pPr>
            <w:r>
              <w:rPr>
                <w:color w:val="231F20"/>
                <w:sz w:val="14"/>
              </w:rPr>
              <w:t>Шарл Бодлер:</w:t>
            </w:r>
            <w:r>
              <w:rPr>
                <w:color w:val="231F20"/>
                <w:spacing w:val="-2"/>
                <w:sz w:val="14"/>
              </w:rPr>
              <w:t xml:space="preserve"> </w:t>
            </w:r>
            <w:r>
              <w:rPr>
                <w:color w:val="231F20"/>
                <w:sz w:val="14"/>
              </w:rPr>
              <w:t>„Албатрос”.</w:t>
            </w:r>
          </w:p>
          <w:p w:rsidR="00041039" w:rsidRDefault="001B26CB">
            <w:pPr>
              <w:pStyle w:val="TableParagraph"/>
              <w:numPr>
                <w:ilvl w:val="0"/>
                <w:numId w:val="1596"/>
              </w:numPr>
              <w:tabs>
                <w:tab w:val="left" w:pos="157"/>
              </w:tabs>
              <w:spacing w:line="160" w:lineRule="exact"/>
              <w:ind w:hanging="99"/>
              <w:rPr>
                <w:sz w:val="14"/>
              </w:rPr>
            </w:pPr>
            <w:r>
              <w:rPr>
                <w:color w:val="231F20"/>
                <w:sz w:val="14"/>
              </w:rPr>
              <w:t>А. П. Чехов: „Ујка</w:t>
            </w:r>
            <w:r>
              <w:rPr>
                <w:color w:val="231F20"/>
                <w:spacing w:val="-4"/>
                <w:sz w:val="14"/>
              </w:rPr>
              <w:t xml:space="preserve"> </w:t>
            </w:r>
            <w:r>
              <w:rPr>
                <w:color w:val="231F20"/>
                <w:sz w:val="14"/>
              </w:rPr>
              <w:t>Вања”.</w:t>
            </w:r>
          </w:p>
          <w:p w:rsidR="00041039" w:rsidRDefault="001B26CB">
            <w:pPr>
              <w:pStyle w:val="TableParagraph"/>
              <w:numPr>
                <w:ilvl w:val="0"/>
                <w:numId w:val="1596"/>
              </w:numPr>
              <w:tabs>
                <w:tab w:val="left" w:pos="157"/>
              </w:tabs>
              <w:spacing w:line="237" w:lineRule="auto"/>
              <w:ind w:right="201" w:hanging="99"/>
              <w:rPr>
                <w:sz w:val="14"/>
              </w:rPr>
            </w:pPr>
            <w:r>
              <w:rPr>
                <w:color w:val="231F20"/>
                <w:sz w:val="14"/>
              </w:rPr>
              <w:t>Богдан</w:t>
            </w:r>
            <w:r>
              <w:rPr>
                <w:color w:val="231F20"/>
                <w:spacing w:val="-10"/>
                <w:sz w:val="14"/>
              </w:rPr>
              <w:t xml:space="preserve"> </w:t>
            </w:r>
            <w:r>
              <w:rPr>
                <w:color w:val="231F20"/>
                <w:sz w:val="14"/>
              </w:rPr>
              <w:t>Поповић:</w:t>
            </w:r>
            <w:r>
              <w:rPr>
                <w:color w:val="231F20"/>
                <w:spacing w:val="-11"/>
                <w:sz w:val="14"/>
              </w:rPr>
              <w:t xml:space="preserve"> </w:t>
            </w:r>
            <w:r>
              <w:rPr>
                <w:color w:val="231F20"/>
                <w:sz w:val="14"/>
              </w:rPr>
              <w:t>„Предговор</w:t>
            </w:r>
            <w:r>
              <w:rPr>
                <w:color w:val="231F20"/>
                <w:spacing w:val="-10"/>
                <w:sz w:val="14"/>
              </w:rPr>
              <w:t xml:space="preserve"> </w:t>
            </w:r>
            <w:r>
              <w:rPr>
                <w:color w:val="231F20"/>
                <w:sz w:val="14"/>
              </w:rPr>
              <w:t>Антологији новије српске</w:t>
            </w:r>
            <w:r>
              <w:rPr>
                <w:color w:val="231F20"/>
                <w:spacing w:val="-2"/>
                <w:sz w:val="14"/>
              </w:rPr>
              <w:t xml:space="preserve"> </w:t>
            </w:r>
            <w:r>
              <w:rPr>
                <w:color w:val="231F20"/>
                <w:sz w:val="14"/>
              </w:rPr>
              <w:t>лирике”.</w:t>
            </w:r>
          </w:p>
          <w:p w:rsidR="00041039" w:rsidRDefault="001B26CB">
            <w:pPr>
              <w:pStyle w:val="TableParagraph"/>
              <w:numPr>
                <w:ilvl w:val="0"/>
                <w:numId w:val="1596"/>
              </w:numPr>
              <w:tabs>
                <w:tab w:val="left" w:pos="157"/>
              </w:tabs>
              <w:spacing w:line="160" w:lineRule="exact"/>
              <w:ind w:hanging="99"/>
              <w:rPr>
                <w:sz w:val="14"/>
              </w:rPr>
            </w:pPr>
            <w:r>
              <w:rPr>
                <w:color w:val="231F20"/>
                <w:sz w:val="14"/>
              </w:rPr>
              <w:t>Алекса Шантић: „Претпразничко</w:t>
            </w:r>
            <w:r>
              <w:rPr>
                <w:color w:val="231F20"/>
                <w:spacing w:val="-5"/>
                <w:sz w:val="14"/>
              </w:rPr>
              <w:t xml:space="preserve"> </w:t>
            </w:r>
            <w:r>
              <w:rPr>
                <w:color w:val="231F20"/>
                <w:sz w:val="14"/>
              </w:rPr>
              <w:t>вече”,</w:t>
            </w:r>
          </w:p>
          <w:p w:rsidR="00041039" w:rsidRDefault="001B26CB">
            <w:pPr>
              <w:pStyle w:val="TableParagraph"/>
              <w:spacing w:line="155" w:lineRule="exact"/>
              <w:rPr>
                <w:sz w:val="14"/>
              </w:rPr>
            </w:pPr>
            <w:r>
              <w:rPr>
                <w:color w:val="231F20"/>
                <w:sz w:val="14"/>
              </w:rPr>
              <w:t>„Вече на шкољу”.</w:t>
            </w:r>
          </w:p>
          <w:p w:rsidR="00041039" w:rsidRDefault="001B26CB">
            <w:pPr>
              <w:pStyle w:val="TableParagraph"/>
              <w:numPr>
                <w:ilvl w:val="0"/>
                <w:numId w:val="1596"/>
              </w:numPr>
              <w:tabs>
                <w:tab w:val="left" w:pos="157"/>
              </w:tabs>
              <w:spacing w:line="237" w:lineRule="auto"/>
              <w:ind w:right="248" w:hanging="99"/>
              <w:rPr>
                <w:sz w:val="14"/>
              </w:rPr>
            </w:pPr>
            <w:r>
              <w:rPr>
                <w:color w:val="231F20"/>
                <w:sz w:val="14"/>
              </w:rPr>
              <w:t>Јован Дучић: „Благо цара Радована”</w:t>
            </w:r>
            <w:r>
              <w:rPr>
                <w:color w:val="231F20"/>
                <w:spacing w:val="-25"/>
                <w:sz w:val="14"/>
              </w:rPr>
              <w:t xml:space="preserve"> </w:t>
            </w:r>
            <w:r>
              <w:rPr>
                <w:color w:val="231F20"/>
                <w:sz w:val="14"/>
              </w:rPr>
              <w:t>(из­ бор),</w:t>
            </w:r>
            <w:r>
              <w:rPr>
                <w:color w:val="231F20"/>
                <w:spacing w:val="-1"/>
                <w:sz w:val="14"/>
              </w:rPr>
              <w:t xml:space="preserve"> </w:t>
            </w:r>
            <w:r>
              <w:rPr>
                <w:color w:val="231F20"/>
                <w:sz w:val="14"/>
              </w:rPr>
              <w:t>„Јабланови”.</w:t>
            </w:r>
          </w:p>
          <w:p w:rsidR="00041039" w:rsidRDefault="001B26CB">
            <w:pPr>
              <w:pStyle w:val="TableParagraph"/>
              <w:numPr>
                <w:ilvl w:val="0"/>
                <w:numId w:val="1596"/>
              </w:numPr>
              <w:tabs>
                <w:tab w:val="left" w:pos="157"/>
              </w:tabs>
              <w:spacing w:line="155" w:lineRule="exact"/>
              <w:ind w:hanging="99"/>
              <w:rPr>
                <w:sz w:val="14"/>
              </w:rPr>
            </w:pPr>
            <w:r>
              <w:rPr>
                <w:color w:val="231F20"/>
                <w:sz w:val="14"/>
              </w:rPr>
              <w:t>Милан Ракић „Долап”, „Искрена</w:t>
            </w:r>
            <w:r>
              <w:rPr>
                <w:color w:val="231F20"/>
                <w:spacing w:val="-8"/>
                <w:sz w:val="14"/>
              </w:rPr>
              <w:t xml:space="preserve"> </w:t>
            </w:r>
            <w:r>
              <w:rPr>
                <w:color w:val="231F20"/>
                <w:sz w:val="14"/>
              </w:rPr>
              <w:t>песма”.</w:t>
            </w:r>
          </w:p>
          <w:p w:rsidR="00041039" w:rsidRDefault="001B26CB">
            <w:pPr>
              <w:pStyle w:val="TableParagraph"/>
              <w:numPr>
                <w:ilvl w:val="0"/>
                <w:numId w:val="1596"/>
              </w:numPr>
              <w:tabs>
                <w:tab w:val="left" w:pos="157"/>
              </w:tabs>
              <w:spacing w:line="160" w:lineRule="exact"/>
              <w:ind w:hanging="99"/>
              <w:rPr>
                <w:sz w:val="14"/>
              </w:rPr>
            </w:pPr>
            <w:r>
              <w:rPr>
                <w:color w:val="231F20"/>
                <w:sz w:val="14"/>
              </w:rPr>
              <w:t>В. П. Дис: „Тамница”, „Можда</w:t>
            </w:r>
            <w:r>
              <w:rPr>
                <w:color w:val="231F20"/>
                <w:spacing w:val="-12"/>
                <w:sz w:val="14"/>
              </w:rPr>
              <w:t xml:space="preserve"> </w:t>
            </w:r>
            <w:r>
              <w:rPr>
                <w:color w:val="231F20"/>
                <w:sz w:val="14"/>
              </w:rPr>
              <w:t>спава”.</w:t>
            </w:r>
          </w:p>
          <w:p w:rsidR="00041039" w:rsidRDefault="001B26CB">
            <w:pPr>
              <w:pStyle w:val="TableParagraph"/>
              <w:numPr>
                <w:ilvl w:val="0"/>
                <w:numId w:val="1596"/>
              </w:numPr>
              <w:tabs>
                <w:tab w:val="left" w:pos="157"/>
              </w:tabs>
              <w:spacing w:line="160" w:lineRule="exact"/>
              <w:ind w:hanging="99"/>
              <w:rPr>
                <w:sz w:val="14"/>
              </w:rPr>
            </w:pPr>
            <w:r>
              <w:rPr>
                <w:color w:val="231F20"/>
                <w:sz w:val="14"/>
              </w:rPr>
              <w:t>Сима Пандуровић:</w:t>
            </w:r>
            <w:r>
              <w:rPr>
                <w:color w:val="231F20"/>
                <w:spacing w:val="-3"/>
                <w:sz w:val="14"/>
              </w:rPr>
              <w:t xml:space="preserve"> </w:t>
            </w:r>
            <w:r>
              <w:rPr>
                <w:color w:val="231F20"/>
                <w:sz w:val="14"/>
              </w:rPr>
              <w:t>„Светковина”.</w:t>
            </w:r>
          </w:p>
          <w:p w:rsidR="00041039" w:rsidRDefault="001B26CB">
            <w:pPr>
              <w:pStyle w:val="TableParagraph"/>
              <w:numPr>
                <w:ilvl w:val="0"/>
                <w:numId w:val="1596"/>
              </w:numPr>
              <w:tabs>
                <w:tab w:val="left" w:pos="157"/>
              </w:tabs>
              <w:spacing w:line="237" w:lineRule="auto"/>
              <w:ind w:right="63" w:hanging="99"/>
              <w:rPr>
                <w:sz w:val="14"/>
              </w:rPr>
            </w:pPr>
            <w:r>
              <w:rPr>
                <w:color w:val="231F20"/>
                <w:sz w:val="14"/>
              </w:rPr>
              <w:t>Бора Станковић: „Нечиста крв”.</w:t>
            </w:r>
            <w:r>
              <w:rPr>
                <w:color w:val="231F20"/>
                <w:spacing w:val="-21"/>
                <w:sz w:val="14"/>
              </w:rPr>
              <w:t xml:space="preserve"> </w:t>
            </w:r>
            <w:r>
              <w:rPr>
                <w:color w:val="231F20"/>
                <w:sz w:val="14"/>
              </w:rPr>
              <w:t>„Коштана” или „Божји људи” (приповетка по</w:t>
            </w:r>
            <w:r>
              <w:rPr>
                <w:color w:val="231F20"/>
                <w:spacing w:val="-22"/>
                <w:sz w:val="14"/>
              </w:rPr>
              <w:t xml:space="preserve"> </w:t>
            </w:r>
            <w:r>
              <w:rPr>
                <w:color w:val="231F20"/>
                <w:sz w:val="14"/>
              </w:rPr>
              <w:t>избору).</w:t>
            </w:r>
          </w:p>
          <w:p w:rsidR="00041039" w:rsidRDefault="001B26CB">
            <w:pPr>
              <w:pStyle w:val="TableParagraph"/>
              <w:numPr>
                <w:ilvl w:val="0"/>
                <w:numId w:val="1596"/>
              </w:numPr>
              <w:tabs>
                <w:tab w:val="left" w:pos="157"/>
              </w:tabs>
              <w:spacing w:line="160" w:lineRule="exact"/>
              <w:ind w:right="218" w:hanging="99"/>
              <w:rPr>
                <w:sz w:val="14"/>
              </w:rPr>
            </w:pPr>
            <w:r>
              <w:rPr>
                <w:color w:val="231F20"/>
                <w:sz w:val="14"/>
              </w:rPr>
              <w:t>Јован Скерлић: „О Коштани” или</w:t>
            </w:r>
            <w:r>
              <w:rPr>
                <w:color w:val="231F20"/>
                <w:spacing w:val="-25"/>
                <w:sz w:val="14"/>
              </w:rPr>
              <w:t xml:space="preserve"> </w:t>
            </w:r>
            <w:r>
              <w:rPr>
                <w:color w:val="231F20"/>
                <w:sz w:val="14"/>
              </w:rPr>
              <w:t>„Божји људи”.</w:t>
            </w:r>
          </w:p>
          <w:p w:rsidR="00041039" w:rsidRDefault="001B26CB">
            <w:pPr>
              <w:pStyle w:val="TableParagraph"/>
              <w:numPr>
                <w:ilvl w:val="0"/>
                <w:numId w:val="1596"/>
              </w:numPr>
              <w:tabs>
                <w:tab w:val="left" w:pos="157"/>
              </w:tabs>
              <w:spacing w:line="160" w:lineRule="exact"/>
              <w:ind w:right="144" w:hanging="99"/>
              <w:rPr>
                <w:sz w:val="14"/>
              </w:rPr>
            </w:pPr>
            <w:r>
              <w:rPr>
                <w:color w:val="231F20"/>
                <w:sz w:val="14"/>
              </w:rPr>
              <w:t>Петар</w:t>
            </w:r>
            <w:r>
              <w:rPr>
                <w:color w:val="231F20"/>
                <w:spacing w:val="-6"/>
                <w:sz w:val="14"/>
              </w:rPr>
              <w:t xml:space="preserve"> </w:t>
            </w:r>
            <w:r>
              <w:rPr>
                <w:color w:val="231F20"/>
                <w:sz w:val="14"/>
              </w:rPr>
              <w:t>Кочић:</w:t>
            </w:r>
            <w:r>
              <w:rPr>
                <w:color w:val="231F20"/>
                <w:spacing w:val="-6"/>
                <w:sz w:val="14"/>
              </w:rPr>
              <w:t xml:space="preserve"> </w:t>
            </w:r>
            <w:r>
              <w:rPr>
                <w:color w:val="231F20"/>
                <w:sz w:val="14"/>
              </w:rPr>
              <w:t>„Мрачајски</w:t>
            </w:r>
            <w:r>
              <w:rPr>
                <w:color w:val="231F20"/>
                <w:spacing w:val="-6"/>
                <w:sz w:val="14"/>
              </w:rPr>
              <w:t xml:space="preserve"> </w:t>
            </w:r>
            <w:r>
              <w:rPr>
                <w:color w:val="231F20"/>
                <w:sz w:val="14"/>
              </w:rPr>
              <w:t>прото”</w:t>
            </w:r>
            <w:r>
              <w:rPr>
                <w:color w:val="231F20"/>
                <w:spacing w:val="-6"/>
                <w:sz w:val="14"/>
              </w:rPr>
              <w:t xml:space="preserve"> </w:t>
            </w:r>
            <w:r>
              <w:rPr>
                <w:color w:val="231F20"/>
                <w:sz w:val="14"/>
              </w:rPr>
              <w:t>или</w:t>
            </w:r>
            <w:r>
              <w:rPr>
                <w:color w:val="231F20"/>
                <w:spacing w:val="-7"/>
                <w:sz w:val="14"/>
              </w:rPr>
              <w:t xml:space="preserve"> </w:t>
            </w:r>
            <w:r>
              <w:rPr>
                <w:color w:val="231F20"/>
                <w:sz w:val="14"/>
              </w:rPr>
              <w:t>при­ поветка по</w:t>
            </w:r>
            <w:r>
              <w:rPr>
                <w:color w:val="231F20"/>
                <w:spacing w:val="-2"/>
                <w:sz w:val="14"/>
              </w:rPr>
              <w:t xml:space="preserve"> </w:t>
            </w:r>
            <w:r>
              <w:rPr>
                <w:color w:val="231F20"/>
                <w:spacing w:val="-3"/>
                <w:sz w:val="14"/>
              </w:rPr>
              <w:t>избору.</w:t>
            </w:r>
          </w:p>
        </w:tc>
        <w:tc>
          <w:tcPr>
            <w:tcW w:w="2267" w:type="dxa"/>
          </w:tcPr>
          <w:p w:rsidR="00041039" w:rsidRDefault="001B26CB">
            <w:pPr>
              <w:pStyle w:val="TableParagraph"/>
              <w:numPr>
                <w:ilvl w:val="0"/>
                <w:numId w:val="1595"/>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595"/>
              </w:numPr>
              <w:tabs>
                <w:tab w:val="left" w:pos="158"/>
              </w:tabs>
              <w:spacing w:line="160" w:lineRule="exact"/>
              <w:ind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595"/>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40"/>
        </w:trPr>
        <w:tc>
          <w:tcPr>
            <w:tcW w:w="1304" w:type="dxa"/>
          </w:tcPr>
          <w:p w:rsidR="00041039" w:rsidRDefault="001B26CB">
            <w:pPr>
              <w:pStyle w:val="TableParagraph"/>
              <w:spacing w:before="18"/>
              <w:ind w:left="56" w:right="174"/>
              <w:rPr>
                <w:sz w:val="14"/>
              </w:rPr>
            </w:pPr>
            <w:r>
              <w:rPr>
                <w:color w:val="231F20"/>
                <w:sz w:val="14"/>
              </w:rPr>
              <w:lastRenderedPageBreak/>
              <w:t>Књижевност између два рата</w:t>
            </w:r>
          </w:p>
        </w:tc>
        <w:tc>
          <w:tcPr>
            <w:tcW w:w="1587" w:type="dxa"/>
          </w:tcPr>
          <w:p w:rsidR="00041039" w:rsidRDefault="001B26CB">
            <w:pPr>
              <w:pStyle w:val="TableParagraph"/>
              <w:numPr>
                <w:ilvl w:val="0"/>
                <w:numId w:val="1594"/>
              </w:numPr>
              <w:tabs>
                <w:tab w:val="left" w:pos="157"/>
              </w:tabs>
              <w:spacing w:before="8"/>
              <w:ind w:right="47"/>
              <w:rPr>
                <w:sz w:val="14"/>
              </w:rPr>
            </w:pPr>
            <w:r>
              <w:rPr>
                <w:color w:val="231F20"/>
                <w:sz w:val="14"/>
              </w:rPr>
              <w:t>Упознавање ученика са одликама</w:t>
            </w:r>
            <w:r>
              <w:rPr>
                <w:color w:val="231F20"/>
                <w:spacing w:val="-14"/>
                <w:sz w:val="14"/>
              </w:rPr>
              <w:t xml:space="preserve"> </w:t>
            </w:r>
            <w:r>
              <w:rPr>
                <w:color w:val="231F20"/>
                <w:sz w:val="14"/>
              </w:rPr>
              <w:t>међуратне књижевности. предс­ тавницима и</w:t>
            </w:r>
            <w:r>
              <w:rPr>
                <w:color w:val="231F20"/>
                <w:spacing w:val="-2"/>
                <w:sz w:val="14"/>
              </w:rPr>
              <w:t xml:space="preserve"> </w:t>
            </w:r>
            <w:r>
              <w:rPr>
                <w:color w:val="231F20"/>
                <w:sz w:val="14"/>
              </w:rPr>
              <w:t>делима.</w:t>
            </w:r>
          </w:p>
        </w:tc>
        <w:tc>
          <w:tcPr>
            <w:tcW w:w="2551" w:type="dxa"/>
          </w:tcPr>
          <w:p w:rsidR="00041039" w:rsidRDefault="001B26CB">
            <w:pPr>
              <w:pStyle w:val="TableParagraph"/>
              <w:numPr>
                <w:ilvl w:val="0"/>
                <w:numId w:val="1593"/>
              </w:numPr>
              <w:tabs>
                <w:tab w:val="left" w:pos="157"/>
              </w:tabs>
              <w:spacing w:before="8"/>
              <w:ind w:right="50" w:hanging="99"/>
              <w:rPr>
                <w:sz w:val="14"/>
              </w:rPr>
            </w:pPr>
            <w:r>
              <w:rPr>
                <w:color w:val="231F20"/>
                <w:sz w:val="14"/>
              </w:rPr>
              <w:t>наведе одлике праваца, представнике</w:t>
            </w:r>
            <w:r>
              <w:rPr>
                <w:color w:val="231F20"/>
                <w:spacing w:val="-24"/>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1593"/>
              </w:numPr>
              <w:tabs>
                <w:tab w:val="left" w:pos="157"/>
              </w:tabs>
              <w:spacing w:line="160" w:lineRule="exact"/>
              <w:ind w:right="131" w:hanging="99"/>
              <w:rPr>
                <w:sz w:val="14"/>
              </w:rPr>
            </w:pPr>
            <w:r>
              <w:rPr>
                <w:color w:val="231F20"/>
                <w:sz w:val="14"/>
              </w:rPr>
              <w:t>наведе манифесте, књижевне</w:t>
            </w:r>
            <w:r>
              <w:rPr>
                <w:color w:val="231F20"/>
                <w:spacing w:val="-11"/>
                <w:sz w:val="14"/>
              </w:rPr>
              <w:t xml:space="preserve"> </w:t>
            </w:r>
            <w:r>
              <w:rPr>
                <w:color w:val="231F20"/>
                <w:sz w:val="14"/>
              </w:rPr>
              <w:t>покрете и струје у књижевности између два светска</w:t>
            </w:r>
            <w:r>
              <w:rPr>
                <w:color w:val="231F20"/>
                <w:spacing w:val="-1"/>
                <w:sz w:val="14"/>
              </w:rPr>
              <w:t xml:space="preserve"> </w:t>
            </w:r>
            <w:r>
              <w:rPr>
                <w:color w:val="231F20"/>
                <w:sz w:val="14"/>
              </w:rPr>
              <w:t>рата;</w:t>
            </w:r>
          </w:p>
          <w:p w:rsidR="00041039" w:rsidRDefault="001B26CB">
            <w:pPr>
              <w:pStyle w:val="TableParagraph"/>
              <w:numPr>
                <w:ilvl w:val="0"/>
                <w:numId w:val="1593"/>
              </w:numPr>
              <w:tabs>
                <w:tab w:val="left" w:pos="157"/>
              </w:tabs>
              <w:spacing w:line="160" w:lineRule="exact"/>
              <w:ind w:right="106" w:hanging="99"/>
              <w:rPr>
                <w:sz w:val="14"/>
              </w:rPr>
            </w:pPr>
            <w:r>
              <w:rPr>
                <w:color w:val="231F20"/>
                <w:sz w:val="14"/>
              </w:rPr>
              <w:t xml:space="preserve">успостави узајамни однос књижевних дела и времена у </w:t>
            </w:r>
            <w:r>
              <w:rPr>
                <w:color w:val="231F20"/>
                <w:spacing w:val="-3"/>
                <w:sz w:val="14"/>
              </w:rPr>
              <w:t xml:space="preserve">коме </w:t>
            </w:r>
            <w:r>
              <w:rPr>
                <w:color w:val="231F20"/>
                <w:sz w:val="14"/>
              </w:rPr>
              <w:t>су</w:t>
            </w:r>
            <w:r>
              <w:rPr>
                <w:color w:val="231F20"/>
                <w:spacing w:val="-4"/>
                <w:sz w:val="14"/>
              </w:rPr>
              <w:t xml:space="preserve"> </w:t>
            </w:r>
            <w:r>
              <w:rPr>
                <w:color w:val="231F20"/>
                <w:sz w:val="14"/>
              </w:rPr>
              <w:t>настала;</w:t>
            </w:r>
          </w:p>
          <w:p w:rsidR="00041039" w:rsidRDefault="001B26CB">
            <w:pPr>
              <w:pStyle w:val="TableParagraph"/>
              <w:numPr>
                <w:ilvl w:val="0"/>
                <w:numId w:val="1593"/>
              </w:numPr>
              <w:tabs>
                <w:tab w:val="left" w:pos="157"/>
              </w:tabs>
              <w:spacing w:line="160" w:lineRule="exact"/>
              <w:ind w:right="413" w:hanging="99"/>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834" w:type="dxa"/>
          </w:tcPr>
          <w:p w:rsidR="00041039" w:rsidRDefault="001B26CB">
            <w:pPr>
              <w:pStyle w:val="TableParagraph"/>
              <w:numPr>
                <w:ilvl w:val="0"/>
                <w:numId w:val="1592"/>
              </w:numPr>
              <w:tabs>
                <w:tab w:val="left" w:pos="157"/>
              </w:tabs>
              <w:spacing w:before="8"/>
              <w:ind w:right="198" w:hanging="99"/>
              <w:rPr>
                <w:sz w:val="14"/>
              </w:rPr>
            </w:pPr>
            <w:r>
              <w:rPr>
                <w:color w:val="231F20"/>
                <w:sz w:val="14"/>
              </w:rPr>
              <w:t>Е</w:t>
            </w:r>
            <w:r>
              <w:rPr>
                <w:color w:val="231F20"/>
                <w:sz w:val="14"/>
              </w:rPr>
              <w:t>вропска књижевност између два рата Одлике експресионизма, футуризма,</w:t>
            </w:r>
            <w:r>
              <w:rPr>
                <w:color w:val="231F20"/>
                <w:spacing w:val="-21"/>
                <w:sz w:val="14"/>
              </w:rPr>
              <w:t xml:space="preserve"> </w:t>
            </w:r>
            <w:r>
              <w:rPr>
                <w:color w:val="231F20"/>
                <w:sz w:val="14"/>
              </w:rPr>
              <w:t>над­ реализма.</w:t>
            </w:r>
          </w:p>
          <w:p w:rsidR="00041039" w:rsidRDefault="001B26CB">
            <w:pPr>
              <w:pStyle w:val="TableParagraph"/>
              <w:numPr>
                <w:ilvl w:val="0"/>
                <w:numId w:val="1592"/>
              </w:numPr>
              <w:tabs>
                <w:tab w:val="left" w:pos="157"/>
              </w:tabs>
              <w:spacing w:line="152" w:lineRule="exact"/>
              <w:ind w:hanging="99"/>
              <w:rPr>
                <w:sz w:val="14"/>
              </w:rPr>
            </w:pPr>
            <w:r>
              <w:rPr>
                <w:color w:val="231F20"/>
                <w:sz w:val="14"/>
              </w:rPr>
              <w:t>В. Мајаковски: „Облак у</w:t>
            </w:r>
            <w:r>
              <w:rPr>
                <w:color w:val="231F20"/>
                <w:spacing w:val="-9"/>
                <w:sz w:val="14"/>
              </w:rPr>
              <w:t xml:space="preserve"> </w:t>
            </w:r>
            <w:r>
              <w:rPr>
                <w:color w:val="231F20"/>
                <w:sz w:val="14"/>
              </w:rPr>
              <w:t>панталонама”.</w:t>
            </w:r>
          </w:p>
          <w:p w:rsidR="00041039" w:rsidRDefault="001B26CB">
            <w:pPr>
              <w:pStyle w:val="TableParagraph"/>
              <w:numPr>
                <w:ilvl w:val="0"/>
                <w:numId w:val="1592"/>
              </w:numPr>
              <w:tabs>
                <w:tab w:val="left" w:pos="157"/>
              </w:tabs>
              <w:spacing w:line="237" w:lineRule="auto"/>
              <w:ind w:right="48" w:hanging="99"/>
              <w:rPr>
                <w:sz w:val="14"/>
              </w:rPr>
            </w:pPr>
            <w:r>
              <w:rPr>
                <w:color w:val="231F20"/>
                <w:sz w:val="14"/>
              </w:rPr>
              <w:t>Ф. Кафка: „Преображај” или X. Хесе: роман по избору или Е. Хемингвеј:</w:t>
            </w:r>
            <w:r>
              <w:rPr>
                <w:color w:val="231F20"/>
                <w:spacing w:val="-22"/>
                <w:sz w:val="14"/>
              </w:rPr>
              <w:t xml:space="preserve"> </w:t>
            </w:r>
            <w:r>
              <w:rPr>
                <w:color w:val="231F20"/>
                <w:sz w:val="14"/>
              </w:rPr>
              <w:t>„Старац и</w:t>
            </w:r>
            <w:r>
              <w:rPr>
                <w:color w:val="231F20"/>
                <w:spacing w:val="-1"/>
                <w:sz w:val="14"/>
              </w:rPr>
              <w:t xml:space="preserve"> </w:t>
            </w:r>
            <w:r>
              <w:rPr>
                <w:color w:val="231F20"/>
                <w:sz w:val="14"/>
              </w:rPr>
              <w:t>море”.</w:t>
            </w:r>
          </w:p>
          <w:p w:rsidR="00041039" w:rsidRDefault="001B26CB">
            <w:pPr>
              <w:pStyle w:val="TableParagraph"/>
              <w:numPr>
                <w:ilvl w:val="0"/>
                <w:numId w:val="1592"/>
              </w:numPr>
              <w:tabs>
                <w:tab w:val="left" w:pos="157"/>
              </w:tabs>
              <w:spacing w:line="156" w:lineRule="exact"/>
              <w:ind w:hanging="99"/>
              <w:rPr>
                <w:sz w:val="14"/>
              </w:rPr>
            </w:pPr>
            <w:r>
              <w:rPr>
                <w:color w:val="231F20"/>
                <w:spacing w:val="-9"/>
                <w:sz w:val="14"/>
              </w:rPr>
              <w:t xml:space="preserve">Р. </w:t>
            </w:r>
            <w:r>
              <w:rPr>
                <w:color w:val="231F20"/>
                <w:sz w:val="14"/>
              </w:rPr>
              <w:t>Тагора: „Градинар”</w:t>
            </w:r>
            <w:r>
              <w:rPr>
                <w:color w:val="231F20"/>
                <w:spacing w:val="-19"/>
                <w:sz w:val="14"/>
              </w:rPr>
              <w:t xml:space="preserve"> </w:t>
            </w:r>
            <w:r>
              <w:rPr>
                <w:color w:val="231F20"/>
                <w:sz w:val="14"/>
              </w:rPr>
              <w:t>(избор).</w:t>
            </w:r>
          </w:p>
          <w:p w:rsidR="00041039" w:rsidRDefault="001B26CB">
            <w:pPr>
              <w:pStyle w:val="TableParagraph"/>
              <w:numPr>
                <w:ilvl w:val="0"/>
                <w:numId w:val="1592"/>
              </w:numPr>
              <w:tabs>
                <w:tab w:val="left" w:pos="157"/>
              </w:tabs>
              <w:spacing w:line="160" w:lineRule="exact"/>
              <w:ind w:hanging="99"/>
              <w:rPr>
                <w:sz w:val="14"/>
              </w:rPr>
            </w:pPr>
            <w:r>
              <w:rPr>
                <w:color w:val="231F20"/>
                <w:sz w:val="14"/>
              </w:rPr>
              <w:t>Српска међуратна</w:t>
            </w:r>
            <w:r>
              <w:rPr>
                <w:color w:val="231F20"/>
                <w:spacing w:val="-2"/>
                <w:sz w:val="14"/>
              </w:rPr>
              <w:t xml:space="preserve"> </w:t>
            </w:r>
            <w:r>
              <w:rPr>
                <w:color w:val="231F20"/>
                <w:sz w:val="14"/>
              </w:rPr>
              <w:t>књижевност.</w:t>
            </w:r>
          </w:p>
          <w:p w:rsidR="00041039" w:rsidRDefault="001B26CB">
            <w:pPr>
              <w:pStyle w:val="TableParagraph"/>
              <w:numPr>
                <w:ilvl w:val="0"/>
                <w:numId w:val="1592"/>
              </w:numPr>
              <w:tabs>
                <w:tab w:val="left" w:pos="157"/>
              </w:tabs>
              <w:spacing w:line="160" w:lineRule="exact"/>
              <w:ind w:hanging="99"/>
              <w:rPr>
                <w:sz w:val="14"/>
              </w:rPr>
            </w:pPr>
            <w:r>
              <w:rPr>
                <w:color w:val="231F20"/>
                <w:sz w:val="14"/>
              </w:rPr>
              <w:t>М. Бојић: „Плава</w:t>
            </w:r>
            <w:r>
              <w:rPr>
                <w:color w:val="231F20"/>
                <w:spacing w:val="-4"/>
                <w:sz w:val="14"/>
              </w:rPr>
              <w:t xml:space="preserve"> </w:t>
            </w:r>
            <w:r>
              <w:rPr>
                <w:color w:val="231F20"/>
                <w:sz w:val="14"/>
              </w:rPr>
              <w:t>гробница”.</w:t>
            </w:r>
          </w:p>
          <w:p w:rsidR="00041039" w:rsidRDefault="001B26CB">
            <w:pPr>
              <w:pStyle w:val="TableParagraph"/>
              <w:numPr>
                <w:ilvl w:val="0"/>
                <w:numId w:val="1592"/>
              </w:numPr>
              <w:tabs>
                <w:tab w:val="left" w:pos="157"/>
              </w:tabs>
              <w:spacing w:line="160" w:lineRule="exact"/>
              <w:ind w:hanging="99"/>
              <w:rPr>
                <w:sz w:val="14"/>
              </w:rPr>
            </w:pPr>
            <w:r>
              <w:rPr>
                <w:color w:val="231F20"/>
                <w:sz w:val="14"/>
              </w:rPr>
              <w:t xml:space="preserve">Д. Васиљев: </w:t>
            </w:r>
            <w:r>
              <w:rPr>
                <w:color w:val="231F20"/>
                <w:spacing w:val="-5"/>
                <w:sz w:val="14"/>
              </w:rPr>
              <w:t xml:space="preserve">„Човек </w:t>
            </w:r>
            <w:r>
              <w:rPr>
                <w:color w:val="231F20"/>
                <w:sz w:val="14"/>
              </w:rPr>
              <w:t>пева после</w:t>
            </w:r>
            <w:r>
              <w:rPr>
                <w:color w:val="231F20"/>
                <w:spacing w:val="1"/>
                <w:sz w:val="14"/>
              </w:rPr>
              <w:t xml:space="preserve"> </w:t>
            </w:r>
            <w:r>
              <w:rPr>
                <w:color w:val="231F20"/>
                <w:sz w:val="14"/>
              </w:rPr>
              <w:t>рата”.</w:t>
            </w:r>
          </w:p>
          <w:p w:rsidR="00041039" w:rsidRDefault="001B26CB">
            <w:pPr>
              <w:pStyle w:val="TableParagraph"/>
              <w:numPr>
                <w:ilvl w:val="0"/>
                <w:numId w:val="1592"/>
              </w:numPr>
              <w:tabs>
                <w:tab w:val="left" w:pos="157"/>
              </w:tabs>
              <w:spacing w:line="160" w:lineRule="exact"/>
              <w:ind w:hanging="99"/>
              <w:rPr>
                <w:sz w:val="14"/>
              </w:rPr>
            </w:pPr>
            <w:r>
              <w:rPr>
                <w:color w:val="231F20"/>
                <w:sz w:val="14"/>
              </w:rPr>
              <w:t>М. Црњански:</w:t>
            </w:r>
            <w:r>
              <w:rPr>
                <w:color w:val="231F20"/>
                <w:spacing w:val="-4"/>
                <w:sz w:val="14"/>
              </w:rPr>
              <w:t xml:space="preserve"> </w:t>
            </w:r>
            <w:r>
              <w:rPr>
                <w:color w:val="231F20"/>
                <w:sz w:val="14"/>
              </w:rPr>
              <w:t>„Суматра”.</w:t>
            </w:r>
          </w:p>
          <w:p w:rsidR="00041039" w:rsidRDefault="001B26CB">
            <w:pPr>
              <w:pStyle w:val="TableParagraph"/>
              <w:numPr>
                <w:ilvl w:val="0"/>
                <w:numId w:val="1592"/>
              </w:numPr>
              <w:tabs>
                <w:tab w:val="left" w:pos="157"/>
              </w:tabs>
              <w:spacing w:line="160" w:lineRule="exact"/>
              <w:ind w:hanging="99"/>
              <w:rPr>
                <w:sz w:val="14"/>
              </w:rPr>
            </w:pPr>
            <w:r>
              <w:rPr>
                <w:color w:val="231F20"/>
                <w:sz w:val="14"/>
              </w:rPr>
              <w:t>М. Црњански:</w:t>
            </w:r>
            <w:r>
              <w:rPr>
                <w:color w:val="231F20"/>
                <w:spacing w:val="-11"/>
                <w:sz w:val="14"/>
              </w:rPr>
              <w:t xml:space="preserve"> </w:t>
            </w:r>
            <w:r>
              <w:rPr>
                <w:color w:val="231F20"/>
                <w:sz w:val="14"/>
              </w:rPr>
              <w:t>„Сеобе”.</w:t>
            </w:r>
          </w:p>
          <w:p w:rsidR="00041039" w:rsidRDefault="001B26CB">
            <w:pPr>
              <w:pStyle w:val="TableParagraph"/>
              <w:numPr>
                <w:ilvl w:val="0"/>
                <w:numId w:val="1592"/>
              </w:numPr>
              <w:tabs>
                <w:tab w:val="left" w:pos="157"/>
              </w:tabs>
              <w:spacing w:line="160" w:lineRule="exact"/>
              <w:ind w:hanging="99"/>
              <w:rPr>
                <w:sz w:val="14"/>
              </w:rPr>
            </w:pPr>
            <w:r>
              <w:rPr>
                <w:color w:val="231F20"/>
                <w:sz w:val="14"/>
              </w:rPr>
              <w:t>И. Андрић: „Ex</w:t>
            </w:r>
            <w:r>
              <w:rPr>
                <w:color w:val="231F20"/>
                <w:spacing w:val="-16"/>
                <w:sz w:val="14"/>
              </w:rPr>
              <w:t xml:space="preserve"> </w:t>
            </w:r>
            <w:r>
              <w:rPr>
                <w:color w:val="231F20"/>
                <w:sz w:val="14"/>
              </w:rPr>
              <w:t>Ponto”.</w:t>
            </w:r>
          </w:p>
          <w:p w:rsidR="00041039" w:rsidRDefault="001B26CB">
            <w:pPr>
              <w:pStyle w:val="TableParagraph"/>
              <w:numPr>
                <w:ilvl w:val="0"/>
                <w:numId w:val="1592"/>
              </w:numPr>
              <w:tabs>
                <w:tab w:val="left" w:pos="157"/>
              </w:tabs>
              <w:spacing w:line="160" w:lineRule="exact"/>
              <w:ind w:hanging="99"/>
              <w:rPr>
                <w:sz w:val="14"/>
              </w:rPr>
            </w:pPr>
            <w:r>
              <w:rPr>
                <w:color w:val="231F20"/>
                <w:sz w:val="14"/>
              </w:rPr>
              <w:t>И. Андрић: „Мост на</w:t>
            </w:r>
            <w:r>
              <w:rPr>
                <w:color w:val="231F20"/>
                <w:spacing w:val="-6"/>
                <w:sz w:val="14"/>
              </w:rPr>
              <w:t xml:space="preserve"> </w:t>
            </w:r>
            <w:r>
              <w:rPr>
                <w:color w:val="231F20"/>
                <w:sz w:val="14"/>
              </w:rPr>
              <w:t>Жепи”.</w:t>
            </w:r>
          </w:p>
          <w:p w:rsidR="00041039" w:rsidRDefault="001B26CB">
            <w:pPr>
              <w:pStyle w:val="TableParagraph"/>
              <w:numPr>
                <w:ilvl w:val="0"/>
                <w:numId w:val="1592"/>
              </w:numPr>
              <w:tabs>
                <w:tab w:val="left" w:pos="157"/>
              </w:tabs>
              <w:spacing w:line="160" w:lineRule="exact"/>
              <w:ind w:hanging="99"/>
              <w:rPr>
                <w:sz w:val="14"/>
              </w:rPr>
            </w:pPr>
            <w:r>
              <w:rPr>
                <w:color w:val="231F20"/>
                <w:sz w:val="14"/>
              </w:rPr>
              <w:t>И. Андрић: „На Дрини</w:t>
            </w:r>
            <w:r>
              <w:rPr>
                <w:color w:val="231F20"/>
                <w:spacing w:val="-5"/>
                <w:sz w:val="14"/>
              </w:rPr>
              <w:t xml:space="preserve"> </w:t>
            </w:r>
            <w:r>
              <w:rPr>
                <w:color w:val="231F20"/>
                <w:sz w:val="14"/>
              </w:rPr>
              <w:t>ћуприја”.</w:t>
            </w:r>
          </w:p>
          <w:p w:rsidR="00041039" w:rsidRDefault="001B26CB">
            <w:pPr>
              <w:pStyle w:val="TableParagraph"/>
              <w:numPr>
                <w:ilvl w:val="0"/>
                <w:numId w:val="1592"/>
              </w:numPr>
              <w:tabs>
                <w:tab w:val="left" w:pos="157"/>
              </w:tabs>
              <w:spacing w:line="237" w:lineRule="auto"/>
              <w:ind w:right="258" w:hanging="99"/>
              <w:rPr>
                <w:sz w:val="14"/>
              </w:rPr>
            </w:pPr>
            <w:r>
              <w:rPr>
                <w:color w:val="231F20"/>
                <w:sz w:val="14"/>
              </w:rPr>
              <w:t xml:space="preserve">М. Настасијевић: </w:t>
            </w:r>
            <w:r>
              <w:rPr>
                <w:color w:val="231F20"/>
                <w:spacing w:val="-5"/>
                <w:sz w:val="14"/>
              </w:rPr>
              <w:t xml:space="preserve">„Туга </w:t>
            </w:r>
            <w:r>
              <w:rPr>
                <w:color w:val="231F20"/>
                <w:sz w:val="14"/>
              </w:rPr>
              <w:t xml:space="preserve">у камену” или </w:t>
            </w:r>
            <w:r>
              <w:rPr>
                <w:color w:val="231F20"/>
                <w:spacing w:val="-7"/>
                <w:sz w:val="14"/>
              </w:rPr>
              <w:t xml:space="preserve">Т. </w:t>
            </w:r>
            <w:r>
              <w:rPr>
                <w:color w:val="231F20"/>
                <w:sz w:val="14"/>
              </w:rPr>
              <w:t>Ујевић: „Свакидашња</w:t>
            </w:r>
            <w:r>
              <w:rPr>
                <w:color w:val="231F20"/>
                <w:spacing w:val="-3"/>
                <w:sz w:val="14"/>
              </w:rPr>
              <w:t xml:space="preserve"> </w:t>
            </w:r>
            <w:r>
              <w:rPr>
                <w:color w:val="231F20"/>
                <w:sz w:val="14"/>
              </w:rPr>
              <w:t>јадиковка”.</w:t>
            </w:r>
          </w:p>
          <w:p w:rsidR="00041039" w:rsidRDefault="001B26CB">
            <w:pPr>
              <w:pStyle w:val="TableParagraph"/>
              <w:numPr>
                <w:ilvl w:val="0"/>
                <w:numId w:val="1592"/>
              </w:numPr>
              <w:tabs>
                <w:tab w:val="left" w:pos="157"/>
              </w:tabs>
              <w:spacing w:line="155" w:lineRule="exact"/>
              <w:ind w:hanging="99"/>
              <w:rPr>
                <w:sz w:val="14"/>
              </w:rPr>
            </w:pPr>
            <w:r>
              <w:rPr>
                <w:color w:val="231F20"/>
                <w:spacing w:val="-9"/>
                <w:sz w:val="14"/>
              </w:rPr>
              <w:t xml:space="preserve">Р. </w:t>
            </w:r>
            <w:r>
              <w:rPr>
                <w:color w:val="231F20"/>
                <w:sz w:val="14"/>
              </w:rPr>
              <w:t>Петровић: „Људи говоре”</w:t>
            </w:r>
            <w:r>
              <w:rPr>
                <w:color w:val="231F20"/>
                <w:spacing w:val="-21"/>
                <w:sz w:val="14"/>
              </w:rPr>
              <w:t xml:space="preserve"> </w:t>
            </w:r>
            <w:r>
              <w:rPr>
                <w:color w:val="231F20"/>
                <w:sz w:val="14"/>
              </w:rPr>
              <w:t>(избор).</w:t>
            </w:r>
          </w:p>
          <w:p w:rsidR="00041039" w:rsidRDefault="001B26CB">
            <w:pPr>
              <w:pStyle w:val="TableParagraph"/>
              <w:numPr>
                <w:ilvl w:val="0"/>
                <w:numId w:val="1592"/>
              </w:numPr>
              <w:tabs>
                <w:tab w:val="left" w:pos="157"/>
              </w:tabs>
              <w:spacing w:line="166" w:lineRule="exact"/>
              <w:ind w:hanging="99"/>
              <w:rPr>
                <w:sz w:val="14"/>
              </w:rPr>
            </w:pPr>
            <w:r>
              <w:rPr>
                <w:color w:val="231F20"/>
                <w:sz w:val="14"/>
              </w:rPr>
              <w:t>И. Секулић: „Госпа</w:t>
            </w:r>
            <w:r>
              <w:rPr>
                <w:color w:val="231F20"/>
                <w:spacing w:val="-5"/>
                <w:sz w:val="14"/>
              </w:rPr>
              <w:t xml:space="preserve"> </w:t>
            </w:r>
            <w:r>
              <w:rPr>
                <w:color w:val="231F20"/>
                <w:sz w:val="14"/>
              </w:rPr>
              <w:t>Нола”.</w:t>
            </w:r>
          </w:p>
        </w:tc>
        <w:tc>
          <w:tcPr>
            <w:tcW w:w="2267" w:type="dxa"/>
            <w:vMerge w:val="restart"/>
          </w:tcPr>
          <w:p w:rsidR="00041039" w:rsidRDefault="001B26CB">
            <w:pPr>
              <w:pStyle w:val="TableParagraph"/>
              <w:spacing w:before="16"/>
              <w:ind w:left="58" w:right="109"/>
              <w:rPr>
                <w:b/>
                <w:sz w:val="14"/>
              </w:rPr>
            </w:pPr>
            <w:r>
              <w:rPr>
                <w:b/>
                <w:color w:val="231F20"/>
                <w:sz w:val="14"/>
              </w:rPr>
              <w:t>Препоруке за реализацију наставе</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591"/>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591"/>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591"/>
              </w:numPr>
              <w:tabs>
                <w:tab w:val="left" w:pos="158"/>
              </w:tabs>
              <w:spacing w:line="160" w:lineRule="exact"/>
              <w:ind w:hanging="99"/>
              <w:rPr>
                <w:b/>
                <w:sz w:val="14"/>
              </w:rPr>
            </w:pPr>
            <w:r>
              <w:rPr>
                <w:color w:val="231F20"/>
                <w:sz w:val="14"/>
              </w:rPr>
              <w:t xml:space="preserve">Модерна </w:t>
            </w:r>
            <w:r>
              <w:rPr>
                <w:b/>
                <w:color w:val="231F20"/>
                <w:sz w:val="14"/>
              </w:rPr>
              <w:t>(29</w:t>
            </w:r>
            <w:r>
              <w:rPr>
                <w:b/>
                <w:color w:val="231F20"/>
                <w:spacing w:val="-3"/>
                <w:sz w:val="14"/>
              </w:rPr>
              <w:t xml:space="preserve"> </w:t>
            </w:r>
            <w:r>
              <w:rPr>
                <w:b/>
                <w:color w:val="231F20"/>
                <w:sz w:val="14"/>
              </w:rPr>
              <w:t>часова)</w:t>
            </w:r>
          </w:p>
          <w:p w:rsidR="00041039" w:rsidRDefault="001B26CB">
            <w:pPr>
              <w:pStyle w:val="TableParagraph"/>
              <w:numPr>
                <w:ilvl w:val="0"/>
                <w:numId w:val="1591"/>
              </w:numPr>
              <w:tabs>
                <w:tab w:val="left" w:pos="158"/>
              </w:tabs>
              <w:spacing w:line="160" w:lineRule="exact"/>
              <w:ind w:hanging="99"/>
              <w:rPr>
                <w:b/>
                <w:sz w:val="14"/>
              </w:rPr>
            </w:pPr>
            <w:r>
              <w:rPr>
                <w:color w:val="231F20"/>
                <w:sz w:val="14"/>
              </w:rPr>
              <w:t xml:space="preserve">Међуратна књижевност </w:t>
            </w:r>
            <w:r>
              <w:rPr>
                <w:b/>
                <w:color w:val="231F20"/>
                <w:sz w:val="14"/>
              </w:rPr>
              <w:t>(33</w:t>
            </w:r>
            <w:r>
              <w:rPr>
                <w:b/>
                <w:color w:val="231F20"/>
                <w:spacing w:val="-5"/>
                <w:sz w:val="14"/>
              </w:rPr>
              <w:t xml:space="preserve"> </w:t>
            </w:r>
            <w:r>
              <w:rPr>
                <w:b/>
                <w:color w:val="231F20"/>
                <w:sz w:val="14"/>
              </w:rPr>
              <w:t>часа)</w:t>
            </w:r>
          </w:p>
          <w:p w:rsidR="00041039" w:rsidRDefault="001B26CB">
            <w:pPr>
              <w:pStyle w:val="TableParagraph"/>
              <w:numPr>
                <w:ilvl w:val="0"/>
                <w:numId w:val="1591"/>
              </w:numPr>
              <w:tabs>
                <w:tab w:val="left" w:pos="158"/>
              </w:tabs>
              <w:spacing w:line="160" w:lineRule="exact"/>
              <w:ind w:hanging="99"/>
              <w:rPr>
                <w:b/>
                <w:sz w:val="14"/>
              </w:rPr>
            </w:pPr>
            <w:r>
              <w:rPr>
                <w:color w:val="231F20"/>
                <w:sz w:val="14"/>
              </w:rPr>
              <w:t xml:space="preserve">Лексикологија </w:t>
            </w:r>
            <w:r>
              <w:rPr>
                <w:b/>
                <w:color w:val="231F20"/>
                <w:spacing w:val="-3"/>
                <w:sz w:val="14"/>
              </w:rPr>
              <w:t>(11</w:t>
            </w:r>
            <w:r>
              <w:rPr>
                <w:b/>
                <w:color w:val="231F20"/>
                <w:spacing w:val="-5"/>
                <w:sz w:val="14"/>
              </w:rPr>
              <w:t xml:space="preserve"> </w:t>
            </w:r>
            <w:r>
              <w:rPr>
                <w:b/>
                <w:color w:val="231F20"/>
                <w:sz w:val="14"/>
              </w:rPr>
              <w:t>часова)</w:t>
            </w:r>
          </w:p>
          <w:p w:rsidR="00041039" w:rsidRDefault="001B26CB">
            <w:pPr>
              <w:pStyle w:val="TableParagraph"/>
              <w:numPr>
                <w:ilvl w:val="0"/>
                <w:numId w:val="1591"/>
              </w:numPr>
              <w:tabs>
                <w:tab w:val="left" w:pos="158"/>
              </w:tabs>
              <w:spacing w:line="160" w:lineRule="exact"/>
              <w:ind w:hanging="99"/>
              <w:rPr>
                <w:b/>
                <w:sz w:val="14"/>
              </w:rPr>
            </w:pPr>
            <w:r>
              <w:rPr>
                <w:color w:val="231F20"/>
                <w:sz w:val="14"/>
              </w:rPr>
              <w:t xml:space="preserve">Правопис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1591"/>
              </w:numPr>
              <w:tabs>
                <w:tab w:val="left" w:pos="158"/>
              </w:tabs>
              <w:spacing w:line="166"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(24</w:t>
            </w:r>
            <w:r>
              <w:rPr>
                <w:b/>
                <w:color w:val="231F20"/>
                <w:sz w:val="14"/>
              </w:rPr>
              <w:t xml:space="preserve"> </w:t>
            </w:r>
            <w:r>
              <w:rPr>
                <w:b/>
                <w:color w:val="231F20"/>
                <w:sz w:val="14"/>
              </w:rPr>
              <w:t>часа)</w:t>
            </w:r>
          </w:p>
        </w:tc>
      </w:tr>
      <w:tr w:rsidR="00041039">
        <w:trPr>
          <w:trHeight w:val="1000"/>
        </w:trPr>
        <w:tc>
          <w:tcPr>
            <w:tcW w:w="1304" w:type="dxa"/>
          </w:tcPr>
          <w:p w:rsidR="00041039" w:rsidRDefault="001B26CB">
            <w:pPr>
              <w:pStyle w:val="TableParagraph"/>
              <w:spacing w:before="19"/>
              <w:ind w:left="56"/>
              <w:rPr>
                <w:sz w:val="14"/>
              </w:rPr>
            </w:pPr>
            <w:r>
              <w:rPr>
                <w:color w:val="231F20"/>
                <w:sz w:val="14"/>
              </w:rPr>
              <w:t>Творба речи</w:t>
            </w:r>
          </w:p>
        </w:tc>
        <w:tc>
          <w:tcPr>
            <w:tcW w:w="1587" w:type="dxa"/>
          </w:tcPr>
          <w:p w:rsidR="00041039" w:rsidRDefault="001B26CB">
            <w:pPr>
              <w:pStyle w:val="TableParagraph"/>
              <w:numPr>
                <w:ilvl w:val="0"/>
                <w:numId w:val="1590"/>
              </w:numPr>
              <w:tabs>
                <w:tab w:val="left" w:pos="157"/>
              </w:tabs>
              <w:spacing w:before="9"/>
              <w:ind w:right="258"/>
              <w:rPr>
                <w:sz w:val="14"/>
              </w:rPr>
            </w:pPr>
            <w:r>
              <w:rPr>
                <w:color w:val="231F20"/>
                <w:sz w:val="14"/>
              </w:rPr>
              <w:t>Систематизовање знања о основним правилима</w:t>
            </w:r>
            <w:r>
              <w:rPr>
                <w:color w:val="231F20"/>
                <w:spacing w:val="-11"/>
                <w:sz w:val="14"/>
              </w:rPr>
              <w:t xml:space="preserve"> </w:t>
            </w:r>
            <w:r>
              <w:rPr>
                <w:color w:val="231F20"/>
                <w:sz w:val="14"/>
              </w:rPr>
              <w:t>грађења речи.</w:t>
            </w:r>
          </w:p>
        </w:tc>
        <w:tc>
          <w:tcPr>
            <w:tcW w:w="2551" w:type="dxa"/>
          </w:tcPr>
          <w:p w:rsidR="00041039" w:rsidRDefault="001B26CB">
            <w:pPr>
              <w:pStyle w:val="TableParagraph"/>
              <w:numPr>
                <w:ilvl w:val="0"/>
                <w:numId w:val="1589"/>
              </w:numPr>
              <w:tabs>
                <w:tab w:val="left" w:pos="157"/>
              </w:tabs>
              <w:spacing w:before="9"/>
              <w:ind w:right="164" w:hanging="99"/>
              <w:rPr>
                <w:sz w:val="14"/>
              </w:rPr>
            </w:pPr>
            <w:r>
              <w:rPr>
                <w:color w:val="231F20"/>
                <w:sz w:val="14"/>
              </w:rPr>
              <w:t>препозна просте, изведене и</w:t>
            </w:r>
            <w:r>
              <w:rPr>
                <w:color w:val="231F20"/>
                <w:spacing w:val="-17"/>
                <w:sz w:val="14"/>
              </w:rPr>
              <w:t xml:space="preserve"> </w:t>
            </w:r>
            <w:r>
              <w:rPr>
                <w:color w:val="231F20"/>
                <w:sz w:val="14"/>
              </w:rPr>
              <w:t>сложене речи;</w:t>
            </w:r>
          </w:p>
          <w:p w:rsidR="00041039" w:rsidRDefault="001B26CB">
            <w:pPr>
              <w:pStyle w:val="TableParagraph"/>
              <w:numPr>
                <w:ilvl w:val="0"/>
                <w:numId w:val="1589"/>
              </w:numPr>
              <w:tabs>
                <w:tab w:val="left" w:pos="157"/>
              </w:tabs>
              <w:spacing w:line="160" w:lineRule="exact"/>
              <w:ind w:right="293" w:hanging="99"/>
              <w:rPr>
                <w:sz w:val="14"/>
              </w:rPr>
            </w:pPr>
            <w:r>
              <w:rPr>
                <w:color w:val="231F20"/>
                <w:sz w:val="14"/>
              </w:rPr>
              <w:t>примени основне принципе творбе речи;</w:t>
            </w:r>
          </w:p>
        </w:tc>
        <w:tc>
          <w:tcPr>
            <w:tcW w:w="2834" w:type="dxa"/>
          </w:tcPr>
          <w:p w:rsidR="00041039" w:rsidRDefault="001B26CB">
            <w:pPr>
              <w:pStyle w:val="TableParagraph"/>
              <w:numPr>
                <w:ilvl w:val="0"/>
                <w:numId w:val="1588"/>
              </w:numPr>
              <w:tabs>
                <w:tab w:val="left" w:pos="157"/>
              </w:tabs>
              <w:spacing w:before="9" w:line="166" w:lineRule="exact"/>
              <w:ind w:hanging="99"/>
              <w:rPr>
                <w:sz w:val="14"/>
              </w:rPr>
            </w:pPr>
            <w:r>
              <w:rPr>
                <w:color w:val="231F20"/>
                <w:sz w:val="14"/>
              </w:rPr>
              <w:t>Просте, изведене и сложене</w:t>
            </w:r>
            <w:r>
              <w:rPr>
                <w:color w:val="231F20"/>
                <w:spacing w:val="-4"/>
                <w:sz w:val="14"/>
              </w:rPr>
              <w:t xml:space="preserve"> </w:t>
            </w:r>
            <w:r>
              <w:rPr>
                <w:color w:val="231F20"/>
                <w:sz w:val="14"/>
              </w:rPr>
              <w:t>речи.</w:t>
            </w:r>
          </w:p>
          <w:p w:rsidR="00041039" w:rsidRDefault="001B26CB">
            <w:pPr>
              <w:pStyle w:val="TableParagraph"/>
              <w:numPr>
                <w:ilvl w:val="0"/>
                <w:numId w:val="1588"/>
              </w:numPr>
              <w:tabs>
                <w:tab w:val="left" w:pos="157"/>
              </w:tabs>
              <w:spacing w:line="160" w:lineRule="exact"/>
              <w:ind w:hanging="99"/>
              <w:rPr>
                <w:sz w:val="14"/>
              </w:rPr>
            </w:pPr>
            <w:r>
              <w:rPr>
                <w:color w:val="231F20"/>
                <w:sz w:val="14"/>
              </w:rPr>
              <w:t>Основни појмови о извођењу</w:t>
            </w:r>
            <w:r>
              <w:rPr>
                <w:color w:val="231F20"/>
                <w:spacing w:val="-6"/>
                <w:sz w:val="14"/>
              </w:rPr>
              <w:t xml:space="preserve"> </w:t>
            </w:r>
            <w:r>
              <w:rPr>
                <w:color w:val="231F20"/>
                <w:sz w:val="14"/>
              </w:rPr>
              <w:t>речи.</w:t>
            </w:r>
          </w:p>
          <w:p w:rsidR="00041039" w:rsidRDefault="001B26CB">
            <w:pPr>
              <w:pStyle w:val="TableParagraph"/>
              <w:numPr>
                <w:ilvl w:val="0"/>
                <w:numId w:val="1588"/>
              </w:numPr>
              <w:tabs>
                <w:tab w:val="left" w:pos="157"/>
              </w:tabs>
              <w:spacing w:line="237" w:lineRule="auto"/>
              <w:ind w:right="353" w:hanging="99"/>
              <w:rPr>
                <w:sz w:val="14"/>
              </w:rPr>
            </w:pPr>
            <w:r>
              <w:rPr>
                <w:color w:val="231F20"/>
                <w:sz w:val="14"/>
              </w:rPr>
              <w:t>Важнији модели за извођење</w:t>
            </w:r>
            <w:r>
              <w:rPr>
                <w:color w:val="231F20"/>
                <w:spacing w:val="-17"/>
                <w:sz w:val="14"/>
              </w:rPr>
              <w:t xml:space="preserve"> </w:t>
            </w:r>
            <w:r>
              <w:rPr>
                <w:color w:val="231F20"/>
                <w:sz w:val="14"/>
              </w:rPr>
              <w:t>именица, придева и</w:t>
            </w:r>
            <w:r>
              <w:rPr>
                <w:color w:val="231F20"/>
                <w:spacing w:val="-2"/>
                <w:sz w:val="14"/>
              </w:rPr>
              <w:t xml:space="preserve"> </w:t>
            </w:r>
            <w:r>
              <w:rPr>
                <w:color w:val="231F20"/>
                <w:spacing w:val="-3"/>
                <w:sz w:val="14"/>
              </w:rPr>
              <w:t>глагола.</w:t>
            </w:r>
          </w:p>
          <w:p w:rsidR="00041039" w:rsidRDefault="001B26CB">
            <w:pPr>
              <w:pStyle w:val="TableParagraph"/>
              <w:numPr>
                <w:ilvl w:val="0"/>
                <w:numId w:val="1588"/>
              </w:numPr>
              <w:tabs>
                <w:tab w:val="left" w:pos="157"/>
              </w:tabs>
              <w:spacing w:line="160" w:lineRule="exact"/>
              <w:ind w:right="282" w:hanging="99"/>
              <w:rPr>
                <w:sz w:val="14"/>
              </w:rPr>
            </w:pPr>
            <w:r>
              <w:rPr>
                <w:color w:val="231F20"/>
                <w:sz w:val="14"/>
              </w:rPr>
              <w:t>Основни појмови о творби сложеница</w:t>
            </w:r>
            <w:r>
              <w:rPr>
                <w:color w:val="231F20"/>
                <w:spacing w:val="-20"/>
                <w:sz w:val="14"/>
              </w:rPr>
              <w:t xml:space="preserve"> </w:t>
            </w:r>
            <w:r>
              <w:rPr>
                <w:color w:val="231F20"/>
                <w:sz w:val="14"/>
              </w:rPr>
              <w:t>и полусложеница.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19"/>
              <w:ind w:left="56"/>
              <w:rPr>
                <w:sz w:val="14"/>
              </w:rPr>
            </w:pPr>
            <w:r>
              <w:rPr>
                <w:color w:val="231F20"/>
                <w:sz w:val="14"/>
              </w:rPr>
              <w:t>Лексикологија</w:t>
            </w:r>
          </w:p>
        </w:tc>
        <w:tc>
          <w:tcPr>
            <w:tcW w:w="1587" w:type="dxa"/>
          </w:tcPr>
          <w:p w:rsidR="00041039" w:rsidRDefault="001B26CB">
            <w:pPr>
              <w:pStyle w:val="TableParagraph"/>
              <w:numPr>
                <w:ilvl w:val="0"/>
                <w:numId w:val="1587"/>
              </w:numPr>
              <w:tabs>
                <w:tab w:val="left" w:pos="157"/>
              </w:tabs>
              <w:spacing w:before="9"/>
              <w:ind w:right="154"/>
              <w:jc w:val="both"/>
              <w:rPr>
                <w:sz w:val="14"/>
              </w:rPr>
            </w:pPr>
            <w:r>
              <w:rPr>
                <w:color w:val="231F20"/>
                <w:sz w:val="14"/>
              </w:rPr>
              <w:t>Упознавање ученика са основама</w:t>
            </w:r>
            <w:r>
              <w:rPr>
                <w:color w:val="231F20"/>
                <w:spacing w:val="-12"/>
                <w:sz w:val="14"/>
              </w:rPr>
              <w:t xml:space="preserve"> </w:t>
            </w:r>
            <w:r>
              <w:rPr>
                <w:color w:val="231F20"/>
                <w:sz w:val="14"/>
              </w:rPr>
              <w:t>лексико­ логије.</w:t>
            </w:r>
          </w:p>
        </w:tc>
        <w:tc>
          <w:tcPr>
            <w:tcW w:w="2551" w:type="dxa"/>
          </w:tcPr>
          <w:p w:rsidR="00041039" w:rsidRDefault="001B26CB">
            <w:pPr>
              <w:pStyle w:val="TableParagraph"/>
              <w:numPr>
                <w:ilvl w:val="0"/>
                <w:numId w:val="1586"/>
              </w:numPr>
              <w:tabs>
                <w:tab w:val="left" w:pos="157"/>
              </w:tabs>
              <w:spacing w:before="9" w:line="166" w:lineRule="exact"/>
              <w:ind w:hanging="99"/>
              <w:rPr>
                <w:sz w:val="14"/>
              </w:rPr>
            </w:pPr>
            <w:r>
              <w:rPr>
                <w:color w:val="231F20"/>
                <w:sz w:val="14"/>
              </w:rPr>
              <w:t>препозна и одреди вредност</w:t>
            </w:r>
            <w:r>
              <w:rPr>
                <w:color w:val="231F20"/>
                <w:spacing w:val="-11"/>
                <w:sz w:val="14"/>
              </w:rPr>
              <w:t xml:space="preserve"> </w:t>
            </w:r>
            <w:r>
              <w:rPr>
                <w:color w:val="231F20"/>
                <w:sz w:val="14"/>
              </w:rPr>
              <w:t>лексеме;</w:t>
            </w:r>
          </w:p>
          <w:p w:rsidR="00041039" w:rsidRDefault="001B26CB">
            <w:pPr>
              <w:pStyle w:val="TableParagraph"/>
              <w:numPr>
                <w:ilvl w:val="0"/>
                <w:numId w:val="1586"/>
              </w:numPr>
              <w:tabs>
                <w:tab w:val="left" w:pos="157"/>
              </w:tabs>
              <w:spacing w:line="160" w:lineRule="exact"/>
              <w:ind w:hanging="99"/>
              <w:rPr>
                <w:sz w:val="14"/>
              </w:rPr>
            </w:pPr>
            <w:r>
              <w:rPr>
                <w:color w:val="231F20"/>
                <w:sz w:val="14"/>
              </w:rPr>
              <w:t>уме да се служи</w:t>
            </w:r>
            <w:r>
              <w:rPr>
                <w:color w:val="231F20"/>
                <w:spacing w:val="-2"/>
                <w:sz w:val="14"/>
              </w:rPr>
              <w:t xml:space="preserve"> </w:t>
            </w:r>
            <w:r>
              <w:rPr>
                <w:color w:val="231F20"/>
                <w:sz w:val="14"/>
              </w:rPr>
              <w:t>речницима;</w:t>
            </w:r>
          </w:p>
          <w:p w:rsidR="00041039" w:rsidRDefault="001B26CB">
            <w:pPr>
              <w:pStyle w:val="TableParagraph"/>
              <w:numPr>
                <w:ilvl w:val="0"/>
                <w:numId w:val="1586"/>
              </w:numPr>
              <w:tabs>
                <w:tab w:val="left" w:pos="157"/>
              </w:tabs>
              <w:spacing w:line="237" w:lineRule="auto"/>
              <w:ind w:right="160" w:hanging="99"/>
              <w:rPr>
                <w:sz w:val="14"/>
              </w:rPr>
            </w:pPr>
            <w:r>
              <w:rPr>
                <w:color w:val="231F20"/>
                <w:sz w:val="14"/>
              </w:rPr>
              <w:t>наведе примере синонима,</w:t>
            </w:r>
            <w:r>
              <w:rPr>
                <w:color w:val="231F20"/>
                <w:spacing w:val="-15"/>
                <w:sz w:val="14"/>
              </w:rPr>
              <w:t xml:space="preserve"> </w:t>
            </w:r>
            <w:r>
              <w:rPr>
                <w:color w:val="231F20"/>
                <w:sz w:val="14"/>
              </w:rPr>
              <w:t>антонима, хомонима,</w:t>
            </w:r>
            <w:r>
              <w:rPr>
                <w:color w:val="231F20"/>
                <w:spacing w:val="-1"/>
                <w:sz w:val="14"/>
              </w:rPr>
              <w:t xml:space="preserve"> </w:t>
            </w:r>
            <w:r>
              <w:rPr>
                <w:color w:val="231F20"/>
                <w:sz w:val="14"/>
              </w:rPr>
              <w:t>жаргона...</w:t>
            </w:r>
          </w:p>
        </w:tc>
        <w:tc>
          <w:tcPr>
            <w:tcW w:w="2834" w:type="dxa"/>
          </w:tcPr>
          <w:p w:rsidR="00041039" w:rsidRDefault="001B26CB">
            <w:pPr>
              <w:pStyle w:val="TableParagraph"/>
              <w:numPr>
                <w:ilvl w:val="0"/>
                <w:numId w:val="1585"/>
              </w:numPr>
              <w:tabs>
                <w:tab w:val="left" w:pos="158"/>
              </w:tabs>
              <w:spacing w:before="9"/>
              <w:ind w:right="135"/>
              <w:rPr>
                <w:sz w:val="14"/>
              </w:rPr>
            </w:pPr>
            <w:r>
              <w:rPr>
                <w:color w:val="231F20"/>
                <w:sz w:val="14"/>
              </w:rPr>
              <w:t>Основни</w:t>
            </w:r>
            <w:r>
              <w:rPr>
                <w:color w:val="231F20"/>
                <w:spacing w:val="-9"/>
                <w:sz w:val="14"/>
              </w:rPr>
              <w:t xml:space="preserve"> </w:t>
            </w:r>
            <w:r>
              <w:rPr>
                <w:color w:val="231F20"/>
                <w:sz w:val="14"/>
              </w:rPr>
              <w:t>појмови</w:t>
            </w:r>
            <w:r>
              <w:rPr>
                <w:color w:val="231F20"/>
                <w:spacing w:val="-9"/>
                <w:sz w:val="14"/>
              </w:rPr>
              <w:t xml:space="preserve"> </w:t>
            </w:r>
            <w:r>
              <w:rPr>
                <w:color w:val="231F20"/>
                <w:sz w:val="14"/>
              </w:rPr>
              <w:t>из</w:t>
            </w:r>
            <w:r>
              <w:rPr>
                <w:color w:val="231F20"/>
                <w:spacing w:val="-9"/>
                <w:sz w:val="14"/>
              </w:rPr>
              <w:t xml:space="preserve"> </w:t>
            </w:r>
            <w:r>
              <w:rPr>
                <w:color w:val="231F20"/>
                <w:sz w:val="14"/>
              </w:rPr>
              <w:t>лексикологије</w:t>
            </w:r>
            <w:r>
              <w:rPr>
                <w:color w:val="231F20"/>
                <w:spacing w:val="-9"/>
                <w:sz w:val="14"/>
              </w:rPr>
              <w:t xml:space="preserve"> </w:t>
            </w:r>
            <w:r>
              <w:rPr>
                <w:color w:val="231F20"/>
                <w:sz w:val="14"/>
              </w:rPr>
              <w:t>(лексе­ ма, њено</w:t>
            </w:r>
            <w:r>
              <w:rPr>
                <w:color w:val="231F20"/>
                <w:spacing w:val="-2"/>
                <w:sz w:val="14"/>
              </w:rPr>
              <w:t xml:space="preserve"> </w:t>
            </w:r>
            <w:r>
              <w:rPr>
                <w:color w:val="231F20"/>
                <w:sz w:val="14"/>
              </w:rPr>
              <w:t>значење).</w:t>
            </w:r>
          </w:p>
          <w:p w:rsidR="00041039" w:rsidRDefault="001B26CB">
            <w:pPr>
              <w:pStyle w:val="TableParagraph"/>
              <w:numPr>
                <w:ilvl w:val="0"/>
                <w:numId w:val="1585"/>
              </w:numPr>
              <w:tabs>
                <w:tab w:val="left" w:pos="158"/>
              </w:tabs>
              <w:spacing w:line="153" w:lineRule="exact"/>
              <w:rPr>
                <w:sz w:val="14"/>
              </w:rPr>
            </w:pPr>
            <w:r>
              <w:rPr>
                <w:color w:val="231F20"/>
                <w:sz w:val="14"/>
              </w:rPr>
              <w:t>Полисемија и</w:t>
            </w:r>
            <w:r>
              <w:rPr>
                <w:color w:val="231F20"/>
                <w:spacing w:val="-14"/>
                <w:sz w:val="14"/>
              </w:rPr>
              <w:t xml:space="preserve"> </w:t>
            </w:r>
            <w:r>
              <w:rPr>
                <w:color w:val="231F20"/>
                <w:sz w:val="14"/>
              </w:rPr>
              <w:t>хомонимија.</w:t>
            </w:r>
          </w:p>
          <w:p w:rsidR="00041039" w:rsidRDefault="001B26CB">
            <w:pPr>
              <w:pStyle w:val="TableParagraph"/>
              <w:numPr>
                <w:ilvl w:val="0"/>
                <w:numId w:val="1585"/>
              </w:numPr>
              <w:tabs>
                <w:tab w:val="left" w:pos="158"/>
              </w:tabs>
              <w:spacing w:line="160" w:lineRule="exact"/>
              <w:rPr>
                <w:sz w:val="14"/>
              </w:rPr>
            </w:pPr>
            <w:r>
              <w:rPr>
                <w:color w:val="231F20"/>
                <w:sz w:val="14"/>
              </w:rPr>
              <w:t>Синонимија и</w:t>
            </w:r>
            <w:r>
              <w:rPr>
                <w:color w:val="231F20"/>
                <w:spacing w:val="-3"/>
                <w:sz w:val="14"/>
              </w:rPr>
              <w:t xml:space="preserve"> </w:t>
            </w:r>
            <w:r>
              <w:rPr>
                <w:color w:val="231F20"/>
                <w:sz w:val="14"/>
              </w:rPr>
              <w:t>антонимија.</w:t>
            </w:r>
          </w:p>
          <w:p w:rsidR="00041039" w:rsidRDefault="001B26CB">
            <w:pPr>
              <w:pStyle w:val="TableParagraph"/>
              <w:numPr>
                <w:ilvl w:val="0"/>
                <w:numId w:val="1585"/>
              </w:numPr>
              <w:tabs>
                <w:tab w:val="left" w:pos="158"/>
              </w:tabs>
              <w:spacing w:line="237" w:lineRule="auto"/>
              <w:ind w:right="172"/>
              <w:rPr>
                <w:sz w:val="14"/>
              </w:rPr>
            </w:pPr>
            <w:r>
              <w:rPr>
                <w:color w:val="231F20"/>
                <w:sz w:val="14"/>
              </w:rPr>
              <w:t>Састав лексике српског књижевног</w:t>
            </w:r>
            <w:r>
              <w:rPr>
                <w:color w:val="231F20"/>
                <w:spacing w:val="-17"/>
                <w:sz w:val="14"/>
              </w:rPr>
              <w:t xml:space="preserve"> </w:t>
            </w:r>
            <w:r>
              <w:rPr>
                <w:color w:val="231F20"/>
                <w:sz w:val="14"/>
              </w:rPr>
              <w:t>(стан­ дардног)</w:t>
            </w:r>
            <w:r>
              <w:rPr>
                <w:color w:val="231F20"/>
                <w:spacing w:val="-1"/>
                <w:sz w:val="14"/>
              </w:rPr>
              <w:t xml:space="preserve"> </w:t>
            </w:r>
            <w:r>
              <w:rPr>
                <w:color w:val="231F20"/>
                <w:sz w:val="14"/>
              </w:rPr>
              <w:t>језика.</w:t>
            </w:r>
          </w:p>
          <w:p w:rsidR="00041039" w:rsidRDefault="001B26CB">
            <w:pPr>
              <w:pStyle w:val="TableParagraph"/>
              <w:numPr>
                <w:ilvl w:val="0"/>
                <w:numId w:val="1585"/>
              </w:numPr>
              <w:tabs>
                <w:tab w:val="left" w:pos="158"/>
              </w:tabs>
              <w:spacing w:line="160" w:lineRule="exact"/>
              <w:ind w:right="399"/>
              <w:rPr>
                <w:sz w:val="14"/>
              </w:rPr>
            </w:pPr>
            <w:r>
              <w:rPr>
                <w:color w:val="231F20"/>
                <w:sz w:val="14"/>
              </w:rPr>
              <w:t>Дијалектизми, архаизми иисторизми, неологизми, жаргонизми,</w:t>
            </w:r>
            <w:r>
              <w:rPr>
                <w:color w:val="231F20"/>
                <w:spacing w:val="-29"/>
                <w:sz w:val="14"/>
              </w:rPr>
              <w:t xml:space="preserve"> </w:t>
            </w:r>
            <w:r>
              <w:rPr>
                <w:color w:val="231F20"/>
                <w:sz w:val="14"/>
              </w:rPr>
              <w:t>вулгаризми.</w:t>
            </w:r>
          </w:p>
          <w:p w:rsidR="00041039" w:rsidRDefault="001B26CB">
            <w:pPr>
              <w:pStyle w:val="TableParagraph"/>
              <w:numPr>
                <w:ilvl w:val="0"/>
                <w:numId w:val="1585"/>
              </w:numPr>
              <w:tabs>
                <w:tab w:val="left" w:pos="158"/>
              </w:tabs>
              <w:spacing w:line="153" w:lineRule="exact"/>
              <w:rPr>
                <w:sz w:val="14"/>
              </w:rPr>
            </w:pPr>
            <w:r>
              <w:rPr>
                <w:color w:val="231F20"/>
                <w:sz w:val="14"/>
              </w:rPr>
              <w:t>Фразеологизми.</w:t>
            </w:r>
          </w:p>
          <w:p w:rsidR="00041039" w:rsidRDefault="001B26CB">
            <w:pPr>
              <w:pStyle w:val="TableParagraph"/>
              <w:numPr>
                <w:ilvl w:val="0"/>
                <w:numId w:val="1585"/>
              </w:numPr>
              <w:tabs>
                <w:tab w:val="left" w:pos="158"/>
              </w:tabs>
              <w:spacing w:line="160" w:lineRule="exact"/>
              <w:rPr>
                <w:sz w:val="14"/>
              </w:rPr>
            </w:pPr>
            <w:r>
              <w:rPr>
                <w:color w:val="231F20"/>
                <w:sz w:val="14"/>
              </w:rPr>
              <w:t>Термини.</w:t>
            </w:r>
          </w:p>
          <w:p w:rsidR="00041039" w:rsidRDefault="001B26CB">
            <w:pPr>
              <w:pStyle w:val="TableParagraph"/>
              <w:numPr>
                <w:ilvl w:val="0"/>
                <w:numId w:val="1585"/>
              </w:numPr>
              <w:tabs>
                <w:tab w:val="left" w:pos="158"/>
              </w:tabs>
              <w:spacing w:line="166" w:lineRule="exact"/>
              <w:rPr>
                <w:sz w:val="14"/>
              </w:rPr>
            </w:pPr>
            <w:r>
              <w:rPr>
                <w:color w:val="231F20"/>
                <w:sz w:val="14"/>
              </w:rPr>
              <w:t>Речници и служење</w:t>
            </w:r>
            <w:r>
              <w:rPr>
                <w:color w:val="231F20"/>
                <w:spacing w:val="-3"/>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numPr>
                <w:ilvl w:val="0"/>
                <w:numId w:val="1584"/>
              </w:numPr>
              <w:tabs>
                <w:tab w:val="left" w:pos="157"/>
              </w:tabs>
              <w:spacing w:before="9"/>
              <w:ind w:right="66" w:hanging="99"/>
              <w:rPr>
                <w:sz w:val="14"/>
              </w:rPr>
            </w:pPr>
            <w:r>
              <w:rPr>
                <w:color w:val="231F20"/>
                <w:sz w:val="14"/>
              </w:rPr>
              <w:t>Оспособљавање ученика за примењи­ вање знања из језика</w:t>
            </w:r>
            <w:r>
              <w:rPr>
                <w:color w:val="231F20"/>
                <w:spacing w:val="-12"/>
                <w:sz w:val="14"/>
              </w:rPr>
              <w:t xml:space="preserve"> </w:t>
            </w:r>
            <w:r>
              <w:rPr>
                <w:color w:val="231F20"/>
                <w:sz w:val="14"/>
              </w:rPr>
              <w:t>и правописа у складу са језичком</w:t>
            </w:r>
            <w:r>
              <w:rPr>
                <w:color w:val="231F20"/>
                <w:spacing w:val="-3"/>
                <w:sz w:val="14"/>
              </w:rPr>
              <w:t xml:space="preserve"> </w:t>
            </w:r>
            <w:r>
              <w:rPr>
                <w:color w:val="231F20"/>
                <w:sz w:val="14"/>
              </w:rPr>
              <w:t>нормом.</w:t>
            </w:r>
          </w:p>
        </w:tc>
        <w:tc>
          <w:tcPr>
            <w:tcW w:w="2551" w:type="dxa"/>
          </w:tcPr>
          <w:p w:rsidR="00041039" w:rsidRDefault="001B26CB">
            <w:pPr>
              <w:pStyle w:val="TableParagraph"/>
              <w:numPr>
                <w:ilvl w:val="0"/>
                <w:numId w:val="1583"/>
              </w:numPr>
              <w:tabs>
                <w:tab w:val="left" w:pos="157"/>
              </w:tabs>
              <w:spacing w:before="9"/>
              <w:ind w:right="151" w:hanging="99"/>
              <w:rPr>
                <w:sz w:val="14"/>
              </w:rPr>
            </w:pPr>
            <w:r>
              <w:rPr>
                <w:color w:val="231F20"/>
                <w:sz w:val="14"/>
              </w:rPr>
              <w:t>примени правописна правила у писању сложеница, полусложеница</w:t>
            </w:r>
            <w:r>
              <w:rPr>
                <w:color w:val="231F20"/>
                <w:spacing w:val="-18"/>
                <w:sz w:val="14"/>
              </w:rPr>
              <w:t xml:space="preserve"> </w:t>
            </w:r>
            <w:r>
              <w:rPr>
                <w:color w:val="231F20"/>
                <w:sz w:val="14"/>
              </w:rPr>
              <w:t>и синтагми;</w:t>
            </w:r>
          </w:p>
          <w:p w:rsidR="00041039" w:rsidRDefault="001B26CB">
            <w:pPr>
              <w:pStyle w:val="TableParagraph"/>
              <w:numPr>
                <w:ilvl w:val="0"/>
                <w:numId w:val="1583"/>
              </w:numPr>
              <w:tabs>
                <w:tab w:val="left" w:pos="157"/>
              </w:tabs>
              <w:spacing w:line="157" w:lineRule="exact"/>
              <w:ind w:hanging="99"/>
              <w:rPr>
                <w:sz w:val="14"/>
              </w:rPr>
            </w:pPr>
            <w:r>
              <w:rPr>
                <w:color w:val="231F20"/>
                <w:sz w:val="14"/>
              </w:rPr>
              <w:t>скраћује речи у складу са</w:t>
            </w:r>
            <w:r>
              <w:rPr>
                <w:color w:val="231F20"/>
                <w:spacing w:val="-5"/>
                <w:sz w:val="14"/>
              </w:rPr>
              <w:t xml:space="preserve"> </w:t>
            </w:r>
            <w:r>
              <w:rPr>
                <w:color w:val="231F20"/>
                <w:sz w:val="14"/>
              </w:rPr>
              <w:t>прописаним</w:t>
            </w:r>
          </w:p>
          <w:p w:rsidR="00041039" w:rsidRDefault="001B26CB">
            <w:pPr>
              <w:pStyle w:val="TableParagraph"/>
              <w:spacing w:line="160" w:lineRule="exact"/>
              <w:rPr>
                <w:sz w:val="14"/>
              </w:rPr>
            </w:pPr>
            <w:r>
              <w:rPr>
                <w:color w:val="231F20"/>
                <w:sz w:val="14"/>
              </w:rPr>
              <w:t>правилима;</w:t>
            </w:r>
          </w:p>
        </w:tc>
        <w:tc>
          <w:tcPr>
            <w:tcW w:w="2834" w:type="dxa"/>
          </w:tcPr>
          <w:p w:rsidR="00041039" w:rsidRDefault="001B26CB">
            <w:pPr>
              <w:pStyle w:val="TableParagraph"/>
              <w:numPr>
                <w:ilvl w:val="0"/>
                <w:numId w:val="1582"/>
              </w:numPr>
              <w:tabs>
                <w:tab w:val="left" w:pos="158"/>
              </w:tabs>
              <w:spacing w:before="9"/>
              <w:ind w:right="133"/>
              <w:rPr>
                <w:sz w:val="14"/>
              </w:rPr>
            </w:pPr>
            <w:r>
              <w:rPr>
                <w:color w:val="231F20"/>
                <w:sz w:val="14"/>
              </w:rPr>
              <w:t>Основна</w:t>
            </w:r>
            <w:r>
              <w:rPr>
                <w:color w:val="231F20"/>
                <w:spacing w:val="-13"/>
                <w:sz w:val="14"/>
              </w:rPr>
              <w:t xml:space="preserve"> </w:t>
            </w:r>
            <w:r>
              <w:rPr>
                <w:color w:val="231F20"/>
                <w:sz w:val="14"/>
              </w:rPr>
              <w:t>правила</w:t>
            </w:r>
            <w:r>
              <w:rPr>
                <w:color w:val="231F20"/>
                <w:spacing w:val="-13"/>
                <w:sz w:val="14"/>
              </w:rPr>
              <w:t xml:space="preserve"> </w:t>
            </w:r>
            <w:r>
              <w:rPr>
                <w:color w:val="231F20"/>
                <w:sz w:val="14"/>
              </w:rPr>
              <w:t>спојеног,</w:t>
            </w:r>
            <w:r>
              <w:rPr>
                <w:color w:val="231F20"/>
                <w:spacing w:val="-12"/>
                <w:sz w:val="14"/>
              </w:rPr>
              <w:t xml:space="preserve"> </w:t>
            </w:r>
            <w:r>
              <w:rPr>
                <w:color w:val="231F20"/>
                <w:sz w:val="14"/>
              </w:rPr>
              <w:t xml:space="preserve">полусложенич­ </w:t>
            </w:r>
            <w:r>
              <w:rPr>
                <w:color w:val="231F20"/>
                <w:spacing w:val="-3"/>
                <w:sz w:val="14"/>
              </w:rPr>
              <w:t xml:space="preserve">ког </w:t>
            </w:r>
            <w:r>
              <w:rPr>
                <w:color w:val="231F20"/>
                <w:sz w:val="14"/>
              </w:rPr>
              <w:t>и одвојеног</w:t>
            </w:r>
            <w:r>
              <w:rPr>
                <w:color w:val="231F20"/>
                <w:sz w:val="14"/>
              </w:rPr>
              <w:t xml:space="preserve"> </w:t>
            </w:r>
            <w:r>
              <w:rPr>
                <w:color w:val="231F20"/>
                <w:sz w:val="14"/>
              </w:rPr>
              <w:t>писања.</w:t>
            </w:r>
          </w:p>
          <w:p w:rsidR="00041039" w:rsidRDefault="001B26CB">
            <w:pPr>
              <w:pStyle w:val="TableParagraph"/>
              <w:numPr>
                <w:ilvl w:val="0"/>
                <w:numId w:val="1582"/>
              </w:numPr>
              <w:tabs>
                <w:tab w:val="left" w:pos="158"/>
              </w:tabs>
              <w:spacing w:line="159" w:lineRule="exact"/>
              <w:rPr>
                <w:sz w:val="14"/>
              </w:rPr>
            </w:pPr>
            <w:r>
              <w:rPr>
                <w:color w:val="231F20"/>
                <w:sz w:val="14"/>
              </w:rPr>
              <w:t>Скраћенице.</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1581"/>
              </w:numPr>
              <w:tabs>
                <w:tab w:val="left" w:pos="157"/>
              </w:tabs>
              <w:spacing w:before="11" w:line="237" w:lineRule="auto"/>
              <w:ind w:right="115" w:hanging="99"/>
              <w:rPr>
                <w:sz w:val="14"/>
              </w:rPr>
            </w:pPr>
            <w:r>
              <w:rPr>
                <w:color w:val="231F20"/>
                <w:sz w:val="14"/>
              </w:rPr>
              <w:t>Оспособљавање ученика да теоријска знања из граматике и правописа примењују у усменом и писаном изражавању.</w:t>
            </w:r>
          </w:p>
        </w:tc>
        <w:tc>
          <w:tcPr>
            <w:tcW w:w="2551" w:type="dxa"/>
          </w:tcPr>
          <w:p w:rsidR="00041039" w:rsidRDefault="001B26CB">
            <w:pPr>
              <w:pStyle w:val="TableParagraph"/>
              <w:numPr>
                <w:ilvl w:val="0"/>
                <w:numId w:val="1580"/>
              </w:numPr>
              <w:tabs>
                <w:tab w:val="left" w:pos="158"/>
              </w:tabs>
              <w:spacing w:before="9"/>
              <w:ind w:right="67"/>
              <w:jc w:val="both"/>
              <w:rPr>
                <w:sz w:val="14"/>
              </w:rPr>
            </w:pPr>
            <w:r>
              <w:rPr>
                <w:color w:val="231F20"/>
                <w:sz w:val="14"/>
              </w:rPr>
              <w:t>износи став, користи аргументе и про­ цењује опште и сопствене вредности у усменом и писаном</w:t>
            </w:r>
            <w:r>
              <w:rPr>
                <w:color w:val="231F20"/>
                <w:spacing w:val="-5"/>
                <w:sz w:val="14"/>
              </w:rPr>
              <w:t xml:space="preserve"> </w:t>
            </w:r>
            <w:r>
              <w:rPr>
                <w:color w:val="231F20"/>
                <w:sz w:val="14"/>
              </w:rPr>
              <w:t>изражавању;</w:t>
            </w:r>
          </w:p>
        </w:tc>
        <w:tc>
          <w:tcPr>
            <w:tcW w:w="2834" w:type="dxa"/>
          </w:tcPr>
          <w:p w:rsidR="00041039" w:rsidRDefault="001B26CB">
            <w:pPr>
              <w:pStyle w:val="TableParagraph"/>
              <w:numPr>
                <w:ilvl w:val="0"/>
                <w:numId w:val="1579"/>
              </w:numPr>
              <w:tabs>
                <w:tab w:val="left" w:pos="158"/>
              </w:tabs>
              <w:spacing w:before="9" w:line="166" w:lineRule="exact"/>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numPr>
                <w:ilvl w:val="0"/>
                <w:numId w:val="1579"/>
              </w:numPr>
              <w:tabs>
                <w:tab w:val="left" w:pos="158"/>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041039" w:rsidRDefault="001B26CB">
            <w:pPr>
              <w:pStyle w:val="TableParagraph"/>
              <w:numPr>
                <w:ilvl w:val="0"/>
                <w:numId w:val="1579"/>
              </w:numPr>
              <w:tabs>
                <w:tab w:val="left" w:pos="158"/>
              </w:tabs>
              <w:spacing w:line="160" w:lineRule="exact"/>
              <w:rPr>
                <w:sz w:val="14"/>
              </w:rPr>
            </w:pPr>
            <w:r>
              <w:rPr>
                <w:color w:val="231F20"/>
                <w:sz w:val="14"/>
              </w:rPr>
              <w:t>Домаћи</w:t>
            </w:r>
            <w:r>
              <w:rPr>
                <w:color w:val="231F20"/>
                <w:spacing w:val="-12"/>
                <w:sz w:val="14"/>
              </w:rPr>
              <w:t xml:space="preserve"> </w:t>
            </w:r>
            <w:r>
              <w:rPr>
                <w:color w:val="231F20"/>
                <w:sz w:val="14"/>
              </w:rPr>
              <w:t>задаци.</w:t>
            </w:r>
          </w:p>
          <w:p w:rsidR="00041039" w:rsidRDefault="001B26CB">
            <w:pPr>
              <w:pStyle w:val="TableParagraph"/>
              <w:numPr>
                <w:ilvl w:val="0"/>
                <w:numId w:val="1579"/>
              </w:numPr>
              <w:tabs>
                <w:tab w:val="left" w:pos="158"/>
              </w:tabs>
              <w:spacing w:line="160" w:lineRule="exact"/>
              <w:rPr>
                <w:sz w:val="14"/>
              </w:rPr>
            </w:pPr>
            <w:r>
              <w:rPr>
                <w:color w:val="231F20"/>
                <w:sz w:val="14"/>
              </w:rPr>
              <w:t>Говорне</w:t>
            </w:r>
            <w:r>
              <w:rPr>
                <w:color w:val="231F20"/>
                <w:spacing w:val="-19"/>
                <w:sz w:val="14"/>
              </w:rPr>
              <w:t xml:space="preserve"> </w:t>
            </w:r>
            <w:r>
              <w:rPr>
                <w:color w:val="231F20"/>
                <w:sz w:val="14"/>
              </w:rPr>
              <w:t>вежбе.</w:t>
            </w:r>
          </w:p>
          <w:p w:rsidR="00041039" w:rsidRDefault="001B26CB">
            <w:pPr>
              <w:pStyle w:val="TableParagraph"/>
              <w:numPr>
                <w:ilvl w:val="0"/>
                <w:numId w:val="1579"/>
              </w:numPr>
              <w:tabs>
                <w:tab w:val="left" w:pos="158"/>
              </w:tabs>
              <w:spacing w:line="166" w:lineRule="exact"/>
              <w:rPr>
                <w:sz w:val="14"/>
              </w:rPr>
            </w:pPr>
            <w:r>
              <w:rPr>
                <w:color w:val="231F20"/>
                <w:sz w:val="14"/>
              </w:rPr>
              <w:t>Школски писмени задаци 4 x 2 +</w:t>
            </w:r>
            <w:r>
              <w:rPr>
                <w:color w:val="231F20"/>
                <w:spacing w:val="-10"/>
                <w:sz w:val="14"/>
              </w:rPr>
              <w:t xml:space="preserve"> </w:t>
            </w:r>
            <w:r>
              <w:rPr>
                <w:color w:val="231F20"/>
                <w:sz w:val="14"/>
              </w:rPr>
              <w:t>2.</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96</w:t>
      </w:r>
      <w:r>
        <w:rPr>
          <w:b/>
          <w:color w:val="231F20"/>
          <w:spacing w:val="-1"/>
          <w:sz w:val="14"/>
        </w:rPr>
        <w:t xml:space="preserve"> </w:t>
      </w:r>
      <w:r>
        <w:rPr>
          <w:b/>
          <w:color w:val="231F20"/>
          <w:sz w:val="14"/>
        </w:rPr>
        <w:t>часова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880"/>
        </w:trPr>
        <w:tc>
          <w:tcPr>
            <w:tcW w:w="1304" w:type="dxa"/>
          </w:tcPr>
          <w:p w:rsidR="00041039" w:rsidRDefault="001B26CB">
            <w:pPr>
              <w:pStyle w:val="TableParagraph"/>
              <w:spacing w:before="18"/>
              <w:ind w:left="5" w:right="65"/>
              <w:jc w:val="center"/>
              <w:rPr>
                <w:sz w:val="14"/>
              </w:rPr>
            </w:pPr>
            <w:r>
              <w:rPr>
                <w:color w:val="231F20"/>
                <w:sz w:val="14"/>
              </w:rPr>
              <w:t>Савремена поезија</w:t>
            </w:r>
          </w:p>
        </w:tc>
        <w:tc>
          <w:tcPr>
            <w:tcW w:w="1587" w:type="dxa"/>
          </w:tcPr>
          <w:p w:rsidR="00041039" w:rsidRDefault="001B26CB">
            <w:pPr>
              <w:pStyle w:val="TableParagraph"/>
              <w:numPr>
                <w:ilvl w:val="0"/>
                <w:numId w:val="1578"/>
              </w:numPr>
              <w:tabs>
                <w:tab w:val="left" w:pos="157"/>
              </w:tabs>
              <w:spacing w:before="8"/>
              <w:ind w:right="52"/>
              <w:rPr>
                <w:sz w:val="14"/>
              </w:rPr>
            </w:pPr>
            <w:r>
              <w:rPr>
                <w:color w:val="231F20"/>
                <w:sz w:val="14"/>
              </w:rPr>
              <w:t>Упознавање са</w:t>
            </w:r>
            <w:r>
              <w:rPr>
                <w:color w:val="231F20"/>
                <w:spacing w:val="-24"/>
                <w:sz w:val="14"/>
              </w:rPr>
              <w:t xml:space="preserve"> </w:t>
            </w:r>
            <w:r>
              <w:rPr>
                <w:color w:val="231F20"/>
                <w:sz w:val="14"/>
              </w:rPr>
              <w:t>одлика­ ма савремене поезије, њеним представници­ ма и</w:t>
            </w:r>
            <w:r>
              <w:rPr>
                <w:color w:val="231F20"/>
                <w:spacing w:val="-2"/>
                <w:sz w:val="14"/>
              </w:rPr>
              <w:t xml:space="preserve"> </w:t>
            </w:r>
            <w:r>
              <w:rPr>
                <w:color w:val="231F20"/>
                <w:sz w:val="14"/>
              </w:rPr>
              <w:t>делима.</w:t>
            </w:r>
          </w:p>
        </w:tc>
        <w:tc>
          <w:tcPr>
            <w:tcW w:w="2551" w:type="dxa"/>
          </w:tcPr>
          <w:p w:rsidR="00041039" w:rsidRDefault="001B26CB">
            <w:pPr>
              <w:pStyle w:val="TableParagraph"/>
              <w:numPr>
                <w:ilvl w:val="0"/>
                <w:numId w:val="1577"/>
              </w:numPr>
              <w:tabs>
                <w:tab w:val="left" w:pos="157"/>
              </w:tabs>
              <w:spacing w:before="8" w:line="166" w:lineRule="exact"/>
              <w:ind w:hanging="99"/>
              <w:rPr>
                <w:sz w:val="14"/>
              </w:rPr>
            </w:pPr>
            <w:r>
              <w:rPr>
                <w:color w:val="231F20"/>
                <w:sz w:val="14"/>
              </w:rPr>
              <w:t>наведе обележја савремене</w:t>
            </w:r>
            <w:r>
              <w:rPr>
                <w:color w:val="231F20"/>
                <w:spacing w:val="-3"/>
                <w:sz w:val="14"/>
              </w:rPr>
              <w:t xml:space="preserve"> </w:t>
            </w:r>
            <w:r>
              <w:rPr>
                <w:color w:val="231F20"/>
                <w:sz w:val="14"/>
              </w:rPr>
              <w:t>поезије;</w:t>
            </w:r>
          </w:p>
          <w:p w:rsidR="00041039" w:rsidRDefault="001B26CB">
            <w:pPr>
              <w:pStyle w:val="TableParagraph"/>
              <w:numPr>
                <w:ilvl w:val="0"/>
                <w:numId w:val="1577"/>
              </w:numPr>
              <w:tabs>
                <w:tab w:val="left" w:pos="157"/>
              </w:tabs>
              <w:spacing w:line="237" w:lineRule="auto"/>
              <w:ind w:right="166" w:hanging="99"/>
              <w:rPr>
                <w:sz w:val="14"/>
              </w:rPr>
            </w:pPr>
            <w:r>
              <w:rPr>
                <w:color w:val="231F20"/>
                <w:sz w:val="14"/>
              </w:rPr>
              <w:t>тумачи песничка дела износећи доживљаје, запажања и</w:t>
            </w:r>
            <w:r>
              <w:rPr>
                <w:color w:val="231F20"/>
                <w:spacing w:val="-18"/>
                <w:sz w:val="14"/>
              </w:rPr>
              <w:t xml:space="preserve"> </w:t>
            </w:r>
            <w:r>
              <w:rPr>
                <w:color w:val="231F20"/>
                <w:sz w:val="14"/>
              </w:rPr>
              <w:t>образложења о</w:t>
            </w:r>
            <w:r>
              <w:rPr>
                <w:color w:val="231F20"/>
                <w:spacing w:val="-1"/>
                <w:sz w:val="14"/>
              </w:rPr>
              <w:t xml:space="preserve"> </w:t>
            </w:r>
            <w:r>
              <w:rPr>
                <w:color w:val="231F20"/>
                <w:sz w:val="14"/>
              </w:rPr>
              <w:t>њима;</w:t>
            </w:r>
          </w:p>
          <w:p w:rsidR="00041039" w:rsidRDefault="001B26CB">
            <w:pPr>
              <w:pStyle w:val="TableParagraph"/>
              <w:numPr>
                <w:ilvl w:val="0"/>
                <w:numId w:val="1577"/>
              </w:numPr>
              <w:tabs>
                <w:tab w:val="left" w:pos="157"/>
              </w:tabs>
              <w:spacing w:line="237" w:lineRule="auto"/>
              <w:ind w:right="79" w:hanging="99"/>
              <w:rPr>
                <w:sz w:val="14"/>
              </w:rPr>
            </w:pPr>
            <w:r>
              <w:rPr>
                <w:color w:val="231F20"/>
                <w:sz w:val="14"/>
              </w:rPr>
              <w:t>изведе закључак о карактеристикама песничког језика, мотивима и форми</w:t>
            </w:r>
            <w:r>
              <w:rPr>
                <w:color w:val="231F20"/>
                <w:spacing w:val="-16"/>
                <w:sz w:val="14"/>
              </w:rPr>
              <w:t xml:space="preserve"> </w:t>
            </w:r>
            <w:r>
              <w:rPr>
                <w:color w:val="231F20"/>
                <w:sz w:val="14"/>
              </w:rPr>
              <w:t>у обрађеним песмама;</w:t>
            </w:r>
          </w:p>
        </w:tc>
        <w:tc>
          <w:tcPr>
            <w:tcW w:w="2834" w:type="dxa"/>
          </w:tcPr>
          <w:p w:rsidR="00041039" w:rsidRDefault="001B26CB">
            <w:pPr>
              <w:pStyle w:val="TableParagraph"/>
              <w:numPr>
                <w:ilvl w:val="0"/>
                <w:numId w:val="1576"/>
              </w:numPr>
              <w:tabs>
                <w:tab w:val="left" w:pos="157"/>
              </w:tabs>
              <w:spacing w:before="8" w:line="166" w:lineRule="exact"/>
              <w:ind w:hanging="99"/>
              <w:rPr>
                <w:sz w:val="14"/>
              </w:rPr>
            </w:pPr>
            <w:r>
              <w:rPr>
                <w:color w:val="231F20"/>
                <w:sz w:val="14"/>
              </w:rPr>
              <w:t>Одлике савремене</w:t>
            </w:r>
            <w:r>
              <w:rPr>
                <w:color w:val="231F20"/>
                <w:spacing w:val="-1"/>
                <w:sz w:val="14"/>
              </w:rPr>
              <w:t xml:space="preserve"> </w:t>
            </w:r>
            <w:r>
              <w:rPr>
                <w:color w:val="231F20"/>
                <w:sz w:val="14"/>
              </w:rPr>
              <w:t>поезије.</w:t>
            </w:r>
          </w:p>
          <w:p w:rsidR="00041039" w:rsidRDefault="001B26CB">
            <w:pPr>
              <w:pStyle w:val="TableParagraph"/>
              <w:numPr>
                <w:ilvl w:val="0"/>
                <w:numId w:val="1576"/>
              </w:numPr>
              <w:tabs>
                <w:tab w:val="left" w:pos="157"/>
              </w:tabs>
              <w:spacing w:line="237" w:lineRule="auto"/>
              <w:ind w:right="156" w:hanging="99"/>
              <w:rPr>
                <w:sz w:val="14"/>
              </w:rPr>
            </w:pPr>
            <w:r>
              <w:rPr>
                <w:color w:val="231F20"/>
                <w:sz w:val="14"/>
              </w:rPr>
              <w:t>Избор из светске лирике 20. века</w:t>
            </w:r>
            <w:r>
              <w:rPr>
                <w:color w:val="231F20"/>
                <w:spacing w:val="-23"/>
                <w:sz w:val="14"/>
              </w:rPr>
              <w:t xml:space="preserve"> </w:t>
            </w:r>
            <w:r>
              <w:rPr>
                <w:color w:val="231F20"/>
                <w:sz w:val="14"/>
              </w:rPr>
              <w:t>(Превер, Ахматова, Цветајева,</w:t>
            </w:r>
            <w:r>
              <w:rPr>
                <w:color w:val="231F20"/>
                <w:spacing w:val="-3"/>
                <w:sz w:val="14"/>
              </w:rPr>
              <w:t xml:space="preserve"> </w:t>
            </w:r>
            <w:r>
              <w:rPr>
                <w:color w:val="231F20"/>
                <w:sz w:val="14"/>
              </w:rPr>
              <w:t>Бродски).</w:t>
            </w:r>
          </w:p>
          <w:p w:rsidR="00041039" w:rsidRDefault="001B26CB">
            <w:pPr>
              <w:pStyle w:val="TableParagraph"/>
              <w:numPr>
                <w:ilvl w:val="0"/>
                <w:numId w:val="1576"/>
              </w:numPr>
              <w:tabs>
                <w:tab w:val="left" w:pos="157"/>
              </w:tabs>
              <w:spacing w:line="160" w:lineRule="exact"/>
              <w:ind w:hanging="99"/>
              <w:rPr>
                <w:sz w:val="14"/>
              </w:rPr>
            </w:pPr>
            <w:r>
              <w:rPr>
                <w:color w:val="231F20"/>
                <w:sz w:val="14"/>
              </w:rPr>
              <w:t>Васко Попа: „Каленић”,</w:t>
            </w:r>
            <w:r>
              <w:rPr>
                <w:color w:val="231F20"/>
                <w:spacing w:val="-6"/>
                <w:sz w:val="14"/>
              </w:rPr>
              <w:t xml:space="preserve"> </w:t>
            </w:r>
            <w:r>
              <w:rPr>
                <w:color w:val="231F20"/>
                <w:sz w:val="14"/>
              </w:rPr>
              <w:t>„Манасија”,</w:t>
            </w:r>
          </w:p>
          <w:p w:rsidR="00041039" w:rsidRDefault="001B26CB">
            <w:pPr>
              <w:pStyle w:val="TableParagraph"/>
              <w:spacing w:line="155" w:lineRule="exact"/>
              <w:rPr>
                <w:sz w:val="14"/>
              </w:rPr>
            </w:pPr>
            <w:r>
              <w:rPr>
                <w:color w:val="231F20"/>
                <w:sz w:val="14"/>
              </w:rPr>
              <w:t>„Кора” (избор из циклуса Списак).</w:t>
            </w:r>
          </w:p>
          <w:p w:rsidR="00041039" w:rsidRDefault="001B26CB">
            <w:pPr>
              <w:pStyle w:val="TableParagraph"/>
              <w:numPr>
                <w:ilvl w:val="0"/>
                <w:numId w:val="1576"/>
              </w:numPr>
              <w:tabs>
                <w:tab w:val="left" w:pos="157"/>
              </w:tabs>
              <w:spacing w:line="165" w:lineRule="exact"/>
              <w:ind w:hanging="99"/>
              <w:rPr>
                <w:sz w:val="14"/>
              </w:rPr>
            </w:pPr>
            <w:r>
              <w:rPr>
                <w:color w:val="231F20"/>
                <w:sz w:val="14"/>
              </w:rPr>
              <w:t>Миодраг Павловић: „Научите</w:t>
            </w:r>
            <w:r>
              <w:rPr>
                <w:color w:val="231F20"/>
                <w:spacing w:val="-6"/>
                <w:sz w:val="14"/>
              </w:rPr>
              <w:t xml:space="preserve"> </w:t>
            </w:r>
            <w:r>
              <w:rPr>
                <w:color w:val="231F20"/>
                <w:sz w:val="14"/>
              </w:rPr>
              <w:t>пјесан”,</w:t>
            </w:r>
          </w:p>
          <w:p w:rsidR="00041039" w:rsidRDefault="001B26CB">
            <w:pPr>
              <w:pStyle w:val="TableParagraph"/>
              <w:spacing w:line="155" w:lineRule="exact"/>
              <w:rPr>
                <w:sz w:val="14"/>
              </w:rPr>
            </w:pPr>
            <w:r>
              <w:rPr>
                <w:color w:val="231F20"/>
                <w:sz w:val="14"/>
              </w:rPr>
              <w:t>„Реквијем” (или две песме по избору).</w:t>
            </w:r>
          </w:p>
          <w:p w:rsidR="00041039" w:rsidRDefault="001B26CB">
            <w:pPr>
              <w:pStyle w:val="TableParagraph"/>
              <w:numPr>
                <w:ilvl w:val="0"/>
                <w:numId w:val="1576"/>
              </w:numPr>
              <w:tabs>
                <w:tab w:val="left" w:pos="157"/>
              </w:tabs>
              <w:spacing w:line="237" w:lineRule="auto"/>
              <w:ind w:right="785" w:hanging="99"/>
              <w:rPr>
                <w:sz w:val="14"/>
              </w:rPr>
            </w:pPr>
            <w:r>
              <w:rPr>
                <w:color w:val="231F20"/>
                <w:sz w:val="14"/>
              </w:rPr>
              <w:t xml:space="preserve">Десанка Максимовић: </w:t>
            </w:r>
            <w:r>
              <w:rPr>
                <w:color w:val="231F20"/>
                <w:spacing w:val="-3"/>
                <w:sz w:val="14"/>
              </w:rPr>
              <w:t xml:space="preserve">„Тражим </w:t>
            </w:r>
            <w:r>
              <w:rPr>
                <w:color w:val="231F20"/>
                <w:sz w:val="14"/>
              </w:rPr>
              <w:t>помиловање”</w:t>
            </w:r>
            <w:r>
              <w:rPr>
                <w:color w:val="231F20"/>
                <w:spacing w:val="-1"/>
                <w:sz w:val="14"/>
              </w:rPr>
              <w:t xml:space="preserve"> </w:t>
            </w:r>
            <w:r>
              <w:rPr>
                <w:color w:val="231F20"/>
                <w:sz w:val="14"/>
              </w:rPr>
              <w:t>(избор).</w:t>
            </w:r>
          </w:p>
          <w:p w:rsidR="00041039" w:rsidRDefault="001B26CB">
            <w:pPr>
              <w:pStyle w:val="TableParagraph"/>
              <w:numPr>
                <w:ilvl w:val="0"/>
                <w:numId w:val="1576"/>
              </w:numPr>
              <w:tabs>
                <w:tab w:val="left" w:pos="157"/>
              </w:tabs>
              <w:spacing w:line="160" w:lineRule="exact"/>
              <w:ind w:right="540" w:hanging="99"/>
              <w:rPr>
                <w:sz w:val="14"/>
              </w:rPr>
            </w:pPr>
            <w:r>
              <w:rPr>
                <w:color w:val="231F20"/>
                <w:spacing w:val="-2"/>
                <w:sz w:val="14"/>
              </w:rPr>
              <w:t xml:space="preserve">Бранко </w:t>
            </w:r>
            <w:r>
              <w:rPr>
                <w:color w:val="231F20"/>
                <w:sz w:val="14"/>
              </w:rPr>
              <w:t>Миљковмћ: „Поезију ће сви писати”.</w:t>
            </w:r>
          </w:p>
          <w:p w:rsidR="00041039" w:rsidRDefault="001B26CB">
            <w:pPr>
              <w:pStyle w:val="TableParagraph"/>
              <w:numPr>
                <w:ilvl w:val="0"/>
                <w:numId w:val="1576"/>
              </w:numPr>
              <w:tabs>
                <w:tab w:val="left" w:pos="157"/>
              </w:tabs>
              <w:spacing w:line="160" w:lineRule="exact"/>
              <w:ind w:right="313" w:hanging="99"/>
              <w:rPr>
                <w:sz w:val="14"/>
              </w:rPr>
            </w:pPr>
            <w:r>
              <w:rPr>
                <w:color w:val="231F20"/>
                <w:sz w:val="14"/>
              </w:rPr>
              <w:t>Стеван Раичковић: „Камена</w:t>
            </w:r>
            <w:r>
              <w:rPr>
                <w:color w:val="231F20"/>
                <w:spacing w:val="-21"/>
                <w:sz w:val="14"/>
              </w:rPr>
              <w:t xml:space="preserve"> </w:t>
            </w:r>
            <w:r>
              <w:rPr>
                <w:color w:val="231F20"/>
                <w:sz w:val="14"/>
              </w:rPr>
              <w:t>успаванка” (избор).</w:t>
            </w:r>
          </w:p>
        </w:tc>
        <w:tc>
          <w:tcPr>
            <w:tcW w:w="2267" w:type="dxa"/>
          </w:tcPr>
          <w:p w:rsidR="00041039" w:rsidRDefault="001B26CB">
            <w:pPr>
              <w:pStyle w:val="TableParagraph"/>
              <w:numPr>
                <w:ilvl w:val="0"/>
                <w:numId w:val="1575"/>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575"/>
              </w:numPr>
              <w:tabs>
                <w:tab w:val="left" w:pos="158"/>
              </w:tabs>
              <w:spacing w:line="160" w:lineRule="exact"/>
              <w:ind w:hanging="99"/>
              <w:rPr>
                <w:b/>
                <w:sz w:val="14"/>
              </w:rPr>
            </w:pPr>
            <w:r>
              <w:rPr>
                <w:color w:val="231F20"/>
                <w:sz w:val="14"/>
              </w:rPr>
              <w:t xml:space="preserve">теоријска настава </w:t>
            </w:r>
            <w:r>
              <w:rPr>
                <w:b/>
                <w:color w:val="231F20"/>
                <w:sz w:val="14"/>
              </w:rPr>
              <w:t>(96</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numPr>
                <w:ilvl w:val="0"/>
                <w:numId w:val="1575"/>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1575"/>
              </w:numPr>
              <w:tabs>
                <w:tab w:val="left" w:pos="158"/>
              </w:tabs>
              <w:spacing w:line="160" w:lineRule="exact"/>
              <w:ind w:right="89" w:hanging="99"/>
              <w:rPr>
                <w:sz w:val="14"/>
              </w:rPr>
            </w:pPr>
            <w:r>
              <w:rPr>
                <w:color w:val="231F20"/>
                <w:sz w:val="14"/>
              </w:rPr>
              <w:t>Могућност обраде савремене драме кроз повезивање са другим медијима ­ драмски текст као по­ зоришна представа, радио драма или ТВ ­</w:t>
            </w:r>
            <w:r>
              <w:rPr>
                <w:color w:val="231F20"/>
                <w:spacing w:val="-2"/>
                <w:sz w:val="14"/>
              </w:rPr>
              <w:t xml:space="preserve"> </w:t>
            </w:r>
            <w:r>
              <w:rPr>
                <w:color w:val="231F20"/>
                <w:sz w:val="14"/>
              </w:rPr>
              <w:t>драма.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400"/>
        </w:trPr>
        <w:tc>
          <w:tcPr>
            <w:tcW w:w="1304" w:type="dxa"/>
          </w:tcPr>
          <w:p w:rsidR="00041039" w:rsidRDefault="001B26CB">
            <w:pPr>
              <w:pStyle w:val="TableParagraph"/>
              <w:spacing w:before="18"/>
              <w:ind w:left="56"/>
              <w:rPr>
                <w:sz w:val="14"/>
              </w:rPr>
            </w:pPr>
            <w:r>
              <w:rPr>
                <w:color w:val="231F20"/>
                <w:sz w:val="14"/>
              </w:rPr>
              <w:lastRenderedPageBreak/>
              <w:t>Савремена проза</w:t>
            </w:r>
          </w:p>
        </w:tc>
        <w:tc>
          <w:tcPr>
            <w:tcW w:w="1587" w:type="dxa"/>
          </w:tcPr>
          <w:p w:rsidR="00041039" w:rsidRDefault="001B26CB">
            <w:pPr>
              <w:pStyle w:val="TableParagraph"/>
              <w:numPr>
                <w:ilvl w:val="0"/>
                <w:numId w:val="1574"/>
              </w:numPr>
              <w:tabs>
                <w:tab w:val="left" w:pos="157"/>
              </w:tabs>
              <w:spacing w:before="8"/>
              <w:ind w:right="69"/>
              <w:rPr>
                <w:sz w:val="14"/>
              </w:rPr>
            </w:pPr>
            <w:r>
              <w:rPr>
                <w:color w:val="231F20"/>
                <w:sz w:val="14"/>
              </w:rPr>
              <w:t>Упознавање са књижевнотеоријским појмовима, специфи­ чностима савремене прозе, њеним п</w:t>
            </w:r>
            <w:r>
              <w:rPr>
                <w:color w:val="231F20"/>
                <w:sz w:val="14"/>
              </w:rPr>
              <w:t>редста­ вницима и</w:t>
            </w:r>
            <w:r>
              <w:rPr>
                <w:color w:val="231F20"/>
                <w:spacing w:val="-3"/>
                <w:sz w:val="14"/>
              </w:rPr>
              <w:t xml:space="preserve"> </w:t>
            </w:r>
            <w:r>
              <w:rPr>
                <w:color w:val="231F20"/>
                <w:sz w:val="14"/>
              </w:rPr>
              <w:t>делима.</w:t>
            </w:r>
          </w:p>
        </w:tc>
        <w:tc>
          <w:tcPr>
            <w:tcW w:w="2551" w:type="dxa"/>
          </w:tcPr>
          <w:p w:rsidR="00041039" w:rsidRDefault="001B26CB">
            <w:pPr>
              <w:pStyle w:val="TableParagraph"/>
              <w:numPr>
                <w:ilvl w:val="0"/>
                <w:numId w:val="1573"/>
              </w:numPr>
              <w:tabs>
                <w:tab w:val="left" w:pos="157"/>
              </w:tabs>
              <w:spacing w:before="8"/>
              <w:ind w:right="64" w:hanging="99"/>
              <w:rPr>
                <w:sz w:val="14"/>
              </w:rPr>
            </w:pPr>
            <w:r>
              <w:rPr>
                <w:color w:val="231F20"/>
                <w:sz w:val="14"/>
              </w:rPr>
              <w:t>именује различите прозне врсте и при­ поведне</w:t>
            </w:r>
            <w:r>
              <w:rPr>
                <w:color w:val="231F20"/>
                <w:spacing w:val="-1"/>
                <w:sz w:val="14"/>
              </w:rPr>
              <w:t xml:space="preserve"> </w:t>
            </w:r>
            <w:r>
              <w:rPr>
                <w:color w:val="231F20"/>
                <w:sz w:val="14"/>
              </w:rPr>
              <w:t>поступке;</w:t>
            </w:r>
          </w:p>
          <w:p w:rsidR="00041039" w:rsidRDefault="001B26CB">
            <w:pPr>
              <w:pStyle w:val="TableParagraph"/>
              <w:numPr>
                <w:ilvl w:val="0"/>
                <w:numId w:val="1573"/>
              </w:numPr>
              <w:tabs>
                <w:tab w:val="left" w:pos="157"/>
              </w:tabs>
              <w:spacing w:line="160" w:lineRule="exact"/>
              <w:ind w:right="400" w:hanging="99"/>
              <w:rPr>
                <w:sz w:val="14"/>
              </w:rPr>
            </w:pPr>
            <w:r>
              <w:rPr>
                <w:color w:val="231F20"/>
                <w:sz w:val="14"/>
              </w:rPr>
              <w:t>тумачи дело у складу са</w:t>
            </w:r>
            <w:r>
              <w:rPr>
                <w:color w:val="231F20"/>
                <w:spacing w:val="-16"/>
                <w:sz w:val="14"/>
              </w:rPr>
              <w:t xml:space="preserve"> </w:t>
            </w:r>
            <w:r>
              <w:rPr>
                <w:color w:val="231F20"/>
                <w:sz w:val="14"/>
              </w:rPr>
              <w:t>његовим жанровским особеностима;</w:t>
            </w:r>
          </w:p>
          <w:p w:rsidR="00041039" w:rsidRDefault="001B26CB">
            <w:pPr>
              <w:pStyle w:val="TableParagraph"/>
              <w:numPr>
                <w:ilvl w:val="0"/>
                <w:numId w:val="1573"/>
              </w:numPr>
              <w:tabs>
                <w:tab w:val="left" w:pos="157"/>
              </w:tabs>
              <w:spacing w:line="160" w:lineRule="exact"/>
              <w:ind w:right="394" w:hanging="99"/>
              <w:rPr>
                <w:sz w:val="14"/>
              </w:rPr>
            </w:pPr>
            <w:r>
              <w:rPr>
                <w:color w:val="231F20"/>
                <w:sz w:val="14"/>
              </w:rPr>
              <w:t xml:space="preserve">интегрише лично искуство </w:t>
            </w:r>
            <w:r>
              <w:rPr>
                <w:color w:val="231F20"/>
                <w:spacing w:val="-3"/>
                <w:sz w:val="14"/>
              </w:rPr>
              <w:t xml:space="preserve">током </w:t>
            </w:r>
            <w:r>
              <w:rPr>
                <w:color w:val="231F20"/>
                <w:sz w:val="14"/>
              </w:rPr>
              <w:t>читања и тумачења</w:t>
            </w:r>
            <w:r>
              <w:rPr>
                <w:color w:val="231F20"/>
                <w:spacing w:val="-3"/>
                <w:sz w:val="14"/>
              </w:rPr>
              <w:t xml:space="preserve"> </w:t>
            </w:r>
            <w:r>
              <w:rPr>
                <w:color w:val="231F20"/>
                <w:sz w:val="14"/>
              </w:rPr>
              <w:t>дела;</w:t>
            </w:r>
          </w:p>
          <w:p w:rsidR="00041039" w:rsidRDefault="001B26CB">
            <w:pPr>
              <w:pStyle w:val="TableParagraph"/>
              <w:numPr>
                <w:ilvl w:val="0"/>
                <w:numId w:val="1573"/>
              </w:numPr>
              <w:tabs>
                <w:tab w:val="left" w:pos="157"/>
              </w:tabs>
              <w:spacing w:line="159" w:lineRule="exact"/>
              <w:ind w:hanging="99"/>
              <w:rPr>
                <w:sz w:val="14"/>
              </w:rPr>
            </w:pPr>
            <w:r>
              <w:rPr>
                <w:color w:val="231F20"/>
                <w:sz w:val="14"/>
              </w:rPr>
              <w:t>вреднује дело износећи</w:t>
            </w:r>
            <w:r>
              <w:rPr>
                <w:color w:val="231F20"/>
                <w:spacing w:val="-2"/>
                <w:sz w:val="14"/>
              </w:rPr>
              <w:t xml:space="preserve"> </w:t>
            </w:r>
            <w:r>
              <w:rPr>
                <w:color w:val="231F20"/>
                <w:sz w:val="14"/>
              </w:rPr>
              <w:t>аргументе;</w:t>
            </w:r>
          </w:p>
        </w:tc>
        <w:tc>
          <w:tcPr>
            <w:tcW w:w="2834" w:type="dxa"/>
          </w:tcPr>
          <w:p w:rsidR="00041039" w:rsidRDefault="001B26CB">
            <w:pPr>
              <w:pStyle w:val="TableParagraph"/>
              <w:numPr>
                <w:ilvl w:val="0"/>
                <w:numId w:val="1572"/>
              </w:numPr>
              <w:tabs>
                <w:tab w:val="left" w:pos="157"/>
              </w:tabs>
              <w:spacing w:before="8"/>
              <w:ind w:right="271" w:hanging="99"/>
              <w:rPr>
                <w:sz w:val="14"/>
              </w:rPr>
            </w:pPr>
            <w:r>
              <w:rPr>
                <w:color w:val="231F20"/>
                <w:sz w:val="14"/>
              </w:rPr>
              <w:t>Структурни чиниоци прозног књижевноуметничког дела и</w:t>
            </w:r>
            <w:r>
              <w:rPr>
                <w:color w:val="231F20"/>
                <w:spacing w:val="-25"/>
                <w:sz w:val="14"/>
              </w:rPr>
              <w:t xml:space="preserve"> </w:t>
            </w:r>
            <w:r>
              <w:rPr>
                <w:color w:val="231F20"/>
                <w:sz w:val="14"/>
              </w:rPr>
              <w:t>типологија романа.</w:t>
            </w:r>
          </w:p>
          <w:p w:rsidR="00041039" w:rsidRDefault="001B26CB">
            <w:pPr>
              <w:pStyle w:val="TableParagraph"/>
              <w:numPr>
                <w:ilvl w:val="0"/>
                <w:numId w:val="1572"/>
              </w:numPr>
              <w:tabs>
                <w:tab w:val="left" w:pos="157"/>
              </w:tabs>
              <w:spacing w:line="152" w:lineRule="exact"/>
              <w:ind w:hanging="99"/>
              <w:rPr>
                <w:sz w:val="14"/>
              </w:rPr>
            </w:pPr>
            <w:r>
              <w:rPr>
                <w:color w:val="231F20"/>
                <w:sz w:val="14"/>
              </w:rPr>
              <w:t>Есеј, Исидора Секулић: „О</w:t>
            </w:r>
            <w:r>
              <w:rPr>
                <w:color w:val="231F20"/>
                <w:spacing w:val="-9"/>
                <w:sz w:val="14"/>
              </w:rPr>
              <w:t xml:space="preserve"> </w:t>
            </w:r>
            <w:r>
              <w:rPr>
                <w:color w:val="231F20"/>
                <w:sz w:val="14"/>
              </w:rPr>
              <w:t>култури”.</w:t>
            </w:r>
          </w:p>
          <w:p w:rsidR="00041039" w:rsidRDefault="001B26CB">
            <w:pPr>
              <w:pStyle w:val="TableParagraph"/>
              <w:numPr>
                <w:ilvl w:val="0"/>
                <w:numId w:val="1572"/>
              </w:numPr>
              <w:tabs>
                <w:tab w:val="left" w:pos="157"/>
              </w:tabs>
              <w:spacing w:line="237" w:lineRule="auto"/>
              <w:ind w:right="290" w:hanging="99"/>
              <w:rPr>
                <w:sz w:val="14"/>
              </w:rPr>
            </w:pPr>
            <w:r>
              <w:rPr>
                <w:color w:val="231F20"/>
                <w:sz w:val="14"/>
              </w:rPr>
              <w:t xml:space="preserve">Иво Андрић: „Разговор с </w:t>
            </w:r>
            <w:r>
              <w:rPr>
                <w:color w:val="231F20"/>
                <w:spacing w:val="-3"/>
                <w:sz w:val="14"/>
              </w:rPr>
              <w:t xml:space="preserve">Гојом” </w:t>
            </w:r>
            <w:r>
              <w:rPr>
                <w:color w:val="231F20"/>
                <w:sz w:val="14"/>
              </w:rPr>
              <w:t>или „О причи и</w:t>
            </w:r>
            <w:r>
              <w:rPr>
                <w:color w:val="231F20"/>
                <w:spacing w:val="-3"/>
                <w:sz w:val="14"/>
              </w:rPr>
              <w:t xml:space="preserve"> </w:t>
            </w:r>
            <w:r>
              <w:rPr>
                <w:color w:val="231F20"/>
                <w:sz w:val="14"/>
              </w:rPr>
              <w:t>причању”.</w:t>
            </w:r>
          </w:p>
          <w:p w:rsidR="00041039" w:rsidRDefault="001B26CB">
            <w:pPr>
              <w:pStyle w:val="TableParagraph"/>
              <w:numPr>
                <w:ilvl w:val="0"/>
                <w:numId w:val="1572"/>
              </w:numPr>
              <w:tabs>
                <w:tab w:val="left" w:pos="157"/>
              </w:tabs>
              <w:spacing w:line="160" w:lineRule="exact"/>
              <w:ind w:right="529" w:hanging="99"/>
              <w:rPr>
                <w:sz w:val="14"/>
              </w:rPr>
            </w:pPr>
            <w:r>
              <w:rPr>
                <w:color w:val="231F20"/>
                <w:sz w:val="14"/>
              </w:rPr>
              <w:t xml:space="preserve">Приповетка, </w:t>
            </w:r>
            <w:r>
              <w:rPr>
                <w:color w:val="231F20"/>
                <w:spacing w:val="-2"/>
                <w:sz w:val="14"/>
              </w:rPr>
              <w:t xml:space="preserve">Бранко </w:t>
            </w:r>
            <w:r>
              <w:rPr>
                <w:color w:val="231F20"/>
                <w:sz w:val="14"/>
              </w:rPr>
              <w:t>Ћопић: „Башта сљезове боје”</w:t>
            </w:r>
            <w:r>
              <w:rPr>
                <w:color w:val="231F20"/>
                <w:spacing w:val="-1"/>
                <w:sz w:val="14"/>
              </w:rPr>
              <w:t xml:space="preserve"> </w:t>
            </w:r>
            <w:r>
              <w:rPr>
                <w:color w:val="231F20"/>
                <w:sz w:val="14"/>
              </w:rPr>
              <w:t>(избор).</w:t>
            </w:r>
          </w:p>
          <w:p w:rsidR="00041039" w:rsidRDefault="001B26CB">
            <w:pPr>
              <w:pStyle w:val="TableParagraph"/>
              <w:numPr>
                <w:ilvl w:val="0"/>
                <w:numId w:val="1572"/>
              </w:numPr>
              <w:tabs>
                <w:tab w:val="left" w:pos="157"/>
              </w:tabs>
              <w:spacing w:line="153" w:lineRule="exact"/>
              <w:ind w:hanging="99"/>
              <w:rPr>
                <w:sz w:val="14"/>
              </w:rPr>
            </w:pPr>
            <w:r>
              <w:rPr>
                <w:color w:val="231F20"/>
                <w:sz w:val="14"/>
              </w:rPr>
              <w:t>Данило Киш:„Енциклопедија</w:t>
            </w:r>
            <w:r>
              <w:rPr>
                <w:color w:val="231F20"/>
                <w:spacing w:val="-3"/>
                <w:sz w:val="14"/>
              </w:rPr>
              <w:t xml:space="preserve"> </w:t>
            </w:r>
            <w:r>
              <w:rPr>
                <w:color w:val="231F20"/>
                <w:sz w:val="14"/>
              </w:rPr>
              <w:t>мртвих”.</w:t>
            </w:r>
          </w:p>
          <w:p w:rsidR="00041039" w:rsidRDefault="001B26CB">
            <w:pPr>
              <w:pStyle w:val="TableParagraph"/>
              <w:numPr>
                <w:ilvl w:val="0"/>
                <w:numId w:val="1572"/>
              </w:numPr>
              <w:tabs>
                <w:tab w:val="left" w:pos="157"/>
              </w:tabs>
              <w:spacing w:line="160" w:lineRule="exact"/>
              <w:ind w:hanging="99"/>
              <w:rPr>
                <w:sz w:val="14"/>
              </w:rPr>
            </w:pPr>
            <w:r>
              <w:rPr>
                <w:color w:val="231F20"/>
                <w:sz w:val="14"/>
              </w:rPr>
              <w:t xml:space="preserve">Борхес: </w:t>
            </w:r>
            <w:r>
              <w:rPr>
                <w:color w:val="231F20"/>
                <w:spacing w:val="-4"/>
                <w:sz w:val="14"/>
              </w:rPr>
              <w:t>„Чекање”.</w:t>
            </w:r>
          </w:p>
          <w:p w:rsidR="00041039" w:rsidRDefault="001B26CB">
            <w:pPr>
              <w:pStyle w:val="TableParagraph"/>
              <w:numPr>
                <w:ilvl w:val="0"/>
                <w:numId w:val="1572"/>
              </w:numPr>
              <w:tabs>
                <w:tab w:val="left" w:pos="157"/>
              </w:tabs>
              <w:spacing w:line="160" w:lineRule="exact"/>
              <w:ind w:hanging="99"/>
              <w:rPr>
                <w:sz w:val="14"/>
              </w:rPr>
            </w:pPr>
            <w:r>
              <w:rPr>
                <w:color w:val="231F20"/>
                <w:sz w:val="14"/>
              </w:rPr>
              <w:t>Роман. Албер Ками:</w:t>
            </w:r>
            <w:r>
              <w:rPr>
                <w:color w:val="231F20"/>
                <w:spacing w:val="-15"/>
                <w:sz w:val="14"/>
              </w:rPr>
              <w:t xml:space="preserve"> </w:t>
            </w:r>
            <w:r>
              <w:rPr>
                <w:color w:val="231F20"/>
                <w:sz w:val="14"/>
              </w:rPr>
              <w:t>„Странац”.</w:t>
            </w:r>
          </w:p>
          <w:p w:rsidR="00041039" w:rsidRDefault="001B26CB">
            <w:pPr>
              <w:pStyle w:val="TableParagraph"/>
              <w:numPr>
                <w:ilvl w:val="0"/>
                <w:numId w:val="1572"/>
              </w:numPr>
              <w:tabs>
                <w:tab w:val="left" w:pos="157"/>
              </w:tabs>
              <w:spacing w:line="160" w:lineRule="exact"/>
              <w:ind w:hanging="99"/>
              <w:rPr>
                <w:sz w:val="14"/>
              </w:rPr>
            </w:pPr>
            <w:r>
              <w:rPr>
                <w:color w:val="231F20"/>
                <w:sz w:val="14"/>
              </w:rPr>
              <w:t>Иво Андрић: „Проклета</w:t>
            </w:r>
            <w:r>
              <w:rPr>
                <w:color w:val="231F20"/>
                <w:spacing w:val="-17"/>
                <w:sz w:val="14"/>
              </w:rPr>
              <w:t xml:space="preserve"> </w:t>
            </w:r>
            <w:r>
              <w:rPr>
                <w:color w:val="231F20"/>
                <w:sz w:val="14"/>
              </w:rPr>
              <w:t>авлија”.</w:t>
            </w:r>
          </w:p>
          <w:p w:rsidR="00041039" w:rsidRDefault="001B26CB">
            <w:pPr>
              <w:pStyle w:val="TableParagraph"/>
              <w:numPr>
                <w:ilvl w:val="0"/>
                <w:numId w:val="1572"/>
              </w:numPr>
              <w:tabs>
                <w:tab w:val="left" w:pos="157"/>
              </w:tabs>
              <w:spacing w:line="237" w:lineRule="auto"/>
              <w:ind w:right="107" w:hanging="99"/>
              <w:rPr>
                <w:sz w:val="14"/>
              </w:rPr>
            </w:pPr>
            <w:r>
              <w:rPr>
                <w:color w:val="231F20"/>
                <w:sz w:val="14"/>
              </w:rPr>
              <w:t>Владан Десница: „Прољећа Ивана Галеба” (одломак по избору као пример за</w:t>
            </w:r>
            <w:r>
              <w:rPr>
                <w:color w:val="231F20"/>
                <w:spacing w:val="-20"/>
                <w:sz w:val="14"/>
              </w:rPr>
              <w:t xml:space="preserve"> </w:t>
            </w:r>
            <w:r>
              <w:rPr>
                <w:color w:val="231F20"/>
                <w:sz w:val="14"/>
              </w:rPr>
              <w:t>роман</w:t>
            </w:r>
          </w:p>
          <w:p w:rsidR="00041039" w:rsidRDefault="001B26CB">
            <w:pPr>
              <w:pStyle w:val="TableParagraph"/>
              <w:spacing w:line="155" w:lineRule="exact"/>
              <w:rPr>
                <w:sz w:val="14"/>
              </w:rPr>
            </w:pPr>
            <w:r>
              <w:rPr>
                <w:color w:val="231F20"/>
                <w:sz w:val="14"/>
              </w:rPr>
              <w:t>- есеј).</w:t>
            </w:r>
          </w:p>
          <w:p w:rsidR="00041039" w:rsidRDefault="001B26CB">
            <w:pPr>
              <w:pStyle w:val="TableParagraph"/>
              <w:numPr>
                <w:ilvl w:val="0"/>
                <w:numId w:val="1572"/>
              </w:numPr>
              <w:tabs>
                <w:tab w:val="left" w:pos="157"/>
              </w:tabs>
              <w:spacing w:line="160" w:lineRule="exact"/>
              <w:ind w:hanging="99"/>
              <w:rPr>
                <w:sz w:val="14"/>
              </w:rPr>
            </w:pPr>
            <w:r>
              <w:rPr>
                <w:color w:val="231F20"/>
                <w:sz w:val="14"/>
              </w:rPr>
              <w:t>Меша Селимовић: „Дервиш и</w:t>
            </w:r>
            <w:r>
              <w:rPr>
                <w:color w:val="231F20"/>
                <w:spacing w:val="-2"/>
                <w:sz w:val="14"/>
              </w:rPr>
              <w:t xml:space="preserve"> </w:t>
            </w:r>
            <w:r>
              <w:rPr>
                <w:color w:val="231F20"/>
                <w:sz w:val="14"/>
              </w:rPr>
              <w:t>смрт”</w:t>
            </w:r>
          </w:p>
          <w:p w:rsidR="00041039" w:rsidRDefault="001B26CB">
            <w:pPr>
              <w:pStyle w:val="TableParagraph"/>
              <w:numPr>
                <w:ilvl w:val="0"/>
                <w:numId w:val="1572"/>
              </w:numPr>
              <w:tabs>
                <w:tab w:val="left" w:pos="157"/>
              </w:tabs>
              <w:spacing w:line="160" w:lineRule="exact"/>
              <w:ind w:hanging="99"/>
              <w:rPr>
                <w:sz w:val="14"/>
              </w:rPr>
            </w:pPr>
            <w:r>
              <w:rPr>
                <w:color w:val="231F20"/>
                <w:sz w:val="14"/>
              </w:rPr>
              <w:t>Добрица Ћосић:</w:t>
            </w:r>
            <w:r>
              <w:rPr>
                <w:color w:val="231F20"/>
                <w:spacing w:val="-2"/>
                <w:sz w:val="14"/>
              </w:rPr>
              <w:t xml:space="preserve"> </w:t>
            </w:r>
            <w:r>
              <w:rPr>
                <w:color w:val="231F20"/>
                <w:sz w:val="14"/>
              </w:rPr>
              <w:t>„Корени”.</w:t>
            </w:r>
          </w:p>
          <w:p w:rsidR="00041039" w:rsidRDefault="001B26CB">
            <w:pPr>
              <w:pStyle w:val="TableParagraph"/>
              <w:numPr>
                <w:ilvl w:val="0"/>
                <w:numId w:val="1572"/>
              </w:numPr>
              <w:tabs>
                <w:tab w:val="left" w:pos="157"/>
              </w:tabs>
              <w:spacing w:line="237" w:lineRule="auto"/>
              <w:ind w:right="339" w:hanging="99"/>
              <w:rPr>
                <w:sz w:val="14"/>
              </w:rPr>
            </w:pPr>
            <w:r>
              <w:rPr>
                <w:color w:val="231F20"/>
                <w:sz w:val="14"/>
              </w:rPr>
              <w:t>Добрица Ћосић: „Време смрти” (изб</w:t>
            </w:r>
            <w:r>
              <w:rPr>
                <w:color w:val="231F20"/>
                <w:sz w:val="14"/>
              </w:rPr>
              <w:t>ор одломака).</w:t>
            </w:r>
          </w:p>
          <w:p w:rsidR="00041039" w:rsidRDefault="001B26CB">
            <w:pPr>
              <w:pStyle w:val="TableParagraph"/>
              <w:numPr>
                <w:ilvl w:val="0"/>
                <w:numId w:val="1572"/>
              </w:numPr>
              <w:tabs>
                <w:tab w:val="left" w:pos="157"/>
              </w:tabs>
              <w:spacing w:line="160" w:lineRule="exact"/>
              <w:ind w:right="439" w:hanging="99"/>
              <w:rPr>
                <w:sz w:val="14"/>
              </w:rPr>
            </w:pPr>
            <w:r>
              <w:rPr>
                <w:color w:val="231F20"/>
                <w:sz w:val="14"/>
              </w:rPr>
              <w:t>Књижевна критика. Петар Џаџић:</w:t>
            </w:r>
            <w:r>
              <w:rPr>
                <w:color w:val="231F20"/>
                <w:spacing w:val="-11"/>
                <w:sz w:val="14"/>
              </w:rPr>
              <w:t xml:space="preserve"> </w:t>
            </w:r>
            <w:r>
              <w:rPr>
                <w:color w:val="231F20"/>
                <w:sz w:val="14"/>
              </w:rPr>
              <w:t>„О Проклетој</w:t>
            </w:r>
            <w:r>
              <w:rPr>
                <w:color w:val="231F20"/>
                <w:spacing w:val="-1"/>
                <w:sz w:val="14"/>
              </w:rPr>
              <w:t xml:space="preserve"> </w:t>
            </w:r>
            <w:r>
              <w:rPr>
                <w:color w:val="231F20"/>
                <w:sz w:val="14"/>
              </w:rPr>
              <w:t>авлији”.</w:t>
            </w:r>
          </w:p>
        </w:tc>
        <w:tc>
          <w:tcPr>
            <w:tcW w:w="2267" w:type="dxa"/>
            <w:vMerge w:val="restart"/>
          </w:tcPr>
          <w:p w:rsidR="00041039" w:rsidRDefault="001B26CB">
            <w:pPr>
              <w:pStyle w:val="TableParagraph"/>
              <w:spacing w:before="16"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571"/>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571"/>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571"/>
              </w:numPr>
              <w:tabs>
                <w:tab w:val="left" w:pos="158"/>
              </w:tabs>
              <w:spacing w:line="160" w:lineRule="exact"/>
              <w:ind w:hanging="99"/>
              <w:rPr>
                <w:b/>
                <w:sz w:val="14"/>
              </w:rPr>
            </w:pPr>
            <w:r>
              <w:rPr>
                <w:color w:val="231F20"/>
                <w:sz w:val="14"/>
              </w:rPr>
              <w:t xml:space="preserve">Савремена поезија </w:t>
            </w:r>
            <w:r>
              <w:rPr>
                <w:b/>
                <w:color w:val="231F20"/>
                <w:sz w:val="14"/>
              </w:rPr>
              <w:t>(13</w:t>
            </w:r>
            <w:r>
              <w:rPr>
                <w:b/>
                <w:color w:val="231F20"/>
                <w:spacing w:val="-4"/>
                <w:sz w:val="14"/>
              </w:rPr>
              <w:t xml:space="preserve"> </w:t>
            </w:r>
            <w:r>
              <w:rPr>
                <w:b/>
                <w:color w:val="231F20"/>
                <w:sz w:val="14"/>
              </w:rPr>
              <w:t>часова)</w:t>
            </w:r>
          </w:p>
          <w:p w:rsidR="00041039" w:rsidRDefault="001B26CB">
            <w:pPr>
              <w:pStyle w:val="TableParagraph"/>
              <w:numPr>
                <w:ilvl w:val="0"/>
                <w:numId w:val="1571"/>
              </w:numPr>
              <w:tabs>
                <w:tab w:val="left" w:pos="158"/>
              </w:tabs>
              <w:spacing w:line="160" w:lineRule="exact"/>
              <w:ind w:hanging="99"/>
              <w:rPr>
                <w:b/>
                <w:sz w:val="14"/>
              </w:rPr>
            </w:pPr>
            <w:r>
              <w:rPr>
                <w:color w:val="231F20"/>
                <w:sz w:val="14"/>
              </w:rPr>
              <w:t xml:space="preserve">Савремена проза </w:t>
            </w:r>
            <w:r>
              <w:rPr>
                <w:b/>
                <w:color w:val="231F20"/>
                <w:sz w:val="14"/>
              </w:rPr>
              <w:t>(28</w:t>
            </w:r>
            <w:r>
              <w:rPr>
                <w:b/>
                <w:color w:val="231F20"/>
                <w:spacing w:val="-3"/>
                <w:sz w:val="14"/>
              </w:rPr>
              <w:t xml:space="preserve"> </w:t>
            </w:r>
            <w:r>
              <w:rPr>
                <w:b/>
                <w:color w:val="231F20"/>
                <w:sz w:val="14"/>
              </w:rPr>
              <w:t>часова)</w:t>
            </w:r>
          </w:p>
          <w:p w:rsidR="00041039" w:rsidRDefault="001B26CB">
            <w:pPr>
              <w:pStyle w:val="TableParagraph"/>
              <w:numPr>
                <w:ilvl w:val="0"/>
                <w:numId w:val="1571"/>
              </w:numPr>
              <w:tabs>
                <w:tab w:val="left" w:pos="158"/>
              </w:tabs>
              <w:spacing w:line="160" w:lineRule="exact"/>
              <w:ind w:hanging="99"/>
              <w:rPr>
                <w:b/>
                <w:sz w:val="14"/>
              </w:rPr>
            </w:pPr>
            <w:r>
              <w:rPr>
                <w:color w:val="231F20"/>
                <w:sz w:val="14"/>
              </w:rPr>
              <w:t xml:space="preserve">Савремена драма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numPr>
                <w:ilvl w:val="0"/>
                <w:numId w:val="1571"/>
              </w:numPr>
              <w:tabs>
                <w:tab w:val="left" w:pos="158"/>
              </w:tabs>
              <w:spacing w:line="165" w:lineRule="exact"/>
              <w:ind w:hanging="99"/>
              <w:rPr>
                <w:sz w:val="14"/>
              </w:rPr>
            </w:pPr>
            <w:r>
              <w:rPr>
                <w:color w:val="231F20"/>
                <w:sz w:val="14"/>
              </w:rPr>
              <w:t>Класици светске</w:t>
            </w:r>
            <w:r>
              <w:rPr>
                <w:color w:val="231F20"/>
                <w:spacing w:val="-1"/>
                <w:sz w:val="14"/>
              </w:rPr>
              <w:t xml:space="preserve"> </w:t>
            </w:r>
            <w:r>
              <w:rPr>
                <w:color w:val="231F20"/>
                <w:sz w:val="14"/>
              </w:rPr>
              <w:t>књижевности</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numPr>
                <w:ilvl w:val="0"/>
                <w:numId w:val="1571"/>
              </w:numPr>
              <w:tabs>
                <w:tab w:val="left" w:pos="158"/>
              </w:tabs>
              <w:spacing w:line="160" w:lineRule="exact"/>
              <w:ind w:hanging="99"/>
              <w:rPr>
                <w:b/>
                <w:sz w:val="14"/>
              </w:rPr>
            </w:pPr>
            <w:r>
              <w:rPr>
                <w:color w:val="231F20"/>
                <w:sz w:val="14"/>
              </w:rPr>
              <w:t xml:space="preserve">Синтакса </w:t>
            </w:r>
            <w:r>
              <w:rPr>
                <w:b/>
                <w:color w:val="231F20"/>
                <w:sz w:val="14"/>
              </w:rPr>
              <w:t>(8</w:t>
            </w:r>
            <w:r>
              <w:rPr>
                <w:b/>
                <w:color w:val="231F20"/>
                <w:spacing w:val="-10"/>
                <w:sz w:val="14"/>
              </w:rPr>
              <w:t xml:space="preserve"> </w:t>
            </w:r>
            <w:r>
              <w:rPr>
                <w:b/>
                <w:color w:val="231F20"/>
                <w:sz w:val="14"/>
              </w:rPr>
              <w:t>часова)</w:t>
            </w:r>
          </w:p>
          <w:p w:rsidR="00041039" w:rsidRDefault="001B26CB">
            <w:pPr>
              <w:pStyle w:val="TableParagraph"/>
              <w:numPr>
                <w:ilvl w:val="0"/>
                <w:numId w:val="1571"/>
              </w:numPr>
              <w:tabs>
                <w:tab w:val="left" w:pos="158"/>
              </w:tabs>
              <w:spacing w:line="160" w:lineRule="exact"/>
              <w:ind w:hanging="99"/>
              <w:rPr>
                <w:b/>
                <w:sz w:val="14"/>
              </w:rPr>
            </w:pPr>
            <w:r>
              <w:rPr>
                <w:color w:val="231F20"/>
                <w:sz w:val="14"/>
              </w:rPr>
              <w:t xml:space="preserve">Правопис </w:t>
            </w:r>
            <w:r>
              <w:rPr>
                <w:b/>
                <w:color w:val="231F20"/>
                <w:sz w:val="14"/>
              </w:rPr>
              <w:t>(6</w:t>
            </w:r>
            <w:r>
              <w:rPr>
                <w:b/>
                <w:color w:val="231F20"/>
                <w:spacing w:val="-12"/>
                <w:sz w:val="14"/>
              </w:rPr>
              <w:t xml:space="preserve"> </w:t>
            </w:r>
            <w:r>
              <w:rPr>
                <w:b/>
                <w:color w:val="231F20"/>
                <w:sz w:val="14"/>
              </w:rPr>
              <w:t>часова)</w:t>
            </w:r>
          </w:p>
          <w:p w:rsidR="00041039" w:rsidRDefault="001B26CB">
            <w:pPr>
              <w:pStyle w:val="TableParagraph"/>
              <w:numPr>
                <w:ilvl w:val="0"/>
                <w:numId w:val="1571"/>
              </w:numPr>
              <w:tabs>
                <w:tab w:val="left" w:pos="158"/>
              </w:tabs>
              <w:spacing w:line="166"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(22</w:t>
            </w:r>
            <w:r>
              <w:rPr>
                <w:b/>
                <w:color w:val="231F20"/>
                <w:sz w:val="14"/>
              </w:rPr>
              <w:t xml:space="preserve"> </w:t>
            </w:r>
            <w:r>
              <w:rPr>
                <w:b/>
                <w:color w:val="231F20"/>
                <w:sz w:val="14"/>
              </w:rPr>
              <w:t>часа)</w:t>
            </w:r>
          </w:p>
        </w:tc>
      </w:tr>
      <w:tr w:rsidR="00041039">
        <w:trPr>
          <w:trHeight w:val="1320"/>
        </w:trPr>
        <w:tc>
          <w:tcPr>
            <w:tcW w:w="1304" w:type="dxa"/>
          </w:tcPr>
          <w:p w:rsidR="00041039" w:rsidRDefault="001B26CB">
            <w:pPr>
              <w:pStyle w:val="TableParagraph"/>
              <w:spacing w:before="19"/>
              <w:ind w:left="56"/>
              <w:rPr>
                <w:sz w:val="14"/>
              </w:rPr>
            </w:pPr>
            <w:r>
              <w:rPr>
                <w:color w:val="231F20"/>
                <w:sz w:val="14"/>
              </w:rPr>
              <w:t>Савремена драма</w:t>
            </w:r>
          </w:p>
        </w:tc>
        <w:tc>
          <w:tcPr>
            <w:tcW w:w="1587" w:type="dxa"/>
          </w:tcPr>
          <w:p w:rsidR="00041039" w:rsidRDefault="001B26CB">
            <w:pPr>
              <w:pStyle w:val="TableParagraph"/>
              <w:numPr>
                <w:ilvl w:val="0"/>
                <w:numId w:val="1570"/>
              </w:numPr>
              <w:tabs>
                <w:tab w:val="left" w:pos="157"/>
              </w:tabs>
              <w:spacing w:before="9"/>
              <w:ind w:right="238"/>
              <w:rPr>
                <w:sz w:val="14"/>
              </w:rPr>
            </w:pPr>
            <w:r>
              <w:rPr>
                <w:color w:val="231F20"/>
                <w:sz w:val="14"/>
              </w:rPr>
              <w:t>У познавање са основним</w:t>
            </w:r>
            <w:r>
              <w:rPr>
                <w:color w:val="231F20"/>
                <w:spacing w:val="-6"/>
                <w:sz w:val="14"/>
              </w:rPr>
              <w:t xml:space="preserve"> </w:t>
            </w:r>
            <w:r>
              <w:rPr>
                <w:color w:val="231F20"/>
                <w:sz w:val="14"/>
              </w:rPr>
              <w:t>одликама савремене драме, представницима и делима.</w:t>
            </w:r>
          </w:p>
        </w:tc>
        <w:tc>
          <w:tcPr>
            <w:tcW w:w="2551" w:type="dxa"/>
          </w:tcPr>
          <w:p w:rsidR="00041039" w:rsidRDefault="001B26CB">
            <w:pPr>
              <w:pStyle w:val="TableParagraph"/>
              <w:numPr>
                <w:ilvl w:val="0"/>
                <w:numId w:val="1569"/>
              </w:numPr>
              <w:tabs>
                <w:tab w:val="left" w:pos="157"/>
              </w:tabs>
              <w:spacing w:before="9"/>
              <w:ind w:right="128" w:hanging="99"/>
              <w:rPr>
                <w:sz w:val="14"/>
              </w:rPr>
            </w:pPr>
            <w:r>
              <w:rPr>
                <w:color w:val="231F20"/>
                <w:sz w:val="14"/>
              </w:rPr>
              <w:t>увиди разлику између традиционалне и савремене</w:t>
            </w:r>
            <w:r>
              <w:rPr>
                <w:color w:val="231F20"/>
                <w:spacing w:val="-1"/>
                <w:sz w:val="14"/>
              </w:rPr>
              <w:t xml:space="preserve"> </w:t>
            </w:r>
            <w:r>
              <w:rPr>
                <w:color w:val="231F20"/>
                <w:sz w:val="14"/>
              </w:rPr>
              <w:t>драме;</w:t>
            </w:r>
          </w:p>
          <w:p w:rsidR="00041039" w:rsidRDefault="001B26CB">
            <w:pPr>
              <w:pStyle w:val="TableParagraph"/>
              <w:numPr>
                <w:ilvl w:val="0"/>
                <w:numId w:val="1569"/>
              </w:numPr>
              <w:tabs>
                <w:tab w:val="left" w:pos="157"/>
              </w:tabs>
              <w:spacing w:line="160" w:lineRule="exact"/>
              <w:ind w:right="198" w:hanging="99"/>
              <w:rPr>
                <w:sz w:val="14"/>
              </w:rPr>
            </w:pPr>
            <w:r>
              <w:rPr>
                <w:color w:val="231F20"/>
                <w:sz w:val="14"/>
              </w:rPr>
              <w:t>упореди драмски књижевни текст</w:t>
            </w:r>
            <w:r>
              <w:rPr>
                <w:color w:val="231F20"/>
                <w:spacing w:val="-7"/>
                <w:sz w:val="14"/>
              </w:rPr>
              <w:t xml:space="preserve"> </w:t>
            </w:r>
            <w:r>
              <w:rPr>
                <w:color w:val="231F20"/>
                <w:sz w:val="14"/>
              </w:rPr>
              <w:t>са другим облицима његове интерпре­ тације;</w:t>
            </w:r>
          </w:p>
          <w:p w:rsidR="00041039" w:rsidRDefault="001B26CB">
            <w:pPr>
              <w:pStyle w:val="TableParagraph"/>
              <w:numPr>
                <w:ilvl w:val="0"/>
                <w:numId w:val="1569"/>
              </w:numPr>
              <w:tabs>
                <w:tab w:val="left" w:pos="157"/>
              </w:tabs>
              <w:spacing w:line="160" w:lineRule="exact"/>
              <w:ind w:right="44" w:hanging="99"/>
              <w:rPr>
                <w:sz w:val="14"/>
              </w:rPr>
            </w:pPr>
            <w:r>
              <w:rPr>
                <w:color w:val="231F20"/>
                <w:sz w:val="14"/>
              </w:rPr>
              <w:t>формулише</w:t>
            </w:r>
            <w:r>
              <w:rPr>
                <w:color w:val="231F20"/>
                <w:spacing w:val="-7"/>
                <w:sz w:val="14"/>
              </w:rPr>
              <w:t xml:space="preserve"> </w:t>
            </w:r>
            <w:r>
              <w:rPr>
                <w:color w:val="231F20"/>
                <w:sz w:val="14"/>
              </w:rPr>
              <w:t>личне</w:t>
            </w:r>
            <w:r>
              <w:rPr>
                <w:color w:val="231F20"/>
                <w:spacing w:val="-7"/>
                <w:sz w:val="14"/>
              </w:rPr>
              <w:t xml:space="preserve"> </w:t>
            </w:r>
            <w:r>
              <w:rPr>
                <w:color w:val="231F20"/>
                <w:sz w:val="14"/>
              </w:rPr>
              <w:t>утиске</w:t>
            </w:r>
            <w:r>
              <w:rPr>
                <w:color w:val="231F20"/>
                <w:spacing w:val="-6"/>
                <w:sz w:val="14"/>
              </w:rPr>
              <w:t xml:space="preserve"> </w:t>
            </w:r>
            <w:r>
              <w:rPr>
                <w:color w:val="231F20"/>
                <w:sz w:val="14"/>
              </w:rPr>
              <w:t>и</w:t>
            </w:r>
            <w:r>
              <w:rPr>
                <w:color w:val="231F20"/>
                <w:spacing w:val="-7"/>
                <w:sz w:val="14"/>
              </w:rPr>
              <w:t xml:space="preserve"> </w:t>
            </w:r>
            <w:r>
              <w:rPr>
                <w:color w:val="231F20"/>
                <w:sz w:val="14"/>
              </w:rPr>
              <w:t>запажања</w:t>
            </w:r>
            <w:r>
              <w:rPr>
                <w:color w:val="231F20"/>
                <w:spacing w:val="-7"/>
                <w:sz w:val="14"/>
              </w:rPr>
              <w:t xml:space="preserve"> </w:t>
            </w:r>
            <w:r>
              <w:rPr>
                <w:color w:val="231F20"/>
                <w:sz w:val="14"/>
              </w:rPr>
              <w:t>о драмском</w:t>
            </w:r>
            <w:r>
              <w:rPr>
                <w:color w:val="231F20"/>
                <w:spacing w:val="-1"/>
                <w:sz w:val="14"/>
              </w:rPr>
              <w:t xml:space="preserve"> </w:t>
            </w:r>
            <w:r>
              <w:rPr>
                <w:color w:val="231F20"/>
                <w:sz w:val="14"/>
              </w:rPr>
              <w:t>делу;</w:t>
            </w:r>
          </w:p>
        </w:tc>
        <w:tc>
          <w:tcPr>
            <w:tcW w:w="2834" w:type="dxa"/>
          </w:tcPr>
          <w:p w:rsidR="00041039" w:rsidRDefault="001B26CB">
            <w:pPr>
              <w:pStyle w:val="TableParagraph"/>
              <w:numPr>
                <w:ilvl w:val="0"/>
                <w:numId w:val="1568"/>
              </w:numPr>
              <w:tabs>
                <w:tab w:val="left" w:pos="157"/>
              </w:tabs>
              <w:spacing w:before="9" w:line="166" w:lineRule="exact"/>
              <w:ind w:hanging="99"/>
              <w:rPr>
                <w:sz w:val="14"/>
              </w:rPr>
            </w:pPr>
            <w:r>
              <w:rPr>
                <w:color w:val="231F20"/>
                <w:sz w:val="14"/>
              </w:rPr>
              <w:t>Одлике савремене</w:t>
            </w:r>
            <w:r>
              <w:rPr>
                <w:color w:val="231F20"/>
                <w:spacing w:val="-1"/>
                <w:sz w:val="14"/>
              </w:rPr>
              <w:t xml:space="preserve"> </w:t>
            </w:r>
            <w:r>
              <w:rPr>
                <w:color w:val="231F20"/>
                <w:sz w:val="14"/>
              </w:rPr>
              <w:t>драме.</w:t>
            </w:r>
          </w:p>
          <w:p w:rsidR="00041039" w:rsidRDefault="001B26CB">
            <w:pPr>
              <w:pStyle w:val="TableParagraph"/>
              <w:numPr>
                <w:ilvl w:val="0"/>
                <w:numId w:val="1568"/>
              </w:numPr>
              <w:tabs>
                <w:tab w:val="left" w:pos="157"/>
              </w:tabs>
              <w:spacing w:line="160" w:lineRule="exact"/>
              <w:ind w:hanging="99"/>
              <w:rPr>
                <w:sz w:val="14"/>
              </w:rPr>
            </w:pPr>
            <w:r>
              <w:rPr>
                <w:color w:val="231F20"/>
                <w:sz w:val="14"/>
              </w:rPr>
              <w:t xml:space="preserve">С. Бекет: </w:t>
            </w:r>
            <w:r>
              <w:rPr>
                <w:color w:val="231F20"/>
                <w:spacing w:val="-4"/>
                <w:sz w:val="14"/>
              </w:rPr>
              <w:t>„Чекајући</w:t>
            </w:r>
            <w:r>
              <w:rPr>
                <w:color w:val="231F20"/>
                <w:sz w:val="14"/>
              </w:rPr>
              <w:t xml:space="preserve"> </w:t>
            </w:r>
            <w:r>
              <w:rPr>
                <w:color w:val="231F20"/>
                <w:spacing w:val="-3"/>
                <w:sz w:val="14"/>
              </w:rPr>
              <w:t>Годоа”.</w:t>
            </w:r>
          </w:p>
          <w:p w:rsidR="00041039" w:rsidRDefault="001B26CB">
            <w:pPr>
              <w:pStyle w:val="TableParagraph"/>
              <w:numPr>
                <w:ilvl w:val="0"/>
                <w:numId w:val="1568"/>
              </w:numPr>
              <w:tabs>
                <w:tab w:val="left" w:pos="157"/>
              </w:tabs>
              <w:spacing w:line="160" w:lineRule="exact"/>
              <w:ind w:hanging="99"/>
              <w:rPr>
                <w:sz w:val="14"/>
              </w:rPr>
            </w:pPr>
            <w:r>
              <w:rPr>
                <w:color w:val="231F20"/>
                <w:sz w:val="14"/>
              </w:rPr>
              <w:t>Душан Ковачевић: „Балкански</w:t>
            </w:r>
            <w:r>
              <w:rPr>
                <w:color w:val="231F20"/>
                <w:spacing w:val="-9"/>
                <w:sz w:val="14"/>
              </w:rPr>
              <w:t xml:space="preserve"> </w:t>
            </w:r>
            <w:r>
              <w:rPr>
                <w:color w:val="231F20"/>
                <w:sz w:val="14"/>
              </w:rPr>
              <w:t>шпијун”.</w:t>
            </w:r>
          </w:p>
          <w:p w:rsidR="00041039" w:rsidRDefault="001B26CB">
            <w:pPr>
              <w:pStyle w:val="TableParagraph"/>
              <w:numPr>
                <w:ilvl w:val="0"/>
                <w:numId w:val="1568"/>
              </w:numPr>
              <w:tabs>
                <w:tab w:val="left" w:pos="157"/>
              </w:tabs>
              <w:spacing w:line="237" w:lineRule="auto"/>
              <w:ind w:right="372" w:hanging="99"/>
              <w:rPr>
                <w:sz w:val="14"/>
              </w:rPr>
            </w:pPr>
            <w:r>
              <w:rPr>
                <w:color w:val="231F20"/>
                <w:sz w:val="14"/>
              </w:rPr>
              <w:t>Драмска књижевност и други медији</w:t>
            </w:r>
            <w:r>
              <w:rPr>
                <w:color w:val="231F20"/>
                <w:spacing w:val="-13"/>
                <w:sz w:val="14"/>
              </w:rPr>
              <w:t xml:space="preserve"> </w:t>
            </w:r>
            <w:r>
              <w:rPr>
                <w:color w:val="231F20"/>
                <w:sz w:val="14"/>
              </w:rPr>
              <w:t xml:space="preserve">­ Б. Пекић: </w:t>
            </w:r>
            <w:r>
              <w:rPr>
                <w:color w:val="231F20"/>
                <w:spacing w:val="-7"/>
                <w:sz w:val="14"/>
              </w:rPr>
              <w:t xml:space="preserve">„Чај </w:t>
            </w:r>
            <w:r>
              <w:rPr>
                <w:color w:val="231F20"/>
                <w:sz w:val="14"/>
              </w:rPr>
              <w:t>у пет” или А.</w:t>
            </w:r>
            <w:r>
              <w:rPr>
                <w:color w:val="231F20"/>
                <w:spacing w:val="-13"/>
                <w:sz w:val="14"/>
              </w:rPr>
              <w:t xml:space="preserve"> </w:t>
            </w:r>
            <w:r>
              <w:rPr>
                <w:color w:val="231F20"/>
                <w:sz w:val="14"/>
              </w:rPr>
              <w:t>Поповић:</w:t>
            </w:r>
          </w:p>
          <w:p w:rsidR="00041039" w:rsidRDefault="001B26CB">
            <w:pPr>
              <w:pStyle w:val="TableParagraph"/>
              <w:spacing w:line="237" w:lineRule="auto"/>
              <w:ind w:right="557"/>
              <w:rPr>
                <w:sz w:val="14"/>
              </w:rPr>
            </w:pPr>
            <w:r>
              <w:rPr>
                <w:color w:val="231F20"/>
                <w:sz w:val="14"/>
              </w:rPr>
              <w:t>„Развојни пут Боре шнајдера” или Љ. Симовић: „Путујуће позориште Шопаловић”.</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6" w:right="226"/>
              <w:rPr>
                <w:sz w:val="14"/>
              </w:rPr>
            </w:pPr>
            <w:r>
              <w:rPr>
                <w:color w:val="231F20"/>
                <w:sz w:val="14"/>
              </w:rPr>
              <w:t>Класици светске књижевности</w:t>
            </w:r>
          </w:p>
        </w:tc>
        <w:tc>
          <w:tcPr>
            <w:tcW w:w="1587" w:type="dxa"/>
          </w:tcPr>
          <w:p w:rsidR="00041039" w:rsidRDefault="001B26CB">
            <w:pPr>
              <w:pStyle w:val="TableParagraph"/>
              <w:numPr>
                <w:ilvl w:val="0"/>
                <w:numId w:val="1567"/>
              </w:numPr>
              <w:tabs>
                <w:tab w:val="left" w:pos="157"/>
              </w:tabs>
              <w:spacing w:before="9"/>
              <w:ind w:right="100"/>
              <w:rPr>
                <w:sz w:val="14"/>
              </w:rPr>
            </w:pPr>
            <w:r>
              <w:rPr>
                <w:color w:val="231F20"/>
                <w:sz w:val="14"/>
              </w:rPr>
              <w:t>Упознавање са</w:t>
            </w:r>
            <w:r>
              <w:rPr>
                <w:color w:val="231F20"/>
                <w:spacing w:val="-21"/>
                <w:sz w:val="14"/>
              </w:rPr>
              <w:t xml:space="preserve"> </w:t>
            </w:r>
            <w:r>
              <w:rPr>
                <w:color w:val="231F20"/>
                <w:sz w:val="14"/>
              </w:rPr>
              <w:t>писци­ ма и делима светске књижевне</w:t>
            </w:r>
            <w:r>
              <w:rPr>
                <w:color w:val="231F20"/>
                <w:spacing w:val="-1"/>
                <w:sz w:val="14"/>
              </w:rPr>
              <w:t xml:space="preserve"> </w:t>
            </w:r>
            <w:r>
              <w:rPr>
                <w:color w:val="231F20"/>
                <w:sz w:val="14"/>
              </w:rPr>
              <w:t>баштине</w:t>
            </w:r>
          </w:p>
        </w:tc>
        <w:tc>
          <w:tcPr>
            <w:tcW w:w="2551" w:type="dxa"/>
          </w:tcPr>
          <w:p w:rsidR="00041039" w:rsidRDefault="001B26CB">
            <w:pPr>
              <w:pStyle w:val="TableParagraph"/>
              <w:numPr>
                <w:ilvl w:val="0"/>
                <w:numId w:val="1566"/>
              </w:numPr>
              <w:tabs>
                <w:tab w:val="left" w:pos="157"/>
              </w:tabs>
              <w:spacing w:before="9"/>
              <w:ind w:right="334" w:hanging="99"/>
              <w:rPr>
                <w:sz w:val="14"/>
              </w:rPr>
            </w:pPr>
            <w:r>
              <w:rPr>
                <w:color w:val="231F20"/>
                <w:sz w:val="14"/>
              </w:rPr>
              <w:t>препозна свевременост обрађених тема;</w:t>
            </w:r>
          </w:p>
          <w:p w:rsidR="00041039" w:rsidRDefault="001B26CB">
            <w:pPr>
              <w:pStyle w:val="TableParagraph"/>
              <w:numPr>
                <w:ilvl w:val="0"/>
                <w:numId w:val="1566"/>
              </w:numPr>
              <w:tabs>
                <w:tab w:val="left" w:pos="157"/>
              </w:tabs>
              <w:spacing w:line="160" w:lineRule="exact"/>
              <w:ind w:right="137" w:hanging="99"/>
              <w:rPr>
                <w:sz w:val="14"/>
              </w:rPr>
            </w:pPr>
            <w:r>
              <w:rPr>
                <w:color w:val="231F20"/>
                <w:sz w:val="14"/>
              </w:rPr>
              <w:t>тумачи дела износећи своја</w:t>
            </w:r>
            <w:r>
              <w:rPr>
                <w:color w:val="231F20"/>
                <w:spacing w:val="-19"/>
                <w:sz w:val="14"/>
              </w:rPr>
              <w:t xml:space="preserve"> </w:t>
            </w:r>
            <w:r>
              <w:rPr>
                <w:color w:val="231F20"/>
                <w:sz w:val="14"/>
              </w:rPr>
              <w:t>запажања и утиске и образложења о</w:t>
            </w:r>
            <w:r>
              <w:rPr>
                <w:color w:val="231F20"/>
                <w:spacing w:val="-7"/>
                <w:sz w:val="14"/>
              </w:rPr>
              <w:t xml:space="preserve"> </w:t>
            </w:r>
            <w:r>
              <w:rPr>
                <w:color w:val="231F20"/>
                <w:sz w:val="14"/>
              </w:rPr>
              <w:t>њима;</w:t>
            </w:r>
          </w:p>
        </w:tc>
        <w:tc>
          <w:tcPr>
            <w:tcW w:w="2834" w:type="dxa"/>
          </w:tcPr>
          <w:p w:rsidR="00041039" w:rsidRDefault="001B26CB">
            <w:pPr>
              <w:pStyle w:val="TableParagraph"/>
              <w:numPr>
                <w:ilvl w:val="0"/>
                <w:numId w:val="1565"/>
              </w:numPr>
              <w:tabs>
                <w:tab w:val="left" w:pos="158"/>
              </w:tabs>
              <w:spacing w:before="9" w:line="166" w:lineRule="exact"/>
              <w:rPr>
                <w:sz w:val="14"/>
              </w:rPr>
            </w:pPr>
            <w:r>
              <w:rPr>
                <w:color w:val="231F20"/>
                <w:sz w:val="14"/>
              </w:rPr>
              <w:t>В: Шекспир:</w:t>
            </w:r>
            <w:r>
              <w:rPr>
                <w:color w:val="231F20"/>
                <w:spacing w:val="-1"/>
                <w:sz w:val="14"/>
              </w:rPr>
              <w:t xml:space="preserve"> </w:t>
            </w:r>
            <w:r>
              <w:rPr>
                <w:color w:val="231F20"/>
                <w:sz w:val="14"/>
              </w:rPr>
              <w:t>„Хамлет”.</w:t>
            </w:r>
          </w:p>
          <w:p w:rsidR="00041039" w:rsidRDefault="001B26CB">
            <w:pPr>
              <w:pStyle w:val="TableParagraph"/>
              <w:numPr>
                <w:ilvl w:val="0"/>
                <w:numId w:val="1565"/>
              </w:numPr>
              <w:tabs>
                <w:tab w:val="left" w:pos="158"/>
              </w:tabs>
              <w:spacing w:line="160" w:lineRule="exact"/>
              <w:rPr>
                <w:sz w:val="14"/>
              </w:rPr>
            </w:pPr>
            <w:r>
              <w:rPr>
                <w:color w:val="231F20"/>
                <w:sz w:val="14"/>
              </w:rPr>
              <w:t>Е. А. По:</w:t>
            </w:r>
            <w:r>
              <w:rPr>
                <w:color w:val="231F20"/>
                <w:spacing w:val="-3"/>
                <w:sz w:val="14"/>
              </w:rPr>
              <w:t xml:space="preserve"> </w:t>
            </w:r>
            <w:r>
              <w:rPr>
                <w:color w:val="231F20"/>
                <w:sz w:val="14"/>
              </w:rPr>
              <w:t>„Гавран”.</w:t>
            </w:r>
          </w:p>
          <w:p w:rsidR="00041039" w:rsidRDefault="001B26CB">
            <w:pPr>
              <w:pStyle w:val="TableParagraph"/>
              <w:numPr>
                <w:ilvl w:val="0"/>
                <w:numId w:val="1565"/>
              </w:numPr>
              <w:tabs>
                <w:tab w:val="left" w:pos="158"/>
              </w:tabs>
              <w:spacing w:line="166" w:lineRule="exact"/>
              <w:rPr>
                <w:sz w:val="14"/>
              </w:rPr>
            </w:pPr>
            <w:r>
              <w:rPr>
                <w:color w:val="231F20"/>
                <w:sz w:val="14"/>
              </w:rPr>
              <w:t>Ф. М: Достојевски: „Злочин и</w:t>
            </w:r>
            <w:r>
              <w:rPr>
                <w:color w:val="231F20"/>
                <w:spacing w:val="-7"/>
                <w:sz w:val="14"/>
              </w:rPr>
              <w:t xml:space="preserve"> </w:t>
            </w:r>
            <w:r>
              <w:rPr>
                <w:color w:val="231F20"/>
                <w:sz w:val="14"/>
              </w:rPr>
              <w:t>казна”.</w:t>
            </w:r>
          </w:p>
        </w:tc>
        <w:tc>
          <w:tcPr>
            <w:tcW w:w="2267" w:type="dxa"/>
            <w:vMerge/>
            <w:tcBorders>
              <w:top w:val="nil"/>
            </w:tcBorders>
          </w:tcPr>
          <w:p w:rsidR="00041039" w:rsidRDefault="00041039">
            <w:pPr>
              <w:rPr>
                <w:sz w:val="2"/>
                <w:szCs w:val="2"/>
              </w:rPr>
            </w:pPr>
          </w:p>
        </w:tc>
      </w:tr>
      <w:tr w:rsidR="00041039">
        <w:trPr>
          <w:trHeight w:val="2440"/>
        </w:trPr>
        <w:tc>
          <w:tcPr>
            <w:tcW w:w="1304" w:type="dxa"/>
          </w:tcPr>
          <w:p w:rsidR="00041039" w:rsidRDefault="001B26CB">
            <w:pPr>
              <w:pStyle w:val="TableParagraph"/>
              <w:spacing w:before="19"/>
              <w:ind w:left="57"/>
              <w:rPr>
                <w:sz w:val="14"/>
              </w:rPr>
            </w:pPr>
            <w:r>
              <w:rPr>
                <w:color w:val="231F20"/>
                <w:sz w:val="14"/>
              </w:rPr>
              <w:t>Синтакса</w:t>
            </w:r>
          </w:p>
        </w:tc>
        <w:tc>
          <w:tcPr>
            <w:tcW w:w="1587" w:type="dxa"/>
          </w:tcPr>
          <w:p w:rsidR="00041039" w:rsidRDefault="001B26CB">
            <w:pPr>
              <w:pStyle w:val="TableParagraph"/>
              <w:numPr>
                <w:ilvl w:val="0"/>
                <w:numId w:val="1564"/>
              </w:numPr>
              <w:tabs>
                <w:tab w:val="left" w:pos="157"/>
              </w:tabs>
              <w:spacing w:before="9"/>
              <w:ind w:right="299" w:hanging="99"/>
              <w:rPr>
                <w:sz w:val="14"/>
              </w:rPr>
            </w:pPr>
            <w:r>
              <w:rPr>
                <w:color w:val="231F20"/>
                <w:sz w:val="14"/>
              </w:rPr>
              <w:t>Систематизовање знања из</w:t>
            </w:r>
            <w:r>
              <w:rPr>
                <w:color w:val="231F20"/>
                <w:spacing w:val="-8"/>
                <w:sz w:val="14"/>
              </w:rPr>
              <w:t xml:space="preserve"> </w:t>
            </w:r>
            <w:r>
              <w:rPr>
                <w:color w:val="231F20"/>
                <w:sz w:val="14"/>
              </w:rPr>
              <w:t>синтаксе.</w:t>
            </w:r>
          </w:p>
        </w:tc>
        <w:tc>
          <w:tcPr>
            <w:tcW w:w="2551" w:type="dxa"/>
          </w:tcPr>
          <w:p w:rsidR="00041039" w:rsidRDefault="001B26CB">
            <w:pPr>
              <w:pStyle w:val="TableParagraph"/>
              <w:numPr>
                <w:ilvl w:val="0"/>
                <w:numId w:val="1563"/>
              </w:numPr>
              <w:tabs>
                <w:tab w:val="left" w:pos="157"/>
              </w:tabs>
              <w:spacing w:before="9"/>
              <w:ind w:right="43" w:hanging="99"/>
              <w:rPr>
                <w:sz w:val="14"/>
              </w:rPr>
            </w:pPr>
            <w:r>
              <w:rPr>
                <w:color w:val="231F20"/>
                <w:sz w:val="14"/>
              </w:rPr>
              <w:t>одреди синтаксичке јединице и</w:t>
            </w:r>
            <w:r>
              <w:rPr>
                <w:color w:val="231F20"/>
                <w:spacing w:val="-14"/>
                <w:sz w:val="14"/>
              </w:rPr>
              <w:t xml:space="preserve"> </w:t>
            </w:r>
            <w:r>
              <w:rPr>
                <w:color w:val="231F20"/>
                <w:spacing w:val="-3"/>
                <w:sz w:val="14"/>
              </w:rPr>
              <w:t xml:space="preserve">њихову </w:t>
            </w:r>
            <w:r>
              <w:rPr>
                <w:color w:val="231F20"/>
                <w:sz w:val="14"/>
              </w:rPr>
              <w:t>функцију;</w:t>
            </w:r>
          </w:p>
          <w:p w:rsidR="00041039" w:rsidRDefault="001B26CB">
            <w:pPr>
              <w:pStyle w:val="TableParagraph"/>
              <w:numPr>
                <w:ilvl w:val="0"/>
                <w:numId w:val="1563"/>
              </w:numPr>
              <w:tabs>
                <w:tab w:val="left" w:pos="157"/>
              </w:tabs>
              <w:spacing w:line="160" w:lineRule="exact"/>
              <w:ind w:right="125" w:hanging="99"/>
              <w:rPr>
                <w:sz w:val="14"/>
              </w:rPr>
            </w:pPr>
            <w:r>
              <w:rPr>
                <w:color w:val="231F20"/>
                <w:sz w:val="14"/>
              </w:rPr>
              <w:t>одреди типове независних и</w:t>
            </w:r>
            <w:r>
              <w:rPr>
                <w:color w:val="231F20"/>
                <w:spacing w:val="-22"/>
                <w:sz w:val="14"/>
              </w:rPr>
              <w:t xml:space="preserve"> </w:t>
            </w:r>
            <w:r>
              <w:rPr>
                <w:color w:val="231F20"/>
                <w:sz w:val="14"/>
              </w:rPr>
              <w:t>зависних реченица, типове синтагми и типове напоредних</w:t>
            </w:r>
            <w:r>
              <w:rPr>
                <w:color w:val="231F20"/>
                <w:spacing w:val="-1"/>
                <w:sz w:val="14"/>
              </w:rPr>
              <w:t xml:space="preserve"> </w:t>
            </w:r>
            <w:r>
              <w:rPr>
                <w:color w:val="231F20"/>
                <w:sz w:val="14"/>
              </w:rPr>
              <w:t>конструкција;</w:t>
            </w:r>
          </w:p>
          <w:p w:rsidR="00041039" w:rsidRDefault="001B26CB">
            <w:pPr>
              <w:pStyle w:val="TableParagraph"/>
              <w:numPr>
                <w:ilvl w:val="0"/>
                <w:numId w:val="1563"/>
              </w:numPr>
              <w:tabs>
                <w:tab w:val="left" w:pos="157"/>
              </w:tabs>
              <w:spacing w:line="153" w:lineRule="exact"/>
              <w:ind w:hanging="99"/>
              <w:rPr>
                <w:sz w:val="14"/>
              </w:rPr>
            </w:pPr>
            <w:r>
              <w:rPr>
                <w:color w:val="231F20"/>
                <w:sz w:val="14"/>
              </w:rPr>
              <w:t>разуме појам</w:t>
            </w:r>
            <w:r>
              <w:rPr>
                <w:color w:val="231F20"/>
                <w:spacing w:val="-3"/>
                <w:sz w:val="14"/>
              </w:rPr>
              <w:t xml:space="preserve"> </w:t>
            </w:r>
            <w:r>
              <w:rPr>
                <w:color w:val="231F20"/>
                <w:sz w:val="14"/>
              </w:rPr>
              <w:t>конгруенције;</w:t>
            </w:r>
          </w:p>
          <w:p w:rsidR="00041039" w:rsidRDefault="001B26CB">
            <w:pPr>
              <w:pStyle w:val="TableParagraph"/>
              <w:numPr>
                <w:ilvl w:val="0"/>
                <w:numId w:val="1563"/>
              </w:numPr>
              <w:tabs>
                <w:tab w:val="left" w:pos="157"/>
              </w:tabs>
              <w:spacing w:line="166" w:lineRule="exact"/>
              <w:ind w:hanging="99"/>
              <w:rPr>
                <w:sz w:val="14"/>
              </w:rPr>
            </w:pPr>
            <w:r>
              <w:rPr>
                <w:color w:val="231F20"/>
                <w:sz w:val="14"/>
              </w:rPr>
              <w:t>познаје систем глаголских</w:t>
            </w:r>
            <w:r>
              <w:rPr>
                <w:color w:val="231F20"/>
                <w:spacing w:val="-10"/>
                <w:sz w:val="14"/>
              </w:rPr>
              <w:t xml:space="preserve"> </w:t>
            </w:r>
            <w:r>
              <w:rPr>
                <w:color w:val="231F20"/>
                <w:sz w:val="14"/>
              </w:rPr>
              <w:t>облика;</w:t>
            </w:r>
          </w:p>
        </w:tc>
        <w:tc>
          <w:tcPr>
            <w:tcW w:w="2834" w:type="dxa"/>
          </w:tcPr>
          <w:p w:rsidR="00041039" w:rsidRDefault="001B26CB">
            <w:pPr>
              <w:pStyle w:val="TableParagraph"/>
              <w:numPr>
                <w:ilvl w:val="0"/>
                <w:numId w:val="1562"/>
              </w:numPr>
              <w:tabs>
                <w:tab w:val="left" w:pos="158"/>
              </w:tabs>
              <w:spacing w:before="9"/>
              <w:ind w:right="86"/>
              <w:rPr>
                <w:sz w:val="14"/>
              </w:rPr>
            </w:pPr>
            <w:r>
              <w:rPr>
                <w:color w:val="231F20"/>
                <w:sz w:val="14"/>
              </w:rPr>
              <w:t>Синтаксичке једин</w:t>
            </w:r>
            <w:r>
              <w:rPr>
                <w:color w:val="231F20"/>
                <w:sz w:val="14"/>
              </w:rPr>
              <w:t>ице (комуникативна реченица, предикатска реченица,</w:t>
            </w:r>
            <w:r>
              <w:rPr>
                <w:color w:val="231F20"/>
                <w:spacing w:val="-21"/>
                <w:sz w:val="14"/>
              </w:rPr>
              <w:t xml:space="preserve"> </w:t>
            </w:r>
            <w:r>
              <w:rPr>
                <w:color w:val="231F20"/>
                <w:sz w:val="14"/>
              </w:rPr>
              <w:t>синтагма, реч).</w:t>
            </w:r>
          </w:p>
          <w:p w:rsidR="00041039" w:rsidRDefault="001B26CB">
            <w:pPr>
              <w:pStyle w:val="TableParagraph"/>
              <w:numPr>
                <w:ilvl w:val="0"/>
                <w:numId w:val="1562"/>
              </w:numPr>
              <w:tabs>
                <w:tab w:val="left" w:pos="158"/>
              </w:tabs>
              <w:spacing w:line="157" w:lineRule="exact"/>
              <w:rPr>
                <w:sz w:val="14"/>
              </w:rPr>
            </w:pPr>
            <w:r>
              <w:rPr>
                <w:color w:val="231F20"/>
                <w:sz w:val="14"/>
              </w:rPr>
              <w:t>Основне реченичне и</w:t>
            </w:r>
            <w:r>
              <w:rPr>
                <w:color w:val="231F20"/>
                <w:spacing w:val="-5"/>
                <w:sz w:val="14"/>
              </w:rPr>
              <w:t xml:space="preserve"> </w:t>
            </w:r>
            <w:r>
              <w:rPr>
                <w:color w:val="231F20"/>
                <w:sz w:val="14"/>
              </w:rPr>
              <w:t>синтагматске</w:t>
            </w:r>
          </w:p>
          <w:p w:rsidR="00041039" w:rsidRDefault="001B26CB">
            <w:pPr>
              <w:pStyle w:val="TableParagraph"/>
              <w:spacing w:line="155" w:lineRule="exact"/>
              <w:ind w:left="157"/>
              <w:rPr>
                <w:sz w:val="14"/>
              </w:rPr>
            </w:pPr>
            <w:r>
              <w:rPr>
                <w:color w:val="231F20"/>
                <w:sz w:val="14"/>
              </w:rPr>
              <w:t>конструкције.</w:t>
            </w:r>
          </w:p>
          <w:p w:rsidR="00041039" w:rsidRDefault="001B26CB">
            <w:pPr>
              <w:pStyle w:val="TableParagraph"/>
              <w:numPr>
                <w:ilvl w:val="0"/>
                <w:numId w:val="1562"/>
              </w:numPr>
              <w:tabs>
                <w:tab w:val="left" w:pos="158"/>
              </w:tabs>
              <w:spacing w:line="237" w:lineRule="auto"/>
              <w:ind w:right="505"/>
              <w:rPr>
                <w:sz w:val="14"/>
              </w:rPr>
            </w:pPr>
            <w:r>
              <w:rPr>
                <w:color w:val="231F20"/>
                <w:sz w:val="14"/>
              </w:rPr>
              <w:t>Падежни систем и његова</w:t>
            </w:r>
            <w:r>
              <w:rPr>
                <w:color w:val="231F20"/>
                <w:spacing w:val="-16"/>
                <w:sz w:val="14"/>
              </w:rPr>
              <w:t xml:space="preserve"> </w:t>
            </w:r>
            <w:r>
              <w:rPr>
                <w:color w:val="231F20"/>
                <w:sz w:val="14"/>
              </w:rPr>
              <w:t>употреба. Предлошко ­ падежне</w:t>
            </w:r>
            <w:r>
              <w:rPr>
                <w:color w:val="231F20"/>
                <w:spacing w:val="-26"/>
                <w:sz w:val="14"/>
              </w:rPr>
              <w:t xml:space="preserve"> </w:t>
            </w:r>
            <w:r>
              <w:rPr>
                <w:color w:val="231F20"/>
                <w:sz w:val="14"/>
              </w:rPr>
              <w:t>конструкције.</w:t>
            </w:r>
          </w:p>
          <w:p w:rsidR="00041039" w:rsidRDefault="001B26CB">
            <w:pPr>
              <w:pStyle w:val="TableParagraph"/>
              <w:numPr>
                <w:ilvl w:val="0"/>
                <w:numId w:val="1562"/>
              </w:numPr>
              <w:tabs>
                <w:tab w:val="left" w:pos="158"/>
              </w:tabs>
              <w:spacing w:line="155" w:lineRule="exact"/>
              <w:rPr>
                <w:sz w:val="14"/>
              </w:rPr>
            </w:pPr>
            <w:r>
              <w:rPr>
                <w:color w:val="231F20"/>
                <w:sz w:val="14"/>
              </w:rPr>
              <w:t>Конгруенција. Синтакса глаголских</w:t>
            </w:r>
            <w:r>
              <w:rPr>
                <w:color w:val="231F20"/>
                <w:spacing w:val="-26"/>
                <w:sz w:val="14"/>
              </w:rPr>
              <w:t xml:space="preserve"> </w:t>
            </w:r>
            <w:r>
              <w:rPr>
                <w:color w:val="231F20"/>
                <w:sz w:val="14"/>
              </w:rPr>
              <w:t>облика.</w:t>
            </w:r>
          </w:p>
          <w:p w:rsidR="00041039" w:rsidRDefault="001B26CB">
            <w:pPr>
              <w:pStyle w:val="TableParagraph"/>
              <w:numPr>
                <w:ilvl w:val="0"/>
                <w:numId w:val="1562"/>
              </w:numPr>
              <w:tabs>
                <w:tab w:val="left" w:pos="158"/>
              </w:tabs>
              <w:spacing w:line="160" w:lineRule="exact"/>
              <w:rPr>
                <w:sz w:val="14"/>
              </w:rPr>
            </w:pPr>
            <w:r>
              <w:rPr>
                <w:color w:val="231F20"/>
                <w:sz w:val="14"/>
              </w:rPr>
              <w:t>Систем зависних</w:t>
            </w:r>
            <w:r>
              <w:rPr>
                <w:color w:val="231F20"/>
                <w:spacing w:val="-2"/>
                <w:sz w:val="14"/>
              </w:rPr>
              <w:t xml:space="preserve"> </w:t>
            </w:r>
            <w:r>
              <w:rPr>
                <w:color w:val="231F20"/>
                <w:sz w:val="14"/>
              </w:rPr>
              <w:t>реченица.</w:t>
            </w:r>
          </w:p>
          <w:p w:rsidR="00041039" w:rsidRDefault="001B26CB">
            <w:pPr>
              <w:pStyle w:val="TableParagraph"/>
              <w:numPr>
                <w:ilvl w:val="0"/>
                <w:numId w:val="1562"/>
              </w:numPr>
              <w:tabs>
                <w:tab w:val="left" w:pos="158"/>
              </w:tabs>
              <w:spacing w:line="237" w:lineRule="auto"/>
              <w:ind w:right="68"/>
              <w:rPr>
                <w:sz w:val="14"/>
              </w:rPr>
            </w:pPr>
            <w:r>
              <w:rPr>
                <w:color w:val="231F20"/>
                <w:sz w:val="14"/>
              </w:rPr>
              <w:t>Систем независних реченица (обавештајне, упитне, узвичне, заповедне и</w:t>
            </w:r>
            <w:r>
              <w:rPr>
                <w:color w:val="231F20"/>
                <w:spacing w:val="-4"/>
                <w:sz w:val="14"/>
              </w:rPr>
              <w:t xml:space="preserve"> </w:t>
            </w:r>
            <w:r>
              <w:rPr>
                <w:color w:val="231F20"/>
                <w:sz w:val="14"/>
              </w:rPr>
              <w:t>жељне).</w:t>
            </w:r>
          </w:p>
          <w:p w:rsidR="00041039" w:rsidRDefault="001B26CB">
            <w:pPr>
              <w:pStyle w:val="TableParagraph"/>
              <w:numPr>
                <w:ilvl w:val="0"/>
                <w:numId w:val="1562"/>
              </w:numPr>
              <w:tabs>
                <w:tab w:val="left" w:pos="158"/>
              </w:tabs>
              <w:spacing w:line="160" w:lineRule="exact"/>
              <w:ind w:right="42"/>
              <w:rPr>
                <w:sz w:val="14"/>
              </w:rPr>
            </w:pPr>
            <w:r>
              <w:rPr>
                <w:color w:val="231F20"/>
                <w:sz w:val="14"/>
              </w:rPr>
              <w:t xml:space="preserve">Напоредне конструкције. Појам напо­ редног односа. </w:t>
            </w:r>
            <w:r>
              <w:rPr>
                <w:color w:val="231F20"/>
                <w:spacing w:val="-3"/>
                <w:sz w:val="14"/>
              </w:rPr>
              <w:t xml:space="preserve">Главни </w:t>
            </w:r>
            <w:r>
              <w:rPr>
                <w:color w:val="231F20"/>
                <w:sz w:val="14"/>
              </w:rPr>
              <w:t>типови напоредних конструкција (саставне, раставне,</w:t>
            </w:r>
            <w:r>
              <w:rPr>
                <w:color w:val="231F20"/>
                <w:spacing w:val="-18"/>
                <w:sz w:val="14"/>
              </w:rPr>
              <w:t xml:space="preserve"> </w:t>
            </w:r>
            <w:r>
              <w:rPr>
                <w:color w:val="231F20"/>
                <w:sz w:val="14"/>
              </w:rPr>
              <w:t>супротне, искључне, закључне и</w:t>
            </w:r>
            <w:r>
              <w:rPr>
                <w:color w:val="231F20"/>
                <w:spacing w:val="-8"/>
                <w:sz w:val="14"/>
              </w:rPr>
              <w:t xml:space="preserve"> </w:t>
            </w:r>
            <w:r>
              <w:rPr>
                <w:color w:val="231F20"/>
                <w:sz w:val="14"/>
              </w:rPr>
              <w:t>градационе).</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numPr>
                <w:ilvl w:val="0"/>
                <w:numId w:val="1561"/>
              </w:numPr>
              <w:tabs>
                <w:tab w:val="left" w:pos="157"/>
              </w:tabs>
              <w:spacing w:before="11" w:line="237" w:lineRule="auto"/>
              <w:ind w:right="66" w:hanging="99"/>
              <w:rPr>
                <w:sz w:val="14"/>
              </w:rPr>
            </w:pPr>
            <w:r>
              <w:rPr>
                <w:color w:val="231F20"/>
                <w:sz w:val="14"/>
              </w:rPr>
              <w:t>Оспособљавање ученика за примењи­ вање знања из језика</w:t>
            </w:r>
            <w:r>
              <w:rPr>
                <w:color w:val="231F20"/>
                <w:spacing w:val="-12"/>
                <w:sz w:val="14"/>
              </w:rPr>
              <w:t xml:space="preserve"> </w:t>
            </w:r>
            <w:r>
              <w:rPr>
                <w:color w:val="231F20"/>
                <w:sz w:val="14"/>
              </w:rPr>
              <w:t>и правописа у складу са језичком</w:t>
            </w:r>
            <w:r>
              <w:rPr>
                <w:color w:val="231F20"/>
                <w:spacing w:val="-3"/>
                <w:sz w:val="14"/>
              </w:rPr>
              <w:t xml:space="preserve"> </w:t>
            </w:r>
            <w:r>
              <w:rPr>
                <w:color w:val="231F20"/>
                <w:sz w:val="14"/>
              </w:rPr>
              <w:t>нормом.</w:t>
            </w:r>
          </w:p>
        </w:tc>
        <w:tc>
          <w:tcPr>
            <w:tcW w:w="2551" w:type="dxa"/>
          </w:tcPr>
          <w:p w:rsidR="00041039" w:rsidRDefault="001B26CB">
            <w:pPr>
              <w:pStyle w:val="TableParagraph"/>
              <w:numPr>
                <w:ilvl w:val="0"/>
                <w:numId w:val="1560"/>
              </w:numPr>
              <w:tabs>
                <w:tab w:val="left" w:pos="158"/>
              </w:tabs>
              <w:spacing w:before="10"/>
              <w:ind w:right="76"/>
              <w:rPr>
                <w:sz w:val="14"/>
              </w:rPr>
            </w:pPr>
            <w:r>
              <w:rPr>
                <w:color w:val="231F20"/>
                <w:sz w:val="14"/>
              </w:rPr>
              <w:t>примени правописне знаке у складу</w:t>
            </w:r>
            <w:r>
              <w:rPr>
                <w:color w:val="231F20"/>
                <w:spacing w:val="-16"/>
                <w:sz w:val="14"/>
              </w:rPr>
              <w:t xml:space="preserve"> </w:t>
            </w:r>
            <w:r>
              <w:rPr>
                <w:color w:val="231F20"/>
                <w:sz w:val="14"/>
              </w:rPr>
              <w:t>са језичком</w:t>
            </w:r>
            <w:r>
              <w:rPr>
                <w:color w:val="231F20"/>
                <w:spacing w:val="-1"/>
                <w:sz w:val="14"/>
              </w:rPr>
              <w:t xml:space="preserve"> </w:t>
            </w:r>
            <w:r>
              <w:rPr>
                <w:color w:val="231F20"/>
                <w:sz w:val="14"/>
              </w:rPr>
              <w:t>нормом;</w:t>
            </w:r>
          </w:p>
          <w:p w:rsidR="00041039" w:rsidRDefault="001B26CB">
            <w:pPr>
              <w:pStyle w:val="TableParagraph"/>
              <w:numPr>
                <w:ilvl w:val="0"/>
                <w:numId w:val="1560"/>
              </w:numPr>
              <w:tabs>
                <w:tab w:val="left" w:pos="158"/>
              </w:tabs>
              <w:spacing w:line="160" w:lineRule="exact"/>
              <w:ind w:right="108"/>
              <w:rPr>
                <w:sz w:val="14"/>
              </w:rPr>
            </w:pPr>
            <w:r>
              <w:rPr>
                <w:color w:val="231F20"/>
                <w:sz w:val="14"/>
              </w:rPr>
              <w:t>употреби знаке интерпункције у</w:t>
            </w:r>
            <w:r>
              <w:rPr>
                <w:color w:val="231F20"/>
                <w:spacing w:val="-19"/>
                <w:sz w:val="14"/>
              </w:rPr>
              <w:t xml:space="preserve"> </w:t>
            </w:r>
            <w:r>
              <w:rPr>
                <w:color w:val="231F20"/>
                <w:sz w:val="14"/>
              </w:rPr>
              <w:t>скла­ ду са језичком</w:t>
            </w:r>
            <w:r>
              <w:rPr>
                <w:color w:val="231F20"/>
                <w:spacing w:val="-3"/>
                <w:sz w:val="14"/>
              </w:rPr>
              <w:t xml:space="preserve"> </w:t>
            </w:r>
            <w:r>
              <w:rPr>
                <w:color w:val="231F20"/>
                <w:sz w:val="14"/>
              </w:rPr>
              <w:t>нормом;</w:t>
            </w:r>
          </w:p>
        </w:tc>
        <w:tc>
          <w:tcPr>
            <w:tcW w:w="2834" w:type="dxa"/>
          </w:tcPr>
          <w:p w:rsidR="00041039" w:rsidRDefault="001B26CB">
            <w:pPr>
              <w:pStyle w:val="TableParagraph"/>
              <w:numPr>
                <w:ilvl w:val="0"/>
                <w:numId w:val="1559"/>
              </w:numPr>
              <w:tabs>
                <w:tab w:val="left" w:pos="158"/>
              </w:tabs>
              <w:spacing w:before="10" w:line="166" w:lineRule="exact"/>
              <w:rPr>
                <w:sz w:val="14"/>
              </w:rPr>
            </w:pPr>
            <w:r>
              <w:rPr>
                <w:color w:val="231F20"/>
                <w:sz w:val="14"/>
              </w:rPr>
              <w:t>Правописни</w:t>
            </w:r>
            <w:r>
              <w:rPr>
                <w:color w:val="231F20"/>
                <w:spacing w:val="-1"/>
                <w:sz w:val="14"/>
              </w:rPr>
              <w:t xml:space="preserve"> </w:t>
            </w:r>
            <w:r>
              <w:rPr>
                <w:color w:val="231F20"/>
                <w:sz w:val="14"/>
              </w:rPr>
              <w:t>знаци.</w:t>
            </w:r>
          </w:p>
          <w:p w:rsidR="00041039" w:rsidRDefault="001B26CB">
            <w:pPr>
              <w:pStyle w:val="TableParagraph"/>
              <w:numPr>
                <w:ilvl w:val="0"/>
                <w:numId w:val="1559"/>
              </w:numPr>
              <w:tabs>
                <w:tab w:val="left" w:pos="158"/>
              </w:tabs>
              <w:spacing w:line="166" w:lineRule="exact"/>
              <w:rPr>
                <w:sz w:val="14"/>
              </w:rPr>
            </w:pPr>
            <w:r>
              <w:rPr>
                <w:color w:val="231F20"/>
                <w:sz w:val="14"/>
              </w:rPr>
              <w:t>Општа правила интерпункцијеу</w:t>
            </w:r>
            <w:r>
              <w:rPr>
                <w:color w:val="231F20"/>
                <w:spacing w:val="-13"/>
                <w:sz w:val="14"/>
              </w:rPr>
              <w:t xml:space="preserve"> </w:t>
            </w:r>
            <w:r>
              <w:rPr>
                <w:color w:val="231F20"/>
                <w:sz w:val="14"/>
              </w:rPr>
              <w:t>реченици.</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1558"/>
              </w:numPr>
              <w:tabs>
                <w:tab w:val="left" w:pos="157"/>
              </w:tabs>
              <w:spacing w:before="11" w:line="237" w:lineRule="auto"/>
              <w:ind w:right="110" w:hanging="99"/>
              <w:rPr>
                <w:sz w:val="14"/>
              </w:rPr>
            </w:pPr>
            <w:r>
              <w:rPr>
                <w:color w:val="231F20"/>
                <w:sz w:val="14"/>
              </w:rPr>
              <w:t>Усавршавање</w:t>
            </w:r>
            <w:r>
              <w:rPr>
                <w:color w:val="231F20"/>
                <w:spacing w:val="-22"/>
                <w:sz w:val="14"/>
              </w:rPr>
              <w:t xml:space="preserve"> </w:t>
            </w:r>
            <w:r>
              <w:rPr>
                <w:color w:val="231F20"/>
                <w:sz w:val="14"/>
              </w:rPr>
              <w:t>културе изражавања и него­ вање интересовања за праћење културних садржаја и критички однос према њима, као и оспособљавање за операционализа­ цију функционалних стилова.</w:t>
            </w:r>
          </w:p>
        </w:tc>
        <w:tc>
          <w:tcPr>
            <w:tcW w:w="2551" w:type="dxa"/>
          </w:tcPr>
          <w:p w:rsidR="00041039" w:rsidRDefault="001B26CB">
            <w:pPr>
              <w:pStyle w:val="TableParagraph"/>
              <w:numPr>
                <w:ilvl w:val="0"/>
                <w:numId w:val="1557"/>
              </w:numPr>
              <w:tabs>
                <w:tab w:val="left" w:pos="158"/>
              </w:tabs>
              <w:spacing w:before="10"/>
              <w:ind w:right="126"/>
              <w:rPr>
                <w:sz w:val="14"/>
              </w:rPr>
            </w:pPr>
            <w:r>
              <w:rPr>
                <w:color w:val="231F20"/>
                <w:sz w:val="14"/>
              </w:rPr>
              <w:t>напише есеј поштујући структуру</w:t>
            </w:r>
            <w:r>
              <w:rPr>
                <w:color w:val="231F20"/>
                <w:spacing w:val="-15"/>
                <w:sz w:val="14"/>
              </w:rPr>
              <w:t xml:space="preserve"> </w:t>
            </w:r>
            <w:r>
              <w:rPr>
                <w:color w:val="231F20"/>
                <w:sz w:val="14"/>
              </w:rPr>
              <w:t>ове књижевне</w:t>
            </w:r>
            <w:r>
              <w:rPr>
                <w:color w:val="231F20"/>
                <w:spacing w:val="-1"/>
                <w:sz w:val="14"/>
              </w:rPr>
              <w:t xml:space="preserve"> </w:t>
            </w:r>
            <w:r>
              <w:rPr>
                <w:color w:val="231F20"/>
                <w:sz w:val="14"/>
              </w:rPr>
              <w:t>врсте;</w:t>
            </w:r>
          </w:p>
          <w:p w:rsidR="00041039" w:rsidRDefault="001B26CB">
            <w:pPr>
              <w:pStyle w:val="TableParagraph"/>
              <w:numPr>
                <w:ilvl w:val="0"/>
                <w:numId w:val="1557"/>
              </w:numPr>
              <w:tabs>
                <w:tab w:val="left" w:pos="158"/>
              </w:tabs>
              <w:spacing w:line="160" w:lineRule="exact"/>
              <w:ind w:right="350"/>
              <w:rPr>
                <w:sz w:val="14"/>
              </w:rPr>
            </w:pPr>
            <w:r>
              <w:rPr>
                <w:color w:val="231F20"/>
                <w:sz w:val="14"/>
              </w:rPr>
              <w:t xml:space="preserve">састави биографију, </w:t>
            </w:r>
            <w:r>
              <w:rPr>
                <w:color w:val="231F20"/>
                <w:spacing w:val="-4"/>
                <w:sz w:val="14"/>
              </w:rPr>
              <w:t xml:space="preserve">молбу, жалбу, </w:t>
            </w:r>
            <w:r>
              <w:rPr>
                <w:color w:val="231F20"/>
                <w:sz w:val="14"/>
              </w:rPr>
              <w:t>приговор...</w:t>
            </w:r>
          </w:p>
          <w:p w:rsidR="00041039" w:rsidRDefault="001B26CB">
            <w:pPr>
              <w:pStyle w:val="TableParagraph"/>
              <w:numPr>
                <w:ilvl w:val="0"/>
                <w:numId w:val="1557"/>
              </w:numPr>
              <w:tabs>
                <w:tab w:val="left" w:pos="158"/>
              </w:tabs>
              <w:spacing w:line="160" w:lineRule="exact"/>
              <w:ind w:right="227"/>
              <w:rPr>
                <w:sz w:val="14"/>
              </w:rPr>
            </w:pPr>
            <w:r>
              <w:rPr>
                <w:color w:val="231F20"/>
                <w:sz w:val="14"/>
              </w:rPr>
              <w:t xml:space="preserve">процењује вредност понуђених </w:t>
            </w:r>
            <w:r>
              <w:rPr>
                <w:color w:val="231F20"/>
                <w:spacing w:val="-3"/>
                <w:sz w:val="14"/>
              </w:rPr>
              <w:t xml:space="preserve">кул­ </w:t>
            </w:r>
            <w:r>
              <w:rPr>
                <w:color w:val="231F20"/>
                <w:sz w:val="14"/>
              </w:rPr>
              <w:t>турних</w:t>
            </w:r>
            <w:r>
              <w:rPr>
                <w:color w:val="231F20"/>
                <w:spacing w:val="-1"/>
                <w:sz w:val="14"/>
              </w:rPr>
              <w:t xml:space="preserve"> </w:t>
            </w:r>
            <w:r>
              <w:rPr>
                <w:color w:val="231F20"/>
                <w:sz w:val="14"/>
              </w:rPr>
              <w:t>садржаја;</w:t>
            </w:r>
          </w:p>
        </w:tc>
        <w:tc>
          <w:tcPr>
            <w:tcW w:w="2834" w:type="dxa"/>
          </w:tcPr>
          <w:p w:rsidR="00041039" w:rsidRDefault="001B26CB">
            <w:pPr>
              <w:pStyle w:val="TableParagraph"/>
              <w:numPr>
                <w:ilvl w:val="0"/>
                <w:numId w:val="1556"/>
              </w:numPr>
              <w:tabs>
                <w:tab w:val="left" w:pos="158"/>
              </w:tabs>
              <w:spacing w:before="10" w:line="166" w:lineRule="exact"/>
              <w:ind w:hanging="99"/>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numPr>
                <w:ilvl w:val="0"/>
                <w:numId w:val="1556"/>
              </w:numPr>
              <w:tabs>
                <w:tab w:val="left" w:pos="158"/>
              </w:tabs>
              <w:spacing w:line="160" w:lineRule="exact"/>
              <w:ind w:hanging="99"/>
              <w:rPr>
                <w:sz w:val="14"/>
              </w:rPr>
            </w:pPr>
            <w:r>
              <w:rPr>
                <w:color w:val="231F20"/>
                <w:sz w:val="14"/>
              </w:rPr>
              <w:t>Стилске</w:t>
            </w:r>
            <w:r>
              <w:rPr>
                <w:color w:val="231F20"/>
                <w:spacing w:val="-1"/>
                <w:sz w:val="14"/>
              </w:rPr>
              <w:t xml:space="preserve"> </w:t>
            </w:r>
            <w:r>
              <w:rPr>
                <w:color w:val="231F20"/>
                <w:sz w:val="14"/>
              </w:rPr>
              <w:t>вежбе.</w:t>
            </w:r>
          </w:p>
          <w:p w:rsidR="00041039" w:rsidRDefault="001B26CB">
            <w:pPr>
              <w:pStyle w:val="TableParagraph"/>
              <w:numPr>
                <w:ilvl w:val="0"/>
                <w:numId w:val="1556"/>
              </w:numPr>
              <w:tabs>
                <w:tab w:val="left" w:pos="158"/>
              </w:tabs>
              <w:spacing w:line="160" w:lineRule="exact"/>
              <w:ind w:hanging="99"/>
              <w:rPr>
                <w:sz w:val="14"/>
              </w:rPr>
            </w:pPr>
            <w:r>
              <w:rPr>
                <w:color w:val="231F20"/>
                <w:sz w:val="14"/>
              </w:rPr>
              <w:t>Писање есеја.</w:t>
            </w:r>
          </w:p>
          <w:p w:rsidR="00041039" w:rsidRDefault="001B26CB">
            <w:pPr>
              <w:pStyle w:val="TableParagraph"/>
              <w:numPr>
                <w:ilvl w:val="0"/>
                <w:numId w:val="1556"/>
              </w:numPr>
              <w:tabs>
                <w:tab w:val="left" w:pos="158"/>
              </w:tabs>
              <w:spacing w:line="160" w:lineRule="exact"/>
              <w:ind w:hanging="99"/>
              <w:rPr>
                <w:sz w:val="14"/>
              </w:rPr>
            </w:pPr>
            <w:r>
              <w:rPr>
                <w:color w:val="231F20"/>
                <w:sz w:val="14"/>
              </w:rPr>
              <w:t>Говорне</w:t>
            </w:r>
            <w:r>
              <w:rPr>
                <w:color w:val="231F20"/>
                <w:spacing w:val="-1"/>
                <w:sz w:val="14"/>
              </w:rPr>
              <w:t xml:space="preserve"> </w:t>
            </w:r>
            <w:r>
              <w:rPr>
                <w:color w:val="231F20"/>
                <w:sz w:val="14"/>
              </w:rPr>
              <w:t>вежбе.</w:t>
            </w:r>
          </w:p>
          <w:p w:rsidR="00041039" w:rsidRDefault="001B26CB">
            <w:pPr>
              <w:pStyle w:val="TableParagraph"/>
              <w:numPr>
                <w:ilvl w:val="0"/>
                <w:numId w:val="1556"/>
              </w:numPr>
              <w:tabs>
                <w:tab w:val="left" w:pos="158"/>
              </w:tabs>
              <w:spacing w:line="160" w:lineRule="exact"/>
              <w:ind w:hanging="99"/>
              <w:rPr>
                <w:sz w:val="14"/>
              </w:rPr>
            </w:pPr>
            <w:r>
              <w:rPr>
                <w:color w:val="231F20"/>
                <w:sz w:val="14"/>
              </w:rPr>
              <w:t>Школски писмени задаци 4 x 2 +</w:t>
            </w:r>
            <w:r>
              <w:rPr>
                <w:color w:val="231F20"/>
                <w:spacing w:val="-10"/>
                <w:sz w:val="14"/>
              </w:rPr>
              <w:t xml:space="preserve"> </w:t>
            </w:r>
            <w:r>
              <w:rPr>
                <w:color w:val="231F20"/>
                <w:sz w:val="14"/>
              </w:rPr>
              <w:t>2.</w:t>
            </w:r>
          </w:p>
          <w:p w:rsidR="00041039" w:rsidRDefault="001B26CB">
            <w:pPr>
              <w:pStyle w:val="TableParagraph"/>
              <w:numPr>
                <w:ilvl w:val="0"/>
                <w:numId w:val="1556"/>
              </w:numPr>
              <w:tabs>
                <w:tab w:val="left" w:pos="158"/>
              </w:tabs>
              <w:spacing w:line="237" w:lineRule="auto"/>
              <w:ind w:right="356" w:hanging="99"/>
              <w:rPr>
                <w:sz w:val="14"/>
              </w:rPr>
            </w:pPr>
            <w:r>
              <w:rPr>
                <w:color w:val="231F20"/>
                <w:sz w:val="14"/>
              </w:rPr>
              <w:t>Административни функционални</w:t>
            </w:r>
            <w:r>
              <w:rPr>
                <w:color w:val="231F20"/>
                <w:spacing w:val="-16"/>
                <w:sz w:val="14"/>
              </w:rPr>
              <w:t xml:space="preserve"> </w:t>
            </w:r>
            <w:r>
              <w:rPr>
                <w:color w:val="231F20"/>
                <w:sz w:val="14"/>
              </w:rPr>
              <w:t>стил (писање молбе, жалбе,</w:t>
            </w:r>
            <w:r>
              <w:rPr>
                <w:color w:val="231F20"/>
                <w:spacing w:val="-3"/>
                <w:sz w:val="14"/>
              </w:rPr>
              <w:t xml:space="preserve"> </w:t>
            </w:r>
            <w:r>
              <w:rPr>
                <w:color w:val="231F20"/>
                <w:sz w:val="14"/>
              </w:rPr>
              <w:t>биографије).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Историја</w:t>
      </w:r>
    </w:p>
    <w:p w:rsidR="00041039" w:rsidRDefault="001B26CB">
      <w:pPr>
        <w:pStyle w:val="ListParagraph"/>
        <w:numPr>
          <w:ilvl w:val="0"/>
          <w:numId w:val="3"/>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0"/>
          <w:numId w:val="3"/>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3"/>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pStyle w:val="BodyText"/>
        <w:spacing w:before="49" w:line="161" w:lineRule="exact"/>
        <w:ind w:left="157"/>
      </w:pPr>
      <w:r>
        <w:rPr>
          <w:color w:val="231F20"/>
        </w:rPr>
        <w:t>Циљеви предмета: – Овладавање српским као нематерњим језиком у оквиру програмом предвиђених садржаја;</w:t>
      </w:r>
    </w:p>
    <w:p w:rsidR="00041039" w:rsidRDefault="001B26CB">
      <w:pPr>
        <w:pStyle w:val="ListParagraph"/>
        <w:numPr>
          <w:ilvl w:val="1"/>
          <w:numId w:val="3"/>
        </w:numPr>
        <w:tabs>
          <w:tab w:val="left" w:pos="1566"/>
        </w:tabs>
        <w:spacing w:line="160" w:lineRule="exact"/>
        <w:rPr>
          <w:sz w:val="14"/>
        </w:rPr>
      </w:pPr>
      <w:r>
        <w:rPr>
          <w:color w:val="231F20"/>
          <w:spacing w:val="-3"/>
          <w:sz w:val="14"/>
        </w:rPr>
        <w:t xml:space="preserve">Усвајање </w:t>
      </w:r>
      <w:r>
        <w:rPr>
          <w:color w:val="231F20"/>
          <w:sz w:val="14"/>
        </w:rPr>
        <w:t>граматичких садржаја и</w:t>
      </w:r>
      <w:r>
        <w:rPr>
          <w:color w:val="231F20"/>
          <w:sz w:val="14"/>
        </w:rPr>
        <w:t xml:space="preserve"> </w:t>
      </w:r>
      <w:r>
        <w:rPr>
          <w:color w:val="231F20"/>
          <w:sz w:val="14"/>
        </w:rPr>
        <w:t>лексике;</w:t>
      </w:r>
    </w:p>
    <w:p w:rsidR="00041039" w:rsidRDefault="001B26CB">
      <w:pPr>
        <w:pStyle w:val="ListParagraph"/>
        <w:numPr>
          <w:ilvl w:val="1"/>
          <w:numId w:val="3"/>
        </w:numPr>
        <w:tabs>
          <w:tab w:val="left" w:pos="1566"/>
        </w:tabs>
        <w:spacing w:line="160" w:lineRule="exact"/>
        <w:rPr>
          <w:sz w:val="14"/>
        </w:rPr>
      </w:pPr>
      <w:r>
        <w:rPr>
          <w:color w:val="231F20"/>
          <w:spacing w:val="-3"/>
          <w:sz w:val="14"/>
        </w:rPr>
        <w:t xml:space="preserve">Усвајање </w:t>
      </w:r>
      <w:r>
        <w:rPr>
          <w:color w:val="231F20"/>
          <w:sz w:val="14"/>
        </w:rPr>
        <w:t>правилног изговора и писања;</w:t>
      </w:r>
    </w:p>
    <w:p w:rsidR="00041039" w:rsidRDefault="001B26CB">
      <w:pPr>
        <w:pStyle w:val="ListParagraph"/>
        <w:numPr>
          <w:ilvl w:val="1"/>
          <w:numId w:val="3"/>
        </w:numPr>
        <w:tabs>
          <w:tab w:val="left" w:pos="1566"/>
        </w:tabs>
        <w:spacing w:line="160" w:lineRule="exact"/>
        <w:rPr>
          <w:sz w:val="14"/>
        </w:rPr>
      </w:pPr>
      <w:r>
        <w:rPr>
          <w:color w:val="231F20"/>
          <w:sz w:val="14"/>
        </w:rPr>
        <w:t>Оспособљавање за комуникацију у свакодневним животним</w:t>
      </w:r>
      <w:r>
        <w:rPr>
          <w:color w:val="231F20"/>
          <w:spacing w:val="-3"/>
          <w:sz w:val="14"/>
        </w:rPr>
        <w:t xml:space="preserve"> </w:t>
      </w:r>
      <w:r>
        <w:rPr>
          <w:color w:val="231F20"/>
          <w:sz w:val="14"/>
        </w:rPr>
        <w:t>ситуацијама;</w:t>
      </w:r>
    </w:p>
    <w:p w:rsidR="00041039" w:rsidRDefault="001B26CB">
      <w:pPr>
        <w:pStyle w:val="ListParagraph"/>
        <w:numPr>
          <w:ilvl w:val="1"/>
          <w:numId w:val="3"/>
        </w:numPr>
        <w:tabs>
          <w:tab w:val="left" w:pos="1566"/>
        </w:tabs>
        <w:spacing w:line="160" w:lineRule="exact"/>
        <w:rPr>
          <w:sz w:val="14"/>
        </w:rPr>
      </w:pPr>
      <w:r>
        <w:rPr>
          <w:color w:val="231F20"/>
          <w:sz w:val="14"/>
        </w:rPr>
        <w:t>Оспособљ</w:t>
      </w:r>
      <w:r>
        <w:rPr>
          <w:color w:val="231F20"/>
          <w:sz w:val="14"/>
        </w:rPr>
        <w:t>авање ученика за самостално усмено и писмено</w:t>
      </w:r>
      <w:r>
        <w:rPr>
          <w:color w:val="231F20"/>
          <w:spacing w:val="-5"/>
          <w:sz w:val="14"/>
        </w:rPr>
        <w:t xml:space="preserve"> </w:t>
      </w:r>
      <w:r>
        <w:rPr>
          <w:color w:val="231F20"/>
          <w:sz w:val="14"/>
        </w:rPr>
        <w:t>изражавање;</w:t>
      </w:r>
    </w:p>
    <w:p w:rsidR="00041039" w:rsidRDefault="001B26CB">
      <w:pPr>
        <w:pStyle w:val="ListParagraph"/>
        <w:numPr>
          <w:ilvl w:val="1"/>
          <w:numId w:val="3"/>
        </w:numPr>
        <w:tabs>
          <w:tab w:val="left" w:pos="1566"/>
        </w:tabs>
        <w:spacing w:line="160" w:lineRule="exact"/>
        <w:rPr>
          <w:sz w:val="14"/>
        </w:rPr>
      </w:pPr>
      <w:r>
        <w:rPr>
          <w:color w:val="231F20"/>
          <w:sz w:val="14"/>
        </w:rPr>
        <w:t>Разликовање функционалних стилова српског језика и овладавање њиховим</w:t>
      </w:r>
      <w:r>
        <w:rPr>
          <w:color w:val="231F20"/>
          <w:spacing w:val="-6"/>
          <w:sz w:val="14"/>
        </w:rPr>
        <w:t xml:space="preserve"> </w:t>
      </w:r>
      <w:r>
        <w:rPr>
          <w:color w:val="231F20"/>
          <w:sz w:val="14"/>
        </w:rPr>
        <w:t>особинама;</w:t>
      </w:r>
    </w:p>
    <w:p w:rsidR="00041039" w:rsidRDefault="001B26CB">
      <w:pPr>
        <w:pStyle w:val="ListParagraph"/>
        <w:numPr>
          <w:ilvl w:val="1"/>
          <w:numId w:val="3"/>
        </w:numPr>
        <w:tabs>
          <w:tab w:val="left" w:pos="1566"/>
        </w:tabs>
        <w:spacing w:line="160" w:lineRule="exact"/>
        <w:rPr>
          <w:sz w:val="14"/>
        </w:rPr>
      </w:pPr>
      <w:r>
        <w:rPr>
          <w:color w:val="231F20"/>
          <w:sz w:val="14"/>
        </w:rPr>
        <w:t>Упознавање ученика са значајним карактеристикама културе народа који говоре српским</w:t>
      </w:r>
      <w:r>
        <w:rPr>
          <w:color w:val="231F20"/>
          <w:spacing w:val="-8"/>
          <w:sz w:val="14"/>
        </w:rPr>
        <w:t xml:space="preserve"> </w:t>
      </w:r>
      <w:r>
        <w:rPr>
          <w:color w:val="231F20"/>
          <w:sz w:val="14"/>
        </w:rPr>
        <w:t>језиком;</w:t>
      </w:r>
    </w:p>
    <w:p w:rsidR="00041039" w:rsidRDefault="001B26CB">
      <w:pPr>
        <w:pStyle w:val="ListParagraph"/>
        <w:numPr>
          <w:ilvl w:val="1"/>
          <w:numId w:val="3"/>
        </w:numPr>
        <w:tabs>
          <w:tab w:val="left" w:pos="1566"/>
        </w:tabs>
        <w:spacing w:line="160" w:lineRule="exact"/>
        <w:rPr>
          <w:sz w:val="14"/>
        </w:rPr>
      </w:pPr>
      <w:r>
        <w:rPr>
          <w:color w:val="231F20"/>
          <w:sz w:val="14"/>
        </w:rPr>
        <w:t>Упознавање ученика са делима српске</w:t>
      </w:r>
      <w:r>
        <w:rPr>
          <w:color w:val="231F20"/>
          <w:spacing w:val="-1"/>
          <w:sz w:val="14"/>
        </w:rPr>
        <w:t xml:space="preserve"> </w:t>
      </w:r>
      <w:r>
        <w:rPr>
          <w:color w:val="231F20"/>
          <w:sz w:val="14"/>
        </w:rPr>
        <w:t>књижевности;</w:t>
      </w:r>
    </w:p>
    <w:p w:rsidR="00041039" w:rsidRDefault="001B26CB">
      <w:pPr>
        <w:pStyle w:val="ListParagraph"/>
        <w:numPr>
          <w:ilvl w:val="1"/>
          <w:numId w:val="3"/>
        </w:numPr>
        <w:tabs>
          <w:tab w:val="left" w:pos="1566"/>
        </w:tabs>
        <w:spacing w:line="160" w:lineRule="exact"/>
        <w:rPr>
          <w:sz w:val="14"/>
        </w:rPr>
      </w:pPr>
      <w:r>
        <w:rPr>
          <w:color w:val="231F20"/>
          <w:sz w:val="14"/>
        </w:rPr>
        <w:t>Упознавање</w:t>
      </w:r>
      <w:r>
        <w:rPr>
          <w:color w:val="231F20"/>
          <w:spacing w:val="-3"/>
          <w:sz w:val="14"/>
        </w:rPr>
        <w:t xml:space="preserve"> </w:t>
      </w:r>
      <w:r>
        <w:rPr>
          <w:color w:val="231F20"/>
          <w:sz w:val="14"/>
        </w:rPr>
        <w:t>ученика</w:t>
      </w:r>
      <w:r>
        <w:rPr>
          <w:color w:val="231F20"/>
          <w:spacing w:val="-3"/>
          <w:sz w:val="14"/>
        </w:rPr>
        <w:t xml:space="preserve"> </w:t>
      </w:r>
      <w:r>
        <w:rPr>
          <w:color w:val="231F20"/>
          <w:sz w:val="14"/>
        </w:rPr>
        <w:t>са</w:t>
      </w:r>
      <w:r>
        <w:rPr>
          <w:color w:val="231F20"/>
          <w:spacing w:val="-3"/>
          <w:sz w:val="14"/>
        </w:rPr>
        <w:t xml:space="preserve"> </w:t>
      </w:r>
      <w:r>
        <w:rPr>
          <w:color w:val="231F20"/>
          <w:sz w:val="14"/>
        </w:rPr>
        <w:t>одликама</w:t>
      </w:r>
      <w:r>
        <w:rPr>
          <w:color w:val="231F20"/>
          <w:spacing w:val="-3"/>
          <w:sz w:val="14"/>
        </w:rPr>
        <w:t xml:space="preserve"> </w:t>
      </w:r>
      <w:r>
        <w:rPr>
          <w:color w:val="231F20"/>
          <w:sz w:val="14"/>
        </w:rPr>
        <w:t>различитих</w:t>
      </w:r>
      <w:r>
        <w:rPr>
          <w:color w:val="231F20"/>
          <w:spacing w:val="-3"/>
          <w:sz w:val="14"/>
        </w:rPr>
        <w:t xml:space="preserve"> </w:t>
      </w:r>
      <w:r>
        <w:rPr>
          <w:color w:val="231F20"/>
          <w:sz w:val="14"/>
        </w:rPr>
        <w:t>типова</w:t>
      </w:r>
      <w:r>
        <w:rPr>
          <w:color w:val="231F20"/>
          <w:spacing w:val="-3"/>
          <w:sz w:val="14"/>
        </w:rPr>
        <w:t xml:space="preserve"> </w:t>
      </w:r>
      <w:r>
        <w:rPr>
          <w:color w:val="231F20"/>
          <w:sz w:val="14"/>
        </w:rPr>
        <w:t>текстова:</w:t>
      </w:r>
      <w:r>
        <w:rPr>
          <w:color w:val="231F20"/>
          <w:spacing w:val="-3"/>
          <w:sz w:val="14"/>
        </w:rPr>
        <w:t xml:space="preserve"> </w:t>
      </w:r>
      <w:r>
        <w:rPr>
          <w:color w:val="231F20"/>
          <w:sz w:val="14"/>
        </w:rPr>
        <w:t>књижевноуметничким</w:t>
      </w:r>
      <w:r>
        <w:rPr>
          <w:color w:val="231F20"/>
          <w:spacing w:val="-3"/>
          <w:sz w:val="14"/>
        </w:rPr>
        <w:t xml:space="preserve"> </w:t>
      </w:r>
      <w:r>
        <w:rPr>
          <w:color w:val="231F20"/>
          <w:sz w:val="14"/>
        </w:rPr>
        <w:t>и</w:t>
      </w:r>
      <w:r>
        <w:rPr>
          <w:color w:val="231F20"/>
          <w:spacing w:val="-4"/>
          <w:sz w:val="14"/>
        </w:rPr>
        <w:t xml:space="preserve"> </w:t>
      </w:r>
      <w:r>
        <w:rPr>
          <w:color w:val="231F20"/>
          <w:sz w:val="14"/>
        </w:rPr>
        <w:t>осталим</w:t>
      </w:r>
      <w:r>
        <w:rPr>
          <w:color w:val="231F20"/>
          <w:spacing w:val="-4"/>
          <w:sz w:val="14"/>
        </w:rPr>
        <w:t xml:space="preserve"> </w:t>
      </w:r>
      <w:r>
        <w:rPr>
          <w:color w:val="231F20"/>
          <w:sz w:val="14"/>
        </w:rPr>
        <w:t>(научно</w:t>
      </w:r>
      <w:r>
        <w:rPr>
          <w:color w:val="231F20"/>
          <w:spacing w:val="-4"/>
          <w:sz w:val="14"/>
        </w:rPr>
        <w:t xml:space="preserve"> </w:t>
      </w:r>
      <w:r>
        <w:rPr>
          <w:color w:val="231F20"/>
          <w:sz w:val="14"/>
        </w:rPr>
        <w:t>­</w:t>
      </w:r>
      <w:r>
        <w:rPr>
          <w:color w:val="231F20"/>
          <w:spacing w:val="-3"/>
          <w:sz w:val="14"/>
        </w:rPr>
        <w:t xml:space="preserve"> </w:t>
      </w:r>
      <w:r>
        <w:rPr>
          <w:color w:val="231F20"/>
          <w:sz w:val="14"/>
        </w:rPr>
        <w:t>популарним,</w:t>
      </w:r>
      <w:r>
        <w:rPr>
          <w:color w:val="231F20"/>
          <w:spacing w:val="-4"/>
          <w:sz w:val="14"/>
        </w:rPr>
        <w:t xml:space="preserve"> </w:t>
      </w:r>
      <w:r>
        <w:rPr>
          <w:color w:val="231F20"/>
          <w:sz w:val="14"/>
        </w:rPr>
        <w:t>информативним</w:t>
      </w:r>
      <w:r>
        <w:rPr>
          <w:color w:val="231F20"/>
          <w:spacing w:val="-3"/>
          <w:sz w:val="14"/>
        </w:rPr>
        <w:t xml:space="preserve"> </w:t>
      </w:r>
      <w:r>
        <w:rPr>
          <w:color w:val="231F20"/>
          <w:sz w:val="14"/>
        </w:rPr>
        <w:t>и</w:t>
      </w:r>
      <w:r>
        <w:rPr>
          <w:color w:val="231F20"/>
          <w:spacing w:val="-4"/>
          <w:sz w:val="14"/>
        </w:rPr>
        <w:t xml:space="preserve"> </w:t>
      </w:r>
      <w:r>
        <w:rPr>
          <w:color w:val="231F20"/>
          <w:sz w:val="14"/>
        </w:rPr>
        <w:t>сл.);</w:t>
      </w:r>
    </w:p>
    <w:p w:rsidR="00041039" w:rsidRDefault="001B26CB">
      <w:pPr>
        <w:pStyle w:val="ListParagraph"/>
        <w:numPr>
          <w:ilvl w:val="1"/>
          <w:numId w:val="3"/>
        </w:numPr>
        <w:tabs>
          <w:tab w:val="left" w:pos="1566"/>
        </w:tabs>
        <w:spacing w:line="160" w:lineRule="exact"/>
        <w:rPr>
          <w:sz w:val="14"/>
        </w:rPr>
      </w:pPr>
      <w:r>
        <w:rPr>
          <w:color w:val="231F20"/>
          <w:sz w:val="14"/>
        </w:rPr>
        <w:t>Продубљивање знања о књижевним родовима и</w:t>
      </w:r>
      <w:r>
        <w:rPr>
          <w:color w:val="231F20"/>
          <w:spacing w:val="-3"/>
          <w:sz w:val="14"/>
        </w:rPr>
        <w:t xml:space="preserve"> </w:t>
      </w:r>
      <w:r>
        <w:rPr>
          <w:color w:val="231F20"/>
          <w:sz w:val="14"/>
        </w:rPr>
        <w:t>врстама;</w:t>
      </w:r>
    </w:p>
    <w:p w:rsidR="00041039" w:rsidRDefault="001B26CB">
      <w:pPr>
        <w:pStyle w:val="ListParagraph"/>
        <w:numPr>
          <w:ilvl w:val="1"/>
          <w:numId w:val="3"/>
        </w:numPr>
        <w:tabs>
          <w:tab w:val="left" w:pos="1566"/>
        </w:tabs>
        <w:spacing w:line="160" w:lineRule="exact"/>
        <w:rPr>
          <w:sz w:val="14"/>
        </w:rPr>
      </w:pPr>
      <w:r>
        <w:rPr>
          <w:color w:val="231F20"/>
          <w:sz w:val="14"/>
        </w:rPr>
        <w:t>Оспособљавање ученика за</w:t>
      </w:r>
      <w:r>
        <w:rPr>
          <w:color w:val="231F20"/>
          <w:sz w:val="14"/>
        </w:rPr>
        <w:t xml:space="preserve"> тумачење језичко­стилских одлика текстова на српском</w:t>
      </w:r>
      <w:r>
        <w:rPr>
          <w:color w:val="231F20"/>
          <w:spacing w:val="-7"/>
          <w:sz w:val="14"/>
        </w:rPr>
        <w:t xml:space="preserve"> </w:t>
      </w:r>
      <w:r>
        <w:rPr>
          <w:color w:val="231F20"/>
          <w:sz w:val="14"/>
        </w:rPr>
        <w:t>језику;</w:t>
      </w:r>
    </w:p>
    <w:p w:rsidR="00041039" w:rsidRDefault="001B26CB">
      <w:pPr>
        <w:pStyle w:val="ListParagraph"/>
        <w:numPr>
          <w:ilvl w:val="1"/>
          <w:numId w:val="3"/>
        </w:numPr>
        <w:tabs>
          <w:tab w:val="left" w:pos="1566"/>
        </w:tabs>
        <w:spacing w:line="160" w:lineRule="exact"/>
        <w:rPr>
          <w:sz w:val="14"/>
        </w:rPr>
      </w:pPr>
      <w:r>
        <w:rPr>
          <w:color w:val="231F20"/>
          <w:sz w:val="14"/>
        </w:rPr>
        <w:t>Развијање интересовања ученика за даље учење српског</w:t>
      </w:r>
      <w:r>
        <w:rPr>
          <w:color w:val="231F20"/>
          <w:spacing w:val="-4"/>
          <w:sz w:val="14"/>
        </w:rPr>
        <w:t xml:space="preserve"> </w:t>
      </w:r>
      <w:r>
        <w:rPr>
          <w:color w:val="231F20"/>
          <w:sz w:val="14"/>
        </w:rPr>
        <w:t>језика;</w:t>
      </w:r>
    </w:p>
    <w:p w:rsidR="00041039" w:rsidRDefault="001B26CB">
      <w:pPr>
        <w:pStyle w:val="ListParagraph"/>
        <w:numPr>
          <w:ilvl w:val="1"/>
          <w:numId w:val="3"/>
        </w:numPr>
        <w:tabs>
          <w:tab w:val="left" w:pos="1566"/>
        </w:tabs>
        <w:spacing w:line="161" w:lineRule="exact"/>
        <w:rPr>
          <w:sz w:val="14"/>
        </w:rPr>
      </w:pPr>
      <w:r>
        <w:rPr>
          <w:color w:val="231F20"/>
          <w:sz w:val="14"/>
        </w:rPr>
        <w:t>Овладавање терминологијом у оквиру подручја</w:t>
      </w:r>
      <w:r>
        <w:rPr>
          <w:color w:val="231F20"/>
          <w:spacing w:val="-1"/>
          <w:sz w:val="14"/>
        </w:rPr>
        <w:t xml:space="preserve"> </w:t>
      </w:r>
      <w:r>
        <w:rPr>
          <w:color w:val="231F20"/>
          <w:sz w:val="14"/>
        </w:rPr>
        <w:t>рада.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0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1555"/>
              </w:numPr>
              <w:tabs>
                <w:tab w:val="left" w:pos="157"/>
              </w:tabs>
              <w:spacing w:before="8"/>
              <w:ind w:right="64"/>
              <w:rPr>
                <w:sz w:val="14"/>
              </w:rPr>
            </w:pPr>
            <w:r>
              <w:rPr>
                <w:color w:val="231F20"/>
                <w:sz w:val="14"/>
              </w:rPr>
              <w:t>Оспособљавање ученика за правилан изговор гласова срп­ ског језика и</w:t>
            </w:r>
            <w:r>
              <w:rPr>
                <w:color w:val="231F20"/>
                <w:spacing w:val="-19"/>
                <w:sz w:val="14"/>
              </w:rPr>
              <w:t xml:space="preserve"> </w:t>
            </w:r>
            <w:r>
              <w:rPr>
                <w:color w:val="231F20"/>
                <w:sz w:val="14"/>
              </w:rPr>
              <w:t>правилно акцентовање</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1554"/>
              </w:numPr>
              <w:tabs>
                <w:tab w:val="left" w:pos="157"/>
              </w:tabs>
              <w:spacing w:before="8"/>
              <w:ind w:right="104" w:hanging="99"/>
              <w:rPr>
                <w:sz w:val="14"/>
              </w:rPr>
            </w:pPr>
            <w:r>
              <w:rPr>
                <w:color w:val="231F20"/>
                <w:sz w:val="14"/>
              </w:rPr>
              <w:t>правилно</w:t>
            </w:r>
            <w:r>
              <w:rPr>
                <w:color w:val="231F20"/>
                <w:spacing w:val="-13"/>
                <w:sz w:val="14"/>
              </w:rPr>
              <w:t xml:space="preserve"> </w:t>
            </w:r>
            <w:r>
              <w:rPr>
                <w:color w:val="231F20"/>
                <w:sz w:val="14"/>
              </w:rPr>
              <w:t>артикулише</w:t>
            </w:r>
            <w:r>
              <w:rPr>
                <w:color w:val="231F20"/>
                <w:spacing w:val="-13"/>
                <w:sz w:val="14"/>
              </w:rPr>
              <w:t xml:space="preserve"> </w:t>
            </w:r>
            <w:r>
              <w:rPr>
                <w:color w:val="231F20"/>
                <w:sz w:val="14"/>
              </w:rPr>
              <w:t>гласове</w:t>
            </w:r>
            <w:r>
              <w:rPr>
                <w:color w:val="231F20"/>
                <w:spacing w:val="-12"/>
                <w:sz w:val="14"/>
              </w:rPr>
              <w:t xml:space="preserve"> </w:t>
            </w:r>
            <w:r>
              <w:rPr>
                <w:color w:val="231F20"/>
                <w:sz w:val="14"/>
              </w:rPr>
              <w:t>српског језика;</w:t>
            </w:r>
          </w:p>
          <w:p w:rsidR="00041039" w:rsidRDefault="001B26CB">
            <w:pPr>
              <w:pStyle w:val="TableParagraph"/>
              <w:numPr>
                <w:ilvl w:val="0"/>
                <w:numId w:val="1554"/>
              </w:numPr>
              <w:tabs>
                <w:tab w:val="left" w:pos="157"/>
              </w:tabs>
              <w:spacing w:line="160" w:lineRule="exact"/>
              <w:ind w:right="241" w:hanging="99"/>
              <w:rPr>
                <w:sz w:val="14"/>
              </w:rPr>
            </w:pPr>
            <w:r>
              <w:rPr>
                <w:color w:val="231F20"/>
                <w:sz w:val="14"/>
              </w:rPr>
              <w:t>разликује акцентоване и</w:t>
            </w:r>
            <w:r>
              <w:rPr>
                <w:color w:val="231F20"/>
                <w:spacing w:val="-9"/>
                <w:sz w:val="14"/>
              </w:rPr>
              <w:t xml:space="preserve"> </w:t>
            </w:r>
            <w:r>
              <w:rPr>
                <w:color w:val="231F20"/>
                <w:sz w:val="14"/>
              </w:rPr>
              <w:t>неакценто­ ване</w:t>
            </w:r>
            <w:r>
              <w:rPr>
                <w:color w:val="231F20"/>
                <w:spacing w:val="-1"/>
                <w:sz w:val="14"/>
              </w:rPr>
              <w:t xml:space="preserve"> </w:t>
            </w:r>
            <w:r>
              <w:rPr>
                <w:color w:val="231F20"/>
                <w:sz w:val="14"/>
              </w:rPr>
              <w:t>речи;</w:t>
            </w:r>
          </w:p>
          <w:p w:rsidR="00041039" w:rsidRDefault="001B26CB">
            <w:pPr>
              <w:pStyle w:val="TableParagraph"/>
              <w:numPr>
                <w:ilvl w:val="0"/>
                <w:numId w:val="1554"/>
              </w:numPr>
              <w:tabs>
                <w:tab w:val="left" w:pos="157"/>
              </w:tabs>
              <w:spacing w:line="160" w:lineRule="exact"/>
              <w:ind w:right="152" w:hanging="99"/>
              <w:rPr>
                <w:sz w:val="14"/>
              </w:rPr>
            </w:pPr>
            <w:r>
              <w:rPr>
                <w:color w:val="231F20"/>
                <w:sz w:val="14"/>
              </w:rPr>
              <w:t>примењује основна правила акценто­ вања</w:t>
            </w:r>
            <w:r>
              <w:rPr>
                <w:color w:val="231F20"/>
                <w:spacing w:val="-1"/>
                <w:sz w:val="14"/>
              </w:rPr>
              <w:t xml:space="preserve"> </w:t>
            </w:r>
            <w:r>
              <w:rPr>
                <w:color w:val="231F20"/>
                <w:sz w:val="14"/>
              </w:rPr>
              <w:t>речи;</w:t>
            </w:r>
          </w:p>
        </w:tc>
        <w:tc>
          <w:tcPr>
            <w:tcW w:w="2834" w:type="dxa"/>
          </w:tcPr>
          <w:p w:rsidR="00041039" w:rsidRDefault="001B26CB">
            <w:pPr>
              <w:pStyle w:val="TableParagraph"/>
              <w:numPr>
                <w:ilvl w:val="0"/>
                <w:numId w:val="1553"/>
              </w:numPr>
              <w:tabs>
                <w:tab w:val="left" w:pos="157"/>
              </w:tabs>
              <w:spacing w:before="8"/>
              <w:ind w:right="141" w:hanging="99"/>
              <w:rPr>
                <w:sz w:val="14"/>
              </w:rPr>
            </w:pPr>
            <w:r>
              <w:rPr>
                <w:color w:val="231F20"/>
                <w:sz w:val="14"/>
              </w:rPr>
              <w:t>Вокалски и консонантски систем</w:t>
            </w:r>
            <w:r>
              <w:rPr>
                <w:color w:val="231F20"/>
                <w:spacing w:val="-13"/>
                <w:sz w:val="14"/>
              </w:rPr>
              <w:t xml:space="preserve"> </w:t>
            </w:r>
            <w:r>
              <w:rPr>
                <w:color w:val="231F20"/>
                <w:sz w:val="14"/>
              </w:rPr>
              <w:t>стандар­ дног српског</w:t>
            </w:r>
            <w:r>
              <w:rPr>
                <w:color w:val="231F20"/>
                <w:spacing w:val="-1"/>
                <w:sz w:val="14"/>
              </w:rPr>
              <w:t xml:space="preserve"> </w:t>
            </w:r>
            <w:r>
              <w:rPr>
                <w:color w:val="231F20"/>
                <w:sz w:val="14"/>
              </w:rPr>
              <w:t>језика.</w:t>
            </w:r>
          </w:p>
          <w:p w:rsidR="00041039" w:rsidRDefault="001B26CB">
            <w:pPr>
              <w:pStyle w:val="TableParagraph"/>
              <w:numPr>
                <w:ilvl w:val="0"/>
                <w:numId w:val="1553"/>
              </w:numPr>
              <w:tabs>
                <w:tab w:val="left" w:pos="157"/>
              </w:tabs>
              <w:spacing w:line="153" w:lineRule="exact"/>
              <w:ind w:hanging="99"/>
              <w:rPr>
                <w:sz w:val="14"/>
              </w:rPr>
            </w:pPr>
            <w:r>
              <w:rPr>
                <w:color w:val="231F20"/>
                <w:sz w:val="14"/>
              </w:rPr>
              <w:t>Основе акценатског система српског</w:t>
            </w:r>
            <w:r>
              <w:rPr>
                <w:color w:val="231F20"/>
                <w:spacing w:val="-20"/>
                <w:sz w:val="14"/>
              </w:rPr>
              <w:t xml:space="preserve"> </w:t>
            </w:r>
            <w:r>
              <w:rPr>
                <w:color w:val="231F20"/>
                <w:sz w:val="14"/>
              </w:rPr>
              <w:t>језика.</w:t>
            </w:r>
          </w:p>
          <w:p w:rsidR="00041039" w:rsidRDefault="001B26CB">
            <w:pPr>
              <w:pStyle w:val="TableParagraph"/>
              <w:numPr>
                <w:ilvl w:val="0"/>
                <w:numId w:val="1553"/>
              </w:numPr>
              <w:tabs>
                <w:tab w:val="left" w:pos="157"/>
              </w:tabs>
              <w:spacing w:line="166" w:lineRule="exact"/>
              <w:ind w:hanging="99"/>
              <w:rPr>
                <w:sz w:val="14"/>
              </w:rPr>
            </w:pPr>
            <w:r>
              <w:rPr>
                <w:color w:val="231F20"/>
                <w:sz w:val="14"/>
              </w:rPr>
              <w:t>Алтернације</w:t>
            </w:r>
            <w:r>
              <w:rPr>
                <w:color w:val="231F20"/>
                <w:spacing w:val="-2"/>
                <w:sz w:val="14"/>
              </w:rPr>
              <w:t xml:space="preserve"> </w:t>
            </w:r>
            <w:r>
              <w:rPr>
                <w:color w:val="231F20"/>
                <w:sz w:val="14"/>
              </w:rPr>
              <w:t>гласова.</w:t>
            </w:r>
          </w:p>
        </w:tc>
        <w:tc>
          <w:tcPr>
            <w:tcW w:w="2267" w:type="dxa"/>
            <w:vMerge w:val="restart"/>
          </w:tcPr>
          <w:p w:rsidR="00041039" w:rsidRDefault="001B26CB">
            <w:pPr>
              <w:pStyle w:val="TableParagraph"/>
              <w:numPr>
                <w:ilvl w:val="0"/>
                <w:numId w:val="1552"/>
              </w:numPr>
              <w:tabs>
                <w:tab w:val="left" w:pos="158"/>
              </w:tabs>
              <w:spacing w:before="8"/>
              <w:ind w:right="50" w:hanging="99"/>
              <w:rPr>
                <w:sz w:val="14"/>
              </w:rPr>
            </w:pPr>
            <w:r>
              <w:rPr>
                <w:color w:val="231F20"/>
                <w:sz w:val="14"/>
              </w:rPr>
              <w:t>На почетку теме ученике упознати са циљ</w:t>
            </w:r>
            <w:r>
              <w:rPr>
                <w:color w:val="231F20"/>
                <w:sz w:val="14"/>
              </w:rPr>
              <w:t>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552"/>
              </w:numPr>
              <w:tabs>
                <w:tab w:val="left" w:pos="158"/>
              </w:tabs>
              <w:spacing w:before="1" w:line="160" w:lineRule="exact"/>
              <w:ind w:right="156" w:hanging="99"/>
              <w:rPr>
                <w:b/>
                <w:sz w:val="14"/>
              </w:rPr>
            </w:pPr>
            <w:r>
              <w:rPr>
                <w:color w:val="231F20"/>
                <w:sz w:val="14"/>
              </w:rPr>
              <w:t>теоријска наставаса вежбама</w:t>
            </w:r>
            <w:r>
              <w:rPr>
                <w:color w:val="231F20"/>
                <w:spacing w:val="-10"/>
                <w:sz w:val="14"/>
              </w:rPr>
              <w:t xml:space="preserve"> </w:t>
            </w:r>
            <w:r>
              <w:rPr>
                <w:b/>
                <w:color w:val="231F20"/>
                <w:sz w:val="14"/>
              </w:rPr>
              <w:t>(70 часова)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552"/>
              </w:numPr>
              <w:tabs>
                <w:tab w:val="left" w:pos="158"/>
              </w:tabs>
              <w:spacing w:line="166"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552"/>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552"/>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552"/>
              </w:numPr>
              <w:tabs>
                <w:tab w:val="left" w:pos="158"/>
              </w:tabs>
              <w:spacing w:line="160" w:lineRule="exact"/>
              <w:ind w:hanging="99"/>
              <w:rPr>
                <w:b/>
                <w:sz w:val="14"/>
              </w:rPr>
            </w:pPr>
            <w:r>
              <w:rPr>
                <w:color w:val="231F20"/>
                <w:sz w:val="14"/>
              </w:rPr>
              <w:t xml:space="preserve">фонетика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552"/>
              </w:numPr>
              <w:tabs>
                <w:tab w:val="left" w:pos="158"/>
              </w:tabs>
              <w:spacing w:line="160" w:lineRule="exact"/>
              <w:ind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1552"/>
              </w:numPr>
              <w:tabs>
                <w:tab w:val="left" w:pos="158"/>
              </w:tabs>
              <w:spacing w:line="160" w:lineRule="exact"/>
              <w:ind w:hanging="99"/>
              <w:rPr>
                <w:b/>
                <w:sz w:val="14"/>
              </w:rPr>
            </w:pPr>
            <w:r>
              <w:rPr>
                <w:color w:val="231F20"/>
                <w:sz w:val="14"/>
              </w:rPr>
              <w:t xml:space="preserve">творба речи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1552"/>
              </w:numPr>
              <w:tabs>
                <w:tab w:val="left" w:pos="158"/>
              </w:tabs>
              <w:spacing w:line="160" w:lineRule="exact"/>
              <w:ind w:hanging="99"/>
              <w:rPr>
                <w:b/>
                <w:sz w:val="14"/>
              </w:rPr>
            </w:pPr>
            <w:r>
              <w:rPr>
                <w:color w:val="231F20"/>
                <w:sz w:val="14"/>
              </w:rPr>
              <w:t xml:space="preserve">синтакса </w:t>
            </w:r>
            <w:r>
              <w:rPr>
                <w:b/>
                <w:color w:val="231F20"/>
                <w:sz w:val="14"/>
              </w:rPr>
              <w:t>(9</w:t>
            </w:r>
            <w:r>
              <w:rPr>
                <w:b/>
                <w:color w:val="231F20"/>
                <w:spacing w:val="-10"/>
                <w:sz w:val="14"/>
              </w:rPr>
              <w:t xml:space="preserve"> </w:t>
            </w:r>
            <w:r>
              <w:rPr>
                <w:b/>
                <w:color w:val="231F20"/>
                <w:sz w:val="14"/>
              </w:rPr>
              <w:t>часова)</w:t>
            </w:r>
          </w:p>
          <w:p w:rsidR="00041039" w:rsidRDefault="001B26CB">
            <w:pPr>
              <w:pStyle w:val="TableParagraph"/>
              <w:numPr>
                <w:ilvl w:val="0"/>
                <w:numId w:val="1552"/>
              </w:numPr>
              <w:tabs>
                <w:tab w:val="left" w:pos="158"/>
              </w:tabs>
              <w:spacing w:line="160" w:lineRule="exact"/>
              <w:ind w:hanging="99"/>
              <w:rPr>
                <w:b/>
                <w:sz w:val="14"/>
              </w:rPr>
            </w:pPr>
            <w:r>
              <w:rPr>
                <w:color w:val="231F20"/>
                <w:sz w:val="14"/>
              </w:rPr>
              <w:t xml:space="preserve">правопис </w:t>
            </w:r>
            <w:r>
              <w:rPr>
                <w:b/>
                <w:color w:val="231F20"/>
                <w:sz w:val="14"/>
              </w:rPr>
              <w:t>(9</w:t>
            </w:r>
            <w:r>
              <w:rPr>
                <w:b/>
                <w:color w:val="231F20"/>
                <w:spacing w:val="-12"/>
                <w:sz w:val="14"/>
              </w:rPr>
              <w:t xml:space="preserve"> </w:t>
            </w:r>
            <w:r>
              <w:rPr>
                <w:b/>
                <w:color w:val="231F20"/>
                <w:sz w:val="14"/>
              </w:rPr>
              <w:t>часова)</w:t>
            </w:r>
          </w:p>
          <w:p w:rsidR="00041039" w:rsidRDefault="001B26CB">
            <w:pPr>
              <w:pStyle w:val="TableParagraph"/>
              <w:numPr>
                <w:ilvl w:val="0"/>
                <w:numId w:val="1552"/>
              </w:numPr>
              <w:tabs>
                <w:tab w:val="left" w:pos="158"/>
              </w:tabs>
              <w:spacing w:line="160" w:lineRule="exact"/>
              <w:ind w:hanging="99"/>
              <w:rPr>
                <w:b/>
                <w:sz w:val="14"/>
              </w:rPr>
            </w:pPr>
            <w:r>
              <w:rPr>
                <w:color w:val="231F20"/>
                <w:sz w:val="14"/>
              </w:rPr>
              <w:t xml:space="preserve">култура изражавања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numPr>
                <w:ilvl w:val="0"/>
                <w:numId w:val="1552"/>
              </w:numPr>
              <w:tabs>
                <w:tab w:val="left" w:pos="158"/>
              </w:tabs>
              <w:spacing w:line="166" w:lineRule="exact"/>
              <w:ind w:hanging="99"/>
              <w:rPr>
                <w:b/>
                <w:sz w:val="14"/>
              </w:rPr>
            </w:pPr>
            <w:r>
              <w:rPr>
                <w:color w:val="231F20"/>
                <w:sz w:val="14"/>
              </w:rPr>
              <w:t xml:space="preserve">књижевност </w:t>
            </w:r>
            <w:r>
              <w:rPr>
                <w:b/>
                <w:color w:val="231F20"/>
                <w:sz w:val="14"/>
              </w:rPr>
              <w:t>(12</w:t>
            </w:r>
            <w:r>
              <w:rPr>
                <w:b/>
                <w:color w:val="231F20"/>
                <w:spacing w:val="-2"/>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ind w:left="58"/>
              <w:rPr>
                <w:sz w:val="14"/>
              </w:rPr>
            </w:pPr>
            <w:r>
              <w:rPr>
                <w:color w:val="231F20"/>
                <w:sz w:val="14"/>
              </w:rPr>
              <w:t>Наставни програм српског као нематерњег језика за средњу школу представља продужетак програ­</w:t>
            </w:r>
          </w:p>
          <w:p w:rsidR="00041039" w:rsidRDefault="001B26CB">
            <w:pPr>
              <w:pStyle w:val="TableParagraph"/>
              <w:spacing w:line="237" w:lineRule="auto"/>
              <w:ind w:left="58" w:right="18"/>
              <w:rPr>
                <w:sz w:val="14"/>
              </w:rPr>
            </w:pPr>
            <w:r>
              <w:rPr>
                <w:color w:val="231F20"/>
                <w:sz w:val="14"/>
              </w:rPr>
              <w:t>ма основне школе и обезбеђује континуитет наставе овог предмета. Стога, неопходно је да се наставник упозна са садржајем програма предмета српски као нематерњи језик за основну школу.</w:t>
            </w:r>
          </w:p>
          <w:p w:rsidR="00041039" w:rsidRDefault="001B26CB">
            <w:pPr>
              <w:pStyle w:val="TableParagraph"/>
              <w:spacing w:before="1" w:line="237" w:lineRule="auto"/>
              <w:ind w:left="58" w:right="18"/>
              <w:rPr>
                <w:sz w:val="14"/>
              </w:rPr>
            </w:pPr>
            <w:r>
              <w:rPr>
                <w:color w:val="231F20"/>
                <w:sz w:val="14"/>
              </w:rPr>
              <w:t>Ниво знања ученика из основне школе, у погледу овладаности српским језик</w:t>
            </w:r>
            <w:r>
              <w:rPr>
                <w:color w:val="231F20"/>
                <w:sz w:val="14"/>
              </w:rPr>
              <w:t xml:space="preserve">ом, веома је раз­ личит. Зато настава </w:t>
            </w:r>
            <w:r>
              <w:rPr>
                <w:i/>
                <w:color w:val="231F20"/>
                <w:sz w:val="14"/>
              </w:rPr>
              <w:t xml:space="preserve">српског као нематерњег језики </w:t>
            </w:r>
            <w:r>
              <w:rPr>
                <w:color w:val="231F20"/>
                <w:sz w:val="14"/>
              </w:rPr>
              <w:t>не може бити једнообразна и у њој се морају уважавати различите могућности и употребе ученика различитих сре­ дина и различитих матерњих јези­ ка. При том се у наставу наглашено укључује п</w:t>
            </w:r>
            <w:r>
              <w:rPr>
                <w:color w:val="231F20"/>
                <w:sz w:val="14"/>
              </w:rPr>
              <w:t>ринцип индивидуали­ зације и спровођење диференцира­ ног рада на различитим нивоима ученичког знања.</w:t>
            </w:r>
          </w:p>
        </w:tc>
      </w:tr>
      <w:tr w:rsidR="00041039">
        <w:trPr>
          <w:trHeight w:val="1320"/>
        </w:trPr>
        <w:tc>
          <w:tcPr>
            <w:tcW w:w="1304" w:type="dxa"/>
          </w:tcPr>
          <w:p w:rsidR="00041039" w:rsidRDefault="001B26CB">
            <w:pPr>
              <w:pStyle w:val="TableParagraph"/>
              <w:spacing w:before="19"/>
              <w:ind w:left="56"/>
              <w:rPr>
                <w:sz w:val="14"/>
              </w:rPr>
            </w:pPr>
            <w:r>
              <w:rPr>
                <w:color w:val="231F20"/>
                <w:sz w:val="14"/>
              </w:rPr>
              <w:t>Морфологија</w:t>
            </w:r>
          </w:p>
        </w:tc>
        <w:tc>
          <w:tcPr>
            <w:tcW w:w="1587" w:type="dxa"/>
          </w:tcPr>
          <w:p w:rsidR="00041039" w:rsidRDefault="001B26CB">
            <w:pPr>
              <w:pStyle w:val="TableParagraph"/>
              <w:numPr>
                <w:ilvl w:val="0"/>
                <w:numId w:val="1551"/>
              </w:numPr>
              <w:tabs>
                <w:tab w:val="left" w:pos="157"/>
              </w:tabs>
              <w:spacing w:before="9"/>
              <w:ind w:right="119"/>
              <w:rPr>
                <w:sz w:val="14"/>
              </w:rPr>
            </w:pPr>
            <w:r>
              <w:rPr>
                <w:color w:val="231F20"/>
                <w:sz w:val="14"/>
              </w:rPr>
              <w:t>Упознавање ученика са правилном</w:t>
            </w:r>
            <w:r>
              <w:rPr>
                <w:color w:val="231F20"/>
                <w:spacing w:val="-9"/>
                <w:sz w:val="14"/>
              </w:rPr>
              <w:t xml:space="preserve"> </w:t>
            </w:r>
            <w:r>
              <w:rPr>
                <w:color w:val="231F20"/>
                <w:sz w:val="14"/>
              </w:rPr>
              <w:t>употре­ бом врста и облика речи.</w:t>
            </w:r>
          </w:p>
        </w:tc>
        <w:tc>
          <w:tcPr>
            <w:tcW w:w="2551" w:type="dxa"/>
          </w:tcPr>
          <w:p w:rsidR="00041039" w:rsidRDefault="001B26CB">
            <w:pPr>
              <w:pStyle w:val="TableParagraph"/>
              <w:numPr>
                <w:ilvl w:val="0"/>
                <w:numId w:val="1550"/>
              </w:numPr>
              <w:tabs>
                <w:tab w:val="left" w:pos="157"/>
              </w:tabs>
              <w:spacing w:before="9" w:line="166" w:lineRule="exact"/>
              <w:ind w:hanging="99"/>
              <w:rPr>
                <w:sz w:val="14"/>
              </w:rPr>
            </w:pPr>
            <w:r>
              <w:rPr>
                <w:color w:val="231F20"/>
                <w:sz w:val="14"/>
              </w:rPr>
              <w:t>разликује врсте</w:t>
            </w:r>
            <w:r>
              <w:rPr>
                <w:color w:val="231F20"/>
                <w:spacing w:val="-2"/>
                <w:sz w:val="14"/>
              </w:rPr>
              <w:t xml:space="preserve"> </w:t>
            </w:r>
            <w:r>
              <w:rPr>
                <w:color w:val="231F20"/>
                <w:sz w:val="14"/>
              </w:rPr>
              <w:t>речи;</w:t>
            </w:r>
          </w:p>
          <w:p w:rsidR="00041039" w:rsidRDefault="001B26CB">
            <w:pPr>
              <w:pStyle w:val="TableParagraph"/>
              <w:numPr>
                <w:ilvl w:val="0"/>
                <w:numId w:val="1550"/>
              </w:numPr>
              <w:tabs>
                <w:tab w:val="left" w:pos="157"/>
              </w:tabs>
              <w:spacing w:line="237" w:lineRule="auto"/>
              <w:ind w:right="377" w:hanging="99"/>
              <w:rPr>
                <w:sz w:val="14"/>
              </w:rPr>
            </w:pPr>
            <w:r>
              <w:rPr>
                <w:color w:val="231F20"/>
                <w:sz w:val="14"/>
              </w:rPr>
              <w:t>правилно употребљава род и</w:t>
            </w:r>
            <w:r>
              <w:rPr>
                <w:color w:val="231F20"/>
                <w:spacing w:val="-16"/>
                <w:sz w:val="14"/>
              </w:rPr>
              <w:t xml:space="preserve"> </w:t>
            </w:r>
            <w:r>
              <w:rPr>
                <w:color w:val="231F20"/>
                <w:sz w:val="14"/>
              </w:rPr>
              <w:t>број именских</w:t>
            </w:r>
            <w:r>
              <w:rPr>
                <w:color w:val="231F20"/>
                <w:spacing w:val="-2"/>
                <w:sz w:val="14"/>
              </w:rPr>
              <w:t xml:space="preserve"> </w:t>
            </w:r>
            <w:r>
              <w:rPr>
                <w:color w:val="231F20"/>
                <w:sz w:val="14"/>
              </w:rPr>
              <w:t>речи;</w:t>
            </w:r>
          </w:p>
          <w:p w:rsidR="00041039" w:rsidRDefault="001B26CB">
            <w:pPr>
              <w:pStyle w:val="TableParagraph"/>
              <w:numPr>
                <w:ilvl w:val="0"/>
                <w:numId w:val="1550"/>
              </w:numPr>
              <w:tabs>
                <w:tab w:val="left" w:pos="157"/>
              </w:tabs>
              <w:spacing w:line="160" w:lineRule="exact"/>
              <w:ind w:right="311" w:hanging="99"/>
              <w:rPr>
                <w:sz w:val="14"/>
              </w:rPr>
            </w:pPr>
            <w:r>
              <w:rPr>
                <w:color w:val="231F20"/>
                <w:sz w:val="14"/>
              </w:rPr>
              <w:t>правилно употребљава лице, род</w:t>
            </w:r>
            <w:r>
              <w:rPr>
                <w:color w:val="231F20"/>
                <w:spacing w:val="-19"/>
                <w:sz w:val="14"/>
              </w:rPr>
              <w:t xml:space="preserve"> </w:t>
            </w:r>
            <w:r>
              <w:rPr>
                <w:color w:val="231F20"/>
                <w:sz w:val="14"/>
              </w:rPr>
              <w:t xml:space="preserve">и број </w:t>
            </w:r>
            <w:r>
              <w:rPr>
                <w:color w:val="231F20"/>
                <w:spacing w:val="-3"/>
                <w:sz w:val="14"/>
              </w:rPr>
              <w:t>глагола;</w:t>
            </w:r>
          </w:p>
          <w:p w:rsidR="00041039" w:rsidRDefault="001B26CB">
            <w:pPr>
              <w:pStyle w:val="TableParagraph"/>
              <w:numPr>
                <w:ilvl w:val="0"/>
                <w:numId w:val="1550"/>
              </w:numPr>
              <w:tabs>
                <w:tab w:val="left" w:pos="157"/>
              </w:tabs>
              <w:spacing w:line="153" w:lineRule="exact"/>
              <w:ind w:hanging="99"/>
              <w:rPr>
                <w:sz w:val="14"/>
              </w:rPr>
            </w:pPr>
            <w:r>
              <w:rPr>
                <w:color w:val="231F20"/>
                <w:sz w:val="14"/>
              </w:rPr>
              <w:t xml:space="preserve">разликује </w:t>
            </w:r>
            <w:r>
              <w:rPr>
                <w:color w:val="231F20"/>
                <w:spacing w:val="-3"/>
                <w:sz w:val="14"/>
              </w:rPr>
              <w:t xml:space="preserve">глаголе </w:t>
            </w:r>
            <w:r>
              <w:rPr>
                <w:color w:val="231F20"/>
                <w:sz w:val="14"/>
              </w:rPr>
              <w:t>по виду и</w:t>
            </w:r>
            <w:r>
              <w:rPr>
                <w:color w:val="231F20"/>
                <w:spacing w:val="-4"/>
                <w:sz w:val="14"/>
              </w:rPr>
              <w:t xml:space="preserve"> </w:t>
            </w:r>
            <w:r>
              <w:rPr>
                <w:color w:val="231F20"/>
                <w:sz w:val="14"/>
              </w:rPr>
              <w:t>роду;</w:t>
            </w:r>
          </w:p>
          <w:p w:rsidR="00041039" w:rsidRDefault="001B26CB">
            <w:pPr>
              <w:pStyle w:val="TableParagraph"/>
              <w:numPr>
                <w:ilvl w:val="0"/>
                <w:numId w:val="1550"/>
              </w:numPr>
              <w:tabs>
                <w:tab w:val="left" w:pos="157"/>
              </w:tabs>
              <w:spacing w:line="237" w:lineRule="auto"/>
              <w:ind w:right="422" w:hanging="99"/>
              <w:rPr>
                <w:sz w:val="14"/>
              </w:rPr>
            </w:pPr>
            <w:r>
              <w:rPr>
                <w:color w:val="231F20"/>
                <w:sz w:val="14"/>
              </w:rPr>
              <w:t>разликује основне</w:t>
            </w:r>
            <w:r>
              <w:rPr>
                <w:color w:val="231F20"/>
                <w:spacing w:val="-20"/>
                <w:sz w:val="14"/>
              </w:rPr>
              <w:t xml:space="preserve"> </w:t>
            </w:r>
            <w:r>
              <w:rPr>
                <w:color w:val="231F20"/>
                <w:sz w:val="14"/>
              </w:rPr>
              <w:t>лексиколошке категорије;</w:t>
            </w:r>
          </w:p>
        </w:tc>
        <w:tc>
          <w:tcPr>
            <w:tcW w:w="2834" w:type="dxa"/>
          </w:tcPr>
          <w:p w:rsidR="00041039" w:rsidRDefault="001B26CB">
            <w:pPr>
              <w:pStyle w:val="TableParagraph"/>
              <w:numPr>
                <w:ilvl w:val="0"/>
                <w:numId w:val="1549"/>
              </w:numPr>
              <w:tabs>
                <w:tab w:val="left" w:pos="157"/>
              </w:tabs>
              <w:spacing w:before="9"/>
              <w:ind w:right="720" w:hanging="99"/>
              <w:rPr>
                <w:sz w:val="14"/>
              </w:rPr>
            </w:pPr>
            <w:r>
              <w:rPr>
                <w:color w:val="231F20"/>
                <w:sz w:val="14"/>
              </w:rPr>
              <w:t>Врсте речи и њихове</w:t>
            </w:r>
            <w:r>
              <w:rPr>
                <w:color w:val="231F20"/>
                <w:spacing w:val="-25"/>
                <w:sz w:val="14"/>
              </w:rPr>
              <w:t xml:space="preserve"> </w:t>
            </w:r>
            <w:r>
              <w:rPr>
                <w:color w:val="231F20"/>
                <w:sz w:val="14"/>
              </w:rPr>
              <w:t>граматичке категорије.</w:t>
            </w:r>
          </w:p>
          <w:p w:rsidR="00041039" w:rsidRDefault="001B26CB">
            <w:pPr>
              <w:pStyle w:val="TableParagraph"/>
              <w:numPr>
                <w:ilvl w:val="0"/>
                <w:numId w:val="1549"/>
              </w:numPr>
              <w:tabs>
                <w:tab w:val="left" w:pos="157"/>
              </w:tabs>
              <w:spacing w:before="1" w:line="160" w:lineRule="exact"/>
              <w:ind w:right="855" w:hanging="99"/>
              <w:rPr>
                <w:sz w:val="14"/>
              </w:rPr>
            </w:pPr>
            <w:r>
              <w:rPr>
                <w:color w:val="231F20"/>
                <w:sz w:val="14"/>
              </w:rPr>
              <w:t>Речи са деклинацијом, речи</w:t>
            </w:r>
            <w:r>
              <w:rPr>
                <w:color w:val="231F20"/>
                <w:spacing w:val="-11"/>
                <w:sz w:val="14"/>
              </w:rPr>
              <w:t xml:space="preserve"> </w:t>
            </w:r>
            <w:r>
              <w:rPr>
                <w:color w:val="231F20"/>
                <w:sz w:val="14"/>
              </w:rPr>
              <w:t>са конјугацијом.</w:t>
            </w:r>
          </w:p>
          <w:p w:rsidR="00041039" w:rsidRDefault="001B26CB">
            <w:pPr>
              <w:pStyle w:val="TableParagraph"/>
              <w:numPr>
                <w:ilvl w:val="0"/>
                <w:numId w:val="1549"/>
              </w:numPr>
              <w:tabs>
                <w:tab w:val="left" w:pos="157"/>
              </w:tabs>
              <w:spacing w:line="153" w:lineRule="exact"/>
              <w:ind w:hanging="99"/>
              <w:rPr>
                <w:sz w:val="14"/>
              </w:rPr>
            </w:pPr>
            <w:r>
              <w:rPr>
                <w:color w:val="231F20"/>
                <w:spacing w:val="-3"/>
                <w:sz w:val="14"/>
              </w:rPr>
              <w:t xml:space="preserve">Глаголски </w:t>
            </w:r>
            <w:r>
              <w:rPr>
                <w:color w:val="231F20"/>
                <w:sz w:val="14"/>
              </w:rPr>
              <w:t>облици ­ лични и</w:t>
            </w:r>
            <w:r>
              <w:rPr>
                <w:color w:val="231F20"/>
                <w:spacing w:val="-4"/>
                <w:sz w:val="14"/>
              </w:rPr>
              <w:t xml:space="preserve"> </w:t>
            </w:r>
            <w:r>
              <w:rPr>
                <w:color w:val="231F20"/>
                <w:sz w:val="14"/>
              </w:rPr>
              <w:t>нелични.</w:t>
            </w:r>
          </w:p>
          <w:p w:rsidR="00041039" w:rsidRDefault="001B26CB">
            <w:pPr>
              <w:pStyle w:val="TableParagraph"/>
              <w:numPr>
                <w:ilvl w:val="0"/>
                <w:numId w:val="1549"/>
              </w:numPr>
              <w:tabs>
                <w:tab w:val="left" w:pos="157"/>
              </w:tabs>
              <w:spacing w:line="166" w:lineRule="exact"/>
              <w:ind w:hanging="99"/>
              <w:rPr>
                <w:sz w:val="14"/>
              </w:rPr>
            </w:pPr>
            <w:r>
              <w:rPr>
                <w:color w:val="231F20"/>
                <w:sz w:val="14"/>
              </w:rPr>
              <w:t>Основне лексиколошке</w:t>
            </w:r>
            <w:r>
              <w:rPr>
                <w:color w:val="231F20"/>
                <w:spacing w:val="-6"/>
                <w:sz w:val="14"/>
              </w:rPr>
              <w:t xml:space="preserve"> </w:t>
            </w:r>
            <w:r>
              <w:rPr>
                <w:color w:val="231F20"/>
                <w:sz w:val="14"/>
              </w:rPr>
              <w:t>категорије.</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6"/>
              <w:rPr>
                <w:sz w:val="14"/>
              </w:rPr>
            </w:pPr>
            <w:r>
              <w:rPr>
                <w:color w:val="231F20"/>
                <w:sz w:val="14"/>
              </w:rPr>
              <w:t>Творба речи</w:t>
            </w:r>
          </w:p>
        </w:tc>
        <w:tc>
          <w:tcPr>
            <w:tcW w:w="1587" w:type="dxa"/>
          </w:tcPr>
          <w:p w:rsidR="00041039" w:rsidRDefault="001B26CB">
            <w:pPr>
              <w:pStyle w:val="TableParagraph"/>
              <w:numPr>
                <w:ilvl w:val="0"/>
                <w:numId w:val="1548"/>
              </w:numPr>
              <w:tabs>
                <w:tab w:val="left" w:pos="157"/>
              </w:tabs>
              <w:spacing w:before="11" w:line="237" w:lineRule="auto"/>
              <w:ind w:right="232"/>
              <w:jc w:val="both"/>
              <w:rPr>
                <w:sz w:val="14"/>
              </w:rPr>
            </w:pPr>
            <w:r>
              <w:rPr>
                <w:color w:val="231F20"/>
                <w:sz w:val="14"/>
              </w:rPr>
              <w:t>Упознавање и</w:t>
            </w:r>
            <w:r>
              <w:rPr>
                <w:color w:val="231F20"/>
                <w:spacing w:val="-16"/>
                <w:sz w:val="14"/>
              </w:rPr>
              <w:t xml:space="preserve"> </w:t>
            </w:r>
            <w:r>
              <w:rPr>
                <w:color w:val="231F20"/>
                <w:sz w:val="14"/>
              </w:rPr>
              <w:t>оспо­ собљавање ученика за примену правила творбе</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1547"/>
              </w:numPr>
              <w:tabs>
                <w:tab w:val="left" w:pos="157"/>
              </w:tabs>
              <w:spacing w:before="10"/>
              <w:ind w:right="369" w:hanging="99"/>
              <w:rPr>
                <w:sz w:val="14"/>
              </w:rPr>
            </w:pPr>
            <w:r>
              <w:rPr>
                <w:color w:val="231F20"/>
                <w:sz w:val="14"/>
              </w:rPr>
              <w:t>правилно гради различите типове твореница;</w:t>
            </w:r>
          </w:p>
        </w:tc>
        <w:tc>
          <w:tcPr>
            <w:tcW w:w="2834" w:type="dxa"/>
          </w:tcPr>
          <w:p w:rsidR="00041039" w:rsidRDefault="001B26CB">
            <w:pPr>
              <w:pStyle w:val="TableParagraph"/>
              <w:numPr>
                <w:ilvl w:val="0"/>
                <w:numId w:val="1546"/>
              </w:numPr>
              <w:tabs>
                <w:tab w:val="left" w:pos="158"/>
              </w:tabs>
              <w:spacing w:before="10"/>
              <w:ind w:right="118"/>
              <w:rPr>
                <w:sz w:val="14"/>
              </w:rPr>
            </w:pPr>
            <w:r>
              <w:rPr>
                <w:color w:val="231F20"/>
                <w:sz w:val="14"/>
              </w:rPr>
              <w:t>Изведене</w:t>
            </w:r>
            <w:r>
              <w:rPr>
                <w:color w:val="231F20"/>
                <w:spacing w:val="-6"/>
                <w:sz w:val="14"/>
              </w:rPr>
              <w:t xml:space="preserve"> </w:t>
            </w:r>
            <w:r>
              <w:rPr>
                <w:color w:val="231F20"/>
                <w:sz w:val="14"/>
              </w:rPr>
              <w:t>и</w:t>
            </w:r>
            <w:r>
              <w:rPr>
                <w:color w:val="231F20"/>
                <w:spacing w:val="-6"/>
                <w:sz w:val="14"/>
              </w:rPr>
              <w:t xml:space="preserve"> </w:t>
            </w:r>
            <w:r>
              <w:rPr>
                <w:color w:val="231F20"/>
                <w:sz w:val="14"/>
              </w:rPr>
              <w:t>сложене</w:t>
            </w:r>
            <w:r>
              <w:rPr>
                <w:color w:val="231F20"/>
                <w:spacing w:val="-6"/>
                <w:sz w:val="14"/>
              </w:rPr>
              <w:t xml:space="preserve"> </w:t>
            </w:r>
            <w:r>
              <w:rPr>
                <w:color w:val="231F20"/>
                <w:sz w:val="14"/>
              </w:rPr>
              <w:t>речи</w:t>
            </w:r>
            <w:r>
              <w:rPr>
                <w:color w:val="231F20"/>
                <w:spacing w:val="-6"/>
                <w:sz w:val="14"/>
              </w:rPr>
              <w:t xml:space="preserve"> </w:t>
            </w:r>
            <w:r>
              <w:rPr>
                <w:color w:val="231F20"/>
                <w:sz w:val="14"/>
              </w:rPr>
              <w:t>(улога</w:t>
            </w:r>
            <w:r>
              <w:rPr>
                <w:color w:val="231F20"/>
                <w:spacing w:val="-6"/>
                <w:sz w:val="14"/>
              </w:rPr>
              <w:t xml:space="preserve"> </w:t>
            </w:r>
            <w:r>
              <w:rPr>
                <w:color w:val="231F20"/>
                <w:sz w:val="14"/>
              </w:rPr>
              <w:t>префикса, суфикса и спојних вокала у грађењу</w:t>
            </w:r>
            <w:r>
              <w:rPr>
                <w:color w:val="231F20"/>
                <w:spacing w:val="-26"/>
                <w:sz w:val="14"/>
              </w:rPr>
              <w:t xml:space="preserve"> </w:t>
            </w:r>
            <w:r>
              <w:rPr>
                <w:color w:val="231F20"/>
                <w:sz w:val="14"/>
              </w:rPr>
              <w:t>речи).</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Синтакса</w:t>
            </w:r>
          </w:p>
        </w:tc>
        <w:tc>
          <w:tcPr>
            <w:tcW w:w="1587" w:type="dxa"/>
          </w:tcPr>
          <w:p w:rsidR="00041039" w:rsidRDefault="001B26CB">
            <w:pPr>
              <w:pStyle w:val="TableParagraph"/>
              <w:numPr>
                <w:ilvl w:val="0"/>
                <w:numId w:val="1545"/>
              </w:numPr>
              <w:tabs>
                <w:tab w:val="left" w:pos="157"/>
              </w:tabs>
              <w:spacing w:before="10"/>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1544"/>
              </w:numPr>
              <w:tabs>
                <w:tab w:val="left" w:pos="157"/>
              </w:tabs>
              <w:spacing w:before="10"/>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numPr>
                <w:ilvl w:val="0"/>
                <w:numId w:val="1544"/>
              </w:numPr>
              <w:tabs>
                <w:tab w:val="left" w:pos="157"/>
              </w:tabs>
              <w:spacing w:line="160" w:lineRule="exact"/>
              <w:ind w:right="95" w:hanging="99"/>
              <w:rPr>
                <w:sz w:val="14"/>
              </w:rPr>
            </w:pPr>
            <w:r>
              <w:rPr>
                <w:color w:val="231F20"/>
                <w:sz w:val="14"/>
              </w:rPr>
              <w:t>препознаје</w:t>
            </w:r>
            <w:r>
              <w:rPr>
                <w:color w:val="231F20"/>
                <w:spacing w:val="-12"/>
                <w:sz w:val="14"/>
              </w:rPr>
              <w:t xml:space="preserve"> </w:t>
            </w:r>
            <w:r>
              <w:rPr>
                <w:color w:val="231F20"/>
                <w:sz w:val="14"/>
              </w:rPr>
              <w:t>врсту</w:t>
            </w:r>
            <w:r>
              <w:rPr>
                <w:color w:val="231F20"/>
                <w:spacing w:val="-11"/>
                <w:sz w:val="14"/>
              </w:rPr>
              <w:t xml:space="preserve"> </w:t>
            </w:r>
            <w:r>
              <w:rPr>
                <w:color w:val="231F20"/>
                <w:sz w:val="14"/>
              </w:rPr>
              <w:t>комуникативне</w:t>
            </w:r>
            <w:r>
              <w:rPr>
                <w:color w:val="231F20"/>
                <w:spacing w:val="-11"/>
                <w:sz w:val="14"/>
              </w:rPr>
              <w:t xml:space="preserve"> </w:t>
            </w:r>
            <w:r>
              <w:rPr>
                <w:color w:val="231F20"/>
                <w:sz w:val="14"/>
              </w:rPr>
              <w:t>рече­ нице, као и њену</w:t>
            </w:r>
            <w:r>
              <w:rPr>
                <w:color w:val="231F20"/>
                <w:spacing w:val="-6"/>
                <w:sz w:val="14"/>
              </w:rPr>
              <w:t xml:space="preserve"> </w:t>
            </w:r>
            <w:r>
              <w:rPr>
                <w:color w:val="231F20"/>
                <w:sz w:val="14"/>
              </w:rPr>
              <w:t>функцију;</w:t>
            </w:r>
          </w:p>
        </w:tc>
        <w:tc>
          <w:tcPr>
            <w:tcW w:w="2834" w:type="dxa"/>
          </w:tcPr>
          <w:p w:rsidR="00041039" w:rsidRDefault="001B26CB">
            <w:pPr>
              <w:pStyle w:val="TableParagraph"/>
              <w:numPr>
                <w:ilvl w:val="0"/>
                <w:numId w:val="1543"/>
              </w:numPr>
              <w:tabs>
                <w:tab w:val="left" w:pos="158"/>
              </w:tabs>
              <w:spacing w:before="10"/>
              <w:ind w:right="248"/>
              <w:rPr>
                <w:sz w:val="14"/>
              </w:rPr>
            </w:pPr>
            <w:r>
              <w:rPr>
                <w:color w:val="231F20"/>
                <w:sz w:val="14"/>
              </w:rPr>
              <w:t>Основни реченични чланови</w:t>
            </w:r>
            <w:r>
              <w:rPr>
                <w:color w:val="231F20"/>
                <w:spacing w:val="-18"/>
                <w:sz w:val="14"/>
              </w:rPr>
              <w:t xml:space="preserve"> </w:t>
            </w:r>
            <w:r>
              <w:rPr>
                <w:color w:val="231F20"/>
                <w:sz w:val="14"/>
              </w:rPr>
              <w:t>(одредбени и допунски), изражавање лексемама и синтагмама.</w:t>
            </w:r>
          </w:p>
          <w:p w:rsidR="00041039" w:rsidRDefault="001B26CB">
            <w:pPr>
              <w:pStyle w:val="TableParagraph"/>
              <w:numPr>
                <w:ilvl w:val="0"/>
                <w:numId w:val="1543"/>
              </w:numPr>
              <w:tabs>
                <w:tab w:val="left" w:pos="158"/>
              </w:tabs>
              <w:spacing w:line="157" w:lineRule="exact"/>
              <w:rPr>
                <w:sz w:val="14"/>
              </w:rPr>
            </w:pPr>
            <w:r>
              <w:rPr>
                <w:color w:val="231F20"/>
                <w:sz w:val="14"/>
              </w:rPr>
              <w:t>Врсте реченице по комуникативној</w:t>
            </w:r>
            <w:r>
              <w:rPr>
                <w:color w:val="231F20"/>
                <w:spacing w:val="-15"/>
                <w:sz w:val="14"/>
              </w:rPr>
              <w:t xml:space="preserve"> </w:t>
            </w:r>
            <w:r>
              <w:rPr>
                <w:color w:val="231F20"/>
                <w:sz w:val="14"/>
              </w:rPr>
              <w:t>функ­</w:t>
            </w:r>
          </w:p>
          <w:p w:rsidR="00041039" w:rsidRDefault="001B26CB">
            <w:pPr>
              <w:pStyle w:val="TableParagraph"/>
              <w:spacing w:line="160" w:lineRule="exact"/>
              <w:ind w:left="157"/>
              <w:rPr>
                <w:sz w:val="14"/>
              </w:rPr>
            </w:pPr>
            <w:r>
              <w:rPr>
                <w:color w:val="231F20"/>
                <w:sz w:val="14"/>
              </w:rPr>
              <w:t>цији.</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numPr>
                <w:ilvl w:val="0"/>
                <w:numId w:val="1542"/>
              </w:numPr>
              <w:tabs>
                <w:tab w:val="left" w:pos="157"/>
              </w:tabs>
              <w:spacing w:before="10"/>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1541"/>
              </w:numPr>
              <w:tabs>
                <w:tab w:val="left" w:pos="158"/>
              </w:tabs>
              <w:spacing w:before="10"/>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1540"/>
              </w:numPr>
              <w:tabs>
                <w:tab w:val="left" w:pos="158"/>
              </w:tabs>
              <w:spacing w:before="10"/>
              <w:ind w:right="137"/>
              <w:rPr>
                <w:sz w:val="14"/>
              </w:rPr>
            </w:pPr>
            <w:r>
              <w:rPr>
                <w:color w:val="231F20"/>
                <w:sz w:val="14"/>
              </w:rPr>
              <w:t>Карактеристике фонетског правописа</w:t>
            </w:r>
            <w:r>
              <w:rPr>
                <w:color w:val="231F20"/>
                <w:spacing w:val="-16"/>
                <w:sz w:val="14"/>
              </w:rPr>
              <w:t xml:space="preserve"> </w:t>
            </w:r>
            <w:r>
              <w:rPr>
                <w:color w:val="231F20"/>
                <w:sz w:val="14"/>
              </w:rPr>
              <w:t>(по­ себно</w:t>
            </w:r>
            <w:r>
              <w:rPr>
                <w:color w:val="231F20"/>
                <w:spacing w:val="-5"/>
                <w:sz w:val="14"/>
              </w:rPr>
              <w:t xml:space="preserve"> </w:t>
            </w:r>
            <w:r>
              <w:rPr>
                <w:color w:val="231F20"/>
                <w:sz w:val="14"/>
              </w:rPr>
              <w:t>с</w:t>
            </w:r>
            <w:r>
              <w:rPr>
                <w:color w:val="231F20"/>
                <w:spacing w:val="-5"/>
                <w:sz w:val="14"/>
              </w:rPr>
              <w:t xml:space="preserve"> </w:t>
            </w:r>
            <w:r>
              <w:rPr>
                <w:color w:val="231F20"/>
                <w:sz w:val="14"/>
              </w:rPr>
              <w:t>обзиром</w:t>
            </w:r>
            <w:r>
              <w:rPr>
                <w:color w:val="231F20"/>
                <w:spacing w:val="-5"/>
                <w:sz w:val="14"/>
              </w:rPr>
              <w:t xml:space="preserve"> </w:t>
            </w:r>
            <w:r>
              <w:rPr>
                <w:color w:val="231F20"/>
                <w:sz w:val="14"/>
              </w:rPr>
              <w:t>на</w:t>
            </w:r>
            <w:r>
              <w:rPr>
                <w:color w:val="231F20"/>
                <w:spacing w:val="-6"/>
                <w:sz w:val="14"/>
              </w:rPr>
              <w:t xml:space="preserve"> </w:t>
            </w:r>
            <w:r>
              <w:rPr>
                <w:color w:val="231F20"/>
                <w:sz w:val="14"/>
              </w:rPr>
              <w:t>гласовне</w:t>
            </w:r>
            <w:r>
              <w:rPr>
                <w:color w:val="231F20"/>
                <w:spacing w:val="-6"/>
                <w:sz w:val="14"/>
              </w:rPr>
              <w:t xml:space="preserve"> </w:t>
            </w:r>
            <w:r>
              <w:rPr>
                <w:color w:val="231F20"/>
                <w:sz w:val="14"/>
              </w:rPr>
              <w:t>алтернације).</w:t>
            </w:r>
          </w:p>
          <w:p w:rsidR="00041039" w:rsidRDefault="001B26CB">
            <w:pPr>
              <w:pStyle w:val="TableParagraph"/>
              <w:numPr>
                <w:ilvl w:val="0"/>
                <w:numId w:val="1540"/>
              </w:numPr>
              <w:tabs>
                <w:tab w:val="left" w:pos="158"/>
              </w:tabs>
              <w:spacing w:line="153" w:lineRule="exact"/>
              <w:rPr>
                <w:sz w:val="14"/>
              </w:rPr>
            </w:pPr>
            <w:r>
              <w:rPr>
                <w:color w:val="231F20"/>
                <w:sz w:val="14"/>
              </w:rPr>
              <w:t>Велико и мало</w:t>
            </w:r>
            <w:r>
              <w:rPr>
                <w:color w:val="231F20"/>
                <w:spacing w:val="-3"/>
                <w:sz w:val="14"/>
              </w:rPr>
              <w:t xml:space="preserve"> </w:t>
            </w:r>
            <w:r>
              <w:rPr>
                <w:color w:val="231F20"/>
                <w:sz w:val="14"/>
              </w:rPr>
              <w:t>слово.</w:t>
            </w:r>
          </w:p>
          <w:p w:rsidR="00041039" w:rsidRDefault="001B26CB">
            <w:pPr>
              <w:pStyle w:val="TableParagraph"/>
              <w:numPr>
                <w:ilvl w:val="0"/>
                <w:numId w:val="1540"/>
              </w:numPr>
              <w:tabs>
                <w:tab w:val="left" w:pos="158"/>
              </w:tabs>
              <w:spacing w:line="160" w:lineRule="exact"/>
              <w:rPr>
                <w:sz w:val="14"/>
              </w:rPr>
            </w:pPr>
            <w:r>
              <w:rPr>
                <w:color w:val="231F20"/>
                <w:sz w:val="14"/>
              </w:rPr>
              <w:t>Састављено и растављено писање</w:t>
            </w:r>
            <w:r>
              <w:rPr>
                <w:color w:val="231F20"/>
                <w:spacing w:val="-2"/>
                <w:sz w:val="14"/>
              </w:rPr>
              <w:t xml:space="preserve"> </w:t>
            </w:r>
            <w:r>
              <w:rPr>
                <w:color w:val="231F20"/>
                <w:sz w:val="14"/>
              </w:rPr>
              <w:t>речи.</w:t>
            </w:r>
          </w:p>
          <w:p w:rsidR="00041039" w:rsidRDefault="001B26CB">
            <w:pPr>
              <w:pStyle w:val="TableParagraph"/>
              <w:numPr>
                <w:ilvl w:val="0"/>
                <w:numId w:val="1540"/>
              </w:numPr>
              <w:tabs>
                <w:tab w:val="left" w:pos="158"/>
              </w:tabs>
              <w:spacing w:line="165" w:lineRule="exact"/>
              <w:rPr>
                <w:sz w:val="14"/>
              </w:rPr>
            </w:pPr>
            <w:r>
              <w:rPr>
                <w:color w:val="231F20"/>
                <w:sz w:val="14"/>
              </w:rPr>
              <w:t>Правописни знаци и знаци</w:t>
            </w:r>
            <w:r>
              <w:rPr>
                <w:color w:val="231F20"/>
                <w:spacing w:val="-16"/>
                <w:sz w:val="14"/>
              </w:rPr>
              <w:t xml:space="preserve"> </w:t>
            </w:r>
            <w:r>
              <w:rPr>
                <w:color w:val="231F20"/>
                <w:sz w:val="14"/>
              </w:rPr>
              <w:t>интерпункције.</w:t>
            </w:r>
          </w:p>
        </w:tc>
        <w:tc>
          <w:tcPr>
            <w:tcW w:w="2267" w:type="dxa"/>
            <w:vMerge/>
            <w:tcBorders>
              <w:top w:val="nil"/>
            </w:tcBorders>
          </w:tcPr>
          <w:p w:rsidR="00041039" w:rsidRDefault="00041039">
            <w:pPr>
              <w:rPr>
                <w:sz w:val="2"/>
                <w:szCs w:val="2"/>
              </w:rPr>
            </w:pPr>
          </w:p>
        </w:tc>
      </w:tr>
      <w:tr w:rsidR="00041039">
        <w:trPr>
          <w:trHeight w:val="4908"/>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1539"/>
              </w:numPr>
              <w:tabs>
                <w:tab w:val="left" w:pos="157"/>
              </w:tabs>
              <w:spacing w:before="10"/>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1538"/>
              </w:numPr>
              <w:tabs>
                <w:tab w:val="left" w:pos="158"/>
              </w:tabs>
              <w:spacing w:before="10"/>
              <w:ind w:right="116"/>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1538"/>
              </w:numPr>
              <w:tabs>
                <w:tab w:val="left" w:pos="158"/>
              </w:tabs>
              <w:spacing w:line="160" w:lineRule="exact"/>
              <w:ind w:right="158"/>
              <w:rPr>
                <w:sz w:val="14"/>
              </w:rPr>
            </w:pPr>
            <w:r>
              <w:rPr>
                <w:color w:val="231F20"/>
                <w:sz w:val="14"/>
              </w:rPr>
              <w:t>даје комплексније одговоре на</w:t>
            </w:r>
            <w:r>
              <w:rPr>
                <w:color w:val="231F20"/>
                <w:spacing w:val="-23"/>
                <w:sz w:val="14"/>
              </w:rPr>
              <w:t xml:space="preserve"> </w:t>
            </w:r>
            <w:r>
              <w:rPr>
                <w:color w:val="231F20"/>
                <w:sz w:val="14"/>
              </w:rPr>
              <w:t>поста­ вљена питања и поставља</w:t>
            </w:r>
            <w:r>
              <w:rPr>
                <w:color w:val="231F20"/>
                <w:spacing w:val="-4"/>
                <w:sz w:val="14"/>
              </w:rPr>
              <w:t xml:space="preserve"> </w:t>
            </w:r>
            <w:r>
              <w:rPr>
                <w:color w:val="231F20"/>
                <w:sz w:val="14"/>
              </w:rPr>
              <w:t>питања;</w:t>
            </w:r>
          </w:p>
        </w:tc>
        <w:tc>
          <w:tcPr>
            <w:tcW w:w="2834" w:type="dxa"/>
          </w:tcPr>
          <w:p w:rsidR="00041039" w:rsidRDefault="001B26CB">
            <w:pPr>
              <w:pStyle w:val="TableParagraph"/>
              <w:numPr>
                <w:ilvl w:val="0"/>
                <w:numId w:val="1537"/>
              </w:numPr>
              <w:tabs>
                <w:tab w:val="left" w:pos="158"/>
              </w:tabs>
              <w:spacing w:before="10" w:line="171" w:lineRule="exact"/>
              <w:ind w:hanging="99"/>
              <w:rPr>
                <w:sz w:val="14"/>
              </w:rPr>
            </w:pPr>
            <w:r>
              <w:rPr>
                <w:color w:val="231F20"/>
                <w:sz w:val="14"/>
              </w:rPr>
              <w:t>Тематика:</w:t>
            </w:r>
          </w:p>
          <w:p w:rsidR="00041039" w:rsidRDefault="001B26CB">
            <w:pPr>
              <w:pStyle w:val="TableParagraph"/>
              <w:numPr>
                <w:ilvl w:val="0"/>
                <w:numId w:val="1536"/>
              </w:numPr>
              <w:tabs>
                <w:tab w:val="left" w:pos="164"/>
              </w:tabs>
              <w:spacing w:line="160" w:lineRule="exact"/>
              <w:rPr>
                <w:sz w:val="14"/>
              </w:rPr>
            </w:pPr>
            <w:r>
              <w:rPr>
                <w:color w:val="231F20"/>
                <w:spacing w:val="-3"/>
                <w:sz w:val="14"/>
              </w:rPr>
              <w:t>Школа;</w:t>
            </w:r>
          </w:p>
          <w:p w:rsidR="00041039" w:rsidRDefault="001B26CB">
            <w:pPr>
              <w:pStyle w:val="TableParagraph"/>
              <w:numPr>
                <w:ilvl w:val="0"/>
                <w:numId w:val="1536"/>
              </w:numPr>
              <w:tabs>
                <w:tab w:val="left" w:pos="164"/>
              </w:tabs>
              <w:spacing w:line="160" w:lineRule="exact"/>
              <w:rPr>
                <w:sz w:val="14"/>
              </w:rPr>
            </w:pPr>
            <w:r>
              <w:rPr>
                <w:color w:val="231F20"/>
                <w:sz w:val="14"/>
              </w:rPr>
              <w:t>Занимања;</w:t>
            </w:r>
          </w:p>
          <w:p w:rsidR="00041039" w:rsidRDefault="001B26CB">
            <w:pPr>
              <w:pStyle w:val="TableParagraph"/>
              <w:numPr>
                <w:ilvl w:val="0"/>
                <w:numId w:val="1536"/>
              </w:numPr>
              <w:tabs>
                <w:tab w:val="left" w:pos="164"/>
              </w:tabs>
              <w:spacing w:line="160" w:lineRule="exact"/>
              <w:rPr>
                <w:sz w:val="14"/>
              </w:rPr>
            </w:pPr>
            <w:r>
              <w:rPr>
                <w:color w:val="231F20"/>
                <w:sz w:val="14"/>
              </w:rPr>
              <w:t>Из живота</w:t>
            </w:r>
            <w:r>
              <w:rPr>
                <w:color w:val="231F20"/>
                <w:spacing w:val="-2"/>
                <w:sz w:val="14"/>
              </w:rPr>
              <w:t xml:space="preserve"> </w:t>
            </w:r>
            <w:r>
              <w:rPr>
                <w:color w:val="231F20"/>
                <w:sz w:val="14"/>
              </w:rPr>
              <w:t>младих;</w:t>
            </w:r>
          </w:p>
          <w:p w:rsidR="00041039" w:rsidRDefault="001B26CB">
            <w:pPr>
              <w:pStyle w:val="TableParagraph"/>
              <w:numPr>
                <w:ilvl w:val="0"/>
                <w:numId w:val="1536"/>
              </w:numPr>
              <w:tabs>
                <w:tab w:val="left" w:pos="164"/>
              </w:tabs>
              <w:spacing w:line="155" w:lineRule="exact"/>
              <w:rPr>
                <w:sz w:val="14"/>
              </w:rPr>
            </w:pPr>
            <w:r>
              <w:rPr>
                <w:color w:val="231F20"/>
                <w:sz w:val="14"/>
              </w:rPr>
              <w:t>Свакодневни</w:t>
            </w:r>
            <w:r>
              <w:rPr>
                <w:color w:val="231F20"/>
                <w:spacing w:val="-1"/>
                <w:sz w:val="14"/>
              </w:rPr>
              <w:t xml:space="preserve"> </w:t>
            </w:r>
            <w:r>
              <w:rPr>
                <w:color w:val="231F20"/>
                <w:spacing w:val="-3"/>
                <w:sz w:val="14"/>
              </w:rPr>
              <w:t>живот.</w:t>
            </w:r>
          </w:p>
          <w:p w:rsidR="00041039" w:rsidRDefault="001B26CB">
            <w:pPr>
              <w:pStyle w:val="TableParagraph"/>
              <w:numPr>
                <w:ilvl w:val="0"/>
                <w:numId w:val="1535"/>
              </w:numPr>
              <w:tabs>
                <w:tab w:val="left" w:pos="158"/>
              </w:tabs>
              <w:spacing w:line="237" w:lineRule="auto"/>
              <w:ind w:right="393" w:hanging="99"/>
              <w:rPr>
                <w:sz w:val="14"/>
              </w:rPr>
            </w:pPr>
            <w:r>
              <w:rPr>
                <w:color w:val="231F20"/>
                <w:sz w:val="14"/>
              </w:rPr>
              <w:t>Комуникативне функције:</w:t>
            </w:r>
            <w:r>
              <w:rPr>
                <w:color w:val="231F20"/>
                <w:spacing w:val="-28"/>
                <w:sz w:val="14"/>
              </w:rPr>
              <w:t xml:space="preserve"> </w:t>
            </w:r>
            <w:r>
              <w:rPr>
                <w:color w:val="231F20"/>
                <w:sz w:val="14"/>
              </w:rPr>
              <w:t>исказивање осећања и</w:t>
            </w:r>
            <w:r>
              <w:rPr>
                <w:color w:val="231F20"/>
                <w:spacing w:val="-1"/>
                <w:sz w:val="14"/>
              </w:rPr>
              <w:t xml:space="preserve"> </w:t>
            </w:r>
            <w:r>
              <w:rPr>
                <w:color w:val="231F20"/>
                <w:sz w:val="14"/>
              </w:rPr>
              <w:t>ставова.</w:t>
            </w:r>
          </w:p>
          <w:p w:rsidR="00041039" w:rsidRDefault="001B26CB">
            <w:pPr>
              <w:pStyle w:val="TableParagraph"/>
              <w:numPr>
                <w:ilvl w:val="0"/>
                <w:numId w:val="1535"/>
              </w:numPr>
              <w:tabs>
                <w:tab w:val="left" w:pos="158"/>
              </w:tabs>
              <w:spacing w:line="160" w:lineRule="exact"/>
              <w:ind w:right="313" w:hanging="99"/>
              <w:rPr>
                <w:sz w:val="14"/>
              </w:rPr>
            </w:pPr>
            <w:r>
              <w:rPr>
                <w:color w:val="231F20"/>
                <w:sz w:val="14"/>
              </w:rPr>
              <w:t>Богаћење ученичког речника новом</w:t>
            </w:r>
            <w:r>
              <w:rPr>
                <w:color w:val="231F20"/>
                <w:spacing w:val="-26"/>
                <w:sz w:val="14"/>
              </w:rPr>
              <w:t xml:space="preserve"> </w:t>
            </w:r>
            <w:r>
              <w:rPr>
                <w:color w:val="231F20"/>
                <w:sz w:val="14"/>
              </w:rPr>
              <w:t>оп­ штом и стручном</w:t>
            </w:r>
            <w:r>
              <w:rPr>
                <w:color w:val="231F20"/>
                <w:spacing w:val="-5"/>
                <w:sz w:val="14"/>
              </w:rPr>
              <w:t xml:space="preserve"> </w:t>
            </w:r>
            <w:r>
              <w:rPr>
                <w:color w:val="231F20"/>
                <w:sz w:val="14"/>
              </w:rPr>
              <w:t>лексиком.</w:t>
            </w:r>
          </w:p>
          <w:p w:rsidR="00041039" w:rsidRDefault="001B26CB">
            <w:pPr>
              <w:pStyle w:val="TableParagraph"/>
              <w:numPr>
                <w:ilvl w:val="0"/>
                <w:numId w:val="1535"/>
              </w:numPr>
              <w:tabs>
                <w:tab w:val="left" w:pos="158"/>
              </w:tabs>
              <w:spacing w:line="153"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1535"/>
              </w:numPr>
              <w:tabs>
                <w:tab w:val="left" w:pos="158"/>
              </w:tabs>
              <w:spacing w:line="166"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64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numPr>
                <w:ilvl w:val="0"/>
                <w:numId w:val="1534"/>
              </w:numPr>
              <w:tabs>
                <w:tab w:val="left" w:pos="157"/>
              </w:tabs>
              <w:spacing w:before="8"/>
              <w:ind w:right="138"/>
              <w:rPr>
                <w:sz w:val="14"/>
              </w:rPr>
            </w:pPr>
            <w:r>
              <w:rPr>
                <w:color w:val="231F20"/>
                <w:sz w:val="14"/>
              </w:rPr>
              <w:t>Упознавање са раз­ личитим књижевним родовима и врстама и значајним делима српске</w:t>
            </w:r>
            <w:r>
              <w:rPr>
                <w:color w:val="231F20"/>
                <w:spacing w:val="-3"/>
                <w:sz w:val="14"/>
              </w:rPr>
              <w:t xml:space="preserve"> </w:t>
            </w:r>
            <w:r>
              <w:rPr>
                <w:color w:val="231F20"/>
                <w:sz w:val="14"/>
              </w:rPr>
              <w:t>књижевности.</w:t>
            </w:r>
          </w:p>
        </w:tc>
        <w:tc>
          <w:tcPr>
            <w:tcW w:w="2551" w:type="dxa"/>
          </w:tcPr>
          <w:p w:rsidR="00041039" w:rsidRDefault="001B26CB">
            <w:pPr>
              <w:pStyle w:val="TableParagraph"/>
              <w:numPr>
                <w:ilvl w:val="0"/>
                <w:numId w:val="1533"/>
              </w:numPr>
              <w:tabs>
                <w:tab w:val="left" w:pos="157"/>
              </w:tabs>
              <w:spacing w:before="8"/>
              <w:ind w:right="267" w:hanging="99"/>
              <w:rPr>
                <w:sz w:val="14"/>
              </w:rPr>
            </w:pPr>
            <w:r>
              <w:rPr>
                <w:color w:val="231F20"/>
                <w:sz w:val="14"/>
              </w:rPr>
              <w:t>разликује књижевне родове и</w:t>
            </w:r>
            <w:r>
              <w:rPr>
                <w:color w:val="231F20"/>
                <w:spacing w:val="-15"/>
                <w:sz w:val="14"/>
              </w:rPr>
              <w:t xml:space="preserve"> </w:t>
            </w:r>
            <w:r>
              <w:rPr>
                <w:color w:val="231F20"/>
                <w:sz w:val="14"/>
              </w:rPr>
              <w:t>врсте и користи познавање жанровских посредности при интерпретацији књижевног дела у</w:t>
            </w:r>
            <w:r>
              <w:rPr>
                <w:color w:val="231F20"/>
                <w:spacing w:val="-1"/>
                <w:sz w:val="14"/>
              </w:rPr>
              <w:t xml:space="preserve"> </w:t>
            </w:r>
            <w:r>
              <w:rPr>
                <w:color w:val="231F20"/>
                <w:sz w:val="14"/>
              </w:rPr>
              <w:t>настави;</w:t>
            </w:r>
          </w:p>
          <w:p w:rsidR="00041039" w:rsidRDefault="001B26CB">
            <w:pPr>
              <w:pStyle w:val="TableParagraph"/>
              <w:numPr>
                <w:ilvl w:val="0"/>
                <w:numId w:val="1533"/>
              </w:numPr>
              <w:tabs>
                <w:tab w:val="left" w:pos="157"/>
              </w:tabs>
              <w:spacing w:line="156" w:lineRule="exact"/>
              <w:ind w:hanging="99"/>
              <w:rPr>
                <w:sz w:val="14"/>
              </w:rPr>
            </w:pPr>
            <w:r>
              <w:rPr>
                <w:color w:val="231F20"/>
                <w:sz w:val="14"/>
              </w:rPr>
              <w:t>чита, препричава и тумачи</w:t>
            </w:r>
            <w:r>
              <w:rPr>
                <w:color w:val="231F20"/>
                <w:spacing w:val="-14"/>
                <w:sz w:val="14"/>
              </w:rPr>
              <w:t xml:space="preserve"> </w:t>
            </w:r>
            <w:r>
              <w:rPr>
                <w:color w:val="231F20"/>
                <w:sz w:val="14"/>
              </w:rPr>
              <w:t>књижевно­</w:t>
            </w:r>
          </w:p>
          <w:p w:rsidR="00041039" w:rsidRDefault="001B26CB">
            <w:pPr>
              <w:pStyle w:val="TableParagraph"/>
              <w:spacing w:line="155" w:lineRule="exact"/>
              <w:rPr>
                <w:sz w:val="14"/>
              </w:rPr>
            </w:pPr>
            <w:r>
              <w:rPr>
                <w:color w:val="231F20"/>
                <w:sz w:val="14"/>
              </w:rPr>
              <w:t>уметничке и остале типове текстова;</w:t>
            </w:r>
          </w:p>
          <w:p w:rsidR="00041039" w:rsidRDefault="001B26CB">
            <w:pPr>
              <w:pStyle w:val="TableParagraph"/>
              <w:numPr>
                <w:ilvl w:val="0"/>
                <w:numId w:val="1533"/>
              </w:numPr>
              <w:tabs>
                <w:tab w:val="left" w:pos="157"/>
              </w:tabs>
              <w:spacing w:line="237" w:lineRule="auto"/>
              <w:ind w:right="269" w:hanging="99"/>
              <w:rPr>
                <w:sz w:val="14"/>
              </w:rPr>
            </w:pPr>
            <w:r>
              <w:rPr>
                <w:color w:val="231F20"/>
                <w:sz w:val="14"/>
              </w:rPr>
              <w:t>анализира идејне аспекте текстова обухваћених школским</w:t>
            </w:r>
            <w:r>
              <w:rPr>
                <w:color w:val="231F20"/>
                <w:spacing w:val="-27"/>
                <w:sz w:val="14"/>
              </w:rPr>
              <w:t xml:space="preserve"> </w:t>
            </w:r>
            <w:r>
              <w:rPr>
                <w:color w:val="231F20"/>
                <w:sz w:val="14"/>
              </w:rPr>
              <w:t>програмом;</w:t>
            </w:r>
          </w:p>
        </w:tc>
        <w:tc>
          <w:tcPr>
            <w:tcW w:w="2834" w:type="dxa"/>
          </w:tcPr>
          <w:p w:rsidR="00041039" w:rsidRDefault="001B26CB">
            <w:pPr>
              <w:pStyle w:val="TableParagraph"/>
              <w:numPr>
                <w:ilvl w:val="0"/>
                <w:numId w:val="1532"/>
              </w:numPr>
              <w:tabs>
                <w:tab w:val="left" w:pos="157"/>
              </w:tabs>
              <w:spacing w:before="8"/>
              <w:ind w:right="233" w:hanging="99"/>
              <w:rPr>
                <w:sz w:val="14"/>
              </w:rPr>
            </w:pPr>
            <w:r>
              <w:rPr>
                <w:color w:val="231F20"/>
                <w:sz w:val="14"/>
              </w:rPr>
              <w:t>Вук Стефановић Караџић ­ сакупљач</w:t>
            </w:r>
            <w:r>
              <w:rPr>
                <w:color w:val="231F20"/>
                <w:spacing w:val="-17"/>
                <w:sz w:val="14"/>
              </w:rPr>
              <w:t xml:space="preserve"> </w:t>
            </w:r>
            <w:r>
              <w:rPr>
                <w:color w:val="231F20"/>
                <w:sz w:val="14"/>
              </w:rPr>
              <w:t>на­ родних</w:t>
            </w:r>
            <w:r>
              <w:rPr>
                <w:color w:val="231F20"/>
                <w:spacing w:val="-1"/>
                <w:sz w:val="14"/>
              </w:rPr>
              <w:t xml:space="preserve"> </w:t>
            </w:r>
            <w:r>
              <w:rPr>
                <w:color w:val="231F20"/>
                <w:sz w:val="14"/>
              </w:rPr>
              <w:t>умотворина.</w:t>
            </w:r>
          </w:p>
          <w:p w:rsidR="00041039" w:rsidRDefault="001B26CB">
            <w:pPr>
              <w:pStyle w:val="TableParagraph"/>
              <w:numPr>
                <w:ilvl w:val="0"/>
                <w:numId w:val="1532"/>
              </w:numPr>
              <w:tabs>
                <w:tab w:val="left" w:pos="157"/>
              </w:tabs>
              <w:spacing w:line="160" w:lineRule="exact"/>
              <w:ind w:right="109" w:hanging="99"/>
              <w:jc w:val="both"/>
              <w:rPr>
                <w:sz w:val="14"/>
              </w:rPr>
            </w:pPr>
            <w:r>
              <w:rPr>
                <w:color w:val="231F20"/>
                <w:sz w:val="14"/>
              </w:rPr>
              <w:t>Избор из лирске народне поезије („Српска дјевојка”, „Девојка и сунце”, „Мајка Јова</w:t>
            </w:r>
            <w:r>
              <w:rPr>
                <w:color w:val="231F20"/>
                <w:spacing w:val="-17"/>
                <w:sz w:val="14"/>
              </w:rPr>
              <w:t xml:space="preserve"> </w:t>
            </w:r>
            <w:r>
              <w:rPr>
                <w:color w:val="231F20"/>
                <w:sz w:val="14"/>
              </w:rPr>
              <w:t>у ружи</w:t>
            </w:r>
            <w:r>
              <w:rPr>
                <w:color w:val="231F20"/>
                <w:spacing w:val="-1"/>
                <w:sz w:val="14"/>
              </w:rPr>
              <w:t xml:space="preserve"> </w:t>
            </w:r>
            <w:r>
              <w:rPr>
                <w:color w:val="231F20"/>
                <w:sz w:val="14"/>
              </w:rPr>
              <w:t>родила”).</w:t>
            </w:r>
          </w:p>
          <w:p w:rsidR="00041039" w:rsidRDefault="001B26CB">
            <w:pPr>
              <w:pStyle w:val="TableParagraph"/>
              <w:numPr>
                <w:ilvl w:val="0"/>
                <w:numId w:val="1532"/>
              </w:numPr>
              <w:tabs>
                <w:tab w:val="left" w:pos="157"/>
              </w:tabs>
              <w:spacing w:line="153" w:lineRule="exact"/>
              <w:ind w:hanging="99"/>
              <w:rPr>
                <w:sz w:val="14"/>
              </w:rPr>
            </w:pPr>
            <w:r>
              <w:rPr>
                <w:color w:val="231F20"/>
                <w:sz w:val="14"/>
              </w:rPr>
              <w:t>Епска народна песма ­ „Косовка</w:t>
            </w:r>
            <w:r>
              <w:rPr>
                <w:color w:val="231F20"/>
                <w:spacing w:val="-11"/>
                <w:sz w:val="14"/>
              </w:rPr>
              <w:t xml:space="preserve"> </w:t>
            </w:r>
            <w:r>
              <w:rPr>
                <w:color w:val="231F20"/>
                <w:sz w:val="14"/>
              </w:rPr>
              <w:t>девојка”.</w:t>
            </w:r>
          </w:p>
          <w:p w:rsidR="00041039" w:rsidRDefault="001B26CB">
            <w:pPr>
              <w:pStyle w:val="TableParagraph"/>
              <w:numPr>
                <w:ilvl w:val="0"/>
                <w:numId w:val="1532"/>
              </w:numPr>
              <w:tabs>
                <w:tab w:val="left" w:pos="157"/>
              </w:tabs>
              <w:spacing w:line="160" w:lineRule="exact"/>
              <w:ind w:hanging="99"/>
              <w:rPr>
                <w:sz w:val="14"/>
              </w:rPr>
            </w:pPr>
            <w:r>
              <w:rPr>
                <w:color w:val="231F20"/>
                <w:sz w:val="14"/>
              </w:rPr>
              <w:t>Легенде и предања о Светом</w:t>
            </w:r>
            <w:r>
              <w:rPr>
                <w:color w:val="231F20"/>
                <w:spacing w:val="-5"/>
                <w:sz w:val="14"/>
              </w:rPr>
              <w:t xml:space="preserve"> </w:t>
            </w:r>
            <w:r>
              <w:rPr>
                <w:color w:val="231F20"/>
                <w:sz w:val="14"/>
              </w:rPr>
              <w:t>Сави.</w:t>
            </w:r>
          </w:p>
          <w:p w:rsidR="00041039" w:rsidRDefault="001B26CB">
            <w:pPr>
              <w:pStyle w:val="TableParagraph"/>
              <w:numPr>
                <w:ilvl w:val="0"/>
                <w:numId w:val="1532"/>
              </w:numPr>
              <w:tabs>
                <w:tab w:val="left" w:pos="157"/>
              </w:tabs>
              <w:spacing w:line="237" w:lineRule="auto"/>
              <w:ind w:right="91" w:hanging="99"/>
              <w:rPr>
                <w:sz w:val="14"/>
              </w:rPr>
            </w:pPr>
            <w:r>
              <w:rPr>
                <w:color w:val="231F20"/>
                <w:sz w:val="14"/>
              </w:rPr>
              <w:t>Народна бајка (по избору) ­ „Дјевојка</w:t>
            </w:r>
            <w:r>
              <w:rPr>
                <w:color w:val="231F20"/>
                <w:spacing w:val="-22"/>
                <w:sz w:val="14"/>
              </w:rPr>
              <w:t xml:space="preserve"> </w:t>
            </w:r>
            <w:r>
              <w:rPr>
                <w:color w:val="231F20"/>
                <w:sz w:val="14"/>
              </w:rPr>
              <w:t xml:space="preserve">бржа </w:t>
            </w:r>
            <w:r>
              <w:rPr>
                <w:color w:val="231F20"/>
                <w:spacing w:val="-3"/>
                <w:sz w:val="14"/>
              </w:rPr>
              <w:t xml:space="preserve">од </w:t>
            </w:r>
            <w:r>
              <w:rPr>
                <w:color w:val="231F20"/>
                <w:sz w:val="14"/>
              </w:rPr>
              <w:t>коња”; „Међедовић”,</w:t>
            </w:r>
            <w:r>
              <w:rPr>
                <w:color w:val="231F20"/>
                <w:spacing w:val="-1"/>
                <w:sz w:val="14"/>
              </w:rPr>
              <w:t xml:space="preserve"> </w:t>
            </w:r>
            <w:r>
              <w:rPr>
                <w:color w:val="231F20"/>
                <w:sz w:val="14"/>
              </w:rPr>
              <w:t>„Биберче”.</w:t>
            </w:r>
          </w:p>
          <w:p w:rsidR="00041039" w:rsidRDefault="001B26CB">
            <w:pPr>
              <w:pStyle w:val="TableParagraph"/>
              <w:numPr>
                <w:ilvl w:val="0"/>
                <w:numId w:val="1532"/>
              </w:numPr>
              <w:tabs>
                <w:tab w:val="left" w:pos="157"/>
              </w:tabs>
              <w:spacing w:line="155" w:lineRule="exact"/>
              <w:ind w:hanging="99"/>
              <w:rPr>
                <w:sz w:val="14"/>
              </w:rPr>
            </w:pPr>
            <w:r>
              <w:rPr>
                <w:color w:val="231F20"/>
                <w:sz w:val="14"/>
              </w:rPr>
              <w:t>Бранислав Нушић: „Госпођа</w:t>
            </w:r>
            <w:r>
              <w:rPr>
                <w:color w:val="231F20"/>
                <w:spacing w:val="-12"/>
                <w:sz w:val="14"/>
              </w:rPr>
              <w:t xml:space="preserve"> </w:t>
            </w:r>
            <w:r>
              <w:rPr>
                <w:color w:val="231F20"/>
                <w:sz w:val="14"/>
              </w:rPr>
              <w:t>министарка”.</w:t>
            </w:r>
          </w:p>
          <w:p w:rsidR="00041039" w:rsidRDefault="001B26CB">
            <w:pPr>
              <w:pStyle w:val="TableParagraph"/>
              <w:numPr>
                <w:ilvl w:val="0"/>
                <w:numId w:val="1532"/>
              </w:numPr>
              <w:tabs>
                <w:tab w:val="left" w:pos="157"/>
              </w:tabs>
              <w:spacing w:line="237" w:lineRule="auto"/>
              <w:ind w:right="449" w:hanging="99"/>
              <w:rPr>
                <w:sz w:val="14"/>
              </w:rPr>
            </w:pPr>
            <w:r>
              <w:rPr>
                <w:color w:val="231F20"/>
                <w:sz w:val="14"/>
              </w:rPr>
              <w:t>Лаза Лазаревић: „Први пут с оцем на јутрење”.</w:t>
            </w:r>
          </w:p>
          <w:p w:rsidR="00041039" w:rsidRDefault="001B26CB">
            <w:pPr>
              <w:pStyle w:val="TableParagraph"/>
              <w:numPr>
                <w:ilvl w:val="0"/>
                <w:numId w:val="1532"/>
              </w:numPr>
              <w:tabs>
                <w:tab w:val="left" w:pos="157"/>
              </w:tabs>
              <w:spacing w:line="160" w:lineRule="exact"/>
              <w:ind w:right="111" w:hanging="99"/>
              <w:rPr>
                <w:sz w:val="14"/>
              </w:rPr>
            </w:pPr>
            <w:r>
              <w:rPr>
                <w:color w:val="231F20"/>
                <w:sz w:val="14"/>
              </w:rPr>
              <w:t xml:space="preserve">Јован Јовановић Змај: </w:t>
            </w:r>
            <w:r>
              <w:rPr>
                <w:color w:val="231F20"/>
                <w:spacing w:val="-4"/>
                <w:sz w:val="14"/>
              </w:rPr>
              <w:t xml:space="preserve">„Ћулићи” </w:t>
            </w:r>
            <w:r>
              <w:rPr>
                <w:color w:val="231F20"/>
                <w:sz w:val="14"/>
              </w:rPr>
              <w:t xml:space="preserve">и </w:t>
            </w:r>
            <w:r>
              <w:rPr>
                <w:color w:val="231F20"/>
                <w:spacing w:val="-4"/>
                <w:sz w:val="14"/>
              </w:rPr>
              <w:t xml:space="preserve">„Ћулићи </w:t>
            </w:r>
            <w:r>
              <w:rPr>
                <w:color w:val="231F20"/>
                <w:sz w:val="14"/>
              </w:rPr>
              <w:t>увеоци”</w:t>
            </w:r>
            <w:r>
              <w:rPr>
                <w:color w:val="231F20"/>
                <w:spacing w:val="-1"/>
                <w:sz w:val="14"/>
              </w:rPr>
              <w:t xml:space="preserve"> </w:t>
            </w:r>
            <w:r>
              <w:rPr>
                <w:color w:val="231F20"/>
                <w:sz w:val="14"/>
              </w:rPr>
              <w:t>(избор).</w:t>
            </w:r>
          </w:p>
          <w:p w:rsidR="00041039" w:rsidRDefault="001B26CB">
            <w:pPr>
              <w:pStyle w:val="TableParagraph"/>
              <w:numPr>
                <w:ilvl w:val="0"/>
                <w:numId w:val="1532"/>
              </w:numPr>
              <w:tabs>
                <w:tab w:val="left" w:pos="157"/>
              </w:tabs>
              <w:spacing w:line="160" w:lineRule="exact"/>
              <w:ind w:right="322" w:hanging="99"/>
              <w:rPr>
                <w:sz w:val="14"/>
              </w:rPr>
            </w:pPr>
            <w:r>
              <w:rPr>
                <w:color w:val="231F20"/>
                <w:sz w:val="14"/>
              </w:rPr>
              <w:t>Десанка Максимовић: „Сребрне плеса­ чице”.</w:t>
            </w:r>
          </w:p>
          <w:p w:rsidR="00041039" w:rsidRDefault="001B26CB">
            <w:pPr>
              <w:pStyle w:val="TableParagraph"/>
              <w:numPr>
                <w:ilvl w:val="0"/>
                <w:numId w:val="1532"/>
              </w:numPr>
              <w:tabs>
                <w:tab w:val="left" w:pos="157"/>
              </w:tabs>
              <w:spacing w:line="153" w:lineRule="exact"/>
              <w:ind w:hanging="99"/>
              <w:jc w:val="both"/>
              <w:rPr>
                <w:sz w:val="14"/>
              </w:rPr>
            </w:pPr>
            <w:r>
              <w:rPr>
                <w:color w:val="231F20"/>
                <w:sz w:val="14"/>
              </w:rPr>
              <w:t>Ћура Јакшић:</w:t>
            </w:r>
            <w:r>
              <w:rPr>
                <w:color w:val="231F20"/>
                <w:spacing w:val="-3"/>
                <w:sz w:val="14"/>
              </w:rPr>
              <w:t xml:space="preserve"> </w:t>
            </w:r>
            <w:r>
              <w:rPr>
                <w:color w:val="231F20"/>
                <w:sz w:val="14"/>
              </w:rPr>
              <w:t>,,Вече”.</w:t>
            </w:r>
          </w:p>
          <w:p w:rsidR="00041039" w:rsidRDefault="001B26CB">
            <w:pPr>
              <w:pStyle w:val="TableParagraph"/>
              <w:numPr>
                <w:ilvl w:val="0"/>
                <w:numId w:val="1532"/>
              </w:numPr>
              <w:tabs>
                <w:tab w:val="left" w:pos="157"/>
              </w:tabs>
              <w:spacing w:line="160" w:lineRule="exact"/>
              <w:ind w:hanging="99"/>
              <w:jc w:val="both"/>
              <w:rPr>
                <w:sz w:val="14"/>
              </w:rPr>
            </w:pPr>
            <w:r>
              <w:rPr>
                <w:color w:val="231F20"/>
                <w:sz w:val="14"/>
              </w:rPr>
              <w:t>Данило Киш: избор из</w:t>
            </w:r>
            <w:r>
              <w:rPr>
                <w:color w:val="231F20"/>
                <w:spacing w:val="-8"/>
                <w:sz w:val="14"/>
              </w:rPr>
              <w:t xml:space="preserve"> </w:t>
            </w:r>
            <w:r>
              <w:rPr>
                <w:color w:val="231F20"/>
                <w:sz w:val="14"/>
              </w:rPr>
              <w:t>приповедака.</w:t>
            </w:r>
          </w:p>
          <w:p w:rsidR="00041039" w:rsidRDefault="001B26CB">
            <w:pPr>
              <w:pStyle w:val="TableParagraph"/>
              <w:numPr>
                <w:ilvl w:val="0"/>
                <w:numId w:val="1532"/>
              </w:numPr>
              <w:tabs>
                <w:tab w:val="left" w:pos="157"/>
              </w:tabs>
              <w:spacing w:line="160" w:lineRule="exact"/>
              <w:ind w:hanging="99"/>
              <w:jc w:val="both"/>
              <w:rPr>
                <w:sz w:val="14"/>
              </w:rPr>
            </w:pPr>
            <w:r>
              <w:rPr>
                <w:color w:val="231F20"/>
                <w:sz w:val="14"/>
              </w:rPr>
              <w:t>Иво Андрић: „Мост па Жепи” ­</w:t>
            </w:r>
            <w:r>
              <w:rPr>
                <w:color w:val="231F20"/>
                <w:spacing w:val="-15"/>
                <w:sz w:val="14"/>
              </w:rPr>
              <w:t xml:space="preserve"> </w:t>
            </w:r>
            <w:r>
              <w:rPr>
                <w:color w:val="231F20"/>
                <w:sz w:val="14"/>
              </w:rPr>
              <w:t>одломак.</w:t>
            </w:r>
          </w:p>
          <w:p w:rsidR="00041039" w:rsidRDefault="001B26CB">
            <w:pPr>
              <w:pStyle w:val="TableParagraph"/>
              <w:numPr>
                <w:ilvl w:val="0"/>
                <w:numId w:val="1532"/>
              </w:numPr>
              <w:tabs>
                <w:tab w:val="left" w:pos="157"/>
              </w:tabs>
              <w:spacing w:line="160" w:lineRule="exact"/>
              <w:ind w:hanging="99"/>
              <w:jc w:val="both"/>
              <w:rPr>
                <w:sz w:val="14"/>
              </w:rPr>
            </w:pPr>
            <w:r>
              <w:rPr>
                <w:color w:val="231F20"/>
                <w:sz w:val="14"/>
              </w:rPr>
              <w:t>Радоје Домановић:</w:t>
            </w:r>
            <w:r>
              <w:rPr>
                <w:color w:val="231F20"/>
                <w:spacing w:val="-2"/>
                <w:sz w:val="14"/>
              </w:rPr>
              <w:t xml:space="preserve"> </w:t>
            </w:r>
            <w:r>
              <w:rPr>
                <w:color w:val="231F20"/>
                <w:sz w:val="14"/>
              </w:rPr>
              <w:t>„Вођа”.</w:t>
            </w:r>
          </w:p>
          <w:p w:rsidR="00041039" w:rsidRDefault="001B26CB">
            <w:pPr>
              <w:pStyle w:val="TableParagraph"/>
              <w:numPr>
                <w:ilvl w:val="0"/>
                <w:numId w:val="1532"/>
              </w:numPr>
              <w:tabs>
                <w:tab w:val="left" w:pos="157"/>
              </w:tabs>
              <w:spacing w:line="237" w:lineRule="auto"/>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numPr>
                <w:ilvl w:val="0"/>
                <w:numId w:val="1532"/>
              </w:numPr>
              <w:tabs>
                <w:tab w:val="left" w:pos="157"/>
              </w:tabs>
              <w:spacing w:line="237" w:lineRule="auto"/>
              <w:ind w:right="238" w:hanging="99"/>
              <w:rPr>
                <w:sz w:val="14"/>
              </w:rPr>
            </w:pPr>
            <w:r>
              <w:rPr>
                <w:color w:val="231F20"/>
                <w:sz w:val="14"/>
              </w:rPr>
              <w:t>Избор песама: староградске и савремене музике.</w:t>
            </w:r>
          </w:p>
          <w:p w:rsidR="00041039" w:rsidRDefault="001B26CB">
            <w:pPr>
              <w:pStyle w:val="TableParagraph"/>
              <w:spacing w:line="160" w:lineRule="exact"/>
              <w:ind w:left="57"/>
              <w:jc w:val="both"/>
              <w:rPr>
                <w:b/>
                <w:sz w:val="14"/>
              </w:rPr>
            </w:pPr>
            <w:r>
              <w:rPr>
                <w:b/>
                <w:color w:val="231F20"/>
                <w:sz w:val="14"/>
              </w:rPr>
              <w:t>(Обавезно треба обрадити седам дела.)</w:t>
            </w:r>
          </w:p>
        </w:tc>
        <w:tc>
          <w:tcPr>
            <w:tcW w:w="2267" w:type="dxa"/>
          </w:tcPr>
          <w:p w:rsidR="00041039" w:rsidRDefault="001B26CB">
            <w:pPr>
              <w:pStyle w:val="TableParagraph"/>
              <w:spacing w:before="19"/>
              <w:ind w:left="57" w:right="43"/>
              <w:rPr>
                <w:sz w:val="14"/>
              </w:rPr>
            </w:pPr>
            <w:r>
              <w:rPr>
                <w:color w:val="231F20"/>
                <w:sz w:val="14"/>
              </w:rPr>
              <w:t>С обзиром на то даје основни циљ 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w:t>
            </w:r>
            <w:r>
              <w:rPr>
                <w:color w:val="231F20"/>
                <w:sz w:val="14"/>
              </w:rPr>
              <w:t>јама, организација ове наставе треба да се базира на принципима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line="237" w:lineRule="auto"/>
              <w:ind w:left="57" w:right="112"/>
              <w:rPr>
                <w:sz w:val="14"/>
              </w:rPr>
            </w:pPr>
            <w:r>
              <w:rPr>
                <w:color w:val="231F20"/>
                <w:sz w:val="14"/>
              </w:rPr>
              <w:t xml:space="preserve">Садржаји програма из граматике повезани су са садржајима грама­ тике у основној </w:t>
            </w:r>
            <w:r>
              <w:rPr>
                <w:color w:val="231F20"/>
                <w:spacing w:val="-3"/>
                <w:sz w:val="14"/>
              </w:rPr>
              <w:t xml:space="preserve">школи, </w:t>
            </w:r>
            <w:r>
              <w:rPr>
                <w:color w:val="231F20"/>
                <w:sz w:val="14"/>
              </w:rPr>
              <w:t>којима се сада приступа когнитивно. Тиме се знања употпуњују и подижу на виши ниво, коригују се</w:t>
            </w:r>
            <w:r>
              <w:rPr>
                <w:color w:val="231F20"/>
                <w:spacing w:val="-19"/>
                <w:sz w:val="14"/>
              </w:rPr>
              <w:t xml:space="preserve"> </w:t>
            </w:r>
            <w:r>
              <w:rPr>
                <w:color w:val="231F20"/>
                <w:sz w:val="14"/>
              </w:rPr>
              <w:t>евентуалне грешке настале услед интерферен­ ције матерњег језика и</w:t>
            </w:r>
            <w:r>
              <w:rPr>
                <w:color w:val="231F20"/>
                <w:spacing w:val="-17"/>
                <w:sz w:val="14"/>
              </w:rPr>
              <w:t xml:space="preserve"> </w:t>
            </w:r>
            <w:r>
              <w:rPr>
                <w:color w:val="231F20"/>
                <w:sz w:val="14"/>
              </w:rPr>
              <w:t>недовољно</w:t>
            </w:r>
          </w:p>
          <w:p w:rsidR="00041039" w:rsidRDefault="001B26CB">
            <w:pPr>
              <w:pStyle w:val="TableParagraph"/>
              <w:ind w:left="57"/>
              <w:rPr>
                <w:sz w:val="14"/>
              </w:rPr>
            </w:pPr>
            <w:r>
              <w:rPr>
                <w:color w:val="231F20"/>
                <w:sz w:val="14"/>
              </w:rPr>
              <w:t>савладаних садржаја из претходних разреда.</w:t>
            </w:r>
          </w:p>
          <w:p w:rsidR="00041039" w:rsidRDefault="001B26CB">
            <w:pPr>
              <w:pStyle w:val="TableParagraph"/>
              <w:ind w:left="57" w:right="54"/>
              <w:rPr>
                <w:sz w:val="14"/>
              </w:rPr>
            </w:pPr>
            <w:r>
              <w:rPr>
                <w:color w:val="231F20"/>
                <w:sz w:val="14"/>
              </w:rPr>
              <w:t>Наставу граматике треба организо­ вати к</w:t>
            </w:r>
            <w:r>
              <w:rPr>
                <w:color w:val="231F20"/>
                <w:sz w:val="14"/>
              </w:rPr>
              <w:t>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w:t>
            </w:r>
          </w:p>
          <w:p w:rsidR="00041039" w:rsidRDefault="001B26CB">
            <w:pPr>
              <w:pStyle w:val="TableParagraph"/>
              <w:spacing w:line="237" w:lineRule="auto"/>
              <w:ind w:left="57"/>
              <w:rPr>
                <w:sz w:val="14"/>
              </w:rPr>
            </w:pPr>
            <w:r>
              <w:rPr>
                <w:color w:val="231F20"/>
                <w:sz w:val="14"/>
              </w:rPr>
              <w:t>Настава српског као нематерњег језика мора бити хуманистички ор</w:t>
            </w:r>
            <w:r>
              <w:rPr>
                <w:color w:val="231F20"/>
                <w:sz w:val="14"/>
              </w:rPr>
              <w:t>ијентисана и богата како језич­ ким тако и садржајима из културе. Поред језичких, морају бити за­ ступљени књижевни, уметнички, стручни и други потребни типови текстова.</w:t>
            </w:r>
          </w:p>
          <w:p w:rsidR="00041039" w:rsidRDefault="001B26CB">
            <w:pPr>
              <w:pStyle w:val="TableParagraph"/>
              <w:ind w:left="57" w:right="32"/>
              <w:rPr>
                <w:sz w:val="14"/>
              </w:rPr>
            </w:pPr>
            <w:r>
              <w:rPr>
                <w:color w:val="231F20"/>
                <w:sz w:val="14"/>
              </w:rPr>
              <w:t>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друге пригодне текстове (научне, стручне...) преко којих ће у</w:t>
            </w:r>
            <w:r>
              <w:rPr>
                <w:color w:val="231F20"/>
                <w:sz w:val="14"/>
              </w:rPr>
              <w:t>ченици упознати различи­ те форме изражавања у књижевном делу, различите функционалне стилове и врсте текстова.</w:t>
            </w:r>
          </w:p>
          <w:p w:rsidR="00041039" w:rsidRDefault="001B26CB">
            <w:pPr>
              <w:pStyle w:val="TableParagraph"/>
              <w:spacing w:line="149" w:lineRule="exact"/>
              <w:ind w:left="57"/>
              <w:rPr>
                <w:sz w:val="14"/>
              </w:rPr>
            </w:pPr>
            <w:r>
              <w:rPr>
                <w:color w:val="231F20"/>
                <w:sz w:val="14"/>
              </w:rPr>
              <w:t>Изузетну пажњу треба посветити</w:t>
            </w:r>
          </w:p>
          <w:p w:rsidR="00041039" w:rsidRDefault="001B26CB">
            <w:pPr>
              <w:pStyle w:val="TableParagraph"/>
              <w:ind w:left="57" w:right="8"/>
              <w:rPr>
                <w:sz w:val="14"/>
              </w:rPr>
            </w:pPr>
            <w:r>
              <w:rPr>
                <w:color w:val="231F20"/>
                <w:sz w:val="14"/>
              </w:rPr>
              <w:t xml:space="preserve">мотивацији ученика за рад органи­ зовањем различитих метода и обли­ ка рада и разноврсним лексичким, граматичким </w:t>
            </w:r>
            <w:r>
              <w:rPr>
                <w:color w:val="231F20"/>
                <w:sz w:val="14"/>
              </w:rPr>
              <w:t>и комуникативним вежбама.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7" w:right="104"/>
              <w:rPr>
                <w:sz w:val="14"/>
              </w:rPr>
            </w:pPr>
            <w:r>
              <w:rPr>
                <w:i/>
                <w:color w:val="231F20"/>
                <w:sz w:val="14"/>
              </w:rPr>
              <w:t xml:space="preserve">Посебне напомене </w:t>
            </w:r>
            <w:r>
              <w:rPr>
                <w:color w:val="231F20"/>
                <w:sz w:val="14"/>
              </w:rPr>
              <w:t>за остваривање појединих садржаја у оквиру тема.</w:t>
            </w:r>
          </w:p>
          <w:p w:rsidR="00041039" w:rsidRDefault="001B26CB">
            <w:pPr>
              <w:pStyle w:val="TableParagraph"/>
              <w:numPr>
                <w:ilvl w:val="0"/>
                <w:numId w:val="1531"/>
              </w:numPr>
              <w:tabs>
                <w:tab w:val="left" w:pos="158"/>
              </w:tabs>
              <w:spacing w:line="237" w:lineRule="auto"/>
              <w:ind w:right="52"/>
              <w:rPr>
                <w:sz w:val="14"/>
              </w:rPr>
            </w:pPr>
            <w:r>
              <w:rPr>
                <w:color w:val="231F20"/>
                <w:sz w:val="14"/>
              </w:rPr>
              <w:t>У оквиру фонетике обратити пажњ</w:t>
            </w:r>
            <w:r>
              <w:rPr>
                <w:color w:val="231F20"/>
                <w:sz w:val="14"/>
              </w:rPr>
              <w:t>у на разлику у акценту речи између матерњег и српског</w:t>
            </w:r>
            <w:r>
              <w:rPr>
                <w:color w:val="231F20"/>
                <w:spacing w:val="-24"/>
                <w:sz w:val="14"/>
              </w:rPr>
              <w:t xml:space="preserve"> </w:t>
            </w:r>
            <w:r>
              <w:rPr>
                <w:color w:val="231F20"/>
                <w:sz w:val="14"/>
              </w:rPr>
              <w:t>језика.</w:t>
            </w:r>
          </w:p>
          <w:p w:rsidR="00041039" w:rsidRDefault="001B26CB">
            <w:pPr>
              <w:pStyle w:val="TableParagraph"/>
              <w:numPr>
                <w:ilvl w:val="0"/>
                <w:numId w:val="1531"/>
              </w:numPr>
              <w:tabs>
                <w:tab w:val="left" w:pos="158"/>
              </w:tabs>
              <w:spacing w:line="237" w:lineRule="auto"/>
              <w:ind w:right="62"/>
              <w:rPr>
                <w:sz w:val="14"/>
              </w:rPr>
            </w:pPr>
            <w:r>
              <w:rPr>
                <w:color w:val="231F20"/>
                <w:sz w:val="14"/>
              </w:rPr>
              <w:t>У садржајима морфологије тежиште треба ставити на род и број именских речи (слагање</w:t>
            </w:r>
            <w:r>
              <w:rPr>
                <w:color w:val="231F20"/>
                <w:spacing w:val="-20"/>
                <w:sz w:val="14"/>
              </w:rPr>
              <w:t xml:space="preserve"> </w:t>
            </w:r>
            <w:r>
              <w:rPr>
                <w:color w:val="231F20"/>
                <w:sz w:val="14"/>
              </w:rPr>
              <w:t>име­ ница са придевима и придевским заменицама).</w:t>
            </w:r>
          </w:p>
          <w:p w:rsidR="00041039" w:rsidRDefault="001B26CB">
            <w:pPr>
              <w:pStyle w:val="TableParagraph"/>
              <w:numPr>
                <w:ilvl w:val="0"/>
                <w:numId w:val="1531"/>
              </w:numPr>
              <w:tabs>
                <w:tab w:val="left" w:pos="158"/>
              </w:tabs>
              <w:spacing w:line="237" w:lineRule="auto"/>
              <w:ind w:right="185"/>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w:t>
            </w:r>
            <w:r>
              <w:rPr>
                <w:color w:val="231F20"/>
                <w:spacing w:val="-10"/>
                <w:sz w:val="14"/>
              </w:rPr>
              <w:t xml:space="preserve"> </w:t>
            </w:r>
            <w:r>
              <w:rPr>
                <w:color w:val="231F20"/>
                <w:sz w:val="14"/>
              </w:rPr>
              <w:t>речце</w:t>
            </w:r>
          </w:p>
          <w:p w:rsidR="00041039" w:rsidRDefault="001B26CB">
            <w:pPr>
              <w:pStyle w:val="TableParagraph"/>
              <w:ind w:left="157"/>
              <w:rPr>
                <w:sz w:val="14"/>
              </w:rPr>
            </w:pPr>
            <w:r>
              <w:rPr>
                <w:color w:val="231F20"/>
                <w:sz w:val="14"/>
              </w:rPr>
              <w:t xml:space="preserve">се </w:t>
            </w:r>
            <w:r>
              <w:rPr>
                <w:color w:val="231F20"/>
                <w:sz w:val="14"/>
              </w:rPr>
              <w:t>(код најчешће коришћених глагола).</w:t>
            </w:r>
          </w:p>
          <w:p w:rsidR="00041039" w:rsidRDefault="001B26CB">
            <w:pPr>
              <w:pStyle w:val="TableParagraph"/>
              <w:numPr>
                <w:ilvl w:val="0"/>
                <w:numId w:val="1531"/>
              </w:numPr>
              <w:tabs>
                <w:tab w:val="left" w:pos="158"/>
              </w:tabs>
              <w:spacing w:line="160" w:lineRule="exact"/>
              <w:ind w:right="163"/>
              <w:jc w:val="both"/>
              <w:rPr>
                <w:sz w:val="14"/>
              </w:rPr>
            </w:pPr>
            <w:r>
              <w:rPr>
                <w:color w:val="231F20"/>
                <w:spacing w:val="-4"/>
                <w:sz w:val="14"/>
              </w:rPr>
              <w:t xml:space="preserve">Код </w:t>
            </w:r>
            <w:r>
              <w:rPr>
                <w:color w:val="231F20"/>
                <w:sz w:val="14"/>
              </w:rPr>
              <w:t>творбе речи префиксацију</w:t>
            </w:r>
            <w:r>
              <w:rPr>
                <w:color w:val="231F20"/>
                <w:spacing w:val="-7"/>
                <w:sz w:val="14"/>
              </w:rPr>
              <w:t xml:space="preserve"> </w:t>
            </w:r>
            <w:r>
              <w:rPr>
                <w:color w:val="231F20"/>
                <w:sz w:val="14"/>
              </w:rPr>
              <w:t xml:space="preserve">и суфиксацију повезати са </w:t>
            </w:r>
            <w:r>
              <w:rPr>
                <w:color w:val="231F20"/>
                <w:spacing w:val="-3"/>
                <w:sz w:val="14"/>
              </w:rPr>
              <w:t xml:space="preserve">глагол­ </w:t>
            </w:r>
            <w:r>
              <w:rPr>
                <w:color w:val="231F20"/>
                <w:sz w:val="14"/>
              </w:rPr>
              <w:t>ским</w:t>
            </w:r>
            <w:r>
              <w:rPr>
                <w:color w:val="231F20"/>
                <w:spacing w:val="-1"/>
                <w:sz w:val="14"/>
              </w:rPr>
              <w:t xml:space="preserve"> </w:t>
            </w:r>
            <w:r>
              <w:rPr>
                <w:color w:val="231F20"/>
                <w:sz w:val="14"/>
              </w:rPr>
              <w:t>видом.</w:t>
            </w:r>
          </w:p>
          <w:p w:rsidR="00041039" w:rsidRDefault="001B26CB">
            <w:pPr>
              <w:pStyle w:val="TableParagraph"/>
              <w:numPr>
                <w:ilvl w:val="0"/>
                <w:numId w:val="1531"/>
              </w:numPr>
              <w:tabs>
                <w:tab w:val="left" w:pos="158"/>
              </w:tabs>
              <w:spacing w:line="160" w:lineRule="exact"/>
              <w:ind w:right="484"/>
              <w:rPr>
                <w:sz w:val="14"/>
              </w:rPr>
            </w:pPr>
            <w:r>
              <w:rPr>
                <w:color w:val="231F20"/>
                <w:sz w:val="14"/>
              </w:rPr>
              <w:t>У остваривању садржаја програма који се односе</w:t>
            </w:r>
            <w:r>
              <w:rPr>
                <w:color w:val="231F20"/>
                <w:spacing w:val="-16"/>
                <w:sz w:val="14"/>
              </w:rPr>
              <w:t xml:space="preserve"> </w:t>
            </w:r>
            <w:r>
              <w:rPr>
                <w:color w:val="231F20"/>
                <w:sz w:val="14"/>
              </w:rPr>
              <w:t>на</w:t>
            </w:r>
          </w:p>
          <w:p w:rsidR="00041039" w:rsidRDefault="001B26CB">
            <w:pPr>
              <w:pStyle w:val="TableParagraph"/>
              <w:spacing w:line="237" w:lineRule="auto"/>
              <w:ind w:left="157" w:right="30"/>
              <w:rPr>
                <w:sz w:val="14"/>
              </w:rPr>
            </w:pPr>
            <w:r>
              <w:rPr>
                <w:color w:val="231F20"/>
                <w:sz w:val="14"/>
              </w:rPr>
              <w:t>падеже детаљније обрадити месна значења генитива, акузатива и локатива. Увежбавање падежа повезивати са проширивањем реченице синтагмама.</w:t>
            </w:r>
          </w:p>
          <w:p w:rsidR="00041039" w:rsidRDefault="001B26CB">
            <w:pPr>
              <w:pStyle w:val="TableParagraph"/>
              <w:numPr>
                <w:ilvl w:val="0"/>
                <w:numId w:val="1531"/>
              </w:numPr>
              <w:tabs>
                <w:tab w:val="left" w:pos="158"/>
              </w:tabs>
              <w:spacing w:line="237" w:lineRule="auto"/>
              <w:ind w:right="117"/>
              <w:rPr>
                <w:sz w:val="14"/>
              </w:rPr>
            </w:pPr>
            <w:r>
              <w:rPr>
                <w:color w:val="231F20"/>
                <w:sz w:val="14"/>
              </w:rPr>
              <w:t xml:space="preserve">Обратити пажњу на структуру реченице и </w:t>
            </w:r>
            <w:r>
              <w:rPr>
                <w:color w:val="231F20"/>
                <w:spacing w:val="-3"/>
                <w:sz w:val="14"/>
              </w:rPr>
              <w:t>њихову</w:t>
            </w:r>
            <w:r>
              <w:rPr>
                <w:color w:val="231F20"/>
                <w:spacing w:val="-17"/>
                <w:sz w:val="14"/>
              </w:rPr>
              <w:t xml:space="preserve"> </w:t>
            </w:r>
            <w:r>
              <w:rPr>
                <w:color w:val="231F20"/>
                <w:sz w:val="14"/>
              </w:rPr>
              <w:t>комуникатив­ ну</w:t>
            </w:r>
            <w:r>
              <w:rPr>
                <w:color w:val="231F20"/>
                <w:spacing w:val="-2"/>
                <w:sz w:val="14"/>
              </w:rPr>
              <w:t xml:space="preserve"> </w:t>
            </w:r>
            <w:r>
              <w:rPr>
                <w:color w:val="231F20"/>
                <w:sz w:val="14"/>
              </w:rPr>
              <w:t>функцију.</w:t>
            </w:r>
          </w:p>
          <w:p w:rsidR="00041039" w:rsidRDefault="001B26CB">
            <w:pPr>
              <w:pStyle w:val="TableParagraph"/>
              <w:numPr>
                <w:ilvl w:val="0"/>
                <w:numId w:val="1531"/>
              </w:numPr>
              <w:tabs>
                <w:tab w:val="left" w:pos="158"/>
              </w:tabs>
              <w:spacing w:line="160" w:lineRule="exact"/>
              <w:ind w:right="110"/>
              <w:rPr>
                <w:sz w:val="14"/>
              </w:rPr>
            </w:pPr>
            <w:r>
              <w:rPr>
                <w:color w:val="231F20"/>
                <w:spacing w:val="-4"/>
                <w:sz w:val="14"/>
              </w:rPr>
              <w:t xml:space="preserve">Код </w:t>
            </w:r>
            <w:r>
              <w:rPr>
                <w:color w:val="231F20"/>
                <w:sz w:val="14"/>
              </w:rPr>
              <w:t>глаголских облика</w:t>
            </w:r>
            <w:r>
              <w:rPr>
                <w:color w:val="231F20"/>
                <w:spacing w:val="-27"/>
                <w:sz w:val="14"/>
              </w:rPr>
              <w:t xml:space="preserve"> </w:t>
            </w:r>
            <w:r>
              <w:rPr>
                <w:color w:val="231F20"/>
                <w:sz w:val="14"/>
              </w:rPr>
              <w:t>увежбава­ ти презент, перфекат и футур</w:t>
            </w:r>
            <w:r>
              <w:rPr>
                <w:color w:val="231F20"/>
                <w:spacing w:val="-20"/>
                <w:sz w:val="14"/>
              </w:rPr>
              <w:t xml:space="preserve"> </w:t>
            </w:r>
            <w:r>
              <w:rPr>
                <w:color w:val="231F20"/>
                <w:sz w:val="14"/>
              </w:rPr>
              <w:t>I.</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40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1530"/>
              </w:numPr>
              <w:tabs>
                <w:tab w:val="left" w:pos="158"/>
              </w:tabs>
              <w:spacing w:before="8"/>
              <w:ind w:right="204"/>
              <w:jc w:val="both"/>
              <w:rPr>
                <w:sz w:val="14"/>
              </w:rPr>
            </w:pPr>
            <w:r>
              <w:rPr>
                <w:color w:val="231F20"/>
                <w:sz w:val="14"/>
              </w:rPr>
              <w:t xml:space="preserve">У области </w:t>
            </w:r>
            <w:r>
              <w:rPr>
                <w:b/>
                <w:color w:val="231F20"/>
                <w:sz w:val="14"/>
              </w:rPr>
              <w:t xml:space="preserve">правописа </w:t>
            </w:r>
            <w:r>
              <w:rPr>
                <w:color w:val="231F20"/>
                <w:sz w:val="14"/>
              </w:rPr>
              <w:t>обавезно треба увежбавати писање</w:t>
            </w:r>
            <w:r>
              <w:rPr>
                <w:color w:val="231F20"/>
                <w:spacing w:val="-13"/>
                <w:sz w:val="14"/>
              </w:rPr>
              <w:t xml:space="preserve"> </w:t>
            </w:r>
            <w:r>
              <w:rPr>
                <w:color w:val="231F20"/>
                <w:sz w:val="14"/>
              </w:rPr>
              <w:t>речце не.</w:t>
            </w:r>
          </w:p>
          <w:p w:rsidR="00041039" w:rsidRDefault="001B26CB">
            <w:pPr>
              <w:pStyle w:val="TableParagraph"/>
              <w:numPr>
                <w:ilvl w:val="0"/>
                <w:numId w:val="1530"/>
              </w:numPr>
              <w:tabs>
                <w:tab w:val="left" w:pos="158"/>
              </w:tabs>
              <w:spacing w:line="157" w:lineRule="exact"/>
              <w:rPr>
                <w:sz w:val="14"/>
              </w:rPr>
            </w:pPr>
            <w:r>
              <w:rPr>
                <w:color w:val="231F20"/>
                <w:sz w:val="14"/>
              </w:rPr>
              <w:t xml:space="preserve">У тематици </w:t>
            </w:r>
            <w:r>
              <w:rPr>
                <w:b/>
                <w:color w:val="231F20"/>
                <w:sz w:val="14"/>
              </w:rPr>
              <w:t>књижевност</w:t>
            </w:r>
            <w:r>
              <w:rPr>
                <w:color w:val="231F20"/>
                <w:sz w:val="14"/>
              </w:rPr>
              <w:t>,</w:t>
            </w:r>
            <w:r>
              <w:rPr>
                <w:color w:val="231F20"/>
                <w:spacing w:val="-5"/>
                <w:sz w:val="14"/>
              </w:rPr>
              <w:t xml:space="preserve"> </w:t>
            </w:r>
            <w:r>
              <w:rPr>
                <w:color w:val="231F20"/>
                <w:sz w:val="14"/>
              </w:rPr>
              <w:t>међу</w:t>
            </w:r>
          </w:p>
          <w:p w:rsidR="00041039" w:rsidRDefault="001B26CB">
            <w:pPr>
              <w:pStyle w:val="TableParagraph"/>
              <w:ind w:left="157" w:right="67"/>
              <w:rPr>
                <w:sz w:val="14"/>
              </w:rPr>
            </w:pPr>
            <w:r>
              <w:rPr>
                <w:color w:val="231F20"/>
                <w:sz w:val="14"/>
              </w:rPr>
              <w:t>седам књижевних дела обавезних за обраду, укључити дела из на­ родне књижевности.</w:t>
            </w:r>
          </w:p>
          <w:p w:rsidR="00041039" w:rsidRDefault="001B26CB">
            <w:pPr>
              <w:pStyle w:val="TableParagraph"/>
              <w:numPr>
                <w:ilvl w:val="0"/>
                <w:numId w:val="1530"/>
              </w:numPr>
              <w:tabs>
                <w:tab w:val="left" w:pos="158"/>
              </w:tabs>
              <w:spacing w:line="158" w:lineRule="exact"/>
              <w:rPr>
                <w:sz w:val="14"/>
              </w:rPr>
            </w:pPr>
            <w:r>
              <w:rPr>
                <w:color w:val="231F20"/>
                <w:sz w:val="14"/>
              </w:rPr>
              <w:t>Приликом</w:t>
            </w:r>
            <w:r>
              <w:rPr>
                <w:color w:val="231F20"/>
                <w:spacing w:val="-2"/>
                <w:sz w:val="14"/>
              </w:rPr>
              <w:t xml:space="preserve"> </w:t>
            </w:r>
            <w:r>
              <w:rPr>
                <w:color w:val="231F20"/>
                <w:sz w:val="14"/>
              </w:rPr>
              <w:t>интерпретације</w:t>
            </w:r>
          </w:p>
          <w:p w:rsidR="00041039" w:rsidRDefault="001B26CB">
            <w:pPr>
              <w:pStyle w:val="TableParagraph"/>
              <w:ind w:left="157" w:right="230"/>
              <w:rPr>
                <w:sz w:val="14"/>
              </w:rPr>
            </w:pPr>
            <w:r>
              <w:rPr>
                <w:color w:val="231F20"/>
                <w:sz w:val="14"/>
              </w:rPr>
              <w:t>књижевноуметничких тексто­ ва, указивати на особености књижевних родова и врста као и на језичко ­ стилске одлике књижевних дела.</w:t>
            </w:r>
          </w:p>
          <w:p w:rsidR="00041039" w:rsidRDefault="001B26CB">
            <w:pPr>
              <w:pStyle w:val="TableParagraph"/>
              <w:numPr>
                <w:ilvl w:val="0"/>
                <w:numId w:val="1530"/>
              </w:numPr>
              <w:tabs>
                <w:tab w:val="left" w:pos="158"/>
              </w:tabs>
              <w:spacing w:line="156" w:lineRule="exact"/>
              <w:rPr>
                <w:sz w:val="14"/>
              </w:rPr>
            </w:pPr>
            <w:r>
              <w:rPr>
                <w:color w:val="231F20"/>
                <w:sz w:val="14"/>
              </w:rPr>
              <w:t>На примерима текстова</w:t>
            </w:r>
            <w:r>
              <w:rPr>
                <w:color w:val="231F20"/>
                <w:spacing w:val="-7"/>
                <w:sz w:val="14"/>
              </w:rPr>
              <w:t xml:space="preserve"> </w:t>
            </w:r>
            <w:r>
              <w:rPr>
                <w:color w:val="231F20"/>
                <w:sz w:val="14"/>
              </w:rPr>
              <w:t>српске</w:t>
            </w:r>
          </w:p>
          <w:p w:rsidR="00041039" w:rsidRDefault="001B26CB">
            <w:pPr>
              <w:pStyle w:val="TableParagraph"/>
              <w:ind w:left="157" w:right="78"/>
              <w:rPr>
                <w:sz w:val="14"/>
              </w:rPr>
            </w:pPr>
            <w:r>
              <w:rPr>
                <w:color w:val="231F20"/>
                <w:sz w:val="14"/>
              </w:rPr>
              <w:t xml:space="preserve">књижевности обнављати и систематизовати садржаје из историје књижевности, теорије </w:t>
            </w:r>
            <w:r>
              <w:rPr>
                <w:color w:val="231F20"/>
                <w:sz w:val="14"/>
              </w:rPr>
              <w:t>књижевности и књижевне кри­ тике, које ученик познаје из про­ грама прописаног за савладавање његовог матерњег језика.</w:t>
            </w:r>
          </w:p>
        </w:tc>
      </w:tr>
    </w:tbl>
    <w:p w:rsidR="00041039" w:rsidRDefault="00041039">
      <w:pPr>
        <w:pStyle w:val="BodyText"/>
        <w:spacing w:before="6"/>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148"/>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1529"/>
              </w:numPr>
              <w:tabs>
                <w:tab w:val="left" w:pos="157"/>
              </w:tabs>
              <w:spacing w:before="11" w:line="235" w:lineRule="auto"/>
              <w:ind w:right="188"/>
              <w:rPr>
                <w:sz w:val="14"/>
              </w:rPr>
            </w:pPr>
            <w:r>
              <w:rPr>
                <w:color w:val="231F20"/>
                <w:sz w:val="14"/>
              </w:rPr>
              <w:t>Оспособљавање ученика за</w:t>
            </w:r>
            <w:r>
              <w:rPr>
                <w:color w:val="231F20"/>
                <w:spacing w:val="-12"/>
                <w:sz w:val="14"/>
              </w:rPr>
              <w:t xml:space="preserve"> </w:t>
            </w:r>
            <w:r>
              <w:rPr>
                <w:color w:val="231F20"/>
                <w:sz w:val="14"/>
              </w:rPr>
              <w:t>правилно акцентовање речи и реченица.</w:t>
            </w:r>
          </w:p>
          <w:p w:rsidR="00041039" w:rsidRDefault="001B26CB">
            <w:pPr>
              <w:pStyle w:val="TableParagraph"/>
              <w:numPr>
                <w:ilvl w:val="0"/>
                <w:numId w:val="1529"/>
              </w:numPr>
              <w:tabs>
                <w:tab w:val="left" w:pos="157"/>
              </w:tabs>
              <w:spacing w:before="2" w:line="158" w:lineRule="exact"/>
              <w:ind w:right="235"/>
              <w:rPr>
                <w:sz w:val="14"/>
              </w:rPr>
            </w:pPr>
            <w:r>
              <w:rPr>
                <w:color w:val="231F20"/>
                <w:sz w:val="14"/>
              </w:rPr>
              <w:t>Оспособљавање ученика за</w:t>
            </w:r>
            <w:r>
              <w:rPr>
                <w:color w:val="231F20"/>
                <w:spacing w:val="-11"/>
                <w:sz w:val="14"/>
              </w:rPr>
              <w:t xml:space="preserve"> </w:t>
            </w:r>
            <w:r>
              <w:rPr>
                <w:color w:val="231F20"/>
                <w:sz w:val="14"/>
              </w:rPr>
              <w:t>примену гласовних</w:t>
            </w:r>
            <w:r>
              <w:rPr>
                <w:color w:val="231F20"/>
                <w:spacing w:val="-13"/>
                <w:sz w:val="14"/>
              </w:rPr>
              <w:t xml:space="preserve"> </w:t>
            </w:r>
            <w:r>
              <w:rPr>
                <w:color w:val="231F20"/>
                <w:sz w:val="14"/>
              </w:rPr>
              <w:t>промена.</w:t>
            </w:r>
          </w:p>
        </w:tc>
        <w:tc>
          <w:tcPr>
            <w:tcW w:w="2551" w:type="dxa"/>
          </w:tcPr>
          <w:p w:rsidR="00041039" w:rsidRDefault="001B26CB">
            <w:pPr>
              <w:pStyle w:val="TableParagraph"/>
              <w:numPr>
                <w:ilvl w:val="0"/>
                <w:numId w:val="1528"/>
              </w:numPr>
              <w:tabs>
                <w:tab w:val="left" w:pos="157"/>
              </w:tabs>
              <w:spacing w:before="11" w:line="235" w:lineRule="auto"/>
              <w:ind w:right="152" w:hanging="99"/>
              <w:rPr>
                <w:sz w:val="14"/>
              </w:rPr>
            </w:pPr>
            <w:r>
              <w:rPr>
                <w:color w:val="231F20"/>
                <w:sz w:val="14"/>
              </w:rPr>
              <w:t>примењује основна правила акценто­ вања речи и</w:t>
            </w:r>
            <w:r>
              <w:rPr>
                <w:color w:val="231F20"/>
                <w:spacing w:val="-3"/>
                <w:sz w:val="14"/>
              </w:rPr>
              <w:t xml:space="preserve"> </w:t>
            </w:r>
            <w:r>
              <w:rPr>
                <w:color w:val="231F20"/>
                <w:sz w:val="14"/>
              </w:rPr>
              <w:t>реченица;</w:t>
            </w:r>
          </w:p>
          <w:p w:rsidR="00041039" w:rsidRDefault="001B26CB">
            <w:pPr>
              <w:pStyle w:val="TableParagraph"/>
              <w:numPr>
                <w:ilvl w:val="0"/>
                <w:numId w:val="1528"/>
              </w:numPr>
              <w:tabs>
                <w:tab w:val="left" w:pos="157"/>
              </w:tabs>
              <w:spacing w:before="2" w:line="158"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numPr>
                <w:ilvl w:val="0"/>
                <w:numId w:val="1527"/>
              </w:numPr>
              <w:tabs>
                <w:tab w:val="left" w:pos="157"/>
              </w:tabs>
              <w:spacing w:before="8" w:line="165" w:lineRule="exact"/>
              <w:ind w:hanging="99"/>
              <w:rPr>
                <w:sz w:val="14"/>
              </w:rPr>
            </w:pPr>
            <w:r>
              <w:rPr>
                <w:color w:val="231F20"/>
                <w:sz w:val="14"/>
              </w:rPr>
              <w:t>Квалитет и квантитет</w:t>
            </w:r>
            <w:r>
              <w:rPr>
                <w:color w:val="231F20"/>
                <w:spacing w:val="-3"/>
                <w:sz w:val="14"/>
              </w:rPr>
              <w:t xml:space="preserve"> </w:t>
            </w:r>
            <w:r>
              <w:rPr>
                <w:color w:val="231F20"/>
                <w:sz w:val="14"/>
              </w:rPr>
              <w:t>акцента.</w:t>
            </w:r>
          </w:p>
          <w:p w:rsidR="00041039" w:rsidRDefault="001B26CB">
            <w:pPr>
              <w:pStyle w:val="TableParagraph"/>
              <w:numPr>
                <w:ilvl w:val="0"/>
                <w:numId w:val="1527"/>
              </w:numPr>
              <w:tabs>
                <w:tab w:val="left" w:pos="157"/>
              </w:tabs>
              <w:spacing w:line="158" w:lineRule="exact"/>
              <w:ind w:hanging="99"/>
              <w:rPr>
                <w:sz w:val="14"/>
              </w:rPr>
            </w:pPr>
            <w:r>
              <w:rPr>
                <w:color w:val="231F20"/>
                <w:sz w:val="14"/>
              </w:rPr>
              <w:t>Једначење сугласника по</w:t>
            </w:r>
            <w:r>
              <w:rPr>
                <w:color w:val="231F20"/>
                <w:spacing w:val="-7"/>
                <w:sz w:val="14"/>
              </w:rPr>
              <w:t xml:space="preserve"> </w:t>
            </w:r>
            <w:r>
              <w:rPr>
                <w:color w:val="231F20"/>
                <w:sz w:val="14"/>
              </w:rPr>
              <w:t>звучности.</w:t>
            </w:r>
          </w:p>
          <w:p w:rsidR="00041039" w:rsidRDefault="001B26CB">
            <w:pPr>
              <w:pStyle w:val="TableParagraph"/>
              <w:numPr>
                <w:ilvl w:val="0"/>
                <w:numId w:val="1527"/>
              </w:numPr>
              <w:tabs>
                <w:tab w:val="left" w:pos="157"/>
              </w:tabs>
              <w:spacing w:line="158" w:lineRule="exact"/>
              <w:ind w:hanging="99"/>
              <w:rPr>
                <w:sz w:val="14"/>
              </w:rPr>
            </w:pPr>
            <w:r>
              <w:rPr>
                <w:color w:val="231F20"/>
                <w:sz w:val="14"/>
              </w:rPr>
              <w:t>Једначење сугласника по месту</w:t>
            </w:r>
            <w:r>
              <w:rPr>
                <w:color w:val="231F20"/>
                <w:spacing w:val="-10"/>
                <w:sz w:val="14"/>
              </w:rPr>
              <w:t xml:space="preserve"> </w:t>
            </w:r>
            <w:r>
              <w:rPr>
                <w:color w:val="231F20"/>
                <w:sz w:val="14"/>
              </w:rPr>
              <w:t>творбе.</w:t>
            </w:r>
          </w:p>
          <w:p w:rsidR="00041039" w:rsidRDefault="001B26CB">
            <w:pPr>
              <w:pStyle w:val="TableParagraph"/>
              <w:numPr>
                <w:ilvl w:val="0"/>
                <w:numId w:val="1527"/>
              </w:numPr>
              <w:tabs>
                <w:tab w:val="left" w:pos="157"/>
              </w:tabs>
              <w:spacing w:line="165" w:lineRule="exact"/>
              <w:ind w:hanging="99"/>
              <w:rPr>
                <w:sz w:val="14"/>
              </w:rPr>
            </w:pPr>
            <w:r>
              <w:rPr>
                <w:color w:val="231F20"/>
                <w:sz w:val="14"/>
              </w:rPr>
              <w:t>Палатализација и</w:t>
            </w:r>
            <w:r>
              <w:rPr>
                <w:color w:val="231F20"/>
                <w:spacing w:val="-3"/>
                <w:sz w:val="14"/>
              </w:rPr>
              <w:t xml:space="preserve"> </w:t>
            </w:r>
            <w:r>
              <w:rPr>
                <w:color w:val="231F20"/>
                <w:sz w:val="14"/>
              </w:rPr>
              <w:t>сибиларизација.</w:t>
            </w:r>
          </w:p>
        </w:tc>
        <w:tc>
          <w:tcPr>
            <w:tcW w:w="2267" w:type="dxa"/>
            <w:vMerge w:val="restart"/>
          </w:tcPr>
          <w:p w:rsidR="00041039" w:rsidRDefault="001B26CB">
            <w:pPr>
              <w:pStyle w:val="TableParagraph"/>
              <w:numPr>
                <w:ilvl w:val="0"/>
                <w:numId w:val="1526"/>
              </w:numPr>
              <w:tabs>
                <w:tab w:val="left" w:pos="158"/>
              </w:tabs>
              <w:spacing w:before="11" w:line="235"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7"/>
              <w:ind w:left="0"/>
              <w:rPr>
                <w:b/>
                <w:sz w:val="13"/>
              </w:rPr>
            </w:pPr>
          </w:p>
          <w:p w:rsidR="00041039" w:rsidRDefault="001B26CB">
            <w:pPr>
              <w:pStyle w:val="TableParagraph"/>
              <w:spacing w:line="160" w:lineRule="exact"/>
              <w:ind w:left="58"/>
              <w:rPr>
                <w:b/>
                <w:sz w:val="14"/>
              </w:rPr>
            </w:pPr>
            <w:r>
              <w:rPr>
                <w:b/>
                <w:color w:val="231F20"/>
                <w:sz w:val="14"/>
              </w:rPr>
              <w:t>Облици наставе</w:t>
            </w:r>
          </w:p>
          <w:p w:rsidR="00041039" w:rsidRDefault="001B26CB">
            <w:pPr>
              <w:pStyle w:val="TableParagraph"/>
              <w:spacing w:before="1" w:line="235"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526"/>
              </w:numPr>
              <w:tabs>
                <w:tab w:val="left" w:pos="158"/>
              </w:tabs>
              <w:spacing w:before="2" w:line="158" w:lineRule="exact"/>
              <w:ind w:right="156" w:hanging="99"/>
              <w:rPr>
                <w:b/>
                <w:sz w:val="14"/>
              </w:rPr>
            </w:pPr>
            <w:r>
              <w:rPr>
                <w:color w:val="231F20"/>
                <w:sz w:val="14"/>
              </w:rPr>
              <w:t>теоријска наставаса вежбама</w:t>
            </w:r>
            <w:r>
              <w:rPr>
                <w:color w:val="231F20"/>
                <w:spacing w:val="-10"/>
                <w:sz w:val="14"/>
              </w:rPr>
              <w:t xml:space="preserve"> </w:t>
            </w:r>
            <w:r>
              <w:rPr>
                <w:b/>
                <w:color w:val="231F20"/>
                <w:sz w:val="14"/>
              </w:rPr>
              <w:t>(70 часова)</w:t>
            </w:r>
          </w:p>
          <w:p w:rsidR="00041039" w:rsidRDefault="00041039">
            <w:pPr>
              <w:pStyle w:val="TableParagraph"/>
              <w:spacing w:before="4"/>
              <w:ind w:left="0"/>
              <w:rPr>
                <w:b/>
                <w:sz w:val="13"/>
              </w:rPr>
            </w:pPr>
          </w:p>
          <w:p w:rsidR="00041039" w:rsidRDefault="001B26CB">
            <w:pPr>
              <w:pStyle w:val="TableParagraph"/>
              <w:spacing w:before="1" w:line="160" w:lineRule="exact"/>
              <w:ind w:left="58"/>
              <w:rPr>
                <w:b/>
                <w:sz w:val="14"/>
              </w:rPr>
            </w:pPr>
            <w:r>
              <w:rPr>
                <w:b/>
                <w:color w:val="231F20"/>
                <w:sz w:val="14"/>
              </w:rPr>
              <w:t>Подела одељења на групе</w:t>
            </w:r>
          </w:p>
          <w:p w:rsidR="00041039" w:rsidRDefault="001B26CB">
            <w:pPr>
              <w:pStyle w:val="TableParagraph"/>
              <w:spacing w:line="160" w:lineRule="exact"/>
              <w:ind w:left="58"/>
              <w:rPr>
                <w:sz w:val="14"/>
              </w:rPr>
            </w:pPr>
            <w:r>
              <w:rPr>
                <w:color w:val="231F20"/>
                <w:sz w:val="14"/>
              </w:rPr>
              <w:t>Одељење се не дели</w:t>
            </w:r>
            <w:r>
              <w:rPr>
                <w:color w:val="231F20"/>
                <w:sz w:val="14"/>
              </w:rPr>
              <w:t xml:space="preserve"> на групе.</w:t>
            </w:r>
          </w:p>
          <w:p w:rsidR="00041039" w:rsidRDefault="00041039">
            <w:pPr>
              <w:pStyle w:val="TableParagraph"/>
              <w:spacing w:before="5"/>
              <w:ind w:left="0"/>
              <w:rPr>
                <w:b/>
                <w:sz w:val="13"/>
              </w:rPr>
            </w:pPr>
          </w:p>
          <w:p w:rsidR="00041039" w:rsidRDefault="001B26CB">
            <w:pPr>
              <w:pStyle w:val="TableParagraph"/>
              <w:spacing w:line="154" w:lineRule="exact"/>
              <w:ind w:left="58"/>
              <w:rPr>
                <w:b/>
                <w:sz w:val="14"/>
              </w:rPr>
            </w:pPr>
            <w:r>
              <w:rPr>
                <w:b/>
                <w:color w:val="231F20"/>
                <w:sz w:val="14"/>
              </w:rPr>
              <w:t>Место реализације наставе</w:t>
            </w:r>
          </w:p>
          <w:p w:rsidR="00041039" w:rsidRDefault="001B26CB">
            <w:pPr>
              <w:pStyle w:val="TableParagraph"/>
              <w:numPr>
                <w:ilvl w:val="0"/>
                <w:numId w:val="1526"/>
              </w:numPr>
              <w:tabs>
                <w:tab w:val="left" w:pos="158"/>
              </w:tabs>
              <w:spacing w:line="165"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7"/>
              <w:ind w:left="0"/>
              <w:rPr>
                <w:b/>
                <w:sz w:val="13"/>
              </w:rPr>
            </w:pPr>
          </w:p>
          <w:p w:rsidR="00041039" w:rsidRDefault="001B26CB">
            <w:pPr>
              <w:pStyle w:val="TableParagraph"/>
              <w:spacing w:before="1" w:line="235" w:lineRule="auto"/>
              <w:ind w:left="58" w:right="109"/>
              <w:rPr>
                <w:b/>
                <w:sz w:val="14"/>
              </w:rPr>
            </w:pPr>
            <w:r>
              <w:rPr>
                <w:b/>
                <w:color w:val="231F20"/>
                <w:sz w:val="14"/>
              </w:rPr>
              <w:t>Препоруке за реализацију наставе</w:t>
            </w:r>
          </w:p>
          <w:p w:rsidR="00041039" w:rsidRDefault="00041039">
            <w:pPr>
              <w:pStyle w:val="TableParagraph"/>
              <w:spacing w:before="6"/>
              <w:ind w:left="0"/>
              <w:rPr>
                <w:b/>
                <w:sz w:val="13"/>
              </w:rPr>
            </w:pPr>
          </w:p>
          <w:p w:rsidR="00041039" w:rsidRDefault="001B26CB">
            <w:pPr>
              <w:pStyle w:val="TableParagraph"/>
              <w:spacing w:line="160" w:lineRule="exact"/>
              <w:ind w:left="58"/>
              <w:rPr>
                <w:b/>
                <w:sz w:val="14"/>
              </w:rPr>
            </w:pPr>
            <w:r>
              <w:rPr>
                <w:b/>
                <w:color w:val="231F20"/>
                <w:sz w:val="14"/>
              </w:rPr>
              <w:t>Оцењивање</w:t>
            </w:r>
          </w:p>
          <w:p w:rsidR="00041039" w:rsidRDefault="001B26CB">
            <w:pPr>
              <w:pStyle w:val="TableParagraph"/>
              <w:spacing w:before="1" w:line="235"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1526"/>
              </w:numPr>
              <w:tabs>
                <w:tab w:val="left" w:pos="158"/>
              </w:tabs>
              <w:spacing w:line="153"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526"/>
              </w:numPr>
              <w:tabs>
                <w:tab w:val="left" w:pos="158"/>
              </w:tabs>
              <w:spacing w:line="165"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5"/>
              <w:ind w:left="0"/>
              <w:rPr>
                <w:b/>
                <w:sz w:val="13"/>
              </w:rPr>
            </w:pPr>
          </w:p>
          <w:p w:rsidR="00041039" w:rsidRDefault="001B26CB">
            <w:pPr>
              <w:pStyle w:val="TableParagraph"/>
              <w:spacing w:line="154" w:lineRule="exact"/>
              <w:ind w:left="58"/>
              <w:rPr>
                <w:b/>
                <w:sz w:val="14"/>
              </w:rPr>
            </w:pPr>
            <w:r>
              <w:rPr>
                <w:b/>
                <w:color w:val="231F20"/>
                <w:sz w:val="14"/>
              </w:rPr>
              <w:t>Оквирни број часова по темама</w:t>
            </w:r>
          </w:p>
          <w:p w:rsidR="00041039" w:rsidRDefault="001B26CB">
            <w:pPr>
              <w:pStyle w:val="TableParagraph"/>
              <w:numPr>
                <w:ilvl w:val="0"/>
                <w:numId w:val="1526"/>
              </w:numPr>
              <w:tabs>
                <w:tab w:val="left" w:pos="158"/>
              </w:tabs>
              <w:spacing w:line="158" w:lineRule="exact"/>
              <w:ind w:hanging="99"/>
              <w:rPr>
                <w:b/>
                <w:sz w:val="14"/>
              </w:rPr>
            </w:pPr>
            <w:r>
              <w:rPr>
                <w:color w:val="231F20"/>
                <w:sz w:val="14"/>
              </w:rPr>
              <w:t xml:space="preserve">фонетика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526"/>
              </w:numPr>
              <w:tabs>
                <w:tab w:val="left" w:pos="158"/>
              </w:tabs>
              <w:spacing w:line="158" w:lineRule="exact"/>
              <w:ind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1526"/>
              </w:numPr>
              <w:tabs>
                <w:tab w:val="left" w:pos="158"/>
              </w:tabs>
              <w:spacing w:line="158" w:lineRule="exact"/>
              <w:ind w:hanging="99"/>
              <w:rPr>
                <w:b/>
                <w:sz w:val="14"/>
              </w:rPr>
            </w:pPr>
            <w:r>
              <w:rPr>
                <w:color w:val="231F20"/>
                <w:sz w:val="14"/>
              </w:rPr>
              <w:t xml:space="preserve">творба речи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1526"/>
              </w:numPr>
              <w:tabs>
                <w:tab w:val="left" w:pos="158"/>
              </w:tabs>
              <w:spacing w:line="158" w:lineRule="exact"/>
              <w:ind w:hanging="99"/>
              <w:rPr>
                <w:b/>
                <w:sz w:val="14"/>
              </w:rPr>
            </w:pPr>
            <w:r>
              <w:rPr>
                <w:color w:val="231F20"/>
                <w:sz w:val="14"/>
              </w:rPr>
              <w:t xml:space="preserve">синтакса </w:t>
            </w:r>
            <w:r>
              <w:rPr>
                <w:b/>
                <w:color w:val="231F20"/>
                <w:sz w:val="14"/>
              </w:rPr>
              <w:t>(9</w:t>
            </w:r>
            <w:r>
              <w:rPr>
                <w:b/>
                <w:color w:val="231F20"/>
                <w:spacing w:val="-10"/>
                <w:sz w:val="14"/>
              </w:rPr>
              <w:t xml:space="preserve"> </w:t>
            </w:r>
            <w:r>
              <w:rPr>
                <w:b/>
                <w:color w:val="231F20"/>
                <w:sz w:val="14"/>
              </w:rPr>
              <w:t>часова)</w:t>
            </w:r>
          </w:p>
          <w:p w:rsidR="00041039" w:rsidRDefault="001B26CB">
            <w:pPr>
              <w:pStyle w:val="TableParagraph"/>
              <w:numPr>
                <w:ilvl w:val="0"/>
                <w:numId w:val="1526"/>
              </w:numPr>
              <w:tabs>
                <w:tab w:val="left" w:pos="158"/>
              </w:tabs>
              <w:spacing w:line="158" w:lineRule="exact"/>
              <w:ind w:hanging="99"/>
              <w:rPr>
                <w:b/>
                <w:sz w:val="14"/>
              </w:rPr>
            </w:pPr>
            <w:r>
              <w:rPr>
                <w:color w:val="231F20"/>
                <w:sz w:val="14"/>
              </w:rPr>
              <w:t xml:space="preserve">правопис </w:t>
            </w:r>
            <w:r>
              <w:rPr>
                <w:b/>
                <w:color w:val="231F20"/>
                <w:sz w:val="14"/>
              </w:rPr>
              <w:t>(9</w:t>
            </w:r>
            <w:r>
              <w:rPr>
                <w:b/>
                <w:color w:val="231F20"/>
                <w:spacing w:val="-12"/>
                <w:sz w:val="14"/>
              </w:rPr>
              <w:t xml:space="preserve"> </w:t>
            </w:r>
            <w:r>
              <w:rPr>
                <w:b/>
                <w:color w:val="231F20"/>
                <w:sz w:val="14"/>
              </w:rPr>
              <w:t>часова)</w:t>
            </w:r>
          </w:p>
          <w:p w:rsidR="00041039" w:rsidRDefault="001B26CB">
            <w:pPr>
              <w:pStyle w:val="TableParagraph"/>
              <w:numPr>
                <w:ilvl w:val="0"/>
                <w:numId w:val="1526"/>
              </w:numPr>
              <w:tabs>
                <w:tab w:val="left" w:pos="158"/>
              </w:tabs>
              <w:spacing w:line="158" w:lineRule="exact"/>
              <w:ind w:hanging="99"/>
              <w:rPr>
                <w:b/>
                <w:sz w:val="14"/>
              </w:rPr>
            </w:pPr>
            <w:r>
              <w:rPr>
                <w:color w:val="231F20"/>
                <w:sz w:val="14"/>
              </w:rPr>
              <w:t xml:space="preserve">култура изражавања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numPr>
                <w:ilvl w:val="0"/>
                <w:numId w:val="1526"/>
              </w:numPr>
              <w:tabs>
                <w:tab w:val="left" w:pos="158"/>
              </w:tabs>
              <w:spacing w:line="165" w:lineRule="exact"/>
              <w:ind w:hanging="99"/>
              <w:rPr>
                <w:b/>
                <w:sz w:val="14"/>
              </w:rPr>
            </w:pPr>
            <w:r>
              <w:rPr>
                <w:color w:val="231F20"/>
                <w:sz w:val="14"/>
              </w:rPr>
              <w:t xml:space="preserve">књижевност </w:t>
            </w:r>
            <w:r>
              <w:rPr>
                <w:b/>
                <w:color w:val="231F20"/>
                <w:sz w:val="14"/>
              </w:rPr>
              <w:t>(12</w:t>
            </w:r>
            <w:r>
              <w:rPr>
                <w:b/>
                <w:color w:val="231F20"/>
                <w:spacing w:val="-2"/>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235" w:lineRule="auto"/>
              <w:ind w:left="58"/>
              <w:rPr>
                <w:b/>
                <w:sz w:val="14"/>
              </w:rPr>
            </w:pPr>
            <w:r>
              <w:rPr>
                <w:b/>
                <w:color w:val="231F20"/>
                <w:sz w:val="14"/>
              </w:rPr>
              <w:t>Препоруке за реализацију садр- жаја програма</w:t>
            </w:r>
          </w:p>
          <w:p w:rsidR="00041039" w:rsidRDefault="001B26CB">
            <w:pPr>
              <w:pStyle w:val="TableParagraph"/>
              <w:spacing w:before="1" w:line="235" w:lineRule="auto"/>
              <w:ind w:left="58" w:right="45"/>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 језик </w:t>
            </w:r>
            <w:r>
              <w:rPr>
                <w:color w:val="231F20"/>
                <w:sz w:val="14"/>
              </w:rPr>
              <w:t xml:space="preserve">за први разред средње </w:t>
            </w:r>
            <w:r>
              <w:rPr>
                <w:color w:val="231F20"/>
                <w:spacing w:val="-3"/>
                <w:sz w:val="14"/>
              </w:rPr>
              <w:t xml:space="preserve">школе. </w:t>
            </w:r>
            <w:r>
              <w:rPr>
                <w:color w:val="231F20"/>
                <w:sz w:val="14"/>
              </w:rPr>
              <w:t>Осим овладавања садржајима предвиђе­ ним за овај разред у настави је неопходно обезбедити обнављање</w:t>
            </w:r>
            <w:r>
              <w:rPr>
                <w:color w:val="231F20"/>
                <w:spacing w:val="-19"/>
                <w:sz w:val="14"/>
              </w:rPr>
              <w:t xml:space="preserve"> </w:t>
            </w:r>
            <w:r>
              <w:rPr>
                <w:color w:val="231F20"/>
                <w:sz w:val="14"/>
              </w:rPr>
              <w:t xml:space="preserve">и утврђивање градива из претходног разреда </w:t>
            </w:r>
            <w:r>
              <w:rPr>
                <w:color w:val="231F20"/>
                <w:spacing w:val="-3"/>
                <w:sz w:val="14"/>
              </w:rPr>
              <w:t xml:space="preserve">како </w:t>
            </w:r>
            <w:r>
              <w:rPr>
                <w:color w:val="231F20"/>
                <w:sz w:val="14"/>
              </w:rPr>
              <w:t>би се спречило његово заборављање и учврстиле стечен</w:t>
            </w:r>
            <w:r>
              <w:rPr>
                <w:color w:val="231F20"/>
                <w:sz w:val="14"/>
              </w:rPr>
              <w:t>е навике, а ново градиво усвајало као природни наставак претходног и као део једног целовитог</w:t>
            </w:r>
            <w:r>
              <w:rPr>
                <w:color w:val="231F20"/>
                <w:spacing w:val="-8"/>
                <w:sz w:val="14"/>
              </w:rPr>
              <w:t xml:space="preserve"> </w:t>
            </w:r>
            <w:r>
              <w:rPr>
                <w:color w:val="231F20"/>
                <w:sz w:val="14"/>
              </w:rPr>
              <w:t>система.</w:t>
            </w:r>
          </w:p>
        </w:tc>
      </w:tr>
      <w:tr w:rsidR="00041039">
        <w:trPr>
          <w:trHeight w:val="2570"/>
        </w:trPr>
        <w:tc>
          <w:tcPr>
            <w:tcW w:w="1304" w:type="dxa"/>
          </w:tcPr>
          <w:p w:rsidR="00041039" w:rsidRDefault="001B26CB">
            <w:pPr>
              <w:pStyle w:val="TableParagraph"/>
              <w:spacing w:before="23" w:line="235" w:lineRule="auto"/>
              <w:ind w:left="56" w:right="301"/>
              <w:rPr>
                <w:sz w:val="14"/>
              </w:rPr>
            </w:pPr>
            <w:r>
              <w:rPr>
                <w:color w:val="231F20"/>
                <w:sz w:val="14"/>
              </w:rPr>
              <w:t>Морфологија и морфосинтакса</w:t>
            </w:r>
          </w:p>
        </w:tc>
        <w:tc>
          <w:tcPr>
            <w:tcW w:w="1587" w:type="dxa"/>
          </w:tcPr>
          <w:p w:rsidR="00041039" w:rsidRDefault="001B26CB">
            <w:pPr>
              <w:pStyle w:val="TableParagraph"/>
              <w:numPr>
                <w:ilvl w:val="0"/>
                <w:numId w:val="1525"/>
              </w:numPr>
              <w:tabs>
                <w:tab w:val="left" w:pos="157"/>
              </w:tabs>
              <w:spacing w:before="13" w:line="235" w:lineRule="auto"/>
              <w:ind w:right="105"/>
              <w:rPr>
                <w:sz w:val="14"/>
              </w:rPr>
            </w:pPr>
            <w:r>
              <w:rPr>
                <w:color w:val="231F20"/>
                <w:sz w:val="14"/>
              </w:rPr>
              <w:t>Упознавање ученика са правилном употре­ бом и оспособљавање за правилну употребу облика</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1524"/>
              </w:numPr>
              <w:tabs>
                <w:tab w:val="left" w:pos="157"/>
              </w:tabs>
              <w:spacing w:before="14" w:line="235" w:lineRule="auto"/>
              <w:ind w:right="166" w:hanging="99"/>
              <w:rPr>
                <w:sz w:val="14"/>
              </w:rPr>
            </w:pPr>
            <w:r>
              <w:rPr>
                <w:color w:val="231F20"/>
                <w:sz w:val="14"/>
              </w:rPr>
              <w:t>правилно употребљава именице</w:t>
            </w:r>
            <w:r>
              <w:rPr>
                <w:color w:val="231F20"/>
                <w:spacing w:val="-19"/>
                <w:sz w:val="14"/>
              </w:rPr>
              <w:t xml:space="preserve"> </w:t>
            </w:r>
            <w:r>
              <w:rPr>
                <w:color w:val="231F20"/>
                <w:sz w:val="14"/>
              </w:rPr>
              <w:t>при­ родног мушког</w:t>
            </w:r>
            <w:r>
              <w:rPr>
                <w:color w:val="231F20"/>
                <w:spacing w:val="-2"/>
                <w:sz w:val="14"/>
              </w:rPr>
              <w:t xml:space="preserve"> </w:t>
            </w:r>
            <w:r>
              <w:rPr>
                <w:color w:val="231F20"/>
                <w:sz w:val="14"/>
              </w:rPr>
              <w:t>рода;</w:t>
            </w:r>
          </w:p>
          <w:p w:rsidR="00041039" w:rsidRDefault="001B26CB">
            <w:pPr>
              <w:pStyle w:val="TableParagraph"/>
              <w:numPr>
                <w:ilvl w:val="0"/>
                <w:numId w:val="1524"/>
              </w:numPr>
              <w:tabs>
                <w:tab w:val="left" w:pos="157"/>
              </w:tabs>
              <w:spacing w:before="1" w:line="158" w:lineRule="exact"/>
              <w:ind w:right="396" w:hanging="99"/>
              <w:rPr>
                <w:sz w:val="14"/>
              </w:rPr>
            </w:pPr>
            <w:r>
              <w:rPr>
                <w:color w:val="231F20"/>
                <w:sz w:val="14"/>
              </w:rPr>
              <w:t>препознаје именице типа</w:t>
            </w:r>
            <w:r>
              <w:rPr>
                <w:color w:val="231F20"/>
                <w:spacing w:val="-23"/>
                <w:sz w:val="14"/>
              </w:rPr>
              <w:t xml:space="preserve"> </w:t>
            </w:r>
            <w:r>
              <w:rPr>
                <w:color w:val="231F20"/>
                <w:sz w:val="14"/>
              </w:rPr>
              <w:t>singular tantum и pluralia</w:t>
            </w:r>
            <w:r>
              <w:rPr>
                <w:color w:val="231F20"/>
                <w:spacing w:val="-1"/>
                <w:sz w:val="14"/>
              </w:rPr>
              <w:t xml:space="preserve"> </w:t>
            </w:r>
            <w:r>
              <w:rPr>
                <w:color w:val="231F20"/>
                <w:sz w:val="14"/>
              </w:rPr>
              <w:t>tantum;</w:t>
            </w:r>
          </w:p>
          <w:p w:rsidR="00041039" w:rsidRDefault="001B26CB">
            <w:pPr>
              <w:pStyle w:val="TableParagraph"/>
              <w:numPr>
                <w:ilvl w:val="0"/>
                <w:numId w:val="1524"/>
              </w:numPr>
              <w:tabs>
                <w:tab w:val="left" w:pos="157"/>
              </w:tabs>
              <w:spacing w:before="1" w:line="158"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w:t>
            </w:r>
            <w:r>
              <w:rPr>
                <w:color w:val="231F20"/>
                <w:spacing w:val="-1"/>
                <w:sz w:val="14"/>
              </w:rPr>
              <w:t xml:space="preserve"> </w:t>
            </w:r>
            <w:r>
              <w:rPr>
                <w:color w:val="231F20"/>
                <w:sz w:val="14"/>
              </w:rPr>
              <w:t>речи;</w:t>
            </w:r>
          </w:p>
          <w:p w:rsidR="00041039" w:rsidRDefault="001B26CB">
            <w:pPr>
              <w:pStyle w:val="TableParagraph"/>
              <w:numPr>
                <w:ilvl w:val="0"/>
                <w:numId w:val="1524"/>
              </w:numPr>
              <w:tabs>
                <w:tab w:val="left" w:pos="157"/>
              </w:tabs>
              <w:spacing w:line="151" w:lineRule="exact"/>
              <w:ind w:hanging="99"/>
              <w:rPr>
                <w:sz w:val="14"/>
              </w:rPr>
            </w:pPr>
            <w:r>
              <w:rPr>
                <w:color w:val="231F20"/>
                <w:sz w:val="14"/>
              </w:rPr>
              <w:t>употребљава прилоге за</w:t>
            </w:r>
            <w:r>
              <w:rPr>
                <w:color w:val="231F20"/>
                <w:spacing w:val="-4"/>
                <w:sz w:val="14"/>
              </w:rPr>
              <w:t xml:space="preserve"> </w:t>
            </w:r>
            <w:r>
              <w:rPr>
                <w:color w:val="231F20"/>
                <w:sz w:val="14"/>
              </w:rPr>
              <w:t>време;</w:t>
            </w:r>
          </w:p>
          <w:p w:rsidR="00041039" w:rsidRDefault="001B26CB">
            <w:pPr>
              <w:pStyle w:val="TableParagraph"/>
              <w:numPr>
                <w:ilvl w:val="0"/>
                <w:numId w:val="1524"/>
              </w:numPr>
              <w:tabs>
                <w:tab w:val="left" w:pos="157"/>
              </w:tabs>
              <w:spacing w:line="235" w:lineRule="auto"/>
              <w:ind w:right="291" w:hanging="99"/>
              <w:rPr>
                <w:sz w:val="14"/>
              </w:rPr>
            </w:pPr>
            <w:r>
              <w:rPr>
                <w:color w:val="231F20"/>
                <w:sz w:val="14"/>
              </w:rPr>
              <w:t xml:space="preserve">разликује типове </w:t>
            </w:r>
            <w:r>
              <w:rPr>
                <w:color w:val="231F20"/>
                <w:spacing w:val="-3"/>
                <w:sz w:val="14"/>
              </w:rPr>
              <w:t xml:space="preserve">глагола </w:t>
            </w:r>
            <w:r>
              <w:rPr>
                <w:color w:val="231F20"/>
                <w:sz w:val="14"/>
              </w:rPr>
              <w:t>по виду и роду;</w:t>
            </w:r>
          </w:p>
          <w:p w:rsidR="00041039" w:rsidRDefault="001B26CB">
            <w:pPr>
              <w:pStyle w:val="TableParagraph"/>
              <w:numPr>
                <w:ilvl w:val="0"/>
                <w:numId w:val="1524"/>
              </w:numPr>
              <w:tabs>
                <w:tab w:val="left" w:pos="157"/>
              </w:tabs>
              <w:spacing w:line="152" w:lineRule="exact"/>
              <w:ind w:hanging="99"/>
              <w:rPr>
                <w:sz w:val="14"/>
              </w:rPr>
            </w:pPr>
            <w:r>
              <w:rPr>
                <w:color w:val="231F20"/>
                <w:sz w:val="14"/>
              </w:rPr>
              <w:t xml:space="preserve">разликује </w:t>
            </w:r>
            <w:r>
              <w:rPr>
                <w:color w:val="231F20"/>
                <w:spacing w:val="-3"/>
                <w:sz w:val="14"/>
              </w:rPr>
              <w:t>глаголске</w:t>
            </w:r>
            <w:r>
              <w:rPr>
                <w:color w:val="231F20"/>
                <w:spacing w:val="-1"/>
                <w:sz w:val="14"/>
              </w:rPr>
              <w:t xml:space="preserve"> </w:t>
            </w:r>
            <w:r>
              <w:rPr>
                <w:color w:val="231F20"/>
                <w:sz w:val="14"/>
              </w:rPr>
              <w:t>начине;</w:t>
            </w:r>
          </w:p>
          <w:p w:rsidR="00041039" w:rsidRDefault="001B26CB">
            <w:pPr>
              <w:pStyle w:val="TableParagraph"/>
              <w:numPr>
                <w:ilvl w:val="0"/>
                <w:numId w:val="1524"/>
              </w:numPr>
              <w:tabs>
                <w:tab w:val="left" w:pos="157"/>
              </w:tabs>
              <w:spacing w:line="235" w:lineRule="auto"/>
              <w:ind w:right="164" w:hanging="99"/>
              <w:rPr>
                <w:sz w:val="14"/>
              </w:rPr>
            </w:pPr>
            <w:r>
              <w:rPr>
                <w:color w:val="231F20"/>
                <w:sz w:val="14"/>
              </w:rPr>
              <w:t>препознаје и употребљава врсте</w:t>
            </w:r>
            <w:r>
              <w:rPr>
                <w:color w:val="231F20"/>
                <w:spacing w:val="-20"/>
                <w:sz w:val="14"/>
              </w:rPr>
              <w:t xml:space="preserve"> </w:t>
            </w:r>
            <w:r>
              <w:rPr>
                <w:color w:val="231F20"/>
                <w:sz w:val="14"/>
              </w:rPr>
              <w:t>при­ девских</w:t>
            </w:r>
            <w:r>
              <w:rPr>
                <w:color w:val="231F20"/>
                <w:spacing w:val="-1"/>
                <w:sz w:val="14"/>
              </w:rPr>
              <w:t xml:space="preserve"> </w:t>
            </w:r>
            <w:r>
              <w:rPr>
                <w:color w:val="231F20"/>
                <w:sz w:val="14"/>
              </w:rPr>
              <w:t>заменица;</w:t>
            </w:r>
          </w:p>
        </w:tc>
        <w:tc>
          <w:tcPr>
            <w:tcW w:w="2834" w:type="dxa"/>
          </w:tcPr>
          <w:p w:rsidR="00041039" w:rsidRDefault="001B26CB">
            <w:pPr>
              <w:pStyle w:val="TableParagraph"/>
              <w:numPr>
                <w:ilvl w:val="0"/>
                <w:numId w:val="1523"/>
              </w:numPr>
              <w:tabs>
                <w:tab w:val="left" w:pos="157"/>
              </w:tabs>
              <w:spacing w:before="12" w:line="170" w:lineRule="exact"/>
              <w:ind w:hanging="99"/>
              <w:rPr>
                <w:sz w:val="14"/>
              </w:rPr>
            </w:pPr>
            <w:r>
              <w:rPr>
                <w:color w:val="231F20"/>
                <w:sz w:val="14"/>
              </w:rPr>
              <w:t>Именице:</w:t>
            </w:r>
          </w:p>
          <w:p w:rsidR="00041039" w:rsidRDefault="001B26CB">
            <w:pPr>
              <w:pStyle w:val="TableParagraph"/>
              <w:numPr>
                <w:ilvl w:val="0"/>
                <w:numId w:val="1522"/>
              </w:numPr>
              <w:tabs>
                <w:tab w:val="left" w:pos="163"/>
              </w:tabs>
              <w:spacing w:line="158" w:lineRule="exact"/>
              <w:rPr>
                <w:sz w:val="14"/>
              </w:rPr>
            </w:pPr>
            <w:r>
              <w:rPr>
                <w:color w:val="231F20"/>
                <w:sz w:val="14"/>
              </w:rPr>
              <w:t>природни мушки</w:t>
            </w:r>
            <w:r>
              <w:rPr>
                <w:color w:val="231F20"/>
                <w:spacing w:val="-1"/>
                <w:sz w:val="14"/>
              </w:rPr>
              <w:t xml:space="preserve"> </w:t>
            </w:r>
            <w:r>
              <w:rPr>
                <w:color w:val="231F20"/>
                <w:sz w:val="14"/>
              </w:rPr>
              <w:t>род;</w:t>
            </w:r>
          </w:p>
          <w:p w:rsidR="00041039" w:rsidRDefault="001B26CB">
            <w:pPr>
              <w:pStyle w:val="TableParagraph"/>
              <w:numPr>
                <w:ilvl w:val="0"/>
                <w:numId w:val="1522"/>
              </w:numPr>
              <w:tabs>
                <w:tab w:val="left" w:pos="163"/>
              </w:tabs>
              <w:spacing w:before="1" w:line="235" w:lineRule="auto"/>
              <w:ind w:right="356"/>
              <w:rPr>
                <w:sz w:val="14"/>
              </w:rPr>
            </w:pPr>
            <w:r>
              <w:rPr>
                <w:color w:val="231F20"/>
                <w:sz w:val="14"/>
              </w:rPr>
              <w:t>именице типа singular tantum и pluralia tantum.</w:t>
            </w:r>
          </w:p>
          <w:p w:rsidR="00041039" w:rsidRDefault="001B26CB">
            <w:pPr>
              <w:pStyle w:val="TableParagraph"/>
              <w:numPr>
                <w:ilvl w:val="0"/>
                <w:numId w:val="1521"/>
              </w:numPr>
              <w:tabs>
                <w:tab w:val="left" w:pos="157"/>
              </w:tabs>
              <w:spacing w:before="2" w:line="158" w:lineRule="exact"/>
              <w:ind w:right="293" w:hanging="99"/>
              <w:rPr>
                <w:sz w:val="14"/>
              </w:rPr>
            </w:pPr>
            <w:r>
              <w:rPr>
                <w:color w:val="231F20"/>
                <w:sz w:val="14"/>
              </w:rPr>
              <w:t>Падежи (облици и основна значења ­</w:t>
            </w:r>
            <w:r>
              <w:rPr>
                <w:color w:val="231F20"/>
                <w:spacing w:val="-19"/>
                <w:sz w:val="14"/>
              </w:rPr>
              <w:t xml:space="preserve"> </w:t>
            </w:r>
            <w:r>
              <w:rPr>
                <w:color w:val="231F20"/>
                <w:sz w:val="14"/>
              </w:rPr>
              <w:t>са предлозима и без</w:t>
            </w:r>
            <w:r>
              <w:rPr>
                <w:color w:val="231F20"/>
                <w:spacing w:val="-4"/>
                <w:sz w:val="14"/>
              </w:rPr>
              <w:t xml:space="preserve"> </w:t>
            </w:r>
            <w:r>
              <w:rPr>
                <w:color w:val="231F20"/>
                <w:sz w:val="14"/>
              </w:rPr>
              <w:t>предлога).</w:t>
            </w:r>
          </w:p>
          <w:p w:rsidR="00041039" w:rsidRDefault="001B26CB">
            <w:pPr>
              <w:pStyle w:val="TableParagraph"/>
              <w:numPr>
                <w:ilvl w:val="0"/>
                <w:numId w:val="1521"/>
              </w:numPr>
              <w:tabs>
                <w:tab w:val="left" w:pos="157"/>
              </w:tabs>
              <w:spacing w:line="151" w:lineRule="exact"/>
              <w:ind w:hanging="99"/>
              <w:rPr>
                <w:sz w:val="14"/>
              </w:rPr>
            </w:pPr>
            <w:r>
              <w:rPr>
                <w:color w:val="231F20"/>
                <w:sz w:val="14"/>
              </w:rPr>
              <w:t>Прилози за место, време и</w:t>
            </w:r>
            <w:r>
              <w:rPr>
                <w:color w:val="231F20"/>
                <w:spacing w:val="-8"/>
                <w:sz w:val="14"/>
              </w:rPr>
              <w:t xml:space="preserve"> </w:t>
            </w:r>
            <w:r>
              <w:rPr>
                <w:color w:val="231F20"/>
                <w:sz w:val="14"/>
              </w:rPr>
              <w:t>начин.</w:t>
            </w:r>
          </w:p>
          <w:p w:rsidR="00041039" w:rsidRDefault="001B26CB">
            <w:pPr>
              <w:pStyle w:val="TableParagraph"/>
              <w:numPr>
                <w:ilvl w:val="0"/>
                <w:numId w:val="1521"/>
              </w:numPr>
              <w:tabs>
                <w:tab w:val="left" w:pos="157"/>
              </w:tabs>
              <w:spacing w:line="158" w:lineRule="exact"/>
              <w:ind w:hanging="99"/>
              <w:rPr>
                <w:sz w:val="14"/>
              </w:rPr>
            </w:pPr>
            <w:r>
              <w:rPr>
                <w:color w:val="231F20"/>
                <w:sz w:val="14"/>
              </w:rPr>
              <w:t>Бројеви.</w:t>
            </w:r>
          </w:p>
          <w:p w:rsidR="00041039" w:rsidRDefault="001B26CB">
            <w:pPr>
              <w:pStyle w:val="TableParagraph"/>
              <w:numPr>
                <w:ilvl w:val="0"/>
                <w:numId w:val="1521"/>
              </w:numPr>
              <w:tabs>
                <w:tab w:val="left" w:pos="157"/>
              </w:tabs>
              <w:spacing w:line="158" w:lineRule="exact"/>
              <w:ind w:hanging="99"/>
              <w:rPr>
                <w:sz w:val="14"/>
              </w:rPr>
            </w:pPr>
            <w:r>
              <w:rPr>
                <w:color w:val="231F20"/>
                <w:sz w:val="14"/>
              </w:rPr>
              <w:t xml:space="preserve">Обнављање: презент, </w:t>
            </w:r>
            <w:r>
              <w:rPr>
                <w:color w:val="231F20"/>
                <w:spacing w:val="-3"/>
                <w:sz w:val="14"/>
              </w:rPr>
              <w:t xml:space="preserve">перфекат, </w:t>
            </w:r>
            <w:r>
              <w:rPr>
                <w:color w:val="231F20"/>
                <w:sz w:val="14"/>
              </w:rPr>
              <w:t>футур</w:t>
            </w:r>
            <w:r>
              <w:rPr>
                <w:color w:val="231F20"/>
                <w:spacing w:val="-6"/>
                <w:sz w:val="14"/>
              </w:rPr>
              <w:t xml:space="preserve"> </w:t>
            </w:r>
            <w:r>
              <w:rPr>
                <w:color w:val="231F20"/>
                <w:sz w:val="14"/>
              </w:rPr>
              <w:t>I.</w:t>
            </w:r>
          </w:p>
          <w:p w:rsidR="00041039" w:rsidRDefault="001B26CB">
            <w:pPr>
              <w:pStyle w:val="TableParagraph"/>
              <w:numPr>
                <w:ilvl w:val="0"/>
                <w:numId w:val="1521"/>
              </w:numPr>
              <w:tabs>
                <w:tab w:val="left" w:pos="157"/>
              </w:tabs>
              <w:spacing w:line="163" w:lineRule="exact"/>
              <w:ind w:hanging="99"/>
              <w:rPr>
                <w:sz w:val="14"/>
              </w:rPr>
            </w:pPr>
            <w:r>
              <w:rPr>
                <w:color w:val="231F20"/>
                <w:spacing w:val="-3"/>
                <w:sz w:val="14"/>
              </w:rPr>
              <w:t>Глаголи:</w:t>
            </w:r>
          </w:p>
          <w:p w:rsidR="00041039" w:rsidRDefault="001B26CB">
            <w:pPr>
              <w:pStyle w:val="TableParagraph"/>
              <w:numPr>
                <w:ilvl w:val="0"/>
                <w:numId w:val="1520"/>
              </w:numPr>
              <w:tabs>
                <w:tab w:val="left" w:pos="163"/>
              </w:tabs>
              <w:spacing w:line="158" w:lineRule="exact"/>
              <w:rPr>
                <w:sz w:val="14"/>
              </w:rPr>
            </w:pPr>
            <w:r>
              <w:rPr>
                <w:color w:val="231F20"/>
                <w:sz w:val="14"/>
              </w:rPr>
              <w:t>императив;</w:t>
            </w:r>
          </w:p>
          <w:p w:rsidR="00041039" w:rsidRDefault="001B26CB">
            <w:pPr>
              <w:pStyle w:val="TableParagraph"/>
              <w:numPr>
                <w:ilvl w:val="0"/>
                <w:numId w:val="1520"/>
              </w:numPr>
              <w:tabs>
                <w:tab w:val="left" w:pos="163"/>
              </w:tabs>
              <w:spacing w:line="158" w:lineRule="exact"/>
              <w:rPr>
                <w:sz w:val="14"/>
              </w:rPr>
            </w:pPr>
            <w:r>
              <w:rPr>
                <w:color w:val="231F20"/>
                <w:sz w:val="14"/>
              </w:rPr>
              <w:t>потенцијал;</w:t>
            </w:r>
          </w:p>
          <w:p w:rsidR="00041039" w:rsidRDefault="001B26CB">
            <w:pPr>
              <w:pStyle w:val="TableParagraph"/>
              <w:numPr>
                <w:ilvl w:val="0"/>
                <w:numId w:val="1520"/>
              </w:numPr>
              <w:tabs>
                <w:tab w:val="left" w:pos="163"/>
              </w:tabs>
              <w:spacing w:before="1" w:line="235" w:lineRule="auto"/>
              <w:ind w:right="437"/>
              <w:rPr>
                <w:sz w:val="14"/>
              </w:rPr>
            </w:pPr>
            <w:r>
              <w:rPr>
                <w:color w:val="231F20"/>
                <w:spacing w:val="-3"/>
                <w:sz w:val="14"/>
              </w:rPr>
              <w:t xml:space="preserve">глаголски </w:t>
            </w:r>
            <w:r>
              <w:rPr>
                <w:color w:val="231F20"/>
                <w:sz w:val="14"/>
              </w:rPr>
              <w:t xml:space="preserve">вид: свршени и несвршени </w:t>
            </w:r>
            <w:r>
              <w:rPr>
                <w:color w:val="231F20"/>
                <w:spacing w:val="-3"/>
                <w:sz w:val="14"/>
              </w:rPr>
              <w:t>глаголи;</w:t>
            </w:r>
          </w:p>
          <w:p w:rsidR="00041039" w:rsidRDefault="001B26CB">
            <w:pPr>
              <w:pStyle w:val="TableParagraph"/>
              <w:numPr>
                <w:ilvl w:val="0"/>
                <w:numId w:val="1520"/>
              </w:numPr>
              <w:tabs>
                <w:tab w:val="left" w:pos="163"/>
              </w:tabs>
              <w:spacing w:line="152" w:lineRule="exact"/>
              <w:rPr>
                <w:sz w:val="14"/>
              </w:rPr>
            </w:pPr>
            <w:r>
              <w:rPr>
                <w:color w:val="231F20"/>
                <w:spacing w:val="-3"/>
                <w:sz w:val="14"/>
              </w:rPr>
              <w:t xml:space="preserve">глаголски </w:t>
            </w:r>
            <w:r>
              <w:rPr>
                <w:color w:val="231F20"/>
                <w:sz w:val="14"/>
              </w:rPr>
              <w:t>род: узајамно­повратни</w:t>
            </w:r>
            <w:r>
              <w:rPr>
                <w:color w:val="231F20"/>
                <w:sz w:val="14"/>
              </w:rPr>
              <w:t xml:space="preserve"> </w:t>
            </w:r>
            <w:r>
              <w:rPr>
                <w:color w:val="231F20"/>
                <w:spacing w:val="-3"/>
                <w:sz w:val="14"/>
              </w:rPr>
              <w:t>глаголи.</w:t>
            </w:r>
          </w:p>
          <w:p w:rsidR="00041039" w:rsidRDefault="001B26CB">
            <w:pPr>
              <w:pStyle w:val="TableParagraph"/>
              <w:numPr>
                <w:ilvl w:val="0"/>
                <w:numId w:val="1519"/>
              </w:numPr>
              <w:tabs>
                <w:tab w:val="left" w:pos="157"/>
              </w:tabs>
              <w:spacing w:line="161" w:lineRule="exact"/>
              <w:ind w:hanging="99"/>
              <w:rPr>
                <w:sz w:val="14"/>
              </w:rPr>
            </w:pPr>
            <w:r>
              <w:rPr>
                <w:color w:val="231F20"/>
                <w:sz w:val="14"/>
              </w:rPr>
              <w:t>Придевске</w:t>
            </w:r>
            <w:r>
              <w:rPr>
                <w:color w:val="231F20"/>
                <w:spacing w:val="-1"/>
                <w:sz w:val="14"/>
              </w:rPr>
              <w:t xml:space="preserve"> </w:t>
            </w:r>
            <w:r>
              <w:rPr>
                <w:color w:val="231F20"/>
                <w:sz w:val="14"/>
              </w:rPr>
              <w:t>заменице.</w:t>
            </w:r>
          </w:p>
        </w:tc>
        <w:tc>
          <w:tcPr>
            <w:tcW w:w="2267" w:type="dxa"/>
            <w:vMerge/>
            <w:tcBorders>
              <w:top w:val="nil"/>
            </w:tcBorders>
          </w:tcPr>
          <w:p w:rsidR="00041039" w:rsidRDefault="00041039">
            <w:pPr>
              <w:rPr>
                <w:sz w:val="2"/>
                <w:szCs w:val="2"/>
              </w:rPr>
            </w:pPr>
          </w:p>
        </w:tc>
      </w:tr>
      <w:tr w:rsidR="00041039">
        <w:trPr>
          <w:trHeight w:val="516"/>
        </w:trPr>
        <w:tc>
          <w:tcPr>
            <w:tcW w:w="1304" w:type="dxa"/>
          </w:tcPr>
          <w:p w:rsidR="00041039" w:rsidRDefault="001B26CB">
            <w:pPr>
              <w:pStyle w:val="TableParagraph"/>
              <w:spacing w:before="22"/>
              <w:ind w:left="56"/>
              <w:rPr>
                <w:sz w:val="14"/>
              </w:rPr>
            </w:pPr>
            <w:r>
              <w:rPr>
                <w:color w:val="231F20"/>
                <w:sz w:val="14"/>
              </w:rPr>
              <w:t>Творба речи</w:t>
            </w:r>
          </w:p>
        </w:tc>
        <w:tc>
          <w:tcPr>
            <w:tcW w:w="1587" w:type="dxa"/>
          </w:tcPr>
          <w:p w:rsidR="00041039" w:rsidRDefault="001B26CB">
            <w:pPr>
              <w:pStyle w:val="TableParagraph"/>
              <w:numPr>
                <w:ilvl w:val="0"/>
                <w:numId w:val="1518"/>
              </w:numPr>
              <w:tabs>
                <w:tab w:val="left" w:pos="157"/>
              </w:tabs>
              <w:spacing w:before="27" w:line="158" w:lineRule="exact"/>
              <w:ind w:right="161"/>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numPr>
                <w:ilvl w:val="0"/>
                <w:numId w:val="1517"/>
              </w:numPr>
              <w:tabs>
                <w:tab w:val="left" w:pos="157"/>
              </w:tabs>
              <w:spacing w:before="13"/>
              <w:ind w:hanging="99"/>
              <w:rPr>
                <w:sz w:val="14"/>
              </w:rPr>
            </w:pPr>
            <w:r>
              <w:rPr>
                <w:color w:val="231F20"/>
                <w:sz w:val="14"/>
              </w:rPr>
              <w:t>правилно гради речи</w:t>
            </w:r>
            <w:r>
              <w:rPr>
                <w:color w:val="231F20"/>
                <w:spacing w:val="-10"/>
                <w:sz w:val="14"/>
              </w:rPr>
              <w:t xml:space="preserve"> </w:t>
            </w:r>
            <w:r>
              <w:rPr>
                <w:color w:val="231F20"/>
                <w:sz w:val="14"/>
              </w:rPr>
              <w:t>префиксацијом;</w:t>
            </w:r>
          </w:p>
        </w:tc>
        <w:tc>
          <w:tcPr>
            <w:tcW w:w="2834" w:type="dxa"/>
          </w:tcPr>
          <w:p w:rsidR="00041039" w:rsidRDefault="001B26CB">
            <w:pPr>
              <w:pStyle w:val="TableParagraph"/>
              <w:numPr>
                <w:ilvl w:val="0"/>
                <w:numId w:val="1516"/>
              </w:numPr>
              <w:tabs>
                <w:tab w:val="left" w:pos="158"/>
              </w:tabs>
              <w:spacing w:before="13"/>
              <w:rPr>
                <w:sz w:val="14"/>
              </w:rPr>
            </w:pPr>
            <w:r>
              <w:rPr>
                <w:color w:val="231F20"/>
                <w:sz w:val="14"/>
              </w:rPr>
              <w:t>Префиксација у врстама</w:t>
            </w:r>
            <w:r>
              <w:rPr>
                <w:color w:val="231F20"/>
                <w:spacing w:val="-2"/>
                <w:sz w:val="14"/>
              </w:rPr>
              <w:t xml:space="preserve"> </w:t>
            </w:r>
            <w:r>
              <w:rPr>
                <w:color w:val="231F20"/>
                <w:sz w:val="14"/>
              </w:rPr>
              <w:t>речи.</w:t>
            </w:r>
          </w:p>
        </w:tc>
        <w:tc>
          <w:tcPr>
            <w:tcW w:w="2267" w:type="dxa"/>
            <w:vMerge/>
            <w:tcBorders>
              <w:top w:val="nil"/>
            </w:tcBorders>
          </w:tcPr>
          <w:p w:rsidR="00041039" w:rsidRDefault="00041039">
            <w:pPr>
              <w:rPr>
                <w:sz w:val="2"/>
                <w:szCs w:val="2"/>
              </w:rPr>
            </w:pPr>
          </w:p>
        </w:tc>
      </w:tr>
      <w:tr w:rsidR="00041039">
        <w:trPr>
          <w:trHeight w:val="674"/>
        </w:trPr>
        <w:tc>
          <w:tcPr>
            <w:tcW w:w="1304" w:type="dxa"/>
          </w:tcPr>
          <w:p w:rsidR="00041039" w:rsidRDefault="001B26CB">
            <w:pPr>
              <w:pStyle w:val="TableParagraph"/>
              <w:spacing w:before="23"/>
              <w:ind w:left="57"/>
              <w:rPr>
                <w:sz w:val="14"/>
              </w:rPr>
            </w:pPr>
            <w:r>
              <w:rPr>
                <w:color w:val="231F20"/>
                <w:sz w:val="14"/>
              </w:rPr>
              <w:t>Синтакса</w:t>
            </w:r>
          </w:p>
        </w:tc>
        <w:tc>
          <w:tcPr>
            <w:tcW w:w="1587" w:type="dxa"/>
          </w:tcPr>
          <w:p w:rsidR="00041039" w:rsidRDefault="001B26CB">
            <w:pPr>
              <w:pStyle w:val="TableParagraph"/>
              <w:numPr>
                <w:ilvl w:val="0"/>
                <w:numId w:val="1515"/>
              </w:numPr>
              <w:tabs>
                <w:tab w:val="left" w:pos="157"/>
              </w:tabs>
              <w:spacing w:before="27" w:line="158" w:lineRule="exact"/>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1514"/>
              </w:numPr>
              <w:tabs>
                <w:tab w:val="left" w:pos="157"/>
              </w:tabs>
              <w:spacing w:before="15" w:line="235" w:lineRule="auto"/>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numPr>
                <w:ilvl w:val="0"/>
                <w:numId w:val="1514"/>
              </w:numPr>
              <w:tabs>
                <w:tab w:val="left" w:pos="157"/>
              </w:tabs>
              <w:spacing w:before="2" w:line="158" w:lineRule="exact"/>
              <w:ind w:right="234" w:hanging="99"/>
              <w:rPr>
                <w:sz w:val="14"/>
              </w:rPr>
            </w:pPr>
            <w:r>
              <w:rPr>
                <w:color w:val="231F20"/>
                <w:sz w:val="14"/>
              </w:rPr>
              <w:t>саставља временске и узрочне</w:t>
            </w:r>
            <w:r>
              <w:rPr>
                <w:color w:val="231F20"/>
                <w:spacing w:val="-17"/>
                <w:sz w:val="14"/>
              </w:rPr>
              <w:t xml:space="preserve"> </w:t>
            </w:r>
            <w:r>
              <w:rPr>
                <w:color w:val="231F20"/>
                <w:sz w:val="14"/>
              </w:rPr>
              <w:t>рече­ нице;</w:t>
            </w:r>
          </w:p>
        </w:tc>
        <w:tc>
          <w:tcPr>
            <w:tcW w:w="2834" w:type="dxa"/>
          </w:tcPr>
          <w:p w:rsidR="00041039" w:rsidRDefault="001B26CB">
            <w:pPr>
              <w:pStyle w:val="TableParagraph"/>
              <w:numPr>
                <w:ilvl w:val="0"/>
                <w:numId w:val="1513"/>
              </w:numPr>
              <w:tabs>
                <w:tab w:val="left" w:pos="158"/>
              </w:tabs>
              <w:spacing w:before="13" w:line="165" w:lineRule="exact"/>
              <w:rPr>
                <w:sz w:val="14"/>
              </w:rPr>
            </w:pPr>
            <w:r>
              <w:rPr>
                <w:color w:val="231F20"/>
                <w:sz w:val="14"/>
              </w:rPr>
              <w:t>Неправи</w:t>
            </w:r>
            <w:r>
              <w:rPr>
                <w:color w:val="231F20"/>
                <w:spacing w:val="-1"/>
                <w:sz w:val="14"/>
              </w:rPr>
              <w:t xml:space="preserve"> </w:t>
            </w:r>
            <w:r>
              <w:rPr>
                <w:color w:val="231F20"/>
                <w:spacing w:val="-3"/>
                <w:sz w:val="14"/>
              </w:rPr>
              <w:t>објекат.</w:t>
            </w:r>
          </w:p>
          <w:p w:rsidR="00041039" w:rsidRDefault="001B26CB">
            <w:pPr>
              <w:pStyle w:val="TableParagraph"/>
              <w:numPr>
                <w:ilvl w:val="0"/>
                <w:numId w:val="1513"/>
              </w:numPr>
              <w:tabs>
                <w:tab w:val="left" w:pos="158"/>
              </w:tabs>
              <w:spacing w:line="158" w:lineRule="exact"/>
              <w:rPr>
                <w:sz w:val="14"/>
              </w:rPr>
            </w:pPr>
            <w:r>
              <w:rPr>
                <w:color w:val="231F20"/>
                <w:sz w:val="14"/>
              </w:rPr>
              <w:t>Прилошке одредбе за место, време,</w:t>
            </w:r>
            <w:r>
              <w:rPr>
                <w:color w:val="231F20"/>
                <w:spacing w:val="-15"/>
                <w:sz w:val="14"/>
              </w:rPr>
              <w:t xml:space="preserve"> </w:t>
            </w:r>
            <w:r>
              <w:rPr>
                <w:color w:val="231F20"/>
                <w:sz w:val="14"/>
              </w:rPr>
              <w:t>узрок.</w:t>
            </w:r>
          </w:p>
          <w:p w:rsidR="00041039" w:rsidRDefault="001B26CB">
            <w:pPr>
              <w:pStyle w:val="TableParagraph"/>
              <w:numPr>
                <w:ilvl w:val="0"/>
                <w:numId w:val="1513"/>
              </w:numPr>
              <w:tabs>
                <w:tab w:val="left" w:pos="158"/>
              </w:tabs>
              <w:spacing w:line="158" w:lineRule="exact"/>
              <w:rPr>
                <w:sz w:val="14"/>
              </w:rPr>
            </w:pPr>
            <w:r>
              <w:rPr>
                <w:color w:val="231F20"/>
                <w:sz w:val="14"/>
              </w:rPr>
              <w:t>Партитивни</w:t>
            </w:r>
            <w:r>
              <w:rPr>
                <w:color w:val="231F20"/>
                <w:spacing w:val="-1"/>
                <w:sz w:val="14"/>
              </w:rPr>
              <w:t xml:space="preserve"> </w:t>
            </w:r>
            <w:r>
              <w:rPr>
                <w:color w:val="231F20"/>
                <w:sz w:val="14"/>
              </w:rPr>
              <w:t>генитив.</w:t>
            </w:r>
          </w:p>
          <w:p w:rsidR="00041039" w:rsidRDefault="001B26CB">
            <w:pPr>
              <w:pStyle w:val="TableParagraph"/>
              <w:numPr>
                <w:ilvl w:val="0"/>
                <w:numId w:val="1513"/>
              </w:numPr>
              <w:tabs>
                <w:tab w:val="left" w:pos="158"/>
              </w:tabs>
              <w:spacing w:line="161" w:lineRule="exact"/>
              <w:rPr>
                <w:sz w:val="14"/>
              </w:rPr>
            </w:pPr>
            <w:r>
              <w:rPr>
                <w:color w:val="231F20"/>
                <w:sz w:val="14"/>
              </w:rPr>
              <w:t>Врсте зависних реченица:</w:t>
            </w:r>
            <w:r>
              <w:rPr>
                <w:color w:val="231F20"/>
                <w:spacing w:val="-6"/>
                <w:sz w:val="14"/>
              </w:rPr>
              <w:t xml:space="preserve"> </w:t>
            </w:r>
            <w:r>
              <w:rPr>
                <w:color w:val="231F20"/>
                <w:sz w:val="14"/>
              </w:rPr>
              <w:t>адвербијалне.</w:t>
            </w:r>
          </w:p>
        </w:tc>
        <w:tc>
          <w:tcPr>
            <w:tcW w:w="2267" w:type="dxa"/>
            <w:vMerge/>
            <w:tcBorders>
              <w:top w:val="nil"/>
            </w:tcBorders>
          </w:tcPr>
          <w:p w:rsidR="00041039" w:rsidRDefault="00041039">
            <w:pPr>
              <w:rPr>
                <w:sz w:val="2"/>
                <w:szCs w:val="2"/>
              </w:rPr>
            </w:pPr>
          </w:p>
        </w:tc>
      </w:tr>
      <w:tr w:rsidR="00041039">
        <w:trPr>
          <w:trHeight w:val="674"/>
        </w:trPr>
        <w:tc>
          <w:tcPr>
            <w:tcW w:w="1304" w:type="dxa"/>
          </w:tcPr>
          <w:p w:rsidR="00041039" w:rsidRDefault="001B26CB">
            <w:pPr>
              <w:pStyle w:val="TableParagraph"/>
              <w:spacing w:before="23"/>
              <w:ind w:left="57"/>
              <w:rPr>
                <w:sz w:val="14"/>
              </w:rPr>
            </w:pPr>
            <w:r>
              <w:rPr>
                <w:color w:val="231F20"/>
                <w:sz w:val="14"/>
              </w:rPr>
              <w:t>Правопис</w:t>
            </w:r>
          </w:p>
        </w:tc>
        <w:tc>
          <w:tcPr>
            <w:tcW w:w="1587" w:type="dxa"/>
          </w:tcPr>
          <w:p w:rsidR="00041039" w:rsidRDefault="001B26CB">
            <w:pPr>
              <w:pStyle w:val="TableParagraph"/>
              <w:numPr>
                <w:ilvl w:val="0"/>
                <w:numId w:val="1512"/>
              </w:numPr>
              <w:tabs>
                <w:tab w:val="left" w:pos="157"/>
              </w:tabs>
              <w:spacing w:before="27" w:line="158" w:lineRule="exact"/>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1511"/>
              </w:numPr>
              <w:tabs>
                <w:tab w:val="left" w:pos="158"/>
              </w:tabs>
              <w:spacing w:before="16" w:line="235" w:lineRule="auto"/>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1510"/>
              </w:numPr>
              <w:tabs>
                <w:tab w:val="left" w:pos="158"/>
              </w:tabs>
              <w:spacing w:before="13" w:line="165" w:lineRule="exact"/>
              <w:rPr>
                <w:sz w:val="14"/>
              </w:rPr>
            </w:pPr>
            <w:r>
              <w:rPr>
                <w:color w:val="231F20"/>
                <w:sz w:val="14"/>
              </w:rPr>
              <w:t>Употреба</w:t>
            </w:r>
            <w:r>
              <w:rPr>
                <w:color w:val="231F20"/>
                <w:spacing w:val="-23"/>
                <w:sz w:val="14"/>
              </w:rPr>
              <w:t xml:space="preserve"> </w:t>
            </w:r>
            <w:r>
              <w:rPr>
                <w:color w:val="231F20"/>
                <w:sz w:val="14"/>
              </w:rPr>
              <w:t>запете.</w:t>
            </w:r>
          </w:p>
          <w:p w:rsidR="00041039" w:rsidRDefault="001B26CB">
            <w:pPr>
              <w:pStyle w:val="TableParagraph"/>
              <w:numPr>
                <w:ilvl w:val="0"/>
                <w:numId w:val="1510"/>
              </w:numPr>
              <w:tabs>
                <w:tab w:val="left" w:pos="158"/>
              </w:tabs>
              <w:spacing w:line="158" w:lineRule="exact"/>
              <w:rPr>
                <w:sz w:val="14"/>
              </w:rPr>
            </w:pPr>
            <w:r>
              <w:rPr>
                <w:color w:val="231F20"/>
                <w:sz w:val="14"/>
              </w:rPr>
              <w:t>Писање</w:t>
            </w:r>
            <w:r>
              <w:rPr>
                <w:color w:val="231F20"/>
                <w:spacing w:val="-3"/>
                <w:sz w:val="14"/>
              </w:rPr>
              <w:t xml:space="preserve"> </w:t>
            </w:r>
            <w:r>
              <w:rPr>
                <w:color w:val="231F20"/>
                <w:sz w:val="14"/>
              </w:rPr>
              <w:t>бројева.</w:t>
            </w:r>
          </w:p>
          <w:p w:rsidR="00041039" w:rsidRDefault="001B26CB">
            <w:pPr>
              <w:pStyle w:val="TableParagraph"/>
              <w:numPr>
                <w:ilvl w:val="0"/>
                <w:numId w:val="1510"/>
              </w:numPr>
              <w:tabs>
                <w:tab w:val="left" w:pos="158"/>
              </w:tabs>
              <w:spacing w:line="165" w:lineRule="exact"/>
              <w:rPr>
                <w:sz w:val="14"/>
              </w:rPr>
            </w:pPr>
            <w:r>
              <w:rPr>
                <w:color w:val="231F20"/>
                <w:sz w:val="14"/>
              </w:rPr>
              <w:t>Писање</w:t>
            </w:r>
            <w:r>
              <w:rPr>
                <w:color w:val="231F20"/>
                <w:spacing w:val="-10"/>
                <w:sz w:val="14"/>
              </w:rPr>
              <w:t xml:space="preserve"> </w:t>
            </w:r>
            <w:r>
              <w:rPr>
                <w:color w:val="231F20"/>
                <w:sz w:val="14"/>
              </w:rPr>
              <w:t>датума.</w:t>
            </w:r>
          </w:p>
        </w:tc>
        <w:tc>
          <w:tcPr>
            <w:tcW w:w="2267" w:type="dxa"/>
            <w:vMerge/>
            <w:tcBorders>
              <w:top w:val="nil"/>
            </w:tcBorders>
          </w:tcPr>
          <w:p w:rsidR="00041039" w:rsidRDefault="00041039">
            <w:pPr>
              <w:rPr>
                <w:sz w:val="2"/>
                <w:szCs w:val="2"/>
              </w:rPr>
            </w:pPr>
          </w:p>
        </w:tc>
      </w:tr>
      <w:tr w:rsidR="00041039">
        <w:trPr>
          <w:trHeight w:val="3044"/>
        </w:trPr>
        <w:tc>
          <w:tcPr>
            <w:tcW w:w="1304" w:type="dxa"/>
          </w:tcPr>
          <w:p w:rsidR="00041039" w:rsidRDefault="001B26CB">
            <w:pPr>
              <w:pStyle w:val="TableParagraph"/>
              <w:spacing w:before="26" w:line="235" w:lineRule="auto"/>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1509"/>
              </w:numPr>
              <w:tabs>
                <w:tab w:val="left" w:pos="157"/>
              </w:tabs>
              <w:spacing w:before="16" w:line="235" w:lineRule="auto"/>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1508"/>
              </w:numPr>
              <w:tabs>
                <w:tab w:val="left" w:pos="158"/>
              </w:tabs>
              <w:spacing w:before="16" w:line="235" w:lineRule="auto"/>
              <w:ind w:right="116"/>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1508"/>
              </w:numPr>
              <w:tabs>
                <w:tab w:val="left" w:pos="158"/>
              </w:tabs>
              <w:spacing w:before="2" w:line="158" w:lineRule="exact"/>
              <w:ind w:right="90"/>
              <w:rPr>
                <w:sz w:val="14"/>
              </w:rPr>
            </w:pPr>
            <w:r>
              <w:rPr>
                <w:color w:val="231F20"/>
                <w:sz w:val="14"/>
              </w:rPr>
              <w:t>даје одговоре на постављена питања</w:t>
            </w:r>
            <w:r>
              <w:rPr>
                <w:color w:val="231F20"/>
                <w:spacing w:val="-10"/>
                <w:sz w:val="14"/>
              </w:rPr>
              <w:t xml:space="preserve"> </w:t>
            </w:r>
            <w:r>
              <w:rPr>
                <w:color w:val="231F20"/>
                <w:sz w:val="14"/>
              </w:rPr>
              <w:t>и поставља питања;</w:t>
            </w:r>
          </w:p>
        </w:tc>
        <w:tc>
          <w:tcPr>
            <w:tcW w:w="2834" w:type="dxa"/>
          </w:tcPr>
          <w:p w:rsidR="00041039" w:rsidRDefault="001B26CB">
            <w:pPr>
              <w:pStyle w:val="TableParagraph"/>
              <w:numPr>
                <w:ilvl w:val="0"/>
                <w:numId w:val="1507"/>
              </w:numPr>
              <w:tabs>
                <w:tab w:val="left" w:pos="158"/>
              </w:tabs>
              <w:spacing w:before="13" w:line="170" w:lineRule="exact"/>
              <w:ind w:hanging="99"/>
              <w:rPr>
                <w:sz w:val="14"/>
              </w:rPr>
            </w:pPr>
            <w:r>
              <w:rPr>
                <w:color w:val="231F20"/>
                <w:sz w:val="14"/>
              </w:rPr>
              <w:t>Тематика:</w:t>
            </w:r>
          </w:p>
          <w:p w:rsidR="00041039" w:rsidRDefault="001B26CB">
            <w:pPr>
              <w:pStyle w:val="TableParagraph"/>
              <w:numPr>
                <w:ilvl w:val="0"/>
                <w:numId w:val="1506"/>
              </w:numPr>
              <w:tabs>
                <w:tab w:val="left" w:pos="164"/>
              </w:tabs>
              <w:spacing w:line="158" w:lineRule="exact"/>
              <w:rPr>
                <w:sz w:val="14"/>
              </w:rPr>
            </w:pPr>
            <w:r>
              <w:rPr>
                <w:color w:val="231F20"/>
                <w:sz w:val="14"/>
              </w:rPr>
              <w:t>пријатељи и</w:t>
            </w:r>
            <w:r>
              <w:rPr>
                <w:color w:val="231F20"/>
                <w:spacing w:val="-2"/>
                <w:sz w:val="14"/>
              </w:rPr>
              <w:t xml:space="preserve"> </w:t>
            </w:r>
            <w:r>
              <w:rPr>
                <w:color w:val="231F20"/>
                <w:sz w:val="14"/>
              </w:rPr>
              <w:t>родбина;</w:t>
            </w:r>
          </w:p>
          <w:p w:rsidR="00041039" w:rsidRDefault="001B26CB">
            <w:pPr>
              <w:pStyle w:val="TableParagraph"/>
              <w:numPr>
                <w:ilvl w:val="0"/>
                <w:numId w:val="1506"/>
              </w:numPr>
              <w:tabs>
                <w:tab w:val="left" w:pos="164"/>
              </w:tabs>
              <w:spacing w:before="2" w:line="235" w:lineRule="auto"/>
              <w:ind w:right="244"/>
              <w:rPr>
                <w:sz w:val="14"/>
              </w:rPr>
            </w:pPr>
            <w:r>
              <w:rPr>
                <w:color w:val="231F20"/>
                <w:sz w:val="14"/>
              </w:rPr>
              <w:t>становање (просторије, намештај, кућни апарати);</w:t>
            </w:r>
          </w:p>
          <w:p w:rsidR="00041039" w:rsidRDefault="001B26CB">
            <w:pPr>
              <w:pStyle w:val="TableParagraph"/>
              <w:numPr>
                <w:ilvl w:val="0"/>
                <w:numId w:val="1506"/>
              </w:numPr>
              <w:tabs>
                <w:tab w:val="left" w:pos="164"/>
              </w:tabs>
              <w:spacing w:line="157" w:lineRule="exact"/>
              <w:rPr>
                <w:sz w:val="14"/>
              </w:rPr>
            </w:pPr>
            <w:r>
              <w:rPr>
                <w:color w:val="231F20"/>
                <w:sz w:val="14"/>
              </w:rPr>
              <w:t>основне животне</w:t>
            </w:r>
            <w:r>
              <w:rPr>
                <w:color w:val="231F20"/>
                <w:spacing w:val="-1"/>
                <w:sz w:val="14"/>
              </w:rPr>
              <w:t xml:space="preserve"> </w:t>
            </w:r>
            <w:r>
              <w:rPr>
                <w:color w:val="231F20"/>
                <w:sz w:val="14"/>
              </w:rPr>
              <w:t>намирнице;</w:t>
            </w:r>
          </w:p>
          <w:p w:rsidR="00041039" w:rsidRDefault="001B26CB">
            <w:pPr>
              <w:pStyle w:val="TableParagraph"/>
              <w:numPr>
                <w:ilvl w:val="0"/>
                <w:numId w:val="1506"/>
              </w:numPr>
              <w:tabs>
                <w:tab w:val="left" w:pos="164"/>
              </w:tabs>
              <w:spacing w:before="1" w:line="235" w:lineRule="auto"/>
              <w:ind w:right="157"/>
              <w:rPr>
                <w:sz w:val="14"/>
              </w:rPr>
            </w:pPr>
            <w:r>
              <w:rPr>
                <w:color w:val="231F20"/>
                <w:sz w:val="14"/>
              </w:rPr>
              <w:t>јавно објекти, службе и установе</w:t>
            </w:r>
            <w:r>
              <w:rPr>
                <w:color w:val="231F20"/>
                <w:spacing w:val="-17"/>
                <w:sz w:val="14"/>
              </w:rPr>
              <w:t xml:space="preserve"> </w:t>
            </w:r>
            <w:r>
              <w:rPr>
                <w:color w:val="231F20"/>
                <w:sz w:val="14"/>
              </w:rPr>
              <w:t>(продав­ ница, амбуланта, пошта,</w:t>
            </w:r>
            <w:r>
              <w:rPr>
                <w:color w:val="231F20"/>
                <w:spacing w:val="-6"/>
                <w:sz w:val="14"/>
              </w:rPr>
              <w:t xml:space="preserve"> </w:t>
            </w:r>
            <w:r>
              <w:rPr>
                <w:color w:val="231F20"/>
                <w:sz w:val="14"/>
              </w:rPr>
              <w:t>ресторан);</w:t>
            </w:r>
          </w:p>
          <w:p w:rsidR="00041039" w:rsidRDefault="001B26CB">
            <w:pPr>
              <w:pStyle w:val="TableParagraph"/>
              <w:numPr>
                <w:ilvl w:val="0"/>
                <w:numId w:val="1506"/>
              </w:numPr>
              <w:tabs>
                <w:tab w:val="left" w:pos="164"/>
              </w:tabs>
              <w:spacing w:line="157" w:lineRule="exact"/>
              <w:rPr>
                <w:sz w:val="14"/>
              </w:rPr>
            </w:pPr>
            <w:r>
              <w:rPr>
                <w:color w:val="231F20"/>
                <w:sz w:val="14"/>
              </w:rPr>
              <w:t>биљни и животињски</w:t>
            </w:r>
            <w:r>
              <w:rPr>
                <w:color w:val="231F20"/>
                <w:spacing w:val="-2"/>
                <w:sz w:val="14"/>
              </w:rPr>
              <w:t xml:space="preserve"> </w:t>
            </w:r>
            <w:r>
              <w:rPr>
                <w:color w:val="231F20"/>
                <w:sz w:val="14"/>
              </w:rPr>
              <w:t>свет;</w:t>
            </w:r>
          </w:p>
          <w:p w:rsidR="00041039" w:rsidRDefault="001B26CB">
            <w:pPr>
              <w:pStyle w:val="TableParagraph"/>
              <w:numPr>
                <w:ilvl w:val="0"/>
                <w:numId w:val="1506"/>
              </w:numPr>
              <w:tabs>
                <w:tab w:val="left" w:pos="164"/>
              </w:tabs>
              <w:spacing w:line="158" w:lineRule="exact"/>
              <w:rPr>
                <w:sz w:val="14"/>
              </w:rPr>
            </w:pPr>
            <w:r>
              <w:rPr>
                <w:color w:val="231F20"/>
                <w:sz w:val="14"/>
              </w:rPr>
              <w:t>прославе и</w:t>
            </w:r>
            <w:r>
              <w:rPr>
                <w:color w:val="231F20"/>
                <w:spacing w:val="-2"/>
                <w:sz w:val="14"/>
              </w:rPr>
              <w:t xml:space="preserve"> </w:t>
            </w:r>
            <w:r>
              <w:rPr>
                <w:color w:val="231F20"/>
                <w:sz w:val="14"/>
              </w:rPr>
              <w:t>свечаности;</w:t>
            </w:r>
          </w:p>
          <w:p w:rsidR="00041039" w:rsidRDefault="001B26CB">
            <w:pPr>
              <w:pStyle w:val="TableParagraph"/>
              <w:numPr>
                <w:ilvl w:val="0"/>
                <w:numId w:val="1506"/>
              </w:numPr>
              <w:tabs>
                <w:tab w:val="left" w:pos="164"/>
              </w:tabs>
              <w:spacing w:line="153" w:lineRule="exact"/>
              <w:rPr>
                <w:sz w:val="14"/>
              </w:rPr>
            </w:pPr>
            <w:r>
              <w:rPr>
                <w:color w:val="231F20"/>
                <w:sz w:val="14"/>
              </w:rPr>
              <w:t>мерне јединице, временске</w:t>
            </w:r>
            <w:r>
              <w:rPr>
                <w:color w:val="231F20"/>
                <w:spacing w:val="-5"/>
                <w:sz w:val="14"/>
              </w:rPr>
              <w:t xml:space="preserve"> </w:t>
            </w:r>
            <w:r>
              <w:rPr>
                <w:color w:val="231F20"/>
                <w:sz w:val="14"/>
              </w:rPr>
              <w:t>одреднице.</w:t>
            </w:r>
          </w:p>
          <w:p w:rsidR="00041039" w:rsidRDefault="001B26CB">
            <w:pPr>
              <w:pStyle w:val="TableParagraph"/>
              <w:numPr>
                <w:ilvl w:val="0"/>
                <w:numId w:val="1505"/>
              </w:numPr>
              <w:tabs>
                <w:tab w:val="left" w:pos="158"/>
              </w:tabs>
              <w:spacing w:line="163" w:lineRule="exact"/>
              <w:ind w:hanging="99"/>
              <w:rPr>
                <w:sz w:val="14"/>
              </w:rPr>
            </w:pPr>
            <w:r>
              <w:rPr>
                <w:color w:val="231F20"/>
                <w:spacing w:val="-1"/>
                <w:sz w:val="14"/>
              </w:rPr>
              <w:t>Комуникативне</w:t>
            </w:r>
            <w:r>
              <w:rPr>
                <w:color w:val="231F20"/>
                <w:spacing w:val="-12"/>
                <w:sz w:val="14"/>
              </w:rPr>
              <w:t xml:space="preserve"> </w:t>
            </w:r>
            <w:r>
              <w:rPr>
                <w:color w:val="231F20"/>
                <w:sz w:val="14"/>
              </w:rPr>
              <w:t>функције:</w:t>
            </w:r>
          </w:p>
          <w:p w:rsidR="00041039" w:rsidRDefault="001B26CB">
            <w:pPr>
              <w:pStyle w:val="TableParagraph"/>
              <w:numPr>
                <w:ilvl w:val="0"/>
                <w:numId w:val="1504"/>
              </w:numPr>
              <w:tabs>
                <w:tab w:val="left" w:pos="164"/>
              </w:tabs>
              <w:spacing w:line="158" w:lineRule="exact"/>
              <w:rPr>
                <w:sz w:val="14"/>
              </w:rPr>
            </w:pPr>
            <w:r>
              <w:rPr>
                <w:color w:val="231F20"/>
                <w:sz w:val="14"/>
              </w:rPr>
              <w:t>ословљавање и обраћање;</w:t>
            </w:r>
          </w:p>
          <w:p w:rsidR="00041039" w:rsidRDefault="001B26CB">
            <w:pPr>
              <w:pStyle w:val="TableParagraph"/>
              <w:numPr>
                <w:ilvl w:val="0"/>
                <w:numId w:val="1504"/>
              </w:numPr>
              <w:tabs>
                <w:tab w:val="left" w:pos="164"/>
              </w:tabs>
              <w:spacing w:line="158" w:lineRule="exact"/>
              <w:rPr>
                <w:sz w:val="14"/>
              </w:rPr>
            </w:pPr>
            <w:r>
              <w:rPr>
                <w:color w:val="231F20"/>
                <w:sz w:val="14"/>
              </w:rPr>
              <w:t>исказивање</w:t>
            </w:r>
            <w:r>
              <w:rPr>
                <w:color w:val="231F20"/>
                <w:spacing w:val="-1"/>
                <w:sz w:val="14"/>
              </w:rPr>
              <w:t xml:space="preserve"> </w:t>
            </w:r>
            <w:r>
              <w:rPr>
                <w:color w:val="231F20"/>
                <w:sz w:val="14"/>
              </w:rPr>
              <w:t>молбе;</w:t>
            </w:r>
          </w:p>
          <w:p w:rsidR="00041039" w:rsidRDefault="001B26CB">
            <w:pPr>
              <w:pStyle w:val="TableParagraph"/>
              <w:numPr>
                <w:ilvl w:val="0"/>
                <w:numId w:val="1504"/>
              </w:numPr>
              <w:tabs>
                <w:tab w:val="left" w:pos="164"/>
              </w:tabs>
              <w:spacing w:line="158" w:lineRule="exact"/>
              <w:rPr>
                <w:sz w:val="14"/>
              </w:rPr>
            </w:pPr>
            <w:r>
              <w:rPr>
                <w:color w:val="231F20"/>
                <w:sz w:val="14"/>
              </w:rPr>
              <w:t>тражење и давање</w:t>
            </w:r>
            <w:r>
              <w:rPr>
                <w:color w:val="231F20"/>
                <w:spacing w:val="-2"/>
                <w:sz w:val="14"/>
              </w:rPr>
              <w:t xml:space="preserve"> </w:t>
            </w:r>
            <w:r>
              <w:rPr>
                <w:color w:val="231F20"/>
                <w:sz w:val="14"/>
              </w:rPr>
              <w:t>упутстава;</w:t>
            </w:r>
          </w:p>
          <w:p w:rsidR="00041039" w:rsidRDefault="001B26CB">
            <w:pPr>
              <w:pStyle w:val="TableParagraph"/>
              <w:numPr>
                <w:ilvl w:val="0"/>
                <w:numId w:val="1504"/>
              </w:numPr>
              <w:tabs>
                <w:tab w:val="left" w:pos="164"/>
              </w:tabs>
              <w:spacing w:line="153" w:lineRule="exact"/>
              <w:rPr>
                <w:sz w:val="14"/>
              </w:rPr>
            </w:pPr>
            <w:r>
              <w:rPr>
                <w:color w:val="231F20"/>
                <w:sz w:val="14"/>
              </w:rPr>
              <w:t>позивање и прихватање / одбијање</w:t>
            </w:r>
            <w:r>
              <w:rPr>
                <w:color w:val="231F20"/>
                <w:spacing w:val="-16"/>
                <w:sz w:val="14"/>
              </w:rPr>
              <w:t xml:space="preserve"> </w:t>
            </w:r>
            <w:r>
              <w:rPr>
                <w:color w:val="231F20"/>
                <w:sz w:val="14"/>
              </w:rPr>
              <w:t>позива.</w:t>
            </w:r>
          </w:p>
          <w:p w:rsidR="00041039" w:rsidRDefault="001B26CB">
            <w:pPr>
              <w:pStyle w:val="TableParagraph"/>
              <w:numPr>
                <w:ilvl w:val="0"/>
                <w:numId w:val="1503"/>
              </w:numPr>
              <w:tabs>
                <w:tab w:val="left" w:pos="158"/>
              </w:tabs>
              <w:spacing w:line="235" w:lineRule="auto"/>
              <w:ind w:right="186" w:hanging="99"/>
              <w:rPr>
                <w:sz w:val="14"/>
              </w:rPr>
            </w:pPr>
            <w:r>
              <w:rPr>
                <w:color w:val="231F20"/>
                <w:sz w:val="14"/>
              </w:rPr>
              <w:t>Проширивање језичке и лексичке грађе новим речима и фразеолошким</w:t>
            </w:r>
            <w:r>
              <w:rPr>
                <w:color w:val="231F20"/>
                <w:spacing w:val="-23"/>
                <w:sz w:val="14"/>
              </w:rPr>
              <w:t xml:space="preserve"> </w:t>
            </w:r>
            <w:r>
              <w:rPr>
                <w:color w:val="231F20"/>
                <w:sz w:val="14"/>
              </w:rPr>
              <w:t>изразима.</w:t>
            </w:r>
          </w:p>
          <w:p w:rsidR="00041039" w:rsidRDefault="001B26CB">
            <w:pPr>
              <w:pStyle w:val="TableParagraph"/>
              <w:numPr>
                <w:ilvl w:val="0"/>
                <w:numId w:val="1503"/>
              </w:numPr>
              <w:tabs>
                <w:tab w:val="left" w:pos="158"/>
              </w:tabs>
              <w:spacing w:line="152"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1503"/>
              </w:numPr>
              <w:tabs>
                <w:tab w:val="left" w:pos="158"/>
              </w:tabs>
              <w:spacing w:line="159"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48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numPr>
                <w:ilvl w:val="0"/>
                <w:numId w:val="1502"/>
              </w:numPr>
              <w:tabs>
                <w:tab w:val="left" w:pos="157"/>
              </w:tabs>
              <w:spacing w:before="8"/>
              <w:ind w:right="115"/>
              <w:rPr>
                <w:sz w:val="14"/>
              </w:rPr>
            </w:pPr>
            <w:r>
              <w:rPr>
                <w:color w:val="231F20"/>
                <w:sz w:val="14"/>
              </w:rPr>
              <w:t>Упознавање са зна­ чајним делима</w:t>
            </w:r>
            <w:r>
              <w:rPr>
                <w:color w:val="231F20"/>
                <w:spacing w:val="-6"/>
                <w:sz w:val="14"/>
              </w:rPr>
              <w:t xml:space="preserve"> </w:t>
            </w:r>
            <w:r>
              <w:rPr>
                <w:color w:val="231F20"/>
                <w:sz w:val="14"/>
              </w:rPr>
              <w:t>српске књижевности.</w:t>
            </w:r>
          </w:p>
        </w:tc>
        <w:tc>
          <w:tcPr>
            <w:tcW w:w="2551" w:type="dxa"/>
          </w:tcPr>
          <w:p w:rsidR="00041039" w:rsidRDefault="001B26CB">
            <w:pPr>
              <w:pStyle w:val="TableParagraph"/>
              <w:numPr>
                <w:ilvl w:val="0"/>
                <w:numId w:val="1501"/>
              </w:numPr>
              <w:tabs>
                <w:tab w:val="left" w:pos="157"/>
              </w:tabs>
              <w:spacing w:before="8"/>
              <w:ind w:right="100" w:hanging="99"/>
              <w:jc w:val="both"/>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9"/>
                <w:sz w:val="14"/>
              </w:rPr>
              <w:t xml:space="preserve"> </w:t>
            </w:r>
            <w:r>
              <w:rPr>
                <w:color w:val="231F20"/>
                <w:sz w:val="14"/>
              </w:rPr>
              <w:t>текстова;</w:t>
            </w:r>
          </w:p>
          <w:p w:rsidR="00041039" w:rsidRDefault="001B26CB">
            <w:pPr>
              <w:pStyle w:val="TableParagraph"/>
              <w:numPr>
                <w:ilvl w:val="0"/>
                <w:numId w:val="1501"/>
              </w:numPr>
              <w:tabs>
                <w:tab w:val="left" w:pos="157"/>
              </w:tabs>
              <w:spacing w:line="160" w:lineRule="exact"/>
              <w:ind w:right="69" w:hanging="99"/>
              <w:jc w:val="both"/>
              <w:rPr>
                <w:sz w:val="14"/>
              </w:rPr>
            </w:pPr>
            <w:r>
              <w:rPr>
                <w:color w:val="231F20"/>
                <w:sz w:val="14"/>
              </w:rPr>
              <w:t>користи познавање жанровских</w:t>
            </w:r>
            <w:r>
              <w:rPr>
                <w:color w:val="231F20"/>
                <w:spacing w:val="-12"/>
                <w:sz w:val="14"/>
              </w:rPr>
              <w:t xml:space="preserve"> </w:t>
            </w:r>
            <w:r>
              <w:rPr>
                <w:color w:val="231F20"/>
                <w:sz w:val="14"/>
              </w:rPr>
              <w:t>посеб­ ности при интерпретацији књижевног дела у</w:t>
            </w:r>
            <w:r>
              <w:rPr>
                <w:color w:val="231F20"/>
                <w:spacing w:val="-1"/>
                <w:sz w:val="14"/>
              </w:rPr>
              <w:t xml:space="preserve"> </w:t>
            </w:r>
            <w:r>
              <w:rPr>
                <w:color w:val="231F20"/>
                <w:sz w:val="14"/>
              </w:rPr>
              <w:t>настави;</w:t>
            </w:r>
          </w:p>
          <w:p w:rsidR="00041039" w:rsidRDefault="001B26CB">
            <w:pPr>
              <w:pStyle w:val="TableParagraph"/>
              <w:numPr>
                <w:ilvl w:val="0"/>
                <w:numId w:val="1501"/>
              </w:numPr>
              <w:tabs>
                <w:tab w:val="left" w:pos="157"/>
              </w:tabs>
              <w:spacing w:line="160" w:lineRule="exact"/>
              <w:ind w:right="269" w:hanging="99"/>
              <w:rPr>
                <w:sz w:val="14"/>
              </w:rPr>
            </w:pPr>
            <w:r>
              <w:rPr>
                <w:color w:val="231F20"/>
                <w:sz w:val="14"/>
              </w:rPr>
              <w:t>анализира идејне аспекте текстова обухваћених школским</w:t>
            </w:r>
            <w:r>
              <w:rPr>
                <w:color w:val="231F20"/>
                <w:spacing w:val="-27"/>
                <w:sz w:val="14"/>
              </w:rPr>
              <w:t xml:space="preserve"> </w:t>
            </w:r>
            <w:r>
              <w:rPr>
                <w:color w:val="231F20"/>
                <w:sz w:val="14"/>
              </w:rPr>
              <w:t>програмом;</w:t>
            </w:r>
          </w:p>
        </w:tc>
        <w:tc>
          <w:tcPr>
            <w:tcW w:w="2834" w:type="dxa"/>
          </w:tcPr>
          <w:p w:rsidR="00041039" w:rsidRDefault="001B26CB">
            <w:pPr>
              <w:pStyle w:val="TableParagraph"/>
              <w:spacing w:before="18" w:line="155" w:lineRule="exact"/>
              <w:ind w:left="57"/>
              <w:rPr>
                <w:sz w:val="14"/>
              </w:rPr>
            </w:pPr>
            <w:r>
              <w:rPr>
                <w:color w:val="231F20"/>
                <w:sz w:val="14"/>
              </w:rPr>
              <w:t>ОБАВЕЗНИ:</w:t>
            </w:r>
          </w:p>
          <w:p w:rsidR="00041039" w:rsidRDefault="001B26CB">
            <w:pPr>
              <w:pStyle w:val="TableParagraph"/>
              <w:numPr>
                <w:ilvl w:val="0"/>
                <w:numId w:val="1500"/>
              </w:numPr>
              <w:tabs>
                <w:tab w:val="left" w:pos="157"/>
              </w:tabs>
              <w:spacing w:line="160" w:lineRule="exact"/>
              <w:ind w:hanging="99"/>
              <w:rPr>
                <w:sz w:val="14"/>
              </w:rPr>
            </w:pPr>
            <w:r>
              <w:rPr>
                <w:color w:val="231F20"/>
                <w:sz w:val="14"/>
              </w:rPr>
              <w:t>„Смрт Омера и</w:t>
            </w:r>
            <w:r>
              <w:rPr>
                <w:color w:val="231F20"/>
                <w:spacing w:val="-3"/>
                <w:sz w:val="14"/>
              </w:rPr>
              <w:t xml:space="preserve"> </w:t>
            </w:r>
            <w:r>
              <w:rPr>
                <w:color w:val="231F20"/>
                <w:sz w:val="14"/>
              </w:rPr>
              <w:t>Мериме”.</w:t>
            </w:r>
          </w:p>
          <w:p w:rsidR="00041039" w:rsidRDefault="001B26CB">
            <w:pPr>
              <w:pStyle w:val="TableParagraph"/>
              <w:numPr>
                <w:ilvl w:val="0"/>
                <w:numId w:val="1500"/>
              </w:numPr>
              <w:tabs>
                <w:tab w:val="left" w:pos="157"/>
              </w:tabs>
              <w:spacing w:line="160" w:lineRule="exact"/>
              <w:ind w:hanging="99"/>
              <w:rPr>
                <w:sz w:val="14"/>
              </w:rPr>
            </w:pPr>
            <w:r>
              <w:rPr>
                <w:color w:val="231F20"/>
                <w:sz w:val="14"/>
              </w:rPr>
              <w:t>„У цара Тројана козје</w:t>
            </w:r>
            <w:r>
              <w:rPr>
                <w:color w:val="231F20"/>
                <w:spacing w:val="-4"/>
                <w:sz w:val="14"/>
              </w:rPr>
              <w:t xml:space="preserve"> </w:t>
            </w:r>
            <w:r>
              <w:rPr>
                <w:color w:val="231F20"/>
                <w:sz w:val="14"/>
              </w:rPr>
              <w:t>уши”.</w:t>
            </w:r>
          </w:p>
          <w:p w:rsidR="00041039" w:rsidRDefault="001B26CB">
            <w:pPr>
              <w:pStyle w:val="TableParagraph"/>
              <w:numPr>
                <w:ilvl w:val="0"/>
                <w:numId w:val="1500"/>
              </w:numPr>
              <w:tabs>
                <w:tab w:val="left" w:pos="157"/>
              </w:tabs>
              <w:spacing w:line="237" w:lineRule="auto"/>
              <w:ind w:right="465" w:hanging="99"/>
              <w:rPr>
                <w:sz w:val="14"/>
              </w:rPr>
            </w:pPr>
            <w:r>
              <w:rPr>
                <w:color w:val="231F20"/>
                <w:spacing w:val="-2"/>
                <w:sz w:val="14"/>
              </w:rPr>
              <w:t xml:space="preserve">Бранко </w:t>
            </w:r>
            <w:r>
              <w:rPr>
                <w:color w:val="231F20"/>
                <w:sz w:val="14"/>
              </w:rPr>
              <w:t xml:space="preserve">Радичевић: </w:t>
            </w:r>
            <w:r>
              <w:rPr>
                <w:color w:val="231F20"/>
                <w:spacing w:val="-4"/>
                <w:sz w:val="14"/>
              </w:rPr>
              <w:t xml:space="preserve">„Ћачки </w:t>
            </w:r>
            <w:r>
              <w:rPr>
                <w:color w:val="231F20"/>
                <w:sz w:val="14"/>
              </w:rPr>
              <w:t>растанак” (одломци).</w:t>
            </w:r>
          </w:p>
          <w:p w:rsidR="00041039" w:rsidRDefault="001B26CB">
            <w:pPr>
              <w:pStyle w:val="TableParagraph"/>
              <w:numPr>
                <w:ilvl w:val="0"/>
                <w:numId w:val="1500"/>
              </w:numPr>
              <w:tabs>
                <w:tab w:val="left" w:pos="157"/>
              </w:tabs>
              <w:spacing w:line="155" w:lineRule="exact"/>
              <w:ind w:hanging="99"/>
              <w:rPr>
                <w:sz w:val="14"/>
              </w:rPr>
            </w:pPr>
            <w:r>
              <w:rPr>
                <w:color w:val="231F20"/>
                <w:sz w:val="14"/>
              </w:rPr>
              <w:t xml:space="preserve">Милован </w:t>
            </w:r>
            <w:r>
              <w:rPr>
                <w:color w:val="231F20"/>
                <w:spacing w:val="-3"/>
                <w:sz w:val="14"/>
              </w:rPr>
              <w:t>Глишић: „Глава</w:t>
            </w:r>
            <w:r>
              <w:rPr>
                <w:color w:val="231F20"/>
                <w:sz w:val="14"/>
              </w:rPr>
              <w:t xml:space="preserve"> </w:t>
            </w:r>
            <w:r>
              <w:rPr>
                <w:color w:val="231F20"/>
                <w:sz w:val="14"/>
              </w:rPr>
              <w:t>шећера”.</w:t>
            </w:r>
          </w:p>
          <w:p w:rsidR="00041039" w:rsidRDefault="001B26CB">
            <w:pPr>
              <w:pStyle w:val="TableParagraph"/>
              <w:numPr>
                <w:ilvl w:val="0"/>
                <w:numId w:val="1500"/>
              </w:numPr>
              <w:tabs>
                <w:tab w:val="left" w:pos="157"/>
              </w:tabs>
              <w:spacing w:line="237" w:lineRule="auto"/>
              <w:ind w:right="60" w:hanging="99"/>
              <w:rPr>
                <w:sz w:val="14"/>
              </w:rPr>
            </w:pPr>
            <w:r>
              <w:rPr>
                <w:color w:val="231F20"/>
                <w:sz w:val="14"/>
              </w:rPr>
              <w:t xml:space="preserve">Десанка Максимовић: </w:t>
            </w:r>
            <w:r>
              <w:rPr>
                <w:color w:val="231F20"/>
                <w:spacing w:val="-3"/>
                <w:sz w:val="14"/>
              </w:rPr>
              <w:t xml:space="preserve">„Тражим </w:t>
            </w:r>
            <w:r>
              <w:rPr>
                <w:color w:val="231F20"/>
                <w:sz w:val="14"/>
              </w:rPr>
              <w:t>помило­ вање” (</w:t>
            </w:r>
            <w:r>
              <w:rPr>
                <w:i/>
                <w:color w:val="231F20"/>
                <w:sz w:val="14"/>
              </w:rPr>
              <w:t xml:space="preserve">За калуђера </w:t>
            </w:r>
            <w:r>
              <w:rPr>
                <w:color w:val="231F20"/>
                <w:sz w:val="14"/>
              </w:rPr>
              <w:t xml:space="preserve">или </w:t>
            </w:r>
            <w:r>
              <w:rPr>
                <w:i/>
                <w:color w:val="231F20"/>
                <w:sz w:val="14"/>
              </w:rPr>
              <w:t>За лажи</w:t>
            </w:r>
            <w:r>
              <w:rPr>
                <w:i/>
                <w:color w:val="231F20"/>
                <w:spacing w:val="-16"/>
                <w:sz w:val="14"/>
              </w:rPr>
              <w:t xml:space="preserve"> </w:t>
            </w:r>
            <w:r>
              <w:rPr>
                <w:i/>
                <w:color w:val="231F20"/>
                <w:sz w:val="14"/>
              </w:rPr>
              <w:t>изговорене из</w:t>
            </w:r>
            <w:r>
              <w:rPr>
                <w:i/>
                <w:color w:val="231F20"/>
                <w:spacing w:val="-1"/>
                <w:sz w:val="14"/>
              </w:rPr>
              <w:t xml:space="preserve"> </w:t>
            </w:r>
            <w:r>
              <w:rPr>
                <w:i/>
                <w:color w:val="231F20"/>
                <w:sz w:val="14"/>
              </w:rPr>
              <w:t>милосрђа</w:t>
            </w:r>
            <w:r>
              <w:rPr>
                <w:color w:val="231F20"/>
                <w:sz w:val="14"/>
              </w:rPr>
              <w:t>).</w:t>
            </w:r>
          </w:p>
          <w:p w:rsidR="00041039" w:rsidRDefault="001B26CB">
            <w:pPr>
              <w:pStyle w:val="TableParagraph"/>
              <w:numPr>
                <w:ilvl w:val="0"/>
                <w:numId w:val="1500"/>
              </w:numPr>
              <w:tabs>
                <w:tab w:val="left" w:pos="157"/>
              </w:tabs>
              <w:spacing w:line="237" w:lineRule="auto"/>
              <w:ind w:right="89" w:hanging="99"/>
              <w:rPr>
                <w:sz w:val="14"/>
              </w:rPr>
            </w:pPr>
            <w:r>
              <w:rPr>
                <w:color w:val="231F20"/>
                <w:sz w:val="14"/>
              </w:rPr>
              <w:t>Бранислав Нушић: „Аутобиографија”</w:t>
            </w:r>
            <w:r>
              <w:rPr>
                <w:color w:val="231F20"/>
                <w:spacing w:val="-21"/>
                <w:sz w:val="14"/>
              </w:rPr>
              <w:t xml:space="preserve"> </w:t>
            </w:r>
            <w:r>
              <w:rPr>
                <w:color w:val="231F20"/>
                <w:sz w:val="14"/>
              </w:rPr>
              <w:t xml:space="preserve">(пог­ лавље </w:t>
            </w:r>
            <w:r>
              <w:rPr>
                <w:i/>
                <w:color w:val="231F20"/>
                <w:sz w:val="14"/>
              </w:rPr>
              <w:t xml:space="preserve">Српски језик </w:t>
            </w:r>
            <w:r>
              <w:rPr>
                <w:color w:val="231F20"/>
                <w:sz w:val="14"/>
              </w:rPr>
              <w:t>­ два</w:t>
            </w:r>
            <w:r>
              <w:rPr>
                <w:color w:val="231F20"/>
                <w:spacing w:val="-7"/>
                <w:sz w:val="14"/>
              </w:rPr>
              <w:t xml:space="preserve"> </w:t>
            </w:r>
            <w:r>
              <w:rPr>
                <w:color w:val="231F20"/>
                <w:sz w:val="14"/>
              </w:rPr>
              <w:t>одломка).</w:t>
            </w:r>
          </w:p>
          <w:p w:rsidR="00041039" w:rsidRDefault="001B26CB">
            <w:pPr>
              <w:pStyle w:val="TableParagraph"/>
              <w:numPr>
                <w:ilvl w:val="0"/>
                <w:numId w:val="1500"/>
              </w:numPr>
              <w:tabs>
                <w:tab w:val="left" w:pos="157"/>
              </w:tabs>
              <w:spacing w:line="160" w:lineRule="exact"/>
              <w:ind w:right="104" w:hanging="99"/>
              <w:rPr>
                <w:sz w:val="14"/>
              </w:rPr>
            </w:pPr>
            <w:r>
              <w:rPr>
                <w:color w:val="231F20"/>
                <w:spacing w:val="-2"/>
                <w:sz w:val="14"/>
              </w:rPr>
              <w:t xml:space="preserve">Бранко </w:t>
            </w:r>
            <w:r>
              <w:rPr>
                <w:color w:val="231F20"/>
                <w:sz w:val="14"/>
              </w:rPr>
              <w:t>Ћопић: „Башта сљезове боје” (при­ поветка по</w:t>
            </w:r>
            <w:r>
              <w:rPr>
                <w:color w:val="231F20"/>
                <w:spacing w:val="-2"/>
                <w:sz w:val="14"/>
              </w:rPr>
              <w:t xml:space="preserve"> </w:t>
            </w:r>
            <w:r>
              <w:rPr>
                <w:color w:val="231F20"/>
                <w:sz w:val="14"/>
              </w:rPr>
              <w:t>избору).</w:t>
            </w:r>
          </w:p>
          <w:p w:rsidR="00041039" w:rsidRDefault="001B26CB">
            <w:pPr>
              <w:pStyle w:val="TableParagraph"/>
              <w:numPr>
                <w:ilvl w:val="0"/>
                <w:numId w:val="1500"/>
              </w:numPr>
              <w:tabs>
                <w:tab w:val="left" w:pos="157"/>
              </w:tabs>
              <w:spacing w:line="160" w:lineRule="exact"/>
              <w:ind w:right="157" w:hanging="99"/>
              <w:rPr>
                <w:sz w:val="14"/>
              </w:rPr>
            </w:pPr>
            <w:r>
              <w:rPr>
                <w:color w:val="231F20"/>
                <w:sz w:val="14"/>
              </w:rPr>
              <w:t>Иво Андрић: „На Дрини ћуприја” (о</w:t>
            </w:r>
            <w:r>
              <w:rPr>
                <w:color w:val="231F20"/>
                <w:spacing w:val="-21"/>
                <w:sz w:val="14"/>
              </w:rPr>
              <w:t xml:space="preserve"> </w:t>
            </w:r>
            <w:r>
              <w:rPr>
                <w:color w:val="231F20"/>
                <w:sz w:val="14"/>
              </w:rPr>
              <w:t>Фати Авдагиној).</w:t>
            </w:r>
          </w:p>
          <w:p w:rsidR="00041039" w:rsidRDefault="001B26CB">
            <w:pPr>
              <w:pStyle w:val="TableParagraph"/>
              <w:spacing w:line="153" w:lineRule="exact"/>
              <w:ind w:left="57"/>
              <w:rPr>
                <w:sz w:val="14"/>
              </w:rPr>
            </w:pPr>
            <w:r>
              <w:rPr>
                <w:color w:val="231F20"/>
                <w:sz w:val="14"/>
              </w:rPr>
              <w:t>ИЗБОРНИ:</w:t>
            </w:r>
          </w:p>
          <w:p w:rsidR="00041039" w:rsidRDefault="001B26CB">
            <w:pPr>
              <w:pStyle w:val="TableParagraph"/>
              <w:numPr>
                <w:ilvl w:val="0"/>
                <w:numId w:val="1500"/>
              </w:numPr>
              <w:tabs>
                <w:tab w:val="left" w:pos="157"/>
              </w:tabs>
              <w:spacing w:line="237" w:lineRule="auto"/>
              <w:ind w:right="110" w:hanging="99"/>
              <w:rPr>
                <w:sz w:val="14"/>
              </w:rPr>
            </w:pPr>
            <w:r>
              <w:rPr>
                <w:color w:val="231F20"/>
                <w:sz w:val="14"/>
              </w:rPr>
              <w:t>Јован Јовановнћ Змај: ,,Песмо моја, закити се цветом”</w:t>
            </w:r>
            <w:r>
              <w:rPr>
                <w:color w:val="231F20"/>
                <w:spacing w:val="-1"/>
                <w:sz w:val="14"/>
              </w:rPr>
              <w:t xml:space="preserve"> </w:t>
            </w:r>
            <w:r>
              <w:rPr>
                <w:color w:val="231F20"/>
                <w:sz w:val="14"/>
              </w:rPr>
              <w:t>.</w:t>
            </w:r>
          </w:p>
          <w:p w:rsidR="00041039" w:rsidRDefault="001B26CB">
            <w:pPr>
              <w:pStyle w:val="TableParagraph"/>
              <w:numPr>
                <w:ilvl w:val="0"/>
                <w:numId w:val="1500"/>
              </w:numPr>
              <w:tabs>
                <w:tab w:val="left" w:pos="157"/>
              </w:tabs>
              <w:spacing w:line="160" w:lineRule="exact"/>
              <w:ind w:right="293" w:hanging="99"/>
              <w:rPr>
                <w:sz w:val="14"/>
              </w:rPr>
            </w:pPr>
            <w:r>
              <w:rPr>
                <w:color w:val="231F20"/>
                <w:sz w:val="14"/>
              </w:rPr>
              <w:t>Текст о Милени Павловић Барили; Антологија савремених српских писаца (избор).</w:t>
            </w:r>
          </w:p>
          <w:p w:rsidR="00041039" w:rsidRDefault="001B26CB">
            <w:pPr>
              <w:pStyle w:val="TableParagraph"/>
              <w:numPr>
                <w:ilvl w:val="0"/>
                <w:numId w:val="1500"/>
              </w:numPr>
              <w:tabs>
                <w:tab w:val="left" w:pos="157"/>
              </w:tabs>
              <w:spacing w:line="160" w:lineRule="exact"/>
              <w:ind w:right="167" w:hanging="99"/>
              <w:rPr>
                <w:sz w:val="14"/>
              </w:rPr>
            </w:pPr>
            <w:r>
              <w:rPr>
                <w:color w:val="231F20"/>
                <w:sz w:val="14"/>
              </w:rPr>
              <w:t>Пеђа Милосављевић: „Потера за пејзажи­ ма”.</w:t>
            </w:r>
          </w:p>
          <w:p w:rsidR="00041039" w:rsidRDefault="001B26CB">
            <w:pPr>
              <w:pStyle w:val="TableParagraph"/>
              <w:numPr>
                <w:ilvl w:val="0"/>
                <w:numId w:val="1500"/>
              </w:numPr>
              <w:tabs>
                <w:tab w:val="left" w:pos="157"/>
              </w:tabs>
              <w:spacing w:line="160" w:lineRule="exact"/>
              <w:ind w:right="343" w:hanging="99"/>
              <w:rPr>
                <w:sz w:val="14"/>
              </w:rPr>
            </w:pPr>
            <w:r>
              <w:rPr>
                <w:color w:val="231F20"/>
                <w:sz w:val="14"/>
              </w:rPr>
              <w:t>Веселин Чајкановић: „Главније биље</w:t>
            </w:r>
            <w:r>
              <w:rPr>
                <w:color w:val="231F20"/>
                <w:spacing w:val="-16"/>
                <w:sz w:val="14"/>
              </w:rPr>
              <w:t xml:space="preserve"> </w:t>
            </w:r>
            <w:r>
              <w:rPr>
                <w:color w:val="231F20"/>
                <w:sz w:val="14"/>
              </w:rPr>
              <w:t xml:space="preserve">у веровању </w:t>
            </w:r>
            <w:r>
              <w:rPr>
                <w:color w:val="231F20"/>
                <w:spacing w:val="-5"/>
                <w:sz w:val="14"/>
              </w:rPr>
              <w:t xml:space="preserve">код </w:t>
            </w:r>
            <w:r>
              <w:rPr>
                <w:color w:val="231F20"/>
                <w:sz w:val="14"/>
              </w:rPr>
              <w:t>нас</w:t>
            </w:r>
            <w:r>
              <w:rPr>
                <w:color w:val="231F20"/>
                <w:spacing w:val="2"/>
                <w:sz w:val="14"/>
              </w:rPr>
              <w:t xml:space="preserve"> </w:t>
            </w:r>
            <w:r>
              <w:rPr>
                <w:color w:val="231F20"/>
                <w:sz w:val="14"/>
              </w:rPr>
              <w:t>Срба”.</w:t>
            </w:r>
          </w:p>
          <w:p w:rsidR="00041039" w:rsidRDefault="001B26CB">
            <w:pPr>
              <w:pStyle w:val="TableParagraph"/>
              <w:numPr>
                <w:ilvl w:val="0"/>
                <w:numId w:val="1500"/>
              </w:numPr>
              <w:tabs>
                <w:tab w:val="left" w:pos="157"/>
              </w:tabs>
              <w:spacing w:line="160" w:lineRule="exact"/>
              <w:ind w:right="110" w:hanging="99"/>
              <w:rPr>
                <w:sz w:val="14"/>
              </w:rPr>
            </w:pPr>
            <w:r>
              <w:rPr>
                <w:color w:val="231F20"/>
                <w:sz w:val="14"/>
              </w:rPr>
              <w:t>Текстови из други</w:t>
            </w:r>
            <w:r>
              <w:rPr>
                <w:color w:val="231F20"/>
                <w:sz w:val="14"/>
              </w:rPr>
              <w:t>х функционалних</w:t>
            </w:r>
            <w:r>
              <w:rPr>
                <w:color w:val="231F20"/>
                <w:spacing w:val="-22"/>
                <w:sz w:val="14"/>
              </w:rPr>
              <w:t xml:space="preserve"> </w:t>
            </w:r>
            <w:r>
              <w:rPr>
                <w:color w:val="231F20"/>
                <w:sz w:val="14"/>
              </w:rPr>
              <w:t>стило­ ва: публицистички</w:t>
            </w:r>
            <w:r>
              <w:rPr>
                <w:color w:val="231F20"/>
                <w:spacing w:val="-3"/>
                <w:sz w:val="14"/>
              </w:rPr>
              <w:t xml:space="preserve"> </w:t>
            </w:r>
            <w:r>
              <w:rPr>
                <w:color w:val="231F20"/>
                <w:sz w:val="14"/>
              </w:rPr>
              <w:t>(избор).</w:t>
            </w:r>
          </w:p>
          <w:p w:rsidR="00041039" w:rsidRDefault="001B26CB">
            <w:pPr>
              <w:pStyle w:val="TableParagraph"/>
              <w:numPr>
                <w:ilvl w:val="0"/>
                <w:numId w:val="1500"/>
              </w:numPr>
              <w:tabs>
                <w:tab w:val="left" w:pos="157"/>
              </w:tabs>
              <w:spacing w:line="160" w:lineRule="exact"/>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spacing w:line="158" w:lineRule="exact"/>
              <w:ind w:left="57"/>
              <w:rPr>
                <w:b/>
                <w:sz w:val="14"/>
              </w:rPr>
            </w:pPr>
            <w:r>
              <w:rPr>
                <w:b/>
                <w:color w:val="231F20"/>
                <w:sz w:val="14"/>
              </w:rPr>
              <w:t>(Треба одабрати 2 дела.)</w:t>
            </w:r>
          </w:p>
        </w:tc>
        <w:tc>
          <w:tcPr>
            <w:tcW w:w="2267" w:type="dxa"/>
          </w:tcPr>
          <w:p w:rsidR="00041039" w:rsidRDefault="001B26CB">
            <w:pPr>
              <w:pStyle w:val="TableParagraph"/>
              <w:spacing w:before="19"/>
              <w:ind w:left="57" w:right="18"/>
              <w:rPr>
                <w:sz w:val="14"/>
              </w:rPr>
            </w:pPr>
            <w:r>
              <w:rPr>
                <w:color w:val="231F20"/>
                <w:sz w:val="14"/>
              </w:rPr>
              <w:t xml:space="preserve">Зато настава </w:t>
            </w:r>
            <w:r>
              <w:rPr>
                <w:i/>
                <w:color w:val="231F20"/>
                <w:sz w:val="14"/>
              </w:rPr>
              <w:t xml:space="preserve">српског као нема- терњег језики </w:t>
            </w:r>
            <w:r>
              <w:rPr>
                <w:color w:val="231F20"/>
                <w:sz w:val="14"/>
              </w:rPr>
              <w:t>не може бити једнообразна и у њој се морају уважавати различите могућности и употребе ученика различитих сре­ дина и различитих матерњих јези­ ка. При том се у наставу наглашено укључује принцип индивидуали­ зације и спровођење диференцира­ ног рада на раз</w:t>
            </w:r>
            <w:r>
              <w:rPr>
                <w:color w:val="231F20"/>
                <w:sz w:val="14"/>
              </w:rPr>
              <w:t>личитим нивоима ученичког знања.</w:t>
            </w:r>
          </w:p>
          <w:p w:rsidR="00041039" w:rsidRDefault="001B26CB">
            <w:pPr>
              <w:pStyle w:val="TableParagraph"/>
              <w:spacing w:line="150" w:lineRule="exact"/>
              <w:ind w:left="57"/>
              <w:rPr>
                <w:sz w:val="14"/>
              </w:rPr>
            </w:pPr>
            <w:r>
              <w:rPr>
                <w:color w:val="231F20"/>
                <w:sz w:val="14"/>
              </w:rPr>
              <w:t>С обзиром на то даје основни циљ</w:t>
            </w:r>
          </w:p>
          <w:p w:rsidR="00041039" w:rsidRDefault="001B26CB">
            <w:pPr>
              <w:pStyle w:val="TableParagraph"/>
              <w:ind w:left="57" w:right="43"/>
              <w:rPr>
                <w:sz w:val="14"/>
              </w:rPr>
            </w:pPr>
            <w:r>
              <w:rPr>
                <w:color w:val="231F20"/>
                <w:sz w:val="14"/>
              </w:rPr>
              <w:t>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w:t>
            </w:r>
            <w:r>
              <w:rPr>
                <w:color w:val="231F20"/>
                <w:sz w:val="14"/>
              </w:rPr>
              <w:t>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line="237" w:lineRule="auto"/>
              <w:ind w:left="57" w:right="112"/>
              <w:rPr>
                <w:sz w:val="14"/>
              </w:rPr>
            </w:pPr>
            <w:r>
              <w:rPr>
                <w:color w:val="231F20"/>
                <w:sz w:val="14"/>
              </w:rPr>
              <w:t xml:space="preserve">Садржаји програма из граматике повезани су са садржајима грама­ тике у основној </w:t>
            </w:r>
            <w:r>
              <w:rPr>
                <w:color w:val="231F20"/>
                <w:spacing w:val="-3"/>
                <w:sz w:val="14"/>
              </w:rPr>
              <w:t xml:space="preserve">школи, </w:t>
            </w:r>
            <w:r>
              <w:rPr>
                <w:color w:val="231F20"/>
                <w:sz w:val="14"/>
              </w:rPr>
              <w:t>којима се сада приступа когнитивно. Тиме се знања употпуњују и подижу на виши ниво, коригују се</w:t>
            </w:r>
            <w:r>
              <w:rPr>
                <w:color w:val="231F20"/>
                <w:spacing w:val="-19"/>
                <w:sz w:val="14"/>
              </w:rPr>
              <w:t xml:space="preserve"> </w:t>
            </w:r>
            <w:r>
              <w:rPr>
                <w:color w:val="231F20"/>
                <w:sz w:val="14"/>
              </w:rPr>
              <w:t xml:space="preserve">евентуалне грешке </w:t>
            </w:r>
            <w:r>
              <w:rPr>
                <w:color w:val="231F20"/>
                <w:sz w:val="14"/>
              </w:rPr>
              <w:t>настале услед интерферен­ ције матерњег језика и</w:t>
            </w:r>
            <w:r>
              <w:rPr>
                <w:color w:val="231F20"/>
                <w:spacing w:val="-17"/>
                <w:sz w:val="14"/>
              </w:rPr>
              <w:t xml:space="preserve"> </w:t>
            </w:r>
            <w:r>
              <w:rPr>
                <w:color w:val="231F20"/>
                <w:sz w:val="14"/>
              </w:rPr>
              <w:t>недовољно</w:t>
            </w:r>
          </w:p>
          <w:p w:rsidR="00041039" w:rsidRDefault="001B26CB">
            <w:pPr>
              <w:pStyle w:val="TableParagraph"/>
              <w:ind w:left="57"/>
              <w:rPr>
                <w:sz w:val="14"/>
              </w:rPr>
            </w:pPr>
            <w:r>
              <w:rPr>
                <w:color w:val="231F20"/>
                <w:sz w:val="14"/>
              </w:rPr>
              <w:t>савладаних садржаја из претходних разреда.</w:t>
            </w:r>
          </w:p>
          <w:p w:rsidR="00041039" w:rsidRDefault="001B26CB">
            <w:pPr>
              <w:pStyle w:val="TableParagraph"/>
              <w:ind w:left="57" w:right="54"/>
              <w:rPr>
                <w:sz w:val="14"/>
              </w:rPr>
            </w:pPr>
            <w:r>
              <w:rPr>
                <w:color w:val="231F20"/>
                <w:sz w:val="14"/>
              </w:rPr>
              <w:t xml:space="preserve">Наставу граматике треба организо­ вати као средство учења употребе језика, без нефункционалног учења граматичких правила и парадигми, Граматичке елементе </w:t>
            </w:r>
            <w:r>
              <w:rPr>
                <w:color w:val="231F20"/>
                <w:sz w:val="14"/>
              </w:rPr>
              <w:t>треба презен­ товати и увежбавати у контексту, у реалним говорним ситуацијама.</w:t>
            </w:r>
          </w:p>
          <w:p w:rsidR="00041039" w:rsidRDefault="001B26CB">
            <w:pPr>
              <w:pStyle w:val="TableParagraph"/>
              <w:spacing w:line="237" w:lineRule="auto"/>
              <w:ind w:left="57"/>
              <w:rPr>
                <w:sz w:val="14"/>
              </w:rPr>
            </w:pPr>
            <w:r>
              <w:rPr>
                <w:color w:val="231F20"/>
                <w:sz w:val="14"/>
              </w:rPr>
              <w:t>Настава српског као нематерњег језика мора бити хуманистички оријентисана и богата како језич­ ким тако и садржајима из културе. Поред језичких, морају бити за­ ступљени књижевни, уметнички, стручни и други потребни типови текстова.</w:t>
            </w:r>
          </w:p>
          <w:p w:rsidR="00041039" w:rsidRDefault="001B26CB">
            <w:pPr>
              <w:pStyle w:val="TableParagraph"/>
              <w:ind w:left="57" w:right="32"/>
              <w:rPr>
                <w:sz w:val="14"/>
              </w:rPr>
            </w:pPr>
            <w:r>
              <w:rPr>
                <w:color w:val="231F20"/>
                <w:sz w:val="14"/>
              </w:rPr>
              <w:t>У оквиру часова књижевн</w:t>
            </w:r>
            <w:r>
              <w:rPr>
                <w:color w:val="231F20"/>
                <w:sz w:val="14"/>
              </w:rPr>
              <w:t>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друге пригодне текстове (научне, стручне...) преко којих ће ученици упознати различи</w:t>
            </w:r>
            <w:r>
              <w:rPr>
                <w:color w:val="231F20"/>
                <w:sz w:val="14"/>
              </w:rPr>
              <w:t>­ те форме изражавања у књижевном делу, различите функционалне стилове и врсте текстова.</w:t>
            </w:r>
          </w:p>
          <w:p w:rsidR="00041039" w:rsidRDefault="001B26CB">
            <w:pPr>
              <w:pStyle w:val="TableParagraph"/>
              <w:spacing w:line="149" w:lineRule="exact"/>
              <w:ind w:left="57"/>
              <w:rPr>
                <w:sz w:val="14"/>
              </w:rPr>
            </w:pPr>
            <w:r>
              <w:rPr>
                <w:color w:val="231F20"/>
                <w:sz w:val="14"/>
              </w:rPr>
              <w:t>Изузетну пажњу треба посветити</w:t>
            </w:r>
          </w:p>
          <w:p w:rsidR="00041039" w:rsidRDefault="001B26CB">
            <w:pPr>
              <w:pStyle w:val="TableParagraph"/>
              <w:ind w:left="57" w:right="8"/>
              <w:rPr>
                <w:sz w:val="14"/>
              </w:rPr>
            </w:pPr>
            <w:r>
              <w:rPr>
                <w:color w:val="231F20"/>
                <w:sz w:val="14"/>
              </w:rPr>
              <w:t>мотивацији ученика за рад органи­ зовањем различитих метода и обли­ ка рада и разноврсним лексичким, граматичким и комуникативним вежбам</w:t>
            </w:r>
            <w:r>
              <w:rPr>
                <w:color w:val="231F20"/>
                <w:sz w:val="14"/>
              </w:rPr>
              <w:t>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7" w:right="104"/>
              <w:rPr>
                <w:sz w:val="14"/>
              </w:rPr>
            </w:pPr>
            <w:r>
              <w:rPr>
                <w:i/>
                <w:color w:val="231F20"/>
                <w:sz w:val="14"/>
              </w:rPr>
              <w:t xml:space="preserve">Посебне напомене </w:t>
            </w:r>
            <w:r>
              <w:rPr>
                <w:color w:val="231F20"/>
                <w:sz w:val="14"/>
              </w:rPr>
              <w:t>за остваривање појединих садржаја у оквиру тема.</w:t>
            </w:r>
          </w:p>
          <w:p w:rsidR="00041039" w:rsidRDefault="001B26CB">
            <w:pPr>
              <w:pStyle w:val="TableParagraph"/>
              <w:numPr>
                <w:ilvl w:val="0"/>
                <w:numId w:val="1499"/>
              </w:numPr>
              <w:tabs>
                <w:tab w:val="left" w:pos="158"/>
              </w:tabs>
              <w:spacing w:line="237" w:lineRule="auto"/>
              <w:ind w:right="52"/>
              <w:rPr>
                <w:sz w:val="14"/>
              </w:rPr>
            </w:pPr>
            <w:r>
              <w:rPr>
                <w:color w:val="231F20"/>
                <w:sz w:val="14"/>
              </w:rPr>
              <w:t xml:space="preserve">У оквиру фонетике обратити пажњу на разлику у акценту </w:t>
            </w:r>
            <w:r>
              <w:rPr>
                <w:color w:val="231F20"/>
                <w:sz w:val="14"/>
              </w:rPr>
              <w:t>речи између матерњег и српског</w:t>
            </w:r>
            <w:r>
              <w:rPr>
                <w:color w:val="231F20"/>
                <w:spacing w:val="-24"/>
                <w:sz w:val="14"/>
              </w:rPr>
              <w:t xml:space="preserve"> </w:t>
            </w:r>
            <w:r>
              <w:rPr>
                <w:color w:val="231F20"/>
                <w:sz w:val="14"/>
              </w:rPr>
              <w:t>језика.</w:t>
            </w:r>
          </w:p>
          <w:p w:rsidR="00041039" w:rsidRDefault="001B26CB">
            <w:pPr>
              <w:pStyle w:val="TableParagraph"/>
              <w:numPr>
                <w:ilvl w:val="0"/>
                <w:numId w:val="1499"/>
              </w:numPr>
              <w:tabs>
                <w:tab w:val="left" w:pos="158"/>
              </w:tabs>
              <w:spacing w:line="237" w:lineRule="auto"/>
              <w:ind w:right="42"/>
              <w:rPr>
                <w:sz w:val="14"/>
              </w:rPr>
            </w:pPr>
            <w:r>
              <w:rPr>
                <w:color w:val="231F20"/>
                <w:sz w:val="14"/>
              </w:rPr>
              <w:t>У садржајима морфологије</w:t>
            </w:r>
            <w:r>
              <w:rPr>
                <w:color w:val="231F20"/>
                <w:spacing w:val="-14"/>
                <w:sz w:val="14"/>
              </w:rPr>
              <w:t xml:space="preserve"> </w:t>
            </w:r>
            <w:r>
              <w:rPr>
                <w:color w:val="231F20"/>
                <w:sz w:val="14"/>
              </w:rPr>
              <w:t>тежиш тетреба ставити на род и број именских речи (слагање именица са придевима и придевским за­ меницама).</w:t>
            </w:r>
          </w:p>
          <w:p w:rsidR="00041039" w:rsidRDefault="001B26CB">
            <w:pPr>
              <w:pStyle w:val="TableParagraph"/>
              <w:numPr>
                <w:ilvl w:val="0"/>
                <w:numId w:val="1499"/>
              </w:numPr>
              <w:tabs>
                <w:tab w:val="left" w:pos="158"/>
              </w:tabs>
              <w:spacing w:line="237" w:lineRule="auto"/>
              <w:ind w:right="185"/>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w:t>
            </w:r>
            <w:r>
              <w:rPr>
                <w:color w:val="231F20"/>
                <w:spacing w:val="-10"/>
                <w:sz w:val="14"/>
              </w:rPr>
              <w:t xml:space="preserve"> </w:t>
            </w:r>
            <w:r>
              <w:rPr>
                <w:color w:val="231F20"/>
                <w:sz w:val="14"/>
              </w:rPr>
              <w:t>речце</w:t>
            </w:r>
          </w:p>
          <w:p w:rsidR="00041039" w:rsidRDefault="001B26CB">
            <w:pPr>
              <w:pStyle w:val="TableParagraph"/>
              <w:ind w:left="157"/>
              <w:rPr>
                <w:sz w:val="14"/>
              </w:rPr>
            </w:pPr>
            <w:r>
              <w:rPr>
                <w:color w:val="231F20"/>
                <w:sz w:val="14"/>
              </w:rPr>
              <w:t>се (код најчешће коришћених глагола).</w:t>
            </w:r>
          </w:p>
          <w:p w:rsidR="00041039" w:rsidRDefault="001B26CB">
            <w:pPr>
              <w:pStyle w:val="TableParagraph"/>
              <w:numPr>
                <w:ilvl w:val="0"/>
                <w:numId w:val="1499"/>
              </w:numPr>
              <w:tabs>
                <w:tab w:val="left" w:pos="158"/>
              </w:tabs>
              <w:spacing w:line="160" w:lineRule="exact"/>
              <w:ind w:right="163"/>
              <w:jc w:val="both"/>
              <w:rPr>
                <w:sz w:val="14"/>
              </w:rPr>
            </w:pPr>
            <w:r>
              <w:rPr>
                <w:color w:val="231F20"/>
                <w:spacing w:val="-4"/>
                <w:sz w:val="14"/>
              </w:rPr>
              <w:t xml:space="preserve">Код </w:t>
            </w:r>
            <w:r>
              <w:rPr>
                <w:color w:val="231F20"/>
                <w:sz w:val="14"/>
              </w:rPr>
              <w:t>творбе речи префиксацију</w:t>
            </w:r>
            <w:r>
              <w:rPr>
                <w:color w:val="231F20"/>
                <w:spacing w:val="-7"/>
                <w:sz w:val="14"/>
              </w:rPr>
              <w:t xml:space="preserve"> </w:t>
            </w:r>
            <w:r>
              <w:rPr>
                <w:color w:val="231F20"/>
                <w:sz w:val="14"/>
              </w:rPr>
              <w:t xml:space="preserve">и суфиксацију повезати са </w:t>
            </w:r>
            <w:r>
              <w:rPr>
                <w:color w:val="231F20"/>
                <w:spacing w:val="-3"/>
                <w:sz w:val="14"/>
              </w:rPr>
              <w:t xml:space="preserve">глагол­ </w:t>
            </w:r>
            <w:r>
              <w:rPr>
                <w:color w:val="231F20"/>
                <w:sz w:val="14"/>
              </w:rPr>
              <w:t>ским</w:t>
            </w:r>
            <w:r>
              <w:rPr>
                <w:color w:val="231F20"/>
                <w:spacing w:val="-1"/>
                <w:sz w:val="14"/>
              </w:rPr>
              <w:t xml:space="preserve"> </w:t>
            </w:r>
            <w:r>
              <w:rPr>
                <w:color w:val="231F20"/>
                <w:sz w:val="14"/>
              </w:rPr>
              <w:t>видом.</w:t>
            </w:r>
          </w:p>
        </w:tc>
      </w:tr>
    </w:tbl>
    <w:p w:rsidR="00041039" w:rsidRDefault="00041039">
      <w:pPr>
        <w:spacing w:line="160" w:lineRule="exact"/>
        <w:jc w:val="both"/>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32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1498"/>
              </w:numPr>
              <w:tabs>
                <w:tab w:val="left" w:pos="158"/>
              </w:tabs>
              <w:spacing w:before="8"/>
              <w:ind w:right="484"/>
              <w:rPr>
                <w:sz w:val="14"/>
              </w:rPr>
            </w:pPr>
            <w:r>
              <w:rPr>
                <w:color w:val="231F20"/>
                <w:sz w:val="14"/>
              </w:rPr>
              <w:t>У остваривању садржаја програма који се односе</w:t>
            </w:r>
            <w:r>
              <w:rPr>
                <w:color w:val="231F20"/>
                <w:spacing w:val="-16"/>
                <w:sz w:val="14"/>
              </w:rPr>
              <w:t xml:space="preserve"> </w:t>
            </w:r>
            <w:r>
              <w:rPr>
                <w:color w:val="231F20"/>
                <w:sz w:val="14"/>
              </w:rPr>
              <w:t>на</w:t>
            </w:r>
          </w:p>
          <w:p w:rsidR="00041039" w:rsidRDefault="001B26CB">
            <w:pPr>
              <w:pStyle w:val="TableParagraph"/>
              <w:spacing w:line="237" w:lineRule="auto"/>
              <w:ind w:left="157" w:right="30"/>
              <w:rPr>
                <w:sz w:val="14"/>
              </w:rPr>
            </w:pPr>
            <w:r>
              <w:rPr>
                <w:color w:val="231F20"/>
                <w:sz w:val="14"/>
              </w:rPr>
              <w:t>падеже детаљније обрадити месна значења генитива. акузатива и локатива. Увежбавање падежа повезивати са проширивањем реченице синтагмама.</w:t>
            </w:r>
          </w:p>
          <w:p w:rsidR="00041039" w:rsidRDefault="001B26CB">
            <w:pPr>
              <w:pStyle w:val="TableParagraph"/>
              <w:numPr>
                <w:ilvl w:val="0"/>
                <w:numId w:val="1498"/>
              </w:numPr>
              <w:tabs>
                <w:tab w:val="left" w:pos="158"/>
              </w:tabs>
              <w:spacing w:line="237" w:lineRule="auto"/>
              <w:ind w:right="117"/>
              <w:rPr>
                <w:sz w:val="14"/>
              </w:rPr>
            </w:pPr>
            <w:r>
              <w:rPr>
                <w:color w:val="231F20"/>
                <w:sz w:val="14"/>
              </w:rPr>
              <w:t xml:space="preserve">Обратити пажњу на структуру реченице и </w:t>
            </w:r>
            <w:r>
              <w:rPr>
                <w:color w:val="231F20"/>
                <w:spacing w:val="-3"/>
                <w:sz w:val="14"/>
              </w:rPr>
              <w:t>њихову</w:t>
            </w:r>
            <w:r>
              <w:rPr>
                <w:color w:val="231F20"/>
                <w:spacing w:val="-17"/>
                <w:sz w:val="14"/>
              </w:rPr>
              <w:t xml:space="preserve"> </w:t>
            </w:r>
            <w:r>
              <w:rPr>
                <w:color w:val="231F20"/>
                <w:sz w:val="14"/>
              </w:rPr>
              <w:t>комуникатив­ ну</w:t>
            </w:r>
            <w:r>
              <w:rPr>
                <w:color w:val="231F20"/>
                <w:spacing w:val="-2"/>
                <w:sz w:val="14"/>
              </w:rPr>
              <w:t xml:space="preserve"> </w:t>
            </w:r>
            <w:r>
              <w:rPr>
                <w:color w:val="231F20"/>
                <w:sz w:val="14"/>
              </w:rPr>
              <w:t>функцију.</w:t>
            </w:r>
          </w:p>
          <w:p w:rsidR="00041039" w:rsidRDefault="001B26CB">
            <w:pPr>
              <w:pStyle w:val="TableParagraph"/>
              <w:numPr>
                <w:ilvl w:val="0"/>
                <w:numId w:val="1498"/>
              </w:numPr>
              <w:tabs>
                <w:tab w:val="left" w:pos="158"/>
              </w:tabs>
              <w:spacing w:line="237" w:lineRule="auto"/>
              <w:ind w:right="110"/>
              <w:rPr>
                <w:sz w:val="14"/>
              </w:rPr>
            </w:pPr>
            <w:r>
              <w:rPr>
                <w:color w:val="231F20"/>
                <w:spacing w:val="-4"/>
                <w:sz w:val="14"/>
              </w:rPr>
              <w:t xml:space="preserve">Код </w:t>
            </w:r>
            <w:r>
              <w:rPr>
                <w:color w:val="231F20"/>
                <w:sz w:val="14"/>
              </w:rPr>
              <w:t>глаголских облика</w:t>
            </w:r>
            <w:r>
              <w:rPr>
                <w:color w:val="231F20"/>
                <w:spacing w:val="-27"/>
                <w:sz w:val="14"/>
              </w:rPr>
              <w:t xml:space="preserve"> </w:t>
            </w:r>
            <w:r>
              <w:rPr>
                <w:color w:val="231F20"/>
                <w:sz w:val="14"/>
              </w:rPr>
              <w:t>увежбава­ ти презент, пе</w:t>
            </w:r>
            <w:r>
              <w:rPr>
                <w:color w:val="231F20"/>
                <w:sz w:val="14"/>
              </w:rPr>
              <w:t>рфекат и футур</w:t>
            </w:r>
            <w:r>
              <w:rPr>
                <w:color w:val="231F20"/>
                <w:spacing w:val="-20"/>
                <w:sz w:val="14"/>
              </w:rPr>
              <w:t xml:space="preserve"> </w:t>
            </w:r>
            <w:r>
              <w:rPr>
                <w:color w:val="231F20"/>
                <w:sz w:val="14"/>
              </w:rPr>
              <w:t>I.</w:t>
            </w:r>
          </w:p>
          <w:p w:rsidR="00041039" w:rsidRDefault="001B26CB">
            <w:pPr>
              <w:pStyle w:val="TableParagraph"/>
              <w:numPr>
                <w:ilvl w:val="0"/>
                <w:numId w:val="1498"/>
              </w:numPr>
              <w:tabs>
                <w:tab w:val="left" w:pos="158"/>
              </w:tabs>
              <w:spacing w:line="160" w:lineRule="exact"/>
              <w:ind w:right="204"/>
              <w:jc w:val="both"/>
              <w:rPr>
                <w:sz w:val="14"/>
              </w:rPr>
            </w:pPr>
            <w:r>
              <w:rPr>
                <w:color w:val="231F20"/>
                <w:sz w:val="14"/>
              </w:rPr>
              <w:t xml:space="preserve">У области </w:t>
            </w:r>
            <w:r>
              <w:rPr>
                <w:b/>
                <w:color w:val="231F20"/>
                <w:sz w:val="14"/>
              </w:rPr>
              <w:t xml:space="preserve">правописа </w:t>
            </w:r>
            <w:r>
              <w:rPr>
                <w:color w:val="231F20"/>
                <w:sz w:val="14"/>
              </w:rPr>
              <w:t>обавезно треба увежбавати писање</w:t>
            </w:r>
            <w:r>
              <w:rPr>
                <w:color w:val="231F20"/>
                <w:spacing w:val="-13"/>
                <w:sz w:val="14"/>
              </w:rPr>
              <w:t xml:space="preserve"> </w:t>
            </w:r>
            <w:r>
              <w:rPr>
                <w:color w:val="231F20"/>
                <w:sz w:val="14"/>
              </w:rPr>
              <w:t>речце не.</w:t>
            </w:r>
          </w:p>
          <w:p w:rsidR="00041039" w:rsidRDefault="001B26CB">
            <w:pPr>
              <w:pStyle w:val="TableParagraph"/>
              <w:numPr>
                <w:ilvl w:val="0"/>
                <w:numId w:val="1498"/>
              </w:numPr>
              <w:tabs>
                <w:tab w:val="left" w:pos="158"/>
              </w:tabs>
              <w:spacing w:line="160" w:lineRule="exact"/>
              <w:ind w:right="85"/>
              <w:rPr>
                <w:sz w:val="14"/>
              </w:rPr>
            </w:pPr>
            <w:r>
              <w:rPr>
                <w:color w:val="231F20"/>
                <w:sz w:val="14"/>
              </w:rPr>
              <w:t xml:space="preserve">У тематици </w:t>
            </w:r>
            <w:r>
              <w:rPr>
                <w:b/>
                <w:color w:val="231F20"/>
                <w:sz w:val="14"/>
              </w:rPr>
              <w:t>књижевност</w:t>
            </w:r>
            <w:r>
              <w:rPr>
                <w:color w:val="231F20"/>
                <w:sz w:val="14"/>
              </w:rPr>
              <w:t xml:space="preserve">, међу седам књижевних дела обавезних за </w:t>
            </w:r>
            <w:r>
              <w:rPr>
                <w:color w:val="231F20"/>
                <w:spacing w:val="-3"/>
                <w:sz w:val="14"/>
              </w:rPr>
              <w:t xml:space="preserve">обраду, </w:t>
            </w:r>
            <w:r>
              <w:rPr>
                <w:color w:val="231F20"/>
                <w:sz w:val="14"/>
              </w:rPr>
              <w:t>укључити дела из на­ родне</w:t>
            </w:r>
            <w:r>
              <w:rPr>
                <w:color w:val="231F20"/>
                <w:spacing w:val="-1"/>
                <w:sz w:val="14"/>
              </w:rPr>
              <w:t xml:space="preserve"> </w:t>
            </w:r>
            <w:r>
              <w:rPr>
                <w:color w:val="231F20"/>
                <w:sz w:val="14"/>
              </w:rPr>
              <w:t>књижевности.</w:t>
            </w:r>
          </w:p>
          <w:p w:rsidR="00041039" w:rsidRDefault="001B26CB">
            <w:pPr>
              <w:pStyle w:val="TableParagraph"/>
              <w:numPr>
                <w:ilvl w:val="0"/>
                <w:numId w:val="1498"/>
              </w:numPr>
              <w:tabs>
                <w:tab w:val="left" w:pos="158"/>
              </w:tabs>
              <w:spacing w:line="160" w:lineRule="exact"/>
              <w:ind w:right="270"/>
              <w:rPr>
                <w:sz w:val="14"/>
              </w:rPr>
            </w:pPr>
            <w:r>
              <w:rPr>
                <w:color w:val="231F20"/>
                <w:sz w:val="14"/>
              </w:rPr>
              <w:t>Приликом интерпретације књижевноуметничких тексто­ ва, указивати на особености књижевних родова и врста</w:t>
            </w:r>
            <w:r>
              <w:rPr>
                <w:color w:val="231F20"/>
                <w:spacing w:val="-15"/>
                <w:sz w:val="14"/>
              </w:rPr>
              <w:t xml:space="preserve"> </w:t>
            </w:r>
            <w:r>
              <w:rPr>
                <w:color w:val="231F20"/>
                <w:sz w:val="14"/>
              </w:rPr>
              <w:t>као и на језичко ­ стилске одлике књижевних</w:t>
            </w:r>
            <w:r>
              <w:rPr>
                <w:color w:val="231F20"/>
                <w:spacing w:val="-1"/>
                <w:sz w:val="14"/>
              </w:rPr>
              <w:t xml:space="preserve"> </w:t>
            </w:r>
            <w:r>
              <w:rPr>
                <w:color w:val="231F20"/>
                <w:sz w:val="14"/>
              </w:rPr>
              <w:t>дела.</w:t>
            </w:r>
          </w:p>
          <w:p w:rsidR="00041039" w:rsidRDefault="001B26CB">
            <w:pPr>
              <w:pStyle w:val="TableParagraph"/>
              <w:numPr>
                <w:ilvl w:val="0"/>
                <w:numId w:val="1498"/>
              </w:numPr>
              <w:tabs>
                <w:tab w:val="left" w:pos="158"/>
              </w:tabs>
              <w:spacing w:line="160" w:lineRule="exact"/>
              <w:ind w:right="97"/>
              <w:rPr>
                <w:sz w:val="14"/>
              </w:rPr>
            </w:pPr>
            <w:r>
              <w:rPr>
                <w:color w:val="231F20"/>
                <w:sz w:val="14"/>
              </w:rPr>
              <w:t>На примерима текстова српске књижевности обнављати и систематизовати садржаје из историје књижевности, теорије књижевности и књижевне кри­ тике, које ученик познаје из про­ грама прописаног за</w:t>
            </w:r>
            <w:r>
              <w:rPr>
                <w:color w:val="231F20"/>
                <w:spacing w:val="-15"/>
                <w:sz w:val="14"/>
              </w:rPr>
              <w:t xml:space="preserve"> </w:t>
            </w:r>
            <w:r>
              <w:rPr>
                <w:color w:val="231F20"/>
                <w:sz w:val="14"/>
              </w:rPr>
              <w:t>савладавање његовог матерњег</w:t>
            </w:r>
            <w:r>
              <w:rPr>
                <w:color w:val="231F20"/>
                <w:spacing w:val="-3"/>
                <w:sz w:val="14"/>
              </w:rPr>
              <w:t xml:space="preserve"> </w:t>
            </w:r>
            <w:r>
              <w:rPr>
                <w:color w:val="231F20"/>
                <w:sz w:val="14"/>
              </w:rPr>
              <w:t>језика.</w:t>
            </w:r>
          </w:p>
        </w:tc>
      </w:tr>
    </w:tbl>
    <w:p w:rsidR="00041039" w:rsidRDefault="00041039">
      <w:pPr>
        <w:pStyle w:val="BodyText"/>
        <w:spacing w:before="6"/>
        <w:rPr>
          <w:b/>
          <w:sz w:val="18"/>
        </w:rPr>
      </w:pPr>
    </w:p>
    <w:p w:rsidR="00041039" w:rsidRDefault="001B26CB">
      <w:pPr>
        <w:tabs>
          <w:tab w:val="left" w:pos="1460"/>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К</w:t>
      </w:r>
      <w:r>
        <w:rPr>
          <w:b/>
          <w:color w:val="231F20"/>
          <w:spacing w:val="-3"/>
          <w:sz w:val="14"/>
        </w:rPr>
        <w:t xml:space="preserve">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0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1497"/>
              </w:numPr>
              <w:tabs>
                <w:tab w:val="left" w:pos="157"/>
              </w:tabs>
              <w:spacing w:before="8"/>
              <w:ind w:right="119"/>
              <w:rPr>
                <w:sz w:val="14"/>
              </w:rPr>
            </w:pPr>
            <w:r>
              <w:rPr>
                <w:color w:val="231F20"/>
                <w:sz w:val="14"/>
              </w:rPr>
              <w:t>Оспособљавање уче­ ника за</w:t>
            </w:r>
            <w:r>
              <w:rPr>
                <w:color w:val="231F20"/>
                <w:spacing w:val="-15"/>
                <w:sz w:val="14"/>
              </w:rPr>
              <w:t xml:space="preserve"> </w:t>
            </w:r>
            <w:r>
              <w:rPr>
                <w:color w:val="231F20"/>
                <w:sz w:val="14"/>
              </w:rPr>
              <w:t>препознавање акценатских</w:t>
            </w:r>
            <w:r>
              <w:rPr>
                <w:color w:val="231F20"/>
                <w:spacing w:val="-3"/>
                <w:sz w:val="14"/>
              </w:rPr>
              <w:t xml:space="preserve"> </w:t>
            </w:r>
            <w:r>
              <w:rPr>
                <w:color w:val="231F20"/>
                <w:sz w:val="14"/>
              </w:rPr>
              <w:t>целина.</w:t>
            </w:r>
          </w:p>
          <w:p w:rsidR="00041039" w:rsidRDefault="001B26CB">
            <w:pPr>
              <w:pStyle w:val="TableParagraph"/>
              <w:numPr>
                <w:ilvl w:val="0"/>
                <w:numId w:val="1497"/>
              </w:numPr>
              <w:tabs>
                <w:tab w:val="left" w:pos="157"/>
              </w:tabs>
              <w:spacing w:line="157" w:lineRule="exact"/>
              <w:rPr>
                <w:sz w:val="14"/>
              </w:rPr>
            </w:pPr>
            <w:r>
              <w:rPr>
                <w:color w:val="231F20"/>
                <w:sz w:val="14"/>
              </w:rPr>
              <w:t>Оспособљавање</w:t>
            </w:r>
          </w:p>
          <w:p w:rsidR="00041039" w:rsidRDefault="001B26CB">
            <w:pPr>
              <w:pStyle w:val="TableParagraph"/>
              <w:ind w:right="215"/>
              <w:rPr>
                <w:sz w:val="14"/>
              </w:rPr>
            </w:pPr>
            <w:r>
              <w:rPr>
                <w:color w:val="231F20"/>
                <w:sz w:val="14"/>
              </w:rPr>
              <w:t>ученика за примену гласовних промена.</w:t>
            </w:r>
          </w:p>
        </w:tc>
        <w:tc>
          <w:tcPr>
            <w:tcW w:w="2551" w:type="dxa"/>
          </w:tcPr>
          <w:p w:rsidR="00041039" w:rsidRDefault="001B26CB">
            <w:pPr>
              <w:pStyle w:val="TableParagraph"/>
              <w:numPr>
                <w:ilvl w:val="0"/>
                <w:numId w:val="1496"/>
              </w:numPr>
              <w:tabs>
                <w:tab w:val="left" w:pos="157"/>
              </w:tabs>
              <w:spacing w:before="8"/>
              <w:ind w:right="155" w:hanging="99"/>
              <w:rPr>
                <w:sz w:val="14"/>
              </w:rPr>
            </w:pPr>
            <w:r>
              <w:rPr>
                <w:color w:val="231F20"/>
                <w:sz w:val="14"/>
              </w:rPr>
              <w:t>уочава разлику између акцентоване</w:t>
            </w:r>
            <w:r>
              <w:rPr>
                <w:color w:val="231F20"/>
                <w:spacing w:val="-19"/>
                <w:sz w:val="14"/>
              </w:rPr>
              <w:t xml:space="preserve"> </w:t>
            </w:r>
            <w:r>
              <w:rPr>
                <w:color w:val="231F20"/>
                <w:sz w:val="14"/>
              </w:rPr>
              <w:t>и неакцентоване речи и групе</w:t>
            </w:r>
            <w:r>
              <w:rPr>
                <w:color w:val="231F20"/>
                <w:spacing w:val="-7"/>
                <w:sz w:val="14"/>
              </w:rPr>
              <w:t xml:space="preserve"> </w:t>
            </w:r>
            <w:r>
              <w:rPr>
                <w:color w:val="231F20"/>
                <w:sz w:val="14"/>
              </w:rPr>
              <w:t>речи;</w:t>
            </w:r>
          </w:p>
          <w:p w:rsidR="00041039" w:rsidRDefault="001B26CB">
            <w:pPr>
              <w:pStyle w:val="TableParagraph"/>
              <w:numPr>
                <w:ilvl w:val="0"/>
                <w:numId w:val="1496"/>
              </w:numPr>
              <w:tabs>
                <w:tab w:val="left" w:pos="157"/>
              </w:tabs>
              <w:spacing w:line="160"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numPr>
                <w:ilvl w:val="0"/>
                <w:numId w:val="1495"/>
              </w:numPr>
              <w:tabs>
                <w:tab w:val="left" w:pos="157"/>
              </w:tabs>
              <w:spacing w:before="8" w:line="166" w:lineRule="exact"/>
              <w:ind w:hanging="99"/>
              <w:rPr>
                <w:sz w:val="14"/>
              </w:rPr>
            </w:pPr>
            <w:r>
              <w:rPr>
                <w:color w:val="231F20"/>
                <w:sz w:val="14"/>
              </w:rPr>
              <w:t>Проклитике,</w:t>
            </w:r>
            <w:r>
              <w:rPr>
                <w:color w:val="231F20"/>
                <w:spacing w:val="-1"/>
                <w:sz w:val="14"/>
              </w:rPr>
              <w:t xml:space="preserve"> </w:t>
            </w:r>
            <w:r>
              <w:rPr>
                <w:color w:val="231F20"/>
                <w:sz w:val="14"/>
              </w:rPr>
              <w:t>енклитике.</w:t>
            </w:r>
          </w:p>
          <w:p w:rsidR="00041039" w:rsidRDefault="001B26CB">
            <w:pPr>
              <w:pStyle w:val="TableParagraph"/>
              <w:numPr>
                <w:ilvl w:val="0"/>
                <w:numId w:val="1495"/>
              </w:numPr>
              <w:tabs>
                <w:tab w:val="left" w:pos="157"/>
              </w:tabs>
              <w:spacing w:line="160" w:lineRule="exact"/>
              <w:ind w:hanging="99"/>
              <w:rPr>
                <w:sz w:val="14"/>
              </w:rPr>
            </w:pPr>
            <w:r>
              <w:rPr>
                <w:color w:val="231F20"/>
                <w:sz w:val="14"/>
              </w:rPr>
              <w:t>Непостојано</w:t>
            </w:r>
            <w:r>
              <w:rPr>
                <w:color w:val="231F20"/>
                <w:spacing w:val="-1"/>
                <w:sz w:val="14"/>
              </w:rPr>
              <w:t xml:space="preserve"> </w:t>
            </w:r>
            <w:r>
              <w:rPr>
                <w:color w:val="231F20"/>
                <w:sz w:val="14"/>
              </w:rPr>
              <w:t>а.</w:t>
            </w:r>
          </w:p>
          <w:p w:rsidR="00041039" w:rsidRDefault="001B26CB">
            <w:pPr>
              <w:pStyle w:val="TableParagraph"/>
              <w:numPr>
                <w:ilvl w:val="0"/>
                <w:numId w:val="1495"/>
              </w:numPr>
              <w:tabs>
                <w:tab w:val="left" w:pos="157"/>
              </w:tabs>
              <w:spacing w:line="166" w:lineRule="exact"/>
              <w:ind w:hanging="99"/>
              <w:rPr>
                <w:sz w:val="14"/>
              </w:rPr>
            </w:pPr>
            <w:r>
              <w:rPr>
                <w:color w:val="231F20"/>
                <w:sz w:val="14"/>
              </w:rPr>
              <w:t>Губљење</w:t>
            </w:r>
            <w:r>
              <w:rPr>
                <w:color w:val="231F20"/>
                <w:spacing w:val="-1"/>
                <w:sz w:val="14"/>
              </w:rPr>
              <w:t xml:space="preserve"> </w:t>
            </w:r>
            <w:r>
              <w:rPr>
                <w:color w:val="231F20"/>
                <w:sz w:val="14"/>
              </w:rPr>
              <w:t>сугласника.</w:t>
            </w:r>
          </w:p>
        </w:tc>
        <w:tc>
          <w:tcPr>
            <w:tcW w:w="2267" w:type="dxa"/>
            <w:vMerge w:val="restart"/>
          </w:tcPr>
          <w:p w:rsidR="00041039" w:rsidRDefault="001B26CB">
            <w:pPr>
              <w:pStyle w:val="TableParagraph"/>
              <w:numPr>
                <w:ilvl w:val="0"/>
                <w:numId w:val="1494"/>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494"/>
              </w:numPr>
              <w:tabs>
                <w:tab w:val="left" w:pos="158"/>
              </w:tabs>
              <w:spacing w:line="160" w:lineRule="exact"/>
              <w:ind w:right="156" w:hanging="99"/>
              <w:rPr>
                <w:b/>
                <w:sz w:val="14"/>
              </w:rPr>
            </w:pPr>
            <w:r>
              <w:rPr>
                <w:color w:val="231F20"/>
                <w:sz w:val="14"/>
              </w:rPr>
              <w:t>теоријска наставаса вежбама</w:t>
            </w:r>
            <w:r>
              <w:rPr>
                <w:color w:val="231F20"/>
                <w:spacing w:val="-10"/>
                <w:sz w:val="14"/>
              </w:rPr>
              <w:t xml:space="preserve"> </w:t>
            </w:r>
            <w:r>
              <w:rPr>
                <w:b/>
                <w:color w:val="231F20"/>
                <w:sz w:val="14"/>
              </w:rPr>
              <w:t>(70 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494"/>
              </w:numPr>
              <w:tabs>
                <w:tab w:val="left" w:pos="158"/>
              </w:tabs>
              <w:spacing w:line="166"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494"/>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494"/>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494"/>
              </w:numPr>
              <w:tabs>
                <w:tab w:val="left" w:pos="158"/>
              </w:tabs>
              <w:spacing w:line="160" w:lineRule="exact"/>
              <w:ind w:hanging="99"/>
              <w:rPr>
                <w:b/>
                <w:sz w:val="14"/>
              </w:rPr>
            </w:pPr>
            <w:r>
              <w:rPr>
                <w:color w:val="231F20"/>
                <w:sz w:val="14"/>
              </w:rPr>
              <w:t xml:space="preserve">фонетика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1494"/>
              </w:numPr>
              <w:tabs>
                <w:tab w:val="left" w:pos="158"/>
              </w:tabs>
              <w:spacing w:line="237" w:lineRule="auto"/>
              <w:ind w:right="49" w:hanging="99"/>
              <w:rPr>
                <w:b/>
                <w:sz w:val="14"/>
              </w:rPr>
            </w:pPr>
            <w:r>
              <w:rPr>
                <w:color w:val="231F20"/>
                <w:sz w:val="14"/>
              </w:rPr>
              <w:t xml:space="preserve">морфологија и морфосинтакса </w:t>
            </w:r>
            <w:r>
              <w:rPr>
                <w:b/>
                <w:color w:val="231F20"/>
                <w:sz w:val="14"/>
              </w:rPr>
              <w:t>(15 часова)</w:t>
            </w:r>
          </w:p>
          <w:p w:rsidR="00041039" w:rsidRDefault="001B26CB">
            <w:pPr>
              <w:pStyle w:val="TableParagraph"/>
              <w:numPr>
                <w:ilvl w:val="0"/>
                <w:numId w:val="1494"/>
              </w:numPr>
              <w:tabs>
                <w:tab w:val="left" w:pos="158"/>
              </w:tabs>
              <w:spacing w:line="155" w:lineRule="exact"/>
              <w:ind w:hanging="99"/>
              <w:rPr>
                <w:b/>
                <w:sz w:val="14"/>
              </w:rPr>
            </w:pPr>
            <w:r>
              <w:rPr>
                <w:color w:val="231F20"/>
                <w:sz w:val="14"/>
              </w:rPr>
              <w:t xml:space="preserve">творба речи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1494"/>
              </w:numPr>
              <w:tabs>
                <w:tab w:val="left" w:pos="158"/>
              </w:tabs>
              <w:spacing w:line="160" w:lineRule="exact"/>
              <w:ind w:hanging="99"/>
              <w:rPr>
                <w:b/>
                <w:sz w:val="14"/>
              </w:rPr>
            </w:pPr>
            <w:r>
              <w:rPr>
                <w:color w:val="231F20"/>
                <w:sz w:val="14"/>
              </w:rPr>
              <w:t xml:space="preserve">синтакса </w:t>
            </w:r>
            <w:r>
              <w:rPr>
                <w:b/>
                <w:color w:val="231F20"/>
                <w:sz w:val="14"/>
              </w:rPr>
              <w:t>(9</w:t>
            </w:r>
            <w:r>
              <w:rPr>
                <w:b/>
                <w:color w:val="231F20"/>
                <w:spacing w:val="-2"/>
                <w:sz w:val="14"/>
              </w:rPr>
              <w:t xml:space="preserve"> </w:t>
            </w:r>
            <w:r>
              <w:rPr>
                <w:b/>
                <w:color w:val="231F20"/>
                <w:sz w:val="14"/>
              </w:rPr>
              <w:t>часова)</w:t>
            </w:r>
          </w:p>
          <w:p w:rsidR="00041039" w:rsidRDefault="001B26CB">
            <w:pPr>
              <w:pStyle w:val="TableParagraph"/>
              <w:numPr>
                <w:ilvl w:val="0"/>
                <w:numId w:val="1494"/>
              </w:numPr>
              <w:tabs>
                <w:tab w:val="left" w:pos="158"/>
              </w:tabs>
              <w:spacing w:line="160" w:lineRule="exact"/>
              <w:ind w:hanging="99"/>
              <w:rPr>
                <w:b/>
                <w:sz w:val="14"/>
              </w:rPr>
            </w:pPr>
            <w:r>
              <w:rPr>
                <w:color w:val="231F20"/>
                <w:sz w:val="14"/>
              </w:rPr>
              <w:t xml:space="preserve">правопис </w:t>
            </w:r>
            <w:r>
              <w:rPr>
                <w:b/>
                <w:color w:val="231F20"/>
                <w:sz w:val="14"/>
              </w:rPr>
              <w:t>(4</w:t>
            </w:r>
            <w:r>
              <w:rPr>
                <w:b/>
                <w:color w:val="231F20"/>
                <w:spacing w:val="-2"/>
                <w:sz w:val="14"/>
              </w:rPr>
              <w:t xml:space="preserve"> </w:t>
            </w:r>
            <w:r>
              <w:rPr>
                <w:b/>
                <w:color w:val="231F20"/>
                <w:sz w:val="14"/>
              </w:rPr>
              <w:t>часа)</w:t>
            </w:r>
          </w:p>
          <w:p w:rsidR="00041039" w:rsidRDefault="001B26CB">
            <w:pPr>
              <w:pStyle w:val="TableParagraph"/>
              <w:numPr>
                <w:ilvl w:val="0"/>
                <w:numId w:val="1494"/>
              </w:numPr>
              <w:tabs>
                <w:tab w:val="left" w:pos="158"/>
              </w:tabs>
              <w:spacing w:line="160" w:lineRule="exact"/>
              <w:ind w:hanging="99"/>
              <w:rPr>
                <w:b/>
                <w:sz w:val="14"/>
              </w:rPr>
            </w:pPr>
            <w:r>
              <w:rPr>
                <w:color w:val="231F20"/>
                <w:sz w:val="14"/>
              </w:rPr>
              <w:t xml:space="preserve">култура изражавања </w:t>
            </w:r>
            <w:r>
              <w:rPr>
                <w:b/>
                <w:color w:val="231F20"/>
                <w:sz w:val="14"/>
              </w:rPr>
              <w:t>(14</w:t>
            </w:r>
            <w:r>
              <w:rPr>
                <w:b/>
                <w:color w:val="231F20"/>
                <w:spacing w:val="-10"/>
                <w:sz w:val="14"/>
              </w:rPr>
              <w:t xml:space="preserve"> </w:t>
            </w:r>
            <w:r>
              <w:rPr>
                <w:b/>
                <w:color w:val="231F20"/>
                <w:sz w:val="14"/>
              </w:rPr>
              <w:t>часова)</w:t>
            </w:r>
          </w:p>
          <w:p w:rsidR="00041039" w:rsidRDefault="001B26CB">
            <w:pPr>
              <w:pStyle w:val="TableParagraph"/>
              <w:numPr>
                <w:ilvl w:val="0"/>
                <w:numId w:val="1494"/>
              </w:numPr>
              <w:tabs>
                <w:tab w:val="left" w:pos="158"/>
              </w:tabs>
              <w:spacing w:line="166" w:lineRule="exact"/>
              <w:ind w:hanging="99"/>
              <w:rPr>
                <w:b/>
                <w:sz w:val="14"/>
              </w:rPr>
            </w:pPr>
            <w:r>
              <w:rPr>
                <w:color w:val="231F20"/>
                <w:sz w:val="14"/>
              </w:rPr>
              <w:t xml:space="preserve">књижевност </w:t>
            </w:r>
            <w:r>
              <w:rPr>
                <w:b/>
                <w:color w:val="231F20"/>
                <w:sz w:val="14"/>
              </w:rPr>
              <w:t>(14</w:t>
            </w:r>
            <w:r>
              <w:rPr>
                <w:b/>
                <w:color w:val="231F20"/>
                <w:spacing w:val="-2"/>
                <w:sz w:val="14"/>
              </w:rPr>
              <w:t xml:space="preserve"> </w:t>
            </w:r>
            <w:r>
              <w:rPr>
                <w:b/>
                <w:color w:val="231F20"/>
                <w:sz w:val="14"/>
              </w:rPr>
              <w:t>часова)</w:t>
            </w:r>
          </w:p>
        </w:tc>
      </w:tr>
      <w:tr w:rsidR="00041039">
        <w:trPr>
          <w:trHeight w:val="1480"/>
        </w:trPr>
        <w:tc>
          <w:tcPr>
            <w:tcW w:w="1304" w:type="dxa"/>
          </w:tcPr>
          <w:p w:rsidR="00041039" w:rsidRDefault="001B26CB">
            <w:pPr>
              <w:pStyle w:val="TableParagraph"/>
              <w:spacing w:before="19"/>
              <w:ind w:left="56" w:right="301"/>
              <w:rPr>
                <w:sz w:val="14"/>
              </w:rPr>
            </w:pPr>
            <w:r>
              <w:rPr>
                <w:color w:val="231F20"/>
                <w:sz w:val="14"/>
              </w:rPr>
              <w:t>Морфологија и морфосинтакса</w:t>
            </w:r>
          </w:p>
        </w:tc>
        <w:tc>
          <w:tcPr>
            <w:tcW w:w="1587" w:type="dxa"/>
          </w:tcPr>
          <w:p w:rsidR="00041039" w:rsidRDefault="001B26CB">
            <w:pPr>
              <w:pStyle w:val="TableParagraph"/>
              <w:numPr>
                <w:ilvl w:val="0"/>
                <w:numId w:val="1493"/>
              </w:numPr>
              <w:tabs>
                <w:tab w:val="left" w:pos="157"/>
              </w:tabs>
              <w:spacing w:before="9"/>
              <w:ind w:right="277"/>
              <w:jc w:val="both"/>
              <w:rPr>
                <w:sz w:val="14"/>
              </w:rPr>
            </w:pPr>
            <w:r>
              <w:rPr>
                <w:color w:val="231F20"/>
                <w:sz w:val="14"/>
              </w:rPr>
              <w:t>Оспособљавање за правилну</w:t>
            </w:r>
            <w:r>
              <w:rPr>
                <w:color w:val="231F20"/>
                <w:spacing w:val="-12"/>
                <w:sz w:val="14"/>
              </w:rPr>
              <w:t xml:space="preserve"> </w:t>
            </w:r>
            <w:r>
              <w:rPr>
                <w:color w:val="231F20"/>
                <w:sz w:val="14"/>
              </w:rPr>
              <w:t>употребу облика</w:t>
            </w:r>
            <w:r>
              <w:rPr>
                <w:color w:val="231F20"/>
                <w:spacing w:val="-2"/>
                <w:sz w:val="14"/>
              </w:rPr>
              <w:t xml:space="preserve"> </w:t>
            </w:r>
            <w:r>
              <w:rPr>
                <w:color w:val="231F20"/>
                <w:sz w:val="14"/>
              </w:rPr>
              <w:t>речи.</w:t>
            </w:r>
          </w:p>
        </w:tc>
        <w:tc>
          <w:tcPr>
            <w:tcW w:w="2551" w:type="dxa"/>
          </w:tcPr>
          <w:p w:rsidR="00041039" w:rsidRDefault="001B26CB">
            <w:pPr>
              <w:pStyle w:val="TableParagraph"/>
              <w:numPr>
                <w:ilvl w:val="0"/>
                <w:numId w:val="1492"/>
              </w:numPr>
              <w:tabs>
                <w:tab w:val="left" w:pos="157"/>
              </w:tabs>
              <w:spacing w:before="9"/>
              <w:ind w:right="154" w:hanging="99"/>
              <w:rPr>
                <w:sz w:val="14"/>
              </w:rPr>
            </w:pPr>
            <w:r>
              <w:rPr>
                <w:color w:val="231F20"/>
                <w:sz w:val="14"/>
              </w:rPr>
              <w:t>правилно употребљава именице</w:t>
            </w:r>
            <w:r>
              <w:rPr>
                <w:color w:val="231F20"/>
                <w:spacing w:val="-18"/>
                <w:sz w:val="14"/>
              </w:rPr>
              <w:t xml:space="preserve"> </w:t>
            </w:r>
            <w:r>
              <w:rPr>
                <w:color w:val="231F20"/>
                <w:sz w:val="14"/>
              </w:rPr>
              <w:t>жен­ ског рода на</w:t>
            </w:r>
            <w:r>
              <w:rPr>
                <w:color w:val="231F20"/>
                <w:spacing w:val="-4"/>
                <w:sz w:val="14"/>
              </w:rPr>
              <w:t xml:space="preserve"> </w:t>
            </w:r>
            <w:r>
              <w:rPr>
                <w:color w:val="231F20"/>
                <w:sz w:val="14"/>
              </w:rPr>
              <w:t>консонант;</w:t>
            </w:r>
          </w:p>
          <w:p w:rsidR="00041039" w:rsidRDefault="001B26CB">
            <w:pPr>
              <w:pStyle w:val="TableParagraph"/>
              <w:numPr>
                <w:ilvl w:val="0"/>
                <w:numId w:val="1492"/>
              </w:numPr>
              <w:tabs>
                <w:tab w:val="left" w:pos="157"/>
              </w:tabs>
              <w:spacing w:line="160"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w:t>
            </w:r>
            <w:r>
              <w:rPr>
                <w:color w:val="231F20"/>
                <w:spacing w:val="-1"/>
                <w:sz w:val="14"/>
              </w:rPr>
              <w:t xml:space="preserve"> </w:t>
            </w:r>
            <w:r>
              <w:rPr>
                <w:color w:val="231F20"/>
                <w:sz w:val="14"/>
              </w:rPr>
              <w:t>речи;</w:t>
            </w:r>
          </w:p>
          <w:p w:rsidR="00041039" w:rsidRDefault="001B26CB">
            <w:pPr>
              <w:pStyle w:val="TableParagraph"/>
              <w:numPr>
                <w:ilvl w:val="0"/>
                <w:numId w:val="1492"/>
              </w:numPr>
              <w:tabs>
                <w:tab w:val="left" w:pos="157"/>
              </w:tabs>
              <w:spacing w:line="153" w:lineRule="exact"/>
              <w:ind w:hanging="99"/>
              <w:rPr>
                <w:sz w:val="14"/>
              </w:rPr>
            </w:pPr>
            <w:r>
              <w:rPr>
                <w:color w:val="231F20"/>
                <w:sz w:val="14"/>
              </w:rPr>
              <w:t>правилно компарира</w:t>
            </w:r>
            <w:r>
              <w:rPr>
                <w:color w:val="231F20"/>
                <w:spacing w:val="-4"/>
                <w:sz w:val="14"/>
              </w:rPr>
              <w:t xml:space="preserve"> </w:t>
            </w:r>
            <w:r>
              <w:rPr>
                <w:color w:val="231F20"/>
                <w:sz w:val="14"/>
              </w:rPr>
              <w:t>придеве;</w:t>
            </w:r>
          </w:p>
          <w:p w:rsidR="00041039" w:rsidRDefault="001B26CB">
            <w:pPr>
              <w:pStyle w:val="TableParagraph"/>
              <w:numPr>
                <w:ilvl w:val="0"/>
                <w:numId w:val="1492"/>
              </w:numPr>
              <w:tabs>
                <w:tab w:val="left" w:pos="157"/>
              </w:tabs>
              <w:spacing w:line="237" w:lineRule="auto"/>
              <w:ind w:right="254" w:hanging="99"/>
              <w:rPr>
                <w:sz w:val="14"/>
              </w:rPr>
            </w:pPr>
            <w:r>
              <w:rPr>
                <w:color w:val="231F20"/>
                <w:sz w:val="14"/>
              </w:rPr>
              <w:t>разликује праве повратне и</w:t>
            </w:r>
            <w:r>
              <w:rPr>
                <w:color w:val="231F20"/>
                <w:spacing w:val="-21"/>
                <w:sz w:val="14"/>
              </w:rPr>
              <w:t xml:space="preserve"> </w:t>
            </w:r>
            <w:r>
              <w:rPr>
                <w:color w:val="231F20"/>
                <w:sz w:val="14"/>
              </w:rPr>
              <w:t>неправе повратне</w:t>
            </w:r>
            <w:r>
              <w:rPr>
                <w:color w:val="231F20"/>
                <w:spacing w:val="-1"/>
                <w:sz w:val="14"/>
              </w:rPr>
              <w:t xml:space="preserve"> </w:t>
            </w:r>
            <w:r>
              <w:rPr>
                <w:color w:val="231F20"/>
                <w:spacing w:val="-3"/>
                <w:sz w:val="14"/>
              </w:rPr>
              <w:t>глаголе;</w:t>
            </w:r>
          </w:p>
          <w:p w:rsidR="00041039" w:rsidRDefault="001B26CB">
            <w:pPr>
              <w:pStyle w:val="TableParagraph"/>
              <w:numPr>
                <w:ilvl w:val="0"/>
                <w:numId w:val="1492"/>
              </w:numPr>
              <w:tabs>
                <w:tab w:val="left" w:pos="157"/>
              </w:tabs>
              <w:spacing w:line="161" w:lineRule="exact"/>
              <w:ind w:hanging="99"/>
              <w:rPr>
                <w:sz w:val="14"/>
              </w:rPr>
            </w:pPr>
            <w:r>
              <w:rPr>
                <w:color w:val="231F20"/>
                <w:sz w:val="14"/>
              </w:rPr>
              <w:t>препознаје аорист, футур</w:t>
            </w:r>
            <w:r>
              <w:rPr>
                <w:color w:val="231F20"/>
                <w:spacing w:val="-5"/>
                <w:sz w:val="14"/>
              </w:rPr>
              <w:t xml:space="preserve"> </w:t>
            </w:r>
            <w:r>
              <w:rPr>
                <w:color w:val="231F20"/>
                <w:sz w:val="14"/>
              </w:rPr>
              <w:t>II;</w:t>
            </w:r>
          </w:p>
        </w:tc>
        <w:tc>
          <w:tcPr>
            <w:tcW w:w="2834" w:type="dxa"/>
          </w:tcPr>
          <w:p w:rsidR="00041039" w:rsidRDefault="001B26CB">
            <w:pPr>
              <w:pStyle w:val="TableParagraph"/>
              <w:numPr>
                <w:ilvl w:val="0"/>
                <w:numId w:val="1491"/>
              </w:numPr>
              <w:tabs>
                <w:tab w:val="left" w:pos="157"/>
              </w:tabs>
              <w:spacing w:before="9" w:line="171" w:lineRule="exact"/>
              <w:ind w:hanging="99"/>
              <w:rPr>
                <w:sz w:val="14"/>
              </w:rPr>
            </w:pPr>
            <w:r>
              <w:rPr>
                <w:color w:val="231F20"/>
                <w:sz w:val="14"/>
              </w:rPr>
              <w:t>Именице:</w:t>
            </w:r>
          </w:p>
          <w:p w:rsidR="00041039" w:rsidRDefault="001B26CB">
            <w:pPr>
              <w:pStyle w:val="TableParagraph"/>
              <w:numPr>
                <w:ilvl w:val="0"/>
                <w:numId w:val="1490"/>
              </w:numPr>
              <w:tabs>
                <w:tab w:val="left" w:pos="163"/>
              </w:tabs>
              <w:spacing w:line="160" w:lineRule="exact"/>
              <w:rPr>
                <w:sz w:val="14"/>
              </w:rPr>
            </w:pPr>
            <w:r>
              <w:rPr>
                <w:color w:val="231F20"/>
                <w:sz w:val="14"/>
              </w:rPr>
              <w:t>именице женског рода на</w:t>
            </w:r>
            <w:r>
              <w:rPr>
                <w:color w:val="231F20"/>
                <w:spacing w:val="-9"/>
                <w:sz w:val="14"/>
              </w:rPr>
              <w:t xml:space="preserve"> </w:t>
            </w:r>
            <w:r>
              <w:rPr>
                <w:color w:val="231F20"/>
                <w:sz w:val="14"/>
              </w:rPr>
              <w:t>консонант;</w:t>
            </w:r>
          </w:p>
          <w:p w:rsidR="00041039" w:rsidRDefault="001B26CB">
            <w:pPr>
              <w:pStyle w:val="TableParagraph"/>
              <w:numPr>
                <w:ilvl w:val="0"/>
                <w:numId w:val="1490"/>
              </w:numPr>
              <w:tabs>
                <w:tab w:val="left" w:pos="163"/>
              </w:tabs>
              <w:ind w:right="509"/>
              <w:rPr>
                <w:sz w:val="14"/>
              </w:rPr>
            </w:pPr>
            <w:r>
              <w:rPr>
                <w:color w:val="231F20"/>
                <w:sz w:val="14"/>
              </w:rPr>
              <w:t>проширивање падежних функција</w:t>
            </w:r>
            <w:r>
              <w:rPr>
                <w:color w:val="231F20"/>
                <w:spacing w:val="-18"/>
                <w:sz w:val="14"/>
              </w:rPr>
              <w:t xml:space="preserve"> </w:t>
            </w:r>
            <w:r>
              <w:rPr>
                <w:color w:val="231F20"/>
                <w:sz w:val="14"/>
              </w:rPr>
              <w:t>и значења.</w:t>
            </w:r>
          </w:p>
          <w:p w:rsidR="00041039" w:rsidRDefault="001B26CB">
            <w:pPr>
              <w:pStyle w:val="TableParagraph"/>
              <w:numPr>
                <w:ilvl w:val="0"/>
                <w:numId w:val="1489"/>
              </w:numPr>
              <w:tabs>
                <w:tab w:val="left" w:pos="157"/>
              </w:tabs>
              <w:spacing w:line="159" w:lineRule="exact"/>
              <w:ind w:hanging="99"/>
              <w:rPr>
                <w:sz w:val="14"/>
              </w:rPr>
            </w:pPr>
            <w:r>
              <w:rPr>
                <w:color w:val="231F20"/>
                <w:spacing w:val="-3"/>
                <w:sz w:val="14"/>
              </w:rPr>
              <w:t>Глаголи:</w:t>
            </w:r>
          </w:p>
          <w:p w:rsidR="00041039" w:rsidRDefault="001B26CB">
            <w:pPr>
              <w:pStyle w:val="TableParagraph"/>
              <w:numPr>
                <w:ilvl w:val="0"/>
                <w:numId w:val="1488"/>
              </w:numPr>
              <w:tabs>
                <w:tab w:val="left" w:pos="163"/>
              </w:tabs>
              <w:spacing w:line="160" w:lineRule="exact"/>
              <w:rPr>
                <w:sz w:val="14"/>
              </w:rPr>
            </w:pPr>
            <w:r>
              <w:rPr>
                <w:color w:val="231F20"/>
                <w:sz w:val="14"/>
              </w:rPr>
              <w:t>аорист, футур</w:t>
            </w:r>
            <w:r>
              <w:rPr>
                <w:color w:val="231F20"/>
                <w:spacing w:val="-1"/>
                <w:sz w:val="14"/>
              </w:rPr>
              <w:t xml:space="preserve"> </w:t>
            </w:r>
            <w:r>
              <w:rPr>
                <w:color w:val="231F20"/>
                <w:sz w:val="14"/>
              </w:rPr>
              <w:t>II;</w:t>
            </w:r>
          </w:p>
          <w:p w:rsidR="00041039" w:rsidRDefault="001B26CB">
            <w:pPr>
              <w:pStyle w:val="TableParagraph"/>
              <w:numPr>
                <w:ilvl w:val="0"/>
                <w:numId w:val="1488"/>
              </w:numPr>
              <w:tabs>
                <w:tab w:val="left" w:pos="163"/>
              </w:tabs>
              <w:spacing w:line="160" w:lineRule="exact"/>
              <w:rPr>
                <w:sz w:val="14"/>
              </w:rPr>
            </w:pPr>
            <w:r>
              <w:rPr>
                <w:color w:val="231F20"/>
                <w:spacing w:val="-3"/>
                <w:sz w:val="14"/>
              </w:rPr>
              <w:t xml:space="preserve">глаголски </w:t>
            </w:r>
            <w:r>
              <w:rPr>
                <w:color w:val="231F20"/>
                <w:sz w:val="14"/>
              </w:rPr>
              <w:t>вид(учестали</w:t>
            </w:r>
            <w:r>
              <w:rPr>
                <w:color w:val="231F20"/>
                <w:spacing w:val="1"/>
                <w:sz w:val="14"/>
              </w:rPr>
              <w:t xml:space="preserve"> </w:t>
            </w:r>
            <w:r>
              <w:rPr>
                <w:color w:val="231F20"/>
                <w:spacing w:val="-3"/>
                <w:sz w:val="14"/>
              </w:rPr>
              <w:t>глаголи);</w:t>
            </w:r>
          </w:p>
          <w:p w:rsidR="00041039" w:rsidRDefault="001B26CB">
            <w:pPr>
              <w:pStyle w:val="TableParagraph"/>
              <w:numPr>
                <w:ilvl w:val="0"/>
                <w:numId w:val="1488"/>
              </w:numPr>
              <w:tabs>
                <w:tab w:val="left" w:pos="163"/>
              </w:tabs>
              <w:spacing w:line="155" w:lineRule="exact"/>
              <w:rPr>
                <w:sz w:val="14"/>
              </w:rPr>
            </w:pPr>
            <w:r>
              <w:rPr>
                <w:color w:val="231F20"/>
                <w:spacing w:val="-3"/>
                <w:sz w:val="14"/>
              </w:rPr>
              <w:t xml:space="preserve">глаголски </w:t>
            </w:r>
            <w:r>
              <w:rPr>
                <w:color w:val="231F20"/>
                <w:sz w:val="14"/>
              </w:rPr>
              <w:t>род: неправи повратни</w:t>
            </w:r>
            <w:r>
              <w:rPr>
                <w:color w:val="231F20"/>
                <w:spacing w:val="-3"/>
                <w:sz w:val="14"/>
              </w:rPr>
              <w:t xml:space="preserve"> глаголи.</w:t>
            </w:r>
          </w:p>
          <w:p w:rsidR="00041039" w:rsidRDefault="001B26CB">
            <w:pPr>
              <w:pStyle w:val="TableParagraph"/>
              <w:numPr>
                <w:ilvl w:val="0"/>
                <w:numId w:val="1487"/>
              </w:numPr>
              <w:tabs>
                <w:tab w:val="left" w:pos="157"/>
              </w:tabs>
              <w:spacing w:line="166" w:lineRule="exact"/>
              <w:ind w:hanging="99"/>
              <w:rPr>
                <w:sz w:val="14"/>
              </w:rPr>
            </w:pPr>
            <w:r>
              <w:rPr>
                <w:color w:val="231F20"/>
                <w:sz w:val="14"/>
              </w:rPr>
              <w:t>Придеви:</w:t>
            </w:r>
            <w:r>
              <w:rPr>
                <w:color w:val="231F20"/>
                <w:spacing w:val="-2"/>
                <w:sz w:val="14"/>
              </w:rPr>
              <w:t xml:space="preserve"> </w:t>
            </w:r>
            <w:r>
              <w:rPr>
                <w:color w:val="231F20"/>
                <w:sz w:val="14"/>
              </w:rPr>
              <w:t>компарација.</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19"/>
              <w:ind w:left="56"/>
              <w:rPr>
                <w:sz w:val="14"/>
              </w:rPr>
            </w:pPr>
            <w:r>
              <w:rPr>
                <w:color w:val="231F20"/>
                <w:sz w:val="14"/>
              </w:rPr>
              <w:t>Творба речи</w:t>
            </w:r>
          </w:p>
        </w:tc>
        <w:tc>
          <w:tcPr>
            <w:tcW w:w="1587" w:type="dxa"/>
          </w:tcPr>
          <w:p w:rsidR="00041039" w:rsidRDefault="001B26CB">
            <w:pPr>
              <w:pStyle w:val="TableParagraph"/>
              <w:numPr>
                <w:ilvl w:val="0"/>
                <w:numId w:val="1486"/>
              </w:numPr>
              <w:tabs>
                <w:tab w:val="left" w:pos="157"/>
              </w:tabs>
              <w:spacing w:before="9"/>
              <w:ind w:right="161"/>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numPr>
                <w:ilvl w:val="0"/>
                <w:numId w:val="1485"/>
              </w:numPr>
              <w:tabs>
                <w:tab w:val="left" w:pos="157"/>
              </w:tabs>
              <w:spacing w:before="9"/>
              <w:ind w:right="110" w:hanging="99"/>
              <w:rPr>
                <w:sz w:val="14"/>
              </w:rPr>
            </w:pPr>
            <w:r>
              <w:rPr>
                <w:color w:val="231F20"/>
                <w:sz w:val="14"/>
              </w:rPr>
              <w:t>правилно гради деминутиве и</w:t>
            </w:r>
            <w:r>
              <w:rPr>
                <w:color w:val="231F20"/>
                <w:spacing w:val="-23"/>
                <w:sz w:val="14"/>
              </w:rPr>
              <w:t xml:space="preserve"> </w:t>
            </w:r>
            <w:r>
              <w:rPr>
                <w:color w:val="231F20"/>
                <w:sz w:val="14"/>
              </w:rPr>
              <w:t>аугмен­ тативе;</w:t>
            </w:r>
          </w:p>
        </w:tc>
        <w:tc>
          <w:tcPr>
            <w:tcW w:w="2834" w:type="dxa"/>
          </w:tcPr>
          <w:p w:rsidR="00041039" w:rsidRDefault="001B26CB">
            <w:pPr>
              <w:pStyle w:val="TableParagraph"/>
              <w:numPr>
                <w:ilvl w:val="0"/>
                <w:numId w:val="1484"/>
              </w:numPr>
              <w:tabs>
                <w:tab w:val="left" w:pos="158"/>
              </w:tabs>
              <w:spacing w:before="9"/>
              <w:rPr>
                <w:sz w:val="14"/>
              </w:rPr>
            </w:pPr>
            <w:r>
              <w:rPr>
                <w:color w:val="231F20"/>
                <w:sz w:val="14"/>
              </w:rPr>
              <w:t>Деминутиви и</w:t>
            </w:r>
            <w:r>
              <w:rPr>
                <w:color w:val="231F20"/>
                <w:spacing w:val="-2"/>
                <w:sz w:val="14"/>
              </w:rPr>
              <w:t xml:space="preserve"> </w:t>
            </w:r>
            <w:r>
              <w:rPr>
                <w:color w:val="231F20"/>
                <w:sz w:val="14"/>
              </w:rPr>
              <w:t>аугментативи.</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19"/>
              <w:ind w:left="57"/>
              <w:rPr>
                <w:sz w:val="14"/>
              </w:rPr>
            </w:pPr>
            <w:r>
              <w:rPr>
                <w:color w:val="231F20"/>
                <w:sz w:val="14"/>
              </w:rPr>
              <w:t>Синтакса</w:t>
            </w:r>
          </w:p>
        </w:tc>
        <w:tc>
          <w:tcPr>
            <w:tcW w:w="1587" w:type="dxa"/>
          </w:tcPr>
          <w:p w:rsidR="00041039" w:rsidRDefault="001B26CB">
            <w:pPr>
              <w:pStyle w:val="TableParagraph"/>
              <w:numPr>
                <w:ilvl w:val="0"/>
                <w:numId w:val="1483"/>
              </w:numPr>
              <w:tabs>
                <w:tab w:val="left" w:pos="157"/>
              </w:tabs>
              <w:spacing w:before="9"/>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1482"/>
              </w:numPr>
              <w:tabs>
                <w:tab w:val="left" w:pos="157"/>
              </w:tabs>
              <w:spacing w:before="9"/>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numPr>
                <w:ilvl w:val="0"/>
                <w:numId w:val="1482"/>
              </w:numPr>
              <w:tabs>
                <w:tab w:val="left" w:pos="157"/>
              </w:tabs>
              <w:spacing w:line="160" w:lineRule="exact"/>
              <w:ind w:right="383" w:hanging="99"/>
              <w:rPr>
                <w:sz w:val="14"/>
              </w:rPr>
            </w:pPr>
            <w:r>
              <w:rPr>
                <w:color w:val="231F20"/>
                <w:sz w:val="14"/>
              </w:rPr>
              <w:t>препознаје реченице са</w:t>
            </w:r>
            <w:r>
              <w:rPr>
                <w:color w:val="231F20"/>
                <w:spacing w:val="-18"/>
                <w:sz w:val="14"/>
              </w:rPr>
              <w:t xml:space="preserve"> </w:t>
            </w:r>
            <w:r>
              <w:rPr>
                <w:color w:val="231F20"/>
                <w:sz w:val="14"/>
              </w:rPr>
              <w:t>логичким субјектом;</w:t>
            </w:r>
          </w:p>
          <w:p w:rsidR="00041039" w:rsidRDefault="001B26CB">
            <w:pPr>
              <w:pStyle w:val="TableParagraph"/>
              <w:numPr>
                <w:ilvl w:val="0"/>
                <w:numId w:val="1482"/>
              </w:numPr>
              <w:tabs>
                <w:tab w:val="left" w:pos="157"/>
              </w:tabs>
              <w:spacing w:line="153" w:lineRule="exact"/>
              <w:ind w:hanging="99"/>
              <w:rPr>
                <w:sz w:val="14"/>
              </w:rPr>
            </w:pPr>
            <w:r>
              <w:rPr>
                <w:color w:val="231F20"/>
                <w:sz w:val="14"/>
              </w:rPr>
              <w:t>саставља условне и намерне</w:t>
            </w:r>
            <w:r>
              <w:rPr>
                <w:color w:val="231F20"/>
                <w:spacing w:val="-8"/>
                <w:sz w:val="14"/>
              </w:rPr>
              <w:t xml:space="preserve"> </w:t>
            </w:r>
            <w:r>
              <w:rPr>
                <w:color w:val="231F20"/>
                <w:sz w:val="14"/>
              </w:rPr>
              <w:t>реченице;</w:t>
            </w:r>
          </w:p>
          <w:p w:rsidR="00041039" w:rsidRDefault="001B26CB">
            <w:pPr>
              <w:pStyle w:val="TableParagraph"/>
              <w:numPr>
                <w:ilvl w:val="0"/>
                <w:numId w:val="1482"/>
              </w:numPr>
              <w:tabs>
                <w:tab w:val="left" w:pos="157"/>
              </w:tabs>
              <w:spacing w:line="237" w:lineRule="auto"/>
              <w:ind w:right="439" w:hanging="99"/>
              <w:rPr>
                <w:sz w:val="14"/>
              </w:rPr>
            </w:pPr>
            <w:r>
              <w:rPr>
                <w:color w:val="231F20"/>
                <w:sz w:val="14"/>
              </w:rPr>
              <w:t>правилно употребљава</w:t>
            </w:r>
            <w:r>
              <w:rPr>
                <w:color w:val="231F20"/>
                <w:spacing w:val="-15"/>
                <w:sz w:val="14"/>
              </w:rPr>
              <w:t xml:space="preserve"> </w:t>
            </w:r>
            <w:r>
              <w:rPr>
                <w:color w:val="231F20"/>
                <w:sz w:val="14"/>
              </w:rPr>
              <w:t>безличне реченице;</w:t>
            </w:r>
          </w:p>
        </w:tc>
        <w:tc>
          <w:tcPr>
            <w:tcW w:w="2834" w:type="dxa"/>
          </w:tcPr>
          <w:p w:rsidR="00041039" w:rsidRDefault="001B26CB">
            <w:pPr>
              <w:pStyle w:val="TableParagraph"/>
              <w:numPr>
                <w:ilvl w:val="0"/>
                <w:numId w:val="1481"/>
              </w:numPr>
              <w:tabs>
                <w:tab w:val="left" w:pos="158"/>
              </w:tabs>
              <w:spacing w:before="9" w:line="166" w:lineRule="exact"/>
              <w:rPr>
                <w:sz w:val="14"/>
              </w:rPr>
            </w:pPr>
            <w:r>
              <w:rPr>
                <w:color w:val="231F20"/>
                <w:sz w:val="14"/>
              </w:rPr>
              <w:t>Безличне</w:t>
            </w:r>
            <w:r>
              <w:rPr>
                <w:color w:val="231F20"/>
                <w:spacing w:val="-2"/>
                <w:sz w:val="14"/>
              </w:rPr>
              <w:t xml:space="preserve"> </w:t>
            </w:r>
            <w:r>
              <w:rPr>
                <w:color w:val="231F20"/>
                <w:sz w:val="14"/>
              </w:rPr>
              <w:t>реченице.</w:t>
            </w:r>
          </w:p>
          <w:p w:rsidR="00041039" w:rsidRDefault="001B26CB">
            <w:pPr>
              <w:pStyle w:val="TableParagraph"/>
              <w:numPr>
                <w:ilvl w:val="0"/>
                <w:numId w:val="1481"/>
              </w:numPr>
              <w:tabs>
                <w:tab w:val="left" w:pos="158"/>
              </w:tabs>
              <w:spacing w:line="160" w:lineRule="exact"/>
              <w:rPr>
                <w:sz w:val="14"/>
              </w:rPr>
            </w:pPr>
            <w:r>
              <w:rPr>
                <w:color w:val="231F20"/>
                <w:sz w:val="14"/>
              </w:rPr>
              <w:t>Логички</w:t>
            </w:r>
            <w:r>
              <w:rPr>
                <w:color w:val="231F20"/>
                <w:spacing w:val="-1"/>
                <w:sz w:val="14"/>
              </w:rPr>
              <w:t xml:space="preserve"> </w:t>
            </w:r>
            <w:r>
              <w:rPr>
                <w:color w:val="231F20"/>
                <w:sz w:val="14"/>
              </w:rPr>
              <w:t>субјекти.</w:t>
            </w:r>
          </w:p>
          <w:p w:rsidR="00041039" w:rsidRDefault="001B26CB">
            <w:pPr>
              <w:pStyle w:val="TableParagraph"/>
              <w:numPr>
                <w:ilvl w:val="0"/>
                <w:numId w:val="1481"/>
              </w:numPr>
              <w:tabs>
                <w:tab w:val="left" w:pos="158"/>
              </w:tabs>
              <w:spacing w:line="160" w:lineRule="exact"/>
              <w:rPr>
                <w:sz w:val="14"/>
              </w:rPr>
            </w:pPr>
            <w:r>
              <w:rPr>
                <w:color w:val="231F20"/>
                <w:sz w:val="14"/>
              </w:rPr>
              <w:t>Неконгруентни</w:t>
            </w:r>
            <w:r>
              <w:rPr>
                <w:color w:val="231F20"/>
                <w:spacing w:val="-1"/>
                <w:sz w:val="14"/>
              </w:rPr>
              <w:t xml:space="preserve"> </w:t>
            </w:r>
            <w:r>
              <w:rPr>
                <w:color w:val="231F20"/>
                <w:sz w:val="14"/>
              </w:rPr>
              <w:t>атрибути.</w:t>
            </w:r>
          </w:p>
          <w:p w:rsidR="00041039" w:rsidRDefault="001B26CB">
            <w:pPr>
              <w:pStyle w:val="TableParagraph"/>
              <w:numPr>
                <w:ilvl w:val="0"/>
                <w:numId w:val="1481"/>
              </w:numPr>
              <w:tabs>
                <w:tab w:val="left" w:pos="158"/>
              </w:tabs>
              <w:spacing w:line="237" w:lineRule="auto"/>
              <w:ind w:right="447"/>
              <w:rPr>
                <w:sz w:val="14"/>
              </w:rPr>
            </w:pPr>
            <w:r>
              <w:rPr>
                <w:color w:val="231F20"/>
                <w:sz w:val="14"/>
              </w:rPr>
              <w:t>Проширивање прилошко</w:t>
            </w:r>
            <w:r>
              <w:rPr>
                <w:color w:val="231F20"/>
                <w:spacing w:val="-26"/>
                <w:sz w:val="14"/>
              </w:rPr>
              <w:t xml:space="preserve"> </w:t>
            </w:r>
            <w:r>
              <w:rPr>
                <w:color w:val="231F20"/>
                <w:sz w:val="14"/>
              </w:rPr>
              <w:t>одредбених значења.</w:t>
            </w:r>
          </w:p>
          <w:p w:rsidR="00041039" w:rsidRDefault="001B26CB">
            <w:pPr>
              <w:pStyle w:val="TableParagraph"/>
              <w:numPr>
                <w:ilvl w:val="0"/>
                <w:numId w:val="1481"/>
              </w:numPr>
              <w:tabs>
                <w:tab w:val="left" w:pos="158"/>
              </w:tabs>
              <w:spacing w:line="161" w:lineRule="exact"/>
              <w:rPr>
                <w:sz w:val="14"/>
              </w:rPr>
            </w:pPr>
            <w:r>
              <w:rPr>
                <w:color w:val="231F20"/>
                <w:sz w:val="14"/>
              </w:rPr>
              <w:t>Односне и изричне</w:t>
            </w:r>
            <w:r>
              <w:rPr>
                <w:color w:val="231F20"/>
                <w:spacing w:val="-3"/>
                <w:sz w:val="14"/>
              </w:rPr>
              <w:t xml:space="preserve"> </w:t>
            </w:r>
            <w:r>
              <w:rPr>
                <w:color w:val="231F20"/>
                <w:sz w:val="14"/>
              </w:rPr>
              <w:t>реченице.</w:t>
            </w:r>
          </w:p>
        </w:tc>
        <w:tc>
          <w:tcPr>
            <w:tcW w:w="2267" w:type="dxa"/>
            <w:vMerge/>
            <w:tcBorders>
              <w:top w:val="nil"/>
            </w:tcBorders>
          </w:tcPr>
          <w:p w:rsidR="00041039" w:rsidRDefault="00041039">
            <w:pPr>
              <w:rPr>
                <w:sz w:val="2"/>
                <w:szCs w:val="2"/>
              </w:rPr>
            </w:pPr>
          </w:p>
        </w:tc>
      </w:tr>
      <w:tr w:rsidR="00041039">
        <w:trPr>
          <w:trHeight w:val="1438"/>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numPr>
                <w:ilvl w:val="0"/>
                <w:numId w:val="1480"/>
              </w:numPr>
              <w:tabs>
                <w:tab w:val="left" w:pos="157"/>
              </w:tabs>
              <w:spacing w:before="9"/>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1479"/>
              </w:numPr>
              <w:tabs>
                <w:tab w:val="left" w:pos="158"/>
              </w:tabs>
              <w:spacing w:before="9"/>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1478"/>
              </w:numPr>
              <w:tabs>
                <w:tab w:val="left" w:pos="158"/>
              </w:tabs>
              <w:spacing w:before="9" w:line="166" w:lineRule="exact"/>
              <w:rPr>
                <w:sz w:val="14"/>
              </w:rPr>
            </w:pPr>
            <w:r>
              <w:rPr>
                <w:color w:val="231F20"/>
                <w:sz w:val="14"/>
              </w:rPr>
              <w:t>Састављено и растављено писање</w:t>
            </w:r>
            <w:r>
              <w:rPr>
                <w:color w:val="231F20"/>
                <w:spacing w:val="-2"/>
                <w:sz w:val="14"/>
              </w:rPr>
              <w:t xml:space="preserve"> </w:t>
            </w:r>
            <w:r>
              <w:rPr>
                <w:color w:val="231F20"/>
                <w:sz w:val="14"/>
              </w:rPr>
              <w:t>речи.</w:t>
            </w:r>
          </w:p>
          <w:p w:rsidR="00041039" w:rsidRDefault="001B26CB">
            <w:pPr>
              <w:pStyle w:val="TableParagraph"/>
              <w:numPr>
                <w:ilvl w:val="0"/>
                <w:numId w:val="1478"/>
              </w:numPr>
              <w:tabs>
                <w:tab w:val="left" w:pos="158"/>
              </w:tabs>
              <w:spacing w:line="166" w:lineRule="exact"/>
              <w:rPr>
                <w:sz w:val="14"/>
              </w:rPr>
            </w:pPr>
            <w:r>
              <w:rPr>
                <w:color w:val="231F20"/>
                <w:spacing w:val="-3"/>
                <w:sz w:val="14"/>
              </w:rPr>
              <w:t xml:space="preserve">Управни </w:t>
            </w:r>
            <w:r>
              <w:rPr>
                <w:color w:val="231F20"/>
                <w:sz w:val="14"/>
              </w:rPr>
              <w:t>и неуправни говор.</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080"/>
        </w:trPr>
        <w:tc>
          <w:tcPr>
            <w:tcW w:w="1304" w:type="dxa"/>
          </w:tcPr>
          <w:p w:rsidR="00041039" w:rsidRDefault="001B26CB">
            <w:pPr>
              <w:pStyle w:val="TableParagraph"/>
              <w:spacing w:before="18"/>
              <w:ind w:left="56" w:right="37"/>
              <w:rPr>
                <w:sz w:val="14"/>
              </w:rPr>
            </w:pPr>
            <w:r>
              <w:rPr>
                <w:color w:val="231F20"/>
                <w:sz w:val="14"/>
              </w:rPr>
              <w:lastRenderedPageBreak/>
              <w:t>Култура изража­ вања</w:t>
            </w:r>
          </w:p>
        </w:tc>
        <w:tc>
          <w:tcPr>
            <w:tcW w:w="1587" w:type="dxa"/>
          </w:tcPr>
          <w:p w:rsidR="00041039" w:rsidRDefault="001B26CB">
            <w:pPr>
              <w:pStyle w:val="TableParagraph"/>
              <w:numPr>
                <w:ilvl w:val="0"/>
                <w:numId w:val="1477"/>
              </w:numPr>
              <w:tabs>
                <w:tab w:val="left" w:pos="157"/>
              </w:tabs>
              <w:spacing w:before="8"/>
              <w:ind w:right="130"/>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1476"/>
              </w:numPr>
              <w:tabs>
                <w:tab w:val="left" w:pos="157"/>
              </w:tabs>
              <w:spacing w:before="8"/>
              <w:ind w:right="117" w:hanging="99"/>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1476"/>
              </w:numPr>
              <w:tabs>
                <w:tab w:val="left" w:pos="157"/>
              </w:tabs>
              <w:spacing w:line="160" w:lineRule="exact"/>
              <w:ind w:right="43" w:hanging="99"/>
              <w:rPr>
                <w:sz w:val="14"/>
              </w:rPr>
            </w:pPr>
            <w:r>
              <w:rPr>
                <w:color w:val="231F20"/>
                <w:sz w:val="14"/>
              </w:rPr>
              <w:t>даје комплексне одговоре на</w:t>
            </w:r>
            <w:r>
              <w:rPr>
                <w:color w:val="231F20"/>
                <w:spacing w:val="-25"/>
                <w:sz w:val="14"/>
              </w:rPr>
              <w:t xml:space="preserve"> </w:t>
            </w:r>
            <w:r>
              <w:rPr>
                <w:color w:val="231F20"/>
                <w:sz w:val="14"/>
              </w:rPr>
              <w:t>поставље­ на питања и поставља</w:t>
            </w:r>
            <w:r>
              <w:rPr>
                <w:color w:val="231F20"/>
                <w:spacing w:val="-2"/>
                <w:sz w:val="14"/>
              </w:rPr>
              <w:t xml:space="preserve"> </w:t>
            </w:r>
            <w:r>
              <w:rPr>
                <w:color w:val="231F20"/>
                <w:sz w:val="14"/>
              </w:rPr>
              <w:t>питања;</w:t>
            </w:r>
          </w:p>
        </w:tc>
        <w:tc>
          <w:tcPr>
            <w:tcW w:w="2834" w:type="dxa"/>
          </w:tcPr>
          <w:p w:rsidR="00041039" w:rsidRDefault="001B26CB">
            <w:pPr>
              <w:pStyle w:val="TableParagraph"/>
              <w:numPr>
                <w:ilvl w:val="0"/>
                <w:numId w:val="1475"/>
              </w:numPr>
              <w:tabs>
                <w:tab w:val="left" w:pos="157"/>
              </w:tabs>
              <w:spacing w:before="8" w:line="171" w:lineRule="exact"/>
              <w:ind w:hanging="99"/>
              <w:rPr>
                <w:sz w:val="14"/>
              </w:rPr>
            </w:pPr>
            <w:r>
              <w:rPr>
                <w:color w:val="231F20"/>
                <w:sz w:val="14"/>
              </w:rPr>
              <w:t>Тематика:</w:t>
            </w:r>
          </w:p>
          <w:p w:rsidR="00041039" w:rsidRDefault="001B26CB">
            <w:pPr>
              <w:pStyle w:val="TableParagraph"/>
              <w:numPr>
                <w:ilvl w:val="0"/>
                <w:numId w:val="1474"/>
              </w:numPr>
              <w:tabs>
                <w:tab w:val="left" w:pos="163"/>
              </w:tabs>
              <w:spacing w:line="160" w:lineRule="exact"/>
              <w:rPr>
                <w:sz w:val="14"/>
              </w:rPr>
            </w:pPr>
            <w:r>
              <w:rPr>
                <w:color w:val="231F20"/>
                <w:sz w:val="14"/>
              </w:rPr>
              <w:t>међуљудски</w:t>
            </w:r>
            <w:r>
              <w:rPr>
                <w:color w:val="231F20"/>
                <w:spacing w:val="-1"/>
                <w:sz w:val="14"/>
              </w:rPr>
              <w:t xml:space="preserve"> </w:t>
            </w:r>
            <w:r>
              <w:rPr>
                <w:color w:val="231F20"/>
                <w:sz w:val="14"/>
              </w:rPr>
              <w:t>односи;</w:t>
            </w:r>
          </w:p>
          <w:p w:rsidR="00041039" w:rsidRDefault="001B26CB">
            <w:pPr>
              <w:pStyle w:val="TableParagraph"/>
              <w:numPr>
                <w:ilvl w:val="0"/>
                <w:numId w:val="1474"/>
              </w:numPr>
              <w:tabs>
                <w:tab w:val="left" w:pos="163"/>
              </w:tabs>
              <w:spacing w:line="160" w:lineRule="exact"/>
              <w:rPr>
                <w:sz w:val="14"/>
              </w:rPr>
            </w:pPr>
            <w:r>
              <w:rPr>
                <w:color w:val="231F20"/>
                <w:sz w:val="14"/>
              </w:rPr>
              <w:t>култура</w:t>
            </w:r>
            <w:r>
              <w:rPr>
                <w:color w:val="231F20"/>
                <w:spacing w:val="-1"/>
                <w:sz w:val="14"/>
              </w:rPr>
              <w:t xml:space="preserve"> </w:t>
            </w:r>
            <w:r>
              <w:rPr>
                <w:color w:val="231F20"/>
                <w:sz w:val="14"/>
              </w:rPr>
              <w:t>становања;</w:t>
            </w:r>
          </w:p>
          <w:p w:rsidR="00041039" w:rsidRDefault="001B26CB">
            <w:pPr>
              <w:pStyle w:val="TableParagraph"/>
              <w:numPr>
                <w:ilvl w:val="0"/>
                <w:numId w:val="1474"/>
              </w:numPr>
              <w:tabs>
                <w:tab w:val="left" w:pos="163"/>
              </w:tabs>
              <w:spacing w:line="160" w:lineRule="exact"/>
              <w:rPr>
                <w:sz w:val="14"/>
              </w:rPr>
            </w:pPr>
            <w:r>
              <w:rPr>
                <w:color w:val="231F20"/>
                <w:sz w:val="14"/>
              </w:rPr>
              <w:t>здравље;</w:t>
            </w:r>
          </w:p>
          <w:p w:rsidR="00041039" w:rsidRDefault="001B26CB">
            <w:pPr>
              <w:pStyle w:val="TableParagraph"/>
              <w:numPr>
                <w:ilvl w:val="0"/>
                <w:numId w:val="1474"/>
              </w:numPr>
              <w:tabs>
                <w:tab w:val="left" w:pos="163"/>
              </w:tabs>
              <w:spacing w:line="160" w:lineRule="exact"/>
              <w:rPr>
                <w:sz w:val="14"/>
              </w:rPr>
            </w:pPr>
            <w:r>
              <w:rPr>
                <w:color w:val="231F20"/>
                <w:sz w:val="14"/>
              </w:rPr>
              <w:t>спорт;</w:t>
            </w:r>
          </w:p>
          <w:p w:rsidR="00041039" w:rsidRDefault="001B26CB">
            <w:pPr>
              <w:pStyle w:val="TableParagraph"/>
              <w:numPr>
                <w:ilvl w:val="0"/>
                <w:numId w:val="1474"/>
              </w:numPr>
              <w:tabs>
                <w:tab w:val="left" w:pos="163"/>
              </w:tabs>
              <w:spacing w:line="160" w:lineRule="exact"/>
              <w:rPr>
                <w:sz w:val="14"/>
              </w:rPr>
            </w:pPr>
            <w:r>
              <w:rPr>
                <w:color w:val="231F20"/>
                <w:sz w:val="14"/>
              </w:rPr>
              <w:t>саобраћај;</w:t>
            </w:r>
          </w:p>
          <w:p w:rsidR="00041039" w:rsidRDefault="001B26CB">
            <w:pPr>
              <w:pStyle w:val="TableParagraph"/>
              <w:numPr>
                <w:ilvl w:val="0"/>
                <w:numId w:val="1474"/>
              </w:numPr>
              <w:tabs>
                <w:tab w:val="left" w:pos="163"/>
              </w:tabs>
              <w:spacing w:line="160" w:lineRule="exact"/>
              <w:rPr>
                <w:sz w:val="14"/>
              </w:rPr>
            </w:pPr>
            <w:r>
              <w:rPr>
                <w:color w:val="231F20"/>
                <w:sz w:val="14"/>
              </w:rPr>
              <w:t>привреда у</w:t>
            </w:r>
            <w:r>
              <w:rPr>
                <w:color w:val="231F20"/>
                <w:spacing w:val="-1"/>
                <w:sz w:val="14"/>
              </w:rPr>
              <w:t xml:space="preserve"> </w:t>
            </w:r>
            <w:r>
              <w:rPr>
                <w:color w:val="231F20"/>
                <w:sz w:val="14"/>
              </w:rPr>
              <w:t>окружењу;</w:t>
            </w:r>
          </w:p>
          <w:p w:rsidR="00041039" w:rsidRDefault="001B26CB">
            <w:pPr>
              <w:pStyle w:val="TableParagraph"/>
              <w:numPr>
                <w:ilvl w:val="0"/>
                <w:numId w:val="1474"/>
              </w:numPr>
              <w:tabs>
                <w:tab w:val="left" w:pos="163"/>
              </w:tabs>
              <w:spacing w:line="160" w:lineRule="exact"/>
              <w:rPr>
                <w:sz w:val="14"/>
              </w:rPr>
            </w:pPr>
            <w:r>
              <w:rPr>
                <w:color w:val="231F20"/>
                <w:sz w:val="14"/>
              </w:rPr>
              <w:t>клима, атмосферске</w:t>
            </w:r>
            <w:r>
              <w:rPr>
                <w:color w:val="231F20"/>
                <w:spacing w:val="-1"/>
                <w:sz w:val="14"/>
              </w:rPr>
              <w:t xml:space="preserve"> </w:t>
            </w:r>
            <w:r>
              <w:rPr>
                <w:color w:val="231F20"/>
                <w:sz w:val="14"/>
              </w:rPr>
              <w:t>појаве:</w:t>
            </w:r>
          </w:p>
          <w:p w:rsidR="00041039" w:rsidRDefault="001B26CB">
            <w:pPr>
              <w:pStyle w:val="TableParagraph"/>
              <w:numPr>
                <w:ilvl w:val="0"/>
                <w:numId w:val="1474"/>
              </w:numPr>
              <w:tabs>
                <w:tab w:val="left" w:pos="163"/>
              </w:tabs>
              <w:spacing w:line="155" w:lineRule="exact"/>
              <w:rPr>
                <w:sz w:val="14"/>
              </w:rPr>
            </w:pPr>
            <w:r>
              <w:rPr>
                <w:color w:val="231F20"/>
                <w:sz w:val="14"/>
              </w:rPr>
              <w:t>обичаји,</w:t>
            </w:r>
            <w:r>
              <w:rPr>
                <w:color w:val="231F20"/>
                <w:spacing w:val="-1"/>
                <w:sz w:val="14"/>
              </w:rPr>
              <w:t xml:space="preserve"> </w:t>
            </w:r>
            <w:r>
              <w:rPr>
                <w:color w:val="231F20"/>
                <w:sz w:val="14"/>
              </w:rPr>
              <w:t>празници.</w:t>
            </w:r>
          </w:p>
          <w:p w:rsidR="00041039" w:rsidRDefault="001B26CB">
            <w:pPr>
              <w:pStyle w:val="TableParagraph"/>
              <w:numPr>
                <w:ilvl w:val="0"/>
                <w:numId w:val="1473"/>
              </w:numPr>
              <w:tabs>
                <w:tab w:val="left" w:pos="157"/>
              </w:tabs>
              <w:spacing w:line="165" w:lineRule="exact"/>
              <w:ind w:hanging="99"/>
              <w:rPr>
                <w:sz w:val="14"/>
              </w:rPr>
            </w:pPr>
            <w:r>
              <w:rPr>
                <w:color w:val="231F20"/>
                <w:sz w:val="14"/>
              </w:rPr>
              <w:t>Комуникативне</w:t>
            </w:r>
            <w:r>
              <w:rPr>
                <w:color w:val="231F20"/>
                <w:spacing w:val="-1"/>
                <w:sz w:val="14"/>
              </w:rPr>
              <w:t xml:space="preserve"> </w:t>
            </w:r>
            <w:r>
              <w:rPr>
                <w:color w:val="231F20"/>
                <w:sz w:val="14"/>
              </w:rPr>
              <w:t>функције:</w:t>
            </w:r>
          </w:p>
          <w:p w:rsidR="00041039" w:rsidRDefault="001B26CB">
            <w:pPr>
              <w:pStyle w:val="TableParagraph"/>
              <w:numPr>
                <w:ilvl w:val="0"/>
                <w:numId w:val="1472"/>
              </w:numPr>
              <w:tabs>
                <w:tab w:val="left" w:pos="163"/>
              </w:tabs>
              <w:ind w:right="133"/>
              <w:rPr>
                <w:sz w:val="14"/>
              </w:rPr>
            </w:pPr>
            <w:r>
              <w:rPr>
                <w:color w:val="231F20"/>
                <w:sz w:val="14"/>
              </w:rPr>
              <w:t>исказивање расположења;</w:t>
            </w:r>
            <w:r>
              <w:rPr>
                <w:color w:val="231F20"/>
                <w:spacing w:val="-16"/>
                <w:sz w:val="14"/>
              </w:rPr>
              <w:t xml:space="preserve"> </w:t>
            </w:r>
            <w:r>
              <w:rPr>
                <w:color w:val="231F20"/>
                <w:sz w:val="14"/>
              </w:rPr>
              <w:t>допадања/недо­ падања;</w:t>
            </w:r>
          </w:p>
          <w:p w:rsidR="00041039" w:rsidRDefault="001B26CB">
            <w:pPr>
              <w:pStyle w:val="TableParagraph"/>
              <w:numPr>
                <w:ilvl w:val="0"/>
                <w:numId w:val="1472"/>
              </w:numPr>
              <w:tabs>
                <w:tab w:val="left" w:pos="163"/>
              </w:tabs>
              <w:ind w:right="174"/>
              <w:rPr>
                <w:sz w:val="14"/>
              </w:rPr>
            </w:pPr>
            <w:r>
              <w:rPr>
                <w:color w:val="231F20"/>
                <w:sz w:val="14"/>
              </w:rPr>
              <w:t>предлагање и прихватање /</w:t>
            </w:r>
            <w:r>
              <w:rPr>
                <w:color w:val="231F20"/>
                <w:spacing w:val="-22"/>
                <w:sz w:val="14"/>
              </w:rPr>
              <w:t xml:space="preserve"> </w:t>
            </w:r>
            <w:r>
              <w:rPr>
                <w:color w:val="231F20"/>
                <w:sz w:val="14"/>
              </w:rPr>
              <w:t>неприхватање предлога:</w:t>
            </w:r>
          </w:p>
          <w:p w:rsidR="00041039" w:rsidRDefault="001B26CB">
            <w:pPr>
              <w:pStyle w:val="TableParagraph"/>
              <w:numPr>
                <w:ilvl w:val="0"/>
                <w:numId w:val="1472"/>
              </w:numPr>
              <w:tabs>
                <w:tab w:val="left" w:pos="163"/>
              </w:tabs>
              <w:spacing w:line="154" w:lineRule="exact"/>
              <w:rPr>
                <w:sz w:val="14"/>
              </w:rPr>
            </w:pPr>
            <w:r>
              <w:rPr>
                <w:color w:val="231F20"/>
                <w:sz w:val="14"/>
              </w:rPr>
              <w:t>честитање.</w:t>
            </w:r>
          </w:p>
          <w:p w:rsidR="00041039" w:rsidRDefault="001B26CB">
            <w:pPr>
              <w:pStyle w:val="TableParagraph"/>
              <w:numPr>
                <w:ilvl w:val="0"/>
                <w:numId w:val="1471"/>
              </w:numPr>
              <w:tabs>
                <w:tab w:val="left" w:pos="157"/>
              </w:tabs>
              <w:spacing w:line="237" w:lineRule="auto"/>
              <w:ind w:right="187" w:hanging="99"/>
              <w:rPr>
                <w:sz w:val="14"/>
              </w:rPr>
            </w:pPr>
            <w:r>
              <w:rPr>
                <w:color w:val="231F20"/>
                <w:sz w:val="14"/>
              </w:rPr>
              <w:t>Проширивање језичке и лексичке грађе новим речима и фразеолошким</w:t>
            </w:r>
            <w:r>
              <w:rPr>
                <w:color w:val="231F20"/>
                <w:spacing w:val="-23"/>
                <w:sz w:val="14"/>
              </w:rPr>
              <w:t xml:space="preserve"> </w:t>
            </w:r>
            <w:r>
              <w:rPr>
                <w:color w:val="231F20"/>
                <w:sz w:val="14"/>
              </w:rPr>
              <w:t>изразима.</w:t>
            </w:r>
          </w:p>
          <w:p w:rsidR="00041039" w:rsidRDefault="001B26CB">
            <w:pPr>
              <w:pStyle w:val="TableParagraph"/>
              <w:numPr>
                <w:ilvl w:val="0"/>
                <w:numId w:val="1471"/>
              </w:numPr>
              <w:tabs>
                <w:tab w:val="left" w:pos="157"/>
              </w:tabs>
              <w:spacing w:line="155"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1471"/>
              </w:numPr>
              <w:tabs>
                <w:tab w:val="left" w:pos="157"/>
              </w:tabs>
              <w:spacing w:line="166"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val="restart"/>
          </w:tcPr>
          <w:p w:rsidR="00041039" w:rsidRDefault="001B26CB">
            <w:pPr>
              <w:pStyle w:val="TableParagraph"/>
              <w:spacing w:before="16"/>
              <w:ind w:left="58"/>
              <w:rPr>
                <w:b/>
                <w:sz w:val="14"/>
              </w:rPr>
            </w:pPr>
            <w:r>
              <w:rPr>
                <w:b/>
                <w:color w:val="231F20"/>
                <w:sz w:val="14"/>
              </w:rPr>
              <w:t>Препоруке за реализацију садр- жаја програма</w:t>
            </w:r>
          </w:p>
          <w:p w:rsidR="00041039" w:rsidRDefault="001B26CB">
            <w:pPr>
              <w:pStyle w:val="TableParagraph"/>
              <w:ind w:left="58" w:right="42"/>
              <w:rPr>
                <w:sz w:val="14"/>
              </w:rPr>
            </w:pPr>
            <w:r>
              <w:rPr>
                <w:color w:val="231F20"/>
                <w:sz w:val="14"/>
              </w:rPr>
              <w:t xml:space="preserve">Наставник треба да се упозна са садржајем програма предмета </w:t>
            </w:r>
            <w:r>
              <w:rPr>
                <w:i/>
                <w:color w:val="231F20"/>
                <w:sz w:val="14"/>
              </w:rPr>
              <w:t xml:space="preserve">срп- </w:t>
            </w:r>
            <w:r>
              <w:rPr>
                <w:i/>
                <w:color w:val="231F20"/>
                <w:sz w:val="14"/>
              </w:rPr>
              <w:t xml:space="preserve">ски као нематерњи језик </w:t>
            </w:r>
            <w:r>
              <w:rPr>
                <w:color w:val="231F20"/>
                <w:sz w:val="14"/>
              </w:rPr>
              <w:t xml:space="preserve">за први и други разред средње </w:t>
            </w:r>
            <w:r>
              <w:rPr>
                <w:color w:val="231F20"/>
                <w:spacing w:val="-3"/>
                <w:sz w:val="14"/>
              </w:rPr>
              <w:t xml:space="preserve">школе. </w:t>
            </w:r>
            <w:r>
              <w:rPr>
                <w:color w:val="231F20"/>
                <w:sz w:val="14"/>
              </w:rPr>
              <w:t>Осим овладавања садржајима предвиђе­ ним за овај разред у настави је неопходно обезбедити обнављање</w:t>
            </w:r>
            <w:r>
              <w:rPr>
                <w:color w:val="231F20"/>
                <w:spacing w:val="-19"/>
                <w:sz w:val="14"/>
              </w:rPr>
              <w:t xml:space="preserve"> </w:t>
            </w:r>
            <w:r>
              <w:rPr>
                <w:color w:val="231F20"/>
                <w:sz w:val="14"/>
              </w:rPr>
              <w:t xml:space="preserve">и утврђивање градива из претходних разреда </w:t>
            </w:r>
            <w:r>
              <w:rPr>
                <w:color w:val="231F20"/>
                <w:spacing w:val="-3"/>
                <w:sz w:val="14"/>
              </w:rPr>
              <w:t xml:space="preserve">како </w:t>
            </w:r>
            <w:r>
              <w:rPr>
                <w:color w:val="231F20"/>
                <w:sz w:val="14"/>
              </w:rPr>
              <w:t>би се спречило његово заборављање и учврстиле с</w:t>
            </w:r>
            <w:r>
              <w:rPr>
                <w:color w:val="231F20"/>
                <w:sz w:val="14"/>
              </w:rPr>
              <w:t xml:space="preserve">течене навике, а ново градиво усвајало као природни наставак претходног и као део једног целовитог система. Настава </w:t>
            </w:r>
            <w:r>
              <w:rPr>
                <w:i/>
                <w:color w:val="231F20"/>
                <w:spacing w:val="-3"/>
                <w:sz w:val="14"/>
              </w:rPr>
              <w:t xml:space="preserve">српског као нематерњег језика </w:t>
            </w:r>
            <w:r>
              <w:rPr>
                <w:color w:val="231F20"/>
                <w:sz w:val="14"/>
              </w:rPr>
              <w:t xml:space="preserve">не </w:t>
            </w:r>
            <w:r>
              <w:rPr>
                <w:color w:val="231F20"/>
                <w:spacing w:val="-3"/>
                <w:sz w:val="14"/>
              </w:rPr>
              <w:t xml:space="preserve">може </w:t>
            </w:r>
            <w:r>
              <w:rPr>
                <w:color w:val="231F20"/>
                <w:sz w:val="14"/>
              </w:rPr>
              <w:t xml:space="preserve">бити </w:t>
            </w:r>
            <w:r>
              <w:rPr>
                <w:color w:val="231F20"/>
                <w:spacing w:val="-2"/>
                <w:sz w:val="14"/>
              </w:rPr>
              <w:t xml:space="preserve">једнообразна </w:t>
            </w:r>
            <w:r>
              <w:rPr>
                <w:color w:val="231F20"/>
                <w:sz w:val="14"/>
              </w:rPr>
              <w:t>и у</w:t>
            </w:r>
            <w:r>
              <w:rPr>
                <w:color w:val="231F20"/>
                <w:spacing w:val="-8"/>
                <w:sz w:val="14"/>
              </w:rPr>
              <w:t xml:space="preserve"> </w:t>
            </w:r>
            <w:r>
              <w:rPr>
                <w:color w:val="231F20"/>
                <w:sz w:val="14"/>
              </w:rPr>
              <w:t>њој</w:t>
            </w:r>
            <w:r>
              <w:rPr>
                <w:color w:val="231F20"/>
                <w:spacing w:val="-8"/>
                <w:sz w:val="14"/>
              </w:rPr>
              <w:t xml:space="preserve"> </w:t>
            </w:r>
            <w:r>
              <w:rPr>
                <w:color w:val="231F20"/>
                <w:sz w:val="14"/>
              </w:rPr>
              <w:t>се</w:t>
            </w:r>
            <w:r>
              <w:rPr>
                <w:color w:val="231F20"/>
                <w:spacing w:val="-8"/>
                <w:sz w:val="14"/>
              </w:rPr>
              <w:t xml:space="preserve"> </w:t>
            </w:r>
            <w:r>
              <w:rPr>
                <w:color w:val="231F20"/>
                <w:sz w:val="14"/>
              </w:rPr>
              <w:t>морају</w:t>
            </w:r>
            <w:r>
              <w:rPr>
                <w:color w:val="231F20"/>
                <w:spacing w:val="-8"/>
                <w:sz w:val="14"/>
              </w:rPr>
              <w:t xml:space="preserve"> </w:t>
            </w:r>
            <w:r>
              <w:rPr>
                <w:color w:val="231F20"/>
                <w:spacing w:val="-3"/>
                <w:sz w:val="14"/>
              </w:rPr>
              <w:t>уважавати</w:t>
            </w:r>
            <w:r>
              <w:rPr>
                <w:color w:val="231F20"/>
                <w:spacing w:val="-8"/>
                <w:sz w:val="14"/>
              </w:rPr>
              <w:t xml:space="preserve"> </w:t>
            </w:r>
            <w:r>
              <w:rPr>
                <w:color w:val="231F20"/>
                <w:sz w:val="14"/>
              </w:rPr>
              <w:t xml:space="preserve">различите могућности и потребе ученика раз­ личитих средина и различитих ма­ терњих језика, При </w:t>
            </w:r>
            <w:r>
              <w:rPr>
                <w:color w:val="231F20"/>
                <w:spacing w:val="-3"/>
                <w:sz w:val="14"/>
              </w:rPr>
              <w:t xml:space="preserve">том </w:t>
            </w:r>
            <w:r>
              <w:rPr>
                <w:color w:val="231F20"/>
                <w:sz w:val="14"/>
              </w:rPr>
              <w:t xml:space="preserve">се у </w:t>
            </w:r>
            <w:r>
              <w:rPr>
                <w:color w:val="231F20"/>
                <w:spacing w:val="-3"/>
                <w:sz w:val="14"/>
              </w:rPr>
              <w:t xml:space="preserve">наставу наглашено </w:t>
            </w:r>
            <w:r>
              <w:rPr>
                <w:color w:val="231F20"/>
                <w:sz w:val="14"/>
              </w:rPr>
              <w:t>укључује принцип индивидуализације испровођење диференцираног</w:t>
            </w:r>
            <w:r>
              <w:rPr>
                <w:color w:val="231F20"/>
                <w:spacing w:val="-19"/>
                <w:sz w:val="14"/>
              </w:rPr>
              <w:t xml:space="preserve"> </w:t>
            </w:r>
            <w:r>
              <w:rPr>
                <w:color w:val="231F20"/>
                <w:sz w:val="14"/>
              </w:rPr>
              <w:t>рада</w:t>
            </w:r>
            <w:r>
              <w:rPr>
                <w:color w:val="231F20"/>
                <w:spacing w:val="-19"/>
                <w:sz w:val="14"/>
              </w:rPr>
              <w:t xml:space="preserve"> </w:t>
            </w:r>
            <w:r>
              <w:rPr>
                <w:color w:val="231F20"/>
                <w:sz w:val="14"/>
              </w:rPr>
              <w:t>на</w:t>
            </w:r>
            <w:r>
              <w:rPr>
                <w:color w:val="231F20"/>
                <w:spacing w:val="-19"/>
                <w:sz w:val="14"/>
              </w:rPr>
              <w:t xml:space="preserve"> </w:t>
            </w:r>
            <w:r>
              <w:rPr>
                <w:color w:val="231F20"/>
                <w:sz w:val="14"/>
              </w:rPr>
              <w:t xml:space="preserve">различитим нивоима </w:t>
            </w:r>
            <w:r>
              <w:rPr>
                <w:color w:val="231F20"/>
                <w:spacing w:val="-3"/>
                <w:sz w:val="14"/>
              </w:rPr>
              <w:t>ученичког</w:t>
            </w:r>
            <w:r>
              <w:rPr>
                <w:color w:val="231F20"/>
                <w:spacing w:val="-8"/>
                <w:sz w:val="14"/>
              </w:rPr>
              <w:t xml:space="preserve"> </w:t>
            </w:r>
            <w:r>
              <w:rPr>
                <w:color w:val="231F20"/>
                <w:sz w:val="14"/>
              </w:rPr>
              <w:t>знања.</w:t>
            </w:r>
          </w:p>
          <w:p w:rsidR="00041039" w:rsidRDefault="001B26CB">
            <w:pPr>
              <w:pStyle w:val="TableParagraph"/>
              <w:spacing w:line="138" w:lineRule="exact"/>
              <w:ind w:left="58"/>
              <w:rPr>
                <w:sz w:val="14"/>
              </w:rPr>
            </w:pPr>
            <w:r>
              <w:rPr>
                <w:color w:val="231F20"/>
                <w:sz w:val="14"/>
              </w:rPr>
              <w:t>С обзиром на то да је основ</w:t>
            </w:r>
            <w:r>
              <w:rPr>
                <w:color w:val="231F20"/>
                <w:sz w:val="14"/>
              </w:rPr>
              <w:t>ни циљ</w:t>
            </w:r>
          </w:p>
          <w:p w:rsidR="00041039" w:rsidRDefault="001B26CB">
            <w:pPr>
              <w:pStyle w:val="TableParagraph"/>
              <w:ind w:left="58" w:right="43"/>
              <w:rPr>
                <w:sz w:val="14"/>
              </w:rPr>
            </w:pPr>
            <w:r>
              <w:rPr>
                <w:color w:val="231F20"/>
                <w:sz w:val="14"/>
              </w:rPr>
              <w:t>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line="237" w:lineRule="auto"/>
              <w:ind w:left="58" w:right="40"/>
              <w:rPr>
                <w:sz w:val="14"/>
              </w:rPr>
            </w:pPr>
            <w:r>
              <w:rPr>
                <w:color w:val="231F20"/>
                <w:sz w:val="14"/>
              </w:rPr>
              <w:t>Наст</w:t>
            </w:r>
            <w:r>
              <w:rPr>
                <w:color w:val="231F20"/>
                <w:sz w:val="14"/>
              </w:rPr>
              <w:t>аву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 и у књижевним и другим текст</w:t>
            </w:r>
            <w:r>
              <w:rPr>
                <w:color w:val="231F20"/>
                <w:sz w:val="14"/>
              </w:rPr>
              <w:t xml:space="preserve">овима. 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 ким тако и садржајима из културе. Поред језичких, у пуној мери морају бити заступљени књижевни, уметнички, савремени садржаји и садржаји цивилизацијских т</w:t>
            </w:r>
            <w:r>
              <w:rPr>
                <w:color w:val="231F20"/>
                <w:sz w:val="14"/>
              </w:rPr>
              <w:t>екови­ на. У оквиру часова књижевности обрађују се одабрани одломци из српске књижевности у складу са нивоом знања и интересовањима ученика.</w:t>
            </w:r>
          </w:p>
          <w:p w:rsidR="00041039" w:rsidRDefault="001B26CB">
            <w:pPr>
              <w:pStyle w:val="TableParagraph"/>
              <w:spacing w:before="3"/>
              <w:ind w:left="58"/>
              <w:rPr>
                <w:sz w:val="14"/>
              </w:rPr>
            </w:pPr>
            <w:r>
              <w:rPr>
                <w:color w:val="231F20"/>
                <w:sz w:val="14"/>
              </w:rPr>
              <w:t xml:space="preserve">Поред предложених књижевних текстова у настави треба користити текстове и других функционалних стилова, аутентичне </w:t>
            </w:r>
            <w:r>
              <w:rPr>
                <w:color w:val="231F20"/>
                <w:sz w:val="14"/>
              </w:rPr>
              <w:t>и конструи­ сане, да би ученици стицали спо­ собност разликовања и адекватне примене одговарајућих форми изражавања.</w:t>
            </w:r>
          </w:p>
          <w:p w:rsidR="00041039" w:rsidRDefault="001B26CB">
            <w:pPr>
              <w:pStyle w:val="TableParagraph"/>
              <w:spacing w:line="237" w:lineRule="auto"/>
              <w:ind w:left="58" w:right="7"/>
              <w:rPr>
                <w:sz w:val="14"/>
              </w:rPr>
            </w:pPr>
            <w:r>
              <w:rPr>
                <w:color w:val="231F20"/>
                <w:sz w:val="14"/>
              </w:rPr>
              <w:t>Изузетну пажњу треба посветити мотивацији ученика за рад органи­ зовањем различитих метода и обли­ ка рада и разноврсним лексичким, грамати</w:t>
            </w:r>
            <w:r>
              <w:rPr>
                <w:color w:val="231F20"/>
                <w:sz w:val="14"/>
              </w:rPr>
              <w:t>чким и комуникативним вежбама.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ind w:left="58" w:right="79"/>
              <w:rPr>
                <w:sz w:val="14"/>
              </w:rPr>
            </w:pPr>
            <w:r>
              <w:rPr>
                <w:color w:val="231F20"/>
                <w:sz w:val="14"/>
              </w:rPr>
              <w:t>Приликом интерпретације</w:t>
            </w:r>
            <w:r>
              <w:rPr>
                <w:color w:val="231F20"/>
                <w:spacing w:val="-20"/>
                <w:sz w:val="14"/>
              </w:rPr>
              <w:t xml:space="preserve"> </w:t>
            </w:r>
            <w:r>
              <w:rPr>
                <w:color w:val="231F20"/>
                <w:sz w:val="14"/>
              </w:rPr>
              <w:t>књижев­ ноуметничких текстова, указивати на особености књижевних род</w:t>
            </w:r>
            <w:r>
              <w:rPr>
                <w:color w:val="231F20"/>
                <w:sz w:val="14"/>
              </w:rPr>
              <w:t>ова и врста као и на језичко ­ стилске одлике књижевних</w:t>
            </w:r>
            <w:r>
              <w:rPr>
                <w:color w:val="231F20"/>
                <w:spacing w:val="-2"/>
                <w:sz w:val="14"/>
              </w:rPr>
              <w:t xml:space="preserve"> </w:t>
            </w:r>
            <w:r>
              <w:rPr>
                <w:color w:val="231F20"/>
                <w:sz w:val="14"/>
              </w:rPr>
              <w:t>дела.</w:t>
            </w:r>
          </w:p>
          <w:p w:rsidR="00041039" w:rsidRDefault="001B26CB">
            <w:pPr>
              <w:pStyle w:val="TableParagraph"/>
              <w:spacing w:line="237" w:lineRule="auto"/>
              <w:ind w:left="58" w:right="308"/>
              <w:rPr>
                <w:sz w:val="14"/>
              </w:rPr>
            </w:pPr>
            <w:r>
              <w:rPr>
                <w:color w:val="231F20"/>
                <w:sz w:val="14"/>
              </w:rPr>
              <w:t>На примерима текстова српс­ ке књижевности обнављати и систематизовати садржаје из историје књижевности, теорије</w:t>
            </w:r>
          </w:p>
          <w:p w:rsidR="00041039" w:rsidRDefault="001B26CB">
            <w:pPr>
              <w:pStyle w:val="TableParagraph"/>
              <w:spacing w:line="237" w:lineRule="auto"/>
              <w:ind w:left="58"/>
              <w:rPr>
                <w:sz w:val="14"/>
              </w:rPr>
            </w:pPr>
            <w:r>
              <w:rPr>
                <w:color w:val="231F20"/>
                <w:sz w:val="14"/>
              </w:rPr>
              <w:t>књижевности и књижевне критике, које ученик познаје из програма прописаног за савладавање његовог матерњег језика.</w:t>
            </w:r>
          </w:p>
        </w:tc>
      </w:tr>
      <w:tr w:rsidR="00041039">
        <w:trPr>
          <w:trHeight w:val="10707"/>
        </w:trPr>
        <w:tc>
          <w:tcPr>
            <w:tcW w:w="1304" w:type="dxa"/>
          </w:tcPr>
          <w:p w:rsidR="00041039" w:rsidRDefault="001B26CB">
            <w:pPr>
              <w:pStyle w:val="TableParagraph"/>
              <w:spacing w:before="20"/>
              <w:ind w:left="56"/>
              <w:rPr>
                <w:sz w:val="14"/>
              </w:rPr>
            </w:pPr>
            <w:r>
              <w:rPr>
                <w:color w:val="231F20"/>
                <w:sz w:val="14"/>
              </w:rPr>
              <w:t>Књижевност</w:t>
            </w:r>
          </w:p>
        </w:tc>
        <w:tc>
          <w:tcPr>
            <w:tcW w:w="1587" w:type="dxa"/>
          </w:tcPr>
          <w:p w:rsidR="00041039" w:rsidRDefault="001B26CB">
            <w:pPr>
              <w:pStyle w:val="TableParagraph"/>
              <w:numPr>
                <w:ilvl w:val="0"/>
                <w:numId w:val="1470"/>
              </w:numPr>
              <w:tabs>
                <w:tab w:val="left" w:pos="157"/>
              </w:tabs>
              <w:spacing w:before="10"/>
              <w:ind w:right="173"/>
              <w:rPr>
                <w:sz w:val="14"/>
              </w:rPr>
            </w:pPr>
            <w:r>
              <w:rPr>
                <w:color w:val="231F20"/>
                <w:sz w:val="14"/>
              </w:rPr>
              <w:t>Упознавање са значајним делима српске</w:t>
            </w:r>
            <w:r>
              <w:rPr>
                <w:color w:val="231F20"/>
                <w:spacing w:val="-3"/>
                <w:sz w:val="14"/>
              </w:rPr>
              <w:t xml:space="preserve"> </w:t>
            </w:r>
            <w:r>
              <w:rPr>
                <w:color w:val="231F20"/>
                <w:sz w:val="14"/>
              </w:rPr>
              <w:t>књижевности и њиховим најзна­ чајнијим одликама и особеностима.</w:t>
            </w:r>
          </w:p>
        </w:tc>
        <w:tc>
          <w:tcPr>
            <w:tcW w:w="2551" w:type="dxa"/>
          </w:tcPr>
          <w:p w:rsidR="00041039" w:rsidRDefault="001B26CB">
            <w:pPr>
              <w:pStyle w:val="TableParagraph"/>
              <w:numPr>
                <w:ilvl w:val="0"/>
                <w:numId w:val="1469"/>
              </w:numPr>
              <w:tabs>
                <w:tab w:val="left" w:pos="157"/>
              </w:tabs>
              <w:spacing w:before="10"/>
              <w:ind w:right="146" w:hanging="99"/>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10"/>
                <w:sz w:val="14"/>
              </w:rPr>
              <w:t xml:space="preserve"> </w:t>
            </w:r>
            <w:r>
              <w:rPr>
                <w:color w:val="231F20"/>
                <w:sz w:val="14"/>
              </w:rPr>
              <w:t>текстова;</w:t>
            </w:r>
          </w:p>
          <w:p w:rsidR="00041039" w:rsidRDefault="001B26CB">
            <w:pPr>
              <w:pStyle w:val="TableParagraph"/>
              <w:numPr>
                <w:ilvl w:val="0"/>
                <w:numId w:val="1469"/>
              </w:numPr>
              <w:tabs>
                <w:tab w:val="left" w:pos="157"/>
              </w:tabs>
              <w:spacing w:line="153" w:lineRule="exact"/>
              <w:ind w:hanging="99"/>
              <w:rPr>
                <w:sz w:val="14"/>
              </w:rPr>
            </w:pPr>
            <w:r>
              <w:rPr>
                <w:color w:val="231F20"/>
                <w:sz w:val="14"/>
              </w:rPr>
              <w:t>анализира идејне аспекте</w:t>
            </w:r>
            <w:r>
              <w:rPr>
                <w:color w:val="231F20"/>
                <w:spacing w:val="-5"/>
                <w:sz w:val="14"/>
              </w:rPr>
              <w:t xml:space="preserve"> </w:t>
            </w:r>
            <w:r>
              <w:rPr>
                <w:color w:val="231F20"/>
                <w:sz w:val="14"/>
              </w:rPr>
              <w:t>текста;</w:t>
            </w:r>
          </w:p>
          <w:p w:rsidR="00041039" w:rsidRDefault="001B26CB">
            <w:pPr>
              <w:pStyle w:val="TableParagraph"/>
              <w:numPr>
                <w:ilvl w:val="0"/>
                <w:numId w:val="1469"/>
              </w:numPr>
              <w:tabs>
                <w:tab w:val="left" w:pos="157"/>
              </w:tabs>
              <w:spacing w:line="237" w:lineRule="auto"/>
              <w:ind w:right="69" w:hanging="99"/>
              <w:rPr>
                <w:sz w:val="14"/>
              </w:rPr>
            </w:pPr>
            <w:r>
              <w:rPr>
                <w:color w:val="231F20"/>
                <w:sz w:val="14"/>
              </w:rPr>
              <w:t xml:space="preserve">уочава основне интеграционе чиниоце интерпретације књижевноуметничког текста </w:t>
            </w:r>
            <w:r>
              <w:rPr>
                <w:color w:val="231F20"/>
                <w:spacing w:val="-3"/>
                <w:sz w:val="14"/>
              </w:rPr>
              <w:t xml:space="preserve">(тему, </w:t>
            </w:r>
            <w:r>
              <w:rPr>
                <w:color w:val="231F20"/>
                <w:sz w:val="14"/>
              </w:rPr>
              <w:t xml:space="preserve">мотиве, песничке слике, типове јунака, </w:t>
            </w:r>
            <w:r>
              <w:rPr>
                <w:color w:val="231F20"/>
                <w:spacing w:val="-3"/>
                <w:sz w:val="14"/>
              </w:rPr>
              <w:t xml:space="preserve">структуру, композицију, </w:t>
            </w:r>
            <w:r>
              <w:rPr>
                <w:color w:val="231F20"/>
                <w:sz w:val="14"/>
              </w:rPr>
              <w:t>облике казивања, језичко ­ стилске карактеристике...);</w:t>
            </w:r>
          </w:p>
        </w:tc>
        <w:tc>
          <w:tcPr>
            <w:tcW w:w="2834" w:type="dxa"/>
          </w:tcPr>
          <w:p w:rsidR="00041039" w:rsidRDefault="001B26CB">
            <w:pPr>
              <w:pStyle w:val="TableParagraph"/>
              <w:spacing w:before="20" w:line="155" w:lineRule="exact"/>
              <w:ind w:left="57"/>
              <w:rPr>
                <w:sz w:val="14"/>
              </w:rPr>
            </w:pPr>
            <w:r>
              <w:rPr>
                <w:color w:val="231F20"/>
                <w:sz w:val="14"/>
              </w:rPr>
              <w:t>ОБАВЕЗНИ:</w:t>
            </w:r>
          </w:p>
          <w:p w:rsidR="00041039" w:rsidRDefault="001B26CB">
            <w:pPr>
              <w:pStyle w:val="TableParagraph"/>
              <w:numPr>
                <w:ilvl w:val="0"/>
                <w:numId w:val="1468"/>
              </w:numPr>
              <w:tabs>
                <w:tab w:val="left" w:pos="157"/>
              </w:tabs>
              <w:spacing w:line="160" w:lineRule="exact"/>
              <w:ind w:hanging="99"/>
              <w:rPr>
                <w:sz w:val="14"/>
              </w:rPr>
            </w:pPr>
            <w:r>
              <w:rPr>
                <w:color w:val="231F20"/>
                <w:sz w:val="14"/>
              </w:rPr>
              <w:t>„Бановић</w:t>
            </w:r>
            <w:r>
              <w:rPr>
                <w:color w:val="231F20"/>
                <w:spacing w:val="-1"/>
                <w:sz w:val="14"/>
              </w:rPr>
              <w:t xml:space="preserve"> </w:t>
            </w:r>
            <w:r>
              <w:rPr>
                <w:color w:val="231F20"/>
                <w:sz w:val="14"/>
              </w:rPr>
              <w:t>Страхиња”.</w:t>
            </w:r>
          </w:p>
          <w:p w:rsidR="00041039" w:rsidRDefault="001B26CB">
            <w:pPr>
              <w:pStyle w:val="TableParagraph"/>
              <w:numPr>
                <w:ilvl w:val="0"/>
                <w:numId w:val="1468"/>
              </w:numPr>
              <w:tabs>
                <w:tab w:val="left" w:pos="157"/>
              </w:tabs>
              <w:spacing w:line="160" w:lineRule="exact"/>
              <w:ind w:hanging="99"/>
              <w:rPr>
                <w:sz w:val="14"/>
              </w:rPr>
            </w:pPr>
            <w:r>
              <w:rPr>
                <w:color w:val="231F20"/>
                <w:sz w:val="14"/>
              </w:rPr>
              <w:t>„Немушти</w:t>
            </w:r>
            <w:r>
              <w:rPr>
                <w:color w:val="231F20"/>
                <w:spacing w:val="-1"/>
                <w:sz w:val="14"/>
              </w:rPr>
              <w:t xml:space="preserve"> </w:t>
            </w:r>
            <w:r>
              <w:rPr>
                <w:color w:val="231F20"/>
                <w:sz w:val="14"/>
              </w:rPr>
              <w:t>језик”.</w:t>
            </w:r>
          </w:p>
          <w:p w:rsidR="00041039" w:rsidRDefault="001B26CB">
            <w:pPr>
              <w:pStyle w:val="TableParagraph"/>
              <w:numPr>
                <w:ilvl w:val="0"/>
                <w:numId w:val="1468"/>
              </w:numPr>
              <w:tabs>
                <w:tab w:val="left" w:pos="157"/>
              </w:tabs>
              <w:spacing w:line="160" w:lineRule="exact"/>
              <w:ind w:hanging="99"/>
              <w:rPr>
                <w:sz w:val="14"/>
              </w:rPr>
            </w:pPr>
            <w:r>
              <w:rPr>
                <w:color w:val="231F20"/>
                <w:sz w:val="14"/>
              </w:rPr>
              <w:t>Милан Ракић: „Искрена</w:t>
            </w:r>
            <w:r>
              <w:rPr>
                <w:color w:val="231F20"/>
                <w:spacing w:val="-3"/>
                <w:sz w:val="14"/>
              </w:rPr>
              <w:t xml:space="preserve"> </w:t>
            </w:r>
            <w:r>
              <w:rPr>
                <w:color w:val="231F20"/>
                <w:sz w:val="14"/>
              </w:rPr>
              <w:t>песма”.</w:t>
            </w:r>
          </w:p>
          <w:p w:rsidR="00041039" w:rsidRDefault="001B26CB">
            <w:pPr>
              <w:pStyle w:val="TableParagraph"/>
              <w:numPr>
                <w:ilvl w:val="0"/>
                <w:numId w:val="1468"/>
              </w:numPr>
              <w:tabs>
                <w:tab w:val="left" w:pos="157"/>
              </w:tabs>
              <w:spacing w:line="160" w:lineRule="exact"/>
              <w:ind w:hanging="99"/>
              <w:rPr>
                <w:sz w:val="14"/>
              </w:rPr>
            </w:pPr>
            <w:r>
              <w:rPr>
                <w:color w:val="231F20"/>
                <w:sz w:val="14"/>
              </w:rPr>
              <w:t>Милош Црњански: ,.Прича” или</w:t>
            </w:r>
            <w:r>
              <w:rPr>
                <w:color w:val="231F20"/>
                <w:spacing w:val="-12"/>
                <w:sz w:val="14"/>
              </w:rPr>
              <w:t xml:space="preserve"> </w:t>
            </w:r>
            <w:r>
              <w:rPr>
                <w:color w:val="231F20"/>
                <w:sz w:val="14"/>
              </w:rPr>
              <w:t>,,Живот”.</w:t>
            </w:r>
          </w:p>
          <w:p w:rsidR="00041039" w:rsidRDefault="001B26CB">
            <w:pPr>
              <w:pStyle w:val="TableParagraph"/>
              <w:numPr>
                <w:ilvl w:val="0"/>
                <w:numId w:val="1468"/>
              </w:numPr>
              <w:tabs>
                <w:tab w:val="left" w:pos="157"/>
              </w:tabs>
              <w:spacing w:line="237" w:lineRule="auto"/>
              <w:ind w:right="102" w:hanging="99"/>
              <w:rPr>
                <w:sz w:val="14"/>
              </w:rPr>
            </w:pPr>
            <w:r>
              <w:rPr>
                <w:color w:val="231F20"/>
                <w:sz w:val="14"/>
              </w:rPr>
              <w:t>Момо</w:t>
            </w:r>
            <w:r>
              <w:rPr>
                <w:color w:val="231F20"/>
                <w:spacing w:val="-6"/>
                <w:sz w:val="14"/>
              </w:rPr>
              <w:t xml:space="preserve"> </w:t>
            </w:r>
            <w:r>
              <w:rPr>
                <w:color w:val="231F20"/>
                <w:sz w:val="14"/>
              </w:rPr>
              <w:t>Капор:</w:t>
            </w:r>
            <w:r>
              <w:rPr>
                <w:color w:val="231F20"/>
                <w:spacing w:val="-7"/>
                <w:sz w:val="14"/>
              </w:rPr>
              <w:t xml:space="preserve"> </w:t>
            </w:r>
            <w:r>
              <w:rPr>
                <w:color w:val="231F20"/>
                <w:sz w:val="14"/>
              </w:rPr>
              <w:t>„Белешке</w:t>
            </w:r>
            <w:r>
              <w:rPr>
                <w:color w:val="231F20"/>
                <w:spacing w:val="-6"/>
                <w:sz w:val="14"/>
              </w:rPr>
              <w:t xml:space="preserve"> </w:t>
            </w:r>
            <w:r>
              <w:rPr>
                <w:color w:val="231F20"/>
                <w:sz w:val="14"/>
              </w:rPr>
              <w:t>једне</w:t>
            </w:r>
            <w:r>
              <w:rPr>
                <w:color w:val="231F20"/>
                <w:spacing w:val="-6"/>
                <w:sz w:val="14"/>
              </w:rPr>
              <w:t xml:space="preserve"> </w:t>
            </w:r>
            <w:r>
              <w:rPr>
                <w:color w:val="231F20"/>
                <w:sz w:val="14"/>
              </w:rPr>
              <w:t>Ане”</w:t>
            </w:r>
            <w:r>
              <w:rPr>
                <w:color w:val="231F20"/>
                <w:spacing w:val="-7"/>
                <w:sz w:val="14"/>
              </w:rPr>
              <w:t xml:space="preserve"> </w:t>
            </w:r>
            <w:r>
              <w:rPr>
                <w:color w:val="231F20"/>
                <w:sz w:val="14"/>
              </w:rPr>
              <w:t>(одлом­ ци из 1., 9. и 12.</w:t>
            </w:r>
            <w:r>
              <w:rPr>
                <w:color w:val="231F20"/>
                <w:spacing w:val="-5"/>
                <w:sz w:val="14"/>
              </w:rPr>
              <w:t xml:space="preserve"> </w:t>
            </w:r>
            <w:r>
              <w:rPr>
                <w:color w:val="231F20"/>
                <w:sz w:val="14"/>
              </w:rPr>
              <w:t>главе).</w:t>
            </w:r>
          </w:p>
          <w:p w:rsidR="00041039" w:rsidRDefault="001B26CB">
            <w:pPr>
              <w:pStyle w:val="TableParagraph"/>
              <w:numPr>
                <w:ilvl w:val="0"/>
                <w:numId w:val="1468"/>
              </w:numPr>
              <w:tabs>
                <w:tab w:val="left" w:pos="157"/>
              </w:tabs>
              <w:spacing w:line="155" w:lineRule="exact"/>
              <w:ind w:hanging="99"/>
              <w:rPr>
                <w:sz w:val="14"/>
              </w:rPr>
            </w:pPr>
            <w:r>
              <w:rPr>
                <w:color w:val="231F20"/>
                <w:sz w:val="14"/>
              </w:rPr>
              <w:t>Лаза Лазаревић: ,,</w:t>
            </w:r>
            <w:r>
              <w:rPr>
                <w:color w:val="231F20"/>
                <w:sz w:val="14"/>
              </w:rPr>
              <w:t>Ветар”</w:t>
            </w:r>
            <w:r>
              <w:rPr>
                <w:color w:val="231F20"/>
                <w:spacing w:val="-6"/>
                <w:sz w:val="14"/>
              </w:rPr>
              <w:t xml:space="preserve"> </w:t>
            </w:r>
            <w:r>
              <w:rPr>
                <w:color w:val="231F20"/>
                <w:sz w:val="14"/>
              </w:rPr>
              <w:t>(одломак).</w:t>
            </w:r>
          </w:p>
          <w:p w:rsidR="00041039" w:rsidRDefault="001B26CB">
            <w:pPr>
              <w:pStyle w:val="TableParagraph"/>
              <w:numPr>
                <w:ilvl w:val="0"/>
                <w:numId w:val="1468"/>
              </w:numPr>
              <w:tabs>
                <w:tab w:val="left" w:pos="157"/>
              </w:tabs>
              <w:spacing w:line="237" w:lineRule="auto"/>
              <w:ind w:right="43" w:hanging="99"/>
              <w:rPr>
                <w:sz w:val="14"/>
              </w:rPr>
            </w:pPr>
            <w:r>
              <w:rPr>
                <w:color w:val="231F20"/>
                <w:sz w:val="14"/>
              </w:rPr>
              <w:t>Александар Поповић: „Путујуће</w:t>
            </w:r>
            <w:r>
              <w:rPr>
                <w:color w:val="231F20"/>
                <w:spacing w:val="-18"/>
                <w:sz w:val="14"/>
              </w:rPr>
              <w:t xml:space="preserve"> </w:t>
            </w:r>
            <w:r>
              <w:rPr>
                <w:color w:val="231F20"/>
                <w:sz w:val="14"/>
              </w:rPr>
              <w:t>позориште Шопаловић” (VII слика Видова трава или Шишање Софије ­ док Дробац не изађе са сцене).</w:t>
            </w:r>
          </w:p>
          <w:p w:rsidR="00041039" w:rsidRDefault="001B26CB">
            <w:pPr>
              <w:pStyle w:val="TableParagraph"/>
              <w:spacing w:line="155" w:lineRule="exact"/>
              <w:ind w:left="57"/>
              <w:rPr>
                <w:sz w:val="14"/>
              </w:rPr>
            </w:pPr>
            <w:r>
              <w:rPr>
                <w:color w:val="231F20"/>
                <w:sz w:val="14"/>
              </w:rPr>
              <w:t>ИЗБОРНИ:</w:t>
            </w:r>
          </w:p>
          <w:p w:rsidR="00041039" w:rsidRDefault="001B26CB">
            <w:pPr>
              <w:pStyle w:val="TableParagraph"/>
              <w:numPr>
                <w:ilvl w:val="0"/>
                <w:numId w:val="1468"/>
              </w:numPr>
              <w:tabs>
                <w:tab w:val="left" w:pos="157"/>
              </w:tabs>
              <w:spacing w:line="160" w:lineRule="exact"/>
              <w:ind w:hanging="99"/>
              <w:rPr>
                <w:sz w:val="14"/>
              </w:rPr>
            </w:pPr>
            <w:r>
              <w:rPr>
                <w:color w:val="231F20"/>
                <w:sz w:val="14"/>
              </w:rPr>
              <w:t>Иво Андрић: „Ex ponto”</w:t>
            </w:r>
            <w:r>
              <w:rPr>
                <w:color w:val="231F20"/>
                <w:spacing w:val="-5"/>
                <w:sz w:val="14"/>
              </w:rPr>
              <w:t xml:space="preserve"> </w:t>
            </w:r>
            <w:r>
              <w:rPr>
                <w:color w:val="231F20"/>
                <w:sz w:val="14"/>
              </w:rPr>
              <w:t>(одломак).</w:t>
            </w:r>
          </w:p>
          <w:p w:rsidR="00041039" w:rsidRDefault="001B26CB">
            <w:pPr>
              <w:pStyle w:val="TableParagraph"/>
              <w:numPr>
                <w:ilvl w:val="0"/>
                <w:numId w:val="1468"/>
              </w:numPr>
              <w:tabs>
                <w:tab w:val="left" w:pos="157"/>
              </w:tabs>
              <w:spacing w:line="237" w:lineRule="auto"/>
              <w:ind w:right="197" w:hanging="99"/>
              <w:rPr>
                <w:sz w:val="14"/>
              </w:rPr>
            </w:pPr>
            <w:r>
              <w:rPr>
                <w:color w:val="231F20"/>
                <w:sz w:val="14"/>
              </w:rPr>
              <w:t xml:space="preserve">Милован Витезовић: „Шешир професора Косте Вујића” (одломак у </w:t>
            </w:r>
            <w:r>
              <w:rPr>
                <w:color w:val="231F20"/>
                <w:spacing w:val="-3"/>
                <w:sz w:val="14"/>
              </w:rPr>
              <w:t xml:space="preserve">коме </w:t>
            </w:r>
            <w:r>
              <w:rPr>
                <w:color w:val="231F20"/>
                <w:sz w:val="14"/>
              </w:rPr>
              <w:t xml:space="preserve">се Коста Вујић </w:t>
            </w:r>
            <w:r>
              <w:rPr>
                <w:color w:val="231F20"/>
                <w:spacing w:val="-3"/>
                <w:sz w:val="14"/>
              </w:rPr>
              <w:t xml:space="preserve">суди </w:t>
            </w:r>
            <w:r>
              <w:rPr>
                <w:color w:val="231F20"/>
                <w:sz w:val="14"/>
              </w:rPr>
              <w:t>са</w:t>
            </w:r>
            <w:r>
              <w:rPr>
                <w:color w:val="231F20"/>
                <w:spacing w:val="2"/>
                <w:sz w:val="14"/>
              </w:rPr>
              <w:t xml:space="preserve"> </w:t>
            </w:r>
            <w:r>
              <w:rPr>
                <w:color w:val="231F20"/>
                <w:sz w:val="14"/>
              </w:rPr>
              <w:t>каменоресцем).</w:t>
            </w:r>
          </w:p>
          <w:p w:rsidR="00041039" w:rsidRDefault="001B26CB">
            <w:pPr>
              <w:pStyle w:val="TableParagraph"/>
              <w:numPr>
                <w:ilvl w:val="0"/>
                <w:numId w:val="1468"/>
              </w:numPr>
              <w:tabs>
                <w:tab w:val="left" w:pos="157"/>
              </w:tabs>
              <w:spacing w:line="237" w:lineRule="auto"/>
              <w:ind w:right="375" w:hanging="99"/>
              <w:rPr>
                <w:sz w:val="14"/>
              </w:rPr>
            </w:pPr>
            <w:r>
              <w:rPr>
                <w:color w:val="231F20"/>
                <w:sz w:val="14"/>
              </w:rPr>
              <w:t>Бора Станковић: приповетка „У</w:t>
            </w:r>
            <w:r>
              <w:rPr>
                <w:color w:val="231F20"/>
                <w:spacing w:val="-24"/>
                <w:sz w:val="14"/>
              </w:rPr>
              <w:t xml:space="preserve"> </w:t>
            </w:r>
            <w:r>
              <w:rPr>
                <w:color w:val="231F20"/>
                <w:sz w:val="14"/>
              </w:rPr>
              <w:t>ноћи” (одломак).</w:t>
            </w:r>
          </w:p>
          <w:p w:rsidR="00041039" w:rsidRDefault="001B26CB">
            <w:pPr>
              <w:pStyle w:val="TableParagraph"/>
              <w:numPr>
                <w:ilvl w:val="0"/>
                <w:numId w:val="1468"/>
              </w:numPr>
              <w:tabs>
                <w:tab w:val="left" w:pos="157"/>
              </w:tabs>
              <w:spacing w:line="155" w:lineRule="exact"/>
              <w:ind w:hanging="99"/>
              <w:rPr>
                <w:sz w:val="14"/>
              </w:rPr>
            </w:pPr>
            <w:r>
              <w:rPr>
                <w:color w:val="231F20"/>
                <w:sz w:val="14"/>
              </w:rPr>
              <w:t>Текст о Сави</w:t>
            </w:r>
            <w:r>
              <w:rPr>
                <w:color w:val="231F20"/>
                <w:spacing w:val="-3"/>
                <w:sz w:val="14"/>
              </w:rPr>
              <w:t xml:space="preserve"> </w:t>
            </w:r>
            <w:r>
              <w:rPr>
                <w:color w:val="231F20"/>
                <w:sz w:val="14"/>
              </w:rPr>
              <w:t>Шумановићу.</w:t>
            </w:r>
          </w:p>
          <w:p w:rsidR="00041039" w:rsidRDefault="001B26CB">
            <w:pPr>
              <w:pStyle w:val="TableParagraph"/>
              <w:numPr>
                <w:ilvl w:val="0"/>
                <w:numId w:val="1468"/>
              </w:numPr>
              <w:tabs>
                <w:tab w:val="left" w:pos="157"/>
              </w:tabs>
              <w:spacing w:line="160" w:lineRule="exact"/>
              <w:ind w:hanging="99"/>
              <w:rPr>
                <w:sz w:val="14"/>
              </w:rPr>
            </w:pPr>
            <w:r>
              <w:rPr>
                <w:color w:val="231F20"/>
                <w:sz w:val="14"/>
              </w:rPr>
              <w:t>Избор текстова песама које се</w:t>
            </w:r>
            <w:r>
              <w:rPr>
                <w:color w:val="231F20"/>
                <w:spacing w:val="-5"/>
                <w:sz w:val="14"/>
              </w:rPr>
              <w:t xml:space="preserve"> </w:t>
            </w:r>
            <w:r>
              <w:rPr>
                <w:color w:val="231F20"/>
                <w:spacing w:val="-3"/>
                <w:sz w:val="14"/>
              </w:rPr>
              <w:t>певају.</w:t>
            </w:r>
          </w:p>
          <w:p w:rsidR="00041039" w:rsidRDefault="001B26CB">
            <w:pPr>
              <w:pStyle w:val="TableParagraph"/>
              <w:numPr>
                <w:ilvl w:val="0"/>
                <w:numId w:val="1468"/>
              </w:numPr>
              <w:tabs>
                <w:tab w:val="left" w:pos="157"/>
              </w:tabs>
              <w:spacing w:line="237" w:lineRule="auto"/>
              <w:ind w:right="148" w:hanging="99"/>
              <w:rPr>
                <w:sz w:val="14"/>
              </w:rPr>
            </w:pPr>
            <w:r>
              <w:rPr>
                <w:color w:val="231F20"/>
                <w:sz w:val="14"/>
              </w:rPr>
              <w:t>Текст из функционалне стилистике:</w:t>
            </w:r>
            <w:r>
              <w:rPr>
                <w:color w:val="231F20"/>
                <w:spacing w:val="-22"/>
                <w:sz w:val="14"/>
              </w:rPr>
              <w:t xml:space="preserve"> </w:t>
            </w:r>
            <w:r>
              <w:rPr>
                <w:color w:val="231F20"/>
                <w:sz w:val="14"/>
              </w:rPr>
              <w:t>адми­ нистративно правни</w:t>
            </w:r>
            <w:r>
              <w:rPr>
                <w:color w:val="231F20"/>
                <w:spacing w:val="-2"/>
                <w:sz w:val="14"/>
              </w:rPr>
              <w:t xml:space="preserve"> </w:t>
            </w:r>
            <w:r>
              <w:rPr>
                <w:color w:val="231F20"/>
                <w:sz w:val="14"/>
              </w:rPr>
              <w:t>стил.</w:t>
            </w:r>
          </w:p>
          <w:p w:rsidR="00041039" w:rsidRDefault="001B26CB">
            <w:pPr>
              <w:pStyle w:val="TableParagraph"/>
              <w:numPr>
                <w:ilvl w:val="0"/>
                <w:numId w:val="1468"/>
              </w:numPr>
              <w:tabs>
                <w:tab w:val="left" w:pos="157"/>
              </w:tabs>
              <w:spacing w:line="160" w:lineRule="exact"/>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spacing w:line="158" w:lineRule="exact"/>
              <w:ind w:left="57"/>
              <w:rPr>
                <w:b/>
                <w:sz w:val="14"/>
              </w:rPr>
            </w:pPr>
            <w:r>
              <w:rPr>
                <w:b/>
                <w:color w:val="231F20"/>
                <w:sz w:val="14"/>
              </w:rPr>
              <w:t>(Треба обрадити два дела.)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1467"/>
              </w:numPr>
              <w:tabs>
                <w:tab w:val="left" w:pos="157"/>
              </w:tabs>
              <w:spacing w:before="8"/>
              <w:ind w:right="188"/>
              <w:rPr>
                <w:sz w:val="14"/>
              </w:rPr>
            </w:pPr>
            <w:r>
              <w:rPr>
                <w:color w:val="231F20"/>
                <w:sz w:val="14"/>
              </w:rPr>
              <w:t>Оспособљавање ученика за</w:t>
            </w:r>
            <w:r>
              <w:rPr>
                <w:color w:val="231F20"/>
                <w:spacing w:val="-12"/>
                <w:sz w:val="14"/>
              </w:rPr>
              <w:t xml:space="preserve"> </w:t>
            </w:r>
            <w:r>
              <w:rPr>
                <w:color w:val="231F20"/>
                <w:sz w:val="14"/>
              </w:rPr>
              <w:t>правилно акцентовање речи и реченица.</w:t>
            </w:r>
          </w:p>
          <w:p w:rsidR="00041039" w:rsidRDefault="001B26CB">
            <w:pPr>
              <w:pStyle w:val="TableParagraph"/>
              <w:numPr>
                <w:ilvl w:val="0"/>
                <w:numId w:val="1467"/>
              </w:numPr>
              <w:tabs>
                <w:tab w:val="left" w:pos="157"/>
              </w:tabs>
              <w:spacing w:line="156" w:lineRule="exact"/>
              <w:rPr>
                <w:sz w:val="14"/>
              </w:rPr>
            </w:pPr>
            <w:r>
              <w:rPr>
                <w:color w:val="231F20"/>
                <w:sz w:val="14"/>
              </w:rPr>
              <w:t>Оспособљавање</w:t>
            </w:r>
            <w:r>
              <w:rPr>
                <w:color w:val="231F20"/>
                <w:spacing w:val="-1"/>
                <w:sz w:val="14"/>
              </w:rPr>
              <w:t xml:space="preserve"> </w:t>
            </w:r>
            <w:r>
              <w:rPr>
                <w:color w:val="231F20"/>
                <w:sz w:val="14"/>
              </w:rPr>
              <w:t>уче­</w:t>
            </w:r>
          </w:p>
          <w:p w:rsidR="00041039" w:rsidRDefault="001B26CB">
            <w:pPr>
              <w:pStyle w:val="TableParagraph"/>
              <w:ind w:right="150"/>
              <w:jc w:val="both"/>
              <w:rPr>
                <w:sz w:val="14"/>
              </w:rPr>
            </w:pPr>
            <w:r>
              <w:rPr>
                <w:color w:val="231F20"/>
                <w:sz w:val="14"/>
              </w:rPr>
              <w:t>ника за</w:t>
            </w:r>
            <w:r>
              <w:rPr>
                <w:color w:val="231F20"/>
                <w:spacing w:val="-9"/>
                <w:sz w:val="14"/>
              </w:rPr>
              <w:t xml:space="preserve"> </w:t>
            </w:r>
            <w:r>
              <w:rPr>
                <w:color w:val="231F20"/>
                <w:sz w:val="14"/>
              </w:rPr>
              <w:t>објашњавање и примену гласовних промена.</w:t>
            </w:r>
          </w:p>
        </w:tc>
        <w:tc>
          <w:tcPr>
            <w:tcW w:w="2551" w:type="dxa"/>
          </w:tcPr>
          <w:p w:rsidR="00041039" w:rsidRDefault="001B26CB">
            <w:pPr>
              <w:pStyle w:val="TableParagraph"/>
              <w:numPr>
                <w:ilvl w:val="0"/>
                <w:numId w:val="1466"/>
              </w:numPr>
              <w:tabs>
                <w:tab w:val="left" w:pos="157"/>
              </w:tabs>
              <w:spacing w:before="8"/>
              <w:ind w:right="152" w:hanging="99"/>
              <w:rPr>
                <w:sz w:val="14"/>
              </w:rPr>
            </w:pPr>
            <w:r>
              <w:rPr>
                <w:color w:val="231F20"/>
                <w:sz w:val="14"/>
              </w:rPr>
              <w:t>примењује основна правила акценто­ вања речи и</w:t>
            </w:r>
            <w:r>
              <w:rPr>
                <w:color w:val="231F20"/>
                <w:spacing w:val="-3"/>
                <w:sz w:val="14"/>
              </w:rPr>
              <w:t xml:space="preserve"> </w:t>
            </w:r>
            <w:r>
              <w:rPr>
                <w:color w:val="231F20"/>
                <w:sz w:val="14"/>
              </w:rPr>
              <w:t>реченица;</w:t>
            </w:r>
          </w:p>
          <w:p w:rsidR="00041039" w:rsidRDefault="001B26CB">
            <w:pPr>
              <w:pStyle w:val="TableParagraph"/>
              <w:numPr>
                <w:ilvl w:val="0"/>
                <w:numId w:val="1466"/>
              </w:numPr>
              <w:tabs>
                <w:tab w:val="left" w:pos="157"/>
              </w:tabs>
              <w:spacing w:line="160" w:lineRule="exact"/>
              <w:ind w:right="241" w:hanging="99"/>
              <w:rPr>
                <w:sz w:val="14"/>
              </w:rPr>
            </w:pPr>
            <w:r>
              <w:rPr>
                <w:color w:val="231F20"/>
                <w:sz w:val="14"/>
              </w:rPr>
              <w:t>препознаје акценатске целине и разликује акцентоване и</w:t>
            </w:r>
            <w:r>
              <w:rPr>
                <w:color w:val="231F20"/>
                <w:spacing w:val="-9"/>
                <w:sz w:val="14"/>
              </w:rPr>
              <w:t xml:space="preserve"> </w:t>
            </w:r>
            <w:r>
              <w:rPr>
                <w:color w:val="231F20"/>
                <w:sz w:val="14"/>
              </w:rPr>
              <w:t>неакценто­ ване</w:t>
            </w:r>
            <w:r>
              <w:rPr>
                <w:color w:val="231F20"/>
                <w:spacing w:val="-1"/>
                <w:sz w:val="14"/>
              </w:rPr>
              <w:t xml:space="preserve"> </w:t>
            </w:r>
            <w:r>
              <w:rPr>
                <w:color w:val="231F20"/>
                <w:sz w:val="14"/>
              </w:rPr>
              <w:t>речи;</w:t>
            </w:r>
          </w:p>
          <w:p w:rsidR="00041039" w:rsidRDefault="001B26CB">
            <w:pPr>
              <w:pStyle w:val="TableParagraph"/>
              <w:numPr>
                <w:ilvl w:val="0"/>
                <w:numId w:val="1466"/>
              </w:numPr>
              <w:tabs>
                <w:tab w:val="left" w:pos="157"/>
              </w:tabs>
              <w:spacing w:line="160"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numPr>
                <w:ilvl w:val="0"/>
                <w:numId w:val="1465"/>
              </w:numPr>
              <w:tabs>
                <w:tab w:val="left" w:pos="157"/>
              </w:tabs>
              <w:spacing w:before="8"/>
              <w:ind w:right="68" w:hanging="99"/>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val="restart"/>
          </w:tcPr>
          <w:p w:rsidR="00041039" w:rsidRDefault="001B26CB">
            <w:pPr>
              <w:pStyle w:val="TableParagraph"/>
              <w:numPr>
                <w:ilvl w:val="0"/>
                <w:numId w:val="1464"/>
              </w:numPr>
              <w:tabs>
                <w:tab w:val="left" w:pos="158"/>
              </w:tabs>
              <w:spacing w:before="8"/>
              <w:ind w:right="50" w:hanging="99"/>
              <w:rPr>
                <w:sz w:val="14"/>
              </w:rPr>
            </w:pPr>
            <w:r>
              <w:rPr>
                <w:color w:val="231F20"/>
                <w:sz w:val="14"/>
              </w:rPr>
              <w:t xml:space="preserve">На почетку </w:t>
            </w:r>
            <w:r>
              <w:rPr>
                <w:color w:val="231F20"/>
                <w:sz w:val="14"/>
              </w:rPr>
              <w:t>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464"/>
              </w:numPr>
              <w:tabs>
                <w:tab w:val="left" w:pos="158"/>
              </w:tabs>
              <w:spacing w:before="1" w:line="160" w:lineRule="exact"/>
              <w:ind w:right="156" w:hanging="99"/>
              <w:rPr>
                <w:b/>
                <w:sz w:val="14"/>
              </w:rPr>
            </w:pPr>
            <w:r>
              <w:rPr>
                <w:color w:val="231F20"/>
                <w:sz w:val="14"/>
              </w:rPr>
              <w:t>теоријска наставаса вежбама</w:t>
            </w:r>
            <w:r>
              <w:rPr>
                <w:color w:val="231F20"/>
                <w:spacing w:val="-10"/>
                <w:sz w:val="14"/>
              </w:rPr>
              <w:t xml:space="preserve"> </w:t>
            </w:r>
            <w:r>
              <w:rPr>
                <w:b/>
                <w:color w:val="231F20"/>
                <w:sz w:val="14"/>
              </w:rPr>
              <w:t>(64 часа)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464"/>
              </w:numPr>
              <w:tabs>
                <w:tab w:val="left" w:pos="158"/>
              </w:tabs>
              <w:spacing w:line="166"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464"/>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464"/>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464"/>
              </w:numPr>
              <w:tabs>
                <w:tab w:val="left" w:pos="158"/>
              </w:tabs>
              <w:spacing w:line="160" w:lineRule="exact"/>
              <w:ind w:hanging="99"/>
              <w:rPr>
                <w:b/>
                <w:sz w:val="14"/>
              </w:rPr>
            </w:pPr>
            <w:r>
              <w:rPr>
                <w:color w:val="231F20"/>
                <w:sz w:val="14"/>
              </w:rPr>
              <w:t xml:space="preserve">фонетика </w:t>
            </w:r>
            <w:r>
              <w:rPr>
                <w:b/>
                <w:color w:val="231F20"/>
                <w:sz w:val="14"/>
              </w:rPr>
              <w:t>(7</w:t>
            </w:r>
            <w:r>
              <w:rPr>
                <w:b/>
                <w:color w:val="231F20"/>
                <w:spacing w:val="-2"/>
                <w:sz w:val="14"/>
              </w:rPr>
              <w:t xml:space="preserve"> </w:t>
            </w:r>
            <w:r>
              <w:rPr>
                <w:b/>
                <w:color w:val="231F20"/>
                <w:sz w:val="14"/>
              </w:rPr>
              <w:t>часова)</w:t>
            </w:r>
          </w:p>
          <w:p w:rsidR="00041039" w:rsidRDefault="001B26CB">
            <w:pPr>
              <w:pStyle w:val="TableParagraph"/>
              <w:numPr>
                <w:ilvl w:val="0"/>
                <w:numId w:val="1464"/>
              </w:numPr>
              <w:tabs>
                <w:tab w:val="left" w:pos="158"/>
              </w:tabs>
              <w:spacing w:line="160" w:lineRule="exact"/>
              <w:ind w:hanging="99"/>
              <w:rPr>
                <w:b/>
                <w:sz w:val="14"/>
              </w:rPr>
            </w:pPr>
            <w:r>
              <w:rPr>
                <w:color w:val="231F20"/>
                <w:sz w:val="14"/>
              </w:rPr>
              <w:t xml:space="preserve">морфологија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numPr>
                <w:ilvl w:val="0"/>
                <w:numId w:val="1464"/>
              </w:numPr>
              <w:tabs>
                <w:tab w:val="left" w:pos="158"/>
              </w:tabs>
              <w:spacing w:line="160" w:lineRule="exact"/>
              <w:ind w:hanging="99"/>
              <w:rPr>
                <w:b/>
                <w:sz w:val="14"/>
              </w:rPr>
            </w:pPr>
            <w:r>
              <w:rPr>
                <w:color w:val="231F20"/>
                <w:sz w:val="14"/>
              </w:rPr>
              <w:t xml:space="preserve">творба речи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464"/>
              </w:numPr>
              <w:tabs>
                <w:tab w:val="left" w:pos="158"/>
              </w:tabs>
              <w:spacing w:line="160" w:lineRule="exact"/>
              <w:ind w:hanging="99"/>
              <w:rPr>
                <w:b/>
                <w:sz w:val="14"/>
              </w:rPr>
            </w:pPr>
            <w:r>
              <w:rPr>
                <w:color w:val="231F20"/>
                <w:sz w:val="14"/>
              </w:rPr>
              <w:t xml:space="preserve">синтакса </w:t>
            </w:r>
            <w:r>
              <w:rPr>
                <w:b/>
                <w:color w:val="231F20"/>
                <w:sz w:val="14"/>
              </w:rPr>
              <w:t>(9</w:t>
            </w:r>
            <w:r>
              <w:rPr>
                <w:b/>
                <w:color w:val="231F20"/>
                <w:spacing w:val="-2"/>
                <w:sz w:val="14"/>
              </w:rPr>
              <w:t xml:space="preserve"> </w:t>
            </w:r>
            <w:r>
              <w:rPr>
                <w:b/>
                <w:color w:val="231F20"/>
                <w:sz w:val="14"/>
              </w:rPr>
              <w:t>часова)</w:t>
            </w:r>
          </w:p>
          <w:p w:rsidR="00041039" w:rsidRDefault="001B26CB">
            <w:pPr>
              <w:pStyle w:val="TableParagraph"/>
              <w:numPr>
                <w:ilvl w:val="0"/>
                <w:numId w:val="1464"/>
              </w:numPr>
              <w:tabs>
                <w:tab w:val="left" w:pos="158"/>
              </w:tabs>
              <w:spacing w:line="160" w:lineRule="exact"/>
              <w:ind w:hanging="99"/>
              <w:rPr>
                <w:sz w:val="14"/>
              </w:rPr>
            </w:pPr>
            <w:r>
              <w:rPr>
                <w:color w:val="231F20"/>
                <w:sz w:val="14"/>
              </w:rPr>
              <w:t xml:space="preserve">правопис </w:t>
            </w:r>
            <w:r>
              <w:rPr>
                <w:b/>
                <w:color w:val="231F20"/>
                <w:sz w:val="14"/>
              </w:rPr>
              <w:t>(5</w:t>
            </w:r>
            <w:r>
              <w:rPr>
                <w:b/>
                <w:color w:val="231F20"/>
                <w:spacing w:val="-2"/>
                <w:sz w:val="14"/>
              </w:rPr>
              <w:t xml:space="preserve"> </w:t>
            </w:r>
            <w:r>
              <w:rPr>
                <w:b/>
                <w:color w:val="231F20"/>
                <w:sz w:val="14"/>
              </w:rPr>
              <w:t>часова)</w:t>
            </w:r>
            <w:r>
              <w:rPr>
                <w:color w:val="231F20"/>
                <w:sz w:val="14"/>
              </w:rPr>
              <w:t>,</w:t>
            </w:r>
          </w:p>
          <w:p w:rsidR="00041039" w:rsidRDefault="001B26CB">
            <w:pPr>
              <w:pStyle w:val="TableParagraph"/>
              <w:numPr>
                <w:ilvl w:val="0"/>
                <w:numId w:val="1464"/>
              </w:numPr>
              <w:tabs>
                <w:tab w:val="left" w:pos="158"/>
              </w:tabs>
              <w:spacing w:line="160" w:lineRule="exact"/>
              <w:ind w:hanging="99"/>
              <w:rPr>
                <w:b/>
                <w:sz w:val="14"/>
              </w:rPr>
            </w:pPr>
            <w:r>
              <w:rPr>
                <w:color w:val="231F20"/>
                <w:sz w:val="14"/>
              </w:rPr>
              <w:t xml:space="preserve">култура изражавања </w:t>
            </w:r>
            <w:r>
              <w:rPr>
                <w:b/>
                <w:color w:val="231F20"/>
                <w:sz w:val="14"/>
              </w:rPr>
              <w:t>(15</w:t>
            </w:r>
            <w:r>
              <w:rPr>
                <w:b/>
                <w:color w:val="231F20"/>
                <w:spacing w:val="-10"/>
                <w:sz w:val="14"/>
              </w:rPr>
              <w:t xml:space="preserve"> </w:t>
            </w:r>
            <w:r>
              <w:rPr>
                <w:b/>
                <w:color w:val="231F20"/>
                <w:sz w:val="14"/>
              </w:rPr>
              <w:t>часова)</w:t>
            </w:r>
          </w:p>
          <w:p w:rsidR="00041039" w:rsidRDefault="001B26CB">
            <w:pPr>
              <w:pStyle w:val="TableParagraph"/>
              <w:numPr>
                <w:ilvl w:val="0"/>
                <w:numId w:val="1464"/>
              </w:numPr>
              <w:tabs>
                <w:tab w:val="left" w:pos="158"/>
              </w:tabs>
              <w:spacing w:line="166" w:lineRule="exact"/>
              <w:ind w:hanging="99"/>
              <w:rPr>
                <w:b/>
                <w:sz w:val="14"/>
              </w:rPr>
            </w:pPr>
            <w:r>
              <w:rPr>
                <w:color w:val="231F20"/>
                <w:sz w:val="14"/>
              </w:rPr>
              <w:t xml:space="preserve">књижевност </w:t>
            </w:r>
            <w:r>
              <w:rPr>
                <w:b/>
                <w:color w:val="231F20"/>
                <w:sz w:val="14"/>
              </w:rPr>
              <w:t>(15</w:t>
            </w:r>
            <w:r>
              <w:rPr>
                <w:b/>
                <w:color w:val="231F20"/>
                <w:spacing w:val="-2"/>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ind w:left="58" w:right="255"/>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 језик </w:t>
            </w:r>
            <w:r>
              <w:rPr>
                <w:color w:val="231F20"/>
                <w:sz w:val="14"/>
              </w:rPr>
              <w:t>у претходним разредима.</w:t>
            </w:r>
          </w:p>
          <w:p w:rsidR="00041039" w:rsidRDefault="001B26CB">
            <w:pPr>
              <w:pStyle w:val="TableParagraph"/>
              <w:spacing w:line="237" w:lineRule="auto"/>
              <w:ind w:left="58" w:right="133"/>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не може бити једнообраз­ на и у њој се морају уважавати различите могућности и потребе ученика различитих средина и различитих матерњих језика. При том се у наставу на</w:t>
            </w:r>
            <w:r>
              <w:rPr>
                <w:color w:val="231F20"/>
                <w:sz w:val="14"/>
              </w:rPr>
              <w:t>глашено укљу­</w:t>
            </w:r>
          </w:p>
          <w:p w:rsidR="00041039" w:rsidRDefault="001B26CB">
            <w:pPr>
              <w:pStyle w:val="TableParagraph"/>
              <w:ind w:left="58" w:right="84"/>
              <w:rPr>
                <w:sz w:val="14"/>
              </w:rPr>
            </w:pPr>
            <w:r>
              <w:rPr>
                <w:color w:val="231F20"/>
                <w:sz w:val="14"/>
              </w:rPr>
              <w:t>чује принцип индивидуализације и спровођење диференцираног рада на различитим нивоима ученичког знања.</w:t>
            </w:r>
          </w:p>
          <w:p w:rsidR="00041039" w:rsidRDefault="001B26CB">
            <w:pPr>
              <w:pStyle w:val="TableParagraph"/>
              <w:spacing w:line="237" w:lineRule="auto"/>
              <w:ind w:left="58" w:right="43"/>
              <w:rPr>
                <w:sz w:val="14"/>
              </w:rPr>
            </w:pPr>
            <w:r>
              <w:rPr>
                <w:color w:val="231F20"/>
                <w:sz w:val="14"/>
              </w:rPr>
              <w:t>С обзиром на то да је основни циљ 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комуни­ кативног приступа у ус</w:t>
            </w:r>
            <w:r>
              <w:rPr>
                <w:color w:val="231F20"/>
                <w:sz w:val="14"/>
              </w:rPr>
              <w:t>вајању и учењу</w:t>
            </w:r>
            <w:r>
              <w:rPr>
                <w:color w:val="231F20"/>
                <w:spacing w:val="-1"/>
                <w:sz w:val="14"/>
              </w:rPr>
              <w:t xml:space="preserve"> </w:t>
            </w:r>
            <w:r>
              <w:rPr>
                <w:color w:val="231F20"/>
                <w:sz w:val="14"/>
              </w:rPr>
              <w:t>језика.</w:t>
            </w:r>
          </w:p>
          <w:p w:rsidR="00041039" w:rsidRDefault="001B26CB">
            <w:pPr>
              <w:pStyle w:val="TableParagraph"/>
              <w:spacing w:before="2" w:line="237" w:lineRule="auto"/>
              <w:ind w:left="58" w:right="53"/>
              <w:rPr>
                <w:sz w:val="14"/>
              </w:rPr>
            </w:pPr>
            <w:r>
              <w:rPr>
                <w:color w:val="231F20"/>
                <w:sz w:val="14"/>
              </w:rPr>
              <w:t>Наставу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 и</w:t>
            </w:r>
            <w:r>
              <w:rPr>
                <w:color w:val="231F20"/>
                <w:sz w:val="14"/>
              </w:rPr>
              <w:t xml:space="preserve"> у књижевним и другим текстовима.</w:t>
            </w:r>
          </w:p>
        </w:tc>
      </w:tr>
      <w:tr w:rsidR="00041039">
        <w:trPr>
          <w:trHeight w:val="1800"/>
        </w:trPr>
        <w:tc>
          <w:tcPr>
            <w:tcW w:w="1304" w:type="dxa"/>
          </w:tcPr>
          <w:p w:rsidR="00041039" w:rsidRDefault="001B26CB">
            <w:pPr>
              <w:pStyle w:val="TableParagraph"/>
              <w:spacing w:before="20"/>
              <w:ind w:left="56"/>
              <w:rPr>
                <w:sz w:val="14"/>
              </w:rPr>
            </w:pPr>
            <w:r>
              <w:rPr>
                <w:color w:val="231F20"/>
                <w:sz w:val="14"/>
              </w:rPr>
              <w:t>Морфологија</w:t>
            </w:r>
          </w:p>
        </w:tc>
        <w:tc>
          <w:tcPr>
            <w:tcW w:w="1587" w:type="dxa"/>
          </w:tcPr>
          <w:p w:rsidR="00041039" w:rsidRDefault="001B26CB">
            <w:pPr>
              <w:pStyle w:val="TableParagraph"/>
              <w:numPr>
                <w:ilvl w:val="0"/>
                <w:numId w:val="1463"/>
              </w:numPr>
              <w:tabs>
                <w:tab w:val="left" w:pos="157"/>
              </w:tabs>
              <w:spacing w:before="9"/>
              <w:ind w:right="105"/>
              <w:rPr>
                <w:sz w:val="14"/>
              </w:rPr>
            </w:pPr>
            <w:r>
              <w:rPr>
                <w:color w:val="231F20"/>
                <w:sz w:val="14"/>
              </w:rPr>
              <w:t>Упознавање ученика са правилном употре­ бом и оспособљавање за правилну употребу облика</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1462"/>
              </w:numPr>
              <w:tabs>
                <w:tab w:val="left" w:pos="157"/>
              </w:tabs>
              <w:spacing w:before="10"/>
              <w:ind w:right="225" w:hanging="99"/>
              <w:rPr>
                <w:sz w:val="14"/>
              </w:rPr>
            </w:pPr>
            <w:r>
              <w:rPr>
                <w:color w:val="231F20"/>
                <w:sz w:val="14"/>
              </w:rPr>
              <w:t>разликује врсте речи, променљиве</w:t>
            </w:r>
            <w:r>
              <w:rPr>
                <w:color w:val="231F20"/>
                <w:spacing w:val="-16"/>
                <w:sz w:val="14"/>
              </w:rPr>
              <w:t xml:space="preserve"> </w:t>
            </w:r>
            <w:r>
              <w:rPr>
                <w:color w:val="231F20"/>
                <w:sz w:val="14"/>
              </w:rPr>
              <w:t>и непроменљиве</w:t>
            </w:r>
            <w:r>
              <w:rPr>
                <w:color w:val="231F20"/>
                <w:spacing w:val="-1"/>
                <w:sz w:val="14"/>
              </w:rPr>
              <w:t xml:space="preserve"> </w:t>
            </w:r>
            <w:r>
              <w:rPr>
                <w:color w:val="231F20"/>
                <w:sz w:val="14"/>
              </w:rPr>
              <w:t>речи;</w:t>
            </w:r>
          </w:p>
          <w:p w:rsidR="00041039" w:rsidRDefault="001B26CB">
            <w:pPr>
              <w:pStyle w:val="TableParagraph"/>
              <w:numPr>
                <w:ilvl w:val="0"/>
                <w:numId w:val="1462"/>
              </w:numPr>
              <w:tabs>
                <w:tab w:val="left" w:pos="157"/>
              </w:tabs>
              <w:spacing w:line="160"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 и глаголских</w:t>
            </w:r>
            <w:r>
              <w:rPr>
                <w:color w:val="231F20"/>
                <w:spacing w:val="-5"/>
                <w:sz w:val="14"/>
              </w:rPr>
              <w:t xml:space="preserve"> </w:t>
            </w:r>
            <w:r>
              <w:rPr>
                <w:color w:val="231F20"/>
                <w:sz w:val="14"/>
              </w:rPr>
              <w:t>речи;</w:t>
            </w:r>
          </w:p>
          <w:p w:rsidR="00041039" w:rsidRDefault="001B26CB">
            <w:pPr>
              <w:pStyle w:val="TableParagraph"/>
              <w:numPr>
                <w:ilvl w:val="0"/>
                <w:numId w:val="1462"/>
              </w:numPr>
              <w:tabs>
                <w:tab w:val="left" w:pos="157"/>
              </w:tabs>
              <w:spacing w:line="160" w:lineRule="exact"/>
              <w:ind w:right="379" w:hanging="99"/>
              <w:rPr>
                <w:sz w:val="14"/>
              </w:rPr>
            </w:pPr>
            <w:r>
              <w:rPr>
                <w:color w:val="231F20"/>
                <w:sz w:val="14"/>
              </w:rPr>
              <w:t>правилно употребљава</w:t>
            </w:r>
            <w:r>
              <w:rPr>
                <w:color w:val="231F20"/>
                <w:spacing w:val="-10"/>
                <w:sz w:val="14"/>
              </w:rPr>
              <w:t xml:space="preserve"> </w:t>
            </w:r>
            <w:r>
              <w:rPr>
                <w:color w:val="231F20"/>
                <w:sz w:val="14"/>
              </w:rPr>
              <w:t>различите врсте непроменљивих</w:t>
            </w:r>
            <w:r>
              <w:rPr>
                <w:color w:val="231F20"/>
                <w:spacing w:val="-4"/>
                <w:sz w:val="14"/>
              </w:rPr>
              <w:t xml:space="preserve"> </w:t>
            </w:r>
            <w:r>
              <w:rPr>
                <w:color w:val="231F20"/>
                <w:sz w:val="14"/>
              </w:rPr>
              <w:t>речи;</w:t>
            </w:r>
          </w:p>
          <w:p w:rsidR="00041039" w:rsidRDefault="001B26CB">
            <w:pPr>
              <w:pStyle w:val="TableParagraph"/>
              <w:numPr>
                <w:ilvl w:val="0"/>
                <w:numId w:val="1462"/>
              </w:numPr>
              <w:tabs>
                <w:tab w:val="left" w:pos="157"/>
              </w:tabs>
              <w:spacing w:line="160" w:lineRule="exact"/>
              <w:ind w:right="76" w:hanging="99"/>
              <w:rPr>
                <w:sz w:val="14"/>
              </w:rPr>
            </w:pPr>
            <w:r>
              <w:rPr>
                <w:color w:val="231F20"/>
                <w:sz w:val="14"/>
              </w:rPr>
              <w:t>разликује и правилно употребљава</w:t>
            </w:r>
            <w:r>
              <w:rPr>
                <w:color w:val="231F20"/>
                <w:spacing w:val="-14"/>
                <w:sz w:val="14"/>
              </w:rPr>
              <w:t xml:space="preserve"> </w:t>
            </w:r>
            <w:r>
              <w:rPr>
                <w:color w:val="231F20"/>
                <w:sz w:val="14"/>
              </w:rPr>
              <w:t xml:space="preserve">све </w:t>
            </w:r>
            <w:r>
              <w:rPr>
                <w:color w:val="231F20"/>
                <w:spacing w:val="-3"/>
                <w:sz w:val="14"/>
              </w:rPr>
              <w:t xml:space="preserve">глаголске </w:t>
            </w:r>
            <w:r>
              <w:rPr>
                <w:color w:val="231F20"/>
                <w:sz w:val="14"/>
              </w:rPr>
              <w:t>облике са значењем радње која се десила у</w:t>
            </w:r>
            <w:r>
              <w:rPr>
                <w:color w:val="231F20"/>
                <w:spacing w:val="-2"/>
                <w:sz w:val="14"/>
              </w:rPr>
              <w:t xml:space="preserve"> </w:t>
            </w:r>
            <w:r>
              <w:rPr>
                <w:color w:val="231F20"/>
                <w:sz w:val="14"/>
              </w:rPr>
              <w:t>прошлости;</w:t>
            </w:r>
          </w:p>
          <w:p w:rsidR="00041039" w:rsidRDefault="001B26CB">
            <w:pPr>
              <w:pStyle w:val="TableParagraph"/>
              <w:numPr>
                <w:ilvl w:val="0"/>
                <w:numId w:val="1462"/>
              </w:numPr>
              <w:tabs>
                <w:tab w:val="left" w:pos="157"/>
              </w:tabs>
              <w:spacing w:line="160" w:lineRule="exact"/>
              <w:ind w:right="301" w:hanging="99"/>
              <w:rPr>
                <w:sz w:val="14"/>
              </w:rPr>
            </w:pPr>
            <w:r>
              <w:rPr>
                <w:color w:val="231F20"/>
                <w:sz w:val="14"/>
              </w:rPr>
              <w:t>разликује и правилно</w:t>
            </w:r>
            <w:r>
              <w:rPr>
                <w:color w:val="231F20"/>
                <w:spacing w:val="-13"/>
                <w:sz w:val="14"/>
              </w:rPr>
              <w:t xml:space="preserve"> </w:t>
            </w:r>
            <w:r>
              <w:rPr>
                <w:color w:val="231F20"/>
                <w:sz w:val="14"/>
              </w:rPr>
              <w:t xml:space="preserve">употребљава </w:t>
            </w:r>
            <w:r>
              <w:rPr>
                <w:color w:val="231F20"/>
                <w:spacing w:val="-3"/>
                <w:sz w:val="14"/>
              </w:rPr>
              <w:t>глаголске</w:t>
            </w:r>
            <w:r>
              <w:rPr>
                <w:color w:val="231F20"/>
                <w:spacing w:val="-1"/>
                <w:sz w:val="14"/>
              </w:rPr>
              <w:t xml:space="preserve"> </w:t>
            </w:r>
            <w:r>
              <w:rPr>
                <w:color w:val="231F20"/>
                <w:sz w:val="14"/>
              </w:rPr>
              <w:t>прилоге;</w:t>
            </w:r>
          </w:p>
        </w:tc>
        <w:tc>
          <w:tcPr>
            <w:tcW w:w="2834" w:type="dxa"/>
          </w:tcPr>
          <w:p w:rsidR="00041039" w:rsidRDefault="001B26CB">
            <w:pPr>
              <w:pStyle w:val="TableParagraph"/>
              <w:numPr>
                <w:ilvl w:val="0"/>
                <w:numId w:val="1461"/>
              </w:numPr>
              <w:tabs>
                <w:tab w:val="left" w:pos="157"/>
              </w:tabs>
              <w:spacing w:before="10" w:line="166" w:lineRule="exact"/>
              <w:ind w:hanging="99"/>
              <w:rPr>
                <w:sz w:val="14"/>
              </w:rPr>
            </w:pPr>
            <w:r>
              <w:rPr>
                <w:color w:val="231F20"/>
                <w:spacing w:val="-3"/>
                <w:sz w:val="14"/>
              </w:rPr>
              <w:t>Имперфекат.</w:t>
            </w:r>
          </w:p>
          <w:p w:rsidR="00041039" w:rsidRDefault="001B26CB">
            <w:pPr>
              <w:pStyle w:val="TableParagraph"/>
              <w:numPr>
                <w:ilvl w:val="0"/>
                <w:numId w:val="1461"/>
              </w:numPr>
              <w:tabs>
                <w:tab w:val="left" w:pos="157"/>
              </w:tabs>
              <w:spacing w:line="160" w:lineRule="exact"/>
              <w:ind w:hanging="99"/>
              <w:rPr>
                <w:sz w:val="14"/>
              </w:rPr>
            </w:pPr>
            <w:r>
              <w:rPr>
                <w:color w:val="231F20"/>
                <w:sz w:val="14"/>
              </w:rPr>
              <w:t>Плусквамперфекат.</w:t>
            </w:r>
          </w:p>
          <w:p w:rsidR="00041039" w:rsidRDefault="001B26CB">
            <w:pPr>
              <w:pStyle w:val="TableParagraph"/>
              <w:numPr>
                <w:ilvl w:val="0"/>
                <w:numId w:val="1461"/>
              </w:numPr>
              <w:tabs>
                <w:tab w:val="left" w:pos="157"/>
              </w:tabs>
              <w:spacing w:line="160" w:lineRule="exact"/>
              <w:ind w:hanging="99"/>
              <w:rPr>
                <w:sz w:val="14"/>
              </w:rPr>
            </w:pPr>
            <w:r>
              <w:rPr>
                <w:color w:val="231F20"/>
                <w:spacing w:val="-3"/>
                <w:sz w:val="14"/>
              </w:rPr>
              <w:t xml:space="preserve">Глаголски </w:t>
            </w:r>
            <w:r>
              <w:rPr>
                <w:color w:val="231F20"/>
                <w:sz w:val="14"/>
              </w:rPr>
              <w:t>прилог</w:t>
            </w:r>
            <w:r>
              <w:rPr>
                <w:color w:val="231F20"/>
                <w:sz w:val="14"/>
              </w:rPr>
              <w:t xml:space="preserve"> </w:t>
            </w:r>
            <w:r>
              <w:rPr>
                <w:color w:val="231F20"/>
                <w:sz w:val="14"/>
              </w:rPr>
              <w:t>садашњи.</w:t>
            </w:r>
          </w:p>
          <w:p w:rsidR="00041039" w:rsidRDefault="001B26CB">
            <w:pPr>
              <w:pStyle w:val="TableParagraph"/>
              <w:numPr>
                <w:ilvl w:val="0"/>
                <w:numId w:val="1461"/>
              </w:numPr>
              <w:tabs>
                <w:tab w:val="left" w:pos="157"/>
              </w:tabs>
              <w:spacing w:line="160" w:lineRule="exact"/>
              <w:ind w:hanging="99"/>
              <w:rPr>
                <w:sz w:val="14"/>
              </w:rPr>
            </w:pPr>
            <w:r>
              <w:rPr>
                <w:color w:val="231F20"/>
                <w:spacing w:val="-3"/>
                <w:sz w:val="14"/>
              </w:rPr>
              <w:t xml:space="preserve">Глаголски </w:t>
            </w:r>
            <w:r>
              <w:rPr>
                <w:color w:val="231F20"/>
                <w:sz w:val="14"/>
              </w:rPr>
              <w:t>прилог прошли.</w:t>
            </w:r>
          </w:p>
          <w:p w:rsidR="00041039" w:rsidRDefault="001B26CB">
            <w:pPr>
              <w:pStyle w:val="TableParagraph"/>
              <w:numPr>
                <w:ilvl w:val="0"/>
                <w:numId w:val="1461"/>
              </w:numPr>
              <w:tabs>
                <w:tab w:val="left" w:pos="157"/>
              </w:tabs>
              <w:spacing w:line="166" w:lineRule="exact"/>
              <w:ind w:hanging="99"/>
              <w:rPr>
                <w:sz w:val="14"/>
              </w:rPr>
            </w:pPr>
            <w:r>
              <w:rPr>
                <w:color w:val="231F20"/>
                <w:sz w:val="14"/>
              </w:rPr>
              <w:t>Врсте речи:</w:t>
            </w:r>
            <w:r>
              <w:rPr>
                <w:color w:val="231F20"/>
                <w:spacing w:val="-1"/>
                <w:sz w:val="14"/>
              </w:rPr>
              <w:t xml:space="preserve"> </w:t>
            </w:r>
            <w:r>
              <w:rPr>
                <w:color w:val="231F20"/>
                <w:sz w:val="14"/>
              </w:rPr>
              <w:t>систематизација.</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20"/>
              <w:ind w:left="56"/>
              <w:rPr>
                <w:sz w:val="14"/>
              </w:rPr>
            </w:pPr>
            <w:r>
              <w:rPr>
                <w:color w:val="231F20"/>
                <w:sz w:val="14"/>
              </w:rPr>
              <w:t>Творба речи</w:t>
            </w:r>
          </w:p>
        </w:tc>
        <w:tc>
          <w:tcPr>
            <w:tcW w:w="1587" w:type="dxa"/>
          </w:tcPr>
          <w:p w:rsidR="00041039" w:rsidRDefault="001B26CB">
            <w:pPr>
              <w:pStyle w:val="TableParagraph"/>
              <w:numPr>
                <w:ilvl w:val="0"/>
                <w:numId w:val="1460"/>
              </w:numPr>
              <w:tabs>
                <w:tab w:val="left" w:pos="157"/>
              </w:tabs>
              <w:spacing w:before="11" w:line="237" w:lineRule="auto"/>
              <w:ind w:right="161"/>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numPr>
                <w:ilvl w:val="0"/>
                <w:numId w:val="1459"/>
              </w:numPr>
              <w:tabs>
                <w:tab w:val="left" w:pos="157"/>
              </w:tabs>
              <w:spacing w:before="10"/>
              <w:ind w:right="85" w:hanging="99"/>
              <w:rPr>
                <w:sz w:val="14"/>
              </w:rPr>
            </w:pPr>
            <w:r>
              <w:rPr>
                <w:color w:val="231F20"/>
                <w:sz w:val="14"/>
              </w:rPr>
              <w:t>правилно гради речи префиксацијом</w:t>
            </w:r>
            <w:r>
              <w:rPr>
                <w:color w:val="231F20"/>
                <w:spacing w:val="-21"/>
                <w:sz w:val="14"/>
              </w:rPr>
              <w:t xml:space="preserve"> </w:t>
            </w:r>
            <w:r>
              <w:rPr>
                <w:color w:val="231F20"/>
                <w:sz w:val="14"/>
              </w:rPr>
              <w:t>и суфиксацијом;</w:t>
            </w:r>
          </w:p>
        </w:tc>
        <w:tc>
          <w:tcPr>
            <w:tcW w:w="2834" w:type="dxa"/>
          </w:tcPr>
          <w:p w:rsidR="00041039" w:rsidRDefault="001B26CB">
            <w:pPr>
              <w:pStyle w:val="TableParagraph"/>
              <w:numPr>
                <w:ilvl w:val="0"/>
                <w:numId w:val="1458"/>
              </w:numPr>
              <w:tabs>
                <w:tab w:val="left" w:pos="158"/>
              </w:tabs>
              <w:spacing w:before="10"/>
              <w:ind w:right="67"/>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Pr>
                <w:sz w:val="14"/>
              </w:rPr>
            </w:pPr>
            <w:r>
              <w:rPr>
                <w:color w:val="231F20"/>
                <w:sz w:val="14"/>
              </w:rPr>
              <w:t>Синтакса</w:t>
            </w:r>
          </w:p>
        </w:tc>
        <w:tc>
          <w:tcPr>
            <w:tcW w:w="1587" w:type="dxa"/>
          </w:tcPr>
          <w:p w:rsidR="00041039" w:rsidRDefault="001B26CB">
            <w:pPr>
              <w:pStyle w:val="TableParagraph"/>
              <w:numPr>
                <w:ilvl w:val="0"/>
                <w:numId w:val="1457"/>
              </w:numPr>
              <w:tabs>
                <w:tab w:val="left" w:pos="157"/>
              </w:tabs>
              <w:spacing w:before="10"/>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1456"/>
              </w:numPr>
              <w:tabs>
                <w:tab w:val="left" w:pos="157"/>
              </w:tabs>
              <w:spacing w:before="10"/>
              <w:ind w:right="249" w:hanging="99"/>
              <w:rPr>
                <w:sz w:val="14"/>
              </w:rPr>
            </w:pPr>
            <w:r>
              <w:rPr>
                <w:color w:val="231F20"/>
                <w:sz w:val="14"/>
              </w:rPr>
              <w:t>твори просту реченицу са зависним члановима;</w:t>
            </w:r>
          </w:p>
          <w:p w:rsidR="00041039" w:rsidRDefault="001B26CB">
            <w:pPr>
              <w:pStyle w:val="TableParagraph"/>
              <w:numPr>
                <w:ilvl w:val="0"/>
                <w:numId w:val="1456"/>
              </w:numPr>
              <w:tabs>
                <w:tab w:val="left" w:pos="157"/>
              </w:tabs>
              <w:spacing w:line="160" w:lineRule="exact"/>
              <w:ind w:right="409" w:hanging="99"/>
              <w:rPr>
                <w:sz w:val="14"/>
              </w:rPr>
            </w:pPr>
            <w:r>
              <w:rPr>
                <w:color w:val="231F20"/>
                <w:sz w:val="14"/>
              </w:rPr>
              <w:t>препознаје и саставља независно сложене</w:t>
            </w:r>
            <w:r>
              <w:rPr>
                <w:color w:val="231F20"/>
                <w:spacing w:val="-1"/>
                <w:sz w:val="14"/>
              </w:rPr>
              <w:t xml:space="preserve"> </w:t>
            </w:r>
            <w:r>
              <w:rPr>
                <w:color w:val="231F20"/>
                <w:sz w:val="14"/>
              </w:rPr>
              <w:t>реченице;</w:t>
            </w:r>
          </w:p>
          <w:p w:rsidR="00041039" w:rsidRDefault="001B26CB">
            <w:pPr>
              <w:pStyle w:val="TableParagraph"/>
              <w:numPr>
                <w:ilvl w:val="0"/>
                <w:numId w:val="1456"/>
              </w:numPr>
              <w:tabs>
                <w:tab w:val="left" w:pos="157"/>
              </w:tabs>
              <w:spacing w:line="160" w:lineRule="exact"/>
              <w:ind w:right="89" w:hanging="99"/>
              <w:rPr>
                <w:sz w:val="14"/>
              </w:rPr>
            </w:pPr>
            <w:r>
              <w:rPr>
                <w:color w:val="231F20"/>
                <w:sz w:val="14"/>
              </w:rPr>
              <w:t>препознаје и саставља врсте односних реченице;</w:t>
            </w:r>
          </w:p>
          <w:p w:rsidR="00041039" w:rsidRDefault="001B26CB">
            <w:pPr>
              <w:pStyle w:val="TableParagraph"/>
              <w:numPr>
                <w:ilvl w:val="0"/>
                <w:numId w:val="1456"/>
              </w:numPr>
              <w:tabs>
                <w:tab w:val="left" w:pos="157"/>
              </w:tabs>
              <w:spacing w:line="160" w:lineRule="exact"/>
              <w:ind w:right="259" w:hanging="99"/>
              <w:rPr>
                <w:sz w:val="14"/>
              </w:rPr>
            </w:pPr>
            <w:r>
              <w:rPr>
                <w:color w:val="231F20"/>
                <w:sz w:val="14"/>
              </w:rPr>
              <w:t>употребљава реченице са</w:t>
            </w:r>
            <w:r>
              <w:rPr>
                <w:color w:val="231F20"/>
                <w:spacing w:val="-13"/>
                <w:sz w:val="14"/>
              </w:rPr>
              <w:t xml:space="preserve"> </w:t>
            </w:r>
            <w:r>
              <w:rPr>
                <w:color w:val="231F20"/>
                <w:sz w:val="14"/>
              </w:rPr>
              <w:t>логичким субјектима;</w:t>
            </w:r>
          </w:p>
          <w:p w:rsidR="00041039" w:rsidRDefault="001B26CB">
            <w:pPr>
              <w:pStyle w:val="TableParagraph"/>
              <w:numPr>
                <w:ilvl w:val="0"/>
                <w:numId w:val="1456"/>
              </w:numPr>
              <w:tabs>
                <w:tab w:val="left" w:pos="157"/>
              </w:tabs>
              <w:spacing w:line="160" w:lineRule="exact"/>
              <w:ind w:right="90" w:hanging="99"/>
              <w:rPr>
                <w:sz w:val="14"/>
              </w:rPr>
            </w:pPr>
            <w:r>
              <w:rPr>
                <w:color w:val="231F20"/>
                <w:sz w:val="14"/>
              </w:rPr>
              <w:t>разликује и саставља активне и пасив­ не</w:t>
            </w:r>
            <w:r>
              <w:rPr>
                <w:color w:val="231F20"/>
                <w:spacing w:val="-2"/>
                <w:sz w:val="14"/>
              </w:rPr>
              <w:t xml:space="preserve"> </w:t>
            </w:r>
            <w:r>
              <w:rPr>
                <w:color w:val="231F20"/>
                <w:sz w:val="14"/>
              </w:rPr>
              <w:t>реченице;</w:t>
            </w:r>
          </w:p>
        </w:tc>
        <w:tc>
          <w:tcPr>
            <w:tcW w:w="2834" w:type="dxa"/>
          </w:tcPr>
          <w:p w:rsidR="00041039" w:rsidRDefault="001B26CB">
            <w:pPr>
              <w:pStyle w:val="TableParagraph"/>
              <w:numPr>
                <w:ilvl w:val="0"/>
                <w:numId w:val="1455"/>
              </w:numPr>
              <w:tabs>
                <w:tab w:val="left" w:pos="158"/>
              </w:tabs>
              <w:spacing w:before="10" w:line="166" w:lineRule="exact"/>
              <w:rPr>
                <w:sz w:val="14"/>
              </w:rPr>
            </w:pPr>
            <w:r>
              <w:rPr>
                <w:color w:val="231F20"/>
                <w:sz w:val="14"/>
              </w:rPr>
              <w:t>Активне и пасивне</w:t>
            </w:r>
            <w:r>
              <w:rPr>
                <w:color w:val="231F20"/>
                <w:spacing w:val="-4"/>
                <w:sz w:val="14"/>
              </w:rPr>
              <w:t xml:space="preserve"> </w:t>
            </w:r>
            <w:r>
              <w:rPr>
                <w:color w:val="231F20"/>
                <w:sz w:val="14"/>
              </w:rPr>
              <w:t>реченице.</w:t>
            </w:r>
          </w:p>
          <w:p w:rsidR="00041039" w:rsidRDefault="001B26CB">
            <w:pPr>
              <w:pStyle w:val="TableParagraph"/>
              <w:numPr>
                <w:ilvl w:val="0"/>
                <w:numId w:val="1455"/>
              </w:numPr>
              <w:tabs>
                <w:tab w:val="left" w:pos="158"/>
              </w:tabs>
              <w:spacing w:line="237" w:lineRule="auto"/>
              <w:ind w:right="725"/>
              <w:rPr>
                <w:sz w:val="14"/>
              </w:rPr>
            </w:pPr>
            <w:r>
              <w:rPr>
                <w:color w:val="231F20"/>
                <w:sz w:val="14"/>
              </w:rPr>
              <w:t>Односне реченице: атрибутске</w:t>
            </w:r>
            <w:r>
              <w:rPr>
                <w:color w:val="231F20"/>
                <w:spacing w:val="-15"/>
                <w:sz w:val="14"/>
              </w:rPr>
              <w:t xml:space="preserve"> </w:t>
            </w:r>
            <w:r>
              <w:rPr>
                <w:color w:val="231F20"/>
                <w:sz w:val="14"/>
              </w:rPr>
              <w:t>и адвербијалне</w:t>
            </w:r>
            <w:r>
              <w:rPr>
                <w:color w:val="231F20"/>
                <w:spacing w:val="-2"/>
                <w:sz w:val="14"/>
              </w:rPr>
              <w:t xml:space="preserve"> </w:t>
            </w:r>
            <w:r>
              <w:rPr>
                <w:color w:val="231F20"/>
                <w:sz w:val="14"/>
              </w:rPr>
              <w:t>реченице.</w:t>
            </w:r>
          </w:p>
          <w:p w:rsidR="00041039" w:rsidRDefault="001B26CB">
            <w:pPr>
              <w:pStyle w:val="TableParagraph"/>
              <w:numPr>
                <w:ilvl w:val="0"/>
                <w:numId w:val="1455"/>
              </w:numPr>
              <w:tabs>
                <w:tab w:val="left" w:pos="158"/>
              </w:tabs>
              <w:spacing w:line="155" w:lineRule="exact"/>
              <w:rPr>
                <w:sz w:val="14"/>
              </w:rPr>
            </w:pPr>
            <w:r>
              <w:rPr>
                <w:color w:val="231F20"/>
                <w:sz w:val="14"/>
              </w:rPr>
              <w:t>Напоредни односи у сложеној</w:t>
            </w:r>
            <w:r>
              <w:rPr>
                <w:color w:val="231F20"/>
                <w:spacing w:val="-8"/>
                <w:sz w:val="14"/>
              </w:rPr>
              <w:t xml:space="preserve"> </w:t>
            </w:r>
            <w:r>
              <w:rPr>
                <w:color w:val="231F20"/>
                <w:sz w:val="14"/>
              </w:rPr>
              <w:t>реченици.</w:t>
            </w:r>
          </w:p>
          <w:p w:rsidR="00041039" w:rsidRDefault="001B26CB">
            <w:pPr>
              <w:pStyle w:val="TableParagraph"/>
              <w:numPr>
                <w:ilvl w:val="0"/>
                <w:numId w:val="1455"/>
              </w:numPr>
              <w:tabs>
                <w:tab w:val="left" w:pos="158"/>
              </w:tabs>
              <w:spacing w:line="166" w:lineRule="exact"/>
              <w:rPr>
                <w:sz w:val="14"/>
              </w:rPr>
            </w:pPr>
            <w:r>
              <w:rPr>
                <w:color w:val="231F20"/>
                <w:sz w:val="14"/>
              </w:rPr>
              <w:t>Однос логичког и граматичког</w:t>
            </w:r>
            <w:r>
              <w:rPr>
                <w:color w:val="231F20"/>
                <w:spacing w:val="-12"/>
                <w:sz w:val="14"/>
              </w:rPr>
              <w:t xml:space="preserve"> </w:t>
            </w:r>
            <w:r>
              <w:rPr>
                <w:color w:val="231F20"/>
                <w:sz w:val="14"/>
              </w:rPr>
              <w:t>субјекта.</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numPr>
                <w:ilvl w:val="0"/>
                <w:numId w:val="1454"/>
              </w:numPr>
              <w:tabs>
                <w:tab w:val="left" w:pos="157"/>
              </w:tabs>
              <w:spacing w:before="11" w:line="237" w:lineRule="auto"/>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1453"/>
              </w:numPr>
              <w:tabs>
                <w:tab w:val="left" w:pos="158"/>
              </w:tabs>
              <w:spacing w:before="10"/>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1452"/>
              </w:numPr>
              <w:tabs>
                <w:tab w:val="left" w:pos="158"/>
              </w:tabs>
              <w:spacing w:before="10"/>
              <w:ind w:right="67"/>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tcBorders>
              <w:top w:val="nil"/>
            </w:tcBorders>
          </w:tcPr>
          <w:p w:rsidR="00041039" w:rsidRDefault="00041039">
            <w:pPr>
              <w:rPr>
                <w:sz w:val="2"/>
                <w:szCs w:val="2"/>
              </w:rPr>
            </w:pPr>
          </w:p>
        </w:tc>
      </w:tr>
      <w:tr w:rsidR="00041039">
        <w:trPr>
          <w:trHeight w:val="5068"/>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1451"/>
              </w:numPr>
              <w:tabs>
                <w:tab w:val="left" w:pos="157"/>
              </w:tabs>
              <w:spacing w:before="10"/>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1450"/>
              </w:numPr>
              <w:tabs>
                <w:tab w:val="left" w:pos="158"/>
              </w:tabs>
              <w:spacing w:before="10"/>
              <w:ind w:right="116"/>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1450"/>
              </w:numPr>
              <w:tabs>
                <w:tab w:val="left" w:pos="158"/>
              </w:tabs>
              <w:spacing w:line="160" w:lineRule="exact"/>
              <w:ind w:right="49"/>
              <w:rPr>
                <w:sz w:val="14"/>
              </w:rPr>
            </w:pPr>
            <w:r>
              <w:rPr>
                <w:color w:val="231F20"/>
                <w:sz w:val="14"/>
              </w:rPr>
              <w:t>даје комплексније одговоре на поста­ вљена питања, поставља питања и саставља дуже текстове о задатој</w:t>
            </w:r>
            <w:r>
              <w:rPr>
                <w:color w:val="231F20"/>
                <w:spacing w:val="-18"/>
                <w:sz w:val="14"/>
              </w:rPr>
              <w:t xml:space="preserve"> </w:t>
            </w:r>
            <w:r>
              <w:rPr>
                <w:color w:val="231F20"/>
                <w:sz w:val="14"/>
              </w:rPr>
              <w:t>теми;</w:t>
            </w:r>
          </w:p>
          <w:p w:rsidR="00041039" w:rsidRDefault="001B26CB">
            <w:pPr>
              <w:pStyle w:val="TableParagraph"/>
              <w:numPr>
                <w:ilvl w:val="0"/>
                <w:numId w:val="1450"/>
              </w:numPr>
              <w:tabs>
                <w:tab w:val="left" w:pos="158"/>
              </w:tabs>
              <w:spacing w:line="160" w:lineRule="exact"/>
              <w:ind w:right="136"/>
              <w:rPr>
                <w:sz w:val="14"/>
              </w:rPr>
            </w:pPr>
            <w:r>
              <w:rPr>
                <w:color w:val="231F20"/>
                <w:sz w:val="14"/>
              </w:rPr>
              <w:t>разликује и саставља текстове</w:t>
            </w:r>
            <w:r>
              <w:rPr>
                <w:color w:val="231F20"/>
                <w:spacing w:val="-11"/>
                <w:sz w:val="14"/>
              </w:rPr>
              <w:t xml:space="preserve"> </w:t>
            </w:r>
            <w:r>
              <w:rPr>
                <w:color w:val="231F20"/>
                <w:sz w:val="14"/>
              </w:rPr>
              <w:t>жалби, молби и сличних</w:t>
            </w:r>
            <w:r>
              <w:rPr>
                <w:color w:val="231F20"/>
                <w:spacing w:val="-4"/>
                <w:sz w:val="14"/>
              </w:rPr>
              <w:t xml:space="preserve"> </w:t>
            </w:r>
            <w:r>
              <w:rPr>
                <w:color w:val="231F20"/>
                <w:sz w:val="14"/>
              </w:rPr>
              <w:t>текстова;</w:t>
            </w:r>
          </w:p>
        </w:tc>
        <w:tc>
          <w:tcPr>
            <w:tcW w:w="2834" w:type="dxa"/>
          </w:tcPr>
          <w:p w:rsidR="00041039" w:rsidRDefault="001B26CB">
            <w:pPr>
              <w:pStyle w:val="TableParagraph"/>
              <w:numPr>
                <w:ilvl w:val="0"/>
                <w:numId w:val="1449"/>
              </w:numPr>
              <w:tabs>
                <w:tab w:val="left" w:pos="158"/>
              </w:tabs>
              <w:spacing w:before="10" w:line="171" w:lineRule="exact"/>
              <w:ind w:hanging="99"/>
              <w:rPr>
                <w:sz w:val="14"/>
              </w:rPr>
            </w:pPr>
            <w:r>
              <w:rPr>
                <w:color w:val="231F20"/>
                <w:sz w:val="14"/>
              </w:rPr>
              <w:t>Тематика:</w:t>
            </w:r>
          </w:p>
          <w:p w:rsidR="00041039" w:rsidRDefault="001B26CB">
            <w:pPr>
              <w:pStyle w:val="TableParagraph"/>
              <w:numPr>
                <w:ilvl w:val="0"/>
                <w:numId w:val="1448"/>
              </w:numPr>
              <w:tabs>
                <w:tab w:val="left" w:pos="164"/>
              </w:tabs>
              <w:spacing w:line="160" w:lineRule="exact"/>
              <w:rPr>
                <w:sz w:val="14"/>
              </w:rPr>
            </w:pPr>
            <w:r>
              <w:rPr>
                <w:color w:val="231F20"/>
                <w:sz w:val="14"/>
              </w:rPr>
              <w:t>обавезе и слободно</w:t>
            </w:r>
            <w:r>
              <w:rPr>
                <w:color w:val="231F20"/>
                <w:spacing w:val="-4"/>
                <w:sz w:val="14"/>
              </w:rPr>
              <w:t xml:space="preserve"> </w:t>
            </w:r>
            <w:r>
              <w:rPr>
                <w:color w:val="231F20"/>
                <w:sz w:val="14"/>
              </w:rPr>
              <w:t>време;</w:t>
            </w:r>
          </w:p>
          <w:p w:rsidR="00041039" w:rsidRDefault="001B26CB">
            <w:pPr>
              <w:pStyle w:val="TableParagraph"/>
              <w:numPr>
                <w:ilvl w:val="0"/>
                <w:numId w:val="1448"/>
              </w:numPr>
              <w:tabs>
                <w:tab w:val="left" w:pos="164"/>
              </w:tabs>
              <w:spacing w:line="160" w:lineRule="exact"/>
              <w:rPr>
                <w:sz w:val="14"/>
              </w:rPr>
            </w:pPr>
            <w:r>
              <w:rPr>
                <w:color w:val="231F20"/>
                <w:sz w:val="14"/>
              </w:rPr>
              <w:t>култура и</w:t>
            </w:r>
            <w:r>
              <w:rPr>
                <w:color w:val="231F20"/>
                <w:spacing w:val="-15"/>
                <w:sz w:val="14"/>
              </w:rPr>
              <w:t xml:space="preserve"> </w:t>
            </w:r>
            <w:r>
              <w:rPr>
                <w:color w:val="231F20"/>
                <w:sz w:val="14"/>
              </w:rPr>
              <w:t>медији;</w:t>
            </w:r>
          </w:p>
          <w:p w:rsidR="00041039" w:rsidRDefault="001B26CB">
            <w:pPr>
              <w:pStyle w:val="TableParagraph"/>
              <w:numPr>
                <w:ilvl w:val="0"/>
                <w:numId w:val="1448"/>
              </w:numPr>
              <w:tabs>
                <w:tab w:val="left" w:pos="164"/>
              </w:tabs>
              <w:spacing w:line="160" w:lineRule="exact"/>
              <w:rPr>
                <w:sz w:val="14"/>
              </w:rPr>
            </w:pPr>
            <w:r>
              <w:rPr>
                <w:color w:val="231F20"/>
                <w:sz w:val="14"/>
              </w:rPr>
              <w:t>млади и</w:t>
            </w:r>
            <w:r>
              <w:rPr>
                <w:color w:val="231F20"/>
                <w:spacing w:val="-5"/>
                <w:sz w:val="14"/>
              </w:rPr>
              <w:t xml:space="preserve"> </w:t>
            </w:r>
            <w:r>
              <w:rPr>
                <w:color w:val="231F20"/>
                <w:sz w:val="14"/>
              </w:rPr>
              <w:t>друштво;</w:t>
            </w:r>
          </w:p>
          <w:p w:rsidR="00041039" w:rsidRDefault="001B26CB">
            <w:pPr>
              <w:pStyle w:val="TableParagraph"/>
              <w:numPr>
                <w:ilvl w:val="0"/>
                <w:numId w:val="1448"/>
              </w:numPr>
              <w:tabs>
                <w:tab w:val="left" w:pos="164"/>
              </w:tabs>
              <w:spacing w:line="160" w:lineRule="exact"/>
              <w:rPr>
                <w:sz w:val="14"/>
              </w:rPr>
            </w:pPr>
            <w:r>
              <w:rPr>
                <w:color w:val="231F20"/>
                <w:sz w:val="14"/>
              </w:rPr>
              <w:t>екологија и очување животне</w:t>
            </w:r>
            <w:r>
              <w:rPr>
                <w:color w:val="231F20"/>
                <w:spacing w:val="-10"/>
                <w:sz w:val="14"/>
              </w:rPr>
              <w:t xml:space="preserve"> </w:t>
            </w:r>
            <w:r>
              <w:rPr>
                <w:color w:val="231F20"/>
                <w:sz w:val="14"/>
              </w:rPr>
              <w:t>средине;</w:t>
            </w:r>
          </w:p>
          <w:p w:rsidR="00041039" w:rsidRDefault="001B26CB">
            <w:pPr>
              <w:pStyle w:val="TableParagraph"/>
              <w:numPr>
                <w:ilvl w:val="0"/>
                <w:numId w:val="1448"/>
              </w:numPr>
              <w:tabs>
                <w:tab w:val="left" w:pos="164"/>
              </w:tabs>
              <w:spacing w:line="160" w:lineRule="exact"/>
              <w:rPr>
                <w:sz w:val="14"/>
              </w:rPr>
            </w:pPr>
            <w:r>
              <w:rPr>
                <w:color w:val="231F20"/>
                <w:sz w:val="14"/>
              </w:rPr>
              <w:t>специфичности</w:t>
            </w:r>
            <w:r>
              <w:rPr>
                <w:color w:val="231F20"/>
                <w:spacing w:val="-1"/>
                <w:sz w:val="14"/>
              </w:rPr>
              <w:t xml:space="preserve"> </w:t>
            </w:r>
            <w:r>
              <w:rPr>
                <w:color w:val="231F20"/>
                <w:sz w:val="14"/>
              </w:rPr>
              <w:t>струке;</w:t>
            </w:r>
          </w:p>
          <w:p w:rsidR="00041039" w:rsidRDefault="001B26CB">
            <w:pPr>
              <w:pStyle w:val="TableParagraph"/>
              <w:numPr>
                <w:ilvl w:val="0"/>
                <w:numId w:val="1448"/>
              </w:numPr>
              <w:tabs>
                <w:tab w:val="left" w:pos="164"/>
              </w:tabs>
              <w:ind w:right="262"/>
              <w:rPr>
                <w:sz w:val="14"/>
              </w:rPr>
            </w:pPr>
            <w:r>
              <w:rPr>
                <w:color w:val="231F20"/>
                <w:sz w:val="14"/>
              </w:rPr>
              <w:t>радна биографија, службено и</w:t>
            </w:r>
            <w:r>
              <w:rPr>
                <w:color w:val="231F20"/>
                <w:spacing w:val="-6"/>
                <w:sz w:val="14"/>
              </w:rPr>
              <w:t xml:space="preserve"> </w:t>
            </w:r>
            <w:r>
              <w:rPr>
                <w:color w:val="231F20"/>
                <w:sz w:val="14"/>
              </w:rPr>
              <w:t>пословно писмо.</w:t>
            </w:r>
          </w:p>
          <w:p w:rsidR="00041039" w:rsidRDefault="001B26CB">
            <w:pPr>
              <w:pStyle w:val="TableParagraph"/>
              <w:numPr>
                <w:ilvl w:val="0"/>
                <w:numId w:val="1447"/>
              </w:numPr>
              <w:tabs>
                <w:tab w:val="left" w:pos="158"/>
              </w:tabs>
              <w:spacing w:line="159" w:lineRule="exact"/>
              <w:ind w:hanging="99"/>
              <w:rPr>
                <w:sz w:val="14"/>
              </w:rPr>
            </w:pPr>
            <w:r>
              <w:rPr>
                <w:color w:val="231F20"/>
                <w:sz w:val="14"/>
              </w:rPr>
              <w:t>Комуникативне</w:t>
            </w:r>
            <w:r>
              <w:rPr>
                <w:color w:val="231F20"/>
                <w:spacing w:val="-1"/>
                <w:sz w:val="14"/>
              </w:rPr>
              <w:t xml:space="preserve"> </w:t>
            </w:r>
            <w:r>
              <w:rPr>
                <w:color w:val="231F20"/>
                <w:sz w:val="14"/>
              </w:rPr>
              <w:t>функције:</w:t>
            </w:r>
          </w:p>
          <w:p w:rsidR="00041039" w:rsidRDefault="001B26CB">
            <w:pPr>
              <w:pStyle w:val="TableParagraph"/>
              <w:numPr>
                <w:ilvl w:val="0"/>
                <w:numId w:val="1446"/>
              </w:numPr>
              <w:tabs>
                <w:tab w:val="left" w:pos="164"/>
              </w:tabs>
              <w:ind w:right="98"/>
              <w:rPr>
                <w:sz w:val="14"/>
              </w:rPr>
            </w:pPr>
            <w:r>
              <w:rPr>
                <w:color w:val="231F20"/>
                <w:sz w:val="14"/>
              </w:rPr>
              <w:t>слагање / неслагање с мишљењем саговор­ ника; исказивање психолошких</w:t>
            </w:r>
            <w:r>
              <w:rPr>
                <w:color w:val="231F20"/>
                <w:spacing w:val="-9"/>
                <w:sz w:val="14"/>
              </w:rPr>
              <w:t xml:space="preserve"> </w:t>
            </w:r>
            <w:r>
              <w:rPr>
                <w:color w:val="231F20"/>
                <w:sz w:val="14"/>
              </w:rPr>
              <w:t>стања;</w:t>
            </w:r>
          </w:p>
          <w:p w:rsidR="00041039" w:rsidRDefault="001B26CB">
            <w:pPr>
              <w:pStyle w:val="TableParagraph"/>
              <w:numPr>
                <w:ilvl w:val="0"/>
                <w:numId w:val="1446"/>
              </w:numPr>
              <w:tabs>
                <w:tab w:val="left" w:pos="164"/>
              </w:tabs>
              <w:spacing w:line="154" w:lineRule="exact"/>
              <w:rPr>
                <w:sz w:val="14"/>
              </w:rPr>
            </w:pPr>
            <w:r>
              <w:rPr>
                <w:color w:val="231F20"/>
                <w:sz w:val="14"/>
              </w:rPr>
              <w:t>реферисање о себи и о</w:t>
            </w:r>
            <w:r>
              <w:rPr>
                <w:color w:val="231F20"/>
                <w:spacing w:val="-1"/>
                <w:sz w:val="14"/>
              </w:rPr>
              <w:t xml:space="preserve"> </w:t>
            </w:r>
            <w:r>
              <w:rPr>
                <w:color w:val="231F20"/>
                <w:sz w:val="14"/>
              </w:rPr>
              <w:t>другима.</w:t>
            </w:r>
          </w:p>
          <w:p w:rsidR="00041039" w:rsidRDefault="001B26CB">
            <w:pPr>
              <w:pStyle w:val="TableParagraph"/>
              <w:numPr>
                <w:ilvl w:val="0"/>
                <w:numId w:val="1445"/>
              </w:numPr>
              <w:tabs>
                <w:tab w:val="left" w:pos="158"/>
              </w:tabs>
              <w:spacing w:line="237" w:lineRule="auto"/>
              <w:ind w:right="313" w:hanging="99"/>
              <w:rPr>
                <w:sz w:val="14"/>
              </w:rPr>
            </w:pPr>
            <w:r>
              <w:rPr>
                <w:color w:val="231F20"/>
                <w:sz w:val="14"/>
              </w:rPr>
              <w:t>Богаћење ученичког речника новом</w:t>
            </w:r>
            <w:r>
              <w:rPr>
                <w:color w:val="231F20"/>
                <w:spacing w:val="-26"/>
                <w:sz w:val="14"/>
              </w:rPr>
              <w:t xml:space="preserve"> </w:t>
            </w:r>
            <w:r>
              <w:rPr>
                <w:color w:val="231F20"/>
                <w:sz w:val="14"/>
              </w:rPr>
              <w:t>оп­ штом и стручном</w:t>
            </w:r>
            <w:r>
              <w:rPr>
                <w:color w:val="231F20"/>
                <w:spacing w:val="-5"/>
                <w:sz w:val="14"/>
              </w:rPr>
              <w:t xml:space="preserve"> </w:t>
            </w:r>
            <w:r>
              <w:rPr>
                <w:color w:val="231F20"/>
                <w:sz w:val="14"/>
              </w:rPr>
              <w:t>лексиком.</w:t>
            </w:r>
          </w:p>
          <w:p w:rsidR="00041039" w:rsidRDefault="001B26CB">
            <w:pPr>
              <w:pStyle w:val="TableParagraph"/>
              <w:numPr>
                <w:ilvl w:val="0"/>
                <w:numId w:val="1445"/>
              </w:numPr>
              <w:tabs>
                <w:tab w:val="left" w:pos="158"/>
              </w:tabs>
              <w:spacing w:line="155" w:lineRule="exact"/>
              <w:ind w:hanging="99"/>
              <w:rPr>
                <w:sz w:val="14"/>
              </w:rPr>
            </w:pPr>
            <w:r>
              <w:rPr>
                <w:color w:val="231F20"/>
                <w:sz w:val="14"/>
              </w:rPr>
              <w:t>Писање молби, жалби и сличних</w:t>
            </w:r>
            <w:r>
              <w:rPr>
                <w:color w:val="231F20"/>
                <w:spacing w:val="-12"/>
                <w:sz w:val="14"/>
              </w:rPr>
              <w:t xml:space="preserve"> </w:t>
            </w:r>
            <w:r>
              <w:rPr>
                <w:color w:val="231F20"/>
                <w:sz w:val="14"/>
              </w:rPr>
              <w:t>текстова.</w:t>
            </w:r>
          </w:p>
          <w:p w:rsidR="00041039" w:rsidRDefault="001B26CB">
            <w:pPr>
              <w:pStyle w:val="TableParagraph"/>
              <w:numPr>
                <w:ilvl w:val="0"/>
                <w:numId w:val="1445"/>
              </w:numPr>
              <w:tabs>
                <w:tab w:val="left" w:pos="158"/>
              </w:tabs>
              <w:spacing w:line="160"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1445"/>
              </w:numPr>
              <w:tabs>
                <w:tab w:val="left" w:pos="158"/>
              </w:tabs>
              <w:spacing w:line="166" w:lineRule="exact"/>
              <w:ind w:hanging="99"/>
              <w:rPr>
                <w:sz w:val="14"/>
              </w:rPr>
            </w:pPr>
            <w:r>
              <w:rPr>
                <w:color w:val="231F20"/>
                <w:sz w:val="14"/>
              </w:rPr>
              <w:t>Домаћи</w:t>
            </w:r>
            <w:r>
              <w:rPr>
                <w:color w:val="231F20"/>
                <w:spacing w:val="-1"/>
                <w:sz w:val="14"/>
              </w:rPr>
              <w:t xml:space="preserve"> </w:t>
            </w:r>
            <w:r>
              <w:rPr>
                <w:color w:val="231F20"/>
                <w:sz w:val="14"/>
              </w:rPr>
              <w:t>задаци</w:t>
            </w:r>
            <w:r>
              <w:rPr>
                <w:color w:val="231F20"/>
                <w:sz w:val="14"/>
              </w:rPr>
              <w:t>.</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2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920"/>
        </w:trPr>
        <w:tc>
          <w:tcPr>
            <w:tcW w:w="1304" w:type="dxa"/>
          </w:tcPr>
          <w:p w:rsidR="00041039" w:rsidRDefault="001B26CB">
            <w:pPr>
              <w:pStyle w:val="TableParagraph"/>
              <w:spacing w:before="18"/>
              <w:ind w:left="56"/>
              <w:rPr>
                <w:sz w:val="14"/>
              </w:rPr>
            </w:pPr>
            <w:r>
              <w:rPr>
                <w:color w:val="231F20"/>
                <w:sz w:val="14"/>
              </w:rPr>
              <w:lastRenderedPageBreak/>
              <w:t>Књижевносг</w:t>
            </w:r>
          </w:p>
        </w:tc>
        <w:tc>
          <w:tcPr>
            <w:tcW w:w="1587" w:type="dxa"/>
          </w:tcPr>
          <w:p w:rsidR="00041039" w:rsidRDefault="001B26CB">
            <w:pPr>
              <w:pStyle w:val="TableParagraph"/>
              <w:numPr>
                <w:ilvl w:val="0"/>
                <w:numId w:val="1444"/>
              </w:numPr>
              <w:tabs>
                <w:tab w:val="left" w:pos="157"/>
              </w:tabs>
              <w:spacing w:before="8"/>
              <w:ind w:right="138"/>
              <w:rPr>
                <w:sz w:val="14"/>
              </w:rPr>
            </w:pPr>
            <w:r>
              <w:rPr>
                <w:color w:val="231F20"/>
                <w:sz w:val="14"/>
              </w:rPr>
              <w:t>Упознавање са раз­ личитим књижевним родовима и врстама и значајним делима српске</w:t>
            </w:r>
            <w:r>
              <w:rPr>
                <w:color w:val="231F20"/>
                <w:spacing w:val="-3"/>
                <w:sz w:val="14"/>
              </w:rPr>
              <w:t xml:space="preserve"> </w:t>
            </w:r>
            <w:r>
              <w:rPr>
                <w:color w:val="231F20"/>
                <w:sz w:val="14"/>
              </w:rPr>
              <w:t>књижевности.</w:t>
            </w:r>
          </w:p>
        </w:tc>
        <w:tc>
          <w:tcPr>
            <w:tcW w:w="2551" w:type="dxa"/>
          </w:tcPr>
          <w:p w:rsidR="00041039" w:rsidRDefault="001B26CB">
            <w:pPr>
              <w:pStyle w:val="TableParagraph"/>
              <w:numPr>
                <w:ilvl w:val="0"/>
                <w:numId w:val="1443"/>
              </w:numPr>
              <w:tabs>
                <w:tab w:val="left" w:pos="157"/>
              </w:tabs>
              <w:spacing w:before="8"/>
              <w:ind w:right="100" w:hanging="99"/>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9"/>
                <w:sz w:val="14"/>
              </w:rPr>
              <w:t xml:space="preserve"> </w:t>
            </w:r>
            <w:r>
              <w:rPr>
                <w:color w:val="231F20"/>
                <w:sz w:val="14"/>
              </w:rPr>
              <w:t>текстова;</w:t>
            </w:r>
          </w:p>
          <w:p w:rsidR="00041039" w:rsidRDefault="001B26CB">
            <w:pPr>
              <w:pStyle w:val="TableParagraph"/>
              <w:numPr>
                <w:ilvl w:val="0"/>
                <w:numId w:val="1443"/>
              </w:numPr>
              <w:tabs>
                <w:tab w:val="left" w:pos="157"/>
              </w:tabs>
              <w:spacing w:line="160" w:lineRule="exact"/>
              <w:ind w:right="69" w:hanging="99"/>
              <w:rPr>
                <w:sz w:val="14"/>
              </w:rPr>
            </w:pPr>
            <w:r>
              <w:rPr>
                <w:color w:val="231F20"/>
                <w:sz w:val="14"/>
              </w:rPr>
              <w:t xml:space="preserve">користи познавање жанровских посебности при интерпретацији књижевног дела у настави, анализира идејне аспекте текстова обухваћених школским програмом, уочава основне интеграционе чиниоце интерпрета­ ције књижевноуметничког текста </w:t>
            </w:r>
            <w:r>
              <w:rPr>
                <w:color w:val="231F20"/>
                <w:spacing w:val="-3"/>
                <w:sz w:val="14"/>
              </w:rPr>
              <w:t xml:space="preserve">(тему, </w:t>
            </w:r>
            <w:r>
              <w:rPr>
                <w:color w:val="231F20"/>
                <w:sz w:val="14"/>
              </w:rPr>
              <w:t>мотиве, песничке сл</w:t>
            </w:r>
            <w:r>
              <w:rPr>
                <w:color w:val="231F20"/>
                <w:sz w:val="14"/>
              </w:rPr>
              <w:t xml:space="preserve">ике, типове јунака, </w:t>
            </w:r>
            <w:r>
              <w:rPr>
                <w:color w:val="231F20"/>
                <w:spacing w:val="-3"/>
                <w:sz w:val="14"/>
              </w:rPr>
              <w:t xml:space="preserve">структуру, композицију, </w:t>
            </w:r>
            <w:r>
              <w:rPr>
                <w:color w:val="231F20"/>
                <w:sz w:val="14"/>
              </w:rPr>
              <w:t>облике казивања, језичко ­ стилске каракте­ ристике...);</w:t>
            </w:r>
          </w:p>
        </w:tc>
        <w:tc>
          <w:tcPr>
            <w:tcW w:w="2834" w:type="dxa"/>
          </w:tcPr>
          <w:p w:rsidR="00041039" w:rsidRDefault="001B26CB">
            <w:pPr>
              <w:pStyle w:val="TableParagraph"/>
              <w:spacing w:before="18" w:line="155" w:lineRule="exact"/>
              <w:ind w:left="57"/>
              <w:rPr>
                <w:sz w:val="14"/>
              </w:rPr>
            </w:pPr>
            <w:r>
              <w:rPr>
                <w:color w:val="231F20"/>
                <w:sz w:val="14"/>
              </w:rPr>
              <w:t>ОБАВЕЗНИ:</w:t>
            </w:r>
          </w:p>
          <w:p w:rsidR="00041039" w:rsidRDefault="001B26CB">
            <w:pPr>
              <w:pStyle w:val="TableParagraph"/>
              <w:numPr>
                <w:ilvl w:val="0"/>
                <w:numId w:val="1442"/>
              </w:numPr>
              <w:tabs>
                <w:tab w:val="left" w:pos="157"/>
              </w:tabs>
              <w:spacing w:line="160" w:lineRule="exact"/>
              <w:ind w:hanging="99"/>
              <w:rPr>
                <w:sz w:val="14"/>
              </w:rPr>
            </w:pPr>
            <w:r>
              <w:rPr>
                <w:color w:val="231F20"/>
                <w:sz w:val="14"/>
              </w:rPr>
              <w:t>„Хасанагиница”.</w:t>
            </w:r>
          </w:p>
          <w:p w:rsidR="00041039" w:rsidRDefault="001B26CB">
            <w:pPr>
              <w:pStyle w:val="TableParagraph"/>
              <w:numPr>
                <w:ilvl w:val="0"/>
                <w:numId w:val="1442"/>
              </w:numPr>
              <w:tabs>
                <w:tab w:val="left" w:pos="157"/>
              </w:tabs>
              <w:spacing w:line="160" w:lineRule="exact"/>
              <w:ind w:hanging="99"/>
              <w:rPr>
                <w:sz w:val="14"/>
              </w:rPr>
            </w:pPr>
            <w:r>
              <w:rPr>
                <w:color w:val="231F20"/>
                <w:sz w:val="14"/>
              </w:rPr>
              <w:t>„Златоруни</w:t>
            </w:r>
            <w:r>
              <w:rPr>
                <w:color w:val="231F20"/>
                <w:spacing w:val="-1"/>
                <w:sz w:val="14"/>
              </w:rPr>
              <w:t xml:space="preserve"> </w:t>
            </w:r>
            <w:r>
              <w:rPr>
                <w:color w:val="231F20"/>
                <w:sz w:val="14"/>
              </w:rPr>
              <w:t>ован”.</w:t>
            </w:r>
          </w:p>
          <w:p w:rsidR="00041039" w:rsidRDefault="001B26CB">
            <w:pPr>
              <w:pStyle w:val="TableParagraph"/>
              <w:numPr>
                <w:ilvl w:val="0"/>
                <w:numId w:val="1442"/>
              </w:numPr>
              <w:tabs>
                <w:tab w:val="left" w:pos="157"/>
              </w:tabs>
              <w:spacing w:line="160" w:lineRule="exact"/>
              <w:ind w:hanging="99"/>
              <w:rPr>
                <w:sz w:val="14"/>
              </w:rPr>
            </w:pPr>
            <w:r>
              <w:rPr>
                <w:color w:val="231F20"/>
                <w:sz w:val="14"/>
              </w:rPr>
              <w:t>Вељко Петровић: „Салашар”</w:t>
            </w:r>
            <w:r>
              <w:rPr>
                <w:color w:val="231F20"/>
                <w:spacing w:val="-7"/>
                <w:sz w:val="14"/>
              </w:rPr>
              <w:t xml:space="preserve"> </w:t>
            </w:r>
            <w:r>
              <w:rPr>
                <w:color w:val="231F20"/>
                <w:sz w:val="14"/>
              </w:rPr>
              <w:t>(одломак).</w:t>
            </w:r>
          </w:p>
          <w:p w:rsidR="00041039" w:rsidRDefault="001B26CB">
            <w:pPr>
              <w:pStyle w:val="TableParagraph"/>
              <w:numPr>
                <w:ilvl w:val="0"/>
                <w:numId w:val="1442"/>
              </w:numPr>
              <w:tabs>
                <w:tab w:val="left" w:pos="157"/>
              </w:tabs>
              <w:spacing w:line="237" w:lineRule="auto"/>
              <w:ind w:right="507" w:hanging="99"/>
              <w:rPr>
                <w:sz w:val="14"/>
              </w:rPr>
            </w:pPr>
            <w:r>
              <w:rPr>
                <w:color w:val="231F20"/>
                <w:sz w:val="14"/>
              </w:rPr>
              <w:t>Јован Дучић: „Благо цара</w:t>
            </w:r>
            <w:r>
              <w:rPr>
                <w:color w:val="231F20"/>
                <w:spacing w:val="-25"/>
                <w:sz w:val="14"/>
              </w:rPr>
              <w:t xml:space="preserve"> </w:t>
            </w:r>
            <w:r>
              <w:rPr>
                <w:color w:val="231F20"/>
                <w:sz w:val="14"/>
              </w:rPr>
              <w:t>Радована” (одломак).</w:t>
            </w:r>
          </w:p>
          <w:p w:rsidR="00041039" w:rsidRDefault="001B26CB">
            <w:pPr>
              <w:pStyle w:val="TableParagraph"/>
              <w:numPr>
                <w:ilvl w:val="0"/>
                <w:numId w:val="1442"/>
              </w:numPr>
              <w:tabs>
                <w:tab w:val="left" w:pos="157"/>
              </w:tabs>
              <w:spacing w:line="155" w:lineRule="exact"/>
              <w:ind w:hanging="99"/>
              <w:rPr>
                <w:sz w:val="14"/>
              </w:rPr>
            </w:pPr>
            <w:r>
              <w:rPr>
                <w:color w:val="231F20"/>
                <w:sz w:val="14"/>
              </w:rPr>
              <w:t>Васко Попа: „Врати ми моје</w:t>
            </w:r>
            <w:r>
              <w:rPr>
                <w:color w:val="231F20"/>
                <w:spacing w:val="-6"/>
                <w:sz w:val="14"/>
              </w:rPr>
              <w:t xml:space="preserve"> </w:t>
            </w:r>
            <w:r>
              <w:rPr>
                <w:color w:val="231F20"/>
                <w:sz w:val="14"/>
              </w:rPr>
              <w:t>к</w:t>
            </w:r>
            <w:r>
              <w:rPr>
                <w:color w:val="231F20"/>
                <w:sz w:val="14"/>
              </w:rPr>
              <w:t>рпице”.</w:t>
            </w:r>
          </w:p>
          <w:p w:rsidR="00041039" w:rsidRDefault="001B26CB">
            <w:pPr>
              <w:pStyle w:val="TableParagraph"/>
              <w:numPr>
                <w:ilvl w:val="0"/>
                <w:numId w:val="1442"/>
              </w:numPr>
              <w:tabs>
                <w:tab w:val="left" w:pos="157"/>
              </w:tabs>
              <w:spacing w:line="237" w:lineRule="auto"/>
              <w:ind w:right="109" w:hanging="99"/>
              <w:rPr>
                <w:sz w:val="14"/>
              </w:rPr>
            </w:pPr>
            <w:r>
              <w:rPr>
                <w:color w:val="231F20"/>
                <w:sz w:val="14"/>
              </w:rPr>
              <w:t>Данило Киш: „Енциклопедија мртвих” (приповетка Славно је за отаџбину</w:t>
            </w:r>
            <w:r>
              <w:rPr>
                <w:color w:val="231F20"/>
                <w:spacing w:val="-7"/>
                <w:sz w:val="14"/>
              </w:rPr>
              <w:t xml:space="preserve"> </w:t>
            </w:r>
            <w:r>
              <w:rPr>
                <w:color w:val="231F20"/>
                <w:sz w:val="14"/>
              </w:rPr>
              <w:t>мрети).</w:t>
            </w:r>
          </w:p>
          <w:p w:rsidR="00041039" w:rsidRDefault="001B26CB">
            <w:pPr>
              <w:pStyle w:val="TableParagraph"/>
              <w:numPr>
                <w:ilvl w:val="0"/>
                <w:numId w:val="1442"/>
              </w:numPr>
              <w:tabs>
                <w:tab w:val="left" w:pos="157"/>
              </w:tabs>
              <w:spacing w:line="160" w:lineRule="exact"/>
              <w:ind w:right="427" w:hanging="99"/>
              <w:rPr>
                <w:sz w:val="14"/>
              </w:rPr>
            </w:pPr>
            <w:r>
              <w:rPr>
                <w:color w:val="231F20"/>
                <w:sz w:val="14"/>
              </w:rPr>
              <w:t>Светлана Велмар Јанковић;</w:t>
            </w:r>
            <w:r>
              <w:rPr>
                <w:color w:val="231F20"/>
                <w:spacing w:val="-23"/>
                <w:sz w:val="14"/>
              </w:rPr>
              <w:t xml:space="preserve"> </w:t>
            </w:r>
            <w:r>
              <w:rPr>
                <w:color w:val="231F20"/>
                <w:sz w:val="14"/>
              </w:rPr>
              <w:t>„Дорћол” (избор).</w:t>
            </w:r>
          </w:p>
          <w:p w:rsidR="00041039" w:rsidRDefault="001B26CB">
            <w:pPr>
              <w:pStyle w:val="TableParagraph"/>
              <w:spacing w:line="153" w:lineRule="exact"/>
              <w:ind w:left="57"/>
              <w:rPr>
                <w:sz w:val="14"/>
              </w:rPr>
            </w:pPr>
            <w:r>
              <w:rPr>
                <w:color w:val="231F20"/>
                <w:sz w:val="14"/>
              </w:rPr>
              <w:t>ИЗБОРНИ:</w:t>
            </w:r>
          </w:p>
          <w:p w:rsidR="00041039" w:rsidRDefault="001B26CB">
            <w:pPr>
              <w:pStyle w:val="TableParagraph"/>
              <w:numPr>
                <w:ilvl w:val="0"/>
                <w:numId w:val="1442"/>
              </w:numPr>
              <w:tabs>
                <w:tab w:val="left" w:pos="157"/>
              </w:tabs>
              <w:spacing w:line="160" w:lineRule="exact"/>
              <w:ind w:hanging="99"/>
              <w:rPr>
                <w:sz w:val="14"/>
              </w:rPr>
            </w:pPr>
            <w:r>
              <w:rPr>
                <w:color w:val="231F20"/>
                <w:sz w:val="14"/>
              </w:rPr>
              <w:t>Стеван Сремац: „Зона</w:t>
            </w:r>
            <w:r>
              <w:rPr>
                <w:color w:val="231F20"/>
                <w:spacing w:val="-2"/>
                <w:sz w:val="14"/>
              </w:rPr>
              <w:t xml:space="preserve"> </w:t>
            </w:r>
            <w:r>
              <w:rPr>
                <w:color w:val="231F20"/>
                <w:sz w:val="14"/>
              </w:rPr>
              <w:t>Замфирова”.</w:t>
            </w:r>
          </w:p>
          <w:p w:rsidR="00041039" w:rsidRDefault="001B26CB">
            <w:pPr>
              <w:pStyle w:val="TableParagraph"/>
              <w:numPr>
                <w:ilvl w:val="0"/>
                <w:numId w:val="1442"/>
              </w:numPr>
              <w:tabs>
                <w:tab w:val="left" w:pos="157"/>
              </w:tabs>
              <w:spacing w:line="160" w:lineRule="exact"/>
              <w:ind w:hanging="99"/>
              <w:rPr>
                <w:sz w:val="14"/>
              </w:rPr>
            </w:pPr>
            <w:r>
              <w:rPr>
                <w:color w:val="231F20"/>
                <w:sz w:val="14"/>
              </w:rPr>
              <w:t>Владислав Петковић Дис: „Можда</w:t>
            </w:r>
            <w:r>
              <w:rPr>
                <w:color w:val="231F20"/>
                <w:spacing w:val="-12"/>
                <w:sz w:val="14"/>
              </w:rPr>
              <w:t xml:space="preserve"> </w:t>
            </w:r>
            <w:r>
              <w:rPr>
                <w:color w:val="231F20"/>
                <w:sz w:val="14"/>
              </w:rPr>
              <w:t>спава”.</w:t>
            </w:r>
          </w:p>
          <w:p w:rsidR="00041039" w:rsidRDefault="001B26CB">
            <w:pPr>
              <w:pStyle w:val="TableParagraph"/>
              <w:numPr>
                <w:ilvl w:val="0"/>
                <w:numId w:val="1442"/>
              </w:numPr>
              <w:tabs>
                <w:tab w:val="left" w:pos="157"/>
              </w:tabs>
              <w:spacing w:line="237" w:lineRule="auto"/>
              <w:ind w:right="393" w:hanging="99"/>
              <w:rPr>
                <w:sz w:val="14"/>
              </w:rPr>
            </w:pPr>
            <w:r>
              <w:rPr>
                <w:color w:val="231F20"/>
                <w:spacing w:val="-3"/>
                <w:sz w:val="14"/>
              </w:rPr>
              <w:t xml:space="preserve">Горан </w:t>
            </w:r>
            <w:r>
              <w:rPr>
                <w:color w:val="231F20"/>
                <w:sz w:val="14"/>
              </w:rPr>
              <w:t xml:space="preserve">Петровић: „Ситничарница </w:t>
            </w:r>
            <w:r>
              <w:rPr>
                <w:color w:val="231F20"/>
                <w:spacing w:val="-4"/>
                <w:sz w:val="14"/>
              </w:rPr>
              <w:t xml:space="preserve">Код </w:t>
            </w:r>
            <w:r>
              <w:rPr>
                <w:color w:val="231F20"/>
                <w:sz w:val="14"/>
              </w:rPr>
              <w:t>срећне</w:t>
            </w:r>
            <w:r>
              <w:rPr>
                <w:color w:val="231F20"/>
                <w:spacing w:val="-8"/>
                <w:sz w:val="14"/>
              </w:rPr>
              <w:t xml:space="preserve"> </w:t>
            </w:r>
            <w:r>
              <w:rPr>
                <w:color w:val="231F20"/>
                <w:sz w:val="14"/>
              </w:rPr>
              <w:t>руке”</w:t>
            </w:r>
            <w:r>
              <w:rPr>
                <w:color w:val="231F20"/>
                <w:spacing w:val="-8"/>
                <w:sz w:val="14"/>
              </w:rPr>
              <w:t xml:space="preserve"> </w:t>
            </w:r>
            <w:r>
              <w:rPr>
                <w:color w:val="231F20"/>
                <w:sz w:val="14"/>
              </w:rPr>
              <w:t>(11.</w:t>
            </w:r>
            <w:r>
              <w:rPr>
                <w:color w:val="231F20"/>
                <w:spacing w:val="-8"/>
                <w:sz w:val="14"/>
              </w:rPr>
              <w:t xml:space="preserve"> </w:t>
            </w:r>
            <w:r>
              <w:rPr>
                <w:color w:val="231F20"/>
                <w:sz w:val="14"/>
              </w:rPr>
              <w:t>поглавље,</w:t>
            </w:r>
            <w:r>
              <w:rPr>
                <w:color w:val="231F20"/>
                <w:spacing w:val="-9"/>
                <w:sz w:val="14"/>
              </w:rPr>
              <w:t xml:space="preserve"> </w:t>
            </w:r>
            <w:r>
              <w:rPr>
                <w:color w:val="231F20"/>
                <w:sz w:val="14"/>
              </w:rPr>
              <w:t>одломци).</w:t>
            </w:r>
          </w:p>
          <w:p w:rsidR="00041039" w:rsidRDefault="001B26CB">
            <w:pPr>
              <w:pStyle w:val="TableParagraph"/>
              <w:numPr>
                <w:ilvl w:val="0"/>
                <w:numId w:val="1442"/>
              </w:numPr>
              <w:tabs>
                <w:tab w:val="left" w:pos="157"/>
              </w:tabs>
              <w:spacing w:line="155" w:lineRule="exact"/>
              <w:ind w:hanging="99"/>
              <w:rPr>
                <w:sz w:val="14"/>
              </w:rPr>
            </w:pPr>
            <w:r>
              <w:rPr>
                <w:color w:val="231F20"/>
                <w:sz w:val="14"/>
              </w:rPr>
              <w:t>Гроздана Олујић: „Принц</w:t>
            </w:r>
            <w:r>
              <w:rPr>
                <w:color w:val="231F20"/>
                <w:spacing w:val="-5"/>
                <w:sz w:val="14"/>
              </w:rPr>
              <w:t xml:space="preserve"> </w:t>
            </w:r>
            <w:r>
              <w:rPr>
                <w:color w:val="231F20"/>
                <w:sz w:val="14"/>
              </w:rPr>
              <w:t>облака”.</w:t>
            </w:r>
          </w:p>
          <w:p w:rsidR="00041039" w:rsidRDefault="001B26CB">
            <w:pPr>
              <w:pStyle w:val="TableParagraph"/>
              <w:numPr>
                <w:ilvl w:val="0"/>
                <w:numId w:val="1442"/>
              </w:numPr>
              <w:tabs>
                <w:tab w:val="left" w:pos="157"/>
              </w:tabs>
              <w:spacing w:line="237" w:lineRule="auto"/>
              <w:ind w:right="417" w:hanging="99"/>
              <w:rPr>
                <w:sz w:val="14"/>
              </w:rPr>
            </w:pPr>
            <w:r>
              <w:rPr>
                <w:color w:val="231F20"/>
                <w:sz w:val="14"/>
              </w:rPr>
              <w:t>Слободан Селенић: „Очеви и оци”</w:t>
            </w:r>
            <w:r>
              <w:rPr>
                <w:color w:val="231F20"/>
                <w:spacing w:val="-8"/>
                <w:sz w:val="14"/>
              </w:rPr>
              <w:t xml:space="preserve"> </w:t>
            </w:r>
            <w:r>
              <w:rPr>
                <w:color w:val="231F20"/>
                <w:sz w:val="14"/>
              </w:rPr>
              <w:t>(4. поглавље ­</w:t>
            </w:r>
            <w:r>
              <w:rPr>
                <w:color w:val="231F20"/>
                <w:spacing w:val="-2"/>
                <w:sz w:val="14"/>
              </w:rPr>
              <w:t xml:space="preserve"> </w:t>
            </w:r>
            <w:r>
              <w:rPr>
                <w:color w:val="231F20"/>
                <w:sz w:val="14"/>
              </w:rPr>
              <w:t>одломци).</w:t>
            </w:r>
          </w:p>
          <w:p w:rsidR="00041039" w:rsidRDefault="001B26CB">
            <w:pPr>
              <w:pStyle w:val="TableParagraph"/>
              <w:numPr>
                <w:ilvl w:val="0"/>
                <w:numId w:val="1442"/>
              </w:numPr>
              <w:tabs>
                <w:tab w:val="left" w:pos="157"/>
              </w:tabs>
              <w:spacing w:line="155" w:lineRule="exact"/>
              <w:ind w:hanging="99"/>
              <w:rPr>
                <w:sz w:val="14"/>
              </w:rPr>
            </w:pPr>
            <w:r>
              <w:rPr>
                <w:color w:val="231F20"/>
                <w:sz w:val="14"/>
              </w:rPr>
              <w:t>ТекстоМилутину</w:t>
            </w:r>
            <w:r>
              <w:rPr>
                <w:color w:val="231F20"/>
                <w:spacing w:val="-1"/>
                <w:sz w:val="14"/>
              </w:rPr>
              <w:t xml:space="preserve"> </w:t>
            </w:r>
            <w:r>
              <w:rPr>
                <w:color w:val="231F20"/>
                <w:spacing w:val="-3"/>
                <w:sz w:val="14"/>
              </w:rPr>
              <w:t>Миланковићу.</w:t>
            </w:r>
          </w:p>
          <w:p w:rsidR="00041039" w:rsidRDefault="001B26CB">
            <w:pPr>
              <w:pStyle w:val="TableParagraph"/>
              <w:numPr>
                <w:ilvl w:val="0"/>
                <w:numId w:val="1442"/>
              </w:numPr>
              <w:tabs>
                <w:tab w:val="left" w:pos="157"/>
              </w:tabs>
              <w:spacing w:line="160" w:lineRule="exact"/>
              <w:ind w:hanging="99"/>
              <w:rPr>
                <w:sz w:val="14"/>
              </w:rPr>
            </w:pPr>
            <w:r>
              <w:rPr>
                <w:color w:val="231F20"/>
                <w:sz w:val="14"/>
              </w:rPr>
              <w:t>Избор текстова песама које се</w:t>
            </w:r>
            <w:r>
              <w:rPr>
                <w:color w:val="231F20"/>
                <w:spacing w:val="-6"/>
                <w:sz w:val="14"/>
              </w:rPr>
              <w:t xml:space="preserve"> </w:t>
            </w:r>
            <w:r>
              <w:rPr>
                <w:color w:val="231F20"/>
                <w:spacing w:val="-3"/>
                <w:sz w:val="14"/>
              </w:rPr>
              <w:t>певају.</w:t>
            </w:r>
          </w:p>
          <w:p w:rsidR="00041039" w:rsidRDefault="001B26CB">
            <w:pPr>
              <w:pStyle w:val="TableParagraph"/>
              <w:numPr>
                <w:ilvl w:val="0"/>
                <w:numId w:val="1442"/>
              </w:numPr>
              <w:tabs>
                <w:tab w:val="left" w:pos="157"/>
              </w:tabs>
              <w:spacing w:line="237" w:lineRule="auto"/>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ind w:left="57"/>
              <w:rPr>
                <w:b/>
                <w:sz w:val="14"/>
              </w:rPr>
            </w:pPr>
            <w:r>
              <w:rPr>
                <w:b/>
                <w:color w:val="231F20"/>
                <w:sz w:val="14"/>
              </w:rPr>
              <w:t>(Треба обрадити три дела.)</w:t>
            </w:r>
          </w:p>
        </w:tc>
        <w:tc>
          <w:tcPr>
            <w:tcW w:w="2267" w:type="dxa"/>
          </w:tcPr>
          <w:p w:rsidR="00041039" w:rsidRDefault="001B26CB">
            <w:pPr>
              <w:pStyle w:val="TableParagraph"/>
              <w:spacing w:before="19"/>
              <w:ind w:left="57" w:right="41"/>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 ким тако и садржајима из културе</w:t>
            </w:r>
            <w:r>
              <w:rPr>
                <w:color w:val="231F20"/>
                <w:sz w:val="14"/>
              </w:rPr>
              <w:t>. Поред језичких, у пуној мери морају бити заступљени књижевни, уметнички, савремени садржаји и садржаји цивилизацијских текови­ на. У оквиру часова књижевности обрађују се одабрани одломци из српске књижевности у складу са нивоом знања и интересовањима уч</w:t>
            </w:r>
            <w:r>
              <w:rPr>
                <w:color w:val="231F20"/>
                <w:sz w:val="14"/>
              </w:rPr>
              <w:t>еника. Поред предложених књижевних текстова у настави треба користити текстове и других функционалних стилова, аутенти­ чне и конструисане, да би ученици стицали способност разликовања и адекватне примене одговарајућих форми изражавања.</w:t>
            </w:r>
          </w:p>
          <w:p w:rsidR="00041039" w:rsidRDefault="001B26CB">
            <w:pPr>
              <w:pStyle w:val="TableParagraph"/>
              <w:spacing w:line="141" w:lineRule="exact"/>
              <w:ind w:left="57"/>
              <w:rPr>
                <w:sz w:val="14"/>
              </w:rPr>
            </w:pPr>
            <w:r>
              <w:rPr>
                <w:color w:val="231F20"/>
                <w:sz w:val="14"/>
              </w:rPr>
              <w:t>Изузетну пажњу треб</w:t>
            </w:r>
            <w:r>
              <w:rPr>
                <w:color w:val="231F20"/>
                <w:sz w:val="14"/>
              </w:rPr>
              <w:t>а посве­</w:t>
            </w:r>
          </w:p>
          <w:p w:rsidR="00041039" w:rsidRDefault="001B26CB">
            <w:pPr>
              <w:pStyle w:val="TableParagraph"/>
              <w:ind w:left="57" w:right="41"/>
              <w:rPr>
                <w:sz w:val="14"/>
              </w:rPr>
            </w:pPr>
            <w:r>
              <w:rPr>
                <w:color w:val="231F20"/>
                <w:sz w:val="14"/>
              </w:rPr>
              <w:t>тити мотивацији ученика за рад организовањем различитих метода и облика рада и разноврсним лексичким, граматичким и комуни­ кативним вежбама. Ученике треба подстицати и на уочавање слич­ ности и разлика српског и</w:t>
            </w:r>
            <w:r>
              <w:rPr>
                <w:color w:val="231F20"/>
                <w:spacing w:val="-21"/>
                <w:sz w:val="14"/>
              </w:rPr>
              <w:t xml:space="preserve"> </w:t>
            </w:r>
            <w:r>
              <w:rPr>
                <w:color w:val="231F20"/>
                <w:sz w:val="14"/>
              </w:rPr>
              <w:t>матерњег језика. али и ширих</w:t>
            </w:r>
            <w:r>
              <w:rPr>
                <w:color w:val="231F20"/>
                <w:spacing w:val="-27"/>
                <w:sz w:val="14"/>
              </w:rPr>
              <w:t xml:space="preserve"> </w:t>
            </w:r>
            <w:r>
              <w:rPr>
                <w:color w:val="231F20"/>
                <w:sz w:val="14"/>
              </w:rPr>
              <w:t>култу</w:t>
            </w:r>
            <w:r>
              <w:rPr>
                <w:color w:val="231F20"/>
                <w:sz w:val="14"/>
              </w:rPr>
              <w:t>ролошких карактеристика.</w:t>
            </w:r>
          </w:p>
          <w:p w:rsidR="00041039" w:rsidRDefault="001B26CB">
            <w:pPr>
              <w:pStyle w:val="TableParagraph"/>
              <w:spacing w:line="237" w:lineRule="auto"/>
              <w:ind w:left="57" w:right="79"/>
              <w:rPr>
                <w:sz w:val="14"/>
              </w:rPr>
            </w:pPr>
            <w:r>
              <w:rPr>
                <w:color w:val="231F20"/>
                <w:sz w:val="14"/>
              </w:rPr>
              <w:t>Приликом интерпретације</w:t>
            </w:r>
            <w:r>
              <w:rPr>
                <w:color w:val="231F20"/>
                <w:spacing w:val="-20"/>
                <w:sz w:val="14"/>
              </w:rPr>
              <w:t xml:space="preserve"> </w:t>
            </w:r>
            <w:r>
              <w:rPr>
                <w:color w:val="231F20"/>
                <w:sz w:val="14"/>
              </w:rPr>
              <w:t>књижев­ но уметничких текстова, указивати на особености књижевних родова и врста као и на језичко ­ стилске одлике књижевних</w:t>
            </w:r>
            <w:r>
              <w:rPr>
                <w:color w:val="231F20"/>
                <w:spacing w:val="-2"/>
                <w:sz w:val="14"/>
              </w:rPr>
              <w:t xml:space="preserve"> </w:t>
            </w:r>
            <w:r>
              <w:rPr>
                <w:color w:val="231F20"/>
                <w:sz w:val="14"/>
              </w:rPr>
              <w:t>дела.</w:t>
            </w:r>
          </w:p>
          <w:p w:rsidR="00041039" w:rsidRDefault="001B26CB">
            <w:pPr>
              <w:pStyle w:val="TableParagraph"/>
              <w:ind w:left="57" w:right="309"/>
              <w:rPr>
                <w:sz w:val="14"/>
              </w:rPr>
            </w:pPr>
            <w:r>
              <w:rPr>
                <w:color w:val="231F20"/>
                <w:sz w:val="14"/>
              </w:rPr>
              <w:t>На примерима текстова српс­ ке књижевности обнављати и систематизовати садржаје из историје књижевности, теорије</w:t>
            </w:r>
          </w:p>
          <w:p w:rsidR="00041039" w:rsidRDefault="001B26CB">
            <w:pPr>
              <w:pStyle w:val="TableParagraph"/>
              <w:spacing w:line="237" w:lineRule="auto"/>
              <w:ind w:left="57"/>
              <w:rPr>
                <w:sz w:val="14"/>
              </w:rPr>
            </w:pPr>
            <w:r>
              <w:rPr>
                <w:color w:val="231F20"/>
                <w:sz w:val="14"/>
              </w:rPr>
              <w:t>књижевности и књижевне критике, које ученик познаје из програма прописаног за савладавање његовог матерњег језика.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3"/>
        </w:numPr>
        <w:tabs>
          <w:tab w:val="left" w:pos="633"/>
        </w:tabs>
      </w:pPr>
      <w:r>
        <w:rPr>
          <w:color w:val="231F20"/>
        </w:rPr>
        <w:t>Матерњи језик и</w:t>
      </w:r>
      <w:r>
        <w:rPr>
          <w:color w:val="231F20"/>
          <w:spacing w:val="-3"/>
        </w:rPr>
        <w:t xml:space="preserve"> </w:t>
      </w:r>
      <w:r>
        <w:rPr>
          <w:color w:val="231F20"/>
        </w:rPr>
        <w:t>књижевност</w:t>
      </w:r>
    </w:p>
    <w:p w:rsidR="00041039" w:rsidRDefault="001B26CB">
      <w:pPr>
        <w:pStyle w:val="ListParagraph"/>
        <w:numPr>
          <w:ilvl w:val="0"/>
          <w:numId w:val="3"/>
        </w:numPr>
        <w:tabs>
          <w:tab w:val="left" w:pos="633"/>
        </w:tabs>
        <w:rPr>
          <w:sz w:val="18"/>
        </w:rPr>
      </w:pPr>
      <w:r>
        <w:rPr>
          <w:color w:val="231F20"/>
          <w:sz w:val="18"/>
        </w:rPr>
        <w:t>Историја</w:t>
      </w:r>
    </w:p>
    <w:p w:rsidR="00041039" w:rsidRDefault="001B26CB">
      <w:pPr>
        <w:pStyle w:val="ListParagraph"/>
        <w:numPr>
          <w:ilvl w:val="0"/>
          <w:numId w:val="3"/>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0"/>
          <w:numId w:val="3"/>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3"/>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pStyle w:val="BodyText"/>
        <w:tabs>
          <w:tab w:val="left" w:pos="1460"/>
        </w:tabs>
        <w:spacing w:before="49"/>
        <w:ind w:left="1565" w:right="347" w:hanging="1409"/>
      </w:pPr>
      <w:r>
        <w:rPr>
          <w:color w:val="231F20"/>
        </w:rPr>
        <w:t>Циљ</w:t>
      </w:r>
      <w:r>
        <w:rPr>
          <w:color w:val="231F20"/>
          <w:spacing w:val="-3"/>
        </w:rPr>
        <w:t xml:space="preserve"> </w:t>
      </w:r>
      <w:r>
        <w:rPr>
          <w:color w:val="231F20"/>
        </w:rPr>
        <w:t>предмета:</w:t>
      </w:r>
      <w:r>
        <w:rPr>
          <w:color w:val="231F20"/>
        </w:rPr>
        <w:tab/>
        <w:t>–</w:t>
      </w:r>
      <w:r>
        <w:rPr>
          <w:color w:val="231F20"/>
          <w:spacing w:val="-3"/>
        </w:rPr>
        <w:t xml:space="preserve"> </w:t>
      </w:r>
      <w:r>
        <w:rPr>
          <w:color w:val="231F20"/>
        </w:rPr>
        <w:t>Развијање</w:t>
      </w:r>
      <w:r>
        <w:rPr>
          <w:color w:val="231F20"/>
          <w:spacing w:val="-4"/>
        </w:rPr>
        <w:t xml:space="preserve"> </w:t>
      </w:r>
      <w:r>
        <w:rPr>
          <w:color w:val="231F20"/>
        </w:rPr>
        <w:t>сазнајних</w:t>
      </w:r>
      <w:r>
        <w:rPr>
          <w:color w:val="231F20"/>
          <w:spacing w:val="-3"/>
        </w:rPr>
        <w:t xml:space="preserve"> </w:t>
      </w:r>
      <w:r>
        <w:rPr>
          <w:color w:val="231F20"/>
        </w:rPr>
        <w:t>и</w:t>
      </w:r>
      <w:r>
        <w:rPr>
          <w:color w:val="231F20"/>
          <w:spacing w:val="-4"/>
        </w:rPr>
        <w:t xml:space="preserve"> </w:t>
      </w:r>
      <w:r>
        <w:rPr>
          <w:color w:val="231F20"/>
        </w:rPr>
        <w:t>интелектуалних</w:t>
      </w:r>
      <w:r>
        <w:rPr>
          <w:color w:val="231F20"/>
          <w:spacing w:val="-4"/>
        </w:rPr>
        <w:t xml:space="preserve"> </w:t>
      </w:r>
      <w:r>
        <w:rPr>
          <w:color w:val="231F20"/>
        </w:rPr>
        <w:t>способности</w:t>
      </w:r>
      <w:r>
        <w:rPr>
          <w:color w:val="231F20"/>
          <w:spacing w:val="-3"/>
        </w:rPr>
        <w:t xml:space="preserve"> </w:t>
      </w:r>
      <w:r>
        <w:rPr>
          <w:color w:val="231F20"/>
        </w:rPr>
        <w:t>и</w:t>
      </w:r>
      <w:r>
        <w:rPr>
          <w:color w:val="231F20"/>
          <w:spacing w:val="-4"/>
        </w:rPr>
        <w:t xml:space="preserve"> </w:t>
      </w:r>
      <w:r>
        <w:rPr>
          <w:color w:val="231F20"/>
        </w:rPr>
        <w:t>стицање</w:t>
      </w:r>
      <w:r>
        <w:rPr>
          <w:color w:val="231F20"/>
          <w:spacing w:val="-3"/>
        </w:rPr>
        <w:t xml:space="preserve"> </w:t>
      </w:r>
      <w:r>
        <w:rPr>
          <w:color w:val="231F20"/>
        </w:rPr>
        <w:t>позитивног</w:t>
      </w:r>
      <w:r>
        <w:rPr>
          <w:color w:val="231F20"/>
          <w:spacing w:val="-4"/>
        </w:rPr>
        <w:t xml:space="preserve"> </w:t>
      </w:r>
      <w:r>
        <w:rPr>
          <w:color w:val="231F20"/>
        </w:rPr>
        <w:t>односа</w:t>
      </w:r>
      <w:r>
        <w:rPr>
          <w:color w:val="231F20"/>
          <w:spacing w:val="-3"/>
        </w:rPr>
        <w:t xml:space="preserve"> </w:t>
      </w:r>
      <w:r>
        <w:rPr>
          <w:color w:val="231F20"/>
        </w:rPr>
        <w:t>према</w:t>
      </w:r>
      <w:r>
        <w:rPr>
          <w:color w:val="231F20"/>
          <w:spacing w:val="-3"/>
        </w:rPr>
        <w:t xml:space="preserve"> </w:t>
      </w:r>
      <w:r>
        <w:rPr>
          <w:color w:val="231F20"/>
        </w:rPr>
        <w:t>другим</w:t>
      </w:r>
      <w:r>
        <w:rPr>
          <w:color w:val="231F20"/>
          <w:spacing w:val="-3"/>
        </w:rPr>
        <w:t xml:space="preserve"> </w:t>
      </w:r>
      <w:r>
        <w:rPr>
          <w:color w:val="231F20"/>
        </w:rPr>
        <w:t>културама</w:t>
      </w:r>
      <w:r>
        <w:rPr>
          <w:color w:val="231F20"/>
          <w:spacing w:val="-3"/>
        </w:rPr>
        <w:t xml:space="preserve"> </w:t>
      </w:r>
      <w:r>
        <w:rPr>
          <w:color w:val="231F20"/>
        </w:rPr>
        <w:t>уз</w:t>
      </w:r>
      <w:r>
        <w:rPr>
          <w:color w:val="231F20"/>
          <w:spacing w:val="-3"/>
        </w:rPr>
        <w:t xml:space="preserve"> </w:t>
      </w:r>
      <w:r>
        <w:rPr>
          <w:color w:val="231F20"/>
        </w:rPr>
        <w:t>уважавање</w:t>
      </w:r>
      <w:r>
        <w:rPr>
          <w:color w:val="231F20"/>
          <w:spacing w:val="-3"/>
        </w:rPr>
        <w:t xml:space="preserve"> </w:t>
      </w:r>
      <w:r>
        <w:rPr>
          <w:color w:val="231F20"/>
        </w:rPr>
        <w:t>различитости</w:t>
      </w:r>
      <w:r>
        <w:rPr>
          <w:color w:val="231F20"/>
          <w:spacing w:val="-3"/>
        </w:rPr>
        <w:t xml:space="preserve"> </w:t>
      </w:r>
      <w:r>
        <w:rPr>
          <w:color w:val="231F20"/>
        </w:rPr>
        <w:t>и</w:t>
      </w:r>
      <w:r>
        <w:rPr>
          <w:color w:val="231F20"/>
          <w:spacing w:val="-4"/>
        </w:rPr>
        <w:t xml:space="preserve"> </w:t>
      </w:r>
      <w:r>
        <w:rPr>
          <w:color w:val="231F20"/>
        </w:rPr>
        <w:t>усвајањез­ нања и умења потребних у комуникацији на страном језику у усменом и писаном</w:t>
      </w:r>
      <w:r>
        <w:rPr>
          <w:color w:val="231F20"/>
          <w:spacing w:val="-8"/>
        </w:rPr>
        <w:t xml:space="preserve"> </w:t>
      </w:r>
      <w:r>
        <w:rPr>
          <w:color w:val="231F20"/>
          <w:spacing w:val="-4"/>
        </w:rPr>
        <w:t>облику.</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w:t>
            </w:r>
            <w:r>
              <w:rPr>
                <w:b/>
                <w:color w:val="231F20"/>
                <w:sz w:val="14"/>
              </w:rPr>
              <w:t>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1441"/>
              </w:numPr>
              <w:tabs>
                <w:tab w:val="left" w:pos="157"/>
              </w:tabs>
              <w:spacing w:before="8"/>
              <w:ind w:right="216"/>
              <w:rPr>
                <w:sz w:val="14"/>
              </w:rPr>
            </w:pPr>
            <w:r>
              <w:rPr>
                <w:color w:val="231F20"/>
                <w:sz w:val="14"/>
              </w:rPr>
              <w:t>разуме реченице, питања и упутства из</w:t>
            </w:r>
            <w:r>
              <w:rPr>
                <w:color w:val="231F20"/>
                <w:spacing w:val="-23"/>
                <w:sz w:val="14"/>
              </w:rPr>
              <w:t xml:space="preserve"> </w:t>
            </w:r>
            <w:r>
              <w:rPr>
                <w:color w:val="231F20"/>
                <w:sz w:val="14"/>
              </w:rPr>
              <w:t>свако­ дневног говора (кратка упутства изговорена споро и</w:t>
            </w:r>
            <w:r>
              <w:rPr>
                <w:color w:val="231F20"/>
                <w:spacing w:val="-2"/>
                <w:sz w:val="14"/>
              </w:rPr>
              <w:t xml:space="preserve"> </w:t>
            </w:r>
            <w:r>
              <w:rPr>
                <w:color w:val="231F20"/>
                <w:sz w:val="14"/>
              </w:rPr>
              <w:t>разговетно);</w:t>
            </w:r>
          </w:p>
          <w:p w:rsidR="00041039" w:rsidRDefault="001B26CB">
            <w:pPr>
              <w:pStyle w:val="TableParagraph"/>
              <w:numPr>
                <w:ilvl w:val="0"/>
                <w:numId w:val="1441"/>
              </w:numPr>
              <w:tabs>
                <w:tab w:val="left" w:pos="157"/>
              </w:tabs>
              <w:spacing w:line="157" w:lineRule="exact"/>
              <w:rPr>
                <w:sz w:val="14"/>
              </w:rPr>
            </w:pPr>
            <w:r>
              <w:rPr>
                <w:color w:val="231F20"/>
                <w:sz w:val="14"/>
              </w:rPr>
              <w:t>разуме општи садржај краћих,</w:t>
            </w:r>
            <w:r>
              <w:rPr>
                <w:color w:val="231F20"/>
                <w:spacing w:val="-5"/>
                <w:sz w:val="14"/>
              </w:rPr>
              <w:t xml:space="preserve"> </w:t>
            </w:r>
            <w:r>
              <w:rPr>
                <w:color w:val="231F20"/>
                <w:sz w:val="14"/>
              </w:rPr>
              <w:t>прилагођених</w:t>
            </w:r>
          </w:p>
          <w:p w:rsidR="00041039" w:rsidRDefault="001B26CB">
            <w:pPr>
              <w:pStyle w:val="TableParagraph"/>
              <w:rPr>
                <w:sz w:val="14"/>
              </w:rPr>
            </w:pPr>
            <w:r>
              <w:rPr>
                <w:color w:val="231F20"/>
                <w:sz w:val="14"/>
              </w:rPr>
              <w:t>текстова после неколико слушања или уз помоћ визуелних ефеката (на упутствима, ознакама, етикетама);</w:t>
            </w:r>
          </w:p>
          <w:p w:rsidR="00041039" w:rsidRDefault="001B26CB">
            <w:pPr>
              <w:pStyle w:val="TableParagraph"/>
              <w:numPr>
                <w:ilvl w:val="0"/>
                <w:numId w:val="1441"/>
              </w:numPr>
              <w:tabs>
                <w:tab w:val="left" w:pos="157"/>
              </w:tabs>
              <w:spacing w:line="159" w:lineRule="exact"/>
              <w:rPr>
                <w:sz w:val="14"/>
              </w:rPr>
            </w:pPr>
            <w:r>
              <w:rPr>
                <w:color w:val="231F20"/>
                <w:sz w:val="14"/>
              </w:rPr>
              <w:t>разуме бројеве (цене, рачуне, тачно</w:t>
            </w:r>
            <w:r>
              <w:rPr>
                <w:color w:val="231F20"/>
                <w:spacing w:val="-10"/>
                <w:sz w:val="14"/>
              </w:rPr>
              <w:t xml:space="preserve"> </w:t>
            </w:r>
            <w:r>
              <w:rPr>
                <w:color w:val="231F20"/>
                <w:sz w:val="14"/>
              </w:rPr>
              <w:t>време);</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1440"/>
              </w:numPr>
              <w:tabs>
                <w:tab w:val="left" w:pos="157"/>
              </w:tabs>
              <w:spacing w:line="237" w:lineRule="auto"/>
              <w:ind w:right="305"/>
              <w:rPr>
                <w:sz w:val="14"/>
              </w:rPr>
            </w:pPr>
            <w:r>
              <w:rPr>
                <w:color w:val="231F20"/>
                <w:sz w:val="14"/>
              </w:rPr>
              <w:t>Свакодневни</w:t>
            </w:r>
            <w:r>
              <w:rPr>
                <w:color w:val="231F20"/>
                <w:spacing w:val="-9"/>
                <w:sz w:val="14"/>
              </w:rPr>
              <w:t xml:space="preserve"> </w:t>
            </w:r>
            <w:r>
              <w:rPr>
                <w:color w:val="231F20"/>
                <w:sz w:val="14"/>
              </w:rPr>
              <w:t>живот</w:t>
            </w:r>
            <w:r>
              <w:rPr>
                <w:color w:val="231F20"/>
                <w:spacing w:val="-9"/>
                <w:sz w:val="14"/>
              </w:rPr>
              <w:t xml:space="preserve"> </w:t>
            </w:r>
            <w:r>
              <w:rPr>
                <w:color w:val="231F20"/>
                <w:sz w:val="14"/>
              </w:rPr>
              <w:t>(организација</w:t>
            </w:r>
            <w:r>
              <w:rPr>
                <w:color w:val="231F20"/>
                <w:spacing w:val="-9"/>
                <w:sz w:val="14"/>
              </w:rPr>
              <w:t xml:space="preserve"> </w:t>
            </w:r>
            <w:r>
              <w:rPr>
                <w:color w:val="231F20"/>
                <w:sz w:val="14"/>
              </w:rPr>
              <w:t>времена,</w:t>
            </w:r>
            <w:r>
              <w:rPr>
                <w:color w:val="231F20"/>
                <w:spacing w:val="-10"/>
                <w:sz w:val="14"/>
              </w:rPr>
              <w:t xml:space="preserve"> </w:t>
            </w:r>
            <w:r>
              <w:rPr>
                <w:color w:val="231F20"/>
                <w:sz w:val="14"/>
              </w:rPr>
              <w:t>по­ слова, слободно</w:t>
            </w:r>
            <w:r>
              <w:rPr>
                <w:color w:val="231F20"/>
                <w:spacing w:val="-1"/>
                <w:sz w:val="14"/>
              </w:rPr>
              <w:t xml:space="preserve"> </w:t>
            </w:r>
            <w:r>
              <w:rPr>
                <w:color w:val="231F20"/>
                <w:sz w:val="14"/>
              </w:rPr>
              <w:t>време).</w:t>
            </w:r>
          </w:p>
          <w:p w:rsidR="00041039" w:rsidRDefault="001B26CB">
            <w:pPr>
              <w:pStyle w:val="TableParagraph"/>
              <w:numPr>
                <w:ilvl w:val="0"/>
                <w:numId w:val="1440"/>
              </w:numPr>
              <w:tabs>
                <w:tab w:val="left" w:pos="157"/>
              </w:tabs>
              <w:spacing w:line="160" w:lineRule="exact"/>
              <w:ind w:right="293"/>
              <w:rPr>
                <w:sz w:val="14"/>
              </w:rPr>
            </w:pPr>
            <w:r>
              <w:rPr>
                <w:color w:val="231F20"/>
                <w:sz w:val="14"/>
              </w:rPr>
              <w:t>Храна и здравље (навике у исхрани,</w:t>
            </w:r>
            <w:r>
              <w:rPr>
                <w:color w:val="231F20"/>
                <w:spacing w:val="-20"/>
                <w:sz w:val="14"/>
              </w:rPr>
              <w:t xml:space="preserve"> </w:t>
            </w:r>
            <w:r>
              <w:rPr>
                <w:color w:val="231F20"/>
                <w:sz w:val="14"/>
              </w:rPr>
              <w:t>карактери­ стична јела и пића у земљама</w:t>
            </w:r>
            <w:r>
              <w:rPr>
                <w:color w:val="231F20"/>
                <w:spacing w:val="-5"/>
                <w:sz w:val="14"/>
              </w:rPr>
              <w:t xml:space="preserve"> </w:t>
            </w:r>
            <w:r>
              <w:rPr>
                <w:color w:val="231F20"/>
                <w:sz w:val="14"/>
              </w:rPr>
              <w:t>света).</w:t>
            </w:r>
          </w:p>
          <w:p w:rsidR="00041039" w:rsidRDefault="001B26CB">
            <w:pPr>
              <w:pStyle w:val="TableParagraph"/>
              <w:numPr>
                <w:ilvl w:val="0"/>
                <w:numId w:val="1440"/>
              </w:numPr>
              <w:tabs>
                <w:tab w:val="left" w:pos="157"/>
              </w:tabs>
              <w:spacing w:line="153" w:lineRule="exact"/>
              <w:rPr>
                <w:sz w:val="14"/>
              </w:rPr>
            </w:pPr>
            <w:r>
              <w:rPr>
                <w:color w:val="231F20"/>
                <w:sz w:val="14"/>
              </w:rPr>
              <w:t>Познати</w:t>
            </w:r>
            <w:r>
              <w:rPr>
                <w:color w:val="231F20"/>
                <w:spacing w:val="-8"/>
                <w:sz w:val="14"/>
              </w:rPr>
              <w:t xml:space="preserve"> </w:t>
            </w:r>
            <w:r>
              <w:rPr>
                <w:color w:val="231F20"/>
                <w:sz w:val="14"/>
              </w:rPr>
              <w:t>градови</w:t>
            </w:r>
            <w:r>
              <w:rPr>
                <w:color w:val="231F20"/>
                <w:spacing w:val="-9"/>
                <w:sz w:val="14"/>
              </w:rPr>
              <w:t xml:space="preserve"> </w:t>
            </w:r>
            <w:r>
              <w:rPr>
                <w:color w:val="231F20"/>
                <w:sz w:val="14"/>
              </w:rPr>
              <w:t>и</w:t>
            </w:r>
            <w:r>
              <w:rPr>
                <w:color w:val="231F20"/>
                <w:spacing w:val="-9"/>
                <w:sz w:val="14"/>
              </w:rPr>
              <w:t xml:space="preserve"> </w:t>
            </w:r>
            <w:r>
              <w:rPr>
                <w:color w:val="231F20"/>
                <w:sz w:val="14"/>
              </w:rPr>
              <w:t>њихове</w:t>
            </w:r>
            <w:r>
              <w:rPr>
                <w:color w:val="231F20"/>
                <w:spacing w:val="-8"/>
                <w:sz w:val="14"/>
              </w:rPr>
              <w:t xml:space="preserve"> </w:t>
            </w:r>
            <w:r>
              <w:rPr>
                <w:color w:val="231F20"/>
                <w:sz w:val="14"/>
              </w:rPr>
              <w:t>знаменитости.</w:t>
            </w:r>
          </w:p>
          <w:p w:rsidR="00041039" w:rsidRDefault="001B26CB">
            <w:pPr>
              <w:pStyle w:val="TableParagraph"/>
              <w:numPr>
                <w:ilvl w:val="0"/>
                <w:numId w:val="1440"/>
              </w:numPr>
              <w:tabs>
                <w:tab w:val="left" w:pos="157"/>
              </w:tabs>
              <w:spacing w:line="160" w:lineRule="exact"/>
              <w:rPr>
                <w:sz w:val="14"/>
              </w:rPr>
            </w:pPr>
            <w:r>
              <w:rPr>
                <w:color w:val="231F20"/>
                <w:sz w:val="14"/>
              </w:rPr>
              <w:t>Спортови и позната спортска</w:t>
            </w:r>
            <w:r>
              <w:rPr>
                <w:color w:val="231F20"/>
                <w:spacing w:val="-15"/>
                <w:sz w:val="14"/>
              </w:rPr>
              <w:t xml:space="preserve"> </w:t>
            </w:r>
            <w:r>
              <w:rPr>
                <w:color w:val="231F20"/>
                <w:sz w:val="14"/>
              </w:rPr>
              <w:t>такмичења.</w:t>
            </w:r>
          </w:p>
          <w:p w:rsidR="00041039" w:rsidRDefault="001B26CB">
            <w:pPr>
              <w:pStyle w:val="TableParagraph"/>
              <w:numPr>
                <w:ilvl w:val="0"/>
                <w:numId w:val="1440"/>
              </w:numPr>
              <w:tabs>
                <w:tab w:val="left" w:pos="157"/>
              </w:tabs>
              <w:spacing w:line="237" w:lineRule="auto"/>
              <w:ind w:right="365"/>
              <w:rPr>
                <w:sz w:val="14"/>
              </w:rPr>
            </w:pPr>
            <w:r>
              <w:rPr>
                <w:color w:val="231F20"/>
                <w:sz w:val="14"/>
              </w:rPr>
              <w:t xml:space="preserve">Живот и дела славних </w:t>
            </w:r>
            <w:r>
              <w:rPr>
                <w:color w:val="231F20"/>
                <w:spacing w:val="-3"/>
                <w:sz w:val="14"/>
              </w:rPr>
              <w:t xml:space="preserve">људи </w:t>
            </w:r>
            <w:r>
              <w:rPr>
                <w:color w:val="231F20"/>
                <w:sz w:val="14"/>
              </w:rPr>
              <w:t xml:space="preserve">ХХ века (из света </w:t>
            </w:r>
            <w:r>
              <w:rPr>
                <w:color w:val="231F20"/>
                <w:spacing w:val="-3"/>
                <w:sz w:val="14"/>
              </w:rPr>
              <w:t>науке,</w:t>
            </w:r>
            <w:r>
              <w:rPr>
                <w:color w:val="231F20"/>
                <w:spacing w:val="-1"/>
                <w:sz w:val="14"/>
              </w:rPr>
              <w:t xml:space="preserve"> </w:t>
            </w:r>
            <w:r>
              <w:rPr>
                <w:color w:val="231F20"/>
                <w:sz w:val="14"/>
              </w:rPr>
              <w:t>културе).</w:t>
            </w:r>
          </w:p>
          <w:p w:rsidR="00041039" w:rsidRDefault="001B26CB">
            <w:pPr>
              <w:pStyle w:val="TableParagraph"/>
              <w:numPr>
                <w:ilvl w:val="0"/>
                <w:numId w:val="1440"/>
              </w:numPr>
              <w:tabs>
                <w:tab w:val="left" w:pos="157"/>
              </w:tabs>
              <w:spacing w:line="155" w:lineRule="exact"/>
              <w:rPr>
                <w:sz w:val="14"/>
              </w:rPr>
            </w:pPr>
            <w:r>
              <w:rPr>
                <w:color w:val="231F20"/>
                <w:sz w:val="14"/>
              </w:rPr>
              <w:t>Медији (штампа,</w:t>
            </w:r>
            <w:r>
              <w:rPr>
                <w:color w:val="231F20"/>
                <w:spacing w:val="-1"/>
                <w:sz w:val="14"/>
              </w:rPr>
              <w:t xml:space="preserve"> </w:t>
            </w:r>
            <w:r>
              <w:rPr>
                <w:color w:val="231F20"/>
                <w:sz w:val="14"/>
              </w:rPr>
              <w:t>телевизија).</w:t>
            </w:r>
          </w:p>
          <w:p w:rsidR="00041039" w:rsidRDefault="001B26CB">
            <w:pPr>
              <w:pStyle w:val="TableParagraph"/>
              <w:numPr>
                <w:ilvl w:val="0"/>
                <w:numId w:val="1440"/>
              </w:numPr>
              <w:tabs>
                <w:tab w:val="left" w:pos="157"/>
              </w:tabs>
              <w:spacing w:line="160" w:lineRule="exact"/>
              <w:rPr>
                <w:sz w:val="14"/>
              </w:rPr>
            </w:pPr>
            <w:r>
              <w:rPr>
                <w:color w:val="231F20"/>
                <w:sz w:val="14"/>
              </w:rPr>
              <w:t>Интер</w:t>
            </w:r>
            <w:r>
              <w:rPr>
                <w:color w:val="231F20"/>
                <w:sz w:val="14"/>
              </w:rPr>
              <w:t>есантне животне приче и</w:t>
            </w:r>
            <w:r>
              <w:rPr>
                <w:color w:val="231F20"/>
                <w:spacing w:val="-4"/>
                <w:sz w:val="14"/>
              </w:rPr>
              <w:t xml:space="preserve"> </w:t>
            </w:r>
            <w:r>
              <w:rPr>
                <w:color w:val="231F20"/>
                <w:sz w:val="14"/>
              </w:rPr>
              <w:t>догађаји.</w:t>
            </w:r>
          </w:p>
          <w:p w:rsidR="00041039" w:rsidRDefault="001B26CB">
            <w:pPr>
              <w:pStyle w:val="TableParagraph"/>
              <w:numPr>
                <w:ilvl w:val="0"/>
                <w:numId w:val="1440"/>
              </w:numPr>
              <w:tabs>
                <w:tab w:val="left" w:pos="157"/>
              </w:tabs>
              <w:spacing w:line="166" w:lineRule="exact"/>
              <w:rPr>
                <w:sz w:val="14"/>
              </w:rPr>
            </w:pPr>
            <w:r>
              <w:rPr>
                <w:color w:val="231F20"/>
                <w:sz w:val="14"/>
              </w:rPr>
              <w:t>Свет компјутера (распрострањеност и</w:t>
            </w:r>
            <w:r>
              <w:rPr>
                <w:color w:val="231F20"/>
                <w:spacing w:val="-7"/>
                <w:sz w:val="14"/>
              </w:rPr>
              <w:t xml:space="preserve"> </w:t>
            </w:r>
            <w:r>
              <w:rPr>
                <w:color w:val="231F20"/>
                <w:sz w:val="14"/>
              </w:rPr>
              <w:t>примена).</w:t>
            </w:r>
          </w:p>
        </w:tc>
        <w:tc>
          <w:tcPr>
            <w:tcW w:w="2834" w:type="dxa"/>
            <w:vMerge w:val="restart"/>
          </w:tcPr>
          <w:p w:rsidR="00041039" w:rsidRDefault="001B26CB">
            <w:pPr>
              <w:pStyle w:val="TableParagraph"/>
              <w:numPr>
                <w:ilvl w:val="0"/>
                <w:numId w:val="1439"/>
              </w:numPr>
              <w:tabs>
                <w:tab w:val="left" w:pos="162"/>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1439"/>
              </w:numPr>
              <w:tabs>
                <w:tab w:val="left" w:pos="162"/>
              </w:tabs>
              <w:ind w:right="282"/>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numPr>
                <w:ilvl w:val="0"/>
                <w:numId w:val="1439"/>
              </w:numPr>
              <w:tabs>
                <w:tab w:val="left" w:pos="162"/>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1439"/>
              </w:numPr>
              <w:tabs>
                <w:tab w:val="left" w:pos="162"/>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1439"/>
              </w:numPr>
              <w:tabs>
                <w:tab w:val="left" w:pos="162"/>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1439"/>
              </w:numPr>
              <w:tabs>
                <w:tab w:val="left" w:pos="162"/>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1439"/>
              </w:numPr>
              <w:tabs>
                <w:tab w:val="left" w:pos="162"/>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numPr>
                <w:ilvl w:val="0"/>
                <w:numId w:val="1439"/>
              </w:numPr>
              <w:tabs>
                <w:tab w:val="left" w:pos="162"/>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1439"/>
              </w:numPr>
              <w:tabs>
                <w:tab w:val="left" w:pos="162"/>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1439"/>
              </w:numPr>
              <w:tabs>
                <w:tab w:val="left" w:pos="162"/>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1439"/>
              </w:numPr>
              <w:tabs>
                <w:tab w:val="left" w:pos="162"/>
              </w:tabs>
              <w:ind w:right="628"/>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1439"/>
              </w:numPr>
              <w:tabs>
                <w:tab w:val="left" w:pos="162"/>
              </w:tabs>
              <w:ind w:right="273"/>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1439"/>
              </w:numPr>
              <w:tabs>
                <w:tab w:val="left" w:pos="162"/>
              </w:tabs>
              <w:spacing w:line="159" w:lineRule="exact"/>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1439"/>
              </w:numPr>
              <w:tabs>
                <w:tab w:val="left" w:pos="162"/>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1439"/>
              </w:numPr>
              <w:tabs>
                <w:tab w:val="left" w:pos="162"/>
              </w:tabs>
              <w:spacing w:line="161" w:lineRule="exact"/>
              <w:rPr>
                <w:sz w:val="14"/>
              </w:rPr>
            </w:pPr>
            <w:r>
              <w:rPr>
                <w:color w:val="231F20"/>
                <w:sz w:val="14"/>
              </w:rPr>
              <w:t>Скретање</w:t>
            </w:r>
            <w:r>
              <w:rPr>
                <w:color w:val="231F20"/>
                <w:spacing w:val="-1"/>
                <w:sz w:val="14"/>
              </w:rPr>
              <w:t xml:space="preserve"> </w:t>
            </w:r>
            <w:r>
              <w:rPr>
                <w:color w:val="231F20"/>
                <w:sz w:val="14"/>
              </w:rPr>
              <w:t>пажње.</w:t>
            </w:r>
          </w:p>
        </w:tc>
      </w:tr>
      <w:tr w:rsidR="00041039">
        <w:trPr>
          <w:trHeight w:val="1061"/>
        </w:trPr>
        <w:tc>
          <w:tcPr>
            <w:tcW w:w="1304" w:type="dxa"/>
            <w:tcBorders>
              <w:top w:val="nil"/>
            </w:tcBorders>
          </w:tcPr>
          <w:p w:rsidR="00041039" w:rsidRDefault="001B26CB">
            <w:pPr>
              <w:pStyle w:val="TableParagraph"/>
              <w:numPr>
                <w:ilvl w:val="0"/>
                <w:numId w:val="1438"/>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1437"/>
              </w:numPr>
              <w:tabs>
                <w:tab w:val="left" w:pos="157"/>
              </w:tabs>
              <w:spacing w:before="9"/>
              <w:ind w:right="228"/>
              <w:jc w:val="both"/>
              <w:rPr>
                <w:sz w:val="14"/>
              </w:rPr>
            </w:pPr>
            <w:r>
              <w:rPr>
                <w:color w:val="231F20"/>
                <w:sz w:val="14"/>
              </w:rPr>
              <w:t>у</w:t>
            </w:r>
            <w:r>
              <w:rPr>
                <w:color w:val="231F20"/>
                <w:spacing w:val="-8"/>
                <w:sz w:val="14"/>
              </w:rPr>
              <w:t xml:space="preserve"> </w:t>
            </w:r>
            <w:r>
              <w:rPr>
                <w:color w:val="231F20"/>
                <w:sz w:val="14"/>
              </w:rPr>
              <w:t>непознатом</w:t>
            </w:r>
            <w:r>
              <w:rPr>
                <w:color w:val="231F20"/>
                <w:spacing w:val="-8"/>
                <w:sz w:val="14"/>
              </w:rPr>
              <w:t xml:space="preserve"> </w:t>
            </w:r>
            <w:r>
              <w:rPr>
                <w:color w:val="231F20"/>
                <w:sz w:val="14"/>
              </w:rPr>
              <w:t>тексту</w:t>
            </w:r>
            <w:r>
              <w:rPr>
                <w:color w:val="231F20"/>
                <w:spacing w:val="-8"/>
                <w:sz w:val="14"/>
              </w:rPr>
              <w:t xml:space="preserve"> </w:t>
            </w:r>
            <w:r>
              <w:rPr>
                <w:color w:val="231F20"/>
                <w:sz w:val="14"/>
              </w:rPr>
              <w:t>препознаје</w:t>
            </w:r>
            <w:r>
              <w:rPr>
                <w:color w:val="231F20"/>
                <w:spacing w:val="-9"/>
                <w:sz w:val="14"/>
              </w:rPr>
              <w:t xml:space="preserve"> </w:t>
            </w:r>
            <w:r>
              <w:rPr>
                <w:color w:val="231F20"/>
                <w:sz w:val="14"/>
              </w:rPr>
              <w:t>познате</w:t>
            </w:r>
            <w:r>
              <w:rPr>
                <w:color w:val="231F20"/>
                <w:spacing w:val="-8"/>
                <w:sz w:val="14"/>
              </w:rPr>
              <w:t xml:space="preserve"> </w:t>
            </w:r>
            <w:r>
              <w:rPr>
                <w:color w:val="231F20"/>
                <w:sz w:val="14"/>
              </w:rPr>
              <w:t>речи, изразе</w:t>
            </w:r>
            <w:r>
              <w:rPr>
                <w:color w:val="231F20"/>
                <w:spacing w:val="-5"/>
                <w:sz w:val="14"/>
              </w:rPr>
              <w:t xml:space="preserve"> </w:t>
            </w:r>
            <w:r>
              <w:rPr>
                <w:color w:val="231F20"/>
                <w:sz w:val="14"/>
              </w:rPr>
              <w:t>и</w:t>
            </w:r>
            <w:r>
              <w:rPr>
                <w:color w:val="231F20"/>
                <w:spacing w:val="-5"/>
                <w:sz w:val="14"/>
              </w:rPr>
              <w:t xml:space="preserve"> </w:t>
            </w:r>
            <w:r>
              <w:rPr>
                <w:color w:val="231F20"/>
                <w:sz w:val="14"/>
              </w:rPr>
              <w:t>реченице</w:t>
            </w:r>
            <w:r>
              <w:rPr>
                <w:color w:val="231F20"/>
                <w:spacing w:val="-5"/>
                <w:sz w:val="14"/>
              </w:rPr>
              <w:t xml:space="preserve"> </w:t>
            </w:r>
            <w:r>
              <w:rPr>
                <w:color w:val="231F20"/>
                <w:sz w:val="14"/>
              </w:rPr>
              <w:t>(нпр.</w:t>
            </w:r>
            <w:r>
              <w:rPr>
                <w:color w:val="231F20"/>
                <w:spacing w:val="-5"/>
                <w:sz w:val="14"/>
              </w:rPr>
              <w:t xml:space="preserve"> </w:t>
            </w:r>
            <w:r>
              <w:rPr>
                <w:color w:val="231F20"/>
                <w:sz w:val="14"/>
              </w:rPr>
              <w:t>у</w:t>
            </w:r>
            <w:r>
              <w:rPr>
                <w:color w:val="231F20"/>
                <w:spacing w:val="-5"/>
                <w:sz w:val="14"/>
              </w:rPr>
              <w:t xml:space="preserve"> </w:t>
            </w:r>
            <w:r>
              <w:rPr>
                <w:color w:val="231F20"/>
                <w:sz w:val="14"/>
              </w:rPr>
              <w:t>огласима,</w:t>
            </w:r>
            <w:r>
              <w:rPr>
                <w:color w:val="231F20"/>
                <w:spacing w:val="-5"/>
                <w:sz w:val="14"/>
              </w:rPr>
              <w:t xml:space="preserve"> </w:t>
            </w:r>
            <w:r>
              <w:rPr>
                <w:color w:val="231F20"/>
                <w:sz w:val="14"/>
              </w:rPr>
              <w:t>на</w:t>
            </w:r>
            <w:r>
              <w:rPr>
                <w:color w:val="231F20"/>
                <w:spacing w:val="-5"/>
                <w:sz w:val="14"/>
              </w:rPr>
              <w:t xml:space="preserve"> </w:t>
            </w:r>
            <w:r>
              <w:rPr>
                <w:color w:val="231F20"/>
                <w:sz w:val="14"/>
              </w:rPr>
              <w:t>плака­ тима);</w:t>
            </w:r>
          </w:p>
          <w:p w:rsidR="00041039" w:rsidRDefault="001B26CB">
            <w:pPr>
              <w:pStyle w:val="TableParagraph"/>
              <w:numPr>
                <w:ilvl w:val="0"/>
                <w:numId w:val="1437"/>
              </w:numPr>
              <w:tabs>
                <w:tab w:val="left" w:pos="157"/>
              </w:tabs>
              <w:spacing w:line="157" w:lineRule="exact"/>
              <w:rPr>
                <w:sz w:val="14"/>
              </w:rPr>
            </w:pPr>
            <w:r>
              <w:rPr>
                <w:color w:val="231F20"/>
                <w:sz w:val="14"/>
              </w:rPr>
              <w:t>разуме општи садржај и смисао краћих</w:t>
            </w:r>
            <w:r>
              <w:rPr>
                <w:color w:val="231F20"/>
                <w:spacing w:val="-10"/>
                <w:sz w:val="14"/>
              </w:rPr>
              <w:t xml:space="preserve"> </w:t>
            </w:r>
            <w:r>
              <w:rPr>
                <w:color w:val="231F20"/>
                <w:sz w:val="14"/>
              </w:rPr>
              <w:t>текстова</w:t>
            </w:r>
          </w:p>
          <w:p w:rsidR="00041039" w:rsidRDefault="001B26CB">
            <w:pPr>
              <w:pStyle w:val="TableParagraph"/>
              <w:rPr>
                <w:sz w:val="14"/>
              </w:rPr>
            </w:pPr>
            <w:r>
              <w:rPr>
                <w:color w:val="231F20"/>
                <w:sz w:val="14"/>
              </w:rPr>
              <w:t>(саопштења, формуларе са подацима о некој особи, основне команде на машинама / компју­ теру, декларације о производима, упут</w:t>
            </w:r>
            <w:r>
              <w:rPr>
                <w:color w:val="231F20"/>
                <w:sz w:val="14"/>
              </w:rPr>
              <w:t>ства за употребу и коришћење);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810"/>
        </w:trPr>
        <w:tc>
          <w:tcPr>
            <w:tcW w:w="1304" w:type="dxa"/>
            <w:tcBorders>
              <w:top w:val="nil"/>
            </w:tcBorders>
          </w:tcPr>
          <w:p w:rsidR="00041039" w:rsidRDefault="001B26CB">
            <w:pPr>
              <w:pStyle w:val="TableParagraph"/>
              <w:numPr>
                <w:ilvl w:val="0"/>
                <w:numId w:val="1436"/>
              </w:numPr>
              <w:tabs>
                <w:tab w:val="left" w:pos="157"/>
              </w:tabs>
              <w:spacing w:before="69"/>
              <w:ind w:right="131"/>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lastRenderedPageBreak/>
              <w:t>ГОВОР</w:t>
            </w:r>
          </w:p>
        </w:tc>
        <w:tc>
          <w:tcPr>
            <w:tcW w:w="3118" w:type="dxa"/>
            <w:vMerge w:val="restart"/>
          </w:tcPr>
          <w:p w:rsidR="00041039" w:rsidRDefault="001B26CB">
            <w:pPr>
              <w:pStyle w:val="TableParagraph"/>
              <w:numPr>
                <w:ilvl w:val="0"/>
                <w:numId w:val="1435"/>
              </w:numPr>
              <w:tabs>
                <w:tab w:val="left" w:pos="157"/>
              </w:tabs>
              <w:spacing w:before="8"/>
              <w:ind w:right="76"/>
              <w:rPr>
                <w:sz w:val="14"/>
              </w:rPr>
            </w:pPr>
            <w:r>
              <w:rPr>
                <w:color w:val="231F20"/>
                <w:sz w:val="14"/>
              </w:rPr>
              <w:t>употребљава једноставне изразе и реченице да би представио свакодневне, себи блиске лично­ сти, активности, ситуације и</w:t>
            </w:r>
            <w:r>
              <w:rPr>
                <w:color w:val="231F20"/>
                <w:spacing w:val="-2"/>
                <w:sz w:val="14"/>
              </w:rPr>
              <w:t xml:space="preserve"> </w:t>
            </w:r>
            <w:r>
              <w:rPr>
                <w:color w:val="231F20"/>
                <w:sz w:val="14"/>
              </w:rPr>
              <w:t>догађаје;</w:t>
            </w:r>
          </w:p>
        </w:tc>
        <w:tc>
          <w:tcPr>
            <w:tcW w:w="3288" w:type="dxa"/>
            <w:vMerge w:val="restart"/>
          </w:tcPr>
          <w:p w:rsidR="00041039" w:rsidRDefault="00041039">
            <w:pPr>
              <w:pStyle w:val="TableParagraph"/>
              <w:ind w:left="0"/>
              <w:rPr>
                <w:sz w:val="14"/>
              </w:rPr>
            </w:pPr>
          </w:p>
        </w:tc>
        <w:tc>
          <w:tcPr>
            <w:tcW w:w="2834" w:type="dxa"/>
            <w:vMerge w:val="restart"/>
          </w:tcPr>
          <w:p w:rsidR="00041039" w:rsidRDefault="001B26CB">
            <w:pPr>
              <w:pStyle w:val="TableParagraph"/>
              <w:numPr>
                <w:ilvl w:val="0"/>
                <w:numId w:val="1434"/>
              </w:numPr>
              <w:tabs>
                <w:tab w:val="left" w:pos="162"/>
              </w:tabs>
              <w:spacing w:before="18"/>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numPr>
                <w:ilvl w:val="0"/>
                <w:numId w:val="1434"/>
              </w:numPr>
              <w:tabs>
                <w:tab w:val="left" w:pos="162"/>
              </w:tabs>
              <w:spacing w:line="159"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numPr>
                <w:ilvl w:val="0"/>
                <w:numId w:val="1434"/>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1434"/>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numPr>
                <w:ilvl w:val="0"/>
                <w:numId w:val="1434"/>
              </w:numPr>
              <w:tabs>
                <w:tab w:val="left" w:pos="162"/>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1434"/>
              </w:numPr>
              <w:tabs>
                <w:tab w:val="left" w:pos="162"/>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1061"/>
        </w:trPr>
        <w:tc>
          <w:tcPr>
            <w:tcW w:w="1304" w:type="dxa"/>
            <w:tcBorders>
              <w:top w:val="nil"/>
            </w:tcBorders>
          </w:tcPr>
          <w:p w:rsidR="00041039" w:rsidRDefault="001B26CB">
            <w:pPr>
              <w:pStyle w:val="TableParagraph"/>
              <w:numPr>
                <w:ilvl w:val="0"/>
                <w:numId w:val="1433"/>
              </w:numPr>
              <w:tabs>
                <w:tab w:val="left" w:pos="157"/>
              </w:tabs>
              <w:spacing w:before="69"/>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ПИСАЊЕ</w:t>
            </w:r>
          </w:p>
        </w:tc>
        <w:tc>
          <w:tcPr>
            <w:tcW w:w="3118" w:type="dxa"/>
            <w:vMerge w:val="restart"/>
          </w:tcPr>
          <w:p w:rsidR="00041039" w:rsidRDefault="001B26CB">
            <w:pPr>
              <w:pStyle w:val="TableParagraph"/>
              <w:numPr>
                <w:ilvl w:val="0"/>
                <w:numId w:val="1432"/>
              </w:numPr>
              <w:tabs>
                <w:tab w:val="left" w:pos="157"/>
              </w:tabs>
              <w:spacing w:before="8" w:line="166" w:lineRule="exact"/>
              <w:rPr>
                <w:sz w:val="14"/>
              </w:rPr>
            </w:pPr>
            <w:r>
              <w:rPr>
                <w:color w:val="231F20"/>
                <w:sz w:val="14"/>
              </w:rPr>
              <w:t>саставља кратак текст о одговарајућој</w:t>
            </w:r>
            <w:r>
              <w:rPr>
                <w:color w:val="231F20"/>
                <w:spacing w:val="-6"/>
                <w:sz w:val="14"/>
              </w:rPr>
              <w:t xml:space="preserve"> </w:t>
            </w:r>
            <w:r>
              <w:rPr>
                <w:color w:val="231F20"/>
                <w:sz w:val="14"/>
              </w:rPr>
              <w:t>теми</w:t>
            </w:r>
          </w:p>
          <w:p w:rsidR="00041039" w:rsidRDefault="001B26CB">
            <w:pPr>
              <w:pStyle w:val="TableParagraph"/>
              <w:numPr>
                <w:ilvl w:val="0"/>
                <w:numId w:val="1432"/>
              </w:numPr>
              <w:tabs>
                <w:tab w:val="left" w:pos="157"/>
              </w:tabs>
              <w:spacing w:line="237" w:lineRule="auto"/>
              <w:ind w:right="73"/>
              <w:rPr>
                <w:sz w:val="14"/>
              </w:rPr>
            </w:pPr>
            <w:r>
              <w:rPr>
                <w:color w:val="231F20"/>
                <w:sz w:val="14"/>
              </w:rPr>
              <w:t>пише кратке поруке релевантне за посао</w:t>
            </w:r>
            <w:r>
              <w:rPr>
                <w:color w:val="231F20"/>
                <w:spacing w:val="-19"/>
                <w:sz w:val="14"/>
              </w:rPr>
              <w:t xml:space="preserve"> </w:t>
            </w:r>
            <w:r>
              <w:rPr>
                <w:color w:val="231F20"/>
                <w:sz w:val="14"/>
              </w:rPr>
              <w:t>(место, термини</w:t>
            </w:r>
            <w:r>
              <w:rPr>
                <w:color w:val="231F20"/>
                <w:spacing w:val="-1"/>
                <w:sz w:val="14"/>
              </w:rPr>
              <w:t xml:space="preserve"> </w:t>
            </w:r>
            <w:r>
              <w:rPr>
                <w:color w:val="231F20"/>
                <w:sz w:val="14"/>
              </w:rPr>
              <w:t>састанка);</w:t>
            </w:r>
          </w:p>
          <w:p w:rsidR="00041039" w:rsidRDefault="001B26CB">
            <w:pPr>
              <w:pStyle w:val="TableParagraph"/>
              <w:numPr>
                <w:ilvl w:val="0"/>
                <w:numId w:val="1432"/>
              </w:numPr>
              <w:tabs>
                <w:tab w:val="left" w:pos="157"/>
              </w:tabs>
              <w:spacing w:line="155" w:lineRule="exact"/>
              <w:rPr>
                <w:sz w:val="14"/>
              </w:rPr>
            </w:pPr>
            <w:r>
              <w:rPr>
                <w:color w:val="231F20"/>
                <w:sz w:val="14"/>
              </w:rPr>
              <w:t>пише краћи текст о себи и свом</w:t>
            </w:r>
            <w:r>
              <w:rPr>
                <w:color w:val="231F20"/>
                <w:spacing w:val="-8"/>
                <w:sz w:val="14"/>
              </w:rPr>
              <w:t xml:space="preserve"> </w:t>
            </w:r>
            <w:r>
              <w:rPr>
                <w:color w:val="231F20"/>
                <w:sz w:val="14"/>
              </w:rPr>
              <w:t>окружењу</w:t>
            </w:r>
          </w:p>
          <w:p w:rsidR="00041039" w:rsidRDefault="001B26CB">
            <w:pPr>
              <w:pStyle w:val="TableParagraph"/>
              <w:numPr>
                <w:ilvl w:val="0"/>
                <w:numId w:val="1432"/>
              </w:numPr>
              <w:tabs>
                <w:tab w:val="left" w:pos="157"/>
              </w:tabs>
              <w:spacing w:line="237" w:lineRule="auto"/>
              <w:ind w:left="56" w:right="585" w:firstLine="0"/>
              <w:rPr>
                <w:sz w:val="14"/>
              </w:rPr>
            </w:pPr>
            <w:r>
              <w:rPr>
                <w:color w:val="231F20"/>
                <w:sz w:val="14"/>
              </w:rPr>
              <w:t xml:space="preserve">попуњава формулар </w:t>
            </w:r>
            <w:r>
              <w:rPr>
                <w:color w:val="231F20"/>
                <w:spacing w:val="-3"/>
                <w:sz w:val="14"/>
              </w:rPr>
              <w:t xml:space="preserve">где </w:t>
            </w:r>
            <w:r>
              <w:rPr>
                <w:color w:val="231F20"/>
                <w:sz w:val="14"/>
              </w:rPr>
              <w:t>се траже</w:t>
            </w:r>
            <w:r>
              <w:rPr>
                <w:color w:val="231F20"/>
                <w:spacing w:val="-20"/>
                <w:sz w:val="14"/>
              </w:rPr>
              <w:t xml:space="preserve"> </w:t>
            </w:r>
            <w:r>
              <w:rPr>
                <w:color w:val="231F20"/>
                <w:sz w:val="14"/>
              </w:rPr>
              <w:t>лични подаци;</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901"/>
        </w:trPr>
        <w:tc>
          <w:tcPr>
            <w:tcW w:w="1304" w:type="dxa"/>
            <w:tcBorders>
              <w:top w:val="nil"/>
            </w:tcBorders>
          </w:tcPr>
          <w:p w:rsidR="00041039" w:rsidRDefault="001B26CB">
            <w:pPr>
              <w:pStyle w:val="TableParagraph"/>
              <w:numPr>
                <w:ilvl w:val="0"/>
                <w:numId w:val="1431"/>
              </w:numPr>
              <w:tabs>
                <w:tab w:val="left" w:pos="157"/>
              </w:tabs>
              <w:spacing w:before="69"/>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numPr>
                <w:ilvl w:val="0"/>
                <w:numId w:val="1430"/>
              </w:numPr>
              <w:tabs>
                <w:tab w:val="left" w:pos="157"/>
              </w:tabs>
              <w:spacing w:before="8"/>
              <w:ind w:right="52"/>
              <w:rPr>
                <w:sz w:val="14"/>
              </w:rPr>
            </w:pPr>
            <w:r>
              <w:rPr>
                <w:color w:val="231F20"/>
                <w:sz w:val="14"/>
              </w:rPr>
              <w:t>на једноставан начин се споразумева са</w:t>
            </w:r>
            <w:r>
              <w:rPr>
                <w:color w:val="231F20"/>
                <w:spacing w:val="-18"/>
                <w:sz w:val="14"/>
              </w:rPr>
              <w:t xml:space="preserve"> </w:t>
            </w:r>
            <w:r>
              <w:rPr>
                <w:color w:val="231F20"/>
                <w:sz w:val="14"/>
              </w:rPr>
              <w:t xml:space="preserve">саговор­ </w:t>
            </w:r>
            <w:r>
              <w:rPr>
                <w:color w:val="231F20"/>
                <w:spacing w:val="-3"/>
                <w:sz w:val="14"/>
              </w:rPr>
              <w:t xml:space="preserve">ником </w:t>
            </w:r>
            <w:r>
              <w:rPr>
                <w:color w:val="231F20"/>
                <w:sz w:val="14"/>
              </w:rPr>
              <w:t>који говори споро и</w:t>
            </w:r>
            <w:r>
              <w:rPr>
                <w:color w:val="231F20"/>
                <w:spacing w:val="-2"/>
                <w:sz w:val="14"/>
              </w:rPr>
              <w:t xml:space="preserve"> </w:t>
            </w:r>
            <w:r>
              <w:rPr>
                <w:color w:val="231F20"/>
                <w:sz w:val="14"/>
              </w:rPr>
              <w:t>разговетно;</w:t>
            </w:r>
          </w:p>
          <w:p w:rsidR="00041039" w:rsidRDefault="001B26CB">
            <w:pPr>
              <w:pStyle w:val="TableParagraph"/>
              <w:numPr>
                <w:ilvl w:val="0"/>
                <w:numId w:val="1430"/>
              </w:numPr>
              <w:tabs>
                <w:tab w:val="left" w:pos="157"/>
              </w:tabs>
              <w:spacing w:before="1" w:line="160" w:lineRule="exact"/>
              <w:ind w:right="274"/>
              <w:rPr>
                <w:sz w:val="14"/>
              </w:rPr>
            </w:pPr>
            <w:r>
              <w:rPr>
                <w:color w:val="231F20"/>
                <w:sz w:val="14"/>
              </w:rPr>
              <w:t>поставља једноставна питања у вези са поз­ натим темама из живота као и да усмено</w:t>
            </w:r>
            <w:r>
              <w:rPr>
                <w:color w:val="231F20"/>
                <w:spacing w:val="-20"/>
                <w:sz w:val="14"/>
              </w:rPr>
              <w:t xml:space="preserve"> </w:t>
            </w:r>
            <w:r>
              <w:rPr>
                <w:color w:val="231F20"/>
                <w:sz w:val="14"/>
              </w:rPr>
              <w:t>или писмено</w:t>
            </w:r>
            <w:r>
              <w:rPr>
                <w:color w:val="231F20"/>
                <w:spacing w:val="-6"/>
                <w:sz w:val="14"/>
              </w:rPr>
              <w:t xml:space="preserve"> </w:t>
            </w:r>
            <w:r>
              <w:rPr>
                <w:color w:val="231F20"/>
                <w:sz w:val="14"/>
              </w:rPr>
              <w:t>одговара</w:t>
            </w:r>
            <w:r>
              <w:rPr>
                <w:color w:val="231F20"/>
                <w:spacing w:val="-5"/>
                <w:sz w:val="14"/>
              </w:rPr>
              <w:t xml:space="preserve"> </w:t>
            </w:r>
            <w:r>
              <w:rPr>
                <w:color w:val="231F20"/>
                <w:sz w:val="14"/>
              </w:rPr>
              <w:t>на</w:t>
            </w:r>
            <w:r>
              <w:rPr>
                <w:color w:val="231F20"/>
                <w:spacing w:val="-6"/>
                <w:sz w:val="14"/>
              </w:rPr>
              <w:t xml:space="preserve"> </w:t>
            </w:r>
            <w:r>
              <w:rPr>
                <w:color w:val="231F20"/>
                <w:sz w:val="14"/>
              </w:rPr>
              <w:t>иста</w:t>
            </w:r>
            <w:r>
              <w:rPr>
                <w:color w:val="231F20"/>
                <w:spacing w:val="-5"/>
                <w:sz w:val="14"/>
              </w:rPr>
              <w:t xml:space="preserve"> </w:t>
            </w:r>
            <w:r>
              <w:rPr>
                <w:color w:val="231F20"/>
                <w:sz w:val="14"/>
              </w:rPr>
              <w:t>(бројеви,</w:t>
            </w:r>
            <w:r>
              <w:rPr>
                <w:color w:val="231F20"/>
                <w:spacing w:val="-5"/>
                <w:sz w:val="14"/>
              </w:rPr>
              <w:t xml:space="preserve"> </w:t>
            </w:r>
            <w:r>
              <w:rPr>
                <w:color w:val="231F20"/>
                <w:sz w:val="14"/>
              </w:rPr>
              <w:t>подаци</w:t>
            </w:r>
            <w:r>
              <w:rPr>
                <w:color w:val="231F20"/>
                <w:spacing w:val="-5"/>
                <w:sz w:val="14"/>
              </w:rPr>
              <w:t xml:space="preserve"> </w:t>
            </w:r>
            <w:r>
              <w:rPr>
                <w:color w:val="231F20"/>
                <w:sz w:val="14"/>
              </w:rPr>
              <w:t>о количинама, време,</w:t>
            </w:r>
            <w:r>
              <w:rPr>
                <w:color w:val="231F20"/>
                <w:spacing w:val="-3"/>
                <w:sz w:val="14"/>
              </w:rPr>
              <w:t xml:space="preserve"> </w:t>
            </w:r>
            <w:r>
              <w:rPr>
                <w:color w:val="231F20"/>
                <w:sz w:val="14"/>
              </w:rPr>
              <w:t>датум);</w:t>
            </w:r>
          </w:p>
          <w:p w:rsidR="00041039" w:rsidRDefault="001B26CB">
            <w:pPr>
              <w:pStyle w:val="TableParagraph"/>
              <w:numPr>
                <w:ilvl w:val="0"/>
                <w:numId w:val="1430"/>
              </w:numPr>
              <w:tabs>
                <w:tab w:val="left" w:pos="157"/>
              </w:tabs>
              <w:spacing w:line="160" w:lineRule="exact"/>
              <w:ind w:right="90"/>
              <w:rPr>
                <w:sz w:val="14"/>
              </w:rPr>
            </w:pPr>
            <w:r>
              <w:rPr>
                <w:color w:val="231F20"/>
                <w:sz w:val="14"/>
              </w:rPr>
              <w:t xml:space="preserve">напише </w:t>
            </w:r>
            <w:r>
              <w:rPr>
                <w:color w:val="231F20"/>
                <w:spacing w:val="-2"/>
                <w:sz w:val="14"/>
              </w:rPr>
              <w:t xml:space="preserve">кратко </w:t>
            </w:r>
            <w:r>
              <w:rPr>
                <w:color w:val="231F20"/>
                <w:sz w:val="14"/>
              </w:rPr>
              <w:t xml:space="preserve">лично писмо, </w:t>
            </w:r>
            <w:r>
              <w:rPr>
                <w:color w:val="231F20"/>
                <w:spacing w:val="-3"/>
                <w:sz w:val="14"/>
              </w:rPr>
              <w:t>поруку,</w:t>
            </w:r>
            <w:r>
              <w:rPr>
                <w:color w:val="231F20"/>
                <w:spacing w:val="-23"/>
                <w:sz w:val="14"/>
              </w:rPr>
              <w:t xml:space="preserve"> </w:t>
            </w:r>
            <w:r>
              <w:rPr>
                <w:color w:val="231F20"/>
                <w:sz w:val="14"/>
              </w:rPr>
              <w:t xml:space="preserve">разгледни­ </w:t>
            </w:r>
            <w:r>
              <w:rPr>
                <w:color w:val="231F20"/>
                <w:spacing w:val="-6"/>
                <w:sz w:val="14"/>
              </w:rPr>
              <w:t>цу,</w:t>
            </w:r>
            <w:r>
              <w:rPr>
                <w:color w:val="231F20"/>
                <w:sz w:val="14"/>
              </w:rPr>
              <w:t xml:space="preserve"> честитку;</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1429"/>
              </w:numPr>
              <w:tabs>
                <w:tab w:val="left" w:pos="157"/>
              </w:tabs>
              <w:spacing w:before="69"/>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tcBorders>
              <w:bottom w:val="nil"/>
            </w:tcBorders>
          </w:tcPr>
          <w:p w:rsidR="00041039" w:rsidRDefault="001B26CB">
            <w:pPr>
              <w:pStyle w:val="TableParagraph"/>
              <w:numPr>
                <w:ilvl w:val="0"/>
                <w:numId w:val="1428"/>
              </w:numPr>
              <w:tabs>
                <w:tab w:val="left" w:pos="157"/>
              </w:tabs>
              <w:spacing w:before="9"/>
              <w:rPr>
                <w:sz w:val="14"/>
              </w:rPr>
            </w:pPr>
            <w:r>
              <w:rPr>
                <w:color w:val="231F20"/>
                <w:sz w:val="14"/>
              </w:rPr>
              <w:t>На овом нивоу није</w:t>
            </w:r>
            <w:r>
              <w:rPr>
                <w:color w:val="231F20"/>
                <w:spacing w:val="-5"/>
                <w:sz w:val="14"/>
              </w:rPr>
              <w:t xml:space="preserve"> </w:t>
            </w:r>
            <w:r>
              <w:rPr>
                <w:color w:val="231F20"/>
                <w:sz w:val="14"/>
              </w:rPr>
              <w:t>предвиђена;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0"/>
        </w:trPr>
        <w:tc>
          <w:tcPr>
            <w:tcW w:w="1304" w:type="dxa"/>
            <w:tcBorders>
              <w:top w:val="nil"/>
            </w:tcBorders>
          </w:tcPr>
          <w:p w:rsidR="00041039" w:rsidRDefault="001B26CB">
            <w:pPr>
              <w:pStyle w:val="TableParagraph"/>
              <w:numPr>
                <w:ilvl w:val="0"/>
                <w:numId w:val="1427"/>
              </w:numPr>
              <w:tabs>
                <w:tab w:val="left" w:pos="157"/>
              </w:tabs>
              <w:spacing w:before="69"/>
              <w:ind w:right="134"/>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409"/>
        </w:trPr>
        <w:tc>
          <w:tcPr>
            <w:tcW w:w="1304" w:type="dxa"/>
            <w:tcBorders>
              <w:bottom w:val="nil"/>
            </w:tcBorders>
          </w:tcPr>
          <w:p w:rsidR="00041039" w:rsidRDefault="001B26CB">
            <w:pPr>
              <w:pStyle w:val="TableParagraph"/>
              <w:spacing w:before="19"/>
              <w:ind w:left="56" w:right="331"/>
              <w:rPr>
                <w:sz w:val="14"/>
              </w:rPr>
            </w:pPr>
            <w:r>
              <w:rPr>
                <w:color w:val="231F20"/>
                <w:sz w:val="14"/>
              </w:rPr>
              <w:t>МЕДИЈСКА ПИСМЕНОСТ</w:t>
            </w:r>
          </w:p>
        </w:tc>
        <w:tc>
          <w:tcPr>
            <w:tcW w:w="3118" w:type="dxa"/>
            <w:vMerge w:val="restart"/>
          </w:tcPr>
          <w:p w:rsidR="00041039" w:rsidRDefault="001B26CB">
            <w:pPr>
              <w:pStyle w:val="TableParagraph"/>
              <w:numPr>
                <w:ilvl w:val="0"/>
                <w:numId w:val="1426"/>
              </w:numPr>
              <w:tabs>
                <w:tab w:val="left" w:pos="157"/>
              </w:tabs>
              <w:spacing w:before="9"/>
              <w:ind w:right="181"/>
              <w:rPr>
                <w:sz w:val="14"/>
              </w:rPr>
            </w:pPr>
            <w:r>
              <w:rPr>
                <w:color w:val="231F20"/>
                <w:sz w:val="14"/>
              </w:rPr>
              <w:t>препознаје и правилно користи основне</w:t>
            </w:r>
            <w:r>
              <w:rPr>
                <w:color w:val="231F20"/>
                <w:spacing w:val="-21"/>
                <w:sz w:val="14"/>
              </w:rPr>
              <w:t xml:space="preserve"> </w:t>
            </w:r>
            <w:r>
              <w:rPr>
                <w:color w:val="231F20"/>
                <w:sz w:val="14"/>
              </w:rPr>
              <w:t>фоно­ лошке (интонација, прозодија,</w:t>
            </w:r>
            <w:r>
              <w:rPr>
                <w:color w:val="231F20"/>
                <w:spacing w:val="-3"/>
                <w:sz w:val="14"/>
              </w:rPr>
              <w:t xml:space="preserve"> </w:t>
            </w:r>
            <w:r>
              <w:rPr>
                <w:color w:val="231F20"/>
                <w:sz w:val="14"/>
              </w:rPr>
              <w:t>ритам);</w:t>
            </w:r>
          </w:p>
          <w:p w:rsidR="00041039" w:rsidRDefault="001B26CB">
            <w:pPr>
              <w:pStyle w:val="TableParagraph"/>
              <w:numPr>
                <w:ilvl w:val="0"/>
                <w:numId w:val="1426"/>
              </w:numPr>
              <w:tabs>
                <w:tab w:val="left" w:pos="157"/>
              </w:tabs>
              <w:spacing w:line="160" w:lineRule="exact"/>
              <w:ind w:right="278"/>
              <w:rPr>
                <w:sz w:val="14"/>
              </w:rPr>
            </w:pPr>
            <w:r>
              <w:rPr>
                <w:color w:val="231F20"/>
                <w:sz w:val="14"/>
              </w:rPr>
              <w:t>и морфосинтаксичке категорије (именички</w:t>
            </w:r>
            <w:r>
              <w:rPr>
                <w:color w:val="231F20"/>
                <w:spacing w:val="-22"/>
                <w:sz w:val="14"/>
              </w:rPr>
              <w:t xml:space="preserve"> </w:t>
            </w:r>
            <w:r>
              <w:rPr>
                <w:color w:val="231F20"/>
                <w:sz w:val="14"/>
              </w:rPr>
              <w:t xml:space="preserve">и </w:t>
            </w:r>
            <w:r>
              <w:rPr>
                <w:color w:val="231F20"/>
                <w:spacing w:val="-3"/>
                <w:sz w:val="14"/>
              </w:rPr>
              <w:t xml:space="preserve">глаголски </w:t>
            </w:r>
            <w:r>
              <w:rPr>
                <w:color w:val="231F20"/>
                <w:sz w:val="14"/>
              </w:rPr>
              <w:t>наставци, основни ред</w:t>
            </w:r>
            <w:r>
              <w:rPr>
                <w:color w:val="231F20"/>
                <w:spacing w:val="1"/>
                <w:sz w:val="14"/>
              </w:rPr>
              <w:t xml:space="preserve"> </w:t>
            </w:r>
            <w:r>
              <w:rPr>
                <w:color w:val="231F20"/>
                <w:sz w:val="14"/>
              </w:rPr>
              <w:t>речи);</w:t>
            </w:r>
          </w:p>
          <w:p w:rsidR="00041039" w:rsidRDefault="001B26CB">
            <w:pPr>
              <w:pStyle w:val="TableParagraph"/>
              <w:numPr>
                <w:ilvl w:val="0"/>
                <w:numId w:val="1426"/>
              </w:numPr>
              <w:tabs>
                <w:tab w:val="left" w:pos="157"/>
              </w:tabs>
              <w:spacing w:line="160" w:lineRule="exact"/>
              <w:ind w:right="116"/>
              <w:rPr>
                <w:sz w:val="14"/>
              </w:rPr>
            </w:pPr>
            <w:r>
              <w:rPr>
                <w:color w:val="231F20"/>
                <w:sz w:val="14"/>
              </w:rPr>
              <w:t>користи садржаје медијске продукције</w:t>
            </w:r>
            <w:r>
              <w:rPr>
                <w:color w:val="231F20"/>
                <w:spacing w:val="-25"/>
                <w:sz w:val="14"/>
              </w:rPr>
              <w:t xml:space="preserve"> </w:t>
            </w:r>
            <w:r>
              <w:rPr>
                <w:color w:val="231F20"/>
                <w:sz w:val="14"/>
              </w:rPr>
              <w:t>намење­ не учењу страних језика (штам</w:t>
            </w:r>
            <w:r>
              <w:rPr>
                <w:color w:val="231F20"/>
                <w:sz w:val="14"/>
              </w:rPr>
              <w:t xml:space="preserve">пани медији, </w:t>
            </w:r>
            <w:r>
              <w:rPr>
                <w:color w:val="231F20"/>
                <w:spacing w:val="-4"/>
                <w:sz w:val="14"/>
              </w:rPr>
              <w:t xml:space="preserve">аудио </w:t>
            </w:r>
            <w:r>
              <w:rPr>
                <w:color w:val="231F20"/>
                <w:sz w:val="14"/>
              </w:rPr>
              <w:t>/ видео записи, компакт диск, интернет итд.);</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1425"/>
              </w:numPr>
              <w:tabs>
                <w:tab w:val="left" w:pos="157"/>
              </w:tabs>
              <w:spacing w:before="69"/>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9"/>
        <w:rPr>
          <w:b/>
          <w:sz w:val="16"/>
        </w:rPr>
      </w:pPr>
    </w:p>
    <w:p w:rsidR="00041039" w:rsidRDefault="001B26CB">
      <w:pPr>
        <w:pStyle w:val="ListParagraph"/>
        <w:numPr>
          <w:ilvl w:val="0"/>
          <w:numId w:val="1424"/>
        </w:numPr>
        <w:tabs>
          <w:tab w:val="left" w:pos="613"/>
        </w:tabs>
        <w:spacing w:line="203" w:lineRule="exact"/>
        <w:ind w:hanging="115"/>
        <w:rPr>
          <w:b/>
          <w:sz w:val="18"/>
        </w:rPr>
      </w:pPr>
      <w:r>
        <w:rPr>
          <w:b/>
          <w:color w:val="231F20"/>
          <w:sz w:val="18"/>
        </w:rPr>
        <w:t>РЕЧЕНИЦА</w:t>
      </w:r>
    </w:p>
    <w:p w:rsidR="00041039" w:rsidRDefault="001B26CB">
      <w:pPr>
        <w:pStyle w:val="Heading2"/>
      </w:pPr>
      <w:r>
        <w:rPr>
          <w:color w:val="231F20"/>
        </w:rPr>
        <w:t>Обновити реченичне моделе обухваћене програмом за основну школу.</w:t>
      </w:r>
    </w:p>
    <w:p w:rsidR="00041039" w:rsidRDefault="001B26CB">
      <w:pPr>
        <w:pStyle w:val="ListParagraph"/>
        <w:numPr>
          <w:ilvl w:val="0"/>
          <w:numId w:val="3"/>
        </w:numPr>
        <w:tabs>
          <w:tab w:val="left" w:pos="633"/>
        </w:tabs>
        <w:rPr>
          <w:sz w:val="18"/>
        </w:rPr>
      </w:pPr>
      <w:r>
        <w:rPr>
          <w:color w:val="231F20"/>
          <w:sz w:val="18"/>
        </w:rPr>
        <w:t>Ред речи у реченици. Место прилога и прилошких</w:t>
      </w:r>
      <w:r>
        <w:rPr>
          <w:color w:val="231F20"/>
          <w:spacing w:val="-6"/>
          <w:sz w:val="18"/>
        </w:rPr>
        <w:t xml:space="preserve"> </w:t>
      </w:r>
      <w:r>
        <w:rPr>
          <w:color w:val="231F20"/>
          <w:sz w:val="18"/>
        </w:rPr>
        <w:t>одредби;</w:t>
      </w:r>
    </w:p>
    <w:p w:rsidR="00041039" w:rsidRDefault="001B26CB">
      <w:pPr>
        <w:pStyle w:val="ListParagraph"/>
        <w:numPr>
          <w:ilvl w:val="0"/>
          <w:numId w:val="1423"/>
        </w:numPr>
        <w:tabs>
          <w:tab w:val="left" w:pos="633"/>
        </w:tabs>
        <w:rPr>
          <w:i/>
          <w:sz w:val="18"/>
        </w:rPr>
      </w:pPr>
      <w:r>
        <w:rPr>
          <w:i/>
          <w:color w:val="231F20"/>
          <w:spacing w:val="-6"/>
          <w:sz w:val="18"/>
        </w:rPr>
        <w:t>Tag</w:t>
      </w:r>
      <w:r>
        <w:rPr>
          <w:i/>
          <w:color w:val="231F20"/>
          <w:sz w:val="18"/>
        </w:rPr>
        <w:t xml:space="preserve"> questions;</w:t>
      </w:r>
    </w:p>
    <w:p w:rsidR="00041039" w:rsidRDefault="001B26CB">
      <w:pPr>
        <w:pStyle w:val="ListParagraph"/>
        <w:numPr>
          <w:ilvl w:val="0"/>
          <w:numId w:val="1423"/>
        </w:numPr>
        <w:tabs>
          <w:tab w:val="left" w:pos="633"/>
        </w:tabs>
        <w:rPr>
          <w:sz w:val="18"/>
        </w:rPr>
      </w:pPr>
      <w:r>
        <w:rPr>
          <w:i/>
          <w:color w:val="231F20"/>
          <w:spacing w:val="-6"/>
          <w:sz w:val="18"/>
        </w:rPr>
        <w:t xml:space="preserve">Yes </w:t>
      </w:r>
      <w:r>
        <w:rPr>
          <w:i/>
          <w:color w:val="231F20"/>
          <w:sz w:val="18"/>
        </w:rPr>
        <w:t>/ No</w:t>
      </w:r>
      <w:r>
        <w:rPr>
          <w:i/>
          <w:color w:val="231F20"/>
          <w:spacing w:val="5"/>
          <w:sz w:val="18"/>
        </w:rPr>
        <w:t xml:space="preserve"> </w:t>
      </w:r>
      <w:r>
        <w:rPr>
          <w:color w:val="231F20"/>
          <w:sz w:val="18"/>
        </w:rPr>
        <w:t>питања;</w:t>
      </w:r>
    </w:p>
    <w:p w:rsidR="00041039" w:rsidRDefault="001B26CB">
      <w:pPr>
        <w:pStyle w:val="ListParagraph"/>
        <w:numPr>
          <w:ilvl w:val="0"/>
          <w:numId w:val="1423"/>
        </w:numPr>
        <w:tabs>
          <w:tab w:val="left" w:pos="633"/>
        </w:tabs>
        <w:spacing w:line="203" w:lineRule="exact"/>
        <w:rPr>
          <w:sz w:val="18"/>
        </w:rPr>
      </w:pPr>
      <w:r>
        <w:rPr>
          <w:i/>
          <w:color w:val="231F20"/>
          <w:sz w:val="18"/>
        </w:rPr>
        <w:t>“WH”</w:t>
      </w:r>
      <w:r>
        <w:rPr>
          <w:i/>
          <w:color w:val="231F20"/>
          <w:spacing w:val="-1"/>
          <w:sz w:val="18"/>
        </w:rPr>
        <w:t xml:space="preserve"> </w:t>
      </w:r>
      <w:r>
        <w:rPr>
          <w:color w:val="231F20"/>
          <w:sz w:val="18"/>
        </w:rPr>
        <w:t>питања.</w:t>
      </w:r>
    </w:p>
    <w:p w:rsidR="00041039" w:rsidRDefault="00041039">
      <w:pPr>
        <w:pStyle w:val="BodyText"/>
        <w:spacing w:before="9"/>
        <w:rPr>
          <w:sz w:val="16"/>
        </w:rPr>
      </w:pPr>
    </w:p>
    <w:p w:rsidR="00041039" w:rsidRDefault="001B26CB">
      <w:pPr>
        <w:pStyle w:val="Heading1"/>
        <w:numPr>
          <w:ilvl w:val="0"/>
          <w:numId w:val="1424"/>
        </w:numPr>
        <w:tabs>
          <w:tab w:val="left" w:pos="683"/>
        </w:tabs>
        <w:spacing w:before="0"/>
        <w:ind w:left="682" w:hanging="185"/>
      </w:pPr>
      <w:r>
        <w:rPr>
          <w:color w:val="231F20"/>
        </w:rPr>
        <w:t>ИМЕНИЧКА</w:t>
      </w:r>
      <w:r>
        <w:rPr>
          <w:color w:val="231F20"/>
          <w:spacing w:val="-2"/>
        </w:rPr>
        <w:t xml:space="preserve"> </w:t>
      </w:r>
      <w:r>
        <w:rPr>
          <w:color w:val="231F20"/>
        </w:rPr>
        <w:t>ГРУПА</w:t>
      </w:r>
    </w:p>
    <w:p w:rsidR="00041039" w:rsidRDefault="001B26CB">
      <w:pPr>
        <w:pStyle w:val="Heading2"/>
        <w:numPr>
          <w:ilvl w:val="0"/>
          <w:numId w:val="1422"/>
        </w:numPr>
        <w:tabs>
          <w:tab w:val="left" w:pos="678"/>
        </w:tabs>
        <w:ind w:firstLine="0"/>
      </w:pPr>
      <w:r>
        <w:rPr>
          <w:color w:val="231F20"/>
        </w:rPr>
        <w:t>Члан</w:t>
      </w:r>
    </w:p>
    <w:p w:rsidR="00041039" w:rsidRDefault="001B26CB">
      <w:pPr>
        <w:pStyle w:val="ListParagraph"/>
        <w:numPr>
          <w:ilvl w:val="0"/>
          <w:numId w:val="1421"/>
        </w:numPr>
        <w:tabs>
          <w:tab w:val="left" w:pos="633"/>
        </w:tabs>
        <w:ind w:firstLine="0"/>
        <w:rPr>
          <w:sz w:val="18"/>
        </w:rPr>
      </w:pPr>
      <w:r>
        <w:rPr>
          <w:color w:val="231F20"/>
          <w:sz w:val="18"/>
        </w:rPr>
        <w:t>Обновити употребу одређеног и неодређеног</w:t>
      </w:r>
      <w:r>
        <w:rPr>
          <w:color w:val="231F20"/>
          <w:spacing w:val="-3"/>
          <w:sz w:val="18"/>
        </w:rPr>
        <w:t xml:space="preserve"> </w:t>
      </w:r>
      <w:r>
        <w:rPr>
          <w:color w:val="231F20"/>
          <w:sz w:val="18"/>
        </w:rPr>
        <w:t>члана;</w:t>
      </w:r>
    </w:p>
    <w:p w:rsidR="00041039" w:rsidRDefault="001B26CB">
      <w:pPr>
        <w:pStyle w:val="ListParagraph"/>
        <w:numPr>
          <w:ilvl w:val="0"/>
          <w:numId w:val="1421"/>
        </w:numPr>
        <w:tabs>
          <w:tab w:val="left" w:pos="633"/>
        </w:tabs>
        <w:ind w:firstLine="0"/>
        <w:rPr>
          <w:sz w:val="18"/>
        </w:rPr>
      </w:pPr>
      <w:r>
        <w:rPr>
          <w:color w:val="231F20"/>
          <w:spacing w:val="-3"/>
          <w:sz w:val="18"/>
        </w:rPr>
        <w:t xml:space="preserve">Нулти </w:t>
      </w:r>
      <w:r>
        <w:rPr>
          <w:color w:val="231F20"/>
          <w:sz w:val="18"/>
        </w:rPr>
        <w:t>члан уз градивне и апстрактне</w:t>
      </w:r>
      <w:r>
        <w:rPr>
          <w:color w:val="231F20"/>
          <w:spacing w:val="-1"/>
          <w:sz w:val="18"/>
        </w:rPr>
        <w:t xml:space="preserve"> </w:t>
      </w:r>
      <w:r>
        <w:rPr>
          <w:color w:val="231F20"/>
          <w:sz w:val="18"/>
        </w:rPr>
        <w:t>именице.</w:t>
      </w:r>
    </w:p>
    <w:p w:rsidR="00041039" w:rsidRDefault="001B26CB">
      <w:pPr>
        <w:pStyle w:val="ListParagraph"/>
        <w:numPr>
          <w:ilvl w:val="0"/>
          <w:numId w:val="1422"/>
        </w:numPr>
        <w:tabs>
          <w:tab w:val="left" w:pos="678"/>
        </w:tabs>
        <w:ind w:firstLine="0"/>
        <w:rPr>
          <w:sz w:val="18"/>
        </w:rPr>
      </w:pPr>
      <w:r>
        <w:rPr>
          <w:color w:val="231F20"/>
          <w:sz w:val="18"/>
        </w:rPr>
        <w:t>Именице</w:t>
      </w:r>
    </w:p>
    <w:p w:rsidR="00041039" w:rsidRDefault="001B26CB">
      <w:pPr>
        <w:pStyle w:val="ListParagraph"/>
        <w:numPr>
          <w:ilvl w:val="0"/>
          <w:numId w:val="1421"/>
        </w:numPr>
        <w:tabs>
          <w:tab w:val="left" w:pos="633"/>
        </w:tabs>
        <w:ind w:firstLine="0"/>
        <w:rPr>
          <w:sz w:val="18"/>
        </w:rPr>
      </w:pPr>
      <w:r>
        <w:rPr>
          <w:color w:val="231F20"/>
          <w:sz w:val="18"/>
        </w:rPr>
        <w:t>Множина именица ­</w:t>
      </w:r>
      <w:r>
        <w:rPr>
          <w:color w:val="231F20"/>
          <w:spacing w:val="-1"/>
          <w:sz w:val="18"/>
        </w:rPr>
        <w:t xml:space="preserve"> </w:t>
      </w:r>
      <w:r>
        <w:rPr>
          <w:color w:val="231F20"/>
          <w:sz w:val="18"/>
        </w:rPr>
        <w:t>обновити;</w:t>
      </w:r>
    </w:p>
    <w:p w:rsidR="00041039" w:rsidRDefault="001B26CB">
      <w:pPr>
        <w:pStyle w:val="ListParagraph"/>
        <w:numPr>
          <w:ilvl w:val="0"/>
          <w:numId w:val="1421"/>
        </w:numPr>
        <w:tabs>
          <w:tab w:val="left" w:pos="633"/>
        </w:tabs>
        <w:ind w:firstLine="0"/>
        <w:rPr>
          <w:sz w:val="18"/>
        </w:rPr>
      </w:pPr>
      <w:r>
        <w:rPr>
          <w:color w:val="231F20"/>
          <w:sz w:val="18"/>
        </w:rPr>
        <w:t>Изражавање припадања и својине ­ саксонски</w:t>
      </w:r>
      <w:r>
        <w:rPr>
          <w:color w:val="231F20"/>
          <w:spacing w:val="-4"/>
          <w:sz w:val="18"/>
        </w:rPr>
        <w:t xml:space="preserve"> </w:t>
      </w:r>
      <w:r>
        <w:rPr>
          <w:color w:val="231F20"/>
          <w:sz w:val="18"/>
        </w:rPr>
        <w:t>генитив;</w:t>
      </w:r>
    </w:p>
    <w:p w:rsidR="00041039" w:rsidRDefault="001B26CB">
      <w:pPr>
        <w:pStyle w:val="ListParagraph"/>
        <w:numPr>
          <w:ilvl w:val="0"/>
          <w:numId w:val="1421"/>
        </w:numPr>
        <w:tabs>
          <w:tab w:val="left" w:pos="633"/>
        </w:tabs>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1422"/>
        </w:numPr>
        <w:tabs>
          <w:tab w:val="left" w:pos="678"/>
        </w:tabs>
        <w:spacing w:before="1" w:line="232" w:lineRule="auto"/>
        <w:ind w:right="8674" w:firstLine="0"/>
        <w:rPr>
          <w:sz w:val="18"/>
        </w:rPr>
      </w:pPr>
      <w:r>
        <w:rPr>
          <w:color w:val="231F20"/>
          <w:sz w:val="18"/>
        </w:rPr>
        <w:t>Заменички облици а) Заменице</w:t>
      </w:r>
    </w:p>
    <w:p w:rsidR="00041039" w:rsidRDefault="001B26CB">
      <w:pPr>
        <w:pStyle w:val="ListParagraph"/>
        <w:numPr>
          <w:ilvl w:val="0"/>
          <w:numId w:val="1421"/>
        </w:numPr>
        <w:tabs>
          <w:tab w:val="left" w:pos="633"/>
        </w:tabs>
        <w:spacing w:line="197"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1421"/>
        </w:numPr>
        <w:tabs>
          <w:tab w:val="left" w:pos="633"/>
        </w:tabs>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1421"/>
        </w:numPr>
        <w:tabs>
          <w:tab w:val="left" w:pos="633"/>
        </w:tabs>
        <w:spacing w:before="2" w:line="232"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1421"/>
        </w:numPr>
        <w:tabs>
          <w:tab w:val="left" w:pos="633"/>
        </w:tabs>
        <w:spacing w:line="197"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1421"/>
        </w:numPr>
        <w:tabs>
          <w:tab w:val="left" w:pos="633"/>
        </w:tabs>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numPr>
          <w:ilvl w:val="0"/>
          <w:numId w:val="1421"/>
        </w:numPr>
        <w:tabs>
          <w:tab w:val="left" w:pos="633"/>
        </w:tabs>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1422"/>
        </w:numPr>
        <w:tabs>
          <w:tab w:val="left" w:pos="678"/>
        </w:tabs>
        <w:ind w:firstLine="0"/>
        <w:rPr>
          <w:sz w:val="18"/>
        </w:rPr>
      </w:pPr>
      <w:r>
        <w:rPr>
          <w:color w:val="231F20"/>
          <w:sz w:val="18"/>
        </w:rPr>
        <w:t>Придеви</w:t>
      </w:r>
    </w:p>
    <w:p w:rsidR="00041039" w:rsidRDefault="001B26CB">
      <w:pPr>
        <w:pStyle w:val="ListParagraph"/>
        <w:numPr>
          <w:ilvl w:val="0"/>
          <w:numId w:val="1421"/>
        </w:numPr>
        <w:tabs>
          <w:tab w:val="left" w:pos="633"/>
        </w:tabs>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numPr>
          <w:ilvl w:val="0"/>
          <w:numId w:val="1422"/>
        </w:numPr>
        <w:tabs>
          <w:tab w:val="left" w:pos="678"/>
        </w:tabs>
        <w:ind w:firstLine="0"/>
        <w:rPr>
          <w:sz w:val="18"/>
        </w:rPr>
      </w:pPr>
      <w:r>
        <w:rPr>
          <w:color w:val="231F20"/>
          <w:sz w:val="18"/>
        </w:rPr>
        <w:t>Бројеви</w:t>
      </w:r>
    </w:p>
    <w:p w:rsidR="00041039" w:rsidRDefault="001B26CB">
      <w:pPr>
        <w:pStyle w:val="ListParagraph"/>
        <w:numPr>
          <w:ilvl w:val="0"/>
          <w:numId w:val="1420"/>
        </w:numPr>
        <w:tabs>
          <w:tab w:val="left" w:pos="633"/>
        </w:tabs>
        <w:ind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1422"/>
        </w:numPr>
        <w:tabs>
          <w:tab w:val="left" w:pos="678"/>
        </w:tabs>
        <w:spacing w:line="203" w:lineRule="exact"/>
        <w:ind w:firstLine="0"/>
        <w:rPr>
          <w:sz w:val="18"/>
        </w:rPr>
      </w:pPr>
      <w:r>
        <w:rPr>
          <w:color w:val="231F20"/>
          <w:sz w:val="18"/>
        </w:rPr>
        <w:t>Квантификатори</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ListParagraph"/>
        <w:numPr>
          <w:ilvl w:val="0"/>
          <w:numId w:val="1424"/>
        </w:numPr>
        <w:tabs>
          <w:tab w:val="left" w:pos="753"/>
        </w:tabs>
        <w:spacing w:before="63" w:line="203" w:lineRule="exact"/>
        <w:ind w:left="752" w:hanging="255"/>
        <w:rPr>
          <w:b/>
          <w:sz w:val="18"/>
        </w:rPr>
      </w:pPr>
      <w:r>
        <w:rPr>
          <w:b/>
          <w:color w:val="231F20"/>
          <w:spacing w:val="-6"/>
          <w:sz w:val="18"/>
        </w:rPr>
        <w:lastRenderedPageBreak/>
        <w:t>ГЛAГОЛСКА</w:t>
      </w:r>
      <w:r>
        <w:rPr>
          <w:b/>
          <w:color w:val="231F20"/>
          <w:spacing w:val="-1"/>
          <w:sz w:val="18"/>
        </w:rPr>
        <w:t xml:space="preserve"> </w:t>
      </w:r>
      <w:r>
        <w:rPr>
          <w:b/>
          <w:color w:val="231F20"/>
          <w:sz w:val="18"/>
        </w:rPr>
        <w:t>ГРУПА</w:t>
      </w:r>
    </w:p>
    <w:p w:rsidR="00041039" w:rsidRDefault="001B26CB">
      <w:pPr>
        <w:pStyle w:val="ListParagraph"/>
        <w:numPr>
          <w:ilvl w:val="0"/>
          <w:numId w:val="1419"/>
        </w:numPr>
        <w:tabs>
          <w:tab w:val="left" w:pos="678"/>
        </w:tabs>
        <w:rPr>
          <w:sz w:val="18"/>
        </w:rPr>
      </w:pPr>
      <w:r>
        <w:rPr>
          <w:color w:val="231F20"/>
          <w:spacing w:val="-4"/>
          <w:sz w:val="18"/>
        </w:rPr>
        <w:t>Глаголи</w:t>
      </w:r>
    </w:p>
    <w:p w:rsidR="00041039" w:rsidRDefault="001B26CB">
      <w:pPr>
        <w:pStyle w:val="ListParagraph"/>
        <w:numPr>
          <w:ilvl w:val="0"/>
          <w:numId w:val="1420"/>
        </w:numPr>
        <w:tabs>
          <w:tab w:val="left" w:pos="633"/>
        </w:tabs>
        <w:ind w:left="632"/>
        <w:rPr>
          <w:sz w:val="18"/>
        </w:rPr>
      </w:pPr>
      <w:r>
        <w:rPr>
          <w:color w:val="231F20"/>
          <w:sz w:val="18"/>
        </w:rPr>
        <w:t xml:space="preserve">Обновити </w:t>
      </w:r>
      <w:r>
        <w:rPr>
          <w:color w:val="231F20"/>
          <w:spacing w:val="-3"/>
          <w:sz w:val="18"/>
        </w:rPr>
        <w:t xml:space="preserve">глаголске </w:t>
      </w:r>
      <w:r>
        <w:rPr>
          <w:color w:val="231F20"/>
          <w:sz w:val="18"/>
        </w:rPr>
        <w:t>облике предвиђене програмом за основну</w:t>
      </w:r>
      <w:r>
        <w:rPr>
          <w:color w:val="231F20"/>
          <w:spacing w:val="-1"/>
          <w:sz w:val="18"/>
        </w:rPr>
        <w:t xml:space="preserve"> </w:t>
      </w:r>
      <w:r>
        <w:rPr>
          <w:color w:val="231F20"/>
          <w:spacing w:val="-3"/>
          <w:sz w:val="18"/>
        </w:rPr>
        <w:t>школу;</w:t>
      </w:r>
    </w:p>
    <w:p w:rsidR="00041039" w:rsidRDefault="001B26CB">
      <w:pPr>
        <w:pStyle w:val="ListParagraph"/>
        <w:numPr>
          <w:ilvl w:val="0"/>
          <w:numId w:val="1420"/>
        </w:numPr>
        <w:tabs>
          <w:tab w:val="left" w:pos="633"/>
        </w:tabs>
        <w:ind w:left="632"/>
        <w:rPr>
          <w:sz w:val="18"/>
        </w:rPr>
      </w:pPr>
      <w:r>
        <w:rPr>
          <w:color w:val="231F20"/>
          <w:sz w:val="18"/>
        </w:rPr>
        <w:t>Обновити употребу: Present Simple, Present Continuous, Past Simple, Past</w:t>
      </w:r>
      <w:r>
        <w:rPr>
          <w:color w:val="231F20"/>
          <w:spacing w:val="-12"/>
          <w:sz w:val="18"/>
        </w:rPr>
        <w:t xml:space="preserve"> </w:t>
      </w:r>
      <w:r>
        <w:rPr>
          <w:color w:val="231F20"/>
          <w:sz w:val="18"/>
        </w:rPr>
        <w:t>Continuous;</w:t>
      </w:r>
    </w:p>
    <w:p w:rsidR="00041039" w:rsidRDefault="001B26CB">
      <w:pPr>
        <w:pStyle w:val="ListParagraph"/>
        <w:numPr>
          <w:ilvl w:val="0"/>
          <w:numId w:val="1420"/>
        </w:numPr>
        <w:tabs>
          <w:tab w:val="left" w:pos="633"/>
        </w:tabs>
        <w:ind w:left="632"/>
        <w:rPr>
          <w:sz w:val="18"/>
        </w:rPr>
      </w:pPr>
      <w:r>
        <w:rPr>
          <w:color w:val="231F20"/>
          <w:sz w:val="18"/>
        </w:rPr>
        <w:t xml:space="preserve">going to и трајни презент за планове и намере, going to и will (за </w:t>
      </w:r>
      <w:r>
        <w:rPr>
          <w:color w:val="231F20"/>
          <w:spacing w:val="-4"/>
          <w:sz w:val="18"/>
        </w:rPr>
        <w:t>будућа</w:t>
      </w:r>
      <w:r>
        <w:rPr>
          <w:color w:val="231F20"/>
          <w:spacing w:val="-11"/>
          <w:sz w:val="18"/>
        </w:rPr>
        <w:t xml:space="preserve"> </w:t>
      </w:r>
      <w:r>
        <w:rPr>
          <w:color w:val="231F20"/>
          <w:sz w:val="18"/>
        </w:rPr>
        <w:t>предвиђања);</w:t>
      </w:r>
    </w:p>
    <w:p w:rsidR="00041039" w:rsidRDefault="001B26CB">
      <w:pPr>
        <w:pStyle w:val="ListParagraph"/>
        <w:numPr>
          <w:ilvl w:val="0"/>
          <w:numId w:val="1420"/>
        </w:numPr>
        <w:tabs>
          <w:tab w:val="left" w:pos="633"/>
        </w:tabs>
        <w:ind w:left="632"/>
        <w:rPr>
          <w:sz w:val="18"/>
        </w:rPr>
      </w:pPr>
      <w:r>
        <w:rPr>
          <w:color w:val="231F20"/>
          <w:sz w:val="18"/>
        </w:rPr>
        <w:t>used to.</w:t>
      </w:r>
    </w:p>
    <w:p w:rsidR="00041039" w:rsidRDefault="001B26CB">
      <w:pPr>
        <w:pStyle w:val="ListParagraph"/>
        <w:numPr>
          <w:ilvl w:val="0"/>
          <w:numId w:val="1419"/>
        </w:numPr>
        <w:tabs>
          <w:tab w:val="left" w:pos="678"/>
        </w:tabs>
        <w:rPr>
          <w:sz w:val="18"/>
        </w:rPr>
      </w:pPr>
      <w:r>
        <w:rPr>
          <w:color w:val="231F20"/>
          <w:sz w:val="18"/>
        </w:rPr>
        <w:t>Прилози, извођење прилога и</w:t>
      </w:r>
      <w:r>
        <w:rPr>
          <w:color w:val="231F20"/>
          <w:spacing w:val="-4"/>
          <w:sz w:val="18"/>
        </w:rPr>
        <w:t xml:space="preserve"> </w:t>
      </w:r>
      <w:r>
        <w:rPr>
          <w:color w:val="231F20"/>
          <w:sz w:val="18"/>
        </w:rPr>
        <w:t>употреба.</w:t>
      </w:r>
    </w:p>
    <w:p w:rsidR="00041039" w:rsidRDefault="001B26CB">
      <w:pPr>
        <w:pStyle w:val="ListParagraph"/>
        <w:numPr>
          <w:ilvl w:val="0"/>
          <w:numId w:val="1419"/>
        </w:numPr>
        <w:tabs>
          <w:tab w:val="left" w:pos="678"/>
        </w:tabs>
        <w:spacing w:line="203" w:lineRule="exact"/>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1418"/>
              </w:numPr>
              <w:tabs>
                <w:tab w:val="left" w:pos="157"/>
              </w:tabs>
              <w:spacing w:before="8"/>
              <w:ind w:right="192"/>
              <w:rPr>
                <w:sz w:val="14"/>
              </w:rPr>
            </w:pPr>
            <w:r>
              <w:rPr>
                <w:color w:val="231F20"/>
                <w:sz w:val="14"/>
              </w:rPr>
              <w:t>разуме караће исказе који садрже фреквентне речи и структуре (информације о</w:t>
            </w:r>
            <w:r>
              <w:rPr>
                <w:color w:val="231F20"/>
                <w:spacing w:val="-16"/>
                <w:sz w:val="14"/>
              </w:rPr>
              <w:t xml:space="preserve"> </w:t>
            </w:r>
            <w:r>
              <w:rPr>
                <w:color w:val="231F20"/>
                <w:sz w:val="14"/>
              </w:rPr>
              <w:t xml:space="preserve">личностима, </w:t>
            </w:r>
            <w:r>
              <w:rPr>
                <w:color w:val="231F20"/>
                <w:spacing w:val="-3"/>
                <w:sz w:val="14"/>
              </w:rPr>
              <w:t xml:space="preserve">послу, </w:t>
            </w:r>
            <w:r>
              <w:rPr>
                <w:color w:val="231F20"/>
                <w:sz w:val="14"/>
              </w:rPr>
              <w:t xml:space="preserve">породици, куповини, </w:t>
            </w:r>
            <w:r>
              <w:rPr>
                <w:color w:val="231F20"/>
                <w:spacing w:val="-3"/>
                <w:sz w:val="14"/>
              </w:rPr>
              <w:t xml:space="preserve">школи, </w:t>
            </w:r>
            <w:r>
              <w:rPr>
                <w:color w:val="231F20"/>
                <w:sz w:val="14"/>
              </w:rPr>
              <w:t>ближем окружењу);</w:t>
            </w:r>
          </w:p>
          <w:p w:rsidR="00041039" w:rsidRDefault="001B26CB">
            <w:pPr>
              <w:pStyle w:val="TableParagraph"/>
              <w:numPr>
                <w:ilvl w:val="0"/>
                <w:numId w:val="1418"/>
              </w:numPr>
              <w:tabs>
                <w:tab w:val="left" w:pos="157"/>
              </w:tabs>
              <w:spacing w:line="156" w:lineRule="exact"/>
              <w:rPr>
                <w:sz w:val="14"/>
              </w:rPr>
            </w:pPr>
            <w:r>
              <w:rPr>
                <w:color w:val="231F20"/>
                <w:sz w:val="14"/>
              </w:rPr>
              <w:t>разуме најбитније информације у кратким</w:t>
            </w:r>
            <w:r>
              <w:rPr>
                <w:color w:val="231F20"/>
                <w:spacing w:val="-11"/>
                <w:sz w:val="14"/>
              </w:rPr>
              <w:t xml:space="preserve"> </w:t>
            </w:r>
            <w:r>
              <w:rPr>
                <w:color w:val="231F20"/>
                <w:sz w:val="14"/>
              </w:rPr>
              <w:t>и</w:t>
            </w:r>
          </w:p>
          <w:p w:rsidR="00041039" w:rsidRDefault="001B26CB">
            <w:pPr>
              <w:pStyle w:val="TableParagraph"/>
              <w:rPr>
                <w:sz w:val="14"/>
              </w:rPr>
            </w:pPr>
            <w:r>
              <w:rPr>
                <w:color w:val="231F20"/>
                <w:sz w:val="14"/>
              </w:rPr>
              <w:t>једноставним обавештењима (преко разгласа, на улици, на шалтеру) и правилно их користи;</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1417"/>
              </w:numPr>
              <w:tabs>
                <w:tab w:val="left" w:pos="157"/>
              </w:tabs>
              <w:spacing w:line="237" w:lineRule="auto"/>
              <w:ind w:right="105"/>
              <w:jc w:val="both"/>
              <w:rPr>
                <w:sz w:val="14"/>
              </w:rPr>
            </w:pPr>
            <w:r>
              <w:rPr>
                <w:color w:val="231F20"/>
                <w:sz w:val="14"/>
              </w:rPr>
              <w:t>Свакодневни живот (комуникација међу младима, генерацијски</w:t>
            </w:r>
            <w:r>
              <w:rPr>
                <w:color w:val="231F20"/>
                <w:spacing w:val="-8"/>
                <w:sz w:val="14"/>
              </w:rPr>
              <w:t xml:space="preserve"> </w:t>
            </w:r>
            <w:r>
              <w:rPr>
                <w:color w:val="231F20"/>
                <w:sz w:val="14"/>
              </w:rPr>
              <w:t>конфликти</w:t>
            </w:r>
            <w:r>
              <w:rPr>
                <w:color w:val="231F20"/>
                <w:spacing w:val="-8"/>
                <w:sz w:val="14"/>
              </w:rPr>
              <w:t xml:space="preserve"> </w:t>
            </w:r>
            <w:r>
              <w:rPr>
                <w:color w:val="231F20"/>
                <w:sz w:val="14"/>
              </w:rPr>
              <w:t>и</w:t>
            </w:r>
            <w:r>
              <w:rPr>
                <w:color w:val="231F20"/>
                <w:spacing w:val="-9"/>
                <w:sz w:val="14"/>
              </w:rPr>
              <w:t xml:space="preserve"> </w:t>
            </w:r>
            <w:r>
              <w:rPr>
                <w:color w:val="231F20"/>
                <w:sz w:val="14"/>
              </w:rPr>
              <w:t>начини</w:t>
            </w:r>
            <w:r>
              <w:rPr>
                <w:color w:val="231F20"/>
                <w:spacing w:val="-8"/>
                <w:sz w:val="14"/>
              </w:rPr>
              <w:t xml:space="preserve"> </w:t>
            </w:r>
            <w:r>
              <w:rPr>
                <w:color w:val="231F20"/>
                <w:sz w:val="14"/>
              </w:rPr>
              <w:t>превазилажења, међувршњачка</w:t>
            </w:r>
            <w:r>
              <w:rPr>
                <w:color w:val="231F20"/>
                <w:spacing w:val="-1"/>
                <w:sz w:val="14"/>
              </w:rPr>
              <w:t xml:space="preserve"> </w:t>
            </w:r>
            <w:r>
              <w:rPr>
                <w:color w:val="231F20"/>
                <w:sz w:val="14"/>
              </w:rPr>
              <w:t>подршка).</w:t>
            </w:r>
          </w:p>
          <w:p w:rsidR="00041039" w:rsidRDefault="001B26CB">
            <w:pPr>
              <w:pStyle w:val="TableParagraph"/>
              <w:numPr>
                <w:ilvl w:val="0"/>
                <w:numId w:val="1417"/>
              </w:numPr>
              <w:tabs>
                <w:tab w:val="left" w:pos="157"/>
              </w:tabs>
              <w:spacing w:line="237" w:lineRule="auto"/>
              <w:ind w:right="131"/>
              <w:rPr>
                <w:sz w:val="14"/>
              </w:rPr>
            </w:pPr>
            <w:r>
              <w:rPr>
                <w:color w:val="231F20"/>
                <w:sz w:val="14"/>
              </w:rPr>
              <w:t xml:space="preserve">Образовање (образовање у земљама чији се </w:t>
            </w:r>
            <w:r>
              <w:rPr>
                <w:color w:val="231F20"/>
                <w:sz w:val="14"/>
              </w:rPr>
              <w:t>језик учи,</w:t>
            </w:r>
            <w:r>
              <w:rPr>
                <w:color w:val="231F20"/>
                <w:spacing w:val="-6"/>
                <w:sz w:val="14"/>
              </w:rPr>
              <w:t xml:space="preserve"> </w:t>
            </w:r>
            <w:r>
              <w:rPr>
                <w:color w:val="231F20"/>
                <w:sz w:val="14"/>
              </w:rPr>
              <w:t>школовање</w:t>
            </w:r>
            <w:r>
              <w:rPr>
                <w:color w:val="231F20"/>
                <w:spacing w:val="-6"/>
                <w:sz w:val="14"/>
              </w:rPr>
              <w:t xml:space="preserve"> </w:t>
            </w:r>
            <w:r>
              <w:rPr>
                <w:color w:val="231F20"/>
                <w:sz w:val="14"/>
              </w:rPr>
              <w:t>које</w:t>
            </w:r>
            <w:r>
              <w:rPr>
                <w:color w:val="231F20"/>
                <w:spacing w:val="-6"/>
                <w:sz w:val="14"/>
              </w:rPr>
              <w:t xml:space="preserve"> </w:t>
            </w:r>
            <w:r>
              <w:rPr>
                <w:color w:val="231F20"/>
                <w:sz w:val="14"/>
              </w:rPr>
              <w:t>припрема</w:t>
            </w:r>
            <w:r>
              <w:rPr>
                <w:color w:val="231F20"/>
                <w:spacing w:val="-6"/>
                <w:sz w:val="14"/>
              </w:rPr>
              <w:t xml:space="preserve"> </w:t>
            </w:r>
            <w:r>
              <w:rPr>
                <w:color w:val="231F20"/>
                <w:sz w:val="14"/>
              </w:rPr>
              <w:t>за</w:t>
            </w:r>
            <w:r>
              <w:rPr>
                <w:color w:val="231F20"/>
                <w:spacing w:val="-7"/>
                <w:sz w:val="14"/>
              </w:rPr>
              <w:t xml:space="preserve"> </w:t>
            </w:r>
            <w:r>
              <w:rPr>
                <w:color w:val="231F20"/>
                <w:sz w:val="14"/>
              </w:rPr>
              <w:t>студије</w:t>
            </w:r>
            <w:r>
              <w:rPr>
                <w:color w:val="231F20"/>
                <w:spacing w:val="-6"/>
                <w:sz w:val="14"/>
              </w:rPr>
              <w:t xml:space="preserve"> </w:t>
            </w:r>
            <w:r>
              <w:rPr>
                <w:color w:val="231F20"/>
                <w:sz w:val="14"/>
              </w:rPr>
              <w:t>или</w:t>
            </w:r>
            <w:r>
              <w:rPr>
                <w:color w:val="231F20"/>
                <w:spacing w:val="-7"/>
                <w:sz w:val="14"/>
              </w:rPr>
              <w:t xml:space="preserve"> </w:t>
            </w:r>
            <w:r>
              <w:rPr>
                <w:color w:val="231F20"/>
                <w:sz w:val="14"/>
              </w:rPr>
              <w:t>свет рада, образовање за</w:t>
            </w:r>
            <w:r>
              <w:rPr>
                <w:color w:val="231F20"/>
                <w:spacing w:val="-2"/>
                <w:sz w:val="14"/>
              </w:rPr>
              <w:t xml:space="preserve"> </w:t>
            </w:r>
            <w:r>
              <w:rPr>
                <w:color w:val="231F20"/>
                <w:sz w:val="14"/>
              </w:rPr>
              <w:t>све).</w:t>
            </w:r>
          </w:p>
          <w:p w:rsidR="00041039" w:rsidRDefault="001B26CB">
            <w:pPr>
              <w:pStyle w:val="TableParagraph"/>
              <w:numPr>
                <w:ilvl w:val="0"/>
                <w:numId w:val="1417"/>
              </w:numPr>
              <w:tabs>
                <w:tab w:val="left" w:pos="157"/>
              </w:tabs>
              <w:spacing w:line="237" w:lineRule="auto"/>
              <w:ind w:right="368"/>
              <w:rPr>
                <w:sz w:val="14"/>
              </w:rPr>
            </w:pPr>
            <w:r>
              <w:rPr>
                <w:color w:val="231F20"/>
                <w:sz w:val="14"/>
              </w:rPr>
              <w:t>Познати региони у земљама чији се језик</w:t>
            </w:r>
            <w:r>
              <w:rPr>
                <w:color w:val="231F20"/>
                <w:spacing w:val="-15"/>
                <w:sz w:val="14"/>
              </w:rPr>
              <w:t xml:space="preserve"> </w:t>
            </w:r>
            <w:r>
              <w:rPr>
                <w:color w:val="231F20"/>
                <w:sz w:val="14"/>
              </w:rPr>
              <w:t>учи, њихова</w:t>
            </w:r>
            <w:r>
              <w:rPr>
                <w:color w:val="231F20"/>
                <w:spacing w:val="-1"/>
                <w:sz w:val="14"/>
              </w:rPr>
              <w:t xml:space="preserve"> </w:t>
            </w:r>
            <w:r>
              <w:rPr>
                <w:color w:val="231F20"/>
                <w:sz w:val="14"/>
              </w:rPr>
              <w:t>обележја.</w:t>
            </w:r>
          </w:p>
          <w:p w:rsidR="00041039" w:rsidRDefault="001B26CB">
            <w:pPr>
              <w:pStyle w:val="TableParagraph"/>
              <w:numPr>
                <w:ilvl w:val="0"/>
                <w:numId w:val="1417"/>
              </w:numPr>
              <w:tabs>
                <w:tab w:val="left" w:pos="157"/>
              </w:tabs>
              <w:spacing w:line="160" w:lineRule="exact"/>
              <w:ind w:right="199"/>
              <w:rPr>
                <w:sz w:val="14"/>
              </w:rPr>
            </w:pPr>
            <w:r>
              <w:rPr>
                <w:color w:val="231F20"/>
                <w:spacing w:val="-3"/>
                <w:sz w:val="14"/>
              </w:rPr>
              <w:t xml:space="preserve">Културни </w:t>
            </w:r>
            <w:r>
              <w:rPr>
                <w:color w:val="231F20"/>
                <w:sz w:val="14"/>
              </w:rPr>
              <w:t>живот (манифестације које млади радо посећују у земљи и земљама чији се језик учи, међународни пројекти и учешће на</w:t>
            </w:r>
            <w:r>
              <w:rPr>
                <w:color w:val="231F20"/>
                <w:spacing w:val="-8"/>
                <w:sz w:val="14"/>
              </w:rPr>
              <w:t xml:space="preserve"> </w:t>
            </w:r>
            <w:r>
              <w:rPr>
                <w:color w:val="231F20"/>
                <w:sz w:val="14"/>
              </w:rPr>
              <w:t>њима).</w:t>
            </w:r>
          </w:p>
          <w:p w:rsidR="00041039" w:rsidRDefault="001B26CB">
            <w:pPr>
              <w:pStyle w:val="TableParagraph"/>
              <w:numPr>
                <w:ilvl w:val="0"/>
                <w:numId w:val="1417"/>
              </w:numPr>
              <w:tabs>
                <w:tab w:val="left" w:pos="157"/>
              </w:tabs>
              <w:spacing w:line="160" w:lineRule="exact"/>
              <w:ind w:right="129"/>
              <w:rPr>
                <w:sz w:val="14"/>
              </w:rPr>
            </w:pPr>
            <w:r>
              <w:rPr>
                <w:color w:val="231F20"/>
                <w:sz w:val="14"/>
              </w:rPr>
              <w:t>Заштита</w:t>
            </w:r>
            <w:r>
              <w:rPr>
                <w:color w:val="231F20"/>
                <w:spacing w:val="-7"/>
                <w:sz w:val="14"/>
              </w:rPr>
              <w:t xml:space="preserve"> </w:t>
            </w:r>
            <w:r>
              <w:rPr>
                <w:color w:val="231F20"/>
                <w:sz w:val="14"/>
              </w:rPr>
              <w:t>човекове</w:t>
            </w:r>
            <w:r>
              <w:rPr>
                <w:color w:val="231F20"/>
                <w:spacing w:val="-7"/>
                <w:sz w:val="14"/>
              </w:rPr>
              <w:t xml:space="preserve"> </w:t>
            </w:r>
            <w:r>
              <w:rPr>
                <w:color w:val="231F20"/>
                <w:sz w:val="14"/>
              </w:rPr>
              <w:t>околине</w:t>
            </w:r>
            <w:r>
              <w:rPr>
                <w:color w:val="231F20"/>
                <w:spacing w:val="-8"/>
                <w:sz w:val="14"/>
              </w:rPr>
              <w:t xml:space="preserve"> </w:t>
            </w:r>
            <w:r>
              <w:rPr>
                <w:color w:val="231F20"/>
                <w:sz w:val="14"/>
              </w:rPr>
              <w:t>(акције</w:t>
            </w:r>
            <w:r>
              <w:rPr>
                <w:color w:val="231F20"/>
                <w:spacing w:val="-7"/>
                <w:sz w:val="14"/>
              </w:rPr>
              <w:t xml:space="preserve"> </w:t>
            </w:r>
            <w:r>
              <w:rPr>
                <w:color w:val="231F20"/>
                <w:sz w:val="14"/>
              </w:rPr>
              <w:t>на</w:t>
            </w:r>
            <w:r>
              <w:rPr>
                <w:color w:val="231F20"/>
                <w:spacing w:val="-8"/>
                <w:sz w:val="14"/>
              </w:rPr>
              <w:t xml:space="preserve"> </w:t>
            </w:r>
            <w:r>
              <w:rPr>
                <w:color w:val="231F20"/>
                <w:sz w:val="14"/>
              </w:rPr>
              <w:t>нивоу</w:t>
            </w:r>
            <w:r>
              <w:rPr>
                <w:color w:val="231F20"/>
                <w:spacing w:val="-7"/>
                <w:sz w:val="14"/>
              </w:rPr>
              <w:t xml:space="preserve"> </w:t>
            </w:r>
            <w:r>
              <w:rPr>
                <w:color w:val="231F20"/>
                <w:sz w:val="14"/>
              </w:rPr>
              <w:t xml:space="preserve">града, </w:t>
            </w:r>
            <w:r>
              <w:rPr>
                <w:color w:val="231F20"/>
                <w:spacing w:val="-3"/>
                <w:sz w:val="14"/>
              </w:rPr>
              <w:t xml:space="preserve">школе, </w:t>
            </w:r>
            <w:r>
              <w:rPr>
                <w:color w:val="231F20"/>
                <w:sz w:val="14"/>
              </w:rPr>
              <w:t>волонтерски рад).</w:t>
            </w:r>
          </w:p>
          <w:p w:rsidR="00041039" w:rsidRDefault="001B26CB">
            <w:pPr>
              <w:pStyle w:val="TableParagraph"/>
              <w:numPr>
                <w:ilvl w:val="0"/>
                <w:numId w:val="1417"/>
              </w:numPr>
              <w:tabs>
                <w:tab w:val="left" w:pos="157"/>
              </w:tabs>
              <w:spacing w:line="153" w:lineRule="exact"/>
              <w:rPr>
                <w:sz w:val="14"/>
              </w:rPr>
            </w:pPr>
            <w:r>
              <w:rPr>
                <w:color w:val="231F20"/>
                <w:sz w:val="14"/>
              </w:rPr>
              <w:t>Медији (штампа, телевизија, електронски</w:t>
            </w:r>
            <w:r>
              <w:rPr>
                <w:color w:val="231F20"/>
                <w:spacing w:val="-9"/>
                <w:sz w:val="14"/>
              </w:rPr>
              <w:t xml:space="preserve"> </w:t>
            </w:r>
            <w:r>
              <w:rPr>
                <w:color w:val="231F20"/>
                <w:sz w:val="14"/>
              </w:rPr>
              <w:t>медији).</w:t>
            </w:r>
          </w:p>
          <w:p w:rsidR="00041039" w:rsidRDefault="001B26CB">
            <w:pPr>
              <w:pStyle w:val="TableParagraph"/>
              <w:numPr>
                <w:ilvl w:val="0"/>
                <w:numId w:val="1417"/>
              </w:numPr>
              <w:tabs>
                <w:tab w:val="left" w:pos="157"/>
              </w:tabs>
              <w:spacing w:line="160" w:lineRule="exact"/>
              <w:rPr>
                <w:sz w:val="14"/>
              </w:rPr>
            </w:pPr>
            <w:r>
              <w:rPr>
                <w:color w:val="231F20"/>
                <w:sz w:val="14"/>
              </w:rPr>
              <w:t>Интересантне животнеприче и</w:t>
            </w:r>
            <w:r>
              <w:rPr>
                <w:color w:val="231F20"/>
                <w:spacing w:val="-3"/>
                <w:sz w:val="14"/>
              </w:rPr>
              <w:t xml:space="preserve"> </w:t>
            </w:r>
            <w:r>
              <w:rPr>
                <w:color w:val="231F20"/>
                <w:sz w:val="14"/>
              </w:rPr>
              <w:t>догађаји.</w:t>
            </w:r>
          </w:p>
          <w:p w:rsidR="00041039" w:rsidRDefault="001B26CB">
            <w:pPr>
              <w:pStyle w:val="TableParagraph"/>
              <w:numPr>
                <w:ilvl w:val="0"/>
                <w:numId w:val="1417"/>
              </w:numPr>
              <w:tabs>
                <w:tab w:val="left" w:pos="157"/>
              </w:tabs>
              <w:spacing w:line="166" w:lineRule="exact"/>
              <w:rPr>
                <w:sz w:val="14"/>
              </w:rPr>
            </w:pPr>
            <w:r>
              <w:rPr>
                <w:color w:val="231F20"/>
                <w:sz w:val="14"/>
              </w:rPr>
              <w:t>Свет компјутера (млади и друштвене</w:t>
            </w:r>
            <w:r>
              <w:rPr>
                <w:color w:val="231F20"/>
                <w:spacing w:val="-8"/>
                <w:sz w:val="14"/>
              </w:rPr>
              <w:t xml:space="preserve"> </w:t>
            </w:r>
            <w:r>
              <w:rPr>
                <w:color w:val="231F20"/>
                <w:sz w:val="14"/>
              </w:rPr>
              <w:t>мреже).</w:t>
            </w:r>
          </w:p>
        </w:tc>
        <w:tc>
          <w:tcPr>
            <w:tcW w:w="2834" w:type="dxa"/>
            <w:vMerge w:val="restart"/>
          </w:tcPr>
          <w:p w:rsidR="00041039" w:rsidRDefault="001B26CB">
            <w:pPr>
              <w:pStyle w:val="TableParagraph"/>
              <w:numPr>
                <w:ilvl w:val="0"/>
                <w:numId w:val="1416"/>
              </w:numPr>
              <w:tabs>
                <w:tab w:val="left" w:pos="162"/>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1416"/>
              </w:numPr>
              <w:tabs>
                <w:tab w:val="left" w:pos="162"/>
              </w:tabs>
              <w:ind w:right="282"/>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numPr>
                <w:ilvl w:val="0"/>
                <w:numId w:val="1416"/>
              </w:numPr>
              <w:tabs>
                <w:tab w:val="left" w:pos="162"/>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1416"/>
              </w:numPr>
              <w:tabs>
                <w:tab w:val="left" w:pos="162"/>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1416"/>
              </w:numPr>
              <w:tabs>
                <w:tab w:val="left" w:pos="162"/>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1416"/>
              </w:numPr>
              <w:tabs>
                <w:tab w:val="left" w:pos="162"/>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1416"/>
              </w:numPr>
              <w:tabs>
                <w:tab w:val="left" w:pos="162"/>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numPr>
                <w:ilvl w:val="0"/>
                <w:numId w:val="1416"/>
              </w:numPr>
              <w:tabs>
                <w:tab w:val="left" w:pos="162"/>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1416"/>
              </w:numPr>
              <w:tabs>
                <w:tab w:val="left" w:pos="162"/>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1416"/>
              </w:numPr>
              <w:tabs>
                <w:tab w:val="left" w:pos="162"/>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1416"/>
              </w:numPr>
              <w:tabs>
                <w:tab w:val="left" w:pos="162"/>
              </w:tabs>
              <w:ind w:right="628"/>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1416"/>
              </w:numPr>
              <w:tabs>
                <w:tab w:val="left" w:pos="162"/>
              </w:tabs>
              <w:ind w:right="273"/>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1416"/>
              </w:numPr>
              <w:tabs>
                <w:tab w:val="left" w:pos="162"/>
              </w:tabs>
              <w:spacing w:line="159" w:lineRule="exact"/>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1416"/>
              </w:numPr>
              <w:tabs>
                <w:tab w:val="left" w:pos="162"/>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1416"/>
              </w:numPr>
              <w:tabs>
                <w:tab w:val="left" w:pos="162"/>
              </w:tabs>
              <w:spacing w:line="160" w:lineRule="exact"/>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numPr>
                <w:ilvl w:val="0"/>
                <w:numId w:val="1416"/>
              </w:numPr>
              <w:tabs>
                <w:tab w:val="left" w:pos="162"/>
              </w:tabs>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numPr>
                <w:ilvl w:val="0"/>
                <w:numId w:val="1416"/>
              </w:numPr>
              <w:tabs>
                <w:tab w:val="left" w:pos="162"/>
              </w:tabs>
              <w:spacing w:line="159"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numPr>
                <w:ilvl w:val="0"/>
                <w:numId w:val="1416"/>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1416"/>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numPr>
                <w:ilvl w:val="0"/>
                <w:numId w:val="1416"/>
              </w:numPr>
              <w:tabs>
                <w:tab w:val="left" w:pos="162"/>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1416"/>
              </w:numPr>
              <w:tabs>
                <w:tab w:val="left" w:pos="162"/>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901"/>
        </w:trPr>
        <w:tc>
          <w:tcPr>
            <w:tcW w:w="1304" w:type="dxa"/>
            <w:tcBorders>
              <w:top w:val="nil"/>
            </w:tcBorders>
          </w:tcPr>
          <w:p w:rsidR="00041039" w:rsidRDefault="001B26CB">
            <w:pPr>
              <w:pStyle w:val="TableParagraph"/>
              <w:numPr>
                <w:ilvl w:val="0"/>
                <w:numId w:val="1415"/>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1414"/>
              </w:numPr>
              <w:tabs>
                <w:tab w:val="left" w:pos="157"/>
              </w:tabs>
              <w:spacing w:before="9"/>
              <w:ind w:right="47"/>
              <w:rPr>
                <w:sz w:val="14"/>
              </w:rPr>
            </w:pPr>
            <w:r>
              <w:rPr>
                <w:color w:val="231F20"/>
                <w:sz w:val="14"/>
              </w:rPr>
              <w:t>чита и разуме различите врсте кратких и при­ лагођених текстова (једноставнија лична / по­ словна писма, позивнице, термини, проспекти, упутства,</w:t>
            </w:r>
            <w:r>
              <w:rPr>
                <w:color w:val="231F20"/>
                <w:spacing w:val="-7"/>
                <w:sz w:val="14"/>
              </w:rPr>
              <w:t xml:space="preserve"> </w:t>
            </w:r>
            <w:r>
              <w:rPr>
                <w:color w:val="231F20"/>
                <w:sz w:val="14"/>
              </w:rPr>
              <w:t>огласи)</w:t>
            </w:r>
            <w:r>
              <w:rPr>
                <w:color w:val="231F20"/>
                <w:spacing w:val="-8"/>
                <w:sz w:val="14"/>
              </w:rPr>
              <w:t xml:space="preserve"> </w:t>
            </w:r>
            <w:r>
              <w:rPr>
                <w:color w:val="231F20"/>
                <w:sz w:val="14"/>
              </w:rPr>
              <w:t>препознајући</w:t>
            </w:r>
            <w:r>
              <w:rPr>
                <w:color w:val="231F20"/>
                <w:spacing w:val="-8"/>
                <w:sz w:val="14"/>
              </w:rPr>
              <w:t xml:space="preserve"> </w:t>
            </w:r>
            <w:r>
              <w:rPr>
                <w:color w:val="231F20"/>
                <w:sz w:val="14"/>
              </w:rPr>
              <w:t>основна</w:t>
            </w:r>
            <w:r>
              <w:rPr>
                <w:color w:val="231F20"/>
                <w:spacing w:val="-7"/>
                <w:sz w:val="14"/>
              </w:rPr>
              <w:t xml:space="preserve"> </w:t>
            </w:r>
            <w:r>
              <w:rPr>
                <w:color w:val="231F20"/>
                <w:sz w:val="14"/>
              </w:rPr>
              <w:t>значења и релевантне</w:t>
            </w:r>
            <w:r>
              <w:rPr>
                <w:color w:val="231F20"/>
                <w:spacing w:val="-2"/>
                <w:sz w:val="14"/>
              </w:rPr>
              <w:t xml:space="preserve"> </w:t>
            </w:r>
            <w:r>
              <w:rPr>
                <w:color w:val="231F20"/>
                <w:sz w:val="14"/>
              </w:rPr>
              <w:t>детаље;</w:t>
            </w:r>
          </w:p>
          <w:p w:rsidR="00041039" w:rsidRDefault="001B26CB">
            <w:pPr>
              <w:pStyle w:val="TableParagraph"/>
              <w:numPr>
                <w:ilvl w:val="0"/>
                <w:numId w:val="1414"/>
              </w:numPr>
              <w:tabs>
                <w:tab w:val="left" w:pos="157"/>
              </w:tabs>
              <w:spacing w:line="155" w:lineRule="exact"/>
              <w:rPr>
                <w:sz w:val="14"/>
              </w:rPr>
            </w:pPr>
            <w:r>
              <w:rPr>
                <w:color w:val="231F20"/>
                <w:sz w:val="14"/>
              </w:rPr>
              <w:t>открива значење непознатих речи на</w:t>
            </w:r>
            <w:r>
              <w:rPr>
                <w:color w:val="231F20"/>
                <w:spacing w:val="-12"/>
                <w:sz w:val="14"/>
              </w:rPr>
              <w:t xml:space="preserve"> </w:t>
            </w:r>
            <w:r>
              <w:rPr>
                <w:color w:val="231F20"/>
                <w:sz w:val="14"/>
              </w:rPr>
              <w:t>основу</w:t>
            </w:r>
          </w:p>
          <w:p w:rsidR="00041039" w:rsidRDefault="001B26CB">
            <w:pPr>
              <w:pStyle w:val="TableParagraph"/>
              <w:spacing w:line="155" w:lineRule="exact"/>
              <w:rPr>
                <w:sz w:val="14"/>
              </w:rPr>
            </w:pPr>
            <w:r>
              <w:rPr>
                <w:color w:val="231F20"/>
                <w:sz w:val="14"/>
              </w:rPr>
              <w:t>контекста и / или помоћу речника;</w:t>
            </w:r>
          </w:p>
          <w:p w:rsidR="00041039" w:rsidRDefault="001B26CB">
            <w:pPr>
              <w:pStyle w:val="TableParagraph"/>
              <w:numPr>
                <w:ilvl w:val="0"/>
                <w:numId w:val="1414"/>
              </w:numPr>
              <w:tabs>
                <w:tab w:val="left" w:pos="157"/>
              </w:tabs>
              <w:spacing w:line="237" w:lineRule="auto"/>
              <w:ind w:right="120"/>
              <w:rPr>
                <w:sz w:val="14"/>
              </w:rPr>
            </w:pPr>
            <w:r>
              <w:rPr>
                <w:color w:val="231F20"/>
                <w:sz w:val="14"/>
              </w:rPr>
              <w:t xml:space="preserve">уочи предвидљиве информације (кад, где, </w:t>
            </w:r>
            <w:r>
              <w:rPr>
                <w:color w:val="231F20"/>
                <w:spacing w:val="-3"/>
                <w:sz w:val="14"/>
              </w:rPr>
              <w:t xml:space="preserve">ко, колико) </w:t>
            </w:r>
            <w:r>
              <w:rPr>
                <w:color w:val="231F20"/>
                <w:sz w:val="14"/>
              </w:rPr>
              <w:t>у свакодневним текстовима (рекламе, огласи, јеловници, проспекти) као и једностав­ нијим</w:t>
            </w:r>
            <w:r>
              <w:rPr>
                <w:color w:val="231F20"/>
                <w:spacing w:val="-8"/>
                <w:sz w:val="14"/>
              </w:rPr>
              <w:t xml:space="preserve"> </w:t>
            </w:r>
            <w:r>
              <w:rPr>
                <w:color w:val="231F20"/>
                <w:sz w:val="14"/>
              </w:rPr>
              <w:t>стручним</w:t>
            </w:r>
            <w:r>
              <w:rPr>
                <w:color w:val="231F20"/>
                <w:spacing w:val="-7"/>
                <w:sz w:val="14"/>
              </w:rPr>
              <w:t xml:space="preserve"> </w:t>
            </w:r>
            <w:r>
              <w:rPr>
                <w:color w:val="231F20"/>
                <w:sz w:val="14"/>
              </w:rPr>
              <w:t>текстовима</w:t>
            </w:r>
            <w:r>
              <w:rPr>
                <w:color w:val="231F20"/>
                <w:spacing w:val="-7"/>
                <w:sz w:val="14"/>
              </w:rPr>
              <w:t xml:space="preserve"> </w:t>
            </w:r>
            <w:r>
              <w:rPr>
                <w:color w:val="231F20"/>
                <w:sz w:val="14"/>
              </w:rPr>
              <w:t>(формулари,</w:t>
            </w:r>
            <w:r>
              <w:rPr>
                <w:color w:val="231F20"/>
                <w:spacing w:val="-8"/>
                <w:sz w:val="14"/>
              </w:rPr>
              <w:t xml:space="preserve"> </w:t>
            </w:r>
            <w:r>
              <w:rPr>
                <w:color w:val="231F20"/>
                <w:sz w:val="14"/>
              </w:rPr>
              <w:t>шеме, извештаји);</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700"/>
        </w:trPr>
        <w:tc>
          <w:tcPr>
            <w:tcW w:w="1304" w:type="dxa"/>
            <w:tcBorders>
              <w:top w:val="nil"/>
            </w:tcBorders>
          </w:tcPr>
          <w:p w:rsidR="00041039" w:rsidRDefault="001B26CB">
            <w:pPr>
              <w:pStyle w:val="TableParagraph"/>
              <w:numPr>
                <w:ilvl w:val="0"/>
                <w:numId w:val="1413"/>
              </w:numPr>
              <w:tabs>
                <w:tab w:val="left" w:pos="157"/>
              </w:tabs>
              <w:spacing w:before="69"/>
              <w:ind w:right="131"/>
              <w:jc w:val="both"/>
              <w:rPr>
                <w:sz w:val="14"/>
              </w:rPr>
            </w:pPr>
            <w:r>
              <w:rPr>
                <w:color w:val="231F20"/>
                <w:sz w:val="14"/>
              </w:rPr>
              <w:t>Оспособљавање ученика за раз</w:t>
            </w:r>
            <w:r>
              <w:rPr>
                <w:color w:val="231F20"/>
                <w:sz w:val="14"/>
              </w:rPr>
              <w:t>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19"/>
              <w:ind w:left="56"/>
              <w:rPr>
                <w:sz w:val="14"/>
              </w:rPr>
            </w:pPr>
            <w:r>
              <w:rPr>
                <w:color w:val="231F20"/>
                <w:sz w:val="14"/>
              </w:rPr>
              <w:t>ГОВОР</w:t>
            </w:r>
          </w:p>
        </w:tc>
        <w:tc>
          <w:tcPr>
            <w:tcW w:w="3118" w:type="dxa"/>
            <w:vMerge w:val="restart"/>
          </w:tcPr>
          <w:p w:rsidR="00041039" w:rsidRDefault="001B26CB">
            <w:pPr>
              <w:pStyle w:val="TableParagraph"/>
              <w:numPr>
                <w:ilvl w:val="0"/>
                <w:numId w:val="1412"/>
              </w:numPr>
              <w:tabs>
                <w:tab w:val="left" w:pos="157"/>
              </w:tabs>
              <w:spacing w:before="9"/>
              <w:ind w:right="208"/>
              <w:jc w:val="both"/>
              <w:rPr>
                <w:sz w:val="14"/>
              </w:rPr>
            </w:pPr>
            <w:r>
              <w:rPr>
                <w:color w:val="231F20"/>
                <w:sz w:val="14"/>
              </w:rPr>
              <w:t>описује ситуације, прича о догађајима и аргу­ ментује ставове користећи једноставне</w:t>
            </w:r>
            <w:r>
              <w:rPr>
                <w:color w:val="231F20"/>
                <w:spacing w:val="-14"/>
                <w:sz w:val="14"/>
              </w:rPr>
              <w:t xml:space="preserve"> </w:t>
            </w:r>
            <w:r>
              <w:rPr>
                <w:color w:val="231F20"/>
                <w:sz w:val="14"/>
              </w:rPr>
              <w:t>изразе и</w:t>
            </w:r>
            <w:r>
              <w:rPr>
                <w:color w:val="231F20"/>
                <w:spacing w:val="-2"/>
                <w:sz w:val="14"/>
              </w:rPr>
              <w:t xml:space="preserve"> </w:t>
            </w:r>
            <w:r>
              <w:rPr>
                <w:color w:val="231F20"/>
                <w:sz w:val="14"/>
              </w:rPr>
              <w:t>реченице;</w:t>
            </w:r>
          </w:p>
          <w:p w:rsidR="00041039" w:rsidRDefault="001B26CB">
            <w:pPr>
              <w:pStyle w:val="TableParagraph"/>
              <w:numPr>
                <w:ilvl w:val="0"/>
                <w:numId w:val="1412"/>
              </w:numPr>
              <w:tabs>
                <w:tab w:val="left" w:pos="157"/>
              </w:tabs>
              <w:spacing w:line="157" w:lineRule="exact"/>
              <w:rPr>
                <w:sz w:val="14"/>
              </w:rPr>
            </w:pPr>
            <w:r>
              <w:rPr>
                <w:color w:val="231F20"/>
                <w:sz w:val="14"/>
              </w:rPr>
              <w:t>води једноставне разговоре (телефонира),</w:t>
            </w:r>
            <w:r>
              <w:rPr>
                <w:color w:val="231F20"/>
                <w:spacing w:val="-4"/>
                <w:sz w:val="14"/>
              </w:rPr>
              <w:t xml:space="preserve"> </w:t>
            </w:r>
            <w:r>
              <w:rPr>
                <w:color w:val="231F20"/>
                <w:sz w:val="14"/>
              </w:rPr>
              <w:t>даје</w:t>
            </w:r>
          </w:p>
          <w:p w:rsidR="00041039" w:rsidRDefault="001B26CB">
            <w:pPr>
              <w:pStyle w:val="TableParagraph"/>
              <w:spacing w:line="155" w:lineRule="exact"/>
              <w:rPr>
                <w:sz w:val="14"/>
              </w:rPr>
            </w:pPr>
            <w:r>
              <w:rPr>
                <w:color w:val="231F20"/>
                <w:sz w:val="14"/>
              </w:rPr>
              <w:t>информације и упутства, уговара термине;</w:t>
            </w:r>
          </w:p>
          <w:p w:rsidR="00041039" w:rsidRDefault="001B26CB">
            <w:pPr>
              <w:pStyle w:val="TableParagraph"/>
              <w:numPr>
                <w:ilvl w:val="0"/>
                <w:numId w:val="1412"/>
              </w:numPr>
              <w:tabs>
                <w:tab w:val="left" w:pos="157"/>
              </w:tabs>
              <w:spacing w:line="237" w:lineRule="auto"/>
              <w:ind w:right="386"/>
              <w:rPr>
                <w:sz w:val="14"/>
              </w:rPr>
            </w:pPr>
            <w:r>
              <w:rPr>
                <w:color w:val="231F20"/>
                <w:sz w:val="14"/>
              </w:rPr>
              <w:t>реагује учтиво на питања , захтеве,</w:t>
            </w:r>
            <w:r>
              <w:rPr>
                <w:color w:val="231F20"/>
                <w:spacing w:val="-15"/>
                <w:sz w:val="14"/>
              </w:rPr>
              <w:t xml:space="preserve"> </w:t>
            </w:r>
            <w:r>
              <w:rPr>
                <w:color w:val="231F20"/>
                <w:sz w:val="14"/>
              </w:rPr>
              <w:t>позиве, извињења</w:t>
            </w:r>
            <w:r>
              <w:rPr>
                <w:color w:val="231F20"/>
                <w:spacing w:val="-2"/>
                <w:sz w:val="14"/>
              </w:rPr>
              <w:t xml:space="preserve"> </w:t>
            </w:r>
            <w:r>
              <w:rPr>
                <w:color w:val="231F20"/>
                <w:sz w:val="14"/>
              </w:rPr>
              <w:t>саговорника;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060"/>
        </w:trPr>
        <w:tc>
          <w:tcPr>
            <w:tcW w:w="1304" w:type="dxa"/>
            <w:tcBorders>
              <w:top w:val="nil"/>
            </w:tcBorders>
          </w:tcPr>
          <w:p w:rsidR="00041039" w:rsidRDefault="001B26CB">
            <w:pPr>
              <w:pStyle w:val="TableParagraph"/>
              <w:numPr>
                <w:ilvl w:val="0"/>
                <w:numId w:val="1411"/>
              </w:numPr>
              <w:tabs>
                <w:tab w:val="left" w:pos="157"/>
              </w:tabs>
              <w:spacing w:before="71" w:line="237" w:lineRule="auto"/>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20"/>
              <w:ind w:left="56"/>
              <w:rPr>
                <w:sz w:val="14"/>
              </w:rPr>
            </w:pPr>
            <w:r>
              <w:rPr>
                <w:color w:val="231F20"/>
                <w:sz w:val="14"/>
              </w:rPr>
              <w:t>ПИСАЊЕ</w:t>
            </w:r>
          </w:p>
        </w:tc>
        <w:tc>
          <w:tcPr>
            <w:tcW w:w="3118" w:type="dxa"/>
            <w:vMerge w:val="restart"/>
          </w:tcPr>
          <w:p w:rsidR="00041039" w:rsidRDefault="001B26CB">
            <w:pPr>
              <w:pStyle w:val="TableParagraph"/>
              <w:numPr>
                <w:ilvl w:val="0"/>
                <w:numId w:val="1410"/>
              </w:numPr>
              <w:tabs>
                <w:tab w:val="left" w:pos="157"/>
              </w:tabs>
              <w:spacing w:before="12" w:line="235" w:lineRule="auto"/>
              <w:ind w:right="415"/>
              <w:rPr>
                <w:sz w:val="14"/>
              </w:rPr>
            </w:pPr>
            <w:r>
              <w:rPr>
                <w:color w:val="231F20"/>
                <w:sz w:val="14"/>
              </w:rPr>
              <w:t>попуњава</w:t>
            </w:r>
            <w:r>
              <w:rPr>
                <w:color w:val="231F20"/>
                <w:spacing w:val="-7"/>
                <w:sz w:val="14"/>
              </w:rPr>
              <w:t xml:space="preserve"> </w:t>
            </w:r>
            <w:r>
              <w:rPr>
                <w:color w:val="231F20"/>
                <w:sz w:val="14"/>
              </w:rPr>
              <w:t>рачуне,</w:t>
            </w:r>
            <w:r>
              <w:rPr>
                <w:color w:val="231F20"/>
                <w:spacing w:val="-7"/>
                <w:sz w:val="14"/>
              </w:rPr>
              <w:t xml:space="preserve"> </w:t>
            </w:r>
            <w:r>
              <w:rPr>
                <w:color w:val="231F20"/>
                <w:sz w:val="14"/>
              </w:rPr>
              <w:t>признанице</w:t>
            </w:r>
            <w:r>
              <w:rPr>
                <w:color w:val="231F20"/>
                <w:spacing w:val="-7"/>
                <w:sz w:val="14"/>
              </w:rPr>
              <w:t xml:space="preserve"> </w:t>
            </w:r>
            <w:r>
              <w:rPr>
                <w:color w:val="231F20"/>
                <w:sz w:val="14"/>
              </w:rPr>
              <w:t>и</w:t>
            </w:r>
            <w:r>
              <w:rPr>
                <w:color w:val="231F20"/>
                <w:spacing w:val="-7"/>
                <w:sz w:val="14"/>
              </w:rPr>
              <w:t xml:space="preserve"> </w:t>
            </w:r>
            <w:r>
              <w:rPr>
                <w:color w:val="231F20"/>
                <w:sz w:val="14"/>
              </w:rPr>
              <w:t>хартије</w:t>
            </w:r>
            <w:r>
              <w:rPr>
                <w:color w:val="231F20"/>
                <w:spacing w:val="-7"/>
                <w:sz w:val="14"/>
              </w:rPr>
              <w:t xml:space="preserve"> </w:t>
            </w:r>
            <w:r>
              <w:rPr>
                <w:color w:val="231F20"/>
                <w:spacing w:val="-3"/>
                <w:sz w:val="14"/>
              </w:rPr>
              <w:t xml:space="preserve">од </w:t>
            </w:r>
            <w:r>
              <w:rPr>
                <w:color w:val="231F20"/>
                <w:sz w:val="14"/>
              </w:rPr>
              <w:t>вредности;</w:t>
            </w:r>
          </w:p>
          <w:p w:rsidR="00041039" w:rsidRDefault="001B26CB">
            <w:pPr>
              <w:pStyle w:val="TableParagraph"/>
              <w:numPr>
                <w:ilvl w:val="0"/>
                <w:numId w:val="1410"/>
              </w:numPr>
              <w:tabs>
                <w:tab w:val="left" w:pos="157"/>
              </w:tabs>
              <w:spacing w:before="3" w:line="160" w:lineRule="exact"/>
              <w:ind w:right="348"/>
              <w:rPr>
                <w:sz w:val="14"/>
              </w:rPr>
            </w:pPr>
            <w:r>
              <w:rPr>
                <w:color w:val="231F20"/>
                <w:sz w:val="14"/>
              </w:rPr>
              <w:t>напише једноставно пословно писмо према одређеном</w:t>
            </w:r>
            <w:r>
              <w:rPr>
                <w:color w:val="231F20"/>
                <w:spacing w:val="-1"/>
                <w:sz w:val="14"/>
              </w:rPr>
              <w:t xml:space="preserve"> </w:t>
            </w:r>
            <w:r>
              <w:rPr>
                <w:color w:val="231F20"/>
                <w:sz w:val="14"/>
              </w:rPr>
              <w:t>моделу;</w:t>
            </w:r>
          </w:p>
          <w:p w:rsidR="00041039" w:rsidRDefault="001B26CB">
            <w:pPr>
              <w:pStyle w:val="TableParagraph"/>
              <w:numPr>
                <w:ilvl w:val="0"/>
                <w:numId w:val="1410"/>
              </w:numPr>
              <w:tabs>
                <w:tab w:val="left" w:pos="157"/>
              </w:tabs>
              <w:spacing w:line="159" w:lineRule="exact"/>
              <w:rPr>
                <w:sz w:val="14"/>
              </w:rPr>
            </w:pPr>
            <w:r>
              <w:rPr>
                <w:color w:val="231F20"/>
                <w:sz w:val="14"/>
              </w:rPr>
              <w:t>опише и појасни садржај схема и</w:t>
            </w:r>
            <w:r>
              <w:rPr>
                <w:color w:val="231F20"/>
                <w:spacing w:val="-13"/>
                <w:sz w:val="14"/>
              </w:rPr>
              <w:t xml:space="preserve"> </w:t>
            </w:r>
            <w:r>
              <w:rPr>
                <w:color w:val="231F20"/>
                <w:sz w:val="14"/>
              </w:rPr>
              <w:t>графикона;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900"/>
        </w:trPr>
        <w:tc>
          <w:tcPr>
            <w:tcW w:w="1304" w:type="dxa"/>
            <w:tcBorders>
              <w:top w:val="nil"/>
            </w:tcBorders>
          </w:tcPr>
          <w:p w:rsidR="00041039" w:rsidRDefault="001B26CB">
            <w:pPr>
              <w:pStyle w:val="TableParagraph"/>
              <w:numPr>
                <w:ilvl w:val="0"/>
                <w:numId w:val="1409"/>
              </w:numPr>
              <w:tabs>
                <w:tab w:val="left" w:pos="157"/>
              </w:tabs>
              <w:spacing w:before="71" w:line="237" w:lineRule="auto"/>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numPr>
                <w:ilvl w:val="0"/>
                <w:numId w:val="1408"/>
              </w:numPr>
              <w:tabs>
                <w:tab w:val="left" w:pos="157"/>
              </w:tabs>
              <w:spacing w:before="8"/>
              <w:ind w:right="51"/>
              <w:rPr>
                <w:sz w:val="14"/>
              </w:rPr>
            </w:pPr>
            <w:r>
              <w:rPr>
                <w:color w:val="231F20"/>
                <w:sz w:val="14"/>
              </w:rPr>
              <w:t>комуницира у свакодневним ситуацијама и размењује</w:t>
            </w:r>
            <w:r>
              <w:rPr>
                <w:color w:val="231F20"/>
                <w:spacing w:val="-8"/>
                <w:sz w:val="14"/>
              </w:rPr>
              <w:t xml:space="preserve"> </w:t>
            </w:r>
            <w:r>
              <w:rPr>
                <w:color w:val="231F20"/>
                <w:sz w:val="14"/>
              </w:rPr>
              <w:t>информације</w:t>
            </w:r>
            <w:r>
              <w:rPr>
                <w:color w:val="231F20"/>
                <w:spacing w:val="-8"/>
                <w:sz w:val="14"/>
              </w:rPr>
              <w:t xml:space="preserve"> </w:t>
            </w:r>
            <w:r>
              <w:rPr>
                <w:color w:val="231F20"/>
                <w:sz w:val="14"/>
              </w:rPr>
              <w:t>блиске</w:t>
            </w:r>
            <w:r>
              <w:rPr>
                <w:color w:val="231F20"/>
                <w:spacing w:val="-8"/>
                <w:sz w:val="14"/>
              </w:rPr>
              <w:t xml:space="preserve"> </w:t>
            </w:r>
            <w:r>
              <w:rPr>
                <w:color w:val="231F20"/>
                <w:sz w:val="14"/>
              </w:rPr>
              <w:t>његовим</w:t>
            </w:r>
            <w:r>
              <w:rPr>
                <w:color w:val="231F20"/>
                <w:spacing w:val="-8"/>
                <w:sz w:val="14"/>
              </w:rPr>
              <w:t xml:space="preserve"> </w:t>
            </w:r>
            <w:r>
              <w:rPr>
                <w:color w:val="231F20"/>
                <w:sz w:val="14"/>
              </w:rPr>
              <w:t>интере­ совањима (писмено и</w:t>
            </w:r>
            <w:r>
              <w:rPr>
                <w:color w:val="231F20"/>
                <w:spacing w:val="-2"/>
                <w:sz w:val="14"/>
              </w:rPr>
              <w:t xml:space="preserve"> </w:t>
            </w:r>
            <w:r>
              <w:rPr>
                <w:color w:val="231F20"/>
                <w:sz w:val="14"/>
              </w:rPr>
              <w:t>усмено);</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1407"/>
              </w:numPr>
              <w:tabs>
                <w:tab w:val="left" w:pos="157"/>
              </w:tabs>
              <w:spacing w:before="69"/>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vMerge w:val="restart"/>
          </w:tcPr>
          <w:p w:rsidR="00041039" w:rsidRDefault="001B26CB">
            <w:pPr>
              <w:pStyle w:val="TableParagraph"/>
              <w:numPr>
                <w:ilvl w:val="0"/>
                <w:numId w:val="1406"/>
              </w:numPr>
              <w:tabs>
                <w:tab w:val="left" w:pos="157"/>
              </w:tabs>
              <w:spacing w:before="8"/>
              <w:ind w:right="236"/>
              <w:rPr>
                <w:sz w:val="14"/>
              </w:rPr>
            </w:pPr>
            <w:r>
              <w:rPr>
                <w:color w:val="231F20"/>
                <w:sz w:val="14"/>
              </w:rPr>
              <w:t>преводи</w:t>
            </w:r>
            <w:r>
              <w:rPr>
                <w:color w:val="231F20"/>
                <w:spacing w:val="-6"/>
                <w:sz w:val="14"/>
              </w:rPr>
              <w:t xml:space="preserve"> </w:t>
            </w:r>
            <w:r>
              <w:rPr>
                <w:color w:val="231F20"/>
                <w:sz w:val="14"/>
              </w:rPr>
              <w:t>усмено</w:t>
            </w:r>
            <w:r>
              <w:rPr>
                <w:color w:val="231F20"/>
                <w:spacing w:val="-6"/>
                <w:sz w:val="14"/>
              </w:rPr>
              <w:t xml:space="preserve"> </w:t>
            </w:r>
            <w:r>
              <w:rPr>
                <w:color w:val="231F20"/>
                <w:sz w:val="14"/>
              </w:rPr>
              <w:t>или</w:t>
            </w:r>
            <w:r>
              <w:rPr>
                <w:color w:val="231F20"/>
                <w:spacing w:val="-6"/>
                <w:sz w:val="14"/>
              </w:rPr>
              <w:t xml:space="preserve"> </w:t>
            </w:r>
            <w:r>
              <w:rPr>
                <w:color w:val="231F20"/>
                <w:sz w:val="14"/>
              </w:rPr>
              <w:t>писмено</w:t>
            </w:r>
            <w:r>
              <w:rPr>
                <w:color w:val="231F20"/>
                <w:spacing w:val="-6"/>
                <w:sz w:val="14"/>
              </w:rPr>
              <w:t xml:space="preserve"> </w:t>
            </w:r>
            <w:r>
              <w:rPr>
                <w:color w:val="231F20"/>
                <w:sz w:val="14"/>
              </w:rPr>
              <w:t>кратке</w:t>
            </w:r>
            <w:r>
              <w:rPr>
                <w:color w:val="231F20"/>
                <w:spacing w:val="-6"/>
                <w:sz w:val="14"/>
              </w:rPr>
              <w:t xml:space="preserve"> </w:t>
            </w:r>
            <w:r>
              <w:rPr>
                <w:color w:val="231F20"/>
                <w:sz w:val="14"/>
              </w:rPr>
              <w:t>поруке</w:t>
            </w:r>
            <w:r>
              <w:rPr>
                <w:color w:val="231F20"/>
                <w:spacing w:val="-6"/>
                <w:sz w:val="14"/>
              </w:rPr>
              <w:t xml:space="preserve"> </w:t>
            </w:r>
            <w:r>
              <w:rPr>
                <w:color w:val="231F20"/>
                <w:sz w:val="14"/>
              </w:rPr>
              <w:t>у складу са потребама</w:t>
            </w:r>
            <w:r>
              <w:rPr>
                <w:color w:val="231F20"/>
                <w:spacing w:val="-3"/>
                <w:sz w:val="14"/>
              </w:rPr>
              <w:t xml:space="preserve"> </w:t>
            </w:r>
            <w:r>
              <w:rPr>
                <w:color w:val="231F20"/>
                <w:sz w:val="14"/>
              </w:rPr>
              <w:t>комуникације;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1405"/>
              </w:numPr>
              <w:tabs>
                <w:tab w:val="left" w:pos="157"/>
              </w:tabs>
              <w:spacing w:before="69"/>
              <w:ind w:right="134"/>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408"/>
        </w:trPr>
        <w:tc>
          <w:tcPr>
            <w:tcW w:w="1304" w:type="dxa"/>
            <w:tcBorders>
              <w:bottom w:val="nil"/>
            </w:tcBorders>
          </w:tcPr>
          <w:p w:rsidR="00041039" w:rsidRDefault="001B26CB">
            <w:pPr>
              <w:pStyle w:val="TableParagraph"/>
              <w:spacing w:before="18"/>
              <w:ind w:left="56" w:right="331"/>
              <w:rPr>
                <w:sz w:val="14"/>
              </w:rPr>
            </w:pPr>
            <w:r>
              <w:rPr>
                <w:color w:val="231F20"/>
                <w:sz w:val="14"/>
              </w:rPr>
              <w:t>МЕДИЈСКА ПИСМЕНОСТ</w:t>
            </w:r>
          </w:p>
        </w:tc>
        <w:tc>
          <w:tcPr>
            <w:tcW w:w="3118" w:type="dxa"/>
            <w:tcBorders>
              <w:bottom w:val="nil"/>
            </w:tcBorders>
          </w:tcPr>
          <w:p w:rsidR="00041039" w:rsidRDefault="001B26CB">
            <w:pPr>
              <w:pStyle w:val="TableParagraph"/>
              <w:numPr>
                <w:ilvl w:val="0"/>
                <w:numId w:val="1404"/>
              </w:numPr>
              <w:tabs>
                <w:tab w:val="left" w:pos="157"/>
              </w:tabs>
              <w:spacing w:before="8"/>
              <w:rPr>
                <w:sz w:val="14"/>
              </w:rPr>
            </w:pPr>
            <w:r>
              <w:rPr>
                <w:color w:val="231F20"/>
                <w:sz w:val="14"/>
              </w:rPr>
              <w:t>аргументује свој став о медијском</w:t>
            </w:r>
            <w:r>
              <w:rPr>
                <w:color w:val="231F20"/>
                <w:spacing w:val="-7"/>
                <w:sz w:val="14"/>
              </w:rPr>
              <w:t xml:space="preserve"> </w:t>
            </w:r>
            <w:r>
              <w:rPr>
                <w:color w:val="231F20"/>
                <w:sz w:val="14"/>
              </w:rPr>
              <w:t>тексту;</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1403"/>
              </w:numPr>
              <w:tabs>
                <w:tab w:val="left" w:pos="157"/>
              </w:tabs>
              <w:spacing w:before="69"/>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60" w:right="540" w:bottom="280" w:left="580" w:header="720" w:footer="720" w:gutter="0"/>
          <w:cols w:space="720"/>
        </w:sectPr>
      </w:pPr>
    </w:p>
    <w:p w:rsidR="00041039" w:rsidRDefault="001B26CB">
      <w:pPr>
        <w:pStyle w:val="Heading1"/>
        <w:spacing w:before="80" w:line="240" w:lineRule="auto"/>
        <w:ind w:left="0" w:right="37"/>
        <w:jc w:val="center"/>
      </w:pPr>
      <w:r>
        <w:rPr>
          <w:color w:val="231F20"/>
        </w:rPr>
        <w:lastRenderedPageBreak/>
        <w:t>ГРАМАТИЧКИ САДРЖАЈИ</w:t>
      </w:r>
    </w:p>
    <w:p w:rsidR="00041039" w:rsidRDefault="00041039">
      <w:pPr>
        <w:pStyle w:val="BodyText"/>
        <w:spacing w:before="8"/>
        <w:rPr>
          <w:b/>
          <w:sz w:val="16"/>
        </w:rPr>
      </w:pPr>
    </w:p>
    <w:p w:rsidR="00041039" w:rsidRDefault="001B26CB">
      <w:pPr>
        <w:pStyle w:val="ListParagraph"/>
        <w:numPr>
          <w:ilvl w:val="0"/>
          <w:numId w:val="1402"/>
        </w:numPr>
        <w:tabs>
          <w:tab w:val="left" w:pos="613"/>
        </w:tabs>
        <w:spacing w:before="1" w:line="203" w:lineRule="exact"/>
        <w:ind w:hanging="115"/>
        <w:rPr>
          <w:b/>
          <w:sz w:val="18"/>
        </w:rPr>
      </w:pPr>
      <w:r>
        <w:rPr>
          <w:b/>
          <w:color w:val="231F20"/>
          <w:sz w:val="18"/>
        </w:rPr>
        <w:t>РЕЧЕНИЦА</w:t>
      </w:r>
    </w:p>
    <w:p w:rsidR="00041039" w:rsidRDefault="001B26CB">
      <w:pPr>
        <w:pStyle w:val="Heading2"/>
        <w:numPr>
          <w:ilvl w:val="0"/>
          <w:numId w:val="1420"/>
        </w:numPr>
        <w:tabs>
          <w:tab w:val="left" w:pos="633"/>
        </w:tabs>
        <w:ind w:firstLine="0"/>
      </w:pPr>
      <w:r>
        <w:rPr>
          <w:color w:val="231F20"/>
        </w:rPr>
        <w:t>Систематизација свих типова упитних</w:t>
      </w:r>
      <w:r>
        <w:rPr>
          <w:color w:val="231F20"/>
          <w:spacing w:val="-1"/>
        </w:rPr>
        <w:t xml:space="preserve"> </w:t>
      </w:r>
      <w:r>
        <w:rPr>
          <w:color w:val="231F20"/>
        </w:rPr>
        <w:t>реченица;</w:t>
      </w:r>
    </w:p>
    <w:p w:rsidR="00041039" w:rsidRDefault="001B26CB">
      <w:pPr>
        <w:pStyle w:val="ListParagraph"/>
        <w:numPr>
          <w:ilvl w:val="0"/>
          <w:numId w:val="1420"/>
        </w:numPr>
        <w:tabs>
          <w:tab w:val="left" w:pos="633"/>
        </w:tabs>
        <w:ind w:firstLine="0"/>
        <w:rPr>
          <w:sz w:val="18"/>
        </w:rPr>
      </w:pPr>
      <w:r>
        <w:rPr>
          <w:color w:val="231F20"/>
          <w:sz w:val="18"/>
        </w:rPr>
        <w:t>Ред речи у</w:t>
      </w:r>
      <w:r>
        <w:rPr>
          <w:color w:val="231F20"/>
          <w:spacing w:val="-1"/>
          <w:sz w:val="18"/>
        </w:rPr>
        <w:t xml:space="preserve"> </w:t>
      </w:r>
      <w:r>
        <w:rPr>
          <w:color w:val="231F20"/>
          <w:sz w:val="18"/>
        </w:rPr>
        <w:t>реченици;</w:t>
      </w:r>
    </w:p>
    <w:p w:rsidR="00041039" w:rsidRDefault="001B26CB">
      <w:pPr>
        <w:pStyle w:val="ListParagraph"/>
        <w:numPr>
          <w:ilvl w:val="0"/>
          <w:numId w:val="1420"/>
        </w:numPr>
        <w:tabs>
          <w:tab w:val="left" w:pos="633"/>
        </w:tabs>
        <w:ind w:firstLine="0"/>
        <w:rPr>
          <w:sz w:val="18"/>
        </w:rPr>
      </w:pPr>
      <w:r>
        <w:rPr>
          <w:color w:val="231F20"/>
          <w:sz w:val="18"/>
        </w:rPr>
        <w:t>Место прилога и прилошких</w:t>
      </w:r>
      <w:r>
        <w:rPr>
          <w:color w:val="231F20"/>
          <w:spacing w:val="-4"/>
          <w:sz w:val="18"/>
        </w:rPr>
        <w:t xml:space="preserve"> </w:t>
      </w:r>
      <w:r>
        <w:rPr>
          <w:color w:val="231F20"/>
          <w:sz w:val="18"/>
        </w:rPr>
        <w:t>одредби;</w:t>
      </w:r>
    </w:p>
    <w:p w:rsidR="00041039" w:rsidRDefault="001B26CB">
      <w:pPr>
        <w:pStyle w:val="ListParagraph"/>
        <w:numPr>
          <w:ilvl w:val="0"/>
          <w:numId w:val="1420"/>
        </w:numPr>
        <w:tabs>
          <w:tab w:val="left" w:pos="633"/>
        </w:tabs>
        <w:ind w:firstLine="0"/>
        <w:rPr>
          <w:sz w:val="18"/>
        </w:rPr>
      </w:pPr>
      <w:r>
        <w:rPr>
          <w:color w:val="231F20"/>
          <w:sz w:val="18"/>
        </w:rPr>
        <w:t>Повезивање реченица уз употребу</w:t>
      </w:r>
      <w:r>
        <w:rPr>
          <w:color w:val="231F20"/>
          <w:spacing w:val="-1"/>
          <w:sz w:val="18"/>
        </w:rPr>
        <w:t xml:space="preserve"> </w:t>
      </w:r>
      <w:r>
        <w:rPr>
          <w:color w:val="231F20"/>
          <w:sz w:val="18"/>
        </w:rPr>
        <w:t>везника;</w:t>
      </w:r>
    </w:p>
    <w:p w:rsidR="00041039" w:rsidRDefault="001B26CB">
      <w:pPr>
        <w:pStyle w:val="ListParagraph"/>
        <w:numPr>
          <w:ilvl w:val="0"/>
          <w:numId w:val="1420"/>
        </w:numPr>
        <w:tabs>
          <w:tab w:val="left" w:pos="629"/>
        </w:tabs>
        <w:ind w:left="628" w:hanging="131"/>
        <w:rPr>
          <w:sz w:val="18"/>
        </w:rPr>
      </w:pPr>
      <w:r>
        <w:rPr>
          <w:color w:val="231F20"/>
          <w:spacing w:val="-5"/>
          <w:sz w:val="18"/>
        </w:rPr>
        <w:t>Tag</w:t>
      </w:r>
      <w:r>
        <w:rPr>
          <w:color w:val="231F20"/>
          <w:sz w:val="18"/>
        </w:rPr>
        <w:t xml:space="preserve"> questions;</w:t>
      </w:r>
    </w:p>
    <w:p w:rsidR="00041039" w:rsidRDefault="001B26CB">
      <w:pPr>
        <w:pStyle w:val="ListParagraph"/>
        <w:numPr>
          <w:ilvl w:val="0"/>
          <w:numId w:val="1420"/>
        </w:numPr>
        <w:tabs>
          <w:tab w:val="left" w:pos="633"/>
        </w:tabs>
        <w:ind w:firstLine="0"/>
        <w:rPr>
          <w:i/>
          <w:sz w:val="18"/>
        </w:rPr>
      </w:pPr>
      <w:r>
        <w:rPr>
          <w:color w:val="231F20"/>
          <w:spacing w:val="-4"/>
          <w:sz w:val="18"/>
        </w:rPr>
        <w:t xml:space="preserve">Узвици </w:t>
      </w:r>
      <w:r>
        <w:rPr>
          <w:color w:val="231F20"/>
          <w:sz w:val="18"/>
        </w:rPr>
        <w:t xml:space="preserve">са </w:t>
      </w:r>
      <w:r>
        <w:rPr>
          <w:i/>
          <w:color w:val="231F20"/>
          <w:sz w:val="18"/>
        </w:rPr>
        <w:t xml:space="preserve">so </w:t>
      </w:r>
      <w:r>
        <w:rPr>
          <w:color w:val="231F20"/>
          <w:sz w:val="18"/>
        </w:rPr>
        <w:t>и</w:t>
      </w:r>
      <w:r>
        <w:rPr>
          <w:color w:val="231F20"/>
          <w:sz w:val="18"/>
        </w:rPr>
        <w:t xml:space="preserve"> </w:t>
      </w:r>
      <w:r>
        <w:rPr>
          <w:i/>
          <w:color w:val="231F20"/>
          <w:sz w:val="18"/>
        </w:rPr>
        <w:t>such.</w:t>
      </w:r>
    </w:p>
    <w:p w:rsidR="00041039" w:rsidRDefault="001B26CB">
      <w:pPr>
        <w:pStyle w:val="Heading1"/>
        <w:numPr>
          <w:ilvl w:val="0"/>
          <w:numId w:val="1402"/>
        </w:numPr>
        <w:tabs>
          <w:tab w:val="left" w:pos="683"/>
        </w:tabs>
        <w:spacing w:before="0" w:line="200" w:lineRule="exact"/>
        <w:ind w:left="682" w:hanging="185"/>
      </w:pPr>
      <w:r>
        <w:rPr>
          <w:color w:val="231F20"/>
        </w:rPr>
        <w:t>ИМЕНИЧКА</w:t>
      </w:r>
      <w:r>
        <w:rPr>
          <w:color w:val="231F20"/>
          <w:spacing w:val="-2"/>
        </w:rPr>
        <w:t xml:space="preserve"> </w:t>
      </w:r>
      <w:r>
        <w:rPr>
          <w:color w:val="231F20"/>
        </w:rPr>
        <w:t>ГРУПА</w:t>
      </w:r>
    </w:p>
    <w:p w:rsidR="00041039" w:rsidRDefault="001B26CB">
      <w:pPr>
        <w:pStyle w:val="Heading2"/>
        <w:numPr>
          <w:ilvl w:val="0"/>
          <w:numId w:val="1401"/>
        </w:numPr>
        <w:tabs>
          <w:tab w:val="left" w:pos="678"/>
        </w:tabs>
        <w:ind w:firstLine="0"/>
      </w:pPr>
      <w:r>
        <w:rPr>
          <w:color w:val="231F20"/>
        </w:rPr>
        <w:t>Члан</w:t>
      </w:r>
    </w:p>
    <w:p w:rsidR="00041039" w:rsidRDefault="001B26CB">
      <w:pPr>
        <w:pStyle w:val="ListParagraph"/>
        <w:numPr>
          <w:ilvl w:val="0"/>
          <w:numId w:val="1420"/>
        </w:numPr>
        <w:tabs>
          <w:tab w:val="left" w:pos="633"/>
        </w:tabs>
        <w:ind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numPr>
          <w:ilvl w:val="0"/>
          <w:numId w:val="1401"/>
        </w:numPr>
        <w:tabs>
          <w:tab w:val="left" w:pos="678"/>
        </w:tabs>
        <w:ind w:firstLine="0"/>
        <w:rPr>
          <w:sz w:val="18"/>
        </w:rPr>
      </w:pPr>
      <w:r>
        <w:rPr>
          <w:color w:val="231F20"/>
          <w:sz w:val="18"/>
        </w:rPr>
        <w:t>Именице</w:t>
      </w:r>
    </w:p>
    <w:p w:rsidR="00041039" w:rsidRDefault="001B26CB">
      <w:pPr>
        <w:pStyle w:val="ListParagraph"/>
        <w:numPr>
          <w:ilvl w:val="0"/>
          <w:numId w:val="1420"/>
        </w:numPr>
        <w:tabs>
          <w:tab w:val="left" w:pos="633"/>
        </w:tabs>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1401"/>
        </w:numPr>
        <w:tabs>
          <w:tab w:val="left" w:pos="678"/>
        </w:tabs>
        <w:spacing w:before="1" w:line="232" w:lineRule="auto"/>
        <w:ind w:right="8674" w:firstLine="0"/>
        <w:rPr>
          <w:sz w:val="18"/>
        </w:rPr>
      </w:pPr>
      <w:r>
        <w:rPr>
          <w:color w:val="231F20"/>
          <w:sz w:val="18"/>
        </w:rPr>
        <w:t>Заменички облици а) Заменице</w:t>
      </w:r>
    </w:p>
    <w:p w:rsidR="00041039" w:rsidRDefault="001B26CB">
      <w:pPr>
        <w:pStyle w:val="ListParagraph"/>
        <w:numPr>
          <w:ilvl w:val="0"/>
          <w:numId w:val="1420"/>
        </w:numPr>
        <w:tabs>
          <w:tab w:val="left" w:pos="633"/>
        </w:tabs>
        <w:spacing w:line="197"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1420"/>
        </w:numPr>
        <w:tabs>
          <w:tab w:val="left" w:pos="633"/>
        </w:tabs>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1420"/>
        </w:numPr>
        <w:tabs>
          <w:tab w:val="left" w:pos="633"/>
        </w:tabs>
        <w:spacing w:before="2" w:line="232"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1420"/>
        </w:numPr>
        <w:tabs>
          <w:tab w:val="left" w:pos="633"/>
        </w:tabs>
        <w:spacing w:line="197"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1420"/>
        </w:numPr>
        <w:tabs>
          <w:tab w:val="left" w:pos="633"/>
        </w:tabs>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numPr>
          <w:ilvl w:val="0"/>
          <w:numId w:val="1420"/>
        </w:numPr>
        <w:tabs>
          <w:tab w:val="left" w:pos="633"/>
        </w:tabs>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1401"/>
        </w:numPr>
        <w:tabs>
          <w:tab w:val="left" w:pos="678"/>
        </w:tabs>
        <w:ind w:firstLine="0"/>
        <w:rPr>
          <w:sz w:val="18"/>
        </w:rPr>
      </w:pPr>
      <w:r>
        <w:rPr>
          <w:color w:val="231F20"/>
          <w:sz w:val="18"/>
        </w:rPr>
        <w:t>Придеви</w:t>
      </w:r>
    </w:p>
    <w:p w:rsidR="00041039" w:rsidRDefault="001B26CB">
      <w:pPr>
        <w:pStyle w:val="ListParagraph"/>
        <w:numPr>
          <w:ilvl w:val="0"/>
          <w:numId w:val="1420"/>
        </w:numPr>
        <w:tabs>
          <w:tab w:val="left" w:pos="633"/>
        </w:tabs>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numPr>
          <w:ilvl w:val="0"/>
          <w:numId w:val="1401"/>
        </w:numPr>
        <w:tabs>
          <w:tab w:val="left" w:pos="678"/>
        </w:tabs>
        <w:ind w:firstLine="0"/>
        <w:rPr>
          <w:sz w:val="18"/>
        </w:rPr>
      </w:pPr>
      <w:r>
        <w:rPr>
          <w:color w:val="231F20"/>
          <w:sz w:val="18"/>
        </w:rPr>
        <w:t>Бројеви</w:t>
      </w:r>
    </w:p>
    <w:p w:rsidR="00041039" w:rsidRDefault="001B26CB">
      <w:pPr>
        <w:pStyle w:val="ListParagraph"/>
        <w:numPr>
          <w:ilvl w:val="0"/>
          <w:numId w:val="1400"/>
        </w:numPr>
        <w:tabs>
          <w:tab w:val="left" w:pos="633"/>
        </w:tabs>
        <w:ind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1401"/>
        </w:numPr>
        <w:tabs>
          <w:tab w:val="left" w:pos="678"/>
        </w:tabs>
        <w:spacing w:line="203" w:lineRule="exact"/>
        <w:ind w:firstLine="0"/>
        <w:rPr>
          <w:sz w:val="18"/>
        </w:rPr>
      </w:pPr>
      <w:r>
        <w:rPr>
          <w:color w:val="231F20"/>
          <w:sz w:val="18"/>
        </w:rPr>
        <w:t>Квантификатори</w:t>
      </w:r>
    </w:p>
    <w:p w:rsidR="00041039" w:rsidRDefault="00041039">
      <w:pPr>
        <w:pStyle w:val="BodyText"/>
        <w:spacing w:before="9"/>
        <w:rPr>
          <w:sz w:val="16"/>
        </w:rPr>
      </w:pPr>
    </w:p>
    <w:p w:rsidR="00041039" w:rsidRDefault="001B26CB">
      <w:pPr>
        <w:pStyle w:val="ListParagraph"/>
        <w:numPr>
          <w:ilvl w:val="0"/>
          <w:numId w:val="1402"/>
        </w:numPr>
        <w:tabs>
          <w:tab w:val="left" w:pos="753"/>
        </w:tabs>
        <w:spacing w:line="203" w:lineRule="exact"/>
        <w:ind w:left="752" w:hanging="255"/>
        <w:rPr>
          <w:b/>
          <w:sz w:val="18"/>
        </w:rPr>
      </w:pPr>
      <w:r>
        <w:rPr>
          <w:b/>
          <w:color w:val="231F20"/>
          <w:spacing w:val="-6"/>
          <w:sz w:val="18"/>
        </w:rPr>
        <w:t>ГЛAГОЛСКА</w:t>
      </w:r>
      <w:r>
        <w:rPr>
          <w:b/>
          <w:color w:val="231F20"/>
          <w:spacing w:val="-1"/>
          <w:sz w:val="18"/>
        </w:rPr>
        <w:t xml:space="preserve"> </w:t>
      </w:r>
      <w:r>
        <w:rPr>
          <w:b/>
          <w:color w:val="231F20"/>
          <w:sz w:val="18"/>
        </w:rPr>
        <w:t>ГРУПА</w:t>
      </w:r>
    </w:p>
    <w:p w:rsidR="00041039" w:rsidRDefault="001B26CB">
      <w:pPr>
        <w:pStyle w:val="ListParagraph"/>
        <w:numPr>
          <w:ilvl w:val="0"/>
          <w:numId w:val="1399"/>
        </w:numPr>
        <w:tabs>
          <w:tab w:val="left" w:pos="678"/>
        </w:tabs>
        <w:rPr>
          <w:sz w:val="18"/>
        </w:rPr>
      </w:pPr>
      <w:r>
        <w:rPr>
          <w:color w:val="231F20"/>
          <w:spacing w:val="-4"/>
          <w:sz w:val="18"/>
        </w:rPr>
        <w:t>Глаголи</w:t>
      </w:r>
    </w:p>
    <w:p w:rsidR="00041039" w:rsidRDefault="001B26CB">
      <w:pPr>
        <w:pStyle w:val="ListParagraph"/>
        <w:numPr>
          <w:ilvl w:val="0"/>
          <w:numId w:val="1400"/>
        </w:numPr>
        <w:tabs>
          <w:tab w:val="left" w:pos="633"/>
        </w:tabs>
        <w:ind w:firstLine="0"/>
        <w:rPr>
          <w:sz w:val="18"/>
        </w:rPr>
      </w:pPr>
      <w:r>
        <w:rPr>
          <w:color w:val="231F20"/>
          <w:sz w:val="18"/>
        </w:rPr>
        <w:t>Обновити разлику у употреби Present Simple, Present Continuous, Past Simple, Past</w:t>
      </w:r>
      <w:r>
        <w:rPr>
          <w:color w:val="231F20"/>
          <w:spacing w:val="-13"/>
          <w:sz w:val="18"/>
        </w:rPr>
        <w:t xml:space="preserve"> </w:t>
      </w:r>
      <w:r>
        <w:rPr>
          <w:color w:val="231F20"/>
          <w:sz w:val="18"/>
        </w:rPr>
        <w:t>Continuous;</w:t>
      </w:r>
    </w:p>
    <w:p w:rsidR="00041039" w:rsidRDefault="001B26CB">
      <w:pPr>
        <w:pStyle w:val="ListParagraph"/>
        <w:numPr>
          <w:ilvl w:val="0"/>
          <w:numId w:val="1400"/>
        </w:numPr>
        <w:tabs>
          <w:tab w:val="left" w:pos="633"/>
        </w:tabs>
        <w:ind w:firstLine="0"/>
        <w:rPr>
          <w:sz w:val="18"/>
        </w:rPr>
      </w:pPr>
      <w:r>
        <w:rPr>
          <w:color w:val="231F20"/>
          <w:sz w:val="18"/>
        </w:rPr>
        <w:t>Обновити све употребе Present</w:t>
      </w:r>
      <w:r>
        <w:rPr>
          <w:color w:val="231F20"/>
          <w:spacing w:val="-3"/>
          <w:sz w:val="18"/>
        </w:rPr>
        <w:t xml:space="preserve"> </w:t>
      </w:r>
      <w:r>
        <w:rPr>
          <w:color w:val="231F20"/>
          <w:sz w:val="18"/>
        </w:rPr>
        <w:t>Perfect;</w:t>
      </w:r>
    </w:p>
    <w:p w:rsidR="00041039" w:rsidRDefault="001B26CB">
      <w:pPr>
        <w:pStyle w:val="ListParagraph"/>
        <w:numPr>
          <w:ilvl w:val="0"/>
          <w:numId w:val="1400"/>
        </w:numPr>
        <w:tabs>
          <w:tab w:val="left" w:pos="633"/>
        </w:tabs>
        <w:ind w:firstLine="0"/>
        <w:rPr>
          <w:sz w:val="18"/>
        </w:rPr>
      </w:pPr>
      <w:r>
        <w:rPr>
          <w:color w:val="231F20"/>
          <w:sz w:val="18"/>
        </w:rPr>
        <w:t>Used</w:t>
      </w:r>
      <w:r>
        <w:rPr>
          <w:color w:val="231F20"/>
          <w:spacing w:val="-2"/>
          <w:sz w:val="18"/>
        </w:rPr>
        <w:t xml:space="preserve"> </w:t>
      </w:r>
      <w:r>
        <w:rPr>
          <w:color w:val="231F20"/>
          <w:sz w:val="18"/>
        </w:rPr>
        <w:t>to;</w:t>
      </w:r>
    </w:p>
    <w:p w:rsidR="00041039" w:rsidRDefault="001B26CB">
      <w:pPr>
        <w:pStyle w:val="ListParagraph"/>
        <w:numPr>
          <w:ilvl w:val="0"/>
          <w:numId w:val="1400"/>
        </w:numPr>
        <w:tabs>
          <w:tab w:val="left" w:pos="633"/>
        </w:tabs>
        <w:ind w:firstLine="0"/>
        <w:rPr>
          <w:sz w:val="18"/>
        </w:rPr>
      </w:pPr>
      <w:r>
        <w:rPr>
          <w:color w:val="231F20"/>
          <w:sz w:val="18"/>
        </w:rPr>
        <w:t>Начини изражавања будућности, планова у будућности (going to,</w:t>
      </w:r>
      <w:r>
        <w:rPr>
          <w:color w:val="231F20"/>
          <w:spacing w:val="-5"/>
          <w:sz w:val="18"/>
        </w:rPr>
        <w:t xml:space="preserve"> </w:t>
      </w:r>
      <w:r>
        <w:rPr>
          <w:color w:val="231F20"/>
          <w:sz w:val="18"/>
        </w:rPr>
        <w:t>will);</w:t>
      </w:r>
    </w:p>
    <w:p w:rsidR="00041039" w:rsidRDefault="001B26CB">
      <w:pPr>
        <w:pStyle w:val="ListParagraph"/>
        <w:numPr>
          <w:ilvl w:val="0"/>
          <w:numId w:val="1400"/>
        </w:numPr>
        <w:tabs>
          <w:tab w:val="left" w:pos="633"/>
        </w:tabs>
        <w:ind w:firstLine="0"/>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numPr>
          <w:ilvl w:val="0"/>
          <w:numId w:val="1400"/>
        </w:numPr>
        <w:tabs>
          <w:tab w:val="left" w:pos="633"/>
        </w:tabs>
        <w:ind w:firstLine="0"/>
        <w:rPr>
          <w:sz w:val="18"/>
        </w:rPr>
      </w:pPr>
      <w:r>
        <w:rPr>
          <w:color w:val="231F20"/>
          <w:sz w:val="18"/>
        </w:rPr>
        <w:t xml:space="preserve">Прилози, извођење прилога и употреба, прилози вероватноће са </w:t>
      </w:r>
      <w:r>
        <w:rPr>
          <w:color w:val="231F20"/>
          <w:spacing w:val="-3"/>
          <w:sz w:val="18"/>
        </w:rPr>
        <w:t xml:space="preserve">may, </w:t>
      </w:r>
      <w:r>
        <w:rPr>
          <w:color w:val="231F20"/>
          <w:sz w:val="18"/>
        </w:rPr>
        <w:t>might и</w:t>
      </w:r>
      <w:r>
        <w:rPr>
          <w:color w:val="231F20"/>
          <w:spacing w:val="-7"/>
          <w:sz w:val="18"/>
        </w:rPr>
        <w:t xml:space="preserve"> </w:t>
      </w:r>
      <w:r>
        <w:rPr>
          <w:color w:val="231F20"/>
          <w:sz w:val="18"/>
        </w:rPr>
        <w:t>will;</w:t>
      </w:r>
    </w:p>
    <w:p w:rsidR="00041039" w:rsidRDefault="001B26CB">
      <w:pPr>
        <w:pStyle w:val="ListParagraph"/>
        <w:numPr>
          <w:ilvl w:val="0"/>
          <w:numId w:val="1400"/>
        </w:numPr>
        <w:tabs>
          <w:tab w:val="left" w:pos="633"/>
        </w:tabs>
        <w:ind w:firstLine="0"/>
        <w:rPr>
          <w:sz w:val="18"/>
        </w:rPr>
      </w:pPr>
      <w:r>
        <w:rPr>
          <w:color w:val="231F20"/>
          <w:sz w:val="18"/>
        </w:rPr>
        <w:t>Пасивне конструкције ­ садашње и прошло време ­ the Present Simple, Past Simple (продуктивно и</w:t>
      </w:r>
      <w:r>
        <w:rPr>
          <w:color w:val="231F20"/>
          <w:spacing w:val="-24"/>
          <w:sz w:val="18"/>
        </w:rPr>
        <w:t xml:space="preserve"> </w:t>
      </w:r>
      <w:r>
        <w:rPr>
          <w:color w:val="231F20"/>
          <w:sz w:val="18"/>
        </w:rPr>
        <w:t>рецептивно);</w:t>
      </w:r>
    </w:p>
    <w:p w:rsidR="00041039" w:rsidRDefault="001B26CB">
      <w:pPr>
        <w:pStyle w:val="ListParagraph"/>
        <w:numPr>
          <w:ilvl w:val="0"/>
          <w:numId w:val="1400"/>
        </w:numPr>
        <w:tabs>
          <w:tab w:val="left" w:pos="633"/>
        </w:tabs>
        <w:ind w:firstLine="0"/>
        <w:rPr>
          <w:sz w:val="18"/>
        </w:rPr>
      </w:pPr>
      <w:r>
        <w:rPr>
          <w:color w:val="231F20"/>
          <w:sz w:val="18"/>
        </w:rPr>
        <w:t>Present Perfect Passive</w:t>
      </w:r>
      <w:r>
        <w:rPr>
          <w:color w:val="231F20"/>
          <w:spacing w:val="-4"/>
          <w:sz w:val="18"/>
        </w:rPr>
        <w:t xml:space="preserve"> </w:t>
      </w:r>
      <w:r>
        <w:rPr>
          <w:color w:val="231F20"/>
          <w:sz w:val="18"/>
        </w:rPr>
        <w:t>(рецептивно)</w:t>
      </w:r>
      <w:r>
        <w:rPr>
          <w:color w:val="231F20"/>
          <w:sz w:val="18"/>
        </w:rPr>
        <w:t>;</w:t>
      </w:r>
    </w:p>
    <w:p w:rsidR="00041039" w:rsidRDefault="001B26CB">
      <w:pPr>
        <w:pStyle w:val="ListParagraph"/>
        <w:numPr>
          <w:ilvl w:val="0"/>
          <w:numId w:val="1399"/>
        </w:numPr>
        <w:tabs>
          <w:tab w:val="left" w:pos="678"/>
        </w:tabs>
        <w:rPr>
          <w:sz w:val="18"/>
        </w:rPr>
      </w:pPr>
      <w:r>
        <w:rPr>
          <w:color w:val="231F20"/>
          <w:sz w:val="18"/>
        </w:rPr>
        <w:t>Предлози и најчешћи прилози за оријентацију у времену и</w:t>
      </w:r>
      <w:r>
        <w:rPr>
          <w:color w:val="231F20"/>
          <w:spacing w:val="-8"/>
          <w:sz w:val="18"/>
        </w:rPr>
        <w:t xml:space="preserve"> </w:t>
      </w:r>
      <w:r>
        <w:rPr>
          <w:color w:val="231F20"/>
          <w:spacing w:val="-3"/>
          <w:sz w:val="18"/>
        </w:rPr>
        <w:t>простору.</w:t>
      </w:r>
    </w:p>
    <w:p w:rsidR="00041039" w:rsidRDefault="001B26CB">
      <w:pPr>
        <w:pStyle w:val="ListParagraph"/>
        <w:numPr>
          <w:ilvl w:val="0"/>
          <w:numId w:val="1399"/>
        </w:numPr>
        <w:tabs>
          <w:tab w:val="left" w:pos="678"/>
        </w:tabs>
        <w:spacing w:line="203" w:lineRule="exact"/>
        <w:rPr>
          <w:sz w:val="18"/>
        </w:rPr>
      </w:pPr>
      <w:r>
        <w:rPr>
          <w:color w:val="231F20"/>
          <w:sz w:val="18"/>
        </w:rPr>
        <w:t>Први кондиционал и други кондиционал (рецептивно и</w:t>
      </w:r>
      <w:r>
        <w:rPr>
          <w:color w:val="231F20"/>
          <w:spacing w:val="-9"/>
          <w:sz w:val="18"/>
        </w:rPr>
        <w:t xml:space="preserve"> </w:t>
      </w:r>
      <w:r>
        <w:rPr>
          <w:color w:val="231F20"/>
          <w:sz w:val="18"/>
        </w:rPr>
        <w:t>продуктивно).</w:t>
      </w:r>
    </w:p>
    <w:p w:rsidR="00041039" w:rsidRDefault="00041039">
      <w:pPr>
        <w:pStyle w:val="BodyText"/>
        <w:rPr>
          <w:sz w:val="23"/>
        </w:rPr>
      </w:pPr>
    </w:p>
    <w:p w:rsidR="00041039" w:rsidRDefault="001B26CB">
      <w:pPr>
        <w:tabs>
          <w:tab w:val="left" w:pos="1303"/>
        </w:tabs>
        <w:ind w:right="7901"/>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w:t>
      </w:r>
      <w:r>
        <w:rPr>
          <w:b/>
          <w:color w:val="231F20"/>
          <w:sz w:val="14"/>
        </w:rPr>
        <w:t>ЈЕЗИК</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1398"/>
              </w:numPr>
              <w:tabs>
                <w:tab w:val="left" w:pos="157"/>
              </w:tabs>
              <w:spacing w:before="8"/>
              <w:ind w:right="105"/>
              <w:rPr>
                <w:sz w:val="14"/>
              </w:rPr>
            </w:pPr>
            <w:r>
              <w:rPr>
                <w:color w:val="231F20"/>
                <w:sz w:val="14"/>
              </w:rPr>
              <w:t>разуме основне поруке и захтеве исказане јас­ ним</w:t>
            </w:r>
            <w:r>
              <w:rPr>
                <w:color w:val="231F20"/>
                <w:spacing w:val="-6"/>
                <w:sz w:val="14"/>
              </w:rPr>
              <w:t xml:space="preserve"> </w:t>
            </w:r>
            <w:r>
              <w:rPr>
                <w:color w:val="231F20"/>
                <w:sz w:val="14"/>
              </w:rPr>
              <w:t>стандардним</w:t>
            </w:r>
            <w:r>
              <w:rPr>
                <w:color w:val="231F20"/>
                <w:spacing w:val="-5"/>
                <w:sz w:val="14"/>
              </w:rPr>
              <w:t xml:space="preserve"> </w:t>
            </w:r>
            <w:r>
              <w:rPr>
                <w:color w:val="231F20"/>
                <w:sz w:val="14"/>
              </w:rPr>
              <w:t>језиком</w:t>
            </w:r>
            <w:r>
              <w:rPr>
                <w:color w:val="231F20"/>
                <w:spacing w:val="-5"/>
                <w:sz w:val="14"/>
              </w:rPr>
              <w:t xml:space="preserve"> </w:t>
            </w:r>
            <w:r>
              <w:rPr>
                <w:color w:val="231F20"/>
                <w:sz w:val="14"/>
              </w:rPr>
              <w:t>када</w:t>
            </w:r>
            <w:r>
              <w:rPr>
                <w:color w:val="231F20"/>
                <w:spacing w:val="-5"/>
                <w:sz w:val="14"/>
              </w:rPr>
              <w:t xml:space="preserve"> </w:t>
            </w:r>
            <w:r>
              <w:rPr>
                <w:color w:val="231F20"/>
                <w:sz w:val="14"/>
              </w:rPr>
              <w:t>је</w:t>
            </w:r>
            <w:r>
              <w:rPr>
                <w:color w:val="231F20"/>
                <w:spacing w:val="-5"/>
                <w:sz w:val="14"/>
              </w:rPr>
              <w:t xml:space="preserve"> </w:t>
            </w:r>
            <w:r>
              <w:rPr>
                <w:color w:val="231F20"/>
                <w:sz w:val="14"/>
              </w:rPr>
              <w:t>реч</w:t>
            </w:r>
            <w:r>
              <w:rPr>
                <w:color w:val="231F20"/>
                <w:spacing w:val="-5"/>
                <w:sz w:val="14"/>
              </w:rPr>
              <w:t xml:space="preserve"> </w:t>
            </w:r>
            <w:r>
              <w:rPr>
                <w:color w:val="231F20"/>
                <w:sz w:val="14"/>
              </w:rPr>
              <w:t>о</w:t>
            </w:r>
            <w:r>
              <w:rPr>
                <w:color w:val="231F20"/>
                <w:spacing w:val="-5"/>
                <w:sz w:val="14"/>
              </w:rPr>
              <w:t xml:space="preserve"> </w:t>
            </w:r>
            <w:r>
              <w:rPr>
                <w:color w:val="231F20"/>
                <w:sz w:val="14"/>
              </w:rPr>
              <w:t>блиским темама (кола, посао,</w:t>
            </w:r>
            <w:r>
              <w:rPr>
                <w:color w:val="231F20"/>
                <w:spacing w:val="-3"/>
                <w:sz w:val="14"/>
              </w:rPr>
              <w:t xml:space="preserve"> </w:t>
            </w:r>
            <w:r>
              <w:rPr>
                <w:color w:val="231F20"/>
                <w:sz w:val="14"/>
              </w:rPr>
              <w:t>хоби);</w:t>
            </w:r>
          </w:p>
          <w:p w:rsidR="00041039" w:rsidRDefault="001B26CB">
            <w:pPr>
              <w:pStyle w:val="TableParagraph"/>
              <w:numPr>
                <w:ilvl w:val="0"/>
                <w:numId w:val="1398"/>
              </w:numPr>
              <w:tabs>
                <w:tab w:val="left" w:pos="157"/>
              </w:tabs>
              <w:spacing w:line="157" w:lineRule="exact"/>
              <w:rPr>
                <w:sz w:val="14"/>
              </w:rPr>
            </w:pPr>
            <w:r>
              <w:rPr>
                <w:color w:val="231F20"/>
                <w:sz w:val="14"/>
              </w:rPr>
              <w:t>разуме глобално суштину нешто дужих</w:t>
            </w:r>
            <w:r>
              <w:rPr>
                <w:color w:val="231F20"/>
                <w:spacing w:val="-10"/>
                <w:sz w:val="14"/>
              </w:rPr>
              <w:t xml:space="preserve"> </w:t>
            </w:r>
            <w:r>
              <w:rPr>
                <w:color w:val="231F20"/>
                <w:sz w:val="14"/>
              </w:rPr>
              <w:t>раз­</w:t>
            </w:r>
          </w:p>
          <w:p w:rsidR="00041039" w:rsidRDefault="001B26CB">
            <w:pPr>
              <w:pStyle w:val="TableParagraph"/>
              <w:rPr>
                <w:sz w:val="14"/>
              </w:rPr>
            </w:pPr>
            <w:r>
              <w:rPr>
                <w:color w:val="231F20"/>
                <w:sz w:val="14"/>
              </w:rPr>
              <w:t>говора или дискусија, који се односе на мање сложене садржаје, уколико се говори разговетно стандардним језиком, поставља питања и</w:t>
            </w:r>
          </w:p>
          <w:p w:rsidR="00041039" w:rsidRDefault="001B26CB">
            <w:pPr>
              <w:pStyle w:val="TableParagraph"/>
              <w:spacing w:line="237" w:lineRule="auto"/>
              <w:ind w:right="198"/>
              <w:rPr>
                <w:sz w:val="14"/>
              </w:rPr>
            </w:pPr>
            <w:r>
              <w:rPr>
                <w:color w:val="231F20"/>
                <w:sz w:val="14"/>
              </w:rPr>
              <w:t>тражи објашњења у вези са темом дискусије / разговора;</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1397"/>
              </w:numPr>
              <w:tabs>
                <w:tab w:val="left" w:pos="157"/>
              </w:tabs>
              <w:spacing w:line="237" w:lineRule="auto"/>
              <w:ind w:right="299"/>
              <w:rPr>
                <w:sz w:val="14"/>
              </w:rPr>
            </w:pPr>
            <w:r>
              <w:rPr>
                <w:color w:val="231F20"/>
                <w:sz w:val="14"/>
              </w:rPr>
              <w:t>Свакодневни</w:t>
            </w:r>
            <w:r>
              <w:rPr>
                <w:color w:val="231F20"/>
                <w:spacing w:val="-9"/>
                <w:sz w:val="14"/>
              </w:rPr>
              <w:t xml:space="preserve"> </w:t>
            </w:r>
            <w:r>
              <w:rPr>
                <w:color w:val="231F20"/>
                <w:sz w:val="14"/>
              </w:rPr>
              <w:t>живот</w:t>
            </w:r>
            <w:r>
              <w:rPr>
                <w:color w:val="231F20"/>
                <w:spacing w:val="-9"/>
                <w:sz w:val="14"/>
              </w:rPr>
              <w:t xml:space="preserve"> </w:t>
            </w:r>
            <w:r>
              <w:rPr>
                <w:color w:val="231F20"/>
                <w:sz w:val="14"/>
              </w:rPr>
              <w:t>(генерацијски</w:t>
            </w:r>
            <w:r>
              <w:rPr>
                <w:color w:val="231F20"/>
                <w:spacing w:val="-9"/>
                <w:sz w:val="14"/>
              </w:rPr>
              <w:t xml:space="preserve"> </w:t>
            </w:r>
            <w:r>
              <w:rPr>
                <w:color w:val="231F20"/>
                <w:sz w:val="14"/>
              </w:rPr>
              <w:t>конфликти</w:t>
            </w:r>
            <w:r>
              <w:rPr>
                <w:color w:val="231F20"/>
                <w:spacing w:val="-9"/>
                <w:sz w:val="14"/>
              </w:rPr>
              <w:t xml:space="preserve"> </w:t>
            </w:r>
            <w:r>
              <w:rPr>
                <w:color w:val="231F20"/>
                <w:sz w:val="14"/>
              </w:rPr>
              <w:t>и начини</w:t>
            </w:r>
            <w:r>
              <w:rPr>
                <w:color w:val="231F20"/>
                <w:spacing w:val="-1"/>
                <w:sz w:val="14"/>
              </w:rPr>
              <w:t xml:space="preserve"> </w:t>
            </w:r>
            <w:r>
              <w:rPr>
                <w:color w:val="231F20"/>
                <w:sz w:val="14"/>
              </w:rPr>
              <w:t>превазилажења).</w:t>
            </w:r>
          </w:p>
          <w:p w:rsidR="00041039" w:rsidRDefault="001B26CB">
            <w:pPr>
              <w:pStyle w:val="TableParagraph"/>
              <w:numPr>
                <w:ilvl w:val="0"/>
                <w:numId w:val="1397"/>
              </w:numPr>
              <w:tabs>
                <w:tab w:val="left" w:pos="157"/>
              </w:tabs>
              <w:spacing w:line="160" w:lineRule="exact"/>
              <w:ind w:right="64"/>
              <w:rPr>
                <w:sz w:val="14"/>
              </w:rPr>
            </w:pPr>
            <w:r>
              <w:rPr>
                <w:color w:val="231F20"/>
                <w:sz w:val="14"/>
              </w:rPr>
              <w:t>Образовање (образовање за све, пракса и</w:t>
            </w:r>
            <w:r>
              <w:rPr>
                <w:color w:val="231F20"/>
                <w:spacing w:val="-26"/>
                <w:sz w:val="14"/>
              </w:rPr>
              <w:t xml:space="preserve"> </w:t>
            </w:r>
            <w:r>
              <w:rPr>
                <w:color w:val="231F20"/>
                <w:sz w:val="14"/>
              </w:rPr>
              <w:t xml:space="preserve">припреме за </w:t>
            </w:r>
            <w:r>
              <w:rPr>
                <w:color w:val="231F20"/>
                <w:spacing w:val="-3"/>
                <w:sz w:val="14"/>
              </w:rPr>
              <w:t xml:space="preserve">будуће </w:t>
            </w:r>
            <w:r>
              <w:rPr>
                <w:color w:val="231F20"/>
                <w:sz w:val="14"/>
              </w:rPr>
              <w:t>занимање, размена ученика).</w:t>
            </w:r>
          </w:p>
          <w:p w:rsidR="00041039" w:rsidRDefault="001B26CB">
            <w:pPr>
              <w:pStyle w:val="TableParagraph"/>
              <w:numPr>
                <w:ilvl w:val="0"/>
                <w:numId w:val="1397"/>
              </w:numPr>
              <w:tabs>
                <w:tab w:val="left" w:pos="157"/>
              </w:tabs>
              <w:spacing w:line="160" w:lineRule="exact"/>
              <w:ind w:right="48"/>
              <w:rPr>
                <w:sz w:val="14"/>
              </w:rPr>
            </w:pPr>
            <w:r>
              <w:rPr>
                <w:color w:val="231F20"/>
                <w:sz w:val="14"/>
              </w:rPr>
              <w:t>Познате фирме, предузећа, установе, институције</w:t>
            </w:r>
            <w:r>
              <w:rPr>
                <w:color w:val="231F20"/>
                <w:spacing w:val="-21"/>
                <w:sz w:val="14"/>
              </w:rPr>
              <w:t xml:space="preserve"> </w:t>
            </w:r>
            <w:r>
              <w:rPr>
                <w:color w:val="231F20"/>
                <w:sz w:val="14"/>
              </w:rPr>
              <w:t>у земљама чији се језик</w:t>
            </w:r>
            <w:r>
              <w:rPr>
                <w:color w:val="231F20"/>
                <w:spacing w:val="-2"/>
                <w:sz w:val="14"/>
              </w:rPr>
              <w:t xml:space="preserve"> </w:t>
            </w:r>
            <w:r>
              <w:rPr>
                <w:color w:val="231F20"/>
                <w:sz w:val="14"/>
              </w:rPr>
              <w:t>учи.</w:t>
            </w:r>
          </w:p>
          <w:p w:rsidR="00041039" w:rsidRDefault="001B26CB">
            <w:pPr>
              <w:pStyle w:val="TableParagraph"/>
              <w:numPr>
                <w:ilvl w:val="0"/>
                <w:numId w:val="1397"/>
              </w:numPr>
              <w:tabs>
                <w:tab w:val="left" w:pos="157"/>
              </w:tabs>
              <w:spacing w:line="160" w:lineRule="exact"/>
              <w:ind w:right="148"/>
              <w:rPr>
                <w:sz w:val="14"/>
              </w:rPr>
            </w:pPr>
            <w:r>
              <w:rPr>
                <w:color w:val="231F20"/>
                <w:spacing w:val="-3"/>
                <w:sz w:val="14"/>
              </w:rPr>
              <w:t xml:space="preserve">Културни </w:t>
            </w:r>
            <w:r>
              <w:rPr>
                <w:color w:val="231F20"/>
                <w:sz w:val="14"/>
              </w:rPr>
              <w:t>живот (међународни пројекти и учешће на</w:t>
            </w:r>
            <w:r>
              <w:rPr>
                <w:color w:val="231F20"/>
                <w:spacing w:val="-2"/>
                <w:sz w:val="14"/>
              </w:rPr>
              <w:t xml:space="preserve"> </w:t>
            </w:r>
            <w:r>
              <w:rPr>
                <w:color w:val="231F20"/>
                <w:sz w:val="14"/>
              </w:rPr>
              <w:t>њима).</w:t>
            </w:r>
          </w:p>
          <w:p w:rsidR="00041039" w:rsidRDefault="001B26CB">
            <w:pPr>
              <w:pStyle w:val="TableParagraph"/>
              <w:numPr>
                <w:ilvl w:val="0"/>
                <w:numId w:val="1397"/>
              </w:numPr>
              <w:tabs>
                <w:tab w:val="left" w:pos="157"/>
              </w:tabs>
              <w:spacing w:line="153" w:lineRule="exact"/>
              <w:rPr>
                <w:sz w:val="14"/>
              </w:rPr>
            </w:pPr>
            <w:r>
              <w:rPr>
                <w:color w:val="231F20"/>
                <w:sz w:val="14"/>
              </w:rPr>
              <w:t>Заштита човекове око</w:t>
            </w:r>
            <w:r>
              <w:rPr>
                <w:color w:val="231F20"/>
                <w:sz w:val="14"/>
              </w:rPr>
              <w:t>лине (волонтерски</w:t>
            </w:r>
            <w:r>
              <w:rPr>
                <w:color w:val="231F20"/>
                <w:spacing w:val="-11"/>
                <w:sz w:val="14"/>
              </w:rPr>
              <w:t xml:space="preserve"> </w:t>
            </w:r>
            <w:r>
              <w:rPr>
                <w:color w:val="231F20"/>
                <w:sz w:val="14"/>
              </w:rPr>
              <w:t>рад).</w:t>
            </w:r>
          </w:p>
          <w:p w:rsidR="00041039" w:rsidRDefault="001B26CB">
            <w:pPr>
              <w:pStyle w:val="TableParagraph"/>
              <w:numPr>
                <w:ilvl w:val="0"/>
                <w:numId w:val="1397"/>
              </w:numPr>
              <w:tabs>
                <w:tab w:val="left" w:pos="157"/>
              </w:tabs>
              <w:spacing w:line="160" w:lineRule="exact"/>
              <w:rPr>
                <w:sz w:val="14"/>
              </w:rPr>
            </w:pPr>
            <w:r>
              <w:rPr>
                <w:color w:val="231F20"/>
                <w:sz w:val="14"/>
              </w:rPr>
              <w:t>Медији (штампа, телевизија, електронски</w:t>
            </w:r>
            <w:r>
              <w:rPr>
                <w:color w:val="231F20"/>
                <w:spacing w:val="-9"/>
                <w:sz w:val="14"/>
              </w:rPr>
              <w:t xml:space="preserve"> </w:t>
            </w:r>
            <w:r>
              <w:rPr>
                <w:color w:val="231F20"/>
                <w:sz w:val="14"/>
              </w:rPr>
              <w:t>медији).</w:t>
            </w:r>
          </w:p>
          <w:p w:rsidR="00041039" w:rsidRDefault="001B26CB">
            <w:pPr>
              <w:pStyle w:val="TableParagraph"/>
              <w:numPr>
                <w:ilvl w:val="0"/>
                <w:numId w:val="1397"/>
              </w:numPr>
              <w:tabs>
                <w:tab w:val="left" w:pos="157"/>
              </w:tabs>
              <w:spacing w:line="237" w:lineRule="auto"/>
              <w:ind w:right="281"/>
              <w:rPr>
                <w:sz w:val="14"/>
              </w:rPr>
            </w:pPr>
            <w:r>
              <w:rPr>
                <w:color w:val="231F20"/>
                <w:sz w:val="14"/>
              </w:rPr>
              <w:t>Историјски догађаји/линости из земаља чији се језик</w:t>
            </w:r>
            <w:r>
              <w:rPr>
                <w:color w:val="231F20"/>
                <w:spacing w:val="-2"/>
                <w:sz w:val="14"/>
              </w:rPr>
              <w:t xml:space="preserve"> </w:t>
            </w:r>
            <w:r>
              <w:rPr>
                <w:color w:val="231F20"/>
                <w:sz w:val="14"/>
              </w:rPr>
              <w:t>учи.</w:t>
            </w:r>
          </w:p>
          <w:p w:rsidR="00041039" w:rsidRDefault="001B26CB">
            <w:pPr>
              <w:pStyle w:val="TableParagraph"/>
              <w:numPr>
                <w:ilvl w:val="0"/>
                <w:numId w:val="1397"/>
              </w:numPr>
              <w:tabs>
                <w:tab w:val="left" w:pos="157"/>
              </w:tabs>
              <w:spacing w:line="160" w:lineRule="exact"/>
              <w:ind w:right="435"/>
              <w:rPr>
                <w:sz w:val="14"/>
              </w:rPr>
            </w:pPr>
            <w:r>
              <w:rPr>
                <w:color w:val="231F20"/>
                <w:sz w:val="14"/>
              </w:rPr>
              <w:t>Свет компјутера (предности и мане</w:t>
            </w:r>
            <w:r>
              <w:rPr>
                <w:color w:val="231F20"/>
                <w:spacing w:val="-16"/>
                <w:sz w:val="14"/>
              </w:rPr>
              <w:t xml:space="preserve"> </w:t>
            </w:r>
            <w:r>
              <w:rPr>
                <w:color w:val="231F20"/>
                <w:sz w:val="14"/>
              </w:rPr>
              <w:t>употребе компјутера).</w:t>
            </w:r>
          </w:p>
        </w:tc>
        <w:tc>
          <w:tcPr>
            <w:tcW w:w="2834" w:type="dxa"/>
            <w:vMerge w:val="restart"/>
          </w:tcPr>
          <w:p w:rsidR="00041039" w:rsidRDefault="001B26CB">
            <w:pPr>
              <w:pStyle w:val="TableParagraph"/>
              <w:numPr>
                <w:ilvl w:val="0"/>
                <w:numId w:val="1396"/>
              </w:numPr>
              <w:tabs>
                <w:tab w:val="left" w:pos="162"/>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1396"/>
              </w:numPr>
              <w:tabs>
                <w:tab w:val="left" w:pos="162"/>
              </w:tabs>
              <w:ind w:right="282"/>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numPr>
                <w:ilvl w:val="0"/>
                <w:numId w:val="1396"/>
              </w:numPr>
              <w:tabs>
                <w:tab w:val="left" w:pos="162"/>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1396"/>
              </w:numPr>
              <w:tabs>
                <w:tab w:val="left" w:pos="162"/>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1396"/>
              </w:numPr>
              <w:tabs>
                <w:tab w:val="left" w:pos="162"/>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1396"/>
              </w:numPr>
              <w:tabs>
                <w:tab w:val="left" w:pos="162"/>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1396"/>
              </w:numPr>
              <w:tabs>
                <w:tab w:val="left" w:pos="162"/>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numPr>
                <w:ilvl w:val="0"/>
                <w:numId w:val="1396"/>
              </w:numPr>
              <w:tabs>
                <w:tab w:val="left" w:pos="162"/>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1396"/>
              </w:numPr>
              <w:tabs>
                <w:tab w:val="left" w:pos="162"/>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1396"/>
              </w:numPr>
              <w:tabs>
                <w:tab w:val="left" w:pos="162"/>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1396"/>
              </w:numPr>
              <w:tabs>
                <w:tab w:val="left" w:pos="162"/>
              </w:tabs>
              <w:ind w:right="628"/>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1396"/>
              </w:numPr>
              <w:tabs>
                <w:tab w:val="left" w:pos="162"/>
              </w:tabs>
              <w:ind w:right="273"/>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1396"/>
              </w:numPr>
              <w:tabs>
                <w:tab w:val="left" w:pos="162"/>
              </w:tabs>
              <w:spacing w:line="159" w:lineRule="exact"/>
              <w:rPr>
                <w:sz w:val="14"/>
              </w:rPr>
            </w:pPr>
            <w:r>
              <w:rPr>
                <w:color w:val="231F20"/>
                <w:sz w:val="14"/>
              </w:rPr>
              <w:t>Изрицање забране и ре</w:t>
            </w:r>
            <w:r>
              <w:rPr>
                <w:color w:val="231F20"/>
                <w:sz w:val="14"/>
              </w:rPr>
              <w:t>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1396"/>
              </w:numPr>
              <w:tabs>
                <w:tab w:val="left" w:pos="162"/>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1396"/>
              </w:numPr>
              <w:tabs>
                <w:tab w:val="left" w:pos="162"/>
              </w:tabs>
              <w:spacing w:line="160" w:lineRule="exact"/>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numPr>
                <w:ilvl w:val="0"/>
                <w:numId w:val="1396"/>
              </w:numPr>
              <w:tabs>
                <w:tab w:val="left" w:pos="162"/>
              </w:tabs>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numPr>
                <w:ilvl w:val="0"/>
                <w:numId w:val="1396"/>
              </w:numPr>
              <w:tabs>
                <w:tab w:val="left" w:pos="162"/>
              </w:tabs>
              <w:spacing w:line="159" w:lineRule="exact"/>
              <w:rPr>
                <w:sz w:val="14"/>
              </w:rPr>
            </w:pPr>
            <w:r>
              <w:rPr>
                <w:color w:val="231F20"/>
                <w:sz w:val="14"/>
              </w:rPr>
              <w:t>Тражење и давање</w:t>
            </w:r>
            <w:r>
              <w:rPr>
                <w:color w:val="231F20"/>
                <w:spacing w:val="-3"/>
                <w:sz w:val="14"/>
              </w:rPr>
              <w:t xml:space="preserve"> </w:t>
            </w:r>
            <w:r>
              <w:rPr>
                <w:color w:val="231F20"/>
                <w:sz w:val="14"/>
              </w:rPr>
              <w:t>дозволе.</w:t>
            </w:r>
          </w:p>
        </w:tc>
      </w:tr>
      <w:tr w:rsidR="00041039">
        <w:trPr>
          <w:trHeight w:val="2181"/>
        </w:trPr>
        <w:tc>
          <w:tcPr>
            <w:tcW w:w="1304" w:type="dxa"/>
            <w:tcBorders>
              <w:top w:val="nil"/>
            </w:tcBorders>
          </w:tcPr>
          <w:p w:rsidR="00041039" w:rsidRDefault="001B26CB">
            <w:pPr>
              <w:pStyle w:val="TableParagraph"/>
              <w:numPr>
                <w:ilvl w:val="0"/>
                <w:numId w:val="1395"/>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1394"/>
              </w:numPr>
              <w:tabs>
                <w:tab w:val="left" w:pos="157"/>
              </w:tabs>
              <w:spacing w:before="9"/>
              <w:ind w:right="232"/>
              <w:rPr>
                <w:sz w:val="14"/>
              </w:rPr>
            </w:pPr>
            <w:r>
              <w:rPr>
                <w:color w:val="231F20"/>
                <w:sz w:val="14"/>
              </w:rPr>
              <w:t xml:space="preserve">разуме једноставније текстове (стандардна писма, информације о </w:t>
            </w:r>
            <w:r>
              <w:rPr>
                <w:color w:val="231F20"/>
                <w:spacing w:val="-3"/>
                <w:sz w:val="14"/>
              </w:rPr>
              <w:t xml:space="preserve">неком </w:t>
            </w:r>
            <w:r>
              <w:rPr>
                <w:color w:val="231F20"/>
                <w:sz w:val="14"/>
              </w:rPr>
              <w:t>процесу) који</w:t>
            </w:r>
            <w:r>
              <w:rPr>
                <w:color w:val="231F20"/>
                <w:spacing w:val="-18"/>
                <w:sz w:val="14"/>
              </w:rPr>
              <w:t xml:space="preserve"> </w:t>
            </w:r>
            <w:r>
              <w:rPr>
                <w:color w:val="231F20"/>
                <w:sz w:val="14"/>
              </w:rPr>
              <w:t>су писани обичним</w:t>
            </w:r>
            <w:r>
              <w:rPr>
                <w:color w:val="231F20"/>
                <w:spacing w:val="-1"/>
                <w:sz w:val="14"/>
              </w:rPr>
              <w:t xml:space="preserve"> </w:t>
            </w:r>
            <w:r>
              <w:rPr>
                <w:color w:val="231F20"/>
                <w:sz w:val="14"/>
              </w:rPr>
              <w:t>језиком;</w:t>
            </w:r>
          </w:p>
          <w:p w:rsidR="00041039" w:rsidRDefault="001B26CB">
            <w:pPr>
              <w:pStyle w:val="TableParagraph"/>
              <w:numPr>
                <w:ilvl w:val="0"/>
                <w:numId w:val="1394"/>
              </w:numPr>
              <w:tabs>
                <w:tab w:val="left" w:pos="157"/>
              </w:tabs>
              <w:spacing w:line="152" w:lineRule="exact"/>
              <w:rPr>
                <w:sz w:val="14"/>
              </w:rPr>
            </w:pPr>
            <w:r>
              <w:rPr>
                <w:color w:val="231F20"/>
                <w:sz w:val="14"/>
              </w:rPr>
              <w:t>разуме опис догађаја и</w:t>
            </w:r>
            <w:r>
              <w:rPr>
                <w:color w:val="231F20"/>
                <w:spacing w:val="-2"/>
                <w:sz w:val="14"/>
              </w:rPr>
              <w:t xml:space="preserve"> </w:t>
            </w:r>
            <w:r>
              <w:rPr>
                <w:color w:val="231F20"/>
                <w:sz w:val="14"/>
              </w:rPr>
              <w:t>осећања;</w:t>
            </w:r>
          </w:p>
          <w:p w:rsidR="00041039" w:rsidRDefault="001B26CB">
            <w:pPr>
              <w:pStyle w:val="TableParagraph"/>
              <w:numPr>
                <w:ilvl w:val="0"/>
                <w:numId w:val="1394"/>
              </w:numPr>
              <w:tabs>
                <w:tab w:val="left" w:pos="157"/>
              </w:tabs>
              <w:spacing w:line="237" w:lineRule="auto"/>
              <w:ind w:right="99"/>
              <w:rPr>
                <w:sz w:val="14"/>
              </w:rPr>
            </w:pPr>
            <w:r>
              <w:rPr>
                <w:color w:val="231F20"/>
                <w:sz w:val="14"/>
              </w:rPr>
              <w:t>разуме основни садржај као и важније детаље у извештајима, брошурама и</w:t>
            </w:r>
            <w:r>
              <w:rPr>
                <w:color w:val="231F20"/>
                <w:spacing w:val="-2"/>
                <w:sz w:val="14"/>
              </w:rPr>
              <w:t xml:space="preserve"> </w:t>
            </w:r>
            <w:r>
              <w:rPr>
                <w:color w:val="231F20"/>
                <w:sz w:val="14"/>
              </w:rPr>
              <w:t>сл.;</w:t>
            </w:r>
          </w:p>
        </w:tc>
        <w:tc>
          <w:tcPr>
            <w:tcW w:w="3288" w:type="dxa"/>
            <w:vMerge w:val="restart"/>
          </w:tcPr>
          <w:p w:rsidR="00041039" w:rsidRDefault="00041039">
            <w:pPr>
              <w:pStyle w:val="TableParagraph"/>
              <w:ind w:left="0"/>
              <w:rPr>
                <w:sz w:val="14"/>
              </w:rPr>
            </w:pPr>
          </w:p>
        </w:tc>
        <w:tc>
          <w:tcPr>
            <w:tcW w:w="2834" w:type="dxa"/>
            <w:vMerge/>
            <w:tcBorders>
              <w:top w:val="nil"/>
            </w:tcBorders>
          </w:tcPr>
          <w:p w:rsidR="00041039" w:rsidRDefault="00041039">
            <w:pPr>
              <w:rPr>
                <w:sz w:val="2"/>
                <w:szCs w:val="2"/>
              </w:rPr>
            </w:pPr>
          </w:p>
        </w:tc>
      </w:tr>
      <w:tr w:rsidR="00041039">
        <w:trPr>
          <w:trHeight w:val="1170"/>
        </w:trPr>
        <w:tc>
          <w:tcPr>
            <w:tcW w:w="1304" w:type="dxa"/>
            <w:tcBorders>
              <w:top w:val="nil"/>
            </w:tcBorders>
          </w:tcPr>
          <w:p w:rsidR="00041039" w:rsidRDefault="001B26CB">
            <w:pPr>
              <w:pStyle w:val="TableParagraph"/>
              <w:numPr>
                <w:ilvl w:val="0"/>
                <w:numId w:val="1393"/>
              </w:numPr>
              <w:tabs>
                <w:tab w:val="left" w:pos="157"/>
              </w:tabs>
              <w:spacing w:before="69"/>
              <w:ind w:right="131"/>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ГОВОР</w:t>
            </w:r>
          </w:p>
          <w:p w:rsidR="00041039" w:rsidRDefault="00041039">
            <w:pPr>
              <w:pStyle w:val="TableParagraph"/>
              <w:spacing w:before="11"/>
              <w:ind w:left="0"/>
              <w:rPr>
                <w:b/>
                <w:sz w:val="12"/>
              </w:rPr>
            </w:pPr>
          </w:p>
          <w:p w:rsidR="00041039" w:rsidRDefault="001B26CB">
            <w:pPr>
              <w:pStyle w:val="TableParagraph"/>
              <w:numPr>
                <w:ilvl w:val="0"/>
                <w:numId w:val="1392"/>
              </w:numPr>
              <w:tabs>
                <w:tab w:val="left" w:pos="157"/>
              </w:tabs>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tcPr>
          <w:p w:rsidR="00041039" w:rsidRDefault="001B26CB">
            <w:pPr>
              <w:pStyle w:val="TableParagraph"/>
              <w:numPr>
                <w:ilvl w:val="0"/>
                <w:numId w:val="1391"/>
              </w:numPr>
              <w:tabs>
                <w:tab w:val="left" w:pos="157"/>
              </w:tabs>
              <w:spacing w:before="8"/>
              <w:ind w:right="126"/>
              <w:rPr>
                <w:sz w:val="14"/>
              </w:rPr>
            </w:pPr>
            <w:r>
              <w:rPr>
                <w:color w:val="231F20"/>
                <w:sz w:val="14"/>
              </w:rPr>
              <w:t>једноставним средствима опише статус и</w:t>
            </w:r>
            <w:r>
              <w:rPr>
                <w:color w:val="231F20"/>
                <w:spacing w:val="-7"/>
                <w:sz w:val="14"/>
              </w:rPr>
              <w:t xml:space="preserve"> </w:t>
            </w:r>
            <w:r>
              <w:rPr>
                <w:color w:val="231F20"/>
                <w:sz w:val="14"/>
              </w:rPr>
              <w:t xml:space="preserve">обра­ зовање, </w:t>
            </w:r>
            <w:r>
              <w:rPr>
                <w:color w:val="231F20"/>
                <w:spacing w:val="-3"/>
                <w:sz w:val="14"/>
              </w:rPr>
              <w:t>будуће</w:t>
            </w:r>
            <w:r>
              <w:rPr>
                <w:color w:val="231F20"/>
                <w:spacing w:val="-1"/>
                <w:sz w:val="14"/>
              </w:rPr>
              <w:t xml:space="preserve"> </w:t>
            </w:r>
            <w:r>
              <w:rPr>
                <w:color w:val="231F20"/>
                <w:sz w:val="14"/>
              </w:rPr>
              <w:t>запослење;</w:t>
            </w:r>
          </w:p>
          <w:p w:rsidR="00041039" w:rsidRDefault="001B26CB">
            <w:pPr>
              <w:pStyle w:val="TableParagraph"/>
              <w:numPr>
                <w:ilvl w:val="0"/>
                <w:numId w:val="1391"/>
              </w:numPr>
              <w:tabs>
                <w:tab w:val="left" w:pos="157"/>
              </w:tabs>
              <w:spacing w:line="160" w:lineRule="exact"/>
              <w:ind w:right="52"/>
              <w:rPr>
                <w:sz w:val="14"/>
              </w:rPr>
            </w:pPr>
            <w:r>
              <w:rPr>
                <w:color w:val="231F20"/>
                <w:sz w:val="14"/>
              </w:rPr>
              <w:t xml:space="preserve">опише делатност, </w:t>
            </w:r>
            <w:r>
              <w:rPr>
                <w:color w:val="231F20"/>
                <w:spacing w:val="-3"/>
                <w:sz w:val="14"/>
              </w:rPr>
              <w:t xml:space="preserve">фирму, </w:t>
            </w:r>
            <w:r>
              <w:rPr>
                <w:color w:val="231F20"/>
                <w:sz w:val="14"/>
              </w:rPr>
              <w:t>процес рада или пак преприча</w:t>
            </w:r>
            <w:r>
              <w:rPr>
                <w:color w:val="231F20"/>
                <w:spacing w:val="-7"/>
                <w:sz w:val="14"/>
              </w:rPr>
              <w:t xml:space="preserve"> </w:t>
            </w:r>
            <w:r>
              <w:rPr>
                <w:color w:val="231F20"/>
                <w:sz w:val="14"/>
              </w:rPr>
              <w:t>телефонски</w:t>
            </w:r>
            <w:r>
              <w:rPr>
                <w:color w:val="231F20"/>
                <w:spacing w:val="-6"/>
                <w:sz w:val="14"/>
              </w:rPr>
              <w:t xml:space="preserve"> </w:t>
            </w:r>
            <w:r>
              <w:rPr>
                <w:color w:val="231F20"/>
                <w:sz w:val="14"/>
              </w:rPr>
              <w:t>разговор</w:t>
            </w:r>
            <w:r>
              <w:rPr>
                <w:color w:val="231F20"/>
                <w:spacing w:val="-6"/>
                <w:sz w:val="14"/>
              </w:rPr>
              <w:t xml:space="preserve"> </w:t>
            </w:r>
            <w:r>
              <w:rPr>
                <w:color w:val="231F20"/>
                <w:sz w:val="14"/>
              </w:rPr>
              <w:t>или</w:t>
            </w:r>
            <w:r>
              <w:rPr>
                <w:color w:val="231F20"/>
                <w:spacing w:val="-7"/>
                <w:sz w:val="14"/>
              </w:rPr>
              <w:t xml:space="preserve"> </w:t>
            </w:r>
            <w:r>
              <w:rPr>
                <w:color w:val="231F20"/>
                <w:sz w:val="14"/>
              </w:rPr>
              <w:t>одлуке</w:t>
            </w:r>
            <w:r>
              <w:rPr>
                <w:color w:val="231F20"/>
                <w:spacing w:val="-6"/>
                <w:sz w:val="14"/>
              </w:rPr>
              <w:t xml:space="preserve"> </w:t>
            </w:r>
            <w:r>
              <w:rPr>
                <w:color w:val="231F20"/>
                <w:sz w:val="14"/>
              </w:rPr>
              <w:t>неког договора у оквиру познате</w:t>
            </w:r>
            <w:r>
              <w:rPr>
                <w:color w:val="231F20"/>
                <w:spacing w:val="-4"/>
                <w:sz w:val="14"/>
              </w:rPr>
              <w:t xml:space="preserve"> </w:t>
            </w:r>
            <w:r>
              <w:rPr>
                <w:color w:val="231F20"/>
                <w:sz w:val="14"/>
              </w:rPr>
              <w:t>лексике;</w:t>
            </w:r>
          </w:p>
          <w:p w:rsidR="00041039" w:rsidRDefault="001B26CB">
            <w:pPr>
              <w:pStyle w:val="TableParagraph"/>
              <w:numPr>
                <w:ilvl w:val="0"/>
                <w:numId w:val="1391"/>
              </w:numPr>
              <w:tabs>
                <w:tab w:val="left" w:pos="157"/>
              </w:tabs>
              <w:spacing w:line="160" w:lineRule="exact"/>
              <w:ind w:right="648"/>
              <w:rPr>
                <w:sz w:val="14"/>
              </w:rPr>
            </w:pPr>
            <w:r>
              <w:rPr>
                <w:color w:val="231F20"/>
                <w:sz w:val="14"/>
              </w:rPr>
              <w:t>образложи краће своје намере,</w:t>
            </w:r>
            <w:r>
              <w:rPr>
                <w:color w:val="231F20"/>
                <w:spacing w:val="-20"/>
                <w:sz w:val="14"/>
              </w:rPr>
              <w:t xml:space="preserve"> </w:t>
            </w:r>
            <w:r>
              <w:rPr>
                <w:color w:val="231F20"/>
                <w:sz w:val="14"/>
              </w:rPr>
              <w:t>одлуке, поступке;</w:t>
            </w:r>
          </w:p>
        </w:tc>
        <w:tc>
          <w:tcPr>
            <w:tcW w:w="3288"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numPr>
                <w:ilvl w:val="0"/>
                <w:numId w:val="1390"/>
              </w:numPr>
              <w:tabs>
                <w:tab w:val="left" w:pos="162"/>
              </w:tabs>
              <w:spacing w:before="18" w:line="161"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1390"/>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numPr>
                <w:ilvl w:val="0"/>
                <w:numId w:val="1390"/>
              </w:numPr>
              <w:tabs>
                <w:tab w:val="left" w:pos="162"/>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1390"/>
              </w:numPr>
              <w:tabs>
                <w:tab w:val="left" w:pos="162"/>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ПИСАЊЕ</w:t>
            </w:r>
          </w:p>
        </w:tc>
        <w:tc>
          <w:tcPr>
            <w:tcW w:w="3118" w:type="dxa"/>
            <w:vMerge w:val="restart"/>
          </w:tcPr>
          <w:p w:rsidR="00041039" w:rsidRDefault="001B26CB">
            <w:pPr>
              <w:pStyle w:val="TableParagraph"/>
              <w:numPr>
                <w:ilvl w:val="0"/>
                <w:numId w:val="1389"/>
              </w:numPr>
              <w:tabs>
                <w:tab w:val="left" w:pos="157"/>
              </w:tabs>
              <w:spacing w:before="8"/>
              <w:ind w:right="415"/>
              <w:rPr>
                <w:sz w:val="14"/>
              </w:rPr>
            </w:pPr>
            <w:r>
              <w:rPr>
                <w:color w:val="231F20"/>
                <w:sz w:val="14"/>
              </w:rPr>
              <w:t>попуњава</w:t>
            </w:r>
            <w:r>
              <w:rPr>
                <w:color w:val="231F20"/>
                <w:spacing w:val="-7"/>
                <w:sz w:val="14"/>
              </w:rPr>
              <w:t xml:space="preserve"> </w:t>
            </w:r>
            <w:r>
              <w:rPr>
                <w:color w:val="231F20"/>
                <w:sz w:val="14"/>
              </w:rPr>
              <w:t>рачуне,</w:t>
            </w:r>
            <w:r>
              <w:rPr>
                <w:color w:val="231F20"/>
                <w:spacing w:val="-7"/>
                <w:sz w:val="14"/>
              </w:rPr>
              <w:t xml:space="preserve"> </w:t>
            </w:r>
            <w:r>
              <w:rPr>
                <w:color w:val="231F20"/>
                <w:sz w:val="14"/>
              </w:rPr>
              <w:t>признанице</w:t>
            </w:r>
            <w:r>
              <w:rPr>
                <w:color w:val="231F20"/>
                <w:spacing w:val="-7"/>
                <w:sz w:val="14"/>
              </w:rPr>
              <w:t xml:space="preserve"> </w:t>
            </w:r>
            <w:r>
              <w:rPr>
                <w:color w:val="231F20"/>
                <w:sz w:val="14"/>
              </w:rPr>
              <w:t>и</w:t>
            </w:r>
            <w:r>
              <w:rPr>
                <w:color w:val="231F20"/>
                <w:spacing w:val="-7"/>
                <w:sz w:val="14"/>
              </w:rPr>
              <w:t xml:space="preserve"> </w:t>
            </w:r>
            <w:r>
              <w:rPr>
                <w:color w:val="231F20"/>
                <w:sz w:val="14"/>
              </w:rPr>
              <w:t>хартије</w:t>
            </w:r>
            <w:r>
              <w:rPr>
                <w:color w:val="231F20"/>
                <w:spacing w:val="-7"/>
                <w:sz w:val="14"/>
              </w:rPr>
              <w:t xml:space="preserve"> </w:t>
            </w:r>
            <w:r>
              <w:rPr>
                <w:color w:val="231F20"/>
                <w:spacing w:val="-3"/>
                <w:sz w:val="14"/>
              </w:rPr>
              <w:t xml:space="preserve">од </w:t>
            </w:r>
            <w:r>
              <w:rPr>
                <w:color w:val="231F20"/>
                <w:sz w:val="14"/>
              </w:rPr>
              <w:t>вредности;</w:t>
            </w:r>
          </w:p>
          <w:p w:rsidR="00041039" w:rsidRDefault="001B26CB">
            <w:pPr>
              <w:pStyle w:val="TableParagraph"/>
              <w:numPr>
                <w:ilvl w:val="0"/>
                <w:numId w:val="1389"/>
              </w:numPr>
              <w:tabs>
                <w:tab w:val="left" w:pos="157"/>
              </w:tabs>
              <w:spacing w:line="158" w:lineRule="exact"/>
              <w:rPr>
                <w:sz w:val="14"/>
              </w:rPr>
            </w:pPr>
            <w:r>
              <w:rPr>
                <w:color w:val="231F20"/>
                <w:sz w:val="14"/>
              </w:rPr>
              <w:t>напише једноставно пословно писмо</w:t>
            </w:r>
            <w:r>
              <w:rPr>
                <w:color w:val="231F20"/>
                <w:spacing w:val="-5"/>
                <w:sz w:val="14"/>
              </w:rPr>
              <w:t xml:space="preserve"> </w:t>
            </w:r>
            <w:r>
              <w:rPr>
                <w:color w:val="231F20"/>
                <w:sz w:val="14"/>
              </w:rPr>
              <w:t>према</w:t>
            </w:r>
          </w:p>
          <w:p w:rsidR="00041039" w:rsidRDefault="001B26CB">
            <w:pPr>
              <w:pStyle w:val="TableParagraph"/>
              <w:spacing w:line="155" w:lineRule="exact"/>
              <w:rPr>
                <w:sz w:val="14"/>
              </w:rPr>
            </w:pPr>
            <w:r>
              <w:rPr>
                <w:color w:val="231F20"/>
                <w:sz w:val="14"/>
              </w:rPr>
              <w:t>одређеном моделу;</w:t>
            </w:r>
          </w:p>
          <w:p w:rsidR="00041039" w:rsidRDefault="001B26CB">
            <w:pPr>
              <w:pStyle w:val="TableParagraph"/>
              <w:numPr>
                <w:ilvl w:val="0"/>
                <w:numId w:val="1389"/>
              </w:numPr>
              <w:tabs>
                <w:tab w:val="left" w:pos="157"/>
              </w:tabs>
              <w:spacing w:line="166" w:lineRule="exact"/>
              <w:rPr>
                <w:sz w:val="14"/>
              </w:rPr>
            </w:pPr>
            <w:r>
              <w:rPr>
                <w:color w:val="231F20"/>
                <w:sz w:val="14"/>
              </w:rPr>
              <w:t>опише и појасни садржај схема и</w:t>
            </w:r>
            <w:r>
              <w:rPr>
                <w:color w:val="231F20"/>
                <w:spacing w:val="-13"/>
                <w:sz w:val="14"/>
              </w:rPr>
              <w:t xml:space="preserve"> </w:t>
            </w:r>
            <w:r>
              <w:rPr>
                <w:color w:val="231F20"/>
                <w:sz w:val="14"/>
              </w:rPr>
              <w:t>графикона;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901"/>
        </w:trPr>
        <w:tc>
          <w:tcPr>
            <w:tcW w:w="1304" w:type="dxa"/>
            <w:tcBorders>
              <w:top w:val="nil"/>
            </w:tcBorders>
          </w:tcPr>
          <w:p w:rsidR="00041039" w:rsidRDefault="001B26CB">
            <w:pPr>
              <w:pStyle w:val="TableParagraph"/>
              <w:numPr>
                <w:ilvl w:val="0"/>
                <w:numId w:val="1388"/>
              </w:numPr>
              <w:tabs>
                <w:tab w:val="left" w:pos="157"/>
              </w:tabs>
              <w:spacing w:before="69"/>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numPr>
                <w:ilvl w:val="0"/>
                <w:numId w:val="1387"/>
              </w:numPr>
              <w:tabs>
                <w:tab w:val="left" w:pos="157"/>
              </w:tabs>
              <w:spacing w:before="8"/>
              <w:ind w:right="372"/>
              <w:rPr>
                <w:sz w:val="14"/>
              </w:rPr>
            </w:pPr>
            <w:r>
              <w:rPr>
                <w:color w:val="231F20"/>
                <w:sz w:val="14"/>
              </w:rPr>
              <w:t>поведе, настави и заврши неки једноставан разговор, под условом да је лице у лице са саговорником;</w:t>
            </w:r>
          </w:p>
          <w:p w:rsidR="00041039" w:rsidRDefault="001B26CB">
            <w:pPr>
              <w:pStyle w:val="TableParagraph"/>
              <w:numPr>
                <w:ilvl w:val="0"/>
                <w:numId w:val="1387"/>
              </w:numPr>
              <w:tabs>
                <w:tab w:val="left" w:pos="157"/>
              </w:tabs>
              <w:spacing w:line="157" w:lineRule="exact"/>
              <w:rPr>
                <w:sz w:val="14"/>
              </w:rPr>
            </w:pPr>
            <w:r>
              <w:rPr>
                <w:color w:val="231F20"/>
                <w:spacing w:val="-4"/>
                <w:sz w:val="14"/>
              </w:rPr>
              <w:t xml:space="preserve">буде </w:t>
            </w:r>
            <w:r>
              <w:rPr>
                <w:color w:val="231F20"/>
                <w:sz w:val="14"/>
              </w:rPr>
              <w:t>схваћен у размени идеја и информација</w:t>
            </w:r>
            <w:r>
              <w:rPr>
                <w:color w:val="231F20"/>
                <w:spacing w:val="-8"/>
                <w:sz w:val="14"/>
              </w:rPr>
              <w:t xml:space="preserve"> </w:t>
            </w:r>
            <w:r>
              <w:rPr>
                <w:color w:val="231F20"/>
                <w:sz w:val="14"/>
              </w:rPr>
              <w:t>о</w:t>
            </w:r>
          </w:p>
          <w:p w:rsidR="00041039" w:rsidRDefault="001B26CB">
            <w:pPr>
              <w:pStyle w:val="TableParagraph"/>
              <w:ind w:right="14"/>
              <w:rPr>
                <w:sz w:val="14"/>
              </w:rPr>
            </w:pPr>
            <w:r>
              <w:rPr>
                <w:color w:val="231F20"/>
                <w:sz w:val="14"/>
              </w:rPr>
              <w:t>блиским темама у предвидљивим, свакодневним ситуацијама;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1386"/>
              </w:numPr>
              <w:tabs>
                <w:tab w:val="left" w:pos="157"/>
              </w:tabs>
              <w:spacing w:before="69"/>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tcBorders>
              <w:bottom w:val="nil"/>
            </w:tcBorders>
          </w:tcPr>
          <w:p w:rsidR="00041039" w:rsidRDefault="001B26CB">
            <w:pPr>
              <w:pStyle w:val="TableParagraph"/>
              <w:numPr>
                <w:ilvl w:val="0"/>
                <w:numId w:val="1385"/>
              </w:numPr>
              <w:tabs>
                <w:tab w:val="left" w:pos="157"/>
              </w:tabs>
              <w:spacing w:before="8"/>
              <w:rPr>
                <w:sz w:val="14"/>
              </w:rPr>
            </w:pPr>
            <w:r>
              <w:rPr>
                <w:color w:val="231F20"/>
                <w:sz w:val="14"/>
              </w:rPr>
              <w:t>сажима садржај текста, филма, разговара и</w:t>
            </w:r>
            <w:r>
              <w:rPr>
                <w:color w:val="231F20"/>
                <w:spacing w:val="-7"/>
                <w:sz w:val="14"/>
              </w:rPr>
              <w:t xml:space="preserve"> </w:t>
            </w:r>
            <w:r>
              <w:rPr>
                <w:color w:val="231F20"/>
                <w:sz w:val="14"/>
              </w:rPr>
              <w:t>сл.;</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1384"/>
              </w:numPr>
              <w:tabs>
                <w:tab w:val="left" w:pos="157"/>
              </w:tabs>
              <w:spacing w:before="69"/>
              <w:ind w:right="134"/>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408"/>
        </w:trPr>
        <w:tc>
          <w:tcPr>
            <w:tcW w:w="1304" w:type="dxa"/>
            <w:tcBorders>
              <w:bottom w:val="nil"/>
            </w:tcBorders>
          </w:tcPr>
          <w:p w:rsidR="00041039" w:rsidRDefault="001B26CB">
            <w:pPr>
              <w:pStyle w:val="TableParagraph"/>
              <w:spacing w:before="18"/>
              <w:ind w:left="56" w:right="331"/>
              <w:rPr>
                <w:sz w:val="14"/>
              </w:rPr>
            </w:pPr>
            <w:r>
              <w:rPr>
                <w:color w:val="231F20"/>
                <w:sz w:val="14"/>
              </w:rPr>
              <w:t>МЕДИЈСКА ПИСМЕНОСТ</w:t>
            </w:r>
          </w:p>
        </w:tc>
        <w:tc>
          <w:tcPr>
            <w:tcW w:w="3118" w:type="dxa"/>
            <w:tcBorders>
              <w:bottom w:val="nil"/>
            </w:tcBorders>
          </w:tcPr>
          <w:p w:rsidR="00041039" w:rsidRDefault="001B26CB">
            <w:pPr>
              <w:pStyle w:val="TableParagraph"/>
              <w:numPr>
                <w:ilvl w:val="0"/>
                <w:numId w:val="1383"/>
              </w:numPr>
              <w:tabs>
                <w:tab w:val="left" w:pos="157"/>
              </w:tabs>
              <w:spacing w:before="8"/>
              <w:rPr>
                <w:sz w:val="14"/>
              </w:rPr>
            </w:pPr>
            <w:r>
              <w:rPr>
                <w:color w:val="231F20"/>
                <w:sz w:val="14"/>
              </w:rPr>
              <w:t>идентификује различита гледишта о истој</w:t>
            </w:r>
            <w:r>
              <w:rPr>
                <w:color w:val="231F20"/>
                <w:spacing w:val="-15"/>
                <w:sz w:val="14"/>
              </w:rPr>
              <w:t xml:space="preserve"> </w:t>
            </w:r>
            <w:r>
              <w:rPr>
                <w:color w:val="231F20"/>
                <w:sz w:val="14"/>
              </w:rPr>
              <w:t>теми;</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1382"/>
              </w:numPr>
              <w:tabs>
                <w:tab w:val="left" w:pos="157"/>
              </w:tabs>
              <w:spacing w:before="69"/>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680"/>
        </w:trPr>
        <w:tc>
          <w:tcPr>
            <w:tcW w:w="1304" w:type="dxa"/>
          </w:tcPr>
          <w:p w:rsidR="00041039" w:rsidRDefault="001B26CB">
            <w:pPr>
              <w:pStyle w:val="TableParagraph"/>
              <w:spacing w:before="18"/>
              <w:ind w:left="56"/>
              <w:rPr>
                <w:sz w:val="14"/>
              </w:rPr>
            </w:pPr>
            <w:r>
              <w:rPr>
                <w:color w:val="231F20"/>
                <w:sz w:val="14"/>
              </w:rPr>
              <w:t>ЗНАЊА О ЈЕЗИКУ</w:t>
            </w:r>
          </w:p>
        </w:tc>
        <w:tc>
          <w:tcPr>
            <w:tcW w:w="3118" w:type="dxa"/>
          </w:tcPr>
          <w:p w:rsidR="00041039" w:rsidRDefault="001B26CB">
            <w:pPr>
              <w:pStyle w:val="TableParagraph"/>
              <w:numPr>
                <w:ilvl w:val="0"/>
                <w:numId w:val="1381"/>
              </w:numPr>
              <w:tabs>
                <w:tab w:val="left" w:pos="157"/>
              </w:tabs>
              <w:spacing w:before="8"/>
              <w:ind w:right="257"/>
              <w:rPr>
                <w:sz w:val="14"/>
              </w:rPr>
            </w:pPr>
            <w:r>
              <w:rPr>
                <w:color w:val="231F20"/>
                <w:sz w:val="14"/>
              </w:rPr>
              <w:t>коректно употребљава једноставне структу­ ре користећи зависне реченице (уз одређене системске</w:t>
            </w:r>
            <w:r>
              <w:rPr>
                <w:color w:val="231F20"/>
                <w:spacing w:val="-8"/>
                <w:sz w:val="14"/>
              </w:rPr>
              <w:t xml:space="preserve"> </w:t>
            </w:r>
            <w:r>
              <w:rPr>
                <w:color w:val="231F20"/>
                <w:sz w:val="14"/>
              </w:rPr>
              <w:t>елементарне</w:t>
            </w:r>
            <w:r>
              <w:rPr>
                <w:color w:val="231F20"/>
                <w:spacing w:val="-8"/>
                <w:sz w:val="14"/>
              </w:rPr>
              <w:t xml:space="preserve"> </w:t>
            </w:r>
            <w:r>
              <w:rPr>
                <w:color w:val="231F20"/>
                <w:sz w:val="14"/>
              </w:rPr>
              <w:t>грешке</w:t>
            </w:r>
            <w:r>
              <w:rPr>
                <w:color w:val="231F20"/>
                <w:spacing w:val="-8"/>
                <w:sz w:val="14"/>
              </w:rPr>
              <w:t xml:space="preserve"> </w:t>
            </w:r>
            <w:r>
              <w:rPr>
                <w:color w:val="231F20"/>
                <w:sz w:val="14"/>
              </w:rPr>
              <w:t>које</w:t>
            </w:r>
            <w:r>
              <w:rPr>
                <w:color w:val="231F20"/>
                <w:spacing w:val="-8"/>
                <w:sz w:val="14"/>
              </w:rPr>
              <w:t xml:space="preserve"> </w:t>
            </w:r>
            <w:r>
              <w:rPr>
                <w:color w:val="231F20"/>
                <w:sz w:val="14"/>
              </w:rPr>
              <w:t>глобални смисао не доводе у</w:t>
            </w:r>
            <w:r>
              <w:rPr>
                <w:color w:val="231F20"/>
                <w:spacing w:val="-2"/>
                <w:sz w:val="14"/>
              </w:rPr>
              <w:t xml:space="preserve"> </w:t>
            </w:r>
            <w:r>
              <w:rPr>
                <w:color w:val="231F20"/>
                <w:sz w:val="14"/>
              </w:rPr>
              <w:t>питање);</w:t>
            </w:r>
          </w:p>
        </w:tc>
        <w:tc>
          <w:tcPr>
            <w:tcW w:w="3288"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9"/>
        <w:rPr>
          <w:b/>
          <w:sz w:val="16"/>
        </w:rPr>
      </w:pPr>
    </w:p>
    <w:p w:rsidR="00041039" w:rsidRDefault="001B26CB">
      <w:pPr>
        <w:pStyle w:val="ListParagraph"/>
        <w:numPr>
          <w:ilvl w:val="0"/>
          <w:numId w:val="1380"/>
        </w:numPr>
        <w:tabs>
          <w:tab w:val="left" w:pos="613"/>
        </w:tabs>
        <w:spacing w:line="203" w:lineRule="exact"/>
        <w:ind w:hanging="115"/>
        <w:rPr>
          <w:b/>
          <w:sz w:val="18"/>
        </w:rPr>
      </w:pPr>
      <w:r>
        <w:rPr>
          <w:b/>
          <w:color w:val="231F20"/>
          <w:sz w:val="18"/>
        </w:rPr>
        <w:t>РЕЧЕНИЦА</w:t>
      </w:r>
    </w:p>
    <w:p w:rsidR="00041039" w:rsidRDefault="001B26CB">
      <w:pPr>
        <w:pStyle w:val="Heading2"/>
        <w:numPr>
          <w:ilvl w:val="0"/>
          <w:numId w:val="1400"/>
        </w:numPr>
        <w:tabs>
          <w:tab w:val="left" w:pos="633"/>
        </w:tabs>
        <w:ind w:firstLine="0"/>
      </w:pPr>
      <w:r>
        <w:rPr>
          <w:color w:val="231F20"/>
        </w:rPr>
        <w:t>Сви типови упитних</w:t>
      </w:r>
      <w:r>
        <w:rPr>
          <w:color w:val="231F20"/>
          <w:spacing w:val="-1"/>
        </w:rPr>
        <w:t xml:space="preserve"> </w:t>
      </w:r>
      <w:r>
        <w:rPr>
          <w:color w:val="231F20"/>
        </w:rPr>
        <w:t>реченица;</w:t>
      </w:r>
    </w:p>
    <w:p w:rsidR="00041039" w:rsidRDefault="001B26CB">
      <w:pPr>
        <w:pStyle w:val="ListParagraph"/>
        <w:numPr>
          <w:ilvl w:val="0"/>
          <w:numId w:val="1400"/>
        </w:numPr>
        <w:tabs>
          <w:tab w:val="left" w:pos="633"/>
        </w:tabs>
        <w:ind w:firstLine="0"/>
        <w:rPr>
          <w:sz w:val="18"/>
        </w:rPr>
      </w:pPr>
      <w:r>
        <w:rPr>
          <w:color w:val="231F20"/>
          <w:sz w:val="18"/>
        </w:rPr>
        <w:t>Директна и индиректна</w:t>
      </w:r>
      <w:r>
        <w:rPr>
          <w:color w:val="231F20"/>
          <w:spacing w:val="-2"/>
          <w:sz w:val="18"/>
        </w:rPr>
        <w:t xml:space="preserve"> </w:t>
      </w:r>
      <w:r>
        <w:rPr>
          <w:color w:val="231F20"/>
          <w:sz w:val="18"/>
        </w:rPr>
        <w:t>питања;</w:t>
      </w:r>
    </w:p>
    <w:p w:rsidR="00041039" w:rsidRDefault="001B26CB">
      <w:pPr>
        <w:pStyle w:val="ListParagraph"/>
        <w:numPr>
          <w:ilvl w:val="0"/>
          <w:numId w:val="1400"/>
        </w:numPr>
        <w:tabs>
          <w:tab w:val="left" w:pos="633"/>
        </w:tabs>
        <w:ind w:firstLine="0"/>
        <w:rPr>
          <w:sz w:val="18"/>
        </w:rPr>
      </w:pPr>
      <w:r>
        <w:rPr>
          <w:color w:val="231F20"/>
          <w:sz w:val="18"/>
        </w:rPr>
        <w:t>Одређене релативне</w:t>
      </w:r>
      <w:r>
        <w:rPr>
          <w:color w:val="231F20"/>
          <w:spacing w:val="-1"/>
          <w:sz w:val="18"/>
        </w:rPr>
        <w:t xml:space="preserve"> </w:t>
      </w:r>
      <w:r>
        <w:rPr>
          <w:color w:val="231F20"/>
          <w:sz w:val="18"/>
        </w:rPr>
        <w:t>клаузе;</w:t>
      </w:r>
    </w:p>
    <w:p w:rsidR="00041039" w:rsidRDefault="001B26CB">
      <w:pPr>
        <w:pStyle w:val="ListParagraph"/>
        <w:numPr>
          <w:ilvl w:val="0"/>
          <w:numId w:val="1400"/>
        </w:numPr>
        <w:tabs>
          <w:tab w:val="left" w:pos="633"/>
        </w:tabs>
        <w:spacing w:line="203" w:lineRule="exact"/>
        <w:ind w:firstLine="0"/>
        <w:rPr>
          <w:sz w:val="18"/>
        </w:rPr>
      </w:pPr>
      <w:r>
        <w:rPr>
          <w:color w:val="231F20"/>
          <w:sz w:val="18"/>
        </w:rPr>
        <w:t>Сложене реченице: временске клаузе, узрочне клаузе, допусне</w:t>
      </w:r>
      <w:r>
        <w:rPr>
          <w:color w:val="231F20"/>
          <w:spacing w:val="-4"/>
          <w:sz w:val="18"/>
        </w:rPr>
        <w:t xml:space="preserve"> </w:t>
      </w:r>
      <w:r>
        <w:rPr>
          <w:color w:val="231F20"/>
          <w:sz w:val="18"/>
        </w:rPr>
        <w:t>клаузе.</w:t>
      </w:r>
    </w:p>
    <w:p w:rsidR="00041039" w:rsidRDefault="00041039">
      <w:pPr>
        <w:pStyle w:val="BodyText"/>
        <w:spacing w:before="9"/>
        <w:rPr>
          <w:sz w:val="16"/>
        </w:rPr>
      </w:pPr>
    </w:p>
    <w:p w:rsidR="00041039" w:rsidRDefault="001B26CB">
      <w:pPr>
        <w:pStyle w:val="ListParagraph"/>
        <w:numPr>
          <w:ilvl w:val="0"/>
          <w:numId w:val="1380"/>
        </w:numPr>
        <w:tabs>
          <w:tab w:val="left" w:pos="683"/>
        </w:tabs>
        <w:spacing w:line="203" w:lineRule="exact"/>
        <w:ind w:left="682" w:hanging="185"/>
        <w:rPr>
          <w:b/>
          <w:sz w:val="18"/>
        </w:rPr>
      </w:pPr>
      <w:r>
        <w:rPr>
          <w:b/>
          <w:color w:val="231F20"/>
          <w:sz w:val="18"/>
        </w:rPr>
        <w:t>ИМЕНИЧКА</w:t>
      </w:r>
      <w:r>
        <w:rPr>
          <w:b/>
          <w:color w:val="231F20"/>
          <w:spacing w:val="-2"/>
          <w:sz w:val="18"/>
        </w:rPr>
        <w:t xml:space="preserve"> </w:t>
      </w:r>
      <w:r>
        <w:rPr>
          <w:b/>
          <w:color w:val="231F20"/>
          <w:sz w:val="18"/>
        </w:rPr>
        <w:t>ГРУПА</w:t>
      </w:r>
    </w:p>
    <w:p w:rsidR="00041039" w:rsidRDefault="001B26CB">
      <w:pPr>
        <w:pStyle w:val="ListParagraph"/>
        <w:numPr>
          <w:ilvl w:val="0"/>
          <w:numId w:val="1379"/>
        </w:numPr>
        <w:tabs>
          <w:tab w:val="left" w:pos="678"/>
        </w:tabs>
        <w:ind w:firstLine="0"/>
        <w:rPr>
          <w:sz w:val="18"/>
        </w:rPr>
      </w:pPr>
      <w:r>
        <w:rPr>
          <w:color w:val="231F20"/>
          <w:sz w:val="18"/>
        </w:rPr>
        <w:t>Члан</w:t>
      </w:r>
    </w:p>
    <w:p w:rsidR="00041039" w:rsidRDefault="001B26CB">
      <w:pPr>
        <w:pStyle w:val="ListParagraph"/>
        <w:numPr>
          <w:ilvl w:val="0"/>
          <w:numId w:val="1400"/>
        </w:numPr>
        <w:tabs>
          <w:tab w:val="left" w:pos="633"/>
        </w:tabs>
        <w:ind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numPr>
          <w:ilvl w:val="0"/>
          <w:numId w:val="1379"/>
        </w:numPr>
        <w:tabs>
          <w:tab w:val="left" w:pos="678"/>
        </w:tabs>
        <w:ind w:firstLine="0"/>
        <w:rPr>
          <w:sz w:val="18"/>
        </w:rPr>
      </w:pPr>
      <w:r>
        <w:rPr>
          <w:color w:val="231F20"/>
          <w:sz w:val="18"/>
        </w:rPr>
        <w:t>Именице</w:t>
      </w:r>
    </w:p>
    <w:p w:rsidR="00041039" w:rsidRDefault="001B26CB">
      <w:pPr>
        <w:pStyle w:val="ListParagraph"/>
        <w:numPr>
          <w:ilvl w:val="0"/>
          <w:numId w:val="1400"/>
        </w:numPr>
        <w:tabs>
          <w:tab w:val="left" w:pos="633"/>
        </w:tabs>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1379"/>
        </w:numPr>
        <w:tabs>
          <w:tab w:val="left" w:pos="678"/>
        </w:tabs>
        <w:spacing w:before="1" w:line="232" w:lineRule="auto"/>
        <w:ind w:right="8674" w:firstLine="0"/>
        <w:rPr>
          <w:sz w:val="18"/>
        </w:rPr>
      </w:pPr>
      <w:r>
        <w:rPr>
          <w:color w:val="231F20"/>
          <w:sz w:val="18"/>
        </w:rPr>
        <w:t>Заменички облици а) Заменице</w:t>
      </w:r>
    </w:p>
    <w:p w:rsidR="00041039" w:rsidRDefault="001B26CB">
      <w:pPr>
        <w:pStyle w:val="ListParagraph"/>
        <w:numPr>
          <w:ilvl w:val="0"/>
          <w:numId w:val="1400"/>
        </w:numPr>
        <w:tabs>
          <w:tab w:val="left" w:pos="633"/>
        </w:tabs>
        <w:spacing w:line="197"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1400"/>
        </w:numPr>
        <w:tabs>
          <w:tab w:val="left" w:pos="633"/>
        </w:tabs>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1400"/>
        </w:numPr>
        <w:tabs>
          <w:tab w:val="left" w:pos="633"/>
        </w:tabs>
        <w:spacing w:before="2" w:line="232"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1400"/>
        </w:numPr>
        <w:tabs>
          <w:tab w:val="left" w:pos="633"/>
        </w:tabs>
        <w:spacing w:line="197"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1400"/>
        </w:numPr>
        <w:tabs>
          <w:tab w:val="left" w:pos="633"/>
        </w:tabs>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numPr>
          <w:ilvl w:val="0"/>
          <w:numId w:val="1400"/>
        </w:numPr>
        <w:tabs>
          <w:tab w:val="left" w:pos="633"/>
        </w:tabs>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1379"/>
        </w:numPr>
        <w:tabs>
          <w:tab w:val="left" w:pos="678"/>
        </w:tabs>
        <w:ind w:firstLine="0"/>
        <w:rPr>
          <w:sz w:val="18"/>
        </w:rPr>
      </w:pPr>
      <w:r>
        <w:rPr>
          <w:color w:val="231F20"/>
          <w:sz w:val="18"/>
        </w:rPr>
        <w:t>Придеви</w:t>
      </w:r>
    </w:p>
    <w:p w:rsidR="00041039" w:rsidRDefault="001B26CB">
      <w:pPr>
        <w:pStyle w:val="ListParagraph"/>
        <w:numPr>
          <w:ilvl w:val="0"/>
          <w:numId w:val="1400"/>
        </w:numPr>
        <w:tabs>
          <w:tab w:val="left" w:pos="633"/>
        </w:tabs>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numPr>
          <w:ilvl w:val="0"/>
          <w:numId w:val="1379"/>
        </w:numPr>
        <w:tabs>
          <w:tab w:val="left" w:pos="678"/>
        </w:tabs>
        <w:ind w:firstLine="0"/>
        <w:rPr>
          <w:sz w:val="18"/>
        </w:rPr>
      </w:pPr>
      <w:r>
        <w:rPr>
          <w:color w:val="231F20"/>
          <w:sz w:val="18"/>
        </w:rPr>
        <w:t>Бројеви</w:t>
      </w:r>
    </w:p>
    <w:p w:rsidR="00041039" w:rsidRDefault="001B26CB">
      <w:pPr>
        <w:pStyle w:val="ListParagraph"/>
        <w:numPr>
          <w:ilvl w:val="0"/>
          <w:numId w:val="1378"/>
        </w:numPr>
        <w:tabs>
          <w:tab w:val="left" w:pos="633"/>
        </w:tabs>
        <w:ind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1379"/>
        </w:numPr>
        <w:tabs>
          <w:tab w:val="left" w:pos="678"/>
        </w:tabs>
        <w:spacing w:line="203" w:lineRule="exact"/>
        <w:ind w:firstLine="0"/>
        <w:rPr>
          <w:sz w:val="18"/>
        </w:rPr>
      </w:pPr>
      <w:r>
        <w:rPr>
          <w:color w:val="231F20"/>
          <w:sz w:val="18"/>
        </w:rPr>
        <w:t>Квантификатори</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ListParagraph"/>
        <w:numPr>
          <w:ilvl w:val="0"/>
          <w:numId w:val="1380"/>
        </w:numPr>
        <w:tabs>
          <w:tab w:val="left" w:pos="753"/>
        </w:tabs>
        <w:spacing w:before="80" w:line="203" w:lineRule="exact"/>
        <w:ind w:left="752" w:hanging="255"/>
        <w:rPr>
          <w:b/>
          <w:sz w:val="18"/>
        </w:rPr>
      </w:pPr>
      <w:r>
        <w:rPr>
          <w:b/>
          <w:color w:val="231F20"/>
          <w:spacing w:val="-6"/>
          <w:sz w:val="18"/>
        </w:rPr>
        <w:lastRenderedPageBreak/>
        <w:t>ГЛAГОЛСКА</w:t>
      </w:r>
      <w:r>
        <w:rPr>
          <w:b/>
          <w:color w:val="231F20"/>
          <w:spacing w:val="-1"/>
          <w:sz w:val="18"/>
        </w:rPr>
        <w:t xml:space="preserve"> </w:t>
      </w:r>
      <w:r>
        <w:rPr>
          <w:b/>
          <w:color w:val="231F20"/>
          <w:sz w:val="18"/>
        </w:rPr>
        <w:t>ГРУПА</w:t>
      </w:r>
    </w:p>
    <w:p w:rsidR="00041039" w:rsidRDefault="001B26CB">
      <w:pPr>
        <w:pStyle w:val="ListParagraph"/>
        <w:numPr>
          <w:ilvl w:val="0"/>
          <w:numId w:val="1377"/>
        </w:numPr>
        <w:tabs>
          <w:tab w:val="left" w:pos="678"/>
        </w:tabs>
        <w:rPr>
          <w:sz w:val="18"/>
        </w:rPr>
      </w:pPr>
      <w:r>
        <w:rPr>
          <w:color w:val="231F20"/>
          <w:spacing w:val="-4"/>
          <w:sz w:val="18"/>
        </w:rPr>
        <w:t>Глаголи</w:t>
      </w:r>
    </w:p>
    <w:p w:rsidR="00041039" w:rsidRDefault="001B26CB">
      <w:pPr>
        <w:pStyle w:val="ListParagraph"/>
        <w:numPr>
          <w:ilvl w:val="0"/>
          <w:numId w:val="1378"/>
        </w:numPr>
        <w:tabs>
          <w:tab w:val="left" w:pos="633"/>
        </w:tabs>
        <w:ind w:left="632"/>
        <w:rPr>
          <w:sz w:val="18"/>
        </w:rPr>
      </w:pPr>
      <w:r>
        <w:rPr>
          <w:color w:val="231F20"/>
          <w:sz w:val="18"/>
        </w:rPr>
        <w:t>Обновити разлику у употреби Present Simple, Present Continuous, Past Simple, Past</w:t>
      </w:r>
      <w:r>
        <w:rPr>
          <w:color w:val="231F20"/>
          <w:spacing w:val="-13"/>
          <w:sz w:val="18"/>
        </w:rPr>
        <w:t xml:space="preserve"> </w:t>
      </w:r>
      <w:r>
        <w:rPr>
          <w:color w:val="231F20"/>
          <w:sz w:val="18"/>
        </w:rPr>
        <w:t>Continuous;</w:t>
      </w:r>
    </w:p>
    <w:p w:rsidR="00041039" w:rsidRDefault="001B26CB">
      <w:pPr>
        <w:pStyle w:val="ListParagraph"/>
        <w:numPr>
          <w:ilvl w:val="0"/>
          <w:numId w:val="1378"/>
        </w:numPr>
        <w:tabs>
          <w:tab w:val="left" w:pos="633"/>
        </w:tabs>
        <w:ind w:left="632"/>
        <w:rPr>
          <w:sz w:val="18"/>
        </w:rPr>
      </w:pPr>
      <w:r>
        <w:rPr>
          <w:color w:val="231F20"/>
          <w:sz w:val="18"/>
        </w:rPr>
        <w:t>Обновити све употребе Present</w:t>
      </w:r>
      <w:r>
        <w:rPr>
          <w:color w:val="231F20"/>
          <w:spacing w:val="-3"/>
          <w:sz w:val="18"/>
        </w:rPr>
        <w:t xml:space="preserve"> </w:t>
      </w:r>
      <w:r>
        <w:rPr>
          <w:color w:val="231F20"/>
          <w:sz w:val="18"/>
        </w:rPr>
        <w:t>Perfect;</w:t>
      </w:r>
    </w:p>
    <w:p w:rsidR="00041039" w:rsidRDefault="001B26CB">
      <w:pPr>
        <w:pStyle w:val="ListParagraph"/>
        <w:numPr>
          <w:ilvl w:val="0"/>
          <w:numId w:val="1378"/>
        </w:numPr>
        <w:tabs>
          <w:tab w:val="left" w:pos="633"/>
        </w:tabs>
        <w:ind w:left="632"/>
        <w:rPr>
          <w:sz w:val="18"/>
        </w:rPr>
      </w:pPr>
      <w:r>
        <w:rPr>
          <w:color w:val="231F20"/>
          <w:sz w:val="18"/>
        </w:rPr>
        <w:t>Used</w:t>
      </w:r>
      <w:r>
        <w:rPr>
          <w:color w:val="231F20"/>
          <w:spacing w:val="-2"/>
          <w:sz w:val="18"/>
        </w:rPr>
        <w:t xml:space="preserve"> </w:t>
      </w:r>
      <w:r>
        <w:rPr>
          <w:color w:val="231F20"/>
          <w:sz w:val="18"/>
        </w:rPr>
        <w:t>to;</w:t>
      </w:r>
    </w:p>
    <w:p w:rsidR="00041039" w:rsidRDefault="001B26CB">
      <w:pPr>
        <w:pStyle w:val="ListParagraph"/>
        <w:numPr>
          <w:ilvl w:val="0"/>
          <w:numId w:val="1378"/>
        </w:numPr>
        <w:tabs>
          <w:tab w:val="left" w:pos="633"/>
        </w:tabs>
        <w:ind w:left="632"/>
        <w:rPr>
          <w:sz w:val="18"/>
        </w:rPr>
      </w:pPr>
      <w:r>
        <w:rPr>
          <w:color w:val="231F20"/>
          <w:sz w:val="18"/>
        </w:rPr>
        <w:t>Начини изражавања будућности, планова у будућности (going to,</w:t>
      </w:r>
      <w:r>
        <w:rPr>
          <w:color w:val="231F20"/>
          <w:spacing w:val="-5"/>
          <w:sz w:val="18"/>
        </w:rPr>
        <w:t xml:space="preserve"> </w:t>
      </w:r>
      <w:r>
        <w:rPr>
          <w:color w:val="231F20"/>
          <w:sz w:val="18"/>
        </w:rPr>
        <w:t>will);</w:t>
      </w:r>
    </w:p>
    <w:p w:rsidR="00041039" w:rsidRDefault="001B26CB">
      <w:pPr>
        <w:pStyle w:val="ListParagraph"/>
        <w:numPr>
          <w:ilvl w:val="0"/>
          <w:numId w:val="1378"/>
        </w:numPr>
        <w:tabs>
          <w:tab w:val="left" w:pos="633"/>
        </w:tabs>
        <w:ind w:left="632"/>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numPr>
          <w:ilvl w:val="0"/>
          <w:numId w:val="1378"/>
        </w:numPr>
        <w:tabs>
          <w:tab w:val="left" w:pos="633"/>
        </w:tabs>
        <w:ind w:left="632"/>
        <w:rPr>
          <w:sz w:val="18"/>
        </w:rPr>
      </w:pPr>
      <w:r>
        <w:rPr>
          <w:color w:val="231F20"/>
          <w:sz w:val="18"/>
        </w:rPr>
        <w:t xml:space="preserve">Прилози, извођење прилога и употреба, прилози вероватноће са </w:t>
      </w:r>
      <w:r>
        <w:rPr>
          <w:color w:val="231F20"/>
          <w:spacing w:val="-3"/>
          <w:sz w:val="18"/>
        </w:rPr>
        <w:t xml:space="preserve">may, </w:t>
      </w:r>
      <w:r>
        <w:rPr>
          <w:color w:val="231F20"/>
          <w:sz w:val="18"/>
        </w:rPr>
        <w:t>might и</w:t>
      </w:r>
      <w:r>
        <w:rPr>
          <w:color w:val="231F20"/>
          <w:spacing w:val="-7"/>
          <w:sz w:val="18"/>
        </w:rPr>
        <w:t xml:space="preserve"> </w:t>
      </w:r>
      <w:r>
        <w:rPr>
          <w:color w:val="231F20"/>
          <w:sz w:val="18"/>
        </w:rPr>
        <w:t>will;</w:t>
      </w:r>
    </w:p>
    <w:p w:rsidR="00041039" w:rsidRDefault="001B26CB">
      <w:pPr>
        <w:pStyle w:val="ListParagraph"/>
        <w:numPr>
          <w:ilvl w:val="0"/>
          <w:numId w:val="1378"/>
        </w:numPr>
        <w:tabs>
          <w:tab w:val="left" w:pos="633"/>
        </w:tabs>
        <w:ind w:left="632"/>
        <w:rPr>
          <w:sz w:val="18"/>
        </w:rPr>
      </w:pPr>
      <w:r>
        <w:rPr>
          <w:color w:val="231F20"/>
          <w:sz w:val="18"/>
        </w:rPr>
        <w:t>Пасивне конструкције ­ садашње и прошло време ­ the Presen</w:t>
      </w:r>
      <w:r>
        <w:rPr>
          <w:color w:val="231F20"/>
          <w:sz w:val="18"/>
        </w:rPr>
        <w:t>t Simple, Past Simple (продуктивно и</w:t>
      </w:r>
      <w:r>
        <w:rPr>
          <w:color w:val="231F20"/>
          <w:spacing w:val="-24"/>
          <w:sz w:val="18"/>
        </w:rPr>
        <w:t xml:space="preserve"> </w:t>
      </w:r>
      <w:r>
        <w:rPr>
          <w:color w:val="231F20"/>
          <w:sz w:val="18"/>
        </w:rPr>
        <w:t>рецептивно);</w:t>
      </w:r>
    </w:p>
    <w:p w:rsidR="00041039" w:rsidRDefault="001B26CB">
      <w:pPr>
        <w:pStyle w:val="ListParagraph"/>
        <w:numPr>
          <w:ilvl w:val="0"/>
          <w:numId w:val="1378"/>
        </w:numPr>
        <w:tabs>
          <w:tab w:val="left" w:pos="633"/>
        </w:tabs>
        <w:ind w:left="632"/>
        <w:rPr>
          <w:sz w:val="18"/>
        </w:rPr>
      </w:pPr>
      <w:r>
        <w:rPr>
          <w:color w:val="231F20"/>
          <w:sz w:val="18"/>
        </w:rPr>
        <w:t>Present Perfect Passive</w:t>
      </w:r>
      <w:r>
        <w:rPr>
          <w:color w:val="231F20"/>
          <w:spacing w:val="-4"/>
          <w:sz w:val="18"/>
        </w:rPr>
        <w:t xml:space="preserve"> </w:t>
      </w:r>
      <w:r>
        <w:rPr>
          <w:color w:val="231F20"/>
          <w:sz w:val="18"/>
        </w:rPr>
        <w:t>(рецептивно).</w:t>
      </w:r>
    </w:p>
    <w:p w:rsidR="00041039" w:rsidRDefault="001B26CB">
      <w:pPr>
        <w:pStyle w:val="ListParagraph"/>
        <w:numPr>
          <w:ilvl w:val="0"/>
          <w:numId w:val="1377"/>
        </w:numPr>
        <w:tabs>
          <w:tab w:val="left" w:pos="678"/>
        </w:tabs>
        <w:rPr>
          <w:sz w:val="18"/>
        </w:rPr>
      </w:pPr>
      <w:r>
        <w:rPr>
          <w:color w:val="231F20"/>
          <w:sz w:val="18"/>
        </w:rPr>
        <w:t>Предлози и најчешћи прилози за оријентацију у времену и</w:t>
      </w:r>
      <w:r>
        <w:rPr>
          <w:color w:val="231F20"/>
          <w:spacing w:val="-8"/>
          <w:sz w:val="18"/>
        </w:rPr>
        <w:t xml:space="preserve"> </w:t>
      </w:r>
      <w:r>
        <w:rPr>
          <w:color w:val="231F20"/>
          <w:spacing w:val="-3"/>
          <w:sz w:val="18"/>
        </w:rPr>
        <w:t>простору.</w:t>
      </w:r>
    </w:p>
    <w:p w:rsidR="00041039" w:rsidRDefault="001B26CB">
      <w:pPr>
        <w:pStyle w:val="ListParagraph"/>
        <w:numPr>
          <w:ilvl w:val="0"/>
          <w:numId w:val="1377"/>
        </w:numPr>
        <w:tabs>
          <w:tab w:val="left" w:pos="678"/>
        </w:tabs>
        <w:spacing w:line="203" w:lineRule="exact"/>
        <w:rPr>
          <w:sz w:val="18"/>
        </w:rPr>
      </w:pPr>
      <w:r>
        <w:rPr>
          <w:color w:val="231F20"/>
          <w:sz w:val="18"/>
        </w:rPr>
        <w:t>Први кондиционал и други кондиционал (рецептивно и</w:t>
      </w:r>
      <w:r>
        <w:rPr>
          <w:color w:val="231F20"/>
          <w:spacing w:val="-9"/>
          <w:sz w:val="18"/>
        </w:rPr>
        <w:t xml:space="preserve"> </w:t>
      </w:r>
      <w:r>
        <w:rPr>
          <w:color w:val="231F20"/>
          <w:sz w:val="18"/>
        </w:rPr>
        <w:t>продуктивно).</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tcPr>
          <w:p w:rsidR="00041039" w:rsidRDefault="001B26CB">
            <w:pPr>
              <w:pStyle w:val="TableParagraph"/>
              <w:spacing w:before="16"/>
              <w:ind w:left="56"/>
              <w:rPr>
                <w:b/>
                <w:sz w:val="14"/>
              </w:rPr>
            </w:pPr>
            <w:r>
              <w:rPr>
                <w:b/>
                <w:color w:val="231F20"/>
                <w:sz w:val="14"/>
              </w:rPr>
              <w:t>ЦИЉ</w:t>
            </w:r>
          </w:p>
        </w:tc>
        <w:tc>
          <w:tcPr>
            <w:tcW w:w="3118" w:type="dxa"/>
          </w:tcPr>
          <w:p w:rsidR="00041039" w:rsidRDefault="001B26CB">
            <w:pPr>
              <w:pStyle w:val="TableParagraph"/>
              <w:spacing w:before="16" w:line="161" w:lineRule="exact"/>
              <w:ind w:left="56"/>
              <w:rPr>
                <w:b/>
                <w:sz w:val="14"/>
              </w:rPr>
            </w:pPr>
            <w:r>
              <w:rPr>
                <w:b/>
                <w:color w:val="231F20"/>
                <w:sz w:val="14"/>
              </w:rPr>
              <w:t>ИСХОДИ</w:t>
            </w:r>
          </w:p>
          <w:p w:rsidR="00041039" w:rsidRDefault="001B26CB">
            <w:pPr>
              <w:pStyle w:val="TableParagraph"/>
              <w:spacing w:line="161" w:lineRule="exact"/>
              <w:ind w:left="56"/>
              <w:rPr>
                <w:b/>
                <w:sz w:val="14"/>
              </w:rPr>
            </w:pPr>
            <w:r>
              <w:rPr>
                <w:color w:val="231F20"/>
                <w:sz w:val="14"/>
              </w:rPr>
              <w:t>По завршетку теме ученик ће бити у стању да:</w:t>
            </w:r>
            <w:r>
              <w:rPr>
                <w:b/>
                <w:color w:val="231F20"/>
                <w:sz w:val="14"/>
              </w:rPr>
              <w:t>:</w:t>
            </w:r>
          </w:p>
        </w:tc>
        <w:tc>
          <w:tcPr>
            <w:tcW w:w="3288" w:type="dxa"/>
          </w:tcPr>
          <w:p w:rsidR="00041039" w:rsidRDefault="001B26CB">
            <w:pPr>
              <w:pStyle w:val="TableParagraph"/>
              <w:spacing w:before="16"/>
              <w:ind w:left="56"/>
              <w:rPr>
                <w:b/>
                <w:sz w:val="14"/>
              </w:rPr>
            </w:pPr>
            <w:r>
              <w:rPr>
                <w:b/>
                <w:color w:val="231F20"/>
                <w:sz w:val="14"/>
              </w:rPr>
              <w:t>ПРЕПОРУЧЕНЕ ОПШТЕ ТЕМЕ</w:t>
            </w:r>
          </w:p>
        </w:tc>
        <w:tc>
          <w:tcPr>
            <w:tcW w:w="2834" w:type="dxa"/>
          </w:tcPr>
          <w:p w:rsidR="00041039" w:rsidRDefault="001B26CB">
            <w:pPr>
              <w:pStyle w:val="TableParagraph"/>
              <w:spacing w:before="16"/>
              <w:ind w:left="57"/>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1376"/>
              </w:numPr>
              <w:tabs>
                <w:tab w:val="left" w:pos="157"/>
              </w:tabs>
              <w:spacing w:before="8"/>
              <w:ind w:right="140"/>
              <w:rPr>
                <w:sz w:val="14"/>
              </w:rPr>
            </w:pPr>
            <w:r>
              <w:rPr>
                <w:color w:val="231F20"/>
                <w:sz w:val="14"/>
              </w:rPr>
              <w:t>разуме суштину битних информација са</w:t>
            </w:r>
            <w:r>
              <w:rPr>
                <w:color w:val="231F20"/>
                <w:spacing w:val="-13"/>
                <w:sz w:val="14"/>
              </w:rPr>
              <w:t xml:space="preserve"> </w:t>
            </w:r>
            <w:r>
              <w:rPr>
                <w:color w:val="231F20"/>
                <w:sz w:val="14"/>
              </w:rPr>
              <w:t xml:space="preserve">радија или телевизије, презентација или дискусија о актуелним збивањима или о стварима које се њега тичу на приватном и прoфесионалном </w:t>
            </w:r>
            <w:r>
              <w:rPr>
                <w:color w:val="231F20"/>
                <w:spacing w:val="-4"/>
                <w:sz w:val="14"/>
              </w:rPr>
              <w:t xml:space="preserve">плану, </w:t>
            </w:r>
            <w:r>
              <w:rPr>
                <w:color w:val="231F20"/>
                <w:spacing w:val="-3"/>
                <w:sz w:val="14"/>
              </w:rPr>
              <w:t xml:space="preserve">уколико </w:t>
            </w:r>
            <w:r>
              <w:rPr>
                <w:color w:val="231F20"/>
                <w:sz w:val="14"/>
              </w:rPr>
              <w:t>се говори разговетно стандар­ дним</w:t>
            </w:r>
            <w:r>
              <w:rPr>
                <w:color w:val="231F20"/>
                <w:spacing w:val="-1"/>
                <w:sz w:val="14"/>
              </w:rPr>
              <w:t xml:space="preserve"> </w:t>
            </w:r>
            <w:r>
              <w:rPr>
                <w:color w:val="231F20"/>
                <w:sz w:val="14"/>
              </w:rPr>
              <w:t>језиком;</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1375"/>
              </w:numPr>
              <w:tabs>
                <w:tab w:val="left" w:pos="157"/>
              </w:tabs>
              <w:spacing w:line="237" w:lineRule="auto"/>
              <w:ind w:right="171"/>
              <w:rPr>
                <w:sz w:val="14"/>
              </w:rPr>
            </w:pPr>
            <w:r>
              <w:rPr>
                <w:color w:val="231F20"/>
                <w:sz w:val="14"/>
              </w:rPr>
              <w:t xml:space="preserve">Свакодневни живот (планови за </w:t>
            </w:r>
            <w:r>
              <w:rPr>
                <w:color w:val="231F20"/>
                <w:spacing w:val="-3"/>
                <w:sz w:val="14"/>
              </w:rPr>
              <w:t xml:space="preserve">будућност, </w:t>
            </w:r>
            <w:r>
              <w:rPr>
                <w:color w:val="231F20"/>
                <w:sz w:val="14"/>
              </w:rPr>
              <w:t>посао и</w:t>
            </w:r>
            <w:r>
              <w:rPr>
                <w:color w:val="231F20"/>
                <w:spacing w:val="-2"/>
                <w:sz w:val="14"/>
              </w:rPr>
              <w:t xml:space="preserve"> </w:t>
            </w:r>
            <w:r>
              <w:rPr>
                <w:color w:val="231F20"/>
                <w:sz w:val="14"/>
              </w:rPr>
              <w:t>ка</w:t>
            </w:r>
            <w:r>
              <w:rPr>
                <w:color w:val="231F20"/>
                <w:sz w:val="14"/>
              </w:rPr>
              <w:t>ријера).</w:t>
            </w:r>
          </w:p>
          <w:p w:rsidR="00041039" w:rsidRDefault="001B26CB">
            <w:pPr>
              <w:pStyle w:val="TableParagraph"/>
              <w:numPr>
                <w:ilvl w:val="0"/>
                <w:numId w:val="1375"/>
              </w:numPr>
              <w:tabs>
                <w:tab w:val="left" w:pos="157"/>
              </w:tabs>
              <w:spacing w:line="160" w:lineRule="exact"/>
              <w:ind w:right="226"/>
              <w:rPr>
                <w:sz w:val="14"/>
              </w:rPr>
            </w:pPr>
            <w:r>
              <w:rPr>
                <w:color w:val="231F20"/>
                <w:sz w:val="14"/>
              </w:rPr>
              <w:t xml:space="preserve">Образовање (могућност образовања у иностран­ </w:t>
            </w:r>
            <w:r>
              <w:rPr>
                <w:color w:val="231F20"/>
                <w:spacing w:val="-4"/>
                <w:sz w:val="14"/>
              </w:rPr>
              <w:t xml:space="preserve">ству, </w:t>
            </w:r>
            <w:r>
              <w:rPr>
                <w:color w:val="231F20"/>
                <w:sz w:val="14"/>
              </w:rPr>
              <w:t>размена ученика, усавршавање у струци).</w:t>
            </w:r>
          </w:p>
          <w:p w:rsidR="00041039" w:rsidRDefault="001B26CB">
            <w:pPr>
              <w:pStyle w:val="TableParagraph"/>
              <w:numPr>
                <w:ilvl w:val="0"/>
                <w:numId w:val="1375"/>
              </w:numPr>
              <w:tabs>
                <w:tab w:val="left" w:pos="157"/>
              </w:tabs>
              <w:spacing w:line="160" w:lineRule="exact"/>
              <w:ind w:right="580"/>
              <w:rPr>
                <w:sz w:val="14"/>
              </w:rPr>
            </w:pPr>
            <w:r>
              <w:rPr>
                <w:color w:val="231F20"/>
                <w:sz w:val="14"/>
              </w:rPr>
              <w:t>Друштвено уређење и политички систем</w:t>
            </w:r>
            <w:r>
              <w:rPr>
                <w:color w:val="231F20"/>
                <w:spacing w:val="-14"/>
                <w:sz w:val="14"/>
              </w:rPr>
              <w:t xml:space="preserve"> </w:t>
            </w:r>
            <w:r>
              <w:rPr>
                <w:color w:val="231F20"/>
                <w:sz w:val="14"/>
              </w:rPr>
              <w:t>у земљама чији се језик</w:t>
            </w:r>
            <w:r>
              <w:rPr>
                <w:color w:val="231F20"/>
                <w:spacing w:val="-2"/>
                <w:sz w:val="14"/>
              </w:rPr>
              <w:t xml:space="preserve"> </w:t>
            </w:r>
            <w:r>
              <w:rPr>
                <w:color w:val="231F20"/>
                <w:sz w:val="14"/>
              </w:rPr>
              <w:t>учи.</w:t>
            </w:r>
          </w:p>
          <w:p w:rsidR="00041039" w:rsidRDefault="001B26CB">
            <w:pPr>
              <w:pStyle w:val="TableParagraph"/>
              <w:numPr>
                <w:ilvl w:val="0"/>
                <w:numId w:val="1375"/>
              </w:numPr>
              <w:tabs>
                <w:tab w:val="left" w:pos="157"/>
              </w:tabs>
              <w:spacing w:line="160" w:lineRule="exact"/>
              <w:ind w:right="87"/>
              <w:rPr>
                <w:sz w:val="14"/>
              </w:rPr>
            </w:pPr>
            <w:r>
              <w:rPr>
                <w:color w:val="231F20"/>
                <w:spacing w:val="-3"/>
                <w:sz w:val="14"/>
              </w:rPr>
              <w:t xml:space="preserve">Културни </w:t>
            </w:r>
            <w:r>
              <w:rPr>
                <w:color w:val="231F20"/>
                <w:sz w:val="14"/>
              </w:rPr>
              <w:t>живот (манифестације, сајмови и излож­ бе општег</w:t>
            </w:r>
            <w:r>
              <w:rPr>
                <w:color w:val="231F20"/>
                <w:spacing w:val="-1"/>
                <w:sz w:val="14"/>
              </w:rPr>
              <w:t xml:space="preserve"> </w:t>
            </w:r>
            <w:r>
              <w:rPr>
                <w:color w:val="231F20"/>
                <w:sz w:val="14"/>
              </w:rPr>
              <w:t>карактера).</w:t>
            </w:r>
          </w:p>
          <w:p w:rsidR="00041039" w:rsidRDefault="001B26CB">
            <w:pPr>
              <w:pStyle w:val="TableParagraph"/>
              <w:numPr>
                <w:ilvl w:val="0"/>
                <w:numId w:val="1375"/>
              </w:numPr>
              <w:tabs>
                <w:tab w:val="left" w:pos="157"/>
              </w:tabs>
              <w:spacing w:line="153" w:lineRule="exact"/>
              <w:rPr>
                <w:sz w:val="14"/>
              </w:rPr>
            </w:pPr>
            <w:r>
              <w:rPr>
                <w:color w:val="231F20"/>
                <w:sz w:val="14"/>
              </w:rPr>
              <w:t>Медији (утицај</w:t>
            </w:r>
            <w:r>
              <w:rPr>
                <w:color w:val="231F20"/>
                <w:spacing w:val="-1"/>
                <w:sz w:val="14"/>
              </w:rPr>
              <w:t xml:space="preserve"> </w:t>
            </w:r>
            <w:r>
              <w:rPr>
                <w:color w:val="231F20"/>
                <w:sz w:val="14"/>
              </w:rPr>
              <w:t>медија).</w:t>
            </w:r>
          </w:p>
          <w:p w:rsidR="00041039" w:rsidRDefault="001B26CB">
            <w:pPr>
              <w:pStyle w:val="TableParagraph"/>
              <w:numPr>
                <w:ilvl w:val="0"/>
                <w:numId w:val="1375"/>
              </w:numPr>
              <w:tabs>
                <w:tab w:val="left" w:pos="157"/>
              </w:tabs>
              <w:spacing w:line="160" w:lineRule="exact"/>
              <w:rPr>
                <w:sz w:val="14"/>
              </w:rPr>
            </w:pPr>
            <w:r>
              <w:rPr>
                <w:color w:val="231F20"/>
                <w:sz w:val="14"/>
              </w:rPr>
              <w:t>Историјске везе Србије и земаља чији се језик</w:t>
            </w:r>
            <w:r>
              <w:rPr>
                <w:color w:val="231F20"/>
                <w:spacing w:val="-13"/>
                <w:sz w:val="14"/>
              </w:rPr>
              <w:t xml:space="preserve"> </w:t>
            </w:r>
            <w:r>
              <w:rPr>
                <w:color w:val="231F20"/>
                <w:sz w:val="14"/>
              </w:rPr>
              <w:t>учи.</w:t>
            </w:r>
          </w:p>
          <w:p w:rsidR="00041039" w:rsidRDefault="001B26CB">
            <w:pPr>
              <w:pStyle w:val="TableParagraph"/>
              <w:numPr>
                <w:ilvl w:val="0"/>
                <w:numId w:val="1375"/>
              </w:numPr>
              <w:tabs>
                <w:tab w:val="left" w:pos="157"/>
              </w:tabs>
              <w:spacing w:line="237" w:lineRule="auto"/>
              <w:ind w:right="171"/>
              <w:rPr>
                <w:sz w:val="14"/>
              </w:rPr>
            </w:pPr>
            <w:r>
              <w:rPr>
                <w:color w:val="231F20"/>
                <w:sz w:val="14"/>
              </w:rPr>
              <w:t>Свет компјутера (оглашавање на различитим</w:t>
            </w:r>
            <w:r>
              <w:rPr>
                <w:color w:val="231F20"/>
                <w:spacing w:val="-25"/>
                <w:sz w:val="14"/>
              </w:rPr>
              <w:t xml:space="preserve"> </w:t>
            </w:r>
            <w:r>
              <w:rPr>
                <w:color w:val="231F20"/>
                <w:spacing w:val="-3"/>
                <w:sz w:val="14"/>
              </w:rPr>
              <w:t xml:space="preserve">гло­ </w:t>
            </w:r>
            <w:r>
              <w:rPr>
                <w:color w:val="231F20"/>
                <w:sz w:val="14"/>
              </w:rPr>
              <w:t>балним мрежама, виртуелни свет</w:t>
            </w:r>
            <w:r>
              <w:rPr>
                <w:color w:val="231F20"/>
                <w:spacing w:val="-21"/>
                <w:sz w:val="14"/>
              </w:rPr>
              <w:t xml:space="preserve"> </w:t>
            </w:r>
            <w:r>
              <w:rPr>
                <w:color w:val="231F20"/>
                <w:sz w:val="14"/>
              </w:rPr>
              <w:t>комуникације).</w:t>
            </w:r>
          </w:p>
        </w:tc>
        <w:tc>
          <w:tcPr>
            <w:tcW w:w="2834" w:type="dxa"/>
            <w:vMerge w:val="restart"/>
          </w:tcPr>
          <w:p w:rsidR="00041039" w:rsidRDefault="001B26CB">
            <w:pPr>
              <w:pStyle w:val="TableParagraph"/>
              <w:numPr>
                <w:ilvl w:val="0"/>
                <w:numId w:val="1374"/>
              </w:numPr>
              <w:tabs>
                <w:tab w:val="left" w:pos="163"/>
              </w:tabs>
              <w:spacing w:before="18"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1374"/>
              </w:numPr>
              <w:tabs>
                <w:tab w:val="left" w:pos="163"/>
              </w:tabs>
              <w:ind w:right="282"/>
              <w:rPr>
                <w:sz w:val="14"/>
              </w:rPr>
            </w:pPr>
            <w:r>
              <w:rPr>
                <w:color w:val="231F20"/>
                <w:sz w:val="14"/>
              </w:rPr>
              <w:t>Поздрављање (састајање, растанак; формално, неформално, специфично</w:t>
            </w:r>
            <w:r>
              <w:rPr>
                <w:color w:val="231F20"/>
                <w:spacing w:val="-15"/>
                <w:sz w:val="14"/>
              </w:rPr>
              <w:t xml:space="preserve"> </w:t>
            </w:r>
            <w:r>
              <w:rPr>
                <w:color w:val="231F20"/>
                <w:sz w:val="14"/>
              </w:rPr>
              <w:t>по регионима).</w:t>
            </w:r>
          </w:p>
          <w:p w:rsidR="00041039" w:rsidRDefault="001B26CB">
            <w:pPr>
              <w:pStyle w:val="TableParagraph"/>
              <w:numPr>
                <w:ilvl w:val="0"/>
                <w:numId w:val="1374"/>
              </w:numPr>
              <w:tabs>
                <w:tab w:val="left" w:pos="163"/>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1374"/>
              </w:numPr>
              <w:tabs>
                <w:tab w:val="left" w:pos="163"/>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1374"/>
              </w:numPr>
              <w:tabs>
                <w:tab w:val="left" w:pos="163"/>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1374"/>
              </w:numPr>
              <w:tabs>
                <w:tab w:val="left" w:pos="163"/>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1374"/>
              </w:numPr>
              <w:tabs>
                <w:tab w:val="left" w:pos="163"/>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numPr>
                <w:ilvl w:val="0"/>
                <w:numId w:val="1374"/>
              </w:numPr>
              <w:tabs>
                <w:tab w:val="left" w:pos="163"/>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1374"/>
              </w:numPr>
              <w:tabs>
                <w:tab w:val="left" w:pos="163"/>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1374"/>
              </w:numPr>
              <w:tabs>
                <w:tab w:val="left" w:pos="163"/>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1374"/>
              </w:numPr>
              <w:tabs>
                <w:tab w:val="left" w:pos="163"/>
              </w:tabs>
              <w:ind w:right="627"/>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1374"/>
              </w:numPr>
              <w:tabs>
                <w:tab w:val="left" w:pos="163"/>
              </w:tabs>
              <w:ind w:right="272"/>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1374"/>
              </w:numPr>
              <w:tabs>
                <w:tab w:val="left" w:pos="163"/>
              </w:tabs>
              <w:spacing w:line="159" w:lineRule="exact"/>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1374"/>
              </w:numPr>
              <w:tabs>
                <w:tab w:val="left" w:pos="163"/>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1374"/>
              </w:numPr>
              <w:tabs>
                <w:tab w:val="left" w:pos="163"/>
              </w:tabs>
              <w:spacing w:line="160" w:lineRule="exact"/>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numPr>
                <w:ilvl w:val="0"/>
                <w:numId w:val="1374"/>
              </w:numPr>
              <w:tabs>
                <w:tab w:val="left" w:pos="163"/>
              </w:tabs>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numPr>
                <w:ilvl w:val="0"/>
                <w:numId w:val="1374"/>
              </w:numPr>
              <w:tabs>
                <w:tab w:val="left" w:pos="163"/>
              </w:tabs>
              <w:spacing w:line="159"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numPr>
                <w:ilvl w:val="0"/>
                <w:numId w:val="1374"/>
              </w:numPr>
              <w:tabs>
                <w:tab w:val="left" w:pos="163"/>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1374"/>
              </w:numPr>
              <w:tabs>
                <w:tab w:val="left" w:pos="163"/>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numPr>
                <w:ilvl w:val="0"/>
                <w:numId w:val="1374"/>
              </w:numPr>
              <w:tabs>
                <w:tab w:val="left" w:pos="163"/>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1374"/>
              </w:numPr>
              <w:tabs>
                <w:tab w:val="left" w:pos="163"/>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741"/>
        </w:trPr>
        <w:tc>
          <w:tcPr>
            <w:tcW w:w="1304" w:type="dxa"/>
            <w:tcBorders>
              <w:top w:val="nil"/>
            </w:tcBorders>
          </w:tcPr>
          <w:p w:rsidR="00041039" w:rsidRDefault="001B26CB">
            <w:pPr>
              <w:pStyle w:val="TableParagraph"/>
              <w:numPr>
                <w:ilvl w:val="0"/>
                <w:numId w:val="1373"/>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1372"/>
              </w:numPr>
              <w:tabs>
                <w:tab w:val="left" w:pos="157"/>
              </w:tabs>
              <w:spacing w:before="9"/>
              <w:ind w:right="135"/>
              <w:rPr>
                <w:sz w:val="14"/>
              </w:rPr>
            </w:pPr>
            <w:r>
              <w:rPr>
                <w:color w:val="231F20"/>
                <w:sz w:val="14"/>
              </w:rPr>
              <w:t>разуме смисао сложенијих текстова</w:t>
            </w:r>
            <w:r>
              <w:rPr>
                <w:color w:val="231F20"/>
                <w:spacing w:val="-23"/>
                <w:sz w:val="14"/>
              </w:rPr>
              <w:t xml:space="preserve"> </w:t>
            </w:r>
            <w:r>
              <w:rPr>
                <w:color w:val="231F20"/>
                <w:sz w:val="14"/>
              </w:rPr>
              <w:t>шематских приказа, упутстава,</w:t>
            </w:r>
            <w:r>
              <w:rPr>
                <w:color w:val="231F20"/>
                <w:spacing w:val="-1"/>
                <w:sz w:val="14"/>
              </w:rPr>
              <w:t xml:space="preserve"> </w:t>
            </w:r>
            <w:r>
              <w:rPr>
                <w:color w:val="231F20"/>
                <w:sz w:val="14"/>
              </w:rPr>
              <w:t>уговора</w:t>
            </w:r>
          </w:p>
          <w:p w:rsidR="00041039" w:rsidRDefault="001B26CB">
            <w:pPr>
              <w:pStyle w:val="TableParagraph"/>
              <w:numPr>
                <w:ilvl w:val="0"/>
                <w:numId w:val="1372"/>
              </w:numPr>
              <w:tabs>
                <w:tab w:val="left" w:pos="157"/>
              </w:tabs>
              <w:spacing w:line="160" w:lineRule="exact"/>
              <w:ind w:right="169"/>
              <w:rPr>
                <w:sz w:val="14"/>
              </w:rPr>
            </w:pPr>
            <w:r>
              <w:rPr>
                <w:color w:val="231F20"/>
                <w:sz w:val="14"/>
              </w:rPr>
              <w:t>разуме текстове у којима се износи лични</w:t>
            </w:r>
            <w:r>
              <w:rPr>
                <w:color w:val="231F20"/>
                <w:spacing w:val="-23"/>
                <w:sz w:val="14"/>
              </w:rPr>
              <w:t xml:space="preserve"> </w:t>
            </w:r>
            <w:r>
              <w:rPr>
                <w:color w:val="231F20"/>
                <w:sz w:val="14"/>
              </w:rPr>
              <w:t>став или посебно</w:t>
            </w:r>
            <w:r>
              <w:rPr>
                <w:color w:val="231F20"/>
                <w:spacing w:val="-2"/>
                <w:sz w:val="14"/>
              </w:rPr>
              <w:t xml:space="preserve"> </w:t>
            </w:r>
            <w:r>
              <w:rPr>
                <w:color w:val="231F20"/>
                <w:sz w:val="14"/>
              </w:rPr>
              <w:t>гледиште;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740"/>
        </w:trPr>
        <w:tc>
          <w:tcPr>
            <w:tcW w:w="1304" w:type="dxa"/>
            <w:tcBorders>
              <w:top w:val="nil"/>
            </w:tcBorders>
          </w:tcPr>
          <w:p w:rsidR="00041039" w:rsidRDefault="001B26CB">
            <w:pPr>
              <w:pStyle w:val="TableParagraph"/>
              <w:numPr>
                <w:ilvl w:val="0"/>
                <w:numId w:val="1371"/>
              </w:numPr>
              <w:tabs>
                <w:tab w:val="left" w:pos="157"/>
              </w:tabs>
              <w:spacing w:before="69"/>
              <w:ind w:right="131"/>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ГОВОР</w:t>
            </w:r>
          </w:p>
        </w:tc>
        <w:tc>
          <w:tcPr>
            <w:tcW w:w="3118" w:type="dxa"/>
            <w:vMerge w:val="restart"/>
          </w:tcPr>
          <w:p w:rsidR="00041039" w:rsidRDefault="001B26CB">
            <w:pPr>
              <w:pStyle w:val="TableParagraph"/>
              <w:numPr>
                <w:ilvl w:val="0"/>
                <w:numId w:val="1370"/>
              </w:numPr>
              <w:tabs>
                <w:tab w:val="left" w:pos="157"/>
              </w:tabs>
              <w:spacing w:before="9"/>
              <w:ind w:right="164"/>
              <w:rPr>
                <w:sz w:val="14"/>
              </w:rPr>
            </w:pPr>
            <w:r>
              <w:rPr>
                <w:color w:val="231F20"/>
                <w:sz w:val="14"/>
              </w:rPr>
              <w:t>представи припремљену презентацију која се односи</w:t>
            </w:r>
            <w:r>
              <w:rPr>
                <w:color w:val="231F20"/>
                <w:spacing w:val="-4"/>
                <w:sz w:val="14"/>
              </w:rPr>
              <w:t xml:space="preserve"> </w:t>
            </w:r>
            <w:r>
              <w:rPr>
                <w:color w:val="231F20"/>
                <w:sz w:val="14"/>
              </w:rPr>
              <w:t>на</w:t>
            </w:r>
            <w:r>
              <w:rPr>
                <w:color w:val="231F20"/>
                <w:spacing w:val="-5"/>
                <w:sz w:val="14"/>
              </w:rPr>
              <w:t xml:space="preserve"> </w:t>
            </w:r>
            <w:r>
              <w:rPr>
                <w:color w:val="231F20"/>
                <w:sz w:val="14"/>
              </w:rPr>
              <w:t>теме</w:t>
            </w:r>
            <w:r>
              <w:rPr>
                <w:color w:val="231F20"/>
                <w:spacing w:val="-4"/>
                <w:sz w:val="14"/>
              </w:rPr>
              <w:t xml:space="preserve"> </w:t>
            </w:r>
            <w:r>
              <w:rPr>
                <w:color w:val="231F20"/>
                <w:sz w:val="14"/>
              </w:rPr>
              <w:t>везане</w:t>
            </w:r>
            <w:r>
              <w:rPr>
                <w:color w:val="231F20"/>
                <w:spacing w:val="-5"/>
                <w:sz w:val="14"/>
              </w:rPr>
              <w:t xml:space="preserve"> </w:t>
            </w:r>
            <w:r>
              <w:rPr>
                <w:color w:val="231F20"/>
                <w:sz w:val="14"/>
              </w:rPr>
              <w:t>за</w:t>
            </w:r>
            <w:r>
              <w:rPr>
                <w:color w:val="231F20"/>
                <w:spacing w:val="-5"/>
                <w:sz w:val="14"/>
              </w:rPr>
              <w:t xml:space="preserve"> </w:t>
            </w:r>
            <w:r>
              <w:rPr>
                <w:color w:val="231F20"/>
                <w:sz w:val="14"/>
              </w:rPr>
              <w:t>области</w:t>
            </w:r>
            <w:r>
              <w:rPr>
                <w:color w:val="231F20"/>
                <w:spacing w:val="-5"/>
                <w:sz w:val="14"/>
              </w:rPr>
              <w:t xml:space="preserve"> </w:t>
            </w:r>
            <w:r>
              <w:rPr>
                <w:color w:val="231F20"/>
                <w:sz w:val="14"/>
              </w:rPr>
              <w:t>личног</w:t>
            </w:r>
            <w:r>
              <w:rPr>
                <w:color w:val="231F20"/>
                <w:spacing w:val="-5"/>
                <w:sz w:val="14"/>
              </w:rPr>
              <w:t xml:space="preserve"> </w:t>
            </w:r>
            <w:r>
              <w:rPr>
                <w:color w:val="231F20"/>
                <w:sz w:val="14"/>
              </w:rPr>
              <w:t xml:space="preserve">инте­ ресовања, </w:t>
            </w:r>
            <w:r>
              <w:rPr>
                <w:color w:val="231F20"/>
                <w:spacing w:val="-3"/>
                <w:sz w:val="14"/>
              </w:rPr>
              <w:t>школско</w:t>
            </w:r>
            <w:r>
              <w:rPr>
                <w:color w:val="231F20"/>
                <w:spacing w:val="-1"/>
                <w:sz w:val="14"/>
              </w:rPr>
              <w:t xml:space="preserve"> </w:t>
            </w:r>
            <w:r>
              <w:rPr>
                <w:color w:val="231F20"/>
                <w:sz w:val="14"/>
              </w:rPr>
              <w:t>градиво;</w:t>
            </w:r>
          </w:p>
          <w:p w:rsidR="00041039" w:rsidRDefault="001B26CB">
            <w:pPr>
              <w:pStyle w:val="TableParagraph"/>
              <w:numPr>
                <w:ilvl w:val="0"/>
                <w:numId w:val="1370"/>
              </w:numPr>
              <w:tabs>
                <w:tab w:val="left" w:pos="157"/>
              </w:tabs>
              <w:spacing w:line="157" w:lineRule="exact"/>
              <w:rPr>
                <w:sz w:val="14"/>
              </w:rPr>
            </w:pPr>
            <w:r>
              <w:rPr>
                <w:color w:val="231F20"/>
                <w:sz w:val="14"/>
              </w:rPr>
              <w:t>говори о утисцима, употребљавајући и</w:t>
            </w:r>
            <w:r>
              <w:rPr>
                <w:color w:val="231F20"/>
                <w:spacing w:val="-4"/>
                <w:sz w:val="14"/>
              </w:rPr>
              <w:t xml:space="preserve"> </w:t>
            </w:r>
            <w:r>
              <w:rPr>
                <w:color w:val="231F20"/>
                <w:spacing w:val="-3"/>
                <w:sz w:val="14"/>
              </w:rPr>
              <w:t>ком­</w:t>
            </w:r>
          </w:p>
          <w:p w:rsidR="00041039" w:rsidRDefault="001B26CB">
            <w:pPr>
              <w:pStyle w:val="TableParagraph"/>
              <w:spacing w:line="155" w:lineRule="exact"/>
              <w:rPr>
                <w:sz w:val="14"/>
              </w:rPr>
            </w:pPr>
            <w:r>
              <w:rPr>
                <w:color w:val="231F20"/>
                <w:sz w:val="14"/>
              </w:rPr>
              <w:t>плексније изразе;</w:t>
            </w:r>
          </w:p>
          <w:p w:rsidR="00041039" w:rsidRDefault="001B26CB">
            <w:pPr>
              <w:pStyle w:val="TableParagraph"/>
              <w:numPr>
                <w:ilvl w:val="0"/>
                <w:numId w:val="1370"/>
              </w:numPr>
              <w:tabs>
                <w:tab w:val="left" w:pos="157"/>
              </w:tabs>
              <w:spacing w:line="237" w:lineRule="auto"/>
              <w:ind w:right="126"/>
              <w:rPr>
                <w:sz w:val="14"/>
              </w:rPr>
            </w:pPr>
            <w:r>
              <w:rPr>
                <w:color w:val="231F20"/>
                <w:sz w:val="14"/>
              </w:rPr>
              <w:t>даје дужи опис свакодневних радњи из свог окружења, описује прошле активности, свако­ дневне обавезе, планове, радне задатке и</w:t>
            </w:r>
            <w:r>
              <w:rPr>
                <w:color w:val="231F20"/>
                <w:spacing w:val="-26"/>
                <w:sz w:val="14"/>
              </w:rPr>
              <w:t xml:space="preserve"> </w:t>
            </w:r>
            <w:r>
              <w:rPr>
                <w:color w:val="231F20"/>
                <w:sz w:val="14"/>
              </w:rPr>
              <w:t>начин организовања;</w:t>
            </w:r>
          </w:p>
          <w:p w:rsidR="00041039" w:rsidRDefault="001B26CB">
            <w:pPr>
              <w:pStyle w:val="TableParagraph"/>
              <w:numPr>
                <w:ilvl w:val="0"/>
                <w:numId w:val="1370"/>
              </w:numPr>
              <w:tabs>
                <w:tab w:val="left" w:pos="157"/>
              </w:tabs>
              <w:spacing w:line="237" w:lineRule="auto"/>
              <w:ind w:right="251"/>
              <w:rPr>
                <w:sz w:val="14"/>
              </w:rPr>
            </w:pPr>
            <w:r>
              <w:rPr>
                <w:color w:val="231F20"/>
                <w:sz w:val="14"/>
              </w:rPr>
              <w:t>даје релевантне податке са неке</w:t>
            </w:r>
            <w:r>
              <w:rPr>
                <w:color w:val="231F20"/>
                <w:spacing w:val="-23"/>
                <w:sz w:val="14"/>
              </w:rPr>
              <w:t xml:space="preserve"> </w:t>
            </w:r>
            <w:r>
              <w:rPr>
                <w:color w:val="231F20"/>
                <w:sz w:val="14"/>
              </w:rPr>
              <w:t>презентације или из</w:t>
            </w:r>
            <w:r>
              <w:rPr>
                <w:color w:val="231F20"/>
                <w:spacing w:val="-3"/>
                <w:sz w:val="14"/>
              </w:rPr>
              <w:t xml:space="preserve"> </w:t>
            </w:r>
            <w:r>
              <w:rPr>
                <w:color w:val="231F20"/>
                <w:sz w:val="14"/>
              </w:rPr>
              <w:t>дискусије;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540"/>
        </w:trPr>
        <w:tc>
          <w:tcPr>
            <w:tcW w:w="1304" w:type="dxa"/>
            <w:tcBorders>
              <w:top w:val="nil"/>
            </w:tcBorders>
          </w:tcPr>
          <w:p w:rsidR="00041039" w:rsidRDefault="001B26CB">
            <w:pPr>
              <w:pStyle w:val="TableParagraph"/>
              <w:numPr>
                <w:ilvl w:val="0"/>
                <w:numId w:val="1369"/>
              </w:numPr>
              <w:tabs>
                <w:tab w:val="left" w:pos="157"/>
              </w:tabs>
              <w:spacing w:before="69"/>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монолошко и</w:t>
            </w:r>
            <w:r>
              <w:rPr>
                <w:color w:val="231F20"/>
                <w:sz w:val="14"/>
              </w:rPr>
              <w:t xml:space="preserve">зла­ гање и за учешће у дијалогу на страном </w:t>
            </w:r>
            <w:r>
              <w:rPr>
                <w:color w:val="231F20"/>
                <w:spacing w:val="-3"/>
                <w:sz w:val="14"/>
              </w:rPr>
              <w:t>језику.</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19"/>
              <w:ind w:left="56"/>
              <w:rPr>
                <w:sz w:val="14"/>
              </w:rPr>
            </w:pPr>
            <w:r>
              <w:rPr>
                <w:color w:val="231F20"/>
                <w:sz w:val="14"/>
              </w:rPr>
              <w:t>ПИСАЊЕ</w:t>
            </w:r>
          </w:p>
        </w:tc>
        <w:tc>
          <w:tcPr>
            <w:tcW w:w="3118" w:type="dxa"/>
            <w:vMerge w:val="restart"/>
          </w:tcPr>
          <w:p w:rsidR="00041039" w:rsidRDefault="001B26CB">
            <w:pPr>
              <w:pStyle w:val="TableParagraph"/>
              <w:numPr>
                <w:ilvl w:val="0"/>
                <w:numId w:val="1368"/>
              </w:numPr>
              <w:tabs>
                <w:tab w:val="left" w:pos="157"/>
              </w:tabs>
              <w:spacing w:before="9"/>
              <w:ind w:right="133"/>
              <w:rPr>
                <w:sz w:val="14"/>
              </w:rPr>
            </w:pPr>
            <w:r>
              <w:rPr>
                <w:color w:val="231F20"/>
                <w:sz w:val="14"/>
              </w:rPr>
              <w:t>напише писмо или нешто дужи текст да би са­ општио информацију или указао на лични</w:t>
            </w:r>
            <w:r>
              <w:rPr>
                <w:color w:val="231F20"/>
                <w:spacing w:val="-19"/>
                <w:sz w:val="14"/>
              </w:rPr>
              <w:t xml:space="preserve"> </w:t>
            </w:r>
            <w:r>
              <w:rPr>
                <w:color w:val="231F20"/>
                <w:sz w:val="14"/>
              </w:rPr>
              <w:t>став или супротстављање</w:t>
            </w:r>
            <w:r>
              <w:rPr>
                <w:color w:val="231F20"/>
                <w:spacing w:val="-2"/>
                <w:sz w:val="14"/>
              </w:rPr>
              <w:t xml:space="preserve"> </w:t>
            </w:r>
            <w:r>
              <w:rPr>
                <w:color w:val="231F20"/>
                <w:sz w:val="14"/>
              </w:rPr>
              <w:t>мишљења;</w:t>
            </w:r>
          </w:p>
          <w:p w:rsidR="00041039" w:rsidRDefault="001B26CB">
            <w:pPr>
              <w:pStyle w:val="TableParagraph"/>
              <w:numPr>
                <w:ilvl w:val="0"/>
                <w:numId w:val="1368"/>
              </w:numPr>
              <w:tabs>
                <w:tab w:val="left" w:pos="157"/>
              </w:tabs>
              <w:spacing w:line="157" w:lineRule="exact"/>
              <w:rPr>
                <w:sz w:val="14"/>
              </w:rPr>
            </w:pPr>
            <w:r>
              <w:rPr>
                <w:color w:val="231F20"/>
                <w:sz w:val="14"/>
              </w:rPr>
              <w:t>напише извештај или протокол о догађају</w:t>
            </w:r>
            <w:r>
              <w:rPr>
                <w:color w:val="231F20"/>
                <w:spacing w:val="-17"/>
                <w:sz w:val="14"/>
              </w:rPr>
              <w:t xml:space="preserve"> </w:t>
            </w:r>
            <w:r>
              <w:rPr>
                <w:color w:val="231F20"/>
                <w:sz w:val="14"/>
              </w:rPr>
              <w:t>или</w:t>
            </w:r>
          </w:p>
          <w:p w:rsidR="00041039" w:rsidRDefault="001B26CB">
            <w:pPr>
              <w:pStyle w:val="TableParagraph"/>
              <w:spacing w:line="155" w:lineRule="exact"/>
              <w:rPr>
                <w:sz w:val="14"/>
              </w:rPr>
            </w:pPr>
            <w:r>
              <w:rPr>
                <w:color w:val="231F20"/>
                <w:sz w:val="14"/>
              </w:rPr>
              <w:t>са састанка;</w:t>
            </w:r>
          </w:p>
          <w:p w:rsidR="00041039" w:rsidRDefault="001B26CB">
            <w:pPr>
              <w:pStyle w:val="TableParagraph"/>
              <w:numPr>
                <w:ilvl w:val="0"/>
                <w:numId w:val="1368"/>
              </w:numPr>
              <w:tabs>
                <w:tab w:val="left" w:pos="157"/>
              </w:tabs>
              <w:spacing w:line="166" w:lineRule="exact"/>
              <w:rPr>
                <w:sz w:val="14"/>
              </w:rPr>
            </w:pPr>
            <w:r>
              <w:rPr>
                <w:color w:val="231F20"/>
                <w:sz w:val="14"/>
              </w:rPr>
              <w:t>писмено конкурише за неки</w:t>
            </w:r>
            <w:r>
              <w:rPr>
                <w:color w:val="231F20"/>
                <w:spacing w:val="-6"/>
                <w:sz w:val="14"/>
              </w:rPr>
              <w:t xml:space="preserve"> </w:t>
            </w:r>
            <w:r>
              <w:rPr>
                <w:color w:val="231F20"/>
                <w:sz w:val="14"/>
              </w:rPr>
              <w:t>посао;</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900"/>
        </w:trPr>
        <w:tc>
          <w:tcPr>
            <w:tcW w:w="1304" w:type="dxa"/>
            <w:tcBorders>
              <w:top w:val="nil"/>
            </w:tcBorders>
          </w:tcPr>
          <w:p w:rsidR="00041039" w:rsidRDefault="001B26CB">
            <w:pPr>
              <w:pStyle w:val="TableParagraph"/>
              <w:numPr>
                <w:ilvl w:val="0"/>
                <w:numId w:val="1367"/>
              </w:numPr>
              <w:tabs>
                <w:tab w:val="left" w:pos="157"/>
              </w:tabs>
              <w:spacing w:before="71" w:line="237" w:lineRule="auto"/>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20"/>
              <w:ind w:left="56"/>
              <w:rPr>
                <w:sz w:val="14"/>
              </w:rPr>
            </w:pPr>
            <w:r>
              <w:rPr>
                <w:color w:val="231F20"/>
                <w:sz w:val="14"/>
              </w:rPr>
              <w:t>ИНТЕРАКЦИЈА</w:t>
            </w:r>
          </w:p>
        </w:tc>
        <w:tc>
          <w:tcPr>
            <w:tcW w:w="3118" w:type="dxa"/>
            <w:vMerge w:val="restart"/>
          </w:tcPr>
          <w:p w:rsidR="00041039" w:rsidRDefault="001B26CB">
            <w:pPr>
              <w:pStyle w:val="TableParagraph"/>
              <w:numPr>
                <w:ilvl w:val="0"/>
                <w:numId w:val="1366"/>
              </w:numPr>
              <w:tabs>
                <w:tab w:val="left" w:pos="157"/>
              </w:tabs>
              <w:spacing w:before="10"/>
              <w:ind w:right="258"/>
              <w:rPr>
                <w:sz w:val="14"/>
              </w:rPr>
            </w:pPr>
            <w:r>
              <w:rPr>
                <w:color w:val="231F20"/>
                <w:sz w:val="14"/>
              </w:rPr>
              <w:t>оствари комуникацију о основним темама, под условом да је у стању да тражи помоћ</w:t>
            </w:r>
            <w:r>
              <w:rPr>
                <w:color w:val="231F20"/>
                <w:spacing w:val="-11"/>
                <w:sz w:val="14"/>
              </w:rPr>
              <w:t xml:space="preserve"> </w:t>
            </w:r>
            <w:r>
              <w:rPr>
                <w:color w:val="231F20"/>
                <w:spacing w:val="-3"/>
                <w:sz w:val="14"/>
              </w:rPr>
              <w:t xml:space="preserve">од </w:t>
            </w:r>
            <w:r>
              <w:rPr>
                <w:color w:val="231F20"/>
                <w:sz w:val="14"/>
              </w:rPr>
              <w:t>саговорника;</w:t>
            </w:r>
          </w:p>
          <w:p w:rsidR="00041039" w:rsidRDefault="001B26CB">
            <w:pPr>
              <w:pStyle w:val="TableParagraph"/>
              <w:numPr>
                <w:ilvl w:val="0"/>
                <w:numId w:val="1366"/>
              </w:numPr>
              <w:tabs>
                <w:tab w:val="left" w:pos="157"/>
              </w:tabs>
              <w:spacing w:line="157" w:lineRule="exact"/>
              <w:rPr>
                <w:sz w:val="14"/>
              </w:rPr>
            </w:pPr>
            <w:r>
              <w:rPr>
                <w:color w:val="231F20"/>
                <w:sz w:val="14"/>
              </w:rPr>
              <w:t>образложи и одбрани свој став, разјасни</w:t>
            </w:r>
            <w:r>
              <w:rPr>
                <w:color w:val="231F20"/>
                <w:spacing w:val="-6"/>
                <w:sz w:val="14"/>
              </w:rPr>
              <w:t xml:space="preserve"> </w:t>
            </w:r>
            <w:r>
              <w:rPr>
                <w:color w:val="231F20"/>
                <w:sz w:val="14"/>
              </w:rPr>
              <w:t>неспо­</w:t>
            </w:r>
          </w:p>
          <w:p w:rsidR="00041039" w:rsidRDefault="001B26CB">
            <w:pPr>
              <w:pStyle w:val="TableParagraph"/>
              <w:spacing w:line="160" w:lineRule="exact"/>
              <w:rPr>
                <w:sz w:val="14"/>
              </w:rPr>
            </w:pPr>
            <w:r>
              <w:rPr>
                <w:color w:val="231F20"/>
                <w:sz w:val="14"/>
              </w:rPr>
              <w:t>разуме;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0"/>
        </w:trPr>
        <w:tc>
          <w:tcPr>
            <w:tcW w:w="1304" w:type="dxa"/>
            <w:tcBorders>
              <w:top w:val="nil"/>
            </w:tcBorders>
          </w:tcPr>
          <w:p w:rsidR="00041039" w:rsidRDefault="001B26CB">
            <w:pPr>
              <w:pStyle w:val="TableParagraph"/>
              <w:numPr>
                <w:ilvl w:val="0"/>
                <w:numId w:val="1365"/>
              </w:numPr>
              <w:tabs>
                <w:tab w:val="left" w:pos="157"/>
              </w:tabs>
              <w:spacing w:before="71" w:line="237" w:lineRule="auto"/>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20"/>
              <w:ind w:left="56"/>
              <w:rPr>
                <w:sz w:val="14"/>
              </w:rPr>
            </w:pPr>
            <w:r>
              <w:rPr>
                <w:color w:val="231F20"/>
                <w:sz w:val="14"/>
              </w:rPr>
              <w:t>МЕДИЈАЦИЈА</w:t>
            </w:r>
          </w:p>
        </w:tc>
        <w:tc>
          <w:tcPr>
            <w:tcW w:w="3118" w:type="dxa"/>
            <w:tcBorders>
              <w:bottom w:val="nil"/>
            </w:tcBorders>
          </w:tcPr>
          <w:p w:rsidR="00041039" w:rsidRDefault="001B26CB">
            <w:pPr>
              <w:pStyle w:val="TableParagraph"/>
              <w:numPr>
                <w:ilvl w:val="0"/>
                <w:numId w:val="1364"/>
              </w:numPr>
              <w:tabs>
                <w:tab w:val="left" w:pos="157"/>
              </w:tabs>
              <w:spacing w:before="10"/>
              <w:rPr>
                <w:sz w:val="14"/>
              </w:rPr>
            </w:pPr>
            <w:r>
              <w:rPr>
                <w:color w:val="231F20"/>
                <w:sz w:val="14"/>
              </w:rPr>
              <w:t>препричава садржај текста, разговора,</w:t>
            </w:r>
            <w:r>
              <w:rPr>
                <w:color w:val="231F20"/>
                <w:spacing w:val="-15"/>
                <w:sz w:val="14"/>
              </w:rPr>
              <w:t xml:space="preserve"> </w:t>
            </w:r>
            <w:r>
              <w:rPr>
                <w:color w:val="231F20"/>
                <w:sz w:val="14"/>
              </w:rPr>
              <w:t>договора;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19"/>
        </w:trPr>
        <w:tc>
          <w:tcPr>
            <w:tcW w:w="1304" w:type="dxa"/>
            <w:tcBorders>
              <w:top w:val="nil"/>
            </w:tcBorders>
          </w:tcPr>
          <w:p w:rsidR="00041039" w:rsidRDefault="001B26CB">
            <w:pPr>
              <w:pStyle w:val="TableParagraph"/>
              <w:numPr>
                <w:ilvl w:val="0"/>
                <w:numId w:val="1363"/>
              </w:numPr>
              <w:tabs>
                <w:tab w:val="left" w:pos="157"/>
              </w:tabs>
              <w:spacing w:before="70" w:line="237" w:lineRule="auto"/>
              <w:ind w:right="133"/>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410"/>
        </w:trPr>
        <w:tc>
          <w:tcPr>
            <w:tcW w:w="1304" w:type="dxa"/>
            <w:tcBorders>
              <w:bottom w:val="nil"/>
            </w:tcBorders>
          </w:tcPr>
          <w:p w:rsidR="00041039" w:rsidRDefault="001B26CB">
            <w:pPr>
              <w:pStyle w:val="TableParagraph"/>
              <w:spacing w:before="20"/>
              <w:ind w:left="56" w:right="331"/>
              <w:rPr>
                <w:sz w:val="14"/>
              </w:rPr>
            </w:pPr>
            <w:r>
              <w:rPr>
                <w:color w:val="231F20"/>
                <w:sz w:val="14"/>
              </w:rPr>
              <w:t>МЕДИЈСКА ПИСМЕНОСТ</w:t>
            </w:r>
          </w:p>
        </w:tc>
        <w:tc>
          <w:tcPr>
            <w:tcW w:w="3118" w:type="dxa"/>
            <w:vMerge w:val="restart"/>
          </w:tcPr>
          <w:p w:rsidR="00041039" w:rsidRDefault="001B26CB">
            <w:pPr>
              <w:pStyle w:val="TableParagraph"/>
              <w:numPr>
                <w:ilvl w:val="0"/>
                <w:numId w:val="1362"/>
              </w:numPr>
              <w:tabs>
                <w:tab w:val="left" w:pos="157"/>
              </w:tabs>
              <w:spacing w:before="10"/>
              <w:ind w:right="401"/>
              <w:rPr>
                <w:sz w:val="14"/>
              </w:rPr>
            </w:pPr>
            <w:r>
              <w:rPr>
                <w:color w:val="231F20"/>
                <w:sz w:val="14"/>
              </w:rPr>
              <w:t>пореди различите приказе истог догађаја</w:t>
            </w:r>
            <w:r>
              <w:rPr>
                <w:color w:val="231F20"/>
                <w:spacing w:val="-14"/>
                <w:sz w:val="14"/>
              </w:rPr>
              <w:t xml:space="preserve"> </w:t>
            </w:r>
            <w:r>
              <w:rPr>
                <w:color w:val="231F20"/>
                <w:sz w:val="14"/>
              </w:rPr>
              <w:t>у различитим</w:t>
            </w:r>
            <w:r>
              <w:rPr>
                <w:color w:val="231F20"/>
                <w:spacing w:val="-1"/>
                <w:sz w:val="14"/>
              </w:rPr>
              <w:t xml:space="preserve"> </w:t>
            </w:r>
            <w:r>
              <w:rPr>
                <w:color w:val="231F20"/>
                <w:sz w:val="14"/>
              </w:rPr>
              <w:t>медијима;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19"/>
        </w:trPr>
        <w:tc>
          <w:tcPr>
            <w:tcW w:w="1304" w:type="dxa"/>
            <w:tcBorders>
              <w:top w:val="nil"/>
            </w:tcBorders>
          </w:tcPr>
          <w:p w:rsidR="00041039" w:rsidRDefault="001B26CB">
            <w:pPr>
              <w:pStyle w:val="TableParagraph"/>
              <w:numPr>
                <w:ilvl w:val="0"/>
                <w:numId w:val="1361"/>
              </w:numPr>
              <w:tabs>
                <w:tab w:val="left" w:pos="157"/>
              </w:tabs>
              <w:spacing w:before="71" w:line="237" w:lineRule="auto"/>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840"/>
        </w:trPr>
        <w:tc>
          <w:tcPr>
            <w:tcW w:w="1304" w:type="dxa"/>
          </w:tcPr>
          <w:p w:rsidR="00041039" w:rsidRDefault="001B26CB">
            <w:pPr>
              <w:pStyle w:val="TableParagraph"/>
              <w:spacing w:before="18"/>
              <w:ind w:left="56"/>
              <w:rPr>
                <w:sz w:val="14"/>
              </w:rPr>
            </w:pPr>
            <w:r>
              <w:rPr>
                <w:color w:val="231F20"/>
                <w:sz w:val="14"/>
              </w:rPr>
              <w:lastRenderedPageBreak/>
              <w:t>ЗНАЊА О ЈЕЗИКУ</w:t>
            </w:r>
          </w:p>
        </w:tc>
        <w:tc>
          <w:tcPr>
            <w:tcW w:w="3118" w:type="dxa"/>
          </w:tcPr>
          <w:p w:rsidR="00041039" w:rsidRDefault="001B26CB">
            <w:pPr>
              <w:pStyle w:val="TableParagraph"/>
              <w:numPr>
                <w:ilvl w:val="0"/>
                <w:numId w:val="1360"/>
              </w:numPr>
              <w:tabs>
                <w:tab w:val="left" w:pos="157"/>
              </w:tabs>
              <w:spacing w:before="8"/>
              <w:ind w:right="105"/>
              <w:rPr>
                <w:sz w:val="14"/>
              </w:rPr>
            </w:pPr>
            <w:r>
              <w:rPr>
                <w:color w:val="231F20"/>
                <w:sz w:val="14"/>
              </w:rPr>
              <w:t>коректно употребљава сложеније структуре и процесе (номинализације, градације, трансфор­ мације);</w:t>
            </w:r>
          </w:p>
          <w:p w:rsidR="00041039" w:rsidRDefault="001B26CB">
            <w:pPr>
              <w:pStyle w:val="TableParagraph"/>
              <w:numPr>
                <w:ilvl w:val="0"/>
                <w:numId w:val="1360"/>
              </w:numPr>
              <w:tabs>
                <w:tab w:val="left" w:pos="157"/>
              </w:tabs>
              <w:spacing w:line="157" w:lineRule="exact"/>
              <w:rPr>
                <w:sz w:val="14"/>
              </w:rPr>
            </w:pPr>
            <w:r>
              <w:rPr>
                <w:color w:val="231F20"/>
                <w:sz w:val="14"/>
              </w:rPr>
              <w:t>контролише граматичка знања и исправља</w:t>
            </w:r>
            <w:r>
              <w:rPr>
                <w:color w:val="231F20"/>
                <w:spacing w:val="-26"/>
                <w:sz w:val="14"/>
              </w:rPr>
              <w:t xml:space="preserve"> </w:t>
            </w:r>
            <w:r>
              <w:rPr>
                <w:color w:val="231F20"/>
                <w:sz w:val="14"/>
              </w:rPr>
              <w:t>своје</w:t>
            </w:r>
          </w:p>
          <w:p w:rsidR="00041039" w:rsidRDefault="001B26CB">
            <w:pPr>
              <w:pStyle w:val="TableParagraph"/>
              <w:spacing w:line="160" w:lineRule="exact"/>
              <w:rPr>
                <w:sz w:val="14"/>
              </w:rPr>
            </w:pPr>
            <w:r>
              <w:rPr>
                <w:color w:val="231F20"/>
                <w:sz w:val="14"/>
              </w:rPr>
              <w:t>грешке;</w:t>
            </w:r>
          </w:p>
        </w:tc>
        <w:tc>
          <w:tcPr>
            <w:tcW w:w="3288" w:type="dxa"/>
          </w:tcPr>
          <w:p w:rsidR="00041039" w:rsidRDefault="00041039">
            <w:pPr>
              <w:pStyle w:val="TableParagraph"/>
              <w:ind w:left="0"/>
              <w:rPr>
                <w:sz w:val="16"/>
              </w:rPr>
            </w:pPr>
          </w:p>
        </w:tc>
        <w:tc>
          <w:tcPr>
            <w:tcW w:w="2834" w:type="dxa"/>
          </w:tcPr>
          <w:p w:rsidR="00041039" w:rsidRDefault="00041039">
            <w:pPr>
              <w:pStyle w:val="TableParagraph"/>
              <w:ind w:left="0"/>
              <w:rPr>
                <w:sz w:val="16"/>
              </w:rPr>
            </w:pPr>
          </w:p>
        </w:tc>
      </w:tr>
    </w:tbl>
    <w:p w:rsidR="00041039" w:rsidRDefault="00041039">
      <w:pPr>
        <w:pStyle w:val="BodyText"/>
        <w:rPr>
          <w:b/>
          <w:sz w:val="20"/>
        </w:rPr>
      </w:pPr>
    </w:p>
    <w:p w:rsidR="00041039" w:rsidRDefault="00041039">
      <w:pPr>
        <w:pStyle w:val="BodyText"/>
        <w:spacing w:before="11"/>
        <w:rPr>
          <w:b/>
          <w:sz w:val="18"/>
        </w:rPr>
      </w:pPr>
    </w:p>
    <w:p w:rsidR="00041039" w:rsidRDefault="001B26CB">
      <w:pPr>
        <w:pStyle w:val="Heading1"/>
        <w:spacing w:before="0" w:line="240" w:lineRule="auto"/>
        <w:ind w:left="0" w:right="37"/>
        <w:jc w:val="center"/>
      </w:pPr>
      <w:r>
        <w:rPr>
          <w:color w:val="231F20"/>
        </w:rPr>
        <w:t>ГРАМАТИЧКИ САДРЖАЈИ</w:t>
      </w:r>
    </w:p>
    <w:p w:rsidR="00041039" w:rsidRDefault="00041039">
      <w:pPr>
        <w:pStyle w:val="BodyText"/>
        <w:spacing w:before="7"/>
        <w:rPr>
          <w:b/>
          <w:sz w:val="26"/>
        </w:rPr>
      </w:pPr>
    </w:p>
    <w:p w:rsidR="00041039" w:rsidRDefault="001B26CB">
      <w:pPr>
        <w:pStyle w:val="ListParagraph"/>
        <w:numPr>
          <w:ilvl w:val="0"/>
          <w:numId w:val="1359"/>
        </w:numPr>
        <w:tabs>
          <w:tab w:val="left" w:pos="613"/>
        </w:tabs>
        <w:spacing w:line="203" w:lineRule="exact"/>
        <w:ind w:hanging="115"/>
        <w:rPr>
          <w:b/>
          <w:sz w:val="18"/>
        </w:rPr>
      </w:pPr>
      <w:r>
        <w:rPr>
          <w:b/>
          <w:color w:val="231F20"/>
          <w:sz w:val="18"/>
        </w:rPr>
        <w:t>РЕЧЕНИЦА</w:t>
      </w:r>
    </w:p>
    <w:p w:rsidR="00041039" w:rsidRDefault="001B26CB">
      <w:pPr>
        <w:pStyle w:val="Heading2"/>
        <w:numPr>
          <w:ilvl w:val="0"/>
          <w:numId w:val="1378"/>
        </w:numPr>
        <w:tabs>
          <w:tab w:val="left" w:pos="633"/>
        </w:tabs>
        <w:ind w:firstLine="0"/>
      </w:pPr>
      <w:r>
        <w:rPr>
          <w:color w:val="231F20"/>
        </w:rPr>
        <w:t>Сви типови упитних</w:t>
      </w:r>
      <w:r>
        <w:rPr>
          <w:color w:val="231F20"/>
          <w:spacing w:val="-1"/>
        </w:rPr>
        <w:t xml:space="preserve"> </w:t>
      </w:r>
      <w:r>
        <w:rPr>
          <w:color w:val="231F20"/>
        </w:rPr>
        <w:t>реченица;</w:t>
      </w:r>
    </w:p>
    <w:p w:rsidR="00041039" w:rsidRDefault="001B26CB">
      <w:pPr>
        <w:pStyle w:val="ListParagraph"/>
        <w:numPr>
          <w:ilvl w:val="0"/>
          <w:numId w:val="1378"/>
        </w:numPr>
        <w:tabs>
          <w:tab w:val="left" w:pos="633"/>
        </w:tabs>
        <w:ind w:firstLine="0"/>
        <w:rPr>
          <w:sz w:val="18"/>
        </w:rPr>
      </w:pPr>
      <w:r>
        <w:rPr>
          <w:color w:val="231F20"/>
          <w:sz w:val="18"/>
        </w:rPr>
        <w:t>Релативне</w:t>
      </w:r>
      <w:r>
        <w:rPr>
          <w:color w:val="231F20"/>
          <w:spacing w:val="-1"/>
          <w:sz w:val="18"/>
        </w:rPr>
        <w:t xml:space="preserve"> </w:t>
      </w:r>
      <w:r>
        <w:rPr>
          <w:color w:val="231F20"/>
          <w:sz w:val="18"/>
        </w:rPr>
        <w:t>клаузе;</w:t>
      </w:r>
    </w:p>
    <w:p w:rsidR="00041039" w:rsidRDefault="001B26CB">
      <w:pPr>
        <w:pStyle w:val="ListParagraph"/>
        <w:numPr>
          <w:ilvl w:val="0"/>
          <w:numId w:val="1378"/>
        </w:numPr>
        <w:tabs>
          <w:tab w:val="left" w:pos="633"/>
        </w:tabs>
        <w:ind w:firstLine="0"/>
        <w:rPr>
          <w:sz w:val="18"/>
        </w:rPr>
      </w:pPr>
      <w:r>
        <w:rPr>
          <w:color w:val="231F20"/>
          <w:sz w:val="18"/>
        </w:rPr>
        <w:t>Све врсте сложених</w:t>
      </w:r>
      <w:r>
        <w:rPr>
          <w:color w:val="231F20"/>
          <w:spacing w:val="-2"/>
          <w:sz w:val="18"/>
        </w:rPr>
        <w:t xml:space="preserve"> </w:t>
      </w:r>
      <w:r>
        <w:rPr>
          <w:color w:val="231F20"/>
          <w:sz w:val="18"/>
        </w:rPr>
        <w:t>реченица;</w:t>
      </w:r>
    </w:p>
    <w:p w:rsidR="00041039" w:rsidRDefault="001B26CB">
      <w:pPr>
        <w:pStyle w:val="ListParagraph"/>
        <w:numPr>
          <w:ilvl w:val="0"/>
          <w:numId w:val="1378"/>
        </w:numPr>
        <w:tabs>
          <w:tab w:val="left" w:pos="633"/>
        </w:tabs>
        <w:ind w:firstLine="0"/>
        <w:rPr>
          <w:sz w:val="18"/>
        </w:rPr>
      </w:pPr>
      <w:r>
        <w:rPr>
          <w:color w:val="231F20"/>
          <w:sz w:val="18"/>
        </w:rPr>
        <w:t>Директна и индиректна</w:t>
      </w:r>
      <w:r>
        <w:rPr>
          <w:color w:val="231F20"/>
          <w:spacing w:val="-2"/>
          <w:sz w:val="18"/>
        </w:rPr>
        <w:t xml:space="preserve"> </w:t>
      </w:r>
      <w:r>
        <w:rPr>
          <w:color w:val="231F20"/>
          <w:sz w:val="18"/>
        </w:rPr>
        <w:t>питања;</w:t>
      </w:r>
    </w:p>
    <w:p w:rsidR="00041039" w:rsidRDefault="001B26CB">
      <w:pPr>
        <w:pStyle w:val="ListParagraph"/>
        <w:numPr>
          <w:ilvl w:val="0"/>
          <w:numId w:val="1378"/>
        </w:numPr>
        <w:tabs>
          <w:tab w:val="left" w:pos="633"/>
        </w:tabs>
        <w:ind w:firstLine="0"/>
        <w:rPr>
          <w:sz w:val="18"/>
        </w:rPr>
      </w:pPr>
      <w:r>
        <w:rPr>
          <w:color w:val="231F20"/>
          <w:sz w:val="18"/>
        </w:rPr>
        <w:t>Индиректни говор: рецептивно и</w:t>
      </w:r>
      <w:r>
        <w:rPr>
          <w:color w:val="231F20"/>
          <w:spacing w:val="-2"/>
          <w:sz w:val="18"/>
        </w:rPr>
        <w:t xml:space="preserve"> </w:t>
      </w:r>
      <w:r>
        <w:rPr>
          <w:color w:val="231F20"/>
          <w:sz w:val="18"/>
        </w:rPr>
        <w:t>продуктивно;</w:t>
      </w:r>
    </w:p>
    <w:p w:rsidR="00041039" w:rsidRDefault="001B26CB">
      <w:pPr>
        <w:spacing w:before="2" w:line="232" w:lineRule="auto"/>
        <w:ind w:left="497" w:right="1805"/>
        <w:rPr>
          <w:sz w:val="18"/>
        </w:rPr>
      </w:pPr>
      <w:r>
        <w:rPr>
          <w:color w:val="231F20"/>
          <w:sz w:val="18"/>
        </w:rPr>
        <w:t>а) изјаве и питања ­ без промене глаголског времена (глагол главне реченице у једном од садашњих времена); б) молбе, захтеви, наредбе;</w:t>
      </w:r>
    </w:p>
    <w:p w:rsidR="00041039" w:rsidRDefault="001B26CB">
      <w:pPr>
        <w:spacing w:line="197" w:lineRule="exact"/>
        <w:ind w:left="497"/>
        <w:rPr>
          <w:sz w:val="18"/>
        </w:rPr>
      </w:pPr>
      <w:r>
        <w:rPr>
          <w:color w:val="231F20"/>
          <w:sz w:val="18"/>
        </w:rPr>
        <w:t>ц) изјаве и питања са променом глаголских времена;</w:t>
      </w:r>
    </w:p>
    <w:p w:rsidR="00041039" w:rsidRDefault="001B26CB">
      <w:pPr>
        <w:pStyle w:val="ListParagraph"/>
        <w:numPr>
          <w:ilvl w:val="0"/>
          <w:numId w:val="1378"/>
        </w:numPr>
        <w:tabs>
          <w:tab w:val="left" w:pos="633"/>
        </w:tabs>
        <w:ind w:firstLine="0"/>
        <w:rPr>
          <w:sz w:val="18"/>
        </w:rPr>
      </w:pPr>
      <w:r>
        <w:rPr>
          <w:color w:val="231F20"/>
          <w:sz w:val="18"/>
        </w:rPr>
        <w:t>Одређене релативне</w:t>
      </w:r>
      <w:r>
        <w:rPr>
          <w:color w:val="231F20"/>
          <w:spacing w:val="-1"/>
          <w:sz w:val="18"/>
        </w:rPr>
        <w:t xml:space="preserve"> </w:t>
      </w:r>
      <w:r>
        <w:rPr>
          <w:color w:val="231F20"/>
          <w:sz w:val="18"/>
        </w:rPr>
        <w:t>клаузе;</w:t>
      </w:r>
    </w:p>
    <w:p w:rsidR="00041039" w:rsidRDefault="001B26CB">
      <w:pPr>
        <w:pStyle w:val="ListParagraph"/>
        <w:numPr>
          <w:ilvl w:val="0"/>
          <w:numId w:val="1378"/>
        </w:numPr>
        <w:tabs>
          <w:tab w:val="left" w:pos="633"/>
        </w:tabs>
        <w:spacing w:line="203" w:lineRule="exact"/>
        <w:ind w:firstLine="0"/>
        <w:rPr>
          <w:sz w:val="18"/>
        </w:rPr>
      </w:pPr>
      <w:r>
        <w:rPr>
          <w:color w:val="231F20"/>
          <w:sz w:val="18"/>
        </w:rPr>
        <w:t>Сложене реченице: временске клаузе, узрочне</w:t>
      </w:r>
      <w:r>
        <w:rPr>
          <w:color w:val="231F20"/>
          <w:sz w:val="18"/>
        </w:rPr>
        <w:t xml:space="preserve"> клаузе, допусне</w:t>
      </w:r>
      <w:r>
        <w:rPr>
          <w:color w:val="231F20"/>
          <w:spacing w:val="-4"/>
          <w:sz w:val="18"/>
        </w:rPr>
        <w:t xml:space="preserve"> </w:t>
      </w:r>
      <w:r>
        <w:rPr>
          <w:color w:val="231F20"/>
          <w:sz w:val="18"/>
        </w:rPr>
        <w:t>клаузе.</w:t>
      </w:r>
    </w:p>
    <w:p w:rsidR="00041039" w:rsidRDefault="00041039">
      <w:pPr>
        <w:pStyle w:val="BodyText"/>
        <w:spacing w:before="9"/>
        <w:rPr>
          <w:sz w:val="16"/>
        </w:rPr>
      </w:pPr>
    </w:p>
    <w:p w:rsidR="00041039" w:rsidRDefault="001B26CB">
      <w:pPr>
        <w:pStyle w:val="ListParagraph"/>
        <w:numPr>
          <w:ilvl w:val="0"/>
          <w:numId w:val="1359"/>
        </w:numPr>
        <w:tabs>
          <w:tab w:val="left" w:pos="683"/>
        </w:tabs>
        <w:spacing w:line="203" w:lineRule="exact"/>
        <w:ind w:left="682" w:hanging="185"/>
        <w:rPr>
          <w:b/>
          <w:sz w:val="18"/>
        </w:rPr>
      </w:pPr>
      <w:r>
        <w:rPr>
          <w:b/>
          <w:color w:val="231F20"/>
          <w:sz w:val="18"/>
        </w:rPr>
        <w:t>ИМЕНИЧКА</w:t>
      </w:r>
      <w:r>
        <w:rPr>
          <w:b/>
          <w:color w:val="231F20"/>
          <w:spacing w:val="-2"/>
          <w:sz w:val="18"/>
        </w:rPr>
        <w:t xml:space="preserve"> </w:t>
      </w:r>
      <w:r>
        <w:rPr>
          <w:b/>
          <w:color w:val="231F20"/>
          <w:sz w:val="18"/>
        </w:rPr>
        <w:t>ГРУПА</w:t>
      </w:r>
    </w:p>
    <w:p w:rsidR="00041039" w:rsidRDefault="001B26CB">
      <w:pPr>
        <w:pStyle w:val="ListParagraph"/>
        <w:numPr>
          <w:ilvl w:val="0"/>
          <w:numId w:val="1358"/>
        </w:numPr>
        <w:tabs>
          <w:tab w:val="left" w:pos="678"/>
        </w:tabs>
        <w:ind w:firstLine="0"/>
        <w:rPr>
          <w:sz w:val="18"/>
        </w:rPr>
      </w:pPr>
      <w:r>
        <w:rPr>
          <w:color w:val="231F20"/>
          <w:sz w:val="18"/>
        </w:rPr>
        <w:t>Члан</w:t>
      </w:r>
    </w:p>
    <w:p w:rsidR="00041039" w:rsidRDefault="001B26CB">
      <w:pPr>
        <w:pStyle w:val="ListParagraph"/>
        <w:numPr>
          <w:ilvl w:val="0"/>
          <w:numId w:val="1378"/>
        </w:numPr>
        <w:tabs>
          <w:tab w:val="left" w:pos="633"/>
        </w:tabs>
        <w:ind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numPr>
          <w:ilvl w:val="0"/>
          <w:numId w:val="1358"/>
        </w:numPr>
        <w:tabs>
          <w:tab w:val="left" w:pos="678"/>
        </w:tabs>
        <w:ind w:firstLine="0"/>
        <w:rPr>
          <w:sz w:val="18"/>
        </w:rPr>
      </w:pPr>
      <w:r>
        <w:rPr>
          <w:color w:val="231F20"/>
          <w:sz w:val="18"/>
        </w:rPr>
        <w:t>Именице</w:t>
      </w:r>
    </w:p>
    <w:p w:rsidR="00041039" w:rsidRDefault="001B26CB">
      <w:pPr>
        <w:pStyle w:val="ListParagraph"/>
        <w:numPr>
          <w:ilvl w:val="0"/>
          <w:numId w:val="1378"/>
        </w:numPr>
        <w:tabs>
          <w:tab w:val="left" w:pos="633"/>
        </w:tabs>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1358"/>
        </w:numPr>
        <w:tabs>
          <w:tab w:val="left" w:pos="678"/>
        </w:tabs>
        <w:spacing w:before="1" w:line="232" w:lineRule="auto"/>
        <w:ind w:right="8674" w:firstLine="0"/>
        <w:rPr>
          <w:sz w:val="18"/>
        </w:rPr>
      </w:pPr>
      <w:r>
        <w:rPr>
          <w:color w:val="231F20"/>
          <w:sz w:val="18"/>
        </w:rPr>
        <w:t>Заменички облици а) Заменице</w:t>
      </w:r>
    </w:p>
    <w:p w:rsidR="00041039" w:rsidRDefault="001B26CB">
      <w:pPr>
        <w:pStyle w:val="ListParagraph"/>
        <w:numPr>
          <w:ilvl w:val="0"/>
          <w:numId w:val="1378"/>
        </w:numPr>
        <w:tabs>
          <w:tab w:val="left" w:pos="633"/>
        </w:tabs>
        <w:spacing w:line="197"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1378"/>
        </w:numPr>
        <w:tabs>
          <w:tab w:val="left" w:pos="633"/>
        </w:tabs>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1378"/>
        </w:numPr>
        <w:tabs>
          <w:tab w:val="left" w:pos="633"/>
        </w:tabs>
        <w:spacing w:before="2" w:line="232"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1378"/>
        </w:numPr>
        <w:tabs>
          <w:tab w:val="left" w:pos="633"/>
        </w:tabs>
        <w:spacing w:line="197"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1378"/>
        </w:numPr>
        <w:tabs>
          <w:tab w:val="left" w:pos="633"/>
        </w:tabs>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numPr>
          <w:ilvl w:val="0"/>
          <w:numId w:val="1378"/>
        </w:numPr>
        <w:tabs>
          <w:tab w:val="left" w:pos="633"/>
        </w:tabs>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1358"/>
        </w:numPr>
        <w:tabs>
          <w:tab w:val="left" w:pos="678"/>
        </w:tabs>
        <w:ind w:firstLine="0"/>
        <w:rPr>
          <w:sz w:val="18"/>
        </w:rPr>
      </w:pPr>
      <w:r>
        <w:rPr>
          <w:color w:val="231F20"/>
          <w:sz w:val="18"/>
        </w:rPr>
        <w:t>Придеви</w:t>
      </w:r>
    </w:p>
    <w:p w:rsidR="00041039" w:rsidRDefault="001B26CB">
      <w:pPr>
        <w:pStyle w:val="ListParagraph"/>
        <w:numPr>
          <w:ilvl w:val="0"/>
          <w:numId w:val="1378"/>
        </w:numPr>
        <w:tabs>
          <w:tab w:val="left" w:pos="633"/>
        </w:tabs>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numPr>
          <w:ilvl w:val="0"/>
          <w:numId w:val="1358"/>
        </w:numPr>
        <w:tabs>
          <w:tab w:val="left" w:pos="678"/>
        </w:tabs>
        <w:ind w:firstLine="0"/>
        <w:rPr>
          <w:sz w:val="18"/>
        </w:rPr>
      </w:pPr>
      <w:r>
        <w:rPr>
          <w:color w:val="231F20"/>
          <w:sz w:val="18"/>
        </w:rPr>
        <w:t>Бројеви</w:t>
      </w:r>
    </w:p>
    <w:p w:rsidR="00041039" w:rsidRDefault="001B26CB">
      <w:pPr>
        <w:pStyle w:val="ListParagraph"/>
        <w:numPr>
          <w:ilvl w:val="0"/>
          <w:numId w:val="1357"/>
        </w:numPr>
        <w:tabs>
          <w:tab w:val="left" w:pos="633"/>
        </w:tabs>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1358"/>
        </w:numPr>
        <w:tabs>
          <w:tab w:val="left" w:pos="678"/>
        </w:tabs>
        <w:spacing w:line="203" w:lineRule="exact"/>
        <w:ind w:firstLine="0"/>
        <w:rPr>
          <w:sz w:val="18"/>
        </w:rPr>
      </w:pPr>
      <w:r>
        <w:rPr>
          <w:color w:val="231F20"/>
          <w:sz w:val="18"/>
        </w:rPr>
        <w:t>Квантификатори</w:t>
      </w:r>
    </w:p>
    <w:p w:rsidR="00041039" w:rsidRDefault="00041039">
      <w:pPr>
        <w:pStyle w:val="BodyText"/>
        <w:spacing w:before="9"/>
        <w:rPr>
          <w:sz w:val="16"/>
        </w:rPr>
      </w:pPr>
    </w:p>
    <w:p w:rsidR="00041039" w:rsidRDefault="001B26CB">
      <w:pPr>
        <w:pStyle w:val="ListParagraph"/>
        <w:numPr>
          <w:ilvl w:val="0"/>
          <w:numId w:val="1359"/>
        </w:numPr>
        <w:tabs>
          <w:tab w:val="left" w:pos="753"/>
        </w:tabs>
        <w:spacing w:line="203" w:lineRule="exact"/>
        <w:ind w:left="752" w:hanging="255"/>
        <w:rPr>
          <w:b/>
          <w:sz w:val="18"/>
        </w:rPr>
      </w:pPr>
      <w:r>
        <w:rPr>
          <w:b/>
          <w:color w:val="231F20"/>
          <w:spacing w:val="-6"/>
          <w:sz w:val="18"/>
        </w:rPr>
        <w:t>ГЛAГОЛСКА</w:t>
      </w:r>
      <w:r>
        <w:rPr>
          <w:b/>
          <w:color w:val="231F20"/>
          <w:spacing w:val="-1"/>
          <w:sz w:val="18"/>
        </w:rPr>
        <w:t xml:space="preserve"> </w:t>
      </w:r>
      <w:r>
        <w:rPr>
          <w:b/>
          <w:color w:val="231F20"/>
          <w:sz w:val="18"/>
        </w:rPr>
        <w:t>ГРУПА</w:t>
      </w:r>
    </w:p>
    <w:p w:rsidR="00041039" w:rsidRDefault="001B26CB">
      <w:pPr>
        <w:pStyle w:val="ListParagraph"/>
        <w:numPr>
          <w:ilvl w:val="0"/>
          <w:numId w:val="1356"/>
        </w:numPr>
        <w:tabs>
          <w:tab w:val="left" w:pos="678"/>
        </w:tabs>
        <w:rPr>
          <w:sz w:val="18"/>
        </w:rPr>
      </w:pPr>
      <w:r>
        <w:rPr>
          <w:color w:val="231F20"/>
          <w:spacing w:val="-4"/>
          <w:sz w:val="18"/>
        </w:rPr>
        <w:t>Глаголи</w:t>
      </w:r>
    </w:p>
    <w:p w:rsidR="00041039" w:rsidRDefault="001B26CB">
      <w:pPr>
        <w:pStyle w:val="ListParagraph"/>
        <w:numPr>
          <w:ilvl w:val="0"/>
          <w:numId w:val="1357"/>
        </w:numPr>
        <w:tabs>
          <w:tab w:val="left" w:pos="633"/>
        </w:tabs>
        <w:rPr>
          <w:sz w:val="18"/>
        </w:rPr>
      </w:pPr>
      <w:r>
        <w:rPr>
          <w:color w:val="231F20"/>
          <w:sz w:val="18"/>
        </w:rPr>
        <w:t>Обновити и утврдити сва садашња</w:t>
      </w:r>
      <w:r>
        <w:rPr>
          <w:color w:val="231F20"/>
          <w:spacing w:val="-3"/>
          <w:sz w:val="18"/>
        </w:rPr>
        <w:t xml:space="preserve"> </w:t>
      </w:r>
      <w:r>
        <w:rPr>
          <w:color w:val="231F20"/>
          <w:sz w:val="18"/>
        </w:rPr>
        <w:t>времена;</w:t>
      </w:r>
    </w:p>
    <w:p w:rsidR="00041039" w:rsidRDefault="001B26CB">
      <w:pPr>
        <w:pStyle w:val="ListParagraph"/>
        <w:numPr>
          <w:ilvl w:val="0"/>
          <w:numId w:val="1357"/>
        </w:numPr>
        <w:tabs>
          <w:tab w:val="left" w:pos="633"/>
        </w:tabs>
        <w:rPr>
          <w:sz w:val="18"/>
        </w:rPr>
      </w:pPr>
      <w:r>
        <w:rPr>
          <w:color w:val="231F20"/>
          <w:sz w:val="18"/>
        </w:rPr>
        <w:t>Обновити и утврдити сва прошла</w:t>
      </w:r>
      <w:r>
        <w:rPr>
          <w:color w:val="231F20"/>
          <w:spacing w:val="-4"/>
          <w:sz w:val="18"/>
        </w:rPr>
        <w:t xml:space="preserve"> </w:t>
      </w:r>
      <w:r>
        <w:rPr>
          <w:color w:val="231F20"/>
          <w:sz w:val="18"/>
        </w:rPr>
        <w:t>времена;</w:t>
      </w:r>
    </w:p>
    <w:p w:rsidR="00041039" w:rsidRDefault="001B26CB">
      <w:pPr>
        <w:pStyle w:val="ListParagraph"/>
        <w:numPr>
          <w:ilvl w:val="0"/>
          <w:numId w:val="1357"/>
        </w:numPr>
        <w:tabs>
          <w:tab w:val="left" w:pos="633"/>
        </w:tabs>
        <w:rPr>
          <w:sz w:val="18"/>
        </w:rPr>
      </w:pPr>
      <w:r>
        <w:rPr>
          <w:color w:val="231F20"/>
          <w:sz w:val="18"/>
        </w:rPr>
        <w:t>Разлика између Used to и Past Continuous</w:t>
      </w:r>
      <w:r>
        <w:rPr>
          <w:color w:val="231F20"/>
          <w:spacing w:val="-8"/>
          <w:sz w:val="18"/>
        </w:rPr>
        <w:t xml:space="preserve"> </w:t>
      </w:r>
      <w:r>
        <w:rPr>
          <w:color w:val="231F20"/>
          <w:spacing w:val="-3"/>
          <w:sz w:val="18"/>
        </w:rPr>
        <w:t>Tense;</w:t>
      </w:r>
    </w:p>
    <w:p w:rsidR="00041039" w:rsidRDefault="001B26CB">
      <w:pPr>
        <w:pStyle w:val="ListParagraph"/>
        <w:numPr>
          <w:ilvl w:val="0"/>
          <w:numId w:val="1357"/>
        </w:numPr>
        <w:tabs>
          <w:tab w:val="left" w:pos="633"/>
        </w:tabs>
        <w:rPr>
          <w:sz w:val="18"/>
        </w:rPr>
      </w:pPr>
      <w:r>
        <w:rPr>
          <w:color w:val="231F20"/>
          <w:sz w:val="18"/>
        </w:rPr>
        <w:t>Обновити и утврдити све начине зa изражавање</w:t>
      </w:r>
      <w:r>
        <w:rPr>
          <w:color w:val="231F20"/>
          <w:spacing w:val="-6"/>
          <w:sz w:val="18"/>
        </w:rPr>
        <w:t xml:space="preserve"> </w:t>
      </w:r>
      <w:r>
        <w:rPr>
          <w:color w:val="231F20"/>
          <w:sz w:val="18"/>
        </w:rPr>
        <w:t>будућности;</w:t>
      </w:r>
    </w:p>
    <w:p w:rsidR="00041039" w:rsidRDefault="001B26CB">
      <w:pPr>
        <w:pStyle w:val="ListParagraph"/>
        <w:numPr>
          <w:ilvl w:val="0"/>
          <w:numId w:val="1357"/>
        </w:numPr>
        <w:tabs>
          <w:tab w:val="left" w:pos="633"/>
        </w:tabs>
        <w:rPr>
          <w:sz w:val="18"/>
        </w:rPr>
      </w:pPr>
      <w:r>
        <w:rPr>
          <w:color w:val="231F20"/>
          <w:spacing w:val="-3"/>
          <w:sz w:val="18"/>
        </w:rPr>
        <w:t>Глаголски</w:t>
      </w:r>
      <w:r>
        <w:rPr>
          <w:color w:val="231F20"/>
          <w:spacing w:val="-1"/>
          <w:sz w:val="18"/>
        </w:rPr>
        <w:t xml:space="preserve"> </w:t>
      </w:r>
      <w:r>
        <w:rPr>
          <w:color w:val="231F20"/>
          <w:sz w:val="18"/>
        </w:rPr>
        <w:t>обрасци;</w:t>
      </w:r>
    </w:p>
    <w:p w:rsidR="00041039" w:rsidRDefault="001B26CB">
      <w:pPr>
        <w:pStyle w:val="ListParagraph"/>
        <w:numPr>
          <w:ilvl w:val="0"/>
          <w:numId w:val="1357"/>
        </w:numPr>
        <w:tabs>
          <w:tab w:val="left" w:pos="633"/>
        </w:tabs>
        <w:rPr>
          <w:sz w:val="18"/>
        </w:rPr>
      </w:pPr>
      <w:r>
        <w:rPr>
          <w:color w:val="231F20"/>
          <w:spacing w:val="-4"/>
          <w:sz w:val="18"/>
        </w:rPr>
        <w:t>Глаголи</w:t>
      </w:r>
      <w:r>
        <w:rPr>
          <w:color w:val="231F20"/>
          <w:spacing w:val="-1"/>
          <w:sz w:val="18"/>
        </w:rPr>
        <w:t xml:space="preserve"> </w:t>
      </w:r>
      <w:r>
        <w:rPr>
          <w:color w:val="231F20"/>
          <w:sz w:val="18"/>
        </w:rPr>
        <w:t>стања;</w:t>
      </w:r>
    </w:p>
    <w:p w:rsidR="00041039" w:rsidRDefault="001B26CB">
      <w:pPr>
        <w:pStyle w:val="ListParagraph"/>
        <w:numPr>
          <w:ilvl w:val="0"/>
          <w:numId w:val="1357"/>
        </w:numPr>
        <w:tabs>
          <w:tab w:val="left" w:pos="633"/>
        </w:tabs>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numPr>
          <w:ilvl w:val="0"/>
          <w:numId w:val="1357"/>
        </w:numPr>
        <w:tabs>
          <w:tab w:val="left" w:pos="631"/>
        </w:tabs>
        <w:ind w:left="630" w:hanging="133"/>
        <w:rPr>
          <w:sz w:val="18"/>
        </w:rPr>
      </w:pPr>
      <w:r>
        <w:rPr>
          <w:color w:val="231F20"/>
          <w:sz w:val="18"/>
        </w:rPr>
        <w:t>Пасивне</w:t>
      </w:r>
      <w:r>
        <w:rPr>
          <w:color w:val="231F20"/>
          <w:spacing w:val="-13"/>
          <w:sz w:val="18"/>
        </w:rPr>
        <w:t xml:space="preserve"> </w:t>
      </w:r>
      <w:r>
        <w:rPr>
          <w:color w:val="231F20"/>
          <w:sz w:val="18"/>
        </w:rPr>
        <w:t>конструкције</w:t>
      </w:r>
      <w:r>
        <w:rPr>
          <w:color w:val="231F20"/>
          <w:spacing w:val="-13"/>
          <w:sz w:val="18"/>
        </w:rPr>
        <w:t xml:space="preserve"> </w:t>
      </w:r>
      <w:r>
        <w:rPr>
          <w:color w:val="231F20"/>
          <w:sz w:val="18"/>
        </w:rPr>
        <w:t>­</w:t>
      </w:r>
      <w:r>
        <w:rPr>
          <w:color w:val="231F20"/>
          <w:spacing w:val="-13"/>
          <w:sz w:val="18"/>
        </w:rPr>
        <w:t xml:space="preserve"> </w:t>
      </w:r>
      <w:r>
        <w:rPr>
          <w:color w:val="231F20"/>
          <w:sz w:val="18"/>
        </w:rPr>
        <w:t>the</w:t>
      </w:r>
      <w:r>
        <w:rPr>
          <w:color w:val="231F20"/>
          <w:spacing w:val="-13"/>
          <w:sz w:val="18"/>
        </w:rPr>
        <w:t xml:space="preserve"> </w:t>
      </w:r>
      <w:r>
        <w:rPr>
          <w:color w:val="231F20"/>
          <w:sz w:val="18"/>
        </w:rPr>
        <w:t>Present</w:t>
      </w:r>
      <w:r>
        <w:rPr>
          <w:color w:val="231F20"/>
          <w:spacing w:val="-13"/>
          <w:sz w:val="18"/>
        </w:rPr>
        <w:t xml:space="preserve"> </w:t>
      </w:r>
      <w:r>
        <w:rPr>
          <w:color w:val="231F20"/>
          <w:sz w:val="18"/>
        </w:rPr>
        <w:t>Simple,</w:t>
      </w:r>
      <w:r>
        <w:rPr>
          <w:color w:val="231F20"/>
          <w:spacing w:val="-13"/>
          <w:sz w:val="18"/>
        </w:rPr>
        <w:t xml:space="preserve"> </w:t>
      </w:r>
      <w:r>
        <w:rPr>
          <w:color w:val="231F20"/>
          <w:sz w:val="18"/>
        </w:rPr>
        <w:t>Past</w:t>
      </w:r>
      <w:r>
        <w:rPr>
          <w:color w:val="231F20"/>
          <w:spacing w:val="-13"/>
          <w:sz w:val="18"/>
        </w:rPr>
        <w:t xml:space="preserve"> </w:t>
      </w:r>
      <w:r>
        <w:rPr>
          <w:color w:val="231F20"/>
          <w:sz w:val="18"/>
        </w:rPr>
        <w:t>Simple,</w:t>
      </w:r>
      <w:r>
        <w:rPr>
          <w:color w:val="231F20"/>
          <w:spacing w:val="-13"/>
          <w:sz w:val="18"/>
        </w:rPr>
        <w:t xml:space="preserve"> </w:t>
      </w:r>
      <w:r>
        <w:rPr>
          <w:color w:val="231F20"/>
          <w:sz w:val="18"/>
        </w:rPr>
        <w:t>Present</w:t>
      </w:r>
      <w:r>
        <w:rPr>
          <w:color w:val="231F20"/>
          <w:spacing w:val="-13"/>
          <w:sz w:val="18"/>
        </w:rPr>
        <w:t xml:space="preserve"> </w:t>
      </w:r>
      <w:r>
        <w:rPr>
          <w:color w:val="231F20"/>
          <w:sz w:val="18"/>
        </w:rPr>
        <w:t>Perfect</w:t>
      </w:r>
      <w:r>
        <w:rPr>
          <w:color w:val="231F20"/>
          <w:spacing w:val="-13"/>
          <w:sz w:val="18"/>
        </w:rPr>
        <w:t xml:space="preserve"> </w:t>
      </w:r>
      <w:r>
        <w:rPr>
          <w:color w:val="231F20"/>
          <w:sz w:val="18"/>
        </w:rPr>
        <w:t>(продуктивно</w:t>
      </w:r>
      <w:r>
        <w:rPr>
          <w:color w:val="231F20"/>
          <w:spacing w:val="-13"/>
          <w:sz w:val="18"/>
        </w:rPr>
        <w:t xml:space="preserve"> </w:t>
      </w:r>
      <w:r>
        <w:rPr>
          <w:color w:val="231F20"/>
          <w:sz w:val="18"/>
        </w:rPr>
        <w:t>и</w:t>
      </w:r>
      <w:r>
        <w:rPr>
          <w:color w:val="231F20"/>
          <w:spacing w:val="-13"/>
          <w:sz w:val="18"/>
        </w:rPr>
        <w:t xml:space="preserve"> </w:t>
      </w:r>
      <w:r>
        <w:rPr>
          <w:color w:val="231F20"/>
          <w:sz w:val="18"/>
        </w:rPr>
        <w:t>рецептивно),</w:t>
      </w:r>
      <w:r>
        <w:rPr>
          <w:color w:val="231F20"/>
          <w:spacing w:val="-13"/>
          <w:sz w:val="18"/>
        </w:rPr>
        <w:t xml:space="preserve"> </w:t>
      </w:r>
      <w:r>
        <w:rPr>
          <w:color w:val="231F20"/>
          <w:sz w:val="18"/>
        </w:rPr>
        <w:t>oстала</w:t>
      </w:r>
      <w:r>
        <w:rPr>
          <w:color w:val="231F20"/>
          <w:spacing w:val="-13"/>
          <w:sz w:val="18"/>
        </w:rPr>
        <w:t xml:space="preserve"> </w:t>
      </w:r>
      <w:r>
        <w:rPr>
          <w:color w:val="231F20"/>
          <w:sz w:val="18"/>
        </w:rPr>
        <w:t>времена</w:t>
      </w:r>
      <w:r>
        <w:rPr>
          <w:color w:val="231F20"/>
          <w:spacing w:val="-13"/>
          <w:sz w:val="18"/>
        </w:rPr>
        <w:t xml:space="preserve"> </w:t>
      </w:r>
      <w:r>
        <w:rPr>
          <w:color w:val="231F20"/>
          <w:sz w:val="18"/>
        </w:rPr>
        <w:t>само</w:t>
      </w:r>
      <w:r>
        <w:rPr>
          <w:color w:val="231F20"/>
          <w:spacing w:val="-13"/>
          <w:sz w:val="18"/>
        </w:rPr>
        <w:t xml:space="preserve"> </w:t>
      </w:r>
      <w:r>
        <w:rPr>
          <w:color w:val="231F20"/>
          <w:sz w:val="18"/>
        </w:rPr>
        <w:t>рецептивно;</w:t>
      </w:r>
    </w:p>
    <w:p w:rsidR="00041039" w:rsidRDefault="001B26CB">
      <w:pPr>
        <w:pStyle w:val="ListParagraph"/>
        <w:numPr>
          <w:ilvl w:val="0"/>
          <w:numId w:val="1357"/>
        </w:numPr>
        <w:tabs>
          <w:tab w:val="left" w:pos="633"/>
        </w:tabs>
        <w:rPr>
          <w:sz w:val="18"/>
        </w:rPr>
      </w:pPr>
      <w:r>
        <w:rPr>
          <w:color w:val="231F20"/>
          <w:sz w:val="18"/>
        </w:rPr>
        <w:t>wish + Past simple / w</w:t>
      </w:r>
      <w:r>
        <w:rPr>
          <w:i/>
          <w:color w:val="231F20"/>
          <w:sz w:val="18"/>
        </w:rPr>
        <w:t xml:space="preserve">ould - Have something done </w:t>
      </w:r>
      <w:r>
        <w:rPr>
          <w:color w:val="231F20"/>
          <w:sz w:val="18"/>
        </w:rPr>
        <w:t>(само</w:t>
      </w:r>
      <w:r>
        <w:rPr>
          <w:color w:val="231F20"/>
          <w:spacing w:val="-7"/>
          <w:sz w:val="18"/>
        </w:rPr>
        <w:t xml:space="preserve"> </w:t>
      </w:r>
      <w:r>
        <w:rPr>
          <w:color w:val="231F20"/>
          <w:sz w:val="18"/>
        </w:rPr>
        <w:t>рецептивно).</w:t>
      </w:r>
    </w:p>
    <w:p w:rsidR="00041039" w:rsidRDefault="001B26CB">
      <w:pPr>
        <w:pStyle w:val="Heading2"/>
        <w:numPr>
          <w:ilvl w:val="0"/>
          <w:numId w:val="1356"/>
        </w:numPr>
        <w:tabs>
          <w:tab w:val="left" w:pos="678"/>
        </w:tabs>
      </w:pPr>
      <w:r>
        <w:rPr>
          <w:color w:val="231F20"/>
        </w:rPr>
        <w:t>Први и други кондиционал</w:t>
      </w:r>
      <w:r>
        <w:rPr>
          <w:color w:val="231F20"/>
        </w:rPr>
        <w:t xml:space="preserve"> (рецептивно и продуктивно); трећи кондиционал</w:t>
      </w:r>
      <w:r>
        <w:rPr>
          <w:color w:val="231F20"/>
          <w:spacing w:val="-11"/>
        </w:rPr>
        <w:t xml:space="preserve"> </w:t>
      </w:r>
      <w:r>
        <w:rPr>
          <w:color w:val="231F20"/>
        </w:rPr>
        <w:t>(рецептивно).</w:t>
      </w:r>
    </w:p>
    <w:p w:rsidR="00041039" w:rsidRDefault="001B26CB">
      <w:pPr>
        <w:pStyle w:val="ListParagraph"/>
        <w:numPr>
          <w:ilvl w:val="0"/>
          <w:numId w:val="1356"/>
        </w:numPr>
        <w:tabs>
          <w:tab w:val="left" w:pos="678"/>
        </w:tabs>
        <w:spacing w:line="203" w:lineRule="exact"/>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041039" w:rsidRDefault="00041039">
      <w:pPr>
        <w:pStyle w:val="BodyText"/>
        <w:spacing w:before="9"/>
        <w:rPr>
          <w:sz w:val="16"/>
        </w:rPr>
      </w:pPr>
    </w:p>
    <w:p w:rsidR="00041039" w:rsidRDefault="001B26CB">
      <w:pPr>
        <w:spacing w:line="203" w:lineRule="exact"/>
        <w:ind w:left="497"/>
        <w:rPr>
          <w:b/>
          <w:sz w:val="18"/>
        </w:rPr>
      </w:pPr>
      <w:r>
        <w:rPr>
          <w:b/>
          <w:color w:val="231F20"/>
          <w:sz w:val="18"/>
        </w:rPr>
        <w:t>Лексикологија</w:t>
      </w:r>
    </w:p>
    <w:p w:rsidR="00041039" w:rsidRDefault="001B26CB">
      <w:pPr>
        <w:spacing w:line="203" w:lineRule="exact"/>
        <w:ind w:left="497"/>
        <w:rPr>
          <w:sz w:val="18"/>
        </w:rPr>
      </w:pPr>
      <w:r>
        <w:rPr>
          <w:color w:val="231F20"/>
          <w:sz w:val="18"/>
        </w:rPr>
        <w:t>Најчешћи идиоми и фразеологизми. Полисемија.</w:t>
      </w:r>
    </w:p>
    <w:p w:rsidR="00041039" w:rsidRDefault="00041039">
      <w:pPr>
        <w:pStyle w:val="BodyText"/>
        <w:spacing w:before="8"/>
        <w:rPr>
          <w:sz w:val="8"/>
        </w:rPr>
      </w:pPr>
    </w:p>
    <w:p w:rsidR="00041039" w:rsidRDefault="001B26CB">
      <w:pPr>
        <w:spacing w:before="93" w:line="203" w:lineRule="exact"/>
        <w:ind w:left="497"/>
        <w:rPr>
          <w:b/>
          <w:sz w:val="18"/>
        </w:rPr>
      </w:pPr>
      <w:r>
        <w:rPr>
          <w:b/>
          <w:color w:val="231F20"/>
          <w:sz w:val="18"/>
        </w:rPr>
        <w:t>Лексикографија</w:t>
      </w:r>
    </w:p>
    <w:p w:rsidR="00041039" w:rsidRDefault="001B26CB">
      <w:pPr>
        <w:spacing w:line="203" w:lineRule="exact"/>
        <w:ind w:left="497"/>
        <w:rPr>
          <w:sz w:val="18"/>
        </w:rPr>
      </w:pPr>
      <w:r>
        <w:rPr>
          <w:color w:val="231F20"/>
          <w:sz w:val="18"/>
        </w:rPr>
        <w:t>Стручни и енциклопедијски речници.</w:t>
      </w:r>
    </w:p>
    <w:p w:rsidR="00041039" w:rsidRDefault="001B26CB">
      <w:pPr>
        <w:spacing w:before="163"/>
        <w:ind w:right="38"/>
        <w:jc w:val="center"/>
        <w:rPr>
          <w:sz w:val="18"/>
        </w:rPr>
      </w:pPr>
      <w:r>
        <w:rPr>
          <w:color w:val="231F20"/>
          <w:sz w:val="18"/>
        </w:rPr>
        <w:t>НАЧИН ОСТВАРИВАЊА ПРОГРАМА</w:t>
      </w:r>
    </w:p>
    <w:p w:rsidR="00041039" w:rsidRDefault="00041039">
      <w:pPr>
        <w:pStyle w:val="BodyText"/>
        <w:spacing w:before="8"/>
        <w:rPr>
          <w:sz w:val="8"/>
        </w:rPr>
      </w:pPr>
    </w:p>
    <w:p w:rsidR="00041039" w:rsidRDefault="001B26CB">
      <w:pPr>
        <w:spacing w:before="98" w:line="232" w:lineRule="auto"/>
        <w:ind w:left="100" w:right="137" w:firstLine="396"/>
        <w:jc w:val="both"/>
        <w:rPr>
          <w:sz w:val="18"/>
        </w:rPr>
      </w:pPr>
      <w:r>
        <w:rPr>
          <w:color w:val="231F20"/>
          <w:sz w:val="18"/>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w:t>
      </w:r>
      <w:r>
        <w:rPr>
          <w:color w:val="231F20"/>
          <w:sz w:val="18"/>
        </w:rPr>
        <w:t>alk. односно прила­ 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не толико на граматичкој прецизности исказа; претпоставља да се знања уче</w:t>
      </w:r>
      <w:r>
        <w:rPr>
          <w:color w:val="231F20"/>
          <w:sz w:val="18"/>
        </w:rPr>
        <w:t>ника мере прецизно дефинисаним релативним, а не толико апсолутним критеријумима тачности.</w:t>
      </w:r>
    </w:p>
    <w:p w:rsidR="00041039" w:rsidRDefault="00041039">
      <w:pPr>
        <w:spacing w:line="232" w:lineRule="auto"/>
        <w:jc w:val="both"/>
        <w:rPr>
          <w:sz w:val="18"/>
        </w:rPr>
        <w:sectPr w:rsidR="00041039">
          <w:pgSz w:w="11910" w:h="15710"/>
          <w:pgMar w:top="160" w:right="540" w:bottom="280" w:left="580" w:header="720" w:footer="720" w:gutter="0"/>
          <w:cols w:space="720"/>
        </w:sectPr>
      </w:pPr>
    </w:p>
    <w:p w:rsidR="00041039" w:rsidRDefault="001B26CB">
      <w:pPr>
        <w:spacing w:before="68" w:line="232" w:lineRule="auto"/>
        <w:ind w:left="100" w:right="137" w:firstLine="396"/>
        <w:jc w:val="both"/>
        <w:rPr>
          <w:sz w:val="18"/>
        </w:rPr>
      </w:pPr>
      <w:r>
        <w:rPr>
          <w:color w:val="231F20"/>
          <w:sz w:val="18"/>
        </w:rPr>
        <w:lastRenderedPageBreak/>
        <w:t xml:space="preserve">Један </w:t>
      </w:r>
      <w:r>
        <w:rPr>
          <w:color w:val="231F20"/>
          <w:spacing w:val="-3"/>
          <w:sz w:val="18"/>
        </w:rPr>
        <w:t xml:space="preserve">од </w:t>
      </w:r>
      <w:r>
        <w:rPr>
          <w:color w:val="231F20"/>
          <w:sz w:val="18"/>
        </w:rPr>
        <w:t>кључних елемената комуникативне наставе је и социјална интеракција кроз рад у учионици. Она се базира на групном или индивидуалном решавању про</w:t>
      </w:r>
      <w:r>
        <w:rPr>
          <w:color w:val="231F20"/>
          <w:sz w:val="18"/>
        </w:rPr>
        <w:t>блема, потрази за информацијама имање или више комплексним задацима. У тим задацима увек су јасно одређени</w:t>
      </w:r>
      <w:r>
        <w:rPr>
          <w:color w:val="231F20"/>
          <w:spacing w:val="-6"/>
          <w:sz w:val="18"/>
        </w:rPr>
        <w:t xml:space="preserve"> </w:t>
      </w:r>
      <w:r>
        <w:rPr>
          <w:color w:val="231F20"/>
          <w:spacing w:val="-4"/>
          <w:sz w:val="18"/>
        </w:rPr>
        <w:t>контекст,</w:t>
      </w:r>
      <w:r>
        <w:rPr>
          <w:color w:val="231F20"/>
          <w:spacing w:val="-7"/>
          <w:sz w:val="18"/>
        </w:rPr>
        <w:t xml:space="preserve"> </w:t>
      </w:r>
      <w:r>
        <w:rPr>
          <w:color w:val="231F20"/>
          <w:sz w:val="18"/>
        </w:rPr>
        <w:t>процедура</w:t>
      </w:r>
      <w:r>
        <w:rPr>
          <w:color w:val="231F20"/>
          <w:spacing w:val="-6"/>
          <w:sz w:val="18"/>
        </w:rPr>
        <w:t xml:space="preserve"> </w:t>
      </w:r>
      <w:r>
        <w:rPr>
          <w:color w:val="231F20"/>
          <w:sz w:val="18"/>
        </w:rPr>
        <w:t>и</w:t>
      </w:r>
      <w:r>
        <w:rPr>
          <w:color w:val="231F20"/>
          <w:spacing w:val="-6"/>
          <w:sz w:val="18"/>
        </w:rPr>
        <w:t xml:space="preserve"> </w:t>
      </w:r>
      <w:r>
        <w:rPr>
          <w:color w:val="231F20"/>
          <w:sz w:val="18"/>
        </w:rPr>
        <w:t>циљ,</w:t>
      </w:r>
      <w:r>
        <w:rPr>
          <w:color w:val="231F20"/>
          <w:spacing w:val="-6"/>
          <w:sz w:val="18"/>
        </w:rPr>
        <w:t xml:space="preserve"> </w:t>
      </w:r>
      <w:r>
        <w:rPr>
          <w:color w:val="231F20"/>
          <w:sz w:val="18"/>
        </w:rPr>
        <w:t>чиме</w:t>
      </w:r>
      <w:r>
        <w:rPr>
          <w:color w:val="231F20"/>
          <w:spacing w:val="-7"/>
          <w:sz w:val="18"/>
        </w:rPr>
        <w:t xml:space="preserve"> </w:t>
      </w:r>
      <w:r>
        <w:rPr>
          <w:color w:val="231F20"/>
          <w:sz w:val="18"/>
        </w:rPr>
        <w:t>се</w:t>
      </w:r>
      <w:r>
        <w:rPr>
          <w:color w:val="231F20"/>
          <w:spacing w:val="-7"/>
          <w:sz w:val="18"/>
        </w:rPr>
        <w:t xml:space="preserve"> </w:t>
      </w:r>
      <w:r>
        <w:rPr>
          <w:color w:val="231F20"/>
          <w:sz w:val="18"/>
        </w:rPr>
        <w:t>унапређује</w:t>
      </w:r>
      <w:r>
        <w:rPr>
          <w:color w:val="231F20"/>
          <w:spacing w:val="-7"/>
          <w:sz w:val="18"/>
        </w:rPr>
        <w:t xml:space="preserve"> </w:t>
      </w:r>
      <w:r>
        <w:rPr>
          <w:color w:val="231F20"/>
          <w:sz w:val="18"/>
        </w:rPr>
        <w:t>квантитет</w:t>
      </w:r>
      <w:r>
        <w:rPr>
          <w:color w:val="231F20"/>
          <w:spacing w:val="-7"/>
          <w:sz w:val="18"/>
        </w:rPr>
        <w:t xml:space="preserve"> </w:t>
      </w:r>
      <w:r>
        <w:rPr>
          <w:color w:val="231F20"/>
          <w:sz w:val="18"/>
        </w:rPr>
        <w:t>језичког</w:t>
      </w:r>
      <w:r>
        <w:rPr>
          <w:color w:val="231F20"/>
          <w:spacing w:val="-7"/>
          <w:sz w:val="18"/>
        </w:rPr>
        <w:t xml:space="preserve"> </w:t>
      </w:r>
      <w:r>
        <w:rPr>
          <w:color w:val="231F20"/>
          <w:sz w:val="18"/>
        </w:rPr>
        <w:t>материјала</w:t>
      </w:r>
      <w:r>
        <w:rPr>
          <w:color w:val="231F20"/>
          <w:spacing w:val="-7"/>
          <w:sz w:val="18"/>
        </w:rPr>
        <w:t xml:space="preserve"> </w:t>
      </w:r>
      <w:r>
        <w:rPr>
          <w:color w:val="231F20"/>
          <w:spacing w:val="-3"/>
          <w:sz w:val="18"/>
        </w:rPr>
        <w:t>који</w:t>
      </w:r>
      <w:r>
        <w:rPr>
          <w:color w:val="231F20"/>
          <w:spacing w:val="-7"/>
          <w:sz w:val="18"/>
        </w:rPr>
        <w:t xml:space="preserve"> </w:t>
      </w:r>
      <w:r>
        <w:rPr>
          <w:color w:val="231F20"/>
          <w:sz w:val="18"/>
        </w:rPr>
        <w:t>је</w:t>
      </w:r>
      <w:r>
        <w:rPr>
          <w:color w:val="231F20"/>
          <w:spacing w:val="-6"/>
          <w:sz w:val="18"/>
        </w:rPr>
        <w:t xml:space="preserve"> </w:t>
      </w:r>
      <w:r>
        <w:rPr>
          <w:color w:val="231F20"/>
          <w:sz w:val="18"/>
        </w:rPr>
        <w:t>неопходан</w:t>
      </w:r>
      <w:r>
        <w:rPr>
          <w:color w:val="231F20"/>
          <w:spacing w:val="-6"/>
          <w:sz w:val="18"/>
        </w:rPr>
        <w:t xml:space="preserve"> </w:t>
      </w:r>
      <w:r>
        <w:rPr>
          <w:color w:val="231F20"/>
          <w:sz w:val="18"/>
        </w:rPr>
        <w:t>услов</w:t>
      </w:r>
      <w:r>
        <w:rPr>
          <w:color w:val="231F20"/>
          <w:spacing w:val="-7"/>
          <w:sz w:val="18"/>
        </w:rPr>
        <w:t xml:space="preserve"> </w:t>
      </w:r>
      <w:r>
        <w:rPr>
          <w:color w:val="231F20"/>
          <w:sz w:val="18"/>
        </w:rPr>
        <w:t>за</w:t>
      </w:r>
      <w:r>
        <w:rPr>
          <w:color w:val="231F20"/>
          <w:spacing w:val="-7"/>
          <w:sz w:val="18"/>
        </w:rPr>
        <w:t xml:space="preserve"> </w:t>
      </w:r>
      <w:r>
        <w:rPr>
          <w:color w:val="231F20"/>
          <w:sz w:val="18"/>
        </w:rPr>
        <w:t>било</w:t>
      </w:r>
      <w:r>
        <w:rPr>
          <w:color w:val="231F20"/>
          <w:spacing w:val="-6"/>
          <w:sz w:val="18"/>
        </w:rPr>
        <w:t xml:space="preserve"> </w:t>
      </w:r>
      <w:r>
        <w:rPr>
          <w:color w:val="231F20"/>
          <w:spacing w:val="-3"/>
          <w:sz w:val="18"/>
        </w:rPr>
        <w:t>које</w:t>
      </w:r>
      <w:r>
        <w:rPr>
          <w:color w:val="231F20"/>
          <w:spacing w:val="-7"/>
          <w:sz w:val="18"/>
        </w:rPr>
        <w:t xml:space="preserve"> </w:t>
      </w:r>
      <w:r>
        <w:rPr>
          <w:color w:val="231F20"/>
          <w:sz w:val="18"/>
        </w:rPr>
        <w:t>учење</w:t>
      </w:r>
      <w:r>
        <w:rPr>
          <w:color w:val="231F20"/>
          <w:spacing w:val="-7"/>
          <w:sz w:val="18"/>
        </w:rPr>
        <w:t xml:space="preserve"> </w:t>
      </w:r>
      <w:r>
        <w:rPr>
          <w:color w:val="231F20"/>
          <w:sz w:val="18"/>
        </w:rPr>
        <w:t>језика.</w:t>
      </w:r>
    </w:p>
    <w:p w:rsidR="00041039" w:rsidRDefault="001B26CB">
      <w:pPr>
        <w:spacing w:line="196" w:lineRule="exact"/>
        <w:ind w:left="497"/>
        <w:rPr>
          <w:sz w:val="18"/>
        </w:rPr>
      </w:pPr>
      <w:r>
        <w:rPr>
          <w:color w:val="231F20"/>
          <w:sz w:val="18"/>
        </w:rPr>
        <w:t>Такозвана комуникативн</w:t>
      </w:r>
      <w:r>
        <w:rPr>
          <w:color w:val="231F20"/>
          <w:sz w:val="18"/>
        </w:rPr>
        <w:t>о ­ интерактивна парадигма у настави страних језика, између осталог, укључује и следеће компоненте:</w:t>
      </w:r>
    </w:p>
    <w:p w:rsidR="00041039" w:rsidRDefault="001B26CB">
      <w:pPr>
        <w:pStyle w:val="ListParagraph"/>
        <w:numPr>
          <w:ilvl w:val="0"/>
          <w:numId w:val="1357"/>
        </w:numPr>
        <w:tabs>
          <w:tab w:val="left" w:pos="633"/>
        </w:tabs>
        <w:rPr>
          <w:sz w:val="18"/>
        </w:rPr>
      </w:pPr>
      <w:r>
        <w:rPr>
          <w:color w:val="231F20"/>
          <w:sz w:val="18"/>
        </w:rPr>
        <w:t>усвајање језичког садржаја кроз циљано и осмишљено учествовање у друштвеном</w:t>
      </w:r>
      <w:r>
        <w:rPr>
          <w:color w:val="231F20"/>
          <w:spacing w:val="-6"/>
          <w:sz w:val="18"/>
        </w:rPr>
        <w:t xml:space="preserve"> </w:t>
      </w:r>
      <w:r>
        <w:rPr>
          <w:color w:val="231F20"/>
          <w:sz w:val="18"/>
        </w:rPr>
        <w:t>чину;</w:t>
      </w:r>
    </w:p>
    <w:p w:rsidR="00041039" w:rsidRDefault="001B26CB">
      <w:pPr>
        <w:pStyle w:val="ListParagraph"/>
        <w:numPr>
          <w:ilvl w:val="0"/>
          <w:numId w:val="1357"/>
        </w:numPr>
        <w:tabs>
          <w:tab w:val="left" w:pos="633"/>
        </w:tabs>
        <w:rPr>
          <w:sz w:val="18"/>
        </w:rPr>
      </w:pPr>
      <w:r>
        <w:rPr>
          <w:color w:val="231F20"/>
          <w:sz w:val="18"/>
        </w:rPr>
        <w:t>поимање наставног програма као динамичне заједнички припремљене и ажуриран</w:t>
      </w:r>
      <w:r>
        <w:rPr>
          <w:color w:val="231F20"/>
          <w:sz w:val="18"/>
        </w:rPr>
        <w:t>е листе задатака и</w:t>
      </w:r>
      <w:r>
        <w:rPr>
          <w:color w:val="231F20"/>
          <w:spacing w:val="-17"/>
          <w:sz w:val="18"/>
        </w:rPr>
        <w:t xml:space="preserve"> </w:t>
      </w:r>
      <w:r>
        <w:rPr>
          <w:color w:val="231F20"/>
          <w:sz w:val="18"/>
        </w:rPr>
        <w:t>активности;</w:t>
      </w:r>
    </w:p>
    <w:p w:rsidR="00041039" w:rsidRDefault="001B26CB">
      <w:pPr>
        <w:pStyle w:val="ListParagraph"/>
        <w:numPr>
          <w:ilvl w:val="0"/>
          <w:numId w:val="1357"/>
        </w:numPr>
        <w:tabs>
          <w:tab w:val="left" w:pos="633"/>
        </w:tabs>
        <w:rPr>
          <w:sz w:val="18"/>
        </w:rPr>
      </w:pPr>
      <w:r>
        <w:rPr>
          <w:color w:val="231F20"/>
          <w:sz w:val="18"/>
        </w:rPr>
        <w:t>наставник је ту да омогући приступ и прихватање нових</w:t>
      </w:r>
      <w:r>
        <w:rPr>
          <w:color w:val="231F20"/>
          <w:spacing w:val="-5"/>
          <w:sz w:val="18"/>
        </w:rPr>
        <w:t xml:space="preserve"> </w:t>
      </w:r>
      <w:r>
        <w:rPr>
          <w:color w:val="231F20"/>
          <w:sz w:val="18"/>
        </w:rPr>
        <w:t>идеја;</w:t>
      </w:r>
    </w:p>
    <w:p w:rsidR="00041039" w:rsidRDefault="001B26CB">
      <w:pPr>
        <w:pStyle w:val="ListParagraph"/>
        <w:numPr>
          <w:ilvl w:val="0"/>
          <w:numId w:val="1357"/>
        </w:numPr>
        <w:tabs>
          <w:tab w:val="left" w:pos="633"/>
        </w:tabs>
        <w:rPr>
          <w:sz w:val="18"/>
        </w:rPr>
      </w:pPr>
      <w:r>
        <w:rPr>
          <w:color w:val="231F20"/>
          <w:sz w:val="18"/>
        </w:rPr>
        <w:t>ученици се третирају као одговорни, креативни. активни учесници у друштвеном</w:t>
      </w:r>
      <w:r>
        <w:rPr>
          <w:color w:val="231F20"/>
          <w:spacing w:val="-5"/>
          <w:sz w:val="18"/>
        </w:rPr>
        <w:t xml:space="preserve"> </w:t>
      </w:r>
      <w:r>
        <w:rPr>
          <w:color w:val="231F20"/>
          <w:sz w:val="18"/>
        </w:rPr>
        <w:t>чину;</w:t>
      </w:r>
    </w:p>
    <w:p w:rsidR="00041039" w:rsidRDefault="001B26CB">
      <w:pPr>
        <w:pStyle w:val="ListParagraph"/>
        <w:numPr>
          <w:ilvl w:val="0"/>
          <w:numId w:val="1357"/>
        </w:numPr>
        <w:tabs>
          <w:tab w:val="left" w:pos="633"/>
        </w:tabs>
        <w:spacing w:before="1" w:line="232" w:lineRule="auto"/>
        <w:ind w:right="138"/>
        <w:rPr>
          <w:sz w:val="18"/>
        </w:rPr>
      </w:pPr>
      <w:r>
        <w:rPr>
          <w:color w:val="231F20"/>
          <w:sz w:val="18"/>
        </w:rPr>
        <w:t xml:space="preserve">уџбеници су само један </w:t>
      </w:r>
      <w:r>
        <w:rPr>
          <w:color w:val="231F20"/>
          <w:spacing w:val="-3"/>
          <w:sz w:val="18"/>
        </w:rPr>
        <w:t xml:space="preserve">од </w:t>
      </w:r>
      <w:r>
        <w:rPr>
          <w:color w:val="231F20"/>
          <w:sz w:val="18"/>
        </w:rPr>
        <w:t xml:space="preserve">ресурса; осим њих препоручује се и примена других извора информација и дидактичких материјала, учионица постаје простор </w:t>
      </w:r>
      <w:r>
        <w:rPr>
          <w:color w:val="231F20"/>
          <w:spacing w:val="-3"/>
          <w:sz w:val="18"/>
        </w:rPr>
        <w:t xml:space="preserve">који </w:t>
      </w:r>
      <w:r>
        <w:rPr>
          <w:color w:val="231F20"/>
          <w:sz w:val="18"/>
        </w:rPr>
        <w:t>је могуће реструктурирати из дана у</w:t>
      </w:r>
      <w:r>
        <w:rPr>
          <w:color w:val="231F20"/>
          <w:sz w:val="18"/>
        </w:rPr>
        <w:t xml:space="preserve"> </w:t>
      </w:r>
      <w:r>
        <w:rPr>
          <w:color w:val="231F20"/>
          <w:sz w:val="18"/>
        </w:rPr>
        <w:t>дан.</w:t>
      </w:r>
    </w:p>
    <w:p w:rsidR="00041039" w:rsidRDefault="00041039">
      <w:pPr>
        <w:pStyle w:val="BodyText"/>
        <w:spacing w:before="9"/>
        <w:rPr>
          <w:sz w:val="16"/>
        </w:rPr>
      </w:pPr>
    </w:p>
    <w:p w:rsidR="00041039" w:rsidRDefault="001B26CB">
      <w:pPr>
        <w:spacing w:before="1" w:line="203" w:lineRule="exact"/>
        <w:ind w:left="497"/>
        <w:rPr>
          <w:b/>
          <w:sz w:val="18"/>
        </w:rPr>
      </w:pPr>
      <w:r>
        <w:rPr>
          <w:b/>
          <w:color w:val="231F20"/>
          <w:sz w:val="18"/>
        </w:rPr>
        <w:t>КОРЕЛАЦИЈА СА ДРУГИМ ПРЕДМЕТИМА</w:t>
      </w:r>
    </w:p>
    <w:p w:rsidR="00041039" w:rsidRDefault="001B26CB">
      <w:pPr>
        <w:pStyle w:val="ListParagraph"/>
        <w:numPr>
          <w:ilvl w:val="0"/>
          <w:numId w:val="1357"/>
        </w:numPr>
        <w:tabs>
          <w:tab w:val="left" w:pos="633"/>
        </w:tabs>
        <w:rPr>
          <w:sz w:val="18"/>
        </w:rPr>
      </w:pPr>
      <w:r>
        <w:rPr>
          <w:color w:val="231F20"/>
          <w:sz w:val="18"/>
        </w:rPr>
        <w:t>Стручни енглески</w:t>
      </w:r>
      <w:r>
        <w:rPr>
          <w:color w:val="231F20"/>
          <w:spacing w:val="-1"/>
          <w:sz w:val="18"/>
        </w:rPr>
        <w:t xml:space="preserve"> </w:t>
      </w:r>
      <w:r>
        <w:rPr>
          <w:color w:val="231F20"/>
          <w:sz w:val="18"/>
        </w:rPr>
        <w:t>језик</w:t>
      </w:r>
    </w:p>
    <w:p w:rsidR="00041039" w:rsidRDefault="001B26CB">
      <w:pPr>
        <w:pStyle w:val="ListParagraph"/>
        <w:numPr>
          <w:ilvl w:val="0"/>
          <w:numId w:val="1357"/>
        </w:numPr>
        <w:tabs>
          <w:tab w:val="left" w:pos="633"/>
        </w:tabs>
        <w:rPr>
          <w:sz w:val="18"/>
        </w:rPr>
      </w:pPr>
      <w:r>
        <w:rPr>
          <w:color w:val="231F20"/>
          <w:sz w:val="18"/>
        </w:rPr>
        <w:t>Рачунарство и</w:t>
      </w:r>
      <w:r>
        <w:rPr>
          <w:color w:val="231F20"/>
          <w:spacing w:val="-2"/>
          <w:sz w:val="18"/>
        </w:rPr>
        <w:t xml:space="preserve"> </w:t>
      </w:r>
      <w:r>
        <w:rPr>
          <w:color w:val="231F20"/>
          <w:sz w:val="18"/>
        </w:rPr>
        <w:t>информатика</w:t>
      </w:r>
    </w:p>
    <w:p w:rsidR="00041039" w:rsidRDefault="001B26CB">
      <w:pPr>
        <w:pStyle w:val="ListParagraph"/>
        <w:numPr>
          <w:ilvl w:val="0"/>
          <w:numId w:val="1357"/>
        </w:numPr>
        <w:tabs>
          <w:tab w:val="left" w:pos="633"/>
        </w:tabs>
        <w:rPr>
          <w:sz w:val="18"/>
        </w:rPr>
      </w:pPr>
      <w:r>
        <w:rPr>
          <w:color w:val="231F20"/>
          <w:sz w:val="18"/>
        </w:rPr>
        <w:t>Рачунари</w:t>
      </w:r>
    </w:p>
    <w:p w:rsidR="00041039" w:rsidRDefault="001B26CB">
      <w:pPr>
        <w:pStyle w:val="ListParagraph"/>
        <w:numPr>
          <w:ilvl w:val="0"/>
          <w:numId w:val="1357"/>
        </w:numPr>
        <w:tabs>
          <w:tab w:val="left" w:pos="633"/>
        </w:tabs>
        <w:rPr>
          <w:sz w:val="18"/>
        </w:rPr>
      </w:pPr>
      <w:r>
        <w:rPr>
          <w:color w:val="231F20"/>
          <w:sz w:val="18"/>
        </w:rPr>
        <w:t>Предузетништво</w:t>
      </w:r>
    </w:p>
    <w:p w:rsidR="00041039" w:rsidRDefault="001B26CB">
      <w:pPr>
        <w:pStyle w:val="ListParagraph"/>
        <w:numPr>
          <w:ilvl w:val="0"/>
          <w:numId w:val="1357"/>
        </w:numPr>
        <w:tabs>
          <w:tab w:val="left" w:pos="633"/>
        </w:tabs>
        <w:rPr>
          <w:sz w:val="18"/>
        </w:rPr>
      </w:pPr>
      <w:r>
        <w:rPr>
          <w:color w:val="231F20"/>
          <w:spacing w:val="-3"/>
          <w:sz w:val="18"/>
        </w:rPr>
        <w:t xml:space="preserve">Аутоматска </w:t>
      </w:r>
      <w:r>
        <w:rPr>
          <w:color w:val="231F20"/>
          <w:sz w:val="18"/>
        </w:rPr>
        <w:t>обрада</w:t>
      </w:r>
      <w:r>
        <w:rPr>
          <w:color w:val="231F20"/>
          <w:spacing w:val="1"/>
          <w:sz w:val="18"/>
        </w:rPr>
        <w:t xml:space="preserve"> </w:t>
      </w:r>
      <w:r>
        <w:rPr>
          <w:color w:val="231F20"/>
          <w:sz w:val="18"/>
        </w:rPr>
        <w:t>података</w:t>
      </w:r>
    </w:p>
    <w:p w:rsidR="00041039" w:rsidRDefault="001B26CB">
      <w:pPr>
        <w:pStyle w:val="ListParagraph"/>
        <w:numPr>
          <w:ilvl w:val="0"/>
          <w:numId w:val="1357"/>
        </w:numPr>
        <w:tabs>
          <w:tab w:val="left" w:pos="633"/>
        </w:tabs>
        <w:rPr>
          <w:sz w:val="18"/>
        </w:rPr>
      </w:pPr>
      <w:r>
        <w:rPr>
          <w:color w:val="231F20"/>
          <w:sz w:val="18"/>
        </w:rPr>
        <w:t>Превоз путника и</w:t>
      </w:r>
      <w:r>
        <w:rPr>
          <w:color w:val="231F20"/>
          <w:spacing w:val="-2"/>
          <w:sz w:val="18"/>
        </w:rPr>
        <w:t xml:space="preserve"> </w:t>
      </w:r>
      <w:r>
        <w:rPr>
          <w:color w:val="231F20"/>
          <w:sz w:val="18"/>
        </w:rPr>
        <w:t>робе</w:t>
      </w:r>
    </w:p>
    <w:p w:rsidR="00041039" w:rsidRDefault="001B26CB">
      <w:pPr>
        <w:pStyle w:val="ListParagraph"/>
        <w:numPr>
          <w:ilvl w:val="0"/>
          <w:numId w:val="1357"/>
        </w:numPr>
        <w:tabs>
          <w:tab w:val="left" w:pos="633"/>
        </w:tabs>
        <w:spacing w:line="203" w:lineRule="exact"/>
        <w:rPr>
          <w:sz w:val="18"/>
        </w:rPr>
      </w:pPr>
      <w:r>
        <w:rPr>
          <w:color w:val="231F20"/>
          <w:sz w:val="18"/>
        </w:rPr>
        <w:t>Аеродроми</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pStyle w:val="BodyText"/>
        <w:tabs>
          <w:tab w:val="left" w:pos="1460"/>
        </w:tabs>
        <w:spacing w:before="49"/>
        <w:ind w:left="1460" w:right="445" w:hanging="1304"/>
      </w:pPr>
      <w:r>
        <w:rPr>
          <w:b/>
          <w:i/>
          <w:color w:val="231F20"/>
          <w:spacing w:val="-7"/>
        </w:rPr>
        <w:t>Циљевипредмета</w:t>
      </w:r>
      <w:r>
        <w:rPr>
          <w:color w:val="231F20"/>
          <w:spacing w:val="-7"/>
        </w:rPr>
        <w:t>:</w:t>
      </w:r>
      <w:r>
        <w:rPr>
          <w:color w:val="231F20"/>
          <w:spacing w:val="-7"/>
        </w:rPr>
        <w:tab/>
      </w:r>
      <w:r>
        <w:rPr>
          <w:color w:val="231F20"/>
        </w:rPr>
        <w:t>Циљ физичког васпитања је да се разноврсним и систематским моторичким активностима, у повезаности са осталим васпитно ­ образовним подручјима,</w:t>
      </w:r>
      <w:r>
        <w:rPr>
          <w:color w:val="231F20"/>
          <w:spacing w:val="-5"/>
        </w:rPr>
        <w:t xml:space="preserve"> </w:t>
      </w:r>
      <w:r>
        <w:rPr>
          <w:color w:val="231F20"/>
        </w:rPr>
        <w:t>допринесе</w:t>
      </w:r>
      <w:r>
        <w:rPr>
          <w:color w:val="231F20"/>
          <w:spacing w:val="-5"/>
        </w:rPr>
        <w:t xml:space="preserve"> </w:t>
      </w:r>
      <w:r>
        <w:rPr>
          <w:color w:val="231F20"/>
        </w:rPr>
        <w:t>интегралном</w:t>
      </w:r>
      <w:r>
        <w:rPr>
          <w:color w:val="231F20"/>
          <w:spacing w:val="-5"/>
        </w:rPr>
        <w:t xml:space="preserve"> </w:t>
      </w:r>
      <w:r>
        <w:rPr>
          <w:color w:val="231F20"/>
        </w:rPr>
        <w:t>развоју</w:t>
      </w:r>
      <w:r>
        <w:rPr>
          <w:color w:val="231F20"/>
          <w:spacing w:val="-5"/>
        </w:rPr>
        <w:t xml:space="preserve"> </w:t>
      </w:r>
      <w:r>
        <w:rPr>
          <w:color w:val="231F20"/>
        </w:rPr>
        <w:t>личности</w:t>
      </w:r>
      <w:r>
        <w:rPr>
          <w:color w:val="231F20"/>
          <w:spacing w:val="-5"/>
        </w:rPr>
        <w:t xml:space="preserve"> </w:t>
      </w:r>
      <w:r>
        <w:rPr>
          <w:color w:val="231F20"/>
        </w:rPr>
        <w:t>ученика</w:t>
      </w:r>
      <w:r>
        <w:rPr>
          <w:color w:val="231F20"/>
          <w:spacing w:val="-5"/>
        </w:rPr>
        <w:t xml:space="preserve"> </w:t>
      </w:r>
      <w:r>
        <w:rPr>
          <w:color w:val="231F20"/>
        </w:rPr>
        <w:t>(когнитивном,</w:t>
      </w:r>
      <w:r>
        <w:rPr>
          <w:color w:val="231F20"/>
          <w:spacing w:val="-5"/>
        </w:rPr>
        <w:t xml:space="preserve"> </w:t>
      </w:r>
      <w:r>
        <w:rPr>
          <w:color w:val="231F20"/>
        </w:rPr>
        <w:t>афективном,</w:t>
      </w:r>
      <w:r>
        <w:rPr>
          <w:color w:val="231F20"/>
          <w:spacing w:val="-5"/>
        </w:rPr>
        <w:t xml:space="preserve"> </w:t>
      </w:r>
      <w:r>
        <w:rPr>
          <w:color w:val="231F20"/>
        </w:rPr>
        <w:t>моторичком),</w:t>
      </w:r>
      <w:r>
        <w:rPr>
          <w:color w:val="231F20"/>
          <w:spacing w:val="-5"/>
        </w:rPr>
        <w:t xml:space="preserve"> </w:t>
      </w:r>
      <w:r>
        <w:rPr>
          <w:color w:val="231F20"/>
        </w:rPr>
        <w:t>развоју</w:t>
      </w:r>
      <w:r>
        <w:rPr>
          <w:color w:val="231F20"/>
          <w:spacing w:val="-5"/>
        </w:rPr>
        <w:t xml:space="preserve"> </w:t>
      </w:r>
      <w:r>
        <w:rPr>
          <w:color w:val="231F20"/>
        </w:rPr>
        <w:t>моторичких</w:t>
      </w:r>
      <w:r>
        <w:rPr>
          <w:color w:val="231F20"/>
          <w:spacing w:val="-5"/>
        </w:rPr>
        <w:t xml:space="preserve"> </w:t>
      </w:r>
      <w:r>
        <w:rPr>
          <w:color w:val="231F20"/>
        </w:rPr>
        <w:t>способно</w:t>
      </w:r>
      <w:r>
        <w:rPr>
          <w:color w:val="231F20"/>
        </w:rPr>
        <w:t>сти,</w:t>
      </w:r>
      <w:r>
        <w:rPr>
          <w:color w:val="231F20"/>
          <w:spacing w:val="-5"/>
        </w:rPr>
        <w:t xml:space="preserve"> </w:t>
      </w:r>
      <w:r>
        <w:rPr>
          <w:color w:val="231F20"/>
        </w:rPr>
        <w:t>стицању, усавршавању</w:t>
      </w:r>
      <w:r>
        <w:rPr>
          <w:color w:val="231F20"/>
          <w:spacing w:val="-3"/>
        </w:rPr>
        <w:t xml:space="preserve"> </w:t>
      </w:r>
      <w:r>
        <w:rPr>
          <w:color w:val="231F20"/>
        </w:rPr>
        <w:t>и</w:t>
      </w:r>
      <w:r>
        <w:rPr>
          <w:color w:val="231F20"/>
          <w:spacing w:val="-4"/>
        </w:rPr>
        <w:t xml:space="preserve"> </w:t>
      </w:r>
      <w:r>
        <w:rPr>
          <w:color w:val="231F20"/>
        </w:rPr>
        <w:t>примени</w:t>
      </w:r>
      <w:r>
        <w:rPr>
          <w:color w:val="231F20"/>
          <w:spacing w:val="-4"/>
        </w:rPr>
        <w:t xml:space="preserve"> </w:t>
      </w:r>
      <w:r>
        <w:rPr>
          <w:color w:val="231F20"/>
        </w:rPr>
        <w:t>моторичких</w:t>
      </w:r>
      <w:r>
        <w:rPr>
          <w:color w:val="231F20"/>
          <w:spacing w:val="-3"/>
        </w:rPr>
        <w:t xml:space="preserve"> </w:t>
      </w:r>
      <w:r>
        <w:rPr>
          <w:color w:val="231F20"/>
        </w:rPr>
        <w:t>умења,</w:t>
      </w:r>
      <w:r>
        <w:rPr>
          <w:color w:val="231F20"/>
          <w:spacing w:val="-3"/>
        </w:rPr>
        <w:t xml:space="preserve"> </w:t>
      </w:r>
      <w:r>
        <w:rPr>
          <w:color w:val="231F20"/>
        </w:rPr>
        <w:t>навика</w:t>
      </w:r>
      <w:r>
        <w:rPr>
          <w:color w:val="231F20"/>
          <w:spacing w:val="-3"/>
        </w:rPr>
        <w:t xml:space="preserve"> </w:t>
      </w:r>
      <w:r>
        <w:rPr>
          <w:color w:val="231F20"/>
        </w:rPr>
        <w:t>и</w:t>
      </w:r>
      <w:r>
        <w:rPr>
          <w:color w:val="231F20"/>
          <w:spacing w:val="-4"/>
        </w:rPr>
        <w:t xml:space="preserve"> </w:t>
      </w:r>
      <w:r>
        <w:rPr>
          <w:color w:val="231F20"/>
        </w:rPr>
        <w:t>неопходних</w:t>
      </w:r>
      <w:r>
        <w:rPr>
          <w:color w:val="231F20"/>
          <w:spacing w:val="-3"/>
        </w:rPr>
        <w:t xml:space="preserve"> </w:t>
      </w:r>
      <w:r>
        <w:rPr>
          <w:color w:val="231F20"/>
        </w:rPr>
        <w:t>теоријских</w:t>
      </w:r>
      <w:r>
        <w:rPr>
          <w:color w:val="231F20"/>
          <w:spacing w:val="-3"/>
        </w:rPr>
        <w:t xml:space="preserve"> </w:t>
      </w:r>
      <w:r>
        <w:rPr>
          <w:color w:val="231F20"/>
        </w:rPr>
        <w:t>знања</w:t>
      </w:r>
      <w:r>
        <w:rPr>
          <w:color w:val="231F20"/>
          <w:spacing w:val="-4"/>
        </w:rPr>
        <w:t xml:space="preserve"> </w:t>
      </w:r>
      <w:r>
        <w:rPr>
          <w:color w:val="231F20"/>
        </w:rPr>
        <w:t>у</w:t>
      </w:r>
      <w:r>
        <w:rPr>
          <w:color w:val="231F20"/>
          <w:spacing w:val="-3"/>
        </w:rPr>
        <w:t xml:space="preserve"> </w:t>
      </w:r>
      <w:r>
        <w:rPr>
          <w:color w:val="231F20"/>
        </w:rPr>
        <w:t>свакодневним</w:t>
      </w:r>
      <w:r>
        <w:rPr>
          <w:color w:val="231F20"/>
          <w:spacing w:val="-3"/>
        </w:rPr>
        <w:t xml:space="preserve"> </w:t>
      </w:r>
      <w:r>
        <w:rPr>
          <w:color w:val="231F20"/>
        </w:rPr>
        <w:t>и</w:t>
      </w:r>
      <w:r>
        <w:rPr>
          <w:color w:val="231F20"/>
          <w:spacing w:val="-4"/>
        </w:rPr>
        <w:t xml:space="preserve"> </w:t>
      </w:r>
      <w:r>
        <w:rPr>
          <w:color w:val="231F20"/>
        </w:rPr>
        <w:t>специфичним</w:t>
      </w:r>
      <w:r>
        <w:rPr>
          <w:color w:val="231F20"/>
          <w:spacing w:val="-3"/>
        </w:rPr>
        <w:t xml:space="preserve"> </w:t>
      </w:r>
      <w:r>
        <w:rPr>
          <w:color w:val="231F20"/>
        </w:rPr>
        <w:t>условима</w:t>
      </w:r>
      <w:r>
        <w:rPr>
          <w:color w:val="231F20"/>
          <w:spacing w:val="-3"/>
        </w:rPr>
        <w:t xml:space="preserve"> </w:t>
      </w:r>
      <w:r>
        <w:rPr>
          <w:color w:val="231F20"/>
        </w:rPr>
        <w:t>живота</w:t>
      </w:r>
      <w:r>
        <w:rPr>
          <w:color w:val="231F20"/>
          <w:spacing w:val="-3"/>
        </w:rPr>
        <w:t xml:space="preserve"> </w:t>
      </w:r>
      <w:r>
        <w:rPr>
          <w:color w:val="231F20"/>
        </w:rPr>
        <w:t>и</w:t>
      </w:r>
      <w:r>
        <w:rPr>
          <w:color w:val="231F20"/>
          <w:spacing w:val="-4"/>
        </w:rPr>
        <w:t xml:space="preserve"> </w:t>
      </w:r>
      <w:r>
        <w:rPr>
          <w:color w:val="231F20"/>
        </w:rPr>
        <w:t>рада.</w:t>
      </w:r>
    </w:p>
    <w:p w:rsidR="00041039" w:rsidRDefault="001B26CB">
      <w:pPr>
        <w:pStyle w:val="BodyText"/>
        <w:spacing w:line="158" w:lineRule="exact"/>
        <w:ind w:left="1460"/>
      </w:pPr>
      <w:r>
        <w:rPr>
          <w:color w:val="231F20"/>
        </w:rPr>
        <w:t>Посебни циљеви предмета:</w:t>
      </w:r>
    </w:p>
    <w:p w:rsidR="00041039" w:rsidRDefault="001B26CB">
      <w:pPr>
        <w:pStyle w:val="ListParagraph"/>
        <w:numPr>
          <w:ilvl w:val="1"/>
          <w:numId w:val="1357"/>
        </w:numPr>
        <w:tabs>
          <w:tab w:val="left" w:pos="1566"/>
        </w:tabs>
        <w:spacing w:line="160" w:lineRule="exact"/>
        <w:rPr>
          <w:sz w:val="14"/>
        </w:rPr>
      </w:pPr>
      <w:r>
        <w:rPr>
          <w:color w:val="231F20"/>
          <w:sz w:val="14"/>
        </w:rPr>
        <w:t>Подстицање раста и развоја и утицање на правилно држање тела (превенција постуралних</w:t>
      </w:r>
      <w:r>
        <w:rPr>
          <w:color w:val="231F20"/>
          <w:spacing w:val="-9"/>
          <w:sz w:val="14"/>
        </w:rPr>
        <w:t xml:space="preserve"> </w:t>
      </w:r>
      <w:r>
        <w:rPr>
          <w:color w:val="231F20"/>
          <w:sz w:val="14"/>
        </w:rPr>
        <w:t>поремећаја);</w:t>
      </w:r>
    </w:p>
    <w:p w:rsidR="00041039" w:rsidRDefault="001B26CB">
      <w:pPr>
        <w:pStyle w:val="ListParagraph"/>
        <w:numPr>
          <w:ilvl w:val="1"/>
          <w:numId w:val="1357"/>
        </w:numPr>
        <w:tabs>
          <w:tab w:val="left" w:pos="1566"/>
        </w:tabs>
        <w:spacing w:line="160" w:lineRule="exact"/>
        <w:rPr>
          <w:sz w:val="14"/>
        </w:rPr>
      </w:pPr>
      <w:r>
        <w:rPr>
          <w:color w:val="231F20"/>
          <w:sz w:val="14"/>
        </w:rPr>
        <w:t>Развој и усавршавање моторичких способности и теоријских знања неопходних за самостални рад на</w:t>
      </w:r>
      <w:r>
        <w:rPr>
          <w:color w:val="231F20"/>
          <w:spacing w:val="-11"/>
          <w:sz w:val="14"/>
        </w:rPr>
        <w:t xml:space="preserve"> </w:t>
      </w:r>
      <w:r>
        <w:rPr>
          <w:color w:val="231F20"/>
          <w:sz w:val="14"/>
        </w:rPr>
        <w:t>њима;</w:t>
      </w:r>
    </w:p>
    <w:p w:rsidR="00041039" w:rsidRDefault="001B26CB">
      <w:pPr>
        <w:pStyle w:val="ListParagraph"/>
        <w:numPr>
          <w:ilvl w:val="1"/>
          <w:numId w:val="1357"/>
        </w:numPr>
        <w:tabs>
          <w:tab w:val="left" w:pos="1566"/>
        </w:tabs>
        <w:spacing w:line="160" w:lineRule="exact"/>
        <w:rPr>
          <w:sz w:val="14"/>
        </w:rPr>
      </w:pPr>
      <w:r>
        <w:rPr>
          <w:color w:val="231F20"/>
          <w:sz w:val="14"/>
        </w:rPr>
        <w:t>Стицање моторичких умења (вештина) и теоријских знања неопходних за њихово</w:t>
      </w:r>
      <w:r>
        <w:rPr>
          <w:color w:val="231F20"/>
          <w:spacing w:val="-8"/>
          <w:sz w:val="14"/>
        </w:rPr>
        <w:t xml:space="preserve"> </w:t>
      </w:r>
      <w:r>
        <w:rPr>
          <w:color w:val="231F20"/>
          <w:sz w:val="14"/>
        </w:rPr>
        <w:t>усвајање;</w:t>
      </w:r>
    </w:p>
    <w:p w:rsidR="00041039" w:rsidRDefault="001B26CB">
      <w:pPr>
        <w:pStyle w:val="ListParagraph"/>
        <w:numPr>
          <w:ilvl w:val="1"/>
          <w:numId w:val="1357"/>
        </w:numPr>
        <w:tabs>
          <w:tab w:val="left" w:pos="1566"/>
        </w:tabs>
        <w:spacing w:line="240" w:lineRule="auto"/>
        <w:ind w:right="318"/>
        <w:rPr>
          <w:sz w:val="14"/>
        </w:rPr>
      </w:pPr>
      <w:r>
        <w:rPr>
          <w:color w:val="231F20"/>
          <w:sz w:val="14"/>
        </w:rPr>
        <w:t>Проширење</w:t>
      </w:r>
      <w:r>
        <w:rPr>
          <w:color w:val="231F20"/>
          <w:spacing w:val="-5"/>
          <w:sz w:val="14"/>
        </w:rPr>
        <w:t xml:space="preserve"> </w:t>
      </w:r>
      <w:r>
        <w:rPr>
          <w:color w:val="231F20"/>
          <w:sz w:val="14"/>
        </w:rPr>
        <w:t>и</w:t>
      </w:r>
      <w:r>
        <w:rPr>
          <w:color w:val="231F20"/>
          <w:spacing w:val="-5"/>
          <w:sz w:val="14"/>
        </w:rPr>
        <w:t xml:space="preserve"> </w:t>
      </w:r>
      <w:r>
        <w:rPr>
          <w:color w:val="231F20"/>
          <w:sz w:val="14"/>
        </w:rPr>
        <w:t>продубљивање</w:t>
      </w:r>
      <w:r>
        <w:rPr>
          <w:color w:val="231F20"/>
          <w:spacing w:val="-4"/>
          <w:sz w:val="14"/>
        </w:rPr>
        <w:t xml:space="preserve"> </w:t>
      </w:r>
      <w:r>
        <w:rPr>
          <w:color w:val="231F20"/>
          <w:sz w:val="14"/>
        </w:rPr>
        <w:t>интересовања</w:t>
      </w:r>
      <w:r>
        <w:rPr>
          <w:color w:val="231F20"/>
          <w:spacing w:val="-4"/>
          <w:sz w:val="14"/>
        </w:rPr>
        <w:t xml:space="preserve"> </w:t>
      </w:r>
      <w:r>
        <w:rPr>
          <w:color w:val="231F20"/>
          <w:sz w:val="14"/>
        </w:rPr>
        <w:t>које</w:t>
      </w:r>
      <w:r>
        <w:rPr>
          <w:color w:val="231F20"/>
          <w:spacing w:val="-4"/>
          <w:sz w:val="14"/>
        </w:rPr>
        <w:t xml:space="preserve"> </w:t>
      </w:r>
      <w:r>
        <w:rPr>
          <w:color w:val="231F20"/>
          <w:sz w:val="14"/>
        </w:rPr>
        <w:t>су</w:t>
      </w:r>
      <w:r>
        <w:rPr>
          <w:color w:val="231F20"/>
          <w:spacing w:val="-4"/>
          <w:sz w:val="14"/>
        </w:rPr>
        <w:t xml:space="preserve"> </w:t>
      </w:r>
      <w:r>
        <w:rPr>
          <w:color w:val="231F20"/>
          <w:sz w:val="14"/>
        </w:rPr>
        <w:t>ученици</w:t>
      </w:r>
      <w:r>
        <w:rPr>
          <w:color w:val="231F20"/>
          <w:spacing w:val="-4"/>
          <w:sz w:val="14"/>
        </w:rPr>
        <w:t xml:space="preserve"> </w:t>
      </w:r>
      <w:r>
        <w:rPr>
          <w:color w:val="231F20"/>
          <w:sz w:val="14"/>
        </w:rPr>
        <w:t>сте</w:t>
      </w:r>
      <w:r>
        <w:rPr>
          <w:color w:val="231F20"/>
          <w:sz w:val="14"/>
        </w:rPr>
        <w:t>кли</w:t>
      </w:r>
      <w:r>
        <w:rPr>
          <w:color w:val="231F20"/>
          <w:spacing w:val="-4"/>
          <w:sz w:val="14"/>
        </w:rPr>
        <w:t xml:space="preserve"> </w:t>
      </w:r>
      <w:r>
        <w:rPr>
          <w:color w:val="231F20"/>
          <w:sz w:val="14"/>
        </w:rPr>
        <w:t>у</w:t>
      </w:r>
      <w:r>
        <w:rPr>
          <w:color w:val="231F20"/>
          <w:spacing w:val="-4"/>
          <w:sz w:val="14"/>
        </w:rPr>
        <w:t xml:space="preserve"> </w:t>
      </w:r>
      <w:r>
        <w:rPr>
          <w:color w:val="231F20"/>
          <w:sz w:val="14"/>
        </w:rPr>
        <w:t>основној</w:t>
      </w:r>
      <w:r>
        <w:rPr>
          <w:color w:val="231F20"/>
          <w:spacing w:val="-4"/>
          <w:sz w:val="14"/>
        </w:rPr>
        <w:t xml:space="preserve"> </w:t>
      </w:r>
      <w:r>
        <w:rPr>
          <w:color w:val="231F20"/>
          <w:spacing w:val="-3"/>
          <w:sz w:val="14"/>
        </w:rPr>
        <w:t>школи</w:t>
      </w:r>
      <w:r>
        <w:rPr>
          <w:color w:val="231F20"/>
          <w:spacing w:val="-5"/>
          <w:sz w:val="14"/>
        </w:rPr>
        <w:t xml:space="preserve"> </w:t>
      </w:r>
      <w:r>
        <w:rPr>
          <w:color w:val="231F20"/>
          <w:sz w:val="14"/>
        </w:rPr>
        <w:t>и</w:t>
      </w:r>
      <w:r>
        <w:rPr>
          <w:color w:val="231F20"/>
          <w:spacing w:val="-5"/>
          <w:sz w:val="14"/>
        </w:rPr>
        <w:t xml:space="preserve"> </w:t>
      </w:r>
      <w:r>
        <w:rPr>
          <w:color w:val="231F20"/>
          <w:sz w:val="14"/>
        </w:rPr>
        <w:t>потпуније</w:t>
      </w:r>
      <w:r>
        <w:rPr>
          <w:color w:val="231F20"/>
          <w:spacing w:val="-4"/>
          <w:sz w:val="14"/>
        </w:rPr>
        <w:t xml:space="preserve"> </w:t>
      </w:r>
      <w:r>
        <w:rPr>
          <w:color w:val="231F20"/>
          <w:sz w:val="14"/>
        </w:rPr>
        <w:t>сагледавање</w:t>
      </w:r>
      <w:r>
        <w:rPr>
          <w:color w:val="231F20"/>
          <w:spacing w:val="-4"/>
          <w:sz w:val="14"/>
        </w:rPr>
        <w:t xml:space="preserve"> </w:t>
      </w:r>
      <w:r>
        <w:rPr>
          <w:color w:val="231F20"/>
          <w:sz w:val="14"/>
        </w:rPr>
        <w:t>спортске</w:t>
      </w:r>
      <w:r>
        <w:rPr>
          <w:color w:val="231F20"/>
          <w:spacing w:val="-4"/>
          <w:sz w:val="14"/>
        </w:rPr>
        <w:t xml:space="preserve"> </w:t>
      </w:r>
      <w:r>
        <w:rPr>
          <w:color w:val="231F20"/>
          <w:sz w:val="14"/>
        </w:rPr>
        <w:t>гране,</w:t>
      </w:r>
      <w:r>
        <w:rPr>
          <w:color w:val="231F20"/>
          <w:spacing w:val="-5"/>
          <w:sz w:val="14"/>
        </w:rPr>
        <w:t xml:space="preserve"> </w:t>
      </w:r>
      <w:r>
        <w:rPr>
          <w:color w:val="231F20"/>
          <w:sz w:val="14"/>
        </w:rPr>
        <w:t>за</w:t>
      </w:r>
      <w:r>
        <w:rPr>
          <w:color w:val="231F20"/>
          <w:spacing w:val="-5"/>
          <w:sz w:val="14"/>
        </w:rPr>
        <w:t xml:space="preserve"> </w:t>
      </w:r>
      <w:r>
        <w:rPr>
          <w:color w:val="231F20"/>
          <w:sz w:val="14"/>
        </w:rPr>
        <w:t>коју</w:t>
      </w:r>
      <w:r>
        <w:rPr>
          <w:color w:val="231F20"/>
          <w:spacing w:val="-4"/>
          <w:sz w:val="14"/>
        </w:rPr>
        <w:t xml:space="preserve"> </w:t>
      </w:r>
      <w:r>
        <w:rPr>
          <w:color w:val="231F20"/>
          <w:sz w:val="14"/>
        </w:rPr>
        <w:t>показују</w:t>
      </w:r>
      <w:r>
        <w:rPr>
          <w:color w:val="231F20"/>
          <w:spacing w:val="-4"/>
          <w:sz w:val="14"/>
        </w:rPr>
        <w:t xml:space="preserve"> </w:t>
      </w:r>
      <w:r>
        <w:rPr>
          <w:color w:val="231F20"/>
          <w:sz w:val="14"/>
        </w:rPr>
        <w:t>посе­ бан</w:t>
      </w:r>
      <w:r>
        <w:rPr>
          <w:color w:val="231F20"/>
          <w:spacing w:val="-1"/>
          <w:sz w:val="14"/>
        </w:rPr>
        <w:t xml:space="preserve"> </w:t>
      </w:r>
      <w:r>
        <w:rPr>
          <w:color w:val="231F20"/>
          <w:sz w:val="14"/>
        </w:rPr>
        <w:t>интерес;</w:t>
      </w:r>
    </w:p>
    <w:p w:rsidR="00041039" w:rsidRDefault="001B26CB">
      <w:pPr>
        <w:pStyle w:val="ListParagraph"/>
        <w:numPr>
          <w:ilvl w:val="1"/>
          <w:numId w:val="1357"/>
        </w:numPr>
        <w:tabs>
          <w:tab w:val="left" w:pos="1566"/>
        </w:tabs>
        <w:spacing w:line="159" w:lineRule="exact"/>
        <w:rPr>
          <w:sz w:val="14"/>
        </w:rPr>
      </w:pPr>
      <w:r>
        <w:rPr>
          <w:color w:val="231F20"/>
          <w:spacing w:val="-3"/>
          <w:sz w:val="14"/>
        </w:rPr>
        <w:t>Усвајање</w:t>
      </w:r>
      <w:r>
        <w:rPr>
          <w:color w:val="231F20"/>
          <w:spacing w:val="-2"/>
          <w:sz w:val="14"/>
        </w:rPr>
        <w:t xml:space="preserve"> </w:t>
      </w:r>
      <w:r>
        <w:rPr>
          <w:color w:val="231F20"/>
          <w:sz w:val="14"/>
        </w:rPr>
        <w:t>знања</w:t>
      </w:r>
      <w:r>
        <w:rPr>
          <w:color w:val="231F20"/>
          <w:spacing w:val="-3"/>
          <w:sz w:val="14"/>
        </w:rPr>
        <w:t xml:space="preserve"> </w:t>
      </w:r>
      <w:r>
        <w:rPr>
          <w:color w:val="231F20"/>
          <w:sz w:val="14"/>
        </w:rPr>
        <w:t>ради</w:t>
      </w:r>
      <w:r>
        <w:rPr>
          <w:color w:val="231F20"/>
          <w:spacing w:val="-2"/>
          <w:sz w:val="14"/>
        </w:rPr>
        <w:t xml:space="preserve"> </w:t>
      </w:r>
      <w:r>
        <w:rPr>
          <w:color w:val="231F20"/>
          <w:sz w:val="14"/>
        </w:rPr>
        <w:t>разумевања</w:t>
      </w:r>
      <w:r>
        <w:rPr>
          <w:color w:val="231F20"/>
          <w:spacing w:val="-2"/>
          <w:sz w:val="14"/>
        </w:rPr>
        <w:t xml:space="preserve"> </w:t>
      </w:r>
      <w:r>
        <w:rPr>
          <w:color w:val="231F20"/>
          <w:sz w:val="14"/>
        </w:rPr>
        <w:t>значаја</w:t>
      </w:r>
      <w:r>
        <w:rPr>
          <w:color w:val="231F20"/>
          <w:spacing w:val="-2"/>
          <w:sz w:val="14"/>
        </w:rPr>
        <w:t xml:space="preserve"> </w:t>
      </w:r>
      <w:r>
        <w:rPr>
          <w:color w:val="231F20"/>
          <w:sz w:val="14"/>
        </w:rPr>
        <w:t>и</w:t>
      </w:r>
      <w:r>
        <w:rPr>
          <w:color w:val="231F20"/>
          <w:spacing w:val="-3"/>
          <w:sz w:val="14"/>
        </w:rPr>
        <w:t xml:space="preserve"> </w:t>
      </w:r>
      <w:r>
        <w:rPr>
          <w:color w:val="231F20"/>
          <w:sz w:val="14"/>
        </w:rPr>
        <w:t>суштине</w:t>
      </w:r>
      <w:r>
        <w:rPr>
          <w:color w:val="231F20"/>
          <w:spacing w:val="-2"/>
          <w:sz w:val="14"/>
        </w:rPr>
        <w:t xml:space="preserve"> </w:t>
      </w:r>
      <w:r>
        <w:rPr>
          <w:color w:val="231F20"/>
          <w:sz w:val="14"/>
        </w:rPr>
        <w:t>физичког</w:t>
      </w:r>
      <w:r>
        <w:rPr>
          <w:color w:val="231F20"/>
          <w:spacing w:val="-2"/>
          <w:sz w:val="14"/>
        </w:rPr>
        <w:t xml:space="preserve"> </w:t>
      </w:r>
      <w:r>
        <w:rPr>
          <w:color w:val="231F20"/>
          <w:sz w:val="14"/>
        </w:rPr>
        <w:t>васпитања</w:t>
      </w:r>
      <w:r>
        <w:rPr>
          <w:color w:val="231F20"/>
          <w:spacing w:val="-2"/>
          <w:sz w:val="14"/>
        </w:rPr>
        <w:t xml:space="preserve"> </w:t>
      </w:r>
      <w:r>
        <w:rPr>
          <w:color w:val="231F20"/>
          <w:sz w:val="14"/>
        </w:rPr>
        <w:t>дефинисаних</w:t>
      </w:r>
      <w:r>
        <w:rPr>
          <w:color w:val="231F20"/>
          <w:spacing w:val="-2"/>
          <w:sz w:val="14"/>
        </w:rPr>
        <w:t xml:space="preserve"> </w:t>
      </w:r>
      <w:r>
        <w:rPr>
          <w:color w:val="231F20"/>
          <w:sz w:val="14"/>
        </w:rPr>
        <w:t>општим</w:t>
      </w:r>
      <w:r>
        <w:rPr>
          <w:color w:val="231F20"/>
          <w:spacing w:val="-2"/>
          <w:sz w:val="14"/>
        </w:rPr>
        <w:t xml:space="preserve"> </w:t>
      </w:r>
      <w:r>
        <w:rPr>
          <w:color w:val="231F20"/>
          <w:sz w:val="14"/>
        </w:rPr>
        <w:t>циљем</w:t>
      </w:r>
      <w:r>
        <w:rPr>
          <w:color w:val="231F20"/>
          <w:spacing w:val="-3"/>
          <w:sz w:val="14"/>
        </w:rPr>
        <w:t xml:space="preserve"> </w:t>
      </w:r>
      <w:r>
        <w:rPr>
          <w:color w:val="231F20"/>
          <w:sz w:val="14"/>
        </w:rPr>
        <w:t>овог</w:t>
      </w:r>
      <w:r>
        <w:rPr>
          <w:color w:val="231F20"/>
          <w:spacing w:val="-2"/>
          <w:sz w:val="14"/>
        </w:rPr>
        <w:t xml:space="preserve"> </w:t>
      </w:r>
      <w:r>
        <w:rPr>
          <w:color w:val="231F20"/>
          <w:sz w:val="14"/>
        </w:rPr>
        <w:t>предмета</w:t>
      </w:r>
      <w:r>
        <w:rPr>
          <w:color w:val="231F20"/>
          <w:spacing w:val="-2"/>
          <w:sz w:val="14"/>
        </w:rPr>
        <w:t xml:space="preserve"> </w:t>
      </w:r>
      <w:r>
        <w:rPr>
          <w:color w:val="231F20"/>
          <w:sz w:val="14"/>
        </w:rPr>
        <w:t>(васпитно­образовног</w:t>
      </w:r>
      <w:r>
        <w:rPr>
          <w:color w:val="231F20"/>
          <w:spacing w:val="-2"/>
          <w:sz w:val="14"/>
        </w:rPr>
        <w:t xml:space="preserve"> </w:t>
      </w:r>
      <w:r>
        <w:rPr>
          <w:color w:val="231F20"/>
          <w:sz w:val="14"/>
        </w:rPr>
        <w:t>подручја);</w:t>
      </w:r>
    </w:p>
    <w:p w:rsidR="00041039" w:rsidRDefault="001B26CB">
      <w:pPr>
        <w:pStyle w:val="ListParagraph"/>
        <w:numPr>
          <w:ilvl w:val="1"/>
          <w:numId w:val="1357"/>
        </w:numPr>
        <w:tabs>
          <w:tab w:val="left" w:pos="1566"/>
        </w:tabs>
        <w:spacing w:line="160" w:lineRule="exact"/>
        <w:rPr>
          <w:sz w:val="14"/>
        </w:rPr>
      </w:pPr>
      <w:r>
        <w:rPr>
          <w:color w:val="231F20"/>
          <w:sz w:val="14"/>
        </w:rPr>
        <w:t>Мотивација ученика за бављење физичким активностима и формирање позитивних психо­социјалних образаца</w:t>
      </w:r>
      <w:r>
        <w:rPr>
          <w:color w:val="231F20"/>
          <w:spacing w:val="-12"/>
          <w:sz w:val="14"/>
        </w:rPr>
        <w:t xml:space="preserve"> </w:t>
      </w:r>
      <w:r>
        <w:rPr>
          <w:color w:val="231F20"/>
          <w:sz w:val="14"/>
        </w:rPr>
        <w:t>понашања;</w:t>
      </w:r>
    </w:p>
    <w:p w:rsidR="00041039" w:rsidRDefault="001B26CB">
      <w:pPr>
        <w:pStyle w:val="ListParagraph"/>
        <w:numPr>
          <w:ilvl w:val="1"/>
          <w:numId w:val="1357"/>
        </w:numPr>
        <w:tabs>
          <w:tab w:val="left" w:pos="1566"/>
        </w:tabs>
        <w:spacing w:line="161" w:lineRule="exact"/>
        <w:rPr>
          <w:sz w:val="14"/>
        </w:rPr>
      </w:pPr>
      <w:r>
        <w:rPr>
          <w:color w:val="231F20"/>
          <w:sz w:val="14"/>
        </w:rPr>
        <w:t>Оспособљавање ученика да стечена умења, знања и навике користе у свакодневним условима живота и</w:t>
      </w:r>
      <w:r>
        <w:rPr>
          <w:color w:val="231F20"/>
          <w:spacing w:val="-11"/>
          <w:sz w:val="14"/>
        </w:rPr>
        <w:t xml:space="preserve"> </w:t>
      </w:r>
      <w:r>
        <w:rPr>
          <w:color w:val="231F20"/>
          <w:sz w:val="14"/>
        </w:rPr>
        <w:t>рада.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80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1355"/>
              </w:numPr>
              <w:tabs>
                <w:tab w:val="left" w:pos="157"/>
              </w:tabs>
              <w:spacing w:before="8"/>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1355"/>
              </w:numPr>
              <w:tabs>
                <w:tab w:val="left" w:pos="157"/>
              </w:tabs>
              <w:spacing w:line="160"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1354"/>
              </w:numPr>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1354"/>
              </w:numPr>
              <w:tabs>
                <w:tab w:val="left" w:pos="157"/>
              </w:tabs>
              <w:spacing w:line="160" w:lineRule="exact"/>
              <w:ind w:right="63" w:hanging="99"/>
              <w:jc w:val="both"/>
              <w:rPr>
                <w:sz w:val="14"/>
              </w:rPr>
            </w:pPr>
            <w:r>
              <w:rPr>
                <w:color w:val="231F20"/>
                <w:sz w:val="14"/>
              </w:rPr>
              <w:t>објасни карактеристике положаја</w:t>
            </w:r>
            <w:r>
              <w:rPr>
                <w:color w:val="231F20"/>
                <w:spacing w:val="-19"/>
                <w:sz w:val="14"/>
              </w:rPr>
              <w:t xml:space="preserve"> </w:t>
            </w:r>
            <w:r>
              <w:rPr>
                <w:color w:val="231F20"/>
                <w:sz w:val="14"/>
              </w:rPr>
              <w:t>тела, покрета и кретања у професији за коју се</w:t>
            </w:r>
            <w:r>
              <w:rPr>
                <w:color w:val="231F20"/>
                <w:spacing w:val="-5"/>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5"/>
                <w:sz w:val="14"/>
              </w:rPr>
              <w:t xml:space="preserve"> </w:t>
            </w:r>
            <w:r>
              <w:rPr>
                <w:color w:val="231F20"/>
                <w:sz w:val="14"/>
              </w:rPr>
              <w:t>оне,</w:t>
            </w:r>
            <w:r>
              <w:rPr>
                <w:color w:val="231F20"/>
                <w:spacing w:val="-5"/>
                <w:sz w:val="14"/>
              </w:rPr>
              <w:t xml:space="preserve"> </w:t>
            </w:r>
            <w:r>
              <w:rPr>
                <w:color w:val="231F20"/>
                <w:sz w:val="14"/>
              </w:rPr>
              <w:t>које</w:t>
            </w:r>
            <w:r>
              <w:rPr>
                <w:color w:val="231F20"/>
                <w:spacing w:val="-5"/>
                <w:sz w:val="14"/>
              </w:rPr>
              <w:t xml:space="preserve"> </w:t>
            </w:r>
            <w:r>
              <w:rPr>
                <w:color w:val="231F20"/>
                <w:sz w:val="14"/>
              </w:rPr>
              <w:t>могу</w:t>
            </w:r>
            <w:r>
              <w:rPr>
                <w:color w:val="231F20"/>
                <w:spacing w:val="-5"/>
                <w:sz w:val="14"/>
              </w:rPr>
              <w:t xml:space="preserve"> </w:t>
            </w:r>
            <w:r>
              <w:rPr>
                <w:color w:val="231F20"/>
                <w:sz w:val="14"/>
              </w:rPr>
              <w:t xml:space="preserve">имати негативан утицај на његов </w:t>
            </w:r>
            <w:r>
              <w:rPr>
                <w:color w:val="231F20"/>
                <w:spacing w:val="-3"/>
                <w:sz w:val="14"/>
              </w:rPr>
              <w:t>раст,</w:t>
            </w:r>
            <w:r>
              <w:rPr>
                <w:color w:val="231F20"/>
                <w:spacing w:val="-14"/>
                <w:sz w:val="14"/>
              </w:rPr>
              <w:t xml:space="preserve"> </w:t>
            </w:r>
            <w:r>
              <w:rPr>
                <w:color w:val="231F20"/>
                <w:sz w:val="14"/>
              </w:rPr>
              <w:t>развој;</w:t>
            </w:r>
          </w:p>
          <w:p w:rsidR="00041039" w:rsidRDefault="001B26CB">
            <w:pPr>
              <w:pStyle w:val="TableParagraph"/>
              <w:numPr>
                <w:ilvl w:val="0"/>
                <w:numId w:val="1354"/>
              </w:numPr>
              <w:tabs>
                <w:tab w:val="left" w:pos="157"/>
              </w:tabs>
              <w:spacing w:line="160" w:lineRule="exact"/>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1353"/>
              </w:numPr>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1353"/>
              </w:numPr>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1353"/>
              </w:numPr>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Borders>
              <w:bottom w:val="nil"/>
            </w:tcBorders>
          </w:tcPr>
          <w:p w:rsidR="00041039" w:rsidRDefault="001B26CB">
            <w:pPr>
              <w:pStyle w:val="TableParagraph"/>
              <w:numPr>
                <w:ilvl w:val="0"/>
                <w:numId w:val="1352"/>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1352"/>
              </w:numPr>
              <w:tabs>
                <w:tab w:val="left" w:pos="158"/>
              </w:tabs>
              <w:spacing w:line="156" w:lineRule="exact"/>
              <w:ind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 о томе које вежбе позитивно утичу на статус њиховог органи­ зма, с обзиром на карактеристике њихове професије, а које негатив­ но утичу на здравље.</w:t>
            </w:r>
          </w:p>
          <w:p w:rsidR="00041039" w:rsidRDefault="001B26CB">
            <w:pPr>
              <w:pStyle w:val="TableParagraph"/>
              <w:numPr>
                <w:ilvl w:val="0"/>
                <w:numId w:val="1352"/>
              </w:numPr>
              <w:tabs>
                <w:tab w:val="left" w:pos="158"/>
              </w:tabs>
              <w:spacing w:line="155" w:lineRule="exact"/>
              <w:ind w:hanging="99"/>
              <w:rPr>
                <w:sz w:val="14"/>
              </w:rPr>
            </w:pPr>
            <w:r>
              <w:rPr>
                <w:color w:val="231F20"/>
                <w:sz w:val="14"/>
              </w:rPr>
              <w:t>Ученици који похађају</w:t>
            </w:r>
            <w:r>
              <w:rPr>
                <w:color w:val="231F20"/>
                <w:spacing w:val="-4"/>
                <w:sz w:val="14"/>
              </w:rPr>
              <w:t xml:space="preserve"> </w:t>
            </w:r>
            <w:r>
              <w:rPr>
                <w:color w:val="231F20"/>
                <w:sz w:val="14"/>
              </w:rPr>
              <w:t>чет­</w:t>
            </w:r>
          </w:p>
          <w:p w:rsidR="00041039" w:rsidRDefault="001B26CB">
            <w:pPr>
              <w:pStyle w:val="TableParagraph"/>
              <w:ind w:left="157" w:right="230"/>
              <w:rPr>
                <w:sz w:val="14"/>
              </w:rPr>
            </w:pPr>
            <w:r>
              <w:rPr>
                <w:color w:val="231F20"/>
                <w:sz w:val="14"/>
              </w:rPr>
              <w:t>ворогодишње стручне школе далеко су више оптер</w:t>
            </w:r>
            <w:r>
              <w:rPr>
                <w:color w:val="231F20"/>
                <w:sz w:val="14"/>
              </w:rPr>
              <w:t>ећени у редовном образовању прак­ тичном и теоријском наставом од осталих ученика. Због тога је физичко васпитање, у овим школама, значајно за активан</w:t>
            </w:r>
          </w:p>
          <w:p w:rsidR="00041039" w:rsidRDefault="001B26CB">
            <w:pPr>
              <w:pStyle w:val="TableParagraph"/>
              <w:spacing w:line="237" w:lineRule="auto"/>
              <w:ind w:left="157" w:right="18"/>
              <w:rPr>
                <w:sz w:val="14"/>
              </w:rPr>
            </w:pPr>
            <w:r>
              <w:rPr>
                <w:color w:val="231F20"/>
                <w:sz w:val="14"/>
              </w:rPr>
              <w:t>опоравак ученика, компензацију и релаксацију с обзиром на њихова честа статичка и једнострана оптерећења.</w:t>
            </w:r>
            <w:r>
              <w:rPr>
                <w:color w:val="231F20"/>
                <w:sz w:val="14"/>
              </w:rPr>
              <w:t xml:space="preserve"> Теоријска знања из области физичких активности су од великог значаја за укупним бављењем физичким вежбама.</w:t>
            </w:r>
          </w:p>
        </w:tc>
      </w:tr>
      <w:tr w:rsidR="00041039">
        <w:trPr>
          <w:trHeight w:val="2447"/>
        </w:trPr>
        <w:tc>
          <w:tcPr>
            <w:tcW w:w="1304" w:type="dxa"/>
            <w:tcBorders>
              <w:bottom w:val="nil"/>
            </w:tcBorders>
          </w:tcPr>
          <w:p w:rsidR="00041039" w:rsidRDefault="001B26CB">
            <w:pPr>
              <w:pStyle w:val="TableParagraph"/>
              <w:spacing w:before="19"/>
              <w:ind w:left="56" w:right="116"/>
              <w:rPr>
                <w:sz w:val="14"/>
              </w:rPr>
            </w:pPr>
            <w:r>
              <w:rPr>
                <w:color w:val="231F20"/>
                <w:sz w:val="14"/>
              </w:rPr>
              <w:t>Развој</w:t>
            </w:r>
            <w:r>
              <w:rPr>
                <w:color w:val="231F20"/>
                <w:spacing w:val="-7"/>
                <w:sz w:val="14"/>
              </w:rPr>
              <w:t xml:space="preserve"> </w:t>
            </w:r>
            <w:r>
              <w:rPr>
                <w:color w:val="231F20"/>
                <w:sz w:val="14"/>
              </w:rPr>
              <w:t>моторичких и функционал­ них способности човека, као основа за реализовање постављених циљева и</w:t>
            </w:r>
            <w:r>
              <w:rPr>
                <w:color w:val="231F20"/>
                <w:spacing w:val="-2"/>
                <w:sz w:val="14"/>
              </w:rPr>
              <w:t xml:space="preserve"> </w:t>
            </w:r>
            <w:r>
              <w:rPr>
                <w:color w:val="231F20"/>
                <w:spacing w:val="-3"/>
                <w:sz w:val="14"/>
              </w:rPr>
              <w:t>исхода</w:t>
            </w:r>
          </w:p>
        </w:tc>
        <w:tc>
          <w:tcPr>
            <w:tcW w:w="1587" w:type="dxa"/>
            <w:vMerge w:val="restart"/>
          </w:tcPr>
          <w:p w:rsidR="00041039" w:rsidRDefault="001B26CB">
            <w:pPr>
              <w:pStyle w:val="TableParagraph"/>
              <w:numPr>
                <w:ilvl w:val="0"/>
                <w:numId w:val="1351"/>
              </w:numPr>
              <w:tabs>
                <w:tab w:val="left" w:pos="157"/>
              </w:tabs>
              <w:spacing w:before="9"/>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vMerge w:val="restart"/>
          </w:tcPr>
          <w:p w:rsidR="00041039" w:rsidRDefault="001B26CB">
            <w:pPr>
              <w:pStyle w:val="TableParagraph"/>
              <w:numPr>
                <w:ilvl w:val="0"/>
                <w:numId w:val="1350"/>
              </w:numPr>
              <w:tabs>
                <w:tab w:val="left" w:pos="157"/>
              </w:tabs>
              <w:spacing w:before="9"/>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numPr>
                <w:ilvl w:val="0"/>
                <w:numId w:val="1350"/>
              </w:numPr>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vMerge w:val="restart"/>
          </w:tcPr>
          <w:p w:rsidR="00041039" w:rsidRDefault="001B26CB">
            <w:pPr>
              <w:pStyle w:val="TableParagraph"/>
              <w:numPr>
                <w:ilvl w:val="0"/>
                <w:numId w:val="1349"/>
              </w:numPr>
              <w:tabs>
                <w:tab w:val="left" w:pos="157"/>
              </w:tabs>
              <w:spacing w:before="10"/>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1349"/>
              </w:numPr>
              <w:tabs>
                <w:tab w:val="left" w:pos="157"/>
              </w:tabs>
              <w:spacing w:line="160" w:lineRule="exact"/>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1349"/>
              </w:numPr>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1349"/>
              </w:numPr>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numPr>
                <w:ilvl w:val="0"/>
                <w:numId w:val="1349"/>
              </w:numPr>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1349"/>
              </w:numPr>
              <w:tabs>
                <w:tab w:val="left" w:pos="157"/>
              </w:tabs>
              <w:spacing w:line="153" w:lineRule="exact"/>
              <w:ind w:hanging="99"/>
              <w:rPr>
                <w:sz w:val="14"/>
              </w:rPr>
            </w:pPr>
            <w:r>
              <w:rPr>
                <w:color w:val="231F20"/>
                <w:sz w:val="14"/>
              </w:rPr>
              <w:t>Аеробик.</w:t>
            </w:r>
          </w:p>
          <w:p w:rsidR="00041039" w:rsidRDefault="001B26CB">
            <w:pPr>
              <w:pStyle w:val="TableParagraph"/>
              <w:numPr>
                <w:ilvl w:val="0"/>
                <w:numId w:val="1349"/>
              </w:numPr>
              <w:tabs>
                <w:tab w:val="left" w:pos="157"/>
              </w:tabs>
              <w:spacing w:line="166"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tcBorders>
              <w:top w:val="nil"/>
              <w:bottom w:val="nil"/>
            </w:tcBorders>
          </w:tcPr>
          <w:p w:rsidR="00041039" w:rsidRDefault="00041039">
            <w:pPr>
              <w:rPr>
                <w:sz w:val="2"/>
                <w:szCs w:val="2"/>
              </w:rPr>
            </w:pPr>
          </w:p>
        </w:tc>
      </w:tr>
      <w:tr w:rsidR="00041039">
        <w:trPr>
          <w:trHeight w:val="111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1348"/>
              </w:numPr>
              <w:tabs>
                <w:tab w:val="left" w:pos="158"/>
              </w:tabs>
              <w:spacing w:line="154" w:lineRule="exact"/>
              <w:ind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348"/>
              </w:numPr>
              <w:tabs>
                <w:tab w:val="left" w:pos="158"/>
              </w:tabs>
              <w:spacing w:line="160" w:lineRule="exact"/>
              <w:ind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numPr>
                <w:ilvl w:val="0"/>
                <w:numId w:val="1348"/>
              </w:numPr>
              <w:tabs>
                <w:tab w:val="left" w:pos="158"/>
              </w:tabs>
              <w:spacing w:line="166" w:lineRule="exact"/>
              <w:ind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tc>
      </w:tr>
      <w:tr w:rsidR="00041039">
        <w:trPr>
          <w:trHeight w:val="572"/>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ind w:left="58" w:right="109"/>
              <w:rPr>
                <w:sz w:val="14"/>
              </w:rPr>
            </w:pPr>
            <w:r>
              <w:rPr>
                <w:b/>
                <w:color w:val="231F20"/>
                <w:sz w:val="14"/>
              </w:rPr>
              <w:t xml:space="preserve">Подела одељења на групе </w:t>
            </w:r>
            <w:r>
              <w:rPr>
                <w:color w:val="231F20"/>
                <w:sz w:val="14"/>
              </w:rPr>
              <w:t>Одељење се не дели приликом реализације.</w:t>
            </w:r>
          </w:p>
        </w:tc>
      </w:tr>
    </w:tbl>
    <w:p w:rsidR="00041039" w:rsidRDefault="00041039">
      <w:pPr>
        <w:rPr>
          <w:sz w:val="14"/>
        </w:rPr>
        <w:sectPr w:rsidR="00041039">
          <w:pgSz w:w="11910" w:h="15710"/>
          <w:pgMar w:top="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796"/>
        </w:trPr>
        <w:tc>
          <w:tcPr>
            <w:tcW w:w="1304" w:type="dxa"/>
          </w:tcPr>
          <w:p w:rsidR="00041039" w:rsidRDefault="001B26CB">
            <w:pPr>
              <w:pStyle w:val="TableParagraph"/>
              <w:spacing w:before="18"/>
              <w:ind w:left="56" w:right="77"/>
              <w:rPr>
                <w:sz w:val="14"/>
              </w:rPr>
            </w:pPr>
            <w:r>
              <w:rPr>
                <w:color w:val="231F20"/>
                <w:sz w:val="14"/>
              </w:rPr>
              <w:lastRenderedPageBreak/>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spacing w:before="1"/>
              <w:ind w:left="56"/>
              <w:rPr>
                <w:sz w:val="14"/>
              </w:rPr>
            </w:pPr>
            <w:r>
              <w:rPr>
                <w:color w:val="231F20"/>
                <w:sz w:val="14"/>
              </w:rPr>
              <w:t>Атлетика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35"/>
              <w:ind w:left="56" w:right="54"/>
              <w:rPr>
                <w:sz w:val="14"/>
              </w:rPr>
            </w:pPr>
            <w:r>
              <w:rPr>
                <w:color w:val="231F20"/>
                <w:sz w:val="14"/>
              </w:rPr>
              <w:t>Спортска гимнастика: (Вежбе на</w:t>
            </w:r>
            <w:r>
              <w:rPr>
                <w:color w:val="231F20"/>
                <w:spacing w:val="-9"/>
                <w:sz w:val="14"/>
              </w:rPr>
              <w:t xml:space="preserve"> </w:t>
            </w:r>
            <w:r>
              <w:rPr>
                <w:color w:val="231F20"/>
                <w:sz w:val="14"/>
              </w:rPr>
              <w:t>справама и</w:t>
            </w:r>
            <w:r>
              <w:rPr>
                <w:color w:val="231F20"/>
                <w:spacing w:val="-2"/>
                <w:sz w:val="14"/>
              </w:rPr>
              <w:t xml:space="preserve"> </w:t>
            </w:r>
            <w:r>
              <w:rPr>
                <w:color w:val="231F20"/>
                <w:sz w:val="14"/>
              </w:rPr>
              <w:t>тлу)</w:t>
            </w:r>
          </w:p>
        </w:tc>
        <w:tc>
          <w:tcPr>
            <w:tcW w:w="1587" w:type="dxa"/>
          </w:tcPr>
          <w:p w:rsidR="00041039" w:rsidRDefault="001B26CB">
            <w:pPr>
              <w:pStyle w:val="TableParagraph"/>
              <w:numPr>
                <w:ilvl w:val="0"/>
                <w:numId w:val="1347"/>
              </w:numPr>
              <w:tabs>
                <w:tab w:val="left" w:pos="157"/>
              </w:tabs>
              <w:spacing w:before="8"/>
              <w:ind w:right="81"/>
              <w:rPr>
                <w:sz w:val="14"/>
              </w:rPr>
            </w:pPr>
            <w:r>
              <w:rPr>
                <w:color w:val="231F20"/>
                <w:sz w:val="14"/>
              </w:rPr>
              <w:t>Стицање моторичких умења (вештина) и теоријских знања неопходних за</w:t>
            </w:r>
            <w:r>
              <w:rPr>
                <w:color w:val="231F20"/>
                <w:spacing w:val="-22"/>
                <w:sz w:val="14"/>
              </w:rPr>
              <w:t xml:space="preserve"> </w:t>
            </w:r>
            <w:r>
              <w:rPr>
                <w:color w:val="231F20"/>
                <w:sz w:val="14"/>
              </w:rPr>
              <w:t>њихово усвајање.</w:t>
            </w:r>
          </w:p>
          <w:p w:rsidR="00041039" w:rsidRDefault="001B26CB">
            <w:pPr>
              <w:pStyle w:val="TableParagraph"/>
              <w:numPr>
                <w:ilvl w:val="0"/>
                <w:numId w:val="1347"/>
              </w:numPr>
              <w:tabs>
                <w:tab w:val="left" w:pos="157"/>
              </w:tabs>
              <w:spacing w:line="155" w:lineRule="exact"/>
              <w:rPr>
                <w:sz w:val="14"/>
              </w:rPr>
            </w:pPr>
            <w:r>
              <w:rPr>
                <w:color w:val="231F20"/>
                <w:sz w:val="14"/>
              </w:rPr>
              <w:t>Мотивација ученика</w:t>
            </w:r>
            <w:r>
              <w:rPr>
                <w:color w:val="231F20"/>
                <w:spacing w:val="-8"/>
                <w:sz w:val="14"/>
              </w:rPr>
              <w:t xml:space="preserve"> </w:t>
            </w:r>
            <w:r>
              <w:rPr>
                <w:color w:val="231F20"/>
                <w:sz w:val="14"/>
              </w:rPr>
              <w:t>за</w:t>
            </w:r>
          </w:p>
          <w:p w:rsidR="00041039" w:rsidRDefault="001B26CB">
            <w:pPr>
              <w:pStyle w:val="TableParagraph"/>
              <w:ind w:right="152"/>
              <w:rPr>
                <w:sz w:val="14"/>
              </w:rPr>
            </w:pPr>
            <w:r>
              <w:rPr>
                <w:color w:val="231F20"/>
                <w:sz w:val="14"/>
              </w:rPr>
              <w:t>бављењем физичким активностима.</w:t>
            </w:r>
          </w:p>
          <w:p w:rsidR="00041039" w:rsidRDefault="001B26CB">
            <w:pPr>
              <w:pStyle w:val="TableParagraph"/>
              <w:numPr>
                <w:ilvl w:val="0"/>
                <w:numId w:val="1347"/>
              </w:numPr>
              <w:tabs>
                <w:tab w:val="left" w:pos="157"/>
              </w:tabs>
              <w:spacing w:line="160" w:lineRule="exact"/>
              <w:ind w:right="108"/>
              <w:rPr>
                <w:sz w:val="14"/>
              </w:rPr>
            </w:pPr>
            <w:r>
              <w:rPr>
                <w:color w:val="231F20"/>
                <w:sz w:val="14"/>
              </w:rPr>
              <w:t>Формирање позитив­ них психо</w:t>
            </w:r>
            <w:r>
              <w:rPr>
                <w:color w:val="231F20"/>
                <w:spacing w:val="-13"/>
                <w:sz w:val="14"/>
              </w:rPr>
              <w:t xml:space="preserve"> </w:t>
            </w:r>
            <w:r>
              <w:rPr>
                <w:color w:val="231F20"/>
                <w:sz w:val="14"/>
              </w:rPr>
              <w:t>социјалних образаца</w:t>
            </w:r>
            <w:r>
              <w:rPr>
                <w:color w:val="231F20"/>
                <w:spacing w:val="-3"/>
                <w:sz w:val="14"/>
              </w:rPr>
              <w:t xml:space="preserve"> </w:t>
            </w:r>
            <w:r>
              <w:rPr>
                <w:color w:val="231F20"/>
                <w:sz w:val="14"/>
              </w:rPr>
              <w:t>понашања.</w:t>
            </w:r>
          </w:p>
          <w:p w:rsidR="00041039" w:rsidRDefault="001B26CB">
            <w:pPr>
              <w:pStyle w:val="TableParagraph"/>
              <w:numPr>
                <w:ilvl w:val="0"/>
                <w:numId w:val="1347"/>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numPr>
                <w:ilvl w:val="0"/>
                <w:numId w:val="1347"/>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 покрета и кретања.</w:t>
            </w:r>
          </w:p>
          <w:p w:rsidR="00041039" w:rsidRDefault="001B26CB">
            <w:pPr>
              <w:pStyle w:val="TableParagraph"/>
              <w:numPr>
                <w:ilvl w:val="0"/>
                <w:numId w:val="1347"/>
              </w:numPr>
              <w:tabs>
                <w:tab w:val="left" w:pos="157"/>
              </w:tabs>
              <w:spacing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041039" w:rsidRDefault="001B26CB">
            <w:pPr>
              <w:pStyle w:val="TableParagraph"/>
              <w:numPr>
                <w:ilvl w:val="0"/>
                <w:numId w:val="1347"/>
              </w:numPr>
              <w:tabs>
                <w:tab w:val="left" w:pos="157"/>
              </w:tabs>
              <w:spacing w:line="160" w:lineRule="exact"/>
              <w:ind w:right="76"/>
              <w:rPr>
                <w:sz w:val="14"/>
              </w:rPr>
            </w:pPr>
            <w:r>
              <w:rPr>
                <w:color w:val="231F20"/>
                <w:sz w:val="14"/>
              </w:rPr>
              <w:t>Повезивање моторич­ ких задатака у</w:t>
            </w:r>
            <w:r>
              <w:rPr>
                <w:color w:val="231F20"/>
                <w:spacing w:val="-14"/>
                <w:sz w:val="14"/>
              </w:rPr>
              <w:t xml:space="preserve"> </w:t>
            </w:r>
            <w:r>
              <w:rPr>
                <w:color w:val="231F20"/>
                <w:sz w:val="14"/>
              </w:rPr>
              <w:t xml:space="preserve">целине. </w:t>
            </w: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numPr>
                <w:ilvl w:val="0"/>
                <w:numId w:val="1347"/>
              </w:numPr>
              <w:tabs>
                <w:tab w:val="left" w:pos="157"/>
              </w:tabs>
              <w:spacing w:line="160" w:lineRule="exact"/>
              <w:ind w:right="81"/>
              <w:rPr>
                <w:sz w:val="14"/>
              </w:rPr>
            </w:pPr>
            <w:r>
              <w:rPr>
                <w:color w:val="231F20"/>
                <w:sz w:val="14"/>
              </w:rPr>
              <w:t>Развијање елемената ритма у</w:t>
            </w:r>
            <w:r>
              <w:rPr>
                <w:color w:val="231F20"/>
                <w:spacing w:val="-10"/>
                <w:sz w:val="14"/>
              </w:rPr>
              <w:t xml:space="preserve"> </w:t>
            </w:r>
            <w:r>
              <w:rPr>
                <w:color w:val="231F20"/>
                <w:sz w:val="14"/>
              </w:rPr>
              <w:t>препознавању целина: рад ­ одмор, напрезање ­релакса­ ција, убрзање ­ успо­ равање.</w:t>
            </w:r>
          </w:p>
          <w:p w:rsidR="00041039" w:rsidRDefault="001B26CB">
            <w:pPr>
              <w:pStyle w:val="TableParagraph"/>
              <w:numPr>
                <w:ilvl w:val="0"/>
                <w:numId w:val="1347"/>
              </w:numPr>
              <w:tabs>
                <w:tab w:val="left" w:pos="157"/>
              </w:tabs>
              <w:spacing w:line="160" w:lineRule="exact"/>
              <w:ind w:right="59"/>
              <w:rPr>
                <w:sz w:val="14"/>
              </w:rPr>
            </w:pPr>
            <w:r>
              <w:rPr>
                <w:color w:val="231F20"/>
                <w:sz w:val="14"/>
              </w:rPr>
              <w:t>Избор спортских грана, спортско ­ рекреативних или других кретних активности као трајног опредељења за њихово свакодневно упражњавање.</w:t>
            </w:r>
          </w:p>
        </w:tc>
        <w:tc>
          <w:tcPr>
            <w:tcW w:w="2551" w:type="dxa"/>
          </w:tcPr>
          <w:p w:rsidR="00041039" w:rsidRDefault="001B26CB">
            <w:pPr>
              <w:pStyle w:val="TableParagraph"/>
              <w:numPr>
                <w:ilvl w:val="0"/>
                <w:numId w:val="1346"/>
              </w:numPr>
              <w:tabs>
                <w:tab w:val="left" w:pos="157"/>
              </w:tabs>
              <w:spacing w:before="9"/>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1346"/>
              </w:numPr>
              <w:tabs>
                <w:tab w:val="left" w:pos="157"/>
              </w:tabs>
              <w:spacing w:line="156" w:lineRule="exact"/>
              <w:ind w:hanging="99"/>
              <w:rPr>
                <w:sz w:val="14"/>
              </w:rPr>
            </w:pPr>
            <w:r>
              <w:rPr>
                <w:color w:val="231F20"/>
                <w:sz w:val="14"/>
              </w:rPr>
              <w:t>демонстрира</w:t>
            </w:r>
            <w:r>
              <w:rPr>
                <w:color w:val="231F20"/>
                <w:sz w:val="14"/>
              </w:rPr>
              <w:t xml:space="preserve">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numPr>
                <w:ilvl w:val="0"/>
                <w:numId w:val="1346"/>
              </w:numPr>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w:t>
            </w:r>
            <w:r>
              <w:rPr>
                <w:color w:val="231F20"/>
                <w:sz w:val="14"/>
              </w:rPr>
              <w:t xml:space="preserve"> за коју школа има услове;</w:t>
            </w:r>
          </w:p>
          <w:p w:rsidR="00041039" w:rsidRDefault="001B26CB">
            <w:pPr>
              <w:pStyle w:val="TableParagraph"/>
              <w:numPr>
                <w:ilvl w:val="0"/>
                <w:numId w:val="1346"/>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1346"/>
              </w:numPr>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1346"/>
              </w:numPr>
              <w:tabs>
                <w:tab w:val="left" w:pos="157"/>
              </w:tabs>
              <w:spacing w:line="237" w:lineRule="auto"/>
              <w:ind w:right="131" w:hanging="99"/>
              <w:rPr>
                <w:sz w:val="14"/>
              </w:rPr>
            </w:pPr>
            <w:r>
              <w:rPr>
                <w:color w:val="231F20"/>
                <w:sz w:val="14"/>
              </w:rPr>
              <w:t>сагледа негативне утицаје савреме­ ног начи</w:t>
            </w:r>
            <w:r>
              <w:rPr>
                <w:color w:val="231F20"/>
                <w:sz w:val="14"/>
              </w:rPr>
              <w:t xml:space="preserve">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1346"/>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w:t>
            </w:r>
            <w:r>
              <w:rPr>
                <w:color w:val="231F20"/>
                <w:sz w:val="14"/>
              </w:rPr>
              <w:t>нтактима;</w:t>
            </w:r>
          </w:p>
          <w:p w:rsidR="00041039" w:rsidRDefault="001B26CB">
            <w:pPr>
              <w:pStyle w:val="TableParagraph"/>
              <w:numPr>
                <w:ilvl w:val="0"/>
                <w:numId w:val="1346"/>
              </w:numPr>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1346"/>
              </w:numPr>
              <w:tabs>
                <w:tab w:val="left" w:pos="157"/>
              </w:tabs>
              <w:spacing w:line="237" w:lineRule="auto"/>
              <w:ind w:right="291" w:hanging="99"/>
              <w:rPr>
                <w:sz w:val="14"/>
              </w:rPr>
            </w:pPr>
            <w:r>
              <w:rPr>
                <w:color w:val="231F20"/>
                <w:sz w:val="14"/>
              </w:rPr>
              <w:t>самостално бира физичку,</w:t>
            </w:r>
            <w:r>
              <w:rPr>
                <w:color w:val="231F20"/>
                <w:spacing w:val="-14"/>
                <w:sz w:val="14"/>
              </w:rPr>
              <w:t xml:space="preserve"> </w:t>
            </w:r>
            <w:r>
              <w:rPr>
                <w:color w:val="231F20"/>
                <w:sz w:val="14"/>
              </w:rPr>
              <w:t xml:space="preserve">односно спортску активност и изводи је у окружењу у </w:t>
            </w:r>
            <w:r>
              <w:rPr>
                <w:color w:val="231F20"/>
                <w:spacing w:val="-3"/>
                <w:sz w:val="14"/>
              </w:rPr>
              <w:t>коме</w:t>
            </w:r>
            <w:r>
              <w:rPr>
                <w:color w:val="231F20"/>
                <w:spacing w:val="-1"/>
                <w:sz w:val="14"/>
              </w:rPr>
              <w:t xml:space="preserve"> </w:t>
            </w:r>
            <w:r>
              <w:rPr>
                <w:color w:val="231F20"/>
                <w:sz w:val="14"/>
              </w:rPr>
              <w:t>живи;</w:t>
            </w:r>
          </w:p>
          <w:p w:rsidR="00041039" w:rsidRDefault="001B26CB">
            <w:pPr>
              <w:pStyle w:val="TableParagraph"/>
              <w:numPr>
                <w:ilvl w:val="0"/>
                <w:numId w:val="1346"/>
              </w:numPr>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1346"/>
              </w:numPr>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numPr>
                <w:ilvl w:val="0"/>
                <w:numId w:val="1346"/>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w:t>
            </w:r>
            <w:r>
              <w:rPr>
                <w:color w:val="231F20"/>
                <w:sz w:val="14"/>
              </w:rPr>
              <w:t xml:space="preserve"> па школским спорт­ ским такмичењима и у слободном времену;</w:t>
            </w:r>
          </w:p>
          <w:p w:rsidR="00041039" w:rsidRDefault="001B26CB">
            <w:pPr>
              <w:pStyle w:val="TableParagraph"/>
              <w:numPr>
                <w:ilvl w:val="0"/>
                <w:numId w:val="1346"/>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1346"/>
              </w:numPr>
              <w:tabs>
                <w:tab w:val="left" w:pos="157"/>
              </w:tabs>
              <w:spacing w:line="237" w:lineRule="auto"/>
              <w:ind w:right="171" w:hanging="99"/>
              <w:rPr>
                <w:sz w:val="14"/>
              </w:rPr>
            </w:pPr>
            <w:r>
              <w:rPr>
                <w:color w:val="231F20"/>
                <w:sz w:val="14"/>
              </w:rPr>
              <w:t>правилно се односи према</w:t>
            </w:r>
            <w:r>
              <w:rPr>
                <w:color w:val="231F20"/>
                <w:spacing w:val="-17"/>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w:t>
            </w:r>
            <w:r>
              <w:rPr>
                <w:color w:val="231F20"/>
                <w:sz w:val="14"/>
              </w:rPr>
              <w:t>портом, што преноси у</w:t>
            </w:r>
            <w:r>
              <w:rPr>
                <w:color w:val="231F20"/>
                <w:spacing w:val="-24"/>
                <w:sz w:val="14"/>
              </w:rPr>
              <w:t xml:space="preserve"> </w:t>
            </w:r>
            <w:r>
              <w:rPr>
                <w:color w:val="231F20"/>
                <w:sz w:val="14"/>
              </w:rPr>
              <w:t>свакодневни живот</w:t>
            </w:r>
          </w:p>
          <w:p w:rsidR="00041039" w:rsidRDefault="001B26CB">
            <w:pPr>
              <w:pStyle w:val="TableParagraph"/>
              <w:numPr>
                <w:ilvl w:val="0"/>
                <w:numId w:val="1346"/>
              </w:numPr>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7"/>
              <w:ind w:left="0"/>
              <w:rPr>
                <w:b/>
                <w:sz w:val="15"/>
              </w:rPr>
            </w:pPr>
          </w:p>
          <w:p w:rsidR="00041039" w:rsidRDefault="001B26CB">
            <w:pPr>
              <w:pStyle w:val="TableParagraph"/>
              <w:spacing w:before="1" w:line="160" w:lineRule="exact"/>
              <w:ind w:left="57"/>
              <w:rPr>
                <w:b/>
                <w:sz w:val="14"/>
              </w:rPr>
            </w:pPr>
            <w:r>
              <w:rPr>
                <w:b/>
                <w:color w:val="231F20"/>
                <w:sz w:val="14"/>
              </w:rPr>
              <w:t>АТЛЕТИКА</w:t>
            </w:r>
          </w:p>
          <w:p w:rsidR="00041039" w:rsidRDefault="001B26CB">
            <w:pPr>
              <w:pStyle w:val="TableParagraph"/>
              <w:spacing w:before="1" w:line="235" w:lineRule="auto"/>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p w:rsidR="00041039" w:rsidRDefault="001B26CB">
            <w:pPr>
              <w:pStyle w:val="TableParagraph"/>
              <w:spacing w:line="158" w:lineRule="exact"/>
              <w:ind w:left="57"/>
              <w:rPr>
                <w:b/>
                <w:sz w:val="14"/>
              </w:rPr>
            </w:pPr>
            <w:r>
              <w:rPr>
                <w:b/>
                <w:color w:val="231F20"/>
                <w:sz w:val="14"/>
              </w:rPr>
              <w:t>Трчање:</w:t>
            </w:r>
          </w:p>
          <w:p w:rsidR="00041039" w:rsidRDefault="001B26CB">
            <w:pPr>
              <w:pStyle w:val="TableParagraph"/>
              <w:spacing w:before="1" w:line="235" w:lineRule="auto"/>
              <w:ind w:left="57"/>
              <w:rPr>
                <w:b/>
                <w:sz w:val="14"/>
              </w:rPr>
            </w:pPr>
            <w:r>
              <w:rPr>
                <w:b/>
                <w:color w:val="231F20"/>
                <w:sz w:val="14"/>
              </w:rPr>
              <w:t>Усавршавање технике трчања на кратке н средње стазе:</w:t>
            </w:r>
          </w:p>
          <w:p w:rsidR="00041039" w:rsidRDefault="001B26CB">
            <w:pPr>
              <w:pStyle w:val="TableParagraph"/>
              <w:numPr>
                <w:ilvl w:val="0"/>
                <w:numId w:val="1345"/>
              </w:numPr>
              <w:tabs>
                <w:tab w:val="left" w:pos="163"/>
              </w:tabs>
              <w:spacing w:line="157" w:lineRule="exact"/>
              <w:ind w:firstLine="0"/>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1345"/>
              </w:numPr>
              <w:tabs>
                <w:tab w:val="left" w:pos="163"/>
              </w:tabs>
              <w:spacing w:line="158" w:lineRule="exact"/>
              <w:ind w:firstLine="0"/>
              <w:rPr>
                <w:sz w:val="14"/>
              </w:rPr>
            </w:pPr>
            <w:r>
              <w:rPr>
                <w:color w:val="231F20"/>
                <w:sz w:val="14"/>
              </w:rPr>
              <w:t>800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1345"/>
              </w:numPr>
              <w:tabs>
                <w:tab w:val="left" w:pos="163"/>
              </w:tabs>
              <w:spacing w:before="1" w:line="235" w:lineRule="auto"/>
              <w:ind w:right="173" w:firstLine="0"/>
              <w:rPr>
                <w:sz w:val="14"/>
              </w:rPr>
            </w:pPr>
            <w:r>
              <w:rPr>
                <w:color w:val="231F20"/>
                <w:sz w:val="14"/>
              </w:rPr>
              <w:t>штафета 4 х 100 м ученици и ученице. Вежбање технике трчања на средњим ста­ зама умереним интензитетом и</w:t>
            </w:r>
            <w:r>
              <w:rPr>
                <w:color w:val="231F20"/>
                <w:spacing w:val="-18"/>
                <w:sz w:val="14"/>
              </w:rPr>
              <w:t xml:space="preserve"> </w:t>
            </w:r>
            <w:r>
              <w:rPr>
                <w:color w:val="231F20"/>
                <w:sz w:val="14"/>
              </w:rPr>
              <w:t xml:space="preserve">различитим темпом у трајању </w:t>
            </w:r>
            <w:r>
              <w:rPr>
                <w:color w:val="231F20"/>
                <w:spacing w:val="-3"/>
                <w:sz w:val="14"/>
              </w:rPr>
              <w:t xml:space="preserve">од </w:t>
            </w:r>
            <w:r>
              <w:rPr>
                <w:color w:val="231F20"/>
                <w:sz w:val="14"/>
              </w:rPr>
              <w:t>5 до 10</w:t>
            </w:r>
            <w:r>
              <w:rPr>
                <w:color w:val="231F20"/>
                <w:spacing w:val="2"/>
                <w:sz w:val="14"/>
              </w:rPr>
              <w:t xml:space="preserve"> </w:t>
            </w:r>
            <w:r>
              <w:rPr>
                <w:color w:val="231F20"/>
                <w:sz w:val="14"/>
              </w:rPr>
              <w:t>минута.</w:t>
            </w:r>
          </w:p>
          <w:p w:rsidR="00041039" w:rsidRDefault="001B26CB">
            <w:pPr>
              <w:pStyle w:val="TableParagraph"/>
              <w:spacing w:line="158" w:lineRule="exact"/>
              <w:ind w:left="57"/>
              <w:rPr>
                <w:sz w:val="14"/>
              </w:rPr>
            </w:pPr>
            <w:r>
              <w:rPr>
                <w:color w:val="231F20"/>
                <w:sz w:val="14"/>
              </w:rPr>
              <w:t>Крос: јесењи и пролећни:</w:t>
            </w:r>
          </w:p>
          <w:p w:rsidR="00041039" w:rsidRDefault="001B26CB">
            <w:pPr>
              <w:pStyle w:val="TableParagraph"/>
              <w:numPr>
                <w:ilvl w:val="0"/>
                <w:numId w:val="1345"/>
              </w:numPr>
              <w:tabs>
                <w:tab w:val="left" w:pos="163"/>
              </w:tabs>
              <w:spacing w:line="158" w:lineRule="exact"/>
              <w:ind w:firstLine="0"/>
              <w:rPr>
                <w:sz w:val="14"/>
              </w:rPr>
            </w:pPr>
            <w:r>
              <w:rPr>
                <w:color w:val="231F20"/>
                <w:sz w:val="14"/>
              </w:rPr>
              <w:t>800 м ученице;</w:t>
            </w:r>
          </w:p>
          <w:p w:rsidR="00041039" w:rsidRDefault="001B26CB">
            <w:pPr>
              <w:pStyle w:val="TableParagraph"/>
              <w:numPr>
                <w:ilvl w:val="0"/>
                <w:numId w:val="1345"/>
              </w:numPr>
              <w:tabs>
                <w:tab w:val="left" w:pos="163"/>
              </w:tabs>
              <w:spacing w:line="158" w:lineRule="exact"/>
              <w:ind w:firstLine="0"/>
              <w:rPr>
                <w:sz w:val="14"/>
              </w:rPr>
            </w:pPr>
            <w:r>
              <w:rPr>
                <w:color w:val="231F20"/>
                <w:sz w:val="14"/>
              </w:rPr>
              <w:t>1000 м ученици.</w:t>
            </w:r>
          </w:p>
          <w:p w:rsidR="00041039" w:rsidRDefault="001B26CB">
            <w:pPr>
              <w:pStyle w:val="TableParagraph"/>
              <w:spacing w:line="158" w:lineRule="exact"/>
              <w:ind w:left="57"/>
              <w:rPr>
                <w:b/>
                <w:sz w:val="14"/>
              </w:rPr>
            </w:pPr>
            <w:r>
              <w:rPr>
                <w:b/>
                <w:color w:val="231F20"/>
                <w:sz w:val="14"/>
              </w:rPr>
              <w:t>Скокови:</w:t>
            </w:r>
          </w:p>
          <w:p w:rsidR="00041039" w:rsidRDefault="001B26CB">
            <w:pPr>
              <w:pStyle w:val="TableParagraph"/>
              <w:spacing w:before="1" w:line="235" w:lineRule="auto"/>
              <w:ind w:left="57" w:right="564"/>
              <w:rPr>
                <w:b/>
                <w:sz w:val="14"/>
              </w:rPr>
            </w:pPr>
            <w:r>
              <w:rPr>
                <w:color w:val="231F20"/>
                <w:sz w:val="14"/>
              </w:rPr>
              <w:t xml:space="preserve">Скок удаљ, корачном техником. Скок увис, леђном техником. </w:t>
            </w:r>
            <w:r>
              <w:rPr>
                <w:b/>
                <w:color w:val="231F20"/>
                <w:sz w:val="14"/>
              </w:rPr>
              <w:t>Бацање:</w:t>
            </w:r>
          </w:p>
          <w:p w:rsidR="00041039" w:rsidRDefault="001B26CB">
            <w:pPr>
              <w:pStyle w:val="TableParagraph"/>
              <w:spacing w:before="1" w:line="235" w:lineRule="auto"/>
              <w:ind w:left="57"/>
              <w:rPr>
                <w:sz w:val="14"/>
              </w:rPr>
            </w:pPr>
            <w:r>
              <w:rPr>
                <w:color w:val="231F20"/>
                <w:sz w:val="14"/>
              </w:rPr>
              <w:t>Бацање кугле, једна од рационалних техника (ученице 4 кг, ученици 5 кг).</w:t>
            </w:r>
          </w:p>
          <w:p w:rsidR="00041039" w:rsidRDefault="001B26CB">
            <w:pPr>
              <w:pStyle w:val="TableParagraph"/>
              <w:spacing w:before="1" w:line="235" w:lineRule="auto"/>
              <w:ind w:left="57" w:right="84"/>
              <w:rPr>
                <w:sz w:val="14"/>
              </w:rPr>
            </w:pPr>
            <w:r>
              <w:rPr>
                <w:color w:val="231F20"/>
                <w:sz w:val="14"/>
              </w:rPr>
              <w:t>Спровести такмичења у одељењу на резултат, у свим ре</w:t>
            </w:r>
            <w:r>
              <w:rPr>
                <w:color w:val="231F20"/>
                <w:sz w:val="14"/>
              </w:rPr>
              <w:t>ализованим атлетским дисциплинама.</w:t>
            </w:r>
          </w:p>
          <w:p w:rsidR="00041039" w:rsidRDefault="00041039">
            <w:pPr>
              <w:pStyle w:val="TableParagraph"/>
              <w:spacing w:before="9"/>
              <w:ind w:left="0"/>
              <w:rPr>
                <w:b/>
                <w:sz w:val="13"/>
              </w:rPr>
            </w:pPr>
          </w:p>
          <w:p w:rsidR="00041039" w:rsidRDefault="001B26CB">
            <w:pPr>
              <w:pStyle w:val="TableParagraph"/>
              <w:spacing w:line="235" w:lineRule="auto"/>
              <w:ind w:left="57"/>
              <w:rPr>
                <w:b/>
                <w:sz w:val="14"/>
              </w:rPr>
            </w:pPr>
            <w:r>
              <w:rPr>
                <w:b/>
                <w:color w:val="231F20"/>
                <w:sz w:val="14"/>
              </w:rPr>
              <w:t>СПОРТСКА ГИМНАСТИКА: ВЕЖБЕ НА СПРАВАМА И ТЛУ</w:t>
            </w:r>
          </w:p>
          <w:p w:rsidR="00041039" w:rsidRDefault="001B26CB">
            <w:pPr>
              <w:pStyle w:val="TableParagraph"/>
              <w:spacing w:line="157" w:lineRule="exact"/>
              <w:ind w:left="57"/>
              <w:rPr>
                <w:b/>
                <w:sz w:val="14"/>
              </w:rPr>
            </w:pPr>
            <w:r>
              <w:rPr>
                <w:b/>
                <w:color w:val="231F20"/>
                <w:sz w:val="14"/>
              </w:rPr>
              <w:t>Напомене:</w:t>
            </w:r>
          </w:p>
          <w:p w:rsidR="00041039" w:rsidRDefault="001B26CB">
            <w:pPr>
              <w:pStyle w:val="TableParagraph"/>
              <w:numPr>
                <w:ilvl w:val="0"/>
                <w:numId w:val="1345"/>
              </w:numPr>
              <w:tabs>
                <w:tab w:val="left" w:pos="163"/>
              </w:tabs>
              <w:spacing w:before="1" w:line="235" w:lineRule="auto"/>
              <w:ind w:left="162" w:right="61"/>
              <w:jc w:val="both"/>
              <w:rPr>
                <w:sz w:val="14"/>
              </w:rPr>
            </w:pPr>
            <w:r>
              <w:rPr>
                <w:color w:val="231F20"/>
                <w:sz w:val="14"/>
              </w:rPr>
              <w:t>Наставник формира групе на основу</w:t>
            </w:r>
            <w:r>
              <w:rPr>
                <w:color w:val="231F20"/>
                <w:spacing w:val="-14"/>
                <w:sz w:val="14"/>
              </w:rPr>
              <w:t xml:space="preserve"> </w:t>
            </w:r>
            <w:r>
              <w:rPr>
                <w:color w:val="231F20"/>
                <w:sz w:val="14"/>
              </w:rPr>
              <w:t xml:space="preserve">умења (вештина) ученика стечених после основне </w:t>
            </w:r>
            <w:r>
              <w:rPr>
                <w:color w:val="231F20"/>
                <w:spacing w:val="-3"/>
                <w:sz w:val="14"/>
              </w:rPr>
              <w:t xml:space="preserve">школе: </w:t>
            </w:r>
            <w:r>
              <w:rPr>
                <w:color w:val="231F20"/>
                <w:sz w:val="14"/>
              </w:rPr>
              <w:t>основни, средњи и напредни</w:t>
            </w:r>
            <w:r>
              <w:rPr>
                <w:color w:val="231F20"/>
                <w:spacing w:val="-2"/>
                <w:sz w:val="14"/>
              </w:rPr>
              <w:t xml:space="preserve"> </w:t>
            </w:r>
            <w:r>
              <w:rPr>
                <w:color w:val="231F20"/>
                <w:sz w:val="14"/>
              </w:rPr>
              <w:t>ниво.</w:t>
            </w:r>
          </w:p>
          <w:p w:rsidR="00041039" w:rsidRDefault="001B26CB">
            <w:pPr>
              <w:pStyle w:val="TableParagraph"/>
              <w:numPr>
                <w:ilvl w:val="0"/>
                <w:numId w:val="1345"/>
              </w:numPr>
              <w:tabs>
                <w:tab w:val="left" w:pos="163"/>
              </w:tabs>
              <w:spacing w:before="1" w:line="235" w:lineRule="auto"/>
              <w:ind w:left="162" w:right="54"/>
              <w:rPr>
                <w:sz w:val="14"/>
              </w:rPr>
            </w:pPr>
            <w:r>
              <w:rPr>
                <w:color w:val="231F20"/>
                <w:sz w:val="14"/>
              </w:rPr>
              <w:t>Наставник олакшава, односно отежава</w:t>
            </w:r>
            <w:r>
              <w:rPr>
                <w:color w:val="231F20"/>
                <w:spacing w:val="-19"/>
                <w:sz w:val="14"/>
              </w:rPr>
              <w:t xml:space="preserve"> </w:t>
            </w:r>
            <w:r>
              <w:rPr>
                <w:color w:val="231F20"/>
                <w:sz w:val="14"/>
              </w:rPr>
              <w:t>про­ грам на основу моторичких способности и претходно стечених умења</w:t>
            </w:r>
            <w:r>
              <w:rPr>
                <w:color w:val="231F20"/>
                <w:spacing w:val="-5"/>
                <w:sz w:val="14"/>
              </w:rPr>
              <w:t xml:space="preserve"> </w:t>
            </w:r>
            <w:r>
              <w:rPr>
                <w:color w:val="231F20"/>
                <w:sz w:val="14"/>
              </w:rPr>
              <w:t>ученика.</w:t>
            </w:r>
          </w:p>
          <w:p w:rsidR="00041039" w:rsidRDefault="001B26CB">
            <w:pPr>
              <w:pStyle w:val="TableParagraph"/>
              <w:numPr>
                <w:ilvl w:val="0"/>
                <w:numId w:val="1344"/>
              </w:numPr>
              <w:tabs>
                <w:tab w:val="left" w:pos="142"/>
              </w:tabs>
              <w:spacing w:line="158" w:lineRule="exact"/>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58" w:lineRule="exact"/>
              <w:ind w:left="57"/>
              <w:rPr>
                <w:b/>
                <w:sz w:val="14"/>
              </w:rPr>
            </w:pPr>
            <w:r>
              <w:rPr>
                <w:b/>
                <w:color w:val="231F20"/>
                <w:sz w:val="14"/>
              </w:rPr>
              <w:t>За ученике и ученице:</w:t>
            </w:r>
          </w:p>
          <w:p w:rsidR="00041039" w:rsidRDefault="001B26CB">
            <w:pPr>
              <w:pStyle w:val="TableParagraph"/>
              <w:numPr>
                <w:ilvl w:val="0"/>
                <w:numId w:val="1343"/>
              </w:numPr>
              <w:tabs>
                <w:tab w:val="left" w:pos="163"/>
              </w:tabs>
              <w:spacing w:before="1" w:line="235" w:lineRule="auto"/>
              <w:ind w:right="225"/>
              <w:rPr>
                <w:sz w:val="14"/>
              </w:rPr>
            </w:pPr>
            <w:r>
              <w:rPr>
                <w:color w:val="231F20"/>
                <w:sz w:val="14"/>
              </w:rPr>
              <w:t>вага претклоном и заножењем и</w:t>
            </w:r>
            <w:r>
              <w:rPr>
                <w:color w:val="231F20"/>
                <w:spacing w:val="-22"/>
                <w:sz w:val="14"/>
              </w:rPr>
              <w:t xml:space="preserve"> </w:t>
            </w:r>
            <w:r>
              <w:rPr>
                <w:color w:val="231F20"/>
                <w:sz w:val="14"/>
              </w:rPr>
              <w:t xml:space="preserve">спојено, одразом једне ноге </w:t>
            </w:r>
            <w:r>
              <w:rPr>
                <w:color w:val="231F20"/>
                <w:spacing w:val="-3"/>
                <w:sz w:val="14"/>
              </w:rPr>
              <w:t>колут</w:t>
            </w:r>
            <w:r>
              <w:rPr>
                <w:color w:val="231F20"/>
                <w:spacing w:val="-6"/>
                <w:sz w:val="14"/>
              </w:rPr>
              <w:t xml:space="preserve"> </w:t>
            </w:r>
            <w:r>
              <w:rPr>
                <w:color w:val="231F20"/>
                <w:sz w:val="14"/>
              </w:rPr>
              <w:t>напред;</w:t>
            </w:r>
          </w:p>
          <w:p w:rsidR="00041039" w:rsidRDefault="001B26CB">
            <w:pPr>
              <w:pStyle w:val="TableParagraph"/>
              <w:numPr>
                <w:ilvl w:val="0"/>
                <w:numId w:val="1343"/>
              </w:numPr>
              <w:tabs>
                <w:tab w:val="left" w:pos="163"/>
              </w:tabs>
              <w:spacing w:line="157" w:lineRule="exact"/>
              <w:rPr>
                <w:sz w:val="14"/>
              </w:rPr>
            </w:pPr>
            <w:r>
              <w:rPr>
                <w:color w:val="231F20"/>
                <w:sz w:val="14"/>
              </w:rPr>
              <w:t xml:space="preserve">став на шакама, издржај, </w:t>
            </w:r>
            <w:r>
              <w:rPr>
                <w:color w:val="231F20"/>
                <w:spacing w:val="-3"/>
                <w:sz w:val="14"/>
              </w:rPr>
              <w:t>колут</w:t>
            </w:r>
            <w:r>
              <w:rPr>
                <w:color w:val="231F20"/>
                <w:spacing w:val="-7"/>
                <w:sz w:val="14"/>
              </w:rPr>
              <w:t xml:space="preserve"> </w:t>
            </w:r>
            <w:r>
              <w:rPr>
                <w:color w:val="231F20"/>
                <w:sz w:val="14"/>
              </w:rPr>
              <w:t>напред;</w:t>
            </w:r>
          </w:p>
          <w:p w:rsidR="00041039" w:rsidRDefault="001B26CB">
            <w:pPr>
              <w:pStyle w:val="TableParagraph"/>
              <w:numPr>
                <w:ilvl w:val="0"/>
                <w:numId w:val="1343"/>
              </w:numPr>
              <w:tabs>
                <w:tab w:val="left" w:pos="163"/>
              </w:tabs>
              <w:spacing w:before="1" w:line="235" w:lineRule="auto"/>
              <w:ind w:right="326"/>
              <w:rPr>
                <w:sz w:val="14"/>
              </w:rPr>
            </w:pPr>
            <w:r>
              <w:rPr>
                <w:color w:val="231F20"/>
                <w:sz w:val="14"/>
              </w:rPr>
              <w:t>два повезана премета странце удесно</w:t>
            </w:r>
            <w:r>
              <w:rPr>
                <w:color w:val="231F20"/>
                <w:spacing w:val="-16"/>
                <w:sz w:val="14"/>
              </w:rPr>
              <w:t xml:space="preserve"> </w:t>
            </w:r>
            <w:r>
              <w:rPr>
                <w:color w:val="231F20"/>
                <w:sz w:val="14"/>
              </w:rPr>
              <w:t>и улево;</w:t>
            </w:r>
          </w:p>
          <w:p w:rsidR="00041039" w:rsidRDefault="001B26CB">
            <w:pPr>
              <w:pStyle w:val="TableParagraph"/>
              <w:numPr>
                <w:ilvl w:val="0"/>
                <w:numId w:val="1343"/>
              </w:numPr>
              <w:tabs>
                <w:tab w:val="left" w:pos="163"/>
              </w:tabs>
              <w:spacing w:before="1" w:line="235" w:lineRule="auto"/>
              <w:ind w:right="327"/>
              <w:rPr>
                <w:sz w:val="14"/>
              </w:rPr>
            </w:pPr>
            <w:r>
              <w:rPr>
                <w:color w:val="231F20"/>
                <w:sz w:val="14"/>
              </w:rPr>
              <w:t xml:space="preserve">за напредни ниво премет странце са окретом за 180º и </w:t>
            </w:r>
            <w:r>
              <w:rPr>
                <w:color w:val="231F20"/>
                <w:spacing w:val="-3"/>
                <w:sz w:val="14"/>
              </w:rPr>
              <w:t xml:space="preserve">доскоком </w:t>
            </w:r>
            <w:r>
              <w:rPr>
                <w:color w:val="231F20"/>
                <w:sz w:val="14"/>
              </w:rPr>
              <w:t>на обе ноге (,,рондат”).</w:t>
            </w:r>
          </w:p>
          <w:p w:rsidR="00041039" w:rsidRDefault="001B26CB">
            <w:pPr>
              <w:pStyle w:val="TableParagraph"/>
              <w:numPr>
                <w:ilvl w:val="0"/>
                <w:numId w:val="1342"/>
              </w:numPr>
              <w:tabs>
                <w:tab w:val="left" w:pos="142"/>
              </w:tabs>
              <w:spacing w:line="158" w:lineRule="exact"/>
              <w:rPr>
                <w:b/>
                <w:sz w:val="14"/>
              </w:rPr>
            </w:pPr>
            <w:r>
              <w:rPr>
                <w:b/>
                <w:color w:val="231F20"/>
                <w:sz w:val="14"/>
              </w:rPr>
              <w:t>Прескок</w:t>
            </w:r>
          </w:p>
          <w:p w:rsidR="00041039" w:rsidRDefault="001B26CB">
            <w:pPr>
              <w:pStyle w:val="TableParagraph"/>
              <w:spacing w:before="1" w:line="235" w:lineRule="auto"/>
              <w:ind w:left="57"/>
              <w:rPr>
                <w:sz w:val="14"/>
              </w:rPr>
            </w:pPr>
            <w:r>
              <w:rPr>
                <w:b/>
                <w:color w:val="231F20"/>
                <w:sz w:val="14"/>
              </w:rPr>
              <w:t xml:space="preserve">За ученике </w:t>
            </w:r>
            <w:r>
              <w:rPr>
                <w:color w:val="231F20"/>
                <w:sz w:val="14"/>
              </w:rPr>
              <w:t xml:space="preserve">коњ у ширину висине 120 цм; </w:t>
            </w:r>
            <w:r>
              <w:rPr>
                <w:b/>
                <w:color w:val="231F20"/>
                <w:sz w:val="14"/>
              </w:rPr>
              <w:t xml:space="preserve">за ученице </w:t>
            </w:r>
            <w:r>
              <w:rPr>
                <w:color w:val="231F20"/>
                <w:sz w:val="14"/>
              </w:rPr>
              <w:t>110 цм:</w:t>
            </w:r>
          </w:p>
          <w:p w:rsidR="00041039" w:rsidRDefault="001B26CB">
            <w:pPr>
              <w:pStyle w:val="TableParagraph"/>
              <w:numPr>
                <w:ilvl w:val="0"/>
                <w:numId w:val="1341"/>
              </w:numPr>
              <w:tabs>
                <w:tab w:val="left" w:pos="163"/>
              </w:tabs>
              <w:spacing w:line="157" w:lineRule="exact"/>
              <w:rPr>
                <w:sz w:val="14"/>
              </w:rPr>
            </w:pPr>
            <w:r>
              <w:rPr>
                <w:color w:val="231F20"/>
                <w:sz w:val="14"/>
              </w:rPr>
              <w:t>згрчка;</w:t>
            </w:r>
          </w:p>
          <w:p w:rsidR="00041039" w:rsidRDefault="001B26CB">
            <w:pPr>
              <w:pStyle w:val="TableParagraph"/>
              <w:numPr>
                <w:ilvl w:val="0"/>
                <w:numId w:val="1341"/>
              </w:numPr>
              <w:tabs>
                <w:tab w:val="left" w:pos="163"/>
              </w:tabs>
              <w:spacing w:line="158" w:lineRule="exact"/>
              <w:rPr>
                <w:sz w:val="14"/>
              </w:rPr>
            </w:pPr>
            <w:r>
              <w:rPr>
                <w:color w:val="231F20"/>
                <w:sz w:val="14"/>
              </w:rPr>
              <w:t>разношка;</w:t>
            </w:r>
          </w:p>
          <w:p w:rsidR="00041039" w:rsidRDefault="001B26CB">
            <w:pPr>
              <w:pStyle w:val="TableParagraph"/>
              <w:numPr>
                <w:ilvl w:val="0"/>
                <w:numId w:val="1341"/>
              </w:numPr>
              <w:tabs>
                <w:tab w:val="left" w:pos="163"/>
              </w:tabs>
              <w:spacing w:line="158" w:lineRule="exact"/>
              <w:rPr>
                <w:sz w:val="14"/>
              </w:rPr>
            </w:pPr>
            <w:r>
              <w:rPr>
                <w:color w:val="231F20"/>
                <w:sz w:val="14"/>
              </w:rPr>
              <w:t>за напредни ниво:</w:t>
            </w:r>
            <w:r>
              <w:rPr>
                <w:color w:val="231F20"/>
                <w:spacing w:val="-3"/>
                <w:sz w:val="14"/>
              </w:rPr>
              <w:t xml:space="preserve"> </w:t>
            </w:r>
            <w:r>
              <w:rPr>
                <w:color w:val="231F20"/>
                <w:sz w:val="14"/>
              </w:rPr>
              <w:t>склонка.</w:t>
            </w:r>
          </w:p>
          <w:p w:rsidR="00041039" w:rsidRDefault="001B26CB">
            <w:pPr>
              <w:pStyle w:val="TableParagraph"/>
              <w:numPr>
                <w:ilvl w:val="0"/>
                <w:numId w:val="1340"/>
              </w:numPr>
              <w:tabs>
                <w:tab w:val="left" w:pos="142"/>
              </w:tabs>
              <w:spacing w:line="158" w:lineRule="exact"/>
              <w:rPr>
                <w:b/>
                <w:sz w:val="14"/>
              </w:rPr>
            </w:pPr>
            <w:r>
              <w:rPr>
                <w:b/>
                <w:color w:val="231F20"/>
                <w:sz w:val="14"/>
              </w:rPr>
              <w:t>Кругови</w:t>
            </w:r>
          </w:p>
          <w:p w:rsidR="00041039" w:rsidRDefault="001B26CB">
            <w:pPr>
              <w:pStyle w:val="TableParagraph"/>
              <w:spacing w:line="158" w:lineRule="exact"/>
              <w:ind w:left="57"/>
              <w:rPr>
                <w:sz w:val="14"/>
              </w:rPr>
            </w:pPr>
            <w:r>
              <w:rPr>
                <w:b/>
                <w:color w:val="231F20"/>
                <w:sz w:val="14"/>
              </w:rPr>
              <w:t xml:space="preserve">За ученике </w:t>
            </w:r>
            <w:r>
              <w:rPr>
                <w:color w:val="231F20"/>
                <w:sz w:val="14"/>
              </w:rPr>
              <w:t>/ дохватни кругови /:</w:t>
            </w:r>
          </w:p>
          <w:p w:rsidR="00041039" w:rsidRDefault="001B26CB">
            <w:pPr>
              <w:pStyle w:val="TableParagraph"/>
              <w:numPr>
                <w:ilvl w:val="0"/>
                <w:numId w:val="1339"/>
              </w:numPr>
              <w:tabs>
                <w:tab w:val="left" w:pos="163"/>
              </w:tabs>
              <w:spacing w:before="1" w:line="235" w:lineRule="auto"/>
              <w:ind w:right="140"/>
              <w:rPr>
                <w:sz w:val="14"/>
              </w:rPr>
            </w:pPr>
            <w:r>
              <w:rPr>
                <w:color w:val="231F20"/>
                <w:sz w:val="14"/>
              </w:rPr>
              <w:t>из мирног виса вучењем вис узнето,</w:t>
            </w:r>
            <w:r>
              <w:rPr>
                <w:color w:val="231F20"/>
                <w:spacing w:val="-13"/>
                <w:sz w:val="14"/>
              </w:rPr>
              <w:t xml:space="preserve"> </w:t>
            </w:r>
            <w:r>
              <w:rPr>
                <w:color w:val="231F20"/>
                <w:sz w:val="14"/>
              </w:rPr>
              <w:t>спуст у вис стражњи, издржај, вучењем вис узнето, спуст у вис</w:t>
            </w:r>
            <w:r>
              <w:rPr>
                <w:color w:val="231F20"/>
                <w:spacing w:val="-3"/>
                <w:sz w:val="14"/>
              </w:rPr>
              <w:t xml:space="preserve"> </w:t>
            </w:r>
            <w:r>
              <w:rPr>
                <w:color w:val="231F20"/>
                <w:sz w:val="14"/>
              </w:rPr>
              <w:t>предњи.</w:t>
            </w:r>
          </w:p>
          <w:p w:rsidR="00041039" w:rsidRDefault="001B26CB">
            <w:pPr>
              <w:pStyle w:val="TableParagraph"/>
              <w:spacing w:line="158" w:lineRule="exact"/>
              <w:ind w:left="57"/>
              <w:rPr>
                <w:sz w:val="14"/>
              </w:rPr>
            </w:pPr>
            <w:r>
              <w:rPr>
                <w:b/>
                <w:color w:val="231F20"/>
                <w:sz w:val="14"/>
              </w:rPr>
              <w:t xml:space="preserve">За ученице </w:t>
            </w:r>
            <w:r>
              <w:rPr>
                <w:color w:val="231F20"/>
                <w:sz w:val="14"/>
              </w:rPr>
              <w:t>/ дохватни кругови /:</w:t>
            </w:r>
          </w:p>
          <w:p w:rsidR="00041039" w:rsidRDefault="001B26CB">
            <w:pPr>
              <w:pStyle w:val="TableParagraph"/>
              <w:numPr>
                <w:ilvl w:val="0"/>
                <w:numId w:val="1339"/>
              </w:numPr>
              <w:tabs>
                <w:tab w:val="left" w:pos="163"/>
              </w:tabs>
              <w:spacing w:before="1" w:line="235" w:lineRule="auto"/>
              <w:ind w:right="159"/>
              <w:rPr>
                <w:sz w:val="14"/>
              </w:rPr>
            </w:pPr>
            <w:r>
              <w:rPr>
                <w:color w:val="231F20"/>
                <w:sz w:val="14"/>
              </w:rPr>
              <w:t xml:space="preserve">уз помоћ суножним </w:t>
            </w:r>
            <w:r>
              <w:rPr>
                <w:color w:val="231F20"/>
                <w:spacing w:val="-3"/>
                <w:sz w:val="14"/>
              </w:rPr>
              <w:t xml:space="preserve">одскоком </w:t>
            </w:r>
            <w:r>
              <w:rPr>
                <w:color w:val="231F20"/>
                <w:sz w:val="14"/>
              </w:rPr>
              <w:t>наскок у згиб, њих у згибу / уз помоћ /; спуст у</w:t>
            </w:r>
            <w:r>
              <w:rPr>
                <w:color w:val="231F20"/>
                <w:spacing w:val="-23"/>
                <w:sz w:val="14"/>
              </w:rPr>
              <w:t xml:space="preserve"> </w:t>
            </w:r>
            <w:r>
              <w:rPr>
                <w:color w:val="231F20"/>
                <w:sz w:val="14"/>
              </w:rPr>
              <w:t>вис стојећи.</w:t>
            </w:r>
          </w:p>
          <w:p w:rsidR="00041039" w:rsidRDefault="001B26CB">
            <w:pPr>
              <w:pStyle w:val="TableParagraph"/>
              <w:numPr>
                <w:ilvl w:val="0"/>
                <w:numId w:val="1338"/>
              </w:numPr>
              <w:tabs>
                <w:tab w:val="left" w:pos="142"/>
              </w:tabs>
              <w:spacing w:line="158" w:lineRule="exact"/>
              <w:rPr>
                <w:b/>
                <w:sz w:val="14"/>
              </w:rPr>
            </w:pPr>
            <w:r>
              <w:rPr>
                <w:b/>
                <w:color w:val="231F20"/>
                <w:sz w:val="14"/>
              </w:rPr>
              <w:t>Разбој</w:t>
            </w:r>
          </w:p>
          <w:p w:rsidR="00041039" w:rsidRDefault="001B26CB">
            <w:pPr>
              <w:pStyle w:val="TableParagraph"/>
              <w:spacing w:line="158" w:lineRule="exact"/>
              <w:ind w:left="57"/>
              <w:rPr>
                <w:sz w:val="14"/>
              </w:rPr>
            </w:pPr>
            <w:r>
              <w:rPr>
                <w:b/>
                <w:color w:val="231F20"/>
                <w:sz w:val="14"/>
              </w:rPr>
              <w:t xml:space="preserve">За ученике </w:t>
            </w:r>
            <w:r>
              <w:rPr>
                <w:color w:val="231F20"/>
                <w:sz w:val="14"/>
              </w:rPr>
              <w:t>/ паралелни разбој /:</w:t>
            </w:r>
          </w:p>
          <w:p w:rsidR="00041039" w:rsidRDefault="001B26CB">
            <w:pPr>
              <w:pStyle w:val="TableParagraph"/>
              <w:numPr>
                <w:ilvl w:val="0"/>
                <w:numId w:val="1337"/>
              </w:numPr>
              <w:tabs>
                <w:tab w:val="left" w:pos="163"/>
              </w:tabs>
              <w:spacing w:before="1" w:line="235" w:lineRule="auto"/>
              <w:ind w:right="377"/>
              <w:rPr>
                <w:sz w:val="14"/>
              </w:rPr>
            </w:pPr>
            <w:r>
              <w:rPr>
                <w:color w:val="231F20"/>
                <w:sz w:val="14"/>
              </w:rPr>
              <w:t xml:space="preserve">из њиха у </w:t>
            </w:r>
            <w:r>
              <w:rPr>
                <w:color w:val="231F20"/>
                <w:spacing w:val="-3"/>
                <w:sz w:val="14"/>
              </w:rPr>
              <w:t xml:space="preserve">упору, </w:t>
            </w:r>
            <w:r>
              <w:rPr>
                <w:color w:val="231F20"/>
                <w:sz w:val="14"/>
              </w:rPr>
              <w:t>предњихом саскок</w:t>
            </w:r>
            <w:r>
              <w:rPr>
                <w:color w:val="231F20"/>
                <w:spacing w:val="-19"/>
                <w:sz w:val="14"/>
              </w:rPr>
              <w:t xml:space="preserve"> </w:t>
            </w:r>
            <w:r>
              <w:rPr>
                <w:color w:val="231F20"/>
                <w:sz w:val="14"/>
              </w:rPr>
              <w:t>са окретом за 180º (окрет према</w:t>
            </w:r>
            <w:r>
              <w:rPr>
                <w:color w:val="231F20"/>
                <w:spacing w:val="-23"/>
                <w:sz w:val="14"/>
              </w:rPr>
              <w:t xml:space="preserve"> </w:t>
            </w:r>
            <w:r>
              <w:rPr>
                <w:color w:val="231F20"/>
                <w:sz w:val="14"/>
              </w:rPr>
              <w:t>притци);</w:t>
            </w:r>
          </w:p>
          <w:p w:rsidR="00041039" w:rsidRDefault="001B26CB">
            <w:pPr>
              <w:pStyle w:val="TableParagraph"/>
              <w:numPr>
                <w:ilvl w:val="0"/>
                <w:numId w:val="1337"/>
              </w:numPr>
              <w:tabs>
                <w:tab w:val="left" w:pos="163"/>
              </w:tabs>
              <w:spacing w:before="1" w:line="235" w:lineRule="auto"/>
              <w:ind w:right="222"/>
              <w:rPr>
                <w:sz w:val="14"/>
              </w:rPr>
            </w:pPr>
            <w:r>
              <w:rPr>
                <w:color w:val="231F20"/>
                <w:sz w:val="14"/>
              </w:rPr>
              <w:t xml:space="preserve">њих у </w:t>
            </w:r>
            <w:r>
              <w:rPr>
                <w:color w:val="231F20"/>
                <w:spacing w:val="-3"/>
                <w:sz w:val="14"/>
              </w:rPr>
              <w:t xml:space="preserve">упору, </w:t>
            </w:r>
            <w:r>
              <w:rPr>
                <w:color w:val="231F20"/>
                <w:sz w:val="14"/>
              </w:rPr>
              <w:t>у зањиху склек,</w:t>
            </w:r>
            <w:r>
              <w:rPr>
                <w:color w:val="231F20"/>
                <w:spacing w:val="-20"/>
                <w:sz w:val="14"/>
              </w:rPr>
              <w:t xml:space="preserve"> </w:t>
            </w:r>
            <w:r>
              <w:rPr>
                <w:color w:val="231F20"/>
                <w:sz w:val="14"/>
              </w:rPr>
              <w:t xml:space="preserve">предњихом упор, зањих у </w:t>
            </w:r>
            <w:r>
              <w:rPr>
                <w:color w:val="231F20"/>
                <w:spacing w:val="-3"/>
                <w:sz w:val="14"/>
              </w:rPr>
              <w:t xml:space="preserve">упору, </w:t>
            </w:r>
            <w:r>
              <w:rPr>
                <w:color w:val="231F20"/>
                <w:sz w:val="14"/>
              </w:rPr>
              <w:t>у предњих у</w:t>
            </w:r>
            <w:r>
              <w:rPr>
                <w:color w:val="231F20"/>
                <w:spacing w:val="-3"/>
                <w:sz w:val="14"/>
              </w:rPr>
              <w:t xml:space="preserve"> </w:t>
            </w:r>
            <w:r>
              <w:rPr>
                <w:color w:val="231F20"/>
                <w:sz w:val="14"/>
              </w:rPr>
              <w:t>склек</w:t>
            </w:r>
          </w:p>
          <w:p w:rsidR="00041039" w:rsidRDefault="001B26CB">
            <w:pPr>
              <w:pStyle w:val="TableParagraph"/>
              <w:spacing w:before="1" w:line="235" w:lineRule="auto"/>
              <w:ind w:left="57"/>
              <w:rPr>
                <w:sz w:val="14"/>
              </w:rPr>
            </w:pPr>
            <w:r>
              <w:rPr>
                <w:b/>
                <w:color w:val="231F20"/>
                <w:sz w:val="14"/>
              </w:rPr>
              <w:t xml:space="preserve">За ученице </w:t>
            </w:r>
            <w:r>
              <w:rPr>
                <w:color w:val="231F20"/>
                <w:sz w:val="14"/>
              </w:rPr>
              <w:t>/ двовисински разбој или једна притка вратила /:</w:t>
            </w:r>
          </w:p>
          <w:p w:rsidR="00041039" w:rsidRDefault="001B26CB">
            <w:pPr>
              <w:pStyle w:val="TableParagraph"/>
              <w:numPr>
                <w:ilvl w:val="0"/>
                <w:numId w:val="1337"/>
              </w:numPr>
              <w:tabs>
                <w:tab w:val="left" w:pos="163"/>
              </w:tabs>
              <w:spacing w:line="235" w:lineRule="auto"/>
              <w:ind w:right="168"/>
              <w:rPr>
                <w:sz w:val="14"/>
              </w:rPr>
            </w:pPr>
            <w:r>
              <w:rPr>
                <w:color w:val="231F20"/>
                <w:sz w:val="14"/>
              </w:rPr>
              <w:t>наскок у упор на н / п. премах једном ногом</w:t>
            </w:r>
            <w:r>
              <w:rPr>
                <w:color w:val="231F20"/>
                <w:spacing w:val="-9"/>
                <w:sz w:val="14"/>
              </w:rPr>
              <w:t xml:space="preserve"> </w:t>
            </w:r>
            <w:r>
              <w:rPr>
                <w:color w:val="231F20"/>
                <w:sz w:val="14"/>
              </w:rPr>
              <w:t>до</w:t>
            </w:r>
            <w:r>
              <w:rPr>
                <w:color w:val="231F20"/>
                <w:spacing w:val="-9"/>
                <w:sz w:val="14"/>
              </w:rPr>
              <w:t xml:space="preserve"> </w:t>
            </w:r>
            <w:r>
              <w:rPr>
                <w:color w:val="231F20"/>
                <w:sz w:val="14"/>
              </w:rPr>
              <w:t>упора</w:t>
            </w:r>
            <w:r>
              <w:rPr>
                <w:color w:val="231F20"/>
                <w:spacing w:val="-9"/>
                <w:sz w:val="14"/>
              </w:rPr>
              <w:t xml:space="preserve"> </w:t>
            </w:r>
            <w:r>
              <w:rPr>
                <w:color w:val="231F20"/>
                <w:sz w:val="14"/>
              </w:rPr>
              <w:t>јашућег,</w:t>
            </w:r>
            <w:r>
              <w:rPr>
                <w:color w:val="231F20"/>
                <w:spacing w:val="-9"/>
                <w:sz w:val="14"/>
              </w:rPr>
              <w:t xml:space="preserve"> </w:t>
            </w:r>
            <w:r>
              <w:rPr>
                <w:color w:val="231F20"/>
                <w:sz w:val="14"/>
              </w:rPr>
              <w:t>прехвату</w:t>
            </w:r>
            <w:r>
              <w:rPr>
                <w:color w:val="231F20"/>
                <w:spacing w:val="-9"/>
                <w:sz w:val="14"/>
              </w:rPr>
              <w:t xml:space="preserve"> </w:t>
            </w:r>
            <w:r>
              <w:rPr>
                <w:color w:val="231F20"/>
                <w:sz w:val="14"/>
              </w:rPr>
              <w:t xml:space="preserve">потхват упорном </w:t>
            </w:r>
            <w:r>
              <w:rPr>
                <w:color w:val="231F20"/>
                <w:spacing w:val="-3"/>
                <w:sz w:val="14"/>
              </w:rPr>
              <w:t xml:space="preserve">руком </w:t>
            </w:r>
            <w:r>
              <w:rPr>
                <w:color w:val="231F20"/>
                <w:sz w:val="14"/>
              </w:rPr>
              <w:t>(до предножне) и спојено одножењем заножне премах и саскок</w:t>
            </w:r>
            <w:r>
              <w:rPr>
                <w:color w:val="231F20"/>
                <w:spacing w:val="-17"/>
                <w:sz w:val="14"/>
              </w:rPr>
              <w:t xml:space="preserve"> </w:t>
            </w:r>
            <w:r>
              <w:rPr>
                <w:color w:val="231F20"/>
                <w:sz w:val="14"/>
              </w:rPr>
              <w:t>са</w:t>
            </w:r>
          </w:p>
          <w:p w:rsidR="00041039" w:rsidRDefault="001B26CB">
            <w:pPr>
              <w:pStyle w:val="TableParagraph"/>
              <w:spacing w:before="1" w:line="235" w:lineRule="auto"/>
              <w:ind w:left="162" w:right="2"/>
              <w:rPr>
                <w:sz w:val="14"/>
              </w:rPr>
            </w:pPr>
            <w:r>
              <w:rPr>
                <w:color w:val="231F20"/>
                <w:sz w:val="14"/>
              </w:rPr>
              <w:t>окретом ­ за 90º (одношка), завршити боком према при</w:t>
            </w:r>
            <w:r>
              <w:rPr>
                <w:color w:val="231F20"/>
                <w:sz w:val="14"/>
              </w:rPr>
              <w:t>тци.</w:t>
            </w:r>
          </w:p>
          <w:p w:rsidR="00041039" w:rsidRDefault="001B26CB">
            <w:pPr>
              <w:pStyle w:val="TableParagraph"/>
              <w:numPr>
                <w:ilvl w:val="0"/>
                <w:numId w:val="1336"/>
              </w:numPr>
              <w:tabs>
                <w:tab w:val="left" w:pos="142"/>
              </w:tabs>
              <w:spacing w:line="157" w:lineRule="exact"/>
              <w:rPr>
                <w:b/>
                <w:sz w:val="14"/>
              </w:rPr>
            </w:pPr>
            <w:r>
              <w:rPr>
                <w:b/>
                <w:color w:val="231F20"/>
                <w:sz w:val="14"/>
              </w:rPr>
              <w:t>Вратило</w:t>
            </w:r>
          </w:p>
          <w:p w:rsidR="00041039" w:rsidRDefault="001B26CB">
            <w:pPr>
              <w:pStyle w:val="TableParagraph"/>
              <w:spacing w:before="2" w:line="235" w:lineRule="auto"/>
              <w:ind w:left="57" w:right="174"/>
              <w:rPr>
                <w:sz w:val="14"/>
              </w:rPr>
            </w:pPr>
            <w:r>
              <w:rPr>
                <w:b/>
                <w:color w:val="231F20"/>
                <w:sz w:val="14"/>
              </w:rPr>
              <w:t xml:space="preserve">За ученике </w:t>
            </w:r>
            <w:r>
              <w:rPr>
                <w:color w:val="231F20"/>
                <w:sz w:val="14"/>
              </w:rPr>
              <w:t>/ дохватно вратило /: суножним</w:t>
            </w:r>
            <w:r>
              <w:rPr>
                <w:color w:val="231F20"/>
                <w:spacing w:val="-7"/>
                <w:sz w:val="14"/>
              </w:rPr>
              <w:t xml:space="preserve"> </w:t>
            </w:r>
            <w:r>
              <w:rPr>
                <w:color w:val="231F20"/>
                <w:sz w:val="14"/>
              </w:rPr>
              <w:t>одривом</w:t>
            </w:r>
            <w:r>
              <w:rPr>
                <w:color w:val="231F20"/>
                <w:spacing w:val="-7"/>
                <w:sz w:val="14"/>
              </w:rPr>
              <w:t xml:space="preserve"> </w:t>
            </w:r>
            <w:r>
              <w:rPr>
                <w:color w:val="231F20"/>
                <w:sz w:val="14"/>
              </w:rPr>
              <w:t>узмак;</w:t>
            </w:r>
            <w:r>
              <w:rPr>
                <w:color w:val="231F20"/>
                <w:spacing w:val="-7"/>
                <w:sz w:val="14"/>
              </w:rPr>
              <w:t xml:space="preserve"> </w:t>
            </w:r>
            <w:r>
              <w:rPr>
                <w:color w:val="231F20"/>
                <w:sz w:val="14"/>
              </w:rPr>
              <w:t>ковртљај</w:t>
            </w:r>
            <w:r>
              <w:rPr>
                <w:color w:val="231F20"/>
                <w:spacing w:val="-7"/>
                <w:sz w:val="14"/>
              </w:rPr>
              <w:t xml:space="preserve"> </w:t>
            </w:r>
            <w:r>
              <w:rPr>
                <w:color w:val="231F20"/>
                <w:sz w:val="14"/>
              </w:rPr>
              <w:t>назад</w:t>
            </w:r>
            <w:r>
              <w:rPr>
                <w:color w:val="231F20"/>
                <w:spacing w:val="-8"/>
                <w:sz w:val="14"/>
              </w:rPr>
              <w:t xml:space="preserve"> </w:t>
            </w:r>
            <w:r>
              <w:rPr>
                <w:color w:val="231F20"/>
                <w:sz w:val="14"/>
              </w:rPr>
              <w:t>у</w:t>
            </w:r>
          </w:p>
          <w:p w:rsidR="00041039" w:rsidRDefault="001B26CB">
            <w:pPr>
              <w:pStyle w:val="TableParagraph"/>
              <w:spacing w:line="235" w:lineRule="auto"/>
              <w:ind w:left="57"/>
              <w:rPr>
                <w:sz w:val="14"/>
              </w:rPr>
            </w:pPr>
            <w:r>
              <w:rPr>
                <w:color w:val="231F20"/>
                <w:sz w:val="14"/>
              </w:rPr>
              <w:t>упору предњем; саскок замахом у заножење (зањихом).</w:t>
            </w:r>
          </w:p>
        </w:tc>
        <w:tc>
          <w:tcPr>
            <w:tcW w:w="2267" w:type="dxa"/>
          </w:tcPr>
          <w:p w:rsidR="00041039" w:rsidRDefault="001B26CB">
            <w:pPr>
              <w:pStyle w:val="TableParagraph"/>
              <w:spacing w:before="24"/>
              <w:ind w:left="57" w:right="382"/>
              <w:rPr>
                <w:sz w:val="14"/>
              </w:rPr>
            </w:pPr>
            <w:r>
              <w:rPr>
                <w:color w:val="231F20"/>
                <w:sz w:val="14"/>
              </w:rPr>
              <w:t>Настава се изводи фронтално и по групама, у зависности од</w:t>
            </w:r>
          </w:p>
          <w:p w:rsidR="00041039" w:rsidRDefault="001B26CB">
            <w:pPr>
              <w:pStyle w:val="TableParagraph"/>
              <w:spacing w:line="235" w:lineRule="auto"/>
              <w:ind w:left="57"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дуалан.</w:t>
            </w:r>
          </w:p>
          <w:p w:rsidR="00041039" w:rsidRDefault="00041039">
            <w:pPr>
              <w:pStyle w:val="TableParagraph"/>
              <w:spacing w:before="6"/>
              <w:ind w:left="0"/>
              <w:rPr>
                <w:b/>
                <w:sz w:val="13"/>
              </w:rPr>
            </w:pPr>
          </w:p>
          <w:p w:rsidR="00041039" w:rsidRDefault="001B26CB">
            <w:pPr>
              <w:pStyle w:val="TableParagraph"/>
              <w:spacing w:line="154" w:lineRule="exact"/>
              <w:ind w:left="57"/>
              <w:rPr>
                <w:b/>
                <w:sz w:val="14"/>
              </w:rPr>
            </w:pPr>
            <w:r>
              <w:rPr>
                <w:b/>
                <w:color w:val="231F20"/>
                <w:sz w:val="14"/>
              </w:rPr>
              <w:t>Место реализације наставе</w:t>
            </w:r>
          </w:p>
          <w:p w:rsidR="00041039" w:rsidRDefault="001B26CB">
            <w:pPr>
              <w:pStyle w:val="TableParagraph"/>
              <w:numPr>
                <w:ilvl w:val="0"/>
                <w:numId w:val="1335"/>
              </w:numPr>
              <w:tabs>
                <w:tab w:val="left" w:pos="158"/>
              </w:tabs>
              <w:spacing w:line="235" w:lineRule="auto"/>
              <w:ind w:right="113"/>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1335"/>
              </w:numPr>
              <w:tabs>
                <w:tab w:val="left" w:pos="158"/>
              </w:tabs>
              <w:spacing w:line="158" w:lineRule="exact"/>
              <w:ind w:right="10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6"/>
              <w:ind w:left="0"/>
              <w:rPr>
                <w:b/>
                <w:sz w:val="13"/>
              </w:rPr>
            </w:pPr>
          </w:p>
          <w:p w:rsidR="00041039" w:rsidRDefault="001B26CB">
            <w:pPr>
              <w:pStyle w:val="TableParagraph"/>
              <w:spacing w:line="235" w:lineRule="auto"/>
              <w:ind w:left="57" w:right="109"/>
              <w:rPr>
                <w:b/>
                <w:sz w:val="14"/>
              </w:rPr>
            </w:pPr>
            <w:r>
              <w:rPr>
                <w:b/>
                <w:color w:val="231F20"/>
                <w:sz w:val="14"/>
              </w:rPr>
              <w:t>Препоруке за реализацију наставе</w:t>
            </w:r>
          </w:p>
          <w:p w:rsidR="00041039" w:rsidRDefault="001B26CB">
            <w:pPr>
              <w:pStyle w:val="TableParagraph"/>
              <w:numPr>
                <w:ilvl w:val="0"/>
                <w:numId w:val="1335"/>
              </w:numPr>
              <w:tabs>
                <w:tab w:val="left" w:pos="158"/>
              </w:tabs>
              <w:spacing w:before="2" w:line="158" w:lineRule="exact"/>
              <w:ind w:right="74"/>
              <w:rPr>
                <w:sz w:val="14"/>
              </w:rPr>
            </w:pPr>
            <w:r>
              <w:rPr>
                <w:color w:val="231F20"/>
                <w:sz w:val="14"/>
              </w:rPr>
              <w:t>Настава се реализује у циклусима који трају приближно 10 ­ 12 часова (узастопних). Наставник</w:t>
            </w:r>
            <w:r>
              <w:rPr>
                <w:color w:val="231F20"/>
                <w:sz w:val="14"/>
              </w:rPr>
              <w:t>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5"/>
              <w:ind w:left="0"/>
              <w:rPr>
                <w:b/>
                <w:sz w:val="13"/>
              </w:rPr>
            </w:pPr>
          </w:p>
          <w:p w:rsidR="00041039" w:rsidRDefault="001B26CB">
            <w:pPr>
              <w:pStyle w:val="TableParagraph"/>
              <w:spacing w:line="160" w:lineRule="exact"/>
              <w:ind w:left="57"/>
              <w:rPr>
                <w:b/>
                <w:sz w:val="14"/>
              </w:rPr>
            </w:pPr>
            <w:r>
              <w:rPr>
                <w:b/>
                <w:color w:val="231F20"/>
                <w:sz w:val="14"/>
              </w:rPr>
              <w:t>Садржај циклуса је:</w:t>
            </w:r>
          </w:p>
          <w:p w:rsidR="00041039" w:rsidRDefault="001B26CB">
            <w:pPr>
              <w:pStyle w:val="TableParagraph"/>
              <w:numPr>
                <w:ilvl w:val="0"/>
                <w:numId w:val="1334"/>
              </w:numPr>
              <w:tabs>
                <w:tab w:val="left" w:pos="163"/>
              </w:tabs>
              <w:spacing w:before="1" w:line="235" w:lineRule="auto"/>
              <w:ind w:right="169"/>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1334"/>
              </w:numPr>
              <w:tabs>
                <w:tab w:val="left" w:pos="163"/>
              </w:tabs>
              <w:spacing w:line="157"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1334"/>
              </w:numPr>
              <w:tabs>
                <w:tab w:val="left" w:pos="163"/>
              </w:tabs>
              <w:spacing w:before="1" w:line="235" w:lineRule="auto"/>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1334"/>
              </w:numPr>
              <w:tabs>
                <w:tab w:val="left" w:pos="163"/>
              </w:tabs>
              <w:spacing w:line="157"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1334"/>
              </w:numPr>
              <w:tabs>
                <w:tab w:val="left" w:pos="163"/>
              </w:tabs>
              <w:spacing w:before="1" w:line="235" w:lineRule="auto"/>
              <w:ind w:right="244"/>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9" w:lineRule="exact"/>
              <w:ind w:left="162"/>
              <w:rPr>
                <w:sz w:val="14"/>
              </w:rPr>
            </w:pPr>
            <w:r>
              <w:rPr>
                <w:color w:val="231F20"/>
                <w:sz w:val="14"/>
              </w:rPr>
              <w:t>- један.</w:t>
            </w:r>
          </w:p>
          <w:p w:rsidR="00041039" w:rsidRDefault="00041039">
            <w:pPr>
              <w:pStyle w:val="TableParagraph"/>
              <w:spacing w:before="8"/>
              <w:ind w:left="0"/>
              <w:rPr>
                <w:b/>
                <w:sz w:val="13"/>
              </w:rPr>
            </w:pPr>
          </w:p>
          <w:p w:rsidR="00041039" w:rsidRDefault="001B26CB">
            <w:pPr>
              <w:pStyle w:val="TableParagraph"/>
              <w:spacing w:line="235" w:lineRule="auto"/>
              <w:ind w:left="57" w:right="42"/>
              <w:rPr>
                <w:sz w:val="14"/>
              </w:rPr>
            </w:pPr>
            <w:r>
              <w:rPr>
                <w:b/>
                <w:color w:val="231F20"/>
                <w:sz w:val="14"/>
              </w:rPr>
              <w:t xml:space="preserve">Начин остваривања програма </w:t>
            </w:r>
            <w:r>
              <w:rPr>
                <w:color w:val="231F20"/>
                <w:sz w:val="14"/>
              </w:rPr>
              <w:t>Садржаји програма усмерени су на: развијање физичких способности; спортско ­ техничко образовање; повезивање физичког васпитања</w:t>
            </w:r>
          </w:p>
          <w:p w:rsidR="00041039" w:rsidRDefault="001B26CB">
            <w:pPr>
              <w:pStyle w:val="TableParagraph"/>
              <w:spacing w:before="2" w:line="235" w:lineRule="auto"/>
              <w:ind w:left="57" w:right="78"/>
              <w:rPr>
                <w:sz w:val="14"/>
              </w:rPr>
            </w:pPr>
            <w:r>
              <w:rPr>
                <w:color w:val="231F20"/>
                <w:sz w:val="14"/>
              </w:rPr>
              <w:t>са животом и радом. 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 ставника физичког васпитања.</w:t>
            </w:r>
          </w:p>
          <w:p w:rsidR="00041039" w:rsidRDefault="001B26CB">
            <w:pPr>
              <w:pStyle w:val="TableParagraph"/>
              <w:spacing w:before="2" w:line="235" w:lineRule="auto"/>
              <w:ind w:left="57" w:right="67"/>
              <w:rPr>
                <w:sz w:val="14"/>
              </w:rPr>
            </w:pPr>
            <w:r>
              <w:rPr>
                <w:color w:val="231F20"/>
                <w:sz w:val="14"/>
              </w:rPr>
              <w:t>Стручно веће наставника физичког ва</w:t>
            </w:r>
            <w:r>
              <w:rPr>
                <w:color w:val="231F20"/>
                <w:sz w:val="14"/>
              </w:rPr>
              <w:t>спитања, самостално, одређује редослед обраде појединих садржаја програма и циклуса.</w:t>
            </w:r>
          </w:p>
          <w:p w:rsidR="00041039" w:rsidRDefault="001B26CB">
            <w:pPr>
              <w:pStyle w:val="TableParagraph"/>
              <w:spacing w:before="1" w:line="235" w:lineRule="auto"/>
              <w:ind w:left="57" w:right="40"/>
              <w:rPr>
                <w:sz w:val="14"/>
              </w:rPr>
            </w:pPr>
            <w:r>
              <w:rPr>
                <w:color w:val="231F20"/>
                <w:sz w:val="14"/>
              </w:rPr>
              <w:t xml:space="preserve">Часови у току недеље треба да буду распоређени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w:t>
            </w:r>
            <w:r>
              <w:rPr>
                <w:color w:val="231F20"/>
                <w:sz w:val="14"/>
              </w:rPr>
              <w:t>а спортском терену ни у фискултурној сали.</w:t>
            </w:r>
          </w:p>
          <w:p w:rsidR="00041039" w:rsidRDefault="001B26CB">
            <w:pPr>
              <w:pStyle w:val="TableParagraph"/>
              <w:spacing w:before="2" w:line="235" w:lineRule="auto"/>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spacing w:before="1" w:line="235" w:lineRule="auto"/>
              <w:ind w:left="57" w:right="157"/>
              <w:rPr>
                <w:sz w:val="14"/>
              </w:rPr>
            </w:pPr>
            <w:r>
              <w:rPr>
                <w:color w:val="231F20"/>
                <w:sz w:val="14"/>
              </w:rPr>
              <w:t>за ученике и одвојено за ученице, а само у школама које имају по два паралелна објекта за физичко</w:t>
            </w:r>
          </w:p>
          <w:p w:rsidR="00041039" w:rsidRDefault="001B26CB">
            <w:pPr>
              <w:pStyle w:val="TableParagraph"/>
              <w:spacing w:before="1" w:line="235" w:lineRule="auto"/>
              <w:ind w:left="57" w:right="49"/>
              <w:rPr>
                <w:sz w:val="14"/>
              </w:rPr>
            </w:pPr>
            <w:r>
              <w:rPr>
                <w:color w:val="231F20"/>
                <w:sz w:val="14"/>
              </w:rPr>
              <w:t xml:space="preserve">васпитање дозвољена је истовреме­ на реализација </w:t>
            </w:r>
            <w:r>
              <w:rPr>
                <w:color w:val="231F20"/>
                <w:sz w:val="14"/>
              </w:rPr>
              <w:t>часа.</w:t>
            </w:r>
          </w:p>
          <w:p w:rsidR="00041039" w:rsidRDefault="00041039">
            <w:pPr>
              <w:pStyle w:val="TableParagraph"/>
              <w:spacing w:before="8"/>
              <w:ind w:left="0"/>
              <w:rPr>
                <w:b/>
                <w:sz w:val="13"/>
              </w:rPr>
            </w:pPr>
          </w:p>
          <w:p w:rsidR="00041039" w:rsidRDefault="001B26CB">
            <w:pPr>
              <w:pStyle w:val="TableParagraph"/>
              <w:spacing w:before="1" w:line="235" w:lineRule="auto"/>
              <w:ind w:left="57"/>
              <w:rPr>
                <w:b/>
                <w:sz w:val="14"/>
              </w:rPr>
            </w:pPr>
            <w:r>
              <w:rPr>
                <w:b/>
                <w:color w:val="231F20"/>
                <w:sz w:val="14"/>
              </w:rPr>
              <w:t>Праћење, вредновање и оцењивање</w:t>
            </w:r>
          </w:p>
          <w:p w:rsidR="00041039" w:rsidRDefault="001B26CB">
            <w:pPr>
              <w:pStyle w:val="TableParagraph"/>
              <w:spacing w:line="235" w:lineRule="auto"/>
              <w:ind w:left="57" w:right="86"/>
              <w:rPr>
                <w:sz w:val="14"/>
              </w:rPr>
            </w:pP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w:t>
            </w:r>
            <w:r>
              <w:rPr>
                <w:color w:val="231F20"/>
                <w:sz w:val="14"/>
              </w:rPr>
              <w:t xml:space="preserve"> играма.</w:t>
            </w:r>
          </w:p>
          <w:p w:rsidR="00041039" w:rsidRDefault="00041039">
            <w:pPr>
              <w:pStyle w:val="TableParagraph"/>
              <w:spacing w:before="8"/>
              <w:ind w:left="0"/>
              <w:rPr>
                <w:b/>
                <w:sz w:val="13"/>
              </w:rPr>
            </w:pPr>
          </w:p>
          <w:p w:rsidR="00041039" w:rsidRDefault="001B26CB">
            <w:pPr>
              <w:pStyle w:val="TableParagraph"/>
              <w:spacing w:before="1" w:line="160" w:lineRule="exact"/>
              <w:ind w:left="57"/>
              <w:rPr>
                <w:b/>
                <w:sz w:val="14"/>
              </w:rPr>
            </w:pPr>
            <w:r>
              <w:rPr>
                <w:b/>
                <w:color w:val="231F20"/>
                <w:sz w:val="14"/>
              </w:rPr>
              <w:t>Минимални обавезни захтеви</w:t>
            </w:r>
          </w:p>
          <w:p w:rsidR="00041039" w:rsidRDefault="001B26CB">
            <w:pPr>
              <w:pStyle w:val="TableParagraph"/>
              <w:numPr>
                <w:ilvl w:val="0"/>
                <w:numId w:val="1333"/>
              </w:numPr>
              <w:tabs>
                <w:tab w:val="left" w:pos="142"/>
              </w:tabs>
              <w:spacing w:line="237" w:lineRule="auto"/>
              <w:ind w:right="66"/>
              <w:rPr>
                <w:sz w:val="14"/>
              </w:rPr>
            </w:pPr>
            <w:r>
              <w:rPr>
                <w:b/>
                <w:color w:val="231F20"/>
                <w:spacing w:val="-3"/>
                <w:sz w:val="14"/>
              </w:rPr>
              <w:t xml:space="preserve">Атлетика: </w:t>
            </w:r>
            <w:r>
              <w:rPr>
                <w:color w:val="231F20"/>
                <w:sz w:val="14"/>
              </w:rPr>
              <w:t xml:space="preserve">трчање на 100 м за ученике и ученице, трчање на 800 м за ученике и 500 м за ученице, скок удаљ, увис, бацање </w:t>
            </w:r>
            <w:r>
              <w:rPr>
                <w:color w:val="231F20"/>
                <w:spacing w:val="-3"/>
                <w:sz w:val="14"/>
              </w:rPr>
              <w:t xml:space="preserve">кугле </w:t>
            </w:r>
            <w:r>
              <w:rPr>
                <w:color w:val="231F20"/>
                <w:sz w:val="14"/>
              </w:rPr>
              <w:t>­</w:t>
            </w:r>
            <w:r>
              <w:rPr>
                <w:color w:val="231F20"/>
                <w:spacing w:val="-14"/>
                <w:sz w:val="14"/>
              </w:rPr>
              <w:t xml:space="preserve"> </w:t>
            </w:r>
            <w:r>
              <w:rPr>
                <w:color w:val="231F20"/>
                <w:sz w:val="14"/>
              </w:rPr>
              <w:t>на</w:t>
            </w:r>
          </w:p>
          <w:p w:rsidR="00041039" w:rsidRDefault="001B26CB">
            <w:pPr>
              <w:pStyle w:val="TableParagraph"/>
              <w:spacing w:line="151" w:lineRule="exact"/>
              <w:ind w:left="141"/>
              <w:rPr>
                <w:sz w:val="14"/>
              </w:rPr>
            </w:pPr>
            <w:r>
              <w:rPr>
                <w:color w:val="231F20"/>
                <w:sz w:val="14"/>
              </w:rPr>
              <w:t>резултат.</w:t>
            </w:r>
          </w:p>
        </w:tc>
      </w:tr>
    </w:tbl>
    <w:p w:rsidR="00041039" w:rsidRDefault="00041039">
      <w:pPr>
        <w:spacing w:line="151"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9160"/>
        </w:trPr>
        <w:tc>
          <w:tcPr>
            <w:tcW w:w="130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8"/>
              <w:ind w:left="0"/>
              <w:rPr>
                <w:b/>
                <w:sz w:val="12"/>
              </w:rPr>
            </w:pPr>
          </w:p>
          <w:p w:rsidR="00041039" w:rsidRDefault="001B26CB">
            <w:pPr>
              <w:pStyle w:val="TableParagraph"/>
              <w:ind w:left="56" w:right="356"/>
              <w:rPr>
                <w:sz w:val="14"/>
              </w:rPr>
            </w:pPr>
            <w:r>
              <w:rPr>
                <w:color w:val="231F20"/>
                <w:sz w:val="14"/>
              </w:rPr>
              <w:t>Спортска игра (по избору)</w:t>
            </w:r>
          </w:p>
          <w:p w:rsidR="00041039" w:rsidRDefault="00041039">
            <w:pPr>
              <w:pStyle w:val="TableParagraph"/>
              <w:spacing w:before="9"/>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1B26CB">
            <w:pPr>
              <w:pStyle w:val="TableParagraph"/>
              <w:numPr>
                <w:ilvl w:val="0"/>
                <w:numId w:val="1332"/>
              </w:numPr>
              <w:tabs>
                <w:tab w:val="left" w:pos="142"/>
              </w:tabs>
              <w:spacing w:before="16" w:line="161" w:lineRule="exact"/>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 висока греда /:</w:t>
            </w:r>
          </w:p>
          <w:p w:rsidR="00041039" w:rsidRDefault="001B26CB">
            <w:pPr>
              <w:pStyle w:val="TableParagraph"/>
              <w:ind w:left="162" w:right="47" w:hanging="105"/>
              <w:rPr>
                <w:sz w:val="14"/>
              </w:rPr>
            </w:pPr>
            <w:r>
              <w:rPr>
                <w:color w:val="231F20"/>
                <w:sz w:val="14"/>
              </w:rPr>
              <w:t xml:space="preserve">– залетом и суножним </w:t>
            </w:r>
            <w:r>
              <w:rPr>
                <w:color w:val="231F20"/>
                <w:spacing w:val="-3"/>
                <w:sz w:val="14"/>
              </w:rPr>
              <w:t xml:space="preserve">одскоком </w:t>
            </w:r>
            <w:r>
              <w:rPr>
                <w:color w:val="231F20"/>
                <w:sz w:val="14"/>
              </w:rPr>
              <w:t>наскок у упор, премах одножно десном: окрет за 90°. упором рукама испред тела преднос разножно; ослонцем ногу иза тела</w:t>
            </w:r>
            <w:r>
              <w:rPr>
                <w:color w:val="231F20"/>
                <w:spacing w:val="-17"/>
                <w:sz w:val="14"/>
              </w:rPr>
              <w:t xml:space="preserve"> </w:t>
            </w:r>
            <w:r>
              <w:rPr>
                <w:color w:val="231F20"/>
                <w:sz w:val="14"/>
              </w:rPr>
              <w:t>(</w:t>
            </w:r>
            <w:r>
              <w:rPr>
                <w:b/>
                <w:color w:val="231F20"/>
                <w:sz w:val="14"/>
              </w:rPr>
              <w:t>напред- нији ниво</w:t>
            </w:r>
            <w:r>
              <w:rPr>
                <w:color w:val="231F20"/>
                <w:sz w:val="14"/>
              </w:rPr>
              <w:t>: замахом у заножење) до упора чучећег; усправ, усправ, ходање у успону са докорацима, вага претклоном, усклон, саскок пруженим телом (чеоно или бочно у односу на</w:t>
            </w:r>
            <w:r>
              <w:rPr>
                <w:color w:val="231F20"/>
                <w:spacing w:val="-2"/>
                <w:sz w:val="14"/>
              </w:rPr>
              <w:t xml:space="preserve"> </w:t>
            </w:r>
            <w:r>
              <w:rPr>
                <w:color w:val="231F20"/>
                <w:sz w:val="14"/>
              </w:rPr>
              <w:t>справу).</w:t>
            </w:r>
          </w:p>
          <w:p w:rsidR="00041039" w:rsidRDefault="001B26CB">
            <w:pPr>
              <w:pStyle w:val="TableParagraph"/>
              <w:numPr>
                <w:ilvl w:val="0"/>
                <w:numId w:val="1331"/>
              </w:numPr>
              <w:tabs>
                <w:tab w:val="left" w:pos="142"/>
              </w:tabs>
              <w:spacing w:line="237" w:lineRule="auto"/>
              <w:ind w:right="1426" w:firstLine="0"/>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ind w:left="162" w:right="65" w:hanging="105"/>
              <w:rPr>
                <w:sz w:val="14"/>
              </w:rPr>
            </w:pPr>
            <w:r>
              <w:rPr>
                <w:color w:val="231F20"/>
                <w:sz w:val="14"/>
              </w:rPr>
              <w:t xml:space="preserve">– премах одножно десном напред замах улево, замах удесно, замах улево и спојено премах левом напред; премах десном назад, замах улево, замах удесно и спојено одножењем десне, саскок са окретом за 90º улево до става на </w:t>
            </w:r>
            <w:r>
              <w:rPr>
                <w:color w:val="231F20"/>
                <w:spacing w:val="-5"/>
                <w:sz w:val="14"/>
              </w:rPr>
              <w:t xml:space="preserve">тлу, </w:t>
            </w:r>
            <w:r>
              <w:rPr>
                <w:color w:val="231F20"/>
                <w:sz w:val="14"/>
              </w:rPr>
              <w:t xml:space="preserve">леви бок према </w:t>
            </w:r>
            <w:r>
              <w:rPr>
                <w:color w:val="231F20"/>
                <w:spacing w:val="-5"/>
                <w:sz w:val="14"/>
              </w:rPr>
              <w:t>коњу.</w:t>
            </w:r>
          </w:p>
          <w:p w:rsidR="00041039" w:rsidRDefault="001B26CB">
            <w:pPr>
              <w:pStyle w:val="TableParagraph"/>
              <w:spacing w:line="237" w:lineRule="auto"/>
              <w:ind w:left="57" w:right="62"/>
              <w:rPr>
                <w:sz w:val="14"/>
              </w:rPr>
            </w:pPr>
            <w:r>
              <w:rPr>
                <w:b/>
                <w:color w:val="231F20"/>
                <w:sz w:val="14"/>
              </w:rPr>
              <w:t>Школско такм</w:t>
            </w:r>
            <w:r>
              <w:rPr>
                <w:b/>
                <w:color w:val="231F20"/>
                <w:sz w:val="14"/>
              </w:rPr>
              <w:t>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61"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w:t>
            </w:r>
            <w:r>
              <w:rPr>
                <w:b/>
                <w:color w:val="231F20"/>
                <w:sz w:val="14"/>
              </w:rPr>
              <w:t xml:space="preserve">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pacing w:val="-4"/>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10"/>
              <w:ind w:left="0"/>
              <w:rPr>
                <w:b/>
                <w:sz w:val="12"/>
              </w:rPr>
            </w:pPr>
          </w:p>
          <w:p w:rsidR="00041039" w:rsidRDefault="001B26CB">
            <w:pPr>
              <w:pStyle w:val="TableParagraph"/>
              <w:spacing w:line="161" w:lineRule="exact"/>
              <w:ind w:left="57"/>
              <w:rPr>
                <w:b/>
                <w:sz w:val="14"/>
              </w:rPr>
            </w:pPr>
            <w:r>
              <w:rPr>
                <w:b/>
                <w:color w:val="231F20"/>
                <w:sz w:val="14"/>
              </w:rPr>
              <w:t>СПОРТСКА ИГРА (по избору)</w:t>
            </w:r>
          </w:p>
          <w:p w:rsidR="00041039" w:rsidRDefault="001B26CB">
            <w:pPr>
              <w:pStyle w:val="TableParagraph"/>
              <w:numPr>
                <w:ilvl w:val="0"/>
                <w:numId w:val="1330"/>
              </w:numPr>
              <w:tabs>
                <w:tab w:val="left" w:pos="163"/>
              </w:tabs>
              <w:ind w:right="156"/>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numPr>
                <w:ilvl w:val="0"/>
                <w:numId w:val="1330"/>
              </w:numPr>
              <w:tabs>
                <w:tab w:val="left" w:pos="163"/>
              </w:tabs>
              <w:ind w:right="134"/>
              <w:rPr>
                <w:sz w:val="14"/>
              </w:rPr>
            </w:pPr>
            <w:r>
              <w:rPr>
                <w:color w:val="231F20"/>
                <w:sz w:val="14"/>
              </w:rPr>
              <w:t xml:space="preserve">Даље проширивање и продубљивање техничко ­ 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w:t>
            </w:r>
            <w:r>
              <w:rPr>
                <w:color w:val="231F20"/>
                <w:sz w:val="14"/>
              </w:rPr>
              <w:t>адржаје из спортске</w:t>
            </w:r>
            <w:r>
              <w:rPr>
                <w:color w:val="231F20"/>
                <w:spacing w:val="-7"/>
                <w:sz w:val="14"/>
              </w:rPr>
              <w:t xml:space="preserve"> </w:t>
            </w:r>
            <w:r>
              <w:rPr>
                <w:color w:val="231F20"/>
                <w:sz w:val="14"/>
              </w:rPr>
              <w:t>игре.</w:t>
            </w:r>
          </w:p>
          <w:p w:rsidR="00041039" w:rsidRDefault="001B26CB">
            <w:pPr>
              <w:pStyle w:val="TableParagraph"/>
              <w:numPr>
                <w:ilvl w:val="0"/>
                <w:numId w:val="1329"/>
              </w:numPr>
              <w:tabs>
                <w:tab w:val="left" w:pos="157"/>
              </w:tabs>
              <w:spacing w:line="155" w:lineRule="exact"/>
              <w:ind w:hanging="99"/>
              <w:rPr>
                <w:sz w:val="14"/>
              </w:rPr>
            </w:pPr>
            <w:r>
              <w:rPr>
                <w:color w:val="231F20"/>
                <w:sz w:val="14"/>
              </w:rPr>
              <w:t>Стручно веће наставника физичког</w:t>
            </w:r>
            <w:r>
              <w:rPr>
                <w:color w:val="231F20"/>
                <w:spacing w:val="-9"/>
                <w:sz w:val="14"/>
              </w:rPr>
              <w:t xml:space="preserve"> </w:t>
            </w:r>
            <w:r>
              <w:rPr>
                <w:color w:val="231F20"/>
                <w:sz w:val="14"/>
              </w:rPr>
              <w:t>васпи­</w:t>
            </w:r>
          </w:p>
          <w:p w:rsidR="00041039" w:rsidRDefault="001B26CB">
            <w:pPr>
              <w:pStyle w:val="TableParagraph"/>
              <w:rPr>
                <w:sz w:val="14"/>
              </w:rPr>
            </w:pPr>
            <w:r>
              <w:rPr>
                <w:color w:val="231F20"/>
                <w:sz w:val="14"/>
              </w:rPr>
              <w:t>тања, према програму који сам доноси из програма првогразреда (програм по избору ученика) у складу са могућностима школе, организује наставу за коју ученици покажу посебно интересовање.</w:t>
            </w:r>
          </w:p>
          <w:p w:rsidR="00041039" w:rsidRDefault="001B26CB">
            <w:pPr>
              <w:pStyle w:val="TableParagraph"/>
              <w:numPr>
                <w:ilvl w:val="0"/>
                <w:numId w:val="1329"/>
              </w:numPr>
              <w:tabs>
                <w:tab w:val="left" w:pos="157"/>
              </w:tabs>
              <w:spacing w:line="156" w:lineRule="exact"/>
              <w:ind w:hanging="99"/>
              <w:rPr>
                <w:sz w:val="14"/>
              </w:rPr>
            </w:pPr>
            <w:r>
              <w:rPr>
                <w:color w:val="231F20"/>
                <w:sz w:val="14"/>
              </w:rPr>
              <w:t xml:space="preserve">Препорука: </w:t>
            </w:r>
            <w:r>
              <w:rPr>
                <w:color w:val="231F20"/>
                <w:spacing w:val="-3"/>
                <w:sz w:val="14"/>
              </w:rPr>
              <w:t xml:space="preserve">уколико </w:t>
            </w:r>
            <w:r>
              <w:rPr>
                <w:color w:val="231F20"/>
                <w:sz w:val="14"/>
              </w:rPr>
              <w:t>је могуће,</w:t>
            </w:r>
            <w:r>
              <w:rPr>
                <w:color w:val="231F20"/>
                <w:spacing w:val="-1"/>
                <w:sz w:val="14"/>
              </w:rPr>
              <w:t xml:space="preserve"> </w:t>
            </w:r>
            <w:r>
              <w:rPr>
                <w:color w:val="231F20"/>
                <w:sz w:val="14"/>
              </w:rPr>
              <w:t>организо­</w:t>
            </w:r>
          </w:p>
          <w:p w:rsidR="00041039" w:rsidRDefault="001B26CB">
            <w:pPr>
              <w:pStyle w:val="TableParagraph"/>
              <w:rPr>
                <w:sz w:val="14"/>
              </w:rPr>
            </w:pPr>
            <w:r>
              <w:rPr>
                <w:color w:val="231F20"/>
                <w:sz w:val="14"/>
              </w:rPr>
              <w:t>вати наставу пливања (посебно обуку за непливаче)</w:t>
            </w:r>
          </w:p>
        </w:tc>
        <w:tc>
          <w:tcPr>
            <w:tcW w:w="2267" w:type="dxa"/>
          </w:tcPr>
          <w:p w:rsidR="00041039" w:rsidRDefault="001B26CB">
            <w:pPr>
              <w:pStyle w:val="TableParagraph"/>
              <w:numPr>
                <w:ilvl w:val="0"/>
                <w:numId w:val="1328"/>
              </w:numPr>
              <w:tabs>
                <w:tab w:val="left" w:pos="158"/>
              </w:tabs>
              <w:spacing w:before="9" w:line="171" w:lineRule="exact"/>
              <w:rPr>
                <w:sz w:val="14"/>
              </w:rPr>
            </w:pPr>
            <w:r>
              <w:rPr>
                <w:color w:val="231F20"/>
                <w:sz w:val="14"/>
              </w:rPr>
              <w:t>Вежбе на справама и</w:t>
            </w:r>
            <w:r>
              <w:rPr>
                <w:color w:val="231F20"/>
                <w:spacing w:val="-5"/>
                <w:sz w:val="14"/>
              </w:rPr>
              <w:t xml:space="preserve"> </w:t>
            </w:r>
            <w:r>
              <w:rPr>
                <w:color w:val="231F20"/>
                <w:sz w:val="14"/>
              </w:rPr>
              <w:t>тлу:</w:t>
            </w:r>
          </w:p>
          <w:p w:rsidR="00041039" w:rsidRDefault="001B26CB">
            <w:pPr>
              <w:pStyle w:val="TableParagraph"/>
              <w:ind w:left="57" w:right="32"/>
              <w:rPr>
                <w:sz w:val="14"/>
              </w:rPr>
            </w:pPr>
            <w:r>
              <w:rPr>
                <w:b/>
                <w:color w:val="231F20"/>
                <w:sz w:val="14"/>
              </w:rPr>
              <w:t xml:space="preserve">За ученике: </w:t>
            </w:r>
            <w:r>
              <w:rPr>
                <w:color w:val="231F20"/>
                <w:sz w:val="14"/>
              </w:rPr>
              <w:t>наставни садржаји из програма вежби на тлу, прескока, једне справе у упору и једне справе у вису.</w:t>
            </w:r>
          </w:p>
          <w:p w:rsidR="00041039" w:rsidRDefault="001B26CB">
            <w:pPr>
              <w:pStyle w:val="TableParagraph"/>
              <w:spacing w:line="237" w:lineRule="auto"/>
              <w:ind w:left="57" w:right="127"/>
              <w:rPr>
                <w:sz w:val="14"/>
              </w:rPr>
            </w:pPr>
            <w:r>
              <w:rPr>
                <w:b/>
                <w:color w:val="231F20"/>
                <w:sz w:val="14"/>
              </w:rPr>
              <w:t xml:space="preserve">За ученице: </w:t>
            </w:r>
            <w:r>
              <w:rPr>
                <w:color w:val="231F20"/>
                <w:sz w:val="14"/>
              </w:rPr>
              <w:t>наставни садржаји и</w:t>
            </w:r>
            <w:r>
              <w:rPr>
                <w:color w:val="231F20"/>
                <w:sz w:val="14"/>
              </w:rPr>
              <w:t>з програма вежби на тлу, прескока, греде и двовисинског разбоја.</w:t>
            </w:r>
          </w:p>
          <w:p w:rsidR="00041039" w:rsidRDefault="00041039">
            <w:pPr>
              <w:pStyle w:val="TableParagraph"/>
              <w:spacing w:before="7"/>
              <w:ind w:left="0"/>
              <w:rPr>
                <w:b/>
                <w:sz w:val="13"/>
              </w:rPr>
            </w:pPr>
          </w:p>
          <w:p w:rsidR="00041039" w:rsidRDefault="001B26CB">
            <w:pPr>
              <w:pStyle w:val="TableParagraph"/>
              <w:spacing w:before="1"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328"/>
              </w:numPr>
              <w:tabs>
                <w:tab w:val="left" w:pos="158"/>
              </w:tabs>
              <w:spacing w:line="237" w:lineRule="auto"/>
              <w:ind w:right="156"/>
              <w:jc w:val="both"/>
              <w:rPr>
                <w:b/>
                <w:sz w:val="14"/>
              </w:rPr>
            </w:pPr>
            <w:r>
              <w:rPr>
                <w:color w:val="231F20"/>
                <w:sz w:val="14"/>
              </w:rPr>
              <w:t>Тестирање и провера</w:t>
            </w:r>
            <w:r>
              <w:rPr>
                <w:color w:val="231F20"/>
                <w:spacing w:val="-14"/>
                <w:sz w:val="14"/>
              </w:rPr>
              <w:t xml:space="preserve"> </w:t>
            </w:r>
            <w:r>
              <w:rPr>
                <w:color w:val="231F20"/>
                <w:sz w:val="14"/>
              </w:rPr>
              <w:t xml:space="preserve">савладано­ сти стандарда из основне </w:t>
            </w:r>
            <w:r>
              <w:rPr>
                <w:color w:val="231F20"/>
                <w:spacing w:val="-3"/>
                <w:sz w:val="14"/>
              </w:rPr>
              <w:t xml:space="preserve">школе </w:t>
            </w:r>
            <w:r>
              <w:rPr>
                <w:b/>
                <w:color w:val="231F20"/>
                <w:sz w:val="14"/>
              </w:rPr>
              <w:t>(6</w:t>
            </w:r>
            <w:r>
              <w:rPr>
                <w:b/>
                <w:color w:val="231F20"/>
                <w:spacing w:val="-1"/>
                <w:sz w:val="14"/>
              </w:rPr>
              <w:t xml:space="preserve"> </w:t>
            </w:r>
            <w:r>
              <w:rPr>
                <w:b/>
                <w:color w:val="231F20"/>
                <w:sz w:val="14"/>
              </w:rPr>
              <w:t>часова)</w:t>
            </w:r>
          </w:p>
          <w:p w:rsidR="00041039" w:rsidRDefault="001B26CB">
            <w:pPr>
              <w:pStyle w:val="TableParagraph"/>
              <w:numPr>
                <w:ilvl w:val="0"/>
                <w:numId w:val="1328"/>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1328"/>
              </w:numPr>
              <w:tabs>
                <w:tab w:val="left" w:pos="158"/>
              </w:tabs>
              <w:spacing w:line="155" w:lineRule="exact"/>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1328"/>
              </w:numPr>
              <w:tabs>
                <w:tab w:val="left" w:pos="158"/>
              </w:tabs>
              <w:spacing w:line="237" w:lineRule="auto"/>
              <w:ind w:right="104"/>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numPr>
                <w:ilvl w:val="0"/>
                <w:numId w:val="1328"/>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1328"/>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328"/>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328"/>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 вођење редовне наставе школа у току школске године организује: Два целодневна излета са пеша­ чењем:</w:t>
            </w:r>
          </w:p>
          <w:p w:rsidR="00041039" w:rsidRDefault="001B26CB">
            <w:pPr>
              <w:pStyle w:val="TableParagraph"/>
              <w:numPr>
                <w:ilvl w:val="0"/>
                <w:numId w:val="1327"/>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1327"/>
              </w:numPr>
              <w:tabs>
                <w:tab w:val="left" w:pos="163"/>
              </w:tabs>
              <w:ind w:right="180"/>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1327"/>
              </w:numPr>
              <w:tabs>
                <w:tab w:val="left" w:pos="163"/>
              </w:tabs>
              <w:ind w:right="134"/>
              <w:rPr>
                <w:sz w:val="14"/>
              </w:rPr>
            </w:pPr>
            <w:r>
              <w:rPr>
                <w:color w:val="231F20"/>
                <w:sz w:val="14"/>
              </w:rPr>
              <w:t>III разред до 16 км (уку</w:t>
            </w:r>
            <w:r>
              <w:rPr>
                <w:color w:val="231F20"/>
                <w:sz w:val="14"/>
              </w:rPr>
              <w:t>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p w:rsidR="00041039" w:rsidRDefault="00041039">
            <w:pPr>
              <w:pStyle w:val="TableParagraph"/>
              <w:spacing w:before="9"/>
              <w:ind w:left="0"/>
              <w:rPr>
                <w:b/>
                <w:sz w:val="12"/>
              </w:rPr>
            </w:pPr>
          </w:p>
          <w:p w:rsidR="00041039" w:rsidRDefault="001B26CB">
            <w:pPr>
              <w:pStyle w:val="TableParagraph"/>
              <w:ind w:left="57" w:right="387"/>
              <w:rPr>
                <w:sz w:val="14"/>
              </w:rPr>
            </w:pPr>
            <w:r>
              <w:rPr>
                <w:color w:val="231F20"/>
                <w:sz w:val="14"/>
              </w:rPr>
              <w:t>Школа организује и спрово­ ди спортска такмичења, као</w:t>
            </w:r>
          </w:p>
          <w:p w:rsidR="00041039" w:rsidRDefault="001B26CB">
            <w:pPr>
              <w:pStyle w:val="TableParagraph"/>
              <w:spacing w:line="237" w:lineRule="auto"/>
              <w:ind w:left="57" w:right="125"/>
              <w:rPr>
                <w:sz w:val="14"/>
              </w:rPr>
            </w:pPr>
            <w:r>
              <w:rPr>
                <w:color w:val="231F20"/>
                <w:sz w:val="14"/>
              </w:rPr>
              <w:t>јединствени део процеса наставе физичког васпитања. Спортска такмичења организују се у оквиру радне суботе и у друго време које одреди школа. Међу школска спортска такмичења организују се у оквиру календара који доноси Министарство просвете науке и техноло</w:t>
            </w:r>
            <w:r>
              <w:rPr>
                <w:color w:val="231F20"/>
                <w:sz w:val="14"/>
              </w:rPr>
              <w:t>шког развоја.</w:t>
            </w:r>
          </w:p>
        </w:tc>
      </w:tr>
    </w:tbl>
    <w:p w:rsidR="00041039" w:rsidRDefault="00041039">
      <w:pPr>
        <w:pStyle w:val="BodyText"/>
        <w:spacing w:before="8"/>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1326"/>
              </w:numPr>
              <w:tabs>
                <w:tab w:val="left" w:pos="157"/>
              </w:tabs>
              <w:spacing w:before="8"/>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1326"/>
              </w:numPr>
              <w:tabs>
                <w:tab w:val="left" w:pos="157"/>
              </w:tabs>
              <w:spacing w:line="160"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1325"/>
              </w:numPr>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1325"/>
              </w:numPr>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numPr>
                <w:ilvl w:val="0"/>
                <w:numId w:val="1325"/>
              </w:numPr>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1324"/>
              </w:numPr>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1324"/>
              </w:numPr>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1324"/>
              </w:numPr>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tcPr>
          <w:p w:rsidR="00041039" w:rsidRDefault="001B26CB">
            <w:pPr>
              <w:pStyle w:val="TableParagraph"/>
              <w:numPr>
                <w:ilvl w:val="0"/>
                <w:numId w:val="1323"/>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1323"/>
              </w:numPr>
              <w:tabs>
                <w:tab w:val="left" w:pos="158"/>
              </w:tabs>
              <w:spacing w:line="156" w:lineRule="exact"/>
              <w:ind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цијео томе које вежбе позитивно</w:t>
            </w:r>
            <w:r>
              <w:rPr>
                <w:color w:val="231F20"/>
                <w:sz w:val="14"/>
              </w:rPr>
              <w:t xml:space="preserve"> утичу на статус њиховог органи­ зма, с обзиром на карактеристике њихове професије, а које негатив­ но утичу на здравље.</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604"/>
        </w:trPr>
        <w:tc>
          <w:tcPr>
            <w:tcW w:w="1304" w:type="dxa"/>
          </w:tcPr>
          <w:p w:rsidR="00041039" w:rsidRDefault="001B26CB">
            <w:pPr>
              <w:pStyle w:val="TableParagraph"/>
              <w:spacing w:before="22" w:line="232" w:lineRule="auto"/>
              <w:ind w:left="56" w:right="116"/>
              <w:rPr>
                <w:sz w:val="14"/>
              </w:rPr>
            </w:pPr>
            <w:r>
              <w:rPr>
                <w:color w:val="231F20"/>
                <w:sz w:val="14"/>
              </w:rPr>
              <w:lastRenderedPageBreak/>
              <w:t>Развој</w:t>
            </w:r>
            <w:r>
              <w:rPr>
                <w:color w:val="231F20"/>
                <w:spacing w:val="-7"/>
                <w:sz w:val="14"/>
              </w:rPr>
              <w:t xml:space="preserve"> </w:t>
            </w:r>
            <w:r>
              <w:rPr>
                <w:color w:val="231F20"/>
                <w:sz w:val="14"/>
              </w:rPr>
              <w:t>моторичких и функционал­ них способности човека, као основа за реализовање постављених циљева и</w:t>
            </w:r>
            <w:r>
              <w:rPr>
                <w:color w:val="231F20"/>
                <w:spacing w:val="-2"/>
                <w:sz w:val="14"/>
              </w:rPr>
              <w:t xml:space="preserve"> </w:t>
            </w:r>
            <w:r>
              <w:rPr>
                <w:color w:val="231F20"/>
                <w:spacing w:val="-3"/>
                <w:sz w:val="14"/>
              </w:rPr>
              <w:t>исхода</w:t>
            </w:r>
          </w:p>
        </w:tc>
        <w:tc>
          <w:tcPr>
            <w:tcW w:w="1587" w:type="dxa"/>
          </w:tcPr>
          <w:p w:rsidR="00041039" w:rsidRDefault="001B26CB">
            <w:pPr>
              <w:pStyle w:val="TableParagraph"/>
              <w:numPr>
                <w:ilvl w:val="0"/>
                <w:numId w:val="1322"/>
              </w:numPr>
              <w:tabs>
                <w:tab w:val="left" w:pos="157"/>
              </w:tabs>
              <w:spacing w:before="12" w:line="232" w:lineRule="auto"/>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tcPr>
          <w:p w:rsidR="00041039" w:rsidRDefault="001B26CB">
            <w:pPr>
              <w:pStyle w:val="TableParagraph"/>
              <w:numPr>
                <w:ilvl w:val="0"/>
                <w:numId w:val="1321"/>
              </w:numPr>
              <w:tabs>
                <w:tab w:val="left" w:pos="157"/>
              </w:tabs>
              <w:spacing w:before="12" w:line="232" w:lineRule="auto"/>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numPr>
                <w:ilvl w:val="0"/>
                <w:numId w:val="1321"/>
              </w:numPr>
              <w:tabs>
                <w:tab w:val="left" w:pos="157"/>
              </w:tabs>
              <w:spacing w:line="156" w:lineRule="exact"/>
              <w:ind w:right="55" w:hanging="99"/>
              <w:rPr>
                <w:sz w:val="14"/>
              </w:rPr>
            </w:pPr>
            <w:r>
              <w:rPr>
                <w:color w:val="231F20"/>
                <w:sz w:val="14"/>
              </w:rPr>
              <w:t>примени адекватна средства (изводи вежбе) за развој и усавр</w:t>
            </w:r>
            <w:r>
              <w:rPr>
                <w:color w:val="231F20"/>
                <w:sz w:val="14"/>
              </w:rPr>
              <w:t>шавање мото­ ричких способности из: вежби</w:t>
            </w:r>
            <w:r>
              <w:rPr>
                <w:color w:val="231F20"/>
                <w:spacing w:val="-13"/>
                <w:sz w:val="14"/>
              </w:rPr>
              <w:t xml:space="preserve"> </w:t>
            </w:r>
            <w:r>
              <w:rPr>
                <w:color w:val="231F20"/>
                <w:sz w:val="14"/>
              </w:rPr>
              <w:t>облико­ вања, атлетике, гимнастике,</w:t>
            </w:r>
            <w:r>
              <w:rPr>
                <w:color w:val="231F20"/>
                <w:spacing w:val="-15"/>
                <w:sz w:val="14"/>
              </w:rPr>
              <w:t xml:space="preserve"> </w:t>
            </w:r>
            <w:r>
              <w:rPr>
                <w:color w:val="231F20"/>
                <w:sz w:val="14"/>
              </w:rPr>
              <w:t>пливања</w:t>
            </w:r>
          </w:p>
          <w:p w:rsidR="00041039" w:rsidRDefault="001B26CB">
            <w:pPr>
              <w:pStyle w:val="TableParagraph"/>
              <w:spacing w:line="232" w:lineRule="auto"/>
              <w:rPr>
                <w:sz w:val="14"/>
              </w:rPr>
            </w:pPr>
            <w:r>
              <w:rPr>
                <w:color w:val="231F20"/>
                <w:sz w:val="14"/>
              </w:rPr>
              <w:t>и спортских игара за развој: снаге, брзине, издржљивости, гипкости, спретности и окретности;</w:t>
            </w:r>
          </w:p>
        </w:tc>
        <w:tc>
          <w:tcPr>
            <w:tcW w:w="2834" w:type="dxa"/>
          </w:tcPr>
          <w:p w:rsidR="00041039" w:rsidRDefault="001B26CB">
            <w:pPr>
              <w:pStyle w:val="TableParagraph"/>
              <w:numPr>
                <w:ilvl w:val="0"/>
                <w:numId w:val="1320"/>
              </w:numPr>
              <w:tabs>
                <w:tab w:val="left" w:pos="157"/>
              </w:tabs>
              <w:spacing w:before="11" w:line="232" w:lineRule="auto"/>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1320"/>
              </w:numPr>
              <w:tabs>
                <w:tab w:val="left" w:pos="157"/>
              </w:tabs>
              <w:spacing w:line="149"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1320"/>
              </w:numPr>
              <w:tabs>
                <w:tab w:val="left" w:pos="157"/>
              </w:tabs>
              <w:spacing w:line="232" w:lineRule="auto"/>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1320"/>
              </w:numPr>
              <w:tabs>
                <w:tab w:val="left" w:pos="157"/>
              </w:tabs>
              <w:spacing w:line="156" w:lineRule="exact"/>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numPr>
                <w:ilvl w:val="0"/>
                <w:numId w:val="1320"/>
              </w:numPr>
              <w:tabs>
                <w:tab w:val="left" w:pos="157"/>
              </w:tabs>
              <w:spacing w:line="156"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1320"/>
              </w:numPr>
              <w:tabs>
                <w:tab w:val="left" w:pos="157"/>
              </w:tabs>
              <w:spacing w:line="155" w:lineRule="exact"/>
              <w:ind w:hanging="99"/>
              <w:rPr>
                <w:sz w:val="14"/>
              </w:rPr>
            </w:pPr>
            <w:r>
              <w:rPr>
                <w:color w:val="231F20"/>
                <w:sz w:val="14"/>
              </w:rPr>
              <w:t>Аеробик.</w:t>
            </w:r>
          </w:p>
        </w:tc>
        <w:tc>
          <w:tcPr>
            <w:tcW w:w="2267" w:type="dxa"/>
            <w:vMerge w:val="restart"/>
          </w:tcPr>
          <w:p w:rsidR="00041039" w:rsidRDefault="001B26CB">
            <w:pPr>
              <w:pStyle w:val="TableParagraph"/>
              <w:numPr>
                <w:ilvl w:val="0"/>
                <w:numId w:val="1319"/>
              </w:numPr>
              <w:tabs>
                <w:tab w:val="left" w:pos="158"/>
              </w:tabs>
              <w:spacing w:before="11" w:line="232" w:lineRule="auto"/>
              <w:ind w:right="278" w:hanging="99"/>
              <w:rPr>
                <w:sz w:val="14"/>
              </w:rPr>
            </w:pPr>
            <w:r>
              <w:rPr>
                <w:color w:val="231F20"/>
                <w:sz w:val="14"/>
              </w:rPr>
              <w:t xml:space="preserve">Ученици који похађају чет­ ворогодишње стручне </w:t>
            </w:r>
            <w:r>
              <w:rPr>
                <w:color w:val="231F20"/>
                <w:spacing w:val="-3"/>
                <w:sz w:val="14"/>
              </w:rPr>
              <w:t xml:space="preserve">школе </w:t>
            </w:r>
            <w:r>
              <w:rPr>
                <w:color w:val="231F20"/>
                <w:sz w:val="14"/>
              </w:rPr>
              <w:t xml:space="preserve">далеко су више оптерећени у редовном </w:t>
            </w:r>
            <w:r>
              <w:rPr>
                <w:color w:val="231F20"/>
                <w:sz w:val="14"/>
              </w:rPr>
              <w:t>образовању прак­ тичном и теоријском</w:t>
            </w:r>
            <w:r>
              <w:rPr>
                <w:color w:val="231F20"/>
                <w:spacing w:val="-20"/>
                <w:sz w:val="14"/>
              </w:rPr>
              <w:t xml:space="preserve"> </w:t>
            </w:r>
            <w:r>
              <w:rPr>
                <w:color w:val="231F20"/>
                <w:sz w:val="14"/>
              </w:rPr>
              <w:t xml:space="preserve">наставом </w:t>
            </w:r>
            <w:r>
              <w:rPr>
                <w:color w:val="231F20"/>
                <w:spacing w:val="-3"/>
                <w:sz w:val="14"/>
              </w:rPr>
              <w:t xml:space="preserve">од </w:t>
            </w:r>
            <w:r>
              <w:rPr>
                <w:color w:val="231F20"/>
                <w:sz w:val="14"/>
              </w:rPr>
              <w:t>осталих ученика. Због тога је физичко васпитање, у овим школама, значајно за</w:t>
            </w:r>
            <w:r>
              <w:rPr>
                <w:color w:val="231F20"/>
                <w:spacing w:val="-16"/>
                <w:sz w:val="14"/>
              </w:rPr>
              <w:t xml:space="preserve"> </w:t>
            </w:r>
            <w:r>
              <w:rPr>
                <w:color w:val="231F20"/>
                <w:sz w:val="14"/>
              </w:rPr>
              <w:t>активан</w:t>
            </w:r>
          </w:p>
          <w:p w:rsidR="00041039" w:rsidRDefault="001B26CB">
            <w:pPr>
              <w:pStyle w:val="TableParagraph"/>
              <w:spacing w:line="232" w:lineRule="auto"/>
              <w:ind w:left="157" w:right="18"/>
              <w:rPr>
                <w:sz w:val="14"/>
              </w:rPr>
            </w:pPr>
            <w:r>
              <w:rPr>
                <w:color w:val="231F20"/>
                <w:sz w:val="14"/>
              </w:rPr>
              <w:t>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rsidR="00041039" w:rsidRDefault="00041039">
            <w:pPr>
              <w:pStyle w:val="TableParagraph"/>
              <w:spacing w:before="10"/>
              <w:ind w:left="0"/>
              <w:rPr>
                <w:b/>
                <w:sz w:val="12"/>
              </w:rPr>
            </w:pPr>
          </w:p>
          <w:p w:rsidR="00041039" w:rsidRDefault="001B26CB">
            <w:pPr>
              <w:pStyle w:val="TableParagraph"/>
              <w:spacing w:line="158" w:lineRule="exact"/>
              <w:ind w:left="58"/>
              <w:rPr>
                <w:b/>
                <w:sz w:val="14"/>
              </w:rPr>
            </w:pPr>
            <w:r>
              <w:rPr>
                <w:b/>
                <w:color w:val="231F20"/>
                <w:sz w:val="14"/>
              </w:rPr>
              <w:t>Облици наставе</w:t>
            </w:r>
          </w:p>
          <w:p w:rsidR="00041039" w:rsidRDefault="001B26CB">
            <w:pPr>
              <w:pStyle w:val="TableParagraph"/>
              <w:spacing w:before="2" w:line="232" w:lineRule="auto"/>
              <w:ind w:left="58" w:right="343"/>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1319"/>
              </w:numPr>
              <w:tabs>
                <w:tab w:val="left" w:pos="158"/>
              </w:tabs>
              <w:spacing w:line="149" w:lineRule="exact"/>
              <w:ind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319"/>
              </w:numPr>
              <w:tabs>
                <w:tab w:val="left" w:pos="158"/>
              </w:tabs>
              <w:spacing w:line="156" w:lineRule="exact"/>
              <w:ind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numPr>
                <w:ilvl w:val="0"/>
                <w:numId w:val="1319"/>
              </w:numPr>
              <w:tabs>
                <w:tab w:val="left" w:pos="158"/>
              </w:tabs>
              <w:spacing w:line="164" w:lineRule="exact"/>
              <w:ind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p w:rsidR="00041039" w:rsidRDefault="00041039">
            <w:pPr>
              <w:pStyle w:val="TableParagraph"/>
              <w:spacing w:before="5"/>
              <w:ind w:left="0"/>
              <w:rPr>
                <w:b/>
                <w:sz w:val="13"/>
              </w:rPr>
            </w:pPr>
          </w:p>
          <w:p w:rsidR="00041039" w:rsidRDefault="001B26CB">
            <w:pPr>
              <w:pStyle w:val="TableParagraph"/>
              <w:spacing w:line="232" w:lineRule="auto"/>
              <w:ind w:left="58"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line="232" w:lineRule="auto"/>
              <w:ind w:left="58" w:right="382"/>
              <w:rPr>
                <w:sz w:val="14"/>
              </w:rPr>
            </w:pPr>
            <w:r>
              <w:rPr>
                <w:color w:val="231F20"/>
                <w:sz w:val="14"/>
              </w:rPr>
              <w:t>Настава се изводи фронтално и по групама, у зави</w:t>
            </w:r>
            <w:r>
              <w:rPr>
                <w:color w:val="231F20"/>
                <w:sz w:val="14"/>
              </w:rPr>
              <w:t>сности од</w:t>
            </w:r>
          </w:p>
          <w:p w:rsidR="00041039" w:rsidRDefault="001B26CB">
            <w:pPr>
              <w:pStyle w:val="TableParagraph"/>
              <w:spacing w:line="232" w:lineRule="auto"/>
              <w:ind w:left="58"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дуалан.</w:t>
            </w:r>
          </w:p>
          <w:p w:rsidR="00041039" w:rsidRDefault="00041039">
            <w:pPr>
              <w:pStyle w:val="TableParagraph"/>
              <w:ind w:left="0"/>
              <w:rPr>
                <w:b/>
                <w:sz w:val="13"/>
              </w:rPr>
            </w:pPr>
          </w:p>
          <w:p w:rsidR="00041039" w:rsidRDefault="001B26CB">
            <w:pPr>
              <w:pStyle w:val="TableParagraph"/>
              <w:spacing w:before="1" w:line="153" w:lineRule="exact"/>
              <w:ind w:left="58"/>
              <w:rPr>
                <w:b/>
                <w:sz w:val="14"/>
              </w:rPr>
            </w:pPr>
            <w:r>
              <w:rPr>
                <w:b/>
                <w:color w:val="231F20"/>
                <w:sz w:val="14"/>
              </w:rPr>
              <w:t>Место реализације наставе</w:t>
            </w:r>
          </w:p>
          <w:p w:rsidR="00041039" w:rsidRDefault="001B26CB">
            <w:pPr>
              <w:pStyle w:val="TableParagraph"/>
              <w:numPr>
                <w:ilvl w:val="0"/>
                <w:numId w:val="1319"/>
              </w:numPr>
              <w:tabs>
                <w:tab w:val="left" w:pos="158"/>
              </w:tabs>
              <w:spacing w:line="232" w:lineRule="auto"/>
              <w:ind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1319"/>
              </w:numPr>
              <w:tabs>
                <w:tab w:val="left" w:pos="158"/>
              </w:tabs>
              <w:spacing w:line="156" w:lineRule="exact"/>
              <w:ind w:right="101" w:hanging="99"/>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1"/>
              <w:ind w:left="0"/>
              <w:rPr>
                <w:b/>
                <w:sz w:val="13"/>
              </w:rPr>
            </w:pPr>
          </w:p>
          <w:p w:rsidR="00041039" w:rsidRDefault="001B26CB">
            <w:pPr>
              <w:pStyle w:val="TableParagraph"/>
              <w:spacing w:before="1" w:line="232" w:lineRule="auto"/>
              <w:ind w:left="58" w:right="109"/>
              <w:rPr>
                <w:b/>
                <w:sz w:val="14"/>
              </w:rPr>
            </w:pPr>
            <w:r>
              <w:rPr>
                <w:b/>
                <w:color w:val="231F20"/>
                <w:sz w:val="14"/>
              </w:rPr>
              <w:t>Препоруке за реализацију наставе</w:t>
            </w:r>
          </w:p>
          <w:p w:rsidR="00041039" w:rsidRDefault="001B26CB">
            <w:pPr>
              <w:pStyle w:val="TableParagraph"/>
              <w:numPr>
                <w:ilvl w:val="0"/>
                <w:numId w:val="1319"/>
              </w:numPr>
              <w:tabs>
                <w:tab w:val="left" w:pos="158"/>
              </w:tabs>
              <w:spacing w:before="1" w:line="156" w:lineRule="exact"/>
              <w:ind w:right="74" w:hanging="99"/>
              <w:rPr>
                <w:sz w:val="14"/>
              </w:rPr>
            </w:pPr>
            <w:r>
              <w:rPr>
                <w:color w:val="231F20"/>
                <w:sz w:val="14"/>
              </w:rPr>
              <w:t>Настава се реализује у циклусима који трају приближно 10 ­ 12 часова (узастопних). Наставнику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1"/>
              <w:ind w:left="0"/>
              <w:rPr>
                <w:b/>
                <w:sz w:val="13"/>
              </w:rPr>
            </w:pPr>
          </w:p>
          <w:p w:rsidR="00041039" w:rsidRDefault="001B26CB">
            <w:pPr>
              <w:pStyle w:val="TableParagraph"/>
              <w:spacing w:line="158" w:lineRule="exact"/>
              <w:ind w:left="58"/>
              <w:rPr>
                <w:b/>
                <w:sz w:val="14"/>
              </w:rPr>
            </w:pPr>
            <w:r>
              <w:rPr>
                <w:b/>
                <w:color w:val="231F20"/>
                <w:sz w:val="14"/>
              </w:rPr>
              <w:t>Садржај циклуса је:</w:t>
            </w:r>
          </w:p>
          <w:p w:rsidR="00041039" w:rsidRDefault="001B26CB">
            <w:pPr>
              <w:pStyle w:val="TableParagraph"/>
              <w:numPr>
                <w:ilvl w:val="0"/>
                <w:numId w:val="1318"/>
              </w:numPr>
              <w:tabs>
                <w:tab w:val="left" w:pos="164"/>
              </w:tabs>
              <w:spacing w:before="1" w:line="232" w:lineRule="auto"/>
              <w:ind w:right="169"/>
              <w:rPr>
                <w:sz w:val="14"/>
              </w:rPr>
            </w:pPr>
            <w:r>
              <w:rPr>
                <w:color w:val="231F20"/>
                <w:sz w:val="14"/>
              </w:rPr>
              <w:t>за проверу нивоа зн</w:t>
            </w:r>
            <w:r>
              <w:rPr>
                <w:color w:val="231F20"/>
                <w:sz w:val="14"/>
              </w:rPr>
              <w:t>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1318"/>
              </w:numPr>
              <w:tabs>
                <w:tab w:val="left" w:pos="164"/>
              </w:tabs>
              <w:spacing w:line="154"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1318"/>
              </w:numPr>
              <w:tabs>
                <w:tab w:val="left" w:pos="164"/>
              </w:tabs>
              <w:spacing w:before="2" w:line="232" w:lineRule="auto"/>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1318"/>
              </w:numPr>
              <w:tabs>
                <w:tab w:val="left" w:pos="164"/>
              </w:tabs>
              <w:spacing w:line="154"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1318"/>
              </w:numPr>
              <w:tabs>
                <w:tab w:val="left" w:pos="164"/>
              </w:tabs>
              <w:spacing w:before="1" w:line="232" w:lineRule="auto"/>
              <w:ind w:right="244"/>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7" w:lineRule="exact"/>
              <w:ind w:left="163"/>
              <w:rPr>
                <w:sz w:val="14"/>
              </w:rPr>
            </w:pPr>
            <w:r>
              <w:rPr>
                <w:color w:val="231F20"/>
                <w:sz w:val="14"/>
              </w:rPr>
              <w:t>- један.</w:t>
            </w:r>
          </w:p>
          <w:p w:rsidR="00041039" w:rsidRDefault="00041039">
            <w:pPr>
              <w:pStyle w:val="TableParagraph"/>
              <w:spacing w:before="5"/>
              <w:ind w:left="0"/>
              <w:rPr>
                <w:b/>
                <w:sz w:val="13"/>
              </w:rPr>
            </w:pPr>
          </w:p>
          <w:p w:rsidR="00041039" w:rsidRDefault="001B26CB">
            <w:pPr>
              <w:pStyle w:val="TableParagraph"/>
              <w:spacing w:line="232" w:lineRule="auto"/>
              <w:ind w:left="58"/>
              <w:rPr>
                <w:sz w:val="14"/>
              </w:rPr>
            </w:pPr>
            <w:r>
              <w:rPr>
                <w:b/>
                <w:color w:val="231F20"/>
                <w:sz w:val="14"/>
              </w:rPr>
              <w:t xml:space="preserve">Начин остваривања програма </w:t>
            </w:r>
            <w:r>
              <w:rPr>
                <w:color w:val="231F20"/>
                <w:sz w:val="14"/>
              </w:rPr>
              <w:t>Садржаји програма усмерени су на: развијање физичких способности; спортско ­ техничко образовање; повезивање физичког васпитања са животом и радом.</w:t>
            </w:r>
          </w:p>
          <w:p w:rsidR="00041039" w:rsidRDefault="001B26CB">
            <w:pPr>
              <w:pStyle w:val="TableParagraph"/>
              <w:spacing w:line="232" w:lineRule="auto"/>
              <w:ind w:left="58"/>
              <w:rPr>
                <w:sz w:val="14"/>
              </w:rPr>
            </w:pPr>
            <w:r>
              <w:rPr>
                <w:color w:val="231F20"/>
                <w:sz w:val="14"/>
              </w:rPr>
              <w:t>Годишњи план, програм и распоред кросева, такмичења, зимовања</w:t>
            </w:r>
          </w:p>
          <w:p w:rsidR="00041039" w:rsidRDefault="001B26CB">
            <w:pPr>
              <w:pStyle w:val="TableParagraph"/>
              <w:spacing w:line="232" w:lineRule="auto"/>
              <w:ind w:left="58" w:right="252"/>
              <w:rPr>
                <w:sz w:val="14"/>
              </w:rPr>
            </w:pPr>
            <w:r>
              <w:rPr>
                <w:color w:val="231F20"/>
                <w:sz w:val="14"/>
              </w:rPr>
              <w:t xml:space="preserve">и других облика рада утврђује се на почетку </w:t>
            </w:r>
            <w:r>
              <w:rPr>
                <w:color w:val="231F20"/>
                <w:spacing w:val="-3"/>
                <w:sz w:val="14"/>
              </w:rPr>
              <w:t>шк</w:t>
            </w:r>
            <w:r>
              <w:rPr>
                <w:color w:val="231F20"/>
                <w:spacing w:val="-3"/>
                <w:sz w:val="14"/>
              </w:rPr>
              <w:t xml:space="preserve">олске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2" w:lineRule="auto"/>
              <w:ind w:left="58"/>
              <w:rPr>
                <w:sz w:val="14"/>
              </w:rPr>
            </w:pPr>
            <w:r>
              <w:rPr>
                <w:color w:val="231F20"/>
                <w:sz w:val="14"/>
              </w:rPr>
              <w:t>стручног већа наставника физичког васпитања.</w:t>
            </w:r>
          </w:p>
          <w:p w:rsidR="00041039" w:rsidRDefault="001B26CB">
            <w:pPr>
              <w:pStyle w:val="TableParagraph"/>
              <w:spacing w:line="232" w:lineRule="auto"/>
              <w:ind w:left="58"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2" w:lineRule="auto"/>
              <w:ind w:left="58" w:right="39"/>
              <w:rPr>
                <w:sz w:val="14"/>
              </w:rPr>
            </w:pPr>
            <w:r>
              <w:rPr>
                <w:color w:val="231F20"/>
                <w:sz w:val="14"/>
              </w:rPr>
              <w:t>Часови у току недеље треба да буду распоређен</w:t>
            </w:r>
            <w:r>
              <w:rPr>
                <w:color w:val="231F20"/>
                <w:sz w:val="14"/>
              </w:rPr>
              <w:t xml:space="preserve">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tc>
      </w:tr>
      <w:tr w:rsidR="00041039">
        <w:trPr>
          <w:trHeight w:val="1212"/>
        </w:trPr>
        <w:tc>
          <w:tcPr>
            <w:tcW w:w="1304" w:type="dxa"/>
            <w:tcBorders>
              <w:bottom w:val="nil"/>
            </w:tcBorders>
          </w:tcPr>
          <w:p w:rsidR="00041039" w:rsidRDefault="001B26CB">
            <w:pPr>
              <w:pStyle w:val="TableParagraph"/>
              <w:spacing w:before="14"/>
              <w:ind w:left="56" w:right="77"/>
              <w:rPr>
                <w:sz w:val="14"/>
              </w:rPr>
            </w:pPr>
            <w:r>
              <w:rPr>
                <w:color w:val="231F20"/>
                <w:sz w:val="14"/>
              </w:rPr>
              <w:t>Усвајање знања, умења и вештина из спортских грана и дисциплина као основа за реализо­ вање постављених циљева и исхода</w:t>
            </w:r>
          </w:p>
        </w:tc>
        <w:tc>
          <w:tcPr>
            <w:tcW w:w="1587" w:type="dxa"/>
            <w:vMerge w:val="restart"/>
          </w:tcPr>
          <w:p w:rsidR="00041039" w:rsidRDefault="001B26CB">
            <w:pPr>
              <w:pStyle w:val="TableParagraph"/>
              <w:numPr>
                <w:ilvl w:val="0"/>
                <w:numId w:val="1317"/>
              </w:numPr>
              <w:tabs>
                <w:tab w:val="left" w:pos="157"/>
              </w:tabs>
              <w:spacing w:before="4"/>
              <w:ind w:right="48"/>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041039" w:rsidRDefault="001B26CB">
            <w:pPr>
              <w:pStyle w:val="TableParagraph"/>
              <w:numPr>
                <w:ilvl w:val="0"/>
                <w:numId w:val="1317"/>
              </w:numPr>
              <w:tabs>
                <w:tab w:val="left" w:pos="157"/>
              </w:tabs>
              <w:spacing w:line="157" w:lineRule="exact"/>
              <w:rPr>
                <w:sz w:val="14"/>
              </w:rPr>
            </w:pPr>
            <w:r>
              <w:rPr>
                <w:color w:val="231F20"/>
                <w:sz w:val="14"/>
              </w:rPr>
              <w:t>Формирање</w:t>
            </w:r>
            <w:r>
              <w:rPr>
                <w:color w:val="231F20"/>
                <w:spacing w:val="-3"/>
                <w:sz w:val="14"/>
              </w:rPr>
              <w:t xml:space="preserve"> </w:t>
            </w:r>
            <w:r>
              <w:rPr>
                <w:color w:val="231F20"/>
                <w:sz w:val="14"/>
              </w:rPr>
              <w:t>позитив­</w:t>
            </w:r>
          </w:p>
          <w:p w:rsidR="00041039" w:rsidRDefault="001B26CB">
            <w:pPr>
              <w:pStyle w:val="TableParagraph"/>
              <w:ind w:right="15"/>
              <w:rPr>
                <w:sz w:val="14"/>
              </w:rPr>
            </w:pPr>
            <w:r>
              <w:rPr>
                <w:color w:val="231F20"/>
                <w:sz w:val="14"/>
              </w:rPr>
              <w:t>них психо социјалних образаца понашања.</w:t>
            </w:r>
          </w:p>
          <w:p w:rsidR="00041039" w:rsidRDefault="001B26CB">
            <w:pPr>
              <w:pStyle w:val="TableParagraph"/>
              <w:numPr>
                <w:ilvl w:val="0"/>
                <w:numId w:val="1317"/>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numPr>
                <w:ilvl w:val="0"/>
                <w:numId w:val="1317"/>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w:t>
            </w:r>
          </w:p>
          <w:p w:rsidR="00041039" w:rsidRDefault="001B26CB">
            <w:pPr>
              <w:pStyle w:val="TableParagraph"/>
              <w:numPr>
                <w:ilvl w:val="0"/>
                <w:numId w:val="1317"/>
              </w:numPr>
              <w:tabs>
                <w:tab w:val="left" w:pos="157"/>
              </w:tabs>
              <w:spacing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041039" w:rsidRDefault="001B26CB">
            <w:pPr>
              <w:pStyle w:val="TableParagraph"/>
              <w:numPr>
                <w:ilvl w:val="0"/>
                <w:numId w:val="1317"/>
              </w:numPr>
              <w:tabs>
                <w:tab w:val="left" w:pos="157"/>
              </w:tabs>
              <w:spacing w:line="160" w:lineRule="exact"/>
              <w:ind w:right="210"/>
              <w:rPr>
                <w:sz w:val="14"/>
              </w:rPr>
            </w:pPr>
            <w:r>
              <w:rPr>
                <w:color w:val="231F20"/>
                <w:sz w:val="14"/>
              </w:rPr>
              <w:t xml:space="preserve">Стицање и усавр­ шавање моторич­ ких знања, </w:t>
            </w:r>
            <w:r>
              <w:rPr>
                <w:color w:val="231F20"/>
                <w:sz w:val="14"/>
              </w:rPr>
              <w:t>умећа, вештина, техника и навика</w:t>
            </w:r>
            <w:r>
              <w:rPr>
                <w:color w:val="231F20"/>
                <w:spacing w:val="-9"/>
                <w:sz w:val="14"/>
              </w:rPr>
              <w:t xml:space="preserve"> </w:t>
            </w:r>
            <w:r>
              <w:rPr>
                <w:color w:val="231F20"/>
                <w:sz w:val="14"/>
              </w:rPr>
              <w:t>предвиђених</w:t>
            </w:r>
          </w:p>
          <w:p w:rsidR="00041039" w:rsidRDefault="001B26CB">
            <w:pPr>
              <w:pStyle w:val="TableParagraph"/>
              <w:spacing w:line="237" w:lineRule="auto"/>
              <w:ind w:right="15"/>
              <w:rPr>
                <w:sz w:val="14"/>
              </w:rPr>
            </w:pPr>
            <w:r>
              <w:rPr>
                <w:color w:val="231F20"/>
                <w:sz w:val="14"/>
              </w:rPr>
              <w:t>програмом за базичне спортске гране.</w:t>
            </w:r>
          </w:p>
          <w:p w:rsidR="00041039" w:rsidRDefault="001B26CB">
            <w:pPr>
              <w:pStyle w:val="TableParagraph"/>
              <w:numPr>
                <w:ilvl w:val="0"/>
                <w:numId w:val="1317"/>
              </w:numPr>
              <w:tabs>
                <w:tab w:val="left" w:pos="157"/>
              </w:tabs>
              <w:spacing w:line="237" w:lineRule="auto"/>
              <w:ind w:right="72"/>
              <w:rPr>
                <w:sz w:val="14"/>
              </w:rPr>
            </w:pPr>
            <w:r>
              <w:rPr>
                <w:color w:val="231F20"/>
                <w:sz w:val="14"/>
              </w:rPr>
              <w:t>Повезивање моторич­ ких задатака у</w:t>
            </w:r>
            <w:r>
              <w:rPr>
                <w:color w:val="231F20"/>
                <w:spacing w:val="-14"/>
                <w:sz w:val="14"/>
              </w:rPr>
              <w:t xml:space="preserve"> </w:t>
            </w:r>
            <w:r>
              <w:rPr>
                <w:color w:val="231F20"/>
                <w:sz w:val="14"/>
              </w:rPr>
              <w:t>целине; али без стварања крутих моторичких аутоматизама.</w:t>
            </w:r>
          </w:p>
          <w:p w:rsidR="00041039" w:rsidRDefault="001B26CB">
            <w:pPr>
              <w:pStyle w:val="TableParagraph"/>
              <w:numPr>
                <w:ilvl w:val="0"/>
                <w:numId w:val="1317"/>
              </w:numPr>
              <w:tabs>
                <w:tab w:val="left" w:pos="157"/>
              </w:tabs>
              <w:spacing w:line="237" w:lineRule="auto"/>
              <w:ind w:right="157"/>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w:t>
            </w:r>
            <w:r>
              <w:rPr>
                <w:color w:val="231F20"/>
                <w:sz w:val="14"/>
              </w:rPr>
              <w:t xml:space="preserve"> и манифес­ тације.</w:t>
            </w:r>
          </w:p>
          <w:p w:rsidR="00041039" w:rsidRDefault="001B26CB">
            <w:pPr>
              <w:pStyle w:val="TableParagraph"/>
              <w:numPr>
                <w:ilvl w:val="0"/>
                <w:numId w:val="1317"/>
              </w:numPr>
              <w:tabs>
                <w:tab w:val="left" w:pos="157"/>
              </w:tabs>
              <w:spacing w:line="237" w:lineRule="auto"/>
              <w:ind w:right="165"/>
              <w:rPr>
                <w:sz w:val="14"/>
              </w:rPr>
            </w:pPr>
            <w:r>
              <w:rPr>
                <w:color w:val="231F20"/>
                <w:sz w:val="14"/>
              </w:rPr>
              <w:t>Развијање елемената ритма сједињавањем кинетичких и енер­ гетских елемената у целине: рад ­ одмор, напрезање ­ релакса­ ција, убрзање ­ успо­ равање,</w:t>
            </w:r>
          </w:p>
          <w:p w:rsidR="00041039" w:rsidRDefault="001B26CB">
            <w:pPr>
              <w:pStyle w:val="TableParagraph"/>
              <w:numPr>
                <w:ilvl w:val="0"/>
                <w:numId w:val="1317"/>
              </w:numPr>
              <w:tabs>
                <w:tab w:val="left" w:pos="157"/>
              </w:tabs>
              <w:spacing w:line="237" w:lineRule="auto"/>
              <w:ind w:right="359"/>
              <w:rPr>
                <w:sz w:val="14"/>
              </w:rPr>
            </w:pPr>
            <w:r>
              <w:rPr>
                <w:color w:val="231F20"/>
                <w:sz w:val="14"/>
              </w:rPr>
              <w:t>Избор спортова, односно</w:t>
            </w:r>
            <w:r>
              <w:rPr>
                <w:color w:val="231F20"/>
                <w:spacing w:val="-10"/>
                <w:sz w:val="14"/>
              </w:rPr>
              <w:t xml:space="preserve"> </w:t>
            </w:r>
            <w:r>
              <w:rPr>
                <w:color w:val="231F20"/>
                <w:sz w:val="14"/>
              </w:rPr>
              <w:t>спортско</w:t>
            </w:r>
          </w:p>
          <w:p w:rsidR="00041039" w:rsidRDefault="001B26CB">
            <w:pPr>
              <w:pStyle w:val="TableParagraph"/>
              <w:ind w:right="15"/>
              <w:rPr>
                <w:sz w:val="14"/>
              </w:rPr>
            </w:pPr>
            <w:r>
              <w:rPr>
                <w:color w:val="231F20"/>
                <w:sz w:val="14"/>
              </w:rPr>
              <w:t>- рекреативних или других кретних ак­ тивности као трајног опредељења за њихово свакодневно упражња­ вање.</w:t>
            </w:r>
          </w:p>
        </w:tc>
        <w:tc>
          <w:tcPr>
            <w:tcW w:w="2551" w:type="dxa"/>
            <w:vMerge w:val="restart"/>
          </w:tcPr>
          <w:p w:rsidR="00041039" w:rsidRDefault="001B26CB">
            <w:pPr>
              <w:pStyle w:val="TableParagraph"/>
              <w:numPr>
                <w:ilvl w:val="0"/>
                <w:numId w:val="1316"/>
              </w:numPr>
              <w:tabs>
                <w:tab w:val="left" w:pos="157"/>
              </w:tabs>
              <w:spacing w:before="5"/>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1316"/>
              </w:numPr>
              <w:tabs>
                <w:tab w:val="left" w:pos="157"/>
              </w:tabs>
              <w:spacing w:line="156" w:lineRule="exact"/>
              <w:ind w:hanging="99"/>
              <w:rPr>
                <w:sz w:val="14"/>
              </w:rPr>
            </w:pPr>
            <w:r>
              <w:rPr>
                <w:color w:val="231F20"/>
                <w:sz w:val="14"/>
              </w:rPr>
              <w:t>демонстрира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w:t>
            </w:r>
            <w:r>
              <w:rPr>
                <w:color w:val="231F20"/>
                <w:sz w:val="14"/>
              </w:rPr>
              <w:t>ике и гимнастике (вежби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numPr>
                <w:ilvl w:val="0"/>
                <w:numId w:val="1316"/>
              </w:numPr>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numPr>
                <w:ilvl w:val="0"/>
                <w:numId w:val="1316"/>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1316"/>
              </w:numPr>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w:t>
            </w:r>
            <w:r>
              <w:rPr>
                <w:color w:val="231F20"/>
                <w:sz w:val="14"/>
              </w:rPr>
              <w:t>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1316"/>
              </w:numPr>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w:t>
            </w:r>
            <w:r>
              <w:rPr>
                <w:color w:val="231F20"/>
                <w:sz w:val="14"/>
              </w:rPr>
              <w:t>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1316"/>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контактима;</w:t>
            </w:r>
          </w:p>
          <w:p w:rsidR="00041039" w:rsidRDefault="001B26CB">
            <w:pPr>
              <w:pStyle w:val="TableParagraph"/>
              <w:numPr>
                <w:ilvl w:val="0"/>
                <w:numId w:val="1316"/>
              </w:numPr>
              <w:tabs>
                <w:tab w:val="left" w:pos="157"/>
              </w:tabs>
              <w:spacing w:line="237" w:lineRule="auto"/>
              <w:ind w:right="190" w:hanging="99"/>
              <w:rPr>
                <w:sz w:val="14"/>
              </w:rPr>
            </w:pPr>
            <w:r>
              <w:rPr>
                <w:color w:val="231F20"/>
                <w:sz w:val="14"/>
              </w:rPr>
              <w:t xml:space="preserve">доводи у везу свакодневни живот и способност за учење и практичан рад са </w:t>
            </w:r>
            <w:r>
              <w:rPr>
                <w:color w:val="231F20"/>
                <w:sz w:val="14"/>
              </w:rPr>
              <w:t>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1316"/>
              </w:numPr>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1316"/>
              </w:numPr>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numPr>
                <w:ilvl w:val="0"/>
                <w:numId w:val="1316"/>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numPr>
                <w:ilvl w:val="0"/>
                <w:numId w:val="1316"/>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1316"/>
              </w:numPr>
              <w:tabs>
                <w:tab w:val="left" w:pos="157"/>
              </w:tabs>
              <w:spacing w:line="237" w:lineRule="auto"/>
              <w:ind w:right="155" w:hanging="99"/>
              <w:rPr>
                <w:sz w:val="14"/>
              </w:rPr>
            </w:pPr>
            <w:r>
              <w:rPr>
                <w:color w:val="231F20"/>
                <w:sz w:val="14"/>
              </w:rPr>
              <w:t>има правилан однос према</w:t>
            </w:r>
            <w:r>
              <w:rPr>
                <w:color w:val="231F20"/>
                <w:spacing w:val="-20"/>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w:t>
            </w:r>
          </w:p>
          <w:p w:rsidR="00041039" w:rsidRDefault="001B26CB">
            <w:pPr>
              <w:pStyle w:val="TableParagraph"/>
              <w:numPr>
                <w:ilvl w:val="0"/>
                <w:numId w:val="1316"/>
              </w:numPr>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Borders>
              <w:bottom w:val="nil"/>
            </w:tcBorders>
          </w:tcPr>
          <w:p w:rsidR="00041039" w:rsidRDefault="00041039">
            <w:pPr>
              <w:pStyle w:val="TableParagraph"/>
              <w:ind w:left="0"/>
              <w:rPr>
                <w:sz w:val="14"/>
              </w:rPr>
            </w:pPr>
          </w:p>
        </w:tc>
        <w:tc>
          <w:tcPr>
            <w:tcW w:w="2267" w:type="dxa"/>
            <w:vMerge/>
            <w:tcBorders>
              <w:top w:val="nil"/>
            </w:tcBorders>
          </w:tcPr>
          <w:p w:rsidR="00041039" w:rsidRDefault="00041039">
            <w:pPr>
              <w:rPr>
                <w:sz w:val="2"/>
                <w:szCs w:val="2"/>
              </w:rPr>
            </w:pPr>
          </w:p>
        </w:tc>
      </w:tr>
      <w:tr w:rsidR="00041039">
        <w:trPr>
          <w:trHeight w:val="790"/>
        </w:trPr>
        <w:tc>
          <w:tcPr>
            <w:tcW w:w="1304" w:type="dxa"/>
            <w:tcBorders>
              <w:top w:val="nil"/>
              <w:bottom w:val="nil"/>
            </w:tcBorders>
          </w:tcPr>
          <w:p w:rsidR="00041039" w:rsidRDefault="001B26CB">
            <w:pPr>
              <w:pStyle w:val="TableParagraph"/>
              <w:spacing w:before="71"/>
              <w:ind w:left="56"/>
              <w:rPr>
                <w:sz w:val="14"/>
              </w:rPr>
            </w:pPr>
            <w:r>
              <w:rPr>
                <w:color w:val="231F20"/>
                <w:sz w:val="14"/>
              </w:rPr>
              <w:t>Атлетика</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АТЛЕТИКА</w:t>
            </w:r>
          </w:p>
          <w:p w:rsidR="00041039" w:rsidRDefault="001B26CB">
            <w:pPr>
              <w:pStyle w:val="TableParagraph"/>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tc>
        <w:tc>
          <w:tcPr>
            <w:tcW w:w="2267" w:type="dxa"/>
            <w:vMerge/>
            <w:tcBorders>
              <w:top w:val="nil"/>
            </w:tcBorders>
          </w:tcPr>
          <w:p w:rsidR="00041039" w:rsidRDefault="00041039">
            <w:pPr>
              <w:rPr>
                <w:sz w:val="2"/>
                <w:szCs w:val="2"/>
              </w:rPr>
            </w:pPr>
          </w:p>
        </w:tc>
      </w:tr>
      <w:tr w:rsidR="00041039">
        <w:trPr>
          <w:trHeight w:val="351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Трчањe:</w:t>
            </w:r>
          </w:p>
          <w:p w:rsidR="00041039" w:rsidRDefault="001B26CB">
            <w:pPr>
              <w:pStyle w:val="TableParagraph"/>
              <w:ind w:left="57"/>
              <w:rPr>
                <w:b/>
                <w:sz w:val="14"/>
              </w:rPr>
            </w:pPr>
            <w:r>
              <w:rPr>
                <w:b/>
                <w:color w:val="231F20"/>
                <w:sz w:val="14"/>
              </w:rPr>
              <w:t>Усавршавање технике трчања на кратке н средње стазе:</w:t>
            </w:r>
          </w:p>
          <w:p w:rsidR="00041039" w:rsidRDefault="001B26CB">
            <w:pPr>
              <w:pStyle w:val="TableParagraph"/>
              <w:numPr>
                <w:ilvl w:val="0"/>
                <w:numId w:val="1315"/>
              </w:numPr>
              <w:tabs>
                <w:tab w:val="left" w:pos="163"/>
              </w:tabs>
              <w:spacing w:line="159" w:lineRule="exact"/>
              <w:ind w:firstLine="0"/>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1315"/>
              </w:numPr>
              <w:tabs>
                <w:tab w:val="left" w:pos="163"/>
              </w:tabs>
              <w:spacing w:line="160" w:lineRule="exact"/>
              <w:ind w:firstLine="0"/>
              <w:rPr>
                <w:sz w:val="14"/>
              </w:rPr>
            </w:pPr>
            <w:r>
              <w:rPr>
                <w:color w:val="231F20"/>
                <w:sz w:val="14"/>
              </w:rPr>
              <w:t>800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1315"/>
              </w:numPr>
              <w:tabs>
                <w:tab w:val="left" w:pos="163"/>
              </w:tabs>
              <w:ind w:right="173" w:firstLine="0"/>
              <w:rPr>
                <w:sz w:val="14"/>
              </w:rPr>
            </w:pPr>
            <w:r>
              <w:rPr>
                <w:color w:val="231F20"/>
                <w:sz w:val="14"/>
              </w:rPr>
              <w:t>штафета 4 х 100 м ученици и ученице. Вежбање технике трчања на средњим ста­ зама умереним интензитетом и</w:t>
            </w:r>
            <w:r>
              <w:rPr>
                <w:color w:val="231F20"/>
                <w:spacing w:val="-18"/>
                <w:sz w:val="14"/>
              </w:rPr>
              <w:t xml:space="preserve"> </w:t>
            </w:r>
            <w:r>
              <w:rPr>
                <w:color w:val="231F20"/>
                <w:sz w:val="14"/>
              </w:rPr>
              <w:t xml:space="preserve">различитим темпом у трајању </w:t>
            </w:r>
            <w:r>
              <w:rPr>
                <w:color w:val="231F20"/>
                <w:spacing w:val="-3"/>
                <w:sz w:val="14"/>
              </w:rPr>
              <w:t xml:space="preserve">од </w:t>
            </w:r>
            <w:r>
              <w:rPr>
                <w:color w:val="231F20"/>
                <w:sz w:val="14"/>
              </w:rPr>
              <w:t>5 до 10</w:t>
            </w:r>
            <w:r>
              <w:rPr>
                <w:color w:val="231F20"/>
                <w:spacing w:val="2"/>
                <w:sz w:val="14"/>
              </w:rPr>
              <w:t xml:space="preserve"> </w:t>
            </w:r>
            <w:r>
              <w:rPr>
                <w:color w:val="231F20"/>
                <w:sz w:val="14"/>
              </w:rPr>
              <w:t>минута.</w:t>
            </w:r>
          </w:p>
          <w:p w:rsidR="00041039" w:rsidRDefault="001B26CB">
            <w:pPr>
              <w:pStyle w:val="TableParagraph"/>
              <w:spacing w:line="157" w:lineRule="exact"/>
              <w:ind w:left="57"/>
              <w:rPr>
                <w:sz w:val="14"/>
              </w:rPr>
            </w:pPr>
            <w:r>
              <w:rPr>
                <w:color w:val="231F20"/>
                <w:sz w:val="14"/>
              </w:rPr>
              <w:t>Крос: јесењи и пролећни:</w:t>
            </w:r>
          </w:p>
          <w:p w:rsidR="00041039" w:rsidRDefault="001B26CB">
            <w:pPr>
              <w:pStyle w:val="TableParagraph"/>
              <w:numPr>
                <w:ilvl w:val="0"/>
                <w:numId w:val="1315"/>
              </w:numPr>
              <w:tabs>
                <w:tab w:val="left" w:pos="163"/>
              </w:tabs>
              <w:spacing w:line="160" w:lineRule="exact"/>
              <w:ind w:firstLine="0"/>
              <w:rPr>
                <w:sz w:val="14"/>
              </w:rPr>
            </w:pPr>
            <w:r>
              <w:rPr>
                <w:color w:val="231F20"/>
                <w:sz w:val="14"/>
              </w:rPr>
              <w:t>800 м ученице;</w:t>
            </w:r>
          </w:p>
          <w:p w:rsidR="00041039" w:rsidRDefault="001B26CB">
            <w:pPr>
              <w:pStyle w:val="TableParagraph"/>
              <w:numPr>
                <w:ilvl w:val="0"/>
                <w:numId w:val="1315"/>
              </w:numPr>
              <w:tabs>
                <w:tab w:val="left" w:pos="163"/>
              </w:tabs>
              <w:spacing w:line="160" w:lineRule="exact"/>
              <w:ind w:firstLine="0"/>
              <w:rPr>
                <w:sz w:val="14"/>
              </w:rPr>
            </w:pPr>
            <w:r>
              <w:rPr>
                <w:color w:val="231F20"/>
                <w:sz w:val="14"/>
              </w:rPr>
              <w:t>1000 м ученици.</w:t>
            </w:r>
          </w:p>
          <w:p w:rsidR="00041039" w:rsidRDefault="001B26CB">
            <w:pPr>
              <w:pStyle w:val="TableParagraph"/>
              <w:spacing w:line="160" w:lineRule="exact"/>
              <w:ind w:left="57"/>
              <w:rPr>
                <w:b/>
                <w:sz w:val="14"/>
              </w:rPr>
            </w:pPr>
            <w:r>
              <w:rPr>
                <w:b/>
                <w:color w:val="231F20"/>
                <w:sz w:val="14"/>
              </w:rPr>
              <w:t>Скокови:</w:t>
            </w:r>
          </w:p>
          <w:p w:rsidR="00041039" w:rsidRDefault="001B26CB">
            <w:pPr>
              <w:pStyle w:val="TableParagraph"/>
              <w:ind w:left="57" w:right="564"/>
              <w:rPr>
                <w:b/>
                <w:sz w:val="14"/>
              </w:rPr>
            </w:pPr>
            <w:r>
              <w:rPr>
                <w:color w:val="231F20"/>
                <w:sz w:val="14"/>
              </w:rPr>
              <w:t>Скок удаљ, корачном техником. Скок увис</w:t>
            </w:r>
            <w:r>
              <w:rPr>
                <w:color w:val="231F20"/>
                <w:sz w:val="14"/>
              </w:rPr>
              <w:t xml:space="preserve">, леђном техником. </w:t>
            </w:r>
            <w:r>
              <w:rPr>
                <w:b/>
                <w:color w:val="231F20"/>
                <w:sz w:val="14"/>
              </w:rPr>
              <w:t>Бацање:</w:t>
            </w:r>
          </w:p>
          <w:p w:rsidR="00041039" w:rsidRDefault="001B26CB">
            <w:pPr>
              <w:pStyle w:val="TableParagraph"/>
              <w:spacing w:line="237" w:lineRule="auto"/>
              <w:ind w:left="57"/>
              <w:rPr>
                <w:sz w:val="14"/>
              </w:rPr>
            </w:pPr>
            <w:r>
              <w:rPr>
                <w:color w:val="231F20"/>
                <w:sz w:val="14"/>
              </w:rPr>
              <w:t>Бацање кугле, једна од рационалних техника (ученице 4 кг, ученици 5 кг).</w:t>
            </w:r>
          </w:p>
          <w:p w:rsidR="00041039" w:rsidRDefault="001B26CB">
            <w:pPr>
              <w:pStyle w:val="TableParagraph"/>
              <w:ind w:left="57" w:right="84"/>
              <w:rPr>
                <w:sz w:val="14"/>
              </w:rPr>
            </w:pPr>
            <w:r>
              <w:rPr>
                <w:color w:val="231F20"/>
                <w:sz w:val="14"/>
              </w:rPr>
              <w:t>Спровести такмичења у одељењу на резултат, у свим реализованим атлетским дисциплинама.</w:t>
            </w:r>
          </w:p>
        </w:tc>
        <w:tc>
          <w:tcPr>
            <w:tcW w:w="2267" w:type="dxa"/>
            <w:vMerge/>
            <w:tcBorders>
              <w:top w:val="nil"/>
            </w:tcBorders>
          </w:tcPr>
          <w:p w:rsidR="00041039" w:rsidRDefault="00041039">
            <w:pPr>
              <w:rPr>
                <w:sz w:val="2"/>
                <w:szCs w:val="2"/>
              </w:rPr>
            </w:pPr>
          </w:p>
        </w:tc>
      </w:tr>
      <w:tr w:rsidR="00041039">
        <w:trPr>
          <w:trHeight w:val="6615"/>
        </w:trPr>
        <w:tc>
          <w:tcPr>
            <w:tcW w:w="1304" w:type="dxa"/>
            <w:tcBorders>
              <w:top w:val="nil"/>
            </w:tcBorders>
          </w:tcPr>
          <w:p w:rsidR="00041039" w:rsidRDefault="001B26CB">
            <w:pPr>
              <w:pStyle w:val="TableParagraph"/>
              <w:spacing w:before="71"/>
              <w:ind w:left="56" w:right="54"/>
              <w:rPr>
                <w:sz w:val="14"/>
              </w:rPr>
            </w:pPr>
            <w:r>
              <w:rPr>
                <w:color w:val="231F20"/>
                <w:sz w:val="14"/>
              </w:rPr>
              <w:t>Спортска гимнастика: (Вежбе на</w:t>
            </w:r>
            <w:r>
              <w:rPr>
                <w:color w:val="231F20"/>
                <w:spacing w:val="-9"/>
                <w:sz w:val="14"/>
              </w:rPr>
              <w:t xml:space="preserve"> </w:t>
            </w:r>
            <w:r>
              <w:rPr>
                <w:color w:val="231F20"/>
                <w:sz w:val="14"/>
              </w:rPr>
              <w:t>справама и</w:t>
            </w:r>
            <w:r>
              <w:rPr>
                <w:color w:val="231F20"/>
                <w:spacing w:val="-2"/>
                <w:sz w:val="14"/>
              </w:rPr>
              <w:t xml:space="preserve"> </w:t>
            </w:r>
            <w:r>
              <w:rPr>
                <w:color w:val="231F20"/>
                <w:sz w:val="14"/>
              </w:rPr>
              <w:t>тлу)</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1B26CB">
            <w:pPr>
              <w:pStyle w:val="TableParagraph"/>
              <w:spacing w:before="71"/>
              <w:ind w:left="57"/>
              <w:rPr>
                <w:b/>
                <w:sz w:val="14"/>
              </w:rPr>
            </w:pPr>
            <w:r>
              <w:rPr>
                <w:b/>
                <w:color w:val="231F20"/>
                <w:sz w:val="14"/>
              </w:rPr>
              <w:t>СПОРТСКА ГИМНАСТИКА: ВЕЖБЕ НА СПРАВАМА И ТЛУ</w:t>
            </w:r>
          </w:p>
          <w:p w:rsidR="00041039" w:rsidRDefault="001B26CB">
            <w:pPr>
              <w:pStyle w:val="TableParagraph"/>
              <w:spacing w:line="159" w:lineRule="exact"/>
              <w:ind w:left="57"/>
              <w:rPr>
                <w:b/>
                <w:sz w:val="14"/>
              </w:rPr>
            </w:pPr>
            <w:r>
              <w:rPr>
                <w:b/>
                <w:color w:val="231F20"/>
                <w:sz w:val="14"/>
              </w:rPr>
              <w:t>Напомене:</w:t>
            </w:r>
          </w:p>
          <w:p w:rsidR="00041039" w:rsidRDefault="001B26CB">
            <w:pPr>
              <w:pStyle w:val="TableParagraph"/>
              <w:ind w:left="162" w:hanging="105"/>
              <w:rPr>
                <w:sz w:val="14"/>
              </w:rPr>
            </w:pPr>
            <w:r>
              <w:rPr>
                <w:color w:val="231F20"/>
                <w:sz w:val="14"/>
              </w:rPr>
              <w:t>– Наставник олакшава, односно отежава про­ грам на основу моторичких способности и претходно стечених умења ученика.</w:t>
            </w:r>
          </w:p>
          <w:p w:rsidR="00041039" w:rsidRDefault="001B26CB">
            <w:pPr>
              <w:pStyle w:val="TableParagraph"/>
              <w:numPr>
                <w:ilvl w:val="0"/>
                <w:numId w:val="1314"/>
              </w:numPr>
              <w:tabs>
                <w:tab w:val="left" w:pos="142"/>
              </w:tabs>
              <w:spacing w:line="158" w:lineRule="exact"/>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60" w:lineRule="exact"/>
              <w:ind w:left="57"/>
              <w:rPr>
                <w:b/>
                <w:sz w:val="14"/>
              </w:rPr>
            </w:pPr>
            <w:r>
              <w:rPr>
                <w:b/>
                <w:color w:val="231F20"/>
                <w:sz w:val="14"/>
              </w:rPr>
              <w:t>За ученике и ученице:</w:t>
            </w:r>
          </w:p>
          <w:p w:rsidR="00041039" w:rsidRDefault="001B26CB">
            <w:pPr>
              <w:pStyle w:val="TableParagraph"/>
              <w:numPr>
                <w:ilvl w:val="0"/>
                <w:numId w:val="1313"/>
              </w:numPr>
              <w:tabs>
                <w:tab w:val="left" w:pos="163"/>
              </w:tabs>
              <w:ind w:right="435"/>
              <w:rPr>
                <w:sz w:val="14"/>
              </w:rPr>
            </w:pPr>
            <w:r>
              <w:rPr>
                <w:color w:val="231F20"/>
                <w:sz w:val="14"/>
              </w:rPr>
              <w:t>из упора за рукама, згибом, провлак згрчено напре</w:t>
            </w:r>
            <w:r>
              <w:rPr>
                <w:color w:val="231F20"/>
                <w:sz w:val="14"/>
              </w:rPr>
              <w:t>д до упора пред</w:t>
            </w:r>
            <w:r>
              <w:rPr>
                <w:color w:val="231F20"/>
                <w:spacing w:val="-22"/>
                <w:sz w:val="14"/>
              </w:rPr>
              <w:t xml:space="preserve"> </w:t>
            </w:r>
            <w:r>
              <w:rPr>
                <w:color w:val="231F20"/>
                <w:sz w:val="14"/>
              </w:rPr>
              <w:t>рукама (опружено);</w:t>
            </w:r>
          </w:p>
          <w:p w:rsidR="00041039" w:rsidRDefault="001B26CB">
            <w:pPr>
              <w:pStyle w:val="TableParagraph"/>
              <w:numPr>
                <w:ilvl w:val="0"/>
                <w:numId w:val="1313"/>
              </w:numPr>
              <w:tabs>
                <w:tab w:val="left" w:pos="163"/>
              </w:tabs>
              <w:spacing w:line="237" w:lineRule="auto"/>
              <w:ind w:right="233"/>
              <w:rPr>
                <w:sz w:val="14"/>
              </w:rPr>
            </w:pPr>
            <w:r>
              <w:rPr>
                <w:color w:val="231F20"/>
                <w:spacing w:val="-3"/>
                <w:sz w:val="14"/>
              </w:rPr>
              <w:t xml:space="preserve">колут </w:t>
            </w:r>
            <w:r>
              <w:rPr>
                <w:color w:val="231F20"/>
                <w:sz w:val="14"/>
              </w:rPr>
              <w:t>напред и спојено усправом до</w:t>
            </w:r>
            <w:r>
              <w:rPr>
                <w:color w:val="231F20"/>
                <w:spacing w:val="-11"/>
                <w:sz w:val="14"/>
              </w:rPr>
              <w:t xml:space="preserve"> </w:t>
            </w:r>
            <w:r>
              <w:rPr>
                <w:color w:val="231F20"/>
                <w:sz w:val="14"/>
              </w:rPr>
              <w:t>ваге претклоном и заножењем,</w:t>
            </w:r>
            <w:r>
              <w:rPr>
                <w:color w:val="231F20"/>
                <w:spacing w:val="-7"/>
                <w:sz w:val="14"/>
              </w:rPr>
              <w:t xml:space="preserve"> </w:t>
            </w:r>
            <w:r>
              <w:rPr>
                <w:color w:val="231F20"/>
                <w:sz w:val="14"/>
              </w:rPr>
              <w:t>издржај;</w:t>
            </w:r>
          </w:p>
          <w:p w:rsidR="00041039" w:rsidRDefault="001B26CB">
            <w:pPr>
              <w:pStyle w:val="TableParagraph"/>
              <w:numPr>
                <w:ilvl w:val="0"/>
                <w:numId w:val="1313"/>
              </w:numPr>
              <w:tabs>
                <w:tab w:val="left" w:pos="163"/>
              </w:tabs>
              <w:ind w:right="245"/>
              <w:rPr>
                <w:sz w:val="14"/>
              </w:rPr>
            </w:pPr>
            <w:r>
              <w:rPr>
                <w:color w:val="231F20"/>
                <w:sz w:val="14"/>
              </w:rPr>
              <w:t>премет странце упором у „бољу” страну и спојено, премет странце у „слабију” страну;</w:t>
            </w:r>
          </w:p>
          <w:p w:rsidR="00041039" w:rsidRDefault="001B26CB">
            <w:pPr>
              <w:pStyle w:val="TableParagraph"/>
              <w:numPr>
                <w:ilvl w:val="0"/>
                <w:numId w:val="1313"/>
              </w:numPr>
              <w:tabs>
                <w:tab w:val="left" w:pos="163"/>
              </w:tabs>
              <w:spacing w:line="158" w:lineRule="exact"/>
              <w:rPr>
                <w:sz w:val="14"/>
              </w:rPr>
            </w:pPr>
            <w:r>
              <w:rPr>
                <w:color w:val="231F20"/>
                <w:sz w:val="14"/>
              </w:rPr>
              <w:t xml:space="preserve">за </w:t>
            </w:r>
            <w:r>
              <w:rPr>
                <w:b/>
                <w:color w:val="231F20"/>
                <w:sz w:val="14"/>
              </w:rPr>
              <w:t xml:space="preserve">напредни ниво </w:t>
            </w:r>
            <w:r>
              <w:rPr>
                <w:color w:val="231F20"/>
                <w:sz w:val="14"/>
              </w:rPr>
              <w:t>премет напред</w:t>
            </w:r>
            <w:r>
              <w:rPr>
                <w:color w:val="231F20"/>
                <w:spacing w:val="-14"/>
                <w:sz w:val="14"/>
              </w:rPr>
              <w:t xml:space="preserve"> </w:t>
            </w:r>
            <w:r>
              <w:rPr>
                <w:color w:val="231F20"/>
                <w:sz w:val="14"/>
              </w:rPr>
              <w:t>упором.</w:t>
            </w:r>
          </w:p>
          <w:p w:rsidR="00041039" w:rsidRDefault="001B26CB">
            <w:pPr>
              <w:pStyle w:val="TableParagraph"/>
              <w:numPr>
                <w:ilvl w:val="0"/>
                <w:numId w:val="1312"/>
              </w:numPr>
              <w:tabs>
                <w:tab w:val="left" w:pos="142"/>
              </w:tabs>
              <w:spacing w:line="160" w:lineRule="exact"/>
              <w:rPr>
                <w:b/>
                <w:sz w:val="14"/>
              </w:rPr>
            </w:pPr>
            <w:r>
              <w:rPr>
                <w:b/>
                <w:color w:val="231F20"/>
                <w:sz w:val="14"/>
              </w:rPr>
              <w:t>Прескок</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коњ у ширину висине 120 цм;</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110 цм:</w:t>
            </w:r>
          </w:p>
          <w:p w:rsidR="00041039" w:rsidRDefault="001B26CB">
            <w:pPr>
              <w:pStyle w:val="TableParagraph"/>
              <w:numPr>
                <w:ilvl w:val="0"/>
                <w:numId w:val="1311"/>
              </w:numPr>
              <w:tabs>
                <w:tab w:val="left" w:pos="163"/>
              </w:tabs>
              <w:spacing w:line="160" w:lineRule="exact"/>
              <w:rPr>
                <w:sz w:val="14"/>
              </w:rPr>
            </w:pPr>
            <w:r>
              <w:rPr>
                <w:color w:val="231F20"/>
                <w:sz w:val="14"/>
              </w:rPr>
              <w:t>згрчка;</w:t>
            </w:r>
          </w:p>
          <w:p w:rsidR="00041039" w:rsidRDefault="001B26CB">
            <w:pPr>
              <w:pStyle w:val="TableParagraph"/>
              <w:numPr>
                <w:ilvl w:val="0"/>
                <w:numId w:val="1311"/>
              </w:numPr>
              <w:tabs>
                <w:tab w:val="left" w:pos="163"/>
              </w:tabs>
              <w:spacing w:line="160" w:lineRule="exact"/>
              <w:rPr>
                <w:sz w:val="14"/>
              </w:rPr>
            </w:pPr>
            <w:r>
              <w:rPr>
                <w:color w:val="231F20"/>
                <w:sz w:val="14"/>
              </w:rPr>
              <w:t>разношка;</w:t>
            </w:r>
          </w:p>
          <w:p w:rsidR="00041039" w:rsidRDefault="001B26CB">
            <w:pPr>
              <w:pStyle w:val="TableParagraph"/>
              <w:numPr>
                <w:ilvl w:val="0"/>
                <w:numId w:val="1311"/>
              </w:numPr>
              <w:tabs>
                <w:tab w:val="left" w:pos="163"/>
              </w:tabs>
              <w:ind w:right="160"/>
              <w:rPr>
                <w:sz w:val="14"/>
              </w:rPr>
            </w:pPr>
            <w:r>
              <w:rPr>
                <w:color w:val="231F20"/>
                <w:sz w:val="14"/>
              </w:rPr>
              <w:t xml:space="preserve">за </w:t>
            </w:r>
            <w:r>
              <w:rPr>
                <w:b/>
                <w:color w:val="231F20"/>
                <w:sz w:val="14"/>
              </w:rPr>
              <w:t>напредни ниво</w:t>
            </w:r>
            <w:r>
              <w:rPr>
                <w:color w:val="231F20"/>
                <w:sz w:val="14"/>
              </w:rPr>
              <w:t>: склонка и прескоци</w:t>
            </w:r>
            <w:r>
              <w:rPr>
                <w:color w:val="231F20"/>
                <w:spacing w:val="-20"/>
                <w:sz w:val="14"/>
              </w:rPr>
              <w:t xml:space="preserve"> </w:t>
            </w:r>
            <w:r>
              <w:rPr>
                <w:color w:val="231F20"/>
                <w:sz w:val="14"/>
              </w:rPr>
              <w:t>са заножењем.</w:t>
            </w:r>
          </w:p>
          <w:p w:rsidR="00041039" w:rsidRDefault="001B26CB">
            <w:pPr>
              <w:pStyle w:val="TableParagraph"/>
              <w:numPr>
                <w:ilvl w:val="0"/>
                <w:numId w:val="1310"/>
              </w:numPr>
              <w:tabs>
                <w:tab w:val="left" w:pos="142"/>
              </w:tabs>
              <w:spacing w:line="159" w:lineRule="exact"/>
              <w:rPr>
                <w:b/>
                <w:sz w:val="14"/>
              </w:rPr>
            </w:pPr>
            <w:r>
              <w:rPr>
                <w:b/>
                <w:color w:val="231F20"/>
                <w:sz w:val="14"/>
              </w:rPr>
              <w:t>Кругови</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доскочни кругови /:</w:t>
            </w:r>
          </w:p>
          <w:p w:rsidR="00041039" w:rsidRDefault="001B26CB">
            <w:pPr>
              <w:pStyle w:val="TableParagraph"/>
              <w:spacing w:line="160" w:lineRule="exact"/>
              <w:ind w:left="57"/>
              <w:rPr>
                <w:sz w:val="14"/>
              </w:rPr>
            </w:pPr>
            <w:r>
              <w:rPr>
                <w:color w:val="231F20"/>
                <w:sz w:val="14"/>
              </w:rPr>
              <w:t>– њих, зањихом саскок, уз помоћ.</w:t>
            </w:r>
          </w:p>
          <w:p w:rsidR="00041039" w:rsidRDefault="001B26CB">
            <w:pPr>
              <w:pStyle w:val="TableParagraph"/>
              <w:numPr>
                <w:ilvl w:val="0"/>
                <w:numId w:val="1309"/>
              </w:numPr>
              <w:tabs>
                <w:tab w:val="left" w:pos="142"/>
              </w:tabs>
              <w:spacing w:line="160" w:lineRule="exact"/>
              <w:rPr>
                <w:b/>
                <w:sz w:val="14"/>
              </w:rPr>
            </w:pPr>
            <w:r>
              <w:rPr>
                <w:b/>
                <w:color w:val="231F20"/>
                <w:sz w:val="14"/>
              </w:rPr>
              <w:t>Разбој</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паралелни разбој /:</w:t>
            </w:r>
          </w:p>
          <w:p w:rsidR="00041039" w:rsidRDefault="001B26CB">
            <w:pPr>
              <w:pStyle w:val="TableParagraph"/>
              <w:ind w:left="162" w:right="61" w:hanging="105"/>
              <w:rPr>
                <w:sz w:val="14"/>
              </w:rPr>
            </w:pPr>
            <w:r>
              <w:rPr>
                <w:color w:val="231F20"/>
                <w:sz w:val="14"/>
              </w:rPr>
              <w:t>– из упора седећег разножно пред рукама, прехватом напред и дизањем склоњено став на раменима, спуст назад у упор се­ дећи разножно, прехват рукама иза бутина, сножити и зањихом саскок.</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1459"/>
        </w:trPr>
        <w:tc>
          <w:tcPr>
            <w:tcW w:w="1304" w:type="dxa"/>
            <w:tcBorders>
              <w:bottom w:val="nil"/>
            </w:tcBorders>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9"/>
              <w:ind w:left="0"/>
              <w:rPr>
                <w:b/>
                <w:sz w:val="21"/>
              </w:rPr>
            </w:pPr>
          </w:p>
          <w:p w:rsidR="00041039" w:rsidRDefault="001B26CB">
            <w:pPr>
              <w:pStyle w:val="TableParagraph"/>
              <w:ind w:left="56" w:right="356"/>
              <w:rPr>
                <w:sz w:val="14"/>
              </w:rPr>
            </w:pPr>
            <w:r>
              <w:rPr>
                <w:color w:val="231F20"/>
                <w:sz w:val="14"/>
              </w:rPr>
              <w:t>Спортска игра (по избору)</w:t>
            </w:r>
          </w:p>
          <w:p w:rsidR="00041039" w:rsidRDefault="00041039">
            <w:pPr>
              <w:pStyle w:val="TableParagraph"/>
              <w:spacing w:before="8"/>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vMerge w:val="restart"/>
          </w:tcPr>
          <w:p w:rsidR="00041039" w:rsidRDefault="00041039">
            <w:pPr>
              <w:pStyle w:val="TableParagraph"/>
              <w:ind w:left="0"/>
              <w:rPr>
                <w:sz w:val="14"/>
              </w:rPr>
            </w:pPr>
          </w:p>
        </w:tc>
        <w:tc>
          <w:tcPr>
            <w:tcW w:w="2551"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spacing w:before="18"/>
              <w:ind w:left="57"/>
              <w:rPr>
                <w:sz w:val="14"/>
              </w:rPr>
            </w:pPr>
            <w:r>
              <w:rPr>
                <w:b/>
                <w:color w:val="231F20"/>
                <w:sz w:val="14"/>
              </w:rPr>
              <w:t xml:space="preserve">За ученице </w:t>
            </w:r>
            <w:r>
              <w:rPr>
                <w:color w:val="231F20"/>
                <w:sz w:val="14"/>
              </w:rPr>
              <w:t>/ двовисински разбој, једна притка, вратило /:</w:t>
            </w:r>
          </w:p>
          <w:p w:rsidR="00041039" w:rsidRDefault="001B26CB">
            <w:pPr>
              <w:pStyle w:val="TableParagraph"/>
              <w:numPr>
                <w:ilvl w:val="0"/>
                <w:numId w:val="1308"/>
              </w:numPr>
              <w:tabs>
                <w:tab w:val="left" w:pos="163"/>
              </w:tabs>
              <w:ind w:right="130"/>
              <w:rPr>
                <w:sz w:val="14"/>
              </w:rPr>
            </w:pPr>
            <w:r>
              <w:rPr>
                <w:color w:val="231F20"/>
                <w:sz w:val="14"/>
              </w:rPr>
              <w:t>вис на в / п лицем према н / п: клим, пре­ мах згрчено једном ногом до виса</w:t>
            </w:r>
            <w:r>
              <w:rPr>
                <w:color w:val="231F20"/>
                <w:spacing w:val="-25"/>
                <w:sz w:val="14"/>
              </w:rPr>
              <w:t xml:space="preserve"> </w:t>
            </w:r>
            <w:r>
              <w:rPr>
                <w:color w:val="231F20"/>
                <w:sz w:val="14"/>
              </w:rPr>
              <w:t>лежећег на н / п, прехва</w:t>
            </w:r>
            <w:r>
              <w:rPr>
                <w:color w:val="231F20"/>
                <w:sz w:val="14"/>
              </w:rPr>
              <w:t>т (може разноручно)</w:t>
            </w:r>
            <w:r>
              <w:rPr>
                <w:color w:val="231F20"/>
                <w:spacing w:val="-14"/>
                <w:sz w:val="14"/>
              </w:rPr>
              <w:t xml:space="preserve"> </w:t>
            </w:r>
            <w:r>
              <w:rPr>
                <w:color w:val="231F20"/>
                <w:sz w:val="14"/>
              </w:rPr>
              <w:t>на</w:t>
            </w:r>
          </w:p>
          <w:p w:rsidR="00041039" w:rsidRDefault="001B26CB">
            <w:pPr>
              <w:pStyle w:val="TableParagraph"/>
              <w:spacing w:line="237" w:lineRule="auto"/>
              <w:ind w:left="162" w:right="226"/>
              <w:jc w:val="both"/>
              <w:rPr>
                <w:sz w:val="14"/>
              </w:rPr>
            </w:pPr>
            <w:r>
              <w:rPr>
                <w:color w:val="231F20"/>
                <w:sz w:val="14"/>
              </w:rPr>
              <w:t>н / п до упора јашућег; премах одножно предножном (уназад) до упора предњег: замахом</w:t>
            </w:r>
            <w:r>
              <w:rPr>
                <w:color w:val="231F20"/>
                <w:spacing w:val="-9"/>
                <w:sz w:val="14"/>
              </w:rPr>
              <w:t xml:space="preserve"> </w:t>
            </w:r>
            <w:r>
              <w:rPr>
                <w:color w:val="231F20"/>
                <w:sz w:val="14"/>
              </w:rPr>
              <w:t>уназад</w:t>
            </w:r>
            <w:r>
              <w:rPr>
                <w:color w:val="231F20"/>
                <w:spacing w:val="-9"/>
                <w:sz w:val="14"/>
              </w:rPr>
              <w:t xml:space="preserve"> </w:t>
            </w:r>
            <w:r>
              <w:rPr>
                <w:color w:val="231F20"/>
                <w:sz w:val="14"/>
              </w:rPr>
              <w:t>(зањихом)</w:t>
            </w:r>
            <w:r>
              <w:rPr>
                <w:color w:val="231F20"/>
                <w:spacing w:val="-9"/>
                <w:sz w:val="14"/>
              </w:rPr>
              <w:t xml:space="preserve"> </w:t>
            </w:r>
            <w:r>
              <w:rPr>
                <w:color w:val="231F20"/>
                <w:sz w:val="14"/>
              </w:rPr>
              <w:t>саскок</w:t>
            </w:r>
            <w:r>
              <w:rPr>
                <w:color w:val="231F20"/>
                <w:spacing w:val="-9"/>
                <w:sz w:val="14"/>
              </w:rPr>
              <w:t xml:space="preserve"> </w:t>
            </w:r>
            <w:r>
              <w:rPr>
                <w:color w:val="231F20"/>
                <w:sz w:val="14"/>
              </w:rPr>
              <w:t>пруже­ ним</w:t>
            </w:r>
            <w:r>
              <w:rPr>
                <w:color w:val="231F20"/>
                <w:spacing w:val="-2"/>
                <w:sz w:val="14"/>
              </w:rPr>
              <w:t xml:space="preserve"> </w:t>
            </w:r>
            <w:r>
              <w:rPr>
                <w:color w:val="231F20"/>
                <w:sz w:val="14"/>
              </w:rPr>
              <w:t>телом;</w:t>
            </w:r>
          </w:p>
          <w:p w:rsidR="00041039" w:rsidRDefault="001B26CB">
            <w:pPr>
              <w:pStyle w:val="TableParagraph"/>
              <w:numPr>
                <w:ilvl w:val="0"/>
                <w:numId w:val="1308"/>
              </w:numPr>
              <w:tabs>
                <w:tab w:val="left" w:pos="163"/>
              </w:tabs>
              <w:ind w:right="125"/>
              <w:rPr>
                <w:sz w:val="14"/>
              </w:rPr>
            </w:pPr>
            <w:r>
              <w:rPr>
                <w:color w:val="231F20"/>
                <w:sz w:val="14"/>
              </w:rPr>
              <w:t>једна притка: наскок у упор предњи, премах одножно једном ногом до упора јашућег; премах одножно заножном до упора стражњег; саскок са седом</w:t>
            </w:r>
            <w:r>
              <w:rPr>
                <w:color w:val="231F20"/>
                <w:spacing w:val="-19"/>
                <w:sz w:val="14"/>
              </w:rPr>
              <w:t xml:space="preserve"> </w:t>
            </w:r>
            <w:r>
              <w:rPr>
                <w:color w:val="231F20"/>
                <w:sz w:val="14"/>
              </w:rPr>
              <w:t>(замахом ногама</w:t>
            </w:r>
            <w:r>
              <w:rPr>
                <w:color w:val="231F20"/>
                <w:spacing w:val="-1"/>
                <w:sz w:val="14"/>
              </w:rPr>
              <w:t xml:space="preserve"> </w:t>
            </w:r>
            <w:r>
              <w:rPr>
                <w:color w:val="231F20"/>
                <w:sz w:val="14"/>
              </w:rPr>
              <w:t>унапред).</w:t>
            </w:r>
          </w:p>
          <w:p w:rsidR="00041039" w:rsidRDefault="001B26CB">
            <w:pPr>
              <w:pStyle w:val="TableParagraph"/>
              <w:numPr>
                <w:ilvl w:val="0"/>
                <w:numId w:val="1307"/>
              </w:numPr>
              <w:tabs>
                <w:tab w:val="left" w:pos="142"/>
              </w:tabs>
              <w:spacing w:line="156" w:lineRule="exact"/>
              <w:rPr>
                <w:b/>
                <w:sz w:val="14"/>
              </w:rPr>
            </w:pPr>
            <w:r>
              <w:rPr>
                <w:b/>
                <w:color w:val="231F20"/>
                <w:sz w:val="14"/>
              </w:rPr>
              <w:t>Вратило</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доскочно вратило /:</w:t>
            </w:r>
          </w:p>
          <w:p w:rsidR="00041039" w:rsidRDefault="001B26CB">
            <w:pPr>
              <w:pStyle w:val="TableParagraph"/>
              <w:ind w:left="162" w:hanging="105"/>
              <w:rPr>
                <w:sz w:val="14"/>
              </w:rPr>
            </w:pPr>
            <w:r>
              <w:rPr>
                <w:color w:val="231F20"/>
                <w:sz w:val="14"/>
              </w:rPr>
              <w:t>– из мирног виса узмак до упора, замахом ногама уназад (зањихом) саскок увито.</w:t>
            </w:r>
          </w:p>
          <w:p w:rsidR="00041039" w:rsidRDefault="001B26CB">
            <w:pPr>
              <w:pStyle w:val="TableParagraph"/>
              <w:numPr>
                <w:ilvl w:val="0"/>
                <w:numId w:val="1306"/>
              </w:numPr>
              <w:tabs>
                <w:tab w:val="left" w:pos="142"/>
              </w:tabs>
              <w:spacing w:line="159" w:lineRule="exact"/>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 висока греда /:</w:t>
            </w:r>
          </w:p>
          <w:p w:rsidR="00041039" w:rsidRDefault="001B26CB">
            <w:pPr>
              <w:pStyle w:val="TableParagraph"/>
              <w:ind w:left="162" w:right="24" w:hanging="105"/>
              <w:rPr>
                <w:sz w:val="14"/>
              </w:rPr>
            </w:pPr>
            <w:r>
              <w:rPr>
                <w:color w:val="231F20"/>
                <w:sz w:val="14"/>
              </w:rPr>
              <w:t>– залетом и суножним одскоком наскок у упор чучећи; окрет за 90º усправ у успон, окрет за 180°, лагано трчање на прстима, скок са променом ног</w:t>
            </w:r>
            <w:r>
              <w:rPr>
                <w:color w:val="231F20"/>
                <w:sz w:val="14"/>
              </w:rPr>
              <w:t>у, кораци у успону до краја греде; саскок згрчено (бочно у односу на греду).</w:t>
            </w:r>
          </w:p>
          <w:p w:rsidR="00041039" w:rsidRDefault="001B26CB">
            <w:pPr>
              <w:pStyle w:val="TableParagraph"/>
              <w:numPr>
                <w:ilvl w:val="0"/>
                <w:numId w:val="1305"/>
              </w:numPr>
              <w:tabs>
                <w:tab w:val="left" w:pos="142"/>
              </w:tabs>
              <w:spacing w:line="237" w:lineRule="auto"/>
              <w:ind w:right="1426" w:firstLine="0"/>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ind w:left="162" w:hanging="105"/>
              <w:rPr>
                <w:sz w:val="14"/>
              </w:rPr>
            </w:pPr>
            <w:r>
              <w:rPr>
                <w:color w:val="231F20"/>
                <w:sz w:val="14"/>
              </w:rPr>
              <w:t>– из упора пред рукама, коло заножно левом. коло заножно десном.</w:t>
            </w:r>
          </w:p>
          <w:p w:rsidR="00041039" w:rsidRDefault="001B26CB">
            <w:pPr>
              <w:pStyle w:val="TableParagraph"/>
              <w:ind w:left="57" w:right="62"/>
              <w:rPr>
                <w:sz w:val="14"/>
              </w:rPr>
            </w:pPr>
            <w:r>
              <w:rPr>
                <w:b/>
                <w:color w:val="231F20"/>
                <w:sz w:val="14"/>
              </w:rPr>
              <w:t>Школско такмичење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55"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ученике: </w:t>
            </w:r>
            <w:r>
              <w:rPr>
                <w:color w:val="231F20"/>
                <w:sz w:val="14"/>
              </w:rPr>
              <w:t>наставни садр</w:t>
            </w:r>
            <w:r>
              <w:rPr>
                <w:color w:val="231F20"/>
                <w:sz w:val="14"/>
              </w:rPr>
              <w:t xml:space="preserve">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11"/>
              <w:ind w:left="0"/>
              <w:rPr>
                <w:b/>
                <w:sz w:val="12"/>
              </w:rPr>
            </w:pPr>
          </w:p>
          <w:p w:rsidR="00041039" w:rsidRDefault="001B26CB">
            <w:pPr>
              <w:pStyle w:val="TableParagraph"/>
              <w:spacing w:line="161" w:lineRule="exact"/>
              <w:ind w:left="57"/>
              <w:rPr>
                <w:b/>
                <w:sz w:val="14"/>
              </w:rPr>
            </w:pPr>
            <w:r>
              <w:rPr>
                <w:b/>
                <w:color w:val="231F20"/>
                <w:sz w:val="14"/>
              </w:rPr>
              <w:t>СПОРТСКА ИГРА (по избору)</w:t>
            </w:r>
          </w:p>
          <w:p w:rsidR="00041039" w:rsidRDefault="001B26CB">
            <w:pPr>
              <w:pStyle w:val="TableParagraph"/>
              <w:numPr>
                <w:ilvl w:val="0"/>
                <w:numId w:val="1304"/>
              </w:numPr>
              <w:tabs>
                <w:tab w:val="left" w:pos="163"/>
              </w:tabs>
              <w:ind w:right="156"/>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w:t>
            </w:r>
            <w:r>
              <w:rPr>
                <w:color w:val="231F20"/>
                <w:sz w:val="14"/>
              </w:rPr>
              <w:t>ената</w:t>
            </w:r>
            <w:r>
              <w:rPr>
                <w:color w:val="231F20"/>
                <w:spacing w:val="-1"/>
                <w:sz w:val="14"/>
              </w:rPr>
              <w:t xml:space="preserve"> </w:t>
            </w:r>
            <w:r>
              <w:rPr>
                <w:color w:val="231F20"/>
                <w:sz w:val="14"/>
              </w:rPr>
              <w:t>игре.</w:t>
            </w:r>
          </w:p>
          <w:p w:rsidR="00041039" w:rsidRDefault="001B26CB">
            <w:pPr>
              <w:pStyle w:val="TableParagraph"/>
              <w:numPr>
                <w:ilvl w:val="0"/>
                <w:numId w:val="1304"/>
              </w:numPr>
              <w:tabs>
                <w:tab w:val="left" w:pos="163"/>
              </w:tabs>
              <w:ind w:right="134"/>
              <w:rPr>
                <w:sz w:val="14"/>
              </w:rPr>
            </w:pPr>
            <w:r>
              <w:rPr>
                <w:color w:val="231F20"/>
                <w:sz w:val="14"/>
              </w:rPr>
              <w:t xml:space="preserve">Даље проширивање и продубљивање техничко ­ 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садржаје из спортске</w:t>
            </w:r>
            <w:r>
              <w:rPr>
                <w:color w:val="231F20"/>
                <w:spacing w:val="-7"/>
                <w:sz w:val="14"/>
              </w:rPr>
              <w:t xml:space="preserve"> </w:t>
            </w:r>
            <w:r>
              <w:rPr>
                <w:color w:val="231F20"/>
                <w:sz w:val="14"/>
              </w:rPr>
              <w:t>игре.</w:t>
            </w:r>
          </w:p>
          <w:p w:rsidR="00041039" w:rsidRDefault="001B26CB">
            <w:pPr>
              <w:pStyle w:val="TableParagraph"/>
              <w:numPr>
                <w:ilvl w:val="0"/>
                <w:numId w:val="1303"/>
              </w:numPr>
              <w:tabs>
                <w:tab w:val="left" w:pos="157"/>
              </w:tabs>
              <w:spacing w:line="155" w:lineRule="exact"/>
              <w:ind w:hanging="99"/>
              <w:rPr>
                <w:sz w:val="14"/>
              </w:rPr>
            </w:pPr>
            <w:r>
              <w:rPr>
                <w:color w:val="231F20"/>
                <w:sz w:val="14"/>
              </w:rPr>
              <w:t>Стручно веће наставника физичког</w:t>
            </w:r>
            <w:r>
              <w:rPr>
                <w:color w:val="231F20"/>
                <w:spacing w:val="-6"/>
                <w:sz w:val="14"/>
              </w:rPr>
              <w:t xml:space="preserve"> </w:t>
            </w:r>
            <w:r>
              <w:rPr>
                <w:color w:val="231F20"/>
                <w:sz w:val="14"/>
              </w:rPr>
              <w:t>вас­</w:t>
            </w:r>
          </w:p>
          <w:p w:rsidR="00041039" w:rsidRDefault="001B26CB">
            <w:pPr>
              <w:pStyle w:val="TableParagraph"/>
              <w:ind w:right="84"/>
              <w:rPr>
                <w:sz w:val="14"/>
              </w:rPr>
            </w:pPr>
            <w:r>
              <w:rPr>
                <w:color w:val="231F20"/>
                <w:sz w:val="14"/>
              </w:rPr>
              <w:t>питања, према програму који сам доноси из програма другог разреда (програм по избору ученика) у складу са могућностима школе, организује наставу за коју ученици покажу посебно интересовање.</w:t>
            </w:r>
          </w:p>
        </w:tc>
        <w:tc>
          <w:tcPr>
            <w:tcW w:w="2267" w:type="dxa"/>
            <w:tcBorders>
              <w:bottom w:val="nil"/>
            </w:tcBorders>
          </w:tcPr>
          <w:p w:rsidR="00041039" w:rsidRDefault="001B26CB">
            <w:pPr>
              <w:pStyle w:val="TableParagraph"/>
              <w:spacing w:before="19"/>
              <w:ind w:left="57"/>
              <w:rPr>
                <w:sz w:val="14"/>
              </w:rPr>
            </w:pPr>
            <w:r>
              <w:rPr>
                <w:color w:val="231F20"/>
                <w:sz w:val="14"/>
              </w:rPr>
              <w:t>У свим разредима настава физ</w:t>
            </w:r>
            <w:r>
              <w:rPr>
                <w:color w:val="231F20"/>
                <w:sz w:val="14"/>
              </w:rPr>
              <w:t>ичког васпитања се реализује одвојено</w:t>
            </w:r>
          </w:p>
          <w:p w:rsidR="00041039" w:rsidRDefault="001B26CB">
            <w:pPr>
              <w:pStyle w:val="TableParagraph"/>
              <w:ind w:left="57" w:right="157"/>
              <w:rPr>
                <w:sz w:val="14"/>
              </w:rPr>
            </w:pPr>
            <w:r>
              <w:rPr>
                <w:color w:val="231F20"/>
                <w:sz w:val="14"/>
              </w:rPr>
              <w:t>за ученике и одвојено за ученице, а само у школама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spacing w:before="7"/>
              <w:ind w:left="0"/>
              <w:rPr>
                <w:b/>
                <w:sz w:val="13"/>
              </w:rPr>
            </w:pPr>
          </w:p>
          <w:p w:rsidR="00041039" w:rsidRDefault="001B26CB">
            <w:pPr>
              <w:pStyle w:val="TableParagraph"/>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Праћење напретка ученика у физич</w:t>
            </w:r>
            <w:r>
              <w:rPr>
                <w:color w:val="231F20"/>
                <w:sz w:val="14"/>
              </w:rPr>
              <w:t>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041039" w:rsidRDefault="00041039">
            <w:pPr>
              <w:pStyle w:val="TableParagraph"/>
              <w:ind w:left="0"/>
              <w:rPr>
                <w:b/>
                <w:sz w:val="13"/>
              </w:rPr>
            </w:pPr>
          </w:p>
          <w:p w:rsidR="00041039" w:rsidRDefault="001B26CB">
            <w:pPr>
              <w:pStyle w:val="TableParagraph"/>
              <w:spacing w:line="161" w:lineRule="exact"/>
              <w:ind w:left="57"/>
              <w:rPr>
                <w:b/>
                <w:sz w:val="14"/>
              </w:rPr>
            </w:pPr>
            <w:r>
              <w:rPr>
                <w:b/>
                <w:color w:val="231F20"/>
                <w:sz w:val="14"/>
              </w:rPr>
              <w:t>Минимални обавезни захтеви</w:t>
            </w:r>
          </w:p>
          <w:p w:rsidR="00041039" w:rsidRDefault="001B26CB">
            <w:pPr>
              <w:pStyle w:val="TableParagraph"/>
              <w:numPr>
                <w:ilvl w:val="0"/>
                <w:numId w:val="1302"/>
              </w:numPr>
              <w:tabs>
                <w:tab w:val="left" w:pos="142"/>
              </w:tabs>
              <w:ind w:right="66"/>
              <w:rPr>
                <w:sz w:val="14"/>
              </w:rPr>
            </w:pPr>
            <w:r>
              <w:rPr>
                <w:b/>
                <w:color w:val="231F20"/>
                <w:spacing w:val="-3"/>
                <w:sz w:val="14"/>
              </w:rPr>
              <w:t xml:space="preserve">Атлетика: </w:t>
            </w:r>
            <w:r>
              <w:rPr>
                <w:color w:val="231F20"/>
                <w:sz w:val="14"/>
              </w:rPr>
              <w:t xml:space="preserve">трчање на 100 м за ученике и ученице, трчање на 800 м за ученике и 500 м за ученице, скок удаљ, увис, бацање </w:t>
            </w:r>
            <w:r>
              <w:rPr>
                <w:color w:val="231F20"/>
                <w:spacing w:val="-3"/>
                <w:sz w:val="14"/>
              </w:rPr>
              <w:t xml:space="preserve">кугле </w:t>
            </w:r>
            <w:r>
              <w:rPr>
                <w:color w:val="231F20"/>
                <w:sz w:val="14"/>
              </w:rPr>
              <w:t>­</w:t>
            </w:r>
            <w:r>
              <w:rPr>
                <w:color w:val="231F20"/>
                <w:spacing w:val="-14"/>
                <w:sz w:val="14"/>
              </w:rPr>
              <w:t xml:space="preserve"> </w:t>
            </w:r>
            <w:r>
              <w:rPr>
                <w:color w:val="231F20"/>
                <w:sz w:val="14"/>
              </w:rPr>
              <w:t xml:space="preserve">на </w:t>
            </w:r>
            <w:r>
              <w:rPr>
                <w:color w:val="231F20"/>
                <w:spacing w:val="-3"/>
                <w:sz w:val="14"/>
              </w:rPr>
              <w:t>резултат.</w:t>
            </w:r>
          </w:p>
          <w:p w:rsidR="00041039" w:rsidRDefault="001B26CB">
            <w:pPr>
              <w:pStyle w:val="TableParagraph"/>
              <w:numPr>
                <w:ilvl w:val="0"/>
                <w:numId w:val="1302"/>
              </w:numPr>
              <w:tabs>
                <w:tab w:val="left" w:pos="142"/>
              </w:tabs>
              <w:spacing w:line="156" w:lineRule="exact"/>
              <w:rPr>
                <w:b/>
                <w:sz w:val="14"/>
              </w:rPr>
            </w:pPr>
            <w:r>
              <w:rPr>
                <w:b/>
                <w:color w:val="231F20"/>
                <w:sz w:val="14"/>
              </w:rPr>
              <w:t>Вежбе на справама и</w:t>
            </w:r>
            <w:r>
              <w:rPr>
                <w:b/>
                <w:color w:val="231F20"/>
                <w:spacing w:val="-5"/>
                <w:sz w:val="14"/>
              </w:rPr>
              <w:t xml:space="preserve"> </w:t>
            </w:r>
            <w:r>
              <w:rPr>
                <w:b/>
                <w:color w:val="231F20"/>
                <w:sz w:val="14"/>
              </w:rPr>
              <w:t>тлу:</w:t>
            </w:r>
          </w:p>
          <w:p w:rsidR="00041039" w:rsidRDefault="001B26CB">
            <w:pPr>
              <w:pStyle w:val="TableParagraph"/>
              <w:ind w:left="57" w:right="32"/>
              <w:rPr>
                <w:sz w:val="14"/>
              </w:rPr>
            </w:pPr>
            <w:r>
              <w:rPr>
                <w:b/>
                <w:color w:val="231F20"/>
                <w:sz w:val="14"/>
              </w:rPr>
              <w:t xml:space="preserve">За ученике: </w:t>
            </w:r>
            <w:r>
              <w:rPr>
                <w:color w:val="231F20"/>
                <w:sz w:val="14"/>
              </w:rPr>
              <w:t>наставни садржаји из програма вежби на тлу, прескока</w:t>
            </w:r>
            <w:r>
              <w:rPr>
                <w:color w:val="231F20"/>
                <w:sz w:val="14"/>
              </w:rPr>
              <w:t>, једне справе у упору и једне справе у вису.</w:t>
            </w:r>
          </w:p>
          <w:p w:rsidR="00041039" w:rsidRDefault="001B26CB">
            <w:pPr>
              <w:pStyle w:val="TableParagraph"/>
              <w:spacing w:line="237" w:lineRule="auto"/>
              <w:ind w:left="57" w:right="127"/>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7"/>
              <w:ind w:left="0"/>
              <w:rPr>
                <w:b/>
                <w:sz w:val="13"/>
              </w:rPr>
            </w:pPr>
          </w:p>
          <w:p w:rsidR="00041039" w:rsidRDefault="001B26CB">
            <w:pPr>
              <w:pStyle w:val="TableParagraph"/>
              <w:spacing w:before="1"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301"/>
              </w:numPr>
              <w:tabs>
                <w:tab w:val="left" w:pos="158"/>
              </w:tabs>
              <w:spacing w:line="237" w:lineRule="auto"/>
              <w:ind w:right="246"/>
              <w:rPr>
                <w:b/>
                <w:sz w:val="14"/>
              </w:rPr>
            </w:pPr>
            <w:r>
              <w:rPr>
                <w:color w:val="231F20"/>
                <w:sz w:val="14"/>
              </w:rPr>
              <w:t>Тестирање и провера савлада­ ности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1301"/>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1301"/>
              </w:numPr>
              <w:tabs>
                <w:tab w:val="left" w:pos="158"/>
              </w:tabs>
              <w:spacing w:line="155" w:lineRule="exact"/>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1301"/>
              </w:numPr>
              <w:tabs>
                <w:tab w:val="left" w:pos="158"/>
              </w:tabs>
              <w:spacing w:line="237" w:lineRule="auto"/>
              <w:ind w:right="104"/>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numPr>
                <w:ilvl w:val="0"/>
                <w:numId w:val="1301"/>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1301"/>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301"/>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301"/>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извођење редовне наставе школау току школске године организује: Два целодневна излета са пеша­ чењем:</w:t>
            </w:r>
          </w:p>
          <w:p w:rsidR="00041039" w:rsidRDefault="001B26CB">
            <w:pPr>
              <w:pStyle w:val="TableParagraph"/>
              <w:numPr>
                <w:ilvl w:val="0"/>
                <w:numId w:val="1300"/>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1300"/>
              </w:numPr>
              <w:tabs>
                <w:tab w:val="left" w:pos="163"/>
              </w:tabs>
              <w:ind w:right="180"/>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1300"/>
              </w:numPr>
              <w:tabs>
                <w:tab w:val="left" w:pos="163"/>
              </w:tabs>
              <w:ind w:right="134"/>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tc>
      </w:tr>
      <w:tr w:rsidR="00041039">
        <w:trPr>
          <w:trHeight w:val="1851"/>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tcBorders>
          </w:tcPr>
          <w:p w:rsidR="00041039" w:rsidRDefault="001B26CB">
            <w:pPr>
              <w:pStyle w:val="TableParagraph"/>
              <w:spacing w:before="71"/>
              <w:ind w:left="57" w:right="387"/>
              <w:rPr>
                <w:sz w:val="14"/>
              </w:rPr>
            </w:pPr>
            <w:r>
              <w:rPr>
                <w:color w:val="231F20"/>
                <w:sz w:val="14"/>
              </w:rPr>
              <w:t>Школа организује и спрово­ ди спортска такмичења, као</w:t>
            </w:r>
          </w:p>
          <w:p w:rsidR="00041039" w:rsidRDefault="001B26CB">
            <w:pPr>
              <w:pStyle w:val="TableParagraph"/>
              <w:ind w:left="57" w:right="132"/>
              <w:rPr>
                <w:sz w:val="14"/>
              </w:rPr>
            </w:pPr>
            <w:r>
              <w:rPr>
                <w:color w:val="231F20"/>
                <w:sz w:val="14"/>
              </w:rPr>
              <w:t>јединствени део процеса наставе физичког васпитања. Спортска такмичења организују се у оквиру радне суботе и у друго време</w:t>
            </w:r>
          </w:p>
          <w:p w:rsidR="00041039" w:rsidRDefault="001B26CB">
            <w:pPr>
              <w:pStyle w:val="TableParagraph"/>
              <w:spacing w:line="237" w:lineRule="auto"/>
              <w:ind w:left="57" w:right="125"/>
              <w:rPr>
                <w:sz w:val="14"/>
              </w:rPr>
            </w:pPr>
            <w:r>
              <w:rPr>
                <w:color w:val="231F20"/>
                <w:sz w:val="14"/>
              </w:rPr>
              <w:t>које одреди школа. Међушколска спортска такмичења организују се у оквиру календара који доноси Министарство просвете науке и технолошког развоја.</w:t>
            </w:r>
          </w:p>
        </w:tc>
      </w:tr>
    </w:tbl>
    <w:p w:rsidR="00041039" w:rsidRDefault="00041039">
      <w:pPr>
        <w:spacing w:line="237" w:lineRule="auto"/>
        <w:rPr>
          <w:sz w:val="14"/>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1299"/>
              </w:numPr>
              <w:tabs>
                <w:tab w:val="left" w:pos="157"/>
              </w:tabs>
              <w:spacing w:before="8"/>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1299"/>
              </w:numPr>
              <w:tabs>
                <w:tab w:val="left" w:pos="157"/>
              </w:tabs>
              <w:spacing w:line="160"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1298"/>
              </w:numPr>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1298"/>
              </w:numPr>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numPr>
                <w:ilvl w:val="0"/>
                <w:numId w:val="1298"/>
              </w:numPr>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1297"/>
              </w:numPr>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w:t>
            </w:r>
            <w:r>
              <w:rPr>
                <w:color w:val="231F20"/>
                <w:sz w:val="14"/>
              </w:rPr>
              <w:t>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1297"/>
              </w:numPr>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1297"/>
              </w:numPr>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Pr>
          <w:p w:rsidR="00041039" w:rsidRDefault="001B26CB">
            <w:pPr>
              <w:pStyle w:val="TableParagraph"/>
              <w:numPr>
                <w:ilvl w:val="0"/>
                <w:numId w:val="1296"/>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1296"/>
              </w:numPr>
              <w:tabs>
                <w:tab w:val="left" w:pos="158"/>
              </w:tabs>
              <w:spacing w:line="156" w:lineRule="exact"/>
              <w:ind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цијео томе које вежбе позитивно утичу на статус њиховог органи­ зма, с обзиром на карактеристике њихове професије, а које негатив­ но утичу на здравље.</w:t>
            </w:r>
          </w:p>
          <w:p w:rsidR="00041039" w:rsidRDefault="001B26CB">
            <w:pPr>
              <w:pStyle w:val="TableParagraph"/>
              <w:numPr>
                <w:ilvl w:val="0"/>
                <w:numId w:val="1296"/>
              </w:numPr>
              <w:tabs>
                <w:tab w:val="left" w:pos="158"/>
              </w:tabs>
              <w:spacing w:line="155" w:lineRule="exact"/>
              <w:ind w:hanging="99"/>
              <w:rPr>
                <w:sz w:val="14"/>
              </w:rPr>
            </w:pPr>
            <w:r>
              <w:rPr>
                <w:color w:val="231F20"/>
                <w:sz w:val="14"/>
              </w:rPr>
              <w:t>Ученици који похађају</w:t>
            </w:r>
            <w:r>
              <w:rPr>
                <w:color w:val="231F20"/>
                <w:spacing w:val="-4"/>
                <w:sz w:val="14"/>
              </w:rPr>
              <w:t xml:space="preserve"> </w:t>
            </w:r>
            <w:r>
              <w:rPr>
                <w:color w:val="231F20"/>
                <w:sz w:val="14"/>
              </w:rPr>
              <w:t>чет­</w:t>
            </w:r>
          </w:p>
          <w:p w:rsidR="00041039" w:rsidRDefault="001B26CB">
            <w:pPr>
              <w:pStyle w:val="TableParagraph"/>
              <w:ind w:left="157" w:right="230"/>
              <w:rPr>
                <w:sz w:val="14"/>
              </w:rPr>
            </w:pPr>
            <w:r>
              <w:rPr>
                <w:color w:val="231F20"/>
                <w:sz w:val="14"/>
              </w:rPr>
              <w:t>ворогодишње стручне ш</w:t>
            </w:r>
            <w:r>
              <w:rPr>
                <w:color w:val="231F20"/>
                <w:sz w:val="14"/>
              </w:rPr>
              <w:t>коле далеко су више оптерећени у редовном образовању прак­ тичном и теоријском наставом од осталих ученика. Због тога је физичко васпитање, у овим школама, значајно за активан</w:t>
            </w:r>
          </w:p>
          <w:p w:rsidR="00041039" w:rsidRDefault="001B26CB">
            <w:pPr>
              <w:pStyle w:val="TableParagraph"/>
              <w:spacing w:line="237" w:lineRule="auto"/>
              <w:ind w:left="157" w:right="18"/>
              <w:rPr>
                <w:sz w:val="14"/>
              </w:rPr>
            </w:pPr>
            <w:r>
              <w:rPr>
                <w:color w:val="231F20"/>
                <w:sz w:val="14"/>
              </w:rPr>
              <w:t xml:space="preserve">опоравак ученика, компензацију и релаксацију с обзиром на њихова честа статичка </w:t>
            </w:r>
            <w:r>
              <w:rPr>
                <w:color w:val="231F20"/>
                <w:sz w:val="14"/>
              </w:rPr>
              <w:t>и једнострана оптерећења. Теоријска знања из области физичких активности су од великог значаја за укупним бављењем физичким вежбама.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1296"/>
              </w:numPr>
              <w:tabs>
                <w:tab w:val="left" w:pos="158"/>
              </w:tabs>
              <w:spacing w:line="154" w:lineRule="exact"/>
              <w:ind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296"/>
              </w:numPr>
              <w:tabs>
                <w:tab w:val="left" w:pos="158"/>
              </w:tabs>
              <w:spacing w:line="160" w:lineRule="exact"/>
              <w:ind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numPr>
                <w:ilvl w:val="0"/>
                <w:numId w:val="1296"/>
              </w:numPr>
              <w:tabs>
                <w:tab w:val="left" w:pos="158"/>
              </w:tabs>
              <w:spacing w:line="166" w:lineRule="exact"/>
              <w:ind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line="237" w:lineRule="auto"/>
              <w:ind w:left="58" w:right="382"/>
              <w:rPr>
                <w:sz w:val="14"/>
              </w:rPr>
            </w:pPr>
            <w:r>
              <w:rPr>
                <w:color w:val="231F20"/>
                <w:sz w:val="14"/>
              </w:rPr>
              <w:t>Настава се изводи фронтално и по групама, у зависности од</w:t>
            </w:r>
          </w:p>
          <w:p w:rsidR="00041039" w:rsidRDefault="001B26CB">
            <w:pPr>
              <w:pStyle w:val="TableParagraph"/>
              <w:ind w:left="58" w:right="86"/>
              <w:rPr>
                <w:sz w:val="14"/>
              </w:rPr>
            </w:pPr>
            <w:r>
              <w:rPr>
                <w:color w:val="231F20"/>
                <w:sz w:val="14"/>
              </w:rPr>
              <w:t>карактера методске јединице која се реализује. Уколико је потребно, нарочито за вежбе из корек</w:t>
            </w:r>
            <w:r>
              <w:rPr>
                <w:color w:val="231F20"/>
                <w:sz w:val="14"/>
              </w:rPr>
              <w:t>тивне гимнастике, приступ је индиви­ дуалан.</w:t>
            </w:r>
          </w:p>
          <w:p w:rsidR="00041039" w:rsidRDefault="00041039">
            <w:pPr>
              <w:pStyle w:val="TableParagraph"/>
              <w:spacing w:before="4"/>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296"/>
              </w:numPr>
              <w:tabs>
                <w:tab w:val="left" w:pos="158"/>
              </w:tabs>
              <w:spacing w:line="237" w:lineRule="auto"/>
              <w:ind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1296"/>
              </w:numPr>
              <w:tabs>
                <w:tab w:val="left" w:pos="158"/>
              </w:tabs>
              <w:spacing w:line="237" w:lineRule="auto"/>
              <w:ind w:right="101" w:hanging="99"/>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10"/>
              <w:ind w:left="0"/>
              <w:rPr>
                <w:b/>
                <w:sz w:val="12"/>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numPr>
                <w:ilvl w:val="0"/>
                <w:numId w:val="1296"/>
              </w:numPr>
              <w:tabs>
                <w:tab w:val="left" w:pos="158"/>
              </w:tabs>
              <w:spacing w:before="1" w:line="160" w:lineRule="exact"/>
              <w:ind w:right="74" w:hanging="99"/>
              <w:rPr>
                <w:sz w:val="14"/>
              </w:rPr>
            </w:pPr>
            <w:r>
              <w:rPr>
                <w:color w:val="231F20"/>
                <w:sz w:val="14"/>
              </w:rPr>
              <w:t>Настава се реализује у циклусима који трају приближно 10 ­ 12 часова (узастопних). Наставнику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Садржај циклуса је:</w:t>
            </w:r>
          </w:p>
          <w:p w:rsidR="00041039" w:rsidRDefault="001B26CB">
            <w:pPr>
              <w:pStyle w:val="TableParagraph"/>
              <w:numPr>
                <w:ilvl w:val="0"/>
                <w:numId w:val="1295"/>
              </w:numPr>
              <w:tabs>
                <w:tab w:val="left" w:pos="164"/>
              </w:tabs>
              <w:ind w:right="169"/>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1295"/>
              </w:numPr>
              <w:tabs>
                <w:tab w:val="left" w:pos="164"/>
              </w:tabs>
              <w:spacing w:line="159"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1295"/>
              </w:numPr>
              <w:tabs>
                <w:tab w:val="left" w:pos="164"/>
              </w:tabs>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1295"/>
              </w:numPr>
              <w:tabs>
                <w:tab w:val="left" w:pos="164"/>
              </w:tabs>
              <w:spacing w:line="159"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1295"/>
              </w:numPr>
              <w:tabs>
                <w:tab w:val="left" w:pos="164"/>
              </w:tabs>
              <w:ind w:right="244"/>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9" w:lineRule="exact"/>
              <w:ind w:left="163"/>
              <w:rPr>
                <w:sz w:val="14"/>
              </w:rPr>
            </w:pPr>
            <w:r>
              <w:rPr>
                <w:color w:val="231F20"/>
                <w:sz w:val="14"/>
              </w:rPr>
              <w:t>- један.</w:t>
            </w:r>
          </w:p>
        </w:tc>
      </w:tr>
      <w:tr w:rsidR="00041039">
        <w:trPr>
          <w:trHeight w:val="1800"/>
        </w:trPr>
        <w:tc>
          <w:tcPr>
            <w:tcW w:w="1304" w:type="dxa"/>
          </w:tcPr>
          <w:p w:rsidR="00041039" w:rsidRDefault="001B26CB">
            <w:pPr>
              <w:pStyle w:val="TableParagraph"/>
              <w:spacing w:before="20"/>
              <w:ind w:left="56" w:right="116"/>
              <w:rPr>
                <w:sz w:val="14"/>
              </w:rPr>
            </w:pPr>
            <w:r>
              <w:rPr>
                <w:color w:val="231F20"/>
                <w:sz w:val="14"/>
              </w:rPr>
              <w:t>Развој</w:t>
            </w:r>
            <w:r>
              <w:rPr>
                <w:color w:val="231F20"/>
                <w:spacing w:val="-7"/>
                <w:sz w:val="14"/>
              </w:rPr>
              <w:t xml:space="preserve"> </w:t>
            </w:r>
            <w:r>
              <w:rPr>
                <w:color w:val="231F20"/>
                <w:sz w:val="14"/>
              </w:rPr>
              <w:t>моторичких и функционал­ них способности човека, као основа за реализовање постављених циљева и</w:t>
            </w:r>
            <w:r>
              <w:rPr>
                <w:color w:val="231F20"/>
                <w:spacing w:val="-2"/>
                <w:sz w:val="14"/>
              </w:rPr>
              <w:t xml:space="preserve"> </w:t>
            </w:r>
            <w:r>
              <w:rPr>
                <w:color w:val="231F20"/>
                <w:spacing w:val="-3"/>
                <w:sz w:val="14"/>
              </w:rPr>
              <w:t>исхода</w:t>
            </w:r>
          </w:p>
        </w:tc>
        <w:tc>
          <w:tcPr>
            <w:tcW w:w="1587" w:type="dxa"/>
          </w:tcPr>
          <w:p w:rsidR="00041039" w:rsidRDefault="001B26CB">
            <w:pPr>
              <w:pStyle w:val="TableParagraph"/>
              <w:numPr>
                <w:ilvl w:val="0"/>
                <w:numId w:val="1294"/>
              </w:numPr>
              <w:tabs>
                <w:tab w:val="left" w:pos="157"/>
              </w:tabs>
              <w:spacing w:before="10"/>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tcPr>
          <w:p w:rsidR="00041039" w:rsidRDefault="001B26CB">
            <w:pPr>
              <w:pStyle w:val="TableParagraph"/>
              <w:numPr>
                <w:ilvl w:val="0"/>
                <w:numId w:val="1293"/>
              </w:numPr>
              <w:tabs>
                <w:tab w:val="left" w:pos="157"/>
              </w:tabs>
              <w:spacing w:before="10"/>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numPr>
                <w:ilvl w:val="0"/>
                <w:numId w:val="1293"/>
              </w:numPr>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tcPr>
          <w:p w:rsidR="00041039" w:rsidRDefault="001B26CB">
            <w:pPr>
              <w:pStyle w:val="TableParagraph"/>
              <w:numPr>
                <w:ilvl w:val="0"/>
                <w:numId w:val="1292"/>
              </w:numPr>
              <w:tabs>
                <w:tab w:val="left" w:pos="157"/>
              </w:tabs>
              <w:spacing w:before="10"/>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1292"/>
              </w:numPr>
              <w:tabs>
                <w:tab w:val="left" w:pos="157"/>
              </w:tabs>
              <w:spacing w:before="1" w:line="160" w:lineRule="exact"/>
              <w:ind w:right="324" w:hanging="99"/>
              <w:rPr>
                <w:sz w:val="14"/>
              </w:rPr>
            </w:pPr>
            <w:r>
              <w:rPr>
                <w:color w:val="231F20"/>
                <w:sz w:val="14"/>
              </w:rPr>
              <w:t>Трчањ</w:t>
            </w:r>
            <w:r>
              <w:rPr>
                <w:color w:val="231F20"/>
                <w:sz w:val="14"/>
              </w:rPr>
              <w:t>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1292"/>
              </w:numPr>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1292"/>
              </w:numPr>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numPr>
                <w:ilvl w:val="0"/>
                <w:numId w:val="1292"/>
              </w:numPr>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1292"/>
              </w:numPr>
              <w:tabs>
                <w:tab w:val="left" w:pos="157"/>
              </w:tabs>
              <w:spacing w:line="153" w:lineRule="exact"/>
              <w:ind w:hanging="99"/>
              <w:rPr>
                <w:sz w:val="14"/>
              </w:rPr>
            </w:pPr>
            <w:r>
              <w:rPr>
                <w:color w:val="231F20"/>
                <w:sz w:val="14"/>
              </w:rPr>
              <w:t>Аеробик.</w:t>
            </w:r>
          </w:p>
          <w:p w:rsidR="00041039" w:rsidRDefault="001B26CB">
            <w:pPr>
              <w:pStyle w:val="TableParagraph"/>
              <w:numPr>
                <w:ilvl w:val="0"/>
                <w:numId w:val="1292"/>
              </w:numPr>
              <w:tabs>
                <w:tab w:val="left" w:pos="157"/>
              </w:tabs>
              <w:spacing w:line="164"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tcBorders>
              <w:top w:val="nil"/>
            </w:tcBorders>
          </w:tcPr>
          <w:p w:rsidR="00041039" w:rsidRDefault="00041039">
            <w:pPr>
              <w:rPr>
                <w:sz w:val="2"/>
                <w:szCs w:val="2"/>
              </w:rPr>
            </w:pPr>
          </w:p>
        </w:tc>
      </w:tr>
      <w:tr w:rsidR="00041039">
        <w:trPr>
          <w:trHeight w:val="8520"/>
        </w:trPr>
        <w:tc>
          <w:tcPr>
            <w:tcW w:w="1304" w:type="dxa"/>
          </w:tcPr>
          <w:p w:rsidR="00041039" w:rsidRDefault="001B26CB">
            <w:pPr>
              <w:pStyle w:val="TableParagraph"/>
              <w:spacing w:before="21"/>
              <w:ind w:left="56" w:right="77"/>
              <w:rPr>
                <w:sz w:val="14"/>
              </w:rPr>
            </w:pPr>
            <w:r>
              <w:rPr>
                <w:color w:val="231F20"/>
                <w:sz w:val="14"/>
              </w:rPr>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ind w:left="56"/>
              <w:rPr>
                <w:sz w:val="14"/>
              </w:rPr>
            </w:pPr>
            <w:r>
              <w:rPr>
                <w:color w:val="231F20"/>
                <w:sz w:val="14"/>
              </w:rPr>
              <w:t>Атлетика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20"/>
              <w:ind w:left="56" w:right="154"/>
              <w:rPr>
                <w:sz w:val="14"/>
              </w:rPr>
            </w:pPr>
            <w:r>
              <w:rPr>
                <w:color w:val="231F20"/>
                <w:sz w:val="14"/>
              </w:rPr>
              <w:t>Спортска гимнас­ тика:</w:t>
            </w:r>
          </w:p>
          <w:p w:rsidR="00041039" w:rsidRDefault="001B26CB">
            <w:pPr>
              <w:pStyle w:val="TableParagraph"/>
              <w:ind w:left="56"/>
              <w:rPr>
                <w:sz w:val="14"/>
              </w:rPr>
            </w:pPr>
            <w:r>
              <w:rPr>
                <w:color w:val="231F20"/>
                <w:sz w:val="14"/>
              </w:rPr>
              <w:t>(Вежбе на справама и тлу)</w:t>
            </w:r>
          </w:p>
        </w:tc>
        <w:tc>
          <w:tcPr>
            <w:tcW w:w="1587" w:type="dxa"/>
          </w:tcPr>
          <w:p w:rsidR="00041039" w:rsidRDefault="001B26CB">
            <w:pPr>
              <w:pStyle w:val="TableParagraph"/>
              <w:numPr>
                <w:ilvl w:val="0"/>
                <w:numId w:val="1291"/>
              </w:numPr>
              <w:tabs>
                <w:tab w:val="left" w:pos="157"/>
              </w:tabs>
              <w:spacing w:before="11"/>
              <w:ind w:right="47"/>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041039" w:rsidRDefault="001B26CB">
            <w:pPr>
              <w:pStyle w:val="TableParagraph"/>
              <w:numPr>
                <w:ilvl w:val="0"/>
                <w:numId w:val="1291"/>
              </w:numPr>
              <w:tabs>
                <w:tab w:val="left" w:pos="157"/>
              </w:tabs>
              <w:spacing w:line="157" w:lineRule="exact"/>
              <w:rPr>
                <w:sz w:val="14"/>
              </w:rPr>
            </w:pPr>
            <w:r>
              <w:rPr>
                <w:color w:val="231F20"/>
                <w:sz w:val="14"/>
              </w:rPr>
              <w:t>Формирање</w:t>
            </w:r>
            <w:r>
              <w:rPr>
                <w:color w:val="231F20"/>
                <w:spacing w:val="-3"/>
                <w:sz w:val="14"/>
              </w:rPr>
              <w:t xml:space="preserve"> </w:t>
            </w:r>
            <w:r>
              <w:rPr>
                <w:color w:val="231F20"/>
                <w:sz w:val="14"/>
              </w:rPr>
              <w:t>позитив­</w:t>
            </w:r>
          </w:p>
          <w:p w:rsidR="00041039" w:rsidRDefault="001B26CB">
            <w:pPr>
              <w:pStyle w:val="TableParagraph"/>
              <w:ind w:right="15"/>
              <w:rPr>
                <w:sz w:val="14"/>
              </w:rPr>
            </w:pPr>
            <w:r>
              <w:rPr>
                <w:color w:val="231F20"/>
                <w:sz w:val="14"/>
              </w:rPr>
              <w:t>них психо социјалних образаца понашања.</w:t>
            </w:r>
          </w:p>
          <w:p w:rsidR="00041039" w:rsidRDefault="001B26CB">
            <w:pPr>
              <w:pStyle w:val="TableParagraph"/>
              <w:numPr>
                <w:ilvl w:val="0"/>
                <w:numId w:val="1291"/>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numPr>
                <w:ilvl w:val="0"/>
                <w:numId w:val="1291"/>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w:t>
            </w:r>
          </w:p>
          <w:p w:rsidR="00041039" w:rsidRDefault="001B26CB">
            <w:pPr>
              <w:pStyle w:val="TableParagraph"/>
              <w:numPr>
                <w:ilvl w:val="0"/>
                <w:numId w:val="1291"/>
              </w:numPr>
              <w:tabs>
                <w:tab w:val="left" w:pos="157"/>
              </w:tabs>
              <w:spacing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w:t>
            </w:r>
            <w:r>
              <w:rPr>
                <w:color w:val="231F20"/>
                <w:sz w:val="14"/>
              </w:rPr>
              <w:t>обина ученика.</w:t>
            </w:r>
          </w:p>
          <w:p w:rsidR="00041039" w:rsidRDefault="001B26CB">
            <w:pPr>
              <w:pStyle w:val="TableParagraph"/>
              <w:numPr>
                <w:ilvl w:val="0"/>
                <w:numId w:val="1291"/>
              </w:numPr>
              <w:tabs>
                <w:tab w:val="left" w:pos="157"/>
              </w:tabs>
              <w:spacing w:line="160" w:lineRule="exact"/>
              <w:ind w:right="210"/>
              <w:rPr>
                <w:sz w:val="14"/>
              </w:rPr>
            </w:pPr>
            <w:r>
              <w:rPr>
                <w:color w:val="231F20"/>
                <w:sz w:val="14"/>
              </w:rPr>
              <w:t>Стицање и усавр­ шавање моторич­ ких знања, умећа, вештина, техника и навика</w:t>
            </w:r>
            <w:r>
              <w:rPr>
                <w:color w:val="231F20"/>
                <w:spacing w:val="-9"/>
                <w:sz w:val="14"/>
              </w:rPr>
              <w:t xml:space="preserve"> </w:t>
            </w:r>
            <w:r>
              <w:rPr>
                <w:color w:val="231F20"/>
                <w:sz w:val="14"/>
              </w:rPr>
              <w:t>предвиђених</w:t>
            </w:r>
          </w:p>
          <w:p w:rsidR="00041039" w:rsidRDefault="001B26CB">
            <w:pPr>
              <w:pStyle w:val="TableParagraph"/>
              <w:spacing w:line="237" w:lineRule="auto"/>
              <w:ind w:right="90"/>
              <w:rPr>
                <w:sz w:val="14"/>
              </w:rPr>
            </w:pPr>
            <w:r>
              <w:rPr>
                <w:color w:val="231F20"/>
                <w:sz w:val="14"/>
              </w:rPr>
              <w:t>програмом за базичне спортске гране.</w:t>
            </w:r>
          </w:p>
          <w:p w:rsidR="00041039" w:rsidRDefault="001B26CB">
            <w:pPr>
              <w:pStyle w:val="TableParagraph"/>
              <w:numPr>
                <w:ilvl w:val="0"/>
                <w:numId w:val="1291"/>
              </w:numPr>
              <w:tabs>
                <w:tab w:val="left" w:pos="157"/>
              </w:tabs>
              <w:spacing w:line="237" w:lineRule="auto"/>
              <w:ind w:right="72"/>
              <w:rPr>
                <w:sz w:val="14"/>
              </w:rPr>
            </w:pPr>
            <w:r>
              <w:rPr>
                <w:color w:val="231F20"/>
                <w:sz w:val="14"/>
              </w:rPr>
              <w:t>Повезивање моторич­ ких задатака у</w:t>
            </w:r>
            <w:r>
              <w:rPr>
                <w:color w:val="231F20"/>
                <w:spacing w:val="-14"/>
                <w:sz w:val="14"/>
              </w:rPr>
              <w:t xml:space="preserve"> </w:t>
            </w:r>
            <w:r>
              <w:rPr>
                <w:color w:val="231F20"/>
                <w:sz w:val="14"/>
              </w:rPr>
              <w:t>целине; али без стварања крутих моторичких аутоматизама.</w:t>
            </w:r>
          </w:p>
          <w:p w:rsidR="00041039" w:rsidRDefault="001B26CB">
            <w:pPr>
              <w:pStyle w:val="TableParagraph"/>
              <w:numPr>
                <w:ilvl w:val="0"/>
                <w:numId w:val="1291"/>
              </w:numPr>
              <w:tabs>
                <w:tab w:val="left" w:pos="157"/>
              </w:tabs>
              <w:spacing w:line="237" w:lineRule="auto"/>
              <w:ind w:right="157"/>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numPr>
                <w:ilvl w:val="0"/>
                <w:numId w:val="1291"/>
              </w:numPr>
              <w:tabs>
                <w:tab w:val="left" w:pos="157"/>
              </w:tabs>
              <w:spacing w:line="237" w:lineRule="auto"/>
              <w:ind w:right="165"/>
              <w:rPr>
                <w:sz w:val="14"/>
              </w:rPr>
            </w:pPr>
            <w:r>
              <w:rPr>
                <w:color w:val="231F20"/>
                <w:sz w:val="14"/>
              </w:rPr>
              <w:t>Развијање елемената ритма сједињавањем кинетичких и енер­ гетских елемената у целине: рад ­ одмор, напрезање ­ релакса­ ција, убрзање ­ успо­ равање.</w:t>
            </w:r>
          </w:p>
          <w:p w:rsidR="00041039" w:rsidRDefault="001B26CB">
            <w:pPr>
              <w:pStyle w:val="TableParagraph"/>
              <w:numPr>
                <w:ilvl w:val="0"/>
                <w:numId w:val="1291"/>
              </w:numPr>
              <w:tabs>
                <w:tab w:val="left" w:pos="157"/>
              </w:tabs>
              <w:spacing w:line="237" w:lineRule="auto"/>
              <w:ind w:right="359"/>
              <w:rPr>
                <w:sz w:val="14"/>
              </w:rPr>
            </w:pPr>
            <w:r>
              <w:rPr>
                <w:color w:val="231F20"/>
                <w:sz w:val="14"/>
              </w:rPr>
              <w:t>Избор спорто</w:t>
            </w:r>
            <w:r>
              <w:rPr>
                <w:color w:val="231F20"/>
                <w:sz w:val="14"/>
              </w:rPr>
              <w:t>ва, односно</w:t>
            </w:r>
            <w:r>
              <w:rPr>
                <w:color w:val="231F20"/>
                <w:spacing w:val="-10"/>
                <w:sz w:val="14"/>
              </w:rPr>
              <w:t xml:space="preserve"> </w:t>
            </w:r>
            <w:r>
              <w:rPr>
                <w:color w:val="231F20"/>
                <w:sz w:val="14"/>
              </w:rPr>
              <w:t>спортско</w:t>
            </w:r>
          </w:p>
          <w:p w:rsidR="00041039" w:rsidRDefault="001B26CB">
            <w:pPr>
              <w:pStyle w:val="TableParagraph"/>
              <w:ind w:right="15"/>
              <w:rPr>
                <w:sz w:val="14"/>
              </w:rPr>
            </w:pPr>
            <w:r>
              <w:rPr>
                <w:color w:val="231F20"/>
                <w:sz w:val="14"/>
              </w:rPr>
              <w:t>- рекреативних или других кретних ак­ тивности као трајног опредељења за њихово свакодневно упражња­ вање.</w:t>
            </w:r>
          </w:p>
        </w:tc>
        <w:tc>
          <w:tcPr>
            <w:tcW w:w="2551" w:type="dxa"/>
          </w:tcPr>
          <w:p w:rsidR="00041039" w:rsidRDefault="001B26CB">
            <w:pPr>
              <w:pStyle w:val="TableParagraph"/>
              <w:numPr>
                <w:ilvl w:val="0"/>
                <w:numId w:val="1290"/>
              </w:numPr>
              <w:tabs>
                <w:tab w:val="left" w:pos="157"/>
              </w:tabs>
              <w:spacing w:before="12"/>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1290"/>
              </w:numPr>
              <w:tabs>
                <w:tab w:val="left" w:pos="157"/>
              </w:tabs>
              <w:spacing w:line="156" w:lineRule="exact"/>
              <w:ind w:hanging="99"/>
              <w:rPr>
                <w:sz w:val="14"/>
              </w:rPr>
            </w:pPr>
            <w:r>
              <w:rPr>
                <w:color w:val="231F20"/>
                <w:sz w:val="14"/>
              </w:rPr>
              <w:t xml:space="preserve">демонстрира вежбе </w:t>
            </w:r>
            <w:r>
              <w:rPr>
                <w:color w:val="231F20"/>
                <w:sz w:val="14"/>
              </w:rPr>
              <w:t>и</w:t>
            </w:r>
            <w:r>
              <w:rPr>
                <w:color w:val="231F20"/>
                <w:spacing w:val="-3"/>
                <w:sz w:val="14"/>
              </w:rPr>
              <w:t xml:space="preserve"> </w:t>
            </w:r>
            <w:r>
              <w:rPr>
                <w:color w:val="231F20"/>
                <w:sz w:val="14"/>
              </w:rPr>
              <w:t>технике</w:t>
            </w:r>
          </w:p>
          <w:p w:rsidR="00041039" w:rsidRDefault="001B26CB">
            <w:pPr>
              <w:pStyle w:val="TableParagraph"/>
              <w:ind w:right="16"/>
              <w:rPr>
                <w:sz w:val="14"/>
              </w:rPr>
            </w:pPr>
            <w:r>
              <w:rPr>
                <w:color w:val="231F20"/>
                <w:sz w:val="14"/>
              </w:rPr>
              <w:t>атлетских дисциплина и вежби на справама и тлу које се уче (поседовање вештине)</w:t>
            </w:r>
          </w:p>
          <w:p w:rsidR="00041039" w:rsidRDefault="001B26CB">
            <w:pPr>
              <w:pStyle w:val="TableParagraph"/>
              <w:numPr>
                <w:ilvl w:val="0"/>
                <w:numId w:val="1290"/>
              </w:numPr>
              <w:tabs>
                <w:tab w:val="left" w:pos="157"/>
              </w:tabs>
              <w:spacing w:line="158" w:lineRule="exact"/>
              <w:ind w:hanging="99"/>
              <w:rPr>
                <w:sz w:val="14"/>
              </w:rPr>
            </w:pPr>
            <w:r>
              <w:rPr>
                <w:color w:val="231F20"/>
                <w:sz w:val="14"/>
              </w:rPr>
              <w:t>детаљније опише правила</w:t>
            </w:r>
            <w:r>
              <w:rPr>
                <w:color w:val="231F20"/>
                <w:spacing w:val="-11"/>
                <w:sz w:val="14"/>
              </w:rPr>
              <w:t xml:space="preserve"> </w:t>
            </w:r>
            <w:r>
              <w:rPr>
                <w:color w:val="231F20"/>
                <w:sz w:val="14"/>
              </w:rPr>
              <w:t>спортске</w:t>
            </w:r>
          </w:p>
          <w:p w:rsidR="00041039" w:rsidRDefault="001B26CB">
            <w:pPr>
              <w:pStyle w:val="TableParagraph"/>
              <w:spacing w:line="160" w:lineRule="exact"/>
              <w:rPr>
                <w:sz w:val="14"/>
              </w:rPr>
            </w:pPr>
            <w:r>
              <w:rPr>
                <w:color w:val="231F20"/>
                <w:sz w:val="14"/>
              </w:rPr>
              <w:t>гране за коју показује посебан 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numPr>
                <w:ilvl w:val="0"/>
                <w:numId w:val="1290"/>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1290"/>
              </w:numPr>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w:t>
            </w:r>
            <w:r>
              <w:rPr>
                <w:color w:val="231F20"/>
                <w:sz w:val="14"/>
              </w:rPr>
              <w:t>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1290"/>
              </w:numPr>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w:t>
            </w:r>
            <w:r>
              <w:rPr>
                <w:color w:val="231F20"/>
                <w:sz w:val="14"/>
              </w:rPr>
              <w:t>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1290"/>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контактима;</w:t>
            </w:r>
          </w:p>
          <w:p w:rsidR="00041039" w:rsidRDefault="001B26CB">
            <w:pPr>
              <w:pStyle w:val="TableParagraph"/>
              <w:numPr>
                <w:ilvl w:val="0"/>
                <w:numId w:val="1290"/>
              </w:numPr>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1290"/>
              </w:numPr>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активности припада, има своју естетск</w:t>
            </w:r>
            <w:r>
              <w:rPr>
                <w:color w:val="231F20"/>
                <w:sz w:val="14"/>
              </w:rPr>
              <w:t>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1290"/>
              </w:numPr>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numPr>
                <w:ilvl w:val="0"/>
                <w:numId w:val="1290"/>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numPr>
                <w:ilvl w:val="0"/>
                <w:numId w:val="1290"/>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w:t>
            </w:r>
            <w:r>
              <w:rPr>
                <w:color w:val="231F20"/>
                <w:sz w:val="14"/>
              </w:rPr>
              <w:t>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1290"/>
              </w:numPr>
              <w:tabs>
                <w:tab w:val="left" w:pos="157"/>
              </w:tabs>
              <w:spacing w:line="160" w:lineRule="exact"/>
              <w:ind w:right="155" w:hanging="99"/>
              <w:rPr>
                <w:sz w:val="14"/>
              </w:rPr>
            </w:pPr>
            <w:r>
              <w:rPr>
                <w:color w:val="231F20"/>
                <w:sz w:val="14"/>
              </w:rPr>
              <w:t>има правилан однос према</w:t>
            </w:r>
            <w:r>
              <w:rPr>
                <w:color w:val="231F20"/>
                <w:spacing w:val="-20"/>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3"/>
              <w:ind w:left="0"/>
              <w:rPr>
                <w:b/>
                <w:sz w:val="17"/>
              </w:rPr>
            </w:pPr>
          </w:p>
          <w:p w:rsidR="00041039" w:rsidRDefault="001B26CB">
            <w:pPr>
              <w:pStyle w:val="TableParagraph"/>
              <w:spacing w:line="161" w:lineRule="exact"/>
              <w:ind w:left="57"/>
              <w:rPr>
                <w:b/>
                <w:sz w:val="14"/>
              </w:rPr>
            </w:pPr>
            <w:r>
              <w:rPr>
                <w:b/>
                <w:color w:val="231F20"/>
                <w:sz w:val="14"/>
              </w:rPr>
              <w:t>АТЛЕТИКА</w:t>
            </w:r>
          </w:p>
          <w:p w:rsidR="00041039" w:rsidRDefault="001B26CB">
            <w:pPr>
              <w:pStyle w:val="TableParagraph"/>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p w:rsidR="00041039" w:rsidRDefault="001B26CB">
            <w:pPr>
              <w:pStyle w:val="TableParagraph"/>
              <w:spacing w:line="158" w:lineRule="exact"/>
              <w:ind w:left="57"/>
              <w:rPr>
                <w:b/>
                <w:sz w:val="14"/>
              </w:rPr>
            </w:pPr>
            <w:r>
              <w:rPr>
                <w:b/>
                <w:color w:val="231F20"/>
                <w:sz w:val="14"/>
              </w:rPr>
              <w:t>Трчање:</w:t>
            </w:r>
          </w:p>
          <w:p w:rsidR="00041039" w:rsidRDefault="001B26CB">
            <w:pPr>
              <w:pStyle w:val="TableParagraph"/>
              <w:numPr>
                <w:ilvl w:val="0"/>
                <w:numId w:val="1289"/>
              </w:numPr>
              <w:tabs>
                <w:tab w:val="left" w:pos="163"/>
              </w:tabs>
              <w:spacing w:line="160" w:lineRule="exact"/>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1289"/>
              </w:numPr>
              <w:tabs>
                <w:tab w:val="left" w:pos="163"/>
              </w:tabs>
              <w:spacing w:line="160" w:lineRule="exact"/>
              <w:rPr>
                <w:sz w:val="14"/>
              </w:rPr>
            </w:pPr>
            <w:r>
              <w:rPr>
                <w:color w:val="231F20"/>
                <w:sz w:val="14"/>
              </w:rPr>
              <w:t>1000 м ученици;</w:t>
            </w:r>
          </w:p>
          <w:p w:rsidR="00041039" w:rsidRDefault="001B26CB">
            <w:pPr>
              <w:pStyle w:val="TableParagraph"/>
              <w:numPr>
                <w:ilvl w:val="0"/>
                <w:numId w:val="1289"/>
              </w:numPr>
              <w:tabs>
                <w:tab w:val="left" w:pos="163"/>
              </w:tabs>
              <w:spacing w:line="160" w:lineRule="exact"/>
              <w:rPr>
                <w:sz w:val="14"/>
              </w:rPr>
            </w:pPr>
            <w:r>
              <w:rPr>
                <w:color w:val="231F20"/>
                <w:sz w:val="14"/>
              </w:rPr>
              <w:t>800 м ученице;</w:t>
            </w:r>
          </w:p>
          <w:p w:rsidR="00041039" w:rsidRDefault="001B26CB">
            <w:pPr>
              <w:pStyle w:val="TableParagraph"/>
              <w:numPr>
                <w:ilvl w:val="0"/>
                <w:numId w:val="1289"/>
              </w:numPr>
              <w:tabs>
                <w:tab w:val="left" w:pos="163"/>
              </w:tabs>
              <w:spacing w:line="160" w:lineRule="exact"/>
              <w:rPr>
                <w:sz w:val="14"/>
              </w:rPr>
            </w:pPr>
            <w:r>
              <w:rPr>
                <w:color w:val="231F20"/>
                <w:sz w:val="14"/>
              </w:rPr>
              <w:t>штафета 4 х 100 м ученици и</w:t>
            </w:r>
            <w:r>
              <w:rPr>
                <w:color w:val="231F20"/>
                <w:spacing w:val="-1"/>
                <w:sz w:val="14"/>
              </w:rPr>
              <w:t xml:space="preserve"> </w:t>
            </w:r>
            <w:r>
              <w:rPr>
                <w:color w:val="231F20"/>
                <w:sz w:val="14"/>
              </w:rPr>
              <w:t>ученице.</w:t>
            </w:r>
          </w:p>
          <w:p w:rsidR="00041039" w:rsidRDefault="001B26CB">
            <w:pPr>
              <w:pStyle w:val="TableParagraph"/>
              <w:spacing w:line="160" w:lineRule="exact"/>
              <w:ind w:left="57"/>
              <w:rPr>
                <w:b/>
                <w:sz w:val="14"/>
              </w:rPr>
            </w:pPr>
            <w:r>
              <w:rPr>
                <w:b/>
                <w:color w:val="231F20"/>
                <w:sz w:val="14"/>
              </w:rPr>
              <w:t>Скокови:</w:t>
            </w:r>
          </w:p>
          <w:p w:rsidR="00041039" w:rsidRDefault="001B26CB">
            <w:pPr>
              <w:pStyle w:val="TableParagraph"/>
              <w:ind w:left="57" w:right="832"/>
              <w:jc w:val="both"/>
              <w:rPr>
                <w:b/>
                <w:sz w:val="14"/>
              </w:rPr>
            </w:pPr>
            <w:r>
              <w:rPr>
                <w:color w:val="231F20"/>
                <w:sz w:val="14"/>
              </w:rPr>
              <w:t>Скок</w:t>
            </w:r>
            <w:r>
              <w:rPr>
                <w:color w:val="231F20"/>
                <w:spacing w:val="-16"/>
                <w:sz w:val="14"/>
              </w:rPr>
              <w:t xml:space="preserve"> </w:t>
            </w:r>
            <w:r>
              <w:rPr>
                <w:color w:val="231F20"/>
                <w:sz w:val="14"/>
              </w:rPr>
              <w:t>удаљ,</w:t>
            </w:r>
            <w:r>
              <w:rPr>
                <w:color w:val="231F20"/>
                <w:spacing w:val="-16"/>
                <w:sz w:val="14"/>
              </w:rPr>
              <w:t xml:space="preserve"> </w:t>
            </w:r>
            <w:r>
              <w:rPr>
                <w:color w:val="231F20"/>
                <w:sz w:val="14"/>
              </w:rPr>
              <w:t>одабраномтехником. Скок</w:t>
            </w:r>
            <w:r>
              <w:rPr>
                <w:color w:val="231F20"/>
                <w:spacing w:val="-10"/>
                <w:sz w:val="14"/>
              </w:rPr>
              <w:t xml:space="preserve"> </w:t>
            </w:r>
            <w:r>
              <w:rPr>
                <w:color w:val="231F20"/>
                <w:sz w:val="14"/>
              </w:rPr>
              <w:t>увис,</w:t>
            </w:r>
            <w:r>
              <w:rPr>
                <w:color w:val="231F20"/>
                <w:spacing w:val="-10"/>
                <w:sz w:val="14"/>
              </w:rPr>
              <w:t xml:space="preserve"> </w:t>
            </w:r>
            <w:r>
              <w:rPr>
                <w:color w:val="231F20"/>
                <w:sz w:val="14"/>
              </w:rPr>
              <w:t>одабраном</w:t>
            </w:r>
            <w:r>
              <w:rPr>
                <w:color w:val="231F20"/>
                <w:spacing w:val="-10"/>
                <w:sz w:val="14"/>
              </w:rPr>
              <w:t xml:space="preserve"> </w:t>
            </w:r>
            <w:r>
              <w:rPr>
                <w:color w:val="231F20"/>
                <w:sz w:val="14"/>
              </w:rPr>
              <w:t xml:space="preserve">техником. </w:t>
            </w:r>
            <w:r>
              <w:rPr>
                <w:b/>
                <w:color w:val="231F20"/>
                <w:sz w:val="14"/>
              </w:rPr>
              <w:t>Бацање:</w:t>
            </w:r>
          </w:p>
          <w:p w:rsidR="00041039" w:rsidRDefault="001B26CB">
            <w:pPr>
              <w:pStyle w:val="TableParagraph"/>
              <w:spacing w:line="237" w:lineRule="auto"/>
              <w:ind w:left="57"/>
              <w:rPr>
                <w:sz w:val="14"/>
              </w:rPr>
            </w:pPr>
            <w:r>
              <w:rPr>
                <w:color w:val="231F20"/>
                <w:sz w:val="14"/>
              </w:rPr>
              <w:t>Бацање кугле, рационалном техником (уче­ нице 4 кг, ученици 6 кг).</w:t>
            </w:r>
          </w:p>
          <w:p w:rsidR="00041039" w:rsidRDefault="001B26CB">
            <w:pPr>
              <w:pStyle w:val="TableParagraph"/>
              <w:ind w:left="57" w:right="84"/>
              <w:rPr>
                <w:sz w:val="14"/>
              </w:rPr>
            </w:pPr>
            <w:r>
              <w:rPr>
                <w:color w:val="231F20"/>
                <w:sz w:val="14"/>
              </w:rPr>
              <w:t>Спровести такмичења у одељењу на резултат, у свим реализованим атлетским дисциплинама.</w:t>
            </w:r>
          </w:p>
          <w:p w:rsidR="00041039" w:rsidRDefault="00041039">
            <w:pPr>
              <w:pStyle w:val="TableParagraph"/>
              <w:spacing w:before="5"/>
              <w:ind w:left="0"/>
              <w:rPr>
                <w:b/>
                <w:sz w:val="13"/>
              </w:rPr>
            </w:pPr>
          </w:p>
          <w:p w:rsidR="00041039" w:rsidRDefault="001B26CB">
            <w:pPr>
              <w:pStyle w:val="TableParagraph"/>
              <w:ind w:left="57"/>
              <w:rPr>
                <w:b/>
                <w:sz w:val="14"/>
              </w:rPr>
            </w:pPr>
            <w:r>
              <w:rPr>
                <w:b/>
                <w:color w:val="231F20"/>
                <w:sz w:val="14"/>
              </w:rPr>
              <w:t>СПОРТСКА ГИМНАСТИКА: ВЕЖБЕ НА СПРАВАМА И ТЛУ</w:t>
            </w:r>
          </w:p>
          <w:p w:rsidR="00041039" w:rsidRDefault="001B26CB">
            <w:pPr>
              <w:pStyle w:val="TableParagraph"/>
              <w:spacing w:line="159" w:lineRule="exact"/>
              <w:ind w:left="57"/>
              <w:rPr>
                <w:b/>
                <w:sz w:val="14"/>
              </w:rPr>
            </w:pPr>
            <w:r>
              <w:rPr>
                <w:b/>
                <w:color w:val="231F20"/>
                <w:sz w:val="14"/>
              </w:rPr>
              <w:t>Напомене:</w:t>
            </w:r>
          </w:p>
          <w:p w:rsidR="00041039" w:rsidRDefault="001B26CB">
            <w:pPr>
              <w:pStyle w:val="TableParagraph"/>
              <w:numPr>
                <w:ilvl w:val="0"/>
                <w:numId w:val="1289"/>
              </w:numPr>
              <w:tabs>
                <w:tab w:val="left" w:pos="163"/>
              </w:tabs>
              <w:ind w:right="54"/>
              <w:rPr>
                <w:sz w:val="14"/>
              </w:rPr>
            </w:pPr>
            <w:r>
              <w:rPr>
                <w:color w:val="231F20"/>
                <w:sz w:val="14"/>
              </w:rPr>
              <w:t>Наставник олакшава</w:t>
            </w:r>
            <w:r>
              <w:rPr>
                <w:color w:val="231F20"/>
                <w:sz w:val="14"/>
              </w:rPr>
              <w:t>, односно отежава</w:t>
            </w:r>
            <w:r>
              <w:rPr>
                <w:color w:val="231F20"/>
                <w:spacing w:val="-19"/>
                <w:sz w:val="14"/>
              </w:rPr>
              <w:t xml:space="preserve"> </w:t>
            </w:r>
            <w:r>
              <w:rPr>
                <w:color w:val="231F20"/>
                <w:sz w:val="14"/>
              </w:rPr>
              <w:t>про­ грам на основу моторичких способности и претходно стечених умења</w:t>
            </w:r>
            <w:r>
              <w:rPr>
                <w:color w:val="231F20"/>
                <w:spacing w:val="-5"/>
                <w:sz w:val="14"/>
              </w:rPr>
              <w:t xml:space="preserve"> </w:t>
            </w:r>
            <w:r>
              <w:rPr>
                <w:color w:val="231F20"/>
                <w:sz w:val="14"/>
              </w:rPr>
              <w:t>ученика.</w:t>
            </w:r>
          </w:p>
          <w:p w:rsidR="00041039" w:rsidRDefault="001B26CB">
            <w:pPr>
              <w:pStyle w:val="TableParagraph"/>
              <w:numPr>
                <w:ilvl w:val="0"/>
                <w:numId w:val="1288"/>
              </w:numPr>
              <w:tabs>
                <w:tab w:val="left" w:pos="142"/>
              </w:tabs>
              <w:spacing w:line="158" w:lineRule="exact"/>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60" w:lineRule="exact"/>
              <w:ind w:left="57"/>
              <w:rPr>
                <w:b/>
                <w:sz w:val="14"/>
              </w:rPr>
            </w:pPr>
            <w:r>
              <w:rPr>
                <w:b/>
                <w:color w:val="231F20"/>
                <w:sz w:val="14"/>
              </w:rPr>
              <w:t>За ученике и ученице:</w:t>
            </w:r>
          </w:p>
          <w:p w:rsidR="00041039" w:rsidRDefault="001B26CB">
            <w:pPr>
              <w:pStyle w:val="TableParagraph"/>
              <w:numPr>
                <w:ilvl w:val="0"/>
                <w:numId w:val="1287"/>
              </w:numPr>
              <w:tabs>
                <w:tab w:val="left" w:pos="163"/>
              </w:tabs>
              <w:ind w:right="42"/>
              <w:rPr>
                <w:sz w:val="14"/>
              </w:rPr>
            </w:pPr>
            <w:r>
              <w:rPr>
                <w:color w:val="231F20"/>
                <w:sz w:val="14"/>
              </w:rPr>
              <w:t>из</w:t>
            </w:r>
            <w:r>
              <w:rPr>
                <w:color w:val="231F20"/>
                <w:spacing w:val="-6"/>
                <w:sz w:val="14"/>
              </w:rPr>
              <w:t xml:space="preserve"> </w:t>
            </w:r>
            <w:r>
              <w:rPr>
                <w:color w:val="231F20"/>
                <w:sz w:val="14"/>
              </w:rPr>
              <w:t>упора</w:t>
            </w:r>
            <w:r>
              <w:rPr>
                <w:color w:val="231F20"/>
                <w:spacing w:val="-6"/>
                <w:sz w:val="14"/>
              </w:rPr>
              <w:t xml:space="preserve"> </w:t>
            </w:r>
            <w:r>
              <w:rPr>
                <w:color w:val="231F20"/>
                <w:sz w:val="14"/>
              </w:rPr>
              <w:t>за</w:t>
            </w:r>
            <w:r>
              <w:rPr>
                <w:color w:val="231F20"/>
                <w:spacing w:val="-6"/>
                <w:sz w:val="14"/>
              </w:rPr>
              <w:t xml:space="preserve"> </w:t>
            </w:r>
            <w:r>
              <w:rPr>
                <w:color w:val="231F20"/>
                <w:sz w:val="14"/>
              </w:rPr>
              <w:t>рукама,</w:t>
            </w:r>
            <w:r>
              <w:rPr>
                <w:color w:val="231F20"/>
                <w:spacing w:val="-6"/>
                <w:sz w:val="14"/>
              </w:rPr>
              <w:t xml:space="preserve"> </w:t>
            </w:r>
            <w:r>
              <w:rPr>
                <w:color w:val="231F20"/>
                <w:sz w:val="14"/>
              </w:rPr>
              <w:t>згибом,</w:t>
            </w:r>
            <w:r>
              <w:rPr>
                <w:color w:val="231F20"/>
                <w:spacing w:val="-6"/>
                <w:sz w:val="14"/>
              </w:rPr>
              <w:t xml:space="preserve"> </w:t>
            </w:r>
            <w:r>
              <w:rPr>
                <w:color w:val="231F20"/>
                <w:sz w:val="14"/>
              </w:rPr>
              <w:t>премак</w:t>
            </w:r>
            <w:r>
              <w:rPr>
                <w:color w:val="231F20"/>
                <w:spacing w:val="-6"/>
                <w:sz w:val="14"/>
              </w:rPr>
              <w:t xml:space="preserve"> </w:t>
            </w:r>
            <w:r>
              <w:rPr>
                <w:color w:val="231F20"/>
                <w:sz w:val="14"/>
              </w:rPr>
              <w:t>одбочно до упора пред рукама</w:t>
            </w:r>
            <w:r>
              <w:rPr>
                <w:color w:val="231F20"/>
                <w:spacing w:val="-4"/>
                <w:sz w:val="14"/>
              </w:rPr>
              <w:t xml:space="preserve"> </w:t>
            </w:r>
            <w:r>
              <w:rPr>
                <w:color w:val="231F20"/>
                <w:sz w:val="14"/>
              </w:rPr>
              <w:t>(опружено),</w:t>
            </w:r>
          </w:p>
          <w:p w:rsidR="00041039" w:rsidRDefault="001B26CB">
            <w:pPr>
              <w:pStyle w:val="TableParagraph"/>
              <w:numPr>
                <w:ilvl w:val="0"/>
                <w:numId w:val="1287"/>
              </w:numPr>
              <w:tabs>
                <w:tab w:val="left" w:pos="163"/>
              </w:tabs>
              <w:ind w:right="114"/>
              <w:rPr>
                <w:sz w:val="14"/>
              </w:rPr>
            </w:pPr>
            <w:r>
              <w:rPr>
                <w:color w:val="231F20"/>
                <w:sz w:val="14"/>
              </w:rPr>
              <w:t xml:space="preserve">комбинација вежби која садржи (вежбе се </w:t>
            </w:r>
            <w:r>
              <w:rPr>
                <w:color w:val="231F20"/>
                <w:spacing w:val="-3"/>
                <w:sz w:val="14"/>
              </w:rPr>
              <w:t xml:space="preserve">бирају, </w:t>
            </w:r>
            <w:r>
              <w:rPr>
                <w:color w:val="231F20"/>
                <w:sz w:val="14"/>
              </w:rPr>
              <w:t xml:space="preserve">одузимају или додају у складу са могућностима ученика): плесне кораке; скок са окретом за 180º: окрет на две или једној нози; премет странце; </w:t>
            </w:r>
            <w:r>
              <w:rPr>
                <w:color w:val="231F20"/>
                <w:spacing w:val="-3"/>
                <w:sz w:val="14"/>
              </w:rPr>
              <w:t xml:space="preserve">колут </w:t>
            </w:r>
            <w:r>
              <w:rPr>
                <w:color w:val="231F20"/>
                <w:sz w:val="14"/>
              </w:rPr>
              <w:t xml:space="preserve">напред суножним одразом и малим летом; вагу претклоном и заножењем; став на шакама </w:t>
            </w:r>
            <w:r>
              <w:rPr>
                <w:color w:val="231F20"/>
                <w:spacing w:val="-3"/>
                <w:sz w:val="14"/>
              </w:rPr>
              <w:t xml:space="preserve">колут </w:t>
            </w:r>
            <w:r>
              <w:rPr>
                <w:color w:val="231F20"/>
                <w:sz w:val="14"/>
              </w:rPr>
              <w:t>напред и сп. скок с</w:t>
            </w:r>
            <w:r>
              <w:rPr>
                <w:color w:val="231F20"/>
                <w:sz w:val="14"/>
              </w:rPr>
              <w:t>а окретом</w:t>
            </w:r>
            <w:r>
              <w:rPr>
                <w:color w:val="231F20"/>
                <w:spacing w:val="-15"/>
                <w:sz w:val="14"/>
              </w:rPr>
              <w:t xml:space="preserve"> </w:t>
            </w:r>
            <w:r>
              <w:rPr>
                <w:color w:val="231F20"/>
                <w:sz w:val="14"/>
              </w:rPr>
              <w:t>(произ­ вољан број</w:t>
            </w:r>
            <w:r>
              <w:rPr>
                <w:color w:val="231F20"/>
                <w:spacing w:val="-1"/>
                <w:sz w:val="14"/>
              </w:rPr>
              <w:t xml:space="preserve"> </w:t>
            </w:r>
            <w:r>
              <w:rPr>
                <w:color w:val="231F20"/>
                <w:sz w:val="14"/>
              </w:rPr>
              <w:t>степени);</w:t>
            </w:r>
          </w:p>
          <w:p w:rsidR="00041039" w:rsidRDefault="001B26CB">
            <w:pPr>
              <w:pStyle w:val="TableParagraph"/>
              <w:numPr>
                <w:ilvl w:val="0"/>
                <w:numId w:val="1287"/>
              </w:numPr>
              <w:tabs>
                <w:tab w:val="left" w:pos="163"/>
              </w:tabs>
              <w:spacing w:line="237" w:lineRule="auto"/>
              <w:ind w:right="72"/>
              <w:rPr>
                <w:sz w:val="14"/>
              </w:rPr>
            </w:pPr>
            <w:r>
              <w:rPr>
                <w:color w:val="231F20"/>
                <w:sz w:val="14"/>
              </w:rPr>
              <w:t xml:space="preserve">за </w:t>
            </w:r>
            <w:r>
              <w:rPr>
                <w:b/>
                <w:color w:val="231F20"/>
                <w:sz w:val="14"/>
              </w:rPr>
              <w:t xml:space="preserve">напредни ниво </w:t>
            </w:r>
            <w:r>
              <w:rPr>
                <w:color w:val="231F20"/>
                <w:spacing w:val="-3"/>
                <w:sz w:val="14"/>
              </w:rPr>
              <w:t xml:space="preserve">колут </w:t>
            </w:r>
            <w:r>
              <w:rPr>
                <w:color w:val="231F20"/>
                <w:sz w:val="14"/>
              </w:rPr>
              <w:t>летећи и</w:t>
            </w:r>
            <w:r>
              <w:rPr>
                <w:color w:val="231F20"/>
                <w:spacing w:val="-22"/>
                <w:sz w:val="14"/>
              </w:rPr>
              <w:t xml:space="preserve"> </w:t>
            </w:r>
            <w:r>
              <w:rPr>
                <w:color w:val="231F20"/>
                <w:sz w:val="14"/>
              </w:rPr>
              <w:t>прекопит напред, уз</w:t>
            </w:r>
            <w:r>
              <w:rPr>
                <w:color w:val="231F20"/>
                <w:spacing w:val="-1"/>
                <w:sz w:val="14"/>
              </w:rPr>
              <w:t xml:space="preserve"> </w:t>
            </w:r>
            <w:r>
              <w:rPr>
                <w:color w:val="231F20"/>
                <w:sz w:val="14"/>
              </w:rPr>
              <w:t>помоћ.</w:t>
            </w:r>
          </w:p>
          <w:p w:rsidR="00041039" w:rsidRDefault="001B26CB">
            <w:pPr>
              <w:pStyle w:val="TableParagraph"/>
              <w:numPr>
                <w:ilvl w:val="0"/>
                <w:numId w:val="1286"/>
              </w:numPr>
              <w:tabs>
                <w:tab w:val="left" w:pos="142"/>
              </w:tabs>
              <w:spacing w:line="160" w:lineRule="exact"/>
              <w:rPr>
                <w:b/>
                <w:sz w:val="14"/>
              </w:rPr>
            </w:pPr>
            <w:r>
              <w:rPr>
                <w:b/>
                <w:color w:val="231F20"/>
                <w:sz w:val="14"/>
              </w:rPr>
              <w:t>Прескок</w:t>
            </w:r>
          </w:p>
          <w:p w:rsidR="00041039" w:rsidRDefault="001B26CB">
            <w:pPr>
              <w:pStyle w:val="TableParagraph"/>
              <w:spacing w:line="157" w:lineRule="exact"/>
              <w:ind w:left="57"/>
              <w:rPr>
                <w:sz w:val="14"/>
              </w:rPr>
            </w:pPr>
            <w:r>
              <w:rPr>
                <w:b/>
                <w:color w:val="231F20"/>
                <w:sz w:val="14"/>
              </w:rPr>
              <w:t xml:space="preserve">За ученике </w:t>
            </w:r>
            <w:r>
              <w:rPr>
                <w:color w:val="231F20"/>
                <w:sz w:val="14"/>
              </w:rPr>
              <w:t>коњ у ширину висине 120 цм;</w:t>
            </w:r>
          </w:p>
          <w:p w:rsidR="00041039" w:rsidRDefault="001B26CB">
            <w:pPr>
              <w:pStyle w:val="TableParagraph"/>
              <w:spacing w:line="157" w:lineRule="exact"/>
              <w:ind w:left="57"/>
              <w:rPr>
                <w:sz w:val="14"/>
              </w:rPr>
            </w:pPr>
            <w:r>
              <w:rPr>
                <w:b/>
                <w:color w:val="231F20"/>
                <w:sz w:val="14"/>
              </w:rPr>
              <w:t xml:space="preserve">за ученице </w:t>
            </w:r>
            <w:r>
              <w:rPr>
                <w:color w:val="231F20"/>
                <w:sz w:val="14"/>
              </w:rPr>
              <w:t>110 цм:</w:t>
            </w:r>
          </w:p>
          <w:p w:rsidR="00041039" w:rsidRDefault="001B26CB">
            <w:pPr>
              <w:pStyle w:val="TableParagraph"/>
              <w:numPr>
                <w:ilvl w:val="0"/>
                <w:numId w:val="1285"/>
              </w:numPr>
              <w:tabs>
                <w:tab w:val="left" w:pos="163"/>
              </w:tabs>
              <w:spacing w:line="160" w:lineRule="exact"/>
              <w:rPr>
                <w:sz w:val="14"/>
              </w:rPr>
            </w:pPr>
            <w:r>
              <w:rPr>
                <w:color w:val="231F20"/>
                <w:sz w:val="14"/>
              </w:rPr>
              <w:t>згрчка;</w:t>
            </w:r>
          </w:p>
          <w:p w:rsidR="00041039" w:rsidRDefault="001B26CB">
            <w:pPr>
              <w:pStyle w:val="TableParagraph"/>
              <w:numPr>
                <w:ilvl w:val="0"/>
                <w:numId w:val="1285"/>
              </w:numPr>
              <w:tabs>
                <w:tab w:val="left" w:pos="163"/>
              </w:tabs>
              <w:spacing w:line="161" w:lineRule="exact"/>
              <w:rPr>
                <w:sz w:val="14"/>
              </w:rPr>
            </w:pPr>
            <w:r>
              <w:rPr>
                <w:color w:val="231F20"/>
                <w:sz w:val="14"/>
              </w:rPr>
              <w:t>разношка;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160"/>
        </w:trPr>
        <w:tc>
          <w:tcPr>
            <w:tcW w:w="130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9"/>
              <w:ind w:left="0"/>
              <w:rPr>
                <w:b/>
                <w:sz w:val="21"/>
              </w:rPr>
            </w:pPr>
          </w:p>
          <w:p w:rsidR="00041039" w:rsidRDefault="001B26CB">
            <w:pPr>
              <w:pStyle w:val="TableParagraph"/>
              <w:ind w:left="56" w:right="130"/>
              <w:rPr>
                <w:sz w:val="14"/>
              </w:rPr>
            </w:pPr>
            <w:r>
              <w:rPr>
                <w:color w:val="231F20"/>
                <w:sz w:val="14"/>
              </w:rPr>
              <w:t>Спортска игра (по избору)</w:t>
            </w:r>
          </w:p>
          <w:p w:rsidR="00041039" w:rsidRDefault="00041039">
            <w:pPr>
              <w:pStyle w:val="TableParagraph"/>
              <w:spacing w:before="9"/>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tcPr>
          <w:p w:rsidR="00041039" w:rsidRDefault="00041039">
            <w:pPr>
              <w:pStyle w:val="TableParagraph"/>
              <w:ind w:left="0"/>
              <w:rPr>
                <w:sz w:val="14"/>
              </w:rPr>
            </w:pPr>
          </w:p>
        </w:tc>
        <w:tc>
          <w:tcPr>
            <w:tcW w:w="2551" w:type="dxa"/>
          </w:tcPr>
          <w:p w:rsidR="00041039" w:rsidRDefault="001B26CB">
            <w:pPr>
              <w:pStyle w:val="TableParagraph"/>
              <w:numPr>
                <w:ilvl w:val="0"/>
                <w:numId w:val="1284"/>
              </w:numPr>
              <w:tabs>
                <w:tab w:val="left" w:pos="157"/>
              </w:tabs>
              <w:spacing w:before="8"/>
              <w:ind w:right="332"/>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Pr>
          <w:p w:rsidR="00041039" w:rsidRDefault="001B26CB">
            <w:pPr>
              <w:pStyle w:val="TableParagraph"/>
              <w:spacing w:before="18"/>
              <w:ind w:left="162" w:hanging="105"/>
              <w:rPr>
                <w:sz w:val="14"/>
              </w:rPr>
            </w:pPr>
            <w:r>
              <w:rPr>
                <w:b/>
                <w:color w:val="231F20"/>
                <w:sz w:val="14"/>
              </w:rPr>
              <w:t>– занапредни ниво</w:t>
            </w:r>
            <w:r>
              <w:rPr>
                <w:color w:val="231F20"/>
                <w:sz w:val="14"/>
              </w:rPr>
              <w:t>: склонка и прескоци са заножењем и „прекопит”.</w:t>
            </w:r>
          </w:p>
          <w:p w:rsidR="00041039" w:rsidRDefault="001B26CB">
            <w:pPr>
              <w:pStyle w:val="TableParagraph"/>
              <w:numPr>
                <w:ilvl w:val="0"/>
                <w:numId w:val="1283"/>
              </w:numPr>
              <w:tabs>
                <w:tab w:val="left" w:pos="142"/>
              </w:tabs>
              <w:spacing w:line="159" w:lineRule="exact"/>
              <w:rPr>
                <w:b/>
                <w:sz w:val="14"/>
              </w:rPr>
            </w:pPr>
            <w:r>
              <w:rPr>
                <w:b/>
                <w:color w:val="231F20"/>
                <w:sz w:val="14"/>
              </w:rPr>
              <w:t>Кругови</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доскочни кругови /:</w:t>
            </w:r>
          </w:p>
          <w:p w:rsidR="00041039" w:rsidRDefault="001B26CB">
            <w:pPr>
              <w:pStyle w:val="TableParagraph"/>
              <w:ind w:left="162" w:hanging="105"/>
              <w:rPr>
                <w:sz w:val="14"/>
              </w:rPr>
            </w:pPr>
            <w:r>
              <w:rPr>
                <w:color w:val="231F20"/>
                <w:sz w:val="14"/>
              </w:rPr>
              <w:t>– вучењем вис узнето; вис стрмоглаво; вис узнето; спуст у вис стражњи ­ издржај; вучењем вис узнето; спусту вис предњи (полако); саскок.</w:t>
            </w:r>
          </w:p>
          <w:p w:rsidR="00041039" w:rsidRDefault="001B26CB">
            <w:pPr>
              <w:pStyle w:val="TableParagraph"/>
              <w:numPr>
                <w:ilvl w:val="0"/>
                <w:numId w:val="1282"/>
              </w:numPr>
              <w:tabs>
                <w:tab w:val="left" w:pos="142"/>
              </w:tabs>
              <w:spacing w:line="157" w:lineRule="exact"/>
              <w:rPr>
                <w:b/>
                <w:sz w:val="14"/>
              </w:rPr>
            </w:pPr>
            <w:r>
              <w:rPr>
                <w:b/>
                <w:color w:val="231F20"/>
                <w:sz w:val="14"/>
              </w:rPr>
              <w:t>Разбој</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паралелни разбој /:</w:t>
            </w:r>
          </w:p>
          <w:p w:rsidR="00041039" w:rsidRDefault="001B26CB">
            <w:pPr>
              <w:pStyle w:val="TableParagraph"/>
              <w:numPr>
                <w:ilvl w:val="0"/>
                <w:numId w:val="1281"/>
              </w:numPr>
              <w:tabs>
                <w:tab w:val="left" w:pos="163"/>
              </w:tabs>
              <w:ind w:right="42"/>
              <w:rPr>
                <w:sz w:val="14"/>
              </w:rPr>
            </w:pPr>
            <w:r>
              <w:rPr>
                <w:color w:val="231F20"/>
                <w:sz w:val="14"/>
              </w:rPr>
              <w:t>из замаха у упору предњихом спуст у склек, зањих у склеку</w:t>
            </w:r>
            <w:r>
              <w:rPr>
                <w:color w:val="231F20"/>
                <w:sz w:val="14"/>
              </w:rPr>
              <w:t xml:space="preserve"> и спојено упор (у зањиху);</w:t>
            </w:r>
            <w:r>
              <w:rPr>
                <w:color w:val="231F20"/>
                <w:spacing w:val="-6"/>
                <w:sz w:val="14"/>
              </w:rPr>
              <w:t xml:space="preserve"> </w:t>
            </w:r>
            <w:r>
              <w:rPr>
                <w:color w:val="231F20"/>
                <w:sz w:val="14"/>
              </w:rPr>
              <w:t>предњих</w:t>
            </w:r>
            <w:r>
              <w:rPr>
                <w:color w:val="231F20"/>
                <w:spacing w:val="-6"/>
                <w:sz w:val="14"/>
              </w:rPr>
              <w:t xml:space="preserve"> </w:t>
            </w:r>
            <w:r>
              <w:rPr>
                <w:color w:val="231F20"/>
                <w:sz w:val="14"/>
              </w:rPr>
              <w:t>и</w:t>
            </w:r>
            <w:r>
              <w:rPr>
                <w:color w:val="231F20"/>
                <w:spacing w:val="-6"/>
                <w:sz w:val="14"/>
              </w:rPr>
              <w:t xml:space="preserve"> </w:t>
            </w:r>
            <w:r>
              <w:rPr>
                <w:color w:val="231F20"/>
                <w:sz w:val="14"/>
              </w:rPr>
              <w:t>спојено</w:t>
            </w:r>
            <w:r>
              <w:rPr>
                <w:color w:val="231F20"/>
                <w:spacing w:val="-6"/>
                <w:sz w:val="14"/>
              </w:rPr>
              <w:t xml:space="preserve"> </w:t>
            </w:r>
            <w:r>
              <w:rPr>
                <w:color w:val="231F20"/>
                <w:sz w:val="14"/>
              </w:rPr>
              <w:t>склек,</w:t>
            </w:r>
            <w:r>
              <w:rPr>
                <w:color w:val="231F20"/>
                <w:spacing w:val="-6"/>
                <w:sz w:val="14"/>
              </w:rPr>
              <w:t xml:space="preserve"> </w:t>
            </w:r>
            <w:r>
              <w:rPr>
                <w:color w:val="231F20"/>
                <w:sz w:val="14"/>
              </w:rPr>
              <w:t>зањихом упор (поновити 2 до 3</w:t>
            </w:r>
            <w:r>
              <w:rPr>
                <w:color w:val="231F20"/>
                <w:spacing w:val="-2"/>
                <w:sz w:val="14"/>
              </w:rPr>
              <w:t xml:space="preserve"> </w:t>
            </w:r>
            <w:r>
              <w:rPr>
                <w:color w:val="231F20"/>
                <w:sz w:val="14"/>
              </w:rPr>
              <w:t>пута).</w:t>
            </w:r>
          </w:p>
          <w:p w:rsidR="00041039" w:rsidRDefault="001B26CB">
            <w:pPr>
              <w:pStyle w:val="TableParagraph"/>
              <w:spacing w:line="237" w:lineRule="auto"/>
              <w:ind w:left="57"/>
              <w:rPr>
                <w:sz w:val="14"/>
              </w:rPr>
            </w:pPr>
            <w:r>
              <w:rPr>
                <w:b/>
                <w:color w:val="231F20"/>
                <w:sz w:val="14"/>
              </w:rPr>
              <w:t xml:space="preserve">За ученице </w:t>
            </w:r>
            <w:r>
              <w:rPr>
                <w:color w:val="231F20"/>
                <w:sz w:val="14"/>
              </w:rPr>
              <w:t>/ двовисински разбој, једна притка, вратило /:</w:t>
            </w:r>
          </w:p>
          <w:p w:rsidR="00041039" w:rsidRDefault="001B26CB">
            <w:pPr>
              <w:pStyle w:val="TableParagraph"/>
              <w:numPr>
                <w:ilvl w:val="0"/>
                <w:numId w:val="1281"/>
              </w:numPr>
              <w:tabs>
                <w:tab w:val="left" w:pos="163"/>
              </w:tabs>
              <w:ind w:right="66"/>
              <w:rPr>
                <w:sz w:val="14"/>
              </w:rPr>
            </w:pPr>
            <w:r>
              <w:rPr>
                <w:color w:val="231F20"/>
                <w:sz w:val="14"/>
              </w:rPr>
              <w:t xml:space="preserve">лицем према н / п, залетом и суножним </w:t>
            </w:r>
            <w:r>
              <w:rPr>
                <w:color w:val="231F20"/>
                <w:spacing w:val="-3"/>
                <w:sz w:val="14"/>
              </w:rPr>
              <w:t xml:space="preserve">одскоком </w:t>
            </w:r>
            <w:r>
              <w:rPr>
                <w:color w:val="231F20"/>
                <w:sz w:val="14"/>
              </w:rPr>
              <w:t>наскок упор предњи; премах одножно десном (левом) у упора јашући; прехват</w:t>
            </w:r>
            <w:r>
              <w:rPr>
                <w:color w:val="231F20"/>
                <w:spacing w:val="-5"/>
                <w:sz w:val="14"/>
              </w:rPr>
              <w:t xml:space="preserve"> </w:t>
            </w:r>
            <w:r>
              <w:rPr>
                <w:color w:val="231F20"/>
                <w:sz w:val="14"/>
              </w:rPr>
              <w:t>на</w:t>
            </w:r>
            <w:r>
              <w:rPr>
                <w:color w:val="231F20"/>
                <w:spacing w:val="-6"/>
                <w:sz w:val="14"/>
              </w:rPr>
              <w:t xml:space="preserve"> </w:t>
            </w:r>
            <w:r>
              <w:rPr>
                <w:color w:val="231F20"/>
                <w:sz w:val="14"/>
              </w:rPr>
              <w:t>в</w:t>
            </w:r>
            <w:r>
              <w:rPr>
                <w:color w:val="231F20"/>
                <w:spacing w:val="-6"/>
                <w:sz w:val="14"/>
              </w:rPr>
              <w:t xml:space="preserve"> </w:t>
            </w:r>
            <w:r>
              <w:rPr>
                <w:color w:val="231F20"/>
                <w:sz w:val="14"/>
              </w:rPr>
              <w:t>/</w:t>
            </w:r>
            <w:r>
              <w:rPr>
                <w:color w:val="231F20"/>
                <w:spacing w:val="-5"/>
                <w:sz w:val="14"/>
              </w:rPr>
              <w:t xml:space="preserve"> </w:t>
            </w:r>
            <w:r>
              <w:rPr>
                <w:color w:val="231F20"/>
                <w:sz w:val="14"/>
              </w:rPr>
              <w:t>п;</w:t>
            </w:r>
            <w:r>
              <w:rPr>
                <w:color w:val="231F20"/>
                <w:spacing w:val="-6"/>
                <w:sz w:val="14"/>
              </w:rPr>
              <w:t xml:space="preserve"> </w:t>
            </w:r>
            <w:r>
              <w:rPr>
                <w:color w:val="231F20"/>
                <w:sz w:val="14"/>
              </w:rPr>
              <w:t>премах</w:t>
            </w:r>
            <w:r>
              <w:rPr>
                <w:color w:val="231F20"/>
                <w:spacing w:val="-5"/>
                <w:sz w:val="14"/>
              </w:rPr>
              <w:t xml:space="preserve"> </w:t>
            </w:r>
            <w:r>
              <w:rPr>
                <w:color w:val="231F20"/>
                <w:sz w:val="14"/>
              </w:rPr>
              <w:t>одножно</w:t>
            </w:r>
            <w:r>
              <w:rPr>
                <w:color w:val="231F20"/>
                <w:spacing w:val="-5"/>
                <w:sz w:val="14"/>
              </w:rPr>
              <w:t xml:space="preserve"> </w:t>
            </w:r>
            <w:r>
              <w:rPr>
                <w:color w:val="231F20"/>
                <w:sz w:val="14"/>
              </w:rPr>
              <w:t xml:space="preserve">заножном до виса </w:t>
            </w:r>
            <w:r>
              <w:rPr>
                <w:color w:val="231F20"/>
                <w:spacing w:val="-3"/>
                <w:sz w:val="14"/>
              </w:rPr>
              <w:t xml:space="preserve">седећег, </w:t>
            </w:r>
            <w:r>
              <w:rPr>
                <w:color w:val="231F20"/>
                <w:sz w:val="14"/>
              </w:rPr>
              <w:t xml:space="preserve">подметним опружањем или одривом </w:t>
            </w:r>
            <w:r>
              <w:rPr>
                <w:color w:val="231F20"/>
                <w:spacing w:val="-3"/>
                <w:sz w:val="14"/>
              </w:rPr>
              <w:t xml:space="preserve">од </w:t>
            </w:r>
            <w:r>
              <w:rPr>
                <w:color w:val="231F20"/>
                <w:sz w:val="14"/>
              </w:rPr>
              <w:t xml:space="preserve">н / п предњих и спојено саскок у предњиху (уз помоћ) до става на </w:t>
            </w:r>
            <w:r>
              <w:rPr>
                <w:color w:val="231F20"/>
                <w:spacing w:val="-5"/>
                <w:sz w:val="14"/>
              </w:rPr>
              <w:t xml:space="preserve">тлу, </w:t>
            </w:r>
            <w:r>
              <w:rPr>
                <w:color w:val="231F20"/>
                <w:sz w:val="14"/>
              </w:rPr>
              <w:t>леђима према в /</w:t>
            </w:r>
            <w:r>
              <w:rPr>
                <w:color w:val="231F20"/>
                <w:spacing w:val="1"/>
                <w:sz w:val="14"/>
              </w:rPr>
              <w:t xml:space="preserve"> </w:t>
            </w:r>
            <w:r>
              <w:rPr>
                <w:color w:val="231F20"/>
                <w:sz w:val="14"/>
              </w:rPr>
              <w:t>п;</w:t>
            </w:r>
          </w:p>
          <w:p w:rsidR="00041039" w:rsidRDefault="001B26CB">
            <w:pPr>
              <w:pStyle w:val="TableParagraph"/>
              <w:numPr>
                <w:ilvl w:val="0"/>
                <w:numId w:val="1281"/>
              </w:numPr>
              <w:tabs>
                <w:tab w:val="left" w:pos="163"/>
              </w:tabs>
              <w:spacing w:line="237" w:lineRule="auto"/>
              <w:ind w:right="146"/>
              <w:rPr>
                <w:sz w:val="14"/>
              </w:rPr>
            </w:pPr>
            <w:r>
              <w:rPr>
                <w:color w:val="231F20"/>
                <w:sz w:val="14"/>
              </w:rPr>
              <w:t xml:space="preserve">једна </w:t>
            </w:r>
            <w:r>
              <w:rPr>
                <w:color w:val="231F20"/>
                <w:sz w:val="14"/>
              </w:rPr>
              <w:t xml:space="preserve">притка: залетом и суножним </w:t>
            </w:r>
            <w:r>
              <w:rPr>
                <w:color w:val="231F20"/>
                <w:spacing w:val="-3"/>
                <w:sz w:val="14"/>
              </w:rPr>
              <w:t xml:space="preserve">одско­ </w:t>
            </w:r>
            <w:r>
              <w:rPr>
                <w:color w:val="231F20"/>
                <w:spacing w:val="-4"/>
                <w:sz w:val="14"/>
              </w:rPr>
              <w:t xml:space="preserve">ком </w:t>
            </w:r>
            <w:r>
              <w:rPr>
                <w:color w:val="231F20"/>
                <w:sz w:val="14"/>
              </w:rPr>
              <w:t>наскок упор предњи: премах</w:t>
            </w:r>
            <w:r>
              <w:rPr>
                <w:color w:val="231F20"/>
                <w:spacing w:val="-21"/>
                <w:sz w:val="14"/>
              </w:rPr>
              <w:t xml:space="preserve"> </w:t>
            </w:r>
            <w:r>
              <w:rPr>
                <w:color w:val="231F20"/>
                <w:sz w:val="14"/>
              </w:rPr>
              <w:t>одножно десном (левом) до упора јашућег, премах одножно заножном до упора стражњег; сасед са окретом за</w:t>
            </w:r>
            <w:r>
              <w:rPr>
                <w:color w:val="231F20"/>
                <w:spacing w:val="-2"/>
                <w:sz w:val="14"/>
              </w:rPr>
              <w:t xml:space="preserve"> </w:t>
            </w:r>
            <w:r>
              <w:rPr>
                <w:color w:val="231F20"/>
                <w:sz w:val="14"/>
              </w:rPr>
              <w:t>90°.</w:t>
            </w:r>
          </w:p>
          <w:p w:rsidR="00041039" w:rsidRDefault="001B26CB">
            <w:pPr>
              <w:pStyle w:val="TableParagraph"/>
              <w:numPr>
                <w:ilvl w:val="0"/>
                <w:numId w:val="1280"/>
              </w:numPr>
              <w:tabs>
                <w:tab w:val="left" w:pos="142"/>
              </w:tabs>
              <w:spacing w:line="161" w:lineRule="exact"/>
              <w:rPr>
                <w:b/>
                <w:sz w:val="14"/>
              </w:rPr>
            </w:pPr>
            <w:r>
              <w:rPr>
                <w:b/>
                <w:color w:val="231F20"/>
                <w:sz w:val="14"/>
              </w:rPr>
              <w:t>Вратило</w:t>
            </w:r>
          </w:p>
          <w:p w:rsidR="00041039" w:rsidRDefault="001B26CB">
            <w:pPr>
              <w:pStyle w:val="TableParagraph"/>
              <w:ind w:left="57" w:right="16"/>
              <w:rPr>
                <w:sz w:val="14"/>
              </w:rPr>
            </w:pPr>
            <w:r>
              <w:rPr>
                <w:b/>
                <w:color w:val="231F20"/>
                <w:sz w:val="14"/>
              </w:rPr>
              <w:t xml:space="preserve">За ученике </w:t>
            </w:r>
            <w:r>
              <w:rPr>
                <w:color w:val="231F20"/>
                <w:sz w:val="14"/>
              </w:rPr>
              <w:t>/ доскочно и дохватно или дочел­ но вратило /:</w:t>
            </w:r>
          </w:p>
          <w:p w:rsidR="00041039" w:rsidRDefault="001B26CB">
            <w:pPr>
              <w:pStyle w:val="TableParagraph"/>
              <w:numPr>
                <w:ilvl w:val="0"/>
                <w:numId w:val="1279"/>
              </w:numPr>
              <w:tabs>
                <w:tab w:val="left" w:pos="163"/>
              </w:tabs>
              <w:ind w:right="61"/>
              <w:rPr>
                <w:sz w:val="14"/>
              </w:rPr>
            </w:pPr>
            <w:r>
              <w:rPr>
                <w:color w:val="231F20"/>
                <w:sz w:val="14"/>
              </w:rPr>
              <w:t>/ доскочно /: подметно успостављање њиха; њихање са повећавањем амплитуде</w:t>
            </w:r>
            <w:r>
              <w:rPr>
                <w:color w:val="231F20"/>
                <w:spacing w:val="-22"/>
                <w:sz w:val="14"/>
              </w:rPr>
              <w:t xml:space="preserve"> </w:t>
            </w:r>
            <w:r>
              <w:rPr>
                <w:color w:val="231F20"/>
                <w:sz w:val="14"/>
              </w:rPr>
              <w:t>и саскок у предњиху или зањиху уз</w:t>
            </w:r>
            <w:r>
              <w:rPr>
                <w:color w:val="231F20"/>
                <w:spacing w:val="-19"/>
                <w:sz w:val="14"/>
              </w:rPr>
              <w:t xml:space="preserve"> </w:t>
            </w:r>
            <w:r>
              <w:rPr>
                <w:color w:val="231F20"/>
                <w:sz w:val="14"/>
              </w:rPr>
              <w:t>помоћ;</w:t>
            </w:r>
          </w:p>
          <w:p w:rsidR="00041039" w:rsidRDefault="001B26CB">
            <w:pPr>
              <w:pStyle w:val="TableParagraph"/>
              <w:numPr>
                <w:ilvl w:val="0"/>
                <w:numId w:val="1279"/>
              </w:numPr>
              <w:tabs>
                <w:tab w:val="left" w:pos="163"/>
              </w:tabs>
              <w:spacing w:line="237" w:lineRule="auto"/>
              <w:ind w:right="236"/>
              <w:rPr>
                <w:sz w:val="14"/>
              </w:rPr>
            </w:pPr>
            <w:r>
              <w:rPr>
                <w:color w:val="231F20"/>
                <w:sz w:val="14"/>
              </w:rPr>
              <w:t>/</w:t>
            </w:r>
            <w:r>
              <w:rPr>
                <w:color w:val="231F20"/>
                <w:spacing w:val="-6"/>
                <w:sz w:val="14"/>
              </w:rPr>
              <w:t xml:space="preserve"> </w:t>
            </w:r>
            <w:r>
              <w:rPr>
                <w:color w:val="231F20"/>
                <w:sz w:val="14"/>
              </w:rPr>
              <w:t>дохватно</w:t>
            </w:r>
            <w:r>
              <w:rPr>
                <w:color w:val="231F20"/>
                <w:spacing w:val="-6"/>
                <w:sz w:val="14"/>
              </w:rPr>
              <w:t xml:space="preserve"> </w:t>
            </w:r>
            <w:r>
              <w:rPr>
                <w:color w:val="231F20"/>
                <w:sz w:val="14"/>
              </w:rPr>
              <w:t>или</w:t>
            </w:r>
            <w:r>
              <w:rPr>
                <w:color w:val="231F20"/>
                <w:spacing w:val="-7"/>
                <w:sz w:val="14"/>
              </w:rPr>
              <w:t xml:space="preserve"> </w:t>
            </w:r>
            <w:r>
              <w:rPr>
                <w:color w:val="231F20"/>
                <w:sz w:val="14"/>
              </w:rPr>
              <w:t>дочелно</w:t>
            </w:r>
            <w:r>
              <w:rPr>
                <w:color w:val="231F20"/>
                <w:spacing w:val="-6"/>
                <w:sz w:val="14"/>
              </w:rPr>
              <w:t xml:space="preserve"> </w:t>
            </w:r>
            <w:r>
              <w:rPr>
                <w:color w:val="231F20"/>
                <w:sz w:val="14"/>
              </w:rPr>
              <w:t>/:</w:t>
            </w:r>
            <w:r>
              <w:rPr>
                <w:color w:val="231F20"/>
                <w:spacing w:val="-6"/>
                <w:sz w:val="14"/>
              </w:rPr>
              <w:t xml:space="preserve"> </w:t>
            </w:r>
            <w:r>
              <w:rPr>
                <w:color w:val="231F20"/>
                <w:sz w:val="14"/>
              </w:rPr>
              <w:t>ковртљај</w:t>
            </w:r>
            <w:r>
              <w:rPr>
                <w:color w:val="231F20"/>
                <w:spacing w:val="-6"/>
                <w:sz w:val="14"/>
              </w:rPr>
              <w:t xml:space="preserve"> </w:t>
            </w:r>
            <w:r>
              <w:rPr>
                <w:color w:val="231F20"/>
                <w:sz w:val="14"/>
              </w:rPr>
              <w:t xml:space="preserve">назад у </w:t>
            </w:r>
            <w:r>
              <w:rPr>
                <w:color w:val="231F20"/>
                <w:spacing w:val="-3"/>
                <w:sz w:val="14"/>
              </w:rPr>
              <w:t>упору.</w:t>
            </w:r>
          </w:p>
          <w:p w:rsidR="00041039" w:rsidRDefault="001B26CB">
            <w:pPr>
              <w:pStyle w:val="TableParagraph"/>
              <w:numPr>
                <w:ilvl w:val="0"/>
                <w:numId w:val="1278"/>
              </w:numPr>
              <w:tabs>
                <w:tab w:val="left" w:pos="142"/>
              </w:tabs>
              <w:spacing w:line="160" w:lineRule="exact"/>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 висока греда/:</w:t>
            </w:r>
          </w:p>
          <w:p w:rsidR="00041039" w:rsidRDefault="001B26CB">
            <w:pPr>
              <w:pStyle w:val="TableParagraph"/>
              <w:ind w:left="162" w:right="141" w:hanging="105"/>
              <w:rPr>
                <w:sz w:val="14"/>
              </w:rPr>
            </w:pPr>
            <w:r>
              <w:rPr>
                <w:color w:val="231F20"/>
                <w:sz w:val="14"/>
              </w:rPr>
              <w:t>– залетом н суножним одскоком наскок у упор чучећи одножно; окрет за 90º до упора чучећег; усправ, одручити; кораци у успону до корацима; вага претклоном и заножењем, усклон; суножним одскоком скок са померањем; окрет за 90º у успону;</w:t>
            </w:r>
          </w:p>
          <w:p w:rsidR="00041039" w:rsidRDefault="001B26CB">
            <w:pPr>
              <w:pStyle w:val="TableParagraph"/>
              <w:spacing w:line="237" w:lineRule="auto"/>
              <w:ind w:left="162" w:right="7"/>
              <w:rPr>
                <w:sz w:val="14"/>
              </w:rPr>
            </w:pPr>
            <w:r>
              <w:rPr>
                <w:color w:val="231F20"/>
                <w:sz w:val="14"/>
              </w:rPr>
              <w:t>саскок пруженим телом</w:t>
            </w:r>
            <w:r>
              <w:rPr>
                <w:color w:val="231F20"/>
                <w:sz w:val="14"/>
              </w:rPr>
              <w:t xml:space="preserve"> или, за </w:t>
            </w:r>
            <w:r>
              <w:rPr>
                <w:b/>
                <w:color w:val="231F20"/>
                <w:sz w:val="14"/>
              </w:rPr>
              <w:t xml:space="preserve">напреднији ниво </w:t>
            </w:r>
            <w:r>
              <w:rPr>
                <w:color w:val="231F20"/>
                <w:sz w:val="14"/>
              </w:rPr>
              <w:t>­ са предножним разножењем.</w:t>
            </w:r>
          </w:p>
          <w:p w:rsidR="00041039" w:rsidRDefault="001B26CB">
            <w:pPr>
              <w:pStyle w:val="TableParagraph"/>
              <w:numPr>
                <w:ilvl w:val="0"/>
                <w:numId w:val="1277"/>
              </w:numPr>
              <w:tabs>
                <w:tab w:val="left" w:pos="142"/>
              </w:tabs>
              <w:ind w:right="1426" w:firstLine="0"/>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numPr>
                <w:ilvl w:val="0"/>
                <w:numId w:val="1276"/>
              </w:numPr>
              <w:tabs>
                <w:tab w:val="left" w:pos="163"/>
              </w:tabs>
              <w:ind w:right="191"/>
              <w:rPr>
                <w:sz w:val="14"/>
              </w:rPr>
            </w:pPr>
            <w:r>
              <w:rPr>
                <w:color w:val="231F20"/>
                <w:sz w:val="14"/>
              </w:rPr>
              <w:t xml:space="preserve">из упора предњег </w:t>
            </w:r>
            <w:r>
              <w:rPr>
                <w:color w:val="231F20"/>
                <w:spacing w:val="-3"/>
                <w:sz w:val="14"/>
              </w:rPr>
              <w:t xml:space="preserve">коло </w:t>
            </w:r>
            <w:r>
              <w:rPr>
                <w:color w:val="231F20"/>
                <w:sz w:val="14"/>
              </w:rPr>
              <w:t xml:space="preserve">предожно десном, </w:t>
            </w:r>
            <w:r>
              <w:rPr>
                <w:color w:val="231F20"/>
                <w:spacing w:val="-3"/>
                <w:sz w:val="14"/>
              </w:rPr>
              <w:t xml:space="preserve">коло </w:t>
            </w:r>
            <w:r>
              <w:rPr>
                <w:color w:val="231F20"/>
                <w:sz w:val="14"/>
              </w:rPr>
              <w:t>предножно</w:t>
            </w:r>
            <w:r>
              <w:rPr>
                <w:color w:val="231F20"/>
                <w:sz w:val="14"/>
              </w:rPr>
              <w:t xml:space="preserve"> </w:t>
            </w:r>
            <w:r>
              <w:rPr>
                <w:color w:val="231F20"/>
                <w:sz w:val="14"/>
              </w:rPr>
              <w:t>левом;</w:t>
            </w:r>
          </w:p>
          <w:p w:rsidR="00041039" w:rsidRDefault="001B26CB">
            <w:pPr>
              <w:pStyle w:val="TableParagraph"/>
              <w:numPr>
                <w:ilvl w:val="0"/>
                <w:numId w:val="1276"/>
              </w:numPr>
              <w:tabs>
                <w:tab w:val="left" w:pos="163"/>
              </w:tabs>
              <w:ind w:right="178"/>
              <w:rPr>
                <w:sz w:val="14"/>
              </w:rPr>
            </w:pPr>
            <w:r>
              <w:rPr>
                <w:color w:val="231F20"/>
                <w:sz w:val="14"/>
              </w:rPr>
              <w:t xml:space="preserve">из упора стражњег </w:t>
            </w:r>
            <w:r>
              <w:rPr>
                <w:color w:val="231F20"/>
                <w:spacing w:val="-3"/>
                <w:sz w:val="14"/>
              </w:rPr>
              <w:t xml:space="preserve">коло </w:t>
            </w:r>
            <w:r>
              <w:rPr>
                <w:color w:val="231F20"/>
                <w:sz w:val="14"/>
              </w:rPr>
              <w:t xml:space="preserve">одножно десном, </w:t>
            </w:r>
            <w:r>
              <w:rPr>
                <w:color w:val="231F20"/>
                <w:spacing w:val="-3"/>
                <w:sz w:val="14"/>
              </w:rPr>
              <w:t xml:space="preserve">коло </w:t>
            </w:r>
            <w:r>
              <w:rPr>
                <w:color w:val="231F20"/>
                <w:sz w:val="14"/>
              </w:rPr>
              <w:t>одножно</w:t>
            </w:r>
            <w:r>
              <w:rPr>
                <w:color w:val="231F20"/>
                <w:sz w:val="14"/>
              </w:rPr>
              <w:t xml:space="preserve"> </w:t>
            </w:r>
            <w:r>
              <w:rPr>
                <w:color w:val="231F20"/>
                <w:sz w:val="14"/>
              </w:rPr>
              <w:t>левом.</w:t>
            </w:r>
          </w:p>
          <w:p w:rsidR="00041039" w:rsidRDefault="001B26CB">
            <w:pPr>
              <w:pStyle w:val="TableParagraph"/>
              <w:ind w:left="57" w:right="62"/>
              <w:rPr>
                <w:sz w:val="14"/>
              </w:rPr>
            </w:pPr>
            <w:r>
              <w:rPr>
                <w:b/>
                <w:color w:val="231F20"/>
                <w:sz w:val="14"/>
              </w:rPr>
              <w:t>Школско такмичење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55"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ученике: </w:t>
            </w:r>
            <w:r>
              <w:rPr>
                <w:color w:val="231F20"/>
                <w:sz w:val="14"/>
              </w:rPr>
              <w:t>наставни садр</w:t>
            </w:r>
            <w:r>
              <w:rPr>
                <w:color w:val="231F20"/>
                <w:sz w:val="14"/>
              </w:rPr>
              <w:t xml:space="preserve">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pacing w:val="-4"/>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1B26CB">
            <w:pPr>
              <w:pStyle w:val="TableParagraph"/>
              <w:spacing w:before="136" w:line="161" w:lineRule="exact"/>
              <w:ind w:left="57"/>
              <w:rPr>
                <w:b/>
                <w:sz w:val="14"/>
              </w:rPr>
            </w:pPr>
            <w:r>
              <w:rPr>
                <w:b/>
                <w:color w:val="231F20"/>
                <w:sz w:val="14"/>
              </w:rPr>
              <w:t>СПОРТСКА ИГРА (по избору)</w:t>
            </w:r>
          </w:p>
          <w:p w:rsidR="00041039" w:rsidRDefault="001B26CB">
            <w:pPr>
              <w:pStyle w:val="TableParagraph"/>
              <w:numPr>
                <w:ilvl w:val="0"/>
                <w:numId w:val="1276"/>
              </w:numPr>
              <w:tabs>
                <w:tab w:val="left" w:pos="163"/>
              </w:tabs>
              <w:ind w:right="156"/>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numPr>
                <w:ilvl w:val="0"/>
                <w:numId w:val="1276"/>
              </w:numPr>
              <w:tabs>
                <w:tab w:val="left" w:pos="163"/>
              </w:tabs>
              <w:ind w:right="134"/>
              <w:rPr>
                <w:sz w:val="14"/>
              </w:rPr>
            </w:pPr>
            <w:r>
              <w:rPr>
                <w:color w:val="231F20"/>
                <w:sz w:val="14"/>
              </w:rPr>
              <w:t xml:space="preserve">Даље проширивање и продубљивање техничко ­ 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садржаје из спортске</w:t>
            </w:r>
            <w:r>
              <w:rPr>
                <w:color w:val="231F20"/>
                <w:spacing w:val="-7"/>
                <w:sz w:val="14"/>
              </w:rPr>
              <w:t xml:space="preserve"> </w:t>
            </w:r>
            <w:r>
              <w:rPr>
                <w:color w:val="231F20"/>
                <w:sz w:val="14"/>
              </w:rPr>
              <w:t>игре.</w:t>
            </w:r>
          </w:p>
          <w:p w:rsidR="00041039" w:rsidRDefault="001B26CB">
            <w:pPr>
              <w:pStyle w:val="TableParagraph"/>
              <w:numPr>
                <w:ilvl w:val="0"/>
                <w:numId w:val="1275"/>
              </w:numPr>
              <w:tabs>
                <w:tab w:val="left" w:pos="157"/>
              </w:tabs>
              <w:spacing w:line="155" w:lineRule="exact"/>
              <w:ind w:hanging="99"/>
              <w:rPr>
                <w:sz w:val="14"/>
              </w:rPr>
            </w:pPr>
            <w:r>
              <w:rPr>
                <w:color w:val="231F20"/>
                <w:sz w:val="14"/>
              </w:rPr>
              <w:t>Струч</w:t>
            </w:r>
            <w:r>
              <w:rPr>
                <w:color w:val="231F20"/>
                <w:sz w:val="14"/>
              </w:rPr>
              <w:t>но веће наставника физичког</w:t>
            </w:r>
            <w:r>
              <w:rPr>
                <w:color w:val="231F20"/>
                <w:spacing w:val="-6"/>
                <w:sz w:val="14"/>
              </w:rPr>
              <w:t xml:space="preserve"> </w:t>
            </w:r>
            <w:r>
              <w:rPr>
                <w:color w:val="231F20"/>
                <w:sz w:val="14"/>
              </w:rPr>
              <w:t>вас­</w:t>
            </w:r>
          </w:p>
          <w:p w:rsidR="00041039" w:rsidRDefault="001B26CB">
            <w:pPr>
              <w:pStyle w:val="TableParagraph"/>
              <w:spacing w:line="237" w:lineRule="auto"/>
              <w:ind w:right="84"/>
              <w:rPr>
                <w:sz w:val="14"/>
              </w:rPr>
            </w:pPr>
            <w:r>
              <w:rPr>
                <w:color w:val="231F20"/>
                <w:sz w:val="14"/>
              </w:rPr>
              <w:t>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tc>
        <w:tc>
          <w:tcPr>
            <w:tcW w:w="2267" w:type="dxa"/>
          </w:tcPr>
          <w:p w:rsidR="00041039" w:rsidRDefault="001B26CB">
            <w:pPr>
              <w:pStyle w:val="TableParagraph"/>
              <w:spacing w:before="17"/>
              <w:ind w:left="57"/>
              <w:rPr>
                <w:sz w:val="14"/>
              </w:rPr>
            </w:pPr>
            <w:r>
              <w:rPr>
                <w:b/>
                <w:color w:val="231F20"/>
                <w:sz w:val="14"/>
              </w:rPr>
              <w:t xml:space="preserve">Начин остваривања програма </w:t>
            </w:r>
            <w:r>
              <w:rPr>
                <w:color w:val="231F20"/>
                <w:sz w:val="14"/>
              </w:rPr>
              <w:t>Садржаји програма усмерени суна: развијање физичких способности; спортско ­ техничко образовање; повезивање физичког васпитања са животом и радом.</w:t>
            </w:r>
          </w:p>
          <w:p w:rsidR="00041039" w:rsidRDefault="001B26CB">
            <w:pPr>
              <w:pStyle w:val="TableParagraph"/>
              <w:spacing w:line="237" w:lineRule="auto"/>
              <w:ind w:left="57"/>
              <w:rPr>
                <w:sz w:val="14"/>
              </w:rPr>
            </w:pPr>
            <w:r>
              <w:rPr>
                <w:color w:val="231F20"/>
                <w:sz w:val="14"/>
              </w:rPr>
              <w:t>Годишњи план, програм и распоред кросева, такмичења, зимовања</w:t>
            </w:r>
          </w:p>
          <w:p w:rsidR="00041039" w:rsidRDefault="001B26CB">
            <w:pPr>
              <w:pStyle w:val="TableParagraph"/>
              <w:ind w:left="57" w:right="252"/>
              <w:rPr>
                <w:sz w:val="14"/>
              </w:rPr>
            </w:pPr>
            <w:r>
              <w:rPr>
                <w:color w:val="231F20"/>
                <w:sz w:val="14"/>
              </w:rPr>
              <w:t xml:space="preserve">и других облика рада утврђује се на почетку </w:t>
            </w:r>
            <w:r>
              <w:rPr>
                <w:color w:val="231F20"/>
                <w:spacing w:val="-3"/>
                <w:sz w:val="14"/>
              </w:rPr>
              <w:t xml:space="preserve">школске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7" w:lineRule="auto"/>
              <w:ind w:left="57"/>
              <w:rPr>
                <w:sz w:val="14"/>
              </w:rPr>
            </w:pPr>
            <w:r>
              <w:rPr>
                <w:color w:val="231F20"/>
                <w:sz w:val="14"/>
              </w:rPr>
              <w:t>стручног већа наставника физичког васпитања.</w:t>
            </w:r>
          </w:p>
          <w:p w:rsidR="00041039" w:rsidRDefault="001B26CB">
            <w:pPr>
              <w:pStyle w:val="TableParagraph"/>
              <w:ind w:left="57"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7" w:lineRule="auto"/>
              <w:ind w:left="57" w:right="40"/>
              <w:rPr>
                <w:sz w:val="14"/>
              </w:rPr>
            </w:pPr>
            <w:r>
              <w:rPr>
                <w:color w:val="231F20"/>
                <w:sz w:val="14"/>
              </w:rPr>
              <w:t>Часови у току недеље треба да буду распоређ</w:t>
            </w:r>
            <w:r>
              <w:rPr>
                <w:color w:val="231F20"/>
                <w:sz w:val="14"/>
              </w:rPr>
              <w:t xml:space="preserve">ени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p w:rsidR="00041039" w:rsidRDefault="001B26CB">
            <w:pPr>
              <w:pStyle w:val="TableParagraph"/>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ind w:left="57" w:right="157"/>
              <w:rPr>
                <w:sz w:val="14"/>
              </w:rPr>
            </w:pPr>
            <w:r>
              <w:rPr>
                <w:color w:val="231F20"/>
                <w:sz w:val="14"/>
              </w:rPr>
              <w:t>за ученике и одвоје</w:t>
            </w:r>
            <w:r>
              <w:rPr>
                <w:color w:val="231F20"/>
                <w:sz w:val="14"/>
              </w:rPr>
              <w:t>но за ученице, а само у школама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spacing w:before="1"/>
              <w:ind w:left="0"/>
              <w:rPr>
                <w:b/>
                <w:sz w:val="13"/>
              </w:rPr>
            </w:pPr>
          </w:p>
          <w:p w:rsidR="00041039" w:rsidRDefault="001B26CB">
            <w:pPr>
              <w:pStyle w:val="TableParagraph"/>
              <w:spacing w:before="1"/>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w:t>
            </w:r>
            <w:r>
              <w:rPr>
                <w:color w:val="231F20"/>
                <w:sz w:val="14"/>
              </w:rPr>
              <w:t xml:space="preserve"> играма.</w:t>
            </w:r>
          </w:p>
          <w:p w:rsidR="00041039" w:rsidRDefault="00041039">
            <w:pPr>
              <w:pStyle w:val="TableParagraph"/>
              <w:spacing w:before="11"/>
              <w:ind w:left="0"/>
              <w:rPr>
                <w:b/>
                <w:sz w:val="12"/>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274"/>
              </w:numPr>
              <w:tabs>
                <w:tab w:val="left" w:pos="158"/>
              </w:tabs>
              <w:spacing w:line="237" w:lineRule="auto"/>
              <w:ind w:right="246"/>
              <w:rPr>
                <w:b/>
                <w:sz w:val="14"/>
              </w:rPr>
            </w:pPr>
            <w:r>
              <w:rPr>
                <w:color w:val="231F20"/>
                <w:sz w:val="14"/>
              </w:rPr>
              <w:t>Тестирање и провера савлада­ ности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1274"/>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1274"/>
              </w:numPr>
              <w:tabs>
                <w:tab w:val="left" w:pos="158"/>
              </w:tabs>
              <w:spacing w:line="155" w:lineRule="exact"/>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1274"/>
              </w:numPr>
              <w:tabs>
                <w:tab w:val="left" w:pos="158"/>
              </w:tabs>
              <w:spacing w:line="237" w:lineRule="auto"/>
              <w:ind w:right="104"/>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numPr>
                <w:ilvl w:val="0"/>
                <w:numId w:val="1274"/>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1274"/>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274"/>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274"/>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 вођење редовне наставе школа у току школске године организује: Два целодневна излета са пеша­ чењем:</w:t>
            </w:r>
          </w:p>
          <w:p w:rsidR="00041039" w:rsidRDefault="001B26CB">
            <w:pPr>
              <w:pStyle w:val="TableParagraph"/>
              <w:numPr>
                <w:ilvl w:val="0"/>
                <w:numId w:val="1273"/>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1273"/>
              </w:numPr>
              <w:tabs>
                <w:tab w:val="left" w:pos="163"/>
              </w:tabs>
              <w:ind w:right="180"/>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1273"/>
              </w:numPr>
              <w:tabs>
                <w:tab w:val="left" w:pos="163"/>
              </w:tabs>
              <w:ind w:right="134"/>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spacing w:before="18"/>
              <w:ind w:left="57" w:right="387"/>
              <w:rPr>
                <w:sz w:val="14"/>
              </w:rPr>
            </w:pPr>
            <w:r>
              <w:rPr>
                <w:color w:val="231F20"/>
                <w:sz w:val="14"/>
              </w:rPr>
              <w:t>Школа организује и спрово­ ди спортска такмичења, као</w:t>
            </w:r>
          </w:p>
          <w:p w:rsidR="00041039" w:rsidRDefault="001B26CB">
            <w:pPr>
              <w:pStyle w:val="TableParagraph"/>
              <w:ind w:left="57" w:right="132"/>
              <w:rPr>
                <w:sz w:val="14"/>
              </w:rPr>
            </w:pPr>
            <w:r>
              <w:rPr>
                <w:color w:val="231F20"/>
                <w:sz w:val="14"/>
              </w:rPr>
              <w:t>јединствени део процеса наставе физичког васпитања. Спортска такмичења организују се у оквиру радне суботе и у друго време</w:t>
            </w:r>
          </w:p>
          <w:p w:rsidR="00041039" w:rsidRDefault="001B26CB">
            <w:pPr>
              <w:pStyle w:val="TableParagraph"/>
              <w:spacing w:line="237" w:lineRule="auto"/>
              <w:ind w:left="57" w:right="125"/>
              <w:rPr>
                <w:sz w:val="14"/>
              </w:rPr>
            </w:pPr>
            <w:r>
              <w:rPr>
                <w:color w:val="231F20"/>
                <w:sz w:val="14"/>
              </w:rPr>
              <w:t>које одреди школа. Међушколска спортска такмичења организују се у оквиру календара који доноси Министарство просвете науке и технолош</w:t>
            </w:r>
            <w:r>
              <w:rPr>
                <w:color w:val="231F20"/>
                <w:sz w:val="14"/>
              </w:rPr>
              <w:t>ког развоја.</w:t>
            </w:r>
          </w:p>
        </w:tc>
      </w:tr>
    </w:tbl>
    <w:p w:rsidR="00041039" w:rsidRDefault="00041039">
      <w:pPr>
        <w:pStyle w:val="BodyText"/>
        <w:spacing w:before="6"/>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1272"/>
              </w:numPr>
              <w:tabs>
                <w:tab w:val="left" w:pos="157"/>
              </w:tabs>
              <w:spacing w:before="8"/>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1272"/>
              </w:numPr>
              <w:tabs>
                <w:tab w:val="left" w:pos="157"/>
              </w:tabs>
              <w:spacing w:line="160"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1271"/>
              </w:numPr>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1271"/>
              </w:numPr>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numPr>
                <w:ilvl w:val="0"/>
                <w:numId w:val="1271"/>
              </w:numPr>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w:t>
            </w:r>
            <w:r>
              <w:rPr>
                <w:color w:val="231F20"/>
                <w:sz w:val="14"/>
              </w:rPr>
              <w:t>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1270"/>
              </w:numPr>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1270"/>
              </w:numPr>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1270"/>
              </w:numPr>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Borders>
              <w:bottom w:val="nil"/>
            </w:tcBorders>
          </w:tcPr>
          <w:p w:rsidR="00041039" w:rsidRDefault="001B26CB">
            <w:pPr>
              <w:pStyle w:val="TableParagraph"/>
              <w:numPr>
                <w:ilvl w:val="0"/>
                <w:numId w:val="1269"/>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1269"/>
              </w:numPr>
              <w:tabs>
                <w:tab w:val="left" w:pos="158"/>
              </w:tabs>
              <w:spacing w:line="156" w:lineRule="exact"/>
              <w:ind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 xml:space="preserve">ког васпитања давати информа­ цијео томе које вежбе позитивно утичу на статус њиховог органи­ зма, с обзиром на карактеристике њихове професије, а које негатив­ но </w:t>
            </w:r>
            <w:r>
              <w:rPr>
                <w:color w:val="231F20"/>
                <w:sz w:val="14"/>
              </w:rPr>
              <w:t>утичу на здравље.</w:t>
            </w:r>
          </w:p>
          <w:p w:rsidR="00041039" w:rsidRDefault="001B26CB">
            <w:pPr>
              <w:pStyle w:val="TableParagraph"/>
              <w:numPr>
                <w:ilvl w:val="0"/>
                <w:numId w:val="1269"/>
              </w:numPr>
              <w:tabs>
                <w:tab w:val="left" w:pos="158"/>
              </w:tabs>
              <w:spacing w:line="155" w:lineRule="exact"/>
              <w:ind w:hanging="99"/>
              <w:rPr>
                <w:sz w:val="14"/>
              </w:rPr>
            </w:pPr>
            <w:r>
              <w:rPr>
                <w:color w:val="231F20"/>
                <w:sz w:val="14"/>
              </w:rPr>
              <w:t>Ученици који похађају</w:t>
            </w:r>
            <w:r>
              <w:rPr>
                <w:color w:val="231F20"/>
                <w:spacing w:val="-4"/>
                <w:sz w:val="14"/>
              </w:rPr>
              <w:t xml:space="preserve"> </w:t>
            </w:r>
            <w:r>
              <w:rPr>
                <w:color w:val="231F20"/>
                <w:sz w:val="14"/>
              </w:rPr>
              <w:t>чет­</w:t>
            </w:r>
          </w:p>
          <w:p w:rsidR="00041039" w:rsidRDefault="001B26CB">
            <w:pPr>
              <w:pStyle w:val="TableParagraph"/>
              <w:ind w:left="157" w:right="230"/>
              <w:rPr>
                <w:sz w:val="14"/>
              </w:rPr>
            </w:pPr>
            <w:r>
              <w:rPr>
                <w:color w:val="231F20"/>
                <w:sz w:val="14"/>
              </w:rPr>
              <w:t>ворогодишње стручне школе далеко су више оптерећени у редовном образовању прак­ тичном и теоријском наставом од осталих ученика. Због тога је физичко васпитање, у овим школама, значајно за активан</w:t>
            </w:r>
          </w:p>
          <w:p w:rsidR="00041039" w:rsidRDefault="001B26CB">
            <w:pPr>
              <w:pStyle w:val="TableParagraph"/>
              <w:spacing w:line="237" w:lineRule="auto"/>
              <w:ind w:left="157" w:right="18"/>
              <w:rPr>
                <w:sz w:val="14"/>
              </w:rPr>
            </w:pPr>
            <w:r>
              <w:rPr>
                <w:color w:val="231F20"/>
                <w:sz w:val="14"/>
              </w:rPr>
              <w:t>опоравак учени</w:t>
            </w:r>
            <w:r>
              <w:rPr>
                <w:color w:val="231F20"/>
                <w:sz w:val="14"/>
              </w:rPr>
              <w:t>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tc>
      </w:tr>
      <w:tr w:rsidR="00041039">
        <w:trPr>
          <w:trHeight w:val="2287"/>
        </w:trPr>
        <w:tc>
          <w:tcPr>
            <w:tcW w:w="1304" w:type="dxa"/>
            <w:tcBorders>
              <w:bottom w:val="nil"/>
            </w:tcBorders>
          </w:tcPr>
          <w:p w:rsidR="00041039" w:rsidRDefault="001B26CB">
            <w:pPr>
              <w:pStyle w:val="TableParagraph"/>
              <w:spacing w:before="20"/>
              <w:ind w:left="56" w:right="116"/>
              <w:rPr>
                <w:sz w:val="14"/>
              </w:rPr>
            </w:pPr>
            <w:r>
              <w:rPr>
                <w:color w:val="231F20"/>
                <w:sz w:val="14"/>
              </w:rPr>
              <w:t>Развој</w:t>
            </w:r>
            <w:r>
              <w:rPr>
                <w:color w:val="231F20"/>
                <w:spacing w:val="-7"/>
                <w:sz w:val="14"/>
              </w:rPr>
              <w:t xml:space="preserve"> </w:t>
            </w:r>
            <w:r>
              <w:rPr>
                <w:color w:val="231F20"/>
                <w:sz w:val="14"/>
              </w:rPr>
              <w:t>моторичких и функционал­ них способности човека, као основа за реализовање постављених циљева и</w:t>
            </w:r>
            <w:r>
              <w:rPr>
                <w:color w:val="231F20"/>
                <w:spacing w:val="-2"/>
                <w:sz w:val="14"/>
              </w:rPr>
              <w:t xml:space="preserve"> </w:t>
            </w:r>
            <w:r>
              <w:rPr>
                <w:color w:val="231F20"/>
                <w:spacing w:val="-3"/>
                <w:sz w:val="14"/>
              </w:rPr>
              <w:t>исхода</w:t>
            </w:r>
          </w:p>
        </w:tc>
        <w:tc>
          <w:tcPr>
            <w:tcW w:w="1587" w:type="dxa"/>
            <w:vMerge w:val="restart"/>
          </w:tcPr>
          <w:p w:rsidR="00041039" w:rsidRDefault="001B26CB">
            <w:pPr>
              <w:pStyle w:val="TableParagraph"/>
              <w:numPr>
                <w:ilvl w:val="0"/>
                <w:numId w:val="1268"/>
              </w:numPr>
              <w:tabs>
                <w:tab w:val="left" w:pos="157"/>
              </w:tabs>
              <w:spacing w:before="10"/>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vMerge w:val="restart"/>
          </w:tcPr>
          <w:p w:rsidR="00041039" w:rsidRDefault="001B26CB">
            <w:pPr>
              <w:pStyle w:val="TableParagraph"/>
              <w:numPr>
                <w:ilvl w:val="0"/>
                <w:numId w:val="1267"/>
              </w:numPr>
              <w:tabs>
                <w:tab w:val="left" w:pos="157"/>
              </w:tabs>
              <w:spacing w:before="10"/>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w:t>
            </w:r>
            <w:r>
              <w:rPr>
                <w:color w:val="231F20"/>
                <w:sz w:val="14"/>
              </w:rPr>
              <w:t>,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numPr>
                <w:ilvl w:val="0"/>
                <w:numId w:val="1267"/>
              </w:numPr>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vMerge w:val="restart"/>
          </w:tcPr>
          <w:p w:rsidR="00041039" w:rsidRDefault="001B26CB">
            <w:pPr>
              <w:pStyle w:val="TableParagraph"/>
              <w:numPr>
                <w:ilvl w:val="0"/>
                <w:numId w:val="1266"/>
              </w:numPr>
              <w:tabs>
                <w:tab w:val="left" w:pos="157"/>
              </w:tabs>
              <w:spacing w:before="10"/>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1266"/>
              </w:numPr>
              <w:tabs>
                <w:tab w:val="left" w:pos="157"/>
              </w:tabs>
              <w:spacing w:line="160" w:lineRule="exact"/>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1266"/>
              </w:numPr>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1266"/>
              </w:numPr>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w:t>
            </w:r>
            <w:r>
              <w:rPr>
                <w:color w:val="231F20"/>
                <w:sz w:val="14"/>
              </w:rPr>
              <w:t>јњем</w:t>
            </w:r>
            <w:r>
              <w:rPr>
                <w:color w:val="231F20"/>
                <w:spacing w:val="-3"/>
                <w:sz w:val="14"/>
              </w:rPr>
              <w:t xml:space="preserve"> </w:t>
            </w:r>
            <w:r>
              <w:rPr>
                <w:color w:val="231F20"/>
                <w:sz w:val="14"/>
              </w:rPr>
              <w:t>положају).</w:t>
            </w:r>
          </w:p>
          <w:p w:rsidR="00041039" w:rsidRDefault="001B26CB">
            <w:pPr>
              <w:pStyle w:val="TableParagraph"/>
              <w:numPr>
                <w:ilvl w:val="0"/>
                <w:numId w:val="1266"/>
              </w:numPr>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1266"/>
              </w:numPr>
              <w:tabs>
                <w:tab w:val="left" w:pos="157"/>
              </w:tabs>
              <w:spacing w:line="153" w:lineRule="exact"/>
              <w:ind w:hanging="99"/>
              <w:rPr>
                <w:sz w:val="14"/>
              </w:rPr>
            </w:pPr>
            <w:r>
              <w:rPr>
                <w:color w:val="231F20"/>
                <w:sz w:val="14"/>
              </w:rPr>
              <w:t>Аеробик.</w:t>
            </w:r>
          </w:p>
          <w:p w:rsidR="00041039" w:rsidRDefault="001B26CB">
            <w:pPr>
              <w:pStyle w:val="TableParagraph"/>
              <w:numPr>
                <w:ilvl w:val="0"/>
                <w:numId w:val="1266"/>
              </w:numPr>
              <w:tabs>
                <w:tab w:val="left" w:pos="157"/>
              </w:tabs>
              <w:spacing w:line="166"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tcBorders>
              <w:top w:val="nil"/>
              <w:bottom w:val="nil"/>
            </w:tcBorders>
          </w:tcPr>
          <w:p w:rsidR="00041039" w:rsidRDefault="00041039">
            <w:pPr>
              <w:rPr>
                <w:sz w:val="2"/>
                <w:szCs w:val="2"/>
              </w:rPr>
            </w:pPr>
          </w:p>
        </w:tc>
      </w:tr>
      <w:tr w:rsidR="00041039">
        <w:trPr>
          <w:trHeight w:val="111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1265"/>
              </w:numPr>
              <w:tabs>
                <w:tab w:val="left" w:pos="158"/>
              </w:tabs>
              <w:spacing w:line="154" w:lineRule="exact"/>
              <w:ind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265"/>
              </w:numPr>
              <w:tabs>
                <w:tab w:val="left" w:pos="158"/>
              </w:tabs>
              <w:spacing w:line="160" w:lineRule="exact"/>
              <w:ind w:hanging="99"/>
              <w:rPr>
                <w:b/>
                <w:sz w:val="14"/>
              </w:rPr>
            </w:pPr>
            <w:r>
              <w:rPr>
                <w:color w:val="231F20"/>
                <w:sz w:val="14"/>
              </w:rPr>
              <w:t xml:space="preserve">мерење и тестирање </w:t>
            </w:r>
            <w:r>
              <w:rPr>
                <w:b/>
                <w:color w:val="231F20"/>
                <w:sz w:val="14"/>
              </w:rPr>
              <w:t>(6</w:t>
            </w:r>
            <w:r>
              <w:rPr>
                <w:b/>
                <w:color w:val="231F20"/>
                <w:spacing w:val="-4"/>
                <w:sz w:val="14"/>
              </w:rPr>
              <w:t xml:space="preserve"> </w:t>
            </w:r>
            <w:r>
              <w:rPr>
                <w:b/>
                <w:color w:val="231F20"/>
                <w:sz w:val="14"/>
              </w:rPr>
              <w:t>часова)</w:t>
            </w:r>
          </w:p>
          <w:p w:rsidR="00041039" w:rsidRDefault="001B26CB">
            <w:pPr>
              <w:pStyle w:val="TableParagraph"/>
              <w:numPr>
                <w:ilvl w:val="0"/>
                <w:numId w:val="1265"/>
              </w:numPr>
              <w:tabs>
                <w:tab w:val="left" w:pos="158"/>
              </w:tabs>
              <w:spacing w:line="166" w:lineRule="exact"/>
              <w:ind w:hanging="99"/>
              <w:rPr>
                <w:b/>
                <w:sz w:val="14"/>
              </w:rPr>
            </w:pPr>
            <w:r>
              <w:rPr>
                <w:color w:val="231F20"/>
                <w:sz w:val="14"/>
              </w:rPr>
              <w:t xml:space="preserve">практична настава </w:t>
            </w:r>
            <w:r>
              <w:rPr>
                <w:b/>
                <w:color w:val="231F20"/>
                <w:sz w:val="14"/>
              </w:rPr>
              <w:t>(54</w:t>
            </w:r>
            <w:r>
              <w:rPr>
                <w:b/>
                <w:color w:val="231F20"/>
                <w:spacing w:val="-6"/>
                <w:sz w:val="14"/>
              </w:rPr>
              <w:t xml:space="preserve"> </w:t>
            </w:r>
            <w:r>
              <w:rPr>
                <w:b/>
                <w:color w:val="231F20"/>
                <w:sz w:val="14"/>
              </w:rPr>
              <w:t>часова)</w:t>
            </w:r>
          </w:p>
        </w:tc>
      </w:tr>
      <w:tr w:rsidR="00041039">
        <w:trPr>
          <w:trHeight w:val="1429"/>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ind w:left="58" w:right="382"/>
              <w:rPr>
                <w:sz w:val="14"/>
              </w:rPr>
            </w:pPr>
            <w:r>
              <w:rPr>
                <w:b/>
                <w:color w:val="231F20"/>
                <w:sz w:val="14"/>
              </w:rPr>
              <w:t xml:space="preserve">Подела одељења на групе </w:t>
            </w:r>
            <w:r>
              <w:rPr>
                <w:color w:val="231F20"/>
                <w:sz w:val="14"/>
              </w:rPr>
              <w:t>Настава се изводи фронтално и по групама, у зависности од</w:t>
            </w:r>
          </w:p>
          <w:p w:rsidR="00041039" w:rsidRDefault="001B26CB">
            <w:pPr>
              <w:pStyle w:val="TableParagraph"/>
              <w:spacing w:line="237" w:lineRule="auto"/>
              <w:ind w:left="58"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дуалан.</w:t>
            </w:r>
          </w:p>
        </w:tc>
      </w:tr>
      <w:tr w:rsidR="00041039">
        <w:trPr>
          <w:trHeight w:val="143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55" w:lineRule="exact"/>
              <w:ind w:left="58"/>
              <w:rPr>
                <w:b/>
                <w:sz w:val="14"/>
              </w:rPr>
            </w:pPr>
            <w:r>
              <w:rPr>
                <w:b/>
                <w:color w:val="231F20"/>
                <w:sz w:val="14"/>
              </w:rPr>
              <w:t>Место реализације наставе</w:t>
            </w:r>
          </w:p>
          <w:p w:rsidR="00041039" w:rsidRDefault="001B26CB">
            <w:pPr>
              <w:pStyle w:val="TableParagraph"/>
              <w:numPr>
                <w:ilvl w:val="0"/>
                <w:numId w:val="1264"/>
              </w:numPr>
              <w:tabs>
                <w:tab w:val="left" w:pos="158"/>
              </w:tabs>
              <w:spacing w:line="237" w:lineRule="auto"/>
              <w:ind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1264"/>
              </w:numPr>
              <w:tabs>
                <w:tab w:val="left" w:pos="158"/>
              </w:tabs>
              <w:spacing w:line="237" w:lineRule="auto"/>
              <w:ind w:right="101" w:hanging="99"/>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tc>
      </w:tr>
      <w:tr w:rsidR="00041039">
        <w:trPr>
          <w:trHeight w:val="1532"/>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ind w:left="58" w:right="109"/>
              <w:rPr>
                <w:b/>
                <w:sz w:val="14"/>
              </w:rPr>
            </w:pPr>
            <w:r>
              <w:rPr>
                <w:b/>
                <w:color w:val="231F20"/>
                <w:sz w:val="14"/>
              </w:rPr>
              <w:t>Препоруке за реализацију наставе</w:t>
            </w:r>
          </w:p>
          <w:p w:rsidR="00041039" w:rsidRDefault="001B26CB">
            <w:pPr>
              <w:pStyle w:val="TableParagraph"/>
              <w:numPr>
                <w:ilvl w:val="0"/>
                <w:numId w:val="1263"/>
              </w:numPr>
              <w:tabs>
                <w:tab w:val="left" w:pos="158"/>
              </w:tabs>
              <w:spacing w:before="1" w:line="160" w:lineRule="exact"/>
              <w:ind w:right="74" w:hanging="99"/>
              <w:rPr>
                <w:sz w:val="14"/>
              </w:rPr>
            </w:pPr>
            <w:r>
              <w:rPr>
                <w:color w:val="231F20"/>
                <w:sz w:val="14"/>
              </w:rPr>
              <w:t>Настава се реализује у циклусима који трају приближно 10 ­ 12 часова (узастопних). Наставнику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798"/>
        </w:trPr>
        <w:tc>
          <w:tcPr>
            <w:tcW w:w="1304" w:type="dxa"/>
          </w:tcPr>
          <w:p w:rsidR="00041039" w:rsidRDefault="001B26CB">
            <w:pPr>
              <w:pStyle w:val="TableParagraph"/>
              <w:spacing w:before="18"/>
              <w:ind w:left="56" w:right="77"/>
              <w:rPr>
                <w:sz w:val="14"/>
              </w:rPr>
            </w:pPr>
            <w:r>
              <w:rPr>
                <w:color w:val="231F20"/>
                <w:sz w:val="14"/>
              </w:rPr>
              <w:lastRenderedPageBreak/>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spacing w:before="1"/>
              <w:ind w:left="56" w:right="72"/>
              <w:rPr>
                <w:sz w:val="14"/>
              </w:rPr>
            </w:pPr>
            <w:r>
              <w:rPr>
                <w:color w:val="231F20"/>
                <w:sz w:val="14"/>
              </w:rPr>
              <w:t>Програм по избору ученика:</w:t>
            </w:r>
          </w:p>
          <w:p w:rsidR="00041039" w:rsidRDefault="001B26CB">
            <w:pPr>
              <w:pStyle w:val="TableParagraph"/>
              <w:ind w:left="56" w:right="138"/>
              <w:rPr>
                <w:sz w:val="14"/>
              </w:rPr>
            </w:pPr>
            <w:r>
              <w:rPr>
                <w:color w:val="231F20"/>
                <w:sz w:val="14"/>
              </w:rPr>
              <w:t>Ритмичка гимнас­ тика и народни плесови</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4"/>
              <w:ind w:left="0"/>
              <w:rPr>
                <w:b/>
                <w:sz w:val="18"/>
              </w:rPr>
            </w:pPr>
          </w:p>
          <w:p w:rsidR="00041039" w:rsidRDefault="001B26CB">
            <w:pPr>
              <w:pStyle w:val="TableParagraph"/>
              <w:ind w:left="56" w:right="130"/>
              <w:rPr>
                <w:sz w:val="14"/>
              </w:rPr>
            </w:pPr>
            <w:r>
              <w:rPr>
                <w:color w:val="231F20"/>
                <w:sz w:val="14"/>
              </w:rPr>
              <w:t>Спортска игра (по избору)</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3"/>
              <w:ind w:left="0"/>
              <w:rPr>
                <w:b/>
                <w:sz w:val="19"/>
              </w:rPr>
            </w:pPr>
          </w:p>
          <w:p w:rsidR="00041039" w:rsidRDefault="001B26CB">
            <w:pPr>
              <w:pStyle w:val="TableParagraph"/>
              <w:spacing w:before="1"/>
              <w:ind w:left="56"/>
              <w:rPr>
                <w:sz w:val="14"/>
              </w:rPr>
            </w:pPr>
            <w:r>
              <w:rPr>
                <w:color w:val="231F20"/>
                <w:sz w:val="14"/>
              </w:rPr>
              <w:t>Рукомет</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8"/>
              <w:ind w:left="0"/>
              <w:rPr>
                <w:b/>
                <w:sz w:val="18"/>
              </w:rPr>
            </w:pPr>
          </w:p>
          <w:p w:rsidR="00041039" w:rsidRDefault="001B26CB">
            <w:pPr>
              <w:pStyle w:val="TableParagraph"/>
              <w:ind w:left="56"/>
              <w:rPr>
                <w:sz w:val="14"/>
              </w:rPr>
            </w:pPr>
            <w:r>
              <w:rPr>
                <w:color w:val="231F20"/>
                <w:sz w:val="14"/>
              </w:rPr>
              <w:t>Фудбал</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10"/>
              <w:ind w:left="0"/>
              <w:rPr>
                <w:b/>
              </w:rPr>
            </w:pPr>
          </w:p>
          <w:p w:rsidR="00041039" w:rsidRDefault="001B26CB">
            <w:pPr>
              <w:pStyle w:val="TableParagraph"/>
              <w:ind w:left="56"/>
              <w:rPr>
                <w:sz w:val="14"/>
              </w:rPr>
            </w:pPr>
            <w:r>
              <w:rPr>
                <w:color w:val="231F20"/>
                <w:sz w:val="14"/>
              </w:rPr>
              <w:t>Кошарка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7"/>
              <w:ind w:left="0"/>
              <w:rPr>
                <w:b/>
                <w:sz w:val="16"/>
              </w:rPr>
            </w:pPr>
          </w:p>
          <w:p w:rsidR="00041039" w:rsidRDefault="001B26CB">
            <w:pPr>
              <w:pStyle w:val="TableParagraph"/>
              <w:ind w:left="56"/>
              <w:rPr>
                <w:sz w:val="14"/>
              </w:rPr>
            </w:pPr>
            <w:r>
              <w:rPr>
                <w:color w:val="231F20"/>
                <w:sz w:val="14"/>
              </w:rPr>
              <w:t>Одбојка</w:t>
            </w:r>
          </w:p>
        </w:tc>
        <w:tc>
          <w:tcPr>
            <w:tcW w:w="1587" w:type="dxa"/>
          </w:tcPr>
          <w:p w:rsidR="00041039" w:rsidRDefault="001B26CB">
            <w:pPr>
              <w:pStyle w:val="TableParagraph"/>
              <w:numPr>
                <w:ilvl w:val="0"/>
                <w:numId w:val="1262"/>
              </w:numPr>
              <w:tabs>
                <w:tab w:val="left" w:pos="157"/>
              </w:tabs>
              <w:spacing w:before="8"/>
              <w:ind w:right="81"/>
              <w:rPr>
                <w:sz w:val="14"/>
              </w:rPr>
            </w:pPr>
            <w:r>
              <w:rPr>
                <w:color w:val="231F20"/>
                <w:sz w:val="14"/>
              </w:rPr>
              <w:t>Стицање моторичких умења (вештина) и теоријских знања неопходних за</w:t>
            </w:r>
            <w:r>
              <w:rPr>
                <w:color w:val="231F20"/>
                <w:spacing w:val="-22"/>
                <w:sz w:val="14"/>
              </w:rPr>
              <w:t xml:space="preserve"> </w:t>
            </w:r>
            <w:r>
              <w:rPr>
                <w:color w:val="231F20"/>
                <w:sz w:val="14"/>
              </w:rPr>
              <w:t>њихово усвајање.</w:t>
            </w:r>
          </w:p>
          <w:p w:rsidR="00041039" w:rsidRDefault="001B26CB">
            <w:pPr>
              <w:pStyle w:val="TableParagraph"/>
              <w:numPr>
                <w:ilvl w:val="0"/>
                <w:numId w:val="1262"/>
              </w:numPr>
              <w:tabs>
                <w:tab w:val="left" w:pos="157"/>
              </w:tabs>
              <w:spacing w:line="155" w:lineRule="exact"/>
              <w:rPr>
                <w:sz w:val="14"/>
              </w:rPr>
            </w:pPr>
            <w:r>
              <w:rPr>
                <w:color w:val="231F20"/>
                <w:sz w:val="14"/>
              </w:rPr>
              <w:t>Мотивација ученика</w:t>
            </w:r>
            <w:r>
              <w:rPr>
                <w:color w:val="231F20"/>
                <w:spacing w:val="-8"/>
                <w:sz w:val="14"/>
              </w:rPr>
              <w:t xml:space="preserve"> </w:t>
            </w:r>
            <w:r>
              <w:rPr>
                <w:color w:val="231F20"/>
                <w:sz w:val="14"/>
              </w:rPr>
              <w:t>за</w:t>
            </w:r>
          </w:p>
          <w:p w:rsidR="00041039" w:rsidRDefault="001B26CB">
            <w:pPr>
              <w:pStyle w:val="TableParagraph"/>
              <w:ind w:right="152"/>
              <w:rPr>
                <w:sz w:val="14"/>
              </w:rPr>
            </w:pPr>
            <w:r>
              <w:rPr>
                <w:color w:val="231F20"/>
                <w:sz w:val="14"/>
              </w:rPr>
              <w:t>бављењем физичким активностима.</w:t>
            </w:r>
          </w:p>
          <w:p w:rsidR="00041039" w:rsidRDefault="001B26CB">
            <w:pPr>
              <w:pStyle w:val="TableParagraph"/>
              <w:numPr>
                <w:ilvl w:val="0"/>
                <w:numId w:val="1262"/>
              </w:numPr>
              <w:tabs>
                <w:tab w:val="left" w:pos="157"/>
              </w:tabs>
              <w:spacing w:line="160" w:lineRule="exact"/>
              <w:ind w:right="108"/>
              <w:rPr>
                <w:sz w:val="14"/>
              </w:rPr>
            </w:pPr>
            <w:r>
              <w:rPr>
                <w:color w:val="231F20"/>
                <w:sz w:val="14"/>
              </w:rPr>
              <w:t>Формирање позитив­ них психо</w:t>
            </w:r>
            <w:r>
              <w:rPr>
                <w:color w:val="231F20"/>
                <w:spacing w:val="-13"/>
                <w:sz w:val="14"/>
              </w:rPr>
              <w:t xml:space="preserve"> </w:t>
            </w:r>
            <w:r>
              <w:rPr>
                <w:color w:val="231F20"/>
                <w:sz w:val="14"/>
              </w:rPr>
              <w:t>социјалних образаца</w:t>
            </w:r>
            <w:r>
              <w:rPr>
                <w:color w:val="231F20"/>
                <w:spacing w:val="-3"/>
                <w:sz w:val="14"/>
              </w:rPr>
              <w:t xml:space="preserve"> </w:t>
            </w:r>
            <w:r>
              <w:rPr>
                <w:color w:val="231F20"/>
                <w:sz w:val="14"/>
              </w:rPr>
              <w:t>понашања.</w:t>
            </w:r>
          </w:p>
          <w:p w:rsidR="00041039" w:rsidRDefault="001B26CB">
            <w:pPr>
              <w:pStyle w:val="TableParagraph"/>
              <w:numPr>
                <w:ilvl w:val="0"/>
                <w:numId w:val="1262"/>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numPr>
                <w:ilvl w:val="0"/>
                <w:numId w:val="1262"/>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 покрета и кретања.</w:t>
            </w:r>
          </w:p>
          <w:p w:rsidR="00041039" w:rsidRDefault="001B26CB">
            <w:pPr>
              <w:pStyle w:val="TableParagraph"/>
              <w:numPr>
                <w:ilvl w:val="0"/>
                <w:numId w:val="1262"/>
              </w:numPr>
              <w:tabs>
                <w:tab w:val="left" w:pos="157"/>
              </w:tabs>
              <w:spacing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041039" w:rsidRDefault="001B26CB">
            <w:pPr>
              <w:pStyle w:val="TableParagraph"/>
              <w:numPr>
                <w:ilvl w:val="0"/>
                <w:numId w:val="1262"/>
              </w:numPr>
              <w:tabs>
                <w:tab w:val="left" w:pos="157"/>
              </w:tabs>
              <w:spacing w:line="160" w:lineRule="exact"/>
              <w:ind w:right="76"/>
              <w:rPr>
                <w:sz w:val="14"/>
              </w:rPr>
            </w:pPr>
            <w:r>
              <w:rPr>
                <w:color w:val="231F20"/>
                <w:sz w:val="14"/>
              </w:rPr>
              <w:t>Повезивање моторич­ ких задатака у</w:t>
            </w:r>
            <w:r>
              <w:rPr>
                <w:color w:val="231F20"/>
                <w:spacing w:val="-16"/>
                <w:sz w:val="14"/>
              </w:rPr>
              <w:t xml:space="preserve"> </w:t>
            </w:r>
            <w:r>
              <w:rPr>
                <w:color w:val="231F20"/>
                <w:sz w:val="14"/>
              </w:rPr>
              <w:t>целине.</w:t>
            </w:r>
          </w:p>
          <w:p w:rsidR="00041039" w:rsidRDefault="001B26CB">
            <w:pPr>
              <w:pStyle w:val="TableParagraph"/>
              <w:numPr>
                <w:ilvl w:val="0"/>
                <w:numId w:val="1262"/>
              </w:numPr>
              <w:tabs>
                <w:tab w:val="left" w:pos="157"/>
              </w:tabs>
              <w:spacing w:line="160" w:lineRule="exact"/>
              <w:ind w:right="158"/>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numPr>
                <w:ilvl w:val="0"/>
                <w:numId w:val="1262"/>
              </w:numPr>
              <w:tabs>
                <w:tab w:val="left" w:pos="157"/>
              </w:tabs>
              <w:spacing w:before="1" w:line="160" w:lineRule="exact"/>
              <w:ind w:right="81"/>
              <w:rPr>
                <w:sz w:val="14"/>
              </w:rPr>
            </w:pPr>
            <w:r>
              <w:rPr>
                <w:color w:val="231F20"/>
                <w:sz w:val="14"/>
              </w:rPr>
              <w:t>Развијање елемената ритма у</w:t>
            </w:r>
            <w:r>
              <w:rPr>
                <w:color w:val="231F20"/>
                <w:spacing w:val="-10"/>
                <w:sz w:val="14"/>
              </w:rPr>
              <w:t xml:space="preserve"> </w:t>
            </w:r>
            <w:r>
              <w:rPr>
                <w:color w:val="231F20"/>
                <w:sz w:val="14"/>
              </w:rPr>
              <w:t>препознавању целина: рад ­ одмор, напрезање ­ релакса­ ција. убрзање ­ успо­ равање</w:t>
            </w:r>
            <w:r>
              <w:rPr>
                <w:color w:val="231F20"/>
                <w:sz w:val="14"/>
              </w:rPr>
              <w:t>.</w:t>
            </w:r>
          </w:p>
          <w:p w:rsidR="00041039" w:rsidRDefault="001B26CB">
            <w:pPr>
              <w:pStyle w:val="TableParagraph"/>
              <w:numPr>
                <w:ilvl w:val="0"/>
                <w:numId w:val="1262"/>
              </w:numPr>
              <w:tabs>
                <w:tab w:val="left" w:pos="157"/>
              </w:tabs>
              <w:spacing w:line="160" w:lineRule="exact"/>
              <w:ind w:right="359"/>
              <w:rPr>
                <w:sz w:val="14"/>
              </w:rPr>
            </w:pPr>
            <w:r>
              <w:rPr>
                <w:color w:val="231F20"/>
                <w:sz w:val="14"/>
              </w:rPr>
              <w:t>Избор спортова, односно</w:t>
            </w:r>
            <w:r>
              <w:rPr>
                <w:color w:val="231F20"/>
                <w:spacing w:val="-10"/>
                <w:sz w:val="14"/>
              </w:rPr>
              <w:t xml:space="preserve"> </w:t>
            </w:r>
            <w:r>
              <w:rPr>
                <w:color w:val="231F20"/>
                <w:sz w:val="14"/>
              </w:rPr>
              <w:t>спортско</w:t>
            </w:r>
          </w:p>
          <w:p w:rsidR="00041039" w:rsidRDefault="001B26CB">
            <w:pPr>
              <w:pStyle w:val="TableParagraph"/>
              <w:spacing w:line="237" w:lineRule="auto"/>
              <w:ind w:right="15"/>
              <w:rPr>
                <w:sz w:val="14"/>
              </w:rPr>
            </w:pPr>
            <w:r>
              <w:rPr>
                <w:color w:val="231F20"/>
                <w:sz w:val="14"/>
              </w:rPr>
              <w:t>- рекреативних или других кретних ак­ тивности као трајног опредељења за њихово свакодневно упражња­ вање.</w:t>
            </w:r>
          </w:p>
        </w:tc>
        <w:tc>
          <w:tcPr>
            <w:tcW w:w="2551" w:type="dxa"/>
          </w:tcPr>
          <w:p w:rsidR="00041039" w:rsidRDefault="001B26CB">
            <w:pPr>
              <w:pStyle w:val="TableParagraph"/>
              <w:numPr>
                <w:ilvl w:val="0"/>
                <w:numId w:val="1261"/>
              </w:numPr>
              <w:tabs>
                <w:tab w:val="left" w:pos="157"/>
              </w:tabs>
              <w:spacing w:before="9"/>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1261"/>
              </w:numPr>
              <w:tabs>
                <w:tab w:val="left" w:pos="157"/>
              </w:tabs>
              <w:spacing w:line="156" w:lineRule="exact"/>
              <w:ind w:hanging="99"/>
              <w:rPr>
                <w:sz w:val="14"/>
              </w:rPr>
            </w:pPr>
            <w:r>
              <w:rPr>
                <w:color w:val="231F20"/>
                <w:sz w:val="14"/>
              </w:rPr>
              <w:t>демонстрира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numPr>
                <w:ilvl w:val="0"/>
                <w:numId w:val="1261"/>
              </w:numPr>
              <w:tabs>
                <w:tab w:val="left" w:pos="157"/>
              </w:tabs>
              <w:spacing w:line="237" w:lineRule="auto"/>
              <w:ind w:right="73" w:hanging="99"/>
              <w:rPr>
                <w:sz w:val="14"/>
              </w:rPr>
            </w:pPr>
            <w:r>
              <w:rPr>
                <w:color w:val="231F20"/>
                <w:sz w:val="14"/>
              </w:rPr>
              <w:t>детаљније опише правила спортске гране за коју показује посеба</w:t>
            </w:r>
            <w:r>
              <w:rPr>
                <w:color w:val="231F20"/>
                <w:sz w:val="14"/>
              </w:rPr>
              <w:t>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numPr>
                <w:ilvl w:val="0"/>
                <w:numId w:val="1261"/>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1261"/>
              </w:numPr>
              <w:tabs>
                <w:tab w:val="left" w:pos="157"/>
              </w:tabs>
              <w:spacing w:line="237" w:lineRule="auto"/>
              <w:ind w:right="46" w:hanging="99"/>
              <w:rPr>
                <w:sz w:val="14"/>
              </w:rPr>
            </w:pPr>
            <w:r>
              <w:rPr>
                <w:color w:val="231F20"/>
                <w:sz w:val="14"/>
              </w:rPr>
              <w:t>жели да се бави физичким, односно спортским а</w:t>
            </w:r>
            <w:r>
              <w:rPr>
                <w:color w:val="231F20"/>
                <w:sz w:val="14"/>
              </w:rPr>
              <w:t>ктивностима, пошто</w:t>
            </w:r>
            <w:r>
              <w:rPr>
                <w:color w:val="231F20"/>
                <w:spacing w:val="-15"/>
                <w:sz w:val="14"/>
              </w:rPr>
              <w:t xml:space="preserve"> </w:t>
            </w:r>
            <w:r>
              <w:rPr>
                <w:color w:val="231F20"/>
                <w:sz w:val="14"/>
              </w:rPr>
              <w:t>сагле­ дава (детектује)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1261"/>
              </w:numPr>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1261"/>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w:t>
            </w:r>
            <w:r>
              <w:rPr>
                <w:color w:val="231F20"/>
                <w:sz w:val="14"/>
              </w:rPr>
              <w:t xml:space="preserve"> са својим друговима и ужива у дружењу и контактима;</w:t>
            </w:r>
          </w:p>
          <w:p w:rsidR="00041039" w:rsidRDefault="001B26CB">
            <w:pPr>
              <w:pStyle w:val="TableParagraph"/>
              <w:numPr>
                <w:ilvl w:val="0"/>
                <w:numId w:val="1261"/>
              </w:numPr>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1261"/>
              </w:numPr>
              <w:tabs>
                <w:tab w:val="left" w:pos="157"/>
              </w:tabs>
              <w:spacing w:line="237" w:lineRule="auto"/>
              <w:ind w:right="291" w:hanging="99"/>
              <w:rPr>
                <w:sz w:val="14"/>
              </w:rPr>
            </w:pPr>
            <w:r>
              <w:rPr>
                <w:color w:val="231F20"/>
                <w:sz w:val="14"/>
              </w:rPr>
              <w:t>самостално бира физичку,</w:t>
            </w:r>
            <w:r>
              <w:rPr>
                <w:color w:val="231F20"/>
                <w:spacing w:val="-14"/>
                <w:sz w:val="14"/>
              </w:rPr>
              <w:t xml:space="preserve"> </w:t>
            </w:r>
            <w:r>
              <w:rPr>
                <w:color w:val="231F20"/>
                <w:sz w:val="14"/>
              </w:rPr>
              <w:t xml:space="preserve">односно спортску активност и изводи је у окружењу у </w:t>
            </w:r>
            <w:r>
              <w:rPr>
                <w:color w:val="231F20"/>
                <w:spacing w:val="-3"/>
                <w:sz w:val="14"/>
              </w:rPr>
              <w:t>коме</w:t>
            </w:r>
            <w:r>
              <w:rPr>
                <w:color w:val="231F20"/>
                <w:spacing w:val="-1"/>
                <w:sz w:val="14"/>
              </w:rPr>
              <w:t xml:space="preserve"> </w:t>
            </w:r>
            <w:r>
              <w:rPr>
                <w:color w:val="231F20"/>
                <w:sz w:val="14"/>
              </w:rPr>
              <w:t>живи;</w:t>
            </w:r>
          </w:p>
          <w:p w:rsidR="00041039" w:rsidRDefault="001B26CB">
            <w:pPr>
              <w:pStyle w:val="TableParagraph"/>
              <w:numPr>
                <w:ilvl w:val="0"/>
                <w:numId w:val="1261"/>
              </w:numPr>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1261"/>
              </w:numPr>
              <w:tabs>
                <w:tab w:val="left" w:pos="157"/>
              </w:tabs>
              <w:spacing w:line="157" w:lineRule="exact"/>
              <w:ind w:hanging="99"/>
              <w:rPr>
                <w:sz w:val="14"/>
              </w:rPr>
            </w:pPr>
            <w:r>
              <w:rPr>
                <w:color w:val="231F20"/>
                <w:sz w:val="14"/>
              </w:rPr>
              <w:t>ужива у извођењу покре</w:t>
            </w:r>
            <w:r>
              <w:rPr>
                <w:color w:val="231F20"/>
                <w:sz w:val="14"/>
              </w:rPr>
              <w:t>та и</w:t>
            </w:r>
            <w:r>
              <w:rPr>
                <w:color w:val="231F20"/>
                <w:spacing w:val="-7"/>
                <w:sz w:val="14"/>
              </w:rPr>
              <w:t xml:space="preserve"> </w:t>
            </w:r>
            <w:r>
              <w:rPr>
                <w:color w:val="231F20"/>
                <w:sz w:val="14"/>
              </w:rPr>
              <w:t>кретања;</w:t>
            </w:r>
          </w:p>
          <w:p w:rsidR="00041039" w:rsidRDefault="001B26CB">
            <w:pPr>
              <w:pStyle w:val="TableParagraph"/>
              <w:numPr>
                <w:ilvl w:val="0"/>
                <w:numId w:val="1261"/>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numPr>
                <w:ilvl w:val="0"/>
                <w:numId w:val="1261"/>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1261"/>
              </w:numPr>
              <w:tabs>
                <w:tab w:val="left" w:pos="157"/>
              </w:tabs>
              <w:spacing w:line="237" w:lineRule="auto"/>
              <w:ind w:right="171" w:hanging="99"/>
              <w:rPr>
                <w:sz w:val="14"/>
              </w:rPr>
            </w:pPr>
            <w:r>
              <w:rPr>
                <w:color w:val="231F20"/>
                <w:sz w:val="14"/>
              </w:rPr>
              <w:t>се правилно односи према</w:t>
            </w:r>
            <w:r>
              <w:rPr>
                <w:color w:val="231F20"/>
                <w:spacing w:val="-18"/>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 што преноси у</w:t>
            </w:r>
            <w:r>
              <w:rPr>
                <w:color w:val="231F20"/>
                <w:spacing w:val="-24"/>
                <w:sz w:val="14"/>
              </w:rPr>
              <w:t xml:space="preserve"> </w:t>
            </w:r>
            <w:r>
              <w:rPr>
                <w:color w:val="231F20"/>
                <w:sz w:val="14"/>
              </w:rPr>
              <w:t>свакодневни живот;</w:t>
            </w:r>
          </w:p>
          <w:p w:rsidR="00041039" w:rsidRDefault="001B26CB">
            <w:pPr>
              <w:pStyle w:val="TableParagraph"/>
              <w:numPr>
                <w:ilvl w:val="0"/>
                <w:numId w:val="1261"/>
              </w:numPr>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10"/>
              <w:ind w:left="0"/>
              <w:rPr>
                <w:b/>
                <w:sz w:val="16"/>
              </w:rPr>
            </w:pPr>
          </w:p>
          <w:p w:rsidR="00041039" w:rsidRDefault="001B26CB">
            <w:pPr>
              <w:pStyle w:val="TableParagraph"/>
              <w:ind w:left="57"/>
              <w:rPr>
                <w:b/>
                <w:sz w:val="14"/>
              </w:rPr>
            </w:pPr>
            <w:r>
              <w:rPr>
                <w:b/>
                <w:color w:val="231F20"/>
                <w:sz w:val="14"/>
              </w:rPr>
              <w:t>ПРОГРАМ ПО ИЗБОРУ УЧЕНИКА</w:t>
            </w:r>
          </w:p>
          <w:p w:rsidR="00041039" w:rsidRDefault="00041039">
            <w:pPr>
              <w:pStyle w:val="TableParagraph"/>
              <w:spacing w:before="9"/>
              <w:ind w:left="0"/>
              <w:rPr>
                <w:b/>
                <w:sz w:val="13"/>
              </w:rPr>
            </w:pPr>
          </w:p>
          <w:p w:rsidR="00041039" w:rsidRDefault="001B26CB">
            <w:pPr>
              <w:pStyle w:val="TableParagraph"/>
              <w:ind w:left="57" w:right="84"/>
              <w:rPr>
                <w:b/>
                <w:sz w:val="14"/>
              </w:rPr>
            </w:pPr>
            <w:r>
              <w:rPr>
                <w:b/>
                <w:color w:val="231F20"/>
                <w:sz w:val="14"/>
              </w:rPr>
              <w:t>РИТМИЧКА ГИМНАСТИКА И НАРОДНИ ПЛЕСОВИ</w:t>
            </w:r>
          </w:p>
          <w:p w:rsidR="00041039" w:rsidRDefault="001B26CB">
            <w:pPr>
              <w:pStyle w:val="TableParagraph"/>
              <w:numPr>
                <w:ilvl w:val="0"/>
                <w:numId w:val="1260"/>
              </w:numPr>
              <w:tabs>
                <w:tab w:val="left" w:pos="163"/>
              </w:tabs>
              <w:ind w:right="173"/>
              <w:rPr>
                <w:sz w:val="14"/>
              </w:rPr>
            </w:pPr>
            <w:r>
              <w:rPr>
                <w:color w:val="231F20"/>
                <w:sz w:val="14"/>
              </w:rPr>
              <w:t>Савладавање основних вежби:</w:t>
            </w:r>
            <w:r>
              <w:rPr>
                <w:color w:val="231F20"/>
                <w:spacing w:val="-15"/>
                <w:sz w:val="14"/>
              </w:rPr>
              <w:t xml:space="preserve"> </w:t>
            </w:r>
            <w:r>
              <w:rPr>
                <w:color w:val="231F20"/>
                <w:sz w:val="14"/>
              </w:rPr>
              <w:t>„докорак”, мењајући корак галопом у свим правци­ ма, полкин корак, далеко високи</w:t>
            </w:r>
            <w:r>
              <w:rPr>
                <w:color w:val="231F20"/>
                <w:spacing w:val="-18"/>
                <w:sz w:val="14"/>
              </w:rPr>
              <w:t xml:space="preserve"> </w:t>
            </w:r>
            <w:r>
              <w:rPr>
                <w:color w:val="231F20"/>
                <w:sz w:val="14"/>
              </w:rPr>
              <w:t>скок,</w:t>
            </w:r>
          </w:p>
          <w:p w:rsidR="00041039" w:rsidRDefault="001B26CB">
            <w:pPr>
              <w:pStyle w:val="TableParagraph"/>
              <w:spacing w:line="158" w:lineRule="exact"/>
              <w:ind w:left="162"/>
              <w:rPr>
                <w:sz w:val="14"/>
              </w:rPr>
            </w:pPr>
            <w:r>
              <w:rPr>
                <w:color w:val="231F20"/>
                <w:sz w:val="14"/>
              </w:rPr>
              <w:t>„маказице”.</w:t>
            </w:r>
          </w:p>
          <w:p w:rsidR="00041039" w:rsidRDefault="001B26CB">
            <w:pPr>
              <w:pStyle w:val="TableParagraph"/>
              <w:numPr>
                <w:ilvl w:val="0"/>
                <w:numId w:val="1260"/>
              </w:numPr>
              <w:tabs>
                <w:tab w:val="left" w:pos="163"/>
              </w:tabs>
              <w:ind w:right="54"/>
              <w:rPr>
                <w:sz w:val="14"/>
              </w:rPr>
            </w:pPr>
            <w:r>
              <w:rPr>
                <w:color w:val="231F20"/>
                <w:sz w:val="14"/>
              </w:rPr>
              <w:t>Систематска обрада естетског покрета тела у месту и у кретању без реквизита и са рек­ визит</w:t>
            </w:r>
            <w:r>
              <w:rPr>
                <w:color w:val="231F20"/>
                <w:sz w:val="14"/>
              </w:rPr>
              <w:t>има, користећи при томе различиту динамику, ритам и</w:t>
            </w:r>
            <w:r>
              <w:rPr>
                <w:color w:val="231F20"/>
                <w:spacing w:val="-3"/>
                <w:sz w:val="14"/>
              </w:rPr>
              <w:t xml:space="preserve"> </w:t>
            </w:r>
            <w:r>
              <w:rPr>
                <w:color w:val="231F20"/>
                <w:sz w:val="14"/>
              </w:rPr>
              <w:t>темпо.</w:t>
            </w:r>
          </w:p>
          <w:p w:rsidR="00041039" w:rsidRDefault="001B26CB">
            <w:pPr>
              <w:pStyle w:val="TableParagraph"/>
              <w:numPr>
                <w:ilvl w:val="0"/>
                <w:numId w:val="1260"/>
              </w:numPr>
              <w:tabs>
                <w:tab w:val="left" w:pos="163"/>
              </w:tabs>
              <w:spacing w:line="237" w:lineRule="auto"/>
              <w:ind w:right="101"/>
              <w:rPr>
                <w:sz w:val="14"/>
              </w:rPr>
            </w:pPr>
            <w:r>
              <w:rPr>
                <w:color w:val="231F20"/>
                <w:sz w:val="14"/>
              </w:rPr>
              <w:t>Примена савладане технике естетског</w:t>
            </w:r>
            <w:r>
              <w:rPr>
                <w:color w:val="231F20"/>
                <w:spacing w:val="-24"/>
                <w:sz w:val="14"/>
              </w:rPr>
              <w:t xml:space="preserve"> </w:t>
            </w:r>
            <w:r>
              <w:rPr>
                <w:color w:val="231F20"/>
                <w:sz w:val="14"/>
              </w:rPr>
              <w:t>пок­ рета и кретања у кратким</w:t>
            </w:r>
            <w:r>
              <w:rPr>
                <w:color w:val="231F20"/>
                <w:spacing w:val="-3"/>
                <w:sz w:val="14"/>
              </w:rPr>
              <w:t xml:space="preserve"> </w:t>
            </w:r>
            <w:r>
              <w:rPr>
                <w:color w:val="231F20"/>
                <w:sz w:val="14"/>
              </w:rPr>
              <w:t>саставима.</w:t>
            </w:r>
          </w:p>
          <w:p w:rsidR="00041039" w:rsidRDefault="001B26CB">
            <w:pPr>
              <w:pStyle w:val="TableParagraph"/>
              <w:numPr>
                <w:ilvl w:val="0"/>
                <w:numId w:val="1260"/>
              </w:numPr>
              <w:tabs>
                <w:tab w:val="left" w:pos="163"/>
              </w:tabs>
              <w:ind w:right="334"/>
              <w:rPr>
                <w:sz w:val="14"/>
              </w:rPr>
            </w:pPr>
            <w:r>
              <w:rPr>
                <w:color w:val="231F20"/>
                <w:sz w:val="14"/>
              </w:rPr>
              <w:t>Треба савладати најмање пет</w:t>
            </w:r>
            <w:r>
              <w:rPr>
                <w:color w:val="231F20"/>
                <w:spacing w:val="-27"/>
                <w:sz w:val="14"/>
              </w:rPr>
              <w:t xml:space="preserve"> </w:t>
            </w:r>
            <w:r>
              <w:rPr>
                <w:color w:val="231F20"/>
                <w:sz w:val="14"/>
              </w:rPr>
              <w:t>народних плесова.</w:t>
            </w:r>
          </w:p>
          <w:p w:rsidR="00041039" w:rsidRDefault="001B26CB">
            <w:pPr>
              <w:pStyle w:val="TableParagraph"/>
              <w:numPr>
                <w:ilvl w:val="0"/>
                <w:numId w:val="1260"/>
              </w:numPr>
              <w:tabs>
                <w:tab w:val="left" w:pos="163"/>
              </w:tabs>
              <w:ind w:right="408"/>
              <w:rPr>
                <w:sz w:val="14"/>
              </w:rPr>
            </w:pPr>
            <w:r>
              <w:rPr>
                <w:color w:val="231F20"/>
                <w:sz w:val="14"/>
              </w:rPr>
              <w:t>Припрема за такмичење и приредбе</w:t>
            </w:r>
            <w:r>
              <w:rPr>
                <w:color w:val="231F20"/>
                <w:spacing w:val="-16"/>
                <w:sz w:val="14"/>
              </w:rPr>
              <w:t xml:space="preserve"> </w:t>
            </w:r>
            <w:r>
              <w:rPr>
                <w:color w:val="231F20"/>
                <w:sz w:val="14"/>
              </w:rPr>
              <w:t>и учешће на</w:t>
            </w:r>
            <w:r>
              <w:rPr>
                <w:color w:val="231F20"/>
                <w:spacing w:val="-2"/>
                <w:sz w:val="14"/>
              </w:rPr>
              <w:t xml:space="preserve"> </w:t>
            </w:r>
            <w:r>
              <w:rPr>
                <w:color w:val="231F20"/>
                <w:sz w:val="14"/>
              </w:rPr>
              <w:t>њима.</w:t>
            </w:r>
          </w:p>
          <w:p w:rsidR="00041039" w:rsidRDefault="00041039">
            <w:pPr>
              <w:pStyle w:val="TableParagraph"/>
              <w:spacing w:before="2"/>
              <w:ind w:left="0"/>
              <w:rPr>
                <w:b/>
                <w:sz w:val="13"/>
              </w:rPr>
            </w:pPr>
          </w:p>
          <w:p w:rsidR="00041039" w:rsidRDefault="001B26CB">
            <w:pPr>
              <w:pStyle w:val="TableParagraph"/>
              <w:spacing w:line="161" w:lineRule="exact"/>
              <w:ind w:left="57"/>
              <w:rPr>
                <w:b/>
                <w:sz w:val="14"/>
              </w:rPr>
            </w:pPr>
            <w:r>
              <w:rPr>
                <w:b/>
                <w:color w:val="231F20"/>
                <w:sz w:val="14"/>
              </w:rPr>
              <w:t>СПОРТСКА ИГРА (по избору)</w:t>
            </w:r>
          </w:p>
          <w:p w:rsidR="00041039" w:rsidRDefault="001B26CB">
            <w:pPr>
              <w:pStyle w:val="TableParagraph"/>
              <w:numPr>
                <w:ilvl w:val="0"/>
                <w:numId w:val="1260"/>
              </w:numPr>
              <w:tabs>
                <w:tab w:val="left" w:pos="163"/>
              </w:tabs>
              <w:ind w:right="156"/>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numPr>
                <w:ilvl w:val="0"/>
                <w:numId w:val="1260"/>
              </w:numPr>
              <w:tabs>
                <w:tab w:val="left" w:pos="163"/>
              </w:tabs>
              <w:ind w:right="176"/>
              <w:rPr>
                <w:sz w:val="14"/>
              </w:rPr>
            </w:pPr>
            <w:r>
              <w:rPr>
                <w:color w:val="231F20"/>
                <w:sz w:val="14"/>
              </w:rPr>
              <w:t>Даље проширивање и продубљивање техничко ­ тактичке припремљености ученика у складу са изборним</w:t>
            </w:r>
            <w:r>
              <w:rPr>
                <w:color w:val="231F20"/>
                <w:spacing w:val="-19"/>
                <w:sz w:val="14"/>
              </w:rPr>
              <w:t xml:space="preserve"> </w:t>
            </w:r>
            <w:r>
              <w:rPr>
                <w:color w:val="231F20"/>
                <w:sz w:val="14"/>
              </w:rPr>
              <w:t>програмом за дату</w:t>
            </w:r>
            <w:r>
              <w:rPr>
                <w:color w:val="231F20"/>
                <w:spacing w:val="-2"/>
                <w:sz w:val="14"/>
              </w:rPr>
              <w:t xml:space="preserve"> </w:t>
            </w:r>
            <w:r>
              <w:rPr>
                <w:color w:val="231F20"/>
                <w:spacing w:val="-4"/>
                <w:sz w:val="14"/>
              </w:rPr>
              <w:t>игру.</w:t>
            </w:r>
          </w:p>
          <w:p w:rsidR="00041039" w:rsidRDefault="00041039">
            <w:pPr>
              <w:pStyle w:val="TableParagraph"/>
              <w:spacing w:before="4"/>
              <w:ind w:left="0"/>
              <w:rPr>
                <w:b/>
                <w:sz w:val="13"/>
              </w:rPr>
            </w:pPr>
          </w:p>
          <w:p w:rsidR="00041039" w:rsidRDefault="001B26CB">
            <w:pPr>
              <w:pStyle w:val="TableParagraph"/>
              <w:spacing w:line="161" w:lineRule="exact"/>
              <w:ind w:left="57"/>
              <w:rPr>
                <w:b/>
                <w:sz w:val="14"/>
              </w:rPr>
            </w:pPr>
            <w:r>
              <w:rPr>
                <w:b/>
                <w:color w:val="231F20"/>
                <w:sz w:val="14"/>
              </w:rPr>
              <w:t>РУКОМЕТ</w:t>
            </w:r>
          </w:p>
          <w:p w:rsidR="00041039" w:rsidRDefault="001B26CB">
            <w:pPr>
              <w:pStyle w:val="TableParagraph"/>
              <w:numPr>
                <w:ilvl w:val="0"/>
                <w:numId w:val="1260"/>
              </w:numPr>
              <w:tabs>
                <w:tab w:val="left" w:pos="163"/>
              </w:tabs>
              <w:ind w:right="367"/>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numPr>
                <w:ilvl w:val="0"/>
                <w:numId w:val="1260"/>
              </w:numPr>
              <w:tabs>
                <w:tab w:val="left" w:pos="163"/>
              </w:tabs>
              <w:spacing w:line="237" w:lineRule="auto"/>
              <w:ind w:right="61"/>
              <w:rPr>
                <w:sz w:val="14"/>
              </w:rPr>
            </w:pPr>
            <w:r>
              <w:rPr>
                <w:color w:val="231F20"/>
                <w:sz w:val="14"/>
              </w:rPr>
              <w:t>Покривање и откривање играча,</w:t>
            </w:r>
            <w:r>
              <w:rPr>
                <w:color w:val="231F20"/>
                <w:spacing w:val="-25"/>
                <w:sz w:val="14"/>
              </w:rPr>
              <w:t xml:space="preserve"> </w:t>
            </w:r>
            <w:r>
              <w:rPr>
                <w:color w:val="231F20"/>
                <w:sz w:val="14"/>
              </w:rPr>
              <w:t xml:space="preserve">одузимање лопте, ометање противника. Општи принципи постављања играча у одбрани и </w:t>
            </w:r>
            <w:r>
              <w:rPr>
                <w:color w:val="231F20"/>
                <w:spacing w:val="-3"/>
                <w:sz w:val="14"/>
              </w:rPr>
              <w:t xml:space="preserve">нападу. </w:t>
            </w:r>
            <w:r>
              <w:rPr>
                <w:color w:val="231F20"/>
                <w:sz w:val="14"/>
              </w:rPr>
              <w:t>Напад са једним и два играча и на­ пад против зон</w:t>
            </w:r>
            <w:r>
              <w:rPr>
                <w:color w:val="231F20"/>
                <w:sz w:val="14"/>
              </w:rPr>
              <w:t xml:space="preserve">ске одбране. Зонска одбрана и напад „човек на човека”. </w:t>
            </w:r>
            <w:r>
              <w:rPr>
                <w:color w:val="231F20"/>
                <w:spacing w:val="-3"/>
                <w:sz w:val="14"/>
              </w:rPr>
              <w:t xml:space="preserve">Уигравање </w:t>
            </w:r>
            <w:r>
              <w:rPr>
                <w:color w:val="231F20"/>
                <w:sz w:val="14"/>
              </w:rPr>
              <w:t>кроз тренажни процес.</w:t>
            </w:r>
          </w:p>
          <w:p w:rsidR="00041039" w:rsidRDefault="001B26CB">
            <w:pPr>
              <w:pStyle w:val="TableParagraph"/>
              <w:numPr>
                <w:ilvl w:val="0"/>
                <w:numId w:val="1260"/>
              </w:numPr>
              <w:tabs>
                <w:tab w:val="left" w:pos="163"/>
              </w:tabs>
              <w:spacing w:before="2" w:line="161" w:lineRule="exact"/>
              <w:rPr>
                <w:sz w:val="14"/>
              </w:rPr>
            </w:pPr>
            <w:r>
              <w:rPr>
                <w:color w:val="231F20"/>
                <w:sz w:val="14"/>
              </w:rPr>
              <w:t>Правила</w:t>
            </w:r>
            <w:r>
              <w:rPr>
                <w:color w:val="231F20"/>
                <w:spacing w:val="-2"/>
                <w:sz w:val="14"/>
              </w:rPr>
              <w:t xml:space="preserve"> </w:t>
            </w:r>
            <w:r>
              <w:rPr>
                <w:color w:val="231F20"/>
                <w:sz w:val="14"/>
              </w:rPr>
              <w:t>игре.</w:t>
            </w:r>
          </w:p>
          <w:p w:rsidR="00041039" w:rsidRDefault="001B26CB">
            <w:pPr>
              <w:pStyle w:val="TableParagraph"/>
              <w:numPr>
                <w:ilvl w:val="0"/>
                <w:numId w:val="1260"/>
              </w:numPr>
              <w:tabs>
                <w:tab w:val="left" w:pos="163"/>
              </w:tabs>
              <w:ind w:right="261"/>
              <w:rPr>
                <w:sz w:val="14"/>
              </w:rPr>
            </w:pPr>
            <w:r>
              <w:rPr>
                <w:color w:val="231F20"/>
                <w:sz w:val="14"/>
              </w:rPr>
              <w:t>Учествовање на разредним, школским</w:t>
            </w:r>
            <w:r>
              <w:rPr>
                <w:color w:val="231F20"/>
                <w:spacing w:val="-1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p w:rsidR="00041039" w:rsidRDefault="00041039">
            <w:pPr>
              <w:pStyle w:val="TableParagraph"/>
              <w:spacing w:before="7"/>
              <w:ind w:left="0"/>
              <w:rPr>
                <w:b/>
                <w:sz w:val="13"/>
              </w:rPr>
            </w:pPr>
          </w:p>
          <w:p w:rsidR="00041039" w:rsidRDefault="001B26CB">
            <w:pPr>
              <w:pStyle w:val="TableParagraph"/>
              <w:spacing w:before="1" w:line="161" w:lineRule="exact"/>
              <w:ind w:left="57"/>
              <w:rPr>
                <w:b/>
                <w:sz w:val="14"/>
              </w:rPr>
            </w:pPr>
            <w:r>
              <w:rPr>
                <w:b/>
                <w:color w:val="231F20"/>
                <w:sz w:val="14"/>
              </w:rPr>
              <w:t>ФУДБАЛ</w:t>
            </w:r>
          </w:p>
          <w:p w:rsidR="00041039" w:rsidRDefault="001B26CB">
            <w:pPr>
              <w:pStyle w:val="TableParagraph"/>
              <w:numPr>
                <w:ilvl w:val="0"/>
                <w:numId w:val="1260"/>
              </w:numPr>
              <w:tabs>
                <w:tab w:val="left" w:pos="163"/>
              </w:tabs>
              <w:ind w:right="367"/>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numPr>
                <w:ilvl w:val="0"/>
                <w:numId w:val="1260"/>
              </w:numPr>
              <w:tabs>
                <w:tab w:val="left" w:pos="163"/>
              </w:tabs>
              <w:spacing w:line="237" w:lineRule="auto"/>
              <w:ind w:right="61"/>
              <w:rPr>
                <w:sz w:val="14"/>
              </w:rPr>
            </w:pPr>
            <w:r>
              <w:rPr>
                <w:color w:val="231F20"/>
                <w:sz w:val="14"/>
              </w:rPr>
              <w:t>Покривање и откривање играча,</w:t>
            </w:r>
            <w:r>
              <w:rPr>
                <w:color w:val="231F20"/>
                <w:spacing w:val="-25"/>
                <w:sz w:val="14"/>
              </w:rPr>
              <w:t xml:space="preserve"> </w:t>
            </w:r>
            <w:r>
              <w:rPr>
                <w:color w:val="231F20"/>
                <w:sz w:val="14"/>
              </w:rPr>
              <w:t>одузимање лопте и ометање противника. Општи принципи постављања играча у нападу и одбрани. Разне варијанте напада и</w:t>
            </w:r>
            <w:r>
              <w:rPr>
                <w:color w:val="231F20"/>
                <w:spacing w:val="-23"/>
                <w:sz w:val="14"/>
              </w:rPr>
              <w:t xml:space="preserve"> </w:t>
            </w:r>
            <w:r>
              <w:rPr>
                <w:color w:val="231F20"/>
                <w:sz w:val="14"/>
              </w:rPr>
              <w:t xml:space="preserve">одбране. </w:t>
            </w:r>
            <w:r>
              <w:rPr>
                <w:color w:val="231F20"/>
                <w:spacing w:val="-3"/>
                <w:sz w:val="14"/>
              </w:rPr>
              <w:t xml:space="preserve">Уигравање </w:t>
            </w:r>
            <w:r>
              <w:rPr>
                <w:color w:val="231F20"/>
                <w:sz w:val="14"/>
              </w:rPr>
              <w:t>кроз</w:t>
            </w:r>
            <w:r>
              <w:rPr>
                <w:color w:val="231F20"/>
                <w:sz w:val="14"/>
              </w:rPr>
              <w:t xml:space="preserve"> тренажни</w:t>
            </w:r>
            <w:r>
              <w:rPr>
                <w:color w:val="231F20"/>
                <w:spacing w:val="3"/>
                <w:sz w:val="14"/>
              </w:rPr>
              <w:t xml:space="preserve"> </w:t>
            </w:r>
            <w:r>
              <w:rPr>
                <w:color w:val="231F20"/>
                <w:sz w:val="14"/>
              </w:rPr>
              <w:t>процес.</w:t>
            </w:r>
          </w:p>
          <w:p w:rsidR="00041039" w:rsidRDefault="001B26CB">
            <w:pPr>
              <w:pStyle w:val="TableParagraph"/>
              <w:numPr>
                <w:ilvl w:val="0"/>
                <w:numId w:val="1260"/>
              </w:numPr>
              <w:tabs>
                <w:tab w:val="left" w:pos="163"/>
              </w:tabs>
              <w:spacing w:line="161" w:lineRule="exact"/>
              <w:rPr>
                <w:sz w:val="14"/>
              </w:rPr>
            </w:pPr>
            <w:r>
              <w:rPr>
                <w:color w:val="231F20"/>
                <w:sz w:val="14"/>
              </w:rPr>
              <w:t>Правила малог</w:t>
            </w:r>
            <w:r>
              <w:rPr>
                <w:color w:val="231F20"/>
                <w:spacing w:val="-4"/>
                <w:sz w:val="14"/>
              </w:rPr>
              <w:t xml:space="preserve"> </w:t>
            </w:r>
            <w:r>
              <w:rPr>
                <w:color w:val="231F20"/>
                <w:sz w:val="14"/>
              </w:rPr>
              <w:t>фудбала.</w:t>
            </w:r>
          </w:p>
          <w:p w:rsidR="00041039" w:rsidRDefault="001B26CB">
            <w:pPr>
              <w:pStyle w:val="TableParagraph"/>
              <w:numPr>
                <w:ilvl w:val="0"/>
                <w:numId w:val="1260"/>
              </w:numPr>
              <w:tabs>
                <w:tab w:val="left" w:pos="163"/>
              </w:tabs>
              <w:ind w:right="497"/>
              <w:rPr>
                <w:sz w:val="14"/>
              </w:rPr>
            </w:pPr>
            <w:r>
              <w:rPr>
                <w:color w:val="231F20"/>
                <w:sz w:val="14"/>
              </w:rPr>
              <w:t>Учествовање на разним школским</w:t>
            </w:r>
            <w:r>
              <w:rPr>
                <w:color w:val="231F20"/>
                <w:spacing w:val="-17"/>
                <w:sz w:val="14"/>
              </w:rPr>
              <w:t xml:space="preserve"> </w:t>
            </w:r>
            <w:r>
              <w:rPr>
                <w:color w:val="231F20"/>
                <w:sz w:val="14"/>
              </w:rPr>
              <w:t>и међушколским</w:t>
            </w:r>
            <w:r>
              <w:rPr>
                <w:color w:val="231F20"/>
                <w:spacing w:val="-3"/>
                <w:sz w:val="14"/>
              </w:rPr>
              <w:t xml:space="preserve"> </w:t>
            </w:r>
            <w:r>
              <w:rPr>
                <w:color w:val="231F20"/>
                <w:sz w:val="14"/>
              </w:rPr>
              <w:t>такмичењима.</w:t>
            </w:r>
          </w:p>
          <w:p w:rsidR="00041039" w:rsidRDefault="00041039">
            <w:pPr>
              <w:pStyle w:val="TableParagraph"/>
              <w:spacing w:before="7"/>
              <w:ind w:left="0"/>
              <w:rPr>
                <w:b/>
                <w:sz w:val="13"/>
              </w:rPr>
            </w:pPr>
          </w:p>
          <w:p w:rsidR="00041039" w:rsidRDefault="001B26CB">
            <w:pPr>
              <w:pStyle w:val="TableParagraph"/>
              <w:spacing w:before="1" w:line="161" w:lineRule="exact"/>
              <w:ind w:left="57"/>
              <w:rPr>
                <w:b/>
                <w:sz w:val="14"/>
              </w:rPr>
            </w:pPr>
            <w:r>
              <w:rPr>
                <w:b/>
                <w:color w:val="231F20"/>
                <w:sz w:val="14"/>
              </w:rPr>
              <w:t>КОШАРКА</w:t>
            </w:r>
          </w:p>
          <w:p w:rsidR="00041039" w:rsidRDefault="001B26CB">
            <w:pPr>
              <w:pStyle w:val="TableParagraph"/>
              <w:numPr>
                <w:ilvl w:val="0"/>
                <w:numId w:val="1260"/>
              </w:numPr>
              <w:tabs>
                <w:tab w:val="left" w:pos="163"/>
              </w:tabs>
              <w:ind w:right="367"/>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numPr>
                <w:ilvl w:val="0"/>
                <w:numId w:val="1260"/>
              </w:numPr>
              <w:tabs>
                <w:tab w:val="left" w:pos="163"/>
              </w:tabs>
              <w:spacing w:line="237" w:lineRule="auto"/>
              <w:ind w:right="137"/>
              <w:rPr>
                <w:sz w:val="14"/>
              </w:rPr>
            </w:pPr>
            <w:r>
              <w:rPr>
                <w:color w:val="231F20"/>
                <w:sz w:val="14"/>
              </w:rPr>
              <w:t xml:space="preserve">Техника кошарке. Шутирање на </w:t>
            </w:r>
            <w:r>
              <w:rPr>
                <w:color w:val="231F20"/>
                <w:spacing w:val="-3"/>
                <w:sz w:val="14"/>
              </w:rPr>
              <w:t xml:space="preserve">кош </w:t>
            </w:r>
            <w:r>
              <w:rPr>
                <w:color w:val="231F20"/>
                <w:sz w:val="14"/>
              </w:rPr>
              <w:t xml:space="preserve">из места и кретања, шут са једном или обема рукама, са разних одстојања </w:t>
            </w:r>
            <w:r>
              <w:rPr>
                <w:color w:val="231F20"/>
                <w:spacing w:val="-3"/>
                <w:sz w:val="14"/>
              </w:rPr>
              <w:t>од</w:t>
            </w:r>
            <w:r>
              <w:rPr>
                <w:color w:val="231F20"/>
                <w:spacing w:val="-7"/>
                <w:sz w:val="14"/>
              </w:rPr>
              <w:t xml:space="preserve"> </w:t>
            </w:r>
            <w:r>
              <w:rPr>
                <w:color w:val="231F20"/>
                <w:sz w:val="14"/>
              </w:rPr>
              <w:t>коша.</w:t>
            </w:r>
          </w:p>
          <w:p w:rsidR="00041039" w:rsidRDefault="001B26CB">
            <w:pPr>
              <w:pStyle w:val="TableParagraph"/>
              <w:ind w:left="162" w:right="220"/>
              <w:rPr>
                <w:sz w:val="14"/>
              </w:rPr>
            </w:pPr>
            <w:r>
              <w:rPr>
                <w:color w:val="231F20"/>
                <w:sz w:val="14"/>
              </w:rPr>
              <w:t>Постављање и кретање играча у нападу и одбрани. Одбрана „зоном” и „човек на</w:t>
            </w:r>
          </w:p>
          <w:p w:rsidR="00041039" w:rsidRDefault="001B26CB">
            <w:pPr>
              <w:pStyle w:val="TableParagraph"/>
              <w:ind w:left="162"/>
              <w:rPr>
                <w:sz w:val="14"/>
              </w:rPr>
            </w:pPr>
            <w:r>
              <w:rPr>
                <w:color w:val="231F20"/>
                <w:sz w:val="14"/>
              </w:rPr>
              <w:t>човека”. Напад против ових врста одбрана. Контранапад у разним варијантама и принцип блока.</w:t>
            </w:r>
          </w:p>
          <w:p w:rsidR="00041039" w:rsidRDefault="001B26CB">
            <w:pPr>
              <w:pStyle w:val="TableParagraph"/>
              <w:numPr>
                <w:ilvl w:val="0"/>
                <w:numId w:val="1260"/>
              </w:numPr>
              <w:tabs>
                <w:tab w:val="left" w:pos="163"/>
              </w:tabs>
              <w:spacing w:line="158" w:lineRule="exact"/>
              <w:rPr>
                <w:sz w:val="14"/>
              </w:rPr>
            </w:pPr>
            <w:r>
              <w:rPr>
                <w:color w:val="231F20"/>
                <w:sz w:val="14"/>
              </w:rPr>
              <w:t>Правила</w:t>
            </w:r>
            <w:r>
              <w:rPr>
                <w:color w:val="231F20"/>
                <w:sz w:val="14"/>
              </w:rPr>
              <w:t xml:space="preserve"> игре и</w:t>
            </w:r>
            <w:r>
              <w:rPr>
                <w:color w:val="231F20"/>
                <w:spacing w:val="-4"/>
                <w:sz w:val="14"/>
              </w:rPr>
              <w:t xml:space="preserve"> </w:t>
            </w:r>
            <w:r>
              <w:rPr>
                <w:color w:val="231F20"/>
                <w:sz w:val="14"/>
              </w:rPr>
              <w:t>суђење.</w:t>
            </w:r>
          </w:p>
          <w:p w:rsidR="00041039" w:rsidRDefault="001B26CB">
            <w:pPr>
              <w:pStyle w:val="TableParagraph"/>
              <w:numPr>
                <w:ilvl w:val="0"/>
                <w:numId w:val="1260"/>
              </w:numPr>
              <w:tabs>
                <w:tab w:val="left" w:pos="163"/>
              </w:tabs>
              <w:ind w:right="296"/>
              <w:rPr>
                <w:sz w:val="14"/>
              </w:rPr>
            </w:pPr>
            <w:r>
              <w:rPr>
                <w:color w:val="231F20"/>
                <w:sz w:val="14"/>
              </w:rPr>
              <w:t>Учествовање на разредним н</w:t>
            </w:r>
            <w:r>
              <w:rPr>
                <w:color w:val="231F20"/>
                <w:spacing w:val="-20"/>
                <w:sz w:val="14"/>
              </w:rPr>
              <w:t xml:space="preserve"> </w:t>
            </w:r>
            <w:r>
              <w:rPr>
                <w:color w:val="231F20"/>
                <w:sz w:val="14"/>
              </w:rPr>
              <w:t>школским такмичењима.</w:t>
            </w:r>
          </w:p>
          <w:p w:rsidR="00041039" w:rsidRDefault="00041039">
            <w:pPr>
              <w:pStyle w:val="TableParagraph"/>
              <w:spacing w:before="4"/>
              <w:ind w:left="0"/>
              <w:rPr>
                <w:b/>
                <w:sz w:val="13"/>
              </w:rPr>
            </w:pPr>
          </w:p>
          <w:p w:rsidR="00041039" w:rsidRDefault="001B26CB">
            <w:pPr>
              <w:pStyle w:val="TableParagraph"/>
              <w:spacing w:line="161" w:lineRule="exact"/>
              <w:ind w:left="57"/>
              <w:rPr>
                <w:b/>
                <w:sz w:val="14"/>
              </w:rPr>
            </w:pPr>
            <w:r>
              <w:rPr>
                <w:b/>
                <w:color w:val="231F20"/>
                <w:sz w:val="14"/>
              </w:rPr>
              <w:t>ОДБОЈКА</w:t>
            </w:r>
          </w:p>
          <w:p w:rsidR="00041039" w:rsidRDefault="001B26CB">
            <w:pPr>
              <w:pStyle w:val="TableParagraph"/>
              <w:numPr>
                <w:ilvl w:val="0"/>
                <w:numId w:val="1260"/>
              </w:numPr>
              <w:tabs>
                <w:tab w:val="left" w:pos="163"/>
              </w:tabs>
              <w:ind w:right="367"/>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основну</w:t>
            </w:r>
            <w:r>
              <w:rPr>
                <w:color w:val="231F20"/>
                <w:spacing w:val="-1"/>
                <w:sz w:val="14"/>
              </w:rPr>
              <w:t xml:space="preserve"> </w:t>
            </w:r>
            <w:r>
              <w:rPr>
                <w:color w:val="231F20"/>
                <w:spacing w:val="-5"/>
                <w:sz w:val="14"/>
              </w:rPr>
              <w:t>школу.</w:t>
            </w:r>
          </w:p>
        </w:tc>
        <w:tc>
          <w:tcPr>
            <w:tcW w:w="2267" w:type="dxa"/>
          </w:tcPr>
          <w:p w:rsidR="00041039" w:rsidRDefault="001B26CB">
            <w:pPr>
              <w:pStyle w:val="TableParagraph"/>
              <w:spacing w:before="19" w:line="161" w:lineRule="exact"/>
              <w:ind w:left="57"/>
              <w:rPr>
                <w:b/>
                <w:sz w:val="14"/>
              </w:rPr>
            </w:pPr>
            <w:r>
              <w:rPr>
                <w:b/>
                <w:color w:val="231F20"/>
                <w:sz w:val="14"/>
              </w:rPr>
              <w:t>Садржај циклуса је:</w:t>
            </w:r>
          </w:p>
          <w:p w:rsidR="00041039" w:rsidRDefault="001B26CB">
            <w:pPr>
              <w:pStyle w:val="TableParagraph"/>
              <w:numPr>
                <w:ilvl w:val="0"/>
                <w:numId w:val="1259"/>
              </w:numPr>
              <w:tabs>
                <w:tab w:val="left" w:pos="163"/>
              </w:tabs>
              <w:ind w:right="169"/>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1259"/>
              </w:numPr>
              <w:tabs>
                <w:tab w:val="left" w:pos="163"/>
              </w:tabs>
              <w:spacing w:line="159"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1259"/>
              </w:numPr>
              <w:tabs>
                <w:tab w:val="left" w:pos="163"/>
              </w:tabs>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1259"/>
              </w:numPr>
              <w:tabs>
                <w:tab w:val="left" w:pos="163"/>
              </w:tabs>
              <w:spacing w:line="159"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1259"/>
              </w:numPr>
              <w:tabs>
                <w:tab w:val="left" w:pos="163"/>
              </w:tabs>
              <w:ind w:right="244"/>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9" w:lineRule="exact"/>
              <w:ind w:left="162"/>
              <w:rPr>
                <w:sz w:val="14"/>
              </w:rPr>
            </w:pPr>
            <w:r>
              <w:rPr>
                <w:color w:val="231F20"/>
                <w:sz w:val="14"/>
              </w:rPr>
              <w:t>- један.</w:t>
            </w:r>
          </w:p>
          <w:p w:rsidR="00041039" w:rsidRDefault="001B26CB">
            <w:pPr>
              <w:pStyle w:val="TableParagraph"/>
              <w:ind w:left="57" w:right="42"/>
              <w:rPr>
                <w:sz w:val="14"/>
              </w:rPr>
            </w:pPr>
            <w:r>
              <w:rPr>
                <w:b/>
                <w:color w:val="231F20"/>
                <w:sz w:val="14"/>
              </w:rPr>
              <w:t xml:space="preserve">Начин остваривања програма </w:t>
            </w:r>
            <w:r>
              <w:rPr>
                <w:color w:val="231F20"/>
                <w:sz w:val="14"/>
              </w:rPr>
              <w:t>Садржаји програма усмерени су на: развијање физичких способности; спортско ­ техничко образовање; повезивање физичког васпитања са животом и радом.</w:t>
            </w:r>
          </w:p>
          <w:p w:rsidR="00041039" w:rsidRDefault="001B26CB">
            <w:pPr>
              <w:pStyle w:val="TableParagraph"/>
              <w:spacing w:line="237" w:lineRule="auto"/>
              <w:ind w:left="57"/>
              <w:rPr>
                <w:sz w:val="14"/>
              </w:rPr>
            </w:pPr>
            <w:r>
              <w:rPr>
                <w:color w:val="231F20"/>
                <w:sz w:val="14"/>
              </w:rPr>
              <w:t>Годишњи план, програм и распоред кросева, такмичења, зимовања</w:t>
            </w:r>
          </w:p>
          <w:p w:rsidR="00041039" w:rsidRDefault="001B26CB">
            <w:pPr>
              <w:pStyle w:val="TableParagraph"/>
              <w:ind w:left="57" w:right="252"/>
              <w:rPr>
                <w:sz w:val="14"/>
              </w:rPr>
            </w:pPr>
            <w:r>
              <w:rPr>
                <w:color w:val="231F20"/>
                <w:sz w:val="14"/>
              </w:rPr>
              <w:t xml:space="preserve">и других облика рада утврђује се на почетку </w:t>
            </w:r>
            <w:r>
              <w:rPr>
                <w:color w:val="231F20"/>
                <w:spacing w:val="-3"/>
                <w:sz w:val="14"/>
              </w:rPr>
              <w:t>шк</w:t>
            </w:r>
            <w:r>
              <w:rPr>
                <w:color w:val="231F20"/>
                <w:spacing w:val="-3"/>
                <w:sz w:val="14"/>
              </w:rPr>
              <w:t xml:space="preserve">олске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7" w:lineRule="auto"/>
              <w:ind w:left="57"/>
              <w:rPr>
                <w:sz w:val="14"/>
              </w:rPr>
            </w:pPr>
            <w:r>
              <w:rPr>
                <w:color w:val="231F20"/>
                <w:sz w:val="14"/>
              </w:rPr>
              <w:t>стручног већа наставника физичког васпитања.</w:t>
            </w:r>
          </w:p>
          <w:p w:rsidR="00041039" w:rsidRDefault="001B26CB">
            <w:pPr>
              <w:pStyle w:val="TableParagraph"/>
              <w:ind w:left="57"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7" w:lineRule="auto"/>
              <w:ind w:left="57" w:right="40"/>
              <w:rPr>
                <w:sz w:val="14"/>
              </w:rPr>
            </w:pPr>
            <w:r>
              <w:rPr>
                <w:color w:val="231F20"/>
                <w:sz w:val="14"/>
              </w:rPr>
              <w:t>Часови у току недеље треба да буду распоређен</w:t>
            </w:r>
            <w:r>
              <w:rPr>
                <w:color w:val="231F20"/>
                <w:sz w:val="14"/>
              </w:rPr>
              <w:t xml:space="preserve">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p w:rsidR="00041039" w:rsidRDefault="001B26CB">
            <w:pPr>
              <w:pStyle w:val="TableParagraph"/>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ind w:left="57" w:right="157"/>
              <w:rPr>
                <w:sz w:val="14"/>
              </w:rPr>
            </w:pPr>
            <w:r>
              <w:rPr>
                <w:color w:val="231F20"/>
                <w:sz w:val="14"/>
              </w:rPr>
              <w:t>за ученике и одвојено</w:t>
            </w:r>
            <w:r>
              <w:rPr>
                <w:color w:val="231F20"/>
                <w:sz w:val="14"/>
              </w:rPr>
              <w:t xml:space="preserve"> за ученице, а само у школама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ind w:left="0"/>
              <w:rPr>
                <w:b/>
                <w:sz w:val="13"/>
              </w:rPr>
            </w:pPr>
          </w:p>
          <w:p w:rsidR="00041039" w:rsidRDefault="001B26CB">
            <w:pPr>
              <w:pStyle w:val="TableParagraph"/>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w:t>
            </w:r>
            <w:r>
              <w:rPr>
                <w:color w:val="231F20"/>
                <w:sz w:val="14"/>
              </w:rPr>
              <w:t xml:space="preserve"> играма.</w:t>
            </w:r>
          </w:p>
          <w:p w:rsidR="00041039" w:rsidRDefault="00041039">
            <w:pPr>
              <w:pStyle w:val="TableParagraph"/>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258"/>
              </w:numPr>
              <w:tabs>
                <w:tab w:val="left" w:pos="158"/>
              </w:tabs>
              <w:spacing w:line="237" w:lineRule="auto"/>
              <w:ind w:right="246"/>
              <w:rPr>
                <w:b/>
                <w:sz w:val="14"/>
              </w:rPr>
            </w:pPr>
            <w:r>
              <w:rPr>
                <w:color w:val="231F20"/>
                <w:sz w:val="14"/>
              </w:rPr>
              <w:t>Тестирање и провера савлада­ ности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1258"/>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1258"/>
              </w:numPr>
              <w:tabs>
                <w:tab w:val="left" w:pos="158"/>
              </w:tabs>
              <w:spacing w:line="155" w:lineRule="exact"/>
              <w:rPr>
                <w:b/>
                <w:sz w:val="14"/>
              </w:rPr>
            </w:pPr>
            <w:r>
              <w:rPr>
                <w:color w:val="231F20"/>
                <w:spacing w:val="-3"/>
                <w:sz w:val="14"/>
              </w:rPr>
              <w:t xml:space="preserve">Атлетика </w:t>
            </w:r>
            <w:r>
              <w:rPr>
                <w:b/>
                <w:color w:val="231F20"/>
                <w:sz w:val="14"/>
              </w:rPr>
              <w:t>(10</w:t>
            </w:r>
            <w:r>
              <w:rPr>
                <w:b/>
                <w:color w:val="231F20"/>
                <w:spacing w:val="1"/>
                <w:sz w:val="14"/>
              </w:rPr>
              <w:t xml:space="preserve"> </w:t>
            </w:r>
            <w:r>
              <w:rPr>
                <w:b/>
                <w:color w:val="231F20"/>
                <w:sz w:val="14"/>
              </w:rPr>
              <w:t>часова)</w:t>
            </w:r>
          </w:p>
          <w:p w:rsidR="00041039" w:rsidRDefault="001B26CB">
            <w:pPr>
              <w:pStyle w:val="TableParagraph"/>
              <w:numPr>
                <w:ilvl w:val="0"/>
                <w:numId w:val="1258"/>
              </w:numPr>
              <w:tabs>
                <w:tab w:val="left" w:pos="158"/>
              </w:tabs>
              <w:spacing w:line="237" w:lineRule="auto"/>
              <w:ind w:right="104"/>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258"/>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numPr>
                <w:ilvl w:val="0"/>
                <w:numId w:val="1258"/>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258"/>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1258"/>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извође</w:t>
            </w:r>
            <w:r>
              <w:rPr>
                <w:color w:val="231F20"/>
                <w:sz w:val="14"/>
              </w:rPr>
              <w:t>ње редовне наставе школау току школске године организује: Два целодневна излета са пеша­ чењем:</w:t>
            </w:r>
          </w:p>
          <w:p w:rsidR="00041039" w:rsidRDefault="001B26CB">
            <w:pPr>
              <w:pStyle w:val="TableParagraph"/>
              <w:numPr>
                <w:ilvl w:val="0"/>
                <w:numId w:val="1257"/>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1257"/>
              </w:numPr>
              <w:tabs>
                <w:tab w:val="left" w:pos="163"/>
              </w:tabs>
              <w:ind w:right="180"/>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1257"/>
              </w:numPr>
              <w:tabs>
                <w:tab w:val="left" w:pos="163"/>
              </w:tabs>
              <w:ind w:right="134"/>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spacing w:line="155" w:lineRule="exact"/>
              <w:ind w:left="57"/>
              <w:rPr>
                <w:sz w:val="14"/>
              </w:rPr>
            </w:pPr>
            <w:r>
              <w:rPr>
                <w:color w:val="231F20"/>
                <w:sz w:val="14"/>
              </w:rPr>
              <w:t>Два кроса: јесењи и пролећни.</w:t>
            </w:r>
          </w:p>
        </w:tc>
      </w:tr>
    </w:tbl>
    <w:p w:rsidR="00041039" w:rsidRDefault="00041039">
      <w:pPr>
        <w:spacing w:line="155"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480"/>
        </w:trPr>
        <w:tc>
          <w:tcPr>
            <w:tcW w:w="130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11"/>
              <w:ind w:left="0"/>
              <w:rPr>
                <w:b/>
                <w:sz w:val="18"/>
              </w:rPr>
            </w:pPr>
          </w:p>
          <w:p w:rsidR="00041039" w:rsidRDefault="001B26CB">
            <w:pPr>
              <w:pStyle w:val="TableParagraph"/>
              <w:ind w:left="56"/>
              <w:rPr>
                <w:sz w:val="14"/>
              </w:rPr>
            </w:pPr>
            <w:r>
              <w:rPr>
                <w:color w:val="231F20"/>
                <w:sz w:val="14"/>
              </w:rPr>
              <w:t>Пливање</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1"/>
              <w:ind w:left="0"/>
              <w:rPr>
                <w:b/>
                <w:sz w:val="13"/>
              </w:rPr>
            </w:pPr>
          </w:p>
          <w:p w:rsidR="00041039" w:rsidRDefault="001B26CB">
            <w:pPr>
              <w:pStyle w:val="TableParagraph"/>
              <w:spacing w:before="1"/>
              <w:ind w:left="56"/>
              <w:rPr>
                <w:sz w:val="14"/>
              </w:rPr>
            </w:pPr>
            <w:r>
              <w:rPr>
                <w:color w:val="231F20"/>
                <w:sz w:val="14"/>
              </w:rPr>
              <w:t>Борилачке вештине</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2"/>
              <w:ind w:left="0"/>
              <w:rPr>
                <w:b/>
                <w:sz w:val="15"/>
              </w:rPr>
            </w:pPr>
          </w:p>
          <w:p w:rsidR="00041039" w:rsidRDefault="001B26CB">
            <w:pPr>
              <w:pStyle w:val="TableParagraph"/>
              <w:ind w:left="56"/>
              <w:rPr>
                <w:sz w:val="14"/>
              </w:rPr>
            </w:pPr>
            <w:r>
              <w:rPr>
                <w:color w:val="231F20"/>
                <w:sz w:val="14"/>
              </w:rPr>
              <w:t>Клизање, скијање</w:t>
            </w: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1B26CB">
            <w:pPr>
              <w:pStyle w:val="TableParagraph"/>
              <w:numPr>
                <w:ilvl w:val="0"/>
                <w:numId w:val="1256"/>
              </w:numPr>
              <w:tabs>
                <w:tab w:val="left" w:pos="163"/>
              </w:tabs>
              <w:spacing w:before="18"/>
              <w:ind w:right="79"/>
              <w:rPr>
                <w:sz w:val="14"/>
              </w:rPr>
            </w:pPr>
            <w:r>
              <w:rPr>
                <w:color w:val="231F20"/>
                <w:sz w:val="14"/>
              </w:rPr>
              <w:t xml:space="preserve">Техника одбојке. Игра са повученим и истуреним центром. Смечирање н његова блокада. </w:t>
            </w:r>
            <w:r>
              <w:rPr>
                <w:color w:val="231F20"/>
                <w:spacing w:val="-3"/>
                <w:sz w:val="14"/>
              </w:rPr>
              <w:t xml:space="preserve">Уигравање </w:t>
            </w:r>
            <w:r>
              <w:rPr>
                <w:color w:val="231F20"/>
                <w:sz w:val="14"/>
              </w:rPr>
              <w:t>кроз тренажни</w:t>
            </w:r>
            <w:r>
              <w:rPr>
                <w:color w:val="231F20"/>
                <w:spacing w:val="1"/>
                <w:sz w:val="14"/>
              </w:rPr>
              <w:t xml:space="preserve"> </w:t>
            </w:r>
            <w:r>
              <w:rPr>
                <w:color w:val="231F20"/>
                <w:sz w:val="14"/>
              </w:rPr>
              <w:t>процес.</w:t>
            </w:r>
          </w:p>
          <w:p w:rsidR="00041039" w:rsidRDefault="001B26CB">
            <w:pPr>
              <w:pStyle w:val="TableParagraph"/>
              <w:numPr>
                <w:ilvl w:val="0"/>
                <w:numId w:val="1256"/>
              </w:numPr>
              <w:tabs>
                <w:tab w:val="left" w:pos="163"/>
              </w:tabs>
              <w:spacing w:line="158" w:lineRule="exact"/>
              <w:rPr>
                <w:sz w:val="14"/>
              </w:rPr>
            </w:pPr>
            <w:r>
              <w:rPr>
                <w:color w:val="231F20"/>
                <w:sz w:val="14"/>
              </w:rPr>
              <w:t>Правила игре и</w:t>
            </w:r>
            <w:r>
              <w:rPr>
                <w:color w:val="231F20"/>
                <w:spacing w:val="-4"/>
                <w:sz w:val="14"/>
              </w:rPr>
              <w:t xml:space="preserve"> </w:t>
            </w:r>
            <w:r>
              <w:rPr>
                <w:color w:val="231F20"/>
                <w:sz w:val="14"/>
              </w:rPr>
              <w:t>суђења.</w:t>
            </w:r>
          </w:p>
          <w:p w:rsidR="00041039" w:rsidRDefault="001B26CB">
            <w:pPr>
              <w:pStyle w:val="TableParagraph"/>
              <w:numPr>
                <w:ilvl w:val="0"/>
                <w:numId w:val="1256"/>
              </w:numPr>
              <w:tabs>
                <w:tab w:val="left" w:pos="163"/>
              </w:tabs>
              <w:ind w:right="103"/>
              <w:rPr>
                <w:sz w:val="14"/>
              </w:rPr>
            </w:pPr>
            <w:r>
              <w:rPr>
                <w:color w:val="231F20"/>
                <w:sz w:val="14"/>
              </w:rPr>
              <w:t>Учествовање на одељењским, разредним</w:t>
            </w:r>
            <w:r>
              <w:rPr>
                <w:color w:val="231F20"/>
                <w:spacing w:val="-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p w:rsidR="00041039" w:rsidRDefault="00041039">
            <w:pPr>
              <w:pStyle w:val="TableParagraph"/>
              <w:spacing w:before="8"/>
              <w:ind w:left="0"/>
              <w:rPr>
                <w:b/>
                <w:sz w:val="13"/>
              </w:rPr>
            </w:pPr>
          </w:p>
          <w:p w:rsidR="00041039" w:rsidRDefault="001B26CB">
            <w:pPr>
              <w:pStyle w:val="TableParagraph"/>
              <w:spacing w:line="161" w:lineRule="exact"/>
              <w:ind w:left="57"/>
              <w:rPr>
                <w:b/>
                <w:sz w:val="14"/>
              </w:rPr>
            </w:pPr>
            <w:r>
              <w:rPr>
                <w:b/>
                <w:color w:val="231F20"/>
                <w:sz w:val="14"/>
              </w:rPr>
              <w:t>ПЛИВАЊЕ</w:t>
            </w:r>
          </w:p>
          <w:p w:rsidR="00041039" w:rsidRDefault="001B26CB">
            <w:pPr>
              <w:pStyle w:val="TableParagraph"/>
              <w:numPr>
                <w:ilvl w:val="0"/>
                <w:numId w:val="1256"/>
              </w:numPr>
              <w:tabs>
                <w:tab w:val="left" w:pos="163"/>
              </w:tabs>
              <w:ind w:right="64"/>
              <w:rPr>
                <w:sz w:val="14"/>
              </w:rPr>
            </w:pPr>
            <w:r>
              <w:rPr>
                <w:color w:val="231F20"/>
                <w:sz w:val="14"/>
              </w:rPr>
              <w:t>Упознавање и примена основних</w:t>
            </w:r>
            <w:r>
              <w:rPr>
                <w:color w:val="231F20"/>
                <w:spacing w:val="-20"/>
                <w:sz w:val="14"/>
              </w:rPr>
              <w:t xml:space="preserve"> </w:t>
            </w:r>
            <w:r>
              <w:rPr>
                <w:color w:val="231F20"/>
                <w:sz w:val="14"/>
              </w:rPr>
              <w:t>сигурнос­ них мера у</w:t>
            </w:r>
            <w:r>
              <w:rPr>
                <w:color w:val="231F20"/>
                <w:spacing w:val="-1"/>
                <w:sz w:val="14"/>
              </w:rPr>
              <w:t xml:space="preserve"> </w:t>
            </w:r>
            <w:r>
              <w:rPr>
                <w:color w:val="231F20"/>
                <w:spacing w:val="-3"/>
                <w:sz w:val="14"/>
              </w:rPr>
              <w:t>пливању.</w:t>
            </w:r>
          </w:p>
          <w:p w:rsidR="00041039" w:rsidRDefault="001B26CB">
            <w:pPr>
              <w:pStyle w:val="TableParagraph"/>
              <w:numPr>
                <w:ilvl w:val="0"/>
                <w:numId w:val="1256"/>
              </w:numPr>
              <w:tabs>
                <w:tab w:val="left" w:pos="163"/>
              </w:tabs>
              <w:ind w:right="53"/>
              <w:rPr>
                <w:sz w:val="14"/>
              </w:rPr>
            </w:pPr>
            <w:r>
              <w:rPr>
                <w:color w:val="231F20"/>
                <w:spacing w:val="-3"/>
                <w:sz w:val="14"/>
              </w:rPr>
              <w:t xml:space="preserve">Усвајање </w:t>
            </w:r>
            <w:r>
              <w:rPr>
                <w:color w:val="231F20"/>
                <w:sz w:val="14"/>
              </w:rPr>
              <w:t>две технике пливања (по скло­ ностима и избору ученика). Вежбање ради постизања бољих резултата, Скок на</w:t>
            </w:r>
            <w:r>
              <w:rPr>
                <w:color w:val="231F20"/>
                <w:spacing w:val="-22"/>
                <w:sz w:val="14"/>
              </w:rPr>
              <w:t xml:space="preserve"> </w:t>
            </w:r>
            <w:r>
              <w:rPr>
                <w:color w:val="231F20"/>
                <w:sz w:val="14"/>
              </w:rPr>
              <w:t>старту и</w:t>
            </w:r>
            <w:r>
              <w:rPr>
                <w:color w:val="231F20"/>
                <w:spacing w:val="-1"/>
                <w:sz w:val="14"/>
              </w:rPr>
              <w:t xml:space="preserve"> </w:t>
            </w:r>
            <w:r>
              <w:rPr>
                <w:color w:val="231F20"/>
                <w:sz w:val="14"/>
              </w:rPr>
              <w:t>окрети.</w:t>
            </w:r>
          </w:p>
          <w:p w:rsidR="00041039" w:rsidRDefault="001B26CB">
            <w:pPr>
              <w:pStyle w:val="TableParagraph"/>
              <w:numPr>
                <w:ilvl w:val="0"/>
                <w:numId w:val="1256"/>
              </w:numPr>
              <w:tabs>
                <w:tab w:val="left" w:pos="163"/>
              </w:tabs>
              <w:spacing w:line="237" w:lineRule="auto"/>
              <w:ind w:right="103"/>
              <w:rPr>
                <w:sz w:val="14"/>
              </w:rPr>
            </w:pPr>
            <w:r>
              <w:rPr>
                <w:color w:val="231F20"/>
                <w:sz w:val="14"/>
              </w:rPr>
              <w:t>Учествовање на одељењским, разредним</w:t>
            </w:r>
            <w:r>
              <w:rPr>
                <w:color w:val="231F20"/>
                <w:spacing w:val="-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p w:rsidR="00041039" w:rsidRDefault="00041039">
            <w:pPr>
              <w:pStyle w:val="TableParagraph"/>
              <w:spacing w:before="5"/>
              <w:ind w:left="0"/>
              <w:rPr>
                <w:b/>
                <w:sz w:val="13"/>
              </w:rPr>
            </w:pPr>
          </w:p>
          <w:p w:rsidR="00041039" w:rsidRDefault="001B26CB">
            <w:pPr>
              <w:pStyle w:val="TableParagraph"/>
              <w:spacing w:before="1" w:line="161" w:lineRule="exact"/>
              <w:ind w:left="57"/>
              <w:rPr>
                <w:b/>
                <w:sz w:val="14"/>
              </w:rPr>
            </w:pPr>
            <w:r>
              <w:rPr>
                <w:b/>
                <w:color w:val="231F20"/>
                <w:sz w:val="14"/>
              </w:rPr>
              <w:t>БОРИЛАЧКЕ ВЕШТИНЕ</w:t>
            </w:r>
          </w:p>
          <w:p w:rsidR="00041039" w:rsidRDefault="001B26CB">
            <w:pPr>
              <w:pStyle w:val="TableParagraph"/>
              <w:numPr>
                <w:ilvl w:val="0"/>
                <w:numId w:val="1256"/>
              </w:numPr>
              <w:tabs>
                <w:tab w:val="left" w:pos="163"/>
              </w:tabs>
              <w:ind w:right="184"/>
              <w:rPr>
                <w:sz w:val="14"/>
              </w:rPr>
            </w:pPr>
            <w:r>
              <w:rPr>
                <w:color w:val="231F20"/>
                <w:sz w:val="14"/>
              </w:rPr>
              <w:t>Избор</w:t>
            </w:r>
            <w:r>
              <w:rPr>
                <w:color w:val="231F20"/>
                <w:spacing w:val="-7"/>
                <w:sz w:val="14"/>
              </w:rPr>
              <w:t xml:space="preserve"> </w:t>
            </w:r>
            <w:r>
              <w:rPr>
                <w:color w:val="231F20"/>
                <w:sz w:val="14"/>
              </w:rPr>
              <w:t>борилачке</w:t>
            </w:r>
            <w:r>
              <w:rPr>
                <w:color w:val="231F20"/>
                <w:spacing w:val="-6"/>
                <w:sz w:val="14"/>
              </w:rPr>
              <w:t xml:space="preserve"> </w:t>
            </w:r>
            <w:r>
              <w:rPr>
                <w:color w:val="231F20"/>
                <w:sz w:val="14"/>
              </w:rPr>
              <w:t>вештине</w:t>
            </w:r>
            <w:r>
              <w:rPr>
                <w:color w:val="231F20"/>
                <w:spacing w:val="-6"/>
                <w:sz w:val="14"/>
              </w:rPr>
              <w:t xml:space="preserve"> </w:t>
            </w:r>
            <w:r>
              <w:rPr>
                <w:color w:val="231F20"/>
                <w:sz w:val="14"/>
              </w:rPr>
              <w:t>која</w:t>
            </w:r>
            <w:r>
              <w:rPr>
                <w:color w:val="231F20"/>
                <w:spacing w:val="-6"/>
                <w:sz w:val="14"/>
              </w:rPr>
              <w:t xml:space="preserve"> </w:t>
            </w:r>
            <w:r>
              <w:rPr>
                <w:color w:val="231F20"/>
                <w:sz w:val="14"/>
              </w:rPr>
              <w:t>се</w:t>
            </w:r>
            <w:r>
              <w:rPr>
                <w:color w:val="231F20"/>
                <w:spacing w:val="-6"/>
                <w:sz w:val="14"/>
              </w:rPr>
              <w:t xml:space="preserve"> </w:t>
            </w:r>
            <w:r>
              <w:rPr>
                <w:color w:val="231F20"/>
                <w:sz w:val="14"/>
              </w:rPr>
              <w:t>изучава на матичним факултетима спорта и физичког васпитања и која је у програ­ му Школских спортских</w:t>
            </w:r>
            <w:r>
              <w:rPr>
                <w:color w:val="231F20"/>
                <w:spacing w:val="-5"/>
                <w:sz w:val="14"/>
              </w:rPr>
              <w:t xml:space="preserve"> </w:t>
            </w:r>
            <w:r>
              <w:rPr>
                <w:color w:val="231F20"/>
                <w:sz w:val="14"/>
              </w:rPr>
              <w:t>такмичења.</w:t>
            </w:r>
          </w:p>
          <w:p w:rsidR="00041039" w:rsidRDefault="001B26CB">
            <w:pPr>
              <w:pStyle w:val="TableParagraph"/>
              <w:spacing w:line="237" w:lineRule="auto"/>
              <w:ind w:left="162" w:right="94"/>
              <w:rPr>
                <w:sz w:val="14"/>
              </w:rPr>
            </w:pPr>
            <w:r>
              <w:rPr>
                <w:color w:val="231F20"/>
                <w:sz w:val="14"/>
              </w:rPr>
              <w:t>Наставник у складу са могућностима шко­ ле и интересовањима ученика предлаже наставни програм.</w:t>
            </w:r>
          </w:p>
          <w:p w:rsidR="00041039" w:rsidRDefault="00041039">
            <w:pPr>
              <w:pStyle w:val="TableParagraph"/>
              <w:spacing w:before="7"/>
              <w:ind w:left="0"/>
              <w:rPr>
                <w:b/>
                <w:sz w:val="13"/>
              </w:rPr>
            </w:pPr>
          </w:p>
          <w:p w:rsidR="00041039" w:rsidRDefault="001B26CB">
            <w:pPr>
              <w:pStyle w:val="TableParagraph"/>
              <w:spacing w:before="1" w:line="161" w:lineRule="exact"/>
              <w:ind w:left="57"/>
              <w:rPr>
                <w:b/>
                <w:sz w:val="14"/>
              </w:rPr>
            </w:pPr>
            <w:r>
              <w:rPr>
                <w:b/>
                <w:color w:val="231F20"/>
                <w:sz w:val="14"/>
              </w:rPr>
              <w:t>КЛИЗАЊЕ И СКИЈАЊЕ</w:t>
            </w:r>
          </w:p>
          <w:p w:rsidR="00041039" w:rsidRDefault="001B26CB">
            <w:pPr>
              <w:pStyle w:val="TableParagraph"/>
              <w:numPr>
                <w:ilvl w:val="0"/>
                <w:numId w:val="1256"/>
              </w:numPr>
              <w:tabs>
                <w:tab w:val="left" w:pos="163"/>
              </w:tabs>
              <w:ind w:right="191"/>
              <w:rPr>
                <w:sz w:val="14"/>
              </w:rPr>
            </w:pPr>
            <w:r>
              <w:rPr>
                <w:color w:val="231F20"/>
                <w:sz w:val="14"/>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 тима.</w:t>
            </w:r>
          </w:p>
        </w:tc>
        <w:tc>
          <w:tcPr>
            <w:tcW w:w="2267" w:type="dxa"/>
          </w:tcPr>
          <w:p w:rsidR="00041039" w:rsidRDefault="001B26CB">
            <w:pPr>
              <w:pStyle w:val="TableParagraph"/>
              <w:spacing w:before="19"/>
              <w:ind w:left="57"/>
              <w:rPr>
                <w:sz w:val="14"/>
              </w:rPr>
            </w:pPr>
            <w:r>
              <w:rPr>
                <w:color w:val="231F20"/>
                <w:sz w:val="14"/>
              </w:rPr>
              <w:t>Стручно веће наставник</w:t>
            </w:r>
            <w:r>
              <w:rPr>
                <w:color w:val="231F20"/>
                <w:sz w:val="14"/>
              </w:rPr>
              <w:t>а физичког васпитања утврђује програм и садржај излета и дужину стазе за кросеве, према узрасту ученика.</w:t>
            </w:r>
          </w:p>
          <w:p w:rsidR="00041039" w:rsidRDefault="00041039">
            <w:pPr>
              <w:pStyle w:val="TableParagraph"/>
              <w:spacing w:before="6"/>
              <w:ind w:left="0"/>
              <w:rPr>
                <w:b/>
                <w:sz w:val="13"/>
              </w:rPr>
            </w:pPr>
          </w:p>
          <w:p w:rsidR="00041039" w:rsidRDefault="001B26CB">
            <w:pPr>
              <w:pStyle w:val="TableParagraph"/>
              <w:ind w:left="57" w:right="387"/>
              <w:rPr>
                <w:sz w:val="14"/>
              </w:rPr>
            </w:pPr>
            <w:r>
              <w:rPr>
                <w:color w:val="231F20"/>
                <w:sz w:val="14"/>
              </w:rPr>
              <w:t>Школа организује и спрово­ ди спортска такмичења, као</w:t>
            </w:r>
          </w:p>
          <w:p w:rsidR="00041039" w:rsidRDefault="001B26CB">
            <w:pPr>
              <w:pStyle w:val="TableParagraph"/>
              <w:ind w:left="57" w:right="132"/>
              <w:rPr>
                <w:sz w:val="14"/>
              </w:rPr>
            </w:pPr>
            <w:r>
              <w:rPr>
                <w:color w:val="231F20"/>
                <w:sz w:val="14"/>
              </w:rPr>
              <w:t>јединствени део процеса наставе физичког васпитања. Спортска такмичења организују се у оквиру ра</w:t>
            </w:r>
            <w:r>
              <w:rPr>
                <w:color w:val="231F20"/>
                <w:sz w:val="14"/>
              </w:rPr>
              <w:t>дне суботе и у друго време</w:t>
            </w:r>
          </w:p>
          <w:p w:rsidR="00041039" w:rsidRDefault="001B26CB">
            <w:pPr>
              <w:pStyle w:val="TableParagraph"/>
              <w:spacing w:line="237" w:lineRule="auto"/>
              <w:ind w:left="57" w:right="125"/>
              <w:rPr>
                <w:sz w:val="14"/>
              </w:rPr>
            </w:pPr>
            <w:r>
              <w:rPr>
                <w:color w:val="231F20"/>
                <w:sz w:val="14"/>
              </w:rPr>
              <w:t>које одреди школа. Међушколска спортска такмичења организују се у оквиру календара који доноси Министарство просвете науке и технолошког развоја.</w:t>
            </w:r>
          </w:p>
        </w:tc>
      </w:tr>
    </w:tbl>
    <w:p w:rsidR="00041039" w:rsidRDefault="00041039">
      <w:pPr>
        <w:pStyle w:val="BodyText"/>
        <w:spacing w:before="7"/>
        <w:rPr>
          <w:b/>
          <w:sz w:val="12"/>
        </w:rPr>
      </w:pPr>
    </w:p>
    <w:p w:rsidR="00041039" w:rsidRDefault="001B26CB">
      <w:pPr>
        <w:pStyle w:val="Heading2"/>
        <w:spacing w:before="98" w:line="232" w:lineRule="auto"/>
        <w:ind w:left="100" w:right="137" w:firstLine="396"/>
        <w:jc w:val="both"/>
      </w:pPr>
      <w:r>
        <w:rPr>
          <w:color w:val="231F20"/>
        </w:rPr>
        <w:t xml:space="preserve">Сваки </w:t>
      </w:r>
      <w:r>
        <w:rPr>
          <w:color w:val="231F20"/>
          <w:spacing w:val="-3"/>
        </w:rPr>
        <w:t xml:space="preserve">од </w:t>
      </w:r>
      <w:r>
        <w:rPr>
          <w:color w:val="231F20"/>
        </w:rPr>
        <w:t xml:space="preserve">образовних профила има карактеристике везане за обављање конкретних стручних послова, </w:t>
      </w:r>
      <w:r>
        <w:rPr>
          <w:color w:val="231F20"/>
          <w:spacing w:val="-3"/>
        </w:rPr>
        <w:t xml:space="preserve">који </w:t>
      </w:r>
      <w:r>
        <w:rPr>
          <w:color w:val="231F20"/>
        </w:rPr>
        <w:t xml:space="preserve">захтевају одређене по­ ложаје тела, покрете и кретања, </w:t>
      </w:r>
      <w:r>
        <w:rPr>
          <w:color w:val="231F20"/>
          <w:spacing w:val="-3"/>
        </w:rPr>
        <w:t xml:space="preserve">који </w:t>
      </w:r>
      <w:r>
        <w:rPr>
          <w:color w:val="231F20"/>
        </w:rPr>
        <w:t xml:space="preserve">могу негативно утицати на правилно држање (статус кичменог стуба и статус стопала). </w:t>
      </w:r>
      <w:r>
        <w:rPr>
          <w:color w:val="231F20"/>
          <w:spacing w:val="-4"/>
        </w:rPr>
        <w:t xml:space="preserve">Како </w:t>
      </w:r>
      <w:r>
        <w:rPr>
          <w:color w:val="231F20"/>
        </w:rPr>
        <w:t xml:space="preserve">би се </w:t>
      </w:r>
      <w:r>
        <w:rPr>
          <w:color w:val="231F20"/>
          <w:spacing w:val="-3"/>
        </w:rPr>
        <w:t>избегли</w:t>
      </w:r>
      <w:r>
        <w:rPr>
          <w:color w:val="231F20"/>
          <w:spacing w:val="-7"/>
        </w:rPr>
        <w:t xml:space="preserve"> </w:t>
      </w:r>
      <w:r>
        <w:rPr>
          <w:color w:val="231F20"/>
        </w:rPr>
        <w:t>ов</w:t>
      </w:r>
      <w:r>
        <w:rPr>
          <w:color w:val="231F20"/>
        </w:rPr>
        <w:t>и</w:t>
      </w:r>
      <w:r>
        <w:rPr>
          <w:color w:val="231F20"/>
          <w:spacing w:val="-7"/>
        </w:rPr>
        <w:t xml:space="preserve"> </w:t>
      </w:r>
      <w:r>
        <w:rPr>
          <w:color w:val="231F20"/>
        </w:rPr>
        <w:t>негативни</w:t>
      </w:r>
      <w:r>
        <w:rPr>
          <w:color w:val="231F20"/>
          <w:spacing w:val="-7"/>
        </w:rPr>
        <w:t xml:space="preserve"> </w:t>
      </w:r>
      <w:r>
        <w:rPr>
          <w:color w:val="231F20"/>
        </w:rPr>
        <w:t>утицаји,</w:t>
      </w:r>
      <w:r>
        <w:rPr>
          <w:color w:val="231F20"/>
          <w:spacing w:val="-7"/>
        </w:rPr>
        <w:t xml:space="preserve"> </w:t>
      </w:r>
      <w:r>
        <w:rPr>
          <w:color w:val="231F20"/>
        </w:rPr>
        <w:t>наставници</w:t>
      </w:r>
      <w:r>
        <w:rPr>
          <w:color w:val="231F20"/>
          <w:spacing w:val="-7"/>
        </w:rPr>
        <w:t xml:space="preserve"> </w:t>
      </w:r>
      <w:r>
        <w:rPr>
          <w:color w:val="231F20"/>
        </w:rPr>
        <w:t>стручних</w:t>
      </w:r>
      <w:r>
        <w:rPr>
          <w:color w:val="231F20"/>
          <w:spacing w:val="-7"/>
        </w:rPr>
        <w:t xml:space="preserve"> </w:t>
      </w:r>
      <w:r>
        <w:rPr>
          <w:color w:val="231F20"/>
        </w:rPr>
        <w:t>предмета</w:t>
      </w:r>
      <w:r>
        <w:rPr>
          <w:color w:val="231F20"/>
          <w:spacing w:val="-7"/>
        </w:rPr>
        <w:t xml:space="preserve"> </w:t>
      </w:r>
      <w:r>
        <w:rPr>
          <w:color w:val="231F20"/>
        </w:rPr>
        <w:t>и</w:t>
      </w:r>
      <w:r>
        <w:rPr>
          <w:color w:val="231F20"/>
          <w:spacing w:val="-7"/>
        </w:rPr>
        <w:t xml:space="preserve"> </w:t>
      </w:r>
      <w:r>
        <w:rPr>
          <w:color w:val="231F20"/>
        </w:rPr>
        <w:t>професори</w:t>
      </w:r>
      <w:r>
        <w:rPr>
          <w:color w:val="231F20"/>
          <w:spacing w:val="-7"/>
        </w:rPr>
        <w:t xml:space="preserve"> </w:t>
      </w:r>
      <w:r>
        <w:rPr>
          <w:color w:val="231F20"/>
        </w:rPr>
        <w:t>физичког</w:t>
      </w:r>
      <w:r>
        <w:rPr>
          <w:color w:val="231F20"/>
          <w:spacing w:val="-7"/>
        </w:rPr>
        <w:t xml:space="preserve"> </w:t>
      </w:r>
      <w:r>
        <w:rPr>
          <w:color w:val="231F20"/>
        </w:rPr>
        <w:t>васпитања</w:t>
      </w:r>
      <w:r>
        <w:rPr>
          <w:color w:val="231F20"/>
          <w:spacing w:val="-7"/>
        </w:rPr>
        <w:t xml:space="preserve"> </w:t>
      </w:r>
      <w:r>
        <w:rPr>
          <w:color w:val="231F20"/>
        </w:rPr>
        <w:t>дефинишу</w:t>
      </w:r>
      <w:r>
        <w:rPr>
          <w:color w:val="231F20"/>
          <w:spacing w:val="-7"/>
        </w:rPr>
        <w:t xml:space="preserve"> </w:t>
      </w:r>
      <w:r>
        <w:rPr>
          <w:color w:val="231F20"/>
        </w:rPr>
        <w:t>могуће</w:t>
      </w:r>
      <w:r>
        <w:rPr>
          <w:color w:val="231F20"/>
          <w:spacing w:val="-7"/>
        </w:rPr>
        <w:t xml:space="preserve"> </w:t>
      </w:r>
      <w:r>
        <w:rPr>
          <w:color w:val="231F20"/>
        </w:rPr>
        <w:t>професионалне</w:t>
      </w:r>
      <w:r>
        <w:rPr>
          <w:color w:val="231F20"/>
          <w:spacing w:val="-7"/>
        </w:rPr>
        <w:t xml:space="preserve"> </w:t>
      </w:r>
      <w:r>
        <w:rPr>
          <w:color w:val="231F20"/>
        </w:rPr>
        <w:t>поре­ мећаје, на основу чега се програмирају посебни садржаји, којима се обезбеђује</w:t>
      </w:r>
      <w:r>
        <w:rPr>
          <w:color w:val="231F20"/>
          <w:spacing w:val="-6"/>
        </w:rPr>
        <w:t xml:space="preserve"> </w:t>
      </w:r>
      <w:r>
        <w:rPr>
          <w:color w:val="231F20"/>
        </w:rPr>
        <w:t>превенција.</w:t>
      </w:r>
    </w:p>
    <w:p w:rsidR="00041039" w:rsidRDefault="00041039">
      <w:pPr>
        <w:pStyle w:val="BodyText"/>
        <w:spacing w:before="7"/>
        <w:rPr>
          <w:sz w:val="16"/>
        </w:rPr>
      </w:pPr>
    </w:p>
    <w:p w:rsidR="00041039" w:rsidRDefault="001B26CB">
      <w:pPr>
        <w:spacing w:before="1" w:line="203" w:lineRule="exact"/>
        <w:ind w:left="497"/>
        <w:rPr>
          <w:b/>
          <w:sz w:val="18"/>
        </w:rPr>
      </w:pPr>
      <w:r>
        <w:rPr>
          <w:b/>
          <w:color w:val="231F20"/>
          <w:sz w:val="18"/>
        </w:rPr>
        <w:t>КОРЕЛАЦИЈА СА ДРУГИМ ПРЕДМЕТИМА</w:t>
      </w:r>
    </w:p>
    <w:p w:rsidR="00041039" w:rsidRDefault="001B26CB">
      <w:pPr>
        <w:pStyle w:val="ListParagraph"/>
        <w:numPr>
          <w:ilvl w:val="0"/>
          <w:numId w:val="1357"/>
        </w:numPr>
        <w:tabs>
          <w:tab w:val="left" w:pos="633"/>
        </w:tabs>
        <w:rPr>
          <w:sz w:val="18"/>
        </w:rPr>
      </w:pPr>
      <w:r>
        <w:rPr>
          <w:color w:val="231F20"/>
          <w:sz w:val="18"/>
        </w:rPr>
        <w:t>Биологија (одабране</w:t>
      </w:r>
      <w:r>
        <w:rPr>
          <w:color w:val="231F20"/>
          <w:spacing w:val="-2"/>
          <w:sz w:val="18"/>
        </w:rPr>
        <w:t xml:space="preserve"> </w:t>
      </w:r>
      <w:r>
        <w:rPr>
          <w:color w:val="231F20"/>
          <w:sz w:val="18"/>
        </w:rPr>
        <w:t>теме)*</w:t>
      </w:r>
    </w:p>
    <w:p w:rsidR="00041039" w:rsidRDefault="001B26CB">
      <w:pPr>
        <w:pStyle w:val="ListParagraph"/>
        <w:numPr>
          <w:ilvl w:val="0"/>
          <w:numId w:val="1357"/>
        </w:numPr>
        <w:tabs>
          <w:tab w:val="left" w:pos="633"/>
        </w:tabs>
        <w:spacing w:line="203" w:lineRule="exact"/>
        <w:rPr>
          <w:sz w:val="18"/>
        </w:rPr>
      </w:pPr>
      <w:r>
        <w:rPr>
          <w:color w:val="231F20"/>
          <w:sz w:val="18"/>
        </w:rPr>
        <w:t>Музичка</w:t>
      </w:r>
      <w:r>
        <w:rPr>
          <w:color w:val="231F20"/>
          <w:spacing w:val="-1"/>
          <w:sz w:val="18"/>
        </w:rPr>
        <w:t xml:space="preserve"> </w:t>
      </w:r>
      <w:r>
        <w:rPr>
          <w:color w:val="231F20"/>
          <w:spacing w:val="-3"/>
          <w:sz w:val="18"/>
        </w:rPr>
        <w:t>култура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041039" w:rsidRDefault="001B26CB">
      <w:pPr>
        <w:pStyle w:val="BodyText"/>
        <w:tabs>
          <w:tab w:val="left" w:pos="1460"/>
        </w:tabs>
        <w:spacing w:before="49" w:line="161" w:lineRule="exact"/>
        <w:ind w:left="157"/>
      </w:pPr>
      <w:r>
        <w:rPr>
          <w:color w:val="231F20"/>
        </w:rPr>
        <w:t>Циљ</w:t>
      </w:r>
      <w:r>
        <w:rPr>
          <w:color w:val="231F20"/>
          <w:spacing w:val="-3"/>
        </w:rPr>
        <w:t xml:space="preserve"> </w:t>
      </w:r>
      <w:r>
        <w:rPr>
          <w:color w:val="231F20"/>
        </w:rPr>
        <w:t>предмета:</w:t>
      </w:r>
      <w:r>
        <w:rPr>
          <w:color w:val="231F20"/>
        </w:rPr>
        <w:tab/>
        <w:t>– Развијање логичког и апстрактног</w:t>
      </w:r>
      <w:r>
        <w:rPr>
          <w:color w:val="231F20"/>
          <w:spacing w:val="-3"/>
        </w:rPr>
        <w:t xml:space="preserve"> </w:t>
      </w:r>
      <w:r>
        <w:rPr>
          <w:color w:val="231F20"/>
        </w:rPr>
        <w:t>мишљења;</w:t>
      </w:r>
    </w:p>
    <w:p w:rsidR="00041039" w:rsidRDefault="001B26CB">
      <w:pPr>
        <w:pStyle w:val="ListParagraph"/>
        <w:numPr>
          <w:ilvl w:val="1"/>
          <w:numId w:val="1357"/>
        </w:numPr>
        <w:tabs>
          <w:tab w:val="left" w:pos="1566"/>
        </w:tabs>
        <w:spacing w:line="160" w:lineRule="exact"/>
        <w:rPr>
          <w:sz w:val="14"/>
        </w:rPr>
      </w:pPr>
      <w:r>
        <w:rPr>
          <w:color w:val="231F20"/>
          <w:sz w:val="14"/>
        </w:rPr>
        <w:t>Развијање способности јасног и прецизног изражавања и коришћења основног математичко ­ логичког</w:t>
      </w:r>
      <w:r>
        <w:rPr>
          <w:color w:val="231F20"/>
          <w:spacing w:val="-13"/>
          <w:sz w:val="14"/>
        </w:rPr>
        <w:t xml:space="preserve"> </w:t>
      </w:r>
      <w:r>
        <w:rPr>
          <w:color w:val="231F20"/>
          <w:sz w:val="14"/>
        </w:rPr>
        <w:t>језика;</w:t>
      </w:r>
    </w:p>
    <w:p w:rsidR="00041039" w:rsidRDefault="001B26CB">
      <w:pPr>
        <w:pStyle w:val="ListParagraph"/>
        <w:numPr>
          <w:ilvl w:val="1"/>
          <w:numId w:val="1357"/>
        </w:numPr>
        <w:tabs>
          <w:tab w:val="left" w:pos="1566"/>
        </w:tabs>
        <w:spacing w:line="160" w:lineRule="exact"/>
        <w:rPr>
          <w:sz w:val="14"/>
        </w:rPr>
      </w:pPr>
      <w:r>
        <w:rPr>
          <w:color w:val="231F20"/>
          <w:sz w:val="14"/>
        </w:rPr>
        <w:t>Развијање осећаја за простор. разликовање геометријских објеката и њихови узајамни односи и</w:t>
      </w:r>
      <w:r>
        <w:rPr>
          <w:color w:val="231F20"/>
          <w:spacing w:val="-10"/>
          <w:sz w:val="14"/>
        </w:rPr>
        <w:t xml:space="preserve"> </w:t>
      </w:r>
      <w:r>
        <w:rPr>
          <w:color w:val="231F20"/>
          <w:sz w:val="14"/>
        </w:rPr>
        <w:t>трансформације;</w:t>
      </w:r>
    </w:p>
    <w:p w:rsidR="00041039" w:rsidRDefault="001B26CB">
      <w:pPr>
        <w:pStyle w:val="ListParagraph"/>
        <w:numPr>
          <w:ilvl w:val="1"/>
          <w:numId w:val="1357"/>
        </w:numPr>
        <w:tabs>
          <w:tab w:val="left" w:pos="1566"/>
        </w:tabs>
        <w:spacing w:line="160" w:lineRule="exact"/>
        <w:rPr>
          <w:sz w:val="14"/>
        </w:rPr>
      </w:pPr>
      <w:r>
        <w:rPr>
          <w:color w:val="231F20"/>
          <w:sz w:val="14"/>
        </w:rPr>
        <w:t>Развијање систематичности, уредности, прецизности, темељности, истрајности, критичности у</w:t>
      </w:r>
      <w:r>
        <w:rPr>
          <w:color w:val="231F20"/>
          <w:spacing w:val="-2"/>
          <w:sz w:val="14"/>
        </w:rPr>
        <w:t xml:space="preserve"> </w:t>
      </w:r>
      <w:r>
        <w:rPr>
          <w:color w:val="231F20"/>
          <w:sz w:val="14"/>
        </w:rPr>
        <w:t>раду;</w:t>
      </w:r>
    </w:p>
    <w:p w:rsidR="00041039" w:rsidRDefault="001B26CB">
      <w:pPr>
        <w:pStyle w:val="ListParagraph"/>
        <w:numPr>
          <w:ilvl w:val="1"/>
          <w:numId w:val="1357"/>
        </w:numPr>
        <w:tabs>
          <w:tab w:val="left" w:pos="1566"/>
        </w:tabs>
        <w:spacing w:line="160" w:lineRule="exact"/>
        <w:rPr>
          <w:sz w:val="14"/>
        </w:rPr>
      </w:pP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w:t>
      </w:r>
      <w:r>
        <w:rPr>
          <w:color w:val="231F20"/>
          <w:sz w:val="14"/>
        </w:rPr>
        <w:t>атици тако и у осталим</w:t>
      </w:r>
      <w:r>
        <w:rPr>
          <w:color w:val="231F20"/>
          <w:spacing w:val="-6"/>
          <w:sz w:val="14"/>
        </w:rPr>
        <w:t xml:space="preserve"> </w:t>
      </w:r>
      <w:r>
        <w:rPr>
          <w:color w:val="231F20"/>
          <w:sz w:val="14"/>
        </w:rPr>
        <w:t>предметима;</w:t>
      </w:r>
    </w:p>
    <w:p w:rsidR="00041039" w:rsidRDefault="001B26CB">
      <w:pPr>
        <w:pStyle w:val="ListParagraph"/>
        <w:numPr>
          <w:ilvl w:val="1"/>
          <w:numId w:val="1357"/>
        </w:numPr>
        <w:tabs>
          <w:tab w:val="left" w:pos="1566"/>
        </w:tabs>
        <w:spacing w:line="160" w:lineRule="exact"/>
        <w:rPr>
          <w:sz w:val="14"/>
        </w:rPr>
      </w:pPr>
      <w:r>
        <w:rPr>
          <w:color w:val="231F20"/>
          <w:sz w:val="14"/>
        </w:rPr>
        <w:t>Формирање основа за наставак</w:t>
      </w:r>
      <w:r>
        <w:rPr>
          <w:color w:val="231F20"/>
          <w:spacing w:val="-2"/>
          <w:sz w:val="14"/>
        </w:rPr>
        <w:t xml:space="preserve"> </w:t>
      </w:r>
      <w:r>
        <w:rPr>
          <w:color w:val="231F20"/>
          <w:sz w:val="14"/>
        </w:rPr>
        <w:t>образовања;</w:t>
      </w:r>
    </w:p>
    <w:p w:rsidR="00041039" w:rsidRDefault="001B26CB">
      <w:pPr>
        <w:pStyle w:val="ListParagraph"/>
        <w:numPr>
          <w:ilvl w:val="1"/>
          <w:numId w:val="1357"/>
        </w:numPr>
        <w:tabs>
          <w:tab w:val="left" w:pos="1566"/>
        </w:tabs>
        <w:spacing w:line="161" w:lineRule="exact"/>
        <w:rPr>
          <w:sz w:val="14"/>
        </w:rPr>
      </w:pPr>
      <w:r>
        <w:rPr>
          <w:color w:val="231F20"/>
          <w:sz w:val="14"/>
        </w:rPr>
        <w:t>Формирање</w:t>
      </w:r>
      <w:r>
        <w:rPr>
          <w:color w:val="231F20"/>
          <w:spacing w:val="-2"/>
          <w:sz w:val="14"/>
        </w:rPr>
        <w:t xml:space="preserve"> </w:t>
      </w:r>
      <w:r>
        <w:rPr>
          <w:color w:val="231F20"/>
          <w:sz w:val="14"/>
        </w:rPr>
        <w:t>математичке</w:t>
      </w:r>
      <w:r>
        <w:rPr>
          <w:color w:val="231F20"/>
          <w:spacing w:val="-2"/>
          <w:sz w:val="14"/>
        </w:rPr>
        <w:t xml:space="preserve"> </w:t>
      </w:r>
      <w:r>
        <w:rPr>
          <w:color w:val="231F20"/>
          <w:sz w:val="14"/>
        </w:rPr>
        <w:t>културе</w:t>
      </w:r>
      <w:r>
        <w:rPr>
          <w:color w:val="231F20"/>
          <w:spacing w:val="-2"/>
          <w:sz w:val="14"/>
        </w:rPr>
        <w:t xml:space="preserve"> </w:t>
      </w:r>
      <w:r>
        <w:rPr>
          <w:color w:val="231F20"/>
          <w:sz w:val="14"/>
        </w:rPr>
        <w:t>која</w:t>
      </w:r>
      <w:r>
        <w:rPr>
          <w:color w:val="231F20"/>
          <w:spacing w:val="-2"/>
          <w:sz w:val="14"/>
        </w:rPr>
        <w:t xml:space="preserve"> </w:t>
      </w:r>
      <w:r>
        <w:rPr>
          <w:color w:val="231F20"/>
          <w:sz w:val="14"/>
        </w:rPr>
        <w:t>подразумева</w:t>
      </w:r>
      <w:r>
        <w:rPr>
          <w:color w:val="231F20"/>
          <w:spacing w:val="-2"/>
          <w:sz w:val="14"/>
        </w:rPr>
        <w:t xml:space="preserve"> </w:t>
      </w:r>
      <w:r>
        <w:rPr>
          <w:color w:val="231F20"/>
          <w:sz w:val="14"/>
        </w:rPr>
        <w:t>свест</w:t>
      </w:r>
      <w:r>
        <w:rPr>
          <w:color w:val="231F20"/>
          <w:spacing w:val="-2"/>
          <w:sz w:val="14"/>
        </w:rPr>
        <w:t xml:space="preserve"> </w:t>
      </w:r>
      <w:r>
        <w:rPr>
          <w:color w:val="231F20"/>
          <w:sz w:val="14"/>
        </w:rPr>
        <w:t>о</w:t>
      </w:r>
      <w:r>
        <w:rPr>
          <w:color w:val="231F20"/>
          <w:spacing w:val="-2"/>
          <w:sz w:val="14"/>
        </w:rPr>
        <w:t xml:space="preserve"> </w:t>
      </w:r>
      <w:r>
        <w:rPr>
          <w:color w:val="231F20"/>
          <w:sz w:val="14"/>
        </w:rPr>
        <w:t>универзалности</w:t>
      </w:r>
      <w:r>
        <w:rPr>
          <w:color w:val="231F20"/>
          <w:spacing w:val="-2"/>
          <w:sz w:val="14"/>
        </w:rPr>
        <w:t xml:space="preserve"> </w:t>
      </w:r>
      <w:r>
        <w:rPr>
          <w:color w:val="231F20"/>
          <w:sz w:val="14"/>
        </w:rPr>
        <w:t>и</w:t>
      </w:r>
      <w:r>
        <w:rPr>
          <w:color w:val="231F20"/>
          <w:spacing w:val="-3"/>
          <w:sz w:val="14"/>
        </w:rPr>
        <w:t xml:space="preserve"> </w:t>
      </w:r>
      <w:r>
        <w:rPr>
          <w:color w:val="231F20"/>
          <w:sz w:val="14"/>
        </w:rPr>
        <w:t>примени</w:t>
      </w:r>
      <w:r>
        <w:rPr>
          <w:color w:val="231F20"/>
          <w:spacing w:val="-3"/>
          <w:sz w:val="14"/>
        </w:rPr>
        <w:t xml:space="preserve"> </w:t>
      </w:r>
      <w:r>
        <w:rPr>
          <w:color w:val="231F20"/>
          <w:sz w:val="14"/>
        </w:rPr>
        <w:t>математике</w:t>
      </w:r>
      <w:r>
        <w:rPr>
          <w:color w:val="231F20"/>
          <w:spacing w:val="-2"/>
          <w:sz w:val="14"/>
        </w:rPr>
        <w:t xml:space="preserve"> </w:t>
      </w:r>
      <w:r>
        <w:rPr>
          <w:color w:val="231F20"/>
          <w:sz w:val="14"/>
        </w:rPr>
        <w:t>и</w:t>
      </w:r>
      <w:r>
        <w:rPr>
          <w:color w:val="231F20"/>
          <w:spacing w:val="-3"/>
          <w:sz w:val="14"/>
        </w:rPr>
        <w:t xml:space="preserve"> </w:t>
      </w:r>
      <w:r>
        <w:rPr>
          <w:color w:val="231F20"/>
          <w:sz w:val="14"/>
        </w:rPr>
        <w:t>математичког</w:t>
      </w:r>
      <w:r>
        <w:rPr>
          <w:color w:val="231F20"/>
          <w:spacing w:val="-2"/>
          <w:sz w:val="14"/>
        </w:rPr>
        <w:t xml:space="preserve"> </w:t>
      </w:r>
      <w:r>
        <w:rPr>
          <w:color w:val="231F20"/>
          <w:sz w:val="14"/>
        </w:rPr>
        <w:t>начина</w:t>
      </w:r>
      <w:r>
        <w:rPr>
          <w:color w:val="231F20"/>
          <w:spacing w:val="-2"/>
          <w:sz w:val="14"/>
        </w:rPr>
        <w:t xml:space="preserve"> </w:t>
      </w:r>
      <w:r>
        <w:rPr>
          <w:color w:val="231F20"/>
          <w:sz w:val="14"/>
        </w:rPr>
        <w:t>мишљења.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140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400"/>
        </w:trPr>
        <w:tc>
          <w:tcPr>
            <w:tcW w:w="1304" w:type="dxa"/>
          </w:tcPr>
          <w:p w:rsidR="00041039" w:rsidRDefault="001B26CB">
            <w:pPr>
              <w:pStyle w:val="TableParagraph"/>
              <w:spacing w:before="18"/>
              <w:ind w:left="56" w:right="37"/>
              <w:rPr>
                <w:sz w:val="14"/>
              </w:rPr>
            </w:pPr>
            <w:r>
              <w:rPr>
                <w:color w:val="231F20"/>
                <w:sz w:val="14"/>
              </w:rPr>
              <w:t>Тригонометрија правоуглог троугла</w:t>
            </w:r>
          </w:p>
        </w:tc>
        <w:tc>
          <w:tcPr>
            <w:tcW w:w="1587" w:type="dxa"/>
          </w:tcPr>
          <w:p w:rsidR="00041039" w:rsidRDefault="001B26CB">
            <w:pPr>
              <w:pStyle w:val="TableParagraph"/>
              <w:numPr>
                <w:ilvl w:val="0"/>
                <w:numId w:val="1255"/>
              </w:numPr>
              <w:tabs>
                <w:tab w:val="left" w:pos="157"/>
              </w:tabs>
              <w:spacing w:before="8"/>
              <w:ind w:right="94"/>
              <w:rPr>
                <w:sz w:val="14"/>
              </w:rPr>
            </w:pPr>
            <w:r>
              <w:rPr>
                <w:color w:val="231F20"/>
                <w:sz w:val="14"/>
              </w:rPr>
              <w:t xml:space="preserve">Оспособљавање за решавање </w:t>
            </w:r>
            <w:r>
              <w:rPr>
                <w:color w:val="231F20"/>
                <w:spacing w:val="-3"/>
                <w:sz w:val="14"/>
              </w:rPr>
              <w:t xml:space="preserve">правоуглог </w:t>
            </w:r>
            <w:r>
              <w:rPr>
                <w:color w:val="231F20"/>
                <w:sz w:val="14"/>
              </w:rPr>
              <w:t>троугла, као и за</w:t>
            </w:r>
            <w:r>
              <w:rPr>
                <w:color w:val="231F20"/>
                <w:spacing w:val="-25"/>
                <w:sz w:val="14"/>
              </w:rPr>
              <w:t xml:space="preserve"> </w:t>
            </w:r>
            <w:r>
              <w:rPr>
                <w:color w:val="231F20"/>
                <w:sz w:val="14"/>
              </w:rPr>
              <w:t>изра­ чунавање вредности основних тригоно­ метријских функција на тригонометријској кружници.</w:t>
            </w:r>
          </w:p>
        </w:tc>
        <w:tc>
          <w:tcPr>
            <w:tcW w:w="2551" w:type="dxa"/>
          </w:tcPr>
          <w:p w:rsidR="00041039" w:rsidRDefault="001B26CB">
            <w:pPr>
              <w:pStyle w:val="TableParagraph"/>
              <w:numPr>
                <w:ilvl w:val="0"/>
                <w:numId w:val="1254"/>
              </w:numPr>
              <w:tabs>
                <w:tab w:val="left" w:pos="157"/>
              </w:tabs>
              <w:spacing w:before="8"/>
              <w:ind w:right="43" w:hanging="99"/>
              <w:rPr>
                <w:sz w:val="14"/>
              </w:rPr>
            </w:pPr>
            <w:r>
              <w:rPr>
                <w:color w:val="231F20"/>
                <w:sz w:val="14"/>
              </w:rPr>
              <w:t>објасни шта су синус, косинус,</w:t>
            </w:r>
            <w:r>
              <w:rPr>
                <w:color w:val="231F20"/>
                <w:spacing w:val="-13"/>
                <w:sz w:val="14"/>
              </w:rPr>
              <w:t xml:space="preserve"> </w:t>
            </w:r>
            <w:r>
              <w:rPr>
                <w:color w:val="231F20"/>
                <w:sz w:val="14"/>
              </w:rPr>
              <w:t xml:space="preserve">тангенс и котангенс оштрог </w:t>
            </w:r>
            <w:r>
              <w:rPr>
                <w:color w:val="231F20"/>
                <w:spacing w:val="-3"/>
                <w:sz w:val="14"/>
              </w:rPr>
              <w:t xml:space="preserve">угла </w:t>
            </w:r>
            <w:r>
              <w:rPr>
                <w:color w:val="231F20"/>
                <w:sz w:val="14"/>
              </w:rPr>
              <w:t xml:space="preserve">у </w:t>
            </w:r>
            <w:r>
              <w:rPr>
                <w:color w:val="231F20"/>
                <w:spacing w:val="-3"/>
                <w:sz w:val="14"/>
              </w:rPr>
              <w:t xml:space="preserve">правоуглом </w:t>
            </w:r>
            <w:r>
              <w:rPr>
                <w:color w:val="231F20"/>
                <w:spacing w:val="-4"/>
                <w:sz w:val="14"/>
              </w:rPr>
              <w:t xml:space="preserve">троуглу, </w:t>
            </w:r>
            <w:r>
              <w:rPr>
                <w:color w:val="231F20"/>
                <w:sz w:val="14"/>
              </w:rPr>
              <w:t xml:space="preserve">израчуна их </w:t>
            </w:r>
            <w:r>
              <w:rPr>
                <w:color w:val="231F20"/>
                <w:spacing w:val="-3"/>
                <w:sz w:val="14"/>
              </w:rPr>
              <w:t xml:space="preserve">ако </w:t>
            </w:r>
            <w:r>
              <w:rPr>
                <w:color w:val="231F20"/>
                <w:sz w:val="14"/>
              </w:rPr>
              <w:t>су дате странице (или се могу израчунати) и обрнуто, конструи</w:t>
            </w:r>
            <w:r>
              <w:rPr>
                <w:color w:val="231F20"/>
                <w:sz w:val="14"/>
              </w:rPr>
              <w:t>ше оштар угао</w:t>
            </w:r>
            <w:r>
              <w:rPr>
                <w:color w:val="231F20"/>
                <w:spacing w:val="-5"/>
                <w:sz w:val="14"/>
              </w:rPr>
              <w:t xml:space="preserve"> </w:t>
            </w:r>
            <w:r>
              <w:rPr>
                <w:color w:val="231F20"/>
                <w:spacing w:val="-3"/>
                <w:sz w:val="14"/>
              </w:rPr>
              <w:t>ако</w:t>
            </w:r>
          </w:p>
          <w:p w:rsidR="00041039" w:rsidRDefault="001B26CB">
            <w:pPr>
              <w:pStyle w:val="TableParagraph"/>
              <w:spacing w:line="237" w:lineRule="auto"/>
              <w:ind w:right="228"/>
              <w:jc w:val="both"/>
              <w:rPr>
                <w:sz w:val="14"/>
              </w:rPr>
            </w:pPr>
            <w:r>
              <w:rPr>
                <w:color w:val="231F20"/>
                <w:sz w:val="14"/>
              </w:rPr>
              <w:t>је позната једна његова</w:t>
            </w:r>
            <w:r>
              <w:rPr>
                <w:color w:val="231F20"/>
                <w:spacing w:val="-21"/>
                <w:sz w:val="14"/>
              </w:rPr>
              <w:t xml:space="preserve"> </w:t>
            </w:r>
            <w:r>
              <w:rPr>
                <w:color w:val="231F20"/>
                <w:sz w:val="14"/>
              </w:rPr>
              <w:t>тригономет­ ријска</w:t>
            </w:r>
            <w:r>
              <w:rPr>
                <w:color w:val="231F20"/>
                <w:spacing w:val="-1"/>
                <w:sz w:val="14"/>
              </w:rPr>
              <w:t xml:space="preserve"> </w:t>
            </w:r>
            <w:r>
              <w:rPr>
                <w:color w:val="231F20"/>
                <w:sz w:val="14"/>
              </w:rPr>
              <w:t>функција;</w:t>
            </w:r>
          </w:p>
          <w:p w:rsidR="00041039" w:rsidRDefault="001B26CB">
            <w:pPr>
              <w:pStyle w:val="TableParagraph"/>
              <w:numPr>
                <w:ilvl w:val="0"/>
                <w:numId w:val="1254"/>
              </w:numPr>
              <w:tabs>
                <w:tab w:val="left" w:pos="157"/>
              </w:tabs>
              <w:spacing w:line="237" w:lineRule="auto"/>
              <w:ind w:right="137" w:hanging="99"/>
              <w:rPr>
                <w:sz w:val="14"/>
              </w:rPr>
            </w:pPr>
            <w:r>
              <w:rPr>
                <w:color w:val="231F20"/>
                <w:sz w:val="14"/>
              </w:rPr>
              <w:t>одреди вредности</w:t>
            </w:r>
            <w:r>
              <w:rPr>
                <w:color w:val="231F20"/>
                <w:spacing w:val="-12"/>
                <w:sz w:val="14"/>
              </w:rPr>
              <w:t xml:space="preserve"> </w:t>
            </w:r>
            <w:r>
              <w:rPr>
                <w:color w:val="231F20"/>
                <w:sz w:val="14"/>
              </w:rPr>
              <w:t>тригонометријских функција углова 30°, 45°,</w:t>
            </w:r>
            <w:r>
              <w:rPr>
                <w:color w:val="231F20"/>
                <w:spacing w:val="-4"/>
                <w:sz w:val="14"/>
              </w:rPr>
              <w:t xml:space="preserve"> </w:t>
            </w:r>
            <w:r>
              <w:rPr>
                <w:color w:val="231F20"/>
                <w:sz w:val="14"/>
              </w:rPr>
              <w:t>60°;</w:t>
            </w:r>
          </w:p>
          <w:p w:rsidR="00041039" w:rsidRDefault="001B26CB">
            <w:pPr>
              <w:pStyle w:val="TableParagraph"/>
              <w:numPr>
                <w:ilvl w:val="0"/>
                <w:numId w:val="1254"/>
              </w:numPr>
              <w:tabs>
                <w:tab w:val="left" w:pos="157"/>
              </w:tabs>
              <w:spacing w:line="160" w:lineRule="exact"/>
              <w:ind w:right="276" w:hanging="99"/>
              <w:jc w:val="both"/>
              <w:rPr>
                <w:sz w:val="14"/>
              </w:rPr>
            </w:pPr>
            <w:r>
              <w:rPr>
                <w:color w:val="231F20"/>
                <w:sz w:val="14"/>
              </w:rPr>
              <w:t>одреди вредност сваке</w:t>
            </w:r>
            <w:r>
              <w:rPr>
                <w:color w:val="231F20"/>
                <w:spacing w:val="-19"/>
                <w:sz w:val="14"/>
              </w:rPr>
              <w:t xml:space="preserve"> </w:t>
            </w:r>
            <w:r>
              <w:rPr>
                <w:color w:val="231F20"/>
                <w:sz w:val="14"/>
              </w:rPr>
              <w:t xml:space="preserve">тригономет­ ријске функције </w:t>
            </w:r>
            <w:r>
              <w:rPr>
                <w:color w:val="231F20"/>
                <w:spacing w:val="-3"/>
                <w:sz w:val="14"/>
              </w:rPr>
              <w:t xml:space="preserve">угла </w:t>
            </w:r>
            <w:r>
              <w:rPr>
                <w:color w:val="231F20"/>
                <w:sz w:val="14"/>
              </w:rPr>
              <w:t xml:space="preserve">у </w:t>
            </w:r>
            <w:r>
              <w:rPr>
                <w:color w:val="231F20"/>
                <w:spacing w:val="-3"/>
                <w:sz w:val="14"/>
              </w:rPr>
              <w:t xml:space="preserve">правоуглом троуглу </w:t>
            </w:r>
            <w:r>
              <w:rPr>
                <w:color w:val="231F20"/>
                <w:sz w:val="14"/>
              </w:rPr>
              <w:t>и на кружници;</w:t>
            </w:r>
          </w:p>
          <w:p w:rsidR="00041039" w:rsidRDefault="001B26CB">
            <w:pPr>
              <w:pStyle w:val="TableParagraph"/>
              <w:numPr>
                <w:ilvl w:val="0"/>
                <w:numId w:val="1254"/>
              </w:numPr>
              <w:tabs>
                <w:tab w:val="left" w:pos="157"/>
              </w:tabs>
              <w:spacing w:line="160" w:lineRule="exact"/>
              <w:ind w:right="241" w:hanging="99"/>
              <w:jc w:val="both"/>
              <w:rPr>
                <w:sz w:val="14"/>
              </w:rPr>
            </w:pPr>
            <w:r>
              <w:rPr>
                <w:color w:val="231F20"/>
                <w:sz w:val="14"/>
              </w:rPr>
              <w:t xml:space="preserve">одреди угао </w:t>
            </w:r>
            <w:r>
              <w:rPr>
                <w:color w:val="231F20"/>
                <w:spacing w:val="-3"/>
                <w:sz w:val="14"/>
              </w:rPr>
              <w:t xml:space="preserve">ако </w:t>
            </w:r>
            <w:r>
              <w:rPr>
                <w:color w:val="231F20"/>
                <w:sz w:val="14"/>
              </w:rPr>
              <w:t>је позната в</w:t>
            </w:r>
            <w:r>
              <w:rPr>
                <w:color w:val="231F20"/>
                <w:sz w:val="14"/>
              </w:rPr>
              <w:t>редност једне тригонометријске</w:t>
            </w:r>
            <w:r>
              <w:rPr>
                <w:color w:val="231F20"/>
                <w:spacing w:val="-6"/>
                <w:sz w:val="14"/>
              </w:rPr>
              <w:t xml:space="preserve"> </w:t>
            </w:r>
            <w:r>
              <w:rPr>
                <w:color w:val="231F20"/>
                <w:sz w:val="14"/>
              </w:rPr>
              <w:t>функције;</w:t>
            </w:r>
          </w:p>
          <w:p w:rsidR="00041039" w:rsidRDefault="001B26CB">
            <w:pPr>
              <w:pStyle w:val="TableParagraph"/>
              <w:numPr>
                <w:ilvl w:val="0"/>
                <w:numId w:val="1254"/>
              </w:numPr>
              <w:tabs>
                <w:tab w:val="left" w:pos="157"/>
              </w:tabs>
              <w:spacing w:line="160" w:lineRule="exact"/>
              <w:ind w:right="281" w:hanging="99"/>
              <w:jc w:val="both"/>
              <w:rPr>
                <w:sz w:val="14"/>
              </w:rPr>
            </w:pPr>
            <w:r>
              <w:rPr>
                <w:color w:val="231F20"/>
                <w:sz w:val="14"/>
              </w:rPr>
              <w:t>употреби елементе</w:t>
            </w:r>
            <w:r>
              <w:rPr>
                <w:color w:val="231F20"/>
                <w:spacing w:val="-6"/>
                <w:sz w:val="14"/>
              </w:rPr>
              <w:t xml:space="preserve"> </w:t>
            </w:r>
            <w:r>
              <w:rPr>
                <w:color w:val="231F20"/>
                <w:sz w:val="14"/>
              </w:rPr>
              <w:t>тригонометрије правоуглог троугла, при решавању практичних</w:t>
            </w:r>
            <w:r>
              <w:rPr>
                <w:color w:val="231F20"/>
                <w:spacing w:val="-1"/>
                <w:sz w:val="14"/>
              </w:rPr>
              <w:t xml:space="preserve"> </w:t>
            </w:r>
            <w:r>
              <w:rPr>
                <w:color w:val="231F20"/>
                <w:sz w:val="14"/>
              </w:rPr>
              <w:t>проблема;</w:t>
            </w:r>
          </w:p>
        </w:tc>
        <w:tc>
          <w:tcPr>
            <w:tcW w:w="2834" w:type="dxa"/>
          </w:tcPr>
          <w:p w:rsidR="00041039" w:rsidRDefault="001B26CB">
            <w:pPr>
              <w:pStyle w:val="TableParagraph"/>
              <w:numPr>
                <w:ilvl w:val="0"/>
                <w:numId w:val="1253"/>
              </w:numPr>
              <w:tabs>
                <w:tab w:val="left" w:pos="157"/>
              </w:tabs>
              <w:spacing w:before="8"/>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 xml:space="preserve">функција оштрог угла у </w:t>
            </w:r>
            <w:r>
              <w:rPr>
                <w:color w:val="231F20"/>
                <w:spacing w:val="-3"/>
                <w:sz w:val="14"/>
              </w:rPr>
              <w:t>правоуглом</w:t>
            </w:r>
            <w:r>
              <w:rPr>
                <w:color w:val="231F20"/>
                <w:spacing w:val="-1"/>
                <w:sz w:val="14"/>
              </w:rPr>
              <w:t xml:space="preserve"> </w:t>
            </w:r>
            <w:r>
              <w:rPr>
                <w:color w:val="231F20"/>
                <w:spacing w:val="-4"/>
                <w:sz w:val="14"/>
              </w:rPr>
              <w:t>троуглу.</w:t>
            </w:r>
          </w:p>
          <w:p w:rsidR="00041039" w:rsidRDefault="001B26CB">
            <w:pPr>
              <w:pStyle w:val="TableParagraph"/>
              <w:numPr>
                <w:ilvl w:val="0"/>
                <w:numId w:val="1253"/>
              </w:numPr>
              <w:tabs>
                <w:tab w:val="left" w:pos="157"/>
              </w:tabs>
              <w:spacing w:before="1" w:line="160" w:lineRule="exact"/>
              <w:ind w:right="97" w:hanging="99"/>
              <w:rPr>
                <w:sz w:val="14"/>
              </w:rPr>
            </w:pPr>
            <w:r>
              <w:rPr>
                <w:color w:val="231F20"/>
                <w:sz w:val="14"/>
              </w:rPr>
              <w:t>Вредности тригонометријских функција карактеристичних</w:t>
            </w:r>
            <w:r>
              <w:rPr>
                <w:color w:val="231F20"/>
                <w:spacing w:val="-6"/>
                <w:sz w:val="14"/>
              </w:rPr>
              <w:t xml:space="preserve"> </w:t>
            </w:r>
            <w:r>
              <w:rPr>
                <w:color w:val="231F20"/>
                <w:sz w:val="14"/>
              </w:rPr>
              <w:t>углова</w:t>
            </w:r>
            <w:r>
              <w:rPr>
                <w:color w:val="231F20"/>
                <w:spacing w:val="-6"/>
                <w:sz w:val="14"/>
              </w:rPr>
              <w:t xml:space="preserve"> </w:t>
            </w:r>
            <w:r>
              <w:rPr>
                <w:color w:val="231F20"/>
                <w:sz w:val="14"/>
              </w:rPr>
              <w:t>(од</w:t>
            </w:r>
            <w:r>
              <w:rPr>
                <w:color w:val="231F20"/>
                <w:spacing w:val="-6"/>
                <w:sz w:val="14"/>
              </w:rPr>
              <w:t xml:space="preserve"> </w:t>
            </w:r>
            <w:r>
              <w:rPr>
                <w:color w:val="231F20"/>
                <w:sz w:val="14"/>
              </w:rPr>
              <w:t>30°,</w:t>
            </w:r>
            <w:r>
              <w:rPr>
                <w:color w:val="231F20"/>
                <w:spacing w:val="-6"/>
                <w:sz w:val="14"/>
              </w:rPr>
              <w:t xml:space="preserve"> </w:t>
            </w:r>
            <w:r>
              <w:rPr>
                <w:color w:val="231F20"/>
                <w:sz w:val="14"/>
              </w:rPr>
              <w:t>45°,</w:t>
            </w:r>
            <w:r>
              <w:rPr>
                <w:color w:val="231F20"/>
                <w:spacing w:val="-6"/>
                <w:sz w:val="14"/>
              </w:rPr>
              <w:t xml:space="preserve"> </w:t>
            </w:r>
            <w:r>
              <w:rPr>
                <w:color w:val="231F20"/>
                <w:sz w:val="14"/>
              </w:rPr>
              <w:t>60°).</w:t>
            </w:r>
          </w:p>
          <w:p w:rsidR="00041039" w:rsidRDefault="001B26CB">
            <w:pPr>
              <w:pStyle w:val="TableParagraph"/>
              <w:numPr>
                <w:ilvl w:val="0"/>
                <w:numId w:val="1253"/>
              </w:numPr>
              <w:tabs>
                <w:tab w:val="left" w:pos="157"/>
              </w:tabs>
              <w:spacing w:line="160" w:lineRule="exact"/>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функција оштрог</w:t>
            </w:r>
            <w:r>
              <w:rPr>
                <w:color w:val="231F20"/>
                <w:spacing w:val="-1"/>
                <w:sz w:val="14"/>
              </w:rPr>
              <w:t xml:space="preserve"> </w:t>
            </w:r>
            <w:r>
              <w:rPr>
                <w:color w:val="231F20"/>
                <w:sz w:val="14"/>
              </w:rPr>
              <w:t>угла.</w:t>
            </w:r>
          </w:p>
          <w:p w:rsidR="00041039" w:rsidRDefault="001B26CB">
            <w:pPr>
              <w:pStyle w:val="TableParagraph"/>
              <w:numPr>
                <w:ilvl w:val="0"/>
                <w:numId w:val="1253"/>
              </w:numPr>
              <w:tabs>
                <w:tab w:val="left" w:pos="157"/>
              </w:tabs>
              <w:spacing w:line="153" w:lineRule="exact"/>
              <w:ind w:hanging="99"/>
              <w:rPr>
                <w:sz w:val="14"/>
              </w:rPr>
            </w:pPr>
            <w:r>
              <w:rPr>
                <w:color w:val="231F20"/>
                <w:sz w:val="14"/>
              </w:rPr>
              <w:t>Основни тригонометријски</w:t>
            </w:r>
            <w:r>
              <w:rPr>
                <w:color w:val="231F20"/>
                <w:spacing w:val="-5"/>
                <w:sz w:val="14"/>
              </w:rPr>
              <w:t xml:space="preserve"> </w:t>
            </w:r>
            <w:r>
              <w:rPr>
                <w:color w:val="231F20"/>
                <w:sz w:val="14"/>
              </w:rPr>
              <w:t>идентитети.</w:t>
            </w:r>
          </w:p>
          <w:p w:rsidR="00041039" w:rsidRDefault="001B26CB">
            <w:pPr>
              <w:pStyle w:val="TableParagraph"/>
              <w:numPr>
                <w:ilvl w:val="0"/>
                <w:numId w:val="1253"/>
              </w:numPr>
              <w:tabs>
                <w:tab w:val="left" w:pos="157"/>
              </w:tabs>
              <w:spacing w:line="237" w:lineRule="auto"/>
              <w:ind w:right="64" w:hanging="99"/>
              <w:rPr>
                <w:sz w:val="14"/>
              </w:rPr>
            </w:pPr>
            <w:r>
              <w:rPr>
                <w:color w:val="231F20"/>
                <w:sz w:val="14"/>
              </w:rPr>
              <w:t xml:space="preserve">Уопштење појма </w:t>
            </w:r>
            <w:r>
              <w:rPr>
                <w:color w:val="231F20"/>
                <w:spacing w:val="-3"/>
                <w:sz w:val="14"/>
              </w:rPr>
              <w:t xml:space="preserve">угла </w:t>
            </w:r>
            <w:r>
              <w:rPr>
                <w:color w:val="231F20"/>
                <w:sz w:val="14"/>
              </w:rPr>
              <w:t>на кружници</w:t>
            </w:r>
            <w:r>
              <w:rPr>
                <w:color w:val="231F20"/>
                <w:spacing w:val="-26"/>
                <w:sz w:val="14"/>
              </w:rPr>
              <w:t xml:space="preserve"> </w:t>
            </w:r>
            <w:r>
              <w:rPr>
                <w:color w:val="231F20"/>
                <w:sz w:val="14"/>
              </w:rPr>
              <w:t>(степен, радијан).</w:t>
            </w:r>
          </w:p>
          <w:p w:rsidR="00041039" w:rsidRDefault="001B26CB">
            <w:pPr>
              <w:pStyle w:val="TableParagraph"/>
              <w:numPr>
                <w:ilvl w:val="0"/>
                <w:numId w:val="1253"/>
              </w:numPr>
              <w:tabs>
                <w:tab w:val="left" w:pos="157"/>
              </w:tabs>
              <w:spacing w:line="160" w:lineRule="exact"/>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функција произвољног</w:t>
            </w:r>
            <w:r>
              <w:rPr>
                <w:color w:val="231F20"/>
                <w:spacing w:val="-1"/>
                <w:sz w:val="14"/>
              </w:rPr>
              <w:t xml:space="preserve"> </w:t>
            </w:r>
            <w:r>
              <w:rPr>
                <w:color w:val="231F20"/>
                <w:sz w:val="14"/>
              </w:rPr>
              <w:t>угла.</w:t>
            </w:r>
          </w:p>
        </w:tc>
        <w:tc>
          <w:tcPr>
            <w:tcW w:w="2267" w:type="dxa"/>
          </w:tcPr>
          <w:p w:rsidR="00041039" w:rsidRDefault="001B26CB">
            <w:pPr>
              <w:pStyle w:val="TableParagraph"/>
              <w:numPr>
                <w:ilvl w:val="0"/>
                <w:numId w:val="1252"/>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252"/>
              </w:numPr>
              <w:tabs>
                <w:tab w:val="left" w:pos="158"/>
              </w:tabs>
              <w:spacing w:line="160" w:lineRule="exact"/>
              <w:ind w:hanging="99"/>
              <w:rPr>
                <w:b/>
                <w:sz w:val="14"/>
              </w:rPr>
            </w:pPr>
            <w:r>
              <w:rPr>
                <w:color w:val="231F20"/>
                <w:sz w:val="14"/>
              </w:rPr>
              <w:t xml:space="preserve">теоријска настава </w:t>
            </w:r>
            <w:r>
              <w:rPr>
                <w:b/>
                <w:color w:val="231F20"/>
                <w:sz w:val="14"/>
              </w:rPr>
              <w:t>(140</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252"/>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1252"/>
              </w:numPr>
              <w:tabs>
                <w:tab w:val="left" w:pos="158"/>
              </w:tabs>
              <w:spacing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Логика и скупови</w:t>
            </w:r>
          </w:p>
        </w:tc>
        <w:tc>
          <w:tcPr>
            <w:tcW w:w="1587" w:type="dxa"/>
          </w:tcPr>
          <w:p w:rsidR="00041039" w:rsidRDefault="001B26CB">
            <w:pPr>
              <w:pStyle w:val="TableParagraph"/>
              <w:numPr>
                <w:ilvl w:val="0"/>
                <w:numId w:val="1251"/>
              </w:numPr>
              <w:tabs>
                <w:tab w:val="left" w:pos="157"/>
              </w:tabs>
              <w:spacing w:before="8"/>
              <w:ind w:right="94"/>
              <w:rPr>
                <w:sz w:val="14"/>
              </w:rPr>
            </w:pPr>
            <w:r>
              <w:rPr>
                <w:color w:val="231F20"/>
                <w:sz w:val="14"/>
              </w:rPr>
              <w:t>Стицање знања о исказима и обављању основних логичких и скуповних операција и примена ових знања у комбинаторним задацима.</w:t>
            </w:r>
          </w:p>
        </w:tc>
        <w:tc>
          <w:tcPr>
            <w:tcW w:w="2551" w:type="dxa"/>
          </w:tcPr>
          <w:p w:rsidR="00041039" w:rsidRDefault="001B26CB">
            <w:pPr>
              <w:pStyle w:val="TableParagraph"/>
              <w:numPr>
                <w:ilvl w:val="0"/>
                <w:numId w:val="1250"/>
              </w:numPr>
              <w:tabs>
                <w:tab w:val="left" w:pos="157"/>
              </w:tabs>
              <w:spacing w:before="8"/>
              <w:ind w:right="77" w:hanging="99"/>
              <w:rPr>
                <w:sz w:val="14"/>
              </w:rPr>
            </w:pPr>
            <w:r>
              <w:rPr>
                <w:color w:val="231F20"/>
                <w:sz w:val="14"/>
              </w:rPr>
              <w:t>одређује истинитосну вредност логич­ ке</w:t>
            </w:r>
            <w:r>
              <w:rPr>
                <w:color w:val="231F20"/>
                <w:spacing w:val="-1"/>
                <w:sz w:val="14"/>
              </w:rPr>
              <w:t xml:space="preserve"> </w:t>
            </w:r>
            <w:r>
              <w:rPr>
                <w:color w:val="231F20"/>
                <w:sz w:val="14"/>
              </w:rPr>
              <w:t>формуле;</w:t>
            </w:r>
          </w:p>
          <w:p w:rsidR="00041039" w:rsidRDefault="001B26CB">
            <w:pPr>
              <w:pStyle w:val="TableParagraph"/>
              <w:numPr>
                <w:ilvl w:val="0"/>
                <w:numId w:val="1250"/>
              </w:numPr>
              <w:tabs>
                <w:tab w:val="left" w:pos="157"/>
              </w:tabs>
              <w:spacing w:line="160" w:lineRule="exact"/>
              <w:ind w:right="124" w:hanging="99"/>
              <w:rPr>
                <w:sz w:val="14"/>
              </w:rPr>
            </w:pPr>
            <w:r>
              <w:rPr>
                <w:color w:val="231F20"/>
                <w:sz w:val="14"/>
              </w:rPr>
              <w:t>коректно се служи</w:t>
            </w:r>
            <w:r>
              <w:rPr>
                <w:color w:val="231F20"/>
                <w:spacing w:val="-23"/>
                <w:sz w:val="14"/>
              </w:rPr>
              <w:t xml:space="preserve"> </w:t>
            </w:r>
            <w:r>
              <w:rPr>
                <w:color w:val="231F20"/>
                <w:sz w:val="14"/>
              </w:rPr>
              <w:t>квантификаторима и разуме њихова</w:t>
            </w:r>
            <w:r>
              <w:rPr>
                <w:color w:val="231F20"/>
                <w:spacing w:val="-4"/>
                <w:sz w:val="14"/>
              </w:rPr>
              <w:t xml:space="preserve"> </w:t>
            </w:r>
            <w:r>
              <w:rPr>
                <w:color w:val="231F20"/>
                <w:sz w:val="14"/>
              </w:rPr>
              <w:t>значења;</w:t>
            </w:r>
          </w:p>
          <w:p w:rsidR="00041039" w:rsidRDefault="001B26CB">
            <w:pPr>
              <w:pStyle w:val="TableParagraph"/>
              <w:numPr>
                <w:ilvl w:val="0"/>
                <w:numId w:val="1250"/>
              </w:numPr>
              <w:tabs>
                <w:tab w:val="left" w:pos="157"/>
              </w:tabs>
              <w:spacing w:line="160" w:lineRule="exact"/>
              <w:ind w:right="168" w:hanging="99"/>
              <w:rPr>
                <w:sz w:val="14"/>
              </w:rPr>
            </w:pPr>
            <w:r>
              <w:rPr>
                <w:color w:val="231F20"/>
                <w:sz w:val="14"/>
              </w:rPr>
              <w:t>познаје основне скуповне</w:t>
            </w:r>
            <w:r>
              <w:rPr>
                <w:color w:val="231F20"/>
                <w:spacing w:val="-12"/>
                <w:sz w:val="14"/>
              </w:rPr>
              <w:t xml:space="preserve"> </w:t>
            </w:r>
            <w:r>
              <w:rPr>
                <w:color w:val="231F20"/>
                <w:sz w:val="14"/>
              </w:rPr>
              <w:t>једнакости и обавља елементарне операције са скуповима;</w:t>
            </w:r>
          </w:p>
          <w:p w:rsidR="00041039" w:rsidRDefault="001B26CB">
            <w:pPr>
              <w:pStyle w:val="TableParagraph"/>
              <w:numPr>
                <w:ilvl w:val="0"/>
                <w:numId w:val="1250"/>
              </w:numPr>
              <w:tabs>
                <w:tab w:val="left" w:pos="157"/>
              </w:tabs>
              <w:spacing w:line="159" w:lineRule="exact"/>
              <w:ind w:hanging="99"/>
              <w:rPr>
                <w:sz w:val="14"/>
              </w:rPr>
            </w:pPr>
            <w:r>
              <w:rPr>
                <w:color w:val="231F20"/>
                <w:sz w:val="14"/>
              </w:rPr>
              <w:t>решава лакше комбинаторне</w:t>
            </w:r>
            <w:r>
              <w:rPr>
                <w:color w:val="231F20"/>
                <w:spacing w:val="-14"/>
                <w:sz w:val="14"/>
              </w:rPr>
              <w:t xml:space="preserve"> </w:t>
            </w:r>
            <w:r>
              <w:rPr>
                <w:color w:val="231F20"/>
                <w:sz w:val="14"/>
              </w:rPr>
              <w:t>задатке;</w:t>
            </w:r>
          </w:p>
        </w:tc>
        <w:tc>
          <w:tcPr>
            <w:tcW w:w="2834" w:type="dxa"/>
          </w:tcPr>
          <w:p w:rsidR="00041039" w:rsidRDefault="001B26CB">
            <w:pPr>
              <w:pStyle w:val="TableParagraph"/>
              <w:numPr>
                <w:ilvl w:val="0"/>
                <w:numId w:val="1249"/>
              </w:numPr>
              <w:tabs>
                <w:tab w:val="left" w:pos="157"/>
              </w:tabs>
              <w:spacing w:before="8" w:line="166" w:lineRule="exact"/>
              <w:ind w:hanging="99"/>
              <w:rPr>
                <w:sz w:val="14"/>
              </w:rPr>
            </w:pPr>
            <w:r>
              <w:rPr>
                <w:color w:val="231F20"/>
                <w:sz w:val="14"/>
              </w:rPr>
              <w:t>Искази и операције са</w:t>
            </w:r>
            <w:r>
              <w:rPr>
                <w:color w:val="231F20"/>
                <w:spacing w:val="-2"/>
                <w:sz w:val="14"/>
              </w:rPr>
              <w:t xml:space="preserve"> </w:t>
            </w:r>
            <w:r>
              <w:rPr>
                <w:color w:val="231F20"/>
                <w:sz w:val="14"/>
              </w:rPr>
              <w:t>њима.</w:t>
            </w:r>
          </w:p>
          <w:p w:rsidR="00041039" w:rsidRDefault="001B26CB">
            <w:pPr>
              <w:pStyle w:val="TableParagraph"/>
              <w:numPr>
                <w:ilvl w:val="0"/>
                <w:numId w:val="1249"/>
              </w:numPr>
              <w:tabs>
                <w:tab w:val="left" w:pos="157"/>
              </w:tabs>
              <w:spacing w:line="160" w:lineRule="exact"/>
              <w:ind w:hanging="99"/>
              <w:rPr>
                <w:sz w:val="14"/>
              </w:rPr>
            </w:pPr>
            <w:r>
              <w:rPr>
                <w:color w:val="231F20"/>
                <w:sz w:val="14"/>
              </w:rPr>
              <w:t>Истинитосна вредност</w:t>
            </w:r>
            <w:r>
              <w:rPr>
                <w:color w:val="231F20"/>
                <w:spacing w:val="-2"/>
                <w:sz w:val="14"/>
              </w:rPr>
              <w:t xml:space="preserve"> </w:t>
            </w:r>
            <w:r>
              <w:rPr>
                <w:color w:val="231F20"/>
                <w:sz w:val="14"/>
              </w:rPr>
              <w:t>формуле.</w:t>
            </w:r>
          </w:p>
          <w:p w:rsidR="00041039" w:rsidRDefault="001B26CB">
            <w:pPr>
              <w:pStyle w:val="TableParagraph"/>
              <w:numPr>
                <w:ilvl w:val="0"/>
                <w:numId w:val="1249"/>
              </w:numPr>
              <w:tabs>
                <w:tab w:val="left" w:pos="157"/>
              </w:tabs>
              <w:spacing w:line="160" w:lineRule="exact"/>
              <w:ind w:hanging="99"/>
              <w:rPr>
                <w:sz w:val="14"/>
              </w:rPr>
            </w:pPr>
            <w:r>
              <w:rPr>
                <w:color w:val="231F20"/>
                <w:sz w:val="14"/>
              </w:rPr>
              <w:t>Основне операције са</w:t>
            </w:r>
            <w:r>
              <w:rPr>
                <w:color w:val="231F20"/>
                <w:spacing w:val="-3"/>
                <w:sz w:val="14"/>
              </w:rPr>
              <w:t xml:space="preserve"> </w:t>
            </w:r>
            <w:r>
              <w:rPr>
                <w:color w:val="231F20"/>
                <w:sz w:val="14"/>
              </w:rPr>
              <w:t>скуповима.</w:t>
            </w:r>
          </w:p>
          <w:p w:rsidR="00041039" w:rsidRDefault="001B26CB">
            <w:pPr>
              <w:pStyle w:val="TableParagraph"/>
              <w:numPr>
                <w:ilvl w:val="0"/>
                <w:numId w:val="1249"/>
              </w:numPr>
              <w:tabs>
                <w:tab w:val="left" w:pos="157"/>
              </w:tabs>
              <w:spacing w:line="160" w:lineRule="exact"/>
              <w:ind w:hanging="99"/>
              <w:rPr>
                <w:sz w:val="14"/>
              </w:rPr>
            </w:pPr>
            <w:r>
              <w:rPr>
                <w:color w:val="231F20"/>
                <w:sz w:val="14"/>
              </w:rPr>
              <w:t>Доказивање лакших скуповних</w:t>
            </w:r>
            <w:r>
              <w:rPr>
                <w:color w:val="231F20"/>
                <w:spacing w:val="-12"/>
                <w:sz w:val="14"/>
              </w:rPr>
              <w:t xml:space="preserve"> </w:t>
            </w:r>
            <w:r>
              <w:rPr>
                <w:color w:val="231F20"/>
                <w:sz w:val="14"/>
              </w:rPr>
              <w:t>једнакости.</w:t>
            </w:r>
          </w:p>
          <w:p w:rsidR="00041039" w:rsidRDefault="001B26CB">
            <w:pPr>
              <w:pStyle w:val="TableParagraph"/>
              <w:numPr>
                <w:ilvl w:val="0"/>
                <w:numId w:val="1249"/>
              </w:numPr>
              <w:tabs>
                <w:tab w:val="left" w:pos="157"/>
              </w:tabs>
              <w:spacing w:line="160" w:lineRule="exact"/>
              <w:ind w:hanging="99"/>
              <w:rPr>
                <w:i/>
                <w:sz w:val="14"/>
              </w:rPr>
            </w:pPr>
            <w:r>
              <w:rPr>
                <w:color w:val="231F20"/>
                <w:sz w:val="14"/>
              </w:rPr>
              <w:t xml:space="preserve">Скупови бројева </w:t>
            </w:r>
            <w:r>
              <w:rPr>
                <w:i/>
                <w:color w:val="231F20"/>
                <w:sz w:val="14"/>
              </w:rPr>
              <w:t>N, Z, Q, I,</w:t>
            </w:r>
            <w:r>
              <w:rPr>
                <w:i/>
                <w:color w:val="231F20"/>
                <w:spacing w:val="-4"/>
                <w:sz w:val="14"/>
              </w:rPr>
              <w:t xml:space="preserve"> </w:t>
            </w:r>
            <w:r>
              <w:rPr>
                <w:i/>
                <w:color w:val="231F20"/>
                <w:sz w:val="14"/>
              </w:rPr>
              <w:t>R.</w:t>
            </w:r>
          </w:p>
          <w:p w:rsidR="00041039" w:rsidRDefault="001B26CB">
            <w:pPr>
              <w:pStyle w:val="TableParagraph"/>
              <w:numPr>
                <w:ilvl w:val="0"/>
                <w:numId w:val="1249"/>
              </w:numPr>
              <w:tabs>
                <w:tab w:val="left" w:pos="157"/>
              </w:tabs>
              <w:spacing w:line="160" w:lineRule="exact"/>
              <w:ind w:hanging="99"/>
              <w:rPr>
                <w:sz w:val="14"/>
              </w:rPr>
            </w:pPr>
            <w:r>
              <w:rPr>
                <w:color w:val="231F20"/>
                <w:sz w:val="14"/>
              </w:rPr>
              <w:t>Правило збира и</w:t>
            </w:r>
            <w:r>
              <w:rPr>
                <w:color w:val="231F20"/>
                <w:spacing w:val="-5"/>
                <w:sz w:val="14"/>
              </w:rPr>
              <w:t xml:space="preserve"> </w:t>
            </w:r>
            <w:r>
              <w:rPr>
                <w:color w:val="231F20"/>
                <w:sz w:val="14"/>
              </w:rPr>
              <w:t>производа.</w:t>
            </w:r>
          </w:p>
          <w:p w:rsidR="00041039" w:rsidRDefault="001B26CB">
            <w:pPr>
              <w:pStyle w:val="TableParagraph"/>
              <w:numPr>
                <w:ilvl w:val="0"/>
                <w:numId w:val="1249"/>
              </w:numPr>
              <w:tabs>
                <w:tab w:val="left" w:pos="157"/>
              </w:tabs>
              <w:spacing w:line="160" w:lineRule="exact"/>
              <w:ind w:hanging="99"/>
              <w:rPr>
                <w:sz w:val="14"/>
              </w:rPr>
            </w:pPr>
            <w:r>
              <w:rPr>
                <w:color w:val="231F20"/>
                <w:sz w:val="14"/>
              </w:rPr>
              <w:t>Релација.</w:t>
            </w:r>
          </w:p>
          <w:p w:rsidR="00041039" w:rsidRDefault="001B26CB">
            <w:pPr>
              <w:pStyle w:val="TableParagraph"/>
              <w:numPr>
                <w:ilvl w:val="0"/>
                <w:numId w:val="1249"/>
              </w:numPr>
              <w:tabs>
                <w:tab w:val="left" w:pos="157"/>
              </w:tabs>
              <w:spacing w:line="166" w:lineRule="exact"/>
              <w:ind w:hanging="99"/>
              <w:rPr>
                <w:sz w:val="14"/>
              </w:rPr>
            </w:pPr>
            <w:r>
              <w:rPr>
                <w:color w:val="231F20"/>
                <w:sz w:val="14"/>
              </w:rPr>
              <w:t>Функција.</w:t>
            </w:r>
          </w:p>
        </w:tc>
        <w:tc>
          <w:tcPr>
            <w:tcW w:w="2267" w:type="dxa"/>
            <w:vMerge w:val="restart"/>
          </w:tcPr>
          <w:p w:rsidR="00041039" w:rsidRDefault="001B26CB">
            <w:pPr>
              <w:pStyle w:val="TableParagraph"/>
              <w:numPr>
                <w:ilvl w:val="0"/>
                <w:numId w:val="1248"/>
              </w:numPr>
              <w:tabs>
                <w:tab w:val="left" w:pos="158"/>
              </w:tabs>
              <w:spacing w:before="8"/>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248"/>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1248"/>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248"/>
              </w:numPr>
              <w:tabs>
                <w:tab w:val="left" w:pos="158"/>
              </w:tabs>
              <w:spacing w:before="1" w:line="160" w:lineRule="exact"/>
              <w:ind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технологија;</w:t>
            </w:r>
          </w:p>
          <w:p w:rsidR="00041039" w:rsidRDefault="001B26CB">
            <w:pPr>
              <w:pStyle w:val="TableParagraph"/>
              <w:numPr>
                <w:ilvl w:val="0"/>
                <w:numId w:val="1247"/>
              </w:numPr>
              <w:tabs>
                <w:tab w:val="left" w:pos="143"/>
              </w:tabs>
              <w:spacing w:line="237" w:lineRule="auto"/>
              <w:ind w:right="60"/>
              <w:rPr>
                <w:sz w:val="14"/>
              </w:rPr>
            </w:pPr>
            <w:r>
              <w:rPr>
                <w:b/>
                <w:color w:val="231F20"/>
                <w:sz w:val="14"/>
              </w:rPr>
              <w:t xml:space="preserve">Тригонометрија </w:t>
            </w:r>
            <w:r>
              <w:rPr>
                <w:b/>
                <w:color w:val="231F20"/>
                <w:spacing w:val="-3"/>
                <w:sz w:val="14"/>
              </w:rPr>
              <w:t xml:space="preserve">правоуглог троугла: </w:t>
            </w:r>
            <w:r>
              <w:rPr>
                <w:color w:val="231F20"/>
                <w:sz w:val="14"/>
              </w:rPr>
              <w:t xml:space="preserve">оспособити ученике за проналажење правоуглог </w:t>
            </w:r>
            <w:r>
              <w:rPr>
                <w:color w:val="231F20"/>
                <w:spacing w:val="-3"/>
                <w:sz w:val="14"/>
              </w:rPr>
              <w:t xml:space="preserve">троугла </w:t>
            </w:r>
            <w:r>
              <w:rPr>
                <w:color w:val="231F20"/>
                <w:sz w:val="14"/>
              </w:rPr>
              <w:t>на разним геометријским фигу­ рама. Инсистирати на правилном означавању и адек</w:t>
            </w:r>
            <w:r>
              <w:rPr>
                <w:color w:val="231F20"/>
                <w:sz w:val="14"/>
              </w:rPr>
              <w:t>ватној</w:t>
            </w:r>
            <w:r>
              <w:rPr>
                <w:color w:val="231F20"/>
                <w:spacing w:val="-18"/>
                <w:sz w:val="14"/>
              </w:rPr>
              <w:t xml:space="preserve"> </w:t>
            </w:r>
            <w:r>
              <w:rPr>
                <w:color w:val="231F20"/>
                <w:sz w:val="14"/>
              </w:rPr>
              <w:t>употреби тригонометријских</w:t>
            </w:r>
            <w:r>
              <w:rPr>
                <w:color w:val="231F20"/>
                <w:spacing w:val="-1"/>
                <w:sz w:val="14"/>
              </w:rPr>
              <w:t xml:space="preserve"> </w:t>
            </w:r>
            <w:r>
              <w:rPr>
                <w:color w:val="231F20"/>
                <w:sz w:val="14"/>
              </w:rPr>
              <w:t>функција.</w:t>
            </w:r>
          </w:p>
          <w:p w:rsidR="00041039" w:rsidRDefault="001B26CB">
            <w:pPr>
              <w:pStyle w:val="TableParagraph"/>
              <w:numPr>
                <w:ilvl w:val="0"/>
                <w:numId w:val="1247"/>
              </w:numPr>
              <w:tabs>
                <w:tab w:val="left" w:pos="143"/>
              </w:tabs>
              <w:spacing w:before="1"/>
              <w:ind w:right="79"/>
              <w:rPr>
                <w:sz w:val="14"/>
              </w:rPr>
            </w:pPr>
            <w:r>
              <w:rPr>
                <w:b/>
                <w:color w:val="231F20"/>
                <w:sz w:val="14"/>
              </w:rPr>
              <w:t xml:space="preserve">Логика и скупови: </w:t>
            </w:r>
            <w:r>
              <w:rPr>
                <w:color w:val="231F20"/>
                <w:sz w:val="14"/>
              </w:rPr>
              <w:t>сводити ску­ повне</w:t>
            </w:r>
            <w:r>
              <w:rPr>
                <w:color w:val="231F20"/>
                <w:spacing w:val="-8"/>
                <w:sz w:val="14"/>
              </w:rPr>
              <w:t xml:space="preserve"> </w:t>
            </w:r>
            <w:r>
              <w:rPr>
                <w:color w:val="231F20"/>
                <w:sz w:val="14"/>
              </w:rPr>
              <w:t>доказе</w:t>
            </w:r>
            <w:r>
              <w:rPr>
                <w:color w:val="231F20"/>
                <w:spacing w:val="-7"/>
                <w:sz w:val="14"/>
              </w:rPr>
              <w:t xml:space="preserve"> </w:t>
            </w:r>
            <w:r>
              <w:rPr>
                <w:color w:val="231F20"/>
                <w:sz w:val="14"/>
              </w:rPr>
              <w:t>на</w:t>
            </w:r>
            <w:r>
              <w:rPr>
                <w:color w:val="231F20"/>
                <w:spacing w:val="-8"/>
                <w:sz w:val="14"/>
              </w:rPr>
              <w:t xml:space="preserve"> </w:t>
            </w:r>
            <w:r>
              <w:rPr>
                <w:color w:val="231F20"/>
                <w:sz w:val="14"/>
              </w:rPr>
              <w:t>логичке</w:t>
            </w:r>
            <w:r>
              <w:rPr>
                <w:color w:val="231F20"/>
                <w:spacing w:val="-7"/>
                <w:sz w:val="14"/>
              </w:rPr>
              <w:t xml:space="preserve"> </w:t>
            </w:r>
            <w:r>
              <w:rPr>
                <w:color w:val="231F20"/>
                <w:sz w:val="14"/>
              </w:rPr>
              <w:t>формуле; истаћи разлике између правила збира и производа и комбиновати их у</w:t>
            </w:r>
            <w:r>
              <w:rPr>
                <w:color w:val="231F20"/>
                <w:spacing w:val="-2"/>
                <w:sz w:val="14"/>
              </w:rPr>
              <w:t xml:space="preserve"> </w:t>
            </w:r>
            <w:r>
              <w:rPr>
                <w:color w:val="231F20"/>
                <w:sz w:val="14"/>
              </w:rPr>
              <w:t>задацима.</w:t>
            </w:r>
          </w:p>
          <w:p w:rsidR="00041039" w:rsidRDefault="001B26CB">
            <w:pPr>
              <w:pStyle w:val="TableParagraph"/>
              <w:numPr>
                <w:ilvl w:val="0"/>
                <w:numId w:val="1247"/>
              </w:numPr>
              <w:tabs>
                <w:tab w:val="left" w:pos="143"/>
              </w:tabs>
              <w:spacing w:line="237" w:lineRule="auto"/>
              <w:ind w:right="109"/>
              <w:rPr>
                <w:sz w:val="14"/>
              </w:rPr>
            </w:pPr>
            <w:r>
              <w:rPr>
                <w:b/>
                <w:color w:val="231F20"/>
                <w:sz w:val="14"/>
              </w:rPr>
              <w:t xml:space="preserve">Реални бројеви: </w:t>
            </w:r>
            <w:r>
              <w:rPr>
                <w:color w:val="231F20"/>
                <w:sz w:val="14"/>
              </w:rPr>
              <w:t>нагласити за­ твореност операција у</w:t>
            </w:r>
            <w:r>
              <w:rPr>
                <w:color w:val="231F20"/>
                <w:spacing w:val="-3"/>
                <w:sz w:val="14"/>
              </w:rPr>
              <w:t xml:space="preserve"> </w:t>
            </w:r>
            <w:r>
              <w:rPr>
                <w:color w:val="231F20"/>
                <w:sz w:val="14"/>
              </w:rPr>
              <w:t>одређеним скуповима и потребу да се постојећи скуп прошири</w:t>
            </w:r>
            <w:r>
              <w:rPr>
                <w:color w:val="231F20"/>
                <w:spacing w:val="-9"/>
                <w:sz w:val="14"/>
              </w:rPr>
              <w:t xml:space="preserve"> </w:t>
            </w:r>
            <w:r>
              <w:rPr>
                <w:color w:val="231F20"/>
                <w:sz w:val="14"/>
              </w:rPr>
              <w:t>новим.</w:t>
            </w:r>
          </w:p>
          <w:p w:rsidR="00041039" w:rsidRDefault="001B26CB">
            <w:pPr>
              <w:pStyle w:val="TableParagraph"/>
              <w:ind w:left="142" w:right="230"/>
              <w:rPr>
                <w:sz w:val="14"/>
              </w:rPr>
            </w:pPr>
            <w:r>
              <w:rPr>
                <w:color w:val="231F20"/>
                <w:sz w:val="14"/>
              </w:rPr>
              <w:t>Садржаје о грешкама повезати са стручним предметима, из­</w:t>
            </w:r>
          </w:p>
          <w:p w:rsidR="00041039" w:rsidRDefault="001B26CB">
            <w:pPr>
              <w:pStyle w:val="TableParagraph"/>
              <w:ind w:left="142" w:right="14"/>
              <w:rPr>
                <w:sz w:val="14"/>
              </w:rPr>
            </w:pPr>
            <w:r>
              <w:rPr>
                <w:color w:val="231F20"/>
                <w:sz w:val="14"/>
              </w:rPr>
              <w:t>рачунавати апсолутну и релативну грешку конкретних мерења.</w:t>
            </w:r>
          </w:p>
          <w:p w:rsidR="00041039" w:rsidRDefault="001B26CB">
            <w:pPr>
              <w:pStyle w:val="TableParagraph"/>
              <w:numPr>
                <w:ilvl w:val="0"/>
                <w:numId w:val="1247"/>
              </w:numPr>
              <w:tabs>
                <w:tab w:val="left" w:pos="143"/>
              </w:tabs>
              <w:ind w:right="81"/>
              <w:rPr>
                <w:sz w:val="14"/>
              </w:rPr>
            </w:pPr>
            <w:r>
              <w:rPr>
                <w:b/>
                <w:color w:val="231F20"/>
                <w:sz w:val="14"/>
              </w:rPr>
              <w:t xml:space="preserve">Рационални алгебарски изрази: </w:t>
            </w:r>
            <w:r>
              <w:rPr>
                <w:color w:val="231F20"/>
                <w:sz w:val="14"/>
              </w:rPr>
              <w:t>пажњу усмерити на растављање полинома на чин</w:t>
            </w:r>
            <w:r>
              <w:rPr>
                <w:color w:val="231F20"/>
                <w:sz w:val="14"/>
              </w:rPr>
              <w:t>иоце, а</w:t>
            </w:r>
            <w:r>
              <w:rPr>
                <w:color w:val="231F20"/>
                <w:spacing w:val="-8"/>
                <w:sz w:val="14"/>
              </w:rPr>
              <w:t xml:space="preserve"> </w:t>
            </w:r>
            <w:r>
              <w:rPr>
                <w:color w:val="231F20"/>
                <w:sz w:val="14"/>
              </w:rPr>
              <w:t>затим</w:t>
            </w:r>
          </w:p>
          <w:p w:rsidR="00041039" w:rsidRDefault="001B26CB">
            <w:pPr>
              <w:pStyle w:val="TableParagraph"/>
              <w:spacing w:line="237" w:lineRule="auto"/>
              <w:ind w:left="142" w:right="137"/>
              <w:rPr>
                <w:sz w:val="14"/>
              </w:rPr>
            </w:pPr>
            <w:r>
              <w:rPr>
                <w:color w:val="231F20"/>
                <w:sz w:val="14"/>
              </w:rPr>
              <w:t>на изразе са алгебарским раз­ ломцима уз инсистирање на условима. Користити једначине и неједначине код којих услови егзистенције разломака утичу на решење.</w:t>
            </w:r>
          </w:p>
          <w:p w:rsidR="00041039" w:rsidRDefault="001B26CB">
            <w:pPr>
              <w:pStyle w:val="TableParagraph"/>
              <w:numPr>
                <w:ilvl w:val="0"/>
                <w:numId w:val="1247"/>
              </w:numPr>
              <w:tabs>
                <w:tab w:val="left" w:pos="143"/>
              </w:tabs>
              <w:ind w:right="54"/>
              <w:rPr>
                <w:sz w:val="14"/>
              </w:rPr>
            </w:pPr>
            <w:r>
              <w:rPr>
                <w:b/>
                <w:color w:val="231F20"/>
                <w:sz w:val="14"/>
              </w:rPr>
              <w:t xml:space="preserve">Пропорционалност: </w:t>
            </w:r>
            <w:r>
              <w:rPr>
                <w:color w:val="231F20"/>
                <w:sz w:val="14"/>
              </w:rPr>
              <w:t>поновити и утврдити основна правила</w:t>
            </w:r>
            <w:r>
              <w:rPr>
                <w:color w:val="231F20"/>
                <w:spacing w:val="-10"/>
                <w:sz w:val="14"/>
              </w:rPr>
              <w:t xml:space="preserve"> </w:t>
            </w:r>
            <w:r>
              <w:rPr>
                <w:color w:val="231F20"/>
                <w:sz w:val="14"/>
              </w:rPr>
              <w:t>поделе, мешања и осталих елемен</w:t>
            </w:r>
            <w:r>
              <w:rPr>
                <w:color w:val="231F20"/>
                <w:sz w:val="14"/>
              </w:rPr>
              <w:t>тарних примена</w:t>
            </w:r>
            <w:r>
              <w:rPr>
                <w:color w:val="231F20"/>
                <w:spacing w:val="-2"/>
                <w:sz w:val="14"/>
              </w:rPr>
              <w:t xml:space="preserve"> </w:t>
            </w:r>
            <w:r>
              <w:rPr>
                <w:color w:val="231F20"/>
                <w:sz w:val="14"/>
              </w:rPr>
              <w:t>пропорција.</w:t>
            </w:r>
          </w:p>
          <w:p w:rsidR="00041039" w:rsidRDefault="001B26CB">
            <w:pPr>
              <w:pStyle w:val="TableParagraph"/>
              <w:numPr>
                <w:ilvl w:val="0"/>
                <w:numId w:val="1247"/>
              </w:numPr>
              <w:tabs>
                <w:tab w:val="left" w:pos="143"/>
              </w:tabs>
              <w:spacing w:line="237" w:lineRule="auto"/>
              <w:ind w:right="188"/>
              <w:rPr>
                <w:sz w:val="14"/>
              </w:rPr>
            </w:pPr>
            <w:r>
              <w:rPr>
                <w:b/>
                <w:color w:val="231F20"/>
                <w:sz w:val="14"/>
              </w:rPr>
              <w:t xml:space="preserve">Сличност: </w:t>
            </w:r>
            <w:r>
              <w:rPr>
                <w:color w:val="231F20"/>
                <w:sz w:val="14"/>
              </w:rPr>
              <w:t>истаћи значај ставова сличности троуглова у доказивању, развијати смисао</w:t>
            </w:r>
            <w:r>
              <w:rPr>
                <w:color w:val="231F20"/>
                <w:spacing w:val="-24"/>
                <w:sz w:val="14"/>
              </w:rPr>
              <w:t xml:space="preserve"> </w:t>
            </w:r>
            <w:r>
              <w:rPr>
                <w:color w:val="231F20"/>
                <w:sz w:val="14"/>
              </w:rPr>
              <w:t xml:space="preserve">за проналажење сличних троу­ </w:t>
            </w:r>
            <w:r>
              <w:rPr>
                <w:color w:val="231F20"/>
                <w:spacing w:val="-3"/>
                <w:sz w:val="14"/>
              </w:rPr>
              <w:t xml:space="preserve">глова </w:t>
            </w:r>
            <w:r>
              <w:rPr>
                <w:color w:val="231F20"/>
                <w:sz w:val="14"/>
              </w:rPr>
              <w:t>у сложенијим сликама са многоугловима и</w:t>
            </w:r>
            <w:r>
              <w:rPr>
                <w:color w:val="231F20"/>
                <w:spacing w:val="-6"/>
                <w:sz w:val="14"/>
              </w:rPr>
              <w:t xml:space="preserve"> </w:t>
            </w:r>
            <w:r>
              <w:rPr>
                <w:color w:val="231F20"/>
                <w:sz w:val="14"/>
              </w:rPr>
              <w:t>кругом.</w:t>
            </w:r>
          </w:p>
          <w:p w:rsidR="00041039" w:rsidRDefault="001B26CB">
            <w:pPr>
              <w:pStyle w:val="TableParagraph"/>
              <w:numPr>
                <w:ilvl w:val="0"/>
                <w:numId w:val="1247"/>
              </w:numPr>
              <w:tabs>
                <w:tab w:val="left" w:pos="143"/>
              </w:tabs>
              <w:ind w:right="158"/>
              <w:rPr>
                <w:sz w:val="14"/>
              </w:rPr>
            </w:pPr>
            <w:r>
              <w:rPr>
                <w:b/>
                <w:color w:val="231F20"/>
                <w:spacing w:val="-5"/>
                <w:sz w:val="14"/>
              </w:rPr>
              <w:t xml:space="preserve">Увод </w:t>
            </w:r>
            <w:r>
              <w:rPr>
                <w:b/>
                <w:color w:val="231F20"/>
                <w:sz w:val="14"/>
              </w:rPr>
              <w:t xml:space="preserve">у геометрију: </w:t>
            </w:r>
            <w:r>
              <w:rPr>
                <w:color w:val="231F20"/>
                <w:sz w:val="14"/>
              </w:rPr>
              <w:t>дати кратак приказ, са примерима,</w:t>
            </w:r>
            <w:r>
              <w:rPr>
                <w:color w:val="231F20"/>
                <w:spacing w:val="-22"/>
                <w:sz w:val="14"/>
              </w:rPr>
              <w:t xml:space="preserve"> </w:t>
            </w:r>
            <w:r>
              <w:rPr>
                <w:color w:val="231F20"/>
                <w:sz w:val="14"/>
              </w:rPr>
              <w:t>аксиомат­ ског заснивања</w:t>
            </w:r>
            <w:r>
              <w:rPr>
                <w:color w:val="231F20"/>
                <w:spacing w:val="-4"/>
                <w:sz w:val="14"/>
              </w:rPr>
              <w:t xml:space="preserve"> </w:t>
            </w:r>
            <w:r>
              <w:rPr>
                <w:color w:val="231F20"/>
                <w:sz w:val="14"/>
              </w:rPr>
              <w:t>геометрије.</w:t>
            </w:r>
          </w:p>
          <w:p w:rsidR="00041039" w:rsidRDefault="001B26CB">
            <w:pPr>
              <w:pStyle w:val="TableParagraph"/>
              <w:numPr>
                <w:ilvl w:val="0"/>
                <w:numId w:val="1247"/>
              </w:numPr>
              <w:tabs>
                <w:tab w:val="left" w:pos="143"/>
              </w:tabs>
              <w:spacing w:line="237" w:lineRule="auto"/>
              <w:ind w:right="76"/>
              <w:rPr>
                <w:sz w:val="14"/>
              </w:rPr>
            </w:pPr>
            <w:r>
              <w:rPr>
                <w:b/>
                <w:color w:val="231F20"/>
                <w:sz w:val="14"/>
              </w:rPr>
              <w:t xml:space="preserve">Подударност: </w:t>
            </w:r>
            <w:r>
              <w:rPr>
                <w:color w:val="231F20"/>
                <w:sz w:val="14"/>
              </w:rPr>
              <w:t>инсистирати на прецизности и систематичности у раду кроз конструктивне задатке; приближити појмове подудар­ ности, симетричности и развијати смисао за опажање</w:t>
            </w:r>
            <w:r>
              <w:rPr>
                <w:color w:val="231F20"/>
                <w:spacing w:val="-1"/>
                <w:sz w:val="14"/>
              </w:rPr>
              <w:t xml:space="preserve"> </w:t>
            </w:r>
            <w:r>
              <w:rPr>
                <w:color w:val="231F20"/>
                <w:sz w:val="14"/>
              </w:rPr>
              <w:t>детаља</w:t>
            </w:r>
          </w:p>
          <w:p w:rsidR="00041039" w:rsidRDefault="001B26CB">
            <w:pPr>
              <w:pStyle w:val="TableParagraph"/>
              <w:ind w:left="142"/>
              <w:rPr>
                <w:sz w:val="14"/>
              </w:rPr>
            </w:pPr>
            <w:r>
              <w:rPr>
                <w:color w:val="231F20"/>
                <w:sz w:val="14"/>
              </w:rPr>
              <w:t>на геометријским фигурама. Систематизовати знања о многоу­ гловима и кругу.</w:t>
            </w:r>
          </w:p>
          <w:p w:rsidR="00041039" w:rsidRDefault="00041039">
            <w:pPr>
              <w:pStyle w:val="TableParagraph"/>
              <w:spacing w:before="4"/>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246"/>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246"/>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теми</w:t>
            </w:r>
          </w:p>
          <w:p w:rsidR="00041039" w:rsidRDefault="001B26CB">
            <w:pPr>
              <w:pStyle w:val="TableParagraph"/>
              <w:numPr>
                <w:ilvl w:val="0"/>
                <w:numId w:val="1246"/>
              </w:numPr>
              <w:tabs>
                <w:tab w:val="left" w:pos="158"/>
              </w:tabs>
              <w:spacing w:line="237" w:lineRule="auto"/>
              <w:ind w:right="172" w:hanging="99"/>
              <w:rPr>
                <w:b/>
                <w:sz w:val="14"/>
              </w:rPr>
            </w:pPr>
            <w:r>
              <w:rPr>
                <w:color w:val="231F20"/>
                <w:sz w:val="14"/>
              </w:rPr>
              <w:t>Тригонометрија правоуглог</w:t>
            </w:r>
            <w:r>
              <w:rPr>
                <w:color w:val="231F20"/>
                <w:spacing w:val="-27"/>
                <w:sz w:val="14"/>
              </w:rPr>
              <w:t xml:space="preserve"> </w:t>
            </w:r>
            <w:r>
              <w:rPr>
                <w:color w:val="231F20"/>
                <w:sz w:val="14"/>
              </w:rPr>
              <w:t xml:space="preserve">тро­ </w:t>
            </w:r>
            <w:r>
              <w:rPr>
                <w:color w:val="231F20"/>
                <w:spacing w:val="-3"/>
                <w:sz w:val="14"/>
              </w:rPr>
              <w:t xml:space="preserve">угла </w:t>
            </w:r>
            <w:r>
              <w:rPr>
                <w:b/>
                <w:color w:val="231F20"/>
                <w:sz w:val="14"/>
              </w:rPr>
              <w:t>(9</w:t>
            </w:r>
            <w:r>
              <w:rPr>
                <w:b/>
                <w:color w:val="231F20"/>
                <w:sz w:val="14"/>
              </w:rPr>
              <w:t xml:space="preserve"> </w:t>
            </w:r>
            <w:r>
              <w:rPr>
                <w:b/>
                <w:color w:val="231F20"/>
                <w:sz w:val="14"/>
              </w:rPr>
              <w:t>часова)</w:t>
            </w:r>
          </w:p>
          <w:p w:rsidR="00041039" w:rsidRDefault="001B26CB">
            <w:pPr>
              <w:pStyle w:val="TableParagraph"/>
              <w:numPr>
                <w:ilvl w:val="0"/>
                <w:numId w:val="1246"/>
              </w:numPr>
              <w:tabs>
                <w:tab w:val="left" w:pos="158"/>
              </w:tabs>
              <w:spacing w:line="155" w:lineRule="exact"/>
              <w:ind w:hanging="99"/>
              <w:rPr>
                <w:b/>
                <w:sz w:val="14"/>
              </w:rPr>
            </w:pPr>
            <w:r>
              <w:rPr>
                <w:color w:val="231F20"/>
                <w:sz w:val="14"/>
              </w:rPr>
              <w:t xml:space="preserve">Логика и скупови </w:t>
            </w:r>
            <w:r>
              <w:rPr>
                <w:b/>
                <w:color w:val="231F20"/>
                <w:sz w:val="14"/>
              </w:rPr>
              <w:t>(15</w:t>
            </w:r>
            <w:r>
              <w:rPr>
                <w:b/>
                <w:color w:val="231F20"/>
                <w:spacing w:val="-7"/>
                <w:sz w:val="14"/>
              </w:rPr>
              <w:t xml:space="preserve"> </w:t>
            </w:r>
            <w:r>
              <w:rPr>
                <w:b/>
                <w:color w:val="231F20"/>
                <w:sz w:val="14"/>
              </w:rPr>
              <w:t>часова)</w:t>
            </w:r>
          </w:p>
          <w:p w:rsidR="00041039" w:rsidRDefault="001B26CB">
            <w:pPr>
              <w:pStyle w:val="TableParagraph"/>
              <w:numPr>
                <w:ilvl w:val="0"/>
                <w:numId w:val="1246"/>
              </w:numPr>
              <w:tabs>
                <w:tab w:val="left" w:pos="158"/>
              </w:tabs>
              <w:spacing w:line="165" w:lineRule="exact"/>
              <w:ind w:hanging="99"/>
              <w:rPr>
                <w:sz w:val="14"/>
              </w:rPr>
            </w:pPr>
            <w:r>
              <w:rPr>
                <w:color w:val="231F20"/>
                <w:sz w:val="14"/>
              </w:rPr>
              <w:t>Рационални алгебарски</w:t>
            </w:r>
            <w:r>
              <w:rPr>
                <w:color w:val="231F20"/>
                <w:spacing w:val="-4"/>
                <w:sz w:val="14"/>
              </w:rPr>
              <w:t xml:space="preserve"> </w:t>
            </w:r>
            <w:r>
              <w:rPr>
                <w:color w:val="231F20"/>
                <w:sz w:val="14"/>
              </w:rPr>
              <w:t>изрази</w:t>
            </w:r>
          </w:p>
          <w:p w:rsidR="00041039" w:rsidRDefault="001B26CB">
            <w:pPr>
              <w:pStyle w:val="TableParagraph"/>
              <w:spacing w:line="155" w:lineRule="exact"/>
              <w:ind w:left="157"/>
              <w:rPr>
                <w:b/>
                <w:sz w:val="14"/>
              </w:rPr>
            </w:pPr>
            <w:r>
              <w:rPr>
                <w:b/>
                <w:color w:val="231F20"/>
                <w:sz w:val="14"/>
              </w:rPr>
              <w:t>(32 часа)</w:t>
            </w:r>
          </w:p>
          <w:p w:rsidR="00041039" w:rsidRDefault="001B26CB">
            <w:pPr>
              <w:pStyle w:val="TableParagraph"/>
              <w:numPr>
                <w:ilvl w:val="0"/>
                <w:numId w:val="1246"/>
              </w:numPr>
              <w:tabs>
                <w:tab w:val="left" w:pos="158"/>
              </w:tabs>
              <w:spacing w:line="160" w:lineRule="exact"/>
              <w:ind w:hanging="99"/>
              <w:rPr>
                <w:b/>
                <w:sz w:val="14"/>
              </w:rPr>
            </w:pPr>
            <w:r>
              <w:rPr>
                <w:color w:val="231F20"/>
                <w:spacing w:val="-6"/>
                <w:sz w:val="14"/>
              </w:rPr>
              <w:t xml:space="preserve">Увод </w:t>
            </w:r>
            <w:r>
              <w:rPr>
                <w:color w:val="231F20"/>
                <w:sz w:val="14"/>
              </w:rPr>
              <w:t xml:space="preserve">у геометрију </w:t>
            </w:r>
            <w:r>
              <w:rPr>
                <w:b/>
                <w:color w:val="231F20"/>
                <w:sz w:val="14"/>
              </w:rPr>
              <w:t>(5</w:t>
            </w:r>
            <w:r>
              <w:rPr>
                <w:b/>
                <w:color w:val="231F20"/>
                <w:spacing w:val="1"/>
                <w:sz w:val="14"/>
              </w:rPr>
              <w:t xml:space="preserve"> </w:t>
            </w:r>
            <w:r>
              <w:rPr>
                <w:b/>
                <w:color w:val="231F20"/>
                <w:sz w:val="14"/>
              </w:rPr>
              <w:t>часова)</w:t>
            </w:r>
          </w:p>
          <w:p w:rsidR="00041039" w:rsidRDefault="001B26CB">
            <w:pPr>
              <w:pStyle w:val="TableParagraph"/>
              <w:numPr>
                <w:ilvl w:val="0"/>
                <w:numId w:val="1246"/>
              </w:numPr>
              <w:tabs>
                <w:tab w:val="left" w:pos="158"/>
              </w:tabs>
              <w:spacing w:line="160" w:lineRule="exact"/>
              <w:ind w:hanging="99"/>
              <w:rPr>
                <w:b/>
                <w:sz w:val="14"/>
              </w:rPr>
            </w:pPr>
            <w:r>
              <w:rPr>
                <w:color w:val="231F20"/>
                <w:sz w:val="14"/>
              </w:rPr>
              <w:t xml:space="preserve">Подударност </w:t>
            </w:r>
            <w:r>
              <w:rPr>
                <w:b/>
                <w:color w:val="231F20"/>
                <w:sz w:val="14"/>
              </w:rPr>
              <w:t>(32</w:t>
            </w:r>
            <w:r>
              <w:rPr>
                <w:b/>
                <w:color w:val="231F20"/>
                <w:spacing w:val="-2"/>
                <w:sz w:val="14"/>
              </w:rPr>
              <w:t xml:space="preserve"> </w:t>
            </w:r>
            <w:r>
              <w:rPr>
                <w:b/>
                <w:color w:val="231F20"/>
                <w:sz w:val="14"/>
              </w:rPr>
              <w:t>часа)</w:t>
            </w:r>
          </w:p>
          <w:p w:rsidR="00041039" w:rsidRDefault="001B26CB">
            <w:pPr>
              <w:pStyle w:val="TableParagraph"/>
              <w:numPr>
                <w:ilvl w:val="0"/>
                <w:numId w:val="1246"/>
              </w:numPr>
              <w:tabs>
                <w:tab w:val="left" w:pos="158"/>
              </w:tabs>
              <w:spacing w:line="160" w:lineRule="exact"/>
              <w:ind w:hanging="99"/>
              <w:rPr>
                <w:b/>
                <w:sz w:val="14"/>
              </w:rPr>
            </w:pPr>
            <w:r>
              <w:rPr>
                <w:color w:val="231F20"/>
                <w:sz w:val="14"/>
              </w:rPr>
              <w:t xml:space="preserve">Пропорционалност </w:t>
            </w:r>
            <w:r>
              <w:rPr>
                <w:b/>
                <w:color w:val="231F20"/>
                <w:sz w:val="14"/>
              </w:rPr>
              <w:t>(8</w:t>
            </w:r>
            <w:r>
              <w:rPr>
                <w:b/>
                <w:color w:val="231F20"/>
                <w:spacing w:val="-6"/>
                <w:sz w:val="14"/>
              </w:rPr>
              <w:t xml:space="preserve"> </w:t>
            </w:r>
            <w:r>
              <w:rPr>
                <w:b/>
                <w:color w:val="231F20"/>
                <w:sz w:val="14"/>
              </w:rPr>
              <w:t>часова)</w:t>
            </w:r>
          </w:p>
          <w:p w:rsidR="00041039" w:rsidRDefault="001B26CB">
            <w:pPr>
              <w:pStyle w:val="TableParagraph"/>
              <w:numPr>
                <w:ilvl w:val="0"/>
                <w:numId w:val="1246"/>
              </w:numPr>
              <w:tabs>
                <w:tab w:val="left" w:pos="158"/>
              </w:tabs>
              <w:spacing w:line="160" w:lineRule="exact"/>
              <w:ind w:hanging="99"/>
              <w:rPr>
                <w:b/>
                <w:sz w:val="14"/>
              </w:rPr>
            </w:pPr>
            <w:r>
              <w:rPr>
                <w:color w:val="231F20"/>
                <w:sz w:val="14"/>
              </w:rPr>
              <w:t xml:space="preserve">Сличност </w:t>
            </w:r>
            <w:r>
              <w:rPr>
                <w:b/>
                <w:color w:val="231F20"/>
                <w:sz w:val="14"/>
              </w:rPr>
              <w:t>(14</w:t>
            </w:r>
            <w:r>
              <w:rPr>
                <w:b/>
                <w:color w:val="231F20"/>
                <w:spacing w:val="-2"/>
                <w:sz w:val="14"/>
              </w:rPr>
              <w:t xml:space="preserve"> </w:t>
            </w:r>
            <w:r>
              <w:rPr>
                <w:b/>
                <w:color w:val="231F20"/>
                <w:sz w:val="14"/>
              </w:rPr>
              <w:t>часова)</w:t>
            </w:r>
          </w:p>
          <w:p w:rsidR="00041039" w:rsidRDefault="001B26CB">
            <w:pPr>
              <w:pStyle w:val="TableParagraph"/>
              <w:numPr>
                <w:ilvl w:val="0"/>
                <w:numId w:val="1246"/>
              </w:numPr>
              <w:tabs>
                <w:tab w:val="left" w:pos="158"/>
              </w:tabs>
              <w:spacing w:line="165" w:lineRule="exact"/>
              <w:ind w:hanging="99"/>
              <w:rPr>
                <w:b/>
                <w:sz w:val="14"/>
              </w:rPr>
            </w:pPr>
            <w:r>
              <w:rPr>
                <w:color w:val="231F20"/>
                <w:sz w:val="14"/>
              </w:rPr>
              <w:t xml:space="preserve">Реални бројеви </w:t>
            </w:r>
            <w:r>
              <w:rPr>
                <w:b/>
                <w:color w:val="231F20"/>
                <w:sz w:val="14"/>
              </w:rPr>
              <w:t>(13</w:t>
            </w:r>
            <w:r>
              <w:rPr>
                <w:b/>
                <w:color w:val="231F20"/>
                <w:spacing w:val="-4"/>
                <w:sz w:val="14"/>
              </w:rPr>
              <w:t xml:space="preserve"> </w:t>
            </w:r>
            <w:r>
              <w:rPr>
                <w:b/>
                <w:color w:val="231F20"/>
                <w:sz w:val="14"/>
              </w:rPr>
              <w:t>часова)</w:t>
            </w:r>
          </w:p>
          <w:p w:rsidR="00041039" w:rsidRDefault="001B26CB">
            <w:pPr>
              <w:pStyle w:val="TableParagraph"/>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1320"/>
        </w:trPr>
        <w:tc>
          <w:tcPr>
            <w:tcW w:w="1304" w:type="dxa"/>
          </w:tcPr>
          <w:p w:rsidR="00041039" w:rsidRDefault="001B26CB">
            <w:pPr>
              <w:pStyle w:val="TableParagraph"/>
              <w:spacing w:before="20"/>
              <w:ind w:left="56"/>
              <w:rPr>
                <w:sz w:val="14"/>
              </w:rPr>
            </w:pPr>
            <w:r>
              <w:rPr>
                <w:color w:val="231F20"/>
                <w:sz w:val="14"/>
              </w:rPr>
              <w:t>Реални бројеви</w:t>
            </w:r>
          </w:p>
        </w:tc>
        <w:tc>
          <w:tcPr>
            <w:tcW w:w="1587" w:type="dxa"/>
          </w:tcPr>
          <w:p w:rsidR="00041039" w:rsidRDefault="001B26CB">
            <w:pPr>
              <w:pStyle w:val="TableParagraph"/>
              <w:numPr>
                <w:ilvl w:val="0"/>
                <w:numId w:val="1245"/>
              </w:numPr>
              <w:tabs>
                <w:tab w:val="left" w:pos="157"/>
              </w:tabs>
              <w:spacing w:before="10"/>
              <w:ind w:right="44"/>
              <w:rPr>
                <w:sz w:val="14"/>
              </w:rPr>
            </w:pPr>
            <w:r>
              <w:rPr>
                <w:color w:val="231F20"/>
                <w:sz w:val="14"/>
              </w:rPr>
              <w:t>Упознавање са основним особинама најважнијих скупова бројева и</w:t>
            </w:r>
            <w:r>
              <w:rPr>
                <w:color w:val="231F20"/>
                <w:spacing w:val="-10"/>
                <w:sz w:val="14"/>
              </w:rPr>
              <w:t xml:space="preserve"> </w:t>
            </w:r>
            <w:r>
              <w:rPr>
                <w:color w:val="231F20"/>
                <w:sz w:val="14"/>
              </w:rPr>
              <w:t>одређивањем приближних вреднос­ ти реалног</w:t>
            </w:r>
            <w:r>
              <w:rPr>
                <w:color w:val="231F20"/>
                <w:spacing w:val="-2"/>
                <w:sz w:val="14"/>
              </w:rPr>
              <w:t xml:space="preserve"> </w:t>
            </w:r>
            <w:r>
              <w:rPr>
                <w:color w:val="231F20"/>
                <w:sz w:val="14"/>
              </w:rPr>
              <w:t>броја.</w:t>
            </w:r>
          </w:p>
        </w:tc>
        <w:tc>
          <w:tcPr>
            <w:tcW w:w="2551" w:type="dxa"/>
          </w:tcPr>
          <w:p w:rsidR="00041039" w:rsidRDefault="001B26CB">
            <w:pPr>
              <w:pStyle w:val="TableParagraph"/>
              <w:numPr>
                <w:ilvl w:val="0"/>
                <w:numId w:val="1244"/>
              </w:numPr>
              <w:tabs>
                <w:tab w:val="left" w:pos="157"/>
              </w:tabs>
              <w:spacing w:before="10"/>
              <w:ind w:right="50" w:hanging="99"/>
              <w:rPr>
                <w:sz w:val="14"/>
              </w:rPr>
            </w:pPr>
            <w:r>
              <w:rPr>
                <w:color w:val="231F20"/>
                <w:sz w:val="14"/>
              </w:rPr>
              <w:t>наведе основне подск</w:t>
            </w:r>
            <w:r>
              <w:rPr>
                <w:color w:val="231F20"/>
                <w:sz w:val="14"/>
              </w:rPr>
              <w:t>упове скупа реалних бројева (</w:t>
            </w:r>
            <w:r>
              <w:rPr>
                <w:i/>
                <w:color w:val="231F20"/>
                <w:sz w:val="14"/>
              </w:rPr>
              <w:t>N, Z, Q, I</w:t>
            </w:r>
            <w:r>
              <w:rPr>
                <w:color w:val="231F20"/>
                <w:sz w:val="14"/>
              </w:rPr>
              <w:t>) и разликује њихове елементе на</w:t>
            </w:r>
            <w:r>
              <w:rPr>
                <w:color w:val="231F20"/>
                <w:spacing w:val="-5"/>
                <w:sz w:val="14"/>
              </w:rPr>
              <w:t xml:space="preserve"> </w:t>
            </w:r>
            <w:r>
              <w:rPr>
                <w:color w:val="231F20"/>
                <w:sz w:val="14"/>
              </w:rPr>
              <w:t>примерима;</w:t>
            </w:r>
          </w:p>
          <w:p w:rsidR="00041039" w:rsidRDefault="001B26CB">
            <w:pPr>
              <w:pStyle w:val="TableParagraph"/>
              <w:numPr>
                <w:ilvl w:val="0"/>
                <w:numId w:val="1244"/>
              </w:numPr>
              <w:tabs>
                <w:tab w:val="left" w:pos="157"/>
              </w:tabs>
              <w:spacing w:line="157" w:lineRule="exact"/>
              <w:ind w:hanging="99"/>
              <w:rPr>
                <w:sz w:val="14"/>
              </w:rPr>
            </w:pPr>
            <w:r>
              <w:rPr>
                <w:color w:val="231F20"/>
                <w:sz w:val="14"/>
              </w:rPr>
              <w:t>одреди приближну вредност</w:t>
            </w:r>
            <w:r>
              <w:rPr>
                <w:color w:val="231F20"/>
                <w:spacing w:val="-9"/>
                <w:sz w:val="14"/>
              </w:rPr>
              <w:t xml:space="preserve"> </w:t>
            </w:r>
            <w:r>
              <w:rPr>
                <w:color w:val="231F20"/>
                <w:sz w:val="14"/>
              </w:rPr>
              <w:t>реалног</w:t>
            </w:r>
          </w:p>
          <w:p w:rsidR="00041039" w:rsidRDefault="001B26CB">
            <w:pPr>
              <w:pStyle w:val="TableParagraph"/>
              <w:spacing w:line="155" w:lineRule="exact"/>
              <w:rPr>
                <w:sz w:val="14"/>
              </w:rPr>
            </w:pPr>
            <w:r>
              <w:rPr>
                <w:color w:val="231F20"/>
                <w:sz w:val="14"/>
              </w:rPr>
              <w:t>броја и израчуна грешку;</w:t>
            </w:r>
          </w:p>
          <w:p w:rsidR="00041039" w:rsidRDefault="001B26CB">
            <w:pPr>
              <w:pStyle w:val="TableParagraph"/>
              <w:numPr>
                <w:ilvl w:val="0"/>
                <w:numId w:val="1244"/>
              </w:numPr>
              <w:tabs>
                <w:tab w:val="left" w:pos="157"/>
              </w:tabs>
              <w:spacing w:line="237" w:lineRule="auto"/>
              <w:ind w:right="334" w:hanging="99"/>
              <w:rPr>
                <w:sz w:val="14"/>
              </w:rPr>
            </w:pPr>
            <w:r>
              <w:rPr>
                <w:color w:val="231F20"/>
                <w:sz w:val="14"/>
              </w:rPr>
              <w:t>обавља елементарне рачунске операције са приближним</w:t>
            </w:r>
            <w:r>
              <w:rPr>
                <w:color w:val="231F20"/>
                <w:spacing w:val="-14"/>
                <w:sz w:val="14"/>
              </w:rPr>
              <w:t xml:space="preserve"> </w:t>
            </w:r>
            <w:r>
              <w:rPr>
                <w:color w:val="231F20"/>
                <w:sz w:val="14"/>
              </w:rPr>
              <w:t>вредно­ стима;</w:t>
            </w:r>
          </w:p>
        </w:tc>
        <w:tc>
          <w:tcPr>
            <w:tcW w:w="2834" w:type="dxa"/>
          </w:tcPr>
          <w:p w:rsidR="00041039" w:rsidRDefault="001B26CB">
            <w:pPr>
              <w:pStyle w:val="TableParagraph"/>
              <w:numPr>
                <w:ilvl w:val="0"/>
                <w:numId w:val="1243"/>
              </w:numPr>
              <w:tabs>
                <w:tab w:val="left" w:pos="157"/>
              </w:tabs>
              <w:spacing w:before="10" w:line="166" w:lineRule="exact"/>
              <w:ind w:hanging="99"/>
              <w:rPr>
                <w:i/>
                <w:sz w:val="14"/>
              </w:rPr>
            </w:pPr>
            <w:r>
              <w:rPr>
                <w:color w:val="231F20"/>
                <w:sz w:val="14"/>
              </w:rPr>
              <w:t xml:space="preserve">Скупови бројева </w:t>
            </w:r>
            <w:r>
              <w:rPr>
                <w:i/>
                <w:color w:val="231F20"/>
                <w:sz w:val="14"/>
              </w:rPr>
              <w:t>N, Z, Q, I,</w:t>
            </w:r>
            <w:r>
              <w:rPr>
                <w:i/>
                <w:color w:val="231F20"/>
                <w:spacing w:val="-4"/>
                <w:sz w:val="14"/>
              </w:rPr>
              <w:t xml:space="preserve"> </w:t>
            </w:r>
            <w:r>
              <w:rPr>
                <w:i/>
                <w:color w:val="231F20"/>
                <w:sz w:val="14"/>
              </w:rPr>
              <w:t>R.</w:t>
            </w:r>
          </w:p>
          <w:p w:rsidR="00041039" w:rsidRDefault="001B26CB">
            <w:pPr>
              <w:pStyle w:val="TableParagraph"/>
              <w:numPr>
                <w:ilvl w:val="0"/>
                <w:numId w:val="1243"/>
              </w:numPr>
              <w:tabs>
                <w:tab w:val="left" w:pos="157"/>
              </w:tabs>
              <w:spacing w:line="160" w:lineRule="exact"/>
              <w:ind w:hanging="99"/>
              <w:rPr>
                <w:sz w:val="14"/>
              </w:rPr>
            </w:pPr>
            <w:r>
              <w:rPr>
                <w:color w:val="231F20"/>
                <w:sz w:val="14"/>
              </w:rPr>
              <w:t>Бројевна</w:t>
            </w:r>
            <w:r>
              <w:rPr>
                <w:color w:val="231F20"/>
                <w:spacing w:val="-2"/>
                <w:sz w:val="14"/>
              </w:rPr>
              <w:t xml:space="preserve"> </w:t>
            </w:r>
            <w:r>
              <w:rPr>
                <w:color w:val="231F20"/>
                <w:sz w:val="14"/>
              </w:rPr>
              <w:t>оса.</w:t>
            </w:r>
          </w:p>
          <w:p w:rsidR="00041039" w:rsidRDefault="001B26CB">
            <w:pPr>
              <w:pStyle w:val="TableParagraph"/>
              <w:numPr>
                <w:ilvl w:val="0"/>
                <w:numId w:val="1243"/>
              </w:numPr>
              <w:tabs>
                <w:tab w:val="left" w:pos="157"/>
              </w:tabs>
              <w:spacing w:line="160" w:lineRule="exact"/>
              <w:ind w:hanging="99"/>
              <w:rPr>
                <w:sz w:val="14"/>
              </w:rPr>
            </w:pPr>
            <w:r>
              <w:rPr>
                <w:color w:val="231F20"/>
                <w:sz w:val="14"/>
              </w:rPr>
              <w:t>Приближне вредности реалних</w:t>
            </w:r>
            <w:r>
              <w:rPr>
                <w:color w:val="231F20"/>
                <w:spacing w:val="-6"/>
                <w:sz w:val="14"/>
              </w:rPr>
              <w:t xml:space="preserve"> </w:t>
            </w:r>
            <w:r>
              <w:rPr>
                <w:color w:val="231F20"/>
                <w:sz w:val="14"/>
              </w:rPr>
              <w:t>бројева.</w:t>
            </w:r>
          </w:p>
          <w:p w:rsidR="00041039" w:rsidRDefault="001B26CB">
            <w:pPr>
              <w:pStyle w:val="TableParagraph"/>
              <w:numPr>
                <w:ilvl w:val="0"/>
                <w:numId w:val="1243"/>
              </w:numPr>
              <w:tabs>
                <w:tab w:val="left" w:pos="157"/>
              </w:tabs>
              <w:spacing w:line="160" w:lineRule="exact"/>
              <w:ind w:hanging="99"/>
              <w:rPr>
                <w:sz w:val="14"/>
              </w:rPr>
            </w:pPr>
            <w:r>
              <w:rPr>
                <w:color w:val="231F20"/>
                <w:sz w:val="14"/>
              </w:rPr>
              <w:t>Грешка, граница</w:t>
            </w:r>
            <w:r>
              <w:rPr>
                <w:color w:val="231F20"/>
                <w:spacing w:val="-3"/>
                <w:sz w:val="14"/>
              </w:rPr>
              <w:t xml:space="preserve"> </w:t>
            </w:r>
            <w:r>
              <w:rPr>
                <w:color w:val="231F20"/>
                <w:sz w:val="14"/>
              </w:rPr>
              <w:t>грешке.</w:t>
            </w:r>
          </w:p>
          <w:p w:rsidR="00041039" w:rsidRDefault="001B26CB">
            <w:pPr>
              <w:pStyle w:val="TableParagraph"/>
              <w:numPr>
                <w:ilvl w:val="0"/>
                <w:numId w:val="1243"/>
              </w:numPr>
              <w:tabs>
                <w:tab w:val="left" w:pos="157"/>
              </w:tabs>
              <w:spacing w:line="166" w:lineRule="exact"/>
              <w:ind w:hanging="99"/>
              <w:rPr>
                <w:sz w:val="14"/>
              </w:rPr>
            </w:pPr>
            <w:r>
              <w:rPr>
                <w:color w:val="231F20"/>
                <w:sz w:val="14"/>
              </w:rPr>
              <w:t>Операције са приближним</w:t>
            </w:r>
            <w:r>
              <w:rPr>
                <w:color w:val="231F20"/>
                <w:spacing w:val="-8"/>
                <w:sz w:val="14"/>
              </w:rPr>
              <w:t xml:space="preserve"> </w:t>
            </w:r>
            <w:r>
              <w:rPr>
                <w:color w:val="231F20"/>
                <w:sz w:val="14"/>
              </w:rPr>
              <w:t>вредностима.</w:t>
            </w:r>
          </w:p>
        </w:tc>
        <w:tc>
          <w:tcPr>
            <w:tcW w:w="2267" w:type="dxa"/>
            <w:vMerge/>
            <w:tcBorders>
              <w:top w:val="nil"/>
            </w:tcBorders>
          </w:tcPr>
          <w:p w:rsidR="00041039" w:rsidRDefault="00041039">
            <w:pPr>
              <w:rPr>
                <w:sz w:val="2"/>
                <w:szCs w:val="2"/>
              </w:rPr>
            </w:pPr>
          </w:p>
        </w:tc>
      </w:tr>
      <w:tr w:rsidR="00041039">
        <w:trPr>
          <w:trHeight w:val="2760"/>
        </w:trPr>
        <w:tc>
          <w:tcPr>
            <w:tcW w:w="1304" w:type="dxa"/>
          </w:tcPr>
          <w:p w:rsidR="00041039" w:rsidRDefault="001B26CB">
            <w:pPr>
              <w:pStyle w:val="TableParagraph"/>
              <w:spacing w:before="20"/>
              <w:ind w:left="56" w:right="168"/>
              <w:rPr>
                <w:sz w:val="14"/>
              </w:rPr>
            </w:pPr>
            <w:r>
              <w:rPr>
                <w:color w:val="231F20"/>
                <w:sz w:val="14"/>
              </w:rPr>
              <w:t>Рационални алге­ барски изрази</w:t>
            </w:r>
          </w:p>
        </w:tc>
        <w:tc>
          <w:tcPr>
            <w:tcW w:w="1587" w:type="dxa"/>
          </w:tcPr>
          <w:p w:rsidR="00041039" w:rsidRDefault="001B26CB">
            <w:pPr>
              <w:pStyle w:val="TableParagraph"/>
              <w:numPr>
                <w:ilvl w:val="0"/>
                <w:numId w:val="1242"/>
              </w:numPr>
              <w:tabs>
                <w:tab w:val="left" w:pos="157"/>
              </w:tabs>
              <w:spacing w:before="10"/>
              <w:ind w:right="86"/>
              <w:rPr>
                <w:sz w:val="14"/>
              </w:rPr>
            </w:pPr>
            <w:r>
              <w:rPr>
                <w:color w:val="231F20"/>
                <w:sz w:val="14"/>
              </w:rPr>
              <w:t>Стицање знања о</w:t>
            </w:r>
            <w:r>
              <w:rPr>
                <w:color w:val="231F20"/>
                <w:spacing w:val="-11"/>
                <w:sz w:val="14"/>
              </w:rPr>
              <w:t xml:space="preserve"> </w:t>
            </w:r>
            <w:r>
              <w:rPr>
                <w:color w:val="231F20"/>
                <w:sz w:val="14"/>
              </w:rPr>
              <w:t>раду са</w:t>
            </w:r>
            <w:r>
              <w:rPr>
                <w:color w:val="231F20"/>
                <w:spacing w:val="-1"/>
                <w:sz w:val="14"/>
              </w:rPr>
              <w:t xml:space="preserve"> </w:t>
            </w:r>
            <w:r>
              <w:rPr>
                <w:color w:val="231F20"/>
                <w:sz w:val="14"/>
              </w:rPr>
              <w:t>разломцима.</w:t>
            </w:r>
          </w:p>
        </w:tc>
        <w:tc>
          <w:tcPr>
            <w:tcW w:w="2551" w:type="dxa"/>
          </w:tcPr>
          <w:p w:rsidR="00041039" w:rsidRDefault="001B26CB">
            <w:pPr>
              <w:pStyle w:val="TableParagraph"/>
              <w:numPr>
                <w:ilvl w:val="0"/>
                <w:numId w:val="1241"/>
              </w:numPr>
              <w:tabs>
                <w:tab w:val="left" w:pos="157"/>
              </w:tabs>
              <w:spacing w:before="10"/>
              <w:ind w:right="236" w:hanging="99"/>
              <w:rPr>
                <w:sz w:val="14"/>
              </w:rPr>
            </w:pPr>
            <w:r>
              <w:rPr>
                <w:color w:val="231F20"/>
                <w:sz w:val="14"/>
              </w:rPr>
              <w:t>сређује полиноме и обавља основне рачунске операције са</w:t>
            </w:r>
            <w:r>
              <w:rPr>
                <w:color w:val="231F20"/>
                <w:spacing w:val="-3"/>
                <w:sz w:val="14"/>
              </w:rPr>
              <w:t xml:space="preserve"> </w:t>
            </w:r>
            <w:r>
              <w:rPr>
                <w:color w:val="231F20"/>
                <w:sz w:val="14"/>
              </w:rPr>
              <w:t>њима;</w:t>
            </w:r>
          </w:p>
          <w:p w:rsidR="00041039" w:rsidRDefault="001B26CB">
            <w:pPr>
              <w:pStyle w:val="TableParagraph"/>
              <w:numPr>
                <w:ilvl w:val="0"/>
                <w:numId w:val="1241"/>
              </w:numPr>
              <w:tabs>
                <w:tab w:val="left" w:pos="157"/>
              </w:tabs>
              <w:spacing w:line="153" w:lineRule="exact"/>
              <w:ind w:hanging="99"/>
              <w:rPr>
                <w:sz w:val="14"/>
              </w:rPr>
            </w:pPr>
            <w:r>
              <w:rPr>
                <w:color w:val="231F20"/>
                <w:sz w:val="14"/>
              </w:rPr>
              <w:t>подели два</w:t>
            </w:r>
            <w:r>
              <w:rPr>
                <w:color w:val="231F20"/>
                <w:spacing w:val="-2"/>
                <w:sz w:val="14"/>
              </w:rPr>
              <w:t xml:space="preserve"> </w:t>
            </w:r>
            <w:r>
              <w:rPr>
                <w:color w:val="231F20"/>
                <w:sz w:val="14"/>
              </w:rPr>
              <w:t>полинома;</w:t>
            </w:r>
          </w:p>
          <w:p w:rsidR="00041039" w:rsidRDefault="001B26CB">
            <w:pPr>
              <w:pStyle w:val="TableParagraph"/>
              <w:numPr>
                <w:ilvl w:val="0"/>
                <w:numId w:val="1241"/>
              </w:numPr>
              <w:tabs>
                <w:tab w:val="left" w:pos="157"/>
              </w:tabs>
              <w:spacing w:line="237" w:lineRule="auto"/>
              <w:ind w:right="200" w:hanging="99"/>
              <w:rPr>
                <w:sz w:val="14"/>
              </w:rPr>
            </w:pPr>
            <w:r>
              <w:rPr>
                <w:color w:val="231F20"/>
                <w:sz w:val="14"/>
              </w:rPr>
              <w:t>користи Безуов став при дељењу</w:t>
            </w:r>
            <w:r>
              <w:rPr>
                <w:color w:val="231F20"/>
                <w:spacing w:val="-19"/>
                <w:sz w:val="14"/>
              </w:rPr>
              <w:t xml:space="preserve"> </w:t>
            </w:r>
            <w:r>
              <w:rPr>
                <w:color w:val="231F20"/>
                <w:sz w:val="14"/>
              </w:rPr>
              <w:t>по­ линома и одређивању</w:t>
            </w:r>
            <w:r>
              <w:rPr>
                <w:color w:val="231F20"/>
                <w:spacing w:val="-5"/>
                <w:sz w:val="14"/>
              </w:rPr>
              <w:t xml:space="preserve"> </w:t>
            </w:r>
            <w:r>
              <w:rPr>
                <w:color w:val="231F20"/>
                <w:sz w:val="14"/>
              </w:rPr>
              <w:t>остатка;</w:t>
            </w:r>
          </w:p>
          <w:p w:rsidR="00041039" w:rsidRDefault="001B26CB">
            <w:pPr>
              <w:pStyle w:val="TableParagraph"/>
              <w:numPr>
                <w:ilvl w:val="0"/>
                <w:numId w:val="1241"/>
              </w:numPr>
              <w:tabs>
                <w:tab w:val="left" w:pos="157"/>
              </w:tabs>
              <w:spacing w:line="160" w:lineRule="exact"/>
              <w:ind w:right="62" w:hanging="99"/>
              <w:rPr>
                <w:sz w:val="14"/>
              </w:rPr>
            </w:pPr>
            <w:r>
              <w:rPr>
                <w:color w:val="231F20"/>
                <w:sz w:val="14"/>
              </w:rPr>
              <w:t>растави полином на чиниоце при­ меном основних формула (дистрибу­ тивни</w:t>
            </w:r>
            <w:r>
              <w:rPr>
                <w:color w:val="231F20"/>
                <w:spacing w:val="-9"/>
                <w:sz w:val="14"/>
              </w:rPr>
              <w:t xml:space="preserve"> </w:t>
            </w:r>
            <w:r>
              <w:rPr>
                <w:color w:val="231F20"/>
                <w:sz w:val="14"/>
              </w:rPr>
              <w:t>закон</w:t>
            </w:r>
            <w:r>
              <w:rPr>
                <w:color w:val="231F20"/>
                <w:spacing w:val="-9"/>
                <w:sz w:val="14"/>
              </w:rPr>
              <w:t xml:space="preserve"> </w:t>
            </w:r>
            <w:r>
              <w:rPr>
                <w:color w:val="231F20"/>
                <w:sz w:val="14"/>
              </w:rPr>
              <w:t>множења</w:t>
            </w:r>
            <w:r>
              <w:rPr>
                <w:color w:val="231F20"/>
                <w:spacing w:val="-9"/>
                <w:sz w:val="14"/>
              </w:rPr>
              <w:t xml:space="preserve"> </w:t>
            </w:r>
            <w:r>
              <w:rPr>
                <w:color w:val="231F20"/>
                <w:sz w:val="14"/>
              </w:rPr>
              <w:t>према</w:t>
            </w:r>
            <w:r>
              <w:rPr>
                <w:color w:val="231F20"/>
                <w:spacing w:val="-9"/>
                <w:sz w:val="14"/>
              </w:rPr>
              <w:t xml:space="preserve"> </w:t>
            </w:r>
            <w:r>
              <w:rPr>
                <w:color w:val="231F20"/>
                <w:sz w:val="14"/>
              </w:rPr>
              <w:t>сабирању, квадрат бинома, разлика квадрата, куб бинома, збир и разлика</w:t>
            </w:r>
            <w:r>
              <w:rPr>
                <w:color w:val="231F20"/>
                <w:spacing w:val="-7"/>
                <w:sz w:val="14"/>
              </w:rPr>
              <w:t xml:space="preserve"> </w:t>
            </w:r>
            <w:r>
              <w:rPr>
                <w:color w:val="231F20"/>
                <w:sz w:val="14"/>
              </w:rPr>
              <w:t>кубова);</w:t>
            </w:r>
          </w:p>
          <w:p w:rsidR="00041039" w:rsidRDefault="001B26CB">
            <w:pPr>
              <w:pStyle w:val="TableParagraph"/>
              <w:numPr>
                <w:ilvl w:val="0"/>
                <w:numId w:val="1241"/>
              </w:numPr>
              <w:tabs>
                <w:tab w:val="left" w:pos="157"/>
              </w:tabs>
              <w:spacing w:line="153" w:lineRule="exact"/>
              <w:ind w:hanging="99"/>
              <w:rPr>
                <w:sz w:val="14"/>
              </w:rPr>
            </w:pPr>
            <w:r>
              <w:rPr>
                <w:color w:val="231F20"/>
                <w:sz w:val="14"/>
              </w:rPr>
              <w:t xml:space="preserve">одреди НЗС и </w:t>
            </w:r>
            <w:r>
              <w:rPr>
                <w:color w:val="231F20"/>
                <w:spacing w:val="-4"/>
                <w:sz w:val="14"/>
              </w:rPr>
              <w:t xml:space="preserve">НЗД </w:t>
            </w:r>
            <w:r>
              <w:rPr>
                <w:color w:val="231F20"/>
                <w:sz w:val="14"/>
              </w:rPr>
              <w:t>датих</w:t>
            </w:r>
            <w:r>
              <w:rPr>
                <w:color w:val="231F20"/>
                <w:spacing w:val="-9"/>
                <w:sz w:val="14"/>
              </w:rPr>
              <w:t xml:space="preserve"> </w:t>
            </w:r>
            <w:r>
              <w:rPr>
                <w:color w:val="231F20"/>
                <w:sz w:val="14"/>
              </w:rPr>
              <w:t>полинома;</w:t>
            </w:r>
          </w:p>
          <w:p w:rsidR="00041039" w:rsidRDefault="001B26CB">
            <w:pPr>
              <w:pStyle w:val="TableParagraph"/>
              <w:numPr>
                <w:ilvl w:val="0"/>
                <w:numId w:val="1241"/>
              </w:numPr>
              <w:tabs>
                <w:tab w:val="left" w:pos="157"/>
              </w:tabs>
              <w:spacing w:line="237" w:lineRule="auto"/>
              <w:ind w:right="46" w:hanging="99"/>
              <w:rPr>
                <w:sz w:val="14"/>
              </w:rPr>
            </w:pPr>
            <w:r>
              <w:rPr>
                <w:color w:val="231F20"/>
                <w:sz w:val="14"/>
              </w:rPr>
              <w:t>трансформише рационални алгебарски израз;</w:t>
            </w:r>
          </w:p>
          <w:p w:rsidR="00041039" w:rsidRDefault="001B26CB">
            <w:pPr>
              <w:pStyle w:val="TableParagraph"/>
              <w:numPr>
                <w:ilvl w:val="0"/>
                <w:numId w:val="1241"/>
              </w:numPr>
              <w:tabs>
                <w:tab w:val="left" w:pos="157"/>
              </w:tabs>
              <w:spacing w:line="160" w:lineRule="exact"/>
              <w:ind w:right="750" w:hanging="99"/>
              <w:rPr>
                <w:sz w:val="14"/>
              </w:rPr>
            </w:pPr>
            <w:r>
              <w:rPr>
                <w:color w:val="231F20"/>
                <w:sz w:val="14"/>
              </w:rPr>
              <w:t>реши линеарне једначине</w:t>
            </w:r>
            <w:r>
              <w:rPr>
                <w:color w:val="231F20"/>
                <w:spacing w:val="-10"/>
                <w:sz w:val="14"/>
              </w:rPr>
              <w:t xml:space="preserve"> </w:t>
            </w:r>
            <w:r>
              <w:rPr>
                <w:color w:val="231F20"/>
                <w:sz w:val="14"/>
              </w:rPr>
              <w:t>и неједначине;</w:t>
            </w:r>
          </w:p>
          <w:p w:rsidR="00041039" w:rsidRDefault="001B26CB">
            <w:pPr>
              <w:pStyle w:val="TableParagraph"/>
              <w:numPr>
                <w:ilvl w:val="0"/>
                <w:numId w:val="1241"/>
              </w:numPr>
              <w:tabs>
                <w:tab w:val="left" w:pos="157"/>
              </w:tabs>
              <w:spacing w:line="160" w:lineRule="exact"/>
              <w:ind w:right="169" w:hanging="99"/>
              <w:rPr>
                <w:sz w:val="14"/>
              </w:rPr>
            </w:pPr>
            <w:r>
              <w:rPr>
                <w:color w:val="231F20"/>
                <w:sz w:val="14"/>
              </w:rPr>
              <w:t>реши систем линеарних једначина</w:t>
            </w:r>
            <w:r>
              <w:rPr>
                <w:color w:val="231F20"/>
                <w:spacing w:val="-9"/>
                <w:sz w:val="14"/>
              </w:rPr>
              <w:t xml:space="preserve"> </w:t>
            </w:r>
            <w:r>
              <w:rPr>
                <w:color w:val="231F20"/>
                <w:sz w:val="14"/>
              </w:rPr>
              <w:t>са две</w:t>
            </w:r>
            <w:r>
              <w:rPr>
                <w:color w:val="231F20"/>
                <w:spacing w:val="-1"/>
                <w:sz w:val="14"/>
              </w:rPr>
              <w:t xml:space="preserve"> </w:t>
            </w:r>
            <w:r>
              <w:rPr>
                <w:color w:val="231F20"/>
                <w:sz w:val="14"/>
              </w:rPr>
              <w:t>непознате;</w:t>
            </w:r>
          </w:p>
        </w:tc>
        <w:tc>
          <w:tcPr>
            <w:tcW w:w="2834" w:type="dxa"/>
          </w:tcPr>
          <w:p w:rsidR="00041039" w:rsidRDefault="001B26CB">
            <w:pPr>
              <w:pStyle w:val="TableParagraph"/>
              <w:numPr>
                <w:ilvl w:val="0"/>
                <w:numId w:val="1240"/>
              </w:numPr>
              <w:tabs>
                <w:tab w:val="left" w:pos="158"/>
              </w:tabs>
              <w:spacing w:before="10"/>
              <w:ind w:right="447"/>
              <w:rPr>
                <w:sz w:val="14"/>
              </w:rPr>
            </w:pPr>
            <w:r>
              <w:rPr>
                <w:color w:val="231F20"/>
                <w:sz w:val="14"/>
              </w:rPr>
              <w:t>Сређивање, сабирање и множење</w:t>
            </w:r>
            <w:r>
              <w:rPr>
                <w:color w:val="231F20"/>
                <w:spacing w:val="-11"/>
                <w:sz w:val="14"/>
              </w:rPr>
              <w:t xml:space="preserve"> </w:t>
            </w:r>
            <w:r>
              <w:rPr>
                <w:color w:val="231F20"/>
                <w:sz w:val="14"/>
              </w:rPr>
              <w:t>по­ линома.</w:t>
            </w:r>
          </w:p>
          <w:p w:rsidR="00041039" w:rsidRDefault="001B26CB">
            <w:pPr>
              <w:pStyle w:val="TableParagraph"/>
              <w:numPr>
                <w:ilvl w:val="0"/>
                <w:numId w:val="1240"/>
              </w:numPr>
              <w:tabs>
                <w:tab w:val="left" w:pos="158"/>
              </w:tabs>
              <w:spacing w:line="153" w:lineRule="exact"/>
              <w:rPr>
                <w:sz w:val="14"/>
              </w:rPr>
            </w:pPr>
            <w:r>
              <w:rPr>
                <w:color w:val="231F20"/>
                <w:sz w:val="14"/>
              </w:rPr>
              <w:t>Дељење</w:t>
            </w:r>
            <w:r>
              <w:rPr>
                <w:color w:val="231F20"/>
                <w:spacing w:val="-1"/>
                <w:sz w:val="14"/>
              </w:rPr>
              <w:t xml:space="preserve"> </w:t>
            </w:r>
            <w:r>
              <w:rPr>
                <w:color w:val="231F20"/>
                <w:sz w:val="14"/>
              </w:rPr>
              <w:t>полинома.</w:t>
            </w:r>
          </w:p>
          <w:p w:rsidR="00041039" w:rsidRDefault="001B26CB">
            <w:pPr>
              <w:pStyle w:val="TableParagraph"/>
              <w:numPr>
                <w:ilvl w:val="0"/>
                <w:numId w:val="1240"/>
              </w:numPr>
              <w:tabs>
                <w:tab w:val="left" w:pos="158"/>
              </w:tabs>
              <w:spacing w:line="237" w:lineRule="auto"/>
              <w:ind w:right="118"/>
              <w:rPr>
                <w:sz w:val="14"/>
              </w:rPr>
            </w:pPr>
            <w:r>
              <w:rPr>
                <w:color w:val="231F20"/>
                <w:sz w:val="14"/>
              </w:rPr>
              <w:t>Растављање полинома на чиниоце метода­ ма груписања чланова, разлике квадрата, квадрата бинома, разлике и збира кубова</w:t>
            </w:r>
            <w:r>
              <w:rPr>
                <w:color w:val="231F20"/>
                <w:spacing w:val="-25"/>
                <w:sz w:val="14"/>
              </w:rPr>
              <w:t xml:space="preserve"> </w:t>
            </w:r>
            <w:r>
              <w:rPr>
                <w:color w:val="231F20"/>
                <w:sz w:val="14"/>
              </w:rPr>
              <w:t>и куба збира и</w:t>
            </w:r>
            <w:r>
              <w:rPr>
                <w:color w:val="231F20"/>
                <w:spacing w:val="-3"/>
                <w:sz w:val="14"/>
              </w:rPr>
              <w:t xml:space="preserve"> </w:t>
            </w:r>
            <w:r>
              <w:rPr>
                <w:color w:val="231F20"/>
                <w:sz w:val="14"/>
              </w:rPr>
              <w:t>разлике.</w:t>
            </w:r>
          </w:p>
          <w:p w:rsidR="00041039" w:rsidRDefault="001B26CB">
            <w:pPr>
              <w:pStyle w:val="TableParagraph"/>
              <w:numPr>
                <w:ilvl w:val="0"/>
                <w:numId w:val="1240"/>
              </w:numPr>
              <w:tabs>
                <w:tab w:val="left" w:pos="158"/>
              </w:tabs>
              <w:spacing w:line="157" w:lineRule="exact"/>
              <w:rPr>
                <w:sz w:val="14"/>
              </w:rPr>
            </w:pPr>
            <w:r>
              <w:rPr>
                <w:color w:val="231F20"/>
                <w:sz w:val="14"/>
              </w:rPr>
              <w:t>НЗС</w:t>
            </w:r>
            <w:r>
              <w:rPr>
                <w:color w:val="231F20"/>
                <w:spacing w:val="-2"/>
                <w:sz w:val="14"/>
              </w:rPr>
              <w:t xml:space="preserve"> </w:t>
            </w:r>
            <w:r>
              <w:rPr>
                <w:color w:val="231F20"/>
                <w:sz w:val="14"/>
              </w:rPr>
              <w:t>полинома.</w:t>
            </w:r>
          </w:p>
          <w:p w:rsidR="00041039" w:rsidRDefault="001B26CB">
            <w:pPr>
              <w:pStyle w:val="TableParagraph"/>
              <w:numPr>
                <w:ilvl w:val="0"/>
                <w:numId w:val="1240"/>
              </w:numPr>
              <w:tabs>
                <w:tab w:val="left" w:pos="158"/>
              </w:tabs>
              <w:spacing w:line="160" w:lineRule="exact"/>
              <w:rPr>
                <w:sz w:val="14"/>
              </w:rPr>
            </w:pPr>
            <w:r>
              <w:rPr>
                <w:color w:val="231F20"/>
                <w:sz w:val="14"/>
              </w:rPr>
              <w:t>Множење и дељење</w:t>
            </w:r>
            <w:r>
              <w:rPr>
                <w:color w:val="231F20"/>
                <w:spacing w:val="-3"/>
                <w:sz w:val="14"/>
              </w:rPr>
              <w:t xml:space="preserve"> </w:t>
            </w:r>
            <w:r>
              <w:rPr>
                <w:color w:val="231F20"/>
                <w:sz w:val="14"/>
              </w:rPr>
              <w:t>разломака.</w:t>
            </w:r>
          </w:p>
          <w:p w:rsidR="00041039" w:rsidRDefault="001B26CB">
            <w:pPr>
              <w:pStyle w:val="TableParagraph"/>
              <w:numPr>
                <w:ilvl w:val="0"/>
                <w:numId w:val="1240"/>
              </w:numPr>
              <w:tabs>
                <w:tab w:val="left" w:pos="158"/>
              </w:tabs>
              <w:spacing w:line="160" w:lineRule="exact"/>
              <w:rPr>
                <w:sz w:val="14"/>
              </w:rPr>
            </w:pPr>
            <w:r>
              <w:rPr>
                <w:color w:val="231F20"/>
                <w:sz w:val="14"/>
              </w:rPr>
              <w:t>Сабирање</w:t>
            </w:r>
            <w:r>
              <w:rPr>
                <w:color w:val="231F20"/>
                <w:spacing w:val="-1"/>
                <w:sz w:val="14"/>
              </w:rPr>
              <w:t xml:space="preserve"> </w:t>
            </w:r>
            <w:r>
              <w:rPr>
                <w:color w:val="231F20"/>
                <w:sz w:val="14"/>
              </w:rPr>
              <w:t>разломака.</w:t>
            </w:r>
          </w:p>
          <w:p w:rsidR="00041039" w:rsidRDefault="001B26CB">
            <w:pPr>
              <w:pStyle w:val="TableParagraph"/>
              <w:numPr>
                <w:ilvl w:val="0"/>
                <w:numId w:val="1240"/>
              </w:numPr>
              <w:tabs>
                <w:tab w:val="left" w:pos="158"/>
              </w:tabs>
              <w:spacing w:line="160" w:lineRule="exact"/>
              <w:rPr>
                <w:sz w:val="14"/>
              </w:rPr>
            </w:pPr>
            <w:r>
              <w:rPr>
                <w:color w:val="231F20"/>
                <w:sz w:val="14"/>
              </w:rPr>
              <w:t>Линеарне</w:t>
            </w:r>
            <w:r>
              <w:rPr>
                <w:color w:val="231F20"/>
                <w:spacing w:val="-1"/>
                <w:sz w:val="14"/>
              </w:rPr>
              <w:t xml:space="preserve"> </w:t>
            </w:r>
            <w:r>
              <w:rPr>
                <w:color w:val="231F20"/>
                <w:sz w:val="14"/>
              </w:rPr>
              <w:t>једначине.</w:t>
            </w:r>
          </w:p>
          <w:p w:rsidR="00041039" w:rsidRDefault="001B26CB">
            <w:pPr>
              <w:pStyle w:val="TableParagraph"/>
              <w:numPr>
                <w:ilvl w:val="0"/>
                <w:numId w:val="1240"/>
              </w:numPr>
              <w:tabs>
                <w:tab w:val="left" w:pos="158"/>
              </w:tabs>
              <w:spacing w:line="160" w:lineRule="exact"/>
              <w:rPr>
                <w:sz w:val="14"/>
              </w:rPr>
            </w:pPr>
            <w:r>
              <w:rPr>
                <w:color w:val="231F20"/>
                <w:sz w:val="14"/>
              </w:rPr>
              <w:t>Линеарне</w:t>
            </w:r>
            <w:r>
              <w:rPr>
                <w:color w:val="231F20"/>
                <w:spacing w:val="-1"/>
                <w:sz w:val="14"/>
              </w:rPr>
              <w:t xml:space="preserve"> </w:t>
            </w:r>
            <w:r>
              <w:rPr>
                <w:color w:val="231F20"/>
                <w:sz w:val="14"/>
              </w:rPr>
              <w:t>неједначине.</w:t>
            </w:r>
          </w:p>
          <w:p w:rsidR="00041039" w:rsidRDefault="001B26CB">
            <w:pPr>
              <w:pStyle w:val="TableParagraph"/>
              <w:numPr>
                <w:ilvl w:val="0"/>
                <w:numId w:val="1240"/>
              </w:numPr>
              <w:tabs>
                <w:tab w:val="left" w:pos="158"/>
              </w:tabs>
              <w:spacing w:line="166" w:lineRule="exact"/>
              <w:rPr>
                <w:sz w:val="14"/>
              </w:rPr>
            </w:pPr>
            <w:r>
              <w:rPr>
                <w:color w:val="231F20"/>
                <w:sz w:val="14"/>
              </w:rPr>
              <w:t>Систем линеарних</w:t>
            </w:r>
            <w:r>
              <w:rPr>
                <w:color w:val="231F20"/>
                <w:spacing w:val="-1"/>
                <w:sz w:val="14"/>
              </w:rPr>
              <w:t xml:space="preserve"> </w:t>
            </w:r>
            <w:r>
              <w:rPr>
                <w:color w:val="231F20"/>
                <w:sz w:val="14"/>
              </w:rPr>
              <w:t>једначина.</w:t>
            </w:r>
          </w:p>
        </w:tc>
        <w:tc>
          <w:tcPr>
            <w:tcW w:w="2267" w:type="dxa"/>
            <w:vMerge/>
            <w:tcBorders>
              <w:top w:val="nil"/>
            </w:tcBorders>
          </w:tcPr>
          <w:p w:rsidR="00041039" w:rsidRDefault="00041039">
            <w:pPr>
              <w:rPr>
                <w:sz w:val="2"/>
                <w:szCs w:val="2"/>
              </w:rPr>
            </w:pPr>
          </w:p>
        </w:tc>
      </w:tr>
      <w:tr w:rsidR="00041039">
        <w:trPr>
          <w:trHeight w:val="1320"/>
        </w:trPr>
        <w:tc>
          <w:tcPr>
            <w:tcW w:w="1304" w:type="dxa"/>
          </w:tcPr>
          <w:p w:rsidR="00041039" w:rsidRDefault="001B26CB">
            <w:pPr>
              <w:pStyle w:val="TableParagraph"/>
              <w:spacing w:before="21"/>
              <w:ind w:left="57"/>
              <w:rPr>
                <w:sz w:val="14"/>
              </w:rPr>
            </w:pPr>
            <w:r>
              <w:rPr>
                <w:color w:val="231F20"/>
                <w:sz w:val="14"/>
              </w:rPr>
              <w:t>Пропорционалност</w:t>
            </w:r>
          </w:p>
        </w:tc>
        <w:tc>
          <w:tcPr>
            <w:tcW w:w="1587" w:type="dxa"/>
          </w:tcPr>
          <w:p w:rsidR="00041039" w:rsidRDefault="001B26CB">
            <w:pPr>
              <w:pStyle w:val="TableParagraph"/>
              <w:numPr>
                <w:ilvl w:val="0"/>
                <w:numId w:val="1239"/>
              </w:numPr>
              <w:tabs>
                <w:tab w:val="left" w:pos="157"/>
              </w:tabs>
              <w:spacing w:before="11"/>
              <w:ind w:right="160" w:hanging="99"/>
              <w:rPr>
                <w:sz w:val="14"/>
              </w:rPr>
            </w:pPr>
            <w:r>
              <w:rPr>
                <w:color w:val="231F20"/>
                <w:sz w:val="14"/>
              </w:rPr>
              <w:t>Стицање основних знања из решавања</w:t>
            </w:r>
            <w:r>
              <w:rPr>
                <w:color w:val="231F20"/>
                <w:spacing w:val="-9"/>
                <w:sz w:val="14"/>
              </w:rPr>
              <w:t xml:space="preserve"> </w:t>
            </w:r>
            <w:r>
              <w:rPr>
                <w:color w:val="231F20"/>
                <w:sz w:val="14"/>
              </w:rPr>
              <w:t>и примена</w:t>
            </w:r>
            <w:r>
              <w:rPr>
                <w:color w:val="231F20"/>
                <w:spacing w:val="-12"/>
                <w:sz w:val="14"/>
              </w:rPr>
              <w:t xml:space="preserve"> </w:t>
            </w:r>
            <w:r>
              <w:rPr>
                <w:color w:val="231F20"/>
                <w:sz w:val="14"/>
              </w:rPr>
              <w:t>пропорција.</w:t>
            </w:r>
          </w:p>
        </w:tc>
        <w:tc>
          <w:tcPr>
            <w:tcW w:w="2551" w:type="dxa"/>
          </w:tcPr>
          <w:p w:rsidR="00041039" w:rsidRDefault="001B26CB">
            <w:pPr>
              <w:pStyle w:val="TableParagraph"/>
              <w:numPr>
                <w:ilvl w:val="0"/>
                <w:numId w:val="1238"/>
              </w:numPr>
              <w:tabs>
                <w:tab w:val="left" w:pos="157"/>
              </w:tabs>
              <w:spacing w:before="11"/>
              <w:ind w:right="516" w:hanging="99"/>
              <w:rPr>
                <w:sz w:val="14"/>
              </w:rPr>
            </w:pPr>
            <w:r>
              <w:rPr>
                <w:color w:val="231F20"/>
                <w:sz w:val="14"/>
              </w:rPr>
              <w:t>самостално поставља и решава пропорције;</w:t>
            </w:r>
          </w:p>
          <w:p w:rsidR="00041039" w:rsidRDefault="001B26CB">
            <w:pPr>
              <w:pStyle w:val="TableParagraph"/>
              <w:numPr>
                <w:ilvl w:val="0"/>
                <w:numId w:val="1238"/>
              </w:numPr>
              <w:tabs>
                <w:tab w:val="left" w:pos="157"/>
              </w:tabs>
              <w:spacing w:line="160" w:lineRule="exact"/>
              <w:ind w:right="115" w:hanging="99"/>
              <w:rPr>
                <w:sz w:val="14"/>
              </w:rPr>
            </w:pPr>
            <w:r>
              <w:rPr>
                <w:color w:val="231F20"/>
                <w:sz w:val="14"/>
              </w:rPr>
              <w:t>препозна директну или обрнуту пропорционалност две величине и примени их у решавању једноставних проблема;</w:t>
            </w:r>
          </w:p>
          <w:p w:rsidR="00041039" w:rsidRDefault="001B26CB">
            <w:pPr>
              <w:pStyle w:val="TableParagraph"/>
              <w:numPr>
                <w:ilvl w:val="0"/>
                <w:numId w:val="1238"/>
              </w:numPr>
              <w:tabs>
                <w:tab w:val="left" w:pos="157"/>
              </w:tabs>
              <w:spacing w:line="160" w:lineRule="exact"/>
              <w:ind w:right="435" w:hanging="99"/>
              <w:rPr>
                <w:sz w:val="14"/>
              </w:rPr>
            </w:pPr>
            <w:r>
              <w:rPr>
                <w:color w:val="231F20"/>
                <w:sz w:val="14"/>
              </w:rPr>
              <w:t>решава једноставније процентне једначине;</w:t>
            </w:r>
          </w:p>
        </w:tc>
        <w:tc>
          <w:tcPr>
            <w:tcW w:w="2834" w:type="dxa"/>
          </w:tcPr>
          <w:p w:rsidR="00041039" w:rsidRDefault="001B26CB">
            <w:pPr>
              <w:pStyle w:val="TableParagraph"/>
              <w:numPr>
                <w:ilvl w:val="0"/>
                <w:numId w:val="1237"/>
              </w:numPr>
              <w:tabs>
                <w:tab w:val="left" w:pos="158"/>
              </w:tabs>
              <w:spacing w:before="11" w:line="166" w:lineRule="exact"/>
              <w:rPr>
                <w:sz w:val="14"/>
              </w:rPr>
            </w:pPr>
            <w:r>
              <w:rPr>
                <w:color w:val="231F20"/>
                <w:sz w:val="14"/>
              </w:rPr>
              <w:t>Решавање</w:t>
            </w:r>
            <w:r>
              <w:rPr>
                <w:color w:val="231F20"/>
                <w:spacing w:val="-1"/>
                <w:sz w:val="14"/>
              </w:rPr>
              <w:t xml:space="preserve"> </w:t>
            </w:r>
            <w:r>
              <w:rPr>
                <w:color w:val="231F20"/>
                <w:sz w:val="14"/>
              </w:rPr>
              <w:t>пропорције.</w:t>
            </w:r>
          </w:p>
          <w:p w:rsidR="00041039" w:rsidRDefault="001B26CB">
            <w:pPr>
              <w:pStyle w:val="TableParagraph"/>
              <w:numPr>
                <w:ilvl w:val="0"/>
                <w:numId w:val="1237"/>
              </w:numPr>
              <w:tabs>
                <w:tab w:val="left" w:pos="158"/>
              </w:tabs>
              <w:spacing w:line="160" w:lineRule="exact"/>
              <w:rPr>
                <w:sz w:val="14"/>
              </w:rPr>
            </w:pPr>
            <w:r>
              <w:rPr>
                <w:color w:val="231F20"/>
                <w:sz w:val="14"/>
              </w:rPr>
              <w:t>Директна и обрнута</w:t>
            </w:r>
            <w:r>
              <w:rPr>
                <w:color w:val="231F20"/>
                <w:spacing w:val="-8"/>
                <w:sz w:val="14"/>
              </w:rPr>
              <w:t xml:space="preserve"> </w:t>
            </w:r>
            <w:r>
              <w:rPr>
                <w:color w:val="231F20"/>
                <w:sz w:val="14"/>
              </w:rPr>
              <w:t>пропорционалност.</w:t>
            </w:r>
          </w:p>
          <w:p w:rsidR="00041039" w:rsidRDefault="001B26CB">
            <w:pPr>
              <w:pStyle w:val="TableParagraph"/>
              <w:numPr>
                <w:ilvl w:val="0"/>
                <w:numId w:val="1237"/>
              </w:numPr>
              <w:tabs>
                <w:tab w:val="left" w:pos="158"/>
              </w:tabs>
              <w:spacing w:line="160" w:lineRule="exact"/>
              <w:rPr>
                <w:sz w:val="14"/>
              </w:rPr>
            </w:pPr>
            <w:r>
              <w:rPr>
                <w:color w:val="231F20"/>
                <w:sz w:val="14"/>
              </w:rPr>
              <w:t>Рачун</w:t>
            </w:r>
            <w:r>
              <w:rPr>
                <w:color w:val="231F20"/>
                <w:spacing w:val="-1"/>
                <w:sz w:val="14"/>
              </w:rPr>
              <w:t xml:space="preserve"> </w:t>
            </w:r>
            <w:r>
              <w:rPr>
                <w:color w:val="231F20"/>
                <w:sz w:val="14"/>
              </w:rPr>
              <w:t>поделе.</w:t>
            </w:r>
          </w:p>
          <w:p w:rsidR="00041039" w:rsidRDefault="001B26CB">
            <w:pPr>
              <w:pStyle w:val="TableParagraph"/>
              <w:numPr>
                <w:ilvl w:val="0"/>
                <w:numId w:val="1237"/>
              </w:numPr>
              <w:tabs>
                <w:tab w:val="left" w:pos="158"/>
              </w:tabs>
              <w:spacing w:line="160" w:lineRule="exact"/>
              <w:rPr>
                <w:sz w:val="14"/>
              </w:rPr>
            </w:pPr>
            <w:r>
              <w:rPr>
                <w:color w:val="231F20"/>
                <w:sz w:val="14"/>
              </w:rPr>
              <w:t>Рачун</w:t>
            </w:r>
            <w:r>
              <w:rPr>
                <w:color w:val="231F20"/>
                <w:spacing w:val="-1"/>
                <w:sz w:val="14"/>
              </w:rPr>
              <w:t xml:space="preserve"> </w:t>
            </w:r>
            <w:r>
              <w:rPr>
                <w:color w:val="231F20"/>
                <w:sz w:val="14"/>
              </w:rPr>
              <w:t>мешања.</w:t>
            </w:r>
          </w:p>
          <w:p w:rsidR="00041039" w:rsidRDefault="001B26CB">
            <w:pPr>
              <w:pStyle w:val="TableParagraph"/>
              <w:numPr>
                <w:ilvl w:val="0"/>
                <w:numId w:val="1237"/>
              </w:numPr>
              <w:tabs>
                <w:tab w:val="left" w:pos="158"/>
              </w:tabs>
              <w:spacing w:line="166" w:lineRule="exact"/>
              <w:rPr>
                <w:sz w:val="14"/>
              </w:rPr>
            </w:pPr>
            <w:r>
              <w:rPr>
                <w:color w:val="231F20"/>
                <w:sz w:val="14"/>
              </w:rPr>
              <w:t>Процентни</w:t>
            </w:r>
            <w:r>
              <w:rPr>
                <w:color w:val="231F20"/>
                <w:spacing w:val="-2"/>
                <w:sz w:val="14"/>
              </w:rPr>
              <w:t xml:space="preserve"> </w:t>
            </w:r>
            <w:r>
              <w:rPr>
                <w:color w:val="231F20"/>
                <w:sz w:val="14"/>
              </w:rPr>
              <w:t>рачун.</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21"/>
              <w:ind w:left="57"/>
              <w:rPr>
                <w:sz w:val="14"/>
              </w:rPr>
            </w:pPr>
            <w:r>
              <w:rPr>
                <w:color w:val="231F20"/>
                <w:sz w:val="14"/>
              </w:rPr>
              <w:t>Сличност</w:t>
            </w:r>
          </w:p>
        </w:tc>
        <w:tc>
          <w:tcPr>
            <w:tcW w:w="1587" w:type="dxa"/>
          </w:tcPr>
          <w:p w:rsidR="00041039" w:rsidRDefault="001B26CB">
            <w:pPr>
              <w:pStyle w:val="TableParagraph"/>
              <w:numPr>
                <w:ilvl w:val="0"/>
                <w:numId w:val="1236"/>
              </w:numPr>
              <w:tabs>
                <w:tab w:val="left" w:pos="157"/>
              </w:tabs>
              <w:spacing w:before="11"/>
              <w:ind w:right="84" w:hanging="99"/>
              <w:rPr>
                <w:sz w:val="14"/>
              </w:rPr>
            </w:pPr>
            <w:r>
              <w:rPr>
                <w:color w:val="231F20"/>
                <w:sz w:val="14"/>
              </w:rPr>
              <w:t xml:space="preserve">Оспособљавање за решавање планиме­ тријских проблема </w:t>
            </w:r>
            <w:r>
              <w:rPr>
                <w:color w:val="231F20"/>
                <w:spacing w:val="-3"/>
                <w:sz w:val="14"/>
              </w:rPr>
              <w:t xml:space="preserve">ко­ </w:t>
            </w:r>
            <w:r>
              <w:rPr>
                <w:color w:val="231F20"/>
                <w:sz w:val="14"/>
              </w:rPr>
              <w:t>ришћењем</w:t>
            </w:r>
            <w:r>
              <w:rPr>
                <w:color w:val="231F20"/>
                <w:spacing w:val="1"/>
                <w:sz w:val="14"/>
              </w:rPr>
              <w:t xml:space="preserve"> </w:t>
            </w:r>
            <w:r>
              <w:rPr>
                <w:color w:val="231F20"/>
                <w:sz w:val="14"/>
              </w:rPr>
              <w:t>сличности.</w:t>
            </w:r>
          </w:p>
        </w:tc>
        <w:tc>
          <w:tcPr>
            <w:tcW w:w="2551" w:type="dxa"/>
          </w:tcPr>
          <w:p w:rsidR="00041039" w:rsidRDefault="001B26CB">
            <w:pPr>
              <w:pStyle w:val="TableParagraph"/>
              <w:numPr>
                <w:ilvl w:val="0"/>
                <w:numId w:val="1235"/>
              </w:numPr>
              <w:tabs>
                <w:tab w:val="left" w:pos="158"/>
              </w:tabs>
              <w:spacing w:before="11"/>
              <w:ind w:right="144"/>
              <w:rPr>
                <w:sz w:val="14"/>
              </w:rPr>
            </w:pPr>
            <w:r>
              <w:rPr>
                <w:color w:val="231F20"/>
                <w:sz w:val="14"/>
              </w:rPr>
              <w:t>ставове сличности троуглова</w:t>
            </w:r>
            <w:r>
              <w:rPr>
                <w:color w:val="231F20"/>
                <w:spacing w:val="-22"/>
                <w:sz w:val="14"/>
              </w:rPr>
              <w:t xml:space="preserve"> </w:t>
            </w:r>
            <w:r>
              <w:rPr>
                <w:color w:val="231F20"/>
                <w:sz w:val="14"/>
              </w:rPr>
              <w:t>користи у</w:t>
            </w:r>
            <w:r>
              <w:rPr>
                <w:color w:val="231F20"/>
                <w:spacing w:val="-1"/>
                <w:sz w:val="14"/>
              </w:rPr>
              <w:t xml:space="preserve"> </w:t>
            </w:r>
            <w:r>
              <w:rPr>
                <w:color w:val="231F20"/>
                <w:sz w:val="14"/>
              </w:rPr>
              <w:t>доказивању;</w:t>
            </w:r>
          </w:p>
          <w:p w:rsidR="00041039" w:rsidRDefault="001B26CB">
            <w:pPr>
              <w:pStyle w:val="TableParagraph"/>
              <w:numPr>
                <w:ilvl w:val="0"/>
                <w:numId w:val="1235"/>
              </w:numPr>
              <w:tabs>
                <w:tab w:val="left" w:pos="158"/>
              </w:tabs>
              <w:spacing w:line="160" w:lineRule="exact"/>
              <w:ind w:right="84"/>
              <w:rPr>
                <w:sz w:val="14"/>
              </w:rPr>
            </w:pPr>
            <w:r>
              <w:rPr>
                <w:color w:val="231F20"/>
                <w:sz w:val="14"/>
              </w:rPr>
              <w:t>проналази и израчунава непознате елементе сличних троуглова на</w:t>
            </w:r>
            <w:r>
              <w:rPr>
                <w:color w:val="231F20"/>
                <w:spacing w:val="-18"/>
                <w:sz w:val="14"/>
              </w:rPr>
              <w:t xml:space="preserve"> </w:t>
            </w:r>
            <w:r>
              <w:rPr>
                <w:color w:val="231F20"/>
                <w:sz w:val="14"/>
              </w:rPr>
              <w:t>слици;</w:t>
            </w:r>
          </w:p>
          <w:p w:rsidR="00041039" w:rsidRDefault="001B26CB">
            <w:pPr>
              <w:pStyle w:val="TableParagraph"/>
              <w:numPr>
                <w:ilvl w:val="0"/>
                <w:numId w:val="1235"/>
              </w:numPr>
              <w:tabs>
                <w:tab w:val="left" w:pos="158"/>
              </w:tabs>
              <w:spacing w:line="160" w:lineRule="exact"/>
              <w:ind w:right="246"/>
              <w:jc w:val="both"/>
              <w:rPr>
                <w:sz w:val="14"/>
              </w:rPr>
            </w:pPr>
            <w:r>
              <w:rPr>
                <w:color w:val="231F20"/>
                <w:sz w:val="14"/>
              </w:rPr>
              <w:t xml:space="preserve">примени ставове сличности на пра­ </w:t>
            </w:r>
            <w:r>
              <w:rPr>
                <w:color w:val="231F20"/>
                <w:spacing w:val="-3"/>
                <w:sz w:val="14"/>
              </w:rPr>
              <w:t xml:space="preserve">воугли </w:t>
            </w:r>
            <w:r>
              <w:rPr>
                <w:color w:val="231F20"/>
                <w:sz w:val="14"/>
              </w:rPr>
              <w:t>троугао (доказни и</w:t>
            </w:r>
            <w:r>
              <w:rPr>
                <w:color w:val="231F20"/>
                <w:spacing w:val="-11"/>
                <w:sz w:val="14"/>
              </w:rPr>
              <w:t xml:space="preserve"> </w:t>
            </w:r>
            <w:r>
              <w:rPr>
                <w:color w:val="231F20"/>
                <w:sz w:val="14"/>
              </w:rPr>
              <w:t>рачунски задаци);</w:t>
            </w:r>
          </w:p>
        </w:tc>
        <w:tc>
          <w:tcPr>
            <w:tcW w:w="2834" w:type="dxa"/>
          </w:tcPr>
          <w:p w:rsidR="00041039" w:rsidRDefault="001B26CB">
            <w:pPr>
              <w:pStyle w:val="TableParagraph"/>
              <w:numPr>
                <w:ilvl w:val="0"/>
                <w:numId w:val="1234"/>
              </w:numPr>
              <w:tabs>
                <w:tab w:val="left" w:pos="158"/>
              </w:tabs>
              <w:spacing w:before="11"/>
              <w:ind w:right="478"/>
              <w:rPr>
                <w:sz w:val="14"/>
              </w:rPr>
            </w:pPr>
            <w:r>
              <w:rPr>
                <w:color w:val="231F20"/>
                <w:sz w:val="14"/>
              </w:rPr>
              <w:t>Пропорционалност дужи и Талесова теорема.</w:t>
            </w:r>
          </w:p>
          <w:p w:rsidR="00041039" w:rsidRDefault="001B26CB">
            <w:pPr>
              <w:pStyle w:val="TableParagraph"/>
              <w:numPr>
                <w:ilvl w:val="0"/>
                <w:numId w:val="1234"/>
              </w:numPr>
              <w:tabs>
                <w:tab w:val="left" w:pos="158"/>
              </w:tabs>
              <w:spacing w:line="153" w:lineRule="exact"/>
              <w:rPr>
                <w:sz w:val="14"/>
              </w:rPr>
            </w:pPr>
            <w:r>
              <w:rPr>
                <w:color w:val="231F20"/>
                <w:sz w:val="14"/>
              </w:rPr>
              <w:t>Сличност фигура и</w:t>
            </w:r>
            <w:r>
              <w:rPr>
                <w:color w:val="231F20"/>
                <w:spacing w:val="-3"/>
                <w:sz w:val="14"/>
              </w:rPr>
              <w:t xml:space="preserve"> </w:t>
            </w:r>
            <w:r>
              <w:rPr>
                <w:color w:val="231F20"/>
                <w:sz w:val="14"/>
              </w:rPr>
              <w:t>троуглова.</w:t>
            </w:r>
          </w:p>
          <w:p w:rsidR="00041039" w:rsidRDefault="001B26CB">
            <w:pPr>
              <w:pStyle w:val="TableParagraph"/>
              <w:numPr>
                <w:ilvl w:val="0"/>
                <w:numId w:val="1234"/>
              </w:numPr>
              <w:tabs>
                <w:tab w:val="left" w:pos="158"/>
              </w:tabs>
              <w:spacing w:line="237" w:lineRule="auto"/>
              <w:ind w:right="136"/>
              <w:rPr>
                <w:sz w:val="14"/>
              </w:rPr>
            </w:pPr>
            <w:r>
              <w:rPr>
                <w:color w:val="231F20"/>
                <w:sz w:val="14"/>
              </w:rPr>
              <w:t>Ставови сличности троуглова и примене</w:t>
            </w:r>
            <w:r>
              <w:rPr>
                <w:color w:val="231F20"/>
                <w:spacing w:val="-23"/>
                <w:sz w:val="14"/>
              </w:rPr>
              <w:t xml:space="preserve"> </w:t>
            </w:r>
            <w:r>
              <w:rPr>
                <w:color w:val="231F20"/>
                <w:sz w:val="14"/>
              </w:rPr>
              <w:t>у доказивању.</w:t>
            </w:r>
          </w:p>
          <w:p w:rsidR="00041039" w:rsidRDefault="001B26CB">
            <w:pPr>
              <w:pStyle w:val="TableParagraph"/>
              <w:numPr>
                <w:ilvl w:val="0"/>
                <w:numId w:val="1234"/>
              </w:numPr>
              <w:tabs>
                <w:tab w:val="left" w:pos="158"/>
              </w:tabs>
              <w:spacing w:line="155" w:lineRule="exact"/>
              <w:rPr>
                <w:sz w:val="14"/>
              </w:rPr>
            </w:pPr>
            <w:r>
              <w:rPr>
                <w:color w:val="231F20"/>
                <w:sz w:val="14"/>
              </w:rPr>
              <w:t xml:space="preserve">Примена сличности на </w:t>
            </w:r>
            <w:r>
              <w:rPr>
                <w:color w:val="231F20"/>
                <w:spacing w:val="-3"/>
                <w:sz w:val="14"/>
              </w:rPr>
              <w:t>правоугли</w:t>
            </w:r>
            <w:r>
              <w:rPr>
                <w:color w:val="231F20"/>
                <w:spacing w:val="-4"/>
                <w:sz w:val="14"/>
              </w:rPr>
              <w:t xml:space="preserve"> </w:t>
            </w:r>
            <w:r>
              <w:rPr>
                <w:color w:val="231F20"/>
                <w:sz w:val="14"/>
              </w:rPr>
              <w:t>троугао.</w:t>
            </w:r>
          </w:p>
          <w:p w:rsidR="00041039" w:rsidRDefault="001B26CB">
            <w:pPr>
              <w:pStyle w:val="TableParagraph"/>
              <w:numPr>
                <w:ilvl w:val="0"/>
                <w:numId w:val="1234"/>
              </w:numPr>
              <w:tabs>
                <w:tab w:val="left" w:pos="158"/>
              </w:tabs>
              <w:spacing w:line="163" w:lineRule="exact"/>
              <w:rPr>
                <w:sz w:val="14"/>
              </w:rPr>
            </w:pPr>
            <w:r>
              <w:rPr>
                <w:color w:val="231F20"/>
                <w:sz w:val="14"/>
              </w:rPr>
              <w:t>Круг и</w:t>
            </w:r>
            <w:r>
              <w:rPr>
                <w:color w:val="231F20"/>
                <w:spacing w:val="-2"/>
                <w:sz w:val="14"/>
              </w:rPr>
              <w:t xml:space="preserve"> </w:t>
            </w:r>
            <w:r>
              <w:rPr>
                <w:color w:val="231F20"/>
                <w:sz w:val="14"/>
              </w:rPr>
              <w:t>сличност.</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1"/>
              <w:ind w:left="57"/>
              <w:rPr>
                <w:sz w:val="14"/>
              </w:rPr>
            </w:pPr>
            <w:r>
              <w:rPr>
                <w:color w:val="231F20"/>
                <w:sz w:val="14"/>
              </w:rPr>
              <w:t>Увод у геометрију</w:t>
            </w:r>
          </w:p>
        </w:tc>
        <w:tc>
          <w:tcPr>
            <w:tcW w:w="1587" w:type="dxa"/>
          </w:tcPr>
          <w:p w:rsidR="00041039" w:rsidRDefault="001B26CB">
            <w:pPr>
              <w:pStyle w:val="TableParagraph"/>
              <w:numPr>
                <w:ilvl w:val="0"/>
                <w:numId w:val="1233"/>
              </w:numPr>
              <w:tabs>
                <w:tab w:val="left" w:pos="157"/>
              </w:tabs>
              <w:spacing w:before="11"/>
              <w:ind w:right="148" w:hanging="99"/>
              <w:rPr>
                <w:sz w:val="14"/>
              </w:rPr>
            </w:pPr>
            <w:r>
              <w:rPr>
                <w:color w:val="231F20"/>
                <w:sz w:val="14"/>
              </w:rPr>
              <w:t>Упознавање са осно­ вама аксиоматског заснивања на</w:t>
            </w:r>
            <w:r>
              <w:rPr>
                <w:color w:val="231F20"/>
                <w:spacing w:val="-13"/>
                <w:sz w:val="14"/>
              </w:rPr>
              <w:t xml:space="preserve"> </w:t>
            </w:r>
            <w:r>
              <w:rPr>
                <w:color w:val="231F20"/>
                <w:sz w:val="14"/>
              </w:rPr>
              <w:t>геомет­ ријском</w:t>
            </w:r>
            <w:r>
              <w:rPr>
                <w:color w:val="231F20"/>
                <w:spacing w:val="-1"/>
                <w:sz w:val="14"/>
              </w:rPr>
              <w:t xml:space="preserve"> </w:t>
            </w:r>
            <w:r>
              <w:rPr>
                <w:color w:val="231F20"/>
                <w:spacing w:val="-3"/>
                <w:sz w:val="14"/>
              </w:rPr>
              <w:t>моделу.</w:t>
            </w:r>
          </w:p>
        </w:tc>
        <w:tc>
          <w:tcPr>
            <w:tcW w:w="2551" w:type="dxa"/>
          </w:tcPr>
          <w:p w:rsidR="00041039" w:rsidRDefault="001B26CB">
            <w:pPr>
              <w:pStyle w:val="TableParagraph"/>
              <w:numPr>
                <w:ilvl w:val="0"/>
                <w:numId w:val="1232"/>
              </w:numPr>
              <w:tabs>
                <w:tab w:val="left" w:pos="158"/>
              </w:tabs>
              <w:spacing w:before="11"/>
              <w:ind w:right="487"/>
              <w:rPr>
                <w:sz w:val="14"/>
              </w:rPr>
            </w:pPr>
            <w:r>
              <w:rPr>
                <w:color w:val="231F20"/>
                <w:sz w:val="14"/>
              </w:rPr>
              <w:t>разликује основне</w:t>
            </w:r>
            <w:r>
              <w:rPr>
                <w:color w:val="231F20"/>
                <w:spacing w:val="-7"/>
                <w:sz w:val="14"/>
              </w:rPr>
              <w:t xml:space="preserve"> </w:t>
            </w:r>
            <w:r>
              <w:rPr>
                <w:color w:val="231F20"/>
                <w:sz w:val="14"/>
              </w:rPr>
              <w:t>геометријске објекте;</w:t>
            </w:r>
          </w:p>
          <w:p w:rsidR="00041039" w:rsidRDefault="001B26CB">
            <w:pPr>
              <w:pStyle w:val="TableParagraph"/>
              <w:numPr>
                <w:ilvl w:val="0"/>
                <w:numId w:val="1232"/>
              </w:numPr>
              <w:tabs>
                <w:tab w:val="left" w:pos="158"/>
              </w:tabs>
              <w:spacing w:line="160" w:lineRule="exact"/>
              <w:ind w:right="45"/>
              <w:rPr>
                <w:sz w:val="14"/>
              </w:rPr>
            </w:pPr>
            <w:r>
              <w:rPr>
                <w:color w:val="231F20"/>
                <w:sz w:val="14"/>
              </w:rPr>
              <w:t>наведе основне ставове везане за релације припадања, распореда и</w:t>
            </w:r>
            <w:r>
              <w:rPr>
                <w:color w:val="231F20"/>
                <w:spacing w:val="-17"/>
                <w:sz w:val="14"/>
              </w:rPr>
              <w:t xml:space="preserve"> </w:t>
            </w:r>
            <w:r>
              <w:rPr>
                <w:color w:val="231F20"/>
                <w:sz w:val="14"/>
              </w:rPr>
              <w:t>пара­ лелности;</w:t>
            </w:r>
          </w:p>
        </w:tc>
        <w:tc>
          <w:tcPr>
            <w:tcW w:w="2834" w:type="dxa"/>
          </w:tcPr>
          <w:p w:rsidR="00041039" w:rsidRDefault="001B26CB">
            <w:pPr>
              <w:pStyle w:val="TableParagraph"/>
              <w:numPr>
                <w:ilvl w:val="0"/>
                <w:numId w:val="1231"/>
              </w:numPr>
              <w:tabs>
                <w:tab w:val="left" w:pos="158"/>
              </w:tabs>
              <w:spacing w:before="11" w:line="166" w:lineRule="exact"/>
              <w:ind w:hanging="99"/>
              <w:rPr>
                <w:sz w:val="14"/>
              </w:rPr>
            </w:pPr>
            <w:r>
              <w:rPr>
                <w:color w:val="231F20"/>
                <w:spacing w:val="-3"/>
                <w:sz w:val="14"/>
              </w:rPr>
              <w:t xml:space="preserve">Увођење </w:t>
            </w:r>
            <w:r>
              <w:rPr>
                <w:color w:val="231F20"/>
                <w:sz w:val="14"/>
              </w:rPr>
              <w:t>основних геометријских појмова.</w:t>
            </w:r>
          </w:p>
          <w:p w:rsidR="00041039" w:rsidRDefault="001B26CB">
            <w:pPr>
              <w:pStyle w:val="TableParagraph"/>
              <w:numPr>
                <w:ilvl w:val="0"/>
                <w:numId w:val="1231"/>
              </w:numPr>
              <w:tabs>
                <w:tab w:val="left" w:pos="158"/>
              </w:tabs>
              <w:spacing w:line="237" w:lineRule="auto"/>
              <w:ind w:right="118" w:hanging="99"/>
              <w:rPr>
                <w:sz w:val="14"/>
              </w:rPr>
            </w:pPr>
            <w:r>
              <w:rPr>
                <w:color w:val="231F20"/>
                <w:sz w:val="14"/>
              </w:rPr>
              <w:t>Аксиоме припадања, распореда и</w:t>
            </w:r>
            <w:r>
              <w:rPr>
                <w:color w:val="231F20"/>
                <w:spacing w:val="-24"/>
                <w:sz w:val="14"/>
              </w:rPr>
              <w:t xml:space="preserve"> </w:t>
            </w:r>
            <w:r>
              <w:rPr>
                <w:color w:val="231F20"/>
                <w:sz w:val="14"/>
              </w:rPr>
              <w:t>паралел­ ности.</w:t>
            </w:r>
          </w:p>
        </w:tc>
        <w:tc>
          <w:tcPr>
            <w:tcW w:w="2267" w:type="dxa"/>
            <w:vMerge/>
            <w:tcBorders>
              <w:top w:val="nil"/>
            </w:tcBorders>
          </w:tcPr>
          <w:p w:rsidR="00041039" w:rsidRDefault="00041039">
            <w:pPr>
              <w:rPr>
                <w:sz w:val="2"/>
                <w:szCs w:val="2"/>
              </w:rPr>
            </w:pPr>
          </w:p>
        </w:tc>
      </w:tr>
      <w:tr w:rsidR="00041039">
        <w:trPr>
          <w:trHeight w:val="4840"/>
        </w:trPr>
        <w:tc>
          <w:tcPr>
            <w:tcW w:w="1304" w:type="dxa"/>
          </w:tcPr>
          <w:p w:rsidR="00041039" w:rsidRDefault="001B26CB">
            <w:pPr>
              <w:pStyle w:val="TableParagraph"/>
              <w:spacing w:before="21"/>
              <w:ind w:left="57"/>
              <w:rPr>
                <w:sz w:val="14"/>
              </w:rPr>
            </w:pPr>
            <w:r>
              <w:rPr>
                <w:color w:val="231F20"/>
                <w:sz w:val="14"/>
              </w:rPr>
              <w:t>Подударност</w:t>
            </w:r>
          </w:p>
        </w:tc>
        <w:tc>
          <w:tcPr>
            <w:tcW w:w="1587" w:type="dxa"/>
          </w:tcPr>
          <w:p w:rsidR="00041039" w:rsidRDefault="001B26CB">
            <w:pPr>
              <w:pStyle w:val="TableParagraph"/>
              <w:numPr>
                <w:ilvl w:val="0"/>
                <w:numId w:val="1230"/>
              </w:numPr>
              <w:tabs>
                <w:tab w:val="left" w:pos="157"/>
              </w:tabs>
              <w:spacing w:before="11"/>
              <w:ind w:right="100" w:hanging="99"/>
              <w:rPr>
                <w:sz w:val="14"/>
              </w:rPr>
            </w:pPr>
            <w:r>
              <w:rPr>
                <w:color w:val="231F20"/>
                <w:sz w:val="14"/>
              </w:rPr>
              <w:t>Стицање и</w:t>
            </w:r>
            <w:r>
              <w:rPr>
                <w:color w:val="231F20"/>
                <w:spacing w:val="-14"/>
                <w:sz w:val="14"/>
              </w:rPr>
              <w:t xml:space="preserve"> </w:t>
            </w:r>
            <w:r>
              <w:rPr>
                <w:color w:val="231F20"/>
                <w:sz w:val="14"/>
              </w:rPr>
              <w:t>продубљи­ вање основних знања о многоугловима и кружници уз елемен­ тарне</w:t>
            </w:r>
            <w:r>
              <w:rPr>
                <w:color w:val="231F20"/>
                <w:spacing w:val="-2"/>
                <w:sz w:val="14"/>
              </w:rPr>
              <w:t xml:space="preserve"> </w:t>
            </w:r>
            <w:r>
              <w:rPr>
                <w:color w:val="231F20"/>
                <w:sz w:val="14"/>
              </w:rPr>
              <w:t>конструкције.</w:t>
            </w:r>
          </w:p>
        </w:tc>
        <w:tc>
          <w:tcPr>
            <w:tcW w:w="2551" w:type="dxa"/>
          </w:tcPr>
          <w:p w:rsidR="00041039" w:rsidRDefault="001B26CB">
            <w:pPr>
              <w:pStyle w:val="TableParagraph"/>
              <w:numPr>
                <w:ilvl w:val="0"/>
                <w:numId w:val="1229"/>
              </w:numPr>
              <w:tabs>
                <w:tab w:val="left" w:pos="158"/>
              </w:tabs>
              <w:spacing w:before="12" w:line="166" w:lineRule="exact"/>
              <w:rPr>
                <w:sz w:val="14"/>
              </w:rPr>
            </w:pPr>
            <w:r>
              <w:rPr>
                <w:color w:val="231F20"/>
                <w:sz w:val="14"/>
              </w:rPr>
              <w:t>конструише и преноси</w:t>
            </w:r>
            <w:r>
              <w:rPr>
                <w:color w:val="231F20"/>
                <w:spacing w:val="-5"/>
                <w:sz w:val="14"/>
              </w:rPr>
              <w:t xml:space="preserve"> </w:t>
            </w:r>
            <w:r>
              <w:rPr>
                <w:color w:val="231F20"/>
                <w:sz w:val="14"/>
              </w:rPr>
              <w:t>углове;</w:t>
            </w:r>
          </w:p>
          <w:p w:rsidR="00041039" w:rsidRDefault="001B26CB">
            <w:pPr>
              <w:pStyle w:val="TableParagraph"/>
              <w:numPr>
                <w:ilvl w:val="0"/>
                <w:numId w:val="1229"/>
              </w:numPr>
              <w:tabs>
                <w:tab w:val="left" w:pos="158"/>
              </w:tabs>
              <w:spacing w:line="237" w:lineRule="auto"/>
              <w:ind w:right="193"/>
              <w:rPr>
                <w:sz w:val="14"/>
              </w:rPr>
            </w:pPr>
            <w:r>
              <w:rPr>
                <w:color w:val="231F20"/>
                <w:sz w:val="14"/>
              </w:rPr>
              <w:t>одреди обим, странице, висине, симетрале страна, симетрале</w:t>
            </w:r>
            <w:r>
              <w:rPr>
                <w:color w:val="231F20"/>
                <w:spacing w:val="-10"/>
                <w:sz w:val="14"/>
              </w:rPr>
              <w:t xml:space="preserve"> </w:t>
            </w:r>
            <w:r>
              <w:rPr>
                <w:color w:val="231F20"/>
                <w:sz w:val="14"/>
              </w:rPr>
              <w:t xml:space="preserve">углова, тежишне дужи </w:t>
            </w:r>
            <w:r>
              <w:rPr>
                <w:color w:val="231F20"/>
                <w:spacing w:val="-3"/>
                <w:sz w:val="14"/>
              </w:rPr>
              <w:t>троугла;</w:t>
            </w:r>
          </w:p>
          <w:p w:rsidR="00041039" w:rsidRDefault="001B26CB">
            <w:pPr>
              <w:pStyle w:val="TableParagraph"/>
              <w:numPr>
                <w:ilvl w:val="0"/>
                <w:numId w:val="1229"/>
              </w:numPr>
              <w:tabs>
                <w:tab w:val="left" w:pos="158"/>
              </w:tabs>
              <w:spacing w:line="237" w:lineRule="auto"/>
              <w:ind w:right="193"/>
              <w:rPr>
                <w:sz w:val="14"/>
              </w:rPr>
            </w:pPr>
            <w:r>
              <w:rPr>
                <w:color w:val="231F20"/>
                <w:sz w:val="14"/>
              </w:rPr>
              <w:t>одреди обим, странице, висине, симетрале страна, с</w:t>
            </w:r>
            <w:r>
              <w:rPr>
                <w:color w:val="231F20"/>
                <w:sz w:val="14"/>
              </w:rPr>
              <w:t>иметрале</w:t>
            </w:r>
            <w:r>
              <w:rPr>
                <w:color w:val="231F20"/>
                <w:spacing w:val="-10"/>
                <w:sz w:val="14"/>
              </w:rPr>
              <w:t xml:space="preserve"> </w:t>
            </w:r>
            <w:r>
              <w:rPr>
                <w:color w:val="231F20"/>
                <w:sz w:val="14"/>
              </w:rPr>
              <w:t>углова, тежишне дужи</w:t>
            </w:r>
            <w:r>
              <w:rPr>
                <w:color w:val="231F20"/>
                <w:spacing w:val="-4"/>
                <w:sz w:val="14"/>
              </w:rPr>
              <w:t xml:space="preserve"> </w:t>
            </w:r>
            <w:r>
              <w:rPr>
                <w:color w:val="231F20"/>
                <w:sz w:val="14"/>
              </w:rPr>
              <w:t>четвороугла;</w:t>
            </w:r>
          </w:p>
          <w:p w:rsidR="00041039" w:rsidRDefault="001B26CB">
            <w:pPr>
              <w:pStyle w:val="TableParagraph"/>
              <w:numPr>
                <w:ilvl w:val="0"/>
                <w:numId w:val="1229"/>
              </w:numPr>
              <w:tabs>
                <w:tab w:val="left" w:pos="158"/>
              </w:tabs>
              <w:spacing w:line="237" w:lineRule="auto"/>
              <w:ind w:right="114"/>
              <w:rPr>
                <w:sz w:val="14"/>
              </w:rPr>
            </w:pPr>
            <w:r>
              <w:rPr>
                <w:color w:val="231F20"/>
                <w:sz w:val="14"/>
              </w:rPr>
              <w:t>одреди пречник, полупречник,</w:t>
            </w:r>
            <w:r>
              <w:rPr>
                <w:color w:val="231F20"/>
                <w:spacing w:val="-20"/>
                <w:sz w:val="14"/>
              </w:rPr>
              <w:t xml:space="preserve"> </w:t>
            </w:r>
            <w:r>
              <w:rPr>
                <w:color w:val="231F20"/>
                <w:spacing w:val="-3"/>
                <w:sz w:val="14"/>
              </w:rPr>
              <w:t xml:space="preserve">тетиву, </w:t>
            </w:r>
            <w:r>
              <w:rPr>
                <w:color w:val="231F20"/>
                <w:sz w:val="14"/>
              </w:rPr>
              <w:t>тангенту и сечицу</w:t>
            </w:r>
            <w:r>
              <w:rPr>
                <w:color w:val="231F20"/>
                <w:spacing w:val="-2"/>
                <w:sz w:val="14"/>
              </w:rPr>
              <w:t xml:space="preserve"> </w:t>
            </w:r>
            <w:r>
              <w:rPr>
                <w:color w:val="231F20"/>
                <w:sz w:val="14"/>
              </w:rPr>
              <w:t>круга;</w:t>
            </w:r>
          </w:p>
          <w:p w:rsidR="00041039" w:rsidRDefault="001B26CB">
            <w:pPr>
              <w:pStyle w:val="TableParagraph"/>
              <w:numPr>
                <w:ilvl w:val="0"/>
                <w:numId w:val="1229"/>
              </w:numPr>
              <w:tabs>
                <w:tab w:val="left" w:pos="158"/>
              </w:tabs>
              <w:spacing w:line="155" w:lineRule="exact"/>
              <w:rPr>
                <w:sz w:val="14"/>
              </w:rPr>
            </w:pPr>
            <w:r>
              <w:rPr>
                <w:color w:val="231F20"/>
                <w:sz w:val="14"/>
              </w:rPr>
              <w:t>препознаје подударне</w:t>
            </w:r>
            <w:r>
              <w:rPr>
                <w:color w:val="231F20"/>
                <w:spacing w:val="-24"/>
                <w:sz w:val="14"/>
              </w:rPr>
              <w:t xml:space="preserve"> </w:t>
            </w:r>
            <w:r>
              <w:rPr>
                <w:color w:val="231F20"/>
                <w:sz w:val="14"/>
              </w:rPr>
              <w:t>фигуре;</w:t>
            </w:r>
          </w:p>
          <w:p w:rsidR="00041039" w:rsidRDefault="001B26CB">
            <w:pPr>
              <w:pStyle w:val="TableParagraph"/>
              <w:numPr>
                <w:ilvl w:val="0"/>
                <w:numId w:val="1229"/>
              </w:numPr>
              <w:tabs>
                <w:tab w:val="left" w:pos="158"/>
              </w:tabs>
              <w:spacing w:line="237" w:lineRule="auto"/>
              <w:ind w:right="96"/>
              <w:rPr>
                <w:sz w:val="14"/>
              </w:rPr>
            </w:pPr>
            <w:r>
              <w:rPr>
                <w:color w:val="231F20"/>
                <w:sz w:val="14"/>
              </w:rPr>
              <w:t>употреби једнакост елемената у доказивању</w:t>
            </w:r>
            <w:r>
              <w:rPr>
                <w:color w:val="231F20"/>
                <w:spacing w:val="-11"/>
                <w:sz w:val="14"/>
              </w:rPr>
              <w:t xml:space="preserve"> </w:t>
            </w:r>
            <w:r>
              <w:rPr>
                <w:color w:val="231F20"/>
                <w:sz w:val="14"/>
              </w:rPr>
              <w:t>подударности</w:t>
            </w:r>
            <w:r>
              <w:rPr>
                <w:color w:val="231F20"/>
                <w:spacing w:val="-11"/>
                <w:sz w:val="14"/>
              </w:rPr>
              <w:t xml:space="preserve"> </w:t>
            </w:r>
            <w:r>
              <w:rPr>
                <w:color w:val="231F20"/>
                <w:sz w:val="14"/>
              </w:rPr>
              <w:t>троуглова</w:t>
            </w:r>
            <w:r>
              <w:rPr>
                <w:color w:val="231F20"/>
                <w:spacing w:val="-11"/>
                <w:sz w:val="14"/>
              </w:rPr>
              <w:t xml:space="preserve"> </w:t>
            </w:r>
            <w:r>
              <w:rPr>
                <w:color w:val="231F20"/>
                <w:sz w:val="14"/>
              </w:rPr>
              <w:t>и четвороуглова;</w:t>
            </w:r>
          </w:p>
          <w:p w:rsidR="00041039" w:rsidRDefault="001B26CB">
            <w:pPr>
              <w:pStyle w:val="TableParagraph"/>
              <w:numPr>
                <w:ilvl w:val="0"/>
                <w:numId w:val="1229"/>
              </w:numPr>
              <w:tabs>
                <w:tab w:val="left" w:pos="158"/>
              </w:tabs>
              <w:spacing w:line="156" w:lineRule="exact"/>
              <w:rPr>
                <w:sz w:val="14"/>
              </w:rPr>
            </w:pPr>
            <w:r>
              <w:rPr>
                <w:color w:val="231F20"/>
                <w:sz w:val="14"/>
              </w:rPr>
              <w:t xml:space="preserve">препозна основне особине </w:t>
            </w:r>
            <w:r>
              <w:rPr>
                <w:color w:val="231F20"/>
                <w:spacing w:val="-3"/>
                <w:sz w:val="14"/>
              </w:rPr>
              <w:t>троугла;</w:t>
            </w:r>
          </w:p>
          <w:p w:rsidR="00041039" w:rsidRDefault="001B26CB">
            <w:pPr>
              <w:pStyle w:val="TableParagraph"/>
              <w:numPr>
                <w:ilvl w:val="0"/>
                <w:numId w:val="1229"/>
              </w:numPr>
              <w:tabs>
                <w:tab w:val="left" w:pos="158"/>
              </w:tabs>
              <w:spacing w:line="237" w:lineRule="auto"/>
              <w:ind w:right="364"/>
              <w:rPr>
                <w:sz w:val="14"/>
              </w:rPr>
            </w:pPr>
            <w:r>
              <w:rPr>
                <w:color w:val="231F20"/>
                <w:sz w:val="14"/>
              </w:rPr>
              <w:t>изводи елементарне</w:t>
            </w:r>
            <w:r>
              <w:rPr>
                <w:color w:val="231F20"/>
                <w:spacing w:val="-15"/>
                <w:sz w:val="14"/>
              </w:rPr>
              <w:t xml:space="preserve"> </w:t>
            </w:r>
            <w:r>
              <w:rPr>
                <w:color w:val="231F20"/>
                <w:sz w:val="14"/>
              </w:rPr>
              <w:t>конструкције лењиром и</w:t>
            </w:r>
            <w:r>
              <w:rPr>
                <w:color w:val="231F20"/>
                <w:spacing w:val="-2"/>
                <w:sz w:val="14"/>
              </w:rPr>
              <w:t xml:space="preserve"> </w:t>
            </w:r>
            <w:r>
              <w:rPr>
                <w:color w:val="231F20"/>
                <w:sz w:val="14"/>
              </w:rPr>
              <w:t>шестаром;</w:t>
            </w:r>
          </w:p>
          <w:p w:rsidR="00041039" w:rsidRDefault="001B26CB">
            <w:pPr>
              <w:pStyle w:val="TableParagraph"/>
              <w:numPr>
                <w:ilvl w:val="0"/>
                <w:numId w:val="1229"/>
              </w:numPr>
              <w:tabs>
                <w:tab w:val="left" w:pos="158"/>
              </w:tabs>
              <w:spacing w:line="155" w:lineRule="exact"/>
              <w:rPr>
                <w:sz w:val="14"/>
              </w:rPr>
            </w:pPr>
            <w:r>
              <w:rPr>
                <w:color w:val="231F20"/>
                <w:sz w:val="14"/>
              </w:rPr>
              <w:t>одреди значајне тачке</w:t>
            </w:r>
            <w:r>
              <w:rPr>
                <w:color w:val="231F20"/>
                <w:spacing w:val="-3"/>
                <w:sz w:val="14"/>
              </w:rPr>
              <w:t xml:space="preserve"> троугла;</w:t>
            </w:r>
          </w:p>
          <w:p w:rsidR="00041039" w:rsidRDefault="001B26CB">
            <w:pPr>
              <w:pStyle w:val="TableParagraph"/>
              <w:numPr>
                <w:ilvl w:val="0"/>
                <w:numId w:val="1229"/>
              </w:numPr>
              <w:tabs>
                <w:tab w:val="left" w:pos="158"/>
              </w:tabs>
              <w:spacing w:line="237" w:lineRule="auto"/>
              <w:ind w:right="243"/>
              <w:rPr>
                <w:sz w:val="14"/>
              </w:rPr>
            </w:pPr>
            <w:r>
              <w:rPr>
                <w:color w:val="231F20"/>
                <w:sz w:val="14"/>
              </w:rPr>
              <w:t xml:space="preserve">препозна основне особине четворо­ </w:t>
            </w:r>
            <w:r>
              <w:rPr>
                <w:color w:val="231F20"/>
                <w:spacing w:val="-3"/>
                <w:sz w:val="14"/>
              </w:rPr>
              <w:t>угла;</w:t>
            </w:r>
          </w:p>
          <w:p w:rsidR="00041039" w:rsidRDefault="001B26CB">
            <w:pPr>
              <w:pStyle w:val="TableParagraph"/>
              <w:numPr>
                <w:ilvl w:val="0"/>
                <w:numId w:val="1229"/>
              </w:numPr>
              <w:tabs>
                <w:tab w:val="left" w:pos="158"/>
              </w:tabs>
              <w:spacing w:line="160" w:lineRule="exact"/>
              <w:ind w:right="91"/>
              <w:rPr>
                <w:sz w:val="14"/>
              </w:rPr>
            </w:pPr>
            <w:r>
              <w:rPr>
                <w:color w:val="231F20"/>
                <w:sz w:val="14"/>
              </w:rPr>
              <w:t>влада основним појмовима везаним за угао, троугао, четвороугао и</w:t>
            </w:r>
            <w:r>
              <w:rPr>
                <w:color w:val="231F20"/>
                <w:spacing w:val="-6"/>
                <w:sz w:val="14"/>
              </w:rPr>
              <w:t xml:space="preserve"> </w:t>
            </w:r>
            <w:r>
              <w:rPr>
                <w:color w:val="231F20"/>
                <w:sz w:val="14"/>
              </w:rPr>
              <w:t>круг;</w:t>
            </w:r>
          </w:p>
          <w:p w:rsidR="00041039" w:rsidRDefault="001B26CB">
            <w:pPr>
              <w:pStyle w:val="TableParagraph"/>
              <w:numPr>
                <w:ilvl w:val="0"/>
                <w:numId w:val="1229"/>
              </w:numPr>
              <w:tabs>
                <w:tab w:val="left" w:pos="158"/>
              </w:tabs>
              <w:spacing w:line="160" w:lineRule="exact"/>
              <w:ind w:right="178"/>
              <w:rPr>
                <w:sz w:val="14"/>
              </w:rPr>
            </w:pPr>
            <w:r>
              <w:rPr>
                <w:color w:val="231F20"/>
                <w:sz w:val="14"/>
              </w:rPr>
              <w:t>наведе</w:t>
            </w:r>
            <w:r>
              <w:rPr>
                <w:color w:val="231F20"/>
                <w:spacing w:val="-7"/>
                <w:sz w:val="14"/>
              </w:rPr>
              <w:t xml:space="preserve"> </w:t>
            </w:r>
            <w:r>
              <w:rPr>
                <w:color w:val="231F20"/>
                <w:sz w:val="14"/>
              </w:rPr>
              <w:t>и</w:t>
            </w:r>
            <w:r>
              <w:rPr>
                <w:color w:val="231F20"/>
                <w:spacing w:val="-8"/>
                <w:sz w:val="14"/>
              </w:rPr>
              <w:t xml:space="preserve"> </w:t>
            </w:r>
            <w:r>
              <w:rPr>
                <w:color w:val="231F20"/>
                <w:sz w:val="14"/>
              </w:rPr>
              <w:t>користи</w:t>
            </w:r>
            <w:r>
              <w:rPr>
                <w:color w:val="231F20"/>
                <w:spacing w:val="-7"/>
                <w:sz w:val="14"/>
              </w:rPr>
              <w:t xml:space="preserve"> </w:t>
            </w:r>
            <w:r>
              <w:rPr>
                <w:color w:val="231F20"/>
                <w:sz w:val="14"/>
              </w:rPr>
              <w:t>ставове</w:t>
            </w:r>
            <w:r>
              <w:rPr>
                <w:color w:val="231F20"/>
                <w:spacing w:val="-7"/>
                <w:sz w:val="14"/>
              </w:rPr>
              <w:t xml:space="preserve"> </w:t>
            </w:r>
            <w:r>
              <w:rPr>
                <w:color w:val="231F20"/>
                <w:sz w:val="14"/>
              </w:rPr>
              <w:t>подударно­ сти</w:t>
            </w:r>
            <w:r>
              <w:rPr>
                <w:color w:val="231F20"/>
                <w:spacing w:val="-1"/>
                <w:sz w:val="14"/>
              </w:rPr>
              <w:t xml:space="preserve"> </w:t>
            </w:r>
            <w:r>
              <w:rPr>
                <w:color w:val="231F20"/>
                <w:sz w:val="14"/>
              </w:rPr>
              <w:t>троуглова;</w:t>
            </w:r>
          </w:p>
          <w:p w:rsidR="00041039" w:rsidRDefault="001B26CB">
            <w:pPr>
              <w:pStyle w:val="TableParagraph"/>
              <w:numPr>
                <w:ilvl w:val="0"/>
                <w:numId w:val="1229"/>
              </w:numPr>
              <w:tabs>
                <w:tab w:val="left" w:pos="158"/>
              </w:tabs>
              <w:spacing w:line="160" w:lineRule="exact"/>
              <w:ind w:right="45"/>
              <w:rPr>
                <w:sz w:val="14"/>
              </w:rPr>
            </w:pPr>
            <w:r>
              <w:rPr>
                <w:color w:val="231F20"/>
                <w:sz w:val="14"/>
              </w:rPr>
              <w:t xml:space="preserve">израчуна непознате елементе </w:t>
            </w:r>
            <w:r>
              <w:rPr>
                <w:color w:val="231F20"/>
                <w:spacing w:val="-3"/>
                <w:sz w:val="14"/>
              </w:rPr>
              <w:t xml:space="preserve">троугла </w:t>
            </w:r>
            <w:r>
              <w:rPr>
                <w:color w:val="231F20"/>
                <w:sz w:val="14"/>
              </w:rPr>
              <w:t>и четвороугла;</w:t>
            </w:r>
          </w:p>
          <w:p w:rsidR="00041039" w:rsidRDefault="001B26CB">
            <w:pPr>
              <w:pStyle w:val="TableParagraph"/>
              <w:numPr>
                <w:ilvl w:val="0"/>
                <w:numId w:val="1229"/>
              </w:numPr>
              <w:tabs>
                <w:tab w:val="left" w:pos="158"/>
              </w:tabs>
              <w:spacing w:line="160" w:lineRule="exact"/>
              <w:ind w:right="79"/>
              <w:rPr>
                <w:sz w:val="14"/>
              </w:rPr>
            </w:pPr>
            <w:r>
              <w:rPr>
                <w:color w:val="231F20"/>
                <w:sz w:val="14"/>
              </w:rPr>
              <w:t>решава лакше задатке са тангентним</w:t>
            </w:r>
            <w:r>
              <w:rPr>
                <w:color w:val="231F20"/>
                <w:spacing w:val="-17"/>
                <w:sz w:val="14"/>
              </w:rPr>
              <w:t xml:space="preserve"> </w:t>
            </w:r>
            <w:r>
              <w:rPr>
                <w:color w:val="231F20"/>
                <w:sz w:val="14"/>
              </w:rPr>
              <w:t>и тетивним</w:t>
            </w:r>
            <w:r>
              <w:rPr>
                <w:color w:val="231F20"/>
                <w:spacing w:val="-2"/>
                <w:sz w:val="14"/>
              </w:rPr>
              <w:t xml:space="preserve"> </w:t>
            </w:r>
            <w:r>
              <w:rPr>
                <w:color w:val="231F20"/>
                <w:sz w:val="14"/>
              </w:rPr>
              <w:t>четвороугловима;</w:t>
            </w:r>
          </w:p>
          <w:p w:rsidR="00041039" w:rsidRDefault="001B26CB">
            <w:pPr>
              <w:pStyle w:val="TableParagraph"/>
              <w:numPr>
                <w:ilvl w:val="0"/>
                <w:numId w:val="1229"/>
              </w:numPr>
              <w:tabs>
                <w:tab w:val="left" w:pos="158"/>
              </w:tabs>
              <w:spacing w:line="160" w:lineRule="exact"/>
              <w:ind w:right="91"/>
              <w:jc w:val="both"/>
              <w:rPr>
                <w:sz w:val="14"/>
              </w:rPr>
            </w:pPr>
            <w:r>
              <w:rPr>
                <w:color w:val="231F20"/>
                <w:sz w:val="14"/>
              </w:rPr>
              <w:t>користи изометријске</w:t>
            </w:r>
            <w:r>
              <w:rPr>
                <w:color w:val="231F20"/>
                <w:spacing w:val="-16"/>
                <w:sz w:val="14"/>
              </w:rPr>
              <w:t xml:space="preserve"> </w:t>
            </w:r>
            <w:r>
              <w:rPr>
                <w:color w:val="231F20"/>
                <w:sz w:val="14"/>
              </w:rPr>
              <w:t>трансформације у решавању лакших планиметријских проблема;</w:t>
            </w:r>
          </w:p>
        </w:tc>
        <w:tc>
          <w:tcPr>
            <w:tcW w:w="2834" w:type="dxa"/>
          </w:tcPr>
          <w:p w:rsidR="00041039" w:rsidRDefault="001B26CB">
            <w:pPr>
              <w:pStyle w:val="TableParagraph"/>
              <w:numPr>
                <w:ilvl w:val="0"/>
                <w:numId w:val="1228"/>
              </w:numPr>
              <w:tabs>
                <w:tab w:val="left" w:pos="158"/>
              </w:tabs>
              <w:spacing w:before="12" w:line="164" w:lineRule="exact"/>
              <w:ind w:hanging="98"/>
              <w:rPr>
                <w:sz w:val="14"/>
              </w:rPr>
            </w:pPr>
            <w:r>
              <w:rPr>
                <w:color w:val="231F20"/>
                <w:sz w:val="14"/>
              </w:rPr>
              <w:t>Основне особине</w:t>
            </w:r>
            <w:r>
              <w:rPr>
                <w:color w:val="231F20"/>
                <w:spacing w:val="-1"/>
                <w:sz w:val="14"/>
              </w:rPr>
              <w:t xml:space="preserve"> </w:t>
            </w:r>
            <w:r>
              <w:rPr>
                <w:color w:val="231F20"/>
                <w:spacing w:val="-3"/>
                <w:sz w:val="14"/>
              </w:rPr>
              <w:t>троугла.</w:t>
            </w:r>
          </w:p>
          <w:p w:rsidR="00041039" w:rsidRDefault="001B26CB">
            <w:pPr>
              <w:pStyle w:val="TableParagraph"/>
              <w:numPr>
                <w:ilvl w:val="0"/>
                <w:numId w:val="1228"/>
              </w:numPr>
              <w:tabs>
                <w:tab w:val="left" w:pos="157"/>
              </w:tabs>
              <w:spacing w:line="158" w:lineRule="exact"/>
              <w:ind w:hanging="99"/>
              <w:rPr>
                <w:sz w:val="14"/>
              </w:rPr>
            </w:pPr>
            <w:r>
              <w:rPr>
                <w:color w:val="231F20"/>
                <w:sz w:val="14"/>
              </w:rPr>
              <w:t>Основне особине</w:t>
            </w:r>
            <w:r>
              <w:rPr>
                <w:color w:val="231F20"/>
                <w:spacing w:val="-3"/>
                <w:sz w:val="14"/>
              </w:rPr>
              <w:t xml:space="preserve"> </w:t>
            </w:r>
            <w:r>
              <w:rPr>
                <w:color w:val="231F20"/>
                <w:sz w:val="14"/>
              </w:rPr>
              <w:t>четвороугла.</w:t>
            </w:r>
          </w:p>
          <w:p w:rsidR="00041039" w:rsidRDefault="001B26CB">
            <w:pPr>
              <w:pStyle w:val="TableParagraph"/>
              <w:numPr>
                <w:ilvl w:val="0"/>
                <w:numId w:val="1228"/>
              </w:numPr>
              <w:tabs>
                <w:tab w:val="left" w:pos="157"/>
              </w:tabs>
              <w:spacing w:line="160" w:lineRule="exact"/>
              <w:ind w:hanging="99"/>
              <w:rPr>
                <w:sz w:val="14"/>
              </w:rPr>
            </w:pPr>
            <w:r>
              <w:rPr>
                <w:color w:val="231F20"/>
                <w:sz w:val="14"/>
              </w:rPr>
              <w:t>Основне особине</w:t>
            </w:r>
            <w:r>
              <w:rPr>
                <w:color w:val="231F20"/>
                <w:spacing w:val="-2"/>
                <w:sz w:val="14"/>
              </w:rPr>
              <w:t xml:space="preserve"> </w:t>
            </w:r>
            <w:r>
              <w:rPr>
                <w:color w:val="231F20"/>
                <w:sz w:val="14"/>
              </w:rPr>
              <w:t>круга.</w:t>
            </w:r>
          </w:p>
          <w:p w:rsidR="00041039" w:rsidRDefault="001B26CB">
            <w:pPr>
              <w:pStyle w:val="TableParagraph"/>
              <w:numPr>
                <w:ilvl w:val="0"/>
                <w:numId w:val="1228"/>
              </w:numPr>
              <w:tabs>
                <w:tab w:val="left" w:pos="157"/>
              </w:tabs>
              <w:spacing w:line="237" w:lineRule="auto"/>
              <w:ind w:right="167" w:hanging="99"/>
              <w:rPr>
                <w:sz w:val="14"/>
              </w:rPr>
            </w:pPr>
            <w:r>
              <w:rPr>
                <w:color w:val="231F20"/>
                <w:sz w:val="14"/>
              </w:rPr>
              <w:t>Ставови</w:t>
            </w:r>
            <w:r>
              <w:rPr>
                <w:color w:val="231F20"/>
                <w:spacing w:val="-8"/>
                <w:sz w:val="14"/>
              </w:rPr>
              <w:t xml:space="preserve"> </w:t>
            </w:r>
            <w:r>
              <w:rPr>
                <w:color w:val="231F20"/>
                <w:sz w:val="14"/>
              </w:rPr>
              <w:t>подударности</w:t>
            </w:r>
            <w:r>
              <w:rPr>
                <w:color w:val="231F20"/>
                <w:spacing w:val="-8"/>
                <w:sz w:val="14"/>
              </w:rPr>
              <w:t xml:space="preserve"> </w:t>
            </w:r>
            <w:r>
              <w:rPr>
                <w:color w:val="231F20"/>
                <w:sz w:val="14"/>
              </w:rPr>
              <w:t>троуглова</w:t>
            </w:r>
            <w:r>
              <w:rPr>
                <w:color w:val="231F20"/>
                <w:spacing w:val="-8"/>
                <w:sz w:val="14"/>
              </w:rPr>
              <w:t xml:space="preserve"> </w:t>
            </w:r>
            <w:r>
              <w:rPr>
                <w:color w:val="231F20"/>
                <w:sz w:val="14"/>
              </w:rPr>
              <w:t>и</w:t>
            </w:r>
            <w:r>
              <w:rPr>
                <w:color w:val="231F20"/>
                <w:spacing w:val="-9"/>
                <w:sz w:val="14"/>
              </w:rPr>
              <w:t xml:space="preserve"> </w:t>
            </w:r>
            <w:r>
              <w:rPr>
                <w:color w:val="231F20"/>
                <w:sz w:val="14"/>
              </w:rPr>
              <w:t>лакши докази.</w:t>
            </w:r>
          </w:p>
          <w:p w:rsidR="00041039" w:rsidRDefault="001B26CB">
            <w:pPr>
              <w:pStyle w:val="TableParagraph"/>
              <w:numPr>
                <w:ilvl w:val="0"/>
                <w:numId w:val="1228"/>
              </w:numPr>
              <w:tabs>
                <w:tab w:val="left" w:pos="157"/>
              </w:tabs>
              <w:spacing w:line="160" w:lineRule="exact"/>
              <w:ind w:right="387" w:hanging="99"/>
              <w:rPr>
                <w:sz w:val="14"/>
              </w:rPr>
            </w:pPr>
            <w:r>
              <w:rPr>
                <w:color w:val="231F20"/>
                <w:sz w:val="14"/>
              </w:rPr>
              <w:t>Елементарне конструкције лењиром</w:t>
            </w:r>
            <w:r>
              <w:rPr>
                <w:color w:val="231F20"/>
                <w:spacing w:val="-15"/>
                <w:sz w:val="14"/>
              </w:rPr>
              <w:t xml:space="preserve"> </w:t>
            </w:r>
            <w:r>
              <w:rPr>
                <w:color w:val="231F20"/>
                <w:sz w:val="14"/>
              </w:rPr>
              <w:t>и шестаром.</w:t>
            </w:r>
          </w:p>
          <w:p w:rsidR="00041039" w:rsidRDefault="001B26CB">
            <w:pPr>
              <w:pStyle w:val="TableParagraph"/>
              <w:numPr>
                <w:ilvl w:val="0"/>
                <w:numId w:val="1228"/>
              </w:numPr>
              <w:tabs>
                <w:tab w:val="left" w:pos="157"/>
              </w:tabs>
              <w:spacing w:line="153" w:lineRule="exact"/>
              <w:ind w:hanging="99"/>
              <w:rPr>
                <w:sz w:val="14"/>
              </w:rPr>
            </w:pPr>
            <w:r>
              <w:rPr>
                <w:color w:val="231F20"/>
                <w:sz w:val="14"/>
              </w:rPr>
              <w:t>Лакши примери конструкције</w:t>
            </w:r>
            <w:r>
              <w:rPr>
                <w:color w:val="231F20"/>
                <w:spacing w:val="-5"/>
                <w:sz w:val="14"/>
              </w:rPr>
              <w:t xml:space="preserve"> </w:t>
            </w:r>
            <w:r>
              <w:rPr>
                <w:color w:val="231F20"/>
                <w:spacing w:val="-3"/>
                <w:sz w:val="14"/>
              </w:rPr>
              <w:t>троугла.</w:t>
            </w:r>
          </w:p>
          <w:p w:rsidR="00041039" w:rsidRDefault="001B26CB">
            <w:pPr>
              <w:pStyle w:val="TableParagraph"/>
              <w:numPr>
                <w:ilvl w:val="0"/>
                <w:numId w:val="1228"/>
              </w:numPr>
              <w:tabs>
                <w:tab w:val="left" w:pos="157"/>
              </w:tabs>
              <w:spacing w:line="160" w:lineRule="exact"/>
              <w:ind w:hanging="99"/>
              <w:rPr>
                <w:sz w:val="14"/>
              </w:rPr>
            </w:pPr>
            <w:r>
              <w:rPr>
                <w:color w:val="231F20"/>
                <w:sz w:val="14"/>
              </w:rPr>
              <w:t>Изометријске</w:t>
            </w:r>
            <w:r>
              <w:rPr>
                <w:color w:val="231F20"/>
                <w:spacing w:val="-1"/>
                <w:sz w:val="14"/>
              </w:rPr>
              <w:t xml:space="preserve"> </w:t>
            </w:r>
            <w:r>
              <w:rPr>
                <w:color w:val="231F20"/>
                <w:sz w:val="14"/>
              </w:rPr>
              <w:t>трансформације.</w:t>
            </w:r>
          </w:p>
          <w:p w:rsidR="00041039" w:rsidRDefault="001B26CB">
            <w:pPr>
              <w:pStyle w:val="TableParagraph"/>
              <w:numPr>
                <w:ilvl w:val="0"/>
                <w:numId w:val="1228"/>
              </w:numPr>
              <w:tabs>
                <w:tab w:val="left" w:pos="157"/>
              </w:tabs>
              <w:spacing w:line="166" w:lineRule="exact"/>
              <w:ind w:hanging="99"/>
              <w:rPr>
                <w:sz w:val="14"/>
              </w:rPr>
            </w:pPr>
            <w:r>
              <w:rPr>
                <w:color w:val="231F20"/>
                <w:sz w:val="14"/>
              </w:rPr>
              <w:t>Вектори и операције са</w:t>
            </w:r>
            <w:r>
              <w:rPr>
                <w:color w:val="231F20"/>
                <w:spacing w:val="-2"/>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p w:rsidR="00041039" w:rsidRDefault="001B26CB">
      <w:pPr>
        <w:tabs>
          <w:tab w:val="left" w:pos="1460"/>
        </w:tabs>
        <w:spacing w:before="69" w:line="314" w:lineRule="auto"/>
        <w:ind w:left="157" w:right="8289"/>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175 часова </w:t>
      </w:r>
      <w:r>
        <w:rPr>
          <w:color w:val="231F20"/>
          <w:sz w:val="14"/>
        </w:rPr>
        <w:t>Разред:</w:t>
      </w:r>
      <w:r>
        <w:rPr>
          <w:color w:val="231F20"/>
          <w:sz w:val="14"/>
        </w:rPr>
        <w:tab/>
      </w:r>
      <w:r>
        <w:rPr>
          <w:b/>
          <w:color w:val="231F20"/>
          <w:sz w:val="14"/>
        </w:rPr>
        <w:t>други</w:t>
      </w:r>
    </w:p>
    <w:p w:rsidR="00041039" w:rsidRDefault="00041039">
      <w:pPr>
        <w:pStyle w:val="BodyText"/>
        <w:spacing w:before="2" w:after="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800"/>
        </w:trPr>
        <w:tc>
          <w:tcPr>
            <w:tcW w:w="1304" w:type="dxa"/>
          </w:tcPr>
          <w:p w:rsidR="00041039" w:rsidRDefault="001B26CB">
            <w:pPr>
              <w:pStyle w:val="TableParagraph"/>
              <w:spacing w:before="18"/>
              <w:ind w:left="56" w:right="37"/>
              <w:rPr>
                <w:sz w:val="14"/>
              </w:rPr>
            </w:pPr>
            <w:r>
              <w:rPr>
                <w:color w:val="231F20"/>
                <w:sz w:val="14"/>
              </w:rPr>
              <w:t>Степеновање и кореновање</w:t>
            </w:r>
          </w:p>
        </w:tc>
        <w:tc>
          <w:tcPr>
            <w:tcW w:w="1587" w:type="dxa"/>
          </w:tcPr>
          <w:p w:rsidR="00041039" w:rsidRDefault="001B26CB">
            <w:pPr>
              <w:pStyle w:val="TableParagraph"/>
              <w:numPr>
                <w:ilvl w:val="0"/>
                <w:numId w:val="1227"/>
              </w:numPr>
              <w:tabs>
                <w:tab w:val="left" w:pos="157"/>
              </w:tabs>
              <w:spacing w:before="8"/>
              <w:ind w:right="122"/>
              <w:jc w:val="both"/>
              <w:rPr>
                <w:sz w:val="14"/>
              </w:rPr>
            </w:pPr>
            <w:r>
              <w:rPr>
                <w:color w:val="231F20"/>
                <w:sz w:val="14"/>
              </w:rPr>
              <w:t>Стицање знања о сте­ пенима и коренима и операцијама са</w:t>
            </w:r>
            <w:r>
              <w:rPr>
                <w:color w:val="231F20"/>
                <w:spacing w:val="-3"/>
                <w:sz w:val="14"/>
              </w:rPr>
              <w:t xml:space="preserve"> </w:t>
            </w:r>
            <w:r>
              <w:rPr>
                <w:color w:val="231F20"/>
                <w:sz w:val="14"/>
              </w:rPr>
              <w:t>њима.</w:t>
            </w:r>
          </w:p>
        </w:tc>
        <w:tc>
          <w:tcPr>
            <w:tcW w:w="2551" w:type="dxa"/>
          </w:tcPr>
          <w:p w:rsidR="00041039" w:rsidRDefault="001B26CB">
            <w:pPr>
              <w:pStyle w:val="TableParagraph"/>
              <w:numPr>
                <w:ilvl w:val="0"/>
                <w:numId w:val="1226"/>
              </w:numPr>
              <w:tabs>
                <w:tab w:val="left" w:pos="157"/>
              </w:tabs>
              <w:spacing w:before="8"/>
              <w:ind w:right="433" w:hanging="99"/>
              <w:rPr>
                <w:sz w:val="14"/>
              </w:rPr>
            </w:pPr>
            <w:r>
              <w:rPr>
                <w:color w:val="231F20"/>
                <w:sz w:val="14"/>
              </w:rPr>
              <w:t>дефинише степен и операције са степенима;</w:t>
            </w:r>
          </w:p>
          <w:p w:rsidR="00041039" w:rsidRDefault="001B26CB">
            <w:pPr>
              <w:pStyle w:val="TableParagraph"/>
              <w:numPr>
                <w:ilvl w:val="0"/>
                <w:numId w:val="1226"/>
              </w:numPr>
              <w:tabs>
                <w:tab w:val="left" w:pos="157"/>
              </w:tabs>
              <w:spacing w:line="160" w:lineRule="exact"/>
              <w:ind w:right="44" w:hanging="99"/>
              <w:rPr>
                <w:sz w:val="14"/>
              </w:rPr>
            </w:pPr>
            <w:r>
              <w:rPr>
                <w:color w:val="231F20"/>
                <w:sz w:val="14"/>
              </w:rPr>
              <w:t>наведе особине операција степеновања са целим изложиоцем и примени их у трансформацијама</w:t>
            </w:r>
            <w:r>
              <w:rPr>
                <w:color w:val="231F20"/>
                <w:spacing w:val="-1"/>
                <w:sz w:val="14"/>
              </w:rPr>
              <w:t xml:space="preserve"> </w:t>
            </w:r>
            <w:r>
              <w:rPr>
                <w:color w:val="231F20"/>
                <w:sz w:val="14"/>
              </w:rPr>
              <w:t>израза;</w:t>
            </w:r>
          </w:p>
          <w:p w:rsidR="00041039" w:rsidRDefault="001B26CB">
            <w:pPr>
              <w:pStyle w:val="TableParagraph"/>
              <w:numPr>
                <w:ilvl w:val="0"/>
                <w:numId w:val="1226"/>
              </w:numPr>
              <w:tabs>
                <w:tab w:val="left" w:pos="157"/>
              </w:tabs>
              <w:spacing w:line="160" w:lineRule="exact"/>
              <w:ind w:right="281" w:hanging="99"/>
              <w:rPr>
                <w:sz w:val="14"/>
              </w:rPr>
            </w:pPr>
            <w:r>
              <w:rPr>
                <w:color w:val="231F20"/>
                <w:sz w:val="14"/>
              </w:rPr>
              <w:t>упрости и среди израз са целим из­ ложиоцем;</w:t>
            </w:r>
          </w:p>
          <w:p w:rsidR="00041039" w:rsidRDefault="001B26CB">
            <w:pPr>
              <w:pStyle w:val="TableParagraph"/>
              <w:numPr>
                <w:ilvl w:val="0"/>
                <w:numId w:val="1226"/>
              </w:numPr>
              <w:tabs>
                <w:tab w:val="left" w:pos="157"/>
              </w:tabs>
              <w:spacing w:line="160" w:lineRule="exact"/>
              <w:ind w:right="65" w:hanging="99"/>
              <w:rPr>
                <w:sz w:val="14"/>
              </w:rPr>
            </w:pPr>
            <w:r>
              <w:rPr>
                <w:color w:val="231F20"/>
                <w:sz w:val="14"/>
              </w:rPr>
              <w:t>упрости и среди израз са рационалним изложиоцем;</w:t>
            </w:r>
          </w:p>
          <w:p w:rsidR="00041039" w:rsidRDefault="001B26CB">
            <w:pPr>
              <w:pStyle w:val="TableParagraph"/>
              <w:numPr>
                <w:ilvl w:val="0"/>
                <w:numId w:val="1226"/>
              </w:numPr>
              <w:tabs>
                <w:tab w:val="left" w:pos="157"/>
              </w:tabs>
              <w:spacing w:line="159" w:lineRule="exact"/>
              <w:ind w:hanging="99"/>
              <w:rPr>
                <w:sz w:val="14"/>
              </w:rPr>
            </w:pPr>
            <w:r>
              <w:rPr>
                <w:color w:val="231F20"/>
                <w:sz w:val="14"/>
              </w:rPr>
              <w:t>рационалише</w:t>
            </w:r>
            <w:r>
              <w:rPr>
                <w:color w:val="231F20"/>
                <w:spacing w:val="-10"/>
                <w:sz w:val="14"/>
              </w:rPr>
              <w:t xml:space="preserve"> </w:t>
            </w:r>
            <w:r>
              <w:rPr>
                <w:color w:val="231F20"/>
                <w:sz w:val="14"/>
              </w:rPr>
              <w:t>разломке;</w:t>
            </w:r>
          </w:p>
        </w:tc>
        <w:tc>
          <w:tcPr>
            <w:tcW w:w="2834" w:type="dxa"/>
          </w:tcPr>
          <w:p w:rsidR="00041039" w:rsidRDefault="001B26CB">
            <w:pPr>
              <w:pStyle w:val="TableParagraph"/>
              <w:numPr>
                <w:ilvl w:val="0"/>
                <w:numId w:val="1225"/>
              </w:numPr>
              <w:tabs>
                <w:tab w:val="left" w:pos="157"/>
              </w:tabs>
              <w:spacing w:before="8" w:line="166" w:lineRule="exact"/>
              <w:ind w:hanging="99"/>
              <w:rPr>
                <w:sz w:val="14"/>
              </w:rPr>
            </w:pPr>
            <w:r>
              <w:rPr>
                <w:color w:val="231F20"/>
                <w:sz w:val="14"/>
              </w:rPr>
              <w:t>Појам</w:t>
            </w:r>
            <w:r>
              <w:rPr>
                <w:color w:val="231F20"/>
                <w:spacing w:val="-2"/>
                <w:sz w:val="14"/>
              </w:rPr>
              <w:t xml:space="preserve"> </w:t>
            </w:r>
            <w:r>
              <w:rPr>
                <w:color w:val="231F20"/>
                <w:sz w:val="14"/>
              </w:rPr>
              <w:t>степена.</w:t>
            </w:r>
          </w:p>
          <w:p w:rsidR="00041039" w:rsidRDefault="001B26CB">
            <w:pPr>
              <w:pStyle w:val="TableParagraph"/>
              <w:numPr>
                <w:ilvl w:val="0"/>
                <w:numId w:val="1225"/>
              </w:numPr>
              <w:tabs>
                <w:tab w:val="left" w:pos="157"/>
              </w:tabs>
              <w:spacing w:line="160" w:lineRule="exact"/>
              <w:ind w:hanging="99"/>
              <w:rPr>
                <w:sz w:val="14"/>
              </w:rPr>
            </w:pPr>
            <w:r>
              <w:rPr>
                <w:color w:val="231F20"/>
                <w:sz w:val="14"/>
              </w:rPr>
              <w:t>Операције са</w:t>
            </w:r>
            <w:r>
              <w:rPr>
                <w:color w:val="231F20"/>
                <w:spacing w:val="-2"/>
                <w:sz w:val="14"/>
              </w:rPr>
              <w:t xml:space="preserve"> </w:t>
            </w:r>
            <w:r>
              <w:rPr>
                <w:color w:val="231F20"/>
                <w:sz w:val="14"/>
              </w:rPr>
              <w:t>степенима.</w:t>
            </w:r>
          </w:p>
          <w:p w:rsidR="00041039" w:rsidRDefault="001B26CB">
            <w:pPr>
              <w:pStyle w:val="TableParagraph"/>
              <w:numPr>
                <w:ilvl w:val="0"/>
                <w:numId w:val="1225"/>
              </w:numPr>
              <w:tabs>
                <w:tab w:val="left" w:pos="157"/>
              </w:tabs>
              <w:spacing w:line="160" w:lineRule="exact"/>
              <w:ind w:hanging="99"/>
              <w:rPr>
                <w:sz w:val="14"/>
              </w:rPr>
            </w:pPr>
            <w:r>
              <w:rPr>
                <w:color w:val="231F20"/>
                <w:sz w:val="14"/>
              </w:rPr>
              <w:t>Степен са целим</w:t>
            </w:r>
            <w:r>
              <w:rPr>
                <w:color w:val="231F20"/>
                <w:spacing w:val="-3"/>
                <w:sz w:val="14"/>
              </w:rPr>
              <w:t xml:space="preserve"> </w:t>
            </w:r>
            <w:r>
              <w:rPr>
                <w:color w:val="231F20"/>
                <w:sz w:val="14"/>
              </w:rPr>
              <w:t>изложиоцем.</w:t>
            </w:r>
          </w:p>
          <w:p w:rsidR="00041039" w:rsidRDefault="001B26CB">
            <w:pPr>
              <w:pStyle w:val="TableParagraph"/>
              <w:numPr>
                <w:ilvl w:val="0"/>
                <w:numId w:val="1225"/>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корена.</w:t>
            </w:r>
          </w:p>
          <w:p w:rsidR="00041039" w:rsidRDefault="001B26CB">
            <w:pPr>
              <w:pStyle w:val="TableParagraph"/>
              <w:numPr>
                <w:ilvl w:val="0"/>
                <w:numId w:val="1225"/>
              </w:numPr>
              <w:tabs>
                <w:tab w:val="left" w:pos="157"/>
              </w:tabs>
              <w:spacing w:line="160" w:lineRule="exact"/>
              <w:ind w:hanging="99"/>
              <w:rPr>
                <w:sz w:val="14"/>
              </w:rPr>
            </w:pPr>
            <w:r>
              <w:rPr>
                <w:color w:val="231F20"/>
                <w:sz w:val="14"/>
              </w:rPr>
              <w:t>Операције са</w:t>
            </w:r>
            <w:r>
              <w:rPr>
                <w:color w:val="231F20"/>
                <w:spacing w:val="-2"/>
                <w:sz w:val="14"/>
              </w:rPr>
              <w:t xml:space="preserve"> </w:t>
            </w:r>
            <w:r>
              <w:rPr>
                <w:color w:val="231F20"/>
                <w:sz w:val="14"/>
              </w:rPr>
              <w:t>коренима.</w:t>
            </w:r>
          </w:p>
          <w:p w:rsidR="00041039" w:rsidRDefault="001B26CB">
            <w:pPr>
              <w:pStyle w:val="TableParagraph"/>
              <w:numPr>
                <w:ilvl w:val="0"/>
                <w:numId w:val="1225"/>
              </w:numPr>
              <w:tabs>
                <w:tab w:val="left" w:pos="157"/>
              </w:tabs>
              <w:spacing w:line="160" w:lineRule="exact"/>
              <w:ind w:hanging="99"/>
              <w:rPr>
                <w:sz w:val="14"/>
              </w:rPr>
            </w:pPr>
            <w:r>
              <w:rPr>
                <w:color w:val="231F20"/>
                <w:sz w:val="14"/>
              </w:rPr>
              <w:t>Степен са рационалним</w:t>
            </w:r>
            <w:r>
              <w:rPr>
                <w:color w:val="231F20"/>
                <w:spacing w:val="-4"/>
                <w:sz w:val="14"/>
              </w:rPr>
              <w:t xml:space="preserve"> </w:t>
            </w:r>
            <w:r>
              <w:rPr>
                <w:color w:val="231F20"/>
                <w:sz w:val="14"/>
              </w:rPr>
              <w:t>изложиоцем.</w:t>
            </w:r>
          </w:p>
          <w:p w:rsidR="00041039" w:rsidRDefault="001B26CB">
            <w:pPr>
              <w:pStyle w:val="TableParagraph"/>
              <w:numPr>
                <w:ilvl w:val="0"/>
                <w:numId w:val="1225"/>
              </w:numPr>
              <w:tabs>
                <w:tab w:val="left" w:pos="157"/>
              </w:tabs>
              <w:spacing w:line="160" w:lineRule="exact"/>
              <w:ind w:hanging="99"/>
              <w:rPr>
                <w:sz w:val="14"/>
              </w:rPr>
            </w:pPr>
            <w:r>
              <w:rPr>
                <w:color w:val="231F20"/>
                <w:sz w:val="14"/>
              </w:rPr>
              <w:t>Рационалисање имениоца</w:t>
            </w:r>
            <w:r>
              <w:rPr>
                <w:color w:val="231F20"/>
                <w:spacing w:val="-4"/>
                <w:sz w:val="14"/>
              </w:rPr>
              <w:t xml:space="preserve"> </w:t>
            </w:r>
            <w:r>
              <w:rPr>
                <w:color w:val="231F20"/>
                <w:sz w:val="14"/>
              </w:rPr>
              <w:t>разломка.</w:t>
            </w:r>
          </w:p>
          <w:p w:rsidR="00041039" w:rsidRDefault="001B26CB">
            <w:pPr>
              <w:pStyle w:val="TableParagraph"/>
              <w:numPr>
                <w:ilvl w:val="0"/>
                <w:numId w:val="1225"/>
              </w:numPr>
              <w:tabs>
                <w:tab w:val="left" w:pos="157"/>
              </w:tabs>
              <w:spacing w:line="237" w:lineRule="auto"/>
              <w:ind w:right="553" w:hanging="99"/>
              <w:rPr>
                <w:sz w:val="14"/>
              </w:rPr>
            </w:pPr>
            <w:r>
              <w:rPr>
                <w:color w:val="231F20"/>
                <w:sz w:val="14"/>
              </w:rPr>
              <w:t>График и особине степене и</w:t>
            </w:r>
            <w:r>
              <w:rPr>
                <w:color w:val="231F20"/>
                <w:spacing w:val="-16"/>
                <w:sz w:val="14"/>
              </w:rPr>
              <w:t xml:space="preserve"> </w:t>
            </w:r>
            <w:r>
              <w:rPr>
                <w:color w:val="231F20"/>
                <w:sz w:val="14"/>
              </w:rPr>
              <w:t>корене функције.</w:t>
            </w:r>
          </w:p>
          <w:p w:rsidR="00041039" w:rsidRDefault="001B26CB">
            <w:pPr>
              <w:pStyle w:val="TableParagraph"/>
              <w:numPr>
                <w:ilvl w:val="0"/>
                <w:numId w:val="1225"/>
              </w:numPr>
              <w:tabs>
                <w:tab w:val="left" w:pos="157"/>
              </w:tabs>
              <w:spacing w:line="155" w:lineRule="exact"/>
              <w:ind w:hanging="99"/>
              <w:rPr>
                <w:sz w:val="14"/>
              </w:rPr>
            </w:pPr>
            <w:r>
              <w:rPr>
                <w:color w:val="231F20"/>
                <w:sz w:val="14"/>
              </w:rPr>
              <w:t>Изрази са рационалним</w:t>
            </w:r>
            <w:r>
              <w:rPr>
                <w:color w:val="231F20"/>
                <w:spacing w:val="-5"/>
                <w:sz w:val="14"/>
              </w:rPr>
              <w:t xml:space="preserve"> </w:t>
            </w:r>
            <w:r>
              <w:rPr>
                <w:color w:val="231F20"/>
                <w:sz w:val="14"/>
              </w:rPr>
              <w:t>изложиоцем.</w:t>
            </w:r>
          </w:p>
          <w:p w:rsidR="00041039" w:rsidRDefault="001B26CB">
            <w:pPr>
              <w:pStyle w:val="TableParagraph"/>
              <w:numPr>
                <w:ilvl w:val="0"/>
                <w:numId w:val="1225"/>
              </w:numPr>
              <w:tabs>
                <w:tab w:val="left" w:pos="157"/>
              </w:tabs>
              <w:spacing w:line="166" w:lineRule="exact"/>
              <w:ind w:hanging="99"/>
              <w:rPr>
                <w:sz w:val="14"/>
              </w:rPr>
            </w:pPr>
            <w:r>
              <w:rPr>
                <w:color w:val="231F20"/>
                <w:sz w:val="14"/>
              </w:rPr>
              <w:t>Комплексни бројеви и основне</w:t>
            </w:r>
            <w:r>
              <w:rPr>
                <w:color w:val="231F20"/>
                <w:spacing w:val="-6"/>
                <w:sz w:val="14"/>
              </w:rPr>
              <w:t xml:space="preserve"> </w:t>
            </w:r>
            <w:r>
              <w:rPr>
                <w:color w:val="231F20"/>
                <w:sz w:val="14"/>
              </w:rPr>
              <w:t>операције.</w:t>
            </w:r>
          </w:p>
        </w:tc>
        <w:tc>
          <w:tcPr>
            <w:tcW w:w="2267" w:type="dxa"/>
            <w:vMerge w:val="restart"/>
          </w:tcPr>
          <w:p w:rsidR="00041039" w:rsidRDefault="001B26CB">
            <w:pPr>
              <w:pStyle w:val="TableParagraph"/>
              <w:numPr>
                <w:ilvl w:val="0"/>
                <w:numId w:val="1224"/>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224"/>
              </w:numPr>
              <w:tabs>
                <w:tab w:val="left" w:pos="158"/>
              </w:tabs>
              <w:spacing w:line="160" w:lineRule="exact"/>
              <w:ind w:hanging="99"/>
              <w:rPr>
                <w:b/>
                <w:sz w:val="14"/>
              </w:rPr>
            </w:pPr>
            <w:r>
              <w:rPr>
                <w:color w:val="231F20"/>
                <w:sz w:val="14"/>
              </w:rPr>
              <w:t xml:space="preserve">теоријска настава </w:t>
            </w:r>
            <w:r>
              <w:rPr>
                <w:b/>
                <w:color w:val="231F20"/>
                <w:sz w:val="14"/>
              </w:rPr>
              <w:t>(175</w:t>
            </w:r>
            <w:r>
              <w:rPr>
                <w:b/>
                <w:color w:val="231F20"/>
                <w:spacing w:val="-5"/>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224"/>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numPr>
                <w:ilvl w:val="0"/>
                <w:numId w:val="1224"/>
              </w:numPr>
              <w:tabs>
                <w:tab w:val="left" w:pos="158"/>
              </w:tabs>
              <w:spacing w:before="1"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1224"/>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224"/>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1224"/>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224"/>
              </w:numPr>
              <w:tabs>
                <w:tab w:val="left" w:pos="158"/>
              </w:tabs>
              <w:spacing w:line="160" w:lineRule="exact"/>
              <w:ind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w:t>
            </w:r>
            <w:r>
              <w:rPr>
                <w:color w:val="231F20"/>
                <w:sz w:val="14"/>
              </w:rPr>
              <w:t>ија;</w:t>
            </w:r>
          </w:p>
          <w:p w:rsidR="00041039" w:rsidRDefault="001B26CB">
            <w:pPr>
              <w:pStyle w:val="TableParagraph"/>
              <w:numPr>
                <w:ilvl w:val="0"/>
                <w:numId w:val="1223"/>
              </w:numPr>
              <w:tabs>
                <w:tab w:val="left" w:pos="143"/>
              </w:tabs>
              <w:spacing w:line="237" w:lineRule="auto"/>
              <w:ind w:right="71"/>
              <w:rPr>
                <w:sz w:val="14"/>
              </w:rPr>
            </w:pPr>
            <w:r>
              <w:rPr>
                <w:b/>
                <w:color w:val="231F20"/>
                <w:sz w:val="14"/>
              </w:rPr>
              <w:t xml:space="preserve">Степеновање и кореновање: </w:t>
            </w:r>
            <w:r>
              <w:rPr>
                <w:color w:val="231F20"/>
                <w:sz w:val="14"/>
              </w:rPr>
              <w:t>пажљиво увежбати најважнија правила степеновања и коре­ новања, упрошћавање корена и рационалисање; почети са систе­ матизацијом основних својстава функције на примерима степене функције; увежбати основне опе­ рације са компл</w:t>
            </w:r>
            <w:r>
              <w:rPr>
                <w:color w:val="231F20"/>
                <w:sz w:val="14"/>
              </w:rPr>
              <w:t>ексним</w:t>
            </w:r>
            <w:r>
              <w:rPr>
                <w:color w:val="231F20"/>
                <w:spacing w:val="-15"/>
                <w:sz w:val="14"/>
              </w:rPr>
              <w:t xml:space="preserve"> </w:t>
            </w:r>
            <w:r>
              <w:rPr>
                <w:color w:val="231F20"/>
                <w:sz w:val="14"/>
              </w:rPr>
              <w:t>бројевима.</w:t>
            </w:r>
          </w:p>
          <w:p w:rsidR="00041039" w:rsidRDefault="001B26CB">
            <w:pPr>
              <w:pStyle w:val="TableParagraph"/>
              <w:numPr>
                <w:ilvl w:val="0"/>
                <w:numId w:val="1223"/>
              </w:numPr>
              <w:tabs>
                <w:tab w:val="left" w:pos="143"/>
              </w:tabs>
              <w:spacing w:before="4"/>
              <w:ind w:right="167"/>
              <w:rPr>
                <w:sz w:val="14"/>
              </w:rPr>
            </w:pPr>
            <w:r>
              <w:rPr>
                <w:b/>
                <w:color w:val="231F20"/>
                <w:sz w:val="14"/>
              </w:rPr>
              <w:t xml:space="preserve">Квадратна једначина и ква- дратна функција: </w:t>
            </w:r>
            <w:r>
              <w:rPr>
                <w:color w:val="231F20"/>
                <w:sz w:val="14"/>
              </w:rPr>
              <w:t>проћи кроз разне обликеједначина које се сводена квадратну, укључујући и ирационалне, увежбати рас­ тављање квадратног тринома и Вијетове везе, користити</w:t>
            </w:r>
            <w:r>
              <w:rPr>
                <w:color w:val="231F20"/>
                <w:spacing w:val="-18"/>
                <w:sz w:val="14"/>
              </w:rPr>
              <w:t xml:space="preserve"> </w:t>
            </w:r>
            <w:r>
              <w:rPr>
                <w:color w:val="231F20"/>
                <w:sz w:val="14"/>
              </w:rPr>
              <w:t>график квадратне функције у решавању неједначина.</w:t>
            </w:r>
          </w:p>
          <w:p w:rsidR="00041039" w:rsidRDefault="001B26CB">
            <w:pPr>
              <w:pStyle w:val="TableParagraph"/>
              <w:numPr>
                <w:ilvl w:val="0"/>
                <w:numId w:val="1223"/>
              </w:numPr>
              <w:tabs>
                <w:tab w:val="left" w:pos="143"/>
              </w:tabs>
              <w:spacing w:line="237" w:lineRule="auto"/>
              <w:ind w:right="46"/>
              <w:rPr>
                <w:sz w:val="14"/>
              </w:rPr>
            </w:pPr>
            <w:r>
              <w:rPr>
                <w:b/>
                <w:color w:val="231F20"/>
                <w:sz w:val="14"/>
              </w:rPr>
              <w:t>Тригонометријске функције:</w:t>
            </w:r>
            <w:r>
              <w:rPr>
                <w:b/>
                <w:color w:val="231F20"/>
                <w:spacing w:val="-26"/>
                <w:sz w:val="14"/>
              </w:rPr>
              <w:t xml:space="preserve"> </w:t>
            </w:r>
            <w:r>
              <w:rPr>
                <w:color w:val="231F20"/>
                <w:sz w:val="14"/>
              </w:rPr>
              <w:t>ин­ систирати на тригонометријском кругу и употреби симетрије при свођењу на први квадрант; увеж­ бавати теореме и идентитете кроз што бројније примене; посветити пажњу решавању т</w:t>
            </w:r>
            <w:r>
              <w:rPr>
                <w:color w:val="231F20"/>
                <w:sz w:val="14"/>
              </w:rPr>
              <w:t xml:space="preserve">ригономет­ ријских једначина и једноставних неједначина и користити ова знања при одређивању графика тригонометријских функција; ис­ тицати особине функција кад </w:t>
            </w:r>
            <w:r>
              <w:rPr>
                <w:color w:val="231F20"/>
                <w:spacing w:val="-3"/>
                <w:sz w:val="14"/>
              </w:rPr>
              <w:t xml:space="preserve">год </w:t>
            </w:r>
            <w:r>
              <w:rPr>
                <w:color w:val="231F20"/>
                <w:sz w:val="14"/>
              </w:rPr>
              <w:t>је могуће. Проширити употребу синусне и косинусне теореме на што већи део</w:t>
            </w:r>
            <w:r>
              <w:rPr>
                <w:color w:val="231F20"/>
                <w:spacing w:val="-3"/>
                <w:sz w:val="14"/>
              </w:rPr>
              <w:t xml:space="preserve"> </w:t>
            </w:r>
            <w:r>
              <w:rPr>
                <w:color w:val="231F20"/>
                <w:sz w:val="14"/>
              </w:rPr>
              <w:t>планиметрије.</w:t>
            </w:r>
          </w:p>
          <w:p w:rsidR="00041039" w:rsidRDefault="001B26CB">
            <w:pPr>
              <w:pStyle w:val="TableParagraph"/>
              <w:numPr>
                <w:ilvl w:val="0"/>
                <w:numId w:val="1223"/>
              </w:numPr>
              <w:tabs>
                <w:tab w:val="left" w:pos="143"/>
              </w:tabs>
              <w:ind w:right="95"/>
              <w:jc w:val="both"/>
              <w:rPr>
                <w:sz w:val="14"/>
              </w:rPr>
            </w:pPr>
            <w:r>
              <w:rPr>
                <w:b/>
                <w:color w:val="231F20"/>
                <w:sz w:val="14"/>
              </w:rPr>
              <w:t>Екс</w:t>
            </w:r>
            <w:r>
              <w:rPr>
                <w:b/>
                <w:color w:val="231F20"/>
                <w:sz w:val="14"/>
              </w:rPr>
              <w:t xml:space="preserve">поненцијална и логаритам- ска функција: </w:t>
            </w:r>
            <w:r>
              <w:rPr>
                <w:color w:val="231F20"/>
                <w:sz w:val="14"/>
              </w:rPr>
              <w:t>поновити</w:t>
            </w:r>
            <w:r>
              <w:rPr>
                <w:color w:val="231F20"/>
                <w:spacing w:val="-18"/>
                <w:sz w:val="14"/>
              </w:rPr>
              <w:t xml:space="preserve"> </w:t>
            </w:r>
            <w:r>
              <w:rPr>
                <w:color w:val="231F20"/>
                <w:sz w:val="14"/>
              </w:rPr>
              <w:t>својства функција и на овим</w:t>
            </w:r>
            <w:r>
              <w:rPr>
                <w:color w:val="231F20"/>
                <w:spacing w:val="-7"/>
                <w:sz w:val="14"/>
              </w:rPr>
              <w:t xml:space="preserve"> </w:t>
            </w:r>
            <w:r>
              <w:rPr>
                <w:color w:val="231F20"/>
                <w:sz w:val="14"/>
              </w:rPr>
              <w:t>примери­</w:t>
            </w:r>
          </w:p>
          <w:p w:rsidR="00041039" w:rsidRDefault="001B26CB">
            <w:pPr>
              <w:pStyle w:val="TableParagraph"/>
              <w:spacing w:line="237" w:lineRule="auto"/>
              <w:ind w:left="142" w:right="385"/>
              <w:jc w:val="both"/>
              <w:rPr>
                <w:sz w:val="14"/>
              </w:rPr>
            </w:pPr>
            <w:r>
              <w:rPr>
                <w:color w:val="231F20"/>
                <w:sz w:val="14"/>
              </w:rPr>
              <w:t>ма, увежбати</w:t>
            </w:r>
            <w:r>
              <w:rPr>
                <w:color w:val="231F20"/>
                <w:spacing w:val="-17"/>
                <w:sz w:val="14"/>
              </w:rPr>
              <w:t xml:space="preserve"> </w:t>
            </w:r>
            <w:r>
              <w:rPr>
                <w:color w:val="231F20"/>
                <w:sz w:val="14"/>
              </w:rPr>
              <w:t>логаритмовање и повећати фонд једначина</w:t>
            </w:r>
            <w:r>
              <w:rPr>
                <w:color w:val="231F20"/>
                <w:spacing w:val="-16"/>
                <w:sz w:val="14"/>
              </w:rPr>
              <w:t xml:space="preserve"> </w:t>
            </w:r>
            <w:r>
              <w:rPr>
                <w:color w:val="231F20"/>
                <w:sz w:val="14"/>
              </w:rPr>
              <w:t>и неједначина.</w:t>
            </w:r>
          </w:p>
        </w:tc>
      </w:tr>
      <w:tr w:rsidR="00041039">
        <w:trPr>
          <w:trHeight w:val="6120"/>
        </w:trPr>
        <w:tc>
          <w:tcPr>
            <w:tcW w:w="1304" w:type="dxa"/>
          </w:tcPr>
          <w:p w:rsidR="00041039" w:rsidRDefault="001B26CB">
            <w:pPr>
              <w:pStyle w:val="TableParagraph"/>
              <w:spacing w:before="20"/>
              <w:ind w:left="56" w:right="215"/>
              <w:jc w:val="both"/>
              <w:rPr>
                <w:sz w:val="14"/>
              </w:rPr>
            </w:pPr>
            <w:r>
              <w:rPr>
                <w:color w:val="231F20"/>
                <w:sz w:val="14"/>
              </w:rPr>
              <w:t>Квадратна једна­ чина и</w:t>
            </w:r>
            <w:r>
              <w:rPr>
                <w:color w:val="231F20"/>
                <w:spacing w:val="-10"/>
                <w:sz w:val="14"/>
              </w:rPr>
              <w:t xml:space="preserve"> </w:t>
            </w:r>
            <w:r>
              <w:rPr>
                <w:color w:val="231F20"/>
                <w:sz w:val="14"/>
              </w:rPr>
              <w:t>квадратна функција</w:t>
            </w:r>
          </w:p>
        </w:tc>
        <w:tc>
          <w:tcPr>
            <w:tcW w:w="1587" w:type="dxa"/>
          </w:tcPr>
          <w:p w:rsidR="00041039" w:rsidRDefault="001B26CB">
            <w:pPr>
              <w:pStyle w:val="TableParagraph"/>
              <w:numPr>
                <w:ilvl w:val="0"/>
                <w:numId w:val="1222"/>
              </w:numPr>
              <w:tabs>
                <w:tab w:val="left" w:pos="157"/>
              </w:tabs>
              <w:spacing w:before="10"/>
              <w:ind w:right="94"/>
              <w:rPr>
                <w:sz w:val="14"/>
              </w:rPr>
            </w:pPr>
            <w:r>
              <w:rPr>
                <w:color w:val="231F20"/>
                <w:sz w:val="14"/>
              </w:rPr>
              <w:t>Стицање знања о комплексним</w:t>
            </w:r>
            <w:r>
              <w:rPr>
                <w:color w:val="231F20"/>
                <w:spacing w:val="-14"/>
                <w:sz w:val="14"/>
              </w:rPr>
              <w:t xml:space="preserve"> </w:t>
            </w:r>
            <w:r>
              <w:rPr>
                <w:color w:val="231F20"/>
                <w:sz w:val="14"/>
              </w:rPr>
              <w:t>бројеви­ ма и операцијама са њима и о решавању квадратних једначина и</w:t>
            </w:r>
            <w:r>
              <w:rPr>
                <w:color w:val="231F20"/>
                <w:spacing w:val="-2"/>
                <w:sz w:val="14"/>
              </w:rPr>
              <w:t xml:space="preserve"> </w:t>
            </w:r>
            <w:r>
              <w:rPr>
                <w:color w:val="231F20"/>
                <w:sz w:val="14"/>
              </w:rPr>
              <w:t>неједначина.</w:t>
            </w:r>
          </w:p>
        </w:tc>
        <w:tc>
          <w:tcPr>
            <w:tcW w:w="2551" w:type="dxa"/>
          </w:tcPr>
          <w:p w:rsidR="00041039" w:rsidRDefault="001B26CB">
            <w:pPr>
              <w:pStyle w:val="TableParagraph"/>
              <w:numPr>
                <w:ilvl w:val="0"/>
                <w:numId w:val="1221"/>
              </w:numPr>
              <w:tabs>
                <w:tab w:val="left" w:pos="157"/>
              </w:tabs>
              <w:spacing w:before="10"/>
              <w:ind w:right="315" w:hanging="99"/>
              <w:rPr>
                <w:sz w:val="14"/>
              </w:rPr>
            </w:pPr>
            <w:r>
              <w:rPr>
                <w:color w:val="231F20"/>
                <w:sz w:val="14"/>
              </w:rPr>
              <w:t>дефинише комплексан број у ал­ гебарском</w:t>
            </w:r>
            <w:r>
              <w:rPr>
                <w:color w:val="231F20"/>
                <w:spacing w:val="-7"/>
                <w:sz w:val="14"/>
              </w:rPr>
              <w:t xml:space="preserve"> </w:t>
            </w:r>
            <w:r>
              <w:rPr>
                <w:color w:val="231F20"/>
                <w:sz w:val="14"/>
              </w:rPr>
              <w:t>облику</w:t>
            </w:r>
            <w:r>
              <w:rPr>
                <w:color w:val="231F20"/>
                <w:spacing w:val="-7"/>
                <w:sz w:val="14"/>
              </w:rPr>
              <w:t xml:space="preserve"> </w:t>
            </w:r>
            <w:r>
              <w:rPr>
                <w:color w:val="231F20"/>
                <w:sz w:val="14"/>
              </w:rPr>
              <w:t>и</w:t>
            </w:r>
            <w:r>
              <w:rPr>
                <w:color w:val="231F20"/>
                <w:spacing w:val="-8"/>
                <w:sz w:val="14"/>
              </w:rPr>
              <w:t xml:space="preserve"> </w:t>
            </w:r>
            <w:r>
              <w:rPr>
                <w:color w:val="231F20"/>
                <w:sz w:val="14"/>
              </w:rPr>
              <w:t>одреди</w:t>
            </w:r>
            <w:r>
              <w:rPr>
                <w:color w:val="231F20"/>
                <w:spacing w:val="-7"/>
                <w:sz w:val="14"/>
              </w:rPr>
              <w:t xml:space="preserve"> </w:t>
            </w:r>
            <w:r>
              <w:rPr>
                <w:color w:val="231F20"/>
                <w:sz w:val="14"/>
              </w:rPr>
              <w:t>реални и имагинарни део комплексног броја представи комплексан број</w:t>
            </w:r>
            <w:r>
              <w:rPr>
                <w:color w:val="231F20"/>
                <w:spacing w:val="-16"/>
                <w:sz w:val="14"/>
              </w:rPr>
              <w:t xml:space="preserve"> </w:t>
            </w:r>
            <w:r>
              <w:rPr>
                <w:color w:val="231F20"/>
                <w:sz w:val="14"/>
              </w:rPr>
              <w:t>у комплексној</w:t>
            </w:r>
            <w:r>
              <w:rPr>
                <w:color w:val="231F20"/>
                <w:spacing w:val="-1"/>
                <w:sz w:val="14"/>
              </w:rPr>
              <w:t xml:space="preserve"> </w:t>
            </w:r>
            <w:r>
              <w:rPr>
                <w:color w:val="231F20"/>
                <w:sz w:val="14"/>
              </w:rPr>
              <w:t>равни;</w:t>
            </w:r>
          </w:p>
          <w:p w:rsidR="00041039" w:rsidRDefault="001B26CB">
            <w:pPr>
              <w:pStyle w:val="TableParagraph"/>
              <w:numPr>
                <w:ilvl w:val="0"/>
                <w:numId w:val="1221"/>
              </w:numPr>
              <w:tabs>
                <w:tab w:val="left" w:pos="157"/>
              </w:tabs>
              <w:spacing w:line="155" w:lineRule="exact"/>
              <w:ind w:hanging="99"/>
              <w:rPr>
                <w:sz w:val="14"/>
              </w:rPr>
            </w:pPr>
            <w:r>
              <w:rPr>
                <w:color w:val="231F20"/>
                <w:sz w:val="14"/>
              </w:rPr>
              <w:t>обавља основне рачунске</w:t>
            </w:r>
            <w:r>
              <w:rPr>
                <w:color w:val="231F20"/>
                <w:spacing w:val="-3"/>
                <w:sz w:val="14"/>
              </w:rPr>
              <w:t xml:space="preserve"> </w:t>
            </w:r>
            <w:r>
              <w:rPr>
                <w:color w:val="231F20"/>
                <w:sz w:val="14"/>
              </w:rPr>
              <w:t>операције</w:t>
            </w:r>
          </w:p>
          <w:p w:rsidR="00041039" w:rsidRDefault="001B26CB">
            <w:pPr>
              <w:pStyle w:val="TableParagraph"/>
              <w:rPr>
                <w:sz w:val="14"/>
              </w:rPr>
            </w:pPr>
            <w:r>
              <w:rPr>
                <w:color w:val="231F20"/>
                <w:sz w:val="14"/>
              </w:rPr>
              <w:t>са комплексним бројем у алгебарском облику;</w:t>
            </w:r>
          </w:p>
          <w:p w:rsidR="00041039" w:rsidRDefault="001B26CB">
            <w:pPr>
              <w:pStyle w:val="TableParagraph"/>
              <w:numPr>
                <w:ilvl w:val="0"/>
                <w:numId w:val="1221"/>
              </w:numPr>
              <w:tabs>
                <w:tab w:val="left" w:pos="157"/>
              </w:tabs>
              <w:spacing w:line="154" w:lineRule="exact"/>
              <w:ind w:hanging="99"/>
              <w:rPr>
                <w:sz w:val="14"/>
              </w:rPr>
            </w:pPr>
            <w:r>
              <w:rPr>
                <w:color w:val="231F20"/>
                <w:sz w:val="14"/>
              </w:rPr>
              <w:t xml:space="preserve">одреди </w:t>
            </w:r>
            <w:r>
              <w:rPr>
                <w:color w:val="231F20"/>
                <w:spacing w:val="-3"/>
                <w:sz w:val="14"/>
              </w:rPr>
              <w:t xml:space="preserve">модул </w:t>
            </w:r>
            <w:r>
              <w:rPr>
                <w:color w:val="231F20"/>
                <w:sz w:val="14"/>
              </w:rPr>
              <w:t>комплексног</w:t>
            </w:r>
            <w:r>
              <w:rPr>
                <w:color w:val="231F20"/>
                <w:spacing w:val="-2"/>
                <w:sz w:val="14"/>
              </w:rPr>
              <w:t xml:space="preserve"> </w:t>
            </w:r>
            <w:r>
              <w:rPr>
                <w:color w:val="231F20"/>
                <w:sz w:val="14"/>
              </w:rPr>
              <w:t>броја;</w:t>
            </w:r>
          </w:p>
          <w:p w:rsidR="00041039" w:rsidRDefault="001B26CB">
            <w:pPr>
              <w:pStyle w:val="TableParagraph"/>
              <w:numPr>
                <w:ilvl w:val="0"/>
                <w:numId w:val="1221"/>
              </w:numPr>
              <w:tabs>
                <w:tab w:val="left" w:pos="157"/>
              </w:tabs>
              <w:spacing w:line="237" w:lineRule="auto"/>
              <w:ind w:right="513" w:hanging="99"/>
              <w:rPr>
                <w:sz w:val="14"/>
              </w:rPr>
            </w:pPr>
            <w:r>
              <w:rPr>
                <w:color w:val="231F20"/>
                <w:sz w:val="14"/>
              </w:rPr>
              <w:t>одреди</w:t>
            </w:r>
            <w:r>
              <w:rPr>
                <w:color w:val="231F20"/>
                <w:spacing w:val="-17"/>
                <w:sz w:val="14"/>
              </w:rPr>
              <w:t xml:space="preserve"> </w:t>
            </w:r>
            <w:r>
              <w:rPr>
                <w:color w:val="231F20"/>
                <w:sz w:val="14"/>
              </w:rPr>
              <w:t>коњуговано</w:t>
            </w:r>
            <w:r>
              <w:rPr>
                <w:color w:val="231F20"/>
                <w:spacing w:val="-17"/>
                <w:sz w:val="14"/>
              </w:rPr>
              <w:t xml:space="preserve"> </w:t>
            </w:r>
            <w:r>
              <w:rPr>
                <w:color w:val="231F20"/>
                <w:sz w:val="14"/>
              </w:rPr>
              <w:t>комплексне бројеве;</w:t>
            </w:r>
          </w:p>
          <w:p w:rsidR="00041039" w:rsidRDefault="001B26CB">
            <w:pPr>
              <w:pStyle w:val="TableParagraph"/>
              <w:numPr>
                <w:ilvl w:val="0"/>
                <w:numId w:val="1221"/>
              </w:numPr>
              <w:tabs>
                <w:tab w:val="left" w:pos="157"/>
              </w:tabs>
              <w:spacing w:line="160" w:lineRule="exact"/>
              <w:ind w:right="429" w:hanging="99"/>
              <w:rPr>
                <w:sz w:val="14"/>
              </w:rPr>
            </w:pPr>
            <w:r>
              <w:rPr>
                <w:color w:val="231F20"/>
                <w:sz w:val="14"/>
              </w:rPr>
              <w:t>решава једноставне једначине</w:t>
            </w:r>
            <w:r>
              <w:rPr>
                <w:color w:val="231F20"/>
                <w:spacing w:val="-7"/>
                <w:sz w:val="14"/>
              </w:rPr>
              <w:t xml:space="preserve"> </w:t>
            </w:r>
            <w:r>
              <w:rPr>
                <w:color w:val="231F20"/>
                <w:sz w:val="14"/>
              </w:rPr>
              <w:t>са комплексним</w:t>
            </w:r>
            <w:r>
              <w:rPr>
                <w:color w:val="231F20"/>
                <w:spacing w:val="-2"/>
                <w:sz w:val="14"/>
              </w:rPr>
              <w:t xml:space="preserve"> </w:t>
            </w:r>
            <w:r>
              <w:rPr>
                <w:color w:val="231F20"/>
                <w:sz w:val="14"/>
              </w:rPr>
              <w:t>бројевима;</w:t>
            </w:r>
          </w:p>
          <w:p w:rsidR="00041039" w:rsidRDefault="001B26CB">
            <w:pPr>
              <w:pStyle w:val="TableParagraph"/>
              <w:numPr>
                <w:ilvl w:val="0"/>
                <w:numId w:val="1221"/>
              </w:numPr>
              <w:tabs>
                <w:tab w:val="left" w:pos="157"/>
              </w:tabs>
              <w:spacing w:line="160" w:lineRule="exact"/>
              <w:ind w:right="308" w:hanging="99"/>
              <w:rPr>
                <w:sz w:val="14"/>
              </w:rPr>
            </w:pPr>
            <w:r>
              <w:rPr>
                <w:color w:val="231F20"/>
                <w:sz w:val="14"/>
              </w:rPr>
              <w:t>објасни шта је дискриминанта и одреди природу решења</w:t>
            </w:r>
            <w:r>
              <w:rPr>
                <w:color w:val="231F20"/>
                <w:spacing w:val="-23"/>
                <w:sz w:val="14"/>
              </w:rPr>
              <w:t xml:space="preserve"> </w:t>
            </w:r>
            <w:r>
              <w:rPr>
                <w:color w:val="231F20"/>
                <w:sz w:val="14"/>
              </w:rPr>
              <w:t>квадратне једначине;</w:t>
            </w:r>
          </w:p>
          <w:p w:rsidR="00041039" w:rsidRDefault="001B26CB">
            <w:pPr>
              <w:pStyle w:val="TableParagraph"/>
              <w:numPr>
                <w:ilvl w:val="0"/>
                <w:numId w:val="1221"/>
              </w:numPr>
              <w:tabs>
                <w:tab w:val="left" w:pos="157"/>
              </w:tabs>
              <w:spacing w:line="153" w:lineRule="exact"/>
              <w:ind w:hanging="99"/>
              <w:rPr>
                <w:sz w:val="14"/>
              </w:rPr>
            </w:pPr>
            <w:r>
              <w:rPr>
                <w:color w:val="231F20"/>
                <w:sz w:val="14"/>
              </w:rPr>
              <w:t>решава квадратне</w:t>
            </w:r>
            <w:r>
              <w:rPr>
                <w:color w:val="231F20"/>
                <w:spacing w:val="-2"/>
                <w:sz w:val="14"/>
              </w:rPr>
              <w:t xml:space="preserve"> </w:t>
            </w:r>
            <w:r>
              <w:rPr>
                <w:color w:val="231F20"/>
                <w:sz w:val="14"/>
              </w:rPr>
              <w:t>једначине;</w:t>
            </w:r>
          </w:p>
          <w:p w:rsidR="00041039" w:rsidRDefault="001B26CB">
            <w:pPr>
              <w:pStyle w:val="TableParagraph"/>
              <w:numPr>
                <w:ilvl w:val="0"/>
                <w:numId w:val="1221"/>
              </w:numPr>
              <w:tabs>
                <w:tab w:val="left" w:pos="157"/>
              </w:tabs>
              <w:spacing w:line="237" w:lineRule="auto"/>
              <w:ind w:right="226" w:hanging="99"/>
              <w:rPr>
                <w:sz w:val="14"/>
              </w:rPr>
            </w:pPr>
            <w:r>
              <w:rPr>
                <w:color w:val="231F20"/>
                <w:sz w:val="14"/>
              </w:rPr>
              <w:t>напише Виетова правила и</w:t>
            </w:r>
            <w:r>
              <w:rPr>
                <w:color w:val="231F20"/>
                <w:spacing w:val="-23"/>
                <w:sz w:val="14"/>
              </w:rPr>
              <w:t xml:space="preserve"> </w:t>
            </w:r>
            <w:r>
              <w:rPr>
                <w:color w:val="231F20"/>
                <w:sz w:val="14"/>
              </w:rPr>
              <w:t>примени их;</w:t>
            </w:r>
          </w:p>
          <w:p w:rsidR="00041039" w:rsidRDefault="001B26CB">
            <w:pPr>
              <w:pStyle w:val="TableParagraph"/>
              <w:numPr>
                <w:ilvl w:val="0"/>
                <w:numId w:val="1221"/>
              </w:numPr>
              <w:tabs>
                <w:tab w:val="left" w:pos="157"/>
              </w:tabs>
              <w:spacing w:line="155" w:lineRule="exact"/>
              <w:ind w:hanging="99"/>
              <w:rPr>
                <w:sz w:val="14"/>
              </w:rPr>
            </w:pPr>
            <w:r>
              <w:rPr>
                <w:color w:val="231F20"/>
                <w:sz w:val="14"/>
              </w:rPr>
              <w:t>растави квадратни трином на</w:t>
            </w:r>
            <w:r>
              <w:rPr>
                <w:color w:val="231F20"/>
                <w:spacing w:val="-8"/>
                <w:sz w:val="14"/>
              </w:rPr>
              <w:t xml:space="preserve"> </w:t>
            </w:r>
            <w:r>
              <w:rPr>
                <w:color w:val="231F20"/>
                <w:sz w:val="14"/>
              </w:rPr>
              <w:t>чиниоце;</w:t>
            </w:r>
          </w:p>
          <w:p w:rsidR="00041039" w:rsidRDefault="001B26CB">
            <w:pPr>
              <w:pStyle w:val="TableParagraph"/>
              <w:numPr>
                <w:ilvl w:val="0"/>
                <w:numId w:val="1221"/>
              </w:numPr>
              <w:tabs>
                <w:tab w:val="left" w:pos="157"/>
              </w:tabs>
              <w:spacing w:line="237" w:lineRule="auto"/>
              <w:ind w:right="179" w:hanging="99"/>
              <w:rPr>
                <w:sz w:val="14"/>
              </w:rPr>
            </w:pPr>
            <w:r>
              <w:rPr>
                <w:color w:val="231F20"/>
                <w:sz w:val="14"/>
              </w:rPr>
              <w:t>реши једначине које се сменом</w:t>
            </w:r>
            <w:r>
              <w:rPr>
                <w:color w:val="231F20"/>
                <w:spacing w:val="-24"/>
                <w:sz w:val="14"/>
              </w:rPr>
              <w:t xml:space="preserve"> </w:t>
            </w:r>
            <w:r>
              <w:rPr>
                <w:color w:val="231F20"/>
                <w:sz w:val="14"/>
              </w:rPr>
              <w:t>своде на</w:t>
            </w:r>
            <w:r>
              <w:rPr>
                <w:color w:val="231F20"/>
                <w:spacing w:val="-2"/>
                <w:sz w:val="14"/>
              </w:rPr>
              <w:t xml:space="preserve"> </w:t>
            </w:r>
            <w:r>
              <w:rPr>
                <w:color w:val="231F20"/>
                <w:sz w:val="14"/>
              </w:rPr>
              <w:t>квадратне;</w:t>
            </w:r>
          </w:p>
          <w:p w:rsidR="00041039" w:rsidRDefault="001B26CB">
            <w:pPr>
              <w:pStyle w:val="TableParagraph"/>
              <w:numPr>
                <w:ilvl w:val="0"/>
                <w:numId w:val="1221"/>
              </w:numPr>
              <w:tabs>
                <w:tab w:val="left" w:pos="157"/>
              </w:tabs>
              <w:spacing w:line="160" w:lineRule="exact"/>
              <w:ind w:right="144" w:hanging="99"/>
              <w:rPr>
                <w:sz w:val="14"/>
              </w:rPr>
            </w:pPr>
            <w:r>
              <w:rPr>
                <w:color w:val="231F20"/>
                <w:sz w:val="14"/>
              </w:rPr>
              <w:t>реши систем линеарне и квадратне једначине и карактеристичне</w:t>
            </w:r>
            <w:r>
              <w:rPr>
                <w:color w:val="231F20"/>
                <w:spacing w:val="-21"/>
                <w:sz w:val="14"/>
              </w:rPr>
              <w:t xml:space="preserve"> </w:t>
            </w:r>
            <w:r>
              <w:rPr>
                <w:color w:val="231F20"/>
                <w:sz w:val="14"/>
              </w:rPr>
              <w:t>системе две квадратне</w:t>
            </w:r>
            <w:r>
              <w:rPr>
                <w:color w:val="231F20"/>
                <w:spacing w:val="-2"/>
                <w:sz w:val="14"/>
              </w:rPr>
              <w:t xml:space="preserve"> </w:t>
            </w:r>
            <w:r>
              <w:rPr>
                <w:color w:val="231F20"/>
                <w:sz w:val="14"/>
              </w:rPr>
              <w:t>једначине;</w:t>
            </w:r>
          </w:p>
          <w:p w:rsidR="00041039" w:rsidRDefault="001B26CB">
            <w:pPr>
              <w:pStyle w:val="TableParagraph"/>
              <w:numPr>
                <w:ilvl w:val="0"/>
                <w:numId w:val="1221"/>
              </w:numPr>
              <w:tabs>
                <w:tab w:val="left" w:pos="157"/>
              </w:tabs>
              <w:spacing w:line="160" w:lineRule="exact"/>
              <w:ind w:right="189" w:hanging="99"/>
              <w:rPr>
                <w:sz w:val="14"/>
              </w:rPr>
            </w:pPr>
            <w:r>
              <w:rPr>
                <w:color w:val="231F20"/>
                <w:sz w:val="14"/>
              </w:rPr>
              <w:t>разликује шест могућих типова гра­ фика квадратне функције и примени их при одређивању знака</w:t>
            </w:r>
            <w:r>
              <w:rPr>
                <w:color w:val="231F20"/>
                <w:spacing w:val="-25"/>
                <w:sz w:val="14"/>
              </w:rPr>
              <w:t xml:space="preserve"> </w:t>
            </w:r>
            <w:r>
              <w:rPr>
                <w:color w:val="231F20"/>
                <w:sz w:val="14"/>
              </w:rPr>
              <w:t>квадратног тринома и решавању квадратне неједначине;</w:t>
            </w:r>
          </w:p>
          <w:p w:rsidR="00041039" w:rsidRDefault="001B26CB">
            <w:pPr>
              <w:pStyle w:val="TableParagraph"/>
              <w:numPr>
                <w:ilvl w:val="0"/>
                <w:numId w:val="1221"/>
              </w:numPr>
              <w:tabs>
                <w:tab w:val="left" w:pos="157"/>
              </w:tabs>
              <w:spacing w:line="153" w:lineRule="exact"/>
              <w:ind w:hanging="99"/>
              <w:rPr>
                <w:sz w:val="14"/>
              </w:rPr>
            </w:pPr>
            <w:r>
              <w:rPr>
                <w:color w:val="231F20"/>
                <w:sz w:val="14"/>
              </w:rPr>
              <w:t>решава квадратне</w:t>
            </w:r>
            <w:r>
              <w:rPr>
                <w:color w:val="231F20"/>
                <w:spacing w:val="-3"/>
                <w:sz w:val="14"/>
              </w:rPr>
              <w:t xml:space="preserve"> </w:t>
            </w:r>
            <w:r>
              <w:rPr>
                <w:color w:val="231F20"/>
                <w:sz w:val="14"/>
              </w:rPr>
              <w:t>неједначине;</w:t>
            </w:r>
          </w:p>
          <w:p w:rsidR="00041039" w:rsidRDefault="001B26CB">
            <w:pPr>
              <w:pStyle w:val="TableParagraph"/>
              <w:numPr>
                <w:ilvl w:val="0"/>
                <w:numId w:val="1221"/>
              </w:numPr>
              <w:tabs>
                <w:tab w:val="left" w:pos="157"/>
              </w:tabs>
              <w:spacing w:line="237" w:lineRule="auto"/>
              <w:ind w:right="454" w:hanging="99"/>
              <w:rPr>
                <w:sz w:val="14"/>
              </w:rPr>
            </w:pPr>
            <w:r>
              <w:rPr>
                <w:color w:val="231F20"/>
                <w:sz w:val="14"/>
              </w:rPr>
              <w:t>решава неједначине у којима се јављају разломци са</w:t>
            </w:r>
            <w:r>
              <w:rPr>
                <w:color w:val="231F20"/>
                <w:spacing w:val="-12"/>
                <w:sz w:val="14"/>
              </w:rPr>
              <w:t xml:space="preserve"> </w:t>
            </w:r>
            <w:r>
              <w:rPr>
                <w:color w:val="231F20"/>
                <w:sz w:val="14"/>
              </w:rPr>
              <w:t>квадратним триномима;</w:t>
            </w:r>
          </w:p>
          <w:p w:rsidR="00041039" w:rsidRDefault="001B26CB">
            <w:pPr>
              <w:pStyle w:val="TableParagraph"/>
              <w:numPr>
                <w:ilvl w:val="0"/>
                <w:numId w:val="1221"/>
              </w:numPr>
              <w:tabs>
                <w:tab w:val="left" w:pos="157"/>
              </w:tabs>
              <w:spacing w:line="237" w:lineRule="auto"/>
              <w:ind w:right="195" w:hanging="99"/>
              <w:rPr>
                <w:sz w:val="14"/>
              </w:rPr>
            </w:pPr>
            <w:r>
              <w:rPr>
                <w:color w:val="231F20"/>
                <w:sz w:val="14"/>
              </w:rPr>
              <w:t>нацрта график квадратне функције</w:t>
            </w:r>
            <w:r>
              <w:rPr>
                <w:color w:val="231F20"/>
                <w:spacing w:val="-20"/>
                <w:sz w:val="14"/>
              </w:rPr>
              <w:t xml:space="preserve"> </w:t>
            </w:r>
            <w:r>
              <w:rPr>
                <w:color w:val="231F20"/>
                <w:sz w:val="14"/>
              </w:rPr>
              <w:t>и опише њене</w:t>
            </w:r>
            <w:r>
              <w:rPr>
                <w:color w:val="231F20"/>
                <w:spacing w:val="-1"/>
                <w:sz w:val="14"/>
              </w:rPr>
              <w:t xml:space="preserve"> </w:t>
            </w:r>
            <w:r>
              <w:rPr>
                <w:color w:val="231F20"/>
                <w:sz w:val="14"/>
              </w:rPr>
              <w:t>особине;</w:t>
            </w:r>
          </w:p>
          <w:p w:rsidR="00041039" w:rsidRDefault="001B26CB">
            <w:pPr>
              <w:pStyle w:val="TableParagraph"/>
              <w:numPr>
                <w:ilvl w:val="0"/>
                <w:numId w:val="1221"/>
              </w:numPr>
              <w:tabs>
                <w:tab w:val="left" w:pos="157"/>
              </w:tabs>
              <w:spacing w:line="155" w:lineRule="exact"/>
              <w:ind w:hanging="99"/>
              <w:rPr>
                <w:sz w:val="14"/>
              </w:rPr>
            </w:pPr>
            <w:r>
              <w:rPr>
                <w:color w:val="231F20"/>
                <w:sz w:val="14"/>
              </w:rPr>
              <w:t>одреди теме квадратне</w:t>
            </w:r>
            <w:r>
              <w:rPr>
                <w:color w:val="231F20"/>
                <w:spacing w:val="-5"/>
                <w:sz w:val="14"/>
              </w:rPr>
              <w:t xml:space="preserve"> </w:t>
            </w:r>
            <w:r>
              <w:rPr>
                <w:color w:val="231F20"/>
                <w:sz w:val="14"/>
              </w:rPr>
              <w:t>функције;</w:t>
            </w:r>
          </w:p>
          <w:p w:rsidR="00041039" w:rsidRDefault="001B26CB">
            <w:pPr>
              <w:pStyle w:val="TableParagraph"/>
              <w:numPr>
                <w:ilvl w:val="0"/>
                <w:numId w:val="1221"/>
              </w:numPr>
              <w:tabs>
                <w:tab w:val="left" w:pos="157"/>
              </w:tabs>
              <w:spacing w:line="164" w:lineRule="exact"/>
              <w:ind w:hanging="99"/>
              <w:rPr>
                <w:sz w:val="14"/>
              </w:rPr>
            </w:pPr>
            <w:r>
              <w:rPr>
                <w:color w:val="231F20"/>
                <w:sz w:val="14"/>
              </w:rPr>
              <w:t>решава ирационалне</w:t>
            </w:r>
            <w:r>
              <w:rPr>
                <w:color w:val="231F20"/>
                <w:spacing w:val="-4"/>
                <w:sz w:val="14"/>
              </w:rPr>
              <w:t xml:space="preserve"> </w:t>
            </w:r>
            <w:r>
              <w:rPr>
                <w:color w:val="231F20"/>
                <w:sz w:val="14"/>
              </w:rPr>
              <w:t>једначине;</w:t>
            </w:r>
          </w:p>
        </w:tc>
        <w:tc>
          <w:tcPr>
            <w:tcW w:w="2834" w:type="dxa"/>
          </w:tcPr>
          <w:p w:rsidR="00041039" w:rsidRDefault="001B26CB">
            <w:pPr>
              <w:pStyle w:val="TableParagraph"/>
              <w:numPr>
                <w:ilvl w:val="0"/>
                <w:numId w:val="1220"/>
              </w:numPr>
              <w:tabs>
                <w:tab w:val="left" w:pos="157"/>
              </w:tabs>
              <w:spacing w:before="10"/>
              <w:ind w:right="336" w:hanging="99"/>
              <w:rPr>
                <w:sz w:val="14"/>
              </w:rPr>
            </w:pPr>
            <w:r>
              <w:rPr>
                <w:color w:val="231F20"/>
                <w:sz w:val="14"/>
              </w:rPr>
              <w:t>Алгебарски облик комплексног броја</w:t>
            </w:r>
            <w:r>
              <w:rPr>
                <w:color w:val="231F20"/>
                <w:spacing w:val="-24"/>
                <w:sz w:val="14"/>
              </w:rPr>
              <w:t xml:space="preserve"> </w:t>
            </w:r>
            <w:r>
              <w:rPr>
                <w:color w:val="231F20"/>
                <w:sz w:val="14"/>
              </w:rPr>
              <w:t>и основне операције.</w:t>
            </w:r>
          </w:p>
          <w:p w:rsidR="00041039" w:rsidRDefault="001B26CB">
            <w:pPr>
              <w:pStyle w:val="TableParagraph"/>
              <w:numPr>
                <w:ilvl w:val="0"/>
                <w:numId w:val="1220"/>
              </w:numPr>
              <w:tabs>
                <w:tab w:val="left" w:pos="157"/>
              </w:tabs>
              <w:spacing w:line="153" w:lineRule="exact"/>
              <w:ind w:hanging="99"/>
              <w:rPr>
                <w:sz w:val="14"/>
              </w:rPr>
            </w:pPr>
            <w:r>
              <w:rPr>
                <w:color w:val="231F20"/>
                <w:sz w:val="14"/>
              </w:rPr>
              <w:t>Комплексна</w:t>
            </w:r>
            <w:r>
              <w:rPr>
                <w:color w:val="231F20"/>
                <w:spacing w:val="-1"/>
                <w:sz w:val="14"/>
              </w:rPr>
              <w:t xml:space="preserve"> </w:t>
            </w:r>
            <w:r>
              <w:rPr>
                <w:color w:val="231F20"/>
                <w:sz w:val="14"/>
              </w:rPr>
              <w:t>раван.</w:t>
            </w:r>
          </w:p>
          <w:p w:rsidR="00041039" w:rsidRDefault="001B26CB">
            <w:pPr>
              <w:pStyle w:val="TableParagraph"/>
              <w:numPr>
                <w:ilvl w:val="0"/>
                <w:numId w:val="1220"/>
              </w:numPr>
              <w:tabs>
                <w:tab w:val="left" w:pos="157"/>
              </w:tabs>
              <w:spacing w:line="160" w:lineRule="exact"/>
              <w:ind w:hanging="99"/>
              <w:rPr>
                <w:sz w:val="14"/>
              </w:rPr>
            </w:pPr>
            <w:r>
              <w:rPr>
                <w:color w:val="231F20"/>
                <w:sz w:val="14"/>
              </w:rPr>
              <w:t>Једначине са комплексним</w:t>
            </w:r>
            <w:r>
              <w:rPr>
                <w:color w:val="231F20"/>
                <w:spacing w:val="-5"/>
                <w:sz w:val="14"/>
              </w:rPr>
              <w:t xml:space="preserve"> </w:t>
            </w:r>
            <w:r>
              <w:rPr>
                <w:color w:val="231F20"/>
                <w:sz w:val="14"/>
              </w:rPr>
              <w:t>бројевима.</w:t>
            </w:r>
          </w:p>
          <w:p w:rsidR="00041039" w:rsidRDefault="001B26CB">
            <w:pPr>
              <w:pStyle w:val="TableParagraph"/>
              <w:numPr>
                <w:ilvl w:val="0"/>
                <w:numId w:val="1220"/>
              </w:numPr>
              <w:tabs>
                <w:tab w:val="left" w:pos="157"/>
              </w:tabs>
              <w:spacing w:line="160" w:lineRule="exact"/>
              <w:ind w:hanging="99"/>
              <w:rPr>
                <w:sz w:val="14"/>
              </w:rPr>
            </w:pPr>
            <w:r>
              <w:rPr>
                <w:color w:val="231F20"/>
                <w:sz w:val="14"/>
              </w:rPr>
              <w:t>Квадратна</w:t>
            </w:r>
            <w:r>
              <w:rPr>
                <w:color w:val="231F20"/>
                <w:spacing w:val="-1"/>
                <w:sz w:val="14"/>
              </w:rPr>
              <w:t xml:space="preserve"> </w:t>
            </w:r>
            <w:r>
              <w:rPr>
                <w:color w:val="231F20"/>
                <w:sz w:val="14"/>
              </w:rPr>
              <w:t>једначина.</w:t>
            </w:r>
          </w:p>
          <w:p w:rsidR="00041039" w:rsidRDefault="001B26CB">
            <w:pPr>
              <w:pStyle w:val="TableParagraph"/>
              <w:numPr>
                <w:ilvl w:val="0"/>
                <w:numId w:val="1220"/>
              </w:numPr>
              <w:tabs>
                <w:tab w:val="left" w:pos="157"/>
              </w:tabs>
              <w:spacing w:line="237" w:lineRule="auto"/>
              <w:ind w:right="544" w:hanging="99"/>
              <w:rPr>
                <w:sz w:val="14"/>
              </w:rPr>
            </w:pPr>
            <w:r>
              <w:rPr>
                <w:color w:val="231F20"/>
                <w:sz w:val="14"/>
              </w:rPr>
              <w:t>Растављање квадратног тринома</w:t>
            </w:r>
            <w:r>
              <w:rPr>
                <w:color w:val="231F20"/>
                <w:spacing w:val="-15"/>
                <w:sz w:val="14"/>
              </w:rPr>
              <w:t xml:space="preserve"> </w:t>
            </w:r>
            <w:r>
              <w:rPr>
                <w:color w:val="231F20"/>
                <w:sz w:val="14"/>
              </w:rPr>
              <w:t>на чиниоце.</w:t>
            </w:r>
          </w:p>
          <w:p w:rsidR="00041039" w:rsidRDefault="001B26CB">
            <w:pPr>
              <w:pStyle w:val="TableParagraph"/>
              <w:numPr>
                <w:ilvl w:val="0"/>
                <w:numId w:val="1220"/>
              </w:numPr>
              <w:tabs>
                <w:tab w:val="left" w:pos="157"/>
              </w:tabs>
              <w:spacing w:line="155" w:lineRule="exact"/>
              <w:ind w:hanging="99"/>
              <w:rPr>
                <w:sz w:val="14"/>
              </w:rPr>
            </w:pPr>
            <w:r>
              <w:rPr>
                <w:color w:val="231F20"/>
                <w:sz w:val="14"/>
              </w:rPr>
              <w:t>Природа решења квадратне</w:t>
            </w:r>
            <w:r>
              <w:rPr>
                <w:color w:val="231F20"/>
                <w:spacing w:val="-6"/>
                <w:sz w:val="14"/>
              </w:rPr>
              <w:t xml:space="preserve"> </w:t>
            </w:r>
            <w:r>
              <w:rPr>
                <w:color w:val="231F20"/>
                <w:sz w:val="14"/>
              </w:rPr>
              <w:t>једначине.</w:t>
            </w:r>
          </w:p>
          <w:p w:rsidR="00041039" w:rsidRDefault="001B26CB">
            <w:pPr>
              <w:pStyle w:val="TableParagraph"/>
              <w:numPr>
                <w:ilvl w:val="0"/>
                <w:numId w:val="1220"/>
              </w:numPr>
              <w:tabs>
                <w:tab w:val="left" w:pos="157"/>
              </w:tabs>
              <w:spacing w:line="160" w:lineRule="exact"/>
              <w:ind w:hanging="99"/>
              <w:rPr>
                <w:sz w:val="14"/>
              </w:rPr>
            </w:pPr>
            <w:r>
              <w:rPr>
                <w:color w:val="231F20"/>
                <w:sz w:val="14"/>
              </w:rPr>
              <w:t>Вијетове</w:t>
            </w:r>
            <w:r>
              <w:rPr>
                <w:color w:val="231F20"/>
                <w:spacing w:val="-1"/>
                <w:sz w:val="14"/>
              </w:rPr>
              <w:t xml:space="preserve"> </w:t>
            </w:r>
            <w:r>
              <w:rPr>
                <w:color w:val="231F20"/>
                <w:sz w:val="14"/>
              </w:rPr>
              <w:t>везе.</w:t>
            </w:r>
          </w:p>
          <w:p w:rsidR="00041039" w:rsidRDefault="001B26CB">
            <w:pPr>
              <w:pStyle w:val="TableParagraph"/>
              <w:numPr>
                <w:ilvl w:val="0"/>
                <w:numId w:val="1220"/>
              </w:numPr>
              <w:tabs>
                <w:tab w:val="left" w:pos="157"/>
              </w:tabs>
              <w:spacing w:line="160" w:lineRule="exact"/>
              <w:ind w:hanging="99"/>
              <w:rPr>
                <w:sz w:val="14"/>
              </w:rPr>
            </w:pPr>
            <w:r>
              <w:rPr>
                <w:color w:val="231F20"/>
                <w:sz w:val="14"/>
              </w:rPr>
              <w:t>Квадратне</w:t>
            </w:r>
            <w:r>
              <w:rPr>
                <w:color w:val="231F20"/>
                <w:spacing w:val="-1"/>
                <w:sz w:val="14"/>
              </w:rPr>
              <w:t xml:space="preserve"> </w:t>
            </w:r>
            <w:r>
              <w:rPr>
                <w:color w:val="231F20"/>
                <w:sz w:val="14"/>
              </w:rPr>
              <w:t>неједначине.</w:t>
            </w:r>
          </w:p>
          <w:p w:rsidR="00041039" w:rsidRDefault="001B26CB">
            <w:pPr>
              <w:pStyle w:val="TableParagraph"/>
              <w:numPr>
                <w:ilvl w:val="0"/>
                <w:numId w:val="1220"/>
              </w:numPr>
              <w:tabs>
                <w:tab w:val="left" w:pos="157"/>
              </w:tabs>
              <w:spacing w:line="160" w:lineRule="exact"/>
              <w:ind w:hanging="99"/>
              <w:rPr>
                <w:sz w:val="14"/>
              </w:rPr>
            </w:pPr>
            <w:r>
              <w:rPr>
                <w:color w:val="231F20"/>
                <w:sz w:val="14"/>
              </w:rPr>
              <w:t>Квадратна функција ­ график и</w:t>
            </w:r>
            <w:r>
              <w:rPr>
                <w:color w:val="231F20"/>
                <w:spacing w:val="-9"/>
                <w:sz w:val="14"/>
              </w:rPr>
              <w:t xml:space="preserve"> </w:t>
            </w:r>
            <w:r>
              <w:rPr>
                <w:color w:val="231F20"/>
                <w:sz w:val="14"/>
              </w:rPr>
              <w:t>особине.</w:t>
            </w:r>
          </w:p>
          <w:p w:rsidR="00041039" w:rsidRDefault="001B26CB">
            <w:pPr>
              <w:pStyle w:val="TableParagraph"/>
              <w:numPr>
                <w:ilvl w:val="0"/>
                <w:numId w:val="1220"/>
              </w:numPr>
              <w:tabs>
                <w:tab w:val="left" w:pos="157"/>
              </w:tabs>
              <w:spacing w:line="160" w:lineRule="exact"/>
              <w:ind w:hanging="99"/>
              <w:rPr>
                <w:sz w:val="14"/>
              </w:rPr>
            </w:pPr>
            <w:r>
              <w:rPr>
                <w:color w:val="231F20"/>
                <w:sz w:val="14"/>
              </w:rPr>
              <w:t>Биквадратна</w:t>
            </w:r>
            <w:r>
              <w:rPr>
                <w:color w:val="231F20"/>
                <w:spacing w:val="-1"/>
                <w:sz w:val="14"/>
              </w:rPr>
              <w:t xml:space="preserve"> </w:t>
            </w:r>
            <w:r>
              <w:rPr>
                <w:color w:val="231F20"/>
                <w:sz w:val="14"/>
              </w:rPr>
              <w:t>једначина.</w:t>
            </w:r>
          </w:p>
          <w:p w:rsidR="00041039" w:rsidRDefault="001B26CB">
            <w:pPr>
              <w:pStyle w:val="TableParagraph"/>
              <w:numPr>
                <w:ilvl w:val="0"/>
                <w:numId w:val="1220"/>
              </w:numPr>
              <w:tabs>
                <w:tab w:val="left" w:pos="157"/>
              </w:tabs>
              <w:spacing w:line="237" w:lineRule="auto"/>
              <w:ind w:right="348" w:hanging="99"/>
              <w:rPr>
                <w:sz w:val="14"/>
              </w:rPr>
            </w:pPr>
            <w:r>
              <w:rPr>
                <w:color w:val="231F20"/>
                <w:sz w:val="14"/>
              </w:rPr>
              <w:t>Једначине</w:t>
            </w:r>
            <w:r>
              <w:rPr>
                <w:color w:val="231F20"/>
                <w:spacing w:val="-5"/>
                <w:sz w:val="14"/>
              </w:rPr>
              <w:t xml:space="preserve"> </w:t>
            </w:r>
            <w:r>
              <w:rPr>
                <w:color w:val="231F20"/>
                <w:sz w:val="14"/>
              </w:rPr>
              <w:t>које</w:t>
            </w:r>
            <w:r>
              <w:rPr>
                <w:color w:val="231F20"/>
                <w:spacing w:val="-5"/>
                <w:sz w:val="14"/>
              </w:rPr>
              <w:t xml:space="preserve"> </w:t>
            </w:r>
            <w:r>
              <w:rPr>
                <w:color w:val="231F20"/>
                <w:sz w:val="14"/>
              </w:rPr>
              <w:t>се</w:t>
            </w:r>
            <w:r>
              <w:rPr>
                <w:color w:val="231F20"/>
                <w:spacing w:val="-5"/>
                <w:sz w:val="14"/>
              </w:rPr>
              <w:t xml:space="preserve"> </w:t>
            </w:r>
            <w:r>
              <w:rPr>
                <w:color w:val="231F20"/>
                <w:sz w:val="14"/>
              </w:rPr>
              <w:t>сменом</w:t>
            </w:r>
            <w:r>
              <w:rPr>
                <w:color w:val="231F20"/>
                <w:spacing w:val="-5"/>
                <w:sz w:val="14"/>
              </w:rPr>
              <w:t xml:space="preserve"> </w:t>
            </w:r>
            <w:r>
              <w:rPr>
                <w:color w:val="231F20"/>
                <w:sz w:val="14"/>
              </w:rPr>
              <w:t>своде</w:t>
            </w:r>
            <w:r>
              <w:rPr>
                <w:color w:val="231F20"/>
                <w:spacing w:val="-5"/>
                <w:sz w:val="14"/>
              </w:rPr>
              <w:t xml:space="preserve"> </w:t>
            </w:r>
            <w:r>
              <w:rPr>
                <w:color w:val="231F20"/>
                <w:sz w:val="14"/>
              </w:rPr>
              <w:t>на</w:t>
            </w:r>
            <w:r>
              <w:rPr>
                <w:color w:val="231F20"/>
                <w:spacing w:val="-6"/>
                <w:sz w:val="14"/>
              </w:rPr>
              <w:t xml:space="preserve"> </w:t>
            </w:r>
            <w:r>
              <w:rPr>
                <w:color w:val="231F20"/>
                <w:sz w:val="14"/>
              </w:rPr>
              <w:t>ква­ дратне.</w:t>
            </w:r>
          </w:p>
          <w:p w:rsidR="00041039" w:rsidRDefault="001B26CB">
            <w:pPr>
              <w:pStyle w:val="TableParagraph"/>
              <w:numPr>
                <w:ilvl w:val="0"/>
                <w:numId w:val="1220"/>
              </w:numPr>
              <w:tabs>
                <w:tab w:val="left" w:pos="157"/>
              </w:tabs>
              <w:spacing w:line="155" w:lineRule="exact"/>
              <w:ind w:hanging="99"/>
              <w:rPr>
                <w:sz w:val="14"/>
              </w:rPr>
            </w:pPr>
            <w:r>
              <w:rPr>
                <w:color w:val="231F20"/>
                <w:sz w:val="14"/>
              </w:rPr>
              <w:t>Систем квадратних</w:t>
            </w:r>
            <w:r>
              <w:rPr>
                <w:color w:val="231F20"/>
                <w:spacing w:val="-2"/>
                <w:sz w:val="14"/>
              </w:rPr>
              <w:t xml:space="preserve"> </w:t>
            </w:r>
            <w:r>
              <w:rPr>
                <w:color w:val="231F20"/>
                <w:sz w:val="14"/>
              </w:rPr>
              <w:t>једначина.</w:t>
            </w:r>
          </w:p>
          <w:p w:rsidR="00041039" w:rsidRDefault="001B26CB">
            <w:pPr>
              <w:pStyle w:val="TableParagraph"/>
              <w:numPr>
                <w:ilvl w:val="0"/>
                <w:numId w:val="1220"/>
              </w:numPr>
              <w:tabs>
                <w:tab w:val="left" w:pos="157"/>
              </w:tabs>
              <w:spacing w:line="166" w:lineRule="exact"/>
              <w:ind w:hanging="99"/>
              <w:rPr>
                <w:sz w:val="14"/>
              </w:rPr>
            </w:pPr>
            <w:r>
              <w:rPr>
                <w:color w:val="231F20"/>
                <w:sz w:val="14"/>
              </w:rPr>
              <w:t>Ирационалне једначине и</w:t>
            </w:r>
            <w:r>
              <w:rPr>
                <w:color w:val="231F20"/>
                <w:spacing w:val="-8"/>
                <w:sz w:val="14"/>
              </w:rPr>
              <w:t xml:space="preserve"> </w:t>
            </w:r>
            <w:r>
              <w:rPr>
                <w:color w:val="231F20"/>
                <w:sz w:val="14"/>
              </w:rPr>
              <w:t>неједначине.</w:t>
            </w:r>
          </w:p>
        </w:tc>
        <w:tc>
          <w:tcPr>
            <w:tcW w:w="2267" w:type="dxa"/>
            <w:vMerge/>
            <w:tcBorders>
              <w:top w:val="nil"/>
            </w:tcBorders>
          </w:tcPr>
          <w:p w:rsidR="00041039" w:rsidRDefault="00041039">
            <w:pPr>
              <w:rPr>
                <w:sz w:val="2"/>
                <w:szCs w:val="2"/>
              </w:rPr>
            </w:pPr>
          </w:p>
        </w:tc>
      </w:tr>
      <w:tr w:rsidR="00041039">
        <w:trPr>
          <w:trHeight w:val="3718"/>
        </w:trPr>
        <w:tc>
          <w:tcPr>
            <w:tcW w:w="1304" w:type="dxa"/>
          </w:tcPr>
          <w:p w:rsidR="00041039" w:rsidRDefault="001B26CB">
            <w:pPr>
              <w:pStyle w:val="TableParagraph"/>
              <w:spacing w:before="19"/>
              <w:ind w:left="56" w:right="37"/>
              <w:rPr>
                <w:sz w:val="14"/>
              </w:rPr>
            </w:pPr>
            <w:r>
              <w:rPr>
                <w:color w:val="231F20"/>
                <w:sz w:val="14"/>
              </w:rPr>
              <w:t>Тригонометријске функције</w:t>
            </w:r>
          </w:p>
        </w:tc>
        <w:tc>
          <w:tcPr>
            <w:tcW w:w="1587" w:type="dxa"/>
          </w:tcPr>
          <w:p w:rsidR="00041039" w:rsidRDefault="001B26CB">
            <w:pPr>
              <w:pStyle w:val="TableParagraph"/>
              <w:numPr>
                <w:ilvl w:val="0"/>
                <w:numId w:val="1219"/>
              </w:numPr>
              <w:tabs>
                <w:tab w:val="left" w:pos="157"/>
              </w:tabs>
              <w:spacing w:before="9"/>
              <w:ind w:right="52"/>
              <w:rPr>
                <w:sz w:val="14"/>
              </w:rPr>
            </w:pPr>
            <w:r>
              <w:rPr>
                <w:color w:val="231F20"/>
                <w:sz w:val="14"/>
              </w:rPr>
              <w:t>Решавање</w:t>
            </w:r>
            <w:r>
              <w:rPr>
                <w:color w:val="231F20"/>
                <w:spacing w:val="-9"/>
                <w:sz w:val="14"/>
              </w:rPr>
              <w:t xml:space="preserve"> </w:t>
            </w:r>
            <w:r>
              <w:rPr>
                <w:color w:val="231F20"/>
                <w:sz w:val="14"/>
              </w:rPr>
              <w:t>тригономет­ ријских једначина и обављање елементар­ них трансформација тригонометријских израза.</w:t>
            </w:r>
          </w:p>
        </w:tc>
        <w:tc>
          <w:tcPr>
            <w:tcW w:w="2551" w:type="dxa"/>
          </w:tcPr>
          <w:p w:rsidR="00041039" w:rsidRDefault="001B26CB">
            <w:pPr>
              <w:pStyle w:val="TableParagraph"/>
              <w:numPr>
                <w:ilvl w:val="0"/>
                <w:numId w:val="1218"/>
              </w:numPr>
              <w:tabs>
                <w:tab w:val="left" w:pos="157"/>
              </w:tabs>
              <w:spacing w:before="9"/>
              <w:ind w:right="477" w:hanging="99"/>
              <w:rPr>
                <w:sz w:val="14"/>
              </w:rPr>
            </w:pPr>
            <w:r>
              <w:rPr>
                <w:color w:val="231F20"/>
                <w:sz w:val="14"/>
              </w:rPr>
              <w:t>представи вредности тригонометријских функција</w:t>
            </w:r>
            <w:r>
              <w:rPr>
                <w:color w:val="231F20"/>
                <w:spacing w:val="-10"/>
                <w:sz w:val="14"/>
              </w:rPr>
              <w:t xml:space="preserve"> </w:t>
            </w:r>
            <w:r>
              <w:rPr>
                <w:color w:val="231F20"/>
                <w:sz w:val="14"/>
              </w:rPr>
              <w:t>на тригонометријској</w:t>
            </w:r>
            <w:r>
              <w:rPr>
                <w:color w:val="231F20"/>
                <w:spacing w:val="-4"/>
                <w:sz w:val="14"/>
              </w:rPr>
              <w:t xml:space="preserve"> </w:t>
            </w:r>
            <w:r>
              <w:rPr>
                <w:color w:val="231F20"/>
                <w:sz w:val="14"/>
              </w:rPr>
              <w:t>кружници;</w:t>
            </w:r>
          </w:p>
          <w:p w:rsidR="00041039" w:rsidRDefault="001B26CB">
            <w:pPr>
              <w:pStyle w:val="TableParagraph"/>
              <w:numPr>
                <w:ilvl w:val="0"/>
                <w:numId w:val="1218"/>
              </w:numPr>
              <w:tabs>
                <w:tab w:val="left" w:pos="157"/>
              </w:tabs>
              <w:spacing w:line="157" w:lineRule="exact"/>
              <w:ind w:hanging="99"/>
              <w:rPr>
                <w:sz w:val="14"/>
              </w:rPr>
            </w:pPr>
            <w:r>
              <w:rPr>
                <w:color w:val="231F20"/>
                <w:sz w:val="14"/>
              </w:rPr>
              <w:t>изводи трансформације</w:t>
            </w:r>
            <w:r>
              <w:rPr>
                <w:color w:val="231F20"/>
                <w:spacing w:val="-1"/>
                <w:sz w:val="14"/>
              </w:rPr>
              <w:t xml:space="preserve"> </w:t>
            </w:r>
            <w:r>
              <w:rPr>
                <w:color w:val="231F20"/>
                <w:sz w:val="14"/>
              </w:rPr>
              <w:t>на</w:t>
            </w:r>
          </w:p>
          <w:p w:rsidR="00041039" w:rsidRDefault="001B26CB">
            <w:pPr>
              <w:pStyle w:val="TableParagraph"/>
              <w:spacing w:line="155" w:lineRule="exact"/>
              <w:rPr>
                <w:sz w:val="14"/>
              </w:rPr>
            </w:pPr>
            <w:r>
              <w:rPr>
                <w:color w:val="231F20"/>
                <w:sz w:val="14"/>
              </w:rPr>
              <w:t>тригонометријској кружници;</w:t>
            </w:r>
          </w:p>
          <w:p w:rsidR="00041039" w:rsidRDefault="001B26CB">
            <w:pPr>
              <w:pStyle w:val="TableParagraph"/>
              <w:numPr>
                <w:ilvl w:val="0"/>
                <w:numId w:val="1218"/>
              </w:numPr>
              <w:tabs>
                <w:tab w:val="left" w:pos="157"/>
              </w:tabs>
              <w:spacing w:line="237" w:lineRule="auto"/>
              <w:ind w:right="455" w:hanging="99"/>
              <w:rPr>
                <w:sz w:val="14"/>
              </w:rPr>
            </w:pPr>
            <w:r>
              <w:rPr>
                <w:color w:val="231F20"/>
                <w:sz w:val="14"/>
              </w:rPr>
              <w:t>докаже лакше</w:t>
            </w:r>
            <w:r>
              <w:rPr>
                <w:color w:val="231F20"/>
                <w:spacing w:val="-17"/>
                <w:sz w:val="14"/>
              </w:rPr>
              <w:t xml:space="preserve"> </w:t>
            </w:r>
            <w:r>
              <w:rPr>
                <w:color w:val="231F20"/>
                <w:sz w:val="14"/>
              </w:rPr>
              <w:t>тригонометријске идентичности;</w:t>
            </w:r>
          </w:p>
          <w:p w:rsidR="00041039" w:rsidRDefault="001B26CB">
            <w:pPr>
              <w:pStyle w:val="TableParagraph"/>
              <w:numPr>
                <w:ilvl w:val="0"/>
                <w:numId w:val="1218"/>
              </w:numPr>
              <w:tabs>
                <w:tab w:val="left" w:pos="157"/>
              </w:tabs>
              <w:spacing w:line="155" w:lineRule="exact"/>
              <w:ind w:hanging="99"/>
              <w:rPr>
                <w:sz w:val="14"/>
              </w:rPr>
            </w:pPr>
            <w:r>
              <w:rPr>
                <w:color w:val="231F20"/>
                <w:sz w:val="14"/>
              </w:rPr>
              <w:t>наведе и примени адиционе</w:t>
            </w:r>
            <w:r>
              <w:rPr>
                <w:color w:val="231F20"/>
                <w:spacing w:val="-7"/>
                <w:sz w:val="14"/>
              </w:rPr>
              <w:t xml:space="preserve"> </w:t>
            </w:r>
            <w:r>
              <w:rPr>
                <w:color w:val="231F20"/>
                <w:sz w:val="14"/>
              </w:rPr>
              <w:t>теореме;</w:t>
            </w:r>
          </w:p>
          <w:p w:rsidR="00041039" w:rsidRDefault="001B26CB">
            <w:pPr>
              <w:pStyle w:val="TableParagraph"/>
              <w:numPr>
                <w:ilvl w:val="0"/>
                <w:numId w:val="1218"/>
              </w:numPr>
              <w:tabs>
                <w:tab w:val="left" w:pos="157"/>
              </w:tabs>
              <w:spacing w:line="237" w:lineRule="auto"/>
              <w:ind w:right="65" w:hanging="99"/>
              <w:rPr>
                <w:sz w:val="14"/>
              </w:rPr>
            </w:pPr>
            <w:r>
              <w:rPr>
                <w:color w:val="231F20"/>
                <w:sz w:val="14"/>
              </w:rPr>
              <w:t>наведе и примени формуле за</w:t>
            </w:r>
            <w:r>
              <w:rPr>
                <w:color w:val="231F20"/>
                <w:spacing w:val="-24"/>
                <w:sz w:val="14"/>
              </w:rPr>
              <w:t xml:space="preserve"> </w:t>
            </w:r>
            <w:r>
              <w:rPr>
                <w:color w:val="231F20"/>
                <w:sz w:val="14"/>
              </w:rPr>
              <w:t>двостру­ ки угао;</w:t>
            </w:r>
          </w:p>
          <w:p w:rsidR="00041039" w:rsidRDefault="001B26CB">
            <w:pPr>
              <w:pStyle w:val="TableParagraph"/>
              <w:numPr>
                <w:ilvl w:val="0"/>
                <w:numId w:val="1218"/>
              </w:numPr>
              <w:tabs>
                <w:tab w:val="left" w:pos="157"/>
              </w:tabs>
              <w:spacing w:line="160" w:lineRule="exact"/>
              <w:ind w:right="302" w:hanging="99"/>
              <w:rPr>
                <w:sz w:val="14"/>
              </w:rPr>
            </w:pPr>
            <w:r>
              <w:rPr>
                <w:color w:val="231F20"/>
                <w:sz w:val="14"/>
              </w:rPr>
              <w:t>наведе</w:t>
            </w:r>
            <w:r>
              <w:rPr>
                <w:color w:val="231F20"/>
                <w:spacing w:val="-6"/>
                <w:sz w:val="14"/>
              </w:rPr>
              <w:t xml:space="preserve"> </w:t>
            </w:r>
            <w:r>
              <w:rPr>
                <w:color w:val="231F20"/>
                <w:sz w:val="14"/>
              </w:rPr>
              <w:t>и</w:t>
            </w:r>
            <w:r>
              <w:rPr>
                <w:color w:val="231F20"/>
                <w:spacing w:val="-6"/>
                <w:sz w:val="14"/>
              </w:rPr>
              <w:t xml:space="preserve"> </w:t>
            </w:r>
            <w:r>
              <w:rPr>
                <w:color w:val="231F20"/>
                <w:sz w:val="14"/>
              </w:rPr>
              <w:t>примени</w:t>
            </w:r>
            <w:r>
              <w:rPr>
                <w:color w:val="231F20"/>
                <w:spacing w:val="-6"/>
                <w:sz w:val="14"/>
              </w:rPr>
              <w:t xml:space="preserve"> </w:t>
            </w:r>
            <w:r>
              <w:rPr>
                <w:color w:val="231F20"/>
                <w:sz w:val="14"/>
              </w:rPr>
              <w:t>формуле</w:t>
            </w:r>
            <w:r>
              <w:rPr>
                <w:color w:val="231F20"/>
                <w:spacing w:val="-6"/>
                <w:sz w:val="14"/>
              </w:rPr>
              <w:t xml:space="preserve"> </w:t>
            </w:r>
            <w:r>
              <w:rPr>
                <w:color w:val="231F20"/>
                <w:sz w:val="14"/>
              </w:rPr>
              <w:t>за</w:t>
            </w:r>
            <w:r>
              <w:rPr>
                <w:color w:val="231F20"/>
                <w:spacing w:val="-6"/>
                <w:sz w:val="14"/>
              </w:rPr>
              <w:t xml:space="preserve"> </w:t>
            </w:r>
            <w:r>
              <w:rPr>
                <w:color w:val="231F20"/>
                <w:sz w:val="14"/>
              </w:rPr>
              <w:t>полу угао;</w:t>
            </w:r>
          </w:p>
          <w:p w:rsidR="00041039" w:rsidRDefault="001B26CB">
            <w:pPr>
              <w:pStyle w:val="TableParagraph"/>
              <w:numPr>
                <w:ilvl w:val="0"/>
                <w:numId w:val="1218"/>
              </w:numPr>
              <w:tabs>
                <w:tab w:val="left" w:pos="157"/>
              </w:tabs>
              <w:spacing w:line="160" w:lineRule="exact"/>
              <w:ind w:right="189" w:hanging="99"/>
              <w:rPr>
                <w:sz w:val="14"/>
              </w:rPr>
            </w:pPr>
            <w:r>
              <w:rPr>
                <w:color w:val="231F20"/>
                <w:sz w:val="14"/>
              </w:rPr>
              <w:t>изводи елементарне</w:t>
            </w:r>
            <w:r>
              <w:rPr>
                <w:color w:val="231F20"/>
                <w:spacing w:val="-8"/>
                <w:sz w:val="14"/>
              </w:rPr>
              <w:t xml:space="preserve"> </w:t>
            </w:r>
            <w:r>
              <w:rPr>
                <w:color w:val="231F20"/>
                <w:sz w:val="14"/>
              </w:rPr>
              <w:t>трансформације тригонометријских</w:t>
            </w:r>
            <w:r>
              <w:rPr>
                <w:color w:val="231F20"/>
                <w:spacing w:val="-1"/>
                <w:sz w:val="14"/>
              </w:rPr>
              <w:t xml:space="preserve"> </w:t>
            </w:r>
            <w:r>
              <w:rPr>
                <w:color w:val="231F20"/>
                <w:sz w:val="14"/>
              </w:rPr>
              <w:t>израза;</w:t>
            </w:r>
          </w:p>
          <w:p w:rsidR="00041039" w:rsidRDefault="001B26CB">
            <w:pPr>
              <w:pStyle w:val="TableParagraph"/>
              <w:numPr>
                <w:ilvl w:val="0"/>
                <w:numId w:val="1218"/>
              </w:numPr>
              <w:tabs>
                <w:tab w:val="left" w:pos="157"/>
              </w:tabs>
              <w:spacing w:line="160" w:lineRule="exact"/>
              <w:ind w:right="185" w:hanging="99"/>
              <w:rPr>
                <w:sz w:val="14"/>
              </w:rPr>
            </w:pPr>
            <w:r>
              <w:rPr>
                <w:color w:val="231F20"/>
                <w:sz w:val="14"/>
              </w:rPr>
              <w:t>реши елементарне</w:t>
            </w:r>
            <w:r>
              <w:rPr>
                <w:color w:val="231F20"/>
                <w:spacing w:val="-8"/>
                <w:sz w:val="14"/>
              </w:rPr>
              <w:t xml:space="preserve"> </w:t>
            </w:r>
            <w:r>
              <w:rPr>
                <w:color w:val="231F20"/>
                <w:sz w:val="14"/>
              </w:rPr>
              <w:t>тригонометријске једначине;</w:t>
            </w:r>
          </w:p>
          <w:p w:rsidR="00041039" w:rsidRDefault="001B26CB">
            <w:pPr>
              <w:pStyle w:val="TableParagraph"/>
              <w:numPr>
                <w:ilvl w:val="0"/>
                <w:numId w:val="1218"/>
              </w:numPr>
              <w:tabs>
                <w:tab w:val="left" w:pos="157"/>
              </w:tabs>
              <w:spacing w:line="160" w:lineRule="exact"/>
              <w:ind w:right="623" w:hanging="99"/>
              <w:rPr>
                <w:sz w:val="14"/>
              </w:rPr>
            </w:pPr>
            <w:r>
              <w:rPr>
                <w:color w:val="231F20"/>
                <w:sz w:val="14"/>
              </w:rPr>
              <w:t>решава и друге</w:t>
            </w:r>
            <w:r>
              <w:rPr>
                <w:color w:val="231F20"/>
                <w:spacing w:val="-5"/>
                <w:sz w:val="14"/>
              </w:rPr>
              <w:t xml:space="preserve"> </w:t>
            </w:r>
            <w:r>
              <w:rPr>
                <w:color w:val="231F20"/>
                <w:sz w:val="14"/>
              </w:rPr>
              <w:t>једноставније тригонометријске</w:t>
            </w:r>
            <w:r>
              <w:rPr>
                <w:color w:val="231F20"/>
                <w:spacing w:val="-8"/>
                <w:sz w:val="14"/>
              </w:rPr>
              <w:t xml:space="preserve"> </w:t>
            </w:r>
            <w:r>
              <w:rPr>
                <w:color w:val="231F20"/>
                <w:sz w:val="14"/>
              </w:rPr>
              <w:t>једначине;</w:t>
            </w:r>
          </w:p>
          <w:p w:rsidR="00041039" w:rsidRDefault="001B26CB">
            <w:pPr>
              <w:pStyle w:val="TableParagraph"/>
              <w:numPr>
                <w:ilvl w:val="0"/>
                <w:numId w:val="1218"/>
              </w:numPr>
              <w:tabs>
                <w:tab w:val="left" w:pos="157"/>
              </w:tabs>
              <w:spacing w:line="160" w:lineRule="exact"/>
              <w:ind w:right="196" w:hanging="99"/>
              <w:jc w:val="both"/>
              <w:rPr>
                <w:sz w:val="14"/>
              </w:rPr>
            </w:pPr>
            <w:r>
              <w:rPr>
                <w:color w:val="231F20"/>
                <w:sz w:val="14"/>
              </w:rPr>
              <w:t>скицира графике</w:t>
            </w:r>
            <w:r>
              <w:rPr>
                <w:color w:val="231F20"/>
                <w:spacing w:val="-13"/>
                <w:sz w:val="14"/>
              </w:rPr>
              <w:t xml:space="preserve"> </w:t>
            </w:r>
            <w:r>
              <w:rPr>
                <w:color w:val="231F20"/>
                <w:sz w:val="14"/>
              </w:rPr>
              <w:t>тригонометријских функција и са графика чита основне особине;</w:t>
            </w:r>
          </w:p>
          <w:p w:rsidR="00041039" w:rsidRDefault="001B26CB">
            <w:pPr>
              <w:pStyle w:val="TableParagraph"/>
              <w:numPr>
                <w:ilvl w:val="0"/>
                <w:numId w:val="1218"/>
              </w:numPr>
              <w:tabs>
                <w:tab w:val="left" w:pos="157"/>
              </w:tabs>
              <w:spacing w:line="160" w:lineRule="exact"/>
              <w:ind w:right="96" w:hanging="99"/>
              <w:rPr>
                <w:sz w:val="14"/>
              </w:rPr>
            </w:pPr>
            <w:r>
              <w:rPr>
                <w:color w:val="231F20"/>
                <w:sz w:val="14"/>
              </w:rPr>
              <w:t>користи синусну и косинусну</w:t>
            </w:r>
            <w:r>
              <w:rPr>
                <w:color w:val="231F20"/>
                <w:spacing w:val="-20"/>
                <w:sz w:val="14"/>
              </w:rPr>
              <w:t xml:space="preserve"> </w:t>
            </w:r>
            <w:r>
              <w:rPr>
                <w:color w:val="231F20"/>
                <w:sz w:val="14"/>
              </w:rPr>
              <w:t>теорему при решавању</w:t>
            </w:r>
            <w:r>
              <w:rPr>
                <w:color w:val="231F20"/>
                <w:spacing w:val="-1"/>
                <w:sz w:val="14"/>
              </w:rPr>
              <w:t xml:space="preserve"> </w:t>
            </w:r>
            <w:r>
              <w:rPr>
                <w:color w:val="231F20"/>
                <w:spacing w:val="-3"/>
                <w:sz w:val="14"/>
              </w:rPr>
              <w:t>троугла;</w:t>
            </w:r>
          </w:p>
        </w:tc>
        <w:tc>
          <w:tcPr>
            <w:tcW w:w="2834" w:type="dxa"/>
          </w:tcPr>
          <w:p w:rsidR="00041039" w:rsidRDefault="001B26CB">
            <w:pPr>
              <w:pStyle w:val="TableParagraph"/>
              <w:numPr>
                <w:ilvl w:val="0"/>
                <w:numId w:val="1217"/>
              </w:numPr>
              <w:tabs>
                <w:tab w:val="left" w:pos="158"/>
              </w:tabs>
              <w:spacing w:before="9" w:line="166" w:lineRule="exact"/>
              <w:rPr>
                <w:sz w:val="14"/>
              </w:rPr>
            </w:pPr>
            <w:r>
              <w:rPr>
                <w:color w:val="231F20"/>
                <w:sz w:val="14"/>
              </w:rPr>
              <w:t>Тригонометријска</w:t>
            </w:r>
            <w:r>
              <w:rPr>
                <w:color w:val="231F20"/>
                <w:spacing w:val="-1"/>
                <w:sz w:val="14"/>
              </w:rPr>
              <w:t xml:space="preserve"> </w:t>
            </w:r>
            <w:r>
              <w:rPr>
                <w:color w:val="231F20"/>
                <w:sz w:val="14"/>
              </w:rPr>
              <w:t>кружница.</w:t>
            </w:r>
          </w:p>
          <w:p w:rsidR="00041039" w:rsidRDefault="001B26CB">
            <w:pPr>
              <w:pStyle w:val="TableParagraph"/>
              <w:numPr>
                <w:ilvl w:val="0"/>
                <w:numId w:val="1217"/>
              </w:numPr>
              <w:tabs>
                <w:tab w:val="left" w:pos="158"/>
              </w:tabs>
              <w:spacing w:line="237" w:lineRule="auto"/>
              <w:ind w:right="502"/>
              <w:rPr>
                <w:sz w:val="14"/>
              </w:rPr>
            </w:pPr>
            <w:r>
              <w:rPr>
                <w:color w:val="231F20"/>
                <w:sz w:val="14"/>
              </w:rPr>
              <w:t>Трансформације</w:t>
            </w:r>
            <w:r>
              <w:rPr>
                <w:color w:val="231F20"/>
                <w:spacing w:val="-12"/>
                <w:sz w:val="14"/>
              </w:rPr>
              <w:t xml:space="preserve"> </w:t>
            </w:r>
            <w:r>
              <w:rPr>
                <w:color w:val="231F20"/>
                <w:sz w:val="14"/>
              </w:rPr>
              <w:t>тригонометријских функција и</w:t>
            </w:r>
            <w:r>
              <w:rPr>
                <w:color w:val="231F20"/>
                <w:spacing w:val="-2"/>
                <w:sz w:val="14"/>
              </w:rPr>
              <w:t xml:space="preserve"> </w:t>
            </w:r>
            <w:r>
              <w:rPr>
                <w:color w:val="231F20"/>
                <w:sz w:val="14"/>
              </w:rPr>
              <w:t>израза.</w:t>
            </w:r>
          </w:p>
          <w:p w:rsidR="00041039" w:rsidRDefault="001B26CB">
            <w:pPr>
              <w:pStyle w:val="TableParagraph"/>
              <w:numPr>
                <w:ilvl w:val="0"/>
                <w:numId w:val="1217"/>
              </w:numPr>
              <w:tabs>
                <w:tab w:val="left" w:pos="158"/>
              </w:tabs>
              <w:spacing w:line="155" w:lineRule="exact"/>
              <w:rPr>
                <w:sz w:val="14"/>
              </w:rPr>
            </w:pPr>
            <w:r>
              <w:rPr>
                <w:color w:val="231F20"/>
                <w:sz w:val="14"/>
              </w:rPr>
              <w:t>Адиционе</w:t>
            </w:r>
            <w:r>
              <w:rPr>
                <w:color w:val="231F20"/>
                <w:spacing w:val="-2"/>
                <w:sz w:val="14"/>
              </w:rPr>
              <w:t xml:space="preserve"> </w:t>
            </w:r>
            <w:r>
              <w:rPr>
                <w:color w:val="231F20"/>
                <w:sz w:val="14"/>
              </w:rPr>
              <w:t>теореме.</w:t>
            </w:r>
          </w:p>
          <w:p w:rsidR="00041039" w:rsidRDefault="001B26CB">
            <w:pPr>
              <w:pStyle w:val="TableParagraph"/>
              <w:numPr>
                <w:ilvl w:val="0"/>
                <w:numId w:val="1217"/>
              </w:numPr>
              <w:tabs>
                <w:tab w:val="left" w:pos="158"/>
              </w:tabs>
              <w:spacing w:line="160" w:lineRule="exact"/>
              <w:rPr>
                <w:sz w:val="14"/>
              </w:rPr>
            </w:pPr>
            <w:r>
              <w:rPr>
                <w:color w:val="231F20"/>
                <w:sz w:val="14"/>
              </w:rPr>
              <w:t>Формуле за двоструки</w:t>
            </w:r>
            <w:r>
              <w:rPr>
                <w:color w:val="231F20"/>
                <w:spacing w:val="-4"/>
                <w:sz w:val="14"/>
              </w:rPr>
              <w:t xml:space="preserve"> </w:t>
            </w:r>
            <w:r>
              <w:rPr>
                <w:color w:val="231F20"/>
                <w:sz w:val="14"/>
              </w:rPr>
              <w:t>угао.</w:t>
            </w:r>
          </w:p>
          <w:p w:rsidR="00041039" w:rsidRDefault="001B26CB">
            <w:pPr>
              <w:pStyle w:val="TableParagraph"/>
              <w:numPr>
                <w:ilvl w:val="0"/>
                <w:numId w:val="1217"/>
              </w:numPr>
              <w:tabs>
                <w:tab w:val="left" w:pos="158"/>
              </w:tabs>
              <w:spacing w:line="160" w:lineRule="exact"/>
              <w:rPr>
                <w:sz w:val="14"/>
              </w:rPr>
            </w:pPr>
            <w:r>
              <w:rPr>
                <w:color w:val="231F20"/>
                <w:sz w:val="14"/>
              </w:rPr>
              <w:t>Формуле за полу</w:t>
            </w:r>
            <w:r>
              <w:rPr>
                <w:color w:val="231F20"/>
                <w:spacing w:val="-5"/>
                <w:sz w:val="14"/>
              </w:rPr>
              <w:t xml:space="preserve"> </w:t>
            </w:r>
            <w:r>
              <w:rPr>
                <w:color w:val="231F20"/>
                <w:sz w:val="14"/>
              </w:rPr>
              <w:t>угао.</w:t>
            </w:r>
          </w:p>
          <w:p w:rsidR="00041039" w:rsidRDefault="001B26CB">
            <w:pPr>
              <w:pStyle w:val="TableParagraph"/>
              <w:numPr>
                <w:ilvl w:val="0"/>
                <w:numId w:val="1217"/>
              </w:numPr>
              <w:tabs>
                <w:tab w:val="left" w:pos="158"/>
              </w:tabs>
              <w:spacing w:line="237" w:lineRule="auto"/>
              <w:ind w:right="518"/>
              <w:rPr>
                <w:sz w:val="14"/>
              </w:rPr>
            </w:pPr>
            <w:r>
              <w:rPr>
                <w:color w:val="231F20"/>
                <w:sz w:val="14"/>
              </w:rPr>
              <w:t>Трансформације збира у производ</w:t>
            </w:r>
            <w:r>
              <w:rPr>
                <w:color w:val="231F20"/>
                <w:spacing w:val="-23"/>
                <w:sz w:val="14"/>
              </w:rPr>
              <w:t xml:space="preserve"> </w:t>
            </w:r>
            <w:r>
              <w:rPr>
                <w:color w:val="231F20"/>
                <w:sz w:val="14"/>
              </w:rPr>
              <w:t>и обрнуто.</w:t>
            </w:r>
          </w:p>
          <w:p w:rsidR="00041039" w:rsidRDefault="001B26CB">
            <w:pPr>
              <w:pStyle w:val="TableParagraph"/>
              <w:numPr>
                <w:ilvl w:val="0"/>
                <w:numId w:val="1217"/>
              </w:numPr>
              <w:tabs>
                <w:tab w:val="left" w:pos="158"/>
              </w:tabs>
              <w:spacing w:line="155" w:lineRule="exact"/>
              <w:rPr>
                <w:sz w:val="14"/>
              </w:rPr>
            </w:pPr>
            <w:r>
              <w:rPr>
                <w:color w:val="231F20"/>
                <w:sz w:val="14"/>
              </w:rPr>
              <w:t>Тригонометријске</w:t>
            </w:r>
            <w:r>
              <w:rPr>
                <w:color w:val="231F20"/>
                <w:spacing w:val="-1"/>
                <w:sz w:val="14"/>
              </w:rPr>
              <w:t xml:space="preserve"> </w:t>
            </w:r>
            <w:r>
              <w:rPr>
                <w:color w:val="231F20"/>
                <w:sz w:val="14"/>
              </w:rPr>
              <w:t>једначине.</w:t>
            </w:r>
          </w:p>
          <w:p w:rsidR="00041039" w:rsidRDefault="001B26CB">
            <w:pPr>
              <w:pStyle w:val="TableParagraph"/>
              <w:numPr>
                <w:ilvl w:val="0"/>
                <w:numId w:val="1217"/>
              </w:numPr>
              <w:tabs>
                <w:tab w:val="left" w:pos="158"/>
              </w:tabs>
              <w:spacing w:line="237" w:lineRule="auto"/>
              <w:ind w:right="204"/>
              <w:rPr>
                <w:sz w:val="14"/>
              </w:rPr>
            </w:pPr>
            <w:r>
              <w:rPr>
                <w:color w:val="231F20"/>
                <w:sz w:val="14"/>
              </w:rPr>
              <w:t>Једноставније тригонометријске</w:t>
            </w:r>
            <w:r>
              <w:rPr>
                <w:color w:val="231F20"/>
                <w:spacing w:val="-12"/>
                <w:sz w:val="14"/>
              </w:rPr>
              <w:t xml:space="preserve"> </w:t>
            </w:r>
            <w:r>
              <w:rPr>
                <w:color w:val="231F20"/>
                <w:sz w:val="14"/>
              </w:rPr>
              <w:t>неједна­ чине.</w:t>
            </w:r>
          </w:p>
          <w:p w:rsidR="00041039" w:rsidRDefault="001B26CB">
            <w:pPr>
              <w:pStyle w:val="TableParagraph"/>
              <w:numPr>
                <w:ilvl w:val="0"/>
                <w:numId w:val="1217"/>
              </w:numPr>
              <w:tabs>
                <w:tab w:val="left" w:pos="158"/>
              </w:tabs>
              <w:spacing w:line="155" w:lineRule="exact"/>
              <w:rPr>
                <w:sz w:val="14"/>
              </w:rPr>
            </w:pPr>
            <w:r>
              <w:rPr>
                <w:color w:val="231F20"/>
                <w:sz w:val="14"/>
              </w:rPr>
              <w:t>Графици тригонометријских</w:t>
            </w:r>
            <w:r>
              <w:rPr>
                <w:color w:val="231F20"/>
                <w:spacing w:val="-4"/>
                <w:sz w:val="14"/>
              </w:rPr>
              <w:t xml:space="preserve"> </w:t>
            </w:r>
            <w:r>
              <w:rPr>
                <w:color w:val="231F20"/>
                <w:sz w:val="14"/>
              </w:rPr>
              <w:t>функција.</w:t>
            </w:r>
          </w:p>
          <w:p w:rsidR="00041039" w:rsidRDefault="001B26CB">
            <w:pPr>
              <w:pStyle w:val="TableParagraph"/>
              <w:numPr>
                <w:ilvl w:val="0"/>
                <w:numId w:val="1217"/>
              </w:numPr>
              <w:tabs>
                <w:tab w:val="left" w:pos="158"/>
              </w:tabs>
              <w:spacing w:line="166" w:lineRule="exact"/>
              <w:rPr>
                <w:sz w:val="14"/>
              </w:rPr>
            </w:pPr>
            <w:r>
              <w:rPr>
                <w:color w:val="231F20"/>
                <w:sz w:val="14"/>
              </w:rPr>
              <w:t>Синусна и косинусна</w:t>
            </w:r>
            <w:r>
              <w:rPr>
                <w:color w:val="231F20"/>
                <w:spacing w:val="-2"/>
                <w:sz w:val="14"/>
              </w:rPr>
              <w:t xml:space="preserve"> </w:t>
            </w:r>
            <w:r>
              <w:rPr>
                <w:color w:val="231F20"/>
                <w:sz w:val="14"/>
              </w:rPr>
              <w:t>теорема.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40"/>
        </w:trPr>
        <w:tc>
          <w:tcPr>
            <w:tcW w:w="1304" w:type="dxa"/>
          </w:tcPr>
          <w:p w:rsidR="00041039" w:rsidRDefault="001B26CB">
            <w:pPr>
              <w:pStyle w:val="TableParagraph"/>
              <w:spacing w:before="18"/>
              <w:ind w:left="56" w:right="187"/>
              <w:rPr>
                <w:sz w:val="14"/>
              </w:rPr>
            </w:pPr>
            <w:r>
              <w:rPr>
                <w:color w:val="231F20"/>
                <w:sz w:val="14"/>
              </w:rPr>
              <w:lastRenderedPageBreak/>
              <w:t>Експоненцијална и логаритамска функција</w:t>
            </w:r>
          </w:p>
        </w:tc>
        <w:tc>
          <w:tcPr>
            <w:tcW w:w="1587" w:type="dxa"/>
          </w:tcPr>
          <w:p w:rsidR="00041039" w:rsidRDefault="001B26CB">
            <w:pPr>
              <w:pStyle w:val="TableParagraph"/>
              <w:numPr>
                <w:ilvl w:val="0"/>
                <w:numId w:val="1216"/>
              </w:numPr>
              <w:tabs>
                <w:tab w:val="left" w:pos="157"/>
              </w:tabs>
              <w:spacing w:before="8"/>
              <w:ind w:right="199"/>
              <w:rPr>
                <w:sz w:val="14"/>
              </w:rPr>
            </w:pPr>
            <w:r>
              <w:rPr>
                <w:color w:val="231F20"/>
                <w:sz w:val="14"/>
              </w:rPr>
              <w:t>Стицање знања о решавању</w:t>
            </w:r>
            <w:r>
              <w:rPr>
                <w:color w:val="231F20"/>
                <w:spacing w:val="-10"/>
                <w:sz w:val="14"/>
              </w:rPr>
              <w:t xml:space="preserve"> </w:t>
            </w:r>
            <w:r>
              <w:rPr>
                <w:color w:val="231F20"/>
                <w:sz w:val="14"/>
              </w:rPr>
              <w:t>једначина и неједначина са експоненцијалним</w:t>
            </w:r>
          </w:p>
          <w:p w:rsidR="00041039" w:rsidRDefault="001B26CB">
            <w:pPr>
              <w:pStyle w:val="TableParagraph"/>
              <w:spacing w:line="237" w:lineRule="auto"/>
              <w:ind w:right="381"/>
              <w:rPr>
                <w:sz w:val="14"/>
              </w:rPr>
            </w:pPr>
            <w:r>
              <w:rPr>
                <w:color w:val="231F20"/>
                <w:sz w:val="14"/>
              </w:rPr>
              <w:t>и логаритамским изразима.</w:t>
            </w:r>
          </w:p>
        </w:tc>
        <w:tc>
          <w:tcPr>
            <w:tcW w:w="2551" w:type="dxa"/>
          </w:tcPr>
          <w:p w:rsidR="00041039" w:rsidRDefault="001B26CB">
            <w:pPr>
              <w:pStyle w:val="TableParagraph"/>
              <w:numPr>
                <w:ilvl w:val="0"/>
                <w:numId w:val="1215"/>
              </w:numPr>
              <w:tabs>
                <w:tab w:val="left" w:pos="157"/>
              </w:tabs>
              <w:spacing w:before="8"/>
              <w:ind w:right="680" w:hanging="99"/>
              <w:rPr>
                <w:sz w:val="14"/>
              </w:rPr>
            </w:pPr>
            <w:r>
              <w:rPr>
                <w:color w:val="231F20"/>
                <w:sz w:val="14"/>
              </w:rPr>
              <w:t>скицира и даје опис</w:t>
            </w:r>
            <w:r>
              <w:rPr>
                <w:color w:val="231F20"/>
                <w:spacing w:val="-9"/>
                <w:sz w:val="14"/>
              </w:rPr>
              <w:t xml:space="preserve"> </w:t>
            </w:r>
            <w:r>
              <w:rPr>
                <w:color w:val="231F20"/>
                <w:sz w:val="14"/>
              </w:rPr>
              <w:t>графика експоненцијалне</w:t>
            </w:r>
            <w:r>
              <w:rPr>
                <w:color w:val="231F20"/>
                <w:spacing w:val="-4"/>
                <w:sz w:val="14"/>
              </w:rPr>
              <w:t xml:space="preserve"> </w:t>
            </w:r>
            <w:r>
              <w:rPr>
                <w:color w:val="231F20"/>
                <w:sz w:val="14"/>
              </w:rPr>
              <w:t>функције;</w:t>
            </w:r>
          </w:p>
          <w:p w:rsidR="00041039" w:rsidRDefault="001B26CB">
            <w:pPr>
              <w:pStyle w:val="TableParagraph"/>
              <w:numPr>
                <w:ilvl w:val="0"/>
                <w:numId w:val="1215"/>
              </w:numPr>
              <w:tabs>
                <w:tab w:val="left" w:pos="157"/>
              </w:tabs>
              <w:spacing w:line="160" w:lineRule="exact"/>
              <w:ind w:right="233" w:hanging="99"/>
              <w:rPr>
                <w:sz w:val="14"/>
              </w:rPr>
            </w:pPr>
            <w:r>
              <w:rPr>
                <w:color w:val="231F20"/>
                <w:sz w:val="14"/>
              </w:rPr>
              <w:t>реши лакше експоненцијалне</w:t>
            </w:r>
            <w:r>
              <w:rPr>
                <w:color w:val="231F20"/>
                <w:spacing w:val="-12"/>
                <w:sz w:val="14"/>
              </w:rPr>
              <w:t xml:space="preserve"> </w:t>
            </w:r>
            <w:r>
              <w:rPr>
                <w:color w:val="231F20"/>
                <w:sz w:val="14"/>
              </w:rPr>
              <w:t>једна­ чине;</w:t>
            </w:r>
          </w:p>
          <w:p w:rsidR="00041039" w:rsidRDefault="001B26CB">
            <w:pPr>
              <w:pStyle w:val="TableParagraph"/>
              <w:numPr>
                <w:ilvl w:val="0"/>
                <w:numId w:val="1215"/>
              </w:numPr>
              <w:tabs>
                <w:tab w:val="left" w:pos="157"/>
              </w:tabs>
              <w:spacing w:line="160" w:lineRule="exact"/>
              <w:ind w:right="233" w:hanging="99"/>
              <w:rPr>
                <w:sz w:val="14"/>
              </w:rPr>
            </w:pPr>
            <w:r>
              <w:rPr>
                <w:color w:val="231F20"/>
                <w:sz w:val="14"/>
              </w:rPr>
              <w:t>реши лакше експоненцијалне</w:t>
            </w:r>
            <w:r>
              <w:rPr>
                <w:color w:val="231F20"/>
                <w:spacing w:val="-15"/>
                <w:sz w:val="14"/>
              </w:rPr>
              <w:t xml:space="preserve"> </w:t>
            </w:r>
            <w:r>
              <w:rPr>
                <w:color w:val="231F20"/>
                <w:sz w:val="14"/>
              </w:rPr>
              <w:t>нејед­ начине;</w:t>
            </w:r>
          </w:p>
          <w:p w:rsidR="00041039" w:rsidRDefault="001B26CB">
            <w:pPr>
              <w:pStyle w:val="TableParagraph"/>
              <w:numPr>
                <w:ilvl w:val="0"/>
                <w:numId w:val="1215"/>
              </w:numPr>
              <w:tabs>
                <w:tab w:val="left" w:pos="157"/>
              </w:tabs>
              <w:spacing w:line="160" w:lineRule="exact"/>
              <w:ind w:right="194" w:hanging="99"/>
              <w:rPr>
                <w:sz w:val="14"/>
              </w:rPr>
            </w:pPr>
            <w:r>
              <w:rPr>
                <w:color w:val="231F20"/>
                <w:sz w:val="14"/>
              </w:rPr>
              <w:t>скицира и даје опис графика</w:t>
            </w:r>
            <w:r>
              <w:rPr>
                <w:color w:val="231F20"/>
                <w:spacing w:val="-15"/>
                <w:sz w:val="14"/>
              </w:rPr>
              <w:t xml:space="preserve"> </w:t>
            </w:r>
            <w:r>
              <w:rPr>
                <w:color w:val="231F20"/>
                <w:sz w:val="14"/>
              </w:rPr>
              <w:t>логари­ тамске</w:t>
            </w:r>
            <w:r>
              <w:rPr>
                <w:color w:val="231F20"/>
                <w:spacing w:val="-1"/>
                <w:sz w:val="14"/>
              </w:rPr>
              <w:t xml:space="preserve"> </w:t>
            </w:r>
            <w:r>
              <w:rPr>
                <w:color w:val="231F20"/>
                <w:sz w:val="14"/>
              </w:rPr>
              <w:t>функције;</w:t>
            </w:r>
          </w:p>
          <w:p w:rsidR="00041039" w:rsidRDefault="001B26CB">
            <w:pPr>
              <w:pStyle w:val="TableParagraph"/>
              <w:numPr>
                <w:ilvl w:val="0"/>
                <w:numId w:val="1215"/>
              </w:numPr>
              <w:tabs>
                <w:tab w:val="left" w:pos="157"/>
              </w:tabs>
              <w:spacing w:line="160" w:lineRule="exact"/>
              <w:ind w:right="207" w:hanging="99"/>
              <w:rPr>
                <w:sz w:val="14"/>
              </w:rPr>
            </w:pPr>
            <w:r>
              <w:rPr>
                <w:color w:val="231F20"/>
                <w:sz w:val="14"/>
              </w:rPr>
              <w:t>изведе елементарне трансформације логаритамских</w:t>
            </w:r>
            <w:r>
              <w:rPr>
                <w:color w:val="231F20"/>
                <w:spacing w:val="-1"/>
                <w:sz w:val="14"/>
              </w:rPr>
              <w:t xml:space="preserve"> </w:t>
            </w:r>
            <w:r>
              <w:rPr>
                <w:color w:val="231F20"/>
                <w:sz w:val="14"/>
              </w:rPr>
              <w:t>израза;</w:t>
            </w:r>
          </w:p>
          <w:p w:rsidR="00041039" w:rsidRDefault="001B26CB">
            <w:pPr>
              <w:pStyle w:val="TableParagraph"/>
              <w:numPr>
                <w:ilvl w:val="0"/>
                <w:numId w:val="1215"/>
              </w:numPr>
              <w:tabs>
                <w:tab w:val="left" w:pos="157"/>
              </w:tabs>
              <w:spacing w:line="153" w:lineRule="exact"/>
              <w:ind w:hanging="99"/>
              <w:rPr>
                <w:sz w:val="14"/>
              </w:rPr>
            </w:pPr>
            <w:r>
              <w:rPr>
                <w:color w:val="231F20"/>
                <w:sz w:val="14"/>
              </w:rPr>
              <w:t>реши лакше логаритамске</w:t>
            </w:r>
            <w:r>
              <w:rPr>
                <w:color w:val="231F20"/>
                <w:spacing w:val="-9"/>
                <w:sz w:val="14"/>
              </w:rPr>
              <w:t xml:space="preserve"> </w:t>
            </w:r>
            <w:r>
              <w:rPr>
                <w:color w:val="231F20"/>
                <w:sz w:val="14"/>
              </w:rPr>
              <w:t>једначине;</w:t>
            </w:r>
          </w:p>
          <w:p w:rsidR="00041039" w:rsidRDefault="001B26CB">
            <w:pPr>
              <w:pStyle w:val="TableParagraph"/>
              <w:numPr>
                <w:ilvl w:val="0"/>
                <w:numId w:val="1215"/>
              </w:numPr>
              <w:tabs>
                <w:tab w:val="left" w:pos="157"/>
              </w:tabs>
              <w:spacing w:line="237" w:lineRule="auto"/>
              <w:ind w:right="294" w:hanging="99"/>
              <w:rPr>
                <w:sz w:val="14"/>
              </w:rPr>
            </w:pPr>
            <w:r>
              <w:rPr>
                <w:color w:val="231F20"/>
                <w:sz w:val="14"/>
              </w:rPr>
              <w:t>реши лакше логаритамске</w:t>
            </w:r>
            <w:r>
              <w:rPr>
                <w:color w:val="231F20"/>
                <w:spacing w:val="-17"/>
                <w:sz w:val="14"/>
              </w:rPr>
              <w:t xml:space="preserve"> </w:t>
            </w:r>
            <w:r>
              <w:rPr>
                <w:color w:val="231F20"/>
                <w:sz w:val="14"/>
              </w:rPr>
              <w:t>неједна­ чине;</w:t>
            </w:r>
          </w:p>
          <w:p w:rsidR="00041039" w:rsidRDefault="001B26CB">
            <w:pPr>
              <w:pStyle w:val="TableParagraph"/>
              <w:numPr>
                <w:ilvl w:val="0"/>
                <w:numId w:val="1215"/>
              </w:numPr>
              <w:tabs>
                <w:tab w:val="left" w:pos="157"/>
              </w:tabs>
              <w:spacing w:line="160" w:lineRule="exact"/>
              <w:ind w:right="256" w:hanging="99"/>
              <w:rPr>
                <w:sz w:val="14"/>
              </w:rPr>
            </w:pPr>
            <w:r>
              <w:rPr>
                <w:color w:val="231F20"/>
                <w:sz w:val="14"/>
              </w:rPr>
              <w:t>реши једноставније системе експоненцијалних и логаритамских једначина;</w:t>
            </w:r>
          </w:p>
        </w:tc>
        <w:tc>
          <w:tcPr>
            <w:tcW w:w="2834" w:type="dxa"/>
          </w:tcPr>
          <w:p w:rsidR="00041039" w:rsidRDefault="001B26CB">
            <w:pPr>
              <w:pStyle w:val="TableParagraph"/>
              <w:numPr>
                <w:ilvl w:val="0"/>
                <w:numId w:val="1214"/>
              </w:numPr>
              <w:tabs>
                <w:tab w:val="left" w:pos="157"/>
              </w:tabs>
              <w:spacing w:before="8"/>
              <w:ind w:right="401" w:hanging="99"/>
              <w:rPr>
                <w:sz w:val="14"/>
              </w:rPr>
            </w:pPr>
            <w:r>
              <w:rPr>
                <w:color w:val="231F20"/>
                <w:sz w:val="14"/>
              </w:rPr>
              <w:t>Експоненцијална функција ­ график</w:t>
            </w:r>
            <w:r>
              <w:rPr>
                <w:color w:val="231F20"/>
                <w:spacing w:val="-16"/>
                <w:sz w:val="14"/>
              </w:rPr>
              <w:t xml:space="preserve"> </w:t>
            </w:r>
            <w:r>
              <w:rPr>
                <w:color w:val="231F20"/>
                <w:sz w:val="14"/>
              </w:rPr>
              <w:t>и особине.</w:t>
            </w:r>
          </w:p>
          <w:p w:rsidR="00041039" w:rsidRDefault="001B26CB">
            <w:pPr>
              <w:pStyle w:val="TableParagraph"/>
              <w:numPr>
                <w:ilvl w:val="0"/>
                <w:numId w:val="1214"/>
              </w:numPr>
              <w:tabs>
                <w:tab w:val="left" w:pos="157"/>
              </w:tabs>
              <w:spacing w:line="160" w:lineRule="exact"/>
              <w:ind w:right="397" w:hanging="99"/>
              <w:rPr>
                <w:sz w:val="14"/>
              </w:rPr>
            </w:pPr>
            <w:r>
              <w:rPr>
                <w:color w:val="231F20"/>
                <w:sz w:val="14"/>
              </w:rPr>
              <w:t>Експоненцијални изрази, једначине и неједначине.</w:t>
            </w:r>
          </w:p>
          <w:p w:rsidR="00041039" w:rsidRDefault="001B26CB">
            <w:pPr>
              <w:pStyle w:val="TableParagraph"/>
              <w:numPr>
                <w:ilvl w:val="0"/>
                <w:numId w:val="1214"/>
              </w:numPr>
              <w:tabs>
                <w:tab w:val="left" w:pos="157"/>
              </w:tabs>
              <w:spacing w:line="153" w:lineRule="exact"/>
              <w:ind w:hanging="99"/>
              <w:rPr>
                <w:sz w:val="14"/>
              </w:rPr>
            </w:pPr>
            <w:r>
              <w:rPr>
                <w:color w:val="231F20"/>
                <w:sz w:val="14"/>
              </w:rPr>
              <w:t>Инверзна</w:t>
            </w:r>
            <w:r>
              <w:rPr>
                <w:color w:val="231F20"/>
                <w:spacing w:val="-2"/>
                <w:sz w:val="14"/>
              </w:rPr>
              <w:t xml:space="preserve"> </w:t>
            </w:r>
            <w:r>
              <w:rPr>
                <w:color w:val="231F20"/>
                <w:sz w:val="14"/>
              </w:rPr>
              <w:t>функција.</w:t>
            </w:r>
          </w:p>
          <w:p w:rsidR="00041039" w:rsidRDefault="001B26CB">
            <w:pPr>
              <w:pStyle w:val="TableParagraph"/>
              <w:numPr>
                <w:ilvl w:val="0"/>
                <w:numId w:val="1214"/>
              </w:numPr>
              <w:tabs>
                <w:tab w:val="left" w:pos="157"/>
              </w:tabs>
              <w:spacing w:line="160" w:lineRule="exact"/>
              <w:ind w:hanging="99"/>
              <w:rPr>
                <w:sz w:val="14"/>
              </w:rPr>
            </w:pPr>
            <w:r>
              <w:rPr>
                <w:color w:val="231F20"/>
                <w:sz w:val="14"/>
              </w:rPr>
              <w:t>Логаритамска функција ­ график и</w:t>
            </w:r>
            <w:r>
              <w:rPr>
                <w:color w:val="231F20"/>
                <w:spacing w:val="-14"/>
                <w:sz w:val="14"/>
              </w:rPr>
              <w:t xml:space="preserve"> </w:t>
            </w:r>
            <w:r>
              <w:rPr>
                <w:color w:val="231F20"/>
                <w:sz w:val="14"/>
              </w:rPr>
              <w:t>особине.</w:t>
            </w:r>
          </w:p>
          <w:p w:rsidR="00041039" w:rsidRDefault="001B26CB">
            <w:pPr>
              <w:pStyle w:val="TableParagraph"/>
              <w:numPr>
                <w:ilvl w:val="0"/>
                <w:numId w:val="1214"/>
              </w:numPr>
              <w:tabs>
                <w:tab w:val="left" w:pos="157"/>
              </w:tabs>
              <w:spacing w:line="237" w:lineRule="auto"/>
              <w:ind w:right="316" w:hanging="99"/>
              <w:rPr>
                <w:sz w:val="14"/>
              </w:rPr>
            </w:pPr>
            <w:r>
              <w:rPr>
                <w:color w:val="231F20"/>
                <w:sz w:val="14"/>
              </w:rPr>
              <w:t>Правила логаритмовања, логаритамски изрази.</w:t>
            </w:r>
          </w:p>
          <w:p w:rsidR="00041039" w:rsidRDefault="001B26CB">
            <w:pPr>
              <w:pStyle w:val="TableParagraph"/>
              <w:numPr>
                <w:ilvl w:val="0"/>
                <w:numId w:val="1214"/>
              </w:numPr>
              <w:tabs>
                <w:tab w:val="left" w:pos="157"/>
              </w:tabs>
              <w:spacing w:line="155" w:lineRule="exact"/>
              <w:ind w:hanging="99"/>
              <w:rPr>
                <w:sz w:val="14"/>
              </w:rPr>
            </w:pPr>
            <w:r>
              <w:rPr>
                <w:color w:val="231F20"/>
                <w:sz w:val="14"/>
              </w:rPr>
              <w:t>Логаритамске једначине и</w:t>
            </w:r>
            <w:r>
              <w:rPr>
                <w:color w:val="231F20"/>
                <w:spacing w:val="-8"/>
                <w:sz w:val="14"/>
              </w:rPr>
              <w:t xml:space="preserve"> </w:t>
            </w:r>
            <w:r>
              <w:rPr>
                <w:color w:val="231F20"/>
                <w:sz w:val="14"/>
              </w:rPr>
              <w:t>неједначине.</w:t>
            </w:r>
          </w:p>
          <w:p w:rsidR="00041039" w:rsidRDefault="001B26CB">
            <w:pPr>
              <w:pStyle w:val="TableParagraph"/>
              <w:numPr>
                <w:ilvl w:val="0"/>
                <w:numId w:val="1214"/>
              </w:numPr>
              <w:tabs>
                <w:tab w:val="left" w:pos="157"/>
              </w:tabs>
              <w:spacing w:line="237" w:lineRule="auto"/>
              <w:ind w:right="61" w:hanging="99"/>
              <w:rPr>
                <w:sz w:val="14"/>
              </w:rPr>
            </w:pPr>
            <w:r>
              <w:rPr>
                <w:color w:val="231F20"/>
                <w:sz w:val="14"/>
              </w:rPr>
              <w:t>Систем експоненцијалних и логаритамских једначина.</w:t>
            </w:r>
          </w:p>
        </w:tc>
        <w:tc>
          <w:tcPr>
            <w:tcW w:w="2267" w:type="dxa"/>
          </w:tcPr>
          <w:p w:rsidR="00041039" w:rsidRDefault="001B26CB">
            <w:pPr>
              <w:pStyle w:val="TableParagraph"/>
              <w:spacing w:before="18"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213"/>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213"/>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теми</w:t>
            </w:r>
          </w:p>
          <w:p w:rsidR="00041039" w:rsidRDefault="001B26CB">
            <w:pPr>
              <w:pStyle w:val="TableParagraph"/>
              <w:numPr>
                <w:ilvl w:val="0"/>
                <w:numId w:val="1213"/>
              </w:numPr>
              <w:tabs>
                <w:tab w:val="left" w:pos="158"/>
              </w:tabs>
              <w:spacing w:line="237" w:lineRule="auto"/>
              <w:ind w:right="246" w:hanging="99"/>
              <w:rPr>
                <w:b/>
                <w:sz w:val="14"/>
              </w:rPr>
            </w:pPr>
            <w:r>
              <w:rPr>
                <w:color w:val="231F20"/>
                <w:sz w:val="14"/>
              </w:rPr>
              <w:t>Степеновање и кореновање</w:t>
            </w:r>
            <w:r>
              <w:rPr>
                <w:color w:val="231F20"/>
                <w:spacing w:val="-15"/>
                <w:sz w:val="14"/>
              </w:rPr>
              <w:t xml:space="preserve"> </w:t>
            </w:r>
            <w:r>
              <w:rPr>
                <w:b/>
                <w:color w:val="231F20"/>
                <w:sz w:val="14"/>
              </w:rPr>
              <w:t>(35 часова)</w:t>
            </w:r>
          </w:p>
          <w:p w:rsidR="00041039" w:rsidRDefault="001B26CB">
            <w:pPr>
              <w:pStyle w:val="TableParagraph"/>
              <w:numPr>
                <w:ilvl w:val="0"/>
                <w:numId w:val="1213"/>
              </w:numPr>
              <w:tabs>
                <w:tab w:val="left" w:pos="158"/>
              </w:tabs>
              <w:spacing w:line="160" w:lineRule="exact"/>
              <w:ind w:right="122" w:hanging="99"/>
              <w:rPr>
                <w:b/>
                <w:sz w:val="14"/>
              </w:rPr>
            </w:pPr>
            <w:r>
              <w:rPr>
                <w:color w:val="231F20"/>
                <w:sz w:val="14"/>
              </w:rPr>
              <w:t>Квадратна једначина и</w:t>
            </w:r>
            <w:r>
              <w:rPr>
                <w:color w:val="231F20"/>
                <w:spacing w:val="-24"/>
                <w:sz w:val="14"/>
              </w:rPr>
              <w:t xml:space="preserve"> </w:t>
            </w:r>
            <w:r>
              <w:rPr>
                <w:color w:val="231F20"/>
                <w:sz w:val="14"/>
              </w:rPr>
              <w:t xml:space="preserve">квадратна функција </w:t>
            </w:r>
            <w:r>
              <w:rPr>
                <w:b/>
                <w:color w:val="231F20"/>
                <w:sz w:val="14"/>
              </w:rPr>
              <w:t>(46</w:t>
            </w:r>
            <w:r>
              <w:rPr>
                <w:b/>
                <w:color w:val="231F20"/>
                <w:spacing w:val="-1"/>
                <w:sz w:val="14"/>
              </w:rPr>
              <w:t xml:space="preserve"> </w:t>
            </w:r>
            <w:r>
              <w:rPr>
                <w:b/>
                <w:color w:val="231F20"/>
                <w:sz w:val="14"/>
              </w:rPr>
              <w:t>часова)</w:t>
            </w:r>
          </w:p>
          <w:p w:rsidR="00041039" w:rsidRDefault="001B26CB">
            <w:pPr>
              <w:pStyle w:val="TableParagraph"/>
              <w:numPr>
                <w:ilvl w:val="0"/>
                <w:numId w:val="1213"/>
              </w:numPr>
              <w:tabs>
                <w:tab w:val="left" w:pos="158"/>
              </w:tabs>
              <w:spacing w:line="160" w:lineRule="exact"/>
              <w:ind w:right="116" w:hanging="99"/>
              <w:rPr>
                <w:b/>
                <w:sz w:val="14"/>
              </w:rPr>
            </w:pPr>
            <w:r>
              <w:rPr>
                <w:color w:val="231F20"/>
                <w:sz w:val="14"/>
              </w:rPr>
              <w:t>Експоненцијална и</w:t>
            </w:r>
            <w:r>
              <w:rPr>
                <w:color w:val="231F20"/>
                <w:spacing w:val="-13"/>
                <w:sz w:val="14"/>
              </w:rPr>
              <w:t xml:space="preserve"> </w:t>
            </w:r>
            <w:r>
              <w:rPr>
                <w:color w:val="231F20"/>
                <w:sz w:val="14"/>
              </w:rPr>
              <w:t xml:space="preserve">логаритамска функција </w:t>
            </w:r>
            <w:r>
              <w:rPr>
                <w:b/>
                <w:color w:val="231F20"/>
                <w:sz w:val="14"/>
              </w:rPr>
              <w:t>(30</w:t>
            </w:r>
            <w:r>
              <w:rPr>
                <w:b/>
                <w:color w:val="231F20"/>
                <w:spacing w:val="-1"/>
                <w:sz w:val="14"/>
              </w:rPr>
              <w:t xml:space="preserve"> </w:t>
            </w:r>
            <w:r>
              <w:rPr>
                <w:b/>
                <w:color w:val="231F20"/>
                <w:sz w:val="14"/>
              </w:rPr>
              <w:t>часова)</w:t>
            </w:r>
          </w:p>
          <w:p w:rsidR="00041039" w:rsidRDefault="001B26CB">
            <w:pPr>
              <w:pStyle w:val="TableParagraph"/>
              <w:numPr>
                <w:ilvl w:val="0"/>
                <w:numId w:val="1213"/>
              </w:numPr>
              <w:tabs>
                <w:tab w:val="left" w:pos="158"/>
              </w:tabs>
              <w:spacing w:line="160" w:lineRule="exact"/>
              <w:ind w:right="212" w:hanging="99"/>
              <w:rPr>
                <w:b/>
                <w:sz w:val="14"/>
              </w:rPr>
            </w:pPr>
            <w:r>
              <w:rPr>
                <w:color w:val="231F20"/>
                <w:sz w:val="14"/>
              </w:rPr>
              <w:t>Тригонометријске функције</w:t>
            </w:r>
            <w:r>
              <w:rPr>
                <w:color w:val="231F20"/>
                <w:spacing w:val="-19"/>
                <w:sz w:val="14"/>
              </w:rPr>
              <w:t xml:space="preserve"> </w:t>
            </w:r>
            <w:r>
              <w:rPr>
                <w:b/>
                <w:color w:val="231F20"/>
                <w:sz w:val="14"/>
              </w:rPr>
              <w:t>(52 часа)</w:t>
            </w:r>
          </w:p>
          <w:p w:rsidR="00041039" w:rsidRDefault="00041039">
            <w:pPr>
              <w:pStyle w:val="TableParagraph"/>
              <w:spacing w:before="6"/>
              <w:ind w:left="0"/>
              <w:rPr>
                <w:b/>
                <w:sz w:val="13"/>
              </w:rPr>
            </w:pPr>
          </w:p>
          <w:p w:rsidR="00041039" w:rsidRDefault="001B26CB">
            <w:pPr>
              <w:pStyle w:val="TableParagraph"/>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bl>
    <w:p w:rsidR="00041039" w:rsidRDefault="00041039">
      <w:pPr>
        <w:pStyle w:val="BodyText"/>
        <w:spacing w:before="6"/>
        <w:rPr>
          <w:b/>
          <w:sz w:val="18"/>
        </w:rPr>
      </w:pPr>
    </w:p>
    <w:p w:rsidR="00041039" w:rsidRDefault="001B26CB">
      <w:pPr>
        <w:tabs>
          <w:tab w:val="left" w:pos="1461"/>
        </w:tabs>
        <w:spacing w:before="97" w:line="314" w:lineRule="auto"/>
        <w:ind w:left="157" w:right="8288"/>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175 часова </w:t>
      </w:r>
      <w:r>
        <w:rPr>
          <w:color w:val="231F20"/>
          <w:sz w:val="14"/>
        </w:rPr>
        <w:t>Разред:</w:t>
      </w:r>
      <w:r>
        <w:rPr>
          <w:color w:val="231F20"/>
          <w:sz w:val="14"/>
        </w:rPr>
        <w:tab/>
      </w:r>
      <w:r>
        <w:rPr>
          <w:b/>
          <w:color w:val="231F20"/>
          <w:sz w:val="14"/>
        </w:rPr>
        <w:t>трећи</w:t>
      </w:r>
    </w:p>
    <w:p w:rsidR="00041039" w:rsidRDefault="00041039">
      <w:pPr>
        <w:pStyle w:val="BodyText"/>
        <w:spacing w:before="1" w:after="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Pr>
                <w:sz w:val="14"/>
              </w:rPr>
            </w:pPr>
            <w:r>
              <w:rPr>
                <w:color w:val="231F20"/>
                <w:sz w:val="14"/>
              </w:rPr>
              <w:t>Полиедри</w:t>
            </w:r>
          </w:p>
        </w:tc>
        <w:tc>
          <w:tcPr>
            <w:tcW w:w="1587" w:type="dxa"/>
          </w:tcPr>
          <w:p w:rsidR="00041039" w:rsidRDefault="001B26CB">
            <w:pPr>
              <w:pStyle w:val="TableParagraph"/>
              <w:numPr>
                <w:ilvl w:val="0"/>
                <w:numId w:val="1212"/>
              </w:numPr>
              <w:tabs>
                <w:tab w:val="left" w:pos="157"/>
              </w:tabs>
              <w:spacing w:before="8"/>
              <w:ind w:right="169"/>
              <w:rPr>
                <w:sz w:val="14"/>
              </w:rPr>
            </w:pPr>
            <w:r>
              <w:rPr>
                <w:color w:val="231F20"/>
                <w:sz w:val="14"/>
              </w:rPr>
              <w:t>Обнављање и упо­ тпуњавање знања о површини и запре­ мини полиедара и примена ових</w:t>
            </w:r>
            <w:r>
              <w:rPr>
                <w:color w:val="231F20"/>
                <w:spacing w:val="-11"/>
                <w:sz w:val="14"/>
              </w:rPr>
              <w:t xml:space="preserve"> </w:t>
            </w:r>
            <w:r>
              <w:rPr>
                <w:color w:val="231F20"/>
                <w:sz w:val="14"/>
              </w:rPr>
              <w:t>знања.</w:t>
            </w:r>
          </w:p>
        </w:tc>
        <w:tc>
          <w:tcPr>
            <w:tcW w:w="2551" w:type="dxa"/>
          </w:tcPr>
          <w:p w:rsidR="00041039" w:rsidRDefault="001B26CB">
            <w:pPr>
              <w:pStyle w:val="TableParagraph"/>
              <w:numPr>
                <w:ilvl w:val="0"/>
                <w:numId w:val="1211"/>
              </w:numPr>
              <w:tabs>
                <w:tab w:val="left" w:pos="157"/>
              </w:tabs>
              <w:spacing w:before="8"/>
              <w:ind w:right="81" w:hanging="99"/>
              <w:rPr>
                <w:sz w:val="14"/>
              </w:rPr>
            </w:pPr>
            <w:r>
              <w:rPr>
                <w:color w:val="231F20"/>
                <w:sz w:val="14"/>
              </w:rPr>
              <w:t>примени формуле за израчунавање обима и површине: правоугаоника, квадрата, паралелограма, троугла,</w:t>
            </w:r>
            <w:r>
              <w:rPr>
                <w:color w:val="231F20"/>
                <w:spacing w:val="-27"/>
                <w:sz w:val="14"/>
              </w:rPr>
              <w:t xml:space="preserve"> </w:t>
            </w:r>
            <w:r>
              <w:rPr>
                <w:color w:val="231F20"/>
                <w:sz w:val="14"/>
              </w:rPr>
              <w:t xml:space="preserve">чет­ </w:t>
            </w:r>
            <w:r>
              <w:rPr>
                <w:color w:val="231F20"/>
                <w:spacing w:val="-3"/>
                <w:sz w:val="14"/>
              </w:rPr>
              <w:t xml:space="preserve">вороугла </w:t>
            </w:r>
            <w:r>
              <w:rPr>
                <w:color w:val="231F20"/>
                <w:sz w:val="14"/>
              </w:rPr>
              <w:t>са нормалним дијагоналама, једнакостраничног троугла, трапеза, правилног</w:t>
            </w:r>
            <w:r>
              <w:rPr>
                <w:color w:val="231F20"/>
                <w:spacing w:val="-2"/>
                <w:sz w:val="14"/>
              </w:rPr>
              <w:t xml:space="preserve"> </w:t>
            </w:r>
            <w:r>
              <w:rPr>
                <w:color w:val="231F20"/>
                <w:sz w:val="14"/>
              </w:rPr>
              <w:t>шестоугла;</w:t>
            </w:r>
          </w:p>
          <w:p w:rsidR="00041039" w:rsidRDefault="001B26CB">
            <w:pPr>
              <w:pStyle w:val="TableParagraph"/>
              <w:numPr>
                <w:ilvl w:val="0"/>
                <w:numId w:val="1211"/>
              </w:numPr>
              <w:tabs>
                <w:tab w:val="left" w:pos="157"/>
              </w:tabs>
              <w:spacing w:line="154" w:lineRule="exact"/>
              <w:ind w:hanging="99"/>
              <w:rPr>
                <w:sz w:val="14"/>
              </w:rPr>
            </w:pPr>
            <w:r>
              <w:rPr>
                <w:color w:val="231F20"/>
                <w:sz w:val="14"/>
              </w:rPr>
              <w:t>израчуна површину и</w:t>
            </w:r>
            <w:r>
              <w:rPr>
                <w:color w:val="231F20"/>
                <w:spacing w:val="-7"/>
                <w:sz w:val="14"/>
              </w:rPr>
              <w:t xml:space="preserve"> </w:t>
            </w:r>
            <w:r>
              <w:rPr>
                <w:color w:val="231F20"/>
                <w:sz w:val="14"/>
              </w:rPr>
              <w:t>запремину</w:t>
            </w:r>
          </w:p>
          <w:p w:rsidR="00041039" w:rsidRDefault="001B26CB">
            <w:pPr>
              <w:pStyle w:val="TableParagraph"/>
              <w:spacing w:line="155" w:lineRule="exact"/>
              <w:rPr>
                <w:sz w:val="14"/>
              </w:rPr>
            </w:pPr>
            <w:r>
              <w:rPr>
                <w:color w:val="231F20"/>
                <w:sz w:val="14"/>
              </w:rPr>
              <w:t>призме;</w:t>
            </w:r>
          </w:p>
          <w:p w:rsidR="00041039" w:rsidRDefault="001B26CB">
            <w:pPr>
              <w:pStyle w:val="TableParagraph"/>
              <w:numPr>
                <w:ilvl w:val="0"/>
                <w:numId w:val="1211"/>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w:t>
            </w:r>
            <w:r>
              <w:rPr>
                <w:color w:val="231F20"/>
                <w:sz w:val="14"/>
              </w:rPr>
              <w:t>апремину пирамиде;</w:t>
            </w:r>
          </w:p>
          <w:p w:rsidR="00041039" w:rsidRDefault="001B26CB">
            <w:pPr>
              <w:pStyle w:val="TableParagraph"/>
              <w:numPr>
                <w:ilvl w:val="0"/>
                <w:numId w:val="1211"/>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сложеног</w:t>
            </w:r>
            <w:r>
              <w:rPr>
                <w:color w:val="231F20"/>
                <w:spacing w:val="-1"/>
                <w:sz w:val="14"/>
              </w:rPr>
              <w:t xml:space="preserve"> </w:t>
            </w:r>
            <w:r>
              <w:rPr>
                <w:color w:val="231F20"/>
                <w:sz w:val="14"/>
              </w:rPr>
              <w:t>тела;</w:t>
            </w:r>
          </w:p>
          <w:p w:rsidR="00041039" w:rsidRDefault="001B26CB">
            <w:pPr>
              <w:pStyle w:val="TableParagraph"/>
              <w:numPr>
                <w:ilvl w:val="0"/>
                <w:numId w:val="1211"/>
              </w:numPr>
              <w:tabs>
                <w:tab w:val="left" w:pos="157"/>
              </w:tabs>
              <w:spacing w:line="160" w:lineRule="exact"/>
              <w:ind w:right="201" w:hanging="99"/>
              <w:rPr>
                <w:sz w:val="14"/>
              </w:rPr>
            </w:pPr>
            <w:r>
              <w:rPr>
                <w:color w:val="231F20"/>
                <w:sz w:val="14"/>
              </w:rPr>
              <w:t>проналази равне пресеке полиедра и израчунава им</w:t>
            </w:r>
            <w:r>
              <w:rPr>
                <w:color w:val="231F20"/>
                <w:spacing w:val="-3"/>
                <w:sz w:val="14"/>
              </w:rPr>
              <w:t xml:space="preserve"> </w:t>
            </w:r>
            <w:r>
              <w:rPr>
                <w:color w:val="231F20"/>
                <w:sz w:val="14"/>
              </w:rPr>
              <w:t>површину;</w:t>
            </w:r>
          </w:p>
          <w:p w:rsidR="00041039" w:rsidRDefault="001B26CB">
            <w:pPr>
              <w:pStyle w:val="TableParagraph"/>
              <w:numPr>
                <w:ilvl w:val="0"/>
                <w:numId w:val="1211"/>
              </w:numPr>
              <w:tabs>
                <w:tab w:val="left" w:pos="157"/>
              </w:tabs>
              <w:spacing w:line="153" w:lineRule="exact"/>
              <w:ind w:hanging="99"/>
              <w:rPr>
                <w:sz w:val="14"/>
              </w:rPr>
            </w:pPr>
            <w:r>
              <w:rPr>
                <w:color w:val="231F20"/>
                <w:sz w:val="14"/>
              </w:rPr>
              <w:t>разликује пет правилних</w:t>
            </w:r>
            <w:r>
              <w:rPr>
                <w:color w:val="231F20"/>
                <w:spacing w:val="-8"/>
                <w:sz w:val="14"/>
              </w:rPr>
              <w:t xml:space="preserve"> </w:t>
            </w:r>
            <w:r>
              <w:rPr>
                <w:color w:val="231F20"/>
                <w:sz w:val="14"/>
              </w:rPr>
              <w:t>полиедара;</w:t>
            </w:r>
          </w:p>
          <w:p w:rsidR="00041039" w:rsidRDefault="001B26CB">
            <w:pPr>
              <w:pStyle w:val="TableParagraph"/>
              <w:numPr>
                <w:ilvl w:val="0"/>
                <w:numId w:val="1211"/>
              </w:numPr>
              <w:tabs>
                <w:tab w:val="left" w:pos="157"/>
              </w:tabs>
              <w:spacing w:line="237" w:lineRule="auto"/>
              <w:ind w:right="236" w:hanging="99"/>
              <w:rPr>
                <w:sz w:val="14"/>
              </w:rPr>
            </w:pPr>
            <w:r>
              <w:rPr>
                <w:color w:val="231F20"/>
                <w:sz w:val="14"/>
              </w:rPr>
              <w:t>примени стечено знање у</w:t>
            </w:r>
            <w:r>
              <w:rPr>
                <w:color w:val="231F20"/>
                <w:spacing w:val="-17"/>
                <w:sz w:val="14"/>
              </w:rPr>
              <w:t xml:space="preserve"> </w:t>
            </w:r>
            <w:r>
              <w:rPr>
                <w:color w:val="231F20"/>
                <w:sz w:val="14"/>
              </w:rPr>
              <w:t>решавању практичних</w:t>
            </w:r>
            <w:r>
              <w:rPr>
                <w:color w:val="231F20"/>
                <w:spacing w:val="-1"/>
                <w:sz w:val="14"/>
              </w:rPr>
              <w:t xml:space="preserve"> </w:t>
            </w:r>
            <w:r>
              <w:rPr>
                <w:color w:val="231F20"/>
                <w:sz w:val="14"/>
              </w:rPr>
              <w:t>проблема;</w:t>
            </w:r>
          </w:p>
        </w:tc>
        <w:tc>
          <w:tcPr>
            <w:tcW w:w="2834" w:type="dxa"/>
          </w:tcPr>
          <w:p w:rsidR="00041039" w:rsidRDefault="001B26CB">
            <w:pPr>
              <w:pStyle w:val="TableParagraph"/>
              <w:numPr>
                <w:ilvl w:val="0"/>
                <w:numId w:val="1210"/>
              </w:numPr>
              <w:tabs>
                <w:tab w:val="left" w:pos="157"/>
              </w:tabs>
              <w:spacing w:before="8" w:line="166" w:lineRule="exact"/>
              <w:ind w:hanging="99"/>
              <w:rPr>
                <w:sz w:val="14"/>
              </w:rPr>
            </w:pPr>
            <w:r>
              <w:rPr>
                <w:color w:val="231F20"/>
                <w:sz w:val="14"/>
              </w:rPr>
              <w:t>Површине равних</w:t>
            </w:r>
            <w:r>
              <w:rPr>
                <w:color w:val="231F20"/>
                <w:spacing w:val="-2"/>
                <w:sz w:val="14"/>
              </w:rPr>
              <w:t xml:space="preserve"> </w:t>
            </w:r>
            <w:r>
              <w:rPr>
                <w:color w:val="231F20"/>
                <w:sz w:val="14"/>
              </w:rPr>
              <w:t>фигура.</w:t>
            </w:r>
          </w:p>
          <w:p w:rsidR="00041039" w:rsidRDefault="001B26CB">
            <w:pPr>
              <w:pStyle w:val="TableParagraph"/>
              <w:numPr>
                <w:ilvl w:val="0"/>
                <w:numId w:val="1210"/>
              </w:numPr>
              <w:tabs>
                <w:tab w:val="left" w:pos="157"/>
              </w:tabs>
              <w:spacing w:line="160" w:lineRule="exact"/>
              <w:ind w:hanging="99"/>
              <w:rPr>
                <w:sz w:val="14"/>
              </w:rPr>
            </w:pPr>
            <w:r>
              <w:rPr>
                <w:color w:val="231F20"/>
                <w:sz w:val="14"/>
              </w:rPr>
              <w:t>Површина и запремина</w:t>
            </w:r>
            <w:r>
              <w:rPr>
                <w:color w:val="231F20"/>
                <w:spacing w:val="-6"/>
                <w:sz w:val="14"/>
              </w:rPr>
              <w:t xml:space="preserve"> </w:t>
            </w:r>
            <w:r>
              <w:rPr>
                <w:color w:val="231F20"/>
                <w:sz w:val="14"/>
              </w:rPr>
              <w:t>призме.</w:t>
            </w:r>
          </w:p>
          <w:p w:rsidR="00041039" w:rsidRDefault="001B26CB">
            <w:pPr>
              <w:pStyle w:val="TableParagraph"/>
              <w:numPr>
                <w:ilvl w:val="0"/>
                <w:numId w:val="1210"/>
              </w:numPr>
              <w:tabs>
                <w:tab w:val="left" w:pos="157"/>
              </w:tabs>
              <w:spacing w:line="160" w:lineRule="exact"/>
              <w:ind w:hanging="99"/>
              <w:rPr>
                <w:sz w:val="14"/>
              </w:rPr>
            </w:pPr>
            <w:r>
              <w:rPr>
                <w:color w:val="231F20"/>
                <w:sz w:val="14"/>
              </w:rPr>
              <w:t>Површина и запремина</w:t>
            </w:r>
            <w:r>
              <w:rPr>
                <w:color w:val="231F20"/>
                <w:spacing w:val="-7"/>
                <w:sz w:val="14"/>
              </w:rPr>
              <w:t xml:space="preserve"> </w:t>
            </w:r>
            <w:r>
              <w:rPr>
                <w:color w:val="231F20"/>
                <w:sz w:val="14"/>
              </w:rPr>
              <w:t>пирамиде.</w:t>
            </w:r>
          </w:p>
          <w:p w:rsidR="00041039" w:rsidRDefault="001B26CB">
            <w:pPr>
              <w:pStyle w:val="TableParagraph"/>
              <w:numPr>
                <w:ilvl w:val="0"/>
                <w:numId w:val="1210"/>
              </w:numPr>
              <w:tabs>
                <w:tab w:val="left" w:pos="157"/>
              </w:tabs>
              <w:spacing w:line="237" w:lineRule="auto"/>
              <w:ind w:right="245" w:hanging="99"/>
              <w:rPr>
                <w:sz w:val="14"/>
              </w:rPr>
            </w:pPr>
            <w:r>
              <w:rPr>
                <w:color w:val="231F20"/>
                <w:sz w:val="14"/>
              </w:rPr>
              <w:t>Површина и запремина зарубљене</w:t>
            </w:r>
            <w:r>
              <w:rPr>
                <w:color w:val="231F20"/>
                <w:spacing w:val="-26"/>
                <w:sz w:val="14"/>
              </w:rPr>
              <w:t xml:space="preserve"> </w:t>
            </w:r>
            <w:r>
              <w:rPr>
                <w:color w:val="231F20"/>
                <w:sz w:val="14"/>
              </w:rPr>
              <w:t>пира­ миде.</w:t>
            </w:r>
          </w:p>
          <w:p w:rsidR="00041039" w:rsidRDefault="001B26CB">
            <w:pPr>
              <w:pStyle w:val="TableParagraph"/>
              <w:numPr>
                <w:ilvl w:val="0"/>
                <w:numId w:val="1210"/>
              </w:numPr>
              <w:tabs>
                <w:tab w:val="left" w:pos="157"/>
              </w:tabs>
              <w:spacing w:line="155" w:lineRule="exact"/>
              <w:ind w:hanging="99"/>
              <w:rPr>
                <w:sz w:val="14"/>
              </w:rPr>
            </w:pPr>
            <w:r>
              <w:rPr>
                <w:color w:val="231F20"/>
                <w:sz w:val="14"/>
              </w:rPr>
              <w:t>Равни пресеци</w:t>
            </w:r>
            <w:r>
              <w:rPr>
                <w:color w:val="231F20"/>
                <w:spacing w:val="-2"/>
                <w:sz w:val="14"/>
              </w:rPr>
              <w:t xml:space="preserve"> </w:t>
            </w:r>
            <w:r>
              <w:rPr>
                <w:color w:val="231F20"/>
                <w:sz w:val="14"/>
              </w:rPr>
              <w:t>полиедара.</w:t>
            </w:r>
          </w:p>
          <w:p w:rsidR="00041039" w:rsidRDefault="001B26CB">
            <w:pPr>
              <w:pStyle w:val="TableParagraph"/>
              <w:numPr>
                <w:ilvl w:val="0"/>
                <w:numId w:val="1210"/>
              </w:numPr>
              <w:tabs>
                <w:tab w:val="left" w:pos="157"/>
              </w:tabs>
              <w:spacing w:line="166" w:lineRule="exact"/>
              <w:ind w:hanging="99"/>
              <w:rPr>
                <w:sz w:val="14"/>
              </w:rPr>
            </w:pPr>
            <w:r>
              <w:rPr>
                <w:color w:val="231F20"/>
                <w:sz w:val="14"/>
              </w:rPr>
              <w:t>Правилни</w:t>
            </w:r>
            <w:r>
              <w:rPr>
                <w:color w:val="231F20"/>
                <w:spacing w:val="-2"/>
                <w:sz w:val="14"/>
              </w:rPr>
              <w:t xml:space="preserve"> </w:t>
            </w:r>
            <w:r>
              <w:rPr>
                <w:color w:val="231F20"/>
                <w:sz w:val="14"/>
              </w:rPr>
              <w:t>полиедри.</w:t>
            </w:r>
          </w:p>
        </w:tc>
        <w:tc>
          <w:tcPr>
            <w:tcW w:w="2267" w:type="dxa"/>
            <w:vMerge w:val="restart"/>
          </w:tcPr>
          <w:p w:rsidR="00041039" w:rsidRDefault="001B26CB">
            <w:pPr>
              <w:pStyle w:val="TableParagraph"/>
              <w:numPr>
                <w:ilvl w:val="0"/>
                <w:numId w:val="1209"/>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209"/>
              </w:numPr>
              <w:tabs>
                <w:tab w:val="left" w:pos="158"/>
              </w:tabs>
              <w:spacing w:line="160" w:lineRule="exact"/>
              <w:ind w:hanging="99"/>
              <w:rPr>
                <w:b/>
                <w:sz w:val="14"/>
              </w:rPr>
            </w:pPr>
            <w:r>
              <w:rPr>
                <w:color w:val="231F20"/>
                <w:sz w:val="14"/>
              </w:rPr>
              <w:t xml:space="preserve">теоријска настава </w:t>
            </w:r>
            <w:r>
              <w:rPr>
                <w:b/>
                <w:color w:val="231F20"/>
                <w:sz w:val="14"/>
              </w:rPr>
              <w:t>(175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209"/>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1209"/>
              </w:numPr>
              <w:tabs>
                <w:tab w:val="left" w:pos="158"/>
              </w:tabs>
              <w:spacing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1209"/>
              </w:numPr>
              <w:tabs>
                <w:tab w:val="left" w:pos="158"/>
              </w:tabs>
              <w:spacing w:before="1"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209"/>
              </w:numPr>
              <w:tabs>
                <w:tab w:val="left" w:pos="158"/>
              </w:tabs>
              <w:spacing w:line="160" w:lineRule="exact"/>
              <w:ind w:right="476" w:hanging="99"/>
              <w:rPr>
                <w:sz w:val="14"/>
              </w:rPr>
            </w:pPr>
            <w:r>
              <w:rPr>
                <w:color w:val="231F20"/>
                <w:sz w:val="14"/>
              </w:rPr>
              <w:t>подстицати ученике на размишљање и самостално закључивање;</w:t>
            </w:r>
          </w:p>
          <w:p w:rsidR="00041039" w:rsidRDefault="001B26CB">
            <w:pPr>
              <w:pStyle w:val="TableParagraph"/>
              <w:numPr>
                <w:ilvl w:val="0"/>
                <w:numId w:val="1209"/>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209"/>
              </w:numPr>
              <w:tabs>
                <w:tab w:val="left" w:pos="158"/>
              </w:tabs>
              <w:spacing w:line="160" w:lineRule="exact"/>
              <w:ind w:right="309" w:hanging="99"/>
              <w:rPr>
                <w:sz w:val="14"/>
              </w:rPr>
            </w:pPr>
            <w:r>
              <w:rPr>
                <w:color w:val="231F20"/>
                <w:sz w:val="14"/>
              </w:rPr>
              <w:t>упућивати ученике на претраживање различитих извора и примену савремених технологија;</w:t>
            </w:r>
          </w:p>
          <w:p w:rsidR="00041039" w:rsidRDefault="001B26CB">
            <w:pPr>
              <w:pStyle w:val="TableParagraph"/>
              <w:numPr>
                <w:ilvl w:val="0"/>
                <w:numId w:val="1208"/>
              </w:numPr>
              <w:tabs>
                <w:tab w:val="left" w:pos="143"/>
              </w:tabs>
              <w:spacing w:line="237" w:lineRule="auto"/>
              <w:ind w:right="140"/>
              <w:rPr>
                <w:sz w:val="14"/>
              </w:rPr>
            </w:pPr>
            <w:r>
              <w:rPr>
                <w:b/>
                <w:color w:val="231F20"/>
                <w:sz w:val="14"/>
              </w:rPr>
              <w:t xml:space="preserve">Полиедри и обртна тела: </w:t>
            </w:r>
            <w:r>
              <w:rPr>
                <w:color w:val="231F20"/>
                <w:sz w:val="14"/>
              </w:rPr>
              <w:t>до­ пунити већ постојећа знања о телима новим планиметријским садржајима; омогућити учени­ цима боље виђење простора кроз разне примене и кроз рад</w:t>
            </w:r>
            <w:r>
              <w:rPr>
                <w:color w:val="231F20"/>
                <w:sz w:val="14"/>
              </w:rPr>
              <w:t xml:space="preserve"> са сложеним</w:t>
            </w:r>
            <w:r>
              <w:rPr>
                <w:color w:val="231F20"/>
                <w:spacing w:val="-1"/>
                <w:sz w:val="14"/>
              </w:rPr>
              <w:t xml:space="preserve"> </w:t>
            </w:r>
            <w:r>
              <w:rPr>
                <w:color w:val="231F20"/>
                <w:sz w:val="14"/>
              </w:rPr>
              <w:t>телима.</w:t>
            </w:r>
          </w:p>
          <w:p w:rsidR="00041039" w:rsidRDefault="001B26CB">
            <w:pPr>
              <w:pStyle w:val="TableParagraph"/>
              <w:numPr>
                <w:ilvl w:val="0"/>
                <w:numId w:val="1208"/>
              </w:numPr>
              <w:tabs>
                <w:tab w:val="left" w:pos="143"/>
              </w:tabs>
              <w:spacing w:before="2"/>
              <w:ind w:right="101"/>
              <w:rPr>
                <w:sz w:val="14"/>
              </w:rPr>
            </w:pPr>
            <w:r>
              <w:rPr>
                <w:b/>
                <w:color w:val="231F20"/>
                <w:sz w:val="14"/>
              </w:rPr>
              <w:t xml:space="preserve">Вектори: </w:t>
            </w:r>
            <w:r>
              <w:rPr>
                <w:color w:val="231F20"/>
                <w:sz w:val="14"/>
              </w:rPr>
              <w:t>представити коор­ динатно скаларни, векторски и мешовити производ и користити их при израчунавању површина</w:t>
            </w:r>
            <w:r>
              <w:rPr>
                <w:color w:val="231F20"/>
                <w:spacing w:val="-22"/>
                <w:sz w:val="14"/>
              </w:rPr>
              <w:t xml:space="preserve"> </w:t>
            </w:r>
            <w:r>
              <w:rPr>
                <w:color w:val="231F20"/>
                <w:sz w:val="14"/>
              </w:rPr>
              <w:t>и запремина.</w:t>
            </w:r>
          </w:p>
          <w:p w:rsidR="00041039" w:rsidRDefault="001B26CB">
            <w:pPr>
              <w:pStyle w:val="TableParagraph"/>
              <w:numPr>
                <w:ilvl w:val="0"/>
                <w:numId w:val="1208"/>
              </w:numPr>
              <w:tabs>
                <w:tab w:val="left" w:pos="143"/>
              </w:tabs>
              <w:spacing w:line="237" w:lineRule="auto"/>
              <w:ind w:right="419"/>
              <w:rPr>
                <w:sz w:val="14"/>
              </w:rPr>
            </w:pPr>
            <w:r>
              <w:rPr>
                <w:b/>
                <w:color w:val="231F20"/>
                <w:sz w:val="14"/>
              </w:rPr>
              <w:t xml:space="preserve">Аналитичка геометрија у равни: </w:t>
            </w:r>
            <w:r>
              <w:rPr>
                <w:color w:val="231F20"/>
                <w:sz w:val="14"/>
              </w:rPr>
              <w:t>развијати способно­ сти за формирање</w:t>
            </w:r>
            <w:r>
              <w:rPr>
                <w:color w:val="231F20"/>
                <w:spacing w:val="-13"/>
                <w:sz w:val="14"/>
              </w:rPr>
              <w:t xml:space="preserve"> </w:t>
            </w:r>
            <w:r>
              <w:rPr>
                <w:color w:val="231F20"/>
                <w:sz w:val="14"/>
              </w:rPr>
              <w:t>једначина</w:t>
            </w:r>
          </w:p>
          <w:p w:rsidR="00041039" w:rsidRDefault="001B26CB">
            <w:pPr>
              <w:pStyle w:val="TableParagraph"/>
              <w:spacing w:line="237" w:lineRule="auto"/>
              <w:ind w:left="142"/>
              <w:rPr>
                <w:sz w:val="14"/>
              </w:rPr>
            </w:pPr>
            <w:r>
              <w:rPr>
                <w:color w:val="231F20"/>
                <w:sz w:val="14"/>
              </w:rPr>
              <w:t>правих и кривих другог реда при испитивању међусобних положаја ових линија; решавати познате планиметријске проблеме алатом аналитичке геометрије.</w:t>
            </w:r>
          </w:p>
        </w:tc>
      </w:tr>
      <w:tr w:rsidR="00041039">
        <w:trPr>
          <w:trHeight w:val="2600"/>
        </w:trPr>
        <w:tc>
          <w:tcPr>
            <w:tcW w:w="1304" w:type="dxa"/>
          </w:tcPr>
          <w:p w:rsidR="00041039" w:rsidRDefault="001B26CB">
            <w:pPr>
              <w:pStyle w:val="TableParagraph"/>
              <w:spacing w:before="19"/>
              <w:ind w:left="56"/>
              <w:rPr>
                <w:sz w:val="14"/>
              </w:rPr>
            </w:pPr>
            <w:r>
              <w:rPr>
                <w:color w:val="231F20"/>
                <w:sz w:val="14"/>
              </w:rPr>
              <w:t>Обртна тела</w:t>
            </w:r>
          </w:p>
        </w:tc>
        <w:tc>
          <w:tcPr>
            <w:tcW w:w="1587" w:type="dxa"/>
          </w:tcPr>
          <w:p w:rsidR="00041039" w:rsidRDefault="001B26CB">
            <w:pPr>
              <w:pStyle w:val="TableParagraph"/>
              <w:numPr>
                <w:ilvl w:val="0"/>
                <w:numId w:val="1207"/>
              </w:numPr>
              <w:tabs>
                <w:tab w:val="left" w:pos="157"/>
              </w:tabs>
              <w:spacing w:before="9"/>
              <w:ind w:right="138"/>
              <w:rPr>
                <w:sz w:val="14"/>
              </w:rPr>
            </w:pPr>
            <w:r>
              <w:rPr>
                <w:color w:val="231F20"/>
                <w:sz w:val="14"/>
              </w:rPr>
              <w:t>Употпуњавање</w:t>
            </w:r>
            <w:r>
              <w:rPr>
                <w:color w:val="231F20"/>
                <w:spacing w:val="-18"/>
                <w:sz w:val="14"/>
              </w:rPr>
              <w:t xml:space="preserve"> </w:t>
            </w:r>
            <w:r>
              <w:rPr>
                <w:color w:val="231F20"/>
                <w:sz w:val="14"/>
              </w:rPr>
              <w:t>знања о површини и запре­ мини обртних тела и примена ових</w:t>
            </w:r>
            <w:r>
              <w:rPr>
                <w:color w:val="231F20"/>
                <w:spacing w:val="-9"/>
                <w:sz w:val="14"/>
              </w:rPr>
              <w:t xml:space="preserve"> </w:t>
            </w:r>
            <w:r>
              <w:rPr>
                <w:color w:val="231F20"/>
                <w:sz w:val="14"/>
              </w:rPr>
              <w:t>знања.</w:t>
            </w:r>
          </w:p>
        </w:tc>
        <w:tc>
          <w:tcPr>
            <w:tcW w:w="2551" w:type="dxa"/>
          </w:tcPr>
          <w:p w:rsidR="00041039" w:rsidRDefault="001B26CB">
            <w:pPr>
              <w:pStyle w:val="TableParagraph"/>
              <w:numPr>
                <w:ilvl w:val="0"/>
                <w:numId w:val="1206"/>
              </w:numPr>
              <w:tabs>
                <w:tab w:val="left" w:pos="157"/>
              </w:tabs>
              <w:spacing w:before="9"/>
              <w:ind w:right="197" w:hanging="99"/>
              <w:jc w:val="both"/>
              <w:rPr>
                <w:sz w:val="14"/>
              </w:rPr>
            </w:pPr>
            <w:r>
              <w:rPr>
                <w:color w:val="231F20"/>
                <w:sz w:val="14"/>
              </w:rPr>
              <w:t>напише и примени формуле за изра­ чунавање обима и површине круга</w:t>
            </w:r>
            <w:r>
              <w:rPr>
                <w:color w:val="231F20"/>
                <w:spacing w:val="-14"/>
                <w:sz w:val="14"/>
              </w:rPr>
              <w:t xml:space="preserve"> </w:t>
            </w:r>
            <w:r>
              <w:rPr>
                <w:color w:val="231F20"/>
                <w:sz w:val="14"/>
              </w:rPr>
              <w:t>и делова</w:t>
            </w:r>
            <w:r>
              <w:rPr>
                <w:color w:val="231F20"/>
                <w:spacing w:val="-1"/>
                <w:sz w:val="14"/>
              </w:rPr>
              <w:t xml:space="preserve"> </w:t>
            </w:r>
            <w:r>
              <w:rPr>
                <w:color w:val="231F20"/>
                <w:sz w:val="14"/>
              </w:rPr>
              <w:t>круга;</w:t>
            </w:r>
          </w:p>
          <w:p w:rsidR="00041039" w:rsidRDefault="001B26CB">
            <w:pPr>
              <w:pStyle w:val="TableParagraph"/>
              <w:numPr>
                <w:ilvl w:val="0"/>
                <w:numId w:val="1206"/>
              </w:numPr>
              <w:tabs>
                <w:tab w:val="left" w:pos="157"/>
              </w:tabs>
              <w:spacing w:line="157" w:lineRule="exact"/>
              <w:ind w:hanging="99"/>
              <w:rPr>
                <w:sz w:val="14"/>
              </w:rPr>
            </w:pPr>
            <w:r>
              <w:rPr>
                <w:color w:val="231F20"/>
                <w:sz w:val="14"/>
              </w:rPr>
              <w:t>проналази равне пресеке облих тела</w:t>
            </w:r>
            <w:r>
              <w:rPr>
                <w:color w:val="231F20"/>
                <w:spacing w:val="-12"/>
                <w:sz w:val="14"/>
              </w:rPr>
              <w:t xml:space="preserve"> </w:t>
            </w:r>
            <w:r>
              <w:rPr>
                <w:color w:val="231F20"/>
                <w:sz w:val="14"/>
              </w:rPr>
              <w:t>и</w:t>
            </w:r>
          </w:p>
          <w:p w:rsidR="00041039" w:rsidRDefault="001B26CB">
            <w:pPr>
              <w:pStyle w:val="TableParagraph"/>
              <w:spacing w:line="155" w:lineRule="exact"/>
              <w:rPr>
                <w:sz w:val="14"/>
              </w:rPr>
            </w:pPr>
            <w:r>
              <w:rPr>
                <w:color w:val="231F20"/>
                <w:sz w:val="14"/>
              </w:rPr>
              <w:t>израчунава им површину;</w:t>
            </w:r>
          </w:p>
          <w:p w:rsidR="00041039" w:rsidRDefault="001B26CB">
            <w:pPr>
              <w:pStyle w:val="TableParagraph"/>
              <w:numPr>
                <w:ilvl w:val="0"/>
                <w:numId w:val="1206"/>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ваљка;</w:t>
            </w:r>
          </w:p>
          <w:p w:rsidR="00041039" w:rsidRDefault="001B26CB">
            <w:pPr>
              <w:pStyle w:val="TableParagraph"/>
              <w:numPr>
                <w:ilvl w:val="0"/>
                <w:numId w:val="1206"/>
              </w:numPr>
              <w:tabs>
                <w:tab w:val="left" w:pos="157"/>
              </w:tabs>
              <w:spacing w:line="155" w:lineRule="exact"/>
              <w:ind w:hanging="99"/>
              <w:rPr>
                <w:sz w:val="14"/>
              </w:rPr>
            </w:pPr>
            <w:r>
              <w:rPr>
                <w:color w:val="231F20"/>
                <w:sz w:val="14"/>
              </w:rPr>
              <w:t>израчуна површину и запремину</w:t>
            </w:r>
            <w:r>
              <w:rPr>
                <w:color w:val="231F20"/>
                <w:spacing w:val="-19"/>
                <w:sz w:val="14"/>
              </w:rPr>
              <w:t xml:space="preserve"> </w:t>
            </w:r>
            <w:r>
              <w:rPr>
                <w:color w:val="231F20"/>
                <w:sz w:val="14"/>
              </w:rPr>
              <w:t>купе;</w:t>
            </w:r>
          </w:p>
          <w:p w:rsidR="00041039" w:rsidRDefault="001B26CB">
            <w:pPr>
              <w:pStyle w:val="TableParagraph"/>
              <w:numPr>
                <w:ilvl w:val="0"/>
                <w:numId w:val="1206"/>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зарубљене</w:t>
            </w:r>
            <w:r>
              <w:rPr>
                <w:color w:val="231F20"/>
                <w:spacing w:val="-1"/>
                <w:sz w:val="14"/>
              </w:rPr>
              <w:t xml:space="preserve"> </w:t>
            </w:r>
            <w:r>
              <w:rPr>
                <w:color w:val="231F20"/>
                <w:sz w:val="14"/>
              </w:rPr>
              <w:t>купе;</w:t>
            </w:r>
          </w:p>
          <w:p w:rsidR="00041039" w:rsidRDefault="001B26CB">
            <w:pPr>
              <w:pStyle w:val="TableParagraph"/>
              <w:numPr>
                <w:ilvl w:val="0"/>
                <w:numId w:val="1206"/>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ротационог</w:t>
            </w:r>
            <w:r>
              <w:rPr>
                <w:color w:val="231F20"/>
                <w:spacing w:val="-1"/>
                <w:sz w:val="14"/>
              </w:rPr>
              <w:t xml:space="preserve"> </w:t>
            </w:r>
            <w:r>
              <w:rPr>
                <w:color w:val="231F20"/>
                <w:sz w:val="14"/>
              </w:rPr>
              <w:t>тела;</w:t>
            </w:r>
          </w:p>
          <w:p w:rsidR="00041039" w:rsidRDefault="001B26CB">
            <w:pPr>
              <w:pStyle w:val="TableParagraph"/>
              <w:numPr>
                <w:ilvl w:val="0"/>
                <w:numId w:val="1206"/>
              </w:numPr>
              <w:tabs>
                <w:tab w:val="left" w:pos="157"/>
              </w:tabs>
              <w:spacing w:line="160" w:lineRule="exact"/>
              <w:ind w:right="55" w:hanging="99"/>
              <w:rPr>
                <w:sz w:val="14"/>
              </w:rPr>
            </w:pPr>
            <w:r>
              <w:rPr>
                <w:color w:val="231F20"/>
                <w:sz w:val="14"/>
              </w:rPr>
              <w:t>израчуна</w:t>
            </w:r>
            <w:r>
              <w:rPr>
                <w:color w:val="231F20"/>
                <w:spacing w:val="-7"/>
                <w:sz w:val="14"/>
              </w:rPr>
              <w:t xml:space="preserve"> </w:t>
            </w:r>
            <w:r>
              <w:rPr>
                <w:color w:val="231F20"/>
                <w:sz w:val="14"/>
              </w:rPr>
              <w:t>површину</w:t>
            </w:r>
            <w:r>
              <w:rPr>
                <w:color w:val="231F20"/>
                <w:spacing w:val="-8"/>
                <w:sz w:val="14"/>
              </w:rPr>
              <w:t xml:space="preserve"> </w:t>
            </w:r>
            <w:r>
              <w:rPr>
                <w:color w:val="231F20"/>
                <w:sz w:val="14"/>
              </w:rPr>
              <w:t>и</w:t>
            </w:r>
            <w:r>
              <w:rPr>
                <w:color w:val="231F20"/>
                <w:spacing w:val="-8"/>
                <w:sz w:val="14"/>
              </w:rPr>
              <w:t xml:space="preserve"> </w:t>
            </w:r>
            <w:r>
              <w:rPr>
                <w:color w:val="231F20"/>
                <w:sz w:val="14"/>
              </w:rPr>
              <w:t>запремину</w:t>
            </w:r>
            <w:r>
              <w:rPr>
                <w:color w:val="231F20"/>
                <w:spacing w:val="-8"/>
                <w:sz w:val="14"/>
              </w:rPr>
              <w:t xml:space="preserve"> </w:t>
            </w:r>
            <w:r>
              <w:rPr>
                <w:color w:val="231F20"/>
                <w:sz w:val="14"/>
              </w:rPr>
              <w:t>лопте и делова</w:t>
            </w:r>
            <w:r>
              <w:rPr>
                <w:color w:val="231F20"/>
                <w:spacing w:val="-2"/>
                <w:sz w:val="14"/>
              </w:rPr>
              <w:t xml:space="preserve"> </w:t>
            </w:r>
            <w:r>
              <w:rPr>
                <w:color w:val="231F20"/>
                <w:sz w:val="14"/>
              </w:rPr>
              <w:t>лопте;</w:t>
            </w:r>
          </w:p>
          <w:p w:rsidR="00041039" w:rsidRDefault="001B26CB">
            <w:pPr>
              <w:pStyle w:val="TableParagraph"/>
              <w:numPr>
                <w:ilvl w:val="0"/>
                <w:numId w:val="1206"/>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сложеног</w:t>
            </w:r>
            <w:r>
              <w:rPr>
                <w:color w:val="231F20"/>
                <w:spacing w:val="-1"/>
                <w:sz w:val="14"/>
              </w:rPr>
              <w:t xml:space="preserve"> </w:t>
            </w:r>
            <w:r>
              <w:rPr>
                <w:color w:val="231F20"/>
                <w:sz w:val="14"/>
              </w:rPr>
              <w:t>тела;</w:t>
            </w:r>
          </w:p>
        </w:tc>
        <w:tc>
          <w:tcPr>
            <w:tcW w:w="2834" w:type="dxa"/>
          </w:tcPr>
          <w:p w:rsidR="00041039" w:rsidRDefault="001B26CB">
            <w:pPr>
              <w:pStyle w:val="TableParagraph"/>
              <w:numPr>
                <w:ilvl w:val="0"/>
                <w:numId w:val="1205"/>
              </w:numPr>
              <w:tabs>
                <w:tab w:val="left" w:pos="157"/>
              </w:tabs>
              <w:spacing w:before="10" w:line="166" w:lineRule="exact"/>
              <w:ind w:hanging="99"/>
              <w:rPr>
                <w:sz w:val="14"/>
              </w:rPr>
            </w:pPr>
            <w:r>
              <w:rPr>
                <w:color w:val="231F20"/>
                <w:sz w:val="14"/>
              </w:rPr>
              <w:t>Површина круга и делова</w:t>
            </w:r>
            <w:r>
              <w:rPr>
                <w:color w:val="231F20"/>
                <w:spacing w:val="-5"/>
                <w:sz w:val="14"/>
              </w:rPr>
              <w:t xml:space="preserve"> </w:t>
            </w:r>
            <w:r>
              <w:rPr>
                <w:color w:val="231F20"/>
                <w:sz w:val="14"/>
              </w:rPr>
              <w:t>круга.</w:t>
            </w:r>
          </w:p>
          <w:p w:rsidR="00041039" w:rsidRDefault="001B26CB">
            <w:pPr>
              <w:pStyle w:val="TableParagraph"/>
              <w:numPr>
                <w:ilvl w:val="0"/>
                <w:numId w:val="1205"/>
              </w:numPr>
              <w:tabs>
                <w:tab w:val="left" w:pos="157"/>
              </w:tabs>
              <w:spacing w:line="160" w:lineRule="exact"/>
              <w:ind w:hanging="99"/>
              <w:rPr>
                <w:sz w:val="14"/>
              </w:rPr>
            </w:pPr>
            <w:r>
              <w:rPr>
                <w:color w:val="231F20"/>
                <w:sz w:val="14"/>
              </w:rPr>
              <w:t>Површина и запремина</w:t>
            </w:r>
            <w:r>
              <w:rPr>
                <w:color w:val="231F20"/>
                <w:spacing w:val="-6"/>
                <w:sz w:val="14"/>
              </w:rPr>
              <w:t xml:space="preserve"> </w:t>
            </w:r>
            <w:r>
              <w:rPr>
                <w:color w:val="231F20"/>
                <w:sz w:val="14"/>
              </w:rPr>
              <w:t>ваљка.</w:t>
            </w:r>
          </w:p>
          <w:p w:rsidR="00041039" w:rsidRDefault="001B26CB">
            <w:pPr>
              <w:pStyle w:val="TableParagraph"/>
              <w:numPr>
                <w:ilvl w:val="0"/>
                <w:numId w:val="1205"/>
              </w:numPr>
              <w:tabs>
                <w:tab w:val="left" w:pos="157"/>
              </w:tabs>
              <w:spacing w:line="237" w:lineRule="auto"/>
              <w:ind w:right="191" w:hanging="99"/>
              <w:rPr>
                <w:sz w:val="14"/>
              </w:rPr>
            </w:pPr>
            <w:r>
              <w:rPr>
                <w:color w:val="231F20"/>
                <w:sz w:val="14"/>
              </w:rPr>
              <w:t>Површина и запремина купе и</w:t>
            </w:r>
            <w:r>
              <w:rPr>
                <w:color w:val="231F20"/>
                <w:spacing w:val="-26"/>
                <w:sz w:val="14"/>
              </w:rPr>
              <w:t xml:space="preserve"> </w:t>
            </w:r>
            <w:r>
              <w:rPr>
                <w:color w:val="231F20"/>
                <w:sz w:val="14"/>
              </w:rPr>
              <w:t>зарубљене купе.</w:t>
            </w:r>
          </w:p>
          <w:p w:rsidR="00041039" w:rsidRDefault="001B26CB">
            <w:pPr>
              <w:pStyle w:val="TableParagraph"/>
              <w:numPr>
                <w:ilvl w:val="0"/>
                <w:numId w:val="1205"/>
              </w:numPr>
              <w:tabs>
                <w:tab w:val="left" w:pos="157"/>
              </w:tabs>
              <w:spacing w:line="160" w:lineRule="exact"/>
              <w:ind w:right="352" w:hanging="99"/>
              <w:rPr>
                <w:sz w:val="14"/>
              </w:rPr>
            </w:pPr>
            <w:r>
              <w:rPr>
                <w:color w:val="231F20"/>
                <w:sz w:val="14"/>
              </w:rPr>
              <w:t>Површина и запремина лопте и</w:t>
            </w:r>
            <w:r>
              <w:rPr>
                <w:color w:val="231F20"/>
                <w:spacing w:val="-24"/>
                <w:sz w:val="14"/>
              </w:rPr>
              <w:t xml:space="preserve"> </w:t>
            </w:r>
            <w:r>
              <w:rPr>
                <w:color w:val="231F20"/>
                <w:sz w:val="14"/>
              </w:rPr>
              <w:t>делова лопте.</w:t>
            </w:r>
          </w:p>
          <w:p w:rsidR="00041039" w:rsidRDefault="001B26CB">
            <w:pPr>
              <w:pStyle w:val="TableParagraph"/>
              <w:numPr>
                <w:ilvl w:val="0"/>
                <w:numId w:val="1205"/>
              </w:numPr>
              <w:tabs>
                <w:tab w:val="left" w:pos="157"/>
              </w:tabs>
              <w:spacing w:line="159" w:lineRule="exact"/>
              <w:ind w:hanging="99"/>
              <w:rPr>
                <w:sz w:val="14"/>
              </w:rPr>
            </w:pPr>
            <w:r>
              <w:rPr>
                <w:color w:val="231F20"/>
                <w:sz w:val="14"/>
              </w:rPr>
              <w:t>Ротациона</w:t>
            </w:r>
            <w:r>
              <w:rPr>
                <w:color w:val="231F20"/>
                <w:spacing w:val="-1"/>
                <w:sz w:val="14"/>
              </w:rPr>
              <w:t xml:space="preserve"> </w:t>
            </w:r>
            <w:r>
              <w:rPr>
                <w:color w:val="231F20"/>
                <w:sz w:val="14"/>
              </w:rPr>
              <w:t>тела.</w:t>
            </w:r>
          </w:p>
        </w:tc>
        <w:tc>
          <w:tcPr>
            <w:tcW w:w="2267" w:type="dxa"/>
            <w:vMerge/>
            <w:tcBorders>
              <w:top w:val="nil"/>
            </w:tcBorders>
          </w:tcPr>
          <w:p w:rsidR="00041039" w:rsidRDefault="00041039">
            <w:pPr>
              <w:rPr>
                <w:sz w:val="2"/>
                <w:szCs w:val="2"/>
              </w:rPr>
            </w:pPr>
          </w:p>
        </w:tc>
      </w:tr>
      <w:tr w:rsidR="00041039">
        <w:trPr>
          <w:trHeight w:val="3139"/>
        </w:trPr>
        <w:tc>
          <w:tcPr>
            <w:tcW w:w="1304" w:type="dxa"/>
          </w:tcPr>
          <w:p w:rsidR="00041039" w:rsidRDefault="001B26CB">
            <w:pPr>
              <w:pStyle w:val="TableParagraph"/>
              <w:spacing w:before="20"/>
              <w:ind w:left="56"/>
              <w:rPr>
                <w:sz w:val="14"/>
              </w:rPr>
            </w:pPr>
            <w:r>
              <w:rPr>
                <w:color w:val="231F20"/>
                <w:sz w:val="14"/>
              </w:rPr>
              <w:t>Вектори</w:t>
            </w:r>
          </w:p>
        </w:tc>
        <w:tc>
          <w:tcPr>
            <w:tcW w:w="1587" w:type="dxa"/>
          </w:tcPr>
          <w:p w:rsidR="00041039" w:rsidRDefault="001B26CB">
            <w:pPr>
              <w:pStyle w:val="TableParagraph"/>
              <w:numPr>
                <w:ilvl w:val="0"/>
                <w:numId w:val="1204"/>
              </w:numPr>
              <w:tabs>
                <w:tab w:val="left" w:pos="157"/>
              </w:tabs>
              <w:spacing w:before="10"/>
              <w:ind w:right="128"/>
              <w:rPr>
                <w:sz w:val="14"/>
              </w:rPr>
            </w:pPr>
            <w:r>
              <w:rPr>
                <w:color w:val="231F20"/>
                <w:sz w:val="14"/>
              </w:rPr>
              <w:t>Систематизација стеченог знања о</w:t>
            </w:r>
            <w:r>
              <w:rPr>
                <w:color w:val="231F20"/>
                <w:spacing w:val="-10"/>
                <w:sz w:val="14"/>
              </w:rPr>
              <w:t xml:space="preserve"> </w:t>
            </w:r>
            <w:r>
              <w:rPr>
                <w:color w:val="231F20"/>
                <w:sz w:val="14"/>
              </w:rPr>
              <w:t>век­ торима и</w:t>
            </w:r>
            <w:r>
              <w:rPr>
                <w:color w:val="231F20"/>
                <w:spacing w:val="-4"/>
                <w:sz w:val="14"/>
              </w:rPr>
              <w:t xml:space="preserve"> </w:t>
            </w:r>
            <w:r>
              <w:rPr>
                <w:color w:val="231F20"/>
                <w:sz w:val="14"/>
              </w:rPr>
              <w:t>примена.</w:t>
            </w:r>
          </w:p>
        </w:tc>
        <w:tc>
          <w:tcPr>
            <w:tcW w:w="2551" w:type="dxa"/>
          </w:tcPr>
          <w:p w:rsidR="00041039" w:rsidRDefault="001B26CB">
            <w:pPr>
              <w:pStyle w:val="TableParagraph"/>
              <w:numPr>
                <w:ilvl w:val="0"/>
                <w:numId w:val="1203"/>
              </w:numPr>
              <w:tabs>
                <w:tab w:val="left" w:pos="157"/>
              </w:tabs>
              <w:spacing w:before="10"/>
              <w:ind w:right="213" w:hanging="99"/>
              <w:rPr>
                <w:sz w:val="14"/>
              </w:rPr>
            </w:pPr>
            <w:r>
              <w:rPr>
                <w:color w:val="231F20"/>
                <w:sz w:val="14"/>
              </w:rPr>
              <w:t>одреди</w:t>
            </w:r>
            <w:r>
              <w:rPr>
                <w:color w:val="231F20"/>
                <w:spacing w:val="-7"/>
                <w:sz w:val="14"/>
              </w:rPr>
              <w:t xml:space="preserve"> </w:t>
            </w:r>
            <w:r>
              <w:rPr>
                <w:color w:val="231F20"/>
                <w:sz w:val="14"/>
              </w:rPr>
              <w:t>вектор</w:t>
            </w:r>
            <w:r>
              <w:rPr>
                <w:color w:val="231F20"/>
                <w:spacing w:val="-7"/>
                <w:sz w:val="14"/>
              </w:rPr>
              <w:t xml:space="preserve"> </w:t>
            </w:r>
            <w:r>
              <w:rPr>
                <w:color w:val="231F20"/>
                <w:sz w:val="14"/>
              </w:rPr>
              <w:t>положаја</w:t>
            </w:r>
            <w:r>
              <w:rPr>
                <w:color w:val="231F20"/>
                <w:spacing w:val="-7"/>
                <w:sz w:val="14"/>
              </w:rPr>
              <w:t xml:space="preserve"> </w:t>
            </w:r>
            <w:r>
              <w:rPr>
                <w:color w:val="231F20"/>
                <w:sz w:val="14"/>
              </w:rPr>
              <w:t>тачке</w:t>
            </w:r>
            <w:r>
              <w:rPr>
                <w:color w:val="231F20"/>
                <w:spacing w:val="-7"/>
                <w:sz w:val="14"/>
              </w:rPr>
              <w:t xml:space="preserve"> </w:t>
            </w:r>
            <w:r>
              <w:rPr>
                <w:color w:val="231F20"/>
                <w:sz w:val="14"/>
              </w:rPr>
              <w:t>у</w:t>
            </w:r>
            <w:r>
              <w:rPr>
                <w:color w:val="231F20"/>
                <w:spacing w:val="-7"/>
                <w:sz w:val="14"/>
              </w:rPr>
              <w:t xml:space="preserve"> </w:t>
            </w:r>
            <w:r>
              <w:rPr>
                <w:color w:val="231F20"/>
                <w:sz w:val="14"/>
              </w:rPr>
              <w:t>про­ стору;</w:t>
            </w:r>
          </w:p>
          <w:p w:rsidR="00041039" w:rsidRDefault="001B26CB">
            <w:pPr>
              <w:pStyle w:val="TableParagraph"/>
              <w:numPr>
                <w:ilvl w:val="0"/>
                <w:numId w:val="1203"/>
              </w:numPr>
              <w:tabs>
                <w:tab w:val="left" w:pos="157"/>
              </w:tabs>
              <w:spacing w:line="160" w:lineRule="exact"/>
              <w:ind w:right="284" w:hanging="99"/>
              <w:rPr>
                <w:sz w:val="14"/>
              </w:rPr>
            </w:pPr>
            <w:r>
              <w:rPr>
                <w:color w:val="231F20"/>
                <w:sz w:val="14"/>
              </w:rPr>
              <w:t>одређује линеарну комбинацију</w:t>
            </w:r>
            <w:r>
              <w:rPr>
                <w:color w:val="231F20"/>
                <w:spacing w:val="-19"/>
                <w:sz w:val="14"/>
              </w:rPr>
              <w:t xml:space="preserve"> </w:t>
            </w:r>
            <w:r>
              <w:rPr>
                <w:color w:val="231F20"/>
                <w:sz w:val="14"/>
              </w:rPr>
              <w:t>за­ датих</w:t>
            </w:r>
            <w:r>
              <w:rPr>
                <w:color w:val="231F20"/>
                <w:spacing w:val="-1"/>
                <w:sz w:val="14"/>
              </w:rPr>
              <w:t xml:space="preserve"> </w:t>
            </w:r>
            <w:r>
              <w:rPr>
                <w:color w:val="231F20"/>
                <w:sz w:val="14"/>
              </w:rPr>
              <w:t>вектора;</w:t>
            </w:r>
          </w:p>
          <w:p w:rsidR="00041039" w:rsidRDefault="001B26CB">
            <w:pPr>
              <w:pStyle w:val="TableParagraph"/>
              <w:numPr>
                <w:ilvl w:val="0"/>
                <w:numId w:val="1203"/>
              </w:numPr>
              <w:tabs>
                <w:tab w:val="left" w:pos="157"/>
              </w:tabs>
              <w:spacing w:line="160" w:lineRule="exact"/>
              <w:ind w:right="137" w:hanging="99"/>
              <w:rPr>
                <w:sz w:val="14"/>
              </w:rPr>
            </w:pPr>
            <w:r>
              <w:rPr>
                <w:color w:val="231F20"/>
                <w:sz w:val="14"/>
              </w:rPr>
              <w:t>одреди</w:t>
            </w:r>
            <w:r>
              <w:rPr>
                <w:color w:val="231F20"/>
                <w:spacing w:val="-7"/>
                <w:sz w:val="14"/>
              </w:rPr>
              <w:t xml:space="preserve"> </w:t>
            </w:r>
            <w:r>
              <w:rPr>
                <w:color w:val="231F20"/>
                <w:sz w:val="14"/>
              </w:rPr>
              <w:t>скаларни</w:t>
            </w:r>
            <w:r>
              <w:rPr>
                <w:color w:val="231F20"/>
                <w:spacing w:val="-8"/>
                <w:sz w:val="14"/>
              </w:rPr>
              <w:t xml:space="preserve"> </w:t>
            </w:r>
            <w:r>
              <w:rPr>
                <w:color w:val="231F20"/>
                <w:sz w:val="14"/>
              </w:rPr>
              <w:t>производ</w:t>
            </w:r>
            <w:r>
              <w:rPr>
                <w:color w:val="231F20"/>
                <w:spacing w:val="-7"/>
                <w:sz w:val="14"/>
              </w:rPr>
              <w:t xml:space="preserve"> </w:t>
            </w:r>
            <w:r>
              <w:rPr>
                <w:color w:val="231F20"/>
                <w:sz w:val="14"/>
              </w:rPr>
              <w:t>вектора</w:t>
            </w:r>
            <w:r>
              <w:rPr>
                <w:color w:val="231F20"/>
                <w:spacing w:val="-7"/>
                <w:sz w:val="14"/>
              </w:rPr>
              <w:t xml:space="preserve"> </w:t>
            </w:r>
            <w:r>
              <w:rPr>
                <w:color w:val="231F20"/>
                <w:sz w:val="14"/>
              </w:rPr>
              <w:t>по дефиницији и</w:t>
            </w:r>
            <w:r>
              <w:rPr>
                <w:color w:val="231F20"/>
                <w:spacing w:val="-3"/>
                <w:sz w:val="14"/>
              </w:rPr>
              <w:t xml:space="preserve"> </w:t>
            </w:r>
            <w:r>
              <w:rPr>
                <w:color w:val="231F20"/>
                <w:sz w:val="14"/>
              </w:rPr>
              <w:t>координатно;</w:t>
            </w:r>
          </w:p>
          <w:p w:rsidR="00041039" w:rsidRDefault="001B26CB">
            <w:pPr>
              <w:pStyle w:val="TableParagraph"/>
              <w:numPr>
                <w:ilvl w:val="0"/>
                <w:numId w:val="1203"/>
              </w:numPr>
              <w:tabs>
                <w:tab w:val="left" w:pos="157"/>
              </w:tabs>
              <w:spacing w:line="153" w:lineRule="exact"/>
              <w:ind w:hanging="99"/>
              <w:rPr>
                <w:sz w:val="14"/>
              </w:rPr>
            </w:pPr>
            <w:r>
              <w:rPr>
                <w:color w:val="231F20"/>
                <w:sz w:val="14"/>
              </w:rPr>
              <w:t>израчуна детерминанту трећег</w:t>
            </w:r>
            <w:r>
              <w:rPr>
                <w:color w:val="231F20"/>
                <w:spacing w:val="-5"/>
                <w:sz w:val="14"/>
              </w:rPr>
              <w:t xml:space="preserve"> </w:t>
            </w:r>
            <w:r>
              <w:rPr>
                <w:color w:val="231F20"/>
                <w:sz w:val="14"/>
              </w:rPr>
              <w:t>реда;</w:t>
            </w:r>
          </w:p>
          <w:p w:rsidR="00041039" w:rsidRDefault="001B26CB">
            <w:pPr>
              <w:pStyle w:val="TableParagraph"/>
              <w:numPr>
                <w:ilvl w:val="0"/>
                <w:numId w:val="1203"/>
              </w:numPr>
              <w:tabs>
                <w:tab w:val="left" w:pos="157"/>
              </w:tabs>
              <w:spacing w:line="237" w:lineRule="auto"/>
              <w:ind w:right="153" w:hanging="99"/>
              <w:rPr>
                <w:sz w:val="14"/>
              </w:rPr>
            </w:pPr>
            <w:r>
              <w:rPr>
                <w:color w:val="231F20"/>
                <w:sz w:val="14"/>
              </w:rPr>
              <w:t>одреди</w:t>
            </w:r>
            <w:r>
              <w:rPr>
                <w:color w:val="231F20"/>
                <w:spacing w:val="-7"/>
                <w:sz w:val="14"/>
              </w:rPr>
              <w:t xml:space="preserve"> </w:t>
            </w:r>
            <w:r>
              <w:rPr>
                <w:color w:val="231F20"/>
                <w:sz w:val="14"/>
              </w:rPr>
              <w:t>векторски</w:t>
            </w:r>
            <w:r>
              <w:rPr>
                <w:color w:val="231F20"/>
                <w:spacing w:val="-7"/>
                <w:sz w:val="14"/>
              </w:rPr>
              <w:t xml:space="preserve"> </w:t>
            </w:r>
            <w:r>
              <w:rPr>
                <w:color w:val="231F20"/>
                <w:sz w:val="14"/>
              </w:rPr>
              <w:t>и</w:t>
            </w:r>
            <w:r>
              <w:rPr>
                <w:color w:val="231F20"/>
                <w:spacing w:val="-8"/>
                <w:sz w:val="14"/>
              </w:rPr>
              <w:t xml:space="preserve"> </w:t>
            </w:r>
            <w:r>
              <w:rPr>
                <w:color w:val="231F20"/>
                <w:sz w:val="14"/>
              </w:rPr>
              <w:t>производ</w:t>
            </w:r>
            <w:r>
              <w:rPr>
                <w:color w:val="231F20"/>
                <w:spacing w:val="-7"/>
                <w:sz w:val="14"/>
              </w:rPr>
              <w:t xml:space="preserve"> </w:t>
            </w:r>
            <w:r>
              <w:rPr>
                <w:color w:val="231F20"/>
                <w:sz w:val="14"/>
              </w:rPr>
              <w:t>вектора по дефиницији и</w:t>
            </w:r>
            <w:r>
              <w:rPr>
                <w:color w:val="231F20"/>
                <w:spacing w:val="-5"/>
                <w:sz w:val="14"/>
              </w:rPr>
              <w:t xml:space="preserve"> </w:t>
            </w:r>
            <w:r>
              <w:rPr>
                <w:color w:val="231F20"/>
                <w:sz w:val="14"/>
              </w:rPr>
              <w:t>координатно;</w:t>
            </w:r>
          </w:p>
          <w:p w:rsidR="00041039" w:rsidRDefault="001B26CB">
            <w:pPr>
              <w:pStyle w:val="TableParagraph"/>
              <w:numPr>
                <w:ilvl w:val="0"/>
                <w:numId w:val="1203"/>
              </w:numPr>
              <w:tabs>
                <w:tab w:val="left" w:pos="157"/>
              </w:tabs>
              <w:spacing w:line="160" w:lineRule="exact"/>
              <w:ind w:right="75" w:hanging="99"/>
              <w:rPr>
                <w:sz w:val="14"/>
              </w:rPr>
            </w:pPr>
            <w:r>
              <w:rPr>
                <w:color w:val="231F20"/>
                <w:sz w:val="14"/>
              </w:rPr>
              <w:t>одреди мешовити производ вектора</w:t>
            </w:r>
            <w:r>
              <w:rPr>
                <w:color w:val="231F20"/>
                <w:spacing w:val="-23"/>
                <w:sz w:val="14"/>
              </w:rPr>
              <w:t xml:space="preserve"> </w:t>
            </w:r>
            <w:r>
              <w:rPr>
                <w:color w:val="231F20"/>
                <w:sz w:val="14"/>
              </w:rPr>
              <w:t>по дефиницији и</w:t>
            </w:r>
            <w:r>
              <w:rPr>
                <w:color w:val="231F20"/>
                <w:spacing w:val="-3"/>
                <w:sz w:val="14"/>
              </w:rPr>
              <w:t xml:space="preserve"> </w:t>
            </w:r>
            <w:r>
              <w:rPr>
                <w:color w:val="231F20"/>
                <w:sz w:val="14"/>
              </w:rPr>
              <w:t>координатно;</w:t>
            </w:r>
          </w:p>
          <w:p w:rsidR="00041039" w:rsidRDefault="001B26CB">
            <w:pPr>
              <w:pStyle w:val="TableParagraph"/>
              <w:numPr>
                <w:ilvl w:val="0"/>
                <w:numId w:val="1203"/>
              </w:numPr>
              <w:tabs>
                <w:tab w:val="left" w:pos="157"/>
              </w:tabs>
              <w:spacing w:line="160" w:lineRule="exact"/>
              <w:ind w:right="50" w:hanging="99"/>
              <w:rPr>
                <w:sz w:val="14"/>
              </w:rPr>
            </w:pPr>
            <w:r>
              <w:rPr>
                <w:color w:val="231F20"/>
                <w:sz w:val="14"/>
              </w:rPr>
              <w:t>одреди запремину и површину базе</w:t>
            </w:r>
            <w:r>
              <w:rPr>
                <w:color w:val="231F20"/>
                <w:spacing w:val="-23"/>
                <w:sz w:val="14"/>
              </w:rPr>
              <w:t xml:space="preserve"> </w:t>
            </w:r>
            <w:r>
              <w:rPr>
                <w:color w:val="231F20"/>
                <w:spacing w:val="-3"/>
                <w:sz w:val="14"/>
              </w:rPr>
              <w:t xml:space="preserve">ко­ </w:t>
            </w:r>
            <w:r>
              <w:rPr>
                <w:color w:val="231F20"/>
                <w:sz w:val="14"/>
              </w:rPr>
              <w:t>ординатно задате призме и</w:t>
            </w:r>
            <w:r>
              <w:rPr>
                <w:color w:val="231F20"/>
                <w:spacing w:val="-16"/>
                <w:sz w:val="14"/>
              </w:rPr>
              <w:t xml:space="preserve"> </w:t>
            </w:r>
            <w:r>
              <w:rPr>
                <w:color w:val="231F20"/>
                <w:sz w:val="14"/>
              </w:rPr>
              <w:t>пирамиде</w:t>
            </w:r>
          </w:p>
        </w:tc>
        <w:tc>
          <w:tcPr>
            <w:tcW w:w="2834" w:type="dxa"/>
          </w:tcPr>
          <w:p w:rsidR="00041039" w:rsidRDefault="001B26CB">
            <w:pPr>
              <w:pStyle w:val="TableParagraph"/>
              <w:numPr>
                <w:ilvl w:val="0"/>
                <w:numId w:val="1202"/>
              </w:numPr>
              <w:tabs>
                <w:tab w:val="left" w:pos="158"/>
              </w:tabs>
              <w:spacing w:before="10" w:line="166" w:lineRule="exact"/>
              <w:rPr>
                <w:sz w:val="14"/>
              </w:rPr>
            </w:pPr>
            <w:r>
              <w:rPr>
                <w:color w:val="231F20"/>
                <w:sz w:val="14"/>
              </w:rPr>
              <w:t>Детерминанте другог и трећег</w:t>
            </w:r>
            <w:r>
              <w:rPr>
                <w:color w:val="231F20"/>
                <w:spacing w:val="-3"/>
                <w:sz w:val="14"/>
              </w:rPr>
              <w:t xml:space="preserve"> </w:t>
            </w:r>
            <w:r>
              <w:rPr>
                <w:color w:val="231F20"/>
                <w:sz w:val="14"/>
              </w:rPr>
              <w:t>реда.</w:t>
            </w:r>
          </w:p>
          <w:p w:rsidR="00041039" w:rsidRDefault="001B26CB">
            <w:pPr>
              <w:pStyle w:val="TableParagraph"/>
              <w:numPr>
                <w:ilvl w:val="0"/>
                <w:numId w:val="1202"/>
              </w:numPr>
              <w:tabs>
                <w:tab w:val="left" w:pos="158"/>
              </w:tabs>
              <w:spacing w:line="237" w:lineRule="auto"/>
              <w:ind w:right="110"/>
              <w:rPr>
                <w:sz w:val="14"/>
              </w:rPr>
            </w:pPr>
            <w:r>
              <w:rPr>
                <w:color w:val="231F20"/>
                <w:sz w:val="14"/>
              </w:rPr>
              <w:t>Основне</w:t>
            </w:r>
            <w:r>
              <w:rPr>
                <w:color w:val="231F20"/>
                <w:spacing w:val="-8"/>
                <w:sz w:val="14"/>
              </w:rPr>
              <w:t xml:space="preserve"> </w:t>
            </w:r>
            <w:r>
              <w:rPr>
                <w:color w:val="231F20"/>
                <w:sz w:val="14"/>
              </w:rPr>
              <w:t>рачунске</w:t>
            </w:r>
            <w:r>
              <w:rPr>
                <w:color w:val="231F20"/>
                <w:spacing w:val="-7"/>
                <w:sz w:val="14"/>
              </w:rPr>
              <w:t xml:space="preserve"> </w:t>
            </w:r>
            <w:r>
              <w:rPr>
                <w:color w:val="231F20"/>
                <w:sz w:val="14"/>
              </w:rPr>
              <w:t>операције</w:t>
            </w:r>
            <w:r>
              <w:rPr>
                <w:color w:val="231F20"/>
                <w:spacing w:val="-7"/>
                <w:sz w:val="14"/>
              </w:rPr>
              <w:t xml:space="preserve"> </w:t>
            </w:r>
            <w:r>
              <w:rPr>
                <w:color w:val="231F20"/>
                <w:sz w:val="14"/>
              </w:rPr>
              <w:t>са</w:t>
            </w:r>
            <w:r>
              <w:rPr>
                <w:color w:val="231F20"/>
                <w:spacing w:val="-7"/>
                <w:sz w:val="14"/>
              </w:rPr>
              <w:t xml:space="preserve"> </w:t>
            </w:r>
            <w:r>
              <w:rPr>
                <w:color w:val="231F20"/>
                <w:sz w:val="14"/>
              </w:rPr>
              <w:t>координат­ но</w:t>
            </w:r>
            <w:r>
              <w:rPr>
                <w:color w:val="231F20"/>
                <w:spacing w:val="-6"/>
                <w:sz w:val="14"/>
              </w:rPr>
              <w:t xml:space="preserve"> </w:t>
            </w:r>
            <w:r>
              <w:rPr>
                <w:color w:val="231F20"/>
                <w:sz w:val="14"/>
              </w:rPr>
              <w:t>задатим</w:t>
            </w:r>
            <w:r>
              <w:rPr>
                <w:color w:val="231F20"/>
                <w:spacing w:val="-5"/>
                <w:sz w:val="14"/>
              </w:rPr>
              <w:t xml:space="preserve"> </w:t>
            </w:r>
            <w:r>
              <w:rPr>
                <w:color w:val="231F20"/>
                <w:sz w:val="14"/>
              </w:rPr>
              <w:t>векторима</w:t>
            </w:r>
            <w:r>
              <w:rPr>
                <w:color w:val="231F20"/>
                <w:spacing w:val="-5"/>
                <w:sz w:val="14"/>
              </w:rPr>
              <w:t xml:space="preserve"> </w:t>
            </w:r>
            <w:r>
              <w:rPr>
                <w:color w:val="231F20"/>
                <w:sz w:val="14"/>
              </w:rPr>
              <w:t>у</w:t>
            </w:r>
            <w:r>
              <w:rPr>
                <w:color w:val="231F20"/>
                <w:spacing w:val="-5"/>
                <w:sz w:val="14"/>
              </w:rPr>
              <w:t xml:space="preserve"> </w:t>
            </w:r>
            <w:r>
              <w:rPr>
                <w:color w:val="231F20"/>
                <w:sz w:val="14"/>
              </w:rPr>
              <w:t>равни</w:t>
            </w:r>
            <w:r>
              <w:rPr>
                <w:color w:val="231F20"/>
                <w:spacing w:val="-5"/>
                <w:sz w:val="14"/>
              </w:rPr>
              <w:t xml:space="preserve"> </w:t>
            </w:r>
            <w:r>
              <w:rPr>
                <w:color w:val="231F20"/>
                <w:sz w:val="14"/>
              </w:rPr>
              <w:t>и</w:t>
            </w:r>
            <w:r>
              <w:rPr>
                <w:color w:val="231F20"/>
                <w:spacing w:val="-6"/>
                <w:sz w:val="14"/>
              </w:rPr>
              <w:t xml:space="preserve"> </w:t>
            </w:r>
            <w:r>
              <w:rPr>
                <w:color w:val="231F20"/>
                <w:sz w:val="14"/>
              </w:rPr>
              <w:t>простору.</w:t>
            </w:r>
          </w:p>
          <w:p w:rsidR="00041039" w:rsidRDefault="001B26CB">
            <w:pPr>
              <w:pStyle w:val="TableParagraph"/>
              <w:numPr>
                <w:ilvl w:val="0"/>
                <w:numId w:val="1202"/>
              </w:numPr>
              <w:tabs>
                <w:tab w:val="left" w:pos="158"/>
              </w:tabs>
              <w:spacing w:line="155" w:lineRule="exact"/>
              <w:rPr>
                <w:sz w:val="14"/>
              </w:rPr>
            </w:pPr>
            <w:r>
              <w:rPr>
                <w:color w:val="231F20"/>
                <w:sz w:val="14"/>
              </w:rPr>
              <w:t>Линеарна зависност</w:t>
            </w:r>
            <w:r>
              <w:rPr>
                <w:color w:val="231F20"/>
                <w:spacing w:val="-1"/>
                <w:sz w:val="14"/>
              </w:rPr>
              <w:t xml:space="preserve"> </w:t>
            </w:r>
            <w:r>
              <w:rPr>
                <w:color w:val="231F20"/>
                <w:sz w:val="14"/>
              </w:rPr>
              <w:t>вектора.</w:t>
            </w:r>
          </w:p>
          <w:p w:rsidR="00041039" w:rsidRDefault="001B26CB">
            <w:pPr>
              <w:pStyle w:val="TableParagraph"/>
              <w:numPr>
                <w:ilvl w:val="0"/>
                <w:numId w:val="1202"/>
              </w:numPr>
              <w:tabs>
                <w:tab w:val="left" w:pos="158"/>
              </w:tabs>
              <w:spacing w:line="160" w:lineRule="exact"/>
              <w:rPr>
                <w:sz w:val="14"/>
              </w:rPr>
            </w:pPr>
            <w:r>
              <w:rPr>
                <w:color w:val="231F20"/>
                <w:sz w:val="14"/>
              </w:rPr>
              <w:t>Скаларни производ</w:t>
            </w:r>
            <w:r>
              <w:rPr>
                <w:color w:val="231F20"/>
                <w:spacing w:val="-3"/>
                <w:sz w:val="14"/>
              </w:rPr>
              <w:t xml:space="preserve"> </w:t>
            </w:r>
            <w:r>
              <w:rPr>
                <w:color w:val="231F20"/>
                <w:sz w:val="14"/>
              </w:rPr>
              <w:t>вектора.</w:t>
            </w:r>
          </w:p>
          <w:p w:rsidR="00041039" w:rsidRDefault="001B26CB">
            <w:pPr>
              <w:pStyle w:val="TableParagraph"/>
              <w:numPr>
                <w:ilvl w:val="0"/>
                <w:numId w:val="1202"/>
              </w:numPr>
              <w:tabs>
                <w:tab w:val="left" w:pos="158"/>
              </w:tabs>
              <w:spacing w:line="160" w:lineRule="exact"/>
              <w:rPr>
                <w:sz w:val="14"/>
              </w:rPr>
            </w:pPr>
            <w:r>
              <w:rPr>
                <w:color w:val="231F20"/>
                <w:sz w:val="14"/>
              </w:rPr>
              <w:t>Векторски производ</w:t>
            </w:r>
            <w:r>
              <w:rPr>
                <w:color w:val="231F20"/>
                <w:spacing w:val="-20"/>
                <w:sz w:val="14"/>
              </w:rPr>
              <w:t xml:space="preserve"> </w:t>
            </w:r>
            <w:r>
              <w:rPr>
                <w:color w:val="231F20"/>
                <w:sz w:val="14"/>
              </w:rPr>
              <w:t>вектора.</w:t>
            </w:r>
          </w:p>
          <w:p w:rsidR="00041039" w:rsidRDefault="001B26CB">
            <w:pPr>
              <w:pStyle w:val="TableParagraph"/>
              <w:numPr>
                <w:ilvl w:val="0"/>
                <w:numId w:val="1202"/>
              </w:numPr>
              <w:tabs>
                <w:tab w:val="left" w:pos="158"/>
              </w:tabs>
              <w:spacing w:line="160" w:lineRule="exact"/>
              <w:rPr>
                <w:sz w:val="14"/>
              </w:rPr>
            </w:pPr>
            <w:r>
              <w:rPr>
                <w:color w:val="231F20"/>
                <w:sz w:val="14"/>
              </w:rPr>
              <w:t>Мешовити производ</w:t>
            </w:r>
            <w:r>
              <w:rPr>
                <w:color w:val="231F20"/>
                <w:spacing w:val="-18"/>
                <w:sz w:val="14"/>
              </w:rPr>
              <w:t xml:space="preserve"> </w:t>
            </w:r>
            <w:r>
              <w:rPr>
                <w:color w:val="231F20"/>
                <w:sz w:val="14"/>
              </w:rPr>
              <w:t>вектора.</w:t>
            </w:r>
          </w:p>
          <w:p w:rsidR="00041039" w:rsidRDefault="001B26CB">
            <w:pPr>
              <w:pStyle w:val="TableParagraph"/>
              <w:numPr>
                <w:ilvl w:val="0"/>
                <w:numId w:val="1202"/>
              </w:numPr>
              <w:tabs>
                <w:tab w:val="left" w:pos="158"/>
              </w:tabs>
              <w:spacing w:line="166" w:lineRule="exact"/>
              <w:rPr>
                <w:sz w:val="14"/>
              </w:rPr>
            </w:pPr>
            <w:r>
              <w:rPr>
                <w:color w:val="231F20"/>
                <w:sz w:val="14"/>
              </w:rPr>
              <w:t>Примена мешовитог производа</w:t>
            </w:r>
            <w:r>
              <w:rPr>
                <w:color w:val="231F20"/>
                <w:spacing w:val="-8"/>
                <w:sz w:val="14"/>
              </w:rPr>
              <w:t xml:space="preserve"> </w:t>
            </w:r>
            <w:r>
              <w:rPr>
                <w:color w:val="231F20"/>
                <w:sz w:val="14"/>
              </w:rPr>
              <w:t>вектора.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400"/>
        </w:trPr>
        <w:tc>
          <w:tcPr>
            <w:tcW w:w="1304" w:type="dxa"/>
          </w:tcPr>
          <w:p w:rsidR="00041039" w:rsidRDefault="001B26CB">
            <w:pPr>
              <w:pStyle w:val="TableParagraph"/>
              <w:spacing w:before="18"/>
              <w:ind w:left="56" w:right="227"/>
              <w:rPr>
                <w:sz w:val="14"/>
              </w:rPr>
            </w:pPr>
            <w:r>
              <w:rPr>
                <w:color w:val="231F20"/>
                <w:sz w:val="14"/>
              </w:rPr>
              <w:lastRenderedPageBreak/>
              <w:t>Аналитичка гео­ метрија у равни</w:t>
            </w:r>
          </w:p>
        </w:tc>
        <w:tc>
          <w:tcPr>
            <w:tcW w:w="1587" w:type="dxa"/>
          </w:tcPr>
          <w:p w:rsidR="00041039" w:rsidRDefault="001B26CB">
            <w:pPr>
              <w:pStyle w:val="TableParagraph"/>
              <w:numPr>
                <w:ilvl w:val="0"/>
                <w:numId w:val="1201"/>
              </w:numPr>
              <w:tabs>
                <w:tab w:val="left" w:pos="157"/>
              </w:tabs>
              <w:spacing w:before="8"/>
              <w:ind w:right="81"/>
              <w:rPr>
                <w:sz w:val="14"/>
              </w:rPr>
            </w:pPr>
            <w:r>
              <w:rPr>
                <w:color w:val="231F20"/>
                <w:sz w:val="14"/>
              </w:rPr>
              <w:t>Стицање знања о ре­ шавању елементарних проблема са</w:t>
            </w:r>
            <w:r>
              <w:rPr>
                <w:color w:val="231F20"/>
                <w:spacing w:val="-3"/>
                <w:sz w:val="14"/>
              </w:rPr>
              <w:t xml:space="preserve"> </w:t>
            </w:r>
            <w:r>
              <w:rPr>
                <w:color w:val="231F20"/>
                <w:sz w:val="14"/>
              </w:rPr>
              <w:t>кривим</w:t>
            </w:r>
          </w:p>
          <w:p w:rsidR="00041039" w:rsidRDefault="001B26CB">
            <w:pPr>
              <w:pStyle w:val="TableParagraph"/>
              <w:spacing w:line="237" w:lineRule="auto"/>
              <w:ind w:right="168"/>
              <w:rPr>
                <w:sz w:val="14"/>
              </w:rPr>
            </w:pPr>
            <w:r>
              <w:rPr>
                <w:color w:val="231F20"/>
                <w:sz w:val="14"/>
              </w:rPr>
              <w:t>и правим линијама у координатној равни.</w:t>
            </w:r>
          </w:p>
        </w:tc>
        <w:tc>
          <w:tcPr>
            <w:tcW w:w="2551" w:type="dxa"/>
          </w:tcPr>
          <w:p w:rsidR="00041039" w:rsidRDefault="001B26CB">
            <w:pPr>
              <w:pStyle w:val="TableParagraph"/>
              <w:numPr>
                <w:ilvl w:val="0"/>
                <w:numId w:val="1200"/>
              </w:numPr>
              <w:tabs>
                <w:tab w:val="left" w:pos="157"/>
              </w:tabs>
              <w:spacing w:before="8" w:line="166" w:lineRule="exact"/>
              <w:ind w:hanging="99"/>
              <w:rPr>
                <w:sz w:val="14"/>
              </w:rPr>
            </w:pPr>
            <w:r>
              <w:rPr>
                <w:color w:val="231F20"/>
                <w:sz w:val="14"/>
              </w:rPr>
              <w:t>одреди растојање између две</w:t>
            </w:r>
            <w:r>
              <w:rPr>
                <w:color w:val="231F20"/>
                <w:spacing w:val="-8"/>
                <w:sz w:val="14"/>
              </w:rPr>
              <w:t xml:space="preserve"> </w:t>
            </w:r>
            <w:r>
              <w:rPr>
                <w:color w:val="231F20"/>
                <w:sz w:val="14"/>
              </w:rPr>
              <w:t>тачке;</w:t>
            </w:r>
          </w:p>
          <w:p w:rsidR="00041039" w:rsidRDefault="001B26CB">
            <w:pPr>
              <w:pStyle w:val="TableParagraph"/>
              <w:numPr>
                <w:ilvl w:val="0"/>
                <w:numId w:val="1200"/>
              </w:numPr>
              <w:tabs>
                <w:tab w:val="left" w:pos="157"/>
              </w:tabs>
              <w:spacing w:line="160" w:lineRule="exact"/>
              <w:ind w:hanging="99"/>
              <w:rPr>
                <w:sz w:val="14"/>
              </w:rPr>
            </w:pPr>
            <w:r>
              <w:rPr>
                <w:color w:val="231F20"/>
                <w:sz w:val="14"/>
              </w:rPr>
              <w:t>одреди тежиште</w:t>
            </w:r>
            <w:r>
              <w:rPr>
                <w:color w:val="231F20"/>
                <w:spacing w:val="-1"/>
                <w:sz w:val="14"/>
              </w:rPr>
              <w:t xml:space="preserve"> </w:t>
            </w:r>
            <w:r>
              <w:rPr>
                <w:color w:val="231F20"/>
                <w:spacing w:val="-3"/>
                <w:sz w:val="14"/>
              </w:rPr>
              <w:t>троугла;</w:t>
            </w:r>
          </w:p>
          <w:p w:rsidR="00041039" w:rsidRDefault="001B26CB">
            <w:pPr>
              <w:pStyle w:val="TableParagraph"/>
              <w:numPr>
                <w:ilvl w:val="0"/>
                <w:numId w:val="1200"/>
              </w:numPr>
              <w:tabs>
                <w:tab w:val="left" w:pos="157"/>
              </w:tabs>
              <w:spacing w:line="160" w:lineRule="exact"/>
              <w:ind w:hanging="99"/>
              <w:rPr>
                <w:sz w:val="14"/>
              </w:rPr>
            </w:pPr>
            <w:r>
              <w:rPr>
                <w:color w:val="231F20"/>
                <w:sz w:val="14"/>
              </w:rPr>
              <w:t>одреди површину</w:t>
            </w:r>
            <w:r>
              <w:rPr>
                <w:color w:val="231F20"/>
                <w:spacing w:val="-2"/>
                <w:sz w:val="14"/>
              </w:rPr>
              <w:t xml:space="preserve"> </w:t>
            </w:r>
            <w:r>
              <w:rPr>
                <w:color w:val="231F20"/>
                <w:spacing w:val="-3"/>
                <w:sz w:val="14"/>
              </w:rPr>
              <w:t>троугла;</w:t>
            </w:r>
          </w:p>
          <w:p w:rsidR="00041039" w:rsidRDefault="001B26CB">
            <w:pPr>
              <w:pStyle w:val="TableParagraph"/>
              <w:numPr>
                <w:ilvl w:val="0"/>
                <w:numId w:val="1200"/>
              </w:numPr>
              <w:tabs>
                <w:tab w:val="left" w:pos="157"/>
              </w:tabs>
              <w:spacing w:line="237" w:lineRule="auto"/>
              <w:ind w:right="255" w:hanging="99"/>
              <w:rPr>
                <w:sz w:val="14"/>
              </w:rPr>
            </w:pPr>
            <w:r>
              <w:rPr>
                <w:color w:val="231F20"/>
                <w:sz w:val="14"/>
              </w:rPr>
              <w:t>постави једначину праве из</w:t>
            </w:r>
            <w:r>
              <w:rPr>
                <w:color w:val="231F20"/>
                <w:spacing w:val="-19"/>
                <w:sz w:val="14"/>
              </w:rPr>
              <w:t xml:space="preserve"> </w:t>
            </w:r>
            <w:r>
              <w:rPr>
                <w:color w:val="231F20"/>
                <w:sz w:val="14"/>
              </w:rPr>
              <w:t>задатих услова;</w:t>
            </w:r>
          </w:p>
          <w:p w:rsidR="00041039" w:rsidRDefault="001B26CB">
            <w:pPr>
              <w:pStyle w:val="TableParagraph"/>
              <w:numPr>
                <w:ilvl w:val="0"/>
                <w:numId w:val="1200"/>
              </w:numPr>
              <w:tabs>
                <w:tab w:val="left" w:pos="157"/>
              </w:tabs>
              <w:spacing w:line="160" w:lineRule="exact"/>
              <w:ind w:right="239" w:hanging="99"/>
              <w:rPr>
                <w:sz w:val="14"/>
              </w:rPr>
            </w:pPr>
            <w:r>
              <w:rPr>
                <w:color w:val="231F20"/>
                <w:sz w:val="14"/>
              </w:rPr>
              <w:t>одреди</w:t>
            </w:r>
            <w:r>
              <w:rPr>
                <w:color w:val="231F20"/>
                <w:spacing w:val="-6"/>
                <w:sz w:val="14"/>
              </w:rPr>
              <w:t xml:space="preserve"> </w:t>
            </w:r>
            <w:r>
              <w:rPr>
                <w:color w:val="231F20"/>
                <w:sz w:val="14"/>
              </w:rPr>
              <w:t>пресеке</w:t>
            </w:r>
            <w:r>
              <w:rPr>
                <w:color w:val="231F20"/>
                <w:spacing w:val="-6"/>
                <w:sz w:val="14"/>
              </w:rPr>
              <w:t xml:space="preserve"> </w:t>
            </w:r>
            <w:r>
              <w:rPr>
                <w:color w:val="231F20"/>
                <w:sz w:val="14"/>
              </w:rPr>
              <w:t>линија,</w:t>
            </w:r>
            <w:r>
              <w:rPr>
                <w:color w:val="231F20"/>
                <w:spacing w:val="-7"/>
                <w:sz w:val="14"/>
              </w:rPr>
              <w:t xml:space="preserve"> </w:t>
            </w:r>
            <w:r>
              <w:rPr>
                <w:color w:val="231F20"/>
                <w:sz w:val="14"/>
              </w:rPr>
              <w:t>као</w:t>
            </w:r>
            <w:r>
              <w:rPr>
                <w:color w:val="231F20"/>
                <w:spacing w:val="-6"/>
                <w:sz w:val="14"/>
              </w:rPr>
              <w:t xml:space="preserve"> </w:t>
            </w:r>
            <w:r>
              <w:rPr>
                <w:color w:val="231F20"/>
                <w:sz w:val="14"/>
              </w:rPr>
              <w:t>и</w:t>
            </w:r>
            <w:r>
              <w:rPr>
                <w:color w:val="231F20"/>
                <w:spacing w:val="-7"/>
                <w:sz w:val="14"/>
              </w:rPr>
              <w:t xml:space="preserve"> </w:t>
            </w:r>
            <w:r>
              <w:rPr>
                <w:color w:val="231F20"/>
                <w:sz w:val="14"/>
              </w:rPr>
              <w:t>углове пресека;</w:t>
            </w:r>
          </w:p>
          <w:p w:rsidR="00041039" w:rsidRDefault="001B26CB">
            <w:pPr>
              <w:pStyle w:val="TableParagraph"/>
              <w:numPr>
                <w:ilvl w:val="0"/>
                <w:numId w:val="1200"/>
              </w:numPr>
              <w:tabs>
                <w:tab w:val="left" w:pos="157"/>
              </w:tabs>
              <w:spacing w:line="160" w:lineRule="exact"/>
              <w:ind w:right="178" w:hanging="99"/>
              <w:rPr>
                <w:sz w:val="14"/>
              </w:rPr>
            </w:pPr>
            <w:r>
              <w:rPr>
                <w:color w:val="231F20"/>
                <w:sz w:val="14"/>
              </w:rPr>
              <w:t>постави једначину криве другог</w:t>
            </w:r>
            <w:r>
              <w:rPr>
                <w:color w:val="231F20"/>
                <w:spacing w:val="-14"/>
                <w:sz w:val="14"/>
              </w:rPr>
              <w:t xml:space="preserve"> </w:t>
            </w:r>
            <w:r>
              <w:rPr>
                <w:color w:val="231F20"/>
                <w:sz w:val="14"/>
              </w:rPr>
              <w:t>реда из задатих</w:t>
            </w:r>
            <w:r>
              <w:rPr>
                <w:color w:val="231F20"/>
                <w:spacing w:val="-2"/>
                <w:sz w:val="14"/>
              </w:rPr>
              <w:t xml:space="preserve"> </w:t>
            </w:r>
            <w:r>
              <w:rPr>
                <w:color w:val="231F20"/>
                <w:sz w:val="14"/>
              </w:rPr>
              <w:t>услова;</w:t>
            </w:r>
          </w:p>
          <w:p w:rsidR="00041039" w:rsidRDefault="001B26CB">
            <w:pPr>
              <w:pStyle w:val="TableParagraph"/>
              <w:numPr>
                <w:ilvl w:val="0"/>
                <w:numId w:val="1200"/>
              </w:numPr>
              <w:tabs>
                <w:tab w:val="left" w:pos="157"/>
              </w:tabs>
              <w:spacing w:line="153" w:lineRule="exact"/>
              <w:ind w:hanging="99"/>
              <w:rPr>
                <w:sz w:val="14"/>
              </w:rPr>
            </w:pPr>
            <w:r>
              <w:rPr>
                <w:color w:val="231F20"/>
                <w:sz w:val="14"/>
              </w:rPr>
              <w:t>постави тангенту на</w:t>
            </w:r>
            <w:r>
              <w:rPr>
                <w:color w:val="231F20"/>
                <w:spacing w:val="-2"/>
                <w:sz w:val="14"/>
              </w:rPr>
              <w:t xml:space="preserve"> </w:t>
            </w:r>
            <w:r>
              <w:rPr>
                <w:color w:val="231F20"/>
                <w:sz w:val="14"/>
              </w:rPr>
              <w:t>криву;</w:t>
            </w:r>
          </w:p>
          <w:p w:rsidR="00041039" w:rsidRDefault="001B26CB">
            <w:pPr>
              <w:pStyle w:val="TableParagraph"/>
              <w:numPr>
                <w:ilvl w:val="0"/>
                <w:numId w:val="1200"/>
              </w:numPr>
              <w:tabs>
                <w:tab w:val="left" w:pos="157"/>
              </w:tabs>
              <w:spacing w:line="160" w:lineRule="exact"/>
              <w:ind w:hanging="99"/>
              <w:rPr>
                <w:sz w:val="14"/>
              </w:rPr>
            </w:pPr>
            <w:r>
              <w:rPr>
                <w:color w:val="231F20"/>
                <w:sz w:val="14"/>
              </w:rPr>
              <w:t>одреди угао између две</w:t>
            </w:r>
            <w:r>
              <w:rPr>
                <w:color w:val="231F20"/>
                <w:spacing w:val="-3"/>
                <w:sz w:val="14"/>
              </w:rPr>
              <w:t xml:space="preserve"> </w:t>
            </w:r>
            <w:r>
              <w:rPr>
                <w:color w:val="231F20"/>
                <w:sz w:val="14"/>
              </w:rPr>
              <w:t>криве;</w:t>
            </w:r>
          </w:p>
          <w:p w:rsidR="00041039" w:rsidRDefault="001B26CB">
            <w:pPr>
              <w:pStyle w:val="TableParagraph"/>
              <w:numPr>
                <w:ilvl w:val="0"/>
                <w:numId w:val="1200"/>
              </w:numPr>
              <w:tabs>
                <w:tab w:val="left" w:pos="157"/>
              </w:tabs>
              <w:spacing w:line="237" w:lineRule="auto"/>
              <w:ind w:right="88" w:hanging="99"/>
              <w:rPr>
                <w:sz w:val="14"/>
              </w:rPr>
            </w:pPr>
            <w:r>
              <w:rPr>
                <w:color w:val="231F20"/>
                <w:sz w:val="14"/>
              </w:rPr>
              <w:t>решава и друге елементарне кон­ структивне</w:t>
            </w:r>
            <w:r>
              <w:rPr>
                <w:color w:val="231F20"/>
                <w:spacing w:val="-10"/>
                <w:sz w:val="14"/>
              </w:rPr>
              <w:t xml:space="preserve"> </w:t>
            </w:r>
            <w:r>
              <w:rPr>
                <w:color w:val="231F20"/>
                <w:sz w:val="14"/>
              </w:rPr>
              <w:t>задатке</w:t>
            </w:r>
            <w:r>
              <w:rPr>
                <w:color w:val="231F20"/>
                <w:spacing w:val="-10"/>
                <w:sz w:val="14"/>
              </w:rPr>
              <w:t xml:space="preserve"> </w:t>
            </w:r>
            <w:r>
              <w:rPr>
                <w:color w:val="231F20"/>
                <w:sz w:val="14"/>
              </w:rPr>
              <w:t>алатом</w:t>
            </w:r>
            <w:r>
              <w:rPr>
                <w:color w:val="231F20"/>
                <w:spacing w:val="-10"/>
                <w:sz w:val="14"/>
              </w:rPr>
              <w:t xml:space="preserve"> </w:t>
            </w:r>
            <w:r>
              <w:rPr>
                <w:color w:val="231F20"/>
                <w:sz w:val="14"/>
              </w:rPr>
              <w:t>аналитичке геометрије;</w:t>
            </w:r>
          </w:p>
          <w:p w:rsidR="00041039" w:rsidRDefault="001B26CB">
            <w:pPr>
              <w:pStyle w:val="TableParagraph"/>
              <w:numPr>
                <w:ilvl w:val="0"/>
                <w:numId w:val="1200"/>
              </w:numPr>
              <w:tabs>
                <w:tab w:val="left" w:pos="157"/>
              </w:tabs>
              <w:spacing w:line="237" w:lineRule="auto"/>
              <w:ind w:right="230" w:hanging="99"/>
              <w:rPr>
                <w:sz w:val="14"/>
              </w:rPr>
            </w:pPr>
            <w:r>
              <w:rPr>
                <w:color w:val="231F20"/>
                <w:sz w:val="14"/>
              </w:rPr>
              <w:t>реши и дискутује систем</w:t>
            </w:r>
            <w:r>
              <w:rPr>
                <w:color w:val="231F20"/>
                <w:spacing w:val="-7"/>
                <w:sz w:val="14"/>
              </w:rPr>
              <w:t xml:space="preserve"> </w:t>
            </w:r>
            <w:r>
              <w:rPr>
                <w:color w:val="231F20"/>
                <w:sz w:val="14"/>
              </w:rPr>
              <w:t>линеарних једначина;</w:t>
            </w:r>
          </w:p>
        </w:tc>
        <w:tc>
          <w:tcPr>
            <w:tcW w:w="2834" w:type="dxa"/>
          </w:tcPr>
          <w:p w:rsidR="00041039" w:rsidRDefault="001B26CB">
            <w:pPr>
              <w:pStyle w:val="TableParagraph"/>
              <w:numPr>
                <w:ilvl w:val="0"/>
                <w:numId w:val="1199"/>
              </w:numPr>
              <w:tabs>
                <w:tab w:val="left" w:pos="157"/>
              </w:tabs>
              <w:spacing w:before="8" w:line="166" w:lineRule="exact"/>
              <w:ind w:hanging="99"/>
              <w:rPr>
                <w:sz w:val="14"/>
              </w:rPr>
            </w:pPr>
            <w:r>
              <w:rPr>
                <w:color w:val="231F20"/>
                <w:sz w:val="14"/>
              </w:rPr>
              <w:t>Растојање између две</w:t>
            </w:r>
            <w:r>
              <w:rPr>
                <w:color w:val="231F20"/>
                <w:spacing w:val="-2"/>
                <w:sz w:val="14"/>
              </w:rPr>
              <w:t xml:space="preserve"> </w:t>
            </w:r>
            <w:r>
              <w:rPr>
                <w:color w:val="231F20"/>
                <w:sz w:val="14"/>
              </w:rPr>
              <w:t>тачке.</w:t>
            </w:r>
          </w:p>
          <w:p w:rsidR="00041039" w:rsidRDefault="001B26CB">
            <w:pPr>
              <w:pStyle w:val="TableParagraph"/>
              <w:numPr>
                <w:ilvl w:val="0"/>
                <w:numId w:val="1199"/>
              </w:numPr>
              <w:tabs>
                <w:tab w:val="left" w:pos="157"/>
              </w:tabs>
              <w:spacing w:line="160" w:lineRule="exact"/>
              <w:ind w:hanging="99"/>
              <w:rPr>
                <w:sz w:val="14"/>
              </w:rPr>
            </w:pPr>
            <w:r>
              <w:rPr>
                <w:color w:val="231F20"/>
                <w:sz w:val="14"/>
              </w:rPr>
              <w:t>Подела дужи у датом</w:t>
            </w:r>
            <w:r>
              <w:rPr>
                <w:color w:val="231F20"/>
                <w:spacing w:val="-2"/>
                <w:sz w:val="14"/>
              </w:rPr>
              <w:t xml:space="preserve"> </w:t>
            </w:r>
            <w:r>
              <w:rPr>
                <w:color w:val="231F20"/>
                <w:spacing w:val="-3"/>
                <w:sz w:val="14"/>
              </w:rPr>
              <w:t>односу.</w:t>
            </w:r>
          </w:p>
          <w:p w:rsidR="00041039" w:rsidRDefault="001B26CB">
            <w:pPr>
              <w:pStyle w:val="TableParagraph"/>
              <w:numPr>
                <w:ilvl w:val="0"/>
                <w:numId w:val="1199"/>
              </w:numPr>
              <w:tabs>
                <w:tab w:val="left" w:pos="157"/>
              </w:tabs>
              <w:spacing w:line="160" w:lineRule="exact"/>
              <w:ind w:hanging="99"/>
              <w:rPr>
                <w:sz w:val="14"/>
              </w:rPr>
            </w:pPr>
            <w:r>
              <w:rPr>
                <w:color w:val="231F20"/>
                <w:sz w:val="14"/>
              </w:rPr>
              <w:t>Површина</w:t>
            </w:r>
            <w:r>
              <w:rPr>
                <w:color w:val="231F20"/>
                <w:spacing w:val="-2"/>
                <w:sz w:val="14"/>
              </w:rPr>
              <w:t xml:space="preserve"> </w:t>
            </w:r>
            <w:r>
              <w:rPr>
                <w:color w:val="231F20"/>
                <w:sz w:val="14"/>
              </w:rPr>
              <w:t>троугла.</w:t>
            </w:r>
          </w:p>
          <w:p w:rsidR="00041039" w:rsidRDefault="001B26CB">
            <w:pPr>
              <w:pStyle w:val="TableParagraph"/>
              <w:numPr>
                <w:ilvl w:val="0"/>
                <w:numId w:val="1199"/>
              </w:numPr>
              <w:tabs>
                <w:tab w:val="left" w:pos="157"/>
              </w:tabs>
              <w:spacing w:line="160" w:lineRule="exact"/>
              <w:ind w:hanging="99"/>
              <w:rPr>
                <w:sz w:val="14"/>
              </w:rPr>
            </w:pPr>
            <w:r>
              <w:rPr>
                <w:color w:val="231F20"/>
                <w:sz w:val="14"/>
              </w:rPr>
              <w:t>Једначине правих у</w:t>
            </w:r>
            <w:r>
              <w:rPr>
                <w:color w:val="231F20"/>
                <w:spacing w:val="-3"/>
                <w:sz w:val="14"/>
              </w:rPr>
              <w:t xml:space="preserve"> </w:t>
            </w:r>
            <w:r>
              <w:rPr>
                <w:color w:val="231F20"/>
                <w:sz w:val="14"/>
              </w:rPr>
              <w:t>равни.</w:t>
            </w:r>
          </w:p>
          <w:p w:rsidR="00041039" w:rsidRDefault="001B26CB">
            <w:pPr>
              <w:pStyle w:val="TableParagraph"/>
              <w:numPr>
                <w:ilvl w:val="0"/>
                <w:numId w:val="1199"/>
              </w:numPr>
              <w:tabs>
                <w:tab w:val="left" w:pos="157"/>
              </w:tabs>
              <w:spacing w:line="237" w:lineRule="auto"/>
              <w:ind w:right="92" w:hanging="99"/>
              <w:rPr>
                <w:sz w:val="14"/>
              </w:rPr>
            </w:pPr>
            <w:r>
              <w:rPr>
                <w:color w:val="231F20"/>
                <w:sz w:val="14"/>
              </w:rPr>
              <w:t>Однос две праве, услов паралелности, услов нормалности, угао између две</w:t>
            </w:r>
            <w:r>
              <w:rPr>
                <w:color w:val="231F20"/>
                <w:spacing w:val="-12"/>
                <w:sz w:val="14"/>
              </w:rPr>
              <w:t xml:space="preserve"> </w:t>
            </w:r>
            <w:r>
              <w:rPr>
                <w:color w:val="231F20"/>
                <w:sz w:val="14"/>
              </w:rPr>
              <w:t>праве.</w:t>
            </w:r>
          </w:p>
          <w:p w:rsidR="00041039" w:rsidRDefault="001B26CB">
            <w:pPr>
              <w:pStyle w:val="TableParagraph"/>
              <w:numPr>
                <w:ilvl w:val="0"/>
                <w:numId w:val="1199"/>
              </w:numPr>
              <w:tabs>
                <w:tab w:val="left" w:pos="157"/>
              </w:tabs>
              <w:spacing w:line="155" w:lineRule="exact"/>
              <w:ind w:hanging="99"/>
              <w:rPr>
                <w:sz w:val="14"/>
              </w:rPr>
            </w:pPr>
            <w:r>
              <w:rPr>
                <w:color w:val="231F20"/>
                <w:sz w:val="14"/>
              </w:rPr>
              <w:t>Једначина</w:t>
            </w:r>
            <w:r>
              <w:rPr>
                <w:color w:val="231F20"/>
                <w:spacing w:val="-1"/>
                <w:sz w:val="14"/>
              </w:rPr>
              <w:t xml:space="preserve"> </w:t>
            </w:r>
            <w:r>
              <w:rPr>
                <w:color w:val="231F20"/>
                <w:sz w:val="14"/>
              </w:rPr>
              <w:t>круга.</w:t>
            </w:r>
          </w:p>
          <w:p w:rsidR="00041039" w:rsidRDefault="001B26CB">
            <w:pPr>
              <w:pStyle w:val="TableParagraph"/>
              <w:numPr>
                <w:ilvl w:val="0"/>
                <w:numId w:val="1199"/>
              </w:numPr>
              <w:tabs>
                <w:tab w:val="left" w:pos="157"/>
              </w:tabs>
              <w:spacing w:line="237" w:lineRule="auto"/>
              <w:ind w:right="215" w:hanging="99"/>
              <w:rPr>
                <w:sz w:val="14"/>
              </w:rPr>
            </w:pPr>
            <w:r>
              <w:rPr>
                <w:color w:val="231F20"/>
                <w:sz w:val="14"/>
              </w:rPr>
              <w:t>Однос круга и праве, услов додира</w:t>
            </w:r>
            <w:r>
              <w:rPr>
                <w:color w:val="231F20"/>
                <w:spacing w:val="-15"/>
                <w:sz w:val="14"/>
              </w:rPr>
              <w:t xml:space="preserve"> </w:t>
            </w:r>
            <w:r>
              <w:rPr>
                <w:color w:val="231F20"/>
                <w:sz w:val="14"/>
              </w:rPr>
              <w:t>праве и</w:t>
            </w:r>
            <w:r>
              <w:rPr>
                <w:color w:val="231F20"/>
                <w:spacing w:val="-2"/>
                <w:sz w:val="14"/>
              </w:rPr>
              <w:t xml:space="preserve"> </w:t>
            </w:r>
            <w:r>
              <w:rPr>
                <w:color w:val="231F20"/>
                <w:sz w:val="14"/>
              </w:rPr>
              <w:t>круга.</w:t>
            </w:r>
          </w:p>
          <w:p w:rsidR="00041039" w:rsidRDefault="001B26CB">
            <w:pPr>
              <w:pStyle w:val="TableParagraph"/>
              <w:numPr>
                <w:ilvl w:val="0"/>
                <w:numId w:val="1199"/>
              </w:numPr>
              <w:tabs>
                <w:tab w:val="left" w:pos="157"/>
              </w:tabs>
              <w:spacing w:line="155" w:lineRule="exact"/>
              <w:ind w:hanging="99"/>
              <w:rPr>
                <w:sz w:val="14"/>
              </w:rPr>
            </w:pPr>
            <w:r>
              <w:rPr>
                <w:color w:val="231F20"/>
                <w:sz w:val="14"/>
              </w:rPr>
              <w:t>Однос два</w:t>
            </w:r>
            <w:r>
              <w:rPr>
                <w:color w:val="231F20"/>
                <w:spacing w:val="-1"/>
                <w:sz w:val="14"/>
              </w:rPr>
              <w:t xml:space="preserve"> </w:t>
            </w:r>
            <w:r>
              <w:rPr>
                <w:color w:val="231F20"/>
                <w:sz w:val="14"/>
              </w:rPr>
              <w:t>круга.</w:t>
            </w:r>
          </w:p>
          <w:p w:rsidR="00041039" w:rsidRDefault="001B26CB">
            <w:pPr>
              <w:pStyle w:val="TableParagraph"/>
              <w:numPr>
                <w:ilvl w:val="0"/>
                <w:numId w:val="1199"/>
              </w:numPr>
              <w:tabs>
                <w:tab w:val="left" w:pos="157"/>
              </w:tabs>
              <w:spacing w:line="160" w:lineRule="exact"/>
              <w:ind w:hanging="99"/>
              <w:rPr>
                <w:sz w:val="14"/>
              </w:rPr>
            </w:pPr>
            <w:r>
              <w:rPr>
                <w:color w:val="231F20"/>
                <w:sz w:val="14"/>
              </w:rPr>
              <w:t>Једначина</w:t>
            </w:r>
            <w:r>
              <w:rPr>
                <w:color w:val="231F20"/>
                <w:spacing w:val="-1"/>
                <w:sz w:val="14"/>
              </w:rPr>
              <w:t xml:space="preserve"> </w:t>
            </w:r>
            <w:r>
              <w:rPr>
                <w:color w:val="231F20"/>
                <w:sz w:val="14"/>
              </w:rPr>
              <w:t>елипсе.</w:t>
            </w:r>
          </w:p>
          <w:p w:rsidR="00041039" w:rsidRDefault="001B26CB">
            <w:pPr>
              <w:pStyle w:val="TableParagraph"/>
              <w:numPr>
                <w:ilvl w:val="0"/>
                <w:numId w:val="1199"/>
              </w:numPr>
              <w:tabs>
                <w:tab w:val="left" w:pos="157"/>
              </w:tabs>
              <w:spacing w:line="160" w:lineRule="exact"/>
              <w:ind w:hanging="99"/>
              <w:rPr>
                <w:sz w:val="14"/>
              </w:rPr>
            </w:pPr>
            <w:r>
              <w:rPr>
                <w:color w:val="231F20"/>
                <w:spacing w:val="-4"/>
                <w:sz w:val="14"/>
              </w:rPr>
              <w:t xml:space="preserve">Услов </w:t>
            </w:r>
            <w:r>
              <w:rPr>
                <w:color w:val="231F20"/>
                <w:sz w:val="14"/>
              </w:rPr>
              <w:t>додира праве и</w:t>
            </w:r>
            <w:r>
              <w:rPr>
                <w:color w:val="231F20"/>
                <w:spacing w:val="1"/>
                <w:sz w:val="14"/>
              </w:rPr>
              <w:t xml:space="preserve"> </w:t>
            </w:r>
            <w:r>
              <w:rPr>
                <w:color w:val="231F20"/>
                <w:sz w:val="14"/>
              </w:rPr>
              <w:t>елипсе.</w:t>
            </w:r>
          </w:p>
          <w:p w:rsidR="00041039" w:rsidRDefault="001B26CB">
            <w:pPr>
              <w:pStyle w:val="TableParagraph"/>
              <w:numPr>
                <w:ilvl w:val="0"/>
                <w:numId w:val="1199"/>
              </w:numPr>
              <w:tabs>
                <w:tab w:val="left" w:pos="157"/>
              </w:tabs>
              <w:spacing w:line="160" w:lineRule="exact"/>
              <w:ind w:hanging="99"/>
              <w:rPr>
                <w:sz w:val="14"/>
              </w:rPr>
            </w:pPr>
            <w:r>
              <w:rPr>
                <w:color w:val="231F20"/>
                <w:sz w:val="14"/>
              </w:rPr>
              <w:t>Једначина</w:t>
            </w:r>
            <w:r>
              <w:rPr>
                <w:color w:val="231F20"/>
                <w:spacing w:val="-1"/>
                <w:sz w:val="14"/>
              </w:rPr>
              <w:t xml:space="preserve"> </w:t>
            </w:r>
            <w:r>
              <w:rPr>
                <w:color w:val="231F20"/>
                <w:sz w:val="14"/>
              </w:rPr>
              <w:t>хиперболе.</w:t>
            </w:r>
          </w:p>
          <w:p w:rsidR="00041039" w:rsidRDefault="001B26CB">
            <w:pPr>
              <w:pStyle w:val="TableParagraph"/>
              <w:numPr>
                <w:ilvl w:val="0"/>
                <w:numId w:val="1199"/>
              </w:numPr>
              <w:tabs>
                <w:tab w:val="left" w:pos="157"/>
              </w:tabs>
              <w:spacing w:line="160" w:lineRule="exact"/>
              <w:ind w:hanging="99"/>
              <w:rPr>
                <w:sz w:val="14"/>
              </w:rPr>
            </w:pPr>
            <w:r>
              <w:rPr>
                <w:color w:val="231F20"/>
                <w:spacing w:val="-4"/>
                <w:sz w:val="14"/>
              </w:rPr>
              <w:t xml:space="preserve">Услов </w:t>
            </w:r>
            <w:r>
              <w:rPr>
                <w:color w:val="231F20"/>
                <w:sz w:val="14"/>
              </w:rPr>
              <w:t>додира праве и</w:t>
            </w:r>
            <w:r>
              <w:rPr>
                <w:color w:val="231F20"/>
                <w:sz w:val="14"/>
              </w:rPr>
              <w:t xml:space="preserve"> </w:t>
            </w:r>
            <w:r>
              <w:rPr>
                <w:color w:val="231F20"/>
                <w:sz w:val="14"/>
              </w:rPr>
              <w:t>хиперболе.</w:t>
            </w:r>
          </w:p>
          <w:p w:rsidR="00041039" w:rsidRDefault="001B26CB">
            <w:pPr>
              <w:pStyle w:val="TableParagraph"/>
              <w:numPr>
                <w:ilvl w:val="0"/>
                <w:numId w:val="1199"/>
              </w:numPr>
              <w:tabs>
                <w:tab w:val="left" w:pos="157"/>
              </w:tabs>
              <w:spacing w:line="160" w:lineRule="exact"/>
              <w:ind w:hanging="99"/>
              <w:rPr>
                <w:sz w:val="14"/>
              </w:rPr>
            </w:pPr>
            <w:r>
              <w:rPr>
                <w:color w:val="231F20"/>
                <w:sz w:val="14"/>
              </w:rPr>
              <w:t>Једначина</w:t>
            </w:r>
            <w:r>
              <w:rPr>
                <w:color w:val="231F20"/>
                <w:spacing w:val="-1"/>
                <w:sz w:val="14"/>
              </w:rPr>
              <w:t xml:space="preserve"> </w:t>
            </w:r>
            <w:r>
              <w:rPr>
                <w:color w:val="231F20"/>
                <w:sz w:val="14"/>
              </w:rPr>
              <w:t>параболе.</w:t>
            </w:r>
          </w:p>
          <w:p w:rsidR="00041039" w:rsidRDefault="001B26CB">
            <w:pPr>
              <w:pStyle w:val="TableParagraph"/>
              <w:numPr>
                <w:ilvl w:val="0"/>
                <w:numId w:val="1199"/>
              </w:numPr>
              <w:tabs>
                <w:tab w:val="left" w:pos="157"/>
              </w:tabs>
              <w:spacing w:line="160" w:lineRule="exact"/>
              <w:ind w:hanging="99"/>
              <w:rPr>
                <w:sz w:val="14"/>
              </w:rPr>
            </w:pPr>
            <w:r>
              <w:rPr>
                <w:color w:val="231F20"/>
                <w:spacing w:val="-4"/>
                <w:sz w:val="14"/>
              </w:rPr>
              <w:t xml:space="preserve">Услов </w:t>
            </w:r>
            <w:r>
              <w:rPr>
                <w:color w:val="231F20"/>
                <w:sz w:val="14"/>
              </w:rPr>
              <w:t>додира праве и параболе.</w:t>
            </w:r>
          </w:p>
          <w:p w:rsidR="00041039" w:rsidRDefault="001B26CB">
            <w:pPr>
              <w:pStyle w:val="TableParagraph"/>
              <w:numPr>
                <w:ilvl w:val="0"/>
                <w:numId w:val="1199"/>
              </w:numPr>
              <w:tabs>
                <w:tab w:val="left" w:pos="157"/>
              </w:tabs>
              <w:spacing w:line="160" w:lineRule="exact"/>
              <w:ind w:hanging="99"/>
              <w:rPr>
                <w:sz w:val="14"/>
              </w:rPr>
            </w:pPr>
            <w:r>
              <w:rPr>
                <w:color w:val="231F20"/>
                <w:spacing w:val="-4"/>
                <w:sz w:val="14"/>
              </w:rPr>
              <w:t xml:space="preserve">Угао </w:t>
            </w:r>
            <w:r>
              <w:rPr>
                <w:color w:val="231F20"/>
                <w:sz w:val="14"/>
              </w:rPr>
              <w:t>између две криве другог реда.</w:t>
            </w:r>
          </w:p>
          <w:p w:rsidR="00041039" w:rsidRDefault="001B26CB">
            <w:pPr>
              <w:pStyle w:val="TableParagraph"/>
              <w:numPr>
                <w:ilvl w:val="0"/>
                <w:numId w:val="1199"/>
              </w:numPr>
              <w:tabs>
                <w:tab w:val="left" w:pos="157"/>
              </w:tabs>
              <w:spacing w:line="160" w:lineRule="exact"/>
              <w:ind w:hanging="99"/>
              <w:rPr>
                <w:sz w:val="14"/>
              </w:rPr>
            </w:pPr>
            <w:r>
              <w:rPr>
                <w:color w:val="231F20"/>
                <w:sz w:val="14"/>
              </w:rPr>
              <w:t>Решавање система линеарних</w:t>
            </w:r>
            <w:r>
              <w:rPr>
                <w:color w:val="231F20"/>
                <w:spacing w:val="-5"/>
                <w:sz w:val="14"/>
              </w:rPr>
              <w:t xml:space="preserve"> </w:t>
            </w:r>
            <w:r>
              <w:rPr>
                <w:color w:val="231F20"/>
                <w:sz w:val="14"/>
              </w:rPr>
              <w:t>једначина.</w:t>
            </w:r>
          </w:p>
          <w:p w:rsidR="00041039" w:rsidRDefault="001B26CB">
            <w:pPr>
              <w:pStyle w:val="TableParagraph"/>
              <w:numPr>
                <w:ilvl w:val="0"/>
                <w:numId w:val="1199"/>
              </w:numPr>
              <w:tabs>
                <w:tab w:val="left" w:pos="157"/>
              </w:tabs>
              <w:spacing w:line="160" w:lineRule="exact"/>
              <w:ind w:hanging="99"/>
              <w:rPr>
                <w:sz w:val="14"/>
              </w:rPr>
            </w:pPr>
            <w:r>
              <w:rPr>
                <w:color w:val="231F20"/>
                <w:spacing w:val="-3"/>
                <w:sz w:val="14"/>
              </w:rPr>
              <w:t xml:space="preserve">Графичко </w:t>
            </w:r>
            <w:r>
              <w:rPr>
                <w:color w:val="231F20"/>
                <w:sz w:val="14"/>
              </w:rPr>
              <w:t>решавање система</w:t>
            </w:r>
            <w:r>
              <w:rPr>
                <w:color w:val="231F20"/>
                <w:sz w:val="14"/>
              </w:rPr>
              <w:t xml:space="preserve"> </w:t>
            </w:r>
            <w:r>
              <w:rPr>
                <w:color w:val="231F20"/>
                <w:sz w:val="14"/>
              </w:rPr>
              <w:t>једначина.</w:t>
            </w:r>
          </w:p>
          <w:p w:rsidR="00041039" w:rsidRDefault="001B26CB">
            <w:pPr>
              <w:pStyle w:val="TableParagraph"/>
              <w:numPr>
                <w:ilvl w:val="0"/>
                <w:numId w:val="1199"/>
              </w:numPr>
              <w:tabs>
                <w:tab w:val="left" w:pos="157"/>
              </w:tabs>
              <w:spacing w:line="237" w:lineRule="auto"/>
              <w:ind w:right="132" w:hanging="99"/>
              <w:rPr>
                <w:sz w:val="14"/>
              </w:rPr>
            </w:pPr>
            <w:r>
              <w:rPr>
                <w:color w:val="231F20"/>
                <w:sz w:val="14"/>
              </w:rPr>
              <w:t>Решавање система линеарних</w:t>
            </w:r>
            <w:r>
              <w:rPr>
                <w:color w:val="231F20"/>
                <w:spacing w:val="-17"/>
                <w:sz w:val="14"/>
              </w:rPr>
              <w:t xml:space="preserve"> </w:t>
            </w:r>
            <w:r>
              <w:rPr>
                <w:color w:val="231F20"/>
                <w:sz w:val="14"/>
              </w:rPr>
              <w:t>неједначина са две</w:t>
            </w:r>
            <w:r>
              <w:rPr>
                <w:color w:val="231F20"/>
                <w:spacing w:val="-1"/>
                <w:sz w:val="14"/>
              </w:rPr>
              <w:t xml:space="preserve"> </w:t>
            </w:r>
            <w:r>
              <w:rPr>
                <w:color w:val="231F20"/>
                <w:sz w:val="14"/>
              </w:rPr>
              <w:t>непознате.</w:t>
            </w:r>
          </w:p>
        </w:tc>
        <w:tc>
          <w:tcPr>
            <w:tcW w:w="2267" w:type="dxa"/>
            <w:vMerge w:val="restart"/>
          </w:tcPr>
          <w:p w:rsidR="00041039" w:rsidRDefault="001B26CB">
            <w:pPr>
              <w:pStyle w:val="TableParagraph"/>
              <w:numPr>
                <w:ilvl w:val="0"/>
                <w:numId w:val="1198"/>
              </w:numPr>
              <w:tabs>
                <w:tab w:val="left" w:pos="143"/>
              </w:tabs>
              <w:spacing w:before="16"/>
              <w:ind w:right="82"/>
              <w:rPr>
                <w:sz w:val="14"/>
              </w:rPr>
            </w:pPr>
            <w:r>
              <w:rPr>
                <w:b/>
                <w:color w:val="231F20"/>
                <w:sz w:val="14"/>
              </w:rPr>
              <w:t>Математичка индукција. Низо</w:t>
            </w:r>
            <w:r>
              <w:rPr>
                <w:b/>
                <w:color w:val="231F20"/>
                <w:sz w:val="14"/>
              </w:rPr>
              <w:t xml:space="preserve">ви: </w:t>
            </w:r>
            <w:r>
              <w:rPr>
                <w:color w:val="231F20"/>
                <w:sz w:val="14"/>
              </w:rPr>
              <w:t>математичку индукцију вежбати на једноставним при­ мерима; објаснити поја низа и особине; радити на граничним вредностима што шире.</w:t>
            </w:r>
            <w:r>
              <w:rPr>
                <w:color w:val="231F20"/>
                <w:spacing w:val="-17"/>
                <w:sz w:val="14"/>
              </w:rPr>
              <w:t xml:space="preserve"> </w:t>
            </w:r>
            <w:r>
              <w:rPr>
                <w:color w:val="231F20"/>
                <w:sz w:val="14"/>
              </w:rPr>
              <w:t>Нарочито увежбати аритметички и геомет­ ријски</w:t>
            </w:r>
            <w:r>
              <w:rPr>
                <w:color w:val="231F20"/>
                <w:spacing w:val="-1"/>
                <w:sz w:val="14"/>
              </w:rPr>
              <w:t xml:space="preserve"> </w:t>
            </w:r>
            <w:r>
              <w:rPr>
                <w:color w:val="231F20"/>
                <w:sz w:val="14"/>
              </w:rPr>
              <w:t>низ.</w:t>
            </w:r>
          </w:p>
          <w:p w:rsidR="00041039" w:rsidRDefault="001B26CB">
            <w:pPr>
              <w:pStyle w:val="TableParagraph"/>
              <w:numPr>
                <w:ilvl w:val="0"/>
                <w:numId w:val="1198"/>
              </w:numPr>
              <w:tabs>
                <w:tab w:val="left" w:pos="143"/>
              </w:tabs>
              <w:spacing w:line="237" w:lineRule="auto"/>
              <w:ind w:right="184"/>
              <w:rPr>
                <w:sz w:val="14"/>
              </w:rPr>
            </w:pPr>
            <w:r>
              <w:rPr>
                <w:b/>
                <w:color w:val="231F20"/>
                <w:sz w:val="14"/>
              </w:rPr>
              <w:t xml:space="preserve">Комплексни бројеви и по- линоми: </w:t>
            </w:r>
            <w:r>
              <w:rPr>
                <w:color w:val="231F20"/>
                <w:sz w:val="14"/>
              </w:rPr>
              <w:t>кроз степен и корен комплексног бро</w:t>
            </w:r>
            <w:r>
              <w:rPr>
                <w:color w:val="231F20"/>
                <w:sz w:val="14"/>
              </w:rPr>
              <w:t>ја, уз помоћ основног става алгебре, довести до генерализације решавања алгебарских</w:t>
            </w:r>
            <w:r>
              <w:rPr>
                <w:color w:val="231F20"/>
                <w:spacing w:val="-1"/>
                <w:sz w:val="14"/>
              </w:rPr>
              <w:t xml:space="preserve"> </w:t>
            </w:r>
            <w:r>
              <w:rPr>
                <w:color w:val="231F20"/>
                <w:sz w:val="14"/>
              </w:rPr>
              <w:t>једначина.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197"/>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197"/>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теми</w:t>
            </w:r>
          </w:p>
          <w:p w:rsidR="00041039" w:rsidRDefault="001B26CB">
            <w:pPr>
              <w:pStyle w:val="TableParagraph"/>
              <w:numPr>
                <w:ilvl w:val="0"/>
                <w:numId w:val="1197"/>
              </w:numPr>
              <w:tabs>
                <w:tab w:val="left" w:pos="158"/>
              </w:tabs>
              <w:spacing w:line="160" w:lineRule="exact"/>
              <w:ind w:hanging="99"/>
              <w:rPr>
                <w:b/>
                <w:sz w:val="14"/>
              </w:rPr>
            </w:pPr>
            <w:r>
              <w:rPr>
                <w:color w:val="231F20"/>
                <w:sz w:val="14"/>
              </w:rPr>
              <w:t xml:space="preserve">Полиедри </w:t>
            </w:r>
            <w:r>
              <w:rPr>
                <w:b/>
                <w:color w:val="231F20"/>
                <w:sz w:val="14"/>
              </w:rPr>
              <w:t>(25</w:t>
            </w:r>
            <w:r>
              <w:rPr>
                <w:b/>
                <w:color w:val="231F20"/>
                <w:spacing w:val="-3"/>
                <w:sz w:val="14"/>
              </w:rPr>
              <w:t xml:space="preserve"> </w:t>
            </w:r>
            <w:r>
              <w:rPr>
                <w:b/>
                <w:color w:val="231F20"/>
                <w:sz w:val="14"/>
              </w:rPr>
              <w:t>часова)</w:t>
            </w:r>
          </w:p>
          <w:p w:rsidR="00041039" w:rsidRDefault="001B26CB">
            <w:pPr>
              <w:pStyle w:val="TableParagraph"/>
              <w:numPr>
                <w:ilvl w:val="0"/>
                <w:numId w:val="1197"/>
              </w:numPr>
              <w:tabs>
                <w:tab w:val="left" w:pos="158"/>
              </w:tabs>
              <w:spacing w:line="160" w:lineRule="exact"/>
              <w:ind w:hanging="99"/>
              <w:rPr>
                <w:b/>
                <w:sz w:val="14"/>
              </w:rPr>
            </w:pPr>
            <w:r>
              <w:rPr>
                <w:color w:val="231F20"/>
                <w:sz w:val="14"/>
              </w:rPr>
              <w:t xml:space="preserve">Обртна тела </w:t>
            </w:r>
            <w:r>
              <w:rPr>
                <w:b/>
                <w:color w:val="231F20"/>
                <w:sz w:val="14"/>
              </w:rPr>
              <w:t>(20</w:t>
            </w:r>
            <w:r>
              <w:rPr>
                <w:b/>
                <w:color w:val="231F20"/>
                <w:spacing w:val="-3"/>
                <w:sz w:val="14"/>
              </w:rPr>
              <w:t xml:space="preserve"> </w:t>
            </w:r>
            <w:r>
              <w:rPr>
                <w:b/>
                <w:color w:val="231F20"/>
                <w:sz w:val="14"/>
              </w:rPr>
              <w:t>часова)</w:t>
            </w:r>
          </w:p>
          <w:p w:rsidR="00041039" w:rsidRDefault="001B26CB">
            <w:pPr>
              <w:pStyle w:val="TableParagraph"/>
              <w:numPr>
                <w:ilvl w:val="0"/>
                <w:numId w:val="1197"/>
              </w:numPr>
              <w:tabs>
                <w:tab w:val="left" w:pos="158"/>
              </w:tabs>
              <w:spacing w:line="160" w:lineRule="exact"/>
              <w:ind w:hanging="99"/>
              <w:rPr>
                <w:b/>
                <w:sz w:val="14"/>
              </w:rPr>
            </w:pPr>
            <w:r>
              <w:rPr>
                <w:color w:val="231F20"/>
                <w:sz w:val="14"/>
              </w:rPr>
              <w:t xml:space="preserve">Вектори </w:t>
            </w:r>
            <w:r>
              <w:rPr>
                <w:b/>
                <w:color w:val="231F20"/>
                <w:sz w:val="14"/>
              </w:rPr>
              <w:t>(15</w:t>
            </w:r>
            <w:r>
              <w:rPr>
                <w:b/>
                <w:color w:val="231F20"/>
                <w:spacing w:val="-2"/>
                <w:sz w:val="14"/>
              </w:rPr>
              <w:t xml:space="preserve"> </w:t>
            </w:r>
            <w:r>
              <w:rPr>
                <w:b/>
                <w:color w:val="231F20"/>
                <w:sz w:val="14"/>
              </w:rPr>
              <w:t>часова)</w:t>
            </w:r>
          </w:p>
          <w:p w:rsidR="00041039" w:rsidRDefault="001B26CB">
            <w:pPr>
              <w:pStyle w:val="TableParagraph"/>
              <w:numPr>
                <w:ilvl w:val="0"/>
                <w:numId w:val="1197"/>
              </w:numPr>
              <w:tabs>
                <w:tab w:val="left" w:pos="158"/>
              </w:tabs>
              <w:spacing w:line="165" w:lineRule="exact"/>
              <w:ind w:hanging="99"/>
              <w:rPr>
                <w:sz w:val="14"/>
              </w:rPr>
            </w:pPr>
            <w:r>
              <w:rPr>
                <w:color w:val="231F20"/>
                <w:sz w:val="14"/>
              </w:rPr>
              <w:t>Аналитичка геометрија у</w:t>
            </w:r>
            <w:r>
              <w:rPr>
                <w:color w:val="231F20"/>
                <w:spacing w:val="-5"/>
                <w:sz w:val="14"/>
              </w:rPr>
              <w:t xml:space="preserve"> </w:t>
            </w:r>
            <w:r>
              <w:rPr>
                <w:color w:val="231F20"/>
                <w:sz w:val="14"/>
              </w:rPr>
              <w:t>равни</w:t>
            </w:r>
          </w:p>
          <w:p w:rsidR="00041039" w:rsidRDefault="001B26CB">
            <w:pPr>
              <w:pStyle w:val="TableParagraph"/>
              <w:spacing w:line="155" w:lineRule="exact"/>
              <w:ind w:left="157"/>
              <w:rPr>
                <w:b/>
                <w:sz w:val="14"/>
              </w:rPr>
            </w:pPr>
            <w:r>
              <w:rPr>
                <w:b/>
                <w:color w:val="231F20"/>
                <w:sz w:val="14"/>
              </w:rPr>
              <w:t>(50 часова)</w:t>
            </w:r>
          </w:p>
          <w:p w:rsidR="00041039" w:rsidRDefault="001B26CB">
            <w:pPr>
              <w:pStyle w:val="TableParagraph"/>
              <w:numPr>
                <w:ilvl w:val="0"/>
                <w:numId w:val="1197"/>
              </w:numPr>
              <w:tabs>
                <w:tab w:val="left" w:pos="158"/>
              </w:tabs>
              <w:spacing w:line="165" w:lineRule="exact"/>
              <w:ind w:hanging="99"/>
              <w:rPr>
                <w:sz w:val="14"/>
              </w:rPr>
            </w:pPr>
            <w:r>
              <w:rPr>
                <w:color w:val="231F20"/>
                <w:sz w:val="14"/>
              </w:rPr>
              <w:t>Математичка индукција.</w:t>
            </w:r>
            <w:r>
              <w:rPr>
                <w:color w:val="231F20"/>
                <w:spacing w:val="-9"/>
                <w:sz w:val="14"/>
              </w:rPr>
              <w:t xml:space="preserve"> </w:t>
            </w:r>
            <w:r>
              <w:rPr>
                <w:color w:val="231F20"/>
                <w:sz w:val="14"/>
              </w:rPr>
              <w:t>Низови</w:t>
            </w:r>
          </w:p>
          <w:p w:rsidR="00041039" w:rsidRDefault="001B26CB">
            <w:pPr>
              <w:pStyle w:val="TableParagraph"/>
              <w:spacing w:line="155" w:lineRule="exact"/>
              <w:ind w:left="157"/>
              <w:rPr>
                <w:b/>
                <w:sz w:val="14"/>
              </w:rPr>
            </w:pPr>
            <w:r>
              <w:rPr>
                <w:b/>
                <w:color w:val="231F20"/>
                <w:sz w:val="14"/>
              </w:rPr>
              <w:t>(38 часова)</w:t>
            </w:r>
          </w:p>
          <w:p w:rsidR="00041039" w:rsidRDefault="001B26CB">
            <w:pPr>
              <w:pStyle w:val="TableParagraph"/>
              <w:numPr>
                <w:ilvl w:val="0"/>
                <w:numId w:val="1197"/>
              </w:numPr>
              <w:tabs>
                <w:tab w:val="left" w:pos="158"/>
              </w:tabs>
              <w:spacing w:line="165" w:lineRule="exact"/>
              <w:ind w:hanging="99"/>
              <w:rPr>
                <w:sz w:val="14"/>
              </w:rPr>
            </w:pPr>
            <w:r>
              <w:rPr>
                <w:color w:val="231F20"/>
                <w:sz w:val="14"/>
              </w:rPr>
              <w:t>Комплексни бројеви и</w:t>
            </w:r>
            <w:r>
              <w:rPr>
                <w:color w:val="231F20"/>
                <w:spacing w:val="-11"/>
                <w:sz w:val="14"/>
              </w:rPr>
              <w:t xml:space="preserve"> </w:t>
            </w:r>
            <w:r>
              <w:rPr>
                <w:color w:val="231F20"/>
                <w:sz w:val="14"/>
              </w:rPr>
              <w:t>полиноми</w:t>
            </w:r>
          </w:p>
          <w:p w:rsidR="00041039" w:rsidRDefault="001B26CB">
            <w:pPr>
              <w:pStyle w:val="TableParagraph"/>
              <w:spacing w:line="160" w:lineRule="exact"/>
              <w:ind w:left="157"/>
              <w:rPr>
                <w:b/>
                <w:sz w:val="14"/>
              </w:rPr>
            </w:pPr>
            <w:r>
              <w:rPr>
                <w:b/>
                <w:color w:val="231F20"/>
                <w:sz w:val="14"/>
              </w:rPr>
              <w:t>(15 часова)</w:t>
            </w:r>
          </w:p>
          <w:p w:rsidR="00041039" w:rsidRDefault="00041039">
            <w:pPr>
              <w:pStyle w:val="TableParagraph"/>
              <w:spacing w:before="9"/>
              <w:ind w:left="0"/>
              <w:rPr>
                <w:b/>
                <w:sz w:val="13"/>
              </w:rPr>
            </w:pPr>
          </w:p>
          <w:p w:rsidR="00041039" w:rsidRDefault="001B26CB">
            <w:pPr>
              <w:pStyle w:val="TableParagraph"/>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1640"/>
        </w:trPr>
        <w:tc>
          <w:tcPr>
            <w:tcW w:w="1304" w:type="dxa"/>
          </w:tcPr>
          <w:p w:rsidR="00041039" w:rsidRDefault="001B26CB">
            <w:pPr>
              <w:pStyle w:val="TableParagraph"/>
              <w:spacing w:before="19"/>
              <w:ind w:left="56" w:right="37"/>
              <w:rPr>
                <w:sz w:val="14"/>
              </w:rPr>
            </w:pPr>
            <w:r>
              <w:rPr>
                <w:color w:val="231F20"/>
                <w:sz w:val="14"/>
              </w:rPr>
              <w:t>Математичка ин­ дукција. Низови</w:t>
            </w:r>
          </w:p>
        </w:tc>
        <w:tc>
          <w:tcPr>
            <w:tcW w:w="1587" w:type="dxa"/>
          </w:tcPr>
          <w:p w:rsidR="00041039" w:rsidRDefault="001B26CB">
            <w:pPr>
              <w:pStyle w:val="TableParagraph"/>
              <w:numPr>
                <w:ilvl w:val="0"/>
                <w:numId w:val="1196"/>
              </w:numPr>
              <w:tabs>
                <w:tab w:val="left" w:pos="157"/>
              </w:tabs>
              <w:spacing w:before="9"/>
              <w:ind w:right="248"/>
              <w:rPr>
                <w:sz w:val="14"/>
              </w:rPr>
            </w:pPr>
            <w:r>
              <w:rPr>
                <w:color w:val="231F20"/>
                <w:sz w:val="14"/>
              </w:rPr>
              <w:t>Стицање основних знања о низовима</w:t>
            </w:r>
            <w:r>
              <w:rPr>
                <w:color w:val="231F20"/>
                <w:spacing w:val="-9"/>
                <w:sz w:val="14"/>
              </w:rPr>
              <w:t xml:space="preserve"> </w:t>
            </w:r>
            <w:r>
              <w:rPr>
                <w:color w:val="231F20"/>
                <w:sz w:val="14"/>
              </w:rPr>
              <w:t>и примена.</w:t>
            </w:r>
          </w:p>
        </w:tc>
        <w:tc>
          <w:tcPr>
            <w:tcW w:w="2551" w:type="dxa"/>
          </w:tcPr>
          <w:p w:rsidR="00041039" w:rsidRDefault="001B26CB">
            <w:pPr>
              <w:pStyle w:val="TableParagraph"/>
              <w:numPr>
                <w:ilvl w:val="0"/>
                <w:numId w:val="1195"/>
              </w:numPr>
              <w:tabs>
                <w:tab w:val="left" w:pos="157"/>
              </w:tabs>
              <w:spacing w:before="9"/>
              <w:ind w:right="274" w:hanging="99"/>
              <w:rPr>
                <w:sz w:val="14"/>
              </w:rPr>
            </w:pPr>
            <w:r>
              <w:rPr>
                <w:color w:val="231F20"/>
                <w:sz w:val="14"/>
              </w:rPr>
              <w:t>изводи</w:t>
            </w:r>
            <w:r>
              <w:rPr>
                <w:color w:val="231F20"/>
                <w:spacing w:val="-11"/>
                <w:sz w:val="14"/>
              </w:rPr>
              <w:t xml:space="preserve"> </w:t>
            </w:r>
            <w:r>
              <w:rPr>
                <w:color w:val="231F20"/>
                <w:sz w:val="14"/>
              </w:rPr>
              <w:t>лакше</w:t>
            </w:r>
            <w:r>
              <w:rPr>
                <w:color w:val="231F20"/>
                <w:spacing w:val="-12"/>
                <w:sz w:val="14"/>
              </w:rPr>
              <w:t xml:space="preserve"> </w:t>
            </w:r>
            <w:r>
              <w:rPr>
                <w:color w:val="231F20"/>
                <w:sz w:val="14"/>
              </w:rPr>
              <w:t>доказе</w:t>
            </w:r>
            <w:r>
              <w:rPr>
                <w:color w:val="231F20"/>
                <w:spacing w:val="-11"/>
                <w:sz w:val="14"/>
              </w:rPr>
              <w:t xml:space="preserve"> </w:t>
            </w:r>
            <w:r>
              <w:rPr>
                <w:color w:val="231F20"/>
                <w:sz w:val="14"/>
              </w:rPr>
              <w:t>математичком индукцијом;</w:t>
            </w:r>
          </w:p>
          <w:p w:rsidR="00041039" w:rsidRDefault="001B26CB">
            <w:pPr>
              <w:pStyle w:val="TableParagraph"/>
              <w:numPr>
                <w:ilvl w:val="0"/>
                <w:numId w:val="1195"/>
              </w:numPr>
              <w:tabs>
                <w:tab w:val="left" w:pos="157"/>
              </w:tabs>
              <w:spacing w:before="1" w:line="160" w:lineRule="exact"/>
              <w:ind w:right="271" w:hanging="99"/>
              <w:rPr>
                <w:sz w:val="14"/>
              </w:rPr>
            </w:pPr>
            <w:r>
              <w:rPr>
                <w:color w:val="231F20"/>
                <w:sz w:val="14"/>
              </w:rPr>
              <w:t>одреди аритметички низ из</w:t>
            </w:r>
            <w:r>
              <w:rPr>
                <w:color w:val="231F20"/>
                <w:spacing w:val="-20"/>
                <w:sz w:val="14"/>
              </w:rPr>
              <w:t xml:space="preserve"> </w:t>
            </w:r>
            <w:r>
              <w:rPr>
                <w:color w:val="231F20"/>
                <w:sz w:val="14"/>
              </w:rPr>
              <w:t>задатих услова;</w:t>
            </w:r>
          </w:p>
          <w:p w:rsidR="00041039" w:rsidRDefault="001B26CB">
            <w:pPr>
              <w:pStyle w:val="TableParagraph"/>
              <w:numPr>
                <w:ilvl w:val="0"/>
                <w:numId w:val="1195"/>
              </w:numPr>
              <w:tabs>
                <w:tab w:val="left" w:pos="157"/>
              </w:tabs>
              <w:spacing w:line="160" w:lineRule="exact"/>
              <w:ind w:right="252" w:hanging="99"/>
              <w:rPr>
                <w:sz w:val="14"/>
              </w:rPr>
            </w:pPr>
            <w:r>
              <w:rPr>
                <w:color w:val="231F20"/>
                <w:sz w:val="14"/>
              </w:rPr>
              <w:t>одреди геометријски низ из</w:t>
            </w:r>
            <w:r>
              <w:rPr>
                <w:color w:val="231F20"/>
                <w:spacing w:val="-24"/>
                <w:sz w:val="14"/>
              </w:rPr>
              <w:t xml:space="preserve"> </w:t>
            </w:r>
            <w:r>
              <w:rPr>
                <w:color w:val="231F20"/>
                <w:sz w:val="14"/>
              </w:rPr>
              <w:t>задатих услова;</w:t>
            </w:r>
          </w:p>
          <w:p w:rsidR="00041039" w:rsidRDefault="001B26CB">
            <w:pPr>
              <w:pStyle w:val="TableParagraph"/>
              <w:numPr>
                <w:ilvl w:val="0"/>
                <w:numId w:val="1195"/>
              </w:numPr>
              <w:tabs>
                <w:tab w:val="left" w:pos="157"/>
              </w:tabs>
              <w:spacing w:line="153" w:lineRule="exact"/>
              <w:ind w:hanging="99"/>
              <w:rPr>
                <w:sz w:val="14"/>
              </w:rPr>
            </w:pPr>
            <w:r>
              <w:rPr>
                <w:color w:val="231F20"/>
                <w:sz w:val="14"/>
              </w:rPr>
              <w:t>одреди суму геометријског</w:t>
            </w:r>
            <w:r>
              <w:rPr>
                <w:color w:val="231F20"/>
                <w:spacing w:val="-5"/>
                <w:sz w:val="14"/>
              </w:rPr>
              <w:t xml:space="preserve"> </w:t>
            </w:r>
            <w:r>
              <w:rPr>
                <w:color w:val="231F20"/>
                <w:sz w:val="14"/>
              </w:rPr>
              <w:t>реда;</w:t>
            </w:r>
          </w:p>
          <w:p w:rsidR="00041039" w:rsidRDefault="001B26CB">
            <w:pPr>
              <w:pStyle w:val="TableParagraph"/>
              <w:numPr>
                <w:ilvl w:val="0"/>
                <w:numId w:val="1195"/>
              </w:numPr>
              <w:tabs>
                <w:tab w:val="left" w:pos="157"/>
              </w:tabs>
              <w:spacing w:line="237" w:lineRule="auto"/>
              <w:ind w:right="697" w:hanging="99"/>
              <w:rPr>
                <w:sz w:val="14"/>
              </w:rPr>
            </w:pPr>
            <w:r>
              <w:rPr>
                <w:color w:val="231F20"/>
                <w:sz w:val="14"/>
              </w:rPr>
              <w:t>примени геометријски ред</w:t>
            </w:r>
            <w:r>
              <w:rPr>
                <w:color w:val="231F20"/>
                <w:spacing w:val="-12"/>
                <w:sz w:val="14"/>
              </w:rPr>
              <w:t xml:space="preserve"> </w:t>
            </w:r>
            <w:r>
              <w:rPr>
                <w:color w:val="231F20"/>
                <w:sz w:val="14"/>
              </w:rPr>
              <w:t>у геометрији;</w:t>
            </w:r>
          </w:p>
          <w:p w:rsidR="00041039" w:rsidRDefault="001B26CB">
            <w:pPr>
              <w:pStyle w:val="TableParagraph"/>
              <w:numPr>
                <w:ilvl w:val="0"/>
                <w:numId w:val="1195"/>
              </w:numPr>
              <w:tabs>
                <w:tab w:val="left" w:pos="157"/>
              </w:tabs>
              <w:spacing w:line="160" w:lineRule="exact"/>
              <w:ind w:hanging="99"/>
              <w:rPr>
                <w:sz w:val="14"/>
              </w:rPr>
            </w:pPr>
            <w:r>
              <w:rPr>
                <w:color w:val="231F20"/>
                <w:sz w:val="14"/>
              </w:rPr>
              <w:t>израчуна граничну вредност</w:t>
            </w:r>
            <w:r>
              <w:rPr>
                <w:color w:val="231F20"/>
                <w:spacing w:val="-6"/>
                <w:sz w:val="14"/>
              </w:rPr>
              <w:t xml:space="preserve"> </w:t>
            </w:r>
            <w:r>
              <w:rPr>
                <w:color w:val="231F20"/>
                <w:sz w:val="14"/>
              </w:rPr>
              <w:t>низа;</w:t>
            </w:r>
          </w:p>
        </w:tc>
        <w:tc>
          <w:tcPr>
            <w:tcW w:w="2834" w:type="dxa"/>
          </w:tcPr>
          <w:p w:rsidR="00041039" w:rsidRDefault="001B26CB">
            <w:pPr>
              <w:pStyle w:val="TableParagraph"/>
              <w:numPr>
                <w:ilvl w:val="0"/>
                <w:numId w:val="1194"/>
              </w:numPr>
              <w:tabs>
                <w:tab w:val="left" w:pos="157"/>
              </w:tabs>
              <w:spacing w:before="9" w:line="166" w:lineRule="exact"/>
              <w:ind w:hanging="99"/>
              <w:rPr>
                <w:sz w:val="14"/>
              </w:rPr>
            </w:pPr>
            <w:r>
              <w:rPr>
                <w:color w:val="231F20"/>
                <w:sz w:val="14"/>
              </w:rPr>
              <w:t>Математичка</w:t>
            </w:r>
            <w:r>
              <w:rPr>
                <w:color w:val="231F20"/>
                <w:spacing w:val="-1"/>
                <w:sz w:val="14"/>
              </w:rPr>
              <w:t xml:space="preserve"> </w:t>
            </w:r>
            <w:r>
              <w:rPr>
                <w:color w:val="231F20"/>
                <w:sz w:val="14"/>
              </w:rPr>
              <w:t>индукција.</w:t>
            </w:r>
          </w:p>
          <w:p w:rsidR="00041039" w:rsidRDefault="001B26CB">
            <w:pPr>
              <w:pStyle w:val="TableParagraph"/>
              <w:numPr>
                <w:ilvl w:val="0"/>
                <w:numId w:val="1194"/>
              </w:numPr>
              <w:tabs>
                <w:tab w:val="left" w:pos="157"/>
              </w:tabs>
              <w:spacing w:line="160" w:lineRule="exact"/>
              <w:ind w:hanging="99"/>
              <w:rPr>
                <w:sz w:val="14"/>
              </w:rPr>
            </w:pPr>
            <w:r>
              <w:rPr>
                <w:color w:val="231F20"/>
                <w:sz w:val="14"/>
              </w:rPr>
              <w:t>Дељивост, прости бројеви,</w:t>
            </w:r>
            <w:r>
              <w:rPr>
                <w:color w:val="231F20"/>
                <w:spacing w:val="-7"/>
                <w:sz w:val="14"/>
              </w:rPr>
              <w:t xml:space="preserve"> </w:t>
            </w:r>
            <w:r>
              <w:rPr>
                <w:color w:val="231F20"/>
                <w:sz w:val="14"/>
              </w:rPr>
              <w:t>конгруенције.</w:t>
            </w:r>
          </w:p>
          <w:p w:rsidR="00041039" w:rsidRDefault="001B26CB">
            <w:pPr>
              <w:pStyle w:val="TableParagraph"/>
              <w:numPr>
                <w:ilvl w:val="0"/>
                <w:numId w:val="1194"/>
              </w:numPr>
              <w:tabs>
                <w:tab w:val="left" w:pos="157"/>
              </w:tabs>
              <w:spacing w:line="160" w:lineRule="exact"/>
              <w:ind w:hanging="99"/>
              <w:rPr>
                <w:sz w:val="14"/>
              </w:rPr>
            </w:pPr>
            <w:r>
              <w:rPr>
                <w:color w:val="231F20"/>
                <w:sz w:val="14"/>
              </w:rPr>
              <w:t>Аритметички</w:t>
            </w:r>
            <w:r>
              <w:rPr>
                <w:color w:val="231F20"/>
                <w:spacing w:val="-15"/>
                <w:sz w:val="14"/>
              </w:rPr>
              <w:t xml:space="preserve"> </w:t>
            </w:r>
            <w:r>
              <w:rPr>
                <w:color w:val="231F20"/>
                <w:sz w:val="14"/>
              </w:rPr>
              <w:t>низ.</w:t>
            </w:r>
          </w:p>
          <w:p w:rsidR="00041039" w:rsidRDefault="001B26CB">
            <w:pPr>
              <w:pStyle w:val="TableParagraph"/>
              <w:numPr>
                <w:ilvl w:val="0"/>
                <w:numId w:val="1194"/>
              </w:numPr>
              <w:tabs>
                <w:tab w:val="left" w:pos="157"/>
              </w:tabs>
              <w:spacing w:line="160" w:lineRule="exact"/>
              <w:ind w:hanging="99"/>
              <w:rPr>
                <w:sz w:val="14"/>
              </w:rPr>
            </w:pPr>
            <w:r>
              <w:rPr>
                <w:color w:val="231F20"/>
                <w:sz w:val="14"/>
              </w:rPr>
              <w:t>Геометријски</w:t>
            </w:r>
            <w:r>
              <w:rPr>
                <w:color w:val="231F20"/>
                <w:spacing w:val="-17"/>
                <w:sz w:val="14"/>
              </w:rPr>
              <w:t xml:space="preserve"> </w:t>
            </w:r>
            <w:r>
              <w:rPr>
                <w:color w:val="231F20"/>
                <w:sz w:val="14"/>
              </w:rPr>
              <w:t>низ.</w:t>
            </w:r>
          </w:p>
          <w:p w:rsidR="00041039" w:rsidRDefault="001B26CB">
            <w:pPr>
              <w:pStyle w:val="TableParagraph"/>
              <w:numPr>
                <w:ilvl w:val="0"/>
                <w:numId w:val="1194"/>
              </w:numPr>
              <w:tabs>
                <w:tab w:val="left" w:pos="157"/>
              </w:tabs>
              <w:spacing w:line="160" w:lineRule="exact"/>
              <w:ind w:hanging="99"/>
              <w:rPr>
                <w:sz w:val="14"/>
              </w:rPr>
            </w:pPr>
            <w:r>
              <w:rPr>
                <w:color w:val="231F20"/>
                <w:sz w:val="14"/>
              </w:rPr>
              <w:t>Геометријски</w:t>
            </w:r>
            <w:r>
              <w:rPr>
                <w:color w:val="231F20"/>
                <w:spacing w:val="-15"/>
                <w:sz w:val="14"/>
              </w:rPr>
              <w:t xml:space="preserve"> </w:t>
            </w:r>
            <w:r>
              <w:rPr>
                <w:color w:val="231F20"/>
                <w:sz w:val="14"/>
              </w:rPr>
              <w:t>ред.</w:t>
            </w:r>
          </w:p>
          <w:p w:rsidR="00041039" w:rsidRDefault="001B26CB">
            <w:pPr>
              <w:pStyle w:val="TableParagraph"/>
              <w:numPr>
                <w:ilvl w:val="0"/>
                <w:numId w:val="1194"/>
              </w:numPr>
              <w:tabs>
                <w:tab w:val="left" w:pos="157"/>
              </w:tabs>
              <w:spacing w:line="160" w:lineRule="exact"/>
              <w:ind w:hanging="99"/>
              <w:rPr>
                <w:sz w:val="14"/>
              </w:rPr>
            </w:pPr>
            <w:r>
              <w:rPr>
                <w:color w:val="231F20"/>
                <w:sz w:val="14"/>
              </w:rPr>
              <w:t>Гранична вредност</w:t>
            </w:r>
            <w:r>
              <w:rPr>
                <w:color w:val="231F20"/>
                <w:spacing w:val="-1"/>
                <w:sz w:val="14"/>
              </w:rPr>
              <w:t xml:space="preserve"> </w:t>
            </w:r>
            <w:r>
              <w:rPr>
                <w:color w:val="231F20"/>
                <w:sz w:val="14"/>
              </w:rPr>
              <w:t>низа.</w:t>
            </w:r>
          </w:p>
          <w:p w:rsidR="00041039" w:rsidRDefault="001B26CB">
            <w:pPr>
              <w:pStyle w:val="TableParagraph"/>
              <w:numPr>
                <w:ilvl w:val="0"/>
                <w:numId w:val="1194"/>
              </w:numPr>
              <w:tabs>
                <w:tab w:val="left" w:pos="157"/>
              </w:tabs>
              <w:spacing w:line="160" w:lineRule="exact"/>
              <w:ind w:hanging="99"/>
              <w:rPr>
                <w:sz w:val="14"/>
              </w:rPr>
            </w:pPr>
            <w:r>
              <w:rPr>
                <w:color w:val="231F20"/>
                <w:sz w:val="14"/>
              </w:rPr>
              <w:t>Дефиниција броја е.</w:t>
            </w:r>
          </w:p>
          <w:p w:rsidR="00041039" w:rsidRDefault="001B26CB">
            <w:pPr>
              <w:pStyle w:val="TableParagraph"/>
              <w:numPr>
                <w:ilvl w:val="0"/>
                <w:numId w:val="1194"/>
              </w:numPr>
              <w:tabs>
                <w:tab w:val="left" w:pos="157"/>
              </w:tabs>
              <w:spacing w:line="166" w:lineRule="exact"/>
              <w:ind w:hanging="99"/>
              <w:rPr>
                <w:sz w:val="14"/>
              </w:rPr>
            </w:pPr>
            <w:r>
              <w:rPr>
                <w:color w:val="231F20"/>
                <w:sz w:val="14"/>
              </w:rPr>
              <w:t>Основне граничне</w:t>
            </w:r>
            <w:r>
              <w:rPr>
                <w:color w:val="231F20"/>
                <w:spacing w:val="-3"/>
                <w:sz w:val="14"/>
              </w:rPr>
              <w:t xml:space="preserve"> </w:t>
            </w:r>
            <w:r>
              <w:rPr>
                <w:color w:val="231F20"/>
                <w:sz w:val="14"/>
              </w:rPr>
              <w:t>вредности.</w:t>
            </w:r>
          </w:p>
        </w:tc>
        <w:tc>
          <w:tcPr>
            <w:tcW w:w="2267" w:type="dxa"/>
            <w:vMerge/>
            <w:tcBorders>
              <w:top w:val="nil"/>
            </w:tcBorders>
          </w:tcPr>
          <w:p w:rsidR="00041039" w:rsidRDefault="00041039">
            <w:pPr>
              <w:rPr>
                <w:sz w:val="2"/>
                <w:szCs w:val="2"/>
              </w:rPr>
            </w:pPr>
          </w:p>
        </w:tc>
      </w:tr>
      <w:tr w:rsidR="00041039">
        <w:trPr>
          <w:trHeight w:val="1320"/>
        </w:trPr>
        <w:tc>
          <w:tcPr>
            <w:tcW w:w="1304" w:type="dxa"/>
          </w:tcPr>
          <w:p w:rsidR="00041039" w:rsidRDefault="001B26CB">
            <w:pPr>
              <w:pStyle w:val="TableParagraph"/>
              <w:spacing w:before="20"/>
              <w:ind w:left="56" w:right="37"/>
              <w:rPr>
                <w:sz w:val="14"/>
              </w:rPr>
            </w:pPr>
            <w:r>
              <w:rPr>
                <w:color w:val="231F20"/>
                <w:sz w:val="14"/>
              </w:rPr>
              <w:t>Комплексни броје­ ви и полиноми</w:t>
            </w:r>
          </w:p>
        </w:tc>
        <w:tc>
          <w:tcPr>
            <w:tcW w:w="1587" w:type="dxa"/>
          </w:tcPr>
          <w:p w:rsidR="00041039" w:rsidRDefault="001B26CB">
            <w:pPr>
              <w:pStyle w:val="TableParagraph"/>
              <w:numPr>
                <w:ilvl w:val="0"/>
                <w:numId w:val="1193"/>
              </w:numPr>
              <w:tabs>
                <w:tab w:val="left" w:pos="157"/>
              </w:tabs>
              <w:spacing w:before="10"/>
              <w:ind w:right="211"/>
              <w:rPr>
                <w:sz w:val="14"/>
              </w:rPr>
            </w:pPr>
            <w:r>
              <w:rPr>
                <w:color w:val="231F20"/>
                <w:sz w:val="14"/>
              </w:rPr>
              <w:t xml:space="preserve">Стицање знања о степеновању и </w:t>
            </w:r>
            <w:r>
              <w:rPr>
                <w:color w:val="231F20"/>
                <w:spacing w:val="-3"/>
                <w:sz w:val="14"/>
              </w:rPr>
              <w:t xml:space="preserve">ко­ </w:t>
            </w:r>
            <w:r>
              <w:rPr>
                <w:color w:val="231F20"/>
                <w:sz w:val="14"/>
              </w:rPr>
              <w:t>реновању</w:t>
            </w:r>
            <w:r>
              <w:rPr>
                <w:color w:val="231F20"/>
                <w:spacing w:val="-15"/>
                <w:sz w:val="14"/>
              </w:rPr>
              <w:t xml:space="preserve"> </w:t>
            </w:r>
            <w:r>
              <w:rPr>
                <w:color w:val="231F20"/>
                <w:sz w:val="14"/>
              </w:rPr>
              <w:t>комплекс­ них бројева и неке примене.</w:t>
            </w:r>
          </w:p>
        </w:tc>
        <w:tc>
          <w:tcPr>
            <w:tcW w:w="2551" w:type="dxa"/>
          </w:tcPr>
          <w:p w:rsidR="00041039" w:rsidRDefault="001B26CB">
            <w:pPr>
              <w:pStyle w:val="TableParagraph"/>
              <w:numPr>
                <w:ilvl w:val="0"/>
                <w:numId w:val="1192"/>
              </w:numPr>
              <w:tabs>
                <w:tab w:val="left" w:pos="157"/>
              </w:tabs>
              <w:spacing w:before="10"/>
              <w:ind w:right="172" w:hanging="99"/>
              <w:rPr>
                <w:sz w:val="14"/>
              </w:rPr>
            </w:pPr>
            <w:r>
              <w:rPr>
                <w:color w:val="231F20"/>
                <w:sz w:val="14"/>
              </w:rPr>
              <w:t>одреди тригонометријски облик</w:t>
            </w:r>
            <w:r>
              <w:rPr>
                <w:color w:val="231F20"/>
                <w:spacing w:val="-17"/>
                <w:sz w:val="14"/>
              </w:rPr>
              <w:t xml:space="preserve"> </w:t>
            </w:r>
            <w:r>
              <w:rPr>
                <w:color w:val="231F20"/>
                <w:spacing w:val="-3"/>
                <w:sz w:val="14"/>
              </w:rPr>
              <w:t xml:space="preserve">ком­ </w:t>
            </w:r>
            <w:r>
              <w:rPr>
                <w:color w:val="231F20"/>
                <w:sz w:val="14"/>
              </w:rPr>
              <w:t>плексног броја</w:t>
            </w:r>
            <w:r>
              <w:rPr>
                <w:color w:val="231F20"/>
                <w:spacing w:val="-1"/>
                <w:sz w:val="14"/>
              </w:rPr>
              <w:t xml:space="preserve"> </w:t>
            </w:r>
            <w:r>
              <w:rPr>
                <w:color w:val="231F20"/>
                <w:sz w:val="14"/>
              </w:rPr>
              <w:t>;</w:t>
            </w:r>
          </w:p>
          <w:p w:rsidR="00041039" w:rsidRDefault="001B26CB">
            <w:pPr>
              <w:pStyle w:val="TableParagraph"/>
              <w:numPr>
                <w:ilvl w:val="0"/>
                <w:numId w:val="1192"/>
              </w:numPr>
              <w:tabs>
                <w:tab w:val="left" w:pos="157"/>
              </w:tabs>
              <w:spacing w:line="160" w:lineRule="exact"/>
              <w:ind w:right="264" w:hanging="99"/>
              <w:rPr>
                <w:sz w:val="14"/>
              </w:rPr>
            </w:pPr>
            <w:r>
              <w:rPr>
                <w:color w:val="231F20"/>
                <w:sz w:val="14"/>
              </w:rPr>
              <w:t>одреди</w:t>
            </w:r>
            <w:r>
              <w:rPr>
                <w:color w:val="231F20"/>
                <w:spacing w:val="-8"/>
                <w:sz w:val="14"/>
              </w:rPr>
              <w:t xml:space="preserve"> </w:t>
            </w:r>
            <w:r>
              <w:rPr>
                <w:color w:val="231F20"/>
                <w:sz w:val="14"/>
              </w:rPr>
              <w:t>степен</w:t>
            </w:r>
            <w:r>
              <w:rPr>
                <w:color w:val="231F20"/>
                <w:spacing w:val="-8"/>
                <w:sz w:val="14"/>
              </w:rPr>
              <w:t xml:space="preserve"> </w:t>
            </w:r>
            <w:r>
              <w:rPr>
                <w:color w:val="231F20"/>
                <w:sz w:val="14"/>
              </w:rPr>
              <w:t>и</w:t>
            </w:r>
            <w:r>
              <w:rPr>
                <w:color w:val="231F20"/>
                <w:spacing w:val="-8"/>
                <w:sz w:val="14"/>
              </w:rPr>
              <w:t xml:space="preserve"> </w:t>
            </w:r>
            <w:r>
              <w:rPr>
                <w:color w:val="231F20"/>
                <w:sz w:val="14"/>
              </w:rPr>
              <w:t>корен</w:t>
            </w:r>
            <w:r>
              <w:rPr>
                <w:color w:val="231F20"/>
                <w:spacing w:val="-8"/>
                <w:sz w:val="14"/>
              </w:rPr>
              <w:t xml:space="preserve"> </w:t>
            </w:r>
            <w:r>
              <w:rPr>
                <w:color w:val="231F20"/>
                <w:sz w:val="14"/>
              </w:rPr>
              <w:t>комплексног броја у тригонометријском</w:t>
            </w:r>
            <w:r>
              <w:rPr>
                <w:color w:val="231F20"/>
                <w:spacing w:val="-20"/>
                <w:sz w:val="14"/>
              </w:rPr>
              <w:t xml:space="preserve"> </w:t>
            </w:r>
            <w:r>
              <w:rPr>
                <w:color w:val="231F20"/>
                <w:sz w:val="14"/>
              </w:rPr>
              <w:t>облику;</w:t>
            </w:r>
          </w:p>
          <w:p w:rsidR="00041039" w:rsidRDefault="001B26CB">
            <w:pPr>
              <w:pStyle w:val="TableParagraph"/>
              <w:numPr>
                <w:ilvl w:val="0"/>
                <w:numId w:val="1192"/>
              </w:numPr>
              <w:tabs>
                <w:tab w:val="left" w:pos="157"/>
              </w:tabs>
              <w:spacing w:line="160" w:lineRule="exact"/>
              <w:ind w:right="62" w:hanging="99"/>
              <w:rPr>
                <w:sz w:val="14"/>
              </w:rPr>
            </w:pPr>
            <w:r>
              <w:rPr>
                <w:color w:val="231F20"/>
                <w:sz w:val="14"/>
              </w:rPr>
              <w:t xml:space="preserve">одреди </w:t>
            </w:r>
            <w:r>
              <w:rPr>
                <w:color w:val="231F20"/>
                <w:spacing w:val="-3"/>
                <w:sz w:val="14"/>
              </w:rPr>
              <w:t xml:space="preserve">нуле </w:t>
            </w:r>
            <w:r>
              <w:rPr>
                <w:color w:val="231F20"/>
                <w:sz w:val="14"/>
              </w:rPr>
              <w:t>полинома са</w:t>
            </w:r>
            <w:r>
              <w:rPr>
                <w:color w:val="231F20"/>
                <w:spacing w:val="-24"/>
                <w:sz w:val="14"/>
              </w:rPr>
              <w:t xml:space="preserve"> </w:t>
            </w:r>
            <w:r>
              <w:rPr>
                <w:color w:val="231F20"/>
                <w:sz w:val="14"/>
              </w:rPr>
              <w:t>комплексним коефицијентима;</w:t>
            </w:r>
          </w:p>
        </w:tc>
        <w:tc>
          <w:tcPr>
            <w:tcW w:w="2834" w:type="dxa"/>
          </w:tcPr>
          <w:p w:rsidR="00041039" w:rsidRDefault="001B26CB">
            <w:pPr>
              <w:pStyle w:val="TableParagraph"/>
              <w:numPr>
                <w:ilvl w:val="0"/>
                <w:numId w:val="1191"/>
              </w:numPr>
              <w:tabs>
                <w:tab w:val="left" w:pos="158"/>
              </w:tabs>
              <w:spacing w:before="10"/>
              <w:ind w:right="397"/>
              <w:rPr>
                <w:sz w:val="14"/>
              </w:rPr>
            </w:pPr>
            <w:r>
              <w:rPr>
                <w:color w:val="231F20"/>
                <w:sz w:val="14"/>
              </w:rPr>
              <w:t>Тригонометријски</w:t>
            </w:r>
            <w:r>
              <w:rPr>
                <w:color w:val="231F20"/>
                <w:spacing w:val="-15"/>
                <w:sz w:val="14"/>
              </w:rPr>
              <w:t xml:space="preserve"> </w:t>
            </w:r>
            <w:r>
              <w:rPr>
                <w:color w:val="231F20"/>
                <w:sz w:val="14"/>
              </w:rPr>
              <w:t>облик</w:t>
            </w:r>
            <w:r>
              <w:rPr>
                <w:color w:val="231F20"/>
                <w:spacing w:val="-16"/>
                <w:sz w:val="14"/>
              </w:rPr>
              <w:t xml:space="preserve"> </w:t>
            </w:r>
            <w:r>
              <w:rPr>
                <w:color w:val="231F20"/>
                <w:sz w:val="14"/>
              </w:rPr>
              <w:t>комплексног броја.</w:t>
            </w:r>
          </w:p>
          <w:p w:rsidR="00041039" w:rsidRDefault="001B26CB">
            <w:pPr>
              <w:pStyle w:val="TableParagraph"/>
              <w:numPr>
                <w:ilvl w:val="0"/>
                <w:numId w:val="1191"/>
              </w:numPr>
              <w:tabs>
                <w:tab w:val="left" w:pos="158"/>
              </w:tabs>
              <w:spacing w:line="153" w:lineRule="exact"/>
              <w:rPr>
                <w:sz w:val="14"/>
              </w:rPr>
            </w:pPr>
            <w:r>
              <w:rPr>
                <w:color w:val="231F20"/>
                <w:sz w:val="14"/>
              </w:rPr>
              <w:t>Моаврова</w:t>
            </w:r>
            <w:r>
              <w:rPr>
                <w:color w:val="231F20"/>
                <w:spacing w:val="-1"/>
                <w:sz w:val="14"/>
              </w:rPr>
              <w:t xml:space="preserve"> </w:t>
            </w:r>
            <w:r>
              <w:rPr>
                <w:color w:val="231F20"/>
                <w:sz w:val="14"/>
              </w:rPr>
              <w:t>формула.</w:t>
            </w:r>
          </w:p>
          <w:p w:rsidR="00041039" w:rsidRDefault="001B26CB">
            <w:pPr>
              <w:pStyle w:val="TableParagraph"/>
              <w:numPr>
                <w:ilvl w:val="0"/>
                <w:numId w:val="1191"/>
              </w:numPr>
              <w:tabs>
                <w:tab w:val="left" w:pos="158"/>
              </w:tabs>
              <w:spacing w:line="160" w:lineRule="exact"/>
              <w:rPr>
                <w:sz w:val="14"/>
              </w:rPr>
            </w:pPr>
            <w:r>
              <w:rPr>
                <w:color w:val="231F20"/>
                <w:sz w:val="14"/>
              </w:rPr>
              <w:t>Корен комплексног</w:t>
            </w:r>
            <w:r>
              <w:rPr>
                <w:color w:val="231F20"/>
                <w:spacing w:val="-2"/>
                <w:sz w:val="14"/>
              </w:rPr>
              <w:t xml:space="preserve"> </w:t>
            </w:r>
            <w:r>
              <w:rPr>
                <w:color w:val="231F20"/>
                <w:sz w:val="14"/>
              </w:rPr>
              <w:t>броја.</w:t>
            </w:r>
          </w:p>
          <w:p w:rsidR="00041039" w:rsidRDefault="001B26CB">
            <w:pPr>
              <w:pStyle w:val="TableParagraph"/>
              <w:numPr>
                <w:ilvl w:val="0"/>
                <w:numId w:val="1191"/>
              </w:numPr>
              <w:tabs>
                <w:tab w:val="left" w:pos="158"/>
              </w:tabs>
              <w:spacing w:line="160" w:lineRule="exact"/>
              <w:rPr>
                <w:sz w:val="14"/>
              </w:rPr>
            </w:pPr>
            <w:r>
              <w:rPr>
                <w:color w:val="231F20"/>
                <w:sz w:val="14"/>
              </w:rPr>
              <w:t>Основни став</w:t>
            </w:r>
            <w:r>
              <w:rPr>
                <w:color w:val="231F20"/>
                <w:spacing w:val="-2"/>
                <w:sz w:val="14"/>
              </w:rPr>
              <w:t xml:space="preserve"> </w:t>
            </w:r>
            <w:r>
              <w:rPr>
                <w:color w:val="231F20"/>
                <w:sz w:val="14"/>
              </w:rPr>
              <w:t>алгебре.</w:t>
            </w:r>
          </w:p>
          <w:p w:rsidR="00041039" w:rsidRDefault="001B26CB">
            <w:pPr>
              <w:pStyle w:val="TableParagraph"/>
              <w:numPr>
                <w:ilvl w:val="0"/>
                <w:numId w:val="1191"/>
              </w:numPr>
              <w:tabs>
                <w:tab w:val="left" w:pos="158"/>
              </w:tabs>
              <w:spacing w:line="160" w:lineRule="exact"/>
              <w:rPr>
                <w:sz w:val="14"/>
              </w:rPr>
            </w:pPr>
            <w:r>
              <w:rPr>
                <w:color w:val="231F20"/>
                <w:sz w:val="14"/>
              </w:rPr>
              <w:t>Вијетове</w:t>
            </w:r>
            <w:r>
              <w:rPr>
                <w:color w:val="231F20"/>
                <w:spacing w:val="-1"/>
                <w:sz w:val="14"/>
              </w:rPr>
              <w:t xml:space="preserve"> </w:t>
            </w:r>
            <w:r>
              <w:rPr>
                <w:color w:val="231F20"/>
                <w:sz w:val="14"/>
              </w:rPr>
              <w:t>везе.</w:t>
            </w:r>
          </w:p>
          <w:p w:rsidR="00041039" w:rsidRDefault="001B26CB">
            <w:pPr>
              <w:pStyle w:val="TableParagraph"/>
              <w:numPr>
                <w:ilvl w:val="0"/>
                <w:numId w:val="1191"/>
              </w:numPr>
              <w:tabs>
                <w:tab w:val="left" w:pos="158"/>
              </w:tabs>
              <w:spacing w:before="7" w:line="160" w:lineRule="exact"/>
              <w:ind w:right="279"/>
              <w:rPr>
                <w:sz w:val="14"/>
              </w:rPr>
            </w:pPr>
            <w:r>
              <w:rPr>
                <w:color w:val="231F20"/>
                <w:sz w:val="14"/>
              </w:rPr>
              <w:t>Решавање алгебарских једначина</w:t>
            </w:r>
            <w:r>
              <w:rPr>
                <w:color w:val="231F20"/>
                <w:spacing w:val="-18"/>
                <w:sz w:val="14"/>
              </w:rPr>
              <w:t xml:space="preserve"> </w:t>
            </w:r>
            <w:r>
              <w:rPr>
                <w:color w:val="231F20"/>
                <w:sz w:val="14"/>
              </w:rPr>
              <w:t>вишег реда.</w:t>
            </w:r>
          </w:p>
        </w:tc>
        <w:tc>
          <w:tcPr>
            <w:tcW w:w="2267" w:type="dxa"/>
            <w:vMerge/>
            <w:tcBorders>
              <w:top w:val="nil"/>
            </w:tcBorders>
          </w:tcPr>
          <w:p w:rsidR="00041039" w:rsidRDefault="00041039">
            <w:pPr>
              <w:rPr>
                <w:sz w:val="2"/>
                <w:szCs w:val="2"/>
              </w:rPr>
            </w:pPr>
          </w:p>
        </w:tc>
      </w:tr>
    </w:tbl>
    <w:p w:rsidR="00041039" w:rsidRDefault="00041039">
      <w:pPr>
        <w:pStyle w:val="BodyText"/>
        <w:spacing w:before="8"/>
        <w:rPr>
          <w:b/>
          <w:sz w:val="18"/>
        </w:rPr>
      </w:pPr>
    </w:p>
    <w:p w:rsidR="00041039" w:rsidRDefault="001B26CB">
      <w:pPr>
        <w:tabs>
          <w:tab w:val="left" w:pos="1461"/>
        </w:tabs>
        <w:spacing w:before="96" w:line="314" w:lineRule="auto"/>
        <w:ind w:left="157" w:right="8288"/>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128 часова </w:t>
      </w:r>
      <w:r>
        <w:rPr>
          <w:color w:val="231F20"/>
          <w:sz w:val="14"/>
        </w:rPr>
        <w:t>Разред:</w:t>
      </w:r>
      <w:r>
        <w:rPr>
          <w:color w:val="231F20"/>
          <w:sz w:val="14"/>
        </w:rPr>
        <w:tab/>
      </w:r>
      <w:r>
        <w:rPr>
          <w:b/>
          <w:color w:val="231F20"/>
          <w:sz w:val="14"/>
        </w:rPr>
        <w:t>четврти</w:t>
      </w:r>
    </w:p>
    <w:p w:rsidR="00041039" w:rsidRDefault="00041039">
      <w:pPr>
        <w:pStyle w:val="BodyText"/>
        <w:spacing w:after="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Pr>
                <w:sz w:val="14"/>
              </w:rPr>
            </w:pPr>
            <w:r>
              <w:rPr>
                <w:color w:val="231F20"/>
                <w:sz w:val="14"/>
              </w:rPr>
              <w:t>Функција</w:t>
            </w:r>
          </w:p>
        </w:tc>
        <w:tc>
          <w:tcPr>
            <w:tcW w:w="1587" w:type="dxa"/>
          </w:tcPr>
          <w:p w:rsidR="00041039" w:rsidRDefault="001B26CB">
            <w:pPr>
              <w:pStyle w:val="TableParagraph"/>
              <w:numPr>
                <w:ilvl w:val="0"/>
                <w:numId w:val="1190"/>
              </w:numPr>
              <w:tabs>
                <w:tab w:val="left" w:pos="157"/>
              </w:tabs>
              <w:spacing w:before="8"/>
              <w:ind w:right="222"/>
              <w:rPr>
                <w:sz w:val="14"/>
              </w:rPr>
            </w:pPr>
            <w:r>
              <w:rPr>
                <w:color w:val="231F20"/>
                <w:sz w:val="14"/>
              </w:rPr>
              <w:t>Систематизација знања о</w:t>
            </w:r>
            <w:r>
              <w:rPr>
                <w:color w:val="231F20"/>
                <w:spacing w:val="-10"/>
                <w:sz w:val="14"/>
              </w:rPr>
              <w:t xml:space="preserve"> </w:t>
            </w:r>
            <w:r>
              <w:rPr>
                <w:color w:val="231F20"/>
                <w:sz w:val="14"/>
              </w:rPr>
              <w:t>функцијама датим аналитичким изразом.</w:t>
            </w:r>
          </w:p>
        </w:tc>
        <w:tc>
          <w:tcPr>
            <w:tcW w:w="2551" w:type="dxa"/>
          </w:tcPr>
          <w:p w:rsidR="00041039" w:rsidRDefault="001B26CB">
            <w:pPr>
              <w:pStyle w:val="TableParagraph"/>
              <w:numPr>
                <w:ilvl w:val="0"/>
                <w:numId w:val="1189"/>
              </w:numPr>
              <w:tabs>
                <w:tab w:val="left" w:pos="157"/>
              </w:tabs>
              <w:spacing w:before="8"/>
              <w:ind w:right="301" w:hanging="99"/>
              <w:rPr>
                <w:sz w:val="14"/>
              </w:rPr>
            </w:pPr>
            <w:r>
              <w:rPr>
                <w:color w:val="231F20"/>
                <w:sz w:val="14"/>
              </w:rPr>
              <w:t>одреди</w:t>
            </w:r>
            <w:r>
              <w:rPr>
                <w:color w:val="231F20"/>
                <w:spacing w:val="-10"/>
                <w:sz w:val="14"/>
              </w:rPr>
              <w:t xml:space="preserve"> </w:t>
            </w:r>
            <w:r>
              <w:rPr>
                <w:color w:val="231F20"/>
                <w:sz w:val="14"/>
              </w:rPr>
              <w:t>домен,</w:t>
            </w:r>
            <w:r>
              <w:rPr>
                <w:color w:val="231F20"/>
                <w:spacing w:val="-10"/>
                <w:sz w:val="14"/>
              </w:rPr>
              <w:t xml:space="preserve"> </w:t>
            </w:r>
            <w:r>
              <w:rPr>
                <w:color w:val="231F20"/>
                <w:sz w:val="14"/>
              </w:rPr>
              <w:t>кодомен,</w:t>
            </w:r>
            <w:r>
              <w:rPr>
                <w:color w:val="231F20"/>
                <w:spacing w:val="-10"/>
                <w:sz w:val="14"/>
              </w:rPr>
              <w:t xml:space="preserve"> </w:t>
            </w:r>
            <w:r>
              <w:rPr>
                <w:color w:val="231F20"/>
                <w:sz w:val="14"/>
              </w:rPr>
              <w:t>нуле,</w:t>
            </w:r>
            <w:r>
              <w:rPr>
                <w:color w:val="231F20"/>
                <w:spacing w:val="-10"/>
                <w:sz w:val="14"/>
              </w:rPr>
              <w:t xml:space="preserve"> </w:t>
            </w:r>
            <w:r>
              <w:rPr>
                <w:color w:val="231F20"/>
                <w:sz w:val="14"/>
              </w:rPr>
              <w:t>знак, парност рационалне</w:t>
            </w:r>
            <w:r>
              <w:rPr>
                <w:color w:val="231F20"/>
                <w:spacing w:val="-3"/>
                <w:sz w:val="14"/>
              </w:rPr>
              <w:t xml:space="preserve"> </w:t>
            </w:r>
            <w:r>
              <w:rPr>
                <w:color w:val="231F20"/>
                <w:sz w:val="14"/>
              </w:rPr>
              <w:t>функције;</w:t>
            </w:r>
          </w:p>
          <w:p w:rsidR="00041039" w:rsidRDefault="001B26CB">
            <w:pPr>
              <w:pStyle w:val="TableParagraph"/>
              <w:numPr>
                <w:ilvl w:val="0"/>
                <w:numId w:val="1189"/>
              </w:numPr>
              <w:tabs>
                <w:tab w:val="left" w:pos="157"/>
              </w:tabs>
              <w:spacing w:line="160" w:lineRule="exact"/>
              <w:ind w:right="182" w:hanging="99"/>
              <w:rPr>
                <w:sz w:val="14"/>
              </w:rPr>
            </w:pPr>
            <w:r>
              <w:rPr>
                <w:color w:val="231F20"/>
                <w:sz w:val="14"/>
              </w:rPr>
              <w:t>слаже пресликавања и решава</w:t>
            </w:r>
            <w:r>
              <w:rPr>
                <w:color w:val="231F20"/>
                <w:spacing w:val="-13"/>
                <w:sz w:val="14"/>
              </w:rPr>
              <w:t xml:space="preserve"> </w:t>
            </w:r>
            <w:r>
              <w:rPr>
                <w:color w:val="231F20"/>
                <w:sz w:val="14"/>
              </w:rPr>
              <w:t>лакше функционалне</w:t>
            </w:r>
            <w:r>
              <w:rPr>
                <w:color w:val="231F20"/>
                <w:spacing w:val="-2"/>
                <w:sz w:val="14"/>
              </w:rPr>
              <w:t xml:space="preserve"> </w:t>
            </w:r>
            <w:r>
              <w:rPr>
                <w:color w:val="231F20"/>
                <w:sz w:val="14"/>
              </w:rPr>
              <w:t>једначине;</w:t>
            </w:r>
          </w:p>
          <w:p w:rsidR="00041039" w:rsidRDefault="001B26CB">
            <w:pPr>
              <w:pStyle w:val="TableParagraph"/>
              <w:numPr>
                <w:ilvl w:val="0"/>
                <w:numId w:val="1189"/>
              </w:numPr>
              <w:tabs>
                <w:tab w:val="left" w:pos="157"/>
              </w:tabs>
              <w:spacing w:line="153" w:lineRule="exact"/>
              <w:ind w:hanging="99"/>
              <w:rPr>
                <w:sz w:val="14"/>
              </w:rPr>
            </w:pPr>
            <w:r>
              <w:rPr>
                <w:color w:val="231F20"/>
                <w:sz w:val="14"/>
              </w:rPr>
              <w:t>израчуна лакше граничне</w:t>
            </w:r>
            <w:r>
              <w:rPr>
                <w:color w:val="231F20"/>
                <w:spacing w:val="-10"/>
                <w:sz w:val="14"/>
              </w:rPr>
              <w:t xml:space="preserve"> </w:t>
            </w:r>
            <w:r>
              <w:rPr>
                <w:color w:val="231F20"/>
                <w:sz w:val="14"/>
              </w:rPr>
              <w:t>вредности;</w:t>
            </w:r>
          </w:p>
          <w:p w:rsidR="00041039" w:rsidRDefault="001B26CB">
            <w:pPr>
              <w:pStyle w:val="TableParagraph"/>
              <w:numPr>
                <w:ilvl w:val="0"/>
                <w:numId w:val="1189"/>
              </w:numPr>
              <w:tabs>
                <w:tab w:val="left" w:pos="157"/>
              </w:tabs>
              <w:spacing w:line="160" w:lineRule="exact"/>
              <w:ind w:hanging="99"/>
              <w:rPr>
                <w:sz w:val="14"/>
              </w:rPr>
            </w:pPr>
            <w:r>
              <w:rPr>
                <w:color w:val="231F20"/>
                <w:sz w:val="14"/>
              </w:rPr>
              <w:t>одреди асимптоте</w:t>
            </w:r>
            <w:r>
              <w:rPr>
                <w:color w:val="231F20"/>
                <w:spacing w:val="-2"/>
                <w:sz w:val="14"/>
              </w:rPr>
              <w:t xml:space="preserve"> </w:t>
            </w:r>
            <w:r>
              <w:rPr>
                <w:color w:val="231F20"/>
                <w:sz w:val="14"/>
              </w:rPr>
              <w:t>функције;</w:t>
            </w:r>
          </w:p>
          <w:p w:rsidR="00041039" w:rsidRDefault="001B26CB">
            <w:pPr>
              <w:pStyle w:val="TableParagraph"/>
              <w:numPr>
                <w:ilvl w:val="0"/>
                <w:numId w:val="1189"/>
              </w:numPr>
              <w:tabs>
                <w:tab w:val="left" w:pos="157"/>
              </w:tabs>
              <w:spacing w:line="237" w:lineRule="auto"/>
              <w:ind w:right="100" w:hanging="99"/>
              <w:rPr>
                <w:sz w:val="14"/>
              </w:rPr>
            </w:pPr>
            <w:r>
              <w:rPr>
                <w:color w:val="231F20"/>
                <w:sz w:val="14"/>
              </w:rPr>
              <w:t>испита понашање функције у</w:t>
            </w:r>
            <w:r>
              <w:rPr>
                <w:color w:val="231F20"/>
                <w:spacing w:val="-26"/>
                <w:sz w:val="14"/>
              </w:rPr>
              <w:t xml:space="preserve"> </w:t>
            </w:r>
            <w:r>
              <w:rPr>
                <w:color w:val="231F20"/>
                <w:sz w:val="14"/>
              </w:rPr>
              <w:t>околини вертикалних</w:t>
            </w:r>
            <w:r>
              <w:rPr>
                <w:color w:val="231F20"/>
                <w:spacing w:val="-2"/>
                <w:sz w:val="14"/>
              </w:rPr>
              <w:t xml:space="preserve"> </w:t>
            </w:r>
            <w:r>
              <w:rPr>
                <w:color w:val="231F20"/>
                <w:sz w:val="14"/>
              </w:rPr>
              <w:t>асимптота;</w:t>
            </w:r>
          </w:p>
        </w:tc>
        <w:tc>
          <w:tcPr>
            <w:tcW w:w="2834" w:type="dxa"/>
          </w:tcPr>
          <w:p w:rsidR="00041039" w:rsidRDefault="001B26CB">
            <w:pPr>
              <w:pStyle w:val="TableParagraph"/>
              <w:numPr>
                <w:ilvl w:val="0"/>
                <w:numId w:val="1188"/>
              </w:numPr>
              <w:tabs>
                <w:tab w:val="left" w:pos="157"/>
              </w:tabs>
              <w:spacing w:before="8" w:line="166" w:lineRule="exact"/>
              <w:ind w:hanging="99"/>
              <w:rPr>
                <w:sz w:val="14"/>
              </w:rPr>
            </w:pPr>
            <w:r>
              <w:rPr>
                <w:color w:val="231F20"/>
                <w:sz w:val="14"/>
              </w:rPr>
              <w:t>Домен, кодомен, нуле, знак,</w:t>
            </w:r>
            <w:r>
              <w:rPr>
                <w:color w:val="231F20"/>
                <w:spacing w:val="-13"/>
                <w:sz w:val="14"/>
              </w:rPr>
              <w:t xml:space="preserve"> </w:t>
            </w:r>
            <w:r>
              <w:rPr>
                <w:color w:val="231F20"/>
                <w:sz w:val="14"/>
              </w:rPr>
              <w:t>парност.</w:t>
            </w:r>
          </w:p>
          <w:p w:rsidR="00041039" w:rsidRDefault="001B26CB">
            <w:pPr>
              <w:pStyle w:val="TableParagraph"/>
              <w:numPr>
                <w:ilvl w:val="0"/>
                <w:numId w:val="1188"/>
              </w:numPr>
              <w:tabs>
                <w:tab w:val="left" w:pos="157"/>
              </w:tabs>
              <w:spacing w:line="160" w:lineRule="exact"/>
              <w:ind w:hanging="99"/>
              <w:rPr>
                <w:sz w:val="14"/>
              </w:rPr>
            </w:pPr>
            <w:r>
              <w:rPr>
                <w:color w:val="231F20"/>
                <w:sz w:val="14"/>
              </w:rPr>
              <w:t>Инверзна</w:t>
            </w:r>
            <w:r>
              <w:rPr>
                <w:color w:val="231F20"/>
                <w:spacing w:val="-2"/>
                <w:sz w:val="14"/>
              </w:rPr>
              <w:t xml:space="preserve"> </w:t>
            </w:r>
            <w:r>
              <w:rPr>
                <w:color w:val="231F20"/>
                <w:sz w:val="14"/>
              </w:rPr>
              <w:t>функција.</w:t>
            </w:r>
          </w:p>
          <w:p w:rsidR="00041039" w:rsidRDefault="001B26CB">
            <w:pPr>
              <w:pStyle w:val="TableParagraph"/>
              <w:numPr>
                <w:ilvl w:val="0"/>
                <w:numId w:val="1188"/>
              </w:numPr>
              <w:tabs>
                <w:tab w:val="left" w:pos="157"/>
              </w:tabs>
              <w:spacing w:line="160" w:lineRule="exact"/>
              <w:ind w:hanging="99"/>
              <w:rPr>
                <w:sz w:val="14"/>
              </w:rPr>
            </w:pPr>
            <w:r>
              <w:rPr>
                <w:color w:val="231F20"/>
                <w:sz w:val="14"/>
              </w:rPr>
              <w:t>Слагање</w:t>
            </w:r>
            <w:r>
              <w:rPr>
                <w:color w:val="231F20"/>
                <w:spacing w:val="-1"/>
                <w:sz w:val="14"/>
              </w:rPr>
              <w:t xml:space="preserve"> </w:t>
            </w:r>
            <w:r>
              <w:rPr>
                <w:color w:val="231F20"/>
                <w:sz w:val="14"/>
              </w:rPr>
              <w:t>пресликавања.</w:t>
            </w:r>
          </w:p>
          <w:p w:rsidR="00041039" w:rsidRDefault="001B26CB">
            <w:pPr>
              <w:pStyle w:val="TableParagraph"/>
              <w:numPr>
                <w:ilvl w:val="0"/>
                <w:numId w:val="1188"/>
              </w:numPr>
              <w:tabs>
                <w:tab w:val="left" w:pos="157"/>
              </w:tabs>
              <w:spacing w:line="160" w:lineRule="exact"/>
              <w:ind w:hanging="99"/>
              <w:rPr>
                <w:sz w:val="14"/>
              </w:rPr>
            </w:pPr>
            <w:r>
              <w:rPr>
                <w:color w:val="231F20"/>
                <w:sz w:val="14"/>
              </w:rPr>
              <w:t>Функционалне</w:t>
            </w:r>
            <w:r>
              <w:rPr>
                <w:color w:val="231F20"/>
                <w:spacing w:val="-2"/>
                <w:sz w:val="14"/>
              </w:rPr>
              <w:t xml:space="preserve"> </w:t>
            </w:r>
            <w:r>
              <w:rPr>
                <w:color w:val="231F20"/>
                <w:sz w:val="14"/>
              </w:rPr>
              <w:t>једначине.</w:t>
            </w:r>
          </w:p>
          <w:p w:rsidR="00041039" w:rsidRDefault="001B26CB">
            <w:pPr>
              <w:pStyle w:val="TableParagraph"/>
              <w:numPr>
                <w:ilvl w:val="0"/>
                <w:numId w:val="1188"/>
              </w:numPr>
              <w:tabs>
                <w:tab w:val="left" w:pos="157"/>
              </w:tabs>
              <w:spacing w:line="160" w:lineRule="exact"/>
              <w:ind w:hanging="99"/>
              <w:rPr>
                <w:sz w:val="14"/>
              </w:rPr>
            </w:pPr>
            <w:r>
              <w:rPr>
                <w:color w:val="231F20"/>
                <w:sz w:val="14"/>
              </w:rPr>
              <w:t>Гранична вредност</w:t>
            </w:r>
            <w:r>
              <w:rPr>
                <w:color w:val="231F20"/>
                <w:spacing w:val="-1"/>
                <w:sz w:val="14"/>
              </w:rPr>
              <w:t xml:space="preserve"> </w:t>
            </w:r>
            <w:r>
              <w:rPr>
                <w:color w:val="231F20"/>
                <w:sz w:val="14"/>
              </w:rPr>
              <w:t>функције.</w:t>
            </w:r>
          </w:p>
          <w:p w:rsidR="00041039" w:rsidRDefault="001B26CB">
            <w:pPr>
              <w:pStyle w:val="TableParagraph"/>
              <w:numPr>
                <w:ilvl w:val="0"/>
                <w:numId w:val="1188"/>
              </w:numPr>
              <w:tabs>
                <w:tab w:val="left" w:pos="157"/>
              </w:tabs>
              <w:spacing w:line="166" w:lineRule="exact"/>
              <w:ind w:hanging="99"/>
              <w:rPr>
                <w:sz w:val="14"/>
              </w:rPr>
            </w:pPr>
            <w:r>
              <w:rPr>
                <w:color w:val="231F20"/>
                <w:sz w:val="14"/>
              </w:rPr>
              <w:t>Асимптоте</w:t>
            </w:r>
            <w:r>
              <w:rPr>
                <w:color w:val="231F20"/>
                <w:spacing w:val="-1"/>
                <w:sz w:val="14"/>
              </w:rPr>
              <w:t xml:space="preserve"> </w:t>
            </w:r>
            <w:r>
              <w:rPr>
                <w:color w:val="231F20"/>
                <w:sz w:val="14"/>
              </w:rPr>
              <w:t>функције.</w:t>
            </w:r>
          </w:p>
        </w:tc>
        <w:tc>
          <w:tcPr>
            <w:tcW w:w="2267" w:type="dxa"/>
            <w:vMerge w:val="restart"/>
          </w:tcPr>
          <w:p w:rsidR="00041039" w:rsidRDefault="001B26CB">
            <w:pPr>
              <w:pStyle w:val="TableParagraph"/>
              <w:numPr>
                <w:ilvl w:val="0"/>
                <w:numId w:val="1187"/>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187"/>
              </w:numPr>
              <w:tabs>
                <w:tab w:val="left" w:pos="158"/>
              </w:tabs>
              <w:spacing w:line="160" w:lineRule="exact"/>
              <w:ind w:hanging="99"/>
              <w:rPr>
                <w:b/>
                <w:sz w:val="14"/>
              </w:rPr>
            </w:pPr>
            <w:r>
              <w:rPr>
                <w:color w:val="231F20"/>
                <w:sz w:val="14"/>
              </w:rPr>
              <w:t xml:space="preserve">теоријска настава </w:t>
            </w:r>
            <w:r>
              <w:rPr>
                <w:b/>
                <w:color w:val="231F20"/>
                <w:sz w:val="14"/>
              </w:rPr>
              <w:t>(128</w:t>
            </w:r>
            <w:r>
              <w:rPr>
                <w:b/>
                <w:color w:val="231F20"/>
                <w:spacing w:val="-5"/>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18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numPr>
                <w:ilvl w:val="0"/>
                <w:numId w:val="1187"/>
              </w:numPr>
              <w:tabs>
                <w:tab w:val="left" w:pos="158"/>
              </w:tabs>
              <w:spacing w:before="1"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1187"/>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187"/>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1187"/>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187"/>
              </w:numPr>
              <w:tabs>
                <w:tab w:val="left" w:pos="158"/>
              </w:tabs>
              <w:spacing w:line="160" w:lineRule="exact"/>
              <w:ind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технологија;</w:t>
            </w:r>
          </w:p>
        </w:tc>
      </w:tr>
      <w:tr w:rsidR="00041039">
        <w:trPr>
          <w:trHeight w:val="3829"/>
        </w:trPr>
        <w:tc>
          <w:tcPr>
            <w:tcW w:w="1304" w:type="dxa"/>
          </w:tcPr>
          <w:p w:rsidR="00041039" w:rsidRDefault="001B26CB">
            <w:pPr>
              <w:pStyle w:val="TableParagraph"/>
              <w:spacing w:before="19"/>
              <w:ind w:left="56"/>
              <w:rPr>
                <w:sz w:val="14"/>
              </w:rPr>
            </w:pPr>
            <w:r>
              <w:rPr>
                <w:color w:val="231F20"/>
                <w:sz w:val="14"/>
              </w:rPr>
              <w:t>Извод функције</w:t>
            </w:r>
          </w:p>
        </w:tc>
        <w:tc>
          <w:tcPr>
            <w:tcW w:w="1587" w:type="dxa"/>
          </w:tcPr>
          <w:p w:rsidR="00041039" w:rsidRDefault="001B26CB">
            <w:pPr>
              <w:pStyle w:val="TableParagraph"/>
              <w:numPr>
                <w:ilvl w:val="0"/>
                <w:numId w:val="1186"/>
              </w:numPr>
              <w:tabs>
                <w:tab w:val="left" w:pos="157"/>
              </w:tabs>
              <w:spacing w:before="9"/>
              <w:ind w:right="108"/>
              <w:rPr>
                <w:sz w:val="14"/>
              </w:rPr>
            </w:pPr>
            <w:r>
              <w:rPr>
                <w:color w:val="231F20"/>
                <w:sz w:val="14"/>
              </w:rPr>
              <w:t>Стицање знања о изводу функције и знања неопходних за испитивање и цртање графика једноставних функција.</w:t>
            </w:r>
          </w:p>
        </w:tc>
        <w:tc>
          <w:tcPr>
            <w:tcW w:w="2551" w:type="dxa"/>
          </w:tcPr>
          <w:p w:rsidR="00041039" w:rsidRDefault="001B26CB">
            <w:pPr>
              <w:pStyle w:val="TableParagraph"/>
              <w:numPr>
                <w:ilvl w:val="0"/>
                <w:numId w:val="1185"/>
              </w:numPr>
              <w:tabs>
                <w:tab w:val="left" w:pos="157"/>
              </w:tabs>
              <w:spacing w:before="9"/>
              <w:ind w:right="242" w:hanging="99"/>
              <w:rPr>
                <w:sz w:val="14"/>
              </w:rPr>
            </w:pPr>
            <w:r>
              <w:rPr>
                <w:color w:val="231F20"/>
                <w:sz w:val="14"/>
              </w:rPr>
              <w:t>израчуна</w:t>
            </w:r>
            <w:r>
              <w:rPr>
                <w:color w:val="231F20"/>
                <w:spacing w:val="-9"/>
                <w:sz w:val="14"/>
              </w:rPr>
              <w:t xml:space="preserve"> </w:t>
            </w:r>
            <w:r>
              <w:rPr>
                <w:color w:val="231F20"/>
                <w:sz w:val="14"/>
              </w:rPr>
              <w:t>извод</w:t>
            </w:r>
            <w:r>
              <w:rPr>
                <w:color w:val="231F20"/>
                <w:spacing w:val="-9"/>
                <w:sz w:val="14"/>
              </w:rPr>
              <w:t xml:space="preserve"> </w:t>
            </w:r>
            <w:r>
              <w:rPr>
                <w:color w:val="231F20"/>
                <w:sz w:val="14"/>
              </w:rPr>
              <w:t>ма</w:t>
            </w:r>
            <w:r>
              <w:rPr>
                <w:color w:val="231F20"/>
                <w:spacing w:val="-9"/>
                <w:sz w:val="14"/>
              </w:rPr>
              <w:t xml:space="preserve"> </w:t>
            </w:r>
            <w:r>
              <w:rPr>
                <w:color w:val="231F20"/>
                <w:sz w:val="14"/>
              </w:rPr>
              <w:t>које</w:t>
            </w:r>
            <w:r>
              <w:rPr>
                <w:color w:val="231F20"/>
                <w:spacing w:val="-9"/>
                <w:sz w:val="14"/>
              </w:rPr>
              <w:t xml:space="preserve"> </w:t>
            </w:r>
            <w:r>
              <w:rPr>
                <w:color w:val="231F20"/>
                <w:sz w:val="14"/>
              </w:rPr>
              <w:t>комбинације елементарних функција применом правила за израчунавање</w:t>
            </w:r>
            <w:r>
              <w:rPr>
                <w:color w:val="231F20"/>
                <w:spacing w:val="-11"/>
                <w:sz w:val="14"/>
              </w:rPr>
              <w:t xml:space="preserve"> </w:t>
            </w:r>
            <w:r>
              <w:rPr>
                <w:color w:val="231F20"/>
                <w:sz w:val="14"/>
              </w:rPr>
              <w:t>извода;</w:t>
            </w:r>
          </w:p>
          <w:p w:rsidR="00041039" w:rsidRDefault="001B26CB">
            <w:pPr>
              <w:pStyle w:val="TableParagraph"/>
              <w:numPr>
                <w:ilvl w:val="0"/>
                <w:numId w:val="1185"/>
              </w:numPr>
              <w:tabs>
                <w:tab w:val="left" w:pos="157"/>
              </w:tabs>
              <w:spacing w:line="152" w:lineRule="exact"/>
              <w:ind w:hanging="99"/>
              <w:rPr>
                <w:sz w:val="14"/>
              </w:rPr>
            </w:pPr>
            <w:r>
              <w:rPr>
                <w:color w:val="231F20"/>
                <w:sz w:val="14"/>
              </w:rPr>
              <w:t>израчуна извод вишег</w:t>
            </w:r>
            <w:r>
              <w:rPr>
                <w:color w:val="231F20"/>
                <w:spacing w:val="-4"/>
                <w:sz w:val="14"/>
              </w:rPr>
              <w:t xml:space="preserve"> </w:t>
            </w:r>
            <w:r>
              <w:rPr>
                <w:color w:val="231F20"/>
                <w:sz w:val="14"/>
              </w:rPr>
              <w:t>реда;</w:t>
            </w:r>
          </w:p>
          <w:p w:rsidR="00041039" w:rsidRDefault="001B26CB">
            <w:pPr>
              <w:pStyle w:val="TableParagraph"/>
              <w:numPr>
                <w:ilvl w:val="0"/>
                <w:numId w:val="1185"/>
              </w:numPr>
              <w:tabs>
                <w:tab w:val="left" w:pos="157"/>
              </w:tabs>
              <w:spacing w:line="160" w:lineRule="exact"/>
              <w:ind w:hanging="99"/>
              <w:rPr>
                <w:sz w:val="14"/>
              </w:rPr>
            </w:pPr>
            <w:r>
              <w:rPr>
                <w:color w:val="231F20"/>
                <w:sz w:val="14"/>
              </w:rPr>
              <w:t>одреди екстремне вредности</w:t>
            </w:r>
            <w:r>
              <w:rPr>
                <w:color w:val="231F20"/>
                <w:spacing w:val="-10"/>
                <w:sz w:val="14"/>
              </w:rPr>
              <w:t xml:space="preserve"> </w:t>
            </w:r>
            <w:r>
              <w:rPr>
                <w:color w:val="231F20"/>
                <w:sz w:val="14"/>
              </w:rPr>
              <w:t>функције;</w:t>
            </w:r>
          </w:p>
          <w:p w:rsidR="00041039" w:rsidRDefault="001B26CB">
            <w:pPr>
              <w:pStyle w:val="TableParagraph"/>
              <w:numPr>
                <w:ilvl w:val="0"/>
                <w:numId w:val="1185"/>
              </w:numPr>
              <w:tabs>
                <w:tab w:val="left" w:pos="157"/>
              </w:tabs>
              <w:spacing w:line="160" w:lineRule="exact"/>
              <w:ind w:hanging="99"/>
              <w:rPr>
                <w:sz w:val="14"/>
              </w:rPr>
            </w:pPr>
            <w:r>
              <w:rPr>
                <w:color w:val="231F20"/>
                <w:sz w:val="14"/>
              </w:rPr>
              <w:t>одреди конкавност</w:t>
            </w:r>
            <w:r>
              <w:rPr>
                <w:color w:val="231F20"/>
                <w:spacing w:val="-2"/>
                <w:sz w:val="14"/>
              </w:rPr>
              <w:t xml:space="preserve"> </w:t>
            </w:r>
            <w:r>
              <w:rPr>
                <w:color w:val="231F20"/>
                <w:sz w:val="14"/>
              </w:rPr>
              <w:t>функције;</w:t>
            </w:r>
          </w:p>
          <w:p w:rsidR="00041039" w:rsidRDefault="001B26CB">
            <w:pPr>
              <w:pStyle w:val="TableParagraph"/>
              <w:numPr>
                <w:ilvl w:val="0"/>
                <w:numId w:val="1185"/>
              </w:numPr>
              <w:tabs>
                <w:tab w:val="left" w:pos="157"/>
              </w:tabs>
              <w:spacing w:line="237" w:lineRule="auto"/>
              <w:ind w:right="130" w:hanging="99"/>
              <w:rPr>
                <w:sz w:val="14"/>
              </w:rPr>
            </w:pPr>
            <w:r>
              <w:rPr>
                <w:color w:val="231F20"/>
                <w:sz w:val="14"/>
              </w:rPr>
              <w:t>израчуна сложеније граничне</w:t>
            </w:r>
            <w:r>
              <w:rPr>
                <w:color w:val="231F20"/>
                <w:spacing w:val="-24"/>
                <w:sz w:val="14"/>
              </w:rPr>
              <w:t xml:space="preserve"> </w:t>
            </w:r>
            <w:r>
              <w:rPr>
                <w:color w:val="231F20"/>
                <w:sz w:val="14"/>
              </w:rPr>
              <w:t>вредно­ сти применом Лопиталовог</w:t>
            </w:r>
            <w:r>
              <w:rPr>
                <w:color w:val="231F20"/>
                <w:spacing w:val="-13"/>
                <w:sz w:val="14"/>
              </w:rPr>
              <w:t xml:space="preserve"> </w:t>
            </w:r>
            <w:r>
              <w:rPr>
                <w:color w:val="231F20"/>
                <w:sz w:val="14"/>
              </w:rPr>
              <w:t>правила;</w:t>
            </w:r>
          </w:p>
          <w:p w:rsidR="00041039" w:rsidRDefault="001B26CB">
            <w:pPr>
              <w:pStyle w:val="TableParagraph"/>
              <w:numPr>
                <w:ilvl w:val="0"/>
                <w:numId w:val="1185"/>
              </w:numPr>
              <w:tabs>
                <w:tab w:val="left" w:pos="157"/>
              </w:tabs>
              <w:spacing w:line="160" w:lineRule="exact"/>
              <w:ind w:right="214" w:hanging="99"/>
              <w:rPr>
                <w:sz w:val="14"/>
              </w:rPr>
            </w:pPr>
            <w:r>
              <w:rPr>
                <w:color w:val="231F20"/>
                <w:sz w:val="14"/>
              </w:rPr>
              <w:t>испита ток и скицир</w:t>
            </w:r>
            <w:r>
              <w:rPr>
                <w:color w:val="231F20"/>
                <w:sz w:val="14"/>
              </w:rPr>
              <w:t>а график рацио­ налне</w:t>
            </w:r>
            <w:r>
              <w:rPr>
                <w:color w:val="231F20"/>
                <w:spacing w:val="-2"/>
                <w:sz w:val="14"/>
              </w:rPr>
              <w:t xml:space="preserve"> </w:t>
            </w:r>
            <w:r>
              <w:rPr>
                <w:color w:val="231F20"/>
                <w:sz w:val="14"/>
              </w:rPr>
              <w:t>функције;</w:t>
            </w:r>
          </w:p>
        </w:tc>
        <w:tc>
          <w:tcPr>
            <w:tcW w:w="2834" w:type="dxa"/>
          </w:tcPr>
          <w:p w:rsidR="00041039" w:rsidRDefault="001B26CB">
            <w:pPr>
              <w:pStyle w:val="TableParagraph"/>
              <w:numPr>
                <w:ilvl w:val="0"/>
                <w:numId w:val="1184"/>
              </w:numPr>
              <w:tabs>
                <w:tab w:val="left" w:pos="157"/>
              </w:tabs>
              <w:spacing w:before="9" w:line="166" w:lineRule="exact"/>
              <w:ind w:hanging="99"/>
              <w:rPr>
                <w:sz w:val="14"/>
              </w:rPr>
            </w:pPr>
            <w:r>
              <w:rPr>
                <w:color w:val="231F20"/>
                <w:sz w:val="14"/>
              </w:rPr>
              <w:t>Прираштај</w:t>
            </w:r>
            <w:r>
              <w:rPr>
                <w:color w:val="231F20"/>
                <w:spacing w:val="-1"/>
                <w:sz w:val="14"/>
              </w:rPr>
              <w:t xml:space="preserve"> </w:t>
            </w:r>
            <w:r>
              <w:rPr>
                <w:color w:val="231F20"/>
                <w:sz w:val="14"/>
              </w:rPr>
              <w:t>функције.</w:t>
            </w:r>
          </w:p>
          <w:p w:rsidR="00041039" w:rsidRDefault="001B26CB">
            <w:pPr>
              <w:pStyle w:val="TableParagraph"/>
              <w:numPr>
                <w:ilvl w:val="0"/>
                <w:numId w:val="1184"/>
              </w:numPr>
              <w:tabs>
                <w:tab w:val="left" w:pos="157"/>
              </w:tabs>
              <w:spacing w:line="160" w:lineRule="exact"/>
              <w:ind w:hanging="99"/>
              <w:rPr>
                <w:sz w:val="14"/>
              </w:rPr>
            </w:pPr>
            <w:r>
              <w:rPr>
                <w:color w:val="231F20"/>
                <w:sz w:val="14"/>
              </w:rPr>
              <w:t>Извод</w:t>
            </w:r>
            <w:r>
              <w:rPr>
                <w:color w:val="231F20"/>
                <w:spacing w:val="-1"/>
                <w:sz w:val="14"/>
              </w:rPr>
              <w:t xml:space="preserve"> </w:t>
            </w:r>
            <w:r>
              <w:rPr>
                <w:color w:val="231F20"/>
                <w:sz w:val="14"/>
              </w:rPr>
              <w:t>функције.</w:t>
            </w:r>
          </w:p>
          <w:p w:rsidR="00041039" w:rsidRDefault="001B26CB">
            <w:pPr>
              <w:pStyle w:val="TableParagraph"/>
              <w:numPr>
                <w:ilvl w:val="0"/>
                <w:numId w:val="1184"/>
              </w:numPr>
              <w:tabs>
                <w:tab w:val="left" w:pos="157"/>
              </w:tabs>
              <w:spacing w:line="160" w:lineRule="exact"/>
              <w:ind w:hanging="99"/>
              <w:rPr>
                <w:sz w:val="14"/>
              </w:rPr>
            </w:pPr>
            <w:r>
              <w:rPr>
                <w:color w:val="231F20"/>
                <w:sz w:val="14"/>
              </w:rPr>
              <w:t>Израчунавање извода</w:t>
            </w:r>
            <w:r>
              <w:rPr>
                <w:color w:val="231F20"/>
                <w:spacing w:val="-2"/>
                <w:sz w:val="14"/>
              </w:rPr>
              <w:t xml:space="preserve"> </w:t>
            </w:r>
            <w:r>
              <w:rPr>
                <w:color w:val="231F20"/>
                <w:sz w:val="14"/>
              </w:rPr>
              <w:t>функције.</w:t>
            </w:r>
          </w:p>
          <w:p w:rsidR="00041039" w:rsidRDefault="001B26CB">
            <w:pPr>
              <w:pStyle w:val="TableParagraph"/>
              <w:numPr>
                <w:ilvl w:val="0"/>
                <w:numId w:val="1184"/>
              </w:numPr>
              <w:tabs>
                <w:tab w:val="left" w:pos="157"/>
              </w:tabs>
              <w:spacing w:line="237" w:lineRule="auto"/>
              <w:ind w:right="225" w:hanging="99"/>
              <w:rPr>
                <w:sz w:val="14"/>
              </w:rPr>
            </w:pPr>
            <w:r>
              <w:rPr>
                <w:color w:val="231F20"/>
                <w:sz w:val="14"/>
              </w:rPr>
              <w:t>Одређивање монотоности и</w:t>
            </w:r>
            <w:r>
              <w:rPr>
                <w:color w:val="231F20"/>
                <w:spacing w:val="-14"/>
                <w:sz w:val="14"/>
              </w:rPr>
              <w:t xml:space="preserve"> </w:t>
            </w:r>
            <w:r>
              <w:rPr>
                <w:color w:val="231F20"/>
                <w:sz w:val="14"/>
              </w:rPr>
              <w:t>конкавности функције.</w:t>
            </w:r>
          </w:p>
          <w:p w:rsidR="00041039" w:rsidRDefault="001B26CB">
            <w:pPr>
              <w:pStyle w:val="TableParagraph"/>
              <w:numPr>
                <w:ilvl w:val="0"/>
                <w:numId w:val="1184"/>
              </w:numPr>
              <w:tabs>
                <w:tab w:val="left" w:pos="157"/>
              </w:tabs>
              <w:spacing w:line="155" w:lineRule="exact"/>
              <w:ind w:hanging="99"/>
              <w:rPr>
                <w:sz w:val="14"/>
              </w:rPr>
            </w:pPr>
            <w:r>
              <w:rPr>
                <w:color w:val="231F20"/>
                <w:sz w:val="14"/>
              </w:rPr>
              <w:t>Примене монотоности</w:t>
            </w:r>
            <w:r>
              <w:rPr>
                <w:color w:val="231F20"/>
                <w:spacing w:val="-2"/>
                <w:sz w:val="14"/>
              </w:rPr>
              <w:t xml:space="preserve"> </w:t>
            </w:r>
            <w:r>
              <w:rPr>
                <w:color w:val="231F20"/>
                <w:sz w:val="14"/>
              </w:rPr>
              <w:t>функције.</w:t>
            </w:r>
          </w:p>
          <w:p w:rsidR="00041039" w:rsidRDefault="001B26CB">
            <w:pPr>
              <w:pStyle w:val="TableParagraph"/>
              <w:numPr>
                <w:ilvl w:val="0"/>
                <w:numId w:val="1184"/>
              </w:numPr>
              <w:tabs>
                <w:tab w:val="left" w:pos="157"/>
              </w:tabs>
              <w:spacing w:line="160" w:lineRule="exact"/>
              <w:ind w:hanging="99"/>
              <w:rPr>
                <w:sz w:val="14"/>
              </w:rPr>
            </w:pPr>
            <w:r>
              <w:rPr>
                <w:color w:val="231F20"/>
                <w:sz w:val="14"/>
              </w:rPr>
              <w:t>Лопиталово</w:t>
            </w:r>
            <w:r>
              <w:rPr>
                <w:color w:val="231F20"/>
                <w:spacing w:val="-1"/>
                <w:sz w:val="14"/>
              </w:rPr>
              <w:t xml:space="preserve"> </w:t>
            </w:r>
            <w:r>
              <w:rPr>
                <w:color w:val="231F20"/>
                <w:sz w:val="14"/>
              </w:rPr>
              <w:t>правило.</w:t>
            </w:r>
          </w:p>
          <w:p w:rsidR="00041039" w:rsidRDefault="001B26CB">
            <w:pPr>
              <w:pStyle w:val="TableParagraph"/>
              <w:numPr>
                <w:ilvl w:val="0"/>
                <w:numId w:val="1184"/>
              </w:numPr>
              <w:tabs>
                <w:tab w:val="left" w:pos="157"/>
              </w:tabs>
              <w:spacing w:line="166" w:lineRule="exact"/>
              <w:ind w:hanging="99"/>
              <w:rPr>
                <w:sz w:val="14"/>
              </w:rPr>
            </w:pPr>
            <w:r>
              <w:rPr>
                <w:color w:val="231F20"/>
                <w:sz w:val="14"/>
              </w:rPr>
              <w:t>График</w:t>
            </w:r>
            <w:r>
              <w:rPr>
                <w:color w:val="231F20"/>
                <w:spacing w:val="-1"/>
                <w:sz w:val="14"/>
              </w:rPr>
              <w:t xml:space="preserve"> </w:t>
            </w:r>
            <w:r>
              <w:rPr>
                <w:color w:val="231F20"/>
                <w:sz w:val="14"/>
              </w:rPr>
              <w:t>функције.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880"/>
        </w:trPr>
        <w:tc>
          <w:tcPr>
            <w:tcW w:w="1304" w:type="dxa"/>
          </w:tcPr>
          <w:p w:rsidR="00041039" w:rsidRDefault="001B26CB">
            <w:pPr>
              <w:pStyle w:val="TableParagraph"/>
              <w:spacing w:before="18"/>
              <w:ind w:left="56"/>
              <w:rPr>
                <w:sz w:val="14"/>
              </w:rPr>
            </w:pPr>
            <w:r>
              <w:rPr>
                <w:color w:val="231F20"/>
                <w:sz w:val="14"/>
              </w:rPr>
              <w:lastRenderedPageBreak/>
              <w:t>Интеграл</w:t>
            </w:r>
          </w:p>
        </w:tc>
        <w:tc>
          <w:tcPr>
            <w:tcW w:w="1587" w:type="dxa"/>
          </w:tcPr>
          <w:p w:rsidR="00041039" w:rsidRDefault="001B26CB">
            <w:pPr>
              <w:pStyle w:val="TableParagraph"/>
              <w:numPr>
                <w:ilvl w:val="0"/>
                <w:numId w:val="1183"/>
              </w:numPr>
              <w:tabs>
                <w:tab w:val="left" w:pos="157"/>
              </w:tabs>
              <w:spacing w:before="8"/>
              <w:ind w:right="64"/>
              <w:jc w:val="both"/>
              <w:rPr>
                <w:sz w:val="14"/>
              </w:rPr>
            </w:pPr>
            <w:r>
              <w:rPr>
                <w:color w:val="231F20"/>
                <w:sz w:val="14"/>
              </w:rPr>
              <w:t>Оспособљавање за из­ рачунавање и</w:t>
            </w:r>
            <w:r>
              <w:rPr>
                <w:color w:val="231F20"/>
                <w:spacing w:val="-14"/>
                <w:sz w:val="14"/>
              </w:rPr>
              <w:t xml:space="preserve"> </w:t>
            </w:r>
            <w:r>
              <w:rPr>
                <w:color w:val="231F20"/>
                <w:sz w:val="14"/>
              </w:rPr>
              <w:t>примену интеграла.</w:t>
            </w:r>
          </w:p>
        </w:tc>
        <w:tc>
          <w:tcPr>
            <w:tcW w:w="2551" w:type="dxa"/>
          </w:tcPr>
          <w:p w:rsidR="00041039" w:rsidRDefault="001B26CB">
            <w:pPr>
              <w:pStyle w:val="TableParagraph"/>
              <w:numPr>
                <w:ilvl w:val="0"/>
                <w:numId w:val="1182"/>
              </w:numPr>
              <w:tabs>
                <w:tab w:val="left" w:pos="157"/>
              </w:tabs>
              <w:spacing w:before="8"/>
              <w:ind w:right="137" w:hanging="99"/>
              <w:rPr>
                <w:sz w:val="14"/>
              </w:rPr>
            </w:pPr>
            <w:r>
              <w:rPr>
                <w:color w:val="231F20"/>
                <w:sz w:val="14"/>
              </w:rPr>
              <w:t>реши применом табличних</w:t>
            </w:r>
            <w:r>
              <w:rPr>
                <w:color w:val="231F20"/>
                <w:spacing w:val="-21"/>
                <w:sz w:val="14"/>
              </w:rPr>
              <w:t xml:space="preserve"> </w:t>
            </w:r>
            <w:r>
              <w:rPr>
                <w:color w:val="231F20"/>
                <w:sz w:val="14"/>
              </w:rPr>
              <w:t>интеграла и правила интеграције неодређене интеграле;</w:t>
            </w:r>
          </w:p>
          <w:p w:rsidR="00041039" w:rsidRDefault="001B26CB">
            <w:pPr>
              <w:pStyle w:val="TableParagraph"/>
              <w:numPr>
                <w:ilvl w:val="0"/>
                <w:numId w:val="1182"/>
              </w:numPr>
              <w:tabs>
                <w:tab w:val="left" w:pos="157"/>
              </w:tabs>
              <w:spacing w:line="157" w:lineRule="exact"/>
              <w:ind w:hanging="99"/>
              <w:rPr>
                <w:sz w:val="14"/>
              </w:rPr>
            </w:pPr>
            <w:r>
              <w:rPr>
                <w:color w:val="231F20"/>
                <w:sz w:val="14"/>
              </w:rPr>
              <w:t>примени методу замене при</w:t>
            </w:r>
            <w:r>
              <w:rPr>
                <w:color w:val="231F20"/>
                <w:spacing w:val="-16"/>
                <w:sz w:val="14"/>
              </w:rPr>
              <w:t xml:space="preserve"> </w:t>
            </w:r>
            <w:r>
              <w:rPr>
                <w:color w:val="231F20"/>
                <w:sz w:val="14"/>
              </w:rPr>
              <w:t>решавању</w:t>
            </w:r>
          </w:p>
          <w:p w:rsidR="00041039" w:rsidRDefault="001B26CB">
            <w:pPr>
              <w:pStyle w:val="TableParagraph"/>
              <w:spacing w:line="155" w:lineRule="exact"/>
              <w:rPr>
                <w:sz w:val="14"/>
              </w:rPr>
            </w:pPr>
            <w:r>
              <w:rPr>
                <w:color w:val="231F20"/>
                <w:sz w:val="14"/>
              </w:rPr>
              <w:t>неодређеног интеграла;</w:t>
            </w:r>
          </w:p>
          <w:p w:rsidR="00041039" w:rsidRDefault="001B26CB">
            <w:pPr>
              <w:pStyle w:val="TableParagraph"/>
              <w:numPr>
                <w:ilvl w:val="0"/>
                <w:numId w:val="1182"/>
              </w:numPr>
              <w:tabs>
                <w:tab w:val="left" w:pos="157"/>
              </w:tabs>
              <w:spacing w:line="237" w:lineRule="auto"/>
              <w:ind w:right="289" w:hanging="99"/>
              <w:rPr>
                <w:sz w:val="14"/>
              </w:rPr>
            </w:pPr>
            <w:r>
              <w:rPr>
                <w:color w:val="231F20"/>
                <w:sz w:val="14"/>
              </w:rPr>
              <w:t>реши једноставније интеграле пар­ цијалном</w:t>
            </w:r>
            <w:r>
              <w:rPr>
                <w:color w:val="231F20"/>
                <w:spacing w:val="-1"/>
                <w:sz w:val="14"/>
              </w:rPr>
              <w:t xml:space="preserve"> </w:t>
            </w:r>
            <w:r>
              <w:rPr>
                <w:color w:val="231F20"/>
                <w:sz w:val="14"/>
              </w:rPr>
              <w:t>интеграцијом;</w:t>
            </w:r>
          </w:p>
          <w:p w:rsidR="00041039" w:rsidRDefault="001B26CB">
            <w:pPr>
              <w:pStyle w:val="TableParagraph"/>
              <w:numPr>
                <w:ilvl w:val="0"/>
                <w:numId w:val="1182"/>
              </w:numPr>
              <w:tabs>
                <w:tab w:val="left" w:pos="157"/>
              </w:tabs>
              <w:spacing w:line="160" w:lineRule="exact"/>
              <w:ind w:right="314" w:hanging="99"/>
              <w:rPr>
                <w:sz w:val="14"/>
              </w:rPr>
            </w:pPr>
            <w:r>
              <w:rPr>
                <w:color w:val="231F20"/>
                <w:sz w:val="14"/>
              </w:rPr>
              <w:t>реши интеграл ма које</w:t>
            </w:r>
            <w:r>
              <w:rPr>
                <w:color w:val="231F20"/>
                <w:spacing w:val="-16"/>
                <w:sz w:val="14"/>
              </w:rPr>
              <w:t xml:space="preserve"> </w:t>
            </w:r>
            <w:r>
              <w:rPr>
                <w:color w:val="231F20"/>
                <w:sz w:val="14"/>
              </w:rPr>
              <w:t>рационалне функције;</w:t>
            </w:r>
          </w:p>
          <w:p w:rsidR="00041039" w:rsidRDefault="001B26CB">
            <w:pPr>
              <w:pStyle w:val="TableParagraph"/>
              <w:numPr>
                <w:ilvl w:val="0"/>
                <w:numId w:val="1182"/>
              </w:numPr>
              <w:tabs>
                <w:tab w:val="left" w:pos="157"/>
              </w:tabs>
              <w:spacing w:line="160" w:lineRule="exact"/>
              <w:ind w:right="119" w:hanging="99"/>
              <w:rPr>
                <w:sz w:val="14"/>
              </w:rPr>
            </w:pPr>
            <w:r>
              <w:rPr>
                <w:color w:val="231F20"/>
                <w:sz w:val="14"/>
              </w:rPr>
              <w:t>реши и друге једноставније</w:t>
            </w:r>
            <w:r>
              <w:rPr>
                <w:color w:val="231F20"/>
                <w:spacing w:val="-10"/>
                <w:sz w:val="14"/>
              </w:rPr>
              <w:t xml:space="preserve"> </w:t>
            </w:r>
            <w:r>
              <w:rPr>
                <w:color w:val="231F20"/>
                <w:sz w:val="14"/>
              </w:rPr>
              <w:t>неодређе­ не</w:t>
            </w:r>
            <w:r>
              <w:rPr>
                <w:color w:val="231F20"/>
                <w:spacing w:val="-2"/>
                <w:sz w:val="14"/>
              </w:rPr>
              <w:t xml:space="preserve"> </w:t>
            </w:r>
            <w:r>
              <w:rPr>
                <w:color w:val="231F20"/>
                <w:sz w:val="14"/>
              </w:rPr>
              <w:t>интеграле;</w:t>
            </w:r>
          </w:p>
          <w:p w:rsidR="00041039" w:rsidRDefault="001B26CB">
            <w:pPr>
              <w:pStyle w:val="TableParagraph"/>
              <w:numPr>
                <w:ilvl w:val="0"/>
                <w:numId w:val="1182"/>
              </w:numPr>
              <w:tabs>
                <w:tab w:val="left" w:pos="157"/>
              </w:tabs>
              <w:spacing w:line="160" w:lineRule="exact"/>
              <w:ind w:right="193" w:hanging="99"/>
              <w:rPr>
                <w:sz w:val="14"/>
              </w:rPr>
            </w:pPr>
            <w:r>
              <w:rPr>
                <w:color w:val="231F20"/>
                <w:sz w:val="14"/>
              </w:rPr>
              <w:t>израчуна одређене интеграле</w:t>
            </w:r>
            <w:r>
              <w:rPr>
                <w:color w:val="231F20"/>
                <w:spacing w:val="-23"/>
                <w:sz w:val="14"/>
              </w:rPr>
              <w:t xml:space="preserve"> </w:t>
            </w:r>
            <w:r>
              <w:rPr>
                <w:color w:val="231F20"/>
                <w:sz w:val="14"/>
              </w:rPr>
              <w:t>приме­ ном Њутн­Лајбницове</w:t>
            </w:r>
            <w:r>
              <w:rPr>
                <w:color w:val="231F20"/>
                <w:spacing w:val="-6"/>
                <w:sz w:val="14"/>
              </w:rPr>
              <w:t xml:space="preserve"> </w:t>
            </w:r>
            <w:r>
              <w:rPr>
                <w:color w:val="231F20"/>
                <w:sz w:val="14"/>
              </w:rPr>
              <w:t>формуле;</w:t>
            </w:r>
          </w:p>
          <w:p w:rsidR="00041039" w:rsidRDefault="001B26CB">
            <w:pPr>
              <w:pStyle w:val="TableParagraph"/>
              <w:numPr>
                <w:ilvl w:val="0"/>
                <w:numId w:val="1182"/>
              </w:numPr>
              <w:tabs>
                <w:tab w:val="left" w:pos="157"/>
              </w:tabs>
              <w:spacing w:line="160"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замене;</w:t>
            </w:r>
          </w:p>
          <w:p w:rsidR="00041039" w:rsidRDefault="001B26CB">
            <w:pPr>
              <w:pStyle w:val="TableParagraph"/>
              <w:numPr>
                <w:ilvl w:val="0"/>
                <w:numId w:val="1182"/>
              </w:numPr>
              <w:tabs>
                <w:tab w:val="left" w:pos="157"/>
              </w:tabs>
              <w:spacing w:line="160"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парцијалне</w:t>
            </w:r>
            <w:r>
              <w:rPr>
                <w:color w:val="231F20"/>
                <w:spacing w:val="-2"/>
                <w:sz w:val="14"/>
              </w:rPr>
              <w:t xml:space="preserve"> </w:t>
            </w:r>
            <w:r>
              <w:rPr>
                <w:color w:val="231F20"/>
                <w:sz w:val="14"/>
              </w:rPr>
              <w:t>интеграције;</w:t>
            </w:r>
          </w:p>
          <w:p w:rsidR="00041039" w:rsidRDefault="001B26CB">
            <w:pPr>
              <w:pStyle w:val="TableParagraph"/>
              <w:numPr>
                <w:ilvl w:val="0"/>
                <w:numId w:val="1182"/>
              </w:numPr>
              <w:tabs>
                <w:tab w:val="left" w:pos="157"/>
              </w:tabs>
              <w:spacing w:line="160"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интеграције рационалних</w:t>
            </w:r>
            <w:r>
              <w:rPr>
                <w:color w:val="231F20"/>
                <w:spacing w:val="-8"/>
                <w:sz w:val="14"/>
              </w:rPr>
              <w:t xml:space="preserve"> </w:t>
            </w:r>
            <w:r>
              <w:rPr>
                <w:color w:val="231F20"/>
                <w:sz w:val="14"/>
              </w:rPr>
              <w:t>функција;</w:t>
            </w:r>
          </w:p>
          <w:p w:rsidR="00041039" w:rsidRDefault="001B26CB">
            <w:pPr>
              <w:pStyle w:val="TableParagraph"/>
              <w:numPr>
                <w:ilvl w:val="0"/>
                <w:numId w:val="1182"/>
              </w:numPr>
              <w:tabs>
                <w:tab w:val="left" w:pos="157"/>
              </w:tabs>
              <w:spacing w:line="160" w:lineRule="exact"/>
              <w:ind w:right="414" w:hanging="99"/>
              <w:rPr>
                <w:sz w:val="14"/>
              </w:rPr>
            </w:pPr>
            <w:r>
              <w:rPr>
                <w:color w:val="231F20"/>
                <w:sz w:val="14"/>
              </w:rPr>
              <w:t>одреди површину између</w:t>
            </w:r>
            <w:r>
              <w:rPr>
                <w:color w:val="231F20"/>
                <w:spacing w:val="-17"/>
                <w:sz w:val="14"/>
              </w:rPr>
              <w:t xml:space="preserve"> </w:t>
            </w:r>
            <w:r>
              <w:rPr>
                <w:color w:val="231F20"/>
                <w:sz w:val="14"/>
              </w:rPr>
              <w:t>кривих линија у</w:t>
            </w:r>
            <w:r>
              <w:rPr>
                <w:color w:val="231F20"/>
                <w:spacing w:val="-2"/>
                <w:sz w:val="14"/>
              </w:rPr>
              <w:t xml:space="preserve"> </w:t>
            </w:r>
            <w:r>
              <w:rPr>
                <w:color w:val="231F20"/>
                <w:sz w:val="14"/>
              </w:rPr>
              <w:t>равни;</w:t>
            </w:r>
          </w:p>
          <w:p w:rsidR="00041039" w:rsidRDefault="001B26CB">
            <w:pPr>
              <w:pStyle w:val="TableParagraph"/>
              <w:numPr>
                <w:ilvl w:val="0"/>
                <w:numId w:val="1182"/>
              </w:numPr>
              <w:tabs>
                <w:tab w:val="left" w:pos="157"/>
              </w:tabs>
              <w:spacing w:line="153" w:lineRule="exact"/>
              <w:ind w:hanging="99"/>
              <w:rPr>
                <w:sz w:val="14"/>
              </w:rPr>
            </w:pPr>
            <w:r>
              <w:rPr>
                <w:color w:val="231F20"/>
                <w:sz w:val="14"/>
              </w:rPr>
              <w:t>израчуна дужину лука криве</w:t>
            </w:r>
            <w:r>
              <w:rPr>
                <w:color w:val="231F20"/>
                <w:spacing w:val="-10"/>
                <w:sz w:val="14"/>
              </w:rPr>
              <w:t xml:space="preserve"> </w:t>
            </w:r>
            <w:r>
              <w:rPr>
                <w:color w:val="231F20"/>
                <w:sz w:val="14"/>
              </w:rPr>
              <w:t>линије;</w:t>
            </w:r>
          </w:p>
          <w:p w:rsidR="00041039" w:rsidRDefault="001B26CB">
            <w:pPr>
              <w:pStyle w:val="TableParagraph"/>
              <w:numPr>
                <w:ilvl w:val="0"/>
                <w:numId w:val="1182"/>
              </w:numPr>
              <w:tabs>
                <w:tab w:val="left" w:pos="157"/>
              </w:tabs>
              <w:spacing w:line="237" w:lineRule="auto"/>
              <w:ind w:right="169" w:hanging="99"/>
              <w:rPr>
                <w:sz w:val="14"/>
              </w:rPr>
            </w:pPr>
            <w:r>
              <w:rPr>
                <w:color w:val="231F20"/>
                <w:sz w:val="14"/>
              </w:rPr>
              <w:t>одреди запремину и површину рота­ ционог</w:t>
            </w:r>
            <w:r>
              <w:rPr>
                <w:color w:val="231F20"/>
                <w:spacing w:val="-2"/>
                <w:sz w:val="14"/>
              </w:rPr>
              <w:t xml:space="preserve"> </w:t>
            </w:r>
            <w:r>
              <w:rPr>
                <w:color w:val="231F20"/>
                <w:sz w:val="14"/>
              </w:rPr>
              <w:t>тела;</w:t>
            </w:r>
          </w:p>
        </w:tc>
        <w:tc>
          <w:tcPr>
            <w:tcW w:w="2834" w:type="dxa"/>
          </w:tcPr>
          <w:p w:rsidR="00041039" w:rsidRDefault="001B26CB">
            <w:pPr>
              <w:pStyle w:val="TableParagraph"/>
              <w:numPr>
                <w:ilvl w:val="0"/>
                <w:numId w:val="1181"/>
              </w:numPr>
              <w:tabs>
                <w:tab w:val="left" w:pos="157"/>
              </w:tabs>
              <w:spacing w:before="8"/>
              <w:ind w:right="44" w:hanging="99"/>
              <w:rPr>
                <w:sz w:val="14"/>
              </w:rPr>
            </w:pPr>
            <w:r>
              <w:rPr>
                <w:color w:val="231F20"/>
                <w:sz w:val="14"/>
              </w:rPr>
              <w:t>Дефиниција примитивне функције, правила интеграције, таблица</w:t>
            </w:r>
            <w:r>
              <w:rPr>
                <w:color w:val="231F20"/>
                <w:spacing w:val="-5"/>
                <w:sz w:val="14"/>
              </w:rPr>
              <w:t xml:space="preserve"> </w:t>
            </w:r>
            <w:r>
              <w:rPr>
                <w:color w:val="231F20"/>
                <w:sz w:val="14"/>
              </w:rPr>
              <w:t>интеграла.</w:t>
            </w:r>
          </w:p>
          <w:p w:rsidR="00041039" w:rsidRDefault="001B26CB">
            <w:pPr>
              <w:pStyle w:val="TableParagraph"/>
              <w:numPr>
                <w:ilvl w:val="0"/>
                <w:numId w:val="1181"/>
              </w:numPr>
              <w:tabs>
                <w:tab w:val="left" w:pos="157"/>
              </w:tabs>
              <w:spacing w:line="153" w:lineRule="exact"/>
              <w:ind w:hanging="99"/>
              <w:rPr>
                <w:sz w:val="14"/>
              </w:rPr>
            </w:pPr>
            <w:r>
              <w:rPr>
                <w:color w:val="231F20"/>
                <w:sz w:val="14"/>
              </w:rPr>
              <w:t>Решавање</w:t>
            </w:r>
            <w:r>
              <w:rPr>
                <w:color w:val="231F20"/>
                <w:spacing w:val="-10"/>
                <w:sz w:val="14"/>
              </w:rPr>
              <w:t xml:space="preserve"> </w:t>
            </w:r>
            <w:r>
              <w:rPr>
                <w:color w:val="231F20"/>
                <w:sz w:val="14"/>
              </w:rPr>
              <w:t>интеграла</w:t>
            </w:r>
            <w:r>
              <w:rPr>
                <w:color w:val="231F20"/>
                <w:spacing w:val="-10"/>
                <w:sz w:val="14"/>
              </w:rPr>
              <w:t xml:space="preserve"> </w:t>
            </w:r>
            <w:r>
              <w:rPr>
                <w:color w:val="231F20"/>
                <w:sz w:val="14"/>
              </w:rPr>
              <w:t>методом</w:t>
            </w:r>
            <w:r>
              <w:rPr>
                <w:color w:val="231F20"/>
                <w:spacing w:val="-10"/>
                <w:sz w:val="14"/>
              </w:rPr>
              <w:t xml:space="preserve"> </w:t>
            </w:r>
            <w:r>
              <w:rPr>
                <w:color w:val="231F20"/>
                <w:sz w:val="14"/>
              </w:rPr>
              <w:t>замене.</w:t>
            </w:r>
          </w:p>
          <w:p w:rsidR="00041039" w:rsidRDefault="001B26CB">
            <w:pPr>
              <w:pStyle w:val="TableParagraph"/>
              <w:numPr>
                <w:ilvl w:val="0"/>
                <w:numId w:val="1181"/>
              </w:numPr>
              <w:tabs>
                <w:tab w:val="left" w:pos="157"/>
              </w:tabs>
              <w:spacing w:line="237" w:lineRule="auto"/>
              <w:ind w:right="197" w:hanging="99"/>
              <w:rPr>
                <w:sz w:val="14"/>
              </w:rPr>
            </w:pPr>
            <w:r>
              <w:rPr>
                <w:color w:val="231F20"/>
                <w:sz w:val="14"/>
              </w:rPr>
              <w:t>Решавање интеграла методом</w:t>
            </w:r>
            <w:r>
              <w:rPr>
                <w:color w:val="231F20"/>
                <w:spacing w:val="-25"/>
                <w:sz w:val="14"/>
              </w:rPr>
              <w:t xml:space="preserve"> </w:t>
            </w:r>
            <w:r>
              <w:rPr>
                <w:color w:val="231F20"/>
                <w:sz w:val="14"/>
              </w:rPr>
              <w:t>парцијалне интеграције.</w:t>
            </w:r>
          </w:p>
          <w:p w:rsidR="00041039" w:rsidRDefault="001B26CB">
            <w:pPr>
              <w:pStyle w:val="TableParagraph"/>
              <w:numPr>
                <w:ilvl w:val="0"/>
                <w:numId w:val="1181"/>
              </w:numPr>
              <w:tabs>
                <w:tab w:val="left" w:pos="157"/>
              </w:tabs>
              <w:spacing w:line="155" w:lineRule="exact"/>
              <w:ind w:hanging="99"/>
              <w:rPr>
                <w:sz w:val="14"/>
              </w:rPr>
            </w:pPr>
            <w:r>
              <w:rPr>
                <w:color w:val="231F20"/>
                <w:sz w:val="14"/>
              </w:rPr>
              <w:t>Интеграција рационалних</w:t>
            </w:r>
            <w:r>
              <w:rPr>
                <w:color w:val="231F20"/>
                <w:spacing w:val="-4"/>
                <w:sz w:val="14"/>
              </w:rPr>
              <w:t xml:space="preserve"> </w:t>
            </w:r>
            <w:r>
              <w:rPr>
                <w:color w:val="231F20"/>
                <w:sz w:val="14"/>
              </w:rPr>
              <w:t>функција.</w:t>
            </w:r>
          </w:p>
          <w:p w:rsidR="00041039" w:rsidRDefault="001B26CB">
            <w:pPr>
              <w:pStyle w:val="TableParagraph"/>
              <w:numPr>
                <w:ilvl w:val="0"/>
                <w:numId w:val="1181"/>
              </w:numPr>
              <w:tabs>
                <w:tab w:val="left" w:pos="157"/>
              </w:tabs>
              <w:spacing w:line="237" w:lineRule="auto"/>
              <w:ind w:right="91" w:hanging="99"/>
              <w:rPr>
                <w:sz w:val="14"/>
              </w:rPr>
            </w:pPr>
            <w:r>
              <w:rPr>
                <w:color w:val="231F20"/>
                <w:sz w:val="14"/>
              </w:rPr>
              <w:t>Израчунавање одређеног интеграла</w:t>
            </w:r>
            <w:r>
              <w:rPr>
                <w:color w:val="231F20"/>
                <w:spacing w:val="-21"/>
                <w:sz w:val="14"/>
              </w:rPr>
              <w:t xml:space="preserve"> </w:t>
            </w:r>
            <w:r>
              <w:rPr>
                <w:color w:val="231F20"/>
                <w:sz w:val="14"/>
              </w:rPr>
              <w:t>(Њутн­ Лајбницова формула, основне особине одређеног</w:t>
            </w:r>
            <w:r>
              <w:rPr>
                <w:color w:val="231F20"/>
                <w:spacing w:val="-1"/>
                <w:sz w:val="14"/>
              </w:rPr>
              <w:t xml:space="preserve"> </w:t>
            </w:r>
            <w:r>
              <w:rPr>
                <w:color w:val="231F20"/>
                <w:sz w:val="14"/>
              </w:rPr>
              <w:t>интеграла).</w:t>
            </w:r>
          </w:p>
          <w:p w:rsidR="00041039" w:rsidRDefault="001B26CB">
            <w:pPr>
              <w:pStyle w:val="TableParagraph"/>
              <w:numPr>
                <w:ilvl w:val="0"/>
                <w:numId w:val="1181"/>
              </w:numPr>
              <w:tabs>
                <w:tab w:val="left" w:pos="157"/>
              </w:tabs>
              <w:spacing w:line="237" w:lineRule="auto"/>
              <w:ind w:right="119" w:hanging="99"/>
              <w:rPr>
                <w:sz w:val="14"/>
              </w:rPr>
            </w:pPr>
            <w:r>
              <w:rPr>
                <w:color w:val="231F20"/>
                <w:sz w:val="14"/>
              </w:rPr>
              <w:t>Интеграција одређеног интеграла</w:t>
            </w:r>
            <w:r>
              <w:rPr>
                <w:color w:val="231F20"/>
                <w:spacing w:val="-27"/>
                <w:sz w:val="14"/>
              </w:rPr>
              <w:t xml:space="preserve"> </w:t>
            </w:r>
            <w:r>
              <w:rPr>
                <w:color w:val="231F20"/>
                <w:sz w:val="14"/>
              </w:rPr>
              <w:t>методом замене.</w:t>
            </w:r>
          </w:p>
          <w:p w:rsidR="00041039" w:rsidRDefault="001B26CB">
            <w:pPr>
              <w:pStyle w:val="TableParagraph"/>
              <w:numPr>
                <w:ilvl w:val="0"/>
                <w:numId w:val="1181"/>
              </w:numPr>
              <w:tabs>
                <w:tab w:val="left" w:pos="157"/>
              </w:tabs>
              <w:spacing w:line="155" w:lineRule="exact"/>
              <w:ind w:hanging="99"/>
              <w:rPr>
                <w:sz w:val="14"/>
              </w:rPr>
            </w:pPr>
            <w:r>
              <w:rPr>
                <w:color w:val="231F20"/>
                <w:sz w:val="14"/>
              </w:rPr>
              <w:t>Метод парцијалне</w:t>
            </w:r>
            <w:r>
              <w:rPr>
                <w:color w:val="231F20"/>
                <w:spacing w:val="-4"/>
                <w:sz w:val="14"/>
              </w:rPr>
              <w:t xml:space="preserve"> </w:t>
            </w:r>
            <w:r>
              <w:rPr>
                <w:color w:val="231F20"/>
                <w:sz w:val="14"/>
              </w:rPr>
              <w:t>интеграције.</w:t>
            </w:r>
          </w:p>
          <w:p w:rsidR="00041039" w:rsidRDefault="001B26CB">
            <w:pPr>
              <w:pStyle w:val="TableParagraph"/>
              <w:numPr>
                <w:ilvl w:val="0"/>
                <w:numId w:val="1181"/>
              </w:numPr>
              <w:tabs>
                <w:tab w:val="left" w:pos="157"/>
              </w:tabs>
              <w:spacing w:line="160" w:lineRule="exact"/>
              <w:ind w:hanging="99"/>
              <w:rPr>
                <w:sz w:val="14"/>
              </w:rPr>
            </w:pPr>
            <w:r>
              <w:rPr>
                <w:color w:val="231F20"/>
                <w:sz w:val="14"/>
              </w:rPr>
              <w:t>Интеграција рационалних</w:t>
            </w:r>
            <w:r>
              <w:rPr>
                <w:color w:val="231F20"/>
                <w:spacing w:val="-4"/>
                <w:sz w:val="14"/>
              </w:rPr>
              <w:t xml:space="preserve"> </w:t>
            </w:r>
            <w:r>
              <w:rPr>
                <w:color w:val="231F20"/>
                <w:sz w:val="14"/>
              </w:rPr>
              <w:t>функција.</w:t>
            </w:r>
          </w:p>
          <w:p w:rsidR="00041039" w:rsidRDefault="001B26CB">
            <w:pPr>
              <w:pStyle w:val="TableParagraph"/>
              <w:numPr>
                <w:ilvl w:val="0"/>
                <w:numId w:val="1181"/>
              </w:numPr>
              <w:tabs>
                <w:tab w:val="left" w:pos="157"/>
              </w:tabs>
              <w:spacing w:line="160" w:lineRule="exact"/>
              <w:ind w:hanging="99"/>
              <w:rPr>
                <w:sz w:val="14"/>
              </w:rPr>
            </w:pPr>
            <w:r>
              <w:rPr>
                <w:color w:val="231F20"/>
                <w:sz w:val="14"/>
              </w:rPr>
              <w:t>Површина равне</w:t>
            </w:r>
            <w:r>
              <w:rPr>
                <w:color w:val="231F20"/>
                <w:spacing w:val="-2"/>
                <w:sz w:val="14"/>
              </w:rPr>
              <w:t xml:space="preserve"> </w:t>
            </w:r>
            <w:r>
              <w:rPr>
                <w:color w:val="231F20"/>
                <w:sz w:val="14"/>
              </w:rPr>
              <w:t>фигуре.</w:t>
            </w:r>
          </w:p>
          <w:p w:rsidR="00041039" w:rsidRDefault="001B26CB">
            <w:pPr>
              <w:pStyle w:val="TableParagraph"/>
              <w:numPr>
                <w:ilvl w:val="0"/>
                <w:numId w:val="1181"/>
              </w:numPr>
              <w:tabs>
                <w:tab w:val="left" w:pos="157"/>
              </w:tabs>
              <w:spacing w:line="160" w:lineRule="exact"/>
              <w:ind w:hanging="99"/>
              <w:rPr>
                <w:sz w:val="14"/>
              </w:rPr>
            </w:pPr>
            <w:r>
              <w:rPr>
                <w:color w:val="231F20"/>
                <w:sz w:val="14"/>
              </w:rPr>
              <w:t>Запремина ротационог</w:t>
            </w:r>
            <w:r>
              <w:rPr>
                <w:color w:val="231F20"/>
                <w:spacing w:val="-10"/>
                <w:sz w:val="14"/>
              </w:rPr>
              <w:t xml:space="preserve"> </w:t>
            </w:r>
            <w:r>
              <w:rPr>
                <w:color w:val="231F20"/>
                <w:sz w:val="14"/>
              </w:rPr>
              <w:t>тела.</w:t>
            </w:r>
          </w:p>
          <w:p w:rsidR="00041039" w:rsidRDefault="001B26CB">
            <w:pPr>
              <w:pStyle w:val="TableParagraph"/>
              <w:numPr>
                <w:ilvl w:val="0"/>
                <w:numId w:val="1181"/>
              </w:numPr>
              <w:tabs>
                <w:tab w:val="left" w:pos="157"/>
              </w:tabs>
              <w:spacing w:line="160" w:lineRule="exact"/>
              <w:ind w:hanging="99"/>
              <w:rPr>
                <w:sz w:val="14"/>
              </w:rPr>
            </w:pPr>
            <w:r>
              <w:rPr>
                <w:color w:val="231F20"/>
                <w:sz w:val="14"/>
              </w:rPr>
              <w:t>Површина ротационог</w:t>
            </w:r>
            <w:r>
              <w:rPr>
                <w:color w:val="231F20"/>
                <w:spacing w:val="-9"/>
                <w:sz w:val="14"/>
              </w:rPr>
              <w:t xml:space="preserve"> </w:t>
            </w:r>
            <w:r>
              <w:rPr>
                <w:color w:val="231F20"/>
                <w:sz w:val="14"/>
              </w:rPr>
              <w:t>тела.</w:t>
            </w:r>
          </w:p>
          <w:p w:rsidR="00041039" w:rsidRDefault="001B26CB">
            <w:pPr>
              <w:pStyle w:val="TableParagraph"/>
              <w:numPr>
                <w:ilvl w:val="0"/>
                <w:numId w:val="1181"/>
              </w:numPr>
              <w:tabs>
                <w:tab w:val="left" w:pos="157"/>
              </w:tabs>
              <w:spacing w:line="166" w:lineRule="exact"/>
              <w:ind w:hanging="99"/>
              <w:rPr>
                <w:sz w:val="14"/>
              </w:rPr>
            </w:pPr>
            <w:r>
              <w:rPr>
                <w:color w:val="231F20"/>
                <w:sz w:val="14"/>
              </w:rPr>
              <w:t>Дужина лука</w:t>
            </w:r>
            <w:r>
              <w:rPr>
                <w:color w:val="231F20"/>
                <w:spacing w:val="-1"/>
                <w:sz w:val="14"/>
              </w:rPr>
              <w:t xml:space="preserve"> </w:t>
            </w:r>
            <w:r>
              <w:rPr>
                <w:color w:val="231F20"/>
                <w:sz w:val="14"/>
              </w:rPr>
              <w:t>криве.</w:t>
            </w:r>
          </w:p>
        </w:tc>
        <w:tc>
          <w:tcPr>
            <w:tcW w:w="2267" w:type="dxa"/>
            <w:vMerge w:val="restart"/>
          </w:tcPr>
          <w:p w:rsidR="00041039" w:rsidRDefault="001B26CB">
            <w:pPr>
              <w:pStyle w:val="TableParagraph"/>
              <w:numPr>
                <w:ilvl w:val="0"/>
                <w:numId w:val="1180"/>
              </w:numPr>
              <w:tabs>
                <w:tab w:val="left" w:pos="143"/>
              </w:tabs>
              <w:spacing w:before="18"/>
              <w:ind w:right="227"/>
              <w:rPr>
                <w:sz w:val="14"/>
              </w:rPr>
            </w:pPr>
            <w:r>
              <w:rPr>
                <w:b/>
                <w:color w:val="231F20"/>
                <w:sz w:val="14"/>
              </w:rPr>
              <w:t xml:space="preserve">Функција: </w:t>
            </w:r>
            <w:r>
              <w:rPr>
                <w:color w:val="231F20"/>
                <w:sz w:val="14"/>
              </w:rPr>
              <w:t>допунити и систе­ матизовати знања о особинама функција; дати преглед</w:t>
            </w:r>
            <w:r>
              <w:rPr>
                <w:color w:val="231F20"/>
                <w:spacing w:val="-22"/>
                <w:sz w:val="14"/>
              </w:rPr>
              <w:t xml:space="preserve"> </w:t>
            </w:r>
            <w:r>
              <w:rPr>
                <w:color w:val="231F20"/>
                <w:sz w:val="14"/>
              </w:rPr>
              <w:t>елемен­ тарних функција;</w:t>
            </w:r>
            <w:r>
              <w:rPr>
                <w:color w:val="231F20"/>
                <w:spacing w:val="-4"/>
                <w:sz w:val="14"/>
              </w:rPr>
              <w:t xml:space="preserve"> </w:t>
            </w:r>
            <w:r>
              <w:rPr>
                <w:color w:val="231F20"/>
                <w:sz w:val="14"/>
              </w:rPr>
              <w:t>проширити</w:t>
            </w:r>
          </w:p>
          <w:p w:rsidR="00041039" w:rsidRDefault="001B26CB">
            <w:pPr>
              <w:pStyle w:val="TableParagraph"/>
              <w:spacing w:line="237" w:lineRule="auto"/>
              <w:ind w:left="142" w:right="310"/>
              <w:rPr>
                <w:sz w:val="14"/>
              </w:rPr>
            </w:pPr>
            <w:r>
              <w:rPr>
                <w:color w:val="231F20"/>
                <w:sz w:val="14"/>
              </w:rPr>
              <w:t>и допунити постојећа знања о граничним вредностима.</w:t>
            </w:r>
          </w:p>
          <w:p w:rsidR="00041039" w:rsidRDefault="001B26CB">
            <w:pPr>
              <w:pStyle w:val="TableParagraph"/>
              <w:numPr>
                <w:ilvl w:val="0"/>
                <w:numId w:val="1180"/>
              </w:numPr>
              <w:tabs>
                <w:tab w:val="left" w:pos="143"/>
              </w:tabs>
              <w:ind w:right="72"/>
              <w:rPr>
                <w:sz w:val="14"/>
              </w:rPr>
            </w:pPr>
            <w:r>
              <w:rPr>
                <w:b/>
                <w:color w:val="231F20"/>
                <w:sz w:val="14"/>
              </w:rPr>
              <w:t xml:space="preserve">Извод функције: </w:t>
            </w:r>
            <w:r>
              <w:rPr>
                <w:color w:val="231F20"/>
                <w:sz w:val="14"/>
              </w:rPr>
              <w:t>дати бројне примене извода функције и задржати се на испитивању тока</w:t>
            </w:r>
            <w:r>
              <w:rPr>
                <w:color w:val="231F20"/>
                <w:spacing w:val="-22"/>
                <w:sz w:val="14"/>
              </w:rPr>
              <w:t xml:space="preserve"> </w:t>
            </w:r>
            <w:r>
              <w:rPr>
                <w:color w:val="231F20"/>
                <w:sz w:val="14"/>
              </w:rPr>
              <w:t>и цртању графика</w:t>
            </w:r>
            <w:r>
              <w:rPr>
                <w:color w:val="231F20"/>
                <w:spacing w:val="-2"/>
                <w:sz w:val="14"/>
              </w:rPr>
              <w:t xml:space="preserve"> </w:t>
            </w:r>
            <w:r>
              <w:rPr>
                <w:color w:val="231F20"/>
                <w:sz w:val="14"/>
              </w:rPr>
              <w:t>функције.</w:t>
            </w:r>
          </w:p>
          <w:p w:rsidR="00041039" w:rsidRDefault="001B26CB">
            <w:pPr>
              <w:pStyle w:val="TableParagraph"/>
              <w:numPr>
                <w:ilvl w:val="0"/>
                <w:numId w:val="1180"/>
              </w:numPr>
              <w:tabs>
                <w:tab w:val="left" w:pos="143"/>
              </w:tabs>
              <w:spacing w:line="237" w:lineRule="auto"/>
              <w:ind w:right="122"/>
              <w:rPr>
                <w:sz w:val="14"/>
              </w:rPr>
            </w:pPr>
            <w:r>
              <w:rPr>
                <w:b/>
                <w:color w:val="231F20"/>
                <w:sz w:val="14"/>
              </w:rPr>
              <w:t xml:space="preserve">Интеграл: </w:t>
            </w:r>
            <w:r>
              <w:rPr>
                <w:color w:val="231F20"/>
                <w:sz w:val="14"/>
              </w:rPr>
              <w:t>након разних ти­ пова неодређеног интеграла и понављању кроз израчунавање одређеног интеграла, акценат је на бројним применама</w:t>
            </w:r>
            <w:r>
              <w:rPr>
                <w:color w:val="231F20"/>
                <w:spacing w:val="-14"/>
                <w:sz w:val="14"/>
              </w:rPr>
              <w:t xml:space="preserve"> </w:t>
            </w:r>
            <w:r>
              <w:rPr>
                <w:color w:val="231F20"/>
                <w:sz w:val="14"/>
              </w:rPr>
              <w:t>одређеног интеграла.</w:t>
            </w:r>
          </w:p>
          <w:p w:rsidR="00041039" w:rsidRDefault="001B26CB">
            <w:pPr>
              <w:pStyle w:val="TableParagraph"/>
              <w:numPr>
                <w:ilvl w:val="0"/>
                <w:numId w:val="1180"/>
              </w:numPr>
              <w:tabs>
                <w:tab w:val="left" w:pos="143"/>
              </w:tabs>
              <w:ind w:right="437"/>
              <w:rPr>
                <w:sz w:val="14"/>
              </w:rPr>
            </w:pPr>
            <w:r>
              <w:rPr>
                <w:b/>
                <w:color w:val="231F20"/>
                <w:sz w:val="14"/>
              </w:rPr>
              <w:t>Ко</w:t>
            </w:r>
            <w:r>
              <w:rPr>
                <w:b/>
                <w:color w:val="231F20"/>
                <w:sz w:val="14"/>
              </w:rPr>
              <w:t xml:space="preserve">мбинаторика: </w:t>
            </w:r>
            <w:r>
              <w:rPr>
                <w:color w:val="231F20"/>
                <w:sz w:val="14"/>
              </w:rPr>
              <w:t>настави­ ти употребу стечених</w:t>
            </w:r>
            <w:r>
              <w:rPr>
                <w:color w:val="231F20"/>
                <w:spacing w:val="-16"/>
                <w:sz w:val="14"/>
              </w:rPr>
              <w:t xml:space="preserve"> </w:t>
            </w:r>
            <w:r>
              <w:rPr>
                <w:color w:val="231F20"/>
                <w:sz w:val="14"/>
              </w:rPr>
              <w:t>знања о пребројавању</w:t>
            </w:r>
            <w:r>
              <w:rPr>
                <w:color w:val="231F20"/>
                <w:spacing w:val="-8"/>
                <w:sz w:val="14"/>
              </w:rPr>
              <w:t xml:space="preserve"> </w:t>
            </w:r>
            <w:r>
              <w:rPr>
                <w:color w:val="231F20"/>
                <w:sz w:val="14"/>
              </w:rPr>
              <w:t>додавањем</w:t>
            </w:r>
          </w:p>
          <w:p w:rsidR="00041039" w:rsidRDefault="001B26CB">
            <w:pPr>
              <w:pStyle w:val="TableParagraph"/>
              <w:spacing w:line="237" w:lineRule="auto"/>
              <w:ind w:left="142"/>
              <w:rPr>
                <w:sz w:val="14"/>
              </w:rPr>
            </w:pPr>
            <w:r>
              <w:rPr>
                <w:color w:val="231F20"/>
                <w:sz w:val="14"/>
              </w:rPr>
              <w:t>сложенијих примера и то, како интуитивно, тако и кроз формуле; користити и комбинаторне идентитете који проширују ово подручје.</w:t>
            </w:r>
          </w:p>
          <w:p w:rsidR="00041039" w:rsidRDefault="001B26CB">
            <w:pPr>
              <w:pStyle w:val="TableParagraph"/>
              <w:numPr>
                <w:ilvl w:val="0"/>
                <w:numId w:val="1180"/>
              </w:numPr>
              <w:tabs>
                <w:tab w:val="left" w:pos="143"/>
              </w:tabs>
              <w:ind w:right="66"/>
              <w:rPr>
                <w:sz w:val="14"/>
              </w:rPr>
            </w:pPr>
            <w:r>
              <w:rPr>
                <w:b/>
                <w:color w:val="231F20"/>
                <w:sz w:val="14"/>
              </w:rPr>
              <w:t xml:space="preserve">Вероватноћа и статистика: </w:t>
            </w:r>
            <w:r>
              <w:rPr>
                <w:color w:val="231F20"/>
                <w:sz w:val="14"/>
              </w:rPr>
              <w:t>дати основна знања о вероват</w:t>
            </w:r>
            <w:r>
              <w:rPr>
                <w:color w:val="231F20"/>
                <w:sz w:val="14"/>
              </w:rPr>
              <w:t>ноћи</w:t>
            </w:r>
            <w:r>
              <w:rPr>
                <w:color w:val="231F20"/>
                <w:spacing w:val="-12"/>
                <w:sz w:val="14"/>
              </w:rPr>
              <w:t xml:space="preserve"> </w:t>
            </w:r>
            <w:r>
              <w:rPr>
                <w:color w:val="231F20"/>
                <w:sz w:val="14"/>
              </w:rPr>
              <w:t>дис­ кретних догађаја; увести случајну променљиву и расподелу. Истаћи значај случајног узорка и ста­ тистичког</w:t>
            </w:r>
            <w:r>
              <w:rPr>
                <w:color w:val="231F20"/>
                <w:spacing w:val="-1"/>
                <w:sz w:val="14"/>
              </w:rPr>
              <w:t xml:space="preserve"> </w:t>
            </w:r>
            <w:r>
              <w:rPr>
                <w:color w:val="231F20"/>
                <w:sz w:val="14"/>
              </w:rPr>
              <w:t>експеримента.</w:t>
            </w:r>
          </w:p>
          <w:p w:rsidR="00041039" w:rsidRDefault="00041039">
            <w:pPr>
              <w:pStyle w:val="TableParagraph"/>
              <w:spacing w:before="3"/>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179"/>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179"/>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теми</w:t>
            </w:r>
          </w:p>
          <w:p w:rsidR="00041039" w:rsidRDefault="001B26CB">
            <w:pPr>
              <w:pStyle w:val="TableParagraph"/>
              <w:numPr>
                <w:ilvl w:val="0"/>
                <w:numId w:val="1179"/>
              </w:numPr>
              <w:tabs>
                <w:tab w:val="left" w:pos="158"/>
              </w:tabs>
              <w:spacing w:line="160" w:lineRule="exact"/>
              <w:ind w:hanging="99"/>
              <w:rPr>
                <w:b/>
                <w:sz w:val="14"/>
              </w:rPr>
            </w:pPr>
            <w:r>
              <w:rPr>
                <w:color w:val="231F20"/>
                <w:sz w:val="14"/>
              </w:rPr>
              <w:t xml:space="preserve">Функције </w:t>
            </w:r>
            <w:r>
              <w:rPr>
                <w:b/>
                <w:color w:val="231F20"/>
                <w:sz w:val="14"/>
              </w:rPr>
              <w:t>(28</w:t>
            </w:r>
            <w:r>
              <w:rPr>
                <w:b/>
                <w:color w:val="231F20"/>
                <w:spacing w:val="-2"/>
                <w:sz w:val="14"/>
              </w:rPr>
              <w:t xml:space="preserve"> </w:t>
            </w:r>
            <w:r>
              <w:rPr>
                <w:b/>
                <w:color w:val="231F20"/>
                <w:sz w:val="14"/>
              </w:rPr>
              <w:t>часова)</w:t>
            </w:r>
          </w:p>
          <w:p w:rsidR="00041039" w:rsidRDefault="001B26CB">
            <w:pPr>
              <w:pStyle w:val="TableParagraph"/>
              <w:numPr>
                <w:ilvl w:val="0"/>
                <w:numId w:val="1179"/>
              </w:numPr>
              <w:tabs>
                <w:tab w:val="left" w:pos="158"/>
              </w:tabs>
              <w:spacing w:line="160" w:lineRule="exact"/>
              <w:ind w:hanging="99"/>
              <w:rPr>
                <w:b/>
                <w:sz w:val="14"/>
              </w:rPr>
            </w:pPr>
            <w:r>
              <w:rPr>
                <w:color w:val="231F20"/>
                <w:sz w:val="14"/>
              </w:rPr>
              <w:t xml:space="preserve">Извод функције </w:t>
            </w:r>
            <w:r>
              <w:rPr>
                <w:b/>
                <w:color w:val="231F20"/>
                <w:sz w:val="14"/>
              </w:rPr>
              <w:t>(26</w:t>
            </w:r>
            <w:r>
              <w:rPr>
                <w:b/>
                <w:color w:val="231F20"/>
                <w:spacing w:val="-5"/>
                <w:sz w:val="14"/>
              </w:rPr>
              <w:t xml:space="preserve"> </w:t>
            </w:r>
            <w:r>
              <w:rPr>
                <w:b/>
                <w:color w:val="231F20"/>
                <w:sz w:val="14"/>
              </w:rPr>
              <w:t>часова)</w:t>
            </w:r>
          </w:p>
          <w:p w:rsidR="00041039" w:rsidRDefault="001B26CB">
            <w:pPr>
              <w:pStyle w:val="TableParagraph"/>
              <w:numPr>
                <w:ilvl w:val="0"/>
                <w:numId w:val="1179"/>
              </w:numPr>
              <w:tabs>
                <w:tab w:val="left" w:pos="158"/>
              </w:tabs>
              <w:spacing w:line="160" w:lineRule="exact"/>
              <w:ind w:hanging="99"/>
              <w:rPr>
                <w:b/>
                <w:sz w:val="14"/>
              </w:rPr>
            </w:pPr>
            <w:r>
              <w:rPr>
                <w:color w:val="231F20"/>
                <w:sz w:val="14"/>
              </w:rPr>
              <w:t xml:space="preserve">Интеграл </w:t>
            </w:r>
            <w:r>
              <w:rPr>
                <w:b/>
                <w:color w:val="231F20"/>
                <w:sz w:val="14"/>
              </w:rPr>
              <w:t>(22</w:t>
            </w:r>
            <w:r>
              <w:rPr>
                <w:b/>
                <w:color w:val="231F20"/>
                <w:spacing w:val="-2"/>
                <w:sz w:val="14"/>
              </w:rPr>
              <w:t xml:space="preserve"> </w:t>
            </w:r>
            <w:r>
              <w:rPr>
                <w:b/>
                <w:color w:val="231F20"/>
                <w:sz w:val="14"/>
              </w:rPr>
              <w:t>часа)</w:t>
            </w:r>
          </w:p>
          <w:p w:rsidR="00041039" w:rsidRDefault="001B26CB">
            <w:pPr>
              <w:pStyle w:val="TableParagraph"/>
              <w:numPr>
                <w:ilvl w:val="0"/>
                <w:numId w:val="1179"/>
              </w:numPr>
              <w:tabs>
                <w:tab w:val="left" w:pos="158"/>
              </w:tabs>
              <w:spacing w:line="160" w:lineRule="exact"/>
              <w:ind w:hanging="99"/>
              <w:rPr>
                <w:b/>
                <w:sz w:val="14"/>
              </w:rPr>
            </w:pPr>
            <w:r>
              <w:rPr>
                <w:color w:val="231F20"/>
                <w:sz w:val="14"/>
              </w:rPr>
              <w:t xml:space="preserve">Комбинаторика </w:t>
            </w:r>
            <w:r>
              <w:rPr>
                <w:b/>
                <w:color w:val="231F20"/>
                <w:sz w:val="14"/>
              </w:rPr>
              <w:t>(12</w:t>
            </w:r>
            <w:r>
              <w:rPr>
                <w:b/>
                <w:color w:val="231F20"/>
                <w:spacing w:val="-5"/>
                <w:sz w:val="14"/>
              </w:rPr>
              <w:t xml:space="preserve"> </w:t>
            </w:r>
            <w:r>
              <w:rPr>
                <w:b/>
                <w:color w:val="231F20"/>
                <w:sz w:val="14"/>
              </w:rPr>
              <w:t>часова)</w:t>
            </w:r>
          </w:p>
          <w:p w:rsidR="00041039" w:rsidRDefault="001B26CB">
            <w:pPr>
              <w:pStyle w:val="TableParagraph"/>
              <w:numPr>
                <w:ilvl w:val="0"/>
                <w:numId w:val="1179"/>
              </w:numPr>
              <w:tabs>
                <w:tab w:val="left" w:pos="158"/>
              </w:tabs>
              <w:spacing w:line="237" w:lineRule="auto"/>
              <w:ind w:right="328" w:hanging="99"/>
              <w:rPr>
                <w:b/>
                <w:sz w:val="14"/>
              </w:rPr>
            </w:pPr>
            <w:r>
              <w:rPr>
                <w:color w:val="231F20"/>
                <w:sz w:val="14"/>
              </w:rPr>
              <w:t>Вероватноћа и статистика</w:t>
            </w:r>
            <w:r>
              <w:rPr>
                <w:color w:val="231F20"/>
                <w:spacing w:val="-16"/>
                <w:sz w:val="14"/>
              </w:rPr>
              <w:t xml:space="preserve"> </w:t>
            </w:r>
            <w:r>
              <w:rPr>
                <w:b/>
                <w:color w:val="231F20"/>
                <w:sz w:val="14"/>
              </w:rPr>
              <w:t>(28 часова)</w:t>
            </w:r>
          </w:p>
          <w:p w:rsidR="00041039" w:rsidRDefault="00041039">
            <w:pPr>
              <w:pStyle w:val="TableParagraph"/>
              <w:spacing w:before="6"/>
              <w:ind w:left="0"/>
              <w:rPr>
                <w:b/>
                <w:sz w:val="13"/>
              </w:rPr>
            </w:pPr>
          </w:p>
          <w:p w:rsidR="00041039" w:rsidRDefault="001B26CB">
            <w:pPr>
              <w:pStyle w:val="TableParagraph"/>
              <w:spacing w:before="1" w:line="237" w:lineRule="auto"/>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1160"/>
        </w:trPr>
        <w:tc>
          <w:tcPr>
            <w:tcW w:w="1304" w:type="dxa"/>
          </w:tcPr>
          <w:p w:rsidR="00041039" w:rsidRDefault="001B26CB">
            <w:pPr>
              <w:pStyle w:val="TableParagraph"/>
              <w:spacing w:before="19"/>
              <w:ind w:left="56"/>
              <w:rPr>
                <w:sz w:val="14"/>
              </w:rPr>
            </w:pPr>
            <w:r>
              <w:rPr>
                <w:color w:val="231F20"/>
                <w:sz w:val="14"/>
              </w:rPr>
              <w:t>Комбинаторика</w:t>
            </w:r>
          </w:p>
        </w:tc>
        <w:tc>
          <w:tcPr>
            <w:tcW w:w="1587" w:type="dxa"/>
          </w:tcPr>
          <w:p w:rsidR="00041039" w:rsidRDefault="001B26CB">
            <w:pPr>
              <w:pStyle w:val="TableParagraph"/>
              <w:numPr>
                <w:ilvl w:val="0"/>
                <w:numId w:val="1178"/>
              </w:numPr>
              <w:tabs>
                <w:tab w:val="left" w:pos="157"/>
              </w:tabs>
              <w:spacing w:before="9"/>
              <w:ind w:right="105"/>
              <w:rPr>
                <w:sz w:val="14"/>
              </w:rPr>
            </w:pPr>
            <w:r>
              <w:rPr>
                <w:color w:val="231F20"/>
                <w:sz w:val="14"/>
              </w:rPr>
              <w:t>Стицање основних знања о начинима пребројавања</w:t>
            </w:r>
            <w:r>
              <w:rPr>
                <w:color w:val="231F20"/>
                <w:spacing w:val="-12"/>
                <w:sz w:val="14"/>
              </w:rPr>
              <w:t xml:space="preserve"> </w:t>
            </w:r>
            <w:r>
              <w:rPr>
                <w:color w:val="231F20"/>
                <w:sz w:val="14"/>
              </w:rPr>
              <w:t>скупова и примени биномног обрасца.</w:t>
            </w:r>
          </w:p>
        </w:tc>
        <w:tc>
          <w:tcPr>
            <w:tcW w:w="2551" w:type="dxa"/>
          </w:tcPr>
          <w:p w:rsidR="00041039" w:rsidRDefault="001B26CB">
            <w:pPr>
              <w:pStyle w:val="TableParagraph"/>
              <w:numPr>
                <w:ilvl w:val="0"/>
                <w:numId w:val="1177"/>
              </w:numPr>
              <w:tabs>
                <w:tab w:val="left" w:pos="157"/>
              </w:tabs>
              <w:spacing w:before="10"/>
              <w:ind w:right="43" w:hanging="99"/>
              <w:rPr>
                <w:sz w:val="14"/>
              </w:rPr>
            </w:pPr>
            <w:r>
              <w:rPr>
                <w:color w:val="231F20"/>
                <w:sz w:val="14"/>
              </w:rPr>
              <w:t>решава елементарне задатке пребројавања применом правила збира и</w:t>
            </w:r>
            <w:r>
              <w:rPr>
                <w:color w:val="231F20"/>
                <w:spacing w:val="-6"/>
                <w:sz w:val="14"/>
              </w:rPr>
              <w:t xml:space="preserve"> </w:t>
            </w:r>
            <w:r>
              <w:rPr>
                <w:color w:val="231F20"/>
                <w:sz w:val="14"/>
              </w:rPr>
              <w:t>производа</w:t>
            </w:r>
            <w:r>
              <w:rPr>
                <w:color w:val="231F20"/>
                <w:spacing w:val="-6"/>
                <w:sz w:val="14"/>
              </w:rPr>
              <w:t xml:space="preserve"> </w:t>
            </w:r>
            <w:r>
              <w:rPr>
                <w:color w:val="231F20"/>
                <w:sz w:val="14"/>
              </w:rPr>
              <w:t>и</w:t>
            </w:r>
            <w:r>
              <w:rPr>
                <w:color w:val="231F20"/>
                <w:spacing w:val="-6"/>
                <w:sz w:val="14"/>
              </w:rPr>
              <w:t xml:space="preserve"> </w:t>
            </w:r>
            <w:r>
              <w:rPr>
                <w:color w:val="231F20"/>
                <w:sz w:val="14"/>
              </w:rPr>
              <w:t>формула</w:t>
            </w:r>
            <w:r>
              <w:rPr>
                <w:color w:val="231F20"/>
                <w:spacing w:val="-6"/>
                <w:sz w:val="14"/>
              </w:rPr>
              <w:t xml:space="preserve"> </w:t>
            </w:r>
            <w:r>
              <w:rPr>
                <w:color w:val="231F20"/>
                <w:sz w:val="14"/>
              </w:rPr>
              <w:t>за</w:t>
            </w:r>
            <w:r>
              <w:rPr>
                <w:color w:val="231F20"/>
                <w:spacing w:val="-6"/>
                <w:sz w:val="14"/>
              </w:rPr>
              <w:t xml:space="preserve"> </w:t>
            </w:r>
            <w:r>
              <w:rPr>
                <w:color w:val="231F20"/>
                <w:sz w:val="14"/>
              </w:rPr>
              <w:t>пермутације, варијације и</w:t>
            </w:r>
            <w:r>
              <w:rPr>
                <w:color w:val="231F20"/>
                <w:spacing w:val="-3"/>
                <w:sz w:val="14"/>
              </w:rPr>
              <w:t xml:space="preserve"> </w:t>
            </w:r>
            <w:r>
              <w:rPr>
                <w:color w:val="231F20"/>
                <w:sz w:val="14"/>
              </w:rPr>
              <w:t>комбинације;</w:t>
            </w:r>
          </w:p>
          <w:p w:rsidR="00041039" w:rsidRDefault="001B26CB">
            <w:pPr>
              <w:pStyle w:val="TableParagraph"/>
              <w:numPr>
                <w:ilvl w:val="0"/>
                <w:numId w:val="1177"/>
              </w:numPr>
              <w:tabs>
                <w:tab w:val="left" w:pos="157"/>
              </w:tabs>
              <w:spacing w:line="156" w:lineRule="exact"/>
              <w:ind w:hanging="99"/>
              <w:rPr>
                <w:sz w:val="14"/>
              </w:rPr>
            </w:pPr>
            <w:r>
              <w:rPr>
                <w:color w:val="231F20"/>
                <w:sz w:val="14"/>
              </w:rPr>
              <w:t>одреди пермутације у</w:t>
            </w:r>
            <w:r>
              <w:rPr>
                <w:color w:val="231F20"/>
                <w:spacing w:val="-7"/>
                <w:sz w:val="14"/>
              </w:rPr>
              <w:t xml:space="preserve"> </w:t>
            </w:r>
            <w:r>
              <w:rPr>
                <w:color w:val="231F20"/>
                <w:sz w:val="14"/>
              </w:rPr>
              <w:t>лексикограф­</w:t>
            </w:r>
          </w:p>
          <w:p w:rsidR="00041039" w:rsidRDefault="001B26CB">
            <w:pPr>
              <w:pStyle w:val="TableParagraph"/>
              <w:spacing w:line="155" w:lineRule="exact"/>
              <w:rPr>
                <w:sz w:val="14"/>
              </w:rPr>
            </w:pPr>
            <w:r>
              <w:rPr>
                <w:color w:val="231F20"/>
                <w:sz w:val="14"/>
              </w:rPr>
              <w:t>ском поретку;</w:t>
            </w:r>
          </w:p>
          <w:p w:rsidR="00041039" w:rsidRDefault="001B26CB">
            <w:pPr>
              <w:pStyle w:val="TableParagraph"/>
              <w:numPr>
                <w:ilvl w:val="0"/>
                <w:numId w:val="1177"/>
              </w:numPr>
              <w:tabs>
                <w:tab w:val="left" w:pos="157"/>
              </w:tabs>
              <w:spacing w:line="165" w:lineRule="exact"/>
              <w:ind w:hanging="99"/>
              <w:rPr>
                <w:sz w:val="14"/>
              </w:rPr>
            </w:pPr>
            <w:r>
              <w:rPr>
                <w:color w:val="231F20"/>
                <w:sz w:val="14"/>
              </w:rPr>
              <w:t>примени биномни</w:t>
            </w:r>
            <w:r>
              <w:rPr>
                <w:color w:val="231F20"/>
                <w:spacing w:val="-2"/>
                <w:sz w:val="14"/>
              </w:rPr>
              <w:t xml:space="preserve"> </w:t>
            </w:r>
            <w:r>
              <w:rPr>
                <w:color w:val="231F20"/>
                <w:sz w:val="14"/>
              </w:rPr>
              <w:t>образац;</w:t>
            </w:r>
          </w:p>
        </w:tc>
        <w:tc>
          <w:tcPr>
            <w:tcW w:w="2834" w:type="dxa"/>
          </w:tcPr>
          <w:p w:rsidR="00041039" w:rsidRDefault="001B26CB">
            <w:pPr>
              <w:pStyle w:val="TableParagraph"/>
              <w:numPr>
                <w:ilvl w:val="0"/>
                <w:numId w:val="1176"/>
              </w:numPr>
              <w:tabs>
                <w:tab w:val="left" w:pos="157"/>
              </w:tabs>
              <w:spacing w:before="10"/>
              <w:ind w:right="114" w:hanging="99"/>
              <w:rPr>
                <w:sz w:val="14"/>
              </w:rPr>
            </w:pPr>
            <w:r>
              <w:rPr>
                <w:color w:val="231F20"/>
                <w:sz w:val="14"/>
              </w:rPr>
              <w:t>Пермутације, варијације, комбинације</w:t>
            </w:r>
            <w:r>
              <w:rPr>
                <w:color w:val="231F20"/>
                <w:spacing w:val="-17"/>
                <w:sz w:val="14"/>
              </w:rPr>
              <w:t xml:space="preserve"> </w:t>
            </w:r>
            <w:r>
              <w:rPr>
                <w:color w:val="231F20"/>
                <w:sz w:val="14"/>
              </w:rPr>
              <w:t>(без понављања).</w:t>
            </w:r>
          </w:p>
          <w:p w:rsidR="00041039" w:rsidRDefault="001B26CB">
            <w:pPr>
              <w:pStyle w:val="TableParagraph"/>
              <w:numPr>
                <w:ilvl w:val="0"/>
                <w:numId w:val="1176"/>
              </w:numPr>
              <w:tabs>
                <w:tab w:val="left" w:pos="157"/>
              </w:tabs>
              <w:spacing w:line="153" w:lineRule="exact"/>
              <w:ind w:hanging="99"/>
              <w:rPr>
                <w:sz w:val="14"/>
              </w:rPr>
            </w:pPr>
            <w:r>
              <w:rPr>
                <w:color w:val="231F20"/>
                <w:sz w:val="14"/>
              </w:rPr>
              <w:t>Биномни</w:t>
            </w:r>
            <w:r>
              <w:rPr>
                <w:color w:val="231F20"/>
                <w:spacing w:val="-1"/>
                <w:sz w:val="14"/>
              </w:rPr>
              <w:t xml:space="preserve"> </w:t>
            </w:r>
            <w:r>
              <w:rPr>
                <w:color w:val="231F20"/>
                <w:sz w:val="14"/>
              </w:rPr>
              <w:t>образац.</w:t>
            </w:r>
          </w:p>
          <w:p w:rsidR="00041039" w:rsidRDefault="001B26CB">
            <w:pPr>
              <w:pStyle w:val="TableParagraph"/>
              <w:numPr>
                <w:ilvl w:val="0"/>
                <w:numId w:val="1176"/>
              </w:numPr>
              <w:tabs>
                <w:tab w:val="left" w:pos="157"/>
              </w:tabs>
              <w:spacing w:line="166" w:lineRule="exact"/>
              <w:ind w:hanging="99"/>
              <w:rPr>
                <w:sz w:val="14"/>
              </w:rPr>
            </w:pPr>
            <w:r>
              <w:rPr>
                <w:color w:val="231F20"/>
                <w:sz w:val="14"/>
              </w:rPr>
              <w:t>Комбинаторни</w:t>
            </w:r>
            <w:r>
              <w:rPr>
                <w:color w:val="231F20"/>
                <w:spacing w:val="-1"/>
                <w:sz w:val="14"/>
              </w:rPr>
              <w:t xml:space="preserve"> </w:t>
            </w:r>
            <w:r>
              <w:rPr>
                <w:color w:val="231F20"/>
                <w:sz w:val="14"/>
              </w:rPr>
              <w:t>идентитети.</w:t>
            </w:r>
          </w:p>
        </w:tc>
        <w:tc>
          <w:tcPr>
            <w:tcW w:w="2267" w:type="dxa"/>
            <w:vMerge/>
            <w:tcBorders>
              <w:top w:val="nil"/>
            </w:tcBorders>
          </w:tcPr>
          <w:p w:rsidR="00041039" w:rsidRDefault="00041039">
            <w:pPr>
              <w:rPr>
                <w:sz w:val="2"/>
                <w:szCs w:val="2"/>
              </w:rPr>
            </w:pPr>
          </w:p>
        </w:tc>
      </w:tr>
      <w:tr w:rsidR="00041039">
        <w:trPr>
          <w:trHeight w:val="2819"/>
        </w:trPr>
        <w:tc>
          <w:tcPr>
            <w:tcW w:w="1304" w:type="dxa"/>
          </w:tcPr>
          <w:p w:rsidR="00041039" w:rsidRDefault="001B26CB">
            <w:pPr>
              <w:pStyle w:val="TableParagraph"/>
              <w:spacing w:before="20"/>
              <w:ind w:left="56" w:right="37"/>
              <w:rPr>
                <w:sz w:val="14"/>
              </w:rPr>
            </w:pPr>
            <w:r>
              <w:rPr>
                <w:color w:val="231F20"/>
                <w:sz w:val="14"/>
              </w:rPr>
              <w:t>Вероватноћа и статистика</w:t>
            </w:r>
          </w:p>
        </w:tc>
        <w:tc>
          <w:tcPr>
            <w:tcW w:w="1587" w:type="dxa"/>
          </w:tcPr>
          <w:p w:rsidR="00041039" w:rsidRDefault="001B26CB">
            <w:pPr>
              <w:pStyle w:val="TableParagraph"/>
              <w:numPr>
                <w:ilvl w:val="0"/>
                <w:numId w:val="1175"/>
              </w:numPr>
              <w:tabs>
                <w:tab w:val="left" w:pos="157"/>
              </w:tabs>
              <w:spacing w:before="10"/>
              <w:ind w:right="134"/>
              <w:rPr>
                <w:sz w:val="14"/>
              </w:rPr>
            </w:pPr>
            <w:r>
              <w:rPr>
                <w:color w:val="231F20"/>
                <w:sz w:val="14"/>
              </w:rPr>
              <w:t>Стицање основних знања из</w:t>
            </w:r>
            <w:r>
              <w:rPr>
                <w:color w:val="231F20"/>
                <w:spacing w:val="-16"/>
                <w:sz w:val="14"/>
              </w:rPr>
              <w:t xml:space="preserve"> </w:t>
            </w:r>
            <w:r>
              <w:rPr>
                <w:color w:val="231F20"/>
                <w:sz w:val="14"/>
              </w:rPr>
              <w:t>вероватноће и статистичке обраде података.</w:t>
            </w:r>
          </w:p>
        </w:tc>
        <w:tc>
          <w:tcPr>
            <w:tcW w:w="2551" w:type="dxa"/>
          </w:tcPr>
          <w:p w:rsidR="00041039" w:rsidRDefault="001B26CB">
            <w:pPr>
              <w:pStyle w:val="TableParagraph"/>
              <w:numPr>
                <w:ilvl w:val="0"/>
                <w:numId w:val="1174"/>
              </w:numPr>
              <w:tabs>
                <w:tab w:val="left" w:pos="157"/>
              </w:tabs>
              <w:spacing w:before="10"/>
              <w:ind w:right="224" w:hanging="99"/>
              <w:rPr>
                <w:sz w:val="14"/>
              </w:rPr>
            </w:pPr>
            <w:r>
              <w:rPr>
                <w:color w:val="231F20"/>
                <w:sz w:val="14"/>
              </w:rPr>
              <w:t>израчуна вероватноћу</w:t>
            </w:r>
            <w:r>
              <w:rPr>
                <w:color w:val="231F20"/>
                <w:spacing w:val="-17"/>
                <w:sz w:val="14"/>
              </w:rPr>
              <w:t xml:space="preserve"> </w:t>
            </w:r>
            <w:r>
              <w:rPr>
                <w:color w:val="231F20"/>
                <w:sz w:val="14"/>
              </w:rPr>
              <w:t>елементарног догађаја;</w:t>
            </w:r>
          </w:p>
          <w:p w:rsidR="00041039" w:rsidRDefault="001B26CB">
            <w:pPr>
              <w:pStyle w:val="TableParagraph"/>
              <w:numPr>
                <w:ilvl w:val="0"/>
                <w:numId w:val="1174"/>
              </w:numPr>
              <w:tabs>
                <w:tab w:val="left" w:pos="157"/>
              </w:tabs>
              <w:spacing w:line="160" w:lineRule="exact"/>
              <w:ind w:right="69" w:hanging="99"/>
              <w:rPr>
                <w:sz w:val="14"/>
              </w:rPr>
            </w:pPr>
            <w:r>
              <w:rPr>
                <w:color w:val="231F20"/>
                <w:sz w:val="14"/>
              </w:rPr>
              <w:t>примењује основне формуле за израчунавање вероватноће</w:t>
            </w:r>
            <w:r>
              <w:rPr>
                <w:color w:val="231F20"/>
                <w:spacing w:val="-19"/>
                <w:sz w:val="14"/>
              </w:rPr>
              <w:t xml:space="preserve"> </w:t>
            </w:r>
            <w:r>
              <w:rPr>
                <w:color w:val="231F20"/>
                <w:sz w:val="14"/>
              </w:rPr>
              <w:t>дискретних догађаја;</w:t>
            </w:r>
          </w:p>
          <w:p w:rsidR="00041039" w:rsidRDefault="001B26CB">
            <w:pPr>
              <w:pStyle w:val="TableParagraph"/>
              <w:numPr>
                <w:ilvl w:val="0"/>
                <w:numId w:val="1174"/>
              </w:numPr>
              <w:tabs>
                <w:tab w:val="left" w:pos="157"/>
              </w:tabs>
              <w:spacing w:line="160" w:lineRule="exact"/>
              <w:ind w:right="79" w:hanging="99"/>
              <w:rPr>
                <w:sz w:val="14"/>
              </w:rPr>
            </w:pPr>
            <w:r>
              <w:rPr>
                <w:color w:val="231F20"/>
                <w:sz w:val="14"/>
              </w:rPr>
              <w:t>одреди расподелу вероватноће случајне променљиве и израчуна</w:t>
            </w:r>
            <w:r>
              <w:rPr>
                <w:color w:val="231F20"/>
                <w:spacing w:val="-19"/>
                <w:sz w:val="14"/>
              </w:rPr>
              <w:t xml:space="preserve"> </w:t>
            </w:r>
            <w:r>
              <w:rPr>
                <w:color w:val="231F20"/>
                <w:sz w:val="14"/>
              </w:rPr>
              <w:t>њене параметре;</w:t>
            </w:r>
          </w:p>
        </w:tc>
        <w:tc>
          <w:tcPr>
            <w:tcW w:w="2834" w:type="dxa"/>
          </w:tcPr>
          <w:p w:rsidR="00041039" w:rsidRDefault="001B26CB">
            <w:pPr>
              <w:pStyle w:val="TableParagraph"/>
              <w:numPr>
                <w:ilvl w:val="0"/>
                <w:numId w:val="1173"/>
              </w:numPr>
              <w:tabs>
                <w:tab w:val="left" w:pos="158"/>
              </w:tabs>
              <w:spacing w:before="10" w:line="166" w:lineRule="exact"/>
              <w:rPr>
                <w:sz w:val="14"/>
              </w:rPr>
            </w:pPr>
            <w:r>
              <w:rPr>
                <w:color w:val="231F20"/>
                <w:sz w:val="14"/>
              </w:rPr>
              <w:t>Случајни догађаји.</w:t>
            </w:r>
          </w:p>
          <w:p w:rsidR="00041039" w:rsidRDefault="001B26CB">
            <w:pPr>
              <w:pStyle w:val="TableParagraph"/>
              <w:numPr>
                <w:ilvl w:val="0"/>
                <w:numId w:val="1173"/>
              </w:numPr>
              <w:tabs>
                <w:tab w:val="left" w:pos="158"/>
              </w:tabs>
              <w:spacing w:line="160" w:lineRule="exact"/>
              <w:rPr>
                <w:sz w:val="14"/>
              </w:rPr>
            </w:pPr>
            <w:r>
              <w:rPr>
                <w:color w:val="231F20"/>
                <w:sz w:val="14"/>
              </w:rPr>
              <w:t>Вероватноћа и</w:t>
            </w:r>
            <w:r>
              <w:rPr>
                <w:color w:val="231F20"/>
                <w:spacing w:val="-2"/>
                <w:sz w:val="14"/>
              </w:rPr>
              <w:t xml:space="preserve"> </w:t>
            </w:r>
            <w:r>
              <w:rPr>
                <w:color w:val="231F20"/>
                <w:sz w:val="14"/>
              </w:rPr>
              <w:t>особине.</w:t>
            </w:r>
          </w:p>
          <w:p w:rsidR="00041039" w:rsidRDefault="001B26CB">
            <w:pPr>
              <w:pStyle w:val="TableParagraph"/>
              <w:numPr>
                <w:ilvl w:val="0"/>
                <w:numId w:val="1173"/>
              </w:numPr>
              <w:tabs>
                <w:tab w:val="left" w:pos="158"/>
              </w:tabs>
              <w:spacing w:line="160" w:lineRule="exact"/>
              <w:rPr>
                <w:sz w:val="14"/>
              </w:rPr>
            </w:pPr>
            <w:r>
              <w:rPr>
                <w:color w:val="231F20"/>
                <w:spacing w:val="-3"/>
                <w:sz w:val="14"/>
              </w:rPr>
              <w:t xml:space="preserve">Условна </w:t>
            </w:r>
            <w:r>
              <w:rPr>
                <w:color w:val="231F20"/>
                <w:sz w:val="14"/>
              </w:rPr>
              <w:t>вероватноћа и Бајесова</w:t>
            </w:r>
            <w:r>
              <w:rPr>
                <w:color w:val="231F20"/>
                <w:spacing w:val="-8"/>
                <w:sz w:val="14"/>
              </w:rPr>
              <w:t xml:space="preserve"> </w:t>
            </w:r>
            <w:r>
              <w:rPr>
                <w:color w:val="231F20"/>
                <w:sz w:val="14"/>
              </w:rPr>
              <w:t>формула.</w:t>
            </w:r>
          </w:p>
          <w:p w:rsidR="00041039" w:rsidRDefault="001B26CB">
            <w:pPr>
              <w:pStyle w:val="TableParagraph"/>
              <w:numPr>
                <w:ilvl w:val="0"/>
                <w:numId w:val="1173"/>
              </w:numPr>
              <w:tabs>
                <w:tab w:val="left" w:pos="158"/>
              </w:tabs>
              <w:spacing w:line="160" w:lineRule="exact"/>
              <w:rPr>
                <w:sz w:val="14"/>
              </w:rPr>
            </w:pPr>
            <w:r>
              <w:rPr>
                <w:color w:val="231F20"/>
                <w:sz w:val="14"/>
              </w:rPr>
              <w:t>Бернулијева</w:t>
            </w:r>
            <w:r>
              <w:rPr>
                <w:color w:val="231F20"/>
                <w:spacing w:val="-1"/>
                <w:sz w:val="14"/>
              </w:rPr>
              <w:t xml:space="preserve"> </w:t>
            </w:r>
            <w:r>
              <w:rPr>
                <w:color w:val="231F20"/>
                <w:sz w:val="14"/>
              </w:rPr>
              <w:t>шема.</w:t>
            </w:r>
          </w:p>
          <w:p w:rsidR="00041039" w:rsidRDefault="001B26CB">
            <w:pPr>
              <w:pStyle w:val="TableParagraph"/>
              <w:numPr>
                <w:ilvl w:val="0"/>
                <w:numId w:val="1173"/>
              </w:numPr>
              <w:tabs>
                <w:tab w:val="left" w:pos="158"/>
              </w:tabs>
              <w:spacing w:line="160" w:lineRule="exact"/>
              <w:rPr>
                <w:sz w:val="14"/>
              </w:rPr>
            </w:pPr>
            <w:r>
              <w:rPr>
                <w:color w:val="231F20"/>
                <w:sz w:val="14"/>
              </w:rPr>
              <w:t>Случајне</w:t>
            </w:r>
            <w:r>
              <w:rPr>
                <w:color w:val="231F20"/>
                <w:spacing w:val="-1"/>
                <w:sz w:val="14"/>
              </w:rPr>
              <w:t xml:space="preserve"> </w:t>
            </w:r>
            <w:r>
              <w:rPr>
                <w:color w:val="231F20"/>
                <w:sz w:val="14"/>
              </w:rPr>
              <w:t>променљиве.</w:t>
            </w:r>
          </w:p>
          <w:p w:rsidR="00041039" w:rsidRDefault="001B26CB">
            <w:pPr>
              <w:pStyle w:val="TableParagraph"/>
              <w:numPr>
                <w:ilvl w:val="0"/>
                <w:numId w:val="1173"/>
              </w:numPr>
              <w:tabs>
                <w:tab w:val="left" w:pos="158"/>
              </w:tabs>
              <w:spacing w:line="237" w:lineRule="auto"/>
              <w:ind w:right="531"/>
              <w:rPr>
                <w:sz w:val="14"/>
              </w:rPr>
            </w:pPr>
            <w:r>
              <w:rPr>
                <w:color w:val="231F20"/>
                <w:sz w:val="14"/>
              </w:rPr>
              <w:t>Расподела, математичко</w:t>
            </w:r>
            <w:r>
              <w:rPr>
                <w:color w:val="231F20"/>
                <w:spacing w:val="-29"/>
                <w:sz w:val="14"/>
              </w:rPr>
              <w:t xml:space="preserve"> </w:t>
            </w:r>
            <w:r>
              <w:rPr>
                <w:color w:val="231F20"/>
                <w:sz w:val="14"/>
              </w:rPr>
              <w:t>очекивање, дисперзија и</w:t>
            </w:r>
            <w:r>
              <w:rPr>
                <w:color w:val="231F20"/>
                <w:spacing w:val="-3"/>
                <w:sz w:val="14"/>
              </w:rPr>
              <w:t xml:space="preserve"> </w:t>
            </w:r>
            <w:r>
              <w:rPr>
                <w:color w:val="231F20"/>
                <w:sz w:val="14"/>
              </w:rPr>
              <w:t>одступање.</w:t>
            </w:r>
          </w:p>
          <w:p w:rsidR="00041039" w:rsidRDefault="001B26CB">
            <w:pPr>
              <w:pStyle w:val="TableParagraph"/>
              <w:numPr>
                <w:ilvl w:val="0"/>
                <w:numId w:val="1173"/>
              </w:numPr>
              <w:tabs>
                <w:tab w:val="left" w:pos="158"/>
              </w:tabs>
              <w:spacing w:line="161" w:lineRule="exact"/>
              <w:rPr>
                <w:sz w:val="14"/>
              </w:rPr>
            </w:pPr>
            <w:r>
              <w:rPr>
                <w:color w:val="231F20"/>
                <w:sz w:val="14"/>
              </w:rPr>
              <w:t>Основни појмови</w:t>
            </w:r>
            <w:r>
              <w:rPr>
                <w:color w:val="231F20"/>
                <w:spacing w:val="-4"/>
                <w:sz w:val="14"/>
              </w:rPr>
              <w:t xml:space="preserve"> </w:t>
            </w:r>
            <w:r>
              <w:rPr>
                <w:color w:val="231F20"/>
                <w:sz w:val="14"/>
              </w:rPr>
              <w:t>статистике.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spacing w:line="200" w:lineRule="exact"/>
        <w:ind w:left="497"/>
        <w:rPr>
          <w:b/>
          <w:sz w:val="18"/>
        </w:rPr>
      </w:pPr>
      <w:r>
        <w:rPr>
          <w:b/>
          <w:color w:val="231F20"/>
          <w:sz w:val="18"/>
        </w:rPr>
        <w:t>– Изабрана поглавља математике</w:t>
      </w:r>
    </w:p>
    <w:p w:rsidR="00041039" w:rsidRDefault="001B26CB">
      <w:pPr>
        <w:pStyle w:val="Heading2"/>
        <w:numPr>
          <w:ilvl w:val="0"/>
          <w:numId w:val="1172"/>
        </w:numPr>
        <w:tabs>
          <w:tab w:val="left" w:pos="633"/>
        </w:tabs>
      </w:pPr>
      <w:r>
        <w:rPr>
          <w:color w:val="231F20"/>
        </w:rPr>
        <w:t>Физика</w:t>
      </w:r>
    </w:p>
    <w:p w:rsidR="00041039" w:rsidRDefault="001B26CB">
      <w:pPr>
        <w:pStyle w:val="ListParagraph"/>
        <w:numPr>
          <w:ilvl w:val="0"/>
          <w:numId w:val="1172"/>
        </w:numPr>
        <w:tabs>
          <w:tab w:val="left" w:pos="633"/>
        </w:tabs>
        <w:rPr>
          <w:sz w:val="18"/>
        </w:rPr>
      </w:pPr>
      <w:r>
        <w:rPr>
          <w:color w:val="231F20"/>
          <w:spacing w:val="-3"/>
          <w:sz w:val="18"/>
        </w:rPr>
        <w:t xml:space="preserve">Техничко </w:t>
      </w:r>
      <w:r>
        <w:rPr>
          <w:color w:val="231F20"/>
          <w:sz w:val="18"/>
        </w:rPr>
        <w:t>цртање са нацртном</w:t>
      </w:r>
      <w:r>
        <w:rPr>
          <w:color w:val="231F20"/>
          <w:spacing w:val="1"/>
          <w:sz w:val="18"/>
        </w:rPr>
        <w:t xml:space="preserve"> </w:t>
      </w:r>
      <w:r>
        <w:rPr>
          <w:color w:val="231F20"/>
          <w:sz w:val="18"/>
        </w:rPr>
        <w:t>геометријом</w:t>
      </w:r>
    </w:p>
    <w:p w:rsidR="00041039" w:rsidRDefault="001B26CB">
      <w:pPr>
        <w:pStyle w:val="ListParagraph"/>
        <w:numPr>
          <w:ilvl w:val="0"/>
          <w:numId w:val="1172"/>
        </w:numPr>
        <w:tabs>
          <w:tab w:val="left" w:pos="633"/>
        </w:tabs>
        <w:rPr>
          <w:sz w:val="18"/>
        </w:rPr>
      </w:pPr>
      <w:r>
        <w:rPr>
          <w:color w:val="231F20"/>
          <w:sz w:val="18"/>
        </w:rPr>
        <w:t>Рачунарство и</w:t>
      </w:r>
      <w:r>
        <w:rPr>
          <w:color w:val="231F20"/>
          <w:spacing w:val="-2"/>
          <w:sz w:val="18"/>
        </w:rPr>
        <w:t xml:space="preserve"> </w:t>
      </w:r>
      <w:r>
        <w:rPr>
          <w:color w:val="231F20"/>
          <w:sz w:val="18"/>
        </w:rPr>
        <w:t>информатика</w:t>
      </w:r>
    </w:p>
    <w:p w:rsidR="00041039" w:rsidRDefault="001B26CB">
      <w:pPr>
        <w:pStyle w:val="ListParagraph"/>
        <w:numPr>
          <w:ilvl w:val="0"/>
          <w:numId w:val="1172"/>
        </w:numPr>
        <w:tabs>
          <w:tab w:val="left" w:pos="633"/>
        </w:tabs>
        <w:rPr>
          <w:sz w:val="18"/>
        </w:rPr>
      </w:pPr>
      <w:r>
        <w:rPr>
          <w:color w:val="231F20"/>
          <w:sz w:val="18"/>
        </w:rPr>
        <w:t>Рачунари</w:t>
      </w:r>
    </w:p>
    <w:p w:rsidR="00041039" w:rsidRDefault="001B26CB">
      <w:pPr>
        <w:pStyle w:val="ListParagraph"/>
        <w:numPr>
          <w:ilvl w:val="0"/>
          <w:numId w:val="1172"/>
        </w:numPr>
        <w:tabs>
          <w:tab w:val="left" w:pos="633"/>
        </w:tabs>
        <w:spacing w:line="203" w:lineRule="exact"/>
        <w:rPr>
          <w:sz w:val="18"/>
        </w:rPr>
      </w:pPr>
      <w:r>
        <w:rPr>
          <w:color w:val="231F20"/>
          <w:spacing w:val="-3"/>
          <w:sz w:val="18"/>
        </w:rPr>
        <w:t xml:space="preserve">Аутоматска </w:t>
      </w:r>
      <w:r>
        <w:rPr>
          <w:color w:val="231F20"/>
          <w:sz w:val="18"/>
        </w:rPr>
        <w:t>обрада</w:t>
      </w:r>
      <w:r>
        <w:rPr>
          <w:color w:val="231F20"/>
          <w:spacing w:val="1"/>
          <w:sz w:val="18"/>
        </w:rPr>
        <w:t xml:space="preserve"> </w:t>
      </w:r>
      <w:r>
        <w:rPr>
          <w:color w:val="231F20"/>
          <w:sz w:val="18"/>
        </w:rPr>
        <w:t>података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ИСТОРИЈА</w:t>
      </w:r>
    </w:p>
    <w:p w:rsidR="00041039" w:rsidRDefault="001B26CB">
      <w:pPr>
        <w:pStyle w:val="BodyText"/>
        <w:spacing w:before="49" w:line="161" w:lineRule="exact"/>
        <w:ind w:left="157"/>
      </w:pPr>
      <w:r>
        <w:rPr>
          <w:color w:val="231F20"/>
        </w:rPr>
        <w:t>Циљеви предмета: – Стицање хуманистичког образовања и развијање историјске свести;</w:t>
      </w:r>
    </w:p>
    <w:p w:rsidR="00041039" w:rsidRDefault="001B26CB">
      <w:pPr>
        <w:pStyle w:val="ListParagraph"/>
        <w:numPr>
          <w:ilvl w:val="1"/>
          <w:numId w:val="1172"/>
        </w:numPr>
        <w:tabs>
          <w:tab w:val="left" w:pos="1566"/>
        </w:tabs>
        <w:spacing w:line="160" w:lineRule="exact"/>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7"/>
          <w:sz w:val="14"/>
        </w:rPr>
        <w:t xml:space="preserve"> </w:t>
      </w:r>
      <w:r>
        <w:rPr>
          <w:color w:val="231F20"/>
          <w:sz w:val="14"/>
        </w:rPr>
        <w:t>личности;</w:t>
      </w:r>
    </w:p>
    <w:p w:rsidR="00041039" w:rsidRDefault="001B26CB">
      <w:pPr>
        <w:pStyle w:val="ListParagraph"/>
        <w:numPr>
          <w:ilvl w:val="1"/>
          <w:numId w:val="1172"/>
        </w:numPr>
        <w:tabs>
          <w:tab w:val="left" w:pos="1566"/>
        </w:tabs>
        <w:spacing w:line="160" w:lineRule="exact"/>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041039" w:rsidRDefault="001B26CB">
      <w:pPr>
        <w:pStyle w:val="ListParagraph"/>
        <w:numPr>
          <w:ilvl w:val="1"/>
          <w:numId w:val="1172"/>
        </w:numPr>
        <w:tabs>
          <w:tab w:val="left" w:pos="1566"/>
        </w:tabs>
        <w:spacing w:line="240" w:lineRule="auto"/>
        <w:ind w:right="255"/>
        <w:rPr>
          <w:sz w:val="14"/>
        </w:rPr>
      </w:pPr>
      <w:r>
        <w:rPr>
          <w:color w:val="231F20"/>
          <w:sz w:val="14"/>
        </w:rPr>
        <w:t>Стицање</w:t>
      </w:r>
      <w:r>
        <w:rPr>
          <w:color w:val="231F20"/>
          <w:spacing w:val="-4"/>
          <w:sz w:val="14"/>
        </w:rPr>
        <w:t xml:space="preserve"> </w:t>
      </w:r>
      <w:r>
        <w:rPr>
          <w:color w:val="231F20"/>
          <w:sz w:val="14"/>
        </w:rPr>
        <w:t>и</w:t>
      </w:r>
      <w:r>
        <w:rPr>
          <w:color w:val="231F20"/>
          <w:spacing w:val="-5"/>
          <w:sz w:val="14"/>
        </w:rPr>
        <w:t xml:space="preserve"> </w:t>
      </w:r>
      <w:r>
        <w:rPr>
          <w:color w:val="231F20"/>
          <w:sz w:val="14"/>
        </w:rPr>
        <w:t>проширивање</w:t>
      </w:r>
      <w:r>
        <w:rPr>
          <w:color w:val="231F20"/>
          <w:spacing w:val="-4"/>
          <w:sz w:val="14"/>
        </w:rPr>
        <w:t xml:space="preserve"> </w:t>
      </w:r>
      <w:r>
        <w:rPr>
          <w:color w:val="231F20"/>
          <w:sz w:val="14"/>
        </w:rPr>
        <w:t>знања,</w:t>
      </w:r>
      <w:r>
        <w:rPr>
          <w:color w:val="231F20"/>
          <w:spacing w:val="-5"/>
          <w:sz w:val="14"/>
        </w:rPr>
        <w:t xml:space="preserve"> </w:t>
      </w:r>
      <w:r>
        <w:rPr>
          <w:color w:val="231F20"/>
          <w:sz w:val="14"/>
        </w:rPr>
        <w:t>развијање</w:t>
      </w:r>
      <w:r>
        <w:rPr>
          <w:color w:val="231F20"/>
          <w:spacing w:val="-4"/>
          <w:sz w:val="14"/>
        </w:rPr>
        <w:t xml:space="preserve"> </w:t>
      </w:r>
      <w:r>
        <w:rPr>
          <w:color w:val="231F20"/>
          <w:sz w:val="14"/>
        </w:rPr>
        <w:t>вештина</w:t>
      </w:r>
      <w:r>
        <w:rPr>
          <w:color w:val="231F20"/>
          <w:spacing w:val="-4"/>
          <w:sz w:val="14"/>
        </w:rPr>
        <w:t xml:space="preserve"> </w:t>
      </w:r>
      <w:r>
        <w:rPr>
          <w:color w:val="231F20"/>
          <w:sz w:val="14"/>
        </w:rPr>
        <w:t>и</w:t>
      </w:r>
      <w:r>
        <w:rPr>
          <w:color w:val="231F20"/>
          <w:spacing w:val="-5"/>
          <w:sz w:val="14"/>
        </w:rPr>
        <w:t xml:space="preserve"> </w:t>
      </w:r>
      <w:r>
        <w:rPr>
          <w:color w:val="231F20"/>
          <w:sz w:val="14"/>
        </w:rPr>
        <w:t>формирање</w:t>
      </w:r>
      <w:r>
        <w:rPr>
          <w:color w:val="231F20"/>
          <w:spacing w:val="-4"/>
          <w:sz w:val="14"/>
        </w:rPr>
        <w:t xml:space="preserve"> </w:t>
      </w:r>
      <w:r>
        <w:rPr>
          <w:color w:val="231F20"/>
          <w:sz w:val="14"/>
        </w:rPr>
        <w:t>ставова</w:t>
      </w:r>
      <w:r>
        <w:rPr>
          <w:color w:val="231F20"/>
          <w:spacing w:val="-4"/>
          <w:sz w:val="14"/>
        </w:rPr>
        <w:t xml:space="preserve"> </w:t>
      </w:r>
      <w:r>
        <w:rPr>
          <w:color w:val="231F20"/>
          <w:sz w:val="14"/>
        </w:rPr>
        <w:t>неопходних</w:t>
      </w:r>
      <w:r>
        <w:rPr>
          <w:color w:val="231F20"/>
          <w:spacing w:val="-4"/>
          <w:sz w:val="14"/>
        </w:rPr>
        <w:t xml:space="preserve"> </w:t>
      </w:r>
      <w:r>
        <w:rPr>
          <w:color w:val="231F20"/>
          <w:sz w:val="14"/>
        </w:rPr>
        <w:t>за</w:t>
      </w:r>
      <w:r>
        <w:rPr>
          <w:color w:val="231F20"/>
          <w:spacing w:val="-5"/>
          <w:sz w:val="14"/>
        </w:rPr>
        <w:t xml:space="preserve"> </w:t>
      </w:r>
      <w:r>
        <w:rPr>
          <w:color w:val="231F20"/>
          <w:sz w:val="14"/>
        </w:rPr>
        <w:t>разумевање</w:t>
      </w:r>
      <w:r>
        <w:rPr>
          <w:color w:val="231F20"/>
          <w:spacing w:val="-4"/>
          <w:sz w:val="14"/>
        </w:rPr>
        <w:t xml:space="preserve"> </w:t>
      </w:r>
      <w:r>
        <w:rPr>
          <w:color w:val="231F20"/>
          <w:sz w:val="14"/>
        </w:rPr>
        <w:t>савременог</w:t>
      </w:r>
      <w:r>
        <w:rPr>
          <w:color w:val="231F20"/>
          <w:spacing w:val="-4"/>
          <w:sz w:val="14"/>
        </w:rPr>
        <w:t xml:space="preserve"> </w:t>
      </w:r>
      <w:r>
        <w:rPr>
          <w:color w:val="231F20"/>
          <w:sz w:val="14"/>
        </w:rPr>
        <w:t>света</w:t>
      </w:r>
      <w:r>
        <w:rPr>
          <w:color w:val="231F20"/>
          <w:spacing w:val="-4"/>
          <w:sz w:val="14"/>
        </w:rPr>
        <w:t xml:space="preserve"> </w:t>
      </w:r>
      <w:r>
        <w:rPr>
          <w:color w:val="231F20"/>
          <w:sz w:val="14"/>
        </w:rPr>
        <w:t>(у</w:t>
      </w:r>
      <w:r>
        <w:rPr>
          <w:color w:val="231F20"/>
          <w:spacing w:val="-4"/>
          <w:sz w:val="14"/>
        </w:rPr>
        <w:t xml:space="preserve"> </w:t>
      </w:r>
      <w:r>
        <w:rPr>
          <w:color w:val="231F20"/>
          <w:sz w:val="14"/>
        </w:rPr>
        <w:t>националном,</w:t>
      </w:r>
      <w:r>
        <w:rPr>
          <w:color w:val="231F20"/>
          <w:spacing w:val="-4"/>
          <w:sz w:val="14"/>
        </w:rPr>
        <w:t xml:space="preserve"> </w:t>
      </w:r>
      <w:r>
        <w:rPr>
          <w:color w:val="231F20"/>
          <w:sz w:val="14"/>
        </w:rPr>
        <w:t>регионалном. европском и глобалном</w:t>
      </w:r>
      <w:r>
        <w:rPr>
          <w:color w:val="231F20"/>
          <w:spacing w:val="-2"/>
          <w:sz w:val="14"/>
        </w:rPr>
        <w:t xml:space="preserve"> </w:t>
      </w:r>
      <w:r>
        <w:rPr>
          <w:color w:val="231F20"/>
          <w:sz w:val="14"/>
        </w:rPr>
        <w:t>оквиру);</w:t>
      </w:r>
    </w:p>
    <w:p w:rsidR="00041039" w:rsidRDefault="001B26CB">
      <w:pPr>
        <w:pStyle w:val="ListParagraph"/>
        <w:numPr>
          <w:ilvl w:val="1"/>
          <w:numId w:val="1172"/>
        </w:numPr>
        <w:tabs>
          <w:tab w:val="left" w:pos="1566"/>
        </w:tabs>
        <w:spacing w:line="240" w:lineRule="auto"/>
        <w:ind w:right="459"/>
        <w:rPr>
          <w:sz w:val="14"/>
        </w:rPr>
      </w:pPr>
      <w:r>
        <w:rPr>
          <w:color w:val="231F20"/>
          <w:sz w:val="14"/>
        </w:rPr>
        <w:t>Унапређивање функционалних вештина и компетенција неопходних за живот у савременом друштву (истраживачких вештина, критичког и креа­ тивног</w:t>
      </w:r>
      <w:r>
        <w:rPr>
          <w:color w:val="231F20"/>
          <w:spacing w:val="-5"/>
          <w:sz w:val="14"/>
        </w:rPr>
        <w:t xml:space="preserve"> </w:t>
      </w:r>
      <w:r>
        <w:rPr>
          <w:color w:val="231F20"/>
          <w:sz w:val="14"/>
        </w:rPr>
        <w:t>мишљења,</w:t>
      </w:r>
      <w:r>
        <w:rPr>
          <w:color w:val="231F20"/>
          <w:spacing w:val="-5"/>
          <w:sz w:val="14"/>
        </w:rPr>
        <w:t xml:space="preserve"> </w:t>
      </w:r>
      <w:r>
        <w:rPr>
          <w:color w:val="231F20"/>
          <w:sz w:val="14"/>
        </w:rPr>
        <w:t>способности</w:t>
      </w:r>
      <w:r>
        <w:rPr>
          <w:color w:val="231F20"/>
          <w:spacing w:val="-5"/>
          <w:sz w:val="14"/>
        </w:rPr>
        <w:t xml:space="preserve"> </w:t>
      </w:r>
      <w:r>
        <w:rPr>
          <w:color w:val="231F20"/>
          <w:sz w:val="14"/>
        </w:rPr>
        <w:t>изражавања</w:t>
      </w:r>
      <w:r>
        <w:rPr>
          <w:color w:val="231F20"/>
          <w:spacing w:val="-5"/>
          <w:sz w:val="14"/>
        </w:rPr>
        <w:t xml:space="preserve"> </w:t>
      </w:r>
      <w:r>
        <w:rPr>
          <w:color w:val="231F20"/>
          <w:sz w:val="14"/>
        </w:rPr>
        <w:t>и</w:t>
      </w:r>
      <w:r>
        <w:rPr>
          <w:color w:val="231F20"/>
          <w:spacing w:val="-6"/>
          <w:sz w:val="14"/>
        </w:rPr>
        <w:t xml:space="preserve"> </w:t>
      </w:r>
      <w:r>
        <w:rPr>
          <w:color w:val="231F20"/>
          <w:sz w:val="14"/>
        </w:rPr>
        <w:t>образлагања</w:t>
      </w:r>
      <w:r>
        <w:rPr>
          <w:color w:val="231F20"/>
          <w:spacing w:val="-5"/>
          <w:sz w:val="14"/>
        </w:rPr>
        <w:t xml:space="preserve"> </w:t>
      </w:r>
      <w:r>
        <w:rPr>
          <w:color w:val="231F20"/>
          <w:sz w:val="14"/>
        </w:rPr>
        <w:t>сопствених</w:t>
      </w:r>
      <w:r>
        <w:rPr>
          <w:color w:val="231F20"/>
          <w:spacing w:val="-5"/>
          <w:sz w:val="14"/>
        </w:rPr>
        <w:t xml:space="preserve"> </w:t>
      </w:r>
      <w:r>
        <w:rPr>
          <w:color w:val="231F20"/>
          <w:sz w:val="14"/>
        </w:rPr>
        <w:t>ставова,</w:t>
      </w:r>
      <w:r>
        <w:rPr>
          <w:color w:val="231F20"/>
          <w:spacing w:val="-5"/>
          <w:sz w:val="14"/>
        </w:rPr>
        <w:t xml:space="preserve"> </w:t>
      </w:r>
      <w:r>
        <w:rPr>
          <w:color w:val="231F20"/>
          <w:sz w:val="14"/>
        </w:rPr>
        <w:t>разумевање</w:t>
      </w:r>
      <w:r>
        <w:rPr>
          <w:color w:val="231F20"/>
          <w:spacing w:val="-5"/>
          <w:sz w:val="14"/>
        </w:rPr>
        <w:t xml:space="preserve"> </w:t>
      </w:r>
      <w:r>
        <w:rPr>
          <w:color w:val="231F20"/>
          <w:sz w:val="14"/>
        </w:rPr>
        <w:t>мултикултуралности,</w:t>
      </w:r>
      <w:r>
        <w:rPr>
          <w:color w:val="231F20"/>
          <w:spacing w:val="-5"/>
          <w:sz w:val="14"/>
        </w:rPr>
        <w:t xml:space="preserve"> </w:t>
      </w:r>
      <w:r>
        <w:rPr>
          <w:color w:val="231F20"/>
          <w:sz w:val="14"/>
        </w:rPr>
        <w:t>развијање</w:t>
      </w:r>
      <w:r>
        <w:rPr>
          <w:color w:val="231F20"/>
          <w:spacing w:val="-5"/>
          <w:sz w:val="14"/>
        </w:rPr>
        <w:t xml:space="preserve"> </w:t>
      </w:r>
      <w:r>
        <w:rPr>
          <w:color w:val="231F20"/>
          <w:sz w:val="14"/>
        </w:rPr>
        <w:t>толеранци</w:t>
      </w:r>
      <w:r>
        <w:rPr>
          <w:color w:val="231F20"/>
          <w:sz w:val="14"/>
        </w:rPr>
        <w:t>је</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културе аргументованог</w:t>
      </w:r>
      <w:r>
        <w:rPr>
          <w:color w:val="231F20"/>
          <w:spacing w:val="-1"/>
          <w:sz w:val="14"/>
        </w:rPr>
        <w:t xml:space="preserve"> </w:t>
      </w:r>
      <w:r>
        <w:rPr>
          <w:color w:val="231F20"/>
          <w:sz w:val="14"/>
        </w:rPr>
        <w:t>дијалога);</w:t>
      </w:r>
    </w:p>
    <w:p w:rsidR="00041039" w:rsidRDefault="001B26CB">
      <w:pPr>
        <w:pStyle w:val="ListParagraph"/>
        <w:numPr>
          <w:ilvl w:val="1"/>
          <w:numId w:val="1172"/>
        </w:numPr>
        <w:tabs>
          <w:tab w:val="left" w:pos="1566"/>
        </w:tabs>
        <w:spacing w:line="158" w:lineRule="exact"/>
        <w:rPr>
          <w:sz w:val="14"/>
        </w:rPr>
      </w:pPr>
      <w:r>
        <w:rPr>
          <w:color w:val="231F20"/>
          <w:sz w:val="14"/>
        </w:rPr>
        <w:t>Оспособљавање за ефикасно коришћење информационо ­ комуникационих</w:t>
      </w:r>
      <w:r>
        <w:rPr>
          <w:color w:val="231F20"/>
          <w:spacing w:val="-5"/>
          <w:sz w:val="14"/>
        </w:rPr>
        <w:t xml:space="preserve"> </w:t>
      </w:r>
      <w:r>
        <w:rPr>
          <w:color w:val="231F20"/>
          <w:sz w:val="14"/>
        </w:rPr>
        <w:t>технологија;</w:t>
      </w:r>
    </w:p>
    <w:p w:rsidR="00041039" w:rsidRDefault="001B26CB">
      <w:pPr>
        <w:pStyle w:val="ListParagraph"/>
        <w:numPr>
          <w:ilvl w:val="1"/>
          <w:numId w:val="1172"/>
        </w:numPr>
        <w:tabs>
          <w:tab w:val="left" w:pos="1566"/>
        </w:tabs>
        <w:spacing w:line="161" w:lineRule="exact"/>
        <w:rPr>
          <w:sz w:val="14"/>
        </w:rPr>
      </w:pPr>
      <w:r>
        <w:rPr>
          <w:color w:val="231F20"/>
          <w:sz w:val="14"/>
        </w:rPr>
        <w:t>Развијање свести о потреби сталног усавршавања и свести о важности неговања културно ­ историјске</w:t>
      </w:r>
      <w:r>
        <w:rPr>
          <w:color w:val="231F20"/>
          <w:spacing w:val="-10"/>
          <w:sz w:val="14"/>
        </w:rPr>
        <w:t xml:space="preserve"> </w:t>
      </w:r>
      <w:r>
        <w:rPr>
          <w:color w:val="231F20"/>
          <w:sz w:val="14"/>
        </w:rPr>
        <w:t>баштине.</w:t>
      </w:r>
    </w:p>
    <w:p w:rsidR="00041039" w:rsidRDefault="001B26CB">
      <w:pPr>
        <w:tabs>
          <w:tab w:val="left" w:pos="1460"/>
        </w:tabs>
        <w:spacing w:before="47"/>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280"/>
        </w:trPr>
        <w:tc>
          <w:tcPr>
            <w:tcW w:w="1304" w:type="dxa"/>
          </w:tcPr>
          <w:p w:rsidR="00041039" w:rsidRDefault="001B26CB">
            <w:pPr>
              <w:pStyle w:val="TableParagraph"/>
              <w:spacing w:before="18"/>
              <w:ind w:left="56" w:right="37"/>
              <w:rPr>
                <w:sz w:val="14"/>
              </w:rPr>
            </w:pPr>
            <w:r>
              <w:rPr>
                <w:color w:val="231F20"/>
                <w:sz w:val="14"/>
              </w:rPr>
              <w:t>Српска држава и државност</w:t>
            </w:r>
          </w:p>
        </w:tc>
        <w:tc>
          <w:tcPr>
            <w:tcW w:w="1587" w:type="dxa"/>
          </w:tcPr>
          <w:p w:rsidR="00041039" w:rsidRDefault="001B26CB">
            <w:pPr>
              <w:pStyle w:val="TableParagraph"/>
              <w:numPr>
                <w:ilvl w:val="0"/>
                <w:numId w:val="1171"/>
              </w:numPr>
              <w:tabs>
                <w:tab w:val="left" w:pos="157"/>
              </w:tabs>
              <w:spacing w:before="8"/>
              <w:ind w:right="72"/>
              <w:rPr>
                <w:sz w:val="14"/>
              </w:rPr>
            </w:pPr>
            <w:r>
              <w:rPr>
                <w:color w:val="231F20"/>
                <w:sz w:val="14"/>
              </w:rPr>
              <w:t>Проширивање знања о настанку модерне српске државе и најважнијим</w:t>
            </w:r>
            <w:r>
              <w:rPr>
                <w:color w:val="231F20"/>
                <w:spacing w:val="-12"/>
                <w:sz w:val="14"/>
              </w:rPr>
              <w:t xml:space="preserve"> </w:t>
            </w:r>
            <w:r>
              <w:rPr>
                <w:color w:val="231F20"/>
                <w:sz w:val="14"/>
              </w:rPr>
              <w:t>одликама српске</w:t>
            </w:r>
            <w:r>
              <w:rPr>
                <w:color w:val="231F20"/>
                <w:spacing w:val="-1"/>
                <w:sz w:val="14"/>
              </w:rPr>
              <w:t xml:space="preserve"> </w:t>
            </w:r>
            <w:r>
              <w:rPr>
                <w:color w:val="231F20"/>
                <w:sz w:val="14"/>
              </w:rPr>
              <w:t>државности.</w:t>
            </w:r>
          </w:p>
          <w:p w:rsidR="00041039" w:rsidRDefault="001B26CB">
            <w:pPr>
              <w:pStyle w:val="TableParagraph"/>
              <w:numPr>
                <w:ilvl w:val="0"/>
                <w:numId w:val="1171"/>
              </w:numPr>
              <w:tabs>
                <w:tab w:val="left" w:pos="157"/>
              </w:tabs>
              <w:spacing w:line="155" w:lineRule="exact"/>
              <w:rPr>
                <w:sz w:val="14"/>
              </w:rPr>
            </w:pPr>
            <w:r>
              <w:rPr>
                <w:color w:val="231F20"/>
                <w:sz w:val="14"/>
              </w:rPr>
              <w:t>Развијање свести</w:t>
            </w:r>
            <w:r>
              <w:rPr>
                <w:color w:val="231F20"/>
                <w:spacing w:val="-3"/>
                <w:sz w:val="14"/>
              </w:rPr>
              <w:t xml:space="preserve"> </w:t>
            </w:r>
            <w:r>
              <w:rPr>
                <w:color w:val="231F20"/>
                <w:sz w:val="14"/>
              </w:rPr>
              <w:t>о</w:t>
            </w:r>
          </w:p>
          <w:p w:rsidR="00041039" w:rsidRDefault="001B26CB">
            <w:pPr>
              <w:pStyle w:val="TableParagraph"/>
              <w:ind w:right="15"/>
              <w:rPr>
                <w:sz w:val="14"/>
              </w:rPr>
            </w:pPr>
            <w:r>
              <w:rPr>
                <w:color w:val="231F20"/>
                <w:sz w:val="14"/>
              </w:rPr>
              <w:t>значају средњовековне државности за наста­ нак модерне српске државе.</w:t>
            </w:r>
          </w:p>
          <w:p w:rsidR="00041039" w:rsidRDefault="001B26CB">
            <w:pPr>
              <w:pStyle w:val="TableParagraph"/>
              <w:numPr>
                <w:ilvl w:val="0"/>
                <w:numId w:val="1171"/>
              </w:numPr>
              <w:tabs>
                <w:tab w:val="left" w:pos="157"/>
              </w:tabs>
              <w:spacing w:line="157" w:lineRule="exact"/>
              <w:rPr>
                <w:sz w:val="14"/>
              </w:rPr>
            </w:pPr>
            <w:r>
              <w:rPr>
                <w:color w:val="231F20"/>
                <w:spacing w:val="-3"/>
                <w:sz w:val="14"/>
              </w:rPr>
              <w:t>Уочавање</w:t>
            </w:r>
            <w:r>
              <w:rPr>
                <w:color w:val="231F20"/>
                <w:sz w:val="14"/>
              </w:rPr>
              <w:t xml:space="preserve"> </w:t>
            </w:r>
            <w:r>
              <w:rPr>
                <w:color w:val="231F20"/>
                <w:spacing w:val="-3"/>
                <w:sz w:val="14"/>
              </w:rPr>
              <w:t>улоге</w:t>
            </w:r>
          </w:p>
          <w:p w:rsidR="00041039" w:rsidRDefault="001B26CB">
            <w:pPr>
              <w:pStyle w:val="TableParagraph"/>
              <w:ind w:right="108"/>
              <w:rPr>
                <w:sz w:val="14"/>
              </w:rPr>
            </w:pPr>
            <w:r>
              <w:rPr>
                <w:color w:val="231F20"/>
                <w:sz w:val="14"/>
              </w:rPr>
              <w:t>знаменитих личности у развоју српске државности.</w:t>
            </w:r>
          </w:p>
          <w:p w:rsidR="00041039" w:rsidRDefault="001B26CB">
            <w:pPr>
              <w:pStyle w:val="TableParagraph"/>
              <w:numPr>
                <w:ilvl w:val="0"/>
                <w:numId w:val="1171"/>
              </w:numPr>
              <w:tabs>
                <w:tab w:val="left" w:pos="157"/>
              </w:tabs>
              <w:spacing w:line="158" w:lineRule="exact"/>
              <w:rPr>
                <w:sz w:val="14"/>
              </w:rPr>
            </w:pPr>
            <w:r>
              <w:rPr>
                <w:color w:val="231F20"/>
                <w:sz w:val="14"/>
              </w:rPr>
              <w:t>Разумевање</w:t>
            </w:r>
            <w:r>
              <w:rPr>
                <w:color w:val="231F20"/>
                <w:spacing w:val="-5"/>
                <w:sz w:val="14"/>
              </w:rPr>
              <w:t xml:space="preserve"> </w:t>
            </w:r>
            <w:r>
              <w:rPr>
                <w:color w:val="231F20"/>
                <w:sz w:val="14"/>
              </w:rPr>
              <w:t>најзначај­</w:t>
            </w:r>
          </w:p>
          <w:p w:rsidR="00041039" w:rsidRDefault="001B26CB">
            <w:pPr>
              <w:pStyle w:val="TableParagraph"/>
              <w:ind w:right="15"/>
              <w:rPr>
                <w:sz w:val="14"/>
              </w:rPr>
            </w:pPr>
            <w:r>
              <w:rPr>
                <w:color w:val="231F20"/>
                <w:sz w:val="14"/>
              </w:rPr>
              <w:t>нијих идеја модерног доба и њиховог ути­ цаја у процесу ства­ рања српске државе.</w:t>
            </w:r>
          </w:p>
          <w:p w:rsidR="00041039" w:rsidRDefault="001B26CB">
            <w:pPr>
              <w:pStyle w:val="TableParagraph"/>
              <w:numPr>
                <w:ilvl w:val="0"/>
                <w:numId w:val="1171"/>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међуна­</w:t>
            </w:r>
          </w:p>
          <w:p w:rsidR="00041039" w:rsidRDefault="001B26CB">
            <w:pPr>
              <w:pStyle w:val="TableParagraph"/>
              <w:ind w:right="15"/>
              <w:rPr>
                <w:sz w:val="14"/>
              </w:rPr>
            </w:pPr>
            <w:r>
              <w:rPr>
                <w:color w:val="231F20"/>
                <w:sz w:val="14"/>
              </w:rPr>
              <w:t>родног контекста у коме настаје и постоји српска држава.</w:t>
            </w:r>
          </w:p>
        </w:tc>
        <w:tc>
          <w:tcPr>
            <w:tcW w:w="2551" w:type="dxa"/>
          </w:tcPr>
          <w:p w:rsidR="00041039" w:rsidRDefault="001B26CB">
            <w:pPr>
              <w:pStyle w:val="TableParagraph"/>
              <w:numPr>
                <w:ilvl w:val="0"/>
                <w:numId w:val="1170"/>
              </w:numPr>
              <w:tabs>
                <w:tab w:val="left" w:pos="157"/>
              </w:tabs>
              <w:spacing w:before="8"/>
              <w:ind w:right="206" w:hanging="99"/>
              <w:rPr>
                <w:sz w:val="14"/>
              </w:rPr>
            </w:pPr>
            <w:r>
              <w:rPr>
                <w:color w:val="231F20"/>
                <w:sz w:val="14"/>
              </w:rPr>
              <w:t>препозна различите историјске садржаје (личности, догађаје, појаве и процесе) и доведе их увезу са одговарајућом временском</w:t>
            </w:r>
            <w:r>
              <w:rPr>
                <w:color w:val="231F20"/>
                <w:spacing w:val="-28"/>
                <w:sz w:val="14"/>
              </w:rPr>
              <w:t xml:space="preserve"> </w:t>
            </w:r>
            <w:r>
              <w:rPr>
                <w:color w:val="231F20"/>
                <w:sz w:val="14"/>
              </w:rPr>
              <w:t>одредни­ цом и историјским</w:t>
            </w:r>
            <w:r>
              <w:rPr>
                <w:color w:val="231F20"/>
                <w:spacing w:val="-5"/>
                <w:sz w:val="14"/>
              </w:rPr>
              <w:t xml:space="preserve"> </w:t>
            </w:r>
            <w:r>
              <w:rPr>
                <w:color w:val="231F20"/>
                <w:sz w:val="14"/>
              </w:rPr>
              <w:t>периодом;</w:t>
            </w:r>
          </w:p>
          <w:p w:rsidR="00041039" w:rsidRDefault="001B26CB">
            <w:pPr>
              <w:pStyle w:val="TableParagraph"/>
              <w:numPr>
                <w:ilvl w:val="0"/>
                <w:numId w:val="1170"/>
              </w:numPr>
              <w:tabs>
                <w:tab w:val="left" w:pos="157"/>
              </w:tabs>
              <w:spacing w:line="155" w:lineRule="exact"/>
              <w:ind w:hanging="99"/>
              <w:rPr>
                <w:sz w:val="14"/>
              </w:rPr>
            </w:pPr>
            <w:r>
              <w:rPr>
                <w:color w:val="231F20"/>
                <w:sz w:val="14"/>
              </w:rPr>
              <w:t>разликује периоде у којима</w:t>
            </w:r>
            <w:r>
              <w:rPr>
                <w:color w:val="231F20"/>
                <w:spacing w:val="-4"/>
                <w:sz w:val="14"/>
              </w:rPr>
              <w:t xml:space="preserve"> </w:t>
            </w:r>
            <w:r>
              <w:rPr>
                <w:color w:val="231F20"/>
                <w:sz w:val="14"/>
              </w:rPr>
              <w:t>је</w:t>
            </w:r>
          </w:p>
          <w:p w:rsidR="00041039" w:rsidRDefault="001B26CB">
            <w:pPr>
              <w:pStyle w:val="TableParagraph"/>
              <w:ind w:right="207"/>
              <w:rPr>
                <w:sz w:val="14"/>
              </w:rPr>
            </w:pPr>
            <w:r>
              <w:rPr>
                <w:color w:val="231F20"/>
                <w:sz w:val="14"/>
              </w:rPr>
              <w:t>постојала, престала да постоји и по­ ново настала српска држава;</w:t>
            </w:r>
          </w:p>
          <w:p w:rsidR="00041039" w:rsidRDefault="001B26CB">
            <w:pPr>
              <w:pStyle w:val="TableParagraph"/>
              <w:numPr>
                <w:ilvl w:val="0"/>
                <w:numId w:val="1170"/>
              </w:numPr>
              <w:tabs>
                <w:tab w:val="left" w:pos="157"/>
              </w:tabs>
              <w:spacing w:line="160" w:lineRule="exact"/>
              <w:ind w:right="167" w:hanging="99"/>
              <w:rPr>
                <w:sz w:val="14"/>
              </w:rPr>
            </w:pPr>
            <w:r>
              <w:rPr>
                <w:color w:val="231F20"/>
                <w:sz w:val="14"/>
              </w:rPr>
              <w:t>наведе и упореди одлике српске државности у средњем и новом</w:t>
            </w:r>
            <w:r>
              <w:rPr>
                <w:color w:val="231F20"/>
                <w:spacing w:val="-12"/>
                <w:sz w:val="14"/>
              </w:rPr>
              <w:t xml:space="preserve"> </w:t>
            </w:r>
            <w:r>
              <w:rPr>
                <w:color w:val="231F20"/>
                <w:sz w:val="14"/>
              </w:rPr>
              <w:t>веку;</w:t>
            </w:r>
          </w:p>
          <w:p w:rsidR="00041039" w:rsidRDefault="001B26CB">
            <w:pPr>
              <w:pStyle w:val="TableParagraph"/>
              <w:numPr>
                <w:ilvl w:val="0"/>
                <w:numId w:val="1170"/>
              </w:numPr>
              <w:tabs>
                <w:tab w:val="left" w:pos="157"/>
              </w:tabs>
              <w:spacing w:line="160" w:lineRule="exact"/>
              <w:ind w:right="119" w:hanging="99"/>
              <w:rPr>
                <w:sz w:val="14"/>
              </w:rPr>
            </w:pPr>
            <w:r>
              <w:rPr>
                <w:color w:val="231F20"/>
                <w:sz w:val="14"/>
              </w:rPr>
              <w:t>уочи утицај европских</w:t>
            </w:r>
            <w:r>
              <w:rPr>
                <w:color w:val="231F20"/>
                <w:spacing w:val="-18"/>
                <w:sz w:val="14"/>
              </w:rPr>
              <w:t xml:space="preserve"> </w:t>
            </w:r>
            <w:r>
              <w:rPr>
                <w:color w:val="231F20"/>
                <w:sz w:val="14"/>
              </w:rPr>
              <w:t>револуционар­ них збивања на развој српске нацио­ налне и државне</w:t>
            </w:r>
            <w:r>
              <w:rPr>
                <w:color w:val="231F20"/>
                <w:spacing w:val="-3"/>
                <w:sz w:val="14"/>
              </w:rPr>
              <w:t xml:space="preserve"> </w:t>
            </w:r>
            <w:r>
              <w:rPr>
                <w:color w:val="231F20"/>
                <w:sz w:val="14"/>
              </w:rPr>
              <w:t>идеје;</w:t>
            </w:r>
          </w:p>
          <w:p w:rsidR="00041039" w:rsidRDefault="001B26CB">
            <w:pPr>
              <w:pStyle w:val="TableParagraph"/>
              <w:numPr>
                <w:ilvl w:val="0"/>
                <w:numId w:val="1170"/>
              </w:numPr>
              <w:tabs>
                <w:tab w:val="left" w:pos="157"/>
              </w:tabs>
              <w:spacing w:line="160" w:lineRule="exact"/>
              <w:ind w:right="268" w:hanging="99"/>
              <w:rPr>
                <w:sz w:val="14"/>
              </w:rPr>
            </w:pPr>
            <w:r>
              <w:rPr>
                <w:color w:val="231F20"/>
                <w:sz w:val="14"/>
              </w:rPr>
              <w:t>објасни узроке и последице</w:t>
            </w:r>
            <w:r>
              <w:rPr>
                <w:color w:val="231F20"/>
                <w:spacing w:val="-9"/>
                <w:sz w:val="14"/>
              </w:rPr>
              <w:t xml:space="preserve"> </w:t>
            </w:r>
            <w:r>
              <w:rPr>
                <w:color w:val="231F20"/>
                <w:sz w:val="14"/>
              </w:rPr>
              <w:t>Српске револуције, ослободилачких</w:t>
            </w:r>
            <w:r>
              <w:rPr>
                <w:color w:val="231F20"/>
                <w:spacing w:val="-23"/>
                <w:sz w:val="14"/>
              </w:rPr>
              <w:t xml:space="preserve"> </w:t>
            </w:r>
            <w:r>
              <w:rPr>
                <w:color w:val="231F20"/>
                <w:sz w:val="14"/>
              </w:rPr>
              <w:t>ратова 1876 ­ 1878, Балканских ратова и Првог светског</w:t>
            </w:r>
            <w:r>
              <w:rPr>
                <w:color w:val="231F20"/>
                <w:spacing w:val="-2"/>
                <w:sz w:val="14"/>
              </w:rPr>
              <w:t xml:space="preserve"> </w:t>
            </w:r>
            <w:r>
              <w:rPr>
                <w:color w:val="231F20"/>
                <w:sz w:val="14"/>
              </w:rPr>
              <w:t>рата;</w:t>
            </w:r>
          </w:p>
          <w:p w:rsidR="00041039" w:rsidRDefault="001B26CB">
            <w:pPr>
              <w:pStyle w:val="TableParagraph"/>
              <w:numPr>
                <w:ilvl w:val="0"/>
                <w:numId w:val="1170"/>
              </w:numPr>
              <w:tabs>
                <w:tab w:val="left" w:pos="157"/>
              </w:tabs>
              <w:spacing w:line="160" w:lineRule="exact"/>
              <w:ind w:right="248" w:hanging="99"/>
              <w:rPr>
                <w:sz w:val="14"/>
              </w:rPr>
            </w:pPr>
            <w:r>
              <w:rPr>
                <w:color w:val="231F20"/>
                <w:sz w:val="14"/>
              </w:rPr>
              <w:t>уочи</w:t>
            </w:r>
            <w:r>
              <w:rPr>
                <w:color w:val="231F20"/>
                <w:spacing w:val="-6"/>
                <w:sz w:val="14"/>
              </w:rPr>
              <w:t xml:space="preserve"> </w:t>
            </w:r>
            <w:r>
              <w:rPr>
                <w:color w:val="231F20"/>
                <w:sz w:val="14"/>
              </w:rPr>
              <w:t>и</w:t>
            </w:r>
            <w:r>
              <w:rPr>
                <w:color w:val="231F20"/>
                <w:spacing w:val="-7"/>
                <w:sz w:val="14"/>
              </w:rPr>
              <w:t xml:space="preserve"> </w:t>
            </w:r>
            <w:r>
              <w:rPr>
                <w:color w:val="231F20"/>
                <w:sz w:val="14"/>
              </w:rPr>
              <w:t>објасни</w:t>
            </w:r>
            <w:r>
              <w:rPr>
                <w:color w:val="231F20"/>
                <w:spacing w:val="-6"/>
                <w:sz w:val="14"/>
              </w:rPr>
              <w:t xml:space="preserve"> </w:t>
            </w:r>
            <w:r>
              <w:rPr>
                <w:color w:val="231F20"/>
                <w:sz w:val="14"/>
              </w:rPr>
              <w:t>на</w:t>
            </w:r>
            <w:r>
              <w:rPr>
                <w:color w:val="231F20"/>
                <w:spacing w:val="-7"/>
                <w:sz w:val="14"/>
              </w:rPr>
              <w:t xml:space="preserve"> </w:t>
            </w:r>
            <w:r>
              <w:rPr>
                <w:color w:val="231F20"/>
                <w:sz w:val="14"/>
              </w:rPr>
              <w:t>историјској</w:t>
            </w:r>
            <w:r>
              <w:rPr>
                <w:color w:val="231F20"/>
                <w:spacing w:val="-6"/>
                <w:sz w:val="14"/>
              </w:rPr>
              <w:t xml:space="preserve"> </w:t>
            </w:r>
            <w:r>
              <w:rPr>
                <w:color w:val="231F20"/>
                <w:sz w:val="14"/>
              </w:rPr>
              <w:t>карти промене граница српске</w:t>
            </w:r>
            <w:r>
              <w:rPr>
                <w:color w:val="231F20"/>
                <w:spacing w:val="-7"/>
                <w:sz w:val="14"/>
              </w:rPr>
              <w:t xml:space="preserve"> </w:t>
            </w:r>
            <w:r>
              <w:rPr>
                <w:color w:val="231F20"/>
                <w:sz w:val="14"/>
              </w:rPr>
              <w:t>државе;</w:t>
            </w:r>
          </w:p>
          <w:p w:rsidR="00041039" w:rsidRDefault="001B26CB">
            <w:pPr>
              <w:pStyle w:val="TableParagraph"/>
              <w:numPr>
                <w:ilvl w:val="0"/>
                <w:numId w:val="1170"/>
              </w:numPr>
              <w:tabs>
                <w:tab w:val="left" w:pos="157"/>
              </w:tabs>
              <w:spacing w:before="1" w:line="160" w:lineRule="exact"/>
              <w:ind w:right="114" w:hanging="99"/>
              <w:rPr>
                <w:sz w:val="14"/>
              </w:rPr>
            </w:pPr>
            <w:r>
              <w:rPr>
                <w:color w:val="231F20"/>
                <w:sz w:val="14"/>
              </w:rPr>
              <w:t>лоцира места најважнијих битака</w:t>
            </w:r>
            <w:r>
              <w:rPr>
                <w:color w:val="231F20"/>
                <w:spacing w:val="-16"/>
                <w:sz w:val="14"/>
              </w:rPr>
              <w:t xml:space="preserve"> </w:t>
            </w:r>
            <w:r>
              <w:rPr>
                <w:color w:val="231F20"/>
                <w:sz w:val="14"/>
              </w:rPr>
              <w:t xml:space="preserve">које су вођене </w:t>
            </w:r>
            <w:r>
              <w:rPr>
                <w:color w:val="231F20"/>
                <w:spacing w:val="-3"/>
                <w:sz w:val="14"/>
              </w:rPr>
              <w:t xml:space="preserve">током </w:t>
            </w:r>
            <w:r>
              <w:rPr>
                <w:color w:val="231F20"/>
                <w:sz w:val="14"/>
              </w:rPr>
              <w:t>Српске револуције, ослободилачких ратова 1876 ­ 1878. Балканских ратова и Првог светског рата;</w:t>
            </w:r>
          </w:p>
          <w:p w:rsidR="00041039" w:rsidRDefault="001B26CB">
            <w:pPr>
              <w:pStyle w:val="TableParagraph"/>
              <w:numPr>
                <w:ilvl w:val="0"/>
                <w:numId w:val="1170"/>
              </w:numPr>
              <w:tabs>
                <w:tab w:val="left" w:pos="157"/>
              </w:tabs>
              <w:spacing w:line="160" w:lineRule="exact"/>
              <w:ind w:right="313" w:hanging="99"/>
              <w:rPr>
                <w:sz w:val="14"/>
              </w:rPr>
            </w:pPr>
            <w:r>
              <w:rPr>
                <w:color w:val="231F20"/>
                <w:sz w:val="14"/>
              </w:rPr>
              <w:t>опише улогу истакнутих личности у Српској револуцији, у</w:t>
            </w:r>
            <w:r>
              <w:rPr>
                <w:color w:val="231F20"/>
                <w:spacing w:val="-9"/>
                <w:sz w:val="14"/>
              </w:rPr>
              <w:t xml:space="preserve"> </w:t>
            </w:r>
            <w:r>
              <w:rPr>
                <w:color w:val="231F20"/>
                <w:sz w:val="14"/>
              </w:rPr>
              <w:t>развоју</w:t>
            </w:r>
          </w:p>
          <w:p w:rsidR="00041039" w:rsidRDefault="001B26CB">
            <w:pPr>
              <w:pStyle w:val="TableParagraph"/>
              <w:spacing w:line="237" w:lineRule="auto"/>
              <w:ind w:right="109"/>
              <w:rPr>
                <w:sz w:val="14"/>
              </w:rPr>
            </w:pPr>
            <w:r>
              <w:rPr>
                <w:color w:val="231F20"/>
                <w:sz w:val="14"/>
              </w:rPr>
              <w:t>државних институција и формирању модерног политичког система, у ослободилачким ратовима 1876 ­ 1878, Балканским ратовима и Првом светском рату;</w:t>
            </w:r>
          </w:p>
          <w:p w:rsidR="00041039" w:rsidRDefault="001B26CB">
            <w:pPr>
              <w:pStyle w:val="TableParagraph"/>
              <w:numPr>
                <w:ilvl w:val="0"/>
                <w:numId w:val="1170"/>
              </w:numPr>
              <w:tabs>
                <w:tab w:val="left" w:pos="157"/>
              </w:tabs>
              <w:spacing w:line="237" w:lineRule="auto"/>
              <w:ind w:right="173" w:hanging="99"/>
              <w:rPr>
                <w:sz w:val="14"/>
              </w:rPr>
            </w:pPr>
            <w:r>
              <w:rPr>
                <w:color w:val="231F20"/>
                <w:sz w:val="14"/>
              </w:rPr>
              <w:t>изведе закључак о значају устав­ ности за развој модерног</w:t>
            </w:r>
            <w:r>
              <w:rPr>
                <w:color w:val="231F20"/>
                <w:spacing w:val="-20"/>
                <w:sz w:val="14"/>
              </w:rPr>
              <w:t xml:space="preserve"> </w:t>
            </w:r>
            <w:r>
              <w:rPr>
                <w:color w:val="231F20"/>
                <w:sz w:val="14"/>
              </w:rPr>
              <w:t>политичког система;</w:t>
            </w:r>
          </w:p>
        </w:tc>
        <w:tc>
          <w:tcPr>
            <w:tcW w:w="2834" w:type="dxa"/>
          </w:tcPr>
          <w:p w:rsidR="00041039" w:rsidRDefault="001B26CB">
            <w:pPr>
              <w:pStyle w:val="TableParagraph"/>
              <w:numPr>
                <w:ilvl w:val="0"/>
                <w:numId w:val="1169"/>
              </w:numPr>
              <w:tabs>
                <w:tab w:val="left" w:pos="157"/>
              </w:tabs>
              <w:spacing w:before="9" w:line="166" w:lineRule="exact"/>
              <w:ind w:hanging="99"/>
              <w:rPr>
                <w:sz w:val="14"/>
              </w:rPr>
            </w:pPr>
            <w:r>
              <w:rPr>
                <w:color w:val="231F20"/>
                <w:sz w:val="14"/>
              </w:rPr>
              <w:t xml:space="preserve">Српска државност у средњем </w:t>
            </w:r>
            <w:r>
              <w:rPr>
                <w:color w:val="231F20"/>
                <w:spacing w:val="-4"/>
                <w:sz w:val="14"/>
              </w:rPr>
              <w:t>веку.</w:t>
            </w:r>
          </w:p>
          <w:p w:rsidR="00041039" w:rsidRDefault="001B26CB">
            <w:pPr>
              <w:pStyle w:val="TableParagraph"/>
              <w:numPr>
                <w:ilvl w:val="0"/>
                <w:numId w:val="1169"/>
              </w:numPr>
              <w:tabs>
                <w:tab w:val="left" w:pos="157"/>
              </w:tabs>
              <w:spacing w:line="237" w:lineRule="auto"/>
              <w:ind w:right="177" w:hanging="99"/>
              <w:rPr>
                <w:sz w:val="14"/>
              </w:rPr>
            </w:pPr>
            <w:r>
              <w:rPr>
                <w:color w:val="231F20"/>
                <w:sz w:val="14"/>
              </w:rPr>
              <w:t>С</w:t>
            </w:r>
            <w:r>
              <w:rPr>
                <w:color w:val="231F20"/>
                <w:sz w:val="14"/>
              </w:rPr>
              <w:t>рпски народ и његови суседи у</w:t>
            </w:r>
            <w:r>
              <w:rPr>
                <w:color w:val="231F20"/>
                <w:spacing w:val="-19"/>
                <w:sz w:val="14"/>
              </w:rPr>
              <w:t xml:space="preserve"> </w:t>
            </w:r>
            <w:r>
              <w:rPr>
                <w:color w:val="231F20"/>
                <w:sz w:val="14"/>
              </w:rPr>
              <w:t xml:space="preserve">средњем </w:t>
            </w:r>
            <w:r>
              <w:rPr>
                <w:color w:val="231F20"/>
                <w:spacing w:val="-4"/>
                <w:sz w:val="14"/>
              </w:rPr>
              <w:t>веку.</w:t>
            </w:r>
          </w:p>
          <w:p w:rsidR="00041039" w:rsidRDefault="001B26CB">
            <w:pPr>
              <w:pStyle w:val="TableParagraph"/>
              <w:numPr>
                <w:ilvl w:val="0"/>
                <w:numId w:val="1169"/>
              </w:numPr>
              <w:tabs>
                <w:tab w:val="left" w:pos="157"/>
              </w:tabs>
              <w:spacing w:line="160" w:lineRule="exact"/>
              <w:ind w:right="51" w:hanging="99"/>
              <w:rPr>
                <w:sz w:val="14"/>
              </w:rPr>
            </w:pPr>
            <w:r>
              <w:rPr>
                <w:color w:val="231F20"/>
                <w:sz w:val="14"/>
              </w:rPr>
              <w:t>Положај</w:t>
            </w:r>
            <w:r>
              <w:rPr>
                <w:color w:val="231F20"/>
                <w:spacing w:val="-10"/>
                <w:sz w:val="14"/>
              </w:rPr>
              <w:t xml:space="preserve"> </w:t>
            </w:r>
            <w:r>
              <w:rPr>
                <w:color w:val="231F20"/>
                <w:sz w:val="14"/>
              </w:rPr>
              <w:t>Срба</w:t>
            </w:r>
            <w:r>
              <w:rPr>
                <w:color w:val="231F20"/>
                <w:spacing w:val="-10"/>
                <w:sz w:val="14"/>
              </w:rPr>
              <w:t xml:space="preserve"> </w:t>
            </w:r>
            <w:r>
              <w:rPr>
                <w:color w:val="231F20"/>
                <w:sz w:val="14"/>
              </w:rPr>
              <w:t>под</w:t>
            </w:r>
            <w:r>
              <w:rPr>
                <w:color w:val="231F20"/>
                <w:spacing w:val="-10"/>
                <w:sz w:val="14"/>
              </w:rPr>
              <w:t xml:space="preserve"> </w:t>
            </w:r>
            <w:r>
              <w:rPr>
                <w:color w:val="231F20"/>
                <w:sz w:val="14"/>
              </w:rPr>
              <w:t>османском,</w:t>
            </w:r>
            <w:r>
              <w:rPr>
                <w:color w:val="231F20"/>
                <w:spacing w:val="-10"/>
                <w:sz w:val="14"/>
              </w:rPr>
              <w:t xml:space="preserve"> </w:t>
            </w:r>
            <w:r>
              <w:rPr>
                <w:color w:val="231F20"/>
                <w:sz w:val="14"/>
              </w:rPr>
              <w:t>хабзбуршком и млетачком влашћу (ХVI ­ ХVIII</w:t>
            </w:r>
            <w:r>
              <w:rPr>
                <w:color w:val="231F20"/>
                <w:spacing w:val="-16"/>
                <w:sz w:val="14"/>
              </w:rPr>
              <w:t xml:space="preserve"> </w:t>
            </w:r>
            <w:r>
              <w:rPr>
                <w:color w:val="231F20"/>
                <w:sz w:val="14"/>
              </w:rPr>
              <w:t>век).</w:t>
            </w:r>
          </w:p>
          <w:p w:rsidR="00041039" w:rsidRDefault="001B26CB">
            <w:pPr>
              <w:pStyle w:val="TableParagraph"/>
              <w:numPr>
                <w:ilvl w:val="0"/>
                <w:numId w:val="1169"/>
              </w:numPr>
              <w:tabs>
                <w:tab w:val="left" w:pos="157"/>
              </w:tabs>
              <w:spacing w:line="160" w:lineRule="exact"/>
              <w:ind w:right="345" w:hanging="99"/>
              <w:rPr>
                <w:sz w:val="14"/>
              </w:rPr>
            </w:pPr>
            <w:r>
              <w:rPr>
                <w:color w:val="231F20"/>
                <w:sz w:val="14"/>
              </w:rPr>
              <w:t>Српска револуција 1804 ­ 1835. и</w:t>
            </w:r>
            <w:r>
              <w:rPr>
                <w:color w:val="231F20"/>
                <w:spacing w:val="-16"/>
                <w:sz w:val="14"/>
              </w:rPr>
              <w:t xml:space="preserve"> </w:t>
            </w:r>
            <w:r>
              <w:rPr>
                <w:color w:val="231F20"/>
                <w:sz w:val="14"/>
              </w:rPr>
              <w:t>њено место у контексту европских</w:t>
            </w:r>
            <w:r>
              <w:rPr>
                <w:color w:val="231F20"/>
                <w:spacing w:val="-14"/>
                <w:sz w:val="14"/>
              </w:rPr>
              <w:t xml:space="preserve"> </w:t>
            </w:r>
            <w:r>
              <w:rPr>
                <w:color w:val="231F20"/>
                <w:sz w:val="14"/>
              </w:rPr>
              <w:t>збивања.</w:t>
            </w:r>
          </w:p>
          <w:p w:rsidR="00041039" w:rsidRDefault="001B26CB">
            <w:pPr>
              <w:pStyle w:val="TableParagraph"/>
              <w:numPr>
                <w:ilvl w:val="0"/>
                <w:numId w:val="1169"/>
              </w:numPr>
              <w:tabs>
                <w:tab w:val="left" w:pos="157"/>
              </w:tabs>
              <w:spacing w:line="153" w:lineRule="exact"/>
              <w:ind w:hanging="99"/>
              <w:rPr>
                <w:sz w:val="14"/>
              </w:rPr>
            </w:pPr>
            <w:r>
              <w:rPr>
                <w:color w:val="231F20"/>
                <w:sz w:val="14"/>
              </w:rPr>
              <w:t>Развој државних</w:t>
            </w:r>
            <w:r>
              <w:rPr>
                <w:color w:val="231F20"/>
                <w:spacing w:val="-1"/>
                <w:sz w:val="14"/>
              </w:rPr>
              <w:t xml:space="preserve"> </w:t>
            </w:r>
            <w:r>
              <w:rPr>
                <w:color w:val="231F20"/>
                <w:sz w:val="14"/>
              </w:rPr>
              <w:t>институција.</w:t>
            </w:r>
          </w:p>
          <w:p w:rsidR="00041039" w:rsidRDefault="001B26CB">
            <w:pPr>
              <w:pStyle w:val="TableParagraph"/>
              <w:numPr>
                <w:ilvl w:val="0"/>
                <w:numId w:val="1169"/>
              </w:numPr>
              <w:tabs>
                <w:tab w:val="left" w:pos="157"/>
              </w:tabs>
              <w:spacing w:line="160" w:lineRule="exact"/>
              <w:ind w:hanging="99"/>
              <w:rPr>
                <w:sz w:val="14"/>
              </w:rPr>
            </w:pPr>
            <w:r>
              <w:rPr>
                <w:color w:val="231F20"/>
                <w:sz w:val="14"/>
              </w:rPr>
              <w:t>Развој уставности.</w:t>
            </w:r>
          </w:p>
          <w:p w:rsidR="00041039" w:rsidRDefault="001B26CB">
            <w:pPr>
              <w:pStyle w:val="TableParagraph"/>
              <w:numPr>
                <w:ilvl w:val="0"/>
                <w:numId w:val="1169"/>
              </w:numPr>
              <w:tabs>
                <w:tab w:val="left" w:pos="157"/>
              </w:tabs>
              <w:spacing w:line="237" w:lineRule="auto"/>
              <w:ind w:right="65" w:hanging="99"/>
              <w:rPr>
                <w:sz w:val="14"/>
              </w:rPr>
            </w:pPr>
            <w:r>
              <w:rPr>
                <w:color w:val="231F20"/>
                <w:spacing w:val="-4"/>
                <w:sz w:val="14"/>
              </w:rPr>
              <w:t xml:space="preserve">Улога </w:t>
            </w:r>
            <w:r>
              <w:rPr>
                <w:color w:val="231F20"/>
                <w:sz w:val="14"/>
              </w:rPr>
              <w:t>модерних династија (Карађорђевићи, Обреновићи, Петровићи) у развоју српске државности.</w:t>
            </w:r>
          </w:p>
          <w:p w:rsidR="00041039" w:rsidRDefault="001B26CB">
            <w:pPr>
              <w:pStyle w:val="TableParagraph"/>
              <w:numPr>
                <w:ilvl w:val="0"/>
                <w:numId w:val="1169"/>
              </w:numPr>
              <w:tabs>
                <w:tab w:val="left" w:pos="157"/>
              </w:tabs>
              <w:spacing w:line="237" w:lineRule="auto"/>
              <w:ind w:right="135" w:hanging="99"/>
              <w:rPr>
                <w:sz w:val="14"/>
              </w:rPr>
            </w:pPr>
            <w:r>
              <w:rPr>
                <w:color w:val="231F20"/>
                <w:sz w:val="14"/>
              </w:rPr>
              <w:t xml:space="preserve">Ратови Србије и Црне </w:t>
            </w:r>
            <w:r>
              <w:rPr>
                <w:color w:val="231F20"/>
                <w:spacing w:val="-4"/>
                <w:sz w:val="14"/>
              </w:rPr>
              <w:t xml:space="preserve">Горе </w:t>
            </w:r>
            <w:r>
              <w:rPr>
                <w:color w:val="231F20"/>
                <w:sz w:val="14"/>
              </w:rPr>
              <w:t>за независност 1876 ­ 1878.</w:t>
            </w:r>
          </w:p>
          <w:p w:rsidR="00041039" w:rsidRDefault="001B26CB">
            <w:pPr>
              <w:pStyle w:val="TableParagraph"/>
              <w:numPr>
                <w:ilvl w:val="0"/>
                <w:numId w:val="1169"/>
              </w:numPr>
              <w:tabs>
                <w:tab w:val="left" w:pos="157"/>
              </w:tabs>
              <w:spacing w:line="160" w:lineRule="exact"/>
              <w:ind w:right="86" w:hanging="99"/>
              <w:rPr>
                <w:sz w:val="14"/>
              </w:rPr>
            </w:pPr>
            <w:r>
              <w:rPr>
                <w:color w:val="231F20"/>
                <w:sz w:val="14"/>
              </w:rPr>
              <w:t>Формирање модерног политичког система и настанак странака (радикалне, либералне и</w:t>
            </w:r>
            <w:r>
              <w:rPr>
                <w:color w:val="231F20"/>
                <w:spacing w:val="-2"/>
                <w:sz w:val="14"/>
              </w:rPr>
              <w:t xml:space="preserve"> </w:t>
            </w:r>
            <w:r>
              <w:rPr>
                <w:color w:val="231F20"/>
                <w:sz w:val="14"/>
              </w:rPr>
              <w:t>напредњачке).</w:t>
            </w:r>
          </w:p>
          <w:p w:rsidR="00041039" w:rsidRDefault="001B26CB">
            <w:pPr>
              <w:pStyle w:val="TableParagraph"/>
              <w:numPr>
                <w:ilvl w:val="0"/>
                <w:numId w:val="1169"/>
              </w:numPr>
              <w:tabs>
                <w:tab w:val="left" w:pos="157"/>
              </w:tabs>
              <w:spacing w:line="160" w:lineRule="exact"/>
              <w:ind w:right="146" w:hanging="99"/>
              <w:rPr>
                <w:sz w:val="14"/>
              </w:rPr>
            </w:pPr>
            <w:r>
              <w:rPr>
                <w:color w:val="231F20"/>
                <w:sz w:val="14"/>
              </w:rPr>
              <w:t>Положај</w:t>
            </w:r>
            <w:r>
              <w:rPr>
                <w:color w:val="231F20"/>
                <w:spacing w:val="-6"/>
                <w:sz w:val="14"/>
              </w:rPr>
              <w:t xml:space="preserve"> </w:t>
            </w:r>
            <w:r>
              <w:rPr>
                <w:color w:val="231F20"/>
                <w:sz w:val="14"/>
              </w:rPr>
              <w:t>Срба</w:t>
            </w:r>
            <w:r>
              <w:rPr>
                <w:color w:val="231F20"/>
                <w:spacing w:val="-6"/>
                <w:sz w:val="14"/>
              </w:rPr>
              <w:t xml:space="preserve"> </w:t>
            </w:r>
            <w:r>
              <w:rPr>
                <w:color w:val="231F20"/>
                <w:sz w:val="14"/>
              </w:rPr>
              <w:t>под</w:t>
            </w:r>
            <w:r>
              <w:rPr>
                <w:color w:val="231F20"/>
                <w:spacing w:val="-6"/>
                <w:sz w:val="14"/>
              </w:rPr>
              <w:t xml:space="preserve"> </w:t>
            </w:r>
            <w:r>
              <w:rPr>
                <w:color w:val="231F20"/>
                <w:sz w:val="14"/>
              </w:rPr>
              <w:t>османском</w:t>
            </w:r>
            <w:r>
              <w:rPr>
                <w:color w:val="231F20"/>
                <w:spacing w:val="-6"/>
                <w:sz w:val="14"/>
              </w:rPr>
              <w:t xml:space="preserve"> </w:t>
            </w:r>
            <w:r>
              <w:rPr>
                <w:color w:val="231F20"/>
                <w:sz w:val="14"/>
              </w:rPr>
              <w:t>и</w:t>
            </w:r>
            <w:r>
              <w:rPr>
                <w:color w:val="231F20"/>
                <w:spacing w:val="-7"/>
                <w:sz w:val="14"/>
              </w:rPr>
              <w:t xml:space="preserve"> </w:t>
            </w:r>
            <w:r>
              <w:rPr>
                <w:color w:val="231F20"/>
                <w:sz w:val="14"/>
              </w:rPr>
              <w:t xml:space="preserve">хабзбурш­ </w:t>
            </w:r>
            <w:r>
              <w:rPr>
                <w:color w:val="231F20"/>
                <w:spacing w:val="-4"/>
                <w:sz w:val="14"/>
              </w:rPr>
              <w:t xml:space="preserve">ком </w:t>
            </w:r>
            <w:r>
              <w:rPr>
                <w:color w:val="231F20"/>
                <w:sz w:val="14"/>
              </w:rPr>
              <w:t>влашћу у XIX и почетком XX</w:t>
            </w:r>
            <w:r>
              <w:rPr>
                <w:color w:val="231F20"/>
                <w:spacing w:val="-16"/>
                <w:sz w:val="14"/>
              </w:rPr>
              <w:t xml:space="preserve"> </w:t>
            </w:r>
            <w:r>
              <w:rPr>
                <w:color w:val="231F20"/>
                <w:sz w:val="14"/>
              </w:rPr>
              <w:t>века.</w:t>
            </w:r>
          </w:p>
          <w:p w:rsidR="00041039" w:rsidRDefault="001B26CB">
            <w:pPr>
              <w:pStyle w:val="TableParagraph"/>
              <w:numPr>
                <w:ilvl w:val="0"/>
                <w:numId w:val="1169"/>
              </w:numPr>
              <w:tabs>
                <w:tab w:val="left" w:pos="157"/>
              </w:tabs>
              <w:spacing w:line="160" w:lineRule="exact"/>
              <w:ind w:right="217" w:hanging="99"/>
              <w:rPr>
                <w:sz w:val="14"/>
              </w:rPr>
            </w:pPr>
            <w:r>
              <w:rPr>
                <w:color w:val="231F20"/>
                <w:sz w:val="14"/>
              </w:rPr>
              <w:t xml:space="preserve">Србија и Црна </w:t>
            </w:r>
            <w:r>
              <w:rPr>
                <w:color w:val="231F20"/>
                <w:spacing w:val="-4"/>
                <w:sz w:val="14"/>
              </w:rPr>
              <w:t xml:space="preserve">Гора </w:t>
            </w:r>
            <w:r>
              <w:rPr>
                <w:color w:val="231F20"/>
                <w:sz w:val="14"/>
              </w:rPr>
              <w:t xml:space="preserve">у Балканским ратовима и Првом светском </w:t>
            </w:r>
            <w:r>
              <w:rPr>
                <w:color w:val="231F20"/>
                <w:spacing w:val="-4"/>
                <w:sz w:val="14"/>
              </w:rPr>
              <w:t xml:space="preserve">рату. </w:t>
            </w:r>
            <w:r>
              <w:rPr>
                <w:color w:val="231F20"/>
                <w:sz w:val="14"/>
              </w:rPr>
              <w:t>Најзначајније личности (вожд</w:t>
            </w:r>
            <w:r>
              <w:rPr>
                <w:color w:val="231F20"/>
                <w:spacing w:val="-17"/>
                <w:sz w:val="14"/>
              </w:rPr>
              <w:t xml:space="preserve"> </w:t>
            </w:r>
            <w:r>
              <w:rPr>
                <w:color w:val="231F20"/>
                <w:sz w:val="14"/>
              </w:rPr>
              <w:t>Карађорђе Петровић, кнез Милош Обреновић, прота Матеја Ненадовић, митрополит Стефан Стратимировић, Димит</w:t>
            </w:r>
            <w:r>
              <w:rPr>
                <w:color w:val="231F20"/>
                <w:sz w:val="14"/>
              </w:rPr>
              <w:t xml:space="preserve">рије Давидовић, </w:t>
            </w:r>
            <w:r>
              <w:rPr>
                <w:color w:val="231F20"/>
                <w:spacing w:val="-4"/>
                <w:sz w:val="14"/>
              </w:rPr>
              <w:t xml:space="preserve">Тома </w:t>
            </w:r>
            <w:r>
              <w:rPr>
                <w:color w:val="231F20"/>
                <w:sz w:val="14"/>
              </w:rPr>
              <w:t>Вучић</w:t>
            </w:r>
            <w:r>
              <w:rPr>
                <w:color w:val="231F20"/>
                <w:spacing w:val="-1"/>
                <w:sz w:val="14"/>
              </w:rPr>
              <w:t xml:space="preserve"> </w:t>
            </w:r>
            <w:r>
              <w:rPr>
                <w:color w:val="231F20"/>
                <w:sz w:val="14"/>
              </w:rPr>
              <w:t>Перишић,</w:t>
            </w:r>
          </w:p>
          <w:p w:rsidR="00041039" w:rsidRDefault="001B26CB">
            <w:pPr>
              <w:pStyle w:val="TableParagraph"/>
              <w:spacing w:line="237" w:lineRule="auto"/>
              <w:ind w:right="169"/>
              <w:rPr>
                <w:sz w:val="14"/>
              </w:rPr>
            </w:pPr>
            <w:r>
              <w:rPr>
                <w:color w:val="231F20"/>
                <w:sz w:val="14"/>
              </w:rPr>
              <w:t>Илија Гарашанин, кнез Александар Карађорђевић, кнез Михаило Обреновић, Владимир Јовановић, Светозар Милетић. краљ Милан Обреновић, владика Петар</w:t>
            </w:r>
          </w:p>
          <w:p w:rsidR="00041039" w:rsidRDefault="001B26CB">
            <w:pPr>
              <w:pStyle w:val="TableParagraph"/>
              <w:ind w:right="84"/>
              <w:rPr>
                <w:sz w:val="14"/>
              </w:rPr>
            </w:pPr>
            <w:r>
              <w:rPr>
                <w:color w:val="231F20"/>
                <w:sz w:val="14"/>
              </w:rPr>
              <w:t>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w:t>
            </w:r>
          </w:p>
          <w:p w:rsidR="00041039" w:rsidRDefault="001B26CB">
            <w:pPr>
              <w:pStyle w:val="TableParagraph"/>
              <w:spacing w:line="237" w:lineRule="auto"/>
              <w:ind w:right="84"/>
              <w:rPr>
                <w:sz w:val="14"/>
              </w:rPr>
            </w:pPr>
            <w:r>
              <w:rPr>
                <w:color w:val="231F20"/>
                <w:sz w:val="14"/>
              </w:rPr>
              <w:t>I Карађорђевић, престолонаследник Александар Карађорђевић, Радомир Путник</w:t>
            </w:r>
            <w:r>
              <w:rPr>
                <w:color w:val="231F20"/>
                <w:sz w:val="14"/>
              </w:rPr>
              <w:t>, Степа Степановић, Живојин Мишић, Петар Бојовић, Јанко Вукотић...).</w:t>
            </w:r>
          </w:p>
        </w:tc>
        <w:tc>
          <w:tcPr>
            <w:tcW w:w="2267" w:type="dxa"/>
          </w:tcPr>
          <w:p w:rsidR="00041039" w:rsidRDefault="001B26CB">
            <w:pPr>
              <w:pStyle w:val="TableParagraph"/>
              <w:numPr>
                <w:ilvl w:val="0"/>
                <w:numId w:val="1168"/>
              </w:numPr>
              <w:tabs>
                <w:tab w:val="left" w:pos="158"/>
              </w:tabs>
              <w:spacing w:before="10"/>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168"/>
              </w:numPr>
              <w:tabs>
                <w:tab w:val="left" w:pos="158"/>
              </w:tabs>
              <w:spacing w:line="160" w:lineRule="exact"/>
              <w:ind w:hanging="99"/>
              <w:rPr>
                <w:b/>
                <w:sz w:val="14"/>
              </w:rPr>
            </w:pPr>
            <w:r>
              <w:rPr>
                <w:color w:val="231F20"/>
                <w:sz w:val="14"/>
              </w:rPr>
              <w:t>теоријск</w:t>
            </w:r>
            <w:r>
              <w:rPr>
                <w:color w:val="231F20"/>
                <w:sz w:val="14"/>
              </w:rPr>
              <w:t xml:space="preserve">а настава </w:t>
            </w:r>
            <w:r>
              <w:rPr>
                <w:b/>
                <w:color w:val="231F20"/>
                <w:sz w:val="14"/>
              </w:rPr>
              <w:t>(70</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168"/>
              </w:numPr>
              <w:tabs>
                <w:tab w:val="left" w:pos="158"/>
              </w:tabs>
              <w:spacing w:line="237" w:lineRule="auto"/>
              <w:ind w:right="264" w:hanging="99"/>
              <w:jc w:val="both"/>
              <w:rPr>
                <w:sz w:val="14"/>
              </w:rPr>
            </w:pPr>
            <w:r>
              <w:rPr>
                <w:color w:val="231F20"/>
                <w:sz w:val="14"/>
              </w:rPr>
              <w:t>Теоријска настава се</w:t>
            </w:r>
            <w:r>
              <w:rPr>
                <w:color w:val="231F20"/>
                <w:spacing w:val="-14"/>
                <w:sz w:val="14"/>
              </w:rPr>
              <w:t xml:space="preserve"> </w:t>
            </w:r>
            <w:r>
              <w:rPr>
                <w:color w:val="231F20"/>
                <w:sz w:val="14"/>
              </w:rPr>
              <w:t>реализује у учионици или</w:t>
            </w:r>
            <w:r>
              <w:rPr>
                <w:color w:val="231F20"/>
                <w:spacing w:val="-12"/>
                <w:sz w:val="14"/>
              </w:rPr>
              <w:t xml:space="preserve"> </w:t>
            </w:r>
            <w:r>
              <w:rPr>
                <w:color w:val="231F20"/>
                <w:sz w:val="14"/>
              </w:rPr>
              <w:t xml:space="preserve">одговарајућем </w:t>
            </w:r>
            <w:r>
              <w:rPr>
                <w:color w:val="231F20"/>
                <w:spacing w:val="-3"/>
                <w:sz w:val="14"/>
              </w:rPr>
              <w:t>кабинету.</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168"/>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168"/>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168"/>
              </w:numPr>
              <w:tabs>
                <w:tab w:val="left" w:pos="158"/>
              </w:tabs>
              <w:spacing w:line="237" w:lineRule="auto"/>
              <w:ind w:right="202" w:hanging="99"/>
              <w:rPr>
                <w:b/>
                <w:sz w:val="14"/>
              </w:rPr>
            </w:pPr>
            <w:r>
              <w:rPr>
                <w:color w:val="231F20"/>
                <w:sz w:val="14"/>
              </w:rPr>
              <w:t xml:space="preserve">Српска држава и државност </w:t>
            </w:r>
            <w:r>
              <w:rPr>
                <w:b/>
                <w:color w:val="231F20"/>
                <w:sz w:val="14"/>
              </w:rPr>
              <w:t>(32 часа)</w:t>
            </w:r>
          </w:p>
          <w:p w:rsidR="00041039" w:rsidRDefault="001B26CB">
            <w:pPr>
              <w:pStyle w:val="TableParagraph"/>
              <w:numPr>
                <w:ilvl w:val="0"/>
                <w:numId w:val="1168"/>
              </w:numPr>
              <w:tabs>
                <w:tab w:val="left" w:pos="158"/>
              </w:tabs>
              <w:spacing w:line="160" w:lineRule="exact"/>
              <w:ind w:right="262" w:hanging="99"/>
              <w:rPr>
                <w:b/>
                <w:sz w:val="14"/>
              </w:rPr>
            </w:pPr>
            <w:r>
              <w:rPr>
                <w:color w:val="231F20"/>
                <w:sz w:val="14"/>
              </w:rPr>
              <w:t>Српски народ у</w:t>
            </w:r>
            <w:r>
              <w:rPr>
                <w:color w:val="231F20"/>
                <w:spacing w:val="-17"/>
                <w:sz w:val="14"/>
              </w:rPr>
              <w:t xml:space="preserve"> </w:t>
            </w:r>
            <w:r>
              <w:rPr>
                <w:color w:val="231F20"/>
                <w:sz w:val="14"/>
              </w:rPr>
              <w:t xml:space="preserve">југословенској држави </w:t>
            </w:r>
            <w:r>
              <w:rPr>
                <w:b/>
                <w:color w:val="231F20"/>
                <w:sz w:val="14"/>
              </w:rPr>
              <w:t>(18</w:t>
            </w:r>
            <w:r>
              <w:rPr>
                <w:b/>
                <w:color w:val="231F20"/>
                <w:spacing w:val="-2"/>
                <w:sz w:val="14"/>
              </w:rPr>
              <w:t xml:space="preserve"> </w:t>
            </w:r>
            <w:r>
              <w:rPr>
                <w:b/>
                <w:color w:val="231F20"/>
                <w:sz w:val="14"/>
              </w:rPr>
              <w:t>часова)</w:t>
            </w:r>
          </w:p>
          <w:p w:rsidR="00041039" w:rsidRDefault="001B26CB">
            <w:pPr>
              <w:pStyle w:val="TableParagraph"/>
              <w:numPr>
                <w:ilvl w:val="0"/>
                <w:numId w:val="1168"/>
              </w:numPr>
              <w:tabs>
                <w:tab w:val="left" w:pos="158"/>
              </w:tabs>
              <w:spacing w:line="160" w:lineRule="exact"/>
              <w:ind w:right="254" w:hanging="99"/>
              <w:rPr>
                <w:b/>
                <w:sz w:val="14"/>
              </w:rPr>
            </w:pPr>
            <w:r>
              <w:rPr>
                <w:color w:val="231F20"/>
                <w:sz w:val="14"/>
              </w:rPr>
              <w:t>Достигнућа српске културе</w:t>
            </w:r>
            <w:r>
              <w:rPr>
                <w:color w:val="231F20"/>
                <w:spacing w:val="-13"/>
                <w:sz w:val="14"/>
              </w:rPr>
              <w:t xml:space="preserve"> </w:t>
            </w:r>
            <w:r>
              <w:rPr>
                <w:b/>
                <w:color w:val="231F20"/>
                <w:spacing w:val="-3"/>
                <w:sz w:val="14"/>
              </w:rPr>
              <w:t xml:space="preserve">(11 </w:t>
            </w:r>
            <w:r>
              <w:rPr>
                <w:b/>
                <w:color w:val="231F20"/>
                <w:sz w:val="14"/>
              </w:rPr>
              <w:t>часова)</w:t>
            </w:r>
          </w:p>
          <w:p w:rsidR="00041039" w:rsidRDefault="001B26CB">
            <w:pPr>
              <w:pStyle w:val="TableParagraph"/>
              <w:numPr>
                <w:ilvl w:val="0"/>
                <w:numId w:val="1168"/>
              </w:numPr>
              <w:tabs>
                <w:tab w:val="left" w:pos="158"/>
              </w:tabs>
              <w:spacing w:line="160" w:lineRule="exact"/>
              <w:ind w:right="57" w:hanging="99"/>
              <w:rPr>
                <w:b/>
                <w:sz w:val="14"/>
              </w:rPr>
            </w:pPr>
            <w:r>
              <w:rPr>
                <w:color w:val="231F20"/>
                <w:sz w:val="14"/>
              </w:rPr>
              <w:t>Српски народ и Србија у</w:t>
            </w:r>
            <w:r>
              <w:rPr>
                <w:color w:val="231F20"/>
                <w:spacing w:val="-9"/>
                <w:sz w:val="14"/>
              </w:rPr>
              <w:t xml:space="preserve"> </w:t>
            </w:r>
            <w:r>
              <w:rPr>
                <w:color w:val="231F20"/>
                <w:sz w:val="14"/>
              </w:rPr>
              <w:t xml:space="preserve">савреме­ ном свету </w:t>
            </w:r>
            <w:r>
              <w:rPr>
                <w:b/>
                <w:color w:val="231F20"/>
                <w:sz w:val="14"/>
              </w:rPr>
              <w:t>(9</w:t>
            </w:r>
            <w:r>
              <w:rPr>
                <w:b/>
                <w:color w:val="231F20"/>
                <w:spacing w:val="-3"/>
                <w:sz w:val="14"/>
              </w:rPr>
              <w:t xml:space="preserve"> </w:t>
            </w:r>
            <w:r>
              <w:rPr>
                <w:b/>
                <w:color w:val="231F20"/>
                <w:sz w:val="14"/>
              </w:rPr>
              <w:t>часова)</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168"/>
              </w:numPr>
              <w:tabs>
                <w:tab w:val="left" w:pos="158"/>
              </w:tabs>
              <w:spacing w:line="160" w:lineRule="exact"/>
              <w:ind w:right="51" w:hanging="99"/>
              <w:rPr>
                <w:sz w:val="14"/>
              </w:rPr>
            </w:pPr>
            <w:r>
              <w:rPr>
                <w:color w:val="231F20"/>
                <w:sz w:val="14"/>
              </w:rPr>
              <w:t>структура програма конципирана је с циљем да помогне</w:t>
            </w:r>
            <w:r>
              <w:rPr>
                <w:color w:val="231F20"/>
                <w:spacing w:val="-13"/>
                <w:sz w:val="14"/>
              </w:rPr>
              <w:t xml:space="preserve"> </w:t>
            </w:r>
            <w:r>
              <w:rPr>
                <w:color w:val="231F20"/>
                <w:sz w:val="14"/>
              </w:rPr>
              <w:t>наставнику у планирању непосредног</w:t>
            </w:r>
            <w:r>
              <w:rPr>
                <w:color w:val="231F20"/>
                <w:spacing w:val="-5"/>
                <w:sz w:val="14"/>
              </w:rPr>
              <w:t xml:space="preserve"> </w:t>
            </w:r>
            <w:r>
              <w:rPr>
                <w:color w:val="231F20"/>
                <w:sz w:val="14"/>
              </w:rPr>
              <w:t>рада</w:t>
            </w:r>
          </w:p>
          <w:p w:rsidR="00041039" w:rsidRDefault="001B26CB">
            <w:pPr>
              <w:pStyle w:val="TableParagraph"/>
              <w:spacing w:line="237" w:lineRule="auto"/>
              <w:ind w:left="157"/>
              <w:rPr>
                <w:sz w:val="14"/>
              </w:rPr>
            </w:pPr>
            <w:r>
              <w:rPr>
                <w:color w:val="231F20"/>
                <w:sz w:val="14"/>
              </w:rPr>
              <w:t>са ученицима, олакшавајући му одређивање обима и дубине обра­ де појединих наставних садржаја;</w:t>
            </w:r>
          </w:p>
          <w:p w:rsidR="00041039" w:rsidRDefault="001B26CB">
            <w:pPr>
              <w:pStyle w:val="TableParagraph"/>
              <w:numPr>
                <w:ilvl w:val="0"/>
                <w:numId w:val="1168"/>
              </w:numPr>
              <w:tabs>
                <w:tab w:val="left" w:pos="158"/>
              </w:tabs>
              <w:spacing w:line="237" w:lineRule="auto"/>
              <w:ind w:right="163" w:hanging="99"/>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треба да послуже да</w:t>
            </w:r>
            <w:r>
              <w:rPr>
                <w:color w:val="231F20"/>
                <w:spacing w:val="2"/>
                <w:sz w:val="14"/>
              </w:rPr>
              <w:t xml:space="preserve"> </w:t>
            </w:r>
            <w:r>
              <w:rPr>
                <w:color w:val="231F20"/>
                <w:sz w:val="14"/>
              </w:rPr>
              <w:t>нас­</w:t>
            </w:r>
          </w:p>
          <w:p w:rsidR="00041039" w:rsidRDefault="001B26CB">
            <w:pPr>
              <w:pStyle w:val="TableParagraph"/>
              <w:ind w:left="157"/>
              <w:rPr>
                <w:sz w:val="14"/>
              </w:rPr>
            </w:pPr>
            <w:r>
              <w:rPr>
                <w:color w:val="231F20"/>
                <w:sz w:val="14"/>
              </w:rPr>
              <w:t>тавни процес буде тако обликован да се наведени циљеви остваре;</w:t>
            </w:r>
          </w:p>
          <w:p w:rsidR="00041039" w:rsidRDefault="001B26CB">
            <w:pPr>
              <w:pStyle w:val="TableParagraph"/>
              <w:numPr>
                <w:ilvl w:val="0"/>
                <w:numId w:val="1168"/>
              </w:numPr>
              <w:tabs>
                <w:tab w:val="left" w:pos="158"/>
              </w:tabs>
              <w:spacing w:line="160" w:lineRule="exact"/>
              <w:ind w:right="307" w:hanging="99"/>
              <w:rPr>
                <w:sz w:val="14"/>
              </w:rPr>
            </w:pPr>
            <w:r>
              <w:rPr>
                <w:color w:val="231F20"/>
                <w:sz w:val="14"/>
              </w:rPr>
              <w:t>садржаје треба</w:t>
            </w:r>
            <w:r>
              <w:rPr>
                <w:color w:val="231F20"/>
                <w:spacing w:val="-13"/>
                <w:sz w:val="14"/>
              </w:rPr>
              <w:t xml:space="preserve"> </w:t>
            </w:r>
            <w:r>
              <w:rPr>
                <w:color w:val="231F20"/>
                <w:sz w:val="14"/>
              </w:rPr>
              <w:t xml:space="preserve">прилагођавати ученицима, </w:t>
            </w:r>
            <w:r>
              <w:rPr>
                <w:color w:val="231F20"/>
                <w:spacing w:val="-3"/>
                <w:sz w:val="14"/>
              </w:rPr>
              <w:t xml:space="preserve">како </w:t>
            </w:r>
            <w:r>
              <w:rPr>
                <w:color w:val="231F20"/>
                <w:sz w:val="14"/>
              </w:rPr>
              <w:t>би најлакше и најбрже достигли наведене исходе;</w:t>
            </w:r>
          </w:p>
          <w:p w:rsidR="00041039" w:rsidRDefault="001B26CB">
            <w:pPr>
              <w:pStyle w:val="TableParagraph"/>
              <w:numPr>
                <w:ilvl w:val="0"/>
                <w:numId w:val="1168"/>
              </w:numPr>
              <w:tabs>
                <w:tab w:val="left" w:pos="158"/>
              </w:tabs>
              <w:spacing w:line="160" w:lineRule="exact"/>
              <w:ind w:right="133" w:hanging="99"/>
              <w:rPr>
                <w:sz w:val="14"/>
              </w:rPr>
            </w:pPr>
            <w:r>
              <w:rPr>
                <w:color w:val="231F20"/>
                <w:sz w:val="14"/>
              </w:rPr>
              <w:t xml:space="preserve">наставник има слободу да сам одреди распоред и динамику активности </w:t>
            </w:r>
            <w:r>
              <w:rPr>
                <w:color w:val="231F20"/>
                <w:sz w:val="14"/>
              </w:rPr>
              <w:t xml:space="preserve">за сваку </w:t>
            </w:r>
            <w:r>
              <w:rPr>
                <w:color w:val="231F20"/>
                <w:spacing w:val="-3"/>
                <w:sz w:val="14"/>
              </w:rPr>
              <w:t xml:space="preserve">тему. </w:t>
            </w:r>
            <w:r>
              <w:rPr>
                <w:color w:val="231F20"/>
                <w:sz w:val="14"/>
              </w:rPr>
              <w:t>уважа­ вајући циљеве</w:t>
            </w:r>
            <w:r>
              <w:rPr>
                <w:color w:val="231F20"/>
                <w:spacing w:val="-2"/>
                <w:sz w:val="14"/>
              </w:rPr>
              <w:t xml:space="preserve"> </w:t>
            </w:r>
            <w:r>
              <w:rPr>
                <w:color w:val="231F20"/>
                <w:sz w:val="14"/>
              </w:rPr>
              <w:t>предмета;</w:t>
            </w:r>
          </w:p>
          <w:p w:rsidR="00041039" w:rsidRDefault="001B26CB">
            <w:pPr>
              <w:pStyle w:val="TableParagraph"/>
              <w:numPr>
                <w:ilvl w:val="0"/>
                <w:numId w:val="1168"/>
              </w:numPr>
              <w:tabs>
                <w:tab w:val="left" w:pos="158"/>
              </w:tabs>
              <w:spacing w:line="160" w:lineRule="exact"/>
              <w:ind w:right="139" w:hanging="99"/>
              <w:rPr>
                <w:sz w:val="14"/>
              </w:rPr>
            </w:pPr>
            <w:r>
              <w:rPr>
                <w:color w:val="231F20"/>
                <w:sz w:val="14"/>
              </w:rPr>
              <w:t>програм се може допунити</w:t>
            </w:r>
            <w:r>
              <w:rPr>
                <w:color w:val="231F20"/>
                <w:spacing w:val="-10"/>
                <w:sz w:val="14"/>
              </w:rPr>
              <w:t xml:space="preserve"> </w:t>
            </w:r>
            <w:r>
              <w:rPr>
                <w:color w:val="231F20"/>
                <w:sz w:val="14"/>
              </w:rPr>
              <w:t xml:space="preserve">садр­ жајима из прошлости завичаја, чиме се </w:t>
            </w:r>
            <w:r>
              <w:rPr>
                <w:color w:val="231F20"/>
                <w:spacing w:val="-5"/>
                <w:sz w:val="14"/>
              </w:rPr>
              <w:t xml:space="preserve">код </w:t>
            </w:r>
            <w:r>
              <w:rPr>
                <w:color w:val="231F20"/>
                <w:sz w:val="14"/>
              </w:rPr>
              <w:t>ученика постиже јаснија представа</w:t>
            </w:r>
            <w:r>
              <w:rPr>
                <w:color w:val="231F20"/>
                <w:spacing w:val="-6"/>
                <w:sz w:val="14"/>
              </w:rPr>
              <w:t xml:space="preserve"> </w:t>
            </w:r>
            <w:r>
              <w:rPr>
                <w:color w:val="231F20"/>
                <w:sz w:val="14"/>
              </w:rPr>
              <w:t>оисторијској</w:t>
            </w:r>
          </w:p>
          <w:p w:rsidR="00041039" w:rsidRDefault="001B26CB">
            <w:pPr>
              <w:pStyle w:val="TableParagraph"/>
              <w:spacing w:line="237" w:lineRule="auto"/>
              <w:ind w:left="157"/>
              <w:rPr>
                <w:sz w:val="14"/>
              </w:rPr>
            </w:pPr>
            <w:r>
              <w:rPr>
                <w:color w:val="231F20"/>
                <w:sz w:val="14"/>
              </w:rPr>
              <w:t>и културној баштини у њиховом крају (археолошка налазишта, музејске збирке);</w:t>
            </w:r>
          </w:p>
          <w:p w:rsidR="00041039" w:rsidRDefault="001B26CB">
            <w:pPr>
              <w:pStyle w:val="TableParagraph"/>
              <w:numPr>
                <w:ilvl w:val="0"/>
                <w:numId w:val="1168"/>
              </w:numPr>
              <w:tabs>
                <w:tab w:val="left" w:pos="158"/>
              </w:tabs>
              <w:spacing w:line="237" w:lineRule="auto"/>
              <w:ind w:right="117" w:hanging="99"/>
              <w:rPr>
                <w:sz w:val="14"/>
              </w:rPr>
            </w:pPr>
            <w:r>
              <w:rPr>
                <w:color w:val="231F20"/>
                <w:sz w:val="14"/>
              </w:rPr>
              <w:t xml:space="preserve">у школама на наставном језику неке </w:t>
            </w:r>
            <w:r>
              <w:rPr>
                <w:color w:val="231F20"/>
                <w:spacing w:val="-3"/>
                <w:sz w:val="14"/>
              </w:rPr>
              <w:t xml:space="preserve">од </w:t>
            </w:r>
            <w:r>
              <w:rPr>
                <w:color w:val="231F20"/>
                <w:sz w:val="14"/>
              </w:rPr>
              <w:t>националних мањина могу се обрадитии проширени наставни садржаји из прошлости тог</w:t>
            </w:r>
            <w:r>
              <w:rPr>
                <w:color w:val="231F20"/>
                <w:spacing w:val="-1"/>
                <w:sz w:val="14"/>
              </w:rPr>
              <w:t xml:space="preserve"> </w:t>
            </w:r>
            <w:r>
              <w:rPr>
                <w:color w:val="231F20"/>
                <w:sz w:val="14"/>
              </w:rPr>
              <w:t>народа;</w:t>
            </w:r>
          </w:p>
        </w:tc>
      </w:tr>
    </w:tbl>
    <w:p w:rsidR="00041039" w:rsidRDefault="00041039">
      <w:pPr>
        <w:spacing w:line="237" w:lineRule="auto"/>
        <w:rPr>
          <w:sz w:val="14"/>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120"/>
        </w:trPr>
        <w:tc>
          <w:tcPr>
            <w:tcW w:w="1304" w:type="dxa"/>
          </w:tcPr>
          <w:p w:rsidR="00041039" w:rsidRDefault="001B26CB">
            <w:pPr>
              <w:pStyle w:val="TableParagraph"/>
              <w:spacing w:before="18"/>
              <w:ind w:left="56" w:right="37"/>
              <w:rPr>
                <w:sz w:val="14"/>
              </w:rPr>
            </w:pPr>
            <w:r>
              <w:rPr>
                <w:color w:val="231F20"/>
                <w:sz w:val="14"/>
              </w:rPr>
              <w:lastRenderedPageBreak/>
              <w:t>Српски народ у југословенској држави</w:t>
            </w:r>
          </w:p>
        </w:tc>
        <w:tc>
          <w:tcPr>
            <w:tcW w:w="1587" w:type="dxa"/>
          </w:tcPr>
          <w:p w:rsidR="00041039" w:rsidRDefault="001B26CB">
            <w:pPr>
              <w:pStyle w:val="TableParagraph"/>
              <w:numPr>
                <w:ilvl w:val="0"/>
                <w:numId w:val="1167"/>
              </w:numPr>
              <w:tabs>
                <w:tab w:val="left" w:pos="157"/>
              </w:tabs>
              <w:spacing w:before="8"/>
              <w:ind w:right="84"/>
              <w:rPr>
                <w:sz w:val="14"/>
              </w:rPr>
            </w:pPr>
            <w:r>
              <w:rPr>
                <w:color w:val="231F20"/>
                <w:sz w:val="14"/>
              </w:rPr>
              <w:t>Проширивање знања о југословенској</w:t>
            </w:r>
            <w:r>
              <w:rPr>
                <w:color w:val="231F20"/>
                <w:spacing w:val="-14"/>
                <w:sz w:val="14"/>
              </w:rPr>
              <w:t xml:space="preserve"> </w:t>
            </w:r>
            <w:r>
              <w:rPr>
                <w:color w:val="231F20"/>
                <w:sz w:val="14"/>
              </w:rPr>
              <w:t>идеји и носиоцима идеје стварања југослов</w:t>
            </w:r>
            <w:r>
              <w:rPr>
                <w:color w:val="231F20"/>
                <w:sz w:val="14"/>
              </w:rPr>
              <w:t>ен­ ске</w:t>
            </w:r>
            <w:r>
              <w:rPr>
                <w:color w:val="231F20"/>
                <w:spacing w:val="-1"/>
                <w:sz w:val="14"/>
              </w:rPr>
              <w:t xml:space="preserve"> </w:t>
            </w:r>
            <w:r>
              <w:rPr>
                <w:color w:val="231F20"/>
                <w:sz w:val="14"/>
              </w:rPr>
              <w:t>државе.</w:t>
            </w:r>
          </w:p>
          <w:p w:rsidR="00041039" w:rsidRDefault="001B26CB">
            <w:pPr>
              <w:pStyle w:val="TableParagraph"/>
              <w:numPr>
                <w:ilvl w:val="0"/>
                <w:numId w:val="1167"/>
              </w:numPr>
              <w:tabs>
                <w:tab w:val="left" w:pos="157"/>
              </w:tabs>
              <w:spacing w:line="155" w:lineRule="exact"/>
              <w:rPr>
                <w:sz w:val="14"/>
              </w:rPr>
            </w:pPr>
            <w:r>
              <w:rPr>
                <w:color w:val="231F20"/>
                <w:sz w:val="14"/>
              </w:rPr>
              <w:t>Разумевање</w:t>
            </w:r>
            <w:r>
              <w:rPr>
                <w:color w:val="231F20"/>
                <w:spacing w:val="-2"/>
                <w:sz w:val="14"/>
              </w:rPr>
              <w:t xml:space="preserve"> </w:t>
            </w:r>
            <w:r>
              <w:rPr>
                <w:color w:val="231F20"/>
                <w:sz w:val="14"/>
              </w:rPr>
              <w:t>међуна­</w:t>
            </w:r>
          </w:p>
          <w:p w:rsidR="00041039" w:rsidRDefault="001B26CB">
            <w:pPr>
              <w:pStyle w:val="TableParagraph"/>
              <w:ind w:right="15"/>
              <w:rPr>
                <w:sz w:val="14"/>
              </w:rPr>
            </w:pPr>
            <w:r>
              <w:rPr>
                <w:color w:val="231F20"/>
                <w:sz w:val="14"/>
              </w:rPr>
              <w:t>родног контекста у коме настаје југосло­ венска држава.</w:t>
            </w:r>
          </w:p>
          <w:p w:rsidR="00041039" w:rsidRDefault="001B26CB">
            <w:pPr>
              <w:pStyle w:val="TableParagraph"/>
              <w:numPr>
                <w:ilvl w:val="0"/>
                <w:numId w:val="1167"/>
              </w:numPr>
              <w:tabs>
                <w:tab w:val="left" w:pos="157"/>
              </w:tabs>
              <w:spacing w:line="158"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15"/>
              <w:rPr>
                <w:sz w:val="14"/>
              </w:rPr>
            </w:pPr>
            <w:r>
              <w:rPr>
                <w:color w:val="231F20"/>
                <w:sz w:val="14"/>
              </w:rPr>
              <w:t>одликама југословен­ ске државе.</w:t>
            </w:r>
          </w:p>
          <w:p w:rsidR="00041039" w:rsidRDefault="001B26CB">
            <w:pPr>
              <w:pStyle w:val="TableParagraph"/>
              <w:numPr>
                <w:ilvl w:val="0"/>
                <w:numId w:val="1167"/>
              </w:numPr>
              <w:tabs>
                <w:tab w:val="left" w:pos="157"/>
              </w:tabs>
              <w:spacing w:line="160" w:lineRule="exact"/>
              <w:ind w:right="169"/>
              <w:rPr>
                <w:sz w:val="14"/>
              </w:rPr>
            </w:pPr>
            <w:r>
              <w:rPr>
                <w:color w:val="231F20"/>
                <w:sz w:val="14"/>
              </w:rPr>
              <w:t>Проширивање</w:t>
            </w:r>
            <w:r>
              <w:rPr>
                <w:color w:val="231F20"/>
                <w:spacing w:val="-10"/>
                <w:sz w:val="14"/>
              </w:rPr>
              <w:t xml:space="preserve"> </w:t>
            </w:r>
            <w:r>
              <w:rPr>
                <w:color w:val="231F20"/>
                <w:sz w:val="14"/>
              </w:rPr>
              <w:t>знања о положају српског народа у југословен­ ској</w:t>
            </w:r>
            <w:r>
              <w:rPr>
                <w:color w:val="231F20"/>
                <w:spacing w:val="-1"/>
                <w:sz w:val="14"/>
              </w:rPr>
              <w:t xml:space="preserve"> </w:t>
            </w:r>
            <w:r>
              <w:rPr>
                <w:color w:val="231F20"/>
                <w:sz w:val="14"/>
              </w:rPr>
              <w:t>држави.</w:t>
            </w:r>
          </w:p>
          <w:p w:rsidR="00041039" w:rsidRDefault="001B26CB">
            <w:pPr>
              <w:pStyle w:val="TableParagraph"/>
              <w:numPr>
                <w:ilvl w:val="0"/>
                <w:numId w:val="1167"/>
              </w:numPr>
              <w:tabs>
                <w:tab w:val="left" w:pos="157"/>
              </w:tabs>
              <w:spacing w:line="160" w:lineRule="exact"/>
              <w:ind w:right="91"/>
              <w:rPr>
                <w:sz w:val="14"/>
              </w:rPr>
            </w:pPr>
            <w:r>
              <w:rPr>
                <w:color w:val="231F20"/>
                <w:spacing w:val="-3"/>
                <w:sz w:val="14"/>
              </w:rPr>
              <w:t xml:space="preserve">Уочавање улоге </w:t>
            </w:r>
            <w:r>
              <w:rPr>
                <w:color w:val="231F20"/>
                <w:sz w:val="14"/>
              </w:rPr>
              <w:t>знаменитих личности у политичком животу југословенске</w:t>
            </w:r>
            <w:r>
              <w:rPr>
                <w:color w:val="231F20"/>
                <w:spacing w:val="-7"/>
                <w:sz w:val="14"/>
              </w:rPr>
              <w:t xml:space="preserve"> </w:t>
            </w:r>
            <w:r>
              <w:rPr>
                <w:color w:val="231F20"/>
                <w:sz w:val="14"/>
              </w:rPr>
              <w:t>државе.</w:t>
            </w:r>
          </w:p>
          <w:p w:rsidR="00041039" w:rsidRDefault="001B26CB">
            <w:pPr>
              <w:pStyle w:val="TableParagraph"/>
              <w:numPr>
                <w:ilvl w:val="0"/>
                <w:numId w:val="1167"/>
              </w:numPr>
              <w:tabs>
                <w:tab w:val="left" w:pos="157"/>
              </w:tabs>
              <w:spacing w:line="160" w:lineRule="exact"/>
              <w:ind w:right="91"/>
              <w:rPr>
                <w:sz w:val="14"/>
              </w:rPr>
            </w:pPr>
            <w:r>
              <w:rPr>
                <w:color w:val="231F20"/>
                <w:sz w:val="14"/>
              </w:rPr>
              <w:t>Сагледавање међу­ народног положаја југословенске</w:t>
            </w:r>
            <w:r>
              <w:rPr>
                <w:color w:val="231F20"/>
                <w:spacing w:val="-7"/>
                <w:sz w:val="14"/>
              </w:rPr>
              <w:t xml:space="preserve"> </w:t>
            </w:r>
            <w:r>
              <w:rPr>
                <w:color w:val="231F20"/>
                <w:sz w:val="14"/>
              </w:rPr>
              <w:t>државе.</w:t>
            </w:r>
          </w:p>
        </w:tc>
        <w:tc>
          <w:tcPr>
            <w:tcW w:w="2551" w:type="dxa"/>
          </w:tcPr>
          <w:p w:rsidR="00041039" w:rsidRDefault="001B26CB">
            <w:pPr>
              <w:pStyle w:val="TableParagraph"/>
              <w:numPr>
                <w:ilvl w:val="0"/>
                <w:numId w:val="1166"/>
              </w:numPr>
              <w:tabs>
                <w:tab w:val="left" w:pos="157"/>
              </w:tabs>
              <w:spacing w:before="8"/>
              <w:ind w:right="68" w:hanging="99"/>
              <w:rPr>
                <w:sz w:val="14"/>
              </w:rPr>
            </w:pPr>
            <w:r>
              <w:rPr>
                <w:color w:val="231F20"/>
                <w:sz w:val="14"/>
              </w:rPr>
              <w:t>образложи најважније мотиве и</w:t>
            </w:r>
            <w:r>
              <w:rPr>
                <w:color w:val="231F20"/>
                <w:spacing w:val="-17"/>
                <w:sz w:val="14"/>
              </w:rPr>
              <w:t xml:space="preserve"> </w:t>
            </w:r>
            <w:r>
              <w:rPr>
                <w:color w:val="231F20"/>
                <w:sz w:val="14"/>
              </w:rPr>
              <w:t>узроке стварање југословенске</w:t>
            </w:r>
            <w:r>
              <w:rPr>
                <w:color w:val="231F20"/>
                <w:spacing w:val="-2"/>
                <w:sz w:val="14"/>
              </w:rPr>
              <w:t xml:space="preserve"> </w:t>
            </w:r>
            <w:r>
              <w:rPr>
                <w:color w:val="231F20"/>
                <w:sz w:val="14"/>
              </w:rPr>
              <w:t>државе;</w:t>
            </w:r>
          </w:p>
          <w:p w:rsidR="00041039" w:rsidRDefault="001B26CB">
            <w:pPr>
              <w:pStyle w:val="TableParagraph"/>
              <w:numPr>
                <w:ilvl w:val="0"/>
                <w:numId w:val="1166"/>
              </w:numPr>
              <w:tabs>
                <w:tab w:val="left" w:pos="157"/>
              </w:tabs>
              <w:spacing w:line="160" w:lineRule="exact"/>
              <w:ind w:right="284" w:hanging="99"/>
              <w:rPr>
                <w:sz w:val="14"/>
              </w:rPr>
            </w:pPr>
            <w:r>
              <w:rPr>
                <w:color w:val="231F20"/>
                <w:sz w:val="14"/>
              </w:rPr>
              <w:t>уочи значај настанка</w:t>
            </w:r>
            <w:r>
              <w:rPr>
                <w:color w:val="231F20"/>
                <w:spacing w:val="-25"/>
                <w:sz w:val="14"/>
              </w:rPr>
              <w:t xml:space="preserve"> </w:t>
            </w:r>
            <w:r>
              <w:rPr>
                <w:color w:val="231F20"/>
                <w:sz w:val="14"/>
              </w:rPr>
              <w:t>југословенске државе за српски</w:t>
            </w:r>
            <w:r>
              <w:rPr>
                <w:color w:val="231F20"/>
                <w:spacing w:val="-3"/>
                <w:sz w:val="14"/>
              </w:rPr>
              <w:t xml:space="preserve"> </w:t>
            </w:r>
            <w:r>
              <w:rPr>
                <w:color w:val="231F20"/>
                <w:sz w:val="14"/>
              </w:rPr>
              <w:t>народ;</w:t>
            </w:r>
          </w:p>
          <w:p w:rsidR="00041039" w:rsidRDefault="001B26CB">
            <w:pPr>
              <w:pStyle w:val="TableParagraph"/>
              <w:numPr>
                <w:ilvl w:val="0"/>
                <w:numId w:val="1166"/>
              </w:numPr>
              <w:tabs>
                <w:tab w:val="left" w:pos="157"/>
              </w:tabs>
              <w:spacing w:line="160" w:lineRule="exact"/>
              <w:ind w:right="43" w:hanging="99"/>
              <w:rPr>
                <w:sz w:val="14"/>
              </w:rPr>
            </w:pPr>
            <w:r>
              <w:rPr>
                <w:color w:val="231F20"/>
                <w:sz w:val="14"/>
              </w:rPr>
              <w:t>идентификује одлике југословенске државе као монархије и као</w:t>
            </w:r>
            <w:r>
              <w:rPr>
                <w:color w:val="231F20"/>
                <w:spacing w:val="-19"/>
                <w:sz w:val="14"/>
              </w:rPr>
              <w:t xml:space="preserve"> </w:t>
            </w:r>
            <w:r>
              <w:rPr>
                <w:color w:val="231F20"/>
                <w:sz w:val="14"/>
              </w:rPr>
              <w:t>републике;</w:t>
            </w:r>
          </w:p>
          <w:p w:rsidR="00041039" w:rsidRDefault="001B26CB">
            <w:pPr>
              <w:pStyle w:val="TableParagraph"/>
              <w:numPr>
                <w:ilvl w:val="0"/>
                <w:numId w:val="1166"/>
              </w:numPr>
              <w:tabs>
                <w:tab w:val="left" w:pos="157"/>
              </w:tabs>
              <w:spacing w:before="1" w:line="160" w:lineRule="exact"/>
              <w:ind w:right="100" w:hanging="99"/>
              <w:rPr>
                <w:sz w:val="14"/>
              </w:rPr>
            </w:pPr>
            <w:r>
              <w:rPr>
                <w:color w:val="231F20"/>
                <w:sz w:val="14"/>
              </w:rPr>
              <w:t>разликује особености друштвено ­ политичких система који су</w:t>
            </w:r>
            <w:r>
              <w:rPr>
                <w:color w:val="231F20"/>
                <w:spacing w:val="-21"/>
                <w:sz w:val="14"/>
              </w:rPr>
              <w:t xml:space="preserve"> </w:t>
            </w:r>
            <w:r>
              <w:rPr>
                <w:color w:val="231F20"/>
                <w:sz w:val="14"/>
              </w:rPr>
              <w:t>постојали у југословенској</w:t>
            </w:r>
            <w:r>
              <w:rPr>
                <w:color w:val="231F20"/>
                <w:spacing w:val="-1"/>
                <w:sz w:val="14"/>
              </w:rPr>
              <w:t xml:space="preserve"> </w:t>
            </w:r>
            <w:r>
              <w:rPr>
                <w:color w:val="231F20"/>
                <w:sz w:val="14"/>
              </w:rPr>
              <w:t>држави;</w:t>
            </w:r>
          </w:p>
          <w:p w:rsidR="00041039" w:rsidRDefault="001B26CB">
            <w:pPr>
              <w:pStyle w:val="TableParagraph"/>
              <w:numPr>
                <w:ilvl w:val="0"/>
                <w:numId w:val="1166"/>
              </w:numPr>
              <w:tabs>
                <w:tab w:val="left" w:pos="157"/>
              </w:tabs>
              <w:spacing w:line="160" w:lineRule="exact"/>
              <w:ind w:right="225" w:hanging="99"/>
              <w:rPr>
                <w:sz w:val="14"/>
              </w:rPr>
            </w:pPr>
            <w:r>
              <w:rPr>
                <w:color w:val="231F20"/>
                <w:sz w:val="14"/>
              </w:rPr>
              <w:t>уочи и разуме међународни</w:t>
            </w:r>
            <w:r>
              <w:rPr>
                <w:color w:val="231F20"/>
                <w:spacing w:val="-26"/>
                <w:sz w:val="14"/>
              </w:rPr>
              <w:t xml:space="preserve"> </w:t>
            </w:r>
            <w:r>
              <w:rPr>
                <w:color w:val="231F20"/>
                <w:sz w:val="14"/>
              </w:rPr>
              <w:t>положај југословенске</w:t>
            </w:r>
            <w:r>
              <w:rPr>
                <w:color w:val="231F20"/>
                <w:spacing w:val="-1"/>
                <w:sz w:val="14"/>
              </w:rPr>
              <w:t xml:space="preserve"> </w:t>
            </w:r>
            <w:r>
              <w:rPr>
                <w:color w:val="231F20"/>
                <w:sz w:val="14"/>
              </w:rPr>
              <w:t>државе;</w:t>
            </w:r>
          </w:p>
          <w:p w:rsidR="00041039" w:rsidRDefault="001B26CB">
            <w:pPr>
              <w:pStyle w:val="TableParagraph"/>
              <w:numPr>
                <w:ilvl w:val="0"/>
                <w:numId w:val="1166"/>
              </w:numPr>
              <w:tabs>
                <w:tab w:val="left" w:pos="157"/>
              </w:tabs>
              <w:spacing w:line="160" w:lineRule="exact"/>
              <w:ind w:right="187" w:hanging="99"/>
              <w:rPr>
                <w:sz w:val="14"/>
              </w:rPr>
            </w:pPr>
            <w:r>
              <w:rPr>
                <w:color w:val="231F20"/>
                <w:sz w:val="14"/>
              </w:rPr>
              <w:t>образложи допринос југословенских</w:t>
            </w:r>
            <w:r>
              <w:rPr>
                <w:color w:val="231F20"/>
                <w:sz w:val="14"/>
              </w:rPr>
              <w:t xml:space="preserve"> антифашистичких покрета победи савезника у Другом светском</w:t>
            </w:r>
            <w:r>
              <w:rPr>
                <w:color w:val="231F20"/>
                <w:spacing w:val="-17"/>
                <w:sz w:val="14"/>
              </w:rPr>
              <w:t xml:space="preserve"> </w:t>
            </w:r>
            <w:r>
              <w:rPr>
                <w:color w:val="231F20"/>
                <w:sz w:val="14"/>
              </w:rPr>
              <w:t>рату;</w:t>
            </w:r>
          </w:p>
          <w:p w:rsidR="00041039" w:rsidRDefault="001B26CB">
            <w:pPr>
              <w:pStyle w:val="TableParagraph"/>
              <w:numPr>
                <w:ilvl w:val="0"/>
                <w:numId w:val="1166"/>
              </w:numPr>
              <w:tabs>
                <w:tab w:val="left" w:pos="157"/>
              </w:tabs>
              <w:spacing w:line="160" w:lineRule="exact"/>
              <w:ind w:right="196" w:hanging="99"/>
              <w:rPr>
                <w:sz w:val="14"/>
              </w:rPr>
            </w:pPr>
            <w:r>
              <w:rPr>
                <w:color w:val="231F20"/>
                <w:sz w:val="14"/>
              </w:rPr>
              <w:t>именује најважније личности које</w:t>
            </w:r>
            <w:r>
              <w:rPr>
                <w:color w:val="231F20"/>
                <w:spacing w:val="-21"/>
                <w:sz w:val="14"/>
              </w:rPr>
              <w:t xml:space="preserve"> </w:t>
            </w:r>
            <w:r>
              <w:rPr>
                <w:color w:val="231F20"/>
                <w:sz w:val="14"/>
              </w:rPr>
              <w:t>су утицале на друштвено ­ политичка збивања у</w:t>
            </w:r>
            <w:r>
              <w:rPr>
                <w:color w:val="231F20"/>
                <w:spacing w:val="-1"/>
                <w:sz w:val="14"/>
              </w:rPr>
              <w:t xml:space="preserve"> </w:t>
            </w:r>
            <w:r>
              <w:rPr>
                <w:color w:val="231F20"/>
                <w:sz w:val="14"/>
              </w:rPr>
              <w:t>Југославији;</w:t>
            </w:r>
          </w:p>
        </w:tc>
        <w:tc>
          <w:tcPr>
            <w:tcW w:w="2834" w:type="dxa"/>
          </w:tcPr>
          <w:p w:rsidR="00041039" w:rsidRDefault="001B26CB">
            <w:pPr>
              <w:pStyle w:val="TableParagraph"/>
              <w:numPr>
                <w:ilvl w:val="0"/>
                <w:numId w:val="1165"/>
              </w:numPr>
              <w:tabs>
                <w:tab w:val="left" w:pos="157"/>
              </w:tabs>
              <w:spacing w:before="8"/>
              <w:ind w:right="432" w:hanging="99"/>
              <w:rPr>
                <w:sz w:val="14"/>
              </w:rPr>
            </w:pPr>
            <w:r>
              <w:rPr>
                <w:color w:val="231F20"/>
                <w:sz w:val="14"/>
              </w:rPr>
              <w:t>Југословенска идеја и</w:t>
            </w:r>
            <w:r>
              <w:rPr>
                <w:color w:val="231F20"/>
                <w:spacing w:val="-20"/>
                <w:sz w:val="14"/>
              </w:rPr>
              <w:t xml:space="preserve"> </w:t>
            </w:r>
            <w:r>
              <w:rPr>
                <w:color w:val="231F20"/>
                <w:sz w:val="14"/>
              </w:rPr>
              <w:t>конституисање државе.</w:t>
            </w:r>
          </w:p>
          <w:p w:rsidR="00041039" w:rsidRDefault="001B26CB">
            <w:pPr>
              <w:pStyle w:val="TableParagraph"/>
              <w:numPr>
                <w:ilvl w:val="0"/>
                <w:numId w:val="1165"/>
              </w:numPr>
              <w:tabs>
                <w:tab w:val="left" w:pos="157"/>
              </w:tabs>
              <w:spacing w:before="1" w:line="160" w:lineRule="exact"/>
              <w:ind w:right="372" w:hanging="99"/>
              <w:rPr>
                <w:sz w:val="14"/>
              </w:rPr>
            </w:pPr>
            <w:r>
              <w:rPr>
                <w:color w:val="231F20"/>
                <w:sz w:val="14"/>
              </w:rPr>
              <w:t>Одлике политичког система у</w:t>
            </w:r>
            <w:r>
              <w:rPr>
                <w:color w:val="231F20"/>
                <w:spacing w:val="-22"/>
                <w:sz w:val="14"/>
              </w:rPr>
              <w:t xml:space="preserve"> </w:t>
            </w:r>
            <w:r>
              <w:rPr>
                <w:color w:val="231F20"/>
                <w:sz w:val="14"/>
              </w:rPr>
              <w:t>југосло­ венској краљевини (политичке борбе, Видовдански и Октроисани</w:t>
            </w:r>
            <w:r>
              <w:rPr>
                <w:color w:val="231F20"/>
                <w:spacing w:val="-3"/>
                <w:sz w:val="14"/>
              </w:rPr>
              <w:t xml:space="preserve"> </w:t>
            </w:r>
            <w:r>
              <w:rPr>
                <w:color w:val="231F20"/>
                <w:sz w:val="14"/>
              </w:rPr>
              <w:t>устав,</w:t>
            </w:r>
          </w:p>
          <w:p w:rsidR="00041039" w:rsidRDefault="001B26CB">
            <w:pPr>
              <w:pStyle w:val="TableParagraph"/>
              <w:spacing w:line="237" w:lineRule="auto"/>
              <w:rPr>
                <w:sz w:val="14"/>
              </w:rPr>
            </w:pPr>
            <w:r>
              <w:rPr>
                <w:color w:val="231F20"/>
                <w:sz w:val="14"/>
              </w:rPr>
              <w:t>лични режим краља Александра, стварање Бановине Хрватске и отварање српског питања).</w:t>
            </w:r>
          </w:p>
          <w:p w:rsidR="00041039" w:rsidRDefault="001B26CB">
            <w:pPr>
              <w:pStyle w:val="TableParagraph"/>
              <w:numPr>
                <w:ilvl w:val="0"/>
                <w:numId w:val="1165"/>
              </w:numPr>
              <w:tabs>
                <w:tab w:val="left" w:pos="157"/>
              </w:tabs>
              <w:spacing w:line="237" w:lineRule="auto"/>
              <w:ind w:right="92" w:hanging="99"/>
              <w:rPr>
                <w:sz w:val="14"/>
              </w:rPr>
            </w:pPr>
            <w:r>
              <w:rPr>
                <w:color w:val="231F20"/>
                <w:sz w:val="14"/>
              </w:rPr>
              <w:t>Априлски рат и последице пораза,</w:t>
            </w:r>
            <w:r>
              <w:rPr>
                <w:color w:val="231F20"/>
                <w:spacing w:val="-20"/>
                <w:sz w:val="14"/>
              </w:rPr>
              <w:t xml:space="preserve"> </w:t>
            </w:r>
            <w:r>
              <w:rPr>
                <w:color w:val="231F20"/>
                <w:sz w:val="14"/>
              </w:rPr>
              <w:t>геноцид над Србима у</w:t>
            </w:r>
            <w:r>
              <w:rPr>
                <w:color w:val="231F20"/>
                <w:spacing w:val="-2"/>
                <w:sz w:val="14"/>
              </w:rPr>
              <w:t xml:space="preserve"> </w:t>
            </w:r>
            <w:r>
              <w:rPr>
                <w:color w:val="231F20"/>
                <w:sz w:val="14"/>
              </w:rPr>
              <w:t>НДХ.</w:t>
            </w:r>
          </w:p>
          <w:p w:rsidR="00041039" w:rsidRDefault="001B26CB">
            <w:pPr>
              <w:pStyle w:val="TableParagraph"/>
              <w:numPr>
                <w:ilvl w:val="0"/>
                <w:numId w:val="1165"/>
              </w:numPr>
              <w:tabs>
                <w:tab w:val="left" w:pos="157"/>
              </w:tabs>
              <w:spacing w:line="155" w:lineRule="exact"/>
              <w:ind w:hanging="99"/>
              <w:rPr>
                <w:sz w:val="14"/>
              </w:rPr>
            </w:pPr>
            <w:r>
              <w:rPr>
                <w:color w:val="231F20"/>
                <w:sz w:val="14"/>
              </w:rPr>
              <w:t>Отпор, устанак и грађански</w:t>
            </w:r>
            <w:r>
              <w:rPr>
                <w:color w:val="231F20"/>
                <w:spacing w:val="-5"/>
                <w:sz w:val="14"/>
              </w:rPr>
              <w:t xml:space="preserve"> </w:t>
            </w:r>
            <w:r>
              <w:rPr>
                <w:color w:val="231F20"/>
                <w:spacing w:val="-4"/>
                <w:sz w:val="14"/>
              </w:rPr>
              <w:t>рат.</w:t>
            </w:r>
          </w:p>
          <w:p w:rsidR="00041039" w:rsidRDefault="001B26CB">
            <w:pPr>
              <w:pStyle w:val="TableParagraph"/>
              <w:numPr>
                <w:ilvl w:val="0"/>
                <w:numId w:val="1165"/>
              </w:numPr>
              <w:tabs>
                <w:tab w:val="left" w:pos="157"/>
              </w:tabs>
              <w:spacing w:line="237" w:lineRule="auto"/>
              <w:ind w:right="56" w:hanging="99"/>
              <w:rPr>
                <w:sz w:val="14"/>
              </w:rPr>
            </w:pPr>
            <w:r>
              <w:rPr>
                <w:color w:val="231F20"/>
                <w:sz w:val="14"/>
              </w:rPr>
              <w:t>Бил</w:t>
            </w:r>
            <w:r>
              <w:rPr>
                <w:color w:val="231F20"/>
                <w:sz w:val="14"/>
              </w:rPr>
              <w:t>анс рата и допринос Југославије</w:t>
            </w:r>
            <w:r>
              <w:rPr>
                <w:color w:val="231F20"/>
                <w:spacing w:val="-15"/>
                <w:sz w:val="14"/>
              </w:rPr>
              <w:t xml:space="preserve"> </w:t>
            </w:r>
            <w:r>
              <w:rPr>
                <w:color w:val="231F20"/>
                <w:sz w:val="14"/>
              </w:rPr>
              <w:t>победи антифашистичке</w:t>
            </w:r>
            <w:r>
              <w:rPr>
                <w:color w:val="231F20"/>
                <w:spacing w:val="-1"/>
                <w:sz w:val="14"/>
              </w:rPr>
              <w:t xml:space="preserve"> </w:t>
            </w:r>
            <w:r>
              <w:rPr>
                <w:color w:val="231F20"/>
                <w:sz w:val="14"/>
              </w:rPr>
              <w:t>коалиције.</w:t>
            </w:r>
          </w:p>
          <w:p w:rsidR="00041039" w:rsidRDefault="001B26CB">
            <w:pPr>
              <w:pStyle w:val="TableParagraph"/>
              <w:numPr>
                <w:ilvl w:val="0"/>
                <w:numId w:val="1165"/>
              </w:numPr>
              <w:tabs>
                <w:tab w:val="left" w:pos="157"/>
              </w:tabs>
              <w:spacing w:line="160" w:lineRule="exact"/>
              <w:ind w:right="187" w:hanging="99"/>
              <w:rPr>
                <w:sz w:val="14"/>
              </w:rPr>
            </w:pPr>
            <w:r>
              <w:rPr>
                <w:color w:val="231F20"/>
                <w:sz w:val="14"/>
              </w:rPr>
              <w:t>Проглашење</w:t>
            </w:r>
            <w:r>
              <w:rPr>
                <w:color w:val="231F20"/>
                <w:spacing w:val="-9"/>
                <w:sz w:val="14"/>
              </w:rPr>
              <w:t xml:space="preserve"> </w:t>
            </w:r>
            <w:r>
              <w:rPr>
                <w:color w:val="231F20"/>
                <w:sz w:val="14"/>
              </w:rPr>
              <w:t>републике</w:t>
            </w:r>
            <w:r>
              <w:rPr>
                <w:color w:val="231F20"/>
                <w:spacing w:val="-9"/>
                <w:sz w:val="14"/>
              </w:rPr>
              <w:t xml:space="preserve"> </w:t>
            </w:r>
            <w:r>
              <w:rPr>
                <w:color w:val="231F20"/>
                <w:sz w:val="14"/>
              </w:rPr>
              <w:t>и</w:t>
            </w:r>
            <w:r>
              <w:rPr>
                <w:color w:val="231F20"/>
                <w:spacing w:val="-9"/>
                <w:sz w:val="14"/>
              </w:rPr>
              <w:t xml:space="preserve"> </w:t>
            </w:r>
            <w:r>
              <w:rPr>
                <w:color w:val="231F20"/>
                <w:sz w:val="14"/>
              </w:rPr>
              <w:t>изградња</w:t>
            </w:r>
            <w:r>
              <w:rPr>
                <w:color w:val="231F20"/>
                <w:spacing w:val="-9"/>
                <w:sz w:val="14"/>
              </w:rPr>
              <w:t xml:space="preserve"> </w:t>
            </w:r>
            <w:r>
              <w:rPr>
                <w:color w:val="231F20"/>
                <w:sz w:val="14"/>
              </w:rPr>
              <w:t>новог државног и друштвеног</w:t>
            </w:r>
            <w:r>
              <w:rPr>
                <w:color w:val="231F20"/>
                <w:spacing w:val="-2"/>
                <w:sz w:val="14"/>
              </w:rPr>
              <w:t xml:space="preserve"> </w:t>
            </w:r>
            <w:r>
              <w:rPr>
                <w:color w:val="231F20"/>
                <w:sz w:val="14"/>
              </w:rPr>
              <w:t>уређења.</w:t>
            </w:r>
          </w:p>
          <w:p w:rsidR="00041039" w:rsidRDefault="001B26CB">
            <w:pPr>
              <w:pStyle w:val="TableParagraph"/>
              <w:numPr>
                <w:ilvl w:val="0"/>
                <w:numId w:val="1165"/>
              </w:numPr>
              <w:tabs>
                <w:tab w:val="left" w:pos="157"/>
              </w:tabs>
              <w:spacing w:line="160" w:lineRule="exact"/>
              <w:ind w:right="323" w:hanging="99"/>
              <w:rPr>
                <w:sz w:val="14"/>
              </w:rPr>
            </w:pPr>
            <w:r>
              <w:rPr>
                <w:color w:val="231F20"/>
                <w:spacing w:val="-3"/>
                <w:sz w:val="14"/>
              </w:rPr>
              <w:t xml:space="preserve">Сукоб </w:t>
            </w:r>
            <w:r>
              <w:rPr>
                <w:color w:val="231F20"/>
                <w:sz w:val="14"/>
              </w:rPr>
              <w:t xml:space="preserve">Југославије и социјалистичких земаља резолуција Информбироа, </w:t>
            </w:r>
            <w:r>
              <w:rPr>
                <w:color w:val="231F20"/>
                <w:spacing w:val="-5"/>
                <w:sz w:val="14"/>
              </w:rPr>
              <w:t xml:space="preserve">Голи </w:t>
            </w:r>
            <w:r>
              <w:rPr>
                <w:color w:val="231F20"/>
                <w:sz w:val="14"/>
              </w:rPr>
              <w:t>оток.</w:t>
            </w:r>
          </w:p>
          <w:p w:rsidR="00041039" w:rsidRDefault="001B26CB">
            <w:pPr>
              <w:pStyle w:val="TableParagraph"/>
              <w:numPr>
                <w:ilvl w:val="0"/>
                <w:numId w:val="1165"/>
              </w:numPr>
              <w:tabs>
                <w:tab w:val="left" w:pos="157"/>
              </w:tabs>
              <w:spacing w:line="153" w:lineRule="exact"/>
              <w:ind w:hanging="99"/>
              <w:rPr>
                <w:sz w:val="14"/>
              </w:rPr>
            </w:pPr>
            <w:r>
              <w:rPr>
                <w:color w:val="231F20"/>
                <w:sz w:val="14"/>
              </w:rPr>
              <w:t>Југославија између истока и</w:t>
            </w:r>
            <w:r>
              <w:rPr>
                <w:color w:val="231F20"/>
                <w:spacing w:val="-6"/>
                <w:sz w:val="14"/>
              </w:rPr>
              <w:t xml:space="preserve"> </w:t>
            </w:r>
            <w:r>
              <w:rPr>
                <w:color w:val="231F20"/>
                <w:sz w:val="14"/>
              </w:rPr>
              <w:t>запада.</w:t>
            </w:r>
          </w:p>
          <w:p w:rsidR="00041039" w:rsidRDefault="001B26CB">
            <w:pPr>
              <w:pStyle w:val="TableParagraph"/>
              <w:numPr>
                <w:ilvl w:val="0"/>
                <w:numId w:val="1165"/>
              </w:numPr>
              <w:tabs>
                <w:tab w:val="left" w:pos="157"/>
              </w:tabs>
              <w:spacing w:line="237" w:lineRule="auto"/>
              <w:ind w:right="105" w:hanging="99"/>
              <w:rPr>
                <w:sz w:val="14"/>
              </w:rPr>
            </w:pPr>
            <w:r>
              <w:rPr>
                <w:color w:val="231F20"/>
                <w:sz w:val="14"/>
              </w:rPr>
              <w:t>Разбијање и распад Југославије ­ пораз Југославије</w:t>
            </w:r>
            <w:r>
              <w:rPr>
                <w:color w:val="231F20"/>
                <w:spacing w:val="-8"/>
                <w:sz w:val="14"/>
              </w:rPr>
              <w:t xml:space="preserve"> </w:t>
            </w:r>
            <w:r>
              <w:rPr>
                <w:color w:val="231F20"/>
                <w:sz w:val="14"/>
              </w:rPr>
              <w:t>као</w:t>
            </w:r>
            <w:r>
              <w:rPr>
                <w:color w:val="231F20"/>
                <w:spacing w:val="-8"/>
                <w:sz w:val="14"/>
              </w:rPr>
              <w:t xml:space="preserve"> </w:t>
            </w:r>
            <w:r>
              <w:rPr>
                <w:color w:val="231F20"/>
                <w:sz w:val="14"/>
              </w:rPr>
              <w:t>идеје,</w:t>
            </w:r>
            <w:r>
              <w:rPr>
                <w:color w:val="231F20"/>
                <w:spacing w:val="-8"/>
                <w:sz w:val="14"/>
              </w:rPr>
              <w:t xml:space="preserve"> </w:t>
            </w:r>
            <w:r>
              <w:rPr>
                <w:color w:val="231F20"/>
                <w:sz w:val="14"/>
              </w:rPr>
              <w:t>политичког</w:t>
            </w:r>
            <w:r>
              <w:rPr>
                <w:color w:val="231F20"/>
                <w:spacing w:val="-8"/>
                <w:sz w:val="14"/>
              </w:rPr>
              <w:t xml:space="preserve"> </w:t>
            </w:r>
            <w:r>
              <w:rPr>
                <w:color w:val="231F20"/>
                <w:sz w:val="14"/>
              </w:rPr>
              <w:t>пројекта и друштвеног система, велике силе и југословенска криза, ратови у Словенији, Хрватској, Босни и Херцеговини, на­ станак нових држава, сукоби на</w:t>
            </w:r>
            <w:r>
              <w:rPr>
                <w:color w:val="231F20"/>
                <w:spacing w:val="-13"/>
                <w:sz w:val="14"/>
              </w:rPr>
              <w:t xml:space="preserve"> </w:t>
            </w:r>
            <w:r>
              <w:rPr>
                <w:color w:val="231F20"/>
                <w:sz w:val="14"/>
              </w:rPr>
              <w:t>Косову</w:t>
            </w:r>
          </w:p>
          <w:p w:rsidR="00041039" w:rsidRDefault="001B26CB">
            <w:pPr>
              <w:pStyle w:val="TableParagraph"/>
              <w:ind w:right="84"/>
              <w:rPr>
                <w:sz w:val="14"/>
              </w:rPr>
            </w:pPr>
            <w:r>
              <w:rPr>
                <w:color w:val="231F20"/>
                <w:sz w:val="14"/>
              </w:rPr>
              <w:t>и Метохији и НАТО интервенција 1999., Косовско питање, раздвајање Србије и Црне Горе.</w:t>
            </w:r>
          </w:p>
          <w:p w:rsidR="00041039" w:rsidRDefault="001B26CB">
            <w:pPr>
              <w:pStyle w:val="TableParagraph"/>
              <w:numPr>
                <w:ilvl w:val="0"/>
                <w:numId w:val="1165"/>
              </w:numPr>
              <w:tabs>
                <w:tab w:val="left" w:pos="157"/>
              </w:tabs>
              <w:spacing w:line="158" w:lineRule="exact"/>
              <w:ind w:hanging="99"/>
              <w:rPr>
                <w:sz w:val="14"/>
              </w:rPr>
            </w:pPr>
            <w:r>
              <w:rPr>
                <w:color w:val="231F20"/>
                <w:sz w:val="14"/>
              </w:rPr>
              <w:t>Најзначајније личности (краљ</w:t>
            </w:r>
            <w:r>
              <w:rPr>
                <w:color w:val="231F20"/>
                <w:spacing w:val="-9"/>
                <w:sz w:val="14"/>
              </w:rPr>
              <w:t xml:space="preserve"> </w:t>
            </w:r>
            <w:r>
              <w:rPr>
                <w:color w:val="231F20"/>
                <w:sz w:val="14"/>
              </w:rPr>
              <w:t>Александар</w:t>
            </w:r>
          </w:p>
          <w:p w:rsidR="00041039" w:rsidRDefault="001B26CB">
            <w:pPr>
              <w:pStyle w:val="TableParagraph"/>
              <w:numPr>
                <w:ilvl w:val="1"/>
                <w:numId w:val="1165"/>
              </w:numPr>
              <w:tabs>
                <w:tab w:val="left" w:pos="239"/>
              </w:tabs>
              <w:ind w:right="255" w:firstLine="0"/>
              <w:rPr>
                <w:sz w:val="14"/>
              </w:rPr>
            </w:pPr>
            <w:r>
              <w:rPr>
                <w:color w:val="231F20"/>
                <w:sz w:val="14"/>
              </w:rPr>
              <w:t xml:space="preserve">Карађорђевић, </w:t>
            </w:r>
            <w:r>
              <w:rPr>
                <w:color w:val="231F20"/>
                <w:spacing w:val="-3"/>
                <w:sz w:val="14"/>
              </w:rPr>
              <w:t xml:space="preserve">Никола </w:t>
            </w:r>
            <w:r>
              <w:rPr>
                <w:color w:val="231F20"/>
                <w:sz w:val="14"/>
              </w:rPr>
              <w:t xml:space="preserve">Пашић, Стјепан Радић, Љуба Давидовић, Светозар Прибићевић, Антон Корошец, Милан Стојадиновић, </w:t>
            </w:r>
            <w:r>
              <w:rPr>
                <w:color w:val="231F20"/>
                <w:spacing w:val="-2"/>
                <w:sz w:val="14"/>
              </w:rPr>
              <w:t xml:space="preserve">Влатко </w:t>
            </w:r>
            <w:r>
              <w:rPr>
                <w:color w:val="231F20"/>
                <w:sz w:val="14"/>
              </w:rPr>
              <w:t>Мачек, к</w:t>
            </w:r>
            <w:r>
              <w:rPr>
                <w:color w:val="231F20"/>
                <w:sz w:val="14"/>
              </w:rPr>
              <w:t>нез Павле Карађорђевић, краљ</w:t>
            </w:r>
            <w:r>
              <w:rPr>
                <w:color w:val="231F20"/>
                <w:spacing w:val="-3"/>
                <w:sz w:val="14"/>
              </w:rPr>
              <w:t xml:space="preserve"> </w:t>
            </w:r>
            <w:r>
              <w:rPr>
                <w:color w:val="231F20"/>
                <w:sz w:val="14"/>
              </w:rPr>
              <w:t>Петар</w:t>
            </w:r>
          </w:p>
          <w:p w:rsidR="00041039" w:rsidRDefault="001B26CB">
            <w:pPr>
              <w:pStyle w:val="TableParagraph"/>
              <w:numPr>
                <w:ilvl w:val="1"/>
                <w:numId w:val="1165"/>
              </w:numPr>
              <w:tabs>
                <w:tab w:val="left" w:pos="285"/>
              </w:tabs>
              <w:spacing w:line="237" w:lineRule="auto"/>
              <w:ind w:right="158" w:firstLine="0"/>
              <w:rPr>
                <w:sz w:val="14"/>
              </w:rPr>
            </w:pPr>
            <w:r>
              <w:rPr>
                <w:color w:val="231F20"/>
                <w:sz w:val="14"/>
              </w:rPr>
              <w:t>Карађорђевић, генерал Драгољуб Михаиловић, генерал Милан Недић,</w:t>
            </w:r>
            <w:r>
              <w:rPr>
                <w:color w:val="231F20"/>
                <w:spacing w:val="-17"/>
                <w:sz w:val="14"/>
              </w:rPr>
              <w:t xml:space="preserve"> </w:t>
            </w:r>
            <w:r>
              <w:rPr>
                <w:color w:val="231F20"/>
                <w:sz w:val="14"/>
              </w:rPr>
              <w:t>Анте Павелић, Јосип Броз Тито, Слободан Милошевић, Фрањо</w:t>
            </w:r>
            <w:r>
              <w:rPr>
                <w:color w:val="231F20"/>
                <w:spacing w:val="-4"/>
                <w:sz w:val="14"/>
              </w:rPr>
              <w:t xml:space="preserve"> </w:t>
            </w:r>
            <w:r>
              <w:rPr>
                <w:color w:val="231F20"/>
                <w:sz w:val="14"/>
              </w:rPr>
              <w:t>Туђман...).</w:t>
            </w:r>
          </w:p>
        </w:tc>
        <w:tc>
          <w:tcPr>
            <w:tcW w:w="2267" w:type="dxa"/>
            <w:vMerge w:val="restart"/>
          </w:tcPr>
          <w:p w:rsidR="00041039" w:rsidRDefault="001B26CB">
            <w:pPr>
              <w:pStyle w:val="TableParagraph"/>
              <w:numPr>
                <w:ilvl w:val="0"/>
                <w:numId w:val="1164"/>
              </w:numPr>
              <w:tabs>
                <w:tab w:val="left" w:pos="158"/>
              </w:tabs>
              <w:spacing w:before="9"/>
              <w:ind w:right="127" w:hanging="99"/>
              <w:rPr>
                <w:sz w:val="14"/>
              </w:rPr>
            </w:pPr>
            <w:r>
              <w:rPr>
                <w:color w:val="231F20"/>
                <w:sz w:val="14"/>
              </w:rPr>
              <w:t xml:space="preserve">важно је искористити велике могућности које историја као наративни предмет пружа у под­ </w:t>
            </w:r>
            <w:r>
              <w:rPr>
                <w:color w:val="231F20"/>
                <w:sz w:val="14"/>
              </w:rPr>
              <w:t>стицању ученичке радозналости, која је у основи сваког</w:t>
            </w:r>
            <w:r>
              <w:rPr>
                <w:color w:val="231F20"/>
                <w:spacing w:val="-10"/>
                <w:sz w:val="14"/>
              </w:rPr>
              <w:t xml:space="preserve"> </w:t>
            </w:r>
            <w:r>
              <w:rPr>
                <w:color w:val="231F20"/>
                <w:sz w:val="14"/>
              </w:rPr>
              <w:t>сазнања;</w:t>
            </w:r>
          </w:p>
          <w:p w:rsidR="00041039" w:rsidRDefault="001B26CB">
            <w:pPr>
              <w:pStyle w:val="TableParagraph"/>
              <w:numPr>
                <w:ilvl w:val="0"/>
                <w:numId w:val="1164"/>
              </w:numPr>
              <w:tabs>
                <w:tab w:val="left" w:pos="158"/>
              </w:tabs>
              <w:spacing w:line="155" w:lineRule="exact"/>
              <w:ind w:hanging="99"/>
              <w:rPr>
                <w:sz w:val="14"/>
              </w:rPr>
            </w:pPr>
            <w:r>
              <w:rPr>
                <w:color w:val="231F20"/>
                <w:sz w:val="14"/>
              </w:rPr>
              <w:t xml:space="preserve">наставни садржаји треба да </w:t>
            </w:r>
            <w:r>
              <w:rPr>
                <w:color w:val="231F20"/>
                <w:spacing w:val="-4"/>
                <w:sz w:val="14"/>
              </w:rPr>
              <w:t>буду</w:t>
            </w:r>
          </w:p>
          <w:p w:rsidR="00041039" w:rsidRDefault="001B26CB">
            <w:pPr>
              <w:pStyle w:val="TableParagraph"/>
              <w:ind w:left="157" w:right="18"/>
              <w:rPr>
                <w:sz w:val="14"/>
              </w:rPr>
            </w:pPr>
            <w:r>
              <w:rPr>
                <w:color w:val="231F20"/>
                <w:sz w:val="14"/>
              </w:rPr>
              <w:t>представљени као „прича” богата информацијама и детаљима, не зато даби оптеретили памћење ученика, већ даби им историјски догађаји, појаве и процеси били предочени јасно, детаљно, живо и динамично;</w:t>
            </w:r>
          </w:p>
          <w:p w:rsidR="00041039" w:rsidRDefault="001B26CB">
            <w:pPr>
              <w:pStyle w:val="TableParagraph"/>
              <w:numPr>
                <w:ilvl w:val="0"/>
                <w:numId w:val="1164"/>
              </w:numPr>
              <w:tabs>
                <w:tab w:val="left" w:pos="158"/>
              </w:tabs>
              <w:spacing w:line="154" w:lineRule="exact"/>
              <w:ind w:hanging="99"/>
              <w:rPr>
                <w:sz w:val="14"/>
              </w:rPr>
            </w:pPr>
            <w:r>
              <w:rPr>
                <w:color w:val="231F20"/>
                <w:sz w:val="14"/>
              </w:rPr>
              <w:t>посебно место у настави</w:t>
            </w:r>
            <w:r>
              <w:rPr>
                <w:color w:val="231F20"/>
                <w:spacing w:val="-2"/>
                <w:sz w:val="14"/>
              </w:rPr>
              <w:t xml:space="preserve"> </w:t>
            </w:r>
            <w:r>
              <w:rPr>
                <w:color w:val="231F20"/>
                <w:sz w:val="14"/>
              </w:rPr>
              <w:t>историје</w:t>
            </w:r>
          </w:p>
          <w:p w:rsidR="00041039" w:rsidRDefault="001B26CB">
            <w:pPr>
              <w:pStyle w:val="TableParagraph"/>
              <w:ind w:left="157" w:right="71"/>
              <w:rPr>
                <w:sz w:val="14"/>
              </w:rPr>
            </w:pPr>
            <w:r>
              <w:rPr>
                <w:color w:val="231F20"/>
                <w:sz w:val="14"/>
              </w:rPr>
              <w:t xml:space="preserve">имају питања, </w:t>
            </w:r>
            <w:r>
              <w:rPr>
                <w:color w:val="231F20"/>
                <w:spacing w:val="-3"/>
                <w:sz w:val="14"/>
              </w:rPr>
              <w:t xml:space="preserve">како </w:t>
            </w:r>
            <w:r>
              <w:rPr>
                <w:color w:val="231F20"/>
                <w:sz w:val="14"/>
              </w:rPr>
              <w:t>она ко</w:t>
            </w:r>
            <w:r>
              <w:rPr>
                <w:color w:val="231F20"/>
                <w:sz w:val="14"/>
              </w:rPr>
              <w:t xml:space="preserve">ја поставља наставник ученицима, тако и она која долазе </w:t>
            </w:r>
            <w:r>
              <w:rPr>
                <w:color w:val="231F20"/>
                <w:spacing w:val="-3"/>
                <w:sz w:val="14"/>
              </w:rPr>
              <w:t>од</w:t>
            </w:r>
            <w:r>
              <w:rPr>
                <w:color w:val="231F20"/>
                <w:spacing w:val="-23"/>
                <w:sz w:val="14"/>
              </w:rPr>
              <w:t xml:space="preserve"> </w:t>
            </w:r>
            <w:r>
              <w:rPr>
                <w:color w:val="231F20"/>
                <w:sz w:val="14"/>
              </w:rPr>
              <w:t>ученика, подстакнута оним што су чули у учионици или што су сазнали ван ње користећи различите изворе информација, добро  осмишље­ на питања наставника имају подстицајну функцију за развој историјс</w:t>
            </w:r>
            <w:r>
              <w:rPr>
                <w:color w:val="231F20"/>
                <w:sz w:val="14"/>
              </w:rPr>
              <w:t>ког мишљења и</w:t>
            </w:r>
            <w:r>
              <w:rPr>
                <w:color w:val="231F20"/>
                <w:spacing w:val="-16"/>
                <w:sz w:val="14"/>
              </w:rPr>
              <w:t xml:space="preserve"> </w:t>
            </w:r>
            <w:r>
              <w:rPr>
                <w:color w:val="231F20"/>
                <w:sz w:val="14"/>
              </w:rPr>
              <w:t>критичке свести, не само у фази утврђи­ вања и систематизације градива, већ и у самој обради наставних садржаја;</w:t>
            </w:r>
          </w:p>
          <w:p w:rsidR="00041039" w:rsidRDefault="001B26CB">
            <w:pPr>
              <w:pStyle w:val="TableParagraph"/>
              <w:numPr>
                <w:ilvl w:val="0"/>
                <w:numId w:val="1164"/>
              </w:numPr>
              <w:tabs>
                <w:tab w:val="left" w:pos="158"/>
              </w:tabs>
              <w:spacing w:line="147" w:lineRule="exact"/>
              <w:ind w:hanging="99"/>
              <w:rPr>
                <w:sz w:val="14"/>
              </w:rPr>
            </w:pPr>
            <w:r>
              <w:rPr>
                <w:color w:val="231F20"/>
                <w:sz w:val="14"/>
              </w:rPr>
              <w:t xml:space="preserve">у зависности </w:t>
            </w:r>
            <w:r>
              <w:rPr>
                <w:color w:val="231F20"/>
                <w:spacing w:val="-3"/>
                <w:sz w:val="14"/>
              </w:rPr>
              <w:t xml:space="preserve">од </w:t>
            </w:r>
            <w:r>
              <w:rPr>
                <w:color w:val="231F20"/>
                <w:sz w:val="14"/>
              </w:rPr>
              <w:t>циља који</w:t>
            </w:r>
            <w:r>
              <w:rPr>
                <w:color w:val="231F20"/>
                <w:spacing w:val="-4"/>
                <w:sz w:val="14"/>
              </w:rPr>
              <w:t xml:space="preserve"> </w:t>
            </w:r>
            <w:r>
              <w:rPr>
                <w:color w:val="231F20"/>
                <w:sz w:val="14"/>
              </w:rPr>
              <w:t>на­</w:t>
            </w:r>
          </w:p>
          <w:p w:rsidR="00041039" w:rsidRDefault="001B26CB">
            <w:pPr>
              <w:pStyle w:val="TableParagraph"/>
              <w:ind w:left="157" w:right="81"/>
              <w:rPr>
                <w:sz w:val="14"/>
              </w:rPr>
            </w:pPr>
            <w:r>
              <w:rPr>
                <w:color w:val="231F20"/>
                <w:sz w:val="14"/>
              </w:rPr>
              <w:t>ставник жели да оствари, питања могу имати различите функције, као што су: фокусирање пажње на неки</w:t>
            </w:r>
            <w:r>
              <w:rPr>
                <w:color w:val="231F20"/>
                <w:sz w:val="14"/>
              </w:rPr>
              <w:t xml:space="preserve"> садржај или аспект, подстицање поређења, трагање</w:t>
            </w:r>
            <w:r>
              <w:rPr>
                <w:color w:val="231F20"/>
                <w:spacing w:val="-14"/>
                <w:sz w:val="14"/>
              </w:rPr>
              <w:t xml:space="preserve"> </w:t>
            </w:r>
            <w:r>
              <w:rPr>
                <w:color w:val="231F20"/>
                <w:sz w:val="14"/>
              </w:rPr>
              <w:t>за појашњењем;</w:t>
            </w:r>
          </w:p>
          <w:p w:rsidR="00041039" w:rsidRDefault="001B26CB">
            <w:pPr>
              <w:pStyle w:val="TableParagraph"/>
              <w:numPr>
                <w:ilvl w:val="0"/>
                <w:numId w:val="1164"/>
              </w:numPr>
              <w:tabs>
                <w:tab w:val="left" w:pos="158"/>
              </w:tabs>
              <w:spacing w:line="155" w:lineRule="exact"/>
              <w:ind w:hanging="99"/>
              <w:rPr>
                <w:sz w:val="14"/>
              </w:rPr>
            </w:pPr>
            <w:r>
              <w:rPr>
                <w:color w:val="231F20"/>
                <w:sz w:val="14"/>
              </w:rPr>
              <w:t>настава би требало да</w:t>
            </w:r>
            <w:r>
              <w:rPr>
                <w:color w:val="231F20"/>
                <w:spacing w:val="-4"/>
                <w:sz w:val="14"/>
              </w:rPr>
              <w:t xml:space="preserve"> </w:t>
            </w:r>
            <w:r>
              <w:rPr>
                <w:color w:val="231F20"/>
                <w:sz w:val="14"/>
              </w:rPr>
              <w:t>помогне</w:t>
            </w:r>
          </w:p>
          <w:p w:rsidR="00041039" w:rsidRDefault="001B26CB">
            <w:pPr>
              <w:pStyle w:val="TableParagraph"/>
              <w:ind w:left="157" w:right="104"/>
              <w:rPr>
                <w:sz w:val="14"/>
              </w:rPr>
            </w:pPr>
            <w:r>
              <w:rPr>
                <w:color w:val="231F20"/>
                <w:sz w:val="14"/>
              </w:rPr>
              <w:t>ученицима у стварању што јасније представе не само о томе шта се десило, већ и зашто се то десило и какве су последице из тога проистекле;</w:t>
            </w:r>
          </w:p>
          <w:p w:rsidR="00041039" w:rsidRDefault="001B26CB">
            <w:pPr>
              <w:pStyle w:val="TableParagraph"/>
              <w:numPr>
                <w:ilvl w:val="0"/>
                <w:numId w:val="1164"/>
              </w:numPr>
              <w:tabs>
                <w:tab w:val="left" w:pos="158"/>
              </w:tabs>
              <w:spacing w:line="156" w:lineRule="exact"/>
              <w:ind w:hanging="99"/>
              <w:rPr>
                <w:sz w:val="14"/>
              </w:rPr>
            </w:pPr>
            <w:r>
              <w:rPr>
                <w:color w:val="231F20"/>
                <w:sz w:val="14"/>
              </w:rPr>
              <w:t>у настави треба што</w:t>
            </w:r>
            <w:r>
              <w:rPr>
                <w:color w:val="231F20"/>
                <w:spacing w:val="-2"/>
                <w:sz w:val="14"/>
              </w:rPr>
              <w:t xml:space="preserve"> </w:t>
            </w:r>
            <w:r>
              <w:rPr>
                <w:color w:val="231F20"/>
                <w:sz w:val="14"/>
              </w:rPr>
              <w:t>више</w:t>
            </w:r>
          </w:p>
          <w:p w:rsidR="00041039" w:rsidRDefault="001B26CB">
            <w:pPr>
              <w:pStyle w:val="TableParagraph"/>
              <w:ind w:left="157" w:right="51"/>
              <w:rPr>
                <w:sz w:val="14"/>
              </w:rPr>
            </w:pPr>
            <w:r>
              <w:rPr>
                <w:color w:val="231F20"/>
                <w:sz w:val="14"/>
              </w:rPr>
              <w:t>користити различите облике организоване активности ученика (индивидуални рад, рад у пару, рад у групи, радионице или домаћи задатак);</w:t>
            </w:r>
          </w:p>
          <w:p w:rsidR="00041039" w:rsidRDefault="001B26CB">
            <w:pPr>
              <w:pStyle w:val="TableParagraph"/>
              <w:numPr>
                <w:ilvl w:val="0"/>
                <w:numId w:val="1164"/>
              </w:numPr>
              <w:tabs>
                <w:tab w:val="left" w:pos="158"/>
              </w:tabs>
              <w:spacing w:line="156" w:lineRule="exact"/>
              <w:ind w:hanging="99"/>
              <w:rPr>
                <w:sz w:val="14"/>
              </w:rPr>
            </w:pPr>
            <w:r>
              <w:rPr>
                <w:color w:val="231F20"/>
                <w:sz w:val="14"/>
              </w:rPr>
              <w:t>да би схватио догађаје из</w:t>
            </w:r>
            <w:r>
              <w:rPr>
                <w:color w:val="231F20"/>
                <w:spacing w:val="-15"/>
                <w:sz w:val="14"/>
              </w:rPr>
              <w:t xml:space="preserve"> </w:t>
            </w:r>
            <w:r>
              <w:rPr>
                <w:color w:val="231F20"/>
                <w:sz w:val="14"/>
              </w:rPr>
              <w:t>прошло­</w:t>
            </w:r>
          </w:p>
          <w:p w:rsidR="00041039" w:rsidRDefault="001B26CB">
            <w:pPr>
              <w:pStyle w:val="TableParagraph"/>
              <w:ind w:left="157" w:right="59"/>
              <w:rPr>
                <w:sz w:val="14"/>
              </w:rPr>
            </w:pPr>
            <w:r>
              <w:rPr>
                <w:color w:val="231F20"/>
                <w:sz w:val="14"/>
              </w:rPr>
              <w:t>сти, ученик треба да их „оживи у свом уму”, у чему велику помоћ може пружити употре</w:t>
            </w:r>
            <w:r>
              <w:rPr>
                <w:color w:val="231F20"/>
                <w:sz w:val="14"/>
              </w:rPr>
              <w:t>ба различи­ тих историјских текстова, карата и других извора историјских података (документарни и играни видео и дигитални материјали, музејски експонати, илустра­ ције), обилажење културно ­ историјских споменика и посете установама културе;</w:t>
            </w:r>
          </w:p>
          <w:p w:rsidR="00041039" w:rsidRDefault="001B26CB">
            <w:pPr>
              <w:pStyle w:val="TableParagraph"/>
              <w:numPr>
                <w:ilvl w:val="0"/>
                <w:numId w:val="1164"/>
              </w:numPr>
              <w:tabs>
                <w:tab w:val="left" w:pos="158"/>
              </w:tabs>
              <w:spacing w:line="150" w:lineRule="exact"/>
              <w:ind w:hanging="99"/>
              <w:rPr>
                <w:sz w:val="14"/>
              </w:rPr>
            </w:pPr>
            <w:r>
              <w:rPr>
                <w:color w:val="231F20"/>
                <w:sz w:val="14"/>
              </w:rPr>
              <w:t>треба искорис</w:t>
            </w:r>
            <w:r>
              <w:rPr>
                <w:color w:val="231F20"/>
                <w:sz w:val="14"/>
              </w:rPr>
              <w:t>тити и</w:t>
            </w:r>
            <w:r>
              <w:rPr>
                <w:color w:val="231F20"/>
                <w:spacing w:val="-3"/>
                <w:sz w:val="14"/>
              </w:rPr>
              <w:t xml:space="preserve"> </w:t>
            </w:r>
            <w:r>
              <w:rPr>
                <w:color w:val="231F20"/>
                <w:sz w:val="14"/>
              </w:rPr>
              <w:t>утицај</w:t>
            </w:r>
          </w:p>
          <w:p w:rsidR="00041039" w:rsidRDefault="001B26CB">
            <w:pPr>
              <w:pStyle w:val="TableParagraph"/>
              <w:ind w:left="157"/>
              <w:rPr>
                <w:sz w:val="14"/>
              </w:rPr>
            </w:pPr>
            <w:r>
              <w:rPr>
                <w:color w:val="231F20"/>
                <w:sz w:val="14"/>
              </w:rPr>
              <w:t>наставе историје на развијање језичке и говорне културе (бесед­ ништва), јер историјски садржаји богате и оплемењују језички фонд ученика;</w:t>
            </w:r>
          </w:p>
          <w:p w:rsidR="00041039" w:rsidRDefault="001B26CB">
            <w:pPr>
              <w:pStyle w:val="TableParagraph"/>
              <w:numPr>
                <w:ilvl w:val="0"/>
                <w:numId w:val="1164"/>
              </w:numPr>
              <w:tabs>
                <w:tab w:val="left" w:pos="158"/>
              </w:tabs>
              <w:spacing w:line="156" w:lineRule="exact"/>
              <w:ind w:hanging="99"/>
              <w:rPr>
                <w:sz w:val="14"/>
              </w:rPr>
            </w:pPr>
            <w:r>
              <w:rPr>
                <w:color w:val="231F20"/>
                <w:sz w:val="14"/>
              </w:rPr>
              <w:t>у раду са ученицима неопходно</w:t>
            </w:r>
            <w:r>
              <w:rPr>
                <w:color w:val="231F20"/>
                <w:spacing w:val="-11"/>
                <w:sz w:val="14"/>
              </w:rPr>
              <w:t xml:space="preserve"> </w:t>
            </w:r>
            <w:r>
              <w:rPr>
                <w:color w:val="231F20"/>
                <w:sz w:val="14"/>
              </w:rPr>
              <w:t>је</w:t>
            </w:r>
          </w:p>
          <w:p w:rsidR="00041039" w:rsidRDefault="001B26CB">
            <w:pPr>
              <w:pStyle w:val="TableParagraph"/>
              <w:ind w:left="157" w:right="65"/>
              <w:rPr>
                <w:sz w:val="14"/>
              </w:rPr>
            </w:pPr>
            <w:r>
              <w:rPr>
                <w:color w:val="231F20"/>
                <w:sz w:val="14"/>
              </w:rPr>
              <w:t>имати у виду интегративну функ­ цију историје, која у образовном систе</w:t>
            </w:r>
            <w:r>
              <w:rPr>
                <w:color w:val="231F20"/>
                <w:sz w:val="14"/>
              </w:rPr>
              <w:t>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041039" w:rsidRDefault="001B26CB">
            <w:pPr>
              <w:pStyle w:val="TableParagraph"/>
              <w:numPr>
                <w:ilvl w:val="0"/>
                <w:numId w:val="1164"/>
              </w:numPr>
              <w:tabs>
                <w:tab w:val="left" w:pos="158"/>
              </w:tabs>
              <w:spacing w:line="151" w:lineRule="exact"/>
              <w:ind w:hanging="99"/>
              <w:rPr>
                <w:sz w:val="14"/>
              </w:rPr>
            </w:pPr>
            <w:r>
              <w:rPr>
                <w:color w:val="231F20"/>
                <w:sz w:val="14"/>
              </w:rPr>
              <w:t>пожељно је избегавати</w:t>
            </w:r>
            <w:r>
              <w:rPr>
                <w:color w:val="231F20"/>
                <w:spacing w:val="-4"/>
                <w:sz w:val="14"/>
              </w:rPr>
              <w:t xml:space="preserve"> </w:t>
            </w:r>
            <w:r>
              <w:rPr>
                <w:color w:val="231F20"/>
                <w:sz w:val="14"/>
              </w:rPr>
              <w:t>фраг­</w:t>
            </w:r>
          </w:p>
          <w:p w:rsidR="00041039" w:rsidRDefault="001B26CB">
            <w:pPr>
              <w:pStyle w:val="TableParagraph"/>
              <w:ind w:left="157" w:right="105"/>
              <w:rPr>
                <w:sz w:val="14"/>
              </w:rPr>
            </w:pPr>
            <w:r>
              <w:rPr>
                <w:color w:val="231F20"/>
                <w:sz w:val="14"/>
              </w:rPr>
              <w:t>ментарно и изоловано учење историјских чињеница јер оно има најкраће трајање у памћењу и најслабији трансфер у стицању других знања и вештина;</w:t>
            </w:r>
          </w:p>
          <w:p w:rsidR="00041039" w:rsidRDefault="001B26CB">
            <w:pPr>
              <w:pStyle w:val="TableParagraph"/>
              <w:numPr>
                <w:ilvl w:val="0"/>
                <w:numId w:val="1164"/>
              </w:numPr>
              <w:tabs>
                <w:tab w:val="left" w:pos="158"/>
              </w:tabs>
              <w:spacing w:line="156" w:lineRule="exact"/>
              <w:ind w:hanging="99"/>
              <w:rPr>
                <w:sz w:val="14"/>
              </w:rPr>
            </w:pPr>
            <w:r>
              <w:rPr>
                <w:color w:val="231F20"/>
                <w:sz w:val="14"/>
              </w:rPr>
              <w:t xml:space="preserve">у настави треба, кад </w:t>
            </w:r>
            <w:r>
              <w:rPr>
                <w:color w:val="231F20"/>
                <w:spacing w:val="-3"/>
                <w:sz w:val="14"/>
              </w:rPr>
              <w:t xml:space="preserve">год </w:t>
            </w:r>
            <w:r>
              <w:rPr>
                <w:color w:val="231F20"/>
                <w:sz w:val="14"/>
              </w:rPr>
              <w:t>је то</w:t>
            </w:r>
          </w:p>
          <w:p w:rsidR="00041039" w:rsidRDefault="001B26CB">
            <w:pPr>
              <w:pStyle w:val="TableParagraph"/>
              <w:spacing w:line="160" w:lineRule="exact"/>
              <w:ind w:left="157"/>
              <w:rPr>
                <w:sz w:val="14"/>
              </w:rPr>
            </w:pPr>
            <w:r>
              <w:rPr>
                <w:color w:val="231F20"/>
                <w:sz w:val="14"/>
              </w:rPr>
              <w:t>могуће, примењивати дидактички концепт мултиперспективности;</w:t>
            </w:r>
          </w:p>
        </w:tc>
      </w:tr>
      <w:tr w:rsidR="00041039">
        <w:trPr>
          <w:trHeight w:val="7510"/>
        </w:trPr>
        <w:tc>
          <w:tcPr>
            <w:tcW w:w="1304" w:type="dxa"/>
          </w:tcPr>
          <w:p w:rsidR="00041039" w:rsidRDefault="001B26CB">
            <w:pPr>
              <w:pStyle w:val="TableParagraph"/>
              <w:spacing w:before="21"/>
              <w:ind w:left="56" w:right="85"/>
              <w:rPr>
                <w:sz w:val="14"/>
              </w:rPr>
            </w:pPr>
            <w:r>
              <w:rPr>
                <w:color w:val="231F20"/>
                <w:sz w:val="14"/>
              </w:rPr>
              <w:t>Достигнућа српске ку</w:t>
            </w:r>
            <w:r>
              <w:rPr>
                <w:color w:val="231F20"/>
                <w:sz w:val="14"/>
              </w:rPr>
              <w:t>лтуре</w:t>
            </w:r>
          </w:p>
        </w:tc>
        <w:tc>
          <w:tcPr>
            <w:tcW w:w="1587" w:type="dxa"/>
          </w:tcPr>
          <w:p w:rsidR="00041039" w:rsidRDefault="001B26CB">
            <w:pPr>
              <w:pStyle w:val="TableParagraph"/>
              <w:numPr>
                <w:ilvl w:val="0"/>
                <w:numId w:val="1163"/>
              </w:numPr>
              <w:tabs>
                <w:tab w:val="left" w:pos="157"/>
              </w:tabs>
              <w:spacing w:before="11"/>
              <w:ind w:right="324"/>
              <w:jc w:val="both"/>
              <w:rPr>
                <w:sz w:val="14"/>
              </w:rPr>
            </w:pPr>
            <w:r>
              <w:rPr>
                <w:color w:val="231F20"/>
                <w:sz w:val="14"/>
              </w:rPr>
              <w:t>Разумевање појма српског</w:t>
            </w:r>
            <w:r>
              <w:rPr>
                <w:color w:val="231F20"/>
                <w:spacing w:val="-18"/>
                <w:sz w:val="14"/>
              </w:rPr>
              <w:t xml:space="preserve"> </w:t>
            </w:r>
            <w:r>
              <w:rPr>
                <w:color w:val="231F20"/>
                <w:sz w:val="14"/>
              </w:rPr>
              <w:t>културног простора.</w:t>
            </w:r>
          </w:p>
          <w:p w:rsidR="00041039" w:rsidRDefault="001B26CB">
            <w:pPr>
              <w:pStyle w:val="TableParagraph"/>
              <w:numPr>
                <w:ilvl w:val="0"/>
                <w:numId w:val="1163"/>
              </w:numPr>
              <w:tabs>
                <w:tab w:val="left" w:pos="157"/>
              </w:tabs>
              <w:spacing w:line="157" w:lineRule="exact"/>
              <w:rPr>
                <w:sz w:val="14"/>
              </w:rPr>
            </w:pPr>
            <w:r>
              <w:rPr>
                <w:color w:val="231F20"/>
                <w:sz w:val="14"/>
              </w:rPr>
              <w:t>Развијање</w:t>
            </w:r>
            <w:r>
              <w:rPr>
                <w:color w:val="231F20"/>
                <w:spacing w:val="-2"/>
                <w:sz w:val="14"/>
              </w:rPr>
              <w:t xml:space="preserve"> </w:t>
            </w:r>
            <w:r>
              <w:rPr>
                <w:color w:val="231F20"/>
                <w:sz w:val="14"/>
              </w:rPr>
              <w:t>свести</w:t>
            </w:r>
          </w:p>
          <w:p w:rsidR="00041039" w:rsidRDefault="001B26CB">
            <w:pPr>
              <w:pStyle w:val="TableParagraph"/>
              <w:numPr>
                <w:ilvl w:val="1"/>
                <w:numId w:val="1163"/>
              </w:numPr>
              <w:tabs>
                <w:tab w:val="left" w:pos="262"/>
              </w:tabs>
              <w:ind w:right="173" w:firstLine="0"/>
              <w:rPr>
                <w:sz w:val="14"/>
              </w:rPr>
            </w:pPr>
            <w:r>
              <w:rPr>
                <w:color w:val="231F20"/>
                <w:sz w:val="14"/>
              </w:rPr>
              <w:t>вишевековном континуитету</w:t>
            </w:r>
            <w:r>
              <w:rPr>
                <w:color w:val="231F20"/>
                <w:spacing w:val="-13"/>
                <w:sz w:val="14"/>
              </w:rPr>
              <w:t xml:space="preserve"> </w:t>
            </w:r>
            <w:r>
              <w:rPr>
                <w:color w:val="231F20"/>
                <w:sz w:val="14"/>
              </w:rPr>
              <w:t>српске културе.</w:t>
            </w:r>
          </w:p>
          <w:p w:rsidR="00041039" w:rsidRDefault="001B26CB">
            <w:pPr>
              <w:pStyle w:val="TableParagraph"/>
              <w:numPr>
                <w:ilvl w:val="0"/>
                <w:numId w:val="1163"/>
              </w:numPr>
              <w:tabs>
                <w:tab w:val="left" w:pos="157"/>
              </w:tabs>
              <w:spacing w:line="158" w:lineRule="exact"/>
              <w:rPr>
                <w:sz w:val="14"/>
              </w:rPr>
            </w:pPr>
            <w:r>
              <w:rPr>
                <w:color w:val="231F20"/>
                <w:sz w:val="14"/>
              </w:rPr>
              <w:t>Сагледавање</w:t>
            </w:r>
            <w:r>
              <w:rPr>
                <w:color w:val="231F20"/>
                <w:spacing w:val="-3"/>
                <w:sz w:val="14"/>
              </w:rPr>
              <w:t xml:space="preserve"> </w:t>
            </w:r>
            <w:r>
              <w:rPr>
                <w:color w:val="231F20"/>
                <w:sz w:val="14"/>
              </w:rPr>
              <w:t>српске</w:t>
            </w:r>
          </w:p>
          <w:p w:rsidR="00041039" w:rsidRDefault="001B26CB">
            <w:pPr>
              <w:pStyle w:val="TableParagraph"/>
              <w:ind w:right="15"/>
              <w:rPr>
                <w:sz w:val="14"/>
              </w:rPr>
            </w:pPr>
            <w:r>
              <w:rPr>
                <w:color w:val="231F20"/>
                <w:sz w:val="14"/>
              </w:rPr>
              <w:t>културе као дела европског културног наслеђа.</w:t>
            </w:r>
          </w:p>
          <w:p w:rsidR="00041039" w:rsidRDefault="001B26CB">
            <w:pPr>
              <w:pStyle w:val="TableParagraph"/>
              <w:numPr>
                <w:ilvl w:val="0"/>
                <w:numId w:val="1163"/>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numPr>
                <w:ilvl w:val="1"/>
                <w:numId w:val="1163"/>
              </w:numPr>
              <w:tabs>
                <w:tab w:val="left" w:pos="262"/>
              </w:tabs>
              <w:ind w:right="115" w:firstLine="0"/>
              <w:rPr>
                <w:sz w:val="14"/>
              </w:rPr>
            </w:pPr>
            <w:r>
              <w:rPr>
                <w:color w:val="231F20"/>
                <w:sz w:val="14"/>
              </w:rPr>
              <w:t>највишим</w:t>
            </w:r>
            <w:r>
              <w:rPr>
                <w:color w:val="231F20"/>
                <w:spacing w:val="-10"/>
                <w:sz w:val="14"/>
              </w:rPr>
              <w:t xml:space="preserve"> </w:t>
            </w:r>
            <w:r>
              <w:rPr>
                <w:color w:val="231F20"/>
                <w:sz w:val="14"/>
              </w:rPr>
              <w:t>дометима и представницима српске</w:t>
            </w:r>
            <w:r>
              <w:rPr>
                <w:color w:val="231F20"/>
                <w:spacing w:val="-2"/>
                <w:sz w:val="14"/>
              </w:rPr>
              <w:t xml:space="preserve"> </w:t>
            </w:r>
            <w:r>
              <w:rPr>
                <w:color w:val="231F20"/>
                <w:sz w:val="14"/>
              </w:rPr>
              <w:t>културе.</w:t>
            </w:r>
          </w:p>
          <w:p w:rsidR="00041039" w:rsidRDefault="001B26CB">
            <w:pPr>
              <w:pStyle w:val="TableParagraph"/>
              <w:numPr>
                <w:ilvl w:val="0"/>
                <w:numId w:val="1163"/>
              </w:numPr>
              <w:tabs>
                <w:tab w:val="left" w:pos="157"/>
              </w:tabs>
              <w:spacing w:line="158" w:lineRule="exact"/>
              <w:rPr>
                <w:sz w:val="14"/>
              </w:rPr>
            </w:pPr>
            <w:r>
              <w:rPr>
                <w:color w:val="231F20"/>
                <w:sz w:val="14"/>
              </w:rPr>
              <w:t>Развијање</w:t>
            </w:r>
            <w:r>
              <w:rPr>
                <w:color w:val="231F20"/>
                <w:spacing w:val="-2"/>
                <w:sz w:val="14"/>
              </w:rPr>
              <w:t xml:space="preserve"> </w:t>
            </w:r>
            <w:r>
              <w:rPr>
                <w:color w:val="231F20"/>
                <w:sz w:val="14"/>
              </w:rPr>
              <w:t>свести</w:t>
            </w:r>
          </w:p>
          <w:p w:rsidR="00041039" w:rsidRDefault="001B26CB">
            <w:pPr>
              <w:pStyle w:val="TableParagraph"/>
              <w:ind w:right="152"/>
              <w:rPr>
                <w:sz w:val="14"/>
              </w:rPr>
            </w:pPr>
            <w:r>
              <w:rPr>
                <w:color w:val="231F20"/>
                <w:sz w:val="14"/>
              </w:rPr>
              <w:t>означају образовања за општи културни напредак.</w:t>
            </w:r>
          </w:p>
          <w:p w:rsidR="00041039" w:rsidRDefault="001B26CB">
            <w:pPr>
              <w:pStyle w:val="TableParagraph"/>
              <w:numPr>
                <w:ilvl w:val="0"/>
                <w:numId w:val="1163"/>
              </w:numPr>
              <w:tabs>
                <w:tab w:val="left" w:pos="157"/>
              </w:tabs>
              <w:spacing w:line="158" w:lineRule="exact"/>
              <w:rPr>
                <w:sz w:val="14"/>
              </w:rPr>
            </w:pPr>
            <w:r>
              <w:rPr>
                <w:color w:val="231F20"/>
                <w:spacing w:val="-3"/>
                <w:sz w:val="14"/>
              </w:rPr>
              <w:t xml:space="preserve">Уочавање </w:t>
            </w:r>
            <w:r>
              <w:rPr>
                <w:color w:val="231F20"/>
                <w:sz w:val="14"/>
              </w:rPr>
              <w:t>промена</w:t>
            </w:r>
            <w:r>
              <w:rPr>
                <w:color w:val="231F20"/>
                <w:spacing w:val="-4"/>
                <w:sz w:val="14"/>
              </w:rPr>
              <w:t xml:space="preserve"> </w:t>
            </w:r>
            <w:r>
              <w:rPr>
                <w:color w:val="231F20"/>
                <w:sz w:val="14"/>
              </w:rPr>
              <w:t>сва­</w:t>
            </w:r>
          </w:p>
          <w:p w:rsidR="00041039" w:rsidRDefault="001B26CB">
            <w:pPr>
              <w:pStyle w:val="TableParagraph"/>
              <w:ind w:right="15"/>
              <w:rPr>
                <w:sz w:val="14"/>
              </w:rPr>
            </w:pPr>
            <w:r>
              <w:rPr>
                <w:color w:val="231F20"/>
                <w:sz w:val="14"/>
              </w:rPr>
              <w:t>кодневном животу код Срба кроз векове.</w:t>
            </w:r>
          </w:p>
        </w:tc>
        <w:tc>
          <w:tcPr>
            <w:tcW w:w="2551" w:type="dxa"/>
          </w:tcPr>
          <w:p w:rsidR="00041039" w:rsidRDefault="001B26CB">
            <w:pPr>
              <w:pStyle w:val="TableParagraph"/>
              <w:numPr>
                <w:ilvl w:val="0"/>
                <w:numId w:val="1162"/>
              </w:numPr>
              <w:tabs>
                <w:tab w:val="left" w:pos="157"/>
              </w:tabs>
              <w:spacing w:before="11"/>
              <w:ind w:right="104" w:hanging="99"/>
              <w:rPr>
                <w:sz w:val="14"/>
              </w:rPr>
            </w:pPr>
            <w:r>
              <w:rPr>
                <w:color w:val="231F20"/>
                <w:sz w:val="14"/>
              </w:rPr>
              <w:t>разликује периоде у којима су</w:t>
            </w:r>
            <w:r>
              <w:rPr>
                <w:color w:val="231F20"/>
                <w:spacing w:val="-23"/>
                <w:sz w:val="14"/>
              </w:rPr>
              <w:t xml:space="preserve"> </w:t>
            </w:r>
            <w:r>
              <w:rPr>
                <w:color w:val="231F20"/>
                <w:sz w:val="14"/>
              </w:rPr>
              <w:t>настала најзначајнија дела српске</w:t>
            </w:r>
            <w:r>
              <w:rPr>
                <w:color w:val="231F20"/>
                <w:spacing w:val="-9"/>
                <w:sz w:val="14"/>
              </w:rPr>
              <w:t xml:space="preserve"> </w:t>
            </w:r>
            <w:r>
              <w:rPr>
                <w:color w:val="231F20"/>
                <w:sz w:val="14"/>
              </w:rPr>
              <w:t>културе;</w:t>
            </w:r>
          </w:p>
          <w:p w:rsidR="00041039" w:rsidRDefault="001B26CB">
            <w:pPr>
              <w:pStyle w:val="TableParagraph"/>
              <w:numPr>
                <w:ilvl w:val="0"/>
                <w:numId w:val="1162"/>
              </w:numPr>
              <w:tabs>
                <w:tab w:val="left" w:pos="157"/>
              </w:tabs>
              <w:spacing w:before="1" w:line="160" w:lineRule="exact"/>
              <w:ind w:right="106" w:hanging="99"/>
              <w:rPr>
                <w:sz w:val="14"/>
              </w:rPr>
            </w:pPr>
            <w:r>
              <w:rPr>
                <w:color w:val="231F20"/>
                <w:sz w:val="14"/>
              </w:rPr>
              <w:t>упореди одлике српске културе</w:t>
            </w:r>
            <w:r>
              <w:rPr>
                <w:color w:val="231F20"/>
                <w:spacing w:val="-27"/>
                <w:sz w:val="14"/>
              </w:rPr>
              <w:t xml:space="preserve"> </w:t>
            </w:r>
            <w:r>
              <w:rPr>
                <w:color w:val="231F20"/>
                <w:sz w:val="14"/>
              </w:rPr>
              <w:t>разли­ читих</w:t>
            </w:r>
            <w:r>
              <w:rPr>
                <w:color w:val="231F20"/>
                <w:spacing w:val="-1"/>
                <w:sz w:val="14"/>
              </w:rPr>
              <w:t xml:space="preserve"> </w:t>
            </w:r>
            <w:r>
              <w:rPr>
                <w:color w:val="231F20"/>
                <w:sz w:val="14"/>
              </w:rPr>
              <w:t>периода;</w:t>
            </w:r>
          </w:p>
          <w:p w:rsidR="00041039" w:rsidRDefault="001B26CB">
            <w:pPr>
              <w:pStyle w:val="TableParagraph"/>
              <w:numPr>
                <w:ilvl w:val="0"/>
                <w:numId w:val="1162"/>
              </w:numPr>
              <w:tabs>
                <w:tab w:val="left" w:pos="157"/>
              </w:tabs>
              <w:spacing w:line="160" w:lineRule="exact"/>
              <w:ind w:right="162" w:hanging="99"/>
              <w:rPr>
                <w:sz w:val="14"/>
              </w:rPr>
            </w:pPr>
            <w:r>
              <w:rPr>
                <w:color w:val="231F20"/>
                <w:sz w:val="14"/>
              </w:rPr>
              <w:t>објасни утицаје историјских</w:t>
            </w:r>
            <w:r>
              <w:rPr>
                <w:color w:val="231F20"/>
                <w:spacing w:val="-9"/>
                <w:sz w:val="14"/>
              </w:rPr>
              <w:t xml:space="preserve"> </w:t>
            </w:r>
            <w:r>
              <w:rPr>
                <w:color w:val="231F20"/>
                <w:sz w:val="14"/>
              </w:rPr>
              <w:t>збивања на културна</w:t>
            </w:r>
            <w:r>
              <w:rPr>
                <w:color w:val="231F20"/>
                <w:spacing w:val="-2"/>
                <w:sz w:val="14"/>
              </w:rPr>
              <w:t xml:space="preserve"> </w:t>
            </w:r>
            <w:r>
              <w:rPr>
                <w:color w:val="231F20"/>
                <w:sz w:val="14"/>
              </w:rPr>
              <w:t>кретања;</w:t>
            </w:r>
          </w:p>
          <w:p w:rsidR="00041039" w:rsidRDefault="001B26CB">
            <w:pPr>
              <w:pStyle w:val="TableParagraph"/>
              <w:numPr>
                <w:ilvl w:val="0"/>
                <w:numId w:val="1162"/>
              </w:numPr>
              <w:tabs>
                <w:tab w:val="left" w:pos="157"/>
              </w:tabs>
              <w:spacing w:line="160" w:lineRule="exact"/>
              <w:ind w:right="256" w:hanging="99"/>
              <w:rPr>
                <w:sz w:val="14"/>
              </w:rPr>
            </w:pPr>
            <w:r>
              <w:rPr>
                <w:color w:val="231F20"/>
                <w:sz w:val="14"/>
              </w:rPr>
              <w:t>опише одлике свакодневног</w:t>
            </w:r>
            <w:r>
              <w:rPr>
                <w:color w:val="231F20"/>
                <w:spacing w:val="-25"/>
                <w:sz w:val="14"/>
              </w:rPr>
              <w:t xml:space="preserve"> </w:t>
            </w:r>
            <w:r>
              <w:rPr>
                <w:color w:val="231F20"/>
                <w:sz w:val="14"/>
              </w:rPr>
              <w:t xml:space="preserve">живота </w:t>
            </w:r>
            <w:r>
              <w:rPr>
                <w:color w:val="231F20"/>
                <w:spacing w:val="-5"/>
                <w:sz w:val="14"/>
              </w:rPr>
              <w:t xml:space="preserve">код </w:t>
            </w:r>
            <w:r>
              <w:rPr>
                <w:color w:val="231F20"/>
                <w:sz w:val="14"/>
              </w:rPr>
              <w:t>Срба у различитим епохама и областима;</w:t>
            </w:r>
          </w:p>
          <w:p w:rsidR="00041039" w:rsidRDefault="001B26CB">
            <w:pPr>
              <w:pStyle w:val="TableParagraph"/>
              <w:numPr>
                <w:ilvl w:val="0"/>
                <w:numId w:val="1162"/>
              </w:numPr>
              <w:tabs>
                <w:tab w:val="left" w:pos="157"/>
              </w:tabs>
              <w:spacing w:line="160" w:lineRule="exact"/>
              <w:ind w:right="196" w:hanging="99"/>
              <w:rPr>
                <w:sz w:val="14"/>
              </w:rPr>
            </w:pPr>
            <w:r>
              <w:rPr>
                <w:color w:val="231F20"/>
                <w:sz w:val="14"/>
              </w:rPr>
              <w:t>именује најважније личности које</w:t>
            </w:r>
            <w:r>
              <w:rPr>
                <w:color w:val="231F20"/>
                <w:spacing w:val="-21"/>
                <w:sz w:val="14"/>
              </w:rPr>
              <w:t xml:space="preserve"> </w:t>
            </w:r>
            <w:r>
              <w:rPr>
                <w:color w:val="231F20"/>
                <w:sz w:val="14"/>
              </w:rPr>
              <w:t>су заслужне за развој српске</w:t>
            </w:r>
            <w:r>
              <w:rPr>
                <w:color w:val="231F20"/>
                <w:spacing w:val="-14"/>
                <w:sz w:val="14"/>
              </w:rPr>
              <w:t xml:space="preserve"> </w:t>
            </w:r>
            <w:r>
              <w:rPr>
                <w:color w:val="231F20"/>
                <w:sz w:val="14"/>
              </w:rPr>
              <w:t>културе;</w:t>
            </w:r>
          </w:p>
        </w:tc>
        <w:tc>
          <w:tcPr>
            <w:tcW w:w="2834" w:type="dxa"/>
          </w:tcPr>
          <w:p w:rsidR="00041039" w:rsidRDefault="001B26CB">
            <w:pPr>
              <w:pStyle w:val="TableParagraph"/>
              <w:numPr>
                <w:ilvl w:val="0"/>
                <w:numId w:val="1161"/>
              </w:numPr>
              <w:tabs>
                <w:tab w:val="left" w:pos="157"/>
              </w:tabs>
              <w:spacing w:before="11"/>
              <w:ind w:right="526" w:hanging="99"/>
              <w:rPr>
                <w:sz w:val="14"/>
              </w:rPr>
            </w:pPr>
            <w:r>
              <w:rPr>
                <w:color w:val="231F20"/>
                <w:sz w:val="14"/>
              </w:rPr>
              <w:t>Средњовековна култура Срба</w:t>
            </w:r>
            <w:r>
              <w:rPr>
                <w:color w:val="231F20"/>
                <w:spacing w:val="-23"/>
                <w:sz w:val="14"/>
              </w:rPr>
              <w:t xml:space="preserve"> </w:t>
            </w:r>
            <w:r>
              <w:rPr>
                <w:color w:val="231F20"/>
                <w:sz w:val="14"/>
              </w:rPr>
              <w:t>(језик и писмо, верски карактер</w:t>
            </w:r>
            <w:r>
              <w:rPr>
                <w:color w:val="231F20"/>
                <w:spacing w:val="-17"/>
                <w:sz w:val="14"/>
              </w:rPr>
              <w:t xml:space="preserve"> </w:t>
            </w:r>
            <w:r>
              <w:rPr>
                <w:color w:val="231F20"/>
                <w:sz w:val="14"/>
              </w:rPr>
              <w:t>културе.</w:t>
            </w:r>
          </w:p>
          <w:p w:rsidR="00041039" w:rsidRDefault="001B26CB">
            <w:pPr>
              <w:pStyle w:val="TableParagraph"/>
              <w:spacing w:line="237" w:lineRule="auto"/>
              <w:ind w:right="280"/>
              <w:jc w:val="both"/>
              <w:rPr>
                <w:sz w:val="14"/>
              </w:rPr>
            </w:pPr>
            <w:r>
              <w:rPr>
                <w:color w:val="231F20"/>
                <w:sz w:val="14"/>
              </w:rPr>
              <w:t>Мирослављево јеванђеље, књижевност, најзначајније задужбине, правни</w:t>
            </w:r>
            <w:r>
              <w:rPr>
                <w:color w:val="231F20"/>
                <w:spacing w:val="-24"/>
                <w:sz w:val="14"/>
              </w:rPr>
              <w:t xml:space="preserve"> </w:t>
            </w:r>
            <w:r>
              <w:rPr>
                <w:color w:val="231F20"/>
                <w:sz w:val="14"/>
              </w:rPr>
              <w:t>споме­ ници).</w:t>
            </w:r>
          </w:p>
          <w:p w:rsidR="00041039" w:rsidRDefault="001B26CB">
            <w:pPr>
              <w:pStyle w:val="TableParagraph"/>
              <w:numPr>
                <w:ilvl w:val="0"/>
                <w:numId w:val="1161"/>
              </w:numPr>
              <w:tabs>
                <w:tab w:val="left" w:pos="157"/>
              </w:tabs>
              <w:spacing w:line="237" w:lineRule="auto"/>
              <w:ind w:right="72" w:hanging="99"/>
              <w:rPr>
                <w:sz w:val="14"/>
              </w:rPr>
            </w:pPr>
            <w:r>
              <w:rPr>
                <w:color w:val="231F20"/>
                <w:sz w:val="14"/>
              </w:rPr>
              <w:t>Последице сеоба на српску културу</w:t>
            </w:r>
            <w:r>
              <w:rPr>
                <w:color w:val="231F20"/>
                <w:spacing w:val="-23"/>
                <w:sz w:val="14"/>
              </w:rPr>
              <w:t xml:space="preserve"> </w:t>
            </w:r>
            <w:r>
              <w:rPr>
                <w:color w:val="231F20"/>
                <w:sz w:val="14"/>
              </w:rPr>
              <w:t>(утицај западноевропских културних кретања на српску</w:t>
            </w:r>
            <w:r>
              <w:rPr>
                <w:color w:val="231F20"/>
                <w:spacing w:val="-1"/>
                <w:sz w:val="14"/>
              </w:rPr>
              <w:t xml:space="preserve"> </w:t>
            </w:r>
            <w:r>
              <w:rPr>
                <w:color w:val="231F20"/>
                <w:sz w:val="14"/>
              </w:rPr>
              <w:t>културу).</w:t>
            </w:r>
          </w:p>
          <w:p w:rsidR="00041039" w:rsidRDefault="001B26CB">
            <w:pPr>
              <w:pStyle w:val="TableParagraph"/>
              <w:numPr>
                <w:ilvl w:val="0"/>
                <w:numId w:val="1161"/>
              </w:numPr>
              <w:tabs>
                <w:tab w:val="left" w:pos="157"/>
              </w:tabs>
              <w:spacing w:line="156" w:lineRule="exact"/>
              <w:ind w:hanging="99"/>
              <w:rPr>
                <w:sz w:val="14"/>
              </w:rPr>
            </w:pPr>
            <w:r>
              <w:rPr>
                <w:color w:val="231F20"/>
                <w:spacing w:val="-4"/>
                <w:sz w:val="14"/>
              </w:rPr>
              <w:t xml:space="preserve">Успон </w:t>
            </w:r>
            <w:r>
              <w:rPr>
                <w:color w:val="231F20"/>
                <w:sz w:val="14"/>
              </w:rPr>
              <w:t>грађанске</w:t>
            </w:r>
            <w:r>
              <w:rPr>
                <w:color w:val="231F20"/>
                <w:spacing w:val="2"/>
                <w:sz w:val="14"/>
              </w:rPr>
              <w:t xml:space="preserve"> </w:t>
            </w:r>
            <w:r>
              <w:rPr>
                <w:color w:val="231F20"/>
                <w:sz w:val="14"/>
              </w:rPr>
              <w:t>класе.</w:t>
            </w:r>
          </w:p>
          <w:p w:rsidR="00041039" w:rsidRDefault="001B26CB">
            <w:pPr>
              <w:pStyle w:val="TableParagraph"/>
              <w:numPr>
                <w:ilvl w:val="0"/>
                <w:numId w:val="1161"/>
              </w:numPr>
              <w:tabs>
                <w:tab w:val="left" w:pos="157"/>
              </w:tabs>
              <w:spacing w:line="237" w:lineRule="auto"/>
              <w:ind w:right="351" w:hanging="99"/>
              <w:rPr>
                <w:sz w:val="14"/>
              </w:rPr>
            </w:pPr>
            <w:r>
              <w:rPr>
                <w:color w:val="231F20"/>
                <w:sz w:val="14"/>
              </w:rPr>
              <w:t>Свакодневни</w:t>
            </w:r>
            <w:r>
              <w:rPr>
                <w:color w:val="231F20"/>
                <w:spacing w:val="-8"/>
                <w:sz w:val="14"/>
              </w:rPr>
              <w:t xml:space="preserve"> </w:t>
            </w:r>
            <w:r>
              <w:rPr>
                <w:color w:val="231F20"/>
                <w:sz w:val="14"/>
              </w:rPr>
              <w:t>живот</w:t>
            </w:r>
            <w:r>
              <w:rPr>
                <w:color w:val="231F20"/>
                <w:spacing w:val="-8"/>
                <w:sz w:val="14"/>
              </w:rPr>
              <w:t xml:space="preserve"> </w:t>
            </w:r>
            <w:r>
              <w:rPr>
                <w:color w:val="231F20"/>
                <w:sz w:val="14"/>
              </w:rPr>
              <w:t>сеоског</w:t>
            </w:r>
            <w:r>
              <w:rPr>
                <w:color w:val="231F20"/>
                <w:spacing w:val="-8"/>
                <w:sz w:val="14"/>
              </w:rPr>
              <w:t xml:space="preserve"> </w:t>
            </w:r>
            <w:r>
              <w:rPr>
                <w:color w:val="231F20"/>
                <w:sz w:val="14"/>
              </w:rPr>
              <w:t>и</w:t>
            </w:r>
            <w:r>
              <w:rPr>
                <w:color w:val="231F20"/>
                <w:spacing w:val="-9"/>
                <w:sz w:val="14"/>
              </w:rPr>
              <w:t xml:space="preserve"> </w:t>
            </w:r>
            <w:r>
              <w:rPr>
                <w:color w:val="231F20"/>
                <w:sz w:val="14"/>
              </w:rPr>
              <w:t>градског становништва.</w:t>
            </w:r>
          </w:p>
          <w:p w:rsidR="00041039" w:rsidRDefault="001B26CB">
            <w:pPr>
              <w:pStyle w:val="TableParagraph"/>
              <w:numPr>
                <w:ilvl w:val="0"/>
                <w:numId w:val="1161"/>
              </w:numPr>
              <w:tabs>
                <w:tab w:val="left" w:pos="157"/>
              </w:tabs>
              <w:spacing w:line="160" w:lineRule="exact"/>
              <w:ind w:right="81" w:hanging="99"/>
              <w:rPr>
                <w:sz w:val="14"/>
              </w:rPr>
            </w:pPr>
            <w:r>
              <w:rPr>
                <w:color w:val="231F20"/>
                <w:spacing w:val="-3"/>
                <w:sz w:val="14"/>
              </w:rPr>
              <w:t xml:space="preserve">Културна </w:t>
            </w:r>
            <w:r>
              <w:rPr>
                <w:color w:val="231F20"/>
                <w:sz w:val="14"/>
              </w:rPr>
              <w:t xml:space="preserve">и просветна политика ­ оснивање Велике </w:t>
            </w:r>
            <w:r>
              <w:rPr>
                <w:color w:val="231F20"/>
                <w:spacing w:val="-3"/>
                <w:sz w:val="14"/>
              </w:rPr>
              <w:t xml:space="preserve">школе, </w:t>
            </w:r>
            <w:r>
              <w:rPr>
                <w:color w:val="231F20"/>
                <w:sz w:val="14"/>
              </w:rPr>
              <w:t>Универзитета, Академије наука, Народног</w:t>
            </w:r>
            <w:r>
              <w:rPr>
                <w:color w:val="231F20"/>
                <w:spacing w:val="-2"/>
                <w:sz w:val="14"/>
              </w:rPr>
              <w:t xml:space="preserve"> </w:t>
            </w:r>
            <w:r>
              <w:rPr>
                <w:color w:val="231F20"/>
                <w:sz w:val="14"/>
              </w:rPr>
              <w:t>позоришта.</w:t>
            </w:r>
          </w:p>
          <w:p w:rsidR="00041039" w:rsidRDefault="001B26CB">
            <w:pPr>
              <w:pStyle w:val="TableParagraph"/>
              <w:numPr>
                <w:ilvl w:val="0"/>
                <w:numId w:val="1161"/>
              </w:numPr>
              <w:tabs>
                <w:tab w:val="left" w:pos="157"/>
              </w:tabs>
              <w:spacing w:line="153" w:lineRule="exact"/>
              <w:ind w:hanging="99"/>
              <w:rPr>
                <w:sz w:val="14"/>
              </w:rPr>
            </w:pPr>
            <w:r>
              <w:rPr>
                <w:color w:val="231F20"/>
                <w:sz w:val="14"/>
              </w:rPr>
              <w:t>Европски културни</w:t>
            </w:r>
            <w:r>
              <w:rPr>
                <w:color w:val="231F20"/>
                <w:spacing w:val="-1"/>
                <w:sz w:val="14"/>
              </w:rPr>
              <w:t xml:space="preserve"> </w:t>
            </w:r>
            <w:r>
              <w:rPr>
                <w:color w:val="231F20"/>
                <w:sz w:val="14"/>
              </w:rPr>
              <w:t>утицаји.</w:t>
            </w:r>
          </w:p>
          <w:p w:rsidR="00041039" w:rsidRDefault="001B26CB">
            <w:pPr>
              <w:pStyle w:val="TableParagraph"/>
              <w:numPr>
                <w:ilvl w:val="0"/>
                <w:numId w:val="1161"/>
              </w:numPr>
              <w:tabs>
                <w:tab w:val="left" w:pos="157"/>
              </w:tabs>
              <w:spacing w:line="237" w:lineRule="auto"/>
              <w:ind w:right="104" w:hanging="99"/>
              <w:rPr>
                <w:sz w:val="14"/>
              </w:rPr>
            </w:pPr>
            <w:r>
              <w:rPr>
                <w:color w:val="231F20"/>
                <w:sz w:val="14"/>
              </w:rPr>
              <w:t>Личности ­ Свети Сава, деспот Стефан Лазаревић, монахиња Јефимија, Доситеј Обрадовић</w:t>
            </w:r>
            <w:r>
              <w:rPr>
                <w:color w:val="231F20"/>
                <w:sz w:val="14"/>
              </w:rPr>
              <w:t>, Вук Караџић, Сава Текелија, Петар II Петровић Његош, Паја</w:t>
            </w:r>
            <w:r>
              <w:rPr>
                <w:color w:val="231F20"/>
                <w:spacing w:val="-16"/>
                <w:sz w:val="14"/>
              </w:rPr>
              <w:t xml:space="preserve"> </w:t>
            </w:r>
            <w:r>
              <w:rPr>
                <w:color w:val="231F20"/>
                <w:sz w:val="14"/>
              </w:rPr>
              <w:t xml:space="preserve">Јовановић, </w:t>
            </w:r>
            <w:r>
              <w:rPr>
                <w:color w:val="231F20"/>
                <w:spacing w:val="-4"/>
                <w:sz w:val="14"/>
              </w:rPr>
              <w:t xml:space="preserve">Урош </w:t>
            </w:r>
            <w:r>
              <w:rPr>
                <w:color w:val="231F20"/>
                <w:sz w:val="14"/>
              </w:rPr>
              <w:t>Предић, Надежда Петровић, Лаза Костић...);</w:t>
            </w:r>
          </w:p>
          <w:p w:rsidR="00041039" w:rsidRDefault="001B26CB">
            <w:pPr>
              <w:pStyle w:val="TableParagraph"/>
              <w:numPr>
                <w:ilvl w:val="0"/>
                <w:numId w:val="1161"/>
              </w:numPr>
              <w:tabs>
                <w:tab w:val="left" w:pos="157"/>
              </w:tabs>
              <w:spacing w:line="237" w:lineRule="auto"/>
              <w:ind w:right="75" w:hanging="99"/>
              <w:rPr>
                <w:sz w:val="14"/>
              </w:rPr>
            </w:pPr>
            <w:r>
              <w:rPr>
                <w:color w:val="231F20"/>
                <w:sz w:val="14"/>
              </w:rPr>
              <w:t xml:space="preserve">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w:t>
            </w:r>
            <w:r>
              <w:rPr>
                <w:color w:val="231F20"/>
                <w:spacing w:val="-3"/>
                <w:sz w:val="14"/>
              </w:rPr>
              <w:t xml:space="preserve">Никола </w:t>
            </w:r>
            <w:r>
              <w:rPr>
                <w:color w:val="231F20"/>
                <w:sz w:val="14"/>
              </w:rPr>
              <w:t>Тесла, Михајло Пупин, Михаило Петровић Алас,</w:t>
            </w:r>
            <w:r>
              <w:rPr>
                <w:color w:val="231F20"/>
                <w:spacing w:val="-8"/>
                <w:sz w:val="14"/>
              </w:rPr>
              <w:t xml:space="preserve"> </w:t>
            </w:r>
            <w:r>
              <w:rPr>
                <w:color w:val="231F20"/>
                <w:sz w:val="14"/>
              </w:rPr>
              <w:t>Јован</w:t>
            </w:r>
            <w:r>
              <w:rPr>
                <w:color w:val="231F20"/>
                <w:spacing w:val="-7"/>
                <w:sz w:val="14"/>
              </w:rPr>
              <w:t xml:space="preserve"> </w:t>
            </w:r>
            <w:r>
              <w:rPr>
                <w:color w:val="231F20"/>
                <w:sz w:val="14"/>
              </w:rPr>
              <w:t>Цвијић,</w:t>
            </w:r>
            <w:r>
              <w:rPr>
                <w:color w:val="231F20"/>
                <w:spacing w:val="-8"/>
                <w:sz w:val="14"/>
              </w:rPr>
              <w:t xml:space="preserve"> </w:t>
            </w:r>
            <w:r>
              <w:rPr>
                <w:color w:val="231F20"/>
                <w:sz w:val="14"/>
              </w:rPr>
              <w:t>Милутин</w:t>
            </w:r>
            <w:r>
              <w:rPr>
                <w:color w:val="231F20"/>
                <w:spacing w:val="-8"/>
                <w:sz w:val="14"/>
              </w:rPr>
              <w:t xml:space="preserve"> </w:t>
            </w:r>
            <w:r>
              <w:rPr>
                <w:color w:val="231F20"/>
                <w:sz w:val="14"/>
              </w:rPr>
              <w:t>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Ђосић, Александар Петровић, Александ</w:t>
            </w:r>
            <w:r>
              <w:rPr>
                <w:color w:val="231F20"/>
                <w:sz w:val="14"/>
              </w:rPr>
              <w:t>ар Поповић, Емир Кустурица, Душан Ковачевић...).</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7720"/>
        </w:trPr>
        <w:tc>
          <w:tcPr>
            <w:tcW w:w="1304" w:type="dxa"/>
          </w:tcPr>
          <w:p w:rsidR="00041039" w:rsidRDefault="001B26CB">
            <w:pPr>
              <w:pStyle w:val="TableParagraph"/>
              <w:spacing w:before="18"/>
              <w:ind w:left="56" w:right="147"/>
              <w:rPr>
                <w:sz w:val="14"/>
              </w:rPr>
            </w:pPr>
            <w:r>
              <w:rPr>
                <w:color w:val="231F20"/>
                <w:sz w:val="14"/>
              </w:rPr>
              <w:lastRenderedPageBreak/>
              <w:t>Српски народ и Србија у савреме­ ном свету</w:t>
            </w:r>
          </w:p>
        </w:tc>
        <w:tc>
          <w:tcPr>
            <w:tcW w:w="1587" w:type="dxa"/>
          </w:tcPr>
          <w:p w:rsidR="00041039" w:rsidRDefault="001B26CB">
            <w:pPr>
              <w:pStyle w:val="TableParagraph"/>
              <w:numPr>
                <w:ilvl w:val="0"/>
                <w:numId w:val="1160"/>
              </w:numPr>
              <w:tabs>
                <w:tab w:val="left" w:pos="157"/>
              </w:tabs>
              <w:spacing w:before="8"/>
              <w:ind w:right="155"/>
              <w:rPr>
                <w:sz w:val="14"/>
              </w:rPr>
            </w:pPr>
            <w:r>
              <w:rPr>
                <w:color w:val="231F20"/>
                <w:sz w:val="14"/>
              </w:rPr>
              <w:t>Разумевање поли­ тичких и</w:t>
            </w:r>
            <w:r>
              <w:rPr>
                <w:color w:val="231F20"/>
                <w:spacing w:val="-15"/>
                <w:sz w:val="14"/>
              </w:rPr>
              <w:t xml:space="preserve"> </w:t>
            </w:r>
            <w:r>
              <w:rPr>
                <w:color w:val="231F20"/>
                <w:sz w:val="14"/>
              </w:rPr>
              <w:t xml:space="preserve">економских односа у савременом </w:t>
            </w:r>
            <w:r>
              <w:rPr>
                <w:color w:val="231F20"/>
                <w:spacing w:val="-3"/>
                <w:sz w:val="14"/>
              </w:rPr>
              <w:t>свету.</w:t>
            </w:r>
          </w:p>
          <w:p w:rsidR="00041039" w:rsidRDefault="001B26CB">
            <w:pPr>
              <w:pStyle w:val="TableParagraph"/>
              <w:numPr>
                <w:ilvl w:val="0"/>
                <w:numId w:val="1160"/>
              </w:numPr>
              <w:tabs>
                <w:tab w:val="left" w:pos="157"/>
              </w:tabs>
              <w:spacing w:line="156" w:lineRule="exact"/>
              <w:rPr>
                <w:sz w:val="14"/>
              </w:rPr>
            </w:pPr>
            <w:r>
              <w:rPr>
                <w:color w:val="231F20"/>
                <w:sz w:val="14"/>
              </w:rPr>
              <w:t>Сагледавање</w:t>
            </w:r>
            <w:r>
              <w:rPr>
                <w:color w:val="231F20"/>
                <w:spacing w:val="-2"/>
                <w:sz w:val="14"/>
              </w:rPr>
              <w:t xml:space="preserve"> </w:t>
            </w:r>
            <w:r>
              <w:rPr>
                <w:color w:val="231F20"/>
                <w:sz w:val="14"/>
              </w:rPr>
              <w:t>међу­</w:t>
            </w:r>
          </w:p>
          <w:p w:rsidR="00041039" w:rsidRDefault="001B26CB">
            <w:pPr>
              <w:pStyle w:val="TableParagraph"/>
              <w:ind w:right="15"/>
              <w:rPr>
                <w:sz w:val="14"/>
              </w:rPr>
            </w:pPr>
            <w:r>
              <w:rPr>
                <w:color w:val="231F20"/>
                <w:sz w:val="14"/>
              </w:rPr>
              <w:t>народног положаја Србије.</w:t>
            </w:r>
          </w:p>
          <w:p w:rsidR="00041039" w:rsidRDefault="001B26CB">
            <w:pPr>
              <w:pStyle w:val="TableParagraph"/>
              <w:numPr>
                <w:ilvl w:val="0"/>
                <w:numId w:val="1160"/>
              </w:numPr>
              <w:tabs>
                <w:tab w:val="left" w:pos="157"/>
              </w:tabs>
              <w:spacing w:line="160" w:lineRule="exact"/>
              <w:ind w:right="169"/>
              <w:rPr>
                <w:sz w:val="14"/>
              </w:rPr>
            </w:pPr>
            <w:r>
              <w:rPr>
                <w:color w:val="231F20"/>
                <w:sz w:val="14"/>
              </w:rPr>
              <w:t>Проширивање</w:t>
            </w:r>
            <w:r>
              <w:rPr>
                <w:color w:val="231F20"/>
                <w:spacing w:val="-10"/>
                <w:sz w:val="14"/>
              </w:rPr>
              <w:t xml:space="preserve"> </w:t>
            </w:r>
            <w:r>
              <w:rPr>
                <w:color w:val="231F20"/>
                <w:sz w:val="14"/>
              </w:rPr>
              <w:t>знања о најзначајнијим међународним организацијама и чланству Србије у њима.</w:t>
            </w:r>
          </w:p>
          <w:p w:rsidR="00041039" w:rsidRDefault="001B26CB">
            <w:pPr>
              <w:pStyle w:val="TableParagraph"/>
              <w:numPr>
                <w:ilvl w:val="0"/>
                <w:numId w:val="1160"/>
              </w:numPr>
              <w:tabs>
                <w:tab w:val="left" w:pos="157"/>
              </w:tabs>
              <w:spacing w:line="160" w:lineRule="exact"/>
              <w:ind w:right="89"/>
              <w:rPr>
                <w:sz w:val="14"/>
              </w:rPr>
            </w:pPr>
            <w:r>
              <w:rPr>
                <w:color w:val="231F20"/>
                <w:sz w:val="14"/>
              </w:rPr>
              <w:t>Проширивање знања о последицама</w:t>
            </w:r>
            <w:r>
              <w:rPr>
                <w:color w:val="231F20"/>
                <w:spacing w:val="-10"/>
                <w:sz w:val="14"/>
              </w:rPr>
              <w:t xml:space="preserve"> </w:t>
            </w:r>
            <w:r>
              <w:rPr>
                <w:color w:val="231F20"/>
                <w:sz w:val="14"/>
              </w:rPr>
              <w:t>научно</w:t>
            </w:r>
          </w:p>
          <w:p w:rsidR="00041039" w:rsidRDefault="001B26CB">
            <w:pPr>
              <w:pStyle w:val="TableParagraph"/>
              <w:spacing w:line="237" w:lineRule="auto"/>
              <w:ind w:right="15"/>
              <w:rPr>
                <w:sz w:val="14"/>
              </w:rPr>
            </w:pPr>
            <w:r>
              <w:rPr>
                <w:color w:val="231F20"/>
                <w:sz w:val="14"/>
              </w:rPr>
              <w:t>- технолошког развоја на живот савременог човека.</w:t>
            </w:r>
          </w:p>
        </w:tc>
        <w:tc>
          <w:tcPr>
            <w:tcW w:w="2551" w:type="dxa"/>
          </w:tcPr>
          <w:p w:rsidR="00041039" w:rsidRDefault="001B26CB">
            <w:pPr>
              <w:pStyle w:val="TableParagraph"/>
              <w:numPr>
                <w:ilvl w:val="0"/>
                <w:numId w:val="1159"/>
              </w:numPr>
              <w:tabs>
                <w:tab w:val="left" w:pos="157"/>
              </w:tabs>
              <w:spacing w:before="8"/>
              <w:ind w:right="134" w:hanging="99"/>
              <w:rPr>
                <w:sz w:val="14"/>
              </w:rPr>
            </w:pPr>
            <w:r>
              <w:rPr>
                <w:color w:val="231F20"/>
                <w:sz w:val="14"/>
              </w:rPr>
              <w:t>идентификује најважније чиниоце у међународним политичким и</w:t>
            </w:r>
            <w:r>
              <w:rPr>
                <w:color w:val="231F20"/>
                <w:spacing w:val="-25"/>
                <w:sz w:val="14"/>
              </w:rPr>
              <w:t xml:space="preserve"> </w:t>
            </w:r>
            <w:r>
              <w:rPr>
                <w:color w:val="231F20"/>
                <w:sz w:val="14"/>
              </w:rPr>
              <w:t>економ­ ским</w:t>
            </w:r>
            <w:r>
              <w:rPr>
                <w:color w:val="231F20"/>
                <w:spacing w:val="-1"/>
                <w:sz w:val="14"/>
              </w:rPr>
              <w:t xml:space="preserve"> </w:t>
            </w:r>
            <w:r>
              <w:rPr>
                <w:color w:val="231F20"/>
                <w:sz w:val="14"/>
              </w:rPr>
              <w:t>односима;</w:t>
            </w:r>
          </w:p>
          <w:p w:rsidR="00041039" w:rsidRDefault="001B26CB">
            <w:pPr>
              <w:pStyle w:val="TableParagraph"/>
              <w:numPr>
                <w:ilvl w:val="0"/>
                <w:numId w:val="1159"/>
              </w:numPr>
              <w:tabs>
                <w:tab w:val="left" w:pos="157"/>
              </w:tabs>
              <w:spacing w:line="157" w:lineRule="exact"/>
              <w:ind w:hanging="99"/>
              <w:rPr>
                <w:sz w:val="14"/>
              </w:rPr>
            </w:pPr>
            <w:r>
              <w:rPr>
                <w:color w:val="231F20"/>
                <w:sz w:val="14"/>
              </w:rPr>
              <w:t xml:space="preserve">разуме </w:t>
            </w:r>
            <w:r>
              <w:rPr>
                <w:color w:val="231F20"/>
                <w:sz w:val="14"/>
              </w:rPr>
              <w:t>место и улогу Србије у</w:t>
            </w:r>
            <w:r>
              <w:rPr>
                <w:color w:val="231F20"/>
                <w:spacing w:val="-10"/>
                <w:sz w:val="14"/>
              </w:rPr>
              <w:t xml:space="preserve"> </w:t>
            </w:r>
            <w:r>
              <w:rPr>
                <w:color w:val="231F20"/>
                <w:sz w:val="14"/>
              </w:rPr>
              <w:t>савре­</w:t>
            </w:r>
          </w:p>
          <w:p w:rsidR="00041039" w:rsidRDefault="001B26CB">
            <w:pPr>
              <w:pStyle w:val="TableParagraph"/>
              <w:spacing w:line="155" w:lineRule="exact"/>
              <w:rPr>
                <w:sz w:val="14"/>
              </w:rPr>
            </w:pPr>
            <w:r>
              <w:rPr>
                <w:color w:val="231F20"/>
                <w:sz w:val="14"/>
              </w:rPr>
              <w:t>меном свету;</w:t>
            </w:r>
          </w:p>
          <w:p w:rsidR="00041039" w:rsidRDefault="001B26CB">
            <w:pPr>
              <w:pStyle w:val="TableParagraph"/>
              <w:numPr>
                <w:ilvl w:val="0"/>
                <w:numId w:val="1159"/>
              </w:numPr>
              <w:tabs>
                <w:tab w:val="left" w:pos="157"/>
              </w:tabs>
              <w:spacing w:line="237" w:lineRule="auto"/>
              <w:ind w:right="94" w:hanging="99"/>
              <w:rPr>
                <w:sz w:val="14"/>
              </w:rPr>
            </w:pPr>
            <w:r>
              <w:rPr>
                <w:color w:val="231F20"/>
                <w:sz w:val="14"/>
              </w:rPr>
              <w:t>утврди значај чланства Србије у</w:t>
            </w:r>
            <w:r>
              <w:rPr>
                <w:color w:val="231F20"/>
                <w:spacing w:val="-13"/>
                <w:sz w:val="14"/>
              </w:rPr>
              <w:t xml:space="preserve"> </w:t>
            </w:r>
            <w:r>
              <w:rPr>
                <w:color w:val="231F20"/>
                <w:sz w:val="14"/>
              </w:rPr>
              <w:t>међу­ народним</w:t>
            </w:r>
            <w:r>
              <w:rPr>
                <w:color w:val="231F20"/>
                <w:spacing w:val="-1"/>
                <w:sz w:val="14"/>
              </w:rPr>
              <w:t xml:space="preserve"> </w:t>
            </w:r>
            <w:r>
              <w:rPr>
                <w:color w:val="231F20"/>
                <w:sz w:val="14"/>
              </w:rPr>
              <w:t>организацијама;</w:t>
            </w:r>
          </w:p>
          <w:p w:rsidR="00041039" w:rsidRDefault="001B26CB">
            <w:pPr>
              <w:pStyle w:val="TableParagraph"/>
              <w:numPr>
                <w:ilvl w:val="0"/>
                <w:numId w:val="1159"/>
              </w:numPr>
              <w:tabs>
                <w:tab w:val="left" w:pos="157"/>
              </w:tabs>
              <w:spacing w:line="160" w:lineRule="exact"/>
              <w:ind w:right="121" w:hanging="99"/>
              <w:rPr>
                <w:sz w:val="14"/>
              </w:rPr>
            </w:pPr>
            <w:r>
              <w:rPr>
                <w:color w:val="231F20"/>
                <w:sz w:val="14"/>
              </w:rPr>
              <w:t xml:space="preserve">објасни утицај савремених техничких достигнућа на повезивање </w:t>
            </w:r>
            <w:r>
              <w:rPr>
                <w:color w:val="231F20"/>
                <w:spacing w:val="-3"/>
                <w:sz w:val="14"/>
              </w:rPr>
              <w:t xml:space="preserve">људи </w:t>
            </w:r>
            <w:r>
              <w:rPr>
                <w:color w:val="231F20"/>
                <w:sz w:val="14"/>
              </w:rPr>
              <w:t>у свету;</w:t>
            </w:r>
          </w:p>
        </w:tc>
        <w:tc>
          <w:tcPr>
            <w:tcW w:w="2834" w:type="dxa"/>
          </w:tcPr>
          <w:p w:rsidR="00041039" w:rsidRDefault="001B26CB">
            <w:pPr>
              <w:pStyle w:val="TableParagraph"/>
              <w:numPr>
                <w:ilvl w:val="0"/>
                <w:numId w:val="1158"/>
              </w:numPr>
              <w:tabs>
                <w:tab w:val="left" w:pos="157"/>
              </w:tabs>
              <w:spacing w:before="8"/>
              <w:ind w:right="170" w:hanging="99"/>
              <w:rPr>
                <w:sz w:val="14"/>
              </w:rPr>
            </w:pPr>
            <w:r>
              <w:rPr>
                <w:color w:val="231F20"/>
                <w:sz w:val="14"/>
              </w:rPr>
              <w:t>Најутицајније државе и организације у међународним политичким и</w:t>
            </w:r>
            <w:r>
              <w:rPr>
                <w:color w:val="231F20"/>
                <w:spacing w:val="-25"/>
                <w:sz w:val="14"/>
              </w:rPr>
              <w:t xml:space="preserve"> </w:t>
            </w:r>
            <w:r>
              <w:rPr>
                <w:color w:val="231F20"/>
                <w:sz w:val="14"/>
              </w:rPr>
              <w:t>економским односима.</w:t>
            </w:r>
          </w:p>
          <w:p w:rsidR="00041039" w:rsidRDefault="001B26CB">
            <w:pPr>
              <w:pStyle w:val="TableParagraph"/>
              <w:numPr>
                <w:ilvl w:val="0"/>
                <w:numId w:val="1158"/>
              </w:numPr>
              <w:tabs>
                <w:tab w:val="left" w:pos="157"/>
              </w:tabs>
              <w:spacing w:line="157" w:lineRule="exact"/>
              <w:ind w:hanging="99"/>
              <w:rPr>
                <w:sz w:val="14"/>
              </w:rPr>
            </w:pPr>
            <w:r>
              <w:rPr>
                <w:color w:val="231F20"/>
                <w:spacing w:val="-4"/>
                <w:sz w:val="14"/>
              </w:rPr>
              <w:t xml:space="preserve">Улога </w:t>
            </w:r>
            <w:r>
              <w:rPr>
                <w:color w:val="231F20"/>
                <w:sz w:val="14"/>
              </w:rPr>
              <w:t>Организације уједињених нација</w:t>
            </w:r>
            <w:r>
              <w:rPr>
                <w:color w:val="231F20"/>
                <w:spacing w:val="-6"/>
                <w:sz w:val="14"/>
              </w:rPr>
              <w:t xml:space="preserve"> </w:t>
            </w:r>
            <w:r>
              <w:rPr>
                <w:color w:val="231F20"/>
                <w:sz w:val="14"/>
              </w:rPr>
              <w:t>у</w:t>
            </w:r>
          </w:p>
          <w:p w:rsidR="00041039" w:rsidRDefault="001B26CB">
            <w:pPr>
              <w:pStyle w:val="TableParagraph"/>
              <w:rPr>
                <w:sz w:val="14"/>
              </w:rPr>
            </w:pPr>
            <w:r>
              <w:rPr>
                <w:color w:val="231F20"/>
                <w:sz w:val="14"/>
              </w:rPr>
              <w:t>очувању мира у свету, борби против сиро­ маштва и заштити културних споменика.</w:t>
            </w:r>
          </w:p>
          <w:p w:rsidR="00041039" w:rsidRDefault="001B26CB">
            <w:pPr>
              <w:pStyle w:val="TableParagraph"/>
              <w:numPr>
                <w:ilvl w:val="0"/>
                <w:numId w:val="1158"/>
              </w:numPr>
              <w:tabs>
                <w:tab w:val="left" w:pos="157"/>
              </w:tabs>
              <w:spacing w:line="154" w:lineRule="exact"/>
              <w:ind w:hanging="99"/>
              <w:rPr>
                <w:sz w:val="14"/>
              </w:rPr>
            </w:pPr>
            <w:r>
              <w:rPr>
                <w:color w:val="231F20"/>
                <w:sz w:val="14"/>
              </w:rPr>
              <w:t>Геополитички положај</w:t>
            </w:r>
            <w:r>
              <w:rPr>
                <w:color w:val="231F20"/>
                <w:spacing w:val="-4"/>
                <w:sz w:val="14"/>
              </w:rPr>
              <w:t xml:space="preserve"> </w:t>
            </w:r>
            <w:r>
              <w:rPr>
                <w:color w:val="231F20"/>
                <w:sz w:val="14"/>
              </w:rPr>
              <w:t>Србије.</w:t>
            </w:r>
          </w:p>
          <w:p w:rsidR="00041039" w:rsidRDefault="001B26CB">
            <w:pPr>
              <w:pStyle w:val="TableParagraph"/>
              <w:numPr>
                <w:ilvl w:val="0"/>
                <w:numId w:val="1158"/>
              </w:numPr>
              <w:tabs>
                <w:tab w:val="left" w:pos="157"/>
              </w:tabs>
              <w:spacing w:line="237" w:lineRule="auto"/>
              <w:ind w:right="282" w:hanging="99"/>
              <w:jc w:val="both"/>
              <w:rPr>
                <w:sz w:val="14"/>
              </w:rPr>
            </w:pPr>
            <w:r>
              <w:rPr>
                <w:color w:val="231F20"/>
                <w:sz w:val="14"/>
              </w:rPr>
              <w:t>Чланство Србије у регионалним, европ­ ским и светским организацијама (Савет Европе, ОЕБС,</w:t>
            </w:r>
            <w:r>
              <w:rPr>
                <w:color w:val="231F20"/>
                <w:spacing w:val="-1"/>
                <w:sz w:val="14"/>
              </w:rPr>
              <w:t xml:space="preserve"> </w:t>
            </w:r>
            <w:r>
              <w:rPr>
                <w:color w:val="231F20"/>
                <w:sz w:val="14"/>
              </w:rPr>
              <w:t>ОУН...).</w:t>
            </w:r>
          </w:p>
          <w:p w:rsidR="00041039" w:rsidRDefault="001B26CB">
            <w:pPr>
              <w:pStyle w:val="TableParagraph"/>
              <w:numPr>
                <w:ilvl w:val="0"/>
                <w:numId w:val="1158"/>
              </w:numPr>
              <w:tabs>
                <w:tab w:val="left" w:pos="157"/>
              </w:tabs>
              <w:spacing w:line="237" w:lineRule="auto"/>
              <w:ind w:right="43" w:hanging="99"/>
              <w:rPr>
                <w:sz w:val="14"/>
              </w:rPr>
            </w:pPr>
            <w:r>
              <w:rPr>
                <w:color w:val="231F20"/>
                <w:sz w:val="14"/>
              </w:rPr>
              <w:t xml:space="preserve">Срби ван Србије (проблем избеглица, Црна </w:t>
            </w:r>
            <w:r>
              <w:rPr>
                <w:color w:val="231F20"/>
                <w:spacing w:val="-3"/>
                <w:sz w:val="14"/>
              </w:rPr>
              <w:t xml:space="preserve">Гора, </w:t>
            </w:r>
            <w:r>
              <w:rPr>
                <w:color w:val="231F20"/>
                <w:sz w:val="14"/>
              </w:rPr>
              <w:t>Република Српска, Срби у</w:t>
            </w:r>
            <w:r>
              <w:rPr>
                <w:color w:val="231F20"/>
                <w:spacing w:val="-16"/>
                <w:sz w:val="14"/>
              </w:rPr>
              <w:t xml:space="preserve"> </w:t>
            </w:r>
            <w:r>
              <w:rPr>
                <w:color w:val="231F20"/>
                <w:sz w:val="14"/>
              </w:rPr>
              <w:t>дијаспори).</w:t>
            </w:r>
          </w:p>
          <w:p w:rsidR="00041039" w:rsidRDefault="001B26CB">
            <w:pPr>
              <w:pStyle w:val="TableParagraph"/>
              <w:numPr>
                <w:ilvl w:val="0"/>
                <w:numId w:val="1158"/>
              </w:numPr>
              <w:tabs>
                <w:tab w:val="left" w:pos="157"/>
              </w:tabs>
              <w:spacing w:line="160" w:lineRule="exact"/>
              <w:ind w:right="75" w:hanging="99"/>
              <w:rPr>
                <w:sz w:val="14"/>
              </w:rPr>
            </w:pPr>
            <w:r>
              <w:rPr>
                <w:color w:val="231F20"/>
                <w:sz w:val="14"/>
              </w:rPr>
              <w:t xml:space="preserve">Свет почетком XXI века ­ научни и технолошки развој. </w:t>
            </w:r>
            <w:r>
              <w:rPr>
                <w:color w:val="231F20"/>
                <w:spacing w:val="-2"/>
                <w:sz w:val="14"/>
              </w:rPr>
              <w:t xml:space="preserve">Интернет, </w:t>
            </w:r>
            <w:r>
              <w:rPr>
                <w:color w:val="231F20"/>
                <w:sz w:val="14"/>
              </w:rPr>
              <w:t>утицај медија</w:t>
            </w:r>
            <w:r>
              <w:rPr>
                <w:color w:val="231F20"/>
                <w:spacing w:val="-6"/>
                <w:sz w:val="14"/>
              </w:rPr>
              <w:t xml:space="preserve"> </w:t>
            </w:r>
            <w:r>
              <w:rPr>
                <w:color w:val="231F20"/>
                <w:sz w:val="14"/>
              </w:rPr>
              <w:t>на</w:t>
            </w:r>
            <w:r>
              <w:rPr>
                <w:color w:val="231F20"/>
                <w:spacing w:val="-7"/>
                <w:sz w:val="14"/>
              </w:rPr>
              <w:t xml:space="preserve"> </w:t>
            </w:r>
            <w:r>
              <w:rPr>
                <w:color w:val="231F20"/>
                <w:sz w:val="14"/>
              </w:rPr>
              <w:t>јавно</w:t>
            </w:r>
            <w:r>
              <w:rPr>
                <w:color w:val="231F20"/>
                <w:spacing w:val="-6"/>
                <w:sz w:val="14"/>
              </w:rPr>
              <w:t xml:space="preserve"> </w:t>
            </w:r>
            <w:r>
              <w:rPr>
                <w:color w:val="231F20"/>
                <w:sz w:val="14"/>
              </w:rPr>
              <w:t>мњење,</w:t>
            </w:r>
            <w:r>
              <w:rPr>
                <w:color w:val="231F20"/>
                <w:spacing w:val="-6"/>
                <w:sz w:val="14"/>
              </w:rPr>
              <w:t xml:space="preserve"> </w:t>
            </w:r>
            <w:r>
              <w:rPr>
                <w:color w:val="231F20"/>
                <w:sz w:val="14"/>
              </w:rPr>
              <w:t>популарна</w:t>
            </w:r>
            <w:r>
              <w:rPr>
                <w:color w:val="231F20"/>
                <w:spacing w:val="-7"/>
                <w:sz w:val="14"/>
              </w:rPr>
              <w:t xml:space="preserve"> </w:t>
            </w:r>
            <w:r>
              <w:rPr>
                <w:color w:val="231F20"/>
                <w:sz w:val="14"/>
              </w:rPr>
              <w:t>култура, глобализација, тероризам, еколошки про­ блеми...</w:t>
            </w:r>
          </w:p>
        </w:tc>
        <w:tc>
          <w:tcPr>
            <w:tcW w:w="2267" w:type="dxa"/>
          </w:tcPr>
          <w:p w:rsidR="00041039" w:rsidRDefault="001B26CB">
            <w:pPr>
              <w:pStyle w:val="TableParagraph"/>
              <w:numPr>
                <w:ilvl w:val="0"/>
                <w:numId w:val="1157"/>
              </w:numPr>
              <w:tabs>
                <w:tab w:val="left" w:pos="158"/>
              </w:tabs>
              <w:spacing w:before="8"/>
              <w:ind w:right="208" w:hanging="99"/>
              <w:rPr>
                <w:sz w:val="14"/>
              </w:rPr>
            </w:pPr>
            <w:r>
              <w:rPr>
                <w:color w:val="231F20"/>
                <w:sz w:val="14"/>
              </w:rPr>
              <w:t>одређене теме, по могућности, треба реализовати са одгова­ рајућим садржајима из</w:t>
            </w:r>
            <w:r>
              <w:rPr>
                <w:color w:val="231F20"/>
                <w:spacing w:val="-8"/>
                <w:sz w:val="14"/>
              </w:rPr>
              <w:t xml:space="preserve"> </w:t>
            </w:r>
            <w:r>
              <w:rPr>
                <w:color w:val="231F20"/>
                <w:sz w:val="14"/>
              </w:rPr>
              <w:t>сродних предмета;</w:t>
            </w:r>
          </w:p>
          <w:p w:rsidR="00041039" w:rsidRDefault="001B26CB">
            <w:pPr>
              <w:pStyle w:val="TableParagraph"/>
              <w:numPr>
                <w:ilvl w:val="0"/>
                <w:numId w:val="1157"/>
              </w:numPr>
              <w:tabs>
                <w:tab w:val="left" w:pos="158"/>
              </w:tabs>
              <w:spacing w:line="156" w:lineRule="exact"/>
              <w:ind w:hanging="99"/>
              <w:rPr>
                <w:sz w:val="14"/>
              </w:rPr>
            </w:pPr>
            <w:r>
              <w:rPr>
                <w:color w:val="231F20"/>
                <w:spacing w:val="-3"/>
                <w:sz w:val="14"/>
              </w:rPr>
              <w:t xml:space="preserve">током </w:t>
            </w:r>
            <w:r>
              <w:rPr>
                <w:color w:val="231F20"/>
                <w:sz w:val="14"/>
              </w:rPr>
              <w:t>рада са ученицима</w:t>
            </w:r>
            <w:r>
              <w:rPr>
                <w:color w:val="231F20"/>
                <w:spacing w:val="2"/>
                <w:sz w:val="14"/>
              </w:rPr>
              <w:t xml:space="preserve"> </w:t>
            </w:r>
            <w:r>
              <w:rPr>
                <w:color w:val="231F20"/>
                <w:sz w:val="14"/>
              </w:rPr>
              <w:t>потреб­</w:t>
            </w:r>
          </w:p>
          <w:p w:rsidR="00041039" w:rsidRDefault="001B26CB">
            <w:pPr>
              <w:pStyle w:val="TableParagraph"/>
              <w:ind w:left="157" w:right="239"/>
              <w:rPr>
                <w:sz w:val="14"/>
              </w:rPr>
            </w:pPr>
            <w:r>
              <w:rPr>
                <w:color w:val="231F20"/>
                <w:sz w:val="14"/>
              </w:rPr>
              <w:t>но је стално правити поређе</w:t>
            </w:r>
            <w:r>
              <w:rPr>
                <w:color w:val="231F20"/>
                <w:sz w:val="14"/>
              </w:rPr>
              <w:t>ња са савременим добом, чиме се</w:t>
            </w:r>
          </w:p>
          <w:p w:rsidR="00041039" w:rsidRDefault="001B26CB">
            <w:pPr>
              <w:pStyle w:val="TableParagraph"/>
              <w:ind w:left="157"/>
              <w:rPr>
                <w:sz w:val="14"/>
              </w:rPr>
            </w:pPr>
            <w:r>
              <w:rPr>
                <w:color w:val="231F20"/>
                <w:sz w:val="14"/>
              </w:rPr>
              <w:t>наглашава схватање континуитета у развоју друштва и богатство садржаја из прошлости;</w:t>
            </w:r>
          </w:p>
          <w:p w:rsidR="00041039" w:rsidRDefault="001B26CB">
            <w:pPr>
              <w:pStyle w:val="TableParagraph"/>
              <w:numPr>
                <w:ilvl w:val="0"/>
                <w:numId w:val="1157"/>
              </w:numPr>
              <w:tabs>
                <w:tab w:val="left" w:pos="158"/>
              </w:tabs>
              <w:spacing w:line="158" w:lineRule="exact"/>
              <w:ind w:hanging="99"/>
              <w:rPr>
                <w:sz w:val="14"/>
              </w:rPr>
            </w:pPr>
            <w:r>
              <w:rPr>
                <w:color w:val="231F20"/>
                <w:sz w:val="14"/>
              </w:rPr>
              <w:t>задатак наставника је и да</w:t>
            </w:r>
            <w:r>
              <w:rPr>
                <w:color w:val="231F20"/>
                <w:spacing w:val="-18"/>
                <w:sz w:val="14"/>
              </w:rPr>
              <w:t xml:space="preserve"> </w:t>
            </w:r>
            <w:r>
              <w:rPr>
                <w:color w:val="231F20"/>
                <w:sz w:val="14"/>
              </w:rPr>
              <w:t>под­</w:t>
            </w:r>
          </w:p>
          <w:p w:rsidR="00041039" w:rsidRDefault="001B26CB">
            <w:pPr>
              <w:pStyle w:val="TableParagraph"/>
              <w:ind w:left="157" w:right="99"/>
              <w:rPr>
                <w:sz w:val="14"/>
              </w:rPr>
            </w:pPr>
            <w:r>
              <w:rPr>
                <w:color w:val="231F20"/>
                <w:sz w:val="14"/>
              </w:rPr>
              <w:t>стиче осамостаљивање  ученика у прикупљању и сређивању</w:t>
            </w:r>
            <w:r>
              <w:rPr>
                <w:color w:val="231F20"/>
                <w:spacing w:val="-12"/>
                <w:sz w:val="14"/>
              </w:rPr>
              <w:t xml:space="preserve"> </w:t>
            </w:r>
            <w:r>
              <w:rPr>
                <w:color w:val="231F20"/>
                <w:sz w:val="14"/>
              </w:rPr>
              <w:t>исто­ ријских података, да их</w:t>
            </w:r>
            <w:r>
              <w:rPr>
                <w:color w:val="231F20"/>
                <w:spacing w:val="-14"/>
                <w:sz w:val="14"/>
              </w:rPr>
              <w:t xml:space="preserve"> </w:t>
            </w:r>
            <w:r>
              <w:rPr>
                <w:color w:val="231F20"/>
                <w:sz w:val="14"/>
              </w:rPr>
              <w:t>усмерава</w:t>
            </w:r>
          </w:p>
          <w:p w:rsidR="00041039" w:rsidRDefault="001B26CB">
            <w:pPr>
              <w:pStyle w:val="TableParagraph"/>
              <w:spacing w:line="237" w:lineRule="auto"/>
              <w:ind w:left="157" w:right="32"/>
              <w:rPr>
                <w:sz w:val="14"/>
              </w:rPr>
            </w:pPr>
            <w:r>
              <w:rPr>
                <w:color w:val="231F20"/>
                <w:sz w:val="14"/>
              </w:rPr>
              <w:t>на различите изворе информација и подучава их како да се према њима критички односе, чиме</w:t>
            </w:r>
          </w:p>
          <w:p w:rsidR="00041039" w:rsidRDefault="001B26CB">
            <w:pPr>
              <w:pStyle w:val="TableParagraph"/>
              <w:ind w:left="157" w:right="276"/>
              <w:rPr>
                <w:sz w:val="14"/>
              </w:rPr>
            </w:pPr>
            <w:r>
              <w:rPr>
                <w:color w:val="231F20"/>
                <w:sz w:val="14"/>
              </w:rPr>
              <w:t>се негује истраживачки дух и занимање за науку и подстиче развој мишљења заснованог на провереним чињеницама и аргументима;</w:t>
            </w:r>
          </w:p>
          <w:p w:rsidR="00041039" w:rsidRDefault="001B26CB">
            <w:pPr>
              <w:pStyle w:val="TableParagraph"/>
              <w:numPr>
                <w:ilvl w:val="0"/>
                <w:numId w:val="1157"/>
              </w:numPr>
              <w:tabs>
                <w:tab w:val="left" w:pos="158"/>
              </w:tabs>
              <w:spacing w:line="156" w:lineRule="exact"/>
              <w:ind w:hanging="99"/>
              <w:rPr>
                <w:sz w:val="14"/>
              </w:rPr>
            </w:pPr>
            <w:r>
              <w:rPr>
                <w:color w:val="231F20"/>
                <w:sz w:val="14"/>
              </w:rPr>
              <w:t>овај предмет пружа велике</w:t>
            </w:r>
            <w:r>
              <w:rPr>
                <w:color w:val="231F20"/>
                <w:spacing w:val="-11"/>
                <w:sz w:val="14"/>
              </w:rPr>
              <w:t xml:space="preserve"> </w:t>
            </w:r>
            <w:r>
              <w:rPr>
                <w:color w:val="231F20"/>
                <w:sz w:val="14"/>
              </w:rPr>
              <w:t>могућ­</w:t>
            </w:r>
          </w:p>
          <w:p w:rsidR="00041039" w:rsidRDefault="001B26CB">
            <w:pPr>
              <w:pStyle w:val="TableParagraph"/>
              <w:ind w:left="157" w:right="191"/>
              <w:jc w:val="both"/>
              <w:rPr>
                <w:sz w:val="14"/>
              </w:rPr>
            </w:pPr>
            <w:r>
              <w:rPr>
                <w:color w:val="231F20"/>
                <w:sz w:val="14"/>
              </w:rPr>
              <w:t xml:space="preserve">ности за </w:t>
            </w:r>
            <w:r>
              <w:rPr>
                <w:color w:val="231F20"/>
                <w:sz w:val="14"/>
              </w:rPr>
              <w:t xml:space="preserve">интеграцију </w:t>
            </w:r>
            <w:r>
              <w:rPr>
                <w:color w:val="231F20"/>
                <w:spacing w:val="-3"/>
                <w:sz w:val="14"/>
              </w:rPr>
              <w:t xml:space="preserve">школског </w:t>
            </w:r>
            <w:r>
              <w:rPr>
                <w:color w:val="231F20"/>
                <w:sz w:val="14"/>
              </w:rPr>
              <w:t>и ваншколског знања ученика, за излазак из оквира школских уџбеника и учионица, укључи­ вање родитеља и суграђана</w:t>
            </w:r>
            <w:r>
              <w:rPr>
                <w:color w:val="231F20"/>
                <w:spacing w:val="-18"/>
                <w:sz w:val="14"/>
              </w:rPr>
              <w:t xml:space="preserve"> </w:t>
            </w:r>
            <w:r>
              <w:rPr>
                <w:color w:val="231F20"/>
                <w:sz w:val="14"/>
              </w:rPr>
              <w:t>који</w:t>
            </w:r>
          </w:p>
          <w:p w:rsidR="00041039" w:rsidRDefault="001B26CB">
            <w:pPr>
              <w:pStyle w:val="TableParagraph"/>
              <w:spacing w:line="237" w:lineRule="auto"/>
              <w:ind w:left="157"/>
              <w:rPr>
                <w:sz w:val="14"/>
              </w:rPr>
            </w:pPr>
            <w:r>
              <w:rPr>
                <w:color w:val="231F20"/>
                <w:sz w:val="14"/>
              </w:rPr>
              <w:t>поседују знања, колекције, књиге, филмове и другу грађу која</w:t>
            </w:r>
          </w:p>
          <w:p w:rsidR="00041039" w:rsidRDefault="001B26CB">
            <w:pPr>
              <w:pStyle w:val="TableParagraph"/>
              <w:ind w:left="157"/>
              <w:rPr>
                <w:sz w:val="14"/>
              </w:rPr>
            </w:pPr>
            <w:r>
              <w:rPr>
                <w:color w:val="231F20"/>
                <w:sz w:val="14"/>
              </w:rPr>
              <w:t>може да помогне у реализацији програма;</w:t>
            </w:r>
          </w:p>
          <w:p w:rsidR="00041039" w:rsidRDefault="001B26CB">
            <w:pPr>
              <w:pStyle w:val="TableParagraph"/>
              <w:numPr>
                <w:ilvl w:val="0"/>
                <w:numId w:val="1157"/>
              </w:numPr>
              <w:tabs>
                <w:tab w:val="left" w:pos="158"/>
              </w:tabs>
              <w:spacing w:line="160" w:lineRule="exact"/>
              <w:ind w:right="136" w:hanging="99"/>
              <w:rPr>
                <w:sz w:val="14"/>
              </w:rPr>
            </w:pPr>
            <w:r>
              <w:rPr>
                <w:color w:val="231F20"/>
                <w:sz w:val="14"/>
              </w:rPr>
              <w:t>наставник треба</w:t>
            </w:r>
            <w:r>
              <w:rPr>
                <w:color w:val="231F20"/>
                <w:sz w:val="14"/>
              </w:rPr>
              <w:t xml:space="preserve"> да тежи комби­ новању различитих метода рада (кратка предавања, гледање</w:t>
            </w:r>
            <w:r>
              <w:rPr>
                <w:color w:val="231F20"/>
                <w:spacing w:val="-22"/>
                <w:sz w:val="14"/>
              </w:rPr>
              <w:t xml:space="preserve"> </w:t>
            </w:r>
            <w:r>
              <w:rPr>
                <w:color w:val="231F20"/>
                <w:sz w:val="14"/>
              </w:rPr>
              <w:t>фил­ мова, читање књига, дискусије, анализа писаних извора, слика и фотографија...);</w:t>
            </w:r>
          </w:p>
          <w:p w:rsidR="00041039" w:rsidRDefault="001B26CB">
            <w:pPr>
              <w:pStyle w:val="TableParagraph"/>
              <w:numPr>
                <w:ilvl w:val="0"/>
                <w:numId w:val="1157"/>
              </w:numPr>
              <w:tabs>
                <w:tab w:val="left" w:pos="158"/>
              </w:tabs>
              <w:spacing w:line="160" w:lineRule="exact"/>
              <w:ind w:right="65" w:hanging="99"/>
              <w:rPr>
                <w:sz w:val="14"/>
              </w:rPr>
            </w:pPr>
            <w:r>
              <w:rPr>
                <w:color w:val="231F20"/>
                <w:sz w:val="14"/>
              </w:rPr>
              <w:t xml:space="preserve">у извођењу наставе самостално истраживање ученика је најваж­ није, без обзира на изабране методе рада, а наставникова је улога да организује </w:t>
            </w:r>
            <w:r>
              <w:rPr>
                <w:color w:val="231F20"/>
                <w:spacing w:val="-3"/>
                <w:sz w:val="14"/>
              </w:rPr>
              <w:t xml:space="preserve">наставу, </w:t>
            </w:r>
            <w:r>
              <w:rPr>
                <w:color w:val="231F20"/>
                <w:sz w:val="14"/>
              </w:rPr>
              <w:t>пру­ жи помоћ ученицима у раду (од давања информација до упући­ вања на изворе информација) и</w:t>
            </w:r>
            <w:r>
              <w:rPr>
                <w:color w:val="231F20"/>
                <w:spacing w:val="-16"/>
                <w:sz w:val="14"/>
              </w:rPr>
              <w:t xml:space="preserve"> </w:t>
            </w:r>
            <w:r>
              <w:rPr>
                <w:color w:val="231F20"/>
                <w:sz w:val="14"/>
              </w:rPr>
              <w:t xml:space="preserve">да подстиче </w:t>
            </w:r>
            <w:r>
              <w:rPr>
                <w:color w:val="231F20"/>
                <w:sz w:val="14"/>
              </w:rPr>
              <w:t>интересовање ученика за</w:t>
            </w:r>
            <w:r>
              <w:rPr>
                <w:color w:val="231F20"/>
                <w:spacing w:val="-2"/>
                <w:sz w:val="14"/>
              </w:rPr>
              <w:t xml:space="preserve"> </w:t>
            </w:r>
            <w:r>
              <w:rPr>
                <w:color w:val="231F20"/>
                <w:sz w:val="14"/>
              </w:rPr>
              <w:t>предмет.</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172"/>
        </w:numPr>
        <w:tabs>
          <w:tab w:val="left" w:pos="633"/>
        </w:tabs>
      </w:pPr>
      <w:r>
        <w:rPr>
          <w:color w:val="231F20"/>
        </w:rPr>
        <w:t>Социологија са правима</w:t>
      </w:r>
      <w:r>
        <w:rPr>
          <w:color w:val="231F20"/>
          <w:spacing w:val="-2"/>
        </w:rPr>
        <w:t xml:space="preserve"> </w:t>
      </w:r>
      <w:r>
        <w:rPr>
          <w:color w:val="231F20"/>
        </w:rPr>
        <w:t>грађана</w:t>
      </w:r>
    </w:p>
    <w:p w:rsidR="00041039" w:rsidRDefault="001B26CB">
      <w:pPr>
        <w:pStyle w:val="ListParagraph"/>
        <w:numPr>
          <w:ilvl w:val="0"/>
          <w:numId w:val="1172"/>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1172"/>
        </w:numPr>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numPr>
          <w:ilvl w:val="0"/>
          <w:numId w:val="1172"/>
        </w:numPr>
        <w:tabs>
          <w:tab w:val="left" w:pos="633"/>
        </w:tabs>
        <w:spacing w:line="203" w:lineRule="exact"/>
        <w:rPr>
          <w:sz w:val="18"/>
        </w:rPr>
      </w:pPr>
      <w:r>
        <w:rPr>
          <w:color w:val="231F20"/>
          <w:sz w:val="18"/>
        </w:rPr>
        <w:t>Историја</w:t>
      </w:r>
      <w:r>
        <w:rPr>
          <w:color w:val="231F20"/>
          <w:spacing w:val="-1"/>
          <w:sz w:val="18"/>
        </w:rPr>
        <w:t xml:space="preserve"> </w:t>
      </w:r>
      <w:r>
        <w:rPr>
          <w:color w:val="231F20"/>
          <w:sz w:val="18"/>
        </w:rPr>
        <w:t>ваздухопловства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СОЦИОЛОГИЈА </w:t>
      </w:r>
      <w:r>
        <w:rPr>
          <w:b/>
          <w:color w:val="231F20"/>
          <w:spacing w:val="-4"/>
          <w:sz w:val="14"/>
        </w:rPr>
        <w:t>СА ПРАВИМА</w:t>
      </w:r>
      <w:r>
        <w:rPr>
          <w:b/>
          <w:color w:val="231F20"/>
          <w:spacing w:val="1"/>
          <w:sz w:val="14"/>
        </w:rPr>
        <w:t xml:space="preserve"> </w:t>
      </w:r>
      <w:r>
        <w:rPr>
          <w:b/>
          <w:color w:val="231F20"/>
          <w:spacing w:val="-4"/>
          <w:sz w:val="14"/>
        </w:rPr>
        <w:t>ГРАЂАНА</w:t>
      </w:r>
    </w:p>
    <w:p w:rsidR="00041039" w:rsidRDefault="001B26CB">
      <w:pPr>
        <w:pStyle w:val="BodyText"/>
        <w:spacing w:before="49" w:line="161" w:lineRule="exact"/>
        <w:ind w:left="157"/>
      </w:pPr>
      <w:r>
        <w:rPr>
          <w:color w:val="231F20"/>
        </w:rPr>
        <w:t>Циљеви предмета: – Оспособљава ученика за живот у друштву изложеном сталним променама и изазовима које доноси развој савременог друштва.</w:t>
      </w:r>
    </w:p>
    <w:p w:rsidR="00041039" w:rsidRDefault="001B26CB">
      <w:pPr>
        <w:pStyle w:val="ListParagraph"/>
        <w:numPr>
          <w:ilvl w:val="1"/>
          <w:numId w:val="1172"/>
        </w:numPr>
        <w:tabs>
          <w:tab w:val="left" w:pos="1566"/>
        </w:tabs>
        <w:spacing w:line="160" w:lineRule="exact"/>
        <w:rPr>
          <w:sz w:val="14"/>
        </w:rPr>
      </w:pPr>
      <w:r>
        <w:rPr>
          <w:color w:val="231F20"/>
          <w:sz w:val="14"/>
        </w:rPr>
        <w:t xml:space="preserve">Развија способност </w:t>
      </w:r>
      <w:r>
        <w:rPr>
          <w:color w:val="231F20"/>
          <w:spacing w:val="-5"/>
          <w:sz w:val="14"/>
        </w:rPr>
        <w:t xml:space="preserve">код </w:t>
      </w:r>
      <w:r>
        <w:rPr>
          <w:color w:val="231F20"/>
          <w:sz w:val="14"/>
        </w:rPr>
        <w:t>ученика за улогу одговорног грађанина за живот у демократски уређеном и хуманом</w:t>
      </w:r>
      <w:r>
        <w:rPr>
          <w:color w:val="231F20"/>
          <w:spacing w:val="-11"/>
          <w:sz w:val="14"/>
        </w:rPr>
        <w:t xml:space="preserve"> </w:t>
      </w:r>
      <w:r>
        <w:rPr>
          <w:color w:val="231F20"/>
          <w:spacing w:val="-3"/>
          <w:sz w:val="14"/>
        </w:rPr>
        <w:t>друштву.</w:t>
      </w:r>
    </w:p>
    <w:p w:rsidR="00041039" w:rsidRDefault="001B26CB">
      <w:pPr>
        <w:pStyle w:val="ListParagraph"/>
        <w:numPr>
          <w:ilvl w:val="1"/>
          <w:numId w:val="1172"/>
        </w:numPr>
        <w:tabs>
          <w:tab w:val="left" w:pos="1566"/>
        </w:tabs>
        <w:spacing w:line="161" w:lineRule="exact"/>
        <w:rPr>
          <w:sz w:val="14"/>
        </w:rPr>
      </w:pPr>
      <w:r>
        <w:rPr>
          <w:color w:val="231F20"/>
          <w:spacing w:val="-3"/>
          <w:sz w:val="14"/>
        </w:rPr>
        <w:t>Унапређ</w:t>
      </w:r>
      <w:r>
        <w:rPr>
          <w:color w:val="231F20"/>
          <w:spacing w:val="-3"/>
          <w:sz w:val="14"/>
        </w:rPr>
        <w:t xml:space="preserve">ује </w:t>
      </w:r>
      <w:r>
        <w:rPr>
          <w:color w:val="231F20"/>
          <w:sz w:val="14"/>
        </w:rPr>
        <w:t>ученичке способности за све облике комуникације дијалога и исказивања аргументованог</w:t>
      </w:r>
      <w:r>
        <w:rPr>
          <w:color w:val="231F20"/>
          <w:spacing w:val="-5"/>
          <w:sz w:val="14"/>
        </w:rPr>
        <w:t xml:space="preserve"> </w:t>
      </w:r>
      <w:r>
        <w:rPr>
          <w:color w:val="231F20"/>
          <w:sz w:val="14"/>
        </w:rPr>
        <w:t>става.</w:t>
      </w:r>
    </w:p>
    <w:p w:rsidR="00041039" w:rsidRDefault="00041039">
      <w:pPr>
        <w:spacing w:line="161" w:lineRule="exact"/>
        <w:rPr>
          <w:sz w:val="14"/>
        </w:rPr>
        <w:sectPr w:rsidR="00041039">
          <w:pgSz w:w="11910" w:h="15710"/>
          <w:pgMar w:top="160" w:right="540" w:bottom="280" w:left="580" w:header="720" w:footer="720" w:gutter="0"/>
          <w:cols w:space="720"/>
        </w:sectPr>
      </w:pPr>
    </w:p>
    <w:p w:rsidR="00041039" w:rsidRDefault="001B26CB">
      <w:pPr>
        <w:pStyle w:val="BodyText"/>
        <w:spacing w:before="50"/>
        <w:ind w:left="157" w:right="4"/>
      </w:pPr>
      <w:r>
        <w:rPr>
          <w:color w:val="231F20"/>
        </w:rPr>
        <w:t>Годишњи фонд часова:</w:t>
      </w:r>
    </w:p>
    <w:p w:rsidR="00041039" w:rsidRDefault="001B26CB">
      <w:pPr>
        <w:pStyle w:val="Heading3"/>
      </w:pPr>
      <w:r>
        <w:rPr>
          <w:b w:val="0"/>
        </w:rPr>
        <w:br w:type="column"/>
      </w:r>
      <w:r>
        <w:rPr>
          <w:color w:val="231F20"/>
        </w:rPr>
        <w:t>64 часа</w:t>
      </w:r>
    </w:p>
    <w:p w:rsidR="00041039" w:rsidRDefault="00041039">
      <w:pPr>
        <w:sectPr w:rsidR="00041039">
          <w:type w:val="continuous"/>
          <w:pgSz w:w="11910" w:h="15710"/>
          <w:pgMar w:top="1480" w:right="540" w:bottom="280" w:left="580" w:header="720" w:footer="720" w:gutter="0"/>
          <w:cols w:num="2" w:space="720" w:equalWidth="0">
            <w:col w:w="1104" w:space="200"/>
            <w:col w:w="9486"/>
          </w:cols>
        </w:sectPr>
      </w:pPr>
    </w:p>
    <w:p w:rsidR="00041039" w:rsidRDefault="001B26CB">
      <w:pPr>
        <w:tabs>
          <w:tab w:val="left" w:pos="1460"/>
        </w:tabs>
        <w:spacing w:before="48"/>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154" w:firstLine="725"/>
              <w:rPr>
                <w:b/>
                <w:sz w:val="14"/>
              </w:rPr>
            </w:pPr>
            <w:r>
              <w:rPr>
                <w:b/>
                <w:color w:val="231F20"/>
                <w:sz w:val="14"/>
              </w:rPr>
              <w:t>НАЧИН ОСТВАРИВАЊА ПРОГРАМ A</w:t>
            </w:r>
          </w:p>
        </w:tc>
      </w:tr>
      <w:tr w:rsidR="00041039">
        <w:trPr>
          <w:trHeight w:val="1960"/>
        </w:trPr>
        <w:tc>
          <w:tcPr>
            <w:tcW w:w="1304" w:type="dxa"/>
          </w:tcPr>
          <w:p w:rsidR="00041039" w:rsidRDefault="001B26CB">
            <w:pPr>
              <w:pStyle w:val="TableParagraph"/>
              <w:spacing w:before="18"/>
              <w:ind w:left="56" w:right="37"/>
              <w:rPr>
                <w:sz w:val="14"/>
              </w:rPr>
            </w:pPr>
            <w:r>
              <w:rPr>
                <w:color w:val="231F20"/>
                <w:sz w:val="14"/>
              </w:rPr>
              <w:t>Структура и орга­ низација друштва</w:t>
            </w:r>
          </w:p>
        </w:tc>
        <w:tc>
          <w:tcPr>
            <w:tcW w:w="1587" w:type="dxa"/>
          </w:tcPr>
          <w:p w:rsidR="00041039" w:rsidRDefault="001B26CB">
            <w:pPr>
              <w:pStyle w:val="TableParagraph"/>
              <w:numPr>
                <w:ilvl w:val="0"/>
                <w:numId w:val="1156"/>
              </w:numPr>
              <w:tabs>
                <w:tab w:val="left" w:pos="157"/>
              </w:tabs>
              <w:spacing w:before="8"/>
              <w:ind w:right="95"/>
              <w:rPr>
                <w:sz w:val="14"/>
              </w:rPr>
            </w:pPr>
            <w:r>
              <w:rPr>
                <w:color w:val="231F20"/>
                <w:sz w:val="14"/>
              </w:rPr>
              <w:t>Упознавање са функ­ ционисањем,</w:t>
            </w:r>
            <w:r>
              <w:rPr>
                <w:color w:val="231F20"/>
                <w:spacing w:val="-7"/>
                <w:sz w:val="14"/>
              </w:rPr>
              <w:t xml:space="preserve"> </w:t>
            </w:r>
            <w:r>
              <w:rPr>
                <w:color w:val="231F20"/>
                <w:sz w:val="14"/>
              </w:rPr>
              <w:t>структу­ ром и организацијом друштва.</w:t>
            </w:r>
          </w:p>
        </w:tc>
        <w:tc>
          <w:tcPr>
            <w:tcW w:w="2551" w:type="dxa"/>
          </w:tcPr>
          <w:p w:rsidR="00041039" w:rsidRDefault="001B26CB">
            <w:pPr>
              <w:pStyle w:val="TableParagraph"/>
              <w:numPr>
                <w:ilvl w:val="0"/>
                <w:numId w:val="1155"/>
              </w:numPr>
              <w:tabs>
                <w:tab w:val="left" w:pos="157"/>
              </w:tabs>
              <w:spacing w:before="8"/>
              <w:ind w:right="430" w:hanging="99"/>
              <w:rPr>
                <w:sz w:val="14"/>
              </w:rPr>
            </w:pPr>
            <w:r>
              <w:rPr>
                <w:color w:val="231F20"/>
                <w:sz w:val="14"/>
              </w:rPr>
              <w:t>схвати структуру и</w:t>
            </w:r>
            <w:r>
              <w:rPr>
                <w:color w:val="231F20"/>
                <w:spacing w:val="-16"/>
                <w:sz w:val="14"/>
              </w:rPr>
              <w:t xml:space="preserve"> </w:t>
            </w:r>
            <w:r>
              <w:rPr>
                <w:color w:val="231F20"/>
                <w:sz w:val="14"/>
              </w:rPr>
              <w:t>организацију друштва;</w:t>
            </w:r>
          </w:p>
          <w:p w:rsidR="00041039" w:rsidRDefault="001B26CB">
            <w:pPr>
              <w:pStyle w:val="TableParagraph"/>
              <w:numPr>
                <w:ilvl w:val="0"/>
                <w:numId w:val="1155"/>
              </w:numPr>
              <w:tabs>
                <w:tab w:val="left" w:pos="157"/>
              </w:tabs>
              <w:spacing w:line="160" w:lineRule="exact"/>
              <w:ind w:right="109" w:hanging="99"/>
              <w:rPr>
                <w:sz w:val="14"/>
              </w:rPr>
            </w:pPr>
            <w:r>
              <w:rPr>
                <w:color w:val="231F20"/>
                <w:sz w:val="14"/>
              </w:rPr>
              <w:t>објасни улогу друштвених група с</w:t>
            </w:r>
            <w:r>
              <w:rPr>
                <w:color w:val="231F20"/>
                <w:spacing w:val="-19"/>
                <w:sz w:val="14"/>
              </w:rPr>
              <w:t xml:space="preserve"> </w:t>
            </w:r>
            <w:r>
              <w:rPr>
                <w:color w:val="231F20"/>
                <w:sz w:val="14"/>
              </w:rPr>
              <w:t>по­ себним освртом на брак и</w:t>
            </w:r>
            <w:r>
              <w:rPr>
                <w:color w:val="231F20"/>
                <w:spacing w:val="-11"/>
                <w:sz w:val="14"/>
              </w:rPr>
              <w:t xml:space="preserve"> </w:t>
            </w:r>
            <w:r>
              <w:rPr>
                <w:color w:val="231F20"/>
                <w:sz w:val="14"/>
              </w:rPr>
              <w:t>породицу;</w:t>
            </w:r>
          </w:p>
          <w:p w:rsidR="00041039" w:rsidRDefault="001B26CB">
            <w:pPr>
              <w:pStyle w:val="TableParagraph"/>
              <w:numPr>
                <w:ilvl w:val="0"/>
                <w:numId w:val="1155"/>
              </w:numPr>
              <w:tabs>
                <w:tab w:val="left" w:pos="157"/>
              </w:tabs>
              <w:spacing w:line="153" w:lineRule="exact"/>
              <w:ind w:hanging="99"/>
              <w:rPr>
                <w:sz w:val="14"/>
              </w:rPr>
            </w:pPr>
            <w:r>
              <w:rPr>
                <w:color w:val="231F20"/>
                <w:sz w:val="14"/>
              </w:rPr>
              <w:t>схвати друштвену поделу</w:t>
            </w:r>
            <w:r>
              <w:rPr>
                <w:color w:val="231F20"/>
                <w:spacing w:val="-3"/>
                <w:sz w:val="14"/>
              </w:rPr>
              <w:t xml:space="preserve"> </w:t>
            </w:r>
            <w:r>
              <w:rPr>
                <w:color w:val="231F20"/>
                <w:sz w:val="14"/>
              </w:rPr>
              <w:t>рада;</w:t>
            </w:r>
          </w:p>
          <w:p w:rsidR="00041039" w:rsidRDefault="001B26CB">
            <w:pPr>
              <w:pStyle w:val="TableParagraph"/>
              <w:numPr>
                <w:ilvl w:val="0"/>
                <w:numId w:val="1155"/>
              </w:numPr>
              <w:tabs>
                <w:tab w:val="left" w:pos="157"/>
              </w:tabs>
              <w:spacing w:line="237" w:lineRule="auto"/>
              <w:ind w:right="241" w:hanging="99"/>
              <w:rPr>
                <w:sz w:val="14"/>
              </w:rPr>
            </w:pPr>
            <w:r>
              <w:rPr>
                <w:color w:val="231F20"/>
                <w:sz w:val="14"/>
              </w:rPr>
              <w:t>објасни узроке друштвеног</w:t>
            </w:r>
            <w:r>
              <w:rPr>
                <w:color w:val="231F20"/>
                <w:spacing w:val="-7"/>
                <w:sz w:val="14"/>
              </w:rPr>
              <w:t xml:space="preserve"> </w:t>
            </w:r>
            <w:r>
              <w:rPr>
                <w:color w:val="231F20"/>
                <w:sz w:val="14"/>
              </w:rPr>
              <w:t>раслоја­ вања;</w:t>
            </w:r>
          </w:p>
          <w:p w:rsidR="00041039" w:rsidRDefault="001B26CB">
            <w:pPr>
              <w:pStyle w:val="TableParagraph"/>
              <w:numPr>
                <w:ilvl w:val="0"/>
                <w:numId w:val="1155"/>
              </w:numPr>
              <w:tabs>
                <w:tab w:val="left" w:pos="157"/>
              </w:tabs>
              <w:spacing w:line="160" w:lineRule="exact"/>
              <w:ind w:right="173" w:hanging="99"/>
              <w:jc w:val="both"/>
              <w:rPr>
                <w:sz w:val="14"/>
              </w:rPr>
            </w:pPr>
            <w:r>
              <w:rPr>
                <w:color w:val="231F20"/>
                <w:sz w:val="14"/>
              </w:rPr>
              <w:t>наведе друштвене установе и</w:t>
            </w:r>
            <w:r>
              <w:rPr>
                <w:color w:val="231F20"/>
                <w:spacing w:val="-11"/>
                <w:sz w:val="14"/>
              </w:rPr>
              <w:t xml:space="preserve"> </w:t>
            </w:r>
            <w:r>
              <w:rPr>
                <w:color w:val="231F20"/>
                <w:sz w:val="14"/>
              </w:rPr>
              <w:t>друшт­ вене организације и направи</w:t>
            </w:r>
            <w:r>
              <w:rPr>
                <w:color w:val="231F20"/>
                <w:spacing w:val="-12"/>
                <w:sz w:val="14"/>
              </w:rPr>
              <w:t xml:space="preserve"> </w:t>
            </w:r>
            <w:r>
              <w:rPr>
                <w:color w:val="231F20"/>
                <w:sz w:val="14"/>
              </w:rPr>
              <w:t>разлику између</w:t>
            </w:r>
            <w:r>
              <w:rPr>
                <w:color w:val="231F20"/>
                <w:spacing w:val="-1"/>
                <w:sz w:val="14"/>
              </w:rPr>
              <w:t xml:space="preserve"> </w:t>
            </w:r>
            <w:r>
              <w:rPr>
                <w:color w:val="231F20"/>
                <w:sz w:val="14"/>
              </w:rPr>
              <w:t>њих;</w:t>
            </w:r>
          </w:p>
          <w:p w:rsidR="00041039" w:rsidRDefault="001B26CB">
            <w:pPr>
              <w:pStyle w:val="TableParagraph"/>
              <w:numPr>
                <w:ilvl w:val="0"/>
                <w:numId w:val="1155"/>
              </w:numPr>
              <w:tabs>
                <w:tab w:val="left" w:pos="157"/>
              </w:tabs>
              <w:spacing w:line="160" w:lineRule="exact"/>
              <w:ind w:right="157" w:hanging="99"/>
              <w:rPr>
                <w:sz w:val="14"/>
              </w:rPr>
            </w:pPr>
            <w:r>
              <w:rPr>
                <w:color w:val="231F20"/>
                <w:sz w:val="14"/>
              </w:rPr>
              <w:t>разликује особености сеоског и град­ ског</w:t>
            </w:r>
            <w:r>
              <w:rPr>
                <w:color w:val="231F20"/>
                <w:spacing w:val="-1"/>
                <w:sz w:val="14"/>
              </w:rPr>
              <w:t xml:space="preserve"> </w:t>
            </w:r>
            <w:r>
              <w:rPr>
                <w:color w:val="231F20"/>
                <w:sz w:val="14"/>
              </w:rPr>
              <w:t>становништва;</w:t>
            </w:r>
          </w:p>
        </w:tc>
        <w:tc>
          <w:tcPr>
            <w:tcW w:w="2834" w:type="dxa"/>
          </w:tcPr>
          <w:p w:rsidR="00041039" w:rsidRDefault="001B26CB">
            <w:pPr>
              <w:pStyle w:val="TableParagraph"/>
              <w:numPr>
                <w:ilvl w:val="0"/>
                <w:numId w:val="1154"/>
              </w:numPr>
              <w:tabs>
                <w:tab w:val="left" w:pos="142"/>
              </w:tabs>
              <w:spacing w:before="18" w:line="161" w:lineRule="exact"/>
              <w:rPr>
                <w:sz w:val="14"/>
              </w:rPr>
            </w:pPr>
            <w:r>
              <w:rPr>
                <w:color w:val="231F20"/>
                <w:sz w:val="14"/>
              </w:rPr>
              <w:t>Појам и</w:t>
            </w:r>
            <w:r>
              <w:rPr>
                <w:color w:val="231F20"/>
                <w:sz w:val="14"/>
              </w:rPr>
              <w:t>елементи</w:t>
            </w:r>
            <w:r>
              <w:rPr>
                <w:color w:val="231F20"/>
                <w:spacing w:val="-3"/>
                <w:sz w:val="14"/>
              </w:rPr>
              <w:t xml:space="preserve"> </w:t>
            </w:r>
            <w:r>
              <w:rPr>
                <w:color w:val="231F20"/>
                <w:sz w:val="14"/>
              </w:rPr>
              <w:t>друштва.</w:t>
            </w:r>
          </w:p>
          <w:p w:rsidR="00041039" w:rsidRDefault="001B26CB">
            <w:pPr>
              <w:pStyle w:val="TableParagraph"/>
              <w:numPr>
                <w:ilvl w:val="0"/>
                <w:numId w:val="1154"/>
              </w:numPr>
              <w:tabs>
                <w:tab w:val="left" w:pos="142"/>
              </w:tabs>
              <w:spacing w:line="160" w:lineRule="exact"/>
              <w:rPr>
                <w:sz w:val="14"/>
              </w:rPr>
            </w:pPr>
            <w:r>
              <w:rPr>
                <w:color w:val="231F20"/>
                <w:sz w:val="14"/>
              </w:rPr>
              <w:t>Друштвене</w:t>
            </w:r>
            <w:r>
              <w:rPr>
                <w:color w:val="231F20"/>
                <w:spacing w:val="-1"/>
                <w:sz w:val="14"/>
              </w:rPr>
              <w:t xml:space="preserve"> </w:t>
            </w:r>
            <w:r>
              <w:rPr>
                <w:color w:val="231F20"/>
                <w:sz w:val="14"/>
              </w:rPr>
              <w:t>групе.</w:t>
            </w:r>
          </w:p>
          <w:p w:rsidR="00041039" w:rsidRDefault="001B26CB">
            <w:pPr>
              <w:pStyle w:val="TableParagraph"/>
              <w:numPr>
                <w:ilvl w:val="0"/>
                <w:numId w:val="1154"/>
              </w:numPr>
              <w:tabs>
                <w:tab w:val="left" w:pos="142"/>
              </w:tabs>
              <w:spacing w:line="160" w:lineRule="exact"/>
              <w:rPr>
                <w:sz w:val="14"/>
              </w:rPr>
            </w:pPr>
            <w:r>
              <w:rPr>
                <w:color w:val="231F20"/>
                <w:sz w:val="14"/>
              </w:rPr>
              <w:t>Брак и</w:t>
            </w:r>
            <w:r>
              <w:rPr>
                <w:color w:val="231F20"/>
                <w:spacing w:val="-3"/>
                <w:sz w:val="14"/>
              </w:rPr>
              <w:t xml:space="preserve"> </w:t>
            </w:r>
            <w:r>
              <w:rPr>
                <w:color w:val="231F20"/>
                <w:sz w:val="14"/>
              </w:rPr>
              <w:t>породица.</w:t>
            </w:r>
          </w:p>
          <w:p w:rsidR="00041039" w:rsidRDefault="001B26CB">
            <w:pPr>
              <w:pStyle w:val="TableParagraph"/>
              <w:numPr>
                <w:ilvl w:val="0"/>
                <w:numId w:val="1154"/>
              </w:numPr>
              <w:tabs>
                <w:tab w:val="left" w:pos="142"/>
              </w:tabs>
              <w:spacing w:line="160" w:lineRule="exact"/>
              <w:rPr>
                <w:sz w:val="14"/>
              </w:rPr>
            </w:pPr>
            <w:r>
              <w:rPr>
                <w:color w:val="231F20"/>
                <w:sz w:val="14"/>
              </w:rPr>
              <w:t>Друштвена подела</w:t>
            </w:r>
            <w:r>
              <w:rPr>
                <w:color w:val="231F20"/>
                <w:spacing w:val="-10"/>
                <w:sz w:val="14"/>
              </w:rPr>
              <w:t xml:space="preserve"> </w:t>
            </w:r>
            <w:r>
              <w:rPr>
                <w:color w:val="231F20"/>
                <w:sz w:val="14"/>
              </w:rPr>
              <w:t>рада.</w:t>
            </w:r>
          </w:p>
          <w:p w:rsidR="00041039" w:rsidRDefault="001B26CB">
            <w:pPr>
              <w:pStyle w:val="TableParagraph"/>
              <w:numPr>
                <w:ilvl w:val="0"/>
                <w:numId w:val="1154"/>
              </w:numPr>
              <w:tabs>
                <w:tab w:val="left" w:pos="142"/>
              </w:tabs>
              <w:spacing w:line="160" w:lineRule="exact"/>
              <w:rPr>
                <w:sz w:val="14"/>
              </w:rPr>
            </w:pPr>
            <w:r>
              <w:rPr>
                <w:color w:val="231F20"/>
                <w:sz w:val="14"/>
              </w:rPr>
              <w:t>Друштвено</w:t>
            </w:r>
            <w:r>
              <w:rPr>
                <w:color w:val="231F20"/>
                <w:spacing w:val="-6"/>
                <w:sz w:val="14"/>
              </w:rPr>
              <w:t xml:space="preserve"> </w:t>
            </w:r>
            <w:r>
              <w:rPr>
                <w:color w:val="231F20"/>
                <w:sz w:val="14"/>
              </w:rPr>
              <w:t>раслојавање.</w:t>
            </w:r>
          </w:p>
          <w:p w:rsidR="00041039" w:rsidRDefault="001B26CB">
            <w:pPr>
              <w:pStyle w:val="TableParagraph"/>
              <w:numPr>
                <w:ilvl w:val="0"/>
                <w:numId w:val="1154"/>
              </w:numPr>
              <w:tabs>
                <w:tab w:val="left" w:pos="142"/>
              </w:tabs>
              <w:spacing w:line="160" w:lineRule="exact"/>
              <w:rPr>
                <w:sz w:val="14"/>
              </w:rPr>
            </w:pPr>
            <w:r>
              <w:rPr>
                <w:color w:val="231F20"/>
                <w:sz w:val="14"/>
              </w:rPr>
              <w:t>Друштвене установе и</w:t>
            </w:r>
            <w:r>
              <w:rPr>
                <w:color w:val="231F20"/>
                <w:spacing w:val="-2"/>
                <w:sz w:val="14"/>
              </w:rPr>
              <w:t xml:space="preserve"> </w:t>
            </w:r>
            <w:r>
              <w:rPr>
                <w:color w:val="231F20"/>
                <w:sz w:val="14"/>
              </w:rPr>
              <w:t>организације.</w:t>
            </w:r>
          </w:p>
          <w:p w:rsidR="00041039" w:rsidRDefault="001B26CB">
            <w:pPr>
              <w:pStyle w:val="TableParagraph"/>
              <w:numPr>
                <w:ilvl w:val="0"/>
                <w:numId w:val="1154"/>
              </w:numPr>
              <w:tabs>
                <w:tab w:val="left" w:pos="142"/>
              </w:tabs>
              <w:spacing w:line="161" w:lineRule="exact"/>
              <w:rPr>
                <w:sz w:val="14"/>
              </w:rPr>
            </w:pPr>
            <w:r>
              <w:rPr>
                <w:color w:val="231F20"/>
                <w:sz w:val="14"/>
              </w:rPr>
              <w:t>Насеља и</w:t>
            </w:r>
            <w:r>
              <w:rPr>
                <w:color w:val="231F20"/>
                <w:spacing w:val="-2"/>
                <w:sz w:val="14"/>
              </w:rPr>
              <w:t xml:space="preserve"> </w:t>
            </w:r>
            <w:r>
              <w:rPr>
                <w:color w:val="231F20"/>
                <w:sz w:val="14"/>
              </w:rPr>
              <w:t>становништво.</w:t>
            </w:r>
          </w:p>
        </w:tc>
        <w:tc>
          <w:tcPr>
            <w:tcW w:w="2267" w:type="dxa"/>
          </w:tcPr>
          <w:p w:rsidR="00041039" w:rsidRDefault="001B26CB">
            <w:pPr>
              <w:pStyle w:val="TableParagraph"/>
              <w:numPr>
                <w:ilvl w:val="0"/>
                <w:numId w:val="1153"/>
              </w:numPr>
              <w:tabs>
                <w:tab w:val="left" w:pos="158"/>
              </w:tabs>
              <w:spacing w:before="8"/>
              <w:ind w:right="50"/>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7"/>
              <w:rPr>
                <w:b/>
                <w:sz w:val="14"/>
              </w:rPr>
            </w:pPr>
            <w:r>
              <w:rPr>
                <w:b/>
                <w:color w:val="231F20"/>
                <w:sz w:val="14"/>
              </w:rPr>
              <w:t>Облици наставе</w:t>
            </w:r>
          </w:p>
          <w:p w:rsidR="00041039" w:rsidRDefault="001B26CB">
            <w:pPr>
              <w:pStyle w:val="TableParagraph"/>
              <w:ind w:left="57" w:right="110"/>
              <w:rPr>
                <w:sz w:val="14"/>
              </w:rPr>
            </w:pPr>
            <w:r>
              <w:rPr>
                <w:color w:val="231F20"/>
                <w:sz w:val="14"/>
              </w:rPr>
              <w:t>Предмет се реализује кроз следеће облике наставе:</w:t>
            </w:r>
          </w:p>
          <w:p w:rsidR="00041039" w:rsidRDefault="001B26CB">
            <w:pPr>
              <w:pStyle w:val="TableParagraph"/>
              <w:numPr>
                <w:ilvl w:val="0"/>
                <w:numId w:val="1153"/>
              </w:numPr>
              <w:tabs>
                <w:tab w:val="left" w:pos="158"/>
              </w:tabs>
              <w:spacing w:line="160" w:lineRule="exact"/>
              <w:rPr>
                <w:b/>
                <w:sz w:val="14"/>
              </w:rPr>
            </w:pPr>
            <w:r>
              <w:rPr>
                <w:color w:val="231F20"/>
                <w:sz w:val="14"/>
              </w:rPr>
              <w:t xml:space="preserve">теоријска настава </w:t>
            </w:r>
            <w:r>
              <w:rPr>
                <w:b/>
                <w:color w:val="231F20"/>
                <w:sz w:val="14"/>
              </w:rPr>
              <w:t>(64</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7"/>
              <w:rPr>
                <w:b/>
                <w:sz w:val="14"/>
              </w:rPr>
            </w:pPr>
            <w:r>
              <w:rPr>
                <w:b/>
                <w:color w:val="231F20"/>
                <w:sz w:val="14"/>
              </w:rPr>
              <w:t>Подела одељења на групе</w:t>
            </w:r>
          </w:p>
          <w:p w:rsidR="00041039" w:rsidRDefault="001B26CB">
            <w:pPr>
              <w:pStyle w:val="TableParagraph"/>
              <w:spacing w:line="161" w:lineRule="exact"/>
              <w:ind w:left="57"/>
              <w:rPr>
                <w:sz w:val="14"/>
              </w:rPr>
            </w:pPr>
            <w:r>
              <w:rPr>
                <w:color w:val="231F20"/>
                <w:sz w:val="14"/>
              </w:rPr>
              <w:t>Одељење се не дели на групе.</w:t>
            </w:r>
          </w:p>
        </w:tc>
      </w:tr>
    </w:tbl>
    <w:p w:rsidR="00041039" w:rsidRDefault="00041039">
      <w:pPr>
        <w:spacing w:line="161" w:lineRule="exact"/>
        <w:rPr>
          <w:sz w:val="14"/>
        </w:rPr>
        <w:sectPr w:rsidR="00041039">
          <w:type w:val="continuous"/>
          <w:pgSz w:w="11910" w:h="15710"/>
          <w:pgMar w:top="148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600"/>
        </w:trPr>
        <w:tc>
          <w:tcPr>
            <w:tcW w:w="1304" w:type="dxa"/>
          </w:tcPr>
          <w:p w:rsidR="00041039" w:rsidRDefault="001B26CB">
            <w:pPr>
              <w:pStyle w:val="TableParagraph"/>
              <w:spacing w:before="18"/>
              <w:ind w:left="56"/>
              <w:rPr>
                <w:sz w:val="14"/>
              </w:rPr>
            </w:pPr>
            <w:r>
              <w:rPr>
                <w:color w:val="231F20"/>
                <w:sz w:val="14"/>
              </w:rPr>
              <w:lastRenderedPageBreak/>
              <w:t>Држава и политика</w:t>
            </w:r>
          </w:p>
        </w:tc>
        <w:tc>
          <w:tcPr>
            <w:tcW w:w="1587" w:type="dxa"/>
          </w:tcPr>
          <w:p w:rsidR="00041039" w:rsidRDefault="001B26CB">
            <w:pPr>
              <w:pStyle w:val="TableParagraph"/>
              <w:numPr>
                <w:ilvl w:val="0"/>
                <w:numId w:val="1152"/>
              </w:numPr>
              <w:tabs>
                <w:tab w:val="left" w:pos="157"/>
              </w:tabs>
              <w:spacing w:before="8"/>
              <w:ind w:right="50"/>
              <w:rPr>
                <w:sz w:val="14"/>
              </w:rPr>
            </w:pPr>
            <w:r>
              <w:rPr>
                <w:color w:val="231F20"/>
                <w:sz w:val="14"/>
              </w:rPr>
              <w:t xml:space="preserve">Упознавање са по­ </w:t>
            </w:r>
            <w:r>
              <w:rPr>
                <w:color w:val="231F20"/>
                <w:spacing w:val="-3"/>
                <w:sz w:val="14"/>
              </w:rPr>
              <w:t xml:space="preserve">литиком </w:t>
            </w:r>
            <w:r>
              <w:rPr>
                <w:color w:val="231F20"/>
                <w:sz w:val="14"/>
              </w:rPr>
              <w:t>као вештином управљања</w:t>
            </w:r>
            <w:r>
              <w:rPr>
                <w:color w:val="231F20"/>
                <w:spacing w:val="-4"/>
                <w:sz w:val="14"/>
              </w:rPr>
              <w:t xml:space="preserve"> </w:t>
            </w:r>
            <w:r>
              <w:rPr>
                <w:color w:val="231F20"/>
                <w:sz w:val="14"/>
              </w:rPr>
              <w:t>друштвом.</w:t>
            </w:r>
          </w:p>
          <w:p w:rsidR="00041039" w:rsidRDefault="001B26CB">
            <w:pPr>
              <w:pStyle w:val="TableParagraph"/>
              <w:numPr>
                <w:ilvl w:val="0"/>
                <w:numId w:val="1152"/>
              </w:numPr>
              <w:tabs>
                <w:tab w:val="left" w:pos="157"/>
              </w:tabs>
              <w:spacing w:line="157" w:lineRule="exact"/>
              <w:rPr>
                <w:sz w:val="14"/>
              </w:rPr>
            </w:pPr>
            <w:r>
              <w:rPr>
                <w:color w:val="231F20"/>
                <w:sz w:val="14"/>
              </w:rPr>
              <w:t>Оспособљавање за</w:t>
            </w:r>
            <w:r>
              <w:rPr>
                <w:color w:val="231F20"/>
                <w:spacing w:val="-3"/>
                <w:sz w:val="14"/>
              </w:rPr>
              <w:t xml:space="preserve"> </w:t>
            </w:r>
            <w:r>
              <w:rPr>
                <w:color w:val="231F20"/>
                <w:sz w:val="14"/>
              </w:rPr>
              <w:t>де­</w:t>
            </w:r>
          </w:p>
          <w:p w:rsidR="00041039" w:rsidRDefault="001B26CB">
            <w:pPr>
              <w:pStyle w:val="TableParagraph"/>
              <w:spacing w:line="155" w:lineRule="exact"/>
              <w:rPr>
                <w:sz w:val="14"/>
              </w:rPr>
            </w:pPr>
            <w:r>
              <w:rPr>
                <w:color w:val="231F20"/>
                <w:sz w:val="14"/>
              </w:rPr>
              <w:t>мократско мишљење.</w:t>
            </w:r>
          </w:p>
          <w:p w:rsidR="00041039" w:rsidRDefault="001B26CB">
            <w:pPr>
              <w:pStyle w:val="TableParagraph"/>
              <w:numPr>
                <w:ilvl w:val="0"/>
                <w:numId w:val="1152"/>
              </w:numPr>
              <w:tabs>
                <w:tab w:val="left" w:pos="157"/>
              </w:tabs>
              <w:spacing w:line="237" w:lineRule="auto"/>
              <w:ind w:right="69"/>
              <w:rPr>
                <w:sz w:val="14"/>
              </w:rPr>
            </w:pPr>
            <w:r>
              <w:rPr>
                <w:color w:val="231F20"/>
                <w:sz w:val="14"/>
              </w:rPr>
              <w:t>Упознавање са функционисањем државних</w:t>
            </w:r>
            <w:r>
              <w:rPr>
                <w:color w:val="231F20"/>
                <w:spacing w:val="-6"/>
                <w:sz w:val="14"/>
              </w:rPr>
              <w:t xml:space="preserve"> </w:t>
            </w:r>
            <w:r>
              <w:rPr>
                <w:color w:val="231F20"/>
                <w:sz w:val="14"/>
              </w:rPr>
              <w:t>институција и органа</w:t>
            </w:r>
            <w:r>
              <w:rPr>
                <w:color w:val="231F20"/>
                <w:spacing w:val="-3"/>
                <w:sz w:val="14"/>
              </w:rPr>
              <w:t xml:space="preserve"> </w:t>
            </w:r>
            <w:r>
              <w:rPr>
                <w:color w:val="231F20"/>
                <w:sz w:val="14"/>
              </w:rPr>
              <w:t>власти.</w:t>
            </w:r>
          </w:p>
        </w:tc>
        <w:tc>
          <w:tcPr>
            <w:tcW w:w="2551" w:type="dxa"/>
          </w:tcPr>
          <w:p w:rsidR="00041039" w:rsidRDefault="001B26CB">
            <w:pPr>
              <w:pStyle w:val="TableParagraph"/>
              <w:numPr>
                <w:ilvl w:val="0"/>
                <w:numId w:val="1151"/>
              </w:numPr>
              <w:tabs>
                <w:tab w:val="left" w:pos="157"/>
              </w:tabs>
              <w:spacing w:before="8" w:line="166" w:lineRule="exact"/>
              <w:ind w:hanging="99"/>
              <w:rPr>
                <w:sz w:val="14"/>
              </w:rPr>
            </w:pPr>
            <w:r>
              <w:rPr>
                <w:color w:val="231F20"/>
                <w:sz w:val="14"/>
              </w:rPr>
              <w:t>опише улогу политике у</w:t>
            </w:r>
            <w:r>
              <w:rPr>
                <w:color w:val="231F20"/>
                <w:spacing w:val="-10"/>
                <w:sz w:val="14"/>
              </w:rPr>
              <w:t xml:space="preserve"> </w:t>
            </w:r>
            <w:r>
              <w:rPr>
                <w:color w:val="231F20"/>
                <w:sz w:val="14"/>
              </w:rPr>
              <w:t>друштву;</w:t>
            </w:r>
          </w:p>
          <w:p w:rsidR="00041039" w:rsidRDefault="001B26CB">
            <w:pPr>
              <w:pStyle w:val="TableParagraph"/>
              <w:numPr>
                <w:ilvl w:val="0"/>
                <w:numId w:val="1151"/>
              </w:numPr>
              <w:tabs>
                <w:tab w:val="left" w:pos="157"/>
              </w:tabs>
              <w:spacing w:line="237" w:lineRule="auto"/>
              <w:ind w:right="101" w:hanging="99"/>
              <w:rPr>
                <w:sz w:val="14"/>
              </w:rPr>
            </w:pPr>
            <w:r>
              <w:rPr>
                <w:color w:val="231F20"/>
                <w:sz w:val="14"/>
              </w:rPr>
              <w:t>објасни појам, развој и облике</w:t>
            </w:r>
            <w:r>
              <w:rPr>
                <w:color w:val="231F20"/>
                <w:spacing w:val="-20"/>
                <w:sz w:val="14"/>
              </w:rPr>
              <w:t xml:space="preserve"> </w:t>
            </w:r>
            <w:r>
              <w:rPr>
                <w:color w:val="231F20"/>
                <w:sz w:val="14"/>
              </w:rPr>
              <w:t>сувере­ ности и</w:t>
            </w:r>
            <w:r>
              <w:rPr>
                <w:color w:val="231F20"/>
                <w:spacing w:val="-2"/>
                <w:sz w:val="14"/>
              </w:rPr>
              <w:t xml:space="preserve"> </w:t>
            </w:r>
            <w:r>
              <w:rPr>
                <w:color w:val="231F20"/>
                <w:sz w:val="14"/>
              </w:rPr>
              <w:t>демократије;</w:t>
            </w:r>
          </w:p>
          <w:p w:rsidR="00041039" w:rsidRDefault="001B26CB">
            <w:pPr>
              <w:pStyle w:val="TableParagraph"/>
              <w:numPr>
                <w:ilvl w:val="0"/>
                <w:numId w:val="1151"/>
              </w:numPr>
              <w:tabs>
                <w:tab w:val="left" w:pos="157"/>
              </w:tabs>
              <w:spacing w:line="160" w:lineRule="exact"/>
              <w:ind w:right="359" w:hanging="99"/>
              <w:rPr>
                <w:sz w:val="14"/>
              </w:rPr>
            </w:pPr>
            <w:r>
              <w:rPr>
                <w:color w:val="231F20"/>
                <w:sz w:val="14"/>
              </w:rPr>
              <w:t xml:space="preserve">разликује </w:t>
            </w:r>
            <w:r>
              <w:rPr>
                <w:color w:val="231F20"/>
                <w:spacing w:val="-3"/>
                <w:sz w:val="14"/>
              </w:rPr>
              <w:t xml:space="preserve">законодавну, </w:t>
            </w:r>
            <w:r>
              <w:rPr>
                <w:color w:val="231F20"/>
                <w:sz w:val="14"/>
              </w:rPr>
              <w:t xml:space="preserve">извршну и </w:t>
            </w:r>
            <w:r>
              <w:rPr>
                <w:color w:val="231F20"/>
                <w:spacing w:val="-3"/>
                <w:sz w:val="14"/>
              </w:rPr>
              <w:t>судску</w:t>
            </w:r>
            <w:r>
              <w:rPr>
                <w:color w:val="231F20"/>
                <w:spacing w:val="-1"/>
                <w:sz w:val="14"/>
              </w:rPr>
              <w:t xml:space="preserve"> </w:t>
            </w:r>
            <w:r>
              <w:rPr>
                <w:color w:val="231F20"/>
                <w:sz w:val="14"/>
              </w:rPr>
              <w:t>власт;</w:t>
            </w:r>
          </w:p>
          <w:p w:rsidR="00041039" w:rsidRDefault="001B26CB">
            <w:pPr>
              <w:pStyle w:val="TableParagraph"/>
              <w:numPr>
                <w:ilvl w:val="0"/>
                <w:numId w:val="1151"/>
              </w:numPr>
              <w:tabs>
                <w:tab w:val="left" w:pos="157"/>
              </w:tabs>
              <w:spacing w:line="160" w:lineRule="exact"/>
              <w:ind w:right="218" w:hanging="99"/>
              <w:rPr>
                <w:sz w:val="14"/>
              </w:rPr>
            </w:pPr>
            <w:r>
              <w:rPr>
                <w:color w:val="231F20"/>
                <w:sz w:val="14"/>
              </w:rPr>
              <w:t>разликује</w:t>
            </w:r>
            <w:r>
              <w:rPr>
                <w:color w:val="231F20"/>
                <w:spacing w:val="-7"/>
                <w:sz w:val="14"/>
              </w:rPr>
              <w:t xml:space="preserve"> </w:t>
            </w:r>
            <w:r>
              <w:rPr>
                <w:color w:val="231F20"/>
                <w:sz w:val="14"/>
              </w:rPr>
              <w:t>удружења</w:t>
            </w:r>
            <w:r>
              <w:rPr>
                <w:color w:val="231F20"/>
                <w:spacing w:val="-7"/>
                <w:sz w:val="14"/>
              </w:rPr>
              <w:t xml:space="preserve"> </w:t>
            </w:r>
            <w:r>
              <w:rPr>
                <w:color w:val="231F20"/>
                <w:sz w:val="14"/>
              </w:rPr>
              <w:t>грађана</w:t>
            </w:r>
            <w:r>
              <w:rPr>
                <w:color w:val="231F20"/>
                <w:spacing w:val="-8"/>
                <w:sz w:val="14"/>
              </w:rPr>
              <w:t xml:space="preserve"> </w:t>
            </w:r>
            <w:r>
              <w:rPr>
                <w:color w:val="231F20"/>
                <w:sz w:val="14"/>
              </w:rPr>
              <w:t>и</w:t>
            </w:r>
            <w:r>
              <w:rPr>
                <w:color w:val="231F20"/>
                <w:spacing w:val="-8"/>
                <w:sz w:val="14"/>
              </w:rPr>
              <w:t xml:space="preserve"> </w:t>
            </w:r>
            <w:r>
              <w:rPr>
                <w:color w:val="231F20"/>
                <w:sz w:val="14"/>
              </w:rPr>
              <w:t>поли­ тичке</w:t>
            </w:r>
            <w:r>
              <w:rPr>
                <w:color w:val="231F20"/>
                <w:spacing w:val="-1"/>
                <w:sz w:val="14"/>
              </w:rPr>
              <w:t xml:space="preserve"> </w:t>
            </w:r>
            <w:r>
              <w:rPr>
                <w:color w:val="231F20"/>
                <w:sz w:val="14"/>
              </w:rPr>
              <w:t>партије;</w:t>
            </w:r>
          </w:p>
          <w:p w:rsidR="00041039" w:rsidRDefault="001B26CB">
            <w:pPr>
              <w:pStyle w:val="TableParagraph"/>
              <w:numPr>
                <w:ilvl w:val="0"/>
                <w:numId w:val="1151"/>
              </w:numPr>
              <w:tabs>
                <w:tab w:val="left" w:pos="157"/>
              </w:tabs>
              <w:spacing w:line="160" w:lineRule="exact"/>
              <w:ind w:right="71" w:hanging="99"/>
              <w:rPr>
                <w:sz w:val="14"/>
              </w:rPr>
            </w:pPr>
            <w:r>
              <w:rPr>
                <w:color w:val="231F20"/>
                <w:sz w:val="14"/>
              </w:rPr>
              <w:t>препозна</w:t>
            </w:r>
            <w:r>
              <w:rPr>
                <w:color w:val="231F20"/>
                <w:spacing w:val="-27"/>
                <w:sz w:val="14"/>
              </w:rPr>
              <w:t xml:space="preserve"> </w:t>
            </w:r>
            <w:r>
              <w:rPr>
                <w:color w:val="231F20"/>
                <w:sz w:val="14"/>
              </w:rPr>
              <w:t xml:space="preserve">идеолошке разлике партија и поделу на </w:t>
            </w:r>
            <w:r>
              <w:rPr>
                <w:color w:val="231F20"/>
                <w:spacing w:val="-3"/>
                <w:sz w:val="14"/>
              </w:rPr>
              <w:t xml:space="preserve">левицу, </w:t>
            </w:r>
            <w:r>
              <w:rPr>
                <w:color w:val="231F20"/>
                <w:sz w:val="14"/>
              </w:rPr>
              <w:t>десницу и</w:t>
            </w:r>
            <w:r>
              <w:rPr>
                <w:color w:val="231F20"/>
                <w:spacing w:val="-2"/>
                <w:sz w:val="14"/>
              </w:rPr>
              <w:t xml:space="preserve"> </w:t>
            </w:r>
            <w:r>
              <w:rPr>
                <w:color w:val="231F20"/>
                <w:sz w:val="14"/>
              </w:rPr>
              <w:t>центар;</w:t>
            </w:r>
          </w:p>
          <w:p w:rsidR="00041039" w:rsidRDefault="001B26CB">
            <w:pPr>
              <w:pStyle w:val="TableParagraph"/>
              <w:numPr>
                <w:ilvl w:val="0"/>
                <w:numId w:val="1151"/>
              </w:numPr>
              <w:tabs>
                <w:tab w:val="left" w:pos="157"/>
              </w:tabs>
              <w:spacing w:line="160" w:lineRule="exact"/>
              <w:ind w:right="317" w:hanging="99"/>
              <w:rPr>
                <w:sz w:val="14"/>
              </w:rPr>
            </w:pPr>
            <w:r>
              <w:rPr>
                <w:color w:val="231F20"/>
                <w:sz w:val="14"/>
              </w:rPr>
              <w:t>схвати изборни поступак и конституисање скупштинеи</w:t>
            </w:r>
            <w:r>
              <w:rPr>
                <w:color w:val="231F20"/>
                <w:spacing w:val="-17"/>
                <w:sz w:val="14"/>
              </w:rPr>
              <w:t xml:space="preserve"> </w:t>
            </w:r>
            <w:r>
              <w:rPr>
                <w:color w:val="231F20"/>
                <w:sz w:val="14"/>
              </w:rPr>
              <w:t>владе;</w:t>
            </w:r>
          </w:p>
          <w:p w:rsidR="00041039" w:rsidRDefault="001B26CB">
            <w:pPr>
              <w:pStyle w:val="TableParagraph"/>
              <w:numPr>
                <w:ilvl w:val="0"/>
                <w:numId w:val="1151"/>
              </w:numPr>
              <w:tabs>
                <w:tab w:val="left" w:pos="157"/>
              </w:tabs>
              <w:spacing w:line="153" w:lineRule="exact"/>
              <w:ind w:hanging="99"/>
              <w:rPr>
                <w:sz w:val="14"/>
              </w:rPr>
            </w:pPr>
            <w:r>
              <w:rPr>
                <w:color w:val="231F20"/>
                <w:sz w:val="14"/>
              </w:rPr>
              <w:t>разликује државне органе</w:t>
            </w:r>
            <w:r>
              <w:rPr>
                <w:color w:val="231F20"/>
                <w:spacing w:val="-2"/>
                <w:sz w:val="14"/>
              </w:rPr>
              <w:t xml:space="preserve"> </w:t>
            </w:r>
            <w:r>
              <w:rPr>
                <w:color w:val="231F20"/>
                <w:sz w:val="14"/>
              </w:rPr>
              <w:t>власти</w:t>
            </w:r>
          </w:p>
          <w:p w:rsidR="00041039" w:rsidRDefault="001B26CB">
            <w:pPr>
              <w:pStyle w:val="TableParagraph"/>
              <w:numPr>
                <w:ilvl w:val="0"/>
                <w:numId w:val="1151"/>
              </w:numPr>
              <w:tabs>
                <w:tab w:val="left" w:pos="157"/>
              </w:tabs>
              <w:spacing w:line="237" w:lineRule="auto"/>
              <w:ind w:right="480" w:hanging="99"/>
              <w:rPr>
                <w:sz w:val="14"/>
              </w:rPr>
            </w:pPr>
            <w:r>
              <w:rPr>
                <w:color w:val="231F20"/>
                <w:sz w:val="14"/>
              </w:rPr>
              <w:t>разликује аутономију и</w:t>
            </w:r>
            <w:r>
              <w:rPr>
                <w:color w:val="231F20"/>
                <w:spacing w:val="-21"/>
                <w:sz w:val="14"/>
              </w:rPr>
              <w:t xml:space="preserve"> </w:t>
            </w:r>
            <w:r>
              <w:rPr>
                <w:color w:val="231F20"/>
                <w:sz w:val="14"/>
              </w:rPr>
              <w:t>локалну самоуправу;</w:t>
            </w:r>
          </w:p>
          <w:p w:rsidR="00041039" w:rsidRDefault="001B26CB">
            <w:pPr>
              <w:pStyle w:val="TableParagraph"/>
              <w:numPr>
                <w:ilvl w:val="0"/>
                <w:numId w:val="1151"/>
              </w:numPr>
              <w:tabs>
                <w:tab w:val="left" w:pos="157"/>
              </w:tabs>
              <w:spacing w:line="160" w:lineRule="exact"/>
              <w:ind w:right="138" w:hanging="99"/>
              <w:rPr>
                <w:sz w:val="14"/>
              </w:rPr>
            </w:pPr>
            <w:r>
              <w:rPr>
                <w:color w:val="231F20"/>
                <w:sz w:val="14"/>
              </w:rPr>
              <w:t>разуме функционисање</w:t>
            </w:r>
            <w:r>
              <w:rPr>
                <w:color w:val="231F20"/>
                <w:spacing w:val="-9"/>
                <w:sz w:val="14"/>
              </w:rPr>
              <w:t xml:space="preserve"> </w:t>
            </w:r>
            <w:r>
              <w:rPr>
                <w:color w:val="231F20"/>
                <w:sz w:val="14"/>
              </w:rPr>
              <w:t>локалнесамо­ управе;</w:t>
            </w:r>
          </w:p>
        </w:tc>
        <w:tc>
          <w:tcPr>
            <w:tcW w:w="2834" w:type="dxa"/>
          </w:tcPr>
          <w:p w:rsidR="00041039" w:rsidRDefault="001B26CB">
            <w:pPr>
              <w:pStyle w:val="TableParagraph"/>
              <w:numPr>
                <w:ilvl w:val="0"/>
                <w:numId w:val="1150"/>
              </w:numPr>
              <w:tabs>
                <w:tab w:val="left" w:pos="142"/>
              </w:tabs>
              <w:spacing w:before="18" w:line="161" w:lineRule="exact"/>
              <w:rPr>
                <w:sz w:val="14"/>
              </w:rPr>
            </w:pPr>
            <w:r>
              <w:rPr>
                <w:color w:val="231F20"/>
                <w:sz w:val="14"/>
              </w:rPr>
              <w:t>Политика ­ вештина управљања</w:t>
            </w:r>
            <w:r>
              <w:rPr>
                <w:color w:val="231F20"/>
                <w:spacing w:val="-10"/>
                <w:sz w:val="14"/>
              </w:rPr>
              <w:t xml:space="preserve"> </w:t>
            </w:r>
            <w:r>
              <w:rPr>
                <w:color w:val="231F20"/>
                <w:sz w:val="14"/>
              </w:rPr>
              <w:t>друштвом.</w:t>
            </w:r>
          </w:p>
          <w:p w:rsidR="00041039" w:rsidRDefault="001B26CB">
            <w:pPr>
              <w:pStyle w:val="TableParagraph"/>
              <w:numPr>
                <w:ilvl w:val="0"/>
                <w:numId w:val="1150"/>
              </w:numPr>
              <w:tabs>
                <w:tab w:val="left" w:pos="142"/>
              </w:tabs>
              <w:spacing w:line="160" w:lineRule="exact"/>
              <w:rPr>
                <w:sz w:val="14"/>
              </w:rPr>
            </w:pPr>
            <w:r>
              <w:rPr>
                <w:color w:val="231F20"/>
                <w:sz w:val="14"/>
              </w:rPr>
              <w:t>Појам и развој</w:t>
            </w:r>
            <w:r>
              <w:rPr>
                <w:color w:val="231F20"/>
                <w:spacing w:val="-3"/>
                <w:sz w:val="14"/>
              </w:rPr>
              <w:t xml:space="preserve"> </w:t>
            </w:r>
            <w:r>
              <w:rPr>
                <w:color w:val="231F20"/>
                <w:sz w:val="14"/>
              </w:rPr>
              <w:t>демократије.</w:t>
            </w:r>
          </w:p>
          <w:p w:rsidR="00041039" w:rsidRDefault="001B26CB">
            <w:pPr>
              <w:pStyle w:val="TableParagraph"/>
              <w:numPr>
                <w:ilvl w:val="0"/>
                <w:numId w:val="1150"/>
              </w:numPr>
              <w:tabs>
                <w:tab w:val="left" w:pos="142"/>
              </w:tabs>
              <w:spacing w:line="160" w:lineRule="exact"/>
              <w:rPr>
                <w:sz w:val="14"/>
              </w:rPr>
            </w:pPr>
            <w:r>
              <w:rPr>
                <w:color w:val="231F20"/>
                <w:sz w:val="14"/>
              </w:rPr>
              <w:t>Конститутивни елементи</w:t>
            </w:r>
            <w:r>
              <w:rPr>
                <w:color w:val="231F20"/>
                <w:spacing w:val="-1"/>
                <w:sz w:val="14"/>
              </w:rPr>
              <w:t xml:space="preserve"> </w:t>
            </w:r>
            <w:r>
              <w:rPr>
                <w:color w:val="231F20"/>
                <w:sz w:val="14"/>
              </w:rPr>
              <w:t>државе.</w:t>
            </w:r>
          </w:p>
          <w:p w:rsidR="00041039" w:rsidRDefault="001B26CB">
            <w:pPr>
              <w:pStyle w:val="TableParagraph"/>
              <w:numPr>
                <w:ilvl w:val="0"/>
                <w:numId w:val="1150"/>
              </w:numPr>
              <w:tabs>
                <w:tab w:val="left" w:pos="142"/>
              </w:tabs>
              <w:spacing w:line="160" w:lineRule="exact"/>
              <w:rPr>
                <w:sz w:val="14"/>
              </w:rPr>
            </w:pPr>
            <w:r>
              <w:rPr>
                <w:color w:val="231F20"/>
                <w:sz w:val="14"/>
              </w:rPr>
              <w:t>Подела</w:t>
            </w:r>
            <w:r>
              <w:rPr>
                <w:color w:val="231F20"/>
                <w:spacing w:val="-1"/>
                <w:sz w:val="14"/>
              </w:rPr>
              <w:t xml:space="preserve"> </w:t>
            </w:r>
            <w:r>
              <w:rPr>
                <w:color w:val="231F20"/>
                <w:sz w:val="14"/>
              </w:rPr>
              <w:t>власти.</w:t>
            </w:r>
          </w:p>
          <w:p w:rsidR="00041039" w:rsidRDefault="001B26CB">
            <w:pPr>
              <w:pStyle w:val="TableParagraph"/>
              <w:numPr>
                <w:ilvl w:val="0"/>
                <w:numId w:val="1150"/>
              </w:numPr>
              <w:tabs>
                <w:tab w:val="left" w:pos="142"/>
              </w:tabs>
              <w:spacing w:line="160" w:lineRule="exact"/>
              <w:rPr>
                <w:sz w:val="14"/>
              </w:rPr>
            </w:pPr>
            <w:r>
              <w:rPr>
                <w:color w:val="231F20"/>
                <w:sz w:val="14"/>
              </w:rPr>
              <w:t>Организације</w:t>
            </w:r>
            <w:r>
              <w:rPr>
                <w:color w:val="231F20"/>
                <w:spacing w:val="-2"/>
                <w:sz w:val="14"/>
              </w:rPr>
              <w:t xml:space="preserve"> </w:t>
            </w:r>
            <w:r>
              <w:rPr>
                <w:color w:val="231F20"/>
                <w:sz w:val="14"/>
              </w:rPr>
              <w:t>грађана.</w:t>
            </w:r>
          </w:p>
          <w:p w:rsidR="00041039" w:rsidRDefault="001B26CB">
            <w:pPr>
              <w:pStyle w:val="TableParagraph"/>
              <w:numPr>
                <w:ilvl w:val="0"/>
                <w:numId w:val="1150"/>
              </w:numPr>
              <w:tabs>
                <w:tab w:val="left" w:pos="142"/>
              </w:tabs>
              <w:spacing w:line="160" w:lineRule="exact"/>
              <w:rPr>
                <w:sz w:val="14"/>
              </w:rPr>
            </w:pPr>
            <w:r>
              <w:rPr>
                <w:color w:val="231F20"/>
                <w:sz w:val="14"/>
              </w:rPr>
              <w:t>Политичке</w:t>
            </w:r>
            <w:r>
              <w:rPr>
                <w:color w:val="231F20"/>
                <w:spacing w:val="-1"/>
                <w:sz w:val="14"/>
              </w:rPr>
              <w:t xml:space="preserve"> </w:t>
            </w:r>
            <w:r>
              <w:rPr>
                <w:color w:val="231F20"/>
                <w:sz w:val="14"/>
              </w:rPr>
              <w:t>партије.</w:t>
            </w:r>
          </w:p>
          <w:p w:rsidR="00041039" w:rsidRDefault="001B26CB">
            <w:pPr>
              <w:pStyle w:val="TableParagraph"/>
              <w:numPr>
                <w:ilvl w:val="0"/>
                <w:numId w:val="1150"/>
              </w:numPr>
              <w:tabs>
                <w:tab w:val="left" w:pos="142"/>
              </w:tabs>
              <w:spacing w:line="160" w:lineRule="exact"/>
              <w:rPr>
                <w:sz w:val="14"/>
              </w:rPr>
            </w:pPr>
            <w:r>
              <w:rPr>
                <w:color w:val="231F20"/>
                <w:sz w:val="14"/>
              </w:rPr>
              <w:t>Избори.</w:t>
            </w:r>
          </w:p>
          <w:p w:rsidR="00041039" w:rsidRDefault="001B26CB">
            <w:pPr>
              <w:pStyle w:val="TableParagraph"/>
              <w:numPr>
                <w:ilvl w:val="0"/>
                <w:numId w:val="1150"/>
              </w:numPr>
              <w:tabs>
                <w:tab w:val="left" w:pos="142"/>
              </w:tabs>
              <w:spacing w:line="160" w:lineRule="exact"/>
              <w:rPr>
                <w:sz w:val="14"/>
              </w:rPr>
            </w:pPr>
            <w:r>
              <w:rPr>
                <w:color w:val="231F20"/>
                <w:sz w:val="14"/>
              </w:rPr>
              <w:t>Скупштина.</w:t>
            </w:r>
          </w:p>
          <w:p w:rsidR="00041039" w:rsidRDefault="001B26CB">
            <w:pPr>
              <w:pStyle w:val="TableParagraph"/>
              <w:numPr>
                <w:ilvl w:val="0"/>
                <w:numId w:val="1150"/>
              </w:numPr>
              <w:tabs>
                <w:tab w:val="left" w:pos="142"/>
              </w:tabs>
              <w:spacing w:line="160" w:lineRule="exact"/>
              <w:rPr>
                <w:sz w:val="14"/>
              </w:rPr>
            </w:pPr>
            <w:r>
              <w:rPr>
                <w:color w:val="231F20"/>
                <w:sz w:val="14"/>
              </w:rPr>
              <w:t>Државни органи</w:t>
            </w:r>
            <w:r>
              <w:rPr>
                <w:color w:val="231F20"/>
                <w:spacing w:val="-2"/>
                <w:sz w:val="14"/>
              </w:rPr>
              <w:t xml:space="preserve"> </w:t>
            </w:r>
            <w:r>
              <w:rPr>
                <w:color w:val="231F20"/>
                <w:sz w:val="14"/>
              </w:rPr>
              <w:t>власти.</w:t>
            </w:r>
          </w:p>
          <w:p w:rsidR="00041039" w:rsidRDefault="001B26CB">
            <w:pPr>
              <w:pStyle w:val="TableParagraph"/>
              <w:numPr>
                <w:ilvl w:val="0"/>
                <w:numId w:val="1150"/>
              </w:numPr>
              <w:tabs>
                <w:tab w:val="left" w:pos="142"/>
              </w:tabs>
              <w:spacing w:line="160" w:lineRule="exact"/>
              <w:rPr>
                <w:sz w:val="14"/>
              </w:rPr>
            </w:pPr>
            <w:r>
              <w:rPr>
                <w:color w:val="231F20"/>
                <w:sz w:val="14"/>
              </w:rPr>
              <w:t>Аутономија.</w:t>
            </w:r>
          </w:p>
          <w:p w:rsidR="00041039" w:rsidRDefault="001B26CB">
            <w:pPr>
              <w:pStyle w:val="TableParagraph"/>
              <w:numPr>
                <w:ilvl w:val="0"/>
                <w:numId w:val="1150"/>
              </w:numPr>
              <w:tabs>
                <w:tab w:val="left" w:pos="142"/>
              </w:tabs>
              <w:spacing w:line="161" w:lineRule="exact"/>
              <w:rPr>
                <w:sz w:val="14"/>
              </w:rPr>
            </w:pPr>
            <w:r>
              <w:rPr>
                <w:color w:val="231F20"/>
                <w:sz w:val="14"/>
              </w:rPr>
              <w:t>Локална</w:t>
            </w:r>
            <w:r>
              <w:rPr>
                <w:color w:val="231F20"/>
                <w:spacing w:val="-2"/>
                <w:sz w:val="14"/>
              </w:rPr>
              <w:t xml:space="preserve"> </w:t>
            </w:r>
            <w:r>
              <w:rPr>
                <w:color w:val="231F20"/>
                <w:sz w:val="14"/>
              </w:rPr>
              <w:t>самоуправа.</w:t>
            </w:r>
          </w:p>
        </w:tc>
        <w:tc>
          <w:tcPr>
            <w:tcW w:w="2267" w:type="dxa"/>
            <w:vMerge w:val="restart"/>
          </w:tcPr>
          <w:p w:rsidR="00041039" w:rsidRDefault="001B26CB">
            <w:pPr>
              <w:pStyle w:val="TableParagraph"/>
              <w:spacing w:before="18" w:line="155" w:lineRule="exact"/>
              <w:ind w:left="57"/>
              <w:rPr>
                <w:b/>
                <w:sz w:val="14"/>
              </w:rPr>
            </w:pPr>
            <w:r>
              <w:rPr>
                <w:b/>
                <w:color w:val="231F20"/>
                <w:sz w:val="14"/>
              </w:rPr>
              <w:t>Место реализације наставе</w:t>
            </w:r>
          </w:p>
          <w:p w:rsidR="00041039" w:rsidRDefault="001B26CB">
            <w:pPr>
              <w:pStyle w:val="TableParagraph"/>
              <w:numPr>
                <w:ilvl w:val="0"/>
                <w:numId w:val="1149"/>
              </w:numPr>
              <w:tabs>
                <w:tab w:val="left" w:pos="158"/>
              </w:tabs>
              <w:spacing w:line="237" w:lineRule="auto"/>
              <w:ind w:right="15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7" w:right="109"/>
              <w:rPr>
                <w:b/>
                <w:sz w:val="14"/>
              </w:rPr>
            </w:pPr>
            <w:r>
              <w:rPr>
                <w:b/>
                <w:color w:val="231F20"/>
                <w:sz w:val="14"/>
              </w:rPr>
              <w:t>Препоруке за реализацију наставе</w:t>
            </w:r>
          </w:p>
          <w:p w:rsidR="00041039" w:rsidRDefault="001B26CB">
            <w:pPr>
              <w:pStyle w:val="TableParagraph"/>
              <w:numPr>
                <w:ilvl w:val="0"/>
                <w:numId w:val="1149"/>
              </w:numPr>
              <w:tabs>
                <w:tab w:val="left" w:pos="158"/>
              </w:tabs>
              <w:spacing w:before="1" w:line="160" w:lineRule="exact"/>
              <w:ind w:right="42"/>
              <w:rPr>
                <w:sz w:val="14"/>
              </w:rPr>
            </w:pPr>
            <w:r>
              <w:rPr>
                <w:color w:val="231F20"/>
                <w:sz w:val="14"/>
              </w:rPr>
              <w:t>Користити актуелне примере из штампе и других медија</w:t>
            </w:r>
            <w:r>
              <w:rPr>
                <w:color w:val="231F20"/>
                <w:spacing w:val="-7"/>
                <w:sz w:val="14"/>
              </w:rPr>
              <w:t xml:space="preserve"> </w:t>
            </w:r>
            <w:r>
              <w:rPr>
                <w:color w:val="231F20"/>
                <w:sz w:val="14"/>
              </w:rPr>
              <w:t>релевант­ не за</w:t>
            </w:r>
            <w:r>
              <w:rPr>
                <w:color w:val="231F20"/>
                <w:spacing w:val="-3"/>
                <w:sz w:val="14"/>
              </w:rPr>
              <w:t xml:space="preserve"> </w:t>
            </w:r>
            <w:r>
              <w:rPr>
                <w:color w:val="231F20"/>
                <w:sz w:val="14"/>
              </w:rPr>
              <w:t>предмет.</w:t>
            </w:r>
          </w:p>
          <w:p w:rsidR="00041039" w:rsidRDefault="001B26CB">
            <w:pPr>
              <w:pStyle w:val="TableParagraph"/>
              <w:numPr>
                <w:ilvl w:val="0"/>
                <w:numId w:val="1149"/>
              </w:numPr>
              <w:tabs>
                <w:tab w:val="left" w:pos="158"/>
              </w:tabs>
              <w:spacing w:line="160" w:lineRule="exact"/>
              <w:ind w:right="170"/>
              <w:rPr>
                <w:sz w:val="14"/>
              </w:rPr>
            </w:pPr>
            <w:r>
              <w:rPr>
                <w:color w:val="231F20"/>
                <w:sz w:val="14"/>
              </w:rPr>
              <w:t xml:space="preserve">Користити </w:t>
            </w:r>
            <w:r>
              <w:rPr>
                <w:color w:val="231F20"/>
                <w:spacing w:val="-4"/>
                <w:sz w:val="14"/>
              </w:rPr>
              <w:t xml:space="preserve">Устав </w:t>
            </w:r>
            <w:r>
              <w:rPr>
                <w:color w:val="231F20"/>
                <w:sz w:val="14"/>
              </w:rPr>
              <w:t xml:space="preserve">и релевантне законе у зависности </w:t>
            </w:r>
            <w:r>
              <w:rPr>
                <w:color w:val="231F20"/>
                <w:spacing w:val="-3"/>
                <w:sz w:val="14"/>
              </w:rPr>
              <w:t xml:space="preserve">од </w:t>
            </w:r>
            <w:r>
              <w:rPr>
                <w:color w:val="231F20"/>
                <w:sz w:val="14"/>
              </w:rPr>
              <w:t>садржаја који се</w:t>
            </w:r>
            <w:r>
              <w:rPr>
                <w:color w:val="231F20"/>
                <w:spacing w:val="-1"/>
                <w:sz w:val="14"/>
              </w:rPr>
              <w:t xml:space="preserve"> </w:t>
            </w:r>
            <w:r>
              <w:rPr>
                <w:color w:val="231F20"/>
                <w:sz w:val="14"/>
              </w:rPr>
              <w:t>обрађује.</w:t>
            </w:r>
          </w:p>
          <w:p w:rsidR="00041039" w:rsidRDefault="00041039">
            <w:pPr>
              <w:pStyle w:val="TableParagraph"/>
              <w:spacing w:before="8"/>
              <w:ind w:left="0"/>
              <w:rPr>
                <w:b/>
                <w:sz w:val="13"/>
              </w:rPr>
            </w:pPr>
          </w:p>
          <w:p w:rsidR="00041039" w:rsidRDefault="001B26CB">
            <w:pPr>
              <w:pStyle w:val="TableParagraph"/>
              <w:spacing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1149"/>
              </w:numPr>
              <w:tabs>
                <w:tab w:val="left" w:pos="158"/>
              </w:tabs>
              <w:spacing w:line="154"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149"/>
              </w:numPr>
              <w:tabs>
                <w:tab w:val="left" w:pos="158"/>
              </w:tabs>
              <w:spacing w:line="166" w:lineRule="exact"/>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61" w:lineRule="exact"/>
              <w:ind w:left="57"/>
              <w:rPr>
                <w:b/>
                <w:sz w:val="14"/>
              </w:rPr>
            </w:pPr>
            <w:r>
              <w:rPr>
                <w:b/>
                <w:color w:val="231F20"/>
                <w:sz w:val="14"/>
              </w:rPr>
              <w:t>Оквирни бројчасова по темама</w:t>
            </w:r>
          </w:p>
          <w:p w:rsidR="00041039" w:rsidRDefault="001B26CB">
            <w:pPr>
              <w:pStyle w:val="TableParagraph"/>
              <w:numPr>
                <w:ilvl w:val="0"/>
                <w:numId w:val="1148"/>
              </w:numPr>
              <w:tabs>
                <w:tab w:val="left" w:pos="142"/>
              </w:tabs>
              <w:ind w:right="110"/>
              <w:rPr>
                <w:b/>
                <w:sz w:val="14"/>
              </w:rPr>
            </w:pPr>
            <w:r>
              <w:rPr>
                <w:color w:val="231F20"/>
                <w:sz w:val="14"/>
              </w:rPr>
              <w:t>Структура и организација</w:t>
            </w:r>
            <w:r>
              <w:rPr>
                <w:color w:val="231F20"/>
                <w:spacing w:val="-10"/>
                <w:sz w:val="14"/>
              </w:rPr>
              <w:t xml:space="preserve"> </w:t>
            </w:r>
            <w:r>
              <w:rPr>
                <w:color w:val="231F20"/>
                <w:sz w:val="14"/>
              </w:rPr>
              <w:t>друшт­ ва</w:t>
            </w:r>
            <w:r>
              <w:rPr>
                <w:b/>
                <w:color w:val="231F20"/>
                <w:sz w:val="14"/>
              </w:rPr>
              <w:t>(15</w:t>
            </w:r>
            <w:r>
              <w:rPr>
                <w:b/>
                <w:color w:val="231F20"/>
                <w:spacing w:val="-1"/>
                <w:sz w:val="14"/>
              </w:rPr>
              <w:t xml:space="preserve"> </w:t>
            </w:r>
            <w:r>
              <w:rPr>
                <w:b/>
                <w:color w:val="231F20"/>
                <w:sz w:val="14"/>
              </w:rPr>
              <w:t>часова)</w:t>
            </w:r>
          </w:p>
          <w:p w:rsidR="00041039" w:rsidRDefault="001B26CB">
            <w:pPr>
              <w:pStyle w:val="TableParagraph"/>
              <w:numPr>
                <w:ilvl w:val="0"/>
                <w:numId w:val="1148"/>
              </w:numPr>
              <w:tabs>
                <w:tab w:val="left" w:pos="142"/>
              </w:tabs>
              <w:spacing w:line="159" w:lineRule="exact"/>
              <w:rPr>
                <w:b/>
                <w:sz w:val="14"/>
              </w:rPr>
            </w:pPr>
            <w:r>
              <w:rPr>
                <w:color w:val="231F20"/>
                <w:sz w:val="14"/>
              </w:rPr>
              <w:t xml:space="preserve">Држава и политика </w:t>
            </w:r>
            <w:r>
              <w:rPr>
                <w:b/>
                <w:color w:val="231F20"/>
                <w:sz w:val="14"/>
              </w:rPr>
              <w:t>(17</w:t>
            </w:r>
            <w:r>
              <w:rPr>
                <w:b/>
                <w:color w:val="231F20"/>
                <w:spacing w:val="-10"/>
                <w:sz w:val="14"/>
              </w:rPr>
              <w:t xml:space="preserve"> </w:t>
            </w:r>
            <w:r>
              <w:rPr>
                <w:b/>
                <w:color w:val="231F20"/>
                <w:sz w:val="14"/>
              </w:rPr>
              <w:t>часова)</w:t>
            </w:r>
          </w:p>
          <w:p w:rsidR="00041039" w:rsidRDefault="001B26CB">
            <w:pPr>
              <w:pStyle w:val="TableParagraph"/>
              <w:numPr>
                <w:ilvl w:val="0"/>
                <w:numId w:val="1148"/>
              </w:numPr>
              <w:tabs>
                <w:tab w:val="left" w:pos="142"/>
              </w:tabs>
              <w:spacing w:line="160" w:lineRule="exact"/>
              <w:rPr>
                <w:b/>
                <w:sz w:val="14"/>
              </w:rPr>
            </w:pPr>
            <w:r>
              <w:rPr>
                <w:color w:val="231F20"/>
                <w:spacing w:val="-4"/>
                <w:sz w:val="14"/>
              </w:rPr>
              <w:t xml:space="preserve">Устав </w:t>
            </w:r>
            <w:r>
              <w:rPr>
                <w:color w:val="231F20"/>
                <w:sz w:val="14"/>
              </w:rPr>
              <w:t xml:space="preserve">и правна држава </w:t>
            </w:r>
            <w:r>
              <w:rPr>
                <w:b/>
                <w:color w:val="231F20"/>
                <w:sz w:val="14"/>
              </w:rPr>
              <w:t>(6</w:t>
            </w:r>
            <w:r>
              <w:rPr>
                <w:b/>
                <w:color w:val="231F20"/>
                <w:spacing w:val="-4"/>
                <w:sz w:val="14"/>
              </w:rPr>
              <w:t xml:space="preserve"> </w:t>
            </w:r>
            <w:r>
              <w:rPr>
                <w:b/>
                <w:color w:val="231F20"/>
                <w:sz w:val="14"/>
              </w:rPr>
              <w:t>часова)</w:t>
            </w:r>
          </w:p>
          <w:p w:rsidR="00041039" w:rsidRDefault="001B26CB">
            <w:pPr>
              <w:pStyle w:val="TableParagraph"/>
              <w:numPr>
                <w:ilvl w:val="0"/>
                <w:numId w:val="1148"/>
              </w:numPr>
              <w:tabs>
                <w:tab w:val="left" w:pos="142"/>
              </w:tabs>
              <w:ind w:right="530"/>
              <w:rPr>
                <w:b/>
                <w:sz w:val="14"/>
              </w:rPr>
            </w:pPr>
            <w:r>
              <w:rPr>
                <w:color w:val="231F20"/>
                <w:spacing w:val="-3"/>
                <w:sz w:val="14"/>
              </w:rPr>
              <w:t xml:space="preserve">Људска </w:t>
            </w:r>
            <w:r>
              <w:rPr>
                <w:color w:val="231F20"/>
                <w:sz w:val="14"/>
              </w:rPr>
              <w:t xml:space="preserve">права и слободе </w:t>
            </w:r>
            <w:r>
              <w:rPr>
                <w:b/>
                <w:color w:val="231F20"/>
                <w:sz w:val="14"/>
              </w:rPr>
              <w:t>(7 часова)</w:t>
            </w:r>
          </w:p>
          <w:p w:rsidR="00041039" w:rsidRDefault="001B26CB">
            <w:pPr>
              <w:pStyle w:val="TableParagraph"/>
              <w:numPr>
                <w:ilvl w:val="0"/>
                <w:numId w:val="1148"/>
              </w:numPr>
              <w:tabs>
                <w:tab w:val="left" w:pos="142"/>
              </w:tabs>
              <w:spacing w:line="159" w:lineRule="exact"/>
              <w:rPr>
                <w:b/>
                <w:sz w:val="14"/>
              </w:rPr>
            </w:pPr>
            <w:r>
              <w:rPr>
                <w:color w:val="231F20"/>
                <w:spacing w:val="-3"/>
                <w:sz w:val="14"/>
              </w:rPr>
              <w:t xml:space="preserve">Култура </w:t>
            </w:r>
            <w:r>
              <w:rPr>
                <w:color w:val="231F20"/>
                <w:sz w:val="14"/>
              </w:rPr>
              <w:t xml:space="preserve">и друштво </w:t>
            </w:r>
            <w:r>
              <w:rPr>
                <w:b/>
                <w:color w:val="231F20"/>
                <w:sz w:val="14"/>
              </w:rPr>
              <w:t>(14</w:t>
            </w:r>
            <w:r>
              <w:rPr>
                <w:b/>
                <w:color w:val="231F20"/>
                <w:spacing w:val="-3"/>
                <w:sz w:val="14"/>
              </w:rPr>
              <w:t xml:space="preserve"> </w:t>
            </w:r>
            <w:r>
              <w:rPr>
                <w:b/>
                <w:color w:val="231F20"/>
                <w:sz w:val="14"/>
              </w:rPr>
              <w:t>часова)</w:t>
            </w:r>
          </w:p>
          <w:p w:rsidR="00041039" w:rsidRDefault="001B26CB">
            <w:pPr>
              <w:pStyle w:val="TableParagraph"/>
              <w:numPr>
                <w:ilvl w:val="0"/>
                <w:numId w:val="1148"/>
              </w:numPr>
              <w:tabs>
                <w:tab w:val="left" w:pos="142"/>
              </w:tabs>
              <w:ind w:right="404"/>
              <w:rPr>
                <w:b/>
                <w:sz w:val="14"/>
              </w:rPr>
            </w:pPr>
            <w:r>
              <w:rPr>
                <w:color w:val="231F20"/>
                <w:sz w:val="14"/>
              </w:rPr>
              <w:t>Друштвене промене и</w:t>
            </w:r>
            <w:r>
              <w:rPr>
                <w:color w:val="231F20"/>
                <w:spacing w:val="-11"/>
                <w:sz w:val="14"/>
              </w:rPr>
              <w:t xml:space="preserve"> </w:t>
            </w:r>
            <w:r>
              <w:rPr>
                <w:color w:val="231F20"/>
                <w:sz w:val="14"/>
              </w:rPr>
              <w:t xml:space="preserve">развој друштва </w:t>
            </w:r>
            <w:r>
              <w:rPr>
                <w:b/>
                <w:color w:val="231F20"/>
                <w:sz w:val="14"/>
              </w:rPr>
              <w:t>(5</w:t>
            </w:r>
            <w:r>
              <w:rPr>
                <w:b/>
                <w:color w:val="231F20"/>
                <w:spacing w:val="-3"/>
                <w:sz w:val="14"/>
              </w:rPr>
              <w:t xml:space="preserve"> </w:t>
            </w:r>
            <w:r>
              <w:rPr>
                <w:b/>
                <w:color w:val="231F20"/>
                <w:sz w:val="14"/>
              </w:rPr>
              <w:t>часова)</w:t>
            </w:r>
          </w:p>
        </w:tc>
      </w:tr>
      <w:tr w:rsidR="00041039">
        <w:trPr>
          <w:trHeight w:val="1800"/>
        </w:trPr>
        <w:tc>
          <w:tcPr>
            <w:tcW w:w="1304" w:type="dxa"/>
          </w:tcPr>
          <w:p w:rsidR="00041039" w:rsidRDefault="001B26CB">
            <w:pPr>
              <w:pStyle w:val="TableParagraph"/>
              <w:spacing w:before="19"/>
              <w:ind w:left="56" w:right="37"/>
              <w:rPr>
                <w:sz w:val="14"/>
              </w:rPr>
            </w:pPr>
            <w:r>
              <w:rPr>
                <w:color w:val="231F20"/>
                <w:sz w:val="14"/>
              </w:rPr>
              <w:t>Устав и правна држава</w:t>
            </w:r>
          </w:p>
        </w:tc>
        <w:tc>
          <w:tcPr>
            <w:tcW w:w="1587" w:type="dxa"/>
          </w:tcPr>
          <w:p w:rsidR="00041039" w:rsidRDefault="001B26CB">
            <w:pPr>
              <w:pStyle w:val="TableParagraph"/>
              <w:numPr>
                <w:ilvl w:val="0"/>
                <w:numId w:val="1147"/>
              </w:numPr>
              <w:tabs>
                <w:tab w:val="left" w:pos="157"/>
              </w:tabs>
              <w:spacing w:before="9"/>
              <w:ind w:right="44"/>
              <w:rPr>
                <w:sz w:val="14"/>
              </w:rPr>
            </w:pPr>
            <w:r>
              <w:rPr>
                <w:color w:val="231F20"/>
                <w:sz w:val="14"/>
              </w:rPr>
              <w:t xml:space="preserve">Упознавање са </w:t>
            </w:r>
            <w:r>
              <w:rPr>
                <w:color w:val="231F20"/>
                <w:spacing w:val="-3"/>
                <w:sz w:val="14"/>
              </w:rPr>
              <w:t xml:space="preserve">Уставом </w:t>
            </w:r>
            <w:r>
              <w:rPr>
                <w:color w:val="231F20"/>
                <w:sz w:val="14"/>
              </w:rPr>
              <w:t>Републике Србије, његовим исто­ ријским претечама и правосудним</w:t>
            </w:r>
            <w:r>
              <w:rPr>
                <w:color w:val="231F20"/>
                <w:spacing w:val="-18"/>
                <w:sz w:val="14"/>
              </w:rPr>
              <w:t xml:space="preserve"> </w:t>
            </w:r>
            <w:r>
              <w:rPr>
                <w:color w:val="231F20"/>
                <w:sz w:val="14"/>
              </w:rPr>
              <w:t>системом Републике</w:t>
            </w:r>
            <w:r>
              <w:rPr>
                <w:color w:val="231F20"/>
                <w:spacing w:val="-2"/>
                <w:sz w:val="14"/>
              </w:rPr>
              <w:t xml:space="preserve"> </w:t>
            </w:r>
            <w:r>
              <w:rPr>
                <w:color w:val="231F20"/>
                <w:sz w:val="14"/>
              </w:rPr>
              <w:t>Србије.</w:t>
            </w:r>
          </w:p>
        </w:tc>
        <w:tc>
          <w:tcPr>
            <w:tcW w:w="2551" w:type="dxa"/>
          </w:tcPr>
          <w:p w:rsidR="00041039" w:rsidRDefault="001B26CB">
            <w:pPr>
              <w:pStyle w:val="TableParagraph"/>
              <w:numPr>
                <w:ilvl w:val="0"/>
                <w:numId w:val="1146"/>
              </w:numPr>
              <w:tabs>
                <w:tab w:val="left" w:pos="157"/>
              </w:tabs>
              <w:spacing w:before="9"/>
              <w:ind w:right="369" w:hanging="99"/>
              <w:rPr>
                <w:sz w:val="14"/>
              </w:rPr>
            </w:pPr>
            <w:r>
              <w:rPr>
                <w:color w:val="231F20"/>
                <w:sz w:val="14"/>
              </w:rPr>
              <w:t>схвати значај устава као</w:t>
            </w:r>
            <w:r>
              <w:rPr>
                <w:color w:val="231F20"/>
                <w:spacing w:val="-26"/>
                <w:sz w:val="14"/>
              </w:rPr>
              <w:t xml:space="preserve"> </w:t>
            </w:r>
            <w:r>
              <w:rPr>
                <w:color w:val="231F20"/>
                <w:sz w:val="14"/>
              </w:rPr>
              <w:t>највишег правног</w:t>
            </w:r>
            <w:r>
              <w:rPr>
                <w:color w:val="231F20"/>
                <w:spacing w:val="-2"/>
                <w:sz w:val="14"/>
              </w:rPr>
              <w:t xml:space="preserve"> </w:t>
            </w:r>
            <w:r>
              <w:rPr>
                <w:color w:val="231F20"/>
                <w:sz w:val="14"/>
              </w:rPr>
              <w:t>акта;</w:t>
            </w:r>
          </w:p>
          <w:p w:rsidR="00041039" w:rsidRDefault="001B26CB">
            <w:pPr>
              <w:pStyle w:val="TableParagraph"/>
              <w:numPr>
                <w:ilvl w:val="0"/>
                <w:numId w:val="1146"/>
              </w:numPr>
              <w:tabs>
                <w:tab w:val="left" w:pos="157"/>
              </w:tabs>
              <w:spacing w:line="153" w:lineRule="exact"/>
              <w:ind w:hanging="99"/>
              <w:rPr>
                <w:sz w:val="14"/>
              </w:rPr>
            </w:pPr>
            <w:r>
              <w:rPr>
                <w:color w:val="231F20"/>
                <w:sz w:val="14"/>
              </w:rPr>
              <w:t xml:space="preserve">разликује устав </w:t>
            </w:r>
            <w:r>
              <w:rPr>
                <w:color w:val="231F20"/>
                <w:spacing w:val="-3"/>
                <w:sz w:val="14"/>
              </w:rPr>
              <w:t>од</w:t>
            </w:r>
            <w:r>
              <w:rPr>
                <w:color w:val="231F20"/>
                <w:spacing w:val="-2"/>
                <w:sz w:val="14"/>
              </w:rPr>
              <w:t xml:space="preserve"> </w:t>
            </w:r>
            <w:r>
              <w:rPr>
                <w:color w:val="231F20"/>
                <w:sz w:val="14"/>
              </w:rPr>
              <w:t>закона;</w:t>
            </w:r>
          </w:p>
          <w:p w:rsidR="00041039" w:rsidRDefault="001B26CB">
            <w:pPr>
              <w:pStyle w:val="TableParagraph"/>
              <w:numPr>
                <w:ilvl w:val="0"/>
                <w:numId w:val="1146"/>
              </w:numPr>
              <w:tabs>
                <w:tab w:val="left" w:pos="157"/>
              </w:tabs>
              <w:spacing w:line="237" w:lineRule="auto"/>
              <w:ind w:right="241" w:hanging="99"/>
              <w:rPr>
                <w:sz w:val="14"/>
              </w:rPr>
            </w:pPr>
            <w:r>
              <w:rPr>
                <w:color w:val="231F20"/>
                <w:sz w:val="14"/>
              </w:rPr>
              <w:t>направи преглед развоја</w:t>
            </w:r>
            <w:r>
              <w:rPr>
                <w:color w:val="231F20"/>
                <w:spacing w:val="-17"/>
                <w:sz w:val="14"/>
              </w:rPr>
              <w:t xml:space="preserve"> </w:t>
            </w:r>
            <w:r>
              <w:rPr>
                <w:color w:val="231F20"/>
                <w:sz w:val="14"/>
              </w:rPr>
              <w:t>уставности у Србији;</w:t>
            </w:r>
          </w:p>
          <w:p w:rsidR="00041039" w:rsidRDefault="001B26CB">
            <w:pPr>
              <w:pStyle w:val="TableParagraph"/>
              <w:numPr>
                <w:ilvl w:val="0"/>
                <w:numId w:val="1146"/>
              </w:numPr>
              <w:tabs>
                <w:tab w:val="left" w:pos="157"/>
              </w:tabs>
              <w:spacing w:line="160" w:lineRule="exact"/>
              <w:ind w:right="145" w:hanging="99"/>
              <w:rPr>
                <w:sz w:val="14"/>
              </w:rPr>
            </w:pPr>
            <w:r>
              <w:rPr>
                <w:color w:val="231F20"/>
                <w:sz w:val="14"/>
              </w:rPr>
              <w:t>уочи</w:t>
            </w:r>
            <w:r>
              <w:rPr>
                <w:color w:val="231F20"/>
                <w:spacing w:val="-7"/>
                <w:sz w:val="14"/>
              </w:rPr>
              <w:t xml:space="preserve"> </w:t>
            </w:r>
            <w:r>
              <w:rPr>
                <w:color w:val="231F20"/>
                <w:sz w:val="14"/>
              </w:rPr>
              <w:t>значај</w:t>
            </w:r>
            <w:r>
              <w:rPr>
                <w:color w:val="231F20"/>
                <w:spacing w:val="-7"/>
                <w:sz w:val="14"/>
              </w:rPr>
              <w:t xml:space="preserve"> </w:t>
            </w:r>
            <w:r>
              <w:rPr>
                <w:color w:val="231F20"/>
                <w:sz w:val="14"/>
              </w:rPr>
              <w:t>владавине</w:t>
            </w:r>
            <w:r>
              <w:rPr>
                <w:color w:val="231F20"/>
                <w:spacing w:val="-8"/>
                <w:sz w:val="14"/>
              </w:rPr>
              <w:t xml:space="preserve"> </w:t>
            </w:r>
            <w:r>
              <w:rPr>
                <w:color w:val="231F20"/>
                <w:sz w:val="14"/>
              </w:rPr>
              <w:t>права</w:t>
            </w:r>
            <w:r>
              <w:rPr>
                <w:color w:val="231F20"/>
                <w:spacing w:val="-7"/>
                <w:sz w:val="14"/>
              </w:rPr>
              <w:t xml:space="preserve"> </w:t>
            </w:r>
            <w:r>
              <w:rPr>
                <w:color w:val="231F20"/>
                <w:sz w:val="14"/>
              </w:rPr>
              <w:t>и</w:t>
            </w:r>
            <w:r>
              <w:rPr>
                <w:color w:val="231F20"/>
                <w:spacing w:val="-8"/>
                <w:sz w:val="14"/>
              </w:rPr>
              <w:t xml:space="preserve"> </w:t>
            </w:r>
            <w:r>
              <w:rPr>
                <w:color w:val="231F20"/>
                <w:sz w:val="14"/>
              </w:rPr>
              <w:t>правне државе;</w:t>
            </w:r>
          </w:p>
          <w:p w:rsidR="00041039" w:rsidRDefault="001B26CB">
            <w:pPr>
              <w:pStyle w:val="TableParagraph"/>
              <w:numPr>
                <w:ilvl w:val="0"/>
                <w:numId w:val="1146"/>
              </w:numPr>
              <w:tabs>
                <w:tab w:val="left" w:pos="157"/>
              </w:tabs>
              <w:spacing w:line="160" w:lineRule="exact"/>
              <w:ind w:right="79" w:hanging="99"/>
              <w:rPr>
                <w:sz w:val="14"/>
              </w:rPr>
            </w:pPr>
            <w:r>
              <w:rPr>
                <w:color w:val="231F20"/>
                <w:sz w:val="14"/>
              </w:rPr>
              <w:t xml:space="preserve">зна основне одредбе </w:t>
            </w:r>
            <w:r>
              <w:rPr>
                <w:color w:val="231F20"/>
                <w:spacing w:val="-4"/>
                <w:sz w:val="14"/>
              </w:rPr>
              <w:t>Устава</w:t>
            </w:r>
            <w:r>
              <w:rPr>
                <w:color w:val="231F20"/>
                <w:spacing w:val="-16"/>
                <w:sz w:val="14"/>
              </w:rPr>
              <w:t xml:space="preserve"> </w:t>
            </w:r>
            <w:r>
              <w:rPr>
                <w:color w:val="231F20"/>
                <w:sz w:val="14"/>
              </w:rPr>
              <w:t>Републике Србије;</w:t>
            </w:r>
          </w:p>
          <w:p w:rsidR="00041039" w:rsidRDefault="001B26CB">
            <w:pPr>
              <w:pStyle w:val="TableParagraph"/>
              <w:numPr>
                <w:ilvl w:val="0"/>
                <w:numId w:val="1146"/>
              </w:numPr>
              <w:tabs>
                <w:tab w:val="left" w:pos="157"/>
              </w:tabs>
              <w:spacing w:line="160" w:lineRule="exact"/>
              <w:ind w:right="222" w:hanging="99"/>
              <w:rPr>
                <w:sz w:val="14"/>
              </w:rPr>
            </w:pPr>
            <w:r>
              <w:rPr>
                <w:color w:val="231F20"/>
                <w:sz w:val="14"/>
              </w:rPr>
              <w:t>схвати функционисање</w:t>
            </w:r>
            <w:r>
              <w:rPr>
                <w:color w:val="231F20"/>
                <w:spacing w:val="-21"/>
                <w:sz w:val="14"/>
              </w:rPr>
              <w:t xml:space="preserve"> </w:t>
            </w:r>
            <w:r>
              <w:rPr>
                <w:color w:val="231F20"/>
                <w:sz w:val="14"/>
              </w:rPr>
              <w:t>правосудног система Републике</w:t>
            </w:r>
            <w:r>
              <w:rPr>
                <w:color w:val="231F20"/>
                <w:spacing w:val="-2"/>
                <w:sz w:val="14"/>
              </w:rPr>
              <w:t xml:space="preserve"> </w:t>
            </w:r>
            <w:r>
              <w:rPr>
                <w:color w:val="231F20"/>
                <w:sz w:val="14"/>
              </w:rPr>
              <w:t>Србије;</w:t>
            </w:r>
          </w:p>
        </w:tc>
        <w:tc>
          <w:tcPr>
            <w:tcW w:w="2834" w:type="dxa"/>
          </w:tcPr>
          <w:p w:rsidR="00041039" w:rsidRDefault="001B26CB">
            <w:pPr>
              <w:pStyle w:val="TableParagraph"/>
              <w:numPr>
                <w:ilvl w:val="0"/>
                <w:numId w:val="1145"/>
              </w:numPr>
              <w:tabs>
                <w:tab w:val="left" w:pos="142"/>
              </w:tabs>
              <w:spacing w:before="19" w:line="161" w:lineRule="exact"/>
              <w:rPr>
                <w:sz w:val="14"/>
              </w:rPr>
            </w:pPr>
            <w:r>
              <w:rPr>
                <w:color w:val="231F20"/>
                <w:sz w:val="14"/>
              </w:rPr>
              <w:t>Значење појма</w:t>
            </w:r>
            <w:r>
              <w:rPr>
                <w:color w:val="231F20"/>
                <w:spacing w:val="-1"/>
                <w:sz w:val="14"/>
              </w:rPr>
              <w:t xml:space="preserve"> </w:t>
            </w:r>
            <w:r>
              <w:rPr>
                <w:color w:val="231F20"/>
                <w:sz w:val="14"/>
              </w:rPr>
              <w:t>устав.</w:t>
            </w:r>
          </w:p>
          <w:p w:rsidR="00041039" w:rsidRDefault="001B26CB">
            <w:pPr>
              <w:pStyle w:val="TableParagraph"/>
              <w:numPr>
                <w:ilvl w:val="0"/>
                <w:numId w:val="1145"/>
              </w:numPr>
              <w:tabs>
                <w:tab w:val="left" w:pos="142"/>
              </w:tabs>
              <w:spacing w:line="160" w:lineRule="exact"/>
              <w:rPr>
                <w:sz w:val="14"/>
              </w:rPr>
            </w:pPr>
            <w:r>
              <w:rPr>
                <w:color w:val="231F20"/>
                <w:sz w:val="14"/>
              </w:rPr>
              <w:t>Историјски развој</w:t>
            </w:r>
            <w:r>
              <w:rPr>
                <w:color w:val="231F20"/>
                <w:spacing w:val="-1"/>
                <w:sz w:val="14"/>
              </w:rPr>
              <w:t xml:space="preserve"> </w:t>
            </w:r>
            <w:r>
              <w:rPr>
                <w:color w:val="231F20"/>
                <w:sz w:val="14"/>
              </w:rPr>
              <w:t>уставности.</w:t>
            </w:r>
          </w:p>
          <w:p w:rsidR="00041039" w:rsidRDefault="001B26CB">
            <w:pPr>
              <w:pStyle w:val="TableParagraph"/>
              <w:numPr>
                <w:ilvl w:val="0"/>
                <w:numId w:val="1145"/>
              </w:numPr>
              <w:tabs>
                <w:tab w:val="left" w:pos="142"/>
              </w:tabs>
              <w:spacing w:line="160" w:lineRule="exact"/>
              <w:rPr>
                <w:sz w:val="14"/>
              </w:rPr>
            </w:pPr>
            <w:r>
              <w:rPr>
                <w:color w:val="231F20"/>
                <w:sz w:val="14"/>
              </w:rPr>
              <w:t>Уставност и</w:t>
            </w:r>
            <w:r>
              <w:rPr>
                <w:color w:val="231F20"/>
                <w:spacing w:val="-3"/>
                <w:sz w:val="14"/>
              </w:rPr>
              <w:t xml:space="preserve"> </w:t>
            </w:r>
            <w:r>
              <w:rPr>
                <w:color w:val="231F20"/>
                <w:sz w:val="14"/>
              </w:rPr>
              <w:t>законитост.</w:t>
            </w:r>
          </w:p>
          <w:p w:rsidR="00041039" w:rsidRDefault="001B26CB">
            <w:pPr>
              <w:pStyle w:val="TableParagraph"/>
              <w:numPr>
                <w:ilvl w:val="0"/>
                <w:numId w:val="1145"/>
              </w:numPr>
              <w:tabs>
                <w:tab w:val="left" w:pos="142"/>
              </w:tabs>
              <w:spacing w:line="160" w:lineRule="exact"/>
              <w:rPr>
                <w:sz w:val="14"/>
              </w:rPr>
            </w:pPr>
            <w:r>
              <w:rPr>
                <w:color w:val="231F20"/>
                <w:sz w:val="14"/>
              </w:rPr>
              <w:t>Владавина права ­ правна</w:t>
            </w:r>
            <w:r>
              <w:rPr>
                <w:color w:val="231F20"/>
                <w:spacing w:val="-4"/>
                <w:sz w:val="14"/>
              </w:rPr>
              <w:t xml:space="preserve"> </w:t>
            </w:r>
            <w:r>
              <w:rPr>
                <w:color w:val="231F20"/>
                <w:sz w:val="14"/>
              </w:rPr>
              <w:t>држава.</w:t>
            </w:r>
          </w:p>
          <w:p w:rsidR="00041039" w:rsidRDefault="001B26CB">
            <w:pPr>
              <w:pStyle w:val="TableParagraph"/>
              <w:numPr>
                <w:ilvl w:val="0"/>
                <w:numId w:val="1145"/>
              </w:numPr>
              <w:tabs>
                <w:tab w:val="left" w:pos="142"/>
              </w:tabs>
              <w:spacing w:line="160" w:lineRule="exact"/>
              <w:rPr>
                <w:sz w:val="14"/>
              </w:rPr>
            </w:pPr>
            <w:r>
              <w:rPr>
                <w:color w:val="231F20"/>
                <w:spacing w:val="-4"/>
                <w:sz w:val="14"/>
              </w:rPr>
              <w:t xml:space="preserve">Устав </w:t>
            </w:r>
            <w:r>
              <w:rPr>
                <w:color w:val="231F20"/>
                <w:sz w:val="14"/>
              </w:rPr>
              <w:t>Републике</w:t>
            </w:r>
            <w:r>
              <w:rPr>
                <w:color w:val="231F20"/>
                <w:spacing w:val="2"/>
                <w:sz w:val="14"/>
              </w:rPr>
              <w:t xml:space="preserve"> </w:t>
            </w:r>
            <w:r>
              <w:rPr>
                <w:color w:val="231F20"/>
                <w:sz w:val="14"/>
              </w:rPr>
              <w:t>Србије.</w:t>
            </w:r>
          </w:p>
          <w:p w:rsidR="00041039" w:rsidRDefault="001B26CB">
            <w:pPr>
              <w:pStyle w:val="TableParagraph"/>
              <w:numPr>
                <w:ilvl w:val="0"/>
                <w:numId w:val="1145"/>
              </w:numPr>
              <w:tabs>
                <w:tab w:val="left" w:pos="142"/>
              </w:tabs>
              <w:ind w:right="418"/>
              <w:rPr>
                <w:sz w:val="14"/>
              </w:rPr>
            </w:pPr>
            <w:r>
              <w:rPr>
                <w:color w:val="231F20"/>
                <w:sz w:val="14"/>
              </w:rPr>
              <w:t>Правосудни систем Републике</w:t>
            </w:r>
            <w:r>
              <w:rPr>
                <w:color w:val="231F20"/>
                <w:spacing w:val="-24"/>
                <w:sz w:val="14"/>
              </w:rPr>
              <w:t xml:space="preserve"> </w:t>
            </w:r>
            <w:r>
              <w:rPr>
                <w:color w:val="231F20"/>
                <w:sz w:val="14"/>
              </w:rPr>
              <w:t>Србије (судови</w:t>
            </w:r>
            <w:r>
              <w:rPr>
                <w:color w:val="231F20"/>
                <w:spacing w:val="-1"/>
                <w:sz w:val="14"/>
              </w:rPr>
              <w:t xml:space="preserve"> </w:t>
            </w:r>
            <w:r>
              <w:rPr>
                <w:color w:val="231F20"/>
                <w:sz w:val="14"/>
              </w:rPr>
              <w:t>итужилаштва).</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19"/>
              <w:ind w:left="56" w:right="37"/>
              <w:rPr>
                <w:sz w:val="14"/>
              </w:rPr>
            </w:pPr>
            <w:r>
              <w:rPr>
                <w:color w:val="231F20"/>
                <w:sz w:val="14"/>
              </w:rPr>
              <w:t>Људска права и слободе</w:t>
            </w:r>
          </w:p>
        </w:tc>
        <w:tc>
          <w:tcPr>
            <w:tcW w:w="1587" w:type="dxa"/>
          </w:tcPr>
          <w:p w:rsidR="00041039" w:rsidRDefault="001B26CB">
            <w:pPr>
              <w:pStyle w:val="TableParagraph"/>
              <w:numPr>
                <w:ilvl w:val="0"/>
                <w:numId w:val="1144"/>
              </w:numPr>
              <w:tabs>
                <w:tab w:val="left" w:pos="157"/>
              </w:tabs>
              <w:spacing w:before="9"/>
              <w:ind w:right="123"/>
              <w:rPr>
                <w:sz w:val="14"/>
              </w:rPr>
            </w:pPr>
            <w:r>
              <w:rPr>
                <w:color w:val="231F20"/>
                <w:sz w:val="14"/>
              </w:rPr>
              <w:t xml:space="preserve">Богаћење знања о људским правима и слободама и о </w:t>
            </w:r>
            <w:r>
              <w:rPr>
                <w:color w:val="231F20"/>
                <w:spacing w:val="-3"/>
                <w:sz w:val="14"/>
              </w:rPr>
              <w:t xml:space="preserve">улози </w:t>
            </w:r>
            <w:r>
              <w:rPr>
                <w:color w:val="231F20"/>
                <w:sz w:val="14"/>
              </w:rPr>
              <w:t>појединца у</w:t>
            </w:r>
            <w:r>
              <w:rPr>
                <w:color w:val="231F20"/>
                <w:spacing w:val="-8"/>
                <w:sz w:val="14"/>
              </w:rPr>
              <w:t xml:space="preserve"> </w:t>
            </w:r>
            <w:r>
              <w:rPr>
                <w:color w:val="231F20"/>
                <w:sz w:val="14"/>
              </w:rPr>
              <w:t xml:space="preserve">друштве­ ном и политичком </w:t>
            </w:r>
            <w:r>
              <w:rPr>
                <w:color w:val="231F20"/>
                <w:spacing w:val="-3"/>
                <w:sz w:val="14"/>
              </w:rPr>
              <w:t>животу.</w:t>
            </w:r>
          </w:p>
        </w:tc>
        <w:tc>
          <w:tcPr>
            <w:tcW w:w="2551" w:type="dxa"/>
          </w:tcPr>
          <w:p w:rsidR="00041039" w:rsidRDefault="001B26CB">
            <w:pPr>
              <w:pStyle w:val="TableParagraph"/>
              <w:numPr>
                <w:ilvl w:val="0"/>
                <w:numId w:val="1143"/>
              </w:numPr>
              <w:tabs>
                <w:tab w:val="left" w:pos="157"/>
              </w:tabs>
              <w:spacing w:before="9"/>
              <w:ind w:right="166" w:hanging="99"/>
              <w:rPr>
                <w:sz w:val="14"/>
              </w:rPr>
            </w:pPr>
            <w:r>
              <w:rPr>
                <w:color w:val="231F20"/>
                <w:sz w:val="14"/>
              </w:rPr>
              <w:t xml:space="preserve">схвати </w:t>
            </w:r>
            <w:r>
              <w:rPr>
                <w:color w:val="231F20"/>
                <w:spacing w:val="-3"/>
                <w:sz w:val="14"/>
              </w:rPr>
              <w:t xml:space="preserve">људска </w:t>
            </w:r>
            <w:r>
              <w:rPr>
                <w:color w:val="231F20"/>
                <w:sz w:val="14"/>
              </w:rPr>
              <w:t>права и слободе и</w:t>
            </w:r>
            <w:r>
              <w:rPr>
                <w:color w:val="231F20"/>
                <w:spacing w:val="-14"/>
                <w:sz w:val="14"/>
              </w:rPr>
              <w:t xml:space="preserve"> </w:t>
            </w:r>
            <w:r>
              <w:rPr>
                <w:color w:val="231F20"/>
                <w:sz w:val="14"/>
              </w:rPr>
              <w:t>свој положај у</w:t>
            </w:r>
            <w:r>
              <w:rPr>
                <w:color w:val="231F20"/>
                <w:spacing w:val="-2"/>
                <w:sz w:val="14"/>
              </w:rPr>
              <w:t xml:space="preserve"> </w:t>
            </w:r>
            <w:r>
              <w:rPr>
                <w:color w:val="231F20"/>
                <w:sz w:val="14"/>
              </w:rPr>
              <w:t>друштву;</w:t>
            </w:r>
          </w:p>
          <w:p w:rsidR="00041039" w:rsidRDefault="001B26CB">
            <w:pPr>
              <w:pStyle w:val="TableParagraph"/>
              <w:numPr>
                <w:ilvl w:val="0"/>
                <w:numId w:val="1143"/>
              </w:numPr>
              <w:tabs>
                <w:tab w:val="left" w:pos="157"/>
              </w:tabs>
              <w:spacing w:before="1" w:line="160" w:lineRule="exact"/>
              <w:ind w:right="309" w:hanging="99"/>
              <w:rPr>
                <w:sz w:val="14"/>
              </w:rPr>
            </w:pPr>
            <w:r>
              <w:rPr>
                <w:color w:val="231F20"/>
                <w:sz w:val="14"/>
              </w:rPr>
              <w:t>зна</w:t>
            </w:r>
            <w:r>
              <w:rPr>
                <w:color w:val="231F20"/>
                <w:spacing w:val="-5"/>
                <w:sz w:val="14"/>
              </w:rPr>
              <w:t xml:space="preserve"> </w:t>
            </w:r>
            <w:r>
              <w:rPr>
                <w:color w:val="231F20"/>
                <w:sz w:val="14"/>
              </w:rPr>
              <w:t>на</w:t>
            </w:r>
            <w:r>
              <w:rPr>
                <w:color w:val="231F20"/>
                <w:spacing w:val="-5"/>
                <w:sz w:val="14"/>
              </w:rPr>
              <w:t xml:space="preserve"> </w:t>
            </w:r>
            <w:r>
              <w:rPr>
                <w:color w:val="231F20"/>
                <w:sz w:val="14"/>
              </w:rPr>
              <w:t>који</w:t>
            </w:r>
            <w:r>
              <w:rPr>
                <w:color w:val="231F20"/>
                <w:spacing w:val="-4"/>
                <w:sz w:val="14"/>
              </w:rPr>
              <w:t xml:space="preserve"> </w:t>
            </w:r>
            <w:r>
              <w:rPr>
                <w:color w:val="231F20"/>
                <w:sz w:val="14"/>
              </w:rPr>
              <w:t>начин</w:t>
            </w:r>
            <w:r>
              <w:rPr>
                <w:color w:val="231F20"/>
                <w:spacing w:val="-4"/>
                <w:sz w:val="14"/>
              </w:rPr>
              <w:t xml:space="preserve"> </w:t>
            </w:r>
            <w:r>
              <w:rPr>
                <w:color w:val="231F20"/>
                <w:sz w:val="14"/>
              </w:rPr>
              <w:t>се</w:t>
            </w:r>
            <w:r>
              <w:rPr>
                <w:color w:val="231F20"/>
                <w:spacing w:val="-4"/>
                <w:sz w:val="14"/>
              </w:rPr>
              <w:t xml:space="preserve"> </w:t>
            </w:r>
            <w:r>
              <w:rPr>
                <w:color w:val="231F20"/>
                <w:sz w:val="14"/>
              </w:rPr>
              <w:t>штите</w:t>
            </w:r>
            <w:r>
              <w:rPr>
                <w:color w:val="231F20"/>
                <w:spacing w:val="-5"/>
                <w:sz w:val="14"/>
              </w:rPr>
              <w:t xml:space="preserve"> </w:t>
            </w:r>
            <w:r>
              <w:rPr>
                <w:color w:val="231F20"/>
                <w:sz w:val="14"/>
              </w:rPr>
              <w:t>права</w:t>
            </w:r>
            <w:r>
              <w:rPr>
                <w:color w:val="231F20"/>
                <w:spacing w:val="-4"/>
                <w:sz w:val="14"/>
              </w:rPr>
              <w:t xml:space="preserve"> </w:t>
            </w:r>
            <w:r>
              <w:rPr>
                <w:color w:val="231F20"/>
                <w:sz w:val="14"/>
              </w:rPr>
              <w:t>и слободе</w:t>
            </w:r>
            <w:r>
              <w:rPr>
                <w:color w:val="231F20"/>
                <w:spacing w:val="-1"/>
                <w:sz w:val="14"/>
              </w:rPr>
              <w:t xml:space="preserve"> </w:t>
            </w:r>
            <w:r>
              <w:rPr>
                <w:color w:val="231F20"/>
                <w:sz w:val="14"/>
              </w:rPr>
              <w:t>грађана;</w:t>
            </w:r>
          </w:p>
        </w:tc>
        <w:tc>
          <w:tcPr>
            <w:tcW w:w="2834" w:type="dxa"/>
          </w:tcPr>
          <w:p w:rsidR="00041039" w:rsidRDefault="001B26CB">
            <w:pPr>
              <w:pStyle w:val="TableParagraph"/>
              <w:numPr>
                <w:ilvl w:val="0"/>
                <w:numId w:val="1142"/>
              </w:numPr>
              <w:tabs>
                <w:tab w:val="left" w:pos="142"/>
              </w:tabs>
              <w:spacing w:before="19" w:line="161" w:lineRule="exact"/>
              <w:rPr>
                <w:sz w:val="14"/>
              </w:rPr>
            </w:pPr>
            <w:r>
              <w:rPr>
                <w:color w:val="231F20"/>
                <w:sz w:val="14"/>
              </w:rPr>
              <w:t>Појам грађанина и његове обавезе и</w:t>
            </w:r>
            <w:r>
              <w:rPr>
                <w:color w:val="231F20"/>
                <w:spacing w:val="-19"/>
                <w:sz w:val="14"/>
              </w:rPr>
              <w:t xml:space="preserve"> </w:t>
            </w:r>
            <w:r>
              <w:rPr>
                <w:color w:val="231F20"/>
                <w:sz w:val="14"/>
              </w:rPr>
              <w:t>права.</w:t>
            </w:r>
          </w:p>
          <w:p w:rsidR="00041039" w:rsidRDefault="001B26CB">
            <w:pPr>
              <w:pStyle w:val="TableParagraph"/>
              <w:numPr>
                <w:ilvl w:val="0"/>
                <w:numId w:val="1142"/>
              </w:numPr>
              <w:tabs>
                <w:tab w:val="left" w:pos="142"/>
              </w:tabs>
              <w:spacing w:line="160" w:lineRule="exact"/>
              <w:rPr>
                <w:sz w:val="14"/>
              </w:rPr>
            </w:pPr>
            <w:r>
              <w:rPr>
                <w:color w:val="231F20"/>
                <w:sz w:val="14"/>
              </w:rPr>
              <w:t>Лична права и слободе</w:t>
            </w:r>
            <w:r>
              <w:rPr>
                <w:color w:val="231F20"/>
                <w:spacing w:val="-6"/>
                <w:sz w:val="14"/>
              </w:rPr>
              <w:t xml:space="preserve"> </w:t>
            </w:r>
            <w:r>
              <w:rPr>
                <w:color w:val="231F20"/>
                <w:sz w:val="14"/>
              </w:rPr>
              <w:t>грађана.</w:t>
            </w:r>
          </w:p>
          <w:p w:rsidR="00041039" w:rsidRDefault="001B26CB">
            <w:pPr>
              <w:pStyle w:val="TableParagraph"/>
              <w:numPr>
                <w:ilvl w:val="0"/>
                <w:numId w:val="1142"/>
              </w:numPr>
              <w:tabs>
                <w:tab w:val="left" w:pos="142"/>
              </w:tabs>
              <w:spacing w:line="160" w:lineRule="exact"/>
              <w:rPr>
                <w:sz w:val="14"/>
              </w:rPr>
            </w:pPr>
            <w:r>
              <w:rPr>
                <w:color w:val="231F20"/>
                <w:sz w:val="14"/>
              </w:rPr>
              <w:t>Политичка права и слободе</w:t>
            </w:r>
            <w:r>
              <w:rPr>
                <w:color w:val="231F20"/>
                <w:spacing w:val="-7"/>
                <w:sz w:val="14"/>
              </w:rPr>
              <w:t xml:space="preserve"> </w:t>
            </w:r>
            <w:r>
              <w:rPr>
                <w:color w:val="231F20"/>
                <w:sz w:val="14"/>
              </w:rPr>
              <w:t>грађана.</w:t>
            </w:r>
          </w:p>
          <w:p w:rsidR="00041039" w:rsidRDefault="001B26CB">
            <w:pPr>
              <w:pStyle w:val="TableParagraph"/>
              <w:numPr>
                <w:ilvl w:val="0"/>
                <w:numId w:val="1142"/>
              </w:numPr>
              <w:tabs>
                <w:tab w:val="left" w:pos="142"/>
              </w:tabs>
              <w:spacing w:line="160" w:lineRule="exact"/>
              <w:rPr>
                <w:sz w:val="14"/>
              </w:rPr>
            </w:pPr>
            <w:r>
              <w:rPr>
                <w:color w:val="231F20"/>
                <w:sz w:val="14"/>
              </w:rPr>
              <w:t>Економска права и слободе</w:t>
            </w:r>
            <w:r>
              <w:rPr>
                <w:color w:val="231F20"/>
                <w:spacing w:val="-7"/>
                <w:sz w:val="14"/>
              </w:rPr>
              <w:t xml:space="preserve"> </w:t>
            </w:r>
            <w:r>
              <w:rPr>
                <w:color w:val="231F20"/>
                <w:sz w:val="14"/>
              </w:rPr>
              <w:t>грађана</w:t>
            </w:r>
          </w:p>
          <w:p w:rsidR="00041039" w:rsidRDefault="001B26CB">
            <w:pPr>
              <w:pStyle w:val="TableParagraph"/>
              <w:numPr>
                <w:ilvl w:val="0"/>
                <w:numId w:val="1142"/>
              </w:numPr>
              <w:tabs>
                <w:tab w:val="left" w:pos="142"/>
              </w:tabs>
              <w:spacing w:line="160" w:lineRule="exact"/>
              <w:rPr>
                <w:sz w:val="14"/>
              </w:rPr>
            </w:pPr>
            <w:r>
              <w:rPr>
                <w:color w:val="231F20"/>
                <w:sz w:val="14"/>
              </w:rPr>
              <w:t>Породично</w:t>
            </w:r>
            <w:r>
              <w:rPr>
                <w:color w:val="231F20"/>
                <w:spacing w:val="-1"/>
                <w:sz w:val="14"/>
              </w:rPr>
              <w:t xml:space="preserve"> </w:t>
            </w:r>
            <w:r>
              <w:rPr>
                <w:color w:val="231F20"/>
                <w:sz w:val="14"/>
              </w:rPr>
              <w:t>право.</w:t>
            </w:r>
          </w:p>
          <w:p w:rsidR="00041039" w:rsidRDefault="001B26CB">
            <w:pPr>
              <w:pStyle w:val="TableParagraph"/>
              <w:numPr>
                <w:ilvl w:val="0"/>
                <w:numId w:val="1142"/>
              </w:numPr>
              <w:tabs>
                <w:tab w:val="left" w:pos="142"/>
              </w:tabs>
              <w:spacing w:line="160" w:lineRule="exact"/>
              <w:rPr>
                <w:sz w:val="14"/>
              </w:rPr>
            </w:pPr>
            <w:r>
              <w:rPr>
                <w:color w:val="231F20"/>
                <w:sz w:val="14"/>
              </w:rPr>
              <w:t>Остала права и слободе</w:t>
            </w:r>
            <w:r>
              <w:rPr>
                <w:color w:val="231F20"/>
                <w:spacing w:val="-5"/>
                <w:sz w:val="14"/>
              </w:rPr>
              <w:t xml:space="preserve"> </w:t>
            </w:r>
            <w:r>
              <w:rPr>
                <w:color w:val="231F20"/>
                <w:sz w:val="14"/>
              </w:rPr>
              <w:t>грађана.</w:t>
            </w:r>
          </w:p>
          <w:p w:rsidR="00041039" w:rsidRDefault="001B26CB">
            <w:pPr>
              <w:pStyle w:val="TableParagraph"/>
              <w:numPr>
                <w:ilvl w:val="0"/>
                <w:numId w:val="1142"/>
              </w:numPr>
              <w:tabs>
                <w:tab w:val="left" w:pos="142"/>
              </w:tabs>
              <w:spacing w:line="160" w:lineRule="exact"/>
              <w:rPr>
                <w:sz w:val="14"/>
              </w:rPr>
            </w:pPr>
            <w:r>
              <w:rPr>
                <w:color w:val="231F20"/>
                <w:sz w:val="14"/>
              </w:rPr>
              <w:t>Заштита права и слобода</w:t>
            </w:r>
            <w:r>
              <w:rPr>
                <w:color w:val="231F20"/>
                <w:spacing w:val="-4"/>
                <w:sz w:val="14"/>
              </w:rPr>
              <w:t xml:space="preserve"> </w:t>
            </w:r>
            <w:r>
              <w:rPr>
                <w:color w:val="231F20"/>
                <w:sz w:val="14"/>
              </w:rPr>
              <w:t>грађана.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6"/>
              <w:rPr>
                <w:sz w:val="14"/>
              </w:rPr>
            </w:pPr>
            <w:r>
              <w:rPr>
                <w:color w:val="231F20"/>
                <w:sz w:val="14"/>
              </w:rPr>
              <w:t>Култура и друштво</w:t>
            </w:r>
          </w:p>
        </w:tc>
        <w:tc>
          <w:tcPr>
            <w:tcW w:w="1587" w:type="dxa"/>
          </w:tcPr>
          <w:p w:rsidR="00041039" w:rsidRDefault="001B26CB">
            <w:pPr>
              <w:pStyle w:val="TableParagraph"/>
              <w:numPr>
                <w:ilvl w:val="0"/>
                <w:numId w:val="1141"/>
              </w:numPr>
              <w:tabs>
                <w:tab w:val="left" w:pos="157"/>
              </w:tabs>
              <w:spacing w:before="9"/>
              <w:ind w:right="44"/>
              <w:rPr>
                <w:sz w:val="14"/>
              </w:rPr>
            </w:pPr>
            <w:r>
              <w:rPr>
                <w:color w:val="231F20"/>
                <w:sz w:val="14"/>
              </w:rPr>
              <w:t xml:space="preserve">Развијање знања о </w:t>
            </w:r>
            <w:r>
              <w:rPr>
                <w:color w:val="231F20"/>
                <w:spacing w:val="-3"/>
                <w:sz w:val="14"/>
              </w:rPr>
              <w:t xml:space="preserve">кул­ </w:t>
            </w:r>
            <w:r>
              <w:rPr>
                <w:color w:val="231F20"/>
                <w:sz w:val="14"/>
              </w:rPr>
              <w:t>турним</w:t>
            </w:r>
            <w:r>
              <w:rPr>
                <w:color w:val="231F20"/>
                <w:spacing w:val="-2"/>
                <w:sz w:val="14"/>
              </w:rPr>
              <w:t xml:space="preserve"> </w:t>
            </w:r>
            <w:r>
              <w:rPr>
                <w:color w:val="231F20"/>
                <w:sz w:val="14"/>
              </w:rPr>
              <w:t>тековинама.</w:t>
            </w:r>
          </w:p>
        </w:tc>
        <w:tc>
          <w:tcPr>
            <w:tcW w:w="2551" w:type="dxa"/>
          </w:tcPr>
          <w:p w:rsidR="00041039" w:rsidRDefault="001B26CB">
            <w:pPr>
              <w:pStyle w:val="TableParagraph"/>
              <w:numPr>
                <w:ilvl w:val="0"/>
                <w:numId w:val="1140"/>
              </w:numPr>
              <w:tabs>
                <w:tab w:val="left" w:pos="157"/>
              </w:tabs>
              <w:spacing w:before="9"/>
              <w:ind w:right="379" w:hanging="99"/>
              <w:rPr>
                <w:sz w:val="14"/>
              </w:rPr>
            </w:pPr>
            <w:r>
              <w:rPr>
                <w:color w:val="231F20"/>
                <w:sz w:val="14"/>
              </w:rPr>
              <w:t>уочи разлику и сличности</w:t>
            </w:r>
            <w:r>
              <w:rPr>
                <w:color w:val="231F20"/>
                <w:spacing w:val="-11"/>
                <w:sz w:val="14"/>
              </w:rPr>
              <w:t xml:space="preserve"> </w:t>
            </w:r>
            <w:r>
              <w:rPr>
                <w:color w:val="231F20"/>
                <w:sz w:val="14"/>
              </w:rPr>
              <w:t>између културе и</w:t>
            </w:r>
            <w:r>
              <w:rPr>
                <w:color w:val="231F20"/>
                <w:spacing w:val="-4"/>
                <w:sz w:val="14"/>
              </w:rPr>
              <w:t xml:space="preserve"> </w:t>
            </w:r>
            <w:r>
              <w:rPr>
                <w:color w:val="231F20"/>
                <w:sz w:val="14"/>
              </w:rPr>
              <w:t>цивилизације;</w:t>
            </w:r>
          </w:p>
          <w:p w:rsidR="00041039" w:rsidRDefault="001B26CB">
            <w:pPr>
              <w:pStyle w:val="TableParagraph"/>
              <w:numPr>
                <w:ilvl w:val="0"/>
                <w:numId w:val="1140"/>
              </w:numPr>
              <w:tabs>
                <w:tab w:val="left" w:pos="157"/>
              </w:tabs>
              <w:spacing w:before="1" w:line="160" w:lineRule="exact"/>
              <w:ind w:right="43" w:hanging="99"/>
              <w:rPr>
                <w:sz w:val="14"/>
              </w:rPr>
            </w:pPr>
            <w:r>
              <w:rPr>
                <w:color w:val="231F20"/>
                <w:sz w:val="14"/>
              </w:rPr>
              <w:t>схвати настанак религије и</w:t>
            </w:r>
            <w:r>
              <w:rPr>
                <w:color w:val="231F20"/>
                <w:spacing w:val="-23"/>
                <w:sz w:val="14"/>
              </w:rPr>
              <w:t xml:space="preserve"> </w:t>
            </w:r>
            <w:r>
              <w:rPr>
                <w:color w:val="231F20"/>
                <w:sz w:val="14"/>
              </w:rPr>
              <w:t>религијског мишљења;</w:t>
            </w:r>
          </w:p>
          <w:p w:rsidR="00041039" w:rsidRDefault="001B26CB">
            <w:pPr>
              <w:pStyle w:val="TableParagraph"/>
              <w:numPr>
                <w:ilvl w:val="0"/>
                <w:numId w:val="1140"/>
              </w:numPr>
              <w:tabs>
                <w:tab w:val="left" w:pos="154"/>
              </w:tabs>
              <w:spacing w:line="160" w:lineRule="exact"/>
              <w:ind w:left="153" w:right="49" w:hanging="96"/>
              <w:rPr>
                <w:sz w:val="14"/>
              </w:rPr>
            </w:pPr>
            <w:r>
              <w:rPr>
                <w:color w:val="231F20"/>
                <w:spacing w:val="-2"/>
                <w:sz w:val="14"/>
              </w:rPr>
              <w:t xml:space="preserve">идентификује </w:t>
            </w:r>
            <w:r>
              <w:rPr>
                <w:color w:val="231F20"/>
                <w:spacing w:val="-3"/>
                <w:sz w:val="14"/>
              </w:rPr>
              <w:t xml:space="preserve">монотеистичке </w:t>
            </w:r>
            <w:r>
              <w:rPr>
                <w:color w:val="231F20"/>
                <w:sz w:val="14"/>
              </w:rPr>
              <w:t>религије и</w:t>
            </w:r>
            <w:r>
              <w:rPr>
                <w:color w:val="231F20"/>
                <w:spacing w:val="-19"/>
                <w:sz w:val="14"/>
              </w:rPr>
              <w:t xml:space="preserve"> </w:t>
            </w:r>
            <w:r>
              <w:rPr>
                <w:color w:val="231F20"/>
                <w:sz w:val="14"/>
              </w:rPr>
              <w:t>објасни</w:t>
            </w:r>
            <w:r>
              <w:rPr>
                <w:color w:val="231F20"/>
                <w:spacing w:val="-19"/>
                <w:sz w:val="14"/>
              </w:rPr>
              <w:t xml:space="preserve"> </w:t>
            </w:r>
            <w:r>
              <w:rPr>
                <w:color w:val="231F20"/>
                <w:sz w:val="14"/>
              </w:rPr>
              <w:t>специфичности</w:t>
            </w:r>
            <w:r>
              <w:rPr>
                <w:color w:val="231F20"/>
                <w:spacing w:val="-19"/>
                <w:sz w:val="14"/>
              </w:rPr>
              <w:t xml:space="preserve"> </w:t>
            </w:r>
            <w:r>
              <w:rPr>
                <w:color w:val="231F20"/>
                <w:sz w:val="14"/>
              </w:rPr>
              <w:t>хришћанства;</w:t>
            </w:r>
          </w:p>
          <w:p w:rsidR="00041039" w:rsidRDefault="001B26CB">
            <w:pPr>
              <w:pStyle w:val="TableParagraph"/>
              <w:numPr>
                <w:ilvl w:val="0"/>
                <w:numId w:val="1140"/>
              </w:numPr>
              <w:tabs>
                <w:tab w:val="left" w:pos="157"/>
              </w:tabs>
              <w:spacing w:line="153" w:lineRule="exact"/>
              <w:ind w:hanging="99"/>
              <w:rPr>
                <w:sz w:val="14"/>
              </w:rPr>
            </w:pPr>
            <w:r>
              <w:rPr>
                <w:color w:val="231F20"/>
                <w:sz w:val="14"/>
              </w:rPr>
              <w:t>разликује обичај и</w:t>
            </w:r>
            <w:r>
              <w:rPr>
                <w:color w:val="231F20"/>
                <w:spacing w:val="-2"/>
                <w:sz w:val="14"/>
              </w:rPr>
              <w:t xml:space="preserve"> </w:t>
            </w:r>
            <w:r>
              <w:rPr>
                <w:color w:val="231F20"/>
                <w:sz w:val="14"/>
              </w:rPr>
              <w:t>морал;</w:t>
            </w:r>
          </w:p>
          <w:p w:rsidR="00041039" w:rsidRDefault="001B26CB">
            <w:pPr>
              <w:pStyle w:val="TableParagraph"/>
              <w:numPr>
                <w:ilvl w:val="0"/>
                <w:numId w:val="1140"/>
              </w:numPr>
              <w:tabs>
                <w:tab w:val="left" w:pos="157"/>
              </w:tabs>
              <w:spacing w:line="237" w:lineRule="auto"/>
              <w:ind w:right="166" w:hanging="99"/>
              <w:rPr>
                <w:sz w:val="14"/>
              </w:rPr>
            </w:pPr>
            <w:r>
              <w:rPr>
                <w:color w:val="231F20"/>
                <w:sz w:val="14"/>
              </w:rPr>
              <w:t>схвати разлику између уметности, масовне</w:t>
            </w:r>
            <w:r>
              <w:rPr>
                <w:color w:val="231F20"/>
                <w:spacing w:val="-9"/>
                <w:sz w:val="14"/>
              </w:rPr>
              <w:t xml:space="preserve"> </w:t>
            </w:r>
            <w:r>
              <w:rPr>
                <w:color w:val="231F20"/>
                <w:sz w:val="14"/>
              </w:rPr>
              <w:t>културе,</w:t>
            </w:r>
            <w:r>
              <w:rPr>
                <w:color w:val="231F20"/>
                <w:spacing w:val="-9"/>
                <w:sz w:val="14"/>
              </w:rPr>
              <w:t xml:space="preserve"> </w:t>
            </w:r>
            <w:r>
              <w:rPr>
                <w:color w:val="231F20"/>
                <w:sz w:val="14"/>
              </w:rPr>
              <w:t>под</w:t>
            </w:r>
            <w:r>
              <w:rPr>
                <w:color w:val="231F20"/>
                <w:spacing w:val="-9"/>
                <w:sz w:val="14"/>
              </w:rPr>
              <w:t xml:space="preserve"> </w:t>
            </w:r>
            <w:r>
              <w:rPr>
                <w:color w:val="231F20"/>
                <w:sz w:val="14"/>
              </w:rPr>
              <w:t>културе,</w:t>
            </w:r>
            <w:r>
              <w:rPr>
                <w:color w:val="231F20"/>
                <w:spacing w:val="-9"/>
                <w:sz w:val="14"/>
              </w:rPr>
              <w:t xml:space="preserve"> </w:t>
            </w:r>
            <w:r>
              <w:rPr>
                <w:color w:val="231F20"/>
                <w:sz w:val="14"/>
              </w:rPr>
              <w:t>шунда и</w:t>
            </w:r>
            <w:r>
              <w:rPr>
                <w:color w:val="231F20"/>
                <w:spacing w:val="-1"/>
                <w:sz w:val="14"/>
              </w:rPr>
              <w:t xml:space="preserve"> </w:t>
            </w:r>
            <w:r>
              <w:rPr>
                <w:color w:val="231F20"/>
                <w:sz w:val="14"/>
              </w:rPr>
              <w:t>кича;</w:t>
            </w:r>
          </w:p>
        </w:tc>
        <w:tc>
          <w:tcPr>
            <w:tcW w:w="2834" w:type="dxa"/>
          </w:tcPr>
          <w:p w:rsidR="00041039" w:rsidRDefault="001B26CB">
            <w:pPr>
              <w:pStyle w:val="TableParagraph"/>
              <w:numPr>
                <w:ilvl w:val="0"/>
                <w:numId w:val="1139"/>
              </w:numPr>
              <w:tabs>
                <w:tab w:val="left" w:pos="142"/>
              </w:tabs>
              <w:spacing w:before="20" w:line="161" w:lineRule="exact"/>
              <w:rPr>
                <w:sz w:val="14"/>
              </w:rPr>
            </w:pPr>
            <w:r>
              <w:rPr>
                <w:color w:val="231F20"/>
                <w:sz w:val="14"/>
              </w:rPr>
              <w:t>Појам културе и</w:t>
            </w:r>
            <w:r>
              <w:rPr>
                <w:color w:val="231F20"/>
                <w:spacing w:val="-6"/>
                <w:sz w:val="14"/>
              </w:rPr>
              <w:t xml:space="preserve"> </w:t>
            </w:r>
            <w:r>
              <w:rPr>
                <w:color w:val="231F20"/>
                <w:sz w:val="14"/>
              </w:rPr>
              <w:t>цивилизације.</w:t>
            </w:r>
          </w:p>
          <w:p w:rsidR="00041039" w:rsidRDefault="001B26CB">
            <w:pPr>
              <w:pStyle w:val="TableParagraph"/>
              <w:numPr>
                <w:ilvl w:val="0"/>
                <w:numId w:val="1139"/>
              </w:numPr>
              <w:tabs>
                <w:tab w:val="left" w:pos="142"/>
              </w:tabs>
              <w:spacing w:line="160" w:lineRule="exact"/>
              <w:rPr>
                <w:sz w:val="14"/>
              </w:rPr>
            </w:pPr>
            <w:r>
              <w:rPr>
                <w:color w:val="231F20"/>
                <w:sz w:val="14"/>
              </w:rPr>
              <w:t>Религија.</w:t>
            </w:r>
          </w:p>
          <w:p w:rsidR="00041039" w:rsidRDefault="001B26CB">
            <w:pPr>
              <w:pStyle w:val="TableParagraph"/>
              <w:numPr>
                <w:ilvl w:val="0"/>
                <w:numId w:val="1139"/>
              </w:numPr>
              <w:tabs>
                <w:tab w:val="left" w:pos="142"/>
              </w:tabs>
              <w:spacing w:line="160" w:lineRule="exact"/>
              <w:rPr>
                <w:sz w:val="14"/>
              </w:rPr>
            </w:pPr>
            <w:r>
              <w:rPr>
                <w:color w:val="231F20"/>
                <w:sz w:val="14"/>
              </w:rPr>
              <w:t>Настанак религијског</w:t>
            </w:r>
            <w:r>
              <w:rPr>
                <w:color w:val="231F20"/>
                <w:spacing w:val="-1"/>
                <w:sz w:val="14"/>
              </w:rPr>
              <w:t xml:space="preserve"> </w:t>
            </w:r>
            <w:r>
              <w:rPr>
                <w:color w:val="231F20"/>
                <w:sz w:val="14"/>
              </w:rPr>
              <w:t>мишљења.</w:t>
            </w:r>
          </w:p>
          <w:p w:rsidR="00041039" w:rsidRDefault="001B26CB">
            <w:pPr>
              <w:pStyle w:val="TableParagraph"/>
              <w:numPr>
                <w:ilvl w:val="0"/>
                <w:numId w:val="1139"/>
              </w:numPr>
              <w:tabs>
                <w:tab w:val="left" w:pos="142"/>
              </w:tabs>
              <w:spacing w:line="160" w:lineRule="exact"/>
              <w:rPr>
                <w:sz w:val="14"/>
              </w:rPr>
            </w:pPr>
            <w:r>
              <w:rPr>
                <w:color w:val="231F20"/>
                <w:sz w:val="14"/>
              </w:rPr>
              <w:t>Монотеистичке</w:t>
            </w:r>
            <w:r>
              <w:rPr>
                <w:color w:val="231F20"/>
                <w:spacing w:val="-1"/>
                <w:sz w:val="14"/>
              </w:rPr>
              <w:t xml:space="preserve"> </w:t>
            </w:r>
            <w:r>
              <w:rPr>
                <w:color w:val="231F20"/>
                <w:sz w:val="14"/>
              </w:rPr>
              <w:t>религије.</w:t>
            </w:r>
          </w:p>
          <w:p w:rsidR="00041039" w:rsidRDefault="001B26CB">
            <w:pPr>
              <w:pStyle w:val="TableParagraph"/>
              <w:numPr>
                <w:ilvl w:val="0"/>
                <w:numId w:val="1139"/>
              </w:numPr>
              <w:tabs>
                <w:tab w:val="left" w:pos="142"/>
              </w:tabs>
              <w:spacing w:line="160" w:lineRule="exact"/>
              <w:rPr>
                <w:sz w:val="14"/>
              </w:rPr>
            </w:pPr>
            <w:r>
              <w:rPr>
                <w:color w:val="231F20"/>
                <w:sz w:val="14"/>
              </w:rPr>
              <w:t>Хришћанство.</w:t>
            </w:r>
          </w:p>
          <w:p w:rsidR="00041039" w:rsidRDefault="001B26CB">
            <w:pPr>
              <w:pStyle w:val="TableParagraph"/>
              <w:numPr>
                <w:ilvl w:val="0"/>
                <w:numId w:val="1139"/>
              </w:numPr>
              <w:tabs>
                <w:tab w:val="left" w:pos="142"/>
              </w:tabs>
              <w:spacing w:line="160" w:lineRule="exact"/>
              <w:rPr>
                <w:sz w:val="14"/>
              </w:rPr>
            </w:pPr>
            <w:r>
              <w:rPr>
                <w:color w:val="231F20"/>
                <w:sz w:val="14"/>
              </w:rPr>
              <w:t>Обичај и</w:t>
            </w:r>
            <w:r>
              <w:rPr>
                <w:color w:val="231F20"/>
                <w:spacing w:val="-3"/>
                <w:sz w:val="14"/>
              </w:rPr>
              <w:t xml:space="preserve"> </w:t>
            </w:r>
            <w:r>
              <w:rPr>
                <w:color w:val="231F20"/>
                <w:sz w:val="14"/>
              </w:rPr>
              <w:t>морал.</w:t>
            </w:r>
          </w:p>
          <w:p w:rsidR="00041039" w:rsidRDefault="001B26CB">
            <w:pPr>
              <w:pStyle w:val="TableParagraph"/>
              <w:numPr>
                <w:ilvl w:val="0"/>
                <w:numId w:val="1139"/>
              </w:numPr>
              <w:tabs>
                <w:tab w:val="left" w:pos="142"/>
              </w:tabs>
              <w:spacing w:line="160" w:lineRule="exact"/>
              <w:rPr>
                <w:sz w:val="14"/>
              </w:rPr>
            </w:pPr>
            <w:r>
              <w:rPr>
                <w:color w:val="231F20"/>
                <w:spacing w:val="-3"/>
                <w:sz w:val="14"/>
              </w:rPr>
              <w:t>Уметност.</w:t>
            </w:r>
          </w:p>
          <w:p w:rsidR="00041039" w:rsidRDefault="001B26CB">
            <w:pPr>
              <w:pStyle w:val="TableParagraph"/>
              <w:numPr>
                <w:ilvl w:val="0"/>
                <w:numId w:val="1139"/>
              </w:numPr>
              <w:tabs>
                <w:tab w:val="left" w:pos="142"/>
              </w:tabs>
              <w:spacing w:line="161" w:lineRule="exact"/>
              <w:rPr>
                <w:sz w:val="14"/>
              </w:rPr>
            </w:pPr>
            <w:r>
              <w:rPr>
                <w:color w:val="231F20"/>
                <w:sz w:val="14"/>
              </w:rPr>
              <w:t>Масовна</w:t>
            </w:r>
            <w:r>
              <w:rPr>
                <w:color w:val="231F20"/>
                <w:spacing w:val="-2"/>
                <w:sz w:val="14"/>
              </w:rPr>
              <w:t xml:space="preserve"> </w:t>
            </w:r>
            <w:r>
              <w:rPr>
                <w:color w:val="231F20"/>
                <w:sz w:val="14"/>
              </w:rPr>
              <w:t>култура.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ight="17"/>
              <w:rPr>
                <w:sz w:val="14"/>
              </w:rPr>
            </w:pPr>
            <w:r>
              <w:rPr>
                <w:color w:val="231F20"/>
                <w:sz w:val="14"/>
              </w:rPr>
              <w:t>Друштвене проме­ не и развој друштва</w:t>
            </w:r>
          </w:p>
        </w:tc>
        <w:tc>
          <w:tcPr>
            <w:tcW w:w="1587" w:type="dxa"/>
          </w:tcPr>
          <w:p w:rsidR="00041039" w:rsidRDefault="001B26CB">
            <w:pPr>
              <w:pStyle w:val="TableParagraph"/>
              <w:numPr>
                <w:ilvl w:val="0"/>
                <w:numId w:val="1138"/>
              </w:numPr>
              <w:tabs>
                <w:tab w:val="left" w:pos="157"/>
              </w:tabs>
              <w:spacing w:before="10"/>
              <w:ind w:right="119" w:hanging="99"/>
              <w:rPr>
                <w:sz w:val="14"/>
              </w:rPr>
            </w:pPr>
            <w:r>
              <w:rPr>
                <w:color w:val="231F20"/>
                <w:sz w:val="14"/>
              </w:rPr>
              <w:t>Оспособљавање за живот у друштву изложеном сталним променама и</w:t>
            </w:r>
            <w:r>
              <w:rPr>
                <w:color w:val="231F20"/>
                <w:spacing w:val="-10"/>
                <w:sz w:val="14"/>
              </w:rPr>
              <w:t xml:space="preserve"> </w:t>
            </w:r>
            <w:r>
              <w:rPr>
                <w:color w:val="231F20"/>
                <w:sz w:val="14"/>
              </w:rPr>
              <w:t>изазови­ ма које доноси развој савременог</w:t>
            </w:r>
            <w:r>
              <w:rPr>
                <w:color w:val="231F20"/>
                <w:spacing w:val="-2"/>
                <w:sz w:val="14"/>
              </w:rPr>
              <w:t xml:space="preserve"> </w:t>
            </w:r>
            <w:r>
              <w:rPr>
                <w:color w:val="231F20"/>
                <w:sz w:val="14"/>
              </w:rPr>
              <w:t>друштва.</w:t>
            </w:r>
          </w:p>
          <w:p w:rsidR="00041039" w:rsidRDefault="001B26CB">
            <w:pPr>
              <w:pStyle w:val="TableParagraph"/>
              <w:numPr>
                <w:ilvl w:val="0"/>
                <w:numId w:val="1138"/>
              </w:numPr>
              <w:tabs>
                <w:tab w:val="left" w:pos="157"/>
              </w:tabs>
              <w:spacing w:line="154" w:lineRule="exact"/>
              <w:ind w:hanging="99"/>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spacing w:line="237" w:lineRule="auto"/>
              <w:ind w:right="80"/>
              <w:rPr>
                <w:sz w:val="14"/>
              </w:rPr>
            </w:pPr>
            <w:r>
              <w:rPr>
                <w:color w:val="231F20"/>
                <w:sz w:val="14"/>
              </w:rPr>
              <w:t>хоризонталној и вер­ тикалној покретљиво­ сти друштва.</w:t>
            </w:r>
          </w:p>
        </w:tc>
        <w:tc>
          <w:tcPr>
            <w:tcW w:w="2551" w:type="dxa"/>
          </w:tcPr>
          <w:p w:rsidR="00041039" w:rsidRDefault="001B26CB">
            <w:pPr>
              <w:pStyle w:val="TableParagraph"/>
              <w:numPr>
                <w:ilvl w:val="0"/>
                <w:numId w:val="1137"/>
              </w:numPr>
              <w:tabs>
                <w:tab w:val="left" w:pos="157"/>
              </w:tabs>
              <w:spacing w:before="10" w:line="166" w:lineRule="exact"/>
              <w:ind w:hanging="99"/>
              <w:rPr>
                <w:sz w:val="14"/>
              </w:rPr>
            </w:pPr>
            <w:r>
              <w:rPr>
                <w:color w:val="231F20"/>
                <w:sz w:val="14"/>
              </w:rPr>
              <w:t>идентификује друштвене</w:t>
            </w:r>
            <w:r>
              <w:rPr>
                <w:color w:val="231F20"/>
                <w:spacing w:val="-4"/>
                <w:sz w:val="14"/>
              </w:rPr>
              <w:t xml:space="preserve"> </w:t>
            </w:r>
            <w:r>
              <w:rPr>
                <w:color w:val="231F20"/>
                <w:sz w:val="14"/>
              </w:rPr>
              <w:t>промене;</w:t>
            </w:r>
          </w:p>
          <w:p w:rsidR="00041039" w:rsidRDefault="001B26CB">
            <w:pPr>
              <w:pStyle w:val="TableParagraph"/>
              <w:numPr>
                <w:ilvl w:val="0"/>
                <w:numId w:val="1137"/>
              </w:numPr>
              <w:tabs>
                <w:tab w:val="left" w:pos="157"/>
              </w:tabs>
              <w:spacing w:line="237" w:lineRule="auto"/>
              <w:ind w:right="155" w:hanging="99"/>
              <w:rPr>
                <w:sz w:val="14"/>
              </w:rPr>
            </w:pPr>
            <w:r>
              <w:rPr>
                <w:color w:val="231F20"/>
                <w:sz w:val="14"/>
              </w:rPr>
              <w:t>зна основне карактеристике</w:t>
            </w:r>
            <w:r>
              <w:rPr>
                <w:color w:val="231F20"/>
                <w:spacing w:val="-15"/>
                <w:sz w:val="14"/>
              </w:rPr>
              <w:t xml:space="preserve"> </w:t>
            </w:r>
            <w:r>
              <w:rPr>
                <w:color w:val="231F20"/>
                <w:sz w:val="14"/>
              </w:rPr>
              <w:t>хоризон­ талне и вертикалне</w:t>
            </w:r>
            <w:r>
              <w:rPr>
                <w:color w:val="231F20"/>
                <w:spacing w:val="-10"/>
                <w:sz w:val="14"/>
              </w:rPr>
              <w:t xml:space="preserve"> </w:t>
            </w:r>
            <w:r>
              <w:rPr>
                <w:color w:val="231F20"/>
                <w:sz w:val="14"/>
              </w:rPr>
              <w:t>покретљивости;</w:t>
            </w:r>
          </w:p>
          <w:p w:rsidR="00041039" w:rsidRDefault="001B26CB">
            <w:pPr>
              <w:pStyle w:val="TableParagraph"/>
              <w:numPr>
                <w:ilvl w:val="0"/>
                <w:numId w:val="1137"/>
              </w:numPr>
              <w:tabs>
                <w:tab w:val="left" w:pos="157"/>
              </w:tabs>
              <w:spacing w:line="155" w:lineRule="exact"/>
              <w:ind w:hanging="99"/>
              <w:rPr>
                <w:sz w:val="14"/>
              </w:rPr>
            </w:pPr>
            <w:r>
              <w:rPr>
                <w:color w:val="231F20"/>
                <w:sz w:val="14"/>
              </w:rPr>
              <w:t>препозна друштвени</w:t>
            </w:r>
            <w:r>
              <w:rPr>
                <w:color w:val="231F20"/>
                <w:spacing w:val="-2"/>
                <w:sz w:val="14"/>
              </w:rPr>
              <w:t xml:space="preserve"> </w:t>
            </w:r>
            <w:r>
              <w:rPr>
                <w:color w:val="231F20"/>
                <w:sz w:val="14"/>
              </w:rPr>
              <w:t>развој;</w:t>
            </w:r>
          </w:p>
          <w:p w:rsidR="00041039" w:rsidRDefault="001B26CB">
            <w:pPr>
              <w:pStyle w:val="TableParagraph"/>
              <w:numPr>
                <w:ilvl w:val="0"/>
                <w:numId w:val="1137"/>
              </w:numPr>
              <w:tabs>
                <w:tab w:val="left" w:pos="157"/>
              </w:tabs>
              <w:spacing w:line="237" w:lineRule="auto"/>
              <w:ind w:right="371" w:hanging="99"/>
              <w:rPr>
                <w:sz w:val="14"/>
              </w:rPr>
            </w:pPr>
            <w:r>
              <w:rPr>
                <w:color w:val="231F20"/>
                <w:sz w:val="14"/>
              </w:rPr>
              <w:t>формира став према савременим тенденцијама у развоју</w:t>
            </w:r>
            <w:r>
              <w:rPr>
                <w:color w:val="231F20"/>
                <w:spacing w:val="-15"/>
                <w:sz w:val="14"/>
              </w:rPr>
              <w:t xml:space="preserve"> </w:t>
            </w:r>
            <w:r>
              <w:rPr>
                <w:color w:val="231F20"/>
                <w:sz w:val="14"/>
              </w:rPr>
              <w:t>глобалног друштва;</w:t>
            </w:r>
          </w:p>
        </w:tc>
        <w:tc>
          <w:tcPr>
            <w:tcW w:w="2834" w:type="dxa"/>
          </w:tcPr>
          <w:p w:rsidR="00041039" w:rsidRDefault="001B26CB">
            <w:pPr>
              <w:pStyle w:val="TableParagraph"/>
              <w:numPr>
                <w:ilvl w:val="0"/>
                <w:numId w:val="1136"/>
              </w:numPr>
              <w:tabs>
                <w:tab w:val="left" w:pos="158"/>
              </w:tabs>
              <w:spacing w:before="10" w:line="166" w:lineRule="exact"/>
              <w:rPr>
                <w:sz w:val="14"/>
              </w:rPr>
            </w:pPr>
            <w:r>
              <w:rPr>
                <w:color w:val="231F20"/>
                <w:sz w:val="14"/>
              </w:rPr>
              <w:t>Појам и врсте друштвених</w:t>
            </w:r>
            <w:r>
              <w:rPr>
                <w:color w:val="231F20"/>
                <w:spacing w:val="-7"/>
                <w:sz w:val="14"/>
              </w:rPr>
              <w:t xml:space="preserve"> </w:t>
            </w:r>
            <w:r>
              <w:rPr>
                <w:color w:val="231F20"/>
                <w:sz w:val="14"/>
              </w:rPr>
              <w:t>промена.</w:t>
            </w:r>
          </w:p>
          <w:p w:rsidR="00041039" w:rsidRDefault="001B26CB">
            <w:pPr>
              <w:pStyle w:val="TableParagraph"/>
              <w:numPr>
                <w:ilvl w:val="0"/>
                <w:numId w:val="1136"/>
              </w:numPr>
              <w:tabs>
                <w:tab w:val="left" w:pos="158"/>
              </w:tabs>
              <w:spacing w:line="160" w:lineRule="exact"/>
              <w:rPr>
                <w:sz w:val="14"/>
              </w:rPr>
            </w:pPr>
            <w:r>
              <w:rPr>
                <w:color w:val="231F20"/>
                <w:sz w:val="14"/>
              </w:rPr>
              <w:t>Друштвена</w:t>
            </w:r>
            <w:r>
              <w:rPr>
                <w:color w:val="231F20"/>
                <w:spacing w:val="-1"/>
                <w:sz w:val="14"/>
              </w:rPr>
              <w:t xml:space="preserve"> </w:t>
            </w:r>
            <w:r>
              <w:rPr>
                <w:color w:val="231F20"/>
                <w:sz w:val="14"/>
              </w:rPr>
              <w:t>покретљивост.</w:t>
            </w:r>
          </w:p>
          <w:p w:rsidR="00041039" w:rsidRDefault="001B26CB">
            <w:pPr>
              <w:pStyle w:val="TableParagraph"/>
              <w:numPr>
                <w:ilvl w:val="0"/>
                <w:numId w:val="1136"/>
              </w:numPr>
              <w:tabs>
                <w:tab w:val="left" w:pos="158"/>
              </w:tabs>
              <w:spacing w:line="166" w:lineRule="exact"/>
              <w:rPr>
                <w:sz w:val="14"/>
              </w:rPr>
            </w:pPr>
            <w:r>
              <w:rPr>
                <w:color w:val="231F20"/>
                <w:sz w:val="14"/>
              </w:rPr>
              <w:t>Друштвени</w:t>
            </w:r>
            <w:r>
              <w:rPr>
                <w:color w:val="231F20"/>
                <w:spacing w:val="-1"/>
                <w:sz w:val="14"/>
              </w:rPr>
              <w:t xml:space="preserve"> </w:t>
            </w:r>
            <w:r>
              <w:rPr>
                <w:color w:val="231F20"/>
                <w:sz w:val="14"/>
              </w:rPr>
              <w:t>развој.</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2"/>
        </w:numPr>
        <w:tabs>
          <w:tab w:val="left" w:pos="633"/>
        </w:tabs>
      </w:pPr>
      <w:r>
        <w:rPr>
          <w:color w:val="231F20"/>
        </w:rPr>
        <w:t>Историја</w:t>
      </w:r>
    </w:p>
    <w:p w:rsidR="00041039" w:rsidRDefault="001B26CB">
      <w:pPr>
        <w:pStyle w:val="ListParagraph"/>
        <w:numPr>
          <w:ilvl w:val="0"/>
          <w:numId w:val="2"/>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2"/>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spacing w:before="80"/>
        <w:ind w:left="2815"/>
        <w:rPr>
          <w:b/>
          <w:sz w:val="18"/>
        </w:rPr>
      </w:pPr>
      <w:r>
        <w:rPr>
          <w:b/>
          <w:color w:val="231F20"/>
          <w:sz w:val="18"/>
        </w:rPr>
        <w:lastRenderedPageBreak/>
        <w:t>Б: ИЗБОРНИ ОБАВЕЗНИ ОПШТЕОБРАЗОВНИ ПРЕДМЕТИ</w:t>
      </w:r>
    </w:p>
    <w:p w:rsidR="00041039" w:rsidRDefault="00041039">
      <w:pPr>
        <w:pStyle w:val="BodyText"/>
        <w:spacing w:before="11"/>
        <w:rPr>
          <w:b/>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pStyle w:val="BodyText"/>
        <w:spacing w:before="49"/>
        <w:ind w:left="1565" w:hanging="1409"/>
      </w:pPr>
      <w:r>
        <w:rPr>
          <w:color w:val="231F20"/>
        </w:rPr>
        <w:t>Циљеви предмета: – Стицање знања, развијање вештина, усвајање вредности и формирање ставова који су претпоставка за успешан, одговоран и ангажован живот у демократском друштву;</w:t>
      </w:r>
    </w:p>
    <w:p w:rsidR="00041039" w:rsidRDefault="001B26CB">
      <w:pPr>
        <w:pStyle w:val="ListParagraph"/>
        <w:numPr>
          <w:ilvl w:val="1"/>
          <w:numId w:val="2"/>
        </w:numPr>
        <w:tabs>
          <w:tab w:val="left" w:pos="1566"/>
        </w:tabs>
        <w:spacing w:line="159" w:lineRule="exact"/>
        <w:rPr>
          <w:sz w:val="14"/>
        </w:rPr>
      </w:pPr>
      <w:r>
        <w:rPr>
          <w:color w:val="231F20"/>
          <w:sz w:val="14"/>
        </w:rPr>
        <w:t>Оснаживање ученика за поштовање, одбрану и афирмацију вредности демократског</w:t>
      </w:r>
      <w:r>
        <w:rPr>
          <w:color w:val="231F20"/>
          <w:spacing w:val="-6"/>
          <w:sz w:val="14"/>
        </w:rPr>
        <w:t xml:space="preserve"> </w:t>
      </w:r>
      <w:r>
        <w:rPr>
          <w:color w:val="231F20"/>
          <w:sz w:val="14"/>
        </w:rPr>
        <w:t>др</w:t>
      </w:r>
      <w:r>
        <w:rPr>
          <w:color w:val="231F20"/>
          <w:sz w:val="14"/>
        </w:rPr>
        <w:t>уштва;</w:t>
      </w:r>
    </w:p>
    <w:p w:rsidR="00041039" w:rsidRDefault="001B26CB">
      <w:pPr>
        <w:pStyle w:val="ListParagraph"/>
        <w:numPr>
          <w:ilvl w:val="1"/>
          <w:numId w:val="2"/>
        </w:numPr>
        <w:tabs>
          <w:tab w:val="left" w:pos="1566"/>
        </w:tabs>
        <w:spacing w:line="161" w:lineRule="exact"/>
        <w:rPr>
          <w:sz w:val="14"/>
        </w:rPr>
      </w:pPr>
      <w:r>
        <w:rPr>
          <w:color w:val="231F20"/>
          <w:sz w:val="14"/>
        </w:rPr>
        <w:t xml:space="preserve">Јачање друштвене </w:t>
      </w:r>
      <w:r>
        <w:rPr>
          <w:color w:val="231F20"/>
          <w:spacing w:val="-3"/>
          <w:sz w:val="14"/>
        </w:rPr>
        <w:t xml:space="preserve">кохезије, </w:t>
      </w:r>
      <w:r>
        <w:rPr>
          <w:color w:val="231F20"/>
          <w:sz w:val="14"/>
        </w:rPr>
        <w:t>уважавање различитости и подршка сузбијању сваког облика дискриминације и</w:t>
      </w:r>
      <w:r>
        <w:rPr>
          <w:color w:val="231F20"/>
          <w:spacing w:val="-7"/>
          <w:sz w:val="14"/>
        </w:rPr>
        <w:t xml:space="preserve"> </w:t>
      </w:r>
      <w:r>
        <w:rPr>
          <w:color w:val="231F20"/>
          <w:sz w:val="14"/>
        </w:rPr>
        <w:t>насиља.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0" w:right="430"/>
              <w:jc w:val="right"/>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0" w:right="398"/>
              <w:jc w:val="right"/>
              <w:rPr>
                <w:sz w:val="14"/>
              </w:rPr>
            </w:pPr>
            <w:r>
              <w:rPr>
                <w:color w:val="231F20"/>
                <w:sz w:val="14"/>
              </w:rPr>
              <w:t>Ја, ми и други</w:t>
            </w:r>
          </w:p>
        </w:tc>
        <w:tc>
          <w:tcPr>
            <w:tcW w:w="1587" w:type="dxa"/>
          </w:tcPr>
          <w:p w:rsidR="00041039" w:rsidRDefault="001B26CB">
            <w:pPr>
              <w:pStyle w:val="TableParagraph"/>
              <w:numPr>
                <w:ilvl w:val="0"/>
                <w:numId w:val="1135"/>
              </w:numPr>
              <w:tabs>
                <w:tab w:val="left" w:pos="157"/>
              </w:tabs>
              <w:spacing w:before="8"/>
              <w:ind w:right="120"/>
              <w:rPr>
                <w:sz w:val="14"/>
              </w:rPr>
            </w:pPr>
            <w:r>
              <w:rPr>
                <w:color w:val="231F20"/>
                <w:sz w:val="14"/>
              </w:rPr>
              <w:t>Подстицање ученика на међусобно упозна­ вање.</w:t>
            </w:r>
          </w:p>
          <w:p w:rsidR="00041039" w:rsidRDefault="001B26CB">
            <w:pPr>
              <w:pStyle w:val="TableParagraph"/>
              <w:numPr>
                <w:ilvl w:val="0"/>
                <w:numId w:val="1135"/>
              </w:numPr>
              <w:tabs>
                <w:tab w:val="left" w:pos="157"/>
              </w:tabs>
              <w:spacing w:line="157" w:lineRule="exact"/>
              <w:rPr>
                <w:sz w:val="14"/>
              </w:rPr>
            </w:pPr>
            <w:r>
              <w:rPr>
                <w:color w:val="231F20"/>
                <w:sz w:val="14"/>
              </w:rPr>
              <w:t>Подстицање</w:t>
            </w:r>
            <w:r>
              <w:rPr>
                <w:color w:val="231F20"/>
                <w:spacing w:val="-2"/>
                <w:sz w:val="14"/>
              </w:rPr>
              <w:t xml:space="preserve"> </w:t>
            </w:r>
            <w:r>
              <w:rPr>
                <w:color w:val="231F20"/>
                <w:sz w:val="14"/>
              </w:rPr>
              <w:t>ученика</w:t>
            </w:r>
          </w:p>
          <w:p w:rsidR="00041039" w:rsidRDefault="001B26CB">
            <w:pPr>
              <w:pStyle w:val="TableParagraph"/>
              <w:ind w:right="246"/>
              <w:jc w:val="both"/>
              <w:rPr>
                <w:sz w:val="14"/>
              </w:rPr>
            </w:pPr>
            <w:r>
              <w:rPr>
                <w:color w:val="231F20"/>
                <w:sz w:val="14"/>
              </w:rPr>
              <w:t>да сагледају међу­ собне сличности и разлике и уваже</w:t>
            </w:r>
            <w:r>
              <w:rPr>
                <w:color w:val="231F20"/>
                <w:spacing w:val="-12"/>
                <w:sz w:val="14"/>
              </w:rPr>
              <w:t xml:space="preserve"> </w:t>
            </w:r>
            <w:r>
              <w:rPr>
                <w:color w:val="231F20"/>
                <w:sz w:val="14"/>
              </w:rPr>
              <w:t>их.</w:t>
            </w:r>
          </w:p>
          <w:p w:rsidR="00041039" w:rsidRDefault="001B26CB">
            <w:pPr>
              <w:pStyle w:val="TableParagraph"/>
              <w:numPr>
                <w:ilvl w:val="0"/>
                <w:numId w:val="1135"/>
              </w:numPr>
              <w:tabs>
                <w:tab w:val="left" w:pos="157"/>
              </w:tabs>
              <w:spacing w:line="158" w:lineRule="exact"/>
              <w:rPr>
                <w:sz w:val="14"/>
              </w:rPr>
            </w:pPr>
            <w:r>
              <w:rPr>
                <w:color w:val="231F20"/>
                <w:sz w:val="14"/>
              </w:rPr>
              <w:t>Развој</w:t>
            </w:r>
            <w:r>
              <w:rPr>
                <w:color w:val="231F20"/>
                <w:spacing w:val="-17"/>
                <w:sz w:val="14"/>
              </w:rPr>
              <w:t xml:space="preserve"> </w:t>
            </w:r>
            <w:r>
              <w:rPr>
                <w:color w:val="231F20"/>
                <w:sz w:val="14"/>
              </w:rPr>
              <w:t>негативног</w:t>
            </w:r>
          </w:p>
          <w:p w:rsidR="00041039" w:rsidRDefault="001B26CB">
            <w:pPr>
              <w:pStyle w:val="TableParagraph"/>
              <w:ind w:right="15"/>
              <w:rPr>
                <w:sz w:val="14"/>
              </w:rPr>
            </w:pPr>
            <w:r>
              <w:rPr>
                <w:color w:val="231F20"/>
                <w:sz w:val="14"/>
              </w:rPr>
              <w:t>става према било ком облику дискримина­ ције.</w:t>
            </w:r>
          </w:p>
        </w:tc>
        <w:tc>
          <w:tcPr>
            <w:tcW w:w="2551" w:type="dxa"/>
          </w:tcPr>
          <w:p w:rsidR="00041039" w:rsidRDefault="001B26CB">
            <w:pPr>
              <w:pStyle w:val="TableParagraph"/>
              <w:numPr>
                <w:ilvl w:val="0"/>
                <w:numId w:val="1134"/>
              </w:numPr>
              <w:tabs>
                <w:tab w:val="left" w:pos="157"/>
              </w:tabs>
              <w:spacing w:before="8"/>
              <w:ind w:right="101" w:hanging="99"/>
              <w:rPr>
                <w:sz w:val="14"/>
              </w:rPr>
            </w:pPr>
            <w:r>
              <w:rPr>
                <w:color w:val="231F20"/>
                <w:sz w:val="14"/>
              </w:rPr>
              <w:t>анализира своје особине и да их пред­ стави</w:t>
            </w:r>
            <w:r>
              <w:rPr>
                <w:color w:val="231F20"/>
                <w:spacing w:val="-1"/>
                <w:sz w:val="14"/>
              </w:rPr>
              <w:t xml:space="preserve"> </w:t>
            </w:r>
            <w:r>
              <w:rPr>
                <w:color w:val="231F20"/>
                <w:sz w:val="14"/>
              </w:rPr>
              <w:t>другима;</w:t>
            </w:r>
          </w:p>
          <w:p w:rsidR="00041039" w:rsidRDefault="001B26CB">
            <w:pPr>
              <w:pStyle w:val="TableParagraph"/>
              <w:numPr>
                <w:ilvl w:val="0"/>
                <w:numId w:val="1134"/>
              </w:numPr>
              <w:tabs>
                <w:tab w:val="left" w:pos="157"/>
              </w:tabs>
              <w:spacing w:line="160" w:lineRule="exact"/>
              <w:ind w:right="391" w:hanging="99"/>
              <w:rPr>
                <w:sz w:val="14"/>
              </w:rPr>
            </w:pPr>
            <w:r>
              <w:rPr>
                <w:color w:val="231F20"/>
                <w:sz w:val="14"/>
              </w:rPr>
              <w:t>препозна, анализира сличности и разлике унутар</w:t>
            </w:r>
            <w:r>
              <w:rPr>
                <w:color w:val="231F20"/>
                <w:spacing w:val="-1"/>
                <w:sz w:val="14"/>
              </w:rPr>
              <w:t xml:space="preserve"> </w:t>
            </w:r>
            <w:r>
              <w:rPr>
                <w:color w:val="231F20"/>
                <w:sz w:val="14"/>
              </w:rPr>
              <w:t>групе;</w:t>
            </w:r>
          </w:p>
          <w:p w:rsidR="00041039" w:rsidRDefault="001B26CB">
            <w:pPr>
              <w:pStyle w:val="TableParagraph"/>
              <w:numPr>
                <w:ilvl w:val="0"/>
                <w:numId w:val="1134"/>
              </w:numPr>
              <w:tabs>
                <w:tab w:val="left" w:pos="157"/>
              </w:tabs>
              <w:spacing w:line="160" w:lineRule="exact"/>
              <w:ind w:right="51" w:hanging="99"/>
              <w:rPr>
                <w:sz w:val="14"/>
              </w:rPr>
            </w:pPr>
            <w:r>
              <w:rPr>
                <w:color w:val="231F20"/>
                <w:sz w:val="14"/>
              </w:rPr>
              <w:t>прихвати</w:t>
            </w:r>
            <w:r>
              <w:rPr>
                <w:color w:val="231F20"/>
                <w:spacing w:val="-6"/>
                <w:sz w:val="14"/>
              </w:rPr>
              <w:t xml:space="preserve"> </w:t>
            </w:r>
            <w:r>
              <w:rPr>
                <w:color w:val="231F20"/>
                <w:sz w:val="14"/>
              </w:rPr>
              <w:t>друге</w:t>
            </w:r>
            <w:r>
              <w:rPr>
                <w:color w:val="231F20"/>
                <w:spacing w:val="-6"/>
                <w:sz w:val="14"/>
              </w:rPr>
              <w:t xml:space="preserve"> </w:t>
            </w:r>
            <w:r>
              <w:rPr>
                <w:color w:val="231F20"/>
                <w:sz w:val="14"/>
              </w:rPr>
              <w:t>ученике</w:t>
            </w:r>
            <w:r>
              <w:rPr>
                <w:color w:val="231F20"/>
                <w:spacing w:val="-6"/>
                <w:sz w:val="14"/>
              </w:rPr>
              <w:t xml:space="preserve"> </w:t>
            </w:r>
            <w:r>
              <w:rPr>
                <w:color w:val="231F20"/>
                <w:sz w:val="14"/>
              </w:rPr>
              <w:t>и</w:t>
            </w:r>
            <w:r>
              <w:rPr>
                <w:color w:val="231F20"/>
                <w:spacing w:val="-7"/>
                <w:sz w:val="14"/>
              </w:rPr>
              <w:t xml:space="preserve"> </w:t>
            </w:r>
            <w:r>
              <w:rPr>
                <w:color w:val="231F20"/>
                <w:sz w:val="14"/>
              </w:rPr>
              <w:t>уважи</w:t>
            </w:r>
            <w:r>
              <w:rPr>
                <w:color w:val="231F20"/>
                <w:spacing w:val="-6"/>
                <w:sz w:val="14"/>
              </w:rPr>
              <w:t xml:space="preserve"> </w:t>
            </w:r>
            <w:r>
              <w:rPr>
                <w:color w:val="231F20"/>
                <w:sz w:val="14"/>
              </w:rPr>
              <w:t xml:space="preserve">њихо­ </w:t>
            </w:r>
            <w:r>
              <w:rPr>
                <w:color w:val="231F20"/>
                <w:spacing w:val="-3"/>
                <w:sz w:val="14"/>
              </w:rPr>
              <w:t>ву</w:t>
            </w:r>
            <w:r>
              <w:rPr>
                <w:color w:val="231F20"/>
                <w:sz w:val="14"/>
              </w:rPr>
              <w:t xml:space="preserve"> различитост;</w:t>
            </w:r>
          </w:p>
          <w:p w:rsidR="00041039" w:rsidRDefault="001B26CB">
            <w:pPr>
              <w:pStyle w:val="TableParagraph"/>
              <w:numPr>
                <w:ilvl w:val="0"/>
                <w:numId w:val="1134"/>
              </w:numPr>
              <w:tabs>
                <w:tab w:val="left" w:pos="157"/>
              </w:tabs>
              <w:spacing w:line="160" w:lineRule="exact"/>
              <w:ind w:right="303" w:hanging="99"/>
              <w:rPr>
                <w:sz w:val="14"/>
              </w:rPr>
            </w:pPr>
            <w:r>
              <w:rPr>
                <w:color w:val="231F20"/>
                <w:sz w:val="14"/>
              </w:rPr>
              <w:t>препозна предрасуде, стереотипе, дискриминацију, нетолеранцију</w:t>
            </w:r>
            <w:r>
              <w:rPr>
                <w:color w:val="231F20"/>
                <w:spacing w:val="-26"/>
                <w:sz w:val="14"/>
              </w:rPr>
              <w:t xml:space="preserve"> </w:t>
            </w:r>
            <w:r>
              <w:rPr>
                <w:color w:val="231F20"/>
                <w:sz w:val="14"/>
              </w:rPr>
              <w:t>по различитим основама;</w:t>
            </w:r>
          </w:p>
          <w:p w:rsidR="00041039" w:rsidRDefault="001B26CB">
            <w:pPr>
              <w:pStyle w:val="TableParagraph"/>
              <w:numPr>
                <w:ilvl w:val="0"/>
                <w:numId w:val="1134"/>
              </w:numPr>
              <w:tabs>
                <w:tab w:val="left" w:pos="157"/>
              </w:tabs>
              <w:spacing w:line="160" w:lineRule="exact"/>
              <w:ind w:right="144" w:hanging="99"/>
              <w:rPr>
                <w:sz w:val="14"/>
              </w:rPr>
            </w:pPr>
            <w:r>
              <w:rPr>
                <w:color w:val="231F20"/>
                <w:sz w:val="14"/>
              </w:rPr>
              <w:t>сагледа м</w:t>
            </w:r>
            <w:r>
              <w:rPr>
                <w:color w:val="231F20"/>
                <w:sz w:val="14"/>
              </w:rPr>
              <w:t>огуће последице</w:t>
            </w:r>
            <w:r>
              <w:rPr>
                <w:color w:val="231F20"/>
                <w:spacing w:val="-19"/>
                <w:sz w:val="14"/>
              </w:rPr>
              <w:t xml:space="preserve"> </w:t>
            </w:r>
            <w:r>
              <w:rPr>
                <w:color w:val="231F20"/>
                <w:sz w:val="14"/>
              </w:rPr>
              <w:t>нетолеран­ ције, дискриминације, стереотипа, предрасуда и</w:t>
            </w:r>
            <w:r>
              <w:rPr>
                <w:color w:val="231F20"/>
                <w:spacing w:val="-3"/>
                <w:sz w:val="14"/>
              </w:rPr>
              <w:t xml:space="preserve"> </w:t>
            </w:r>
            <w:r>
              <w:rPr>
                <w:color w:val="231F20"/>
                <w:sz w:val="14"/>
              </w:rPr>
              <w:t>начине;</w:t>
            </w:r>
          </w:p>
        </w:tc>
        <w:tc>
          <w:tcPr>
            <w:tcW w:w="2834" w:type="dxa"/>
          </w:tcPr>
          <w:p w:rsidR="00041039" w:rsidRDefault="001B26CB">
            <w:pPr>
              <w:pStyle w:val="TableParagraph"/>
              <w:numPr>
                <w:ilvl w:val="0"/>
                <w:numId w:val="1133"/>
              </w:numPr>
              <w:tabs>
                <w:tab w:val="left" w:pos="157"/>
              </w:tabs>
              <w:spacing w:before="8" w:line="166" w:lineRule="exact"/>
              <w:ind w:hanging="99"/>
              <w:rPr>
                <w:sz w:val="14"/>
              </w:rPr>
            </w:pPr>
            <w:r>
              <w:rPr>
                <w:color w:val="231F20"/>
                <w:sz w:val="14"/>
              </w:rPr>
              <w:t>Лични</w:t>
            </w:r>
            <w:r>
              <w:rPr>
                <w:color w:val="231F20"/>
                <w:spacing w:val="-2"/>
                <w:sz w:val="14"/>
              </w:rPr>
              <w:t xml:space="preserve"> </w:t>
            </w:r>
            <w:r>
              <w:rPr>
                <w:color w:val="231F20"/>
                <w:sz w:val="14"/>
              </w:rPr>
              <w:t>идентитет.</w:t>
            </w:r>
          </w:p>
          <w:p w:rsidR="00041039" w:rsidRDefault="001B26CB">
            <w:pPr>
              <w:pStyle w:val="TableParagraph"/>
              <w:numPr>
                <w:ilvl w:val="0"/>
                <w:numId w:val="1133"/>
              </w:numPr>
              <w:tabs>
                <w:tab w:val="left" w:pos="157"/>
              </w:tabs>
              <w:spacing w:line="160" w:lineRule="exact"/>
              <w:ind w:hanging="99"/>
              <w:rPr>
                <w:sz w:val="14"/>
              </w:rPr>
            </w:pPr>
            <w:r>
              <w:rPr>
                <w:color w:val="231F20"/>
                <w:sz w:val="14"/>
              </w:rPr>
              <w:t>Откривање и уважавање</w:t>
            </w:r>
            <w:r>
              <w:rPr>
                <w:color w:val="231F20"/>
                <w:spacing w:val="-3"/>
                <w:sz w:val="14"/>
              </w:rPr>
              <w:t xml:space="preserve"> </w:t>
            </w:r>
            <w:r>
              <w:rPr>
                <w:color w:val="231F20"/>
                <w:sz w:val="14"/>
              </w:rPr>
              <w:t>разлика.</w:t>
            </w:r>
          </w:p>
          <w:p w:rsidR="00041039" w:rsidRDefault="001B26CB">
            <w:pPr>
              <w:pStyle w:val="TableParagraph"/>
              <w:numPr>
                <w:ilvl w:val="0"/>
                <w:numId w:val="1133"/>
              </w:numPr>
              <w:tabs>
                <w:tab w:val="left" w:pos="157"/>
              </w:tabs>
              <w:spacing w:line="160" w:lineRule="exact"/>
              <w:ind w:hanging="99"/>
              <w:rPr>
                <w:sz w:val="14"/>
              </w:rPr>
            </w:pPr>
            <w:r>
              <w:rPr>
                <w:color w:val="231F20"/>
                <w:sz w:val="14"/>
              </w:rPr>
              <w:t>Групна</w:t>
            </w:r>
            <w:r>
              <w:rPr>
                <w:color w:val="231F20"/>
                <w:spacing w:val="-1"/>
                <w:sz w:val="14"/>
              </w:rPr>
              <w:t xml:space="preserve"> </w:t>
            </w:r>
            <w:r>
              <w:rPr>
                <w:color w:val="231F20"/>
                <w:sz w:val="14"/>
              </w:rPr>
              <w:t>припадност.</w:t>
            </w:r>
          </w:p>
          <w:p w:rsidR="00041039" w:rsidRDefault="001B26CB">
            <w:pPr>
              <w:pStyle w:val="TableParagraph"/>
              <w:numPr>
                <w:ilvl w:val="0"/>
                <w:numId w:val="1133"/>
              </w:numPr>
              <w:tabs>
                <w:tab w:val="left" w:pos="157"/>
              </w:tabs>
              <w:spacing w:line="160" w:lineRule="exact"/>
              <w:ind w:hanging="99"/>
              <w:rPr>
                <w:sz w:val="14"/>
              </w:rPr>
            </w:pPr>
            <w:r>
              <w:rPr>
                <w:color w:val="231F20"/>
                <w:sz w:val="14"/>
              </w:rPr>
              <w:t>Стереотипи и</w:t>
            </w:r>
            <w:r>
              <w:rPr>
                <w:color w:val="231F20"/>
                <w:spacing w:val="-3"/>
                <w:sz w:val="14"/>
              </w:rPr>
              <w:t xml:space="preserve"> </w:t>
            </w:r>
            <w:r>
              <w:rPr>
                <w:color w:val="231F20"/>
                <w:sz w:val="14"/>
              </w:rPr>
              <w:t>предрасуде.</w:t>
            </w:r>
          </w:p>
          <w:p w:rsidR="00041039" w:rsidRDefault="001B26CB">
            <w:pPr>
              <w:pStyle w:val="TableParagraph"/>
              <w:numPr>
                <w:ilvl w:val="0"/>
                <w:numId w:val="1133"/>
              </w:numPr>
              <w:tabs>
                <w:tab w:val="left" w:pos="157"/>
              </w:tabs>
              <w:spacing w:line="166" w:lineRule="exact"/>
              <w:ind w:hanging="99"/>
              <w:rPr>
                <w:sz w:val="14"/>
              </w:rPr>
            </w:pPr>
            <w:r>
              <w:rPr>
                <w:color w:val="231F20"/>
                <w:sz w:val="14"/>
              </w:rPr>
              <w:t>Толеранција и</w:t>
            </w:r>
            <w:r>
              <w:rPr>
                <w:color w:val="231F20"/>
                <w:spacing w:val="-4"/>
                <w:sz w:val="14"/>
              </w:rPr>
              <w:t xml:space="preserve"> </w:t>
            </w:r>
            <w:r>
              <w:rPr>
                <w:color w:val="231F20"/>
                <w:sz w:val="14"/>
              </w:rPr>
              <w:t>дискриминација.</w:t>
            </w:r>
          </w:p>
        </w:tc>
        <w:tc>
          <w:tcPr>
            <w:tcW w:w="2267" w:type="dxa"/>
            <w:vMerge w:val="restart"/>
          </w:tcPr>
          <w:p w:rsidR="00041039" w:rsidRDefault="001B26CB">
            <w:pPr>
              <w:pStyle w:val="TableParagraph"/>
              <w:numPr>
                <w:ilvl w:val="0"/>
                <w:numId w:val="1132"/>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132"/>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132"/>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132"/>
              </w:numPr>
              <w:tabs>
                <w:tab w:val="left" w:pos="158"/>
              </w:tabs>
              <w:spacing w:line="160" w:lineRule="exact"/>
              <w:ind w:right="158" w:hanging="99"/>
              <w:rPr>
                <w:sz w:val="14"/>
              </w:rPr>
            </w:pPr>
            <w:r>
              <w:rPr>
                <w:color w:val="231F20"/>
                <w:sz w:val="14"/>
              </w:rPr>
              <w:t>Активности на првим часовима треба тако организовати да се обезбеди међусобно</w:t>
            </w:r>
            <w:r>
              <w:rPr>
                <w:color w:val="231F20"/>
                <w:spacing w:val="-8"/>
                <w:sz w:val="14"/>
              </w:rPr>
              <w:t xml:space="preserve"> </w:t>
            </w:r>
            <w:r>
              <w:rPr>
                <w:color w:val="231F20"/>
                <w:sz w:val="14"/>
              </w:rPr>
              <w:t>упознавање ученика, упознавање</w:t>
            </w:r>
            <w:r>
              <w:rPr>
                <w:color w:val="231F20"/>
                <w:spacing w:val="-2"/>
                <w:sz w:val="14"/>
              </w:rPr>
              <w:t xml:space="preserve"> </w:t>
            </w:r>
            <w:r>
              <w:rPr>
                <w:color w:val="231F20"/>
                <w:sz w:val="14"/>
              </w:rPr>
              <w:t>учени­</w:t>
            </w:r>
          </w:p>
          <w:p w:rsidR="00041039" w:rsidRDefault="001B26CB">
            <w:pPr>
              <w:pStyle w:val="TableParagraph"/>
              <w:spacing w:line="237" w:lineRule="auto"/>
              <w:ind w:left="157" w:right="115"/>
              <w:rPr>
                <w:sz w:val="14"/>
              </w:rPr>
            </w:pPr>
            <w:r>
              <w:rPr>
                <w:color w:val="231F20"/>
                <w:sz w:val="14"/>
              </w:rPr>
              <w:t>ка са циљевима и наставним садржајима предмета, али и тако да наставник добије почетни увид у то са каквим знањима, ставовима и вештинама из об­</w:t>
            </w:r>
          </w:p>
          <w:p w:rsidR="00041039" w:rsidRDefault="001B26CB">
            <w:pPr>
              <w:pStyle w:val="TableParagraph"/>
              <w:spacing w:before="1"/>
              <w:ind w:left="157"/>
              <w:rPr>
                <w:sz w:val="14"/>
              </w:rPr>
            </w:pPr>
            <w:r>
              <w:rPr>
                <w:color w:val="231F20"/>
                <w:sz w:val="14"/>
              </w:rPr>
              <w:t>ласти грађанског васпитања група располаже с обзиром да нису</w:t>
            </w:r>
          </w:p>
          <w:p w:rsidR="00041039" w:rsidRDefault="001B26CB">
            <w:pPr>
              <w:pStyle w:val="TableParagraph"/>
              <w:ind w:left="157"/>
              <w:rPr>
                <w:sz w:val="14"/>
              </w:rPr>
            </w:pPr>
            <w:r>
              <w:rPr>
                <w:color w:val="231F20"/>
                <w:sz w:val="14"/>
              </w:rPr>
              <w:t>сви ученици у основној школи похађали наставу грађ</w:t>
            </w:r>
            <w:r>
              <w:rPr>
                <w:color w:val="231F20"/>
                <w:sz w:val="14"/>
              </w:rPr>
              <w:t>анског васпитања у истој мери.</w:t>
            </w:r>
          </w:p>
          <w:p w:rsidR="00041039" w:rsidRDefault="001B26CB">
            <w:pPr>
              <w:pStyle w:val="TableParagraph"/>
              <w:numPr>
                <w:ilvl w:val="0"/>
                <w:numId w:val="1132"/>
              </w:numPr>
              <w:tabs>
                <w:tab w:val="left" w:pos="158"/>
              </w:tabs>
              <w:spacing w:line="158" w:lineRule="exact"/>
              <w:ind w:hanging="99"/>
              <w:rPr>
                <w:sz w:val="14"/>
              </w:rPr>
            </w:pPr>
            <w:r>
              <w:rPr>
                <w:color w:val="231F20"/>
                <w:sz w:val="14"/>
              </w:rPr>
              <w:t>Реализација програма треба</w:t>
            </w:r>
            <w:r>
              <w:rPr>
                <w:color w:val="231F20"/>
                <w:spacing w:val="-5"/>
                <w:sz w:val="14"/>
              </w:rPr>
              <w:t xml:space="preserve"> </w:t>
            </w:r>
            <w:r>
              <w:rPr>
                <w:color w:val="231F20"/>
                <w:sz w:val="14"/>
              </w:rPr>
              <w:t>да</w:t>
            </w:r>
          </w:p>
          <w:p w:rsidR="00041039" w:rsidRDefault="001B26CB">
            <w:pPr>
              <w:pStyle w:val="TableParagraph"/>
              <w:ind w:left="157" w:right="54"/>
              <w:rPr>
                <w:sz w:val="14"/>
              </w:rPr>
            </w:pPr>
            <w:r>
              <w:rPr>
                <w:color w:val="231F20"/>
                <w:sz w:val="14"/>
              </w:rPr>
              <w:t>се одвија у складу са принци­ пима активне, проблемске и истраживачке наставе са сталним рефлексијама на одговарајуће појаве из друштвеног контекста прошлости и садашњости.</w:t>
            </w:r>
          </w:p>
          <w:p w:rsidR="00041039" w:rsidRDefault="001B26CB">
            <w:pPr>
              <w:pStyle w:val="TableParagraph"/>
              <w:numPr>
                <w:ilvl w:val="0"/>
                <w:numId w:val="1132"/>
              </w:numPr>
              <w:tabs>
                <w:tab w:val="left" w:pos="158"/>
              </w:tabs>
              <w:spacing w:line="155" w:lineRule="exact"/>
              <w:ind w:hanging="99"/>
              <w:rPr>
                <w:sz w:val="14"/>
              </w:rPr>
            </w:pPr>
            <w:r>
              <w:rPr>
                <w:color w:val="231F20"/>
                <w:sz w:val="14"/>
              </w:rPr>
              <w:t>Квалитет наставе се</w:t>
            </w:r>
            <w:r>
              <w:rPr>
                <w:color w:val="231F20"/>
                <w:spacing w:val="-5"/>
                <w:sz w:val="14"/>
              </w:rPr>
              <w:t xml:space="preserve"> </w:t>
            </w:r>
            <w:r>
              <w:rPr>
                <w:color w:val="231F20"/>
                <w:sz w:val="14"/>
              </w:rPr>
              <w:t>об</w:t>
            </w:r>
            <w:r>
              <w:rPr>
                <w:color w:val="231F20"/>
                <w:sz w:val="14"/>
              </w:rPr>
              <w:t>езбеђује</w:t>
            </w:r>
          </w:p>
          <w:p w:rsidR="00041039" w:rsidRDefault="001B26CB">
            <w:pPr>
              <w:pStyle w:val="TableParagraph"/>
              <w:ind w:left="157" w:right="143"/>
              <w:rPr>
                <w:sz w:val="14"/>
              </w:rPr>
            </w:pPr>
            <w:r>
              <w:rPr>
                <w:color w:val="231F20"/>
                <w:sz w:val="14"/>
              </w:rPr>
              <w:t>усаглашавањем садржаја са одговарајућим методичким ак­ тивностима и сталном разменом информација унутар групе.</w:t>
            </w:r>
          </w:p>
          <w:p w:rsidR="00041039" w:rsidRDefault="001B26CB">
            <w:pPr>
              <w:pStyle w:val="TableParagraph"/>
              <w:numPr>
                <w:ilvl w:val="0"/>
                <w:numId w:val="1132"/>
              </w:numPr>
              <w:tabs>
                <w:tab w:val="left" w:pos="158"/>
              </w:tabs>
              <w:spacing w:line="157" w:lineRule="exact"/>
              <w:ind w:hanging="99"/>
              <w:rPr>
                <w:sz w:val="14"/>
              </w:rPr>
            </w:pPr>
            <w:r>
              <w:rPr>
                <w:color w:val="231F20"/>
                <w:sz w:val="14"/>
              </w:rPr>
              <w:t>Добар индикатор успешне</w:t>
            </w:r>
            <w:r>
              <w:rPr>
                <w:color w:val="231F20"/>
                <w:spacing w:val="-6"/>
                <w:sz w:val="14"/>
              </w:rPr>
              <w:t xml:space="preserve"> </w:t>
            </w:r>
            <w:r>
              <w:rPr>
                <w:color w:val="231F20"/>
                <w:sz w:val="14"/>
              </w:rPr>
              <w:t>на­</w:t>
            </w:r>
          </w:p>
          <w:p w:rsidR="00041039" w:rsidRDefault="001B26CB">
            <w:pPr>
              <w:pStyle w:val="TableParagraph"/>
              <w:ind w:left="157" w:right="179"/>
              <w:rPr>
                <w:sz w:val="14"/>
              </w:rPr>
            </w:pPr>
            <w:r>
              <w:rPr>
                <w:color w:val="231F20"/>
                <w:sz w:val="14"/>
              </w:rPr>
              <w:t>ставе је способност ученика да адекватно примењују стечена знања и вештине и да у пракси изражавају ставове и вредности демократског друштва.</w:t>
            </w:r>
          </w:p>
          <w:p w:rsidR="00041039" w:rsidRDefault="001B26CB">
            <w:pPr>
              <w:pStyle w:val="TableParagraph"/>
              <w:numPr>
                <w:ilvl w:val="0"/>
                <w:numId w:val="1132"/>
              </w:numPr>
              <w:tabs>
                <w:tab w:val="left" w:pos="158"/>
              </w:tabs>
              <w:spacing w:line="156" w:lineRule="exact"/>
              <w:ind w:hanging="99"/>
              <w:rPr>
                <w:sz w:val="14"/>
              </w:rPr>
            </w:pPr>
            <w:r>
              <w:rPr>
                <w:color w:val="231F20"/>
                <w:sz w:val="14"/>
              </w:rPr>
              <w:t>Наставник треба да пружи</w:t>
            </w:r>
            <w:r>
              <w:rPr>
                <w:color w:val="231F20"/>
                <w:spacing w:val="-6"/>
                <w:sz w:val="14"/>
              </w:rPr>
              <w:t xml:space="preserve"> </w:t>
            </w:r>
            <w:r>
              <w:rPr>
                <w:color w:val="231F20"/>
                <w:sz w:val="14"/>
              </w:rPr>
              <w:t>неоп­</w:t>
            </w:r>
          </w:p>
          <w:p w:rsidR="00041039" w:rsidRDefault="001B26CB">
            <w:pPr>
              <w:pStyle w:val="TableParagraph"/>
              <w:ind w:left="157"/>
              <w:rPr>
                <w:sz w:val="14"/>
              </w:rPr>
            </w:pPr>
            <w:r>
              <w:rPr>
                <w:color w:val="231F20"/>
                <w:sz w:val="14"/>
              </w:rPr>
              <w:t xml:space="preserve">ходну помоћ и подршку ученици­ ма у припреми и реализацији ак­ тивности, а заједно </w:t>
            </w:r>
            <w:r>
              <w:rPr>
                <w:color w:val="231F20"/>
                <w:sz w:val="14"/>
              </w:rPr>
              <w:t>са групом да обезбеди повратну информацију о њеној успешности.</w:t>
            </w:r>
          </w:p>
          <w:p w:rsidR="00041039" w:rsidRDefault="001B26CB">
            <w:pPr>
              <w:pStyle w:val="TableParagraph"/>
              <w:numPr>
                <w:ilvl w:val="0"/>
                <w:numId w:val="1132"/>
              </w:numPr>
              <w:tabs>
                <w:tab w:val="left" w:pos="158"/>
              </w:tabs>
              <w:spacing w:line="156" w:lineRule="exact"/>
              <w:ind w:hanging="99"/>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ученичких актив­ ности и особа која даје повратну информацију.</w:t>
            </w:r>
          </w:p>
          <w:p w:rsidR="00041039" w:rsidRDefault="001B26CB">
            <w:pPr>
              <w:pStyle w:val="TableParagraph"/>
              <w:numPr>
                <w:ilvl w:val="0"/>
                <w:numId w:val="1132"/>
              </w:numPr>
              <w:tabs>
                <w:tab w:val="left" w:pos="158"/>
              </w:tabs>
              <w:spacing w:line="157" w:lineRule="exact"/>
              <w:ind w:hanging="99"/>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w:t>
            </w:r>
            <w:r>
              <w:rPr>
                <w:color w:val="231F20"/>
                <w:sz w:val="14"/>
              </w:rPr>
              <w:t>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tc>
      </w:tr>
      <w:tr w:rsidR="00041039">
        <w:trPr>
          <w:trHeight w:val="1960"/>
        </w:trPr>
        <w:tc>
          <w:tcPr>
            <w:tcW w:w="1304" w:type="dxa"/>
          </w:tcPr>
          <w:p w:rsidR="00041039" w:rsidRDefault="001B26CB">
            <w:pPr>
              <w:pStyle w:val="TableParagraph"/>
              <w:spacing w:before="20"/>
              <w:ind w:left="56" w:right="37"/>
              <w:rPr>
                <w:sz w:val="14"/>
              </w:rPr>
            </w:pPr>
            <w:r>
              <w:rPr>
                <w:color w:val="231F20"/>
                <w:sz w:val="14"/>
              </w:rPr>
              <w:t>Комуникација у групи</w:t>
            </w:r>
          </w:p>
        </w:tc>
        <w:tc>
          <w:tcPr>
            <w:tcW w:w="1587" w:type="dxa"/>
          </w:tcPr>
          <w:p w:rsidR="00041039" w:rsidRDefault="001B26CB">
            <w:pPr>
              <w:pStyle w:val="TableParagraph"/>
              <w:numPr>
                <w:ilvl w:val="0"/>
                <w:numId w:val="1131"/>
              </w:numPr>
              <w:tabs>
                <w:tab w:val="left" w:pos="157"/>
              </w:tabs>
              <w:spacing w:before="10"/>
              <w:ind w:right="129"/>
              <w:jc w:val="both"/>
              <w:rPr>
                <w:sz w:val="14"/>
              </w:rPr>
            </w:pPr>
            <w:r>
              <w:rPr>
                <w:color w:val="231F20"/>
                <w:sz w:val="14"/>
              </w:rPr>
              <w:t>Оспособљавање уче­ ника за</w:t>
            </w:r>
            <w:r>
              <w:rPr>
                <w:color w:val="231F20"/>
                <w:spacing w:val="-19"/>
                <w:sz w:val="14"/>
              </w:rPr>
              <w:t xml:space="preserve"> </w:t>
            </w:r>
            <w:r>
              <w:rPr>
                <w:color w:val="231F20"/>
                <w:sz w:val="14"/>
              </w:rPr>
              <w:t>комуникацију у</w:t>
            </w:r>
            <w:r>
              <w:rPr>
                <w:color w:val="231F20"/>
                <w:spacing w:val="-1"/>
                <w:sz w:val="14"/>
              </w:rPr>
              <w:t xml:space="preserve"> </w:t>
            </w:r>
            <w:r>
              <w:rPr>
                <w:color w:val="231F20"/>
                <w:sz w:val="14"/>
              </w:rPr>
              <w:t>групи.</w:t>
            </w:r>
          </w:p>
        </w:tc>
        <w:tc>
          <w:tcPr>
            <w:tcW w:w="2551" w:type="dxa"/>
          </w:tcPr>
          <w:p w:rsidR="00041039" w:rsidRDefault="001B26CB">
            <w:pPr>
              <w:pStyle w:val="TableParagraph"/>
              <w:numPr>
                <w:ilvl w:val="0"/>
                <w:numId w:val="1130"/>
              </w:numPr>
              <w:tabs>
                <w:tab w:val="left" w:pos="157"/>
              </w:tabs>
              <w:spacing w:before="10"/>
              <w:ind w:right="120" w:hanging="99"/>
              <w:rPr>
                <w:sz w:val="14"/>
              </w:rPr>
            </w:pPr>
            <w:r>
              <w:rPr>
                <w:color w:val="231F20"/>
                <w:sz w:val="14"/>
              </w:rPr>
              <w:t>искаже, образложи и брани</w:t>
            </w:r>
            <w:r>
              <w:rPr>
                <w:color w:val="231F20"/>
                <w:spacing w:val="-12"/>
                <w:sz w:val="14"/>
              </w:rPr>
              <w:t xml:space="preserve"> </w:t>
            </w:r>
            <w:r>
              <w:rPr>
                <w:color w:val="231F20"/>
                <w:sz w:val="14"/>
              </w:rPr>
              <w:t>мишљење аргументима;</w:t>
            </w:r>
          </w:p>
          <w:p w:rsidR="00041039" w:rsidRDefault="001B26CB">
            <w:pPr>
              <w:pStyle w:val="TableParagraph"/>
              <w:numPr>
                <w:ilvl w:val="0"/>
                <w:numId w:val="1130"/>
              </w:numPr>
              <w:tabs>
                <w:tab w:val="left" w:pos="157"/>
              </w:tabs>
              <w:spacing w:line="153" w:lineRule="exact"/>
              <w:ind w:hanging="99"/>
              <w:rPr>
                <w:sz w:val="14"/>
              </w:rPr>
            </w:pPr>
            <w:r>
              <w:rPr>
                <w:color w:val="231F20"/>
                <w:sz w:val="14"/>
              </w:rPr>
              <w:t>активно</w:t>
            </w:r>
            <w:r>
              <w:rPr>
                <w:color w:val="231F20"/>
                <w:spacing w:val="-6"/>
                <w:sz w:val="14"/>
              </w:rPr>
              <w:t xml:space="preserve"> </w:t>
            </w:r>
            <w:r>
              <w:rPr>
                <w:color w:val="231F20"/>
                <w:sz w:val="14"/>
              </w:rPr>
              <w:t>слуша;</w:t>
            </w:r>
          </w:p>
          <w:p w:rsidR="00041039" w:rsidRDefault="001B26CB">
            <w:pPr>
              <w:pStyle w:val="TableParagraph"/>
              <w:numPr>
                <w:ilvl w:val="0"/>
                <w:numId w:val="1130"/>
              </w:numPr>
              <w:tabs>
                <w:tab w:val="left" w:pos="157"/>
              </w:tabs>
              <w:spacing w:line="237" w:lineRule="auto"/>
              <w:ind w:right="386" w:hanging="99"/>
              <w:rPr>
                <w:sz w:val="14"/>
              </w:rPr>
            </w:pPr>
            <w:r>
              <w:rPr>
                <w:color w:val="231F20"/>
                <w:sz w:val="14"/>
              </w:rPr>
              <w:t>дебатује и дискутује на не угрожавајући начин,</w:t>
            </w:r>
            <w:r>
              <w:rPr>
                <w:color w:val="231F20"/>
                <w:spacing w:val="-16"/>
                <w:sz w:val="14"/>
              </w:rPr>
              <w:t xml:space="preserve"> </w:t>
            </w:r>
            <w:r>
              <w:rPr>
                <w:color w:val="231F20"/>
                <w:sz w:val="14"/>
              </w:rPr>
              <w:t>уважавајући мишљење</w:t>
            </w:r>
            <w:r>
              <w:rPr>
                <w:color w:val="231F20"/>
                <w:spacing w:val="-1"/>
                <w:sz w:val="14"/>
              </w:rPr>
              <w:t xml:space="preserve"> </w:t>
            </w:r>
            <w:r>
              <w:rPr>
                <w:color w:val="231F20"/>
                <w:sz w:val="14"/>
              </w:rPr>
              <w:t>других;</w:t>
            </w:r>
          </w:p>
          <w:p w:rsidR="00041039" w:rsidRDefault="001B26CB">
            <w:pPr>
              <w:pStyle w:val="TableParagraph"/>
              <w:numPr>
                <w:ilvl w:val="0"/>
                <w:numId w:val="1130"/>
              </w:numPr>
              <w:tabs>
                <w:tab w:val="left" w:pos="157"/>
              </w:tabs>
              <w:spacing w:line="237" w:lineRule="auto"/>
              <w:ind w:right="320" w:hanging="99"/>
              <w:rPr>
                <w:sz w:val="14"/>
              </w:rPr>
            </w:pPr>
            <w:r>
              <w:rPr>
                <w:color w:val="231F20"/>
                <w:sz w:val="14"/>
              </w:rPr>
              <w:t>објасни разлику између дијалога</w:t>
            </w:r>
            <w:r>
              <w:rPr>
                <w:color w:val="231F20"/>
                <w:spacing w:val="-9"/>
                <w:sz w:val="14"/>
              </w:rPr>
              <w:t xml:space="preserve"> </w:t>
            </w:r>
            <w:r>
              <w:rPr>
                <w:color w:val="231F20"/>
                <w:sz w:val="14"/>
              </w:rPr>
              <w:t>и дебате;</w:t>
            </w:r>
          </w:p>
          <w:p w:rsidR="00041039" w:rsidRDefault="001B26CB">
            <w:pPr>
              <w:pStyle w:val="TableParagraph"/>
              <w:numPr>
                <w:ilvl w:val="0"/>
                <w:numId w:val="1130"/>
              </w:numPr>
              <w:tabs>
                <w:tab w:val="left" w:pos="157"/>
              </w:tabs>
              <w:spacing w:line="160" w:lineRule="exact"/>
              <w:ind w:right="148" w:hanging="99"/>
              <w:rPr>
                <w:sz w:val="14"/>
              </w:rPr>
            </w:pPr>
            <w:r>
              <w:rPr>
                <w:color w:val="231F20"/>
                <w:sz w:val="14"/>
              </w:rPr>
              <w:t>објасни разлоге и начине настанка гласина</w:t>
            </w:r>
            <w:r>
              <w:rPr>
                <w:color w:val="231F20"/>
                <w:spacing w:val="-14"/>
                <w:sz w:val="14"/>
              </w:rPr>
              <w:t xml:space="preserve"> </w:t>
            </w:r>
            <w:r>
              <w:rPr>
                <w:color w:val="231F20"/>
                <w:sz w:val="14"/>
              </w:rPr>
              <w:t>у</w:t>
            </w:r>
            <w:r>
              <w:rPr>
                <w:color w:val="231F20"/>
                <w:spacing w:val="-13"/>
                <w:sz w:val="14"/>
              </w:rPr>
              <w:t xml:space="preserve"> </w:t>
            </w:r>
            <w:r>
              <w:rPr>
                <w:color w:val="231F20"/>
                <w:sz w:val="14"/>
              </w:rPr>
              <w:t>свакодневној</w:t>
            </w:r>
            <w:r>
              <w:rPr>
                <w:color w:val="231F20"/>
                <w:spacing w:val="-13"/>
                <w:sz w:val="14"/>
              </w:rPr>
              <w:t xml:space="preserve"> </w:t>
            </w:r>
            <w:r>
              <w:rPr>
                <w:color w:val="231F20"/>
                <w:sz w:val="14"/>
              </w:rPr>
              <w:t>комуникацији и објасни последице које изазивају гласине;</w:t>
            </w:r>
          </w:p>
        </w:tc>
        <w:tc>
          <w:tcPr>
            <w:tcW w:w="2834" w:type="dxa"/>
          </w:tcPr>
          <w:p w:rsidR="00041039" w:rsidRDefault="001B26CB">
            <w:pPr>
              <w:pStyle w:val="TableParagraph"/>
              <w:numPr>
                <w:ilvl w:val="0"/>
                <w:numId w:val="1129"/>
              </w:numPr>
              <w:tabs>
                <w:tab w:val="left" w:pos="157"/>
              </w:tabs>
              <w:spacing w:before="10" w:line="166" w:lineRule="exact"/>
              <w:ind w:hanging="99"/>
              <w:rPr>
                <w:sz w:val="14"/>
              </w:rPr>
            </w:pPr>
            <w:r>
              <w:rPr>
                <w:color w:val="231F20"/>
                <w:sz w:val="14"/>
              </w:rPr>
              <w:t>Самопоуздано</w:t>
            </w:r>
            <w:r>
              <w:rPr>
                <w:color w:val="231F20"/>
                <w:spacing w:val="-1"/>
                <w:sz w:val="14"/>
              </w:rPr>
              <w:t xml:space="preserve"> </w:t>
            </w:r>
            <w:r>
              <w:rPr>
                <w:color w:val="231F20"/>
                <w:sz w:val="14"/>
              </w:rPr>
              <w:t>реаговање.</w:t>
            </w:r>
          </w:p>
          <w:p w:rsidR="00041039" w:rsidRDefault="001B26CB">
            <w:pPr>
              <w:pStyle w:val="TableParagraph"/>
              <w:numPr>
                <w:ilvl w:val="0"/>
                <w:numId w:val="1129"/>
              </w:numPr>
              <w:tabs>
                <w:tab w:val="left" w:pos="157"/>
              </w:tabs>
              <w:spacing w:line="160" w:lineRule="exact"/>
              <w:ind w:hanging="99"/>
              <w:rPr>
                <w:sz w:val="14"/>
              </w:rPr>
            </w:pPr>
            <w:r>
              <w:rPr>
                <w:color w:val="231F20"/>
                <w:spacing w:val="-3"/>
                <w:sz w:val="14"/>
              </w:rPr>
              <w:t>Гласине.</w:t>
            </w:r>
          </w:p>
          <w:p w:rsidR="00041039" w:rsidRDefault="001B26CB">
            <w:pPr>
              <w:pStyle w:val="TableParagraph"/>
              <w:numPr>
                <w:ilvl w:val="0"/>
                <w:numId w:val="1129"/>
              </w:numPr>
              <w:tabs>
                <w:tab w:val="left" w:pos="157"/>
              </w:tabs>
              <w:spacing w:line="160" w:lineRule="exact"/>
              <w:ind w:hanging="99"/>
              <w:rPr>
                <w:sz w:val="14"/>
              </w:rPr>
            </w:pPr>
            <w:r>
              <w:rPr>
                <w:color w:val="231F20"/>
                <w:sz w:val="14"/>
              </w:rPr>
              <w:t>Не слушање, активно,</w:t>
            </w:r>
            <w:r>
              <w:rPr>
                <w:color w:val="231F20"/>
                <w:spacing w:val="-3"/>
                <w:sz w:val="14"/>
              </w:rPr>
              <w:t xml:space="preserve"> </w:t>
            </w:r>
            <w:r>
              <w:rPr>
                <w:color w:val="231F20"/>
                <w:sz w:val="14"/>
              </w:rPr>
              <w:t>слушање.</w:t>
            </w:r>
          </w:p>
          <w:p w:rsidR="00041039" w:rsidRDefault="001B26CB">
            <w:pPr>
              <w:pStyle w:val="TableParagraph"/>
              <w:numPr>
                <w:ilvl w:val="0"/>
                <w:numId w:val="1129"/>
              </w:numPr>
              <w:tabs>
                <w:tab w:val="left" w:pos="157"/>
              </w:tabs>
              <w:spacing w:line="160" w:lineRule="exact"/>
              <w:ind w:hanging="99"/>
              <w:rPr>
                <w:sz w:val="14"/>
              </w:rPr>
            </w:pPr>
            <w:r>
              <w:rPr>
                <w:color w:val="231F20"/>
                <w:sz w:val="14"/>
              </w:rPr>
              <w:t>Неоптужујуће</w:t>
            </w:r>
            <w:r>
              <w:rPr>
                <w:color w:val="231F20"/>
                <w:spacing w:val="-1"/>
                <w:sz w:val="14"/>
              </w:rPr>
              <w:t xml:space="preserve"> </w:t>
            </w:r>
            <w:r>
              <w:rPr>
                <w:color w:val="231F20"/>
                <w:sz w:val="14"/>
              </w:rPr>
              <w:t>поруке.</w:t>
            </w:r>
          </w:p>
          <w:p w:rsidR="00041039" w:rsidRDefault="001B26CB">
            <w:pPr>
              <w:pStyle w:val="TableParagraph"/>
              <w:numPr>
                <w:ilvl w:val="0"/>
                <w:numId w:val="1129"/>
              </w:numPr>
              <w:tabs>
                <w:tab w:val="left" w:pos="157"/>
              </w:tabs>
              <w:spacing w:line="160" w:lineRule="exact"/>
              <w:ind w:hanging="99"/>
              <w:rPr>
                <w:sz w:val="14"/>
              </w:rPr>
            </w:pPr>
            <w:r>
              <w:rPr>
                <w:color w:val="231F20"/>
                <w:sz w:val="14"/>
              </w:rPr>
              <w:t>Изражавање</w:t>
            </w:r>
            <w:r>
              <w:rPr>
                <w:color w:val="231F20"/>
                <w:spacing w:val="-1"/>
                <w:sz w:val="14"/>
              </w:rPr>
              <w:t xml:space="preserve"> </w:t>
            </w:r>
            <w:r>
              <w:rPr>
                <w:color w:val="231F20"/>
                <w:sz w:val="14"/>
              </w:rPr>
              <w:t>мишљења.</w:t>
            </w:r>
          </w:p>
          <w:p w:rsidR="00041039" w:rsidRDefault="001B26CB">
            <w:pPr>
              <w:pStyle w:val="TableParagraph"/>
              <w:numPr>
                <w:ilvl w:val="0"/>
                <w:numId w:val="1129"/>
              </w:numPr>
              <w:tabs>
                <w:tab w:val="left" w:pos="157"/>
              </w:tabs>
              <w:spacing w:line="166" w:lineRule="exact"/>
              <w:ind w:hanging="99"/>
              <w:rPr>
                <w:sz w:val="14"/>
              </w:rPr>
            </w:pPr>
            <w:r>
              <w:rPr>
                <w:color w:val="231F20"/>
                <w:sz w:val="14"/>
              </w:rPr>
              <w:t>Вођење дебате и</w:t>
            </w:r>
            <w:r>
              <w:rPr>
                <w:color w:val="231F20"/>
                <w:spacing w:val="-2"/>
                <w:sz w:val="14"/>
              </w:rPr>
              <w:t xml:space="preserve"> </w:t>
            </w:r>
            <w:r>
              <w:rPr>
                <w:color w:val="231F20"/>
                <w:sz w:val="14"/>
              </w:rPr>
              <w:t>дијалога.</w:t>
            </w:r>
          </w:p>
        </w:tc>
        <w:tc>
          <w:tcPr>
            <w:tcW w:w="2267" w:type="dxa"/>
            <w:vMerge/>
            <w:tcBorders>
              <w:top w:val="nil"/>
            </w:tcBorders>
          </w:tcPr>
          <w:p w:rsidR="00041039" w:rsidRDefault="00041039">
            <w:pPr>
              <w:rPr>
                <w:sz w:val="2"/>
                <w:szCs w:val="2"/>
              </w:rPr>
            </w:pPr>
          </w:p>
        </w:tc>
      </w:tr>
      <w:tr w:rsidR="00041039">
        <w:trPr>
          <w:trHeight w:val="6979"/>
        </w:trPr>
        <w:tc>
          <w:tcPr>
            <w:tcW w:w="1304" w:type="dxa"/>
          </w:tcPr>
          <w:p w:rsidR="00041039" w:rsidRDefault="001B26CB">
            <w:pPr>
              <w:pStyle w:val="TableParagraph"/>
              <w:spacing w:before="20"/>
              <w:ind w:left="56" w:right="202"/>
              <w:rPr>
                <w:sz w:val="14"/>
              </w:rPr>
            </w:pPr>
            <w:r>
              <w:rPr>
                <w:color w:val="231F20"/>
                <w:sz w:val="14"/>
              </w:rPr>
              <w:t>Односи у групи / заједници</w:t>
            </w:r>
          </w:p>
        </w:tc>
        <w:tc>
          <w:tcPr>
            <w:tcW w:w="1587" w:type="dxa"/>
          </w:tcPr>
          <w:p w:rsidR="00041039" w:rsidRDefault="001B26CB">
            <w:pPr>
              <w:pStyle w:val="TableParagraph"/>
              <w:numPr>
                <w:ilvl w:val="0"/>
                <w:numId w:val="1128"/>
              </w:numPr>
              <w:tabs>
                <w:tab w:val="left" w:pos="157"/>
              </w:tabs>
              <w:spacing w:before="10"/>
              <w:ind w:right="62"/>
              <w:rPr>
                <w:sz w:val="14"/>
              </w:rPr>
            </w:pPr>
            <w:r>
              <w:rPr>
                <w:color w:val="231F20"/>
                <w:sz w:val="14"/>
              </w:rPr>
              <w:t>Оспособљавање ученика за рад у</w:t>
            </w:r>
            <w:r>
              <w:rPr>
                <w:color w:val="231F20"/>
                <w:spacing w:val="-8"/>
                <w:sz w:val="14"/>
              </w:rPr>
              <w:t xml:space="preserve"> </w:t>
            </w:r>
            <w:r>
              <w:rPr>
                <w:color w:val="231F20"/>
                <w:sz w:val="14"/>
              </w:rPr>
              <w:t>групи</w:t>
            </w:r>
          </w:p>
          <w:p w:rsidR="00041039" w:rsidRDefault="001B26CB">
            <w:pPr>
              <w:pStyle w:val="TableParagraph"/>
              <w:spacing w:line="237" w:lineRule="auto"/>
              <w:ind w:right="250"/>
              <w:rPr>
                <w:sz w:val="14"/>
              </w:rPr>
            </w:pPr>
            <w:r>
              <w:rPr>
                <w:color w:val="231F20"/>
                <w:sz w:val="14"/>
              </w:rPr>
              <w:t>/ тиму и међусобну сарадњу.</w:t>
            </w:r>
          </w:p>
          <w:p w:rsidR="00041039" w:rsidRDefault="001B26CB">
            <w:pPr>
              <w:pStyle w:val="TableParagraph"/>
              <w:numPr>
                <w:ilvl w:val="0"/>
                <w:numId w:val="1128"/>
              </w:numPr>
              <w:tabs>
                <w:tab w:val="left" w:pos="157"/>
              </w:tabs>
              <w:spacing w:line="237" w:lineRule="auto"/>
              <w:ind w:right="49"/>
              <w:rPr>
                <w:sz w:val="14"/>
              </w:rPr>
            </w:pPr>
            <w:r>
              <w:rPr>
                <w:color w:val="231F20"/>
                <w:sz w:val="14"/>
              </w:rPr>
              <w:t>Подстицање ученика да сукобе решавају на конструктиван начин</w:t>
            </w:r>
            <w:r>
              <w:rPr>
                <w:color w:val="231F20"/>
                <w:spacing w:val="-19"/>
                <w:sz w:val="14"/>
              </w:rPr>
              <w:t xml:space="preserve"> </w:t>
            </w:r>
            <w:r>
              <w:rPr>
                <w:color w:val="231F20"/>
                <w:sz w:val="14"/>
              </w:rPr>
              <w:t>и избегавају</w:t>
            </w:r>
            <w:r>
              <w:rPr>
                <w:color w:val="231F20"/>
                <w:spacing w:val="-2"/>
                <w:sz w:val="14"/>
              </w:rPr>
              <w:t xml:space="preserve"> </w:t>
            </w:r>
            <w:r>
              <w:rPr>
                <w:color w:val="231F20"/>
                <w:sz w:val="14"/>
              </w:rPr>
              <w:t>сукобе.</w:t>
            </w:r>
          </w:p>
          <w:p w:rsidR="00041039" w:rsidRDefault="001B26CB">
            <w:pPr>
              <w:pStyle w:val="TableParagraph"/>
              <w:numPr>
                <w:ilvl w:val="0"/>
                <w:numId w:val="1128"/>
              </w:numPr>
              <w:tabs>
                <w:tab w:val="left" w:pos="157"/>
              </w:tabs>
              <w:spacing w:line="237" w:lineRule="auto"/>
              <w:ind w:right="60"/>
              <w:rPr>
                <w:sz w:val="14"/>
              </w:rPr>
            </w:pPr>
            <w:r>
              <w:rPr>
                <w:color w:val="231F20"/>
                <w:sz w:val="14"/>
              </w:rPr>
              <w:t>Оспособљавање ученика да препознају примере насиља у својој средини и пре­ узму одговорност за сопствено понашање у таквој</w:t>
            </w:r>
            <w:r>
              <w:rPr>
                <w:color w:val="231F20"/>
                <w:spacing w:val="-1"/>
                <w:sz w:val="14"/>
              </w:rPr>
              <w:t xml:space="preserve"> </w:t>
            </w:r>
            <w:r>
              <w:rPr>
                <w:color w:val="231F20"/>
                <w:sz w:val="14"/>
              </w:rPr>
              <w:t>ситуацији.</w:t>
            </w:r>
          </w:p>
        </w:tc>
        <w:tc>
          <w:tcPr>
            <w:tcW w:w="2551" w:type="dxa"/>
          </w:tcPr>
          <w:p w:rsidR="00041039" w:rsidRDefault="001B26CB">
            <w:pPr>
              <w:pStyle w:val="TableParagraph"/>
              <w:numPr>
                <w:ilvl w:val="0"/>
                <w:numId w:val="1127"/>
              </w:numPr>
              <w:tabs>
                <w:tab w:val="left" w:pos="157"/>
              </w:tabs>
              <w:spacing w:before="10" w:line="166" w:lineRule="exact"/>
              <w:ind w:hanging="99"/>
              <w:rPr>
                <w:sz w:val="14"/>
              </w:rPr>
            </w:pPr>
            <w:r>
              <w:rPr>
                <w:color w:val="231F20"/>
                <w:sz w:val="14"/>
              </w:rPr>
              <w:t>ради у групи /</w:t>
            </w:r>
            <w:r>
              <w:rPr>
                <w:color w:val="231F20"/>
                <w:spacing w:val="-1"/>
                <w:sz w:val="14"/>
              </w:rPr>
              <w:t xml:space="preserve"> </w:t>
            </w:r>
            <w:r>
              <w:rPr>
                <w:color w:val="231F20"/>
                <w:sz w:val="14"/>
              </w:rPr>
              <w:t>тиму;</w:t>
            </w:r>
          </w:p>
          <w:p w:rsidR="00041039" w:rsidRDefault="001B26CB">
            <w:pPr>
              <w:pStyle w:val="TableParagraph"/>
              <w:numPr>
                <w:ilvl w:val="0"/>
                <w:numId w:val="1127"/>
              </w:numPr>
              <w:tabs>
                <w:tab w:val="left" w:pos="157"/>
              </w:tabs>
              <w:spacing w:line="237" w:lineRule="auto"/>
              <w:ind w:right="87" w:hanging="99"/>
              <w:rPr>
                <w:sz w:val="14"/>
              </w:rPr>
            </w:pPr>
            <w:r>
              <w:rPr>
                <w:color w:val="231F20"/>
                <w:sz w:val="14"/>
              </w:rPr>
              <w:t>препозна предности групног /</w:t>
            </w:r>
            <w:r>
              <w:rPr>
                <w:color w:val="231F20"/>
                <w:spacing w:val="-18"/>
                <w:sz w:val="14"/>
              </w:rPr>
              <w:t xml:space="preserve"> </w:t>
            </w:r>
            <w:r>
              <w:rPr>
                <w:color w:val="231F20"/>
                <w:sz w:val="14"/>
              </w:rPr>
              <w:t>тимског рада;</w:t>
            </w:r>
          </w:p>
          <w:p w:rsidR="00041039" w:rsidRDefault="001B26CB">
            <w:pPr>
              <w:pStyle w:val="TableParagraph"/>
              <w:numPr>
                <w:ilvl w:val="0"/>
                <w:numId w:val="1127"/>
              </w:numPr>
              <w:tabs>
                <w:tab w:val="left" w:pos="157"/>
              </w:tabs>
              <w:spacing w:line="155" w:lineRule="exact"/>
              <w:ind w:hanging="99"/>
              <w:rPr>
                <w:sz w:val="14"/>
              </w:rPr>
            </w:pPr>
            <w:r>
              <w:rPr>
                <w:color w:val="231F20"/>
                <w:sz w:val="14"/>
              </w:rPr>
              <w:t>учествује у доношењу групних</w:t>
            </w:r>
            <w:r>
              <w:rPr>
                <w:color w:val="231F20"/>
                <w:spacing w:val="-12"/>
                <w:sz w:val="14"/>
              </w:rPr>
              <w:t xml:space="preserve"> </w:t>
            </w:r>
            <w:r>
              <w:rPr>
                <w:color w:val="231F20"/>
                <w:sz w:val="14"/>
              </w:rPr>
              <w:t>одлука;</w:t>
            </w:r>
          </w:p>
          <w:p w:rsidR="00041039" w:rsidRDefault="001B26CB">
            <w:pPr>
              <w:pStyle w:val="TableParagraph"/>
              <w:numPr>
                <w:ilvl w:val="0"/>
                <w:numId w:val="1127"/>
              </w:numPr>
              <w:tabs>
                <w:tab w:val="left" w:pos="157"/>
              </w:tabs>
              <w:spacing w:line="237" w:lineRule="auto"/>
              <w:ind w:right="437" w:hanging="99"/>
              <w:rPr>
                <w:sz w:val="14"/>
              </w:rPr>
            </w:pPr>
            <w:r>
              <w:rPr>
                <w:color w:val="231F20"/>
                <w:sz w:val="14"/>
              </w:rPr>
              <w:t>разликује могуће облике</w:t>
            </w:r>
            <w:r>
              <w:rPr>
                <w:color w:val="231F20"/>
                <w:spacing w:val="-12"/>
                <w:sz w:val="14"/>
              </w:rPr>
              <w:t xml:space="preserve"> </w:t>
            </w:r>
            <w:r>
              <w:rPr>
                <w:color w:val="231F20"/>
                <w:sz w:val="14"/>
              </w:rPr>
              <w:t>учешћа младих у друштвеном</w:t>
            </w:r>
            <w:r>
              <w:rPr>
                <w:color w:val="231F20"/>
                <w:spacing w:val="-6"/>
                <w:sz w:val="14"/>
              </w:rPr>
              <w:t xml:space="preserve"> </w:t>
            </w:r>
            <w:r>
              <w:rPr>
                <w:color w:val="231F20"/>
                <w:sz w:val="14"/>
              </w:rPr>
              <w:t>животу;</w:t>
            </w:r>
          </w:p>
          <w:p w:rsidR="00041039" w:rsidRDefault="001B26CB">
            <w:pPr>
              <w:pStyle w:val="TableParagraph"/>
              <w:numPr>
                <w:ilvl w:val="0"/>
                <w:numId w:val="1127"/>
              </w:numPr>
              <w:tabs>
                <w:tab w:val="left" w:pos="157"/>
              </w:tabs>
              <w:spacing w:line="160" w:lineRule="exact"/>
              <w:ind w:right="69" w:hanging="99"/>
              <w:rPr>
                <w:sz w:val="14"/>
              </w:rPr>
            </w:pPr>
            <w:r>
              <w:rPr>
                <w:color w:val="231F20"/>
                <w:sz w:val="14"/>
              </w:rPr>
              <w:t>објасни потребу и важност</w:t>
            </w:r>
            <w:r>
              <w:rPr>
                <w:color w:val="231F20"/>
                <w:spacing w:val="-12"/>
                <w:sz w:val="14"/>
              </w:rPr>
              <w:t xml:space="preserve"> </w:t>
            </w:r>
            <w:r>
              <w:rPr>
                <w:color w:val="231F20"/>
                <w:sz w:val="14"/>
              </w:rPr>
              <w:t>партиципа­ ције младих у друштвеном</w:t>
            </w:r>
            <w:r>
              <w:rPr>
                <w:color w:val="231F20"/>
                <w:spacing w:val="-8"/>
                <w:sz w:val="14"/>
              </w:rPr>
              <w:t xml:space="preserve"> </w:t>
            </w:r>
            <w:r>
              <w:rPr>
                <w:color w:val="231F20"/>
                <w:sz w:val="14"/>
              </w:rPr>
              <w:t>животу;</w:t>
            </w:r>
          </w:p>
          <w:p w:rsidR="00041039" w:rsidRDefault="001B26CB">
            <w:pPr>
              <w:pStyle w:val="TableParagraph"/>
              <w:numPr>
                <w:ilvl w:val="0"/>
                <w:numId w:val="1127"/>
              </w:numPr>
              <w:tabs>
                <w:tab w:val="left" w:pos="157"/>
              </w:tabs>
              <w:spacing w:line="160" w:lineRule="exact"/>
              <w:ind w:right="401" w:hanging="99"/>
              <w:rPr>
                <w:sz w:val="14"/>
              </w:rPr>
            </w:pPr>
            <w:r>
              <w:rPr>
                <w:color w:val="231F20"/>
                <w:sz w:val="14"/>
              </w:rPr>
              <w:t>објасни степене и облике</w:t>
            </w:r>
            <w:r>
              <w:rPr>
                <w:color w:val="231F20"/>
                <w:spacing w:val="-11"/>
                <w:sz w:val="14"/>
              </w:rPr>
              <w:t xml:space="preserve"> </w:t>
            </w:r>
            <w:r>
              <w:rPr>
                <w:color w:val="231F20"/>
                <w:sz w:val="14"/>
              </w:rPr>
              <w:t>учешћа младих у друштвеном</w:t>
            </w:r>
            <w:r>
              <w:rPr>
                <w:color w:val="231F20"/>
                <w:spacing w:val="-6"/>
                <w:sz w:val="14"/>
              </w:rPr>
              <w:t xml:space="preserve"> </w:t>
            </w:r>
            <w:r>
              <w:rPr>
                <w:color w:val="231F20"/>
                <w:sz w:val="14"/>
              </w:rPr>
              <w:t>животу;</w:t>
            </w:r>
          </w:p>
          <w:p w:rsidR="00041039" w:rsidRDefault="001B26CB">
            <w:pPr>
              <w:pStyle w:val="TableParagraph"/>
              <w:numPr>
                <w:ilvl w:val="0"/>
                <w:numId w:val="1127"/>
              </w:numPr>
              <w:tabs>
                <w:tab w:val="left" w:pos="157"/>
              </w:tabs>
              <w:spacing w:line="160" w:lineRule="exact"/>
              <w:ind w:right="411" w:hanging="99"/>
              <w:rPr>
                <w:sz w:val="14"/>
              </w:rPr>
            </w:pPr>
            <w:r>
              <w:rPr>
                <w:color w:val="231F20"/>
                <w:sz w:val="14"/>
              </w:rPr>
              <w:t>објасни разлоге, ток и</w:t>
            </w:r>
            <w:r>
              <w:rPr>
                <w:color w:val="231F20"/>
                <w:spacing w:val="-5"/>
                <w:sz w:val="14"/>
              </w:rPr>
              <w:t xml:space="preserve"> </w:t>
            </w:r>
            <w:r>
              <w:rPr>
                <w:color w:val="231F20"/>
                <w:sz w:val="14"/>
              </w:rPr>
              <w:t>последице сукоба;</w:t>
            </w:r>
          </w:p>
          <w:p w:rsidR="00041039" w:rsidRDefault="001B26CB">
            <w:pPr>
              <w:pStyle w:val="TableParagraph"/>
              <w:numPr>
                <w:ilvl w:val="0"/>
                <w:numId w:val="1127"/>
              </w:numPr>
              <w:tabs>
                <w:tab w:val="left" w:pos="157"/>
              </w:tabs>
              <w:spacing w:line="160" w:lineRule="exact"/>
              <w:ind w:right="418" w:hanging="99"/>
              <w:rPr>
                <w:sz w:val="14"/>
              </w:rPr>
            </w:pPr>
            <w:r>
              <w:rPr>
                <w:color w:val="231F20"/>
                <w:sz w:val="14"/>
              </w:rPr>
              <w:t>објасни ефекте конфликта на</w:t>
            </w:r>
            <w:r>
              <w:rPr>
                <w:color w:val="231F20"/>
                <w:spacing w:val="-20"/>
                <w:sz w:val="14"/>
              </w:rPr>
              <w:t xml:space="preserve"> </w:t>
            </w:r>
            <w:r>
              <w:rPr>
                <w:color w:val="231F20"/>
                <w:sz w:val="14"/>
              </w:rPr>
              <w:t>ток комуникације;</w:t>
            </w:r>
          </w:p>
          <w:p w:rsidR="00041039" w:rsidRDefault="001B26CB">
            <w:pPr>
              <w:pStyle w:val="TableParagraph"/>
              <w:numPr>
                <w:ilvl w:val="0"/>
                <w:numId w:val="1127"/>
              </w:numPr>
              <w:tabs>
                <w:tab w:val="left" w:pos="157"/>
              </w:tabs>
              <w:spacing w:line="160" w:lineRule="exact"/>
              <w:ind w:right="107" w:hanging="99"/>
              <w:rPr>
                <w:sz w:val="14"/>
              </w:rPr>
            </w:pPr>
            <w:r>
              <w:rPr>
                <w:color w:val="231F20"/>
                <w:sz w:val="14"/>
              </w:rPr>
              <w:t>уочи</w:t>
            </w:r>
            <w:r>
              <w:rPr>
                <w:color w:val="231F20"/>
                <w:spacing w:val="-8"/>
                <w:sz w:val="14"/>
              </w:rPr>
              <w:t xml:space="preserve"> </w:t>
            </w:r>
            <w:r>
              <w:rPr>
                <w:color w:val="231F20"/>
                <w:sz w:val="14"/>
              </w:rPr>
              <w:t>факторе</w:t>
            </w:r>
            <w:r>
              <w:rPr>
                <w:color w:val="231F20"/>
                <w:spacing w:val="-8"/>
                <w:sz w:val="14"/>
              </w:rPr>
              <w:t xml:space="preserve"> </w:t>
            </w:r>
            <w:r>
              <w:rPr>
                <w:color w:val="231F20"/>
                <w:sz w:val="14"/>
              </w:rPr>
              <w:t>који</w:t>
            </w:r>
            <w:r>
              <w:rPr>
                <w:color w:val="231F20"/>
                <w:spacing w:val="-8"/>
                <w:sz w:val="14"/>
              </w:rPr>
              <w:t xml:space="preserve"> </w:t>
            </w:r>
            <w:r>
              <w:rPr>
                <w:color w:val="231F20"/>
                <w:sz w:val="14"/>
              </w:rPr>
              <w:t>одређују</w:t>
            </w:r>
            <w:r>
              <w:rPr>
                <w:color w:val="231F20"/>
                <w:spacing w:val="-8"/>
                <w:sz w:val="14"/>
              </w:rPr>
              <w:t xml:space="preserve"> </w:t>
            </w:r>
            <w:r>
              <w:rPr>
                <w:color w:val="231F20"/>
                <w:sz w:val="14"/>
              </w:rPr>
              <w:t>понашање у ситуацијама</w:t>
            </w:r>
            <w:r>
              <w:rPr>
                <w:color w:val="231F20"/>
                <w:spacing w:val="-2"/>
                <w:sz w:val="14"/>
              </w:rPr>
              <w:t xml:space="preserve"> </w:t>
            </w:r>
            <w:r>
              <w:rPr>
                <w:color w:val="231F20"/>
                <w:sz w:val="14"/>
              </w:rPr>
              <w:t>конфликта;</w:t>
            </w:r>
          </w:p>
          <w:p w:rsidR="00041039" w:rsidRDefault="001B26CB">
            <w:pPr>
              <w:pStyle w:val="TableParagraph"/>
              <w:numPr>
                <w:ilvl w:val="0"/>
                <w:numId w:val="1127"/>
              </w:numPr>
              <w:tabs>
                <w:tab w:val="left" w:pos="157"/>
              </w:tabs>
              <w:spacing w:line="158" w:lineRule="exact"/>
              <w:ind w:hanging="99"/>
              <w:rPr>
                <w:sz w:val="14"/>
              </w:rPr>
            </w:pPr>
            <w:r>
              <w:rPr>
                <w:color w:val="231F20"/>
                <w:sz w:val="14"/>
              </w:rPr>
              <w:t>анализира сукоб из</w:t>
            </w:r>
            <w:r>
              <w:rPr>
                <w:color w:val="231F20"/>
                <w:spacing w:val="-5"/>
                <w:sz w:val="14"/>
              </w:rPr>
              <w:t xml:space="preserve"> </w:t>
            </w:r>
            <w:r>
              <w:rPr>
                <w:color w:val="231F20"/>
                <w:sz w:val="14"/>
              </w:rPr>
              <w:t>различитих</w:t>
            </w:r>
          </w:p>
          <w:p w:rsidR="00041039" w:rsidRDefault="001B26CB">
            <w:pPr>
              <w:pStyle w:val="TableParagraph"/>
              <w:rPr>
                <w:sz w:val="14"/>
              </w:rPr>
            </w:pPr>
            <w:r>
              <w:rPr>
                <w:color w:val="231F20"/>
                <w:sz w:val="14"/>
              </w:rPr>
              <w:t>улога, (препознаје потребе и страхове актер</w:t>
            </w:r>
            <w:r>
              <w:rPr>
                <w:color w:val="231F20"/>
                <w:sz w:val="14"/>
              </w:rPr>
              <w:t>а сукоба) и налази конструктивна решења прихватљива за обе стране у сукобу;</w:t>
            </w:r>
          </w:p>
          <w:p w:rsidR="00041039" w:rsidRDefault="001B26CB">
            <w:pPr>
              <w:pStyle w:val="TableParagraph"/>
              <w:numPr>
                <w:ilvl w:val="0"/>
                <w:numId w:val="1127"/>
              </w:numPr>
              <w:tabs>
                <w:tab w:val="left" w:pos="157"/>
              </w:tabs>
              <w:spacing w:line="157" w:lineRule="exact"/>
              <w:ind w:hanging="99"/>
              <w:rPr>
                <w:sz w:val="14"/>
              </w:rPr>
            </w:pPr>
            <w:r>
              <w:rPr>
                <w:color w:val="231F20"/>
                <w:sz w:val="14"/>
              </w:rPr>
              <w:t>образложи предности</w:t>
            </w:r>
            <w:r>
              <w:rPr>
                <w:color w:val="231F20"/>
                <w:spacing w:val="-8"/>
                <w:sz w:val="14"/>
              </w:rPr>
              <w:t xml:space="preserve"> </w:t>
            </w:r>
            <w:r>
              <w:rPr>
                <w:color w:val="231F20"/>
                <w:sz w:val="14"/>
              </w:rPr>
              <w:t>конструктивног</w:t>
            </w:r>
          </w:p>
          <w:p w:rsidR="00041039" w:rsidRDefault="001B26CB">
            <w:pPr>
              <w:pStyle w:val="TableParagraph"/>
              <w:spacing w:line="155" w:lineRule="exact"/>
              <w:rPr>
                <w:sz w:val="14"/>
              </w:rPr>
            </w:pPr>
            <w:r>
              <w:rPr>
                <w:color w:val="231F20"/>
                <w:sz w:val="14"/>
              </w:rPr>
              <w:t>начина решавања сукоба;</w:t>
            </w:r>
          </w:p>
          <w:p w:rsidR="00041039" w:rsidRDefault="001B26CB">
            <w:pPr>
              <w:pStyle w:val="TableParagraph"/>
              <w:numPr>
                <w:ilvl w:val="0"/>
                <w:numId w:val="1127"/>
              </w:numPr>
              <w:tabs>
                <w:tab w:val="left" w:pos="157"/>
              </w:tabs>
              <w:spacing w:line="160" w:lineRule="exact"/>
              <w:ind w:hanging="99"/>
              <w:rPr>
                <w:sz w:val="14"/>
              </w:rPr>
            </w:pPr>
            <w:r>
              <w:rPr>
                <w:color w:val="231F20"/>
                <w:sz w:val="14"/>
              </w:rPr>
              <w:t>објасни значај посредовања у</w:t>
            </w:r>
            <w:r>
              <w:rPr>
                <w:color w:val="231F20"/>
                <w:spacing w:val="-4"/>
                <w:sz w:val="14"/>
              </w:rPr>
              <w:t xml:space="preserve"> </w:t>
            </w:r>
            <w:r>
              <w:rPr>
                <w:color w:val="231F20"/>
                <w:spacing w:val="-3"/>
                <w:sz w:val="14"/>
              </w:rPr>
              <w:t>сукобу;</w:t>
            </w:r>
          </w:p>
          <w:p w:rsidR="00041039" w:rsidRDefault="001B26CB">
            <w:pPr>
              <w:pStyle w:val="TableParagraph"/>
              <w:numPr>
                <w:ilvl w:val="0"/>
                <w:numId w:val="1127"/>
              </w:numPr>
              <w:tabs>
                <w:tab w:val="left" w:pos="157"/>
              </w:tabs>
              <w:spacing w:line="160" w:lineRule="exact"/>
              <w:ind w:hanging="99"/>
              <w:rPr>
                <w:sz w:val="14"/>
              </w:rPr>
            </w:pPr>
            <w:r>
              <w:rPr>
                <w:color w:val="231F20"/>
                <w:sz w:val="14"/>
              </w:rPr>
              <w:t>препозна и објасни врсте</w:t>
            </w:r>
            <w:r>
              <w:rPr>
                <w:color w:val="231F20"/>
                <w:spacing w:val="-8"/>
                <w:sz w:val="14"/>
              </w:rPr>
              <w:t xml:space="preserve"> </w:t>
            </w:r>
            <w:r>
              <w:rPr>
                <w:color w:val="231F20"/>
                <w:sz w:val="14"/>
              </w:rPr>
              <w:t>насиља;</w:t>
            </w:r>
          </w:p>
          <w:p w:rsidR="00041039" w:rsidRDefault="001B26CB">
            <w:pPr>
              <w:pStyle w:val="TableParagraph"/>
              <w:numPr>
                <w:ilvl w:val="0"/>
                <w:numId w:val="1127"/>
              </w:numPr>
              <w:tabs>
                <w:tab w:val="left" w:pos="157"/>
              </w:tabs>
              <w:spacing w:line="237" w:lineRule="auto"/>
              <w:ind w:right="88" w:hanging="99"/>
              <w:rPr>
                <w:sz w:val="14"/>
              </w:rPr>
            </w:pPr>
            <w:r>
              <w:rPr>
                <w:color w:val="231F20"/>
                <w:sz w:val="14"/>
              </w:rPr>
              <w:t>идентификује и анализира узроке насиља у својој средини, међу</w:t>
            </w:r>
            <w:r>
              <w:rPr>
                <w:color w:val="231F20"/>
                <w:spacing w:val="-14"/>
                <w:sz w:val="14"/>
              </w:rPr>
              <w:t xml:space="preserve"> </w:t>
            </w:r>
            <w:r>
              <w:rPr>
                <w:color w:val="231F20"/>
                <w:sz w:val="14"/>
              </w:rPr>
              <w:t xml:space="preserve">вршња­ цима у </w:t>
            </w:r>
            <w:r>
              <w:rPr>
                <w:color w:val="231F20"/>
                <w:spacing w:val="-3"/>
                <w:sz w:val="14"/>
              </w:rPr>
              <w:t>школи;</w:t>
            </w:r>
          </w:p>
          <w:p w:rsidR="00041039" w:rsidRDefault="001B26CB">
            <w:pPr>
              <w:pStyle w:val="TableParagraph"/>
              <w:numPr>
                <w:ilvl w:val="0"/>
                <w:numId w:val="1127"/>
              </w:numPr>
              <w:tabs>
                <w:tab w:val="left" w:pos="157"/>
              </w:tabs>
              <w:spacing w:line="237" w:lineRule="auto"/>
              <w:ind w:right="286" w:hanging="99"/>
              <w:rPr>
                <w:sz w:val="14"/>
              </w:rPr>
            </w:pPr>
            <w:r>
              <w:rPr>
                <w:color w:val="231F20"/>
                <w:sz w:val="14"/>
              </w:rPr>
              <w:t>идентификује и анализира могуће начине реаговања појединца у ситуацијама</w:t>
            </w:r>
            <w:r>
              <w:rPr>
                <w:color w:val="231F20"/>
                <w:spacing w:val="-9"/>
                <w:sz w:val="14"/>
              </w:rPr>
              <w:t xml:space="preserve"> </w:t>
            </w:r>
            <w:r>
              <w:rPr>
                <w:color w:val="231F20"/>
                <w:sz w:val="14"/>
              </w:rPr>
              <w:t>вршњачког</w:t>
            </w:r>
            <w:r>
              <w:rPr>
                <w:color w:val="231F20"/>
                <w:spacing w:val="-9"/>
                <w:sz w:val="14"/>
              </w:rPr>
              <w:t xml:space="preserve"> </w:t>
            </w:r>
            <w:r>
              <w:rPr>
                <w:color w:val="231F20"/>
                <w:sz w:val="14"/>
              </w:rPr>
              <w:t>насиља,</w:t>
            </w:r>
            <w:r>
              <w:rPr>
                <w:color w:val="231F20"/>
                <w:spacing w:val="-10"/>
                <w:sz w:val="14"/>
              </w:rPr>
              <w:t xml:space="preserve"> </w:t>
            </w:r>
            <w:r>
              <w:rPr>
                <w:color w:val="231F20"/>
                <w:sz w:val="14"/>
              </w:rPr>
              <w:t>из позиције жртве и</w:t>
            </w:r>
            <w:r>
              <w:rPr>
                <w:color w:val="231F20"/>
                <w:spacing w:val="-7"/>
                <w:sz w:val="14"/>
              </w:rPr>
              <w:t xml:space="preserve"> </w:t>
            </w:r>
            <w:r>
              <w:rPr>
                <w:color w:val="231F20"/>
                <w:sz w:val="14"/>
              </w:rPr>
              <w:t>посматрача;</w:t>
            </w:r>
          </w:p>
          <w:p w:rsidR="00041039" w:rsidRDefault="001B26CB">
            <w:pPr>
              <w:pStyle w:val="TableParagraph"/>
              <w:numPr>
                <w:ilvl w:val="0"/>
                <w:numId w:val="1127"/>
              </w:numPr>
              <w:tabs>
                <w:tab w:val="left" w:pos="157"/>
              </w:tabs>
              <w:spacing w:line="237" w:lineRule="auto"/>
              <w:ind w:right="270" w:hanging="99"/>
              <w:rPr>
                <w:sz w:val="14"/>
              </w:rPr>
            </w:pPr>
            <w:r>
              <w:rPr>
                <w:color w:val="231F20"/>
                <w:sz w:val="14"/>
              </w:rPr>
              <w:t>прихвати одговорност за</w:t>
            </w:r>
            <w:r>
              <w:rPr>
                <w:color w:val="231F20"/>
                <w:spacing w:val="-19"/>
                <w:sz w:val="14"/>
              </w:rPr>
              <w:t xml:space="preserve"> </w:t>
            </w:r>
            <w:r>
              <w:rPr>
                <w:color w:val="231F20"/>
                <w:sz w:val="14"/>
              </w:rPr>
              <w:t>сопствено понашање;</w:t>
            </w:r>
          </w:p>
        </w:tc>
        <w:tc>
          <w:tcPr>
            <w:tcW w:w="2834" w:type="dxa"/>
          </w:tcPr>
          <w:p w:rsidR="00041039" w:rsidRDefault="001B26CB">
            <w:pPr>
              <w:pStyle w:val="TableParagraph"/>
              <w:numPr>
                <w:ilvl w:val="0"/>
                <w:numId w:val="1126"/>
              </w:numPr>
              <w:tabs>
                <w:tab w:val="left" w:pos="158"/>
              </w:tabs>
              <w:spacing w:before="11" w:line="166" w:lineRule="exact"/>
              <w:rPr>
                <w:sz w:val="14"/>
              </w:rPr>
            </w:pPr>
            <w:r>
              <w:rPr>
                <w:color w:val="231F20"/>
                <w:sz w:val="14"/>
              </w:rPr>
              <w:t>Сарадња.</w:t>
            </w:r>
          </w:p>
          <w:p w:rsidR="00041039" w:rsidRDefault="001B26CB">
            <w:pPr>
              <w:pStyle w:val="TableParagraph"/>
              <w:numPr>
                <w:ilvl w:val="0"/>
                <w:numId w:val="1126"/>
              </w:numPr>
              <w:tabs>
                <w:tab w:val="left" w:pos="158"/>
              </w:tabs>
              <w:spacing w:line="160" w:lineRule="exact"/>
              <w:rPr>
                <w:sz w:val="14"/>
              </w:rPr>
            </w:pPr>
            <w:r>
              <w:rPr>
                <w:color w:val="231F20"/>
                <w:sz w:val="14"/>
              </w:rPr>
              <w:t>Групни</w:t>
            </w:r>
            <w:r>
              <w:rPr>
                <w:color w:val="231F20"/>
                <w:spacing w:val="-1"/>
                <w:sz w:val="14"/>
              </w:rPr>
              <w:t xml:space="preserve"> </w:t>
            </w:r>
            <w:r>
              <w:rPr>
                <w:color w:val="231F20"/>
                <w:sz w:val="14"/>
              </w:rPr>
              <w:t>рад.</w:t>
            </w:r>
          </w:p>
          <w:p w:rsidR="00041039" w:rsidRDefault="001B26CB">
            <w:pPr>
              <w:pStyle w:val="TableParagraph"/>
              <w:numPr>
                <w:ilvl w:val="0"/>
                <w:numId w:val="1126"/>
              </w:numPr>
              <w:tabs>
                <w:tab w:val="left" w:pos="158"/>
              </w:tabs>
              <w:spacing w:line="160" w:lineRule="exact"/>
              <w:rPr>
                <w:sz w:val="14"/>
              </w:rPr>
            </w:pPr>
            <w:r>
              <w:rPr>
                <w:color w:val="231F20"/>
                <w:sz w:val="14"/>
              </w:rPr>
              <w:t>Групно</w:t>
            </w:r>
            <w:r>
              <w:rPr>
                <w:color w:val="231F20"/>
                <w:spacing w:val="-1"/>
                <w:sz w:val="14"/>
              </w:rPr>
              <w:t xml:space="preserve"> </w:t>
            </w:r>
            <w:r>
              <w:rPr>
                <w:color w:val="231F20"/>
                <w:sz w:val="14"/>
              </w:rPr>
              <w:t>одлучивање.</w:t>
            </w:r>
          </w:p>
          <w:p w:rsidR="00041039" w:rsidRDefault="001B26CB">
            <w:pPr>
              <w:pStyle w:val="TableParagraph"/>
              <w:numPr>
                <w:ilvl w:val="0"/>
                <w:numId w:val="1126"/>
              </w:numPr>
              <w:tabs>
                <w:tab w:val="left" w:pos="158"/>
              </w:tabs>
              <w:spacing w:line="237" w:lineRule="auto"/>
              <w:ind w:right="314"/>
              <w:rPr>
                <w:sz w:val="14"/>
              </w:rPr>
            </w:pPr>
            <w:r>
              <w:rPr>
                <w:color w:val="231F20"/>
                <w:sz w:val="14"/>
              </w:rPr>
              <w:t>Учешће младих: „Лествица партиципа­ ције”.</w:t>
            </w:r>
          </w:p>
          <w:p w:rsidR="00041039" w:rsidRDefault="001B26CB">
            <w:pPr>
              <w:pStyle w:val="TableParagraph"/>
              <w:numPr>
                <w:ilvl w:val="0"/>
                <w:numId w:val="1126"/>
              </w:numPr>
              <w:tabs>
                <w:tab w:val="left" w:pos="158"/>
              </w:tabs>
              <w:spacing w:line="155" w:lineRule="exact"/>
              <w:rPr>
                <w:sz w:val="14"/>
              </w:rPr>
            </w:pPr>
            <w:r>
              <w:rPr>
                <w:color w:val="231F20"/>
                <w:sz w:val="14"/>
              </w:rPr>
              <w:t>Радити</w:t>
            </w:r>
            <w:r>
              <w:rPr>
                <w:color w:val="231F20"/>
                <w:spacing w:val="-11"/>
                <w:sz w:val="14"/>
              </w:rPr>
              <w:t xml:space="preserve"> </w:t>
            </w:r>
            <w:r>
              <w:rPr>
                <w:color w:val="231F20"/>
                <w:sz w:val="14"/>
              </w:rPr>
              <w:t>заједно.</w:t>
            </w:r>
          </w:p>
          <w:p w:rsidR="00041039" w:rsidRDefault="001B26CB">
            <w:pPr>
              <w:pStyle w:val="TableParagraph"/>
              <w:numPr>
                <w:ilvl w:val="0"/>
                <w:numId w:val="1126"/>
              </w:numPr>
              <w:tabs>
                <w:tab w:val="left" w:pos="158"/>
              </w:tabs>
              <w:spacing w:line="160" w:lineRule="exact"/>
              <w:rPr>
                <w:sz w:val="14"/>
              </w:rPr>
            </w:pPr>
            <w:r>
              <w:rPr>
                <w:color w:val="231F20"/>
                <w:sz w:val="14"/>
              </w:rPr>
              <w:t xml:space="preserve">Динамика и </w:t>
            </w:r>
            <w:r>
              <w:rPr>
                <w:color w:val="231F20"/>
                <w:spacing w:val="-3"/>
                <w:sz w:val="14"/>
              </w:rPr>
              <w:t xml:space="preserve">исходи </w:t>
            </w:r>
            <w:r>
              <w:rPr>
                <w:color w:val="231F20"/>
                <w:sz w:val="14"/>
              </w:rPr>
              <w:t>сукоба</w:t>
            </w:r>
          </w:p>
          <w:p w:rsidR="00041039" w:rsidRDefault="001B26CB">
            <w:pPr>
              <w:pStyle w:val="TableParagraph"/>
              <w:numPr>
                <w:ilvl w:val="0"/>
                <w:numId w:val="1126"/>
              </w:numPr>
              <w:tabs>
                <w:tab w:val="left" w:pos="158"/>
              </w:tabs>
              <w:spacing w:line="160" w:lineRule="exact"/>
              <w:rPr>
                <w:sz w:val="14"/>
              </w:rPr>
            </w:pPr>
            <w:r>
              <w:rPr>
                <w:color w:val="231F20"/>
                <w:sz w:val="14"/>
              </w:rPr>
              <w:t>Стилови поступања у</w:t>
            </w:r>
            <w:r>
              <w:rPr>
                <w:color w:val="231F20"/>
                <w:spacing w:val="-4"/>
                <w:sz w:val="14"/>
              </w:rPr>
              <w:t xml:space="preserve"> </w:t>
            </w:r>
            <w:r>
              <w:rPr>
                <w:color w:val="231F20"/>
                <w:sz w:val="14"/>
              </w:rPr>
              <w:t>конфликтима.</w:t>
            </w:r>
          </w:p>
          <w:p w:rsidR="00041039" w:rsidRDefault="001B26CB">
            <w:pPr>
              <w:pStyle w:val="TableParagraph"/>
              <w:numPr>
                <w:ilvl w:val="0"/>
                <w:numId w:val="1126"/>
              </w:numPr>
              <w:tabs>
                <w:tab w:val="left" w:pos="158"/>
              </w:tabs>
              <w:spacing w:line="237" w:lineRule="auto"/>
              <w:ind w:right="422"/>
              <w:rPr>
                <w:sz w:val="14"/>
              </w:rPr>
            </w:pPr>
            <w:r>
              <w:rPr>
                <w:color w:val="231F20"/>
                <w:sz w:val="14"/>
              </w:rPr>
              <w:t>Сагледавање проблема из</w:t>
            </w:r>
            <w:r>
              <w:rPr>
                <w:color w:val="231F20"/>
                <w:spacing w:val="-23"/>
                <w:sz w:val="14"/>
              </w:rPr>
              <w:t xml:space="preserve"> </w:t>
            </w:r>
            <w:r>
              <w:rPr>
                <w:color w:val="231F20"/>
                <w:sz w:val="14"/>
              </w:rPr>
              <w:t>различитих углова.</w:t>
            </w:r>
          </w:p>
          <w:p w:rsidR="00041039" w:rsidRDefault="001B26CB">
            <w:pPr>
              <w:pStyle w:val="TableParagraph"/>
              <w:numPr>
                <w:ilvl w:val="0"/>
                <w:numId w:val="1126"/>
              </w:numPr>
              <w:tabs>
                <w:tab w:val="left" w:pos="158"/>
              </w:tabs>
              <w:spacing w:line="155" w:lineRule="exact"/>
              <w:rPr>
                <w:sz w:val="14"/>
              </w:rPr>
            </w:pPr>
            <w:r>
              <w:rPr>
                <w:color w:val="231F20"/>
                <w:sz w:val="14"/>
              </w:rPr>
              <w:t>Налажење</w:t>
            </w:r>
            <w:r>
              <w:rPr>
                <w:color w:val="231F20"/>
                <w:spacing w:val="-1"/>
                <w:sz w:val="14"/>
              </w:rPr>
              <w:t xml:space="preserve"> </w:t>
            </w:r>
            <w:r>
              <w:rPr>
                <w:color w:val="231F20"/>
                <w:sz w:val="14"/>
              </w:rPr>
              <w:t>решења.</w:t>
            </w:r>
          </w:p>
          <w:p w:rsidR="00041039" w:rsidRDefault="001B26CB">
            <w:pPr>
              <w:pStyle w:val="TableParagraph"/>
              <w:numPr>
                <w:ilvl w:val="0"/>
                <w:numId w:val="1126"/>
              </w:numPr>
              <w:tabs>
                <w:tab w:val="left" w:pos="158"/>
              </w:tabs>
              <w:spacing w:line="160" w:lineRule="exact"/>
              <w:rPr>
                <w:sz w:val="14"/>
              </w:rPr>
            </w:pPr>
            <w:r>
              <w:rPr>
                <w:color w:val="231F20"/>
                <w:sz w:val="14"/>
              </w:rPr>
              <w:t>Постизање</w:t>
            </w:r>
            <w:r>
              <w:rPr>
                <w:color w:val="231F20"/>
                <w:spacing w:val="-1"/>
                <w:sz w:val="14"/>
              </w:rPr>
              <w:t xml:space="preserve"> </w:t>
            </w:r>
            <w:r>
              <w:rPr>
                <w:color w:val="231F20"/>
                <w:sz w:val="14"/>
              </w:rPr>
              <w:t>договора.</w:t>
            </w:r>
          </w:p>
          <w:p w:rsidR="00041039" w:rsidRDefault="001B26CB">
            <w:pPr>
              <w:pStyle w:val="TableParagraph"/>
              <w:numPr>
                <w:ilvl w:val="0"/>
                <w:numId w:val="1126"/>
              </w:numPr>
              <w:tabs>
                <w:tab w:val="left" w:pos="158"/>
              </w:tabs>
              <w:spacing w:line="160" w:lineRule="exact"/>
              <w:rPr>
                <w:sz w:val="14"/>
              </w:rPr>
            </w:pPr>
            <w:r>
              <w:rPr>
                <w:color w:val="231F20"/>
                <w:sz w:val="14"/>
              </w:rPr>
              <w:t>Извини.</w:t>
            </w:r>
          </w:p>
          <w:p w:rsidR="00041039" w:rsidRDefault="001B26CB">
            <w:pPr>
              <w:pStyle w:val="TableParagraph"/>
              <w:numPr>
                <w:ilvl w:val="0"/>
                <w:numId w:val="1126"/>
              </w:numPr>
              <w:tabs>
                <w:tab w:val="left" w:pos="158"/>
              </w:tabs>
              <w:spacing w:line="160" w:lineRule="exact"/>
              <w:rPr>
                <w:sz w:val="14"/>
              </w:rPr>
            </w:pPr>
            <w:r>
              <w:rPr>
                <w:color w:val="231F20"/>
                <w:sz w:val="14"/>
              </w:rPr>
              <w:t>Посредовање.</w:t>
            </w:r>
          </w:p>
          <w:p w:rsidR="00041039" w:rsidRDefault="001B26CB">
            <w:pPr>
              <w:pStyle w:val="TableParagraph"/>
              <w:numPr>
                <w:ilvl w:val="0"/>
                <w:numId w:val="1126"/>
              </w:numPr>
              <w:tabs>
                <w:tab w:val="left" w:pos="158"/>
              </w:tabs>
              <w:spacing w:line="160" w:lineRule="exact"/>
              <w:rPr>
                <w:sz w:val="14"/>
              </w:rPr>
            </w:pPr>
            <w:r>
              <w:rPr>
                <w:color w:val="231F20"/>
                <w:sz w:val="14"/>
              </w:rPr>
              <w:t>Насиље у</w:t>
            </w:r>
            <w:r>
              <w:rPr>
                <w:color w:val="231F20"/>
                <w:spacing w:val="-20"/>
                <w:sz w:val="14"/>
              </w:rPr>
              <w:t xml:space="preserve"> </w:t>
            </w:r>
            <w:r>
              <w:rPr>
                <w:color w:val="231F20"/>
                <w:sz w:val="14"/>
              </w:rPr>
              <w:t>околини.</w:t>
            </w:r>
          </w:p>
          <w:p w:rsidR="00041039" w:rsidRDefault="001B26CB">
            <w:pPr>
              <w:pStyle w:val="TableParagraph"/>
              <w:numPr>
                <w:ilvl w:val="0"/>
                <w:numId w:val="1126"/>
              </w:numPr>
              <w:tabs>
                <w:tab w:val="left" w:pos="158"/>
              </w:tabs>
              <w:spacing w:line="160" w:lineRule="exact"/>
              <w:rPr>
                <w:sz w:val="14"/>
              </w:rPr>
            </w:pPr>
            <w:r>
              <w:rPr>
                <w:color w:val="231F20"/>
                <w:sz w:val="14"/>
              </w:rPr>
              <w:t>Вршњачко</w:t>
            </w:r>
            <w:r>
              <w:rPr>
                <w:color w:val="231F20"/>
                <w:spacing w:val="-21"/>
                <w:sz w:val="14"/>
              </w:rPr>
              <w:t xml:space="preserve"> </w:t>
            </w:r>
            <w:r>
              <w:rPr>
                <w:color w:val="231F20"/>
                <w:sz w:val="14"/>
              </w:rPr>
              <w:t>насиље.</w:t>
            </w:r>
          </w:p>
          <w:p w:rsidR="00041039" w:rsidRDefault="001B26CB">
            <w:pPr>
              <w:pStyle w:val="TableParagraph"/>
              <w:numPr>
                <w:ilvl w:val="0"/>
                <w:numId w:val="1126"/>
              </w:numPr>
              <w:tabs>
                <w:tab w:val="left" w:pos="158"/>
              </w:tabs>
              <w:spacing w:line="160" w:lineRule="exact"/>
              <w:rPr>
                <w:sz w:val="14"/>
              </w:rPr>
            </w:pPr>
            <w:r>
              <w:rPr>
                <w:color w:val="231F20"/>
                <w:sz w:val="14"/>
              </w:rPr>
              <w:t>Насиље у</w:t>
            </w:r>
            <w:r>
              <w:rPr>
                <w:color w:val="231F20"/>
                <w:spacing w:val="-1"/>
                <w:sz w:val="14"/>
              </w:rPr>
              <w:t xml:space="preserve"> </w:t>
            </w:r>
            <w:r>
              <w:rPr>
                <w:color w:val="231F20"/>
                <w:spacing w:val="-3"/>
                <w:sz w:val="14"/>
              </w:rPr>
              <w:t>школи.</w:t>
            </w:r>
          </w:p>
          <w:p w:rsidR="00041039" w:rsidRDefault="001B26CB">
            <w:pPr>
              <w:pStyle w:val="TableParagraph"/>
              <w:numPr>
                <w:ilvl w:val="0"/>
                <w:numId w:val="1126"/>
              </w:numPr>
              <w:tabs>
                <w:tab w:val="left" w:pos="158"/>
              </w:tabs>
              <w:spacing w:line="166" w:lineRule="exact"/>
              <w:rPr>
                <w:sz w:val="14"/>
              </w:rPr>
            </w:pPr>
            <w:r>
              <w:rPr>
                <w:color w:val="231F20"/>
                <w:sz w:val="14"/>
              </w:rPr>
              <w:t>Постизање</w:t>
            </w:r>
            <w:r>
              <w:rPr>
                <w:color w:val="231F20"/>
                <w:sz w:val="14"/>
              </w:rPr>
              <w:t xml:space="preserve"> </w:t>
            </w:r>
            <w:r>
              <w:rPr>
                <w:color w:val="231F20"/>
                <w:sz w:val="14"/>
              </w:rPr>
              <w:t>мира.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60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1125"/>
              </w:numPr>
              <w:tabs>
                <w:tab w:val="left" w:pos="158"/>
              </w:tabs>
              <w:spacing w:before="8"/>
              <w:ind w:right="5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p w:rsidR="00041039" w:rsidRDefault="00041039">
            <w:pPr>
              <w:pStyle w:val="TableParagraph"/>
              <w:spacing w:before="5"/>
              <w:ind w:left="0"/>
              <w:rPr>
                <w:b/>
                <w:sz w:val="13"/>
              </w:rPr>
            </w:pPr>
          </w:p>
          <w:p w:rsidR="00041039" w:rsidRDefault="001B26CB">
            <w:pPr>
              <w:pStyle w:val="TableParagraph"/>
              <w:spacing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1125"/>
              </w:numPr>
              <w:tabs>
                <w:tab w:val="left" w:pos="158"/>
              </w:tabs>
              <w:spacing w:line="160" w:lineRule="exact"/>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before="1"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125"/>
              </w:numPr>
              <w:tabs>
                <w:tab w:val="left" w:pos="158"/>
              </w:tabs>
              <w:spacing w:line="160" w:lineRule="exact"/>
              <w:rPr>
                <w:b/>
                <w:sz w:val="14"/>
              </w:rPr>
            </w:pPr>
            <w:r>
              <w:rPr>
                <w:color w:val="231F20"/>
                <w:sz w:val="14"/>
              </w:rPr>
              <w:t xml:space="preserve">Ја, ми и други </w:t>
            </w:r>
            <w:r>
              <w:rPr>
                <w:b/>
                <w:color w:val="231F20"/>
                <w:sz w:val="14"/>
              </w:rPr>
              <w:t>(8</w:t>
            </w:r>
            <w:r>
              <w:rPr>
                <w:b/>
                <w:color w:val="231F20"/>
                <w:spacing w:val="-6"/>
                <w:sz w:val="14"/>
              </w:rPr>
              <w:t xml:space="preserve"> </w:t>
            </w:r>
            <w:r>
              <w:rPr>
                <w:b/>
                <w:color w:val="231F20"/>
                <w:sz w:val="14"/>
              </w:rPr>
              <w:t>часова)</w:t>
            </w:r>
          </w:p>
          <w:p w:rsidR="00041039" w:rsidRDefault="001B26CB">
            <w:pPr>
              <w:pStyle w:val="TableParagraph"/>
              <w:numPr>
                <w:ilvl w:val="0"/>
                <w:numId w:val="1125"/>
              </w:numPr>
              <w:tabs>
                <w:tab w:val="left" w:pos="158"/>
              </w:tabs>
              <w:spacing w:line="160" w:lineRule="exact"/>
              <w:rPr>
                <w:b/>
                <w:sz w:val="14"/>
              </w:rPr>
            </w:pPr>
            <w:r>
              <w:rPr>
                <w:color w:val="231F20"/>
                <w:sz w:val="14"/>
              </w:rPr>
              <w:t xml:space="preserve">Комуникација у групи </w:t>
            </w:r>
            <w:r>
              <w:rPr>
                <w:b/>
                <w:color w:val="231F20"/>
                <w:sz w:val="14"/>
              </w:rPr>
              <w:t>(8</w:t>
            </w:r>
            <w:r>
              <w:rPr>
                <w:b/>
                <w:color w:val="231F20"/>
                <w:spacing w:val="-14"/>
                <w:sz w:val="14"/>
              </w:rPr>
              <w:t xml:space="preserve"> </w:t>
            </w:r>
            <w:r>
              <w:rPr>
                <w:b/>
                <w:color w:val="231F20"/>
                <w:sz w:val="14"/>
              </w:rPr>
              <w:t>часова)</w:t>
            </w:r>
          </w:p>
          <w:p w:rsidR="00041039" w:rsidRDefault="001B26CB">
            <w:pPr>
              <w:pStyle w:val="TableParagraph"/>
              <w:numPr>
                <w:ilvl w:val="0"/>
                <w:numId w:val="1125"/>
              </w:numPr>
              <w:tabs>
                <w:tab w:val="left" w:pos="158"/>
              </w:tabs>
              <w:spacing w:line="237" w:lineRule="auto"/>
              <w:ind w:right="307"/>
              <w:rPr>
                <w:b/>
                <w:sz w:val="14"/>
              </w:rPr>
            </w:pPr>
            <w:r>
              <w:rPr>
                <w:color w:val="231F20"/>
                <w:sz w:val="14"/>
              </w:rPr>
              <w:t>Односи у групи/заједници</w:t>
            </w:r>
            <w:r>
              <w:rPr>
                <w:color w:val="231F20"/>
                <w:spacing w:val="-4"/>
                <w:sz w:val="14"/>
              </w:rPr>
              <w:t xml:space="preserve"> </w:t>
            </w:r>
            <w:r>
              <w:rPr>
                <w:b/>
                <w:color w:val="231F20"/>
                <w:sz w:val="14"/>
              </w:rPr>
              <w:t>(19 часова)</w:t>
            </w:r>
          </w:p>
        </w:tc>
      </w:tr>
    </w:tbl>
    <w:p w:rsidR="00041039" w:rsidRDefault="00041039">
      <w:pPr>
        <w:pStyle w:val="BodyText"/>
        <w:spacing w:before="6"/>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4520"/>
        </w:trPr>
        <w:tc>
          <w:tcPr>
            <w:tcW w:w="1304" w:type="dxa"/>
          </w:tcPr>
          <w:p w:rsidR="00041039" w:rsidRDefault="001B26CB">
            <w:pPr>
              <w:pStyle w:val="TableParagraph"/>
              <w:spacing w:before="18"/>
              <w:ind w:left="56" w:right="37"/>
              <w:rPr>
                <w:sz w:val="14"/>
              </w:rPr>
            </w:pPr>
            <w:r>
              <w:rPr>
                <w:color w:val="231F20"/>
                <w:sz w:val="14"/>
              </w:rPr>
              <w:t>Права и одговор­ ности</w:t>
            </w:r>
          </w:p>
        </w:tc>
        <w:tc>
          <w:tcPr>
            <w:tcW w:w="1587" w:type="dxa"/>
          </w:tcPr>
          <w:p w:rsidR="00041039" w:rsidRDefault="001B26CB">
            <w:pPr>
              <w:pStyle w:val="TableParagraph"/>
              <w:numPr>
                <w:ilvl w:val="0"/>
                <w:numId w:val="1124"/>
              </w:numPr>
              <w:tabs>
                <w:tab w:val="left" w:pos="157"/>
              </w:tabs>
              <w:spacing w:before="8"/>
              <w:ind w:right="189"/>
              <w:rPr>
                <w:sz w:val="14"/>
              </w:rPr>
            </w:pPr>
            <w:r>
              <w:rPr>
                <w:color w:val="231F20"/>
                <w:sz w:val="14"/>
              </w:rPr>
              <w:t>Упознавање</w:t>
            </w:r>
            <w:r>
              <w:rPr>
                <w:color w:val="231F20"/>
                <w:spacing w:val="-19"/>
                <w:sz w:val="14"/>
              </w:rPr>
              <w:t xml:space="preserve"> </w:t>
            </w:r>
            <w:r>
              <w:rPr>
                <w:color w:val="231F20"/>
                <w:sz w:val="14"/>
              </w:rPr>
              <w:t>ученика са врстама права и природом (универ­ залност,</w:t>
            </w:r>
            <w:r>
              <w:rPr>
                <w:color w:val="231F20"/>
                <w:spacing w:val="-16"/>
                <w:sz w:val="14"/>
              </w:rPr>
              <w:t xml:space="preserve"> </w:t>
            </w:r>
            <w:r>
              <w:rPr>
                <w:color w:val="231F20"/>
                <w:sz w:val="14"/>
              </w:rPr>
              <w:t>целовитост, недељивост).</w:t>
            </w:r>
          </w:p>
          <w:p w:rsidR="00041039" w:rsidRDefault="001B26CB">
            <w:pPr>
              <w:pStyle w:val="TableParagraph"/>
              <w:numPr>
                <w:ilvl w:val="0"/>
                <w:numId w:val="1124"/>
              </w:numPr>
              <w:tabs>
                <w:tab w:val="left" w:pos="157"/>
              </w:tabs>
              <w:spacing w:line="155" w:lineRule="exact"/>
              <w:rPr>
                <w:sz w:val="14"/>
              </w:rPr>
            </w:pPr>
            <w:r>
              <w:rPr>
                <w:color w:val="231F20"/>
                <w:sz w:val="14"/>
              </w:rPr>
              <w:t>Упознавање</w:t>
            </w:r>
            <w:r>
              <w:rPr>
                <w:color w:val="231F20"/>
                <w:spacing w:val="-4"/>
                <w:sz w:val="14"/>
              </w:rPr>
              <w:t xml:space="preserve"> </w:t>
            </w:r>
            <w:r>
              <w:rPr>
                <w:color w:val="231F20"/>
                <w:sz w:val="14"/>
              </w:rPr>
              <w:t>ученика</w:t>
            </w:r>
          </w:p>
          <w:p w:rsidR="00041039" w:rsidRDefault="001B26CB">
            <w:pPr>
              <w:pStyle w:val="TableParagraph"/>
              <w:ind w:right="15"/>
              <w:rPr>
                <w:sz w:val="14"/>
              </w:rPr>
            </w:pPr>
            <w:r>
              <w:rPr>
                <w:color w:val="231F20"/>
                <w:sz w:val="14"/>
              </w:rPr>
              <w:t>са начинима и механи­ змима заштите права.</w:t>
            </w:r>
          </w:p>
          <w:p w:rsidR="00041039" w:rsidRDefault="001B26CB">
            <w:pPr>
              <w:pStyle w:val="TableParagraph"/>
              <w:numPr>
                <w:ilvl w:val="0"/>
                <w:numId w:val="1124"/>
              </w:numPr>
              <w:tabs>
                <w:tab w:val="left" w:pos="157"/>
              </w:tabs>
              <w:spacing w:line="160" w:lineRule="exact"/>
              <w:ind w:right="151"/>
              <w:rPr>
                <w:sz w:val="14"/>
              </w:rPr>
            </w:pPr>
            <w:r>
              <w:rPr>
                <w:color w:val="231F20"/>
                <w:sz w:val="14"/>
              </w:rPr>
              <w:t>Сагледавање значаја личног ангажовања</w:t>
            </w:r>
            <w:r>
              <w:rPr>
                <w:color w:val="231F20"/>
                <w:spacing w:val="-11"/>
                <w:sz w:val="14"/>
              </w:rPr>
              <w:t xml:space="preserve"> </w:t>
            </w:r>
            <w:r>
              <w:rPr>
                <w:color w:val="231F20"/>
                <w:sz w:val="14"/>
              </w:rPr>
              <w:t>у заштити сопствених права и права других људи.</w:t>
            </w:r>
          </w:p>
        </w:tc>
        <w:tc>
          <w:tcPr>
            <w:tcW w:w="2551" w:type="dxa"/>
          </w:tcPr>
          <w:p w:rsidR="00041039" w:rsidRDefault="001B26CB">
            <w:pPr>
              <w:pStyle w:val="TableParagraph"/>
              <w:numPr>
                <w:ilvl w:val="0"/>
                <w:numId w:val="1123"/>
              </w:numPr>
              <w:tabs>
                <w:tab w:val="left" w:pos="157"/>
              </w:tabs>
              <w:spacing w:before="8"/>
              <w:ind w:right="299" w:hanging="99"/>
              <w:rPr>
                <w:sz w:val="14"/>
              </w:rPr>
            </w:pPr>
            <w:r>
              <w:rPr>
                <w:color w:val="231F20"/>
                <w:sz w:val="14"/>
              </w:rPr>
              <w:t>објасни значење и смисао</w:t>
            </w:r>
            <w:r>
              <w:rPr>
                <w:color w:val="231F20"/>
                <w:spacing w:val="-17"/>
                <w:sz w:val="14"/>
              </w:rPr>
              <w:t xml:space="preserve"> </w:t>
            </w:r>
            <w:r>
              <w:rPr>
                <w:color w:val="231F20"/>
                <w:sz w:val="14"/>
              </w:rPr>
              <w:t>људских права;</w:t>
            </w:r>
          </w:p>
          <w:p w:rsidR="00041039" w:rsidRDefault="001B26CB">
            <w:pPr>
              <w:pStyle w:val="TableParagraph"/>
              <w:numPr>
                <w:ilvl w:val="0"/>
                <w:numId w:val="1123"/>
              </w:numPr>
              <w:tabs>
                <w:tab w:val="left" w:pos="157"/>
              </w:tabs>
              <w:spacing w:line="160" w:lineRule="exact"/>
              <w:ind w:right="74" w:hanging="99"/>
              <w:rPr>
                <w:sz w:val="14"/>
              </w:rPr>
            </w:pPr>
            <w:r>
              <w:rPr>
                <w:color w:val="231F20"/>
                <w:sz w:val="14"/>
              </w:rPr>
              <w:t>разликује врсте људских права</w:t>
            </w:r>
            <w:r>
              <w:rPr>
                <w:color w:val="231F20"/>
                <w:spacing w:val="-26"/>
                <w:sz w:val="14"/>
              </w:rPr>
              <w:t xml:space="preserve"> </w:t>
            </w:r>
            <w:r>
              <w:rPr>
                <w:color w:val="231F20"/>
                <w:sz w:val="14"/>
              </w:rPr>
              <w:t>(лична, политичка, социјалноекономска, културна, здравствена</w:t>
            </w:r>
            <w:r>
              <w:rPr>
                <w:color w:val="231F20"/>
                <w:spacing w:val="-3"/>
                <w:sz w:val="14"/>
              </w:rPr>
              <w:t xml:space="preserve"> </w:t>
            </w:r>
            <w:r>
              <w:rPr>
                <w:color w:val="231F20"/>
                <w:sz w:val="14"/>
              </w:rPr>
              <w:t>права);</w:t>
            </w:r>
          </w:p>
          <w:p w:rsidR="00041039" w:rsidRDefault="001B26CB">
            <w:pPr>
              <w:pStyle w:val="TableParagraph"/>
              <w:numPr>
                <w:ilvl w:val="0"/>
                <w:numId w:val="1123"/>
              </w:numPr>
              <w:tabs>
                <w:tab w:val="left" w:pos="157"/>
              </w:tabs>
              <w:spacing w:line="160" w:lineRule="exact"/>
              <w:ind w:right="128" w:hanging="99"/>
              <w:rPr>
                <w:sz w:val="14"/>
              </w:rPr>
            </w:pPr>
            <w:r>
              <w:rPr>
                <w:color w:val="231F20"/>
                <w:sz w:val="14"/>
              </w:rPr>
              <w:t>анализира и објашњава однос права</w:t>
            </w:r>
            <w:r>
              <w:rPr>
                <w:color w:val="231F20"/>
                <w:spacing w:val="-14"/>
                <w:sz w:val="14"/>
              </w:rPr>
              <w:t xml:space="preserve"> </w:t>
            </w:r>
            <w:r>
              <w:rPr>
                <w:color w:val="231F20"/>
                <w:sz w:val="14"/>
              </w:rPr>
              <w:t>и одговорности;</w:t>
            </w:r>
          </w:p>
          <w:p w:rsidR="00041039" w:rsidRDefault="001B26CB">
            <w:pPr>
              <w:pStyle w:val="TableParagraph"/>
              <w:numPr>
                <w:ilvl w:val="0"/>
                <w:numId w:val="1123"/>
              </w:numPr>
              <w:tabs>
                <w:tab w:val="left" w:pos="157"/>
              </w:tabs>
              <w:spacing w:before="1" w:line="160" w:lineRule="exact"/>
              <w:ind w:right="79" w:hanging="99"/>
              <w:rPr>
                <w:sz w:val="14"/>
              </w:rPr>
            </w:pPr>
            <w:r>
              <w:rPr>
                <w:color w:val="231F20"/>
                <w:sz w:val="14"/>
              </w:rPr>
              <w:t>објасни целовитост н узајамну повеза­ ност људских</w:t>
            </w:r>
            <w:r>
              <w:rPr>
                <w:color w:val="231F20"/>
                <w:spacing w:val="-1"/>
                <w:sz w:val="14"/>
              </w:rPr>
              <w:t xml:space="preserve"> </w:t>
            </w:r>
            <w:r>
              <w:rPr>
                <w:color w:val="231F20"/>
                <w:sz w:val="14"/>
              </w:rPr>
              <w:t>права;</w:t>
            </w:r>
          </w:p>
          <w:p w:rsidR="00041039" w:rsidRDefault="001B26CB">
            <w:pPr>
              <w:pStyle w:val="TableParagraph"/>
              <w:numPr>
                <w:ilvl w:val="0"/>
                <w:numId w:val="1123"/>
              </w:numPr>
              <w:tabs>
                <w:tab w:val="left" w:pos="157"/>
              </w:tabs>
              <w:spacing w:line="160" w:lineRule="exact"/>
              <w:ind w:right="235" w:hanging="99"/>
              <w:rPr>
                <w:sz w:val="14"/>
              </w:rPr>
            </w:pPr>
            <w:r>
              <w:rPr>
                <w:color w:val="231F20"/>
                <w:sz w:val="14"/>
              </w:rPr>
              <w:t>објасни универзалност и развојност људских</w:t>
            </w:r>
            <w:r>
              <w:rPr>
                <w:color w:val="231F20"/>
                <w:spacing w:val="-1"/>
                <w:sz w:val="14"/>
              </w:rPr>
              <w:t xml:space="preserve"> </w:t>
            </w:r>
            <w:r>
              <w:rPr>
                <w:color w:val="231F20"/>
                <w:sz w:val="14"/>
              </w:rPr>
              <w:t>права;</w:t>
            </w:r>
          </w:p>
          <w:p w:rsidR="00041039" w:rsidRDefault="001B26CB">
            <w:pPr>
              <w:pStyle w:val="TableParagraph"/>
              <w:numPr>
                <w:ilvl w:val="0"/>
                <w:numId w:val="1123"/>
              </w:numPr>
              <w:tabs>
                <w:tab w:val="left" w:pos="157"/>
              </w:tabs>
              <w:spacing w:line="160" w:lineRule="exact"/>
              <w:ind w:right="196" w:hanging="99"/>
              <w:rPr>
                <w:sz w:val="14"/>
              </w:rPr>
            </w:pPr>
            <w:r>
              <w:rPr>
                <w:color w:val="231F20"/>
                <w:sz w:val="14"/>
              </w:rPr>
              <w:t>објашњава потребу посебне</w:t>
            </w:r>
            <w:r>
              <w:rPr>
                <w:color w:val="231F20"/>
                <w:spacing w:val="-13"/>
                <w:sz w:val="14"/>
              </w:rPr>
              <w:t xml:space="preserve"> </w:t>
            </w:r>
            <w:r>
              <w:rPr>
                <w:color w:val="231F20"/>
                <w:sz w:val="14"/>
              </w:rPr>
              <w:t>заштите права</w:t>
            </w:r>
            <w:r>
              <w:rPr>
                <w:color w:val="231F20"/>
                <w:spacing w:val="-1"/>
                <w:sz w:val="14"/>
              </w:rPr>
              <w:t xml:space="preserve"> </w:t>
            </w:r>
            <w:r>
              <w:rPr>
                <w:color w:val="231F20"/>
                <w:sz w:val="14"/>
              </w:rPr>
              <w:t>детета;</w:t>
            </w:r>
          </w:p>
          <w:p w:rsidR="00041039" w:rsidRDefault="001B26CB">
            <w:pPr>
              <w:pStyle w:val="TableParagraph"/>
              <w:numPr>
                <w:ilvl w:val="0"/>
                <w:numId w:val="1123"/>
              </w:numPr>
              <w:tabs>
                <w:tab w:val="left" w:pos="157"/>
              </w:tabs>
              <w:spacing w:line="160" w:lineRule="exact"/>
              <w:ind w:right="55" w:hanging="99"/>
              <w:rPr>
                <w:sz w:val="14"/>
              </w:rPr>
            </w:pPr>
            <w:r>
              <w:rPr>
                <w:color w:val="231F20"/>
                <w:sz w:val="14"/>
              </w:rPr>
              <w:t>проналази примере и показатеље остваривања и кршења људских</w:t>
            </w:r>
            <w:r>
              <w:rPr>
                <w:color w:val="231F20"/>
                <w:spacing w:val="-16"/>
                <w:sz w:val="14"/>
              </w:rPr>
              <w:t xml:space="preserve"> </w:t>
            </w:r>
            <w:r>
              <w:rPr>
                <w:color w:val="231F20"/>
                <w:sz w:val="14"/>
              </w:rPr>
              <w:t>права;</w:t>
            </w:r>
          </w:p>
          <w:p w:rsidR="00041039" w:rsidRDefault="001B26CB">
            <w:pPr>
              <w:pStyle w:val="TableParagraph"/>
              <w:numPr>
                <w:ilvl w:val="0"/>
                <w:numId w:val="1123"/>
              </w:numPr>
              <w:tabs>
                <w:tab w:val="left" w:pos="157"/>
              </w:tabs>
              <w:spacing w:line="160" w:lineRule="exact"/>
              <w:ind w:right="95" w:hanging="99"/>
              <w:rPr>
                <w:sz w:val="14"/>
              </w:rPr>
            </w:pPr>
            <w:r>
              <w:rPr>
                <w:color w:val="231F20"/>
                <w:sz w:val="14"/>
              </w:rPr>
              <w:t>процени положај појединца и друштвених група са аспекта</w:t>
            </w:r>
            <w:r>
              <w:rPr>
                <w:color w:val="231F20"/>
                <w:spacing w:val="-16"/>
                <w:sz w:val="14"/>
              </w:rPr>
              <w:t xml:space="preserve"> </w:t>
            </w:r>
            <w:r>
              <w:rPr>
                <w:color w:val="231F20"/>
                <w:sz w:val="14"/>
              </w:rPr>
              <w:t>људских права;</w:t>
            </w:r>
          </w:p>
          <w:p w:rsidR="00041039" w:rsidRDefault="001B26CB">
            <w:pPr>
              <w:pStyle w:val="TableParagraph"/>
              <w:numPr>
                <w:ilvl w:val="0"/>
                <w:numId w:val="1123"/>
              </w:numPr>
              <w:tabs>
                <w:tab w:val="left" w:pos="157"/>
              </w:tabs>
              <w:spacing w:line="160" w:lineRule="exact"/>
              <w:ind w:right="105" w:hanging="99"/>
              <w:rPr>
                <w:sz w:val="14"/>
              </w:rPr>
            </w:pPr>
            <w:r>
              <w:rPr>
                <w:color w:val="231F20"/>
                <w:sz w:val="14"/>
              </w:rPr>
              <w:t>објасни механизме и начине за</w:t>
            </w:r>
            <w:r>
              <w:rPr>
                <w:color w:val="231F20"/>
                <w:spacing w:val="-21"/>
                <w:sz w:val="14"/>
              </w:rPr>
              <w:t xml:space="preserve"> </w:t>
            </w:r>
            <w:r>
              <w:rPr>
                <w:color w:val="231F20"/>
                <w:sz w:val="14"/>
              </w:rPr>
              <w:t>зашти­ ту људских</w:t>
            </w:r>
            <w:r>
              <w:rPr>
                <w:color w:val="231F20"/>
                <w:spacing w:val="-1"/>
                <w:sz w:val="14"/>
              </w:rPr>
              <w:t xml:space="preserve"> </w:t>
            </w:r>
            <w:r>
              <w:rPr>
                <w:color w:val="231F20"/>
                <w:sz w:val="14"/>
              </w:rPr>
              <w:t>права;</w:t>
            </w:r>
          </w:p>
          <w:p w:rsidR="00041039" w:rsidRDefault="001B26CB">
            <w:pPr>
              <w:pStyle w:val="TableParagraph"/>
              <w:numPr>
                <w:ilvl w:val="0"/>
                <w:numId w:val="1123"/>
              </w:numPr>
              <w:tabs>
                <w:tab w:val="left" w:pos="157"/>
              </w:tabs>
              <w:spacing w:line="160" w:lineRule="exact"/>
              <w:ind w:right="143" w:hanging="99"/>
              <w:rPr>
                <w:sz w:val="14"/>
              </w:rPr>
            </w:pPr>
            <w:r>
              <w:rPr>
                <w:color w:val="231F20"/>
                <w:sz w:val="14"/>
              </w:rPr>
              <w:t xml:space="preserve">анализира и тумачи основна међуна­ родна </w:t>
            </w:r>
            <w:r>
              <w:rPr>
                <w:color w:val="231F20"/>
                <w:sz w:val="14"/>
              </w:rPr>
              <w:t>и домаћа документа из</w:t>
            </w:r>
            <w:r>
              <w:rPr>
                <w:color w:val="231F20"/>
                <w:spacing w:val="-24"/>
                <w:sz w:val="14"/>
              </w:rPr>
              <w:t xml:space="preserve"> </w:t>
            </w:r>
            <w:r>
              <w:rPr>
                <w:color w:val="231F20"/>
                <w:sz w:val="14"/>
              </w:rPr>
              <w:t>области људских</w:t>
            </w:r>
            <w:r>
              <w:rPr>
                <w:color w:val="231F20"/>
                <w:spacing w:val="-1"/>
                <w:sz w:val="14"/>
              </w:rPr>
              <w:t xml:space="preserve"> </w:t>
            </w:r>
            <w:r>
              <w:rPr>
                <w:color w:val="231F20"/>
                <w:sz w:val="14"/>
              </w:rPr>
              <w:t>права;</w:t>
            </w:r>
          </w:p>
          <w:p w:rsidR="00041039" w:rsidRDefault="001B26CB">
            <w:pPr>
              <w:pStyle w:val="TableParagraph"/>
              <w:numPr>
                <w:ilvl w:val="0"/>
                <w:numId w:val="1123"/>
              </w:numPr>
              <w:tabs>
                <w:tab w:val="left" w:pos="157"/>
              </w:tabs>
              <w:spacing w:line="160" w:lineRule="exact"/>
              <w:ind w:right="169" w:hanging="99"/>
              <w:rPr>
                <w:sz w:val="14"/>
              </w:rPr>
            </w:pPr>
            <w:r>
              <w:rPr>
                <w:color w:val="231F20"/>
                <w:sz w:val="14"/>
              </w:rPr>
              <w:t>објасни улогу најзначајнијих инсти­ туција и процедуре заштите</w:t>
            </w:r>
            <w:r>
              <w:rPr>
                <w:color w:val="231F20"/>
                <w:spacing w:val="-24"/>
                <w:sz w:val="14"/>
              </w:rPr>
              <w:t xml:space="preserve"> </w:t>
            </w:r>
            <w:r>
              <w:rPr>
                <w:color w:val="231F20"/>
                <w:sz w:val="14"/>
              </w:rPr>
              <w:t>људских права;</w:t>
            </w:r>
          </w:p>
          <w:p w:rsidR="00041039" w:rsidRDefault="001B26CB">
            <w:pPr>
              <w:pStyle w:val="TableParagraph"/>
              <w:numPr>
                <w:ilvl w:val="0"/>
                <w:numId w:val="1123"/>
              </w:numPr>
              <w:tabs>
                <w:tab w:val="left" w:pos="157"/>
              </w:tabs>
              <w:spacing w:line="160" w:lineRule="exact"/>
              <w:ind w:right="342" w:hanging="99"/>
              <w:rPr>
                <w:sz w:val="14"/>
              </w:rPr>
            </w:pPr>
            <w:r>
              <w:rPr>
                <w:color w:val="231F20"/>
                <w:sz w:val="14"/>
              </w:rPr>
              <w:t>објасни улогу појединца и група</w:t>
            </w:r>
            <w:r>
              <w:rPr>
                <w:color w:val="231F20"/>
                <w:spacing w:val="-19"/>
                <w:sz w:val="14"/>
              </w:rPr>
              <w:t xml:space="preserve"> </w:t>
            </w:r>
            <w:r>
              <w:rPr>
                <w:color w:val="231F20"/>
                <w:sz w:val="14"/>
              </w:rPr>
              <w:t>у заштити људских</w:t>
            </w:r>
            <w:r>
              <w:rPr>
                <w:color w:val="231F20"/>
                <w:spacing w:val="-4"/>
                <w:sz w:val="14"/>
              </w:rPr>
              <w:t xml:space="preserve"> </w:t>
            </w:r>
            <w:r>
              <w:rPr>
                <w:color w:val="231F20"/>
                <w:sz w:val="14"/>
              </w:rPr>
              <w:t>права;</w:t>
            </w:r>
          </w:p>
        </w:tc>
        <w:tc>
          <w:tcPr>
            <w:tcW w:w="2834" w:type="dxa"/>
          </w:tcPr>
          <w:p w:rsidR="00041039" w:rsidRDefault="001B26CB">
            <w:pPr>
              <w:pStyle w:val="TableParagraph"/>
              <w:numPr>
                <w:ilvl w:val="0"/>
                <w:numId w:val="1122"/>
              </w:numPr>
              <w:tabs>
                <w:tab w:val="left" w:pos="157"/>
              </w:tabs>
              <w:spacing w:before="9" w:line="166" w:lineRule="exact"/>
              <w:ind w:hanging="99"/>
              <w:rPr>
                <w:sz w:val="14"/>
              </w:rPr>
            </w:pPr>
            <w:r>
              <w:rPr>
                <w:color w:val="231F20"/>
                <w:sz w:val="14"/>
              </w:rPr>
              <w:t>Потребе и</w:t>
            </w:r>
            <w:r>
              <w:rPr>
                <w:color w:val="231F20"/>
                <w:spacing w:val="-10"/>
                <w:sz w:val="14"/>
              </w:rPr>
              <w:t xml:space="preserve"> </w:t>
            </w:r>
            <w:r>
              <w:rPr>
                <w:color w:val="231F20"/>
                <w:sz w:val="14"/>
              </w:rPr>
              <w:t>права.</w:t>
            </w:r>
          </w:p>
          <w:p w:rsidR="00041039" w:rsidRDefault="001B26CB">
            <w:pPr>
              <w:pStyle w:val="TableParagraph"/>
              <w:numPr>
                <w:ilvl w:val="0"/>
                <w:numId w:val="1122"/>
              </w:numPr>
              <w:tabs>
                <w:tab w:val="left" w:pos="157"/>
              </w:tabs>
              <w:spacing w:line="160" w:lineRule="exact"/>
              <w:ind w:hanging="99"/>
              <w:rPr>
                <w:sz w:val="14"/>
              </w:rPr>
            </w:pPr>
            <w:r>
              <w:rPr>
                <w:color w:val="231F20"/>
                <w:sz w:val="14"/>
              </w:rPr>
              <w:t>Права и</w:t>
            </w:r>
            <w:r>
              <w:rPr>
                <w:color w:val="231F20"/>
                <w:spacing w:val="-14"/>
                <w:sz w:val="14"/>
              </w:rPr>
              <w:t xml:space="preserve"> </w:t>
            </w:r>
            <w:r>
              <w:rPr>
                <w:color w:val="231F20"/>
                <w:sz w:val="14"/>
              </w:rPr>
              <w:t>правила.</w:t>
            </w:r>
          </w:p>
          <w:p w:rsidR="00041039" w:rsidRDefault="001B26CB">
            <w:pPr>
              <w:pStyle w:val="TableParagraph"/>
              <w:numPr>
                <w:ilvl w:val="0"/>
                <w:numId w:val="1122"/>
              </w:numPr>
              <w:tabs>
                <w:tab w:val="left" w:pos="157"/>
              </w:tabs>
              <w:spacing w:line="160" w:lineRule="exact"/>
              <w:ind w:hanging="99"/>
              <w:rPr>
                <w:sz w:val="14"/>
              </w:rPr>
            </w:pPr>
            <w:r>
              <w:rPr>
                <w:color w:val="231F20"/>
                <w:sz w:val="14"/>
              </w:rPr>
              <w:t>Права и</w:t>
            </w:r>
            <w:r>
              <w:rPr>
                <w:color w:val="231F20"/>
                <w:spacing w:val="-2"/>
                <w:sz w:val="14"/>
              </w:rPr>
              <w:t xml:space="preserve"> </w:t>
            </w:r>
            <w:r>
              <w:rPr>
                <w:color w:val="231F20"/>
                <w:sz w:val="14"/>
              </w:rPr>
              <w:t>закони.</w:t>
            </w:r>
          </w:p>
          <w:p w:rsidR="00041039" w:rsidRDefault="001B26CB">
            <w:pPr>
              <w:pStyle w:val="TableParagraph"/>
              <w:numPr>
                <w:ilvl w:val="0"/>
                <w:numId w:val="1122"/>
              </w:numPr>
              <w:tabs>
                <w:tab w:val="left" w:pos="157"/>
              </w:tabs>
              <w:spacing w:line="160" w:lineRule="exact"/>
              <w:ind w:hanging="99"/>
              <w:rPr>
                <w:sz w:val="14"/>
              </w:rPr>
            </w:pPr>
            <w:r>
              <w:rPr>
                <w:color w:val="231F20"/>
                <w:sz w:val="14"/>
              </w:rPr>
              <w:t>Међународна документа о заштити</w:t>
            </w:r>
            <w:r>
              <w:rPr>
                <w:color w:val="231F20"/>
                <w:spacing w:val="-11"/>
                <w:sz w:val="14"/>
              </w:rPr>
              <w:t xml:space="preserve"> </w:t>
            </w:r>
            <w:r>
              <w:rPr>
                <w:color w:val="231F20"/>
                <w:sz w:val="14"/>
              </w:rPr>
              <w:t>права.</w:t>
            </w:r>
          </w:p>
          <w:p w:rsidR="00041039" w:rsidRDefault="001B26CB">
            <w:pPr>
              <w:pStyle w:val="TableParagraph"/>
              <w:numPr>
                <w:ilvl w:val="0"/>
                <w:numId w:val="1122"/>
              </w:numPr>
              <w:tabs>
                <w:tab w:val="left" w:pos="157"/>
              </w:tabs>
              <w:spacing w:line="160" w:lineRule="exact"/>
              <w:ind w:hanging="99"/>
              <w:rPr>
                <w:sz w:val="14"/>
              </w:rPr>
            </w:pPr>
            <w:r>
              <w:rPr>
                <w:color w:val="231F20"/>
                <w:sz w:val="14"/>
              </w:rPr>
              <w:t>Права и</w:t>
            </w:r>
            <w:r>
              <w:rPr>
                <w:color w:val="231F20"/>
                <w:spacing w:val="-2"/>
                <w:sz w:val="14"/>
              </w:rPr>
              <w:t xml:space="preserve"> </w:t>
            </w:r>
            <w:r>
              <w:rPr>
                <w:color w:val="231F20"/>
                <w:sz w:val="14"/>
              </w:rPr>
              <w:t>вредности.</w:t>
            </w:r>
          </w:p>
          <w:p w:rsidR="00041039" w:rsidRDefault="001B26CB">
            <w:pPr>
              <w:pStyle w:val="TableParagraph"/>
              <w:numPr>
                <w:ilvl w:val="0"/>
                <w:numId w:val="1122"/>
              </w:numPr>
              <w:tabs>
                <w:tab w:val="left" w:pos="157"/>
              </w:tabs>
              <w:spacing w:line="160" w:lineRule="exact"/>
              <w:ind w:hanging="99"/>
              <w:rPr>
                <w:sz w:val="14"/>
              </w:rPr>
            </w:pPr>
            <w:r>
              <w:rPr>
                <w:color w:val="231F20"/>
                <w:sz w:val="14"/>
              </w:rPr>
              <w:t>Врсте</w:t>
            </w:r>
            <w:r>
              <w:rPr>
                <w:color w:val="231F20"/>
                <w:spacing w:val="-1"/>
                <w:sz w:val="14"/>
              </w:rPr>
              <w:t xml:space="preserve"> </w:t>
            </w:r>
            <w:r>
              <w:rPr>
                <w:color w:val="231F20"/>
                <w:sz w:val="14"/>
              </w:rPr>
              <w:t>права.</w:t>
            </w:r>
          </w:p>
          <w:p w:rsidR="00041039" w:rsidRDefault="001B26CB">
            <w:pPr>
              <w:pStyle w:val="TableParagraph"/>
              <w:numPr>
                <w:ilvl w:val="0"/>
                <w:numId w:val="1122"/>
              </w:numPr>
              <w:tabs>
                <w:tab w:val="left" w:pos="157"/>
              </w:tabs>
              <w:spacing w:line="160" w:lineRule="exact"/>
              <w:ind w:hanging="99"/>
              <w:rPr>
                <w:sz w:val="14"/>
              </w:rPr>
            </w:pPr>
            <w:r>
              <w:rPr>
                <w:color w:val="231F20"/>
                <w:sz w:val="14"/>
              </w:rPr>
              <w:t>Односи међу</w:t>
            </w:r>
            <w:r>
              <w:rPr>
                <w:color w:val="231F20"/>
                <w:spacing w:val="-1"/>
                <w:sz w:val="14"/>
              </w:rPr>
              <w:t xml:space="preserve"> </w:t>
            </w:r>
            <w:r>
              <w:rPr>
                <w:color w:val="231F20"/>
                <w:sz w:val="14"/>
              </w:rPr>
              <w:t>правима.</w:t>
            </w:r>
          </w:p>
          <w:p w:rsidR="00041039" w:rsidRDefault="001B26CB">
            <w:pPr>
              <w:pStyle w:val="TableParagraph"/>
              <w:numPr>
                <w:ilvl w:val="0"/>
                <w:numId w:val="1122"/>
              </w:numPr>
              <w:tabs>
                <w:tab w:val="left" w:pos="157"/>
              </w:tabs>
              <w:spacing w:line="160" w:lineRule="exact"/>
              <w:ind w:hanging="99"/>
              <w:rPr>
                <w:sz w:val="14"/>
              </w:rPr>
            </w:pPr>
            <w:r>
              <w:rPr>
                <w:color w:val="231F20"/>
                <w:spacing w:val="-3"/>
                <w:sz w:val="14"/>
              </w:rPr>
              <w:t>Сукоб</w:t>
            </w:r>
            <w:r>
              <w:rPr>
                <w:color w:val="231F20"/>
                <w:spacing w:val="-1"/>
                <w:sz w:val="14"/>
              </w:rPr>
              <w:t xml:space="preserve"> </w:t>
            </w:r>
            <w:r>
              <w:rPr>
                <w:color w:val="231F20"/>
                <w:sz w:val="14"/>
              </w:rPr>
              <w:t>пpaвa.</w:t>
            </w:r>
          </w:p>
          <w:p w:rsidR="00041039" w:rsidRDefault="001B26CB">
            <w:pPr>
              <w:pStyle w:val="TableParagraph"/>
              <w:numPr>
                <w:ilvl w:val="0"/>
                <w:numId w:val="1122"/>
              </w:numPr>
              <w:tabs>
                <w:tab w:val="left" w:pos="157"/>
              </w:tabs>
              <w:spacing w:line="160" w:lineRule="exact"/>
              <w:ind w:hanging="99"/>
              <w:rPr>
                <w:sz w:val="14"/>
              </w:rPr>
            </w:pPr>
            <w:r>
              <w:rPr>
                <w:color w:val="231F20"/>
                <w:sz w:val="14"/>
              </w:rPr>
              <w:t xml:space="preserve">Дечја и </w:t>
            </w:r>
            <w:r>
              <w:rPr>
                <w:color w:val="231F20"/>
                <w:spacing w:val="-3"/>
                <w:sz w:val="14"/>
              </w:rPr>
              <w:t>људска</w:t>
            </w:r>
            <w:r>
              <w:rPr>
                <w:color w:val="231F20"/>
                <w:spacing w:val="-2"/>
                <w:sz w:val="14"/>
              </w:rPr>
              <w:t xml:space="preserve"> </w:t>
            </w:r>
            <w:r>
              <w:rPr>
                <w:color w:val="231F20"/>
                <w:sz w:val="14"/>
              </w:rPr>
              <w:t>права.</w:t>
            </w:r>
          </w:p>
          <w:p w:rsidR="00041039" w:rsidRDefault="001B26CB">
            <w:pPr>
              <w:pStyle w:val="TableParagraph"/>
              <w:numPr>
                <w:ilvl w:val="0"/>
                <w:numId w:val="1122"/>
              </w:numPr>
              <w:tabs>
                <w:tab w:val="left" w:pos="157"/>
              </w:tabs>
              <w:spacing w:line="237" w:lineRule="auto"/>
              <w:ind w:right="542" w:hanging="99"/>
              <w:rPr>
                <w:sz w:val="14"/>
              </w:rPr>
            </w:pPr>
            <w:r>
              <w:rPr>
                <w:color w:val="231F20"/>
                <w:sz w:val="14"/>
              </w:rPr>
              <w:t>Конвенције и заступљеност права</w:t>
            </w:r>
            <w:r>
              <w:rPr>
                <w:color w:val="231F20"/>
                <w:spacing w:val="-15"/>
                <w:sz w:val="14"/>
              </w:rPr>
              <w:t xml:space="preserve"> </w:t>
            </w:r>
            <w:r>
              <w:rPr>
                <w:color w:val="231F20"/>
                <w:sz w:val="14"/>
              </w:rPr>
              <w:t>у штампи.</w:t>
            </w:r>
          </w:p>
          <w:p w:rsidR="00041039" w:rsidRDefault="001B26CB">
            <w:pPr>
              <w:pStyle w:val="TableParagraph"/>
              <w:numPr>
                <w:ilvl w:val="0"/>
                <w:numId w:val="1122"/>
              </w:numPr>
              <w:tabs>
                <w:tab w:val="left" w:pos="157"/>
              </w:tabs>
              <w:spacing w:line="155" w:lineRule="exact"/>
              <w:ind w:hanging="99"/>
              <w:rPr>
                <w:sz w:val="14"/>
              </w:rPr>
            </w:pPr>
            <w:r>
              <w:rPr>
                <w:color w:val="231F20"/>
                <w:sz w:val="14"/>
              </w:rPr>
              <w:t>Одговорност</w:t>
            </w:r>
            <w:r>
              <w:rPr>
                <w:color w:val="231F20"/>
                <w:spacing w:val="-1"/>
                <w:sz w:val="14"/>
              </w:rPr>
              <w:t xml:space="preserve"> </w:t>
            </w:r>
            <w:r>
              <w:rPr>
                <w:color w:val="231F20"/>
                <w:sz w:val="14"/>
              </w:rPr>
              <w:t>одраслих.</w:t>
            </w:r>
          </w:p>
          <w:p w:rsidR="00041039" w:rsidRDefault="001B26CB">
            <w:pPr>
              <w:pStyle w:val="TableParagraph"/>
              <w:numPr>
                <w:ilvl w:val="0"/>
                <w:numId w:val="1122"/>
              </w:numPr>
              <w:tabs>
                <w:tab w:val="left" w:pos="157"/>
              </w:tabs>
              <w:spacing w:line="160" w:lineRule="exact"/>
              <w:ind w:hanging="99"/>
              <w:rPr>
                <w:sz w:val="14"/>
              </w:rPr>
            </w:pPr>
            <w:r>
              <w:rPr>
                <w:color w:val="231F20"/>
                <w:sz w:val="14"/>
              </w:rPr>
              <w:t>Одговорност</w:t>
            </w:r>
            <w:r>
              <w:rPr>
                <w:color w:val="231F20"/>
                <w:spacing w:val="-1"/>
                <w:sz w:val="14"/>
              </w:rPr>
              <w:t xml:space="preserve"> </w:t>
            </w:r>
            <w:r>
              <w:rPr>
                <w:color w:val="231F20"/>
                <w:sz w:val="14"/>
              </w:rPr>
              <w:t>деце.</w:t>
            </w:r>
          </w:p>
          <w:p w:rsidR="00041039" w:rsidRDefault="001B26CB">
            <w:pPr>
              <w:pStyle w:val="TableParagraph"/>
              <w:numPr>
                <w:ilvl w:val="0"/>
                <w:numId w:val="1122"/>
              </w:numPr>
              <w:tabs>
                <w:tab w:val="left" w:pos="157"/>
              </w:tabs>
              <w:spacing w:line="160" w:lineRule="exact"/>
              <w:ind w:hanging="99"/>
              <w:rPr>
                <w:sz w:val="14"/>
              </w:rPr>
            </w:pPr>
            <w:r>
              <w:rPr>
                <w:color w:val="231F20"/>
                <w:sz w:val="14"/>
              </w:rPr>
              <w:t>Кршење права</w:t>
            </w:r>
            <w:r>
              <w:rPr>
                <w:color w:val="231F20"/>
                <w:spacing w:val="-4"/>
                <w:sz w:val="14"/>
              </w:rPr>
              <w:t xml:space="preserve"> </w:t>
            </w:r>
            <w:r>
              <w:rPr>
                <w:color w:val="231F20"/>
                <w:sz w:val="14"/>
              </w:rPr>
              <w:t>детета.</w:t>
            </w:r>
          </w:p>
          <w:p w:rsidR="00041039" w:rsidRDefault="001B26CB">
            <w:pPr>
              <w:pStyle w:val="TableParagraph"/>
              <w:numPr>
                <w:ilvl w:val="0"/>
                <w:numId w:val="1122"/>
              </w:numPr>
              <w:tabs>
                <w:tab w:val="left" w:pos="157"/>
              </w:tabs>
              <w:spacing w:line="166" w:lineRule="exact"/>
              <w:ind w:hanging="99"/>
              <w:rPr>
                <w:sz w:val="14"/>
              </w:rPr>
            </w:pPr>
            <w:r>
              <w:rPr>
                <w:color w:val="231F20"/>
                <w:sz w:val="14"/>
              </w:rPr>
              <w:t>Заштита права</w:t>
            </w:r>
            <w:r>
              <w:rPr>
                <w:color w:val="231F20"/>
                <w:spacing w:val="-3"/>
                <w:sz w:val="14"/>
              </w:rPr>
              <w:t xml:space="preserve"> </w:t>
            </w:r>
            <w:r>
              <w:rPr>
                <w:color w:val="231F20"/>
                <w:sz w:val="14"/>
              </w:rPr>
              <w:t>детета.</w:t>
            </w:r>
          </w:p>
        </w:tc>
        <w:tc>
          <w:tcPr>
            <w:tcW w:w="2267" w:type="dxa"/>
            <w:vMerge w:val="restart"/>
          </w:tcPr>
          <w:p w:rsidR="00041039" w:rsidRDefault="001B26CB">
            <w:pPr>
              <w:pStyle w:val="TableParagraph"/>
              <w:numPr>
                <w:ilvl w:val="0"/>
                <w:numId w:val="1121"/>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121"/>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121"/>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121"/>
              </w:numPr>
              <w:tabs>
                <w:tab w:val="left" w:pos="158"/>
              </w:tabs>
              <w:spacing w:before="1" w:line="160" w:lineRule="exact"/>
              <w:ind w:right="73" w:hanging="99"/>
              <w:rPr>
                <w:sz w:val="14"/>
              </w:rPr>
            </w:pPr>
            <w:r>
              <w:rPr>
                <w:color w:val="231F20"/>
                <w:sz w:val="14"/>
              </w:rPr>
              <w:t xml:space="preserve">Реализација програма треба да се одвија у складу са принципима активне, проблемске и истражи­ </w:t>
            </w:r>
            <w:r>
              <w:rPr>
                <w:color w:val="231F20"/>
                <w:spacing w:val="-3"/>
                <w:sz w:val="14"/>
              </w:rPr>
              <w:t xml:space="preserve">вачке </w:t>
            </w:r>
            <w:r>
              <w:rPr>
                <w:color w:val="231F20"/>
                <w:sz w:val="14"/>
              </w:rPr>
              <w:t xml:space="preserve">наставе са </w:t>
            </w:r>
            <w:r>
              <w:rPr>
                <w:color w:val="231F20"/>
                <w:sz w:val="14"/>
              </w:rPr>
              <w:t>сталним рефле­ ксијама на одговарајуће појаве из друштвеног контекста</w:t>
            </w:r>
            <w:r>
              <w:rPr>
                <w:color w:val="231F20"/>
                <w:spacing w:val="-14"/>
                <w:sz w:val="14"/>
              </w:rPr>
              <w:t xml:space="preserve"> </w:t>
            </w:r>
            <w:r>
              <w:rPr>
                <w:color w:val="231F20"/>
                <w:sz w:val="14"/>
              </w:rPr>
              <w:t>прошлости и</w:t>
            </w:r>
            <w:r>
              <w:rPr>
                <w:color w:val="231F20"/>
                <w:spacing w:val="-1"/>
                <w:sz w:val="14"/>
              </w:rPr>
              <w:t xml:space="preserve"> </w:t>
            </w:r>
            <w:r>
              <w:rPr>
                <w:color w:val="231F20"/>
                <w:sz w:val="14"/>
              </w:rPr>
              <w:t>садашњости.</w:t>
            </w:r>
          </w:p>
          <w:p w:rsidR="00041039" w:rsidRDefault="001B26CB">
            <w:pPr>
              <w:pStyle w:val="TableParagraph"/>
              <w:numPr>
                <w:ilvl w:val="0"/>
                <w:numId w:val="1121"/>
              </w:numPr>
              <w:tabs>
                <w:tab w:val="left" w:pos="158"/>
              </w:tabs>
              <w:spacing w:line="160" w:lineRule="exact"/>
              <w:ind w:right="162" w:hanging="99"/>
              <w:rPr>
                <w:sz w:val="14"/>
              </w:rPr>
            </w:pPr>
            <w:r>
              <w:rPr>
                <w:color w:val="231F20"/>
                <w:sz w:val="14"/>
              </w:rPr>
              <w:t>Квалитет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p w:rsidR="00041039" w:rsidRDefault="001B26CB">
            <w:pPr>
              <w:pStyle w:val="TableParagraph"/>
              <w:numPr>
                <w:ilvl w:val="0"/>
                <w:numId w:val="1121"/>
              </w:numPr>
              <w:tabs>
                <w:tab w:val="left" w:pos="158"/>
              </w:tabs>
              <w:spacing w:line="160" w:lineRule="exact"/>
              <w:ind w:right="196" w:hanging="99"/>
              <w:rPr>
                <w:sz w:val="14"/>
              </w:rPr>
            </w:pPr>
            <w:r>
              <w:rPr>
                <w:color w:val="231F20"/>
                <w:sz w:val="14"/>
              </w:rPr>
              <w:t>Добар индикатор успешне на­ ставе је способност ученика да адекватно примењују стечена знања и вештине и да у пракси изражавају ставове и вредности демократског</w:t>
            </w:r>
            <w:r>
              <w:rPr>
                <w:color w:val="231F20"/>
                <w:spacing w:val="-1"/>
                <w:sz w:val="14"/>
              </w:rPr>
              <w:t xml:space="preserve"> </w:t>
            </w:r>
            <w:r>
              <w:rPr>
                <w:color w:val="231F20"/>
                <w:sz w:val="14"/>
              </w:rPr>
              <w:t>друштва.</w:t>
            </w:r>
          </w:p>
          <w:p w:rsidR="00041039" w:rsidRDefault="001B26CB">
            <w:pPr>
              <w:pStyle w:val="TableParagraph"/>
              <w:numPr>
                <w:ilvl w:val="0"/>
                <w:numId w:val="1121"/>
              </w:numPr>
              <w:tabs>
                <w:tab w:val="left" w:pos="158"/>
              </w:tabs>
              <w:spacing w:line="160" w:lineRule="exact"/>
              <w:ind w:right="55" w:hanging="99"/>
              <w:rPr>
                <w:sz w:val="14"/>
              </w:rPr>
            </w:pPr>
            <w:r>
              <w:rPr>
                <w:color w:val="231F20"/>
                <w:sz w:val="14"/>
              </w:rPr>
              <w:t xml:space="preserve">Наставник треба да пружи неоп­ </w:t>
            </w:r>
            <w:r>
              <w:rPr>
                <w:color w:val="231F20"/>
                <w:spacing w:val="-3"/>
                <w:sz w:val="14"/>
              </w:rPr>
              <w:t xml:space="preserve">ходну </w:t>
            </w:r>
            <w:r>
              <w:rPr>
                <w:color w:val="231F20"/>
                <w:sz w:val="14"/>
              </w:rPr>
              <w:t>помоћ и подршку ученици­ ма у припреми и реализац</w:t>
            </w:r>
            <w:r>
              <w:rPr>
                <w:color w:val="231F20"/>
                <w:sz w:val="14"/>
              </w:rPr>
              <w:t>ији ак­ тивности, а заједно са групом да обезбеди повратну информацију</w:t>
            </w:r>
            <w:r>
              <w:rPr>
                <w:color w:val="231F20"/>
                <w:spacing w:val="-21"/>
                <w:sz w:val="14"/>
              </w:rPr>
              <w:t xml:space="preserve"> </w:t>
            </w:r>
            <w:r>
              <w:rPr>
                <w:color w:val="231F20"/>
                <w:sz w:val="14"/>
              </w:rPr>
              <w:t>о њеној</w:t>
            </w:r>
            <w:r>
              <w:rPr>
                <w:color w:val="231F20"/>
                <w:spacing w:val="-2"/>
                <w:sz w:val="14"/>
              </w:rPr>
              <w:t xml:space="preserve"> </w:t>
            </w:r>
            <w:r>
              <w:rPr>
                <w:color w:val="231F20"/>
                <w:sz w:val="14"/>
              </w:rPr>
              <w:t>успешности.</w:t>
            </w:r>
          </w:p>
          <w:p w:rsidR="00041039" w:rsidRDefault="001B26CB">
            <w:pPr>
              <w:pStyle w:val="TableParagraph"/>
              <w:numPr>
                <w:ilvl w:val="0"/>
                <w:numId w:val="1121"/>
              </w:numPr>
              <w:tabs>
                <w:tab w:val="left" w:pos="158"/>
              </w:tabs>
              <w:spacing w:before="1" w:line="160" w:lineRule="exact"/>
              <w:ind w:right="54" w:hanging="99"/>
              <w:rPr>
                <w:sz w:val="14"/>
              </w:rPr>
            </w:pPr>
            <w:r>
              <w:rPr>
                <w:color w:val="231F20"/>
                <w:sz w:val="14"/>
              </w:rPr>
              <w:t>У реализацији овог програма наставник је извор знања, органи­ затор и водитељ ученичких</w:t>
            </w:r>
            <w:r>
              <w:rPr>
                <w:color w:val="231F20"/>
                <w:spacing w:val="-17"/>
                <w:sz w:val="14"/>
              </w:rPr>
              <w:t xml:space="preserve"> </w:t>
            </w:r>
            <w:r>
              <w:rPr>
                <w:color w:val="231F20"/>
                <w:sz w:val="14"/>
              </w:rPr>
              <w:t>актив­ ности и особа која даје повратну информацију.</w:t>
            </w:r>
          </w:p>
          <w:p w:rsidR="00041039" w:rsidRDefault="001B26CB">
            <w:pPr>
              <w:pStyle w:val="TableParagraph"/>
              <w:numPr>
                <w:ilvl w:val="0"/>
                <w:numId w:val="1121"/>
              </w:numPr>
              <w:tabs>
                <w:tab w:val="left" w:pos="158"/>
              </w:tabs>
              <w:spacing w:line="160" w:lineRule="exact"/>
              <w:ind w:right="251" w:hanging="99"/>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w:t>
            </w:r>
            <w:r>
              <w:rPr>
                <w:color w:val="231F20"/>
                <w:spacing w:val="-9"/>
                <w:sz w:val="14"/>
              </w:rPr>
              <w:t xml:space="preserve"> </w:t>
            </w:r>
            <w:r>
              <w:rPr>
                <w:color w:val="231F20"/>
                <w:sz w:val="14"/>
              </w:rPr>
              <w:t>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1121"/>
              </w:numPr>
              <w:tabs>
                <w:tab w:val="left" w:pos="158"/>
              </w:tabs>
              <w:spacing w:line="237" w:lineRule="auto"/>
              <w:ind w:right="59"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tc>
      </w:tr>
      <w:tr w:rsidR="00041039">
        <w:trPr>
          <w:trHeight w:val="4950"/>
        </w:trPr>
        <w:tc>
          <w:tcPr>
            <w:tcW w:w="1304" w:type="dxa"/>
          </w:tcPr>
          <w:p w:rsidR="00041039" w:rsidRDefault="001B26CB">
            <w:pPr>
              <w:pStyle w:val="TableParagraph"/>
              <w:spacing w:before="20"/>
              <w:ind w:left="56" w:right="242"/>
              <w:rPr>
                <w:sz w:val="14"/>
              </w:rPr>
            </w:pPr>
            <w:r>
              <w:rPr>
                <w:color w:val="231F20"/>
                <w:sz w:val="14"/>
              </w:rPr>
              <w:t>Планирање и извођење акције</w:t>
            </w:r>
          </w:p>
        </w:tc>
        <w:tc>
          <w:tcPr>
            <w:tcW w:w="1587" w:type="dxa"/>
          </w:tcPr>
          <w:p w:rsidR="00041039" w:rsidRDefault="001B26CB">
            <w:pPr>
              <w:pStyle w:val="TableParagraph"/>
              <w:numPr>
                <w:ilvl w:val="0"/>
                <w:numId w:val="1120"/>
              </w:numPr>
              <w:tabs>
                <w:tab w:val="left" w:pos="157"/>
              </w:tabs>
              <w:spacing w:before="10"/>
              <w:ind w:right="96"/>
              <w:rPr>
                <w:sz w:val="14"/>
              </w:rPr>
            </w:pPr>
            <w:r>
              <w:rPr>
                <w:color w:val="231F20"/>
                <w:sz w:val="14"/>
              </w:rPr>
              <w:t>Подстицање ученика на</w:t>
            </w:r>
            <w:r>
              <w:rPr>
                <w:color w:val="231F20"/>
                <w:spacing w:val="-6"/>
                <w:sz w:val="14"/>
              </w:rPr>
              <w:t xml:space="preserve"> </w:t>
            </w:r>
            <w:r>
              <w:rPr>
                <w:color w:val="231F20"/>
                <w:sz w:val="14"/>
              </w:rPr>
              <w:t>активнупартиципа­ цију у животу</w:t>
            </w:r>
            <w:r>
              <w:rPr>
                <w:color w:val="231F20"/>
                <w:spacing w:val="-4"/>
                <w:sz w:val="14"/>
              </w:rPr>
              <w:t xml:space="preserve"> </w:t>
            </w:r>
            <w:r>
              <w:rPr>
                <w:color w:val="231F20"/>
                <w:spacing w:val="-3"/>
                <w:sz w:val="14"/>
              </w:rPr>
              <w:t>школе.</w:t>
            </w:r>
          </w:p>
          <w:p w:rsidR="00041039" w:rsidRDefault="001B26CB">
            <w:pPr>
              <w:pStyle w:val="TableParagraph"/>
              <w:numPr>
                <w:ilvl w:val="0"/>
                <w:numId w:val="1120"/>
              </w:numPr>
              <w:tabs>
                <w:tab w:val="left" w:pos="157"/>
              </w:tabs>
              <w:spacing w:line="157" w:lineRule="exact"/>
              <w:rPr>
                <w:sz w:val="14"/>
              </w:rPr>
            </w:pPr>
            <w:r>
              <w:rPr>
                <w:color w:val="231F20"/>
                <w:sz w:val="14"/>
              </w:rPr>
              <w:t>Развијање</w:t>
            </w:r>
            <w:r>
              <w:rPr>
                <w:color w:val="231F20"/>
                <w:spacing w:val="-10"/>
                <w:sz w:val="14"/>
              </w:rPr>
              <w:t xml:space="preserve"> </w:t>
            </w:r>
            <w:r>
              <w:rPr>
                <w:color w:val="231F20"/>
                <w:sz w:val="14"/>
              </w:rPr>
              <w:t>вешти­</w:t>
            </w:r>
          </w:p>
          <w:p w:rsidR="00041039" w:rsidRDefault="001B26CB">
            <w:pPr>
              <w:pStyle w:val="TableParagraph"/>
              <w:spacing w:line="160" w:lineRule="exact"/>
              <w:rPr>
                <w:sz w:val="14"/>
              </w:rPr>
            </w:pPr>
            <w:r>
              <w:rPr>
                <w:color w:val="231F20"/>
                <w:sz w:val="14"/>
              </w:rPr>
              <w:t>напланирањаакција.</w:t>
            </w:r>
          </w:p>
        </w:tc>
        <w:tc>
          <w:tcPr>
            <w:tcW w:w="2551" w:type="dxa"/>
          </w:tcPr>
          <w:p w:rsidR="00041039" w:rsidRDefault="001B26CB">
            <w:pPr>
              <w:pStyle w:val="TableParagraph"/>
              <w:numPr>
                <w:ilvl w:val="0"/>
                <w:numId w:val="1119"/>
              </w:numPr>
              <w:tabs>
                <w:tab w:val="left" w:pos="157"/>
              </w:tabs>
              <w:spacing w:before="10"/>
              <w:ind w:right="54" w:hanging="99"/>
              <w:rPr>
                <w:sz w:val="14"/>
              </w:rPr>
            </w:pPr>
            <w:r>
              <w:rPr>
                <w:color w:val="231F20"/>
                <w:sz w:val="14"/>
              </w:rPr>
              <w:t>идентификује проблеме у својој</w:t>
            </w:r>
            <w:r>
              <w:rPr>
                <w:color w:val="231F20"/>
                <w:spacing w:val="-25"/>
                <w:sz w:val="14"/>
              </w:rPr>
              <w:t xml:space="preserve"> </w:t>
            </w:r>
            <w:r>
              <w:rPr>
                <w:color w:val="231F20"/>
                <w:sz w:val="14"/>
              </w:rPr>
              <w:t>локал­ нојзаједници /</w:t>
            </w:r>
            <w:r>
              <w:rPr>
                <w:color w:val="231F20"/>
                <w:spacing w:val="-1"/>
                <w:sz w:val="14"/>
              </w:rPr>
              <w:t xml:space="preserve"> </w:t>
            </w:r>
            <w:r>
              <w:rPr>
                <w:color w:val="231F20"/>
                <w:spacing w:val="-3"/>
                <w:sz w:val="14"/>
              </w:rPr>
              <w:t>школи;</w:t>
            </w:r>
          </w:p>
          <w:p w:rsidR="00041039" w:rsidRDefault="001B26CB">
            <w:pPr>
              <w:pStyle w:val="TableParagraph"/>
              <w:numPr>
                <w:ilvl w:val="0"/>
                <w:numId w:val="1119"/>
              </w:numPr>
              <w:tabs>
                <w:tab w:val="left" w:pos="157"/>
              </w:tabs>
              <w:spacing w:before="1" w:line="160" w:lineRule="exact"/>
              <w:ind w:right="80" w:hanging="99"/>
              <w:rPr>
                <w:sz w:val="14"/>
              </w:rPr>
            </w:pPr>
            <w:r>
              <w:rPr>
                <w:color w:val="231F20"/>
                <w:sz w:val="14"/>
              </w:rPr>
              <w:t>анализира изабране проблеме,</w:t>
            </w:r>
            <w:r>
              <w:rPr>
                <w:color w:val="231F20"/>
                <w:spacing w:val="-26"/>
                <w:sz w:val="14"/>
              </w:rPr>
              <w:t xml:space="preserve"> </w:t>
            </w:r>
            <w:r>
              <w:rPr>
                <w:color w:val="231F20"/>
                <w:sz w:val="14"/>
              </w:rPr>
              <w:t>изучава их;</w:t>
            </w:r>
          </w:p>
          <w:p w:rsidR="00041039" w:rsidRDefault="001B26CB">
            <w:pPr>
              <w:pStyle w:val="TableParagraph"/>
              <w:numPr>
                <w:ilvl w:val="0"/>
                <w:numId w:val="1119"/>
              </w:numPr>
              <w:tabs>
                <w:tab w:val="left" w:pos="157"/>
              </w:tabs>
              <w:spacing w:line="160" w:lineRule="exact"/>
              <w:ind w:right="279" w:hanging="99"/>
              <w:rPr>
                <w:sz w:val="14"/>
              </w:rPr>
            </w:pPr>
            <w:r>
              <w:rPr>
                <w:color w:val="231F20"/>
                <w:sz w:val="14"/>
              </w:rPr>
              <w:t>предлаже активности и дискутује</w:t>
            </w:r>
            <w:r>
              <w:rPr>
                <w:color w:val="231F20"/>
                <w:spacing w:val="-10"/>
                <w:sz w:val="14"/>
              </w:rPr>
              <w:t xml:space="preserve"> </w:t>
            </w:r>
            <w:r>
              <w:rPr>
                <w:color w:val="231F20"/>
                <w:sz w:val="14"/>
              </w:rPr>
              <w:t>о њима са осталим члановима</w:t>
            </w:r>
            <w:r>
              <w:rPr>
                <w:color w:val="231F20"/>
                <w:spacing w:val="-2"/>
                <w:sz w:val="14"/>
              </w:rPr>
              <w:t xml:space="preserve"> </w:t>
            </w:r>
            <w:r>
              <w:rPr>
                <w:color w:val="231F20"/>
                <w:sz w:val="14"/>
              </w:rPr>
              <w:t>тима;</w:t>
            </w:r>
          </w:p>
          <w:p w:rsidR="00041039" w:rsidRDefault="001B26CB">
            <w:pPr>
              <w:pStyle w:val="TableParagraph"/>
              <w:numPr>
                <w:ilvl w:val="0"/>
                <w:numId w:val="1119"/>
              </w:numPr>
              <w:tabs>
                <w:tab w:val="left" w:pos="157"/>
              </w:tabs>
              <w:spacing w:line="160" w:lineRule="exact"/>
              <w:ind w:right="209" w:hanging="99"/>
              <w:rPr>
                <w:sz w:val="14"/>
              </w:rPr>
            </w:pPr>
            <w:r>
              <w:rPr>
                <w:color w:val="231F20"/>
                <w:sz w:val="14"/>
              </w:rPr>
              <w:t>сарађује са члановима тима и учест­ вује у доношењу</w:t>
            </w:r>
            <w:r>
              <w:rPr>
                <w:color w:val="231F20"/>
                <w:spacing w:val="-2"/>
                <w:sz w:val="14"/>
              </w:rPr>
              <w:t xml:space="preserve"> </w:t>
            </w:r>
            <w:r>
              <w:rPr>
                <w:color w:val="231F20"/>
                <w:sz w:val="14"/>
              </w:rPr>
              <w:t>одлука;</w:t>
            </w:r>
          </w:p>
          <w:p w:rsidR="00041039" w:rsidRDefault="001B26CB">
            <w:pPr>
              <w:pStyle w:val="TableParagraph"/>
              <w:numPr>
                <w:ilvl w:val="0"/>
                <w:numId w:val="1119"/>
              </w:numPr>
              <w:tabs>
                <w:tab w:val="left" w:pos="157"/>
              </w:tabs>
              <w:spacing w:line="153" w:lineRule="exact"/>
              <w:ind w:hanging="99"/>
              <w:rPr>
                <w:sz w:val="14"/>
              </w:rPr>
            </w:pPr>
            <w:r>
              <w:rPr>
                <w:color w:val="231F20"/>
                <w:sz w:val="14"/>
              </w:rPr>
              <w:t xml:space="preserve">формулише циљеве и </w:t>
            </w:r>
            <w:r>
              <w:rPr>
                <w:color w:val="231F20"/>
                <w:spacing w:val="-2"/>
                <w:sz w:val="14"/>
              </w:rPr>
              <w:t>кораке</w:t>
            </w:r>
            <w:r>
              <w:rPr>
                <w:color w:val="231F20"/>
                <w:spacing w:val="-9"/>
                <w:sz w:val="14"/>
              </w:rPr>
              <w:t xml:space="preserve"> </w:t>
            </w:r>
            <w:r>
              <w:rPr>
                <w:color w:val="231F20"/>
                <w:sz w:val="14"/>
              </w:rPr>
              <w:t>акције;</w:t>
            </w:r>
          </w:p>
          <w:p w:rsidR="00041039" w:rsidRDefault="001B26CB">
            <w:pPr>
              <w:pStyle w:val="TableParagraph"/>
              <w:numPr>
                <w:ilvl w:val="0"/>
                <w:numId w:val="1119"/>
              </w:numPr>
              <w:tabs>
                <w:tab w:val="left" w:pos="157"/>
              </w:tabs>
              <w:spacing w:line="237" w:lineRule="auto"/>
              <w:ind w:right="464" w:hanging="99"/>
              <w:rPr>
                <w:sz w:val="14"/>
              </w:rPr>
            </w:pPr>
            <w:r>
              <w:rPr>
                <w:color w:val="231F20"/>
                <w:sz w:val="14"/>
              </w:rPr>
              <w:t>иницира активности, прати их</w:t>
            </w:r>
            <w:r>
              <w:rPr>
                <w:color w:val="231F20"/>
                <w:spacing w:val="-14"/>
                <w:sz w:val="14"/>
              </w:rPr>
              <w:t xml:space="preserve"> </w:t>
            </w:r>
            <w:r>
              <w:rPr>
                <w:color w:val="231F20"/>
                <w:sz w:val="14"/>
              </w:rPr>
              <w:t>и оцењује</w:t>
            </w:r>
            <w:r>
              <w:rPr>
                <w:color w:val="231F20"/>
                <w:spacing w:val="-1"/>
                <w:sz w:val="14"/>
              </w:rPr>
              <w:t xml:space="preserve"> </w:t>
            </w:r>
            <w:r>
              <w:rPr>
                <w:color w:val="231F20"/>
                <w:sz w:val="14"/>
              </w:rPr>
              <w:t>их;</w:t>
            </w:r>
          </w:p>
          <w:p w:rsidR="00041039" w:rsidRDefault="001B26CB">
            <w:pPr>
              <w:pStyle w:val="TableParagraph"/>
              <w:numPr>
                <w:ilvl w:val="0"/>
                <w:numId w:val="1119"/>
              </w:numPr>
              <w:tabs>
                <w:tab w:val="left" w:pos="157"/>
              </w:tabs>
              <w:spacing w:line="160" w:lineRule="exact"/>
              <w:ind w:right="234" w:hanging="99"/>
              <w:rPr>
                <w:sz w:val="14"/>
              </w:rPr>
            </w:pPr>
            <w:r>
              <w:rPr>
                <w:color w:val="231F20"/>
                <w:sz w:val="14"/>
              </w:rPr>
              <w:t>представи путем јавне презентације нацрт акције и резултате</w:t>
            </w:r>
            <w:r>
              <w:rPr>
                <w:color w:val="231F20"/>
                <w:spacing w:val="-8"/>
                <w:sz w:val="14"/>
              </w:rPr>
              <w:t xml:space="preserve"> </w:t>
            </w:r>
            <w:r>
              <w:rPr>
                <w:color w:val="231F20"/>
                <w:sz w:val="14"/>
              </w:rPr>
              <w:t>акције;</w:t>
            </w:r>
          </w:p>
        </w:tc>
        <w:tc>
          <w:tcPr>
            <w:tcW w:w="2834" w:type="dxa"/>
          </w:tcPr>
          <w:p w:rsidR="00041039" w:rsidRDefault="001B26CB">
            <w:pPr>
              <w:pStyle w:val="TableParagraph"/>
              <w:numPr>
                <w:ilvl w:val="0"/>
                <w:numId w:val="1118"/>
              </w:numPr>
              <w:tabs>
                <w:tab w:val="left" w:pos="142"/>
              </w:tabs>
              <w:spacing w:before="21" w:line="161" w:lineRule="exact"/>
              <w:rPr>
                <w:sz w:val="14"/>
              </w:rPr>
            </w:pPr>
            <w:r>
              <w:rPr>
                <w:color w:val="231F20"/>
                <w:sz w:val="14"/>
              </w:rPr>
              <w:t>Избор</w:t>
            </w:r>
            <w:r>
              <w:rPr>
                <w:color w:val="231F20"/>
                <w:spacing w:val="-2"/>
                <w:sz w:val="14"/>
              </w:rPr>
              <w:t xml:space="preserve"> </w:t>
            </w:r>
            <w:r>
              <w:rPr>
                <w:color w:val="231F20"/>
                <w:sz w:val="14"/>
              </w:rPr>
              <w:t>проблема.</w:t>
            </w:r>
          </w:p>
          <w:p w:rsidR="00041039" w:rsidRDefault="001B26CB">
            <w:pPr>
              <w:pStyle w:val="TableParagraph"/>
              <w:numPr>
                <w:ilvl w:val="0"/>
                <w:numId w:val="1118"/>
              </w:numPr>
              <w:tabs>
                <w:tab w:val="left" w:pos="142"/>
              </w:tabs>
              <w:spacing w:line="160" w:lineRule="exact"/>
              <w:rPr>
                <w:sz w:val="14"/>
              </w:rPr>
            </w:pPr>
            <w:r>
              <w:rPr>
                <w:color w:val="231F20"/>
                <w:sz w:val="14"/>
              </w:rPr>
              <w:t>Идентификација могућих</w:t>
            </w:r>
            <w:r>
              <w:rPr>
                <w:color w:val="231F20"/>
                <w:spacing w:val="-1"/>
                <w:sz w:val="14"/>
              </w:rPr>
              <w:t xml:space="preserve"> </w:t>
            </w:r>
            <w:r>
              <w:rPr>
                <w:color w:val="231F20"/>
                <w:sz w:val="14"/>
              </w:rPr>
              <w:t>решења.</w:t>
            </w:r>
          </w:p>
          <w:p w:rsidR="00041039" w:rsidRDefault="001B26CB">
            <w:pPr>
              <w:pStyle w:val="TableParagraph"/>
              <w:numPr>
                <w:ilvl w:val="0"/>
                <w:numId w:val="1118"/>
              </w:numPr>
              <w:tabs>
                <w:tab w:val="left" w:pos="142"/>
              </w:tabs>
              <w:spacing w:line="160" w:lineRule="exact"/>
              <w:rPr>
                <w:sz w:val="14"/>
              </w:rPr>
            </w:pPr>
            <w:r>
              <w:rPr>
                <w:color w:val="231F20"/>
                <w:sz w:val="14"/>
              </w:rPr>
              <w:t>Припрема нацрта</w:t>
            </w:r>
            <w:r>
              <w:rPr>
                <w:color w:val="231F20"/>
                <w:spacing w:val="-1"/>
                <w:sz w:val="14"/>
              </w:rPr>
              <w:t xml:space="preserve"> </w:t>
            </w:r>
            <w:r>
              <w:rPr>
                <w:color w:val="231F20"/>
                <w:sz w:val="14"/>
              </w:rPr>
              <w:t>акције.</w:t>
            </w:r>
          </w:p>
          <w:p w:rsidR="00041039" w:rsidRDefault="001B26CB">
            <w:pPr>
              <w:pStyle w:val="TableParagraph"/>
              <w:numPr>
                <w:ilvl w:val="0"/>
                <w:numId w:val="1118"/>
              </w:numPr>
              <w:tabs>
                <w:tab w:val="left" w:pos="142"/>
              </w:tabs>
              <w:ind w:right="135"/>
              <w:rPr>
                <w:sz w:val="14"/>
              </w:rPr>
            </w:pPr>
            <w:r>
              <w:rPr>
                <w:color w:val="231F20"/>
                <w:sz w:val="14"/>
              </w:rPr>
              <w:t>Реализација акције (ван редовних часова</w:t>
            </w:r>
            <w:r>
              <w:rPr>
                <w:color w:val="231F20"/>
                <w:spacing w:val="-13"/>
                <w:sz w:val="14"/>
              </w:rPr>
              <w:t xml:space="preserve"> </w:t>
            </w:r>
            <w:r>
              <w:rPr>
                <w:color w:val="231F20"/>
                <w:sz w:val="14"/>
              </w:rPr>
              <w:t>и учионице).</w:t>
            </w:r>
          </w:p>
          <w:p w:rsidR="00041039" w:rsidRDefault="001B26CB">
            <w:pPr>
              <w:pStyle w:val="TableParagraph"/>
              <w:numPr>
                <w:ilvl w:val="0"/>
                <w:numId w:val="1118"/>
              </w:numPr>
              <w:tabs>
                <w:tab w:val="left" w:pos="142"/>
              </w:tabs>
              <w:spacing w:line="159" w:lineRule="exact"/>
              <w:rPr>
                <w:sz w:val="14"/>
              </w:rPr>
            </w:pPr>
            <w:r>
              <w:rPr>
                <w:color w:val="231F20"/>
                <w:sz w:val="14"/>
              </w:rPr>
              <w:t>Анализа реализоване</w:t>
            </w:r>
            <w:r>
              <w:rPr>
                <w:color w:val="231F20"/>
                <w:spacing w:val="-2"/>
                <w:sz w:val="14"/>
              </w:rPr>
              <w:t xml:space="preserve"> </w:t>
            </w:r>
            <w:r>
              <w:rPr>
                <w:color w:val="231F20"/>
                <w:sz w:val="14"/>
              </w:rPr>
              <w:t>акције.</w:t>
            </w:r>
          </w:p>
          <w:p w:rsidR="00041039" w:rsidRDefault="001B26CB">
            <w:pPr>
              <w:pStyle w:val="TableParagraph"/>
              <w:numPr>
                <w:ilvl w:val="0"/>
                <w:numId w:val="1118"/>
              </w:numPr>
              <w:tabs>
                <w:tab w:val="left" w:pos="142"/>
              </w:tabs>
              <w:spacing w:line="161" w:lineRule="exact"/>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478"/>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spacing w:before="16"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1117"/>
              </w:numPr>
              <w:tabs>
                <w:tab w:val="left" w:pos="158"/>
              </w:tabs>
              <w:spacing w:line="160" w:lineRule="exact"/>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117"/>
              </w:numPr>
              <w:tabs>
                <w:tab w:val="left" w:pos="158"/>
              </w:tabs>
              <w:spacing w:line="160" w:lineRule="exact"/>
              <w:rPr>
                <w:b/>
                <w:sz w:val="14"/>
              </w:rPr>
            </w:pPr>
            <w:r>
              <w:rPr>
                <w:color w:val="231F20"/>
                <w:sz w:val="14"/>
              </w:rPr>
              <w:t xml:space="preserve">Права и одговорности </w:t>
            </w:r>
            <w:r>
              <w:rPr>
                <w:b/>
                <w:color w:val="231F20"/>
                <w:sz w:val="14"/>
              </w:rPr>
              <w:t>(16</w:t>
            </w:r>
            <w:r>
              <w:rPr>
                <w:b/>
                <w:color w:val="231F20"/>
                <w:spacing w:val="-15"/>
                <w:sz w:val="14"/>
              </w:rPr>
              <w:t xml:space="preserve"> </w:t>
            </w:r>
            <w:r>
              <w:rPr>
                <w:b/>
                <w:color w:val="231F20"/>
                <w:sz w:val="14"/>
              </w:rPr>
              <w:t>часова)</w:t>
            </w:r>
          </w:p>
          <w:p w:rsidR="00041039" w:rsidRDefault="001B26CB">
            <w:pPr>
              <w:pStyle w:val="TableParagraph"/>
              <w:numPr>
                <w:ilvl w:val="0"/>
                <w:numId w:val="1117"/>
              </w:numPr>
              <w:tabs>
                <w:tab w:val="left" w:pos="158"/>
              </w:tabs>
              <w:spacing w:line="237" w:lineRule="auto"/>
              <w:ind w:right="78"/>
              <w:rPr>
                <w:b/>
                <w:sz w:val="14"/>
              </w:rPr>
            </w:pPr>
            <w:r>
              <w:rPr>
                <w:color w:val="231F20"/>
                <w:sz w:val="14"/>
              </w:rPr>
              <w:t>Планирање и извођење акције</w:t>
            </w:r>
            <w:r>
              <w:rPr>
                <w:color w:val="231F20"/>
                <w:spacing w:val="-13"/>
                <w:sz w:val="14"/>
              </w:rPr>
              <w:t xml:space="preserve"> </w:t>
            </w:r>
            <w:r>
              <w:rPr>
                <w:b/>
                <w:color w:val="231F20"/>
                <w:sz w:val="14"/>
              </w:rPr>
              <w:t>(19 часова)</w:t>
            </w:r>
          </w:p>
        </w:tc>
      </w:tr>
    </w:tbl>
    <w:p w:rsidR="00041039" w:rsidRDefault="00041039">
      <w:pPr>
        <w:pStyle w:val="BodyText"/>
        <w:spacing w:before="6"/>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120"/>
        </w:trPr>
        <w:tc>
          <w:tcPr>
            <w:tcW w:w="1304" w:type="dxa"/>
          </w:tcPr>
          <w:p w:rsidR="00041039" w:rsidRDefault="001B26CB">
            <w:pPr>
              <w:pStyle w:val="TableParagraph"/>
              <w:spacing w:before="18"/>
              <w:ind w:left="56" w:right="354"/>
              <w:rPr>
                <w:sz w:val="14"/>
              </w:rPr>
            </w:pPr>
            <w:r>
              <w:rPr>
                <w:color w:val="231F20"/>
                <w:sz w:val="14"/>
              </w:rPr>
              <w:t>Демократија и политика</w:t>
            </w:r>
          </w:p>
        </w:tc>
        <w:tc>
          <w:tcPr>
            <w:tcW w:w="1587" w:type="dxa"/>
          </w:tcPr>
          <w:p w:rsidR="00041039" w:rsidRDefault="001B26CB">
            <w:pPr>
              <w:pStyle w:val="TableParagraph"/>
              <w:numPr>
                <w:ilvl w:val="0"/>
                <w:numId w:val="1116"/>
              </w:numPr>
              <w:tabs>
                <w:tab w:val="left" w:pos="157"/>
              </w:tabs>
              <w:spacing w:before="8"/>
              <w:ind w:right="152"/>
              <w:rPr>
                <w:sz w:val="14"/>
              </w:rPr>
            </w:pPr>
            <w:r>
              <w:rPr>
                <w:color w:val="231F20"/>
                <w:sz w:val="14"/>
              </w:rPr>
              <w:t>Разумевање појмова демократија,</w:t>
            </w:r>
            <w:r>
              <w:rPr>
                <w:color w:val="231F20"/>
                <w:spacing w:val="-12"/>
                <w:sz w:val="14"/>
              </w:rPr>
              <w:t xml:space="preserve"> </w:t>
            </w:r>
            <w:r>
              <w:rPr>
                <w:color w:val="231F20"/>
                <w:sz w:val="14"/>
              </w:rPr>
              <w:t xml:space="preserve">полити­ ка, </w:t>
            </w:r>
            <w:r>
              <w:rPr>
                <w:color w:val="231F20"/>
                <w:spacing w:val="-3"/>
                <w:sz w:val="14"/>
              </w:rPr>
              <w:t xml:space="preserve">власт, </w:t>
            </w:r>
            <w:r>
              <w:rPr>
                <w:color w:val="231F20"/>
                <w:sz w:val="14"/>
              </w:rPr>
              <w:t xml:space="preserve">грађански </w:t>
            </w:r>
            <w:r>
              <w:rPr>
                <w:color w:val="231F20"/>
                <w:spacing w:val="-3"/>
                <w:sz w:val="14"/>
              </w:rPr>
              <w:t>живот.</w:t>
            </w:r>
          </w:p>
          <w:p w:rsidR="00041039" w:rsidRDefault="001B26CB">
            <w:pPr>
              <w:pStyle w:val="TableParagraph"/>
              <w:numPr>
                <w:ilvl w:val="0"/>
                <w:numId w:val="1116"/>
              </w:numPr>
              <w:tabs>
                <w:tab w:val="left" w:pos="157"/>
              </w:tabs>
              <w:spacing w:line="156" w:lineRule="exact"/>
              <w:rPr>
                <w:sz w:val="14"/>
              </w:rPr>
            </w:pPr>
            <w:r>
              <w:rPr>
                <w:color w:val="231F20"/>
                <w:sz w:val="14"/>
              </w:rPr>
              <w:t>Упознавање са</w:t>
            </w:r>
            <w:r>
              <w:rPr>
                <w:color w:val="231F20"/>
                <w:spacing w:val="-7"/>
                <w:sz w:val="14"/>
              </w:rPr>
              <w:t xml:space="preserve"> </w:t>
            </w:r>
            <w:r>
              <w:rPr>
                <w:color w:val="231F20"/>
                <w:sz w:val="14"/>
              </w:rPr>
              <w:t>меха­</w:t>
            </w:r>
          </w:p>
          <w:p w:rsidR="00041039" w:rsidRDefault="001B26CB">
            <w:pPr>
              <w:pStyle w:val="TableParagraph"/>
              <w:ind w:right="199"/>
              <w:rPr>
                <w:sz w:val="14"/>
              </w:rPr>
            </w:pPr>
            <w:r>
              <w:rPr>
                <w:color w:val="231F20"/>
                <w:sz w:val="14"/>
              </w:rPr>
              <w:t>низмима функцио­ нисања демократије и институцијама демократије.</w:t>
            </w:r>
          </w:p>
          <w:p w:rsidR="00041039" w:rsidRDefault="001B26CB">
            <w:pPr>
              <w:pStyle w:val="TableParagraph"/>
              <w:numPr>
                <w:ilvl w:val="0"/>
                <w:numId w:val="1116"/>
              </w:numPr>
              <w:tabs>
                <w:tab w:val="left" w:pos="157"/>
              </w:tabs>
              <w:spacing w:line="157" w:lineRule="exact"/>
              <w:rPr>
                <w:sz w:val="14"/>
              </w:rPr>
            </w:pPr>
            <w:r>
              <w:rPr>
                <w:color w:val="231F20"/>
                <w:sz w:val="14"/>
              </w:rPr>
              <w:t>Сагледавање</w:t>
            </w:r>
            <w:r>
              <w:rPr>
                <w:color w:val="231F20"/>
                <w:spacing w:val="-3"/>
                <w:sz w:val="14"/>
              </w:rPr>
              <w:t xml:space="preserve"> </w:t>
            </w:r>
            <w:r>
              <w:rPr>
                <w:color w:val="231F20"/>
                <w:sz w:val="14"/>
              </w:rPr>
              <w:t>значаја</w:t>
            </w:r>
          </w:p>
          <w:p w:rsidR="00041039" w:rsidRDefault="001B26CB">
            <w:pPr>
              <w:pStyle w:val="TableParagraph"/>
              <w:ind w:right="179"/>
              <w:jc w:val="both"/>
              <w:rPr>
                <w:sz w:val="14"/>
              </w:rPr>
            </w:pPr>
            <w:r>
              <w:rPr>
                <w:color w:val="231F20"/>
                <w:sz w:val="14"/>
              </w:rPr>
              <w:t>и начина контроле и ограничења власти у демократији.</w:t>
            </w:r>
          </w:p>
        </w:tc>
        <w:tc>
          <w:tcPr>
            <w:tcW w:w="2551" w:type="dxa"/>
          </w:tcPr>
          <w:p w:rsidR="00041039" w:rsidRDefault="001B26CB">
            <w:pPr>
              <w:pStyle w:val="TableParagraph"/>
              <w:numPr>
                <w:ilvl w:val="0"/>
                <w:numId w:val="1115"/>
              </w:numPr>
              <w:tabs>
                <w:tab w:val="left" w:pos="157"/>
              </w:tabs>
              <w:spacing w:before="8"/>
              <w:ind w:right="122" w:hanging="99"/>
              <w:rPr>
                <w:sz w:val="14"/>
              </w:rPr>
            </w:pPr>
            <w:r>
              <w:rPr>
                <w:color w:val="231F20"/>
                <w:sz w:val="14"/>
              </w:rPr>
              <w:t>објасни појмове демократија,</w:t>
            </w:r>
            <w:r>
              <w:rPr>
                <w:color w:val="231F20"/>
                <w:spacing w:val="-19"/>
                <w:sz w:val="14"/>
              </w:rPr>
              <w:t xml:space="preserve"> </w:t>
            </w:r>
            <w:r>
              <w:rPr>
                <w:color w:val="231F20"/>
                <w:sz w:val="14"/>
              </w:rPr>
              <w:t xml:space="preserve">полити­ ка, </w:t>
            </w:r>
            <w:r>
              <w:rPr>
                <w:color w:val="231F20"/>
                <w:spacing w:val="-3"/>
                <w:sz w:val="14"/>
              </w:rPr>
              <w:t xml:space="preserve">власт, </w:t>
            </w:r>
            <w:r>
              <w:rPr>
                <w:color w:val="231F20"/>
                <w:sz w:val="14"/>
              </w:rPr>
              <w:t>грађански живот;</w:t>
            </w:r>
          </w:p>
          <w:p w:rsidR="00041039" w:rsidRDefault="001B26CB">
            <w:pPr>
              <w:pStyle w:val="TableParagraph"/>
              <w:numPr>
                <w:ilvl w:val="0"/>
                <w:numId w:val="1115"/>
              </w:numPr>
              <w:tabs>
                <w:tab w:val="left" w:pos="157"/>
              </w:tabs>
              <w:spacing w:line="160" w:lineRule="exact"/>
              <w:ind w:right="93" w:hanging="99"/>
              <w:rPr>
                <w:sz w:val="14"/>
              </w:rPr>
            </w:pPr>
            <w:r>
              <w:rPr>
                <w:color w:val="231F20"/>
                <w:sz w:val="14"/>
              </w:rPr>
              <w:t>наведе разлике између демократског</w:t>
            </w:r>
            <w:r>
              <w:rPr>
                <w:color w:val="231F20"/>
                <w:spacing w:val="-22"/>
                <w:sz w:val="14"/>
              </w:rPr>
              <w:t xml:space="preserve"> </w:t>
            </w:r>
            <w:r>
              <w:rPr>
                <w:color w:val="231F20"/>
                <w:sz w:val="14"/>
              </w:rPr>
              <w:t>и недемократског начина</w:t>
            </w:r>
            <w:r>
              <w:rPr>
                <w:color w:val="231F20"/>
                <w:spacing w:val="-10"/>
                <w:sz w:val="14"/>
              </w:rPr>
              <w:t xml:space="preserve"> </w:t>
            </w:r>
            <w:r>
              <w:rPr>
                <w:color w:val="231F20"/>
                <w:sz w:val="14"/>
              </w:rPr>
              <w:t>одлучивања;</w:t>
            </w:r>
          </w:p>
          <w:p w:rsidR="00041039" w:rsidRDefault="001B26CB">
            <w:pPr>
              <w:pStyle w:val="TableParagraph"/>
              <w:numPr>
                <w:ilvl w:val="0"/>
                <w:numId w:val="1115"/>
              </w:numPr>
              <w:tabs>
                <w:tab w:val="left" w:pos="157"/>
              </w:tabs>
              <w:spacing w:line="160" w:lineRule="exact"/>
              <w:ind w:right="151" w:hanging="99"/>
              <w:rPr>
                <w:sz w:val="14"/>
              </w:rPr>
            </w:pPr>
            <w:r>
              <w:rPr>
                <w:color w:val="231F20"/>
                <w:sz w:val="14"/>
              </w:rPr>
              <w:t>објасни разлике између непосредне</w:t>
            </w:r>
            <w:r>
              <w:rPr>
                <w:color w:val="231F20"/>
                <w:spacing w:val="-9"/>
                <w:sz w:val="14"/>
              </w:rPr>
              <w:t xml:space="preserve"> </w:t>
            </w:r>
            <w:r>
              <w:rPr>
                <w:color w:val="231F20"/>
                <w:sz w:val="14"/>
              </w:rPr>
              <w:t>и посредне</w:t>
            </w:r>
            <w:r>
              <w:rPr>
                <w:color w:val="231F20"/>
                <w:spacing w:val="-1"/>
                <w:sz w:val="14"/>
              </w:rPr>
              <w:t xml:space="preserve"> </w:t>
            </w:r>
            <w:r>
              <w:rPr>
                <w:color w:val="231F20"/>
                <w:sz w:val="14"/>
              </w:rPr>
              <w:t>демократије;</w:t>
            </w:r>
          </w:p>
          <w:p w:rsidR="00041039" w:rsidRDefault="001B26CB">
            <w:pPr>
              <w:pStyle w:val="TableParagraph"/>
              <w:numPr>
                <w:ilvl w:val="0"/>
                <w:numId w:val="1115"/>
              </w:numPr>
              <w:tabs>
                <w:tab w:val="left" w:pos="157"/>
              </w:tabs>
              <w:spacing w:line="160" w:lineRule="exact"/>
              <w:ind w:right="66" w:hanging="99"/>
              <w:rPr>
                <w:sz w:val="14"/>
              </w:rPr>
            </w:pPr>
            <w:r>
              <w:rPr>
                <w:color w:val="231F20"/>
                <w:sz w:val="14"/>
              </w:rPr>
              <w:t>анализира различите начине</w:t>
            </w:r>
            <w:r>
              <w:rPr>
                <w:color w:val="231F20"/>
                <w:spacing w:val="-11"/>
                <w:sz w:val="14"/>
              </w:rPr>
              <w:t xml:space="preserve"> </w:t>
            </w:r>
            <w:r>
              <w:rPr>
                <w:color w:val="231F20"/>
                <w:sz w:val="14"/>
              </w:rPr>
              <w:t>огранича­ вања</w:t>
            </w:r>
            <w:r>
              <w:rPr>
                <w:color w:val="231F20"/>
                <w:spacing w:val="-1"/>
                <w:sz w:val="14"/>
              </w:rPr>
              <w:t xml:space="preserve"> </w:t>
            </w:r>
            <w:r>
              <w:rPr>
                <w:color w:val="231F20"/>
                <w:sz w:val="14"/>
              </w:rPr>
              <w:t>власти;</w:t>
            </w:r>
          </w:p>
          <w:p w:rsidR="00041039" w:rsidRDefault="001B26CB">
            <w:pPr>
              <w:pStyle w:val="TableParagraph"/>
              <w:numPr>
                <w:ilvl w:val="0"/>
                <w:numId w:val="1115"/>
              </w:numPr>
              <w:tabs>
                <w:tab w:val="left" w:pos="157"/>
              </w:tabs>
              <w:spacing w:before="1" w:line="160" w:lineRule="exact"/>
              <w:ind w:right="198" w:hanging="99"/>
              <w:rPr>
                <w:sz w:val="14"/>
              </w:rPr>
            </w:pPr>
            <w:r>
              <w:rPr>
                <w:color w:val="231F20"/>
                <w:sz w:val="14"/>
              </w:rPr>
              <w:t>разликује надлежности</w:t>
            </w:r>
            <w:r>
              <w:rPr>
                <w:color w:val="231F20"/>
                <w:spacing w:val="-18"/>
                <w:sz w:val="14"/>
              </w:rPr>
              <w:t xml:space="preserve"> </w:t>
            </w:r>
            <w:r>
              <w:rPr>
                <w:color w:val="231F20"/>
                <w:sz w:val="14"/>
              </w:rPr>
              <w:t xml:space="preserve">законодавне, извршне и </w:t>
            </w:r>
            <w:r>
              <w:rPr>
                <w:color w:val="231F20"/>
                <w:spacing w:val="-3"/>
                <w:sz w:val="14"/>
              </w:rPr>
              <w:t>судске</w:t>
            </w:r>
            <w:r>
              <w:rPr>
                <w:color w:val="231F20"/>
                <w:spacing w:val="-4"/>
                <w:sz w:val="14"/>
              </w:rPr>
              <w:t xml:space="preserve"> </w:t>
            </w:r>
            <w:r>
              <w:rPr>
                <w:color w:val="231F20"/>
                <w:sz w:val="14"/>
              </w:rPr>
              <w:t>власти;</w:t>
            </w:r>
          </w:p>
        </w:tc>
        <w:tc>
          <w:tcPr>
            <w:tcW w:w="2834" w:type="dxa"/>
          </w:tcPr>
          <w:p w:rsidR="00041039" w:rsidRDefault="001B26CB">
            <w:pPr>
              <w:pStyle w:val="TableParagraph"/>
              <w:numPr>
                <w:ilvl w:val="0"/>
                <w:numId w:val="1114"/>
              </w:numPr>
              <w:tabs>
                <w:tab w:val="left" w:pos="157"/>
              </w:tabs>
              <w:spacing w:before="8" w:line="166" w:lineRule="exact"/>
              <w:ind w:hanging="99"/>
              <w:rPr>
                <w:sz w:val="14"/>
              </w:rPr>
            </w:pPr>
            <w:r>
              <w:rPr>
                <w:color w:val="231F20"/>
                <w:sz w:val="14"/>
              </w:rPr>
              <w:t>Демократија, политика и</w:t>
            </w:r>
            <w:r>
              <w:rPr>
                <w:color w:val="231F20"/>
                <w:spacing w:val="-3"/>
                <w:sz w:val="14"/>
              </w:rPr>
              <w:t xml:space="preserve"> власт.</w:t>
            </w:r>
          </w:p>
          <w:p w:rsidR="00041039" w:rsidRDefault="001B26CB">
            <w:pPr>
              <w:pStyle w:val="TableParagraph"/>
              <w:numPr>
                <w:ilvl w:val="0"/>
                <w:numId w:val="1114"/>
              </w:numPr>
              <w:tabs>
                <w:tab w:val="left" w:pos="157"/>
              </w:tabs>
              <w:spacing w:line="160" w:lineRule="exact"/>
              <w:ind w:hanging="99"/>
              <w:rPr>
                <w:sz w:val="14"/>
              </w:rPr>
            </w:pPr>
            <w:r>
              <w:rPr>
                <w:color w:val="231F20"/>
                <w:sz w:val="14"/>
              </w:rPr>
              <w:t>Функционисања институције</w:t>
            </w:r>
            <w:r>
              <w:rPr>
                <w:color w:val="231F20"/>
                <w:spacing w:val="-7"/>
                <w:sz w:val="14"/>
              </w:rPr>
              <w:t xml:space="preserve"> </w:t>
            </w:r>
            <w:r>
              <w:rPr>
                <w:color w:val="231F20"/>
                <w:sz w:val="14"/>
              </w:rPr>
              <w:t>демократије.</w:t>
            </w:r>
          </w:p>
          <w:p w:rsidR="00041039" w:rsidRDefault="001B26CB">
            <w:pPr>
              <w:pStyle w:val="TableParagraph"/>
              <w:numPr>
                <w:ilvl w:val="0"/>
                <w:numId w:val="1114"/>
              </w:numPr>
              <w:tabs>
                <w:tab w:val="left" w:pos="157"/>
              </w:tabs>
              <w:spacing w:line="237" w:lineRule="auto"/>
              <w:ind w:right="333" w:hanging="99"/>
              <w:rPr>
                <w:sz w:val="14"/>
              </w:rPr>
            </w:pPr>
            <w:r>
              <w:rPr>
                <w:color w:val="231F20"/>
                <w:sz w:val="14"/>
              </w:rPr>
              <w:t>Механизми и начини контроле и ограничења власти у демократском</w:t>
            </w:r>
            <w:r>
              <w:rPr>
                <w:color w:val="231F20"/>
                <w:spacing w:val="-22"/>
                <w:sz w:val="14"/>
              </w:rPr>
              <w:t xml:space="preserve"> </w:t>
            </w:r>
            <w:r>
              <w:rPr>
                <w:color w:val="231F20"/>
                <w:sz w:val="14"/>
              </w:rPr>
              <w:t xml:space="preserve">по­ </w:t>
            </w:r>
            <w:r>
              <w:rPr>
                <w:color w:val="231F20"/>
                <w:spacing w:val="-3"/>
                <w:sz w:val="14"/>
              </w:rPr>
              <w:t>ретку.</w:t>
            </w:r>
          </w:p>
        </w:tc>
        <w:tc>
          <w:tcPr>
            <w:tcW w:w="2267" w:type="dxa"/>
            <w:vMerge w:val="restart"/>
          </w:tcPr>
          <w:p w:rsidR="00041039" w:rsidRDefault="001B26CB">
            <w:pPr>
              <w:pStyle w:val="TableParagraph"/>
              <w:numPr>
                <w:ilvl w:val="0"/>
                <w:numId w:val="1113"/>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113"/>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113"/>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113"/>
              </w:numPr>
              <w:tabs>
                <w:tab w:val="left" w:pos="158"/>
              </w:tabs>
              <w:spacing w:line="160" w:lineRule="exact"/>
              <w:ind w:right="73" w:hanging="99"/>
              <w:rPr>
                <w:sz w:val="14"/>
              </w:rPr>
            </w:pPr>
            <w:r>
              <w:rPr>
                <w:color w:val="231F20"/>
                <w:sz w:val="14"/>
              </w:rPr>
              <w:t xml:space="preserve">Реализација програма треба да се одвија у складу са принципима активне, проблемске и истражи­ </w:t>
            </w:r>
            <w:r>
              <w:rPr>
                <w:color w:val="231F20"/>
                <w:spacing w:val="-3"/>
                <w:sz w:val="14"/>
              </w:rPr>
              <w:t xml:space="preserve">вачке </w:t>
            </w:r>
            <w:r>
              <w:rPr>
                <w:color w:val="231F20"/>
                <w:sz w:val="14"/>
              </w:rPr>
              <w:t>наставе са сталним рефле­ ксијама на одговарајуће појаве из друштвеног контекста</w:t>
            </w:r>
            <w:r>
              <w:rPr>
                <w:color w:val="231F20"/>
                <w:spacing w:val="-14"/>
                <w:sz w:val="14"/>
              </w:rPr>
              <w:t xml:space="preserve"> </w:t>
            </w:r>
            <w:r>
              <w:rPr>
                <w:color w:val="231F20"/>
                <w:sz w:val="14"/>
              </w:rPr>
              <w:t>прошлости и</w:t>
            </w:r>
            <w:r>
              <w:rPr>
                <w:color w:val="231F20"/>
                <w:spacing w:val="-1"/>
                <w:sz w:val="14"/>
              </w:rPr>
              <w:t xml:space="preserve"> </w:t>
            </w:r>
            <w:r>
              <w:rPr>
                <w:color w:val="231F20"/>
                <w:sz w:val="14"/>
              </w:rPr>
              <w:t>садашњости.</w:t>
            </w:r>
          </w:p>
          <w:p w:rsidR="00041039" w:rsidRDefault="001B26CB">
            <w:pPr>
              <w:pStyle w:val="TableParagraph"/>
              <w:numPr>
                <w:ilvl w:val="0"/>
                <w:numId w:val="1113"/>
              </w:numPr>
              <w:tabs>
                <w:tab w:val="left" w:pos="158"/>
              </w:tabs>
              <w:spacing w:before="1" w:line="160" w:lineRule="exact"/>
              <w:ind w:right="162" w:hanging="99"/>
              <w:rPr>
                <w:sz w:val="14"/>
              </w:rPr>
            </w:pPr>
            <w:r>
              <w:rPr>
                <w:color w:val="231F20"/>
                <w:sz w:val="14"/>
              </w:rPr>
              <w:t>Квалитет наставе се обезбеђује усаглашавањем садржа</w:t>
            </w:r>
            <w:r>
              <w:rPr>
                <w:color w:val="231F20"/>
                <w:sz w:val="14"/>
              </w:rPr>
              <w:t>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p w:rsidR="00041039" w:rsidRDefault="001B26CB">
            <w:pPr>
              <w:pStyle w:val="TableParagraph"/>
              <w:numPr>
                <w:ilvl w:val="0"/>
                <w:numId w:val="1113"/>
              </w:numPr>
              <w:tabs>
                <w:tab w:val="left" w:pos="158"/>
              </w:tabs>
              <w:spacing w:line="160" w:lineRule="exact"/>
              <w:ind w:right="196" w:hanging="99"/>
              <w:rPr>
                <w:sz w:val="14"/>
              </w:rPr>
            </w:pPr>
            <w:r>
              <w:rPr>
                <w:color w:val="231F20"/>
                <w:sz w:val="14"/>
              </w:rPr>
              <w:t>Добар индикатор успешне на­ ставе је способност ученика да адекватно примењују стечена знања и вештине и да у пракси изражавају ставове и вредности демократског</w:t>
            </w:r>
            <w:r>
              <w:rPr>
                <w:color w:val="231F20"/>
                <w:spacing w:val="-1"/>
                <w:sz w:val="14"/>
              </w:rPr>
              <w:t xml:space="preserve"> </w:t>
            </w:r>
            <w:r>
              <w:rPr>
                <w:color w:val="231F20"/>
                <w:sz w:val="14"/>
              </w:rPr>
              <w:t>друш</w:t>
            </w:r>
            <w:r>
              <w:rPr>
                <w:color w:val="231F20"/>
                <w:sz w:val="14"/>
              </w:rPr>
              <w:t>тва.</w:t>
            </w:r>
          </w:p>
          <w:p w:rsidR="00041039" w:rsidRDefault="001B26CB">
            <w:pPr>
              <w:pStyle w:val="TableParagraph"/>
              <w:numPr>
                <w:ilvl w:val="0"/>
                <w:numId w:val="1113"/>
              </w:numPr>
              <w:tabs>
                <w:tab w:val="left" w:pos="158"/>
              </w:tabs>
              <w:spacing w:line="160" w:lineRule="exact"/>
              <w:ind w:right="55" w:hanging="99"/>
              <w:rPr>
                <w:sz w:val="14"/>
              </w:rPr>
            </w:pPr>
            <w:r>
              <w:rPr>
                <w:color w:val="231F20"/>
                <w:sz w:val="14"/>
              </w:rPr>
              <w:t xml:space="preserve">Наставник треба да пружи неоп­ </w:t>
            </w:r>
            <w:r>
              <w:rPr>
                <w:color w:val="231F20"/>
                <w:spacing w:val="-3"/>
                <w:sz w:val="14"/>
              </w:rPr>
              <w:t xml:space="preserve">ходну </w:t>
            </w:r>
            <w:r>
              <w:rPr>
                <w:color w:val="231F20"/>
                <w:sz w:val="14"/>
              </w:rPr>
              <w:t>помоћ и подршку ученици­ ма у припреми и реализацији ак­ тивности, а заједно са групом да обезбеди повратну информацију</w:t>
            </w:r>
            <w:r>
              <w:rPr>
                <w:color w:val="231F20"/>
                <w:spacing w:val="-21"/>
                <w:sz w:val="14"/>
              </w:rPr>
              <w:t xml:space="preserve"> </w:t>
            </w:r>
            <w:r>
              <w:rPr>
                <w:color w:val="231F20"/>
                <w:sz w:val="14"/>
              </w:rPr>
              <w:t>о њеној</w:t>
            </w:r>
            <w:r>
              <w:rPr>
                <w:color w:val="231F20"/>
                <w:spacing w:val="-2"/>
                <w:sz w:val="14"/>
              </w:rPr>
              <w:t xml:space="preserve"> </w:t>
            </w:r>
            <w:r>
              <w:rPr>
                <w:color w:val="231F20"/>
                <w:sz w:val="14"/>
              </w:rPr>
              <w:t>успешности.</w:t>
            </w:r>
          </w:p>
          <w:p w:rsidR="00041039" w:rsidRDefault="001B26CB">
            <w:pPr>
              <w:pStyle w:val="TableParagraph"/>
              <w:numPr>
                <w:ilvl w:val="0"/>
                <w:numId w:val="1113"/>
              </w:numPr>
              <w:tabs>
                <w:tab w:val="left" w:pos="158"/>
              </w:tabs>
              <w:spacing w:line="160" w:lineRule="exact"/>
              <w:ind w:right="54" w:hanging="99"/>
              <w:rPr>
                <w:sz w:val="14"/>
              </w:rPr>
            </w:pPr>
            <w:r>
              <w:rPr>
                <w:color w:val="231F20"/>
                <w:sz w:val="14"/>
              </w:rPr>
              <w:t>У реализацији овог програма наставник је извор знања, органи­ затор и води</w:t>
            </w:r>
            <w:r>
              <w:rPr>
                <w:color w:val="231F20"/>
                <w:sz w:val="14"/>
              </w:rPr>
              <w:t>тељ ученичких</w:t>
            </w:r>
            <w:r>
              <w:rPr>
                <w:color w:val="231F20"/>
                <w:spacing w:val="-17"/>
                <w:sz w:val="14"/>
              </w:rPr>
              <w:t xml:space="preserve"> </w:t>
            </w:r>
            <w:r>
              <w:rPr>
                <w:color w:val="231F20"/>
                <w:sz w:val="14"/>
              </w:rPr>
              <w:t>актив­ ности и особа која даје повратну информацију.</w:t>
            </w:r>
          </w:p>
          <w:p w:rsidR="00041039" w:rsidRDefault="001B26CB">
            <w:pPr>
              <w:pStyle w:val="TableParagraph"/>
              <w:numPr>
                <w:ilvl w:val="0"/>
                <w:numId w:val="1113"/>
              </w:numPr>
              <w:tabs>
                <w:tab w:val="left" w:pos="158"/>
              </w:tabs>
              <w:spacing w:line="160" w:lineRule="exact"/>
              <w:ind w:right="251" w:hanging="99"/>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w:t>
            </w:r>
            <w:r>
              <w:rPr>
                <w:color w:val="231F20"/>
                <w:spacing w:val="-9"/>
                <w:sz w:val="14"/>
              </w:rPr>
              <w:t xml:space="preserve"> </w:t>
            </w:r>
            <w:r>
              <w:rPr>
                <w:color w:val="231F20"/>
                <w:sz w:val="14"/>
              </w:rPr>
              <w:t>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1113"/>
              </w:numPr>
              <w:tabs>
                <w:tab w:val="left" w:pos="158"/>
              </w:tabs>
              <w:spacing w:line="237" w:lineRule="auto"/>
              <w:ind w:right="59"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p w:rsidR="00041039" w:rsidRDefault="00041039">
            <w:pPr>
              <w:pStyle w:val="TableParagraph"/>
              <w:spacing w:before="2"/>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113"/>
              </w:numPr>
              <w:tabs>
                <w:tab w:val="left" w:pos="158"/>
              </w:tabs>
              <w:spacing w:line="159"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tc>
      </w:tr>
      <w:tr w:rsidR="00041039">
        <w:trPr>
          <w:trHeight w:val="2600"/>
        </w:trPr>
        <w:tc>
          <w:tcPr>
            <w:tcW w:w="1304" w:type="dxa"/>
          </w:tcPr>
          <w:p w:rsidR="00041039" w:rsidRDefault="001B26CB">
            <w:pPr>
              <w:pStyle w:val="TableParagraph"/>
              <w:spacing w:before="20"/>
              <w:ind w:left="56" w:right="174"/>
              <w:rPr>
                <w:sz w:val="14"/>
              </w:rPr>
            </w:pPr>
            <w:r>
              <w:rPr>
                <w:color w:val="231F20"/>
                <w:sz w:val="14"/>
              </w:rPr>
              <w:t>Грађанин и друштво</w:t>
            </w:r>
          </w:p>
        </w:tc>
        <w:tc>
          <w:tcPr>
            <w:tcW w:w="1587" w:type="dxa"/>
          </w:tcPr>
          <w:p w:rsidR="00041039" w:rsidRDefault="001B26CB">
            <w:pPr>
              <w:pStyle w:val="TableParagraph"/>
              <w:numPr>
                <w:ilvl w:val="0"/>
                <w:numId w:val="1112"/>
              </w:numPr>
              <w:tabs>
                <w:tab w:val="left" w:pos="157"/>
              </w:tabs>
              <w:spacing w:before="10"/>
              <w:ind w:right="183"/>
              <w:rPr>
                <w:sz w:val="14"/>
              </w:rPr>
            </w:pPr>
            <w:r>
              <w:rPr>
                <w:color w:val="231F20"/>
                <w:sz w:val="14"/>
              </w:rPr>
              <w:t xml:space="preserve">Сагледавање </w:t>
            </w:r>
            <w:r>
              <w:rPr>
                <w:color w:val="231F20"/>
                <w:spacing w:val="-3"/>
                <w:sz w:val="14"/>
              </w:rPr>
              <w:t xml:space="preserve">улоге </w:t>
            </w:r>
            <w:r>
              <w:rPr>
                <w:color w:val="231F20"/>
                <w:sz w:val="14"/>
              </w:rPr>
              <w:t>грађанина /</w:t>
            </w:r>
            <w:r>
              <w:rPr>
                <w:color w:val="231F20"/>
                <w:spacing w:val="-16"/>
                <w:sz w:val="14"/>
              </w:rPr>
              <w:t xml:space="preserve"> </w:t>
            </w:r>
            <w:r>
              <w:rPr>
                <w:color w:val="231F20"/>
                <w:sz w:val="14"/>
              </w:rPr>
              <w:t xml:space="preserve">грађанке у демократском </w:t>
            </w:r>
            <w:r>
              <w:rPr>
                <w:color w:val="231F20"/>
                <w:spacing w:val="-3"/>
                <w:sz w:val="14"/>
              </w:rPr>
              <w:t>друштву.</w:t>
            </w:r>
          </w:p>
          <w:p w:rsidR="00041039" w:rsidRDefault="001B26CB">
            <w:pPr>
              <w:pStyle w:val="TableParagraph"/>
              <w:numPr>
                <w:ilvl w:val="0"/>
                <w:numId w:val="1112"/>
              </w:numPr>
              <w:tabs>
                <w:tab w:val="left" w:pos="157"/>
              </w:tabs>
              <w:spacing w:line="156" w:lineRule="exact"/>
              <w:rPr>
                <w:sz w:val="14"/>
              </w:rPr>
            </w:pPr>
            <w:r>
              <w:rPr>
                <w:color w:val="231F20"/>
                <w:sz w:val="14"/>
              </w:rPr>
              <w:t>Упознавање са</w:t>
            </w:r>
            <w:r>
              <w:rPr>
                <w:color w:val="231F20"/>
                <w:spacing w:val="-7"/>
                <w:sz w:val="14"/>
              </w:rPr>
              <w:t xml:space="preserve"> </w:t>
            </w:r>
            <w:r>
              <w:rPr>
                <w:color w:val="231F20"/>
                <w:sz w:val="14"/>
              </w:rPr>
              <w:t>радом</w:t>
            </w:r>
          </w:p>
          <w:p w:rsidR="00041039" w:rsidRDefault="001B26CB">
            <w:pPr>
              <w:pStyle w:val="TableParagraph"/>
              <w:spacing w:line="155" w:lineRule="exact"/>
              <w:rPr>
                <w:sz w:val="14"/>
              </w:rPr>
            </w:pPr>
            <w:r>
              <w:rPr>
                <w:color w:val="231F20"/>
                <w:sz w:val="14"/>
              </w:rPr>
              <w:t>локалне самоуправе.</w:t>
            </w:r>
          </w:p>
          <w:p w:rsidR="00041039" w:rsidRDefault="001B26CB">
            <w:pPr>
              <w:pStyle w:val="TableParagraph"/>
              <w:numPr>
                <w:ilvl w:val="0"/>
                <w:numId w:val="1112"/>
              </w:numPr>
              <w:tabs>
                <w:tab w:val="left" w:pos="157"/>
              </w:tabs>
              <w:spacing w:line="237" w:lineRule="auto"/>
              <w:ind w:right="211"/>
              <w:rPr>
                <w:sz w:val="14"/>
              </w:rPr>
            </w:pPr>
            <w:r>
              <w:rPr>
                <w:color w:val="231F20"/>
                <w:sz w:val="14"/>
              </w:rPr>
              <w:t xml:space="preserve">Сагледавање </w:t>
            </w:r>
            <w:r>
              <w:rPr>
                <w:color w:val="231F20"/>
                <w:spacing w:val="-3"/>
                <w:sz w:val="14"/>
              </w:rPr>
              <w:t xml:space="preserve">улоге </w:t>
            </w:r>
            <w:r>
              <w:rPr>
                <w:color w:val="231F20"/>
                <w:sz w:val="14"/>
              </w:rPr>
              <w:t>и карактеристика цивилног друштва</w:t>
            </w:r>
            <w:r>
              <w:rPr>
                <w:color w:val="231F20"/>
                <w:spacing w:val="-11"/>
                <w:sz w:val="14"/>
              </w:rPr>
              <w:t xml:space="preserve"> </w:t>
            </w:r>
            <w:r>
              <w:rPr>
                <w:color w:val="231F20"/>
                <w:sz w:val="14"/>
              </w:rPr>
              <w:t>у демократији.</w:t>
            </w:r>
          </w:p>
          <w:p w:rsidR="00041039" w:rsidRDefault="001B26CB">
            <w:pPr>
              <w:pStyle w:val="TableParagraph"/>
              <w:numPr>
                <w:ilvl w:val="0"/>
                <w:numId w:val="1112"/>
              </w:numPr>
              <w:tabs>
                <w:tab w:val="left" w:pos="157"/>
              </w:tabs>
              <w:spacing w:line="237" w:lineRule="auto"/>
              <w:ind w:right="105"/>
              <w:rPr>
                <w:sz w:val="14"/>
              </w:rPr>
            </w:pPr>
            <w:r>
              <w:rPr>
                <w:color w:val="231F20"/>
                <w:sz w:val="14"/>
              </w:rPr>
              <w:t>Сагледавање значаја и начина</w:t>
            </w:r>
            <w:r>
              <w:rPr>
                <w:color w:val="231F20"/>
                <w:spacing w:val="-8"/>
                <w:sz w:val="14"/>
              </w:rPr>
              <w:t xml:space="preserve"> </w:t>
            </w:r>
            <w:r>
              <w:rPr>
                <w:color w:val="231F20"/>
                <w:sz w:val="14"/>
              </w:rPr>
              <w:t>учествовања</w:t>
            </w:r>
          </w:p>
          <w:p w:rsidR="00041039" w:rsidRDefault="001B26CB">
            <w:pPr>
              <w:pStyle w:val="TableParagraph"/>
              <w:ind w:right="15"/>
              <w:rPr>
                <w:sz w:val="14"/>
              </w:rPr>
            </w:pPr>
            <w:r>
              <w:rPr>
                <w:color w:val="231F20"/>
                <w:sz w:val="14"/>
              </w:rPr>
              <w:t>грађанина / грађанке у политици.</w:t>
            </w:r>
          </w:p>
        </w:tc>
        <w:tc>
          <w:tcPr>
            <w:tcW w:w="2551" w:type="dxa"/>
          </w:tcPr>
          <w:p w:rsidR="00041039" w:rsidRDefault="001B26CB">
            <w:pPr>
              <w:pStyle w:val="TableParagraph"/>
              <w:numPr>
                <w:ilvl w:val="0"/>
                <w:numId w:val="1111"/>
              </w:numPr>
              <w:tabs>
                <w:tab w:val="left" w:pos="157"/>
              </w:tabs>
              <w:spacing w:before="10"/>
              <w:ind w:right="352" w:hanging="99"/>
              <w:rPr>
                <w:sz w:val="14"/>
              </w:rPr>
            </w:pPr>
            <w:r>
              <w:rPr>
                <w:color w:val="231F20"/>
                <w:sz w:val="14"/>
              </w:rPr>
              <w:t>разуме политичко одређење</w:t>
            </w:r>
            <w:r>
              <w:rPr>
                <w:color w:val="231F20"/>
                <w:spacing w:val="-27"/>
                <w:sz w:val="14"/>
              </w:rPr>
              <w:t xml:space="preserve"> </w:t>
            </w:r>
            <w:r>
              <w:rPr>
                <w:color w:val="231F20"/>
                <w:sz w:val="14"/>
              </w:rPr>
              <w:t>појма грађанин /</w:t>
            </w:r>
            <w:r>
              <w:rPr>
                <w:color w:val="231F20"/>
                <w:spacing w:val="-3"/>
                <w:sz w:val="14"/>
              </w:rPr>
              <w:t xml:space="preserve"> </w:t>
            </w:r>
            <w:r>
              <w:rPr>
                <w:color w:val="231F20"/>
                <w:sz w:val="14"/>
              </w:rPr>
              <w:t>грађанка;</w:t>
            </w:r>
          </w:p>
          <w:p w:rsidR="00041039" w:rsidRDefault="001B26CB">
            <w:pPr>
              <w:pStyle w:val="TableParagraph"/>
              <w:numPr>
                <w:ilvl w:val="0"/>
                <w:numId w:val="1111"/>
              </w:numPr>
              <w:tabs>
                <w:tab w:val="left" w:pos="157"/>
              </w:tabs>
              <w:spacing w:line="160" w:lineRule="exact"/>
              <w:ind w:right="353" w:hanging="99"/>
              <w:rPr>
                <w:sz w:val="14"/>
              </w:rPr>
            </w:pPr>
            <w:r>
              <w:rPr>
                <w:color w:val="231F20"/>
                <w:sz w:val="14"/>
              </w:rPr>
              <w:t>разуме</w:t>
            </w:r>
            <w:r>
              <w:rPr>
                <w:color w:val="231F20"/>
                <w:spacing w:val="-7"/>
                <w:sz w:val="14"/>
              </w:rPr>
              <w:t xml:space="preserve"> </w:t>
            </w:r>
            <w:r>
              <w:rPr>
                <w:color w:val="231F20"/>
                <w:sz w:val="14"/>
              </w:rPr>
              <w:t>значај</w:t>
            </w:r>
            <w:r>
              <w:rPr>
                <w:color w:val="231F20"/>
                <w:spacing w:val="-7"/>
                <w:sz w:val="14"/>
              </w:rPr>
              <w:t xml:space="preserve"> </w:t>
            </w:r>
            <w:r>
              <w:rPr>
                <w:color w:val="231F20"/>
                <w:sz w:val="14"/>
              </w:rPr>
              <w:t>поштовања</w:t>
            </w:r>
            <w:r>
              <w:rPr>
                <w:color w:val="231F20"/>
                <w:spacing w:val="-7"/>
                <w:sz w:val="14"/>
              </w:rPr>
              <w:t xml:space="preserve"> </w:t>
            </w:r>
            <w:r>
              <w:rPr>
                <w:color w:val="231F20"/>
                <w:sz w:val="14"/>
              </w:rPr>
              <w:t>закона</w:t>
            </w:r>
            <w:r>
              <w:rPr>
                <w:color w:val="231F20"/>
                <w:spacing w:val="-7"/>
                <w:sz w:val="14"/>
              </w:rPr>
              <w:t xml:space="preserve"> </w:t>
            </w:r>
            <w:r>
              <w:rPr>
                <w:color w:val="231F20"/>
                <w:sz w:val="14"/>
              </w:rPr>
              <w:t>у демократској</w:t>
            </w:r>
            <w:r>
              <w:rPr>
                <w:color w:val="231F20"/>
                <w:spacing w:val="-1"/>
                <w:sz w:val="14"/>
              </w:rPr>
              <w:t xml:space="preserve"> </w:t>
            </w:r>
            <w:r>
              <w:rPr>
                <w:color w:val="231F20"/>
                <w:sz w:val="14"/>
              </w:rPr>
              <w:t>држави;</w:t>
            </w:r>
          </w:p>
          <w:p w:rsidR="00041039" w:rsidRDefault="001B26CB">
            <w:pPr>
              <w:pStyle w:val="TableParagraph"/>
              <w:numPr>
                <w:ilvl w:val="0"/>
                <w:numId w:val="1111"/>
              </w:numPr>
              <w:tabs>
                <w:tab w:val="left" w:pos="157"/>
              </w:tabs>
              <w:spacing w:line="160" w:lineRule="exact"/>
              <w:ind w:right="222" w:hanging="99"/>
              <w:rPr>
                <w:sz w:val="14"/>
              </w:rPr>
            </w:pPr>
            <w:r>
              <w:rPr>
                <w:color w:val="231F20"/>
                <w:sz w:val="14"/>
              </w:rPr>
              <w:t>објасни улогу локалне самоуправе</w:t>
            </w:r>
            <w:r>
              <w:rPr>
                <w:color w:val="231F20"/>
                <w:spacing w:val="-22"/>
                <w:sz w:val="14"/>
              </w:rPr>
              <w:t xml:space="preserve"> </w:t>
            </w:r>
            <w:r>
              <w:rPr>
                <w:color w:val="231F20"/>
                <w:sz w:val="14"/>
              </w:rPr>
              <w:t>и послове којима се она</w:t>
            </w:r>
            <w:r>
              <w:rPr>
                <w:color w:val="231F20"/>
                <w:spacing w:val="-2"/>
                <w:sz w:val="14"/>
              </w:rPr>
              <w:t xml:space="preserve"> </w:t>
            </w:r>
            <w:r>
              <w:rPr>
                <w:color w:val="231F20"/>
                <w:sz w:val="14"/>
              </w:rPr>
              <w:t>бави;</w:t>
            </w:r>
          </w:p>
          <w:p w:rsidR="00041039" w:rsidRDefault="001B26CB">
            <w:pPr>
              <w:pStyle w:val="TableParagraph"/>
              <w:numPr>
                <w:ilvl w:val="0"/>
                <w:numId w:val="1111"/>
              </w:numPr>
              <w:tabs>
                <w:tab w:val="left" w:pos="157"/>
              </w:tabs>
              <w:spacing w:line="160" w:lineRule="exact"/>
              <w:ind w:right="55" w:hanging="99"/>
              <w:rPr>
                <w:sz w:val="14"/>
              </w:rPr>
            </w:pPr>
            <w:r>
              <w:rPr>
                <w:color w:val="231F20"/>
                <w:sz w:val="14"/>
              </w:rPr>
              <w:t>објасни карактеристике и улогу</w:t>
            </w:r>
            <w:r>
              <w:rPr>
                <w:color w:val="231F20"/>
                <w:spacing w:val="-23"/>
                <w:sz w:val="14"/>
              </w:rPr>
              <w:t xml:space="preserve"> </w:t>
            </w:r>
            <w:r>
              <w:rPr>
                <w:color w:val="231F20"/>
                <w:sz w:val="14"/>
              </w:rPr>
              <w:t>цивил­ ног</w:t>
            </w:r>
            <w:r>
              <w:rPr>
                <w:color w:val="231F20"/>
                <w:spacing w:val="-2"/>
                <w:sz w:val="14"/>
              </w:rPr>
              <w:t xml:space="preserve"> </w:t>
            </w:r>
            <w:r>
              <w:rPr>
                <w:color w:val="231F20"/>
                <w:sz w:val="14"/>
              </w:rPr>
              <w:t>друштва;</w:t>
            </w:r>
          </w:p>
          <w:p w:rsidR="00041039" w:rsidRDefault="001B26CB">
            <w:pPr>
              <w:pStyle w:val="TableParagraph"/>
              <w:numPr>
                <w:ilvl w:val="0"/>
                <w:numId w:val="1111"/>
              </w:numPr>
              <w:tabs>
                <w:tab w:val="left" w:pos="157"/>
              </w:tabs>
              <w:spacing w:line="160" w:lineRule="exact"/>
              <w:ind w:right="131" w:hanging="99"/>
              <w:rPr>
                <w:sz w:val="14"/>
              </w:rPr>
            </w:pPr>
            <w:r>
              <w:rPr>
                <w:color w:val="231F20"/>
                <w:sz w:val="14"/>
              </w:rPr>
              <w:t xml:space="preserve">наведе могућности утицаја грађана на </w:t>
            </w:r>
            <w:r>
              <w:rPr>
                <w:color w:val="231F20"/>
                <w:spacing w:val="-3"/>
                <w:sz w:val="14"/>
              </w:rPr>
              <w:t xml:space="preserve">власт, </w:t>
            </w:r>
            <w:r>
              <w:rPr>
                <w:color w:val="231F20"/>
                <w:sz w:val="14"/>
              </w:rPr>
              <w:t xml:space="preserve">правни и политички систем (различите форме грађанског </w:t>
            </w:r>
            <w:r>
              <w:rPr>
                <w:color w:val="231F20"/>
                <w:spacing w:val="-3"/>
                <w:sz w:val="14"/>
              </w:rPr>
              <w:t xml:space="preserve">удру­ </w:t>
            </w:r>
            <w:r>
              <w:rPr>
                <w:color w:val="231F20"/>
                <w:sz w:val="14"/>
              </w:rPr>
              <w:t>живања, различите форме</w:t>
            </w:r>
            <w:r>
              <w:rPr>
                <w:color w:val="231F20"/>
                <w:spacing w:val="-14"/>
                <w:sz w:val="14"/>
              </w:rPr>
              <w:t xml:space="preserve"> </w:t>
            </w:r>
            <w:r>
              <w:rPr>
                <w:color w:val="231F20"/>
                <w:sz w:val="14"/>
              </w:rPr>
              <w:t>грађанских иницијатива и</w:t>
            </w:r>
            <w:r>
              <w:rPr>
                <w:color w:val="231F20"/>
                <w:spacing w:val="-2"/>
                <w:sz w:val="14"/>
              </w:rPr>
              <w:t xml:space="preserve"> </w:t>
            </w:r>
            <w:r>
              <w:rPr>
                <w:color w:val="231F20"/>
                <w:sz w:val="14"/>
              </w:rPr>
              <w:t>акција);</w:t>
            </w:r>
          </w:p>
          <w:p w:rsidR="00041039" w:rsidRDefault="001B26CB">
            <w:pPr>
              <w:pStyle w:val="TableParagraph"/>
              <w:numPr>
                <w:ilvl w:val="0"/>
                <w:numId w:val="1111"/>
              </w:numPr>
              <w:tabs>
                <w:tab w:val="left" w:pos="157"/>
              </w:tabs>
              <w:spacing w:before="1" w:line="160" w:lineRule="exact"/>
              <w:ind w:right="198" w:hanging="99"/>
              <w:rPr>
                <w:sz w:val="14"/>
              </w:rPr>
            </w:pPr>
            <w:r>
              <w:rPr>
                <w:color w:val="231F20"/>
                <w:sz w:val="14"/>
              </w:rPr>
              <w:t>идентификује и анализира факторе који ометају / подстичу</w:t>
            </w:r>
            <w:r>
              <w:rPr>
                <w:color w:val="231F20"/>
                <w:spacing w:val="-18"/>
                <w:sz w:val="14"/>
              </w:rPr>
              <w:t xml:space="preserve"> </w:t>
            </w:r>
            <w:r>
              <w:rPr>
                <w:color w:val="231F20"/>
                <w:sz w:val="14"/>
              </w:rPr>
              <w:t>демократски развој</w:t>
            </w:r>
            <w:r>
              <w:rPr>
                <w:color w:val="231F20"/>
                <w:spacing w:val="-1"/>
                <w:sz w:val="14"/>
              </w:rPr>
              <w:t xml:space="preserve"> </w:t>
            </w:r>
            <w:r>
              <w:rPr>
                <w:color w:val="231F20"/>
                <w:sz w:val="14"/>
              </w:rPr>
              <w:t>друштва;</w:t>
            </w:r>
          </w:p>
        </w:tc>
        <w:tc>
          <w:tcPr>
            <w:tcW w:w="2834" w:type="dxa"/>
          </w:tcPr>
          <w:p w:rsidR="00041039" w:rsidRDefault="001B26CB">
            <w:pPr>
              <w:pStyle w:val="TableParagraph"/>
              <w:numPr>
                <w:ilvl w:val="0"/>
                <w:numId w:val="1110"/>
              </w:numPr>
              <w:tabs>
                <w:tab w:val="left" w:pos="157"/>
              </w:tabs>
              <w:spacing w:before="10" w:line="166" w:lineRule="exact"/>
              <w:ind w:hanging="99"/>
              <w:rPr>
                <w:sz w:val="14"/>
              </w:rPr>
            </w:pPr>
            <w:r>
              <w:rPr>
                <w:color w:val="231F20"/>
                <w:sz w:val="14"/>
              </w:rPr>
              <w:t>Однос државе и грађанског</w:t>
            </w:r>
            <w:r>
              <w:rPr>
                <w:color w:val="231F20"/>
                <w:spacing w:val="-6"/>
                <w:sz w:val="14"/>
              </w:rPr>
              <w:t xml:space="preserve"> </w:t>
            </w:r>
            <w:r>
              <w:rPr>
                <w:color w:val="231F20"/>
                <w:sz w:val="14"/>
              </w:rPr>
              <w:t>друштва.</w:t>
            </w:r>
          </w:p>
          <w:p w:rsidR="00041039" w:rsidRDefault="001B26CB">
            <w:pPr>
              <w:pStyle w:val="TableParagraph"/>
              <w:numPr>
                <w:ilvl w:val="0"/>
                <w:numId w:val="1110"/>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грађанина.</w:t>
            </w:r>
          </w:p>
          <w:p w:rsidR="00041039" w:rsidRDefault="001B26CB">
            <w:pPr>
              <w:pStyle w:val="TableParagraph"/>
              <w:numPr>
                <w:ilvl w:val="0"/>
                <w:numId w:val="1110"/>
              </w:numPr>
              <w:tabs>
                <w:tab w:val="left" w:pos="157"/>
              </w:tabs>
              <w:spacing w:line="237" w:lineRule="auto"/>
              <w:ind w:right="260" w:hanging="99"/>
              <w:rPr>
                <w:sz w:val="14"/>
              </w:rPr>
            </w:pPr>
            <w:r>
              <w:rPr>
                <w:color w:val="231F20"/>
                <w:sz w:val="14"/>
              </w:rPr>
              <w:t>Значај и начин учествовања грађанина</w:t>
            </w:r>
            <w:r>
              <w:rPr>
                <w:color w:val="231F20"/>
                <w:spacing w:val="-22"/>
                <w:sz w:val="14"/>
              </w:rPr>
              <w:t xml:space="preserve"> </w:t>
            </w:r>
            <w:r>
              <w:rPr>
                <w:color w:val="231F20"/>
                <w:sz w:val="14"/>
              </w:rPr>
              <w:t>у политици.</w:t>
            </w:r>
          </w:p>
          <w:p w:rsidR="00041039" w:rsidRDefault="001B26CB">
            <w:pPr>
              <w:pStyle w:val="TableParagraph"/>
              <w:numPr>
                <w:ilvl w:val="0"/>
                <w:numId w:val="1110"/>
              </w:numPr>
              <w:tabs>
                <w:tab w:val="left" w:pos="157"/>
              </w:tabs>
              <w:spacing w:line="161" w:lineRule="exact"/>
              <w:ind w:hanging="99"/>
              <w:rPr>
                <w:sz w:val="14"/>
              </w:rPr>
            </w:pPr>
            <w:r>
              <w:rPr>
                <w:color w:val="231F20"/>
                <w:spacing w:val="-4"/>
                <w:sz w:val="14"/>
              </w:rPr>
              <w:t xml:space="preserve">Улога </w:t>
            </w:r>
            <w:r>
              <w:rPr>
                <w:color w:val="231F20"/>
                <w:sz w:val="14"/>
              </w:rPr>
              <w:t>грађана у остваривању</w:t>
            </w:r>
            <w:r>
              <w:rPr>
                <w:color w:val="231F20"/>
                <w:spacing w:val="-1"/>
                <w:sz w:val="14"/>
              </w:rPr>
              <w:t xml:space="preserve"> </w:t>
            </w:r>
            <w:r>
              <w:rPr>
                <w:color w:val="231F20"/>
                <w:sz w:val="14"/>
              </w:rPr>
              <w:t>права.</w:t>
            </w:r>
          </w:p>
        </w:tc>
        <w:tc>
          <w:tcPr>
            <w:tcW w:w="2267" w:type="dxa"/>
            <w:vMerge/>
            <w:tcBorders>
              <w:top w:val="nil"/>
            </w:tcBorders>
          </w:tcPr>
          <w:p w:rsidR="00041039" w:rsidRDefault="00041039">
            <w:pPr>
              <w:rPr>
                <w:sz w:val="2"/>
                <w:szCs w:val="2"/>
              </w:rPr>
            </w:pPr>
          </w:p>
        </w:tc>
      </w:tr>
      <w:tr w:rsidR="00041039">
        <w:trPr>
          <w:trHeight w:val="5539"/>
        </w:trPr>
        <w:tc>
          <w:tcPr>
            <w:tcW w:w="1304" w:type="dxa"/>
          </w:tcPr>
          <w:p w:rsidR="00041039" w:rsidRDefault="001B26CB">
            <w:pPr>
              <w:pStyle w:val="TableParagraph"/>
              <w:spacing w:before="20"/>
              <w:ind w:left="56" w:right="73"/>
              <w:rPr>
                <w:sz w:val="14"/>
              </w:rPr>
            </w:pPr>
            <w:r>
              <w:rPr>
                <w:color w:val="231F20"/>
                <w:sz w:val="14"/>
              </w:rPr>
              <w:t>Грађанска и политичка права и право на грађанску иницијативу</w:t>
            </w:r>
          </w:p>
        </w:tc>
        <w:tc>
          <w:tcPr>
            <w:tcW w:w="1587" w:type="dxa"/>
          </w:tcPr>
          <w:p w:rsidR="00041039" w:rsidRDefault="001B26CB">
            <w:pPr>
              <w:pStyle w:val="TableParagraph"/>
              <w:numPr>
                <w:ilvl w:val="0"/>
                <w:numId w:val="1109"/>
              </w:numPr>
              <w:tabs>
                <w:tab w:val="left" w:pos="157"/>
              </w:tabs>
              <w:spacing w:before="10"/>
              <w:ind w:right="191"/>
              <w:rPr>
                <w:sz w:val="14"/>
              </w:rPr>
            </w:pPr>
            <w:r>
              <w:rPr>
                <w:color w:val="231F20"/>
                <w:sz w:val="14"/>
              </w:rPr>
              <w:t>Упознавање уче­ ника са суштином грађанских права н правом на</w:t>
            </w:r>
            <w:r>
              <w:rPr>
                <w:color w:val="231F20"/>
                <w:spacing w:val="-16"/>
                <w:sz w:val="14"/>
              </w:rPr>
              <w:t xml:space="preserve"> </w:t>
            </w:r>
            <w:r>
              <w:rPr>
                <w:color w:val="231F20"/>
                <w:sz w:val="14"/>
              </w:rPr>
              <w:t xml:space="preserve">грађанску </w:t>
            </w:r>
            <w:r>
              <w:rPr>
                <w:color w:val="231F20"/>
                <w:spacing w:val="-3"/>
                <w:sz w:val="14"/>
              </w:rPr>
              <w:t>иницијативу.</w:t>
            </w:r>
          </w:p>
          <w:p w:rsidR="00041039" w:rsidRDefault="001B26CB">
            <w:pPr>
              <w:pStyle w:val="TableParagraph"/>
              <w:numPr>
                <w:ilvl w:val="0"/>
                <w:numId w:val="1109"/>
              </w:numPr>
              <w:tabs>
                <w:tab w:val="left" w:pos="157"/>
              </w:tabs>
              <w:spacing w:line="155" w:lineRule="exact"/>
              <w:rPr>
                <w:sz w:val="14"/>
              </w:rPr>
            </w:pPr>
            <w:r>
              <w:rPr>
                <w:color w:val="231F20"/>
                <w:sz w:val="14"/>
              </w:rPr>
              <w:t>Сагледавање</w:t>
            </w:r>
            <w:r>
              <w:rPr>
                <w:color w:val="231F20"/>
                <w:spacing w:val="-1"/>
                <w:sz w:val="14"/>
              </w:rPr>
              <w:t xml:space="preserve"> </w:t>
            </w:r>
            <w:r>
              <w:rPr>
                <w:color w:val="231F20"/>
                <w:spacing w:val="-3"/>
                <w:sz w:val="14"/>
              </w:rPr>
              <w:t>улоге</w:t>
            </w:r>
          </w:p>
          <w:p w:rsidR="00041039" w:rsidRDefault="001B26CB">
            <w:pPr>
              <w:pStyle w:val="TableParagraph"/>
              <w:ind w:right="56"/>
              <w:jc w:val="both"/>
              <w:rPr>
                <w:sz w:val="14"/>
              </w:rPr>
            </w:pPr>
            <w:r>
              <w:rPr>
                <w:color w:val="231F20"/>
                <w:sz w:val="14"/>
              </w:rPr>
              <w:t>грађана у остваривању људских права у</w:t>
            </w:r>
            <w:r>
              <w:rPr>
                <w:color w:val="231F20"/>
                <w:spacing w:val="-15"/>
                <w:sz w:val="14"/>
              </w:rPr>
              <w:t xml:space="preserve"> </w:t>
            </w:r>
            <w:r>
              <w:rPr>
                <w:color w:val="231F20"/>
                <w:sz w:val="14"/>
              </w:rPr>
              <w:t>демо­ кратском</w:t>
            </w:r>
            <w:r>
              <w:rPr>
                <w:color w:val="231F20"/>
                <w:spacing w:val="-2"/>
                <w:sz w:val="14"/>
              </w:rPr>
              <w:t xml:space="preserve"> </w:t>
            </w:r>
            <w:r>
              <w:rPr>
                <w:color w:val="231F20"/>
                <w:spacing w:val="-3"/>
                <w:sz w:val="14"/>
              </w:rPr>
              <w:t>друштву.</w:t>
            </w:r>
          </w:p>
          <w:p w:rsidR="00041039" w:rsidRDefault="001B26CB">
            <w:pPr>
              <w:pStyle w:val="TableParagraph"/>
              <w:numPr>
                <w:ilvl w:val="0"/>
                <w:numId w:val="1109"/>
              </w:numPr>
              <w:tabs>
                <w:tab w:val="left" w:pos="157"/>
              </w:tabs>
              <w:spacing w:line="158" w:lineRule="exact"/>
              <w:rPr>
                <w:sz w:val="14"/>
              </w:rPr>
            </w:pPr>
            <w:r>
              <w:rPr>
                <w:color w:val="231F20"/>
                <w:sz w:val="14"/>
              </w:rPr>
              <w:t>Сагледавање</w:t>
            </w:r>
            <w:r>
              <w:rPr>
                <w:color w:val="231F20"/>
                <w:spacing w:val="-2"/>
                <w:sz w:val="14"/>
              </w:rPr>
              <w:t xml:space="preserve"> </w:t>
            </w:r>
            <w:r>
              <w:rPr>
                <w:color w:val="231F20"/>
                <w:sz w:val="14"/>
              </w:rPr>
              <w:t>неоп­</w:t>
            </w:r>
          </w:p>
          <w:p w:rsidR="00041039" w:rsidRDefault="001B26CB">
            <w:pPr>
              <w:pStyle w:val="TableParagraph"/>
              <w:ind w:right="15"/>
              <w:rPr>
                <w:sz w:val="14"/>
              </w:rPr>
            </w:pPr>
            <w:r>
              <w:rPr>
                <w:color w:val="231F20"/>
                <w:sz w:val="14"/>
              </w:rPr>
              <w:t>ходности и начина активног учешћа грађана у демократ­ ском друштву.</w:t>
            </w:r>
          </w:p>
        </w:tc>
        <w:tc>
          <w:tcPr>
            <w:tcW w:w="2551" w:type="dxa"/>
          </w:tcPr>
          <w:p w:rsidR="00041039" w:rsidRDefault="001B26CB">
            <w:pPr>
              <w:pStyle w:val="TableParagraph"/>
              <w:numPr>
                <w:ilvl w:val="0"/>
                <w:numId w:val="1108"/>
              </w:numPr>
              <w:tabs>
                <w:tab w:val="left" w:pos="157"/>
              </w:tabs>
              <w:spacing w:before="11" w:line="166" w:lineRule="exact"/>
              <w:ind w:hanging="99"/>
              <w:rPr>
                <w:sz w:val="14"/>
              </w:rPr>
            </w:pPr>
            <w:r>
              <w:rPr>
                <w:color w:val="231F20"/>
                <w:sz w:val="14"/>
              </w:rPr>
              <w:t>објасни појам људских</w:t>
            </w:r>
            <w:r>
              <w:rPr>
                <w:color w:val="231F20"/>
                <w:spacing w:val="-4"/>
                <w:sz w:val="14"/>
              </w:rPr>
              <w:t xml:space="preserve"> </w:t>
            </w:r>
            <w:r>
              <w:rPr>
                <w:color w:val="231F20"/>
                <w:sz w:val="14"/>
              </w:rPr>
              <w:t>права;</w:t>
            </w:r>
          </w:p>
          <w:p w:rsidR="00041039" w:rsidRDefault="001B26CB">
            <w:pPr>
              <w:pStyle w:val="TableParagraph"/>
              <w:numPr>
                <w:ilvl w:val="0"/>
                <w:numId w:val="1108"/>
              </w:numPr>
              <w:tabs>
                <w:tab w:val="left" w:pos="157"/>
              </w:tabs>
              <w:spacing w:line="237" w:lineRule="auto"/>
              <w:ind w:right="117" w:hanging="99"/>
              <w:rPr>
                <w:sz w:val="14"/>
              </w:rPr>
            </w:pPr>
            <w:r>
              <w:rPr>
                <w:color w:val="231F20"/>
                <w:sz w:val="14"/>
              </w:rPr>
              <w:t>наведе врсте људских права и</w:t>
            </w:r>
            <w:r>
              <w:rPr>
                <w:color w:val="231F20"/>
                <w:spacing w:val="-24"/>
                <w:sz w:val="14"/>
              </w:rPr>
              <w:t xml:space="preserve"> </w:t>
            </w:r>
            <w:r>
              <w:rPr>
                <w:color w:val="231F20"/>
                <w:sz w:val="14"/>
              </w:rPr>
              <w:t>објасни њихов</w:t>
            </w:r>
            <w:r>
              <w:rPr>
                <w:color w:val="231F20"/>
                <w:spacing w:val="-1"/>
                <w:sz w:val="14"/>
              </w:rPr>
              <w:t xml:space="preserve"> </w:t>
            </w:r>
            <w:r>
              <w:rPr>
                <w:color w:val="231F20"/>
                <w:sz w:val="14"/>
              </w:rPr>
              <w:t>садржај;</w:t>
            </w:r>
          </w:p>
          <w:p w:rsidR="00041039" w:rsidRDefault="001B26CB">
            <w:pPr>
              <w:pStyle w:val="TableParagraph"/>
              <w:numPr>
                <w:ilvl w:val="0"/>
                <w:numId w:val="1108"/>
              </w:numPr>
              <w:tabs>
                <w:tab w:val="left" w:pos="157"/>
              </w:tabs>
              <w:spacing w:line="160" w:lineRule="exact"/>
              <w:ind w:right="337" w:hanging="99"/>
              <w:rPr>
                <w:sz w:val="14"/>
              </w:rPr>
            </w:pPr>
            <w:r>
              <w:rPr>
                <w:color w:val="231F20"/>
                <w:sz w:val="14"/>
              </w:rPr>
              <w:t>анализира представљање</w:t>
            </w:r>
            <w:r>
              <w:rPr>
                <w:color w:val="231F20"/>
                <w:spacing w:val="-16"/>
                <w:sz w:val="14"/>
              </w:rPr>
              <w:t xml:space="preserve"> </w:t>
            </w:r>
            <w:r>
              <w:rPr>
                <w:color w:val="231F20"/>
                <w:sz w:val="14"/>
              </w:rPr>
              <w:t>људских права у актуелним</w:t>
            </w:r>
            <w:r>
              <w:rPr>
                <w:color w:val="231F20"/>
                <w:spacing w:val="-4"/>
                <w:sz w:val="14"/>
              </w:rPr>
              <w:t xml:space="preserve"> </w:t>
            </w:r>
            <w:r>
              <w:rPr>
                <w:color w:val="231F20"/>
                <w:sz w:val="14"/>
              </w:rPr>
              <w:t>медијима;</w:t>
            </w:r>
          </w:p>
          <w:p w:rsidR="00041039" w:rsidRDefault="001B26CB">
            <w:pPr>
              <w:pStyle w:val="TableParagraph"/>
              <w:numPr>
                <w:ilvl w:val="0"/>
                <w:numId w:val="1108"/>
              </w:numPr>
              <w:tabs>
                <w:tab w:val="left" w:pos="157"/>
              </w:tabs>
              <w:spacing w:line="160" w:lineRule="exact"/>
              <w:ind w:right="178" w:hanging="99"/>
              <w:rPr>
                <w:sz w:val="14"/>
              </w:rPr>
            </w:pPr>
            <w:r>
              <w:rPr>
                <w:color w:val="231F20"/>
                <w:sz w:val="14"/>
              </w:rPr>
              <w:t>објасни улогу појединца у заштити</w:t>
            </w:r>
            <w:r>
              <w:rPr>
                <w:color w:val="231F20"/>
                <w:spacing w:val="-22"/>
                <w:sz w:val="14"/>
              </w:rPr>
              <w:t xml:space="preserve"> </w:t>
            </w:r>
            <w:r>
              <w:rPr>
                <w:color w:val="231F20"/>
                <w:sz w:val="14"/>
              </w:rPr>
              <w:t>и остваривању људских</w:t>
            </w:r>
            <w:r>
              <w:rPr>
                <w:color w:val="231F20"/>
                <w:spacing w:val="-2"/>
                <w:sz w:val="14"/>
              </w:rPr>
              <w:t xml:space="preserve"> </w:t>
            </w:r>
            <w:r>
              <w:rPr>
                <w:color w:val="231F20"/>
                <w:sz w:val="14"/>
              </w:rPr>
              <w:t>права;</w:t>
            </w:r>
          </w:p>
          <w:p w:rsidR="00041039" w:rsidRDefault="001B26CB">
            <w:pPr>
              <w:pStyle w:val="TableParagraph"/>
              <w:numPr>
                <w:ilvl w:val="0"/>
                <w:numId w:val="1108"/>
              </w:numPr>
              <w:tabs>
                <w:tab w:val="left" w:pos="157"/>
              </w:tabs>
              <w:spacing w:line="153" w:lineRule="exact"/>
              <w:ind w:hanging="99"/>
              <w:rPr>
                <w:sz w:val="14"/>
              </w:rPr>
            </w:pPr>
            <w:r>
              <w:rPr>
                <w:color w:val="231F20"/>
                <w:sz w:val="14"/>
              </w:rPr>
              <w:t>објасни појам грађанске</w:t>
            </w:r>
            <w:r>
              <w:rPr>
                <w:color w:val="231F20"/>
                <w:spacing w:val="-12"/>
                <w:sz w:val="14"/>
              </w:rPr>
              <w:t xml:space="preserve"> </w:t>
            </w:r>
            <w:r>
              <w:rPr>
                <w:color w:val="231F20"/>
                <w:sz w:val="14"/>
              </w:rPr>
              <w:t>иницијативе;</w:t>
            </w:r>
          </w:p>
          <w:p w:rsidR="00041039" w:rsidRDefault="001B26CB">
            <w:pPr>
              <w:pStyle w:val="TableParagraph"/>
              <w:numPr>
                <w:ilvl w:val="0"/>
                <w:numId w:val="1108"/>
              </w:numPr>
              <w:tabs>
                <w:tab w:val="left" w:pos="157"/>
              </w:tabs>
              <w:spacing w:line="237" w:lineRule="auto"/>
              <w:ind w:right="270" w:hanging="99"/>
              <w:rPr>
                <w:sz w:val="14"/>
              </w:rPr>
            </w:pPr>
            <w:r>
              <w:rPr>
                <w:color w:val="231F20"/>
                <w:sz w:val="14"/>
              </w:rPr>
              <w:t>наведе надлежности општине и по­ слове којима се она</w:t>
            </w:r>
            <w:r>
              <w:rPr>
                <w:color w:val="231F20"/>
                <w:spacing w:val="-2"/>
                <w:sz w:val="14"/>
              </w:rPr>
              <w:t xml:space="preserve"> </w:t>
            </w:r>
            <w:r>
              <w:rPr>
                <w:color w:val="231F20"/>
                <w:sz w:val="14"/>
              </w:rPr>
              <w:t>бави;</w:t>
            </w:r>
          </w:p>
          <w:p w:rsidR="00041039" w:rsidRDefault="001B26CB">
            <w:pPr>
              <w:pStyle w:val="TableParagraph"/>
              <w:numPr>
                <w:ilvl w:val="0"/>
                <w:numId w:val="1108"/>
              </w:numPr>
              <w:tabs>
                <w:tab w:val="left" w:pos="157"/>
              </w:tabs>
              <w:spacing w:line="160" w:lineRule="exact"/>
              <w:ind w:right="251" w:hanging="99"/>
              <w:rPr>
                <w:sz w:val="14"/>
              </w:rPr>
            </w:pPr>
            <w:r>
              <w:rPr>
                <w:color w:val="231F20"/>
                <w:sz w:val="14"/>
              </w:rPr>
              <w:t xml:space="preserve">разликује формалну </w:t>
            </w:r>
            <w:r>
              <w:rPr>
                <w:color w:val="231F20"/>
                <w:spacing w:val="-3"/>
                <w:sz w:val="14"/>
              </w:rPr>
              <w:t xml:space="preserve">од </w:t>
            </w:r>
            <w:r>
              <w:rPr>
                <w:color w:val="231F20"/>
                <w:sz w:val="14"/>
              </w:rPr>
              <w:t>неформалне иницијативе;</w:t>
            </w:r>
          </w:p>
          <w:p w:rsidR="00041039" w:rsidRDefault="001B26CB">
            <w:pPr>
              <w:pStyle w:val="TableParagraph"/>
              <w:numPr>
                <w:ilvl w:val="0"/>
                <w:numId w:val="1108"/>
              </w:numPr>
              <w:tabs>
                <w:tab w:val="left" w:pos="157"/>
              </w:tabs>
              <w:spacing w:line="160" w:lineRule="exact"/>
              <w:ind w:right="267" w:hanging="99"/>
              <w:rPr>
                <w:sz w:val="14"/>
              </w:rPr>
            </w:pPr>
            <w:r>
              <w:rPr>
                <w:color w:val="231F20"/>
                <w:sz w:val="14"/>
              </w:rPr>
              <w:t>наведе форму и садржај</w:t>
            </w:r>
            <w:r>
              <w:rPr>
                <w:color w:val="231F20"/>
                <w:spacing w:val="-14"/>
                <w:sz w:val="14"/>
              </w:rPr>
              <w:t xml:space="preserve"> </w:t>
            </w:r>
            <w:r>
              <w:rPr>
                <w:color w:val="231F20"/>
                <w:sz w:val="14"/>
              </w:rPr>
              <w:t>формалног предлога грађанске</w:t>
            </w:r>
            <w:r>
              <w:rPr>
                <w:color w:val="231F20"/>
                <w:spacing w:val="-8"/>
                <w:sz w:val="14"/>
              </w:rPr>
              <w:t xml:space="preserve"> </w:t>
            </w:r>
            <w:r>
              <w:rPr>
                <w:color w:val="231F20"/>
                <w:sz w:val="14"/>
              </w:rPr>
              <w:t>иницијативе;</w:t>
            </w:r>
          </w:p>
          <w:p w:rsidR="00041039" w:rsidRDefault="001B26CB">
            <w:pPr>
              <w:pStyle w:val="TableParagraph"/>
              <w:numPr>
                <w:ilvl w:val="0"/>
                <w:numId w:val="1108"/>
              </w:numPr>
              <w:tabs>
                <w:tab w:val="left" w:pos="157"/>
              </w:tabs>
              <w:spacing w:line="160" w:lineRule="exact"/>
              <w:ind w:right="105" w:hanging="99"/>
              <w:rPr>
                <w:sz w:val="14"/>
              </w:rPr>
            </w:pPr>
            <w:r>
              <w:rPr>
                <w:color w:val="231F20"/>
                <w:sz w:val="14"/>
              </w:rPr>
              <w:t xml:space="preserve">наведе </w:t>
            </w:r>
            <w:r>
              <w:rPr>
                <w:color w:val="231F20"/>
                <w:spacing w:val="-3"/>
                <w:sz w:val="14"/>
              </w:rPr>
              <w:t xml:space="preserve">структуру, </w:t>
            </w:r>
            <w:r>
              <w:rPr>
                <w:color w:val="231F20"/>
                <w:sz w:val="14"/>
              </w:rPr>
              <w:t>функционисање, правила и процедуре рада</w:t>
            </w:r>
            <w:r>
              <w:rPr>
                <w:color w:val="231F20"/>
                <w:spacing w:val="-16"/>
                <w:sz w:val="14"/>
              </w:rPr>
              <w:t xml:space="preserve"> </w:t>
            </w:r>
            <w:r>
              <w:rPr>
                <w:color w:val="231F20"/>
                <w:sz w:val="14"/>
              </w:rPr>
              <w:t>скупштине;</w:t>
            </w:r>
          </w:p>
          <w:p w:rsidR="00041039" w:rsidRDefault="001B26CB">
            <w:pPr>
              <w:pStyle w:val="TableParagraph"/>
              <w:numPr>
                <w:ilvl w:val="0"/>
                <w:numId w:val="1108"/>
              </w:numPr>
              <w:tabs>
                <w:tab w:val="left" w:pos="157"/>
              </w:tabs>
              <w:spacing w:line="160" w:lineRule="exact"/>
              <w:ind w:right="65" w:hanging="99"/>
              <w:rPr>
                <w:sz w:val="14"/>
              </w:rPr>
            </w:pPr>
            <w:r>
              <w:rPr>
                <w:color w:val="231F20"/>
                <w:sz w:val="14"/>
              </w:rPr>
              <w:t>изведе симулацију заседања скупшти­ не поштујући све процедуре у</w:t>
            </w:r>
            <w:r>
              <w:rPr>
                <w:color w:val="231F20"/>
                <w:spacing w:val="-16"/>
                <w:sz w:val="14"/>
              </w:rPr>
              <w:t xml:space="preserve"> </w:t>
            </w:r>
            <w:r>
              <w:rPr>
                <w:color w:val="231F20"/>
                <w:sz w:val="14"/>
              </w:rPr>
              <w:t>процесу доношења одлука на предлог</w:t>
            </w:r>
            <w:r>
              <w:rPr>
                <w:color w:val="231F20"/>
                <w:spacing w:val="-16"/>
                <w:sz w:val="14"/>
              </w:rPr>
              <w:t xml:space="preserve"> </w:t>
            </w:r>
            <w:r>
              <w:rPr>
                <w:color w:val="231F20"/>
                <w:sz w:val="14"/>
              </w:rPr>
              <w:t>грађана;</w:t>
            </w:r>
          </w:p>
          <w:p w:rsidR="00041039" w:rsidRDefault="001B26CB">
            <w:pPr>
              <w:pStyle w:val="TableParagraph"/>
              <w:numPr>
                <w:ilvl w:val="0"/>
                <w:numId w:val="1108"/>
              </w:numPr>
              <w:tabs>
                <w:tab w:val="left" w:pos="157"/>
              </w:tabs>
              <w:spacing w:line="160" w:lineRule="exact"/>
              <w:ind w:right="57" w:hanging="99"/>
              <w:rPr>
                <w:sz w:val="14"/>
              </w:rPr>
            </w:pPr>
            <w:r>
              <w:rPr>
                <w:color w:val="231F20"/>
                <w:sz w:val="14"/>
              </w:rPr>
              <w:t>објасни појам, карактеристике, улогу</w:t>
            </w:r>
            <w:r>
              <w:rPr>
                <w:color w:val="231F20"/>
                <w:spacing w:val="-23"/>
                <w:sz w:val="14"/>
              </w:rPr>
              <w:t xml:space="preserve"> </w:t>
            </w:r>
            <w:r>
              <w:rPr>
                <w:color w:val="231F20"/>
                <w:sz w:val="14"/>
              </w:rPr>
              <w:t>и врсте удруживања</w:t>
            </w:r>
            <w:r>
              <w:rPr>
                <w:color w:val="231F20"/>
                <w:spacing w:val="-4"/>
                <w:sz w:val="14"/>
              </w:rPr>
              <w:t xml:space="preserve"> </w:t>
            </w:r>
            <w:r>
              <w:rPr>
                <w:color w:val="231F20"/>
                <w:sz w:val="14"/>
              </w:rPr>
              <w:t>грађана;</w:t>
            </w:r>
          </w:p>
          <w:p w:rsidR="00041039" w:rsidRDefault="001B26CB">
            <w:pPr>
              <w:pStyle w:val="TableParagraph"/>
              <w:numPr>
                <w:ilvl w:val="0"/>
                <w:numId w:val="1108"/>
              </w:numPr>
              <w:tabs>
                <w:tab w:val="left" w:pos="157"/>
              </w:tabs>
              <w:spacing w:line="160" w:lineRule="exact"/>
              <w:ind w:right="95" w:hanging="99"/>
              <w:rPr>
                <w:sz w:val="14"/>
              </w:rPr>
            </w:pPr>
            <w:r>
              <w:rPr>
                <w:color w:val="231F20"/>
                <w:sz w:val="14"/>
              </w:rPr>
              <w:t>идентификује и анализира активности и акције удружења грађана у својој локалној</w:t>
            </w:r>
            <w:r>
              <w:rPr>
                <w:color w:val="231F20"/>
                <w:spacing w:val="-2"/>
                <w:sz w:val="14"/>
              </w:rPr>
              <w:t xml:space="preserve"> </w:t>
            </w:r>
            <w:r>
              <w:rPr>
                <w:color w:val="231F20"/>
                <w:sz w:val="14"/>
              </w:rPr>
              <w:t>заједници;</w:t>
            </w:r>
          </w:p>
        </w:tc>
        <w:tc>
          <w:tcPr>
            <w:tcW w:w="2834" w:type="dxa"/>
          </w:tcPr>
          <w:p w:rsidR="00041039" w:rsidRDefault="001B26CB">
            <w:pPr>
              <w:pStyle w:val="TableParagraph"/>
              <w:numPr>
                <w:ilvl w:val="0"/>
                <w:numId w:val="1107"/>
              </w:numPr>
              <w:tabs>
                <w:tab w:val="left" w:pos="158"/>
              </w:tabs>
              <w:spacing w:before="11" w:line="166" w:lineRule="exact"/>
              <w:rPr>
                <w:sz w:val="14"/>
              </w:rPr>
            </w:pPr>
            <w:r>
              <w:rPr>
                <w:color w:val="231F20"/>
                <w:sz w:val="14"/>
              </w:rPr>
              <w:t>Право на грађанску</w:t>
            </w:r>
            <w:r>
              <w:rPr>
                <w:color w:val="231F20"/>
                <w:spacing w:val="-2"/>
                <w:sz w:val="14"/>
              </w:rPr>
              <w:t xml:space="preserve"> </w:t>
            </w:r>
            <w:r>
              <w:rPr>
                <w:color w:val="231F20"/>
                <w:spacing w:val="-3"/>
                <w:sz w:val="14"/>
              </w:rPr>
              <w:t>иницијативу.</w:t>
            </w:r>
          </w:p>
          <w:p w:rsidR="00041039" w:rsidRDefault="001B26CB">
            <w:pPr>
              <w:pStyle w:val="TableParagraph"/>
              <w:numPr>
                <w:ilvl w:val="0"/>
                <w:numId w:val="1107"/>
              </w:numPr>
              <w:tabs>
                <w:tab w:val="left" w:pos="158"/>
              </w:tabs>
              <w:spacing w:line="237" w:lineRule="auto"/>
              <w:ind w:right="640"/>
              <w:rPr>
                <w:sz w:val="14"/>
              </w:rPr>
            </w:pPr>
            <w:r>
              <w:rPr>
                <w:color w:val="231F20"/>
                <w:sz w:val="14"/>
              </w:rPr>
              <w:t>Партиципација грађана у про­ цесу доношења одлука и право</w:t>
            </w:r>
            <w:r>
              <w:rPr>
                <w:color w:val="231F20"/>
                <w:spacing w:val="-15"/>
                <w:sz w:val="14"/>
              </w:rPr>
              <w:t xml:space="preserve"> </w:t>
            </w:r>
            <w:r>
              <w:rPr>
                <w:color w:val="231F20"/>
                <w:sz w:val="14"/>
              </w:rPr>
              <w:t>на самоорганизовање</w:t>
            </w:r>
            <w:r>
              <w:rPr>
                <w:color w:val="231F20"/>
                <w:spacing w:val="-1"/>
                <w:sz w:val="14"/>
              </w:rPr>
              <w:t xml:space="preserve"> </w:t>
            </w:r>
            <w:r>
              <w:rPr>
                <w:color w:val="231F20"/>
                <w:sz w:val="14"/>
              </w:rPr>
              <w:t>грађана.</w:t>
            </w:r>
          </w:p>
          <w:p w:rsidR="00041039" w:rsidRDefault="001B26CB">
            <w:pPr>
              <w:pStyle w:val="TableParagraph"/>
              <w:numPr>
                <w:ilvl w:val="0"/>
                <w:numId w:val="1107"/>
              </w:numPr>
              <w:tabs>
                <w:tab w:val="left" w:pos="158"/>
              </w:tabs>
              <w:spacing w:line="162" w:lineRule="exact"/>
              <w:rPr>
                <w:sz w:val="14"/>
              </w:rPr>
            </w:pPr>
            <w:r>
              <w:rPr>
                <w:color w:val="231F20"/>
                <w:spacing w:val="-4"/>
                <w:sz w:val="14"/>
              </w:rPr>
              <w:t xml:space="preserve">Улога </w:t>
            </w:r>
            <w:r>
              <w:rPr>
                <w:color w:val="231F20"/>
                <w:sz w:val="14"/>
              </w:rPr>
              <w:t>невладиних</w:t>
            </w:r>
            <w:r>
              <w:rPr>
                <w:color w:val="231F20"/>
                <w:sz w:val="14"/>
              </w:rPr>
              <w:t xml:space="preserve"> </w:t>
            </w:r>
            <w:r>
              <w:rPr>
                <w:color w:val="231F20"/>
                <w:sz w:val="14"/>
              </w:rPr>
              <w:t>организација.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120"/>
        </w:trPr>
        <w:tc>
          <w:tcPr>
            <w:tcW w:w="1304" w:type="dxa"/>
          </w:tcPr>
          <w:p w:rsidR="00041039" w:rsidRDefault="001B26CB">
            <w:pPr>
              <w:pStyle w:val="TableParagraph"/>
              <w:spacing w:before="18"/>
              <w:ind w:left="56" w:right="37"/>
              <w:rPr>
                <w:sz w:val="14"/>
              </w:rPr>
            </w:pPr>
            <w:r>
              <w:rPr>
                <w:color w:val="231F20"/>
                <w:sz w:val="14"/>
              </w:rPr>
              <w:lastRenderedPageBreak/>
              <w:t>Планирање кон­ кретне акције</w:t>
            </w:r>
          </w:p>
        </w:tc>
        <w:tc>
          <w:tcPr>
            <w:tcW w:w="1587" w:type="dxa"/>
          </w:tcPr>
          <w:p w:rsidR="00041039" w:rsidRDefault="001B26CB">
            <w:pPr>
              <w:pStyle w:val="TableParagraph"/>
              <w:numPr>
                <w:ilvl w:val="0"/>
                <w:numId w:val="1106"/>
              </w:numPr>
              <w:tabs>
                <w:tab w:val="left" w:pos="157"/>
              </w:tabs>
              <w:spacing w:before="8"/>
              <w:ind w:right="79"/>
              <w:rPr>
                <w:sz w:val="14"/>
              </w:rPr>
            </w:pPr>
            <w:r>
              <w:rPr>
                <w:color w:val="231F20"/>
                <w:sz w:val="14"/>
              </w:rPr>
              <w:t>Подстицање и оспо­ собљавање ученика за планирање заједнич­ ких акција и</w:t>
            </w:r>
            <w:r>
              <w:rPr>
                <w:color w:val="231F20"/>
                <w:spacing w:val="-11"/>
                <w:sz w:val="14"/>
              </w:rPr>
              <w:t xml:space="preserve"> </w:t>
            </w:r>
            <w:r>
              <w:rPr>
                <w:color w:val="231F20"/>
                <w:sz w:val="14"/>
              </w:rPr>
              <w:t>пројеката у локалној</w:t>
            </w:r>
            <w:r>
              <w:rPr>
                <w:color w:val="231F20"/>
                <w:spacing w:val="-8"/>
                <w:sz w:val="14"/>
              </w:rPr>
              <w:t xml:space="preserve"> </w:t>
            </w:r>
            <w:r>
              <w:rPr>
                <w:color w:val="231F20"/>
                <w:sz w:val="14"/>
              </w:rPr>
              <w:t>заједници.</w:t>
            </w:r>
          </w:p>
        </w:tc>
        <w:tc>
          <w:tcPr>
            <w:tcW w:w="2551" w:type="dxa"/>
          </w:tcPr>
          <w:p w:rsidR="00041039" w:rsidRDefault="001B26CB">
            <w:pPr>
              <w:pStyle w:val="TableParagraph"/>
              <w:numPr>
                <w:ilvl w:val="0"/>
                <w:numId w:val="1105"/>
              </w:numPr>
              <w:tabs>
                <w:tab w:val="left" w:pos="157"/>
              </w:tabs>
              <w:spacing w:before="8"/>
              <w:ind w:right="54" w:hanging="99"/>
              <w:rPr>
                <w:sz w:val="14"/>
              </w:rPr>
            </w:pPr>
            <w:r>
              <w:rPr>
                <w:color w:val="231F20"/>
                <w:sz w:val="14"/>
              </w:rPr>
              <w:t>идентификује проблеме у својој</w:t>
            </w:r>
            <w:r>
              <w:rPr>
                <w:color w:val="231F20"/>
                <w:spacing w:val="-25"/>
                <w:sz w:val="14"/>
              </w:rPr>
              <w:t xml:space="preserve"> </w:t>
            </w:r>
            <w:r>
              <w:rPr>
                <w:color w:val="231F20"/>
                <w:sz w:val="14"/>
              </w:rPr>
              <w:t>локал­ ној</w:t>
            </w:r>
            <w:r>
              <w:rPr>
                <w:color w:val="231F20"/>
                <w:spacing w:val="-2"/>
                <w:sz w:val="14"/>
              </w:rPr>
              <w:t xml:space="preserve"> </w:t>
            </w:r>
            <w:r>
              <w:rPr>
                <w:color w:val="231F20"/>
                <w:sz w:val="14"/>
              </w:rPr>
              <w:t>заједници;</w:t>
            </w:r>
          </w:p>
          <w:p w:rsidR="00041039" w:rsidRDefault="001B26CB">
            <w:pPr>
              <w:pStyle w:val="TableParagraph"/>
              <w:numPr>
                <w:ilvl w:val="0"/>
                <w:numId w:val="1105"/>
              </w:numPr>
              <w:tabs>
                <w:tab w:val="left" w:pos="157"/>
              </w:tabs>
              <w:spacing w:line="160" w:lineRule="exact"/>
              <w:ind w:right="80" w:hanging="99"/>
              <w:rPr>
                <w:sz w:val="14"/>
              </w:rPr>
            </w:pPr>
            <w:r>
              <w:rPr>
                <w:color w:val="231F20"/>
                <w:sz w:val="14"/>
              </w:rPr>
              <w:t>анализира изабране проблеме,</w:t>
            </w:r>
            <w:r>
              <w:rPr>
                <w:color w:val="231F20"/>
                <w:spacing w:val="-26"/>
                <w:sz w:val="14"/>
              </w:rPr>
              <w:t xml:space="preserve"> </w:t>
            </w:r>
            <w:r>
              <w:rPr>
                <w:color w:val="231F20"/>
                <w:sz w:val="14"/>
              </w:rPr>
              <w:t>изучава их;</w:t>
            </w:r>
          </w:p>
          <w:p w:rsidR="00041039" w:rsidRDefault="001B26CB">
            <w:pPr>
              <w:pStyle w:val="TableParagraph"/>
              <w:numPr>
                <w:ilvl w:val="0"/>
                <w:numId w:val="1105"/>
              </w:numPr>
              <w:tabs>
                <w:tab w:val="left" w:pos="157"/>
              </w:tabs>
              <w:spacing w:line="160" w:lineRule="exact"/>
              <w:ind w:right="279" w:hanging="99"/>
              <w:rPr>
                <w:sz w:val="14"/>
              </w:rPr>
            </w:pPr>
            <w:r>
              <w:rPr>
                <w:color w:val="231F20"/>
                <w:sz w:val="14"/>
              </w:rPr>
              <w:t>предлаже активности и дискутује</w:t>
            </w:r>
            <w:r>
              <w:rPr>
                <w:color w:val="231F20"/>
                <w:spacing w:val="-10"/>
                <w:sz w:val="14"/>
              </w:rPr>
              <w:t xml:space="preserve"> </w:t>
            </w:r>
            <w:r>
              <w:rPr>
                <w:color w:val="231F20"/>
                <w:sz w:val="14"/>
              </w:rPr>
              <w:t>о њима са осталим члановима</w:t>
            </w:r>
            <w:r>
              <w:rPr>
                <w:color w:val="231F20"/>
                <w:spacing w:val="-2"/>
                <w:sz w:val="14"/>
              </w:rPr>
              <w:t xml:space="preserve"> </w:t>
            </w:r>
            <w:r>
              <w:rPr>
                <w:color w:val="231F20"/>
                <w:sz w:val="14"/>
              </w:rPr>
              <w:t>тима;</w:t>
            </w:r>
          </w:p>
          <w:p w:rsidR="00041039" w:rsidRDefault="001B26CB">
            <w:pPr>
              <w:pStyle w:val="TableParagraph"/>
              <w:numPr>
                <w:ilvl w:val="0"/>
                <w:numId w:val="1105"/>
              </w:numPr>
              <w:tabs>
                <w:tab w:val="left" w:pos="157"/>
              </w:tabs>
              <w:spacing w:line="160" w:lineRule="exact"/>
              <w:ind w:right="209" w:hanging="99"/>
              <w:rPr>
                <w:sz w:val="14"/>
              </w:rPr>
            </w:pPr>
            <w:r>
              <w:rPr>
                <w:color w:val="231F20"/>
                <w:sz w:val="14"/>
              </w:rPr>
              <w:t>сарађује са члановима тима и учест­ вује у доношењу</w:t>
            </w:r>
            <w:r>
              <w:rPr>
                <w:color w:val="231F20"/>
                <w:spacing w:val="-2"/>
                <w:sz w:val="14"/>
              </w:rPr>
              <w:t xml:space="preserve"> </w:t>
            </w:r>
            <w:r>
              <w:rPr>
                <w:color w:val="231F20"/>
                <w:sz w:val="14"/>
              </w:rPr>
              <w:t>одлука;</w:t>
            </w:r>
          </w:p>
          <w:p w:rsidR="00041039" w:rsidRDefault="001B26CB">
            <w:pPr>
              <w:pStyle w:val="TableParagraph"/>
              <w:numPr>
                <w:ilvl w:val="0"/>
                <w:numId w:val="1105"/>
              </w:numPr>
              <w:tabs>
                <w:tab w:val="left" w:pos="157"/>
              </w:tabs>
              <w:spacing w:line="153" w:lineRule="exact"/>
              <w:ind w:hanging="99"/>
              <w:rPr>
                <w:sz w:val="14"/>
              </w:rPr>
            </w:pPr>
            <w:r>
              <w:rPr>
                <w:color w:val="231F20"/>
                <w:sz w:val="14"/>
              </w:rPr>
              <w:t xml:space="preserve">формулише циљеве и </w:t>
            </w:r>
            <w:r>
              <w:rPr>
                <w:color w:val="231F20"/>
                <w:spacing w:val="-2"/>
                <w:sz w:val="14"/>
              </w:rPr>
              <w:t>кораке</w:t>
            </w:r>
            <w:r>
              <w:rPr>
                <w:color w:val="231F20"/>
                <w:spacing w:val="-9"/>
                <w:sz w:val="14"/>
              </w:rPr>
              <w:t xml:space="preserve"> </w:t>
            </w:r>
            <w:r>
              <w:rPr>
                <w:color w:val="231F20"/>
                <w:sz w:val="14"/>
              </w:rPr>
              <w:t>акције;</w:t>
            </w:r>
          </w:p>
          <w:p w:rsidR="00041039" w:rsidRDefault="001B26CB">
            <w:pPr>
              <w:pStyle w:val="TableParagraph"/>
              <w:numPr>
                <w:ilvl w:val="0"/>
                <w:numId w:val="1105"/>
              </w:numPr>
              <w:tabs>
                <w:tab w:val="left" w:pos="157"/>
              </w:tabs>
              <w:spacing w:line="237" w:lineRule="auto"/>
              <w:ind w:right="464" w:hanging="99"/>
              <w:rPr>
                <w:sz w:val="14"/>
              </w:rPr>
            </w:pPr>
            <w:r>
              <w:rPr>
                <w:color w:val="231F20"/>
                <w:sz w:val="14"/>
              </w:rPr>
              <w:t>иницира активности, прати их</w:t>
            </w:r>
            <w:r>
              <w:rPr>
                <w:color w:val="231F20"/>
                <w:spacing w:val="-14"/>
                <w:sz w:val="14"/>
              </w:rPr>
              <w:t xml:space="preserve"> </w:t>
            </w:r>
            <w:r>
              <w:rPr>
                <w:color w:val="231F20"/>
                <w:sz w:val="14"/>
              </w:rPr>
              <w:t>и оцењује</w:t>
            </w:r>
          </w:p>
          <w:p w:rsidR="00041039" w:rsidRDefault="001B26CB">
            <w:pPr>
              <w:pStyle w:val="TableParagraph"/>
              <w:numPr>
                <w:ilvl w:val="0"/>
                <w:numId w:val="1105"/>
              </w:numPr>
              <w:tabs>
                <w:tab w:val="left" w:pos="157"/>
              </w:tabs>
              <w:spacing w:line="160" w:lineRule="exact"/>
              <w:ind w:right="234" w:hanging="99"/>
              <w:rPr>
                <w:sz w:val="14"/>
              </w:rPr>
            </w:pPr>
            <w:r>
              <w:rPr>
                <w:color w:val="231F20"/>
                <w:sz w:val="14"/>
              </w:rPr>
              <w:t>представи путем јавне презентације нацрт акције и резултате</w:t>
            </w:r>
            <w:r>
              <w:rPr>
                <w:color w:val="231F20"/>
                <w:spacing w:val="-8"/>
                <w:sz w:val="14"/>
              </w:rPr>
              <w:t xml:space="preserve"> </w:t>
            </w:r>
            <w:r>
              <w:rPr>
                <w:color w:val="231F20"/>
                <w:sz w:val="14"/>
              </w:rPr>
              <w:t>акције;</w:t>
            </w:r>
          </w:p>
        </w:tc>
        <w:tc>
          <w:tcPr>
            <w:tcW w:w="2834" w:type="dxa"/>
          </w:tcPr>
          <w:p w:rsidR="00041039" w:rsidRDefault="001B26CB">
            <w:pPr>
              <w:pStyle w:val="TableParagraph"/>
              <w:numPr>
                <w:ilvl w:val="0"/>
                <w:numId w:val="1104"/>
              </w:numPr>
              <w:tabs>
                <w:tab w:val="left" w:pos="157"/>
              </w:tabs>
              <w:spacing w:before="8" w:line="166" w:lineRule="exact"/>
              <w:ind w:hanging="99"/>
              <w:rPr>
                <w:sz w:val="14"/>
              </w:rPr>
            </w:pPr>
            <w:r>
              <w:rPr>
                <w:color w:val="231F20"/>
                <w:sz w:val="14"/>
              </w:rPr>
              <w:t>Избор</w:t>
            </w:r>
            <w:r>
              <w:rPr>
                <w:color w:val="231F20"/>
                <w:spacing w:val="-2"/>
                <w:sz w:val="14"/>
              </w:rPr>
              <w:t xml:space="preserve"> </w:t>
            </w:r>
            <w:r>
              <w:rPr>
                <w:color w:val="231F20"/>
                <w:sz w:val="14"/>
              </w:rPr>
              <w:t>проблема.</w:t>
            </w:r>
          </w:p>
          <w:p w:rsidR="00041039" w:rsidRDefault="001B26CB">
            <w:pPr>
              <w:pStyle w:val="TableParagraph"/>
              <w:numPr>
                <w:ilvl w:val="0"/>
                <w:numId w:val="1104"/>
              </w:numPr>
              <w:tabs>
                <w:tab w:val="left" w:pos="157"/>
              </w:tabs>
              <w:spacing w:line="160" w:lineRule="exact"/>
              <w:ind w:hanging="99"/>
              <w:rPr>
                <w:sz w:val="14"/>
              </w:rPr>
            </w:pPr>
            <w:r>
              <w:rPr>
                <w:color w:val="231F20"/>
                <w:sz w:val="14"/>
              </w:rPr>
              <w:t>Идентификација могућих</w:t>
            </w:r>
            <w:r>
              <w:rPr>
                <w:color w:val="231F20"/>
                <w:spacing w:val="-2"/>
                <w:sz w:val="14"/>
              </w:rPr>
              <w:t xml:space="preserve"> </w:t>
            </w:r>
            <w:r>
              <w:rPr>
                <w:color w:val="231F20"/>
                <w:sz w:val="14"/>
              </w:rPr>
              <w:t>решења.</w:t>
            </w:r>
          </w:p>
          <w:p w:rsidR="00041039" w:rsidRDefault="001B26CB">
            <w:pPr>
              <w:pStyle w:val="TableParagraph"/>
              <w:numPr>
                <w:ilvl w:val="0"/>
                <w:numId w:val="1104"/>
              </w:numPr>
              <w:tabs>
                <w:tab w:val="left" w:pos="157"/>
              </w:tabs>
              <w:spacing w:line="160" w:lineRule="exact"/>
              <w:ind w:hanging="99"/>
              <w:rPr>
                <w:sz w:val="14"/>
              </w:rPr>
            </w:pPr>
            <w:r>
              <w:rPr>
                <w:color w:val="231F20"/>
                <w:sz w:val="14"/>
              </w:rPr>
              <w:t>Припрема нацрта</w:t>
            </w:r>
            <w:r>
              <w:rPr>
                <w:color w:val="231F20"/>
                <w:spacing w:val="-1"/>
                <w:sz w:val="14"/>
              </w:rPr>
              <w:t xml:space="preserve"> </w:t>
            </w:r>
            <w:r>
              <w:rPr>
                <w:color w:val="231F20"/>
                <w:sz w:val="14"/>
              </w:rPr>
              <w:t>акције.</w:t>
            </w:r>
          </w:p>
          <w:p w:rsidR="00041039" w:rsidRDefault="001B26CB">
            <w:pPr>
              <w:pStyle w:val="TableParagraph"/>
              <w:numPr>
                <w:ilvl w:val="0"/>
                <w:numId w:val="1104"/>
              </w:numPr>
              <w:tabs>
                <w:tab w:val="left" w:pos="157"/>
              </w:tabs>
              <w:spacing w:line="237" w:lineRule="auto"/>
              <w:ind w:right="120" w:hanging="99"/>
              <w:rPr>
                <w:sz w:val="14"/>
              </w:rPr>
            </w:pPr>
            <w:r>
              <w:rPr>
                <w:color w:val="231F20"/>
                <w:sz w:val="14"/>
              </w:rPr>
              <w:t>Реализација акције (ван редовних часова</w:t>
            </w:r>
            <w:r>
              <w:rPr>
                <w:color w:val="231F20"/>
                <w:spacing w:val="-13"/>
                <w:sz w:val="14"/>
              </w:rPr>
              <w:t xml:space="preserve"> </w:t>
            </w:r>
            <w:r>
              <w:rPr>
                <w:color w:val="231F20"/>
                <w:sz w:val="14"/>
              </w:rPr>
              <w:t>и учионице).</w:t>
            </w:r>
          </w:p>
          <w:p w:rsidR="00041039" w:rsidRDefault="001B26CB">
            <w:pPr>
              <w:pStyle w:val="TableParagraph"/>
              <w:numPr>
                <w:ilvl w:val="0"/>
                <w:numId w:val="1104"/>
              </w:numPr>
              <w:tabs>
                <w:tab w:val="left" w:pos="157"/>
              </w:tabs>
              <w:spacing w:line="155" w:lineRule="exact"/>
              <w:ind w:hanging="99"/>
              <w:rPr>
                <w:sz w:val="14"/>
              </w:rPr>
            </w:pPr>
            <w:r>
              <w:rPr>
                <w:color w:val="231F20"/>
                <w:sz w:val="14"/>
              </w:rPr>
              <w:t>Анализа реализоване</w:t>
            </w:r>
            <w:r>
              <w:rPr>
                <w:color w:val="231F20"/>
                <w:spacing w:val="-2"/>
                <w:sz w:val="14"/>
              </w:rPr>
              <w:t xml:space="preserve"> </w:t>
            </w:r>
            <w:r>
              <w:rPr>
                <w:color w:val="231F20"/>
                <w:sz w:val="14"/>
              </w:rPr>
              <w:t>акције.</w:t>
            </w:r>
          </w:p>
          <w:p w:rsidR="00041039" w:rsidRDefault="001B26CB">
            <w:pPr>
              <w:pStyle w:val="TableParagraph"/>
              <w:numPr>
                <w:ilvl w:val="0"/>
                <w:numId w:val="1104"/>
              </w:numPr>
              <w:tabs>
                <w:tab w:val="left" w:pos="157"/>
              </w:tabs>
              <w:spacing w:line="166" w:lineRule="exact"/>
              <w:ind w:hanging="99"/>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267" w:type="dxa"/>
          </w:tcPr>
          <w:p w:rsidR="00041039" w:rsidRDefault="001B26CB">
            <w:pPr>
              <w:pStyle w:val="TableParagraph"/>
              <w:spacing w:before="16"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103"/>
              </w:numPr>
              <w:tabs>
                <w:tab w:val="left" w:pos="158"/>
              </w:tabs>
              <w:spacing w:line="237" w:lineRule="auto"/>
              <w:ind w:right="497" w:hanging="99"/>
              <w:rPr>
                <w:b/>
                <w:sz w:val="14"/>
              </w:rPr>
            </w:pPr>
            <w:r>
              <w:rPr>
                <w:color w:val="231F20"/>
                <w:sz w:val="14"/>
              </w:rPr>
              <w:t>Демократија и политика</w:t>
            </w:r>
            <w:r>
              <w:rPr>
                <w:color w:val="231F20"/>
                <w:spacing w:val="-16"/>
                <w:sz w:val="14"/>
              </w:rPr>
              <w:t xml:space="preserve"> </w:t>
            </w:r>
            <w:r>
              <w:rPr>
                <w:b/>
                <w:color w:val="231F20"/>
                <w:sz w:val="14"/>
              </w:rPr>
              <w:t>(5 часова)</w:t>
            </w:r>
          </w:p>
          <w:p w:rsidR="00041039" w:rsidRDefault="001B26CB">
            <w:pPr>
              <w:pStyle w:val="TableParagraph"/>
              <w:numPr>
                <w:ilvl w:val="0"/>
                <w:numId w:val="1103"/>
              </w:numPr>
              <w:tabs>
                <w:tab w:val="left" w:pos="158"/>
              </w:tabs>
              <w:spacing w:line="155" w:lineRule="exact"/>
              <w:ind w:hanging="99"/>
              <w:rPr>
                <w:b/>
                <w:sz w:val="14"/>
              </w:rPr>
            </w:pPr>
            <w:r>
              <w:rPr>
                <w:color w:val="231F20"/>
                <w:sz w:val="14"/>
              </w:rPr>
              <w:t xml:space="preserve">Грађанин и друштво </w:t>
            </w:r>
            <w:r>
              <w:rPr>
                <w:b/>
                <w:color w:val="231F20"/>
                <w:spacing w:val="-3"/>
                <w:sz w:val="14"/>
              </w:rPr>
              <w:t>(11</w:t>
            </w:r>
            <w:r>
              <w:rPr>
                <w:b/>
                <w:color w:val="231F20"/>
                <w:spacing w:val="-11"/>
                <w:sz w:val="14"/>
              </w:rPr>
              <w:t xml:space="preserve"> </w:t>
            </w:r>
            <w:r>
              <w:rPr>
                <w:b/>
                <w:color w:val="231F20"/>
                <w:sz w:val="14"/>
              </w:rPr>
              <w:t>часова)</w:t>
            </w:r>
          </w:p>
          <w:p w:rsidR="00041039" w:rsidRDefault="001B26CB">
            <w:pPr>
              <w:pStyle w:val="TableParagraph"/>
              <w:numPr>
                <w:ilvl w:val="0"/>
                <w:numId w:val="1103"/>
              </w:numPr>
              <w:tabs>
                <w:tab w:val="left" w:pos="158"/>
              </w:tabs>
              <w:spacing w:line="237" w:lineRule="auto"/>
              <w:ind w:right="181" w:hanging="99"/>
              <w:rPr>
                <w:b/>
                <w:sz w:val="14"/>
              </w:rPr>
            </w:pPr>
            <w:r>
              <w:rPr>
                <w:color w:val="231F20"/>
                <w:sz w:val="14"/>
              </w:rPr>
              <w:t>Грађанска и политичка права и право на грађанску</w:t>
            </w:r>
            <w:r>
              <w:rPr>
                <w:color w:val="231F20"/>
                <w:spacing w:val="-26"/>
                <w:sz w:val="14"/>
              </w:rPr>
              <w:t xml:space="preserve"> </w:t>
            </w:r>
            <w:r>
              <w:rPr>
                <w:color w:val="231F20"/>
                <w:sz w:val="14"/>
              </w:rPr>
              <w:t xml:space="preserve">иницијативу </w:t>
            </w:r>
            <w:r>
              <w:rPr>
                <w:b/>
                <w:color w:val="231F20"/>
                <w:sz w:val="14"/>
              </w:rPr>
              <w:t>(10</w:t>
            </w:r>
            <w:r>
              <w:rPr>
                <w:b/>
                <w:color w:val="231F20"/>
                <w:spacing w:val="-1"/>
                <w:sz w:val="14"/>
              </w:rPr>
              <w:t xml:space="preserve"> </w:t>
            </w:r>
            <w:r>
              <w:rPr>
                <w:b/>
                <w:color w:val="231F20"/>
                <w:sz w:val="14"/>
              </w:rPr>
              <w:t>часова)</w:t>
            </w:r>
          </w:p>
          <w:p w:rsidR="00041039" w:rsidRDefault="001B26CB">
            <w:pPr>
              <w:pStyle w:val="TableParagraph"/>
              <w:numPr>
                <w:ilvl w:val="0"/>
                <w:numId w:val="1103"/>
              </w:numPr>
              <w:tabs>
                <w:tab w:val="left" w:pos="158"/>
              </w:tabs>
              <w:spacing w:line="237" w:lineRule="auto"/>
              <w:ind w:right="211" w:hanging="99"/>
              <w:rPr>
                <w:b/>
                <w:sz w:val="14"/>
              </w:rPr>
            </w:pPr>
            <w:r>
              <w:rPr>
                <w:color w:val="231F20"/>
                <w:sz w:val="14"/>
              </w:rPr>
              <w:t>Планирање конкретне акције</w:t>
            </w:r>
            <w:r>
              <w:rPr>
                <w:color w:val="231F20"/>
                <w:spacing w:val="-15"/>
                <w:sz w:val="14"/>
              </w:rPr>
              <w:t xml:space="preserve"> </w:t>
            </w:r>
            <w:r>
              <w:rPr>
                <w:b/>
                <w:color w:val="231F20"/>
                <w:sz w:val="14"/>
              </w:rPr>
              <w:t>(9 часова)</w:t>
            </w:r>
          </w:p>
        </w:tc>
      </w:tr>
    </w:tbl>
    <w:p w:rsidR="00041039" w:rsidRDefault="00041039">
      <w:pPr>
        <w:pStyle w:val="BodyText"/>
        <w:spacing w:before="6"/>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32 часа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400"/>
        </w:trPr>
        <w:tc>
          <w:tcPr>
            <w:tcW w:w="1304" w:type="dxa"/>
          </w:tcPr>
          <w:p w:rsidR="00041039" w:rsidRDefault="001B26CB">
            <w:pPr>
              <w:pStyle w:val="TableParagraph"/>
              <w:spacing w:before="18"/>
              <w:ind w:left="34" w:right="116"/>
              <w:jc w:val="center"/>
              <w:rPr>
                <w:sz w:val="14"/>
              </w:rPr>
            </w:pPr>
            <w:r>
              <w:rPr>
                <w:color w:val="231F20"/>
                <w:sz w:val="14"/>
              </w:rPr>
              <w:t>Свет информација</w:t>
            </w:r>
          </w:p>
        </w:tc>
        <w:tc>
          <w:tcPr>
            <w:tcW w:w="1587" w:type="dxa"/>
          </w:tcPr>
          <w:p w:rsidR="00041039" w:rsidRDefault="001B26CB">
            <w:pPr>
              <w:pStyle w:val="TableParagraph"/>
              <w:numPr>
                <w:ilvl w:val="0"/>
                <w:numId w:val="1102"/>
              </w:numPr>
              <w:tabs>
                <w:tab w:val="left" w:pos="157"/>
              </w:tabs>
              <w:spacing w:before="8"/>
              <w:ind w:right="76"/>
              <w:rPr>
                <w:sz w:val="14"/>
              </w:rPr>
            </w:pPr>
            <w:r>
              <w:rPr>
                <w:color w:val="231F20"/>
                <w:sz w:val="14"/>
              </w:rPr>
              <w:t xml:space="preserve">Упознавање са могућ­ ностима које </w:t>
            </w:r>
            <w:r>
              <w:rPr>
                <w:i/>
                <w:color w:val="231F20"/>
                <w:sz w:val="14"/>
              </w:rPr>
              <w:t>Закон о слободном приступу информацијама</w:t>
            </w:r>
            <w:r>
              <w:rPr>
                <w:i/>
                <w:color w:val="231F20"/>
                <w:spacing w:val="-17"/>
                <w:sz w:val="14"/>
              </w:rPr>
              <w:t xml:space="preserve"> </w:t>
            </w:r>
            <w:r>
              <w:rPr>
                <w:color w:val="231F20"/>
                <w:sz w:val="14"/>
              </w:rPr>
              <w:t xml:space="preserve">пружа у остваривању </w:t>
            </w:r>
            <w:r>
              <w:rPr>
                <w:color w:val="231F20"/>
                <w:spacing w:val="-3"/>
                <w:sz w:val="14"/>
              </w:rPr>
              <w:t xml:space="preserve">људ­ </w:t>
            </w:r>
            <w:r>
              <w:rPr>
                <w:color w:val="231F20"/>
                <w:sz w:val="14"/>
              </w:rPr>
              <w:t>ских права и</w:t>
            </w:r>
            <w:r>
              <w:rPr>
                <w:color w:val="231F20"/>
                <w:spacing w:val="-8"/>
                <w:sz w:val="14"/>
              </w:rPr>
              <w:t xml:space="preserve"> </w:t>
            </w:r>
            <w:r>
              <w:rPr>
                <w:color w:val="231F20"/>
                <w:sz w:val="14"/>
              </w:rPr>
              <w:t>слобода.</w:t>
            </w:r>
          </w:p>
          <w:p w:rsidR="00041039" w:rsidRDefault="001B26CB">
            <w:pPr>
              <w:pStyle w:val="TableParagraph"/>
              <w:numPr>
                <w:ilvl w:val="0"/>
                <w:numId w:val="1102"/>
              </w:numPr>
              <w:tabs>
                <w:tab w:val="left" w:pos="157"/>
              </w:tabs>
              <w:spacing w:line="154" w:lineRule="exact"/>
              <w:rPr>
                <w:sz w:val="14"/>
              </w:rPr>
            </w:pPr>
            <w:r>
              <w:rPr>
                <w:color w:val="231F20"/>
                <w:sz w:val="14"/>
              </w:rPr>
              <w:t>Оспособљавање</w:t>
            </w:r>
          </w:p>
          <w:p w:rsidR="00041039" w:rsidRDefault="001B26CB">
            <w:pPr>
              <w:pStyle w:val="TableParagraph"/>
              <w:ind w:right="31"/>
              <w:rPr>
                <w:sz w:val="14"/>
              </w:rPr>
            </w:pPr>
            <w:r>
              <w:rPr>
                <w:color w:val="231F20"/>
                <w:sz w:val="14"/>
              </w:rPr>
              <w:t>ученика да самостално траже и долазе до информација од јавног значаја.</w:t>
            </w:r>
          </w:p>
          <w:p w:rsidR="00041039" w:rsidRDefault="001B26CB">
            <w:pPr>
              <w:pStyle w:val="TableParagraph"/>
              <w:numPr>
                <w:ilvl w:val="0"/>
                <w:numId w:val="1102"/>
              </w:numPr>
              <w:tabs>
                <w:tab w:val="left" w:pos="157"/>
              </w:tabs>
              <w:spacing w:line="157" w:lineRule="exact"/>
              <w:rPr>
                <w:sz w:val="14"/>
              </w:rPr>
            </w:pPr>
            <w:r>
              <w:rPr>
                <w:color w:val="231F20"/>
                <w:sz w:val="14"/>
              </w:rPr>
              <w:t xml:space="preserve">Разумевање </w:t>
            </w:r>
            <w:r>
              <w:rPr>
                <w:color w:val="231F20"/>
                <w:spacing w:val="-3"/>
                <w:sz w:val="14"/>
              </w:rPr>
              <w:t>улоге</w:t>
            </w:r>
            <w:r>
              <w:rPr>
                <w:color w:val="231F20"/>
                <w:spacing w:val="-2"/>
                <w:sz w:val="14"/>
              </w:rPr>
              <w:t xml:space="preserve"> </w:t>
            </w:r>
            <w:r>
              <w:rPr>
                <w:color w:val="231F20"/>
                <w:sz w:val="14"/>
              </w:rPr>
              <w:t>и</w:t>
            </w:r>
          </w:p>
          <w:p w:rsidR="00041039" w:rsidRDefault="001B26CB">
            <w:pPr>
              <w:pStyle w:val="TableParagraph"/>
              <w:ind w:right="15"/>
              <w:rPr>
                <w:sz w:val="14"/>
              </w:rPr>
            </w:pPr>
            <w:r>
              <w:rPr>
                <w:color w:val="231F20"/>
                <w:sz w:val="14"/>
              </w:rPr>
              <w:t>значаја медија у савре­ меном друштву.</w:t>
            </w:r>
          </w:p>
          <w:p w:rsidR="00041039" w:rsidRDefault="001B26CB">
            <w:pPr>
              <w:pStyle w:val="TableParagraph"/>
              <w:numPr>
                <w:ilvl w:val="0"/>
                <w:numId w:val="1102"/>
              </w:numPr>
              <w:tabs>
                <w:tab w:val="left" w:pos="157"/>
              </w:tabs>
              <w:spacing w:line="160" w:lineRule="exact"/>
              <w:ind w:right="124"/>
              <w:rPr>
                <w:sz w:val="14"/>
              </w:rPr>
            </w:pPr>
            <w:r>
              <w:rPr>
                <w:color w:val="231F20"/>
                <w:sz w:val="14"/>
              </w:rPr>
              <w:t>Развијање критичког односа према</w:t>
            </w:r>
            <w:r>
              <w:rPr>
                <w:color w:val="231F20"/>
                <w:spacing w:val="-7"/>
                <w:sz w:val="14"/>
              </w:rPr>
              <w:t xml:space="preserve"> </w:t>
            </w:r>
            <w:r>
              <w:rPr>
                <w:color w:val="231F20"/>
                <w:sz w:val="14"/>
              </w:rPr>
              <w:t xml:space="preserve">медији­ ма и информацијама добијеним </w:t>
            </w:r>
            <w:r>
              <w:rPr>
                <w:color w:val="231F20"/>
                <w:spacing w:val="-3"/>
                <w:sz w:val="14"/>
              </w:rPr>
              <w:t xml:space="preserve">преко </w:t>
            </w:r>
            <w:r>
              <w:rPr>
                <w:color w:val="231F20"/>
                <w:sz w:val="14"/>
              </w:rPr>
              <w:t>различитих</w:t>
            </w:r>
            <w:r>
              <w:rPr>
                <w:color w:val="231F20"/>
                <w:spacing w:val="-1"/>
                <w:sz w:val="14"/>
              </w:rPr>
              <w:t xml:space="preserve"> </w:t>
            </w:r>
            <w:r>
              <w:rPr>
                <w:color w:val="231F20"/>
                <w:sz w:val="14"/>
              </w:rPr>
              <w:t>медија.</w:t>
            </w:r>
          </w:p>
        </w:tc>
        <w:tc>
          <w:tcPr>
            <w:tcW w:w="2551" w:type="dxa"/>
          </w:tcPr>
          <w:p w:rsidR="00041039" w:rsidRDefault="001B26CB">
            <w:pPr>
              <w:pStyle w:val="TableParagraph"/>
              <w:numPr>
                <w:ilvl w:val="0"/>
                <w:numId w:val="1101"/>
              </w:numPr>
              <w:tabs>
                <w:tab w:val="left" w:pos="157"/>
              </w:tabs>
              <w:spacing w:before="8"/>
              <w:ind w:right="310" w:hanging="99"/>
              <w:rPr>
                <w:sz w:val="14"/>
              </w:rPr>
            </w:pPr>
            <w:r>
              <w:rPr>
                <w:color w:val="231F20"/>
                <w:sz w:val="14"/>
              </w:rPr>
              <w:t xml:space="preserve">објасни значај постојања права </w:t>
            </w:r>
            <w:r>
              <w:rPr>
                <w:color w:val="231F20"/>
                <w:sz w:val="14"/>
              </w:rPr>
              <w:t>на слободан приступ</w:t>
            </w:r>
            <w:r>
              <w:rPr>
                <w:color w:val="231F20"/>
                <w:spacing w:val="-17"/>
                <w:sz w:val="14"/>
              </w:rPr>
              <w:t xml:space="preserve"> </w:t>
            </w:r>
            <w:r>
              <w:rPr>
                <w:color w:val="231F20"/>
                <w:sz w:val="14"/>
              </w:rPr>
              <w:t>информацијама;</w:t>
            </w:r>
          </w:p>
          <w:p w:rsidR="00041039" w:rsidRDefault="001B26CB">
            <w:pPr>
              <w:pStyle w:val="TableParagraph"/>
              <w:numPr>
                <w:ilvl w:val="0"/>
                <w:numId w:val="1101"/>
              </w:numPr>
              <w:tabs>
                <w:tab w:val="left" w:pos="157"/>
              </w:tabs>
              <w:spacing w:before="1" w:line="160" w:lineRule="exact"/>
              <w:ind w:right="86" w:hanging="99"/>
              <w:rPr>
                <w:sz w:val="14"/>
              </w:rPr>
            </w:pPr>
            <w:r>
              <w:rPr>
                <w:color w:val="231F20"/>
                <w:sz w:val="14"/>
              </w:rPr>
              <w:t xml:space="preserve">објасни појам јавне информације и идентификује информације које су </w:t>
            </w:r>
            <w:r>
              <w:rPr>
                <w:color w:val="231F20"/>
                <w:spacing w:val="-3"/>
                <w:sz w:val="14"/>
              </w:rPr>
              <w:t xml:space="preserve">од </w:t>
            </w:r>
            <w:r>
              <w:rPr>
                <w:color w:val="231F20"/>
                <w:sz w:val="14"/>
              </w:rPr>
              <w:t>јавног</w:t>
            </w:r>
            <w:r>
              <w:rPr>
                <w:color w:val="231F20"/>
                <w:spacing w:val="-5"/>
                <w:sz w:val="14"/>
              </w:rPr>
              <w:t xml:space="preserve"> </w:t>
            </w:r>
            <w:r>
              <w:rPr>
                <w:color w:val="231F20"/>
                <w:sz w:val="14"/>
              </w:rPr>
              <w:t>значаја</w:t>
            </w:r>
            <w:r>
              <w:rPr>
                <w:color w:val="231F20"/>
                <w:spacing w:val="-5"/>
                <w:sz w:val="14"/>
              </w:rPr>
              <w:t xml:space="preserve"> </w:t>
            </w:r>
            <w:r>
              <w:rPr>
                <w:color w:val="231F20"/>
                <w:sz w:val="14"/>
              </w:rPr>
              <w:t>и</w:t>
            </w:r>
            <w:r>
              <w:rPr>
                <w:color w:val="231F20"/>
                <w:spacing w:val="-6"/>
                <w:sz w:val="14"/>
              </w:rPr>
              <w:t xml:space="preserve"> </w:t>
            </w:r>
            <w:r>
              <w:rPr>
                <w:color w:val="231F20"/>
                <w:sz w:val="14"/>
              </w:rPr>
              <w:t>које</w:t>
            </w:r>
            <w:r>
              <w:rPr>
                <w:color w:val="231F20"/>
                <w:spacing w:val="-5"/>
                <w:sz w:val="14"/>
              </w:rPr>
              <w:t xml:space="preserve"> </w:t>
            </w:r>
            <w:r>
              <w:rPr>
                <w:color w:val="231F20"/>
                <w:sz w:val="14"/>
              </w:rPr>
              <w:t>грађанин</w:t>
            </w:r>
            <w:r>
              <w:rPr>
                <w:color w:val="231F20"/>
                <w:spacing w:val="-6"/>
                <w:sz w:val="14"/>
              </w:rPr>
              <w:t xml:space="preserve"> </w:t>
            </w:r>
            <w:r>
              <w:rPr>
                <w:color w:val="231F20"/>
                <w:sz w:val="14"/>
              </w:rPr>
              <w:t>може</w:t>
            </w:r>
            <w:r>
              <w:rPr>
                <w:color w:val="231F20"/>
                <w:spacing w:val="-5"/>
                <w:sz w:val="14"/>
              </w:rPr>
              <w:t xml:space="preserve"> </w:t>
            </w:r>
            <w:r>
              <w:rPr>
                <w:color w:val="231F20"/>
                <w:sz w:val="14"/>
              </w:rPr>
              <w:t>да добије по</w:t>
            </w:r>
            <w:r>
              <w:rPr>
                <w:color w:val="231F20"/>
                <w:spacing w:val="-2"/>
                <w:sz w:val="14"/>
              </w:rPr>
              <w:t xml:space="preserve"> </w:t>
            </w:r>
            <w:r>
              <w:rPr>
                <w:color w:val="231F20"/>
                <w:sz w:val="14"/>
              </w:rPr>
              <w:t>закону;</w:t>
            </w:r>
          </w:p>
          <w:p w:rsidR="00041039" w:rsidRDefault="001B26CB">
            <w:pPr>
              <w:pStyle w:val="TableParagraph"/>
              <w:numPr>
                <w:ilvl w:val="0"/>
                <w:numId w:val="1101"/>
              </w:numPr>
              <w:tabs>
                <w:tab w:val="left" w:pos="157"/>
              </w:tabs>
              <w:spacing w:line="160" w:lineRule="exact"/>
              <w:ind w:right="76" w:hanging="99"/>
              <w:rPr>
                <w:sz w:val="14"/>
              </w:rPr>
            </w:pPr>
            <w:r>
              <w:rPr>
                <w:color w:val="231F20"/>
                <w:sz w:val="14"/>
              </w:rPr>
              <w:t xml:space="preserve">наведе основне одредбе </w:t>
            </w:r>
            <w:r>
              <w:rPr>
                <w:i/>
                <w:color w:val="231F20"/>
                <w:sz w:val="14"/>
              </w:rPr>
              <w:t>Закона о слободном</w:t>
            </w:r>
            <w:r>
              <w:rPr>
                <w:i/>
                <w:color w:val="231F20"/>
                <w:spacing w:val="-10"/>
                <w:sz w:val="14"/>
              </w:rPr>
              <w:t xml:space="preserve"> </w:t>
            </w:r>
            <w:r>
              <w:rPr>
                <w:i/>
                <w:color w:val="231F20"/>
                <w:sz w:val="14"/>
              </w:rPr>
              <w:t>приступу</w:t>
            </w:r>
            <w:r>
              <w:rPr>
                <w:i/>
                <w:color w:val="231F20"/>
                <w:spacing w:val="-10"/>
                <w:sz w:val="14"/>
              </w:rPr>
              <w:t xml:space="preserve"> </w:t>
            </w:r>
            <w:r>
              <w:rPr>
                <w:i/>
                <w:color w:val="231F20"/>
                <w:sz w:val="14"/>
              </w:rPr>
              <w:t>информацијама</w:t>
            </w:r>
            <w:r>
              <w:rPr>
                <w:i/>
                <w:color w:val="231F20"/>
                <w:spacing w:val="-10"/>
                <w:sz w:val="14"/>
              </w:rPr>
              <w:t xml:space="preserve"> </w:t>
            </w:r>
            <w:r>
              <w:rPr>
                <w:color w:val="231F20"/>
                <w:sz w:val="14"/>
              </w:rPr>
              <w:t>и објасни улогу</w:t>
            </w:r>
            <w:r>
              <w:rPr>
                <w:color w:val="231F20"/>
                <w:spacing w:val="-3"/>
                <w:sz w:val="14"/>
              </w:rPr>
              <w:t xml:space="preserve"> </w:t>
            </w:r>
            <w:r>
              <w:rPr>
                <w:color w:val="231F20"/>
                <w:sz w:val="14"/>
              </w:rPr>
              <w:t>повереника;</w:t>
            </w:r>
          </w:p>
          <w:p w:rsidR="00041039" w:rsidRDefault="001B26CB">
            <w:pPr>
              <w:pStyle w:val="TableParagraph"/>
              <w:numPr>
                <w:ilvl w:val="0"/>
                <w:numId w:val="1101"/>
              </w:numPr>
              <w:tabs>
                <w:tab w:val="left" w:pos="157"/>
              </w:tabs>
              <w:spacing w:line="160" w:lineRule="exact"/>
              <w:ind w:right="127" w:hanging="99"/>
              <w:rPr>
                <w:sz w:val="14"/>
              </w:rPr>
            </w:pPr>
            <w:r>
              <w:rPr>
                <w:color w:val="231F20"/>
                <w:sz w:val="14"/>
              </w:rPr>
              <w:t>наведе процедуру подношења</w:t>
            </w:r>
            <w:r>
              <w:rPr>
                <w:color w:val="231F20"/>
                <w:spacing w:val="-24"/>
                <w:sz w:val="14"/>
              </w:rPr>
              <w:t xml:space="preserve"> </w:t>
            </w:r>
            <w:r>
              <w:rPr>
                <w:color w:val="231F20"/>
                <w:sz w:val="14"/>
              </w:rPr>
              <w:t>захтева за приступ информацијама одјавног значаја;</w:t>
            </w:r>
          </w:p>
          <w:p w:rsidR="00041039" w:rsidRDefault="001B26CB">
            <w:pPr>
              <w:pStyle w:val="TableParagraph"/>
              <w:numPr>
                <w:ilvl w:val="0"/>
                <w:numId w:val="1101"/>
              </w:numPr>
              <w:tabs>
                <w:tab w:val="left" w:pos="157"/>
              </w:tabs>
              <w:spacing w:line="160" w:lineRule="exact"/>
              <w:ind w:right="108" w:hanging="99"/>
              <w:rPr>
                <w:sz w:val="14"/>
              </w:rPr>
            </w:pPr>
            <w:r>
              <w:rPr>
                <w:color w:val="231F20"/>
                <w:sz w:val="14"/>
              </w:rPr>
              <w:t>попуни образац и тражи</w:t>
            </w:r>
            <w:r>
              <w:rPr>
                <w:color w:val="231F20"/>
                <w:spacing w:val="-12"/>
                <w:sz w:val="14"/>
              </w:rPr>
              <w:t xml:space="preserve"> </w:t>
            </w:r>
            <w:r>
              <w:rPr>
                <w:color w:val="231F20"/>
                <w:sz w:val="14"/>
              </w:rPr>
              <w:t xml:space="preserve">информацију </w:t>
            </w:r>
            <w:r>
              <w:rPr>
                <w:color w:val="231F20"/>
                <w:spacing w:val="-3"/>
                <w:sz w:val="14"/>
              </w:rPr>
              <w:t xml:space="preserve">од </w:t>
            </w:r>
            <w:r>
              <w:rPr>
                <w:color w:val="231F20"/>
                <w:sz w:val="14"/>
              </w:rPr>
              <w:t>јавног</w:t>
            </w:r>
            <w:r>
              <w:rPr>
                <w:color w:val="231F20"/>
                <w:spacing w:val="1"/>
                <w:sz w:val="14"/>
              </w:rPr>
              <w:t xml:space="preserve"> </w:t>
            </w:r>
            <w:r>
              <w:rPr>
                <w:color w:val="231F20"/>
                <w:sz w:val="14"/>
              </w:rPr>
              <w:t>значаја;</w:t>
            </w:r>
          </w:p>
          <w:p w:rsidR="00041039" w:rsidRDefault="001B26CB">
            <w:pPr>
              <w:pStyle w:val="TableParagraph"/>
              <w:numPr>
                <w:ilvl w:val="0"/>
                <w:numId w:val="1101"/>
              </w:numPr>
              <w:tabs>
                <w:tab w:val="left" w:pos="157"/>
              </w:tabs>
              <w:spacing w:line="160" w:lineRule="exact"/>
              <w:ind w:right="269" w:hanging="99"/>
              <w:rPr>
                <w:sz w:val="14"/>
              </w:rPr>
            </w:pPr>
            <w:r>
              <w:rPr>
                <w:color w:val="231F20"/>
                <w:sz w:val="14"/>
              </w:rPr>
              <w:t>анализира информације које</w:t>
            </w:r>
            <w:r>
              <w:rPr>
                <w:color w:val="231F20"/>
                <w:spacing w:val="-19"/>
                <w:sz w:val="14"/>
              </w:rPr>
              <w:t xml:space="preserve"> </w:t>
            </w:r>
            <w:r>
              <w:rPr>
                <w:color w:val="231F20"/>
                <w:sz w:val="14"/>
              </w:rPr>
              <w:t xml:space="preserve">добија </w:t>
            </w:r>
            <w:r>
              <w:rPr>
                <w:color w:val="231F20"/>
                <w:spacing w:val="-3"/>
                <w:sz w:val="14"/>
              </w:rPr>
              <w:t xml:space="preserve">преко </w:t>
            </w:r>
            <w:r>
              <w:rPr>
                <w:color w:val="231F20"/>
                <w:sz w:val="14"/>
              </w:rPr>
              <w:t>различитих</w:t>
            </w:r>
            <w:r>
              <w:rPr>
                <w:color w:val="231F20"/>
                <w:spacing w:val="2"/>
                <w:sz w:val="14"/>
              </w:rPr>
              <w:t xml:space="preserve"> </w:t>
            </w:r>
            <w:r>
              <w:rPr>
                <w:color w:val="231F20"/>
                <w:sz w:val="14"/>
              </w:rPr>
              <w:t>медија;</w:t>
            </w:r>
          </w:p>
          <w:p w:rsidR="00041039" w:rsidRDefault="001B26CB">
            <w:pPr>
              <w:pStyle w:val="TableParagraph"/>
              <w:numPr>
                <w:ilvl w:val="0"/>
                <w:numId w:val="1101"/>
              </w:numPr>
              <w:tabs>
                <w:tab w:val="left" w:pos="157"/>
              </w:tabs>
              <w:spacing w:line="153" w:lineRule="exact"/>
              <w:ind w:hanging="99"/>
              <w:rPr>
                <w:sz w:val="14"/>
              </w:rPr>
            </w:pPr>
            <w:r>
              <w:rPr>
                <w:color w:val="231F20"/>
                <w:sz w:val="14"/>
              </w:rPr>
              <w:t>тражи, пронађе и даје</w:t>
            </w:r>
            <w:r>
              <w:rPr>
                <w:color w:val="231F20"/>
                <w:spacing w:val="-8"/>
                <w:sz w:val="14"/>
              </w:rPr>
              <w:t xml:space="preserve"> </w:t>
            </w:r>
            <w:r>
              <w:rPr>
                <w:color w:val="231F20"/>
                <w:sz w:val="14"/>
              </w:rPr>
              <w:t>информацију;</w:t>
            </w:r>
          </w:p>
          <w:p w:rsidR="00041039" w:rsidRDefault="001B26CB">
            <w:pPr>
              <w:pStyle w:val="TableParagraph"/>
              <w:numPr>
                <w:ilvl w:val="0"/>
                <w:numId w:val="1101"/>
              </w:numPr>
              <w:tabs>
                <w:tab w:val="left" w:pos="157"/>
              </w:tabs>
              <w:spacing w:line="237" w:lineRule="auto"/>
              <w:ind w:right="414" w:hanging="99"/>
              <w:rPr>
                <w:sz w:val="14"/>
              </w:rPr>
            </w:pPr>
            <w:r>
              <w:rPr>
                <w:color w:val="231F20"/>
                <w:sz w:val="14"/>
              </w:rPr>
              <w:t>открива примере манипулације</w:t>
            </w:r>
            <w:r>
              <w:rPr>
                <w:color w:val="231F20"/>
                <w:spacing w:val="-22"/>
                <w:sz w:val="14"/>
              </w:rPr>
              <w:t xml:space="preserve"> </w:t>
            </w:r>
            <w:r>
              <w:rPr>
                <w:color w:val="231F20"/>
                <w:sz w:val="14"/>
              </w:rPr>
              <w:t>у</w:t>
            </w:r>
            <w:r>
              <w:rPr>
                <w:color w:val="231F20"/>
                <w:sz w:val="14"/>
              </w:rPr>
              <w:t xml:space="preserve"> медијима;</w:t>
            </w:r>
          </w:p>
          <w:p w:rsidR="00041039" w:rsidRDefault="001B26CB">
            <w:pPr>
              <w:pStyle w:val="TableParagraph"/>
              <w:numPr>
                <w:ilvl w:val="0"/>
                <w:numId w:val="1101"/>
              </w:numPr>
              <w:tabs>
                <w:tab w:val="left" w:pos="157"/>
              </w:tabs>
              <w:spacing w:line="160" w:lineRule="exact"/>
              <w:ind w:right="183" w:hanging="99"/>
              <w:rPr>
                <w:sz w:val="14"/>
              </w:rPr>
            </w:pPr>
            <w:r>
              <w:rPr>
                <w:color w:val="231F20"/>
                <w:sz w:val="14"/>
              </w:rPr>
              <w:t>објасни значај објективности и</w:t>
            </w:r>
            <w:r>
              <w:rPr>
                <w:color w:val="231F20"/>
                <w:spacing w:val="-9"/>
                <w:sz w:val="14"/>
              </w:rPr>
              <w:t xml:space="preserve"> </w:t>
            </w:r>
            <w:r>
              <w:rPr>
                <w:color w:val="231F20"/>
                <w:sz w:val="14"/>
              </w:rPr>
              <w:t>веро­ достојности</w:t>
            </w:r>
            <w:r>
              <w:rPr>
                <w:color w:val="231F20"/>
                <w:spacing w:val="-1"/>
                <w:sz w:val="14"/>
              </w:rPr>
              <w:t xml:space="preserve"> </w:t>
            </w:r>
            <w:r>
              <w:rPr>
                <w:color w:val="231F20"/>
                <w:sz w:val="14"/>
              </w:rPr>
              <w:t>информација;</w:t>
            </w:r>
          </w:p>
        </w:tc>
        <w:tc>
          <w:tcPr>
            <w:tcW w:w="2834" w:type="dxa"/>
          </w:tcPr>
          <w:p w:rsidR="00041039" w:rsidRDefault="001B26CB">
            <w:pPr>
              <w:pStyle w:val="TableParagraph"/>
              <w:numPr>
                <w:ilvl w:val="0"/>
                <w:numId w:val="1100"/>
              </w:numPr>
              <w:tabs>
                <w:tab w:val="left" w:pos="157"/>
              </w:tabs>
              <w:spacing w:before="9" w:line="166" w:lineRule="exact"/>
              <w:ind w:hanging="99"/>
              <w:rPr>
                <w:sz w:val="14"/>
              </w:rPr>
            </w:pPr>
            <w:r>
              <w:rPr>
                <w:color w:val="231F20"/>
                <w:sz w:val="14"/>
              </w:rPr>
              <w:t>Извори</w:t>
            </w:r>
            <w:r>
              <w:rPr>
                <w:color w:val="231F20"/>
                <w:spacing w:val="-1"/>
                <w:sz w:val="14"/>
              </w:rPr>
              <w:t xml:space="preserve"> </w:t>
            </w:r>
            <w:r>
              <w:rPr>
                <w:color w:val="231F20"/>
                <w:sz w:val="14"/>
              </w:rPr>
              <w:t>информација.</w:t>
            </w:r>
          </w:p>
          <w:p w:rsidR="00041039" w:rsidRDefault="001B26CB">
            <w:pPr>
              <w:pStyle w:val="TableParagraph"/>
              <w:numPr>
                <w:ilvl w:val="0"/>
                <w:numId w:val="1100"/>
              </w:numPr>
              <w:tabs>
                <w:tab w:val="left" w:pos="157"/>
              </w:tabs>
              <w:spacing w:line="160" w:lineRule="exact"/>
              <w:ind w:hanging="99"/>
              <w:rPr>
                <w:sz w:val="14"/>
              </w:rPr>
            </w:pPr>
            <w:r>
              <w:rPr>
                <w:color w:val="231F20"/>
                <w:sz w:val="14"/>
              </w:rPr>
              <w:t>Појам јавне</w:t>
            </w:r>
            <w:r>
              <w:rPr>
                <w:color w:val="231F20"/>
                <w:spacing w:val="-2"/>
                <w:sz w:val="14"/>
              </w:rPr>
              <w:t xml:space="preserve"> </w:t>
            </w:r>
            <w:r>
              <w:rPr>
                <w:color w:val="231F20"/>
                <w:sz w:val="14"/>
              </w:rPr>
              <w:t>информације.</w:t>
            </w:r>
          </w:p>
          <w:p w:rsidR="00041039" w:rsidRDefault="001B26CB">
            <w:pPr>
              <w:pStyle w:val="TableParagraph"/>
              <w:numPr>
                <w:ilvl w:val="0"/>
                <w:numId w:val="1100"/>
              </w:numPr>
              <w:tabs>
                <w:tab w:val="left" w:pos="157"/>
              </w:tabs>
              <w:spacing w:line="237" w:lineRule="auto"/>
              <w:ind w:right="73" w:hanging="99"/>
              <w:rPr>
                <w:sz w:val="14"/>
              </w:rPr>
            </w:pPr>
            <w:r>
              <w:rPr>
                <w:color w:val="231F20"/>
                <w:sz w:val="14"/>
              </w:rPr>
              <w:t>Приступ информацијама ­ основна</w:t>
            </w:r>
            <w:r>
              <w:rPr>
                <w:color w:val="231F20"/>
                <w:spacing w:val="-18"/>
                <w:sz w:val="14"/>
              </w:rPr>
              <w:t xml:space="preserve"> </w:t>
            </w:r>
            <w:r>
              <w:rPr>
                <w:color w:val="231F20"/>
                <w:sz w:val="14"/>
              </w:rPr>
              <w:t>правила и</w:t>
            </w:r>
            <w:r>
              <w:rPr>
                <w:color w:val="231F20"/>
                <w:spacing w:val="-1"/>
                <w:sz w:val="14"/>
              </w:rPr>
              <w:t xml:space="preserve"> </w:t>
            </w:r>
            <w:r>
              <w:rPr>
                <w:color w:val="231F20"/>
                <w:sz w:val="14"/>
              </w:rPr>
              <w:t>ограничења.</w:t>
            </w:r>
          </w:p>
          <w:p w:rsidR="00041039" w:rsidRDefault="001B26CB">
            <w:pPr>
              <w:pStyle w:val="TableParagraph"/>
              <w:numPr>
                <w:ilvl w:val="0"/>
                <w:numId w:val="1100"/>
              </w:numPr>
              <w:tabs>
                <w:tab w:val="left" w:pos="157"/>
              </w:tabs>
              <w:spacing w:line="160" w:lineRule="exact"/>
              <w:ind w:right="317" w:hanging="99"/>
              <w:rPr>
                <w:sz w:val="14"/>
              </w:rPr>
            </w:pPr>
            <w:r>
              <w:rPr>
                <w:color w:val="231F20"/>
                <w:sz w:val="14"/>
              </w:rPr>
              <w:t xml:space="preserve">Заштита права на информисање ­ </w:t>
            </w:r>
            <w:r>
              <w:rPr>
                <w:color w:val="231F20"/>
                <w:spacing w:val="-3"/>
                <w:sz w:val="14"/>
              </w:rPr>
              <w:t xml:space="preserve">улога </w:t>
            </w:r>
            <w:r>
              <w:rPr>
                <w:color w:val="231F20"/>
                <w:sz w:val="14"/>
              </w:rPr>
              <w:t>повереника.</w:t>
            </w:r>
          </w:p>
          <w:p w:rsidR="00041039" w:rsidRDefault="001B26CB">
            <w:pPr>
              <w:pStyle w:val="TableParagraph"/>
              <w:numPr>
                <w:ilvl w:val="0"/>
                <w:numId w:val="1100"/>
              </w:numPr>
              <w:tabs>
                <w:tab w:val="left" w:pos="157"/>
              </w:tabs>
              <w:spacing w:line="160" w:lineRule="exact"/>
              <w:ind w:right="147" w:hanging="99"/>
              <w:rPr>
                <w:sz w:val="14"/>
              </w:rPr>
            </w:pPr>
            <w:r>
              <w:rPr>
                <w:color w:val="231F20"/>
                <w:sz w:val="14"/>
              </w:rPr>
              <w:t>Процедура подношења захтева за</w:t>
            </w:r>
            <w:r>
              <w:rPr>
                <w:color w:val="231F20"/>
                <w:spacing w:val="-25"/>
                <w:sz w:val="14"/>
              </w:rPr>
              <w:t xml:space="preserve"> </w:t>
            </w:r>
            <w:r>
              <w:rPr>
                <w:color w:val="231F20"/>
                <w:sz w:val="14"/>
              </w:rPr>
              <w:t>приступ информацијама.</w:t>
            </w:r>
          </w:p>
          <w:p w:rsidR="00041039" w:rsidRDefault="001B26CB">
            <w:pPr>
              <w:pStyle w:val="TableParagraph"/>
              <w:numPr>
                <w:ilvl w:val="0"/>
                <w:numId w:val="1100"/>
              </w:numPr>
              <w:tabs>
                <w:tab w:val="left" w:pos="157"/>
              </w:tabs>
              <w:spacing w:line="160" w:lineRule="exact"/>
              <w:ind w:right="249" w:hanging="99"/>
              <w:rPr>
                <w:sz w:val="14"/>
              </w:rPr>
            </w:pPr>
            <w:r>
              <w:rPr>
                <w:color w:val="231F20"/>
                <w:sz w:val="14"/>
              </w:rPr>
              <w:t>Медији као извор информација ­</w:t>
            </w:r>
            <w:r>
              <w:rPr>
                <w:color w:val="231F20"/>
                <w:spacing w:val="-19"/>
                <w:sz w:val="14"/>
              </w:rPr>
              <w:t xml:space="preserve"> </w:t>
            </w:r>
            <w:r>
              <w:rPr>
                <w:color w:val="231F20"/>
                <w:sz w:val="14"/>
              </w:rPr>
              <w:t>питање веродостојности.</w:t>
            </w:r>
          </w:p>
          <w:p w:rsidR="00041039" w:rsidRDefault="001B26CB">
            <w:pPr>
              <w:pStyle w:val="TableParagraph"/>
              <w:numPr>
                <w:ilvl w:val="0"/>
                <w:numId w:val="1100"/>
              </w:numPr>
              <w:tabs>
                <w:tab w:val="left" w:pos="157"/>
              </w:tabs>
              <w:spacing w:line="153" w:lineRule="exact"/>
              <w:ind w:hanging="99"/>
              <w:rPr>
                <w:sz w:val="14"/>
              </w:rPr>
            </w:pPr>
            <w:r>
              <w:rPr>
                <w:color w:val="231F20"/>
                <w:sz w:val="14"/>
              </w:rPr>
              <w:t>Разумевање и тумачење медијских</w:t>
            </w:r>
            <w:r>
              <w:rPr>
                <w:color w:val="231F20"/>
                <w:spacing w:val="-14"/>
                <w:sz w:val="14"/>
              </w:rPr>
              <w:t xml:space="preserve"> </w:t>
            </w:r>
            <w:r>
              <w:rPr>
                <w:color w:val="231F20"/>
                <w:sz w:val="14"/>
              </w:rPr>
              <w:t>порука</w:t>
            </w:r>
          </w:p>
          <w:p w:rsidR="00041039" w:rsidRDefault="001B26CB">
            <w:pPr>
              <w:pStyle w:val="TableParagraph"/>
              <w:numPr>
                <w:ilvl w:val="0"/>
                <w:numId w:val="1100"/>
              </w:numPr>
              <w:tabs>
                <w:tab w:val="left" w:pos="157"/>
              </w:tabs>
              <w:spacing w:line="160" w:lineRule="exact"/>
              <w:ind w:hanging="99"/>
              <w:rPr>
                <w:sz w:val="14"/>
              </w:rPr>
            </w:pPr>
            <w:r>
              <w:rPr>
                <w:color w:val="231F20"/>
                <w:sz w:val="14"/>
              </w:rPr>
              <w:t>Механизми медијске</w:t>
            </w:r>
            <w:r>
              <w:rPr>
                <w:color w:val="231F20"/>
                <w:spacing w:val="-4"/>
                <w:sz w:val="14"/>
              </w:rPr>
              <w:t xml:space="preserve"> </w:t>
            </w:r>
            <w:r>
              <w:rPr>
                <w:color w:val="231F20"/>
                <w:sz w:val="14"/>
              </w:rPr>
              <w:t>манипулације.</w:t>
            </w:r>
          </w:p>
          <w:p w:rsidR="00041039" w:rsidRDefault="001B26CB">
            <w:pPr>
              <w:pStyle w:val="TableParagraph"/>
              <w:numPr>
                <w:ilvl w:val="0"/>
                <w:numId w:val="1100"/>
              </w:numPr>
              <w:tabs>
                <w:tab w:val="left" w:pos="157"/>
              </w:tabs>
              <w:spacing w:line="237" w:lineRule="auto"/>
              <w:ind w:right="318" w:hanging="99"/>
              <w:rPr>
                <w:sz w:val="14"/>
              </w:rPr>
            </w:pPr>
            <w:r>
              <w:rPr>
                <w:color w:val="231F20"/>
                <w:sz w:val="14"/>
              </w:rPr>
              <w:t>Утицај тачке гледишта на</w:t>
            </w:r>
            <w:r>
              <w:rPr>
                <w:color w:val="231F20"/>
                <w:spacing w:val="-23"/>
                <w:sz w:val="14"/>
              </w:rPr>
              <w:t xml:space="preserve"> </w:t>
            </w:r>
            <w:r>
              <w:rPr>
                <w:color w:val="231F20"/>
                <w:sz w:val="14"/>
              </w:rPr>
              <w:t>објективност информација.</w:t>
            </w:r>
          </w:p>
          <w:p w:rsidR="00041039" w:rsidRDefault="001B26CB">
            <w:pPr>
              <w:pStyle w:val="TableParagraph"/>
              <w:numPr>
                <w:ilvl w:val="0"/>
                <w:numId w:val="1100"/>
              </w:numPr>
              <w:tabs>
                <w:tab w:val="left" w:pos="157"/>
              </w:tabs>
              <w:spacing w:line="160" w:lineRule="exact"/>
              <w:ind w:right="153" w:hanging="99"/>
              <w:rPr>
                <w:sz w:val="14"/>
              </w:rPr>
            </w:pPr>
            <w:r>
              <w:rPr>
                <w:color w:val="231F20"/>
                <w:sz w:val="14"/>
              </w:rPr>
              <w:t>Селекција информација: објективност</w:t>
            </w:r>
            <w:r>
              <w:rPr>
                <w:color w:val="231F20"/>
                <w:spacing w:val="-9"/>
                <w:sz w:val="14"/>
              </w:rPr>
              <w:t xml:space="preserve"> </w:t>
            </w:r>
            <w:r>
              <w:rPr>
                <w:color w:val="231F20"/>
                <w:sz w:val="14"/>
              </w:rPr>
              <w:t>као одговорност.</w:t>
            </w:r>
          </w:p>
        </w:tc>
        <w:tc>
          <w:tcPr>
            <w:tcW w:w="2267" w:type="dxa"/>
            <w:vMerge w:val="restart"/>
          </w:tcPr>
          <w:p w:rsidR="00041039" w:rsidRDefault="001B26CB">
            <w:pPr>
              <w:pStyle w:val="TableParagraph"/>
              <w:numPr>
                <w:ilvl w:val="0"/>
                <w:numId w:val="1099"/>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099"/>
              </w:numPr>
              <w:tabs>
                <w:tab w:val="left" w:pos="158"/>
              </w:tabs>
              <w:spacing w:line="160" w:lineRule="exact"/>
              <w:ind w:hanging="99"/>
              <w:rPr>
                <w:b/>
                <w:sz w:val="14"/>
              </w:rPr>
            </w:pPr>
            <w:r>
              <w:rPr>
                <w:color w:val="231F20"/>
                <w:sz w:val="14"/>
              </w:rPr>
              <w:t xml:space="preserve">теоријска настава </w:t>
            </w:r>
            <w:r>
              <w:rPr>
                <w:b/>
                <w:color w:val="231F20"/>
                <w:sz w:val="14"/>
              </w:rPr>
              <w:t>(32</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099"/>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099"/>
              </w:numPr>
              <w:tabs>
                <w:tab w:val="left" w:pos="158"/>
              </w:tabs>
              <w:spacing w:before="1" w:line="160" w:lineRule="exact"/>
              <w:ind w:right="260" w:hanging="99"/>
              <w:rPr>
                <w:sz w:val="14"/>
              </w:rPr>
            </w:pPr>
            <w:r>
              <w:rPr>
                <w:color w:val="231F20"/>
                <w:sz w:val="14"/>
              </w:rPr>
              <w:t>Реализација програма треба да се одвија у складу са принци­ пима активне, проблемске</w:t>
            </w:r>
            <w:r>
              <w:rPr>
                <w:color w:val="231F20"/>
                <w:spacing w:val="-10"/>
                <w:sz w:val="14"/>
              </w:rPr>
              <w:t xml:space="preserve"> </w:t>
            </w:r>
            <w:r>
              <w:rPr>
                <w:color w:val="231F20"/>
                <w:sz w:val="14"/>
              </w:rPr>
              <w:t>и</w:t>
            </w:r>
          </w:p>
          <w:p w:rsidR="00041039" w:rsidRDefault="001B26CB">
            <w:pPr>
              <w:pStyle w:val="TableParagraph"/>
              <w:spacing w:line="237" w:lineRule="auto"/>
              <w:ind w:left="157"/>
              <w:rPr>
                <w:sz w:val="14"/>
              </w:rPr>
            </w:pPr>
            <w:r>
              <w:rPr>
                <w:color w:val="231F20"/>
                <w:sz w:val="14"/>
              </w:rPr>
              <w:t>истраживачке наставе са сталним рефлексијама на одговарајуће појаве из друштвеног контекста прошлости и садашњости.</w:t>
            </w:r>
          </w:p>
          <w:p w:rsidR="00041039" w:rsidRDefault="001B26CB">
            <w:pPr>
              <w:pStyle w:val="TableParagraph"/>
              <w:numPr>
                <w:ilvl w:val="0"/>
                <w:numId w:val="1099"/>
              </w:numPr>
              <w:tabs>
                <w:tab w:val="left" w:pos="158"/>
              </w:tabs>
              <w:spacing w:line="237" w:lineRule="auto"/>
              <w:ind w:right="162" w:hanging="99"/>
              <w:rPr>
                <w:sz w:val="14"/>
              </w:rPr>
            </w:pPr>
            <w:r>
              <w:rPr>
                <w:color w:val="231F20"/>
                <w:sz w:val="14"/>
              </w:rPr>
              <w:t>Квалитет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r>
              <w:rPr>
                <w:color w:val="231F20"/>
                <w:sz w:val="14"/>
              </w:rPr>
              <w:t>.</w:t>
            </w:r>
          </w:p>
          <w:p w:rsidR="00041039" w:rsidRDefault="001B26CB">
            <w:pPr>
              <w:pStyle w:val="TableParagraph"/>
              <w:numPr>
                <w:ilvl w:val="0"/>
                <w:numId w:val="1099"/>
              </w:numPr>
              <w:tabs>
                <w:tab w:val="left" w:pos="158"/>
              </w:tabs>
              <w:spacing w:line="237" w:lineRule="auto"/>
              <w:ind w:right="196" w:hanging="99"/>
              <w:rPr>
                <w:sz w:val="14"/>
              </w:rPr>
            </w:pPr>
            <w:r>
              <w:rPr>
                <w:color w:val="231F20"/>
                <w:sz w:val="14"/>
              </w:rPr>
              <w:t>Добар индикатор успешне на­ ставе је способност ученика да адекватно примењују стечена знања и вештине и да у пракси изражавају ставове и вредности демократског</w:t>
            </w:r>
            <w:r>
              <w:rPr>
                <w:color w:val="231F20"/>
                <w:spacing w:val="-1"/>
                <w:sz w:val="14"/>
              </w:rPr>
              <w:t xml:space="preserve"> </w:t>
            </w:r>
            <w:r>
              <w:rPr>
                <w:color w:val="231F20"/>
                <w:sz w:val="14"/>
              </w:rPr>
              <w:t>друштва.</w:t>
            </w:r>
          </w:p>
          <w:p w:rsidR="00041039" w:rsidRDefault="001B26CB">
            <w:pPr>
              <w:pStyle w:val="TableParagraph"/>
              <w:numPr>
                <w:ilvl w:val="0"/>
                <w:numId w:val="1099"/>
              </w:numPr>
              <w:tabs>
                <w:tab w:val="left" w:pos="158"/>
              </w:tabs>
              <w:spacing w:line="237" w:lineRule="auto"/>
              <w:ind w:right="55" w:hanging="99"/>
              <w:rPr>
                <w:sz w:val="14"/>
              </w:rPr>
            </w:pPr>
            <w:r>
              <w:rPr>
                <w:color w:val="231F20"/>
                <w:sz w:val="14"/>
              </w:rPr>
              <w:t xml:space="preserve">Наставник треба да пружи неоп­ </w:t>
            </w:r>
            <w:r>
              <w:rPr>
                <w:color w:val="231F20"/>
                <w:spacing w:val="-3"/>
                <w:sz w:val="14"/>
              </w:rPr>
              <w:t xml:space="preserve">ходну </w:t>
            </w:r>
            <w:r>
              <w:rPr>
                <w:color w:val="231F20"/>
                <w:sz w:val="14"/>
              </w:rPr>
              <w:t>помоћ и подршку ученици­ ма у припреми и реализ</w:t>
            </w:r>
            <w:r>
              <w:rPr>
                <w:color w:val="231F20"/>
                <w:sz w:val="14"/>
              </w:rPr>
              <w:t>ацији ак­ тивности, а заједно са групом да обезбеди повратну информацију</w:t>
            </w:r>
            <w:r>
              <w:rPr>
                <w:color w:val="231F20"/>
                <w:spacing w:val="-21"/>
                <w:sz w:val="14"/>
              </w:rPr>
              <w:t xml:space="preserve"> </w:t>
            </w:r>
            <w:r>
              <w:rPr>
                <w:color w:val="231F20"/>
                <w:sz w:val="14"/>
              </w:rPr>
              <w:t>о њеној</w:t>
            </w:r>
            <w:r>
              <w:rPr>
                <w:color w:val="231F20"/>
                <w:spacing w:val="-2"/>
                <w:sz w:val="14"/>
              </w:rPr>
              <w:t xml:space="preserve"> </w:t>
            </w:r>
            <w:r>
              <w:rPr>
                <w:color w:val="231F20"/>
                <w:sz w:val="14"/>
              </w:rPr>
              <w:t>успешности.</w:t>
            </w:r>
          </w:p>
          <w:p w:rsidR="00041039" w:rsidRDefault="001B26CB">
            <w:pPr>
              <w:pStyle w:val="TableParagraph"/>
              <w:numPr>
                <w:ilvl w:val="0"/>
                <w:numId w:val="1099"/>
              </w:numPr>
              <w:tabs>
                <w:tab w:val="left" w:pos="158"/>
              </w:tabs>
              <w:spacing w:line="237" w:lineRule="auto"/>
              <w:ind w:right="54" w:hanging="99"/>
              <w:rPr>
                <w:sz w:val="14"/>
              </w:rPr>
            </w:pPr>
            <w:r>
              <w:rPr>
                <w:color w:val="231F20"/>
                <w:sz w:val="14"/>
              </w:rPr>
              <w:t>У реализацији овог програма наставник је извор знања, органи­ затор и водитељ ученичких</w:t>
            </w:r>
            <w:r>
              <w:rPr>
                <w:color w:val="231F20"/>
                <w:spacing w:val="-17"/>
                <w:sz w:val="14"/>
              </w:rPr>
              <w:t xml:space="preserve"> </w:t>
            </w:r>
            <w:r>
              <w:rPr>
                <w:color w:val="231F20"/>
                <w:sz w:val="14"/>
              </w:rPr>
              <w:t>актив­ ности и особа која даје повратну информацију.</w:t>
            </w:r>
          </w:p>
          <w:p w:rsidR="00041039" w:rsidRDefault="001B26CB">
            <w:pPr>
              <w:pStyle w:val="TableParagraph"/>
              <w:numPr>
                <w:ilvl w:val="0"/>
                <w:numId w:val="1099"/>
              </w:numPr>
              <w:tabs>
                <w:tab w:val="left" w:pos="158"/>
              </w:tabs>
              <w:spacing w:line="237" w:lineRule="auto"/>
              <w:ind w:right="251" w:hanging="99"/>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w:t>
            </w:r>
            <w:r>
              <w:rPr>
                <w:color w:val="231F20"/>
                <w:spacing w:val="-9"/>
                <w:sz w:val="14"/>
              </w:rPr>
              <w:t xml:space="preserve"> </w:t>
            </w:r>
            <w:r>
              <w:rPr>
                <w:color w:val="231F20"/>
                <w:sz w:val="14"/>
              </w:rPr>
              <w:t>самопоуздања,</w:t>
            </w:r>
          </w:p>
          <w:p w:rsidR="00041039" w:rsidRDefault="001B26CB">
            <w:pPr>
              <w:pStyle w:val="TableParagraph"/>
              <w:ind w:left="157"/>
              <w:rPr>
                <w:sz w:val="14"/>
              </w:rPr>
            </w:pPr>
            <w:r>
              <w:rPr>
                <w:color w:val="231F20"/>
                <w:sz w:val="14"/>
              </w:rPr>
              <w:t>учешћа у раду групе и мотивације за предмет.</w:t>
            </w:r>
          </w:p>
          <w:p w:rsidR="00041039" w:rsidRDefault="001B26CB">
            <w:pPr>
              <w:pStyle w:val="TableParagraph"/>
              <w:numPr>
                <w:ilvl w:val="0"/>
                <w:numId w:val="1099"/>
              </w:numPr>
              <w:tabs>
                <w:tab w:val="left" w:pos="158"/>
              </w:tabs>
              <w:spacing w:line="160" w:lineRule="exact"/>
              <w:ind w:right="59"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tc>
      </w:tr>
      <w:tr w:rsidR="00041039">
        <w:trPr>
          <w:trHeight w:val="6070"/>
        </w:trPr>
        <w:tc>
          <w:tcPr>
            <w:tcW w:w="1304" w:type="dxa"/>
          </w:tcPr>
          <w:p w:rsidR="00041039" w:rsidRDefault="001B26CB">
            <w:pPr>
              <w:pStyle w:val="TableParagraph"/>
              <w:spacing w:before="20"/>
              <w:ind w:left="56" w:right="83"/>
              <w:rPr>
                <w:sz w:val="14"/>
              </w:rPr>
            </w:pPr>
            <w:r>
              <w:rPr>
                <w:color w:val="231F20"/>
                <w:sz w:val="14"/>
              </w:rPr>
              <w:t>Свет професио­ налног образовања и рада</w:t>
            </w:r>
          </w:p>
        </w:tc>
        <w:tc>
          <w:tcPr>
            <w:tcW w:w="1587" w:type="dxa"/>
          </w:tcPr>
          <w:p w:rsidR="00041039" w:rsidRDefault="001B26CB">
            <w:pPr>
              <w:pStyle w:val="TableParagraph"/>
              <w:numPr>
                <w:ilvl w:val="0"/>
                <w:numId w:val="1098"/>
              </w:numPr>
              <w:tabs>
                <w:tab w:val="left" w:pos="157"/>
              </w:tabs>
              <w:spacing w:before="10"/>
              <w:ind w:right="112"/>
              <w:rPr>
                <w:sz w:val="14"/>
              </w:rPr>
            </w:pPr>
            <w:r>
              <w:rPr>
                <w:color w:val="231F20"/>
                <w:sz w:val="14"/>
              </w:rPr>
              <w:t>Разумевање</w:t>
            </w:r>
            <w:r>
              <w:rPr>
                <w:color w:val="231F20"/>
                <w:spacing w:val="-7"/>
                <w:sz w:val="14"/>
              </w:rPr>
              <w:t xml:space="preserve"> </w:t>
            </w:r>
            <w:r>
              <w:rPr>
                <w:color w:val="231F20"/>
                <w:sz w:val="14"/>
              </w:rPr>
              <w:t>важности дефинисања профе­ сионалних циљева и планирање</w:t>
            </w:r>
            <w:r>
              <w:rPr>
                <w:color w:val="231F20"/>
                <w:spacing w:val="-4"/>
                <w:sz w:val="14"/>
              </w:rPr>
              <w:t xml:space="preserve"> </w:t>
            </w:r>
            <w:r>
              <w:rPr>
                <w:color w:val="231F20"/>
                <w:sz w:val="14"/>
              </w:rPr>
              <w:t>каријере.</w:t>
            </w:r>
          </w:p>
          <w:p w:rsidR="00041039" w:rsidRDefault="001B26CB">
            <w:pPr>
              <w:pStyle w:val="TableParagraph"/>
              <w:numPr>
                <w:ilvl w:val="0"/>
                <w:numId w:val="1098"/>
              </w:numPr>
              <w:tabs>
                <w:tab w:val="left" w:pos="157"/>
              </w:tabs>
              <w:spacing w:line="156" w:lineRule="exact"/>
              <w:rPr>
                <w:sz w:val="14"/>
              </w:rPr>
            </w:pPr>
            <w:r>
              <w:rPr>
                <w:color w:val="231F20"/>
                <w:sz w:val="14"/>
              </w:rPr>
              <w:t>Развијање</w:t>
            </w:r>
            <w:r>
              <w:rPr>
                <w:color w:val="231F20"/>
                <w:spacing w:val="-2"/>
                <w:sz w:val="14"/>
              </w:rPr>
              <w:t xml:space="preserve"> </w:t>
            </w:r>
            <w:r>
              <w:rPr>
                <w:color w:val="231F20"/>
                <w:sz w:val="14"/>
              </w:rPr>
              <w:t>вештине</w:t>
            </w:r>
          </w:p>
          <w:p w:rsidR="00041039" w:rsidRDefault="001B26CB">
            <w:pPr>
              <w:pStyle w:val="TableParagraph"/>
              <w:ind w:right="68"/>
              <w:rPr>
                <w:sz w:val="14"/>
              </w:rPr>
            </w:pPr>
            <w:r>
              <w:rPr>
                <w:color w:val="231F20"/>
                <w:sz w:val="14"/>
              </w:rPr>
              <w:t>тражења информација значајних за профе­ сионално образовање и укључивање у свет рада.</w:t>
            </w:r>
          </w:p>
          <w:p w:rsidR="00041039" w:rsidRDefault="001B26CB">
            <w:pPr>
              <w:pStyle w:val="TableParagraph"/>
              <w:numPr>
                <w:ilvl w:val="0"/>
                <w:numId w:val="1098"/>
              </w:numPr>
              <w:tabs>
                <w:tab w:val="left" w:pos="157"/>
              </w:tabs>
              <w:spacing w:line="156" w:lineRule="exact"/>
              <w:rPr>
                <w:sz w:val="14"/>
              </w:rPr>
            </w:pPr>
            <w:r>
              <w:rPr>
                <w:color w:val="231F20"/>
                <w:sz w:val="14"/>
              </w:rPr>
              <w:t>Оснаживање</w:t>
            </w:r>
            <w:r>
              <w:rPr>
                <w:color w:val="231F20"/>
                <w:spacing w:val="-3"/>
                <w:sz w:val="14"/>
              </w:rPr>
              <w:t xml:space="preserve"> </w:t>
            </w:r>
            <w:r>
              <w:rPr>
                <w:color w:val="231F20"/>
                <w:sz w:val="14"/>
              </w:rPr>
              <w:t>ученика</w:t>
            </w:r>
          </w:p>
          <w:p w:rsidR="00041039" w:rsidRDefault="001B26CB">
            <w:pPr>
              <w:pStyle w:val="TableParagraph"/>
              <w:ind w:right="81"/>
              <w:rPr>
                <w:sz w:val="14"/>
              </w:rPr>
            </w:pPr>
            <w:r>
              <w:rPr>
                <w:color w:val="231F20"/>
                <w:sz w:val="14"/>
              </w:rPr>
              <w:t>да постављају циљеве личног развоја и планирају свој профе­ сионални развој.</w:t>
            </w:r>
          </w:p>
        </w:tc>
        <w:tc>
          <w:tcPr>
            <w:tcW w:w="2551" w:type="dxa"/>
          </w:tcPr>
          <w:p w:rsidR="00041039" w:rsidRDefault="001B26CB">
            <w:pPr>
              <w:pStyle w:val="TableParagraph"/>
              <w:numPr>
                <w:ilvl w:val="0"/>
                <w:numId w:val="1097"/>
              </w:numPr>
              <w:tabs>
                <w:tab w:val="left" w:pos="157"/>
              </w:tabs>
              <w:spacing w:before="10"/>
              <w:ind w:right="163" w:hanging="99"/>
              <w:rPr>
                <w:sz w:val="14"/>
              </w:rPr>
            </w:pPr>
            <w:r>
              <w:rPr>
                <w:color w:val="231F20"/>
                <w:sz w:val="14"/>
              </w:rPr>
              <w:t>разуме значај поштовања социјално</w:t>
            </w:r>
            <w:r>
              <w:rPr>
                <w:color w:val="231F20"/>
                <w:spacing w:val="-21"/>
                <w:sz w:val="14"/>
              </w:rPr>
              <w:t xml:space="preserve"> </w:t>
            </w:r>
            <w:r>
              <w:rPr>
                <w:color w:val="231F20"/>
                <w:sz w:val="14"/>
              </w:rPr>
              <w:t>­ економских</w:t>
            </w:r>
            <w:r>
              <w:rPr>
                <w:color w:val="231F20"/>
                <w:spacing w:val="-1"/>
                <w:sz w:val="14"/>
              </w:rPr>
              <w:t xml:space="preserve"> </w:t>
            </w:r>
            <w:r>
              <w:rPr>
                <w:color w:val="231F20"/>
                <w:sz w:val="14"/>
              </w:rPr>
              <w:t>права;</w:t>
            </w:r>
          </w:p>
          <w:p w:rsidR="00041039" w:rsidRDefault="001B26CB">
            <w:pPr>
              <w:pStyle w:val="TableParagraph"/>
              <w:numPr>
                <w:ilvl w:val="0"/>
                <w:numId w:val="1097"/>
              </w:numPr>
              <w:tabs>
                <w:tab w:val="left" w:pos="157"/>
              </w:tabs>
              <w:spacing w:before="1" w:line="160" w:lineRule="exact"/>
              <w:ind w:right="319" w:hanging="99"/>
              <w:rPr>
                <w:sz w:val="14"/>
              </w:rPr>
            </w:pPr>
            <w:r>
              <w:rPr>
                <w:color w:val="231F20"/>
                <w:sz w:val="14"/>
              </w:rPr>
              <w:t>поставља циљеве личн</w:t>
            </w:r>
            <w:r>
              <w:rPr>
                <w:color w:val="231F20"/>
                <w:sz w:val="14"/>
              </w:rPr>
              <w:t>ог развоја и планира свој</w:t>
            </w:r>
            <w:r>
              <w:rPr>
                <w:color w:val="231F20"/>
                <w:spacing w:val="-2"/>
                <w:sz w:val="14"/>
              </w:rPr>
              <w:t xml:space="preserve"> </w:t>
            </w:r>
            <w:r>
              <w:rPr>
                <w:color w:val="231F20"/>
                <w:sz w:val="14"/>
              </w:rPr>
              <w:t>развој;</w:t>
            </w:r>
          </w:p>
          <w:p w:rsidR="00041039" w:rsidRDefault="001B26CB">
            <w:pPr>
              <w:pStyle w:val="TableParagraph"/>
              <w:numPr>
                <w:ilvl w:val="0"/>
                <w:numId w:val="1097"/>
              </w:numPr>
              <w:tabs>
                <w:tab w:val="left" w:pos="157"/>
              </w:tabs>
              <w:spacing w:line="160" w:lineRule="exact"/>
              <w:ind w:right="211" w:hanging="99"/>
              <w:rPr>
                <w:sz w:val="14"/>
              </w:rPr>
            </w:pPr>
            <w:r>
              <w:rPr>
                <w:color w:val="231F20"/>
                <w:sz w:val="14"/>
              </w:rPr>
              <w:t>анализира сопствене способности, особине и вештине значајне за</w:t>
            </w:r>
            <w:r>
              <w:rPr>
                <w:color w:val="231F20"/>
                <w:spacing w:val="-9"/>
                <w:sz w:val="14"/>
              </w:rPr>
              <w:t xml:space="preserve"> </w:t>
            </w:r>
            <w:r>
              <w:rPr>
                <w:color w:val="231F20"/>
                <w:sz w:val="14"/>
              </w:rPr>
              <w:t>даљи професионални</w:t>
            </w:r>
            <w:r>
              <w:rPr>
                <w:color w:val="231F20"/>
                <w:spacing w:val="-2"/>
                <w:sz w:val="14"/>
              </w:rPr>
              <w:t xml:space="preserve"> </w:t>
            </w:r>
            <w:r>
              <w:rPr>
                <w:color w:val="231F20"/>
                <w:sz w:val="14"/>
              </w:rPr>
              <w:t>развој;</w:t>
            </w:r>
          </w:p>
          <w:p w:rsidR="00041039" w:rsidRDefault="001B26CB">
            <w:pPr>
              <w:pStyle w:val="TableParagraph"/>
              <w:numPr>
                <w:ilvl w:val="0"/>
                <w:numId w:val="1097"/>
              </w:numPr>
              <w:tabs>
                <w:tab w:val="left" w:pos="157"/>
              </w:tabs>
              <w:spacing w:line="160" w:lineRule="exact"/>
              <w:ind w:right="160" w:hanging="99"/>
              <w:rPr>
                <w:sz w:val="14"/>
              </w:rPr>
            </w:pPr>
            <w:r>
              <w:rPr>
                <w:color w:val="231F20"/>
                <w:sz w:val="14"/>
              </w:rPr>
              <w:t>активно тражи информације</w:t>
            </w:r>
            <w:r>
              <w:rPr>
                <w:color w:val="231F20"/>
                <w:spacing w:val="-19"/>
                <w:sz w:val="14"/>
              </w:rPr>
              <w:t xml:space="preserve"> </w:t>
            </w:r>
            <w:r>
              <w:rPr>
                <w:color w:val="231F20"/>
                <w:sz w:val="14"/>
              </w:rPr>
              <w:t>значајне за даљи професионални</w:t>
            </w:r>
            <w:r>
              <w:rPr>
                <w:color w:val="231F20"/>
                <w:spacing w:val="-3"/>
                <w:sz w:val="14"/>
              </w:rPr>
              <w:t xml:space="preserve"> </w:t>
            </w:r>
            <w:r>
              <w:rPr>
                <w:color w:val="231F20"/>
                <w:sz w:val="14"/>
              </w:rPr>
              <w:t>развој;</w:t>
            </w:r>
          </w:p>
          <w:p w:rsidR="00041039" w:rsidRDefault="001B26CB">
            <w:pPr>
              <w:pStyle w:val="TableParagraph"/>
              <w:numPr>
                <w:ilvl w:val="0"/>
                <w:numId w:val="1097"/>
              </w:numPr>
              <w:tabs>
                <w:tab w:val="left" w:pos="157"/>
              </w:tabs>
              <w:spacing w:line="153" w:lineRule="exact"/>
              <w:ind w:hanging="99"/>
              <w:rPr>
                <w:sz w:val="14"/>
              </w:rPr>
            </w:pPr>
            <w:r>
              <w:rPr>
                <w:color w:val="231F20"/>
                <w:sz w:val="14"/>
              </w:rPr>
              <w:t>напише личну радну</w:t>
            </w:r>
            <w:r>
              <w:rPr>
                <w:color w:val="231F20"/>
                <w:spacing w:val="-5"/>
                <w:sz w:val="14"/>
              </w:rPr>
              <w:t xml:space="preserve"> </w:t>
            </w:r>
            <w:r>
              <w:rPr>
                <w:color w:val="231F20"/>
                <w:sz w:val="14"/>
              </w:rPr>
              <w:t>биографију;</w:t>
            </w:r>
          </w:p>
          <w:p w:rsidR="00041039" w:rsidRDefault="001B26CB">
            <w:pPr>
              <w:pStyle w:val="TableParagraph"/>
              <w:numPr>
                <w:ilvl w:val="0"/>
                <w:numId w:val="1097"/>
              </w:numPr>
              <w:tabs>
                <w:tab w:val="left" w:pos="157"/>
              </w:tabs>
              <w:spacing w:line="237" w:lineRule="auto"/>
              <w:ind w:right="102" w:hanging="99"/>
              <w:rPr>
                <w:sz w:val="14"/>
              </w:rPr>
            </w:pPr>
            <w:r>
              <w:rPr>
                <w:color w:val="231F20"/>
                <w:sz w:val="14"/>
              </w:rPr>
              <w:t>представи своје личне</w:t>
            </w:r>
            <w:r>
              <w:rPr>
                <w:color w:val="231F20"/>
                <w:spacing w:val="-17"/>
                <w:sz w:val="14"/>
              </w:rPr>
              <w:t xml:space="preserve"> </w:t>
            </w:r>
            <w:r>
              <w:rPr>
                <w:color w:val="231F20"/>
                <w:sz w:val="14"/>
              </w:rPr>
              <w:t>карактеристике приликом разговора са</w:t>
            </w:r>
            <w:r>
              <w:rPr>
                <w:color w:val="231F20"/>
                <w:spacing w:val="-13"/>
                <w:sz w:val="14"/>
              </w:rPr>
              <w:t xml:space="preserve"> </w:t>
            </w:r>
            <w:r>
              <w:rPr>
                <w:color w:val="231F20"/>
                <w:sz w:val="14"/>
              </w:rPr>
              <w:t>послодавцем;</w:t>
            </w:r>
          </w:p>
        </w:tc>
        <w:tc>
          <w:tcPr>
            <w:tcW w:w="2834" w:type="dxa"/>
          </w:tcPr>
          <w:p w:rsidR="00041039" w:rsidRDefault="001B26CB">
            <w:pPr>
              <w:pStyle w:val="TableParagraph"/>
              <w:numPr>
                <w:ilvl w:val="0"/>
                <w:numId w:val="1096"/>
              </w:numPr>
              <w:tabs>
                <w:tab w:val="left" w:pos="157"/>
              </w:tabs>
              <w:spacing w:before="11" w:line="166" w:lineRule="exact"/>
              <w:ind w:hanging="99"/>
              <w:rPr>
                <w:sz w:val="14"/>
              </w:rPr>
            </w:pPr>
            <w:r>
              <w:rPr>
                <w:color w:val="231F20"/>
                <w:sz w:val="14"/>
              </w:rPr>
              <w:t>Планирање каријере и улазак у свет</w:t>
            </w:r>
            <w:r>
              <w:rPr>
                <w:color w:val="231F20"/>
                <w:spacing w:val="-14"/>
                <w:sz w:val="14"/>
              </w:rPr>
              <w:t xml:space="preserve"> </w:t>
            </w:r>
            <w:r>
              <w:rPr>
                <w:color w:val="231F20"/>
                <w:sz w:val="14"/>
              </w:rPr>
              <w:t>рада.</w:t>
            </w:r>
          </w:p>
          <w:p w:rsidR="00041039" w:rsidRDefault="001B26CB">
            <w:pPr>
              <w:pStyle w:val="TableParagraph"/>
              <w:numPr>
                <w:ilvl w:val="0"/>
                <w:numId w:val="1096"/>
              </w:numPr>
              <w:tabs>
                <w:tab w:val="left" w:pos="157"/>
              </w:tabs>
              <w:spacing w:line="237" w:lineRule="auto"/>
              <w:ind w:right="161" w:hanging="99"/>
              <w:rPr>
                <w:sz w:val="14"/>
              </w:rPr>
            </w:pPr>
            <w:r>
              <w:rPr>
                <w:color w:val="231F20"/>
                <w:sz w:val="14"/>
              </w:rPr>
              <w:t xml:space="preserve">Само процена и вештина представљања личних карактеристика </w:t>
            </w:r>
            <w:r>
              <w:rPr>
                <w:color w:val="231F20"/>
                <w:spacing w:val="-3"/>
                <w:sz w:val="14"/>
              </w:rPr>
              <w:t xml:space="preserve">од </w:t>
            </w:r>
            <w:r>
              <w:rPr>
                <w:color w:val="231F20"/>
                <w:sz w:val="14"/>
              </w:rPr>
              <w:t>значаја за</w:t>
            </w:r>
            <w:r>
              <w:rPr>
                <w:color w:val="231F20"/>
                <w:spacing w:val="-19"/>
                <w:sz w:val="14"/>
              </w:rPr>
              <w:t xml:space="preserve"> </w:t>
            </w:r>
            <w:r>
              <w:rPr>
                <w:color w:val="231F20"/>
                <w:sz w:val="14"/>
              </w:rPr>
              <w:t>даље професионално образовање и</w:t>
            </w:r>
            <w:r>
              <w:rPr>
                <w:color w:val="231F20"/>
                <w:spacing w:val="-3"/>
                <w:sz w:val="14"/>
              </w:rPr>
              <w:t xml:space="preserve"> </w:t>
            </w:r>
            <w:r>
              <w:rPr>
                <w:color w:val="231F20"/>
                <w:sz w:val="14"/>
              </w:rPr>
              <w:t>рад.</w:t>
            </w:r>
          </w:p>
          <w:p w:rsidR="00041039" w:rsidRDefault="001B26CB">
            <w:pPr>
              <w:pStyle w:val="TableParagraph"/>
              <w:numPr>
                <w:ilvl w:val="0"/>
                <w:numId w:val="1096"/>
              </w:numPr>
              <w:tabs>
                <w:tab w:val="left" w:pos="157"/>
              </w:tabs>
              <w:spacing w:line="156" w:lineRule="exact"/>
              <w:ind w:hanging="99"/>
              <w:rPr>
                <w:sz w:val="14"/>
              </w:rPr>
            </w:pPr>
            <w:r>
              <w:rPr>
                <w:color w:val="231F20"/>
                <w:sz w:val="14"/>
              </w:rPr>
              <w:t>Разговор са</w:t>
            </w:r>
            <w:r>
              <w:rPr>
                <w:color w:val="231F20"/>
                <w:spacing w:val="-1"/>
                <w:sz w:val="14"/>
              </w:rPr>
              <w:t xml:space="preserve"> </w:t>
            </w:r>
            <w:r>
              <w:rPr>
                <w:color w:val="231F20"/>
                <w:sz w:val="14"/>
              </w:rPr>
              <w:t>послодавцем.</w:t>
            </w:r>
          </w:p>
          <w:p w:rsidR="00041039" w:rsidRDefault="001B26CB">
            <w:pPr>
              <w:pStyle w:val="TableParagraph"/>
              <w:numPr>
                <w:ilvl w:val="0"/>
                <w:numId w:val="1096"/>
              </w:numPr>
              <w:tabs>
                <w:tab w:val="left" w:pos="157"/>
              </w:tabs>
              <w:spacing w:line="237" w:lineRule="auto"/>
              <w:ind w:right="103" w:hanging="99"/>
              <w:rPr>
                <w:sz w:val="14"/>
              </w:rPr>
            </w:pPr>
            <w:r>
              <w:rPr>
                <w:color w:val="231F20"/>
                <w:sz w:val="14"/>
              </w:rPr>
              <w:t>Тражење</w:t>
            </w:r>
            <w:r>
              <w:rPr>
                <w:color w:val="231F20"/>
                <w:spacing w:val="-7"/>
                <w:sz w:val="14"/>
              </w:rPr>
              <w:t xml:space="preserve"> </w:t>
            </w:r>
            <w:r>
              <w:rPr>
                <w:color w:val="231F20"/>
                <w:sz w:val="14"/>
              </w:rPr>
              <w:t>информација</w:t>
            </w:r>
            <w:r>
              <w:rPr>
                <w:color w:val="231F20"/>
                <w:spacing w:val="-7"/>
                <w:sz w:val="14"/>
              </w:rPr>
              <w:t xml:space="preserve"> </w:t>
            </w:r>
            <w:r>
              <w:rPr>
                <w:color w:val="231F20"/>
                <w:sz w:val="14"/>
              </w:rPr>
              <w:t>значајних</w:t>
            </w:r>
            <w:r>
              <w:rPr>
                <w:color w:val="231F20"/>
                <w:spacing w:val="-7"/>
                <w:sz w:val="14"/>
              </w:rPr>
              <w:t xml:space="preserve"> </w:t>
            </w:r>
            <w:r>
              <w:rPr>
                <w:color w:val="231F20"/>
                <w:sz w:val="14"/>
              </w:rPr>
              <w:t>за</w:t>
            </w:r>
            <w:r>
              <w:rPr>
                <w:color w:val="231F20"/>
                <w:spacing w:val="-8"/>
                <w:sz w:val="14"/>
              </w:rPr>
              <w:t xml:space="preserve"> </w:t>
            </w:r>
            <w:r>
              <w:rPr>
                <w:color w:val="231F20"/>
                <w:sz w:val="14"/>
              </w:rPr>
              <w:t>профе­ сионално образовање и тражење</w:t>
            </w:r>
            <w:r>
              <w:rPr>
                <w:color w:val="231F20"/>
                <w:spacing w:val="-4"/>
                <w:sz w:val="14"/>
              </w:rPr>
              <w:t xml:space="preserve"> </w:t>
            </w:r>
            <w:r>
              <w:rPr>
                <w:color w:val="231F20"/>
                <w:sz w:val="14"/>
              </w:rPr>
              <w:t>посла.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64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041039">
            <w:pPr>
              <w:pStyle w:val="TableParagraph"/>
              <w:spacing w:before="5"/>
              <w:ind w:left="0"/>
              <w:rPr>
                <w:b/>
                <w:sz w:val="15"/>
              </w:rPr>
            </w:pPr>
          </w:p>
          <w:p w:rsidR="00041039" w:rsidRDefault="001B26CB">
            <w:pPr>
              <w:pStyle w:val="TableParagraph"/>
              <w:spacing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1095"/>
              </w:numPr>
              <w:tabs>
                <w:tab w:val="left" w:pos="158"/>
              </w:tabs>
              <w:spacing w:line="160" w:lineRule="exact"/>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9"/>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1095"/>
              </w:numPr>
              <w:tabs>
                <w:tab w:val="left" w:pos="158"/>
              </w:tabs>
              <w:spacing w:line="160" w:lineRule="exact"/>
              <w:rPr>
                <w:b/>
                <w:sz w:val="14"/>
              </w:rPr>
            </w:pPr>
            <w:r>
              <w:rPr>
                <w:color w:val="231F20"/>
                <w:sz w:val="14"/>
              </w:rPr>
              <w:t xml:space="preserve">Свет информација </w:t>
            </w:r>
            <w:r>
              <w:rPr>
                <w:b/>
                <w:color w:val="231F20"/>
                <w:sz w:val="14"/>
              </w:rPr>
              <w:t>(16</w:t>
            </w:r>
            <w:r>
              <w:rPr>
                <w:b/>
                <w:color w:val="231F20"/>
                <w:spacing w:val="-6"/>
                <w:sz w:val="14"/>
              </w:rPr>
              <w:t xml:space="preserve"> </w:t>
            </w:r>
            <w:r>
              <w:rPr>
                <w:b/>
                <w:color w:val="231F20"/>
                <w:sz w:val="14"/>
              </w:rPr>
              <w:t>часова)</w:t>
            </w:r>
          </w:p>
          <w:p w:rsidR="00041039" w:rsidRDefault="001B26CB">
            <w:pPr>
              <w:pStyle w:val="TableParagraph"/>
              <w:numPr>
                <w:ilvl w:val="0"/>
                <w:numId w:val="1095"/>
              </w:numPr>
              <w:tabs>
                <w:tab w:val="left" w:pos="158"/>
              </w:tabs>
              <w:spacing w:line="237" w:lineRule="auto"/>
              <w:ind w:right="69"/>
              <w:rPr>
                <w:b/>
                <w:sz w:val="14"/>
              </w:rPr>
            </w:pPr>
            <w:r>
              <w:rPr>
                <w:color w:val="231F20"/>
                <w:sz w:val="14"/>
              </w:rPr>
              <w:t xml:space="preserve">Свет професионалног образовања и рада </w:t>
            </w:r>
            <w:r>
              <w:rPr>
                <w:b/>
                <w:color w:val="231F20"/>
                <w:sz w:val="14"/>
              </w:rPr>
              <w:t>(16</w:t>
            </w:r>
            <w:r>
              <w:rPr>
                <w:b/>
                <w:color w:val="231F20"/>
                <w:spacing w:val="-2"/>
                <w:sz w:val="14"/>
              </w:rPr>
              <w:t xml:space="preserve"> </w:t>
            </w:r>
            <w:r>
              <w:rPr>
                <w:b/>
                <w:color w:val="231F20"/>
                <w:sz w:val="14"/>
              </w:rPr>
              <w:t>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2"/>
        </w:numPr>
        <w:tabs>
          <w:tab w:val="left" w:pos="633"/>
        </w:tabs>
      </w:pPr>
      <w:r>
        <w:rPr>
          <w:color w:val="231F20"/>
        </w:rPr>
        <w:t>Историја</w:t>
      </w:r>
    </w:p>
    <w:p w:rsidR="00041039" w:rsidRDefault="001B26CB">
      <w:pPr>
        <w:pStyle w:val="ListParagraph"/>
        <w:numPr>
          <w:ilvl w:val="0"/>
          <w:numId w:val="2"/>
        </w:numPr>
        <w:tabs>
          <w:tab w:val="left" w:pos="633"/>
        </w:tabs>
        <w:spacing w:line="203" w:lineRule="exact"/>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tcPr>
          <w:p w:rsidR="00041039" w:rsidRDefault="001B26CB">
            <w:pPr>
              <w:pStyle w:val="TableParagraph"/>
              <w:spacing w:before="16"/>
              <w:ind w:left="56"/>
              <w:rPr>
                <w:b/>
                <w:sz w:val="14"/>
              </w:rPr>
            </w:pPr>
            <w:r>
              <w:rPr>
                <w:b/>
                <w:color w:val="231F20"/>
                <w:sz w:val="14"/>
              </w:rPr>
              <w:t>ТЕМА</w:t>
            </w:r>
          </w:p>
        </w:tc>
        <w:tc>
          <w:tcPr>
            <w:tcW w:w="1587" w:type="dxa"/>
          </w:tcPr>
          <w:p w:rsidR="00041039" w:rsidRDefault="001B26CB">
            <w:pPr>
              <w:pStyle w:val="TableParagraph"/>
              <w:spacing w:before="16"/>
              <w:ind w:left="56"/>
              <w:rPr>
                <w:b/>
                <w:sz w:val="14"/>
              </w:rPr>
            </w:pPr>
            <w:r>
              <w:rPr>
                <w:b/>
                <w:color w:val="231F20"/>
                <w:sz w:val="14"/>
              </w:rPr>
              <w:t>ЦИЉ</w:t>
            </w:r>
          </w:p>
        </w:tc>
        <w:tc>
          <w:tcPr>
            <w:tcW w:w="2551" w:type="dxa"/>
          </w:tcPr>
          <w:p w:rsidR="00041039" w:rsidRDefault="001B26CB">
            <w:pPr>
              <w:pStyle w:val="TableParagraph"/>
              <w:spacing w:before="16" w:line="161" w:lineRule="exact"/>
              <w:ind w:left="57"/>
              <w:rPr>
                <w:b/>
                <w:sz w:val="14"/>
              </w:rPr>
            </w:pPr>
            <w:r>
              <w:rPr>
                <w:b/>
                <w:color w:val="231F20"/>
                <w:sz w:val="14"/>
              </w:rPr>
              <w:t>ИСХОДИ</w:t>
            </w:r>
          </w:p>
          <w:p w:rsidR="00041039" w:rsidRDefault="001B26CB">
            <w:pPr>
              <w:pStyle w:val="TableParagraph"/>
              <w:ind w:left="57" w:right="281"/>
              <w:rPr>
                <w:sz w:val="14"/>
              </w:rPr>
            </w:pPr>
            <w:r>
              <w:rPr>
                <w:color w:val="231F20"/>
                <w:sz w:val="14"/>
              </w:rPr>
              <w:t>По завршетку теме ученик ће бити у стању да:</w:t>
            </w:r>
          </w:p>
        </w:tc>
        <w:tc>
          <w:tcPr>
            <w:tcW w:w="2834" w:type="dxa"/>
          </w:tcPr>
          <w:p w:rsidR="00041039" w:rsidRDefault="001B26CB">
            <w:pPr>
              <w:pStyle w:val="TableParagraph"/>
              <w:spacing w:before="16"/>
              <w:ind w:left="57"/>
              <w:rPr>
                <w:b/>
                <w:sz w:val="14"/>
              </w:rPr>
            </w:pPr>
            <w:r>
              <w:rPr>
                <w:b/>
                <w:color w:val="231F20"/>
                <w:sz w:val="14"/>
              </w:rPr>
              <w:t>ПРЕПОРУЧЕНИ САДРЖАЈИ ПО ТЕМАМА</w:t>
            </w:r>
          </w:p>
        </w:tc>
        <w:tc>
          <w:tcPr>
            <w:tcW w:w="2267" w:type="dxa"/>
          </w:tcPr>
          <w:p w:rsidR="00041039" w:rsidRDefault="001B26CB">
            <w:pPr>
              <w:pStyle w:val="TableParagraph"/>
              <w:spacing w:before="16"/>
              <w:ind w:left="57"/>
              <w:rPr>
                <w:b/>
                <w:sz w:val="14"/>
              </w:rPr>
            </w:pPr>
            <w:r>
              <w:rPr>
                <w:b/>
                <w:color w:val="231F20"/>
                <w:sz w:val="14"/>
              </w:rPr>
              <w:t>НАЧИН ОСТВАРИВАЊА ПРОГРАМА</w:t>
            </w:r>
          </w:p>
        </w:tc>
      </w:tr>
      <w:tr w:rsidR="00041039">
        <w:trPr>
          <w:trHeight w:val="840"/>
        </w:trPr>
        <w:tc>
          <w:tcPr>
            <w:tcW w:w="1304" w:type="dxa"/>
          </w:tcPr>
          <w:p w:rsidR="00041039" w:rsidRDefault="001B26CB">
            <w:pPr>
              <w:pStyle w:val="TableParagraph"/>
              <w:spacing w:before="18"/>
              <w:ind w:left="56" w:right="37"/>
              <w:rPr>
                <w:sz w:val="14"/>
              </w:rPr>
            </w:pPr>
            <w:r>
              <w:rPr>
                <w:color w:val="231F20"/>
                <w:sz w:val="14"/>
              </w:rPr>
              <w:t>Хришћанство је црква (заједнички литургијски живот као израз вере у Бога)</w:t>
            </w:r>
          </w:p>
        </w:tc>
        <w:tc>
          <w:tcPr>
            <w:tcW w:w="1587" w:type="dxa"/>
          </w:tcPr>
          <w:p w:rsidR="00041039" w:rsidRDefault="001B26CB">
            <w:pPr>
              <w:pStyle w:val="TableParagraph"/>
              <w:numPr>
                <w:ilvl w:val="0"/>
                <w:numId w:val="1094"/>
              </w:numPr>
              <w:tabs>
                <w:tab w:val="left" w:pos="157"/>
              </w:tabs>
              <w:spacing w:before="8"/>
              <w:ind w:right="44"/>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томе да је хришћанство црква тј. конкретна</w:t>
            </w:r>
            <w:r>
              <w:rPr>
                <w:color w:val="231F20"/>
                <w:spacing w:val="-19"/>
                <w:sz w:val="14"/>
              </w:rPr>
              <w:t xml:space="preserve"> </w:t>
            </w:r>
            <w:r>
              <w:rPr>
                <w:color w:val="231F20"/>
                <w:sz w:val="14"/>
              </w:rPr>
              <w:t>ли­ тургијска</w:t>
            </w:r>
            <w:r>
              <w:rPr>
                <w:color w:val="231F20"/>
                <w:spacing w:val="-2"/>
                <w:sz w:val="14"/>
              </w:rPr>
              <w:t xml:space="preserve"> </w:t>
            </w:r>
            <w:r>
              <w:rPr>
                <w:color w:val="231F20"/>
                <w:sz w:val="14"/>
              </w:rPr>
              <w:t>заједница.</w:t>
            </w:r>
          </w:p>
        </w:tc>
        <w:tc>
          <w:tcPr>
            <w:tcW w:w="2551" w:type="dxa"/>
          </w:tcPr>
          <w:p w:rsidR="00041039" w:rsidRDefault="001B26CB">
            <w:pPr>
              <w:pStyle w:val="TableParagraph"/>
              <w:numPr>
                <w:ilvl w:val="0"/>
                <w:numId w:val="1093"/>
              </w:numPr>
              <w:tabs>
                <w:tab w:val="left" w:pos="157"/>
              </w:tabs>
              <w:spacing w:before="8"/>
              <w:ind w:right="240" w:hanging="99"/>
              <w:rPr>
                <w:sz w:val="14"/>
              </w:rPr>
            </w:pPr>
            <w:r>
              <w:rPr>
                <w:color w:val="231F20"/>
                <w:sz w:val="14"/>
              </w:rPr>
              <w:t>спознају да је хришћанство живот</w:t>
            </w:r>
            <w:r>
              <w:rPr>
                <w:color w:val="231F20"/>
                <w:spacing w:val="-5"/>
                <w:sz w:val="14"/>
              </w:rPr>
              <w:t xml:space="preserve"> </w:t>
            </w:r>
            <w:r>
              <w:rPr>
                <w:color w:val="231F20"/>
                <w:sz w:val="14"/>
              </w:rPr>
              <w:t>у литургијској</w:t>
            </w:r>
            <w:r>
              <w:rPr>
                <w:color w:val="231F20"/>
                <w:spacing w:val="-1"/>
                <w:sz w:val="14"/>
              </w:rPr>
              <w:t xml:space="preserve"> </w:t>
            </w:r>
            <w:r>
              <w:rPr>
                <w:color w:val="231F20"/>
                <w:sz w:val="14"/>
              </w:rPr>
              <w:t>заједници;</w:t>
            </w:r>
          </w:p>
        </w:tc>
        <w:tc>
          <w:tcPr>
            <w:tcW w:w="2834" w:type="dxa"/>
          </w:tcPr>
          <w:p w:rsidR="00041039" w:rsidRDefault="001B26CB">
            <w:pPr>
              <w:pStyle w:val="TableParagraph"/>
              <w:numPr>
                <w:ilvl w:val="0"/>
                <w:numId w:val="1092"/>
              </w:numPr>
              <w:tabs>
                <w:tab w:val="left" w:pos="157"/>
              </w:tabs>
              <w:spacing w:before="8" w:line="166" w:lineRule="exact"/>
              <w:ind w:hanging="99"/>
              <w:rPr>
                <w:sz w:val="14"/>
              </w:rPr>
            </w:pPr>
            <w:r>
              <w:rPr>
                <w:color w:val="231F20"/>
                <w:sz w:val="14"/>
              </w:rPr>
              <w:t>Хришћанство ­ Црква као</w:t>
            </w:r>
            <w:r>
              <w:rPr>
                <w:color w:val="231F20"/>
                <w:spacing w:val="-5"/>
                <w:sz w:val="14"/>
              </w:rPr>
              <w:t xml:space="preserve"> </w:t>
            </w:r>
            <w:r>
              <w:rPr>
                <w:color w:val="231F20"/>
                <w:sz w:val="14"/>
              </w:rPr>
              <w:t>заједница.</w:t>
            </w:r>
          </w:p>
          <w:p w:rsidR="00041039" w:rsidRDefault="001B26CB">
            <w:pPr>
              <w:pStyle w:val="TableParagraph"/>
              <w:numPr>
                <w:ilvl w:val="0"/>
                <w:numId w:val="1092"/>
              </w:numPr>
              <w:tabs>
                <w:tab w:val="left" w:pos="157"/>
              </w:tabs>
              <w:spacing w:line="160" w:lineRule="exact"/>
              <w:ind w:hanging="99"/>
              <w:rPr>
                <w:sz w:val="14"/>
              </w:rPr>
            </w:pPr>
            <w:r>
              <w:rPr>
                <w:color w:val="231F20"/>
                <w:sz w:val="14"/>
              </w:rPr>
              <w:t>Христос ­ Посредник између Бога и</w:t>
            </w:r>
            <w:r>
              <w:rPr>
                <w:color w:val="231F20"/>
                <w:spacing w:val="-8"/>
                <w:sz w:val="14"/>
              </w:rPr>
              <w:t xml:space="preserve"> </w:t>
            </w:r>
            <w:r>
              <w:rPr>
                <w:color w:val="231F20"/>
                <w:sz w:val="14"/>
              </w:rPr>
              <w:t>света.</w:t>
            </w:r>
          </w:p>
          <w:p w:rsidR="00041039" w:rsidRDefault="001B26CB">
            <w:pPr>
              <w:pStyle w:val="TableParagraph"/>
              <w:numPr>
                <w:ilvl w:val="0"/>
                <w:numId w:val="1092"/>
              </w:numPr>
              <w:tabs>
                <w:tab w:val="left" w:pos="157"/>
              </w:tabs>
              <w:spacing w:line="166" w:lineRule="exact"/>
              <w:ind w:hanging="99"/>
              <w:rPr>
                <w:sz w:val="14"/>
              </w:rPr>
            </w:pPr>
            <w:r>
              <w:rPr>
                <w:color w:val="231F20"/>
                <w:sz w:val="14"/>
              </w:rPr>
              <w:t>Света Литургија ­ присутни</w:t>
            </w:r>
            <w:r>
              <w:rPr>
                <w:color w:val="231F20"/>
                <w:spacing w:val="-4"/>
                <w:sz w:val="14"/>
              </w:rPr>
              <w:t xml:space="preserve"> </w:t>
            </w:r>
            <w:r>
              <w:rPr>
                <w:color w:val="231F20"/>
                <w:sz w:val="14"/>
              </w:rPr>
              <w:t>Христос.</w:t>
            </w:r>
          </w:p>
        </w:tc>
        <w:tc>
          <w:tcPr>
            <w:tcW w:w="2267" w:type="dxa"/>
            <w:vMerge w:val="restart"/>
            <w:tcBorders>
              <w:bottom w:val="nil"/>
            </w:tcBorders>
          </w:tcPr>
          <w:p w:rsidR="00041039" w:rsidRDefault="001B26CB">
            <w:pPr>
              <w:pStyle w:val="TableParagraph"/>
              <w:numPr>
                <w:ilvl w:val="0"/>
                <w:numId w:val="1091"/>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091"/>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tc>
      </w:tr>
      <w:tr w:rsidR="00041039">
        <w:trPr>
          <w:trHeight w:val="686"/>
        </w:trPr>
        <w:tc>
          <w:tcPr>
            <w:tcW w:w="1304" w:type="dxa"/>
            <w:tcBorders>
              <w:bottom w:val="nil"/>
            </w:tcBorders>
          </w:tcPr>
          <w:p w:rsidR="00041039" w:rsidRDefault="001B26CB">
            <w:pPr>
              <w:pStyle w:val="TableParagraph"/>
              <w:spacing w:before="19"/>
              <w:ind w:left="56" w:right="334"/>
              <w:rPr>
                <w:sz w:val="14"/>
              </w:rPr>
            </w:pPr>
            <w:r>
              <w:rPr>
                <w:color w:val="231F20"/>
                <w:sz w:val="14"/>
              </w:rPr>
              <w:t>Појам о Богу у Хришћанству</w:t>
            </w:r>
          </w:p>
        </w:tc>
        <w:tc>
          <w:tcPr>
            <w:tcW w:w="1587" w:type="dxa"/>
            <w:vMerge w:val="restart"/>
          </w:tcPr>
          <w:p w:rsidR="00041039" w:rsidRDefault="001B26CB">
            <w:pPr>
              <w:pStyle w:val="TableParagraph"/>
              <w:numPr>
                <w:ilvl w:val="0"/>
                <w:numId w:val="1090"/>
              </w:numPr>
              <w:tabs>
                <w:tab w:val="left" w:pos="157"/>
              </w:tabs>
              <w:spacing w:before="9"/>
              <w:ind w:right="95"/>
              <w:rPr>
                <w:sz w:val="14"/>
              </w:rPr>
            </w:pPr>
            <w:r>
              <w:rPr>
                <w:color w:val="231F20"/>
                <w:sz w:val="14"/>
              </w:rPr>
              <w:t>Да се ученицима скрене пажња да је појам личности кључ­ ни појам без кога се хришћанство не може разумети.</w:t>
            </w:r>
          </w:p>
        </w:tc>
        <w:tc>
          <w:tcPr>
            <w:tcW w:w="2551" w:type="dxa"/>
            <w:vMerge w:val="restart"/>
          </w:tcPr>
          <w:p w:rsidR="00041039" w:rsidRDefault="001B26CB">
            <w:pPr>
              <w:pStyle w:val="TableParagraph"/>
              <w:numPr>
                <w:ilvl w:val="0"/>
                <w:numId w:val="1089"/>
              </w:numPr>
              <w:tabs>
                <w:tab w:val="left" w:pos="157"/>
              </w:tabs>
              <w:spacing w:before="9"/>
              <w:ind w:right="350" w:hanging="99"/>
              <w:rPr>
                <w:sz w:val="14"/>
              </w:rPr>
            </w:pPr>
            <w:r>
              <w:rPr>
                <w:color w:val="231F20"/>
                <w:sz w:val="14"/>
              </w:rPr>
              <w:t>уоче да је појам личности</w:t>
            </w:r>
            <w:r>
              <w:rPr>
                <w:color w:val="231F20"/>
                <w:spacing w:val="-13"/>
                <w:sz w:val="14"/>
              </w:rPr>
              <w:t xml:space="preserve"> </w:t>
            </w:r>
            <w:r>
              <w:rPr>
                <w:color w:val="231F20"/>
                <w:sz w:val="14"/>
              </w:rPr>
              <w:t>кључни појам разумевања учења о Богу и људима;</w:t>
            </w:r>
          </w:p>
        </w:tc>
        <w:tc>
          <w:tcPr>
            <w:tcW w:w="2834" w:type="dxa"/>
            <w:tcBorders>
              <w:bottom w:val="nil"/>
            </w:tcBorders>
          </w:tcPr>
          <w:p w:rsidR="00041039" w:rsidRDefault="001B26CB">
            <w:pPr>
              <w:pStyle w:val="TableParagraph"/>
              <w:numPr>
                <w:ilvl w:val="0"/>
                <w:numId w:val="1088"/>
              </w:numPr>
              <w:tabs>
                <w:tab w:val="left" w:pos="157"/>
              </w:tabs>
              <w:spacing w:before="9" w:line="166" w:lineRule="exact"/>
              <w:ind w:hanging="99"/>
              <w:rPr>
                <w:sz w:val="14"/>
              </w:rPr>
            </w:pPr>
            <w:r>
              <w:rPr>
                <w:color w:val="231F20"/>
                <w:sz w:val="14"/>
              </w:rPr>
              <w:t>Вера и</w:t>
            </w:r>
            <w:r>
              <w:rPr>
                <w:color w:val="231F20"/>
                <w:spacing w:val="-2"/>
                <w:sz w:val="14"/>
              </w:rPr>
              <w:t xml:space="preserve"> </w:t>
            </w:r>
            <w:r>
              <w:rPr>
                <w:color w:val="231F20"/>
                <w:sz w:val="14"/>
              </w:rPr>
              <w:t>атеизам.</w:t>
            </w:r>
          </w:p>
          <w:p w:rsidR="00041039" w:rsidRDefault="001B26CB">
            <w:pPr>
              <w:pStyle w:val="TableParagraph"/>
              <w:numPr>
                <w:ilvl w:val="0"/>
                <w:numId w:val="1088"/>
              </w:numPr>
              <w:tabs>
                <w:tab w:val="left" w:pos="157"/>
              </w:tabs>
              <w:spacing w:line="166" w:lineRule="exact"/>
              <w:ind w:hanging="99"/>
              <w:rPr>
                <w:sz w:val="14"/>
              </w:rPr>
            </w:pPr>
            <w:r>
              <w:rPr>
                <w:color w:val="231F20"/>
                <w:sz w:val="14"/>
              </w:rPr>
              <w:t>Проблем</w:t>
            </w:r>
            <w:r>
              <w:rPr>
                <w:color w:val="231F20"/>
                <w:spacing w:val="-2"/>
                <w:sz w:val="14"/>
              </w:rPr>
              <w:t xml:space="preserve"> </w:t>
            </w:r>
            <w:r>
              <w:rPr>
                <w:color w:val="231F20"/>
                <w:sz w:val="14"/>
              </w:rPr>
              <w:t>сазнања.</w:t>
            </w:r>
          </w:p>
        </w:tc>
        <w:tc>
          <w:tcPr>
            <w:tcW w:w="2267" w:type="dxa"/>
            <w:vMerge/>
            <w:tcBorders>
              <w:top w:val="nil"/>
              <w:bottom w:val="nil"/>
            </w:tcBorders>
          </w:tcPr>
          <w:p w:rsidR="00041039" w:rsidRDefault="00041039">
            <w:pPr>
              <w:rPr>
                <w:sz w:val="2"/>
                <w:szCs w:val="2"/>
              </w:rPr>
            </w:pPr>
          </w:p>
        </w:tc>
      </w:tr>
      <w:tr w:rsidR="00041039">
        <w:trPr>
          <w:trHeight w:val="30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vMerge w:val="restart"/>
            <w:tcBorders>
              <w:top w:val="nil"/>
              <w:bottom w:val="nil"/>
            </w:tcBorders>
          </w:tcPr>
          <w:p w:rsidR="00041039" w:rsidRDefault="001B26CB">
            <w:pPr>
              <w:pStyle w:val="TableParagraph"/>
              <w:spacing w:before="7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numPr>
                <w:ilvl w:val="0"/>
                <w:numId w:val="108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r w:rsidR="00041039">
        <w:trPr>
          <w:trHeight w:val="796"/>
        </w:trPr>
        <w:tc>
          <w:tcPr>
            <w:tcW w:w="1304" w:type="dxa"/>
            <w:tcBorders>
              <w:bottom w:val="nil"/>
            </w:tcBorders>
          </w:tcPr>
          <w:p w:rsidR="00041039" w:rsidRDefault="001B26CB">
            <w:pPr>
              <w:pStyle w:val="TableParagraph"/>
              <w:spacing w:before="19"/>
              <w:ind w:left="56" w:right="87"/>
              <w:rPr>
                <w:sz w:val="14"/>
              </w:rPr>
            </w:pPr>
            <w:r>
              <w:rPr>
                <w:color w:val="231F20"/>
                <w:sz w:val="14"/>
              </w:rPr>
              <w:t>Познање Бога кроз Христа у цркви</w:t>
            </w:r>
          </w:p>
        </w:tc>
        <w:tc>
          <w:tcPr>
            <w:tcW w:w="1587" w:type="dxa"/>
            <w:vMerge w:val="restart"/>
          </w:tcPr>
          <w:p w:rsidR="00041039" w:rsidRDefault="001B26CB">
            <w:pPr>
              <w:pStyle w:val="TableParagraph"/>
              <w:numPr>
                <w:ilvl w:val="0"/>
                <w:numId w:val="1086"/>
              </w:numPr>
              <w:tabs>
                <w:tab w:val="left" w:pos="157"/>
              </w:tabs>
              <w:spacing w:before="9"/>
              <w:ind w:right="64"/>
              <w:rPr>
                <w:sz w:val="14"/>
              </w:rPr>
            </w:pPr>
            <w:r>
              <w:rPr>
                <w:color w:val="231F20"/>
                <w:sz w:val="14"/>
              </w:rPr>
              <w:t>Да је крштење као израз вере у Бога неопходан услов за сједињење са</w:t>
            </w:r>
            <w:r>
              <w:rPr>
                <w:color w:val="231F20"/>
                <w:spacing w:val="-9"/>
                <w:sz w:val="14"/>
              </w:rPr>
              <w:t xml:space="preserve"> </w:t>
            </w:r>
            <w:r>
              <w:rPr>
                <w:color w:val="231F20"/>
                <w:sz w:val="14"/>
              </w:rPr>
              <w:t>Христом и улазак у литургију, да се рукоположењем конституише литур­ гијска</w:t>
            </w:r>
            <w:r>
              <w:rPr>
                <w:color w:val="231F20"/>
                <w:spacing w:val="-2"/>
                <w:sz w:val="14"/>
              </w:rPr>
              <w:t xml:space="preserve"> </w:t>
            </w:r>
            <w:r>
              <w:rPr>
                <w:color w:val="231F20"/>
                <w:sz w:val="14"/>
              </w:rPr>
              <w:t>заједница.</w:t>
            </w:r>
          </w:p>
        </w:tc>
        <w:tc>
          <w:tcPr>
            <w:tcW w:w="2551" w:type="dxa"/>
            <w:vMerge w:val="restart"/>
          </w:tcPr>
          <w:p w:rsidR="00041039" w:rsidRDefault="001B26CB">
            <w:pPr>
              <w:pStyle w:val="TableParagraph"/>
              <w:numPr>
                <w:ilvl w:val="0"/>
                <w:numId w:val="1085"/>
              </w:numPr>
              <w:tabs>
                <w:tab w:val="left" w:pos="157"/>
              </w:tabs>
              <w:spacing w:before="9"/>
              <w:ind w:right="116" w:hanging="99"/>
              <w:rPr>
                <w:sz w:val="14"/>
              </w:rPr>
            </w:pPr>
            <w:r>
              <w:rPr>
                <w:color w:val="231F20"/>
                <w:sz w:val="14"/>
              </w:rPr>
              <w:t>науче да је Бог личност и да се само у заједници личности</w:t>
            </w:r>
            <w:r>
              <w:rPr>
                <w:color w:val="231F20"/>
                <w:spacing w:val="-2"/>
                <w:sz w:val="14"/>
              </w:rPr>
              <w:t xml:space="preserve"> </w:t>
            </w:r>
            <w:r>
              <w:rPr>
                <w:color w:val="231F20"/>
                <w:sz w:val="14"/>
              </w:rPr>
              <w:t>открива;</w:t>
            </w:r>
          </w:p>
        </w:tc>
        <w:tc>
          <w:tcPr>
            <w:tcW w:w="2834" w:type="dxa"/>
            <w:tcBorders>
              <w:bottom w:val="nil"/>
            </w:tcBorders>
          </w:tcPr>
          <w:p w:rsidR="00041039" w:rsidRDefault="001B26CB">
            <w:pPr>
              <w:pStyle w:val="TableParagraph"/>
              <w:numPr>
                <w:ilvl w:val="0"/>
                <w:numId w:val="1084"/>
              </w:numPr>
              <w:tabs>
                <w:tab w:val="left" w:pos="158"/>
              </w:tabs>
              <w:spacing w:before="9" w:line="166" w:lineRule="exact"/>
              <w:rPr>
                <w:sz w:val="14"/>
              </w:rPr>
            </w:pPr>
            <w:r>
              <w:rPr>
                <w:color w:val="231F20"/>
                <w:sz w:val="14"/>
              </w:rPr>
              <w:t>Познање Бога кроз Исуса</w:t>
            </w:r>
            <w:r>
              <w:rPr>
                <w:color w:val="231F20"/>
                <w:spacing w:val="-5"/>
                <w:sz w:val="14"/>
              </w:rPr>
              <w:t xml:space="preserve"> </w:t>
            </w:r>
            <w:r>
              <w:rPr>
                <w:color w:val="231F20"/>
                <w:sz w:val="14"/>
              </w:rPr>
              <w:t>Христа.</w:t>
            </w:r>
          </w:p>
          <w:p w:rsidR="00041039" w:rsidRDefault="001B26CB">
            <w:pPr>
              <w:pStyle w:val="TableParagraph"/>
              <w:numPr>
                <w:ilvl w:val="0"/>
                <w:numId w:val="1084"/>
              </w:numPr>
              <w:tabs>
                <w:tab w:val="left" w:pos="158"/>
              </w:tabs>
              <w:spacing w:line="166" w:lineRule="exact"/>
              <w:rPr>
                <w:sz w:val="14"/>
              </w:rPr>
            </w:pPr>
            <w:r>
              <w:rPr>
                <w:color w:val="231F20"/>
                <w:sz w:val="14"/>
              </w:rPr>
              <w:t>Ли</w:t>
            </w:r>
            <w:r>
              <w:rPr>
                <w:color w:val="231F20"/>
                <w:sz w:val="14"/>
              </w:rPr>
              <w:t>тургијско ­ подвижничко искуство</w:t>
            </w:r>
            <w:r>
              <w:rPr>
                <w:color w:val="231F20"/>
                <w:spacing w:val="-17"/>
                <w:sz w:val="14"/>
              </w:rPr>
              <w:t xml:space="preserve"> </w:t>
            </w:r>
            <w:r>
              <w:rPr>
                <w:color w:val="231F20"/>
                <w:sz w:val="14"/>
              </w:rPr>
              <w:t>вере.</w:t>
            </w:r>
          </w:p>
        </w:tc>
        <w:tc>
          <w:tcPr>
            <w:tcW w:w="2267" w:type="dxa"/>
            <w:vMerge/>
            <w:tcBorders>
              <w:top w:val="nil"/>
              <w:bottom w:val="nil"/>
            </w:tcBorders>
          </w:tcPr>
          <w:p w:rsidR="00041039" w:rsidRDefault="00041039">
            <w:pPr>
              <w:rPr>
                <w:sz w:val="2"/>
                <w:szCs w:val="2"/>
              </w:rPr>
            </w:pPr>
          </w:p>
        </w:tc>
      </w:tr>
      <w:tr w:rsidR="00041039">
        <w:trPr>
          <w:trHeight w:val="514"/>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bottom w:val="nil"/>
            </w:tcBorders>
          </w:tcPr>
          <w:p w:rsidR="00041039" w:rsidRDefault="001B26CB">
            <w:pPr>
              <w:pStyle w:val="TableParagraph"/>
              <w:spacing w:before="71"/>
              <w:ind w:left="58"/>
              <w:rPr>
                <w:b/>
                <w:sz w:val="14"/>
              </w:rPr>
            </w:pPr>
            <w:r>
              <w:rPr>
                <w:b/>
                <w:color w:val="231F20"/>
                <w:sz w:val="14"/>
              </w:rPr>
              <w:t>Препоруке за реализацију садр- жаја програма</w:t>
            </w:r>
          </w:p>
        </w:tc>
      </w:tr>
      <w:tr w:rsidR="00041039">
        <w:trPr>
          <w:trHeight w:val="746"/>
        </w:trPr>
        <w:tc>
          <w:tcPr>
            <w:tcW w:w="1304" w:type="dxa"/>
            <w:tcBorders>
              <w:bottom w:val="nil"/>
            </w:tcBorders>
          </w:tcPr>
          <w:p w:rsidR="00041039" w:rsidRDefault="001B26CB">
            <w:pPr>
              <w:pStyle w:val="TableParagraph"/>
              <w:spacing w:before="19"/>
              <w:ind w:left="57"/>
              <w:rPr>
                <w:sz w:val="14"/>
              </w:rPr>
            </w:pPr>
            <w:r>
              <w:rPr>
                <w:color w:val="231F20"/>
                <w:sz w:val="14"/>
              </w:rPr>
              <w:t>Крштење и руко­ положење као сје­ дињење са Христом у литургији</w:t>
            </w:r>
          </w:p>
        </w:tc>
        <w:tc>
          <w:tcPr>
            <w:tcW w:w="1587" w:type="dxa"/>
            <w:vMerge w:val="restart"/>
          </w:tcPr>
          <w:p w:rsidR="00041039" w:rsidRDefault="001B26CB">
            <w:pPr>
              <w:pStyle w:val="TableParagraph"/>
              <w:numPr>
                <w:ilvl w:val="0"/>
                <w:numId w:val="1083"/>
              </w:numPr>
              <w:tabs>
                <w:tab w:val="left" w:pos="157"/>
              </w:tabs>
              <w:spacing w:before="9"/>
              <w:ind w:right="174" w:hanging="99"/>
              <w:rPr>
                <w:sz w:val="14"/>
              </w:rPr>
            </w:pPr>
            <w:r>
              <w:rPr>
                <w:color w:val="231F20"/>
                <w:sz w:val="14"/>
              </w:rPr>
              <w:t>Да ученици схвате да је Бог биће заједнице, с обзиром да је заједница три комплетне</w:t>
            </w:r>
            <w:r>
              <w:rPr>
                <w:color w:val="231F20"/>
                <w:spacing w:val="-12"/>
                <w:sz w:val="14"/>
              </w:rPr>
              <w:t xml:space="preserve"> </w:t>
            </w:r>
            <w:r>
              <w:rPr>
                <w:color w:val="231F20"/>
                <w:sz w:val="14"/>
              </w:rPr>
              <w:t>Личности</w:t>
            </w:r>
          </w:p>
          <w:p w:rsidR="00041039" w:rsidRDefault="001B26CB">
            <w:pPr>
              <w:pStyle w:val="TableParagraph"/>
              <w:numPr>
                <w:ilvl w:val="0"/>
                <w:numId w:val="1083"/>
              </w:numPr>
              <w:tabs>
                <w:tab w:val="left" w:pos="157"/>
              </w:tabs>
              <w:spacing w:line="155" w:lineRule="exact"/>
              <w:ind w:hanging="99"/>
              <w:rPr>
                <w:sz w:val="14"/>
              </w:rPr>
            </w:pPr>
            <w:r>
              <w:rPr>
                <w:color w:val="231F20"/>
                <w:sz w:val="14"/>
              </w:rPr>
              <w:t>Да ученици</w:t>
            </w:r>
            <w:r>
              <w:rPr>
                <w:color w:val="231F20"/>
                <w:spacing w:val="-12"/>
                <w:sz w:val="14"/>
              </w:rPr>
              <w:t xml:space="preserve"> </w:t>
            </w:r>
            <w:r>
              <w:rPr>
                <w:color w:val="231F20"/>
                <w:sz w:val="14"/>
              </w:rPr>
              <w:t>схвате</w:t>
            </w:r>
          </w:p>
          <w:p w:rsidR="00041039" w:rsidRDefault="001B26CB">
            <w:pPr>
              <w:pStyle w:val="TableParagraph"/>
              <w:ind w:right="71"/>
              <w:rPr>
                <w:sz w:val="14"/>
              </w:rPr>
            </w:pPr>
            <w:r>
              <w:rPr>
                <w:color w:val="231F20"/>
                <w:sz w:val="14"/>
              </w:rPr>
              <w:t>да је Црква икона Царства Божијег, које је права истина света.</w:t>
            </w:r>
          </w:p>
        </w:tc>
        <w:tc>
          <w:tcPr>
            <w:tcW w:w="2551" w:type="dxa"/>
            <w:vMerge w:val="restart"/>
          </w:tcPr>
          <w:p w:rsidR="00041039" w:rsidRDefault="001B26CB">
            <w:pPr>
              <w:pStyle w:val="TableParagraph"/>
              <w:numPr>
                <w:ilvl w:val="0"/>
                <w:numId w:val="1082"/>
              </w:numPr>
              <w:tabs>
                <w:tab w:val="left" w:pos="157"/>
              </w:tabs>
              <w:spacing w:before="9"/>
              <w:ind w:right="145" w:hanging="99"/>
              <w:rPr>
                <w:sz w:val="14"/>
              </w:rPr>
            </w:pPr>
            <w:r>
              <w:rPr>
                <w:color w:val="231F20"/>
                <w:sz w:val="14"/>
              </w:rPr>
              <w:t>уоче</w:t>
            </w:r>
            <w:r>
              <w:rPr>
                <w:color w:val="231F20"/>
                <w:spacing w:val="-6"/>
                <w:sz w:val="14"/>
              </w:rPr>
              <w:t xml:space="preserve"> </w:t>
            </w:r>
            <w:r>
              <w:rPr>
                <w:color w:val="231F20"/>
                <w:sz w:val="14"/>
              </w:rPr>
              <w:t>да</w:t>
            </w:r>
            <w:r>
              <w:rPr>
                <w:color w:val="231F20"/>
                <w:spacing w:val="-6"/>
                <w:sz w:val="14"/>
              </w:rPr>
              <w:t xml:space="preserve"> </w:t>
            </w:r>
            <w:r>
              <w:rPr>
                <w:color w:val="231F20"/>
                <w:sz w:val="14"/>
              </w:rPr>
              <w:t>је</w:t>
            </w:r>
            <w:r>
              <w:rPr>
                <w:color w:val="231F20"/>
                <w:spacing w:val="-6"/>
                <w:sz w:val="14"/>
              </w:rPr>
              <w:t xml:space="preserve"> </w:t>
            </w:r>
            <w:r>
              <w:rPr>
                <w:color w:val="231F20"/>
                <w:sz w:val="14"/>
              </w:rPr>
              <w:t>подвиг</w:t>
            </w:r>
            <w:r>
              <w:rPr>
                <w:color w:val="231F20"/>
                <w:spacing w:val="-6"/>
                <w:sz w:val="14"/>
              </w:rPr>
              <w:t xml:space="preserve"> </w:t>
            </w:r>
            <w:r>
              <w:rPr>
                <w:color w:val="231F20"/>
                <w:sz w:val="14"/>
              </w:rPr>
              <w:t>неопходно</w:t>
            </w:r>
            <w:r>
              <w:rPr>
                <w:color w:val="231F20"/>
                <w:spacing w:val="-6"/>
                <w:sz w:val="14"/>
              </w:rPr>
              <w:t xml:space="preserve"> </w:t>
            </w:r>
            <w:r>
              <w:rPr>
                <w:color w:val="231F20"/>
                <w:sz w:val="14"/>
              </w:rPr>
              <w:t>средство за остваривање личне заједнице са Богом;</w:t>
            </w:r>
          </w:p>
          <w:p w:rsidR="00041039" w:rsidRDefault="001B26CB">
            <w:pPr>
              <w:pStyle w:val="TableParagraph"/>
              <w:numPr>
                <w:ilvl w:val="0"/>
                <w:numId w:val="1082"/>
              </w:numPr>
              <w:tabs>
                <w:tab w:val="left" w:pos="157"/>
              </w:tabs>
              <w:spacing w:line="158" w:lineRule="exact"/>
              <w:ind w:hanging="99"/>
              <w:rPr>
                <w:sz w:val="14"/>
              </w:rPr>
            </w:pPr>
            <w:r>
              <w:rPr>
                <w:color w:val="231F20"/>
                <w:sz w:val="14"/>
              </w:rPr>
              <w:t>уоче да је Бог особа као што смо и</w:t>
            </w:r>
            <w:r>
              <w:rPr>
                <w:color w:val="231F20"/>
                <w:spacing w:val="-12"/>
                <w:sz w:val="14"/>
              </w:rPr>
              <w:t xml:space="preserve"> </w:t>
            </w:r>
            <w:r>
              <w:rPr>
                <w:color w:val="231F20"/>
                <w:sz w:val="14"/>
              </w:rPr>
              <w:t>ми;</w:t>
            </w:r>
          </w:p>
        </w:tc>
        <w:tc>
          <w:tcPr>
            <w:tcW w:w="2834" w:type="dxa"/>
            <w:vMerge w:val="restart"/>
          </w:tcPr>
          <w:p w:rsidR="00041039" w:rsidRDefault="001B26CB">
            <w:pPr>
              <w:pStyle w:val="TableParagraph"/>
              <w:numPr>
                <w:ilvl w:val="0"/>
                <w:numId w:val="1081"/>
              </w:numPr>
              <w:tabs>
                <w:tab w:val="left" w:pos="158"/>
              </w:tabs>
              <w:spacing w:before="9"/>
              <w:ind w:right="258"/>
              <w:rPr>
                <w:sz w:val="14"/>
              </w:rPr>
            </w:pPr>
            <w:r>
              <w:rPr>
                <w:color w:val="231F20"/>
                <w:sz w:val="14"/>
              </w:rPr>
              <w:t>Лична заједница са Богом ­ основ вере</w:t>
            </w:r>
            <w:r>
              <w:rPr>
                <w:color w:val="231F20"/>
                <w:spacing w:val="-17"/>
                <w:sz w:val="14"/>
              </w:rPr>
              <w:t xml:space="preserve"> </w:t>
            </w:r>
            <w:r>
              <w:rPr>
                <w:color w:val="231F20"/>
                <w:sz w:val="14"/>
              </w:rPr>
              <w:t>у Бога.</w:t>
            </w:r>
          </w:p>
          <w:p w:rsidR="00041039" w:rsidRDefault="001B26CB">
            <w:pPr>
              <w:pStyle w:val="TableParagraph"/>
              <w:numPr>
                <w:ilvl w:val="0"/>
                <w:numId w:val="1081"/>
              </w:numPr>
              <w:tabs>
                <w:tab w:val="left" w:pos="158"/>
              </w:tabs>
              <w:spacing w:line="153" w:lineRule="exact"/>
              <w:rPr>
                <w:sz w:val="14"/>
              </w:rPr>
            </w:pPr>
            <w:r>
              <w:rPr>
                <w:color w:val="231F20"/>
                <w:sz w:val="14"/>
              </w:rPr>
              <w:t xml:space="preserve">Вера ­ знање ­ </w:t>
            </w:r>
            <w:r>
              <w:rPr>
                <w:color w:val="231F20"/>
                <w:spacing w:val="-3"/>
                <w:sz w:val="14"/>
              </w:rPr>
              <w:t>живот.</w:t>
            </w:r>
          </w:p>
          <w:p w:rsidR="00041039" w:rsidRDefault="001B26CB">
            <w:pPr>
              <w:pStyle w:val="TableParagraph"/>
              <w:numPr>
                <w:ilvl w:val="0"/>
                <w:numId w:val="1081"/>
              </w:numPr>
              <w:tabs>
                <w:tab w:val="left" w:pos="158"/>
              </w:tabs>
              <w:spacing w:line="160" w:lineRule="exact"/>
              <w:rPr>
                <w:sz w:val="14"/>
              </w:rPr>
            </w:pPr>
            <w:r>
              <w:rPr>
                <w:color w:val="231F20"/>
                <w:sz w:val="14"/>
              </w:rPr>
              <w:t>Бог као биће</w:t>
            </w:r>
            <w:r>
              <w:rPr>
                <w:color w:val="231F20"/>
                <w:spacing w:val="-2"/>
                <w:sz w:val="14"/>
              </w:rPr>
              <w:t xml:space="preserve"> </w:t>
            </w:r>
            <w:r>
              <w:rPr>
                <w:color w:val="231F20"/>
                <w:sz w:val="14"/>
              </w:rPr>
              <w:t>заједнице.</w:t>
            </w:r>
          </w:p>
          <w:p w:rsidR="00041039" w:rsidRDefault="001B26CB">
            <w:pPr>
              <w:pStyle w:val="TableParagraph"/>
              <w:numPr>
                <w:ilvl w:val="0"/>
                <w:numId w:val="1081"/>
              </w:numPr>
              <w:tabs>
                <w:tab w:val="left" w:pos="158"/>
              </w:tabs>
              <w:spacing w:line="160" w:lineRule="exact"/>
              <w:rPr>
                <w:sz w:val="14"/>
              </w:rPr>
            </w:pPr>
            <w:r>
              <w:rPr>
                <w:color w:val="231F20"/>
                <w:sz w:val="14"/>
              </w:rPr>
              <w:t>Бог као</w:t>
            </w:r>
            <w:r>
              <w:rPr>
                <w:color w:val="231F20"/>
                <w:spacing w:val="-2"/>
                <w:sz w:val="14"/>
              </w:rPr>
              <w:t xml:space="preserve"> </w:t>
            </w:r>
            <w:r>
              <w:rPr>
                <w:color w:val="231F20"/>
                <w:sz w:val="14"/>
              </w:rPr>
              <w:t>личност.</w:t>
            </w:r>
          </w:p>
          <w:p w:rsidR="00041039" w:rsidRDefault="001B26CB">
            <w:pPr>
              <w:pStyle w:val="TableParagraph"/>
              <w:numPr>
                <w:ilvl w:val="0"/>
                <w:numId w:val="1081"/>
              </w:numPr>
              <w:tabs>
                <w:tab w:val="left" w:pos="158"/>
              </w:tabs>
              <w:spacing w:line="160" w:lineRule="exact"/>
              <w:rPr>
                <w:sz w:val="14"/>
              </w:rPr>
            </w:pPr>
            <w:r>
              <w:rPr>
                <w:color w:val="231F20"/>
                <w:sz w:val="14"/>
              </w:rPr>
              <w:t>Личност или</w:t>
            </w:r>
            <w:r>
              <w:rPr>
                <w:color w:val="231F20"/>
                <w:spacing w:val="-2"/>
                <w:sz w:val="14"/>
              </w:rPr>
              <w:t xml:space="preserve"> </w:t>
            </w:r>
            <w:r>
              <w:rPr>
                <w:color w:val="231F20"/>
                <w:sz w:val="14"/>
              </w:rPr>
              <w:t>индивидуа?</w:t>
            </w:r>
          </w:p>
          <w:p w:rsidR="00041039" w:rsidRDefault="001B26CB">
            <w:pPr>
              <w:pStyle w:val="TableParagraph"/>
              <w:numPr>
                <w:ilvl w:val="0"/>
                <w:numId w:val="1081"/>
              </w:numPr>
              <w:tabs>
                <w:tab w:val="left" w:pos="158"/>
              </w:tabs>
              <w:spacing w:line="160" w:lineRule="exact"/>
              <w:rPr>
                <w:sz w:val="14"/>
              </w:rPr>
            </w:pPr>
            <w:r>
              <w:rPr>
                <w:color w:val="231F20"/>
                <w:sz w:val="14"/>
              </w:rPr>
              <w:t>Религија или</w:t>
            </w:r>
            <w:r>
              <w:rPr>
                <w:color w:val="231F20"/>
                <w:spacing w:val="-2"/>
                <w:sz w:val="14"/>
              </w:rPr>
              <w:t xml:space="preserve"> </w:t>
            </w:r>
            <w:r>
              <w:rPr>
                <w:color w:val="231F20"/>
                <w:sz w:val="14"/>
              </w:rPr>
              <w:t>црква?</w:t>
            </w:r>
          </w:p>
          <w:p w:rsidR="00041039" w:rsidRDefault="001B26CB">
            <w:pPr>
              <w:pStyle w:val="TableParagraph"/>
              <w:numPr>
                <w:ilvl w:val="0"/>
                <w:numId w:val="1081"/>
              </w:numPr>
              <w:tabs>
                <w:tab w:val="left" w:pos="158"/>
              </w:tabs>
              <w:spacing w:line="160" w:lineRule="exact"/>
              <w:rPr>
                <w:sz w:val="14"/>
              </w:rPr>
            </w:pPr>
            <w:r>
              <w:rPr>
                <w:color w:val="231F20"/>
                <w:sz w:val="14"/>
              </w:rPr>
              <w:t>Слобода у</w:t>
            </w:r>
            <w:r>
              <w:rPr>
                <w:color w:val="231F20"/>
                <w:spacing w:val="-1"/>
                <w:sz w:val="14"/>
              </w:rPr>
              <w:t xml:space="preserve"> </w:t>
            </w:r>
            <w:r>
              <w:rPr>
                <w:color w:val="231F20"/>
                <w:sz w:val="14"/>
              </w:rPr>
              <w:t>љубави.</w:t>
            </w:r>
          </w:p>
          <w:p w:rsidR="00041039" w:rsidRDefault="001B26CB">
            <w:pPr>
              <w:pStyle w:val="TableParagraph"/>
              <w:numPr>
                <w:ilvl w:val="0"/>
                <w:numId w:val="1081"/>
              </w:numPr>
              <w:tabs>
                <w:tab w:val="left" w:pos="158"/>
              </w:tabs>
              <w:spacing w:line="237" w:lineRule="auto"/>
              <w:ind w:right="302"/>
              <w:rPr>
                <w:sz w:val="14"/>
              </w:rPr>
            </w:pPr>
            <w:r>
              <w:rPr>
                <w:color w:val="231F20"/>
                <w:sz w:val="14"/>
              </w:rPr>
              <w:t>Црква</w:t>
            </w:r>
            <w:r>
              <w:rPr>
                <w:color w:val="231F20"/>
                <w:spacing w:val="-6"/>
                <w:sz w:val="14"/>
              </w:rPr>
              <w:t xml:space="preserve"> </w:t>
            </w:r>
            <w:r>
              <w:rPr>
                <w:color w:val="231F20"/>
                <w:sz w:val="14"/>
              </w:rPr>
              <w:t>у</w:t>
            </w:r>
            <w:r>
              <w:rPr>
                <w:color w:val="231F20"/>
                <w:spacing w:val="-6"/>
                <w:sz w:val="14"/>
              </w:rPr>
              <w:t xml:space="preserve"> </w:t>
            </w:r>
            <w:r>
              <w:rPr>
                <w:color w:val="231F20"/>
                <w:sz w:val="14"/>
              </w:rPr>
              <w:t>свом</w:t>
            </w:r>
            <w:r>
              <w:rPr>
                <w:color w:val="231F20"/>
                <w:spacing w:val="-6"/>
                <w:sz w:val="14"/>
              </w:rPr>
              <w:t xml:space="preserve"> </w:t>
            </w:r>
            <w:r>
              <w:rPr>
                <w:color w:val="231F20"/>
                <w:sz w:val="14"/>
              </w:rPr>
              <w:t>есхатолошком</w:t>
            </w:r>
            <w:r>
              <w:rPr>
                <w:color w:val="231F20"/>
                <w:spacing w:val="-6"/>
                <w:sz w:val="14"/>
              </w:rPr>
              <w:t xml:space="preserve"> </w:t>
            </w:r>
            <w:r>
              <w:rPr>
                <w:color w:val="231F20"/>
                <w:sz w:val="14"/>
              </w:rPr>
              <w:t>стању</w:t>
            </w:r>
            <w:r>
              <w:rPr>
                <w:color w:val="231F20"/>
                <w:spacing w:val="-7"/>
                <w:sz w:val="14"/>
              </w:rPr>
              <w:t xml:space="preserve"> </w:t>
            </w:r>
            <w:r>
              <w:rPr>
                <w:color w:val="231F20"/>
                <w:sz w:val="14"/>
              </w:rPr>
              <w:t>­</w:t>
            </w:r>
            <w:r>
              <w:rPr>
                <w:color w:val="231F20"/>
                <w:spacing w:val="-6"/>
                <w:sz w:val="14"/>
              </w:rPr>
              <w:t xml:space="preserve"> </w:t>
            </w:r>
            <w:r>
              <w:rPr>
                <w:color w:val="231F20"/>
                <w:sz w:val="14"/>
              </w:rPr>
              <w:t>ис­ тински начин постојања</w:t>
            </w:r>
            <w:r>
              <w:rPr>
                <w:color w:val="231F20"/>
                <w:spacing w:val="-2"/>
                <w:sz w:val="14"/>
              </w:rPr>
              <w:t xml:space="preserve"> </w:t>
            </w:r>
            <w:r>
              <w:rPr>
                <w:color w:val="231F20"/>
                <w:sz w:val="14"/>
              </w:rPr>
              <w:t>света.</w:t>
            </w:r>
          </w:p>
          <w:p w:rsidR="00041039" w:rsidRDefault="001B26CB">
            <w:pPr>
              <w:pStyle w:val="TableParagraph"/>
              <w:numPr>
                <w:ilvl w:val="0"/>
                <w:numId w:val="1081"/>
              </w:numPr>
              <w:tabs>
                <w:tab w:val="left" w:pos="158"/>
              </w:tabs>
              <w:spacing w:line="155" w:lineRule="exact"/>
              <w:rPr>
                <w:sz w:val="14"/>
              </w:rPr>
            </w:pPr>
            <w:r>
              <w:rPr>
                <w:color w:val="231F20"/>
                <w:sz w:val="14"/>
              </w:rPr>
              <w:t>Егоизам или</w:t>
            </w:r>
            <w:r>
              <w:rPr>
                <w:color w:val="231F20"/>
                <w:spacing w:val="-2"/>
                <w:sz w:val="14"/>
              </w:rPr>
              <w:t xml:space="preserve"> </w:t>
            </w:r>
            <w:r>
              <w:rPr>
                <w:color w:val="231F20"/>
                <w:sz w:val="14"/>
              </w:rPr>
              <w:t>љубав?</w:t>
            </w:r>
          </w:p>
          <w:p w:rsidR="00041039" w:rsidRDefault="001B26CB">
            <w:pPr>
              <w:pStyle w:val="TableParagraph"/>
              <w:numPr>
                <w:ilvl w:val="0"/>
                <w:numId w:val="1081"/>
              </w:numPr>
              <w:tabs>
                <w:tab w:val="left" w:pos="158"/>
              </w:tabs>
              <w:spacing w:line="160" w:lineRule="exact"/>
              <w:rPr>
                <w:sz w:val="14"/>
              </w:rPr>
            </w:pPr>
            <w:r>
              <w:rPr>
                <w:color w:val="231F20"/>
                <w:sz w:val="14"/>
              </w:rPr>
              <w:t>Свет ­ дело воље</w:t>
            </w:r>
            <w:r>
              <w:rPr>
                <w:color w:val="231F20"/>
                <w:spacing w:val="-2"/>
                <w:sz w:val="14"/>
              </w:rPr>
              <w:t xml:space="preserve"> </w:t>
            </w:r>
            <w:r>
              <w:rPr>
                <w:color w:val="231F20"/>
                <w:sz w:val="14"/>
              </w:rPr>
              <w:t>Божије.</w:t>
            </w:r>
          </w:p>
          <w:p w:rsidR="00041039" w:rsidRDefault="001B26CB">
            <w:pPr>
              <w:pStyle w:val="TableParagraph"/>
              <w:numPr>
                <w:ilvl w:val="0"/>
                <w:numId w:val="1081"/>
              </w:numPr>
              <w:tabs>
                <w:tab w:val="left" w:pos="158"/>
              </w:tabs>
              <w:spacing w:line="165" w:lineRule="exact"/>
              <w:rPr>
                <w:sz w:val="14"/>
              </w:rPr>
            </w:pPr>
            <w:r>
              <w:rPr>
                <w:color w:val="231F20"/>
                <w:sz w:val="14"/>
              </w:rPr>
              <w:t>Слобода Божија и слобода</w:t>
            </w:r>
            <w:r>
              <w:rPr>
                <w:color w:val="231F20"/>
                <w:spacing w:val="-4"/>
                <w:sz w:val="14"/>
              </w:rPr>
              <w:t xml:space="preserve"> </w:t>
            </w:r>
            <w:r>
              <w:rPr>
                <w:color w:val="231F20"/>
                <w:sz w:val="14"/>
              </w:rPr>
              <w:t>света.</w:t>
            </w:r>
          </w:p>
        </w:tc>
        <w:tc>
          <w:tcPr>
            <w:tcW w:w="2267" w:type="dxa"/>
            <w:tcBorders>
              <w:top w:val="nil"/>
              <w:bottom w:val="nil"/>
            </w:tcBorders>
          </w:tcPr>
          <w:p w:rsidR="00041039" w:rsidRDefault="001B26CB">
            <w:pPr>
              <w:pStyle w:val="TableParagraph"/>
              <w:spacing w:before="27"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080"/>
              </w:numPr>
              <w:tabs>
                <w:tab w:val="left" w:pos="158"/>
              </w:tabs>
              <w:spacing w:line="160"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tc>
      </w:tr>
      <w:tr w:rsidR="00041039">
        <w:trPr>
          <w:trHeight w:val="1364"/>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079"/>
              </w:numPr>
              <w:tabs>
                <w:tab w:val="left" w:pos="158"/>
              </w:tabs>
              <w:spacing w:line="237" w:lineRule="auto"/>
              <w:ind w:right="131" w:hanging="99"/>
              <w:rPr>
                <w:b/>
                <w:sz w:val="14"/>
              </w:rPr>
            </w:pPr>
            <w:r>
              <w:rPr>
                <w:color w:val="231F20"/>
                <w:sz w:val="14"/>
              </w:rPr>
              <w:t>Хришћанство је црква</w:t>
            </w:r>
            <w:r>
              <w:rPr>
                <w:color w:val="231F20"/>
                <w:spacing w:val="-15"/>
                <w:sz w:val="14"/>
              </w:rPr>
              <w:t xml:space="preserve"> </w:t>
            </w:r>
            <w:r>
              <w:rPr>
                <w:color w:val="231F20"/>
                <w:sz w:val="14"/>
              </w:rPr>
              <w:t xml:space="preserve">(заједнич­ ки литургијски живот као израз вере у Бога) </w:t>
            </w:r>
            <w:r>
              <w:rPr>
                <w:b/>
                <w:color w:val="231F20"/>
                <w:sz w:val="14"/>
              </w:rPr>
              <w:t>(5</w:t>
            </w:r>
            <w:r>
              <w:rPr>
                <w:b/>
                <w:color w:val="231F20"/>
                <w:spacing w:val="-4"/>
                <w:sz w:val="14"/>
              </w:rPr>
              <w:t xml:space="preserve"> </w:t>
            </w:r>
            <w:r>
              <w:rPr>
                <w:b/>
                <w:color w:val="231F20"/>
                <w:sz w:val="14"/>
              </w:rPr>
              <w:t>часова)</w:t>
            </w:r>
          </w:p>
          <w:p w:rsidR="00041039" w:rsidRDefault="001B26CB">
            <w:pPr>
              <w:pStyle w:val="TableParagraph"/>
              <w:numPr>
                <w:ilvl w:val="0"/>
                <w:numId w:val="1079"/>
              </w:numPr>
              <w:tabs>
                <w:tab w:val="left" w:pos="158"/>
              </w:tabs>
              <w:spacing w:line="237" w:lineRule="auto"/>
              <w:ind w:right="242" w:hanging="99"/>
              <w:rPr>
                <w:b/>
                <w:sz w:val="14"/>
              </w:rPr>
            </w:pPr>
            <w:r>
              <w:rPr>
                <w:color w:val="231F20"/>
                <w:sz w:val="14"/>
              </w:rPr>
              <w:t>Појам о Богу у хришћанству</w:t>
            </w:r>
            <w:r>
              <w:rPr>
                <w:color w:val="231F20"/>
                <w:spacing w:val="-14"/>
                <w:sz w:val="14"/>
              </w:rPr>
              <w:t xml:space="preserve"> </w:t>
            </w:r>
            <w:r>
              <w:rPr>
                <w:b/>
                <w:color w:val="231F20"/>
                <w:sz w:val="14"/>
              </w:rPr>
              <w:t>(2 часа)</w:t>
            </w:r>
          </w:p>
          <w:p w:rsidR="00041039" w:rsidRDefault="001B26CB">
            <w:pPr>
              <w:pStyle w:val="TableParagraph"/>
              <w:numPr>
                <w:ilvl w:val="0"/>
                <w:numId w:val="1079"/>
              </w:numPr>
              <w:tabs>
                <w:tab w:val="left" w:pos="158"/>
              </w:tabs>
              <w:spacing w:line="160" w:lineRule="exact"/>
              <w:ind w:right="382" w:hanging="99"/>
              <w:rPr>
                <w:b/>
                <w:sz w:val="14"/>
              </w:rPr>
            </w:pPr>
            <w:r>
              <w:rPr>
                <w:color w:val="231F20"/>
                <w:sz w:val="14"/>
              </w:rPr>
              <w:t xml:space="preserve">Познање Бога кроз Христа­у цркви </w:t>
            </w:r>
            <w:r>
              <w:rPr>
                <w:b/>
                <w:color w:val="231F20"/>
                <w:sz w:val="14"/>
              </w:rPr>
              <w:t>(3</w:t>
            </w:r>
            <w:r>
              <w:rPr>
                <w:b/>
                <w:color w:val="231F20"/>
                <w:spacing w:val="-2"/>
                <w:sz w:val="14"/>
              </w:rPr>
              <w:t xml:space="preserve"> </w:t>
            </w:r>
            <w:r>
              <w:rPr>
                <w:b/>
                <w:color w:val="231F20"/>
                <w:sz w:val="14"/>
              </w:rPr>
              <w:t>часа)</w:t>
            </w:r>
          </w:p>
          <w:p w:rsidR="00041039" w:rsidRDefault="001B26CB">
            <w:pPr>
              <w:pStyle w:val="TableParagraph"/>
              <w:numPr>
                <w:ilvl w:val="0"/>
                <w:numId w:val="1079"/>
              </w:numPr>
              <w:tabs>
                <w:tab w:val="left" w:pos="158"/>
              </w:tabs>
              <w:spacing w:line="160" w:lineRule="exact"/>
              <w:ind w:right="47" w:hanging="99"/>
              <w:rPr>
                <w:b/>
                <w:sz w:val="14"/>
              </w:rPr>
            </w:pPr>
            <w:r>
              <w:rPr>
                <w:color w:val="231F20"/>
                <w:sz w:val="14"/>
              </w:rPr>
              <w:t>Крштење и рукоположење као</w:t>
            </w:r>
            <w:r>
              <w:rPr>
                <w:color w:val="231F20"/>
                <w:spacing w:val="-23"/>
                <w:sz w:val="14"/>
              </w:rPr>
              <w:t xml:space="preserve"> </w:t>
            </w:r>
            <w:r>
              <w:rPr>
                <w:color w:val="231F20"/>
                <w:sz w:val="14"/>
              </w:rPr>
              <w:t xml:space="preserve">сје­ дињење са Христом у литургији </w:t>
            </w:r>
            <w:r>
              <w:rPr>
                <w:b/>
                <w:color w:val="231F20"/>
                <w:sz w:val="14"/>
              </w:rPr>
              <w:t>(18</w:t>
            </w:r>
            <w:r>
              <w:rPr>
                <w:b/>
                <w:color w:val="231F20"/>
                <w:spacing w:val="-1"/>
                <w:sz w:val="14"/>
              </w:rPr>
              <w:t xml:space="preserve"> </w:t>
            </w:r>
            <w:r>
              <w:rPr>
                <w:b/>
                <w:color w:val="231F20"/>
                <w:sz w:val="14"/>
              </w:rPr>
              <w:t>часова)</w:t>
            </w:r>
          </w:p>
          <w:p w:rsidR="00041039" w:rsidRDefault="001B26CB">
            <w:pPr>
              <w:pStyle w:val="TableParagraph"/>
              <w:numPr>
                <w:ilvl w:val="0"/>
                <w:numId w:val="1079"/>
              </w:numPr>
              <w:tabs>
                <w:tab w:val="left" w:pos="158"/>
              </w:tabs>
              <w:spacing w:line="160" w:lineRule="exact"/>
              <w:ind w:right="83" w:hanging="99"/>
              <w:rPr>
                <w:b/>
                <w:sz w:val="14"/>
              </w:rPr>
            </w:pPr>
            <w:r>
              <w:rPr>
                <w:color w:val="231F20"/>
                <w:sz w:val="14"/>
              </w:rPr>
              <w:t>Сликарство као израз човековог односа према Богу и свету који</w:t>
            </w:r>
            <w:r>
              <w:rPr>
                <w:color w:val="231F20"/>
                <w:spacing w:val="-22"/>
                <w:sz w:val="14"/>
              </w:rPr>
              <w:t xml:space="preserve"> </w:t>
            </w:r>
            <w:r>
              <w:rPr>
                <w:color w:val="231F20"/>
                <w:sz w:val="14"/>
              </w:rPr>
              <w:t xml:space="preserve">га окружује </w:t>
            </w:r>
            <w:r>
              <w:rPr>
                <w:b/>
                <w:color w:val="231F20"/>
                <w:sz w:val="14"/>
              </w:rPr>
              <w:t>(7</w:t>
            </w:r>
            <w:r>
              <w:rPr>
                <w:b/>
                <w:color w:val="231F20"/>
                <w:spacing w:val="-2"/>
                <w:sz w:val="14"/>
              </w:rPr>
              <w:t xml:space="preserve"> </w:t>
            </w:r>
            <w:r>
              <w:rPr>
                <w:b/>
                <w:color w:val="231F20"/>
                <w:sz w:val="14"/>
              </w:rPr>
              <w:t>часова)</w:t>
            </w:r>
          </w:p>
        </w:tc>
      </w:tr>
      <w:tr w:rsidR="00041039">
        <w:trPr>
          <w:trHeight w:val="1320"/>
        </w:trPr>
        <w:tc>
          <w:tcPr>
            <w:tcW w:w="1304" w:type="dxa"/>
          </w:tcPr>
          <w:p w:rsidR="00041039" w:rsidRDefault="001B26CB">
            <w:pPr>
              <w:pStyle w:val="TableParagraph"/>
              <w:spacing w:before="19"/>
              <w:ind w:left="57" w:right="100"/>
              <w:rPr>
                <w:sz w:val="14"/>
              </w:rPr>
            </w:pPr>
            <w:r>
              <w:rPr>
                <w:color w:val="231F20"/>
                <w:sz w:val="14"/>
              </w:rPr>
              <w:t>Сликарство као израз човековог односа према Богу и свету који га окружује</w:t>
            </w:r>
          </w:p>
        </w:tc>
        <w:tc>
          <w:tcPr>
            <w:tcW w:w="1587" w:type="dxa"/>
          </w:tcPr>
          <w:p w:rsidR="00041039" w:rsidRDefault="001B26CB">
            <w:pPr>
              <w:pStyle w:val="TableParagraph"/>
              <w:numPr>
                <w:ilvl w:val="0"/>
                <w:numId w:val="1078"/>
              </w:numPr>
              <w:tabs>
                <w:tab w:val="left" w:pos="157"/>
              </w:tabs>
              <w:spacing w:before="10"/>
              <w:ind w:right="186" w:hanging="99"/>
              <w:rPr>
                <w:sz w:val="14"/>
              </w:rPr>
            </w:pPr>
            <w:r>
              <w:rPr>
                <w:color w:val="231F20"/>
                <w:sz w:val="14"/>
              </w:rPr>
              <w:t>Да се црквена уметност препознаје на основу тога што се слобода уметника изражава као</w:t>
            </w:r>
            <w:r>
              <w:rPr>
                <w:color w:val="231F20"/>
                <w:spacing w:val="-8"/>
                <w:sz w:val="14"/>
              </w:rPr>
              <w:t xml:space="preserve"> </w:t>
            </w:r>
            <w:r>
              <w:rPr>
                <w:color w:val="231F20"/>
                <w:sz w:val="14"/>
              </w:rPr>
              <w:t>љубав</w:t>
            </w:r>
          </w:p>
          <w:p w:rsidR="00041039" w:rsidRDefault="001B26CB">
            <w:pPr>
              <w:pStyle w:val="TableParagraph"/>
              <w:spacing w:line="237" w:lineRule="auto"/>
              <w:ind w:right="93"/>
              <w:jc w:val="both"/>
              <w:rPr>
                <w:sz w:val="14"/>
              </w:rPr>
            </w:pPr>
            <w:r>
              <w:rPr>
                <w:color w:val="231F20"/>
                <w:sz w:val="14"/>
              </w:rPr>
              <w:t>према Богу за</w:t>
            </w:r>
            <w:r>
              <w:rPr>
                <w:color w:val="231F20"/>
                <w:spacing w:val="-11"/>
                <w:sz w:val="14"/>
              </w:rPr>
              <w:t xml:space="preserve"> </w:t>
            </w:r>
            <w:r>
              <w:rPr>
                <w:color w:val="231F20"/>
                <w:sz w:val="14"/>
              </w:rPr>
              <w:t xml:space="preserve">разлику </w:t>
            </w:r>
            <w:r>
              <w:rPr>
                <w:color w:val="231F20"/>
                <w:spacing w:val="-3"/>
                <w:sz w:val="14"/>
              </w:rPr>
              <w:t xml:space="preserve">од </w:t>
            </w:r>
            <w:r>
              <w:rPr>
                <w:color w:val="231F20"/>
                <w:sz w:val="14"/>
              </w:rPr>
              <w:t>световне која тежи промени</w:t>
            </w:r>
            <w:r>
              <w:rPr>
                <w:color w:val="231F20"/>
                <w:spacing w:val="-1"/>
                <w:sz w:val="14"/>
              </w:rPr>
              <w:t xml:space="preserve"> </w:t>
            </w:r>
            <w:r>
              <w:rPr>
                <w:color w:val="231F20"/>
                <w:sz w:val="14"/>
              </w:rPr>
              <w:t>форме.</w:t>
            </w:r>
          </w:p>
        </w:tc>
        <w:tc>
          <w:tcPr>
            <w:tcW w:w="2551" w:type="dxa"/>
          </w:tcPr>
          <w:p w:rsidR="00041039" w:rsidRDefault="001B26CB">
            <w:pPr>
              <w:pStyle w:val="TableParagraph"/>
              <w:numPr>
                <w:ilvl w:val="0"/>
                <w:numId w:val="1077"/>
              </w:numPr>
              <w:tabs>
                <w:tab w:val="left" w:pos="158"/>
              </w:tabs>
              <w:spacing w:before="10"/>
              <w:ind w:right="73"/>
              <w:rPr>
                <w:sz w:val="14"/>
              </w:rPr>
            </w:pPr>
            <w:r>
              <w:rPr>
                <w:color w:val="231F20"/>
                <w:sz w:val="14"/>
              </w:rPr>
              <w:t>уоче разлику између црквеног и</w:t>
            </w:r>
            <w:r>
              <w:rPr>
                <w:color w:val="231F20"/>
                <w:spacing w:val="-21"/>
                <w:sz w:val="14"/>
              </w:rPr>
              <w:t xml:space="preserve"> </w:t>
            </w:r>
            <w:r>
              <w:rPr>
                <w:color w:val="231F20"/>
                <w:sz w:val="14"/>
              </w:rPr>
              <w:t>свето­ вног</w:t>
            </w:r>
            <w:r>
              <w:rPr>
                <w:color w:val="231F20"/>
                <w:spacing w:val="-2"/>
                <w:sz w:val="14"/>
              </w:rPr>
              <w:t xml:space="preserve"> </w:t>
            </w:r>
            <w:r>
              <w:rPr>
                <w:color w:val="231F20"/>
                <w:sz w:val="14"/>
              </w:rPr>
              <w:t>сликарства;</w:t>
            </w:r>
          </w:p>
        </w:tc>
        <w:tc>
          <w:tcPr>
            <w:tcW w:w="2834" w:type="dxa"/>
          </w:tcPr>
          <w:p w:rsidR="00041039" w:rsidRDefault="001B26CB">
            <w:pPr>
              <w:pStyle w:val="TableParagraph"/>
              <w:numPr>
                <w:ilvl w:val="0"/>
                <w:numId w:val="1076"/>
              </w:numPr>
              <w:tabs>
                <w:tab w:val="left" w:pos="158"/>
              </w:tabs>
              <w:spacing w:before="10" w:line="166" w:lineRule="exact"/>
              <w:rPr>
                <w:sz w:val="14"/>
              </w:rPr>
            </w:pPr>
            <w:r>
              <w:rPr>
                <w:color w:val="231F20"/>
                <w:sz w:val="14"/>
              </w:rPr>
              <w:t>Истина света ­ царство</w:t>
            </w:r>
            <w:r>
              <w:rPr>
                <w:color w:val="231F20"/>
                <w:spacing w:val="-16"/>
                <w:sz w:val="14"/>
              </w:rPr>
              <w:t xml:space="preserve"> </w:t>
            </w:r>
            <w:r>
              <w:rPr>
                <w:color w:val="231F20"/>
                <w:sz w:val="14"/>
              </w:rPr>
              <w:t>божије.</w:t>
            </w:r>
          </w:p>
          <w:p w:rsidR="00041039" w:rsidRDefault="001B26CB">
            <w:pPr>
              <w:pStyle w:val="TableParagraph"/>
              <w:numPr>
                <w:ilvl w:val="0"/>
                <w:numId w:val="1076"/>
              </w:numPr>
              <w:tabs>
                <w:tab w:val="left" w:pos="158"/>
              </w:tabs>
              <w:spacing w:line="237" w:lineRule="auto"/>
              <w:ind w:right="134"/>
              <w:rPr>
                <w:sz w:val="14"/>
              </w:rPr>
            </w:pPr>
            <w:r>
              <w:rPr>
                <w:color w:val="231F20"/>
                <w:sz w:val="14"/>
              </w:rPr>
              <w:t>Икона и истина ­ разлика између</w:t>
            </w:r>
            <w:r>
              <w:rPr>
                <w:color w:val="231F20"/>
                <w:spacing w:val="-24"/>
                <w:sz w:val="14"/>
              </w:rPr>
              <w:t xml:space="preserve"> </w:t>
            </w:r>
            <w:r>
              <w:rPr>
                <w:color w:val="231F20"/>
                <w:sz w:val="14"/>
              </w:rPr>
              <w:t>црквеног и световног</w:t>
            </w:r>
            <w:r>
              <w:rPr>
                <w:color w:val="231F20"/>
                <w:spacing w:val="-2"/>
                <w:sz w:val="14"/>
              </w:rPr>
              <w:t xml:space="preserve"> </w:t>
            </w:r>
            <w:r>
              <w:rPr>
                <w:color w:val="231F20"/>
                <w:sz w:val="14"/>
              </w:rPr>
              <w:t>сликарства.</w:t>
            </w:r>
          </w:p>
        </w:tc>
        <w:tc>
          <w:tcPr>
            <w:tcW w:w="2267" w:type="dxa"/>
            <w:vMerge/>
            <w:tcBorders>
              <w:top w:val="nil"/>
            </w:tcBorders>
          </w:tcPr>
          <w:p w:rsidR="00041039" w:rsidRDefault="00041039">
            <w:pPr>
              <w:rPr>
                <w:sz w:val="2"/>
                <w:szCs w:val="2"/>
              </w:rPr>
            </w:pPr>
          </w:p>
        </w:tc>
      </w:tr>
    </w:tbl>
    <w:p w:rsidR="00041039" w:rsidRDefault="00041039">
      <w:pPr>
        <w:pStyle w:val="BodyText"/>
        <w:rPr>
          <w:b/>
          <w:sz w:val="16"/>
        </w:rPr>
      </w:pPr>
    </w:p>
    <w:p w:rsidR="00041039" w:rsidRDefault="001B26CB">
      <w:pPr>
        <w:tabs>
          <w:tab w:val="left" w:pos="1461"/>
        </w:tabs>
        <w:spacing w:before="121"/>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00"/>
        </w:trPr>
        <w:tc>
          <w:tcPr>
            <w:tcW w:w="1304" w:type="dxa"/>
          </w:tcPr>
          <w:p w:rsidR="00041039" w:rsidRDefault="001B26CB">
            <w:pPr>
              <w:pStyle w:val="TableParagraph"/>
              <w:spacing w:before="18"/>
              <w:ind w:left="56" w:right="17"/>
              <w:rPr>
                <w:sz w:val="14"/>
              </w:rPr>
            </w:pPr>
            <w:r>
              <w:rPr>
                <w:color w:val="231F20"/>
                <w:sz w:val="14"/>
              </w:rPr>
              <w:t>Света Тројица један Бог (Бог као биће заједнице слободе, љубави)</w:t>
            </w:r>
          </w:p>
        </w:tc>
        <w:tc>
          <w:tcPr>
            <w:tcW w:w="1587" w:type="dxa"/>
          </w:tcPr>
          <w:p w:rsidR="00041039" w:rsidRDefault="001B26CB">
            <w:pPr>
              <w:pStyle w:val="TableParagraph"/>
              <w:numPr>
                <w:ilvl w:val="0"/>
                <w:numId w:val="1075"/>
              </w:numPr>
              <w:tabs>
                <w:tab w:val="left" w:pos="157"/>
              </w:tabs>
              <w:spacing w:before="8"/>
              <w:ind w:right="74"/>
              <w:rPr>
                <w:sz w:val="14"/>
              </w:rPr>
            </w:pPr>
            <w:r>
              <w:rPr>
                <w:color w:val="231F20"/>
                <w:sz w:val="14"/>
              </w:rPr>
              <w:t>Да ученици уоче да је Бог једна конкретна личност, биће</w:t>
            </w:r>
            <w:r>
              <w:rPr>
                <w:color w:val="231F20"/>
                <w:spacing w:val="-15"/>
                <w:sz w:val="14"/>
              </w:rPr>
              <w:t xml:space="preserve"> </w:t>
            </w:r>
            <w:r>
              <w:rPr>
                <w:color w:val="231F20"/>
                <w:sz w:val="14"/>
              </w:rPr>
              <w:t>заједни­ це, слободе и љубави са Сином и Светим Духом.</w:t>
            </w:r>
          </w:p>
        </w:tc>
        <w:tc>
          <w:tcPr>
            <w:tcW w:w="2551" w:type="dxa"/>
          </w:tcPr>
          <w:p w:rsidR="00041039" w:rsidRDefault="001B26CB">
            <w:pPr>
              <w:pStyle w:val="TableParagraph"/>
              <w:numPr>
                <w:ilvl w:val="0"/>
                <w:numId w:val="1074"/>
              </w:numPr>
              <w:tabs>
                <w:tab w:val="left" w:pos="157"/>
              </w:tabs>
              <w:spacing w:before="8"/>
              <w:ind w:right="102" w:hanging="99"/>
              <w:rPr>
                <w:sz w:val="14"/>
              </w:rPr>
            </w:pPr>
            <w:r>
              <w:rPr>
                <w:color w:val="231F20"/>
                <w:sz w:val="14"/>
              </w:rPr>
              <w:t>правилно дефинише појмове као што су; личност, слобода, љубав на</w:t>
            </w:r>
            <w:r>
              <w:rPr>
                <w:color w:val="231F20"/>
                <w:spacing w:val="-27"/>
                <w:sz w:val="14"/>
              </w:rPr>
              <w:t xml:space="preserve"> </w:t>
            </w:r>
            <w:r>
              <w:rPr>
                <w:color w:val="231F20"/>
                <w:sz w:val="14"/>
              </w:rPr>
              <w:t>основу учења о Светој</w:t>
            </w:r>
            <w:r>
              <w:rPr>
                <w:color w:val="231F20"/>
                <w:spacing w:val="-2"/>
                <w:sz w:val="14"/>
              </w:rPr>
              <w:t xml:space="preserve"> </w:t>
            </w:r>
            <w:r>
              <w:rPr>
                <w:color w:val="231F20"/>
                <w:sz w:val="14"/>
              </w:rPr>
              <w:t>Тројици;</w:t>
            </w:r>
          </w:p>
        </w:tc>
        <w:tc>
          <w:tcPr>
            <w:tcW w:w="2834" w:type="dxa"/>
          </w:tcPr>
          <w:p w:rsidR="00041039" w:rsidRDefault="001B26CB">
            <w:pPr>
              <w:pStyle w:val="TableParagraph"/>
              <w:numPr>
                <w:ilvl w:val="0"/>
                <w:numId w:val="1073"/>
              </w:numPr>
              <w:tabs>
                <w:tab w:val="left" w:pos="157"/>
              </w:tabs>
              <w:spacing w:before="8"/>
              <w:ind w:hanging="99"/>
              <w:rPr>
                <w:sz w:val="14"/>
              </w:rPr>
            </w:pPr>
            <w:r>
              <w:rPr>
                <w:color w:val="231F20"/>
                <w:sz w:val="14"/>
              </w:rPr>
              <w:t>Вера у Бога у Старом</w:t>
            </w:r>
            <w:r>
              <w:rPr>
                <w:color w:val="231F20"/>
                <w:spacing w:val="-2"/>
                <w:sz w:val="14"/>
              </w:rPr>
              <w:t xml:space="preserve"> </w:t>
            </w:r>
            <w:r>
              <w:rPr>
                <w:color w:val="231F20"/>
                <w:spacing w:val="-3"/>
                <w:sz w:val="14"/>
              </w:rPr>
              <w:t>Завету.</w:t>
            </w:r>
          </w:p>
        </w:tc>
        <w:tc>
          <w:tcPr>
            <w:tcW w:w="2267" w:type="dxa"/>
          </w:tcPr>
          <w:p w:rsidR="00041039" w:rsidRDefault="001B26CB">
            <w:pPr>
              <w:pStyle w:val="TableParagraph"/>
              <w:numPr>
                <w:ilvl w:val="0"/>
                <w:numId w:val="1072"/>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735"/>
        </w:trPr>
        <w:tc>
          <w:tcPr>
            <w:tcW w:w="1304" w:type="dxa"/>
            <w:tcBorders>
              <w:bottom w:val="nil"/>
            </w:tcBorders>
          </w:tcPr>
          <w:p w:rsidR="00041039" w:rsidRDefault="001B26CB">
            <w:pPr>
              <w:pStyle w:val="TableParagraph"/>
              <w:spacing w:before="18"/>
              <w:ind w:left="56" w:right="115"/>
              <w:jc w:val="both"/>
              <w:rPr>
                <w:sz w:val="14"/>
              </w:rPr>
            </w:pPr>
            <w:r>
              <w:rPr>
                <w:color w:val="231F20"/>
                <w:sz w:val="14"/>
              </w:rPr>
              <w:lastRenderedPageBreak/>
              <w:t>Онтолошке после­ дице вере у Свету Тројицу као</w:t>
            </w:r>
            <w:r>
              <w:rPr>
                <w:color w:val="231F20"/>
                <w:spacing w:val="-11"/>
                <w:sz w:val="14"/>
              </w:rPr>
              <w:t xml:space="preserve"> </w:t>
            </w:r>
            <w:r>
              <w:rPr>
                <w:color w:val="231F20"/>
                <w:sz w:val="14"/>
              </w:rPr>
              <w:t>једног Бога</w:t>
            </w:r>
          </w:p>
        </w:tc>
        <w:tc>
          <w:tcPr>
            <w:tcW w:w="1587" w:type="dxa"/>
            <w:vMerge w:val="restart"/>
          </w:tcPr>
          <w:p w:rsidR="00041039" w:rsidRDefault="001B26CB">
            <w:pPr>
              <w:pStyle w:val="TableParagraph"/>
              <w:numPr>
                <w:ilvl w:val="0"/>
                <w:numId w:val="1071"/>
              </w:numPr>
              <w:tabs>
                <w:tab w:val="left" w:pos="157"/>
              </w:tabs>
              <w:spacing w:before="8"/>
              <w:ind w:right="150"/>
              <w:rPr>
                <w:sz w:val="14"/>
              </w:rPr>
            </w:pPr>
            <w:r>
              <w:rPr>
                <w:color w:val="231F20"/>
                <w:sz w:val="14"/>
              </w:rPr>
              <w:t>Да се слобода</w:t>
            </w:r>
            <w:r>
              <w:rPr>
                <w:color w:val="231F20"/>
                <w:spacing w:val="-11"/>
                <w:sz w:val="14"/>
              </w:rPr>
              <w:t xml:space="preserve"> </w:t>
            </w:r>
            <w:r>
              <w:rPr>
                <w:color w:val="231F20"/>
                <w:sz w:val="14"/>
              </w:rPr>
              <w:t>лично­ сти у Богу изражава као љубав према другој</w:t>
            </w:r>
            <w:r>
              <w:rPr>
                <w:color w:val="231F20"/>
                <w:spacing w:val="-1"/>
                <w:sz w:val="14"/>
              </w:rPr>
              <w:t xml:space="preserve"> </w:t>
            </w:r>
            <w:r>
              <w:rPr>
                <w:color w:val="231F20"/>
                <w:sz w:val="14"/>
              </w:rPr>
              <w:t>личности.</w:t>
            </w:r>
          </w:p>
        </w:tc>
        <w:tc>
          <w:tcPr>
            <w:tcW w:w="2551" w:type="dxa"/>
            <w:vMerge w:val="restart"/>
          </w:tcPr>
          <w:p w:rsidR="00041039" w:rsidRDefault="001B26CB">
            <w:pPr>
              <w:pStyle w:val="TableParagraph"/>
              <w:numPr>
                <w:ilvl w:val="0"/>
                <w:numId w:val="1070"/>
              </w:numPr>
              <w:tabs>
                <w:tab w:val="left" w:pos="157"/>
              </w:tabs>
              <w:spacing w:before="8"/>
              <w:ind w:right="132" w:hanging="99"/>
              <w:rPr>
                <w:sz w:val="14"/>
              </w:rPr>
            </w:pPr>
            <w:r>
              <w:rPr>
                <w:color w:val="231F20"/>
                <w:sz w:val="14"/>
              </w:rPr>
              <w:t>Ученици треба да запазе да је литур­ гија икона начина Божијег</w:t>
            </w:r>
            <w:r>
              <w:rPr>
                <w:color w:val="231F20"/>
                <w:spacing w:val="-23"/>
                <w:sz w:val="14"/>
              </w:rPr>
              <w:t xml:space="preserve"> </w:t>
            </w:r>
            <w:r>
              <w:rPr>
                <w:color w:val="231F20"/>
                <w:sz w:val="14"/>
              </w:rPr>
              <w:t>постојања;</w:t>
            </w:r>
          </w:p>
        </w:tc>
        <w:tc>
          <w:tcPr>
            <w:tcW w:w="2834" w:type="dxa"/>
            <w:vMerge w:val="restart"/>
          </w:tcPr>
          <w:p w:rsidR="00041039" w:rsidRDefault="001B26CB">
            <w:pPr>
              <w:pStyle w:val="TableParagraph"/>
              <w:numPr>
                <w:ilvl w:val="0"/>
                <w:numId w:val="1069"/>
              </w:numPr>
              <w:tabs>
                <w:tab w:val="left" w:pos="157"/>
              </w:tabs>
              <w:spacing w:before="8"/>
              <w:ind w:right="43" w:hanging="99"/>
              <w:rPr>
                <w:sz w:val="14"/>
              </w:rPr>
            </w:pPr>
            <w:r>
              <w:rPr>
                <w:color w:val="231F20"/>
                <w:sz w:val="14"/>
              </w:rPr>
              <w:t>Један Бог је Отац ­ конкретна личност</w:t>
            </w:r>
            <w:r>
              <w:rPr>
                <w:color w:val="231F20"/>
                <w:spacing w:val="-21"/>
                <w:sz w:val="14"/>
              </w:rPr>
              <w:t xml:space="preserve"> </w:t>
            </w:r>
            <w:r>
              <w:rPr>
                <w:color w:val="231F20"/>
                <w:sz w:val="14"/>
              </w:rPr>
              <w:t>(биб­ лијска и Свето отачка</w:t>
            </w:r>
            <w:r>
              <w:rPr>
                <w:color w:val="231F20"/>
                <w:spacing w:val="-8"/>
                <w:sz w:val="14"/>
              </w:rPr>
              <w:t xml:space="preserve"> </w:t>
            </w:r>
            <w:r>
              <w:rPr>
                <w:color w:val="231F20"/>
                <w:sz w:val="14"/>
              </w:rPr>
              <w:t>сведочанства).</w:t>
            </w:r>
          </w:p>
          <w:p w:rsidR="00041039" w:rsidRDefault="001B26CB">
            <w:pPr>
              <w:pStyle w:val="TableParagraph"/>
              <w:numPr>
                <w:ilvl w:val="0"/>
                <w:numId w:val="1069"/>
              </w:numPr>
              <w:tabs>
                <w:tab w:val="left" w:pos="157"/>
              </w:tabs>
              <w:spacing w:line="160" w:lineRule="exact"/>
              <w:ind w:right="227" w:hanging="99"/>
              <w:rPr>
                <w:sz w:val="14"/>
              </w:rPr>
            </w:pPr>
            <w:r>
              <w:rPr>
                <w:color w:val="231F20"/>
                <w:sz w:val="14"/>
              </w:rPr>
              <w:t>Исус Христос ­ Син Божији (библијска</w:t>
            </w:r>
            <w:r>
              <w:rPr>
                <w:color w:val="231F20"/>
                <w:spacing w:val="-21"/>
                <w:sz w:val="14"/>
              </w:rPr>
              <w:t xml:space="preserve"> </w:t>
            </w:r>
            <w:r>
              <w:rPr>
                <w:color w:val="231F20"/>
                <w:sz w:val="14"/>
              </w:rPr>
              <w:t>и Свето отачка</w:t>
            </w:r>
            <w:r>
              <w:rPr>
                <w:color w:val="231F20"/>
                <w:spacing w:val="-2"/>
                <w:sz w:val="14"/>
              </w:rPr>
              <w:t xml:space="preserve"> </w:t>
            </w:r>
            <w:r>
              <w:rPr>
                <w:color w:val="231F20"/>
                <w:sz w:val="14"/>
              </w:rPr>
              <w:t>сведочанства).</w:t>
            </w:r>
          </w:p>
          <w:p w:rsidR="00041039" w:rsidRDefault="001B26CB">
            <w:pPr>
              <w:pStyle w:val="TableParagraph"/>
              <w:numPr>
                <w:ilvl w:val="0"/>
                <w:numId w:val="1069"/>
              </w:numPr>
              <w:tabs>
                <w:tab w:val="left" w:pos="157"/>
              </w:tabs>
              <w:spacing w:line="160" w:lineRule="exact"/>
              <w:ind w:right="46" w:hanging="99"/>
              <w:rPr>
                <w:sz w:val="14"/>
              </w:rPr>
            </w:pPr>
            <w:r>
              <w:rPr>
                <w:color w:val="231F20"/>
                <w:sz w:val="14"/>
              </w:rPr>
              <w:t>Свети Дух ­ треће лице Свете Тројице</w:t>
            </w:r>
            <w:r>
              <w:rPr>
                <w:color w:val="231F20"/>
                <w:spacing w:val="-14"/>
                <w:sz w:val="14"/>
              </w:rPr>
              <w:t xml:space="preserve"> </w:t>
            </w:r>
            <w:r>
              <w:rPr>
                <w:color w:val="231F20"/>
                <w:sz w:val="14"/>
              </w:rPr>
              <w:t>(биб­ лијска и Свето отачка</w:t>
            </w:r>
            <w:r>
              <w:rPr>
                <w:color w:val="231F20"/>
                <w:spacing w:val="-8"/>
                <w:sz w:val="14"/>
              </w:rPr>
              <w:t xml:space="preserve"> </w:t>
            </w:r>
            <w:r>
              <w:rPr>
                <w:color w:val="231F20"/>
                <w:sz w:val="14"/>
              </w:rPr>
              <w:t>сведочанства).</w:t>
            </w:r>
          </w:p>
          <w:p w:rsidR="00041039" w:rsidRDefault="001B26CB">
            <w:pPr>
              <w:pStyle w:val="TableParagraph"/>
              <w:numPr>
                <w:ilvl w:val="0"/>
                <w:numId w:val="1069"/>
              </w:numPr>
              <w:tabs>
                <w:tab w:val="left" w:pos="157"/>
              </w:tabs>
              <w:spacing w:line="160" w:lineRule="exact"/>
              <w:ind w:right="138" w:hanging="99"/>
              <w:rPr>
                <w:sz w:val="14"/>
              </w:rPr>
            </w:pPr>
            <w:r>
              <w:rPr>
                <w:color w:val="231F20"/>
                <w:sz w:val="14"/>
              </w:rPr>
              <w:t>Тумачење</w:t>
            </w:r>
            <w:r>
              <w:rPr>
                <w:color w:val="231F20"/>
                <w:spacing w:val="-5"/>
                <w:sz w:val="14"/>
              </w:rPr>
              <w:t xml:space="preserve"> </w:t>
            </w:r>
            <w:r>
              <w:rPr>
                <w:color w:val="231F20"/>
                <w:sz w:val="14"/>
              </w:rPr>
              <w:t>вере</w:t>
            </w:r>
            <w:r>
              <w:rPr>
                <w:color w:val="231F20"/>
                <w:spacing w:val="-5"/>
                <w:sz w:val="14"/>
              </w:rPr>
              <w:t xml:space="preserve"> </w:t>
            </w:r>
            <w:r>
              <w:rPr>
                <w:color w:val="231F20"/>
                <w:sz w:val="14"/>
              </w:rPr>
              <w:t>у</w:t>
            </w:r>
            <w:r>
              <w:rPr>
                <w:color w:val="231F20"/>
                <w:spacing w:val="-5"/>
                <w:sz w:val="14"/>
              </w:rPr>
              <w:t xml:space="preserve"> </w:t>
            </w:r>
            <w:r>
              <w:rPr>
                <w:color w:val="231F20"/>
                <w:sz w:val="14"/>
              </w:rPr>
              <w:t>Свету</w:t>
            </w:r>
            <w:r>
              <w:rPr>
                <w:color w:val="231F20"/>
                <w:spacing w:val="-5"/>
                <w:sz w:val="14"/>
              </w:rPr>
              <w:t xml:space="preserve"> </w:t>
            </w:r>
            <w:r>
              <w:rPr>
                <w:color w:val="231F20"/>
                <w:sz w:val="14"/>
              </w:rPr>
              <w:t>Тројицу</w:t>
            </w:r>
            <w:r>
              <w:rPr>
                <w:color w:val="231F20"/>
                <w:spacing w:val="-5"/>
                <w:sz w:val="14"/>
              </w:rPr>
              <w:t xml:space="preserve"> </w:t>
            </w:r>
            <w:r>
              <w:rPr>
                <w:color w:val="231F20"/>
                <w:sz w:val="14"/>
              </w:rPr>
              <w:t>као</w:t>
            </w:r>
            <w:r>
              <w:rPr>
                <w:color w:val="231F20"/>
                <w:spacing w:val="-5"/>
                <w:sz w:val="14"/>
              </w:rPr>
              <w:t xml:space="preserve"> </w:t>
            </w:r>
            <w:r>
              <w:rPr>
                <w:color w:val="231F20"/>
                <w:sz w:val="14"/>
              </w:rPr>
              <w:t>једног Бога.</w:t>
            </w:r>
          </w:p>
        </w:tc>
        <w:tc>
          <w:tcPr>
            <w:tcW w:w="2267" w:type="dxa"/>
            <w:tcBorders>
              <w:bottom w:val="nil"/>
            </w:tcBorders>
          </w:tcPr>
          <w:p w:rsidR="00041039" w:rsidRDefault="001B26CB">
            <w:pPr>
              <w:pStyle w:val="TableParagraph"/>
              <w:spacing w:before="16"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068"/>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tc>
      </w:tr>
      <w:tr w:rsidR="00041039">
        <w:trPr>
          <w:trHeight w:val="469"/>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0"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tc>
      </w:tr>
      <w:tr w:rsidR="00041039">
        <w:trPr>
          <w:trHeight w:val="95"/>
        </w:trPr>
        <w:tc>
          <w:tcPr>
            <w:tcW w:w="1304" w:type="dxa"/>
            <w:tcBorders>
              <w:top w:val="nil"/>
            </w:tcBorders>
          </w:tcPr>
          <w:p w:rsidR="00041039" w:rsidRDefault="00041039">
            <w:pPr>
              <w:pStyle w:val="TableParagraph"/>
              <w:ind w:left="0"/>
              <w:rPr>
                <w:sz w:val="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line="155" w:lineRule="exact"/>
              <w:ind w:left="58"/>
              <w:rPr>
                <w:b/>
                <w:sz w:val="14"/>
              </w:rPr>
            </w:pPr>
            <w:r>
              <w:rPr>
                <w:b/>
                <w:color w:val="231F20"/>
                <w:sz w:val="14"/>
              </w:rPr>
              <w:t>Место реализације наставе</w:t>
            </w:r>
          </w:p>
          <w:p w:rsidR="00041039" w:rsidRDefault="001B26CB">
            <w:pPr>
              <w:pStyle w:val="TableParagraph"/>
              <w:numPr>
                <w:ilvl w:val="0"/>
                <w:numId w:val="106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tc>
      </w:tr>
      <w:tr w:rsidR="00041039">
        <w:trPr>
          <w:trHeight w:val="1030"/>
        </w:trPr>
        <w:tc>
          <w:tcPr>
            <w:tcW w:w="1304" w:type="dxa"/>
            <w:tcBorders>
              <w:bottom w:val="nil"/>
            </w:tcBorders>
          </w:tcPr>
          <w:p w:rsidR="00041039" w:rsidRDefault="001B26CB">
            <w:pPr>
              <w:pStyle w:val="TableParagraph"/>
              <w:spacing w:before="19"/>
              <w:ind w:left="56" w:right="200"/>
              <w:rPr>
                <w:sz w:val="14"/>
              </w:rPr>
            </w:pPr>
            <w:r>
              <w:rPr>
                <w:color w:val="231F20"/>
                <w:sz w:val="14"/>
              </w:rPr>
              <w:t>Стварање света ни из чега (узрок постојања света јесте Бог као личност, Божија слобода)</w:t>
            </w:r>
          </w:p>
        </w:tc>
        <w:tc>
          <w:tcPr>
            <w:tcW w:w="1587" w:type="dxa"/>
            <w:vMerge w:val="restart"/>
          </w:tcPr>
          <w:p w:rsidR="00041039" w:rsidRDefault="001B26CB">
            <w:pPr>
              <w:pStyle w:val="TableParagraph"/>
              <w:numPr>
                <w:ilvl w:val="0"/>
                <w:numId w:val="1066"/>
              </w:numPr>
              <w:tabs>
                <w:tab w:val="left" w:pos="157"/>
              </w:tabs>
              <w:spacing w:before="9"/>
              <w:ind w:right="253"/>
              <w:rPr>
                <w:sz w:val="14"/>
              </w:rPr>
            </w:pPr>
            <w:r>
              <w:rPr>
                <w:color w:val="231F20"/>
                <w:sz w:val="14"/>
              </w:rPr>
              <w:t>Да узрок постојања света јесте Бог као личност, Божија слобода.</w:t>
            </w:r>
          </w:p>
        </w:tc>
        <w:tc>
          <w:tcPr>
            <w:tcW w:w="2551" w:type="dxa"/>
            <w:vMerge w:val="restart"/>
          </w:tcPr>
          <w:p w:rsidR="00041039" w:rsidRDefault="001B26CB">
            <w:pPr>
              <w:pStyle w:val="TableParagraph"/>
              <w:numPr>
                <w:ilvl w:val="0"/>
                <w:numId w:val="1065"/>
              </w:numPr>
              <w:tabs>
                <w:tab w:val="left" w:pos="157"/>
              </w:tabs>
              <w:spacing w:before="9"/>
              <w:ind w:right="67" w:hanging="99"/>
              <w:rPr>
                <w:sz w:val="14"/>
              </w:rPr>
            </w:pPr>
            <w:r>
              <w:rPr>
                <w:color w:val="231F20"/>
                <w:sz w:val="14"/>
              </w:rPr>
              <w:t xml:space="preserve">Треба да запазе да је Бог апсолутно слободан у свом постојању у односу на </w:t>
            </w:r>
            <w:r>
              <w:rPr>
                <w:color w:val="231F20"/>
                <w:spacing w:val="-3"/>
                <w:sz w:val="14"/>
              </w:rPr>
              <w:t xml:space="preserve">свет, </w:t>
            </w:r>
            <w:r>
              <w:rPr>
                <w:color w:val="231F20"/>
                <w:sz w:val="14"/>
              </w:rPr>
              <w:t xml:space="preserve">чије постојање зависи </w:t>
            </w:r>
            <w:r>
              <w:rPr>
                <w:color w:val="231F20"/>
                <w:spacing w:val="-3"/>
                <w:sz w:val="14"/>
              </w:rPr>
              <w:t>од</w:t>
            </w:r>
            <w:r>
              <w:rPr>
                <w:color w:val="231F20"/>
                <w:spacing w:val="-6"/>
                <w:sz w:val="14"/>
              </w:rPr>
              <w:t xml:space="preserve"> </w:t>
            </w:r>
            <w:r>
              <w:rPr>
                <w:color w:val="231F20"/>
                <w:sz w:val="14"/>
              </w:rPr>
              <w:t>Бога;</w:t>
            </w:r>
          </w:p>
        </w:tc>
        <w:tc>
          <w:tcPr>
            <w:tcW w:w="2834" w:type="dxa"/>
            <w:tcBorders>
              <w:bottom w:val="nil"/>
            </w:tcBorders>
          </w:tcPr>
          <w:p w:rsidR="00041039" w:rsidRDefault="001B26CB">
            <w:pPr>
              <w:pStyle w:val="TableParagraph"/>
              <w:numPr>
                <w:ilvl w:val="0"/>
                <w:numId w:val="1064"/>
              </w:numPr>
              <w:tabs>
                <w:tab w:val="left" w:pos="157"/>
              </w:tabs>
              <w:spacing w:before="9" w:line="166" w:lineRule="exact"/>
              <w:ind w:hanging="99"/>
              <w:rPr>
                <w:sz w:val="14"/>
              </w:rPr>
            </w:pPr>
            <w:r>
              <w:rPr>
                <w:color w:val="231F20"/>
                <w:sz w:val="14"/>
              </w:rPr>
              <w:t>Старојелинско, философско схватање</w:t>
            </w:r>
            <w:r>
              <w:rPr>
                <w:color w:val="231F20"/>
                <w:spacing w:val="-12"/>
                <w:sz w:val="14"/>
              </w:rPr>
              <w:t xml:space="preserve"> </w:t>
            </w:r>
            <w:r>
              <w:rPr>
                <w:color w:val="231F20"/>
                <w:sz w:val="14"/>
              </w:rPr>
              <w:t>бића.</w:t>
            </w:r>
          </w:p>
          <w:p w:rsidR="00041039" w:rsidRDefault="001B26CB">
            <w:pPr>
              <w:pStyle w:val="TableParagraph"/>
              <w:numPr>
                <w:ilvl w:val="0"/>
                <w:numId w:val="1064"/>
              </w:numPr>
              <w:tabs>
                <w:tab w:val="left" w:pos="157"/>
              </w:tabs>
              <w:spacing w:line="166" w:lineRule="exact"/>
              <w:ind w:hanging="99"/>
              <w:rPr>
                <w:sz w:val="14"/>
              </w:rPr>
            </w:pPr>
            <w:r>
              <w:rPr>
                <w:color w:val="231F20"/>
                <w:sz w:val="14"/>
              </w:rPr>
              <w:t>Јединство и</w:t>
            </w:r>
            <w:r>
              <w:rPr>
                <w:color w:val="231F20"/>
                <w:spacing w:val="-2"/>
                <w:sz w:val="14"/>
              </w:rPr>
              <w:t xml:space="preserve"> </w:t>
            </w:r>
            <w:r>
              <w:rPr>
                <w:color w:val="231F20"/>
                <w:sz w:val="14"/>
              </w:rPr>
              <w:t>мноштво.</w:t>
            </w:r>
          </w:p>
        </w:tc>
        <w:tc>
          <w:tcPr>
            <w:tcW w:w="2267" w:type="dxa"/>
            <w:vMerge/>
            <w:tcBorders>
              <w:top w:val="nil"/>
              <w:bottom w:val="nil"/>
            </w:tcBorders>
          </w:tcPr>
          <w:p w:rsidR="00041039" w:rsidRDefault="00041039">
            <w:pPr>
              <w:rPr>
                <w:sz w:val="2"/>
                <w:szCs w:val="2"/>
              </w:rPr>
            </w:pPr>
          </w:p>
        </w:tc>
      </w:tr>
      <w:tr w:rsidR="00041039">
        <w:trPr>
          <w:trHeight w:val="763"/>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c>
          <w:tcPr>
            <w:tcW w:w="2267" w:type="dxa"/>
            <w:tcBorders>
              <w:top w:val="nil"/>
              <w:bottom w:val="nil"/>
            </w:tcBorders>
          </w:tcPr>
          <w:p w:rsidR="00041039" w:rsidRDefault="001B26CB">
            <w:pPr>
              <w:pStyle w:val="TableParagraph"/>
              <w:spacing w:before="45"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063"/>
              </w:numPr>
              <w:tabs>
                <w:tab w:val="left" w:pos="158"/>
              </w:tabs>
              <w:spacing w:line="160"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tc>
      </w:tr>
      <w:tr w:rsidR="00041039">
        <w:trPr>
          <w:trHeight w:val="169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062"/>
              </w:numPr>
              <w:tabs>
                <w:tab w:val="left" w:pos="158"/>
              </w:tabs>
              <w:spacing w:line="237" w:lineRule="auto"/>
              <w:ind w:right="137" w:hanging="99"/>
              <w:jc w:val="both"/>
              <w:rPr>
                <w:b/>
                <w:sz w:val="14"/>
              </w:rPr>
            </w:pPr>
            <w:r>
              <w:rPr>
                <w:color w:val="231F20"/>
                <w:sz w:val="14"/>
              </w:rPr>
              <w:t>Света Тројица један Бог (Бог</w:t>
            </w:r>
            <w:r>
              <w:rPr>
                <w:color w:val="231F20"/>
                <w:spacing w:val="-16"/>
                <w:sz w:val="14"/>
              </w:rPr>
              <w:t xml:space="preserve"> </w:t>
            </w:r>
            <w:r>
              <w:rPr>
                <w:color w:val="231F20"/>
                <w:sz w:val="14"/>
              </w:rPr>
              <w:t>као биће заједнице слободе,</w:t>
            </w:r>
            <w:r>
              <w:rPr>
                <w:color w:val="231F20"/>
                <w:spacing w:val="-12"/>
                <w:sz w:val="14"/>
              </w:rPr>
              <w:t xml:space="preserve"> </w:t>
            </w:r>
            <w:r>
              <w:rPr>
                <w:color w:val="231F20"/>
                <w:sz w:val="14"/>
              </w:rPr>
              <w:t xml:space="preserve">љубави) </w:t>
            </w:r>
            <w:r>
              <w:rPr>
                <w:b/>
                <w:color w:val="231F20"/>
                <w:sz w:val="14"/>
              </w:rPr>
              <w:t>(18</w:t>
            </w:r>
            <w:r>
              <w:rPr>
                <w:b/>
                <w:color w:val="231F20"/>
                <w:spacing w:val="-1"/>
                <w:sz w:val="14"/>
              </w:rPr>
              <w:t xml:space="preserve"> </w:t>
            </w:r>
            <w:r>
              <w:rPr>
                <w:b/>
                <w:color w:val="231F20"/>
                <w:sz w:val="14"/>
              </w:rPr>
              <w:t>часова)</w:t>
            </w:r>
          </w:p>
          <w:p w:rsidR="00041039" w:rsidRDefault="001B26CB">
            <w:pPr>
              <w:pStyle w:val="TableParagraph"/>
              <w:numPr>
                <w:ilvl w:val="0"/>
                <w:numId w:val="1062"/>
              </w:numPr>
              <w:tabs>
                <w:tab w:val="left" w:pos="158"/>
              </w:tabs>
              <w:spacing w:line="237" w:lineRule="auto"/>
              <w:ind w:right="135" w:hanging="99"/>
              <w:rPr>
                <w:b/>
                <w:sz w:val="14"/>
              </w:rPr>
            </w:pPr>
            <w:r>
              <w:rPr>
                <w:color w:val="231F20"/>
                <w:sz w:val="14"/>
              </w:rPr>
              <w:t>Онтолошке последице вере у Свету Тројицу као једног Бога</w:t>
            </w:r>
            <w:r>
              <w:rPr>
                <w:color w:val="231F20"/>
                <w:spacing w:val="-18"/>
                <w:sz w:val="14"/>
              </w:rPr>
              <w:t xml:space="preserve"> </w:t>
            </w:r>
            <w:r>
              <w:rPr>
                <w:b/>
                <w:color w:val="231F20"/>
                <w:sz w:val="14"/>
              </w:rPr>
              <w:t>(9 часова)</w:t>
            </w:r>
          </w:p>
          <w:p w:rsidR="00041039" w:rsidRDefault="001B26CB">
            <w:pPr>
              <w:pStyle w:val="TableParagraph"/>
              <w:numPr>
                <w:ilvl w:val="0"/>
                <w:numId w:val="1062"/>
              </w:numPr>
              <w:tabs>
                <w:tab w:val="left" w:pos="158"/>
              </w:tabs>
              <w:spacing w:line="237" w:lineRule="auto"/>
              <w:ind w:right="45" w:hanging="99"/>
              <w:rPr>
                <w:b/>
                <w:sz w:val="14"/>
              </w:rPr>
            </w:pPr>
            <w:r>
              <w:rPr>
                <w:color w:val="231F20"/>
                <w:sz w:val="14"/>
              </w:rPr>
              <w:t xml:space="preserve">Стварање света ни из чега (узрок постојања света јесте Бог као лич­ ност, Божија слобода) </w:t>
            </w:r>
            <w:r>
              <w:rPr>
                <w:b/>
                <w:color w:val="231F20"/>
                <w:sz w:val="14"/>
              </w:rPr>
              <w:t>(8</w:t>
            </w:r>
            <w:r>
              <w:rPr>
                <w:b/>
                <w:color w:val="231F20"/>
                <w:spacing w:val="-16"/>
                <w:sz w:val="14"/>
              </w:rPr>
              <w:t xml:space="preserve"> </w:t>
            </w:r>
            <w:r>
              <w:rPr>
                <w:b/>
                <w:color w:val="231F20"/>
                <w:sz w:val="14"/>
              </w:rPr>
              <w:t>часова)</w:t>
            </w:r>
          </w:p>
        </w:tc>
      </w:tr>
    </w:tbl>
    <w:p w:rsidR="00041039" w:rsidRDefault="00041039">
      <w:pPr>
        <w:pStyle w:val="BodyText"/>
        <w:spacing w:before="6"/>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824"/>
        </w:trPr>
        <w:tc>
          <w:tcPr>
            <w:tcW w:w="1304" w:type="dxa"/>
          </w:tcPr>
          <w:p w:rsidR="00041039" w:rsidRDefault="001B26CB">
            <w:pPr>
              <w:pStyle w:val="TableParagraph"/>
              <w:spacing w:before="18" w:line="158" w:lineRule="exact"/>
              <w:ind w:left="56"/>
              <w:rPr>
                <w:sz w:val="14"/>
              </w:rPr>
            </w:pPr>
            <w:r>
              <w:rPr>
                <w:color w:val="231F20"/>
                <w:sz w:val="14"/>
              </w:rPr>
              <w:t>Тајна Христова</w:t>
            </w:r>
          </w:p>
          <w:p w:rsidR="00041039" w:rsidRDefault="001B26CB">
            <w:pPr>
              <w:pStyle w:val="TableParagraph"/>
              <w:spacing w:before="1" w:line="232" w:lineRule="auto"/>
              <w:ind w:left="56" w:right="194"/>
              <w:rPr>
                <w:sz w:val="14"/>
              </w:rPr>
            </w:pPr>
            <w:r>
              <w:rPr>
                <w:color w:val="231F20"/>
                <w:sz w:val="14"/>
              </w:rPr>
              <w:t>- јединство Бога и човека као циљ стварања света</w:t>
            </w:r>
          </w:p>
        </w:tc>
        <w:tc>
          <w:tcPr>
            <w:tcW w:w="1587" w:type="dxa"/>
          </w:tcPr>
          <w:p w:rsidR="00041039" w:rsidRDefault="001B26CB">
            <w:pPr>
              <w:pStyle w:val="TableParagraph"/>
              <w:numPr>
                <w:ilvl w:val="0"/>
                <w:numId w:val="1061"/>
              </w:numPr>
              <w:tabs>
                <w:tab w:val="left" w:pos="157"/>
              </w:tabs>
              <w:spacing w:before="12" w:line="232" w:lineRule="auto"/>
              <w:ind w:right="84"/>
              <w:rPr>
                <w:sz w:val="14"/>
              </w:rPr>
            </w:pPr>
            <w:r>
              <w:rPr>
                <w:color w:val="231F20"/>
                <w:sz w:val="14"/>
              </w:rPr>
              <w:t>Христос је спаситељ јер је једино у</w:t>
            </w:r>
            <w:r>
              <w:rPr>
                <w:color w:val="231F20"/>
                <w:spacing w:val="-9"/>
                <w:sz w:val="14"/>
              </w:rPr>
              <w:t xml:space="preserve"> </w:t>
            </w:r>
            <w:r>
              <w:rPr>
                <w:color w:val="231F20"/>
                <w:sz w:val="14"/>
              </w:rPr>
              <w:t>његовој личности остварена заједница тварне природе са</w:t>
            </w:r>
            <w:r>
              <w:rPr>
                <w:color w:val="231F20"/>
                <w:spacing w:val="-4"/>
                <w:sz w:val="14"/>
              </w:rPr>
              <w:t xml:space="preserve"> </w:t>
            </w:r>
            <w:r>
              <w:rPr>
                <w:color w:val="231F20"/>
                <w:sz w:val="14"/>
              </w:rPr>
              <w:t>Богом.</w:t>
            </w:r>
          </w:p>
        </w:tc>
        <w:tc>
          <w:tcPr>
            <w:tcW w:w="2551" w:type="dxa"/>
          </w:tcPr>
          <w:p w:rsidR="00041039" w:rsidRDefault="001B26CB">
            <w:pPr>
              <w:pStyle w:val="TableParagraph"/>
              <w:numPr>
                <w:ilvl w:val="0"/>
                <w:numId w:val="1060"/>
              </w:numPr>
              <w:tabs>
                <w:tab w:val="left" w:pos="157"/>
              </w:tabs>
              <w:spacing w:before="12" w:line="232" w:lineRule="auto"/>
              <w:ind w:right="448" w:hanging="99"/>
              <w:rPr>
                <w:sz w:val="14"/>
              </w:rPr>
            </w:pPr>
            <w:r>
              <w:rPr>
                <w:color w:val="231F20"/>
                <w:sz w:val="14"/>
              </w:rPr>
              <w:t>схвати да је Тајна Христова</w:t>
            </w:r>
            <w:r>
              <w:rPr>
                <w:color w:val="231F20"/>
                <w:spacing w:val="-23"/>
                <w:sz w:val="14"/>
              </w:rPr>
              <w:t xml:space="preserve"> </w:t>
            </w:r>
            <w:r>
              <w:rPr>
                <w:color w:val="231F20"/>
                <w:sz w:val="14"/>
              </w:rPr>
              <w:t>циљ стварања</w:t>
            </w:r>
            <w:r>
              <w:rPr>
                <w:color w:val="231F20"/>
                <w:spacing w:val="-1"/>
                <w:sz w:val="14"/>
              </w:rPr>
              <w:t xml:space="preserve"> </w:t>
            </w:r>
            <w:r>
              <w:rPr>
                <w:color w:val="231F20"/>
                <w:sz w:val="14"/>
              </w:rPr>
              <w:t>света;</w:t>
            </w:r>
          </w:p>
        </w:tc>
        <w:tc>
          <w:tcPr>
            <w:tcW w:w="2834" w:type="dxa"/>
          </w:tcPr>
          <w:p w:rsidR="00041039" w:rsidRDefault="001B26CB">
            <w:pPr>
              <w:pStyle w:val="TableParagraph"/>
              <w:numPr>
                <w:ilvl w:val="0"/>
                <w:numId w:val="1059"/>
              </w:numPr>
              <w:tabs>
                <w:tab w:val="left" w:pos="157"/>
              </w:tabs>
              <w:spacing w:before="12" w:line="232" w:lineRule="auto"/>
              <w:ind w:right="205" w:hanging="99"/>
              <w:rPr>
                <w:sz w:val="14"/>
              </w:rPr>
            </w:pPr>
            <w:r>
              <w:rPr>
                <w:color w:val="231F20"/>
                <w:sz w:val="14"/>
              </w:rPr>
              <w:t>Тајна Христова ­ јединство Бога и</w:t>
            </w:r>
            <w:r>
              <w:rPr>
                <w:color w:val="231F20"/>
                <w:spacing w:val="-24"/>
                <w:sz w:val="14"/>
              </w:rPr>
              <w:t xml:space="preserve"> </w:t>
            </w:r>
            <w:r>
              <w:rPr>
                <w:color w:val="231F20"/>
                <w:sz w:val="14"/>
              </w:rPr>
              <w:t>човека као циљ стварања</w:t>
            </w:r>
            <w:r>
              <w:rPr>
                <w:color w:val="231F20"/>
                <w:spacing w:val="-2"/>
                <w:sz w:val="14"/>
              </w:rPr>
              <w:t xml:space="preserve"> </w:t>
            </w:r>
            <w:r>
              <w:rPr>
                <w:color w:val="231F20"/>
                <w:sz w:val="14"/>
              </w:rPr>
              <w:t>света.</w:t>
            </w:r>
          </w:p>
        </w:tc>
        <w:tc>
          <w:tcPr>
            <w:tcW w:w="2267" w:type="dxa"/>
            <w:vMerge w:val="restart"/>
          </w:tcPr>
          <w:p w:rsidR="00041039" w:rsidRDefault="001B26CB">
            <w:pPr>
              <w:pStyle w:val="TableParagraph"/>
              <w:numPr>
                <w:ilvl w:val="0"/>
                <w:numId w:val="1058"/>
              </w:numPr>
              <w:tabs>
                <w:tab w:val="left" w:pos="158"/>
              </w:tabs>
              <w:spacing w:before="12" w:line="232"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1"/>
              <w:ind w:left="0"/>
              <w:rPr>
                <w:b/>
                <w:sz w:val="13"/>
              </w:rPr>
            </w:pPr>
          </w:p>
          <w:p w:rsidR="00041039" w:rsidRDefault="001B26CB">
            <w:pPr>
              <w:pStyle w:val="TableParagraph"/>
              <w:spacing w:line="158" w:lineRule="exact"/>
              <w:ind w:left="58"/>
              <w:rPr>
                <w:b/>
                <w:sz w:val="14"/>
              </w:rPr>
            </w:pPr>
            <w:r>
              <w:rPr>
                <w:b/>
                <w:color w:val="231F20"/>
                <w:sz w:val="14"/>
              </w:rPr>
              <w:t>Облици наставе</w:t>
            </w:r>
          </w:p>
          <w:p w:rsidR="00041039" w:rsidRDefault="001B26CB">
            <w:pPr>
              <w:pStyle w:val="TableParagraph"/>
              <w:spacing w:before="2" w:line="232"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058"/>
              </w:numPr>
              <w:tabs>
                <w:tab w:val="left" w:pos="158"/>
              </w:tabs>
              <w:spacing w:line="157"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1"/>
              <w:ind w:left="0"/>
              <w:rPr>
                <w:b/>
                <w:sz w:val="13"/>
              </w:rPr>
            </w:pPr>
          </w:p>
          <w:p w:rsidR="00041039" w:rsidRDefault="001B26CB">
            <w:pPr>
              <w:pStyle w:val="TableParagraph"/>
              <w:spacing w:line="158" w:lineRule="exact"/>
              <w:ind w:left="58"/>
              <w:rPr>
                <w:b/>
                <w:sz w:val="14"/>
              </w:rPr>
            </w:pPr>
            <w:r>
              <w:rPr>
                <w:b/>
                <w:color w:val="231F20"/>
                <w:sz w:val="14"/>
              </w:rPr>
              <w:t>Подела одељења на групе</w:t>
            </w:r>
          </w:p>
          <w:p w:rsidR="00041039" w:rsidRDefault="001B26CB">
            <w:pPr>
              <w:pStyle w:val="TableParagraph"/>
              <w:spacing w:line="158" w:lineRule="exact"/>
              <w:ind w:left="58"/>
              <w:rPr>
                <w:sz w:val="14"/>
              </w:rPr>
            </w:pPr>
            <w:r>
              <w:rPr>
                <w:color w:val="231F20"/>
                <w:sz w:val="14"/>
              </w:rPr>
              <w:t>Одељење се не дели на групе.</w:t>
            </w:r>
          </w:p>
          <w:p w:rsidR="00041039" w:rsidRDefault="00041039">
            <w:pPr>
              <w:pStyle w:val="TableParagraph"/>
              <w:spacing w:before="1"/>
              <w:ind w:left="0"/>
              <w:rPr>
                <w:b/>
                <w:sz w:val="13"/>
              </w:rPr>
            </w:pPr>
          </w:p>
          <w:p w:rsidR="00041039" w:rsidRDefault="001B26CB">
            <w:pPr>
              <w:pStyle w:val="TableParagraph"/>
              <w:spacing w:line="153" w:lineRule="exact"/>
              <w:ind w:left="58"/>
              <w:rPr>
                <w:b/>
                <w:sz w:val="14"/>
              </w:rPr>
            </w:pPr>
            <w:r>
              <w:rPr>
                <w:b/>
                <w:color w:val="231F20"/>
                <w:sz w:val="14"/>
              </w:rPr>
              <w:t>Место реализације наставе</w:t>
            </w:r>
          </w:p>
          <w:p w:rsidR="00041039" w:rsidRDefault="001B26CB">
            <w:pPr>
              <w:pStyle w:val="TableParagraph"/>
              <w:numPr>
                <w:ilvl w:val="0"/>
                <w:numId w:val="1058"/>
              </w:numPr>
              <w:tabs>
                <w:tab w:val="left" w:pos="158"/>
              </w:tabs>
              <w:spacing w:line="232"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3"/>
              <w:ind w:left="0"/>
              <w:rPr>
                <w:b/>
                <w:sz w:val="13"/>
              </w:rPr>
            </w:pPr>
          </w:p>
          <w:p w:rsidR="00041039" w:rsidRDefault="001B26CB">
            <w:pPr>
              <w:pStyle w:val="TableParagraph"/>
              <w:spacing w:line="232" w:lineRule="auto"/>
              <w:ind w:left="58"/>
              <w:rPr>
                <w:b/>
                <w:sz w:val="14"/>
              </w:rPr>
            </w:pPr>
            <w:r>
              <w:rPr>
                <w:b/>
                <w:color w:val="231F20"/>
                <w:sz w:val="14"/>
              </w:rPr>
              <w:t>Препоруке за реализацију садр- жаја програма</w:t>
            </w:r>
          </w:p>
          <w:p w:rsidR="00041039" w:rsidRDefault="00041039">
            <w:pPr>
              <w:pStyle w:val="TableParagraph"/>
              <w:spacing w:before="2"/>
              <w:ind w:left="0"/>
              <w:rPr>
                <w:b/>
                <w:sz w:val="13"/>
              </w:rPr>
            </w:pPr>
          </w:p>
          <w:p w:rsidR="00041039" w:rsidRDefault="001B26CB">
            <w:pPr>
              <w:pStyle w:val="TableParagraph"/>
              <w:spacing w:line="158" w:lineRule="exact"/>
              <w:ind w:left="58"/>
              <w:rPr>
                <w:b/>
                <w:sz w:val="14"/>
              </w:rPr>
            </w:pPr>
            <w:r>
              <w:rPr>
                <w:b/>
                <w:color w:val="231F20"/>
                <w:sz w:val="14"/>
              </w:rPr>
              <w:t>Оцењивање</w:t>
            </w:r>
          </w:p>
          <w:p w:rsidR="00041039" w:rsidRDefault="001B26CB">
            <w:pPr>
              <w:pStyle w:val="TableParagraph"/>
              <w:spacing w:before="1" w:line="232"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1058"/>
              </w:numPr>
              <w:tabs>
                <w:tab w:val="left" w:pos="158"/>
              </w:tabs>
              <w:spacing w:line="157"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1"/>
              <w:ind w:left="0"/>
              <w:rPr>
                <w:b/>
                <w:sz w:val="13"/>
              </w:rPr>
            </w:pPr>
          </w:p>
          <w:p w:rsidR="00041039" w:rsidRDefault="001B26CB">
            <w:pPr>
              <w:pStyle w:val="TableParagraph"/>
              <w:spacing w:before="1" w:line="153" w:lineRule="exact"/>
              <w:ind w:left="58"/>
              <w:rPr>
                <w:b/>
                <w:sz w:val="14"/>
              </w:rPr>
            </w:pPr>
            <w:r>
              <w:rPr>
                <w:b/>
                <w:color w:val="231F20"/>
                <w:sz w:val="14"/>
              </w:rPr>
              <w:t>Оквирни број часова по темама</w:t>
            </w:r>
          </w:p>
          <w:p w:rsidR="00041039" w:rsidRDefault="001B26CB">
            <w:pPr>
              <w:pStyle w:val="TableParagraph"/>
              <w:numPr>
                <w:ilvl w:val="0"/>
                <w:numId w:val="1058"/>
              </w:numPr>
              <w:tabs>
                <w:tab w:val="left" w:pos="158"/>
              </w:tabs>
              <w:spacing w:line="232" w:lineRule="auto"/>
              <w:ind w:right="142" w:hanging="99"/>
              <w:rPr>
                <w:b/>
                <w:sz w:val="14"/>
              </w:rPr>
            </w:pPr>
            <w:r>
              <w:rPr>
                <w:color w:val="231F20"/>
                <w:sz w:val="14"/>
              </w:rPr>
              <w:t>Тајна Христова­јединство Бога и човека као циљ стварања</w:t>
            </w:r>
            <w:r>
              <w:rPr>
                <w:color w:val="231F20"/>
                <w:spacing w:val="-13"/>
                <w:sz w:val="14"/>
              </w:rPr>
              <w:t xml:space="preserve"> </w:t>
            </w:r>
            <w:r>
              <w:rPr>
                <w:color w:val="231F20"/>
                <w:sz w:val="14"/>
              </w:rPr>
              <w:t xml:space="preserve">света </w:t>
            </w:r>
            <w:r>
              <w:rPr>
                <w:b/>
                <w:color w:val="231F20"/>
                <w:sz w:val="14"/>
              </w:rPr>
              <w:t>(3 часа)</w:t>
            </w:r>
          </w:p>
          <w:p w:rsidR="00041039" w:rsidRDefault="001B26CB">
            <w:pPr>
              <w:pStyle w:val="TableParagraph"/>
              <w:numPr>
                <w:ilvl w:val="0"/>
                <w:numId w:val="1058"/>
              </w:numPr>
              <w:tabs>
                <w:tab w:val="left" w:pos="158"/>
              </w:tabs>
              <w:spacing w:line="156" w:lineRule="exact"/>
              <w:ind w:right="51" w:hanging="99"/>
              <w:rPr>
                <w:b/>
                <w:sz w:val="14"/>
              </w:rPr>
            </w:pPr>
            <w:r>
              <w:rPr>
                <w:color w:val="231F20"/>
                <w:sz w:val="14"/>
              </w:rPr>
              <w:t>Христово оваплоћење и</w:t>
            </w:r>
            <w:r>
              <w:rPr>
                <w:color w:val="231F20"/>
                <w:spacing w:val="-16"/>
                <w:sz w:val="14"/>
              </w:rPr>
              <w:t xml:space="preserve"> </w:t>
            </w:r>
            <w:r>
              <w:rPr>
                <w:color w:val="231F20"/>
                <w:sz w:val="14"/>
              </w:rPr>
              <w:t xml:space="preserve">страдање, смрт као последица греха првих </w:t>
            </w:r>
            <w:r>
              <w:rPr>
                <w:color w:val="231F20"/>
                <w:spacing w:val="-3"/>
                <w:sz w:val="14"/>
              </w:rPr>
              <w:t xml:space="preserve">људи </w:t>
            </w:r>
            <w:r>
              <w:rPr>
                <w:b/>
                <w:color w:val="231F20"/>
                <w:sz w:val="14"/>
              </w:rPr>
              <w:t>(3</w:t>
            </w:r>
            <w:r>
              <w:rPr>
                <w:b/>
                <w:color w:val="231F20"/>
                <w:spacing w:val="1"/>
                <w:sz w:val="14"/>
              </w:rPr>
              <w:t xml:space="preserve"> </w:t>
            </w:r>
            <w:r>
              <w:rPr>
                <w:b/>
                <w:color w:val="231F20"/>
                <w:sz w:val="14"/>
              </w:rPr>
              <w:t>часа)</w:t>
            </w:r>
          </w:p>
          <w:p w:rsidR="00041039" w:rsidRDefault="001B26CB">
            <w:pPr>
              <w:pStyle w:val="TableParagraph"/>
              <w:numPr>
                <w:ilvl w:val="0"/>
                <w:numId w:val="1058"/>
              </w:numPr>
              <w:tabs>
                <w:tab w:val="left" w:pos="158"/>
              </w:tabs>
              <w:spacing w:line="156" w:lineRule="exact"/>
              <w:ind w:right="98" w:hanging="99"/>
              <w:rPr>
                <w:b/>
                <w:sz w:val="14"/>
              </w:rPr>
            </w:pPr>
            <w:r>
              <w:rPr>
                <w:color w:val="231F20"/>
                <w:sz w:val="14"/>
              </w:rPr>
              <w:t xml:space="preserve">Бог је васкрсао Христа из мртвих </w:t>
            </w:r>
            <w:r>
              <w:rPr>
                <w:color w:val="231F20"/>
                <w:spacing w:val="-3"/>
                <w:sz w:val="14"/>
              </w:rPr>
              <w:t xml:space="preserve">Духом </w:t>
            </w:r>
            <w:r>
              <w:rPr>
                <w:color w:val="231F20"/>
                <w:sz w:val="14"/>
              </w:rPr>
              <w:t xml:space="preserve">Светим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058"/>
              </w:numPr>
              <w:tabs>
                <w:tab w:val="left" w:pos="158"/>
              </w:tabs>
              <w:spacing w:line="156" w:lineRule="exact"/>
              <w:ind w:right="244" w:hanging="99"/>
              <w:rPr>
                <w:b/>
                <w:sz w:val="14"/>
              </w:rPr>
            </w:pPr>
            <w:r>
              <w:rPr>
                <w:color w:val="231F20"/>
                <w:sz w:val="14"/>
              </w:rPr>
              <w:t>Исус Христос као нови Адам</w:t>
            </w:r>
            <w:r>
              <w:rPr>
                <w:color w:val="231F20"/>
                <w:spacing w:val="-16"/>
                <w:sz w:val="14"/>
              </w:rPr>
              <w:t xml:space="preserve"> </w:t>
            </w:r>
            <w:r>
              <w:rPr>
                <w:color w:val="231F20"/>
                <w:sz w:val="14"/>
              </w:rPr>
              <w:t xml:space="preserve">и начелник све твари </w:t>
            </w:r>
            <w:r>
              <w:rPr>
                <w:b/>
                <w:color w:val="231F20"/>
                <w:sz w:val="14"/>
              </w:rPr>
              <w:t>(3</w:t>
            </w:r>
            <w:r>
              <w:rPr>
                <w:b/>
                <w:color w:val="231F20"/>
                <w:spacing w:val="-5"/>
                <w:sz w:val="14"/>
              </w:rPr>
              <w:t xml:space="preserve"> </w:t>
            </w:r>
            <w:r>
              <w:rPr>
                <w:b/>
                <w:color w:val="231F20"/>
                <w:sz w:val="14"/>
              </w:rPr>
              <w:t>часа)</w:t>
            </w:r>
          </w:p>
          <w:p w:rsidR="00041039" w:rsidRDefault="001B26CB">
            <w:pPr>
              <w:pStyle w:val="TableParagraph"/>
              <w:numPr>
                <w:ilvl w:val="0"/>
                <w:numId w:val="1058"/>
              </w:numPr>
              <w:tabs>
                <w:tab w:val="left" w:pos="158"/>
              </w:tabs>
              <w:spacing w:before="141" w:line="232" w:lineRule="auto"/>
              <w:ind w:right="199" w:hanging="99"/>
              <w:rPr>
                <w:b/>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 xml:space="preserve">и створене природе са Христом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1058"/>
              </w:numPr>
              <w:tabs>
                <w:tab w:val="left" w:pos="158"/>
              </w:tabs>
              <w:spacing w:before="1" w:line="156" w:lineRule="exact"/>
              <w:ind w:right="106" w:hanging="99"/>
              <w:rPr>
                <w:b/>
                <w:sz w:val="14"/>
              </w:rPr>
            </w:pPr>
            <w:r>
              <w:rPr>
                <w:color w:val="231F20"/>
                <w:sz w:val="14"/>
              </w:rPr>
              <w:t>Литургија као икона истинског постојања света ­ Царства</w:t>
            </w:r>
            <w:r>
              <w:rPr>
                <w:color w:val="231F20"/>
                <w:spacing w:val="-11"/>
                <w:sz w:val="14"/>
              </w:rPr>
              <w:t xml:space="preserve"> </w:t>
            </w:r>
            <w:r>
              <w:rPr>
                <w:color w:val="231F20"/>
                <w:sz w:val="14"/>
              </w:rPr>
              <w:t xml:space="preserve">Божјег </w:t>
            </w:r>
            <w:r>
              <w:rPr>
                <w:b/>
                <w:color w:val="231F20"/>
                <w:sz w:val="14"/>
              </w:rPr>
              <w:t>(6</w:t>
            </w:r>
            <w:r>
              <w:rPr>
                <w:b/>
                <w:color w:val="231F20"/>
                <w:spacing w:val="-1"/>
                <w:sz w:val="14"/>
              </w:rPr>
              <w:t xml:space="preserve"> </w:t>
            </w:r>
            <w:r>
              <w:rPr>
                <w:b/>
                <w:color w:val="231F20"/>
                <w:sz w:val="14"/>
              </w:rPr>
              <w:t>часова)</w:t>
            </w:r>
          </w:p>
          <w:p w:rsidR="00041039" w:rsidRDefault="001B26CB">
            <w:pPr>
              <w:pStyle w:val="TableParagraph"/>
              <w:numPr>
                <w:ilvl w:val="0"/>
                <w:numId w:val="1058"/>
              </w:numPr>
              <w:tabs>
                <w:tab w:val="left" w:pos="158"/>
              </w:tabs>
              <w:spacing w:line="148" w:lineRule="exact"/>
              <w:ind w:hanging="99"/>
              <w:rPr>
                <w:b/>
                <w:sz w:val="14"/>
              </w:rPr>
            </w:pPr>
            <w:r>
              <w:rPr>
                <w:color w:val="231F20"/>
                <w:sz w:val="14"/>
              </w:rPr>
              <w:t xml:space="preserve">Апостолско прејемство </w:t>
            </w:r>
            <w:r>
              <w:rPr>
                <w:b/>
                <w:color w:val="231F20"/>
                <w:sz w:val="14"/>
              </w:rPr>
              <w:t>(6</w:t>
            </w:r>
            <w:r>
              <w:rPr>
                <w:b/>
                <w:color w:val="231F20"/>
                <w:spacing w:val="-18"/>
                <w:sz w:val="14"/>
              </w:rPr>
              <w:t xml:space="preserve"> </w:t>
            </w:r>
            <w:r>
              <w:rPr>
                <w:b/>
                <w:color w:val="231F20"/>
                <w:sz w:val="14"/>
              </w:rPr>
              <w:t>часова)</w:t>
            </w:r>
          </w:p>
          <w:p w:rsidR="00041039" w:rsidRDefault="001B26CB">
            <w:pPr>
              <w:pStyle w:val="TableParagraph"/>
              <w:numPr>
                <w:ilvl w:val="0"/>
                <w:numId w:val="1058"/>
              </w:numPr>
              <w:tabs>
                <w:tab w:val="left" w:pos="151"/>
              </w:tabs>
              <w:spacing w:line="232" w:lineRule="auto"/>
              <w:ind w:left="150" w:right="59" w:hanging="92"/>
              <w:rPr>
                <w:b/>
                <w:sz w:val="14"/>
              </w:rPr>
            </w:pPr>
            <w:r>
              <w:rPr>
                <w:color w:val="231F20"/>
                <w:spacing w:val="-4"/>
                <w:sz w:val="14"/>
              </w:rPr>
              <w:t xml:space="preserve">Распеће </w:t>
            </w:r>
            <w:r>
              <w:rPr>
                <w:color w:val="231F20"/>
                <w:sz w:val="14"/>
              </w:rPr>
              <w:t xml:space="preserve">и </w:t>
            </w:r>
            <w:r>
              <w:rPr>
                <w:color w:val="231F20"/>
                <w:spacing w:val="-4"/>
                <w:sz w:val="14"/>
              </w:rPr>
              <w:t xml:space="preserve">васкрсење Христово </w:t>
            </w:r>
            <w:r>
              <w:rPr>
                <w:color w:val="231F20"/>
                <w:sz w:val="14"/>
              </w:rPr>
              <w:t xml:space="preserve">у </w:t>
            </w:r>
            <w:r>
              <w:rPr>
                <w:color w:val="231F20"/>
                <w:spacing w:val="-4"/>
                <w:sz w:val="14"/>
              </w:rPr>
              <w:t xml:space="preserve">православној </w:t>
            </w:r>
            <w:r>
              <w:rPr>
                <w:color w:val="231F20"/>
                <w:spacing w:val="-5"/>
                <w:sz w:val="14"/>
              </w:rPr>
              <w:t xml:space="preserve">иконографији </w:t>
            </w:r>
            <w:r>
              <w:rPr>
                <w:b/>
                <w:color w:val="231F20"/>
                <w:sz w:val="14"/>
              </w:rPr>
              <w:t>(4</w:t>
            </w:r>
            <w:r>
              <w:rPr>
                <w:b/>
                <w:color w:val="231F20"/>
                <w:spacing w:val="-1"/>
                <w:sz w:val="14"/>
              </w:rPr>
              <w:t xml:space="preserve"> </w:t>
            </w:r>
            <w:r>
              <w:rPr>
                <w:b/>
                <w:color w:val="231F20"/>
                <w:spacing w:val="-3"/>
                <w:sz w:val="14"/>
              </w:rPr>
              <w:t>часа)</w:t>
            </w:r>
          </w:p>
        </w:tc>
      </w:tr>
      <w:tr w:rsidR="00041039">
        <w:trPr>
          <w:trHeight w:val="668"/>
        </w:trPr>
        <w:tc>
          <w:tcPr>
            <w:tcW w:w="1304" w:type="dxa"/>
          </w:tcPr>
          <w:p w:rsidR="00041039" w:rsidRDefault="001B26CB">
            <w:pPr>
              <w:pStyle w:val="TableParagraph"/>
              <w:spacing w:before="21" w:line="232" w:lineRule="auto"/>
              <w:ind w:left="56" w:right="43"/>
              <w:rPr>
                <w:sz w:val="14"/>
              </w:rPr>
            </w:pPr>
            <w:r>
              <w:rPr>
                <w:color w:val="231F20"/>
                <w:sz w:val="14"/>
              </w:rPr>
              <w:t>Христово овап­ лоћење и страдање, смрт као последица греха првих људи</w:t>
            </w:r>
          </w:p>
        </w:tc>
        <w:tc>
          <w:tcPr>
            <w:tcW w:w="1587" w:type="dxa"/>
          </w:tcPr>
          <w:p w:rsidR="00041039" w:rsidRDefault="001B26CB">
            <w:pPr>
              <w:pStyle w:val="TableParagraph"/>
              <w:numPr>
                <w:ilvl w:val="0"/>
                <w:numId w:val="1057"/>
              </w:numPr>
              <w:tabs>
                <w:tab w:val="left" w:pos="157"/>
              </w:tabs>
              <w:spacing w:before="11" w:line="232" w:lineRule="auto"/>
              <w:ind w:right="43"/>
              <w:rPr>
                <w:sz w:val="14"/>
              </w:rPr>
            </w:pPr>
            <w:r>
              <w:rPr>
                <w:color w:val="231F20"/>
                <w:spacing w:val="-3"/>
                <w:sz w:val="14"/>
              </w:rPr>
              <w:t xml:space="preserve">Указати </w:t>
            </w:r>
            <w:r>
              <w:rPr>
                <w:color w:val="231F20"/>
                <w:sz w:val="14"/>
              </w:rPr>
              <w:t>да је Христово страдање и смрт последица првородног греха.</w:t>
            </w:r>
          </w:p>
        </w:tc>
        <w:tc>
          <w:tcPr>
            <w:tcW w:w="2551" w:type="dxa"/>
          </w:tcPr>
          <w:p w:rsidR="00041039" w:rsidRDefault="001B26CB">
            <w:pPr>
              <w:pStyle w:val="TableParagraph"/>
              <w:numPr>
                <w:ilvl w:val="0"/>
                <w:numId w:val="1056"/>
              </w:numPr>
              <w:tabs>
                <w:tab w:val="left" w:pos="157"/>
              </w:tabs>
              <w:spacing w:before="11" w:line="232" w:lineRule="auto"/>
              <w:ind w:right="240" w:hanging="99"/>
              <w:jc w:val="both"/>
              <w:rPr>
                <w:sz w:val="14"/>
              </w:rPr>
            </w:pPr>
            <w:r>
              <w:rPr>
                <w:color w:val="231F20"/>
                <w:sz w:val="14"/>
              </w:rPr>
              <w:t xml:space="preserve">зна да је Првородни грех променио начин остваривања циља због </w:t>
            </w:r>
            <w:r>
              <w:rPr>
                <w:color w:val="231F20"/>
                <w:spacing w:val="-3"/>
                <w:sz w:val="14"/>
              </w:rPr>
              <w:t xml:space="preserve">ког </w:t>
            </w:r>
            <w:r>
              <w:rPr>
                <w:color w:val="231F20"/>
                <w:sz w:val="14"/>
              </w:rPr>
              <w:t>је свет створен али не и сам</w:t>
            </w:r>
            <w:r>
              <w:rPr>
                <w:color w:val="231F20"/>
                <w:spacing w:val="-6"/>
                <w:sz w:val="14"/>
              </w:rPr>
              <w:t xml:space="preserve"> </w:t>
            </w:r>
            <w:r>
              <w:rPr>
                <w:color w:val="231F20"/>
                <w:sz w:val="14"/>
              </w:rPr>
              <w:t>циљ;</w:t>
            </w:r>
          </w:p>
        </w:tc>
        <w:tc>
          <w:tcPr>
            <w:tcW w:w="2834" w:type="dxa"/>
          </w:tcPr>
          <w:p w:rsidR="00041039" w:rsidRDefault="001B26CB">
            <w:pPr>
              <w:pStyle w:val="TableParagraph"/>
              <w:numPr>
                <w:ilvl w:val="0"/>
                <w:numId w:val="1055"/>
              </w:numPr>
              <w:tabs>
                <w:tab w:val="left" w:pos="158"/>
              </w:tabs>
              <w:spacing w:before="11" w:line="232" w:lineRule="auto"/>
              <w:ind w:right="70"/>
              <w:rPr>
                <w:sz w:val="14"/>
              </w:rPr>
            </w:pPr>
            <w:r>
              <w:rPr>
                <w:color w:val="231F20"/>
                <w:sz w:val="14"/>
              </w:rPr>
              <w:t>Христово оваплоћење и страдање, смрт</w:t>
            </w:r>
            <w:r>
              <w:rPr>
                <w:color w:val="231F20"/>
                <w:spacing w:val="-22"/>
                <w:sz w:val="14"/>
              </w:rPr>
              <w:t xml:space="preserve"> </w:t>
            </w:r>
            <w:r>
              <w:rPr>
                <w:color w:val="231F20"/>
                <w:sz w:val="14"/>
              </w:rPr>
              <w:t>као последица греха првих</w:t>
            </w:r>
            <w:r>
              <w:rPr>
                <w:color w:val="231F20"/>
                <w:spacing w:val="-4"/>
                <w:sz w:val="14"/>
              </w:rPr>
              <w:t xml:space="preserve"> </w:t>
            </w:r>
            <w:r>
              <w:rPr>
                <w:color w:val="231F20"/>
                <w:sz w:val="14"/>
              </w:rPr>
              <w:t>људи.</w:t>
            </w:r>
          </w:p>
        </w:tc>
        <w:tc>
          <w:tcPr>
            <w:tcW w:w="2267" w:type="dxa"/>
            <w:vMerge/>
            <w:tcBorders>
              <w:top w:val="nil"/>
            </w:tcBorders>
          </w:tcPr>
          <w:p w:rsidR="00041039" w:rsidRDefault="00041039">
            <w:pPr>
              <w:rPr>
                <w:sz w:val="2"/>
                <w:szCs w:val="2"/>
              </w:rPr>
            </w:pPr>
          </w:p>
        </w:tc>
      </w:tr>
      <w:tr w:rsidR="00041039">
        <w:trPr>
          <w:trHeight w:val="824"/>
        </w:trPr>
        <w:tc>
          <w:tcPr>
            <w:tcW w:w="1304" w:type="dxa"/>
          </w:tcPr>
          <w:p w:rsidR="00041039" w:rsidRDefault="001B26CB">
            <w:pPr>
              <w:pStyle w:val="TableParagraph"/>
              <w:spacing w:before="20" w:line="232" w:lineRule="auto"/>
              <w:ind w:left="57" w:right="154"/>
              <w:rPr>
                <w:sz w:val="14"/>
              </w:rPr>
            </w:pPr>
            <w:r>
              <w:rPr>
                <w:color w:val="231F20"/>
                <w:sz w:val="14"/>
              </w:rPr>
              <w:t>Бог је васкрсао Христа из мртвих Духом Светим</w:t>
            </w:r>
          </w:p>
        </w:tc>
        <w:tc>
          <w:tcPr>
            <w:tcW w:w="1587" w:type="dxa"/>
          </w:tcPr>
          <w:p w:rsidR="00041039" w:rsidRDefault="001B26CB">
            <w:pPr>
              <w:pStyle w:val="TableParagraph"/>
              <w:numPr>
                <w:ilvl w:val="0"/>
                <w:numId w:val="1054"/>
              </w:numPr>
              <w:tabs>
                <w:tab w:val="left" w:pos="157"/>
              </w:tabs>
              <w:spacing w:before="10" w:line="232" w:lineRule="auto"/>
              <w:ind w:right="87" w:hanging="99"/>
              <w:rPr>
                <w:sz w:val="14"/>
              </w:rPr>
            </w:pPr>
            <w:r>
              <w:rPr>
                <w:color w:val="231F20"/>
                <w:spacing w:val="-3"/>
                <w:sz w:val="14"/>
              </w:rPr>
              <w:t xml:space="preserve">Указати </w:t>
            </w:r>
            <w:r>
              <w:rPr>
                <w:color w:val="231F20"/>
                <w:sz w:val="14"/>
              </w:rPr>
              <w:t xml:space="preserve">им да је Бог васкрсао Христоса из мртвих </w:t>
            </w:r>
            <w:r>
              <w:rPr>
                <w:color w:val="231F20"/>
                <w:spacing w:val="-3"/>
                <w:sz w:val="14"/>
              </w:rPr>
              <w:t xml:space="preserve">Духом </w:t>
            </w:r>
            <w:r>
              <w:rPr>
                <w:color w:val="231F20"/>
                <w:sz w:val="14"/>
              </w:rPr>
              <w:t>Светим који ствара и литур­ гијску</w:t>
            </w:r>
            <w:r>
              <w:rPr>
                <w:color w:val="231F20"/>
                <w:spacing w:val="-3"/>
                <w:sz w:val="14"/>
              </w:rPr>
              <w:t xml:space="preserve"> </w:t>
            </w:r>
            <w:r>
              <w:rPr>
                <w:color w:val="231F20"/>
                <w:sz w:val="14"/>
              </w:rPr>
              <w:t>заједницу.</w:t>
            </w:r>
          </w:p>
        </w:tc>
        <w:tc>
          <w:tcPr>
            <w:tcW w:w="2551" w:type="dxa"/>
          </w:tcPr>
          <w:p w:rsidR="00041039" w:rsidRDefault="001B26CB">
            <w:pPr>
              <w:pStyle w:val="TableParagraph"/>
              <w:numPr>
                <w:ilvl w:val="0"/>
                <w:numId w:val="1053"/>
              </w:numPr>
              <w:tabs>
                <w:tab w:val="left" w:pos="157"/>
              </w:tabs>
              <w:spacing w:before="10" w:line="232" w:lineRule="auto"/>
              <w:ind w:right="45" w:hanging="99"/>
              <w:rPr>
                <w:sz w:val="14"/>
              </w:rPr>
            </w:pPr>
            <w:r>
              <w:rPr>
                <w:color w:val="231F20"/>
                <w:sz w:val="14"/>
              </w:rPr>
              <w:t>уочи да је превазилажење смрти за створену природу плод слободне</w:t>
            </w:r>
            <w:r>
              <w:rPr>
                <w:color w:val="231F20"/>
                <w:spacing w:val="-25"/>
                <w:sz w:val="14"/>
              </w:rPr>
              <w:t xml:space="preserve"> </w:t>
            </w:r>
            <w:r>
              <w:rPr>
                <w:color w:val="231F20"/>
                <w:sz w:val="14"/>
              </w:rPr>
              <w:t>зајед­ нице Бога и човека у</w:t>
            </w:r>
            <w:r>
              <w:rPr>
                <w:color w:val="231F20"/>
                <w:spacing w:val="-8"/>
                <w:sz w:val="14"/>
              </w:rPr>
              <w:t xml:space="preserve"> </w:t>
            </w:r>
            <w:r>
              <w:rPr>
                <w:color w:val="231F20"/>
                <w:sz w:val="14"/>
              </w:rPr>
              <w:t>Христосу;</w:t>
            </w:r>
          </w:p>
        </w:tc>
        <w:tc>
          <w:tcPr>
            <w:tcW w:w="2834" w:type="dxa"/>
          </w:tcPr>
          <w:p w:rsidR="00041039" w:rsidRDefault="001B26CB">
            <w:pPr>
              <w:pStyle w:val="TableParagraph"/>
              <w:numPr>
                <w:ilvl w:val="0"/>
                <w:numId w:val="1052"/>
              </w:numPr>
              <w:tabs>
                <w:tab w:val="left" w:pos="158"/>
              </w:tabs>
              <w:spacing w:before="10" w:line="232" w:lineRule="auto"/>
              <w:ind w:right="245"/>
              <w:rPr>
                <w:sz w:val="14"/>
              </w:rPr>
            </w:pPr>
            <w:r>
              <w:rPr>
                <w:color w:val="231F20"/>
                <w:sz w:val="14"/>
              </w:rPr>
              <w:t xml:space="preserve">Бог је васкрсао Христа из мртвих </w:t>
            </w:r>
            <w:r>
              <w:rPr>
                <w:color w:val="231F20"/>
                <w:spacing w:val="-3"/>
                <w:sz w:val="14"/>
              </w:rPr>
              <w:t xml:space="preserve">Духом </w:t>
            </w:r>
            <w:r>
              <w:rPr>
                <w:color w:val="231F20"/>
                <w:sz w:val="14"/>
              </w:rPr>
              <w:t>Светим.</w:t>
            </w:r>
          </w:p>
        </w:tc>
        <w:tc>
          <w:tcPr>
            <w:tcW w:w="2267" w:type="dxa"/>
            <w:vMerge/>
            <w:tcBorders>
              <w:top w:val="nil"/>
            </w:tcBorders>
          </w:tcPr>
          <w:p w:rsidR="00041039" w:rsidRDefault="00041039">
            <w:pPr>
              <w:rPr>
                <w:sz w:val="2"/>
                <w:szCs w:val="2"/>
              </w:rPr>
            </w:pPr>
          </w:p>
        </w:tc>
      </w:tr>
      <w:tr w:rsidR="00041039">
        <w:trPr>
          <w:trHeight w:val="668"/>
        </w:trPr>
        <w:tc>
          <w:tcPr>
            <w:tcW w:w="1304" w:type="dxa"/>
          </w:tcPr>
          <w:p w:rsidR="00041039" w:rsidRDefault="001B26CB">
            <w:pPr>
              <w:pStyle w:val="TableParagraph"/>
              <w:spacing w:before="20" w:line="232" w:lineRule="auto"/>
              <w:ind w:left="57"/>
              <w:rPr>
                <w:sz w:val="14"/>
              </w:rPr>
            </w:pPr>
            <w:r>
              <w:rPr>
                <w:color w:val="231F20"/>
                <w:sz w:val="14"/>
              </w:rPr>
              <w:t>Исус Христос као нови Адам и начел­ ник све твари</w:t>
            </w:r>
          </w:p>
        </w:tc>
        <w:tc>
          <w:tcPr>
            <w:tcW w:w="1587" w:type="dxa"/>
          </w:tcPr>
          <w:p w:rsidR="00041039" w:rsidRDefault="001B26CB">
            <w:pPr>
              <w:pStyle w:val="TableParagraph"/>
              <w:numPr>
                <w:ilvl w:val="0"/>
                <w:numId w:val="1051"/>
              </w:numPr>
              <w:tabs>
                <w:tab w:val="left" w:pos="157"/>
              </w:tabs>
              <w:spacing w:before="10" w:line="232" w:lineRule="auto"/>
              <w:ind w:right="84" w:hanging="99"/>
              <w:jc w:val="both"/>
              <w:rPr>
                <w:sz w:val="14"/>
              </w:rPr>
            </w:pPr>
            <w:r>
              <w:rPr>
                <w:color w:val="231F20"/>
                <w:sz w:val="14"/>
              </w:rPr>
              <w:t>Исус Христос је нови Адам и једино са њим се остварује заједница са</w:t>
            </w:r>
            <w:r>
              <w:rPr>
                <w:color w:val="231F20"/>
                <w:spacing w:val="-1"/>
                <w:sz w:val="14"/>
              </w:rPr>
              <w:t xml:space="preserve"> </w:t>
            </w:r>
            <w:r>
              <w:rPr>
                <w:color w:val="231F20"/>
                <w:sz w:val="14"/>
              </w:rPr>
              <w:t>Богом.</w:t>
            </w:r>
          </w:p>
        </w:tc>
        <w:tc>
          <w:tcPr>
            <w:tcW w:w="2551" w:type="dxa"/>
          </w:tcPr>
          <w:p w:rsidR="00041039" w:rsidRDefault="001B26CB">
            <w:pPr>
              <w:pStyle w:val="TableParagraph"/>
              <w:numPr>
                <w:ilvl w:val="0"/>
                <w:numId w:val="1050"/>
              </w:numPr>
              <w:tabs>
                <w:tab w:val="left" w:pos="158"/>
              </w:tabs>
              <w:spacing w:before="10" w:line="232" w:lineRule="auto"/>
              <w:ind w:right="216"/>
              <w:rPr>
                <w:sz w:val="14"/>
              </w:rPr>
            </w:pPr>
            <w:r>
              <w:rPr>
                <w:color w:val="231F20"/>
                <w:sz w:val="14"/>
              </w:rPr>
              <w:t>схвати да се Тајна Христова</w:t>
            </w:r>
            <w:r>
              <w:rPr>
                <w:color w:val="231F20"/>
                <w:spacing w:val="-25"/>
                <w:sz w:val="14"/>
              </w:rPr>
              <w:t xml:space="preserve"> </w:t>
            </w:r>
            <w:r>
              <w:rPr>
                <w:color w:val="231F20"/>
                <w:sz w:val="14"/>
              </w:rPr>
              <w:t>поисто­ већује са</w:t>
            </w:r>
            <w:r>
              <w:rPr>
                <w:color w:val="231F20"/>
                <w:spacing w:val="-1"/>
                <w:sz w:val="14"/>
              </w:rPr>
              <w:t xml:space="preserve"> </w:t>
            </w:r>
            <w:r>
              <w:rPr>
                <w:color w:val="231F20"/>
                <w:sz w:val="14"/>
              </w:rPr>
              <w:t>литургијом;</w:t>
            </w:r>
          </w:p>
        </w:tc>
        <w:tc>
          <w:tcPr>
            <w:tcW w:w="2834" w:type="dxa"/>
          </w:tcPr>
          <w:p w:rsidR="00041039" w:rsidRDefault="001B26CB">
            <w:pPr>
              <w:pStyle w:val="TableParagraph"/>
              <w:numPr>
                <w:ilvl w:val="0"/>
                <w:numId w:val="1049"/>
              </w:numPr>
              <w:tabs>
                <w:tab w:val="left" w:pos="158"/>
              </w:tabs>
              <w:spacing w:before="10" w:line="232" w:lineRule="auto"/>
              <w:ind w:right="224"/>
              <w:rPr>
                <w:sz w:val="14"/>
              </w:rPr>
            </w:pPr>
            <w:r>
              <w:rPr>
                <w:color w:val="231F20"/>
                <w:sz w:val="14"/>
              </w:rPr>
              <w:t>Исус Христос као нови Адам и</w:t>
            </w:r>
            <w:r>
              <w:rPr>
                <w:color w:val="231F20"/>
                <w:spacing w:val="-24"/>
                <w:sz w:val="14"/>
              </w:rPr>
              <w:t xml:space="preserve"> </w:t>
            </w:r>
            <w:r>
              <w:rPr>
                <w:color w:val="231F20"/>
                <w:sz w:val="14"/>
              </w:rPr>
              <w:t>начелник све</w:t>
            </w:r>
            <w:r>
              <w:rPr>
                <w:color w:val="231F20"/>
                <w:spacing w:val="-1"/>
                <w:sz w:val="14"/>
              </w:rPr>
              <w:t xml:space="preserve"> </w:t>
            </w:r>
            <w:r>
              <w:rPr>
                <w:color w:val="231F20"/>
                <w:sz w:val="14"/>
              </w:rPr>
              <w:t>твари.</w:t>
            </w:r>
          </w:p>
        </w:tc>
        <w:tc>
          <w:tcPr>
            <w:tcW w:w="2267" w:type="dxa"/>
            <w:vMerge/>
            <w:tcBorders>
              <w:top w:val="nil"/>
            </w:tcBorders>
          </w:tcPr>
          <w:p w:rsidR="00041039" w:rsidRDefault="00041039">
            <w:pPr>
              <w:rPr>
                <w:sz w:val="2"/>
                <w:szCs w:val="2"/>
              </w:rPr>
            </w:pPr>
          </w:p>
        </w:tc>
      </w:tr>
      <w:tr w:rsidR="00041039">
        <w:trPr>
          <w:trHeight w:val="824"/>
        </w:trPr>
        <w:tc>
          <w:tcPr>
            <w:tcW w:w="1304" w:type="dxa"/>
          </w:tcPr>
          <w:p w:rsidR="00041039" w:rsidRDefault="001B26CB">
            <w:pPr>
              <w:pStyle w:val="TableParagraph"/>
              <w:spacing w:before="20" w:line="232" w:lineRule="auto"/>
              <w:ind w:left="57" w:right="72"/>
              <w:rPr>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и створене</w:t>
            </w:r>
            <w:r>
              <w:rPr>
                <w:color w:val="231F20"/>
                <w:spacing w:val="-10"/>
                <w:sz w:val="14"/>
              </w:rPr>
              <w:t xml:space="preserve"> </w:t>
            </w:r>
            <w:r>
              <w:rPr>
                <w:color w:val="231F20"/>
                <w:sz w:val="14"/>
              </w:rPr>
              <w:t>природе са</w:t>
            </w:r>
            <w:r>
              <w:rPr>
                <w:color w:val="231F20"/>
                <w:spacing w:val="-1"/>
                <w:sz w:val="14"/>
              </w:rPr>
              <w:t xml:space="preserve"> </w:t>
            </w:r>
            <w:r>
              <w:rPr>
                <w:color w:val="231F20"/>
                <w:sz w:val="14"/>
              </w:rPr>
              <w:t>Христом</w:t>
            </w:r>
          </w:p>
        </w:tc>
        <w:tc>
          <w:tcPr>
            <w:tcW w:w="1587" w:type="dxa"/>
          </w:tcPr>
          <w:p w:rsidR="00041039" w:rsidRDefault="001B26CB">
            <w:pPr>
              <w:pStyle w:val="TableParagraph"/>
              <w:numPr>
                <w:ilvl w:val="0"/>
                <w:numId w:val="1048"/>
              </w:numPr>
              <w:tabs>
                <w:tab w:val="left" w:pos="157"/>
              </w:tabs>
              <w:spacing w:before="10" w:line="232" w:lineRule="auto"/>
              <w:ind w:right="103" w:hanging="99"/>
              <w:rPr>
                <w:sz w:val="14"/>
              </w:rPr>
            </w:pPr>
            <w:r>
              <w:rPr>
                <w:color w:val="231F20"/>
                <w:sz w:val="14"/>
              </w:rPr>
              <w:t xml:space="preserve">Да </w:t>
            </w:r>
            <w:r>
              <w:rPr>
                <w:color w:val="231F20"/>
                <w:spacing w:val="-3"/>
                <w:sz w:val="14"/>
              </w:rPr>
              <w:t xml:space="preserve">људи </w:t>
            </w:r>
            <w:r>
              <w:rPr>
                <w:color w:val="231F20"/>
                <w:sz w:val="14"/>
              </w:rPr>
              <w:t>и створена природа могу да остваре заједницу са Христом</w:t>
            </w:r>
            <w:r>
              <w:rPr>
                <w:color w:val="231F20"/>
                <w:spacing w:val="-11"/>
                <w:sz w:val="14"/>
              </w:rPr>
              <w:t xml:space="preserve"> </w:t>
            </w:r>
            <w:r>
              <w:rPr>
                <w:color w:val="231F20"/>
                <w:sz w:val="14"/>
              </w:rPr>
              <w:t>посредством Духа</w:t>
            </w:r>
            <w:r>
              <w:rPr>
                <w:color w:val="231F20"/>
                <w:spacing w:val="-1"/>
                <w:sz w:val="14"/>
              </w:rPr>
              <w:t xml:space="preserve"> </w:t>
            </w:r>
            <w:r>
              <w:rPr>
                <w:color w:val="231F20"/>
                <w:spacing w:val="-3"/>
                <w:sz w:val="14"/>
              </w:rPr>
              <w:t>Светог.</w:t>
            </w:r>
          </w:p>
        </w:tc>
        <w:tc>
          <w:tcPr>
            <w:tcW w:w="2551" w:type="dxa"/>
          </w:tcPr>
          <w:p w:rsidR="00041039" w:rsidRDefault="001B26CB">
            <w:pPr>
              <w:pStyle w:val="TableParagraph"/>
              <w:numPr>
                <w:ilvl w:val="0"/>
                <w:numId w:val="1047"/>
              </w:numPr>
              <w:tabs>
                <w:tab w:val="left" w:pos="158"/>
              </w:tabs>
              <w:spacing w:before="10" w:line="232" w:lineRule="auto"/>
              <w:ind w:right="114"/>
              <w:rPr>
                <w:sz w:val="14"/>
              </w:rPr>
            </w:pPr>
            <w:r>
              <w:rPr>
                <w:color w:val="231F20"/>
                <w:sz w:val="14"/>
              </w:rPr>
              <w:t>уочи да Дух Свети конституише цркву кроз крштење, миропомазање</w:t>
            </w:r>
            <w:r>
              <w:rPr>
                <w:color w:val="231F20"/>
                <w:spacing w:val="-12"/>
                <w:sz w:val="14"/>
              </w:rPr>
              <w:t xml:space="preserve"> </w:t>
            </w:r>
            <w:r>
              <w:rPr>
                <w:color w:val="231F20"/>
                <w:sz w:val="14"/>
              </w:rPr>
              <w:t>и рукоположење;</w:t>
            </w:r>
          </w:p>
        </w:tc>
        <w:tc>
          <w:tcPr>
            <w:tcW w:w="2834" w:type="dxa"/>
          </w:tcPr>
          <w:p w:rsidR="00041039" w:rsidRDefault="001B26CB">
            <w:pPr>
              <w:pStyle w:val="TableParagraph"/>
              <w:numPr>
                <w:ilvl w:val="0"/>
                <w:numId w:val="1046"/>
              </w:numPr>
              <w:tabs>
                <w:tab w:val="left" w:pos="158"/>
              </w:tabs>
              <w:spacing w:before="9" w:line="232" w:lineRule="auto"/>
              <w:ind w:right="311" w:hanging="99"/>
              <w:rPr>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и створене природе са</w:t>
            </w:r>
            <w:r>
              <w:rPr>
                <w:color w:val="231F20"/>
                <w:spacing w:val="-3"/>
                <w:sz w:val="14"/>
              </w:rPr>
              <w:t xml:space="preserve"> </w:t>
            </w:r>
            <w:r>
              <w:rPr>
                <w:color w:val="231F20"/>
                <w:sz w:val="14"/>
              </w:rPr>
              <w:t>Христом.</w:t>
            </w:r>
          </w:p>
        </w:tc>
        <w:tc>
          <w:tcPr>
            <w:tcW w:w="2267" w:type="dxa"/>
            <w:vMerge/>
            <w:tcBorders>
              <w:top w:val="nil"/>
            </w:tcBorders>
          </w:tcPr>
          <w:p w:rsidR="00041039" w:rsidRDefault="00041039">
            <w:pPr>
              <w:rPr>
                <w:sz w:val="2"/>
                <w:szCs w:val="2"/>
              </w:rPr>
            </w:pPr>
          </w:p>
        </w:tc>
      </w:tr>
      <w:tr w:rsidR="00041039">
        <w:trPr>
          <w:trHeight w:val="980"/>
        </w:trPr>
        <w:tc>
          <w:tcPr>
            <w:tcW w:w="1304" w:type="dxa"/>
          </w:tcPr>
          <w:p w:rsidR="00041039" w:rsidRDefault="001B26CB">
            <w:pPr>
              <w:pStyle w:val="TableParagraph"/>
              <w:spacing w:before="19" w:line="232" w:lineRule="auto"/>
              <w:ind w:left="57" w:right="184"/>
              <w:rPr>
                <w:sz w:val="14"/>
              </w:rPr>
            </w:pPr>
            <w:r>
              <w:rPr>
                <w:color w:val="231F20"/>
                <w:sz w:val="14"/>
              </w:rPr>
              <w:t>Литургија као икона истинског постојања света ­ Царства Божјег</w:t>
            </w:r>
          </w:p>
        </w:tc>
        <w:tc>
          <w:tcPr>
            <w:tcW w:w="1587" w:type="dxa"/>
          </w:tcPr>
          <w:p w:rsidR="00041039" w:rsidRDefault="001B26CB">
            <w:pPr>
              <w:pStyle w:val="TableParagraph"/>
              <w:numPr>
                <w:ilvl w:val="0"/>
                <w:numId w:val="1045"/>
              </w:numPr>
              <w:tabs>
                <w:tab w:val="left" w:pos="157"/>
              </w:tabs>
              <w:spacing w:before="9" w:line="232" w:lineRule="auto"/>
              <w:ind w:right="43" w:hanging="99"/>
              <w:rPr>
                <w:sz w:val="14"/>
              </w:rPr>
            </w:pPr>
            <w:r>
              <w:rPr>
                <w:color w:val="231F20"/>
                <w:spacing w:val="-3"/>
                <w:sz w:val="14"/>
              </w:rPr>
              <w:t xml:space="preserve">Указати </w:t>
            </w:r>
            <w:r>
              <w:rPr>
                <w:color w:val="231F20"/>
                <w:sz w:val="14"/>
              </w:rPr>
              <w:t>да постоји онтолошка разлика између иконе чији је прототип у</w:t>
            </w:r>
            <w:r>
              <w:rPr>
                <w:color w:val="231F20"/>
                <w:spacing w:val="-22"/>
                <w:sz w:val="14"/>
              </w:rPr>
              <w:t xml:space="preserve"> </w:t>
            </w:r>
            <w:r>
              <w:rPr>
                <w:color w:val="231F20"/>
                <w:sz w:val="14"/>
              </w:rPr>
              <w:t>будућности и слике која има про­ тотип у</w:t>
            </w:r>
            <w:r>
              <w:rPr>
                <w:color w:val="231F20"/>
                <w:spacing w:val="-3"/>
                <w:sz w:val="14"/>
              </w:rPr>
              <w:t xml:space="preserve"> </w:t>
            </w:r>
            <w:r>
              <w:rPr>
                <w:color w:val="231F20"/>
                <w:sz w:val="14"/>
              </w:rPr>
              <w:t>прошлости.</w:t>
            </w:r>
          </w:p>
        </w:tc>
        <w:tc>
          <w:tcPr>
            <w:tcW w:w="2551" w:type="dxa"/>
          </w:tcPr>
          <w:p w:rsidR="00041039" w:rsidRDefault="001B26CB">
            <w:pPr>
              <w:pStyle w:val="TableParagraph"/>
              <w:numPr>
                <w:ilvl w:val="0"/>
                <w:numId w:val="1044"/>
              </w:numPr>
              <w:tabs>
                <w:tab w:val="left" w:pos="158"/>
              </w:tabs>
              <w:spacing w:before="9" w:line="232" w:lineRule="auto"/>
              <w:ind w:right="187"/>
              <w:rPr>
                <w:sz w:val="14"/>
              </w:rPr>
            </w:pPr>
            <w:r>
              <w:rPr>
                <w:color w:val="231F20"/>
                <w:sz w:val="14"/>
              </w:rPr>
              <w:t xml:space="preserve">уочи идентичност структуре </w:t>
            </w:r>
            <w:r>
              <w:rPr>
                <w:color w:val="231F20"/>
                <w:spacing w:val="-3"/>
                <w:sz w:val="14"/>
              </w:rPr>
              <w:t xml:space="preserve">будућег </w:t>
            </w:r>
            <w:r>
              <w:rPr>
                <w:color w:val="231F20"/>
                <w:sz w:val="14"/>
              </w:rPr>
              <w:t>Царства Божјег и</w:t>
            </w:r>
            <w:r>
              <w:rPr>
                <w:color w:val="231F20"/>
                <w:spacing w:val="-4"/>
                <w:sz w:val="14"/>
              </w:rPr>
              <w:t xml:space="preserve"> </w:t>
            </w:r>
            <w:r>
              <w:rPr>
                <w:color w:val="231F20"/>
                <w:sz w:val="14"/>
              </w:rPr>
              <w:t>литургије;</w:t>
            </w:r>
          </w:p>
        </w:tc>
        <w:tc>
          <w:tcPr>
            <w:tcW w:w="2834" w:type="dxa"/>
          </w:tcPr>
          <w:p w:rsidR="00041039" w:rsidRDefault="001B26CB">
            <w:pPr>
              <w:pStyle w:val="TableParagraph"/>
              <w:numPr>
                <w:ilvl w:val="0"/>
                <w:numId w:val="1043"/>
              </w:numPr>
              <w:tabs>
                <w:tab w:val="left" w:pos="158"/>
              </w:tabs>
              <w:spacing w:before="9" w:line="232" w:lineRule="auto"/>
              <w:ind w:right="178" w:hanging="99"/>
              <w:rPr>
                <w:sz w:val="14"/>
              </w:rPr>
            </w:pPr>
            <w:r>
              <w:rPr>
                <w:color w:val="231F20"/>
                <w:sz w:val="14"/>
              </w:rPr>
              <w:t>Литургија</w:t>
            </w:r>
            <w:r>
              <w:rPr>
                <w:color w:val="231F20"/>
                <w:spacing w:val="-7"/>
                <w:sz w:val="14"/>
              </w:rPr>
              <w:t xml:space="preserve"> </w:t>
            </w:r>
            <w:r>
              <w:rPr>
                <w:color w:val="231F20"/>
                <w:sz w:val="14"/>
              </w:rPr>
              <w:t>као</w:t>
            </w:r>
            <w:r>
              <w:rPr>
                <w:color w:val="231F20"/>
                <w:spacing w:val="-7"/>
                <w:sz w:val="14"/>
              </w:rPr>
              <w:t xml:space="preserve"> </w:t>
            </w:r>
            <w:r>
              <w:rPr>
                <w:color w:val="231F20"/>
                <w:sz w:val="14"/>
              </w:rPr>
              <w:t>икона</w:t>
            </w:r>
            <w:r>
              <w:rPr>
                <w:color w:val="231F20"/>
                <w:spacing w:val="-7"/>
                <w:sz w:val="14"/>
              </w:rPr>
              <w:t xml:space="preserve"> </w:t>
            </w:r>
            <w:r>
              <w:rPr>
                <w:color w:val="231F20"/>
                <w:sz w:val="14"/>
              </w:rPr>
              <w:t>истинског</w:t>
            </w:r>
            <w:r>
              <w:rPr>
                <w:color w:val="231F20"/>
                <w:spacing w:val="-7"/>
                <w:sz w:val="14"/>
              </w:rPr>
              <w:t xml:space="preserve"> </w:t>
            </w:r>
            <w:r>
              <w:rPr>
                <w:color w:val="231F20"/>
                <w:sz w:val="14"/>
              </w:rPr>
              <w:t>постојања света ­ Царства</w:t>
            </w:r>
            <w:r>
              <w:rPr>
                <w:color w:val="231F20"/>
                <w:spacing w:val="-2"/>
                <w:sz w:val="14"/>
              </w:rPr>
              <w:t xml:space="preserve"> </w:t>
            </w:r>
            <w:r>
              <w:rPr>
                <w:color w:val="231F20"/>
                <w:spacing w:val="-3"/>
                <w:sz w:val="14"/>
              </w:rPr>
              <w:t>Божјег.</w:t>
            </w:r>
          </w:p>
        </w:tc>
        <w:tc>
          <w:tcPr>
            <w:tcW w:w="2267" w:type="dxa"/>
            <w:vMerge/>
            <w:tcBorders>
              <w:top w:val="nil"/>
            </w:tcBorders>
          </w:tcPr>
          <w:p w:rsidR="00041039" w:rsidRDefault="00041039">
            <w:pPr>
              <w:rPr>
                <w:sz w:val="2"/>
                <w:szCs w:val="2"/>
              </w:rPr>
            </w:pPr>
          </w:p>
        </w:tc>
      </w:tr>
      <w:tr w:rsidR="00041039">
        <w:trPr>
          <w:trHeight w:val="980"/>
        </w:trPr>
        <w:tc>
          <w:tcPr>
            <w:tcW w:w="1304" w:type="dxa"/>
          </w:tcPr>
          <w:p w:rsidR="00041039" w:rsidRDefault="001B26CB">
            <w:pPr>
              <w:pStyle w:val="TableParagraph"/>
              <w:spacing w:before="19" w:line="232" w:lineRule="auto"/>
              <w:ind w:left="57"/>
              <w:rPr>
                <w:sz w:val="14"/>
              </w:rPr>
            </w:pPr>
            <w:r>
              <w:rPr>
                <w:color w:val="231F20"/>
                <w:sz w:val="14"/>
              </w:rPr>
              <w:t>Апостолско прејем­ ство</w:t>
            </w:r>
          </w:p>
        </w:tc>
        <w:tc>
          <w:tcPr>
            <w:tcW w:w="1587" w:type="dxa"/>
          </w:tcPr>
          <w:p w:rsidR="00041039" w:rsidRDefault="001B26CB">
            <w:pPr>
              <w:pStyle w:val="TableParagraph"/>
              <w:numPr>
                <w:ilvl w:val="0"/>
                <w:numId w:val="1042"/>
              </w:numPr>
              <w:tabs>
                <w:tab w:val="left" w:pos="158"/>
              </w:tabs>
              <w:spacing w:before="9" w:line="232" w:lineRule="auto"/>
              <w:ind w:right="66"/>
              <w:rPr>
                <w:sz w:val="14"/>
              </w:rPr>
            </w:pPr>
            <w:r>
              <w:rPr>
                <w:color w:val="231F20"/>
                <w:spacing w:val="-3"/>
                <w:sz w:val="14"/>
              </w:rPr>
              <w:t xml:space="preserve">Указати </w:t>
            </w:r>
            <w:r>
              <w:rPr>
                <w:color w:val="231F20"/>
                <w:sz w:val="14"/>
              </w:rPr>
              <w:t>ученицима да апостолско</w:t>
            </w:r>
            <w:r>
              <w:rPr>
                <w:color w:val="231F20"/>
                <w:spacing w:val="-16"/>
                <w:sz w:val="14"/>
              </w:rPr>
              <w:t xml:space="preserve"> </w:t>
            </w:r>
            <w:r>
              <w:rPr>
                <w:color w:val="231F20"/>
                <w:sz w:val="14"/>
              </w:rPr>
              <w:t>прејемство подразумева да се црква установљује не на основу прошлости већ</w:t>
            </w:r>
            <w:r>
              <w:rPr>
                <w:color w:val="231F20"/>
                <w:spacing w:val="-2"/>
                <w:sz w:val="14"/>
              </w:rPr>
              <w:t xml:space="preserve"> </w:t>
            </w:r>
            <w:r>
              <w:rPr>
                <w:color w:val="231F20"/>
                <w:sz w:val="14"/>
              </w:rPr>
              <w:t>будућности.</w:t>
            </w:r>
          </w:p>
        </w:tc>
        <w:tc>
          <w:tcPr>
            <w:tcW w:w="2551" w:type="dxa"/>
          </w:tcPr>
          <w:p w:rsidR="00041039" w:rsidRDefault="001B26CB">
            <w:pPr>
              <w:pStyle w:val="TableParagraph"/>
              <w:numPr>
                <w:ilvl w:val="0"/>
                <w:numId w:val="1041"/>
              </w:numPr>
              <w:tabs>
                <w:tab w:val="left" w:pos="158"/>
              </w:tabs>
              <w:spacing w:before="9" w:line="232" w:lineRule="auto"/>
              <w:ind w:right="55" w:hanging="99"/>
              <w:rPr>
                <w:sz w:val="14"/>
              </w:rPr>
            </w:pPr>
            <w:r>
              <w:rPr>
                <w:color w:val="231F20"/>
                <w:sz w:val="14"/>
              </w:rPr>
              <w:t>уочи</w:t>
            </w:r>
            <w:r>
              <w:rPr>
                <w:color w:val="231F20"/>
                <w:spacing w:val="-7"/>
                <w:sz w:val="14"/>
              </w:rPr>
              <w:t xml:space="preserve"> </w:t>
            </w:r>
            <w:r>
              <w:rPr>
                <w:color w:val="231F20"/>
                <w:sz w:val="14"/>
              </w:rPr>
              <w:t>да</w:t>
            </w:r>
            <w:r>
              <w:rPr>
                <w:color w:val="231F20"/>
                <w:spacing w:val="-7"/>
                <w:sz w:val="14"/>
              </w:rPr>
              <w:t xml:space="preserve"> </w:t>
            </w:r>
            <w:r>
              <w:rPr>
                <w:color w:val="231F20"/>
                <w:sz w:val="14"/>
              </w:rPr>
              <w:t>апостолско</w:t>
            </w:r>
            <w:r>
              <w:rPr>
                <w:color w:val="231F20"/>
                <w:spacing w:val="-7"/>
                <w:sz w:val="14"/>
              </w:rPr>
              <w:t xml:space="preserve"> </w:t>
            </w:r>
            <w:r>
              <w:rPr>
                <w:color w:val="231F20"/>
                <w:sz w:val="14"/>
              </w:rPr>
              <w:t>прејемство</w:t>
            </w:r>
            <w:r>
              <w:rPr>
                <w:color w:val="231F20"/>
                <w:spacing w:val="-7"/>
                <w:sz w:val="14"/>
              </w:rPr>
              <w:t xml:space="preserve"> </w:t>
            </w:r>
            <w:r>
              <w:rPr>
                <w:color w:val="231F20"/>
                <w:sz w:val="14"/>
              </w:rPr>
              <w:t xml:space="preserve">посред­ ством Духа Светог </w:t>
            </w:r>
            <w:r>
              <w:rPr>
                <w:color w:val="231F20"/>
                <w:spacing w:val="-3"/>
                <w:sz w:val="14"/>
              </w:rPr>
              <w:t xml:space="preserve">преко </w:t>
            </w:r>
            <w:r>
              <w:rPr>
                <w:color w:val="231F20"/>
                <w:sz w:val="14"/>
              </w:rPr>
              <w:t>литургије улази у</w:t>
            </w:r>
            <w:r>
              <w:rPr>
                <w:color w:val="231F20"/>
                <w:spacing w:val="-2"/>
                <w:sz w:val="14"/>
              </w:rPr>
              <w:t xml:space="preserve"> </w:t>
            </w:r>
            <w:r>
              <w:rPr>
                <w:color w:val="231F20"/>
                <w:sz w:val="14"/>
              </w:rPr>
              <w:t>историју;</w:t>
            </w:r>
          </w:p>
        </w:tc>
        <w:tc>
          <w:tcPr>
            <w:tcW w:w="2834" w:type="dxa"/>
          </w:tcPr>
          <w:p w:rsidR="00041039" w:rsidRDefault="001B26CB">
            <w:pPr>
              <w:pStyle w:val="TableParagraph"/>
              <w:numPr>
                <w:ilvl w:val="0"/>
                <w:numId w:val="1040"/>
              </w:numPr>
              <w:tabs>
                <w:tab w:val="left" w:pos="158"/>
              </w:tabs>
              <w:spacing w:before="4"/>
              <w:ind w:hanging="99"/>
              <w:rPr>
                <w:sz w:val="14"/>
              </w:rPr>
            </w:pPr>
            <w:r>
              <w:rPr>
                <w:color w:val="231F20"/>
                <w:sz w:val="14"/>
              </w:rPr>
              <w:t>Апостолско</w:t>
            </w:r>
            <w:r>
              <w:rPr>
                <w:color w:val="231F20"/>
                <w:spacing w:val="-1"/>
                <w:sz w:val="14"/>
              </w:rPr>
              <w:t xml:space="preserve"> </w:t>
            </w:r>
            <w:r>
              <w:rPr>
                <w:color w:val="231F20"/>
                <w:sz w:val="14"/>
              </w:rPr>
              <w:t>прејемство.</w:t>
            </w:r>
          </w:p>
        </w:tc>
        <w:tc>
          <w:tcPr>
            <w:tcW w:w="2267" w:type="dxa"/>
            <w:vMerge/>
            <w:tcBorders>
              <w:top w:val="nil"/>
            </w:tcBorders>
          </w:tcPr>
          <w:p w:rsidR="00041039" w:rsidRDefault="00041039">
            <w:pPr>
              <w:rPr>
                <w:sz w:val="2"/>
                <w:szCs w:val="2"/>
              </w:rPr>
            </w:pPr>
          </w:p>
        </w:tc>
      </w:tr>
      <w:tr w:rsidR="00041039">
        <w:trPr>
          <w:trHeight w:val="1379"/>
        </w:trPr>
        <w:tc>
          <w:tcPr>
            <w:tcW w:w="1304" w:type="dxa"/>
          </w:tcPr>
          <w:p w:rsidR="00041039" w:rsidRDefault="001B26CB">
            <w:pPr>
              <w:pStyle w:val="TableParagraph"/>
              <w:spacing w:before="18" w:line="232" w:lineRule="auto"/>
              <w:ind w:left="57" w:right="244"/>
              <w:rPr>
                <w:sz w:val="14"/>
              </w:rPr>
            </w:pPr>
            <w:r>
              <w:rPr>
                <w:color w:val="231F20"/>
                <w:sz w:val="14"/>
              </w:rPr>
              <w:t>Распеће и</w:t>
            </w:r>
            <w:r>
              <w:rPr>
                <w:color w:val="231F20"/>
                <w:spacing w:val="-9"/>
                <w:sz w:val="14"/>
              </w:rPr>
              <w:t xml:space="preserve"> </w:t>
            </w:r>
            <w:r>
              <w:rPr>
                <w:color w:val="231F20"/>
                <w:sz w:val="14"/>
              </w:rPr>
              <w:t>васкр­ сење Христово у православној иконографији</w:t>
            </w:r>
          </w:p>
        </w:tc>
        <w:tc>
          <w:tcPr>
            <w:tcW w:w="1587" w:type="dxa"/>
          </w:tcPr>
          <w:p w:rsidR="00041039" w:rsidRDefault="001B26CB">
            <w:pPr>
              <w:pStyle w:val="TableParagraph"/>
              <w:numPr>
                <w:ilvl w:val="0"/>
                <w:numId w:val="1039"/>
              </w:numPr>
              <w:tabs>
                <w:tab w:val="left" w:pos="158"/>
              </w:tabs>
              <w:spacing w:before="9" w:line="232" w:lineRule="auto"/>
              <w:ind w:right="107"/>
              <w:rPr>
                <w:sz w:val="14"/>
              </w:rPr>
            </w:pPr>
            <w:r>
              <w:rPr>
                <w:color w:val="231F20"/>
                <w:spacing w:val="-3"/>
                <w:sz w:val="14"/>
              </w:rPr>
              <w:t xml:space="preserve">Указати </w:t>
            </w:r>
            <w:r>
              <w:rPr>
                <w:color w:val="231F20"/>
                <w:sz w:val="14"/>
              </w:rPr>
              <w:t>ученицима да се на иконама</w:t>
            </w:r>
            <w:r>
              <w:rPr>
                <w:color w:val="231F20"/>
                <w:spacing w:val="-11"/>
                <w:sz w:val="14"/>
              </w:rPr>
              <w:t xml:space="preserve"> </w:t>
            </w:r>
            <w:r>
              <w:rPr>
                <w:color w:val="231F20"/>
                <w:sz w:val="14"/>
              </w:rPr>
              <w:t>ових догађаја види</w:t>
            </w:r>
            <w:r>
              <w:rPr>
                <w:color w:val="231F20"/>
                <w:spacing w:val="-3"/>
                <w:sz w:val="14"/>
              </w:rPr>
              <w:t xml:space="preserve"> </w:t>
            </w:r>
            <w:r>
              <w:rPr>
                <w:color w:val="231F20"/>
                <w:sz w:val="14"/>
              </w:rPr>
              <w:t>однос</w:t>
            </w:r>
          </w:p>
          <w:p w:rsidR="00041039" w:rsidRDefault="001B26CB">
            <w:pPr>
              <w:pStyle w:val="TableParagraph"/>
              <w:spacing w:line="232" w:lineRule="auto"/>
              <w:ind w:left="157" w:right="15"/>
              <w:rPr>
                <w:sz w:val="14"/>
              </w:rPr>
            </w:pPr>
            <w:r>
              <w:rPr>
                <w:color w:val="231F20"/>
                <w:sz w:val="14"/>
              </w:rPr>
              <w:t>у коме ови догађаји стоје са будућим Царством Божијим.</w:t>
            </w:r>
          </w:p>
        </w:tc>
        <w:tc>
          <w:tcPr>
            <w:tcW w:w="2551" w:type="dxa"/>
          </w:tcPr>
          <w:p w:rsidR="00041039" w:rsidRDefault="001B26CB">
            <w:pPr>
              <w:pStyle w:val="TableParagraph"/>
              <w:numPr>
                <w:ilvl w:val="0"/>
                <w:numId w:val="1038"/>
              </w:numPr>
              <w:tabs>
                <w:tab w:val="left" w:pos="158"/>
              </w:tabs>
              <w:spacing w:before="8" w:line="232" w:lineRule="auto"/>
              <w:ind w:right="94" w:hanging="99"/>
              <w:rPr>
                <w:sz w:val="14"/>
              </w:rPr>
            </w:pPr>
            <w:r>
              <w:rPr>
                <w:color w:val="231F20"/>
                <w:sz w:val="14"/>
              </w:rPr>
              <w:t>запази разлику између иконографског приказивања распећа и васкрсења Христовог у православној и ренесанс­ ној</w:t>
            </w:r>
            <w:r>
              <w:rPr>
                <w:color w:val="231F20"/>
                <w:spacing w:val="-2"/>
                <w:sz w:val="14"/>
              </w:rPr>
              <w:t xml:space="preserve"> </w:t>
            </w:r>
            <w:r>
              <w:rPr>
                <w:color w:val="231F20"/>
                <w:sz w:val="14"/>
              </w:rPr>
              <w:t>традицији;</w:t>
            </w:r>
          </w:p>
        </w:tc>
        <w:tc>
          <w:tcPr>
            <w:tcW w:w="2834" w:type="dxa"/>
          </w:tcPr>
          <w:p w:rsidR="00041039" w:rsidRDefault="001B26CB">
            <w:pPr>
              <w:pStyle w:val="TableParagraph"/>
              <w:numPr>
                <w:ilvl w:val="0"/>
                <w:numId w:val="1037"/>
              </w:numPr>
              <w:tabs>
                <w:tab w:val="left" w:pos="158"/>
              </w:tabs>
              <w:spacing w:before="8" w:line="232" w:lineRule="auto"/>
              <w:ind w:right="295" w:hanging="99"/>
              <w:rPr>
                <w:sz w:val="14"/>
              </w:rPr>
            </w:pPr>
            <w:r>
              <w:rPr>
                <w:color w:val="231F20"/>
                <w:sz w:val="14"/>
              </w:rPr>
              <w:t>Распеће и васкрсење Христово у</w:t>
            </w:r>
            <w:r>
              <w:rPr>
                <w:color w:val="231F20"/>
                <w:spacing w:val="-19"/>
                <w:sz w:val="14"/>
              </w:rPr>
              <w:t xml:space="preserve"> </w:t>
            </w:r>
            <w:r>
              <w:rPr>
                <w:color w:val="231F20"/>
                <w:sz w:val="14"/>
              </w:rPr>
              <w:t>право­ славној</w:t>
            </w:r>
            <w:r>
              <w:rPr>
                <w:color w:val="231F20"/>
                <w:spacing w:val="-1"/>
                <w:sz w:val="14"/>
              </w:rPr>
              <w:t xml:space="preserve"> </w:t>
            </w:r>
            <w:r>
              <w:rPr>
                <w:color w:val="231F20"/>
                <w:sz w:val="14"/>
              </w:rPr>
              <w:t>иконографији.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32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680"/>
        </w:trPr>
        <w:tc>
          <w:tcPr>
            <w:tcW w:w="1304" w:type="dxa"/>
          </w:tcPr>
          <w:p w:rsidR="00041039" w:rsidRDefault="001B26CB">
            <w:pPr>
              <w:pStyle w:val="TableParagraph"/>
              <w:spacing w:before="18"/>
              <w:ind w:left="56" w:right="37"/>
              <w:rPr>
                <w:sz w:val="14"/>
              </w:rPr>
            </w:pPr>
            <w:r>
              <w:rPr>
                <w:color w:val="231F20"/>
                <w:sz w:val="14"/>
              </w:rPr>
              <w:t>Хришћанско схва­ тање историје</w:t>
            </w:r>
          </w:p>
        </w:tc>
        <w:tc>
          <w:tcPr>
            <w:tcW w:w="1587" w:type="dxa"/>
          </w:tcPr>
          <w:p w:rsidR="00041039" w:rsidRDefault="001B26CB">
            <w:pPr>
              <w:pStyle w:val="TableParagraph"/>
              <w:numPr>
                <w:ilvl w:val="0"/>
                <w:numId w:val="1036"/>
              </w:numPr>
              <w:tabs>
                <w:tab w:val="left" w:pos="157"/>
              </w:tabs>
              <w:spacing w:before="8"/>
              <w:ind w:right="75"/>
              <w:rPr>
                <w:sz w:val="14"/>
              </w:rPr>
            </w:pPr>
            <w:r>
              <w:rPr>
                <w:color w:val="231F20"/>
                <w:sz w:val="14"/>
              </w:rPr>
              <w:t>Да ученици увиде раз­ лику између циклич­ ног и праволинијског схватања</w:t>
            </w:r>
            <w:r>
              <w:rPr>
                <w:color w:val="231F20"/>
                <w:spacing w:val="-2"/>
                <w:sz w:val="14"/>
              </w:rPr>
              <w:t xml:space="preserve"> </w:t>
            </w:r>
            <w:r>
              <w:rPr>
                <w:color w:val="231F20"/>
                <w:sz w:val="14"/>
              </w:rPr>
              <w:t>времена.</w:t>
            </w:r>
          </w:p>
        </w:tc>
        <w:tc>
          <w:tcPr>
            <w:tcW w:w="2551" w:type="dxa"/>
          </w:tcPr>
          <w:p w:rsidR="00041039" w:rsidRDefault="001B26CB">
            <w:pPr>
              <w:pStyle w:val="TableParagraph"/>
              <w:numPr>
                <w:ilvl w:val="0"/>
                <w:numId w:val="1035"/>
              </w:numPr>
              <w:tabs>
                <w:tab w:val="left" w:pos="157"/>
              </w:tabs>
              <w:spacing w:before="8"/>
              <w:ind w:right="44" w:hanging="99"/>
              <w:rPr>
                <w:sz w:val="14"/>
              </w:rPr>
            </w:pPr>
            <w:r>
              <w:rPr>
                <w:color w:val="231F20"/>
                <w:sz w:val="14"/>
              </w:rPr>
              <w:t>Да ученици ту разлику могу когнитив­ но</w:t>
            </w:r>
            <w:r>
              <w:rPr>
                <w:color w:val="231F20"/>
                <w:spacing w:val="-6"/>
                <w:sz w:val="14"/>
              </w:rPr>
              <w:t xml:space="preserve"> </w:t>
            </w:r>
            <w:r>
              <w:rPr>
                <w:color w:val="231F20"/>
                <w:sz w:val="14"/>
              </w:rPr>
              <w:t>да</w:t>
            </w:r>
            <w:r>
              <w:rPr>
                <w:color w:val="231F20"/>
                <w:spacing w:val="-6"/>
                <w:sz w:val="14"/>
              </w:rPr>
              <w:t xml:space="preserve"> </w:t>
            </w:r>
            <w:r>
              <w:rPr>
                <w:color w:val="231F20"/>
                <w:sz w:val="14"/>
              </w:rPr>
              <w:t>примене</w:t>
            </w:r>
            <w:r>
              <w:rPr>
                <w:color w:val="231F20"/>
                <w:spacing w:val="-6"/>
                <w:sz w:val="14"/>
              </w:rPr>
              <w:t xml:space="preserve"> </w:t>
            </w:r>
            <w:r>
              <w:rPr>
                <w:color w:val="231F20"/>
                <w:sz w:val="14"/>
              </w:rPr>
              <w:t>на</w:t>
            </w:r>
            <w:r>
              <w:rPr>
                <w:color w:val="231F20"/>
                <w:spacing w:val="-6"/>
                <w:sz w:val="14"/>
              </w:rPr>
              <w:t xml:space="preserve"> </w:t>
            </w:r>
            <w:r>
              <w:rPr>
                <w:color w:val="231F20"/>
                <w:sz w:val="14"/>
              </w:rPr>
              <w:t>схватање</w:t>
            </w:r>
            <w:r>
              <w:rPr>
                <w:color w:val="231F20"/>
                <w:spacing w:val="-6"/>
                <w:sz w:val="14"/>
              </w:rPr>
              <w:t xml:space="preserve"> </w:t>
            </w:r>
            <w:r>
              <w:rPr>
                <w:color w:val="231F20"/>
                <w:sz w:val="14"/>
              </w:rPr>
              <w:t>историјског тока времена као приближавања Царству</w:t>
            </w:r>
            <w:r>
              <w:rPr>
                <w:color w:val="231F20"/>
                <w:spacing w:val="-1"/>
                <w:sz w:val="14"/>
              </w:rPr>
              <w:t xml:space="preserve"> </w:t>
            </w:r>
            <w:r>
              <w:rPr>
                <w:color w:val="231F20"/>
                <w:sz w:val="14"/>
              </w:rPr>
              <w:t>Божијем;</w:t>
            </w:r>
          </w:p>
        </w:tc>
        <w:tc>
          <w:tcPr>
            <w:tcW w:w="2834" w:type="dxa"/>
          </w:tcPr>
          <w:p w:rsidR="00041039" w:rsidRDefault="001B26CB">
            <w:pPr>
              <w:pStyle w:val="TableParagraph"/>
              <w:numPr>
                <w:ilvl w:val="0"/>
                <w:numId w:val="1034"/>
              </w:numPr>
              <w:tabs>
                <w:tab w:val="left" w:pos="157"/>
              </w:tabs>
              <w:spacing w:before="8"/>
              <w:ind w:hanging="99"/>
              <w:rPr>
                <w:sz w:val="14"/>
              </w:rPr>
            </w:pPr>
            <w:r>
              <w:rPr>
                <w:color w:val="231F20"/>
                <w:sz w:val="14"/>
              </w:rPr>
              <w:t>Хришћанско схватање</w:t>
            </w:r>
            <w:r>
              <w:rPr>
                <w:color w:val="231F20"/>
                <w:spacing w:val="-3"/>
                <w:sz w:val="14"/>
              </w:rPr>
              <w:t xml:space="preserve"> </w:t>
            </w:r>
            <w:r>
              <w:rPr>
                <w:color w:val="231F20"/>
                <w:sz w:val="14"/>
              </w:rPr>
              <w:t>историје.</w:t>
            </w:r>
          </w:p>
        </w:tc>
        <w:tc>
          <w:tcPr>
            <w:tcW w:w="2267" w:type="dxa"/>
            <w:vMerge w:val="restart"/>
          </w:tcPr>
          <w:p w:rsidR="00041039" w:rsidRDefault="001B26CB">
            <w:pPr>
              <w:pStyle w:val="TableParagraph"/>
              <w:numPr>
                <w:ilvl w:val="0"/>
                <w:numId w:val="1033"/>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w:t>
            </w:r>
            <w:r>
              <w:rPr>
                <w:color w:val="231F20"/>
                <w:sz w:val="14"/>
              </w:rPr>
              <w:t>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033"/>
              </w:numPr>
              <w:tabs>
                <w:tab w:val="left" w:pos="158"/>
              </w:tabs>
              <w:spacing w:line="160" w:lineRule="exact"/>
              <w:ind w:hanging="99"/>
              <w:rPr>
                <w:b/>
                <w:sz w:val="14"/>
              </w:rPr>
            </w:pPr>
            <w:r>
              <w:rPr>
                <w:color w:val="231F20"/>
                <w:sz w:val="14"/>
              </w:rPr>
              <w:t xml:space="preserve">теоријска настава </w:t>
            </w:r>
            <w:r>
              <w:rPr>
                <w:b/>
                <w:color w:val="231F20"/>
                <w:sz w:val="14"/>
              </w:rPr>
              <w:t>(32</w:t>
            </w:r>
            <w:r>
              <w:rPr>
                <w:b/>
                <w:color w:val="231F20"/>
                <w:spacing w:val="-2"/>
                <w:sz w:val="14"/>
              </w:rPr>
              <w:t xml:space="preserve"> </w:t>
            </w:r>
            <w:r>
              <w:rPr>
                <w:b/>
                <w:color w:val="231F20"/>
                <w:sz w:val="14"/>
              </w:rPr>
              <w:t>часа)</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1033"/>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033"/>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033"/>
              </w:numPr>
              <w:tabs>
                <w:tab w:val="left" w:pos="158"/>
              </w:tabs>
              <w:spacing w:line="165" w:lineRule="exact"/>
              <w:ind w:hanging="99"/>
              <w:rPr>
                <w:sz w:val="14"/>
              </w:rPr>
            </w:pPr>
            <w:r>
              <w:rPr>
                <w:color w:val="231F20"/>
                <w:sz w:val="14"/>
              </w:rPr>
              <w:t>Хришћанско схватање</w:t>
            </w:r>
            <w:r>
              <w:rPr>
                <w:color w:val="231F20"/>
                <w:spacing w:val="-6"/>
                <w:sz w:val="14"/>
              </w:rPr>
              <w:t xml:space="preserve"> </w:t>
            </w:r>
            <w:r>
              <w:rPr>
                <w:color w:val="231F20"/>
                <w:sz w:val="14"/>
              </w:rPr>
              <w:t>историје</w:t>
            </w:r>
          </w:p>
          <w:p w:rsidR="00041039" w:rsidRDefault="001B26CB">
            <w:pPr>
              <w:pStyle w:val="TableParagraph"/>
              <w:spacing w:line="155" w:lineRule="exact"/>
              <w:ind w:left="157"/>
              <w:rPr>
                <w:b/>
                <w:sz w:val="14"/>
              </w:rPr>
            </w:pPr>
            <w:r>
              <w:rPr>
                <w:b/>
                <w:color w:val="231F20"/>
                <w:sz w:val="14"/>
              </w:rPr>
              <w:t>(5 часова)</w:t>
            </w:r>
          </w:p>
          <w:p w:rsidR="00041039" w:rsidRDefault="001B26CB">
            <w:pPr>
              <w:pStyle w:val="TableParagraph"/>
              <w:numPr>
                <w:ilvl w:val="0"/>
                <w:numId w:val="1033"/>
              </w:numPr>
              <w:tabs>
                <w:tab w:val="left" w:pos="158"/>
              </w:tabs>
              <w:spacing w:line="237" w:lineRule="auto"/>
              <w:ind w:right="122" w:hanging="99"/>
              <w:rPr>
                <w:b/>
                <w:sz w:val="14"/>
              </w:rPr>
            </w:pPr>
            <w:r>
              <w:rPr>
                <w:color w:val="231F20"/>
                <w:sz w:val="14"/>
              </w:rPr>
              <w:t xml:space="preserve">Есхатон ­ </w:t>
            </w:r>
            <w:r>
              <w:rPr>
                <w:color w:val="231F20"/>
                <w:spacing w:val="-3"/>
                <w:sz w:val="14"/>
              </w:rPr>
              <w:t xml:space="preserve">будуће </w:t>
            </w:r>
            <w:r>
              <w:rPr>
                <w:color w:val="231F20"/>
                <w:sz w:val="14"/>
              </w:rPr>
              <w:t>Царство</w:t>
            </w:r>
            <w:r>
              <w:rPr>
                <w:color w:val="231F20"/>
                <w:spacing w:val="-16"/>
                <w:sz w:val="14"/>
              </w:rPr>
              <w:t xml:space="preserve"> </w:t>
            </w:r>
            <w:r>
              <w:rPr>
                <w:color w:val="231F20"/>
                <w:sz w:val="14"/>
              </w:rPr>
              <w:t xml:space="preserve">Божије као узрок Цркве и историје </w:t>
            </w:r>
            <w:r>
              <w:rPr>
                <w:b/>
                <w:color w:val="231F20"/>
                <w:sz w:val="14"/>
              </w:rPr>
              <w:t>(3 часа)</w:t>
            </w:r>
          </w:p>
          <w:p w:rsidR="00041039" w:rsidRDefault="001B26CB">
            <w:pPr>
              <w:pStyle w:val="TableParagraph"/>
              <w:numPr>
                <w:ilvl w:val="0"/>
                <w:numId w:val="1033"/>
              </w:numPr>
              <w:tabs>
                <w:tab w:val="left" w:pos="158"/>
              </w:tabs>
              <w:spacing w:line="237" w:lineRule="auto"/>
              <w:ind w:right="126" w:hanging="99"/>
              <w:rPr>
                <w:b/>
                <w:sz w:val="14"/>
              </w:rPr>
            </w:pPr>
            <w:r>
              <w:rPr>
                <w:color w:val="231F20"/>
                <w:sz w:val="14"/>
              </w:rPr>
              <w:t>Смрт природе као разједињење, распадање и смрт личности као прекид заједнице са личношћу за коју смо били везани, коју</w:t>
            </w:r>
            <w:r>
              <w:rPr>
                <w:color w:val="231F20"/>
                <w:spacing w:val="-22"/>
                <w:sz w:val="14"/>
              </w:rPr>
              <w:t xml:space="preserve"> </w:t>
            </w:r>
            <w:r>
              <w:rPr>
                <w:color w:val="231F20"/>
                <w:sz w:val="14"/>
              </w:rPr>
              <w:t xml:space="preserve">смо највише волели </w:t>
            </w:r>
            <w:r>
              <w:rPr>
                <w:b/>
                <w:color w:val="231F20"/>
                <w:sz w:val="14"/>
              </w:rPr>
              <w:t>(4</w:t>
            </w:r>
            <w:r>
              <w:rPr>
                <w:b/>
                <w:color w:val="231F20"/>
                <w:spacing w:val="-4"/>
                <w:sz w:val="14"/>
              </w:rPr>
              <w:t xml:space="preserve"> </w:t>
            </w:r>
            <w:r>
              <w:rPr>
                <w:b/>
                <w:color w:val="231F20"/>
                <w:sz w:val="14"/>
              </w:rPr>
              <w:t>часа)</w:t>
            </w:r>
          </w:p>
          <w:p w:rsidR="00041039" w:rsidRDefault="001B26CB">
            <w:pPr>
              <w:pStyle w:val="TableParagraph"/>
              <w:numPr>
                <w:ilvl w:val="0"/>
                <w:numId w:val="1033"/>
              </w:numPr>
              <w:tabs>
                <w:tab w:val="left" w:pos="158"/>
              </w:tabs>
              <w:spacing w:line="237" w:lineRule="auto"/>
              <w:ind w:right="45" w:hanging="99"/>
              <w:rPr>
                <w:sz w:val="14"/>
              </w:rPr>
            </w:pPr>
            <w:r>
              <w:rPr>
                <w:color w:val="231F20"/>
                <w:sz w:val="14"/>
              </w:rPr>
              <w:t>Литургија нам открива и циљ</w:t>
            </w:r>
            <w:r>
              <w:rPr>
                <w:color w:val="231F20"/>
                <w:spacing w:val="-18"/>
                <w:sz w:val="14"/>
              </w:rPr>
              <w:t xml:space="preserve"> </w:t>
            </w:r>
            <w:r>
              <w:rPr>
                <w:color w:val="231F20"/>
                <w:sz w:val="14"/>
              </w:rPr>
              <w:t>због кога је Бог створио свет и</w:t>
            </w:r>
            <w:r>
              <w:rPr>
                <w:color w:val="231F20"/>
                <w:spacing w:val="-8"/>
                <w:sz w:val="14"/>
              </w:rPr>
              <w:t xml:space="preserve"> </w:t>
            </w:r>
            <w:r>
              <w:rPr>
                <w:color w:val="231F20"/>
                <w:spacing w:val="-3"/>
                <w:sz w:val="14"/>
              </w:rPr>
              <w:t>људе</w:t>
            </w:r>
          </w:p>
          <w:p w:rsidR="00041039" w:rsidRDefault="001B26CB">
            <w:pPr>
              <w:pStyle w:val="TableParagraph"/>
              <w:spacing w:line="155" w:lineRule="exact"/>
              <w:ind w:left="157"/>
              <w:rPr>
                <w:b/>
                <w:sz w:val="14"/>
              </w:rPr>
            </w:pPr>
            <w:r>
              <w:rPr>
                <w:b/>
                <w:color w:val="231F20"/>
                <w:sz w:val="14"/>
              </w:rPr>
              <w:t>(2 часа)</w:t>
            </w:r>
          </w:p>
          <w:p w:rsidR="00041039" w:rsidRDefault="001B26CB">
            <w:pPr>
              <w:pStyle w:val="TableParagraph"/>
              <w:numPr>
                <w:ilvl w:val="0"/>
                <w:numId w:val="1033"/>
              </w:numPr>
              <w:tabs>
                <w:tab w:val="left" w:pos="158"/>
              </w:tabs>
              <w:spacing w:line="237" w:lineRule="auto"/>
              <w:ind w:right="313" w:hanging="99"/>
              <w:rPr>
                <w:b/>
                <w:sz w:val="14"/>
              </w:rPr>
            </w:pPr>
            <w:r>
              <w:rPr>
                <w:color w:val="231F20"/>
                <w:sz w:val="14"/>
              </w:rPr>
              <w:t>Помесна и васељенска</w:t>
            </w:r>
            <w:r>
              <w:rPr>
                <w:color w:val="231F20"/>
                <w:spacing w:val="-11"/>
                <w:sz w:val="14"/>
              </w:rPr>
              <w:t xml:space="preserve"> </w:t>
            </w:r>
            <w:r>
              <w:rPr>
                <w:color w:val="231F20"/>
                <w:sz w:val="14"/>
              </w:rPr>
              <w:t xml:space="preserve">Црква, њихов однос </w:t>
            </w:r>
            <w:r>
              <w:rPr>
                <w:b/>
                <w:color w:val="231F20"/>
                <w:sz w:val="14"/>
              </w:rPr>
              <w:t>(4</w:t>
            </w:r>
            <w:r>
              <w:rPr>
                <w:b/>
                <w:color w:val="231F20"/>
                <w:spacing w:val="-3"/>
                <w:sz w:val="14"/>
              </w:rPr>
              <w:t xml:space="preserve"> </w:t>
            </w:r>
            <w:r>
              <w:rPr>
                <w:b/>
                <w:color w:val="231F20"/>
                <w:sz w:val="14"/>
              </w:rPr>
              <w:t>часа)</w:t>
            </w:r>
          </w:p>
          <w:p w:rsidR="00041039" w:rsidRDefault="001B26CB">
            <w:pPr>
              <w:pStyle w:val="TableParagraph"/>
              <w:numPr>
                <w:ilvl w:val="0"/>
                <w:numId w:val="1033"/>
              </w:numPr>
              <w:tabs>
                <w:tab w:val="left" w:pos="158"/>
              </w:tabs>
              <w:spacing w:line="160" w:lineRule="exact"/>
              <w:ind w:right="148" w:hanging="99"/>
              <w:rPr>
                <w:b/>
                <w:sz w:val="14"/>
              </w:rPr>
            </w:pPr>
            <w:r>
              <w:rPr>
                <w:color w:val="231F20"/>
                <w:sz w:val="14"/>
              </w:rPr>
              <w:t>Јединство Цркве (на помесном</w:t>
            </w:r>
            <w:r>
              <w:rPr>
                <w:color w:val="231F20"/>
                <w:spacing w:val="-13"/>
                <w:sz w:val="14"/>
              </w:rPr>
              <w:t xml:space="preserve"> </w:t>
            </w:r>
            <w:r>
              <w:rPr>
                <w:color w:val="231F20"/>
                <w:sz w:val="14"/>
              </w:rPr>
              <w:t xml:space="preserve">и васељенском нивоу) </w:t>
            </w:r>
            <w:r>
              <w:rPr>
                <w:b/>
                <w:color w:val="231F20"/>
                <w:sz w:val="14"/>
              </w:rPr>
              <w:t>(6</w:t>
            </w:r>
            <w:r>
              <w:rPr>
                <w:b/>
                <w:color w:val="231F20"/>
                <w:spacing w:val="-16"/>
                <w:sz w:val="14"/>
              </w:rPr>
              <w:t xml:space="preserve"> </w:t>
            </w:r>
            <w:r>
              <w:rPr>
                <w:b/>
                <w:color w:val="231F20"/>
                <w:sz w:val="14"/>
              </w:rPr>
              <w:t>часова)</w:t>
            </w:r>
          </w:p>
          <w:p w:rsidR="00041039" w:rsidRDefault="001B26CB">
            <w:pPr>
              <w:pStyle w:val="TableParagraph"/>
              <w:numPr>
                <w:ilvl w:val="0"/>
                <w:numId w:val="1033"/>
              </w:numPr>
              <w:tabs>
                <w:tab w:val="left" w:pos="158"/>
              </w:tabs>
              <w:spacing w:line="158" w:lineRule="exact"/>
              <w:ind w:hanging="99"/>
              <w:rPr>
                <w:sz w:val="14"/>
              </w:rPr>
            </w:pPr>
            <w:r>
              <w:rPr>
                <w:color w:val="231F20"/>
                <w:sz w:val="14"/>
              </w:rPr>
              <w:t>Теологија православне</w:t>
            </w:r>
            <w:r>
              <w:rPr>
                <w:color w:val="231F20"/>
                <w:spacing w:val="-14"/>
                <w:sz w:val="14"/>
              </w:rPr>
              <w:t xml:space="preserve"> </w:t>
            </w:r>
            <w:r>
              <w:rPr>
                <w:color w:val="231F20"/>
                <w:sz w:val="14"/>
              </w:rPr>
              <w:t>уметности</w:t>
            </w:r>
          </w:p>
          <w:p w:rsidR="00041039" w:rsidRDefault="001B26CB">
            <w:pPr>
              <w:pStyle w:val="TableParagraph"/>
              <w:spacing w:line="155" w:lineRule="exact"/>
              <w:ind w:left="157"/>
              <w:rPr>
                <w:b/>
                <w:sz w:val="14"/>
              </w:rPr>
            </w:pPr>
            <w:r>
              <w:rPr>
                <w:b/>
                <w:color w:val="231F20"/>
                <w:sz w:val="14"/>
              </w:rPr>
              <w:t>(6 часова)</w:t>
            </w:r>
          </w:p>
          <w:p w:rsidR="00041039" w:rsidRDefault="001B26CB">
            <w:pPr>
              <w:pStyle w:val="TableParagraph"/>
              <w:numPr>
                <w:ilvl w:val="0"/>
                <w:numId w:val="1033"/>
              </w:numPr>
              <w:tabs>
                <w:tab w:val="left" w:pos="158"/>
              </w:tabs>
              <w:spacing w:line="237" w:lineRule="auto"/>
              <w:ind w:right="296" w:hanging="99"/>
              <w:rPr>
                <w:b/>
                <w:sz w:val="14"/>
              </w:rPr>
            </w:pPr>
            <w:r>
              <w:rPr>
                <w:color w:val="231F20"/>
                <w:sz w:val="14"/>
              </w:rPr>
              <w:t>Црква и свет (њихов однос)</w:t>
            </w:r>
            <w:r>
              <w:rPr>
                <w:color w:val="231F20"/>
                <w:spacing w:val="-15"/>
                <w:sz w:val="14"/>
              </w:rPr>
              <w:t xml:space="preserve"> </w:t>
            </w:r>
            <w:r>
              <w:rPr>
                <w:b/>
                <w:color w:val="231F20"/>
                <w:sz w:val="14"/>
              </w:rPr>
              <w:t>(2 часа)</w:t>
            </w:r>
          </w:p>
        </w:tc>
      </w:tr>
      <w:tr w:rsidR="00041039">
        <w:trPr>
          <w:trHeight w:val="680"/>
        </w:trPr>
        <w:tc>
          <w:tcPr>
            <w:tcW w:w="1304" w:type="dxa"/>
          </w:tcPr>
          <w:p w:rsidR="00041039" w:rsidRDefault="001B26CB">
            <w:pPr>
              <w:pStyle w:val="TableParagraph"/>
              <w:spacing w:before="19"/>
              <w:ind w:left="56" w:right="137"/>
              <w:rPr>
                <w:sz w:val="14"/>
              </w:rPr>
            </w:pPr>
            <w:r>
              <w:rPr>
                <w:color w:val="231F20"/>
                <w:sz w:val="14"/>
              </w:rPr>
              <w:t>Есхатон ­ будуће Царство Божије као узрок Цркве и историје</w:t>
            </w:r>
          </w:p>
        </w:tc>
        <w:tc>
          <w:tcPr>
            <w:tcW w:w="1587" w:type="dxa"/>
          </w:tcPr>
          <w:p w:rsidR="00041039" w:rsidRDefault="001B26CB">
            <w:pPr>
              <w:pStyle w:val="TableParagraph"/>
              <w:numPr>
                <w:ilvl w:val="0"/>
                <w:numId w:val="1032"/>
              </w:numPr>
              <w:tabs>
                <w:tab w:val="left" w:pos="157"/>
              </w:tabs>
              <w:spacing w:before="9"/>
              <w:ind w:right="201"/>
              <w:rPr>
                <w:sz w:val="14"/>
              </w:rPr>
            </w:pPr>
            <w:r>
              <w:rPr>
                <w:color w:val="231F20"/>
                <w:sz w:val="14"/>
              </w:rPr>
              <w:t xml:space="preserve">Да се </w:t>
            </w:r>
            <w:r>
              <w:rPr>
                <w:color w:val="231F20"/>
                <w:spacing w:val="-5"/>
                <w:sz w:val="14"/>
              </w:rPr>
              <w:t xml:space="preserve">код </w:t>
            </w:r>
            <w:r>
              <w:rPr>
                <w:color w:val="231F20"/>
                <w:sz w:val="14"/>
              </w:rPr>
              <w:t xml:space="preserve">ученика изгради свест о </w:t>
            </w:r>
            <w:r>
              <w:rPr>
                <w:color w:val="231F20"/>
                <w:spacing w:val="-3"/>
                <w:sz w:val="14"/>
              </w:rPr>
              <w:t xml:space="preserve">Есхатону, </w:t>
            </w:r>
            <w:r>
              <w:rPr>
                <w:color w:val="231F20"/>
                <w:sz w:val="14"/>
              </w:rPr>
              <w:t>као правој истини</w:t>
            </w:r>
            <w:r>
              <w:rPr>
                <w:color w:val="231F20"/>
                <w:spacing w:val="-2"/>
                <w:sz w:val="14"/>
              </w:rPr>
              <w:t xml:space="preserve"> </w:t>
            </w:r>
            <w:r>
              <w:rPr>
                <w:color w:val="231F20"/>
                <w:sz w:val="14"/>
              </w:rPr>
              <w:t>света.</w:t>
            </w:r>
          </w:p>
        </w:tc>
        <w:tc>
          <w:tcPr>
            <w:tcW w:w="2551" w:type="dxa"/>
          </w:tcPr>
          <w:p w:rsidR="00041039" w:rsidRDefault="001B26CB">
            <w:pPr>
              <w:pStyle w:val="TableParagraph"/>
              <w:numPr>
                <w:ilvl w:val="0"/>
                <w:numId w:val="1031"/>
              </w:numPr>
              <w:tabs>
                <w:tab w:val="left" w:pos="157"/>
              </w:tabs>
              <w:spacing w:before="9"/>
              <w:ind w:right="152" w:hanging="99"/>
              <w:rPr>
                <w:sz w:val="14"/>
              </w:rPr>
            </w:pPr>
            <w:r>
              <w:rPr>
                <w:color w:val="231F20"/>
                <w:sz w:val="14"/>
              </w:rPr>
              <w:t>Да ученици схвате да је Есхатон</w:t>
            </w:r>
            <w:r>
              <w:rPr>
                <w:color w:val="231F20"/>
                <w:spacing w:val="-21"/>
                <w:sz w:val="14"/>
              </w:rPr>
              <w:t xml:space="preserve"> </w:t>
            </w:r>
            <w:r>
              <w:rPr>
                <w:color w:val="231F20"/>
                <w:sz w:val="14"/>
              </w:rPr>
              <w:t>сми­ сао, крај и испуњење</w:t>
            </w:r>
            <w:r>
              <w:rPr>
                <w:color w:val="231F20"/>
                <w:spacing w:val="-5"/>
                <w:sz w:val="14"/>
              </w:rPr>
              <w:t xml:space="preserve"> </w:t>
            </w:r>
            <w:r>
              <w:rPr>
                <w:color w:val="231F20"/>
                <w:sz w:val="14"/>
              </w:rPr>
              <w:t>историје;</w:t>
            </w:r>
          </w:p>
        </w:tc>
        <w:tc>
          <w:tcPr>
            <w:tcW w:w="2834" w:type="dxa"/>
          </w:tcPr>
          <w:p w:rsidR="00041039" w:rsidRDefault="001B26CB">
            <w:pPr>
              <w:pStyle w:val="TableParagraph"/>
              <w:numPr>
                <w:ilvl w:val="0"/>
                <w:numId w:val="1030"/>
              </w:numPr>
              <w:tabs>
                <w:tab w:val="left" w:pos="157"/>
              </w:tabs>
              <w:spacing w:before="9"/>
              <w:ind w:right="88" w:hanging="99"/>
              <w:rPr>
                <w:sz w:val="14"/>
              </w:rPr>
            </w:pPr>
            <w:r>
              <w:rPr>
                <w:color w:val="231F20"/>
                <w:sz w:val="14"/>
              </w:rPr>
              <w:t xml:space="preserve">Есхатон ­ </w:t>
            </w:r>
            <w:r>
              <w:rPr>
                <w:color w:val="231F20"/>
                <w:spacing w:val="-3"/>
                <w:sz w:val="14"/>
              </w:rPr>
              <w:t xml:space="preserve">будуће </w:t>
            </w:r>
            <w:r>
              <w:rPr>
                <w:color w:val="231F20"/>
                <w:sz w:val="14"/>
              </w:rPr>
              <w:t>Царство Божије као</w:t>
            </w:r>
            <w:r>
              <w:rPr>
                <w:color w:val="231F20"/>
                <w:spacing w:val="-19"/>
                <w:sz w:val="14"/>
              </w:rPr>
              <w:t xml:space="preserve"> </w:t>
            </w:r>
            <w:r>
              <w:rPr>
                <w:color w:val="231F20"/>
                <w:sz w:val="14"/>
              </w:rPr>
              <w:t>узрок Цркве и</w:t>
            </w:r>
            <w:r>
              <w:rPr>
                <w:color w:val="231F20"/>
                <w:spacing w:val="-2"/>
                <w:sz w:val="14"/>
              </w:rPr>
              <w:t xml:space="preserve"> </w:t>
            </w:r>
            <w:r>
              <w:rPr>
                <w:color w:val="231F20"/>
                <w:sz w:val="14"/>
              </w:rPr>
              <w:t>историје.</w:t>
            </w:r>
          </w:p>
        </w:tc>
        <w:tc>
          <w:tcPr>
            <w:tcW w:w="2267" w:type="dxa"/>
            <w:vMerge/>
            <w:tcBorders>
              <w:top w:val="nil"/>
            </w:tcBorders>
          </w:tcPr>
          <w:p w:rsidR="00041039" w:rsidRDefault="00041039">
            <w:pPr>
              <w:rPr>
                <w:sz w:val="2"/>
                <w:szCs w:val="2"/>
              </w:rPr>
            </w:pPr>
          </w:p>
        </w:tc>
      </w:tr>
      <w:tr w:rsidR="00041039">
        <w:trPr>
          <w:trHeight w:val="1480"/>
        </w:trPr>
        <w:tc>
          <w:tcPr>
            <w:tcW w:w="1304" w:type="dxa"/>
          </w:tcPr>
          <w:p w:rsidR="00041039" w:rsidRDefault="001B26CB">
            <w:pPr>
              <w:pStyle w:val="TableParagraph"/>
              <w:spacing w:before="19"/>
              <w:ind w:left="56" w:right="182"/>
              <w:rPr>
                <w:sz w:val="14"/>
              </w:rPr>
            </w:pPr>
            <w:r>
              <w:rPr>
                <w:color w:val="231F20"/>
                <w:sz w:val="14"/>
              </w:rPr>
              <w:t>Смрт природе као разједињење, распадање и</w:t>
            </w:r>
            <w:r>
              <w:rPr>
                <w:color w:val="231F20"/>
                <w:spacing w:val="-3"/>
                <w:sz w:val="14"/>
              </w:rPr>
              <w:t xml:space="preserve"> </w:t>
            </w:r>
            <w:r>
              <w:rPr>
                <w:color w:val="231F20"/>
                <w:sz w:val="14"/>
              </w:rPr>
              <w:t>смрт личности</w:t>
            </w:r>
            <w:r>
              <w:rPr>
                <w:color w:val="231F20"/>
                <w:spacing w:val="-1"/>
                <w:sz w:val="14"/>
              </w:rPr>
              <w:t xml:space="preserve"> </w:t>
            </w:r>
            <w:r>
              <w:rPr>
                <w:color w:val="231F20"/>
                <w:sz w:val="14"/>
              </w:rPr>
              <w:t>као</w:t>
            </w:r>
          </w:p>
          <w:p w:rsidR="00041039" w:rsidRDefault="001B26CB">
            <w:pPr>
              <w:pStyle w:val="TableParagraph"/>
              <w:spacing w:line="237" w:lineRule="auto"/>
              <w:ind w:left="56" w:right="25"/>
              <w:rPr>
                <w:sz w:val="14"/>
              </w:rPr>
            </w:pPr>
            <w:r>
              <w:rPr>
                <w:color w:val="231F20"/>
                <w:sz w:val="14"/>
              </w:rPr>
              <w:t>прекид заједнице са личношћу за коју смо били везани, коју смо највише волели</w:t>
            </w:r>
          </w:p>
        </w:tc>
        <w:tc>
          <w:tcPr>
            <w:tcW w:w="1587" w:type="dxa"/>
          </w:tcPr>
          <w:p w:rsidR="00041039" w:rsidRDefault="001B26CB">
            <w:pPr>
              <w:pStyle w:val="TableParagraph"/>
              <w:numPr>
                <w:ilvl w:val="0"/>
                <w:numId w:val="1029"/>
              </w:numPr>
              <w:tabs>
                <w:tab w:val="left" w:pos="157"/>
              </w:tabs>
              <w:spacing w:before="9"/>
              <w:ind w:right="44"/>
              <w:rPr>
                <w:sz w:val="14"/>
              </w:rPr>
            </w:pPr>
            <w:r>
              <w:rPr>
                <w:color w:val="231F20"/>
                <w:sz w:val="14"/>
              </w:rPr>
              <w:t xml:space="preserve">Да се </w:t>
            </w:r>
            <w:r>
              <w:rPr>
                <w:color w:val="231F20"/>
                <w:spacing w:val="-5"/>
                <w:sz w:val="14"/>
              </w:rPr>
              <w:t xml:space="preserve">код </w:t>
            </w:r>
            <w:r>
              <w:rPr>
                <w:color w:val="231F20"/>
                <w:sz w:val="14"/>
              </w:rPr>
              <w:t>ученика изгради свест да смрт није прекид постојања личности, већ прекид постојања свега</w:t>
            </w:r>
            <w:r>
              <w:rPr>
                <w:color w:val="231F20"/>
                <w:spacing w:val="-7"/>
                <w:sz w:val="14"/>
              </w:rPr>
              <w:t xml:space="preserve"> </w:t>
            </w:r>
            <w:r>
              <w:rPr>
                <w:color w:val="231F20"/>
                <w:sz w:val="14"/>
              </w:rPr>
              <w:t>другог за</w:t>
            </w:r>
            <w:r>
              <w:rPr>
                <w:color w:val="231F20"/>
                <w:spacing w:val="-2"/>
                <w:sz w:val="14"/>
              </w:rPr>
              <w:t xml:space="preserve"> </w:t>
            </w:r>
            <w:r>
              <w:rPr>
                <w:color w:val="231F20"/>
                <w:sz w:val="14"/>
              </w:rPr>
              <w:t>личност</w:t>
            </w:r>
            <w:r>
              <w:rPr>
                <w:color w:val="231F20"/>
                <w:sz w:val="14"/>
              </w:rPr>
              <w:t>.</w:t>
            </w:r>
          </w:p>
        </w:tc>
        <w:tc>
          <w:tcPr>
            <w:tcW w:w="2551" w:type="dxa"/>
          </w:tcPr>
          <w:p w:rsidR="00041039" w:rsidRDefault="001B26CB">
            <w:pPr>
              <w:pStyle w:val="TableParagraph"/>
              <w:numPr>
                <w:ilvl w:val="0"/>
                <w:numId w:val="1028"/>
              </w:numPr>
              <w:tabs>
                <w:tab w:val="left" w:pos="157"/>
              </w:tabs>
              <w:spacing w:before="9"/>
              <w:ind w:right="170" w:hanging="99"/>
              <w:rPr>
                <w:sz w:val="14"/>
              </w:rPr>
            </w:pPr>
            <w:r>
              <w:rPr>
                <w:color w:val="231F20"/>
                <w:sz w:val="14"/>
              </w:rPr>
              <w:t>Да ученици љубав према другом до­ живе као основни начин</w:t>
            </w:r>
            <w:r>
              <w:rPr>
                <w:color w:val="231F20"/>
                <w:spacing w:val="-9"/>
                <w:sz w:val="14"/>
              </w:rPr>
              <w:t xml:space="preserve"> </w:t>
            </w:r>
            <w:r>
              <w:rPr>
                <w:color w:val="231F20"/>
                <w:sz w:val="14"/>
              </w:rPr>
              <w:t>устројавања своје свести и здраве</w:t>
            </w:r>
            <w:r>
              <w:rPr>
                <w:color w:val="231F20"/>
                <w:spacing w:val="-3"/>
                <w:sz w:val="14"/>
              </w:rPr>
              <w:t xml:space="preserve"> </w:t>
            </w:r>
            <w:r>
              <w:rPr>
                <w:color w:val="231F20"/>
                <w:sz w:val="14"/>
              </w:rPr>
              <w:t>личности;</w:t>
            </w:r>
          </w:p>
        </w:tc>
        <w:tc>
          <w:tcPr>
            <w:tcW w:w="2834" w:type="dxa"/>
          </w:tcPr>
          <w:p w:rsidR="00041039" w:rsidRDefault="001B26CB">
            <w:pPr>
              <w:pStyle w:val="TableParagraph"/>
              <w:numPr>
                <w:ilvl w:val="0"/>
                <w:numId w:val="1027"/>
              </w:numPr>
              <w:tabs>
                <w:tab w:val="left" w:pos="158"/>
              </w:tabs>
              <w:spacing w:before="9"/>
              <w:ind w:right="50"/>
              <w:rPr>
                <w:sz w:val="14"/>
              </w:rPr>
            </w:pPr>
            <w:r>
              <w:rPr>
                <w:color w:val="231F20"/>
                <w:sz w:val="14"/>
              </w:rPr>
              <w:t>Смрт природе као разједињење, распадање и смрт личности као прекид заједнице са личношћу</w:t>
            </w:r>
            <w:r>
              <w:rPr>
                <w:color w:val="231F20"/>
                <w:spacing w:val="-5"/>
                <w:sz w:val="14"/>
              </w:rPr>
              <w:t xml:space="preserve"> </w:t>
            </w:r>
            <w:r>
              <w:rPr>
                <w:color w:val="231F20"/>
                <w:sz w:val="14"/>
              </w:rPr>
              <w:t>за</w:t>
            </w:r>
            <w:r>
              <w:rPr>
                <w:color w:val="231F20"/>
                <w:spacing w:val="-5"/>
                <w:sz w:val="14"/>
              </w:rPr>
              <w:t xml:space="preserve"> </w:t>
            </w:r>
            <w:r>
              <w:rPr>
                <w:color w:val="231F20"/>
                <w:sz w:val="14"/>
              </w:rPr>
              <w:t>коју</w:t>
            </w:r>
            <w:r>
              <w:rPr>
                <w:color w:val="231F20"/>
                <w:spacing w:val="-4"/>
                <w:sz w:val="14"/>
              </w:rPr>
              <w:t xml:space="preserve"> </w:t>
            </w:r>
            <w:r>
              <w:rPr>
                <w:color w:val="231F20"/>
                <w:sz w:val="14"/>
              </w:rPr>
              <w:t>смо</w:t>
            </w:r>
            <w:r>
              <w:rPr>
                <w:color w:val="231F20"/>
                <w:spacing w:val="-4"/>
                <w:sz w:val="14"/>
              </w:rPr>
              <w:t xml:space="preserve"> </w:t>
            </w:r>
            <w:r>
              <w:rPr>
                <w:color w:val="231F20"/>
                <w:sz w:val="14"/>
              </w:rPr>
              <w:t>били</w:t>
            </w:r>
            <w:r>
              <w:rPr>
                <w:color w:val="231F20"/>
                <w:spacing w:val="-4"/>
                <w:sz w:val="14"/>
              </w:rPr>
              <w:t xml:space="preserve"> </w:t>
            </w:r>
            <w:r>
              <w:rPr>
                <w:color w:val="231F20"/>
                <w:sz w:val="14"/>
              </w:rPr>
              <w:t>везани,</w:t>
            </w:r>
            <w:r>
              <w:rPr>
                <w:color w:val="231F20"/>
                <w:spacing w:val="-5"/>
                <w:sz w:val="14"/>
              </w:rPr>
              <w:t xml:space="preserve"> </w:t>
            </w:r>
            <w:r>
              <w:rPr>
                <w:color w:val="231F20"/>
                <w:sz w:val="14"/>
              </w:rPr>
              <w:t>коју</w:t>
            </w:r>
            <w:r>
              <w:rPr>
                <w:color w:val="231F20"/>
                <w:spacing w:val="-4"/>
                <w:sz w:val="14"/>
              </w:rPr>
              <w:t xml:space="preserve"> </w:t>
            </w:r>
            <w:r>
              <w:rPr>
                <w:color w:val="231F20"/>
                <w:sz w:val="14"/>
              </w:rPr>
              <w:t>смо највише</w:t>
            </w:r>
            <w:r>
              <w:rPr>
                <w:color w:val="231F20"/>
                <w:spacing w:val="-2"/>
                <w:sz w:val="14"/>
              </w:rPr>
              <w:t xml:space="preserve"> </w:t>
            </w:r>
            <w:r>
              <w:rPr>
                <w:color w:val="231F20"/>
                <w:sz w:val="14"/>
              </w:rPr>
              <w:t>волели.</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line="237" w:lineRule="auto"/>
              <w:ind w:left="57" w:right="37"/>
              <w:rPr>
                <w:sz w:val="14"/>
              </w:rPr>
            </w:pPr>
            <w:r>
              <w:rPr>
                <w:color w:val="231F20"/>
                <w:sz w:val="14"/>
              </w:rPr>
              <w:t>Литургија нам открива и циљ због кога је Бог створио свет и људе</w:t>
            </w:r>
          </w:p>
        </w:tc>
        <w:tc>
          <w:tcPr>
            <w:tcW w:w="1587" w:type="dxa"/>
          </w:tcPr>
          <w:p w:rsidR="00041039" w:rsidRDefault="001B26CB">
            <w:pPr>
              <w:pStyle w:val="TableParagraph"/>
              <w:numPr>
                <w:ilvl w:val="0"/>
                <w:numId w:val="1026"/>
              </w:numPr>
              <w:tabs>
                <w:tab w:val="left" w:pos="157"/>
              </w:tabs>
              <w:spacing w:before="11" w:line="237" w:lineRule="auto"/>
              <w:ind w:right="179" w:hanging="99"/>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Литургији као</w:t>
            </w:r>
            <w:r>
              <w:rPr>
                <w:color w:val="231F20"/>
                <w:spacing w:val="-15"/>
                <w:sz w:val="14"/>
              </w:rPr>
              <w:t xml:space="preserve"> </w:t>
            </w:r>
            <w:r>
              <w:rPr>
                <w:color w:val="231F20"/>
                <w:sz w:val="14"/>
              </w:rPr>
              <w:t>икони Царства</w:t>
            </w:r>
            <w:r>
              <w:rPr>
                <w:color w:val="231F20"/>
                <w:spacing w:val="-1"/>
                <w:sz w:val="14"/>
              </w:rPr>
              <w:t xml:space="preserve"> </w:t>
            </w:r>
            <w:r>
              <w:rPr>
                <w:color w:val="231F20"/>
                <w:spacing w:val="-3"/>
                <w:sz w:val="14"/>
              </w:rPr>
              <w:t>Божијег.</w:t>
            </w:r>
          </w:p>
        </w:tc>
        <w:tc>
          <w:tcPr>
            <w:tcW w:w="2551" w:type="dxa"/>
          </w:tcPr>
          <w:p w:rsidR="00041039" w:rsidRDefault="001B26CB">
            <w:pPr>
              <w:pStyle w:val="TableParagraph"/>
              <w:numPr>
                <w:ilvl w:val="0"/>
                <w:numId w:val="1025"/>
              </w:numPr>
              <w:tabs>
                <w:tab w:val="left" w:pos="157"/>
              </w:tabs>
              <w:spacing w:before="9"/>
              <w:ind w:right="155" w:hanging="99"/>
              <w:rPr>
                <w:sz w:val="14"/>
              </w:rPr>
            </w:pPr>
            <w:r>
              <w:rPr>
                <w:color w:val="231F20"/>
                <w:sz w:val="14"/>
              </w:rPr>
              <w:t>Да ученици доживе Литургију као најнепосреднији начин</w:t>
            </w:r>
            <w:r>
              <w:rPr>
                <w:color w:val="231F20"/>
                <w:spacing w:val="-22"/>
                <w:sz w:val="14"/>
              </w:rPr>
              <w:t xml:space="preserve"> </w:t>
            </w:r>
            <w:r>
              <w:rPr>
                <w:color w:val="231F20"/>
                <w:sz w:val="14"/>
              </w:rPr>
              <w:t>комуникације са Богом и заједничарења са</w:t>
            </w:r>
            <w:r>
              <w:rPr>
                <w:color w:val="231F20"/>
                <w:spacing w:val="-14"/>
                <w:sz w:val="14"/>
              </w:rPr>
              <w:t xml:space="preserve"> </w:t>
            </w:r>
            <w:r>
              <w:rPr>
                <w:color w:val="231F20"/>
                <w:sz w:val="14"/>
              </w:rPr>
              <w:t>Богом;</w:t>
            </w:r>
          </w:p>
        </w:tc>
        <w:tc>
          <w:tcPr>
            <w:tcW w:w="2834" w:type="dxa"/>
          </w:tcPr>
          <w:p w:rsidR="00041039" w:rsidRDefault="001B26CB">
            <w:pPr>
              <w:pStyle w:val="TableParagraph"/>
              <w:numPr>
                <w:ilvl w:val="0"/>
                <w:numId w:val="1024"/>
              </w:numPr>
              <w:tabs>
                <w:tab w:val="left" w:pos="158"/>
              </w:tabs>
              <w:spacing w:before="9"/>
              <w:ind w:right="191"/>
              <w:rPr>
                <w:sz w:val="14"/>
              </w:rPr>
            </w:pPr>
            <w:r>
              <w:rPr>
                <w:color w:val="231F20"/>
                <w:sz w:val="14"/>
              </w:rPr>
              <w:t>Литургија нам открива и циљ због</w:t>
            </w:r>
            <w:r>
              <w:rPr>
                <w:color w:val="231F20"/>
                <w:spacing w:val="-26"/>
                <w:sz w:val="14"/>
              </w:rPr>
              <w:t xml:space="preserve"> </w:t>
            </w:r>
            <w:r>
              <w:rPr>
                <w:color w:val="231F20"/>
                <w:sz w:val="14"/>
              </w:rPr>
              <w:t>кога је Бог створио свет и</w:t>
            </w:r>
            <w:r>
              <w:rPr>
                <w:color w:val="231F20"/>
                <w:spacing w:val="-4"/>
                <w:sz w:val="14"/>
              </w:rPr>
              <w:t xml:space="preserve"> </w:t>
            </w:r>
            <w:r>
              <w:rPr>
                <w:color w:val="231F20"/>
                <w:sz w:val="14"/>
              </w:rPr>
              <w:t>људе.</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ight="224"/>
              <w:rPr>
                <w:sz w:val="14"/>
              </w:rPr>
            </w:pPr>
            <w:r>
              <w:rPr>
                <w:color w:val="231F20"/>
                <w:sz w:val="14"/>
              </w:rPr>
              <w:t>Помесна и ва­ сељенска Црква, њихов однос</w:t>
            </w:r>
          </w:p>
        </w:tc>
        <w:tc>
          <w:tcPr>
            <w:tcW w:w="1587" w:type="dxa"/>
          </w:tcPr>
          <w:p w:rsidR="00041039" w:rsidRDefault="001B26CB">
            <w:pPr>
              <w:pStyle w:val="TableParagraph"/>
              <w:numPr>
                <w:ilvl w:val="0"/>
                <w:numId w:val="1023"/>
              </w:numPr>
              <w:tabs>
                <w:tab w:val="left" w:pos="157"/>
              </w:tabs>
              <w:spacing w:before="11" w:line="237" w:lineRule="auto"/>
              <w:ind w:right="101" w:hanging="99"/>
              <w:rPr>
                <w:sz w:val="14"/>
              </w:rPr>
            </w:pPr>
            <w:r>
              <w:rPr>
                <w:color w:val="231F20"/>
                <w:sz w:val="14"/>
              </w:rPr>
              <w:t>Да ученици уоче раз­ лике између васељен­ ске и помесне цркве, као и начин на који помесне</w:t>
            </w:r>
            <w:r>
              <w:rPr>
                <w:color w:val="231F20"/>
                <w:spacing w:val="-10"/>
                <w:sz w:val="14"/>
              </w:rPr>
              <w:t xml:space="preserve"> </w:t>
            </w:r>
            <w:r>
              <w:rPr>
                <w:color w:val="231F20"/>
                <w:sz w:val="14"/>
              </w:rPr>
              <w:t>конституишу васељенску.</w:t>
            </w:r>
          </w:p>
        </w:tc>
        <w:tc>
          <w:tcPr>
            <w:tcW w:w="2551" w:type="dxa"/>
          </w:tcPr>
          <w:p w:rsidR="00041039" w:rsidRDefault="001B26CB">
            <w:pPr>
              <w:pStyle w:val="TableParagraph"/>
              <w:numPr>
                <w:ilvl w:val="0"/>
                <w:numId w:val="1022"/>
              </w:numPr>
              <w:tabs>
                <w:tab w:val="left" w:pos="158"/>
              </w:tabs>
              <w:spacing w:before="9"/>
              <w:ind w:right="438"/>
              <w:rPr>
                <w:sz w:val="14"/>
              </w:rPr>
            </w:pPr>
            <w:r>
              <w:rPr>
                <w:color w:val="231F20"/>
                <w:sz w:val="14"/>
              </w:rPr>
              <w:t>Да ученици увиде</w:t>
            </w:r>
            <w:r>
              <w:rPr>
                <w:color w:val="231F20"/>
                <w:spacing w:val="-12"/>
                <w:sz w:val="14"/>
              </w:rPr>
              <w:t xml:space="preserve"> </w:t>
            </w:r>
            <w:r>
              <w:rPr>
                <w:color w:val="231F20"/>
                <w:sz w:val="14"/>
              </w:rPr>
              <w:t>евхаристијско јединство</w:t>
            </w:r>
            <w:r>
              <w:rPr>
                <w:color w:val="231F20"/>
                <w:spacing w:val="-1"/>
                <w:sz w:val="14"/>
              </w:rPr>
              <w:t xml:space="preserve"> </w:t>
            </w:r>
            <w:r>
              <w:rPr>
                <w:color w:val="231F20"/>
                <w:sz w:val="14"/>
              </w:rPr>
              <w:t>Цркве;</w:t>
            </w:r>
          </w:p>
        </w:tc>
        <w:tc>
          <w:tcPr>
            <w:tcW w:w="2834" w:type="dxa"/>
          </w:tcPr>
          <w:p w:rsidR="00041039" w:rsidRDefault="001B26CB">
            <w:pPr>
              <w:pStyle w:val="TableParagraph"/>
              <w:numPr>
                <w:ilvl w:val="0"/>
                <w:numId w:val="1021"/>
              </w:numPr>
              <w:tabs>
                <w:tab w:val="left" w:pos="158"/>
              </w:tabs>
              <w:spacing w:before="9"/>
              <w:rPr>
                <w:sz w:val="14"/>
              </w:rPr>
            </w:pPr>
            <w:r>
              <w:rPr>
                <w:color w:val="231F20"/>
                <w:sz w:val="14"/>
              </w:rPr>
              <w:t>Помесна и васељенска Црква, њихов</w:t>
            </w:r>
            <w:r>
              <w:rPr>
                <w:color w:val="231F20"/>
                <w:spacing w:val="-16"/>
                <w:sz w:val="14"/>
              </w:rPr>
              <w:t xml:space="preserve"> </w:t>
            </w:r>
            <w:r>
              <w:rPr>
                <w:color w:val="231F20"/>
                <w:sz w:val="14"/>
              </w:rPr>
              <w:t>однос.</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7" w:right="77"/>
              <w:rPr>
                <w:sz w:val="14"/>
              </w:rPr>
            </w:pPr>
            <w:r>
              <w:rPr>
                <w:color w:val="231F20"/>
                <w:sz w:val="14"/>
              </w:rPr>
              <w:t>Јединство Цркве (на помесном и ва­ сељенском нивоу)</w:t>
            </w:r>
          </w:p>
        </w:tc>
        <w:tc>
          <w:tcPr>
            <w:tcW w:w="1587" w:type="dxa"/>
          </w:tcPr>
          <w:p w:rsidR="00041039" w:rsidRDefault="001B26CB">
            <w:pPr>
              <w:pStyle w:val="TableParagraph"/>
              <w:numPr>
                <w:ilvl w:val="0"/>
                <w:numId w:val="1020"/>
              </w:numPr>
              <w:tabs>
                <w:tab w:val="left" w:pos="157"/>
              </w:tabs>
              <w:spacing w:before="11" w:line="237" w:lineRule="auto"/>
              <w:ind w:right="97" w:hanging="99"/>
              <w:rPr>
                <w:sz w:val="14"/>
              </w:rPr>
            </w:pPr>
            <w:r>
              <w:rPr>
                <w:color w:val="231F20"/>
                <w:sz w:val="14"/>
              </w:rPr>
              <w:t>Да ученици схвате литургијски однос помесне и</w:t>
            </w:r>
            <w:r>
              <w:rPr>
                <w:color w:val="231F20"/>
                <w:spacing w:val="-7"/>
                <w:sz w:val="14"/>
              </w:rPr>
              <w:t xml:space="preserve"> </w:t>
            </w:r>
            <w:r>
              <w:rPr>
                <w:color w:val="231F20"/>
                <w:sz w:val="14"/>
              </w:rPr>
              <w:t>васељенске цркве.</w:t>
            </w:r>
          </w:p>
        </w:tc>
        <w:tc>
          <w:tcPr>
            <w:tcW w:w="2551" w:type="dxa"/>
          </w:tcPr>
          <w:p w:rsidR="00041039" w:rsidRDefault="001B26CB">
            <w:pPr>
              <w:pStyle w:val="TableParagraph"/>
              <w:numPr>
                <w:ilvl w:val="0"/>
                <w:numId w:val="1019"/>
              </w:numPr>
              <w:tabs>
                <w:tab w:val="left" w:pos="158"/>
              </w:tabs>
              <w:spacing w:before="9"/>
              <w:ind w:right="239"/>
              <w:rPr>
                <w:sz w:val="14"/>
              </w:rPr>
            </w:pPr>
            <w:r>
              <w:rPr>
                <w:color w:val="231F20"/>
                <w:sz w:val="14"/>
              </w:rPr>
              <w:t>Да ученици уоче да је црква Једна</w:t>
            </w:r>
            <w:r>
              <w:rPr>
                <w:color w:val="231F20"/>
                <w:spacing w:val="-18"/>
                <w:sz w:val="14"/>
              </w:rPr>
              <w:t xml:space="preserve"> </w:t>
            </w:r>
            <w:r>
              <w:rPr>
                <w:color w:val="231F20"/>
                <w:sz w:val="14"/>
              </w:rPr>
              <w:t>и Васељенска;</w:t>
            </w:r>
          </w:p>
        </w:tc>
        <w:tc>
          <w:tcPr>
            <w:tcW w:w="2834" w:type="dxa"/>
          </w:tcPr>
          <w:p w:rsidR="00041039" w:rsidRDefault="001B26CB">
            <w:pPr>
              <w:pStyle w:val="TableParagraph"/>
              <w:numPr>
                <w:ilvl w:val="0"/>
                <w:numId w:val="1018"/>
              </w:numPr>
              <w:tabs>
                <w:tab w:val="left" w:pos="158"/>
              </w:tabs>
              <w:spacing w:before="9"/>
              <w:ind w:right="142" w:hanging="99"/>
              <w:rPr>
                <w:sz w:val="14"/>
              </w:rPr>
            </w:pPr>
            <w:r>
              <w:rPr>
                <w:color w:val="231F20"/>
                <w:sz w:val="14"/>
              </w:rPr>
              <w:t>Јединство Цркве (на помесном и</w:t>
            </w:r>
            <w:r>
              <w:rPr>
                <w:color w:val="231F20"/>
                <w:spacing w:val="-15"/>
                <w:sz w:val="14"/>
              </w:rPr>
              <w:t xml:space="preserve"> </w:t>
            </w:r>
            <w:r>
              <w:rPr>
                <w:color w:val="231F20"/>
                <w:sz w:val="14"/>
              </w:rPr>
              <w:t xml:space="preserve">васељен­ </w:t>
            </w:r>
            <w:r>
              <w:rPr>
                <w:color w:val="231F20"/>
                <w:spacing w:val="-3"/>
                <w:sz w:val="14"/>
              </w:rPr>
              <w:t>ском</w:t>
            </w:r>
            <w:r>
              <w:rPr>
                <w:color w:val="231F20"/>
                <w:spacing w:val="-1"/>
                <w:sz w:val="14"/>
              </w:rPr>
              <w:t xml:space="preserve"> </w:t>
            </w:r>
            <w:r>
              <w:rPr>
                <w:color w:val="231F20"/>
                <w:sz w:val="14"/>
              </w:rPr>
              <w:t>нивоу).</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ight="159"/>
              <w:rPr>
                <w:sz w:val="14"/>
              </w:rPr>
            </w:pPr>
            <w:r>
              <w:rPr>
                <w:color w:val="231F20"/>
                <w:sz w:val="14"/>
              </w:rPr>
              <w:t>Теологија право­ славне уметности</w:t>
            </w:r>
          </w:p>
        </w:tc>
        <w:tc>
          <w:tcPr>
            <w:tcW w:w="1587" w:type="dxa"/>
          </w:tcPr>
          <w:p w:rsidR="00041039" w:rsidRDefault="001B26CB">
            <w:pPr>
              <w:pStyle w:val="TableParagraph"/>
              <w:numPr>
                <w:ilvl w:val="0"/>
                <w:numId w:val="1017"/>
              </w:numPr>
              <w:tabs>
                <w:tab w:val="left" w:pos="157"/>
              </w:tabs>
              <w:spacing w:before="11" w:line="237" w:lineRule="auto"/>
              <w:ind w:right="199" w:hanging="99"/>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надвремености и есхатоцентричности православне умет­ ности.</w:t>
            </w:r>
          </w:p>
        </w:tc>
        <w:tc>
          <w:tcPr>
            <w:tcW w:w="2551" w:type="dxa"/>
          </w:tcPr>
          <w:p w:rsidR="00041039" w:rsidRDefault="001B26CB">
            <w:pPr>
              <w:pStyle w:val="TableParagraph"/>
              <w:numPr>
                <w:ilvl w:val="0"/>
                <w:numId w:val="1016"/>
              </w:numPr>
              <w:tabs>
                <w:tab w:val="left" w:pos="158"/>
              </w:tabs>
              <w:spacing w:before="10"/>
              <w:ind w:right="96"/>
              <w:rPr>
                <w:sz w:val="14"/>
              </w:rPr>
            </w:pPr>
            <w:r>
              <w:rPr>
                <w:color w:val="231F20"/>
                <w:sz w:val="14"/>
              </w:rPr>
              <w:t>Да ученици стечена знања могу да примене на конкретним примерима</w:t>
            </w:r>
            <w:r>
              <w:rPr>
                <w:color w:val="231F20"/>
                <w:spacing w:val="-24"/>
                <w:sz w:val="14"/>
              </w:rPr>
              <w:t xml:space="preserve"> </w:t>
            </w:r>
            <w:r>
              <w:rPr>
                <w:color w:val="231F20"/>
                <w:sz w:val="14"/>
              </w:rPr>
              <w:t>из православне уметности;</w:t>
            </w:r>
          </w:p>
        </w:tc>
        <w:tc>
          <w:tcPr>
            <w:tcW w:w="2834" w:type="dxa"/>
          </w:tcPr>
          <w:p w:rsidR="00041039" w:rsidRDefault="001B26CB">
            <w:pPr>
              <w:pStyle w:val="TableParagraph"/>
              <w:numPr>
                <w:ilvl w:val="0"/>
                <w:numId w:val="1015"/>
              </w:numPr>
              <w:tabs>
                <w:tab w:val="left" w:pos="158"/>
              </w:tabs>
              <w:spacing w:before="10"/>
              <w:ind w:hanging="99"/>
              <w:rPr>
                <w:sz w:val="14"/>
              </w:rPr>
            </w:pPr>
            <w:r>
              <w:rPr>
                <w:color w:val="231F20"/>
                <w:sz w:val="14"/>
              </w:rPr>
              <w:t>Теологија православне</w:t>
            </w:r>
            <w:r>
              <w:rPr>
                <w:color w:val="231F20"/>
                <w:spacing w:val="-3"/>
                <w:sz w:val="14"/>
              </w:rPr>
              <w:t xml:space="preserve"> </w:t>
            </w:r>
            <w:r>
              <w:rPr>
                <w:color w:val="231F20"/>
                <w:sz w:val="14"/>
              </w:rPr>
              <w:t>уметности.</w:t>
            </w:r>
          </w:p>
        </w:tc>
        <w:tc>
          <w:tcPr>
            <w:tcW w:w="2267" w:type="dxa"/>
            <w:vMerge/>
            <w:tcBorders>
              <w:top w:val="nil"/>
            </w:tcBorders>
          </w:tcPr>
          <w:p w:rsidR="00041039" w:rsidRDefault="00041039">
            <w:pPr>
              <w:rPr>
                <w:sz w:val="2"/>
                <w:szCs w:val="2"/>
              </w:rPr>
            </w:pPr>
          </w:p>
        </w:tc>
      </w:tr>
      <w:tr w:rsidR="00041039">
        <w:trPr>
          <w:trHeight w:val="1287"/>
        </w:trPr>
        <w:tc>
          <w:tcPr>
            <w:tcW w:w="1304" w:type="dxa"/>
          </w:tcPr>
          <w:p w:rsidR="00041039" w:rsidRDefault="001B26CB">
            <w:pPr>
              <w:pStyle w:val="TableParagraph"/>
              <w:spacing w:before="20"/>
              <w:ind w:left="57" w:right="148"/>
              <w:rPr>
                <w:sz w:val="14"/>
              </w:rPr>
            </w:pPr>
            <w:r>
              <w:rPr>
                <w:color w:val="231F20"/>
                <w:sz w:val="14"/>
              </w:rPr>
              <w:t>Црква и свет (њи­ хов однос)</w:t>
            </w:r>
          </w:p>
        </w:tc>
        <w:tc>
          <w:tcPr>
            <w:tcW w:w="1587" w:type="dxa"/>
          </w:tcPr>
          <w:p w:rsidR="00041039" w:rsidRDefault="001B26CB">
            <w:pPr>
              <w:pStyle w:val="TableParagraph"/>
              <w:numPr>
                <w:ilvl w:val="0"/>
                <w:numId w:val="1014"/>
              </w:numPr>
              <w:tabs>
                <w:tab w:val="left" w:pos="158"/>
              </w:tabs>
              <w:spacing w:before="10"/>
              <w:ind w:right="44"/>
              <w:rPr>
                <w:sz w:val="14"/>
              </w:rPr>
            </w:pPr>
            <w:r>
              <w:rPr>
                <w:color w:val="231F20"/>
                <w:sz w:val="14"/>
              </w:rPr>
              <w:t xml:space="preserve">Да се </w:t>
            </w:r>
            <w:r>
              <w:rPr>
                <w:color w:val="231F20"/>
                <w:spacing w:val="-5"/>
                <w:sz w:val="14"/>
              </w:rPr>
              <w:t xml:space="preserve">код </w:t>
            </w:r>
            <w:r>
              <w:rPr>
                <w:color w:val="231F20"/>
                <w:sz w:val="14"/>
              </w:rPr>
              <w:t>ученика из­ гради свест о</w:t>
            </w:r>
            <w:r>
              <w:rPr>
                <w:color w:val="231F20"/>
                <w:spacing w:val="-13"/>
                <w:sz w:val="14"/>
              </w:rPr>
              <w:t xml:space="preserve"> </w:t>
            </w:r>
            <w:r>
              <w:rPr>
                <w:color w:val="231F20"/>
                <w:sz w:val="14"/>
              </w:rPr>
              <w:t>Есхатону као правој истини света и Цркви као икони</w:t>
            </w:r>
            <w:r>
              <w:rPr>
                <w:color w:val="231F20"/>
                <w:spacing w:val="-2"/>
                <w:sz w:val="14"/>
              </w:rPr>
              <w:t xml:space="preserve"> </w:t>
            </w:r>
            <w:r>
              <w:rPr>
                <w:color w:val="231F20"/>
                <w:sz w:val="14"/>
              </w:rPr>
              <w:t>Есхатона.</w:t>
            </w:r>
          </w:p>
        </w:tc>
        <w:tc>
          <w:tcPr>
            <w:tcW w:w="2551" w:type="dxa"/>
          </w:tcPr>
          <w:p w:rsidR="00041039" w:rsidRDefault="001B26CB">
            <w:pPr>
              <w:pStyle w:val="TableParagraph"/>
              <w:numPr>
                <w:ilvl w:val="0"/>
                <w:numId w:val="1013"/>
              </w:numPr>
              <w:tabs>
                <w:tab w:val="left" w:pos="158"/>
              </w:tabs>
              <w:spacing w:before="10"/>
              <w:ind w:right="63" w:hanging="99"/>
              <w:rPr>
                <w:sz w:val="14"/>
              </w:rPr>
            </w:pPr>
            <w:r>
              <w:rPr>
                <w:color w:val="231F20"/>
                <w:sz w:val="14"/>
              </w:rPr>
              <w:t>Ученици треба да спознају да је учествовање у животу Цркве</w:t>
            </w:r>
            <w:r>
              <w:rPr>
                <w:color w:val="231F20"/>
                <w:spacing w:val="-16"/>
                <w:sz w:val="14"/>
              </w:rPr>
              <w:t xml:space="preserve"> </w:t>
            </w:r>
            <w:r>
              <w:rPr>
                <w:color w:val="231F20"/>
                <w:sz w:val="14"/>
              </w:rPr>
              <w:t>истински начин постојања човека и</w:t>
            </w:r>
            <w:r>
              <w:rPr>
                <w:color w:val="231F20"/>
                <w:spacing w:val="-4"/>
                <w:sz w:val="14"/>
              </w:rPr>
              <w:t xml:space="preserve"> </w:t>
            </w:r>
            <w:r>
              <w:rPr>
                <w:color w:val="231F20"/>
                <w:sz w:val="14"/>
              </w:rPr>
              <w:t>света;</w:t>
            </w:r>
          </w:p>
        </w:tc>
        <w:tc>
          <w:tcPr>
            <w:tcW w:w="2834" w:type="dxa"/>
          </w:tcPr>
          <w:p w:rsidR="00041039" w:rsidRDefault="001B26CB">
            <w:pPr>
              <w:pStyle w:val="TableParagraph"/>
              <w:numPr>
                <w:ilvl w:val="0"/>
                <w:numId w:val="1012"/>
              </w:numPr>
              <w:tabs>
                <w:tab w:val="left" w:pos="158"/>
              </w:tabs>
              <w:spacing w:before="10"/>
              <w:ind w:hanging="99"/>
              <w:rPr>
                <w:sz w:val="14"/>
              </w:rPr>
            </w:pPr>
            <w:r>
              <w:rPr>
                <w:color w:val="231F20"/>
                <w:sz w:val="14"/>
              </w:rPr>
              <w:t>Црква и свет (њихов</w:t>
            </w:r>
            <w:r>
              <w:rPr>
                <w:color w:val="231F20"/>
                <w:spacing w:val="-3"/>
                <w:sz w:val="14"/>
              </w:rPr>
              <w:t xml:space="preserve"> </w:t>
            </w:r>
            <w:r>
              <w:rPr>
                <w:color w:val="231F20"/>
                <w:sz w:val="14"/>
              </w:rPr>
              <w:t>однос).</w:t>
            </w:r>
          </w:p>
        </w:tc>
        <w:tc>
          <w:tcPr>
            <w:tcW w:w="2267" w:type="dxa"/>
            <w:vMerge/>
            <w:tcBorders>
              <w:top w:val="nil"/>
            </w:tcBorders>
          </w:tcPr>
          <w:p w:rsidR="00041039" w:rsidRDefault="00041039">
            <w:pPr>
              <w:rPr>
                <w:sz w:val="2"/>
                <w:szCs w:val="2"/>
              </w:rPr>
            </w:pPr>
          </w:p>
        </w:tc>
      </w:tr>
    </w:tbl>
    <w:p w:rsidR="00041039" w:rsidRDefault="00041039">
      <w:pPr>
        <w:pStyle w:val="BodyText"/>
        <w:spacing w:before="1"/>
        <w:rPr>
          <w:b/>
          <w:sz w:val="20"/>
        </w:rPr>
      </w:pPr>
    </w:p>
    <w:p w:rsidR="00041039" w:rsidRDefault="001B26CB">
      <w:pPr>
        <w:pStyle w:val="Heading1"/>
        <w:spacing w:before="1"/>
      </w:pPr>
      <w:r>
        <w:rPr>
          <w:color w:val="231F20"/>
        </w:rPr>
        <w:t>КОРЕЛАЦИЈА СА ДРУГИМ ПРЕДМЕТИМА</w:t>
      </w:r>
    </w:p>
    <w:p w:rsidR="00041039" w:rsidRDefault="001B26CB">
      <w:pPr>
        <w:pStyle w:val="Heading2"/>
        <w:numPr>
          <w:ilvl w:val="0"/>
          <w:numId w:val="2"/>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2"/>
        </w:numPr>
        <w:tabs>
          <w:tab w:val="left" w:pos="633"/>
        </w:tabs>
        <w:rPr>
          <w:sz w:val="18"/>
        </w:rPr>
      </w:pPr>
      <w:r>
        <w:rPr>
          <w:color w:val="231F20"/>
          <w:sz w:val="18"/>
        </w:rPr>
        <w:t>Историја</w:t>
      </w:r>
    </w:p>
    <w:p w:rsidR="00041039" w:rsidRDefault="001B26CB">
      <w:pPr>
        <w:pStyle w:val="ListParagraph"/>
        <w:numPr>
          <w:ilvl w:val="0"/>
          <w:numId w:val="2"/>
        </w:numPr>
        <w:tabs>
          <w:tab w:val="left" w:pos="633"/>
        </w:tabs>
        <w:spacing w:line="203" w:lineRule="exact"/>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041039">
      <w:pPr>
        <w:spacing w:line="203" w:lineRule="exact"/>
        <w:rPr>
          <w:sz w:val="18"/>
        </w:rPr>
        <w:sectPr w:rsidR="00041039">
          <w:pgSz w:w="11910" w:h="15710"/>
          <w:pgMar w:top="120" w:right="540" w:bottom="280" w:left="580" w:header="720" w:footer="720" w:gutter="0"/>
          <w:cols w:space="720"/>
        </w:sectPr>
      </w:pPr>
    </w:p>
    <w:p w:rsidR="00041039" w:rsidRDefault="001B26CB">
      <w:pPr>
        <w:spacing w:before="80"/>
        <w:ind w:left="3340"/>
        <w:rPr>
          <w:b/>
          <w:sz w:val="18"/>
        </w:rPr>
      </w:pPr>
      <w:r>
        <w:rPr>
          <w:b/>
          <w:color w:val="231F20"/>
          <w:sz w:val="18"/>
        </w:rPr>
        <w:lastRenderedPageBreak/>
        <w:t>Б: ИЗБОРНИ ОПШТЕОБРАЗОВНИ ПРЕДМЕТИ</w:t>
      </w:r>
    </w:p>
    <w:p w:rsidR="00041039" w:rsidRDefault="00041039">
      <w:pPr>
        <w:pStyle w:val="BodyText"/>
        <w:spacing w:before="11"/>
        <w:rPr>
          <w:b/>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ИЗАБРАНА </w:t>
      </w:r>
      <w:r>
        <w:rPr>
          <w:b/>
          <w:color w:val="231F20"/>
          <w:spacing w:val="-4"/>
          <w:sz w:val="14"/>
        </w:rPr>
        <w:t>ПОГЛАВЉА</w:t>
      </w:r>
      <w:r>
        <w:rPr>
          <w:b/>
          <w:color w:val="231F20"/>
          <w:sz w:val="14"/>
        </w:rPr>
        <w:t xml:space="preserve"> </w:t>
      </w:r>
      <w:r>
        <w:rPr>
          <w:b/>
          <w:color w:val="231F20"/>
          <w:spacing w:val="-3"/>
          <w:sz w:val="14"/>
        </w:rPr>
        <w:t>МАТЕМАТИКЕ</w:t>
      </w:r>
    </w:p>
    <w:p w:rsidR="00041039" w:rsidRDefault="001B26CB">
      <w:pPr>
        <w:pStyle w:val="BodyText"/>
        <w:spacing w:before="49" w:line="161" w:lineRule="exact"/>
        <w:ind w:left="157"/>
      </w:pPr>
      <w:r>
        <w:rPr>
          <w:color w:val="231F20"/>
        </w:rPr>
        <w:t>Циљеви предмета: – Развијање логичког и апстрактног мишљења;</w:t>
      </w:r>
    </w:p>
    <w:p w:rsidR="00041039" w:rsidRDefault="001B26CB">
      <w:pPr>
        <w:pStyle w:val="ListParagraph"/>
        <w:numPr>
          <w:ilvl w:val="1"/>
          <w:numId w:val="2"/>
        </w:numPr>
        <w:tabs>
          <w:tab w:val="left" w:pos="1566"/>
        </w:tabs>
        <w:spacing w:line="160" w:lineRule="exact"/>
        <w:rPr>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041039" w:rsidRDefault="001B26CB">
      <w:pPr>
        <w:pStyle w:val="ListParagraph"/>
        <w:numPr>
          <w:ilvl w:val="1"/>
          <w:numId w:val="2"/>
        </w:numPr>
        <w:tabs>
          <w:tab w:val="left" w:pos="1566"/>
        </w:tabs>
        <w:spacing w:line="160" w:lineRule="exact"/>
        <w:rPr>
          <w:sz w:val="14"/>
        </w:rPr>
      </w:pP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математици тако и у осталим</w:t>
      </w:r>
      <w:r>
        <w:rPr>
          <w:color w:val="231F20"/>
          <w:spacing w:val="-6"/>
          <w:sz w:val="14"/>
        </w:rPr>
        <w:t xml:space="preserve"> </w:t>
      </w:r>
      <w:r>
        <w:rPr>
          <w:color w:val="231F20"/>
          <w:sz w:val="14"/>
        </w:rPr>
        <w:t>предметима;</w:t>
      </w:r>
    </w:p>
    <w:p w:rsidR="00041039" w:rsidRDefault="001B26CB">
      <w:pPr>
        <w:pStyle w:val="ListParagraph"/>
        <w:numPr>
          <w:ilvl w:val="1"/>
          <w:numId w:val="2"/>
        </w:numPr>
        <w:tabs>
          <w:tab w:val="left" w:pos="1566"/>
        </w:tabs>
        <w:spacing w:line="160" w:lineRule="exact"/>
        <w:rPr>
          <w:sz w:val="14"/>
        </w:rPr>
      </w:pPr>
      <w:r>
        <w:rPr>
          <w:color w:val="231F20"/>
          <w:sz w:val="14"/>
        </w:rPr>
        <w:t>Формирање основа за наставак</w:t>
      </w:r>
      <w:r>
        <w:rPr>
          <w:color w:val="231F20"/>
          <w:spacing w:val="-2"/>
          <w:sz w:val="14"/>
        </w:rPr>
        <w:t xml:space="preserve"> </w:t>
      </w:r>
      <w:r>
        <w:rPr>
          <w:color w:val="231F20"/>
          <w:sz w:val="14"/>
        </w:rPr>
        <w:t>образовања;</w:t>
      </w:r>
    </w:p>
    <w:p w:rsidR="00041039" w:rsidRDefault="001B26CB">
      <w:pPr>
        <w:pStyle w:val="ListParagraph"/>
        <w:numPr>
          <w:ilvl w:val="1"/>
          <w:numId w:val="2"/>
        </w:numPr>
        <w:tabs>
          <w:tab w:val="left" w:pos="1566"/>
        </w:tabs>
        <w:spacing w:line="160" w:lineRule="exact"/>
        <w:rPr>
          <w:sz w:val="14"/>
        </w:rPr>
      </w:pPr>
      <w:r>
        <w:rPr>
          <w:color w:val="231F20"/>
          <w:sz w:val="14"/>
        </w:rPr>
        <w:t>Формирање</w:t>
      </w:r>
      <w:r>
        <w:rPr>
          <w:color w:val="231F20"/>
          <w:spacing w:val="-2"/>
          <w:sz w:val="14"/>
        </w:rPr>
        <w:t xml:space="preserve"> </w:t>
      </w:r>
      <w:r>
        <w:rPr>
          <w:color w:val="231F20"/>
          <w:sz w:val="14"/>
        </w:rPr>
        <w:t>математичке</w:t>
      </w:r>
      <w:r>
        <w:rPr>
          <w:color w:val="231F20"/>
          <w:spacing w:val="-2"/>
          <w:sz w:val="14"/>
        </w:rPr>
        <w:t xml:space="preserve"> </w:t>
      </w:r>
      <w:r>
        <w:rPr>
          <w:color w:val="231F20"/>
          <w:sz w:val="14"/>
        </w:rPr>
        <w:t>културе</w:t>
      </w:r>
      <w:r>
        <w:rPr>
          <w:color w:val="231F20"/>
          <w:spacing w:val="-2"/>
          <w:sz w:val="14"/>
        </w:rPr>
        <w:t xml:space="preserve"> </w:t>
      </w:r>
      <w:r>
        <w:rPr>
          <w:color w:val="231F20"/>
          <w:sz w:val="14"/>
        </w:rPr>
        <w:t>која</w:t>
      </w:r>
      <w:r>
        <w:rPr>
          <w:color w:val="231F20"/>
          <w:spacing w:val="-2"/>
          <w:sz w:val="14"/>
        </w:rPr>
        <w:t xml:space="preserve"> </w:t>
      </w:r>
      <w:r>
        <w:rPr>
          <w:color w:val="231F20"/>
          <w:sz w:val="14"/>
        </w:rPr>
        <w:t>подразумева</w:t>
      </w:r>
      <w:r>
        <w:rPr>
          <w:color w:val="231F20"/>
          <w:spacing w:val="-2"/>
          <w:sz w:val="14"/>
        </w:rPr>
        <w:t xml:space="preserve"> </w:t>
      </w:r>
      <w:r>
        <w:rPr>
          <w:color w:val="231F20"/>
          <w:sz w:val="14"/>
        </w:rPr>
        <w:t>свест</w:t>
      </w:r>
      <w:r>
        <w:rPr>
          <w:color w:val="231F20"/>
          <w:spacing w:val="-2"/>
          <w:sz w:val="14"/>
        </w:rPr>
        <w:t xml:space="preserve"> </w:t>
      </w:r>
      <w:r>
        <w:rPr>
          <w:color w:val="231F20"/>
          <w:sz w:val="14"/>
        </w:rPr>
        <w:t>о</w:t>
      </w:r>
      <w:r>
        <w:rPr>
          <w:color w:val="231F20"/>
          <w:spacing w:val="-2"/>
          <w:sz w:val="14"/>
        </w:rPr>
        <w:t xml:space="preserve"> </w:t>
      </w:r>
      <w:r>
        <w:rPr>
          <w:color w:val="231F20"/>
          <w:sz w:val="14"/>
        </w:rPr>
        <w:t>универзалности</w:t>
      </w:r>
      <w:r>
        <w:rPr>
          <w:color w:val="231F20"/>
          <w:spacing w:val="-2"/>
          <w:sz w:val="14"/>
        </w:rPr>
        <w:t xml:space="preserve"> </w:t>
      </w:r>
      <w:r>
        <w:rPr>
          <w:color w:val="231F20"/>
          <w:sz w:val="14"/>
        </w:rPr>
        <w:t>и</w:t>
      </w:r>
      <w:r>
        <w:rPr>
          <w:color w:val="231F20"/>
          <w:spacing w:val="-3"/>
          <w:sz w:val="14"/>
        </w:rPr>
        <w:t xml:space="preserve"> </w:t>
      </w:r>
      <w:r>
        <w:rPr>
          <w:color w:val="231F20"/>
          <w:sz w:val="14"/>
        </w:rPr>
        <w:t>примени</w:t>
      </w:r>
      <w:r>
        <w:rPr>
          <w:color w:val="231F20"/>
          <w:spacing w:val="-3"/>
          <w:sz w:val="14"/>
        </w:rPr>
        <w:t xml:space="preserve"> </w:t>
      </w:r>
      <w:r>
        <w:rPr>
          <w:color w:val="231F20"/>
          <w:sz w:val="14"/>
        </w:rPr>
        <w:t>математике</w:t>
      </w:r>
      <w:r>
        <w:rPr>
          <w:color w:val="231F20"/>
          <w:spacing w:val="-2"/>
          <w:sz w:val="14"/>
        </w:rPr>
        <w:t xml:space="preserve"> </w:t>
      </w:r>
      <w:r>
        <w:rPr>
          <w:color w:val="231F20"/>
          <w:sz w:val="14"/>
        </w:rPr>
        <w:t>и</w:t>
      </w:r>
      <w:r>
        <w:rPr>
          <w:color w:val="231F20"/>
          <w:spacing w:val="-3"/>
          <w:sz w:val="14"/>
        </w:rPr>
        <w:t xml:space="preserve"> </w:t>
      </w:r>
      <w:r>
        <w:rPr>
          <w:color w:val="231F20"/>
          <w:sz w:val="14"/>
        </w:rPr>
        <w:t>математичког</w:t>
      </w:r>
      <w:r>
        <w:rPr>
          <w:color w:val="231F20"/>
          <w:spacing w:val="-2"/>
          <w:sz w:val="14"/>
        </w:rPr>
        <w:t xml:space="preserve"> </w:t>
      </w:r>
      <w:r>
        <w:rPr>
          <w:color w:val="231F20"/>
          <w:sz w:val="14"/>
        </w:rPr>
        <w:t>начина</w:t>
      </w:r>
      <w:r>
        <w:rPr>
          <w:color w:val="231F20"/>
          <w:spacing w:val="-2"/>
          <w:sz w:val="14"/>
        </w:rPr>
        <w:t xml:space="preserve"> </w:t>
      </w:r>
      <w:r>
        <w:rPr>
          <w:color w:val="231F20"/>
          <w:sz w:val="14"/>
        </w:rPr>
        <w:t>мишљења;</w:t>
      </w:r>
    </w:p>
    <w:p w:rsidR="00041039" w:rsidRDefault="001B26CB">
      <w:pPr>
        <w:pStyle w:val="ListParagraph"/>
        <w:numPr>
          <w:ilvl w:val="1"/>
          <w:numId w:val="2"/>
        </w:numPr>
        <w:tabs>
          <w:tab w:val="left" w:pos="1566"/>
        </w:tabs>
        <w:spacing w:line="161" w:lineRule="exact"/>
        <w:rPr>
          <w:sz w:val="14"/>
        </w:rPr>
      </w:pPr>
      <w:r>
        <w:rPr>
          <w:color w:val="231F20"/>
          <w:sz w:val="14"/>
        </w:rPr>
        <w:t>Развијање систематичности, уредности, прецизности, темељности,</w:t>
      </w:r>
      <w:r>
        <w:rPr>
          <w:color w:val="231F20"/>
          <w:spacing w:val="-2"/>
          <w:sz w:val="14"/>
        </w:rPr>
        <w:t xml:space="preserve"> </w:t>
      </w:r>
      <w:r>
        <w:rPr>
          <w:color w:val="231F20"/>
          <w:sz w:val="14"/>
        </w:rPr>
        <w:t>истрајности.</w:t>
      </w:r>
    </w:p>
    <w:p w:rsidR="00041039" w:rsidRDefault="001B26CB">
      <w:pPr>
        <w:tabs>
          <w:tab w:val="left" w:pos="1460"/>
        </w:tabs>
        <w:spacing w:before="50"/>
        <w:ind w:left="157"/>
        <w:rPr>
          <w:b/>
          <w:sz w:val="14"/>
        </w:rPr>
      </w:pPr>
      <w:r>
        <w:rPr>
          <w:color w:val="231F20"/>
          <w:spacing w:val="-3"/>
          <w:sz w:val="14"/>
        </w:rPr>
        <w:t>Годиш</w:t>
      </w:r>
      <w:r>
        <w:rPr>
          <w:color w:val="231F20"/>
          <w:spacing w:val="-3"/>
          <w:sz w:val="14"/>
        </w:rPr>
        <w:t>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673"/>
        </w:trPr>
        <w:tc>
          <w:tcPr>
            <w:tcW w:w="1304" w:type="dxa"/>
            <w:tcBorders>
              <w:bottom w:val="nil"/>
            </w:tcBorders>
          </w:tcPr>
          <w:p w:rsidR="00041039" w:rsidRDefault="001B26CB">
            <w:pPr>
              <w:pStyle w:val="TableParagraph"/>
              <w:spacing w:before="18"/>
              <w:ind w:left="56"/>
              <w:rPr>
                <w:sz w:val="14"/>
              </w:rPr>
            </w:pPr>
            <w:r>
              <w:rPr>
                <w:color w:val="231F20"/>
                <w:sz w:val="14"/>
              </w:rPr>
              <w:t>Полиноми</w:t>
            </w:r>
          </w:p>
        </w:tc>
        <w:tc>
          <w:tcPr>
            <w:tcW w:w="1587" w:type="dxa"/>
            <w:vMerge w:val="restart"/>
          </w:tcPr>
          <w:p w:rsidR="00041039" w:rsidRDefault="001B26CB">
            <w:pPr>
              <w:pStyle w:val="TableParagraph"/>
              <w:numPr>
                <w:ilvl w:val="0"/>
                <w:numId w:val="1011"/>
              </w:numPr>
              <w:tabs>
                <w:tab w:val="left" w:pos="157"/>
              </w:tabs>
              <w:spacing w:before="23" w:line="213" w:lineRule="auto"/>
              <w:ind w:right="64"/>
              <w:rPr>
                <w:sz w:val="14"/>
              </w:rPr>
            </w:pPr>
            <w:r>
              <w:rPr>
                <w:color w:val="231F20"/>
                <w:sz w:val="14"/>
              </w:rPr>
              <w:t>Проширивање знања</w:t>
            </w:r>
            <w:r>
              <w:rPr>
                <w:color w:val="231F20"/>
                <w:spacing w:val="-12"/>
                <w:sz w:val="14"/>
              </w:rPr>
              <w:t xml:space="preserve"> </w:t>
            </w:r>
            <w:r>
              <w:rPr>
                <w:color w:val="231F20"/>
                <w:sz w:val="14"/>
              </w:rPr>
              <w:t>о полиномима.</w:t>
            </w:r>
          </w:p>
        </w:tc>
        <w:tc>
          <w:tcPr>
            <w:tcW w:w="2551" w:type="dxa"/>
            <w:vMerge w:val="restart"/>
          </w:tcPr>
          <w:p w:rsidR="00041039" w:rsidRDefault="001B26CB">
            <w:pPr>
              <w:pStyle w:val="TableParagraph"/>
              <w:numPr>
                <w:ilvl w:val="0"/>
                <w:numId w:val="1010"/>
              </w:numPr>
              <w:tabs>
                <w:tab w:val="left" w:pos="157"/>
              </w:tabs>
              <w:spacing w:before="23" w:line="213" w:lineRule="auto"/>
              <w:ind w:right="202" w:hanging="99"/>
              <w:rPr>
                <w:sz w:val="14"/>
              </w:rPr>
            </w:pPr>
            <w:r>
              <w:rPr>
                <w:color w:val="231F20"/>
                <w:sz w:val="14"/>
              </w:rPr>
              <w:t>изврши операцију дељења два</w:t>
            </w:r>
            <w:r>
              <w:rPr>
                <w:color w:val="231F20"/>
                <w:spacing w:val="-13"/>
                <w:sz w:val="14"/>
              </w:rPr>
              <w:t xml:space="preserve"> </w:t>
            </w:r>
            <w:r>
              <w:rPr>
                <w:color w:val="231F20"/>
                <w:sz w:val="14"/>
              </w:rPr>
              <w:t>поли­ нома;</w:t>
            </w:r>
          </w:p>
          <w:p w:rsidR="00041039" w:rsidRDefault="001B26CB">
            <w:pPr>
              <w:pStyle w:val="TableParagraph"/>
              <w:numPr>
                <w:ilvl w:val="0"/>
                <w:numId w:val="1010"/>
              </w:numPr>
              <w:tabs>
                <w:tab w:val="left" w:pos="157"/>
              </w:tabs>
              <w:spacing w:line="213" w:lineRule="auto"/>
              <w:ind w:right="49" w:hanging="99"/>
              <w:rPr>
                <w:sz w:val="14"/>
              </w:rPr>
            </w:pPr>
            <w:r>
              <w:rPr>
                <w:color w:val="231F20"/>
                <w:sz w:val="14"/>
              </w:rPr>
              <w:t>примени Безуову теорему на одређивање остатка дељења</w:t>
            </w:r>
            <w:r>
              <w:rPr>
                <w:color w:val="231F20"/>
                <w:spacing w:val="-18"/>
                <w:sz w:val="14"/>
              </w:rPr>
              <w:t xml:space="preserve"> </w:t>
            </w:r>
            <w:r>
              <w:rPr>
                <w:color w:val="231F20"/>
                <w:sz w:val="14"/>
              </w:rPr>
              <w:t>полинома;</w:t>
            </w:r>
          </w:p>
          <w:p w:rsidR="00041039" w:rsidRDefault="001B26CB">
            <w:pPr>
              <w:pStyle w:val="TableParagraph"/>
              <w:numPr>
                <w:ilvl w:val="0"/>
                <w:numId w:val="1010"/>
              </w:numPr>
              <w:tabs>
                <w:tab w:val="left" w:pos="157"/>
              </w:tabs>
              <w:spacing w:line="213" w:lineRule="auto"/>
              <w:ind w:right="62" w:hanging="99"/>
              <w:rPr>
                <w:sz w:val="14"/>
              </w:rPr>
            </w:pPr>
            <w:r>
              <w:rPr>
                <w:color w:val="231F20"/>
                <w:sz w:val="14"/>
              </w:rPr>
              <w:t>примени Безуову теорему на одређивање непознатих</w:t>
            </w:r>
            <w:r>
              <w:rPr>
                <w:color w:val="231F20"/>
                <w:spacing w:val="-23"/>
                <w:sz w:val="14"/>
              </w:rPr>
              <w:t xml:space="preserve"> </w:t>
            </w:r>
            <w:r>
              <w:rPr>
                <w:color w:val="231F20"/>
                <w:sz w:val="14"/>
              </w:rPr>
              <w:t>коефицијената полинома (ако је познат остатак дељења);</w:t>
            </w:r>
          </w:p>
        </w:tc>
        <w:tc>
          <w:tcPr>
            <w:tcW w:w="2834" w:type="dxa"/>
            <w:tcBorders>
              <w:bottom w:val="nil"/>
            </w:tcBorders>
          </w:tcPr>
          <w:p w:rsidR="00041039" w:rsidRDefault="001B26CB">
            <w:pPr>
              <w:pStyle w:val="TableParagraph"/>
              <w:numPr>
                <w:ilvl w:val="0"/>
                <w:numId w:val="1009"/>
              </w:numPr>
              <w:tabs>
                <w:tab w:val="left" w:pos="157"/>
              </w:tabs>
              <w:spacing w:before="8" w:line="158" w:lineRule="exact"/>
              <w:ind w:hanging="99"/>
              <w:rPr>
                <w:sz w:val="14"/>
              </w:rPr>
            </w:pPr>
            <w:r>
              <w:rPr>
                <w:color w:val="231F20"/>
                <w:sz w:val="14"/>
              </w:rPr>
              <w:t>Дељење</w:t>
            </w:r>
            <w:r>
              <w:rPr>
                <w:color w:val="231F20"/>
                <w:spacing w:val="-1"/>
                <w:sz w:val="14"/>
              </w:rPr>
              <w:t xml:space="preserve"> </w:t>
            </w:r>
            <w:r>
              <w:rPr>
                <w:color w:val="231F20"/>
                <w:sz w:val="14"/>
              </w:rPr>
              <w:t>полинома.</w:t>
            </w:r>
          </w:p>
          <w:p w:rsidR="00041039" w:rsidRDefault="001B26CB">
            <w:pPr>
              <w:pStyle w:val="TableParagraph"/>
              <w:numPr>
                <w:ilvl w:val="0"/>
                <w:numId w:val="1009"/>
              </w:numPr>
              <w:tabs>
                <w:tab w:val="left" w:pos="157"/>
              </w:tabs>
              <w:spacing w:line="158" w:lineRule="exact"/>
              <w:ind w:hanging="99"/>
              <w:rPr>
                <w:sz w:val="14"/>
              </w:rPr>
            </w:pPr>
            <w:r>
              <w:rPr>
                <w:color w:val="231F20"/>
                <w:sz w:val="14"/>
              </w:rPr>
              <w:t>Безуова</w:t>
            </w:r>
            <w:r>
              <w:rPr>
                <w:color w:val="231F20"/>
                <w:spacing w:val="-1"/>
                <w:sz w:val="14"/>
              </w:rPr>
              <w:t xml:space="preserve"> </w:t>
            </w:r>
            <w:r>
              <w:rPr>
                <w:color w:val="231F20"/>
                <w:sz w:val="14"/>
              </w:rPr>
              <w:t>теорема.</w:t>
            </w:r>
          </w:p>
        </w:tc>
        <w:tc>
          <w:tcPr>
            <w:tcW w:w="2267" w:type="dxa"/>
            <w:tcBorders>
              <w:bottom w:val="nil"/>
            </w:tcBorders>
          </w:tcPr>
          <w:p w:rsidR="00041039" w:rsidRDefault="001B26CB">
            <w:pPr>
              <w:pStyle w:val="TableParagraph"/>
              <w:numPr>
                <w:ilvl w:val="0"/>
                <w:numId w:val="1008"/>
              </w:numPr>
              <w:tabs>
                <w:tab w:val="left" w:pos="158"/>
              </w:tabs>
              <w:spacing w:before="24" w:line="213"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w:t>
            </w:r>
            <w:r>
              <w:rPr>
                <w:color w:val="231F20"/>
                <w:sz w:val="14"/>
              </w:rPr>
              <w:t xml:space="preserve"> наставе односно учења, планом рада и начинима</w:t>
            </w:r>
            <w:r>
              <w:rPr>
                <w:color w:val="231F20"/>
                <w:spacing w:val="-4"/>
                <w:sz w:val="14"/>
              </w:rPr>
              <w:t xml:space="preserve"> </w:t>
            </w:r>
            <w:r>
              <w:rPr>
                <w:color w:val="231F20"/>
                <w:sz w:val="14"/>
              </w:rPr>
              <w:t>оцењивања.</w:t>
            </w:r>
          </w:p>
        </w:tc>
      </w:tr>
      <w:tr w:rsidR="00041039">
        <w:trPr>
          <w:trHeight w:val="525"/>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vMerge w:val="restart"/>
            <w:tcBorders>
              <w:top w:val="nil"/>
              <w:bottom w:val="nil"/>
            </w:tcBorders>
          </w:tcPr>
          <w:p w:rsidR="00041039" w:rsidRDefault="001B26CB">
            <w:pPr>
              <w:pStyle w:val="TableParagraph"/>
              <w:spacing w:before="55" w:line="153" w:lineRule="exact"/>
              <w:ind w:left="58"/>
              <w:rPr>
                <w:b/>
                <w:sz w:val="14"/>
              </w:rPr>
            </w:pPr>
            <w:r>
              <w:rPr>
                <w:b/>
                <w:color w:val="231F20"/>
                <w:sz w:val="14"/>
              </w:rPr>
              <w:t>Облици наставе</w:t>
            </w:r>
          </w:p>
          <w:p w:rsidR="00041039" w:rsidRDefault="001B26CB">
            <w:pPr>
              <w:pStyle w:val="TableParagraph"/>
              <w:spacing w:before="6" w:line="213"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007"/>
              </w:numPr>
              <w:tabs>
                <w:tab w:val="left" w:pos="158"/>
              </w:tabs>
              <w:spacing w:line="149"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1B26CB">
            <w:pPr>
              <w:pStyle w:val="TableParagraph"/>
              <w:spacing w:before="127" w:line="153" w:lineRule="exact"/>
              <w:ind w:left="58"/>
              <w:rPr>
                <w:b/>
                <w:sz w:val="14"/>
              </w:rPr>
            </w:pPr>
            <w:r>
              <w:rPr>
                <w:b/>
                <w:color w:val="231F20"/>
                <w:sz w:val="14"/>
              </w:rPr>
              <w:t>Подела одељења на групе</w:t>
            </w:r>
          </w:p>
          <w:p w:rsidR="00041039" w:rsidRDefault="001B26CB">
            <w:pPr>
              <w:pStyle w:val="TableParagraph"/>
              <w:spacing w:line="153" w:lineRule="exact"/>
              <w:ind w:left="58"/>
              <w:rPr>
                <w:sz w:val="14"/>
              </w:rPr>
            </w:pPr>
            <w:r>
              <w:rPr>
                <w:color w:val="231F20"/>
                <w:sz w:val="14"/>
              </w:rPr>
              <w:t>Одељење се не дели на групе.</w:t>
            </w:r>
          </w:p>
        </w:tc>
      </w:tr>
      <w:tr w:rsidR="00041039">
        <w:trPr>
          <w:trHeight w:val="632"/>
        </w:trPr>
        <w:tc>
          <w:tcPr>
            <w:tcW w:w="1304" w:type="dxa"/>
          </w:tcPr>
          <w:p w:rsidR="00041039" w:rsidRDefault="001B26CB">
            <w:pPr>
              <w:pStyle w:val="TableParagraph"/>
              <w:spacing w:before="36" w:line="213" w:lineRule="auto"/>
              <w:ind w:left="56" w:right="29"/>
              <w:rPr>
                <w:sz w:val="14"/>
              </w:rPr>
            </w:pPr>
            <w:r>
              <w:rPr>
                <w:color w:val="231F20"/>
                <w:sz w:val="14"/>
              </w:rPr>
              <w:t>Ирационалне једна­ чине и неједначине</w:t>
            </w:r>
          </w:p>
        </w:tc>
        <w:tc>
          <w:tcPr>
            <w:tcW w:w="1587" w:type="dxa"/>
          </w:tcPr>
          <w:p w:rsidR="00041039" w:rsidRDefault="001B26CB">
            <w:pPr>
              <w:pStyle w:val="TableParagraph"/>
              <w:numPr>
                <w:ilvl w:val="0"/>
                <w:numId w:val="1006"/>
              </w:numPr>
              <w:tabs>
                <w:tab w:val="left" w:pos="157"/>
              </w:tabs>
              <w:spacing w:before="27" w:line="213" w:lineRule="auto"/>
              <w:ind w:right="48"/>
              <w:rPr>
                <w:sz w:val="14"/>
              </w:rPr>
            </w:pPr>
            <w:r>
              <w:rPr>
                <w:color w:val="231F20"/>
                <w:sz w:val="14"/>
              </w:rPr>
              <w:t>Стицање основних знања о ирационалним једначинама и</w:t>
            </w:r>
            <w:r>
              <w:rPr>
                <w:color w:val="231F20"/>
                <w:spacing w:val="-14"/>
                <w:sz w:val="14"/>
              </w:rPr>
              <w:t xml:space="preserve"> </w:t>
            </w:r>
            <w:r>
              <w:rPr>
                <w:color w:val="231F20"/>
                <w:sz w:val="14"/>
              </w:rPr>
              <w:t>неједна­ чинама.</w:t>
            </w:r>
          </w:p>
        </w:tc>
        <w:tc>
          <w:tcPr>
            <w:tcW w:w="2551" w:type="dxa"/>
          </w:tcPr>
          <w:p w:rsidR="00041039" w:rsidRDefault="001B26CB">
            <w:pPr>
              <w:pStyle w:val="TableParagraph"/>
              <w:numPr>
                <w:ilvl w:val="0"/>
                <w:numId w:val="1005"/>
              </w:numPr>
              <w:tabs>
                <w:tab w:val="left" w:pos="157"/>
              </w:tabs>
              <w:spacing w:before="27" w:line="213" w:lineRule="auto"/>
              <w:ind w:right="402" w:hanging="99"/>
              <w:rPr>
                <w:sz w:val="14"/>
              </w:rPr>
            </w:pPr>
            <w:r>
              <w:rPr>
                <w:color w:val="231F20"/>
                <w:sz w:val="14"/>
              </w:rPr>
              <w:t>реши једноставније ирационалне једначине;</w:t>
            </w:r>
          </w:p>
          <w:p w:rsidR="00041039" w:rsidRDefault="001B26CB">
            <w:pPr>
              <w:pStyle w:val="TableParagraph"/>
              <w:numPr>
                <w:ilvl w:val="0"/>
                <w:numId w:val="1005"/>
              </w:numPr>
              <w:tabs>
                <w:tab w:val="left" w:pos="157"/>
              </w:tabs>
              <w:spacing w:line="213" w:lineRule="auto"/>
              <w:ind w:right="402" w:hanging="99"/>
              <w:rPr>
                <w:sz w:val="14"/>
              </w:rPr>
            </w:pPr>
            <w:r>
              <w:rPr>
                <w:color w:val="231F20"/>
                <w:sz w:val="14"/>
              </w:rPr>
              <w:t>реши једноставније ирационалне неједначине;</w:t>
            </w:r>
          </w:p>
        </w:tc>
        <w:tc>
          <w:tcPr>
            <w:tcW w:w="2834" w:type="dxa"/>
          </w:tcPr>
          <w:p w:rsidR="00041039" w:rsidRDefault="001B26CB">
            <w:pPr>
              <w:pStyle w:val="TableParagraph"/>
              <w:numPr>
                <w:ilvl w:val="0"/>
                <w:numId w:val="1004"/>
              </w:numPr>
              <w:tabs>
                <w:tab w:val="left" w:pos="157"/>
              </w:tabs>
              <w:spacing w:before="12" w:line="158" w:lineRule="exact"/>
              <w:ind w:hanging="99"/>
              <w:rPr>
                <w:sz w:val="14"/>
              </w:rPr>
            </w:pPr>
            <w:r>
              <w:rPr>
                <w:color w:val="231F20"/>
                <w:sz w:val="14"/>
              </w:rPr>
              <w:t>Ирационалне једначине (квадратни</w:t>
            </w:r>
            <w:r>
              <w:rPr>
                <w:color w:val="231F20"/>
                <w:spacing w:val="-16"/>
                <w:sz w:val="14"/>
              </w:rPr>
              <w:t xml:space="preserve"> </w:t>
            </w:r>
            <w:r>
              <w:rPr>
                <w:color w:val="231F20"/>
                <w:sz w:val="14"/>
              </w:rPr>
              <w:t>корен).</w:t>
            </w:r>
          </w:p>
          <w:p w:rsidR="00041039" w:rsidRDefault="001B26CB">
            <w:pPr>
              <w:pStyle w:val="TableParagraph"/>
              <w:numPr>
                <w:ilvl w:val="0"/>
                <w:numId w:val="1004"/>
              </w:numPr>
              <w:tabs>
                <w:tab w:val="left" w:pos="157"/>
              </w:tabs>
              <w:spacing w:line="144" w:lineRule="exact"/>
              <w:ind w:hanging="99"/>
              <w:rPr>
                <w:sz w:val="14"/>
              </w:rPr>
            </w:pPr>
            <w:r>
              <w:rPr>
                <w:color w:val="231F20"/>
                <w:sz w:val="14"/>
              </w:rPr>
              <w:t>Ирационалне једначине (кубни</w:t>
            </w:r>
            <w:r>
              <w:rPr>
                <w:color w:val="231F20"/>
                <w:spacing w:val="-8"/>
                <w:sz w:val="14"/>
              </w:rPr>
              <w:t xml:space="preserve"> </w:t>
            </w:r>
            <w:r>
              <w:rPr>
                <w:color w:val="231F20"/>
                <w:sz w:val="14"/>
              </w:rPr>
              <w:t>корен).</w:t>
            </w:r>
          </w:p>
          <w:p w:rsidR="00041039" w:rsidRDefault="001B26CB">
            <w:pPr>
              <w:pStyle w:val="TableParagraph"/>
              <w:numPr>
                <w:ilvl w:val="0"/>
                <w:numId w:val="1004"/>
              </w:numPr>
              <w:tabs>
                <w:tab w:val="left" w:pos="157"/>
              </w:tabs>
              <w:spacing w:line="158" w:lineRule="exact"/>
              <w:ind w:hanging="99"/>
              <w:rPr>
                <w:sz w:val="14"/>
              </w:rPr>
            </w:pPr>
            <w:r>
              <w:rPr>
                <w:color w:val="231F20"/>
                <w:sz w:val="14"/>
              </w:rPr>
              <w:t>Ирационалне</w:t>
            </w:r>
            <w:r>
              <w:rPr>
                <w:color w:val="231F20"/>
                <w:spacing w:val="-2"/>
                <w:sz w:val="14"/>
              </w:rPr>
              <w:t xml:space="preserve"> </w:t>
            </w:r>
            <w:r>
              <w:rPr>
                <w:color w:val="231F20"/>
                <w:sz w:val="14"/>
              </w:rPr>
              <w:t>неједначине.</w:t>
            </w:r>
          </w:p>
        </w:tc>
        <w:tc>
          <w:tcPr>
            <w:tcW w:w="2267" w:type="dxa"/>
            <w:vMerge/>
            <w:tcBorders>
              <w:top w:val="nil"/>
              <w:bottom w:val="nil"/>
            </w:tcBorders>
          </w:tcPr>
          <w:p w:rsidR="00041039" w:rsidRDefault="00041039">
            <w:pPr>
              <w:rPr>
                <w:sz w:val="2"/>
                <w:szCs w:val="2"/>
              </w:rPr>
            </w:pPr>
          </w:p>
        </w:tc>
      </w:tr>
      <w:tr w:rsidR="00041039">
        <w:trPr>
          <w:trHeight w:val="684"/>
        </w:trPr>
        <w:tc>
          <w:tcPr>
            <w:tcW w:w="1304" w:type="dxa"/>
            <w:tcBorders>
              <w:bottom w:val="nil"/>
            </w:tcBorders>
          </w:tcPr>
          <w:p w:rsidR="00041039" w:rsidRDefault="001B26CB">
            <w:pPr>
              <w:pStyle w:val="TableParagraph"/>
              <w:spacing w:before="22"/>
              <w:ind w:left="56"/>
              <w:rPr>
                <w:sz w:val="14"/>
              </w:rPr>
            </w:pPr>
            <w:r>
              <w:rPr>
                <w:color w:val="231F20"/>
                <w:sz w:val="14"/>
              </w:rPr>
              <w:t>Тригонометрија</w:t>
            </w:r>
          </w:p>
        </w:tc>
        <w:tc>
          <w:tcPr>
            <w:tcW w:w="1587" w:type="dxa"/>
            <w:vMerge w:val="restart"/>
          </w:tcPr>
          <w:p w:rsidR="00041039" w:rsidRDefault="001B26CB">
            <w:pPr>
              <w:pStyle w:val="TableParagraph"/>
              <w:numPr>
                <w:ilvl w:val="0"/>
                <w:numId w:val="1003"/>
              </w:numPr>
              <w:tabs>
                <w:tab w:val="left" w:pos="157"/>
              </w:tabs>
              <w:spacing w:before="28" w:line="213" w:lineRule="auto"/>
              <w:ind w:right="148"/>
              <w:jc w:val="both"/>
              <w:rPr>
                <w:sz w:val="14"/>
              </w:rPr>
            </w:pPr>
            <w:r>
              <w:rPr>
                <w:color w:val="231F20"/>
                <w:sz w:val="14"/>
              </w:rPr>
              <w:t>Проширивање знања о</w:t>
            </w:r>
            <w:r>
              <w:rPr>
                <w:color w:val="231F20"/>
                <w:spacing w:val="-5"/>
                <w:sz w:val="14"/>
              </w:rPr>
              <w:t xml:space="preserve"> </w:t>
            </w:r>
            <w:r>
              <w:rPr>
                <w:color w:val="231F20"/>
                <w:sz w:val="14"/>
              </w:rPr>
              <w:t>тригонометријским функцијама.</w:t>
            </w:r>
          </w:p>
        </w:tc>
        <w:tc>
          <w:tcPr>
            <w:tcW w:w="2551" w:type="dxa"/>
            <w:vMerge w:val="restart"/>
          </w:tcPr>
          <w:p w:rsidR="00041039" w:rsidRDefault="001B26CB">
            <w:pPr>
              <w:pStyle w:val="TableParagraph"/>
              <w:numPr>
                <w:ilvl w:val="0"/>
                <w:numId w:val="1002"/>
              </w:numPr>
              <w:tabs>
                <w:tab w:val="left" w:pos="157"/>
              </w:tabs>
              <w:spacing w:before="28" w:line="213" w:lineRule="auto"/>
              <w:ind w:right="108" w:hanging="99"/>
              <w:rPr>
                <w:sz w:val="14"/>
              </w:rPr>
            </w:pPr>
            <w:r>
              <w:rPr>
                <w:color w:val="231F20"/>
                <w:sz w:val="14"/>
              </w:rPr>
              <w:t>нацрта графике инверзних тригонометријских функција и</w:t>
            </w:r>
            <w:r>
              <w:rPr>
                <w:color w:val="231F20"/>
                <w:spacing w:val="-14"/>
                <w:sz w:val="14"/>
              </w:rPr>
              <w:t xml:space="preserve"> </w:t>
            </w:r>
            <w:r>
              <w:rPr>
                <w:color w:val="231F20"/>
                <w:sz w:val="14"/>
              </w:rPr>
              <w:t>наведе њихове основне</w:t>
            </w:r>
            <w:r>
              <w:rPr>
                <w:color w:val="231F20"/>
                <w:spacing w:val="-1"/>
                <w:sz w:val="14"/>
              </w:rPr>
              <w:t xml:space="preserve"> </w:t>
            </w:r>
            <w:r>
              <w:rPr>
                <w:color w:val="231F20"/>
                <w:sz w:val="14"/>
              </w:rPr>
              <w:t>особине;</w:t>
            </w:r>
          </w:p>
          <w:p w:rsidR="00041039" w:rsidRDefault="001B26CB">
            <w:pPr>
              <w:pStyle w:val="TableParagraph"/>
              <w:numPr>
                <w:ilvl w:val="0"/>
                <w:numId w:val="1002"/>
              </w:numPr>
              <w:tabs>
                <w:tab w:val="left" w:pos="157"/>
              </w:tabs>
              <w:spacing w:line="213" w:lineRule="auto"/>
              <w:ind w:right="358" w:hanging="99"/>
              <w:jc w:val="both"/>
              <w:rPr>
                <w:sz w:val="14"/>
              </w:rPr>
            </w:pPr>
            <w:r>
              <w:rPr>
                <w:color w:val="231F20"/>
                <w:sz w:val="14"/>
              </w:rPr>
              <w:t>упрости израз применом</w:t>
            </w:r>
            <w:r>
              <w:rPr>
                <w:color w:val="231F20"/>
                <w:spacing w:val="-20"/>
                <w:sz w:val="14"/>
              </w:rPr>
              <w:t xml:space="preserve"> </w:t>
            </w:r>
            <w:r>
              <w:rPr>
                <w:color w:val="231F20"/>
                <w:sz w:val="14"/>
              </w:rPr>
              <w:t>формула за претварање производа у збир и обрнуто;</w:t>
            </w:r>
          </w:p>
          <w:p w:rsidR="00041039" w:rsidRDefault="001B26CB">
            <w:pPr>
              <w:pStyle w:val="TableParagraph"/>
              <w:numPr>
                <w:ilvl w:val="0"/>
                <w:numId w:val="1002"/>
              </w:numPr>
              <w:tabs>
                <w:tab w:val="left" w:pos="157"/>
              </w:tabs>
              <w:spacing w:line="213" w:lineRule="auto"/>
              <w:ind w:right="58" w:hanging="99"/>
              <w:rPr>
                <w:sz w:val="14"/>
              </w:rPr>
            </w:pPr>
            <w:r>
              <w:rPr>
                <w:color w:val="231F20"/>
                <w:sz w:val="14"/>
              </w:rPr>
              <w:t>докаже једноставније идентитете применом</w:t>
            </w:r>
            <w:r>
              <w:rPr>
                <w:color w:val="231F20"/>
                <w:spacing w:val="-7"/>
                <w:sz w:val="14"/>
              </w:rPr>
              <w:t xml:space="preserve"> </w:t>
            </w:r>
            <w:r>
              <w:rPr>
                <w:color w:val="231F20"/>
                <w:sz w:val="14"/>
              </w:rPr>
              <w:t>формула</w:t>
            </w:r>
            <w:r>
              <w:rPr>
                <w:color w:val="231F20"/>
                <w:spacing w:val="-8"/>
                <w:sz w:val="14"/>
              </w:rPr>
              <w:t xml:space="preserve"> </w:t>
            </w:r>
            <w:r>
              <w:rPr>
                <w:color w:val="231F20"/>
                <w:sz w:val="14"/>
              </w:rPr>
              <w:t>за</w:t>
            </w:r>
            <w:r>
              <w:rPr>
                <w:color w:val="231F20"/>
                <w:spacing w:val="-8"/>
                <w:sz w:val="14"/>
              </w:rPr>
              <w:t xml:space="preserve"> </w:t>
            </w:r>
            <w:r>
              <w:rPr>
                <w:color w:val="231F20"/>
                <w:sz w:val="14"/>
              </w:rPr>
              <w:t>претварање</w:t>
            </w:r>
            <w:r>
              <w:rPr>
                <w:color w:val="231F20"/>
                <w:spacing w:val="-7"/>
                <w:sz w:val="14"/>
              </w:rPr>
              <w:t xml:space="preserve"> </w:t>
            </w:r>
            <w:r>
              <w:rPr>
                <w:color w:val="231F20"/>
                <w:sz w:val="14"/>
              </w:rPr>
              <w:t>про­ извода у збир и</w:t>
            </w:r>
            <w:r>
              <w:rPr>
                <w:color w:val="231F20"/>
                <w:spacing w:val="-4"/>
                <w:sz w:val="14"/>
              </w:rPr>
              <w:t xml:space="preserve"> </w:t>
            </w:r>
            <w:r>
              <w:rPr>
                <w:color w:val="231F20"/>
                <w:sz w:val="14"/>
              </w:rPr>
              <w:t>обрнуто;</w:t>
            </w:r>
          </w:p>
          <w:p w:rsidR="00041039" w:rsidRDefault="001B26CB">
            <w:pPr>
              <w:pStyle w:val="TableParagraph"/>
              <w:numPr>
                <w:ilvl w:val="0"/>
                <w:numId w:val="1002"/>
              </w:numPr>
              <w:tabs>
                <w:tab w:val="left" w:pos="157"/>
              </w:tabs>
              <w:spacing w:line="213" w:lineRule="auto"/>
              <w:ind w:right="314" w:hanging="99"/>
              <w:rPr>
                <w:sz w:val="14"/>
              </w:rPr>
            </w:pPr>
            <w:r>
              <w:rPr>
                <w:color w:val="231F20"/>
                <w:sz w:val="14"/>
              </w:rPr>
              <w:t xml:space="preserve">реши тригонометријску </w:t>
            </w:r>
            <w:r>
              <w:rPr>
                <w:color w:val="231F20"/>
                <w:spacing w:val="-3"/>
                <w:sz w:val="14"/>
              </w:rPr>
              <w:t xml:space="preserve">једначину, </w:t>
            </w:r>
            <w:r>
              <w:rPr>
                <w:color w:val="231F20"/>
                <w:sz w:val="14"/>
              </w:rPr>
              <w:t>односно</w:t>
            </w:r>
            <w:r>
              <w:rPr>
                <w:color w:val="231F20"/>
                <w:spacing w:val="-1"/>
                <w:sz w:val="14"/>
              </w:rPr>
              <w:t xml:space="preserve"> </w:t>
            </w:r>
            <w:r>
              <w:rPr>
                <w:color w:val="231F20"/>
                <w:sz w:val="14"/>
              </w:rPr>
              <w:t>неједначину;</w:t>
            </w:r>
          </w:p>
          <w:p w:rsidR="00041039" w:rsidRDefault="001B26CB">
            <w:pPr>
              <w:pStyle w:val="TableParagraph"/>
              <w:numPr>
                <w:ilvl w:val="0"/>
                <w:numId w:val="1002"/>
              </w:numPr>
              <w:tabs>
                <w:tab w:val="left" w:pos="157"/>
              </w:tabs>
              <w:spacing w:line="213" w:lineRule="auto"/>
              <w:ind w:right="719" w:hanging="99"/>
              <w:rPr>
                <w:sz w:val="14"/>
              </w:rPr>
            </w:pPr>
            <w:r>
              <w:rPr>
                <w:color w:val="231F20"/>
                <w:sz w:val="14"/>
              </w:rPr>
              <w:t>претвори комплексан број</w:t>
            </w:r>
            <w:r>
              <w:rPr>
                <w:color w:val="231F20"/>
                <w:spacing w:val="-18"/>
                <w:sz w:val="14"/>
              </w:rPr>
              <w:t xml:space="preserve"> </w:t>
            </w:r>
            <w:r>
              <w:rPr>
                <w:color w:val="231F20"/>
                <w:sz w:val="14"/>
              </w:rPr>
              <w:t>у тригонометријски</w:t>
            </w:r>
            <w:r>
              <w:rPr>
                <w:color w:val="231F20"/>
                <w:spacing w:val="-3"/>
                <w:sz w:val="14"/>
              </w:rPr>
              <w:t xml:space="preserve"> </w:t>
            </w:r>
            <w:r>
              <w:rPr>
                <w:color w:val="231F20"/>
                <w:sz w:val="14"/>
              </w:rPr>
              <w:t>облик;</w:t>
            </w:r>
          </w:p>
          <w:p w:rsidR="00041039" w:rsidRDefault="001B26CB">
            <w:pPr>
              <w:pStyle w:val="TableParagraph"/>
              <w:numPr>
                <w:ilvl w:val="0"/>
                <w:numId w:val="1002"/>
              </w:numPr>
              <w:tabs>
                <w:tab w:val="left" w:pos="157"/>
              </w:tabs>
              <w:spacing w:line="144" w:lineRule="exact"/>
              <w:ind w:hanging="99"/>
              <w:rPr>
                <w:sz w:val="14"/>
              </w:rPr>
            </w:pPr>
            <w:r>
              <w:rPr>
                <w:color w:val="231F20"/>
                <w:sz w:val="14"/>
              </w:rPr>
              <w:t>примени Моаврову</w:t>
            </w:r>
            <w:r>
              <w:rPr>
                <w:color w:val="231F20"/>
                <w:spacing w:val="-4"/>
                <w:sz w:val="14"/>
              </w:rPr>
              <w:t xml:space="preserve"> </w:t>
            </w:r>
            <w:r>
              <w:rPr>
                <w:color w:val="231F20"/>
                <w:sz w:val="14"/>
              </w:rPr>
              <w:t>формулу;</w:t>
            </w:r>
          </w:p>
        </w:tc>
        <w:tc>
          <w:tcPr>
            <w:tcW w:w="2834" w:type="dxa"/>
            <w:vMerge w:val="restart"/>
          </w:tcPr>
          <w:p w:rsidR="00041039" w:rsidRDefault="001B26CB">
            <w:pPr>
              <w:pStyle w:val="TableParagraph"/>
              <w:numPr>
                <w:ilvl w:val="0"/>
                <w:numId w:val="1001"/>
              </w:numPr>
              <w:tabs>
                <w:tab w:val="left" w:pos="158"/>
              </w:tabs>
              <w:spacing w:before="29" w:line="213" w:lineRule="auto"/>
              <w:ind w:right="306"/>
              <w:rPr>
                <w:sz w:val="14"/>
              </w:rPr>
            </w:pPr>
            <w:r>
              <w:rPr>
                <w:color w:val="231F20"/>
                <w:sz w:val="14"/>
              </w:rPr>
              <w:t>Инверзне тригонометријске функције</w:t>
            </w:r>
            <w:r>
              <w:rPr>
                <w:color w:val="231F20"/>
                <w:spacing w:val="-17"/>
                <w:sz w:val="14"/>
              </w:rPr>
              <w:t xml:space="preserve"> </w:t>
            </w:r>
            <w:r>
              <w:rPr>
                <w:color w:val="231F20"/>
                <w:sz w:val="14"/>
              </w:rPr>
              <w:t>и њихови</w:t>
            </w:r>
            <w:r>
              <w:rPr>
                <w:color w:val="231F20"/>
                <w:spacing w:val="-1"/>
                <w:sz w:val="14"/>
              </w:rPr>
              <w:t xml:space="preserve"> </w:t>
            </w:r>
            <w:r>
              <w:rPr>
                <w:color w:val="231F20"/>
                <w:sz w:val="14"/>
              </w:rPr>
              <w:t>графици.</w:t>
            </w:r>
          </w:p>
          <w:p w:rsidR="00041039" w:rsidRDefault="001B26CB">
            <w:pPr>
              <w:pStyle w:val="TableParagraph"/>
              <w:numPr>
                <w:ilvl w:val="0"/>
                <w:numId w:val="1001"/>
              </w:numPr>
              <w:tabs>
                <w:tab w:val="left" w:pos="158"/>
              </w:tabs>
              <w:spacing w:line="213" w:lineRule="auto"/>
              <w:ind w:right="122"/>
              <w:rPr>
                <w:sz w:val="14"/>
              </w:rPr>
            </w:pPr>
            <w:r>
              <w:rPr>
                <w:color w:val="231F20"/>
                <w:sz w:val="14"/>
              </w:rPr>
              <w:t>Претварање производа</w:t>
            </w:r>
            <w:r>
              <w:rPr>
                <w:color w:val="231F20"/>
                <w:spacing w:val="-19"/>
                <w:sz w:val="14"/>
              </w:rPr>
              <w:t xml:space="preserve"> </w:t>
            </w:r>
            <w:r>
              <w:rPr>
                <w:color w:val="231F20"/>
                <w:sz w:val="14"/>
              </w:rPr>
              <w:t>тригонометријских функција у збир тригонометријских функција.</w:t>
            </w:r>
          </w:p>
          <w:p w:rsidR="00041039" w:rsidRDefault="001B26CB">
            <w:pPr>
              <w:pStyle w:val="TableParagraph"/>
              <w:numPr>
                <w:ilvl w:val="0"/>
                <w:numId w:val="1001"/>
              </w:numPr>
              <w:tabs>
                <w:tab w:val="left" w:pos="158"/>
              </w:tabs>
              <w:spacing w:line="213" w:lineRule="auto"/>
              <w:ind w:right="244"/>
              <w:rPr>
                <w:sz w:val="14"/>
              </w:rPr>
            </w:pPr>
            <w:r>
              <w:rPr>
                <w:color w:val="231F20"/>
                <w:sz w:val="14"/>
              </w:rPr>
              <w:t>Претварање збира тригонометријских функција у производ</w:t>
            </w:r>
            <w:r>
              <w:rPr>
                <w:color w:val="231F20"/>
                <w:spacing w:val="-18"/>
                <w:sz w:val="14"/>
              </w:rPr>
              <w:t xml:space="preserve"> </w:t>
            </w:r>
            <w:r>
              <w:rPr>
                <w:color w:val="231F20"/>
                <w:sz w:val="14"/>
              </w:rPr>
              <w:t>тригонометријских функција.</w:t>
            </w:r>
          </w:p>
          <w:p w:rsidR="00041039" w:rsidRDefault="001B26CB">
            <w:pPr>
              <w:pStyle w:val="TableParagraph"/>
              <w:numPr>
                <w:ilvl w:val="0"/>
                <w:numId w:val="1001"/>
              </w:numPr>
              <w:tabs>
                <w:tab w:val="left" w:pos="158"/>
              </w:tabs>
              <w:spacing w:line="135" w:lineRule="exact"/>
              <w:rPr>
                <w:sz w:val="14"/>
              </w:rPr>
            </w:pPr>
            <w:r>
              <w:rPr>
                <w:color w:val="231F20"/>
                <w:sz w:val="14"/>
              </w:rPr>
              <w:t>Тригонометријске</w:t>
            </w:r>
            <w:r>
              <w:rPr>
                <w:color w:val="231F20"/>
                <w:spacing w:val="-1"/>
                <w:sz w:val="14"/>
              </w:rPr>
              <w:t xml:space="preserve"> </w:t>
            </w:r>
            <w:r>
              <w:rPr>
                <w:color w:val="231F20"/>
                <w:sz w:val="14"/>
              </w:rPr>
              <w:t>једначине.</w:t>
            </w:r>
          </w:p>
          <w:p w:rsidR="00041039" w:rsidRDefault="001B26CB">
            <w:pPr>
              <w:pStyle w:val="TableParagraph"/>
              <w:numPr>
                <w:ilvl w:val="0"/>
                <w:numId w:val="1001"/>
              </w:numPr>
              <w:tabs>
                <w:tab w:val="left" w:pos="158"/>
              </w:tabs>
              <w:spacing w:line="144" w:lineRule="exact"/>
              <w:rPr>
                <w:sz w:val="14"/>
              </w:rPr>
            </w:pPr>
            <w:r>
              <w:rPr>
                <w:color w:val="231F20"/>
                <w:sz w:val="14"/>
              </w:rPr>
              <w:t>Тригонометријске</w:t>
            </w:r>
            <w:r>
              <w:rPr>
                <w:color w:val="231F20"/>
                <w:spacing w:val="-2"/>
                <w:sz w:val="14"/>
              </w:rPr>
              <w:t xml:space="preserve"> </w:t>
            </w:r>
            <w:r>
              <w:rPr>
                <w:color w:val="231F20"/>
                <w:sz w:val="14"/>
              </w:rPr>
              <w:t>неједначине.</w:t>
            </w:r>
          </w:p>
          <w:p w:rsidR="00041039" w:rsidRDefault="001B26CB">
            <w:pPr>
              <w:pStyle w:val="TableParagraph"/>
              <w:numPr>
                <w:ilvl w:val="0"/>
                <w:numId w:val="1001"/>
              </w:numPr>
              <w:tabs>
                <w:tab w:val="left" w:pos="158"/>
              </w:tabs>
              <w:spacing w:line="213" w:lineRule="auto"/>
              <w:ind w:right="397"/>
              <w:rPr>
                <w:sz w:val="14"/>
              </w:rPr>
            </w:pPr>
            <w:r>
              <w:rPr>
                <w:color w:val="231F20"/>
                <w:sz w:val="14"/>
              </w:rPr>
              <w:t>Тригонометријски</w:t>
            </w:r>
            <w:r>
              <w:rPr>
                <w:color w:val="231F20"/>
                <w:spacing w:val="-15"/>
                <w:sz w:val="14"/>
              </w:rPr>
              <w:t xml:space="preserve"> </w:t>
            </w:r>
            <w:r>
              <w:rPr>
                <w:color w:val="231F20"/>
                <w:sz w:val="14"/>
              </w:rPr>
              <w:t>облик</w:t>
            </w:r>
            <w:r>
              <w:rPr>
                <w:color w:val="231F20"/>
                <w:spacing w:val="-16"/>
                <w:sz w:val="14"/>
              </w:rPr>
              <w:t xml:space="preserve"> </w:t>
            </w:r>
            <w:r>
              <w:rPr>
                <w:color w:val="231F20"/>
                <w:sz w:val="14"/>
              </w:rPr>
              <w:t>комплексног броја.</w:t>
            </w:r>
          </w:p>
          <w:p w:rsidR="00041039" w:rsidRDefault="001B26CB">
            <w:pPr>
              <w:pStyle w:val="TableParagraph"/>
              <w:numPr>
                <w:ilvl w:val="0"/>
                <w:numId w:val="1001"/>
              </w:numPr>
              <w:tabs>
                <w:tab w:val="left" w:pos="158"/>
              </w:tabs>
              <w:spacing w:line="148" w:lineRule="exact"/>
              <w:rPr>
                <w:sz w:val="14"/>
              </w:rPr>
            </w:pPr>
            <w:r>
              <w:rPr>
                <w:color w:val="231F20"/>
                <w:sz w:val="14"/>
              </w:rPr>
              <w:t>Моаврова</w:t>
            </w:r>
            <w:r>
              <w:rPr>
                <w:color w:val="231F20"/>
                <w:spacing w:val="-1"/>
                <w:sz w:val="14"/>
              </w:rPr>
              <w:t xml:space="preserve"> </w:t>
            </w:r>
            <w:r>
              <w:rPr>
                <w:color w:val="231F20"/>
                <w:sz w:val="14"/>
              </w:rPr>
              <w:t>формула.</w:t>
            </w:r>
          </w:p>
        </w:tc>
        <w:tc>
          <w:tcPr>
            <w:tcW w:w="2267" w:type="dxa"/>
            <w:tcBorders>
              <w:top w:val="nil"/>
              <w:bottom w:val="nil"/>
            </w:tcBorders>
          </w:tcPr>
          <w:p w:rsidR="00041039" w:rsidRDefault="001B26CB">
            <w:pPr>
              <w:pStyle w:val="TableParagraph"/>
              <w:spacing w:before="30" w:line="153" w:lineRule="exact"/>
              <w:ind w:left="58"/>
              <w:rPr>
                <w:b/>
                <w:sz w:val="14"/>
              </w:rPr>
            </w:pPr>
            <w:r>
              <w:rPr>
                <w:b/>
                <w:color w:val="231F20"/>
                <w:sz w:val="14"/>
              </w:rPr>
              <w:t>Место реализације наставе</w:t>
            </w:r>
          </w:p>
          <w:p w:rsidR="00041039" w:rsidRDefault="001B26CB">
            <w:pPr>
              <w:pStyle w:val="TableParagraph"/>
              <w:spacing w:line="139" w:lineRule="exact"/>
              <w:ind w:left="58"/>
              <w:rPr>
                <w:sz w:val="14"/>
              </w:rPr>
            </w:pPr>
            <w:r>
              <w:rPr>
                <w:color w:val="231F20"/>
                <w:sz w:val="14"/>
              </w:rPr>
              <w:t>Теоријска настава се реализује у:</w:t>
            </w:r>
          </w:p>
          <w:p w:rsidR="00041039" w:rsidRDefault="001B26CB">
            <w:pPr>
              <w:pStyle w:val="TableParagraph"/>
              <w:numPr>
                <w:ilvl w:val="0"/>
                <w:numId w:val="1000"/>
              </w:numPr>
              <w:tabs>
                <w:tab w:val="left" w:pos="158"/>
              </w:tabs>
              <w:spacing w:line="144"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000"/>
              </w:numPr>
              <w:tabs>
                <w:tab w:val="left" w:pos="158"/>
              </w:tabs>
              <w:spacing w:line="158" w:lineRule="exact"/>
              <w:ind w:hanging="99"/>
              <w:rPr>
                <w:sz w:val="14"/>
              </w:rPr>
            </w:pPr>
            <w:r>
              <w:rPr>
                <w:color w:val="231F20"/>
                <w:sz w:val="14"/>
              </w:rPr>
              <w:t>учионици</w:t>
            </w:r>
          </w:p>
        </w:tc>
      </w:tr>
      <w:tr w:rsidR="00041039">
        <w:trPr>
          <w:trHeight w:val="1377"/>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69" w:line="213" w:lineRule="auto"/>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999"/>
              </w:numPr>
              <w:tabs>
                <w:tab w:val="left" w:pos="158"/>
              </w:tabs>
              <w:spacing w:line="213" w:lineRule="auto"/>
              <w:ind w:right="197" w:hanging="99"/>
              <w:rPr>
                <w:sz w:val="14"/>
              </w:rPr>
            </w:pPr>
            <w:r>
              <w:rPr>
                <w:color w:val="231F20"/>
                <w:sz w:val="14"/>
              </w:rPr>
              <w:t>образложити циљ предмета,</w:t>
            </w:r>
            <w:r>
              <w:rPr>
                <w:color w:val="231F20"/>
                <w:spacing w:val="-12"/>
                <w:sz w:val="14"/>
              </w:rPr>
              <w:t xml:space="preserve"> </w:t>
            </w:r>
            <w:r>
              <w:rPr>
                <w:color w:val="231F20"/>
                <w:sz w:val="14"/>
              </w:rPr>
              <w:t>на­ чин и критеријум</w:t>
            </w:r>
            <w:r>
              <w:rPr>
                <w:color w:val="231F20"/>
                <w:spacing w:val="-3"/>
                <w:sz w:val="14"/>
              </w:rPr>
              <w:t xml:space="preserve"> </w:t>
            </w:r>
            <w:r>
              <w:rPr>
                <w:color w:val="231F20"/>
                <w:sz w:val="14"/>
              </w:rPr>
              <w:t>оцењивања;</w:t>
            </w:r>
          </w:p>
          <w:p w:rsidR="00041039" w:rsidRDefault="001B26CB">
            <w:pPr>
              <w:pStyle w:val="TableParagraph"/>
              <w:numPr>
                <w:ilvl w:val="0"/>
                <w:numId w:val="999"/>
              </w:numPr>
              <w:tabs>
                <w:tab w:val="left" w:pos="158"/>
              </w:tabs>
              <w:spacing w:line="213" w:lineRule="auto"/>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999"/>
              </w:numPr>
              <w:tabs>
                <w:tab w:val="left" w:pos="154"/>
              </w:tabs>
              <w:spacing w:line="213" w:lineRule="auto"/>
              <w:ind w:left="153" w:right="132" w:hanging="95"/>
              <w:rPr>
                <w:sz w:val="14"/>
              </w:rPr>
            </w:pPr>
            <w:r>
              <w:rPr>
                <w:color w:val="231F20"/>
                <w:spacing w:val="-4"/>
                <w:sz w:val="14"/>
              </w:rPr>
              <w:t xml:space="preserve">подстицати </w:t>
            </w:r>
            <w:r>
              <w:rPr>
                <w:color w:val="231F20"/>
                <w:spacing w:val="-3"/>
                <w:sz w:val="14"/>
              </w:rPr>
              <w:t xml:space="preserve">ученике </w:t>
            </w:r>
            <w:r>
              <w:rPr>
                <w:color w:val="231F20"/>
                <w:sz w:val="14"/>
              </w:rPr>
              <w:t xml:space="preserve">на </w:t>
            </w:r>
            <w:r>
              <w:rPr>
                <w:color w:val="231F20"/>
                <w:spacing w:val="-3"/>
                <w:sz w:val="14"/>
              </w:rPr>
              <w:t xml:space="preserve">размиш­ љање </w:t>
            </w:r>
            <w:r>
              <w:rPr>
                <w:color w:val="231F20"/>
                <w:sz w:val="14"/>
              </w:rPr>
              <w:t>и самостално</w:t>
            </w:r>
            <w:r>
              <w:rPr>
                <w:color w:val="231F20"/>
                <w:spacing w:val="-22"/>
                <w:sz w:val="14"/>
              </w:rPr>
              <w:t xml:space="preserve"> </w:t>
            </w:r>
            <w:r>
              <w:rPr>
                <w:color w:val="231F20"/>
                <w:spacing w:val="-3"/>
                <w:sz w:val="14"/>
              </w:rPr>
              <w:t>закључивање;</w:t>
            </w:r>
          </w:p>
          <w:p w:rsidR="00041039" w:rsidRDefault="001B26CB">
            <w:pPr>
              <w:pStyle w:val="TableParagraph"/>
              <w:numPr>
                <w:ilvl w:val="0"/>
                <w:numId w:val="999"/>
              </w:numPr>
              <w:tabs>
                <w:tab w:val="left" w:pos="158"/>
              </w:tabs>
              <w:spacing w:line="213" w:lineRule="auto"/>
              <w:ind w:right="57" w:hanging="99"/>
              <w:rPr>
                <w:sz w:val="14"/>
              </w:rPr>
            </w:pPr>
            <w:r>
              <w:rPr>
                <w:color w:val="231F20"/>
                <w:sz w:val="14"/>
              </w:rPr>
              <w:t xml:space="preserve">примењивати разноврсне облике и методе рада, </w:t>
            </w:r>
            <w:r>
              <w:rPr>
                <w:color w:val="231F20"/>
                <w:spacing w:val="-3"/>
                <w:sz w:val="14"/>
              </w:rPr>
              <w:t xml:space="preserve">како </w:t>
            </w:r>
            <w:r>
              <w:rPr>
                <w:color w:val="231F20"/>
                <w:sz w:val="14"/>
              </w:rPr>
              <w:t>би се подстак­ ла активн</w:t>
            </w:r>
            <w:r>
              <w:rPr>
                <w:color w:val="231F20"/>
                <w:sz w:val="14"/>
              </w:rPr>
              <w:t>ост</w:t>
            </w:r>
            <w:r>
              <w:rPr>
                <w:color w:val="231F20"/>
                <w:spacing w:val="-2"/>
                <w:sz w:val="14"/>
              </w:rPr>
              <w:t xml:space="preserve"> </w:t>
            </w:r>
            <w:r>
              <w:rPr>
                <w:color w:val="231F20"/>
                <w:sz w:val="14"/>
              </w:rPr>
              <w:t>ученика;</w:t>
            </w:r>
          </w:p>
          <w:p w:rsidR="00041039" w:rsidRDefault="001B26CB">
            <w:pPr>
              <w:pStyle w:val="TableParagraph"/>
              <w:numPr>
                <w:ilvl w:val="0"/>
                <w:numId w:val="999"/>
              </w:numPr>
              <w:tabs>
                <w:tab w:val="left" w:pos="158"/>
              </w:tabs>
              <w:spacing w:line="213" w:lineRule="auto"/>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999"/>
              </w:numPr>
              <w:tabs>
                <w:tab w:val="left" w:pos="158"/>
              </w:tabs>
              <w:spacing w:line="213" w:lineRule="auto"/>
              <w:ind w:right="309" w:hanging="99"/>
              <w:rPr>
                <w:sz w:val="14"/>
              </w:rPr>
            </w:pPr>
            <w:r>
              <w:rPr>
                <w:color w:val="231F20"/>
                <w:sz w:val="14"/>
              </w:rPr>
              <w:t>упућивати ученике на претраживање различитих извора и примену савремених технологија;</w:t>
            </w:r>
          </w:p>
          <w:p w:rsidR="00041039" w:rsidRDefault="001B26CB">
            <w:pPr>
              <w:pStyle w:val="TableParagraph"/>
              <w:numPr>
                <w:ilvl w:val="0"/>
                <w:numId w:val="998"/>
              </w:numPr>
              <w:tabs>
                <w:tab w:val="left" w:pos="143"/>
              </w:tabs>
              <w:spacing w:line="213" w:lineRule="auto"/>
              <w:ind w:right="296"/>
              <w:rPr>
                <w:sz w:val="14"/>
              </w:rPr>
            </w:pPr>
            <w:r>
              <w:rPr>
                <w:b/>
                <w:color w:val="231F20"/>
                <w:sz w:val="14"/>
              </w:rPr>
              <w:t xml:space="preserve">Ирационалне једначине и неједначине: </w:t>
            </w:r>
            <w:r>
              <w:rPr>
                <w:color w:val="231F20"/>
                <w:sz w:val="14"/>
              </w:rPr>
              <w:t>наглашавати</w:t>
            </w:r>
            <w:r>
              <w:rPr>
                <w:color w:val="231F20"/>
                <w:spacing w:val="-28"/>
                <w:sz w:val="14"/>
              </w:rPr>
              <w:t xml:space="preserve"> </w:t>
            </w:r>
            <w:r>
              <w:rPr>
                <w:color w:val="231F20"/>
                <w:sz w:val="14"/>
              </w:rPr>
              <w:t>не­ опходност постављања</w:t>
            </w:r>
            <w:r>
              <w:rPr>
                <w:color w:val="231F20"/>
                <w:spacing w:val="-7"/>
                <w:sz w:val="14"/>
              </w:rPr>
              <w:t xml:space="preserve"> </w:t>
            </w:r>
            <w:r>
              <w:rPr>
                <w:color w:val="231F20"/>
                <w:sz w:val="14"/>
              </w:rPr>
              <w:t>услова за дефинисаност.</w:t>
            </w:r>
            <w:r>
              <w:rPr>
                <w:color w:val="231F20"/>
                <w:spacing w:val="-16"/>
                <w:sz w:val="14"/>
              </w:rPr>
              <w:t xml:space="preserve"> </w:t>
            </w:r>
            <w:r>
              <w:rPr>
                <w:color w:val="231F20"/>
                <w:sz w:val="14"/>
              </w:rPr>
              <w:t>Неједначине обрадити на једноставнијим примерима.</w:t>
            </w:r>
          </w:p>
          <w:p w:rsidR="00041039" w:rsidRDefault="001B26CB">
            <w:pPr>
              <w:pStyle w:val="TableParagraph"/>
              <w:numPr>
                <w:ilvl w:val="0"/>
                <w:numId w:val="998"/>
              </w:numPr>
              <w:tabs>
                <w:tab w:val="left" w:pos="143"/>
              </w:tabs>
              <w:spacing w:line="213" w:lineRule="auto"/>
              <w:ind w:right="95"/>
              <w:rPr>
                <w:sz w:val="14"/>
              </w:rPr>
            </w:pPr>
            <w:r>
              <w:rPr>
                <w:b/>
                <w:color w:val="231F20"/>
                <w:sz w:val="14"/>
              </w:rPr>
              <w:t xml:space="preserve">Тригонометрија: </w:t>
            </w:r>
            <w:r>
              <w:rPr>
                <w:color w:val="231F20"/>
                <w:sz w:val="14"/>
              </w:rPr>
              <w:t>доказати формуле за трансформацију производа тригонометријских функција у збир и обрнуто. При решавању тригонометријских једначина н неједначина</w:t>
            </w:r>
            <w:r>
              <w:rPr>
                <w:color w:val="231F20"/>
                <w:spacing w:val="-25"/>
                <w:sz w:val="14"/>
              </w:rPr>
              <w:t xml:space="preserve"> </w:t>
            </w:r>
            <w:r>
              <w:rPr>
                <w:color w:val="231F20"/>
                <w:sz w:val="14"/>
              </w:rPr>
              <w:t>инсисти­ рати на приказивању решења на тригонометријском</w:t>
            </w:r>
            <w:r>
              <w:rPr>
                <w:color w:val="231F20"/>
                <w:spacing w:val="-1"/>
                <w:sz w:val="14"/>
              </w:rPr>
              <w:t xml:space="preserve"> </w:t>
            </w:r>
            <w:r>
              <w:rPr>
                <w:color w:val="231F20"/>
                <w:spacing w:val="-3"/>
                <w:sz w:val="14"/>
              </w:rPr>
              <w:t>кругу.</w:t>
            </w:r>
          </w:p>
          <w:p w:rsidR="00041039" w:rsidRDefault="001B26CB">
            <w:pPr>
              <w:pStyle w:val="TableParagraph"/>
              <w:numPr>
                <w:ilvl w:val="0"/>
                <w:numId w:val="998"/>
              </w:numPr>
              <w:tabs>
                <w:tab w:val="left" w:pos="143"/>
              </w:tabs>
              <w:spacing w:line="213" w:lineRule="auto"/>
              <w:ind w:right="48"/>
              <w:rPr>
                <w:sz w:val="14"/>
              </w:rPr>
            </w:pPr>
            <w:r>
              <w:rPr>
                <w:b/>
                <w:color w:val="231F20"/>
                <w:sz w:val="14"/>
              </w:rPr>
              <w:t xml:space="preserve">Конусни пресеци: </w:t>
            </w:r>
            <w:r>
              <w:rPr>
                <w:color w:val="231F20"/>
                <w:sz w:val="14"/>
              </w:rPr>
              <w:t>на почетку теме обновити праву и кружницу. Обрадити и примере у којима се одређују једначине заједничких тангенти кривих, угао између</w:t>
            </w:r>
            <w:r>
              <w:rPr>
                <w:color w:val="231F20"/>
                <w:spacing w:val="-4"/>
                <w:sz w:val="14"/>
              </w:rPr>
              <w:t xml:space="preserve"> </w:t>
            </w:r>
            <w:r>
              <w:rPr>
                <w:color w:val="231F20"/>
                <w:sz w:val="14"/>
              </w:rPr>
              <w:t>кри­ вих и геометријско место тачака које</w:t>
            </w:r>
            <w:r>
              <w:rPr>
                <w:color w:val="231F20"/>
                <w:sz w:val="14"/>
              </w:rPr>
              <w:t xml:space="preserve"> испуњавају одређене</w:t>
            </w:r>
            <w:r>
              <w:rPr>
                <w:color w:val="231F20"/>
                <w:spacing w:val="-13"/>
                <w:sz w:val="14"/>
              </w:rPr>
              <w:t xml:space="preserve"> </w:t>
            </w:r>
            <w:r>
              <w:rPr>
                <w:color w:val="231F20"/>
                <w:sz w:val="14"/>
              </w:rPr>
              <w:t>услове.</w:t>
            </w:r>
          </w:p>
        </w:tc>
      </w:tr>
      <w:tr w:rsidR="00041039">
        <w:trPr>
          <w:trHeight w:val="4355"/>
        </w:trPr>
        <w:tc>
          <w:tcPr>
            <w:tcW w:w="1304" w:type="dxa"/>
            <w:tcBorders>
              <w:bottom w:val="nil"/>
            </w:tcBorders>
          </w:tcPr>
          <w:p w:rsidR="00041039" w:rsidRDefault="001B26CB">
            <w:pPr>
              <w:pStyle w:val="TableParagraph"/>
              <w:spacing w:before="15"/>
              <w:ind w:left="57"/>
              <w:rPr>
                <w:sz w:val="14"/>
              </w:rPr>
            </w:pPr>
            <w:r>
              <w:rPr>
                <w:color w:val="231F20"/>
                <w:sz w:val="14"/>
              </w:rPr>
              <w:t>Конусни пресеци</w:t>
            </w:r>
          </w:p>
        </w:tc>
        <w:tc>
          <w:tcPr>
            <w:tcW w:w="1587" w:type="dxa"/>
            <w:vMerge w:val="restart"/>
          </w:tcPr>
          <w:p w:rsidR="00041039" w:rsidRDefault="001B26CB">
            <w:pPr>
              <w:pStyle w:val="TableParagraph"/>
              <w:numPr>
                <w:ilvl w:val="0"/>
                <w:numId w:val="997"/>
              </w:numPr>
              <w:tabs>
                <w:tab w:val="left" w:pos="157"/>
              </w:tabs>
              <w:spacing w:before="21" w:line="213" w:lineRule="auto"/>
              <w:ind w:right="113" w:hanging="99"/>
              <w:rPr>
                <w:sz w:val="14"/>
              </w:rPr>
            </w:pPr>
            <w:r>
              <w:rPr>
                <w:color w:val="231F20"/>
                <w:sz w:val="14"/>
              </w:rPr>
              <w:t>Проширивање знања о аналитичкој</w:t>
            </w:r>
            <w:r>
              <w:rPr>
                <w:color w:val="231F20"/>
                <w:spacing w:val="-15"/>
                <w:sz w:val="14"/>
              </w:rPr>
              <w:t xml:space="preserve"> </w:t>
            </w:r>
            <w:r>
              <w:rPr>
                <w:color w:val="231F20"/>
                <w:sz w:val="14"/>
              </w:rPr>
              <w:t>геомет­ рији.</w:t>
            </w:r>
          </w:p>
        </w:tc>
        <w:tc>
          <w:tcPr>
            <w:tcW w:w="2551" w:type="dxa"/>
            <w:vMerge w:val="restart"/>
          </w:tcPr>
          <w:p w:rsidR="00041039" w:rsidRDefault="001B26CB">
            <w:pPr>
              <w:pStyle w:val="TableParagraph"/>
              <w:numPr>
                <w:ilvl w:val="0"/>
                <w:numId w:val="996"/>
              </w:numPr>
              <w:tabs>
                <w:tab w:val="left" w:pos="157"/>
              </w:tabs>
              <w:spacing w:before="21" w:line="213" w:lineRule="auto"/>
              <w:ind w:right="361" w:hanging="99"/>
              <w:rPr>
                <w:sz w:val="14"/>
              </w:rPr>
            </w:pPr>
            <w:r>
              <w:rPr>
                <w:color w:val="231F20"/>
                <w:sz w:val="14"/>
              </w:rPr>
              <w:t>наброји конусне пресеке и</w:t>
            </w:r>
            <w:r>
              <w:rPr>
                <w:color w:val="231F20"/>
                <w:spacing w:val="-19"/>
                <w:sz w:val="14"/>
              </w:rPr>
              <w:t xml:space="preserve"> </w:t>
            </w:r>
            <w:r>
              <w:rPr>
                <w:color w:val="231F20"/>
                <w:sz w:val="14"/>
              </w:rPr>
              <w:t>нацрта одговарајуће</w:t>
            </w:r>
            <w:r>
              <w:rPr>
                <w:color w:val="231F20"/>
                <w:spacing w:val="-1"/>
                <w:sz w:val="14"/>
              </w:rPr>
              <w:t xml:space="preserve"> </w:t>
            </w:r>
            <w:r>
              <w:rPr>
                <w:color w:val="231F20"/>
                <w:sz w:val="14"/>
              </w:rPr>
              <w:t>слике;</w:t>
            </w:r>
          </w:p>
          <w:p w:rsidR="00041039" w:rsidRDefault="001B26CB">
            <w:pPr>
              <w:pStyle w:val="TableParagraph"/>
              <w:numPr>
                <w:ilvl w:val="0"/>
                <w:numId w:val="996"/>
              </w:numPr>
              <w:tabs>
                <w:tab w:val="left" w:pos="157"/>
              </w:tabs>
              <w:spacing w:line="213" w:lineRule="auto"/>
              <w:ind w:right="430" w:hanging="99"/>
              <w:rPr>
                <w:sz w:val="14"/>
              </w:rPr>
            </w:pPr>
            <w:r>
              <w:rPr>
                <w:color w:val="231F20"/>
                <w:sz w:val="14"/>
              </w:rPr>
              <w:t>дефинише елипсу и наведе</w:t>
            </w:r>
            <w:r>
              <w:rPr>
                <w:color w:val="231F20"/>
                <w:spacing w:val="-11"/>
                <w:sz w:val="14"/>
              </w:rPr>
              <w:t xml:space="preserve"> </w:t>
            </w:r>
            <w:r>
              <w:rPr>
                <w:color w:val="231F20"/>
                <w:sz w:val="14"/>
              </w:rPr>
              <w:t>њену једначину;</w:t>
            </w:r>
          </w:p>
          <w:p w:rsidR="00041039" w:rsidRDefault="001B26CB">
            <w:pPr>
              <w:pStyle w:val="TableParagraph"/>
              <w:numPr>
                <w:ilvl w:val="0"/>
                <w:numId w:val="996"/>
              </w:numPr>
              <w:tabs>
                <w:tab w:val="left" w:pos="157"/>
              </w:tabs>
              <w:spacing w:line="213" w:lineRule="auto"/>
              <w:ind w:right="481" w:hanging="99"/>
              <w:rPr>
                <w:sz w:val="14"/>
              </w:rPr>
            </w:pPr>
            <w:r>
              <w:rPr>
                <w:color w:val="231F20"/>
                <w:sz w:val="14"/>
              </w:rPr>
              <w:t>одреди жиже, ексцентрицитет</w:t>
            </w:r>
            <w:r>
              <w:rPr>
                <w:color w:val="231F20"/>
                <w:spacing w:val="-12"/>
                <w:sz w:val="14"/>
              </w:rPr>
              <w:t xml:space="preserve"> </w:t>
            </w:r>
            <w:r>
              <w:rPr>
                <w:color w:val="231F20"/>
                <w:sz w:val="14"/>
              </w:rPr>
              <w:t>и директрисе елипсе;</w:t>
            </w:r>
          </w:p>
          <w:p w:rsidR="00041039" w:rsidRDefault="001B26CB">
            <w:pPr>
              <w:pStyle w:val="TableParagraph"/>
              <w:numPr>
                <w:ilvl w:val="0"/>
                <w:numId w:val="996"/>
              </w:numPr>
              <w:tabs>
                <w:tab w:val="left" w:pos="157"/>
              </w:tabs>
              <w:spacing w:line="213" w:lineRule="auto"/>
              <w:ind w:right="244" w:hanging="99"/>
              <w:rPr>
                <w:sz w:val="14"/>
              </w:rPr>
            </w:pPr>
            <w:r>
              <w:rPr>
                <w:color w:val="231F20"/>
                <w:sz w:val="14"/>
              </w:rPr>
              <w:t>одреди једначину елипсе из</w:t>
            </w:r>
            <w:r>
              <w:rPr>
                <w:color w:val="231F20"/>
                <w:spacing w:val="-24"/>
                <w:sz w:val="14"/>
              </w:rPr>
              <w:t xml:space="preserve"> </w:t>
            </w:r>
            <w:r>
              <w:rPr>
                <w:color w:val="231F20"/>
                <w:sz w:val="14"/>
              </w:rPr>
              <w:t>задатих услова;</w:t>
            </w:r>
          </w:p>
          <w:p w:rsidR="00041039" w:rsidRDefault="001B26CB">
            <w:pPr>
              <w:pStyle w:val="TableParagraph"/>
              <w:numPr>
                <w:ilvl w:val="0"/>
                <w:numId w:val="996"/>
              </w:numPr>
              <w:tabs>
                <w:tab w:val="left" w:pos="157"/>
              </w:tabs>
              <w:spacing w:line="213" w:lineRule="auto"/>
              <w:ind w:right="301" w:hanging="99"/>
              <w:rPr>
                <w:sz w:val="14"/>
              </w:rPr>
            </w:pPr>
            <w:r>
              <w:rPr>
                <w:color w:val="231F20"/>
                <w:sz w:val="14"/>
              </w:rPr>
              <w:t>испита међусобни положај праве</w:t>
            </w:r>
            <w:r>
              <w:rPr>
                <w:color w:val="231F20"/>
                <w:spacing w:val="-14"/>
                <w:sz w:val="14"/>
              </w:rPr>
              <w:t xml:space="preserve"> </w:t>
            </w:r>
            <w:r>
              <w:rPr>
                <w:color w:val="231F20"/>
                <w:sz w:val="14"/>
              </w:rPr>
              <w:t>и елипсе;</w:t>
            </w:r>
          </w:p>
          <w:p w:rsidR="00041039" w:rsidRDefault="001B26CB">
            <w:pPr>
              <w:pStyle w:val="TableParagraph"/>
              <w:numPr>
                <w:ilvl w:val="0"/>
                <w:numId w:val="996"/>
              </w:numPr>
              <w:tabs>
                <w:tab w:val="left" w:pos="157"/>
              </w:tabs>
              <w:spacing w:line="213" w:lineRule="auto"/>
              <w:ind w:right="181" w:hanging="99"/>
              <w:rPr>
                <w:sz w:val="14"/>
              </w:rPr>
            </w:pPr>
            <w:r>
              <w:rPr>
                <w:color w:val="231F20"/>
                <w:sz w:val="14"/>
              </w:rPr>
              <w:t>одреди једначину тангенте елипсе</w:t>
            </w:r>
            <w:r>
              <w:rPr>
                <w:color w:val="231F20"/>
                <w:spacing w:val="-16"/>
                <w:sz w:val="14"/>
              </w:rPr>
              <w:t xml:space="preserve"> </w:t>
            </w:r>
            <w:r>
              <w:rPr>
                <w:color w:val="231F20"/>
                <w:sz w:val="14"/>
              </w:rPr>
              <w:t>из задатих</w:t>
            </w:r>
            <w:r>
              <w:rPr>
                <w:color w:val="231F20"/>
                <w:spacing w:val="-1"/>
                <w:sz w:val="14"/>
              </w:rPr>
              <w:t xml:space="preserve"> </w:t>
            </w:r>
            <w:r>
              <w:rPr>
                <w:color w:val="231F20"/>
                <w:sz w:val="14"/>
              </w:rPr>
              <w:t>услова;</w:t>
            </w:r>
          </w:p>
          <w:p w:rsidR="00041039" w:rsidRDefault="001B26CB">
            <w:pPr>
              <w:pStyle w:val="TableParagraph"/>
              <w:numPr>
                <w:ilvl w:val="0"/>
                <w:numId w:val="996"/>
              </w:numPr>
              <w:tabs>
                <w:tab w:val="left" w:pos="157"/>
              </w:tabs>
              <w:spacing w:line="213" w:lineRule="auto"/>
              <w:ind w:right="211" w:hanging="99"/>
              <w:rPr>
                <w:sz w:val="14"/>
              </w:rPr>
            </w:pPr>
            <w:r>
              <w:rPr>
                <w:color w:val="231F20"/>
                <w:sz w:val="14"/>
              </w:rPr>
              <w:t>дефинише хиперболу и наведе</w:t>
            </w:r>
            <w:r>
              <w:rPr>
                <w:color w:val="231F20"/>
                <w:spacing w:val="-12"/>
                <w:sz w:val="14"/>
              </w:rPr>
              <w:t xml:space="preserve"> </w:t>
            </w:r>
            <w:r>
              <w:rPr>
                <w:color w:val="231F20"/>
                <w:sz w:val="14"/>
              </w:rPr>
              <w:t>њену једначину;</w:t>
            </w:r>
          </w:p>
          <w:p w:rsidR="00041039" w:rsidRDefault="001B26CB">
            <w:pPr>
              <w:pStyle w:val="TableParagraph"/>
              <w:numPr>
                <w:ilvl w:val="0"/>
                <w:numId w:val="996"/>
              </w:numPr>
              <w:tabs>
                <w:tab w:val="left" w:pos="157"/>
              </w:tabs>
              <w:spacing w:line="213" w:lineRule="auto"/>
              <w:ind w:right="481" w:hanging="99"/>
              <w:rPr>
                <w:sz w:val="14"/>
              </w:rPr>
            </w:pPr>
            <w:r>
              <w:rPr>
                <w:color w:val="231F20"/>
                <w:sz w:val="14"/>
              </w:rPr>
              <w:t>одреди жиже, ексцентрицитет</w:t>
            </w:r>
            <w:r>
              <w:rPr>
                <w:color w:val="231F20"/>
                <w:spacing w:val="-12"/>
                <w:sz w:val="14"/>
              </w:rPr>
              <w:t xml:space="preserve"> </w:t>
            </w:r>
            <w:r>
              <w:rPr>
                <w:color w:val="231F20"/>
                <w:sz w:val="14"/>
              </w:rPr>
              <w:t>и директрисе</w:t>
            </w:r>
            <w:r>
              <w:rPr>
                <w:color w:val="231F20"/>
                <w:spacing w:val="-1"/>
                <w:sz w:val="14"/>
              </w:rPr>
              <w:t xml:space="preserve"> </w:t>
            </w:r>
            <w:r>
              <w:rPr>
                <w:color w:val="231F20"/>
                <w:sz w:val="14"/>
              </w:rPr>
              <w:t>хиперболе;</w:t>
            </w:r>
          </w:p>
          <w:p w:rsidR="00041039" w:rsidRDefault="001B26CB">
            <w:pPr>
              <w:pStyle w:val="TableParagraph"/>
              <w:numPr>
                <w:ilvl w:val="0"/>
                <w:numId w:val="996"/>
              </w:numPr>
              <w:tabs>
                <w:tab w:val="left" w:pos="157"/>
              </w:tabs>
              <w:spacing w:line="213" w:lineRule="auto"/>
              <w:ind w:right="185" w:hanging="99"/>
              <w:rPr>
                <w:sz w:val="14"/>
              </w:rPr>
            </w:pPr>
            <w:r>
              <w:rPr>
                <w:color w:val="231F20"/>
                <w:sz w:val="14"/>
              </w:rPr>
              <w:t>одреди једначину хиперболе из</w:t>
            </w:r>
            <w:r>
              <w:rPr>
                <w:color w:val="231F20"/>
                <w:spacing w:val="-24"/>
                <w:sz w:val="14"/>
              </w:rPr>
              <w:t xml:space="preserve"> </w:t>
            </w:r>
            <w:r>
              <w:rPr>
                <w:color w:val="231F20"/>
                <w:sz w:val="14"/>
              </w:rPr>
              <w:t>зада­ тих</w:t>
            </w:r>
            <w:r>
              <w:rPr>
                <w:color w:val="231F20"/>
                <w:spacing w:val="-1"/>
                <w:sz w:val="14"/>
              </w:rPr>
              <w:t xml:space="preserve"> </w:t>
            </w:r>
            <w:r>
              <w:rPr>
                <w:color w:val="231F20"/>
                <w:sz w:val="14"/>
              </w:rPr>
              <w:t>услова;</w:t>
            </w:r>
          </w:p>
          <w:p w:rsidR="00041039" w:rsidRDefault="001B26CB">
            <w:pPr>
              <w:pStyle w:val="TableParagraph"/>
              <w:numPr>
                <w:ilvl w:val="0"/>
                <w:numId w:val="996"/>
              </w:numPr>
              <w:tabs>
                <w:tab w:val="left" w:pos="157"/>
              </w:tabs>
              <w:spacing w:line="213" w:lineRule="auto"/>
              <w:ind w:right="301" w:hanging="99"/>
              <w:rPr>
                <w:sz w:val="14"/>
              </w:rPr>
            </w:pPr>
            <w:r>
              <w:rPr>
                <w:color w:val="231F20"/>
                <w:sz w:val="14"/>
              </w:rPr>
              <w:t>испита међусобни положај праве</w:t>
            </w:r>
            <w:r>
              <w:rPr>
                <w:color w:val="231F20"/>
                <w:spacing w:val="-14"/>
                <w:sz w:val="14"/>
              </w:rPr>
              <w:t xml:space="preserve"> </w:t>
            </w:r>
            <w:r>
              <w:rPr>
                <w:color w:val="231F20"/>
                <w:sz w:val="14"/>
              </w:rPr>
              <w:t>и хиперболе;</w:t>
            </w:r>
          </w:p>
          <w:p w:rsidR="00041039" w:rsidRDefault="001B26CB">
            <w:pPr>
              <w:pStyle w:val="TableParagraph"/>
              <w:numPr>
                <w:ilvl w:val="0"/>
                <w:numId w:val="996"/>
              </w:numPr>
              <w:tabs>
                <w:tab w:val="left" w:pos="157"/>
              </w:tabs>
              <w:spacing w:line="213" w:lineRule="auto"/>
              <w:ind w:right="131" w:hanging="99"/>
              <w:rPr>
                <w:sz w:val="14"/>
              </w:rPr>
            </w:pPr>
            <w:r>
              <w:rPr>
                <w:color w:val="231F20"/>
                <w:sz w:val="14"/>
              </w:rPr>
              <w:t>одреди једначину тангенте</w:t>
            </w:r>
            <w:r>
              <w:rPr>
                <w:color w:val="231F20"/>
                <w:spacing w:val="-19"/>
                <w:sz w:val="14"/>
              </w:rPr>
              <w:t xml:space="preserve"> </w:t>
            </w:r>
            <w:r>
              <w:rPr>
                <w:color w:val="231F20"/>
                <w:sz w:val="14"/>
              </w:rPr>
              <w:t>хиперболе из задатих</w:t>
            </w:r>
            <w:r>
              <w:rPr>
                <w:color w:val="231F20"/>
                <w:spacing w:val="-2"/>
                <w:sz w:val="14"/>
              </w:rPr>
              <w:t xml:space="preserve"> </w:t>
            </w:r>
            <w:r>
              <w:rPr>
                <w:color w:val="231F20"/>
                <w:sz w:val="14"/>
              </w:rPr>
              <w:t>услова;</w:t>
            </w:r>
          </w:p>
          <w:p w:rsidR="00041039" w:rsidRDefault="001B26CB">
            <w:pPr>
              <w:pStyle w:val="TableParagraph"/>
              <w:numPr>
                <w:ilvl w:val="0"/>
                <w:numId w:val="996"/>
              </w:numPr>
              <w:tabs>
                <w:tab w:val="left" w:pos="157"/>
              </w:tabs>
              <w:spacing w:line="213" w:lineRule="auto"/>
              <w:ind w:right="108" w:hanging="99"/>
              <w:rPr>
                <w:sz w:val="14"/>
              </w:rPr>
            </w:pPr>
            <w:r>
              <w:rPr>
                <w:color w:val="231F20"/>
                <w:sz w:val="14"/>
              </w:rPr>
              <w:t>дефинише параболу и наведе</w:t>
            </w:r>
            <w:r>
              <w:rPr>
                <w:color w:val="231F20"/>
                <w:spacing w:val="-20"/>
                <w:sz w:val="14"/>
              </w:rPr>
              <w:t xml:space="preserve"> </w:t>
            </w:r>
            <w:r>
              <w:rPr>
                <w:color w:val="231F20"/>
                <w:sz w:val="14"/>
              </w:rPr>
              <w:t>једначи­ ну</w:t>
            </w:r>
            <w:r>
              <w:rPr>
                <w:color w:val="231F20"/>
                <w:spacing w:val="-2"/>
                <w:sz w:val="14"/>
              </w:rPr>
              <w:t xml:space="preserve"> </w:t>
            </w:r>
            <w:r>
              <w:rPr>
                <w:color w:val="231F20"/>
                <w:sz w:val="14"/>
              </w:rPr>
              <w:t>параболе;</w:t>
            </w:r>
          </w:p>
          <w:p w:rsidR="00041039" w:rsidRDefault="001B26CB">
            <w:pPr>
              <w:pStyle w:val="TableParagraph"/>
              <w:numPr>
                <w:ilvl w:val="0"/>
                <w:numId w:val="996"/>
              </w:numPr>
              <w:tabs>
                <w:tab w:val="left" w:pos="157"/>
              </w:tabs>
              <w:spacing w:line="213" w:lineRule="auto"/>
              <w:ind w:right="481" w:hanging="99"/>
              <w:rPr>
                <w:sz w:val="14"/>
              </w:rPr>
            </w:pPr>
            <w:r>
              <w:rPr>
                <w:color w:val="231F20"/>
                <w:sz w:val="14"/>
              </w:rPr>
              <w:t>одреди жиже, ексцентрицитет</w:t>
            </w:r>
            <w:r>
              <w:rPr>
                <w:color w:val="231F20"/>
                <w:spacing w:val="-12"/>
                <w:sz w:val="14"/>
              </w:rPr>
              <w:t xml:space="preserve"> </w:t>
            </w:r>
            <w:r>
              <w:rPr>
                <w:color w:val="231F20"/>
                <w:sz w:val="14"/>
              </w:rPr>
              <w:t>и директрису</w:t>
            </w:r>
            <w:r>
              <w:rPr>
                <w:color w:val="231F20"/>
                <w:spacing w:val="-1"/>
                <w:sz w:val="14"/>
              </w:rPr>
              <w:t xml:space="preserve"> </w:t>
            </w:r>
            <w:r>
              <w:rPr>
                <w:color w:val="231F20"/>
                <w:sz w:val="14"/>
              </w:rPr>
              <w:t>параболе;</w:t>
            </w:r>
          </w:p>
          <w:p w:rsidR="00041039" w:rsidRDefault="001B26CB">
            <w:pPr>
              <w:pStyle w:val="TableParagraph"/>
              <w:numPr>
                <w:ilvl w:val="0"/>
                <w:numId w:val="996"/>
              </w:numPr>
              <w:tabs>
                <w:tab w:val="left" w:pos="157"/>
              </w:tabs>
              <w:spacing w:line="213" w:lineRule="auto"/>
              <w:ind w:right="112" w:hanging="99"/>
              <w:rPr>
                <w:sz w:val="14"/>
              </w:rPr>
            </w:pPr>
            <w:r>
              <w:rPr>
                <w:color w:val="231F20"/>
                <w:sz w:val="14"/>
              </w:rPr>
              <w:t>одреди</w:t>
            </w:r>
            <w:r>
              <w:rPr>
                <w:color w:val="231F20"/>
                <w:spacing w:val="-8"/>
                <w:sz w:val="14"/>
              </w:rPr>
              <w:t xml:space="preserve"> </w:t>
            </w:r>
            <w:r>
              <w:rPr>
                <w:color w:val="231F20"/>
                <w:sz w:val="14"/>
              </w:rPr>
              <w:t>је</w:t>
            </w:r>
            <w:r>
              <w:rPr>
                <w:color w:val="231F20"/>
                <w:sz w:val="14"/>
              </w:rPr>
              <w:t>дначину</w:t>
            </w:r>
            <w:r>
              <w:rPr>
                <w:color w:val="231F20"/>
                <w:spacing w:val="-8"/>
                <w:sz w:val="14"/>
              </w:rPr>
              <w:t xml:space="preserve"> </w:t>
            </w:r>
            <w:r>
              <w:rPr>
                <w:color w:val="231F20"/>
                <w:sz w:val="14"/>
              </w:rPr>
              <w:t>параболе</w:t>
            </w:r>
            <w:r>
              <w:rPr>
                <w:color w:val="231F20"/>
                <w:spacing w:val="-9"/>
                <w:sz w:val="14"/>
              </w:rPr>
              <w:t xml:space="preserve"> </w:t>
            </w:r>
            <w:r>
              <w:rPr>
                <w:color w:val="231F20"/>
                <w:sz w:val="14"/>
              </w:rPr>
              <w:t>из</w:t>
            </w:r>
            <w:r>
              <w:rPr>
                <w:color w:val="231F20"/>
                <w:spacing w:val="-9"/>
                <w:sz w:val="14"/>
              </w:rPr>
              <w:t xml:space="preserve"> </w:t>
            </w:r>
            <w:r>
              <w:rPr>
                <w:color w:val="231F20"/>
                <w:sz w:val="14"/>
              </w:rPr>
              <w:t>задатих услова;</w:t>
            </w:r>
          </w:p>
          <w:p w:rsidR="00041039" w:rsidRDefault="001B26CB">
            <w:pPr>
              <w:pStyle w:val="TableParagraph"/>
              <w:numPr>
                <w:ilvl w:val="0"/>
                <w:numId w:val="996"/>
              </w:numPr>
              <w:tabs>
                <w:tab w:val="left" w:pos="157"/>
              </w:tabs>
              <w:spacing w:line="213" w:lineRule="auto"/>
              <w:ind w:right="301" w:hanging="99"/>
              <w:rPr>
                <w:sz w:val="14"/>
              </w:rPr>
            </w:pPr>
            <w:r>
              <w:rPr>
                <w:color w:val="231F20"/>
                <w:sz w:val="14"/>
              </w:rPr>
              <w:t>испита међусобни положај праве</w:t>
            </w:r>
            <w:r>
              <w:rPr>
                <w:color w:val="231F20"/>
                <w:spacing w:val="-14"/>
                <w:sz w:val="14"/>
              </w:rPr>
              <w:t xml:space="preserve"> </w:t>
            </w:r>
            <w:r>
              <w:rPr>
                <w:color w:val="231F20"/>
                <w:sz w:val="14"/>
              </w:rPr>
              <w:t>и параболе;</w:t>
            </w:r>
          </w:p>
          <w:p w:rsidR="00041039" w:rsidRDefault="001B26CB">
            <w:pPr>
              <w:pStyle w:val="TableParagraph"/>
              <w:numPr>
                <w:ilvl w:val="0"/>
                <w:numId w:val="996"/>
              </w:numPr>
              <w:tabs>
                <w:tab w:val="left" w:pos="157"/>
              </w:tabs>
              <w:spacing w:line="213" w:lineRule="auto"/>
              <w:ind w:right="49" w:hanging="99"/>
              <w:rPr>
                <w:sz w:val="14"/>
              </w:rPr>
            </w:pPr>
            <w:r>
              <w:rPr>
                <w:color w:val="231F20"/>
                <w:sz w:val="14"/>
              </w:rPr>
              <w:t>одреди једначину тангенте параболе</w:t>
            </w:r>
            <w:r>
              <w:rPr>
                <w:color w:val="231F20"/>
                <w:spacing w:val="-25"/>
                <w:sz w:val="14"/>
              </w:rPr>
              <w:t xml:space="preserve"> </w:t>
            </w:r>
            <w:r>
              <w:rPr>
                <w:color w:val="231F20"/>
                <w:sz w:val="14"/>
              </w:rPr>
              <w:t>из задатих</w:t>
            </w:r>
            <w:r>
              <w:rPr>
                <w:color w:val="231F20"/>
                <w:spacing w:val="-1"/>
                <w:sz w:val="14"/>
              </w:rPr>
              <w:t xml:space="preserve"> </w:t>
            </w:r>
            <w:r>
              <w:rPr>
                <w:color w:val="231F20"/>
                <w:sz w:val="14"/>
              </w:rPr>
              <w:t>услова;</w:t>
            </w:r>
          </w:p>
        </w:tc>
        <w:tc>
          <w:tcPr>
            <w:tcW w:w="2834" w:type="dxa"/>
            <w:vMerge w:val="restart"/>
          </w:tcPr>
          <w:p w:rsidR="00041039" w:rsidRDefault="001B26CB">
            <w:pPr>
              <w:pStyle w:val="TableParagraph"/>
              <w:numPr>
                <w:ilvl w:val="0"/>
                <w:numId w:val="995"/>
              </w:numPr>
              <w:tabs>
                <w:tab w:val="left" w:pos="158"/>
              </w:tabs>
              <w:spacing w:before="7" w:line="158" w:lineRule="exact"/>
              <w:rPr>
                <w:sz w:val="14"/>
              </w:rPr>
            </w:pPr>
            <w:r>
              <w:rPr>
                <w:color w:val="231F20"/>
                <w:sz w:val="14"/>
              </w:rPr>
              <w:t>Конусна површ. Конусни</w:t>
            </w:r>
            <w:r>
              <w:rPr>
                <w:color w:val="231F20"/>
                <w:spacing w:val="-4"/>
                <w:sz w:val="14"/>
              </w:rPr>
              <w:t xml:space="preserve"> </w:t>
            </w:r>
            <w:r>
              <w:rPr>
                <w:color w:val="231F20"/>
                <w:sz w:val="14"/>
              </w:rPr>
              <w:t>пресеци.</w:t>
            </w:r>
          </w:p>
          <w:p w:rsidR="00041039" w:rsidRDefault="001B26CB">
            <w:pPr>
              <w:pStyle w:val="TableParagraph"/>
              <w:numPr>
                <w:ilvl w:val="0"/>
                <w:numId w:val="995"/>
              </w:numPr>
              <w:tabs>
                <w:tab w:val="left" w:pos="158"/>
              </w:tabs>
              <w:spacing w:line="144" w:lineRule="exact"/>
              <w:rPr>
                <w:sz w:val="14"/>
              </w:rPr>
            </w:pPr>
            <w:r>
              <w:rPr>
                <w:color w:val="231F20"/>
                <w:sz w:val="14"/>
              </w:rPr>
              <w:t>Једначина</w:t>
            </w:r>
            <w:r>
              <w:rPr>
                <w:color w:val="231F20"/>
                <w:spacing w:val="-1"/>
                <w:sz w:val="14"/>
              </w:rPr>
              <w:t xml:space="preserve"> </w:t>
            </w:r>
            <w:r>
              <w:rPr>
                <w:color w:val="231F20"/>
                <w:sz w:val="14"/>
              </w:rPr>
              <w:t>елипсе.</w:t>
            </w:r>
          </w:p>
          <w:p w:rsidR="00041039" w:rsidRDefault="001B26CB">
            <w:pPr>
              <w:pStyle w:val="TableParagraph"/>
              <w:numPr>
                <w:ilvl w:val="0"/>
                <w:numId w:val="995"/>
              </w:numPr>
              <w:tabs>
                <w:tab w:val="left" w:pos="158"/>
              </w:tabs>
              <w:spacing w:before="2" w:line="213" w:lineRule="auto"/>
              <w:ind w:right="172"/>
              <w:rPr>
                <w:sz w:val="14"/>
              </w:rPr>
            </w:pPr>
            <w:r>
              <w:rPr>
                <w:color w:val="231F20"/>
                <w:sz w:val="14"/>
              </w:rPr>
              <w:t>Особине елипсе (жиже, ексцентрицитет</w:t>
            </w:r>
            <w:r>
              <w:rPr>
                <w:color w:val="231F20"/>
                <w:spacing w:val="-11"/>
                <w:sz w:val="14"/>
              </w:rPr>
              <w:t xml:space="preserve"> </w:t>
            </w:r>
            <w:r>
              <w:rPr>
                <w:color w:val="231F20"/>
                <w:sz w:val="14"/>
              </w:rPr>
              <w:t>и директрисе).</w:t>
            </w:r>
          </w:p>
          <w:p w:rsidR="00041039" w:rsidRDefault="001B26CB">
            <w:pPr>
              <w:pStyle w:val="TableParagraph"/>
              <w:numPr>
                <w:ilvl w:val="0"/>
                <w:numId w:val="995"/>
              </w:numPr>
              <w:tabs>
                <w:tab w:val="left" w:pos="158"/>
              </w:tabs>
              <w:spacing w:line="134" w:lineRule="exact"/>
              <w:rPr>
                <w:sz w:val="14"/>
              </w:rPr>
            </w:pPr>
            <w:r>
              <w:rPr>
                <w:color w:val="231F20"/>
                <w:spacing w:val="-3"/>
                <w:sz w:val="14"/>
              </w:rPr>
              <w:t xml:space="preserve">Узајамни </w:t>
            </w:r>
            <w:r>
              <w:rPr>
                <w:color w:val="231F20"/>
                <w:sz w:val="14"/>
              </w:rPr>
              <w:t>положај праве и</w:t>
            </w:r>
            <w:r>
              <w:rPr>
                <w:color w:val="231F20"/>
                <w:spacing w:val="-1"/>
                <w:sz w:val="14"/>
              </w:rPr>
              <w:t xml:space="preserve"> </w:t>
            </w:r>
            <w:r>
              <w:rPr>
                <w:color w:val="231F20"/>
                <w:sz w:val="14"/>
              </w:rPr>
              <w:t>елипсе.</w:t>
            </w:r>
          </w:p>
          <w:p w:rsidR="00041039" w:rsidRDefault="001B26CB">
            <w:pPr>
              <w:pStyle w:val="TableParagraph"/>
              <w:numPr>
                <w:ilvl w:val="0"/>
                <w:numId w:val="995"/>
              </w:numPr>
              <w:tabs>
                <w:tab w:val="left" w:pos="158"/>
              </w:tabs>
              <w:spacing w:line="144" w:lineRule="exact"/>
              <w:rPr>
                <w:sz w:val="14"/>
              </w:rPr>
            </w:pPr>
            <w:r>
              <w:rPr>
                <w:color w:val="231F20"/>
                <w:sz w:val="14"/>
              </w:rPr>
              <w:t>Једначина</w:t>
            </w:r>
            <w:r>
              <w:rPr>
                <w:color w:val="231F20"/>
                <w:spacing w:val="-1"/>
                <w:sz w:val="14"/>
              </w:rPr>
              <w:t xml:space="preserve"> </w:t>
            </w:r>
            <w:r>
              <w:rPr>
                <w:color w:val="231F20"/>
                <w:sz w:val="14"/>
              </w:rPr>
              <w:t>хиперболе.</w:t>
            </w:r>
          </w:p>
          <w:p w:rsidR="00041039" w:rsidRDefault="001B26CB">
            <w:pPr>
              <w:pStyle w:val="TableParagraph"/>
              <w:numPr>
                <w:ilvl w:val="0"/>
                <w:numId w:val="995"/>
              </w:numPr>
              <w:tabs>
                <w:tab w:val="left" w:pos="158"/>
              </w:tabs>
              <w:spacing w:before="2" w:line="213" w:lineRule="auto"/>
              <w:ind w:right="42"/>
              <w:rPr>
                <w:sz w:val="14"/>
              </w:rPr>
            </w:pPr>
            <w:r>
              <w:rPr>
                <w:color w:val="231F20"/>
                <w:sz w:val="14"/>
              </w:rPr>
              <w:t>Особине хиперболе (жиже,</w:t>
            </w:r>
            <w:r>
              <w:rPr>
                <w:color w:val="231F20"/>
                <w:spacing w:val="-25"/>
                <w:sz w:val="14"/>
              </w:rPr>
              <w:t xml:space="preserve"> </w:t>
            </w:r>
            <w:r>
              <w:rPr>
                <w:color w:val="231F20"/>
                <w:sz w:val="14"/>
              </w:rPr>
              <w:t>ексцентрицитет, полу осе и асимптоте,</w:t>
            </w:r>
            <w:r>
              <w:rPr>
                <w:color w:val="231F20"/>
                <w:spacing w:val="-4"/>
                <w:sz w:val="14"/>
              </w:rPr>
              <w:t xml:space="preserve"> </w:t>
            </w:r>
            <w:r>
              <w:rPr>
                <w:color w:val="231F20"/>
                <w:sz w:val="14"/>
              </w:rPr>
              <w:t>директрисе).</w:t>
            </w:r>
          </w:p>
          <w:p w:rsidR="00041039" w:rsidRDefault="001B26CB">
            <w:pPr>
              <w:pStyle w:val="TableParagraph"/>
              <w:numPr>
                <w:ilvl w:val="0"/>
                <w:numId w:val="995"/>
              </w:numPr>
              <w:tabs>
                <w:tab w:val="left" w:pos="158"/>
              </w:tabs>
              <w:spacing w:line="134" w:lineRule="exact"/>
              <w:rPr>
                <w:sz w:val="14"/>
              </w:rPr>
            </w:pPr>
            <w:r>
              <w:rPr>
                <w:color w:val="231F20"/>
                <w:spacing w:val="-3"/>
                <w:sz w:val="14"/>
              </w:rPr>
              <w:t xml:space="preserve">Узајамни </w:t>
            </w:r>
            <w:r>
              <w:rPr>
                <w:color w:val="231F20"/>
                <w:sz w:val="14"/>
              </w:rPr>
              <w:t>положај праве и</w:t>
            </w:r>
            <w:r>
              <w:rPr>
                <w:color w:val="231F20"/>
                <w:spacing w:val="-2"/>
                <w:sz w:val="14"/>
              </w:rPr>
              <w:t xml:space="preserve"> </w:t>
            </w:r>
            <w:r>
              <w:rPr>
                <w:color w:val="231F20"/>
                <w:sz w:val="14"/>
              </w:rPr>
              <w:t>хиперболе.</w:t>
            </w:r>
          </w:p>
          <w:p w:rsidR="00041039" w:rsidRDefault="001B26CB">
            <w:pPr>
              <w:pStyle w:val="TableParagraph"/>
              <w:numPr>
                <w:ilvl w:val="0"/>
                <w:numId w:val="995"/>
              </w:numPr>
              <w:tabs>
                <w:tab w:val="left" w:pos="158"/>
              </w:tabs>
              <w:spacing w:line="144" w:lineRule="exact"/>
              <w:rPr>
                <w:sz w:val="14"/>
              </w:rPr>
            </w:pPr>
            <w:r>
              <w:rPr>
                <w:color w:val="231F20"/>
                <w:sz w:val="14"/>
              </w:rPr>
              <w:t>Једначина</w:t>
            </w:r>
            <w:r>
              <w:rPr>
                <w:color w:val="231F20"/>
                <w:spacing w:val="-1"/>
                <w:sz w:val="14"/>
              </w:rPr>
              <w:t xml:space="preserve"> </w:t>
            </w:r>
            <w:r>
              <w:rPr>
                <w:color w:val="231F20"/>
                <w:sz w:val="14"/>
              </w:rPr>
              <w:t>параболе.</w:t>
            </w:r>
          </w:p>
          <w:p w:rsidR="00041039" w:rsidRDefault="001B26CB">
            <w:pPr>
              <w:pStyle w:val="TableParagraph"/>
              <w:numPr>
                <w:ilvl w:val="0"/>
                <w:numId w:val="995"/>
              </w:numPr>
              <w:tabs>
                <w:tab w:val="left" w:pos="158"/>
              </w:tabs>
              <w:spacing w:before="1" w:line="213" w:lineRule="auto"/>
              <w:ind w:right="366"/>
              <w:rPr>
                <w:sz w:val="14"/>
              </w:rPr>
            </w:pPr>
            <w:r>
              <w:rPr>
                <w:color w:val="231F20"/>
                <w:sz w:val="14"/>
              </w:rPr>
              <w:t>Особине параболе (жижа, параметар</w:t>
            </w:r>
            <w:r>
              <w:rPr>
                <w:color w:val="231F20"/>
                <w:spacing w:val="-22"/>
                <w:sz w:val="14"/>
              </w:rPr>
              <w:t xml:space="preserve"> </w:t>
            </w:r>
            <w:r>
              <w:rPr>
                <w:color w:val="231F20"/>
                <w:sz w:val="14"/>
              </w:rPr>
              <w:t>и директриса).</w:t>
            </w:r>
          </w:p>
          <w:p w:rsidR="00041039" w:rsidRDefault="001B26CB">
            <w:pPr>
              <w:pStyle w:val="TableParagraph"/>
              <w:numPr>
                <w:ilvl w:val="0"/>
                <w:numId w:val="995"/>
              </w:numPr>
              <w:tabs>
                <w:tab w:val="left" w:pos="158"/>
              </w:tabs>
              <w:spacing w:line="148" w:lineRule="exact"/>
              <w:rPr>
                <w:sz w:val="14"/>
              </w:rPr>
            </w:pPr>
            <w:r>
              <w:rPr>
                <w:color w:val="231F20"/>
                <w:spacing w:val="-3"/>
                <w:sz w:val="14"/>
              </w:rPr>
              <w:t xml:space="preserve">Узајамни </w:t>
            </w:r>
            <w:r>
              <w:rPr>
                <w:color w:val="231F20"/>
                <w:sz w:val="14"/>
              </w:rPr>
              <w:t>положај праве и</w:t>
            </w:r>
            <w:r>
              <w:rPr>
                <w:color w:val="231F20"/>
                <w:spacing w:val="-3"/>
                <w:sz w:val="14"/>
              </w:rPr>
              <w:t xml:space="preserve"> </w:t>
            </w:r>
            <w:r>
              <w:rPr>
                <w:color w:val="231F20"/>
                <w:sz w:val="14"/>
              </w:rPr>
              <w:t>параболе.</w:t>
            </w:r>
          </w:p>
        </w:tc>
        <w:tc>
          <w:tcPr>
            <w:tcW w:w="2267" w:type="dxa"/>
            <w:vMerge/>
            <w:tcBorders>
              <w:top w:val="nil"/>
              <w:bottom w:val="nil"/>
            </w:tcBorders>
          </w:tcPr>
          <w:p w:rsidR="00041039" w:rsidRDefault="00041039">
            <w:pPr>
              <w:rPr>
                <w:sz w:val="2"/>
                <w:szCs w:val="2"/>
              </w:rPr>
            </w:pPr>
          </w:p>
        </w:tc>
      </w:tr>
      <w:tr w:rsidR="00041039">
        <w:trPr>
          <w:trHeight w:val="1286"/>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55" w:line="153" w:lineRule="exact"/>
              <w:ind w:left="58"/>
              <w:rPr>
                <w:b/>
                <w:sz w:val="14"/>
              </w:rPr>
            </w:pPr>
            <w:r>
              <w:rPr>
                <w:b/>
                <w:color w:val="231F20"/>
                <w:sz w:val="14"/>
              </w:rPr>
              <w:t>Оцењивање</w:t>
            </w:r>
          </w:p>
          <w:p w:rsidR="00041039" w:rsidRDefault="001B26CB">
            <w:pPr>
              <w:pStyle w:val="TableParagraph"/>
              <w:spacing w:before="6" w:line="213"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994"/>
              </w:numPr>
              <w:tabs>
                <w:tab w:val="left" w:pos="158"/>
              </w:tabs>
              <w:spacing w:line="135"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994"/>
              </w:numPr>
              <w:tabs>
                <w:tab w:val="left" w:pos="158"/>
              </w:tabs>
              <w:spacing w:line="144" w:lineRule="exact"/>
              <w:ind w:hanging="99"/>
              <w:rPr>
                <w:sz w:val="14"/>
              </w:rPr>
            </w:pPr>
            <w:r>
              <w:rPr>
                <w:color w:val="231F20"/>
                <w:sz w:val="14"/>
              </w:rPr>
              <w:t>активност ученика на</w:t>
            </w:r>
            <w:r>
              <w:rPr>
                <w:color w:val="231F20"/>
                <w:spacing w:val="-2"/>
                <w:sz w:val="14"/>
              </w:rPr>
              <w:t xml:space="preserve"> </w:t>
            </w:r>
            <w:r>
              <w:rPr>
                <w:color w:val="231F20"/>
                <w:sz w:val="14"/>
              </w:rPr>
              <w:t>часу</w:t>
            </w:r>
          </w:p>
          <w:p w:rsidR="00041039" w:rsidRDefault="001B26CB">
            <w:pPr>
              <w:pStyle w:val="TableParagraph"/>
              <w:numPr>
                <w:ilvl w:val="0"/>
                <w:numId w:val="994"/>
              </w:numPr>
              <w:tabs>
                <w:tab w:val="left" w:pos="158"/>
              </w:tabs>
              <w:spacing w:line="144" w:lineRule="exact"/>
              <w:ind w:hanging="99"/>
              <w:rPr>
                <w:sz w:val="14"/>
              </w:rPr>
            </w:pPr>
            <w:r>
              <w:rPr>
                <w:color w:val="231F20"/>
                <w:sz w:val="14"/>
              </w:rPr>
              <w:t>усмену проверу</w:t>
            </w:r>
            <w:r>
              <w:rPr>
                <w:color w:val="231F20"/>
                <w:spacing w:val="-1"/>
                <w:sz w:val="14"/>
              </w:rPr>
              <w:t xml:space="preserve"> </w:t>
            </w:r>
            <w:r>
              <w:rPr>
                <w:color w:val="231F20"/>
                <w:sz w:val="14"/>
              </w:rPr>
              <w:t>знања</w:t>
            </w:r>
          </w:p>
          <w:p w:rsidR="00041039" w:rsidRDefault="001B26CB">
            <w:pPr>
              <w:pStyle w:val="TableParagraph"/>
              <w:numPr>
                <w:ilvl w:val="0"/>
                <w:numId w:val="994"/>
              </w:numPr>
              <w:tabs>
                <w:tab w:val="left" w:pos="158"/>
              </w:tabs>
              <w:spacing w:line="144" w:lineRule="exact"/>
              <w:ind w:hanging="99"/>
              <w:rPr>
                <w:sz w:val="14"/>
              </w:rPr>
            </w:pPr>
            <w:r>
              <w:rPr>
                <w:color w:val="231F20"/>
                <w:sz w:val="14"/>
              </w:rPr>
              <w:t>писмену провера</w:t>
            </w:r>
            <w:r>
              <w:rPr>
                <w:color w:val="231F20"/>
                <w:spacing w:val="-3"/>
                <w:sz w:val="14"/>
              </w:rPr>
              <w:t xml:space="preserve"> </w:t>
            </w:r>
            <w:r>
              <w:rPr>
                <w:color w:val="231F20"/>
                <w:sz w:val="14"/>
              </w:rPr>
              <w:t>знања</w:t>
            </w:r>
          </w:p>
          <w:p w:rsidR="00041039" w:rsidRDefault="001B26CB">
            <w:pPr>
              <w:pStyle w:val="TableParagraph"/>
              <w:numPr>
                <w:ilvl w:val="0"/>
                <w:numId w:val="994"/>
              </w:numPr>
              <w:tabs>
                <w:tab w:val="left" w:pos="158"/>
              </w:tabs>
              <w:spacing w:line="158"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998"/>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55" w:line="147" w:lineRule="exact"/>
              <w:ind w:left="58"/>
              <w:rPr>
                <w:b/>
                <w:sz w:val="14"/>
              </w:rPr>
            </w:pPr>
            <w:r>
              <w:rPr>
                <w:b/>
                <w:color w:val="231F20"/>
                <w:sz w:val="14"/>
              </w:rPr>
              <w:t>Оквирни број часова по темама</w:t>
            </w:r>
          </w:p>
          <w:p w:rsidR="00041039" w:rsidRDefault="001B26CB">
            <w:pPr>
              <w:pStyle w:val="TableParagraph"/>
              <w:numPr>
                <w:ilvl w:val="0"/>
                <w:numId w:val="993"/>
              </w:numPr>
              <w:tabs>
                <w:tab w:val="left" w:pos="158"/>
              </w:tabs>
              <w:spacing w:line="144" w:lineRule="exact"/>
              <w:ind w:hanging="99"/>
              <w:rPr>
                <w:b/>
                <w:sz w:val="14"/>
              </w:rPr>
            </w:pPr>
            <w:r>
              <w:rPr>
                <w:color w:val="231F20"/>
                <w:sz w:val="14"/>
              </w:rPr>
              <w:t xml:space="preserve">Полиноми </w:t>
            </w:r>
            <w:r>
              <w:rPr>
                <w:b/>
                <w:color w:val="231F20"/>
                <w:sz w:val="14"/>
              </w:rPr>
              <w:t>(7</w:t>
            </w:r>
            <w:r>
              <w:rPr>
                <w:b/>
                <w:color w:val="231F20"/>
                <w:spacing w:val="-3"/>
                <w:sz w:val="14"/>
              </w:rPr>
              <w:t xml:space="preserve"> </w:t>
            </w:r>
            <w:r>
              <w:rPr>
                <w:b/>
                <w:color w:val="231F20"/>
                <w:sz w:val="14"/>
              </w:rPr>
              <w:t>часова)</w:t>
            </w:r>
          </w:p>
          <w:p w:rsidR="00041039" w:rsidRDefault="001B26CB">
            <w:pPr>
              <w:pStyle w:val="TableParagraph"/>
              <w:numPr>
                <w:ilvl w:val="0"/>
                <w:numId w:val="993"/>
              </w:numPr>
              <w:tabs>
                <w:tab w:val="left" w:pos="158"/>
              </w:tabs>
              <w:spacing w:before="2" w:line="213" w:lineRule="auto"/>
              <w:ind w:right="569" w:hanging="99"/>
              <w:rPr>
                <w:b/>
                <w:sz w:val="14"/>
              </w:rPr>
            </w:pPr>
            <w:r>
              <w:rPr>
                <w:color w:val="231F20"/>
                <w:sz w:val="14"/>
              </w:rPr>
              <w:t>Ирационалне једначине</w:t>
            </w:r>
            <w:r>
              <w:rPr>
                <w:color w:val="231F20"/>
                <w:spacing w:val="-15"/>
                <w:sz w:val="14"/>
              </w:rPr>
              <w:t xml:space="preserve"> </w:t>
            </w:r>
            <w:r>
              <w:rPr>
                <w:color w:val="231F20"/>
                <w:sz w:val="14"/>
              </w:rPr>
              <w:t xml:space="preserve">и неједначине </w:t>
            </w:r>
            <w:r>
              <w:rPr>
                <w:b/>
                <w:color w:val="231F20"/>
                <w:sz w:val="14"/>
              </w:rPr>
              <w:t>(12</w:t>
            </w:r>
            <w:r>
              <w:rPr>
                <w:b/>
                <w:color w:val="231F20"/>
                <w:spacing w:val="-9"/>
                <w:sz w:val="14"/>
              </w:rPr>
              <w:t xml:space="preserve"> </w:t>
            </w:r>
            <w:r>
              <w:rPr>
                <w:b/>
                <w:color w:val="231F20"/>
                <w:sz w:val="14"/>
              </w:rPr>
              <w:t>часова)</w:t>
            </w:r>
          </w:p>
          <w:p w:rsidR="00041039" w:rsidRDefault="001B26CB">
            <w:pPr>
              <w:pStyle w:val="TableParagraph"/>
              <w:numPr>
                <w:ilvl w:val="0"/>
                <w:numId w:val="993"/>
              </w:numPr>
              <w:tabs>
                <w:tab w:val="left" w:pos="158"/>
              </w:tabs>
              <w:spacing w:line="134" w:lineRule="exact"/>
              <w:ind w:hanging="99"/>
              <w:rPr>
                <w:b/>
                <w:sz w:val="14"/>
              </w:rPr>
            </w:pPr>
            <w:r>
              <w:rPr>
                <w:color w:val="231F20"/>
                <w:sz w:val="14"/>
              </w:rPr>
              <w:t xml:space="preserve">Тригонометрија </w:t>
            </w:r>
            <w:r>
              <w:rPr>
                <w:b/>
                <w:color w:val="231F20"/>
                <w:sz w:val="14"/>
              </w:rPr>
              <w:t>(21</w:t>
            </w:r>
            <w:r>
              <w:rPr>
                <w:b/>
                <w:color w:val="231F20"/>
                <w:spacing w:val="-3"/>
                <w:sz w:val="14"/>
              </w:rPr>
              <w:t xml:space="preserve"> </w:t>
            </w:r>
            <w:r>
              <w:rPr>
                <w:b/>
                <w:color w:val="231F20"/>
                <w:sz w:val="14"/>
              </w:rPr>
              <w:t>час)</w:t>
            </w:r>
          </w:p>
          <w:p w:rsidR="00041039" w:rsidRDefault="001B26CB">
            <w:pPr>
              <w:pStyle w:val="TableParagraph"/>
              <w:numPr>
                <w:ilvl w:val="0"/>
                <w:numId w:val="993"/>
              </w:numPr>
              <w:tabs>
                <w:tab w:val="left" w:pos="158"/>
              </w:tabs>
              <w:spacing w:line="158" w:lineRule="exact"/>
              <w:ind w:hanging="99"/>
              <w:rPr>
                <w:b/>
                <w:sz w:val="14"/>
              </w:rPr>
            </w:pPr>
            <w:r>
              <w:rPr>
                <w:color w:val="231F20"/>
                <w:sz w:val="14"/>
              </w:rPr>
              <w:t xml:space="preserve">Конусни пресеци </w:t>
            </w:r>
            <w:r>
              <w:rPr>
                <w:b/>
                <w:color w:val="231F20"/>
                <w:sz w:val="14"/>
              </w:rPr>
              <w:t>(22</w:t>
            </w:r>
            <w:r>
              <w:rPr>
                <w:b/>
                <w:color w:val="231F20"/>
                <w:spacing w:val="-2"/>
                <w:sz w:val="14"/>
              </w:rPr>
              <w:t xml:space="preserve"> </w:t>
            </w:r>
            <w:r>
              <w:rPr>
                <w:b/>
                <w:color w:val="231F20"/>
                <w:sz w:val="14"/>
              </w:rPr>
              <w:t>часа)</w:t>
            </w:r>
          </w:p>
        </w:tc>
      </w:tr>
      <w:tr w:rsidR="00041039">
        <w:trPr>
          <w:trHeight w:val="377"/>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69" w:line="213" w:lineRule="auto"/>
              <w:ind w:left="58"/>
              <w:rPr>
                <w:b/>
                <w:sz w:val="14"/>
              </w:rPr>
            </w:pPr>
            <w:r>
              <w:rPr>
                <w:color w:val="231F20"/>
                <w:sz w:val="14"/>
              </w:rPr>
              <w:t>За реализацију 4 писмена задатка са исправкама планирано је 8 часова</w:t>
            </w:r>
            <w:r>
              <w:rPr>
                <w:b/>
                <w:color w:val="231F20"/>
                <w:sz w:val="14"/>
              </w:rPr>
              <w:t>.</w:t>
            </w:r>
          </w:p>
        </w:tc>
      </w:tr>
    </w:tbl>
    <w:p w:rsidR="00041039" w:rsidRDefault="00041039">
      <w:pPr>
        <w:spacing w:line="213" w:lineRule="auto"/>
        <w:rPr>
          <w:sz w:val="14"/>
        </w:rPr>
        <w:sectPr w:rsidR="00041039">
          <w:pgSz w:w="11910" w:h="15710"/>
          <w:pgMar w:top="4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ИЗАБРАНА </w:t>
      </w:r>
      <w:r>
        <w:rPr>
          <w:b/>
          <w:color w:val="231F20"/>
          <w:spacing w:val="-4"/>
          <w:sz w:val="14"/>
        </w:rPr>
        <w:t>ПОГЛАВЉА</w:t>
      </w:r>
      <w:r>
        <w:rPr>
          <w:b/>
          <w:color w:val="231F20"/>
          <w:sz w:val="14"/>
        </w:rPr>
        <w:t xml:space="preserve"> </w:t>
      </w:r>
      <w:r>
        <w:rPr>
          <w:b/>
          <w:color w:val="231F20"/>
          <w:spacing w:val="-3"/>
          <w:sz w:val="14"/>
        </w:rPr>
        <w:t>МАТЕМАТИКЕ</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ight="18"/>
              <w:rPr>
                <w:sz w:val="14"/>
              </w:rPr>
            </w:pPr>
            <w:r>
              <w:rPr>
                <w:color w:val="231F20"/>
                <w:sz w:val="14"/>
              </w:rPr>
              <w:t>Експоненцијалне и логаритамске једна­ чине и неједначине</w:t>
            </w:r>
          </w:p>
        </w:tc>
        <w:tc>
          <w:tcPr>
            <w:tcW w:w="1587" w:type="dxa"/>
          </w:tcPr>
          <w:p w:rsidR="00041039" w:rsidRDefault="001B26CB">
            <w:pPr>
              <w:pStyle w:val="TableParagraph"/>
              <w:numPr>
                <w:ilvl w:val="0"/>
                <w:numId w:val="992"/>
              </w:numPr>
              <w:tabs>
                <w:tab w:val="left" w:pos="157"/>
              </w:tabs>
              <w:spacing w:before="8"/>
              <w:ind w:right="169"/>
              <w:rPr>
                <w:sz w:val="14"/>
              </w:rPr>
            </w:pPr>
            <w:r>
              <w:rPr>
                <w:color w:val="231F20"/>
                <w:sz w:val="14"/>
              </w:rPr>
              <w:t>Проширивање</w:t>
            </w:r>
            <w:r>
              <w:rPr>
                <w:color w:val="231F20"/>
                <w:spacing w:val="-10"/>
                <w:sz w:val="14"/>
              </w:rPr>
              <w:t xml:space="preserve"> </w:t>
            </w:r>
            <w:r>
              <w:rPr>
                <w:color w:val="231F20"/>
                <w:sz w:val="14"/>
              </w:rPr>
              <w:t>знања о експоненцијалним и логаритамским једначинама.</w:t>
            </w:r>
          </w:p>
          <w:p w:rsidR="00041039" w:rsidRDefault="001B26CB">
            <w:pPr>
              <w:pStyle w:val="TableParagraph"/>
              <w:numPr>
                <w:ilvl w:val="0"/>
                <w:numId w:val="992"/>
              </w:numPr>
              <w:tabs>
                <w:tab w:val="left" w:pos="157"/>
              </w:tabs>
              <w:spacing w:line="156"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100"/>
              <w:rPr>
                <w:sz w:val="14"/>
              </w:rPr>
            </w:pPr>
            <w:r>
              <w:rPr>
                <w:color w:val="231F20"/>
                <w:sz w:val="14"/>
              </w:rPr>
              <w:t>експоненцијалним и логаритамским нејед­ начинама.</w:t>
            </w:r>
          </w:p>
        </w:tc>
        <w:tc>
          <w:tcPr>
            <w:tcW w:w="2551" w:type="dxa"/>
          </w:tcPr>
          <w:p w:rsidR="00041039" w:rsidRDefault="001B26CB">
            <w:pPr>
              <w:pStyle w:val="TableParagraph"/>
              <w:numPr>
                <w:ilvl w:val="0"/>
                <w:numId w:val="991"/>
              </w:numPr>
              <w:tabs>
                <w:tab w:val="left" w:pos="157"/>
              </w:tabs>
              <w:spacing w:before="8" w:line="166" w:lineRule="exact"/>
              <w:ind w:hanging="99"/>
              <w:rPr>
                <w:sz w:val="14"/>
              </w:rPr>
            </w:pPr>
            <w:r>
              <w:rPr>
                <w:color w:val="231F20"/>
                <w:sz w:val="14"/>
              </w:rPr>
              <w:t>реши експоненцијалне</w:t>
            </w:r>
            <w:r>
              <w:rPr>
                <w:color w:val="231F20"/>
                <w:spacing w:val="-4"/>
                <w:sz w:val="14"/>
              </w:rPr>
              <w:t xml:space="preserve"> </w:t>
            </w:r>
            <w:r>
              <w:rPr>
                <w:color w:val="231F20"/>
                <w:sz w:val="14"/>
              </w:rPr>
              <w:t>једначине;</w:t>
            </w:r>
          </w:p>
          <w:p w:rsidR="00041039" w:rsidRDefault="001B26CB">
            <w:pPr>
              <w:pStyle w:val="TableParagraph"/>
              <w:numPr>
                <w:ilvl w:val="0"/>
                <w:numId w:val="991"/>
              </w:numPr>
              <w:tabs>
                <w:tab w:val="left" w:pos="157"/>
              </w:tabs>
              <w:spacing w:line="237" w:lineRule="auto"/>
              <w:ind w:right="169" w:hanging="99"/>
              <w:rPr>
                <w:sz w:val="14"/>
              </w:rPr>
            </w:pPr>
            <w:r>
              <w:rPr>
                <w:color w:val="231F20"/>
                <w:sz w:val="14"/>
              </w:rPr>
              <w:t>реши једноставније експоненцијалне неједначине;</w:t>
            </w:r>
          </w:p>
          <w:p w:rsidR="00041039" w:rsidRDefault="001B26CB">
            <w:pPr>
              <w:pStyle w:val="TableParagraph"/>
              <w:numPr>
                <w:ilvl w:val="0"/>
                <w:numId w:val="991"/>
              </w:numPr>
              <w:tabs>
                <w:tab w:val="left" w:pos="157"/>
              </w:tabs>
              <w:spacing w:line="155" w:lineRule="exact"/>
              <w:ind w:hanging="99"/>
              <w:rPr>
                <w:sz w:val="14"/>
              </w:rPr>
            </w:pPr>
            <w:r>
              <w:rPr>
                <w:color w:val="231F20"/>
                <w:sz w:val="14"/>
              </w:rPr>
              <w:t>реши логаритамске</w:t>
            </w:r>
            <w:r>
              <w:rPr>
                <w:color w:val="231F20"/>
                <w:spacing w:val="-2"/>
                <w:sz w:val="14"/>
              </w:rPr>
              <w:t xml:space="preserve"> </w:t>
            </w:r>
            <w:r>
              <w:rPr>
                <w:color w:val="231F20"/>
                <w:sz w:val="14"/>
              </w:rPr>
              <w:t>једначине;</w:t>
            </w:r>
          </w:p>
          <w:p w:rsidR="00041039" w:rsidRDefault="001B26CB">
            <w:pPr>
              <w:pStyle w:val="TableParagraph"/>
              <w:numPr>
                <w:ilvl w:val="0"/>
                <w:numId w:val="991"/>
              </w:numPr>
              <w:tabs>
                <w:tab w:val="left" w:pos="157"/>
              </w:tabs>
              <w:spacing w:line="237" w:lineRule="auto"/>
              <w:ind w:right="367" w:hanging="99"/>
              <w:rPr>
                <w:sz w:val="14"/>
              </w:rPr>
            </w:pPr>
            <w:r>
              <w:rPr>
                <w:color w:val="231F20"/>
                <w:sz w:val="14"/>
              </w:rPr>
              <w:t>реши једноставније логаритамске неједначине;</w:t>
            </w:r>
          </w:p>
        </w:tc>
        <w:tc>
          <w:tcPr>
            <w:tcW w:w="2834" w:type="dxa"/>
          </w:tcPr>
          <w:p w:rsidR="00041039" w:rsidRDefault="001B26CB">
            <w:pPr>
              <w:pStyle w:val="TableParagraph"/>
              <w:numPr>
                <w:ilvl w:val="0"/>
                <w:numId w:val="990"/>
              </w:numPr>
              <w:tabs>
                <w:tab w:val="left" w:pos="157"/>
              </w:tabs>
              <w:spacing w:before="8" w:line="166" w:lineRule="exact"/>
              <w:ind w:hanging="99"/>
              <w:rPr>
                <w:sz w:val="14"/>
              </w:rPr>
            </w:pPr>
            <w:r>
              <w:rPr>
                <w:color w:val="231F20"/>
                <w:sz w:val="14"/>
              </w:rPr>
              <w:t>Експоненцијалне</w:t>
            </w:r>
            <w:r>
              <w:rPr>
                <w:color w:val="231F20"/>
                <w:spacing w:val="-2"/>
                <w:sz w:val="14"/>
              </w:rPr>
              <w:t xml:space="preserve"> </w:t>
            </w:r>
            <w:r>
              <w:rPr>
                <w:color w:val="231F20"/>
                <w:sz w:val="14"/>
              </w:rPr>
              <w:t>једначине.</w:t>
            </w:r>
          </w:p>
          <w:p w:rsidR="00041039" w:rsidRDefault="001B26CB">
            <w:pPr>
              <w:pStyle w:val="TableParagraph"/>
              <w:numPr>
                <w:ilvl w:val="0"/>
                <w:numId w:val="990"/>
              </w:numPr>
              <w:tabs>
                <w:tab w:val="left" w:pos="157"/>
              </w:tabs>
              <w:spacing w:line="160" w:lineRule="exact"/>
              <w:ind w:hanging="99"/>
              <w:rPr>
                <w:sz w:val="14"/>
              </w:rPr>
            </w:pPr>
            <w:r>
              <w:rPr>
                <w:color w:val="231F20"/>
                <w:sz w:val="14"/>
              </w:rPr>
              <w:t>Експоненцијалне</w:t>
            </w:r>
            <w:r>
              <w:rPr>
                <w:color w:val="231F20"/>
                <w:spacing w:val="-2"/>
                <w:sz w:val="14"/>
              </w:rPr>
              <w:t xml:space="preserve"> </w:t>
            </w:r>
            <w:r>
              <w:rPr>
                <w:color w:val="231F20"/>
                <w:sz w:val="14"/>
              </w:rPr>
              <w:t>неједначине.</w:t>
            </w:r>
          </w:p>
          <w:p w:rsidR="00041039" w:rsidRDefault="001B26CB">
            <w:pPr>
              <w:pStyle w:val="TableParagraph"/>
              <w:numPr>
                <w:ilvl w:val="0"/>
                <w:numId w:val="990"/>
              </w:numPr>
              <w:tabs>
                <w:tab w:val="left" w:pos="157"/>
              </w:tabs>
              <w:spacing w:line="160" w:lineRule="exact"/>
              <w:ind w:hanging="99"/>
              <w:rPr>
                <w:sz w:val="14"/>
              </w:rPr>
            </w:pPr>
            <w:r>
              <w:rPr>
                <w:color w:val="231F20"/>
                <w:sz w:val="14"/>
              </w:rPr>
              <w:t>Логаритамске</w:t>
            </w:r>
            <w:r>
              <w:rPr>
                <w:color w:val="231F20"/>
                <w:spacing w:val="-1"/>
                <w:sz w:val="14"/>
              </w:rPr>
              <w:t xml:space="preserve"> </w:t>
            </w:r>
            <w:r>
              <w:rPr>
                <w:color w:val="231F20"/>
                <w:sz w:val="14"/>
              </w:rPr>
              <w:t>једначине.</w:t>
            </w:r>
          </w:p>
          <w:p w:rsidR="00041039" w:rsidRDefault="001B26CB">
            <w:pPr>
              <w:pStyle w:val="TableParagraph"/>
              <w:numPr>
                <w:ilvl w:val="0"/>
                <w:numId w:val="990"/>
              </w:numPr>
              <w:tabs>
                <w:tab w:val="left" w:pos="157"/>
              </w:tabs>
              <w:spacing w:line="166" w:lineRule="exact"/>
              <w:ind w:hanging="99"/>
              <w:rPr>
                <w:sz w:val="14"/>
              </w:rPr>
            </w:pPr>
            <w:r>
              <w:rPr>
                <w:color w:val="231F20"/>
                <w:sz w:val="14"/>
              </w:rPr>
              <w:t>Логаритамске</w:t>
            </w:r>
            <w:r>
              <w:rPr>
                <w:color w:val="231F20"/>
                <w:spacing w:val="-1"/>
                <w:sz w:val="14"/>
              </w:rPr>
              <w:t xml:space="preserve"> </w:t>
            </w:r>
            <w:r>
              <w:rPr>
                <w:color w:val="231F20"/>
                <w:sz w:val="14"/>
              </w:rPr>
              <w:t>неједначине.</w:t>
            </w:r>
          </w:p>
        </w:tc>
        <w:tc>
          <w:tcPr>
            <w:tcW w:w="2267" w:type="dxa"/>
            <w:vMerge w:val="restart"/>
          </w:tcPr>
          <w:p w:rsidR="00041039" w:rsidRDefault="001B26CB">
            <w:pPr>
              <w:pStyle w:val="TableParagraph"/>
              <w:numPr>
                <w:ilvl w:val="0"/>
                <w:numId w:val="989"/>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989"/>
              </w:numPr>
              <w:tabs>
                <w:tab w:val="left" w:pos="158"/>
              </w:tabs>
              <w:spacing w:line="160" w:lineRule="exact"/>
              <w:ind w:hanging="99"/>
              <w:rPr>
                <w:b/>
                <w:sz w:val="14"/>
              </w:rPr>
            </w:pPr>
            <w:r>
              <w:rPr>
                <w:color w:val="231F20"/>
                <w:sz w:val="14"/>
              </w:rPr>
              <w:t xml:space="preserve">теоријска настава </w:t>
            </w:r>
            <w:r>
              <w:rPr>
                <w:b/>
                <w:color w:val="231F20"/>
                <w:sz w:val="14"/>
              </w:rPr>
              <w:t>(64</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989"/>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989"/>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989"/>
              </w:numPr>
              <w:tabs>
                <w:tab w:val="left" w:pos="158"/>
              </w:tabs>
              <w:spacing w:line="160" w:lineRule="exact"/>
              <w:ind w:right="197" w:hanging="99"/>
              <w:rPr>
                <w:sz w:val="14"/>
              </w:rPr>
            </w:pPr>
            <w:r>
              <w:rPr>
                <w:color w:val="231F20"/>
                <w:sz w:val="14"/>
              </w:rPr>
              <w:t>образложити циљ предмета,</w:t>
            </w:r>
            <w:r>
              <w:rPr>
                <w:color w:val="231F20"/>
                <w:spacing w:val="-12"/>
                <w:sz w:val="14"/>
              </w:rPr>
              <w:t xml:space="preserve"> </w:t>
            </w:r>
            <w:r>
              <w:rPr>
                <w:color w:val="231F20"/>
                <w:sz w:val="14"/>
              </w:rPr>
              <w:t>на­ чин и критеријум</w:t>
            </w:r>
            <w:r>
              <w:rPr>
                <w:color w:val="231F20"/>
                <w:spacing w:val="-3"/>
                <w:sz w:val="14"/>
              </w:rPr>
              <w:t xml:space="preserve"> </w:t>
            </w:r>
            <w:r>
              <w:rPr>
                <w:color w:val="231F20"/>
                <w:sz w:val="14"/>
              </w:rPr>
              <w:t>оцењивања;</w:t>
            </w:r>
          </w:p>
          <w:p w:rsidR="00041039" w:rsidRDefault="001B26CB">
            <w:pPr>
              <w:pStyle w:val="TableParagraph"/>
              <w:numPr>
                <w:ilvl w:val="0"/>
                <w:numId w:val="989"/>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989"/>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989"/>
              </w:numPr>
              <w:tabs>
                <w:tab w:val="left" w:pos="158"/>
              </w:tabs>
              <w:spacing w:line="160" w:lineRule="exact"/>
              <w:ind w:right="57" w:hanging="99"/>
              <w:rPr>
                <w:sz w:val="14"/>
              </w:rPr>
            </w:pPr>
            <w:r>
              <w:rPr>
                <w:color w:val="231F20"/>
                <w:sz w:val="14"/>
              </w:rPr>
              <w:t xml:space="preserve">примењивати разноврсне облике и методе рада, </w:t>
            </w:r>
            <w:r>
              <w:rPr>
                <w:color w:val="231F20"/>
                <w:spacing w:val="-3"/>
                <w:sz w:val="14"/>
              </w:rPr>
              <w:t xml:space="preserve">како </w:t>
            </w:r>
            <w:r>
              <w:rPr>
                <w:color w:val="231F20"/>
                <w:sz w:val="14"/>
              </w:rPr>
              <w:t>би се подстак­ ла активност</w:t>
            </w:r>
            <w:r>
              <w:rPr>
                <w:color w:val="231F20"/>
                <w:spacing w:val="-2"/>
                <w:sz w:val="14"/>
              </w:rPr>
              <w:t xml:space="preserve"> </w:t>
            </w:r>
            <w:r>
              <w:rPr>
                <w:color w:val="231F20"/>
                <w:sz w:val="14"/>
              </w:rPr>
              <w:t>ученика;</w:t>
            </w:r>
          </w:p>
          <w:p w:rsidR="00041039" w:rsidRDefault="001B26CB">
            <w:pPr>
              <w:pStyle w:val="TableParagraph"/>
              <w:numPr>
                <w:ilvl w:val="0"/>
                <w:numId w:val="989"/>
              </w:numPr>
              <w:tabs>
                <w:tab w:val="left" w:pos="158"/>
              </w:tabs>
              <w:spacing w:before="1"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989"/>
              </w:numPr>
              <w:tabs>
                <w:tab w:val="left" w:pos="158"/>
              </w:tabs>
              <w:spacing w:line="160" w:lineRule="exact"/>
              <w:ind w:right="309" w:hanging="99"/>
              <w:rPr>
                <w:sz w:val="14"/>
              </w:rPr>
            </w:pPr>
            <w:r>
              <w:rPr>
                <w:color w:val="231F20"/>
                <w:sz w:val="14"/>
              </w:rPr>
              <w:t>упућивати ученике на претраживање различитих извора и примену савремених технологија;</w:t>
            </w:r>
          </w:p>
          <w:p w:rsidR="00041039" w:rsidRDefault="001B26CB">
            <w:pPr>
              <w:pStyle w:val="TableParagraph"/>
              <w:numPr>
                <w:ilvl w:val="0"/>
                <w:numId w:val="988"/>
              </w:numPr>
              <w:tabs>
                <w:tab w:val="left" w:pos="143"/>
              </w:tabs>
              <w:spacing w:line="237" w:lineRule="auto"/>
              <w:ind w:right="131"/>
              <w:rPr>
                <w:sz w:val="14"/>
              </w:rPr>
            </w:pPr>
            <w:r>
              <w:rPr>
                <w:b/>
                <w:color w:val="231F20"/>
                <w:sz w:val="14"/>
              </w:rPr>
              <w:t xml:space="preserve">Експоненцијалне и логаритам- ске једначине и неједначине: </w:t>
            </w:r>
            <w:r>
              <w:rPr>
                <w:color w:val="231F20"/>
                <w:sz w:val="14"/>
              </w:rPr>
              <w:t>наглашавати неопходност постављања услова за дефиниса­ ност. Неједначине обрадити на једноставнијим</w:t>
            </w:r>
            <w:r>
              <w:rPr>
                <w:color w:val="231F20"/>
                <w:spacing w:val="-1"/>
                <w:sz w:val="14"/>
              </w:rPr>
              <w:t xml:space="preserve"> </w:t>
            </w:r>
            <w:r>
              <w:rPr>
                <w:color w:val="231F20"/>
                <w:sz w:val="14"/>
              </w:rPr>
              <w:t>примерима.</w:t>
            </w:r>
          </w:p>
          <w:p w:rsidR="00041039" w:rsidRDefault="001B26CB">
            <w:pPr>
              <w:pStyle w:val="TableParagraph"/>
              <w:numPr>
                <w:ilvl w:val="0"/>
                <w:numId w:val="988"/>
              </w:numPr>
              <w:tabs>
                <w:tab w:val="left" w:pos="143"/>
              </w:tabs>
              <w:spacing w:before="1"/>
              <w:ind w:right="122"/>
              <w:rPr>
                <w:sz w:val="14"/>
              </w:rPr>
            </w:pPr>
            <w:r>
              <w:rPr>
                <w:b/>
                <w:color w:val="231F20"/>
                <w:sz w:val="14"/>
              </w:rPr>
              <w:t xml:space="preserve">Комбинаторика: </w:t>
            </w:r>
            <w:r>
              <w:rPr>
                <w:color w:val="231F20"/>
                <w:sz w:val="14"/>
              </w:rPr>
              <w:t xml:space="preserve">при решавању задатака пребројавања разма­ трати варијације, пермутације </w:t>
            </w:r>
            <w:r>
              <w:rPr>
                <w:color w:val="231F20"/>
                <w:sz w:val="14"/>
              </w:rPr>
              <w:t>и комбинације са и без</w:t>
            </w:r>
            <w:r>
              <w:rPr>
                <w:color w:val="231F20"/>
                <w:spacing w:val="-21"/>
                <w:sz w:val="14"/>
              </w:rPr>
              <w:t xml:space="preserve"> </w:t>
            </w:r>
            <w:r>
              <w:rPr>
                <w:color w:val="231F20"/>
                <w:sz w:val="14"/>
              </w:rPr>
              <w:t>понављања. Користити што више</w:t>
            </w:r>
            <w:r>
              <w:rPr>
                <w:color w:val="231F20"/>
                <w:spacing w:val="-19"/>
                <w:sz w:val="14"/>
              </w:rPr>
              <w:t xml:space="preserve"> </w:t>
            </w:r>
            <w:r>
              <w:rPr>
                <w:color w:val="231F20"/>
                <w:sz w:val="14"/>
              </w:rPr>
              <w:t>конкретних примера из</w:t>
            </w:r>
            <w:r>
              <w:rPr>
                <w:color w:val="231F20"/>
                <w:spacing w:val="-3"/>
                <w:sz w:val="14"/>
              </w:rPr>
              <w:t xml:space="preserve"> </w:t>
            </w:r>
            <w:r>
              <w:rPr>
                <w:color w:val="231F20"/>
                <w:sz w:val="14"/>
              </w:rPr>
              <w:t>живота.</w:t>
            </w:r>
          </w:p>
          <w:p w:rsidR="00041039" w:rsidRDefault="001B26CB">
            <w:pPr>
              <w:pStyle w:val="TableParagraph"/>
              <w:numPr>
                <w:ilvl w:val="0"/>
                <w:numId w:val="988"/>
              </w:numPr>
              <w:tabs>
                <w:tab w:val="left" w:pos="143"/>
              </w:tabs>
              <w:spacing w:line="237" w:lineRule="auto"/>
              <w:ind w:right="105"/>
              <w:jc w:val="both"/>
              <w:rPr>
                <w:sz w:val="14"/>
              </w:rPr>
            </w:pPr>
            <w:r>
              <w:rPr>
                <w:b/>
                <w:color w:val="231F20"/>
                <w:sz w:val="14"/>
              </w:rPr>
              <w:t xml:space="preserve">Вероватноћа и статистика: </w:t>
            </w:r>
            <w:r>
              <w:rPr>
                <w:color w:val="231F20"/>
                <w:sz w:val="14"/>
              </w:rPr>
              <w:t>при обради новог градива користити што више конкретних примера</w:t>
            </w:r>
            <w:r>
              <w:rPr>
                <w:color w:val="231F20"/>
                <w:spacing w:val="-22"/>
                <w:sz w:val="14"/>
              </w:rPr>
              <w:t xml:space="preserve"> </w:t>
            </w:r>
            <w:r>
              <w:rPr>
                <w:color w:val="231F20"/>
                <w:sz w:val="14"/>
              </w:rPr>
              <w:t>из живота.</w:t>
            </w:r>
          </w:p>
          <w:p w:rsidR="00041039" w:rsidRDefault="001B26CB">
            <w:pPr>
              <w:pStyle w:val="TableParagraph"/>
              <w:numPr>
                <w:ilvl w:val="0"/>
                <w:numId w:val="988"/>
              </w:numPr>
              <w:tabs>
                <w:tab w:val="left" w:pos="143"/>
              </w:tabs>
              <w:ind w:right="188"/>
              <w:rPr>
                <w:sz w:val="14"/>
              </w:rPr>
            </w:pPr>
            <w:r>
              <w:rPr>
                <w:b/>
                <w:color w:val="231F20"/>
                <w:sz w:val="14"/>
              </w:rPr>
              <w:t xml:space="preserve">Диференцијалне једначине: </w:t>
            </w:r>
            <w:r>
              <w:rPr>
                <w:color w:val="231F20"/>
                <w:sz w:val="14"/>
              </w:rPr>
              <w:t>изабрати једноставније примере диференцијалних</w:t>
            </w:r>
            <w:r>
              <w:rPr>
                <w:color w:val="231F20"/>
                <w:spacing w:val="-3"/>
                <w:sz w:val="14"/>
              </w:rPr>
              <w:t xml:space="preserve"> </w:t>
            </w:r>
            <w:r>
              <w:rPr>
                <w:color w:val="231F20"/>
                <w:sz w:val="14"/>
              </w:rPr>
              <w:t>једначина.</w:t>
            </w:r>
          </w:p>
          <w:p w:rsidR="00041039" w:rsidRDefault="001B26CB">
            <w:pPr>
              <w:pStyle w:val="TableParagraph"/>
              <w:spacing w:line="237" w:lineRule="auto"/>
              <w:ind w:left="142"/>
              <w:rPr>
                <w:sz w:val="14"/>
              </w:rPr>
            </w:pPr>
            <w:r>
              <w:rPr>
                <w:color w:val="231F20"/>
                <w:sz w:val="14"/>
              </w:rPr>
              <w:t>У делу теме који се односи на диференцијалне једначине другог реда обрадити само једначине облика y’’= f(x).</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987"/>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987"/>
              </w:numPr>
              <w:tabs>
                <w:tab w:val="left" w:pos="158"/>
              </w:tabs>
              <w:spacing w:line="160" w:lineRule="exact"/>
              <w:ind w:hanging="99"/>
              <w:rPr>
                <w:sz w:val="14"/>
              </w:rPr>
            </w:pPr>
            <w:r>
              <w:rPr>
                <w:color w:val="231F20"/>
                <w:sz w:val="14"/>
              </w:rPr>
              <w:t>активност ученика на</w:t>
            </w:r>
            <w:r>
              <w:rPr>
                <w:color w:val="231F20"/>
                <w:spacing w:val="-2"/>
                <w:sz w:val="14"/>
              </w:rPr>
              <w:t xml:space="preserve"> </w:t>
            </w:r>
            <w:r>
              <w:rPr>
                <w:color w:val="231F20"/>
                <w:sz w:val="14"/>
              </w:rPr>
              <w:t>часу</w:t>
            </w:r>
          </w:p>
          <w:p w:rsidR="00041039" w:rsidRDefault="001B26CB">
            <w:pPr>
              <w:pStyle w:val="TableParagraph"/>
              <w:numPr>
                <w:ilvl w:val="0"/>
                <w:numId w:val="987"/>
              </w:numPr>
              <w:tabs>
                <w:tab w:val="left" w:pos="158"/>
              </w:tabs>
              <w:spacing w:line="160" w:lineRule="exact"/>
              <w:ind w:hanging="99"/>
              <w:rPr>
                <w:sz w:val="14"/>
              </w:rPr>
            </w:pPr>
            <w:r>
              <w:rPr>
                <w:color w:val="231F20"/>
                <w:sz w:val="14"/>
              </w:rPr>
              <w:t>усмену проверу</w:t>
            </w:r>
            <w:r>
              <w:rPr>
                <w:color w:val="231F20"/>
                <w:spacing w:val="-1"/>
                <w:sz w:val="14"/>
              </w:rPr>
              <w:t xml:space="preserve"> </w:t>
            </w:r>
            <w:r>
              <w:rPr>
                <w:color w:val="231F20"/>
                <w:sz w:val="14"/>
              </w:rPr>
              <w:t>знања</w:t>
            </w:r>
          </w:p>
          <w:p w:rsidR="00041039" w:rsidRDefault="001B26CB">
            <w:pPr>
              <w:pStyle w:val="TableParagraph"/>
              <w:numPr>
                <w:ilvl w:val="0"/>
                <w:numId w:val="987"/>
              </w:numPr>
              <w:tabs>
                <w:tab w:val="left" w:pos="158"/>
              </w:tabs>
              <w:spacing w:line="160" w:lineRule="exact"/>
              <w:ind w:hanging="99"/>
              <w:rPr>
                <w:sz w:val="14"/>
              </w:rPr>
            </w:pPr>
            <w:r>
              <w:rPr>
                <w:color w:val="231F20"/>
                <w:sz w:val="14"/>
              </w:rPr>
              <w:t>писмену провера</w:t>
            </w:r>
            <w:r>
              <w:rPr>
                <w:color w:val="231F20"/>
                <w:spacing w:val="-3"/>
                <w:sz w:val="14"/>
              </w:rPr>
              <w:t xml:space="preserve"> </w:t>
            </w:r>
            <w:r>
              <w:rPr>
                <w:color w:val="231F20"/>
                <w:sz w:val="14"/>
              </w:rPr>
              <w:t>знања</w:t>
            </w:r>
          </w:p>
          <w:p w:rsidR="00041039" w:rsidRDefault="001B26CB">
            <w:pPr>
              <w:pStyle w:val="TableParagraph"/>
              <w:numPr>
                <w:ilvl w:val="0"/>
                <w:numId w:val="987"/>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987"/>
              </w:numPr>
              <w:tabs>
                <w:tab w:val="left" w:pos="158"/>
              </w:tabs>
              <w:spacing w:line="237" w:lineRule="auto"/>
              <w:ind w:right="244" w:hanging="99"/>
              <w:jc w:val="both"/>
              <w:rPr>
                <w:b/>
                <w:sz w:val="14"/>
              </w:rPr>
            </w:pPr>
            <w:r>
              <w:rPr>
                <w:color w:val="231F20"/>
                <w:sz w:val="14"/>
              </w:rPr>
              <w:t>Експоненцијалне и логаритам­ ске</w:t>
            </w:r>
            <w:r>
              <w:rPr>
                <w:color w:val="231F20"/>
                <w:spacing w:val="-10"/>
                <w:sz w:val="14"/>
              </w:rPr>
              <w:t xml:space="preserve"> </w:t>
            </w:r>
            <w:r>
              <w:rPr>
                <w:color w:val="231F20"/>
                <w:sz w:val="14"/>
              </w:rPr>
              <w:t>једначине</w:t>
            </w:r>
            <w:r>
              <w:rPr>
                <w:color w:val="231F20"/>
                <w:spacing w:val="-10"/>
                <w:sz w:val="14"/>
              </w:rPr>
              <w:t xml:space="preserve"> </w:t>
            </w:r>
            <w:r>
              <w:rPr>
                <w:color w:val="231F20"/>
                <w:sz w:val="14"/>
              </w:rPr>
              <w:t>и</w:t>
            </w:r>
            <w:r>
              <w:rPr>
                <w:color w:val="231F20"/>
                <w:spacing w:val="-11"/>
                <w:sz w:val="14"/>
              </w:rPr>
              <w:t xml:space="preserve"> </w:t>
            </w:r>
            <w:r>
              <w:rPr>
                <w:color w:val="231F20"/>
                <w:sz w:val="14"/>
              </w:rPr>
              <w:t>неједначине</w:t>
            </w:r>
            <w:r>
              <w:rPr>
                <w:b/>
                <w:color w:val="231F20"/>
                <w:sz w:val="14"/>
              </w:rPr>
              <w:t>(11 часова)</w:t>
            </w:r>
          </w:p>
          <w:p w:rsidR="00041039" w:rsidRDefault="001B26CB">
            <w:pPr>
              <w:pStyle w:val="TableParagraph"/>
              <w:numPr>
                <w:ilvl w:val="0"/>
                <w:numId w:val="987"/>
              </w:numPr>
              <w:tabs>
                <w:tab w:val="left" w:pos="158"/>
              </w:tabs>
              <w:spacing w:line="161" w:lineRule="exact"/>
              <w:ind w:hanging="99"/>
              <w:rPr>
                <w:b/>
                <w:sz w:val="14"/>
              </w:rPr>
            </w:pPr>
            <w:r>
              <w:rPr>
                <w:color w:val="231F20"/>
                <w:sz w:val="14"/>
              </w:rPr>
              <w:t xml:space="preserve">Комбинаторика </w:t>
            </w:r>
            <w:r>
              <w:rPr>
                <w:b/>
                <w:color w:val="231F20"/>
                <w:sz w:val="14"/>
              </w:rPr>
              <w:t>(13</w:t>
            </w:r>
            <w:r>
              <w:rPr>
                <w:b/>
                <w:color w:val="231F20"/>
                <w:spacing w:val="-5"/>
                <w:sz w:val="14"/>
              </w:rPr>
              <w:t xml:space="preserve"> </w:t>
            </w:r>
            <w:r>
              <w:rPr>
                <w:b/>
                <w:color w:val="231F20"/>
                <w:sz w:val="14"/>
              </w:rPr>
              <w:t>часова)</w:t>
            </w:r>
          </w:p>
        </w:tc>
      </w:tr>
      <w:tr w:rsidR="00041039">
        <w:trPr>
          <w:trHeight w:val="2120"/>
        </w:trPr>
        <w:tc>
          <w:tcPr>
            <w:tcW w:w="1304" w:type="dxa"/>
          </w:tcPr>
          <w:p w:rsidR="00041039" w:rsidRDefault="001B26CB">
            <w:pPr>
              <w:pStyle w:val="TableParagraph"/>
              <w:spacing w:before="20"/>
              <w:ind w:left="56"/>
              <w:rPr>
                <w:sz w:val="14"/>
              </w:rPr>
            </w:pPr>
            <w:r>
              <w:rPr>
                <w:color w:val="231F20"/>
                <w:sz w:val="14"/>
              </w:rPr>
              <w:t>Комбинаторика</w:t>
            </w:r>
          </w:p>
        </w:tc>
        <w:tc>
          <w:tcPr>
            <w:tcW w:w="1587" w:type="dxa"/>
          </w:tcPr>
          <w:p w:rsidR="00041039" w:rsidRDefault="001B26CB">
            <w:pPr>
              <w:pStyle w:val="TableParagraph"/>
              <w:numPr>
                <w:ilvl w:val="0"/>
                <w:numId w:val="986"/>
              </w:numPr>
              <w:tabs>
                <w:tab w:val="left" w:pos="157"/>
              </w:tabs>
              <w:spacing w:before="10"/>
              <w:ind w:right="190"/>
              <w:rPr>
                <w:sz w:val="14"/>
              </w:rPr>
            </w:pPr>
            <w:r>
              <w:rPr>
                <w:color w:val="231F20"/>
                <w:sz w:val="14"/>
              </w:rPr>
              <w:t>Стицање основних знања из</w:t>
            </w:r>
            <w:r>
              <w:rPr>
                <w:color w:val="231F20"/>
                <w:spacing w:val="-21"/>
                <w:sz w:val="14"/>
              </w:rPr>
              <w:t xml:space="preserve"> </w:t>
            </w:r>
            <w:r>
              <w:rPr>
                <w:color w:val="231F20"/>
                <w:sz w:val="14"/>
              </w:rPr>
              <w:t>комбинато­ рике.</w:t>
            </w:r>
          </w:p>
        </w:tc>
        <w:tc>
          <w:tcPr>
            <w:tcW w:w="2551" w:type="dxa"/>
          </w:tcPr>
          <w:p w:rsidR="00041039" w:rsidRDefault="001B26CB">
            <w:pPr>
              <w:pStyle w:val="TableParagraph"/>
              <w:numPr>
                <w:ilvl w:val="0"/>
                <w:numId w:val="985"/>
              </w:numPr>
              <w:tabs>
                <w:tab w:val="left" w:pos="157"/>
              </w:tabs>
              <w:spacing w:before="10"/>
              <w:ind w:right="338" w:hanging="99"/>
              <w:rPr>
                <w:sz w:val="14"/>
              </w:rPr>
            </w:pPr>
            <w:r>
              <w:rPr>
                <w:color w:val="231F20"/>
                <w:sz w:val="14"/>
              </w:rPr>
              <w:t>примени правило збира и правило производа;</w:t>
            </w:r>
          </w:p>
          <w:p w:rsidR="00041039" w:rsidRDefault="001B26CB">
            <w:pPr>
              <w:pStyle w:val="TableParagraph"/>
              <w:numPr>
                <w:ilvl w:val="0"/>
                <w:numId w:val="985"/>
              </w:numPr>
              <w:tabs>
                <w:tab w:val="left" w:pos="157"/>
              </w:tabs>
              <w:spacing w:line="153" w:lineRule="exact"/>
              <w:ind w:hanging="99"/>
              <w:rPr>
                <w:sz w:val="14"/>
              </w:rPr>
            </w:pPr>
            <w:r>
              <w:rPr>
                <w:color w:val="231F20"/>
                <w:sz w:val="14"/>
              </w:rPr>
              <w:t>одреди број пермутација датог</w:t>
            </w:r>
            <w:r>
              <w:rPr>
                <w:color w:val="231F20"/>
                <w:spacing w:val="-9"/>
                <w:sz w:val="14"/>
              </w:rPr>
              <w:t xml:space="preserve"> </w:t>
            </w:r>
            <w:r>
              <w:rPr>
                <w:color w:val="231F20"/>
                <w:sz w:val="14"/>
              </w:rPr>
              <w:t>скупа;</w:t>
            </w:r>
          </w:p>
          <w:p w:rsidR="00041039" w:rsidRDefault="001B26CB">
            <w:pPr>
              <w:pStyle w:val="TableParagraph"/>
              <w:numPr>
                <w:ilvl w:val="0"/>
                <w:numId w:val="985"/>
              </w:numPr>
              <w:tabs>
                <w:tab w:val="left" w:pos="157"/>
              </w:tabs>
              <w:spacing w:line="160" w:lineRule="exact"/>
              <w:ind w:hanging="99"/>
              <w:rPr>
                <w:sz w:val="14"/>
              </w:rPr>
            </w:pPr>
            <w:r>
              <w:rPr>
                <w:color w:val="231F20"/>
                <w:sz w:val="14"/>
              </w:rPr>
              <w:t>одреди број варијација датог</w:t>
            </w:r>
            <w:r>
              <w:rPr>
                <w:color w:val="231F20"/>
                <w:spacing w:val="-6"/>
                <w:sz w:val="14"/>
              </w:rPr>
              <w:t xml:space="preserve"> </w:t>
            </w:r>
            <w:r>
              <w:rPr>
                <w:color w:val="231F20"/>
                <w:sz w:val="14"/>
              </w:rPr>
              <w:t>скупа;</w:t>
            </w:r>
          </w:p>
          <w:p w:rsidR="00041039" w:rsidRDefault="001B26CB">
            <w:pPr>
              <w:pStyle w:val="TableParagraph"/>
              <w:numPr>
                <w:ilvl w:val="0"/>
                <w:numId w:val="985"/>
              </w:numPr>
              <w:tabs>
                <w:tab w:val="left" w:pos="157"/>
              </w:tabs>
              <w:spacing w:line="160" w:lineRule="exact"/>
              <w:ind w:hanging="99"/>
              <w:rPr>
                <w:sz w:val="14"/>
              </w:rPr>
            </w:pPr>
            <w:r>
              <w:rPr>
                <w:color w:val="231F20"/>
                <w:sz w:val="14"/>
              </w:rPr>
              <w:t>одреди број комбинација датог</w:t>
            </w:r>
            <w:r>
              <w:rPr>
                <w:color w:val="231F20"/>
                <w:spacing w:val="-13"/>
                <w:sz w:val="14"/>
              </w:rPr>
              <w:t xml:space="preserve"> </w:t>
            </w:r>
            <w:r>
              <w:rPr>
                <w:color w:val="231F20"/>
                <w:sz w:val="14"/>
              </w:rPr>
              <w:t>скупа;</w:t>
            </w:r>
          </w:p>
          <w:p w:rsidR="00041039" w:rsidRDefault="001B26CB">
            <w:pPr>
              <w:pStyle w:val="TableParagraph"/>
              <w:numPr>
                <w:ilvl w:val="0"/>
                <w:numId w:val="985"/>
              </w:numPr>
              <w:tabs>
                <w:tab w:val="left" w:pos="157"/>
              </w:tabs>
              <w:spacing w:line="237" w:lineRule="auto"/>
              <w:ind w:right="168" w:hanging="99"/>
              <w:rPr>
                <w:sz w:val="14"/>
              </w:rPr>
            </w:pPr>
            <w:r>
              <w:rPr>
                <w:color w:val="231F20"/>
                <w:sz w:val="14"/>
              </w:rPr>
              <w:t xml:space="preserve">напише пермутације (варијације, комбинације) датог скупа </w:t>
            </w:r>
            <w:r>
              <w:rPr>
                <w:color w:val="231F20"/>
                <w:spacing w:val="-3"/>
                <w:sz w:val="14"/>
              </w:rPr>
              <w:t>од</w:t>
            </w:r>
            <w:r>
              <w:rPr>
                <w:color w:val="231F20"/>
                <w:spacing w:val="-23"/>
                <w:sz w:val="14"/>
              </w:rPr>
              <w:t xml:space="preserve"> </w:t>
            </w:r>
            <w:r>
              <w:rPr>
                <w:color w:val="231F20"/>
                <w:sz w:val="14"/>
              </w:rPr>
              <w:t>највише четири члана;</w:t>
            </w:r>
          </w:p>
          <w:p w:rsidR="00041039" w:rsidRDefault="001B26CB">
            <w:pPr>
              <w:pStyle w:val="TableParagraph"/>
              <w:numPr>
                <w:ilvl w:val="0"/>
                <w:numId w:val="985"/>
              </w:numPr>
              <w:tabs>
                <w:tab w:val="left" w:pos="157"/>
              </w:tabs>
              <w:spacing w:line="237" w:lineRule="auto"/>
              <w:ind w:right="159" w:hanging="99"/>
              <w:rPr>
                <w:sz w:val="14"/>
              </w:rPr>
            </w:pPr>
            <w:r>
              <w:rPr>
                <w:color w:val="231F20"/>
                <w:sz w:val="14"/>
              </w:rPr>
              <w:t>одреди k ­ ти биномни коефицијент</w:t>
            </w:r>
            <w:r>
              <w:rPr>
                <w:color w:val="231F20"/>
                <w:spacing w:val="-18"/>
                <w:sz w:val="14"/>
              </w:rPr>
              <w:t xml:space="preserve"> </w:t>
            </w:r>
            <w:r>
              <w:rPr>
                <w:color w:val="231F20"/>
                <w:sz w:val="14"/>
              </w:rPr>
              <w:t>у развоју бинома на n ­ ти</w:t>
            </w:r>
            <w:r>
              <w:rPr>
                <w:color w:val="231F20"/>
                <w:spacing w:val="-5"/>
                <w:sz w:val="14"/>
              </w:rPr>
              <w:t xml:space="preserve"> </w:t>
            </w:r>
            <w:r>
              <w:rPr>
                <w:color w:val="231F20"/>
                <w:sz w:val="14"/>
              </w:rPr>
              <w:t>степен;</w:t>
            </w:r>
          </w:p>
          <w:p w:rsidR="00041039" w:rsidRDefault="001B26CB">
            <w:pPr>
              <w:pStyle w:val="TableParagraph"/>
              <w:numPr>
                <w:ilvl w:val="0"/>
                <w:numId w:val="985"/>
              </w:numPr>
              <w:tabs>
                <w:tab w:val="left" w:pos="157"/>
              </w:tabs>
              <w:spacing w:line="160" w:lineRule="exact"/>
              <w:ind w:right="128" w:hanging="99"/>
              <w:rPr>
                <w:sz w:val="14"/>
              </w:rPr>
            </w:pPr>
            <w:r>
              <w:rPr>
                <w:color w:val="231F20"/>
                <w:sz w:val="14"/>
              </w:rPr>
              <w:t>одреди непознати члан у развоју би­ нома на n ­ ти степен који</w:t>
            </w:r>
            <w:r>
              <w:rPr>
                <w:color w:val="231F20"/>
                <w:spacing w:val="-22"/>
                <w:sz w:val="14"/>
              </w:rPr>
              <w:t xml:space="preserve"> </w:t>
            </w:r>
            <w:r>
              <w:rPr>
                <w:color w:val="231F20"/>
                <w:sz w:val="14"/>
              </w:rPr>
              <w:t>задовољава дате</w:t>
            </w:r>
            <w:r>
              <w:rPr>
                <w:color w:val="231F20"/>
                <w:spacing w:val="-1"/>
                <w:sz w:val="14"/>
              </w:rPr>
              <w:t xml:space="preserve"> </w:t>
            </w:r>
            <w:r>
              <w:rPr>
                <w:color w:val="231F20"/>
                <w:sz w:val="14"/>
              </w:rPr>
              <w:t>услове;</w:t>
            </w:r>
          </w:p>
        </w:tc>
        <w:tc>
          <w:tcPr>
            <w:tcW w:w="2834" w:type="dxa"/>
          </w:tcPr>
          <w:p w:rsidR="00041039" w:rsidRDefault="001B26CB">
            <w:pPr>
              <w:pStyle w:val="TableParagraph"/>
              <w:numPr>
                <w:ilvl w:val="0"/>
                <w:numId w:val="984"/>
              </w:numPr>
              <w:tabs>
                <w:tab w:val="left" w:pos="157"/>
              </w:tabs>
              <w:spacing w:before="10"/>
              <w:ind w:right="155" w:hanging="99"/>
              <w:rPr>
                <w:sz w:val="14"/>
              </w:rPr>
            </w:pPr>
            <w:r>
              <w:rPr>
                <w:color w:val="231F20"/>
                <w:sz w:val="14"/>
              </w:rPr>
              <w:t>Комбинаторика.</w:t>
            </w:r>
            <w:r>
              <w:rPr>
                <w:color w:val="231F20"/>
                <w:spacing w:val="-8"/>
                <w:sz w:val="14"/>
              </w:rPr>
              <w:t xml:space="preserve"> </w:t>
            </w:r>
            <w:r>
              <w:rPr>
                <w:color w:val="231F20"/>
                <w:sz w:val="14"/>
              </w:rPr>
              <w:t>Правило</w:t>
            </w:r>
            <w:r>
              <w:rPr>
                <w:color w:val="231F20"/>
                <w:spacing w:val="-9"/>
                <w:sz w:val="14"/>
              </w:rPr>
              <w:t xml:space="preserve"> </w:t>
            </w:r>
            <w:r>
              <w:rPr>
                <w:color w:val="231F20"/>
                <w:sz w:val="14"/>
              </w:rPr>
              <w:t>збира</w:t>
            </w:r>
            <w:r>
              <w:rPr>
                <w:color w:val="231F20"/>
                <w:spacing w:val="-9"/>
                <w:sz w:val="14"/>
              </w:rPr>
              <w:t xml:space="preserve"> </w:t>
            </w:r>
            <w:r>
              <w:rPr>
                <w:color w:val="231F20"/>
                <w:sz w:val="14"/>
              </w:rPr>
              <w:t>и</w:t>
            </w:r>
            <w:r>
              <w:rPr>
                <w:color w:val="231F20"/>
                <w:spacing w:val="-9"/>
                <w:sz w:val="14"/>
              </w:rPr>
              <w:t xml:space="preserve"> </w:t>
            </w:r>
            <w:r>
              <w:rPr>
                <w:color w:val="231F20"/>
                <w:sz w:val="14"/>
              </w:rPr>
              <w:t>правило производа.</w:t>
            </w:r>
          </w:p>
          <w:p w:rsidR="00041039" w:rsidRDefault="001B26CB">
            <w:pPr>
              <w:pStyle w:val="TableParagraph"/>
              <w:numPr>
                <w:ilvl w:val="0"/>
                <w:numId w:val="984"/>
              </w:numPr>
              <w:tabs>
                <w:tab w:val="left" w:pos="157"/>
              </w:tabs>
              <w:spacing w:line="153" w:lineRule="exact"/>
              <w:ind w:hanging="99"/>
              <w:rPr>
                <w:sz w:val="14"/>
              </w:rPr>
            </w:pPr>
            <w:r>
              <w:rPr>
                <w:color w:val="231F20"/>
                <w:sz w:val="14"/>
              </w:rPr>
              <w:t>Пермутације.</w:t>
            </w:r>
          </w:p>
          <w:p w:rsidR="00041039" w:rsidRDefault="001B26CB">
            <w:pPr>
              <w:pStyle w:val="TableParagraph"/>
              <w:numPr>
                <w:ilvl w:val="0"/>
                <w:numId w:val="984"/>
              </w:numPr>
              <w:tabs>
                <w:tab w:val="left" w:pos="157"/>
              </w:tabs>
              <w:spacing w:line="160" w:lineRule="exact"/>
              <w:ind w:hanging="99"/>
              <w:rPr>
                <w:sz w:val="14"/>
              </w:rPr>
            </w:pPr>
            <w:r>
              <w:rPr>
                <w:color w:val="231F20"/>
                <w:sz w:val="14"/>
              </w:rPr>
              <w:t>Варијације.</w:t>
            </w:r>
          </w:p>
          <w:p w:rsidR="00041039" w:rsidRDefault="001B26CB">
            <w:pPr>
              <w:pStyle w:val="TableParagraph"/>
              <w:numPr>
                <w:ilvl w:val="0"/>
                <w:numId w:val="984"/>
              </w:numPr>
              <w:tabs>
                <w:tab w:val="left" w:pos="157"/>
              </w:tabs>
              <w:spacing w:line="160" w:lineRule="exact"/>
              <w:ind w:hanging="99"/>
              <w:rPr>
                <w:sz w:val="14"/>
              </w:rPr>
            </w:pPr>
            <w:r>
              <w:rPr>
                <w:color w:val="231F20"/>
                <w:sz w:val="14"/>
              </w:rPr>
              <w:t>Комбинације.</w:t>
            </w:r>
          </w:p>
          <w:p w:rsidR="00041039" w:rsidRDefault="001B26CB">
            <w:pPr>
              <w:pStyle w:val="TableParagraph"/>
              <w:numPr>
                <w:ilvl w:val="0"/>
                <w:numId w:val="984"/>
              </w:numPr>
              <w:tabs>
                <w:tab w:val="left" w:pos="157"/>
              </w:tabs>
              <w:spacing w:line="166" w:lineRule="exact"/>
              <w:ind w:hanging="99"/>
              <w:rPr>
                <w:sz w:val="14"/>
              </w:rPr>
            </w:pPr>
            <w:r>
              <w:rPr>
                <w:color w:val="231F20"/>
                <w:sz w:val="14"/>
              </w:rPr>
              <w:t>Биномни</w:t>
            </w:r>
            <w:r>
              <w:rPr>
                <w:color w:val="231F20"/>
                <w:spacing w:val="-1"/>
                <w:sz w:val="14"/>
              </w:rPr>
              <w:t xml:space="preserve"> </w:t>
            </w:r>
            <w:r>
              <w:rPr>
                <w:color w:val="231F20"/>
                <w:sz w:val="14"/>
              </w:rPr>
              <w:t>образац.</w:t>
            </w:r>
          </w:p>
        </w:tc>
        <w:tc>
          <w:tcPr>
            <w:tcW w:w="2267" w:type="dxa"/>
            <w:vMerge/>
            <w:tcBorders>
              <w:top w:val="nil"/>
            </w:tcBorders>
          </w:tcPr>
          <w:p w:rsidR="00041039" w:rsidRDefault="00041039">
            <w:pPr>
              <w:rPr>
                <w:sz w:val="2"/>
                <w:szCs w:val="2"/>
              </w:rPr>
            </w:pPr>
          </w:p>
        </w:tc>
      </w:tr>
      <w:tr w:rsidR="00041039">
        <w:trPr>
          <w:trHeight w:val="4040"/>
        </w:trPr>
        <w:tc>
          <w:tcPr>
            <w:tcW w:w="1304" w:type="dxa"/>
          </w:tcPr>
          <w:p w:rsidR="00041039" w:rsidRDefault="001B26CB">
            <w:pPr>
              <w:pStyle w:val="TableParagraph"/>
              <w:spacing w:before="20"/>
              <w:ind w:left="56" w:right="37"/>
              <w:rPr>
                <w:sz w:val="14"/>
              </w:rPr>
            </w:pPr>
            <w:r>
              <w:rPr>
                <w:color w:val="231F20"/>
                <w:sz w:val="14"/>
              </w:rPr>
              <w:t>Вероватноћа и статистика</w:t>
            </w:r>
          </w:p>
        </w:tc>
        <w:tc>
          <w:tcPr>
            <w:tcW w:w="1587" w:type="dxa"/>
          </w:tcPr>
          <w:p w:rsidR="00041039" w:rsidRDefault="001B26CB">
            <w:pPr>
              <w:pStyle w:val="TableParagraph"/>
              <w:numPr>
                <w:ilvl w:val="0"/>
                <w:numId w:val="983"/>
              </w:numPr>
              <w:tabs>
                <w:tab w:val="left" w:pos="157"/>
              </w:tabs>
              <w:spacing w:before="10"/>
              <w:ind w:right="134"/>
              <w:rPr>
                <w:sz w:val="14"/>
              </w:rPr>
            </w:pPr>
            <w:r>
              <w:rPr>
                <w:color w:val="231F20"/>
                <w:sz w:val="14"/>
              </w:rPr>
              <w:t>Стицање основних знања из</w:t>
            </w:r>
            <w:r>
              <w:rPr>
                <w:color w:val="231F20"/>
                <w:spacing w:val="-16"/>
                <w:sz w:val="14"/>
              </w:rPr>
              <w:t xml:space="preserve"> </w:t>
            </w:r>
            <w:r>
              <w:rPr>
                <w:color w:val="231F20"/>
                <w:sz w:val="14"/>
              </w:rPr>
              <w:t>вероватноће и</w:t>
            </w:r>
            <w:r>
              <w:rPr>
                <w:color w:val="231F20"/>
                <w:spacing w:val="-2"/>
                <w:sz w:val="14"/>
              </w:rPr>
              <w:t xml:space="preserve"> </w:t>
            </w:r>
            <w:r>
              <w:rPr>
                <w:color w:val="231F20"/>
                <w:sz w:val="14"/>
              </w:rPr>
              <w:t>статистике.</w:t>
            </w:r>
          </w:p>
        </w:tc>
        <w:tc>
          <w:tcPr>
            <w:tcW w:w="2551" w:type="dxa"/>
          </w:tcPr>
          <w:p w:rsidR="00041039" w:rsidRDefault="001B26CB">
            <w:pPr>
              <w:pStyle w:val="TableParagraph"/>
              <w:numPr>
                <w:ilvl w:val="0"/>
                <w:numId w:val="982"/>
              </w:numPr>
              <w:tabs>
                <w:tab w:val="left" w:pos="157"/>
              </w:tabs>
              <w:spacing w:before="10" w:line="166" w:lineRule="exact"/>
              <w:ind w:hanging="99"/>
              <w:rPr>
                <w:sz w:val="14"/>
              </w:rPr>
            </w:pPr>
            <w:r>
              <w:rPr>
                <w:color w:val="231F20"/>
                <w:sz w:val="14"/>
              </w:rPr>
              <w:t>уочи случајне</w:t>
            </w:r>
            <w:r>
              <w:rPr>
                <w:color w:val="231F20"/>
                <w:spacing w:val="-1"/>
                <w:sz w:val="14"/>
              </w:rPr>
              <w:t xml:space="preserve"> </w:t>
            </w:r>
            <w:r>
              <w:rPr>
                <w:color w:val="231F20"/>
                <w:sz w:val="14"/>
              </w:rPr>
              <w:t>догађаје;</w:t>
            </w:r>
          </w:p>
          <w:p w:rsidR="00041039" w:rsidRDefault="001B26CB">
            <w:pPr>
              <w:pStyle w:val="TableParagraph"/>
              <w:numPr>
                <w:ilvl w:val="0"/>
                <w:numId w:val="982"/>
              </w:numPr>
              <w:tabs>
                <w:tab w:val="left" w:pos="157"/>
              </w:tabs>
              <w:spacing w:line="237" w:lineRule="auto"/>
              <w:ind w:right="351" w:hanging="99"/>
              <w:rPr>
                <w:sz w:val="14"/>
              </w:rPr>
            </w:pPr>
            <w:r>
              <w:rPr>
                <w:color w:val="231F20"/>
                <w:sz w:val="14"/>
              </w:rPr>
              <w:t>препозна који су догађаји</w:t>
            </w:r>
            <w:r>
              <w:rPr>
                <w:color w:val="231F20"/>
                <w:spacing w:val="-16"/>
                <w:sz w:val="14"/>
              </w:rPr>
              <w:t xml:space="preserve"> </w:t>
            </w:r>
            <w:r>
              <w:rPr>
                <w:color w:val="231F20"/>
                <w:sz w:val="14"/>
              </w:rPr>
              <w:t>могући, повољни, сигурни,</w:t>
            </w:r>
            <w:r>
              <w:rPr>
                <w:color w:val="231F20"/>
                <w:spacing w:val="-3"/>
                <w:sz w:val="14"/>
              </w:rPr>
              <w:t xml:space="preserve"> </w:t>
            </w:r>
            <w:r>
              <w:rPr>
                <w:color w:val="231F20"/>
                <w:sz w:val="14"/>
              </w:rPr>
              <w:t>немогући;</w:t>
            </w:r>
          </w:p>
          <w:p w:rsidR="00041039" w:rsidRDefault="001B26CB">
            <w:pPr>
              <w:pStyle w:val="TableParagraph"/>
              <w:numPr>
                <w:ilvl w:val="0"/>
                <w:numId w:val="982"/>
              </w:numPr>
              <w:tabs>
                <w:tab w:val="left" w:pos="157"/>
              </w:tabs>
              <w:spacing w:line="160" w:lineRule="exact"/>
              <w:ind w:right="193" w:hanging="99"/>
              <w:rPr>
                <w:sz w:val="14"/>
              </w:rPr>
            </w:pPr>
            <w:r>
              <w:rPr>
                <w:color w:val="231F20"/>
                <w:sz w:val="14"/>
              </w:rPr>
              <w:t>израчуна вероватноћу догађаја (статистичка и класична</w:t>
            </w:r>
            <w:r>
              <w:rPr>
                <w:color w:val="231F20"/>
                <w:spacing w:val="-6"/>
                <w:sz w:val="14"/>
              </w:rPr>
              <w:t xml:space="preserve"> </w:t>
            </w:r>
            <w:r>
              <w:rPr>
                <w:color w:val="231F20"/>
                <w:sz w:val="14"/>
              </w:rPr>
              <w:t>дефиниција вероватноће);</w:t>
            </w:r>
          </w:p>
          <w:p w:rsidR="00041039" w:rsidRDefault="001B26CB">
            <w:pPr>
              <w:pStyle w:val="TableParagraph"/>
              <w:numPr>
                <w:ilvl w:val="0"/>
                <w:numId w:val="982"/>
              </w:numPr>
              <w:tabs>
                <w:tab w:val="left" w:pos="157"/>
              </w:tabs>
              <w:spacing w:line="160" w:lineRule="exact"/>
              <w:ind w:right="152" w:hanging="99"/>
              <w:rPr>
                <w:sz w:val="14"/>
              </w:rPr>
            </w:pPr>
            <w:r>
              <w:rPr>
                <w:color w:val="231F20"/>
                <w:sz w:val="14"/>
              </w:rPr>
              <w:t>одреди условну вероватноћу</w:t>
            </w:r>
            <w:r>
              <w:rPr>
                <w:color w:val="231F20"/>
                <w:spacing w:val="-17"/>
                <w:sz w:val="14"/>
              </w:rPr>
              <w:t xml:space="preserve"> </w:t>
            </w:r>
            <w:r>
              <w:rPr>
                <w:color w:val="231F20"/>
                <w:sz w:val="14"/>
              </w:rPr>
              <w:t>догађаја А у односу на догађај</w:t>
            </w:r>
            <w:r>
              <w:rPr>
                <w:color w:val="231F20"/>
                <w:spacing w:val="-3"/>
                <w:sz w:val="14"/>
              </w:rPr>
              <w:t xml:space="preserve"> </w:t>
            </w:r>
            <w:r>
              <w:rPr>
                <w:color w:val="231F20"/>
                <w:sz w:val="14"/>
              </w:rPr>
              <w:t>В;</w:t>
            </w:r>
          </w:p>
          <w:p w:rsidR="00041039" w:rsidRDefault="001B26CB">
            <w:pPr>
              <w:pStyle w:val="TableParagraph"/>
              <w:numPr>
                <w:ilvl w:val="0"/>
                <w:numId w:val="982"/>
              </w:numPr>
              <w:tabs>
                <w:tab w:val="left" w:pos="157"/>
              </w:tabs>
              <w:spacing w:line="160" w:lineRule="exact"/>
              <w:ind w:right="210" w:hanging="99"/>
              <w:rPr>
                <w:sz w:val="14"/>
              </w:rPr>
            </w:pPr>
            <w:r>
              <w:rPr>
                <w:color w:val="231F20"/>
                <w:sz w:val="14"/>
              </w:rPr>
              <w:t>објасни и примени формулу</w:t>
            </w:r>
            <w:r>
              <w:rPr>
                <w:color w:val="231F20"/>
                <w:spacing w:val="-22"/>
                <w:sz w:val="14"/>
              </w:rPr>
              <w:t xml:space="preserve"> </w:t>
            </w:r>
            <w:r>
              <w:rPr>
                <w:color w:val="231F20"/>
                <w:sz w:val="14"/>
              </w:rPr>
              <w:t>тоталне вероватноће;</w:t>
            </w:r>
          </w:p>
          <w:p w:rsidR="00041039" w:rsidRDefault="001B26CB">
            <w:pPr>
              <w:pStyle w:val="TableParagraph"/>
              <w:numPr>
                <w:ilvl w:val="0"/>
                <w:numId w:val="982"/>
              </w:numPr>
              <w:tabs>
                <w:tab w:val="left" w:pos="157"/>
              </w:tabs>
              <w:spacing w:line="153" w:lineRule="exact"/>
              <w:ind w:hanging="99"/>
              <w:rPr>
                <w:sz w:val="14"/>
              </w:rPr>
            </w:pPr>
            <w:r>
              <w:rPr>
                <w:color w:val="231F20"/>
                <w:sz w:val="14"/>
              </w:rPr>
              <w:t>објасни и примени Бајесову</w:t>
            </w:r>
            <w:r>
              <w:rPr>
                <w:color w:val="231F20"/>
                <w:spacing w:val="-14"/>
                <w:sz w:val="14"/>
              </w:rPr>
              <w:t xml:space="preserve"> </w:t>
            </w:r>
            <w:r>
              <w:rPr>
                <w:color w:val="231F20"/>
                <w:sz w:val="14"/>
              </w:rPr>
              <w:t>формулу;</w:t>
            </w:r>
          </w:p>
          <w:p w:rsidR="00041039" w:rsidRDefault="001B26CB">
            <w:pPr>
              <w:pStyle w:val="TableParagraph"/>
              <w:numPr>
                <w:ilvl w:val="0"/>
                <w:numId w:val="982"/>
              </w:numPr>
              <w:tabs>
                <w:tab w:val="left" w:pos="157"/>
              </w:tabs>
              <w:spacing w:line="160" w:lineRule="exact"/>
              <w:ind w:hanging="99"/>
              <w:rPr>
                <w:sz w:val="14"/>
              </w:rPr>
            </w:pPr>
            <w:r>
              <w:rPr>
                <w:color w:val="231F20"/>
                <w:sz w:val="14"/>
              </w:rPr>
              <w:t>наведе пример случајне</w:t>
            </w:r>
            <w:r>
              <w:rPr>
                <w:color w:val="231F20"/>
                <w:spacing w:val="-8"/>
                <w:sz w:val="14"/>
              </w:rPr>
              <w:t xml:space="preserve"> </w:t>
            </w:r>
            <w:r>
              <w:rPr>
                <w:color w:val="231F20"/>
                <w:sz w:val="14"/>
              </w:rPr>
              <w:t>променљиве;</w:t>
            </w:r>
          </w:p>
          <w:p w:rsidR="00041039" w:rsidRDefault="001B26CB">
            <w:pPr>
              <w:pStyle w:val="TableParagraph"/>
              <w:numPr>
                <w:ilvl w:val="0"/>
                <w:numId w:val="982"/>
              </w:numPr>
              <w:tabs>
                <w:tab w:val="left" w:pos="157"/>
              </w:tabs>
              <w:spacing w:line="160" w:lineRule="exact"/>
              <w:ind w:hanging="99"/>
              <w:rPr>
                <w:sz w:val="14"/>
              </w:rPr>
            </w:pPr>
            <w:r>
              <w:rPr>
                <w:color w:val="231F20"/>
                <w:sz w:val="14"/>
              </w:rPr>
              <w:t>примени биномну</w:t>
            </w:r>
            <w:r>
              <w:rPr>
                <w:color w:val="231F20"/>
                <w:spacing w:val="-3"/>
                <w:sz w:val="14"/>
              </w:rPr>
              <w:t xml:space="preserve"> </w:t>
            </w:r>
            <w:r>
              <w:rPr>
                <w:color w:val="231F20"/>
                <w:sz w:val="14"/>
              </w:rPr>
              <w:t>расподелу;</w:t>
            </w:r>
          </w:p>
          <w:p w:rsidR="00041039" w:rsidRDefault="001B26CB">
            <w:pPr>
              <w:pStyle w:val="TableParagraph"/>
              <w:numPr>
                <w:ilvl w:val="0"/>
                <w:numId w:val="982"/>
              </w:numPr>
              <w:tabs>
                <w:tab w:val="left" w:pos="157"/>
              </w:tabs>
              <w:spacing w:line="160" w:lineRule="exact"/>
              <w:ind w:hanging="99"/>
              <w:rPr>
                <w:sz w:val="14"/>
              </w:rPr>
            </w:pPr>
            <w:r>
              <w:rPr>
                <w:color w:val="231F20"/>
                <w:sz w:val="14"/>
              </w:rPr>
              <w:t>примени нормалну</w:t>
            </w:r>
            <w:r>
              <w:rPr>
                <w:color w:val="231F20"/>
                <w:spacing w:val="-4"/>
                <w:sz w:val="14"/>
              </w:rPr>
              <w:t xml:space="preserve"> </w:t>
            </w:r>
            <w:r>
              <w:rPr>
                <w:color w:val="231F20"/>
                <w:sz w:val="14"/>
              </w:rPr>
              <w:t>расподелу;</w:t>
            </w:r>
          </w:p>
          <w:p w:rsidR="00041039" w:rsidRDefault="001B26CB">
            <w:pPr>
              <w:pStyle w:val="TableParagraph"/>
              <w:numPr>
                <w:ilvl w:val="0"/>
                <w:numId w:val="982"/>
              </w:numPr>
              <w:tabs>
                <w:tab w:val="left" w:pos="157"/>
              </w:tabs>
              <w:spacing w:line="237" w:lineRule="auto"/>
              <w:ind w:right="92" w:hanging="99"/>
              <w:rPr>
                <w:sz w:val="14"/>
              </w:rPr>
            </w:pPr>
            <w:r>
              <w:rPr>
                <w:color w:val="231F20"/>
                <w:sz w:val="14"/>
              </w:rPr>
              <w:t>израчуна нумеричке карактеристике случајних променљивих</w:t>
            </w:r>
            <w:r>
              <w:rPr>
                <w:color w:val="231F20"/>
                <w:spacing w:val="-21"/>
                <w:sz w:val="14"/>
              </w:rPr>
              <w:t xml:space="preserve"> </w:t>
            </w:r>
            <w:r>
              <w:rPr>
                <w:color w:val="231F20"/>
                <w:sz w:val="14"/>
              </w:rPr>
              <w:t>(математичко очекивање, дисперзију, медијану и мод);</w:t>
            </w:r>
          </w:p>
          <w:p w:rsidR="00041039" w:rsidRDefault="001B26CB">
            <w:pPr>
              <w:pStyle w:val="TableParagraph"/>
              <w:numPr>
                <w:ilvl w:val="0"/>
                <w:numId w:val="982"/>
              </w:numPr>
              <w:tabs>
                <w:tab w:val="left" w:pos="157"/>
              </w:tabs>
              <w:spacing w:line="157" w:lineRule="exact"/>
              <w:ind w:hanging="99"/>
              <w:rPr>
                <w:sz w:val="14"/>
              </w:rPr>
            </w:pPr>
            <w:r>
              <w:rPr>
                <w:color w:val="231F20"/>
                <w:sz w:val="14"/>
              </w:rPr>
              <w:t>препозна основне појмове</w:t>
            </w:r>
            <w:r>
              <w:rPr>
                <w:color w:val="231F20"/>
                <w:spacing w:val="-10"/>
                <w:sz w:val="14"/>
              </w:rPr>
              <w:t xml:space="preserve"> </w:t>
            </w:r>
            <w:r>
              <w:rPr>
                <w:color w:val="231F20"/>
                <w:sz w:val="14"/>
              </w:rPr>
              <w:t>статистике;</w:t>
            </w:r>
          </w:p>
          <w:p w:rsidR="00041039" w:rsidRDefault="001B26CB">
            <w:pPr>
              <w:pStyle w:val="TableParagraph"/>
              <w:numPr>
                <w:ilvl w:val="0"/>
                <w:numId w:val="982"/>
              </w:numPr>
              <w:tabs>
                <w:tab w:val="left" w:pos="157"/>
              </w:tabs>
              <w:spacing w:line="237" w:lineRule="auto"/>
              <w:ind w:right="43" w:hanging="99"/>
              <w:rPr>
                <w:sz w:val="14"/>
              </w:rPr>
            </w:pPr>
            <w:r>
              <w:rPr>
                <w:color w:val="231F20"/>
                <w:sz w:val="14"/>
              </w:rPr>
              <w:t>формира статистичке табеле и на</w:t>
            </w:r>
            <w:r>
              <w:rPr>
                <w:color w:val="231F20"/>
                <w:spacing w:val="-14"/>
                <w:sz w:val="14"/>
              </w:rPr>
              <w:t xml:space="preserve"> </w:t>
            </w:r>
            <w:r>
              <w:rPr>
                <w:color w:val="231F20"/>
                <w:sz w:val="14"/>
              </w:rPr>
              <w:t xml:space="preserve">осно­ </w:t>
            </w:r>
            <w:r>
              <w:rPr>
                <w:color w:val="231F20"/>
                <w:spacing w:val="-3"/>
                <w:sz w:val="14"/>
              </w:rPr>
              <w:t xml:space="preserve">ву </w:t>
            </w:r>
            <w:r>
              <w:rPr>
                <w:color w:val="231F20"/>
                <w:sz w:val="14"/>
              </w:rPr>
              <w:t>њих графички приказује</w:t>
            </w:r>
            <w:r>
              <w:rPr>
                <w:color w:val="231F20"/>
                <w:spacing w:val="-12"/>
                <w:sz w:val="14"/>
              </w:rPr>
              <w:t xml:space="preserve"> </w:t>
            </w:r>
            <w:r>
              <w:rPr>
                <w:color w:val="231F20"/>
                <w:sz w:val="14"/>
              </w:rPr>
              <w:t>податке;</w:t>
            </w:r>
          </w:p>
          <w:p w:rsidR="00041039" w:rsidRDefault="001B26CB">
            <w:pPr>
              <w:pStyle w:val="TableParagraph"/>
              <w:numPr>
                <w:ilvl w:val="0"/>
                <w:numId w:val="982"/>
              </w:numPr>
              <w:tabs>
                <w:tab w:val="left" w:pos="157"/>
              </w:tabs>
              <w:spacing w:line="160" w:lineRule="exact"/>
              <w:ind w:right="47" w:hanging="99"/>
              <w:rPr>
                <w:sz w:val="14"/>
              </w:rPr>
            </w:pPr>
            <w:r>
              <w:rPr>
                <w:color w:val="231F20"/>
                <w:sz w:val="14"/>
              </w:rPr>
              <w:t>израчуна одређене карактеристике случ</w:t>
            </w:r>
            <w:r>
              <w:rPr>
                <w:color w:val="231F20"/>
                <w:sz w:val="14"/>
              </w:rPr>
              <w:t>ајног узорка (аритметичку среди­ ну узорка, медијану узорка, мод</w:t>
            </w:r>
            <w:r>
              <w:rPr>
                <w:color w:val="231F20"/>
                <w:spacing w:val="-20"/>
                <w:sz w:val="14"/>
              </w:rPr>
              <w:t xml:space="preserve"> </w:t>
            </w:r>
            <w:r>
              <w:rPr>
                <w:color w:val="231F20"/>
                <w:sz w:val="14"/>
              </w:rPr>
              <w:t>узорка и дисперзију</w:t>
            </w:r>
            <w:r>
              <w:rPr>
                <w:color w:val="231F20"/>
                <w:spacing w:val="-3"/>
                <w:sz w:val="14"/>
              </w:rPr>
              <w:t xml:space="preserve"> </w:t>
            </w:r>
            <w:r>
              <w:rPr>
                <w:color w:val="231F20"/>
                <w:sz w:val="14"/>
              </w:rPr>
              <w:t>узорка);</w:t>
            </w:r>
          </w:p>
        </w:tc>
        <w:tc>
          <w:tcPr>
            <w:tcW w:w="2834" w:type="dxa"/>
          </w:tcPr>
          <w:p w:rsidR="00041039" w:rsidRDefault="001B26CB">
            <w:pPr>
              <w:pStyle w:val="TableParagraph"/>
              <w:numPr>
                <w:ilvl w:val="0"/>
                <w:numId w:val="981"/>
              </w:numPr>
              <w:tabs>
                <w:tab w:val="left" w:pos="158"/>
              </w:tabs>
              <w:spacing w:before="10"/>
              <w:ind w:right="125"/>
              <w:rPr>
                <w:sz w:val="14"/>
              </w:rPr>
            </w:pPr>
            <w:r>
              <w:rPr>
                <w:color w:val="231F20"/>
                <w:sz w:val="14"/>
              </w:rPr>
              <w:t>Случајни догађаји. Простор елементарних догађаја.</w:t>
            </w:r>
          </w:p>
          <w:p w:rsidR="00041039" w:rsidRDefault="001B26CB">
            <w:pPr>
              <w:pStyle w:val="TableParagraph"/>
              <w:numPr>
                <w:ilvl w:val="0"/>
                <w:numId w:val="981"/>
              </w:numPr>
              <w:tabs>
                <w:tab w:val="left" w:pos="158"/>
              </w:tabs>
              <w:spacing w:before="1" w:line="160" w:lineRule="exact"/>
              <w:ind w:right="492"/>
              <w:rPr>
                <w:sz w:val="14"/>
              </w:rPr>
            </w:pPr>
            <w:r>
              <w:rPr>
                <w:color w:val="231F20"/>
                <w:sz w:val="14"/>
              </w:rPr>
              <w:t>Статистичка и класична</w:t>
            </w:r>
            <w:r>
              <w:rPr>
                <w:color w:val="231F20"/>
                <w:spacing w:val="-8"/>
                <w:sz w:val="14"/>
              </w:rPr>
              <w:t xml:space="preserve"> </w:t>
            </w:r>
            <w:r>
              <w:rPr>
                <w:color w:val="231F20"/>
                <w:sz w:val="14"/>
              </w:rPr>
              <w:t>дефиниција вероватноће.</w:t>
            </w:r>
          </w:p>
          <w:p w:rsidR="00041039" w:rsidRDefault="001B26CB">
            <w:pPr>
              <w:pStyle w:val="TableParagraph"/>
              <w:numPr>
                <w:ilvl w:val="0"/>
                <w:numId w:val="981"/>
              </w:numPr>
              <w:tabs>
                <w:tab w:val="left" w:pos="158"/>
              </w:tabs>
              <w:spacing w:line="153" w:lineRule="exact"/>
              <w:rPr>
                <w:sz w:val="14"/>
              </w:rPr>
            </w:pPr>
            <w:r>
              <w:rPr>
                <w:color w:val="231F20"/>
                <w:spacing w:val="-3"/>
                <w:sz w:val="14"/>
              </w:rPr>
              <w:t>Условна</w:t>
            </w:r>
            <w:r>
              <w:rPr>
                <w:color w:val="231F20"/>
                <w:spacing w:val="-1"/>
                <w:sz w:val="14"/>
              </w:rPr>
              <w:t xml:space="preserve"> </w:t>
            </w:r>
            <w:r>
              <w:rPr>
                <w:color w:val="231F20"/>
                <w:sz w:val="14"/>
              </w:rPr>
              <w:t>вероватноћа.</w:t>
            </w:r>
          </w:p>
          <w:p w:rsidR="00041039" w:rsidRDefault="001B26CB">
            <w:pPr>
              <w:pStyle w:val="TableParagraph"/>
              <w:numPr>
                <w:ilvl w:val="0"/>
                <w:numId w:val="981"/>
              </w:numPr>
              <w:tabs>
                <w:tab w:val="left" w:pos="158"/>
              </w:tabs>
              <w:spacing w:line="237" w:lineRule="auto"/>
              <w:ind w:right="297"/>
              <w:rPr>
                <w:sz w:val="14"/>
              </w:rPr>
            </w:pPr>
            <w:r>
              <w:rPr>
                <w:color w:val="231F20"/>
                <w:sz w:val="14"/>
              </w:rPr>
              <w:t>Формула</w:t>
            </w:r>
            <w:r>
              <w:rPr>
                <w:color w:val="231F20"/>
                <w:spacing w:val="-10"/>
                <w:sz w:val="14"/>
              </w:rPr>
              <w:t xml:space="preserve"> </w:t>
            </w:r>
            <w:r>
              <w:rPr>
                <w:color w:val="231F20"/>
                <w:sz w:val="14"/>
              </w:rPr>
              <w:t>тоталне</w:t>
            </w:r>
            <w:r>
              <w:rPr>
                <w:color w:val="231F20"/>
                <w:spacing w:val="-10"/>
                <w:sz w:val="14"/>
              </w:rPr>
              <w:t xml:space="preserve"> </w:t>
            </w:r>
            <w:r>
              <w:rPr>
                <w:color w:val="231F20"/>
                <w:sz w:val="14"/>
              </w:rPr>
              <w:t>вероватноће,</w:t>
            </w:r>
            <w:r>
              <w:rPr>
                <w:color w:val="231F20"/>
                <w:spacing w:val="-9"/>
                <w:sz w:val="14"/>
              </w:rPr>
              <w:t xml:space="preserve"> </w:t>
            </w:r>
            <w:r>
              <w:rPr>
                <w:color w:val="231F20"/>
                <w:sz w:val="14"/>
              </w:rPr>
              <w:t>Бајесова формула.</w:t>
            </w:r>
          </w:p>
          <w:p w:rsidR="00041039" w:rsidRDefault="001B26CB">
            <w:pPr>
              <w:pStyle w:val="TableParagraph"/>
              <w:numPr>
                <w:ilvl w:val="0"/>
                <w:numId w:val="981"/>
              </w:numPr>
              <w:tabs>
                <w:tab w:val="left" w:pos="158"/>
              </w:tabs>
              <w:spacing w:line="160" w:lineRule="exact"/>
              <w:ind w:right="99"/>
              <w:rPr>
                <w:sz w:val="14"/>
              </w:rPr>
            </w:pPr>
            <w:r>
              <w:rPr>
                <w:color w:val="231F20"/>
                <w:sz w:val="14"/>
              </w:rPr>
              <w:t>Случајне променљиве. Дискретне</w:t>
            </w:r>
            <w:r>
              <w:rPr>
                <w:color w:val="231F20"/>
                <w:spacing w:val="-14"/>
                <w:sz w:val="14"/>
              </w:rPr>
              <w:t xml:space="preserve"> </w:t>
            </w:r>
            <w:r>
              <w:rPr>
                <w:color w:val="231F20"/>
                <w:sz w:val="14"/>
              </w:rPr>
              <w:t>случајне променљиве и</w:t>
            </w:r>
            <w:r>
              <w:rPr>
                <w:color w:val="231F20"/>
                <w:spacing w:val="-3"/>
                <w:sz w:val="14"/>
              </w:rPr>
              <w:t xml:space="preserve"> </w:t>
            </w:r>
            <w:r>
              <w:rPr>
                <w:color w:val="231F20"/>
                <w:sz w:val="14"/>
              </w:rPr>
              <w:t>биномнарасподела.</w:t>
            </w:r>
          </w:p>
          <w:p w:rsidR="00041039" w:rsidRDefault="001B26CB">
            <w:pPr>
              <w:pStyle w:val="TableParagraph"/>
              <w:numPr>
                <w:ilvl w:val="0"/>
                <w:numId w:val="981"/>
              </w:numPr>
              <w:tabs>
                <w:tab w:val="left" w:pos="158"/>
              </w:tabs>
              <w:spacing w:line="160" w:lineRule="exact"/>
              <w:ind w:right="214"/>
              <w:rPr>
                <w:sz w:val="14"/>
              </w:rPr>
            </w:pPr>
            <w:r>
              <w:rPr>
                <w:color w:val="231F20"/>
                <w:sz w:val="14"/>
              </w:rPr>
              <w:t>Непрекидне случајне променљиве и</w:t>
            </w:r>
            <w:r>
              <w:rPr>
                <w:color w:val="231F20"/>
                <w:spacing w:val="-19"/>
                <w:sz w:val="14"/>
              </w:rPr>
              <w:t xml:space="preserve"> </w:t>
            </w:r>
            <w:r>
              <w:rPr>
                <w:color w:val="231F20"/>
                <w:sz w:val="14"/>
              </w:rPr>
              <w:t>нор­ мална</w:t>
            </w:r>
            <w:r>
              <w:rPr>
                <w:color w:val="231F20"/>
                <w:spacing w:val="-2"/>
                <w:sz w:val="14"/>
              </w:rPr>
              <w:t xml:space="preserve"> </w:t>
            </w:r>
            <w:r>
              <w:rPr>
                <w:color w:val="231F20"/>
                <w:sz w:val="14"/>
              </w:rPr>
              <w:t>расподела.</w:t>
            </w:r>
          </w:p>
          <w:p w:rsidR="00041039" w:rsidRDefault="001B26CB">
            <w:pPr>
              <w:pStyle w:val="TableParagraph"/>
              <w:numPr>
                <w:ilvl w:val="0"/>
                <w:numId w:val="981"/>
              </w:numPr>
              <w:tabs>
                <w:tab w:val="left" w:pos="158"/>
              </w:tabs>
              <w:spacing w:line="160" w:lineRule="exact"/>
              <w:ind w:right="302"/>
              <w:rPr>
                <w:sz w:val="14"/>
              </w:rPr>
            </w:pPr>
            <w:r>
              <w:rPr>
                <w:color w:val="231F20"/>
                <w:sz w:val="14"/>
              </w:rPr>
              <w:t>Нумеричке карактеристике случајних променљивих (математичко</w:t>
            </w:r>
            <w:r>
              <w:rPr>
                <w:color w:val="231F20"/>
                <w:spacing w:val="-27"/>
                <w:sz w:val="14"/>
              </w:rPr>
              <w:t xml:space="preserve"> </w:t>
            </w:r>
            <w:r>
              <w:rPr>
                <w:color w:val="231F20"/>
                <w:sz w:val="14"/>
              </w:rPr>
              <w:t>очекивање, дисперзија, медијана,</w:t>
            </w:r>
            <w:r>
              <w:rPr>
                <w:color w:val="231F20"/>
                <w:spacing w:val="-2"/>
                <w:sz w:val="14"/>
              </w:rPr>
              <w:t xml:space="preserve"> </w:t>
            </w:r>
            <w:r>
              <w:rPr>
                <w:color w:val="231F20"/>
                <w:sz w:val="14"/>
              </w:rPr>
              <w:t>мод).</w:t>
            </w:r>
          </w:p>
          <w:p w:rsidR="00041039" w:rsidRDefault="001B26CB">
            <w:pPr>
              <w:pStyle w:val="TableParagraph"/>
              <w:numPr>
                <w:ilvl w:val="0"/>
                <w:numId w:val="981"/>
              </w:numPr>
              <w:tabs>
                <w:tab w:val="left" w:pos="158"/>
              </w:tabs>
              <w:spacing w:line="153" w:lineRule="exact"/>
              <w:rPr>
                <w:sz w:val="14"/>
              </w:rPr>
            </w:pPr>
            <w:r>
              <w:rPr>
                <w:color w:val="231F20"/>
                <w:sz w:val="14"/>
              </w:rPr>
              <w:t>Статистика. Основни</w:t>
            </w:r>
            <w:r>
              <w:rPr>
                <w:color w:val="231F20"/>
                <w:spacing w:val="-3"/>
                <w:sz w:val="14"/>
              </w:rPr>
              <w:t xml:space="preserve"> </w:t>
            </w:r>
            <w:r>
              <w:rPr>
                <w:color w:val="231F20"/>
                <w:sz w:val="14"/>
              </w:rPr>
              <w:t>појмови.</w:t>
            </w:r>
          </w:p>
          <w:p w:rsidR="00041039" w:rsidRDefault="001B26CB">
            <w:pPr>
              <w:pStyle w:val="TableParagraph"/>
              <w:numPr>
                <w:ilvl w:val="0"/>
                <w:numId w:val="981"/>
              </w:numPr>
              <w:tabs>
                <w:tab w:val="left" w:pos="158"/>
              </w:tabs>
              <w:spacing w:line="237" w:lineRule="auto"/>
              <w:ind w:right="80"/>
              <w:rPr>
                <w:sz w:val="14"/>
              </w:rPr>
            </w:pPr>
            <w:r>
              <w:rPr>
                <w:color w:val="231F20"/>
                <w:sz w:val="14"/>
              </w:rPr>
              <w:t>Формирање статистичких табела и</w:t>
            </w:r>
            <w:r>
              <w:rPr>
                <w:color w:val="231F20"/>
                <w:spacing w:val="-22"/>
                <w:sz w:val="14"/>
              </w:rPr>
              <w:t xml:space="preserve"> </w:t>
            </w:r>
            <w:r>
              <w:rPr>
                <w:color w:val="231F20"/>
                <w:sz w:val="14"/>
              </w:rPr>
              <w:t xml:space="preserve">графич­ </w:t>
            </w:r>
            <w:r>
              <w:rPr>
                <w:color w:val="231F20"/>
                <w:spacing w:val="-4"/>
                <w:sz w:val="14"/>
              </w:rPr>
              <w:t xml:space="preserve">ко </w:t>
            </w:r>
            <w:r>
              <w:rPr>
                <w:color w:val="231F20"/>
                <w:sz w:val="14"/>
              </w:rPr>
              <w:t>приказивање</w:t>
            </w:r>
            <w:r>
              <w:rPr>
                <w:color w:val="231F20"/>
                <w:spacing w:val="1"/>
                <w:sz w:val="14"/>
              </w:rPr>
              <w:t xml:space="preserve"> </w:t>
            </w:r>
            <w:r>
              <w:rPr>
                <w:color w:val="231F20"/>
                <w:sz w:val="14"/>
              </w:rPr>
              <w:t>података.</w:t>
            </w:r>
          </w:p>
          <w:p w:rsidR="00041039" w:rsidRDefault="001B26CB">
            <w:pPr>
              <w:pStyle w:val="TableParagraph"/>
              <w:numPr>
                <w:ilvl w:val="0"/>
                <w:numId w:val="981"/>
              </w:numPr>
              <w:tabs>
                <w:tab w:val="left" w:pos="158"/>
              </w:tabs>
              <w:spacing w:line="160" w:lineRule="exact"/>
              <w:ind w:right="321"/>
              <w:rPr>
                <w:sz w:val="14"/>
              </w:rPr>
            </w:pPr>
            <w:r>
              <w:rPr>
                <w:color w:val="231F20"/>
                <w:sz w:val="14"/>
              </w:rPr>
              <w:t>Карактеристике емпиријске расподеле (аритметичка средина узорка,</w:t>
            </w:r>
            <w:r>
              <w:rPr>
                <w:color w:val="231F20"/>
                <w:spacing w:val="-11"/>
                <w:sz w:val="14"/>
              </w:rPr>
              <w:t xml:space="preserve"> </w:t>
            </w:r>
            <w:r>
              <w:rPr>
                <w:color w:val="231F20"/>
                <w:sz w:val="14"/>
              </w:rPr>
              <w:t>медијана узорка, мод узорка, дисперзија</w:t>
            </w:r>
            <w:r>
              <w:rPr>
                <w:color w:val="231F20"/>
                <w:spacing w:val="-19"/>
                <w:sz w:val="14"/>
              </w:rPr>
              <w:t xml:space="preserve"> </w:t>
            </w:r>
            <w:r>
              <w:rPr>
                <w:color w:val="231F20"/>
                <w:sz w:val="14"/>
              </w:rPr>
              <w:t>узорка).</w:t>
            </w:r>
          </w:p>
        </w:tc>
        <w:tc>
          <w:tcPr>
            <w:tcW w:w="2267" w:type="dxa"/>
            <w:vMerge/>
            <w:tcBorders>
              <w:top w:val="nil"/>
            </w:tcBorders>
          </w:tcPr>
          <w:p w:rsidR="00041039" w:rsidRDefault="00041039">
            <w:pPr>
              <w:rPr>
                <w:sz w:val="2"/>
                <w:szCs w:val="2"/>
              </w:rPr>
            </w:pPr>
          </w:p>
        </w:tc>
      </w:tr>
      <w:tr w:rsidR="00041039">
        <w:trPr>
          <w:trHeight w:val="4529"/>
        </w:trPr>
        <w:tc>
          <w:tcPr>
            <w:tcW w:w="1304" w:type="dxa"/>
          </w:tcPr>
          <w:p w:rsidR="00041039" w:rsidRDefault="001B26CB">
            <w:pPr>
              <w:pStyle w:val="TableParagraph"/>
              <w:spacing w:before="21"/>
              <w:ind w:left="57" w:right="228"/>
              <w:rPr>
                <w:sz w:val="14"/>
              </w:rPr>
            </w:pPr>
            <w:r>
              <w:rPr>
                <w:color w:val="231F20"/>
                <w:sz w:val="14"/>
              </w:rPr>
              <w:t>Диференцијалне једначине</w:t>
            </w:r>
          </w:p>
        </w:tc>
        <w:tc>
          <w:tcPr>
            <w:tcW w:w="1587" w:type="dxa"/>
          </w:tcPr>
          <w:p w:rsidR="00041039" w:rsidRDefault="001B26CB">
            <w:pPr>
              <w:pStyle w:val="TableParagraph"/>
              <w:numPr>
                <w:ilvl w:val="0"/>
                <w:numId w:val="980"/>
              </w:numPr>
              <w:tabs>
                <w:tab w:val="left" w:pos="157"/>
              </w:tabs>
              <w:spacing w:before="11"/>
              <w:ind w:right="47" w:hanging="99"/>
              <w:rPr>
                <w:sz w:val="14"/>
              </w:rPr>
            </w:pPr>
            <w:r>
              <w:rPr>
                <w:color w:val="231F20"/>
                <w:sz w:val="14"/>
              </w:rPr>
              <w:t>Стицање основних знања о диференцијал­ ним</w:t>
            </w:r>
            <w:r>
              <w:rPr>
                <w:color w:val="231F20"/>
                <w:spacing w:val="-3"/>
                <w:sz w:val="14"/>
              </w:rPr>
              <w:t xml:space="preserve"> </w:t>
            </w:r>
            <w:r>
              <w:rPr>
                <w:color w:val="231F20"/>
                <w:sz w:val="14"/>
              </w:rPr>
              <w:t>једначинама.</w:t>
            </w:r>
          </w:p>
        </w:tc>
        <w:tc>
          <w:tcPr>
            <w:tcW w:w="2551" w:type="dxa"/>
          </w:tcPr>
          <w:p w:rsidR="00041039" w:rsidRDefault="001B26CB">
            <w:pPr>
              <w:pStyle w:val="TableParagraph"/>
              <w:numPr>
                <w:ilvl w:val="0"/>
                <w:numId w:val="979"/>
              </w:numPr>
              <w:tabs>
                <w:tab w:val="left" w:pos="157"/>
              </w:tabs>
              <w:spacing w:before="11"/>
              <w:ind w:right="558" w:hanging="99"/>
              <w:rPr>
                <w:sz w:val="14"/>
              </w:rPr>
            </w:pPr>
            <w:r>
              <w:rPr>
                <w:color w:val="231F20"/>
                <w:sz w:val="14"/>
              </w:rPr>
              <w:t>објасни појам диференцијалне једначине;</w:t>
            </w:r>
          </w:p>
          <w:p w:rsidR="00041039" w:rsidRDefault="001B26CB">
            <w:pPr>
              <w:pStyle w:val="TableParagraph"/>
              <w:numPr>
                <w:ilvl w:val="0"/>
                <w:numId w:val="979"/>
              </w:numPr>
              <w:tabs>
                <w:tab w:val="left" w:pos="157"/>
              </w:tabs>
              <w:spacing w:line="160" w:lineRule="exact"/>
              <w:ind w:right="323" w:hanging="99"/>
              <w:rPr>
                <w:sz w:val="14"/>
              </w:rPr>
            </w:pPr>
            <w:r>
              <w:rPr>
                <w:color w:val="231F20"/>
                <w:sz w:val="14"/>
              </w:rPr>
              <w:t>препозна тип диференцијалне једначине и примени</w:t>
            </w:r>
            <w:r>
              <w:rPr>
                <w:color w:val="231F20"/>
                <w:spacing w:val="-24"/>
                <w:sz w:val="14"/>
              </w:rPr>
              <w:t xml:space="preserve"> </w:t>
            </w:r>
            <w:r>
              <w:rPr>
                <w:color w:val="231F20"/>
                <w:sz w:val="14"/>
              </w:rPr>
              <w:t>одговарајући начин</w:t>
            </w:r>
            <w:r>
              <w:rPr>
                <w:color w:val="231F20"/>
                <w:spacing w:val="-1"/>
                <w:sz w:val="14"/>
              </w:rPr>
              <w:t xml:space="preserve"> </w:t>
            </w:r>
            <w:r>
              <w:rPr>
                <w:color w:val="231F20"/>
                <w:sz w:val="14"/>
              </w:rPr>
              <w:t>решавања;</w:t>
            </w:r>
          </w:p>
          <w:p w:rsidR="00041039" w:rsidRDefault="001B26CB">
            <w:pPr>
              <w:pStyle w:val="TableParagraph"/>
              <w:numPr>
                <w:ilvl w:val="0"/>
                <w:numId w:val="979"/>
              </w:numPr>
              <w:tabs>
                <w:tab w:val="left" w:pos="157"/>
              </w:tabs>
              <w:spacing w:line="160" w:lineRule="exact"/>
              <w:ind w:right="119" w:hanging="99"/>
              <w:rPr>
                <w:sz w:val="14"/>
              </w:rPr>
            </w:pPr>
            <w:r>
              <w:rPr>
                <w:color w:val="231F20"/>
                <w:sz w:val="14"/>
              </w:rPr>
              <w:t>примени</w:t>
            </w:r>
            <w:r>
              <w:rPr>
                <w:color w:val="231F20"/>
                <w:spacing w:val="-6"/>
                <w:sz w:val="14"/>
              </w:rPr>
              <w:t xml:space="preserve"> </w:t>
            </w:r>
            <w:r>
              <w:rPr>
                <w:color w:val="231F20"/>
                <w:sz w:val="14"/>
              </w:rPr>
              <w:t>знања</w:t>
            </w:r>
            <w:r>
              <w:rPr>
                <w:color w:val="231F20"/>
                <w:spacing w:val="-6"/>
                <w:sz w:val="14"/>
              </w:rPr>
              <w:t xml:space="preserve"> </w:t>
            </w:r>
            <w:r>
              <w:rPr>
                <w:color w:val="231F20"/>
                <w:sz w:val="14"/>
              </w:rPr>
              <w:t>о</w:t>
            </w:r>
            <w:r>
              <w:rPr>
                <w:color w:val="231F20"/>
                <w:spacing w:val="-5"/>
                <w:sz w:val="14"/>
              </w:rPr>
              <w:t xml:space="preserve"> </w:t>
            </w:r>
            <w:r>
              <w:rPr>
                <w:color w:val="231F20"/>
                <w:sz w:val="14"/>
              </w:rPr>
              <w:t>изводима</w:t>
            </w:r>
            <w:r>
              <w:rPr>
                <w:color w:val="231F20"/>
                <w:spacing w:val="-5"/>
                <w:sz w:val="14"/>
              </w:rPr>
              <w:t xml:space="preserve"> </w:t>
            </w:r>
            <w:r>
              <w:rPr>
                <w:color w:val="231F20"/>
                <w:sz w:val="14"/>
              </w:rPr>
              <w:t>и</w:t>
            </w:r>
            <w:r>
              <w:rPr>
                <w:color w:val="231F20"/>
                <w:spacing w:val="-6"/>
                <w:sz w:val="14"/>
              </w:rPr>
              <w:t xml:space="preserve"> </w:t>
            </w:r>
            <w:r>
              <w:rPr>
                <w:color w:val="231F20"/>
                <w:sz w:val="14"/>
              </w:rPr>
              <w:t>интегра­ лима на решавање диференцијалних једначина;</w:t>
            </w:r>
          </w:p>
        </w:tc>
        <w:tc>
          <w:tcPr>
            <w:tcW w:w="2834" w:type="dxa"/>
          </w:tcPr>
          <w:p w:rsidR="00041039" w:rsidRDefault="001B26CB">
            <w:pPr>
              <w:pStyle w:val="TableParagraph"/>
              <w:numPr>
                <w:ilvl w:val="0"/>
                <w:numId w:val="978"/>
              </w:numPr>
              <w:tabs>
                <w:tab w:val="left" w:pos="158"/>
              </w:tabs>
              <w:spacing w:before="11" w:line="166" w:lineRule="exact"/>
              <w:rPr>
                <w:sz w:val="14"/>
              </w:rPr>
            </w:pPr>
            <w:r>
              <w:rPr>
                <w:color w:val="231F20"/>
                <w:sz w:val="14"/>
              </w:rPr>
              <w:t>Појам диференцијалне</w:t>
            </w:r>
            <w:r>
              <w:rPr>
                <w:color w:val="231F20"/>
                <w:spacing w:val="-4"/>
                <w:sz w:val="14"/>
              </w:rPr>
              <w:t xml:space="preserve"> </w:t>
            </w:r>
            <w:r>
              <w:rPr>
                <w:color w:val="231F20"/>
                <w:sz w:val="14"/>
              </w:rPr>
              <w:t>једначине.</w:t>
            </w:r>
          </w:p>
          <w:p w:rsidR="00041039" w:rsidRDefault="001B26CB">
            <w:pPr>
              <w:pStyle w:val="TableParagraph"/>
              <w:numPr>
                <w:ilvl w:val="0"/>
                <w:numId w:val="978"/>
              </w:numPr>
              <w:tabs>
                <w:tab w:val="left" w:pos="158"/>
              </w:tabs>
              <w:spacing w:line="237" w:lineRule="auto"/>
              <w:ind w:right="235"/>
              <w:rPr>
                <w:sz w:val="14"/>
              </w:rPr>
            </w:pPr>
            <w:r>
              <w:rPr>
                <w:color w:val="231F20"/>
                <w:sz w:val="14"/>
              </w:rPr>
              <w:t>Диференцијална једначина која</w:t>
            </w:r>
            <w:r>
              <w:rPr>
                <w:color w:val="231F20"/>
                <w:spacing w:val="-24"/>
                <w:sz w:val="14"/>
              </w:rPr>
              <w:t xml:space="preserve"> </w:t>
            </w:r>
            <w:r>
              <w:rPr>
                <w:color w:val="231F20"/>
                <w:sz w:val="14"/>
              </w:rPr>
              <w:t>допушта раздвајање</w:t>
            </w:r>
            <w:r>
              <w:rPr>
                <w:color w:val="231F20"/>
                <w:spacing w:val="-1"/>
                <w:sz w:val="14"/>
              </w:rPr>
              <w:t xml:space="preserve"> </w:t>
            </w:r>
            <w:r>
              <w:rPr>
                <w:color w:val="231F20"/>
                <w:sz w:val="14"/>
              </w:rPr>
              <w:t>променљивих.</w:t>
            </w:r>
          </w:p>
          <w:p w:rsidR="00041039" w:rsidRDefault="001B26CB">
            <w:pPr>
              <w:pStyle w:val="TableParagraph"/>
              <w:numPr>
                <w:ilvl w:val="0"/>
                <w:numId w:val="978"/>
              </w:numPr>
              <w:tabs>
                <w:tab w:val="left" w:pos="158"/>
              </w:tabs>
              <w:spacing w:line="155" w:lineRule="exact"/>
              <w:rPr>
                <w:sz w:val="14"/>
              </w:rPr>
            </w:pPr>
            <w:r>
              <w:rPr>
                <w:color w:val="231F20"/>
                <w:sz w:val="14"/>
              </w:rPr>
              <w:t>Хомогена диференцијална</w:t>
            </w:r>
            <w:r>
              <w:rPr>
                <w:color w:val="231F20"/>
                <w:spacing w:val="-24"/>
                <w:sz w:val="14"/>
              </w:rPr>
              <w:t xml:space="preserve"> </w:t>
            </w:r>
            <w:r>
              <w:rPr>
                <w:color w:val="231F20"/>
                <w:sz w:val="14"/>
              </w:rPr>
              <w:t>једначина.</w:t>
            </w:r>
          </w:p>
          <w:p w:rsidR="00041039" w:rsidRDefault="001B26CB">
            <w:pPr>
              <w:pStyle w:val="TableParagraph"/>
              <w:numPr>
                <w:ilvl w:val="0"/>
                <w:numId w:val="978"/>
              </w:numPr>
              <w:tabs>
                <w:tab w:val="left" w:pos="158"/>
              </w:tabs>
              <w:spacing w:line="160" w:lineRule="exact"/>
              <w:rPr>
                <w:sz w:val="14"/>
              </w:rPr>
            </w:pPr>
            <w:r>
              <w:rPr>
                <w:color w:val="231F20"/>
                <w:sz w:val="14"/>
              </w:rPr>
              <w:t>Линеарна диференцијална</w:t>
            </w:r>
            <w:r>
              <w:rPr>
                <w:color w:val="231F20"/>
                <w:spacing w:val="-12"/>
                <w:sz w:val="14"/>
              </w:rPr>
              <w:t xml:space="preserve"> </w:t>
            </w:r>
            <w:r>
              <w:rPr>
                <w:color w:val="231F20"/>
                <w:sz w:val="14"/>
              </w:rPr>
              <w:t>једначина.</w:t>
            </w:r>
          </w:p>
          <w:p w:rsidR="00041039" w:rsidRDefault="001B26CB">
            <w:pPr>
              <w:pStyle w:val="TableParagraph"/>
              <w:numPr>
                <w:ilvl w:val="0"/>
                <w:numId w:val="978"/>
              </w:numPr>
              <w:tabs>
                <w:tab w:val="left" w:pos="158"/>
              </w:tabs>
              <w:spacing w:line="160" w:lineRule="exact"/>
              <w:rPr>
                <w:sz w:val="14"/>
              </w:rPr>
            </w:pPr>
            <w:r>
              <w:rPr>
                <w:color w:val="231F20"/>
                <w:sz w:val="14"/>
              </w:rPr>
              <w:t>Бернулијева диференцијална</w:t>
            </w:r>
            <w:r>
              <w:rPr>
                <w:color w:val="231F20"/>
                <w:spacing w:val="-27"/>
                <w:sz w:val="14"/>
              </w:rPr>
              <w:t xml:space="preserve"> </w:t>
            </w:r>
            <w:r>
              <w:rPr>
                <w:color w:val="231F20"/>
                <w:sz w:val="14"/>
              </w:rPr>
              <w:t>једначина.</w:t>
            </w:r>
          </w:p>
          <w:p w:rsidR="00041039" w:rsidRDefault="001B26CB">
            <w:pPr>
              <w:pStyle w:val="TableParagraph"/>
              <w:numPr>
                <w:ilvl w:val="0"/>
                <w:numId w:val="978"/>
              </w:numPr>
              <w:tabs>
                <w:tab w:val="left" w:pos="158"/>
              </w:tabs>
              <w:spacing w:line="166" w:lineRule="exact"/>
              <w:rPr>
                <w:sz w:val="14"/>
              </w:rPr>
            </w:pPr>
            <w:r>
              <w:rPr>
                <w:color w:val="231F20"/>
                <w:sz w:val="14"/>
              </w:rPr>
              <w:t>Диференцијална</w:t>
            </w:r>
            <w:r>
              <w:rPr>
                <w:color w:val="231F20"/>
                <w:spacing w:val="-10"/>
                <w:sz w:val="14"/>
              </w:rPr>
              <w:t xml:space="preserve"> </w:t>
            </w:r>
            <w:r>
              <w:rPr>
                <w:color w:val="231F20"/>
                <w:sz w:val="14"/>
              </w:rPr>
              <w:t>једначина</w:t>
            </w:r>
            <w:r>
              <w:rPr>
                <w:color w:val="231F20"/>
                <w:spacing w:val="-10"/>
                <w:sz w:val="14"/>
              </w:rPr>
              <w:t xml:space="preserve"> </w:t>
            </w:r>
            <w:r>
              <w:rPr>
                <w:color w:val="231F20"/>
                <w:sz w:val="14"/>
              </w:rPr>
              <w:t>другог</w:t>
            </w:r>
            <w:r>
              <w:rPr>
                <w:color w:val="231F20"/>
                <w:spacing w:val="-10"/>
                <w:sz w:val="14"/>
              </w:rPr>
              <w:t xml:space="preserve"> </w:t>
            </w:r>
            <w:r>
              <w:rPr>
                <w:color w:val="231F20"/>
                <w:sz w:val="14"/>
              </w:rPr>
              <w:t>реда.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2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16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977"/>
              </w:numPr>
              <w:tabs>
                <w:tab w:val="left" w:pos="158"/>
              </w:tabs>
              <w:spacing w:before="8"/>
              <w:ind w:right="328"/>
              <w:rPr>
                <w:b/>
                <w:sz w:val="14"/>
              </w:rPr>
            </w:pPr>
            <w:r>
              <w:rPr>
                <w:color w:val="231F20"/>
                <w:sz w:val="14"/>
              </w:rPr>
              <w:t>Вероватноћа и статистика</w:t>
            </w:r>
            <w:r>
              <w:rPr>
                <w:color w:val="231F20"/>
                <w:spacing w:val="-16"/>
                <w:sz w:val="14"/>
              </w:rPr>
              <w:t xml:space="preserve"> </w:t>
            </w:r>
            <w:r>
              <w:rPr>
                <w:b/>
                <w:color w:val="231F20"/>
                <w:sz w:val="14"/>
              </w:rPr>
              <w:t>(20 часова)</w:t>
            </w:r>
          </w:p>
          <w:p w:rsidR="00041039" w:rsidRDefault="001B26CB">
            <w:pPr>
              <w:pStyle w:val="TableParagraph"/>
              <w:numPr>
                <w:ilvl w:val="0"/>
                <w:numId w:val="977"/>
              </w:numPr>
              <w:tabs>
                <w:tab w:val="left" w:pos="158"/>
              </w:tabs>
              <w:spacing w:line="160" w:lineRule="exact"/>
              <w:ind w:right="267"/>
              <w:rPr>
                <w:b/>
                <w:sz w:val="14"/>
              </w:rPr>
            </w:pPr>
            <w:r>
              <w:rPr>
                <w:color w:val="231F20"/>
                <w:sz w:val="14"/>
              </w:rPr>
              <w:t>Диференцијалне једначине</w:t>
            </w:r>
            <w:r>
              <w:rPr>
                <w:color w:val="231F20"/>
                <w:spacing w:val="-17"/>
                <w:sz w:val="14"/>
              </w:rPr>
              <w:t xml:space="preserve"> </w:t>
            </w:r>
            <w:r>
              <w:rPr>
                <w:b/>
                <w:color w:val="231F20"/>
                <w:sz w:val="14"/>
              </w:rPr>
              <w:t>(12 часова)</w:t>
            </w:r>
          </w:p>
          <w:p w:rsidR="00041039" w:rsidRDefault="00041039">
            <w:pPr>
              <w:pStyle w:val="TableParagraph"/>
              <w:spacing w:before="8"/>
              <w:ind w:left="0"/>
              <w:rPr>
                <w:b/>
                <w:sz w:val="13"/>
              </w:rPr>
            </w:pPr>
          </w:p>
          <w:p w:rsidR="00041039" w:rsidRDefault="001B26CB">
            <w:pPr>
              <w:pStyle w:val="TableParagraph"/>
              <w:ind w:left="57"/>
              <w:rPr>
                <w:sz w:val="14"/>
              </w:rPr>
            </w:pPr>
            <w:r>
              <w:rPr>
                <w:color w:val="231F20"/>
                <w:sz w:val="14"/>
              </w:rPr>
              <w:t>За реализацију 4 писмена задатка са исправкама планирано је 8 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2"/>
        </w:numPr>
        <w:tabs>
          <w:tab w:val="left" w:pos="633"/>
        </w:tabs>
      </w:pPr>
      <w:r>
        <w:rPr>
          <w:color w:val="231F20"/>
        </w:rPr>
        <w:t>Математика</w:t>
      </w:r>
    </w:p>
    <w:p w:rsidR="00041039" w:rsidRDefault="001B26CB">
      <w:pPr>
        <w:pStyle w:val="ListParagraph"/>
        <w:numPr>
          <w:ilvl w:val="0"/>
          <w:numId w:val="2"/>
        </w:numPr>
        <w:tabs>
          <w:tab w:val="left" w:pos="633"/>
        </w:tabs>
        <w:spacing w:line="203" w:lineRule="exact"/>
        <w:rPr>
          <w:sz w:val="18"/>
        </w:rPr>
      </w:pPr>
      <w:r>
        <w:rPr>
          <w:color w:val="231F20"/>
          <w:sz w:val="18"/>
        </w:rPr>
        <w:t>Физика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ИСТОРИЈА </w:t>
      </w:r>
      <w:r>
        <w:rPr>
          <w:b/>
          <w:color w:val="231F20"/>
          <w:spacing w:val="-3"/>
          <w:sz w:val="14"/>
        </w:rPr>
        <w:t>(ОДАБРАНЕ</w:t>
      </w:r>
      <w:r>
        <w:rPr>
          <w:b/>
          <w:color w:val="231F20"/>
          <w:spacing w:val="-2"/>
          <w:sz w:val="14"/>
        </w:rPr>
        <w:t xml:space="preserve"> </w:t>
      </w:r>
      <w:r>
        <w:rPr>
          <w:b/>
          <w:color w:val="231F20"/>
          <w:sz w:val="14"/>
        </w:rPr>
        <w:t>ТЕМЕ)</w:t>
      </w:r>
    </w:p>
    <w:p w:rsidR="00041039" w:rsidRDefault="001B26CB">
      <w:pPr>
        <w:pStyle w:val="ListParagraph"/>
        <w:numPr>
          <w:ilvl w:val="1"/>
          <w:numId w:val="2"/>
        </w:numPr>
        <w:tabs>
          <w:tab w:val="left" w:pos="1566"/>
        </w:tabs>
        <w:spacing w:before="49" w:line="161" w:lineRule="exact"/>
        <w:rPr>
          <w:sz w:val="14"/>
        </w:rPr>
      </w:pPr>
      <w:r>
        <w:rPr>
          <w:color w:val="231F20"/>
          <w:sz w:val="14"/>
        </w:rPr>
        <w:t>Стицање хуманистичког образовања и развијање историјске</w:t>
      </w:r>
      <w:r>
        <w:rPr>
          <w:color w:val="231F20"/>
          <w:spacing w:val="-3"/>
          <w:sz w:val="14"/>
        </w:rPr>
        <w:t xml:space="preserve"> </w:t>
      </w:r>
      <w:r>
        <w:rPr>
          <w:color w:val="231F20"/>
          <w:sz w:val="14"/>
        </w:rPr>
        <w:t>свести;</w:t>
      </w:r>
    </w:p>
    <w:p w:rsidR="00041039" w:rsidRDefault="001B26CB">
      <w:pPr>
        <w:pStyle w:val="ListParagraph"/>
        <w:numPr>
          <w:ilvl w:val="1"/>
          <w:numId w:val="2"/>
        </w:numPr>
        <w:tabs>
          <w:tab w:val="left" w:pos="1566"/>
        </w:tabs>
        <w:spacing w:line="160" w:lineRule="exact"/>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7"/>
          <w:sz w:val="14"/>
        </w:rPr>
        <w:t xml:space="preserve"> </w:t>
      </w:r>
      <w:r>
        <w:rPr>
          <w:color w:val="231F20"/>
          <w:sz w:val="14"/>
        </w:rPr>
        <w:t>личности;</w:t>
      </w:r>
    </w:p>
    <w:p w:rsidR="00041039" w:rsidRDefault="001B26CB">
      <w:pPr>
        <w:pStyle w:val="ListParagraph"/>
        <w:numPr>
          <w:ilvl w:val="1"/>
          <w:numId w:val="2"/>
        </w:numPr>
        <w:tabs>
          <w:tab w:val="left" w:pos="1566"/>
        </w:tabs>
        <w:spacing w:line="160" w:lineRule="exact"/>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041039" w:rsidRDefault="001B26CB">
      <w:pPr>
        <w:pStyle w:val="ListParagraph"/>
        <w:numPr>
          <w:ilvl w:val="1"/>
          <w:numId w:val="2"/>
        </w:numPr>
        <w:tabs>
          <w:tab w:val="left" w:pos="1566"/>
        </w:tabs>
        <w:spacing w:line="161" w:lineRule="exact"/>
        <w:rPr>
          <w:sz w:val="14"/>
        </w:rPr>
      </w:pPr>
      <w:r>
        <w:rPr>
          <w:color w:val="231F20"/>
          <w:sz w:val="14"/>
        </w:rPr>
        <w:t>Стицање</w:t>
      </w:r>
      <w:r>
        <w:rPr>
          <w:color w:val="231F20"/>
          <w:spacing w:val="-3"/>
          <w:sz w:val="14"/>
        </w:rPr>
        <w:t xml:space="preserve"> </w:t>
      </w:r>
      <w:r>
        <w:rPr>
          <w:color w:val="231F20"/>
          <w:sz w:val="14"/>
        </w:rPr>
        <w:t>и</w:t>
      </w:r>
      <w:r>
        <w:rPr>
          <w:color w:val="231F20"/>
          <w:spacing w:val="-4"/>
          <w:sz w:val="14"/>
        </w:rPr>
        <w:t xml:space="preserve"> </w:t>
      </w:r>
      <w:r>
        <w:rPr>
          <w:color w:val="231F20"/>
          <w:sz w:val="14"/>
        </w:rPr>
        <w:t>проширивање</w:t>
      </w:r>
      <w:r>
        <w:rPr>
          <w:color w:val="231F20"/>
          <w:spacing w:val="-3"/>
          <w:sz w:val="14"/>
        </w:rPr>
        <w:t xml:space="preserve"> </w:t>
      </w:r>
      <w:r>
        <w:rPr>
          <w:color w:val="231F20"/>
          <w:sz w:val="14"/>
        </w:rPr>
        <w:t>знања,</w:t>
      </w:r>
      <w:r>
        <w:rPr>
          <w:color w:val="231F20"/>
          <w:spacing w:val="-4"/>
          <w:sz w:val="14"/>
        </w:rPr>
        <w:t xml:space="preserve"> </w:t>
      </w:r>
      <w:r>
        <w:rPr>
          <w:color w:val="231F20"/>
          <w:sz w:val="14"/>
        </w:rPr>
        <w:t>ра</w:t>
      </w:r>
      <w:r>
        <w:rPr>
          <w:color w:val="231F20"/>
          <w:sz w:val="14"/>
        </w:rPr>
        <w:t>звијање</w:t>
      </w:r>
      <w:r>
        <w:rPr>
          <w:color w:val="231F20"/>
          <w:spacing w:val="-3"/>
          <w:sz w:val="14"/>
        </w:rPr>
        <w:t xml:space="preserve"> </w:t>
      </w:r>
      <w:r>
        <w:rPr>
          <w:color w:val="231F20"/>
          <w:sz w:val="14"/>
        </w:rPr>
        <w:t>вештина</w:t>
      </w:r>
      <w:r>
        <w:rPr>
          <w:color w:val="231F20"/>
          <w:spacing w:val="-3"/>
          <w:sz w:val="14"/>
        </w:rPr>
        <w:t xml:space="preserve"> </w:t>
      </w:r>
      <w:r>
        <w:rPr>
          <w:color w:val="231F20"/>
          <w:sz w:val="14"/>
        </w:rPr>
        <w:t>и</w:t>
      </w:r>
      <w:r>
        <w:rPr>
          <w:color w:val="231F20"/>
          <w:spacing w:val="-4"/>
          <w:sz w:val="14"/>
        </w:rPr>
        <w:t xml:space="preserve"> </w:t>
      </w:r>
      <w:r>
        <w:rPr>
          <w:color w:val="231F20"/>
          <w:sz w:val="14"/>
        </w:rPr>
        <w:t>формирање</w:t>
      </w:r>
      <w:r>
        <w:rPr>
          <w:color w:val="231F20"/>
          <w:spacing w:val="-3"/>
          <w:sz w:val="14"/>
        </w:rPr>
        <w:t xml:space="preserve"> </w:t>
      </w:r>
      <w:r>
        <w:rPr>
          <w:color w:val="231F20"/>
          <w:sz w:val="14"/>
        </w:rPr>
        <w:t>ставова</w:t>
      </w:r>
      <w:r>
        <w:rPr>
          <w:color w:val="231F20"/>
          <w:spacing w:val="-3"/>
          <w:sz w:val="14"/>
        </w:rPr>
        <w:t xml:space="preserve"> </w:t>
      </w:r>
      <w:r>
        <w:rPr>
          <w:color w:val="231F20"/>
          <w:sz w:val="14"/>
        </w:rPr>
        <w:t>неопходних</w:t>
      </w:r>
      <w:r>
        <w:rPr>
          <w:color w:val="231F20"/>
          <w:spacing w:val="-3"/>
          <w:sz w:val="14"/>
        </w:rPr>
        <w:t xml:space="preserve"> </w:t>
      </w:r>
      <w:r>
        <w:rPr>
          <w:color w:val="231F20"/>
          <w:sz w:val="14"/>
        </w:rPr>
        <w:t>за</w:t>
      </w:r>
      <w:r>
        <w:rPr>
          <w:color w:val="231F20"/>
          <w:spacing w:val="-4"/>
          <w:sz w:val="14"/>
        </w:rPr>
        <w:t xml:space="preserve"> </w:t>
      </w:r>
      <w:r>
        <w:rPr>
          <w:color w:val="231F20"/>
          <w:sz w:val="14"/>
        </w:rPr>
        <w:t>разумевање</w:t>
      </w:r>
      <w:r>
        <w:rPr>
          <w:color w:val="231F20"/>
          <w:spacing w:val="-3"/>
          <w:sz w:val="14"/>
        </w:rPr>
        <w:t xml:space="preserve"> </w:t>
      </w:r>
      <w:r>
        <w:rPr>
          <w:color w:val="231F20"/>
          <w:sz w:val="14"/>
        </w:rPr>
        <w:t>савременог</w:t>
      </w:r>
      <w:r>
        <w:rPr>
          <w:color w:val="231F20"/>
          <w:spacing w:val="-3"/>
          <w:sz w:val="14"/>
        </w:rPr>
        <w:t xml:space="preserve"> </w:t>
      </w:r>
      <w:r>
        <w:rPr>
          <w:color w:val="231F20"/>
          <w:sz w:val="14"/>
        </w:rPr>
        <w:t>света</w:t>
      </w:r>
      <w:r>
        <w:rPr>
          <w:color w:val="231F20"/>
          <w:spacing w:val="-3"/>
          <w:sz w:val="14"/>
        </w:rPr>
        <w:t xml:space="preserve"> </w:t>
      </w:r>
      <w:r>
        <w:rPr>
          <w:color w:val="231F20"/>
          <w:sz w:val="14"/>
        </w:rPr>
        <w:t>(у</w:t>
      </w:r>
      <w:r>
        <w:rPr>
          <w:color w:val="231F20"/>
          <w:spacing w:val="-3"/>
          <w:sz w:val="14"/>
        </w:rPr>
        <w:t xml:space="preserve"> </w:t>
      </w:r>
      <w:r>
        <w:rPr>
          <w:color w:val="231F20"/>
          <w:sz w:val="14"/>
        </w:rPr>
        <w:t>националном,</w:t>
      </w:r>
      <w:r>
        <w:rPr>
          <w:color w:val="231F20"/>
          <w:spacing w:val="-3"/>
          <w:sz w:val="14"/>
        </w:rPr>
        <w:t xml:space="preserve"> </w:t>
      </w:r>
      <w:r>
        <w:rPr>
          <w:color w:val="231F20"/>
          <w:sz w:val="14"/>
        </w:rPr>
        <w:t>регионалном,</w:t>
      </w:r>
    </w:p>
    <w:p w:rsidR="00041039" w:rsidRDefault="00041039">
      <w:pPr>
        <w:spacing w:line="161" w:lineRule="exact"/>
        <w:rPr>
          <w:sz w:val="14"/>
        </w:rPr>
        <w:sectPr w:rsidR="00041039">
          <w:pgSz w:w="11910" w:h="15710"/>
          <w:pgMar w:top="160" w:right="540" w:bottom="280" w:left="580" w:header="720" w:footer="720" w:gutter="0"/>
          <w:cols w:space="720"/>
        </w:sectPr>
      </w:pPr>
    </w:p>
    <w:p w:rsidR="00041039" w:rsidRDefault="001B26CB">
      <w:pPr>
        <w:pStyle w:val="BodyText"/>
        <w:spacing w:before="79"/>
        <w:ind w:left="157"/>
      </w:pPr>
      <w:r>
        <w:rPr>
          <w:color w:val="231F20"/>
        </w:rPr>
        <w:t>Циљеви</w:t>
      </w:r>
      <w:r>
        <w:rPr>
          <w:color w:val="231F20"/>
          <w:spacing w:val="-8"/>
        </w:rPr>
        <w:t xml:space="preserve"> </w:t>
      </w:r>
      <w:r>
        <w:rPr>
          <w:color w:val="231F20"/>
        </w:rPr>
        <w:t>предмета:</w:t>
      </w:r>
    </w:p>
    <w:p w:rsidR="00041039" w:rsidRDefault="001B26CB">
      <w:pPr>
        <w:pStyle w:val="BodyText"/>
        <w:spacing w:line="160" w:lineRule="exact"/>
        <w:ind w:left="262"/>
      </w:pPr>
      <w:r>
        <w:br w:type="column"/>
      </w:r>
      <w:r>
        <w:rPr>
          <w:color w:val="231F20"/>
        </w:rPr>
        <w:t>европском и глобалном оквиру);</w:t>
      </w:r>
    </w:p>
    <w:p w:rsidR="00041039" w:rsidRDefault="001B26CB">
      <w:pPr>
        <w:pStyle w:val="ListParagraph"/>
        <w:numPr>
          <w:ilvl w:val="0"/>
          <w:numId w:val="976"/>
        </w:numPr>
        <w:tabs>
          <w:tab w:val="left" w:pos="263"/>
        </w:tabs>
        <w:spacing w:line="240" w:lineRule="auto"/>
        <w:ind w:right="459"/>
        <w:rPr>
          <w:sz w:val="14"/>
        </w:rPr>
      </w:pPr>
      <w:r>
        <w:rPr>
          <w:color w:val="231F20"/>
          <w:sz w:val="14"/>
        </w:rPr>
        <w:t>Унапређивање функционалних вештина и компетенција неопходних за живот у савременом друштву (истраживачких вештина, критичког и креа­ тивног</w:t>
      </w:r>
      <w:r>
        <w:rPr>
          <w:color w:val="231F20"/>
          <w:spacing w:val="-5"/>
          <w:sz w:val="14"/>
        </w:rPr>
        <w:t xml:space="preserve"> </w:t>
      </w:r>
      <w:r>
        <w:rPr>
          <w:color w:val="231F20"/>
          <w:sz w:val="14"/>
        </w:rPr>
        <w:t>мишљења,</w:t>
      </w:r>
      <w:r>
        <w:rPr>
          <w:color w:val="231F20"/>
          <w:spacing w:val="-5"/>
          <w:sz w:val="14"/>
        </w:rPr>
        <w:t xml:space="preserve"> </w:t>
      </w:r>
      <w:r>
        <w:rPr>
          <w:color w:val="231F20"/>
          <w:sz w:val="14"/>
        </w:rPr>
        <w:t>способности</w:t>
      </w:r>
      <w:r>
        <w:rPr>
          <w:color w:val="231F20"/>
          <w:spacing w:val="-5"/>
          <w:sz w:val="14"/>
        </w:rPr>
        <w:t xml:space="preserve"> </w:t>
      </w:r>
      <w:r>
        <w:rPr>
          <w:color w:val="231F20"/>
          <w:sz w:val="14"/>
        </w:rPr>
        <w:t>изражавања</w:t>
      </w:r>
      <w:r>
        <w:rPr>
          <w:color w:val="231F20"/>
          <w:spacing w:val="-5"/>
          <w:sz w:val="14"/>
        </w:rPr>
        <w:t xml:space="preserve"> </w:t>
      </w:r>
      <w:r>
        <w:rPr>
          <w:color w:val="231F20"/>
          <w:sz w:val="14"/>
        </w:rPr>
        <w:t>и</w:t>
      </w:r>
      <w:r>
        <w:rPr>
          <w:color w:val="231F20"/>
          <w:spacing w:val="-6"/>
          <w:sz w:val="14"/>
        </w:rPr>
        <w:t xml:space="preserve"> </w:t>
      </w:r>
      <w:r>
        <w:rPr>
          <w:color w:val="231F20"/>
          <w:sz w:val="14"/>
        </w:rPr>
        <w:t>образлагања</w:t>
      </w:r>
      <w:r>
        <w:rPr>
          <w:color w:val="231F20"/>
          <w:spacing w:val="-5"/>
          <w:sz w:val="14"/>
        </w:rPr>
        <w:t xml:space="preserve"> </w:t>
      </w:r>
      <w:r>
        <w:rPr>
          <w:color w:val="231F20"/>
          <w:sz w:val="14"/>
        </w:rPr>
        <w:t>сопствених</w:t>
      </w:r>
      <w:r>
        <w:rPr>
          <w:color w:val="231F20"/>
          <w:spacing w:val="-5"/>
          <w:sz w:val="14"/>
        </w:rPr>
        <w:t xml:space="preserve"> </w:t>
      </w:r>
      <w:r>
        <w:rPr>
          <w:color w:val="231F20"/>
          <w:sz w:val="14"/>
        </w:rPr>
        <w:t>ставова,</w:t>
      </w:r>
      <w:r>
        <w:rPr>
          <w:color w:val="231F20"/>
          <w:spacing w:val="-5"/>
          <w:sz w:val="14"/>
        </w:rPr>
        <w:t xml:space="preserve"> </w:t>
      </w:r>
      <w:r>
        <w:rPr>
          <w:color w:val="231F20"/>
          <w:sz w:val="14"/>
        </w:rPr>
        <w:t>разумевања</w:t>
      </w:r>
      <w:r>
        <w:rPr>
          <w:color w:val="231F20"/>
          <w:spacing w:val="-5"/>
          <w:sz w:val="14"/>
        </w:rPr>
        <w:t xml:space="preserve"> </w:t>
      </w:r>
      <w:r>
        <w:rPr>
          <w:color w:val="231F20"/>
          <w:sz w:val="14"/>
        </w:rPr>
        <w:t>мултикултуралности,</w:t>
      </w:r>
      <w:r>
        <w:rPr>
          <w:color w:val="231F20"/>
          <w:spacing w:val="-5"/>
          <w:sz w:val="14"/>
        </w:rPr>
        <w:t xml:space="preserve"> </w:t>
      </w:r>
      <w:r>
        <w:rPr>
          <w:color w:val="231F20"/>
          <w:sz w:val="14"/>
        </w:rPr>
        <w:t>развијање</w:t>
      </w:r>
      <w:r>
        <w:rPr>
          <w:color w:val="231F20"/>
          <w:spacing w:val="-5"/>
          <w:sz w:val="14"/>
        </w:rPr>
        <w:t xml:space="preserve"> </w:t>
      </w:r>
      <w:r>
        <w:rPr>
          <w:color w:val="231F20"/>
          <w:sz w:val="14"/>
        </w:rPr>
        <w:t>толеранци</w:t>
      </w:r>
      <w:r>
        <w:rPr>
          <w:color w:val="231F20"/>
          <w:sz w:val="14"/>
        </w:rPr>
        <w:t>је</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културе аргументованог</w:t>
      </w:r>
      <w:r>
        <w:rPr>
          <w:color w:val="231F20"/>
          <w:spacing w:val="-1"/>
          <w:sz w:val="14"/>
        </w:rPr>
        <w:t xml:space="preserve"> </w:t>
      </w:r>
      <w:r>
        <w:rPr>
          <w:color w:val="231F20"/>
          <w:sz w:val="14"/>
        </w:rPr>
        <w:t>дијалога);</w:t>
      </w:r>
    </w:p>
    <w:p w:rsidR="00041039" w:rsidRDefault="001B26CB">
      <w:pPr>
        <w:pStyle w:val="ListParagraph"/>
        <w:numPr>
          <w:ilvl w:val="0"/>
          <w:numId w:val="976"/>
        </w:numPr>
        <w:tabs>
          <w:tab w:val="left" w:pos="263"/>
        </w:tabs>
        <w:spacing w:line="158" w:lineRule="exact"/>
        <w:rPr>
          <w:sz w:val="14"/>
        </w:rPr>
      </w:pPr>
      <w:r>
        <w:rPr>
          <w:color w:val="231F20"/>
          <w:sz w:val="14"/>
        </w:rPr>
        <w:t>Оспособљавање за ефикасно коришћење информационо ­ комуникационих</w:t>
      </w:r>
      <w:r>
        <w:rPr>
          <w:color w:val="231F20"/>
          <w:spacing w:val="-5"/>
          <w:sz w:val="14"/>
        </w:rPr>
        <w:t xml:space="preserve"> </w:t>
      </w:r>
      <w:r>
        <w:rPr>
          <w:color w:val="231F20"/>
          <w:sz w:val="14"/>
        </w:rPr>
        <w:t>технологија;</w:t>
      </w:r>
    </w:p>
    <w:p w:rsidR="00041039" w:rsidRDefault="001B26CB">
      <w:pPr>
        <w:pStyle w:val="ListParagraph"/>
        <w:numPr>
          <w:ilvl w:val="0"/>
          <w:numId w:val="976"/>
        </w:numPr>
        <w:tabs>
          <w:tab w:val="left" w:pos="263"/>
        </w:tabs>
        <w:spacing w:line="161" w:lineRule="exact"/>
        <w:rPr>
          <w:sz w:val="14"/>
        </w:rPr>
      </w:pPr>
      <w:r>
        <w:rPr>
          <w:color w:val="231F20"/>
          <w:sz w:val="14"/>
        </w:rPr>
        <w:t>Развијање свести о потреби сталног усавршавања и свести о важности неговања културно­историјске</w:t>
      </w:r>
      <w:r>
        <w:rPr>
          <w:color w:val="231F20"/>
          <w:spacing w:val="-9"/>
          <w:sz w:val="14"/>
        </w:rPr>
        <w:t xml:space="preserve"> </w:t>
      </w:r>
      <w:r>
        <w:rPr>
          <w:color w:val="231F20"/>
          <w:sz w:val="14"/>
        </w:rPr>
        <w:t>баштине.</w:t>
      </w:r>
    </w:p>
    <w:p w:rsidR="00041039" w:rsidRDefault="00041039">
      <w:pPr>
        <w:spacing w:line="161" w:lineRule="exact"/>
        <w:rPr>
          <w:sz w:val="14"/>
        </w:rPr>
        <w:sectPr w:rsidR="00041039">
          <w:type w:val="continuous"/>
          <w:pgSz w:w="11910" w:h="15710"/>
          <w:pgMar w:top="1480" w:right="540" w:bottom="280" w:left="580" w:header="720" w:footer="720" w:gutter="0"/>
          <w:cols w:num="2" w:space="720" w:equalWidth="0">
            <w:col w:w="1264" w:space="40"/>
            <w:col w:w="9486"/>
          </w:cols>
        </w:sectPr>
      </w:pP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7560"/>
        </w:trPr>
        <w:tc>
          <w:tcPr>
            <w:tcW w:w="1304" w:type="dxa"/>
          </w:tcPr>
          <w:p w:rsidR="00041039" w:rsidRDefault="001B26CB">
            <w:pPr>
              <w:pStyle w:val="TableParagraph"/>
              <w:spacing w:before="18"/>
              <w:ind w:left="56" w:right="143"/>
              <w:rPr>
                <w:sz w:val="14"/>
              </w:rPr>
            </w:pPr>
            <w:r>
              <w:rPr>
                <w:color w:val="231F20"/>
                <w:sz w:val="14"/>
              </w:rPr>
              <w:t>Село и град некад и сад</w:t>
            </w:r>
          </w:p>
        </w:tc>
        <w:tc>
          <w:tcPr>
            <w:tcW w:w="1587" w:type="dxa"/>
          </w:tcPr>
          <w:p w:rsidR="00041039" w:rsidRDefault="001B26CB">
            <w:pPr>
              <w:pStyle w:val="TableParagraph"/>
              <w:numPr>
                <w:ilvl w:val="0"/>
                <w:numId w:val="975"/>
              </w:numPr>
              <w:tabs>
                <w:tab w:val="left" w:pos="157"/>
              </w:tabs>
              <w:spacing w:before="8"/>
              <w:ind w:right="90"/>
              <w:rPr>
                <w:sz w:val="14"/>
              </w:rPr>
            </w:pPr>
            <w:r>
              <w:rPr>
                <w:color w:val="231F20"/>
                <w:sz w:val="14"/>
              </w:rPr>
              <w:t>Проширивање знања о променама у начину живота градског и сеоског</w:t>
            </w:r>
            <w:r>
              <w:rPr>
                <w:color w:val="231F20"/>
                <w:spacing w:val="-5"/>
                <w:sz w:val="14"/>
              </w:rPr>
              <w:t xml:space="preserve"> </w:t>
            </w:r>
            <w:r>
              <w:rPr>
                <w:color w:val="231F20"/>
                <w:sz w:val="14"/>
              </w:rPr>
              <w:t>становништва кроз</w:t>
            </w:r>
            <w:r>
              <w:rPr>
                <w:color w:val="231F20"/>
                <w:spacing w:val="-2"/>
                <w:sz w:val="14"/>
              </w:rPr>
              <w:t xml:space="preserve"> </w:t>
            </w:r>
            <w:r>
              <w:rPr>
                <w:color w:val="231F20"/>
                <w:sz w:val="14"/>
              </w:rPr>
              <w:t>историју.</w:t>
            </w:r>
          </w:p>
          <w:p w:rsidR="00041039" w:rsidRDefault="001B26CB">
            <w:pPr>
              <w:pStyle w:val="TableParagraph"/>
              <w:numPr>
                <w:ilvl w:val="0"/>
                <w:numId w:val="975"/>
              </w:numPr>
              <w:tabs>
                <w:tab w:val="left" w:pos="157"/>
              </w:tabs>
              <w:spacing w:line="155" w:lineRule="exact"/>
              <w:rPr>
                <w:sz w:val="14"/>
              </w:rPr>
            </w:pPr>
            <w:r>
              <w:rPr>
                <w:color w:val="231F20"/>
                <w:spacing w:val="-3"/>
                <w:sz w:val="14"/>
              </w:rPr>
              <w:t>Уочавање</w:t>
            </w:r>
            <w:r>
              <w:rPr>
                <w:color w:val="231F20"/>
                <w:sz w:val="14"/>
              </w:rPr>
              <w:t xml:space="preserve"> сличности</w:t>
            </w:r>
          </w:p>
          <w:p w:rsidR="00041039" w:rsidRDefault="001B26CB">
            <w:pPr>
              <w:pStyle w:val="TableParagraph"/>
              <w:ind w:right="274"/>
              <w:jc w:val="both"/>
              <w:rPr>
                <w:sz w:val="14"/>
              </w:rPr>
            </w:pPr>
            <w:r>
              <w:rPr>
                <w:color w:val="231F20"/>
                <w:sz w:val="14"/>
              </w:rPr>
              <w:t>и разлика у</w:t>
            </w:r>
            <w:r>
              <w:rPr>
                <w:color w:val="231F20"/>
                <w:spacing w:val="-9"/>
                <w:sz w:val="14"/>
              </w:rPr>
              <w:t xml:space="preserve"> </w:t>
            </w:r>
            <w:r>
              <w:rPr>
                <w:color w:val="231F20"/>
                <w:sz w:val="14"/>
              </w:rPr>
              <w:t>животу градског и сеоског становништва кроз историју.</w:t>
            </w:r>
          </w:p>
          <w:p w:rsidR="00041039" w:rsidRDefault="001B26CB">
            <w:pPr>
              <w:pStyle w:val="TableParagraph"/>
              <w:numPr>
                <w:ilvl w:val="0"/>
                <w:numId w:val="975"/>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односа</w:t>
            </w:r>
          </w:p>
          <w:p w:rsidR="00041039" w:rsidRDefault="001B26CB">
            <w:pPr>
              <w:pStyle w:val="TableParagraph"/>
              <w:ind w:right="27"/>
              <w:rPr>
                <w:sz w:val="14"/>
              </w:rPr>
            </w:pPr>
            <w:r>
              <w:rPr>
                <w:color w:val="231F20"/>
                <w:sz w:val="14"/>
              </w:rPr>
              <w:t>села и града у прошло­ сти и садашњости.</w:t>
            </w:r>
          </w:p>
          <w:p w:rsidR="00041039" w:rsidRDefault="001B26CB">
            <w:pPr>
              <w:pStyle w:val="TableParagraph"/>
              <w:numPr>
                <w:ilvl w:val="0"/>
                <w:numId w:val="975"/>
              </w:numPr>
              <w:tabs>
                <w:tab w:val="left" w:pos="157"/>
              </w:tabs>
              <w:spacing w:line="160" w:lineRule="exact"/>
              <w:ind w:right="122"/>
              <w:rPr>
                <w:sz w:val="14"/>
              </w:rPr>
            </w:pPr>
            <w:r>
              <w:rPr>
                <w:color w:val="231F20"/>
                <w:sz w:val="14"/>
              </w:rPr>
              <w:t>Стицање знања о миграцијама село ­ град као</w:t>
            </w:r>
            <w:r>
              <w:rPr>
                <w:color w:val="231F20"/>
                <w:spacing w:val="-13"/>
                <w:sz w:val="14"/>
              </w:rPr>
              <w:t xml:space="preserve"> </w:t>
            </w:r>
            <w:r>
              <w:rPr>
                <w:color w:val="231F20"/>
                <w:sz w:val="14"/>
              </w:rPr>
              <w:t xml:space="preserve">константним појавама у историји </w:t>
            </w:r>
            <w:r>
              <w:rPr>
                <w:color w:val="231F20"/>
                <w:spacing w:val="-3"/>
                <w:sz w:val="14"/>
              </w:rPr>
              <w:t>људског</w:t>
            </w:r>
            <w:r>
              <w:rPr>
                <w:color w:val="231F20"/>
                <w:spacing w:val="-1"/>
                <w:sz w:val="14"/>
              </w:rPr>
              <w:t xml:space="preserve"> </w:t>
            </w:r>
            <w:r>
              <w:rPr>
                <w:color w:val="231F20"/>
                <w:sz w:val="14"/>
              </w:rPr>
              <w:t>друштва.</w:t>
            </w:r>
          </w:p>
          <w:p w:rsidR="00041039" w:rsidRDefault="001B26CB">
            <w:pPr>
              <w:pStyle w:val="TableParagraph"/>
              <w:numPr>
                <w:ilvl w:val="0"/>
                <w:numId w:val="975"/>
              </w:numPr>
              <w:tabs>
                <w:tab w:val="left" w:pos="157"/>
              </w:tabs>
              <w:spacing w:line="160" w:lineRule="exact"/>
              <w:ind w:right="109"/>
              <w:rPr>
                <w:sz w:val="14"/>
              </w:rPr>
            </w:pPr>
            <w:r>
              <w:rPr>
                <w:color w:val="231F20"/>
                <w:sz w:val="14"/>
              </w:rPr>
              <w:t>Проширивање знања о животу сеоског и градског</w:t>
            </w:r>
            <w:r>
              <w:rPr>
                <w:color w:val="231F20"/>
                <w:spacing w:val="-10"/>
                <w:sz w:val="14"/>
              </w:rPr>
              <w:t xml:space="preserve"> </w:t>
            </w:r>
            <w:r>
              <w:rPr>
                <w:color w:val="231F20"/>
                <w:sz w:val="14"/>
              </w:rPr>
              <w:t>становништ­ ва у Србији у ХIХ и XX</w:t>
            </w:r>
            <w:r>
              <w:rPr>
                <w:color w:val="231F20"/>
                <w:spacing w:val="-1"/>
                <w:sz w:val="14"/>
              </w:rPr>
              <w:t xml:space="preserve"> </w:t>
            </w:r>
            <w:r>
              <w:rPr>
                <w:color w:val="231F20"/>
                <w:spacing w:val="-4"/>
                <w:sz w:val="14"/>
              </w:rPr>
              <w:t>веку.</w:t>
            </w:r>
          </w:p>
        </w:tc>
        <w:tc>
          <w:tcPr>
            <w:tcW w:w="2551" w:type="dxa"/>
          </w:tcPr>
          <w:p w:rsidR="00041039" w:rsidRDefault="001B26CB">
            <w:pPr>
              <w:pStyle w:val="TableParagraph"/>
              <w:numPr>
                <w:ilvl w:val="0"/>
                <w:numId w:val="974"/>
              </w:numPr>
              <w:tabs>
                <w:tab w:val="left" w:pos="157"/>
              </w:tabs>
              <w:spacing w:before="8"/>
              <w:ind w:right="300" w:hanging="99"/>
              <w:rPr>
                <w:sz w:val="14"/>
              </w:rPr>
            </w:pPr>
            <w:r>
              <w:rPr>
                <w:color w:val="231F20"/>
                <w:sz w:val="14"/>
              </w:rPr>
              <w:t>уочи основна обележја</w:t>
            </w:r>
            <w:r>
              <w:rPr>
                <w:color w:val="231F20"/>
                <w:spacing w:val="-7"/>
                <w:sz w:val="14"/>
              </w:rPr>
              <w:t xml:space="preserve"> </w:t>
            </w:r>
            <w:r>
              <w:rPr>
                <w:color w:val="231F20"/>
                <w:sz w:val="14"/>
              </w:rPr>
              <w:t xml:space="preserve">различитих типова насеља </w:t>
            </w:r>
            <w:r>
              <w:rPr>
                <w:color w:val="231F20"/>
                <w:spacing w:val="-3"/>
                <w:sz w:val="14"/>
              </w:rPr>
              <w:t xml:space="preserve">од </w:t>
            </w:r>
            <w:r>
              <w:rPr>
                <w:color w:val="231F20"/>
                <w:sz w:val="14"/>
              </w:rPr>
              <w:t>праисторије до савременог доба;</w:t>
            </w:r>
          </w:p>
          <w:p w:rsidR="00041039" w:rsidRDefault="001B26CB">
            <w:pPr>
              <w:pStyle w:val="TableParagraph"/>
              <w:numPr>
                <w:ilvl w:val="0"/>
                <w:numId w:val="974"/>
              </w:numPr>
              <w:tabs>
                <w:tab w:val="left" w:pos="157"/>
              </w:tabs>
              <w:spacing w:line="157" w:lineRule="exact"/>
              <w:ind w:hanging="99"/>
              <w:rPr>
                <w:sz w:val="14"/>
              </w:rPr>
            </w:pPr>
            <w:r>
              <w:rPr>
                <w:color w:val="231F20"/>
                <w:sz w:val="14"/>
              </w:rPr>
              <w:t>изведе закључак о значају</w:t>
            </w:r>
            <w:r>
              <w:rPr>
                <w:color w:val="231F20"/>
                <w:spacing w:val="-10"/>
                <w:sz w:val="14"/>
              </w:rPr>
              <w:t xml:space="preserve"> </w:t>
            </w:r>
            <w:r>
              <w:rPr>
                <w:color w:val="231F20"/>
                <w:sz w:val="14"/>
              </w:rPr>
              <w:t>настанка</w:t>
            </w:r>
          </w:p>
          <w:p w:rsidR="00041039" w:rsidRDefault="001B26CB">
            <w:pPr>
              <w:pStyle w:val="TableParagraph"/>
              <w:spacing w:line="155" w:lineRule="exact"/>
              <w:rPr>
                <w:sz w:val="14"/>
              </w:rPr>
            </w:pPr>
            <w:r>
              <w:rPr>
                <w:color w:val="231F20"/>
                <w:sz w:val="14"/>
              </w:rPr>
              <w:t>градова;</w:t>
            </w:r>
          </w:p>
          <w:p w:rsidR="00041039" w:rsidRDefault="001B26CB">
            <w:pPr>
              <w:pStyle w:val="TableParagraph"/>
              <w:numPr>
                <w:ilvl w:val="0"/>
                <w:numId w:val="974"/>
              </w:numPr>
              <w:tabs>
                <w:tab w:val="left" w:pos="157"/>
              </w:tabs>
              <w:spacing w:line="237" w:lineRule="auto"/>
              <w:ind w:right="88" w:hanging="99"/>
              <w:jc w:val="both"/>
              <w:rPr>
                <w:sz w:val="14"/>
              </w:rPr>
            </w:pPr>
            <w:r>
              <w:rPr>
                <w:color w:val="231F20"/>
                <w:sz w:val="14"/>
              </w:rPr>
              <w:t>лоцира</w:t>
            </w:r>
            <w:r>
              <w:rPr>
                <w:color w:val="231F20"/>
                <w:spacing w:val="-9"/>
                <w:sz w:val="14"/>
              </w:rPr>
              <w:t xml:space="preserve"> </w:t>
            </w:r>
            <w:r>
              <w:rPr>
                <w:color w:val="231F20"/>
                <w:sz w:val="14"/>
              </w:rPr>
              <w:t>на</w:t>
            </w:r>
            <w:r>
              <w:rPr>
                <w:color w:val="231F20"/>
                <w:spacing w:val="-9"/>
                <w:sz w:val="14"/>
              </w:rPr>
              <w:t xml:space="preserve"> </w:t>
            </w:r>
            <w:r>
              <w:rPr>
                <w:color w:val="231F20"/>
                <w:sz w:val="14"/>
              </w:rPr>
              <w:t>историјској</w:t>
            </w:r>
            <w:r>
              <w:rPr>
                <w:color w:val="231F20"/>
                <w:spacing w:val="-8"/>
                <w:sz w:val="14"/>
              </w:rPr>
              <w:t xml:space="preserve"> </w:t>
            </w:r>
            <w:r>
              <w:rPr>
                <w:color w:val="231F20"/>
                <w:sz w:val="14"/>
              </w:rPr>
              <w:t>карти</w:t>
            </w:r>
            <w:r>
              <w:rPr>
                <w:color w:val="231F20"/>
                <w:spacing w:val="-8"/>
                <w:sz w:val="14"/>
              </w:rPr>
              <w:t xml:space="preserve"> </w:t>
            </w:r>
            <w:r>
              <w:rPr>
                <w:color w:val="231F20"/>
                <w:sz w:val="14"/>
              </w:rPr>
              <w:t xml:space="preserve">најзначај­ није античке, средњовековне и модер­ не градове у </w:t>
            </w:r>
            <w:r>
              <w:rPr>
                <w:color w:val="231F20"/>
                <w:spacing w:val="-3"/>
                <w:sz w:val="14"/>
              </w:rPr>
              <w:t xml:space="preserve">свету, </w:t>
            </w:r>
            <w:r>
              <w:rPr>
                <w:color w:val="231F20"/>
                <w:sz w:val="14"/>
              </w:rPr>
              <w:t>Европи и</w:t>
            </w:r>
            <w:r>
              <w:rPr>
                <w:color w:val="231F20"/>
                <w:spacing w:val="-3"/>
                <w:sz w:val="14"/>
              </w:rPr>
              <w:t xml:space="preserve"> </w:t>
            </w:r>
            <w:r>
              <w:rPr>
                <w:color w:val="231F20"/>
                <w:sz w:val="14"/>
              </w:rPr>
              <w:t>Србији;</w:t>
            </w:r>
          </w:p>
          <w:p w:rsidR="00041039" w:rsidRDefault="001B26CB">
            <w:pPr>
              <w:pStyle w:val="TableParagraph"/>
              <w:numPr>
                <w:ilvl w:val="0"/>
                <w:numId w:val="974"/>
              </w:numPr>
              <w:tabs>
                <w:tab w:val="left" w:pos="157"/>
              </w:tabs>
              <w:spacing w:line="237" w:lineRule="auto"/>
              <w:ind w:right="537" w:hanging="99"/>
              <w:jc w:val="both"/>
              <w:rPr>
                <w:sz w:val="14"/>
              </w:rPr>
            </w:pPr>
            <w:r>
              <w:rPr>
                <w:color w:val="231F20"/>
                <w:sz w:val="14"/>
              </w:rPr>
              <w:t>опише начин живота у граду у различитим историјским</w:t>
            </w:r>
            <w:r>
              <w:rPr>
                <w:color w:val="231F20"/>
                <w:spacing w:val="-8"/>
                <w:sz w:val="14"/>
              </w:rPr>
              <w:t xml:space="preserve"> </w:t>
            </w:r>
            <w:r>
              <w:rPr>
                <w:color w:val="231F20"/>
                <w:sz w:val="14"/>
              </w:rPr>
              <w:t>пери­ одима (на примеру</w:t>
            </w:r>
            <w:r>
              <w:rPr>
                <w:color w:val="231F20"/>
                <w:spacing w:val="-18"/>
                <w:sz w:val="14"/>
              </w:rPr>
              <w:t xml:space="preserve"> </w:t>
            </w:r>
            <w:r>
              <w:rPr>
                <w:color w:val="231F20"/>
                <w:sz w:val="14"/>
              </w:rPr>
              <w:t>Цариграда,</w:t>
            </w:r>
          </w:p>
          <w:p w:rsidR="00041039" w:rsidRDefault="001B26CB">
            <w:pPr>
              <w:pStyle w:val="TableParagraph"/>
              <w:rPr>
                <w:sz w:val="14"/>
              </w:rPr>
            </w:pPr>
            <w:r>
              <w:rPr>
                <w:color w:val="231F20"/>
                <w:sz w:val="14"/>
              </w:rPr>
              <w:t>Венеције, Фиренце, Париза, Лондона, Берлина, Њујорка, Москве, Санкт Петербурга...);</w:t>
            </w:r>
          </w:p>
          <w:p w:rsidR="00041039" w:rsidRDefault="001B26CB">
            <w:pPr>
              <w:pStyle w:val="TableParagraph"/>
              <w:numPr>
                <w:ilvl w:val="0"/>
                <w:numId w:val="974"/>
              </w:numPr>
              <w:tabs>
                <w:tab w:val="left" w:pos="157"/>
              </w:tabs>
              <w:spacing w:line="158" w:lineRule="exact"/>
              <w:ind w:hanging="99"/>
              <w:rPr>
                <w:sz w:val="14"/>
              </w:rPr>
            </w:pPr>
            <w:r>
              <w:rPr>
                <w:color w:val="231F20"/>
                <w:sz w:val="14"/>
              </w:rPr>
              <w:t>опише начин живот у</w:t>
            </w:r>
            <w:r>
              <w:rPr>
                <w:color w:val="231F20"/>
                <w:spacing w:val="-2"/>
                <w:sz w:val="14"/>
              </w:rPr>
              <w:t xml:space="preserve"> </w:t>
            </w:r>
            <w:r>
              <w:rPr>
                <w:color w:val="231F20"/>
                <w:sz w:val="14"/>
              </w:rPr>
              <w:t>српским</w:t>
            </w:r>
          </w:p>
          <w:p w:rsidR="00041039" w:rsidRDefault="001B26CB">
            <w:pPr>
              <w:pStyle w:val="TableParagraph"/>
              <w:rPr>
                <w:sz w:val="14"/>
              </w:rPr>
            </w:pPr>
            <w:r>
              <w:rPr>
                <w:color w:val="231F20"/>
                <w:sz w:val="14"/>
              </w:rPr>
              <w:t>градовима у XIX и XX веку (на при­ меру Београда, Новог Сада, Ниша, Крагујевца...);</w:t>
            </w:r>
          </w:p>
          <w:p w:rsidR="00041039" w:rsidRDefault="001B26CB">
            <w:pPr>
              <w:pStyle w:val="TableParagraph"/>
              <w:numPr>
                <w:ilvl w:val="0"/>
                <w:numId w:val="974"/>
              </w:numPr>
              <w:tabs>
                <w:tab w:val="left" w:pos="157"/>
              </w:tabs>
              <w:spacing w:line="158" w:lineRule="exact"/>
              <w:ind w:hanging="99"/>
              <w:rPr>
                <w:sz w:val="14"/>
              </w:rPr>
            </w:pPr>
            <w:r>
              <w:rPr>
                <w:color w:val="231F20"/>
                <w:sz w:val="14"/>
              </w:rPr>
              <w:t>опише начин живота у српс</w:t>
            </w:r>
            <w:r>
              <w:rPr>
                <w:color w:val="231F20"/>
                <w:sz w:val="14"/>
              </w:rPr>
              <w:t>ким</w:t>
            </w:r>
            <w:r>
              <w:rPr>
                <w:color w:val="231F20"/>
                <w:spacing w:val="-7"/>
                <w:sz w:val="14"/>
              </w:rPr>
              <w:t xml:space="preserve"> </w:t>
            </w:r>
            <w:r>
              <w:rPr>
                <w:color w:val="231F20"/>
                <w:sz w:val="14"/>
              </w:rPr>
              <w:t>селима</w:t>
            </w:r>
          </w:p>
          <w:p w:rsidR="00041039" w:rsidRDefault="001B26CB">
            <w:pPr>
              <w:pStyle w:val="TableParagraph"/>
              <w:spacing w:line="155" w:lineRule="exact"/>
              <w:rPr>
                <w:sz w:val="14"/>
              </w:rPr>
            </w:pPr>
            <w:r>
              <w:rPr>
                <w:color w:val="231F20"/>
                <w:sz w:val="14"/>
              </w:rPr>
              <w:t>у XIX и XX веку;</w:t>
            </w:r>
          </w:p>
          <w:p w:rsidR="00041039" w:rsidRDefault="001B26CB">
            <w:pPr>
              <w:pStyle w:val="TableParagraph"/>
              <w:numPr>
                <w:ilvl w:val="0"/>
                <w:numId w:val="974"/>
              </w:numPr>
              <w:tabs>
                <w:tab w:val="left" w:pos="157"/>
              </w:tabs>
              <w:spacing w:line="237" w:lineRule="auto"/>
              <w:ind w:right="89" w:hanging="99"/>
              <w:rPr>
                <w:sz w:val="14"/>
              </w:rPr>
            </w:pPr>
            <w:r>
              <w:rPr>
                <w:color w:val="231F20"/>
                <w:sz w:val="14"/>
              </w:rPr>
              <w:t>уочи сличности и разлике у начину живота у српским градовима и</w:t>
            </w:r>
            <w:r>
              <w:rPr>
                <w:color w:val="231F20"/>
                <w:spacing w:val="-11"/>
                <w:sz w:val="14"/>
              </w:rPr>
              <w:t xml:space="preserve"> </w:t>
            </w:r>
            <w:r>
              <w:rPr>
                <w:color w:val="231F20"/>
                <w:sz w:val="14"/>
              </w:rPr>
              <w:t>селима у XIX и XX</w:t>
            </w:r>
            <w:r>
              <w:rPr>
                <w:color w:val="231F20"/>
                <w:spacing w:val="-4"/>
                <w:sz w:val="14"/>
              </w:rPr>
              <w:t xml:space="preserve"> </w:t>
            </w:r>
            <w:r>
              <w:rPr>
                <w:color w:val="231F20"/>
                <w:sz w:val="14"/>
              </w:rPr>
              <w:t>веку;</w:t>
            </w:r>
          </w:p>
          <w:p w:rsidR="00041039" w:rsidRDefault="001B26CB">
            <w:pPr>
              <w:pStyle w:val="TableParagraph"/>
              <w:numPr>
                <w:ilvl w:val="0"/>
                <w:numId w:val="974"/>
              </w:numPr>
              <w:tabs>
                <w:tab w:val="left" w:pos="157"/>
              </w:tabs>
              <w:spacing w:line="237" w:lineRule="auto"/>
              <w:ind w:right="358" w:hanging="99"/>
              <w:rPr>
                <w:sz w:val="14"/>
              </w:rPr>
            </w:pPr>
            <w:r>
              <w:rPr>
                <w:color w:val="231F20"/>
                <w:sz w:val="14"/>
              </w:rPr>
              <w:t>разуме значај и последице</w:t>
            </w:r>
            <w:r>
              <w:rPr>
                <w:color w:val="231F20"/>
                <w:spacing w:val="-15"/>
                <w:sz w:val="14"/>
              </w:rPr>
              <w:t xml:space="preserve"> </w:t>
            </w:r>
            <w:r>
              <w:rPr>
                <w:color w:val="231F20"/>
                <w:sz w:val="14"/>
              </w:rPr>
              <w:t>развоја модерних</w:t>
            </w:r>
            <w:r>
              <w:rPr>
                <w:color w:val="231F20"/>
                <w:spacing w:val="-1"/>
                <w:sz w:val="14"/>
              </w:rPr>
              <w:t xml:space="preserve"> </w:t>
            </w:r>
            <w:r>
              <w:rPr>
                <w:color w:val="231F20"/>
                <w:sz w:val="14"/>
              </w:rPr>
              <w:t>градова;</w:t>
            </w:r>
          </w:p>
          <w:p w:rsidR="00041039" w:rsidRDefault="001B26CB">
            <w:pPr>
              <w:pStyle w:val="TableParagraph"/>
              <w:numPr>
                <w:ilvl w:val="0"/>
                <w:numId w:val="974"/>
              </w:numPr>
              <w:tabs>
                <w:tab w:val="left" w:pos="157"/>
              </w:tabs>
              <w:spacing w:line="160" w:lineRule="exact"/>
              <w:ind w:right="297" w:hanging="99"/>
              <w:rPr>
                <w:sz w:val="14"/>
              </w:rPr>
            </w:pPr>
            <w:r>
              <w:rPr>
                <w:color w:val="231F20"/>
                <w:sz w:val="14"/>
              </w:rPr>
              <w:t>образложи најважније узроке и</w:t>
            </w:r>
            <w:r>
              <w:rPr>
                <w:color w:val="231F20"/>
                <w:spacing w:val="-16"/>
                <w:sz w:val="14"/>
              </w:rPr>
              <w:t xml:space="preserve"> </w:t>
            </w:r>
            <w:r>
              <w:rPr>
                <w:color w:val="231F20"/>
                <w:sz w:val="14"/>
              </w:rPr>
              <w:t>по­ следице миграција село ­</w:t>
            </w:r>
            <w:r>
              <w:rPr>
                <w:color w:val="231F20"/>
                <w:spacing w:val="-4"/>
                <w:sz w:val="14"/>
              </w:rPr>
              <w:t xml:space="preserve"> </w:t>
            </w:r>
            <w:r>
              <w:rPr>
                <w:color w:val="231F20"/>
                <w:sz w:val="14"/>
              </w:rPr>
              <w:t>град;</w:t>
            </w:r>
          </w:p>
          <w:p w:rsidR="00041039" w:rsidRDefault="001B26CB">
            <w:pPr>
              <w:pStyle w:val="TableParagraph"/>
              <w:numPr>
                <w:ilvl w:val="0"/>
                <w:numId w:val="974"/>
              </w:numPr>
              <w:tabs>
                <w:tab w:val="left" w:pos="157"/>
              </w:tabs>
              <w:spacing w:line="160" w:lineRule="exact"/>
              <w:ind w:right="314" w:hanging="99"/>
              <w:rPr>
                <w:sz w:val="14"/>
              </w:rPr>
            </w:pPr>
            <w:r>
              <w:rPr>
                <w:color w:val="231F20"/>
                <w:sz w:val="14"/>
              </w:rPr>
              <w:t>уочи разлике у начину становања између села и града кроз</w:t>
            </w:r>
            <w:r>
              <w:rPr>
                <w:color w:val="231F20"/>
                <w:spacing w:val="-14"/>
                <w:sz w:val="14"/>
              </w:rPr>
              <w:t xml:space="preserve"> </w:t>
            </w:r>
            <w:r>
              <w:rPr>
                <w:color w:val="231F20"/>
                <w:sz w:val="14"/>
              </w:rPr>
              <w:t>историју;</w:t>
            </w:r>
          </w:p>
          <w:p w:rsidR="00041039" w:rsidRDefault="001B26CB">
            <w:pPr>
              <w:pStyle w:val="TableParagraph"/>
              <w:numPr>
                <w:ilvl w:val="0"/>
                <w:numId w:val="974"/>
              </w:numPr>
              <w:tabs>
                <w:tab w:val="left" w:pos="157"/>
              </w:tabs>
              <w:spacing w:line="160" w:lineRule="exact"/>
              <w:ind w:right="46" w:hanging="99"/>
              <w:rPr>
                <w:sz w:val="14"/>
              </w:rPr>
            </w:pPr>
            <w:r>
              <w:rPr>
                <w:color w:val="231F20"/>
                <w:sz w:val="14"/>
              </w:rPr>
              <w:t>уочи разлике у начину становања између припадника различитих</w:t>
            </w:r>
            <w:r>
              <w:rPr>
                <w:color w:val="231F20"/>
                <w:spacing w:val="-15"/>
                <w:sz w:val="14"/>
              </w:rPr>
              <w:t xml:space="preserve"> </w:t>
            </w:r>
            <w:r>
              <w:rPr>
                <w:color w:val="231F20"/>
                <w:sz w:val="14"/>
              </w:rPr>
              <w:t>друшт­ вених слојева кроз</w:t>
            </w:r>
            <w:r>
              <w:rPr>
                <w:color w:val="231F20"/>
                <w:spacing w:val="-2"/>
                <w:sz w:val="14"/>
              </w:rPr>
              <w:t xml:space="preserve"> </w:t>
            </w:r>
            <w:r>
              <w:rPr>
                <w:color w:val="231F20"/>
                <w:sz w:val="14"/>
              </w:rPr>
              <w:t>историју;</w:t>
            </w:r>
          </w:p>
        </w:tc>
        <w:tc>
          <w:tcPr>
            <w:tcW w:w="2834" w:type="dxa"/>
          </w:tcPr>
          <w:p w:rsidR="00041039" w:rsidRDefault="001B26CB">
            <w:pPr>
              <w:pStyle w:val="TableParagraph"/>
              <w:numPr>
                <w:ilvl w:val="0"/>
                <w:numId w:val="973"/>
              </w:numPr>
              <w:tabs>
                <w:tab w:val="left" w:pos="157"/>
              </w:tabs>
              <w:spacing w:before="9"/>
              <w:ind w:right="222" w:hanging="99"/>
              <w:rPr>
                <w:sz w:val="14"/>
              </w:rPr>
            </w:pPr>
            <w:r>
              <w:rPr>
                <w:color w:val="231F20"/>
                <w:sz w:val="14"/>
              </w:rPr>
              <w:t>Насеља у праисторији (примери Винче и Лепенског</w:t>
            </w:r>
            <w:r>
              <w:rPr>
                <w:color w:val="231F20"/>
                <w:spacing w:val="-1"/>
                <w:sz w:val="14"/>
              </w:rPr>
              <w:t xml:space="preserve"> </w:t>
            </w:r>
            <w:r>
              <w:rPr>
                <w:color w:val="231F20"/>
                <w:sz w:val="14"/>
              </w:rPr>
              <w:t>Вира).</w:t>
            </w:r>
          </w:p>
          <w:p w:rsidR="00041039" w:rsidRDefault="001B26CB">
            <w:pPr>
              <w:pStyle w:val="TableParagraph"/>
              <w:numPr>
                <w:ilvl w:val="0"/>
                <w:numId w:val="973"/>
              </w:numPr>
              <w:tabs>
                <w:tab w:val="left" w:pos="157"/>
              </w:tabs>
              <w:spacing w:line="160" w:lineRule="exact"/>
              <w:ind w:right="244" w:hanging="99"/>
              <w:rPr>
                <w:sz w:val="14"/>
              </w:rPr>
            </w:pPr>
            <w:r>
              <w:rPr>
                <w:color w:val="231F20"/>
                <w:sz w:val="14"/>
              </w:rPr>
              <w:t>Живот у античким градовима (примери В</w:t>
            </w:r>
            <w:r>
              <w:rPr>
                <w:color w:val="231F20"/>
                <w:sz w:val="14"/>
              </w:rPr>
              <w:t>авилона, грчких полиса,</w:t>
            </w:r>
            <w:r>
              <w:rPr>
                <w:color w:val="231F20"/>
                <w:spacing w:val="-14"/>
                <w:sz w:val="14"/>
              </w:rPr>
              <w:t xml:space="preserve"> </w:t>
            </w:r>
            <w:r>
              <w:rPr>
                <w:color w:val="231F20"/>
                <w:sz w:val="14"/>
              </w:rPr>
              <w:t>Александрије, Рима...),</w:t>
            </w:r>
          </w:p>
          <w:p w:rsidR="00041039" w:rsidRDefault="001B26CB">
            <w:pPr>
              <w:pStyle w:val="TableParagraph"/>
              <w:numPr>
                <w:ilvl w:val="0"/>
                <w:numId w:val="973"/>
              </w:numPr>
              <w:tabs>
                <w:tab w:val="left" w:pos="157"/>
              </w:tabs>
              <w:spacing w:line="160" w:lineRule="exact"/>
              <w:ind w:right="105" w:hanging="99"/>
              <w:rPr>
                <w:sz w:val="14"/>
              </w:rPr>
            </w:pPr>
            <w:r>
              <w:rPr>
                <w:color w:val="231F20"/>
                <w:sz w:val="14"/>
              </w:rPr>
              <w:t>Живот у средњовековним градовима и селима (примери Цариграда, Венеције, Фиренце, Париза, Лондона, Београда...; средњовековни замак ­ у миру и за време опсаде; положај зависног сељака ­ обавезе становништва, порез, присилни рад ­ изградња путева, насипа, ут</w:t>
            </w:r>
            <w:r>
              <w:rPr>
                <w:color w:val="231F20"/>
                <w:sz w:val="14"/>
              </w:rPr>
              <w:t>врђења...; становање ­ грађевински материјали, начин градње, разлика у начину</w:t>
            </w:r>
            <w:r>
              <w:rPr>
                <w:color w:val="231F20"/>
                <w:spacing w:val="-24"/>
                <w:sz w:val="14"/>
              </w:rPr>
              <w:t xml:space="preserve"> </w:t>
            </w:r>
            <w:r>
              <w:rPr>
                <w:color w:val="231F20"/>
                <w:sz w:val="14"/>
              </w:rPr>
              <w:t xml:space="preserve">становања између села и града и између богатих и сиромашних; хигијенски услови, опасност </w:t>
            </w:r>
            <w:r>
              <w:rPr>
                <w:color w:val="231F20"/>
                <w:spacing w:val="-3"/>
                <w:sz w:val="14"/>
              </w:rPr>
              <w:t>од</w:t>
            </w:r>
            <w:r>
              <w:rPr>
                <w:color w:val="231F20"/>
                <w:sz w:val="14"/>
              </w:rPr>
              <w:t xml:space="preserve"> епидемија...).</w:t>
            </w:r>
          </w:p>
          <w:p w:rsidR="00041039" w:rsidRDefault="001B26CB">
            <w:pPr>
              <w:pStyle w:val="TableParagraph"/>
              <w:numPr>
                <w:ilvl w:val="0"/>
                <w:numId w:val="973"/>
              </w:numPr>
              <w:tabs>
                <w:tab w:val="left" w:pos="157"/>
              </w:tabs>
              <w:spacing w:line="160" w:lineRule="exact"/>
              <w:ind w:right="146" w:hanging="99"/>
              <w:rPr>
                <w:sz w:val="14"/>
              </w:rPr>
            </w:pPr>
            <w:r>
              <w:rPr>
                <w:color w:val="231F20"/>
                <w:sz w:val="14"/>
              </w:rPr>
              <w:t>Живот у градовима и селима у новом веку и савременом добу (примери</w:t>
            </w:r>
            <w:r>
              <w:rPr>
                <w:color w:val="231F20"/>
                <w:spacing w:val="-25"/>
                <w:sz w:val="14"/>
              </w:rPr>
              <w:t xml:space="preserve"> </w:t>
            </w:r>
            <w:r>
              <w:rPr>
                <w:color w:val="231F20"/>
                <w:sz w:val="14"/>
              </w:rPr>
              <w:t>Пари</w:t>
            </w:r>
            <w:r>
              <w:rPr>
                <w:color w:val="231F20"/>
                <w:sz w:val="14"/>
              </w:rPr>
              <w:t>за, Лондона, Берлина, Њујорка,</w:t>
            </w:r>
            <w:r>
              <w:rPr>
                <w:color w:val="231F20"/>
                <w:spacing w:val="-7"/>
                <w:sz w:val="14"/>
              </w:rPr>
              <w:t xml:space="preserve"> </w:t>
            </w:r>
            <w:r>
              <w:rPr>
                <w:color w:val="231F20"/>
                <w:sz w:val="14"/>
              </w:rPr>
              <w:t>Москве,</w:t>
            </w:r>
          </w:p>
          <w:p w:rsidR="00041039" w:rsidRDefault="001B26CB">
            <w:pPr>
              <w:pStyle w:val="TableParagraph"/>
              <w:spacing w:line="237" w:lineRule="auto"/>
              <w:ind w:right="67"/>
              <w:rPr>
                <w:sz w:val="14"/>
              </w:rPr>
            </w:pPr>
            <w:r>
              <w:rPr>
                <w:color w:val="231F20"/>
                <w:sz w:val="14"/>
              </w:rPr>
              <w:t>Санкт Петербурга...; просторно и урбано планирање; индустријске четврти, раднич­ ка насеља и предграђа; боемске четврти; појава модерне инфраструктуре ­ водовод, канализација, метро, проблем загађења, одношење и склад</w:t>
            </w:r>
            <w:r>
              <w:rPr>
                <w:color w:val="231F20"/>
                <w:sz w:val="14"/>
              </w:rPr>
              <w:t>иштење отпада; становање ­ грађевински материјали,</w:t>
            </w:r>
            <w:r>
              <w:rPr>
                <w:color w:val="231F20"/>
                <w:spacing w:val="-24"/>
                <w:sz w:val="14"/>
              </w:rPr>
              <w:t xml:space="preserve"> </w:t>
            </w:r>
            <w:r>
              <w:rPr>
                <w:color w:val="231F20"/>
                <w:sz w:val="14"/>
              </w:rPr>
              <w:t xml:space="preserve">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 них слојева, миграције; осветљење ­ </w:t>
            </w:r>
            <w:r>
              <w:rPr>
                <w:color w:val="231F20"/>
                <w:sz w:val="14"/>
              </w:rPr>
              <w:t>гас и струја; грејање, употреба соларне енергије, кућни апарати; оплемењивање стамбеног простора).</w:t>
            </w:r>
          </w:p>
        </w:tc>
        <w:tc>
          <w:tcPr>
            <w:tcW w:w="2267" w:type="dxa"/>
          </w:tcPr>
          <w:p w:rsidR="00041039" w:rsidRDefault="001B26CB">
            <w:pPr>
              <w:pStyle w:val="TableParagraph"/>
              <w:numPr>
                <w:ilvl w:val="0"/>
                <w:numId w:val="972"/>
              </w:numPr>
              <w:tabs>
                <w:tab w:val="left" w:pos="158"/>
              </w:tabs>
              <w:spacing w:before="10"/>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972"/>
              </w:numPr>
              <w:tabs>
                <w:tab w:val="left" w:pos="158"/>
              </w:tabs>
              <w:spacing w:line="160" w:lineRule="exact"/>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972"/>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972"/>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972"/>
              </w:numPr>
              <w:tabs>
                <w:tab w:val="left" w:pos="158"/>
              </w:tabs>
              <w:spacing w:line="160" w:lineRule="exact"/>
              <w:ind w:right="109" w:hanging="99"/>
              <w:rPr>
                <w:sz w:val="14"/>
              </w:rPr>
            </w:pPr>
            <w:r>
              <w:rPr>
                <w:color w:val="231F20"/>
                <w:sz w:val="14"/>
              </w:rPr>
              <w:t xml:space="preserve">задатак наставника је да на почетку </w:t>
            </w:r>
            <w:r>
              <w:rPr>
                <w:color w:val="231F20"/>
                <w:spacing w:val="-3"/>
                <w:sz w:val="14"/>
              </w:rPr>
              <w:t xml:space="preserve">школске </w:t>
            </w:r>
            <w:r>
              <w:rPr>
                <w:color w:val="231F20"/>
                <w:sz w:val="14"/>
              </w:rPr>
              <w:t xml:space="preserve">године </w:t>
            </w:r>
            <w:r>
              <w:rPr>
                <w:color w:val="231F20"/>
                <w:spacing w:val="-3"/>
                <w:sz w:val="14"/>
              </w:rPr>
              <w:t xml:space="preserve">од </w:t>
            </w:r>
            <w:r>
              <w:rPr>
                <w:color w:val="231F20"/>
                <w:sz w:val="14"/>
              </w:rPr>
              <w:t xml:space="preserve">два­ наест понуђених наставних тема, ученицима предложи шест, </w:t>
            </w:r>
            <w:r>
              <w:rPr>
                <w:color w:val="231F20"/>
                <w:spacing w:val="-3"/>
                <w:sz w:val="14"/>
              </w:rPr>
              <w:t xml:space="preserve">од </w:t>
            </w:r>
            <w:r>
              <w:rPr>
                <w:color w:val="231F20"/>
                <w:sz w:val="14"/>
              </w:rPr>
              <w:t>којих ће они, као група, у складу са својим склоностима, изабрати четири;</w:t>
            </w:r>
          </w:p>
          <w:p w:rsidR="00041039" w:rsidRDefault="001B26CB">
            <w:pPr>
              <w:pStyle w:val="TableParagraph"/>
              <w:numPr>
                <w:ilvl w:val="0"/>
                <w:numId w:val="972"/>
              </w:numPr>
              <w:tabs>
                <w:tab w:val="left" w:pos="158"/>
              </w:tabs>
              <w:spacing w:line="160" w:lineRule="exact"/>
              <w:ind w:right="64" w:hanging="99"/>
              <w:rPr>
                <w:sz w:val="14"/>
              </w:rPr>
            </w:pPr>
            <w:r>
              <w:rPr>
                <w:color w:val="231F20"/>
                <w:sz w:val="14"/>
              </w:rPr>
              <w:t>структура програма</w:t>
            </w:r>
            <w:r>
              <w:rPr>
                <w:color w:val="231F20"/>
                <w:sz w:val="14"/>
              </w:rPr>
              <w:t xml:space="preserve"> конципирана је с циљем да помогле</w:t>
            </w:r>
            <w:r>
              <w:rPr>
                <w:color w:val="231F20"/>
                <w:spacing w:val="-22"/>
                <w:sz w:val="14"/>
              </w:rPr>
              <w:t xml:space="preserve"> </w:t>
            </w:r>
            <w:r>
              <w:rPr>
                <w:color w:val="231F20"/>
                <w:sz w:val="14"/>
              </w:rPr>
              <w:t>наставнику у планирању непосредног</w:t>
            </w:r>
            <w:r>
              <w:rPr>
                <w:color w:val="231F20"/>
                <w:spacing w:val="-5"/>
                <w:sz w:val="14"/>
              </w:rPr>
              <w:t xml:space="preserve"> </w:t>
            </w:r>
            <w:r>
              <w:rPr>
                <w:color w:val="231F20"/>
                <w:sz w:val="14"/>
              </w:rPr>
              <w:t>рада</w:t>
            </w:r>
          </w:p>
          <w:p w:rsidR="00041039" w:rsidRDefault="001B26CB">
            <w:pPr>
              <w:pStyle w:val="TableParagraph"/>
              <w:spacing w:line="237" w:lineRule="auto"/>
              <w:ind w:left="157"/>
              <w:rPr>
                <w:sz w:val="14"/>
              </w:rPr>
            </w:pPr>
            <w:r>
              <w:rPr>
                <w:color w:val="231F20"/>
                <w:sz w:val="14"/>
              </w:rPr>
              <w:t>са ученицима, олакшавајући му одређивање обима и дубине обра­ де појединих наставних садржаја;</w:t>
            </w:r>
          </w:p>
          <w:p w:rsidR="00041039" w:rsidRDefault="001B26CB">
            <w:pPr>
              <w:pStyle w:val="TableParagraph"/>
              <w:numPr>
                <w:ilvl w:val="0"/>
                <w:numId w:val="972"/>
              </w:numPr>
              <w:tabs>
                <w:tab w:val="left" w:pos="158"/>
              </w:tabs>
              <w:spacing w:line="237" w:lineRule="auto"/>
              <w:ind w:right="163" w:hanging="99"/>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 xml:space="preserve">треба да послуже </w:t>
            </w:r>
            <w:r>
              <w:rPr>
                <w:color w:val="231F20"/>
                <w:sz w:val="14"/>
              </w:rPr>
              <w:t>да</w:t>
            </w:r>
            <w:r>
              <w:rPr>
                <w:color w:val="231F20"/>
                <w:spacing w:val="2"/>
                <w:sz w:val="14"/>
              </w:rPr>
              <w:t xml:space="preserve"> </w:t>
            </w:r>
            <w:r>
              <w:rPr>
                <w:color w:val="231F20"/>
                <w:sz w:val="14"/>
              </w:rPr>
              <w:t>нас­</w:t>
            </w:r>
          </w:p>
          <w:p w:rsidR="00041039" w:rsidRDefault="001B26CB">
            <w:pPr>
              <w:pStyle w:val="TableParagraph"/>
              <w:ind w:left="157"/>
              <w:rPr>
                <w:sz w:val="14"/>
              </w:rPr>
            </w:pPr>
            <w:r>
              <w:rPr>
                <w:color w:val="231F20"/>
                <w:sz w:val="14"/>
              </w:rPr>
              <w:t>тавни процес буде тако обликован да се наведени циљеви остваре;</w:t>
            </w:r>
          </w:p>
          <w:p w:rsidR="00041039" w:rsidRDefault="001B26CB">
            <w:pPr>
              <w:pStyle w:val="TableParagraph"/>
              <w:numPr>
                <w:ilvl w:val="0"/>
                <w:numId w:val="972"/>
              </w:numPr>
              <w:tabs>
                <w:tab w:val="left" w:pos="158"/>
              </w:tabs>
              <w:spacing w:line="160" w:lineRule="exact"/>
              <w:ind w:right="307" w:hanging="99"/>
              <w:rPr>
                <w:sz w:val="14"/>
              </w:rPr>
            </w:pPr>
            <w:r>
              <w:rPr>
                <w:color w:val="231F20"/>
                <w:sz w:val="14"/>
              </w:rPr>
              <w:t>садржаје треба</w:t>
            </w:r>
            <w:r>
              <w:rPr>
                <w:color w:val="231F20"/>
                <w:spacing w:val="-13"/>
                <w:sz w:val="14"/>
              </w:rPr>
              <w:t xml:space="preserve"> </w:t>
            </w:r>
            <w:r>
              <w:rPr>
                <w:color w:val="231F20"/>
                <w:sz w:val="14"/>
              </w:rPr>
              <w:t xml:space="preserve">прилагођавати ученицима, </w:t>
            </w:r>
            <w:r>
              <w:rPr>
                <w:color w:val="231F20"/>
                <w:spacing w:val="-3"/>
                <w:sz w:val="14"/>
              </w:rPr>
              <w:t xml:space="preserve">како </w:t>
            </w:r>
            <w:r>
              <w:rPr>
                <w:color w:val="231F20"/>
                <w:sz w:val="14"/>
              </w:rPr>
              <w:t>би најлакше и најбрже достигли наведене исходе;</w:t>
            </w:r>
          </w:p>
          <w:p w:rsidR="00041039" w:rsidRDefault="001B26CB">
            <w:pPr>
              <w:pStyle w:val="TableParagraph"/>
              <w:numPr>
                <w:ilvl w:val="0"/>
                <w:numId w:val="972"/>
              </w:numPr>
              <w:tabs>
                <w:tab w:val="left" w:pos="158"/>
              </w:tabs>
              <w:spacing w:line="160" w:lineRule="exact"/>
              <w:ind w:right="133" w:hanging="99"/>
              <w:rPr>
                <w:sz w:val="14"/>
              </w:rPr>
            </w:pPr>
            <w:r>
              <w:rPr>
                <w:color w:val="231F20"/>
                <w:sz w:val="14"/>
              </w:rPr>
              <w:t xml:space="preserve">наставник има слободу да сам одреди распоред и динамику активности за сваку </w:t>
            </w:r>
            <w:r>
              <w:rPr>
                <w:color w:val="231F20"/>
                <w:spacing w:val="-3"/>
                <w:sz w:val="14"/>
              </w:rPr>
              <w:t xml:space="preserve">тему, </w:t>
            </w:r>
            <w:r>
              <w:rPr>
                <w:color w:val="231F20"/>
                <w:sz w:val="14"/>
              </w:rPr>
              <w:t>уважа­ вајући циљеве</w:t>
            </w:r>
            <w:r>
              <w:rPr>
                <w:color w:val="231F20"/>
                <w:spacing w:val="-2"/>
                <w:sz w:val="14"/>
              </w:rPr>
              <w:t xml:space="preserve"> </w:t>
            </w:r>
            <w:r>
              <w:rPr>
                <w:color w:val="231F20"/>
                <w:sz w:val="14"/>
              </w:rPr>
              <w:t>предмета;</w:t>
            </w:r>
          </w:p>
        </w:tc>
      </w:tr>
    </w:tbl>
    <w:p w:rsidR="00041039" w:rsidRDefault="00041039">
      <w:pPr>
        <w:spacing w:line="160" w:lineRule="exact"/>
        <w:rPr>
          <w:sz w:val="14"/>
        </w:rPr>
        <w:sectPr w:rsidR="00041039">
          <w:type w:val="continuous"/>
          <w:pgSz w:w="11910" w:h="15710"/>
          <w:pgMar w:top="148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08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1B26CB">
            <w:pPr>
              <w:pStyle w:val="TableParagraph"/>
              <w:numPr>
                <w:ilvl w:val="0"/>
                <w:numId w:val="971"/>
              </w:numPr>
              <w:tabs>
                <w:tab w:val="left" w:pos="157"/>
              </w:tabs>
              <w:spacing w:before="8"/>
              <w:ind w:right="101" w:hanging="99"/>
              <w:rPr>
                <w:sz w:val="14"/>
              </w:rPr>
            </w:pPr>
            <w:r>
              <w:rPr>
                <w:color w:val="231F20"/>
                <w:sz w:val="14"/>
              </w:rPr>
              <w:t>Живот у српским градовима и селима у XIX и XX веку (примери Београда, Новог Сада, Ниша, Крагујевца...; основни типови градских насеља ­ град, варош,</w:t>
            </w:r>
            <w:r>
              <w:rPr>
                <w:color w:val="231F20"/>
                <w:spacing w:val="-16"/>
                <w:sz w:val="14"/>
              </w:rPr>
              <w:t xml:space="preserve"> </w:t>
            </w:r>
            <w:r>
              <w:rPr>
                <w:color w:val="231F20"/>
                <w:sz w:val="14"/>
              </w:rPr>
              <w:t>варошица,</w:t>
            </w:r>
          </w:p>
          <w:p w:rsidR="00041039" w:rsidRDefault="001B26CB">
            <w:pPr>
              <w:pStyle w:val="TableParagraph"/>
              <w:spacing w:line="237" w:lineRule="auto"/>
              <w:ind w:right="198"/>
              <w:rPr>
                <w:sz w:val="14"/>
              </w:rPr>
            </w:pPr>
            <w:r>
              <w:rPr>
                <w:color w:val="231F20"/>
                <w:sz w:val="14"/>
              </w:rPr>
              <w:t>„дивља” насеља; оријентални и европски утицаји; електрификација, јавни градски превоз ­ фијакери, трамваји, тролејбуси и аутобуси; основни типови сеоских насеља, обележја земљорадње, вино­ градарства и сточарства; задруга,</w:t>
            </w:r>
            <w:r>
              <w:rPr>
                <w:color w:val="231F20"/>
                <w:spacing w:val="-13"/>
                <w:sz w:val="14"/>
              </w:rPr>
              <w:t xml:space="preserve"> </w:t>
            </w:r>
            <w:r>
              <w:rPr>
                <w:color w:val="231F20"/>
                <w:sz w:val="14"/>
              </w:rPr>
              <w:t>моба,</w:t>
            </w:r>
          </w:p>
          <w:p w:rsidR="00041039" w:rsidRDefault="001B26CB">
            <w:pPr>
              <w:pStyle w:val="TableParagraph"/>
              <w:rPr>
                <w:sz w:val="14"/>
              </w:rPr>
            </w:pPr>
            <w:r>
              <w:rPr>
                <w:color w:val="231F20"/>
                <w:sz w:val="14"/>
              </w:rPr>
              <w:t>позајмица; пољопривредна ор</w:t>
            </w:r>
            <w:r>
              <w:rPr>
                <w:color w:val="231F20"/>
                <w:sz w:val="14"/>
              </w:rPr>
              <w:t>уђа, млинови, ветрењаче; миграције село ­ град, разлике</w:t>
            </w:r>
          </w:p>
          <w:p w:rsidR="00041039" w:rsidRDefault="001B26CB">
            <w:pPr>
              <w:pStyle w:val="TableParagraph"/>
              <w:ind w:right="60"/>
              <w:rPr>
                <w:sz w:val="14"/>
              </w:rPr>
            </w:pPr>
            <w:r>
              <w:rPr>
                <w:color w:val="231F20"/>
                <w:sz w:val="14"/>
              </w:rPr>
              <w:t>у становању код Срба: дворци, градске куће, конаци, сеоске куће; дворови владара</w:t>
            </w:r>
          </w:p>
          <w:p w:rsidR="00041039" w:rsidRDefault="001B26CB">
            <w:pPr>
              <w:pStyle w:val="TableParagraph"/>
              <w:ind w:right="61"/>
              <w:rPr>
                <w:sz w:val="14"/>
              </w:rPr>
            </w:pPr>
            <w:r>
              <w:rPr>
                <w:color w:val="231F20"/>
                <w:sz w:val="14"/>
              </w:rPr>
              <w:t xml:space="preserve">- Милоша, Михаила, Милана и Александра Обреновића, кнеза Александра и краљева Петра и Александра Карађорђевића, Николе </w:t>
            </w:r>
            <w:r>
              <w:rPr>
                <w:color w:val="231F20"/>
                <w:sz w:val="14"/>
              </w:rPr>
              <w:t>Петровића, резиденције Јосипа Броза).</w:t>
            </w:r>
          </w:p>
        </w:tc>
        <w:tc>
          <w:tcPr>
            <w:tcW w:w="2267" w:type="dxa"/>
            <w:vMerge w:val="restart"/>
          </w:tcPr>
          <w:p w:rsidR="00041039" w:rsidRDefault="001B26CB">
            <w:pPr>
              <w:pStyle w:val="TableParagraph"/>
              <w:numPr>
                <w:ilvl w:val="0"/>
                <w:numId w:val="970"/>
              </w:numPr>
              <w:tabs>
                <w:tab w:val="left" w:pos="158"/>
              </w:tabs>
              <w:spacing w:before="8"/>
              <w:ind w:right="139"/>
              <w:rPr>
                <w:sz w:val="14"/>
              </w:rPr>
            </w:pPr>
            <w:r>
              <w:rPr>
                <w:color w:val="231F20"/>
                <w:sz w:val="14"/>
              </w:rPr>
              <w:t>програм се може допунити</w:t>
            </w:r>
            <w:r>
              <w:rPr>
                <w:color w:val="231F20"/>
                <w:spacing w:val="-10"/>
                <w:sz w:val="14"/>
              </w:rPr>
              <w:t xml:space="preserve"> </w:t>
            </w:r>
            <w:r>
              <w:rPr>
                <w:color w:val="231F20"/>
                <w:sz w:val="14"/>
              </w:rPr>
              <w:t xml:space="preserve">садр­ жајима из прошлости завичаја, чиме се </w:t>
            </w:r>
            <w:r>
              <w:rPr>
                <w:color w:val="231F20"/>
                <w:spacing w:val="-5"/>
                <w:sz w:val="14"/>
              </w:rPr>
              <w:t xml:space="preserve">код </w:t>
            </w:r>
            <w:r>
              <w:rPr>
                <w:color w:val="231F20"/>
                <w:sz w:val="14"/>
              </w:rPr>
              <w:t>ученика постиже јаснија представа о историјској и културној баштини у њиховом крају (археолошка налазишта, музејске</w:t>
            </w:r>
            <w:r>
              <w:rPr>
                <w:color w:val="231F20"/>
                <w:spacing w:val="-1"/>
                <w:sz w:val="14"/>
              </w:rPr>
              <w:t xml:space="preserve"> </w:t>
            </w:r>
            <w:r>
              <w:rPr>
                <w:color w:val="231F20"/>
                <w:sz w:val="14"/>
              </w:rPr>
              <w:t>збирке);</w:t>
            </w:r>
          </w:p>
          <w:p w:rsidR="00041039" w:rsidRDefault="001B26CB">
            <w:pPr>
              <w:pStyle w:val="TableParagraph"/>
              <w:numPr>
                <w:ilvl w:val="0"/>
                <w:numId w:val="970"/>
              </w:numPr>
              <w:tabs>
                <w:tab w:val="left" w:pos="158"/>
              </w:tabs>
              <w:spacing w:line="153" w:lineRule="exact"/>
              <w:rPr>
                <w:sz w:val="14"/>
              </w:rPr>
            </w:pPr>
            <w:r>
              <w:rPr>
                <w:color w:val="231F20"/>
                <w:sz w:val="14"/>
              </w:rPr>
              <w:t>у школама на наставн</w:t>
            </w:r>
            <w:r>
              <w:rPr>
                <w:color w:val="231F20"/>
                <w:sz w:val="14"/>
              </w:rPr>
              <w:t>ом</w:t>
            </w:r>
            <w:r>
              <w:rPr>
                <w:color w:val="231F20"/>
                <w:spacing w:val="-10"/>
                <w:sz w:val="14"/>
              </w:rPr>
              <w:t xml:space="preserve"> </w:t>
            </w:r>
            <w:r>
              <w:rPr>
                <w:color w:val="231F20"/>
                <w:sz w:val="14"/>
              </w:rPr>
              <w:t>језику</w:t>
            </w:r>
          </w:p>
          <w:p w:rsidR="00041039" w:rsidRDefault="001B26CB">
            <w:pPr>
              <w:pStyle w:val="TableParagraph"/>
              <w:ind w:left="157" w:right="107"/>
              <w:rPr>
                <w:sz w:val="14"/>
              </w:rPr>
            </w:pPr>
            <w:r>
              <w:rPr>
                <w:color w:val="231F20"/>
                <w:sz w:val="14"/>
              </w:rPr>
              <w:t>неке од националних мањина могу се обрадити и проширени наставни садржаји из прошлости тог народа;</w:t>
            </w:r>
          </w:p>
          <w:p w:rsidR="00041039" w:rsidRDefault="001B26CB">
            <w:pPr>
              <w:pStyle w:val="TableParagraph"/>
              <w:numPr>
                <w:ilvl w:val="0"/>
                <w:numId w:val="970"/>
              </w:numPr>
              <w:tabs>
                <w:tab w:val="left" w:pos="158"/>
              </w:tabs>
              <w:spacing w:line="157" w:lineRule="exact"/>
              <w:rPr>
                <w:sz w:val="14"/>
              </w:rPr>
            </w:pPr>
            <w:r>
              <w:rPr>
                <w:color w:val="231F20"/>
                <w:sz w:val="14"/>
              </w:rPr>
              <w:t>важно је искористити</w:t>
            </w:r>
            <w:r>
              <w:rPr>
                <w:color w:val="231F20"/>
                <w:spacing w:val="-17"/>
                <w:sz w:val="14"/>
              </w:rPr>
              <w:t xml:space="preserve"> </w:t>
            </w:r>
            <w:r>
              <w:rPr>
                <w:color w:val="231F20"/>
                <w:sz w:val="14"/>
              </w:rPr>
              <w:t>велике</w:t>
            </w:r>
          </w:p>
          <w:p w:rsidR="00041039" w:rsidRDefault="001B26CB">
            <w:pPr>
              <w:pStyle w:val="TableParagraph"/>
              <w:ind w:left="157" w:right="111"/>
              <w:rPr>
                <w:sz w:val="14"/>
              </w:rPr>
            </w:pPr>
            <w:r>
              <w:rPr>
                <w:color w:val="231F20"/>
                <w:sz w:val="14"/>
              </w:rPr>
              <w:t>могућности које историја као наративни предмет пружа у под­ стицању ученичке радозналости, која је у основи сваког сазн</w:t>
            </w:r>
            <w:r>
              <w:rPr>
                <w:color w:val="231F20"/>
                <w:sz w:val="14"/>
              </w:rPr>
              <w:t>ања;</w:t>
            </w:r>
          </w:p>
          <w:p w:rsidR="00041039" w:rsidRDefault="001B26CB">
            <w:pPr>
              <w:pStyle w:val="TableParagraph"/>
              <w:numPr>
                <w:ilvl w:val="0"/>
                <w:numId w:val="970"/>
              </w:numPr>
              <w:tabs>
                <w:tab w:val="left" w:pos="158"/>
              </w:tabs>
              <w:spacing w:line="157" w:lineRule="exact"/>
              <w:rPr>
                <w:sz w:val="14"/>
              </w:rPr>
            </w:pPr>
            <w:r>
              <w:rPr>
                <w:color w:val="231F20"/>
                <w:sz w:val="14"/>
              </w:rPr>
              <w:t xml:space="preserve">наставни садржаји треба да </w:t>
            </w:r>
            <w:r>
              <w:rPr>
                <w:color w:val="231F20"/>
                <w:spacing w:val="-4"/>
                <w:sz w:val="14"/>
              </w:rPr>
              <w:t>буду</w:t>
            </w:r>
          </w:p>
          <w:p w:rsidR="00041039" w:rsidRDefault="001B26CB">
            <w:pPr>
              <w:pStyle w:val="TableParagraph"/>
              <w:ind w:left="157" w:right="18"/>
              <w:rPr>
                <w:sz w:val="14"/>
              </w:rPr>
            </w:pPr>
            <w:r>
              <w:rPr>
                <w:color w:val="231F20"/>
                <w:sz w:val="14"/>
              </w:rPr>
              <w:t>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rsidR="00041039" w:rsidRDefault="001B26CB">
            <w:pPr>
              <w:pStyle w:val="TableParagraph"/>
              <w:numPr>
                <w:ilvl w:val="0"/>
                <w:numId w:val="970"/>
              </w:numPr>
              <w:tabs>
                <w:tab w:val="left" w:pos="158"/>
              </w:tabs>
              <w:spacing w:line="154" w:lineRule="exact"/>
              <w:rPr>
                <w:sz w:val="14"/>
              </w:rPr>
            </w:pPr>
            <w:r>
              <w:rPr>
                <w:color w:val="231F20"/>
                <w:sz w:val="14"/>
              </w:rPr>
              <w:t>посебно место у настави</w:t>
            </w:r>
            <w:r>
              <w:rPr>
                <w:color w:val="231F20"/>
                <w:spacing w:val="-2"/>
                <w:sz w:val="14"/>
              </w:rPr>
              <w:t xml:space="preserve"> </w:t>
            </w:r>
            <w:r>
              <w:rPr>
                <w:color w:val="231F20"/>
                <w:sz w:val="14"/>
              </w:rPr>
              <w:t>историје</w:t>
            </w:r>
          </w:p>
          <w:p w:rsidR="00041039" w:rsidRDefault="001B26CB">
            <w:pPr>
              <w:pStyle w:val="TableParagraph"/>
              <w:ind w:left="157"/>
              <w:rPr>
                <w:sz w:val="14"/>
              </w:rPr>
            </w:pPr>
            <w:r>
              <w:rPr>
                <w:color w:val="231F20"/>
                <w:sz w:val="14"/>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041039" w:rsidRDefault="001B26CB">
            <w:pPr>
              <w:pStyle w:val="TableParagraph"/>
              <w:numPr>
                <w:ilvl w:val="0"/>
                <w:numId w:val="970"/>
              </w:numPr>
              <w:tabs>
                <w:tab w:val="left" w:pos="158"/>
              </w:tabs>
              <w:spacing w:line="154" w:lineRule="exact"/>
              <w:rPr>
                <w:sz w:val="14"/>
              </w:rPr>
            </w:pPr>
            <w:r>
              <w:rPr>
                <w:color w:val="231F20"/>
                <w:sz w:val="14"/>
              </w:rPr>
              <w:t>добро осмишљена питања н</w:t>
            </w:r>
            <w:r>
              <w:rPr>
                <w:color w:val="231F20"/>
                <w:sz w:val="14"/>
              </w:rPr>
              <w:t>астав­</w:t>
            </w:r>
          </w:p>
          <w:p w:rsidR="00041039" w:rsidRDefault="001B26CB">
            <w:pPr>
              <w:pStyle w:val="TableParagraph"/>
              <w:ind w:left="157"/>
              <w:rPr>
                <w:sz w:val="14"/>
              </w:rPr>
            </w:pPr>
            <w:r>
              <w:rPr>
                <w:color w:val="231F20"/>
                <w:sz w:val="14"/>
              </w:rPr>
              <w:t>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rsidR="00041039" w:rsidRDefault="001B26CB">
            <w:pPr>
              <w:pStyle w:val="TableParagraph"/>
              <w:numPr>
                <w:ilvl w:val="0"/>
                <w:numId w:val="970"/>
              </w:numPr>
              <w:tabs>
                <w:tab w:val="left" w:pos="158"/>
              </w:tabs>
              <w:spacing w:line="155" w:lineRule="exact"/>
              <w:rPr>
                <w:sz w:val="14"/>
              </w:rPr>
            </w:pPr>
            <w:r>
              <w:rPr>
                <w:color w:val="231F20"/>
                <w:sz w:val="14"/>
              </w:rPr>
              <w:t xml:space="preserve">у зависности </w:t>
            </w:r>
            <w:r>
              <w:rPr>
                <w:color w:val="231F20"/>
                <w:spacing w:val="-3"/>
                <w:sz w:val="14"/>
              </w:rPr>
              <w:t xml:space="preserve">од </w:t>
            </w:r>
            <w:r>
              <w:rPr>
                <w:color w:val="231F20"/>
                <w:sz w:val="14"/>
              </w:rPr>
              <w:t>циља који</w:t>
            </w:r>
            <w:r>
              <w:rPr>
                <w:color w:val="231F20"/>
                <w:spacing w:val="-4"/>
                <w:sz w:val="14"/>
              </w:rPr>
              <w:t xml:space="preserve"> </w:t>
            </w:r>
            <w:r>
              <w:rPr>
                <w:color w:val="231F20"/>
                <w:sz w:val="14"/>
              </w:rPr>
              <w:t>на­</w:t>
            </w:r>
          </w:p>
          <w:p w:rsidR="00041039" w:rsidRDefault="001B26CB">
            <w:pPr>
              <w:pStyle w:val="TableParagraph"/>
              <w:ind w:left="157" w:right="81"/>
              <w:rPr>
                <w:sz w:val="14"/>
              </w:rPr>
            </w:pPr>
            <w:r>
              <w:rPr>
                <w:color w:val="231F20"/>
                <w:sz w:val="14"/>
              </w:rPr>
              <w:t>ставник жели да оствари, питања могу имати р</w:t>
            </w:r>
            <w:r>
              <w:rPr>
                <w:color w:val="231F20"/>
                <w:sz w:val="14"/>
              </w:rPr>
              <w:t>азличите функције, као што су: фокусирање пажње на неки садржај или аспект, подстицање поређења, трагање</w:t>
            </w:r>
            <w:r>
              <w:rPr>
                <w:color w:val="231F20"/>
                <w:spacing w:val="-14"/>
                <w:sz w:val="14"/>
              </w:rPr>
              <w:t xml:space="preserve"> </w:t>
            </w:r>
            <w:r>
              <w:rPr>
                <w:color w:val="231F20"/>
                <w:sz w:val="14"/>
              </w:rPr>
              <w:t>за појашњењем;</w:t>
            </w:r>
          </w:p>
          <w:p w:rsidR="00041039" w:rsidRDefault="001B26CB">
            <w:pPr>
              <w:pStyle w:val="TableParagraph"/>
              <w:numPr>
                <w:ilvl w:val="0"/>
                <w:numId w:val="970"/>
              </w:numPr>
              <w:tabs>
                <w:tab w:val="left" w:pos="158"/>
              </w:tabs>
              <w:spacing w:line="155" w:lineRule="exact"/>
              <w:rPr>
                <w:sz w:val="14"/>
              </w:rPr>
            </w:pPr>
            <w:r>
              <w:rPr>
                <w:color w:val="231F20"/>
                <w:sz w:val="14"/>
              </w:rPr>
              <w:t>настава би требало да</w:t>
            </w:r>
            <w:r>
              <w:rPr>
                <w:color w:val="231F20"/>
                <w:spacing w:val="-4"/>
                <w:sz w:val="14"/>
              </w:rPr>
              <w:t xml:space="preserve"> </w:t>
            </w:r>
            <w:r>
              <w:rPr>
                <w:color w:val="231F20"/>
                <w:sz w:val="14"/>
              </w:rPr>
              <w:t>помогне</w:t>
            </w:r>
          </w:p>
          <w:p w:rsidR="00041039" w:rsidRDefault="001B26CB">
            <w:pPr>
              <w:pStyle w:val="TableParagraph"/>
              <w:ind w:left="157" w:right="104"/>
              <w:rPr>
                <w:sz w:val="14"/>
              </w:rPr>
            </w:pPr>
            <w:r>
              <w:rPr>
                <w:color w:val="231F20"/>
                <w:sz w:val="14"/>
              </w:rPr>
              <w:t>ученицима у стварању што јасније представе не само о томе шта се десило, већ и зашто се то десило и какве су последице из тога проистекле;</w:t>
            </w:r>
          </w:p>
          <w:p w:rsidR="00041039" w:rsidRDefault="001B26CB">
            <w:pPr>
              <w:pStyle w:val="TableParagraph"/>
              <w:numPr>
                <w:ilvl w:val="0"/>
                <w:numId w:val="970"/>
              </w:numPr>
              <w:tabs>
                <w:tab w:val="left" w:pos="158"/>
              </w:tabs>
              <w:spacing w:line="156" w:lineRule="exact"/>
              <w:rPr>
                <w:sz w:val="14"/>
              </w:rPr>
            </w:pPr>
            <w:r>
              <w:rPr>
                <w:color w:val="231F20"/>
                <w:sz w:val="14"/>
              </w:rPr>
              <w:t>у настави треба што</w:t>
            </w:r>
            <w:r>
              <w:rPr>
                <w:color w:val="231F20"/>
                <w:spacing w:val="-2"/>
                <w:sz w:val="14"/>
              </w:rPr>
              <w:t xml:space="preserve"> </w:t>
            </w:r>
            <w:r>
              <w:rPr>
                <w:color w:val="231F20"/>
                <w:sz w:val="14"/>
              </w:rPr>
              <w:t>више</w:t>
            </w:r>
          </w:p>
          <w:p w:rsidR="00041039" w:rsidRDefault="001B26CB">
            <w:pPr>
              <w:pStyle w:val="TableParagraph"/>
              <w:ind w:left="157" w:right="51"/>
              <w:rPr>
                <w:sz w:val="14"/>
              </w:rPr>
            </w:pPr>
            <w:r>
              <w:rPr>
                <w:color w:val="231F20"/>
                <w:sz w:val="14"/>
              </w:rPr>
              <w:t>користити различите облике организоване активности ученика (индивидуални рад, рад у пару, ра</w:t>
            </w:r>
            <w:r>
              <w:rPr>
                <w:color w:val="231F20"/>
                <w:sz w:val="14"/>
              </w:rPr>
              <w:t>д у групи, радионице или домаћи задатак);</w:t>
            </w:r>
          </w:p>
          <w:p w:rsidR="00041039" w:rsidRDefault="001B26CB">
            <w:pPr>
              <w:pStyle w:val="TableParagraph"/>
              <w:numPr>
                <w:ilvl w:val="0"/>
                <w:numId w:val="970"/>
              </w:numPr>
              <w:tabs>
                <w:tab w:val="left" w:pos="158"/>
              </w:tabs>
              <w:spacing w:line="156" w:lineRule="exact"/>
              <w:rPr>
                <w:sz w:val="14"/>
              </w:rPr>
            </w:pPr>
            <w:r>
              <w:rPr>
                <w:color w:val="231F20"/>
                <w:sz w:val="14"/>
              </w:rPr>
              <w:t>да би схватио догађаје из</w:t>
            </w:r>
            <w:r>
              <w:rPr>
                <w:color w:val="231F20"/>
                <w:spacing w:val="-15"/>
                <w:sz w:val="14"/>
              </w:rPr>
              <w:t xml:space="preserve"> </w:t>
            </w:r>
            <w:r>
              <w:rPr>
                <w:color w:val="231F20"/>
                <w:sz w:val="14"/>
              </w:rPr>
              <w:t>прошло­</w:t>
            </w:r>
          </w:p>
          <w:p w:rsidR="00041039" w:rsidRDefault="001B26CB">
            <w:pPr>
              <w:pStyle w:val="TableParagraph"/>
              <w:ind w:left="157" w:right="59"/>
              <w:rPr>
                <w:sz w:val="14"/>
              </w:rPr>
            </w:pPr>
            <w:r>
              <w:rPr>
                <w:color w:val="231F20"/>
                <w:sz w:val="14"/>
              </w:rPr>
              <w:t>сти, ученик треба да их „оживи у свом уму”, у чему велику помоћ може пружити употреба различи­ тих историјских текстова, карата и других извора историјских података (документарни и играни видео и дигитални материјали, музејски експонати, илустра­ ције), об</w:t>
            </w:r>
            <w:r>
              <w:rPr>
                <w:color w:val="231F20"/>
                <w:sz w:val="14"/>
              </w:rPr>
              <w:t>илажење културно ­ историјских споменика и посете установама културе;</w:t>
            </w:r>
          </w:p>
          <w:p w:rsidR="00041039" w:rsidRDefault="001B26CB">
            <w:pPr>
              <w:pStyle w:val="TableParagraph"/>
              <w:numPr>
                <w:ilvl w:val="0"/>
                <w:numId w:val="970"/>
              </w:numPr>
              <w:tabs>
                <w:tab w:val="left" w:pos="158"/>
              </w:tabs>
              <w:spacing w:line="150" w:lineRule="exact"/>
              <w:rPr>
                <w:sz w:val="14"/>
              </w:rPr>
            </w:pPr>
            <w:r>
              <w:rPr>
                <w:color w:val="231F20"/>
                <w:sz w:val="14"/>
              </w:rPr>
              <w:t>треба искористити и</w:t>
            </w:r>
            <w:r>
              <w:rPr>
                <w:color w:val="231F20"/>
                <w:spacing w:val="-3"/>
                <w:sz w:val="14"/>
              </w:rPr>
              <w:t xml:space="preserve"> </w:t>
            </w:r>
            <w:r>
              <w:rPr>
                <w:color w:val="231F20"/>
                <w:sz w:val="14"/>
              </w:rPr>
              <w:t>утицај</w:t>
            </w:r>
          </w:p>
          <w:p w:rsidR="00041039" w:rsidRDefault="001B26CB">
            <w:pPr>
              <w:pStyle w:val="TableParagraph"/>
              <w:spacing w:line="237" w:lineRule="auto"/>
              <w:ind w:left="157"/>
              <w:rPr>
                <w:sz w:val="14"/>
              </w:rPr>
            </w:pPr>
            <w:r>
              <w:rPr>
                <w:color w:val="231F20"/>
                <w:sz w:val="14"/>
              </w:rPr>
              <w:t>наставе историје на развијање језичке и говорне културе (бесед­ ништва), јер историјски садржаји богате и оплемењују језички фонд ученика;</w:t>
            </w:r>
          </w:p>
        </w:tc>
      </w:tr>
      <w:tr w:rsidR="00041039">
        <w:trPr>
          <w:trHeight w:val="4840"/>
        </w:trPr>
        <w:tc>
          <w:tcPr>
            <w:tcW w:w="1304" w:type="dxa"/>
          </w:tcPr>
          <w:p w:rsidR="00041039" w:rsidRDefault="001B26CB">
            <w:pPr>
              <w:pStyle w:val="TableParagraph"/>
              <w:spacing w:before="20"/>
              <w:ind w:left="56" w:right="27"/>
              <w:rPr>
                <w:sz w:val="14"/>
              </w:rPr>
            </w:pPr>
            <w:r>
              <w:rPr>
                <w:color w:val="231F20"/>
                <w:sz w:val="14"/>
              </w:rPr>
              <w:t>Култура одевања и и</w:t>
            </w:r>
            <w:r>
              <w:rPr>
                <w:color w:val="231F20"/>
                <w:sz w:val="14"/>
              </w:rPr>
              <w:t>схране некад и сад</w:t>
            </w:r>
          </w:p>
        </w:tc>
        <w:tc>
          <w:tcPr>
            <w:tcW w:w="1587" w:type="dxa"/>
          </w:tcPr>
          <w:p w:rsidR="00041039" w:rsidRDefault="001B26CB">
            <w:pPr>
              <w:pStyle w:val="TableParagraph"/>
              <w:numPr>
                <w:ilvl w:val="0"/>
                <w:numId w:val="969"/>
              </w:numPr>
              <w:tabs>
                <w:tab w:val="left" w:pos="157"/>
              </w:tabs>
              <w:spacing w:before="10"/>
              <w:ind w:right="102"/>
              <w:rPr>
                <w:sz w:val="14"/>
              </w:rPr>
            </w:pPr>
            <w:r>
              <w:rPr>
                <w:color w:val="231F20"/>
                <w:sz w:val="14"/>
              </w:rPr>
              <w:t>Проширивање знања о променама у</w:t>
            </w:r>
            <w:r>
              <w:rPr>
                <w:color w:val="231F20"/>
                <w:spacing w:val="-13"/>
                <w:sz w:val="14"/>
              </w:rPr>
              <w:t xml:space="preserve"> </w:t>
            </w:r>
            <w:r>
              <w:rPr>
                <w:color w:val="231F20"/>
                <w:sz w:val="14"/>
              </w:rPr>
              <w:t>начину одевања и исхрани кроз</w:t>
            </w:r>
            <w:r>
              <w:rPr>
                <w:color w:val="231F20"/>
                <w:spacing w:val="-2"/>
                <w:sz w:val="14"/>
              </w:rPr>
              <w:t xml:space="preserve"> </w:t>
            </w:r>
            <w:r>
              <w:rPr>
                <w:color w:val="231F20"/>
                <w:sz w:val="14"/>
              </w:rPr>
              <w:t>историју.</w:t>
            </w:r>
          </w:p>
          <w:p w:rsidR="00041039" w:rsidRDefault="001B26CB">
            <w:pPr>
              <w:pStyle w:val="TableParagraph"/>
              <w:numPr>
                <w:ilvl w:val="0"/>
                <w:numId w:val="969"/>
              </w:numPr>
              <w:tabs>
                <w:tab w:val="left" w:pos="157"/>
              </w:tabs>
              <w:spacing w:line="156" w:lineRule="exact"/>
              <w:rPr>
                <w:sz w:val="14"/>
              </w:rPr>
            </w:pPr>
            <w:r>
              <w:rPr>
                <w:color w:val="231F20"/>
                <w:spacing w:val="-3"/>
                <w:sz w:val="14"/>
              </w:rPr>
              <w:t xml:space="preserve">Уочавање </w:t>
            </w:r>
            <w:r>
              <w:rPr>
                <w:color w:val="231F20"/>
                <w:sz w:val="14"/>
              </w:rPr>
              <w:t>промена</w:t>
            </w:r>
            <w:r>
              <w:rPr>
                <w:color w:val="231F20"/>
                <w:spacing w:val="1"/>
                <w:sz w:val="14"/>
              </w:rPr>
              <w:t xml:space="preserve"> </w:t>
            </w:r>
            <w:r>
              <w:rPr>
                <w:color w:val="231F20"/>
                <w:sz w:val="14"/>
              </w:rPr>
              <w:t>у</w:t>
            </w:r>
          </w:p>
          <w:p w:rsidR="00041039" w:rsidRDefault="001B26CB">
            <w:pPr>
              <w:pStyle w:val="TableParagraph"/>
              <w:ind w:right="15"/>
              <w:rPr>
                <w:sz w:val="14"/>
              </w:rPr>
            </w:pPr>
            <w:r>
              <w:rPr>
                <w:color w:val="231F20"/>
                <w:sz w:val="14"/>
              </w:rPr>
              <w:t>начину одевања код Срба кроз историју.</w:t>
            </w:r>
          </w:p>
          <w:p w:rsidR="00041039" w:rsidRDefault="001B26CB">
            <w:pPr>
              <w:pStyle w:val="TableParagraph"/>
              <w:numPr>
                <w:ilvl w:val="0"/>
                <w:numId w:val="969"/>
              </w:numPr>
              <w:tabs>
                <w:tab w:val="left" w:pos="157"/>
              </w:tabs>
              <w:spacing w:line="160" w:lineRule="exact"/>
              <w:ind w:right="69"/>
              <w:rPr>
                <w:sz w:val="14"/>
              </w:rPr>
            </w:pPr>
            <w:r>
              <w:rPr>
                <w:color w:val="231F20"/>
                <w:spacing w:val="-3"/>
                <w:sz w:val="14"/>
              </w:rPr>
              <w:t xml:space="preserve">Уочавање улоге </w:t>
            </w:r>
            <w:r>
              <w:rPr>
                <w:color w:val="231F20"/>
                <w:sz w:val="14"/>
              </w:rPr>
              <w:t>различитих културних утицаја на начин одевања и исхрану</w:t>
            </w:r>
            <w:r>
              <w:rPr>
                <w:color w:val="231F20"/>
                <w:spacing w:val="-9"/>
                <w:sz w:val="14"/>
              </w:rPr>
              <w:t xml:space="preserve"> </w:t>
            </w:r>
            <w:r>
              <w:rPr>
                <w:color w:val="231F20"/>
                <w:spacing w:val="-5"/>
                <w:sz w:val="14"/>
              </w:rPr>
              <w:t xml:space="preserve">код </w:t>
            </w:r>
            <w:r>
              <w:rPr>
                <w:color w:val="231F20"/>
                <w:sz w:val="14"/>
              </w:rPr>
              <w:t>Срба кроз</w:t>
            </w:r>
            <w:r>
              <w:rPr>
                <w:color w:val="231F20"/>
                <w:spacing w:val="-5"/>
                <w:sz w:val="14"/>
              </w:rPr>
              <w:t xml:space="preserve"> </w:t>
            </w:r>
            <w:r>
              <w:rPr>
                <w:color w:val="231F20"/>
                <w:sz w:val="14"/>
              </w:rPr>
              <w:t>историју.</w:t>
            </w:r>
          </w:p>
        </w:tc>
        <w:tc>
          <w:tcPr>
            <w:tcW w:w="2551" w:type="dxa"/>
          </w:tcPr>
          <w:p w:rsidR="00041039" w:rsidRDefault="001B26CB">
            <w:pPr>
              <w:pStyle w:val="TableParagraph"/>
              <w:numPr>
                <w:ilvl w:val="0"/>
                <w:numId w:val="968"/>
              </w:numPr>
              <w:tabs>
                <w:tab w:val="left" w:pos="157"/>
              </w:tabs>
              <w:spacing w:before="10"/>
              <w:ind w:right="241" w:hanging="99"/>
              <w:rPr>
                <w:sz w:val="14"/>
              </w:rPr>
            </w:pPr>
            <w:r>
              <w:rPr>
                <w:color w:val="231F20"/>
                <w:sz w:val="14"/>
              </w:rPr>
              <w:t>уочи основна обележја културе</w:t>
            </w:r>
            <w:r>
              <w:rPr>
                <w:color w:val="231F20"/>
                <w:spacing w:val="-24"/>
                <w:sz w:val="14"/>
              </w:rPr>
              <w:t xml:space="preserve"> </w:t>
            </w:r>
            <w:r>
              <w:rPr>
                <w:color w:val="231F20"/>
                <w:sz w:val="14"/>
              </w:rPr>
              <w:t xml:space="preserve">оде­ вања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968"/>
              </w:numPr>
              <w:tabs>
                <w:tab w:val="left" w:pos="157"/>
              </w:tabs>
              <w:spacing w:line="160" w:lineRule="exact"/>
              <w:ind w:right="64" w:hanging="99"/>
              <w:rPr>
                <w:sz w:val="14"/>
              </w:rPr>
            </w:pPr>
            <w:r>
              <w:rPr>
                <w:color w:val="231F20"/>
                <w:sz w:val="14"/>
              </w:rPr>
              <w:t xml:space="preserve">идентификује основна обележја </w:t>
            </w:r>
            <w:r>
              <w:rPr>
                <w:color w:val="231F20"/>
                <w:spacing w:val="-3"/>
                <w:sz w:val="14"/>
              </w:rPr>
              <w:t xml:space="preserve">култу­ </w:t>
            </w:r>
            <w:r>
              <w:rPr>
                <w:color w:val="231F20"/>
                <w:sz w:val="14"/>
              </w:rPr>
              <w:t xml:space="preserve">ре одевања </w:t>
            </w:r>
            <w:r>
              <w:rPr>
                <w:color w:val="231F20"/>
                <w:spacing w:val="-5"/>
                <w:sz w:val="14"/>
              </w:rPr>
              <w:t xml:space="preserve">код </w:t>
            </w:r>
            <w:r>
              <w:rPr>
                <w:color w:val="231F20"/>
                <w:sz w:val="14"/>
              </w:rPr>
              <w:t>Срба кроз историју;</w:t>
            </w:r>
          </w:p>
          <w:p w:rsidR="00041039" w:rsidRDefault="001B26CB">
            <w:pPr>
              <w:pStyle w:val="TableParagraph"/>
              <w:numPr>
                <w:ilvl w:val="0"/>
                <w:numId w:val="968"/>
              </w:numPr>
              <w:tabs>
                <w:tab w:val="left" w:pos="157"/>
              </w:tabs>
              <w:spacing w:line="160" w:lineRule="exact"/>
              <w:ind w:right="294" w:hanging="99"/>
              <w:rPr>
                <w:sz w:val="14"/>
              </w:rPr>
            </w:pPr>
            <w:r>
              <w:rPr>
                <w:color w:val="231F20"/>
                <w:sz w:val="14"/>
              </w:rPr>
              <w:t>наведе и упореди разлике у</w:t>
            </w:r>
            <w:r>
              <w:rPr>
                <w:color w:val="231F20"/>
                <w:spacing w:val="-19"/>
                <w:sz w:val="14"/>
              </w:rPr>
              <w:t xml:space="preserve"> </w:t>
            </w:r>
            <w:r>
              <w:rPr>
                <w:color w:val="231F20"/>
                <w:sz w:val="14"/>
              </w:rPr>
              <w:t>начину одевања између села и града кроз историју;</w:t>
            </w:r>
          </w:p>
          <w:p w:rsidR="00041039" w:rsidRDefault="001B26CB">
            <w:pPr>
              <w:pStyle w:val="TableParagraph"/>
              <w:numPr>
                <w:ilvl w:val="0"/>
                <w:numId w:val="968"/>
              </w:numPr>
              <w:tabs>
                <w:tab w:val="left" w:pos="157"/>
              </w:tabs>
              <w:spacing w:line="160" w:lineRule="exact"/>
              <w:ind w:right="141" w:hanging="99"/>
              <w:rPr>
                <w:sz w:val="14"/>
              </w:rPr>
            </w:pPr>
            <w:r>
              <w:rPr>
                <w:color w:val="231F20"/>
                <w:sz w:val="14"/>
              </w:rPr>
              <w:t>наведе и упореди разлике у начину одевања између припадника</w:t>
            </w:r>
            <w:r>
              <w:rPr>
                <w:color w:val="231F20"/>
                <w:spacing w:val="-19"/>
                <w:sz w:val="14"/>
              </w:rPr>
              <w:t xml:space="preserve"> </w:t>
            </w:r>
            <w:r>
              <w:rPr>
                <w:color w:val="231F20"/>
                <w:sz w:val="14"/>
              </w:rPr>
              <w:t>различи­ тих друштвених група кроз</w:t>
            </w:r>
            <w:r>
              <w:rPr>
                <w:color w:val="231F20"/>
                <w:spacing w:val="-12"/>
                <w:sz w:val="14"/>
              </w:rPr>
              <w:t xml:space="preserve"> </w:t>
            </w:r>
            <w:r>
              <w:rPr>
                <w:color w:val="231F20"/>
                <w:sz w:val="14"/>
              </w:rPr>
              <w:t>историју;</w:t>
            </w:r>
          </w:p>
          <w:p w:rsidR="00041039" w:rsidRDefault="001B26CB">
            <w:pPr>
              <w:pStyle w:val="TableParagraph"/>
              <w:numPr>
                <w:ilvl w:val="0"/>
                <w:numId w:val="968"/>
              </w:numPr>
              <w:tabs>
                <w:tab w:val="left" w:pos="157"/>
              </w:tabs>
              <w:spacing w:line="160" w:lineRule="exact"/>
              <w:ind w:right="91" w:hanging="99"/>
              <w:rPr>
                <w:sz w:val="14"/>
              </w:rPr>
            </w:pPr>
            <w:r>
              <w:rPr>
                <w:color w:val="231F20"/>
                <w:sz w:val="14"/>
              </w:rPr>
              <w:t>препозна и разуме утицаје</w:t>
            </w:r>
            <w:r>
              <w:rPr>
                <w:color w:val="231F20"/>
                <w:spacing w:val="-13"/>
                <w:sz w:val="14"/>
              </w:rPr>
              <w:t xml:space="preserve"> </w:t>
            </w:r>
            <w:r>
              <w:rPr>
                <w:color w:val="231F20"/>
                <w:sz w:val="14"/>
              </w:rPr>
              <w:t xml:space="preserve">различитих култура на начин одевања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968"/>
              </w:numPr>
              <w:tabs>
                <w:tab w:val="left" w:pos="157"/>
              </w:tabs>
              <w:spacing w:before="1" w:line="160" w:lineRule="exact"/>
              <w:ind w:right="91" w:hanging="99"/>
              <w:rPr>
                <w:sz w:val="14"/>
              </w:rPr>
            </w:pPr>
            <w:r>
              <w:rPr>
                <w:color w:val="231F20"/>
                <w:sz w:val="14"/>
              </w:rPr>
              <w:t>препозна и разуме утицаје</w:t>
            </w:r>
            <w:r>
              <w:rPr>
                <w:color w:val="231F20"/>
                <w:spacing w:val="-13"/>
                <w:sz w:val="14"/>
              </w:rPr>
              <w:t xml:space="preserve"> </w:t>
            </w:r>
            <w:r>
              <w:rPr>
                <w:color w:val="231F20"/>
                <w:sz w:val="14"/>
              </w:rPr>
              <w:t xml:space="preserve">различитих култура на начин исхране </w:t>
            </w:r>
            <w:r>
              <w:rPr>
                <w:color w:val="231F20"/>
                <w:spacing w:val="-5"/>
                <w:sz w:val="14"/>
              </w:rPr>
              <w:t>код</w:t>
            </w:r>
            <w:r>
              <w:rPr>
                <w:color w:val="231F20"/>
                <w:spacing w:val="-5"/>
                <w:sz w:val="14"/>
              </w:rPr>
              <w:t xml:space="preserve">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968"/>
              </w:numPr>
              <w:tabs>
                <w:tab w:val="left" w:pos="157"/>
              </w:tabs>
              <w:spacing w:line="160" w:lineRule="exact"/>
              <w:ind w:right="286" w:hanging="99"/>
              <w:rPr>
                <w:sz w:val="14"/>
              </w:rPr>
            </w:pPr>
            <w:r>
              <w:rPr>
                <w:color w:val="231F20"/>
                <w:sz w:val="14"/>
              </w:rPr>
              <w:t>наведе и упореди карактеристике исхране у различитим</w:t>
            </w:r>
            <w:r>
              <w:rPr>
                <w:color w:val="231F20"/>
                <w:spacing w:val="-7"/>
                <w:sz w:val="14"/>
              </w:rPr>
              <w:t xml:space="preserve"> </w:t>
            </w:r>
            <w:r>
              <w:rPr>
                <w:color w:val="231F20"/>
                <w:sz w:val="14"/>
              </w:rPr>
              <w:t>историјским периодима;</w:t>
            </w:r>
          </w:p>
        </w:tc>
        <w:tc>
          <w:tcPr>
            <w:tcW w:w="2834" w:type="dxa"/>
          </w:tcPr>
          <w:p w:rsidR="00041039" w:rsidRDefault="001B26CB">
            <w:pPr>
              <w:pStyle w:val="TableParagraph"/>
              <w:numPr>
                <w:ilvl w:val="0"/>
                <w:numId w:val="967"/>
              </w:numPr>
              <w:tabs>
                <w:tab w:val="left" w:pos="157"/>
              </w:tabs>
              <w:spacing w:before="10"/>
              <w:ind w:right="206" w:hanging="99"/>
              <w:rPr>
                <w:sz w:val="14"/>
              </w:rPr>
            </w:pPr>
            <w:r>
              <w:rPr>
                <w:color w:val="231F20"/>
                <w:spacing w:val="-3"/>
                <w:sz w:val="14"/>
              </w:rPr>
              <w:t xml:space="preserve">Култура </w:t>
            </w:r>
            <w:r>
              <w:rPr>
                <w:color w:val="231F20"/>
                <w:sz w:val="14"/>
              </w:rPr>
              <w:t xml:space="preserve">одевања </w:t>
            </w:r>
            <w:r>
              <w:rPr>
                <w:color w:val="231F20"/>
                <w:spacing w:val="-3"/>
                <w:sz w:val="14"/>
              </w:rPr>
              <w:t xml:space="preserve">од </w:t>
            </w:r>
            <w:r>
              <w:rPr>
                <w:color w:val="231F20"/>
                <w:sz w:val="14"/>
              </w:rPr>
              <w:t>антике до данас (ма­ теријали, начин обраде и бојење,</w:t>
            </w:r>
            <w:r>
              <w:rPr>
                <w:color w:val="231F20"/>
                <w:spacing w:val="-14"/>
                <w:sz w:val="14"/>
              </w:rPr>
              <w:t xml:space="preserve"> </w:t>
            </w:r>
            <w:r>
              <w:rPr>
                <w:color w:val="231F20"/>
                <w:sz w:val="14"/>
              </w:rPr>
              <w:t xml:space="preserve">разлике у одевању </w:t>
            </w:r>
            <w:r>
              <w:rPr>
                <w:color w:val="231F20"/>
                <w:spacing w:val="-5"/>
                <w:sz w:val="14"/>
              </w:rPr>
              <w:t xml:space="preserve">код </w:t>
            </w:r>
            <w:r>
              <w:rPr>
                <w:color w:val="231F20"/>
                <w:sz w:val="14"/>
              </w:rPr>
              <w:t>припадника различитих друштвених група; појава</w:t>
            </w:r>
            <w:r>
              <w:rPr>
                <w:color w:val="231F20"/>
                <w:spacing w:val="-6"/>
                <w:sz w:val="14"/>
              </w:rPr>
              <w:t xml:space="preserve"> </w:t>
            </w:r>
            <w:r>
              <w:rPr>
                <w:color w:val="231F20"/>
                <w:sz w:val="14"/>
              </w:rPr>
              <w:t>вештачких</w:t>
            </w:r>
          </w:p>
          <w:p w:rsidR="00041039" w:rsidRDefault="001B26CB">
            <w:pPr>
              <w:pStyle w:val="TableParagraph"/>
              <w:spacing w:line="237" w:lineRule="auto"/>
              <w:rPr>
                <w:sz w:val="14"/>
              </w:rPr>
            </w:pPr>
            <w:r>
              <w:rPr>
                <w:color w:val="231F20"/>
                <w:sz w:val="14"/>
              </w:rPr>
              <w:t>материј</w:t>
            </w:r>
            <w:r>
              <w:rPr>
                <w:color w:val="231F20"/>
                <w:sz w:val="14"/>
              </w:rPr>
              <w:t>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rsidR="00041039" w:rsidRDefault="001B26CB">
            <w:pPr>
              <w:pStyle w:val="TableParagraph"/>
              <w:numPr>
                <w:ilvl w:val="0"/>
                <w:numId w:val="967"/>
              </w:numPr>
              <w:tabs>
                <w:tab w:val="left" w:pos="157"/>
              </w:tabs>
              <w:spacing w:line="237" w:lineRule="auto"/>
              <w:ind w:right="65" w:hanging="99"/>
              <w:rPr>
                <w:sz w:val="14"/>
              </w:rPr>
            </w:pPr>
            <w:r>
              <w:rPr>
                <w:color w:val="231F20"/>
                <w:sz w:val="14"/>
              </w:rPr>
              <w:t xml:space="preserve">Одевање </w:t>
            </w:r>
            <w:r>
              <w:rPr>
                <w:color w:val="231F20"/>
                <w:spacing w:val="-5"/>
                <w:sz w:val="14"/>
              </w:rPr>
              <w:t xml:space="preserve">код </w:t>
            </w:r>
            <w:r>
              <w:rPr>
                <w:color w:val="231F20"/>
                <w:sz w:val="14"/>
              </w:rPr>
              <w:t xml:space="preserve">Срба кроз историју (мате­ ријали и тканине ­ кудеља, конопља, чоја, крзно, </w:t>
            </w:r>
            <w:r>
              <w:rPr>
                <w:color w:val="231F20"/>
                <w:spacing w:val="-3"/>
                <w:sz w:val="14"/>
              </w:rPr>
              <w:t xml:space="preserve">кожа, </w:t>
            </w:r>
            <w:r>
              <w:rPr>
                <w:color w:val="231F20"/>
                <w:sz w:val="14"/>
              </w:rPr>
              <w:t xml:space="preserve">лан, свила; разлика у одевању </w:t>
            </w:r>
            <w:r>
              <w:rPr>
                <w:color w:val="231F20"/>
                <w:spacing w:val="-5"/>
                <w:sz w:val="14"/>
              </w:rPr>
              <w:t xml:space="preserve">код </w:t>
            </w:r>
            <w:r>
              <w:rPr>
                <w:color w:val="231F20"/>
                <w:sz w:val="14"/>
              </w:rPr>
              <w:t xml:space="preserve">Срба у Хабзбуршком и Османском </w:t>
            </w:r>
            <w:r>
              <w:rPr>
                <w:color w:val="231F20"/>
                <w:spacing w:val="-3"/>
                <w:sz w:val="14"/>
              </w:rPr>
              <w:t xml:space="preserve">царству, </w:t>
            </w:r>
            <w:r>
              <w:rPr>
                <w:color w:val="231F20"/>
                <w:sz w:val="14"/>
              </w:rPr>
              <w:t xml:space="preserve">као и </w:t>
            </w:r>
            <w:r>
              <w:rPr>
                <w:color w:val="231F20"/>
                <w:spacing w:val="-5"/>
                <w:sz w:val="14"/>
              </w:rPr>
              <w:t xml:space="preserve">код </w:t>
            </w:r>
            <w:r>
              <w:rPr>
                <w:color w:val="231F20"/>
                <w:sz w:val="14"/>
              </w:rPr>
              <w:t>припадника различитих друштвених група; грађанско одело и европски узори у облачењу српског</w:t>
            </w:r>
            <w:r>
              <w:rPr>
                <w:color w:val="231F20"/>
                <w:spacing w:val="-25"/>
                <w:sz w:val="14"/>
              </w:rPr>
              <w:t xml:space="preserve"> </w:t>
            </w:r>
            <w:r>
              <w:rPr>
                <w:color w:val="231F20"/>
                <w:sz w:val="14"/>
              </w:rPr>
              <w:t>грађан­ ског сталежа; униформе државних чинов­ ника, лекара, цариника, професора Лицеја и гимназија у обновљеној Србији; народна ношња, савремени начин</w:t>
            </w:r>
            <w:r>
              <w:rPr>
                <w:color w:val="231F20"/>
                <w:spacing w:val="-5"/>
                <w:sz w:val="14"/>
              </w:rPr>
              <w:t xml:space="preserve"> </w:t>
            </w:r>
            <w:r>
              <w:rPr>
                <w:color w:val="231F20"/>
                <w:sz w:val="14"/>
              </w:rPr>
              <w:t>одевања).</w:t>
            </w:r>
          </w:p>
          <w:p w:rsidR="00041039" w:rsidRDefault="001B26CB">
            <w:pPr>
              <w:pStyle w:val="TableParagraph"/>
              <w:numPr>
                <w:ilvl w:val="0"/>
                <w:numId w:val="967"/>
              </w:numPr>
              <w:tabs>
                <w:tab w:val="left" w:pos="157"/>
              </w:tabs>
              <w:spacing w:line="237" w:lineRule="auto"/>
              <w:ind w:right="342" w:hanging="99"/>
              <w:rPr>
                <w:sz w:val="14"/>
              </w:rPr>
            </w:pPr>
            <w:r>
              <w:rPr>
                <w:color w:val="231F20"/>
                <w:spacing w:val="-3"/>
                <w:sz w:val="14"/>
              </w:rPr>
              <w:t xml:space="preserve">Култура </w:t>
            </w:r>
            <w:r>
              <w:rPr>
                <w:color w:val="231F20"/>
                <w:sz w:val="14"/>
              </w:rPr>
              <w:t xml:space="preserve">исхране </w:t>
            </w:r>
            <w:r>
              <w:rPr>
                <w:color w:val="231F20"/>
                <w:spacing w:val="-3"/>
                <w:sz w:val="14"/>
              </w:rPr>
              <w:t xml:space="preserve">од </w:t>
            </w:r>
            <w:r>
              <w:rPr>
                <w:color w:val="231F20"/>
                <w:sz w:val="14"/>
              </w:rPr>
              <w:t>антике до данас (сакупљање и припремање</w:t>
            </w:r>
            <w:r>
              <w:rPr>
                <w:color w:val="231F20"/>
                <w:spacing w:val="-17"/>
                <w:sz w:val="14"/>
              </w:rPr>
              <w:t xml:space="preserve"> </w:t>
            </w:r>
            <w:r>
              <w:rPr>
                <w:color w:val="231F20"/>
                <w:sz w:val="14"/>
              </w:rPr>
              <w:t>намирница,</w:t>
            </w:r>
          </w:p>
          <w:p w:rsidR="00041039" w:rsidRDefault="001B26CB">
            <w:pPr>
              <w:pStyle w:val="TableParagraph"/>
              <w:spacing w:line="237" w:lineRule="auto"/>
              <w:ind w:right="13"/>
              <w:rPr>
                <w:sz w:val="14"/>
              </w:rPr>
            </w:pPr>
            <w:r>
              <w:rPr>
                <w:color w:val="231F20"/>
                <w:sz w:val="14"/>
              </w:rPr>
              <w:t>лов и риболов, начини чувања хране, пиће, реконструкција могућег јеловника ­ двор, град, село; посни и мрсни циклуси; наци­ онална кухиња код Срба, утицаји других кухиња; конзумирање кафе и дувана, употреба источњачких зачина, понашање за столом, прибор за</w:t>
            </w:r>
            <w:r>
              <w:rPr>
                <w:color w:val="231F20"/>
                <w:sz w:val="14"/>
              </w:rPr>
              <w:t xml:space="preserve"> јело; кухињски апарати; ресторани „брзе хране”).</w:t>
            </w:r>
          </w:p>
        </w:tc>
        <w:tc>
          <w:tcPr>
            <w:tcW w:w="2267" w:type="dxa"/>
            <w:vMerge/>
            <w:tcBorders>
              <w:top w:val="nil"/>
            </w:tcBorders>
          </w:tcPr>
          <w:p w:rsidR="00041039" w:rsidRDefault="00041039">
            <w:pPr>
              <w:rPr>
                <w:sz w:val="2"/>
                <w:szCs w:val="2"/>
              </w:rPr>
            </w:pPr>
          </w:p>
        </w:tc>
      </w:tr>
      <w:tr w:rsidR="00041039">
        <w:trPr>
          <w:trHeight w:val="4419"/>
        </w:trPr>
        <w:tc>
          <w:tcPr>
            <w:tcW w:w="1304" w:type="dxa"/>
          </w:tcPr>
          <w:p w:rsidR="00041039" w:rsidRDefault="001B26CB">
            <w:pPr>
              <w:pStyle w:val="TableParagraph"/>
              <w:spacing w:before="21"/>
              <w:ind w:left="56" w:right="174"/>
              <w:rPr>
                <w:sz w:val="14"/>
              </w:rPr>
            </w:pPr>
            <w:r>
              <w:rPr>
                <w:color w:val="231F20"/>
                <w:sz w:val="14"/>
              </w:rPr>
              <w:t>Војска, оружје и рат некад и сад</w:t>
            </w:r>
          </w:p>
        </w:tc>
        <w:tc>
          <w:tcPr>
            <w:tcW w:w="1587" w:type="dxa"/>
          </w:tcPr>
          <w:p w:rsidR="00041039" w:rsidRDefault="001B26CB">
            <w:pPr>
              <w:pStyle w:val="TableParagraph"/>
              <w:numPr>
                <w:ilvl w:val="0"/>
                <w:numId w:val="966"/>
              </w:numPr>
              <w:tabs>
                <w:tab w:val="left" w:pos="157"/>
              </w:tabs>
              <w:spacing w:before="11"/>
              <w:ind w:right="115"/>
              <w:rPr>
                <w:sz w:val="14"/>
              </w:rPr>
            </w:pPr>
            <w:r>
              <w:rPr>
                <w:color w:val="231F20"/>
                <w:sz w:val="14"/>
              </w:rPr>
              <w:t>Проширивање знања о развоју војне тех­ нике и променама у начину ратовања</w:t>
            </w:r>
            <w:r>
              <w:rPr>
                <w:color w:val="231F20"/>
                <w:spacing w:val="-14"/>
                <w:sz w:val="14"/>
              </w:rPr>
              <w:t xml:space="preserve"> </w:t>
            </w:r>
            <w:r>
              <w:rPr>
                <w:color w:val="231F20"/>
                <w:sz w:val="14"/>
              </w:rPr>
              <w:t>кроз историју.</w:t>
            </w:r>
          </w:p>
          <w:p w:rsidR="00041039" w:rsidRDefault="001B26CB">
            <w:pPr>
              <w:pStyle w:val="TableParagraph"/>
              <w:numPr>
                <w:ilvl w:val="0"/>
                <w:numId w:val="966"/>
              </w:numPr>
              <w:tabs>
                <w:tab w:val="left" w:pos="157"/>
              </w:tabs>
              <w:spacing w:line="155"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121"/>
              <w:jc w:val="both"/>
              <w:rPr>
                <w:sz w:val="14"/>
              </w:rPr>
            </w:pPr>
            <w:r>
              <w:rPr>
                <w:color w:val="231F20"/>
                <w:sz w:val="14"/>
              </w:rPr>
              <w:t>развоју војске и</w:t>
            </w:r>
            <w:r>
              <w:rPr>
                <w:color w:val="231F20"/>
                <w:spacing w:val="-15"/>
                <w:sz w:val="14"/>
              </w:rPr>
              <w:t xml:space="preserve"> </w:t>
            </w:r>
            <w:r>
              <w:rPr>
                <w:color w:val="231F20"/>
                <w:sz w:val="14"/>
              </w:rPr>
              <w:t xml:space="preserve">начи­ ну ратовања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966"/>
              </w:numPr>
              <w:tabs>
                <w:tab w:val="left" w:pos="157"/>
              </w:tabs>
              <w:spacing w:line="158" w:lineRule="exact"/>
              <w:rPr>
                <w:sz w:val="14"/>
              </w:rPr>
            </w:pPr>
            <w:r>
              <w:rPr>
                <w:color w:val="231F20"/>
                <w:sz w:val="14"/>
              </w:rPr>
              <w:t>Развијање</w:t>
            </w:r>
            <w:r>
              <w:rPr>
                <w:color w:val="231F20"/>
                <w:spacing w:val="-4"/>
                <w:sz w:val="14"/>
              </w:rPr>
              <w:t xml:space="preserve"> </w:t>
            </w:r>
            <w:r>
              <w:rPr>
                <w:color w:val="231F20"/>
                <w:sz w:val="14"/>
              </w:rPr>
              <w:t>критичког</w:t>
            </w:r>
          </w:p>
          <w:p w:rsidR="00041039" w:rsidRDefault="001B26CB">
            <w:pPr>
              <w:pStyle w:val="TableParagraph"/>
              <w:spacing w:line="160" w:lineRule="exact"/>
              <w:rPr>
                <w:sz w:val="14"/>
              </w:rPr>
            </w:pPr>
            <w:r>
              <w:rPr>
                <w:color w:val="231F20"/>
                <w:sz w:val="14"/>
              </w:rPr>
              <w:t>става према рату.</w:t>
            </w:r>
          </w:p>
        </w:tc>
        <w:tc>
          <w:tcPr>
            <w:tcW w:w="2551" w:type="dxa"/>
          </w:tcPr>
          <w:p w:rsidR="00041039" w:rsidRDefault="001B26CB">
            <w:pPr>
              <w:pStyle w:val="TableParagraph"/>
              <w:numPr>
                <w:ilvl w:val="0"/>
                <w:numId w:val="965"/>
              </w:numPr>
              <w:tabs>
                <w:tab w:val="left" w:pos="157"/>
              </w:tabs>
              <w:spacing w:before="11"/>
              <w:ind w:right="143" w:hanging="99"/>
              <w:rPr>
                <w:sz w:val="14"/>
              </w:rPr>
            </w:pPr>
            <w:r>
              <w:rPr>
                <w:color w:val="231F20"/>
                <w:sz w:val="14"/>
              </w:rPr>
              <w:t>уочи основна обележја ратова и</w:t>
            </w:r>
            <w:r>
              <w:rPr>
                <w:color w:val="231F20"/>
                <w:spacing w:val="-18"/>
                <w:sz w:val="14"/>
              </w:rPr>
              <w:t xml:space="preserve"> </w:t>
            </w:r>
            <w:r>
              <w:rPr>
                <w:color w:val="231F20"/>
                <w:sz w:val="14"/>
              </w:rPr>
              <w:t xml:space="preserve">војне организације и технике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965"/>
              </w:numPr>
              <w:tabs>
                <w:tab w:val="left" w:pos="157"/>
              </w:tabs>
              <w:spacing w:line="157" w:lineRule="exact"/>
              <w:ind w:hanging="99"/>
              <w:rPr>
                <w:sz w:val="14"/>
              </w:rPr>
            </w:pPr>
            <w:r>
              <w:rPr>
                <w:color w:val="231F20"/>
                <w:sz w:val="14"/>
              </w:rPr>
              <w:t>разуме утицај научно ­</w:t>
            </w:r>
            <w:r>
              <w:rPr>
                <w:color w:val="231F20"/>
                <w:spacing w:val="-11"/>
                <w:sz w:val="14"/>
              </w:rPr>
              <w:t xml:space="preserve"> </w:t>
            </w:r>
            <w:r>
              <w:rPr>
                <w:color w:val="231F20"/>
                <w:sz w:val="14"/>
              </w:rPr>
              <w:t>технолошких</w:t>
            </w:r>
          </w:p>
          <w:p w:rsidR="00041039" w:rsidRDefault="001B26CB">
            <w:pPr>
              <w:pStyle w:val="TableParagraph"/>
              <w:rPr>
                <w:sz w:val="14"/>
              </w:rPr>
            </w:pPr>
            <w:r>
              <w:rPr>
                <w:color w:val="231F20"/>
                <w:sz w:val="14"/>
              </w:rPr>
              <w:t>достигнућа на промене у начину рато­ вања кроз историју;</w:t>
            </w:r>
          </w:p>
          <w:p w:rsidR="00041039" w:rsidRDefault="001B26CB">
            <w:pPr>
              <w:pStyle w:val="TableParagraph"/>
              <w:numPr>
                <w:ilvl w:val="0"/>
                <w:numId w:val="965"/>
              </w:numPr>
              <w:tabs>
                <w:tab w:val="left" w:pos="157"/>
              </w:tabs>
              <w:spacing w:line="160" w:lineRule="exact"/>
              <w:ind w:right="141" w:hanging="99"/>
              <w:rPr>
                <w:sz w:val="14"/>
              </w:rPr>
            </w:pPr>
            <w:r>
              <w:rPr>
                <w:color w:val="231F20"/>
                <w:sz w:val="14"/>
              </w:rPr>
              <w:t>уочи карактеристике развоја оружја</w:t>
            </w:r>
            <w:r>
              <w:rPr>
                <w:color w:val="231F20"/>
                <w:spacing w:val="-21"/>
                <w:sz w:val="14"/>
              </w:rPr>
              <w:t xml:space="preserve"> </w:t>
            </w:r>
            <w:r>
              <w:rPr>
                <w:color w:val="231F20"/>
                <w:sz w:val="14"/>
              </w:rPr>
              <w:t>и војне</w:t>
            </w:r>
            <w:r>
              <w:rPr>
                <w:color w:val="231F20"/>
                <w:spacing w:val="-1"/>
                <w:sz w:val="14"/>
              </w:rPr>
              <w:t xml:space="preserve"> </w:t>
            </w:r>
            <w:r>
              <w:rPr>
                <w:color w:val="231F20"/>
                <w:sz w:val="14"/>
              </w:rPr>
              <w:t>организације;</w:t>
            </w:r>
          </w:p>
          <w:p w:rsidR="00041039" w:rsidRDefault="001B26CB">
            <w:pPr>
              <w:pStyle w:val="TableParagraph"/>
              <w:numPr>
                <w:ilvl w:val="0"/>
                <w:numId w:val="965"/>
              </w:numPr>
              <w:tabs>
                <w:tab w:val="left" w:pos="157"/>
              </w:tabs>
              <w:spacing w:line="160" w:lineRule="exact"/>
              <w:ind w:right="64" w:hanging="99"/>
              <w:rPr>
                <w:sz w:val="14"/>
              </w:rPr>
            </w:pPr>
            <w:r>
              <w:rPr>
                <w:color w:val="231F20"/>
                <w:sz w:val="14"/>
              </w:rPr>
              <w:t>уочи основна обележја војне</w:t>
            </w:r>
            <w:r>
              <w:rPr>
                <w:color w:val="231F20"/>
                <w:spacing w:val="-9"/>
                <w:sz w:val="14"/>
              </w:rPr>
              <w:t xml:space="preserve"> </w:t>
            </w:r>
            <w:r>
              <w:rPr>
                <w:color w:val="231F20"/>
                <w:sz w:val="14"/>
              </w:rPr>
              <w:t xml:space="preserve">организа­ ције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965"/>
              </w:numPr>
              <w:tabs>
                <w:tab w:val="left" w:pos="157"/>
              </w:tabs>
              <w:spacing w:line="160" w:lineRule="exact"/>
              <w:ind w:right="55" w:hanging="99"/>
              <w:rPr>
                <w:sz w:val="14"/>
              </w:rPr>
            </w:pPr>
            <w:r>
              <w:rPr>
                <w:color w:val="231F20"/>
                <w:sz w:val="14"/>
              </w:rPr>
              <w:t>наведе и упореди карактеристике</w:t>
            </w:r>
            <w:r>
              <w:rPr>
                <w:color w:val="231F20"/>
                <w:spacing w:val="-22"/>
                <w:sz w:val="14"/>
              </w:rPr>
              <w:t xml:space="preserve"> </w:t>
            </w:r>
            <w:r>
              <w:rPr>
                <w:color w:val="231F20"/>
                <w:sz w:val="14"/>
              </w:rPr>
              <w:t>рато­ вања у различитим</w:t>
            </w:r>
            <w:r>
              <w:rPr>
                <w:color w:val="231F20"/>
                <w:spacing w:val="-3"/>
                <w:sz w:val="14"/>
              </w:rPr>
              <w:t xml:space="preserve"> </w:t>
            </w:r>
            <w:r>
              <w:rPr>
                <w:color w:val="231F20"/>
                <w:sz w:val="14"/>
              </w:rPr>
              <w:t>периодима;</w:t>
            </w:r>
          </w:p>
          <w:p w:rsidR="00041039" w:rsidRDefault="001B26CB">
            <w:pPr>
              <w:pStyle w:val="TableParagraph"/>
              <w:numPr>
                <w:ilvl w:val="0"/>
                <w:numId w:val="965"/>
              </w:numPr>
              <w:tabs>
                <w:tab w:val="left" w:pos="157"/>
              </w:tabs>
              <w:spacing w:line="160" w:lineRule="exact"/>
              <w:ind w:right="82" w:hanging="99"/>
              <w:rPr>
                <w:sz w:val="14"/>
              </w:rPr>
            </w:pPr>
            <w:r>
              <w:rPr>
                <w:color w:val="231F20"/>
                <w:sz w:val="14"/>
              </w:rPr>
              <w:t>разуме</w:t>
            </w:r>
            <w:r>
              <w:rPr>
                <w:color w:val="231F20"/>
                <w:spacing w:val="-7"/>
                <w:sz w:val="14"/>
              </w:rPr>
              <w:t xml:space="preserve"> </w:t>
            </w:r>
            <w:r>
              <w:rPr>
                <w:color w:val="231F20"/>
                <w:sz w:val="14"/>
              </w:rPr>
              <w:t>улогу</w:t>
            </w:r>
            <w:r>
              <w:rPr>
                <w:color w:val="231F20"/>
                <w:spacing w:val="-8"/>
                <w:sz w:val="14"/>
              </w:rPr>
              <w:t xml:space="preserve"> </w:t>
            </w:r>
            <w:r>
              <w:rPr>
                <w:color w:val="231F20"/>
                <w:sz w:val="14"/>
              </w:rPr>
              <w:t>појединца</w:t>
            </w:r>
            <w:r>
              <w:rPr>
                <w:color w:val="231F20"/>
                <w:spacing w:val="-7"/>
                <w:sz w:val="14"/>
              </w:rPr>
              <w:t xml:space="preserve"> </w:t>
            </w:r>
            <w:r>
              <w:rPr>
                <w:color w:val="231F20"/>
                <w:sz w:val="14"/>
              </w:rPr>
              <w:t>у</w:t>
            </w:r>
            <w:r>
              <w:rPr>
                <w:color w:val="231F20"/>
                <w:spacing w:val="-7"/>
                <w:sz w:val="14"/>
              </w:rPr>
              <w:t xml:space="preserve"> </w:t>
            </w:r>
            <w:r>
              <w:rPr>
                <w:color w:val="231F20"/>
                <w:sz w:val="14"/>
              </w:rPr>
              <w:t>рату</w:t>
            </w:r>
            <w:r>
              <w:rPr>
                <w:color w:val="231F20"/>
                <w:spacing w:val="-7"/>
                <w:sz w:val="14"/>
              </w:rPr>
              <w:t xml:space="preserve"> </w:t>
            </w:r>
            <w:r>
              <w:rPr>
                <w:color w:val="231F20"/>
                <w:sz w:val="14"/>
              </w:rPr>
              <w:t>(војско­ вођа, официра, регрута,</w:t>
            </w:r>
            <w:r>
              <w:rPr>
                <w:color w:val="231F20"/>
                <w:spacing w:val="-3"/>
                <w:sz w:val="14"/>
              </w:rPr>
              <w:t xml:space="preserve"> </w:t>
            </w:r>
            <w:r>
              <w:rPr>
                <w:color w:val="231F20"/>
                <w:sz w:val="14"/>
              </w:rPr>
              <w:t>цивила);</w:t>
            </w:r>
          </w:p>
          <w:p w:rsidR="00041039" w:rsidRDefault="001B26CB">
            <w:pPr>
              <w:pStyle w:val="TableParagraph"/>
              <w:numPr>
                <w:ilvl w:val="0"/>
                <w:numId w:val="965"/>
              </w:numPr>
              <w:tabs>
                <w:tab w:val="left" w:pos="157"/>
              </w:tabs>
              <w:spacing w:line="160" w:lineRule="exact"/>
              <w:ind w:right="135" w:hanging="99"/>
              <w:rPr>
                <w:sz w:val="14"/>
              </w:rPr>
            </w:pPr>
            <w:r>
              <w:rPr>
                <w:color w:val="231F20"/>
                <w:sz w:val="14"/>
              </w:rPr>
              <w:t>аргументовано дискутује о ра</w:t>
            </w:r>
            <w:r>
              <w:rPr>
                <w:color w:val="231F20"/>
                <w:sz w:val="14"/>
              </w:rPr>
              <w:t>ту и</w:t>
            </w:r>
            <w:r>
              <w:rPr>
                <w:color w:val="231F20"/>
                <w:spacing w:val="-20"/>
                <w:sz w:val="14"/>
              </w:rPr>
              <w:t xml:space="preserve"> </w:t>
            </w:r>
            <w:r>
              <w:rPr>
                <w:color w:val="231F20"/>
                <w:sz w:val="14"/>
              </w:rPr>
              <w:t>ње­ говим последицама на живот</w:t>
            </w:r>
            <w:r>
              <w:rPr>
                <w:color w:val="231F20"/>
                <w:spacing w:val="-11"/>
                <w:sz w:val="14"/>
              </w:rPr>
              <w:t xml:space="preserve"> </w:t>
            </w:r>
            <w:r>
              <w:rPr>
                <w:color w:val="231F20"/>
                <w:sz w:val="14"/>
              </w:rPr>
              <w:t>људи.</w:t>
            </w:r>
          </w:p>
        </w:tc>
        <w:tc>
          <w:tcPr>
            <w:tcW w:w="2834" w:type="dxa"/>
          </w:tcPr>
          <w:p w:rsidR="00041039" w:rsidRDefault="001B26CB">
            <w:pPr>
              <w:pStyle w:val="TableParagraph"/>
              <w:numPr>
                <w:ilvl w:val="0"/>
                <w:numId w:val="964"/>
              </w:numPr>
              <w:tabs>
                <w:tab w:val="left" w:pos="157"/>
              </w:tabs>
              <w:spacing w:before="11"/>
              <w:ind w:right="45" w:hanging="99"/>
              <w:rPr>
                <w:sz w:val="14"/>
              </w:rPr>
            </w:pPr>
            <w:r>
              <w:rPr>
                <w:color w:val="231F20"/>
                <w:sz w:val="14"/>
              </w:rPr>
              <w:t xml:space="preserve">Војска, оружје и рат кроз историју (вој­ ничка опрема ­ одећа, оклопи, штитови, оружје; родови војске, опсадне справе, увежбавање ратничких вештина, витешки турнири, мегдани, појава ватреног оружја ­ </w:t>
            </w:r>
            <w:r>
              <w:rPr>
                <w:color w:val="231F20"/>
                <w:spacing w:val="-3"/>
                <w:sz w:val="14"/>
              </w:rPr>
              <w:t xml:space="preserve">од </w:t>
            </w:r>
            <w:r>
              <w:rPr>
                <w:color w:val="231F20"/>
                <w:sz w:val="14"/>
              </w:rPr>
              <w:t>примитивних</w:t>
            </w:r>
            <w:r>
              <w:rPr>
                <w:color w:val="231F20"/>
                <w:sz w:val="14"/>
              </w:rPr>
              <w:t xml:space="preserve"> пушака аркебуза и</w:t>
            </w:r>
            <w:r>
              <w:rPr>
                <w:color w:val="231F20"/>
                <w:spacing w:val="-25"/>
                <w:sz w:val="14"/>
              </w:rPr>
              <w:t xml:space="preserve"> </w:t>
            </w:r>
            <w:r>
              <w:rPr>
                <w:color w:val="231F20"/>
                <w:sz w:val="14"/>
              </w:rPr>
              <w:t>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 народне конвенције о</w:t>
            </w:r>
            <w:r>
              <w:rPr>
                <w:color w:val="231F20"/>
                <w:sz w:val="14"/>
              </w:rPr>
              <w:t xml:space="preserve"> правилима ратовања, највеће</w:t>
            </w:r>
            <w:r>
              <w:rPr>
                <w:color w:val="231F20"/>
                <w:spacing w:val="-1"/>
                <w:sz w:val="14"/>
              </w:rPr>
              <w:t xml:space="preserve"> </w:t>
            </w:r>
            <w:r>
              <w:rPr>
                <w:color w:val="231F20"/>
                <w:sz w:val="14"/>
              </w:rPr>
              <w:t>војсковође).</w:t>
            </w:r>
          </w:p>
          <w:p w:rsidR="00041039" w:rsidRDefault="001B26CB">
            <w:pPr>
              <w:pStyle w:val="TableParagraph"/>
              <w:numPr>
                <w:ilvl w:val="0"/>
                <w:numId w:val="964"/>
              </w:numPr>
              <w:tabs>
                <w:tab w:val="left" w:pos="157"/>
              </w:tabs>
              <w:spacing w:line="148" w:lineRule="exact"/>
              <w:ind w:hanging="99"/>
              <w:rPr>
                <w:sz w:val="14"/>
              </w:rPr>
            </w:pPr>
            <w:r>
              <w:rPr>
                <w:color w:val="231F20"/>
                <w:sz w:val="14"/>
              </w:rPr>
              <w:t xml:space="preserve">Војска </w:t>
            </w:r>
            <w:r>
              <w:rPr>
                <w:color w:val="231F20"/>
                <w:spacing w:val="-5"/>
                <w:sz w:val="14"/>
              </w:rPr>
              <w:t xml:space="preserve">код </w:t>
            </w:r>
            <w:r>
              <w:rPr>
                <w:color w:val="231F20"/>
                <w:sz w:val="14"/>
              </w:rPr>
              <w:t>Срба кроз историју</w:t>
            </w:r>
            <w:r>
              <w:rPr>
                <w:color w:val="231F20"/>
                <w:spacing w:val="1"/>
                <w:sz w:val="14"/>
              </w:rPr>
              <w:t xml:space="preserve"> </w:t>
            </w:r>
            <w:r>
              <w:rPr>
                <w:color w:val="231F20"/>
                <w:sz w:val="14"/>
              </w:rPr>
              <w:t>(српска</w:t>
            </w:r>
          </w:p>
          <w:p w:rsidR="00041039" w:rsidRDefault="001B26CB">
            <w:pPr>
              <w:pStyle w:val="TableParagraph"/>
              <w:ind w:right="396"/>
              <w:rPr>
                <w:sz w:val="14"/>
              </w:rPr>
            </w:pPr>
            <w:r>
              <w:rPr>
                <w:color w:val="231F20"/>
                <w:sz w:val="14"/>
              </w:rPr>
              <w:t>војска у средњем веку ­ опрема, на­ чин ратовања; Срби у аустријској и</w:t>
            </w:r>
          </w:p>
          <w:p w:rsidR="00041039" w:rsidRDefault="001B26CB">
            <w:pPr>
              <w:pStyle w:val="TableParagraph"/>
              <w:rPr>
                <w:sz w:val="14"/>
              </w:rPr>
            </w:pPr>
            <w:r>
              <w:rPr>
                <w:color w:val="231F20"/>
                <w:sz w:val="14"/>
              </w:rPr>
              <w:t>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560"/>
        </w:trPr>
        <w:tc>
          <w:tcPr>
            <w:tcW w:w="1304" w:type="dxa"/>
          </w:tcPr>
          <w:p w:rsidR="00041039" w:rsidRDefault="001B26CB">
            <w:pPr>
              <w:pStyle w:val="TableParagraph"/>
              <w:spacing w:before="18"/>
              <w:ind w:left="56" w:right="37"/>
              <w:rPr>
                <w:sz w:val="14"/>
              </w:rPr>
            </w:pPr>
            <w:r>
              <w:rPr>
                <w:color w:val="231F20"/>
                <w:sz w:val="14"/>
              </w:rPr>
              <w:lastRenderedPageBreak/>
              <w:t>Новац и банке кроз историју</w:t>
            </w:r>
          </w:p>
        </w:tc>
        <w:tc>
          <w:tcPr>
            <w:tcW w:w="1587" w:type="dxa"/>
          </w:tcPr>
          <w:p w:rsidR="00041039" w:rsidRDefault="001B26CB">
            <w:pPr>
              <w:pStyle w:val="TableParagraph"/>
              <w:numPr>
                <w:ilvl w:val="0"/>
                <w:numId w:val="963"/>
              </w:numPr>
              <w:tabs>
                <w:tab w:val="left" w:pos="157"/>
              </w:tabs>
              <w:spacing w:before="8"/>
              <w:ind w:right="53"/>
              <w:rPr>
                <w:sz w:val="14"/>
              </w:rPr>
            </w:pPr>
            <w:r>
              <w:rPr>
                <w:color w:val="231F20"/>
                <w:sz w:val="14"/>
              </w:rPr>
              <w:t>Проширивање знања о улози новца и банака</w:t>
            </w:r>
            <w:r>
              <w:rPr>
                <w:color w:val="231F20"/>
                <w:spacing w:val="-19"/>
                <w:sz w:val="14"/>
              </w:rPr>
              <w:t xml:space="preserve"> </w:t>
            </w:r>
            <w:r>
              <w:rPr>
                <w:color w:val="231F20"/>
                <w:sz w:val="14"/>
              </w:rPr>
              <w:t>у економским системи­ ма кроз</w:t>
            </w:r>
            <w:r>
              <w:rPr>
                <w:color w:val="231F20"/>
                <w:spacing w:val="-4"/>
                <w:sz w:val="14"/>
              </w:rPr>
              <w:t xml:space="preserve"> </w:t>
            </w:r>
            <w:r>
              <w:rPr>
                <w:color w:val="231F20"/>
                <w:sz w:val="14"/>
              </w:rPr>
              <w:t>историју.</w:t>
            </w:r>
          </w:p>
          <w:p w:rsidR="00041039" w:rsidRDefault="001B26CB">
            <w:pPr>
              <w:pStyle w:val="TableParagraph"/>
              <w:numPr>
                <w:ilvl w:val="0"/>
                <w:numId w:val="963"/>
              </w:numPr>
              <w:tabs>
                <w:tab w:val="left" w:pos="157"/>
              </w:tabs>
              <w:spacing w:line="156" w:lineRule="exact"/>
              <w:rPr>
                <w:sz w:val="14"/>
              </w:rPr>
            </w:pPr>
            <w:r>
              <w:rPr>
                <w:color w:val="231F20"/>
                <w:spacing w:val="-3"/>
                <w:sz w:val="14"/>
              </w:rPr>
              <w:t xml:space="preserve">Усвајање </w:t>
            </w:r>
            <w:r>
              <w:rPr>
                <w:color w:val="231F20"/>
                <w:sz w:val="14"/>
              </w:rPr>
              <w:t>знања</w:t>
            </w:r>
            <w:r>
              <w:rPr>
                <w:color w:val="231F20"/>
                <w:spacing w:val="1"/>
                <w:sz w:val="14"/>
              </w:rPr>
              <w:t xml:space="preserve"> </w:t>
            </w:r>
            <w:r>
              <w:rPr>
                <w:color w:val="231F20"/>
                <w:sz w:val="14"/>
              </w:rPr>
              <w:t>о</w:t>
            </w:r>
          </w:p>
          <w:p w:rsidR="00041039" w:rsidRDefault="001B26CB">
            <w:pPr>
              <w:pStyle w:val="TableParagraph"/>
              <w:ind w:right="15"/>
              <w:rPr>
                <w:sz w:val="14"/>
              </w:rPr>
            </w:pPr>
            <w:r>
              <w:rPr>
                <w:color w:val="231F20"/>
                <w:sz w:val="14"/>
              </w:rPr>
              <w:t>улози новца и банака у свакодневном животу некад и сад.</w:t>
            </w:r>
          </w:p>
          <w:p w:rsidR="00041039" w:rsidRDefault="001B26CB">
            <w:pPr>
              <w:pStyle w:val="TableParagraph"/>
              <w:numPr>
                <w:ilvl w:val="0"/>
                <w:numId w:val="963"/>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историји новца и развоју банкарства код Срба.</w:t>
            </w:r>
          </w:p>
        </w:tc>
        <w:tc>
          <w:tcPr>
            <w:tcW w:w="2551" w:type="dxa"/>
          </w:tcPr>
          <w:p w:rsidR="00041039" w:rsidRDefault="001B26CB">
            <w:pPr>
              <w:pStyle w:val="TableParagraph"/>
              <w:numPr>
                <w:ilvl w:val="0"/>
                <w:numId w:val="962"/>
              </w:numPr>
              <w:tabs>
                <w:tab w:val="left" w:pos="157"/>
              </w:tabs>
              <w:spacing w:before="8"/>
              <w:ind w:right="139" w:hanging="99"/>
              <w:rPr>
                <w:sz w:val="14"/>
              </w:rPr>
            </w:pPr>
            <w:r>
              <w:rPr>
                <w:color w:val="231F20"/>
                <w:sz w:val="14"/>
              </w:rPr>
              <w:t>уочи основне карактеристике и</w:t>
            </w:r>
            <w:r>
              <w:rPr>
                <w:color w:val="231F20"/>
                <w:spacing w:val="-19"/>
                <w:sz w:val="14"/>
              </w:rPr>
              <w:t xml:space="preserve"> </w:t>
            </w:r>
            <w:r>
              <w:rPr>
                <w:color w:val="231F20"/>
                <w:sz w:val="14"/>
              </w:rPr>
              <w:t xml:space="preserve">функ­ </w:t>
            </w:r>
            <w:r>
              <w:rPr>
                <w:color w:val="231F20"/>
                <w:sz w:val="14"/>
              </w:rPr>
              <w:t xml:space="preserve">ције новца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962"/>
              </w:numPr>
              <w:tabs>
                <w:tab w:val="left" w:pos="157"/>
              </w:tabs>
              <w:spacing w:line="157" w:lineRule="exact"/>
              <w:ind w:hanging="99"/>
              <w:rPr>
                <w:sz w:val="14"/>
              </w:rPr>
            </w:pPr>
            <w:r>
              <w:rPr>
                <w:color w:val="231F20"/>
                <w:sz w:val="14"/>
              </w:rPr>
              <w:t>изведе закључак о улози и</w:t>
            </w:r>
            <w:r>
              <w:rPr>
                <w:color w:val="231F20"/>
                <w:spacing w:val="-13"/>
                <w:sz w:val="14"/>
              </w:rPr>
              <w:t xml:space="preserve"> </w:t>
            </w:r>
            <w:r>
              <w:rPr>
                <w:color w:val="231F20"/>
                <w:sz w:val="14"/>
              </w:rPr>
              <w:t>значају</w:t>
            </w:r>
          </w:p>
          <w:p w:rsidR="00041039" w:rsidRDefault="001B26CB">
            <w:pPr>
              <w:pStyle w:val="TableParagraph"/>
              <w:spacing w:line="155" w:lineRule="exact"/>
              <w:rPr>
                <w:sz w:val="14"/>
              </w:rPr>
            </w:pPr>
            <w:r>
              <w:rPr>
                <w:color w:val="231F20"/>
                <w:sz w:val="14"/>
              </w:rPr>
              <w:t>банака кроз историју;</w:t>
            </w:r>
          </w:p>
          <w:p w:rsidR="00041039" w:rsidRDefault="001B26CB">
            <w:pPr>
              <w:pStyle w:val="TableParagraph"/>
              <w:numPr>
                <w:ilvl w:val="0"/>
                <w:numId w:val="962"/>
              </w:numPr>
              <w:tabs>
                <w:tab w:val="left" w:pos="157"/>
              </w:tabs>
              <w:spacing w:line="237" w:lineRule="auto"/>
              <w:ind w:right="61" w:hanging="99"/>
              <w:rPr>
                <w:sz w:val="14"/>
              </w:rPr>
            </w:pPr>
            <w:r>
              <w:rPr>
                <w:color w:val="231F20"/>
                <w:sz w:val="14"/>
              </w:rPr>
              <w:t>уочи основна обележја историјата</w:t>
            </w:r>
            <w:r>
              <w:rPr>
                <w:color w:val="231F20"/>
                <w:spacing w:val="-14"/>
                <w:sz w:val="14"/>
              </w:rPr>
              <w:t xml:space="preserve"> </w:t>
            </w:r>
            <w:r>
              <w:rPr>
                <w:color w:val="231F20"/>
                <w:sz w:val="14"/>
              </w:rPr>
              <w:t>срп­ ског новца и банака кроз</w:t>
            </w:r>
            <w:r>
              <w:rPr>
                <w:color w:val="231F20"/>
                <w:spacing w:val="-11"/>
                <w:sz w:val="14"/>
              </w:rPr>
              <w:t xml:space="preserve"> </w:t>
            </w:r>
            <w:r>
              <w:rPr>
                <w:color w:val="231F20"/>
                <w:sz w:val="14"/>
              </w:rPr>
              <w:t>историју;</w:t>
            </w:r>
          </w:p>
          <w:p w:rsidR="00041039" w:rsidRDefault="001B26CB">
            <w:pPr>
              <w:pStyle w:val="TableParagraph"/>
              <w:numPr>
                <w:ilvl w:val="0"/>
                <w:numId w:val="962"/>
              </w:numPr>
              <w:tabs>
                <w:tab w:val="left" w:pos="157"/>
              </w:tabs>
              <w:spacing w:line="160" w:lineRule="exact"/>
              <w:ind w:right="371" w:hanging="99"/>
              <w:rPr>
                <w:sz w:val="14"/>
              </w:rPr>
            </w:pPr>
            <w:r>
              <w:rPr>
                <w:color w:val="231F20"/>
                <w:sz w:val="14"/>
              </w:rPr>
              <w:t>примени стечено знање о новцу</w:t>
            </w:r>
            <w:r>
              <w:rPr>
                <w:color w:val="231F20"/>
                <w:spacing w:val="-20"/>
                <w:sz w:val="14"/>
              </w:rPr>
              <w:t xml:space="preserve"> </w:t>
            </w:r>
            <w:r>
              <w:rPr>
                <w:color w:val="231F20"/>
                <w:sz w:val="14"/>
              </w:rPr>
              <w:t>и банкама у свакодневном</w:t>
            </w:r>
            <w:r>
              <w:rPr>
                <w:color w:val="231F20"/>
                <w:spacing w:val="-12"/>
                <w:sz w:val="14"/>
              </w:rPr>
              <w:t xml:space="preserve"> </w:t>
            </w:r>
            <w:r>
              <w:rPr>
                <w:color w:val="231F20"/>
                <w:spacing w:val="-3"/>
                <w:sz w:val="14"/>
              </w:rPr>
              <w:t>животу.</w:t>
            </w:r>
          </w:p>
        </w:tc>
        <w:tc>
          <w:tcPr>
            <w:tcW w:w="2834" w:type="dxa"/>
          </w:tcPr>
          <w:p w:rsidR="00041039" w:rsidRDefault="001B26CB">
            <w:pPr>
              <w:pStyle w:val="TableParagraph"/>
              <w:numPr>
                <w:ilvl w:val="0"/>
                <w:numId w:val="961"/>
              </w:numPr>
              <w:tabs>
                <w:tab w:val="left" w:pos="157"/>
              </w:tabs>
              <w:spacing w:before="8"/>
              <w:ind w:right="51" w:hanging="99"/>
              <w:rPr>
                <w:sz w:val="14"/>
              </w:rPr>
            </w:pPr>
            <w:r>
              <w:rPr>
                <w:color w:val="231F20"/>
                <w:sz w:val="14"/>
              </w:rPr>
              <w:t xml:space="preserve">Нумизматика (као </w:t>
            </w:r>
            <w:r>
              <w:rPr>
                <w:color w:val="231F20"/>
                <w:spacing w:val="-3"/>
                <w:sz w:val="14"/>
              </w:rPr>
              <w:t xml:space="preserve">наука </w:t>
            </w:r>
            <w:r>
              <w:rPr>
                <w:color w:val="231F20"/>
                <w:sz w:val="14"/>
              </w:rPr>
              <w:t>о постанку,</w:t>
            </w:r>
            <w:r>
              <w:rPr>
                <w:color w:val="231F20"/>
                <w:spacing w:val="-23"/>
                <w:sz w:val="14"/>
              </w:rPr>
              <w:t xml:space="preserve"> </w:t>
            </w:r>
            <w:r>
              <w:rPr>
                <w:color w:val="231F20"/>
                <w:sz w:val="14"/>
              </w:rPr>
              <w:t>развоју и употреби кованог</w:t>
            </w:r>
            <w:r>
              <w:rPr>
                <w:color w:val="231F20"/>
                <w:spacing w:val="-3"/>
                <w:sz w:val="14"/>
              </w:rPr>
              <w:t xml:space="preserve"> </w:t>
            </w:r>
            <w:r>
              <w:rPr>
                <w:color w:val="231F20"/>
                <w:sz w:val="14"/>
              </w:rPr>
              <w:t>новца).</w:t>
            </w:r>
          </w:p>
          <w:p w:rsidR="00041039" w:rsidRDefault="001B26CB">
            <w:pPr>
              <w:pStyle w:val="TableParagraph"/>
              <w:numPr>
                <w:ilvl w:val="0"/>
                <w:numId w:val="961"/>
              </w:numPr>
              <w:tabs>
                <w:tab w:val="left" w:pos="157"/>
              </w:tabs>
              <w:spacing w:line="160" w:lineRule="exact"/>
              <w:ind w:right="77" w:hanging="99"/>
              <w:rPr>
                <w:sz w:val="14"/>
              </w:rPr>
            </w:pPr>
            <w:r>
              <w:rPr>
                <w:color w:val="231F20"/>
                <w:sz w:val="14"/>
              </w:rPr>
              <w:t>Новац и банке у садашњости (новац као мера вредности, платежно средство и</w:t>
            </w:r>
            <w:r>
              <w:rPr>
                <w:color w:val="231F20"/>
                <w:spacing w:val="-16"/>
                <w:sz w:val="14"/>
              </w:rPr>
              <w:t xml:space="preserve"> </w:t>
            </w:r>
            <w:r>
              <w:rPr>
                <w:color w:val="231F20"/>
                <w:sz w:val="14"/>
              </w:rPr>
              <w:t xml:space="preserve">једно </w:t>
            </w:r>
            <w:r>
              <w:rPr>
                <w:color w:val="231F20"/>
                <w:spacing w:val="-3"/>
                <w:sz w:val="14"/>
              </w:rPr>
              <w:t xml:space="preserve">од </w:t>
            </w:r>
            <w:r>
              <w:rPr>
                <w:color w:val="231F20"/>
                <w:sz w:val="14"/>
              </w:rPr>
              <w:t>обележја самосталности државе; банка као предузеће које тргује новцем;</w:t>
            </w:r>
            <w:r>
              <w:rPr>
                <w:color w:val="231F20"/>
                <w:spacing w:val="-19"/>
                <w:sz w:val="14"/>
              </w:rPr>
              <w:t xml:space="preserve"> </w:t>
            </w:r>
            <w:r>
              <w:rPr>
                <w:color w:val="231F20"/>
                <w:sz w:val="14"/>
              </w:rPr>
              <w:t>појмови</w:t>
            </w:r>
          </w:p>
          <w:p w:rsidR="00041039" w:rsidRDefault="001B26CB">
            <w:pPr>
              <w:pStyle w:val="TableParagraph"/>
              <w:spacing w:line="237" w:lineRule="auto"/>
              <w:rPr>
                <w:sz w:val="14"/>
              </w:rPr>
            </w:pPr>
            <w:r>
              <w:rPr>
                <w:color w:val="231F20"/>
                <w:sz w:val="14"/>
              </w:rPr>
              <w:t>- штедња, трезор, кредит, камата, деоница, инфлација, дефлација; фалсификовања новца, новац у савременом потрошачком друштву...).</w:t>
            </w:r>
          </w:p>
          <w:p w:rsidR="00041039" w:rsidRDefault="001B26CB">
            <w:pPr>
              <w:pStyle w:val="TableParagraph"/>
              <w:numPr>
                <w:ilvl w:val="0"/>
                <w:numId w:val="961"/>
              </w:numPr>
              <w:tabs>
                <w:tab w:val="left" w:pos="157"/>
              </w:tabs>
              <w:spacing w:line="237" w:lineRule="auto"/>
              <w:ind w:right="139" w:hanging="99"/>
              <w:rPr>
                <w:sz w:val="14"/>
              </w:rPr>
            </w:pPr>
            <w:r>
              <w:rPr>
                <w:color w:val="231F20"/>
                <w:sz w:val="14"/>
              </w:rPr>
              <w:t xml:space="preserve">Новац и банке у прошлости (историјат новца и банака ­ </w:t>
            </w:r>
            <w:r>
              <w:rPr>
                <w:color w:val="231F20"/>
                <w:spacing w:val="-3"/>
                <w:sz w:val="14"/>
              </w:rPr>
              <w:t xml:space="preserve">од </w:t>
            </w:r>
            <w:r>
              <w:rPr>
                <w:color w:val="231F20"/>
                <w:sz w:val="14"/>
              </w:rPr>
              <w:t xml:space="preserve">старог века до данас; материјали </w:t>
            </w:r>
            <w:r>
              <w:rPr>
                <w:color w:val="231F20"/>
                <w:spacing w:val="-3"/>
                <w:sz w:val="14"/>
              </w:rPr>
              <w:t xml:space="preserve">од </w:t>
            </w:r>
            <w:r>
              <w:rPr>
                <w:color w:val="231F20"/>
                <w:sz w:val="14"/>
              </w:rPr>
              <w:t>којих је израђиван новац, историј</w:t>
            </w:r>
            <w:r>
              <w:rPr>
                <w:color w:val="231F20"/>
                <w:sz w:val="14"/>
              </w:rPr>
              <w:t>ски феномен „кварења” новца; ликови</w:t>
            </w:r>
            <w:r>
              <w:rPr>
                <w:color w:val="231F20"/>
                <w:spacing w:val="-5"/>
                <w:sz w:val="14"/>
              </w:rPr>
              <w:t xml:space="preserve"> </w:t>
            </w:r>
            <w:r>
              <w:rPr>
                <w:color w:val="231F20"/>
                <w:sz w:val="14"/>
              </w:rPr>
              <w:t>и</w:t>
            </w:r>
            <w:r>
              <w:rPr>
                <w:color w:val="231F20"/>
                <w:spacing w:val="-6"/>
                <w:sz w:val="14"/>
              </w:rPr>
              <w:t xml:space="preserve"> </w:t>
            </w:r>
            <w:r>
              <w:rPr>
                <w:color w:val="231F20"/>
                <w:sz w:val="14"/>
              </w:rPr>
              <w:t>различити</w:t>
            </w:r>
            <w:r>
              <w:rPr>
                <w:color w:val="231F20"/>
                <w:spacing w:val="-5"/>
                <w:sz w:val="14"/>
              </w:rPr>
              <w:t xml:space="preserve"> </w:t>
            </w:r>
            <w:r>
              <w:rPr>
                <w:color w:val="231F20"/>
                <w:sz w:val="14"/>
              </w:rPr>
              <w:t>симболи</w:t>
            </w:r>
            <w:r>
              <w:rPr>
                <w:color w:val="231F20"/>
                <w:spacing w:val="-6"/>
                <w:sz w:val="14"/>
              </w:rPr>
              <w:t xml:space="preserve"> </w:t>
            </w:r>
            <w:r>
              <w:rPr>
                <w:color w:val="231F20"/>
                <w:sz w:val="14"/>
              </w:rPr>
              <w:t>на</w:t>
            </w:r>
            <w:r>
              <w:rPr>
                <w:color w:val="231F20"/>
                <w:spacing w:val="-6"/>
                <w:sz w:val="14"/>
              </w:rPr>
              <w:t xml:space="preserve"> </w:t>
            </w:r>
            <w:r>
              <w:rPr>
                <w:color w:val="231F20"/>
                <w:sz w:val="14"/>
              </w:rPr>
              <w:t>кованом</w:t>
            </w:r>
            <w:r>
              <w:rPr>
                <w:color w:val="231F20"/>
                <w:spacing w:val="-5"/>
                <w:sz w:val="14"/>
              </w:rPr>
              <w:t xml:space="preserve"> </w:t>
            </w:r>
            <w:r>
              <w:rPr>
                <w:color w:val="231F20"/>
                <w:sz w:val="14"/>
              </w:rPr>
              <w:t>и папирном</w:t>
            </w:r>
            <w:r>
              <w:rPr>
                <w:color w:val="231F20"/>
                <w:spacing w:val="-1"/>
                <w:sz w:val="14"/>
              </w:rPr>
              <w:t xml:space="preserve"> </w:t>
            </w:r>
            <w:r>
              <w:rPr>
                <w:color w:val="231F20"/>
                <w:sz w:val="14"/>
              </w:rPr>
              <w:t>новцу...).</w:t>
            </w:r>
          </w:p>
          <w:p w:rsidR="00041039" w:rsidRDefault="001B26CB">
            <w:pPr>
              <w:pStyle w:val="TableParagraph"/>
              <w:numPr>
                <w:ilvl w:val="0"/>
                <w:numId w:val="961"/>
              </w:numPr>
              <w:tabs>
                <w:tab w:val="left" w:pos="157"/>
              </w:tabs>
              <w:spacing w:line="237" w:lineRule="auto"/>
              <w:ind w:right="66" w:hanging="99"/>
              <w:rPr>
                <w:sz w:val="14"/>
              </w:rPr>
            </w:pPr>
            <w:r>
              <w:rPr>
                <w:color w:val="231F20"/>
                <w:sz w:val="14"/>
              </w:rPr>
              <w:t xml:space="preserve">Новац у Србији некад и сад (историјат новца </w:t>
            </w:r>
            <w:r>
              <w:rPr>
                <w:color w:val="231F20"/>
                <w:spacing w:val="-3"/>
                <w:sz w:val="14"/>
              </w:rPr>
              <w:t xml:space="preserve">од </w:t>
            </w:r>
            <w:r>
              <w:rPr>
                <w:color w:val="231F20"/>
                <w:sz w:val="14"/>
              </w:rPr>
              <w:t>средњег века до данас; динар као званична валута модерне Србије; мотиви на новчаницама; настанак и развој</w:t>
            </w:r>
            <w:r>
              <w:rPr>
                <w:color w:val="231F20"/>
                <w:spacing w:val="-22"/>
                <w:sz w:val="14"/>
              </w:rPr>
              <w:t xml:space="preserve"> </w:t>
            </w:r>
            <w:r>
              <w:rPr>
                <w:color w:val="231F20"/>
                <w:sz w:val="14"/>
              </w:rPr>
              <w:t xml:space="preserve">Народне банке </w:t>
            </w:r>
            <w:r>
              <w:rPr>
                <w:color w:val="231F20"/>
                <w:sz w:val="14"/>
              </w:rPr>
              <w:t>као прве финансијске институције у Србији).</w:t>
            </w:r>
          </w:p>
        </w:tc>
        <w:tc>
          <w:tcPr>
            <w:tcW w:w="2267" w:type="dxa"/>
            <w:vMerge w:val="restart"/>
          </w:tcPr>
          <w:p w:rsidR="00041039" w:rsidRDefault="001B26CB">
            <w:pPr>
              <w:pStyle w:val="TableParagraph"/>
              <w:numPr>
                <w:ilvl w:val="0"/>
                <w:numId w:val="960"/>
              </w:numPr>
              <w:tabs>
                <w:tab w:val="left" w:pos="158"/>
              </w:tabs>
              <w:spacing w:before="9"/>
              <w:ind w:right="71" w:hanging="99"/>
              <w:rPr>
                <w:sz w:val="14"/>
              </w:rPr>
            </w:pPr>
            <w:r>
              <w:rPr>
                <w:color w:val="231F20"/>
                <w:sz w:val="14"/>
              </w:rPr>
              <w:t>у раду са ученицима неопходно</w:t>
            </w:r>
            <w:r>
              <w:rPr>
                <w:color w:val="231F20"/>
                <w:spacing w:val="-15"/>
                <w:sz w:val="14"/>
              </w:rPr>
              <w:t xml:space="preserve"> </w:t>
            </w:r>
            <w:r>
              <w:rPr>
                <w:color w:val="231F20"/>
                <w:sz w:val="14"/>
              </w:rPr>
              <w:t xml:space="preserve">је имати у виду интегративну функ­ цију историје, која у образовном систему, </w:t>
            </w:r>
            <w:r>
              <w:rPr>
                <w:color w:val="231F20"/>
                <w:spacing w:val="-3"/>
                <w:sz w:val="14"/>
              </w:rPr>
              <w:t xml:space="preserve">где </w:t>
            </w:r>
            <w:r>
              <w:rPr>
                <w:color w:val="231F20"/>
                <w:sz w:val="14"/>
              </w:rPr>
              <w:t>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041039" w:rsidRDefault="001B26CB">
            <w:pPr>
              <w:pStyle w:val="TableParagraph"/>
              <w:numPr>
                <w:ilvl w:val="0"/>
                <w:numId w:val="960"/>
              </w:numPr>
              <w:tabs>
                <w:tab w:val="left" w:pos="158"/>
              </w:tabs>
              <w:spacing w:line="150" w:lineRule="exact"/>
              <w:ind w:hanging="99"/>
              <w:rPr>
                <w:sz w:val="14"/>
              </w:rPr>
            </w:pPr>
            <w:r>
              <w:rPr>
                <w:color w:val="231F20"/>
                <w:sz w:val="14"/>
              </w:rPr>
              <w:t>пожељно је избегавати</w:t>
            </w:r>
            <w:r>
              <w:rPr>
                <w:color w:val="231F20"/>
                <w:spacing w:val="-4"/>
                <w:sz w:val="14"/>
              </w:rPr>
              <w:t xml:space="preserve"> </w:t>
            </w:r>
            <w:r>
              <w:rPr>
                <w:color w:val="231F20"/>
                <w:sz w:val="14"/>
              </w:rPr>
              <w:t>фраг­</w:t>
            </w:r>
          </w:p>
          <w:p w:rsidR="00041039" w:rsidRDefault="001B26CB">
            <w:pPr>
              <w:pStyle w:val="TableParagraph"/>
              <w:ind w:left="157" w:right="105"/>
              <w:rPr>
                <w:sz w:val="14"/>
              </w:rPr>
            </w:pPr>
            <w:r>
              <w:rPr>
                <w:color w:val="231F20"/>
                <w:sz w:val="14"/>
              </w:rPr>
              <w:t>ментарно и изоловано учење ист</w:t>
            </w:r>
            <w:r>
              <w:rPr>
                <w:color w:val="231F20"/>
                <w:sz w:val="14"/>
              </w:rPr>
              <w:t>оријских чињеница јер оно има најкраће трајање у памћењу и најслабији трансфер у стицању других знања и вештина;</w:t>
            </w:r>
          </w:p>
          <w:p w:rsidR="00041039" w:rsidRDefault="001B26CB">
            <w:pPr>
              <w:pStyle w:val="TableParagraph"/>
              <w:numPr>
                <w:ilvl w:val="0"/>
                <w:numId w:val="960"/>
              </w:numPr>
              <w:tabs>
                <w:tab w:val="left" w:pos="158"/>
              </w:tabs>
              <w:spacing w:line="156" w:lineRule="exact"/>
              <w:ind w:hanging="99"/>
              <w:rPr>
                <w:sz w:val="14"/>
              </w:rPr>
            </w:pPr>
            <w:r>
              <w:rPr>
                <w:color w:val="231F20"/>
                <w:sz w:val="14"/>
              </w:rPr>
              <w:t xml:space="preserve">у настави треба, кад </w:t>
            </w:r>
            <w:r>
              <w:rPr>
                <w:color w:val="231F20"/>
                <w:spacing w:val="-3"/>
                <w:sz w:val="14"/>
              </w:rPr>
              <w:t xml:space="preserve">год </w:t>
            </w:r>
            <w:r>
              <w:rPr>
                <w:color w:val="231F20"/>
                <w:sz w:val="14"/>
              </w:rPr>
              <w:t>је то</w:t>
            </w:r>
          </w:p>
          <w:p w:rsidR="00041039" w:rsidRDefault="001B26CB">
            <w:pPr>
              <w:pStyle w:val="TableParagraph"/>
              <w:ind w:left="157"/>
              <w:rPr>
                <w:sz w:val="14"/>
              </w:rPr>
            </w:pPr>
            <w:r>
              <w:rPr>
                <w:color w:val="231F20"/>
                <w:sz w:val="14"/>
              </w:rPr>
              <w:t>могуће, примењивати дидактички концепт мултиперспективности;</w:t>
            </w:r>
          </w:p>
          <w:p w:rsidR="00041039" w:rsidRDefault="001B26CB">
            <w:pPr>
              <w:pStyle w:val="TableParagraph"/>
              <w:numPr>
                <w:ilvl w:val="0"/>
                <w:numId w:val="960"/>
              </w:numPr>
              <w:tabs>
                <w:tab w:val="left" w:pos="158"/>
              </w:tabs>
              <w:spacing w:line="160" w:lineRule="exact"/>
              <w:ind w:right="208" w:hanging="99"/>
              <w:rPr>
                <w:sz w:val="14"/>
              </w:rPr>
            </w:pPr>
            <w:r>
              <w:rPr>
                <w:color w:val="231F20"/>
                <w:sz w:val="14"/>
              </w:rPr>
              <w:t xml:space="preserve">одређене теме, по могућности, треба реализовати са </w:t>
            </w:r>
            <w:r>
              <w:rPr>
                <w:color w:val="231F20"/>
                <w:sz w:val="14"/>
              </w:rPr>
              <w:t>одгова­ рајућим садржајима из</w:t>
            </w:r>
            <w:r>
              <w:rPr>
                <w:color w:val="231F20"/>
                <w:spacing w:val="-8"/>
                <w:sz w:val="14"/>
              </w:rPr>
              <w:t xml:space="preserve"> </w:t>
            </w:r>
            <w:r>
              <w:rPr>
                <w:color w:val="231F20"/>
                <w:sz w:val="14"/>
              </w:rPr>
              <w:t>сродних предмета;</w:t>
            </w:r>
          </w:p>
          <w:p w:rsidR="00041039" w:rsidRDefault="001B26CB">
            <w:pPr>
              <w:pStyle w:val="TableParagraph"/>
              <w:numPr>
                <w:ilvl w:val="0"/>
                <w:numId w:val="960"/>
              </w:numPr>
              <w:tabs>
                <w:tab w:val="left" w:pos="158"/>
              </w:tabs>
              <w:spacing w:line="160" w:lineRule="exact"/>
              <w:ind w:right="111" w:hanging="99"/>
              <w:rPr>
                <w:sz w:val="14"/>
              </w:rPr>
            </w:pPr>
            <w:r>
              <w:rPr>
                <w:color w:val="231F20"/>
                <w:spacing w:val="-3"/>
                <w:sz w:val="14"/>
              </w:rPr>
              <w:t xml:space="preserve">током </w:t>
            </w:r>
            <w:r>
              <w:rPr>
                <w:color w:val="231F20"/>
                <w:sz w:val="14"/>
              </w:rPr>
              <w:t>рада са ученицима потреб­ но је стално правити поређења са савременим добом, чиме се</w:t>
            </w:r>
          </w:p>
          <w:p w:rsidR="00041039" w:rsidRDefault="001B26CB">
            <w:pPr>
              <w:pStyle w:val="TableParagraph"/>
              <w:spacing w:line="237" w:lineRule="auto"/>
              <w:ind w:left="157"/>
              <w:rPr>
                <w:sz w:val="14"/>
              </w:rPr>
            </w:pPr>
            <w:r>
              <w:rPr>
                <w:color w:val="231F20"/>
                <w:sz w:val="14"/>
              </w:rPr>
              <w:t>наглашава схватање континуитета у развоју друштва и богатство садржаја из прошлости;</w:t>
            </w:r>
          </w:p>
          <w:p w:rsidR="00041039" w:rsidRDefault="001B26CB">
            <w:pPr>
              <w:pStyle w:val="TableParagraph"/>
              <w:numPr>
                <w:ilvl w:val="0"/>
                <w:numId w:val="960"/>
              </w:numPr>
              <w:tabs>
                <w:tab w:val="left" w:pos="158"/>
              </w:tabs>
              <w:spacing w:line="237" w:lineRule="auto"/>
              <w:ind w:right="99" w:hanging="99"/>
              <w:rPr>
                <w:sz w:val="14"/>
              </w:rPr>
            </w:pPr>
            <w:r>
              <w:rPr>
                <w:color w:val="231F20"/>
                <w:sz w:val="14"/>
              </w:rPr>
              <w:t>задатак наставника је и да под­ стиче осамостаљивање  ученика у прикупљању и сређивању</w:t>
            </w:r>
            <w:r>
              <w:rPr>
                <w:color w:val="231F20"/>
                <w:spacing w:val="-12"/>
                <w:sz w:val="14"/>
              </w:rPr>
              <w:t xml:space="preserve"> </w:t>
            </w:r>
            <w:r>
              <w:rPr>
                <w:color w:val="231F20"/>
                <w:sz w:val="14"/>
              </w:rPr>
              <w:t>исто­ ријских података, да их</w:t>
            </w:r>
            <w:r>
              <w:rPr>
                <w:color w:val="231F20"/>
                <w:spacing w:val="-14"/>
                <w:sz w:val="14"/>
              </w:rPr>
              <w:t xml:space="preserve"> </w:t>
            </w:r>
            <w:r>
              <w:rPr>
                <w:color w:val="231F20"/>
                <w:sz w:val="14"/>
              </w:rPr>
              <w:t>усмерава</w:t>
            </w:r>
          </w:p>
          <w:p w:rsidR="00041039" w:rsidRDefault="001B26CB">
            <w:pPr>
              <w:pStyle w:val="TableParagraph"/>
              <w:ind w:left="157" w:right="32"/>
              <w:rPr>
                <w:sz w:val="14"/>
              </w:rPr>
            </w:pPr>
            <w:r>
              <w:rPr>
                <w:color w:val="231F20"/>
                <w:sz w:val="14"/>
              </w:rPr>
              <w:t>на различите изворе информација и подучава их како да се према њима критички односе, чиме</w:t>
            </w:r>
          </w:p>
          <w:p w:rsidR="00041039" w:rsidRDefault="001B26CB">
            <w:pPr>
              <w:pStyle w:val="TableParagraph"/>
              <w:spacing w:line="237" w:lineRule="auto"/>
              <w:ind w:left="157" w:right="276"/>
              <w:rPr>
                <w:sz w:val="14"/>
              </w:rPr>
            </w:pPr>
            <w:r>
              <w:rPr>
                <w:color w:val="231F20"/>
                <w:sz w:val="14"/>
              </w:rPr>
              <w:t>се негује истраживачки дух и занимање за</w:t>
            </w:r>
            <w:r>
              <w:rPr>
                <w:color w:val="231F20"/>
                <w:sz w:val="14"/>
              </w:rPr>
              <w:t xml:space="preserve"> науку и подстиче развој мишљења заснованог на провереним чињеницама и аргументима;</w:t>
            </w:r>
          </w:p>
          <w:p w:rsidR="00041039" w:rsidRDefault="001B26CB">
            <w:pPr>
              <w:pStyle w:val="TableParagraph"/>
              <w:numPr>
                <w:ilvl w:val="0"/>
                <w:numId w:val="960"/>
              </w:numPr>
              <w:tabs>
                <w:tab w:val="left" w:pos="158"/>
              </w:tabs>
              <w:spacing w:line="237" w:lineRule="auto"/>
              <w:ind w:right="61" w:hanging="99"/>
              <w:rPr>
                <w:sz w:val="14"/>
              </w:rPr>
            </w:pPr>
            <w:r>
              <w:rPr>
                <w:color w:val="231F20"/>
                <w:sz w:val="14"/>
              </w:rPr>
              <w:t>овај предмет пружа велике</w:t>
            </w:r>
            <w:r>
              <w:rPr>
                <w:color w:val="231F20"/>
                <w:spacing w:val="-16"/>
                <w:sz w:val="14"/>
              </w:rPr>
              <w:t xml:space="preserve"> </w:t>
            </w:r>
            <w:r>
              <w:rPr>
                <w:color w:val="231F20"/>
                <w:sz w:val="14"/>
              </w:rPr>
              <w:t>могућ­ ности за интеграцију</w:t>
            </w:r>
            <w:r>
              <w:rPr>
                <w:color w:val="231F20"/>
                <w:spacing w:val="-4"/>
                <w:sz w:val="14"/>
              </w:rPr>
              <w:t xml:space="preserve"> </w:t>
            </w:r>
            <w:r>
              <w:rPr>
                <w:color w:val="231F20"/>
                <w:spacing w:val="-3"/>
                <w:sz w:val="14"/>
              </w:rPr>
              <w:t>школског</w:t>
            </w:r>
          </w:p>
          <w:p w:rsidR="00041039" w:rsidRDefault="001B26CB">
            <w:pPr>
              <w:pStyle w:val="TableParagraph"/>
              <w:ind w:left="157" w:right="191"/>
              <w:jc w:val="both"/>
              <w:rPr>
                <w:sz w:val="14"/>
              </w:rPr>
            </w:pPr>
            <w:r>
              <w:rPr>
                <w:color w:val="231F20"/>
                <w:sz w:val="14"/>
              </w:rPr>
              <w:t>и ваншколског знања ученика, за излазак из оквира школских уџбеника и учионица, укључи­ вање родитеља и сугра</w:t>
            </w:r>
            <w:r>
              <w:rPr>
                <w:color w:val="231F20"/>
                <w:sz w:val="14"/>
              </w:rPr>
              <w:t>ђана</w:t>
            </w:r>
            <w:r>
              <w:rPr>
                <w:color w:val="231F20"/>
                <w:spacing w:val="-18"/>
                <w:sz w:val="14"/>
              </w:rPr>
              <w:t xml:space="preserve"> </w:t>
            </w:r>
            <w:r>
              <w:rPr>
                <w:color w:val="231F20"/>
                <w:sz w:val="14"/>
              </w:rPr>
              <w:t>који</w:t>
            </w:r>
          </w:p>
          <w:p w:rsidR="00041039" w:rsidRDefault="001B26CB">
            <w:pPr>
              <w:pStyle w:val="TableParagraph"/>
              <w:spacing w:line="237" w:lineRule="auto"/>
              <w:ind w:left="157"/>
              <w:rPr>
                <w:sz w:val="14"/>
              </w:rPr>
            </w:pPr>
            <w:r>
              <w:rPr>
                <w:color w:val="231F20"/>
                <w:sz w:val="14"/>
              </w:rPr>
              <w:t>поседују знања, колекције, књиге, филмове и другу грађу која</w:t>
            </w:r>
          </w:p>
          <w:p w:rsidR="00041039" w:rsidRDefault="001B26CB">
            <w:pPr>
              <w:pStyle w:val="TableParagraph"/>
              <w:ind w:left="157"/>
              <w:rPr>
                <w:sz w:val="14"/>
              </w:rPr>
            </w:pPr>
            <w:r>
              <w:rPr>
                <w:color w:val="231F20"/>
                <w:sz w:val="14"/>
              </w:rPr>
              <w:t>може да помогне у реализацији програма;</w:t>
            </w:r>
          </w:p>
          <w:p w:rsidR="00041039" w:rsidRDefault="001B26CB">
            <w:pPr>
              <w:pStyle w:val="TableParagraph"/>
              <w:numPr>
                <w:ilvl w:val="0"/>
                <w:numId w:val="960"/>
              </w:numPr>
              <w:tabs>
                <w:tab w:val="left" w:pos="158"/>
              </w:tabs>
              <w:spacing w:line="160" w:lineRule="exact"/>
              <w:ind w:right="136" w:hanging="99"/>
              <w:rPr>
                <w:sz w:val="14"/>
              </w:rPr>
            </w:pPr>
            <w:r>
              <w:rPr>
                <w:color w:val="231F20"/>
                <w:sz w:val="14"/>
              </w:rPr>
              <w:t>наставник треба да тежи комби­ новању различитих метода рада (кратка предавања, гледање</w:t>
            </w:r>
            <w:r>
              <w:rPr>
                <w:color w:val="231F20"/>
                <w:spacing w:val="-22"/>
                <w:sz w:val="14"/>
              </w:rPr>
              <w:t xml:space="preserve"> </w:t>
            </w:r>
            <w:r>
              <w:rPr>
                <w:color w:val="231F20"/>
                <w:sz w:val="14"/>
              </w:rPr>
              <w:t>фил­ мова, читање књига, дискусије, анализа писаних извора, слика и фотографија...);</w:t>
            </w:r>
          </w:p>
          <w:p w:rsidR="00041039" w:rsidRDefault="001B26CB">
            <w:pPr>
              <w:pStyle w:val="TableParagraph"/>
              <w:numPr>
                <w:ilvl w:val="0"/>
                <w:numId w:val="960"/>
              </w:numPr>
              <w:tabs>
                <w:tab w:val="left" w:pos="158"/>
              </w:tabs>
              <w:spacing w:line="160" w:lineRule="exact"/>
              <w:ind w:right="65" w:hanging="99"/>
              <w:rPr>
                <w:sz w:val="14"/>
              </w:rPr>
            </w:pPr>
            <w:r>
              <w:rPr>
                <w:color w:val="231F20"/>
                <w:sz w:val="14"/>
              </w:rPr>
              <w:t xml:space="preserve">у извођењу наставе самостално истраживање ученика је најваж­ није, без обзира на изабране методе рада, а наставникова је улога да организује </w:t>
            </w:r>
            <w:r>
              <w:rPr>
                <w:color w:val="231F20"/>
                <w:spacing w:val="-3"/>
                <w:sz w:val="14"/>
              </w:rPr>
              <w:t xml:space="preserve">наставу, </w:t>
            </w:r>
            <w:r>
              <w:rPr>
                <w:color w:val="231F20"/>
                <w:sz w:val="14"/>
              </w:rPr>
              <w:t>пру­ жи помоћ ученици</w:t>
            </w:r>
            <w:r>
              <w:rPr>
                <w:color w:val="231F20"/>
                <w:sz w:val="14"/>
              </w:rPr>
              <w:t>ма у раду (од давања информација до упући­ вања на изворе информација) и</w:t>
            </w:r>
            <w:r>
              <w:rPr>
                <w:color w:val="231F20"/>
                <w:spacing w:val="-16"/>
                <w:sz w:val="14"/>
              </w:rPr>
              <w:t xml:space="preserve"> </w:t>
            </w:r>
            <w:r>
              <w:rPr>
                <w:color w:val="231F20"/>
                <w:sz w:val="14"/>
              </w:rPr>
              <w:t>да подстиче интересовање ученика за</w:t>
            </w:r>
            <w:r>
              <w:rPr>
                <w:color w:val="231F20"/>
                <w:spacing w:val="-2"/>
                <w:sz w:val="14"/>
              </w:rPr>
              <w:t xml:space="preserve"> </w:t>
            </w:r>
            <w:r>
              <w:rPr>
                <w:color w:val="231F20"/>
                <w:sz w:val="14"/>
              </w:rPr>
              <w:t>предмет;</w:t>
            </w:r>
          </w:p>
          <w:p w:rsidR="00041039" w:rsidRDefault="001B26CB">
            <w:pPr>
              <w:pStyle w:val="TableParagraph"/>
              <w:numPr>
                <w:ilvl w:val="0"/>
                <w:numId w:val="960"/>
              </w:numPr>
              <w:tabs>
                <w:tab w:val="left" w:pos="158"/>
              </w:tabs>
              <w:spacing w:line="160" w:lineRule="exact"/>
              <w:ind w:right="108" w:hanging="99"/>
              <w:rPr>
                <w:sz w:val="14"/>
              </w:rPr>
            </w:pPr>
            <w:r>
              <w:rPr>
                <w:color w:val="231F20"/>
                <w:sz w:val="14"/>
              </w:rPr>
              <w:t>у припреми и реализацији часова наставницима може користити следећа</w:t>
            </w:r>
            <w:r>
              <w:rPr>
                <w:color w:val="231F20"/>
                <w:spacing w:val="-1"/>
                <w:sz w:val="14"/>
              </w:rPr>
              <w:t xml:space="preserve"> </w:t>
            </w:r>
            <w:r>
              <w:rPr>
                <w:color w:val="231F20"/>
                <w:sz w:val="14"/>
              </w:rPr>
              <w:t>литература:</w:t>
            </w:r>
          </w:p>
          <w:p w:rsidR="00041039" w:rsidRDefault="001B26CB">
            <w:pPr>
              <w:pStyle w:val="TableParagraph"/>
              <w:spacing w:line="237" w:lineRule="auto"/>
              <w:ind w:left="58"/>
              <w:rPr>
                <w:sz w:val="14"/>
              </w:rPr>
            </w:pPr>
            <w:r>
              <w:rPr>
                <w:color w:val="231F20"/>
                <w:sz w:val="14"/>
              </w:rPr>
              <w:t xml:space="preserve">Д. М. Ацовић, </w:t>
            </w:r>
            <w:r>
              <w:rPr>
                <w:i/>
                <w:color w:val="231F20"/>
                <w:sz w:val="14"/>
              </w:rPr>
              <w:t>Хералдика и Срби</w:t>
            </w:r>
            <w:r>
              <w:rPr>
                <w:color w:val="231F20"/>
                <w:sz w:val="14"/>
              </w:rPr>
              <w:t>, Београд 2008.</w:t>
            </w:r>
          </w:p>
          <w:p w:rsidR="00041039" w:rsidRDefault="001B26CB">
            <w:pPr>
              <w:pStyle w:val="TableParagraph"/>
              <w:ind w:left="58" w:right="88"/>
              <w:jc w:val="both"/>
              <w:rPr>
                <w:sz w:val="14"/>
              </w:rPr>
            </w:pPr>
            <w:r>
              <w:rPr>
                <w:color w:val="231F20"/>
                <w:sz w:val="14"/>
              </w:rPr>
              <w:t xml:space="preserve">Д. Бабац, </w:t>
            </w:r>
            <w:r>
              <w:rPr>
                <w:i/>
                <w:color w:val="231F20"/>
                <w:sz w:val="14"/>
              </w:rPr>
              <w:t>Сп</w:t>
            </w:r>
            <w:r>
              <w:rPr>
                <w:i/>
                <w:color w:val="231F20"/>
                <w:sz w:val="14"/>
              </w:rPr>
              <w:t>ецијалне јединице</w:t>
            </w:r>
            <w:r>
              <w:rPr>
                <w:i/>
                <w:color w:val="231F20"/>
                <w:spacing w:val="-9"/>
                <w:sz w:val="14"/>
              </w:rPr>
              <w:t xml:space="preserve"> </w:t>
            </w:r>
            <w:r>
              <w:rPr>
                <w:i/>
                <w:color w:val="231F20"/>
                <w:sz w:val="14"/>
              </w:rPr>
              <w:t>југо- словенске војске у Априлском</w:t>
            </w:r>
            <w:r>
              <w:rPr>
                <w:i/>
                <w:color w:val="231F20"/>
                <w:spacing w:val="-23"/>
                <w:sz w:val="14"/>
              </w:rPr>
              <w:t xml:space="preserve"> </w:t>
            </w:r>
            <w:r>
              <w:rPr>
                <w:i/>
                <w:color w:val="231F20"/>
                <w:sz w:val="14"/>
              </w:rPr>
              <w:t>рату</w:t>
            </w:r>
            <w:r>
              <w:rPr>
                <w:color w:val="231F20"/>
                <w:sz w:val="14"/>
              </w:rPr>
              <w:t>, Београд</w:t>
            </w:r>
            <w:r>
              <w:rPr>
                <w:color w:val="231F20"/>
                <w:spacing w:val="-2"/>
                <w:sz w:val="14"/>
              </w:rPr>
              <w:t xml:space="preserve"> </w:t>
            </w:r>
            <w:r>
              <w:rPr>
                <w:color w:val="231F20"/>
                <w:sz w:val="14"/>
              </w:rPr>
              <w:t>2006.</w:t>
            </w:r>
          </w:p>
          <w:p w:rsidR="00041039" w:rsidRDefault="001B26CB">
            <w:pPr>
              <w:pStyle w:val="TableParagraph"/>
              <w:spacing w:line="158" w:lineRule="exact"/>
              <w:ind w:left="58"/>
              <w:rPr>
                <w:sz w:val="14"/>
              </w:rPr>
            </w:pPr>
            <w:r>
              <w:rPr>
                <w:color w:val="231F20"/>
                <w:sz w:val="14"/>
              </w:rPr>
              <w:t>Д. Бабац, Ч. Васић, М. Марковић,</w:t>
            </w:r>
          </w:p>
          <w:p w:rsidR="00041039" w:rsidRDefault="001B26CB">
            <w:pPr>
              <w:pStyle w:val="TableParagraph"/>
              <w:spacing w:line="160" w:lineRule="exact"/>
              <w:ind w:left="58"/>
              <w:rPr>
                <w:sz w:val="14"/>
              </w:rPr>
            </w:pPr>
            <w:r>
              <w:rPr>
                <w:i/>
                <w:color w:val="231F20"/>
                <w:sz w:val="14"/>
              </w:rPr>
              <w:t xml:space="preserve">Црногорска војска </w:t>
            </w:r>
            <w:r>
              <w:rPr>
                <w:color w:val="231F20"/>
                <w:sz w:val="14"/>
              </w:rPr>
              <w:t>1896­1916,</w:t>
            </w:r>
          </w:p>
          <w:p w:rsidR="00041039" w:rsidRDefault="001B26CB">
            <w:pPr>
              <w:pStyle w:val="TableParagraph"/>
              <w:spacing w:line="160" w:lineRule="exact"/>
              <w:ind w:left="58"/>
              <w:rPr>
                <w:sz w:val="14"/>
              </w:rPr>
            </w:pPr>
            <w:r>
              <w:rPr>
                <w:color w:val="231F20"/>
                <w:sz w:val="14"/>
              </w:rPr>
              <w:t>Београд 2007.</w:t>
            </w:r>
          </w:p>
          <w:p w:rsidR="00041039" w:rsidRDefault="001B26CB">
            <w:pPr>
              <w:pStyle w:val="TableParagraph"/>
              <w:ind w:left="58"/>
              <w:rPr>
                <w:sz w:val="14"/>
              </w:rPr>
            </w:pPr>
            <w:r>
              <w:rPr>
                <w:color w:val="231F20"/>
                <w:sz w:val="14"/>
              </w:rPr>
              <w:t xml:space="preserve">Д. Бандић, </w:t>
            </w:r>
            <w:r>
              <w:rPr>
                <w:i/>
                <w:color w:val="231F20"/>
                <w:sz w:val="14"/>
              </w:rPr>
              <w:t>Народна религија Срба у 100 појмова</w:t>
            </w:r>
            <w:r>
              <w:rPr>
                <w:color w:val="231F20"/>
                <w:sz w:val="14"/>
              </w:rPr>
              <w:t>, Београд 2004.</w:t>
            </w:r>
          </w:p>
          <w:p w:rsidR="00041039" w:rsidRDefault="001B26CB">
            <w:pPr>
              <w:pStyle w:val="TableParagraph"/>
              <w:ind w:left="58"/>
              <w:rPr>
                <w:sz w:val="14"/>
              </w:rPr>
            </w:pPr>
            <w:r>
              <w:rPr>
                <w:color w:val="231F20"/>
                <w:sz w:val="14"/>
              </w:rPr>
              <w:t xml:space="preserve">B. Бикић, </w:t>
            </w:r>
            <w:r>
              <w:rPr>
                <w:i/>
                <w:color w:val="231F20"/>
                <w:sz w:val="14"/>
              </w:rPr>
              <w:t>Средњовековно село</w:t>
            </w:r>
            <w:r>
              <w:rPr>
                <w:color w:val="231F20"/>
                <w:sz w:val="14"/>
              </w:rPr>
              <w:t>, Београд 2007.</w:t>
            </w:r>
          </w:p>
          <w:p w:rsidR="00041039" w:rsidRDefault="001B26CB">
            <w:pPr>
              <w:pStyle w:val="TableParagraph"/>
              <w:spacing w:line="160" w:lineRule="exact"/>
              <w:ind w:left="58"/>
              <w:rPr>
                <w:sz w:val="14"/>
              </w:rPr>
            </w:pPr>
            <w:r>
              <w:rPr>
                <w:color w:val="231F20"/>
                <w:sz w:val="14"/>
              </w:rPr>
              <w:t xml:space="preserve">М. Благојевић, </w:t>
            </w:r>
            <w:r>
              <w:rPr>
                <w:i/>
                <w:color w:val="231F20"/>
                <w:sz w:val="14"/>
              </w:rPr>
              <w:t>Србија у доба Немањића</w:t>
            </w:r>
            <w:r>
              <w:rPr>
                <w:color w:val="231F20"/>
                <w:sz w:val="14"/>
              </w:rPr>
              <w:t>, Београд 1989.</w:t>
            </w:r>
          </w:p>
        </w:tc>
      </w:tr>
      <w:tr w:rsidR="00041039">
        <w:trPr>
          <w:trHeight w:val="3400"/>
        </w:trPr>
        <w:tc>
          <w:tcPr>
            <w:tcW w:w="1304" w:type="dxa"/>
          </w:tcPr>
          <w:p w:rsidR="00041039" w:rsidRDefault="001B26CB">
            <w:pPr>
              <w:pStyle w:val="TableParagraph"/>
              <w:spacing w:before="20"/>
              <w:ind w:left="56" w:right="364"/>
              <w:jc w:val="both"/>
              <w:rPr>
                <w:sz w:val="14"/>
              </w:rPr>
            </w:pPr>
            <w:r>
              <w:rPr>
                <w:color w:val="231F20"/>
                <w:sz w:val="14"/>
              </w:rPr>
              <w:t>Верски живот и обичаји кроз историју</w:t>
            </w:r>
          </w:p>
        </w:tc>
        <w:tc>
          <w:tcPr>
            <w:tcW w:w="1587" w:type="dxa"/>
          </w:tcPr>
          <w:p w:rsidR="00041039" w:rsidRDefault="001B26CB">
            <w:pPr>
              <w:pStyle w:val="TableParagraph"/>
              <w:numPr>
                <w:ilvl w:val="0"/>
                <w:numId w:val="959"/>
              </w:numPr>
              <w:tabs>
                <w:tab w:val="left" w:pos="157"/>
              </w:tabs>
              <w:spacing w:before="10"/>
              <w:ind w:right="108"/>
              <w:rPr>
                <w:sz w:val="14"/>
              </w:rPr>
            </w:pPr>
            <w:r>
              <w:rPr>
                <w:color w:val="231F20"/>
                <w:sz w:val="14"/>
              </w:rPr>
              <w:t>Проширивање знања о веровањима и оби­ чајима у прошлости и садашњости.</w:t>
            </w:r>
          </w:p>
          <w:p w:rsidR="00041039" w:rsidRDefault="001B26CB">
            <w:pPr>
              <w:pStyle w:val="TableParagraph"/>
              <w:numPr>
                <w:ilvl w:val="0"/>
                <w:numId w:val="959"/>
              </w:numPr>
              <w:tabs>
                <w:tab w:val="left" w:pos="157"/>
              </w:tabs>
              <w:spacing w:line="156" w:lineRule="exact"/>
              <w:rPr>
                <w:sz w:val="14"/>
              </w:rPr>
            </w:pPr>
            <w:r>
              <w:rPr>
                <w:color w:val="231F20"/>
                <w:spacing w:val="-3"/>
                <w:sz w:val="14"/>
              </w:rPr>
              <w:t>Уочавање</w:t>
            </w:r>
            <w:r>
              <w:rPr>
                <w:color w:val="231F20"/>
                <w:spacing w:val="-2"/>
                <w:sz w:val="14"/>
              </w:rPr>
              <w:t xml:space="preserve"> </w:t>
            </w:r>
            <w:r>
              <w:rPr>
                <w:color w:val="231F20"/>
                <w:sz w:val="14"/>
              </w:rPr>
              <w:t>прожимања</w:t>
            </w:r>
          </w:p>
          <w:p w:rsidR="00041039" w:rsidRDefault="001B26CB">
            <w:pPr>
              <w:pStyle w:val="TableParagraph"/>
              <w:ind w:right="15"/>
              <w:rPr>
                <w:sz w:val="14"/>
              </w:rPr>
            </w:pPr>
            <w:r>
              <w:rPr>
                <w:color w:val="231F20"/>
                <w:sz w:val="14"/>
              </w:rPr>
              <w:t>веровања и културе кроз историју.</w:t>
            </w:r>
          </w:p>
          <w:p w:rsidR="00041039" w:rsidRDefault="001B26CB">
            <w:pPr>
              <w:pStyle w:val="TableParagraph"/>
              <w:numPr>
                <w:ilvl w:val="0"/>
                <w:numId w:val="959"/>
              </w:numPr>
              <w:tabs>
                <w:tab w:val="left" w:pos="157"/>
              </w:tabs>
              <w:spacing w:line="160" w:lineRule="exact"/>
              <w:ind w:right="69"/>
              <w:rPr>
                <w:sz w:val="14"/>
              </w:rPr>
            </w:pPr>
            <w:r>
              <w:rPr>
                <w:color w:val="231F20"/>
                <w:sz w:val="14"/>
              </w:rPr>
              <w:t>Сагледавање слич­ ности и разлика у ве­ ровањима и</w:t>
            </w:r>
            <w:r>
              <w:rPr>
                <w:color w:val="231F20"/>
                <w:spacing w:val="-5"/>
                <w:sz w:val="14"/>
              </w:rPr>
              <w:t xml:space="preserve"> </w:t>
            </w:r>
            <w:r>
              <w:rPr>
                <w:color w:val="231F20"/>
                <w:sz w:val="14"/>
              </w:rPr>
              <w:t>обичајима некад и</w:t>
            </w:r>
            <w:r>
              <w:rPr>
                <w:color w:val="231F20"/>
                <w:spacing w:val="-2"/>
                <w:sz w:val="14"/>
              </w:rPr>
              <w:t xml:space="preserve"> </w:t>
            </w:r>
            <w:r>
              <w:rPr>
                <w:color w:val="231F20"/>
                <w:sz w:val="14"/>
              </w:rPr>
              <w:t>сад.</w:t>
            </w:r>
          </w:p>
          <w:p w:rsidR="00041039" w:rsidRDefault="001B26CB">
            <w:pPr>
              <w:pStyle w:val="TableParagraph"/>
              <w:numPr>
                <w:ilvl w:val="0"/>
                <w:numId w:val="959"/>
              </w:numPr>
              <w:tabs>
                <w:tab w:val="left" w:pos="157"/>
              </w:tabs>
              <w:spacing w:line="160" w:lineRule="exact"/>
              <w:ind w:right="159"/>
              <w:jc w:val="both"/>
              <w:rPr>
                <w:sz w:val="14"/>
              </w:rPr>
            </w:pPr>
            <w:r>
              <w:rPr>
                <w:color w:val="231F20"/>
                <w:sz w:val="14"/>
              </w:rPr>
              <w:t xml:space="preserve">Проширивање знања о веровањима и оби­ чајима </w:t>
            </w:r>
            <w:r>
              <w:rPr>
                <w:color w:val="231F20"/>
                <w:spacing w:val="-5"/>
                <w:sz w:val="14"/>
              </w:rPr>
              <w:t xml:space="preserve">код </w:t>
            </w:r>
            <w:r>
              <w:rPr>
                <w:color w:val="231F20"/>
                <w:sz w:val="14"/>
              </w:rPr>
              <w:t>Срба кроз историју.</w:t>
            </w:r>
          </w:p>
        </w:tc>
        <w:tc>
          <w:tcPr>
            <w:tcW w:w="2551" w:type="dxa"/>
          </w:tcPr>
          <w:p w:rsidR="00041039" w:rsidRDefault="001B26CB">
            <w:pPr>
              <w:pStyle w:val="TableParagraph"/>
              <w:numPr>
                <w:ilvl w:val="0"/>
                <w:numId w:val="958"/>
              </w:numPr>
              <w:tabs>
                <w:tab w:val="left" w:pos="157"/>
              </w:tabs>
              <w:spacing w:before="10"/>
              <w:ind w:right="255" w:hanging="99"/>
              <w:rPr>
                <w:sz w:val="14"/>
              </w:rPr>
            </w:pPr>
            <w:r>
              <w:rPr>
                <w:color w:val="231F20"/>
                <w:sz w:val="14"/>
              </w:rPr>
              <w:t>уочи основна обележја веровања</w:t>
            </w:r>
            <w:r>
              <w:rPr>
                <w:color w:val="231F20"/>
                <w:spacing w:val="-9"/>
                <w:sz w:val="14"/>
              </w:rPr>
              <w:t xml:space="preserve"> </w:t>
            </w:r>
            <w:r>
              <w:rPr>
                <w:color w:val="231F20"/>
                <w:spacing w:val="-3"/>
                <w:sz w:val="14"/>
              </w:rPr>
              <w:t xml:space="preserve">од </w:t>
            </w:r>
            <w:r>
              <w:rPr>
                <w:color w:val="231F20"/>
                <w:sz w:val="14"/>
              </w:rPr>
              <w:t>праисторије до савременог</w:t>
            </w:r>
            <w:r>
              <w:rPr>
                <w:color w:val="231F20"/>
                <w:spacing w:val="-3"/>
                <w:sz w:val="14"/>
              </w:rPr>
              <w:t xml:space="preserve"> </w:t>
            </w:r>
            <w:r>
              <w:rPr>
                <w:color w:val="231F20"/>
                <w:sz w:val="14"/>
              </w:rPr>
              <w:t>доба;</w:t>
            </w:r>
          </w:p>
          <w:p w:rsidR="00041039" w:rsidRDefault="001B26CB">
            <w:pPr>
              <w:pStyle w:val="TableParagraph"/>
              <w:numPr>
                <w:ilvl w:val="0"/>
                <w:numId w:val="958"/>
              </w:numPr>
              <w:tabs>
                <w:tab w:val="left" w:pos="157"/>
              </w:tabs>
              <w:spacing w:before="1" w:line="160" w:lineRule="exact"/>
              <w:ind w:right="388" w:hanging="99"/>
              <w:jc w:val="both"/>
              <w:rPr>
                <w:sz w:val="14"/>
              </w:rPr>
            </w:pPr>
            <w:r>
              <w:rPr>
                <w:color w:val="231F20"/>
                <w:sz w:val="14"/>
              </w:rPr>
              <w:t>наведе и упореди</w:t>
            </w:r>
            <w:r>
              <w:rPr>
                <w:color w:val="231F20"/>
                <w:spacing w:val="-15"/>
                <w:sz w:val="14"/>
              </w:rPr>
              <w:t xml:space="preserve"> </w:t>
            </w:r>
            <w:r>
              <w:rPr>
                <w:color w:val="231F20"/>
                <w:sz w:val="14"/>
              </w:rPr>
              <w:t>карактеристике обичаја и веров</w:t>
            </w:r>
            <w:r>
              <w:rPr>
                <w:color w:val="231F20"/>
                <w:sz w:val="14"/>
              </w:rPr>
              <w:t>ања у</w:t>
            </w:r>
            <w:r>
              <w:rPr>
                <w:color w:val="231F20"/>
                <w:spacing w:val="-4"/>
                <w:sz w:val="14"/>
              </w:rPr>
              <w:t xml:space="preserve"> </w:t>
            </w:r>
            <w:r>
              <w:rPr>
                <w:color w:val="231F20"/>
                <w:sz w:val="14"/>
              </w:rPr>
              <w:t>различитим периодима;</w:t>
            </w:r>
          </w:p>
          <w:p w:rsidR="00041039" w:rsidRDefault="001B26CB">
            <w:pPr>
              <w:pStyle w:val="TableParagraph"/>
              <w:numPr>
                <w:ilvl w:val="0"/>
                <w:numId w:val="958"/>
              </w:numPr>
              <w:tabs>
                <w:tab w:val="left" w:pos="157"/>
              </w:tabs>
              <w:spacing w:line="160" w:lineRule="exact"/>
              <w:ind w:right="297" w:hanging="99"/>
              <w:rPr>
                <w:sz w:val="14"/>
              </w:rPr>
            </w:pPr>
            <w:r>
              <w:rPr>
                <w:color w:val="231F20"/>
                <w:sz w:val="14"/>
              </w:rPr>
              <w:t>идентификује сличности и</w:t>
            </w:r>
            <w:r>
              <w:rPr>
                <w:color w:val="231F20"/>
                <w:spacing w:val="-11"/>
                <w:sz w:val="14"/>
              </w:rPr>
              <w:t xml:space="preserve"> </w:t>
            </w:r>
            <w:r>
              <w:rPr>
                <w:color w:val="231F20"/>
                <w:sz w:val="14"/>
              </w:rPr>
              <w:t>разлике у обичајима различитих верских заједница;</w:t>
            </w:r>
          </w:p>
          <w:p w:rsidR="00041039" w:rsidRDefault="001B26CB">
            <w:pPr>
              <w:pStyle w:val="TableParagraph"/>
              <w:numPr>
                <w:ilvl w:val="0"/>
                <w:numId w:val="958"/>
              </w:numPr>
              <w:tabs>
                <w:tab w:val="left" w:pos="157"/>
              </w:tabs>
              <w:spacing w:line="160" w:lineRule="exact"/>
              <w:ind w:right="328" w:hanging="99"/>
              <w:rPr>
                <w:sz w:val="14"/>
              </w:rPr>
            </w:pPr>
            <w:r>
              <w:rPr>
                <w:color w:val="231F20"/>
                <w:sz w:val="14"/>
              </w:rPr>
              <w:t>уочи утицај веровања и обичаја</w:t>
            </w:r>
            <w:r>
              <w:rPr>
                <w:color w:val="231F20"/>
                <w:spacing w:val="-14"/>
                <w:sz w:val="14"/>
              </w:rPr>
              <w:t xml:space="preserve"> </w:t>
            </w:r>
            <w:r>
              <w:rPr>
                <w:color w:val="231F20"/>
                <w:sz w:val="14"/>
              </w:rPr>
              <w:t>на културно</w:t>
            </w:r>
            <w:r>
              <w:rPr>
                <w:color w:val="231F20"/>
                <w:spacing w:val="-1"/>
                <w:sz w:val="14"/>
              </w:rPr>
              <w:t xml:space="preserve"> </w:t>
            </w:r>
            <w:r>
              <w:rPr>
                <w:color w:val="231F20"/>
                <w:sz w:val="14"/>
              </w:rPr>
              <w:t>стваралаштво;</w:t>
            </w:r>
          </w:p>
          <w:p w:rsidR="00041039" w:rsidRDefault="001B26CB">
            <w:pPr>
              <w:pStyle w:val="TableParagraph"/>
              <w:numPr>
                <w:ilvl w:val="0"/>
                <w:numId w:val="958"/>
              </w:numPr>
              <w:tabs>
                <w:tab w:val="left" w:pos="157"/>
              </w:tabs>
              <w:spacing w:line="160" w:lineRule="exact"/>
              <w:ind w:right="245" w:hanging="99"/>
              <w:rPr>
                <w:sz w:val="14"/>
              </w:rPr>
            </w:pPr>
            <w:r>
              <w:rPr>
                <w:color w:val="231F20"/>
                <w:sz w:val="14"/>
              </w:rPr>
              <w:t>разуме утицај и повезаност верских институција и верског живота кроз историју;</w:t>
            </w:r>
          </w:p>
          <w:p w:rsidR="00041039" w:rsidRDefault="001B26CB">
            <w:pPr>
              <w:pStyle w:val="TableParagraph"/>
              <w:numPr>
                <w:ilvl w:val="0"/>
                <w:numId w:val="958"/>
              </w:numPr>
              <w:tabs>
                <w:tab w:val="left" w:pos="157"/>
              </w:tabs>
              <w:spacing w:line="160" w:lineRule="exact"/>
              <w:ind w:right="245" w:hanging="99"/>
              <w:rPr>
                <w:sz w:val="14"/>
              </w:rPr>
            </w:pPr>
            <w:r>
              <w:rPr>
                <w:color w:val="231F20"/>
                <w:sz w:val="14"/>
              </w:rPr>
              <w:t xml:space="preserve">разуме утицај и повезаност верских институција и верског живота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958"/>
              </w:numPr>
              <w:tabs>
                <w:tab w:val="left" w:pos="157"/>
              </w:tabs>
              <w:spacing w:line="160" w:lineRule="exact"/>
              <w:ind w:right="310" w:hanging="99"/>
              <w:jc w:val="both"/>
              <w:rPr>
                <w:sz w:val="14"/>
              </w:rPr>
            </w:pPr>
            <w:r>
              <w:rPr>
                <w:color w:val="231F20"/>
                <w:sz w:val="14"/>
              </w:rPr>
              <w:t xml:space="preserve">препозна и разуме основне одлике верског живота и обичаја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tc>
        <w:tc>
          <w:tcPr>
            <w:tcW w:w="2834" w:type="dxa"/>
          </w:tcPr>
          <w:p w:rsidR="00041039" w:rsidRDefault="001B26CB">
            <w:pPr>
              <w:pStyle w:val="TableParagraph"/>
              <w:numPr>
                <w:ilvl w:val="0"/>
                <w:numId w:val="957"/>
              </w:numPr>
              <w:tabs>
                <w:tab w:val="left" w:pos="157"/>
              </w:tabs>
              <w:spacing w:before="11"/>
              <w:ind w:right="58" w:hanging="99"/>
              <w:rPr>
                <w:sz w:val="14"/>
              </w:rPr>
            </w:pPr>
            <w:r>
              <w:rPr>
                <w:color w:val="231F20"/>
                <w:sz w:val="14"/>
              </w:rPr>
              <w:t>Веровања у старом Египту и</w:t>
            </w:r>
            <w:r>
              <w:rPr>
                <w:color w:val="231F20"/>
                <w:spacing w:val="-7"/>
                <w:sz w:val="14"/>
              </w:rPr>
              <w:t xml:space="preserve"> </w:t>
            </w:r>
            <w:r>
              <w:rPr>
                <w:color w:val="231F20"/>
                <w:sz w:val="14"/>
              </w:rPr>
              <w:t xml:space="preserve">Месопотамији (загробни </w:t>
            </w:r>
            <w:r>
              <w:rPr>
                <w:color w:val="231F20"/>
                <w:spacing w:val="-3"/>
                <w:sz w:val="14"/>
              </w:rPr>
              <w:t xml:space="preserve">живот, </w:t>
            </w:r>
            <w:r>
              <w:rPr>
                <w:color w:val="231F20"/>
                <w:sz w:val="14"/>
              </w:rPr>
              <w:t>балсамовање, хороскопи, астро</w:t>
            </w:r>
            <w:r>
              <w:rPr>
                <w:color w:val="231F20"/>
                <w:sz w:val="14"/>
              </w:rPr>
              <w:t>логија, обреди и ритуални предме­ ти...).</w:t>
            </w:r>
          </w:p>
          <w:p w:rsidR="00041039" w:rsidRDefault="001B26CB">
            <w:pPr>
              <w:pStyle w:val="TableParagraph"/>
              <w:numPr>
                <w:ilvl w:val="0"/>
                <w:numId w:val="957"/>
              </w:numPr>
              <w:tabs>
                <w:tab w:val="left" w:pos="157"/>
              </w:tabs>
              <w:spacing w:line="156" w:lineRule="exact"/>
              <w:ind w:hanging="99"/>
              <w:rPr>
                <w:sz w:val="14"/>
              </w:rPr>
            </w:pPr>
            <w:r>
              <w:rPr>
                <w:color w:val="231F20"/>
                <w:sz w:val="14"/>
              </w:rPr>
              <w:t xml:space="preserve">Веровања старих </w:t>
            </w:r>
            <w:r>
              <w:rPr>
                <w:color w:val="231F20"/>
                <w:spacing w:val="-3"/>
                <w:sz w:val="14"/>
              </w:rPr>
              <w:t xml:space="preserve">Грка </w:t>
            </w:r>
            <w:r>
              <w:rPr>
                <w:color w:val="231F20"/>
                <w:sz w:val="14"/>
              </w:rPr>
              <w:t>и Римљана</w:t>
            </w:r>
            <w:r>
              <w:rPr>
                <w:color w:val="231F20"/>
                <w:spacing w:val="-2"/>
                <w:sz w:val="14"/>
              </w:rPr>
              <w:t xml:space="preserve"> </w:t>
            </w:r>
            <w:r>
              <w:rPr>
                <w:color w:val="231F20"/>
                <w:sz w:val="14"/>
              </w:rPr>
              <w:t>(про­</w:t>
            </w:r>
          </w:p>
          <w:p w:rsidR="00041039" w:rsidRDefault="001B26CB">
            <w:pPr>
              <w:pStyle w:val="TableParagraph"/>
              <w:rPr>
                <w:sz w:val="14"/>
              </w:rPr>
            </w:pPr>
            <w:r>
              <w:rPr>
                <w:color w:val="231F20"/>
                <w:sz w:val="14"/>
              </w:rPr>
              <w:t>рочишта, загробни живот, свештеници и свештенице, приношење жртве богови­ ма...).</w:t>
            </w:r>
          </w:p>
          <w:p w:rsidR="00041039" w:rsidRDefault="001B26CB">
            <w:pPr>
              <w:pStyle w:val="TableParagraph"/>
              <w:numPr>
                <w:ilvl w:val="0"/>
                <w:numId w:val="957"/>
              </w:numPr>
              <w:tabs>
                <w:tab w:val="left" w:pos="157"/>
              </w:tabs>
              <w:spacing w:line="153" w:lineRule="exact"/>
              <w:ind w:hanging="99"/>
              <w:rPr>
                <w:sz w:val="14"/>
              </w:rPr>
            </w:pPr>
            <w:r>
              <w:rPr>
                <w:color w:val="231F20"/>
                <w:sz w:val="14"/>
              </w:rPr>
              <w:t>Религије Далеког</w:t>
            </w:r>
            <w:r>
              <w:rPr>
                <w:color w:val="231F20"/>
                <w:spacing w:val="-2"/>
                <w:sz w:val="14"/>
              </w:rPr>
              <w:t xml:space="preserve"> </w:t>
            </w:r>
            <w:r>
              <w:rPr>
                <w:color w:val="231F20"/>
                <w:sz w:val="14"/>
              </w:rPr>
              <w:t>истока.</w:t>
            </w:r>
          </w:p>
          <w:p w:rsidR="00041039" w:rsidRDefault="001B26CB">
            <w:pPr>
              <w:pStyle w:val="TableParagraph"/>
              <w:numPr>
                <w:ilvl w:val="0"/>
                <w:numId w:val="957"/>
              </w:numPr>
              <w:tabs>
                <w:tab w:val="left" w:pos="157"/>
              </w:tabs>
              <w:spacing w:line="237" w:lineRule="auto"/>
              <w:ind w:right="271" w:hanging="99"/>
              <w:rPr>
                <w:sz w:val="14"/>
              </w:rPr>
            </w:pPr>
            <w:r>
              <w:rPr>
                <w:color w:val="231F20"/>
                <w:sz w:val="14"/>
              </w:rPr>
              <w:t>Верски живот и обичаји у средњем</w:t>
            </w:r>
            <w:r>
              <w:rPr>
                <w:color w:val="231F20"/>
                <w:spacing w:val="-11"/>
                <w:sz w:val="14"/>
              </w:rPr>
              <w:t xml:space="preserve"> </w:t>
            </w:r>
            <w:r>
              <w:rPr>
                <w:color w:val="231F20"/>
                <w:sz w:val="14"/>
              </w:rPr>
              <w:t>веку (главне одлике хришћанства, ислама и јудаизма; обележја различитих вер­ ских конфесија ­ сличности и разлике</w:t>
            </w:r>
            <w:r>
              <w:rPr>
                <w:color w:val="231F20"/>
                <w:spacing w:val="-7"/>
                <w:sz w:val="14"/>
              </w:rPr>
              <w:t xml:space="preserve"> </w:t>
            </w:r>
            <w:r>
              <w:rPr>
                <w:color w:val="231F20"/>
                <w:sz w:val="14"/>
              </w:rPr>
              <w:t>у</w:t>
            </w:r>
          </w:p>
          <w:p w:rsidR="00041039" w:rsidRDefault="001B26CB">
            <w:pPr>
              <w:pStyle w:val="TableParagraph"/>
              <w:rPr>
                <w:sz w:val="14"/>
              </w:rPr>
            </w:pPr>
            <w:r>
              <w:rPr>
                <w:color w:val="231F20"/>
                <w:sz w:val="14"/>
              </w:rPr>
              <w:t>веровањима и обичајима; обележавање вер­ ских празника, страхови средњовековног човека).</w:t>
            </w:r>
          </w:p>
          <w:p w:rsidR="00041039" w:rsidRDefault="001B26CB">
            <w:pPr>
              <w:pStyle w:val="TableParagraph"/>
              <w:numPr>
                <w:ilvl w:val="0"/>
                <w:numId w:val="957"/>
              </w:numPr>
              <w:tabs>
                <w:tab w:val="left" w:pos="157"/>
              </w:tabs>
              <w:spacing w:line="158" w:lineRule="exact"/>
              <w:ind w:hanging="99"/>
              <w:rPr>
                <w:sz w:val="14"/>
              </w:rPr>
            </w:pPr>
            <w:r>
              <w:rPr>
                <w:color w:val="231F20"/>
                <w:sz w:val="14"/>
              </w:rPr>
              <w:t>Верски живот и обичаји у новом</w:t>
            </w:r>
            <w:r>
              <w:rPr>
                <w:color w:val="231F20"/>
                <w:spacing w:val="-6"/>
                <w:sz w:val="14"/>
              </w:rPr>
              <w:t xml:space="preserve"> </w:t>
            </w:r>
            <w:r>
              <w:rPr>
                <w:color w:val="231F20"/>
                <w:sz w:val="14"/>
              </w:rPr>
              <w:t>веку</w:t>
            </w:r>
          </w:p>
          <w:p w:rsidR="00041039" w:rsidRDefault="001B26CB">
            <w:pPr>
              <w:pStyle w:val="TableParagraph"/>
              <w:spacing w:line="237" w:lineRule="auto"/>
              <w:ind w:right="233"/>
              <w:rPr>
                <w:sz w:val="14"/>
              </w:rPr>
            </w:pPr>
            <w:r>
              <w:rPr>
                <w:color w:val="231F20"/>
                <w:sz w:val="14"/>
              </w:rPr>
              <w:t>и савременом до</w:t>
            </w:r>
            <w:r>
              <w:rPr>
                <w:color w:val="231F20"/>
                <w:sz w:val="14"/>
              </w:rPr>
              <w:t>бу (верски идентитет, сличности и разлике између католика, протестаната, православаца, муслимана, Јевреја; атеизам).</w:t>
            </w:r>
          </w:p>
        </w:tc>
        <w:tc>
          <w:tcPr>
            <w:tcW w:w="2267" w:type="dxa"/>
            <w:vMerge/>
            <w:tcBorders>
              <w:top w:val="nil"/>
            </w:tcBorders>
          </w:tcPr>
          <w:p w:rsidR="00041039" w:rsidRDefault="00041039">
            <w:pPr>
              <w:rPr>
                <w:sz w:val="2"/>
                <w:szCs w:val="2"/>
              </w:rPr>
            </w:pPr>
          </w:p>
        </w:tc>
      </w:tr>
      <w:tr w:rsidR="00041039">
        <w:trPr>
          <w:trHeight w:val="3560"/>
        </w:trPr>
        <w:tc>
          <w:tcPr>
            <w:tcW w:w="1304" w:type="dxa"/>
          </w:tcPr>
          <w:p w:rsidR="00041039" w:rsidRDefault="001B26CB">
            <w:pPr>
              <w:pStyle w:val="TableParagraph"/>
              <w:spacing w:before="21"/>
              <w:ind w:left="56" w:right="292"/>
              <w:rPr>
                <w:sz w:val="14"/>
              </w:rPr>
            </w:pPr>
            <w:r>
              <w:rPr>
                <w:color w:val="231F20"/>
                <w:sz w:val="14"/>
              </w:rPr>
              <w:t>Образовање и васпитање кроз историју</w:t>
            </w:r>
          </w:p>
        </w:tc>
        <w:tc>
          <w:tcPr>
            <w:tcW w:w="1587" w:type="dxa"/>
          </w:tcPr>
          <w:p w:rsidR="00041039" w:rsidRDefault="001B26CB">
            <w:pPr>
              <w:pStyle w:val="TableParagraph"/>
              <w:numPr>
                <w:ilvl w:val="0"/>
                <w:numId w:val="956"/>
              </w:numPr>
              <w:tabs>
                <w:tab w:val="left" w:pos="157"/>
              </w:tabs>
              <w:spacing w:before="11"/>
              <w:ind w:right="113"/>
              <w:rPr>
                <w:sz w:val="14"/>
              </w:rPr>
            </w:pPr>
            <w:r>
              <w:rPr>
                <w:color w:val="231F20"/>
                <w:sz w:val="14"/>
              </w:rPr>
              <w:t>Продубљивање</w:t>
            </w:r>
            <w:r>
              <w:rPr>
                <w:color w:val="231F20"/>
                <w:spacing w:val="-13"/>
                <w:sz w:val="14"/>
              </w:rPr>
              <w:t xml:space="preserve"> </w:t>
            </w:r>
            <w:r>
              <w:rPr>
                <w:color w:val="231F20"/>
                <w:sz w:val="14"/>
              </w:rPr>
              <w:t>знања о развоју образовања кроз</w:t>
            </w:r>
            <w:r>
              <w:rPr>
                <w:color w:val="231F20"/>
                <w:spacing w:val="-2"/>
                <w:sz w:val="14"/>
              </w:rPr>
              <w:t xml:space="preserve"> </w:t>
            </w:r>
            <w:r>
              <w:rPr>
                <w:color w:val="231F20"/>
                <w:sz w:val="14"/>
              </w:rPr>
              <w:t>историју.</w:t>
            </w:r>
          </w:p>
          <w:p w:rsidR="00041039" w:rsidRDefault="001B26CB">
            <w:pPr>
              <w:pStyle w:val="TableParagraph"/>
              <w:numPr>
                <w:ilvl w:val="0"/>
                <w:numId w:val="956"/>
              </w:numPr>
              <w:tabs>
                <w:tab w:val="left" w:pos="157"/>
              </w:tabs>
              <w:spacing w:line="157" w:lineRule="exact"/>
              <w:rPr>
                <w:sz w:val="14"/>
              </w:rPr>
            </w:pPr>
            <w:r>
              <w:rPr>
                <w:color w:val="231F20"/>
                <w:spacing w:val="-3"/>
                <w:sz w:val="14"/>
              </w:rPr>
              <w:t xml:space="preserve">Уочавање </w:t>
            </w:r>
            <w:r>
              <w:rPr>
                <w:color w:val="231F20"/>
                <w:sz w:val="14"/>
              </w:rPr>
              <w:t>сличности</w:t>
            </w:r>
            <w:r>
              <w:rPr>
                <w:color w:val="231F20"/>
                <w:spacing w:val="5"/>
                <w:sz w:val="14"/>
              </w:rPr>
              <w:t xml:space="preserve"> </w:t>
            </w:r>
            <w:r>
              <w:rPr>
                <w:color w:val="231F20"/>
                <w:sz w:val="14"/>
              </w:rPr>
              <w:t>и</w:t>
            </w:r>
          </w:p>
          <w:p w:rsidR="00041039" w:rsidRDefault="001B26CB">
            <w:pPr>
              <w:pStyle w:val="TableParagraph"/>
              <w:ind w:right="71"/>
              <w:rPr>
                <w:sz w:val="14"/>
              </w:rPr>
            </w:pPr>
            <w:r>
              <w:rPr>
                <w:color w:val="231F20"/>
                <w:sz w:val="14"/>
              </w:rPr>
              <w:t>разлика у образовању и васпитању некад</w:t>
            </w:r>
          </w:p>
          <w:p w:rsidR="00041039" w:rsidRDefault="001B26CB">
            <w:pPr>
              <w:pStyle w:val="TableParagraph"/>
              <w:spacing w:line="154" w:lineRule="exact"/>
              <w:rPr>
                <w:sz w:val="14"/>
              </w:rPr>
            </w:pPr>
            <w:r>
              <w:rPr>
                <w:color w:val="231F20"/>
                <w:sz w:val="14"/>
              </w:rPr>
              <w:t>и сад.</w:t>
            </w:r>
          </w:p>
          <w:p w:rsidR="00041039" w:rsidRDefault="001B26CB">
            <w:pPr>
              <w:pStyle w:val="TableParagraph"/>
              <w:numPr>
                <w:ilvl w:val="0"/>
                <w:numId w:val="956"/>
              </w:numPr>
              <w:tabs>
                <w:tab w:val="left" w:pos="157"/>
              </w:tabs>
              <w:spacing w:line="237" w:lineRule="auto"/>
              <w:ind w:right="98"/>
              <w:rPr>
                <w:sz w:val="14"/>
              </w:rPr>
            </w:pPr>
            <w:r>
              <w:rPr>
                <w:color w:val="231F20"/>
                <w:sz w:val="14"/>
              </w:rPr>
              <w:t>Разумевање утицаја привредног развоја</w:t>
            </w:r>
            <w:r>
              <w:rPr>
                <w:color w:val="231F20"/>
                <w:spacing w:val="-9"/>
                <w:sz w:val="14"/>
              </w:rPr>
              <w:t xml:space="preserve"> </w:t>
            </w:r>
            <w:r>
              <w:rPr>
                <w:color w:val="231F20"/>
                <w:sz w:val="14"/>
              </w:rPr>
              <w:t>на квалитет</w:t>
            </w:r>
            <w:r>
              <w:rPr>
                <w:color w:val="231F20"/>
                <w:spacing w:val="-5"/>
                <w:sz w:val="14"/>
              </w:rPr>
              <w:t xml:space="preserve"> </w:t>
            </w:r>
            <w:r>
              <w:rPr>
                <w:color w:val="231F20"/>
                <w:sz w:val="14"/>
              </w:rPr>
              <w:t>образовања.</w:t>
            </w:r>
          </w:p>
          <w:p w:rsidR="00041039" w:rsidRDefault="001B26CB">
            <w:pPr>
              <w:pStyle w:val="TableParagraph"/>
              <w:numPr>
                <w:ilvl w:val="0"/>
                <w:numId w:val="956"/>
              </w:numPr>
              <w:tabs>
                <w:tab w:val="left" w:pos="157"/>
              </w:tabs>
              <w:spacing w:line="237" w:lineRule="auto"/>
              <w:ind w:right="113"/>
              <w:rPr>
                <w:sz w:val="14"/>
              </w:rPr>
            </w:pPr>
            <w:r>
              <w:rPr>
                <w:color w:val="231F20"/>
                <w:sz w:val="14"/>
              </w:rPr>
              <w:t>Продубљивање</w:t>
            </w:r>
            <w:r>
              <w:rPr>
                <w:color w:val="231F20"/>
                <w:spacing w:val="-13"/>
                <w:sz w:val="14"/>
              </w:rPr>
              <w:t xml:space="preserve"> </w:t>
            </w:r>
            <w:r>
              <w:rPr>
                <w:color w:val="231F20"/>
                <w:sz w:val="14"/>
              </w:rPr>
              <w:t xml:space="preserve">знања о развоју образо­ вања </w:t>
            </w:r>
            <w:r>
              <w:rPr>
                <w:color w:val="231F20"/>
                <w:spacing w:val="-5"/>
                <w:sz w:val="14"/>
              </w:rPr>
              <w:t xml:space="preserve">код </w:t>
            </w:r>
            <w:r>
              <w:rPr>
                <w:color w:val="231F20"/>
                <w:sz w:val="14"/>
              </w:rPr>
              <w:t>Срба кроз историју.</w:t>
            </w:r>
          </w:p>
        </w:tc>
        <w:tc>
          <w:tcPr>
            <w:tcW w:w="2551" w:type="dxa"/>
          </w:tcPr>
          <w:p w:rsidR="00041039" w:rsidRDefault="001B26CB">
            <w:pPr>
              <w:pStyle w:val="TableParagraph"/>
              <w:numPr>
                <w:ilvl w:val="0"/>
                <w:numId w:val="955"/>
              </w:numPr>
              <w:tabs>
                <w:tab w:val="left" w:pos="157"/>
              </w:tabs>
              <w:spacing w:before="12"/>
              <w:ind w:right="185" w:hanging="99"/>
              <w:rPr>
                <w:sz w:val="14"/>
              </w:rPr>
            </w:pPr>
            <w:r>
              <w:rPr>
                <w:color w:val="231F20"/>
                <w:sz w:val="14"/>
              </w:rPr>
              <w:t>уочи основна обележја образовања</w:t>
            </w:r>
            <w:r>
              <w:rPr>
                <w:color w:val="231F20"/>
                <w:spacing w:val="-10"/>
                <w:sz w:val="14"/>
              </w:rPr>
              <w:t xml:space="preserve"> </w:t>
            </w:r>
            <w:r>
              <w:rPr>
                <w:color w:val="231F20"/>
                <w:sz w:val="14"/>
              </w:rPr>
              <w:t xml:space="preserve">и васпитања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955"/>
              </w:numPr>
              <w:tabs>
                <w:tab w:val="left" w:pos="157"/>
              </w:tabs>
              <w:spacing w:line="157" w:lineRule="exact"/>
              <w:ind w:hanging="99"/>
              <w:rPr>
                <w:sz w:val="14"/>
              </w:rPr>
            </w:pPr>
            <w:r>
              <w:rPr>
                <w:color w:val="231F20"/>
                <w:sz w:val="14"/>
              </w:rPr>
              <w:t>опише развој система образовања</w:t>
            </w:r>
            <w:r>
              <w:rPr>
                <w:color w:val="231F20"/>
                <w:spacing w:val="-3"/>
                <w:sz w:val="14"/>
              </w:rPr>
              <w:t xml:space="preserve"> </w:t>
            </w:r>
            <w:r>
              <w:rPr>
                <w:color w:val="231F20"/>
                <w:sz w:val="14"/>
              </w:rPr>
              <w:t>и</w:t>
            </w:r>
          </w:p>
          <w:p w:rsidR="00041039" w:rsidRDefault="001B26CB">
            <w:pPr>
              <w:pStyle w:val="TableParagraph"/>
              <w:spacing w:line="155" w:lineRule="exact"/>
              <w:rPr>
                <w:sz w:val="14"/>
              </w:rPr>
            </w:pPr>
            <w:r>
              <w:rPr>
                <w:color w:val="231F20"/>
                <w:sz w:val="14"/>
              </w:rPr>
              <w:t>васпитања кроз историју;</w:t>
            </w:r>
          </w:p>
          <w:p w:rsidR="00041039" w:rsidRDefault="001B26CB">
            <w:pPr>
              <w:pStyle w:val="TableParagraph"/>
              <w:numPr>
                <w:ilvl w:val="0"/>
                <w:numId w:val="955"/>
              </w:numPr>
              <w:tabs>
                <w:tab w:val="left" w:pos="157"/>
              </w:tabs>
              <w:spacing w:line="237" w:lineRule="auto"/>
              <w:ind w:right="256" w:hanging="99"/>
              <w:rPr>
                <w:sz w:val="14"/>
              </w:rPr>
            </w:pPr>
            <w:r>
              <w:rPr>
                <w:color w:val="231F20"/>
                <w:sz w:val="14"/>
              </w:rPr>
              <w:t>опише развој система образовања</w:t>
            </w:r>
            <w:r>
              <w:rPr>
                <w:color w:val="231F20"/>
                <w:spacing w:val="-7"/>
                <w:sz w:val="14"/>
              </w:rPr>
              <w:t xml:space="preserve"> </w:t>
            </w:r>
            <w:r>
              <w:rPr>
                <w:color w:val="231F20"/>
                <w:sz w:val="14"/>
              </w:rPr>
              <w:t xml:space="preserve">и васпитања </w:t>
            </w:r>
            <w:r>
              <w:rPr>
                <w:color w:val="231F20"/>
                <w:spacing w:val="-5"/>
                <w:sz w:val="14"/>
              </w:rPr>
              <w:t xml:space="preserve">код </w:t>
            </w:r>
            <w:r>
              <w:rPr>
                <w:color w:val="231F20"/>
                <w:sz w:val="14"/>
              </w:rPr>
              <w:t>Срба кроз</w:t>
            </w:r>
            <w:r>
              <w:rPr>
                <w:color w:val="231F20"/>
                <w:sz w:val="14"/>
              </w:rPr>
              <w:t xml:space="preserve"> </w:t>
            </w:r>
            <w:r>
              <w:rPr>
                <w:color w:val="231F20"/>
                <w:sz w:val="14"/>
              </w:rPr>
              <w:t>историју;</w:t>
            </w:r>
          </w:p>
          <w:p w:rsidR="00041039" w:rsidRDefault="001B26CB">
            <w:pPr>
              <w:pStyle w:val="TableParagraph"/>
              <w:numPr>
                <w:ilvl w:val="0"/>
                <w:numId w:val="955"/>
              </w:numPr>
              <w:tabs>
                <w:tab w:val="left" w:pos="157"/>
              </w:tabs>
              <w:spacing w:line="160" w:lineRule="exact"/>
              <w:ind w:right="103" w:hanging="99"/>
              <w:rPr>
                <w:sz w:val="14"/>
              </w:rPr>
            </w:pPr>
            <w:r>
              <w:rPr>
                <w:color w:val="231F20"/>
                <w:sz w:val="14"/>
              </w:rPr>
              <w:t>упореди карактеристике образовања</w:t>
            </w:r>
            <w:r>
              <w:rPr>
                <w:color w:val="231F20"/>
                <w:spacing w:val="-14"/>
                <w:sz w:val="14"/>
              </w:rPr>
              <w:t xml:space="preserve"> </w:t>
            </w:r>
            <w:r>
              <w:rPr>
                <w:color w:val="231F20"/>
                <w:sz w:val="14"/>
              </w:rPr>
              <w:t>и васпитања у различитим</w:t>
            </w:r>
            <w:r>
              <w:rPr>
                <w:color w:val="231F20"/>
                <w:spacing w:val="-6"/>
                <w:sz w:val="14"/>
              </w:rPr>
              <w:t xml:space="preserve"> </w:t>
            </w:r>
            <w:r>
              <w:rPr>
                <w:color w:val="231F20"/>
                <w:sz w:val="14"/>
              </w:rPr>
              <w:t>периодима;</w:t>
            </w:r>
          </w:p>
          <w:p w:rsidR="00041039" w:rsidRDefault="001B26CB">
            <w:pPr>
              <w:pStyle w:val="TableParagraph"/>
              <w:numPr>
                <w:ilvl w:val="0"/>
                <w:numId w:val="955"/>
              </w:numPr>
              <w:tabs>
                <w:tab w:val="left" w:pos="157"/>
              </w:tabs>
              <w:spacing w:line="160" w:lineRule="exact"/>
              <w:ind w:right="109" w:hanging="99"/>
              <w:rPr>
                <w:sz w:val="14"/>
              </w:rPr>
            </w:pPr>
            <w:r>
              <w:rPr>
                <w:color w:val="231F20"/>
                <w:sz w:val="14"/>
              </w:rPr>
              <w:t>изведе закључак о значају</w:t>
            </w:r>
            <w:r>
              <w:rPr>
                <w:color w:val="231F20"/>
                <w:spacing w:val="-22"/>
                <w:sz w:val="14"/>
              </w:rPr>
              <w:t xml:space="preserve"> </w:t>
            </w:r>
            <w:r>
              <w:rPr>
                <w:color w:val="231F20"/>
                <w:sz w:val="14"/>
              </w:rPr>
              <w:t>образовања и васпитања у животу</w:t>
            </w:r>
            <w:r>
              <w:rPr>
                <w:color w:val="231F20"/>
                <w:spacing w:val="-5"/>
                <w:sz w:val="14"/>
              </w:rPr>
              <w:t xml:space="preserve"> </w:t>
            </w:r>
            <w:r>
              <w:rPr>
                <w:color w:val="231F20"/>
                <w:sz w:val="14"/>
              </w:rPr>
              <w:t>људи;</w:t>
            </w:r>
          </w:p>
          <w:p w:rsidR="00041039" w:rsidRDefault="001B26CB">
            <w:pPr>
              <w:pStyle w:val="TableParagraph"/>
              <w:numPr>
                <w:ilvl w:val="0"/>
                <w:numId w:val="955"/>
              </w:numPr>
              <w:tabs>
                <w:tab w:val="left" w:pos="157"/>
              </w:tabs>
              <w:spacing w:line="160" w:lineRule="exact"/>
              <w:ind w:right="90" w:hanging="99"/>
              <w:jc w:val="both"/>
              <w:rPr>
                <w:sz w:val="14"/>
              </w:rPr>
            </w:pPr>
            <w:r>
              <w:rPr>
                <w:color w:val="231F20"/>
                <w:sz w:val="14"/>
              </w:rPr>
              <w:t>препозна међусобну условљеност сте­ пена привредног развитка и квалитета образовања;</w:t>
            </w:r>
          </w:p>
        </w:tc>
        <w:tc>
          <w:tcPr>
            <w:tcW w:w="2834" w:type="dxa"/>
          </w:tcPr>
          <w:p w:rsidR="00041039" w:rsidRDefault="001B26CB">
            <w:pPr>
              <w:pStyle w:val="TableParagraph"/>
              <w:numPr>
                <w:ilvl w:val="0"/>
                <w:numId w:val="954"/>
              </w:numPr>
              <w:tabs>
                <w:tab w:val="left" w:pos="158"/>
              </w:tabs>
              <w:spacing w:before="12"/>
              <w:ind w:right="63"/>
              <w:rPr>
                <w:sz w:val="14"/>
              </w:rPr>
            </w:pPr>
            <w:r>
              <w:rPr>
                <w:color w:val="231F20"/>
                <w:sz w:val="14"/>
              </w:rPr>
              <w:t xml:space="preserve">Образовање и васпитање у старом веку (Египат, Месопотамија, стара </w:t>
            </w:r>
            <w:r>
              <w:rPr>
                <w:color w:val="231F20"/>
                <w:spacing w:val="-4"/>
                <w:sz w:val="14"/>
              </w:rPr>
              <w:t xml:space="preserve">Грчка </w:t>
            </w:r>
            <w:r>
              <w:rPr>
                <w:color w:val="231F20"/>
                <w:sz w:val="14"/>
              </w:rPr>
              <w:t>и</w:t>
            </w:r>
            <w:r>
              <w:rPr>
                <w:color w:val="231F20"/>
                <w:spacing w:val="-12"/>
                <w:sz w:val="14"/>
              </w:rPr>
              <w:t xml:space="preserve"> </w:t>
            </w:r>
            <w:r>
              <w:rPr>
                <w:color w:val="231F20"/>
                <w:sz w:val="14"/>
              </w:rPr>
              <w:t>Рим).</w:t>
            </w:r>
          </w:p>
          <w:p w:rsidR="00041039" w:rsidRDefault="001B26CB">
            <w:pPr>
              <w:pStyle w:val="TableParagraph"/>
              <w:numPr>
                <w:ilvl w:val="0"/>
                <w:numId w:val="954"/>
              </w:numPr>
              <w:tabs>
                <w:tab w:val="left" w:pos="158"/>
              </w:tabs>
              <w:spacing w:line="160" w:lineRule="exact"/>
              <w:ind w:right="54"/>
              <w:rPr>
                <w:sz w:val="14"/>
              </w:rPr>
            </w:pPr>
            <w:r>
              <w:rPr>
                <w:color w:val="231F20"/>
                <w:sz w:val="14"/>
              </w:rPr>
              <w:t xml:space="preserve">Образовање и васпитање у средњем веку (манастири као центри писмености и обра­ зовања; оснивање </w:t>
            </w:r>
            <w:r>
              <w:rPr>
                <w:color w:val="231F20"/>
                <w:spacing w:val="-3"/>
                <w:sz w:val="14"/>
              </w:rPr>
              <w:t xml:space="preserve">школа </w:t>
            </w:r>
            <w:r>
              <w:rPr>
                <w:color w:val="231F20"/>
                <w:sz w:val="14"/>
              </w:rPr>
              <w:t>и универзитета, утицај цркве на образовање и</w:t>
            </w:r>
            <w:r>
              <w:rPr>
                <w:color w:val="231F20"/>
                <w:spacing w:val="-11"/>
                <w:sz w:val="14"/>
              </w:rPr>
              <w:t xml:space="preserve"> </w:t>
            </w:r>
            <w:r>
              <w:rPr>
                <w:color w:val="231F20"/>
                <w:sz w:val="14"/>
              </w:rPr>
              <w:t>васпитање...).</w:t>
            </w:r>
          </w:p>
          <w:p w:rsidR="00041039" w:rsidRDefault="001B26CB">
            <w:pPr>
              <w:pStyle w:val="TableParagraph"/>
              <w:numPr>
                <w:ilvl w:val="0"/>
                <w:numId w:val="954"/>
              </w:numPr>
              <w:tabs>
                <w:tab w:val="left" w:pos="158"/>
              </w:tabs>
              <w:spacing w:line="160" w:lineRule="exact"/>
              <w:ind w:right="101"/>
              <w:rPr>
                <w:sz w:val="14"/>
              </w:rPr>
            </w:pPr>
            <w:r>
              <w:rPr>
                <w:color w:val="231F20"/>
                <w:sz w:val="14"/>
              </w:rPr>
              <w:t>Образовање и васпитање у новом веку и савременом добу (појава штампарства и ширење писмености,</w:t>
            </w:r>
            <w:r>
              <w:rPr>
                <w:color w:val="231F20"/>
                <w:sz w:val="14"/>
              </w:rPr>
              <w:t xml:space="preserve"> улога цркве и</w:t>
            </w:r>
            <w:r>
              <w:rPr>
                <w:color w:val="231F20"/>
                <w:spacing w:val="-24"/>
                <w:sz w:val="14"/>
              </w:rPr>
              <w:t xml:space="preserve"> </w:t>
            </w:r>
            <w:r>
              <w:rPr>
                <w:color w:val="231F20"/>
                <w:sz w:val="14"/>
              </w:rPr>
              <w:t>државе</w:t>
            </w:r>
          </w:p>
          <w:p w:rsidR="00041039" w:rsidRDefault="001B26CB">
            <w:pPr>
              <w:pStyle w:val="TableParagraph"/>
              <w:numPr>
                <w:ilvl w:val="1"/>
                <w:numId w:val="954"/>
              </w:numPr>
              <w:tabs>
                <w:tab w:val="left" w:pos="239"/>
              </w:tabs>
              <w:spacing w:line="237" w:lineRule="auto"/>
              <w:ind w:right="95" w:firstLine="0"/>
              <w:rPr>
                <w:sz w:val="14"/>
              </w:rPr>
            </w:pPr>
            <w:r>
              <w:rPr>
                <w:color w:val="231F20"/>
                <w:sz w:val="14"/>
              </w:rPr>
              <w:t>појава световног и обавезног</w:t>
            </w:r>
            <w:r>
              <w:rPr>
                <w:color w:val="231F20"/>
                <w:spacing w:val="-16"/>
                <w:sz w:val="14"/>
              </w:rPr>
              <w:t xml:space="preserve"> </w:t>
            </w:r>
            <w:r>
              <w:rPr>
                <w:color w:val="231F20"/>
                <w:sz w:val="14"/>
              </w:rPr>
              <w:t>образовања, школских уџбеника; положај</w:t>
            </w:r>
            <w:r>
              <w:rPr>
                <w:color w:val="231F20"/>
                <w:spacing w:val="-9"/>
                <w:sz w:val="14"/>
              </w:rPr>
              <w:t xml:space="preserve"> </w:t>
            </w:r>
            <w:r>
              <w:rPr>
                <w:color w:val="231F20"/>
                <w:sz w:val="14"/>
              </w:rPr>
              <w:t>ученика</w:t>
            </w:r>
          </w:p>
          <w:p w:rsidR="00041039" w:rsidRDefault="001B26CB">
            <w:pPr>
              <w:pStyle w:val="TableParagraph"/>
              <w:numPr>
                <w:ilvl w:val="1"/>
                <w:numId w:val="954"/>
              </w:numPr>
              <w:tabs>
                <w:tab w:val="left" w:pos="239"/>
              </w:tabs>
              <w:ind w:right="441" w:firstLine="0"/>
              <w:rPr>
                <w:sz w:val="14"/>
              </w:rPr>
            </w:pPr>
            <w:r>
              <w:rPr>
                <w:color w:val="231F20"/>
                <w:sz w:val="14"/>
              </w:rPr>
              <w:t>награђивање и кажњавање.</w:t>
            </w:r>
            <w:r>
              <w:rPr>
                <w:color w:val="231F20"/>
                <w:spacing w:val="-20"/>
                <w:sz w:val="14"/>
              </w:rPr>
              <w:t xml:space="preserve"> </w:t>
            </w:r>
            <w:r>
              <w:rPr>
                <w:color w:val="231F20"/>
                <w:sz w:val="14"/>
              </w:rPr>
              <w:t>одевање ученика...).</w:t>
            </w:r>
          </w:p>
          <w:p w:rsidR="00041039" w:rsidRDefault="001B26CB">
            <w:pPr>
              <w:pStyle w:val="TableParagraph"/>
              <w:numPr>
                <w:ilvl w:val="0"/>
                <w:numId w:val="954"/>
              </w:numPr>
              <w:tabs>
                <w:tab w:val="left" w:pos="158"/>
              </w:tabs>
              <w:spacing w:line="160" w:lineRule="exact"/>
              <w:ind w:right="52"/>
              <w:rPr>
                <w:sz w:val="14"/>
              </w:rPr>
            </w:pPr>
            <w:r>
              <w:rPr>
                <w:color w:val="231F20"/>
                <w:sz w:val="14"/>
              </w:rPr>
              <w:t xml:space="preserve">Образовање и васпитање </w:t>
            </w:r>
            <w:r>
              <w:rPr>
                <w:color w:val="231F20"/>
                <w:spacing w:val="-5"/>
                <w:sz w:val="14"/>
              </w:rPr>
              <w:t xml:space="preserve">код </w:t>
            </w:r>
            <w:r>
              <w:rPr>
                <w:color w:val="231F20"/>
                <w:sz w:val="14"/>
              </w:rPr>
              <w:t>Срба (мана­ стири као центри писмености и образо­ вања; значај Хиландара, просветитељ</w:t>
            </w:r>
            <w:r>
              <w:rPr>
                <w:color w:val="231F20"/>
                <w:sz w:val="14"/>
              </w:rPr>
              <w:t xml:space="preserve">ски рад у устаничкој Србији, оснивање светов­ них </w:t>
            </w:r>
            <w:r>
              <w:rPr>
                <w:color w:val="231F20"/>
                <w:spacing w:val="-3"/>
                <w:sz w:val="14"/>
              </w:rPr>
              <w:t xml:space="preserve">школа, </w:t>
            </w:r>
            <w:r>
              <w:rPr>
                <w:color w:val="231F20"/>
                <w:sz w:val="14"/>
              </w:rPr>
              <w:t xml:space="preserve">оснивање Лицеја, Велике </w:t>
            </w:r>
            <w:r>
              <w:rPr>
                <w:color w:val="231F20"/>
                <w:spacing w:val="-3"/>
                <w:sz w:val="14"/>
              </w:rPr>
              <w:t xml:space="preserve">школе </w:t>
            </w:r>
            <w:r>
              <w:rPr>
                <w:color w:val="231F20"/>
                <w:sz w:val="14"/>
              </w:rPr>
              <w:t xml:space="preserve">и Београдског универзитета; један дан у </w:t>
            </w:r>
            <w:r>
              <w:rPr>
                <w:color w:val="231F20"/>
                <w:spacing w:val="-3"/>
                <w:sz w:val="14"/>
              </w:rPr>
              <w:t xml:space="preserve">школи, школска </w:t>
            </w:r>
            <w:r>
              <w:rPr>
                <w:color w:val="231F20"/>
                <w:sz w:val="14"/>
              </w:rPr>
              <w:t>слава, одевање ученика, школовање женске деце; стипендирање ученика).</w:t>
            </w:r>
          </w:p>
        </w:tc>
        <w:tc>
          <w:tcPr>
            <w:tcW w:w="2267" w:type="dxa"/>
            <w:vMerge/>
            <w:tcBorders>
              <w:top w:val="nil"/>
            </w:tcBorders>
          </w:tcPr>
          <w:p w:rsidR="00041039" w:rsidRDefault="00041039">
            <w:pPr>
              <w:rPr>
                <w:sz w:val="2"/>
                <w:szCs w:val="2"/>
              </w:rPr>
            </w:pPr>
          </w:p>
        </w:tc>
      </w:tr>
      <w:tr w:rsidR="00041039">
        <w:trPr>
          <w:trHeight w:val="3089"/>
        </w:trPr>
        <w:tc>
          <w:tcPr>
            <w:tcW w:w="1304" w:type="dxa"/>
          </w:tcPr>
          <w:p w:rsidR="00041039" w:rsidRDefault="001B26CB">
            <w:pPr>
              <w:pStyle w:val="TableParagraph"/>
              <w:spacing w:before="22"/>
              <w:ind w:left="57"/>
              <w:rPr>
                <w:sz w:val="14"/>
              </w:rPr>
            </w:pPr>
            <w:r>
              <w:rPr>
                <w:color w:val="231F20"/>
                <w:sz w:val="14"/>
              </w:rPr>
              <w:t>Комуникације, путовања и туризам некад и сад</w:t>
            </w:r>
          </w:p>
        </w:tc>
        <w:tc>
          <w:tcPr>
            <w:tcW w:w="1587" w:type="dxa"/>
          </w:tcPr>
          <w:p w:rsidR="00041039" w:rsidRDefault="001B26CB">
            <w:pPr>
              <w:pStyle w:val="TableParagraph"/>
              <w:numPr>
                <w:ilvl w:val="0"/>
                <w:numId w:val="953"/>
              </w:numPr>
              <w:tabs>
                <w:tab w:val="left" w:pos="157"/>
              </w:tabs>
              <w:spacing w:before="12"/>
              <w:ind w:right="82" w:hanging="99"/>
              <w:rPr>
                <w:sz w:val="14"/>
              </w:rPr>
            </w:pPr>
            <w:r>
              <w:rPr>
                <w:color w:val="231F20"/>
                <w:spacing w:val="-3"/>
                <w:sz w:val="14"/>
              </w:rPr>
              <w:t xml:space="preserve">Уочавање </w:t>
            </w:r>
            <w:r>
              <w:rPr>
                <w:color w:val="231F20"/>
                <w:sz w:val="14"/>
              </w:rPr>
              <w:t xml:space="preserve">значаја </w:t>
            </w:r>
            <w:r>
              <w:rPr>
                <w:color w:val="231F20"/>
                <w:spacing w:val="-3"/>
                <w:sz w:val="14"/>
              </w:rPr>
              <w:t xml:space="preserve">ко­ </w:t>
            </w:r>
            <w:r>
              <w:rPr>
                <w:color w:val="231F20"/>
                <w:sz w:val="14"/>
              </w:rPr>
              <w:t>муникација и</w:t>
            </w:r>
            <w:r>
              <w:rPr>
                <w:color w:val="231F20"/>
                <w:spacing w:val="-12"/>
                <w:sz w:val="14"/>
              </w:rPr>
              <w:t xml:space="preserve"> </w:t>
            </w:r>
            <w:r>
              <w:rPr>
                <w:color w:val="231F20"/>
                <w:sz w:val="14"/>
              </w:rPr>
              <w:t>њиховог развоја у историји друштва.</w:t>
            </w:r>
          </w:p>
          <w:p w:rsidR="00041039" w:rsidRDefault="001B26CB">
            <w:pPr>
              <w:pStyle w:val="TableParagraph"/>
              <w:numPr>
                <w:ilvl w:val="0"/>
                <w:numId w:val="953"/>
              </w:numPr>
              <w:tabs>
                <w:tab w:val="left" w:pos="157"/>
              </w:tabs>
              <w:spacing w:line="156" w:lineRule="exact"/>
              <w:ind w:hanging="99"/>
              <w:rPr>
                <w:sz w:val="14"/>
              </w:rPr>
            </w:pPr>
            <w:r>
              <w:rPr>
                <w:color w:val="231F20"/>
                <w:sz w:val="14"/>
              </w:rPr>
              <w:t>Разумевање</w:t>
            </w:r>
            <w:r>
              <w:rPr>
                <w:color w:val="231F20"/>
                <w:spacing w:val="-2"/>
                <w:sz w:val="14"/>
              </w:rPr>
              <w:t xml:space="preserve"> </w:t>
            </w:r>
            <w:r>
              <w:rPr>
                <w:color w:val="231F20"/>
                <w:sz w:val="14"/>
              </w:rPr>
              <w:t>утицаја</w:t>
            </w:r>
          </w:p>
          <w:p w:rsidR="00041039" w:rsidRDefault="001B26CB">
            <w:pPr>
              <w:pStyle w:val="TableParagraph"/>
              <w:ind w:right="15"/>
              <w:rPr>
                <w:sz w:val="14"/>
              </w:rPr>
            </w:pPr>
            <w:r>
              <w:rPr>
                <w:color w:val="231F20"/>
                <w:sz w:val="14"/>
              </w:rPr>
              <w:t>комуникација на упознавање и при­ ближавање држава, народа и њихових култура.</w:t>
            </w:r>
          </w:p>
        </w:tc>
        <w:tc>
          <w:tcPr>
            <w:tcW w:w="2551" w:type="dxa"/>
          </w:tcPr>
          <w:p w:rsidR="00041039" w:rsidRDefault="001B26CB">
            <w:pPr>
              <w:pStyle w:val="TableParagraph"/>
              <w:numPr>
                <w:ilvl w:val="0"/>
                <w:numId w:val="952"/>
              </w:numPr>
              <w:tabs>
                <w:tab w:val="left" w:pos="157"/>
              </w:tabs>
              <w:spacing w:before="12"/>
              <w:ind w:right="147" w:hanging="99"/>
              <w:rPr>
                <w:sz w:val="14"/>
              </w:rPr>
            </w:pPr>
            <w:r>
              <w:rPr>
                <w:color w:val="231F20"/>
                <w:sz w:val="14"/>
              </w:rPr>
              <w:t xml:space="preserve">опише развој комуникација </w:t>
            </w:r>
            <w:r>
              <w:rPr>
                <w:color w:val="231F20"/>
                <w:spacing w:val="-3"/>
                <w:sz w:val="14"/>
              </w:rPr>
              <w:t>од</w:t>
            </w:r>
            <w:r>
              <w:rPr>
                <w:color w:val="231F20"/>
                <w:spacing w:val="-20"/>
                <w:sz w:val="14"/>
              </w:rPr>
              <w:t xml:space="preserve"> </w:t>
            </w:r>
            <w:r>
              <w:rPr>
                <w:color w:val="231F20"/>
                <w:sz w:val="14"/>
              </w:rPr>
              <w:t>праис­ торије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952"/>
              </w:numPr>
              <w:tabs>
                <w:tab w:val="left" w:pos="157"/>
              </w:tabs>
              <w:spacing w:before="1" w:line="160" w:lineRule="exact"/>
              <w:ind w:right="134" w:hanging="99"/>
              <w:rPr>
                <w:sz w:val="14"/>
              </w:rPr>
            </w:pPr>
            <w:r>
              <w:rPr>
                <w:color w:val="231F20"/>
                <w:sz w:val="14"/>
              </w:rPr>
              <w:t xml:space="preserve">наведе и упореди карактеристике </w:t>
            </w:r>
            <w:r>
              <w:rPr>
                <w:color w:val="231F20"/>
                <w:spacing w:val="-3"/>
                <w:sz w:val="14"/>
              </w:rPr>
              <w:t xml:space="preserve">ко­ </w:t>
            </w:r>
            <w:r>
              <w:rPr>
                <w:color w:val="231F20"/>
                <w:sz w:val="14"/>
              </w:rPr>
              <w:t>муникације у различитим</w:t>
            </w:r>
            <w:r>
              <w:rPr>
                <w:color w:val="231F20"/>
                <w:spacing w:val="-12"/>
                <w:sz w:val="14"/>
              </w:rPr>
              <w:t xml:space="preserve"> </w:t>
            </w:r>
            <w:r>
              <w:rPr>
                <w:color w:val="231F20"/>
                <w:sz w:val="14"/>
              </w:rPr>
              <w:t>периодима;</w:t>
            </w:r>
          </w:p>
          <w:p w:rsidR="00041039" w:rsidRDefault="001B26CB">
            <w:pPr>
              <w:pStyle w:val="TableParagraph"/>
              <w:numPr>
                <w:ilvl w:val="0"/>
                <w:numId w:val="952"/>
              </w:numPr>
              <w:tabs>
                <w:tab w:val="left" w:pos="157"/>
              </w:tabs>
              <w:spacing w:line="160" w:lineRule="exact"/>
              <w:ind w:right="185" w:hanging="99"/>
              <w:rPr>
                <w:sz w:val="14"/>
              </w:rPr>
            </w:pPr>
            <w:r>
              <w:rPr>
                <w:color w:val="231F20"/>
                <w:sz w:val="14"/>
              </w:rPr>
              <w:t>изведе</w:t>
            </w:r>
            <w:r>
              <w:rPr>
                <w:color w:val="231F20"/>
                <w:spacing w:val="-8"/>
                <w:sz w:val="14"/>
              </w:rPr>
              <w:t xml:space="preserve"> </w:t>
            </w:r>
            <w:r>
              <w:rPr>
                <w:color w:val="231F20"/>
                <w:sz w:val="14"/>
              </w:rPr>
              <w:t>закључак</w:t>
            </w:r>
            <w:r>
              <w:rPr>
                <w:color w:val="231F20"/>
                <w:spacing w:val="-9"/>
                <w:sz w:val="14"/>
              </w:rPr>
              <w:t xml:space="preserve"> </w:t>
            </w:r>
            <w:r>
              <w:rPr>
                <w:color w:val="231F20"/>
                <w:sz w:val="14"/>
              </w:rPr>
              <w:t>о</w:t>
            </w:r>
            <w:r>
              <w:rPr>
                <w:color w:val="231F20"/>
                <w:spacing w:val="-8"/>
                <w:sz w:val="14"/>
              </w:rPr>
              <w:t xml:space="preserve"> </w:t>
            </w:r>
            <w:r>
              <w:rPr>
                <w:color w:val="231F20"/>
                <w:sz w:val="14"/>
              </w:rPr>
              <w:t>значају</w:t>
            </w:r>
            <w:r>
              <w:rPr>
                <w:color w:val="231F20"/>
                <w:spacing w:val="-8"/>
                <w:sz w:val="14"/>
              </w:rPr>
              <w:t xml:space="preserve"> </w:t>
            </w:r>
            <w:r>
              <w:rPr>
                <w:color w:val="231F20"/>
                <w:sz w:val="14"/>
              </w:rPr>
              <w:t xml:space="preserve">комуника­ ције у животу </w:t>
            </w:r>
            <w:r>
              <w:rPr>
                <w:color w:val="231F20"/>
                <w:spacing w:val="-3"/>
                <w:sz w:val="14"/>
              </w:rPr>
              <w:t xml:space="preserve">људи </w:t>
            </w:r>
            <w:r>
              <w:rPr>
                <w:color w:val="231F20"/>
                <w:sz w:val="14"/>
              </w:rPr>
              <w:t>кроз</w:t>
            </w:r>
            <w:r>
              <w:rPr>
                <w:color w:val="231F20"/>
                <w:spacing w:val="-5"/>
                <w:sz w:val="14"/>
              </w:rPr>
              <w:t xml:space="preserve"> </w:t>
            </w:r>
            <w:r>
              <w:rPr>
                <w:color w:val="231F20"/>
                <w:sz w:val="14"/>
              </w:rPr>
              <w:t>историју;</w:t>
            </w:r>
          </w:p>
          <w:p w:rsidR="00041039" w:rsidRDefault="001B26CB">
            <w:pPr>
              <w:pStyle w:val="TableParagraph"/>
              <w:numPr>
                <w:ilvl w:val="0"/>
                <w:numId w:val="952"/>
              </w:numPr>
              <w:tabs>
                <w:tab w:val="left" w:pos="157"/>
              </w:tabs>
              <w:spacing w:line="160" w:lineRule="exact"/>
              <w:ind w:right="247" w:hanging="99"/>
              <w:rPr>
                <w:sz w:val="14"/>
              </w:rPr>
            </w:pPr>
            <w:r>
              <w:rPr>
                <w:color w:val="231F20"/>
                <w:sz w:val="14"/>
              </w:rPr>
              <w:t>разуме последице развоја</w:t>
            </w:r>
            <w:r>
              <w:rPr>
                <w:color w:val="231F20"/>
                <w:spacing w:val="-11"/>
                <w:sz w:val="14"/>
              </w:rPr>
              <w:t xml:space="preserve"> </w:t>
            </w:r>
            <w:r>
              <w:rPr>
                <w:color w:val="231F20"/>
                <w:sz w:val="14"/>
              </w:rPr>
              <w:t>модерних комуникација;</w:t>
            </w:r>
          </w:p>
          <w:p w:rsidR="00041039" w:rsidRDefault="001B26CB">
            <w:pPr>
              <w:pStyle w:val="TableParagraph"/>
              <w:numPr>
                <w:ilvl w:val="0"/>
                <w:numId w:val="952"/>
              </w:numPr>
              <w:tabs>
                <w:tab w:val="left" w:pos="157"/>
              </w:tabs>
              <w:spacing w:line="160" w:lineRule="exact"/>
              <w:ind w:right="287" w:hanging="99"/>
              <w:rPr>
                <w:sz w:val="14"/>
              </w:rPr>
            </w:pPr>
            <w:r>
              <w:rPr>
                <w:color w:val="231F20"/>
                <w:sz w:val="14"/>
              </w:rPr>
              <w:t>изведе закључак о утицају развоја</w:t>
            </w:r>
            <w:r>
              <w:rPr>
                <w:color w:val="231F20"/>
                <w:sz w:val="14"/>
              </w:rPr>
              <w:t xml:space="preserve"> комуникација</w:t>
            </w:r>
            <w:r>
              <w:rPr>
                <w:color w:val="231F20"/>
                <w:spacing w:val="-9"/>
                <w:sz w:val="14"/>
              </w:rPr>
              <w:t xml:space="preserve"> </w:t>
            </w:r>
            <w:r>
              <w:rPr>
                <w:color w:val="231F20"/>
                <w:sz w:val="14"/>
              </w:rPr>
              <w:t>на</w:t>
            </w:r>
            <w:r>
              <w:rPr>
                <w:color w:val="231F20"/>
                <w:spacing w:val="-10"/>
                <w:sz w:val="14"/>
              </w:rPr>
              <w:t xml:space="preserve"> </w:t>
            </w:r>
            <w:r>
              <w:rPr>
                <w:color w:val="231F20"/>
                <w:sz w:val="14"/>
              </w:rPr>
              <w:t>интеграцију</w:t>
            </w:r>
            <w:r>
              <w:rPr>
                <w:color w:val="231F20"/>
                <w:spacing w:val="-10"/>
                <w:sz w:val="14"/>
              </w:rPr>
              <w:t xml:space="preserve"> </w:t>
            </w:r>
            <w:r>
              <w:rPr>
                <w:color w:val="231F20"/>
                <w:sz w:val="14"/>
              </w:rPr>
              <w:t>сваке нације и</w:t>
            </w:r>
            <w:r>
              <w:rPr>
                <w:color w:val="231F20"/>
                <w:spacing w:val="-3"/>
                <w:sz w:val="14"/>
              </w:rPr>
              <w:t xml:space="preserve"> </w:t>
            </w:r>
            <w:r>
              <w:rPr>
                <w:color w:val="231F20"/>
                <w:sz w:val="14"/>
              </w:rPr>
              <w:t>друштва;</w:t>
            </w:r>
          </w:p>
          <w:p w:rsidR="00041039" w:rsidRDefault="001B26CB">
            <w:pPr>
              <w:pStyle w:val="TableParagraph"/>
              <w:numPr>
                <w:ilvl w:val="0"/>
                <w:numId w:val="952"/>
              </w:numPr>
              <w:tabs>
                <w:tab w:val="left" w:pos="157"/>
              </w:tabs>
              <w:spacing w:line="160" w:lineRule="exact"/>
              <w:ind w:right="79" w:hanging="99"/>
              <w:rPr>
                <w:sz w:val="14"/>
              </w:rPr>
            </w:pPr>
            <w:r>
              <w:rPr>
                <w:color w:val="231F20"/>
                <w:sz w:val="14"/>
              </w:rPr>
              <w:t>користи информације са историјске карте и повеже их са стеченим</w:t>
            </w:r>
            <w:r>
              <w:rPr>
                <w:color w:val="231F20"/>
                <w:spacing w:val="-22"/>
                <w:sz w:val="14"/>
              </w:rPr>
              <w:t xml:space="preserve"> </w:t>
            </w:r>
            <w:r>
              <w:rPr>
                <w:color w:val="231F20"/>
                <w:sz w:val="14"/>
              </w:rPr>
              <w:t>знањем о</w:t>
            </w:r>
            <w:r>
              <w:rPr>
                <w:color w:val="231F20"/>
                <w:spacing w:val="-1"/>
                <w:sz w:val="14"/>
              </w:rPr>
              <w:t xml:space="preserve"> </w:t>
            </w:r>
            <w:r>
              <w:rPr>
                <w:color w:val="231F20"/>
                <w:sz w:val="14"/>
              </w:rPr>
              <w:t>комуникацијама;</w:t>
            </w:r>
          </w:p>
          <w:p w:rsidR="00041039" w:rsidRDefault="001B26CB">
            <w:pPr>
              <w:pStyle w:val="TableParagraph"/>
              <w:numPr>
                <w:ilvl w:val="0"/>
                <w:numId w:val="952"/>
              </w:numPr>
              <w:tabs>
                <w:tab w:val="left" w:pos="157"/>
              </w:tabs>
              <w:spacing w:line="160" w:lineRule="exact"/>
              <w:ind w:right="149" w:hanging="99"/>
              <w:rPr>
                <w:sz w:val="14"/>
              </w:rPr>
            </w:pPr>
            <w:r>
              <w:rPr>
                <w:color w:val="231F20"/>
                <w:sz w:val="14"/>
              </w:rPr>
              <w:t>уочи</w:t>
            </w:r>
            <w:r>
              <w:rPr>
                <w:color w:val="231F20"/>
                <w:spacing w:val="-8"/>
                <w:sz w:val="14"/>
              </w:rPr>
              <w:t xml:space="preserve"> </w:t>
            </w:r>
            <w:r>
              <w:rPr>
                <w:color w:val="231F20"/>
                <w:sz w:val="14"/>
              </w:rPr>
              <w:t>утицај</w:t>
            </w:r>
            <w:r>
              <w:rPr>
                <w:color w:val="231F20"/>
                <w:spacing w:val="-8"/>
                <w:sz w:val="14"/>
              </w:rPr>
              <w:t xml:space="preserve"> </w:t>
            </w:r>
            <w:r>
              <w:rPr>
                <w:color w:val="231F20"/>
                <w:sz w:val="14"/>
              </w:rPr>
              <w:t>комуникација</w:t>
            </w:r>
            <w:r>
              <w:rPr>
                <w:color w:val="231F20"/>
                <w:spacing w:val="-8"/>
                <w:sz w:val="14"/>
              </w:rPr>
              <w:t xml:space="preserve"> </w:t>
            </w:r>
            <w:r>
              <w:rPr>
                <w:color w:val="231F20"/>
                <w:sz w:val="14"/>
              </w:rPr>
              <w:t>на</w:t>
            </w:r>
            <w:r>
              <w:rPr>
                <w:color w:val="231F20"/>
                <w:spacing w:val="-9"/>
                <w:sz w:val="14"/>
              </w:rPr>
              <w:t xml:space="preserve"> </w:t>
            </w:r>
            <w:r>
              <w:rPr>
                <w:color w:val="231F20"/>
                <w:sz w:val="14"/>
              </w:rPr>
              <w:t>прибли­ жавање држава, народа и њихових култура.</w:t>
            </w:r>
          </w:p>
        </w:tc>
        <w:tc>
          <w:tcPr>
            <w:tcW w:w="2834" w:type="dxa"/>
          </w:tcPr>
          <w:p w:rsidR="00041039" w:rsidRDefault="001B26CB">
            <w:pPr>
              <w:pStyle w:val="TableParagraph"/>
              <w:numPr>
                <w:ilvl w:val="0"/>
                <w:numId w:val="951"/>
              </w:numPr>
              <w:tabs>
                <w:tab w:val="left" w:pos="158"/>
              </w:tabs>
              <w:spacing w:before="13"/>
              <w:ind w:right="86"/>
              <w:rPr>
                <w:sz w:val="14"/>
              </w:rPr>
            </w:pPr>
            <w:r>
              <w:rPr>
                <w:color w:val="231F20"/>
                <w:sz w:val="14"/>
              </w:rPr>
              <w:t xml:space="preserve">Комуникације, путовања и туризам кроз историју (утицај трговине и војних </w:t>
            </w:r>
            <w:r>
              <w:rPr>
                <w:color w:val="231F20"/>
                <w:spacing w:val="-3"/>
                <w:sz w:val="14"/>
              </w:rPr>
              <w:t xml:space="preserve">похода </w:t>
            </w:r>
            <w:r>
              <w:rPr>
                <w:color w:val="231F20"/>
                <w:sz w:val="14"/>
              </w:rPr>
              <w:t xml:space="preserve">на развој комуникација; ходочашћа ­ света места, мисионари; значајни сајмови, развој </w:t>
            </w:r>
            <w:r>
              <w:rPr>
                <w:color w:val="231F20"/>
                <w:spacing w:val="-3"/>
                <w:sz w:val="14"/>
              </w:rPr>
              <w:t xml:space="preserve">поштанског, </w:t>
            </w:r>
            <w:r>
              <w:rPr>
                <w:color w:val="231F20"/>
                <w:sz w:val="14"/>
              </w:rPr>
              <w:t xml:space="preserve">телеграфског, </w:t>
            </w:r>
            <w:r>
              <w:rPr>
                <w:color w:val="231F20"/>
                <w:spacing w:val="-2"/>
                <w:sz w:val="14"/>
              </w:rPr>
              <w:t xml:space="preserve">телефонског, </w:t>
            </w:r>
            <w:r>
              <w:rPr>
                <w:color w:val="231F20"/>
                <w:spacing w:val="-3"/>
                <w:sz w:val="14"/>
              </w:rPr>
              <w:t xml:space="preserve">железничког, </w:t>
            </w:r>
            <w:r>
              <w:rPr>
                <w:color w:val="231F20"/>
                <w:sz w:val="14"/>
              </w:rPr>
              <w:t xml:space="preserve">аутомобилског и авионског саобраћаја; </w:t>
            </w:r>
            <w:r>
              <w:rPr>
                <w:color w:val="231F20"/>
                <w:spacing w:val="-3"/>
                <w:sz w:val="14"/>
              </w:rPr>
              <w:t>а</w:t>
            </w:r>
            <w:r>
              <w:rPr>
                <w:color w:val="231F20"/>
                <w:spacing w:val="-3"/>
                <w:sz w:val="14"/>
              </w:rPr>
              <w:t xml:space="preserve">уто </w:t>
            </w:r>
            <w:r>
              <w:rPr>
                <w:color w:val="231F20"/>
                <w:sz w:val="14"/>
              </w:rPr>
              <w:t xml:space="preserve">и авио клубови, новине и новинарство, </w:t>
            </w:r>
            <w:r>
              <w:rPr>
                <w:color w:val="231F20"/>
                <w:spacing w:val="-2"/>
                <w:sz w:val="14"/>
              </w:rPr>
              <w:t xml:space="preserve">Интернет, </w:t>
            </w:r>
            <w:r>
              <w:rPr>
                <w:color w:val="231F20"/>
                <w:sz w:val="14"/>
              </w:rPr>
              <w:t>откривање нових дестинација, гостионице и хотели,</w:t>
            </w:r>
            <w:r>
              <w:rPr>
                <w:color w:val="231F20"/>
                <w:spacing w:val="-7"/>
                <w:sz w:val="14"/>
              </w:rPr>
              <w:t xml:space="preserve"> </w:t>
            </w:r>
            <w:r>
              <w:rPr>
                <w:color w:val="231F20"/>
                <w:sz w:val="14"/>
              </w:rPr>
              <w:t>бање).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4040"/>
        </w:trPr>
        <w:tc>
          <w:tcPr>
            <w:tcW w:w="1304" w:type="dxa"/>
          </w:tcPr>
          <w:p w:rsidR="00041039" w:rsidRDefault="001B26CB">
            <w:pPr>
              <w:pStyle w:val="TableParagraph"/>
              <w:spacing w:before="18"/>
              <w:ind w:left="56" w:right="58"/>
              <w:rPr>
                <w:sz w:val="14"/>
              </w:rPr>
            </w:pPr>
            <w:r>
              <w:rPr>
                <w:color w:val="231F20"/>
                <w:sz w:val="14"/>
              </w:rPr>
              <w:lastRenderedPageBreak/>
              <w:t>Друштвени и поро­ дични живот кроз историју</w:t>
            </w:r>
          </w:p>
        </w:tc>
        <w:tc>
          <w:tcPr>
            <w:tcW w:w="1587" w:type="dxa"/>
          </w:tcPr>
          <w:p w:rsidR="00041039" w:rsidRDefault="001B26CB">
            <w:pPr>
              <w:pStyle w:val="TableParagraph"/>
              <w:numPr>
                <w:ilvl w:val="0"/>
                <w:numId w:val="950"/>
              </w:numPr>
              <w:tabs>
                <w:tab w:val="left" w:pos="157"/>
              </w:tabs>
              <w:spacing w:before="8"/>
              <w:ind w:right="113"/>
              <w:jc w:val="both"/>
              <w:rPr>
                <w:sz w:val="14"/>
              </w:rPr>
            </w:pPr>
            <w:r>
              <w:rPr>
                <w:color w:val="231F20"/>
                <w:sz w:val="14"/>
              </w:rPr>
              <w:t>Продубљивање</w:t>
            </w:r>
            <w:r>
              <w:rPr>
                <w:color w:val="231F20"/>
                <w:spacing w:val="-13"/>
                <w:sz w:val="14"/>
              </w:rPr>
              <w:t xml:space="preserve"> </w:t>
            </w:r>
            <w:r>
              <w:rPr>
                <w:color w:val="231F20"/>
                <w:sz w:val="14"/>
              </w:rPr>
              <w:t>знања о развоју друштвеног и породичног живота кроз</w:t>
            </w:r>
            <w:r>
              <w:rPr>
                <w:color w:val="231F20"/>
                <w:spacing w:val="-2"/>
                <w:sz w:val="14"/>
              </w:rPr>
              <w:t xml:space="preserve"> </w:t>
            </w:r>
            <w:r>
              <w:rPr>
                <w:color w:val="231F20"/>
                <w:sz w:val="14"/>
              </w:rPr>
              <w:t>историју.</w:t>
            </w:r>
          </w:p>
          <w:p w:rsidR="00041039" w:rsidRDefault="001B26CB">
            <w:pPr>
              <w:pStyle w:val="TableParagraph"/>
              <w:numPr>
                <w:ilvl w:val="0"/>
                <w:numId w:val="950"/>
              </w:numPr>
              <w:tabs>
                <w:tab w:val="left" w:pos="157"/>
              </w:tabs>
              <w:spacing w:line="156" w:lineRule="exact"/>
              <w:rPr>
                <w:sz w:val="14"/>
              </w:rPr>
            </w:pPr>
            <w:r>
              <w:rPr>
                <w:color w:val="231F20"/>
                <w:spacing w:val="-3"/>
                <w:sz w:val="14"/>
              </w:rPr>
              <w:t xml:space="preserve">Уочавање </w:t>
            </w:r>
            <w:r>
              <w:rPr>
                <w:color w:val="231F20"/>
                <w:sz w:val="14"/>
              </w:rPr>
              <w:t>сличности</w:t>
            </w:r>
            <w:r>
              <w:rPr>
                <w:color w:val="231F20"/>
                <w:spacing w:val="5"/>
                <w:sz w:val="14"/>
              </w:rPr>
              <w:t xml:space="preserve"> </w:t>
            </w:r>
            <w:r>
              <w:rPr>
                <w:color w:val="231F20"/>
                <w:sz w:val="14"/>
              </w:rPr>
              <w:t>и</w:t>
            </w:r>
          </w:p>
          <w:p w:rsidR="00041039" w:rsidRDefault="001B26CB">
            <w:pPr>
              <w:pStyle w:val="TableParagraph"/>
              <w:ind w:right="81"/>
              <w:jc w:val="both"/>
              <w:rPr>
                <w:sz w:val="14"/>
              </w:rPr>
            </w:pPr>
            <w:r>
              <w:rPr>
                <w:color w:val="231F20"/>
                <w:sz w:val="14"/>
              </w:rPr>
              <w:t>разлика у</w:t>
            </w:r>
            <w:r>
              <w:rPr>
                <w:color w:val="231F20"/>
                <w:spacing w:val="-9"/>
                <w:sz w:val="14"/>
              </w:rPr>
              <w:t xml:space="preserve"> </w:t>
            </w:r>
            <w:r>
              <w:rPr>
                <w:color w:val="231F20"/>
                <w:sz w:val="14"/>
              </w:rPr>
              <w:t>друштвеном и породичном животу некад и</w:t>
            </w:r>
            <w:r>
              <w:rPr>
                <w:color w:val="231F20"/>
                <w:spacing w:val="-2"/>
                <w:sz w:val="14"/>
              </w:rPr>
              <w:t xml:space="preserve"> </w:t>
            </w:r>
            <w:r>
              <w:rPr>
                <w:color w:val="231F20"/>
                <w:sz w:val="14"/>
              </w:rPr>
              <w:t>сад.</w:t>
            </w:r>
          </w:p>
          <w:p w:rsidR="00041039" w:rsidRDefault="001B26CB">
            <w:pPr>
              <w:pStyle w:val="TableParagraph"/>
              <w:numPr>
                <w:ilvl w:val="0"/>
                <w:numId w:val="950"/>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друштвеном и по­ родичном животу код Срба кроз историју.</w:t>
            </w:r>
          </w:p>
        </w:tc>
        <w:tc>
          <w:tcPr>
            <w:tcW w:w="2551" w:type="dxa"/>
          </w:tcPr>
          <w:p w:rsidR="00041039" w:rsidRDefault="001B26CB">
            <w:pPr>
              <w:pStyle w:val="TableParagraph"/>
              <w:numPr>
                <w:ilvl w:val="0"/>
                <w:numId w:val="949"/>
              </w:numPr>
              <w:tabs>
                <w:tab w:val="left" w:pos="157"/>
              </w:tabs>
              <w:spacing w:before="8"/>
              <w:ind w:right="425" w:hanging="99"/>
              <w:rPr>
                <w:sz w:val="14"/>
              </w:rPr>
            </w:pPr>
            <w:r>
              <w:rPr>
                <w:color w:val="231F20"/>
                <w:sz w:val="14"/>
              </w:rPr>
              <w:t xml:space="preserve">идентификује основна обележја друштвеног живота </w:t>
            </w:r>
            <w:r>
              <w:rPr>
                <w:color w:val="231F20"/>
                <w:spacing w:val="-3"/>
                <w:sz w:val="14"/>
              </w:rPr>
              <w:t xml:space="preserve">од </w:t>
            </w:r>
            <w:r>
              <w:rPr>
                <w:color w:val="231F20"/>
                <w:sz w:val="14"/>
              </w:rPr>
              <w:t>антике</w:t>
            </w:r>
            <w:r>
              <w:rPr>
                <w:color w:val="231F20"/>
                <w:spacing w:val="-5"/>
                <w:sz w:val="14"/>
              </w:rPr>
              <w:t xml:space="preserve"> </w:t>
            </w:r>
            <w:r>
              <w:rPr>
                <w:color w:val="231F20"/>
                <w:sz w:val="14"/>
              </w:rPr>
              <w:t>до данас;</w:t>
            </w:r>
          </w:p>
          <w:p w:rsidR="00041039" w:rsidRDefault="001B26CB">
            <w:pPr>
              <w:pStyle w:val="TableParagraph"/>
              <w:numPr>
                <w:ilvl w:val="0"/>
                <w:numId w:val="949"/>
              </w:numPr>
              <w:tabs>
                <w:tab w:val="left" w:pos="157"/>
              </w:tabs>
              <w:spacing w:line="157" w:lineRule="exact"/>
              <w:ind w:hanging="99"/>
              <w:rPr>
                <w:sz w:val="14"/>
              </w:rPr>
            </w:pPr>
            <w:r>
              <w:rPr>
                <w:color w:val="231F20"/>
                <w:sz w:val="14"/>
              </w:rPr>
              <w:t>идентификује основна обележја</w:t>
            </w:r>
            <w:r>
              <w:rPr>
                <w:color w:val="231F20"/>
                <w:spacing w:val="-6"/>
                <w:sz w:val="14"/>
              </w:rPr>
              <w:t xml:space="preserve"> </w:t>
            </w:r>
            <w:r>
              <w:rPr>
                <w:color w:val="231F20"/>
                <w:sz w:val="14"/>
              </w:rPr>
              <w:t>поро­</w:t>
            </w:r>
          </w:p>
          <w:p w:rsidR="00041039" w:rsidRDefault="001B26CB">
            <w:pPr>
              <w:pStyle w:val="TableParagraph"/>
              <w:spacing w:line="155" w:lineRule="exact"/>
              <w:rPr>
                <w:sz w:val="14"/>
              </w:rPr>
            </w:pPr>
            <w:r>
              <w:rPr>
                <w:color w:val="231F20"/>
                <w:sz w:val="14"/>
              </w:rPr>
              <w:t>дичног живота од антике до данас;</w:t>
            </w:r>
          </w:p>
          <w:p w:rsidR="00041039" w:rsidRDefault="001B26CB">
            <w:pPr>
              <w:pStyle w:val="TableParagraph"/>
              <w:numPr>
                <w:ilvl w:val="0"/>
                <w:numId w:val="949"/>
              </w:numPr>
              <w:tabs>
                <w:tab w:val="left" w:pos="157"/>
              </w:tabs>
              <w:spacing w:line="237" w:lineRule="auto"/>
              <w:ind w:right="157" w:hanging="99"/>
              <w:rPr>
                <w:sz w:val="14"/>
              </w:rPr>
            </w:pPr>
            <w:r>
              <w:rPr>
                <w:color w:val="231F20"/>
                <w:sz w:val="14"/>
              </w:rPr>
              <w:t>наведе основна обележја</w:t>
            </w:r>
            <w:r>
              <w:rPr>
                <w:color w:val="231F20"/>
                <w:spacing w:val="-7"/>
                <w:sz w:val="14"/>
              </w:rPr>
              <w:t xml:space="preserve"> </w:t>
            </w:r>
            <w:r>
              <w:rPr>
                <w:color w:val="231F20"/>
                <w:sz w:val="14"/>
              </w:rPr>
              <w:t xml:space="preserve">друштвеног живота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949"/>
              </w:numPr>
              <w:tabs>
                <w:tab w:val="left" w:pos="157"/>
              </w:tabs>
              <w:spacing w:line="160" w:lineRule="exact"/>
              <w:ind w:right="165" w:hanging="99"/>
              <w:rPr>
                <w:sz w:val="14"/>
              </w:rPr>
            </w:pPr>
            <w:r>
              <w:rPr>
                <w:color w:val="231F20"/>
                <w:sz w:val="14"/>
              </w:rPr>
              <w:t>наведе основна обележја</w:t>
            </w:r>
            <w:r>
              <w:rPr>
                <w:color w:val="231F20"/>
                <w:spacing w:val="-11"/>
                <w:sz w:val="14"/>
              </w:rPr>
              <w:t xml:space="preserve"> </w:t>
            </w:r>
            <w:r>
              <w:rPr>
                <w:color w:val="231F20"/>
                <w:sz w:val="14"/>
              </w:rPr>
              <w:t xml:space="preserve">породичног живота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949"/>
              </w:numPr>
              <w:tabs>
                <w:tab w:val="left" w:pos="157"/>
              </w:tabs>
              <w:spacing w:line="160" w:lineRule="exact"/>
              <w:ind w:right="193" w:hanging="99"/>
              <w:rPr>
                <w:sz w:val="14"/>
              </w:rPr>
            </w:pPr>
            <w:r>
              <w:rPr>
                <w:color w:val="231F20"/>
                <w:sz w:val="14"/>
              </w:rPr>
              <w:t>упореди карактеристике</w:t>
            </w:r>
            <w:r>
              <w:rPr>
                <w:color w:val="231F20"/>
                <w:spacing w:val="-14"/>
                <w:sz w:val="14"/>
              </w:rPr>
              <w:t xml:space="preserve"> </w:t>
            </w:r>
            <w:r>
              <w:rPr>
                <w:color w:val="231F20"/>
                <w:sz w:val="14"/>
              </w:rPr>
              <w:t>друштвеног и породичног живота у различитим периодима;</w:t>
            </w:r>
          </w:p>
          <w:p w:rsidR="00041039" w:rsidRDefault="001B26CB">
            <w:pPr>
              <w:pStyle w:val="TableParagraph"/>
              <w:numPr>
                <w:ilvl w:val="0"/>
                <w:numId w:val="949"/>
              </w:numPr>
              <w:tabs>
                <w:tab w:val="left" w:pos="157"/>
              </w:tabs>
              <w:spacing w:line="160" w:lineRule="exact"/>
              <w:ind w:right="134" w:hanging="99"/>
              <w:rPr>
                <w:sz w:val="14"/>
              </w:rPr>
            </w:pPr>
            <w:r>
              <w:rPr>
                <w:color w:val="231F20"/>
                <w:sz w:val="14"/>
              </w:rPr>
              <w:t>уочи сличности и разлике у начину обележавања празника кроз</w:t>
            </w:r>
            <w:r>
              <w:rPr>
                <w:color w:val="231F20"/>
                <w:spacing w:val="-17"/>
                <w:sz w:val="14"/>
              </w:rPr>
              <w:t xml:space="preserve"> </w:t>
            </w:r>
            <w:r>
              <w:rPr>
                <w:color w:val="231F20"/>
                <w:sz w:val="14"/>
              </w:rPr>
              <w:t>историју;</w:t>
            </w:r>
          </w:p>
          <w:p w:rsidR="00041039" w:rsidRDefault="001B26CB">
            <w:pPr>
              <w:pStyle w:val="TableParagraph"/>
              <w:numPr>
                <w:ilvl w:val="0"/>
                <w:numId w:val="949"/>
              </w:numPr>
              <w:tabs>
                <w:tab w:val="left" w:pos="157"/>
              </w:tabs>
              <w:spacing w:line="160" w:lineRule="exact"/>
              <w:ind w:right="266" w:hanging="99"/>
              <w:rPr>
                <w:sz w:val="14"/>
              </w:rPr>
            </w:pPr>
            <w:r>
              <w:rPr>
                <w:color w:val="231F20"/>
                <w:sz w:val="14"/>
              </w:rPr>
              <w:t>истакне одлике друштвеног и по­ родичног живота данас у односу</w:t>
            </w:r>
            <w:r>
              <w:rPr>
                <w:color w:val="231F20"/>
                <w:spacing w:val="-13"/>
                <w:sz w:val="14"/>
              </w:rPr>
              <w:t xml:space="preserve"> </w:t>
            </w:r>
            <w:r>
              <w:rPr>
                <w:color w:val="231F20"/>
                <w:sz w:val="14"/>
              </w:rPr>
              <w:t>на раније</w:t>
            </w:r>
            <w:r>
              <w:rPr>
                <w:color w:val="231F20"/>
                <w:spacing w:val="-1"/>
                <w:sz w:val="14"/>
              </w:rPr>
              <w:t xml:space="preserve"> </w:t>
            </w:r>
            <w:r>
              <w:rPr>
                <w:color w:val="231F20"/>
                <w:sz w:val="14"/>
              </w:rPr>
              <w:t>епохе;</w:t>
            </w:r>
          </w:p>
        </w:tc>
        <w:tc>
          <w:tcPr>
            <w:tcW w:w="2834" w:type="dxa"/>
          </w:tcPr>
          <w:p w:rsidR="00041039" w:rsidRDefault="001B26CB">
            <w:pPr>
              <w:pStyle w:val="TableParagraph"/>
              <w:numPr>
                <w:ilvl w:val="0"/>
                <w:numId w:val="948"/>
              </w:numPr>
              <w:tabs>
                <w:tab w:val="left" w:pos="157"/>
              </w:tabs>
              <w:spacing w:before="8"/>
              <w:ind w:right="51" w:hanging="99"/>
              <w:rPr>
                <w:sz w:val="14"/>
              </w:rPr>
            </w:pPr>
            <w:r>
              <w:rPr>
                <w:color w:val="231F20"/>
                <w:sz w:val="14"/>
              </w:rPr>
              <w:t xml:space="preserve">Друштвени живот </w:t>
            </w:r>
            <w:r>
              <w:rPr>
                <w:color w:val="231F20"/>
                <w:spacing w:val="-3"/>
                <w:sz w:val="14"/>
              </w:rPr>
              <w:t xml:space="preserve">од </w:t>
            </w:r>
            <w:r>
              <w:rPr>
                <w:color w:val="231F20"/>
                <w:sz w:val="14"/>
              </w:rPr>
              <w:t>антике до данас</w:t>
            </w:r>
            <w:r>
              <w:rPr>
                <w:color w:val="231F20"/>
                <w:spacing w:val="-13"/>
                <w:sz w:val="14"/>
              </w:rPr>
              <w:t xml:space="preserve"> </w:t>
            </w:r>
            <w:r>
              <w:rPr>
                <w:color w:val="231F20"/>
                <w:sz w:val="14"/>
              </w:rPr>
              <w:t xml:space="preserve">(игре. гозбе, плес уз </w:t>
            </w:r>
            <w:r>
              <w:rPr>
                <w:color w:val="231F20"/>
                <w:spacing w:val="-3"/>
                <w:sz w:val="14"/>
              </w:rPr>
              <w:t xml:space="preserve">музику, </w:t>
            </w:r>
            <w:r>
              <w:rPr>
                <w:color w:val="231F20"/>
                <w:sz w:val="14"/>
              </w:rPr>
              <w:t>музички инстру­ менти, позориште, маскира</w:t>
            </w:r>
            <w:r>
              <w:rPr>
                <w:color w:val="231F20"/>
                <w:sz w:val="14"/>
              </w:rPr>
              <w:t>ње, трубадури, властеоске гозбе: жонглери, путујући свирачи и забављачи; балови,</w:t>
            </w:r>
            <w:r>
              <w:rPr>
                <w:color w:val="231F20"/>
                <w:spacing w:val="-13"/>
                <w:sz w:val="14"/>
              </w:rPr>
              <w:t xml:space="preserve"> </w:t>
            </w:r>
            <w:r>
              <w:rPr>
                <w:color w:val="231F20"/>
                <w:sz w:val="14"/>
              </w:rPr>
              <w:t>позориште</w:t>
            </w:r>
          </w:p>
          <w:p w:rsidR="00041039" w:rsidRDefault="001B26CB">
            <w:pPr>
              <w:pStyle w:val="TableParagraph"/>
              <w:spacing w:line="237" w:lineRule="auto"/>
              <w:rPr>
                <w:sz w:val="14"/>
              </w:rPr>
            </w:pPr>
            <w:r>
              <w:rPr>
                <w:color w:val="231F20"/>
                <w:sz w:val="14"/>
              </w:rPr>
              <w:t>у доба Шекспира и Молијера, настанак опере, књижевне дружине и читалишта, концерти, биоскопи, игре на срећу, савре­ мена популарна музика).</w:t>
            </w:r>
          </w:p>
          <w:p w:rsidR="00041039" w:rsidRDefault="001B26CB">
            <w:pPr>
              <w:pStyle w:val="TableParagraph"/>
              <w:numPr>
                <w:ilvl w:val="0"/>
                <w:numId w:val="948"/>
              </w:numPr>
              <w:tabs>
                <w:tab w:val="left" w:pos="157"/>
              </w:tabs>
              <w:spacing w:line="237" w:lineRule="auto"/>
              <w:ind w:right="154" w:hanging="99"/>
              <w:rPr>
                <w:sz w:val="14"/>
              </w:rPr>
            </w:pPr>
            <w:r>
              <w:rPr>
                <w:color w:val="231F20"/>
                <w:sz w:val="14"/>
              </w:rPr>
              <w:t xml:space="preserve">Друштвени живот </w:t>
            </w:r>
            <w:r>
              <w:rPr>
                <w:color w:val="231F20"/>
                <w:spacing w:val="-5"/>
                <w:sz w:val="14"/>
              </w:rPr>
              <w:t xml:space="preserve">код </w:t>
            </w:r>
            <w:r>
              <w:rPr>
                <w:color w:val="231F20"/>
                <w:sz w:val="14"/>
              </w:rPr>
              <w:t>Срба кроз историју (основни празници и њихов значај;</w:t>
            </w:r>
            <w:r>
              <w:rPr>
                <w:color w:val="231F20"/>
                <w:spacing w:val="-21"/>
                <w:sz w:val="14"/>
              </w:rPr>
              <w:t xml:space="preserve"> </w:t>
            </w:r>
            <w:r>
              <w:rPr>
                <w:color w:val="231F20"/>
                <w:sz w:val="14"/>
              </w:rPr>
              <w:t>утицај политичких прилика на празнике и праз­ новања, радни и нерадни дани; различити облици друштвених активности на селу и у</w:t>
            </w:r>
            <w:r>
              <w:rPr>
                <w:color w:val="231F20"/>
                <w:spacing w:val="-1"/>
                <w:sz w:val="14"/>
              </w:rPr>
              <w:t xml:space="preserve"> </w:t>
            </w:r>
            <w:r>
              <w:rPr>
                <w:color w:val="231F20"/>
                <w:sz w:val="14"/>
              </w:rPr>
              <w:t>граду...).</w:t>
            </w:r>
          </w:p>
          <w:p w:rsidR="00041039" w:rsidRDefault="001B26CB">
            <w:pPr>
              <w:pStyle w:val="TableParagraph"/>
              <w:numPr>
                <w:ilvl w:val="0"/>
                <w:numId w:val="948"/>
              </w:numPr>
              <w:tabs>
                <w:tab w:val="left" w:pos="157"/>
              </w:tabs>
              <w:spacing w:line="237" w:lineRule="auto"/>
              <w:ind w:right="44" w:hanging="99"/>
              <w:rPr>
                <w:sz w:val="14"/>
              </w:rPr>
            </w:pPr>
            <w:r>
              <w:rPr>
                <w:color w:val="231F20"/>
                <w:sz w:val="14"/>
              </w:rPr>
              <w:t xml:space="preserve">Породични односи </w:t>
            </w:r>
            <w:r>
              <w:rPr>
                <w:color w:val="231F20"/>
                <w:spacing w:val="-3"/>
                <w:sz w:val="14"/>
              </w:rPr>
              <w:t xml:space="preserve">од </w:t>
            </w:r>
            <w:r>
              <w:rPr>
                <w:color w:val="231F20"/>
                <w:sz w:val="14"/>
              </w:rPr>
              <w:t>антике до данас (по­ ложај мушкарца, жене и д</w:t>
            </w:r>
            <w:r>
              <w:rPr>
                <w:color w:val="231F20"/>
                <w:sz w:val="14"/>
              </w:rPr>
              <w:t>етета, свадбени обичаји, однос према старијима,</w:t>
            </w:r>
            <w:r>
              <w:rPr>
                <w:color w:val="231F20"/>
                <w:spacing w:val="-13"/>
                <w:sz w:val="14"/>
              </w:rPr>
              <w:t xml:space="preserve"> </w:t>
            </w:r>
            <w:r>
              <w:rPr>
                <w:color w:val="231F20"/>
                <w:sz w:val="14"/>
              </w:rPr>
              <w:t xml:space="preserve">породични празници, традиционални и модерни </w:t>
            </w:r>
            <w:r>
              <w:rPr>
                <w:color w:val="231F20"/>
                <w:spacing w:val="-3"/>
                <w:sz w:val="14"/>
              </w:rPr>
              <w:t xml:space="preserve">погле­ </w:t>
            </w:r>
            <w:r>
              <w:rPr>
                <w:color w:val="231F20"/>
                <w:sz w:val="14"/>
              </w:rPr>
              <w:t>ди на породицу: промене у односима међу половима...).</w:t>
            </w:r>
          </w:p>
          <w:p w:rsidR="00041039" w:rsidRDefault="001B26CB">
            <w:pPr>
              <w:pStyle w:val="TableParagraph"/>
              <w:numPr>
                <w:ilvl w:val="0"/>
                <w:numId w:val="948"/>
              </w:numPr>
              <w:tabs>
                <w:tab w:val="left" w:pos="157"/>
              </w:tabs>
              <w:spacing w:line="237" w:lineRule="auto"/>
              <w:ind w:right="150" w:hanging="99"/>
              <w:rPr>
                <w:sz w:val="14"/>
              </w:rPr>
            </w:pPr>
            <w:r>
              <w:rPr>
                <w:color w:val="231F20"/>
                <w:sz w:val="14"/>
              </w:rPr>
              <w:t xml:space="preserve">Породични односи </w:t>
            </w:r>
            <w:r>
              <w:rPr>
                <w:color w:val="231F20"/>
                <w:spacing w:val="-5"/>
                <w:sz w:val="14"/>
              </w:rPr>
              <w:t xml:space="preserve">код </w:t>
            </w:r>
            <w:r>
              <w:rPr>
                <w:color w:val="231F20"/>
                <w:sz w:val="14"/>
              </w:rPr>
              <w:t>Срба кроз исто­ рију (положај мушкарца. жене и детета: свадбени обичаји, однос према</w:t>
            </w:r>
            <w:r>
              <w:rPr>
                <w:color w:val="231F20"/>
                <w:spacing w:val="-10"/>
                <w:sz w:val="14"/>
              </w:rPr>
              <w:t xml:space="preserve"> </w:t>
            </w:r>
            <w:r>
              <w:rPr>
                <w:color w:val="231F20"/>
                <w:sz w:val="14"/>
              </w:rPr>
              <w:t>старијима, породични празници ­ крсна</w:t>
            </w:r>
            <w:r>
              <w:rPr>
                <w:color w:val="231F20"/>
                <w:spacing w:val="-7"/>
                <w:sz w:val="14"/>
              </w:rPr>
              <w:t xml:space="preserve"> </w:t>
            </w:r>
            <w:r>
              <w:rPr>
                <w:color w:val="231F20"/>
                <w:sz w:val="14"/>
              </w:rPr>
              <w:t>слава...)</w:t>
            </w:r>
          </w:p>
        </w:tc>
        <w:tc>
          <w:tcPr>
            <w:tcW w:w="2267" w:type="dxa"/>
            <w:vMerge w:val="restart"/>
          </w:tcPr>
          <w:p w:rsidR="00041039" w:rsidRDefault="001B26CB">
            <w:pPr>
              <w:pStyle w:val="TableParagraph"/>
              <w:spacing w:before="21" w:line="235" w:lineRule="auto"/>
              <w:ind w:left="58" w:right="13"/>
              <w:rPr>
                <w:sz w:val="14"/>
              </w:rPr>
            </w:pPr>
            <w:r>
              <w:rPr>
                <w:color w:val="231F20"/>
                <w:sz w:val="14"/>
              </w:rPr>
              <w:t xml:space="preserve">C. Бојанин, </w:t>
            </w:r>
            <w:r>
              <w:rPr>
                <w:i/>
                <w:color w:val="231F20"/>
                <w:sz w:val="14"/>
              </w:rPr>
              <w:t>Забаве и светковине у средњовековној Србији (од краја XII до крајаХV века)</w:t>
            </w:r>
            <w:r>
              <w:rPr>
                <w:color w:val="231F20"/>
                <w:sz w:val="14"/>
              </w:rPr>
              <w:t>, Београд 2005.</w:t>
            </w:r>
          </w:p>
          <w:p w:rsidR="00041039" w:rsidRDefault="001B26CB">
            <w:pPr>
              <w:pStyle w:val="TableParagraph"/>
              <w:spacing w:before="1" w:line="235" w:lineRule="auto"/>
              <w:ind w:left="58"/>
              <w:rPr>
                <w:sz w:val="14"/>
              </w:rPr>
            </w:pPr>
            <w:r>
              <w:rPr>
                <w:color w:val="231F20"/>
                <w:sz w:val="14"/>
              </w:rPr>
              <w:t xml:space="preserve">Е. Бухари, </w:t>
            </w:r>
            <w:r>
              <w:rPr>
                <w:i/>
                <w:color w:val="231F20"/>
                <w:sz w:val="14"/>
              </w:rPr>
              <w:t>Наполеонов</w:t>
            </w:r>
            <w:r>
              <w:rPr>
                <w:i/>
                <w:color w:val="231F20"/>
                <w:sz w:val="14"/>
              </w:rPr>
              <w:t>а гардијска коњица</w:t>
            </w:r>
            <w:r>
              <w:rPr>
                <w:color w:val="231F20"/>
                <w:sz w:val="14"/>
              </w:rPr>
              <w:t>, Београд 2006.</w:t>
            </w:r>
          </w:p>
          <w:p w:rsidR="00041039" w:rsidRDefault="001B26CB">
            <w:pPr>
              <w:pStyle w:val="TableParagraph"/>
              <w:spacing w:before="1" w:line="235" w:lineRule="auto"/>
              <w:ind w:left="58"/>
              <w:rPr>
                <w:sz w:val="14"/>
              </w:rPr>
            </w:pPr>
            <w:r>
              <w:rPr>
                <w:color w:val="231F20"/>
                <w:sz w:val="14"/>
              </w:rPr>
              <w:t xml:space="preserve">А. Веселиновић, Р. Љушић, </w:t>
            </w:r>
            <w:r>
              <w:rPr>
                <w:i/>
                <w:color w:val="231F20"/>
                <w:sz w:val="14"/>
              </w:rPr>
              <w:t>Српске династије</w:t>
            </w:r>
            <w:r>
              <w:rPr>
                <w:color w:val="231F20"/>
                <w:sz w:val="14"/>
              </w:rPr>
              <w:t>, Нови Сад 2001.</w:t>
            </w:r>
          </w:p>
          <w:p w:rsidR="00041039" w:rsidRDefault="001B26CB">
            <w:pPr>
              <w:pStyle w:val="TableParagraph"/>
              <w:spacing w:before="1" w:line="235" w:lineRule="auto"/>
              <w:ind w:left="58" w:right="109"/>
              <w:rPr>
                <w:sz w:val="14"/>
              </w:rPr>
            </w:pPr>
            <w:r>
              <w:rPr>
                <w:color w:val="231F20"/>
                <w:sz w:val="14"/>
              </w:rPr>
              <w:t xml:space="preserve">П. Билар, </w:t>
            </w:r>
            <w:r>
              <w:rPr>
                <w:i/>
                <w:color w:val="231F20"/>
                <w:sz w:val="14"/>
              </w:rPr>
              <w:t>Злато и новац у повијести 1450 - 1920</w:t>
            </w:r>
            <w:r>
              <w:rPr>
                <w:color w:val="231F20"/>
                <w:sz w:val="14"/>
              </w:rPr>
              <w:t>, Београд</w:t>
            </w:r>
          </w:p>
          <w:p w:rsidR="00041039" w:rsidRDefault="001B26CB">
            <w:pPr>
              <w:pStyle w:val="TableParagraph"/>
              <w:spacing w:line="157" w:lineRule="exact"/>
              <w:ind w:left="58"/>
              <w:rPr>
                <w:sz w:val="14"/>
              </w:rPr>
            </w:pPr>
            <w:r>
              <w:rPr>
                <w:color w:val="231F20"/>
                <w:sz w:val="14"/>
              </w:rPr>
              <w:t>1990.</w:t>
            </w:r>
          </w:p>
          <w:p w:rsidR="00041039" w:rsidRDefault="001B26CB">
            <w:pPr>
              <w:pStyle w:val="TableParagraph"/>
              <w:spacing w:before="1" w:line="235" w:lineRule="auto"/>
              <w:ind w:left="58"/>
              <w:rPr>
                <w:i/>
                <w:sz w:val="14"/>
              </w:rPr>
            </w:pPr>
            <w:r>
              <w:rPr>
                <w:color w:val="231F20"/>
                <w:sz w:val="14"/>
              </w:rPr>
              <w:t xml:space="preserve">А. Вулетић, Ј. Мијаиловић, </w:t>
            </w:r>
            <w:r>
              <w:rPr>
                <w:i/>
                <w:color w:val="231F20"/>
                <w:sz w:val="14"/>
              </w:rPr>
              <w:t>Између посела и балова</w:t>
            </w:r>
            <w:r>
              <w:rPr>
                <w:color w:val="231F20"/>
                <w:sz w:val="14"/>
              </w:rPr>
              <w:t xml:space="preserve">. </w:t>
            </w:r>
            <w:r>
              <w:rPr>
                <w:i/>
                <w:color w:val="231F20"/>
                <w:sz w:val="14"/>
              </w:rPr>
              <w:t>Живот у Србији у</w:t>
            </w:r>
          </w:p>
          <w:p w:rsidR="00041039" w:rsidRDefault="001B26CB">
            <w:pPr>
              <w:pStyle w:val="TableParagraph"/>
              <w:spacing w:line="157" w:lineRule="exact"/>
              <w:ind w:left="58"/>
              <w:rPr>
                <w:sz w:val="14"/>
              </w:rPr>
            </w:pPr>
            <w:r>
              <w:rPr>
                <w:i/>
                <w:color w:val="231F20"/>
                <w:sz w:val="14"/>
              </w:rPr>
              <w:t>19. веку</w:t>
            </w:r>
            <w:r>
              <w:rPr>
                <w:color w:val="231F20"/>
                <w:sz w:val="14"/>
              </w:rPr>
              <w:t>, Београд 2005.</w:t>
            </w:r>
          </w:p>
          <w:p w:rsidR="00041039" w:rsidRDefault="001B26CB">
            <w:pPr>
              <w:pStyle w:val="TableParagraph"/>
              <w:spacing w:before="1" w:line="235" w:lineRule="auto"/>
              <w:ind w:left="58" w:right="75"/>
              <w:rPr>
                <w:sz w:val="14"/>
              </w:rPr>
            </w:pPr>
            <w:r>
              <w:rPr>
                <w:color w:val="231F20"/>
                <w:sz w:val="14"/>
              </w:rPr>
              <w:t xml:space="preserve">Р. Вучетић, </w:t>
            </w:r>
            <w:r>
              <w:rPr>
                <w:i/>
                <w:color w:val="231F20"/>
                <w:sz w:val="14"/>
              </w:rPr>
              <w:t>Престоница независне Србије (1878 - 1918)</w:t>
            </w:r>
            <w:r>
              <w:rPr>
                <w:color w:val="231F20"/>
                <w:sz w:val="14"/>
              </w:rPr>
              <w:t xml:space="preserve">, Београд 2008. К. Гравет, </w:t>
            </w:r>
            <w:r>
              <w:rPr>
                <w:i/>
                <w:color w:val="231F20"/>
                <w:sz w:val="14"/>
              </w:rPr>
              <w:t>Витезови</w:t>
            </w:r>
            <w:r>
              <w:rPr>
                <w:color w:val="231F20"/>
                <w:sz w:val="14"/>
              </w:rPr>
              <w:t xml:space="preserve">, Београд 2006. С. Димитријевић, </w:t>
            </w:r>
            <w:r>
              <w:rPr>
                <w:i/>
                <w:color w:val="231F20"/>
                <w:sz w:val="14"/>
              </w:rPr>
              <w:t>Средњовековни српски новац</w:t>
            </w:r>
            <w:r>
              <w:rPr>
                <w:color w:val="231F20"/>
                <w:sz w:val="14"/>
              </w:rPr>
              <w:t>, Београд 1997.</w:t>
            </w:r>
          </w:p>
          <w:p w:rsidR="00041039" w:rsidRDefault="001B26CB">
            <w:pPr>
              <w:pStyle w:val="TableParagraph"/>
              <w:spacing w:before="1" w:line="235" w:lineRule="auto"/>
              <w:ind w:left="58" w:right="55"/>
              <w:rPr>
                <w:sz w:val="14"/>
              </w:rPr>
            </w:pPr>
            <w:r>
              <w:rPr>
                <w:color w:val="231F20"/>
                <w:sz w:val="14"/>
              </w:rPr>
              <w:t xml:space="preserve">Љ. Димић, </w:t>
            </w:r>
            <w:r>
              <w:rPr>
                <w:i/>
                <w:color w:val="231F20"/>
                <w:sz w:val="14"/>
              </w:rPr>
              <w:t>Културна политика у Краљевини Југославији 1918 - 1941, I - III</w:t>
            </w:r>
            <w:r>
              <w:rPr>
                <w:color w:val="231F20"/>
                <w:sz w:val="14"/>
              </w:rPr>
              <w:t>, Београд 1996.</w:t>
            </w:r>
          </w:p>
          <w:p w:rsidR="00041039" w:rsidRDefault="001B26CB">
            <w:pPr>
              <w:pStyle w:val="TableParagraph"/>
              <w:spacing w:before="1" w:line="235" w:lineRule="auto"/>
              <w:ind w:left="58"/>
              <w:rPr>
                <w:sz w:val="14"/>
              </w:rPr>
            </w:pPr>
            <w:r>
              <w:rPr>
                <w:color w:val="231F20"/>
                <w:sz w:val="14"/>
              </w:rPr>
              <w:t>А. Ђу</w:t>
            </w:r>
            <w:r>
              <w:rPr>
                <w:color w:val="231F20"/>
                <w:sz w:val="14"/>
              </w:rPr>
              <w:t xml:space="preserve">ровић, </w:t>
            </w:r>
            <w:r>
              <w:rPr>
                <w:i/>
                <w:color w:val="231F20"/>
                <w:sz w:val="14"/>
              </w:rPr>
              <w:t>Модернизација образовања у Краљевини Србији 1905 - 1914</w:t>
            </w:r>
            <w:r>
              <w:rPr>
                <w:color w:val="231F20"/>
                <w:sz w:val="14"/>
              </w:rPr>
              <w:t>, Београд 2004.</w:t>
            </w:r>
          </w:p>
          <w:p w:rsidR="00041039" w:rsidRDefault="001B26CB">
            <w:pPr>
              <w:pStyle w:val="TableParagraph"/>
              <w:spacing w:before="1" w:line="235" w:lineRule="auto"/>
              <w:ind w:left="58" w:right="103"/>
              <w:rPr>
                <w:sz w:val="14"/>
              </w:rPr>
            </w:pPr>
            <w:r>
              <w:rPr>
                <w:i/>
                <w:color w:val="231F20"/>
                <w:sz w:val="14"/>
              </w:rPr>
              <w:t>Историја приватног живота, I-V</w:t>
            </w:r>
            <w:r>
              <w:rPr>
                <w:color w:val="231F20"/>
                <w:sz w:val="14"/>
              </w:rPr>
              <w:t>, приредили Ф. Аријес и Ж. Диби, Београд 2000 ­ 2004.</w:t>
            </w:r>
          </w:p>
          <w:p w:rsidR="00041039" w:rsidRDefault="001B26CB">
            <w:pPr>
              <w:pStyle w:val="TableParagraph"/>
              <w:spacing w:before="1" w:line="235" w:lineRule="auto"/>
              <w:ind w:left="58"/>
              <w:rPr>
                <w:sz w:val="14"/>
              </w:rPr>
            </w:pPr>
            <w:r>
              <w:rPr>
                <w:color w:val="231F20"/>
                <w:sz w:val="14"/>
              </w:rPr>
              <w:t xml:space="preserve">М. Јовановић ­ Стојимировић, </w:t>
            </w:r>
            <w:r>
              <w:rPr>
                <w:i/>
                <w:color w:val="231F20"/>
                <w:sz w:val="14"/>
              </w:rPr>
              <w:t>Силуете старог Београда</w:t>
            </w:r>
            <w:r>
              <w:rPr>
                <w:color w:val="231F20"/>
                <w:sz w:val="14"/>
              </w:rPr>
              <w:t>, Београд 2008.</w:t>
            </w:r>
          </w:p>
          <w:p w:rsidR="00041039" w:rsidRDefault="001B26CB">
            <w:pPr>
              <w:pStyle w:val="TableParagraph"/>
              <w:spacing w:before="1" w:line="235" w:lineRule="auto"/>
              <w:ind w:left="58" w:right="250"/>
              <w:rPr>
                <w:sz w:val="14"/>
              </w:rPr>
            </w:pPr>
            <w:r>
              <w:rPr>
                <w:color w:val="231F20"/>
                <w:sz w:val="14"/>
              </w:rPr>
              <w:t xml:space="preserve">Д. Косановић. </w:t>
            </w:r>
            <w:r>
              <w:rPr>
                <w:i/>
                <w:color w:val="231F20"/>
                <w:sz w:val="14"/>
              </w:rPr>
              <w:t>Почеци кинем</w:t>
            </w:r>
            <w:r>
              <w:rPr>
                <w:i/>
                <w:color w:val="231F20"/>
                <w:sz w:val="14"/>
              </w:rPr>
              <w:t>атографије на тлу Југославије 1896 - 1918</w:t>
            </w:r>
            <w:r>
              <w:rPr>
                <w:color w:val="231F20"/>
                <w:sz w:val="14"/>
              </w:rPr>
              <w:t>, Београд</w:t>
            </w:r>
          </w:p>
          <w:p w:rsidR="00041039" w:rsidRDefault="001B26CB">
            <w:pPr>
              <w:pStyle w:val="TableParagraph"/>
              <w:spacing w:line="158" w:lineRule="exact"/>
              <w:ind w:left="58"/>
              <w:rPr>
                <w:sz w:val="14"/>
              </w:rPr>
            </w:pPr>
            <w:r>
              <w:rPr>
                <w:color w:val="231F20"/>
                <w:sz w:val="14"/>
              </w:rPr>
              <w:t>1985.</w:t>
            </w:r>
          </w:p>
          <w:p w:rsidR="00041039" w:rsidRDefault="001B26CB">
            <w:pPr>
              <w:pStyle w:val="TableParagraph"/>
              <w:spacing w:before="1" w:line="235" w:lineRule="auto"/>
              <w:ind w:left="58"/>
              <w:rPr>
                <w:sz w:val="14"/>
              </w:rPr>
            </w:pPr>
            <w:r>
              <w:rPr>
                <w:i/>
                <w:color w:val="231F20"/>
                <w:sz w:val="14"/>
              </w:rPr>
              <w:t>Лексикон српског средњег века</w:t>
            </w:r>
            <w:r>
              <w:rPr>
                <w:color w:val="231F20"/>
                <w:sz w:val="14"/>
              </w:rPr>
              <w:t>, приредили С. Ћирковић и Р. Михаљчић, Београд 1999.</w:t>
            </w:r>
          </w:p>
          <w:p w:rsidR="00041039" w:rsidRDefault="001B26CB">
            <w:pPr>
              <w:pStyle w:val="TableParagraph"/>
              <w:spacing w:before="1" w:line="235" w:lineRule="auto"/>
              <w:ind w:left="58" w:right="109"/>
              <w:rPr>
                <w:sz w:val="14"/>
              </w:rPr>
            </w:pPr>
            <w:r>
              <w:rPr>
                <w:color w:val="231F20"/>
                <w:sz w:val="14"/>
              </w:rPr>
              <w:t xml:space="preserve">П. Ј. Марковић, </w:t>
            </w:r>
            <w:r>
              <w:rPr>
                <w:i/>
                <w:color w:val="231F20"/>
                <w:sz w:val="14"/>
              </w:rPr>
              <w:t>Београд 1918 - 1941</w:t>
            </w:r>
            <w:r>
              <w:rPr>
                <w:color w:val="231F20"/>
                <w:sz w:val="14"/>
              </w:rPr>
              <w:t>, Београд 1992.</w:t>
            </w:r>
          </w:p>
          <w:p w:rsidR="00041039" w:rsidRDefault="001B26CB">
            <w:pPr>
              <w:pStyle w:val="TableParagraph"/>
              <w:spacing w:line="235" w:lineRule="auto"/>
              <w:ind w:left="58"/>
              <w:rPr>
                <w:sz w:val="14"/>
              </w:rPr>
            </w:pPr>
            <w:r>
              <w:rPr>
                <w:color w:val="231F20"/>
                <w:sz w:val="14"/>
              </w:rPr>
              <w:t xml:space="preserve">П. Ј. Марковић, </w:t>
            </w:r>
            <w:r>
              <w:rPr>
                <w:i/>
                <w:color w:val="231F20"/>
                <w:sz w:val="14"/>
              </w:rPr>
              <w:t>Београд између Истока и Запада 1948 - 1965</w:t>
            </w:r>
            <w:r>
              <w:rPr>
                <w:color w:val="231F20"/>
                <w:sz w:val="14"/>
              </w:rPr>
              <w:t>,</w:t>
            </w:r>
          </w:p>
          <w:p w:rsidR="00041039" w:rsidRDefault="001B26CB">
            <w:pPr>
              <w:pStyle w:val="TableParagraph"/>
              <w:spacing w:line="157" w:lineRule="exact"/>
              <w:ind w:left="58"/>
              <w:rPr>
                <w:sz w:val="14"/>
              </w:rPr>
            </w:pPr>
            <w:r>
              <w:rPr>
                <w:color w:val="231F20"/>
                <w:sz w:val="14"/>
              </w:rPr>
              <w:t>Београд 1996.</w:t>
            </w:r>
          </w:p>
          <w:p w:rsidR="00041039" w:rsidRDefault="001B26CB">
            <w:pPr>
              <w:pStyle w:val="TableParagraph"/>
              <w:spacing w:before="2" w:line="235" w:lineRule="auto"/>
              <w:ind w:left="58" w:right="51"/>
              <w:rPr>
                <w:sz w:val="14"/>
              </w:rPr>
            </w:pPr>
            <w:r>
              <w:rPr>
                <w:color w:val="231F20"/>
                <w:sz w:val="14"/>
              </w:rPr>
              <w:t xml:space="preserve">П. Ј. Марковић, </w:t>
            </w:r>
            <w:r>
              <w:rPr>
                <w:i/>
                <w:color w:val="231F20"/>
                <w:sz w:val="14"/>
              </w:rPr>
              <w:t>Трајност и промена. Друштвена историја социјалистичке свакодневице у Југославији и Србији</w:t>
            </w:r>
            <w:r>
              <w:rPr>
                <w:color w:val="231F20"/>
                <w:sz w:val="14"/>
              </w:rPr>
              <w:t xml:space="preserve">, Београд 2007. М. Милићевић, </w:t>
            </w:r>
            <w:r>
              <w:rPr>
                <w:i/>
                <w:color w:val="231F20"/>
                <w:sz w:val="14"/>
              </w:rPr>
              <w:t>Грб Србије: развој кроз историју</w:t>
            </w:r>
            <w:r>
              <w:rPr>
                <w:color w:val="231F20"/>
                <w:sz w:val="14"/>
              </w:rPr>
              <w:t>, Београд 1995.</w:t>
            </w:r>
          </w:p>
          <w:p w:rsidR="00041039" w:rsidRDefault="001B26CB">
            <w:pPr>
              <w:pStyle w:val="TableParagraph"/>
              <w:spacing w:before="1" w:line="235" w:lineRule="auto"/>
              <w:ind w:left="58" w:right="104"/>
              <w:rPr>
                <w:sz w:val="14"/>
              </w:rPr>
            </w:pPr>
            <w:r>
              <w:rPr>
                <w:color w:val="231F20"/>
                <w:sz w:val="14"/>
              </w:rPr>
              <w:t xml:space="preserve">Ј. Миодраговић, </w:t>
            </w:r>
            <w:r>
              <w:rPr>
                <w:i/>
                <w:color w:val="231F20"/>
                <w:sz w:val="14"/>
              </w:rPr>
              <w:t xml:space="preserve">Народна </w:t>
            </w:r>
            <w:r>
              <w:rPr>
                <w:i/>
                <w:color w:val="231F20"/>
                <w:sz w:val="14"/>
              </w:rPr>
              <w:t>педагогија у Срба или како наш народ подиже пород свој</w:t>
            </w:r>
            <w:r>
              <w:rPr>
                <w:color w:val="231F20"/>
                <w:sz w:val="14"/>
              </w:rPr>
              <w:t>, Београд 1914.</w:t>
            </w:r>
          </w:p>
          <w:p w:rsidR="00041039" w:rsidRDefault="001B26CB">
            <w:pPr>
              <w:pStyle w:val="TableParagraph"/>
              <w:spacing w:before="2" w:line="235" w:lineRule="auto"/>
              <w:ind w:left="58" w:right="25"/>
              <w:rPr>
                <w:sz w:val="14"/>
              </w:rPr>
            </w:pPr>
            <w:r>
              <w:rPr>
                <w:color w:val="231F20"/>
                <w:sz w:val="14"/>
              </w:rPr>
              <w:t xml:space="preserve">Д. Мрђеновић, А. Палавестра, Д. Спасић, </w:t>
            </w:r>
            <w:r>
              <w:rPr>
                <w:i/>
                <w:color w:val="231F20"/>
                <w:sz w:val="14"/>
              </w:rPr>
              <w:t>Родословне таблице и грбови српских династија и власте- ле</w:t>
            </w:r>
            <w:r>
              <w:rPr>
                <w:color w:val="231F20"/>
                <w:sz w:val="14"/>
              </w:rPr>
              <w:t>, Београд 1987.</w:t>
            </w:r>
          </w:p>
          <w:p w:rsidR="00041039" w:rsidRDefault="001B26CB">
            <w:pPr>
              <w:pStyle w:val="TableParagraph"/>
              <w:spacing w:before="1" w:line="235" w:lineRule="auto"/>
              <w:ind w:left="58"/>
              <w:rPr>
                <w:sz w:val="14"/>
              </w:rPr>
            </w:pPr>
            <w:r>
              <w:rPr>
                <w:i/>
                <w:color w:val="231F20"/>
                <w:sz w:val="14"/>
              </w:rPr>
              <w:t>Образовање код Срба кроз векове</w:t>
            </w:r>
            <w:r>
              <w:rPr>
                <w:color w:val="231F20"/>
                <w:sz w:val="14"/>
              </w:rPr>
              <w:t>, Београд 2001.</w:t>
            </w:r>
          </w:p>
          <w:p w:rsidR="00041039" w:rsidRDefault="001B26CB">
            <w:pPr>
              <w:pStyle w:val="TableParagraph"/>
              <w:spacing w:line="235" w:lineRule="auto"/>
              <w:ind w:left="58"/>
              <w:rPr>
                <w:sz w:val="14"/>
              </w:rPr>
            </w:pPr>
            <w:r>
              <w:rPr>
                <w:color w:val="231F20"/>
                <w:sz w:val="14"/>
              </w:rPr>
              <w:t xml:space="preserve">Е. Пирсон, </w:t>
            </w:r>
            <w:r>
              <w:rPr>
                <w:i/>
                <w:color w:val="231F20"/>
                <w:sz w:val="14"/>
              </w:rPr>
              <w:t>Стара Грчка</w:t>
            </w:r>
            <w:r>
              <w:rPr>
                <w:color w:val="231F20"/>
                <w:sz w:val="14"/>
              </w:rPr>
              <w:t>, Б</w:t>
            </w:r>
            <w:r>
              <w:rPr>
                <w:color w:val="231F20"/>
                <w:sz w:val="14"/>
              </w:rPr>
              <w:t>еоград 2006.</w:t>
            </w:r>
          </w:p>
          <w:p w:rsidR="00041039" w:rsidRDefault="001B26CB">
            <w:pPr>
              <w:pStyle w:val="TableParagraph"/>
              <w:spacing w:before="1" w:line="235" w:lineRule="auto"/>
              <w:ind w:left="58" w:right="31"/>
              <w:rPr>
                <w:sz w:val="14"/>
              </w:rPr>
            </w:pPr>
            <w:r>
              <w:rPr>
                <w:color w:val="231F20"/>
                <w:sz w:val="14"/>
              </w:rPr>
              <w:t xml:space="preserve">Р. Плат, </w:t>
            </w:r>
            <w:r>
              <w:rPr>
                <w:i/>
                <w:color w:val="231F20"/>
                <w:sz w:val="14"/>
              </w:rPr>
              <w:t>Свет филма</w:t>
            </w:r>
            <w:r>
              <w:rPr>
                <w:color w:val="231F20"/>
                <w:sz w:val="14"/>
              </w:rPr>
              <w:t xml:space="preserve">, Београд 2006. </w:t>
            </w:r>
            <w:r>
              <w:rPr>
                <w:i/>
                <w:color w:val="231F20"/>
                <w:sz w:val="14"/>
              </w:rPr>
              <w:t>Приватни живот у српским земљама средњег века</w:t>
            </w:r>
            <w:r>
              <w:rPr>
                <w:color w:val="231F20"/>
                <w:sz w:val="14"/>
              </w:rPr>
              <w:t>, приредиле С. Марјановић ­ Душанић и Д. Поповић, Београд 2004.</w:t>
            </w:r>
          </w:p>
          <w:p w:rsidR="00041039" w:rsidRDefault="001B26CB">
            <w:pPr>
              <w:pStyle w:val="TableParagraph"/>
              <w:spacing w:before="1" w:line="235" w:lineRule="auto"/>
              <w:ind w:left="58"/>
              <w:rPr>
                <w:sz w:val="14"/>
              </w:rPr>
            </w:pPr>
            <w:r>
              <w:rPr>
                <w:i/>
                <w:color w:val="231F20"/>
                <w:sz w:val="14"/>
              </w:rPr>
              <w:t>Приватни живот у српским земљама у освит модерног доба</w:t>
            </w:r>
            <w:r>
              <w:rPr>
                <w:color w:val="231F20"/>
                <w:sz w:val="14"/>
              </w:rPr>
              <w:t xml:space="preserve">, приредио А. Фотић, Београд 2005. </w:t>
            </w:r>
            <w:r>
              <w:rPr>
                <w:i/>
                <w:color w:val="231F20"/>
                <w:sz w:val="14"/>
              </w:rPr>
              <w:t>Приватни живот код Срба у деветнаестом веку. Од краја осам- наестог века до Првог светског рата</w:t>
            </w:r>
            <w:r>
              <w:rPr>
                <w:color w:val="231F20"/>
                <w:sz w:val="14"/>
              </w:rPr>
              <w:t>, приредили А. Столић и Н. Макуљевић, Београд 2006.</w:t>
            </w:r>
          </w:p>
          <w:p w:rsidR="00041039" w:rsidRDefault="001B26CB">
            <w:pPr>
              <w:pStyle w:val="TableParagraph"/>
              <w:spacing w:before="3" w:line="235" w:lineRule="auto"/>
              <w:ind w:left="58"/>
              <w:rPr>
                <w:sz w:val="14"/>
              </w:rPr>
            </w:pPr>
            <w:r>
              <w:rPr>
                <w:i/>
                <w:color w:val="231F20"/>
                <w:sz w:val="14"/>
              </w:rPr>
              <w:t>Приватни живот код Срба у двадесетом веку</w:t>
            </w:r>
            <w:r>
              <w:rPr>
                <w:color w:val="231F20"/>
                <w:sz w:val="14"/>
              </w:rPr>
              <w:t>, приредио М. Ристовић, Београд 2007.</w:t>
            </w:r>
          </w:p>
          <w:p w:rsidR="00041039" w:rsidRDefault="001B26CB">
            <w:pPr>
              <w:pStyle w:val="TableParagraph"/>
              <w:spacing w:before="1" w:line="235" w:lineRule="auto"/>
              <w:ind w:left="58" w:right="61"/>
              <w:rPr>
                <w:sz w:val="14"/>
              </w:rPr>
            </w:pPr>
            <w:r>
              <w:rPr>
                <w:color w:val="231F20"/>
                <w:sz w:val="14"/>
              </w:rPr>
              <w:t xml:space="preserve">Р. Радић, </w:t>
            </w:r>
            <w:r>
              <w:rPr>
                <w:i/>
                <w:color w:val="231F20"/>
                <w:sz w:val="14"/>
              </w:rPr>
              <w:t>Страху позној Визант</w:t>
            </w:r>
            <w:r>
              <w:rPr>
                <w:i/>
                <w:color w:val="231F20"/>
                <w:sz w:val="14"/>
              </w:rPr>
              <w:t>ији I-II</w:t>
            </w:r>
            <w:r>
              <w:rPr>
                <w:color w:val="231F20"/>
                <w:sz w:val="14"/>
              </w:rPr>
              <w:t>, Београд 2000.</w:t>
            </w:r>
          </w:p>
          <w:p w:rsidR="00041039" w:rsidRDefault="001B26CB">
            <w:pPr>
              <w:pStyle w:val="TableParagraph"/>
              <w:spacing w:line="235" w:lineRule="auto"/>
              <w:ind w:left="58"/>
              <w:rPr>
                <w:sz w:val="14"/>
              </w:rPr>
            </w:pPr>
            <w:r>
              <w:rPr>
                <w:color w:val="231F20"/>
                <w:sz w:val="14"/>
              </w:rPr>
              <w:t xml:space="preserve">Р. Радић, </w:t>
            </w:r>
            <w:r>
              <w:rPr>
                <w:i/>
                <w:color w:val="231F20"/>
                <w:sz w:val="14"/>
              </w:rPr>
              <w:t>Византија - пурпур и пергамент</w:t>
            </w:r>
            <w:r>
              <w:rPr>
                <w:color w:val="231F20"/>
                <w:sz w:val="14"/>
              </w:rPr>
              <w:t>, Београд 2006.</w:t>
            </w:r>
          </w:p>
          <w:p w:rsidR="00041039" w:rsidRDefault="001B26CB">
            <w:pPr>
              <w:pStyle w:val="TableParagraph"/>
              <w:spacing w:before="1" w:line="235" w:lineRule="auto"/>
              <w:ind w:left="58"/>
              <w:rPr>
                <w:sz w:val="14"/>
              </w:rPr>
            </w:pPr>
            <w:r>
              <w:rPr>
                <w:color w:val="231F20"/>
                <w:sz w:val="14"/>
              </w:rPr>
              <w:t xml:space="preserve">Р. Радић, </w:t>
            </w:r>
            <w:r>
              <w:rPr>
                <w:i/>
                <w:color w:val="231F20"/>
                <w:sz w:val="14"/>
              </w:rPr>
              <w:t>Цариград - приче са Босфора</w:t>
            </w:r>
            <w:r>
              <w:rPr>
                <w:color w:val="231F20"/>
                <w:sz w:val="14"/>
              </w:rPr>
              <w:t>, Београд 2007.</w:t>
            </w:r>
          </w:p>
          <w:p w:rsidR="00041039" w:rsidRDefault="001B26CB">
            <w:pPr>
              <w:pStyle w:val="TableParagraph"/>
              <w:spacing w:line="235" w:lineRule="auto"/>
              <w:ind w:left="58"/>
              <w:rPr>
                <w:sz w:val="14"/>
              </w:rPr>
            </w:pPr>
            <w:r>
              <w:rPr>
                <w:i/>
                <w:color w:val="231F20"/>
                <w:sz w:val="14"/>
              </w:rPr>
              <w:t>Службено одело у Србији у 19. и 20. веку</w:t>
            </w:r>
            <w:r>
              <w:rPr>
                <w:color w:val="231F20"/>
                <w:sz w:val="14"/>
              </w:rPr>
              <w:t>, Београд 2001.</w:t>
            </w:r>
          </w:p>
          <w:p w:rsidR="00041039" w:rsidRDefault="001B26CB">
            <w:pPr>
              <w:pStyle w:val="TableParagraph"/>
              <w:spacing w:before="3" w:line="158" w:lineRule="exact"/>
              <w:ind w:left="58"/>
              <w:rPr>
                <w:sz w:val="14"/>
              </w:rPr>
            </w:pPr>
            <w:r>
              <w:rPr>
                <w:color w:val="231F20"/>
                <w:sz w:val="14"/>
              </w:rPr>
              <w:t xml:space="preserve">Д. Стојановић, </w:t>
            </w:r>
            <w:r>
              <w:rPr>
                <w:i/>
                <w:color w:val="231F20"/>
                <w:sz w:val="14"/>
              </w:rPr>
              <w:t>Калдрма и асфалт. Урбанизација и европеизација Беогр</w:t>
            </w:r>
            <w:r>
              <w:rPr>
                <w:i/>
                <w:color w:val="231F20"/>
                <w:sz w:val="14"/>
              </w:rPr>
              <w:t>ада 1890 - 1914</w:t>
            </w:r>
            <w:r>
              <w:rPr>
                <w:color w:val="231F20"/>
                <w:sz w:val="14"/>
              </w:rPr>
              <w:t>, Београд 2008.</w:t>
            </w:r>
          </w:p>
        </w:tc>
      </w:tr>
      <w:tr w:rsidR="00041039">
        <w:trPr>
          <w:trHeight w:val="5158"/>
        </w:trPr>
        <w:tc>
          <w:tcPr>
            <w:tcW w:w="1304" w:type="dxa"/>
          </w:tcPr>
          <w:p w:rsidR="00041039" w:rsidRDefault="001B26CB">
            <w:pPr>
              <w:pStyle w:val="TableParagraph"/>
              <w:spacing w:before="22"/>
              <w:ind w:left="56"/>
              <w:rPr>
                <w:sz w:val="14"/>
              </w:rPr>
            </w:pPr>
            <w:r>
              <w:rPr>
                <w:color w:val="231F20"/>
                <w:sz w:val="14"/>
              </w:rPr>
              <w:t>Фотографија, филм, радио и телевизија кроз историју</w:t>
            </w:r>
          </w:p>
        </w:tc>
        <w:tc>
          <w:tcPr>
            <w:tcW w:w="1587" w:type="dxa"/>
          </w:tcPr>
          <w:p w:rsidR="00041039" w:rsidRDefault="001B26CB">
            <w:pPr>
              <w:pStyle w:val="TableParagraph"/>
              <w:numPr>
                <w:ilvl w:val="0"/>
                <w:numId w:val="947"/>
              </w:numPr>
              <w:tabs>
                <w:tab w:val="left" w:pos="157"/>
              </w:tabs>
              <w:spacing w:before="12"/>
              <w:ind w:right="67"/>
              <w:rPr>
                <w:sz w:val="14"/>
              </w:rPr>
            </w:pPr>
            <w:r>
              <w:rPr>
                <w:color w:val="231F20"/>
                <w:sz w:val="14"/>
              </w:rPr>
              <w:t>Проширивање знања о развоју</w:t>
            </w:r>
            <w:r>
              <w:rPr>
                <w:color w:val="231F20"/>
                <w:spacing w:val="-5"/>
                <w:sz w:val="14"/>
              </w:rPr>
              <w:t xml:space="preserve"> </w:t>
            </w:r>
            <w:r>
              <w:rPr>
                <w:color w:val="231F20"/>
                <w:sz w:val="14"/>
              </w:rPr>
              <w:t>фотографије, филма, радија и теле­ визије кроз</w:t>
            </w:r>
            <w:r>
              <w:rPr>
                <w:color w:val="231F20"/>
                <w:spacing w:val="-10"/>
                <w:sz w:val="14"/>
              </w:rPr>
              <w:t xml:space="preserve"> </w:t>
            </w:r>
            <w:r>
              <w:rPr>
                <w:color w:val="231F20"/>
                <w:sz w:val="14"/>
              </w:rPr>
              <w:t>историју.</w:t>
            </w:r>
          </w:p>
          <w:p w:rsidR="00041039" w:rsidRDefault="001B26CB">
            <w:pPr>
              <w:pStyle w:val="TableParagraph"/>
              <w:numPr>
                <w:ilvl w:val="0"/>
                <w:numId w:val="947"/>
              </w:numPr>
              <w:tabs>
                <w:tab w:val="left" w:pos="157"/>
              </w:tabs>
              <w:spacing w:line="156" w:lineRule="exact"/>
              <w:rPr>
                <w:sz w:val="14"/>
              </w:rPr>
            </w:pPr>
            <w:r>
              <w:rPr>
                <w:color w:val="231F20"/>
                <w:sz w:val="14"/>
              </w:rPr>
              <w:t>Разумевање</w:t>
            </w:r>
            <w:r>
              <w:rPr>
                <w:color w:val="231F20"/>
                <w:spacing w:val="-2"/>
                <w:sz w:val="14"/>
              </w:rPr>
              <w:t xml:space="preserve"> </w:t>
            </w:r>
            <w:r>
              <w:rPr>
                <w:color w:val="231F20"/>
                <w:sz w:val="14"/>
              </w:rPr>
              <w:t>утицаја</w:t>
            </w:r>
          </w:p>
          <w:p w:rsidR="00041039" w:rsidRDefault="001B26CB">
            <w:pPr>
              <w:pStyle w:val="TableParagraph"/>
              <w:ind w:right="15"/>
              <w:rPr>
                <w:sz w:val="14"/>
              </w:rPr>
            </w:pPr>
            <w:r>
              <w:rPr>
                <w:color w:val="231F20"/>
                <w:sz w:val="14"/>
              </w:rPr>
              <w:t>фотографије, филма, радија и телевизије на друштвени, политички и културни живот.</w:t>
            </w:r>
          </w:p>
          <w:p w:rsidR="00041039" w:rsidRDefault="001B26CB">
            <w:pPr>
              <w:pStyle w:val="TableParagraph"/>
              <w:numPr>
                <w:ilvl w:val="0"/>
                <w:numId w:val="947"/>
              </w:numPr>
              <w:tabs>
                <w:tab w:val="left" w:pos="157"/>
              </w:tabs>
              <w:spacing w:line="157"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фотографије, филма, радија и теле­ визије у Србији.</w:t>
            </w:r>
          </w:p>
          <w:p w:rsidR="00041039" w:rsidRDefault="001B26CB">
            <w:pPr>
              <w:pStyle w:val="TableParagraph"/>
              <w:numPr>
                <w:ilvl w:val="0"/>
                <w:numId w:val="947"/>
              </w:numPr>
              <w:tabs>
                <w:tab w:val="left" w:pos="157"/>
              </w:tabs>
              <w:spacing w:line="158" w:lineRule="exact"/>
              <w:rPr>
                <w:sz w:val="14"/>
              </w:rPr>
            </w:pPr>
            <w:r>
              <w:rPr>
                <w:color w:val="231F20"/>
                <w:spacing w:val="-3"/>
                <w:sz w:val="14"/>
              </w:rPr>
              <w:t>Уочавање</w:t>
            </w:r>
            <w:r>
              <w:rPr>
                <w:color w:val="231F20"/>
                <w:spacing w:val="-1"/>
                <w:sz w:val="14"/>
              </w:rPr>
              <w:t xml:space="preserve"> </w:t>
            </w:r>
            <w:r>
              <w:rPr>
                <w:color w:val="231F20"/>
                <w:sz w:val="14"/>
              </w:rPr>
              <w:t>значаја</w:t>
            </w:r>
          </w:p>
          <w:p w:rsidR="00041039" w:rsidRDefault="001B26CB">
            <w:pPr>
              <w:pStyle w:val="TableParagraph"/>
              <w:ind w:right="108"/>
              <w:rPr>
                <w:sz w:val="14"/>
              </w:rPr>
            </w:pPr>
            <w:r>
              <w:rPr>
                <w:color w:val="231F20"/>
                <w:sz w:val="14"/>
              </w:rPr>
              <w:t>фотографије, филма, радија и телевизије као историјских извора.</w:t>
            </w:r>
          </w:p>
        </w:tc>
        <w:tc>
          <w:tcPr>
            <w:tcW w:w="2551" w:type="dxa"/>
          </w:tcPr>
          <w:p w:rsidR="00041039" w:rsidRDefault="001B26CB">
            <w:pPr>
              <w:pStyle w:val="TableParagraph"/>
              <w:numPr>
                <w:ilvl w:val="0"/>
                <w:numId w:val="946"/>
              </w:numPr>
              <w:tabs>
                <w:tab w:val="left" w:pos="157"/>
              </w:tabs>
              <w:spacing w:before="12"/>
              <w:ind w:right="119" w:hanging="99"/>
              <w:rPr>
                <w:sz w:val="14"/>
              </w:rPr>
            </w:pPr>
            <w:r>
              <w:rPr>
                <w:color w:val="231F20"/>
                <w:sz w:val="14"/>
              </w:rPr>
              <w:t>уочи основна обележја развоја фо­ тографије, филма, радија и</w:t>
            </w:r>
            <w:r>
              <w:rPr>
                <w:color w:val="231F20"/>
                <w:spacing w:val="-13"/>
                <w:sz w:val="14"/>
              </w:rPr>
              <w:t xml:space="preserve"> </w:t>
            </w:r>
            <w:r>
              <w:rPr>
                <w:color w:val="231F20"/>
                <w:sz w:val="14"/>
              </w:rPr>
              <w:t>телевизије кроз</w:t>
            </w:r>
            <w:r>
              <w:rPr>
                <w:color w:val="231F20"/>
                <w:spacing w:val="-1"/>
                <w:sz w:val="14"/>
              </w:rPr>
              <w:t xml:space="preserve"> </w:t>
            </w:r>
            <w:r>
              <w:rPr>
                <w:color w:val="231F20"/>
                <w:sz w:val="14"/>
              </w:rPr>
              <w:t>историју;</w:t>
            </w:r>
          </w:p>
          <w:p w:rsidR="00041039" w:rsidRDefault="001B26CB">
            <w:pPr>
              <w:pStyle w:val="TableParagraph"/>
              <w:numPr>
                <w:ilvl w:val="0"/>
                <w:numId w:val="946"/>
              </w:numPr>
              <w:tabs>
                <w:tab w:val="left" w:pos="157"/>
              </w:tabs>
              <w:spacing w:line="157" w:lineRule="exact"/>
              <w:ind w:hanging="99"/>
              <w:rPr>
                <w:sz w:val="14"/>
              </w:rPr>
            </w:pPr>
            <w:r>
              <w:rPr>
                <w:color w:val="231F20"/>
                <w:sz w:val="14"/>
              </w:rPr>
              <w:t>изведе закључак о значају</w:t>
            </w:r>
            <w:r>
              <w:rPr>
                <w:color w:val="231F20"/>
                <w:spacing w:val="-25"/>
                <w:sz w:val="14"/>
              </w:rPr>
              <w:t xml:space="preserve"> </w:t>
            </w:r>
            <w:r>
              <w:rPr>
                <w:color w:val="231F20"/>
                <w:sz w:val="14"/>
              </w:rPr>
              <w:t>фотогра­</w:t>
            </w:r>
          </w:p>
          <w:p w:rsidR="00041039" w:rsidRDefault="001B26CB">
            <w:pPr>
              <w:pStyle w:val="TableParagraph"/>
              <w:rPr>
                <w:sz w:val="14"/>
              </w:rPr>
            </w:pPr>
            <w:r>
              <w:rPr>
                <w:color w:val="231F20"/>
                <w:sz w:val="14"/>
              </w:rPr>
              <w:t>фије, филма, радија и телевизије у животу појединца и читавог друштва;</w:t>
            </w:r>
          </w:p>
          <w:p w:rsidR="00041039" w:rsidRDefault="001B26CB">
            <w:pPr>
              <w:pStyle w:val="TableParagraph"/>
              <w:numPr>
                <w:ilvl w:val="0"/>
                <w:numId w:val="946"/>
              </w:numPr>
              <w:tabs>
                <w:tab w:val="left" w:pos="157"/>
              </w:tabs>
              <w:spacing w:line="160" w:lineRule="exact"/>
              <w:ind w:right="205" w:hanging="99"/>
              <w:rPr>
                <w:sz w:val="14"/>
              </w:rPr>
            </w:pPr>
            <w:r>
              <w:rPr>
                <w:color w:val="231F20"/>
                <w:sz w:val="14"/>
              </w:rPr>
              <w:t>изведе закључак о значају фотогра­ фије, филма, радија и телеви</w:t>
            </w:r>
            <w:r>
              <w:rPr>
                <w:color w:val="231F20"/>
                <w:sz w:val="14"/>
              </w:rPr>
              <w:t>зије</w:t>
            </w:r>
            <w:r>
              <w:rPr>
                <w:color w:val="231F20"/>
                <w:spacing w:val="-13"/>
                <w:sz w:val="14"/>
              </w:rPr>
              <w:t xml:space="preserve"> </w:t>
            </w:r>
            <w:r>
              <w:rPr>
                <w:color w:val="231F20"/>
                <w:sz w:val="14"/>
              </w:rPr>
              <w:t>као историјских</w:t>
            </w:r>
            <w:r>
              <w:rPr>
                <w:color w:val="231F20"/>
                <w:spacing w:val="-1"/>
                <w:sz w:val="14"/>
              </w:rPr>
              <w:t xml:space="preserve"> </w:t>
            </w:r>
            <w:r>
              <w:rPr>
                <w:color w:val="231F20"/>
                <w:sz w:val="14"/>
              </w:rPr>
              <w:t>извора;</w:t>
            </w:r>
          </w:p>
          <w:p w:rsidR="00041039" w:rsidRDefault="001B26CB">
            <w:pPr>
              <w:pStyle w:val="TableParagraph"/>
              <w:numPr>
                <w:ilvl w:val="0"/>
                <w:numId w:val="946"/>
              </w:numPr>
              <w:tabs>
                <w:tab w:val="left" w:pos="157"/>
              </w:tabs>
              <w:spacing w:line="160" w:lineRule="exact"/>
              <w:ind w:right="326" w:hanging="99"/>
              <w:rPr>
                <w:sz w:val="14"/>
              </w:rPr>
            </w:pPr>
            <w:r>
              <w:rPr>
                <w:color w:val="231F20"/>
                <w:sz w:val="14"/>
              </w:rPr>
              <w:t>опише развој фотографије,</w:t>
            </w:r>
            <w:r>
              <w:rPr>
                <w:color w:val="231F20"/>
                <w:spacing w:val="-7"/>
                <w:sz w:val="14"/>
              </w:rPr>
              <w:t xml:space="preserve"> </w:t>
            </w:r>
            <w:r>
              <w:rPr>
                <w:color w:val="231F20"/>
                <w:sz w:val="14"/>
              </w:rPr>
              <w:t>филма, радија и телевизије у</w:t>
            </w:r>
            <w:r>
              <w:rPr>
                <w:color w:val="231F20"/>
                <w:spacing w:val="-4"/>
                <w:sz w:val="14"/>
              </w:rPr>
              <w:t xml:space="preserve"> </w:t>
            </w:r>
            <w:r>
              <w:rPr>
                <w:color w:val="231F20"/>
                <w:sz w:val="14"/>
              </w:rPr>
              <w:t>Србији;</w:t>
            </w:r>
          </w:p>
          <w:p w:rsidR="00041039" w:rsidRDefault="001B26CB">
            <w:pPr>
              <w:pStyle w:val="TableParagraph"/>
              <w:numPr>
                <w:ilvl w:val="0"/>
                <w:numId w:val="946"/>
              </w:numPr>
              <w:tabs>
                <w:tab w:val="left" w:pos="157"/>
              </w:tabs>
              <w:spacing w:before="1" w:line="160" w:lineRule="exact"/>
              <w:ind w:right="46" w:hanging="99"/>
              <w:rPr>
                <w:sz w:val="14"/>
              </w:rPr>
            </w:pPr>
            <w:r>
              <w:rPr>
                <w:color w:val="231F20"/>
                <w:sz w:val="14"/>
              </w:rPr>
              <w:t>разуме последице развоја</w:t>
            </w:r>
            <w:r>
              <w:rPr>
                <w:color w:val="231F20"/>
                <w:spacing w:val="-10"/>
                <w:sz w:val="14"/>
              </w:rPr>
              <w:t xml:space="preserve"> </w:t>
            </w:r>
            <w:r>
              <w:rPr>
                <w:color w:val="231F20"/>
                <w:sz w:val="14"/>
              </w:rPr>
              <w:t>фотографије, филма, радија и</w:t>
            </w:r>
            <w:r>
              <w:rPr>
                <w:color w:val="231F20"/>
                <w:spacing w:val="-2"/>
                <w:sz w:val="14"/>
              </w:rPr>
              <w:t xml:space="preserve"> </w:t>
            </w:r>
            <w:r>
              <w:rPr>
                <w:color w:val="231F20"/>
                <w:sz w:val="14"/>
              </w:rPr>
              <w:t>телевизије;</w:t>
            </w:r>
          </w:p>
        </w:tc>
        <w:tc>
          <w:tcPr>
            <w:tcW w:w="2834" w:type="dxa"/>
          </w:tcPr>
          <w:p w:rsidR="00041039" w:rsidRDefault="001B26CB">
            <w:pPr>
              <w:pStyle w:val="TableParagraph"/>
              <w:numPr>
                <w:ilvl w:val="0"/>
                <w:numId w:val="945"/>
              </w:numPr>
              <w:tabs>
                <w:tab w:val="left" w:pos="157"/>
              </w:tabs>
              <w:spacing w:before="13"/>
              <w:ind w:right="134" w:hanging="99"/>
              <w:rPr>
                <w:sz w:val="14"/>
              </w:rPr>
            </w:pPr>
            <w:r>
              <w:rPr>
                <w:color w:val="231F20"/>
                <w:sz w:val="14"/>
              </w:rPr>
              <w:t>Значај фотографије, филма, радија и телевизије (као техничких достигнућа, начина уметничког изражавања,</w:t>
            </w:r>
            <w:r>
              <w:rPr>
                <w:color w:val="231F20"/>
                <w:spacing w:val="-25"/>
                <w:sz w:val="14"/>
              </w:rPr>
              <w:t xml:space="preserve"> </w:t>
            </w:r>
            <w:r>
              <w:rPr>
                <w:color w:val="231F20"/>
                <w:sz w:val="14"/>
              </w:rPr>
              <w:t>средстава масовне комуникације, сазнавања и образовања, и као историјских</w:t>
            </w:r>
            <w:r>
              <w:rPr>
                <w:color w:val="231F20"/>
                <w:spacing w:val="-7"/>
                <w:sz w:val="14"/>
              </w:rPr>
              <w:t xml:space="preserve"> </w:t>
            </w:r>
            <w:r>
              <w:rPr>
                <w:color w:val="231F20"/>
                <w:sz w:val="14"/>
              </w:rPr>
              <w:t>извора).</w:t>
            </w:r>
          </w:p>
          <w:p w:rsidR="00041039" w:rsidRDefault="001B26CB">
            <w:pPr>
              <w:pStyle w:val="TableParagraph"/>
              <w:numPr>
                <w:ilvl w:val="0"/>
                <w:numId w:val="945"/>
              </w:numPr>
              <w:tabs>
                <w:tab w:val="left" w:pos="157"/>
              </w:tabs>
              <w:spacing w:line="155" w:lineRule="exact"/>
              <w:ind w:hanging="99"/>
              <w:rPr>
                <w:sz w:val="14"/>
              </w:rPr>
            </w:pPr>
            <w:r>
              <w:rPr>
                <w:color w:val="231F20"/>
                <w:sz w:val="14"/>
              </w:rPr>
              <w:t>Фотографија, филм, радио и</w:t>
            </w:r>
            <w:r>
              <w:rPr>
                <w:color w:val="231F20"/>
                <w:spacing w:val="-6"/>
                <w:sz w:val="14"/>
              </w:rPr>
              <w:t xml:space="preserve"> </w:t>
            </w:r>
            <w:r>
              <w:rPr>
                <w:color w:val="231F20"/>
                <w:sz w:val="14"/>
              </w:rPr>
              <w:t>телевизија</w:t>
            </w:r>
          </w:p>
          <w:p w:rsidR="00041039" w:rsidRDefault="001B26CB">
            <w:pPr>
              <w:pStyle w:val="TableParagraph"/>
              <w:rPr>
                <w:sz w:val="14"/>
              </w:rPr>
            </w:pPr>
            <w:r>
              <w:rPr>
                <w:color w:val="231F20"/>
                <w:sz w:val="14"/>
              </w:rPr>
              <w:t>кроз историју (развој ­ оптичка</w:t>
            </w:r>
            <w:r>
              <w:rPr>
                <w:color w:val="231F20"/>
                <w:sz w:val="14"/>
              </w:rPr>
              <w:t xml:space="preserve"> сочива, дагеротипија, мокра плоча, фото ­ 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 мираних </w:t>
            </w:r>
            <w:r>
              <w:rPr>
                <w:color w:val="231F20"/>
                <w:sz w:val="14"/>
              </w:rPr>
              <w:t>филмова; појава колор филмова; филмски фестивали и награде; оснивање радио ­ станица, појава телевизије; пре­ власт телевизије над другим медијима</w:t>
            </w:r>
          </w:p>
          <w:p w:rsidR="00041039" w:rsidRDefault="001B26CB">
            <w:pPr>
              <w:pStyle w:val="TableParagraph"/>
              <w:spacing w:line="150" w:lineRule="exact"/>
              <w:rPr>
                <w:sz w:val="14"/>
              </w:rPr>
            </w:pPr>
            <w:r>
              <w:rPr>
                <w:color w:val="231F20"/>
                <w:sz w:val="14"/>
              </w:rPr>
              <w:t>у другој половини XX века; примери</w:t>
            </w:r>
          </w:p>
          <w:p w:rsidR="00041039" w:rsidRDefault="001B26CB">
            <w:pPr>
              <w:pStyle w:val="TableParagraph"/>
              <w:rPr>
                <w:sz w:val="14"/>
              </w:rPr>
            </w:pPr>
            <w:r>
              <w:rPr>
                <w:color w:val="231F20"/>
                <w:sz w:val="14"/>
              </w:rPr>
              <w:t>злоупотребе фотографије, филма, радија и телевизије у XX веку).</w:t>
            </w:r>
          </w:p>
          <w:p w:rsidR="00041039" w:rsidRDefault="001B26CB">
            <w:pPr>
              <w:pStyle w:val="TableParagraph"/>
              <w:numPr>
                <w:ilvl w:val="0"/>
                <w:numId w:val="945"/>
              </w:numPr>
              <w:tabs>
                <w:tab w:val="left" w:pos="157"/>
              </w:tabs>
              <w:spacing w:line="160" w:lineRule="exact"/>
              <w:ind w:right="47" w:hanging="99"/>
              <w:rPr>
                <w:sz w:val="14"/>
              </w:rPr>
            </w:pPr>
            <w:r>
              <w:rPr>
                <w:color w:val="231F20"/>
                <w:sz w:val="14"/>
              </w:rPr>
              <w:t>Фотографиј</w:t>
            </w:r>
            <w:r>
              <w:rPr>
                <w:color w:val="231F20"/>
                <w:sz w:val="14"/>
              </w:rPr>
              <w:t>а, филм, радио и телевизија у Србији некад и сад (делатност дворског</w:t>
            </w:r>
            <w:r>
              <w:rPr>
                <w:color w:val="231F20"/>
                <w:spacing w:val="-15"/>
                <w:sz w:val="14"/>
              </w:rPr>
              <w:t xml:space="preserve"> </w:t>
            </w:r>
            <w:r>
              <w:rPr>
                <w:color w:val="231F20"/>
                <w:sz w:val="14"/>
              </w:rPr>
              <w:t>фо­ тографа Анастаса Јовановића, породични фото ­ албуми, прва филмска пројекција у Србији 1896. први српски филмови и био­ скопи; почетак рада прве радио ­</w:t>
            </w:r>
            <w:r>
              <w:rPr>
                <w:color w:val="231F20"/>
                <w:spacing w:val="-8"/>
                <w:sz w:val="14"/>
              </w:rPr>
              <w:t xml:space="preserve"> </w:t>
            </w:r>
            <w:r>
              <w:rPr>
                <w:color w:val="231F20"/>
                <w:sz w:val="14"/>
              </w:rPr>
              <w:t>станице</w:t>
            </w:r>
          </w:p>
          <w:p w:rsidR="00041039" w:rsidRDefault="001B26CB">
            <w:pPr>
              <w:pStyle w:val="TableParagraph"/>
              <w:spacing w:line="160" w:lineRule="exact"/>
              <w:ind w:right="42"/>
              <w:rPr>
                <w:sz w:val="14"/>
              </w:rPr>
            </w:pPr>
            <w:r>
              <w:rPr>
                <w:color w:val="231F20"/>
                <w:sz w:val="14"/>
              </w:rPr>
              <w:t>- Радио Београда 1929.</w:t>
            </w:r>
            <w:r>
              <w:rPr>
                <w:color w:val="231F20"/>
                <w:sz w:val="14"/>
              </w:rPr>
              <w:t xml:space="preserve">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2267" w:type="dxa"/>
            <w:vMerge/>
            <w:tcBorders>
              <w:top w:val="nil"/>
            </w:tcBorders>
          </w:tcPr>
          <w:p w:rsidR="00041039" w:rsidRDefault="00041039">
            <w:pPr>
              <w:rPr>
                <w:sz w:val="2"/>
                <w:szCs w:val="2"/>
              </w:rPr>
            </w:pPr>
          </w:p>
        </w:tc>
      </w:tr>
      <w:tr w:rsidR="00041039">
        <w:trPr>
          <w:trHeight w:val="4567"/>
        </w:trPr>
        <w:tc>
          <w:tcPr>
            <w:tcW w:w="1304" w:type="dxa"/>
          </w:tcPr>
          <w:p w:rsidR="00041039" w:rsidRDefault="001B26CB">
            <w:pPr>
              <w:pStyle w:val="TableParagraph"/>
              <w:spacing w:before="25"/>
              <w:ind w:left="56" w:right="360"/>
              <w:rPr>
                <w:sz w:val="14"/>
              </w:rPr>
            </w:pPr>
            <w:r>
              <w:rPr>
                <w:color w:val="231F20"/>
                <w:sz w:val="14"/>
              </w:rPr>
              <w:t>Брига о телу и здрављу кроз историју</w:t>
            </w:r>
          </w:p>
        </w:tc>
        <w:tc>
          <w:tcPr>
            <w:tcW w:w="1587" w:type="dxa"/>
          </w:tcPr>
          <w:p w:rsidR="00041039" w:rsidRDefault="001B26CB">
            <w:pPr>
              <w:pStyle w:val="TableParagraph"/>
              <w:numPr>
                <w:ilvl w:val="0"/>
                <w:numId w:val="944"/>
              </w:numPr>
              <w:tabs>
                <w:tab w:val="left" w:pos="157"/>
              </w:tabs>
              <w:spacing w:before="15"/>
              <w:ind w:right="82"/>
              <w:jc w:val="both"/>
              <w:rPr>
                <w:sz w:val="14"/>
              </w:rPr>
            </w:pPr>
            <w:r>
              <w:rPr>
                <w:color w:val="231F20"/>
                <w:sz w:val="14"/>
              </w:rPr>
              <w:t>Продубљивање знања о развоју здравствене културе кроз</w:t>
            </w:r>
            <w:r>
              <w:rPr>
                <w:color w:val="231F20"/>
                <w:spacing w:val="-28"/>
                <w:sz w:val="14"/>
              </w:rPr>
              <w:t xml:space="preserve"> </w:t>
            </w:r>
            <w:r>
              <w:rPr>
                <w:color w:val="231F20"/>
                <w:sz w:val="14"/>
              </w:rPr>
              <w:t>историју.</w:t>
            </w:r>
          </w:p>
          <w:p w:rsidR="00041039" w:rsidRDefault="001B26CB">
            <w:pPr>
              <w:pStyle w:val="TableParagraph"/>
              <w:numPr>
                <w:ilvl w:val="0"/>
                <w:numId w:val="944"/>
              </w:numPr>
              <w:tabs>
                <w:tab w:val="left" w:pos="157"/>
              </w:tabs>
              <w:spacing w:line="157" w:lineRule="exact"/>
              <w:rPr>
                <w:sz w:val="14"/>
              </w:rPr>
            </w:pPr>
            <w:r>
              <w:rPr>
                <w:color w:val="231F20"/>
                <w:spacing w:val="-3"/>
                <w:sz w:val="14"/>
              </w:rPr>
              <w:t xml:space="preserve">Уочавање </w:t>
            </w:r>
            <w:r>
              <w:rPr>
                <w:color w:val="231F20"/>
                <w:sz w:val="14"/>
              </w:rPr>
              <w:t>утицаја еко­</w:t>
            </w:r>
          </w:p>
          <w:p w:rsidR="00041039" w:rsidRDefault="001B26CB">
            <w:pPr>
              <w:pStyle w:val="TableParagraph"/>
              <w:ind w:right="15"/>
              <w:rPr>
                <w:sz w:val="14"/>
              </w:rPr>
            </w:pPr>
            <w:r>
              <w:rPr>
                <w:color w:val="231F20"/>
                <w:sz w:val="14"/>
              </w:rPr>
              <w:t>номског и културног развитка на степен здравствене културе.</w:t>
            </w:r>
          </w:p>
          <w:p w:rsidR="00041039" w:rsidRDefault="001B26CB">
            <w:pPr>
              <w:pStyle w:val="TableParagraph"/>
              <w:numPr>
                <w:ilvl w:val="0"/>
                <w:numId w:val="944"/>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здравствене културе код Срба.</w:t>
            </w:r>
          </w:p>
        </w:tc>
        <w:tc>
          <w:tcPr>
            <w:tcW w:w="2551" w:type="dxa"/>
          </w:tcPr>
          <w:p w:rsidR="00041039" w:rsidRDefault="001B26CB">
            <w:pPr>
              <w:pStyle w:val="TableParagraph"/>
              <w:numPr>
                <w:ilvl w:val="0"/>
                <w:numId w:val="943"/>
              </w:numPr>
              <w:tabs>
                <w:tab w:val="left" w:pos="157"/>
              </w:tabs>
              <w:spacing w:before="15"/>
              <w:ind w:right="94" w:hanging="99"/>
              <w:rPr>
                <w:sz w:val="14"/>
              </w:rPr>
            </w:pPr>
            <w:r>
              <w:rPr>
                <w:color w:val="231F20"/>
                <w:sz w:val="14"/>
              </w:rPr>
              <w:t>уочи основна обележја развоја</w:t>
            </w:r>
            <w:r>
              <w:rPr>
                <w:color w:val="231F20"/>
                <w:spacing w:val="-13"/>
                <w:sz w:val="14"/>
              </w:rPr>
              <w:t xml:space="preserve"> </w:t>
            </w:r>
            <w:r>
              <w:rPr>
                <w:color w:val="231F20"/>
                <w:sz w:val="14"/>
              </w:rPr>
              <w:t xml:space="preserve">здравс­ твене културе </w:t>
            </w:r>
            <w:r>
              <w:rPr>
                <w:color w:val="231F20"/>
                <w:spacing w:val="-3"/>
                <w:sz w:val="14"/>
              </w:rPr>
              <w:t xml:space="preserve">од </w:t>
            </w:r>
            <w:r>
              <w:rPr>
                <w:color w:val="231F20"/>
                <w:sz w:val="14"/>
              </w:rPr>
              <w:t>антике до</w:t>
            </w:r>
            <w:r>
              <w:rPr>
                <w:color w:val="231F20"/>
                <w:spacing w:val="-4"/>
                <w:sz w:val="14"/>
              </w:rPr>
              <w:t xml:space="preserve"> </w:t>
            </w:r>
            <w:r>
              <w:rPr>
                <w:color w:val="231F20"/>
                <w:sz w:val="14"/>
              </w:rPr>
              <w:t>данас;</w:t>
            </w:r>
          </w:p>
          <w:p w:rsidR="00041039" w:rsidRDefault="001B26CB">
            <w:pPr>
              <w:pStyle w:val="TableParagraph"/>
              <w:numPr>
                <w:ilvl w:val="0"/>
                <w:numId w:val="943"/>
              </w:numPr>
              <w:tabs>
                <w:tab w:val="left" w:pos="157"/>
              </w:tabs>
              <w:spacing w:line="160" w:lineRule="exact"/>
              <w:ind w:right="43" w:hanging="99"/>
              <w:rPr>
                <w:sz w:val="14"/>
              </w:rPr>
            </w:pPr>
            <w:r>
              <w:rPr>
                <w:color w:val="231F20"/>
                <w:sz w:val="14"/>
              </w:rPr>
              <w:t xml:space="preserve">уочи основна обележја развоја здрав­ ствене културе </w:t>
            </w:r>
            <w:r>
              <w:rPr>
                <w:color w:val="231F20"/>
                <w:spacing w:val="-5"/>
                <w:sz w:val="14"/>
              </w:rPr>
              <w:t xml:space="preserve">код </w:t>
            </w:r>
            <w:r>
              <w:rPr>
                <w:color w:val="231F20"/>
                <w:sz w:val="14"/>
              </w:rPr>
              <w:t>Срба кроз</w:t>
            </w:r>
            <w:r>
              <w:rPr>
                <w:color w:val="231F20"/>
                <w:spacing w:val="-16"/>
                <w:sz w:val="14"/>
              </w:rPr>
              <w:t xml:space="preserve"> </w:t>
            </w:r>
            <w:r>
              <w:rPr>
                <w:color w:val="231F20"/>
                <w:sz w:val="14"/>
              </w:rPr>
              <w:t>историју;</w:t>
            </w:r>
          </w:p>
          <w:p w:rsidR="00041039" w:rsidRDefault="001B26CB">
            <w:pPr>
              <w:pStyle w:val="TableParagraph"/>
              <w:numPr>
                <w:ilvl w:val="0"/>
                <w:numId w:val="943"/>
              </w:numPr>
              <w:tabs>
                <w:tab w:val="left" w:pos="157"/>
              </w:tabs>
              <w:spacing w:before="1" w:line="160" w:lineRule="exact"/>
              <w:ind w:right="269" w:hanging="99"/>
              <w:rPr>
                <w:sz w:val="14"/>
              </w:rPr>
            </w:pPr>
            <w:r>
              <w:rPr>
                <w:color w:val="231F20"/>
                <w:sz w:val="14"/>
              </w:rPr>
              <w:t>наведе и упореди различите</w:t>
            </w:r>
            <w:r>
              <w:rPr>
                <w:color w:val="231F20"/>
                <w:spacing w:val="-15"/>
                <w:sz w:val="14"/>
              </w:rPr>
              <w:t xml:space="preserve"> </w:t>
            </w:r>
            <w:r>
              <w:rPr>
                <w:color w:val="231F20"/>
                <w:sz w:val="14"/>
              </w:rPr>
              <w:t>методе лечења кроз</w:t>
            </w:r>
            <w:r>
              <w:rPr>
                <w:color w:val="231F20"/>
                <w:spacing w:val="-1"/>
                <w:sz w:val="14"/>
              </w:rPr>
              <w:t xml:space="preserve"> </w:t>
            </w:r>
            <w:r>
              <w:rPr>
                <w:color w:val="231F20"/>
                <w:sz w:val="14"/>
              </w:rPr>
              <w:t>историју;</w:t>
            </w:r>
          </w:p>
          <w:p w:rsidR="00041039" w:rsidRDefault="001B26CB">
            <w:pPr>
              <w:pStyle w:val="TableParagraph"/>
              <w:numPr>
                <w:ilvl w:val="0"/>
                <w:numId w:val="943"/>
              </w:numPr>
              <w:tabs>
                <w:tab w:val="left" w:pos="157"/>
              </w:tabs>
              <w:spacing w:line="160" w:lineRule="exact"/>
              <w:ind w:right="76" w:hanging="99"/>
              <w:rPr>
                <w:sz w:val="14"/>
              </w:rPr>
            </w:pPr>
            <w:r>
              <w:rPr>
                <w:color w:val="231F20"/>
                <w:sz w:val="14"/>
              </w:rPr>
              <w:t>разуме повезаност степена</w:t>
            </w:r>
            <w:r>
              <w:rPr>
                <w:color w:val="231F20"/>
                <w:spacing w:val="-24"/>
                <w:sz w:val="14"/>
              </w:rPr>
              <w:t xml:space="preserve"> </w:t>
            </w:r>
            <w:r>
              <w:rPr>
                <w:color w:val="231F20"/>
                <w:sz w:val="14"/>
              </w:rPr>
              <w:t>економског и културног развитка и здравствене културе;</w:t>
            </w:r>
          </w:p>
          <w:p w:rsidR="00041039" w:rsidRDefault="001B26CB">
            <w:pPr>
              <w:pStyle w:val="TableParagraph"/>
              <w:numPr>
                <w:ilvl w:val="0"/>
                <w:numId w:val="943"/>
              </w:numPr>
              <w:tabs>
                <w:tab w:val="left" w:pos="157"/>
              </w:tabs>
              <w:spacing w:line="160" w:lineRule="exact"/>
              <w:ind w:right="94" w:hanging="99"/>
              <w:rPr>
                <w:sz w:val="14"/>
              </w:rPr>
            </w:pPr>
            <w:r>
              <w:rPr>
                <w:color w:val="231F20"/>
                <w:sz w:val="14"/>
              </w:rPr>
              <w:t>разуме значај хуманитар</w:t>
            </w:r>
            <w:r>
              <w:rPr>
                <w:color w:val="231F20"/>
                <w:sz w:val="14"/>
              </w:rPr>
              <w:t>них</w:t>
            </w:r>
            <w:r>
              <w:rPr>
                <w:color w:val="231F20"/>
                <w:spacing w:val="-20"/>
                <w:sz w:val="14"/>
              </w:rPr>
              <w:t xml:space="preserve"> </w:t>
            </w:r>
            <w:r>
              <w:rPr>
                <w:color w:val="231F20"/>
                <w:sz w:val="14"/>
              </w:rPr>
              <w:t>организа­ ција и њиховог</w:t>
            </w:r>
            <w:r>
              <w:rPr>
                <w:color w:val="231F20"/>
                <w:spacing w:val="-4"/>
                <w:sz w:val="14"/>
              </w:rPr>
              <w:t xml:space="preserve"> </w:t>
            </w:r>
            <w:r>
              <w:rPr>
                <w:color w:val="231F20"/>
                <w:sz w:val="14"/>
              </w:rPr>
              <w:t>деловања;</w:t>
            </w:r>
          </w:p>
        </w:tc>
        <w:tc>
          <w:tcPr>
            <w:tcW w:w="2834" w:type="dxa"/>
          </w:tcPr>
          <w:p w:rsidR="00041039" w:rsidRDefault="001B26CB">
            <w:pPr>
              <w:pStyle w:val="TableParagraph"/>
              <w:numPr>
                <w:ilvl w:val="0"/>
                <w:numId w:val="942"/>
              </w:numPr>
              <w:tabs>
                <w:tab w:val="left" w:pos="158"/>
              </w:tabs>
              <w:spacing w:before="15"/>
              <w:ind w:right="210"/>
              <w:rPr>
                <w:sz w:val="14"/>
              </w:rPr>
            </w:pPr>
            <w:r>
              <w:rPr>
                <w:color w:val="231F20"/>
                <w:sz w:val="14"/>
              </w:rPr>
              <w:t xml:space="preserve">Брига о телу и здрављу </w:t>
            </w:r>
            <w:r>
              <w:rPr>
                <w:color w:val="231F20"/>
                <w:spacing w:val="-3"/>
                <w:sz w:val="14"/>
              </w:rPr>
              <w:t xml:space="preserve">од </w:t>
            </w:r>
            <w:r>
              <w:rPr>
                <w:color w:val="231F20"/>
                <w:sz w:val="14"/>
              </w:rPr>
              <w:t>антике до данас (болести људи, хигијенски услови, епидемије, развој медицине,</w:t>
            </w:r>
            <w:r>
              <w:rPr>
                <w:color w:val="231F20"/>
                <w:spacing w:val="-5"/>
                <w:sz w:val="14"/>
              </w:rPr>
              <w:t xml:space="preserve"> </w:t>
            </w:r>
            <w:r>
              <w:rPr>
                <w:color w:val="231F20"/>
                <w:sz w:val="14"/>
              </w:rPr>
              <w:t>медицински инструменти, лекови и лековито</w:t>
            </w:r>
            <w:r>
              <w:rPr>
                <w:color w:val="231F20"/>
                <w:spacing w:val="-14"/>
                <w:sz w:val="14"/>
              </w:rPr>
              <w:t xml:space="preserve"> </w:t>
            </w:r>
            <w:r>
              <w:rPr>
                <w:color w:val="231F20"/>
                <w:sz w:val="14"/>
              </w:rPr>
              <w:t>биље,</w:t>
            </w:r>
          </w:p>
          <w:p w:rsidR="00041039" w:rsidRDefault="001B26CB">
            <w:pPr>
              <w:pStyle w:val="TableParagraph"/>
              <w:spacing w:line="237" w:lineRule="auto"/>
              <w:ind w:left="157" w:right="47"/>
              <w:rPr>
                <w:sz w:val="14"/>
              </w:rPr>
            </w:pPr>
            <w:r>
              <w:rPr>
                <w:color w:val="231F20"/>
                <w:sz w:val="14"/>
              </w:rPr>
              <w:t>здравствене установе ­ манастирске болни­ це, санаторијуми, стационари, домови</w:t>
            </w:r>
            <w:r>
              <w:rPr>
                <w:color w:val="231F20"/>
                <w:spacing w:val="-15"/>
                <w:sz w:val="14"/>
              </w:rPr>
              <w:t xml:space="preserve"> </w:t>
            </w:r>
            <w:r>
              <w:rPr>
                <w:color w:val="231F20"/>
                <w:sz w:val="14"/>
              </w:rPr>
              <w:t>здра­ вља, апотеке; начини здравствене заштите и превентиве, хуманитарне</w:t>
            </w:r>
            <w:r>
              <w:rPr>
                <w:color w:val="231F20"/>
                <w:spacing w:val="-8"/>
                <w:sz w:val="14"/>
              </w:rPr>
              <w:t xml:space="preserve"> </w:t>
            </w:r>
            <w:r>
              <w:rPr>
                <w:color w:val="231F20"/>
                <w:sz w:val="14"/>
              </w:rPr>
              <w:t>организације).</w:t>
            </w:r>
          </w:p>
          <w:p w:rsidR="00041039" w:rsidRDefault="001B26CB">
            <w:pPr>
              <w:pStyle w:val="TableParagraph"/>
              <w:numPr>
                <w:ilvl w:val="0"/>
                <w:numId w:val="942"/>
              </w:numPr>
              <w:tabs>
                <w:tab w:val="left" w:pos="158"/>
              </w:tabs>
              <w:spacing w:line="237" w:lineRule="auto"/>
              <w:ind w:right="55"/>
              <w:rPr>
                <w:sz w:val="14"/>
              </w:rPr>
            </w:pPr>
            <w:r>
              <w:rPr>
                <w:color w:val="231F20"/>
                <w:sz w:val="14"/>
              </w:rPr>
              <w:t xml:space="preserve">Брига о телу и здрављу </w:t>
            </w:r>
            <w:r>
              <w:rPr>
                <w:color w:val="231F20"/>
                <w:spacing w:val="-5"/>
                <w:sz w:val="14"/>
              </w:rPr>
              <w:t xml:space="preserve">код </w:t>
            </w:r>
            <w:r>
              <w:rPr>
                <w:color w:val="231F20"/>
                <w:sz w:val="14"/>
              </w:rPr>
              <w:t>Срба (утицај животних услова и хигијенских прилика на појаву б</w:t>
            </w:r>
            <w:r>
              <w:rPr>
                <w:color w:val="231F20"/>
                <w:sz w:val="14"/>
              </w:rPr>
              <w:t>олести; најчешће болести и епиде­ мије, народна медицина и надрилекарство, манастирске болнице; прве болнице и лекари, отварање болница у Србији у</w:t>
            </w:r>
            <w:r>
              <w:rPr>
                <w:color w:val="231F20"/>
                <w:spacing w:val="-20"/>
                <w:sz w:val="14"/>
              </w:rPr>
              <w:t xml:space="preserve"> </w:t>
            </w:r>
            <w:r>
              <w:rPr>
                <w:color w:val="231F20"/>
                <w:sz w:val="14"/>
              </w:rPr>
              <w:t>време кнеза Милоша, оснивање Медицинског факултета у</w:t>
            </w:r>
            <w:r>
              <w:rPr>
                <w:color w:val="231F20"/>
                <w:spacing w:val="-2"/>
                <w:sz w:val="14"/>
              </w:rPr>
              <w:t xml:space="preserve"> </w:t>
            </w:r>
            <w:r>
              <w:rPr>
                <w:color w:val="231F20"/>
                <w:sz w:val="14"/>
              </w:rPr>
              <w:t>Београду...).</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977"/>
        </w:trPr>
        <w:tc>
          <w:tcPr>
            <w:tcW w:w="1304" w:type="dxa"/>
            <w:tcBorders>
              <w:bottom w:val="nil"/>
            </w:tcBorders>
          </w:tcPr>
          <w:p w:rsidR="00041039" w:rsidRDefault="001B26CB">
            <w:pPr>
              <w:pStyle w:val="TableParagraph"/>
              <w:spacing w:before="18"/>
              <w:ind w:left="56" w:right="37"/>
              <w:rPr>
                <w:sz w:val="14"/>
              </w:rPr>
            </w:pPr>
            <w:r>
              <w:rPr>
                <w:color w:val="231F20"/>
                <w:sz w:val="14"/>
              </w:rPr>
              <w:lastRenderedPageBreak/>
              <w:t>Грбови и заставе некад и сад</w:t>
            </w:r>
          </w:p>
        </w:tc>
        <w:tc>
          <w:tcPr>
            <w:tcW w:w="1587" w:type="dxa"/>
            <w:vMerge w:val="restart"/>
          </w:tcPr>
          <w:p w:rsidR="00041039" w:rsidRDefault="001B26CB">
            <w:pPr>
              <w:pStyle w:val="TableParagraph"/>
              <w:numPr>
                <w:ilvl w:val="0"/>
                <w:numId w:val="941"/>
              </w:numPr>
              <w:tabs>
                <w:tab w:val="left" w:pos="157"/>
              </w:tabs>
              <w:spacing w:before="8"/>
              <w:ind w:right="113"/>
              <w:rPr>
                <w:sz w:val="14"/>
              </w:rPr>
            </w:pPr>
            <w:r>
              <w:rPr>
                <w:color w:val="231F20"/>
                <w:sz w:val="14"/>
              </w:rPr>
              <w:t>Продубљивање</w:t>
            </w:r>
            <w:r>
              <w:rPr>
                <w:color w:val="231F20"/>
                <w:spacing w:val="-13"/>
                <w:sz w:val="14"/>
              </w:rPr>
              <w:t xml:space="preserve"> </w:t>
            </w:r>
            <w:r>
              <w:rPr>
                <w:color w:val="231F20"/>
                <w:sz w:val="14"/>
              </w:rPr>
              <w:t>знања о развоју грбова и застава и њиховом значају у</w:t>
            </w:r>
            <w:r>
              <w:rPr>
                <w:color w:val="231F20"/>
                <w:spacing w:val="-4"/>
                <w:sz w:val="14"/>
              </w:rPr>
              <w:t xml:space="preserve"> </w:t>
            </w:r>
            <w:r>
              <w:rPr>
                <w:color w:val="231F20"/>
                <w:sz w:val="14"/>
              </w:rPr>
              <w:t>историји.</w:t>
            </w:r>
          </w:p>
          <w:p w:rsidR="00041039" w:rsidRDefault="001B26CB">
            <w:pPr>
              <w:pStyle w:val="TableParagraph"/>
              <w:numPr>
                <w:ilvl w:val="0"/>
                <w:numId w:val="941"/>
              </w:numPr>
              <w:tabs>
                <w:tab w:val="left" w:pos="157"/>
              </w:tabs>
              <w:spacing w:line="156" w:lineRule="exact"/>
              <w:rPr>
                <w:sz w:val="14"/>
              </w:rPr>
            </w:pPr>
            <w:r>
              <w:rPr>
                <w:color w:val="231F20"/>
                <w:sz w:val="14"/>
              </w:rPr>
              <w:t>Упознавање</w:t>
            </w:r>
            <w:r>
              <w:rPr>
                <w:color w:val="231F20"/>
                <w:spacing w:val="-2"/>
                <w:sz w:val="14"/>
              </w:rPr>
              <w:t xml:space="preserve"> </w:t>
            </w:r>
            <w:r>
              <w:rPr>
                <w:color w:val="231F20"/>
                <w:sz w:val="14"/>
              </w:rPr>
              <w:t>са</w:t>
            </w:r>
          </w:p>
          <w:p w:rsidR="00041039" w:rsidRDefault="001B26CB">
            <w:pPr>
              <w:pStyle w:val="TableParagraph"/>
              <w:ind w:right="20"/>
              <w:rPr>
                <w:sz w:val="14"/>
              </w:rPr>
            </w:pPr>
            <w:r>
              <w:rPr>
                <w:color w:val="231F20"/>
                <w:sz w:val="14"/>
              </w:rPr>
              <w:t>развојем, улогом и зна­ чајем грбова и застава у прошлости српског народа.</w:t>
            </w:r>
          </w:p>
        </w:tc>
        <w:tc>
          <w:tcPr>
            <w:tcW w:w="2551" w:type="dxa"/>
            <w:vMerge w:val="restart"/>
          </w:tcPr>
          <w:p w:rsidR="00041039" w:rsidRDefault="001B26CB">
            <w:pPr>
              <w:pStyle w:val="TableParagraph"/>
              <w:numPr>
                <w:ilvl w:val="0"/>
                <w:numId w:val="940"/>
              </w:numPr>
              <w:tabs>
                <w:tab w:val="left" w:pos="157"/>
              </w:tabs>
              <w:spacing w:before="8"/>
              <w:ind w:right="130" w:hanging="99"/>
              <w:rPr>
                <w:sz w:val="14"/>
              </w:rPr>
            </w:pPr>
            <w:r>
              <w:rPr>
                <w:color w:val="231F20"/>
                <w:sz w:val="14"/>
              </w:rPr>
              <w:t>уочи основна обележја развоја</w:t>
            </w:r>
            <w:r>
              <w:rPr>
                <w:color w:val="231F20"/>
                <w:spacing w:val="-14"/>
                <w:sz w:val="14"/>
              </w:rPr>
              <w:t xml:space="preserve"> </w:t>
            </w:r>
            <w:r>
              <w:rPr>
                <w:color w:val="231F20"/>
                <w:sz w:val="14"/>
              </w:rPr>
              <w:t>грбова и застава кроз</w:t>
            </w:r>
            <w:r>
              <w:rPr>
                <w:color w:val="231F20"/>
                <w:spacing w:val="-3"/>
                <w:sz w:val="14"/>
              </w:rPr>
              <w:t xml:space="preserve"> </w:t>
            </w:r>
            <w:r>
              <w:rPr>
                <w:color w:val="231F20"/>
                <w:sz w:val="14"/>
              </w:rPr>
              <w:t>историју;</w:t>
            </w:r>
          </w:p>
          <w:p w:rsidR="00041039" w:rsidRDefault="001B26CB">
            <w:pPr>
              <w:pStyle w:val="TableParagraph"/>
              <w:numPr>
                <w:ilvl w:val="0"/>
                <w:numId w:val="940"/>
              </w:numPr>
              <w:tabs>
                <w:tab w:val="left" w:pos="157"/>
              </w:tabs>
              <w:spacing w:line="160" w:lineRule="exact"/>
              <w:ind w:right="130" w:hanging="99"/>
              <w:rPr>
                <w:sz w:val="14"/>
              </w:rPr>
            </w:pPr>
            <w:r>
              <w:rPr>
                <w:color w:val="231F20"/>
                <w:sz w:val="14"/>
              </w:rPr>
              <w:t>уочи основна обележја развоја</w:t>
            </w:r>
            <w:r>
              <w:rPr>
                <w:color w:val="231F20"/>
                <w:spacing w:val="-14"/>
                <w:sz w:val="14"/>
              </w:rPr>
              <w:t xml:space="preserve"> </w:t>
            </w:r>
            <w:r>
              <w:rPr>
                <w:color w:val="231F20"/>
                <w:sz w:val="14"/>
              </w:rPr>
              <w:t xml:space="preserve">грбова и застава </w:t>
            </w:r>
            <w:r>
              <w:rPr>
                <w:color w:val="231F20"/>
                <w:spacing w:val="-5"/>
                <w:sz w:val="14"/>
              </w:rPr>
              <w:t xml:space="preserve">код </w:t>
            </w:r>
            <w:r>
              <w:rPr>
                <w:color w:val="231F20"/>
                <w:sz w:val="14"/>
              </w:rPr>
              <w:t>Срба кроз историју;</w:t>
            </w:r>
          </w:p>
          <w:p w:rsidR="00041039" w:rsidRDefault="001B26CB">
            <w:pPr>
              <w:pStyle w:val="TableParagraph"/>
              <w:numPr>
                <w:ilvl w:val="0"/>
                <w:numId w:val="940"/>
              </w:numPr>
              <w:tabs>
                <w:tab w:val="left" w:pos="157"/>
              </w:tabs>
              <w:spacing w:line="160" w:lineRule="exact"/>
              <w:ind w:right="292" w:hanging="99"/>
              <w:rPr>
                <w:sz w:val="14"/>
              </w:rPr>
            </w:pPr>
            <w:r>
              <w:rPr>
                <w:color w:val="231F20"/>
                <w:sz w:val="14"/>
              </w:rPr>
              <w:t>изведе закључак о значају грбова</w:t>
            </w:r>
            <w:r>
              <w:rPr>
                <w:color w:val="231F20"/>
                <w:spacing w:val="-25"/>
                <w:sz w:val="14"/>
              </w:rPr>
              <w:t xml:space="preserve"> </w:t>
            </w:r>
            <w:r>
              <w:rPr>
                <w:color w:val="231F20"/>
                <w:sz w:val="14"/>
              </w:rPr>
              <w:t>и застава кроз</w:t>
            </w:r>
            <w:r>
              <w:rPr>
                <w:color w:val="231F20"/>
                <w:spacing w:val="-1"/>
                <w:sz w:val="14"/>
              </w:rPr>
              <w:t xml:space="preserve"> </w:t>
            </w:r>
            <w:r>
              <w:rPr>
                <w:color w:val="231F20"/>
                <w:sz w:val="14"/>
              </w:rPr>
              <w:t>историју;</w:t>
            </w:r>
          </w:p>
          <w:p w:rsidR="00041039" w:rsidRDefault="001B26CB">
            <w:pPr>
              <w:pStyle w:val="TableParagraph"/>
              <w:numPr>
                <w:ilvl w:val="0"/>
                <w:numId w:val="940"/>
              </w:numPr>
              <w:tabs>
                <w:tab w:val="left" w:pos="157"/>
              </w:tabs>
              <w:spacing w:line="153" w:lineRule="exact"/>
              <w:ind w:hanging="99"/>
              <w:rPr>
                <w:sz w:val="14"/>
              </w:rPr>
            </w:pPr>
            <w:r>
              <w:rPr>
                <w:color w:val="231F20"/>
                <w:sz w:val="14"/>
              </w:rPr>
              <w:t>наведе најчешће хералдичке</w:t>
            </w:r>
            <w:r>
              <w:rPr>
                <w:color w:val="231F20"/>
                <w:spacing w:val="-13"/>
                <w:sz w:val="14"/>
              </w:rPr>
              <w:t xml:space="preserve"> </w:t>
            </w:r>
            <w:r>
              <w:rPr>
                <w:color w:val="231F20"/>
                <w:sz w:val="14"/>
              </w:rPr>
              <w:t>симболе;</w:t>
            </w:r>
          </w:p>
          <w:p w:rsidR="00041039" w:rsidRDefault="001B26CB">
            <w:pPr>
              <w:pStyle w:val="TableParagraph"/>
              <w:numPr>
                <w:ilvl w:val="0"/>
                <w:numId w:val="940"/>
              </w:numPr>
              <w:tabs>
                <w:tab w:val="left" w:pos="157"/>
              </w:tabs>
              <w:spacing w:line="237" w:lineRule="auto"/>
              <w:ind w:right="233" w:hanging="99"/>
              <w:rPr>
                <w:sz w:val="14"/>
              </w:rPr>
            </w:pPr>
            <w:r>
              <w:rPr>
                <w:color w:val="231F20"/>
                <w:sz w:val="14"/>
              </w:rPr>
              <w:t xml:space="preserve">опише </w:t>
            </w:r>
            <w:r>
              <w:rPr>
                <w:color w:val="231F20"/>
                <w:spacing w:val="-3"/>
                <w:sz w:val="14"/>
              </w:rPr>
              <w:t xml:space="preserve">изглед </w:t>
            </w:r>
            <w:r>
              <w:rPr>
                <w:color w:val="231F20"/>
                <w:sz w:val="14"/>
              </w:rPr>
              <w:t>и порекло савременог српског грба и</w:t>
            </w:r>
            <w:r>
              <w:rPr>
                <w:color w:val="231F20"/>
                <w:spacing w:val="-4"/>
                <w:sz w:val="14"/>
              </w:rPr>
              <w:t xml:space="preserve"> </w:t>
            </w:r>
            <w:r>
              <w:rPr>
                <w:color w:val="231F20"/>
                <w:sz w:val="14"/>
              </w:rPr>
              <w:t>заставе;</w:t>
            </w:r>
          </w:p>
        </w:tc>
        <w:tc>
          <w:tcPr>
            <w:tcW w:w="2834" w:type="dxa"/>
            <w:vMerge w:val="restart"/>
          </w:tcPr>
          <w:p w:rsidR="00041039" w:rsidRDefault="001B26CB">
            <w:pPr>
              <w:pStyle w:val="TableParagraph"/>
              <w:numPr>
                <w:ilvl w:val="0"/>
                <w:numId w:val="939"/>
              </w:numPr>
              <w:tabs>
                <w:tab w:val="left" w:pos="157"/>
              </w:tabs>
              <w:spacing w:before="8"/>
              <w:ind w:right="131" w:hanging="99"/>
              <w:rPr>
                <w:sz w:val="14"/>
              </w:rPr>
            </w:pPr>
            <w:r>
              <w:rPr>
                <w:color w:val="231F20"/>
                <w:spacing w:val="-4"/>
                <w:sz w:val="14"/>
              </w:rPr>
              <w:t xml:space="preserve">Улога </w:t>
            </w:r>
            <w:r>
              <w:rPr>
                <w:color w:val="231F20"/>
                <w:sz w:val="14"/>
              </w:rPr>
              <w:t>и значај грбова и застава (као симбола државе, нације, владара, војске, града, установе, предузећа, политичке организације, спортског друштва...;</w:t>
            </w:r>
            <w:r>
              <w:rPr>
                <w:color w:val="231F20"/>
                <w:spacing w:val="-17"/>
                <w:sz w:val="14"/>
              </w:rPr>
              <w:t xml:space="preserve"> </w:t>
            </w:r>
            <w:r>
              <w:rPr>
                <w:color w:val="231F20"/>
                <w:sz w:val="14"/>
              </w:rPr>
              <w:t>појава грбова у XII веку ­ породични грбови на штитовима као начин распознавања вите­ зова на турнирима и у ра</w:t>
            </w:r>
            <w:r>
              <w:rPr>
                <w:color w:val="231F20"/>
                <w:sz w:val="14"/>
              </w:rPr>
              <w:t xml:space="preserve">тним походима; грбови на заставама, </w:t>
            </w:r>
            <w:r>
              <w:rPr>
                <w:color w:val="231F20"/>
                <w:spacing w:val="-4"/>
                <w:sz w:val="14"/>
              </w:rPr>
              <w:t xml:space="preserve">новцу, </w:t>
            </w:r>
            <w:r>
              <w:rPr>
                <w:color w:val="231F20"/>
                <w:sz w:val="14"/>
              </w:rPr>
              <w:t>печатима, поштанским маркама, споменицима, шлемовима...; најчешћи хералдички симболи;</w:t>
            </w:r>
            <w:r>
              <w:rPr>
                <w:color w:val="231F20"/>
                <w:spacing w:val="-6"/>
                <w:sz w:val="14"/>
              </w:rPr>
              <w:t xml:space="preserve"> </w:t>
            </w:r>
            <w:r>
              <w:rPr>
                <w:color w:val="231F20"/>
                <w:sz w:val="14"/>
              </w:rPr>
              <w:t>појава</w:t>
            </w:r>
            <w:r>
              <w:rPr>
                <w:color w:val="231F20"/>
                <w:spacing w:val="-5"/>
                <w:sz w:val="14"/>
              </w:rPr>
              <w:t xml:space="preserve"> </w:t>
            </w:r>
            <w:r>
              <w:rPr>
                <w:color w:val="231F20"/>
                <w:sz w:val="14"/>
              </w:rPr>
              <w:t>првих</w:t>
            </w:r>
            <w:r>
              <w:rPr>
                <w:color w:val="231F20"/>
                <w:spacing w:val="-6"/>
                <w:sz w:val="14"/>
              </w:rPr>
              <w:t xml:space="preserve"> </w:t>
            </w:r>
            <w:r>
              <w:rPr>
                <w:color w:val="231F20"/>
                <w:sz w:val="14"/>
              </w:rPr>
              <w:t>застава</w:t>
            </w:r>
            <w:r>
              <w:rPr>
                <w:color w:val="231F20"/>
                <w:spacing w:val="-5"/>
                <w:sz w:val="14"/>
              </w:rPr>
              <w:t xml:space="preserve"> </w:t>
            </w:r>
            <w:r>
              <w:rPr>
                <w:color w:val="231F20"/>
                <w:sz w:val="14"/>
              </w:rPr>
              <w:t>­</w:t>
            </w:r>
            <w:r>
              <w:rPr>
                <w:color w:val="231F20"/>
                <w:spacing w:val="-5"/>
                <w:sz w:val="14"/>
              </w:rPr>
              <w:t xml:space="preserve"> </w:t>
            </w:r>
            <w:r>
              <w:rPr>
                <w:i/>
                <w:color w:val="231F20"/>
                <w:sz w:val="14"/>
              </w:rPr>
              <w:t>вексилум</w:t>
            </w:r>
            <w:r>
              <w:rPr>
                <w:i/>
                <w:color w:val="231F20"/>
                <w:spacing w:val="-5"/>
                <w:sz w:val="14"/>
              </w:rPr>
              <w:t xml:space="preserve"> </w:t>
            </w:r>
            <w:r>
              <w:rPr>
                <w:color w:val="231F20"/>
                <w:sz w:val="14"/>
              </w:rPr>
              <w:t xml:space="preserve">­ застава римских царева, </w:t>
            </w:r>
            <w:r>
              <w:rPr>
                <w:i/>
                <w:color w:val="231F20"/>
                <w:sz w:val="14"/>
              </w:rPr>
              <w:t xml:space="preserve">лабарум </w:t>
            </w:r>
            <w:r>
              <w:rPr>
                <w:color w:val="231F20"/>
                <w:sz w:val="14"/>
              </w:rPr>
              <w:t>­ застава Константина Великог; основни елементи застава).</w:t>
            </w:r>
          </w:p>
          <w:p w:rsidR="00041039" w:rsidRDefault="001B26CB">
            <w:pPr>
              <w:pStyle w:val="TableParagraph"/>
              <w:numPr>
                <w:ilvl w:val="0"/>
                <w:numId w:val="939"/>
              </w:numPr>
              <w:tabs>
                <w:tab w:val="left" w:pos="157"/>
              </w:tabs>
              <w:spacing w:line="147" w:lineRule="exact"/>
              <w:ind w:hanging="99"/>
              <w:rPr>
                <w:sz w:val="14"/>
              </w:rPr>
            </w:pPr>
            <w:r>
              <w:rPr>
                <w:color w:val="231F20"/>
                <w:sz w:val="14"/>
              </w:rPr>
              <w:t>Грб</w:t>
            </w:r>
            <w:r>
              <w:rPr>
                <w:color w:val="231F20"/>
                <w:sz w:val="14"/>
              </w:rPr>
              <w:t>ови и заставе у прошлости</w:t>
            </w:r>
            <w:r>
              <w:rPr>
                <w:color w:val="231F20"/>
                <w:spacing w:val="-23"/>
                <w:sz w:val="14"/>
              </w:rPr>
              <w:t xml:space="preserve"> </w:t>
            </w:r>
            <w:r>
              <w:rPr>
                <w:color w:val="231F20"/>
                <w:sz w:val="14"/>
              </w:rPr>
              <w:t>српског</w:t>
            </w:r>
          </w:p>
          <w:p w:rsidR="00041039" w:rsidRDefault="001B26CB">
            <w:pPr>
              <w:pStyle w:val="TableParagraph"/>
              <w:ind w:right="104"/>
              <w:rPr>
                <w:sz w:val="14"/>
              </w:rPr>
            </w:pPr>
            <w:r>
              <w:rPr>
                <w:color w:val="231F20"/>
                <w:sz w:val="14"/>
              </w:rPr>
              <w:t>народа (порекло савременог српског грба и заставе, значење четири оцила,</w:t>
            </w:r>
            <w:r>
              <w:rPr>
                <w:color w:val="231F20"/>
                <w:spacing w:val="-19"/>
                <w:sz w:val="14"/>
              </w:rPr>
              <w:t xml:space="preserve"> </w:t>
            </w:r>
            <w:r>
              <w:rPr>
                <w:color w:val="231F20"/>
                <w:sz w:val="14"/>
              </w:rPr>
              <w:t>најчешћи хералдички симболи на грбовима српских нововековних и средњовековних</w:t>
            </w:r>
            <w:r>
              <w:rPr>
                <w:color w:val="231F20"/>
                <w:spacing w:val="-11"/>
                <w:sz w:val="14"/>
              </w:rPr>
              <w:t xml:space="preserve"> </w:t>
            </w:r>
            <w:r>
              <w:rPr>
                <w:color w:val="231F20"/>
                <w:sz w:val="14"/>
              </w:rPr>
              <w:t>држава</w:t>
            </w:r>
          </w:p>
          <w:p w:rsidR="00041039" w:rsidRDefault="001B26CB">
            <w:pPr>
              <w:pStyle w:val="TableParagraph"/>
              <w:spacing w:line="237" w:lineRule="auto"/>
              <w:rPr>
                <w:sz w:val="14"/>
              </w:rPr>
            </w:pPr>
            <w:r>
              <w:rPr>
                <w:color w:val="231F20"/>
                <w:sz w:val="14"/>
              </w:rPr>
              <w:t>и династија и властелинских породица ­ двоглави бели орао Немањи</w:t>
            </w:r>
            <w:r>
              <w:rPr>
                <w:color w:val="231F20"/>
                <w:sz w:val="14"/>
              </w:rPr>
              <w:t>ћа, Лазаревића, Карађорђевића, Обреновића и Петровића</w:t>
            </w:r>
          </w:p>
          <w:p w:rsidR="00041039" w:rsidRDefault="001B26CB">
            <w:pPr>
              <w:pStyle w:val="TableParagraph"/>
              <w:numPr>
                <w:ilvl w:val="1"/>
                <w:numId w:val="939"/>
              </w:numPr>
              <w:tabs>
                <w:tab w:val="left" w:pos="239"/>
              </w:tabs>
              <w:spacing w:line="161" w:lineRule="exact"/>
              <w:ind w:firstLine="0"/>
              <w:rPr>
                <w:sz w:val="14"/>
              </w:rPr>
            </w:pPr>
            <w:r>
              <w:rPr>
                <w:color w:val="231F20"/>
                <w:sz w:val="14"/>
              </w:rPr>
              <w:t>Његоша, лав Бранковића и</w:t>
            </w:r>
            <w:r>
              <w:rPr>
                <w:color w:val="231F20"/>
                <w:spacing w:val="-8"/>
                <w:sz w:val="14"/>
              </w:rPr>
              <w:t xml:space="preserve"> </w:t>
            </w:r>
            <w:r>
              <w:rPr>
                <w:color w:val="231F20"/>
                <w:sz w:val="14"/>
              </w:rPr>
              <w:t>Петровића</w:t>
            </w:r>
          </w:p>
          <w:p w:rsidR="00041039" w:rsidRDefault="001B26CB">
            <w:pPr>
              <w:pStyle w:val="TableParagraph"/>
              <w:numPr>
                <w:ilvl w:val="1"/>
                <w:numId w:val="939"/>
              </w:numPr>
              <w:tabs>
                <w:tab w:val="left" w:pos="239"/>
              </w:tabs>
              <w:ind w:right="712" w:firstLine="0"/>
              <w:rPr>
                <w:sz w:val="14"/>
              </w:rPr>
            </w:pPr>
            <w:r>
              <w:rPr>
                <w:color w:val="231F20"/>
                <w:sz w:val="14"/>
              </w:rPr>
              <w:t>Његоша, вук Балшића,</w:t>
            </w:r>
            <w:r>
              <w:rPr>
                <w:color w:val="231F20"/>
                <w:spacing w:val="-20"/>
                <w:sz w:val="14"/>
              </w:rPr>
              <w:t xml:space="preserve"> </w:t>
            </w:r>
            <w:r>
              <w:rPr>
                <w:color w:val="231F20"/>
                <w:sz w:val="14"/>
              </w:rPr>
              <w:t>љиљани Котроманића...).</w:t>
            </w:r>
          </w:p>
        </w:tc>
        <w:tc>
          <w:tcPr>
            <w:tcW w:w="2267" w:type="dxa"/>
            <w:tcBorders>
              <w:bottom w:val="nil"/>
            </w:tcBorders>
          </w:tcPr>
          <w:p w:rsidR="00041039" w:rsidRDefault="001B26CB">
            <w:pPr>
              <w:pStyle w:val="TableParagraph"/>
              <w:spacing w:before="19"/>
              <w:ind w:left="58" w:right="66"/>
              <w:rPr>
                <w:sz w:val="14"/>
              </w:rPr>
            </w:pPr>
            <w:r>
              <w:rPr>
                <w:color w:val="231F20"/>
                <w:sz w:val="14"/>
              </w:rPr>
              <w:t xml:space="preserve">Ж. Стојановић, </w:t>
            </w:r>
            <w:r>
              <w:rPr>
                <w:i/>
                <w:color w:val="231F20"/>
                <w:sz w:val="14"/>
              </w:rPr>
              <w:t>Папирни новац Србије и Југославије</w:t>
            </w:r>
            <w:r>
              <w:rPr>
                <w:color w:val="231F20"/>
                <w:sz w:val="14"/>
              </w:rPr>
              <w:t xml:space="preserve">, Београд 1996. Н. Томас, Д. Бабац, </w:t>
            </w:r>
            <w:r>
              <w:rPr>
                <w:i/>
                <w:color w:val="231F20"/>
                <w:sz w:val="14"/>
              </w:rPr>
              <w:t>Армије на Балкану 1914 - 1918</w:t>
            </w:r>
            <w:r>
              <w:rPr>
                <w:color w:val="231F20"/>
                <w:sz w:val="14"/>
              </w:rPr>
              <w:t xml:space="preserve">, Београд 2006, Џ. Харт, </w:t>
            </w:r>
            <w:r>
              <w:rPr>
                <w:i/>
                <w:color w:val="231F20"/>
                <w:sz w:val="14"/>
              </w:rPr>
              <w:t>Стари Египат</w:t>
            </w:r>
            <w:r>
              <w:rPr>
                <w:color w:val="231F20"/>
                <w:sz w:val="14"/>
              </w:rPr>
              <w:t>, Београд 2006.</w:t>
            </w:r>
          </w:p>
          <w:p w:rsidR="00041039" w:rsidRDefault="001B26CB">
            <w:pPr>
              <w:pStyle w:val="TableParagraph"/>
              <w:spacing w:line="237" w:lineRule="auto"/>
              <w:ind w:left="58"/>
              <w:rPr>
                <w:sz w:val="14"/>
              </w:rPr>
            </w:pPr>
            <w:r>
              <w:rPr>
                <w:color w:val="231F20"/>
                <w:sz w:val="14"/>
              </w:rPr>
              <w:t xml:space="preserve">Ф. Џајс, </w:t>
            </w:r>
            <w:r>
              <w:rPr>
                <w:i/>
                <w:color w:val="231F20"/>
                <w:sz w:val="14"/>
              </w:rPr>
              <w:t>Витезови кроз историју</w:t>
            </w:r>
            <w:r>
              <w:rPr>
                <w:color w:val="231F20"/>
                <w:sz w:val="14"/>
              </w:rPr>
              <w:t>, Београд 2003.</w:t>
            </w:r>
          </w:p>
          <w:p w:rsidR="00041039" w:rsidRDefault="001B26CB">
            <w:pPr>
              <w:pStyle w:val="TableParagraph"/>
              <w:ind w:left="58" w:right="109"/>
              <w:rPr>
                <w:sz w:val="14"/>
              </w:rPr>
            </w:pPr>
            <w:r>
              <w:rPr>
                <w:color w:val="231F20"/>
                <w:sz w:val="14"/>
              </w:rPr>
              <w:t xml:space="preserve">Ф. Џајс, Џ. Џајс, </w:t>
            </w:r>
            <w:r>
              <w:rPr>
                <w:i/>
                <w:color w:val="231F20"/>
                <w:sz w:val="14"/>
              </w:rPr>
              <w:t>Живот у средњовековном граду</w:t>
            </w:r>
            <w:r>
              <w:rPr>
                <w:color w:val="231F20"/>
                <w:sz w:val="14"/>
              </w:rPr>
              <w:t>, Београд 2004.</w:t>
            </w:r>
          </w:p>
          <w:p w:rsidR="00041039" w:rsidRDefault="001B26CB">
            <w:pPr>
              <w:pStyle w:val="TableParagraph"/>
              <w:spacing w:line="237" w:lineRule="auto"/>
              <w:ind w:left="58" w:right="109"/>
              <w:rPr>
                <w:sz w:val="14"/>
              </w:rPr>
            </w:pPr>
            <w:r>
              <w:rPr>
                <w:color w:val="231F20"/>
                <w:sz w:val="14"/>
              </w:rPr>
              <w:t xml:space="preserve">Ф. Џајс, Џ. Џајс, </w:t>
            </w:r>
            <w:r>
              <w:rPr>
                <w:i/>
                <w:color w:val="231F20"/>
                <w:sz w:val="14"/>
              </w:rPr>
              <w:t>Живот у средњовековном замку</w:t>
            </w:r>
            <w:r>
              <w:rPr>
                <w:color w:val="231F20"/>
                <w:sz w:val="14"/>
              </w:rPr>
              <w:t>, Београд 2005.</w:t>
            </w:r>
          </w:p>
          <w:p w:rsidR="00041039" w:rsidRDefault="001B26CB">
            <w:pPr>
              <w:pStyle w:val="TableParagraph"/>
              <w:ind w:left="58" w:right="60"/>
              <w:rPr>
                <w:sz w:val="14"/>
              </w:rPr>
            </w:pPr>
            <w:r>
              <w:rPr>
                <w:color w:val="231F20"/>
                <w:sz w:val="14"/>
              </w:rPr>
              <w:t xml:space="preserve">Ф. Џајс, Џ. Џајс, </w:t>
            </w:r>
            <w:r>
              <w:rPr>
                <w:i/>
                <w:color w:val="231F20"/>
                <w:sz w:val="14"/>
              </w:rPr>
              <w:t>Живот у средњо</w:t>
            </w:r>
            <w:r>
              <w:rPr>
                <w:i/>
                <w:color w:val="231F20"/>
                <w:sz w:val="14"/>
              </w:rPr>
              <w:t>вековном</w:t>
            </w:r>
            <w:r>
              <w:rPr>
                <w:i/>
                <w:color w:val="231F20"/>
                <w:spacing w:val="-10"/>
                <w:sz w:val="14"/>
              </w:rPr>
              <w:t xml:space="preserve"> </w:t>
            </w:r>
            <w:r>
              <w:rPr>
                <w:i/>
                <w:color w:val="231F20"/>
                <w:sz w:val="14"/>
              </w:rPr>
              <w:t>селу</w:t>
            </w:r>
            <w:r>
              <w:rPr>
                <w:color w:val="231F20"/>
                <w:sz w:val="14"/>
              </w:rPr>
              <w:t>,</w:t>
            </w:r>
            <w:r>
              <w:rPr>
                <w:color w:val="231F20"/>
                <w:spacing w:val="-10"/>
                <w:sz w:val="14"/>
              </w:rPr>
              <w:t xml:space="preserve"> </w:t>
            </w:r>
            <w:r>
              <w:rPr>
                <w:color w:val="231F20"/>
                <w:sz w:val="14"/>
              </w:rPr>
              <w:t>Београд</w:t>
            </w:r>
            <w:r>
              <w:rPr>
                <w:color w:val="231F20"/>
                <w:spacing w:val="-10"/>
                <w:sz w:val="14"/>
              </w:rPr>
              <w:t xml:space="preserve"> </w:t>
            </w:r>
            <w:r>
              <w:rPr>
                <w:color w:val="231F20"/>
                <w:sz w:val="14"/>
              </w:rPr>
              <w:t xml:space="preserve">2006. С. Цејмс, </w:t>
            </w:r>
            <w:r>
              <w:rPr>
                <w:i/>
                <w:color w:val="231F20"/>
                <w:sz w:val="14"/>
              </w:rPr>
              <w:t>Стари Рим</w:t>
            </w:r>
            <w:r>
              <w:rPr>
                <w:color w:val="231F20"/>
                <w:sz w:val="14"/>
              </w:rPr>
              <w:t>, Београд 2006.</w:t>
            </w:r>
          </w:p>
        </w:tc>
      </w:tr>
      <w:tr w:rsidR="00041039">
        <w:trPr>
          <w:trHeight w:val="95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938"/>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938"/>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92"/>
        </w:trPr>
        <w:tc>
          <w:tcPr>
            <w:tcW w:w="1304" w:type="dxa"/>
            <w:tcBorders>
              <w:top w:val="nil"/>
            </w:tcBorders>
          </w:tcPr>
          <w:p w:rsidR="00041039" w:rsidRDefault="00041039">
            <w:pPr>
              <w:pStyle w:val="TableParagraph"/>
              <w:ind w:left="0"/>
              <w:rPr>
                <w:sz w:val="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937"/>
              </w:numPr>
              <w:tabs>
                <w:tab w:val="left" w:pos="158"/>
              </w:tabs>
              <w:spacing w:line="237" w:lineRule="auto"/>
              <w:ind w:right="253" w:hanging="99"/>
              <w:rPr>
                <w:sz w:val="14"/>
              </w:rPr>
            </w:pPr>
            <w:r>
              <w:rPr>
                <w:color w:val="231F20"/>
                <w:sz w:val="14"/>
              </w:rPr>
              <w:t xml:space="preserve">Свакој </w:t>
            </w:r>
            <w:r>
              <w:rPr>
                <w:color w:val="231F20"/>
                <w:spacing w:val="-3"/>
                <w:sz w:val="14"/>
              </w:rPr>
              <w:t xml:space="preserve">од </w:t>
            </w:r>
            <w:r>
              <w:rPr>
                <w:color w:val="231F20"/>
                <w:sz w:val="14"/>
              </w:rPr>
              <w:t xml:space="preserve">четири теме које </w:t>
            </w:r>
            <w:r>
              <w:rPr>
                <w:color w:val="231F20"/>
                <w:spacing w:val="-4"/>
                <w:sz w:val="14"/>
              </w:rPr>
              <w:t xml:space="preserve">буду </w:t>
            </w:r>
            <w:r>
              <w:rPr>
                <w:color w:val="231F20"/>
                <w:sz w:val="14"/>
              </w:rPr>
              <w:t>изабране треба посветити четвртину часова предвиђених наставним</w:t>
            </w:r>
            <w:r>
              <w:rPr>
                <w:color w:val="231F20"/>
                <w:spacing w:val="-1"/>
                <w:sz w:val="14"/>
              </w:rPr>
              <w:t xml:space="preserve"> </w:t>
            </w:r>
            <w:r>
              <w:rPr>
                <w:color w:val="231F20"/>
                <w:sz w:val="14"/>
              </w:rPr>
              <w:t>планом.</w:t>
            </w:r>
          </w:p>
        </w:tc>
      </w:tr>
      <w:tr w:rsidR="00041039">
        <w:trPr>
          <w:trHeight w:val="2440"/>
        </w:trPr>
        <w:tc>
          <w:tcPr>
            <w:tcW w:w="1304" w:type="dxa"/>
          </w:tcPr>
          <w:p w:rsidR="00041039" w:rsidRDefault="001B26CB">
            <w:pPr>
              <w:pStyle w:val="TableParagraph"/>
              <w:spacing w:before="19"/>
              <w:ind w:left="56"/>
              <w:rPr>
                <w:sz w:val="14"/>
              </w:rPr>
            </w:pPr>
            <w:r>
              <w:rPr>
                <w:color w:val="231F20"/>
                <w:sz w:val="14"/>
              </w:rPr>
              <w:t>Спорт некад и сад</w:t>
            </w:r>
          </w:p>
        </w:tc>
        <w:tc>
          <w:tcPr>
            <w:tcW w:w="1587" w:type="dxa"/>
          </w:tcPr>
          <w:p w:rsidR="00041039" w:rsidRDefault="001B26CB">
            <w:pPr>
              <w:pStyle w:val="TableParagraph"/>
              <w:numPr>
                <w:ilvl w:val="0"/>
                <w:numId w:val="936"/>
              </w:numPr>
              <w:tabs>
                <w:tab w:val="left" w:pos="157"/>
              </w:tabs>
              <w:spacing w:before="9"/>
              <w:ind w:right="114"/>
              <w:rPr>
                <w:sz w:val="14"/>
              </w:rPr>
            </w:pPr>
            <w:r>
              <w:rPr>
                <w:color w:val="231F20"/>
                <w:sz w:val="14"/>
              </w:rPr>
              <w:t>Проширивање знања о развоју спортског живота кроз</w:t>
            </w:r>
            <w:r>
              <w:rPr>
                <w:color w:val="231F20"/>
                <w:spacing w:val="-19"/>
                <w:sz w:val="14"/>
              </w:rPr>
              <w:t xml:space="preserve"> </w:t>
            </w:r>
            <w:r>
              <w:rPr>
                <w:color w:val="231F20"/>
                <w:sz w:val="14"/>
              </w:rPr>
              <w:t>историју.</w:t>
            </w:r>
          </w:p>
          <w:p w:rsidR="00041039" w:rsidRDefault="001B26CB">
            <w:pPr>
              <w:pStyle w:val="TableParagraph"/>
              <w:numPr>
                <w:ilvl w:val="0"/>
                <w:numId w:val="936"/>
              </w:numPr>
              <w:tabs>
                <w:tab w:val="left" w:pos="157"/>
              </w:tabs>
              <w:spacing w:line="157" w:lineRule="exact"/>
              <w:rPr>
                <w:sz w:val="14"/>
              </w:rPr>
            </w:pPr>
            <w:r>
              <w:rPr>
                <w:color w:val="231F20"/>
                <w:spacing w:val="-3"/>
                <w:sz w:val="14"/>
              </w:rPr>
              <w:t xml:space="preserve">Уочавање </w:t>
            </w:r>
            <w:r>
              <w:rPr>
                <w:color w:val="231F20"/>
                <w:sz w:val="14"/>
              </w:rPr>
              <w:t>сличности</w:t>
            </w:r>
            <w:r>
              <w:rPr>
                <w:color w:val="231F20"/>
                <w:spacing w:val="5"/>
                <w:sz w:val="14"/>
              </w:rPr>
              <w:t xml:space="preserve"> </w:t>
            </w:r>
            <w:r>
              <w:rPr>
                <w:color w:val="231F20"/>
                <w:sz w:val="14"/>
              </w:rPr>
              <w:t>и</w:t>
            </w:r>
          </w:p>
          <w:p w:rsidR="00041039" w:rsidRDefault="001B26CB">
            <w:pPr>
              <w:pStyle w:val="TableParagraph"/>
              <w:ind w:right="31"/>
              <w:rPr>
                <w:sz w:val="14"/>
              </w:rPr>
            </w:pPr>
            <w:r>
              <w:rPr>
                <w:color w:val="231F20"/>
                <w:sz w:val="14"/>
              </w:rPr>
              <w:t>разлика у спортским играма и надметањима некад и сад.</w:t>
            </w:r>
          </w:p>
          <w:p w:rsidR="00041039" w:rsidRDefault="001B26CB">
            <w:pPr>
              <w:pStyle w:val="TableParagraph"/>
              <w:numPr>
                <w:ilvl w:val="0"/>
                <w:numId w:val="936"/>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спортског живота код Срба.</w:t>
            </w:r>
          </w:p>
        </w:tc>
        <w:tc>
          <w:tcPr>
            <w:tcW w:w="2551" w:type="dxa"/>
          </w:tcPr>
          <w:p w:rsidR="00041039" w:rsidRDefault="001B26CB">
            <w:pPr>
              <w:pStyle w:val="TableParagraph"/>
              <w:numPr>
                <w:ilvl w:val="0"/>
                <w:numId w:val="935"/>
              </w:numPr>
              <w:tabs>
                <w:tab w:val="left" w:pos="157"/>
              </w:tabs>
              <w:spacing w:before="9"/>
              <w:ind w:right="411" w:hanging="99"/>
              <w:rPr>
                <w:sz w:val="14"/>
              </w:rPr>
            </w:pPr>
            <w:r>
              <w:rPr>
                <w:color w:val="231F20"/>
                <w:sz w:val="14"/>
              </w:rPr>
              <w:t>уочи основна обележја спорта</w:t>
            </w:r>
            <w:r>
              <w:rPr>
                <w:color w:val="231F20"/>
                <w:spacing w:val="-7"/>
                <w:sz w:val="14"/>
              </w:rPr>
              <w:t xml:space="preserve">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935"/>
              </w:numPr>
              <w:tabs>
                <w:tab w:val="left" w:pos="157"/>
              </w:tabs>
              <w:spacing w:line="160" w:lineRule="exact"/>
              <w:ind w:right="253" w:hanging="99"/>
              <w:rPr>
                <w:sz w:val="14"/>
              </w:rPr>
            </w:pPr>
            <w:r>
              <w:rPr>
                <w:color w:val="231F20"/>
                <w:sz w:val="14"/>
              </w:rPr>
              <w:t>разуме улогу и значај спорта у</w:t>
            </w:r>
            <w:r>
              <w:rPr>
                <w:color w:val="231F20"/>
                <w:spacing w:val="-23"/>
                <w:sz w:val="14"/>
              </w:rPr>
              <w:t xml:space="preserve"> </w:t>
            </w:r>
            <w:r>
              <w:rPr>
                <w:color w:val="231F20"/>
                <w:spacing w:val="-3"/>
                <w:sz w:val="14"/>
              </w:rPr>
              <w:t>људ­ ском</w:t>
            </w:r>
            <w:r>
              <w:rPr>
                <w:color w:val="231F20"/>
                <w:spacing w:val="-1"/>
                <w:sz w:val="14"/>
              </w:rPr>
              <w:t xml:space="preserve"> </w:t>
            </w:r>
            <w:r>
              <w:rPr>
                <w:color w:val="231F20"/>
                <w:sz w:val="14"/>
              </w:rPr>
              <w:t>друштву;</w:t>
            </w:r>
          </w:p>
          <w:p w:rsidR="00041039" w:rsidRDefault="001B26CB">
            <w:pPr>
              <w:pStyle w:val="TableParagraph"/>
              <w:numPr>
                <w:ilvl w:val="0"/>
                <w:numId w:val="935"/>
              </w:numPr>
              <w:tabs>
                <w:tab w:val="left" w:pos="157"/>
              </w:tabs>
              <w:spacing w:line="160" w:lineRule="exact"/>
              <w:ind w:right="63" w:hanging="99"/>
              <w:jc w:val="both"/>
              <w:rPr>
                <w:sz w:val="14"/>
              </w:rPr>
            </w:pPr>
            <w:r>
              <w:rPr>
                <w:color w:val="231F20"/>
                <w:sz w:val="14"/>
              </w:rPr>
              <w:t>именује и опише спортске</w:t>
            </w:r>
            <w:r>
              <w:rPr>
                <w:color w:val="231F20"/>
                <w:spacing w:val="-12"/>
                <w:sz w:val="14"/>
              </w:rPr>
              <w:t xml:space="preserve"> </w:t>
            </w:r>
            <w:r>
              <w:rPr>
                <w:color w:val="231F20"/>
                <w:sz w:val="14"/>
              </w:rPr>
              <w:t>дисциплине заступљене на античким</w:t>
            </w:r>
            <w:r>
              <w:rPr>
                <w:color w:val="231F20"/>
                <w:spacing w:val="-16"/>
                <w:sz w:val="14"/>
              </w:rPr>
              <w:t xml:space="preserve"> </w:t>
            </w:r>
            <w:r>
              <w:rPr>
                <w:color w:val="231F20"/>
                <w:sz w:val="14"/>
              </w:rPr>
              <w:t>Олимпијским играма;</w:t>
            </w:r>
          </w:p>
          <w:p w:rsidR="00041039" w:rsidRDefault="001B26CB">
            <w:pPr>
              <w:pStyle w:val="TableParagraph"/>
              <w:numPr>
                <w:ilvl w:val="0"/>
                <w:numId w:val="935"/>
              </w:numPr>
              <w:tabs>
                <w:tab w:val="left" w:pos="157"/>
              </w:tabs>
              <w:spacing w:before="1" w:line="160" w:lineRule="exact"/>
              <w:ind w:right="244" w:hanging="99"/>
              <w:rPr>
                <w:sz w:val="14"/>
              </w:rPr>
            </w:pPr>
            <w:r>
              <w:rPr>
                <w:color w:val="231F20"/>
                <w:sz w:val="14"/>
              </w:rPr>
              <w:t>наведе и упореди карактеристике спортских надметања у различитим периодима;</w:t>
            </w:r>
          </w:p>
          <w:p w:rsidR="00041039" w:rsidRDefault="001B26CB">
            <w:pPr>
              <w:pStyle w:val="TableParagraph"/>
              <w:numPr>
                <w:ilvl w:val="0"/>
                <w:numId w:val="935"/>
              </w:numPr>
              <w:tabs>
                <w:tab w:val="left" w:pos="157"/>
              </w:tabs>
              <w:spacing w:line="160" w:lineRule="exact"/>
              <w:ind w:right="274" w:hanging="99"/>
              <w:rPr>
                <w:sz w:val="14"/>
              </w:rPr>
            </w:pPr>
            <w:r>
              <w:rPr>
                <w:color w:val="231F20"/>
                <w:sz w:val="14"/>
              </w:rPr>
              <w:t>опише развој спортског живота</w:t>
            </w:r>
            <w:r>
              <w:rPr>
                <w:color w:val="231F20"/>
                <w:spacing w:val="-11"/>
                <w:sz w:val="14"/>
              </w:rPr>
              <w:t xml:space="preserve"> </w:t>
            </w:r>
            <w:r>
              <w:rPr>
                <w:color w:val="231F20"/>
                <w:spacing w:val="-5"/>
                <w:sz w:val="14"/>
              </w:rPr>
              <w:t xml:space="preserve">код </w:t>
            </w:r>
            <w:r>
              <w:rPr>
                <w:color w:val="231F20"/>
                <w:sz w:val="14"/>
              </w:rPr>
              <w:t>Срба;</w:t>
            </w:r>
          </w:p>
        </w:tc>
        <w:tc>
          <w:tcPr>
            <w:tcW w:w="2834" w:type="dxa"/>
          </w:tcPr>
          <w:p w:rsidR="00041039" w:rsidRDefault="001B26CB">
            <w:pPr>
              <w:pStyle w:val="TableParagraph"/>
              <w:numPr>
                <w:ilvl w:val="0"/>
                <w:numId w:val="934"/>
              </w:numPr>
              <w:tabs>
                <w:tab w:val="left" w:pos="157"/>
              </w:tabs>
              <w:spacing w:before="9"/>
              <w:ind w:right="109" w:hanging="99"/>
              <w:rPr>
                <w:sz w:val="14"/>
              </w:rPr>
            </w:pPr>
            <w:r>
              <w:rPr>
                <w:color w:val="231F20"/>
                <w:spacing w:val="-4"/>
                <w:sz w:val="14"/>
              </w:rPr>
              <w:t xml:space="preserve">Улога </w:t>
            </w:r>
            <w:r>
              <w:rPr>
                <w:color w:val="231F20"/>
                <w:sz w:val="14"/>
              </w:rPr>
              <w:t xml:space="preserve">и значај спорта </w:t>
            </w:r>
            <w:r>
              <w:rPr>
                <w:color w:val="231F20"/>
                <w:spacing w:val="-3"/>
                <w:sz w:val="14"/>
              </w:rPr>
              <w:t xml:space="preserve">од </w:t>
            </w:r>
            <w:r>
              <w:rPr>
                <w:color w:val="231F20"/>
                <w:sz w:val="14"/>
              </w:rPr>
              <w:t>антике до савре­ меног доба (спорт као део бриге о</w:t>
            </w:r>
            <w:r>
              <w:rPr>
                <w:color w:val="231F20"/>
                <w:spacing w:val="-10"/>
                <w:sz w:val="14"/>
              </w:rPr>
              <w:t xml:space="preserve"> </w:t>
            </w:r>
            <w:r>
              <w:rPr>
                <w:color w:val="231F20"/>
                <w:sz w:val="14"/>
              </w:rPr>
              <w:t xml:space="preserve">здрављу и као забава; спорт и Олимпијске игре у античкој </w:t>
            </w:r>
            <w:r>
              <w:rPr>
                <w:color w:val="231F20"/>
                <w:spacing w:val="-4"/>
                <w:sz w:val="14"/>
              </w:rPr>
              <w:t xml:space="preserve">Грчкој </w:t>
            </w:r>
            <w:r>
              <w:rPr>
                <w:color w:val="231F20"/>
                <w:sz w:val="14"/>
              </w:rPr>
              <w:t>као основ спортских игара савременог доба; спортска надметања кроз историју ­ најпопуларнији</w:t>
            </w:r>
            <w:r>
              <w:rPr>
                <w:color w:val="231F20"/>
                <w:spacing w:val="-18"/>
                <w:sz w:val="14"/>
              </w:rPr>
              <w:t xml:space="preserve"> </w:t>
            </w:r>
            <w:r>
              <w:rPr>
                <w:color w:val="231F20"/>
                <w:sz w:val="14"/>
              </w:rPr>
              <w:t>спортови,</w:t>
            </w:r>
          </w:p>
          <w:p w:rsidR="00041039" w:rsidRDefault="001B26CB">
            <w:pPr>
              <w:pStyle w:val="TableParagraph"/>
              <w:spacing w:line="237" w:lineRule="auto"/>
              <w:ind w:right="17"/>
              <w:rPr>
                <w:sz w:val="14"/>
              </w:rPr>
            </w:pPr>
            <w:r>
              <w:rPr>
                <w:color w:val="231F20"/>
                <w:sz w:val="14"/>
              </w:rPr>
              <w:t>аматерски и професионални спорт, модерне Олимпијске игре).</w:t>
            </w:r>
          </w:p>
          <w:p w:rsidR="00041039" w:rsidRDefault="001B26CB">
            <w:pPr>
              <w:pStyle w:val="TableParagraph"/>
              <w:numPr>
                <w:ilvl w:val="0"/>
                <w:numId w:val="934"/>
              </w:numPr>
              <w:tabs>
                <w:tab w:val="left" w:pos="157"/>
              </w:tabs>
              <w:spacing w:line="237" w:lineRule="auto"/>
              <w:ind w:right="198" w:hanging="99"/>
              <w:rPr>
                <w:sz w:val="14"/>
              </w:rPr>
            </w:pPr>
            <w:r>
              <w:rPr>
                <w:color w:val="231F20"/>
                <w:sz w:val="14"/>
              </w:rPr>
              <w:t xml:space="preserve">Спорт </w:t>
            </w:r>
            <w:r>
              <w:rPr>
                <w:color w:val="231F20"/>
                <w:spacing w:val="-5"/>
                <w:sz w:val="14"/>
              </w:rPr>
              <w:t xml:space="preserve">код </w:t>
            </w:r>
            <w:r>
              <w:rPr>
                <w:color w:val="231F20"/>
                <w:sz w:val="14"/>
              </w:rPr>
              <w:t>Срба кроз историју (народне и пастирске игре као прва спортска надме­ тања, прва спо</w:t>
            </w:r>
            <w:r>
              <w:rPr>
                <w:color w:val="231F20"/>
                <w:sz w:val="14"/>
              </w:rPr>
              <w:t>ртска друштва, оснивање Српског олимпијског клуба 1910.</w:t>
            </w:r>
            <w:r>
              <w:rPr>
                <w:color w:val="231F20"/>
                <w:spacing w:val="-25"/>
                <w:sz w:val="14"/>
              </w:rPr>
              <w:t xml:space="preserve"> </w:t>
            </w:r>
            <w:r>
              <w:rPr>
                <w:color w:val="231F20"/>
                <w:sz w:val="14"/>
              </w:rPr>
              <w:t>учешће на међународним такмичењима и велики успеси, спортска друштва и клубови; савремени спорт и спортски</w:t>
            </w:r>
            <w:r>
              <w:rPr>
                <w:color w:val="231F20"/>
                <w:spacing w:val="-3"/>
                <w:sz w:val="14"/>
              </w:rPr>
              <w:t xml:space="preserve"> </w:t>
            </w:r>
            <w:r>
              <w:rPr>
                <w:color w:val="231F20"/>
                <w:sz w:val="14"/>
              </w:rPr>
              <w:t>живот).</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1"/>
          <w:numId w:val="976"/>
        </w:numPr>
        <w:tabs>
          <w:tab w:val="left" w:pos="633"/>
        </w:tabs>
        <w:rPr>
          <w:sz w:val="18"/>
        </w:rPr>
      </w:pPr>
      <w:r>
        <w:rPr>
          <w:color w:val="231F20"/>
          <w:sz w:val="18"/>
        </w:rPr>
        <w:t>Историја</w:t>
      </w:r>
    </w:p>
    <w:p w:rsidR="00041039" w:rsidRDefault="001B26CB">
      <w:pPr>
        <w:pStyle w:val="ListParagraph"/>
        <w:numPr>
          <w:ilvl w:val="1"/>
          <w:numId w:val="976"/>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1"/>
          <w:numId w:val="976"/>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1"/>
          <w:numId w:val="976"/>
        </w:numPr>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numPr>
          <w:ilvl w:val="1"/>
          <w:numId w:val="976"/>
        </w:numPr>
        <w:tabs>
          <w:tab w:val="left" w:pos="633"/>
        </w:tabs>
        <w:rPr>
          <w:sz w:val="18"/>
        </w:rPr>
      </w:pPr>
      <w:r>
        <w:rPr>
          <w:color w:val="231F20"/>
          <w:sz w:val="18"/>
        </w:rPr>
        <w:t>Историја</w:t>
      </w:r>
      <w:r>
        <w:rPr>
          <w:color w:val="231F20"/>
          <w:spacing w:val="-1"/>
          <w:sz w:val="18"/>
        </w:rPr>
        <w:t xml:space="preserve"> </w:t>
      </w:r>
      <w:r>
        <w:rPr>
          <w:color w:val="231F20"/>
          <w:sz w:val="18"/>
        </w:rPr>
        <w:t>ваздухопловства</w:t>
      </w:r>
    </w:p>
    <w:p w:rsidR="00041039" w:rsidRDefault="001B26CB">
      <w:pPr>
        <w:pStyle w:val="ListParagraph"/>
        <w:numPr>
          <w:ilvl w:val="1"/>
          <w:numId w:val="976"/>
        </w:numPr>
        <w:tabs>
          <w:tab w:val="left" w:pos="633"/>
        </w:tabs>
        <w:spacing w:line="203" w:lineRule="exact"/>
        <w:rPr>
          <w:sz w:val="18"/>
        </w:rPr>
      </w:pPr>
      <w:r>
        <w:rPr>
          <w:color w:val="231F20"/>
          <w:sz w:val="18"/>
        </w:rPr>
        <w:t>Географија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ПСИХОЛОГИЈА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60"/>
        </w:trPr>
        <w:tc>
          <w:tcPr>
            <w:tcW w:w="1304" w:type="dxa"/>
          </w:tcPr>
          <w:p w:rsidR="00041039" w:rsidRDefault="001B26CB">
            <w:pPr>
              <w:pStyle w:val="TableParagraph"/>
              <w:spacing w:before="18"/>
              <w:ind w:left="56"/>
              <w:rPr>
                <w:sz w:val="14"/>
              </w:rPr>
            </w:pPr>
            <w:r>
              <w:rPr>
                <w:color w:val="231F20"/>
                <w:sz w:val="14"/>
              </w:rPr>
              <w:t>Увод</w:t>
            </w:r>
          </w:p>
        </w:tc>
        <w:tc>
          <w:tcPr>
            <w:tcW w:w="1587" w:type="dxa"/>
          </w:tcPr>
          <w:p w:rsidR="00041039" w:rsidRDefault="001B26CB">
            <w:pPr>
              <w:pStyle w:val="TableParagraph"/>
              <w:numPr>
                <w:ilvl w:val="0"/>
                <w:numId w:val="933"/>
              </w:numPr>
              <w:tabs>
                <w:tab w:val="left" w:pos="157"/>
              </w:tabs>
              <w:spacing w:before="8"/>
              <w:ind w:right="115"/>
              <w:rPr>
                <w:sz w:val="14"/>
              </w:rPr>
            </w:pPr>
            <w:r>
              <w:rPr>
                <w:color w:val="231F20"/>
                <w:sz w:val="14"/>
              </w:rPr>
              <w:t>Упознавање са</w:t>
            </w:r>
            <w:r>
              <w:rPr>
                <w:color w:val="231F20"/>
                <w:spacing w:val="-24"/>
                <w:sz w:val="14"/>
              </w:rPr>
              <w:t xml:space="preserve"> </w:t>
            </w:r>
            <w:r>
              <w:rPr>
                <w:color w:val="231F20"/>
                <w:sz w:val="14"/>
              </w:rPr>
              <w:t>психо­ логијом као</w:t>
            </w:r>
            <w:r>
              <w:rPr>
                <w:color w:val="231F20"/>
                <w:spacing w:val="-4"/>
                <w:sz w:val="14"/>
              </w:rPr>
              <w:t xml:space="preserve"> </w:t>
            </w:r>
            <w:r>
              <w:rPr>
                <w:color w:val="231F20"/>
                <w:spacing w:val="-3"/>
                <w:sz w:val="14"/>
              </w:rPr>
              <w:t>науком.</w:t>
            </w:r>
          </w:p>
        </w:tc>
        <w:tc>
          <w:tcPr>
            <w:tcW w:w="2551" w:type="dxa"/>
          </w:tcPr>
          <w:p w:rsidR="00041039" w:rsidRDefault="001B26CB">
            <w:pPr>
              <w:pStyle w:val="TableParagraph"/>
              <w:numPr>
                <w:ilvl w:val="0"/>
                <w:numId w:val="932"/>
              </w:numPr>
              <w:tabs>
                <w:tab w:val="left" w:pos="157"/>
              </w:tabs>
              <w:spacing w:before="8"/>
              <w:ind w:right="100" w:hanging="99"/>
              <w:rPr>
                <w:sz w:val="14"/>
              </w:rPr>
            </w:pPr>
            <w:r>
              <w:rPr>
                <w:color w:val="231F20"/>
                <w:sz w:val="14"/>
              </w:rPr>
              <w:t>објасни шта проучава психологија</w:t>
            </w:r>
            <w:r>
              <w:rPr>
                <w:color w:val="231F20"/>
                <w:spacing w:val="-27"/>
                <w:sz w:val="14"/>
              </w:rPr>
              <w:t xml:space="preserve"> </w:t>
            </w:r>
            <w:r>
              <w:rPr>
                <w:color w:val="231F20"/>
                <w:sz w:val="14"/>
              </w:rPr>
              <w:t>као наука;</w:t>
            </w:r>
          </w:p>
        </w:tc>
        <w:tc>
          <w:tcPr>
            <w:tcW w:w="2834" w:type="dxa"/>
          </w:tcPr>
          <w:p w:rsidR="00041039" w:rsidRDefault="001B26CB">
            <w:pPr>
              <w:pStyle w:val="TableParagraph"/>
              <w:numPr>
                <w:ilvl w:val="0"/>
                <w:numId w:val="931"/>
              </w:numPr>
              <w:tabs>
                <w:tab w:val="left" w:pos="157"/>
              </w:tabs>
              <w:spacing w:before="8"/>
              <w:ind w:hanging="99"/>
              <w:rPr>
                <w:sz w:val="14"/>
              </w:rPr>
            </w:pPr>
            <w:r>
              <w:rPr>
                <w:color w:val="231F20"/>
                <w:sz w:val="14"/>
              </w:rPr>
              <w:t>Психологија као</w:t>
            </w:r>
            <w:r>
              <w:rPr>
                <w:color w:val="231F20"/>
                <w:spacing w:val="-3"/>
                <w:sz w:val="14"/>
              </w:rPr>
              <w:t xml:space="preserve"> </w:t>
            </w:r>
            <w:r>
              <w:rPr>
                <w:color w:val="231F20"/>
                <w:sz w:val="14"/>
              </w:rPr>
              <w:t>наука.</w:t>
            </w:r>
          </w:p>
        </w:tc>
        <w:tc>
          <w:tcPr>
            <w:tcW w:w="2267" w:type="dxa"/>
            <w:vMerge w:val="restart"/>
          </w:tcPr>
          <w:p w:rsidR="00041039" w:rsidRDefault="001B26CB">
            <w:pPr>
              <w:pStyle w:val="TableParagraph"/>
              <w:numPr>
                <w:ilvl w:val="0"/>
                <w:numId w:val="930"/>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930"/>
              </w:numPr>
              <w:tabs>
                <w:tab w:val="left" w:pos="158"/>
              </w:tabs>
              <w:spacing w:line="160"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930"/>
              </w:numPr>
              <w:tabs>
                <w:tab w:val="left" w:pos="158"/>
              </w:tabs>
              <w:spacing w:line="166" w:lineRule="exact"/>
              <w:ind w:hanging="99"/>
              <w:rPr>
                <w:sz w:val="14"/>
              </w:rPr>
            </w:pPr>
            <w:r>
              <w:rPr>
                <w:color w:val="231F20"/>
                <w:sz w:val="14"/>
              </w:rPr>
              <w:t>учионици</w:t>
            </w:r>
          </w:p>
        </w:tc>
      </w:tr>
      <w:tr w:rsidR="00041039">
        <w:trPr>
          <w:trHeight w:val="2280"/>
        </w:trPr>
        <w:tc>
          <w:tcPr>
            <w:tcW w:w="1304" w:type="dxa"/>
          </w:tcPr>
          <w:p w:rsidR="00041039" w:rsidRDefault="001B26CB">
            <w:pPr>
              <w:pStyle w:val="TableParagraph"/>
              <w:spacing w:before="18"/>
              <w:ind w:left="56"/>
              <w:rPr>
                <w:sz w:val="14"/>
              </w:rPr>
            </w:pPr>
            <w:r>
              <w:rPr>
                <w:color w:val="231F20"/>
                <w:sz w:val="14"/>
              </w:rPr>
              <w:t>Човек у друштву</w:t>
            </w:r>
          </w:p>
        </w:tc>
        <w:tc>
          <w:tcPr>
            <w:tcW w:w="1587" w:type="dxa"/>
          </w:tcPr>
          <w:p w:rsidR="00041039" w:rsidRDefault="001B26CB">
            <w:pPr>
              <w:pStyle w:val="TableParagraph"/>
              <w:numPr>
                <w:ilvl w:val="0"/>
                <w:numId w:val="929"/>
              </w:numPr>
              <w:tabs>
                <w:tab w:val="left" w:pos="157"/>
              </w:tabs>
              <w:spacing w:before="8"/>
              <w:ind w:right="80"/>
              <w:rPr>
                <w:sz w:val="14"/>
              </w:rPr>
            </w:pPr>
            <w:r>
              <w:rPr>
                <w:color w:val="231F20"/>
                <w:sz w:val="14"/>
              </w:rPr>
              <w:t>Упознавање са</w:t>
            </w:r>
            <w:r>
              <w:rPr>
                <w:color w:val="231F20"/>
                <w:spacing w:val="-22"/>
                <w:sz w:val="14"/>
              </w:rPr>
              <w:t xml:space="preserve"> </w:t>
            </w:r>
            <w:r>
              <w:rPr>
                <w:color w:val="231F20"/>
                <w:sz w:val="14"/>
              </w:rPr>
              <w:t>појмом социјализације и чиниоцима социјали­ зације.</w:t>
            </w:r>
          </w:p>
        </w:tc>
        <w:tc>
          <w:tcPr>
            <w:tcW w:w="2551" w:type="dxa"/>
          </w:tcPr>
          <w:p w:rsidR="00041039" w:rsidRDefault="001B26CB">
            <w:pPr>
              <w:pStyle w:val="TableParagraph"/>
              <w:numPr>
                <w:ilvl w:val="0"/>
                <w:numId w:val="928"/>
              </w:numPr>
              <w:tabs>
                <w:tab w:val="left" w:pos="157"/>
              </w:tabs>
              <w:spacing w:before="8" w:line="166" w:lineRule="exact"/>
              <w:ind w:hanging="99"/>
              <w:rPr>
                <w:sz w:val="14"/>
              </w:rPr>
            </w:pPr>
            <w:r>
              <w:rPr>
                <w:color w:val="231F20"/>
                <w:sz w:val="14"/>
              </w:rPr>
              <w:t>објасни шта је само опажање;</w:t>
            </w:r>
          </w:p>
          <w:p w:rsidR="00041039" w:rsidRDefault="001B26CB">
            <w:pPr>
              <w:pStyle w:val="TableParagraph"/>
              <w:numPr>
                <w:ilvl w:val="0"/>
                <w:numId w:val="928"/>
              </w:numPr>
              <w:tabs>
                <w:tab w:val="left" w:pos="157"/>
              </w:tabs>
              <w:spacing w:line="237" w:lineRule="auto"/>
              <w:ind w:right="284" w:hanging="99"/>
              <w:rPr>
                <w:sz w:val="14"/>
              </w:rPr>
            </w:pPr>
            <w:r>
              <w:rPr>
                <w:color w:val="231F20"/>
                <w:sz w:val="14"/>
              </w:rPr>
              <w:t>објасни шта је прва импресија и до којих грешака доводи у опажању других особа;</w:t>
            </w:r>
          </w:p>
          <w:p w:rsidR="00041039" w:rsidRDefault="001B26CB">
            <w:pPr>
              <w:pStyle w:val="TableParagraph"/>
              <w:numPr>
                <w:ilvl w:val="0"/>
                <w:numId w:val="928"/>
              </w:numPr>
              <w:tabs>
                <w:tab w:val="left" w:pos="157"/>
              </w:tabs>
              <w:spacing w:line="156" w:lineRule="exact"/>
              <w:ind w:hanging="99"/>
              <w:rPr>
                <w:sz w:val="14"/>
              </w:rPr>
            </w:pPr>
            <w:r>
              <w:rPr>
                <w:color w:val="231F20"/>
                <w:sz w:val="14"/>
              </w:rPr>
              <w:t>објасни шта је</w:t>
            </w:r>
            <w:r>
              <w:rPr>
                <w:color w:val="231F20"/>
                <w:spacing w:val="-2"/>
                <w:sz w:val="14"/>
              </w:rPr>
              <w:t xml:space="preserve"> </w:t>
            </w:r>
            <w:r>
              <w:rPr>
                <w:color w:val="231F20"/>
                <w:sz w:val="14"/>
              </w:rPr>
              <w:t>социјализација;</w:t>
            </w:r>
          </w:p>
          <w:p w:rsidR="00041039" w:rsidRDefault="001B26CB">
            <w:pPr>
              <w:pStyle w:val="TableParagraph"/>
              <w:numPr>
                <w:ilvl w:val="0"/>
                <w:numId w:val="928"/>
              </w:numPr>
              <w:tabs>
                <w:tab w:val="left" w:pos="157"/>
              </w:tabs>
              <w:spacing w:line="237" w:lineRule="auto"/>
              <w:ind w:right="489" w:hanging="99"/>
              <w:rPr>
                <w:sz w:val="14"/>
              </w:rPr>
            </w:pPr>
            <w:r>
              <w:rPr>
                <w:color w:val="231F20"/>
                <w:sz w:val="14"/>
              </w:rPr>
              <w:t xml:space="preserve">објасни </w:t>
            </w:r>
            <w:r>
              <w:rPr>
                <w:color w:val="231F20"/>
                <w:spacing w:val="-3"/>
                <w:sz w:val="14"/>
              </w:rPr>
              <w:t xml:space="preserve">како </w:t>
            </w:r>
            <w:r>
              <w:rPr>
                <w:color w:val="231F20"/>
                <w:sz w:val="14"/>
              </w:rPr>
              <w:t>породица утиче на формирање и развој</w:t>
            </w:r>
            <w:r>
              <w:rPr>
                <w:color w:val="231F20"/>
                <w:spacing w:val="-4"/>
                <w:sz w:val="14"/>
              </w:rPr>
              <w:t xml:space="preserve"> </w:t>
            </w:r>
            <w:r>
              <w:rPr>
                <w:color w:val="231F20"/>
                <w:sz w:val="14"/>
              </w:rPr>
              <w:t>личности;</w:t>
            </w:r>
          </w:p>
          <w:p w:rsidR="00041039" w:rsidRDefault="001B26CB">
            <w:pPr>
              <w:pStyle w:val="TableParagraph"/>
              <w:numPr>
                <w:ilvl w:val="0"/>
                <w:numId w:val="928"/>
              </w:numPr>
              <w:tabs>
                <w:tab w:val="left" w:pos="157"/>
              </w:tabs>
              <w:spacing w:line="160" w:lineRule="exact"/>
              <w:ind w:right="288" w:hanging="99"/>
              <w:rPr>
                <w:sz w:val="14"/>
              </w:rPr>
            </w:pPr>
            <w:r>
              <w:rPr>
                <w:color w:val="231F20"/>
                <w:sz w:val="14"/>
              </w:rPr>
              <w:t xml:space="preserve">објасни </w:t>
            </w:r>
            <w:r>
              <w:rPr>
                <w:color w:val="231F20"/>
                <w:spacing w:val="-3"/>
                <w:sz w:val="14"/>
              </w:rPr>
              <w:t xml:space="preserve">како школа </w:t>
            </w:r>
            <w:r>
              <w:rPr>
                <w:color w:val="231F20"/>
                <w:sz w:val="14"/>
              </w:rPr>
              <w:t>утиче на развој личности;</w:t>
            </w:r>
          </w:p>
          <w:p w:rsidR="00041039" w:rsidRDefault="001B26CB">
            <w:pPr>
              <w:pStyle w:val="TableParagraph"/>
              <w:numPr>
                <w:ilvl w:val="0"/>
                <w:numId w:val="928"/>
              </w:numPr>
              <w:tabs>
                <w:tab w:val="left" w:pos="157"/>
              </w:tabs>
              <w:spacing w:line="160" w:lineRule="exact"/>
              <w:ind w:right="92" w:hanging="99"/>
              <w:rPr>
                <w:sz w:val="14"/>
              </w:rPr>
            </w:pPr>
            <w:r>
              <w:rPr>
                <w:color w:val="231F20"/>
                <w:sz w:val="14"/>
              </w:rPr>
              <w:t xml:space="preserve">објасни </w:t>
            </w:r>
            <w:r>
              <w:rPr>
                <w:color w:val="231F20"/>
                <w:spacing w:val="-3"/>
                <w:sz w:val="14"/>
              </w:rPr>
              <w:t xml:space="preserve">како </w:t>
            </w:r>
            <w:r>
              <w:rPr>
                <w:color w:val="231F20"/>
                <w:sz w:val="14"/>
              </w:rPr>
              <w:t>вршњаци утичу на развој личности;</w:t>
            </w:r>
          </w:p>
          <w:p w:rsidR="00041039" w:rsidRDefault="001B26CB">
            <w:pPr>
              <w:pStyle w:val="TableParagraph"/>
              <w:numPr>
                <w:ilvl w:val="0"/>
                <w:numId w:val="928"/>
              </w:numPr>
              <w:tabs>
                <w:tab w:val="left" w:pos="157"/>
              </w:tabs>
              <w:spacing w:line="160" w:lineRule="exact"/>
              <w:ind w:right="319" w:hanging="99"/>
              <w:rPr>
                <w:sz w:val="14"/>
              </w:rPr>
            </w:pPr>
            <w:r>
              <w:rPr>
                <w:color w:val="231F20"/>
                <w:sz w:val="14"/>
              </w:rPr>
              <w:t xml:space="preserve">објасни </w:t>
            </w:r>
            <w:r>
              <w:rPr>
                <w:color w:val="231F20"/>
                <w:spacing w:val="-3"/>
                <w:sz w:val="14"/>
              </w:rPr>
              <w:t xml:space="preserve">како </w:t>
            </w:r>
            <w:r>
              <w:rPr>
                <w:color w:val="231F20"/>
                <w:sz w:val="14"/>
              </w:rPr>
              <w:t>средства масовних комуникација утичу на развој</w:t>
            </w:r>
            <w:r>
              <w:rPr>
                <w:color w:val="231F20"/>
                <w:spacing w:val="-20"/>
                <w:sz w:val="14"/>
              </w:rPr>
              <w:t xml:space="preserve"> </w:t>
            </w:r>
            <w:r>
              <w:rPr>
                <w:color w:val="231F20"/>
                <w:sz w:val="14"/>
              </w:rPr>
              <w:t>лич­ ности;</w:t>
            </w:r>
          </w:p>
        </w:tc>
        <w:tc>
          <w:tcPr>
            <w:tcW w:w="2834" w:type="dxa"/>
          </w:tcPr>
          <w:p w:rsidR="00041039" w:rsidRDefault="001B26CB">
            <w:pPr>
              <w:pStyle w:val="TableParagraph"/>
              <w:numPr>
                <w:ilvl w:val="0"/>
                <w:numId w:val="927"/>
              </w:numPr>
              <w:tabs>
                <w:tab w:val="left" w:pos="157"/>
              </w:tabs>
              <w:spacing w:before="8" w:line="166" w:lineRule="exact"/>
              <w:ind w:hanging="99"/>
              <w:rPr>
                <w:sz w:val="14"/>
              </w:rPr>
            </w:pPr>
            <w:r>
              <w:rPr>
                <w:color w:val="231F20"/>
                <w:sz w:val="14"/>
              </w:rPr>
              <w:t>Само опажање.</w:t>
            </w:r>
          </w:p>
          <w:p w:rsidR="00041039" w:rsidRDefault="001B26CB">
            <w:pPr>
              <w:pStyle w:val="TableParagraph"/>
              <w:numPr>
                <w:ilvl w:val="0"/>
                <w:numId w:val="927"/>
              </w:numPr>
              <w:tabs>
                <w:tab w:val="left" w:pos="157"/>
              </w:tabs>
              <w:spacing w:line="160" w:lineRule="exact"/>
              <w:ind w:hanging="99"/>
              <w:rPr>
                <w:sz w:val="14"/>
              </w:rPr>
            </w:pPr>
            <w:r>
              <w:rPr>
                <w:color w:val="231F20"/>
                <w:sz w:val="14"/>
              </w:rPr>
              <w:t>Прва</w:t>
            </w:r>
            <w:r>
              <w:rPr>
                <w:color w:val="231F20"/>
                <w:spacing w:val="-1"/>
                <w:sz w:val="14"/>
              </w:rPr>
              <w:t xml:space="preserve"> </w:t>
            </w:r>
            <w:r>
              <w:rPr>
                <w:color w:val="231F20"/>
                <w:sz w:val="14"/>
              </w:rPr>
              <w:t>импресија.</w:t>
            </w:r>
          </w:p>
          <w:p w:rsidR="00041039" w:rsidRDefault="001B26CB">
            <w:pPr>
              <w:pStyle w:val="TableParagraph"/>
              <w:numPr>
                <w:ilvl w:val="0"/>
                <w:numId w:val="927"/>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социјализације.</w:t>
            </w:r>
          </w:p>
          <w:p w:rsidR="00041039" w:rsidRDefault="001B26CB">
            <w:pPr>
              <w:pStyle w:val="TableParagraph"/>
              <w:numPr>
                <w:ilvl w:val="0"/>
                <w:numId w:val="927"/>
              </w:numPr>
              <w:tabs>
                <w:tab w:val="left" w:pos="157"/>
              </w:tabs>
              <w:spacing w:line="160" w:lineRule="exact"/>
              <w:ind w:hanging="99"/>
              <w:rPr>
                <w:sz w:val="14"/>
              </w:rPr>
            </w:pPr>
            <w:r>
              <w:rPr>
                <w:color w:val="231F20"/>
                <w:sz w:val="14"/>
              </w:rPr>
              <w:t>Породица (односи у</w:t>
            </w:r>
            <w:r>
              <w:rPr>
                <w:color w:val="231F20"/>
                <w:spacing w:val="-3"/>
                <w:sz w:val="14"/>
              </w:rPr>
              <w:t xml:space="preserve"> </w:t>
            </w:r>
            <w:r>
              <w:rPr>
                <w:color w:val="231F20"/>
                <w:sz w:val="14"/>
              </w:rPr>
              <w:t>породици).</w:t>
            </w:r>
          </w:p>
          <w:p w:rsidR="00041039" w:rsidRDefault="001B26CB">
            <w:pPr>
              <w:pStyle w:val="TableParagraph"/>
              <w:numPr>
                <w:ilvl w:val="0"/>
                <w:numId w:val="927"/>
              </w:numPr>
              <w:tabs>
                <w:tab w:val="left" w:pos="157"/>
              </w:tabs>
              <w:spacing w:line="160" w:lineRule="exact"/>
              <w:ind w:hanging="99"/>
              <w:rPr>
                <w:sz w:val="14"/>
              </w:rPr>
            </w:pPr>
            <w:r>
              <w:rPr>
                <w:color w:val="231F20"/>
                <w:spacing w:val="-3"/>
                <w:sz w:val="14"/>
              </w:rPr>
              <w:t xml:space="preserve">Школа </w:t>
            </w:r>
            <w:r>
              <w:rPr>
                <w:color w:val="231F20"/>
                <w:sz w:val="14"/>
              </w:rPr>
              <w:t>­</w:t>
            </w:r>
            <w:r>
              <w:rPr>
                <w:color w:val="231F20"/>
                <w:spacing w:val="2"/>
                <w:sz w:val="14"/>
              </w:rPr>
              <w:t xml:space="preserve"> </w:t>
            </w:r>
            <w:r>
              <w:rPr>
                <w:color w:val="231F20"/>
                <w:sz w:val="14"/>
              </w:rPr>
              <w:t>обавезе.</w:t>
            </w:r>
          </w:p>
          <w:p w:rsidR="00041039" w:rsidRDefault="001B26CB">
            <w:pPr>
              <w:pStyle w:val="TableParagraph"/>
              <w:numPr>
                <w:ilvl w:val="0"/>
                <w:numId w:val="927"/>
              </w:numPr>
              <w:tabs>
                <w:tab w:val="left" w:pos="157"/>
              </w:tabs>
              <w:spacing w:line="160" w:lineRule="exact"/>
              <w:ind w:hanging="99"/>
              <w:rPr>
                <w:sz w:val="14"/>
              </w:rPr>
            </w:pPr>
            <w:r>
              <w:rPr>
                <w:color w:val="231F20"/>
                <w:sz w:val="14"/>
              </w:rPr>
              <w:t>Вршњаци.</w:t>
            </w:r>
          </w:p>
          <w:p w:rsidR="00041039" w:rsidRDefault="001B26CB">
            <w:pPr>
              <w:pStyle w:val="TableParagraph"/>
              <w:numPr>
                <w:ilvl w:val="0"/>
                <w:numId w:val="927"/>
              </w:numPr>
              <w:tabs>
                <w:tab w:val="left" w:pos="157"/>
              </w:tabs>
              <w:spacing w:line="166" w:lineRule="exact"/>
              <w:ind w:hanging="99"/>
              <w:rPr>
                <w:sz w:val="14"/>
              </w:rPr>
            </w:pPr>
            <w:r>
              <w:rPr>
                <w:color w:val="231F20"/>
                <w:sz w:val="14"/>
              </w:rPr>
              <w:t>Средства масовних</w:t>
            </w:r>
            <w:r>
              <w:rPr>
                <w:color w:val="231F20"/>
                <w:spacing w:val="-2"/>
                <w:sz w:val="14"/>
              </w:rPr>
              <w:t xml:space="preserve"> </w:t>
            </w:r>
            <w:r>
              <w:rPr>
                <w:color w:val="231F20"/>
                <w:sz w:val="14"/>
              </w:rPr>
              <w:t>комуникација.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938"/>
        </w:trPr>
        <w:tc>
          <w:tcPr>
            <w:tcW w:w="1304" w:type="dxa"/>
          </w:tcPr>
          <w:p w:rsidR="00041039" w:rsidRDefault="001B26CB">
            <w:pPr>
              <w:pStyle w:val="TableParagraph"/>
              <w:spacing w:before="18"/>
              <w:ind w:left="56"/>
              <w:rPr>
                <w:sz w:val="14"/>
              </w:rPr>
            </w:pPr>
            <w:r>
              <w:rPr>
                <w:color w:val="231F20"/>
                <w:sz w:val="14"/>
              </w:rPr>
              <w:lastRenderedPageBreak/>
              <w:t>Учење</w:t>
            </w:r>
          </w:p>
        </w:tc>
        <w:tc>
          <w:tcPr>
            <w:tcW w:w="1587" w:type="dxa"/>
          </w:tcPr>
          <w:p w:rsidR="00041039" w:rsidRDefault="001B26CB">
            <w:pPr>
              <w:pStyle w:val="TableParagraph"/>
              <w:numPr>
                <w:ilvl w:val="0"/>
                <w:numId w:val="926"/>
              </w:numPr>
              <w:tabs>
                <w:tab w:val="left" w:pos="157"/>
              </w:tabs>
              <w:spacing w:before="11" w:line="235" w:lineRule="auto"/>
              <w:ind w:right="110"/>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1"/>
                <w:sz w:val="14"/>
              </w:rPr>
              <w:t xml:space="preserve"> </w:t>
            </w:r>
            <w:r>
              <w:rPr>
                <w:color w:val="231F20"/>
                <w:sz w:val="14"/>
              </w:rPr>
              <w:t>учења.</w:t>
            </w:r>
          </w:p>
        </w:tc>
        <w:tc>
          <w:tcPr>
            <w:tcW w:w="2551" w:type="dxa"/>
          </w:tcPr>
          <w:p w:rsidR="00041039" w:rsidRDefault="001B26CB">
            <w:pPr>
              <w:pStyle w:val="TableParagraph"/>
              <w:numPr>
                <w:ilvl w:val="0"/>
                <w:numId w:val="925"/>
              </w:numPr>
              <w:tabs>
                <w:tab w:val="left" w:pos="157"/>
              </w:tabs>
              <w:spacing w:before="11" w:line="235" w:lineRule="auto"/>
              <w:ind w:right="150" w:hanging="99"/>
              <w:rPr>
                <w:sz w:val="14"/>
              </w:rPr>
            </w:pPr>
            <w:r>
              <w:rPr>
                <w:color w:val="231F20"/>
                <w:sz w:val="14"/>
              </w:rPr>
              <w:t>објасни шта је учење и наведе које</w:t>
            </w:r>
            <w:r>
              <w:rPr>
                <w:color w:val="231F20"/>
                <w:spacing w:val="-16"/>
                <w:sz w:val="14"/>
              </w:rPr>
              <w:t xml:space="preserve"> </w:t>
            </w:r>
            <w:r>
              <w:rPr>
                <w:color w:val="231F20"/>
                <w:sz w:val="14"/>
              </w:rPr>
              <w:t>су врсте</w:t>
            </w:r>
            <w:r>
              <w:rPr>
                <w:color w:val="231F20"/>
                <w:spacing w:val="-2"/>
                <w:sz w:val="14"/>
              </w:rPr>
              <w:t xml:space="preserve"> </w:t>
            </w:r>
            <w:r>
              <w:rPr>
                <w:color w:val="231F20"/>
                <w:sz w:val="14"/>
              </w:rPr>
              <w:t>учења;</w:t>
            </w:r>
          </w:p>
          <w:p w:rsidR="00041039" w:rsidRDefault="001B26CB">
            <w:pPr>
              <w:pStyle w:val="TableParagraph"/>
              <w:numPr>
                <w:ilvl w:val="0"/>
                <w:numId w:val="925"/>
              </w:numPr>
              <w:tabs>
                <w:tab w:val="left" w:pos="157"/>
              </w:tabs>
              <w:spacing w:before="1" w:line="158" w:lineRule="exact"/>
              <w:ind w:right="66" w:hanging="99"/>
              <w:rPr>
                <w:sz w:val="14"/>
              </w:rPr>
            </w:pPr>
            <w:r>
              <w:rPr>
                <w:color w:val="231F20"/>
                <w:sz w:val="14"/>
              </w:rPr>
              <w:t>објасни шта је социјално учење и наведе које су врсте социјалног</w:t>
            </w:r>
            <w:r>
              <w:rPr>
                <w:color w:val="231F20"/>
                <w:spacing w:val="-22"/>
                <w:sz w:val="14"/>
              </w:rPr>
              <w:t xml:space="preserve"> </w:t>
            </w:r>
            <w:r>
              <w:rPr>
                <w:color w:val="231F20"/>
                <w:sz w:val="14"/>
              </w:rPr>
              <w:t>учења;</w:t>
            </w:r>
          </w:p>
          <w:p w:rsidR="00041039" w:rsidRDefault="001B26CB">
            <w:pPr>
              <w:pStyle w:val="TableParagraph"/>
              <w:numPr>
                <w:ilvl w:val="0"/>
                <w:numId w:val="925"/>
              </w:numPr>
              <w:tabs>
                <w:tab w:val="left" w:pos="157"/>
              </w:tabs>
              <w:spacing w:line="151" w:lineRule="exact"/>
              <w:ind w:hanging="99"/>
              <w:rPr>
                <w:sz w:val="14"/>
              </w:rPr>
            </w:pPr>
            <w:r>
              <w:rPr>
                <w:color w:val="231F20"/>
                <w:sz w:val="14"/>
              </w:rPr>
              <w:t>објасни шта је класично</w:t>
            </w:r>
            <w:r>
              <w:rPr>
                <w:color w:val="231F20"/>
                <w:spacing w:val="-2"/>
                <w:sz w:val="14"/>
              </w:rPr>
              <w:t xml:space="preserve"> </w:t>
            </w:r>
            <w:r>
              <w:rPr>
                <w:color w:val="231F20"/>
                <w:sz w:val="14"/>
              </w:rPr>
              <w:t>условљавање;</w:t>
            </w:r>
          </w:p>
          <w:p w:rsidR="00041039" w:rsidRDefault="001B26CB">
            <w:pPr>
              <w:pStyle w:val="TableParagraph"/>
              <w:numPr>
                <w:ilvl w:val="0"/>
                <w:numId w:val="925"/>
              </w:numPr>
              <w:tabs>
                <w:tab w:val="left" w:pos="157"/>
              </w:tabs>
              <w:spacing w:line="158" w:lineRule="exact"/>
              <w:ind w:hanging="99"/>
              <w:rPr>
                <w:sz w:val="14"/>
              </w:rPr>
            </w:pPr>
            <w:r>
              <w:rPr>
                <w:color w:val="231F20"/>
                <w:sz w:val="14"/>
              </w:rPr>
              <w:t>објасни шта је инструментално</w:t>
            </w:r>
            <w:r>
              <w:rPr>
                <w:color w:val="231F20"/>
                <w:spacing w:val="-5"/>
                <w:sz w:val="14"/>
              </w:rPr>
              <w:t xml:space="preserve"> </w:t>
            </w:r>
            <w:r>
              <w:rPr>
                <w:color w:val="231F20"/>
                <w:sz w:val="14"/>
              </w:rPr>
              <w:t>учење;</w:t>
            </w:r>
          </w:p>
          <w:p w:rsidR="00041039" w:rsidRDefault="001B26CB">
            <w:pPr>
              <w:pStyle w:val="TableParagraph"/>
              <w:numPr>
                <w:ilvl w:val="0"/>
                <w:numId w:val="925"/>
              </w:numPr>
              <w:tabs>
                <w:tab w:val="left" w:pos="157"/>
              </w:tabs>
              <w:spacing w:line="235" w:lineRule="auto"/>
              <w:ind w:right="152" w:hanging="99"/>
              <w:rPr>
                <w:sz w:val="14"/>
              </w:rPr>
            </w:pPr>
            <w:r>
              <w:rPr>
                <w:color w:val="231F20"/>
                <w:sz w:val="14"/>
              </w:rPr>
              <w:t>објасни шта је учење по моделу и</w:t>
            </w:r>
            <w:r>
              <w:rPr>
                <w:color w:val="231F20"/>
                <w:spacing w:val="-11"/>
                <w:sz w:val="14"/>
              </w:rPr>
              <w:t xml:space="preserve"> </w:t>
            </w:r>
            <w:r>
              <w:rPr>
                <w:color w:val="231F20"/>
                <w:sz w:val="14"/>
              </w:rPr>
              <w:t>на­ веде врсте тог</w:t>
            </w:r>
            <w:r>
              <w:rPr>
                <w:color w:val="231F20"/>
                <w:spacing w:val="-2"/>
                <w:sz w:val="14"/>
              </w:rPr>
              <w:t xml:space="preserve"> </w:t>
            </w:r>
            <w:r>
              <w:rPr>
                <w:color w:val="231F20"/>
                <w:sz w:val="14"/>
              </w:rPr>
              <w:t>учења;</w:t>
            </w:r>
          </w:p>
          <w:p w:rsidR="00041039" w:rsidRDefault="001B26CB">
            <w:pPr>
              <w:pStyle w:val="TableParagraph"/>
              <w:numPr>
                <w:ilvl w:val="0"/>
                <w:numId w:val="925"/>
              </w:numPr>
              <w:tabs>
                <w:tab w:val="left" w:pos="157"/>
              </w:tabs>
              <w:spacing w:line="152" w:lineRule="exact"/>
              <w:ind w:hanging="99"/>
              <w:rPr>
                <w:sz w:val="14"/>
              </w:rPr>
            </w:pPr>
            <w:r>
              <w:rPr>
                <w:color w:val="231F20"/>
                <w:sz w:val="14"/>
              </w:rPr>
              <w:t>објасни методе</w:t>
            </w:r>
            <w:r>
              <w:rPr>
                <w:color w:val="231F20"/>
                <w:spacing w:val="-7"/>
                <w:sz w:val="14"/>
              </w:rPr>
              <w:t xml:space="preserve"> </w:t>
            </w:r>
            <w:r>
              <w:rPr>
                <w:color w:val="231F20"/>
                <w:sz w:val="14"/>
              </w:rPr>
              <w:t>учења;</w:t>
            </w:r>
          </w:p>
          <w:p w:rsidR="00041039" w:rsidRDefault="001B26CB">
            <w:pPr>
              <w:pStyle w:val="TableParagraph"/>
              <w:numPr>
                <w:ilvl w:val="0"/>
                <w:numId w:val="925"/>
              </w:numPr>
              <w:tabs>
                <w:tab w:val="left" w:pos="157"/>
              </w:tabs>
              <w:spacing w:line="158" w:lineRule="exact"/>
              <w:ind w:hanging="99"/>
              <w:rPr>
                <w:sz w:val="14"/>
              </w:rPr>
            </w:pPr>
            <w:r>
              <w:rPr>
                <w:color w:val="231F20"/>
                <w:sz w:val="14"/>
              </w:rPr>
              <w:t>направи индивидуални план</w:t>
            </w:r>
            <w:r>
              <w:rPr>
                <w:color w:val="231F20"/>
                <w:spacing w:val="-9"/>
                <w:sz w:val="14"/>
              </w:rPr>
              <w:t xml:space="preserve"> </w:t>
            </w:r>
            <w:r>
              <w:rPr>
                <w:color w:val="231F20"/>
                <w:sz w:val="14"/>
              </w:rPr>
              <w:t>учења;</w:t>
            </w:r>
          </w:p>
          <w:p w:rsidR="00041039" w:rsidRDefault="001B26CB">
            <w:pPr>
              <w:pStyle w:val="TableParagraph"/>
              <w:numPr>
                <w:ilvl w:val="0"/>
                <w:numId w:val="925"/>
              </w:numPr>
              <w:tabs>
                <w:tab w:val="left" w:pos="157"/>
              </w:tabs>
              <w:spacing w:line="235" w:lineRule="auto"/>
              <w:ind w:right="53" w:hanging="99"/>
              <w:rPr>
                <w:sz w:val="14"/>
              </w:rPr>
            </w:pPr>
            <w:r>
              <w:rPr>
                <w:color w:val="231F20"/>
                <w:sz w:val="14"/>
              </w:rPr>
              <w:t>објасни процес доношења одлуке и</w:t>
            </w:r>
            <w:r>
              <w:rPr>
                <w:color w:val="231F20"/>
                <w:spacing w:val="-14"/>
                <w:sz w:val="14"/>
              </w:rPr>
              <w:t xml:space="preserve"> </w:t>
            </w:r>
            <w:r>
              <w:rPr>
                <w:color w:val="231F20"/>
                <w:sz w:val="14"/>
              </w:rPr>
              <w:t>на­ чин дефинисања и остварења</w:t>
            </w:r>
            <w:r>
              <w:rPr>
                <w:color w:val="231F20"/>
                <w:spacing w:val="-2"/>
                <w:sz w:val="14"/>
              </w:rPr>
              <w:t xml:space="preserve"> </w:t>
            </w:r>
            <w:r>
              <w:rPr>
                <w:color w:val="231F20"/>
                <w:sz w:val="14"/>
              </w:rPr>
              <w:t>циља;</w:t>
            </w:r>
          </w:p>
        </w:tc>
        <w:tc>
          <w:tcPr>
            <w:tcW w:w="2834" w:type="dxa"/>
          </w:tcPr>
          <w:p w:rsidR="00041039" w:rsidRDefault="001B26CB">
            <w:pPr>
              <w:pStyle w:val="TableParagraph"/>
              <w:numPr>
                <w:ilvl w:val="0"/>
                <w:numId w:val="924"/>
              </w:numPr>
              <w:tabs>
                <w:tab w:val="left" w:pos="157"/>
              </w:tabs>
              <w:spacing w:before="8" w:line="165" w:lineRule="exact"/>
              <w:ind w:hanging="99"/>
              <w:rPr>
                <w:sz w:val="14"/>
              </w:rPr>
            </w:pPr>
            <w:r>
              <w:rPr>
                <w:color w:val="231F20"/>
                <w:sz w:val="14"/>
              </w:rPr>
              <w:t>Учење и врсте</w:t>
            </w:r>
            <w:r>
              <w:rPr>
                <w:color w:val="231F20"/>
                <w:spacing w:val="-3"/>
                <w:sz w:val="14"/>
              </w:rPr>
              <w:t xml:space="preserve"> </w:t>
            </w:r>
            <w:r>
              <w:rPr>
                <w:color w:val="231F20"/>
                <w:sz w:val="14"/>
              </w:rPr>
              <w:t>учења.</w:t>
            </w:r>
          </w:p>
          <w:p w:rsidR="00041039" w:rsidRDefault="001B26CB">
            <w:pPr>
              <w:pStyle w:val="TableParagraph"/>
              <w:numPr>
                <w:ilvl w:val="0"/>
                <w:numId w:val="924"/>
              </w:numPr>
              <w:tabs>
                <w:tab w:val="left" w:pos="157"/>
              </w:tabs>
              <w:spacing w:line="158" w:lineRule="exact"/>
              <w:ind w:hanging="99"/>
              <w:rPr>
                <w:sz w:val="14"/>
              </w:rPr>
            </w:pPr>
            <w:r>
              <w:rPr>
                <w:color w:val="231F20"/>
                <w:sz w:val="14"/>
              </w:rPr>
              <w:t>Социјално учење и</w:t>
            </w:r>
            <w:r>
              <w:rPr>
                <w:color w:val="231F20"/>
                <w:spacing w:val="-3"/>
                <w:sz w:val="14"/>
              </w:rPr>
              <w:t xml:space="preserve"> </w:t>
            </w:r>
            <w:r>
              <w:rPr>
                <w:color w:val="231F20"/>
                <w:sz w:val="14"/>
              </w:rPr>
              <w:t>врсте.</w:t>
            </w:r>
          </w:p>
          <w:p w:rsidR="00041039" w:rsidRDefault="001B26CB">
            <w:pPr>
              <w:pStyle w:val="TableParagraph"/>
              <w:numPr>
                <w:ilvl w:val="0"/>
                <w:numId w:val="924"/>
              </w:numPr>
              <w:tabs>
                <w:tab w:val="left" w:pos="157"/>
              </w:tabs>
              <w:spacing w:line="158" w:lineRule="exact"/>
              <w:ind w:hanging="99"/>
              <w:rPr>
                <w:sz w:val="14"/>
              </w:rPr>
            </w:pPr>
            <w:r>
              <w:rPr>
                <w:color w:val="231F20"/>
                <w:sz w:val="14"/>
              </w:rPr>
              <w:t>Класично</w:t>
            </w:r>
            <w:r>
              <w:rPr>
                <w:color w:val="231F20"/>
                <w:spacing w:val="-2"/>
                <w:sz w:val="14"/>
              </w:rPr>
              <w:t xml:space="preserve"> </w:t>
            </w:r>
            <w:r>
              <w:rPr>
                <w:color w:val="231F20"/>
                <w:sz w:val="14"/>
              </w:rPr>
              <w:t>условљавање.</w:t>
            </w:r>
          </w:p>
          <w:p w:rsidR="00041039" w:rsidRDefault="001B26CB">
            <w:pPr>
              <w:pStyle w:val="TableParagraph"/>
              <w:numPr>
                <w:ilvl w:val="0"/>
                <w:numId w:val="924"/>
              </w:numPr>
              <w:tabs>
                <w:tab w:val="left" w:pos="157"/>
              </w:tabs>
              <w:spacing w:line="158" w:lineRule="exact"/>
              <w:ind w:hanging="99"/>
              <w:rPr>
                <w:sz w:val="14"/>
              </w:rPr>
            </w:pPr>
            <w:r>
              <w:rPr>
                <w:color w:val="231F20"/>
                <w:sz w:val="14"/>
              </w:rPr>
              <w:t>Инструментално</w:t>
            </w:r>
            <w:r>
              <w:rPr>
                <w:color w:val="231F20"/>
                <w:spacing w:val="-7"/>
                <w:sz w:val="14"/>
              </w:rPr>
              <w:t xml:space="preserve"> </w:t>
            </w:r>
            <w:r>
              <w:rPr>
                <w:color w:val="231F20"/>
                <w:sz w:val="14"/>
              </w:rPr>
              <w:t>учење.</w:t>
            </w:r>
          </w:p>
          <w:p w:rsidR="00041039" w:rsidRDefault="001B26CB">
            <w:pPr>
              <w:pStyle w:val="TableParagraph"/>
              <w:numPr>
                <w:ilvl w:val="0"/>
                <w:numId w:val="924"/>
              </w:numPr>
              <w:tabs>
                <w:tab w:val="left" w:pos="157"/>
              </w:tabs>
              <w:spacing w:line="158" w:lineRule="exact"/>
              <w:ind w:hanging="99"/>
              <w:rPr>
                <w:sz w:val="14"/>
              </w:rPr>
            </w:pPr>
            <w:r>
              <w:rPr>
                <w:color w:val="231F20"/>
                <w:sz w:val="14"/>
              </w:rPr>
              <w:t>Учење по</w:t>
            </w:r>
            <w:r>
              <w:rPr>
                <w:color w:val="231F20"/>
                <w:spacing w:val="-2"/>
                <w:sz w:val="14"/>
              </w:rPr>
              <w:t xml:space="preserve"> </w:t>
            </w:r>
            <w:r>
              <w:rPr>
                <w:color w:val="231F20"/>
                <w:spacing w:val="-3"/>
                <w:sz w:val="14"/>
              </w:rPr>
              <w:t>моделу.</w:t>
            </w:r>
          </w:p>
          <w:p w:rsidR="00041039" w:rsidRDefault="001B26CB">
            <w:pPr>
              <w:pStyle w:val="TableParagraph"/>
              <w:numPr>
                <w:ilvl w:val="0"/>
                <w:numId w:val="924"/>
              </w:numPr>
              <w:tabs>
                <w:tab w:val="left" w:pos="157"/>
              </w:tabs>
              <w:spacing w:line="158" w:lineRule="exact"/>
              <w:ind w:hanging="99"/>
              <w:rPr>
                <w:sz w:val="14"/>
              </w:rPr>
            </w:pPr>
            <w:r>
              <w:rPr>
                <w:color w:val="231F20"/>
                <w:sz w:val="14"/>
              </w:rPr>
              <w:t>Методе</w:t>
            </w:r>
            <w:r>
              <w:rPr>
                <w:color w:val="231F20"/>
                <w:spacing w:val="-1"/>
                <w:sz w:val="14"/>
              </w:rPr>
              <w:t xml:space="preserve"> </w:t>
            </w:r>
            <w:r>
              <w:rPr>
                <w:color w:val="231F20"/>
                <w:sz w:val="14"/>
              </w:rPr>
              <w:t>учења.</w:t>
            </w:r>
          </w:p>
          <w:p w:rsidR="00041039" w:rsidRDefault="001B26CB">
            <w:pPr>
              <w:pStyle w:val="TableParagraph"/>
              <w:numPr>
                <w:ilvl w:val="0"/>
                <w:numId w:val="924"/>
              </w:numPr>
              <w:tabs>
                <w:tab w:val="left" w:pos="157"/>
              </w:tabs>
              <w:spacing w:line="158" w:lineRule="exact"/>
              <w:ind w:hanging="99"/>
              <w:rPr>
                <w:sz w:val="14"/>
              </w:rPr>
            </w:pPr>
            <w:r>
              <w:rPr>
                <w:color w:val="231F20"/>
                <w:sz w:val="14"/>
              </w:rPr>
              <w:t>План</w:t>
            </w:r>
            <w:r>
              <w:rPr>
                <w:color w:val="231F20"/>
                <w:spacing w:val="-2"/>
                <w:sz w:val="14"/>
              </w:rPr>
              <w:t xml:space="preserve"> </w:t>
            </w:r>
            <w:r>
              <w:rPr>
                <w:color w:val="231F20"/>
                <w:sz w:val="14"/>
              </w:rPr>
              <w:t>учења.</w:t>
            </w:r>
          </w:p>
          <w:p w:rsidR="00041039" w:rsidRDefault="001B26CB">
            <w:pPr>
              <w:pStyle w:val="TableParagraph"/>
              <w:numPr>
                <w:ilvl w:val="0"/>
                <w:numId w:val="924"/>
              </w:numPr>
              <w:tabs>
                <w:tab w:val="left" w:pos="157"/>
              </w:tabs>
              <w:spacing w:line="165" w:lineRule="exact"/>
              <w:ind w:hanging="99"/>
              <w:rPr>
                <w:sz w:val="14"/>
              </w:rPr>
            </w:pPr>
            <w:r>
              <w:rPr>
                <w:color w:val="231F20"/>
                <w:sz w:val="14"/>
              </w:rPr>
              <w:t>Доношење одлука (остварење</w:t>
            </w:r>
            <w:r>
              <w:rPr>
                <w:color w:val="231F20"/>
                <w:spacing w:val="-5"/>
                <w:sz w:val="14"/>
              </w:rPr>
              <w:t xml:space="preserve"> </w:t>
            </w:r>
            <w:r>
              <w:rPr>
                <w:color w:val="231F20"/>
                <w:sz w:val="14"/>
              </w:rPr>
              <w:t>циља).</w:t>
            </w:r>
          </w:p>
        </w:tc>
        <w:tc>
          <w:tcPr>
            <w:tcW w:w="2267" w:type="dxa"/>
            <w:vMerge w:val="restart"/>
          </w:tcPr>
          <w:p w:rsidR="00041039" w:rsidRDefault="001B26CB">
            <w:pPr>
              <w:pStyle w:val="TableParagraph"/>
              <w:spacing w:before="19" w:line="235" w:lineRule="auto"/>
              <w:ind w:left="58"/>
              <w:rPr>
                <w:b/>
                <w:sz w:val="14"/>
              </w:rPr>
            </w:pPr>
            <w:r>
              <w:rPr>
                <w:b/>
                <w:color w:val="231F20"/>
                <w:sz w:val="14"/>
              </w:rPr>
              <w:t>Препоруке за реализацију садр- жаја програма</w:t>
            </w:r>
          </w:p>
          <w:p w:rsidR="00041039" w:rsidRDefault="00041039">
            <w:pPr>
              <w:pStyle w:val="TableParagraph"/>
              <w:spacing w:before="6"/>
              <w:ind w:left="0"/>
              <w:rPr>
                <w:b/>
                <w:sz w:val="13"/>
              </w:rPr>
            </w:pPr>
          </w:p>
          <w:p w:rsidR="00041039" w:rsidRDefault="001B26CB">
            <w:pPr>
              <w:pStyle w:val="TableParagraph"/>
              <w:spacing w:before="1" w:line="160" w:lineRule="exact"/>
              <w:ind w:left="58"/>
              <w:rPr>
                <w:b/>
                <w:sz w:val="14"/>
              </w:rPr>
            </w:pPr>
            <w:r>
              <w:rPr>
                <w:b/>
                <w:color w:val="231F20"/>
                <w:sz w:val="14"/>
              </w:rPr>
              <w:t>Оцењивање</w:t>
            </w:r>
          </w:p>
          <w:p w:rsidR="00041039" w:rsidRDefault="001B26CB">
            <w:pPr>
              <w:pStyle w:val="TableParagraph"/>
              <w:spacing w:before="1" w:line="235"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923"/>
              </w:numPr>
              <w:tabs>
                <w:tab w:val="left" w:pos="158"/>
              </w:tabs>
              <w:spacing w:line="153"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923"/>
              </w:numPr>
              <w:tabs>
                <w:tab w:val="left" w:pos="158"/>
              </w:tabs>
              <w:spacing w:line="165"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5"/>
              <w:ind w:left="0"/>
              <w:rPr>
                <w:b/>
                <w:sz w:val="13"/>
              </w:rPr>
            </w:pPr>
          </w:p>
          <w:p w:rsidR="00041039" w:rsidRDefault="001B26CB">
            <w:pPr>
              <w:pStyle w:val="TableParagraph"/>
              <w:spacing w:line="154" w:lineRule="exact"/>
              <w:ind w:left="58"/>
              <w:rPr>
                <w:b/>
                <w:sz w:val="14"/>
              </w:rPr>
            </w:pPr>
            <w:r>
              <w:rPr>
                <w:b/>
                <w:color w:val="231F20"/>
                <w:sz w:val="14"/>
              </w:rPr>
              <w:t>Оквирни број часова по темама</w:t>
            </w:r>
          </w:p>
          <w:p w:rsidR="00041039" w:rsidRDefault="001B26CB">
            <w:pPr>
              <w:pStyle w:val="TableParagraph"/>
              <w:numPr>
                <w:ilvl w:val="0"/>
                <w:numId w:val="923"/>
              </w:numPr>
              <w:tabs>
                <w:tab w:val="left" w:pos="158"/>
              </w:tabs>
              <w:spacing w:line="158" w:lineRule="exact"/>
              <w:ind w:hanging="99"/>
              <w:rPr>
                <w:b/>
                <w:sz w:val="14"/>
              </w:rPr>
            </w:pPr>
            <w:r>
              <w:rPr>
                <w:color w:val="231F20"/>
                <w:spacing w:val="-6"/>
                <w:sz w:val="14"/>
              </w:rPr>
              <w:t xml:space="preserve">Увод </w:t>
            </w:r>
            <w:r>
              <w:rPr>
                <w:b/>
                <w:color w:val="231F20"/>
                <w:sz w:val="14"/>
              </w:rPr>
              <w:t>(2</w:t>
            </w:r>
            <w:r>
              <w:rPr>
                <w:b/>
                <w:color w:val="231F20"/>
                <w:spacing w:val="5"/>
                <w:sz w:val="14"/>
              </w:rPr>
              <w:t xml:space="preserve"> </w:t>
            </w:r>
            <w:r>
              <w:rPr>
                <w:b/>
                <w:color w:val="231F20"/>
                <w:sz w:val="14"/>
              </w:rPr>
              <w:t>часа)</w:t>
            </w:r>
          </w:p>
          <w:p w:rsidR="00041039" w:rsidRDefault="001B26CB">
            <w:pPr>
              <w:pStyle w:val="TableParagraph"/>
              <w:numPr>
                <w:ilvl w:val="0"/>
                <w:numId w:val="923"/>
              </w:numPr>
              <w:tabs>
                <w:tab w:val="left" w:pos="158"/>
              </w:tabs>
              <w:spacing w:line="158" w:lineRule="exact"/>
              <w:ind w:hanging="99"/>
              <w:rPr>
                <w:b/>
                <w:sz w:val="14"/>
              </w:rPr>
            </w:pPr>
            <w:r>
              <w:rPr>
                <w:color w:val="231F20"/>
                <w:sz w:val="14"/>
              </w:rPr>
              <w:t xml:space="preserve">Човек у друштву </w:t>
            </w:r>
            <w:r>
              <w:rPr>
                <w:b/>
                <w:color w:val="231F20"/>
                <w:sz w:val="14"/>
              </w:rPr>
              <w:t>(10</w:t>
            </w:r>
            <w:r>
              <w:rPr>
                <w:b/>
                <w:color w:val="231F20"/>
                <w:spacing w:val="-6"/>
                <w:sz w:val="14"/>
              </w:rPr>
              <w:t xml:space="preserve"> </w:t>
            </w:r>
            <w:r>
              <w:rPr>
                <w:b/>
                <w:color w:val="231F20"/>
                <w:sz w:val="14"/>
              </w:rPr>
              <w:t>часова)</w:t>
            </w:r>
          </w:p>
          <w:p w:rsidR="00041039" w:rsidRDefault="001B26CB">
            <w:pPr>
              <w:pStyle w:val="TableParagraph"/>
              <w:numPr>
                <w:ilvl w:val="0"/>
                <w:numId w:val="923"/>
              </w:numPr>
              <w:tabs>
                <w:tab w:val="left" w:pos="158"/>
              </w:tabs>
              <w:spacing w:line="158" w:lineRule="exact"/>
              <w:ind w:hanging="99"/>
              <w:rPr>
                <w:b/>
                <w:sz w:val="14"/>
              </w:rPr>
            </w:pPr>
            <w:r>
              <w:rPr>
                <w:color w:val="231F20"/>
                <w:sz w:val="14"/>
              </w:rPr>
              <w:t xml:space="preserve">Учење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923"/>
              </w:numPr>
              <w:tabs>
                <w:tab w:val="left" w:pos="158"/>
              </w:tabs>
              <w:spacing w:line="158" w:lineRule="exact"/>
              <w:ind w:hanging="99"/>
              <w:rPr>
                <w:b/>
                <w:sz w:val="14"/>
              </w:rPr>
            </w:pPr>
            <w:r>
              <w:rPr>
                <w:color w:val="231F20"/>
                <w:sz w:val="14"/>
              </w:rPr>
              <w:t xml:space="preserve">Памћење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923"/>
              </w:numPr>
              <w:tabs>
                <w:tab w:val="left" w:pos="158"/>
              </w:tabs>
              <w:spacing w:line="158" w:lineRule="exact"/>
              <w:ind w:hanging="99"/>
              <w:rPr>
                <w:b/>
                <w:sz w:val="14"/>
              </w:rPr>
            </w:pPr>
            <w:r>
              <w:rPr>
                <w:color w:val="231F20"/>
                <w:sz w:val="14"/>
              </w:rPr>
              <w:t xml:space="preserve">Адолесценција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923"/>
              </w:numPr>
              <w:tabs>
                <w:tab w:val="left" w:pos="158"/>
              </w:tabs>
              <w:spacing w:line="235" w:lineRule="auto"/>
              <w:ind w:right="404" w:hanging="99"/>
              <w:rPr>
                <w:b/>
                <w:sz w:val="14"/>
              </w:rPr>
            </w:pPr>
            <w:r>
              <w:rPr>
                <w:color w:val="231F20"/>
                <w:sz w:val="14"/>
              </w:rPr>
              <w:t>Фрустрација и конфликти</w:t>
            </w:r>
            <w:r>
              <w:rPr>
                <w:color w:val="231F20"/>
                <w:spacing w:val="-19"/>
                <w:sz w:val="14"/>
              </w:rPr>
              <w:t xml:space="preserve"> </w:t>
            </w:r>
            <w:r>
              <w:rPr>
                <w:b/>
                <w:color w:val="231F20"/>
                <w:sz w:val="14"/>
              </w:rPr>
              <w:t>(7 часова)</w:t>
            </w:r>
          </w:p>
          <w:p w:rsidR="00041039" w:rsidRDefault="001B26CB">
            <w:pPr>
              <w:pStyle w:val="TableParagraph"/>
              <w:numPr>
                <w:ilvl w:val="0"/>
                <w:numId w:val="923"/>
              </w:numPr>
              <w:tabs>
                <w:tab w:val="left" w:pos="158"/>
              </w:tabs>
              <w:spacing w:line="152" w:lineRule="exact"/>
              <w:ind w:hanging="99"/>
              <w:rPr>
                <w:b/>
                <w:sz w:val="14"/>
              </w:rPr>
            </w:pPr>
            <w:r>
              <w:rPr>
                <w:color w:val="231F20"/>
                <w:sz w:val="14"/>
              </w:rPr>
              <w:t xml:space="preserve">Комуникација </w:t>
            </w:r>
            <w:r>
              <w:rPr>
                <w:b/>
                <w:color w:val="231F20"/>
                <w:spacing w:val="-3"/>
                <w:sz w:val="14"/>
              </w:rPr>
              <w:t>(11</w:t>
            </w:r>
            <w:r>
              <w:rPr>
                <w:b/>
                <w:color w:val="231F20"/>
                <w:spacing w:val="-4"/>
                <w:sz w:val="14"/>
              </w:rPr>
              <w:t xml:space="preserve"> </w:t>
            </w:r>
            <w:r>
              <w:rPr>
                <w:b/>
                <w:color w:val="231F20"/>
                <w:sz w:val="14"/>
              </w:rPr>
              <w:t>часова)</w:t>
            </w:r>
          </w:p>
          <w:p w:rsidR="00041039" w:rsidRDefault="001B26CB">
            <w:pPr>
              <w:pStyle w:val="TableParagraph"/>
              <w:numPr>
                <w:ilvl w:val="0"/>
                <w:numId w:val="923"/>
              </w:numPr>
              <w:tabs>
                <w:tab w:val="left" w:pos="158"/>
              </w:tabs>
              <w:spacing w:line="158" w:lineRule="exact"/>
              <w:ind w:hanging="99"/>
              <w:rPr>
                <w:b/>
                <w:sz w:val="14"/>
              </w:rPr>
            </w:pPr>
            <w:r>
              <w:rPr>
                <w:color w:val="231F20"/>
                <w:sz w:val="14"/>
              </w:rPr>
              <w:t xml:space="preserve">Стрес и траума </w:t>
            </w:r>
            <w:r>
              <w:rPr>
                <w:b/>
                <w:color w:val="231F20"/>
                <w:sz w:val="14"/>
              </w:rPr>
              <w:t>(4</w:t>
            </w:r>
            <w:r>
              <w:rPr>
                <w:b/>
                <w:color w:val="231F20"/>
                <w:spacing w:val="-3"/>
                <w:sz w:val="14"/>
              </w:rPr>
              <w:t xml:space="preserve"> </w:t>
            </w:r>
            <w:r>
              <w:rPr>
                <w:b/>
                <w:color w:val="231F20"/>
                <w:sz w:val="14"/>
              </w:rPr>
              <w:t>часа)</w:t>
            </w:r>
          </w:p>
          <w:p w:rsidR="00041039" w:rsidRDefault="001B26CB">
            <w:pPr>
              <w:pStyle w:val="TableParagraph"/>
              <w:numPr>
                <w:ilvl w:val="0"/>
                <w:numId w:val="923"/>
              </w:numPr>
              <w:tabs>
                <w:tab w:val="left" w:pos="158"/>
              </w:tabs>
              <w:spacing w:line="235" w:lineRule="auto"/>
              <w:ind w:right="501" w:hanging="99"/>
              <w:rPr>
                <w:b/>
                <w:sz w:val="14"/>
              </w:rPr>
            </w:pPr>
            <w:r>
              <w:rPr>
                <w:color w:val="231F20"/>
                <w:sz w:val="14"/>
              </w:rPr>
              <w:t>Психолошки проблеми</w:t>
            </w:r>
            <w:r>
              <w:rPr>
                <w:color w:val="231F20"/>
                <w:spacing w:val="-22"/>
                <w:sz w:val="14"/>
              </w:rPr>
              <w:t xml:space="preserve"> </w:t>
            </w:r>
            <w:r>
              <w:rPr>
                <w:b/>
                <w:color w:val="231F20"/>
                <w:sz w:val="14"/>
              </w:rPr>
              <w:t>(10 часова)</w:t>
            </w:r>
          </w:p>
        </w:tc>
      </w:tr>
      <w:tr w:rsidR="00041039">
        <w:trPr>
          <w:trHeight w:val="990"/>
        </w:trPr>
        <w:tc>
          <w:tcPr>
            <w:tcW w:w="1304" w:type="dxa"/>
          </w:tcPr>
          <w:p w:rsidR="00041039" w:rsidRDefault="001B26CB">
            <w:pPr>
              <w:pStyle w:val="TableParagraph"/>
              <w:spacing w:before="20"/>
              <w:ind w:left="56"/>
              <w:rPr>
                <w:sz w:val="14"/>
              </w:rPr>
            </w:pPr>
            <w:r>
              <w:rPr>
                <w:color w:val="231F20"/>
                <w:sz w:val="14"/>
              </w:rPr>
              <w:t>Памћење</w:t>
            </w:r>
          </w:p>
        </w:tc>
        <w:tc>
          <w:tcPr>
            <w:tcW w:w="1587" w:type="dxa"/>
          </w:tcPr>
          <w:p w:rsidR="00041039" w:rsidRDefault="001B26CB">
            <w:pPr>
              <w:pStyle w:val="TableParagraph"/>
              <w:numPr>
                <w:ilvl w:val="0"/>
                <w:numId w:val="922"/>
              </w:numPr>
              <w:tabs>
                <w:tab w:val="left" w:pos="157"/>
              </w:tabs>
              <w:spacing w:before="13" w:line="235" w:lineRule="auto"/>
              <w:ind w:right="110"/>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1"/>
                <w:sz w:val="14"/>
              </w:rPr>
              <w:t xml:space="preserve"> </w:t>
            </w:r>
            <w:r>
              <w:rPr>
                <w:color w:val="231F20"/>
                <w:sz w:val="14"/>
              </w:rPr>
              <w:t>памћења.</w:t>
            </w:r>
          </w:p>
        </w:tc>
        <w:tc>
          <w:tcPr>
            <w:tcW w:w="2551" w:type="dxa"/>
          </w:tcPr>
          <w:p w:rsidR="00041039" w:rsidRDefault="001B26CB">
            <w:pPr>
              <w:pStyle w:val="TableParagraph"/>
              <w:numPr>
                <w:ilvl w:val="0"/>
                <w:numId w:val="921"/>
              </w:numPr>
              <w:tabs>
                <w:tab w:val="left" w:pos="157"/>
              </w:tabs>
              <w:spacing w:before="10" w:line="165" w:lineRule="exact"/>
              <w:ind w:hanging="99"/>
              <w:rPr>
                <w:sz w:val="14"/>
              </w:rPr>
            </w:pPr>
            <w:r>
              <w:rPr>
                <w:color w:val="231F20"/>
                <w:sz w:val="14"/>
              </w:rPr>
              <w:t>објасни шта је</w:t>
            </w:r>
            <w:r>
              <w:rPr>
                <w:color w:val="231F20"/>
                <w:spacing w:val="-1"/>
                <w:sz w:val="14"/>
              </w:rPr>
              <w:t xml:space="preserve"> </w:t>
            </w:r>
            <w:r>
              <w:rPr>
                <w:color w:val="231F20"/>
                <w:sz w:val="14"/>
              </w:rPr>
              <w:t>памћење;</w:t>
            </w:r>
          </w:p>
          <w:p w:rsidR="00041039" w:rsidRDefault="001B26CB">
            <w:pPr>
              <w:pStyle w:val="TableParagraph"/>
              <w:numPr>
                <w:ilvl w:val="0"/>
                <w:numId w:val="921"/>
              </w:numPr>
              <w:tabs>
                <w:tab w:val="left" w:pos="157"/>
              </w:tabs>
              <w:spacing w:line="235" w:lineRule="auto"/>
              <w:ind w:right="170" w:hanging="99"/>
              <w:rPr>
                <w:sz w:val="14"/>
              </w:rPr>
            </w:pPr>
            <w:r>
              <w:rPr>
                <w:color w:val="231F20"/>
                <w:sz w:val="14"/>
              </w:rPr>
              <w:t>објасни карактеристике сензорног, краткорочног</w:t>
            </w:r>
            <w:r>
              <w:rPr>
                <w:color w:val="231F20"/>
                <w:spacing w:val="-10"/>
                <w:sz w:val="14"/>
              </w:rPr>
              <w:t xml:space="preserve"> </w:t>
            </w:r>
            <w:r>
              <w:rPr>
                <w:color w:val="231F20"/>
                <w:sz w:val="14"/>
              </w:rPr>
              <w:t>и</w:t>
            </w:r>
            <w:r>
              <w:rPr>
                <w:color w:val="231F20"/>
                <w:spacing w:val="-11"/>
                <w:sz w:val="14"/>
              </w:rPr>
              <w:t xml:space="preserve"> </w:t>
            </w:r>
            <w:r>
              <w:rPr>
                <w:color w:val="231F20"/>
                <w:sz w:val="14"/>
              </w:rPr>
              <w:t>дугорочног</w:t>
            </w:r>
            <w:r>
              <w:rPr>
                <w:color w:val="231F20"/>
                <w:spacing w:val="-10"/>
                <w:sz w:val="14"/>
              </w:rPr>
              <w:t xml:space="preserve"> </w:t>
            </w:r>
            <w:r>
              <w:rPr>
                <w:color w:val="231F20"/>
                <w:sz w:val="14"/>
              </w:rPr>
              <w:t>памћења;</w:t>
            </w:r>
          </w:p>
          <w:p w:rsidR="00041039" w:rsidRDefault="001B26CB">
            <w:pPr>
              <w:pStyle w:val="TableParagraph"/>
              <w:numPr>
                <w:ilvl w:val="0"/>
                <w:numId w:val="921"/>
              </w:numPr>
              <w:tabs>
                <w:tab w:val="left" w:pos="154"/>
              </w:tabs>
              <w:spacing w:line="158" w:lineRule="exact"/>
              <w:ind w:left="153" w:right="45" w:hanging="96"/>
              <w:rPr>
                <w:sz w:val="14"/>
              </w:rPr>
            </w:pPr>
            <w:r>
              <w:rPr>
                <w:color w:val="231F20"/>
                <w:sz w:val="14"/>
              </w:rPr>
              <w:t xml:space="preserve">објасни </w:t>
            </w:r>
            <w:r>
              <w:rPr>
                <w:color w:val="231F20"/>
                <w:spacing w:val="-3"/>
                <w:sz w:val="14"/>
              </w:rPr>
              <w:t xml:space="preserve">карактеристике </w:t>
            </w:r>
            <w:r>
              <w:rPr>
                <w:color w:val="231F20"/>
                <w:spacing w:val="-4"/>
                <w:sz w:val="14"/>
              </w:rPr>
              <w:t xml:space="preserve">семантичког, </w:t>
            </w:r>
            <w:r>
              <w:rPr>
                <w:color w:val="231F20"/>
                <w:spacing w:val="-3"/>
                <w:sz w:val="14"/>
              </w:rPr>
              <w:t>епизодичног</w:t>
            </w:r>
            <w:r>
              <w:rPr>
                <w:color w:val="231F20"/>
                <w:spacing w:val="-12"/>
                <w:sz w:val="14"/>
              </w:rPr>
              <w:t xml:space="preserve"> </w:t>
            </w:r>
            <w:r>
              <w:rPr>
                <w:color w:val="231F20"/>
                <w:sz w:val="14"/>
              </w:rPr>
              <w:t>и</w:t>
            </w:r>
            <w:r>
              <w:rPr>
                <w:color w:val="231F20"/>
                <w:spacing w:val="-12"/>
                <w:sz w:val="14"/>
              </w:rPr>
              <w:t xml:space="preserve"> </w:t>
            </w:r>
            <w:r>
              <w:rPr>
                <w:color w:val="231F20"/>
                <w:sz w:val="14"/>
              </w:rPr>
              <w:t>процедуралног</w:t>
            </w:r>
            <w:r>
              <w:rPr>
                <w:color w:val="231F20"/>
                <w:spacing w:val="-12"/>
                <w:sz w:val="14"/>
              </w:rPr>
              <w:t xml:space="preserve"> </w:t>
            </w:r>
            <w:r>
              <w:rPr>
                <w:color w:val="231F20"/>
                <w:sz w:val="14"/>
              </w:rPr>
              <w:t>памћења;</w:t>
            </w:r>
          </w:p>
          <w:p w:rsidR="00041039" w:rsidRDefault="001B26CB">
            <w:pPr>
              <w:pStyle w:val="TableParagraph"/>
              <w:numPr>
                <w:ilvl w:val="0"/>
                <w:numId w:val="921"/>
              </w:numPr>
              <w:tabs>
                <w:tab w:val="left" w:pos="157"/>
              </w:tabs>
              <w:spacing w:line="156" w:lineRule="exact"/>
              <w:ind w:hanging="99"/>
              <w:rPr>
                <w:sz w:val="14"/>
              </w:rPr>
            </w:pPr>
            <w:r>
              <w:rPr>
                <w:color w:val="231F20"/>
                <w:sz w:val="14"/>
              </w:rPr>
              <w:t>наведе и објасни</w:t>
            </w:r>
            <w:r>
              <w:rPr>
                <w:color w:val="231F20"/>
                <w:spacing w:val="-4"/>
                <w:sz w:val="14"/>
              </w:rPr>
              <w:t xml:space="preserve"> </w:t>
            </w:r>
            <w:r>
              <w:rPr>
                <w:color w:val="231F20"/>
                <w:sz w:val="14"/>
              </w:rPr>
              <w:t>мнемотехнике;</w:t>
            </w:r>
          </w:p>
        </w:tc>
        <w:tc>
          <w:tcPr>
            <w:tcW w:w="2834" w:type="dxa"/>
          </w:tcPr>
          <w:p w:rsidR="00041039" w:rsidRDefault="001B26CB">
            <w:pPr>
              <w:pStyle w:val="TableParagraph"/>
              <w:numPr>
                <w:ilvl w:val="0"/>
                <w:numId w:val="920"/>
              </w:numPr>
              <w:tabs>
                <w:tab w:val="left" w:pos="157"/>
              </w:tabs>
              <w:spacing w:before="10" w:line="165" w:lineRule="exact"/>
              <w:ind w:hanging="99"/>
              <w:rPr>
                <w:sz w:val="14"/>
              </w:rPr>
            </w:pPr>
            <w:r>
              <w:rPr>
                <w:color w:val="231F20"/>
                <w:sz w:val="14"/>
              </w:rPr>
              <w:t>Памћење.</w:t>
            </w:r>
          </w:p>
          <w:p w:rsidR="00041039" w:rsidRDefault="001B26CB">
            <w:pPr>
              <w:pStyle w:val="TableParagraph"/>
              <w:numPr>
                <w:ilvl w:val="0"/>
                <w:numId w:val="920"/>
              </w:numPr>
              <w:tabs>
                <w:tab w:val="left" w:pos="157"/>
              </w:tabs>
              <w:spacing w:line="235" w:lineRule="auto"/>
              <w:ind w:right="521" w:hanging="99"/>
              <w:rPr>
                <w:sz w:val="14"/>
              </w:rPr>
            </w:pPr>
            <w:r>
              <w:rPr>
                <w:color w:val="231F20"/>
                <w:sz w:val="14"/>
              </w:rPr>
              <w:t>Сензорно, краткорочно и</w:t>
            </w:r>
            <w:r>
              <w:rPr>
                <w:color w:val="231F20"/>
                <w:spacing w:val="-24"/>
                <w:sz w:val="14"/>
              </w:rPr>
              <w:t xml:space="preserve"> </w:t>
            </w:r>
            <w:r>
              <w:rPr>
                <w:color w:val="231F20"/>
                <w:sz w:val="14"/>
              </w:rPr>
              <w:t>дугорочно памћење.</w:t>
            </w:r>
          </w:p>
          <w:p w:rsidR="00041039" w:rsidRDefault="001B26CB">
            <w:pPr>
              <w:pStyle w:val="TableParagraph"/>
              <w:numPr>
                <w:ilvl w:val="0"/>
                <w:numId w:val="920"/>
              </w:numPr>
              <w:tabs>
                <w:tab w:val="left" w:pos="157"/>
              </w:tabs>
              <w:spacing w:line="158" w:lineRule="exact"/>
              <w:ind w:right="197" w:hanging="99"/>
              <w:rPr>
                <w:sz w:val="14"/>
              </w:rPr>
            </w:pPr>
            <w:r>
              <w:rPr>
                <w:color w:val="231F20"/>
                <w:sz w:val="14"/>
              </w:rPr>
              <w:t>Семантичко, епизодично и</w:t>
            </w:r>
            <w:r>
              <w:rPr>
                <w:color w:val="231F20"/>
                <w:spacing w:val="-21"/>
                <w:sz w:val="14"/>
              </w:rPr>
              <w:t xml:space="preserve"> </w:t>
            </w:r>
            <w:r>
              <w:rPr>
                <w:color w:val="231F20"/>
                <w:sz w:val="14"/>
              </w:rPr>
              <w:t>процедурално памћење.</w:t>
            </w:r>
          </w:p>
          <w:p w:rsidR="00041039" w:rsidRDefault="001B26CB">
            <w:pPr>
              <w:pStyle w:val="TableParagraph"/>
              <w:numPr>
                <w:ilvl w:val="0"/>
                <w:numId w:val="920"/>
              </w:numPr>
              <w:tabs>
                <w:tab w:val="left" w:pos="157"/>
              </w:tabs>
              <w:spacing w:line="156" w:lineRule="exact"/>
              <w:ind w:hanging="99"/>
              <w:rPr>
                <w:sz w:val="14"/>
              </w:rPr>
            </w:pPr>
            <w:r>
              <w:rPr>
                <w:color w:val="231F20"/>
                <w:sz w:val="14"/>
              </w:rPr>
              <w:t>Мнемотехнике.</w:t>
            </w:r>
          </w:p>
        </w:tc>
        <w:tc>
          <w:tcPr>
            <w:tcW w:w="2267" w:type="dxa"/>
            <w:vMerge/>
            <w:tcBorders>
              <w:top w:val="nil"/>
            </w:tcBorders>
          </w:tcPr>
          <w:p w:rsidR="00041039" w:rsidRDefault="00041039">
            <w:pPr>
              <w:rPr>
                <w:sz w:val="2"/>
                <w:szCs w:val="2"/>
              </w:rPr>
            </w:pPr>
          </w:p>
        </w:tc>
      </w:tr>
      <w:tr w:rsidR="00041039">
        <w:trPr>
          <w:trHeight w:val="2570"/>
        </w:trPr>
        <w:tc>
          <w:tcPr>
            <w:tcW w:w="1304" w:type="dxa"/>
          </w:tcPr>
          <w:p w:rsidR="00041039" w:rsidRDefault="001B26CB">
            <w:pPr>
              <w:pStyle w:val="TableParagraph"/>
              <w:spacing w:before="20"/>
              <w:ind w:left="56"/>
              <w:rPr>
                <w:sz w:val="14"/>
              </w:rPr>
            </w:pPr>
            <w:r>
              <w:rPr>
                <w:color w:val="231F20"/>
                <w:sz w:val="14"/>
              </w:rPr>
              <w:t>Адолесценција</w:t>
            </w:r>
          </w:p>
        </w:tc>
        <w:tc>
          <w:tcPr>
            <w:tcW w:w="1587" w:type="dxa"/>
          </w:tcPr>
          <w:p w:rsidR="00041039" w:rsidRDefault="001B26CB">
            <w:pPr>
              <w:pStyle w:val="TableParagraph"/>
              <w:numPr>
                <w:ilvl w:val="0"/>
                <w:numId w:val="919"/>
              </w:numPr>
              <w:tabs>
                <w:tab w:val="left" w:pos="157"/>
              </w:tabs>
              <w:spacing w:before="13" w:line="235" w:lineRule="auto"/>
              <w:ind w:right="124"/>
              <w:rPr>
                <w:sz w:val="14"/>
              </w:rPr>
            </w:pPr>
            <w:r>
              <w:rPr>
                <w:color w:val="231F20"/>
                <w:sz w:val="14"/>
              </w:rPr>
              <w:t>Упознавање са</w:t>
            </w:r>
            <w:r>
              <w:rPr>
                <w:color w:val="231F20"/>
                <w:spacing w:val="-16"/>
                <w:sz w:val="14"/>
              </w:rPr>
              <w:t xml:space="preserve"> </w:t>
            </w:r>
            <w:r>
              <w:rPr>
                <w:color w:val="231F20"/>
                <w:sz w:val="14"/>
              </w:rPr>
              <w:t>особе­ ностима адолесцен­ ције.</w:t>
            </w:r>
          </w:p>
        </w:tc>
        <w:tc>
          <w:tcPr>
            <w:tcW w:w="2551" w:type="dxa"/>
          </w:tcPr>
          <w:p w:rsidR="00041039" w:rsidRDefault="001B26CB">
            <w:pPr>
              <w:pStyle w:val="TableParagraph"/>
              <w:numPr>
                <w:ilvl w:val="0"/>
                <w:numId w:val="918"/>
              </w:numPr>
              <w:tabs>
                <w:tab w:val="left" w:pos="156"/>
              </w:tabs>
              <w:spacing w:before="10" w:line="165" w:lineRule="exact"/>
              <w:ind w:hanging="99"/>
              <w:rPr>
                <w:sz w:val="14"/>
              </w:rPr>
            </w:pPr>
            <w:r>
              <w:rPr>
                <w:color w:val="231F20"/>
                <w:sz w:val="14"/>
              </w:rPr>
              <w:t>објасни карактеристике</w:t>
            </w:r>
            <w:r>
              <w:rPr>
                <w:color w:val="231F20"/>
                <w:spacing w:val="-22"/>
                <w:sz w:val="14"/>
              </w:rPr>
              <w:t xml:space="preserve"> </w:t>
            </w:r>
            <w:r>
              <w:rPr>
                <w:color w:val="231F20"/>
                <w:sz w:val="14"/>
              </w:rPr>
              <w:t>адолесценције;</w:t>
            </w:r>
          </w:p>
          <w:p w:rsidR="00041039" w:rsidRDefault="001B26CB">
            <w:pPr>
              <w:pStyle w:val="TableParagraph"/>
              <w:numPr>
                <w:ilvl w:val="0"/>
                <w:numId w:val="918"/>
              </w:numPr>
              <w:tabs>
                <w:tab w:val="left" w:pos="157"/>
              </w:tabs>
              <w:spacing w:line="235" w:lineRule="auto"/>
              <w:ind w:right="289" w:hanging="99"/>
              <w:rPr>
                <w:sz w:val="14"/>
              </w:rPr>
            </w:pPr>
            <w:r>
              <w:rPr>
                <w:color w:val="231F20"/>
                <w:sz w:val="14"/>
              </w:rPr>
              <w:t>наведе</w:t>
            </w:r>
            <w:r>
              <w:rPr>
                <w:color w:val="231F20"/>
                <w:spacing w:val="-6"/>
                <w:sz w:val="14"/>
              </w:rPr>
              <w:t xml:space="preserve"> </w:t>
            </w:r>
            <w:r>
              <w:rPr>
                <w:color w:val="231F20"/>
                <w:sz w:val="14"/>
              </w:rPr>
              <w:t>које</w:t>
            </w:r>
            <w:r>
              <w:rPr>
                <w:color w:val="231F20"/>
                <w:spacing w:val="-6"/>
                <w:sz w:val="14"/>
              </w:rPr>
              <w:t xml:space="preserve"> </w:t>
            </w:r>
            <w:r>
              <w:rPr>
                <w:color w:val="231F20"/>
                <w:sz w:val="14"/>
              </w:rPr>
              <w:t>су</w:t>
            </w:r>
            <w:r>
              <w:rPr>
                <w:color w:val="231F20"/>
                <w:spacing w:val="-6"/>
                <w:sz w:val="14"/>
              </w:rPr>
              <w:t xml:space="preserve"> </w:t>
            </w:r>
            <w:r>
              <w:rPr>
                <w:color w:val="231F20"/>
                <w:sz w:val="14"/>
              </w:rPr>
              <w:t>биолошке</w:t>
            </w:r>
            <w:r>
              <w:rPr>
                <w:color w:val="231F20"/>
                <w:spacing w:val="-6"/>
                <w:sz w:val="14"/>
              </w:rPr>
              <w:t xml:space="preserve"> </w:t>
            </w:r>
            <w:r>
              <w:rPr>
                <w:color w:val="231F20"/>
                <w:sz w:val="14"/>
              </w:rPr>
              <w:t>промене</w:t>
            </w:r>
            <w:r>
              <w:rPr>
                <w:color w:val="231F20"/>
                <w:spacing w:val="-6"/>
                <w:sz w:val="14"/>
              </w:rPr>
              <w:t xml:space="preserve"> </w:t>
            </w:r>
            <w:r>
              <w:rPr>
                <w:color w:val="231F20"/>
                <w:sz w:val="14"/>
              </w:rPr>
              <w:t>у адолесценцији;</w:t>
            </w:r>
          </w:p>
          <w:p w:rsidR="00041039" w:rsidRDefault="001B26CB">
            <w:pPr>
              <w:pStyle w:val="TableParagraph"/>
              <w:numPr>
                <w:ilvl w:val="0"/>
                <w:numId w:val="918"/>
              </w:numPr>
              <w:tabs>
                <w:tab w:val="left" w:pos="157"/>
              </w:tabs>
              <w:spacing w:line="158" w:lineRule="exact"/>
              <w:ind w:right="186" w:hanging="99"/>
              <w:rPr>
                <w:sz w:val="14"/>
              </w:rPr>
            </w:pPr>
            <w:r>
              <w:rPr>
                <w:color w:val="231F20"/>
                <w:sz w:val="14"/>
              </w:rPr>
              <w:t>објасни шта је и који је значај ре­ продуктивног здравља, наведе</w:t>
            </w:r>
            <w:r>
              <w:rPr>
                <w:color w:val="231F20"/>
                <w:spacing w:val="-24"/>
                <w:sz w:val="14"/>
              </w:rPr>
              <w:t xml:space="preserve"> </w:t>
            </w:r>
            <w:r>
              <w:rPr>
                <w:color w:val="231F20"/>
                <w:sz w:val="14"/>
              </w:rPr>
              <w:t>полне болести и начине превенције</w:t>
            </w:r>
            <w:r>
              <w:rPr>
                <w:color w:val="231F20"/>
                <w:spacing w:val="-18"/>
                <w:sz w:val="14"/>
              </w:rPr>
              <w:t xml:space="preserve"> </w:t>
            </w:r>
            <w:r>
              <w:rPr>
                <w:color w:val="231F20"/>
                <w:sz w:val="14"/>
              </w:rPr>
              <w:t>полних болести;</w:t>
            </w:r>
          </w:p>
          <w:p w:rsidR="00041039" w:rsidRDefault="001B26CB">
            <w:pPr>
              <w:pStyle w:val="TableParagraph"/>
              <w:numPr>
                <w:ilvl w:val="0"/>
                <w:numId w:val="918"/>
              </w:numPr>
              <w:tabs>
                <w:tab w:val="left" w:pos="157"/>
              </w:tabs>
              <w:spacing w:line="151" w:lineRule="exact"/>
              <w:ind w:hanging="99"/>
              <w:rPr>
                <w:sz w:val="14"/>
              </w:rPr>
            </w:pPr>
            <w:r>
              <w:rPr>
                <w:color w:val="231F20"/>
                <w:sz w:val="14"/>
              </w:rPr>
              <w:t>објасни методе</w:t>
            </w:r>
            <w:r>
              <w:rPr>
                <w:color w:val="231F20"/>
                <w:spacing w:val="-2"/>
                <w:sz w:val="14"/>
              </w:rPr>
              <w:t xml:space="preserve"> </w:t>
            </w:r>
            <w:r>
              <w:rPr>
                <w:color w:val="231F20"/>
                <w:sz w:val="14"/>
              </w:rPr>
              <w:t>контрацепције;</w:t>
            </w:r>
          </w:p>
          <w:p w:rsidR="00041039" w:rsidRDefault="001B26CB">
            <w:pPr>
              <w:pStyle w:val="TableParagraph"/>
              <w:numPr>
                <w:ilvl w:val="0"/>
                <w:numId w:val="918"/>
              </w:numPr>
              <w:tabs>
                <w:tab w:val="left" w:pos="157"/>
              </w:tabs>
              <w:spacing w:line="235" w:lineRule="auto"/>
              <w:ind w:right="456" w:hanging="99"/>
              <w:rPr>
                <w:sz w:val="14"/>
              </w:rPr>
            </w:pPr>
            <w:r>
              <w:rPr>
                <w:color w:val="231F20"/>
                <w:sz w:val="14"/>
              </w:rPr>
              <w:t>наведе које су промене у</w:t>
            </w:r>
            <w:r>
              <w:rPr>
                <w:color w:val="231F20"/>
                <w:spacing w:val="-26"/>
                <w:sz w:val="14"/>
              </w:rPr>
              <w:t xml:space="preserve"> </w:t>
            </w:r>
            <w:r>
              <w:rPr>
                <w:color w:val="231F20"/>
                <w:sz w:val="14"/>
              </w:rPr>
              <w:t>начину размишљања</w:t>
            </w:r>
            <w:r>
              <w:rPr>
                <w:color w:val="231F20"/>
                <w:spacing w:val="-1"/>
                <w:sz w:val="14"/>
              </w:rPr>
              <w:t xml:space="preserve"> </w:t>
            </w:r>
            <w:r>
              <w:rPr>
                <w:color w:val="231F20"/>
                <w:sz w:val="14"/>
              </w:rPr>
              <w:t>адолесцента;</w:t>
            </w:r>
          </w:p>
          <w:p w:rsidR="00041039" w:rsidRDefault="001B26CB">
            <w:pPr>
              <w:pStyle w:val="TableParagraph"/>
              <w:numPr>
                <w:ilvl w:val="0"/>
                <w:numId w:val="918"/>
              </w:numPr>
              <w:tabs>
                <w:tab w:val="left" w:pos="157"/>
              </w:tabs>
              <w:spacing w:line="158" w:lineRule="exact"/>
              <w:ind w:right="719" w:hanging="99"/>
              <w:rPr>
                <w:sz w:val="14"/>
              </w:rPr>
            </w:pPr>
            <w:r>
              <w:rPr>
                <w:color w:val="231F20"/>
                <w:sz w:val="14"/>
              </w:rPr>
              <w:t>наведе социјалне промене</w:t>
            </w:r>
            <w:r>
              <w:rPr>
                <w:color w:val="231F20"/>
                <w:spacing w:val="-11"/>
                <w:sz w:val="14"/>
              </w:rPr>
              <w:t xml:space="preserve"> </w:t>
            </w:r>
            <w:r>
              <w:rPr>
                <w:color w:val="231F20"/>
                <w:sz w:val="14"/>
              </w:rPr>
              <w:t>у адолесценцији;</w:t>
            </w:r>
          </w:p>
          <w:p w:rsidR="00041039" w:rsidRDefault="001B26CB">
            <w:pPr>
              <w:pStyle w:val="TableParagraph"/>
              <w:numPr>
                <w:ilvl w:val="0"/>
                <w:numId w:val="918"/>
              </w:numPr>
              <w:tabs>
                <w:tab w:val="left" w:pos="157"/>
              </w:tabs>
              <w:spacing w:line="158" w:lineRule="exact"/>
              <w:ind w:right="496" w:hanging="99"/>
              <w:rPr>
                <w:sz w:val="14"/>
              </w:rPr>
            </w:pPr>
            <w:r>
              <w:rPr>
                <w:color w:val="231F20"/>
                <w:sz w:val="14"/>
              </w:rPr>
              <w:t>наведе које обавезе и права</w:t>
            </w:r>
            <w:r>
              <w:rPr>
                <w:color w:val="231F20"/>
                <w:spacing w:val="-22"/>
                <w:sz w:val="14"/>
              </w:rPr>
              <w:t xml:space="preserve"> </w:t>
            </w:r>
            <w:r>
              <w:rPr>
                <w:color w:val="231F20"/>
                <w:sz w:val="14"/>
              </w:rPr>
              <w:t>има адолесцент;</w:t>
            </w:r>
          </w:p>
          <w:p w:rsidR="00041039" w:rsidRDefault="001B26CB">
            <w:pPr>
              <w:pStyle w:val="TableParagraph"/>
              <w:numPr>
                <w:ilvl w:val="0"/>
                <w:numId w:val="918"/>
              </w:numPr>
              <w:tabs>
                <w:tab w:val="left" w:pos="157"/>
              </w:tabs>
              <w:spacing w:line="158" w:lineRule="exact"/>
              <w:ind w:right="161" w:hanging="99"/>
              <w:rPr>
                <w:sz w:val="14"/>
              </w:rPr>
            </w:pPr>
            <w:r>
              <w:rPr>
                <w:color w:val="231F20"/>
                <w:sz w:val="14"/>
              </w:rPr>
              <w:t xml:space="preserve">наведе правила сигурности </w:t>
            </w:r>
            <w:r>
              <w:rPr>
                <w:color w:val="231F20"/>
                <w:spacing w:val="-3"/>
                <w:sz w:val="14"/>
              </w:rPr>
              <w:t xml:space="preserve">током </w:t>
            </w:r>
            <w:r>
              <w:rPr>
                <w:color w:val="231F20"/>
                <w:sz w:val="14"/>
              </w:rPr>
              <w:t>из­ лазака са</w:t>
            </w:r>
            <w:r>
              <w:rPr>
                <w:color w:val="231F20"/>
                <w:spacing w:val="-2"/>
                <w:sz w:val="14"/>
              </w:rPr>
              <w:t xml:space="preserve"> </w:t>
            </w:r>
            <w:r>
              <w:rPr>
                <w:color w:val="231F20"/>
                <w:sz w:val="14"/>
              </w:rPr>
              <w:t>вршњацима;</w:t>
            </w:r>
          </w:p>
        </w:tc>
        <w:tc>
          <w:tcPr>
            <w:tcW w:w="2834" w:type="dxa"/>
          </w:tcPr>
          <w:p w:rsidR="00041039" w:rsidRDefault="001B26CB">
            <w:pPr>
              <w:pStyle w:val="TableParagraph"/>
              <w:numPr>
                <w:ilvl w:val="0"/>
                <w:numId w:val="917"/>
              </w:numPr>
              <w:tabs>
                <w:tab w:val="left" w:pos="158"/>
              </w:tabs>
              <w:spacing w:before="11" w:line="165" w:lineRule="exact"/>
              <w:rPr>
                <w:sz w:val="14"/>
              </w:rPr>
            </w:pPr>
            <w:r>
              <w:rPr>
                <w:color w:val="231F20"/>
                <w:sz w:val="14"/>
              </w:rPr>
              <w:t>Адолесценција као развојни</w:t>
            </w:r>
            <w:r>
              <w:rPr>
                <w:color w:val="231F20"/>
                <w:spacing w:val="-15"/>
                <w:sz w:val="14"/>
              </w:rPr>
              <w:t xml:space="preserve"> </w:t>
            </w:r>
            <w:r>
              <w:rPr>
                <w:color w:val="231F20"/>
                <w:sz w:val="14"/>
              </w:rPr>
              <w:t>период.</w:t>
            </w:r>
          </w:p>
          <w:p w:rsidR="00041039" w:rsidRDefault="001B26CB">
            <w:pPr>
              <w:pStyle w:val="TableParagraph"/>
              <w:numPr>
                <w:ilvl w:val="0"/>
                <w:numId w:val="917"/>
              </w:numPr>
              <w:tabs>
                <w:tab w:val="left" w:pos="158"/>
              </w:tabs>
              <w:spacing w:line="158" w:lineRule="exact"/>
              <w:rPr>
                <w:sz w:val="14"/>
              </w:rPr>
            </w:pPr>
            <w:r>
              <w:rPr>
                <w:color w:val="231F20"/>
                <w:sz w:val="14"/>
              </w:rPr>
              <w:t>Биолошке промене у</w:t>
            </w:r>
            <w:r>
              <w:rPr>
                <w:color w:val="231F20"/>
                <w:spacing w:val="-16"/>
                <w:sz w:val="14"/>
              </w:rPr>
              <w:t xml:space="preserve"> </w:t>
            </w:r>
            <w:r>
              <w:rPr>
                <w:color w:val="231F20"/>
                <w:sz w:val="14"/>
              </w:rPr>
              <w:t>адолесценцији.</w:t>
            </w:r>
          </w:p>
          <w:p w:rsidR="00041039" w:rsidRDefault="001B26CB">
            <w:pPr>
              <w:pStyle w:val="TableParagraph"/>
              <w:numPr>
                <w:ilvl w:val="0"/>
                <w:numId w:val="917"/>
              </w:numPr>
              <w:tabs>
                <w:tab w:val="left" w:pos="158"/>
              </w:tabs>
              <w:spacing w:line="158" w:lineRule="exact"/>
              <w:rPr>
                <w:sz w:val="14"/>
              </w:rPr>
            </w:pPr>
            <w:r>
              <w:rPr>
                <w:color w:val="231F20"/>
                <w:sz w:val="14"/>
              </w:rPr>
              <w:t>Репродуктивно</w:t>
            </w:r>
            <w:r>
              <w:rPr>
                <w:color w:val="231F20"/>
                <w:spacing w:val="-1"/>
                <w:sz w:val="14"/>
              </w:rPr>
              <w:t xml:space="preserve"> </w:t>
            </w:r>
            <w:r>
              <w:rPr>
                <w:color w:val="231F20"/>
                <w:sz w:val="14"/>
              </w:rPr>
              <w:t>здравље.</w:t>
            </w:r>
          </w:p>
          <w:p w:rsidR="00041039" w:rsidRDefault="001B26CB">
            <w:pPr>
              <w:pStyle w:val="TableParagraph"/>
              <w:numPr>
                <w:ilvl w:val="0"/>
                <w:numId w:val="917"/>
              </w:numPr>
              <w:tabs>
                <w:tab w:val="left" w:pos="158"/>
              </w:tabs>
              <w:spacing w:line="158" w:lineRule="exact"/>
              <w:rPr>
                <w:sz w:val="14"/>
              </w:rPr>
            </w:pPr>
            <w:r>
              <w:rPr>
                <w:color w:val="231F20"/>
                <w:sz w:val="14"/>
              </w:rPr>
              <w:t>Контрацепција.</w:t>
            </w:r>
          </w:p>
          <w:p w:rsidR="00041039" w:rsidRDefault="001B26CB">
            <w:pPr>
              <w:pStyle w:val="TableParagraph"/>
              <w:numPr>
                <w:ilvl w:val="0"/>
                <w:numId w:val="917"/>
              </w:numPr>
              <w:tabs>
                <w:tab w:val="left" w:pos="158"/>
              </w:tabs>
              <w:spacing w:line="158" w:lineRule="exact"/>
              <w:rPr>
                <w:sz w:val="14"/>
              </w:rPr>
            </w:pPr>
            <w:r>
              <w:rPr>
                <w:color w:val="231F20"/>
                <w:sz w:val="14"/>
              </w:rPr>
              <w:t>Промене у начину</w:t>
            </w:r>
            <w:r>
              <w:rPr>
                <w:color w:val="231F20"/>
                <w:spacing w:val="-2"/>
                <w:sz w:val="14"/>
              </w:rPr>
              <w:t xml:space="preserve"> </w:t>
            </w:r>
            <w:r>
              <w:rPr>
                <w:color w:val="231F20"/>
                <w:sz w:val="14"/>
              </w:rPr>
              <w:t>размишљања.</w:t>
            </w:r>
          </w:p>
          <w:p w:rsidR="00041039" w:rsidRDefault="001B26CB">
            <w:pPr>
              <w:pStyle w:val="TableParagraph"/>
              <w:numPr>
                <w:ilvl w:val="0"/>
                <w:numId w:val="917"/>
              </w:numPr>
              <w:tabs>
                <w:tab w:val="left" w:pos="158"/>
              </w:tabs>
              <w:spacing w:line="158" w:lineRule="exact"/>
              <w:rPr>
                <w:sz w:val="14"/>
              </w:rPr>
            </w:pPr>
            <w:r>
              <w:rPr>
                <w:color w:val="231F20"/>
                <w:sz w:val="14"/>
              </w:rPr>
              <w:t>Социјалне</w:t>
            </w:r>
            <w:r>
              <w:rPr>
                <w:color w:val="231F20"/>
                <w:spacing w:val="-2"/>
                <w:sz w:val="14"/>
              </w:rPr>
              <w:t xml:space="preserve"> </w:t>
            </w:r>
            <w:r>
              <w:rPr>
                <w:color w:val="231F20"/>
                <w:sz w:val="14"/>
              </w:rPr>
              <w:t>промене.</w:t>
            </w:r>
          </w:p>
          <w:p w:rsidR="00041039" w:rsidRDefault="001B26CB">
            <w:pPr>
              <w:pStyle w:val="TableParagraph"/>
              <w:numPr>
                <w:ilvl w:val="0"/>
                <w:numId w:val="917"/>
              </w:numPr>
              <w:tabs>
                <w:tab w:val="left" w:pos="158"/>
              </w:tabs>
              <w:spacing w:line="158" w:lineRule="exact"/>
              <w:rPr>
                <w:sz w:val="14"/>
              </w:rPr>
            </w:pPr>
            <w:r>
              <w:rPr>
                <w:color w:val="231F20"/>
                <w:sz w:val="14"/>
              </w:rPr>
              <w:t>Обавезе и права</w:t>
            </w:r>
            <w:r>
              <w:rPr>
                <w:color w:val="231F20"/>
                <w:spacing w:val="-3"/>
                <w:sz w:val="14"/>
              </w:rPr>
              <w:t xml:space="preserve"> </w:t>
            </w:r>
            <w:r>
              <w:rPr>
                <w:color w:val="231F20"/>
                <w:sz w:val="14"/>
              </w:rPr>
              <w:t>детета.</w:t>
            </w:r>
          </w:p>
          <w:p w:rsidR="00041039" w:rsidRDefault="001B26CB">
            <w:pPr>
              <w:pStyle w:val="TableParagraph"/>
              <w:numPr>
                <w:ilvl w:val="0"/>
                <w:numId w:val="917"/>
              </w:numPr>
              <w:tabs>
                <w:tab w:val="left" w:pos="158"/>
              </w:tabs>
              <w:spacing w:line="165" w:lineRule="exact"/>
              <w:rPr>
                <w:sz w:val="14"/>
              </w:rPr>
            </w:pPr>
            <w:r>
              <w:rPr>
                <w:color w:val="231F20"/>
                <w:sz w:val="14"/>
              </w:rPr>
              <w:t>Изласци­правила</w:t>
            </w:r>
            <w:r>
              <w:rPr>
                <w:color w:val="231F20"/>
                <w:spacing w:val="-2"/>
                <w:sz w:val="14"/>
              </w:rPr>
              <w:t xml:space="preserve"> </w:t>
            </w:r>
            <w:r>
              <w:rPr>
                <w:color w:val="231F20"/>
                <w:sz w:val="14"/>
              </w:rPr>
              <w:t>сигурности.</w:t>
            </w:r>
          </w:p>
        </w:tc>
        <w:tc>
          <w:tcPr>
            <w:tcW w:w="2267" w:type="dxa"/>
            <w:vMerge/>
            <w:tcBorders>
              <w:top w:val="nil"/>
            </w:tcBorders>
          </w:tcPr>
          <w:p w:rsidR="00041039" w:rsidRDefault="00041039">
            <w:pPr>
              <w:rPr>
                <w:sz w:val="2"/>
                <w:szCs w:val="2"/>
              </w:rPr>
            </w:pPr>
          </w:p>
        </w:tc>
      </w:tr>
      <w:tr w:rsidR="00041039">
        <w:trPr>
          <w:trHeight w:val="1148"/>
        </w:trPr>
        <w:tc>
          <w:tcPr>
            <w:tcW w:w="1304" w:type="dxa"/>
          </w:tcPr>
          <w:p w:rsidR="00041039" w:rsidRDefault="001B26CB">
            <w:pPr>
              <w:pStyle w:val="TableParagraph"/>
              <w:spacing w:before="24" w:line="235" w:lineRule="auto"/>
              <w:ind w:left="57" w:right="350"/>
              <w:rPr>
                <w:sz w:val="14"/>
              </w:rPr>
            </w:pPr>
            <w:r>
              <w:rPr>
                <w:color w:val="231F20"/>
                <w:sz w:val="14"/>
              </w:rPr>
              <w:t>Фрустрације и конфликти</w:t>
            </w:r>
          </w:p>
        </w:tc>
        <w:tc>
          <w:tcPr>
            <w:tcW w:w="1587" w:type="dxa"/>
          </w:tcPr>
          <w:p w:rsidR="00041039" w:rsidRDefault="001B26CB">
            <w:pPr>
              <w:pStyle w:val="TableParagraph"/>
              <w:numPr>
                <w:ilvl w:val="0"/>
                <w:numId w:val="916"/>
              </w:numPr>
              <w:tabs>
                <w:tab w:val="left" w:pos="157"/>
              </w:tabs>
              <w:spacing w:before="15" w:line="235" w:lineRule="auto"/>
              <w:ind w:right="80" w:hanging="99"/>
              <w:rPr>
                <w:sz w:val="14"/>
              </w:rPr>
            </w:pPr>
            <w:r>
              <w:rPr>
                <w:color w:val="231F20"/>
                <w:sz w:val="14"/>
              </w:rPr>
              <w:t>Упознавање са</w:t>
            </w:r>
            <w:r>
              <w:rPr>
                <w:color w:val="231F20"/>
                <w:spacing w:val="-22"/>
                <w:sz w:val="14"/>
              </w:rPr>
              <w:t xml:space="preserve"> </w:t>
            </w:r>
            <w:r>
              <w:rPr>
                <w:color w:val="231F20"/>
                <w:sz w:val="14"/>
              </w:rPr>
              <w:t xml:space="preserve">појмом фрустрација и кон­ </w:t>
            </w:r>
            <w:r>
              <w:rPr>
                <w:color w:val="231F20"/>
                <w:spacing w:val="-4"/>
                <w:sz w:val="14"/>
              </w:rPr>
              <w:t>фликт.</w:t>
            </w:r>
          </w:p>
        </w:tc>
        <w:tc>
          <w:tcPr>
            <w:tcW w:w="2551" w:type="dxa"/>
          </w:tcPr>
          <w:p w:rsidR="00041039" w:rsidRDefault="001B26CB">
            <w:pPr>
              <w:pStyle w:val="TableParagraph"/>
              <w:numPr>
                <w:ilvl w:val="0"/>
                <w:numId w:val="915"/>
              </w:numPr>
              <w:tabs>
                <w:tab w:val="left" w:pos="157"/>
              </w:tabs>
              <w:spacing w:before="12" w:line="165" w:lineRule="exact"/>
              <w:ind w:hanging="99"/>
              <w:rPr>
                <w:sz w:val="14"/>
              </w:rPr>
            </w:pPr>
            <w:r>
              <w:rPr>
                <w:color w:val="231F20"/>
                <w:sz w:val="14"/>
              </w:rPr>
              <w:t>објасни шта су</w:t>
            </w:r>
            <w:r>
              <w:rPr>
                <w:color w:val="231F20"/>
                <w:spacing w:val="-1"/>
                <w:sz w:val="14"/>
              </w:rPr>
              <w:t xml:space="preserve"> </w:t>
            </w:r>
            <w:r>
              <w:rPr>
                <w:color w:val="231F20"/>
                <w:sz w:val="14"/>
              </w:rPr>
              <w:t>фрустрације;</w:t>
            </w:r>
          </w:p>
          <w:p w:rsidR="00041039" w:rsidRDefault="001B26CB">
            <w:pPr>
              <w:pStyle w:val="TableParagraph"/>
              <w:numPr>
                <w:ilvl w:val="0"/>
                <w:numId w:val="915"/>
              </w:numPr>
              <w:tabs>
                <w:tab w:val="left" w:pos="157"/>
              </w:tabs>
              <w:spacing w:line="158" w:lineRule="exact"/>
              <w:ind w:hanging="99"/>
              <w:rPr>
                <w:sz w:val="14"/>
              </w:rPr>
            </w:pPr>
            <w:r>
              <w:rPr>
                <w:color w:val="231F20"/>
                <w:sz w:val="14"/>
              </w:rPr>
              <w:t>објасни шта су</w:t>
            </w:r>
            <w:r>
              <w:rPr>
                <w:color w:val="231F20"/>
                <w:spacing w:val="-3"/>
                <w:sz w:val="14"/>
              </w:rPr>
              <w:t xml:space="preserve"> </w:t>
            </w:r>
            <w:r>
              <w:rPr>
                <w:color w:val="231F20"/>
                <w:sz w:val="14"/>
              </w:rPr>
              <w:t>конфликти;</w:t>
            </w:r>
          </w:p>
          <w:p w:rsidR="00041039" w:rsidRDefault="001B26CB">
            <w:pPr>
              <w:pStyle w:val="TableParagraph"/>
              <w:numPr>
                <w:ilvl w:val="0"/>
                <w:numId w:val="915"/>
              </w:numPr>
              <w:tabs>
                <w:tab w:val="left" w:pos="157"/>
              </w:tabs>
              <w:spacing w:line="158" w:lineRule="exact"/>
              <w:ind w:hanging="99"/>
              <w:rPr>
                <w:sz w:val="14"/>
              </w:rPr>
            </w:pPr>
            <w:r>
              <w:rPr>
                <w:color w:val="231F20"/>
                <w:sz w:val="14"/>
              </w:rPr>
              <w:t>наведе врсте</w:t>
            </w:r>
            <w:r>
              <w:rPr>
                <w:color w:val="231F20"/>
                <w:spacing w:val="-4"/>
                <w:sz w:val="14"/>
              </w:rPr>
              <w:t xml:space="preserve"> </w:t>
            </w:r>
            <w:r>
              <w:rPr>
                <w:color w:val="231F20"/>
                <w:sz w:val="14"/>
              </w:rPr>
              <w:t>конфликата;</w:t>
            </w:r>
          </w:p>
          <w:p w:rsidR="00041039" w:rsidRDefault="001B26CB">
            <w:pPr>
              <w:pStyle w:val="TableParagraph"/>
              <w:numPr>
                <w:ilvl w:val="0"/>
                <w:numId w:val="915"/>
              </w:numPr>
              <w:tabs>
                <w:tab w:val="left" w:pos="157"/>
              </w:tabs>
              <w:spacing w:line="235" w:lineRule="auto"/>
              <w:ind w:right="158" w:hanging="99"/>
              <w:rPr>
                <w:sz w:val="14"/>
              </w:rPr>
            </w:pPr>
            <w:r>
              <w:rPr>
                <w:color w:val="231F20"/>
                <w:sz w:val="14"/>
              </w:rPr>
              <w:t>наведе и објасни реакције на фрустрације и конфликте</w:t>
            </w:r>
            <w:r>
              <w:rPr>
                <w:color w:val="231F20"/>
                <w:spacing w:val="-23"/>
                <w:sz w:val="14"/>
              </w:rPr>
              <w:t xml:space="preserve"> </w:t>
            </w:r>
            <w:r>
              <w:rPr>
                <w:color w:val="231F20"/>
                <w:sz w:val="14"/>
              </w:rPr>
              <w:t>(механизме одбране);</w:t>
            </w:r>
          </w:p>
          <w:p w:rsidR="00041039" w:rsidRDefault="001B26CB">
            <w:pPr>
              <w:pStyle w:val="TableParagraph"/>
              <w:numPr>
                <w:ilvl w:val="0"/>
                <w:numId w:val="915"/>
              </w:numPr>
              <w:tabs>
                <w:tab w:val="left" w:pos="157"/>
              </w:tabs>
              <w:spacing w:line="156" w:lineRule="exact"/>
              <w:ind w:hanging="99"/>
              <w:rPr>
                <w:sz w:val="14"/>
              </w:rPr>
            </w:pPr>
            <w:r>
              <w:rPr>
                <w:color w:val="231F20"/>
                <w:sz w:val="14"/>
              </w:rPr>
              <w:t>објасни шта је</w:t>
            </w:r>
            <w:r>
              <w:rPr>
                <w:color w:val="231F20"/>
                <w:spacing w:val="-1"/>
                <w:sz w:val="14"/>
              </w:rPr>
              <w:t xml:space="preserve"> </w:t>
            </w:r>
            <w:r>
              <w:rPr>
                <w:color w:val="231F20"/>
                <w:sz w:val="14"/>
              </w:rPr>
              <w:t>медијација;</w:t>
            </w:r>
          </w:p>
        </w:tc>
        <w:tc>
          <w:tcPr>
            <w:tcW w:w="2834" w:type="dxa"/>
          </w:tcPr>
          <w:p w:rsidR="00041039" w:rsidRDefault="001B26CB">
            <w:pPr>
              <w:pStyle w:val="TableParagraph"/>
              <w:numPr>
                <w:ilvl w:val="0"/>
                <w:numId w:val="914"/>
              </w:numPr>
              <w:tabs>
                <w:tab w:val="left" w:pos="158"/>
              </w:tabs>
              <w:spacing w:before="12" w:line="165" w:lineRule="exact"/>
              <w:rPr>
                <w:sz w:val="14"/>
              </w:rPr>
            </w:pPr>
            <w:r>
              <w:rPr>
                <w:color w:val="231F20"/>
                <w:sz w:val="14"/>
              </w:rPr>
              <w:t>Фрустрације.</w:t>
            </w:r>
          </w:p>
          <w:p w:rsidR="00041039" w:rsidRDefault="001B26CB">
            <w:pPr>
              <w:pStyle w:val="TableParagraph"/>
              <w:numPr>
                <w:ilvl w:val="0"/>
                <w:numId w:val="914"/>
              </w:numPr>
              <w:tabs>
                <w:tab w:val="left" w:pos="158"/>
              </w:tabs>
              <w:spacing w:line="158" w:lineRule="exact"/>
              <w:rPr>
                <w:sz w:val="14"/>
              </w:rPr>
            </w:pPr>
            <w:r>
              <w:rPr>
                <w:color w:val="231F20"/>
                <w:sz w:val="14"/>
              </w:rPr>
              <w:t>Конфликти.</w:t>
            </w:r>
          </w:p>
          <w:p w:rsidR="00041039" w:rsidRDefault="001B26CB">
            <w:pPr>
              <w:pStyle w:val="TableParagraph"/>
              <w:numPr>
                <w:ilvl w:val="0"/>
                <w:numId w:val="914"/>
              </w:numPr>
              <w:tabs>
                <w:tab w:val="left" w:pos="158"/>
              </w:tabs>
              <w:spacing w:line="158" w:lineRule="exact"/>
              <w:rPr>
                <w:sz w:val="14"/>
              </w:rPr>
            </w:pPr>
            <w:r>
              <w:rPr>
                <w:color w:val="231F20"/>
                <w:sz w:val="14"/>
              </w:rPr>
              <w:t>Врсте</w:t>
            </w:r>
            <w:r>
              <w:rPr>
                <w:color w:val="231F20"/>
                <w:spacing w:val="-1"/>
                <w:sz w:val="14"/>
              </w:rPr>
              <w:t xml:space="preserve"> </w:t>
            </w:r>
            <w:r>
              <w:rPr>
                <w:color w:val="231F20"/>
                <w:sz w:val="14"/>
              </w:rPr>
              <w:t>конфликата.</w:t>
            </w:r>
          </w:p>
          <w:p w:rsidR="00041039" w:rsidRDefault="001B26CB">
            <w:pPr>
              <w:pStyle w:val="TableParagraph"/>
              <w:numPr>
                <w:ilvl w:val="0"/>
                <w:numId w:val="914"/>
              </w:numPr>
              <w:tabs>
                <w:tab w:val="left" w:pos="158"/>
              </w:tabs>
              <w:spacing w:line="158" w:lineRule="exact"/>
              <w:rPr>
                <w:sz w:val="14"/>
              </w:rPr>
            </w:pPr>
            <w:r>
              <w:rPr>
                <w:color w:val="231F20"/>
                <w:sz w:val="14"/>
              </w:rPr>
              <w:t>Реакција на фрустрације и</w:t>
            </w:r>
            <w:r>
              <w:rPr>
                <w:color w:val="231F20"/>
                <w:spacing w:val="-7"/>
                <w:sz w:val="14"/>
              </w:rPr>
              <w:t xml:space="preserve"> </w:t>
            </w:r>
            <w:r>
              <w:rPr>
                <w:color w:val="231F20"/>
                <w:sz w:val="14"/>
              </w:rPr>
              <w:t>конфликте.</w:t>
            </w:r>
          </w:p>
          <w:p w:rsidR="00041039" w:rsidRDefault="001B26CB">
            <w:pPr>
              <w:pStyle w:val="TableParagraph"/>
              <w:numPr>
                <w:ilvl w:val="0"/>
                <w:numId w:val="914"/>
              </w:numPr>
              <w:tabs>
                <w:tab w:val="left" w:pos="158"/>
              </w:tabs>
              <w:spacing w:line="165" w:lineRule="exact"/>
              <w:rPr>
                <w:sz w:val="14"/>
              </w:rPr>
            </w:pPr>
            <w:r>
              <w:rPr>
                <w:color w:val="231F20"/>
                <w:sz w:val="14"/>
              </w:rPr>
              <w:t>Медијација.</w:t>
            </w:r>
          </w:p>
        </w:tc>
        <w:tc>
          <w:tcPr>
            <w:tcW w:w="2267" w:type="dxa"/>
            <w:vMerge/>
            <w:tcBorders>
              <w:top w:val="nil"/>
            </w:tcBorders>
          </w:tcPr>
          <w:p w:rsidR="00041039" w:rsidRDefault="00041039">
            <w:pPr>
              <w:rPr>
                <w:sz w:val="2"/>
                <w:szCs w:val="2"/>
              </w:rPr>
            </w:pPr>
          </w:p>
        </w:tc>
      </w:tr>
      <w:tr w:rsidR="00041039">
        <w:trPr>
          <w:trHeight w:val="2412"/>
        </w:trPr>
        <w:tc>
          <w:tcPr>
            <w:tcW w:w="1304" w:type="dxa"/>
          </w:tcPr>
          <w:p w:rsidR="00041039" w:rsidRDefault="001B26CB">
            <w:pPr>
              <w:pStyle w:val="TableParagraph"/>
              <w:spacing w:before="22"/>
              <w:ind w:left="57"/>
              <w:rPr>
                <w:sz w:val="14"/>
              </w:rPr>
            </w:pPr>
            <w:r>
              <w:rPr>
                <w:color w:val="231F20"/>
                <w:sz w:val="14"/>
              </w:rPr>
              <w:t>Комуникација</w:t>
            </w:r>
          </w:p>
        </w:tc>
        <w:tc>
          <w:tcPr>
            <w:tcW w:w="1587" w:type="dxa"/>
          </w:tcPr>
          <w:p w:rsidR="00041039" w:rsidRDefault="001B26CB">
            <w:pPr>
              <w:pStyle w:val="TableParagraph"/>
              <w:numPr>
                <w:ilvl w:val="0"/>
                <w:numId w:val="913"/>
              </w:numPr>
              <w:tabs>
                <w:tab w:val="left" w:pos="157"/>
              </w:tabs>
              <w:spacing w:before="15" w:line="235" w:lineRule="auto"/>
              <w:ind w:right="110" w:hanging="99"/>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3"/>
                <w:sz w:val="14"/>
              </w:rPr>
              <w:t xml:space="preserve"> </w:t>
            </w:r>
            <w:r>
              <w:rPr>
                <w:color w:val="231F20"/>
                <w:sz w:val="14"/>
              </w:rPr>
              <w:t>комуникације.</w:t>
            </w:r>
          </w:p>
        </w:tc>
        <w:tc>
          <w:tcPr>
            <w:tcW w:w="2551" w:type="dxa"/>
          </w:tcPr>
          <w:p w:rsidR="00041039" w:rsidRDefault="001B26CB">
            <w:pPr>
              <w:pStyle w:val="TableParagraph"/>
              <w:numPr>
                <w:ilvl w:val="0"/>
                <w:numId w:val="912"/>
              </w:numPr>
              <w:tabs>
                <w:tab w:val="left" w:pos="158"/>
              </w:tabs>
              <w:spacing w:before="12" w:line="165" w:lineRule="exact"/>
              <w:rPr>
                <w:sz w:val="14"/>
              </w:rPr>
            </w:pPr>
            <w:r>
              <w:rPr>
                <w:color w:val="231F20"/>
                <w:sz w:val="14"/>
              </w:rPr>
              <w:t>објасни важност учења</w:t>
            </w:r>
            <w:r>
              <w:rPr>
                <w:color w:val="231F20"/>
                <w:spacing w:val="-7"/>
                <w:sz w:val="14"/>
              </w:rPr>
              <w:t xml:space="preserve"> </w:t>
            </w:r>
            <w:r>
              <w:rPr>
                <w:color w:val="231F20"/>
                <w:sz w:val="14"/>
              </w:rPr>
              <w:t>комуникације;</w:t>
            </w:r>
          </w:p>
          <w:p w:rsidR="00041039" w:rsidRDefault="001B26CB">
            <w:pPr>
              <w:pStyle w:val="TableParagraph"/>
              <w:numPr>
                <w:ilvl w:val="0"/>
                <w:numId w:val="912"/>
              </w:numPr>
              <w:tabs>
                <w:tab w:val="left" w:pos="158"/>
              </w:tabs>
              <w:spacing w:line="158" w:lineRule="exact"/>
              <w:rPr>
                <w:sz w:val="14"/>
              </w:rPr>
            </w:pPr>
            <w:r>
              <w:rPr>
                <w:color w:val="231F20"/>
                <w:sz w:val="14"/>
              </w:rPr>
              <w:t>објасни шта је говор</w:t>
            </w:r>
            <w:r>
              <w:rPr>
                <w:color w:val="231F20"/>
                <w:spacing w:val="-1"/>
                <w:sz w:val="14"/>
              </w:rPr>
              <w:t xml:space="preserve"> </w:t>
            </w:r>
            <w:r>
              <w:rPr>
                <w:color w:val="231F20"/>
                <w:sz w:val="14"/>
              </w:rPr>
              <w:t>тела;</w:t>
            </w:r>
          </w:p>
          <w:p w:rsidR="00041039" w:rsidRDefault="001B26CB">
            <w:pPr>
              <w:pStyle w:val="TableParagraph"/>
              <w:numPr>
                <w:ilvl w:val="0"/>
                <w:numId w:val="912"/>
              </w:numPr>
              <w:tabs>
                <w:tab w:val="left" w:pos="158"/>
              </w:tabs>
              <w:spacing w:line="235" w:lineRule="auto"/>
              <w:ind w:right="285"/>
              <w:rPr>
                <w:sz w:val="14"/>
              </w:rPr>
            </w:pPr>
            <w:r>
              <w:rPr>
                <w:color w:val="231F20"/>
                <w:sz w:val="14"/>
              </w:rPr>
              <w:t>наведе препреке успешне комуникације („опасне</w:t>
            </w:r>
            <w:r>
              <w:rPr>
                <w:color w:val="231F20"/>
                <w:spacing w:val="-22"/>
                <w:sz w:val="14"/>
              </w:rPr>
              <w:t xml:space="preserve"> </w:t>
            </w:r>
            <w:r>
              <w:rPr>
                <w:color w:val="231F20"/>
                <w:sz w:val="14"/>
              </w:rPr>
              <w:t>реченице”);</w:t>
            </w:r>
          </w:p>
          <w:p w:rsidR="00041039" w:rsidRDefault="001B26CB">
            <w:pPr>
              <w:pStyle w:val="TableParagraph"/>
              <w:numPr>
                <w:ilvl w:val="0"/>
                <w:numId w:val="912"/>
              </w:numPr>
              <w:tabs>
                <w:tab w:val="left" w:pos="158"/>
              </w:tabs>
              <w:spacing w:line="158" w:lineRule="exact"/>
              <w:ind w:right="49"/>
              <w:rPr>
                <w:sz w:val="14"/>
              </w:rPr>
            </w:pPr>
            <w:r>
              <w:rPr>
                <w:color w:val="231F20"/>
                <w:sz w:val="14"/>
              </w:rPr>
              <w:t>објасни шта су осећања, наведе</w:t>
            </w:r>
            <w:r>
              <w:rPr>
                <w:color w:val="231F20"/>
                <w:spacing w:val="-10"/>
                <w:sz w:val="14"/>
              </w:rPr>
              <w:t xml:space="preserve"> </w:t>
            </w:r>
            <w:r>
              <w:rPr>
                <w:color w:val="231F20"/>
                <w:sz w:val="14"/>
              </w:rPr>
              <w:t>начине поделе</w:t>
            </w:r>
            <w:r>
              <w:rPr>
                <w:color w:val="231F20"/>
                <w:spacing w:val="-1"/>
                <w:sz w:val="14"/>
              </w:rPr>
              <w:t xml:space="preserve"> </w:t>
            </w:r>
            <w:r>
              <w:rPr>
                <w:color w:val="231F20"/>
                <w:sz w:val="14"/>
              </w:rPr>
              <w:t>осећања;</w:t>
            </w:r>
          </w:p>
          <w:p w:rsidR="00041039" w:rsidRDefault="001B26CB">
            <w:pPr>
              <w:pStyle w:val="TableParagraph"/>
              <w:numPr>
                <w:ilvl w:val="0"/>
                <w:numId w:val="912"/>
              </w:numPr>
              <w:tabs>
                <w:tab w:val="left" w:pos="158"/>
              </w:tabs>
              <w:spacing w:line="151" w:lineRule="exact"/>
              <w:rPr>
                <w:sz w:val="14"/>
              </w:rPr>
            </w:pPr>
            <w:r>
              <w:rPr>
                <w:color w:val="231F20"/>
                <w:sz w:val="14"/>
              </w:rPr>
              <w:t>наведе и објасни основне</w:t>
            </w:r>
            <w:r>
              <w:rPr>
                <w:color w:val="231F20"/>
                <w:spacing w:val="-2"/>
                <w:sz w:val="14"/>
              </w:rPr>
              <w:t xml:space="preserve"> </w:t>
            </w:r>
            <w:r>
              <w:rPr>
                <w:color w:val="231F20"/>
                <w:sz w:val="14"/>
              </w:rPr>
              <w:t>емоције;</w:t>
            </w:r>
          </w:p>
          <w:p w:rsidR="00041039" w:rsidRDefault="001B26CB">
            <w:pPr>
              <w:pStyle w:val="TableParagraph"/>
              <w:numPr>
                <w:ilvl w:val="0"/>
                <w:numId w:val="912"/>
              </w:numPr>
              <w:tabs>
                <w:tab w:val="left" w:pos="158"/>
              </w:tabs>
              <w:spacing w:line="235" w:lineRule="auto"/>
              <w:ind w:right="188"/>
              <w:rPr>
                <w:sz w:val="14"/>
              </w:rPr>
            </w:pPr>
            <w:r>
              <w:rPr>
                <w:color w:val="231F20"/>
                <w:sz w:val="14"/>
              </w:rPr>
              <w:t>објасни шта су потребе и да их</w:t>
            </w:r>
            <w:r>
              <w:rPr>
                <w:color w:val="231F20"/>
                <w:spacing w:val="-9"/>
                <w:sz w:val="14"/>
              </w:rPr>
              <w:t xml:space="preserve"> </w:t>
            </w:r>
            <w:r>
              <w:rPr>
                <w:color w:val="231F20"/>
                <w:sz w:val="14"/>
              </w:rPr>
              <w:t xml:space="preserve">јасно разликује </w:t>
            </w:r>
            <w:r>
              <w:rPr>
                <w:color w:val="231F20"/>
                <w:spacing w:val="-3"/>
                <w:sz w:val="14"/>
              </w:rPr>
              <w:t>од</w:t>
            </w:r>
            <w:r>
              <w:rPr>
                <w:color w:val="231F20"/>
                <w:sz w:val="14"/>
              </w:rPr>
              <w:t xml:space="preserve"> осећања;</w:t>
            </w:r>
          </w:p>
          <w:p w:rsidR="00041039" w:rsidRDefault="001B26CB">
            <w:pPr>
              <w:pStyle w:val="TableParagraph"/>
              <w:numPr>
                <w:ilvl w:val="0"/>
                <w:numId w:val="912"/>
              </w:numPr>
              <w:tabs>
                <w:tab w:val="left" w:pos="153"/>
              </w:tabs>
              <w:spacing w:line="152" w:lineRule="exact"/>
              <w:ind w:left="152" w:hanging="95"/>
              <w:rPr>
                <w:sz w:val="14"/>
              </w:rPr>
            </w:pPr>
            <w:r>
              <w:rPr>
                <w:color w:val="231F20"/>
                <w:spacing w:val="-3"/>
                <w:sz w:val="14"/>
              </w:rPr>
              <w:t xml:space="preserve">објасни </w:t>
            </w:r>
            <w:r>
              <w:rPr>
                <w:color w:val="231F20"/>
                <w:sz w:val="14"/>
              </w:rPr>
              <w:t xml:space="preserve">шта је </w:t>
            </w:r>
            <w:r>
              <w:rPr>
                <w:color w:val="231F20"/>
                <w:spacing w:val="-3"/>
                <w:sz w:val="14"/>
              </w:rPr>
              <w:t xml:space="preserve">емпатија </w:t>
            </w:r>
            <w:r>
              <w:rPr>
                <w:color w:val="231F20"/>
                <w:sz w:val="14"/>
              </w:rPr>
              <w:t>у</w:t>
            </w:r>
            <w:r>
              <w:rPr>
                <w:color w:val="231F20"/>
                <w:spacing w:val="-19"/>
                <w:sz w:val="14"/>
              </w:rPr>
              <w:t xml:space="preserve"> </w:t>
            </w:r>
            <w:r>
              <w:rPr>
                <w:color w:val="231F20"/>
                <w:spacing w:val="-4"/>
                <w:sz w:val="14"/>
              </w:rPr>
              <w:t>комуникацији;</w:t>
            </w:r>
          </w:p>
          <w:p w:rsidR="00041039" w:rsidRDefault="001B26CB">
            <w:pPr>
              <w:pStyle w:val="TableParagraph"/>
              <w:numPr>
                <w:ilvl w:val="0"/>
                <w:numId w:val="912"/>
              </w:numPr>
              <w:tabs>
                <w:tab w:val="left" w:pos="158"/>
              </w:tabs>
              <w:spacing w:line="235" w:lineRule="auto"/>
              <w:ind w:right="213"/>
              <w:rPr>
                <w:sz w:val="14"/>
              </w:rPr>
            </w:pPr>
            <w:r>
              <w:rPr>
                <w:color w:val="231F20"/>
                <w:sz w:val="14"/>
              </w:rPr>
              <w:t xml:space="preserve">наведе шта су и </w:t>
            </w:r>
            <w:r>
              <w:rPr>
                <w:color w:val="231F20"/>
                <w:spacing w:val="-3"/>
                <w:sz w:val="14"/>
              </w:rPr>
              <w:t xml:space="preserve">како </w:t>
            </w:r>
            <w:r>
              <w:rPr>
                <w:color w:val="231F20"/>
                <w:sz w:val="14"/>
              </w:rPr>
              <w:t>се саопштавају потребе и</w:t>
            </w:r>
            <w:r>
              <w:rPr>
                <w:color w:val="231F20"/>
                <w:spacing w:val="-2"/>
                <w:sz w:val="14"/>
              </w:rPr>
              <w:t xml:space="preserve"> </w:t>
            </w:r>
            <w:r>
              <w:rPr>
                <w:color w:val="231F20"/>
                <w:sz w:val="14"/>
              </w:rPr>
              <w:t>жеље;</w:t>
            </w:r>
          </w:p>
          <w:p w:rsidR="00041039" w:rsidRDefault="001B26CB">
            <w:pPr>
              <w:pStyle w:val="TableParagraph"/>
              <w:numPr>
                <w:ilvl w:val="0"/>
                <w:numId w:val="912"/>
              </w:numPr>
              <w:tabs>
                <w:tab w:val="left" w:pos="158"/>
              </w:tabs>
              <w:spacing w:line="152" w:lineRule="exact"/>
              <w:rPr>
                <w:sz w:val="14"/>
              </w:rPr>
            </w:pPr>
            <w:r>
              <w:rPr>
                <w:color w:val="231F20"/>
                <w:sz w:val="14"/>
              </w:rPr>
              <w:t>примени „ја ­ поруке” на</w:t>
            </w:r>
            <w:r>
              <w:rPr>
                <w:color w:val="231F20"/>
                <w:spacing w:val="-14"/>
                <w:sz w:val="14"/>
              </w:rPr>
              <w:t xml:space="preserve"> </w:t>
            </w:r>
            <w:r>
              <w:rPr>
                <w:color w:val="231F20"/>
                <w:sz w:val="14"/>
              </w:rPr>
              <w:t>примерима;</w:t>
            </w:r>
          </w:p>
          <w:p w:rsidR="00041039" w:rsidRDefault="001B26CB">
            <w:pPr>
              <w:pStyle w:val="TableParagraph"/>
              <w:numPr>
                <w:ilvl w:val="0"/>
                <w:numId w:val="912"/>
              </w:numPr>
              <w:tabs>
                <w:tab w:val="left" w:pos="158"/>
              </w:tabs>
              <w:spacing w:line="158" w:lineRule="exact"/>
              <w:ind w:right="187"/>
              <w:rPr>
                <w:sz w:val="14"/>
              </w:rPr>
            </w:pPr>
            <w:r>
              <w:rPr>
                <w:color w:val="231F20"/>
                <w:sz w:val="14"/>
              </w:rPr>
              <w:t>наведе</w:t>
            </w:r>
            <w:r>
              <w:rPr>
                <w:color w:val="231F20"/>
                <w:spacing w:val="-8"/>
                <w:sz w:val="14"/>
              </w:rPr>
              <w:t xml:space="preserve"> </w:t>
            </w:r>
            <w:r>
              <w:rPr>
                <w:color w:val="231F20"/>
                <w:sz w:val="14"/>
              </w:rPr>
              <w:t>која</w:t>
            </w:r>
            <w:r>
              <w:rPr>
                <w:color w:val="231F20"/>
                <w:spacing w:val="-8"/>
                <w:sz w:val="14"/>
              </w:rPr>
              <w:t xml:space="preserve"> </w:t>
            </w:r>
            <w:r>
              <w:rPr>
                <w:color w:val="231F20"/>
                <w:sz w:val="14"/>
              </w:rPr>
              <w:t>су</w:t>
            </w:r>
            <w:r>
              <w:rPr>
                <w:color w:val="231F20"/>
                <w:spacing w:val="-8"/>
                <w:sz w:val="14"/>
              </w:rPr>
              <w:t xml:space="preserve"> </w:t>
            </w:r>
            <w:r>
              <w:rPr>
                <w:color w:val="231F20"/>
                <w:sz w:val="14"/>
              </w:rPr>
              <w:t>правила</w:t>
            </w:r>
            <w:r>
              <w:rPr>
                <w:color w:val="231F20"/>
                <w:spacing w:val="-9"/>
                <w:sz w:val="14"/>
              </w:rPr>
              <w:t xml:space="preserve"> </w:t>
            </w:r>
            <w:r>
              <w:rPr>
                <w:color w:val="231F20"/>
                <w:sz w:val="14"/>
              </w:rPr>
              <w:t>комуникације („чаробне</w:t>
            </w:r>
            <w:r>
              <w:rPr>
                <w:color w:val="231F20"/>
                <w:spacing w:val="-1"/>
                <w:sz w:val="14"/>
              </w:rPr>
              <w:t xml:space="preserve"> </w:t>
            </w:r>
            <w:r>
              <w:rPr>
                <w:color w:val="231F20"/>
                <w:sz w:val="14"/>
              </w:rPr>
              <w:t>речи”);</w:t>
            </w:r>
          </w:p>
        </w:tc>
        <w:tc>
          <w:tcPr>
            <w:tcW w:w="2834" w:type="dxa"/>
          </w:tcPr>
          <w:p w:rsidR="00041039" w:rsidRDefault="001B26CB">
            <w:pPr>
              <w:pStyle w:val="TableParagraph"/>
              <w:numPr>
                <w:ilvl w:val="0"/>
                <w:numId w:val="911"/>
              </w:numPr>
              <w:tabs>
                <w:tab w:val="left" w:pos="158"/>
              </w:tabs>
              <w:spacing w:before="13" w:line="165" w:lineRule="exact"/>
              <w:rPr>
                <w:sz w:val="14"/>
              </w:rPr>
            </w:pPr>
            <w:r>
              <w:rPr>
                <w:color w:val="231F20"/>
                <w:sz w:val="14"/>
              </w:rPr>
              <w:t>Неопходност учења</w:t>
            </w:r>
            <w:r>
              <w:rPr>
                <w:color w:val="231F20"/>
                <w:spacing w:val="-3"/>
                <w:sz w:val="14"/>
              </w:rPr>
              <w:t xml:space="preserve"> </w:t>
            </w:r>
            <w:r>
              <w:rPr>
                <w:color w:val="231F20"/>
                <w:sz w:val="14"/>
              </w:rPr>
              <w:t>комуникације.</w:t>
            </w:r>
          </w:p>
          <w:p w:rsidR="00041039" w:rsidRDefault="001B26CB">
            <w:pPr>
              <w:pStyle w:val="TableParagraph"/>
              <w:numPr>
                <w:ilvl w:val="0"/>
                <w:numId w:val="911"/>
              </w:numPr>
              <w:tabs>
                <w:tab w:val="left" w:pos="158"/>
              </w:tabs>
              <w:spacing w:line="158" w:lineRule="exact"/>
              <w:rPr>
                <w:sz w:val="14"/>
              </w:rPr>
            </w:pPr>
            <w:r>
              <w:rPr>
                <w:color w:val="231F20"/>
                <w:spacing w:val="-3"/>
                <w:sz w:val="14"/>
              </w:rPr>
              <w:t>Говор</w:t>
            </w:r>
            <w:r>
              <w:rPr>
                <w:color w:val="231F20"/>
                <w:sz w:val="14"/>
              </w:rPr>
              <w:t xml:space="preserve"> тела.</w:t>
            </w:r>
          </w:p>
          <w:p w:rsidR="00041039" w:rsidRDefault="001B26CB">
            <w:pPr>
              <w:pStyle w:val="TableParagraph"/>
              <w:numPr>
                <w:ilvl w:val="0"/>
                <w:numId w:val="911"/>
              </w:numPr>
              <w:tabs>
                <w:tab w:val="left" w:pos="158"/>
              </w:tabs>
              <w:spacing w:line="158" w:lineRule="exact"/>
              <w:rPr>
                <w:sz w:val="14"/>
              </w:rPr>
            </w:pPr>
            <w:r>
              <w:rPr>
                <w:color w:val="231F20"/>
                <w:sz w:val="14"/>
              </w:rPr>
              <w:t>Препреке успешне</w:t>
            </w:r>
            <w:r>
              <w:rPr>
                <w:color w:val="231F20"/>
                <w:spacing w:val="-3"/>
                <w:sz w:val="14"/>
              </w:rPr>
              <w:t xml:space="preserve"> </w:t>
            </w:r>
            <w:r>
              <w:rPr>
                <w:color w:val="231F20"/>
                <w:sz w:val="14"/>
              </w:rPr>
              <w:t>комуникације.</w:t>
            </w:r>
          </w:p>
          <w:p w:rsidR="00041039" w:rsidRDefault="001B26CB">
            <w:pPr>
              <w:pStyle w:val="TableParagraph"/>
              <w:numPr>
                <w:ilvl w:val="0"/>
                <w:numId w:val="911"/>
              </w:numPr>
              <w:tabs>
                <w:tab w:val="left" w:pos="158"/>
              </w:tabs>
              <w:spacing w:line="158" w:lineRule="exact"/>
              <w:rPr>
                <w:sz w:val="14"/>
              </w:rPr>
            </w:pPr>
            <w:r>
              <w:rPr>
                <w:color w:val="231F20"/>
                <w:sz w:val="14"/>
              </w:rPr>
              <w:t>Осећања.</w:t>
            </w:r>
          </w:p>
          <w:p w:rsidR="00041039" w:rsidRDefault="001B26CB">
            <w:pPr>
              <w:pStyle w:val="TableParagraph"/>
              <w:numPr>
                <w:ilvl w:val="0"/>
                <w:numId w:val="911"/>
              </w:numPr>
              <w:tabs>
                <w:tab w:val="left" w:pos="158"/>
              </w:tabs>
              <w:spacing w:line="158" w:lineRule="exact"/>
              <w:rPr>
                <w:sz w:val="14"/>
              </w:rPr>
            </w:pPr>
            <w:r>
              <w:rPr>
                <w:color w:val="231F20"/>
                <w:sz w:val="14"/>
              </w:rPr>
              <w:t>Потребе.</w:t>
            </w:r>
          </w:p>
          <w:p w:rsidR="00041039" w:rsidRDefault="001B26CB">
            <w:pPr>
              <w:pStyle w:val="TableParagraph"/>
              <w:numPr>
                <w:ilvl w:val="0"/>
                <w:numId w:val="911"/>
              </w:numPr>
              <w:tabs>
                <w:tab w:val="left" w:pos="158"/>
              </w:tabs>
              <w:spacing w:line="158" w:lineRule="exact"/>
              <w:rPr>
                <w:sz w:val="14"/>
              </w:rPr>
            </w:pPr>
            <w:r>
              <w:rPr>
                <w:color w:val="231F20"/>
                <w:sz w:val="14"/>
              </w:rPr>
              <w:t>Правила</w:t>
            </w:r>
            <w:r>
              <w:rPr>
                <w:color w:val="231F20"/>
                <w:spacing w:val="-2"/>
                <w:sz w:val="14"/>
              </w:rPr>
              <w:t xml:space="preserve"> </w:t>
            </w:r>
            <w:r>
              <w:rPr>
                <w:color w:val="231F20"/>
                <w:sz w:val="14"/>
              </w:rPr>
              <w:t>комуникације.</w:t>
            </w:r>
          </w:p>
          <w:p w:rsidR="00041039" w:rsidRDefault="001B26CB">
            <w:pPr>
              <w:pStyle w:val="TableParagraph"/>
              <w:numPr>
                <w:ilvl w:val="0"/>
                <w:numId w:val="911"/>
              </w:numPr>
              <w:tabs>
                <w:tab w:val="left" w:pos="158"/>
              </w:tabs>
              <w:spacing w:line="158" w:lineRule="exact"/>
              <w:rPr>
                <w:sz w:val="14"/>
              </w:rPr>
            </w:pPr>
            <w:r>
              <w:rPr>
                <w:color w:val="231F20"/>
                <w:sz w:val="14"/>
              </w:rPr>
              <w:t>Активно</w:t>
            </w:r>
            <w:r>
              <w:rPr>
                <w:color w:val="231F20"/>
                <w:spacing w:val="-1"/>
                <w:sz w:val="14"/>
              </w:rPr>
              <w:t xml:space="preserve"> </w:t>
            </w:r>
            <w:r>
              <w:rPr>
                <w:color w:val="231F20"/>
                <w:sz w:val="14"/>
              </w:rPr>
              <w:t>слушање.</w:t>
            </w:r>
          </w:p>
          <w:p w:rsidR="00041039" w:rsidRDefault="001B26CB">
            <w:pPr>
              <w:pStyle w:val="TableParagraph"/>
              <w:numPr>
                <w:ilvl w:val="0"/>
                <w:numId w:val="911"/>
              </w:numPr>
              <w:tabs>
                <w:tab w:val="left" w:pos="158"/>
              </w:tabs>
              <w:spacing w:line="165" w:lineRule="exact"/>
              <w:rPr>
                <w:sz w:val="14"/>
              </w:rPr>
            </w:pPr>
            <w:r>
              <w:rPr>
                <w:color w:val="231F20"/>
                <w:sz w:val="14"/>
              </w:rPr>
              <w:t>Активан говор (ја ­</w:t>
            </w:r>
            <w:r>
              <w:rPr>
                <w:color w:val="231F20"/>
                <w:spacing w:val="-4"/>
                <w:sz w:val="14"/>
              </w:rPr>
              <w:t xml:space="preserve"> </w:t>
            </w:r>
            <w:r>
              <w:rPr>
                <w:color w:val="231F20"/>
                <w:sz w:val="14"/>
              </w:rPr>
              <w:t>поруке).</w:t>
            </w:r>
          </w:p>
        </w:tc>
        <w:tc>
          <w:tcPr>
            <w:tcW w:w="2267" w:type="dxa"/>
            <w:vMerge/>
            <w:tcBorders>
              <w:top w:val="nil"/>
            </w:tcBorders>
          </w:tcPr>
          <w:p w:rsidR="00041039" w:rsidRDefault="00041039">
            <w:pPr>
              <w:rPr>
                <w:sz w:val="2"/>
                <w:szCs w:val="2"/>
              </w:rPr>
            </w:pPr>
          </w:p>
        </w:tc>
      </w:tr>
      <w:tr w:rsidR="00041039">
        <w:trPr>
          <w:trHeight w:val="674"/>
        </w:trPr>
        <w:tc>
          <w:tcPr>
            <w:tcW w:w="1304" w:type="dxa"/>
          </w:tcPr>
          <w:p w:rsidR="00041039" w:rsidRDefault="001B26CB">
            <w:pPr>
              <w:pStyle w:val="TableParagraph"/>
              <w:spacing w:before="24"/>
              <w:ind w:left="57"/>
              <w:rPr>
                <w:sz w:val="14"/>
              </w:rPr>
            </w:pPr>
            <w:r>
              <w:rPr>
                <w:color w:val="231F20"/>
                <w:sz w:val="14"/>
              </w:rPr>
              <w:t>Стрес и траума</w:t>
            </w:r>
          </w:p>
        </w:tc>
        <w:tc>
          <w:tcPr>
            <w:tcW w:w="1587" w:type="dxa"/>
          </w:tcPr>
          <w:p w:rsidR="00041039" w:rsidRDefault="001B26CB">
            <w:pPr>
              <w:pStyle w:val="TableParagraph"/>
              <w:numPr>
                <w:ilvl w:val="0"/>
                <w:numId w:val="910"/>
              </w:numPr>
              <w:tabs>
                <w:tab w:val="left" w:pos="157"/>
              </w:tabs>
              <w:spacing w:before="28" w:line="158" w:lineRule="exact"/>
              <w:ind w:right="80" w:hanging="99"/>
              <w:rPr>
                <w:sz w:val="14"/>
              </w:rPr>
            </w:pPr>
            <w:r>
              <w:rPr>
                <w:color w:val="231F20"/>
                <w:sz w:val="14"/>
              </w:rPr>
              <w:t>Упознавање са</w:t>
            </w:r>
            <w:r>
              <w:rPr>
                <w:color w:val="231F20"/>
                <w:spacing w:val="-22"/>
                <w:sz w:val="14"/>
              </w:rPr>
              <w:t xml:space="preserve"> </w:t>
            </w:r>
            <w:r>
              <w:rPr>
                <w:color w:val="231F20"/>
                <w:sz w:val="14"/>
              </w:rPr>
              <w:t>појмом стреса и трауме и са техникама превлада­ вања стреса.</w:t>
            </w:r>
          </w:p>
        </w:tc>
        <w:tc>
          <w:tcPr>
            <w:tcW w:w="2551" w:type="dxa"/>
          </w:tcPr>
          <w:p w:rsidR="00041039" w:rsidRDefault="001B26CB">
            <w:pPr>
              <w:pStyle w:val="TableParagraph"/>
              <w:numPr>
                <w:ilvl w:val="0"/>
                <w:numId w:val="909"/>
              </w:numPr>
              <w:tabs>
                <w:tab w:val="left" w:pos="158"/>
              </w:tabs>
              <w:spacing w:before="14" w:line="165" w:lineRule="exact"/>
              <w:rPr>
                <w:sz w:val="14"/>
              </w:rPr>
            </w:pPr>
            <w:r>
              <w:rPr>
                <w:color w:val="231F20"/>
                <w:sz w:val="14"/>
              </w:rPr>
              <w:t>објасни шта је стрес и</w:t>
            </w:r>
            <w:r>
              <w:rPr>
                <w:color w:val="231F20"/>
                <w:spacing w:val="-3"/>
                <w:sz w:val="14"/>
              </w:rPr>
              <w:t xml:space="preserve"> </w:t>
            </w:r>
            <w:r>
              <w:rPr>
                <w:color w:val="231F20"/>
                <w:sz w:val="14"/>
              </w:rPr>
              <w:t>траума;</w:t>
            </w:r>
          </w:p>
          <w:p w:rsidR="00041039" w:rsidRDefault="001B26CB">
            <w:pPr>
              <w:pStyle w:val="TableParagraph"/>
              <w:numPr>
                <w:ilvl w:val="0"/>
                <w:numId w:val="909"/>
              </w:numPr>
              <w:tabs>
                <w:tab w:val="left" w:pos="158"/>
              </w:tabs>
              <w:spacing w:line="165" w:lineRule="exact"/>
              <w:rPr>
                <w:sz w:val="14"/>
              </w:rPr>
            </w:pPr>
            <w:r>
              <w:rPr>
                <w:color w:val="231F20"/>
                <w:sz w:val="14"/>
              </w:rPr>
              <w:t>наведе технике превладавања</w:t>
            </w:r>
            <w:r>
              <w:rPr>
                <w:color w:val="231F20"/>
                <w:spacing w:val="-7"/>
                <w:sz w:val="14"/>
              </w:rPr>
              <w:t xml:space="preserve"> </w:t>
            </w:r>
            <w:r>
              <w:rPr>
                <w:color w:val="231F20"/>
                <w:sz w:val="14"/>
              </w:rPr>
              <w:t>стреса;</w:t>
            </w:r>
          </w:p>
        </w:tc>
        <w:tc>
          <w:tcPr>
            <w:tcW w:w="2834" w:type="dxa"/>
          </w:tcPr>
          <w:p w:rsidR="00041039" w:rsidRDefault="001B26CB">
            <w:pPr>
              <w:pStyle w:val="TableParagraph"/>
              <w:numPr>
                <w:ilvl w:val="0"/>
                <w:numId w:val="908"/>
              </w:numPr>
              <w:tabs>
                <w:tab w:val="left" w:pos="158"/>
              </w:tabs>
              <w:spacing w:before="14" w:line="165" w:lineRule="exact"/>
              <w:ind w:hanging="99"/>
              <w:rPr>
                <w:sz w:val="14"/>
              </w:rPr>
            </w:pPr>
            <w:r>
              <w:rPr>
                <w:color w:val="231F20"/>
                <w:sz w:val="14"/>
              </w:rPr>
              <w:t>Стрес и</w:t>
            </w:r>
            <w:r>
              <w:rPr>
                <w:color w:val="231F20"/>
                <w:spacing w:val="-2"/>
                <w:sz w:val="14"/>
              </w:rPr>
              <w:t xml:space="preserve"> </w:t>
            </w:r>
            <w:r>
              <w:rPr>
                <w:color w:val="231F20"/>
                <w:sz w:val="14"/>
              </w:rPr>
              <w:t>траума.</w:t>
            </w:r>
          </w:p>
          <w:p w:rsidR="00041039" w:rsidRDefault="001B26CB">
            <w:pPr>
              <w:pStyle w:val="TableParagraph"/>
              <w:numPr>
                <w:ilvl w:val="0"/>
                <w:numId w:val="908"/>
              </w:numPr>
              <w:tabs>
                <w:tab w:val="left" w:pos="158"/>
              </w:tabs>
              <w:spacing w:line="165" w:lineRule="exact"/>
              <w:ind w:hanging="99"/>
              <w:rPr>
                <w:sz w:val="14"/>
              </w:rPr>
            </w:pPr>
            <w:r>
              <w:rPr>
                <w:color w:val="231F20"/>
                <w:sz w:val="14"/>
              </w:rPr>
              <w:t>Технике превладавања</w:t>
            </w:r>
            <w:r>
              <w:rPr>
                <w:color w:val="231F20"/>
                <w:spacing w:val="-2"/>
                <w:sz w:val="14"/>
              </w:rPr>
              <w:t xml:space="preserve"> </w:t>
            </w:r>
            <w:r>
              <w:rPr>
                <w:color w:val="231F20"/>
                <w:sz w:val="14"/>
              </w:rPr>
              <w:t>стреса.</w:t>
            </w:r>
          </w:p>
        </w:tc>
        <w:tc>
          <w:tcPr>
            <w:tcW w:w="2267" w:type="dxa"/>
            <w:vMerge/>
            <w:tcBorders>
              <w:top w:val="nil"/>
            </w:tcBorders>
          </w:tcPr>
          <w:p w:rsidR="00041039" w:rsidRDefault="00041039">
            <w:pPr>
              <w:rPr>
                <w:sz w:val="2"/>
                <w:szCs w:val="2"/>
              </w:rPr>
            </w:pPr>
          </w:p>
        </w:tc>
      </w:tr>
      <w:tr w:rsidR="00041039">
        <w:trPr>
          <w:trHeight w:val="2728"/>
        </w:trPr>
        <w:tc>
          <w:tcPr>
            <w:tcW w:w="1304" w:type="dxa"/>
          </w:tcPr>
          <w:p w:rsidR="00041039" w:rsidRDefault="001B26CB">
            <w:pPr>
              <w:pStyle w:val="TableParagraph"/>
              <w:spacing w:before="26" w:line="235" w:lineRule="auto"/>
              <w:ind w:left="57" w:right="37"/>
              <w:rPr>
                <w:sz w:val="14"/>
              </w:rPr>
            </w:pPr>
            <w:r>
              <w:rPr>
                <w:color w:val="231F20"/>
                <w:sz w:val="14"/>
              </w:rPr>
              <w:t>Психолошки проблеми</w:t>
            </w:r>
          </w:p>
        </w:tc>
        <w:tc>
          <w:tcPr>
            <w:tcW w:w="1587" w:type="dxa"/>
          </w:tcPr>
          <w:p w:rsidR="00041039" w:rsidRDefault="001B26CB">
            <w:pPr>
              <w:pStyle w:val="TableParagraph"/>
              <w:numPr>
                <w:ilvl w:val="0"/>
                <w:numId w:val="907"/>
              </w:numPr>
              <w:tabs>
                <w:tab w:val="left" w:pos="157"/>
              </w:tabs>
              <w:spacing w:before="17" w:line="235" w:lineRule="auto"/>
              <w:ind w:right="94" w:hanging="99"/>
              <w:rPr>
                <w:sz w:val="14"/>
              </w:rPr>
            </w:pPr>
            <w:r>
              <w:rPr>
                <w:color w:val="231F20"/>
                <w:sz w:val="14"/>
              </w:rPr>
              <w:t>Упознавање са најчешћим</w:t>
            </w:r>
            <w:r>
              <w:rPr>
                <w:color w:val="231F20"/>
                <w:spacing w:val="-16"/>
                <w:sz w:val="14"/>
              </w:rPr>
              <w:t xml:space="preserve"> </w:t>
            </w:r>
            <w:r>
              <w:rPr>
                <w:color w:val="231F20"/>
                <w:sz w:val="14"/>
              </w:rPr>
              <w:t xml:space="preserve">психолош­ ким проблемима у адолесценцији и </w:t>
            </w:r>
            <w:r>
              <w:rPr>
                <w:color w:val="231F20"/>
                <w:spacing w:val="-3"/>
                <w:sz w:val="14"/>
              </w:rPr>
              <w:t xml:space="preserve">како </w:t>
            </w:r>
            <w:r>
              <w:rPr>
                <w:color w:val="231F20"/>
                <w:sz w:val="14"/>
              </w:rPr>
              <w:t>их</w:t>
            </w:r>
            <w:r>
              <w:rPr>
                <w:color w:val="231F20"/>
                <w:spacing w:val="-2"/>
                <w:sz w:val="14"/>
              </w:rPr>
              <w:t xml:space="preserve"> </w:t>
            </w:r>
            <w:r>
              <w:rPr>
                <w:color w:val="231F20"/>
                <w:sz w:val="14"/>
              </w:rPr>
              <w:t>превазићи.</w:t>
            </w:r>
          </w:p>
        </w:tc>
        <w:tc>
          <w:tcPr>
            <w:tcW w:w="2551" w:type="dxa"/>
          </w:tcPr>
          <w:p w:rsidR="00041039" w:rsidRDefault="001B26CB">
            <w:pPr>
              <w:pStyle w:val="TableParagraph"/>
              <w:numPr>
                <w:ilvl w:val="0"/>
                <w:numId w:val="906"/>
              </w:numPr>
              <w:tabs>
                <w:tab w:val="left" w:pos="158"/>
              </w:tabs>
              <w:spacing w:before="17" w:line="235" w:lineRule="auto"/>
              <w:ind w:right="291"/>
              <w:rPr>
                <w:sz w:val="14"/>
              </w:rPr>
            </w:pPr>
            <w:r>
              <w:rPr>
                <w:color w:val="231F20"/>
                <w:sz w:val="14"/>
              </w:rPr>
              <w:t>објасни шта је и које су врсте</w:t>
            </w:r>
            <w:r>
              <w:rPr>
                <w:color w:val="231F20"/>
                <w:spacing w:val="-16"/>
                <w:sz w:val="14"/>
              </w:rPr>
              <w:t xml:space="preserve"> </w:t>
            </w:r>
            <w:r>
              <w:rPr>
                <w:color w:val="231F20"/>
                <w:sz w:val="14"/>
              </w:rPr>
              <w:t>агре­ сивности;</w:t>
            </w:r>
          </w:p>
          <w:p w:rsidR="00041039" w:rsidRDefault="001B26CB">
            <w:pPr>
              <w:pStyle w:val="TableParagraph"/>
              <w:numPr>
                <w:ilvl w:val="0"/>
                <w:numId w:val="906"/>
              </w:numPr>
              <w:tabs>
                <w:tab w:val="left" w:pos="158"/>
              </w:tabs>
              <w:spacing w:before="2" w:line="158" w:lineRule="exact"/>
              <w:ind w:right="135"/>
              <w:rPr>
                <w:sz w:val="14"/>
              </w:rPr>
            </w:pPr>
            <w:r>
              <w:rPr>
                <w:color w:val="231F20"/>
                <w:sz w:val="14"/>
              </w:rPr>
              <w:t>објасни који су узроци и последице депресије, као и механизме</w:t>
            </w:r>
            <w:r>
              <w:rPr>
                <w:color w:val="231F20"/>
                <w:spacing w:val="-16"/>
                <w:sz w:val="14"/>
              </w:rPr>
              <w:t xml:space="preserve"> </w:t>
            </w:r>
            <w:r>
              <w:rPr>
                <w:color w:val="231F20"/>
                <w:sz w:val="14"/>
              </w:rPr>
              <w:t>превлада­ вања депресије;</w:t>
            </w:r>
          </w:p>
          <w:p w:rsidR="00041039" w:rsidRDefault="001B26CB">
            <w:pPr>
              <w:pStyle w:val="TableParagraph"/>
              <w:numPr>
                <w:ilvl w:val="0"/>
                <w:numId w:val="906"/>
              </w:numPr>
              <w:tabs>
                <w:tab w:val="left" w:pos="158"/>
              </w:tabs>
              <w:spacing w:line="158" w:lineRule="exact"/>
              <w:ind w:right="246"/>
              <w:rPr>
                <w:sz w:val="14"/>
              </w:rPr>
            </w:pPr>
            <w:r>
              <w:rPr>
                <w:color w:val="231F20"/>
                <w:sz w:val="14"/>
              </w:rPr>
              <w:t>објасни шта је комплекс ниже</w:t>
            </w:r>
            <w:r>
              <w:rPr>
                <w:color w:val="231F20"/>
                <w:spacing w:val="-22"/>
                <w:sz w:val="14"/>
              </w:rPr>
              <w:t xml:space="preserve"> </w:t>
            </w:r>
            <w:r>
              <w:rPr>
                <w:color w:val="231F20"/>
                <w:sz w:val="14"/>
              </w:rPr>
              <w:t>вред­ ности и начине постизања</w:t>
            </w:r>
            <w:r>
              <w:rPr>
                <w:color w:val="231F20"/>
                <w:sz w:val="14"/>
              </w:rPr>
              <w:t xml:space="preserve"> самопо­ уздања;</w:t>
            </w:r>
          </w:p>
          <w:p w:rsidR="00041039" w:rsidRDefault="001B26CB">
            <w:pPr>
              <w:pStyle w:val="TableParagraph"/>
              <w:numPr>
                <w:ilvl w:val="0"/>
                <w:numId w:val="906"/>
              </w:numPr>
              <w:tabs>
                <w:tab w:val="left" w:pos="158"/>
              </w:tabs>
              <w:spacing w:line="158" w:lineRule="exact"/>
              <w:ind w:right="107"/>
              <w:rPr>
                <w:sz w:val="14"/>
              </w:rPr>
            </w:pPr>
            <w:r>
              <w:rPr>
                <w:color w:val="231F20"/>
                <w:sz w:val="14"/>
              </w:rPr>
              <w:t>наведе и објасни најчешће</w:t>
            </w:r>
            <w:r>
              <w:rPr>
                <w:color w:val="231F20"/>
                <w:spacing w:val="-21"/>
                <w:sz w:val="14"/>
              </w:rPr>
              <w:t xml:space="preserve"> </w:t>
            </w:r>
            <w:r>
              <w:rPr>
                <w:color w:val="231F20"/>
                <w:sz w:val="14"/>
              </w:rPr>
              <w:t>поремећаје исхране у</w:t>
            </w:r>
            <w:r>
              <w:rPr>
                <w:color w:val="231F20"/>
                <w:spacing w:val="-1"/>
                <w:sz w:val="14"/>
              </w:rPr>
              <w:t xml:space="preserve"> </w:t>
            </w:r>
            <w:r>
              <w:rPr>
                <w:color w:val="231F20"/>
                <w:sz w:val="14"/>
              </w:rPr>
              <w:t>адолесценцији;</w:t>
            </w:r>
          </w:p>
          <w:p w:rsidR="00041039" w:rsidRDefault="001B26CB">
            <w:pPr>
              <w:pStyle w:val="TableParagraph"/>
              <w:numPr>
                <w:ilvl w:val="0"/>
                <w:numId w:val="906"/>
              </w:numPr>
              <w:tabs>
                <w:tab w:val="left" w:pos="158"/>
              </w:tabs>
              <w:spacing w:line="151" w:lineRule="exact"/>
              <w:rPr>
                <w:sz w:val="14"/>
              </w:rPr>
            </w:pPr>
            <w:r>
              <w:rPr>
                <w:color w:val="231F20"/>
                <w:sz w:val="14"/>
              </w:rPr>
              <w:t>објасни врсте зависности и</w:t>
            </w:r>
            <w:r>
              <w:rPr>
                <w:color w:val="231F20"/>
                <w:spacing w:val="-7"/>
                <w:sz w:val="14"/>
              </w:rPr>
              <w:t xml:space="preserve"> </w:t>
            </w:r>
            <w:r>
              <w:rPr>
                <w:color w:val="231F20"/>
                <w:sz w:val="14"/>
              </w:rPr>
              <w:t>последице;</w:t>
            </w:r>
          </w:p>
          <w:p w:rsidR="00041039" w:rsidRDefault="001B26CB">
            <w:pPr>
              <w:pStyle w:val="TableParagraph"/>
              <w:numPr>
                <w:ilvl w:val="0"/>
                <w:numId w:val="906"/>
              </w:numPr>
              <w:tabs>
                <w:tab w:val="left" w:pos="158"/>
              </w:tabs>
              <w:spacing w:line="235" w:lineRule="auto"/>
              <w:ind w:right="120"/>
              <w:rPr>
                <w:sz w:val="14"/>
              </w:rPr>
            </w:pPr>
            <w:r>
              <w:rPr>
                <w:color w:val="231F20"/>
                <w:sz w:val="14"/>
              </w:rPr>
              <w:t>наведе врсте злостављања, последице и стратегије</w:t>
            </w:r>
            <w:r>
              <w:rPr>
                <w:color w:val="231F20"/>
                <w:spacing w:val="-3"/>
                <w:sz w:val="14"/>
              </w:rPr>
              <w:t xml:space="preserve"> </w:t>
            </w:r>
            <w:r>
              <w:rPr>
                <w:color w:val="231F20"/>
                <w:sz w:val="14"/>
              </w:rPr>
              <w:t>суочавања;</w:t>
            </w:r>
          </w:p>
          <w:p w:rsidR="00041039" w:rsidRDefault="001B26CB">
            <w:pPr>
              <w:pStyle w:val="TableParagraph"/>
              <w:numPr>
                <w:ilvl w:val="0"/>
                <w:numId w:val="906"/>
              </w:numPr>
              <w:tabs>
                <w:tab w:val="left" w:pos="158"/>
              </w:tabs>
              <w:spacing w:line="158" w:lineRule="exact"/>
              <w:ind w:right="292"/>
              <w:rPr>
                <w:sz w:val="14"/>
              </w:rPr>
            </w:pPr>
            <w:r>
              <w:rPr>
                <w:color w:val="231F20"/>
                <w:sz w:val="14"/>
              </w:rPr>
              <w:t>наведе реакције на губитак</w:t>
            </w:r>
            <w:r>
              <w:rPr>
                <w:color w:val="231F20"/>
                <w:spacing w:val="-10"/>
                <w:sz w:val="14"/>
              </w:rPr>
              <w:t xml:space="preserve"> </w:t>
            </w:r>
            <w:r>
              <w:rPr>
                <w:color w:val="231F20"/>
                <w:sz w:val="14"/>
              </w:rPr>
              <w:t>вољене особе и стратегије</w:t>
            </w:r>
            <w:r>
              <w:rPr>
                <w:color w:val="231F20"/>
                <w:spacing w:val="-6"/>
                <w:sz w:val="14"/>
              </w:rPr>
              <w:t xml:space="preserve"> </w:t>
            </w:r>
            <w:r>
              <w:rPr>
                <w:color w:val="231F20"/>
                <w:sz w:val="14"/>
              </w:rPr>
              <w:t>суочавања;</w:t>
            </w:r>
          </w:p>
          <w:p w:rsidR="00041039" w:rsidRDefault="001B26CB">
            <w:pPr>
              <w:pStyle w:val="TableParagraph"/>
              <w:numPr>
                <w:ilvl w:val="0"/>
                <w:numId w:val="906"/>
              </w:numPr>
              <w:tabs>
                <w:tab w:val="left" w:pos="158"/>
              </w:tabs>
              <w:spacing w:line="158" w:lineRule="exact"/>
              <w:ind w:right="44"/>
              <w:rPr>
                <w:sz w:val="14"/>
              </w:rPr>
            </w:pPr>
            <w:r>
              <w:rPr>
                <w:color w:val="231F20"/>
                <w:sz w:val="14"/>
              </w:rPr>
              <w:t>наведе и објасни поремећаје</w:t>
            </w:r>
            <w:r>
              <w:rPr>
                <w:color w:val="231F20"/>
                <w:spacing w:val="-23"/>
                <w:sz w:val="14"/>
              </w:rPr>
              <w:t xml:space="preserve"> </w:t>
            </w:r>
            <w:r>
              <w:rPr>
                <w:color w:val="231F20"/>
                <w:sz w:val="14"/>
              </w:rPr>
              <w:t>понашања (лаж, крађа,</w:t>
            </w:r>
            <w:r>
              <w:rPr>
                <w:color w:val="231F20"/>
                <w:spacing w:val="-1"/>
                <w:sz w:val="14"/>
              </w:rPr>
              <w:t xml:space="preserve"> </w:t>
            </w:r>
            <w:r>
              <w:rPr>
                <w:color w:val="231F20"/>
                <w:sz w:val="14"/>
              </w:rPr>
              <w:t>деликвенција);</w:t>
            </w:r>
          </w:p>
        </w:tc>
        <w:tc>
          <w:tcPr>
            <w:tcW w:w="2834" w:type="dxa"/>
          </w:tcPr>
          <w:p w:rsidR="00041039" w:rsidRDefault="001B26CB">
            <w:pPr>
              <w:pStyle w:val="TableParagraph"/>
              <w:numPr>
                <w:ilvl w:val="0"/>
                <w:numId w:val="905"/>
              </w:numPr>
              <w:tabs>
                <w:tab w:val="left" w:pos="158"/>
              </w:tabs>
              <w:spacing w:before="15" w:line="165" w:lineRule="exact"/>
              <w:ind w:hanging="99"/>
              <w:rPr>
                <w:sz w:val="14"/>
              </w:rPr>
            </w:pPr>
            <w:r>
              <w:rPr>
                <w:color w:val="231F20"/>
                <w:sz w:val="14"/>
              </w:rPr>
              <w:t>Агресивност.</w:t>
            </w:r>
          </w:p>
          <w:p w:rsidR="00041039" w:rsidRDefault="001B26CB">
            <w:pPr>
              <w:pStyle w:val="TableParagraph"/>
              <w:numPr>
                <w:ilvl w:val="0"/>
                <w:numId w:val="905"/>
              </w:numPr>
              <w:tabs>
                <w:tab w:val="left" w:pos="158"/>
              </w:tabs>
              <w:spacing w:line="158" w:lineRule="exact"/>
              <w:ind w:hanging="99"/>
              <w:rPr>
                <w:sz w:val="14"/>
              </w:rPr>
            </w:pPr>
            <w:r>
              <w:rPr>
                <w:color w:val="231F20"/>
                <w:sz w:val="14"/>
              </w:rPr>
              <w:t>Депресија.</w:t>
            </w:r>
          </w:p>
          <w:p w:rsidR="00041039" w:rsidRDefault="001B26CB">
            <w:pPr>
              <w:pStyle w:val="TableParagraph"/>
              <w:numPr>
                <w:ilvl w:val="0"/>
                <w:numId w:val="905"/>
              </w:numPr>
              <w:tabs>
                <w:tab w:val="left" w:pos="158"/>
              </w:tabs>
              <w:spacing w:line="158" w:lineRule="exact"/>
              <w:ind w:hanging="99"/>
              <w:rPr>
                <w:sz w:val="14"/>
              </w:rPr>
            </w:pPr>
            <w:r>
              <w:rPr>
                <w:color w:val="231F20"/>
                <w:sz w:val="14"/>
              </w:rPr>
              <w:t>Комплекс ниже</w:t>
            </w:r>
            <w:r>
              <w:rPr>
                <w:color w:val="231F20"/>
                <w:spacing w:val="-2"/>
                <w:sz w:val="14"/>
              </w:rPr>
              <w:t xml:space="preserve"> </w:t>
            </w:r>
            <w:r>
              <w:rPr>
                <w:color w:val="231F20"/>
                <w:sz w:val="14"/>
              </w:rPr>
              <w:t>вредности.</w:t>
            </w:r>
          </w:p>
          <w:p w:rsidR="00041039" w:rsidRDefault="001B26CB">
            <w:pPr>
              <w:pStyle w:val="TableParagraph"/>
              <w:numPr>
                <w:ilvl w:val="0"/>
                <w:numId w:val="905"/>
              </w:numPr>
              <w:tabs>
                <w:tab w:val="left" w:pos="158"/>
              </w:tabs>
              <w:spacing w:line="158" w:lineRule="exact"/>
              <w:ind w:hanging="99"/>
              <w:rPr>
                <w:sz w:val="14"/>
              </w:rPr>
            </w:pPr>
            <w:r>
              <w:rPr>
                <w:color w:val="231F20"/>
                <w:sz w:val="14"/>
              </w:rPr>
              <w:t>Поремећаји</w:t>
            </w:r>
            <w:r>
              <w:rPr>
                <w:color w:val="231F20"/>
                <w:spacing w:val="-2"/>
                <w:sz w:val="14"/>
              </w:rPr>
              <w:t xml:space="preserve"> </w:t>
            </w:r>
            <w:r>
              <w:rPr>
                <w:color w:val="231F20"/>
                <w:sz w:val="14"/>
              </w:rPr>
              <w:t>исхране.</w:t>
            </w:r>
          </w:p>
          <w:p w:rsidR="00041039" w:rsidRDefault="001B26CB">
            <w:pPr>
              <w:pStyle w:val="TableParagraph"/>
              <w:numPr>
                <w:ilvl w:val="0"/>
                <w:numId w:val="905"/>
              </w:numPr>
              <w:tabs>
                <w:tab w:val="left" w:pos="158"/>
              </w:tabs>
              <w:spacing w:line="158" w:lineRule="exact"/>
              <w:ind w:hanging="99"/>
              <w:rPr>
                <w:sz w:val="14"/>
              </w:rPr>
            </w:pPr>
            <w:r>
              <w:rPr>
                <w:color w:val="231F20"/>
                <w:sz w:val="14"/>
              </w:rPr>
              <w:t>Зависност.</w:t>
            </w:r>
          </w:p>
          <w:p w:rsidR="00041039" w:rsidRDefault="001B26CB">
            <w:pPr>
              <w:pStyle w:val="TableParagraph"/>
              <w:numPr>
                <w:ilvl w:val="0"/>
                <w:numId w:val="905"/>
              </w:numPr>
              <w:tabs>
                <w:tab w:val="left" w:pos="158"/>
              </w:tabs>
              <w:spacing w:line="158" w:lineRule="exact"/>
              <w:ind w:hanging="99"/>
              <w:rPr>
                <w:sz w:val="14"/>
              </w:rPr>
            </w:pPr>
            <w:r>
              <w:rPr>
                <w:color w:val="231F20"/>
                <w:sz w:val="14"/>
              </w:rPr>
              <w:t>Злостављање.</w:t>
            </w:r>
          </w:p>
          <w:p w:rsidR="00041039" w:rsidRDefault="001B26CB">
            <w:pPr>
              <w:pStyle w:val="TableParagraph"/>
              <w:numPr>
                <w:ilvl w:val="0"/>
                <w:numId w:val="905"/>
              </w:numPr>
              <w:tabs>
                <w:tab w:val="left" w:pos="158"/>
              </w:tabs>
              <w:spacing w:line="158" w:lineRule="exact"/>
              <w:ind w:hanging="99"/>
              <w:rPr>
                <w:sz w:val="14"/>
              </w:rPr>
            </w:pPr>
            <w:r>
              <w:rPr>
                <w:color w:val="231F20"/>
                <w:sz w:val="14"/>
              </w:rPr>
              <w:t>Губитак вољене</w:t>
            </w:r>
            <w:r>
              <w:rPr>
                <w:color w:val="231F20"/>
                <w:spacing w:val="-8"/>
                <w:sz w:val="14"/>
              </w:rPr>
              <w:t xml:space="preserve"> </w:t>
            </w:r>
            <w:r>
              <w:rPr>
                <w:color w:val="231F20"/>
                <w:sz w:val="14"/>
              </w:rPr>
              <w:t>особе.</w:t>
            </w:r>
          </w:p>
          <w:p w:rsidR="00041039" w:rsidRDefault="001B26CB">
            <w:pPr>
              <w:pStyle w:val="TableParagraph"/>
              <w:numPr>
                <w:ilvl w:val="0"/>
                <w:numId w:val="905"/>
              </w:numPr>
              <w:tabs>
                <w:tab w:val="left" w:pos="158"/>
              </w:tabs>
              <w:spacing w:line="165" w:lineRule="exact"/>
              <w:ind w:hanging="99"/>
              <w:rPr>
                <w:sz w:val="14"/>
              </w:rPr>
            </w:pPr>
            <w:r>
              <w:rPr>
                <w:color w:val="231F20"/>
                <w:sz w:val="14"/>
              </w:rPr>
              <w:t>Поремећаји</w:t>
            </w:r>
            <w:r>
              <w:rPr>
                <w:color w:val="231F20"/>
                <w:spacing w:val="-19"/>
                <w:sz w:val="14"/>
              </w:rPr>
              <w:t xml:space="preserve"> </w:t>
            </w:r>
            <w:r>
              <w:rPr>
                <w:color w:val="231F20"/>
                <w:sz w:val="14"/>
              </w:rPr>
              <w:t>понашања.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Историја</w:t>
      </w:r>
    </w:p>
    <w:p w:rsidR="00041039" w:rsidRDefault="001B26CB">
      <w:pPr>
        <w:pStyle w:val="ListParagraph"/>
        <w:numPr>
          <w:ilvl w:val="1"/>
          <w:numId w:val="976"/>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1"/>
          <w:numId w:val="976"/>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1"/>
          <w:numId w:val="976"/>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ListParagraph"/>
        <w:numPr>
          <w:ilvl w:val="1"/>
          <w:numId w:val="976"/>
        </w:numPr>
        <w:tabs>
          <w:tab w:val="left" w:pos="633"/>
        </w:tabs>
        <w:spacing w:before="63" w:line="240" w:lineRule="auto"/>
        <w:rPr>
          <w:sz w:val="18"/>
        </w:rPr>
      </w:pPr>
      <w:r>
        <w:rPr>
          <w:color w:val="231F20"/>
          <w:spacing w:val="-3"/>
          <w:sz w:val="18"/>
        </w:rPr>
        <w:lastRenderedPageBreak/>
        <w:t>Људски</w:t>
      </w:r>
      <w:r>
        <w:rPr>
          <w:color w:val="231F20"/>
          <w:spacing w:val="-1"/>
          <w:sz w:val="18"/>
        </w:rPr>
        <w:t xml:space="preserve"> </w:t>
      </w:r>
      <w:r>
        <w:rPr>
          <w:color w:val="231F20"/>
          <w:sz w:val="18"/>
        </w:rPr>
        <w:t>фактор</w:t>
      </w:r>
    </w:p>
    <w:p w:rsidR="00041039" w:rsidRDefault="001B26CB">
      <w:pPr>
        <w:tabs>
          <w:tab w:val="left" w:pos="1460"/>
        </w:tabs>
        <w:spacing w:before="64" w:line="314" w:lineRule="auto"/>
        <w:ind w:left="157" w:right="8707"/>
        <w:jc w:val="both"/>
        <w:rPr>
          <w:b/>
          <w:sz w:val="14"/>
        </w:rPr>
      </w:pPr>
      <w:r>
        <w:rPr>
          <w:color w:val="231F20"/>
          <w:sz w:val="14"/>
        </w:rPr>
        <w:t xml:space="preserve">Назив предмета: </w:t>
      </w:r>
      <w:r>
        <w:rPr>
          <w:b/>
          <w:color w:val="231F20"/>
          <w:sz w:val="14"/>
        </w:rPr>
        <w:t xml:space="preserve">ФИЗИКА </w:t>
      </w:r>
      <w:r>
        <w:rPr>
          <w:color w:val="231F20"/>
          <w:spacing w:val="-3"/>
          <w:sz w:val="14"/>
        </w:rPr>
        <w:t xml:space="preserve">Годишњи </w:t>
      </w:r>
      <w:r>
        <w:rPr>
          <w:color w:val="231F20"/>
          <w:sz w:val="14"/>
        </w:rPr>
        <w:t xml:space="preserve">фонд: </w:t>
      </w:r>
      <w:r>
        <w:rPr>
          <w:b/>
          <w:color w:val="231F20"/>
          <w:sz w:val="14"/>
        </w:rPr>
        <w:t xml:space="preserve">70 часова </w:t>
      </w:r>
      <w:r>
        <w:rPr>
          <w:color w:val="231F20"/>
          <w:sz w:val="14"/>
        </w:rPr>
        <w:t>Разред:</w:t>
      </w:r>
      <w:r>
        <w:rPr>
          <w:color w:val="231F20"/>
          <w:sz w:val="14"/>
        </w:rPr>
        <w:tab/>
      </w:r>
      <w:r>
        <w:rPr>
          <w:b/>
          <w:color w:val="231F20"/>
          <w:sz w:val="14"/>
        </w:rPr>
        <w:t>трећи</w:t>
      </w:r>
    </w:p>
    <w:p w:rsidR="00041039" w:rsidRDefault="00041039">
      <w:pPr>
        <w:pStyle w:val="BodyText"/>
        <w:spacing w:before="2"/>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Pr>
                <w:sz w:val="14"/>
              </w:rPr>
            </w:pPr>
            <w:r>
              <w:rPr>
                <w:color w:val="231F20"/>
                <w:sz w:val="14"/>
              </w:rPr>
              <w:t>Закони одржања</w:t>
            </w:r>
          </w:p>
        </w:tc>
        <w:tc>
          <w:tcPr>
            <w:tcW w:w="1587" w:type="dxa"/>
          </w:tcPr>
          <w:p w:rsidR="00041039" w:rsidRDefault="001B26CB">
            <w:pPr>
              <w:pStyle w:val="TableParagraph"/>
              <w:numPr>
                <w:ilvl w:val="0"/>
                <w:numId w:val="904"/>
              </w:numPr>
              <w:tabs>
                <w:tab w:val="left" w:pos="157"/>
              </w:tabs>
              <w:spacing w:before="8"/>
              <w:ind w:right="44"/>
              <w:rPr>
                <w:sz w:val="14"/>
              </w:rPr>
            </w:pPr>
            <w:r>
              <w:rPr>
                <w:color w:val="231F20"/>
                <w:sz w:val="14"/>
              </w:rPr>
              <w:t>Стицање представе о универзалности</w:t>
            </w:r>
            <w:r>
              <w:rPr>
                <w:color w:val="231F20"/>
                <w:spacing w:val="-7"/>
                <w:sz w:val="14"/>
              </w:rPr>
              <w:t xml:space="preserve"> </w:t>
            </w:r>
            <w:r>
              <w:rPr>
                <w:color w:val="231F20"/>
                <w:sz w:val="14"/>
              </w:rPr>
              <w:t>закона одржања и њиховом значају у природним наукама.</w:t>
            </w:r>
          </w:p>
        </w:tc>
        <w:tc>
          <w:tcPr>
            <w:tcW w:w="2551" w:type="dxa"/>
          </w:tcPr>
          <w:p w:rsidR="00041039" w:rsidRDefault="001B26CB">
            <w:pPr>
              <w:pStyle w:val="TableParagraph"/>
              <w:numPr>
                <w:ilvl w:val="0"/>
                <w:numId w:val="903"/>
              </w:numPr>
              <w:tabs>
                <w:tab w:val="left" w:pos="157"/>
              </w:tabs>
              <w:spacing w:before="8"/>
              <w:ind w:right="151" w:hanging="99"/>
              <w:rPr>
                <w:sz w:val="14"/>
              </w:rPr>
            </w:pPr>
            <w:r>
              <w:rPr>
                <w:color w:val="231F20"/>
                <w:sz w:val="14"/>
              </w:rPr>
              <w:t>формулише</w:t>
            </w:r>
            <w:r>
              <w:rPr>
                <w:color w:val="231F20"/>
                <w:spacing w:val="-11"/>
                <w:sz w:val="14"/>
              </w:rPr>
              <w:t xml:space="preserve"> </w:t>
            </w:r>
            <w:r>
              <w:rPr>
                <w:color w:val="231F20"/>
                <w:sz w:val="14"/>
              </w:rPr>
              <w:t>законе</w:t>
            </w:r>
            <w:r>
              <w:rPr>
                <w:color w:val="231F20"/>
                <w:spacing w:val="-10"/>
                <w:sz w:val="14"/>
              </w:rPr>
              <w:t xml:space="preserve"> </w:t>
            </w:r>
            <w:r>
              <w:rPr>
                <w:color w:val="231F20"/>
                <w:sz w:val="14"/>
              </w:rPr>
              <w:t>одржања</w:t>
            </w:r>
            <w:r>
              <w:rPr>
                <w:color w:val="231F20"/>
                <w:spacing w:val="-10"/>
                <w:sz w:val="14"/>
              </w:rPr>
              <w:t xml:space="preserve"> </w:t>
            </w:r>
            <w:r>
              <w:rPr>
                <w:color w:val="231F20"/>
                <w:sz w:val="14"/>
              </w:rPr>
              <w:t>импулса и механичке енергије и примењује их у објашњавању примера из</w:t>
            </w:r>
            <w:r>
              <w:rPr>
                <w:color w:val="231F20"/>
                <w:spacing w:val="-18"/>
                <w:sz w:val="14"/>
              </w:rPr>
              <w:t xml:space="preserve"> </w:t>
            </w:r>
            <w:r>
              <w:rPr>
                <w:color w:val="231F20"/>
                <w:sz w:val="14"/>
              </w:rPr>
              <w:t>праксе и решавању задатака (ра</w:t>
            </w:r>
            <w:r>
              <w:rPr>
                <w:color w:val="231F20"/>
                <w:sz w:val="14"/>
              </w:rPr>
              <w:t>чунских и експерименталних);</w:t>
            </w:r>
          </w:p>
          <w:p w:rsidR="00041039" w:rsidRDefault="001B26CB">
            <w:pPr>
              <w:pStyle w:val="TableParagraph"/>
              <w:numPr>
                <w:ilvl w:val="0"/>
                <w:numId w:val="903"/>
              </w:numPr>
              <w:tabs>
                <w:tab w:val="left" w:pos="157"/>
              </w:tabs>
              <w:spacing w:line="155" w:lineRule="exact"/>
              <w:ind w:hanging="99"/>
              <w:rPr>
                <w:sz w:val="14"/>
              </w:rPr>
            </w:pPr>
            <w:r>
              <w:rPr>
                <w:color w:val="231F20"/>
                <w:sz w:val="14"/>
              </w:rPr>
              <w:t>разуме универзалност закона</w:t>
            </w:r>
            <w:r>
              <w:rPr>
                <w:color w:val="231F20"/>
                <w:spacing w:val="-11"/>
                <w:sz w:val="14"/>
              </w:rPr>
              <w:t xml:space="preserve"> </w:t>
            </w:r>
            <w:r>
              <w:rPr>
                <w:color w:val="231F20"/>
                <w:sz w:val="14"/>
              </w:rPr>
              <w:t>одржања</w:t>
            </w:r>
          </w:p>
          <w:p w:rsidR="00041039" w:rsidRDefault="001B26CB">
            <w:pPr>
              <w:pStyle w:val="TableParagraph"/>
              <w:spacing w:line="160" w:lineRule="exact"/>
              <w:rPr>
                <w:sz w:val="14"/>
              </w:rPr>
            </w:pPr>
            <w:r>
              <w:rPr>
                <w:color w:val="231F20"/>
                <w:sz w:val="14"/>
              </w:rPr>
              <w:t>и њихов значај у природним наукама;</w:t>
            </w:r>
          </w:p>
        </w:tc>
        <w:tc>
          <w:tcPr>
            <w:tcW w:w="2834" w:type="dxa"/>
          </w:tcPr>
          <w:p w:rsidR="00041039" w:rsidRDefault="001B26CB">
            <w:pPr>
              <w:pStyle w:val="TableParagraph"/>
              <w:numPr>
                <w:ilvl w:val="0"/>
                <w:numId w:val="902"/>
              </w:numPr>
              <w:tabs>
                <w:tab w:val="left" w:pos="157"/>
              </w:tabs>
              <w:spacing w:before="8"/>
              <w:ind w:right="188" w:hanging="99"/>
              <w:rPr>
                <w:sz w:val="14"/>
              </w:rPr>
            </w:pPr>
            <w:r>
              <w:rPr>
                <w:color w:val="231F20"/>
                <w:spacing w:val="-5"/>
                <w:sz w:val="14"/>
              </w:rPr>
              <w:t xml:space="preserve">Увод. </w:t>
            </w:r>
            <w:r>
              <w:rPr>
                <w:color w:val="231F20"/>
                <w:sz w:val="14"/>
              </w:rPr>
              <w:t>Закон одржања импулса.</w:t>
            </w:r>
            <w:r>
              <w:rPr>
                <w:color w:val="231F20"/>
                <w:spacing w:val="-21"/>
                <w:sz w:val="14"/>
              </w:rPr>
              <w:t xml:space="preserve"> </w:t>
            </w:r>
            <w:r>
              <w:rPr>
                <w:color w:val="231F20"/>
                <w:sz w:val="14"/>
              </w:rPr>
              <w:t>Реактивно кретање. Центар масе и кретање центра масе.</w:t>
            </w:r>
          </w:p>
          <w:p w:rsidR="00041039" w:rsidRDefault="001B26CB">
            <w:pPr>
              <w:pStyle w:val="TableParagraph"/>
              <w:numPr>
                <w:ilvl w:val="0"/>
                <w:numId w:val="902"/>
              </w:numPr>
              <w:tabs>
                <w:tab w:val="left" w:pos="157"/>
              </w:tabs>
              <w:spacing w:line="152" w:lineRule="exact"/>
              <w:ind w:hanging="99"/>
              <w:rPr>
                <w:sz w:val="14"/>
              </w:rPr>
            </w:pPr>
            <w:r>
              <w:rPr>
                <w:color w:val="231F20"/>
                <w:sz w:val="14"/>
              </w:rPr>
              <w:t>Рад силе. Кинетичка енергија и рад.</w:t>
            </w:r>
            <w:r>
              <w:rPr>
                <w:color w:val="231F20"/>
                <w:spacing w:val="-6"/>
                <w:sz w:val="14"/>
              </w:rPr>
              <w:t xml:space="preserve"> </w:t>
            </w:r>
            <w:r>
              <w:rPr>
                <w:color w:val="231F20"/>
                <w:sz w:val="14"/>
              </w:rPr>
              <w:t>Снага.</w:t>
            </w:r>
          </w:p>
          <w:p w:rsidR="00041039" w:rsidRDefault="001B26CB">
            <w:pPr>
              <w:pStyle w:val="TableParagraph"/>
              <w:numPr>
                <w:ilvl w:val="0"/>
                <w:numId w:val="902"/>
              </w:numPr>
              <w:tabs>
                <w:tab w:val="left" w:pos="157"/>
              </w:tabs>
              <w:spacing w:line="237" w:lineRule="auto"/>
              <w:ind w:right="45" w:hanging="99"/>
              <w:rPr>
                <w:sz w:val="14"/>
              </w:rPr>
            </w:pPr>
            <w:r>
              <w:rPr>
                <w:color w:val="231F20"/>
                <w:sz w:val="14"/>
              </w:rPr>
              <w:t>Конзервативне силе. Потенцијална</w:t>
            </w:r>
            <w:r>
              <w:rPr>
                <w:color w:val="231F20"/>
                <w:spacing w:val="-20"/>
                <w:sz w:val="14"/>
              </w:rPr>
              <w:t xml:space="preserve"> </w:t>
            </w:r>
            <w:r>
              <w:rPr>
                <w:color w:val="231F20"/>
                <w:sz w:val="14"/>
              </w:rPr>
              <w:t>енергија гравитационе и еластичне</w:t>
            </w:r>
            <w:r>
              <w:rPr>
                <w:color w:val="231F20"/>
                <w:spacing w:val="-2"/>
                <w:sz w:val="14"/>
              </w:rPr>
              <w:t xml:space="preserve"> </w:t>
            </w:r>
            <w:r>
              <w:rPr>
                <w:color w:val="231F20"/>
                <w:sz w:val="14"/>
              </w:rPr>
              <w:t>силе.</w:t>
            </w:r>
          </w:p>
          <w:p w:rsidR="00041039" w:rsidRDefault="001B26CB">
            <w:pPr>
              <w:pStyle w:val="TableParagraph"/>
              <w:numPr>
                <w:ilvl w:val="0"/>
                <w:numId w:val="902"/>
              </w:numPr>
              <w:tabs>
                <w:tab w:val="left" w:pos="157"/>
              </w:tabs>
              <w:spacing w:line="160" w:lineRule="exact"/>
              <w:ind w:right="54" w:hanging="99"/>
              <w:rPr>
                <w:sz w:val="14"/>
              </w:rPr>
            </w:pPr>
            <w:r>
              <w:rPr>
                <w:color w:val="231F20"/>
                <w:sz w:val="14"/>
              </w:rPr>
              <w:t>Потенцијал гравитационог поља. Потенцијалне криве, потенцијална енергија и</w:t>
            </w:r>
            <w:r>
              <w:rPr>
                <w:color w:val="231F20"/>
                <w:spacing w:val="-1"/>
                <w:sz w:val="14"/>
              </w:rPr>
              <w:t xml:space="preserve"> </w:t>
            </w:r>
            <w:r>
              <w:rPr>
                <w:color w:val="231F20"/>
                <w:sz w:val="14"/>
              </w:rPr>
              <w:t>рад.</w:t>
            </w:r>
          </w:p>
          <w:p w:rsidR="00041039" w:rsidRDefault="001B26CB">
            <w:pPr>
              <w:pStyle w:val="TableParagraph"/>
              <w:numPr>
                <w:ilvl w:val="0"/>
                <w:numId w:val="902"/>
              </w:numPr>
              <w:tabs>
                <w:tab w:val="left" w:pos="157"/>
              </w:tabs>
              <w:spacing w:line="160" w:lineRule="exact"/>
              <w:ind w:right="189" w:hanging="99"/>
              <w:rPr>
                <w:sz w:val="14"/>
              </w:rPr>
            </w:pPr>
            <w:r>
              <w:rPr>
                <w:color w:val="231F20"/>
                <w:sz w:val="14"/>
              </w:rPr>
              <w:t xml:space="preserve">Рад, снага и кинетичка енергија </w:t>
            </w:r>
            <w:r>
              <w:rPr>
                <w:color w:val="231F20"/>
                <w:spacing w:val="-5"/>
                <w:sz w:val="14"/>
              </w:rPr>
              <w:t xml:space="preserve">код </w:t>
            </w:r>
            <w:r>
              <w:rPr>
                <w:color w:val="231F20"/>
                <w:sz w:val="14"/>
              </w:rPr>
              <w:t>рота­ ционог</w:t>
            </w:r>
            <w:r>
              <w:rPr>
                <w:color w:val="231F20"/>
                <w:spacing w:val="-2"/>
                <w:sz w:val="14"/>
              </w:rPr>
              <w:t xml:space="preserve"> </w:t>
            </w:r>
            <w:r>
              <w:rPr>
                <w:color w:val="231F20"/>
                <w:sz w:val="14"/>
              </w:rPr>
              <w:t>кретања.</w:t>
            </w:r>
          </w:p>
          <w:p w:rsidR="00041039" w:rsidRDefault="001B26CB">
            <w:pPr>
              <w:pStyle w:val="TableParagraph"/>
              <w:numPr>
                <w:ilvl w:val="0"/>
                <w:numId w:val="902"/>
              </w:numPr>
              <w:tabs>
                <w:tab w:val="left" w:pos="157"/>
              </w:tabs>
              <w:spacing w:line="160" w:lineRule="exact"/>
              <w:ind w:right="75" w:hanging="99"/>
              <w:rPr>
                <w:sz w:val="14"/>
              </w:rPr>
            </w:pPr>
            <w:r>
              <w:rPr>
                <w:color w:val="231F20"/>
                <w:sz w:val="14"/>
              </w:rPr>
              <w:t>Закон одржања механичке енергије</w:t>
            </w:r>
            <w:r>
              <w:rPr>
                <w:color w:val="231F20"/>
                <w:spacing w:val="-24"/>
                <w:sz w:val="14"/>
              </w:rPr>
              <w:t xml:space="preserve"> </w:t>
            </w:r>
            <w:r>
              <w:rPr>
                <w:color w:val="231F20"/>
                <w:sz w:val="14"/>
              </w:rPr>
              <w:t>(„мртва петља”, друга космичка</w:t>
            </w:r>
            <w:r>
              <w:rPr>
                <w:color w:val="231F20"/>
                <w:spacing w:val="-4"/>
                <w:sz w:val="14"/>
              </w:rPr>
              <w:t xml:space="preserve"> </w:t>
            </w:r>
            <w:r>
              <w:rPr>
                <w:color w:val="231F20"/>
                <w:sz w:val="14"/>
              </w:rPr>
              <w:t>брзина).</w:t>
            </w:r>
          </w:p>
          <w:p w:rsidR="00041039" w:rsidRDefault="001B26CB">
            <w:pPr>
              <w:pStyle w:val="TableParagraph"/>
              <w:numPr>
                <w:ilvl w:val="0"/>
                <w:numId w:val="902"/>
              </w:numPr>
              <w:tabs>
                <w:tab w:val="left" w:pos="157"/>
              </w:tabs>
              <w:spacing w:line="160" w:lineRule="exact"/>
              <w:ind w:right="137" w:hanging="99"/>
              <w:rPr>
                <w:sz w:val="14"/>
              </w:rPr>
            </w:pPr>
            <w:r>
              <w:rPr>
                <w:color w:val="231F20"/>
                <w:sz w:val="14"/>
              </w:rPr>
              <w:t>Судари. Описивање кретања помоћу</w:t>
            </w:r>
            <w:r>
              <w:rPr>
                <w:color w:val="231F20"/>
                <w:spacing w:val="-22"/>
                <w:sz w:val="14"/>
              </w:rPr>
              <w:t xml:space="preserve"> </w:t>
            </w:r>
            <w:r>
              <w:rPr>
                <w:color w:val="231F20"/>
                <w:sz w:val="14"/>
              </w:rPr>
              <w:t>енер­ гијских</w:t>
            </w:r>
            <w:r>
              <w:rPr>
                <w:color w:val="231F20"/>
                <w:spacing w:val="-2"/>
                <w:sz w:val="14"/>
              </w:rPr>
              <w:t xml:space="preserve"> </w:t>
            </w:r>
            <w:r>
              <w:rPr>
                <w:color w:val="231F20"/>
                <w:sz w:val="14"/>
              </w:rPr>
              <w:t>дијаграма.</w:t>
            </w:r>
          </w:p>
          <w:p w:rsidR="00041039" w:rsidRDefault="001B26CB">
            <w:pPr>
              <w:pStyle w:val="TableParagraph"/>
              <w:numPr>
                <w:ilvl w:val="0"/>
                <w:numId w:val="902"/>
              </w:numPr>
              <w:tabs>
                <w:tab w:val="left" w:pos="157"/>
              </w:tabs>
              <w:spacing w:line="160" w:lineRule="exact"/>
              <w:ind w:right="450" w:hanging="99"/>
              <w:rPr>
                <w:sz w:val="14"/>
              </w:rPr>
            </w:pPr>
            <w:r>
              <w:rPr>
                <w:color w:val="231F20"/>
                <w:sz w:val="14"/>
              </w:rPr>
              <w:t>Закон одржања момента импулса. Извођење Другог Кеплеровог</w:t>
            </w:r>
            <w:r>
              <w:rPr>
                <w:color w:val="231F20"/>
                <w:spacing w:val="-26"/>
                <w:sz w:val="14"/>
              </w:rPr>
              <w:t xml:space="preserve"> </w:t>
            </w:r>
            <w:r>
              <w:rPr>
                <w:color w:val="231F20"/>
                <w:sz w:val="14"/>
              </w:rPr>
              <w:t>закона.</w:t>
            </w:r>
          </w:p>
        </w:tc>
        <w:tc>
          <w:tcPr>
            <w:tcW w:w="2267" w:type="dxa"/>
            <w:vMerge w:val="restart"/>
          </w:tcPr>
          <w:p w:rsidR="00041039" w:rsidRDefault="001B26CB">
            <w:pPr>
              <w:pStyle w:val="TableParagraph"/>
              <w:numPr>
                <w:ilvl w:val="0"/>
                <w:numId w:val="901"/>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w:t>
            </w:r>
            <w:r>
              <w:rPr>
                <w:color w:val="231F20"/>
                <w:sz w:val="14"/>
              </w:rPr>
              <w:t xml:space="preserve">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901"/>
              </w:numPr>
              <w:tabs>
                <w:tab w:val="left" w:pos="158"/>
              </w:tabs>
              <w:spacing w:line="160" w:lineRule="exact"/>
              <w:ind w:right="177" w:hanging="99"/>
              <w:rPr>
                <w:b/>
                <w:sz w:val="14"/>
              </w:rPr>
            </w:pPr>
            <w:r>
              <w:rPr>
                <w:color w:val="231F20"/>
                <w:sz w:val="14"/>
              </w:rPr>
              <w:t xml:space="preserve">теоријска настава са демонстра­ ционим огледима </w:t>
            </w:r>
            <w:r>
              <w:rPr>
                <w:b/>
                <w:color w:val="231F20"/>
                <w:sz w:val="14"/>
              </w:rPr>
              <w:t>(62</w:t>
            </w:r>
            <w:r>
              <w:rPr>
                <w:b/>
                <w:color w:val="231F20"/>
                <w:spacing w:val="-5"/>
                <w:sz w:val="14"/>
              </w:rPr>
              <w:t xml:space="preserve"> </w:t>
            </w:r>
            <w:r>
              <w:rPr>
                <w:b/>
                <w:color w:val="231F20"/>
                <w:sz w:val="14"/>
              </w:rPr>
              <w:t>часа)</w:t>
            </w:r>
          </w:p>
          <w:p w:rsidR="00041039" w:rsidRDefault="001B26CB">
            <w:pPr>
              <w:pStyle w:val="TableParagraph"/>
              <w:numPr>
                <w:ilvl w:val="0"/>
                <w:numId w:val="901"/>
              </w:numPr>
              <w:tabs>
                <w:tab w:val="left" w:pos="158"/>
              </w:tabs>
              <w:spacing w:line="159" w:lineRule="exact"/>
              <w:ind w:hanging="99"/>
              <w:rPr>
                <w:b/>
                <w:sz w:val="14"/>
              </w:rPr>
            </w:pPr>
            <w:r>
              <w:rPr>
                <w:color w:val="231F20"/>
                <w:sz w:val="14"/>
              </w:rPr>
              <w:t xml:space="preserve">лабораторијске вежбе </w:t>
            </w:r>
            <w:r>
              <w:rPr>
                <w:b/>
                <w:color w:val="231F20"/>
                <w:sz w:val="14"/>
              </w:rPr>
              <w:t>(8</w:t>
            </w:r>
            <w:r>
              <w:rPr>
                <w:b/>
                <w:color w:val="231F20"/>
                <w:spacing w:val="-11"/>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901"/>
              </w:numPr>
              <w:tabs>
                <w:tab w:val="left" w:pos="158"/>
              </w:tabs>
              <w:spacing w:line="160" w:lineRule="exact"/>
              <w:ind w:hanging="99"/>
              <w:rPr>
                <w:sz w:val="14"/>
              </w:rPr>
            </w:pPr>
            <w:r>
              <w:rPr>
                <w:color w:val="231F20"/>
                <w:sz w:val="14"/>
              </w:rPr>
              <w:t>учионици</w:t>
            </w:r>
          </w:p>
          <w:p w:rsidR="00041039" w:rsidRDefault="001B26CB">
            <w:pPr>
              <w:pStyle w:val="TableParagraph"/>
              <w:numPr>
                <w:ilvl w:val="0"/>
                <w:numId w:val="901"/>
              </w:numPr>
              <w:tabs>
                <w:tab w:val="left" w:pos="158"/>
              </w:tabs>
              <w:spacing w:line="166" w:lineRule="exact"/>
              <w:ind w:hanging="99"/>
              <w:rPr>
                <w:sz w:val="14"/>
              </w:rPr>
            </w:pPr>
            <w:r>
              <w:rPr>
                <w:color w:val="231F20"/>
                <w:sz w:val="14"/>
              </w:rPr>
              <w:t>кабинет за</w:t>
            </w:r>
            <w:r>
              <w:rPr>
                <w:color w:val="231F20"/>
                <w:spacing w:val="-2"/>
                <w:sz w:val="14"/>
              </w:rPr>
              <w:t xml:space="preserve"> </w:t>
            </w:r>
            <w:r>
              <w:rPr>
                <w:color w:val="231F20"/>
                <w:sz w:val="14"/>
              </w:rPr>
              <w:t>физику</w:t>
            </w:r>
          </w:p>
          <w:p w:rsidR="00041039" w:rsidRDefault="00041039">
            <w:pPr>
              <w:pStyle w:val="TableParagraph"/>
              <w:spacing w:before="8"/>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901"/>
              </w:numPr>
              <w:tabs>
                <w:tab w:val="left" w:pos="158"/>
              </w:tabs>
              <w:spacing w:line="160" w:lineRule="exact"/>
              <w:ind w:right="117" w:hanging="99"/>
              <w:rPr>
                <w:sz w:val="14"/>
              </w:rPr>
            </w:pPr>
            <w:r>
              <w:rPr>
                <w:color w:val="231F20"/>
                <w:sz w:val="14"/>
              </w:rPr>
              <w:t>користити сва доступна</w:t>
            </w:r>
            <w:r>
              <w:rPr>
                <w:color w:val="231F20"/>
                <w:spacing w:val="-11"/>
                <w:sz w:val="14"/>
              </w:rPr>
              <w:t xml:space="preserve"> </w:t>
            </w:r>
            <w:r>
              <w:rPr>
                <w:color w:val="231F20"/>
                <w:sz w:val="14"/>
              </w:rPr>
              <w:t>наставна средства;</w:t>
            </w:r>
          </w:p>
          <w:p w:rsidR="00041039" w:rsidRDefault="001B26CB">
            <w:pPr>
              <w:pStyle w:val="TableParagraph"/>
              <w:numPr>
                <w:ilvl w:val="0"/>
                <w:numId w:val="901"/>
              </w:numPr>
              <w:tabs>
                <w:tab w:val="left" w:pos="158"/>
              </w:tabs>
              <w:spacing w:line="160" w:lineRule="exact"/>
              <w:ind w:right="201" w:hanging="99"/>
              <w:rPr>
                <w:sz w:val="14"/>
              </w:rPr>
            </w:pPr>
            <w:r>
              <w:rPr>
                <w:color w:val="231F20"/>
                <w:sz w:val="14"/>
              </w:rPr>
              <w:t>користити мултимедијалне</w:t>
            </w:r>
            <w:r>
              <w:rPr>
                <w:color w:val="231F20"/>
                <w:spacing w:val="-23"/>
                <w:sz w:val="14"/>
              </w:rPr>
              <w:t xml:space="preserve"> </w:t>
            </w:r>
            <w:r>
              <w:rPr>
                <w:color w:val="231F20"/>
                <w:sz w:val="14"/>
              </w:rPr>
              <w:t>пре­ зентације;</w:t>
            </w:r>
          </w:p>
          <w:p w:rsidR="00041039" w:rsidRDefault="001B26CB">
            <w:pPr>
              <w:pStyle w:val="TableParagraph"/>
              <w:numPr>
                <w:ilvl w:val="0"/>
                <w:numId w:val="901"/>
              </w:numPr>
              <w:tabs>
                <w:tab w:val="left" w:pos="158"/>
              </w:tabs>
              <w:spacing w:line="160" w:lineRule="exact"/>
              <w:ind w:right="196" w:hanging="99"/>
              <w:rPr>
                <w:sz w:val="14"/>
              </w:rPr>
            </w:pPr>
            <w:r>
              <w:rPr>
                <w:color w:val="231F20"/>
                <w:sz w:val="14"/>
              </w:rPr>
              <w:t>упућивати ученике да користе интернет и стручну</w:t>
            </w:r>
            <w:r>
              <w:rPr>
                <w:color w:val="231F20"/>
                <w:spacing w:val="-22"/>
                <w:sz w:val="14"/>
              </w:rPr>
              <w:t xml:space="preserve"> </w:t>
            </w:r>
            <w:r>
              <w:rPr>
                <w:color w:val="231F20"/>
                <w:sz w:val="14"/>
              </w:rPr>
              <w:t>литературу;</w:t>
            </w:r>
          </w:p>
          <w:p w:rsidR="00041039" w:rsidRDefault="001B26CB">
            <w:pPr>
              <w:pStyle w:val="TableParagraph"/>
              <w:numPr>
                <w:ilvl w:val="0"/>
                <w:numId w:val="901"/>
              </w:numPr>
              <w:tabs>
                <w:tab w:val="left" w:pos="158"/>
              </w:tabs>
              <w:spacing w:before="1" w:line="160" w:lineRule="exact"/>
              <w:ind w:right="434" w:hanging="99"/>
              <w:rPr>
                <w:sz w:val="14"/>
              </w:rPr>
            </w:pPr>
            <w:r>
              <w:rPr>
                <w:color w:val="231F20"/>
                <w:sz w:val="14"/>
              </w:rPr>
              <w:t>подстицати ученике да</w:t>
            </w:r>
            <w:r>
              <w:rPr>
                <w:color w:val="231F20"/>
                <w:spacing w:val="-15"/>
                <w:sz w:val="14"/>
              </w:rPr>
              <w:t xml:space="preserve"> </w:t>
            </w:r>
            <w:r>
              <w:rPr>
                <w:color w:val="231F20"/>
                <w:sz w:val="14"/>
              </w:rPr>
              <w:t>раде рачунске</w:t>
            </w:r>
            <w:r>
              <w:rPr>
                <w:color w:val="231F20"/>
                <w:spacing w:val="-2"/>
                <w:sz w:val="14"/>
              </w:rPr>
              <w:t xml:space="preserve"> </w:t>
            </w:r>
            <w:r>
              <w:rPr>
                <w:color w:val="231F20"/>
                <w:sz w:val="14"/>
              </w:rPr>
              <w:t>задатке;</w:t>
            </w:r>
          </w:p>
          <w:p w:rsidR="00041039" w:rsidRDefault="001B26CB">
            <w:pPr>
              <w:pStyle w:val="TableParagraph"/>
              <w:numPr>
                <w:ilvl w:val="0"/>
                <w:numId w:val="901"/>
              </w:numPr>
              <w:tabs>
                <w:tab w:val="left" w:pos="158"/>
              </w:tabs>
              <w:spacing w:line="160" w:lineRule="exact"/>
              <w:ind w:right="235" w:hanging="99"/>
              <w:rPr>
                <w:sz w:val="14"/>
              </w:rPr>
            </w:pPr>
            <w:r>
              <w:rPr>
                <w:color w:val="231F20"/>
                <w:sz w:val="14"/>
              </w:rPr>
              <w:t>примењивати рад у паровима</w:t>
            </w:r>
            <w:r>
              <w:rPr>
                <w:color w:val="231F20"/>
                <w:spacing w:val="-19"/>
                <w:sz w:val="14"/>
              </w:rPr>
              <w:t xml:space="preserve"> </w:t>
            </w:r>
            <w:r>
              <w:rPr>
                <w:color w:val="231F20"/>
                <w:sz w:val="14"/>
              </w:rPr>
              <w:t>и рад у мањим</w:t>
            </w:r>
            <w:r>
              <w:rPr>
                <w:color w:val="231F20"/>
                <w:spacing w:val="-1"/>
                <w:sz w:val="14"/>
              </w:rPr>
              <w:t xml:space="preserve"> </w:t>
            </w:r>
            <w:r>
              <w:rPr>
                <w:color w:val="231F20"/>
                <w:sz w:val="14"/>
              </w:rPr>
              <w:t>групама;</w:t>
            </w:r>
          </w:p>
          <w:p w:rsidR="00041039" w:rsidRDefault="001B26CB">
            <w:pPr>
              <w:pStyle w:val="TableParagraph"/>
              <w:numPr>
                <w:ilvl w:val="0"/>
                <w:numId w:val="901"/>
              </w:numPr>
              <w:tabs>
                <w:tab w:val="left" w:pos="158"/>
              </w:tabs>
              <w:spacing w:line="160" w:lineRule="exact"/>
              <w:ind w:right="94" w:hanging="99"/>
              <w:rPr>
                <w:sz w:val="14"/>
              </w:rPr>
            </w:pPr>
            <w:r>
              <w:rPr>
                <w:color w:val="231F20"/>
                <w:sz w:val="14"/>
              </w:rPr>
              <w:t>мотивисати ученике да самостал­ но решавају проблеме користећи истраживачки приступ научном образовању;</w:t>
            </w:r>
          </w:p>
          <w:p w:rsidR="00041039" w:rsidRDefault="001B26CB">
            <w:pPr>
              <w:pStyle w:val="TableParagraph"/>
              <w:numPr>
                <w:ilvl w:val="0"/>
                <w:numId w:val="901"/>
              </w:numPr>
              <w:tabs>
                <w:tab w:val="left" w:pos="158"/>
              </w:tabs>
              <w:spacing w:line="160" w:lineRule="exact"/>
              <w:ind w:right="90" w:hanging="99"/>
              <w:rPr>
                <w:sz w:val="14"/>
              </w:rPr>
            </w:pPr>
            <w:r>
              <w:rPr>
                <w:color w:val="231F20"/>
                <w:sz w:val="14"/>
              </w:rPr>
              <w:t>континуирано упућивати</w:t>
            </w:r>
            <w:r>
              <w:rPr>
                <w:color w:val="231F20"/>
                <w:spacing w:val="-18"/>
                <w:sz w:val="14"/>
              </w:rPr>
              <w:t xml:space="preserve"> </w:t>
            </w:r>
            <w:r>
              <w:rPr>
                <w:color w:val="231F20"/>
                <w:sz w:val="14"/>
              </w:rPr>
              <w:t xml:space="preserve">ученике на примену физике у </w:t>
            </w:r>
            <w:r>
              <w:rPr>
                <w:color w:val="231F20"/>
                <w:spacing w:val="-3"/>
                <w:sz w:val="14"/>
              </w:rPr>
              <w:t xml:space="preserve">будућем </w:t>
            </w:r>
            <w:r>
              <w:rPr>
                <w:color w:val="231F20"/>
                <w:sz w:val="14"/>
              </w:rPr>
              <w:t>позиву и свакодневном животу кроз примере из</w:t>
            </w:r>
            <w:r>
              <w:rPr>
                <w:color w:val="231F20"/>
                <w:spacing w:val="-4"/>
                <w:sz w:val="14"/>
              </w:rPr>
              <w:t xml:space="preserve"> </w:t>
            </w:r>
            <w:r>
              <w:rPr>
                <w:color w:val="231F20"/>
                <w:sz w:val="14"/>
              </w:rPr>
              <w:t>праксе;</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w:t>
            </w:r>
            <w:r>
              <w:rPr>
                <w:color w:val="231F20"/>
                <w:sz w:val="14"/>
              </w:rPr>
              <w:t>а вршити кроз:</w:t>
            </w:r>
          </w:p>
          <w:p w:rsidR="00041039" w:rsidRDefault="001B26CB">
            <w:pPr>
              <w:pStyle w:val="TableParagraph"/>
              <w:numPr>
                <w:ilvl w:val="0"/>
                <w:numId w:val="901"/>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901"/>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901"/>
              </w:numPr>
              <w:tabs>
                <w:tab w:val="left" w:pos="158"/>
              </w:tabs>
              <w:spacing w:line="160" w:lineRule="exact"/>
              <w:ind w:hanging="99"/>
              <w:rPr>
                <w:b/>
                <w:sz w:val="14"/>
              </w:rPr>
            </w:pPr>
            <w:r>
              <w:rPr>
                <w:color w:val="231F20"/>
                <w:sz w:val="14"/>
              </w:rPr>
              <w:t xml:space="preserve">Закони одржања </w:t>
            </w:r>
            <w:r>
              <w:rPr>
                <w:b/>
                <w:color w:val="231F20"/>
                <w:sz w:val="14"/>
              </w:rPr>
              <w:t>(10</w:t>
            </w:r>
            <w:r>
              <w:rPr>
                <w:b/>
                <w:color w:val="231F20"/>
                <w:spacing w:val="-21"/>
                <w:sz w:val="14"/>
              </w:rPr>
              <w:t xml:space="preserve"> </w:t>
            </w:r>
            <w:r>
              <w:rPr>
                <w:b/>
                <w:color w:val="231F20"/>
                <w:sz w:val="14"/>
              </w:rPr>
              <w:t>часова)</w:t>
            </w:r>
          </w:p>
          <w:p w:rsidR="00041039" w:rsidRDefault="001B26CB">
            <w:pPr>
              <w:pStyle w:val="TableParagraph"/>
              <w:numPr>
                <w:ilvl w:val="0"/>
                <w:numId w:val="901"/>
              </w:numPr>
              <w:tabs>
                <w:tab w:val="left" w:pos="158"/>
              </w:tabs>
              <w:spacing w:line="160" w:lineRule="exact"/>
              <w:ind w:hanging="99"/>
              <w:rPr>
                <w:b/>
                <w:sz w:val="14"/>
              </w:rPr>
            </w:pPr>
            <w:r>
              <w:rPr>
                <w:color w:val="231F20"/>
                <w:sz w:val="14"/>
              </w:rPr>
              <w:t xml:space="preserve">Термодинамика </w:t>
            </w:r>
            <w:r>
              <w:rPr>
                <w:b/>
                <w:color w:val="231F20"/>
                <w:sz w:val="14"/>
              </w:rPr>
              <w:t>(12</w:t>
            </w:r>
            <w:r>
              <w:rPr>
                <w:b/>
                <w:color w:val="231F20"/>
                <w:spacing w:val="-25"/>
                <w:sz w:val="14"/>
              </w:rPr>
              <w:t xml:space="preserve"> </w:t>
            </w:r>
            <w:r>
              <w:rPr>
                <w:b/>
                <w:color w:val="231F20"/>
                <w:sz w:val="14"/>
              </w:rPr>
              <w:t>часова)</w:t>
            </w:r>
          </w:p>
          <w:p w:rsidR="00041039" w:rsidRDefault="001B26CB">
            <w:pPr>
              <w:pStyle w:val="TableParagraph"/>
              <w:numPr>
                <w:ilvl w:val="0"/>
                <w:numId w:val="901"/>
              </w:numPr>
              <w:tabs>
                <w:tab w:val="left" w:pos="158"/>
              </w:tabs>
              <w:spacing w:line="237" w:lineRule="auto"/>
              <w:ind w:right="476" w:hanging="99"/>
              <w:rPr>
                <w:b/>
                <w:sz w:val="14"/>
              </w:rPr>
            </w:pPr>
            <w:r>
              <w:rPr>
                <w:color w:val="231F20"/>
                <w:sz w:val="14"/>
              </w:rPr>
              <w:t>Релативистичка физика</w:t>
            </w:r>
            <w:r>
              <w:rPr>
                <w:color w:val="231F20"/>
                <w:spacing w:val="-12"/>
                <w:sz w:val="14"/>
              </w:rPr>
              <w:t xml:space="preserve"> </w:t>
            </w:r>
            <w:r>
              <w:rPr>
                <w:b/>
                <w:color w:val="231F20"/>
                <w:sz w:val="14"/>
              </w:rPr>
              <w:t>(10 часова)</w:t>
            </w:r>
          </w:p>
          <w:p w:rsidR="00041039" w:rsidRDefault="001B26CB">
            <w:pPr>
              <w:pStyle w:val="TableParagraph"/>
              <w:numPr>
                <w:ilvl w:val="0"/>
                <w:numId w:val="901"/>
              </w:numPr>
              <w:tabs>
                <w:tab w:val="left" w:pos="158"/>
              </w:tabs>
              <w:spacing w:line="155" w:lineRule="exact"/>
              <w:ind w:hanging="99"/>
              <w:rPr>
                <w:b/>
                <w:sz w:val="14"/>
              </w:rPr>
            </w:pPr>
            <w:r>
              <w:rPr>
                <w:color w:val="231F20"/>
                <w:sz w:val="14"/>
              </w:rPr>
              <w:t xml:space="preserve">Физика чврстог стања </w:t>
            </w:r>
            <w:r>
              <w:rPr>
                <w:b/>
                <w:color w:val="231F20"/>
                <w:sz w:val="14"/>
              </w:rPr>
              <w:t>(9</w:t>
            </w:r>
            <w:r>
              <w:rPr>
                <w:b/>
                <w:color w:val="231F20"/>
                <w:spacing w:val="-9"/>
                <w:sz w:val="14"/>
              </w:rPr>
              <w:t xml:space="preserve"> </w:t>
            </w:r>
            <w:r>
              <w:rPr>
                <w:b/>
                <w:color w:val="231F20"/>
                <w:sz w:val="14"/>
              </w:rPr>
              <w:t>часова)</w:t>
            </w:r>
          </w:p>
          <w:p w:rsidR="00041039" w:rsidRDefault="001B26CB">
            <w:pPr>
              <w:pStyle w:val="TableParagraph"/>
              <w:numPr>
                <w:ilvl w:val="0"/>
                <w:numId w:val="901"/>
              </w:numPr>
              <w:tabs>
                <w:tab w:val="left" w:pos="158"/>
              </w:tabs>
              <w:spacing w:line="237" w:lineRule="auto"/>
              <w:ind w:right="490" w:hanging="99"/>
              <w:rPr>
                <w:b/>
                <w:sz w:val="14"/>
              </w:rPr>
            </w:pPr>
            <w:r>
              <w:rPr>
                <w:color w:val="231F20"/>
                <w:sz w:val="14"/>
              </w:rPr>
              <w:t xml:space="preserve">Физика </w:t>
            </w:r>
            <w:r>
              <w:rPr>
                <w:color w:val="231F20"/>
                <w:spacing w:val="-3"/>
                <w:sz w:val="14"/>
              </w:rPr>
              <w:t xml:space="preserve">атомског </w:t>
            </w:r>
            <w:r>
              <w:rPr>
                <w:color w:val="231F20"/>
                <w:sz w:val="14"/>
              </w:rPr>
              <w:t xml:space="preserve">језгра </w:t>
            </w:r>
            <w:r>
              <w:rPr>
                <w:b/>
                <w:color w:val="231F20"/>
                <w:sz w:val="14"/>
              </w:rPr>
              <w:t>(16 часова)</w:t>
            </w:r>
          </w:p>
          <w:p w:rsidR="00041039" w:rsidRDefault="001B26CB">
            <w:pPr>
              <w:pStyle w:val="TableParagraph"/>
              <w:numPr>
                <w:ilvl w:val="0"/>
                <w:numId w:val="901"/>
              </w:numPr>
              <w:tabs>
                <w:tab w:val="left" w:pos="158"/>
              </w:tabs>
              <w:spacing w:line="160" w:lineRule="exact"/>
              <w:ind w:right="125" w:hanging="99"/>
              <w:rPr>
                <w:b/>
                <w:sz w:val="14"/>
              </w:rPr>
            </w:pPr>
            <w:r>
              <w:rPr>
                <w:color w:val="231F20"/>
                <w:sz w:val="14"/>
              </w:rPr>
              <w:t xml:space="preserve">Физика елементарних честица </w:t>
            </w:r>
            <w:r>
              <w:rPr>
                <w:b/>
                <w:color w:val="231F20"/>
                <w:sz w:val="14"/>
              </w:rPr>
              <w:t>(5 часова)</w:t>
            </w:r>
          </w:p>
          <w:p w:rsidR="00041039" w:rsidRDefault="001B26CB">
            <w:pPr>
              <w:pStyle w:val="TableParagraph"/>
              <w:numPr>
                <w:ilvl w:val="0"/>
                <w:numId w:val="901"/>
              </w:numPr>
              <w:tabs>
                <w:tab w:val="left" w:pos="158"/>
              </w:tabs>
              <w:spacing w:line="159" w:lineRule="exact"/>
              <w:ind w:hanging="99"/>
              <w:rPr>
                <w:b/>
                <w:sz w:val="14"/>
              </w:rPr>
            </w:pPr>
            <w:r>
              <w:rPr>
                <w:color w:val="231F20"/>
                <w:sz w:val="14"/>
              </w:rPr>
              <w:t xml:space="preserve">Лабораторијске вежбе </w:t>
            </w:r>
            <w:r>
              <w:rPr>
                <w:b/>
                <w:color w:val="231F20"/>
                <w:sz w:val="14"/>
              </w:rPr>
              <w:t>(8</w:t>
            </w:r>
            <w:r>
              <w:rPr>
                <w:b/>
                <w:color w:val="231F20"/>
                <w:spacing w:val="-13"/>
                <w:sz w:val="14"/>
              </w:rPr>
              <w:t xml:space="preserve"> </w:t>
            </w:r>
            <w:r>
              <w:rPr>
                <w:b/>
                <w:color w:val="231F20"/>
                <w:sz w:val="14"/>
              </w:rPr>
              <w:t>часова)</w:t>
            </w:r>
          </w:p>
        </w:tc>
      </w:tr>
      <w:tr w:rsidR="00041039">
        <w:trPr>
          <w:trHeight w:val="3720"/>
        </w:trPr>
        <w:tc>
          <w:tcPr>
            <w:tcW w:w="1304" w:type="dxa"/>
          </w:tcPr>
          <w:p w:rsidR="00041039" w:rsidRDefault="001B26CB">
            <w:pPr>
              <w:pStyle w:val="TableParagraph"/>
              <w:spacing w:before="20"/>
              <w:ind w:left="56"/>
              <w:rPr>
                <w:sz w:val="14"/>
              </w:rPr>
            </w:pPr>
            <w:r>
              <w:rPr>
                <w:color w:val="231F20"/>
                <w:sz w:val="14"/>
              </w:rPr>
              <w:t>Термодинамика</w:t>
            </w:r>
          </w:p>
        </w:tc>
        <w:tc>
          <w:tcPr>
            <w:tcW w:w="1587" w:type="dxa"/>
          </w:tcPr>
          <w:p w:rsidR="00041039" w:rsidRDefault="001B26CB">
            <w:pPr>
              <w:pStyle w:val="TableParagraph"/>
              <w:numPr>
                <w:ilvl w:val="0"/>
                <w:numId w:val="900"/>
              </w:numPr>
              <w:tabs>
                <w:tab w:val="left" w:pos="157"/>
              </w:tabs>
              <w:spacing w:before="10"/>
              <w:ind w:right="113"/>
              <w:rPr>
                <w:sz w:val="14"/>
              </w:rPr>
            </w:pPr>
            <w:r>
              <w:rPr>
                <w:color w:val="231F20"/>
                <w:sz w:val="14"/>
              </w:rPr>
              <w:t>Продубљивање</w:t>
            </w:r>
            <w:r>
              <w:rPr>
                <w:color w:val="231F20"/>
                <w:spacing w:val="-13"/>
                <w:sz w:val="14"/>
              </w:rPr>
              <w:t xml:space="preserve"> </w:t>
            </w:r>
            <w:r>
              <w:rPr>
                <w:color w:val="231F20"/>
                <w:sz w:val="14"/>
              </w:rPr>
              <w:t>знања о законима термо­ динамике и њиховој примени.</w:t>
            </w:r>
          </w:p>
        </w:tc>
        <w:tc>
          <w:tcPr>
            <w:tcW w:w="2551" w:type="dxa"/>
          </w:tcPr>
          <w:p w:rsidR="00041039" w:rsidRDefault="001B26CB">
            <w:pPr>
              <w:pStyle w:val="TableParagraph"/>
              <w:numPr>
                <w:ilvl w:val="0"/>
                <w:numId w:val="899"/>
              </w:numPr>
              <w:tabs>
                <w:tab w:val="left" w:pos="157"/>
              </w:tabs>
              <w:spacing w:before="10"/>
              <w:ind w:right="211" w:hanging="99"/>
              <w:rPr>
                <w:sz w:val="14"/>
              </w:rPr>
            </w:pPr>
            <w:r>
              <w:rPr>
                <w:color w:val="231F20"/>
                <w:sz w:val="14"/>
              </w:rPr>
              <w:t>формулише Први принцип</w:t>
            </w:r>
            <w:r>
              <w:rPr>
                <w:color w:val="231F20"/>
                <w:spacing w:val="-28"/>
                <w:sz w:val="14"/>
              </w:rPr>
              <w:t xml:space="preserve"> </w:t>
            </w:r>
            <w:r>
              <w:rPr>
                <w:color w:val="231F20"/>
                <w:sz w:val="14"/>
              </w:rPr>
              <w:t>термоди­ намике и у њему препознаје Закон одржања</w:t>
            </w:r>
            <w:r>
              <w:rPr>
                <w:color w:val="231F20"/>
                <w:spacing w:val="-1"/>
                <w:sz w:val="14"/>
              </w:rPr>
              <w:t xml:space="preserve"> </w:t>
            </w:r>
            <w:r>
              <w:rPr>
                <w:color w:val="231F20"/>
                <w:sz w:val="14"/>
              </w:rPr>
              <w:t>енергије;</w:t>
            </w:r>
          </w:p>
          <w:p w:rsidR="00041039" w:rsidRDefault="001B26CB">
            <w:pPr>
              <w:pStyle w:val="TableParagraph"/>
              <w:numPr>
                <w:ilvl w:val="0"/>
                <w:numId w:val="899"/>
              </w:numPr>
              <w:tabs>
                <w:tab w:val="left" w:pos="157"/>
              </w:tabs>
              <w:spacing w:line="157" w:lineRule="exact"/>
              <w:ind w:hanging="99"/>
              <w:rPr>
                <w:sz w:val="14"/>
              </w:rPr>
            </w:pPr>
            <w:r>
              <w:rPr>
                <w:color w:val="231F20"/>
                <w:sz w:val="14"/>
              </w:rPr>
              <w:t>анализира и примењује Први</w:t>
            </w:r>
            <w:r>
              <w:rPr>
                <w:color w:val="231F20"/>
                <w:spacing w:val="-10"/>
                <w:sz w:val="14"/>
              </w:rPr>
              <w:t xml:space="preserve"> </w:t>
            </w:r>
            <w:r>
              <w:rPr>
                <w:color w:val="231F20"/>
                <w:sz w:val="14"/>
              </w:rPr>
              <w:t>прин­</w:t>
            </w:r>
          </w:p>
          <w:p w:rsidR="00041039" w:rsidRDefault="001B26CB">
            <w:pPr>
              <w:pStyle w:val="TableParagraph"/>
              <w:ind w:right="105"/>
              <w:rPr>
                <w:sz w:val="14"/>
              </w:rPr>
            </w:pPr>
            <w:r>
              <w:rPr>
                <w:color w:val="231F20"/>
                <w:sz w:val="14"/>
              </w:rPr>
              <w:t>цип термодинамике (адијабатски и изопроцеси) и решава квалитативне и квантитативне задатке;</w:t>
            </w:r>
          </w:p>
          <w:p w:rsidR="00041039" w:rsidRDefault="001B26CB">
            <w:pPr>
              <w:pStyle w:val="TableParagraph"/>
              <w:numPr>
                <w:ilvl w:val="0"/>
                <w:numId w:val="899"/>
              </w:numPr>
              <w:tabs>
                <w:tab w:val="left" w:pos="157"/>
              </w:tabs>
              <w:spacing w:line="158" w:lineRule="exact"/>
              <w:ind w:hanging="99"/>
              <w:rPr>
                <w:sz w:val="14"/>
              </w:rPr>
            </w:pPr>
            <w:r>
              <w:rPr>
                <w:color w:val="231F20"/>
                <w:sz w:val="14"/>
              </w:rPr>
              <w:t>разликује повратне и</w:t>
            </w:r>
            <w:r>
              <w:rPr>
                <w:color w:val="231F20"/>
                <w:spacing w:val="-6"/>
                <w:sz w:val="14"/>
              </w:rPr>
              <w:t xml:space="preserve"> </w:t>
            </w:r>
            <w:r>
              <w:rPr>
                <w:color w:val="231F20"/>
                <w:sz w:val="14"/>
              </w:rPr>
              <w:t>неповратне</w:t>
            </w:r>
          </w:p>
          <w:p w:rsidR="00041039" w:rsidRDefault="001B26CB">
            <w:pPr>
              <w:pStyle w:val="TableParagraph"/>
              <w:rPr>
                <w:sz w:val="14"/>
              </w:rPr>
            </w:pPr>
            <w:r>
              <w:rPr>
                <w:color w:val="231F20"/>
                <w:sz w:val="14"/>
              </w:rPr>
              <w:t>процесе, формулише Други принцип термодинамике, објашњава његов статистички смисао, познаје појам е</w:t>
            </w:r>
            <w:r>
              <w:rPr>
                <w:color w:val="231F20"/>
                <w:sz w:val="14"/>
              </w:rPr>
              <w:t>нтропије као меру неуређености система;</w:t>
            </w:r>
          </w:p>
          <w:p w:rsidR="00041039" w:rsidRDefault="001B26CB">
            <w:pPr>
              <w:pStyle w:val="TableParagraph"/>
              <w:numPr>
                <w:ilvl w:val="0"/>
                <w:numId w:val="899"/>
              </w:numPr>
              <w:tabs>
                <w:tab w:val="left" w:pos="157"/>
              </w:tabs>
              <w:spacing w:line="156" w:lineRule="exact"/>
              <w:ind w:hanging="99"/>
              <w:rPr>
                <w:sz w:val="14"/>
              </w:rPr>
            </w:pPr>
            <w:r>
              <w:rPr>
                <w:color w:val="231F20"/>
                <w:sz w:val="14"/>
              </w:rPr>
              <w:t>познаје основни принцип рада</w:t>
            </w:r>
            <w:r>
              <w:rPr>
                <w:color w:val="231F20"/>
                <w:spacing w:val="-10"/>
                <w:sz w:val="14"/>
              </w:rPr>
              <w:t xml:space="preserve"> </w:t>
            </w:r>
            <w:r>
              <w:rPr>
                <w:color w:val="231F20"/>
                <w:sz w:val="14"/>
              </w:rPr>
              <w:t>топлот­</w:t>
            </w:r>
          </w:p>
          <w:p w:rsidR="00041039" w:rsidRDefault="001B26CB">
            <w:pPr>
              <w:pStyle w:val="TableParagraph"/>
              <w:rPr>
                <w:sz w:val="14"/>
              </w:rPr>
            </w:pPr>
            <w:r>
              <w:rPr>
                <w:color w:val="231F20"/>
                <w:sz w:val="14"/>
              </w:rPr>
              <w:t>них машина, одређује коефицијент корисног дејства у термодинамичким циклусима;</w:t>
            </w:r>
          </w:p>
        </w:tc>
        <w:tc>
          <w:tcPr>
            <w:tcW w:w="2834" w:type="dxa"/>
          </w:tcPr>
          <w:p w:rsidR="00041039" w:rsidRDefault="001B26CB">
            <w:pPr>
              <w:pStyle w:val="TableParagraph"/>
              <w:numPr>
                <w:ilvl w:val="0"/>
                <w:numId w:val="898"/>
              </w:numPr>
              <w:tabs>
                <w:tab w:val="left" w:pos="157"/>
              </w:tabs>
              <w:spacing w:before="10"/>
              <w:ind w:right="116" w:hanging="99"/>
              <w:jc w:val="both"/>
              <w:rPr>
                <w:sz w:val="14"/>
              </w:rPr>
            </w:pPr>
            <w:r>
              <w:rPr>
                <w:color w:val="231F20"/>
                <w:sz w:val="14"/>
              </w:rPr>
              <w:t>Унутрашња енергија. Промена</w:t>
            </w:r>
            <w:r>
              <w:rPr>
                <w:color w:val="231F20"/>
                <w:spacing w:val="-17"/>
                <w:sz w:val="14"/>
              </w:rPr>
              <w:t xml:space="preserve"> </w:t>
            </w:r>
            <w:r>
              <w:rPr>
                <w:color w:val="231F20"/>
                <w:sz w:val="14"/>
              </w:rPr>
              <w:t>унутрашње енергије, рад, топлотна размена.</w:t>
            </w:r>
            <w:r>
              <w:rPr>
                <w:color w:val="231F20"/>
                <w:spacing w:val="-21"/>
                <w:sz w:val="14"/>
              </w:rPr>
              <w:t xml:space="preserve"> </w:t>
            </w:r>
            <w:r>
              <w:rPr>
                <w:color w:val="231F20"/>
                <w:sz w:val="14"/>
              </w:rPr>
              <w:t>Количина топлоте. Први принци</w:t>
            </w:r>
            <w:r>
              <w:rPr>
                <w:color w:val="231F20"/>
                <w:sz w:val="14"/>
              </w:rPr>
              <w:t>п</w:t>
            </w:r>
            <w:r>
              <w:rPr>
                <w:color w:val="231F20"/>
                <w:spacing w:val="-12"/>
                <w:sz w:val="14"/>
              </w:rPr>
              <w:t xml:space="preserve"> </w:t>
            </w:r>
            <w:r>
              <w:rPr>
                <w:color w:val="231F20"/>
                <w:sz w:val="14"/>
              </w:rPr>
              <w:t>термодинамике.</w:t>
            </w:r>
          </w:p>
          <w:p w:rsidR="00041039" w:rsidRDefault="001B26CB">
            <w:pPr>
              <w:pStyle w:val="TableParagraph"/>
              <w:numPr>
                <w:ilvl w:val="0"/>
                <w:numId w:val="898"/>
              </w:numPr>
              <w:tabs>
                <w:tab w:val="left" w:pos="157"/>
              </w:tabs>
              <w:spacing w:line="157" w:lineRule="exact"/>
              <w:ind w:hanging="99"/>
              <w:rPr>
                <w:sz w:val="14"/>
              </w:rPr>
            </w:pPr>
            <w:r>
              <w:rPr>
                <w:color w:val="231F20"/>
                <w:sz w:val="14"/>
              </w:rPr>
              <w:t>Примена првог принципа</w:t>
            </w:r>
            <w:r>
              <w:rPr>
                <w:color w:val="231F20"/>
                <w:spacing w:val="-11"/>
                <w:sz w:val="14"/>
              </w:rPr>
              <w:t xml:space="preserve"> </w:t>
            </w:r>
            <w:r>
              <w:rPr>
                <w:color w:val="231F20"/>
                <w:sz w:val="14"/>
              </w:rPr>
              <w:t>термодинамике</w:t>
            </w:r>
          </w:p>
          <w:p w:rsidR="00041039" w:rsidRDefault="001B26CB">
            <w:pPr>
              <w:pStyle w:val="TableParagraph"/>
              <w:spacing w:line="155" w:lineRule="exact"/>
              <w:rPr>
                <w:sz w:val="14"/>
              </w:rPr>
            </w:pPr>
            <w:r>
              <w:rPr>
                <w:color w:val="231F20"/>
                <w:sz w:val="14"/>
              </w:rPr>
              <w:t>на идеалан гас (изопроцеси).</w:t>
            </w:r>
          </w:p>
          <w:p w:rsidR="00041039" w:rsidRDefault="001B26CB">
            <w:pPr>
              <w:pStyle w:val="TableParagraph"/>
              <w:numPr>
                <w:ilvl w:val="0"/>
                <w:numId w:val="898"/>
              </w:numPr>
              <w:tabs>
                <w:tab w:val="left" w:pos="157"/>
              </w:tabs>
              <w:spacing w:line="237" w:lineRule="auto"/>
              <w:ind w:right="738" w:hanging="99"/>
              <w:rPr>
                <w:sz w:val="14"/>
              </w:rPr>
            </w:pPr>
            <w:r>
              <w:rPr>
                <w:color w:val="231F20"/>
                <w:sz w:val="14"/>
              </w:rPr>
              <w:t>Топлотна капацитивност</w:t>
            </w:r>
            <w:r>
              <w:rPr>
                <w:color w:val="231F20"/>
                <w:spacing w:val="-25"/>
                <w:sz w:val="14"/>
              </w:rPr>
              <w:t xml:space="preserve"> </w:t>
            </w:r>
            <w:r>
              <w:rPr>
                <w:color w:val="231F20"/>
                <w:sz w:val="14"/>
              </w:rPr>
              <w:t>гасова. Адијабатски</w:t>
            </w:r>
            <w:r>
              <w:rPr>
                <w:color w:val="231F20"/>
                <w:spacing w:val="-1"/>
                <w:sz w:val="14"/>
              </w:rPr>
              <w:t xml:space="preserve"> </w:t>
            </w:r>
            <w:r>
              <w:rPr>
                <w:color w:val="231F20"/>
                <w:sz w:val="14"/>
              </w:rPr>
              <w:t>процес.</w:t>
            </w:r>
          </w:p>
          <w:p w:rsidR="00041039" w:rsidRDefault="001B26CB">
            <w:pPr>
              <w:pStyle w:val="TableParagraph"/>
              <w:numPr>
                <w:ilvl w:val="0"/>
                <w:numId w:val="898"/>
              </w:numPr>
              <w:tabs>
                <w:tab w:val="left" w:pos="157"/>
              </w:tabs>
              <w:spacing w:line="160" w:lineRule="exact"/>
              <w:ind w:right="257" w:hanging="99"/>
              <w:rPr>
                <w:sz w:val="14"/>
              </w:rPr>
            </w:pPr>
            <w:r>
              <w:rPr>
                <w:color w:val="231F20"/>
                <w:sz w:val="14"/>
              </w:rPr>
              <w:t>Квазистатачки процеси. Реверзибилни</w:t>
            </w:r>
            <w:r>
              <w:rPr>
                <w:color w:val="231F20"/>
                <w:spacing w:val="-18"/>
                <w:sz w:val="14"/>
              </w:rPr>
              <w:t xml:space="preserve"> </w:t>
            </w:r>
            <w:r>
              <w:rPr>
                <w:color w:val="231F20"/>
                <w:sz w:val="14"/>
              </w:rPr>
              <w:t>и иреверзибилни</w:t>
            </w:r>
            <w:r>
              <w:rPr>
                <w:color w:val="231F20"/>
                <w:spacing w:val="-2"/>
                <w:sz w:val="14"/>
              </w:rPr>
              <w:t xml:space="preserve"> </w:t>
            </w:r>
            <w:r>
              <w:rPr>
                <w:color w:val="231F20"/>
                <w:sz w:val="14"/>
              </w:rPr>
              <w:t>процеси.</w:t>
            </w:r>
          </w:p>
          <w:p w:rsidR="00041039" w:rsidRDefault="001B26CB">
            <w:pPr>
              <w:pStyle w:val="TableParagraph"/>
              <w:numPr>
                <w:ilvl w:val="0"/>
                <w:numId w:val="898"/>
              </w:numPr>
              <w:tabs>
                <w:tab w:val="left" w:pos="157"/>
              </w:tabs>
              <w:spacing w:line="160" w:lineRule="exact"/>
              <w:ind w:right="856" w:hanging="99"/>
              <w:rPr>
                <w:sz w:val="14"/>
              </w:rPr>
            </w:pPr>
            <w:r>
              <w:rPr>
                <w:color w:val="231F20"/>
                <w:sz w:val="14"/>
              </w:rPr>
              <w:t>Неповратност и статистика. Термодинамичка</w:t>
            </w:r>
            <w:r>
              <w:rPr>
                <w:color w:val="231F20"/>
                <w:spacing w:val="-20"/>
                <w:sz w:val="14"/>
              </w:rPr>
              <w:t xml:space="preserve"> </w:t>
            </w:r>
            <w:r>
              <w:rPr>
                <w:color w:val="231F20"/>
                <w:sz w:val="14"/>
              </w:rPr>
              <w:t>вероватноћа.</w:t>
            </w:r>
          </w:p>
          <w:p w:rsidR="00041039" w:rsidRDefault="001B26CB">
            <w:pPr>
              <w:pStyle w:val="TableParagraph"/>
              <w:numPr>
                <w:ilvl w:val="0"/>
                <w:numId w:val="898"/>
              </w:numPr>
              <w:tabs>
                <w:tab w:val="left" w:pos="157"/>
              </w:tabs>
              <w:spacing w:line="153" w:lineRule="exact"/>
              <w:ind w:hanging="99"/>
              <w:rPr>
                <w:sz w:val="14"/>
              </w:rPr>
            </w:pPr>
            <w:r>
              <w:rPr>
                <w:color w:val="231F20"/>
                <w:sz w:val="14"/>
              </w:rPr>
              <w:t>Ентропија и њено статистичко</w:t>
            </w:r>
            <w:r>
              <w:rPr>
                <w:color w:val="231F20"/>
                <w:spacing w:val="-12"/>
                <w:sz w:val="14"/>
              </w:rPr>
              <w:t xml:space="preserve"> </w:t>
            </w:r>
            <w:r>
              <w:rPr>
                <w:color w:val="231F20"/>
                <w:sz w:val="14"/>
              </w:rPr>
              <w:t>тумачење.</w:t>
            </w:r>
          </w:p>
          <w:p w:rsidR="00041039" w:rsidRDefault="001B26CB">
            <w:pPr>
              <w:pStyle w:val="TableParagraph"/>
              <w:numPr>
                <w:ilvl w:val="0"/>
                <w:numId w:val="898"/>
              </w:numPr>
              <w:tabs>
                <w:tab w:val="left" w:pos="157"/>
              </w:tabs>
              <w:spacing w:line="237" w:lineRule="auto"/>
              <w:ind w:right="381" w:hanging="99"/>
              <w:rPr>
                <w:sz w:val="14"/>
              </w:rPr>
            </w:pPr>
            <w:r>
              <w:rPr>
                <w:color w:val="231F20"/>
                <w:sz w:val="14"/>
              </w:rPr>
              <w:t>Други принцип термодинамике. Статистички смисао Другог</w:t>
            </w:r>
            <w:r>
              <w:rPr>
                <w:color w:val="231F20"/>
                <w:spacing w:val="-22"/>
                <w:sz w:val="14"/>
              </w:rPr>
              <w:t xml:space="preserve"> </w:t>
            </w:r>
            <w:r>
              <w:rPr>
                <w:color w:val="231F20"/>
                <w:sz w:val="14"/>
              </w:rPr>
              <w:t>принципа термодинамике.</w:t>
            </w:r>
          </w:p>
          <w:p w:rsidR="00041039" w:rsidRDefault="001B26CB">
            <w:pPr>
              <w:pStyle w:val="TableParagraph"/>
              <w:numPr>
                <w:ilvl w:val="0"/>
                <w:numId w:val="898"/>
              </w:numPr>
              <w:tabs>
                <w:tab w:val="left" w:pos="157"/>
              </w:tabs>
              <w:spacing w:line="237" w:lineRule="auto"/>
              <w:ind w:right="172" w:hanging="99"/>
              <w:rPr>
                <w:sz w:val="14"/>
              </w:rPr>
            </w:pPr>
            <w:r>
              <w:rPr>
                <w:color w:val="231F20"/>
                <w:sz w:val="14"/>
              </w:rPr>
              <w:t>Топлотни мотори (принципи рада и енергетски биланс). Карноов циклус. Коефицијент</w:t>
            </w:r>
            <w:r>
              <w:rPr>
                <w:color w:val="231F20"/>
                <w:spacing w:val="-8"/>
                <w:sz w:val="14"/>
              </w:rPr>
              <w:t xml:space="preserve"> </w:t>
            </w:r>
            <w:r>
              <w:rPr>
                <w:color w:val="231F20"/>
                <w:sz w:val="14"/>
              </w:rPr>
              <w:t>корисног</w:t>
            </w:r>
            <w:r>
              <w:rPr>
                <w:color w:val="231F20"/>
                <w:spacing w:val="-8"/>
                <w:sz w:val="14"/>
              </w:rPr>
              <w:t xml:space="preserve"> </w:t>
            </w:r>
            <w:r>
              <w:rPr>
                <w:color w:val="231F20"/>
                <w:sz w:val="14"/>
              </w:rPr>
              <w:t>дејства.</w:t>
            </w:r>
            <w:r>
              <w:rPr>
                <w:color w:val="231F20"/>
                <w:spacing w:val="-8"/>
                <w:sz w:val="14"/>
              </w:rPr>
              <w:t xml:space="preserve"> </w:t>
            </w:r>
            <w:r>
              <w:rPr>
                <w:color w:val="231F20"/>
                <w:sz w:val="14"/>
              </w:rPr>
              <w:t>Уређаји</w:t>
            </w:r>
            <w:r>
              <w:rPr>
                <w:color w:val="231F20"/>
                <w:spacing w:val="-8"/>
                <w:sz w:val="14"/>
              </w:rPr>
              <w:t xml:space="preserve"> </w:t>
            </w:r>
            <w:r>
              <w:rPr>
                <w:color w:val="231F20"/>
                <w:sz w:val="14"/>
              </w:rPr>
              <w:t>за хлађење и топлотне</w:t>
            </w:r>
            <w:r>
              <w:rPr>
                <w:color w:val="231F20"/>
                <w:spacing w:val="-2"/>
                <w:sz w:val="14"/>
              </w:rPr>
              <w:t xml:space="preserve"> </w:t>
            </w:r>
            <w:r>
              <w:rPr>
                <w:color w:val="231F20"/>
                <w:sz w:val="14"/>
              </w:rPr>
              <w:t>пумпе.</w:t>
            </w:r>
          </w:p>
          <w:p w:rsidR="00041039" w:rsidRDefault="001B26CB">
            <w:pPr>
              <w:pStyle w:val="TableParagraph"/>
              <w:spacing w:line="155" w:lineRule="exact"/>
              <w:ind w:left="57"/>
              <w:rPr>
                <w:b/>
                <w:sz w:val="14"/>
              </w:rPr>
            </w:pPr>
            <w:r>
              <w:rPr>
                <w:b/>
                <w:color w:val="231F20"/>
                <w:sz w:val="14"/>
              </w:rPr>
              <w:t>Демонстрациони огледи:</w:t>
            </w:r>
          </w:p>
          <w:p w:rsidR="00041039" w:rsidRDefault="001B26CB">
            <w:pPr>
              <w:pStyle w:val="TableParagraph"/>
              <w:numPr>
                <w:ilvl w:val="0"/>
                <w:numId w:val="898"/>
              </w:numPr>
              <w:tabs>
                <w:tab w:val="left" w:pos="157"/>
              </w:tabs>
              <w:spacing w:line="237" w:lineRule="auto"/>
              <w:ind w:right="134" w:hanging="99"/>
              <w:rPr>
                <w:sz w:val="14"/>
              </w:rPr>
            </w:pPr>
            <w:r>
              <w:rPr>
                <w:color w:val="231F20"/>
                <w:sz w:val="14"/>
              </w:rPr>
              <w:t>Адијабатски процеси: компресија,</w:t>
            </w:r>
            <w:r>
              <w:rPr>
                <w:color w:val="231F20"/>
                <w:spacing w:val="-19"/>
                <w:sz w:val="14"/>
              </w:rPr>
              <w:t xml:space="preserve"> </w:t>
            </w:r>
            <w:r>
              <w:rPr>
                <w:color w:val="231F20"/>
                <w:sz w:val="14"/>
              </w:rPr>
              <w:t>експан­ зија.</w:t>
            </w:r>
          </w:p>
          <w:p w:rsidR="00041039" w:rsidRDefault="001B26CB">
            <w:pPr>
              <w:pStyle w:val="TableParagraph"/>
              <w:numPr>
                <w:ilvl w:val="0"/>
                <w:numId w:val="898"/>
              </w:numPr>
              <w:tabs>
                <w:tab w:val="left" w:pos="157"/>
              </w:tabs>
              <w:spacing w:line="159" w:lineRule="exact"/>
              <w:ind w:hanging="99"/>
              <w:rPr>
                <w:sz w:val="14"/>
              </w:rPr>
            </w:pPr>
            <w:r>
              <w:rPr>
                <w:color w:val="231F20"/>
                <w:sz w:val="14"/>
              </w:rPr>
              <w:t>Повратни и неповратни</w:t>
            </w:r>
            <w:r>
              <w:rPr>
                <w:color w:val="231F20"/>
                <w:spacing w:val="-4"/>
                <w:sz w:val="14"/>
              </w:rPr>
              <w:t xml:space="preserve"> </w:t>
            </w:r>
            <w:r>
              <w:rPr>
                <w:color w:val="231F20"/>
                <w:sz w:val="14"/>
              </w:rPr>
              <w:t>процеси.</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6" w:right="37"/>
              <w:rPr>
                <w:sz w:val="14"/>
              </w:rPr>
            </w:pPr>
            <w:r>
              <w:rPr>
                <w:color w:val="231F20"/>
                <w:sz w:val="14"/>
              </w:rPr>
              <w:t>Релативистичка физика</w:t>
            </w:r>
          </w:p>
        </w:tc>
        <w:tc>
          <w:tcPr>
            <w:tcW w:w="1587" w:type="dxa"/>
          </w:tcPr>
          <w:p w:rsidR="00041039" w:rsidRDefault="001B26CB">
            <w:pPr>
              <w:pStyle w:val="TableParagraph"/>
              <w:numPr>
                <w:ilvl w:val="0"/>
                <w:numId w:val="897"/>
              </w:numPr>
              <w:tabs>
                <w:tab w:val="left" w:pos="157"/>
              </w:tabs>
              <w:spacing w:before="10"/>
              <w:ind w:right="64"/>
              <w:rPr>
                <w:sz w:val="14"/>
              </w:rPr>
            </w:pPr>
            <w:r>
              <w:rPr>
                <w:color w:val="231F20"/>
                <w:sz w:val="14"/>
              </w:rPr>
              <w:t>Стицање знања о</w:t>
            </w:r>
            <w:r>
              <w:rPr>
                <w:color w:val="231F20"/>
                <w:spacing w:val="-20"/>
                <w:sz w:val="14"/>
              </w:rPr>
              <w:t xml:space="preserve"> </w:t>
            </w:r>
            <w:r>
              <w:rPr>
                <w:color w:val="231F20"/>
                <w:sz w:val="14"/>
              </w:rPr>
              <w:t>зако­ нима релативистичке механике.</w:t>
            </w:r>
          </w:p>
        </w:tc>
        <w:tc>
          <w:tcPr>
            <w:tcW w:w="2551" w:type="dxa"/>
          </w:tcPr>
          <w:p w:rsidR="00041039" w:rsidRDefault="001B26CB">
            <w:pPr>
              <w:pStyle w:val="TableParagraph"/>
              <w:numPr>
                <w:ilvl w:val="0"/>
                <w:numId w:val="896"/>
              </w:numPr>
              <w:tabs>
                <w:tab w:val="left" w:pos="157"/>
              </w:tabs>
              <w:spacing w:before="10"/>
              <w:ind w:right="44" w:hanging="99"/>
              <w:rPr>
                <w:sz w:val="14"/>
              </w:rPr>
            </w:pPr>
            <w:r>
              <w:rPr>
                <w:color w:val="231F20"/>
                <w:sz w:val="14"/>
              </w:rPr>
              <w:t>формулише постулате специјалне теорије релативности и објашњава релативистичке ефекте брзине,</w:t>
            </w:r>
            <w:r>
              <w:rPr>
                <w:color w:val="231F20"/>
                <w:spacing w:val="-15"/>
                <w:sz w:val="14"/>
              </w:rPr>
              <w:t xml:space="preserve"> </w:t>
            </w:r>
            <w:r>
              <w:rPr>
                <w:color w:val="231F20"/>
                <w:sz w:val="14"/>
              </w:rPr>
              <w:t>дужине и</w:t>
            </w:r>
            <w:r>
              <w:rPr>
                <w:color w:val="231F20"/>
                <w:spacing w:val="-2"/>
                <w:sz w:val="14"/>
              </w:rPr>
              <w:t xml:space="preserve"> </w:t>
            </w:r>
            <w:r>
              <w:rPr>
                <w:color w:val="231F20"/>
                <w:sz w:val="14"/>
              </w:rPr>
              <w:t>времена;</w:t>
            </w:r>
          </w:p>
          <w:p w:rsidR="00041039" w:rsidRDefault="001B26CB">
            <w:pPr>
              <w:pStyle w:val="TableParagraph"/>
              <w:numPr>
                <w:ilvl w:val="0"/>
                <w:numId w:val="896"/>
              </w:numPr>
              <w:tabs>
                <w:tab w:val="left" w:pos="157"/>
              </w:tabs>
              <w:spacing w:line="156" w:lineRule="exact"/>
              <w:ind w:hanging="99"/>
              <w:rPr>
                <w:sz w:val="14"/>
              </w:rPr>
            </w:pPr>
            <w:r>
              <w:rPr>
                <w:color w:val="231F20"/>
                <w:sz w:val="14"/>
              </w:rPr>
              <w:t>зна везе између масе,</w:t>
            </w:r>
            <w:r>
              <w:rPr>
                <w:color w:val="231F20"/>
                <w:spacing w:val="-14"/>
                <w:sz w:val="14"/>
              </w:rPr>
              <w:t xml:space="preserve"> </w:t>
            </w:r>
            <w:r>
              <w:rPr>
                <w:color w:val="231F20"/>
                <w:sz w:val="14"/>
              </w:rPr>
              <w:t>релативистичког</w:t>
            </w:r>
          </w:p>
          <w:p w:rsidR="00041039" w:rsidRDefault="001B26CB">
            <w:pPr>
              <w:pStyle w:val="TableParagraph"/>
              <w:spacing w:line="160" w:lineRule="exact"/>
              <w:rPr>
                <w:sz w:val="14"/>
              </w:rPr>
            </w:pPr>
            <w:r>
              <w:rPr>
                <w:color w:val="231F20"/>
                <w:sz w:val="14"/>
              </w:rPr>
              <w:t>импулса и енергије;</w:t>
            </w:r>
          </w:p>
        </w:tc>
        <w:tc>
          <w:tcPr>
            <w:tcW w:w="2834" w:type="dxa"/>
          </w:tcPr>
          <w:p w:rsidR="00041039" w:rsidRDefault="001B26CB">
            <w:pPr>
              <w:pStyle w:val="TableParagraph"/>
              <w:numPr>
                <w:ilvl w:val="0"/>
                <w:numId w:val="895"/>
              </w:numPr>
              <w:tabs>
                <w:tab w:val="left" w:pos="158"/>
              </w:tabs>
              <w:spacing w:before="10"/>
              <w:ind w:right="146"/>
              <w:rPr>
                <w:sz w:val="14"/>
              </w:rPr>
            </w:pPr>
            <w:r>
              <w:rPr>
                <w:color w:val="231F20"/>
                <w:sz w:val="14"/>
              </w:rPr>
              <w:t>Основни постулати специјалне теорије релативности. Лоренцове</w:t>
            </w:r>
            <w:r>
              <w:rPr>
                <w:color w:val="231F20"/>
                <w:spacing w:val="-8"/>
                <w:sz w:val="14"/>
              </w:rPr>
              <w:t xml:space="preserve"> </w:t>
            </w:r>
            <w:r>
              <w:rPr>
                <w:color w:val="231F20"/>
                <w:sz w:val="14"/>
              </w:rPr>
              <w:t>трансформације координата.</w:t>
            </w:r>
          </w:p>
          <w:p w:rsidR="00041039" w:rsidRDefault="001B26CB">
            <w:pPr>
              <w:pStyle w:val="TableParagraph"/>
              <w:numPr>
                <w:ilvl w:val="0"/>
                <w:numId w:val="895"/>
              </w:numPr>
              <w:tabs>
                <w:tab w:val="left" w:pos="158"/>
              </w:tabs>
              <w:spacing w:line="152" w:lineRule="exact"/>
              <w:rPr>
                <w:sz w:val="14"/>
              </w:rPr>
            </w:pPr>
            <w:r>
              <w:rPr>
                <w:color w:val="231F20"/>
                <w:sz w:val="14"/>
              </w:rPr>
              <w:t>Релативистички закон сабирања</w:t>
            </w:r>
            <w:r>
              <w:rPr>
                <w:color w:val="231F20"/>
                <w:spacing w:val="-8"/>
                <w:sz w:val="14"/>
              </w:rPr>
              <w:t xml:space="preserve"> </w:t>
            </w:r>
            <w:r>
              <w:rPr>
                <w:color w:val="231F20"/>
                <w:sz w:val="14"/>
              </w:rPr>
              <w:t>брзина.</w:t>
            </w:r>
          </w:p>
          <w:p w:rsidR="00041039" w:rsidRDefault="001B26CB">
            <w:pPr>
              <w:pStyle w:val="TableParagraph"/>
              <w:numPr>
                <w:ilvl w:val="0"/>
                <w:numId w:val="895"/>
              </w:numPr>
              <w:tabs>
                <w:tab w:val="left" w:pos="158"/>
              </w:tabs>
              <w:spacing w:line="237" w:lineRule="auto"/>
              <w:ind w:right="131"/>
              <w:rPr>
                <w:sz w:val="14"/>
              </w:rPr>
            </w:pPr>
            <w:r>
              <w:rPr>
                <w:color w:val="231F20"/>
                <w:sz w:val="14"/>
              </w:rPr>
              <w:t>Релативистички</w:t>
            </w:r>
            <w:r>
              <w:rPr>
                <w:color w:val="231F20"/>
                <w:spacing w:val="-7"/>
                <w:sz w:val="14"/>
              </w:rPr>
              <w:t xml:space="preserve"> </w:t>
            </w:r>
            <w:r>
              <w:rPr>
                <w:color w:val="231F20"/>
                <w:sz w:val="14"/>
              </w:rPr>
              <w:t>карактер</w:t>
            </w:r>
            <w:r>
              <w:rPr>
                <w:color w:val="231F20"/>
                <w:spacing w:val="-7"/>
                <w:sz w:val="14"/>
              </w:rPr>
              <w:t xml:space="preserve"> </w:t>
            </w:r>
            <w:r>
              <w:rPr>
                <w:color w:val="231F20"/>
                <w:sz w:val="14"/>
              </w:rPr>
              <w:t>времена</w:t>
            </w:r>
            <w:r>
              <w:rPr>
                <w:color w:val="231F20"/>
                <w:spacing w:val="-8"/>
                <w:sz w:val="14"/>
              </w:rPr>
              <w:t xml:space="preserve"> </w:t>
            </w:r>
            <w:r>
              <w:rPr>
                <w:color w:val="231F20"/>
                <w:sz w:val="14"/>
              </w:rPr>
              <w:t>и</w:t>
            </w:r>
            <w:r>
              <w:rPr>
                <w:color w:val="231F20"/>
                <w:spacing w:val="-8"/>
                <w:sz w:val="14"/>
              </w:rPr>
              <w:t xml:space="preserve"> </w:t>
            </w:r>
            <w:r>
              <w:rPr>
                <w:color w:val="231F20"/>
                <w:sz w:val="14"/>
              </w:rPr>
              <w:t>дужи­ не. Гранични карактер брзине</w:t>
            </w:r>
            <w:r>
              <w:rPr>
                <w:color w:val="231F20"/>
                <w:spacing w:val="-15"/>
                <w:sz w:val="14"/>
              </w:rPr>
              <w:t xml:space="preserve"> </w:t>
            </w:r>
            <w:r>
              <w:rPr>
                <w:color w:val="231F20"/>
                <w:sz w:val="14"/>
              </w:rPr>
              <w:t>светлости.</w:t>
            </w:r>
          </w:p>
          <w:p w:rsidR="00041039" w:rsidRDefault="001B26CB">
            <w:pPr>
              <w:pStyle w:val="TableParagraph"/>
              <w:numPr>
                <w:ilvl w:val="0"/>
                <w:numId w:val="895"/>
              </w:numPr>
              <w:tabs>
                <w:tab w:val="left" w:pos="158"/>
              </w:tabs>
              <w:spacing w:line="155" w:lineRule="exact"/>
              <w:rPr>
                <w:sz w:val="14"/>
              </w:rPr>
            </w:pPr>
            <w:r>
              <w:rPr>
                <w:color w:val="231F20"/>
                <w:sz w:val="14"/>
              </w:rPr>
              <w:t>Инваријантност</w:t>
            </w:r>
            <w:r>
              <w:rPr>
                <w:color w:val="231F20"/>
                <w:spacing w:val="-1"/>
                <w:sz w:val="14"/>
              </w:rPr>
              <w:t xml:space="preserve"> </w:t>
            </w:r>
            <w:r>
              <w:rPr>
                <w:color w:val="231F20"/>
                <w:sz w:val="14"/>
              </w:rPr>
              <w:t>интервала.</w:t>
            </w:r>
          </w:p>
          <w:p w:rsidR="00041039" w:rsidRDefault="001B26CB">
            <w:pPr>
              <w:pStyle w:val="TableParagraph"/>
              <w:numPr>
                <w:ilvl w:val="0"/>
                <w:numId w:val="895"/>
              </w:numPr>
              <w:tabs>
                <w:tab w:val="left" w:pos="158"/>
              </w:tabs>
              <w:spacing w:line="237" w:lineRule="auto"/>
              <w:ind w:right="82"/>
              <w:rPr>
                <w:sz w:val="14"/>
              </w:rPr>
            </w:pPr>
            <w:r>
              <w:rPr>
                <w:color w:val="231F20"/>
                <w:sz w:val="14"/>
              </w:rPr>
              <w:t>Релативистички импулс и енергија. Везе између релативистичког импулса,</w:t>
            </w:r>
            <w:r>
              <w:rPr>
                <w:color w:val="231F20"/>
                <w:spacing w:val="-23"/>
                <w:sz w:val="14"/>
              </w:rPr>
              <w:t xml:space="preserve"> </w:t>
            </w:r>
            <w:r>
              <w:rPr>
                <w:color w:val="231F20"/>
                <w:sz w:val="14"/>
              </w:rPr>
              <w:t>кинетич­ ке ен</w:t>
            </w:r>
            <w:r>
              <w:rPr>
                <w:color w:val="231F20"/>
                <w:sz w:val="14"/>
              </w:rPr>
              <w:t>ергије, енергије мировања и укупне енергије. Унутрашња енергија. Закон одржања масе и</w:t>
            </w:r>
            <w:r>
              <w:rPr>
                <w:color w:val="231F20"/>
                <w:spacing w:val="-2"/>
                <w:sz w:val="14"/>
              </w:rPr>
              <w:t xml:space="preserve"> </w:t>
            </w:r>
            <w:r>
              <w:rPr>
                <w:color w:val="231F20"/>
                <w:sz w:val="14"/>
              </w:rPr>
              <w:t>енергије.</w:t>
            </w:r>
          </w:p>
          <w:p w:rsidR="00041039" w:rsidRDefault="001B26CB">
            <w:pPr>
              <w:pStyle w:val="TableParagraph"/>
              <w:numPr>
                <w:ilvl w:val="0"/>
                <w:numId w:val="895"/>
              </w:numPr>
              <w:tabs>
                <w:tab w:val="left" w:pos="158"/>
              </w:tabs>
              <w:spacing w:line="161" w:lineRule="exact"/>
              <w:rPr>
                <w:sz w:val="14"/>
              </w:rPr>
            </w:pPr>
            <w:r>
              <w:rPr>
                <w:color w:val="231F20"/>
                <w:sz w:val="14"/>
              </w:rPr>
              <w:t>Појам о општој теорији</w:t>
            </w:r>
            <w:r>
              <w:rPr>
                <w:color w:val="231F20"/>
                <w:spacing w:val="-5"/>
                <w:sz w:val="14"/>
              </w:rPr>
              <w:t xml:space="preserve"> </w:t>
            </w:r>
            <w:r>
              <w:rPr>
                <w:color w:val="231F20"/>
                <w:sz w:val="14"/>
              </w:rPr>
              <w:t>релативности.</w:t>
            </w:r>
          </w:p>
        </w:tc>
        <w:tc>
          <w:tcPr>
            <w:tcW w:w="2267" w:type="dxa"/>
            <w:vMerge/>
            <w:tcBorders>
              <w:top w:val="nil"/>
            </w:tcBorders>
          </w:tcPr>
          <w:p w:rsidR="00041039" w:rsidRDefault="00041039">
            <w:pPr>
              <w:rPr>
                <w:sz w:val="2"/>
                <w:szCs w:val="2"/>
              </w:rPr>
            </w:pPr>
          </w:p>
        </w:tc>
      </w:tr>
      <w:tr w:rsidR="00041039">
        <w:trPr>
          <w:trHeight w:val="3240"/>
        </w:trPr>
        <w:tc>
          <w:tcPr>
            <w:tcW w:w="1304" w:type="dxa"/>
          </w:tcPr>
          <w:p w:rsidR="00041039" w:rsidRDefault="001B26CB">
            <w:pPr>
              <w:pStyle w:val="TableParagraph"/>
              <w:spacing w:before="21"/>
              <w:ind w:left="57" w:right="37"/>
              <w:rPr>
                <w:sz w:val="14"/>
              </w:rPr>
            </w:pPr>
            <w:r>
              <w:rPr>
                <w:color w:val="231F20"/>
                <w:sz w:val="14"/>
              </w:rPr>
              <w:t>Физика чврстог стања</w:t>
            </w:r>
          </w:p>
        </w:tc>
        <w:tc>
          <w:tcPr>
            <w:tcW w:w="1587" w:type="dxa"/>
          </w:tcPr>
          <w:p w:rsidR="00041039" w:rsidRDefault="001B26CB">
            <w:pPr>
              <w:pStyle w:val="TableParagraph"/>
              <w:numPr>
                <w:ilvl w:val="0"/>
                <w:numId w:val="894"/>
              </w:numPr>
              <w:tabs>
                <w:tab w:val="left" w:pos="157"/>
              </w:tabs>
              <w:spacing w:before="11"/>
              <w:ind w:right="151" w:hanging="99"/>
              <w:rPr>
                <w:sz w:val="14"/>
              </w:rPr>
            </w:pPr>
            <w:r>
              <w:rPr>
                <w:color w:val="231F20"/>
                <w:sz w:val="14"/>
              </w:rPr>
              <w:t>Упознавање са зако­ нима физике чврстог стања и њиховом применом у</w:t>
            </w:r>
            <w:r>
              <w:rPr>
                <w:color w:val="231F20"/>
                <w:spacing w:val="-10"/>
                <w:sz w:val="14"/>
              </w:rPr>
              <w:t xml:space="preserve"> </w:t>
            </w:r>
            <w:r>
              <w:rPr>
                <w:color w:val="231F20"/>
                <w:sz w:val="14"/>
              </w:rPr>
              <w:t>техници.</w:t>
            </w:r>
          </w:p>
        </w:tc>
        <w:tc>
          <w:tcPr>
            <w:tcW w:w="2551" w:type="dxa"/>
          </w:tcPr>
          <w:p w:rsidR="00041039" w:rsidRDefault="001B26CB">
            <w:pPr>
              <w:pStyle w:val="TableParagraph"/>
              <w:numPr>
                <w:ilvl w:val="0"/>
                <w:numId w:val="893"/>
              </w:numPr>
              <w:tabs>
                <w:tab w:val="left" w:pos="157"/>
              </w:tabs>
              <w:spacing w:before="11" w:line="166" w:lineRule="exact"/>
              <w:ind w:hanging="99"/>
              <w:rPr>
                <w:sz w:val="14"/>
              </w:rPr>
            </w:pPr>
            <w:r>
              <w:rPr>
                <w:color w:val="231F20"/>
                <w:sz w:val="14"/>
              </w:rPr>
              <w:t xml:space="preserve">објасни енергијске зоне </w:t>
            </w:r>
            <w:r>
              <w:rPr>
                <w:color w:val="231F20"/>
                <w:spacing w:val="-5"/>
                <w:sz w:val="14"/>
              </w:rPr>
              <w:t>код</w:t>
            </w:r>
            <w:r>
              <w:rPr>
                <w:color w:val="231F20"/>
                <w:spacing w:val="-2"/>
                <w:sz w:val="14"/>
              </w:rPr>
              <w:t xml:space="preserve"> </w:t>
            </w:r>
            <w:r>
              <w:rPr>
                <w:color w:val="231F20"/>
                <w:sz w:val="14"/>
              </w:rPr>
              <w:t>кристала</w:t>
            </w:r>
          </w:p>
          <w:p w:rsidR="00041039" w:rsidRDefault="001B26CB">
            <w:pPr>
              <w:pStyle w:val="TableParagraph"/>
              <w:numPr>
                <w:ilvl w:val="0"/>
                <w:numId w:val="893"/>
              </w:numPr>
              <w:tabs>
                <w:tab w:val="left" w:pos="157"/>
              </w:tabs>
              <w:spacing w:line="237" w:lineRule="auto"/>
              <w:ind w:right="187" w:hanging="99"/>
              <w:rPr>
                <w:sz w:val="14"/>
              </w:rPr>
            </w:pPr>
            <w:r>
              <w:rPr>
                <w:color w:val="231F20"/>
                <w:sz w:val="14"/>
              </w:rPr>
              <w:t>разликује класичну електричну проводљивост и</w:t>
            </w:r>
            <w:r>
              <w:rPr>
                <w:color w:val="231F20"/>
                <w:spacing w:val="-13"/>
                <w:sz w:val="14"/>
              </w:rPr>
              <w:t xml:space="preserve"> </w:t>
            </w:r>
            <w:r>
              <w:rPr>
                <w:color w:val="231F20"/>
                <w:sz w:val="14"/>
              </w:rPr>
              <w:t xml:space="preserve">суперпроводљивост </w:t>
            </w:r>
            <w:r>
              <w:rPr>
                <w:color w:val="231F20"/>
                <w:spacing w:val="-5"/>
                <w:sz w:val="14"/>
              </w:rPr>
              <w:t>код</w:t>
            </w:r>
            <w:r>
              <w:rPr>
                <w:color w:val="231F20"/>
                <w:sz w:val="14"/>
              </w:rPr>
              <w:t xml:space="preserve"> метала;</w:t>
            </w:r>
          </w:p>
          <w:p w:rsidR="00041039" w:rsidRDefault="001B26CB">
            <w:pPr>
              <w:pStyle w:val="TableParagraph"/>
              <w:numPr>
                <w:ilvl w:val="0"/>
                <w:numId w:val="893"/>
              </w:numPr>
              <w:tabs>
                <w:tab w:val="left" w:pos="157"/>
              </w:tabs>
              <w:spacing w:line="237" w:lineRule="auto"/>
              <w:ind w:right="69" w:hanging="99"/>
              <w:jc w:val="both"/>
              <w:rPr>
                <w:sz w:val="14"/>
              </w:rPr>
            </w:pPr>
            <w:r>
              <w:rPr>
                <w:color w:val="231F20"/>
                <w:sz w:val="14"/>
              </w:rPr>
              <w:t>описује својства сопствених и</w:t>
            </w:r>
            <w:r>
              <w:rPr>
                <w:color w:val="231F20"/>
                <w:spacing w:val="-8"/>
                <w:sz w:val="14"/>
              </w:rPr>
              <w:t xml:space="preserve"> </w:t>
            </w:r>
            <w:r>
              <w:rPr>
                <w:color w:val="231F20"/>
                <w:sz w:val="14"/>
              </w:rPr>
              <w:t xml:space="preserve">примес­ них полупроводника и познаје </w:t>
            </w:r>
            <w:r>
              <w:rPr>
                <w:color w:val="231F20"/>
                <w:spacing w:val="-3"/>
                <w:sz w:val="14"/>
              </w:rPr>
              <w:t xml:space="preserve">њихову </w:t>
            </w:r>
            <w:r>
              <w:rPr>
                <w:color w:val="231F20"/>
                <w:sz w:val="14"/>
              </w:rPr>
              <w:t>примену (исправљачи, галваномагнет­ ни и термоелектрични</w:t>
            </w:r>
            <w:r>
              <w:rPr>
                <w:color w:val="231F20"/>
                <w:spacing w:val="-4"/>
                <w:sz w:val="14"/>
              </w:rPr>
              <w:t xml:space="preserve"> </w:t>
            </w:r>
            <w:r>
              <w:rPr>
                <w:color w:val="231F20"/>
                <w:sz w:val="14"/>
              </w:rPr>
              <w:t>ефекти,...);</w:t>
            </w:r>
          </w:p>
          <w:p w:rsidR="00041039" w:rsidRDefault="001B26CB">
            <w:pPr>
              <w:pStyle w:val="TableParagraph"/>
              <w:numPr>
                <w:ilvl w:val="0"/>
                <w:numId w:val="893"/>
              </w:numPr>
              <w:tabs>
                <w:tab w:val="left" w:pos="157"/>
              </w:tabs>
              <w:spacing w:line="237" w:lineRule="auto"/>
              <w:ind w:right="103" w:hanging="99"/>
              <w:jc w:val="both"/>
              <w:rPr>
                <w:sz w:val="14"/>
              </w:rPr>
            </w:pPr>
            <w:r>
              <w:rPr>
                <w:color w:val="231F20"/>
                <w:sz w:val="14"/>
              </w:rPr>
              <w:t xml:space="preserve">изведе лабораторијску </w:t>
            </w:r>
            <w:r>
              <w:rPr>
                <w:color w:val="231F20"/>
                <w:spacing w:val="-4"/>
                <w:sz w:val="14"/>
              </w:rPr>
              <w:t xml:space="preserve">вежбу, </w:t>
            </w:r>
            <w:r>
              <w:rPr>
                <w:color w:val="231F20"/>
                <w:sz w:val="14"/>
              </w:rPr>
              <w:t>правил­ но и безбедно рукује наставним сред­ ствима, изврши потребне прорачуне</w:t>
            </w:r>
            <w:r>
              <w:rPr>
                <w:color w:val="231F20"/>
                <w:spacing w:val="-18"/>
                <w:sz w:val="14"/>
              </w:rPr>
              <w:t xml:space="preserve"> </w:t>
            </w:r>
            <w:r>
              <w:rPr>
                <w:color w:val="231F20"/>
                <w:sz w:val="14"/>
              </w:rPr>
              <w:t>и израчуна грешке при</w:t>
            </w:r>
            <w:r>
              <w:rPr>
                <w:color w:val="231F20"/>
                <w:spacing w:val="-5"/>
                <w:sz w:val="14"/>
              </w:rPr>
              <w:t xml:space="preserve"> </w:t>
            </w:r>
            <w:r>
              <w:rPr>
                <w:color w:val="231F20"/>
                <w:sz w:val="14"/>
              </w:rPr>
              <w:t>мерењу;</w:t>
            </w:r>
          </w:p>
        </w:tc>
        <w:tc>
          <w:tcPr>
            <w:tcW w:w="2834" w:type="dxa"/>
          </w:tcPr>
          <w:p w:rsidR="00041039" w:rsidRDefault="001B26CB">
            <w:pPr>
              <w:pStyle w:val="TableParagraph"/>
              <w:numPr>
                <w:ilvl w:val="0"/>
                <w:numId w:val="892"/>
              </w:numPr>
              <w:tabs>
                <w:tab w:val="left" w:pos="158"/>
              </w:tabs>
              <w:spacing w:before="11"/>
              <w:ind w:right="197"/>
              <w:rPr>
                <w:sz w:val="14"/>
              </w:rPr>
            </w:pPr>
            <w:r>
              <w:rPr>
                <w:color w:val="231F20"/>
                <w:sz w:val="14"/>
              </w:rPr>
              <w:t>Зонска теорија кристала. Енергијске</w:t>
            </w:r>
            <w:r>
              <w:rPr>
                <w:color w:val="231F20"/>
                <w:spacing w:val="-14"/>
                <w:sz w:val="14"/>
              </w:rPr>
              <w:t xml:space="preserve"> </w:t>
            </w:r>
            <w:r>
              <w:rPr>
                <w:color w:val="231F20"/>
                <w:sz w:val="14"/>
              </w:rPr>
              <w:t xml:space="preserve">зоне у чврстом </w:t>
            </w:r>
            <w:r>
              <w:rPr>
                <w:color w:val="231F20"/>
                <w:spacing w:val="-3"/>
                <w:sz w:val="14"/>
              </w:rPr>
              <w:t xml:space="preserve">телу. </w:t>
            </w:r>
            <w:r>
              <w:rPr>
                <w:color w:val="231F20"/>
                <w:sz w:val="14"/>
              </w:rPr>
              <w:t>Зонски модели метала и диелектрика.</w:t>
            </w:r>
          </w:p>
          <w:p w:rsidR="00041039" w:rsidRDefault="001B26CB">
            <w:pPr>
              <w:pStyle w:val="TableParagraph"/>
              <w:numPr>
                <w:ilvl w:val="0"/>
                <w:numId w:val="892"/>
              </w:numPr>
              <w:tabs>
                <w:tab w:val="left" w:pos="158"/>
              </w:tabs>
              <w:spacing w:line="157" w:lineRule="exact"/>
              <w:rPr>
                <w:sz w:val="14"/>
              </w:rPr>
            </w:pPr>
            <w:r>
              <w:rPr>
                <w:color w:val="231F20"/>
                <w:sz w:val="14"/>
              </w:rPr>
              <w:t>Расподела слободних електрона</w:t>
            </w:r>
            <w:r>
              <w:rPr>
                <w:color w:val="231F20"/>
                <w:spacing w:val="-3"/>
                <w:sz w:val="14"/>
              </w:rPr>
              <w:t xml:space="preserve"> </w:t>
            </w:r>
            <w:r>
              <w:rPr>
                <w:color w:val="231F20"/>
                <w:sz w:val="14"/>
              </w:rPr>
              <w:t>по</w:t>
            </w:r>
          </w:p>
          <w:p w:rsidR="00041039" w:rsidRDefault="001B26CB">
            <w:pPr>
              <w:pStyle w:val="TableParagraph"/>
              <w:ind w:left="157"/>
              <w:rPr>
                <w:sz w:val="14"/>
              </w:rPr>
            </w:pPr>
            <w:r>
              <w:rPr>
                <w:color w:val="231F20"/>
                <w:sz w:val="14"/>
              </w:rPr>
              <w:t>енергијама у м</w:t>
            </w:r>
            <w:r>
              <w:rPr>
                <w:color w:val="231F20"/>
                <w:sz w:val="14"/>
              </w:rPr>
              <w:t>еталу. Квантна теорија про­ водљивости метала. Суперпроводљивост.</w:t>
            </w:r>
          </w:p>
          <w:p w:rsidR="00041039" w:rsidRDefault="001B26CB">
            <w:pPr>
              <w:pStyle w:val="TableParagraph"/>
              <w:numPr>
                <w:ilvl w:val="0"/>
                <w:numId w:val="892"/>
              </w:numPr>
              <w:tabs>
                <w:tab w:val="left" w:pos="158"/>
              </w:tabs>
              <w:spacing w:line="160" w:lineRule="exact"/>
              <w:ind w:right="223"/>
              <w:rPr>
                <w:sz w:val="14"/>
              </w:rPr>
            </w:pPr>
            <w:r>
              <w:rPr>
                <w:color w:val="231F20"/>
                <w:sz w:val="14"/>
              </w:rPr>
              <w:t>Полупроводници. Сопствена и</w:t>
            </w:r>
            <w:r>
              <w:rPr>
                <w:color w:val="231F20"/>
                <w:spacing w:val="-15"/>
                <w:sz w:val="14"/>
              </w:rPr>
              <w:t xml:space="preserve"> </w:t>
            </w:r>
            <w:r>
              <w:rPr>
                <w:color w:val="231F20"/>
                <w:sz w:val="14"/>
              </w:rPr>
              <w:t>примесна проводљивост.</w:t>
            </w:r>
          </w:p>
          <w:p w:rsidR="00041039" w:rsidRDefault="001B26CB">
            <w:pPr>
              <w:pStyle w:val="TableParagraph"/>
              <w:numPr>
                <w:ilvl w:val="0"/>
                <w:numId w:val="892"/>
              </w:numPr>
              <w:tabs>
                <w:tab w:val="left" w:pos="158"/>
              </w:tabs>
              <w:spacing w:line="160" w:lineRule="exact"/>
              <w:ind w:right="104"/>
              <w:rPr>
                <w:sz w:val="14"/>
              </w:rPr>
            </w:pPr>
            <w:r>
              <w:rPr>
                <w:color w:val="231F20"/>
                <w:sz w:val="14"/>
              </w:rPr>
              <w:t>Полупроводници</w:t>
            </w:r>
            <w:r>
              <w:rPr>
                <w:color w:val="231F20"/>
                <w:spacing w:val="-4"/>
                <w:sz w:val="14"/>
              </w:rPr>
              <w:t xml:space="preserve"> </w:t>
            </w:r>
            <w:r>
              <w:rPr>
                <w:color w:val="231F20"/>
                <w:sz w:val="14"/>
              </w:rPr>
              <w:t>p</w:t>
            </w:r>
            <w:r>
              <w:rPr>
                <w:color w:val="231F20"/>
                <w:spacing w:val="-4"/>
                <w:sz w:val="14"/>
              </w:rPr>
              <w:t xml:space="preserve"> </w:t>
            </w:r>
            <w:r>
              <w:rPr>
                <w:color w:val="231F20"/>
                <w:sz w:val="14"/>
              </w:rPr>
              <w:t>и</w:t>
            </w:r>
            <w:r>
              <w:rPr>
                <w:color w:val="231F20"/>
                <w:spacing w:val="-5"/>
                <w:sz w:val="14"/>
              </w:rPr>
              <w:t xml:space="preserve"> </w:t>
            </w:r>
            <w:r>
              <w:rPr>
                <w:color w:val="231F20"/>
                <w:sz w:val="14"/>
              </w:rPr>
              <w:t>n</w:t>
            </w:r>
            <w:r>
              <w:rPr>
                <w:color w:val="231F20"/>
                <w:spacing w:val="-5"/>
                <w:sz w:val="14"/>
              </w:rPr>
              <w:t xml:space="preserve"> </w:t>
            </w:r>
            <w:r>
              <w:rPr>
                <w:color w:val="231F20"/>
                <w:sz w:val="14"/>
              </w:rPr>
              <w:t>­</w:t>
            </w:r>
            <w:r>
              <w:rPr>
                <w:color w:val="231F20"/>
                <w:spacing w:val="-4"/>
                <w:sz w:val="14"/>
              </w:rPr>
              <w:t xml:space="preserve"> </w:t>
            </w:r>
            <w:r>
              <w:rPr>
                <w:color w:val="231F20"/>
                <w:sz w:val="14"/>
              </w:rPr>
              <w:t>типа</w:t>
            </w:r>
            <w:r>
              <w:rPr>
                <w:color w:val="231F20"/>
                <w:spacing w:val="-4"/>
                <w:sz w:val="14"/>
              </w:rPr>
              <w:t xml:space="preserve"> </w:t>
            </w:r>
            <w:r>
              <w:rPr>
                <w:color w:val="231F20"/>
                <w:sz w:val="14"/>
              </w:rPr>
              <w:t>и</w:t>
            </w:r>
            <w:r>
              <w:rPr>
                <w:color w:val="231F20"/>
                <w:spacing w:val="-5"/>
                <w:sz w:val="14"/>
              </w:rPr>
              <w:t xml:space="preserve"> </w:t>
            </w:r>
            <w:r>
              <w:rPr>
                <w:color w:val="231F20"/>
                <w:sz w:val="14"/>
              </w:rPr>
              <w:t>полупрово­ днички p ­ n</w:t>
            </w:r>
            <w:r>
              <w:rPr>
                <w:color w:val="231F20"/>
                <w:spacing w:val="-1"/>
                <w:sz w:val="14"/>
              </w:rPr>
              <w:t xml:space="preserve"> </w:t>
            </w:r>
            <w:r>
              <w:rPr>
                <w:color w:val="231F20"/>
                <w:sz w:val="14"/>
              </w:rPr>
              <w:t>спој,</w:t>
            </w:r>
          </w:p>
          <w:p w:rsidR="00041039" w:rsidRDefault="001B26CB">
            <w:pPr>
              <w:pStyle w:val="TableParagraph"/>
              <w:numPr>
                <w:ilvl w:val="0"/>
                <w:numId w:val="892"/>
              </w:numPr>
              <w:tabs>
                <w:tab w:val="left" w:pos="158"/>
              </w:tabs>
              <w:spacing w:line="160" w:lineRule="exact"/>
              <w:ind w:right="294"/>
              <w:rPr>
                <w:sz w:val="14"/>
              </w:rPr>
            </w:pPr>
            <w:r>
              <w:rPr>
                <w:color w:val="231F20"/>
                <w:sz w:val="14"/>
              </w:rPr>
              <w:t>Полупроводиичке диоде, транзистори</w:t>
            </w:r>
            <w:r>
              <w:rPr>
                <w:color w:val="231F20"/>
                <w:spacing w:val="-22"/>
                <w:sz w:val="14"/>
              </w:rPr>
              <w:t xml:space="preserve"> </w:t>
            </w:r>
            <w:r>
              <w:rPr>
                <w:color w:val="231F20"/>
                <w:sz w:val="14"/>
              </w:rPr>
              <w:t>и фотоотпорници.</w:t>
            </w:r>
          </w:p>
          <w:p w:rsidR="00041039" w:rsidRDefault="001B26CB">
            <w:pPr>
              <w:pStyle w:val="TableParagraph"/>
              <w:spacing w:line="153" w:lineRule="exact"/>
              <w:ind w:left="57"/>
              <w:rPr>
                <w:b/>
                <w:sz w:val="14"/>
              </w:rPr>
            </w:pPr>
            <w:r>
              <w:rPr>
                <w:b/>
                <w:color w:val="231F20"/>
                <w:sz w:val="14"/>
              </w:rPr>
              <w:t>Демонстрациони огледи:</w:t>
            </w:r>
          </w:p>
          <w:p w:rsidR="00041039" w:rsidRDefault="001B26CB">
            <w:pPr>
              <w:pStyle w:val="TableParagraph"/>
              <w:numPr>
                <w:ilvl w:val="0"/>
                <w:numId w:val="892"/>
              </w:numPr>
              <w:tabs>
                <w:tab w:val="left" w:pos="158"/>
              </w:tabs>
              <w:spacing w:line="165" w:lineRule="exact"/>
              <w:rPr>
                <w:sz w:val="14"/>
              </w:rPr>
            </w:pPr>
            <w:r>
              <w:rPr>
                <w:color w:val="231F20"/>
                <w:sz w:val="14"/>
              </w:rPr>
              <w:t>Диоде.</w:t>
            </w:r>
            <w:r>
              <w:rPr>
                <w:color w:val="231F20"/>
                <w:spacing w:val="-1"/>
                <w:sz w:val="14"/>
              </w:rPr>
              <w:t xml:space="preserve"> </w:t>
            </w:r>
            <w:r>
              <w:rPr>
                <w:color w:val="231F20"/>
                <w:sz w:val="14"/>
              </w:rPr>
              <w:t>Фотопроводници.</w:t>
            </w:r>
          </w:p>
          <w:p w:rsidR="00041039" w:rsidRDefault="001B26CB">
            <w:pPr>
              <w:pStyle w:val="TableParagraph"/>
              <w:spacing w:line="155" w:lineRule="exact"/>
              <w:ind w:left="57"/>
              <w:rPr>
                <w:b/>
                <w:sz w:val="14"/>
              </w:rPr>
            </w:pPr>
            <w:r>
              <w:rPr>
                <w:b/>
                <w:color w:val="231F20"/>
                <w:sz w:val="14"/>
              </w:rPr>
              <w:t>Лабораторијске вежбе:</w:t>
            </w:r>
          </w:p>
          <w:p w:rsidR="00041039" w:rsidRDefault="001B26CB">
            <w:pPr>
              <w:pStyle w:val="TableParagraph"/>
              <w:numPr>
                <w:ilvl w:val="0"/>
                <w:numId w:val="892"/>
              </w:numPr>
              <w:tabs>
                <w:tab w:val="left" w:pos="158"/>
              </w:tabs>
              <w:spacing w:line="160" w:lineRule="exact"/>
              <w:rPr>
                <w:sz w:val="14"/>
              </w:rPr>
            </w:pPr>
            <w:r>
              <w:rPr>
                <w:color w:val="231F20"/>
                <w:sz w:val="14"/>
              </w:rPr>
              <w:t>Струјно ­ напонска карактеристика</w:t>
            </w:r>
            <w:r>
              <w:rPr>
                <w:color w:val="231F20"/>
                <w:spacing w:val="-12"/>
                <w:sz w:val="14"/>
              </w:rPr>
              <w:t xml:space="preserve"> </w:t>
            </w:r>
            <w:r>
              <w:rPr>
                <w:color w:val="231F20"/>
                <w:sz w:val="14"/>
              </w:rPr>
              <w:t>диоде.</w:t>
            </w:r>
          </w:p>
          <w:p w:rsidR="00041039" w:rsidRDefault="001B26CB">
            <w:pPr>
              <w:pStyle w:val="TableParagraph"/>
              <w:numPr>
                <w:ilvl w:val="0"/>
                <w:numId w:val="892"/>
              </w:numPr>
              <w:tabs>
                <w:tab w:val="left" w:pos="158"/>
              </w:tabs>
              <w:spacing w:line="237" w:lineRule="auto"/>
              <w:ind w:right="222"/>
              <w:rPr>
                <w:sz w:val="14"/>
              </w:rPr>
            </w:pPr>
            <w:r>
              <w:rPr>
                <w:color w:val="231F20"/>
                <w:sz w:val="14"/>
              </w:rPr>
              <w:t>Струјно ­ напонске карактеристике</w:t>
            </w:r>
            <w:r>
              <w:rPr>
                <w:color w:val="231F20"/>
                <w:spacing w:val="-21"/>
                <w:sz w:val="14"/>
              </w:rPr>
              <w:t xml:space="preserve"> </w:t>
            </w:r>
            <w:r>
              <w:rPr>
                <w:color w:val="231F20"/>
                <w:sz w:val="14"/>
              </w:rPr>
              <w:t>тран­ зистора.</w:t>
            </w:r>
          </w:p>
          <w:p w:rsidR="00041039" w:rsidRDefault="001B26CB">
            <w:pPr>
              <w:pStyle w:val="TableParagraph"/>
              <w:numPr>
                <w:ilvl w:val="0"/>
                <w:numId w:val="892"/>
              </w:numPr>
              <w:tabs>
                <w:tab w:val="left" w:pos="158"/>
              </w:tabs>
              <w:spacing w:line="160" w:lineRule="exact"/>
              <w:ind w:right="179"/>
              <w:rPr>
                <w:sz w:val="14"/>
              </w:rPr>
            </w:pPr>
            <w:r>
              <w:rPr>
                <w:color w:val="231F20"/>
                <w:sz w:val="14"/>
              </w:rPr>
              <w:t>Одређивање Планкове константе</w:t>
            </w:r>
            <w:r>
              <w:rPr>
                <w:color w:val="231F20"/>
                <w:spacing w:val="-25"/>
                <w:sz w:val="14"/>
              </w:rPr>
              <w:t xml:space="preserve"> </w:t>
            </w:r>
            <w:r>
              <w:rPr>
                <w:color w:val="231F20"/>
                <w:sz w:val="14"/>
              </w:rPr>
              <w:t>(помоћу LED</w:t>
            </w:r>
            <w:r>
              <w:rPr>
                <w:color w:val="231F20"/>
                <w:spacing w:val="-1"/>
                <w:sz w:val="14"/>
              </w:rPr>
              <w:t xml:space="preserve"> </w:t>
            </w:r>
            <w:r>
              <w:rPr>
                <w:color w:val="231F20"/>
                <w:sz w:val="14"/>
              </w:rPr>
              <w:t>диоде).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4840"/>
        </w:trPr>
        <w:tc>
          <w:tcPr>
            <w:tcW w:w="1304" w:type="dxa"/>
          </w:tcPr>
          <w:p w:rsidR="00041039" w:rsidRDefault="001B26CB">
            <w:pPr>
              <w:pStyle w:val="TableParagraph"/>
              <w:spacing w:before="18"/>
              <w:ind w:left="56" w:right="37"/>
              <w:rPr>
                <w:sz w:val="14"/>
              </w:rPr>
            </w:pPr>
            <w:r>
              <w:rPr>
                <w:color w:val="231F20"/>
                <w:sz w:val="14"/>
              </w:rPr>
              <w:lastRenderedPageBreak/>
              <w:t>Физика атомског језгра</w:t>
            </w:r>
          </w:p>
        </w:tc>
        <w:tc>
          <w:tcPr>
            <w:tcW w:w="1587" w:type="dxa"/>
          </w:tcPr>
          <w:p w:rsidR="00041039" w:rsidRDefault="001B26CB">
            <w:pPr>
              <w:pStyle w:val="TableParagraph"/>
              <w:numPr>
                <w:ilvl w:val="0"/>
                <w:numId w:val="891"/>
              </w:numPr>
              <w:tabs>
                <w:tab w:val="left" w:pos="157"/>
              </w:tabs>
              <w:spacing w:before="8"/>
              <w:ind w:right="113"/>
              <w:rPr>
                <w:sz w:val="14"/>
              </w:rPr>
            </w:pPr>
            <w:r>
              <w:rPr>
                <w:color w:val="231F20"/>
                <w:sz w:val="14"/>
              </w:rPr>
              <w:t>Продубљивање</w:t>
            </w:r>
            <w:r>
              <w:rPr>
                <w:color w:val="231F20"/>
                <w:spacing w:val="-13"/>
                <w:sz w:val="14"/>
              </w:rPr>
              <w:t xml:space="preserve"> </w:t>
            </w:r>
            <w:r>
              <w:rPr>
                <w:color w:val="231F20"/>
                <w:sz w:val="14"/>
              </w:rPr>
              <w:t xml:space="preserve">знања о физици </w:t>
            </w:r>
            <w:r>
              <w:rPr>
                <w:color w:val="231F20"/>
                <w:spacing w:val="-3"/>
                <w:sz w:val="14"/>
              </w:rPr>
              <w:t xml:space="preserve">атомског </w:t>
            </w:r>
            <w:r>
              <w:rPr>
                <w:color w:val="231F20"/>
                <w:sz w:val="14"/>
              </w:rPr>
              <w:t>језгра.</w:t>
            </w:r>
          </w:p>
          <w:p w:rsidR="00041039" w:rsidRDefault="001B26CB">
            <w:pPr>
              <w:pStyle w:val="TableParagraph"/>
              <w:numPr>
                <w:ilvl w:val="0"/>
                <w:numId w:val="891"/>
              </w:numPr>
              <w:tabs>
                <w:tab w:val="left" w:pos="157"/>
              </w:tabs>
              <w:spacing w:line="157"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15"/>
              <w:rPr>
                <w:sz w:val="14"/>
              </w:rPr>
            </w:pPr>
            <w:r>
              <w:rPr>
                <w:color w:val="231F20"/>
                <w:sz w:val="14"/>
              </w:rPr>
              <w:t>природној и вештачкој радиоактивности, примени зрачења и мерама заштите.</w:t>
            </w:r>
          </w:p>
        </w:tc>
        <w:tc>
          <w:tcPr>
            <w:tcW w:w="2551" w:type="dxa"/>
          </w:tcPr>
          <w:p w:rsidR="00041039" w:rsidRDefault="001B26CB">
            <w:pPr>
              <w:pStyle w:val="TableParagraph"/>
              <w:numPr>
                <w:ilvl w:val="0"/>
                <w:numId w:val="890"/>
              </w:numPr>
              <w:tabs>
                <w:tab w:val="left" w:pos="157"/>
              </w:tabs>
              <w:spacing w:before="8"/>
              <w:ind w:right="300" w:hanging="99"/>
              <w:rPr>
                <w:sz w:val="14"/>
              </w:rPr>
            </w:pPr>
            <w:r>
              <w:rPr>
                <w:color w:val="231F20"/>
                <w:sz w:val="14"/>
              </w:rPr>
              <w:t>објасни модел и структуру језгра</w:t>
            </w:r>
            <w:r>
              <w:rPr>
                <w:color w:val="231F20"/>
                <w:spacing w:val="-16"/>
                <w:sz w:val="14"/>
              </w:rPr>
              <w:t xml:space="preserve"> </w:t>
            </w:r>
            <w:r>
              <w:rPr>
                <w:color w:val="231F20"/>
                <w:sz w:val="14"/>
              </w:rPr>
              <w:t>и својства нуклеарних</w:t>
            </w:r>
            <w:r>
              <w:rPr>
                <w:color w:val="231F20"/>
                <w:spacing w:val="-1"/>
                <w:sz w:val="14"/>
              </w:rPr>
              <w:t xml:space="preserve"> </w:t>
            </w:r>
            <w:r>
              <w:rPr>
                <w:color w:val="231F20"/>
                <w:sz w:val="14"/>
              </w:rPr>
              <w:t>сила;</w:t>
            </w:r>
          </w:p>
          <w:p w:rsidR="00041039" w:rsidRDefault="001B26CB">
            <w:pPr>
              <w:pStyle w:val="TableParagraph"/>
              <w:numPr>
                <w:ilvl w:val="0"/>
                <w:numId w:val="890"/>
              </w:numPr>
              <w:tabs>
                <w:tab w:val="left" w:pos="157"/>
              </w:tabs>
              <w:spacing w:line="160" w:lineRule="exact"/>
              <w:ind w:right="298" w:hanging="99"/>
              <w:rPr>
                <w:sz w:val="14"/>
              </w:rPr>
            </w:pPr>
            <w:r>
              <w:rPr>
                <w:color w:val="231F20"/>
                <w:sz w:val="14"/>
              </w:rPr>
              <w:t>разуме примену и опасности при­ родног и вештачког</w:t>
            </w:r>
            <w:r>
              <w:rPr>
                <w:color w:val="231F20"/>
                <w:spacing w:val="-25"/>
                <w:sz w:val="14"/>
              </w:rPr>
              <w:t xml:space="preserve"> </w:t>
            </w:r>
            <w:r>
              <w:rPr>
                <w:color w:val="231F20"/>
                <w:sz w:val="14"/>
              </w:rPr>
              <w:t>радиоактивног зрачења;</w:t>
            </w:r>
          </w:p>
          <w:p w:rsidR="00041039" w:rsidRDefault="001B26CB">
            <w:pPr>
              <w:pStyle w:val="TableParagraph"/>
              <w:numPr>
                <w:ilvl w:val="0"/>
                <w:numId w:val="890"/>
              </w:numPr>
              <w:tabs>
                <w:tab w:val="left" w:pos="157"/>
              </w:tabs>
              <w:spacing w:line="160" w:lineRule="exact"/>
              <w:ind w:right="153" w:hanging="99"/>
              <w:rPr>
                <w:sz w:val="14"/>
              </w:rPr>
            </w:pPr>
            <w:r>
              <w:rPr>
                <w:color w:val="231F20"/>
                <w:sz w:val="14"/>
              </w:rPr>
              <w:t>објашњава интеракцију радиоакти­ вног зрачења са материјалима и</w:t>
            </w:r>
            <w:r>
              <w:rPr>
                <w:color w:val="231F20"/>
                <w:spacing w:val="-18"/>
                <w:sz w:val="14"/>
              </w:rPr>
              <w:t xml:space="preserve"> </w:t>
            </w:r>
            <w:r>
              <w:rPr>
                <w:color w:val="231F20"/>
                <w:sz w:val="14"/>
              </w:rPr>
              <w:t>мери интензитет</w:t>
            </w:r>
            <w:r>
              <w:rPr>
                <w:color w:val="231F20"/>
                <w:spacing w:val="-2"/>
                <w:sz w:val="14"/>
              </w:rPr>
              <w:t xml:space="preserve"> </w:t>
            </w:r>
            <w:r>
              <w:rPr>
                <w:color w:val="231F20"/>
                <w:sz w:val="14"/>
              </w:rPr>
              <w:t>зрачења;</w:t>
            </w:r>
          </w:p>
          <w:p w:rsidR="00041039" w:rsidRDefault="001B26CB">
            <w:pPr>
              <w:pStyle w:val="TableParagraph"/>
              <w:numPr>
                <w:ilvl w:val="0"/>
                <w:numId w:val="890"/>
              </w:numPr>
              <w:tabs>
                <w:tab w:val="left" w:pos="157"/>
              </w:tabs>
              <w:spacing w:line="160" w:lineRule="exact"/>
              <w:ind w:right="166" w:hanging="99"/>
              <w:rPr>
                <w:sz w:val="14"/>
              </w:rPr>
            </w:pPr>
            <w:r>
              <w:rPr>
                <w:color w:val="231F20"/>
                <w:sz w:val="14"/>
              </w:rPr>
              <w:t xml:space="preserve">придржава мера заштите </w:t>
            </w:r>
            <w:r>
              <w:rPr>
                <w:color w:val="231F20"/>
                <w:spacing w:val="-3"/>
                <w:sz w:val="14"/>
              </w:rPr>
              <w:t xml:space="preserve">од </w:t>
            </w:r>
            <w:r>
              <w:rPr>
                <w:color w:val="231F20"/>
                <w:sz w:val="14"/>
              </w:rPr>
              <w:t>радиоак­ тивног</w:t>
            </w:r>
            <w:r>
              <w:rPr>
                <w:color w:val="231F20"/>
                <w:spacing w:val="-1"/>
                <w:sz w:val="14"/>
              </w:rPr>
              <w:t xml:space="preserve"> </w:t>
            </w:r>
            <w:r>
              <w:rPr>
                <w:color w:val="231F20"/>
                <w:sz w:val="14"/>
              </w:rPr>
              <w:t>зрачења;</w:t>
            </w:r>
          </w:p>
          <w:p w:rsidR="00041039" w:rsidRDefault="001B26CB">
            <w:pPr>
              <w:pStyle w:val="TableParagraph"/>
              <w:numPr>
                <w:ilvl w:val="0"/>
                <w:numId w:val="890"/>
              </w:numPr>
              <w:tabs>
                <w:tab w:val="left" w:pos="157"/>
              </w:tabs>
              <w:spacing w:line="160" w:lineRule="exact"/>
              <w:ind w:right="167" w:hanging="99"/>
              <w:jc w:val="both"/>
              <w:rPr>
                <w:sz w:val="14"/>
              </w:rPr>
            </w:pPr>
            <w:r>
              <w:rPr>
                <w:color w:val="231F20"/>
                <w:sz w:val="14"/>
              </w:rPr>
              <w:t>наводи и објашњава добијање и при­ мену изотопа (енергетика,</w:t>
            </w:r>
            <w:r>
              <w:rPr>
                <w:color w:val="231F20"/>
                <w:spacing w:val="-13"/>
                <w:sz w:val="14"/>
              </w:rPr>
              <w:t xml:space="preserve"> </w:t>
            </w:r>
            <w:r>
              <w:rPr>
                <w:color w:val="231F20"/>
                <w:sz w:val="14"/>
              </w:rPr>
              <w:t>медицина, археологија,</w:t>
            </w:r>
            <w:r>
              <w:rPr>
                <w:color w:val="231F20"/>
                <w:spacing w:val="-2"/>
                <w:sz w:val="14"/>
              </w:rPr>
              <w:t xml:space="preserve"> </w:t>
            </w:r>
            <w:r>
              <w:rPr>
                <w:color w:val="231F20"/>
                <w:sz w:val="14"/>
              </w:rPr>
              <w:t>форензика...);</w:t>
            </w:r>
          </w:p>
          <w:p w:rsidR="00041039" w:rsidRDefault="001B26CB">
            <w:pPr>
              <w:pStyle w:val="TableParagraph"/>
              <w:numPr>
                <w:ilvl w:val="0"/>
                <w:numId w:val="890"/>
              </w:numPr>
              <w:tabs>
                <w:tab w:val="left" w:pos="157"/>
              </w:tabs>
              <w:spacing w:line="160" w:lineRule="exact"/>
              <w:ind w:right="104" w:hanging="99"/>
              <w:jc w:val="both"/>
              <w:rPr>
                <w:sz w:val="14"/>
              </w:rPr>
            </w:pPr>
            <w:r>
              <w:rPr>
                <w:color w:val="231F20"/>
                <w:sz w:val="14"/>
              </w:rPr>
              <w:t>изведе лаборатори</w:t>
            </w:r>
            <w:r>
              <w:rPr>
                <w:color w:val="231F20"/>
                <w:sz w:val="14"/>
              </w:rPr>
              <w:t xml:space="preserve">јску </w:t>
            </w:r>
            <w:r>
              <w:rPr>
                <w:color w:val="231F20"/>
                <w:spacing w:val="-4"/>
                <w:sz w:val="14"/>
              </w:rPr>
              <w:t xml:space="preserve">вежбу, </w:t>
            </w:r>
            <w:r>
              <w:rPr>
                <w:color w:val="231F20"/>
                <w:sz w:val="14"/>
              </w:rPr>
              <w:t>правил­ но и безбедно рукује наставним сред­ ствима, изврши потребне прорачуне</w:t>
            </w:r>
            <w:r>
              <w:rPr>
                <w:color w:val="231F20"/>
                <w:spacing w:val="-18"/>
                <w:sz w:val="14"/>
              </w:rPr>
              <w:t xml:space="preserve"> </w:t>
            </w:r>
            <w:r>
              <w:rPr>
                <w:color w:val="231F20"/>
                <w:sz w:val="14"/>
              </w:rPr>
              <w:t>и израчуна грешке при</w:t>
            </w:r>
            <w:r>
              <w:rPr>
                <w:color w:val="231F20"/>
                <w:spacing w:val="-5"/>
                <w:sz w:val="14"/>
              </w:rPr>
              <w:t xml:space="preserve"> </w:t>
            </w:r>
            <w:r>
              <w:rPr>
                <w:color w:val="231F20"/>
                <w:sz w:val="14"/>
              </w:rPr>
              <w:t>мерењу;</w:t>
            </w:r>
          </w:p>
        </w:tc>
        <w:tc>
          <w:tcPr>
            <w:tcW w:w="2834" w:type="dxa"/>
          </w:tcPr>
          <w:p w:rsidR="00041039" w:rsidRDefault="001B26CB">
            <w:pPr>
              <w:pStyle w:val="TableParagraph"/>
              <w:numPr>
                <w:ilvl w:val="0"/>
                <w:numId w:val="889"/>
              </w:numPr>
              <w:tabs>
                <w:tab w:val="left" w:pos="157"/>
              </w:tabs>
              <w:spacing w:before="8"/>
              <w:ind w:right="229" w:hanging="99"/>
              <w:rPr>
                <w:sz w:val="14"/>
              </w:rPr>
            </w:pPr>
            <w:r>
              <w:rPr>
                <w:color w:val="231F20"/>
                <w:sz w:val="14"/>
              </w:rPr>
              <w:t>Структура језгра. Карактеристике</w:t>
            </w:r>
            <w:r>
              <w:rPr>
                <w:color w:val="231F20"/>
                <w:spacing w:val="-20"/>
                <w:sz w:val="14"/>
              </w:rPr>
              <w:t xml:space="preserve"> </w:t>
            </w:r>
            <w:r>
              <w:rPr>
                <w:color w:val="231F20"/>
                <w:sz w:val="14"/>
              </w:rPr>
              <w:t>језгра. Дефект масе и енергија везе. Нуклеарне силе. Модели</w:t>
            </w:r>
            <w:r>
              <w:rPr>
                <w:color w:val="231F20"/>
                <w:spacing w:val="-1"/>
                <w:sz w:val="14"/>
              </w:rPr>
              <w:t xml:space="preserve"> </w:t>
            </w:r>
            <w:r>
              <w:rPr>
                <w:color w:val="231F20"/>
                <w:sz w:val="14"/>
              </w:rPr>
              <w:t>језгра.</w:t>
            </w:r>
          </w:p>
          <w:p w:rsidR="00041039" w:rsidRDefault="001B26CB">
            <w:pPr>
              <w:pStyle w:val="TableParagraph"/>
              <w:numPr>
                <w:ilvl w:val="0"/>
                <w:numId w:val="889"/>
              </w:numPr>
              <w:tabs>
                <w:tab w:val="left" w:pos="157"/>
              </w:tabs>
              <w:spacing w:line="157" w:lineRule="exact"/>
              <w:ind w:hanging="99"/>
              <w:rPr>
                <w:sz w:val="14"/>
              </w:rPr>
            </w:pPr>
            <w:r>
              <w:rPr>
                <w:color w:val="231F20"/>
                <w:sz w:val="14"/>
              </w:rPr>
              <w:t>Природна радиоактивност. Алфа, бета</w:t>
            </w:r>
            <w:r>
              <w:rPr>
                <w:color w:val="231F20"/>
                <w:spacing w:val="-9"/>
                <w:sz w:val="14"/>
              </w:rPr>
              <w:t xml:space="preserve"> </w:t>
            </w:r>
            <w:r>
              <w:rPr>
                <w:color w:val="231F20"/>
                <w:sz w:val="14"/>
              </w:rPr>
              <w:t>и</w:t>
            </w:r>
          </w:p>
          <w:p w:rsidR="00041039" w:rsidRDefault="001B26CB">
            <w:pPr>
              <w:pStyle w:val="TableParagraph"/>
              <w:spacing w:line="155" w:lineRule="exact"/>
              <w:rPr>
                <w:sz w:val="14"/>
              </w:rPr>
            </w:pPr>
            <w:r>
              <w:rPr>
                <w:color w:val="231F20"/>
                <w:sz w:val="14"/>
              </w:rPr>
              <w:t>гама распад.</w:t>
            </w:r>
          </w:p>
          <w:p w:rsidR="00041039" w:rsidRDefault="001B26CB">
            <w:pPr>
              <w:pStyle w:val="TableParagraph"/>
              <w:numPr>
                <w:ilvl w:val="0"/>
                <w:numId w:val="889"/>
              </w:numPr>
              <w:tabs>
                <w:tab w:val="left" w:pos="157"/>
              </w:tabs>
              <w:spacing w:line="237" w:lineRule="auto"/>
              <w:ind w:right="200" w:hanging="99"/>
              <w:rPr>
                <w:sz w:val="14"/>
              </w:rPr>
            </w:pPr>
            <w:r>
              <w:rPr>
                <w:color w:val="231F20"/>
                <w:sz w:val="14"/>
              </w:rPr>
              <w:t>Закон радиоактивног распада.</w:t>
            </w:r>
            <w:r>
              <w:rPr>
                <w:color w:val="231F20"/>
                <w:spacing w:val="-14"/>
                <w:sz w:val="14"/>
              </w:rPr>
              <w:t xml:space="preserve"> </w:t>
            </w:r>
            <w:r>
              <w:rPr>
                <w:color w:val="231F20"/>
                <w:sz w:val="14"/>
              </w:rPr>
              <w:t>Активност радиоактивног</w:t>
            </w:r>
            <w:r>
              <w:rPr>
                <w:color w:val="231F20"/>
                <w:spacing w:val="-1"/>
                <w:sz w:val="14"/>
              </w:rPr>
              <w:t xml:space="preserve"> </w:t>
            </w:r>
            <w:r>
              <w:rPr>
                <w:color w:val="231F20"/>
                <w:sz w:val="14"/>
              </w:rPr>
              <w:t>извора.</w:t>
            </w:r>
          </w:p>
          <w:p w:rsidR="00041039" w:rsidRDefault="001B26CB">
            <w:pPr>
              <w:pStyle w:val="TableParagraph"/>
              <w:numPr>
                <w:ilvl w:val="0"/>
                <w:numId w:val="889"/>
              </w:numPr>
              <w:tabs>
                <w:tab w:val="left" w:pos="157"/>
              </w:tabs>
              <w:spacing w:line="160" w:lineRule="exact"/>
              <w:ind w:right="417" w:hanging="99"/>
              <w:rPr>
                <w:sz w:val="14"/>
              </w:rPr>
            </w:pPr>
            <w:r>
              <w:rPr>
                <w:color w:val="231F20"/>
                <w:sz w:val="14"/>
              </w:rPr>
              <w:t>Радиоактивни низови и</w:t>
            </w:r>
            <w:r>
              <w:rPr>
                <w:color w:val="231F20"/>
                <w:spacing w:val="-20"/>
                <w:sz w:val="14"/>
              </w:rPr>
              <w:t xml:space="preserve"> </w:t>
            </w:r>
            <w:r>
              <w:rPr>
                <w:color w:val="231F20"/>
                <w:sz w:val="14"/>
              </w:rPr>
              <w:t>радиоактивна равнотежа</w:t>
            </w:r>
          </w:p>
          <w:p w:rsidR="00041039" w:rsidRDefault="001B26CB">
            <w:pPr>
              <w:pStyle w:val="TableParagraph"/>
              <w:numPr>
                <w:ilvl w:val="0"/>
                <w:numId w:val="889"/>
              </w:numPr>
              <w:tabs>
                <w:tab w:val="left" w:pos="157"/>
              </w:tabs>
              <w:spacing w:line="160" w:lineRule="exact"/>
              <w:ind w:right="472" w:hanging="99"/>
              <w:jc w:val="both"/>
              <w:rPr>
                <w:sz w:val="14"/>
              </w:rPr>
            </w:pPr>
            <w:r>
              <w:rPr>
                <w:color w:val="231F20"/>
                <w:sz w:val="14"/>
              </w:rPr>
              <w:t>Интеракција радиоактивног зрачења са супстанцијом. Детекција</w:t>
            </w:r>
            <w:r>
              <w:rPr>
                <w:color w:val="231F20"/>
                <w:spacing w:val="-10"/>
                <w:sz w:val="14"/>
              </w:rPr>
              <w:t xml:space="preserve"> </w:t>
            </w:r>
            <w:r>
              <w:rPr>
                <w:color w:val="231F20"/>
                <w:sz w:val="14"/>
              </w:rPr>
              <w:t xml:space="preserve">зрачења. Дозиметрија и заштита </w:t>
            </w:r>
            <w:r>
              <w:rPr>
                <w:color w:val="231F20"/>
                <w:spacing w:val="-3"/>
                <w:sz w:val="14"/>
              </w:rPr>
              <w:t>од</w:t>
            </w:r>
            <w:r>
              <w:rPr>
                <w:color w:val="231F20"/>
                <w:spacing w:val="-9"/>
                <w:sz w:val="14"/>
              </w:rPr>
              <w:t xml:space="preserve"> </w:t>
            </w:r>
            <w:r>
              <w:rPr>
                <w:color w:val="231F20"/>
                <w:sz w:val="14"/>
              </w:rPr>
              <w:t>зрач</w:t>
            </w:r>
            <w:r>
              <w:rPr>
                <w:color w:val="231F20"/>
                <w:sz w:val="14"/>
              </w:rPr>
              <w:t>ења</w:t>
            </w:r>
          </w:p>
          <w:p w:rsidR="00041039" w:rsidRDefault="001B26CB">
            <w:pPr>
              <w:pStyle w:val="TableParagraph"/>
              <w:numPr>
                <w:ilvl w:val="0"/>
                <w:numId w:val="889"/>
              </w:numPr>
              <w:tabs>
                <w:tab w:val="left" w:pos="157"/>
              </w:tabs>
              <w:spacing w:line="160" w:lineRule="exact"/>
              <w:ind w:right="109" w:hanging="99"/>
              <w:rPr>
                <w:sz w:val="14"/>
              </w:rPr>
            </w:pPr>
            <w:r>
              <w:rPr>
                <w:color w:val="231F20"/>
                <w:sz w:val="14"/>
              </w:rPr>
              <w:t>Вештачка радиоактивност. Општа</w:t>
            </w:r>
            <w:r>
              <w:rPr>
                <w:color w:val="231F20"/>
                <w:spacing w:val="-21"/>
                <w:sz w:val="14"/>
              </w:rPr>
              <w:t xml:space="preserve"> </w:t>
            </w:r>
            <w:r>
              <w:rPr>
                <w:color w:val="231F20"/>
                <w:sz w:val="14"/>
              </w:rPr>
              <w:t>својства нуклеарних реакција. Примери реакција (откриће протона и неутрона, интеракције неутрона са језгром, трансурански еле­ менти).</w:t>
            </w:r>
          </w:p>
          <w:p w:rsidR="00041039" w:rsidRDefault="001B26CB">
            <w:pPr>
              <w:pStyle w:val="TableParagraph"/>
              <w:numPr>
                <w:ilvl w:val="0"/>
                <w:numId w:val="889"/>
              </w:numPr>
              <w:tabs>
                <w:tab w:val="left" w:pos="157"/>
              </w:tabs>
              <w:spacing w:line="153" w:lineRule="exact"/>
              <w:ind w:hanging="99"/>
              <w:rPr>
                <w:sz w:val="14"/>
              </w:rPr>
            </w:pPr>
            <w:r>
              <w:rPr>
                <w:color w:val="231F20"/>
                <w:sz w:val="14"/>
              </w:rPr>
              <w:t>Акцелератори</w:t>
            </w:r>
            <w:r>
              <w:rPr>
                <w:color w:val="231F20"/>
                <w:spacing w:val="-10"/>
                <w:sz w:val="14"/>
              </w:rPr>
              <w:t xml:space="preserve"> </w:t>
            </w:r>
            <w:r>
              <w:rPr>
                <w:color w:val="231F20"/>
                <w:sz w:val="14"/>
              </w:rPr>
              <w:t>честица.</w:t>
            </w:r>
          </w:p>
          <w:p w:rsidR="00041039" w:rsidRDefault="001B26CB">
            <w:pPr>
              <w:pStyle w:val="TableParagraph"/>
              <w:numPr>
                <w:ilvl w:val="0"/>
                <w:numId w:val="889"/>
              </w:numPr>
              <w:tabs>
                <w:tab w:val="left" w:pos="157"/>
              </w:tabs>
              <w:spacing w:line="237" w:lineRule="auto"/>
              <w:ind w:right="118" w:hanging="99"/>
              <w:rPr>
                <w:sz w:val="14"/>
              </w:rPr>
            </w:pPr>
            <w:r>
              <w:rPr>
                <w:color w:val="231F20"/>
                <w:sz w:val="14"/>
              </w:rPr>
              <w:t>Нуклеарна енергетика. Фисија. Нуклеарни реактори.</w:t>
            </w:r>
          </w:p>
          <w:p w:rsidR="00041039" w:rsidRDefault="001B26CB">
            <w:pPr>
              <w:pStyle w:val="TableParagraph"/>
              <w:numPr>
                <w:ilvl w:val="0"/>
                <w:numId w:val="889"/>
              </w:numPr>
              <w:tabs>
                <w:tab w:val="left" w:pos="157"/>
              </w:tabs>
              <w:spacing w:line="160" w:lineRule="exact"/>
              <w:ind w:right="80" w:hanging="99"/>
              <w:rPr>
                <w:sz w:val="14"/>
              </w:rPr>
            </w:pPr>
            <w:r>
              <w:rPr>
                <w:color w:val="231F20"/>
                <w:sz w:val="14"/>
              </w:rPr>
              <w:t>Реакције фузије на звездама.</w:t>
            </w:r>
            <w:r>
              <w:rPr>
                <w:color w:val="231F20"/>
                <w:spacing w:val="-18"/>
                <w:sz w:val="14"/>
              </w:rPr>
              <w:t xml:space="preserve"> </w:t>
            </w:r>
            <w:r>
              <w:rPr>
                <w:color w:val="231F20"/>
                <w:sz w:val="14"/>
              </w:rPr>
              <w:t>Конфинирање плазме.</w:t>
            </w:r>
          </w:p>
          <w:p w:rsidR="00041039" w:rsidRDefault="001B26CB">
            <w:pPr>
              <w:pStyle w:val="TableParagraph"/>
              <w:numPr>
                <w:ilvl w:val="0"/>
                <w:numId w:val="889"/>
              </w:numPr>
              <w:tabs>
                <w:tab w:val="left" w:pos="157"/>
              </w:tabs>
              <w:spacing w:line="158" w:lineRule="exact"/>
              <w:ind w:hanging="99"/>
              <w:rPr>
                <w:sz w:val="14"/>
              </w:rPr>
            </w:pPr>
            <w:r>
              <w:rPr>
                <w:color w:val="231F20"/>
                <w:sz w:val="14"/>
              </w:rPr>
              <w:t>Нуклеарне и термонуклеарне</w:t>
            </w:r>
            <w:r>
              <w:rPr>
                <w:color w:val="231F20"/>
                <w:spacing w:val="-3"/>
                <w:sz w:val="14"/>
              </w:rPr>
              <w:t xml:space="preserve"> </w:t>
            </w:r>
            <w:r>
              <w:rPr>
                <w:color w:val="231F20"/>
                <w:sz w:val="14"/>
              </w:rPr>
              <w:t>бомбе.</w:t>
            </w:r>
          </w:p>
          <w:p w:rsidR="00041039" w:rsidRDefault="001B26CB">
            <w:pPr>
              <w:pStyle w:val="TableParagraph"/>
              <w:spacing w:line="155" w:lineRule="exact"/>
              <w:ind w:left="57"/>
              <w:rPr>
                <w:b/>
                <w:sz w:val="14"/>
              </w:rPr>
            </w:pPr>
            <w:r>
              <w:rPr>
                <w:b/>
                <w:color w:val="231F20"/>
                <w:sz w:val="14"/>
              </w:rPr>
              <w:t>Демонстрациони оглед:</w:t>
            </w:r>
          </w:p>
          <w:p w:rsidR="00041039" w:rsidRDefault="001B26CB">
            <w:pPr>
              <w:pStyle w:val="TableParagraph"/>
              <w:numPr>
                <w:ilvl w:val="0"/>
                <w:numId w:val="889"/>
              </w:numPr>
              <w:tabs>
                <w:tab w:val="left" w:pos="157"/>
              </w:tabs>
              <w:spacing w:line="165" w:lineRule="exact"/>
              <w:ind w:hanging="99"/>
              <w:rPr>
                <w:sz w:val="14"/>
              </w:rPr>
            </w:pPr>
            <w:r>
              <w:rPr>
                <w:color w:val="231F20"/>
                <w:sz w:val="14"/>
              </w:rPr>
              <w:t>Детекција радиоактивног</w:t>
            </w:r>
            <w:r>
              <w:rPr>
                <w:color w:val="231F20"/>
                <w:spacing w:val="-2"/>
                <w:sz w:val="14"/>
              </w:rPr>
              <w:t xml:space="preserve"> </w:t>
            </w:r>
            <w:r>
              <w:rPr>
                <w:color w:val="231F20"/>
                <w:sz w:val="14"/>
              </w:rPr>
              <w:t>зрачења.</w:t>
            </w:r>
          </w:p>
          <w:p w:rsidR="00041039" w:rsidRDefault="001B26CB">
            <w:pPr>
              <w:pStyle w:val="TableParagraph"/>
              <w:spacing w:line="155" w:lineRule="exact"/>
              <w:ind w:left="57"/>
              <w:rPr>
                <w:b/>
                <w:sz w:val="14"/>
              </w:rPr>
            </w:pPr>
            <w:r>
              <w:rPr>
                <w:b/>
                <w:color w:val="231F20"/>
                <w:sz w:val="14"/>
              </w:rPr>
              <w:t>Лабораторијске вежбе:</w:t>
            </w:r>
          </w:p>
          <w:p w:rsidR="00041039" w:rsidRDefault="001B26CB">
            <w:pPr>
              <w:pStyle w:val="TableParagraph"/>
              <w:numPr>
                <w:ilvl w:val="0"/>
                <w:numId w:val="889"/>
              </w:numPr>
              <w:tabs>
                <w:tab w:val="left" w:pos="157"/>
              </w:tabs>
              <w:spacing w:line="160" w:lineRule="exact"/>
              <w:ind w:hanging="99"/>
              <w:rPr>
                <w:sz w:val="14"/>
              </w:rPr>
            </w:pPr>
            <w:r>
              <w:rPr>
                <w:color w:val="231F20"/>
                <w:sz w:val="14"/>
              </w:rPr>
              <w:t>Мерење</w:t>
            </w:r>
            <w:r>
              <w:rPr>
                <w:color w:val="231F20"/>
                <w:spacing w:val="-1"/>
                <w:sz w:val="14"/>
              </w:rPr>
              <w:t xml:space="preserve"> </w:t>
            </w:r>
            <w:r>
              <w:rPr>
                <w:color w:val="231F20"/>
                <w:sz w:val="14"/>
              </w:rPr>
              <w:t>активности.</w:t>
            </w:r>
          </w:p>
          <w:p w:rsidR="00041039" w:rsidRDefault="001B26CB">
            <w:pPr>
              <w:pStyle w:val="TableParagraph"/>
              <w:numPr>
                <w:ilvl w:val="0"/>
                <w:numId w:val="889"/>
              </w:numPr>
              <w:tabs>
                <w:tab w:val="left" w:pos="157"/>
              </w:tabs>
              <w:spacing w:line="160" w:lineRule="exact"/>
              <w:ind w:hanging="99"/>
              <w:rPr>
                <w:sz w:val="14"/>
              </w:rPr>
            </w:pPr>
            <w:r>
              <w:rPr>
                <w:color w:val="231F20"/>
                <w:sz w:val="14"/>
              </w:rPr>
              <w:t>Детекција радиоактивног</w:t>
            </w:r>
            <w:r>
              <w:rPr>
                <w:color w:val="231F20"/>
                <w:spacing w:val="-2"/>
                <w:sz w:val="14"/>
              </w:rPr>
              <w:t xml:space="preserve"> </w:t>
            </w:r>
            <w:r>
              <w:rPr>
                <w:color w:val="231F20"/>
                <w:sz w:val="14"/>
              </w:rPr>
              <w:t>зрачења.</w:t>
            </w:r>
          </w:p>
          <w:p w:rsidR="00041039" w:rsidRDefault="001B26CB">
            <w:pPr>
              <w:pStyle w:val="TableParagraph"/>
              <w:numPr>
                <w:ilvl w:val="0"/>
                <w:numId w:val="889"/>
              </w:numPr>
              <w:tabs>
                <w:tab w:val="left" w:pos="157"/>
              </w:tabs>
              <w:spacing w:line="237" w:lineRule="auto"/>
              <w:ind w:right="390" w:hanging="99"/>
              <w:rPr>
                <w:sz w:val="14"/>
              </w:rPr>
            </w:pPr>
            <w:r>
              <w:rPr>
                <w:color w:val="231F20"/>
                <w:sz w:val="14"/>
              </w:rPr>
              <w:t>Опадање интензитета гама зрачења</w:t>
            </w:r>
            <w:r>
              <w:rPr>
                <w:color w:val="231F20"/>
                <w:spacing w:val="-21"/>
                <w:sz w:val="14"/>
              </w:rPr>
              <w:t xml:space="preserve"> </w:t>
            </w:r>
            <w:r>
              <w:rPr>
                <w:color w:val="231F20"/>
                <w:sz w:val="14"/>
              </w:rPr>
              <w:t xml:space="preserve">са повећавањем удаљености </w:t>
            </w:r>
            <w:r>
              <w:rPr>
                <w:color w:val="231F20"/>
                <w:spacing w:val="-3"/>
                <w:sz w:val="14"/>
              </w:rPr>
              <w:t>од</w:t>
            </w:r>
            <w:r>
              <w:rPr>
                <w:color w:val="231F20"/>
                <w:spacing w:val="-7"/>
                <w:sz w:val="14"/>
              </w:rPr>
              <w:t xml:space="preserve"> </w:t>
            </w:r>
            <w:r>
              <w:rPr>
                <w:color w:val="231F20"/>
                <w:sz w:val="14"/>
              </w:rPr>
              <w:t>извора.</w:t>
            </w:r>
          </w:p>
        </w:tc>
        <w:tc>
          <w:tcPr>
            <w:tcW w:w="2267" w:type="dxa"/>
            <w:vMerge w:val="restart"/>
          </w:tcPr>
          <w:p w:rsidR="00041039" w:rsidRDefault="00041039">
            <w:pPr>
              <w:pStyle w:val="TableParagraph"/>
              <w:ind w:left="0"/>
              <w:rPr>
                <w:sz w:val="14"/>
              </w:rPr>
            </w:pPr>
          </w:p>
        </w:tc>
      </w:tr>
      <w:tr w:rsidR="00041039">
        <w:trPr>
          <w:trHeight w:val="680"/>
        </w:trPr>
        <w:tc>
          <w:tcPr>
            <w:tcW w:w="1304" w:type="dxa"/>
          </w:tcPr>
          <w:p w:rsidR="00041039" w:rsidRDefault="001B26CB">
            <w:pPr>
              <w:pStyle w:val="TableParagraph"/>
              <w:spacing w:before="19"/>
              <w:ind w:left="56" w:right="77"/>
              <w:rPr>
                <w:sz w:val="14"/>
              </w:rPr>
            </w:pPr>
            <w:r>
              <w:rPr>
                <w:color w:val="231F20"/>
                <w:sz w:val="14"/>
              </w:rPr>
              <w:t>Физика елементар­ них честица</w:t>
            </w:r>
          </w:p>
        </w:tc>
        <w:tc>
          <w:tcPr>
            <w:tcW w:w="1587" w:type="dxa"/>
          </w:tcPr>
          <w:p w:rsidR="00041039" w:rsidRDefault="001B26CB">
            <w:pPr>
              <w:pStyle w:val="TableParagraph"/>
              <w:numPr>
                <w:ilvl w:val="0"/>
                <w:numId w:val="888"/>
              </w:numPr>
              <w:tabs>
                <w:tab w:val="left" w:pos="157"/>
              </w:tabs>
              <w:spacing w:before="9"/>
              <w:ind w:right="169"/>
              <w:rPr>
                <w:sz w:val="14"/>
              </w:rPr>
            </w:pPr>
            <w:r>
              <w:rPr>
                <w:color w:val="231F20"/>
                <w:sz w:val="14"/>
              </w:rPr>
              <w:t>Проширивање</w:t>
            </w:r>
            <w:r>
              <w:rPr>
                <w:color w:val="231F20"/>
                <w:spacing w:val="-10"/>
                <w:sz w:val="14"/>
              </w:rPr>
              <w:t xml:space="preserve"> </w:t>
            </w:r>
            <w:r>
              <w:rPr>
                <w:color w:val="231F20"/>
                <w:sz w:val="14"/>
              </w:rPr>
              <w:t>знања о елементарним честицама.</w:t>
            </w:r>
          </w:p>
        </w:tc>
        <w:tc>
          <w:tcPr>
            <w:tcW w:w="2551" w:type="dxa"/>
          </w:tcPr>
          <w:p w:rsidR="00041039" w:rsidRDefault="001B26CB">
            <w:pPr>
              <w:pStyle w:val="TableParagraph"/>
              <w:numPr>
                <w:ilvl w:val="0"/>
                <w:numId w:val="887"/>
              </w:numPr>
              <w:tabs>
                <w:tab w:val="left" w:pos="157"/>
              </w:tabs>
              <w:spacing w:before="9"/>
              <w:ind w:right="112" w:hanging="99"/>
              <w:rPr>
                <w:sz w:val="14"/>
              </w:rPr>
            </w:pPr>
            <w:r>
              <w:rPr>
                <w:color w:val="231F20"/>
                <w:sz w:val="14"/>
              </w:rPr>
              <w:t>Изврши класификацију елементарних честица и наведе основне каракте­ ристике и значај експеримената у ЦЕРН ­</w:t>
            </w:r>
            <w:r>
              <w:rPr>
                <w:color w:val="231F20"/>
                <w:spacing w:val="-1"/>
                <w:sz w:val="14"/>
              </w:rPr>
              <w:t xml:space="preserve"> </w:t>
            </w:r>
            <w:r>
              <w:rPr>
                <w:color w:val="231F20"/>
                <w:sz w:val="14"/>
              </w:rPr>
              <w:t>у;</w:t>
            </w:r>
          </w:p>
        </w:tc>
        <w:tc>
          <w:tcPr>
            <w:tcW w:w="2834" w:type="dxa"/>
          </w:tcPr>
          <w:p w:rsidR="00041039" w:rsidRDefault="001B26CB">
            <w:pPr>
              <w:pStyle w:val="TableParagraph"/>
              <w:numPr>
                <w:ilvl w:val="0"/>
                <w:numId w:val="886"/>
              </w:numPr>
              <w:tabs>
                <w:tab w:val="left" w:pos="157"/>
              </w:tabs>
              <w:spacing w:before="9"/>
              <w:ind w:right="346" w:hanging="99"/>
              <w:rPr>
                <w:sz w:val="14"/>
              </w:rPr>
            </w:pPr>
            <w:r>
              <w:rPr>
                <w:color w:val="231F20"/>
                <w:sz w:val="14"/>
              </w:rPr>
              <w:t>Класификација елементарних честица. Основне интеракције између честица. Честице и анти честице.</w:t>
            </w:r>
            <w:r>
              <w:rPr>
                <w:color w:val="231F20"/>
                <w:spacing w:val="-3"/>
                <w:sz w:val="14"/>
              </w:rPr>
              <w:t xml:space="preserve"> </w:t>
            </w:r>
            <w:r>
              <w:rPr>
                <w:color w:val="231F20"/>
                <w:sz w:val="14"/>
              </w:rPr>
              <w:t>Кваркови.</w:t>
            </w:r>
          </w:p>
          <w:p w:rsidR="00041039" w:rsidRDefault="001B26CB">
            <w:pPr>
              <w:pStyle w:val="TableParagraph"/>
              <w:numPr>
                <w:ilvl w:val="0"/>
                <w:numId w:val="886"/>
              </w:numPr>
              <w:tabs>
                <w:tab w:val="left" w:pos="157"/>
              </w:tabs>
              <w:spacing w:line="158" w:lineRule="exact"/>
              <w:ind w:hanging="99"/>
              <w:rPr>
                <w:sz w:val="14"/>
              </w:rPr>
            </w:pPr>
            <w:r>
              <w:rPr>
                <w:color w:val="231F20"/>
                <w:sz w:val="14"/>
              </w:rPr>
              <w:t>Космичко</w:t>
            </w:r>
            <w:r>
              <w:rPr>
                <w:color w:val="231F20"/>
                <w:spacing w:val="-1"/>
                <w:sz w:val="14"/>
              </w:rPr>
              <w:t xml:space="preserve"> </w:t>
            </w:r>
            <w:r>
              <w:rPr>
                <w:color w:val="231F20"/>
                <w:sz w:val="14"/>
              </w:rPr>
              <w:t>зрачење.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Математика</w:t>
      </w:r>
    </w:p>
    <w:p w:rsidR="00041039" w:rsidRDefault="001B26CB">
      <w:pPr>
        <w:pStyle w:val="ListParagraph"/>
        <w:numPr>
          <w:ilvl w:val="1"/>
          <w:numId w:val="976"/>
        </w:numPr>
        <w:tabs>
          <w:tab w:val="left" w:pos="633"/>
        </w:tabs>
        <w:rPr>
          <w:sz w:val="18"/>
        </w:rPr>
      </w:pPr>
      <w:r>
        <w:rPr>
          <w:color w:val="231F20"/>
          <w:sz w:val="18"/>
        </w:rPr>
        <w:t>Познавање</w:t>
      </w:r>
      <w:r>
        <w:rPr>
          <w:color w:val="231F20"/>
          <w:spacing w:val="-1"/>
          <w:sz w:val="18"/>
        </w:rPr>
        <w:t xml:space="preserve"> </w:t>
      </w:r>
      <w:r>
        <w:rPr>
          <w:color w:val="231F20"/>
          <w:sz w:val="18"/>
        </w:rPr>
        <w:t>материјала</w:t>
      </w:r>
    </w:p>
    <w:p w:rsidR="00041039" w:rsidRDefault="001B26CB">
      <w:pPr>
        <w:pStyle w:val="ListParagraph"/>
        <w:numPr>
          <w:ilvl w:val="1"/>
          <w:numId w:val="976"/>
        </w:numPr>
        <w:tabs>
          <w:tab w:val="left" w:pos="633"/>
        </w:tabs>
        <w:rPr>
          <w:sz w:val="18"/>
        </w:rPr>
      </w:pPr>
      <w:r>
        <w:rPr>
          <w:color w:val="231F20"/>
          <w:sz w:val="18"/>
        </w:rPr>
        <w:t>Електротехника</w:t>
      </w:r>
    </w:p>
    <w:p w:rsidR="00041039" w:rsidRDefault="001B26CB">
      <w:pPr>
        <w:pStyle w:val="ListParagraph"/>
        <w:numPr>
          <w:ilvl w:val="1"/>
          <w:numId w:val="976"/>
        </w:numPr>
        <w:tabs>
          <w:tab w:val="left" w:pos="633"/>
        </w:tabs>
        <w:spacing w:line="203" w:lineRule="exact"/>
        <w:rPr>
          <w:sz w:val="18"/>
        </w:rPr>
      </w:pPr>
      <w:r>
        <w:rPr>
          <w:color w:val="231F20"/>
          <w:sz w:val="18"/>
        </w:rPr>
        <w:t>Опасне</w:t>
      </w:r>
      <w:r>
        <w:rPr>
          <w:color w:val="231F20"/>
          <w:spacing w:val="-18"/>
          <w:sz w:val="18"/>
        </w:rPr>
        <w:t xml:space="preserve"> </w:t>
      </w:r>
      <w:r>
        <w:rPr>
          <w:color w:val="231F20"/>
          <w:sz w:val="18"/>
        </w:rPr>
        <w:t>материје</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БИОЛОГИЈА </w:t>
      </w:r>
      <w:r>
        <w:rPr>
          <w:b/>
          <w:color w:val="231F20"/>
          <w:spacing w:val="-3"/>
          <w:sz w:val="14"/>
        </w:rPr>
        <w:t>(ОДАБРАНЕ</w:t>
      </w:r>
      <w:r>
        <w:rPr>
          <w:b/>
          <w:color w:val="231F20"/>
          <w:spacing w:val="-1"/>
          <w:sz w:val="14"/>
        </w:rPr>
        <w:t xml:space="preserve"> </w:t>
      </w:r>
      <w:r>
        <w:rPr>
          <w:b/>
          <w:color w:val="231F20"/>
          <w:sz w:val="14"/>
        </w:rPr>
        <w:t>ТЕМЕ)</w:t>
      </w:r>
    </w:p>
    <w:p w:rsidR="00041039" w:rsidRDefault="001B26CB">
      <w:pPr>
        <w:pStyle w:val="BodyText"/>
        <w:spacing w:before="49" w:line="161" w:lineRule="exact"/>
        <w:ind w:left="157"/>
      </w:pPr>
      <w:r>
        <w:rPr>
          <w:color w:val="231F20"/>
        </w:rPr>
        <w:t>Циљеви предмета: – Проширивање знања о нивоима организације биолошких система, грађи и функцији ћелије, току и значају ћелијских деоба;</w:t>
      </w:r>
    </w:p>
    <w:p w:rsidR="00041039" w:rsidRDefault="001B26CB">
      <w:pPr>
        <w:pStyle w:val="ListParagraph"/>
        <w:numPr>
          <w:ilvl w:val="2"/>
          <w:numId w:val="976"/>
        </w:numPr>
        <w:tabs>
          <w:tab w:val="left" w:pos="1566"/>
        </w:tabs>
        <w:spacing w:line="160" w:lineRule="exact"/>
        <w:rPr>
          <w:sz w:val="14"/>
        </w:rPr>
      </w:pPr>
      <w:r>
        <w:rPr>
          <w:color w:val="231F20"/>
          <w:sz w:val="14"/>
        </w:rPr>
        <w:t xml:space="preserve">Разумевање физиолошких процеса у </w:t>
      </w:r>
      <w:r>
        <w:rPr>
          <w:color w:val="231F20"/>
          <w:spacing w:val="-3"/>
          <w:sz w:val="14"/>
        </w:rPr>
        <w:t>људском</w:t>
      </w:r>
      <w:r>
        <w:rPr>
          <w:color w:val="231F20"/>
          <w:spacing w:val="-2"/>
          <w:sz w:val="14"/>
        </w:rPr>
        <w:t xml:space="preserve"> </w:t>
      </w:r>
      <w:r>
        <w:rPr>
          <w:color w:val="231F20"/>
          <w:sz w:val="14"/>
        </w:rPr>
        <w:t>организму;</w:t>
      </w:r>
    </w:p>
    <w:p w:rsidR="00041039" w:rsidRDefault="001B26CB">
      <w:pPr>
        <w:pStyle w:val="ListParagraph"/>
        <w:numPr>
          <w:ilvl w:val="2"/>
          <w:numId w:val="976"/>
        </w:numPr>
        <w:tabs>
          <w:tab w:val="left" w:pos="1566"/>
        </w:tabs>
        <w:spacing w:line="160" w:lineRule="exact"/>
        <w:rPr>
          <w:sz w:val="14"/>
        </w:rPr>
      </w:pPr>
      <w:r>
        <w:rPr>
          <w:color w:val="231F20"/>
          <w:sz w:val="14"/>
        </w:rPr>
        <w:t>Упознавање са основним фазама развића</w:t>
      </w:r>
      <w:r>
        <w:rPr>
          <w:color w:val="231F20"/>
          <w:spacing w:val="-1"/>
          <w:sz w:val="14"/>
        </w:rPr>
        <w:t xml:space="preserve"> </w:t>
      </w:r>
      <w:r>
        <w:rPr>
          <w:color w:val="231F20"/>
          <w:sz w:val="14"/>
        </w:rPr>
        <w:t>човека;</w:t>
      </w:r>
    </w:p>
    <w:p w:rsidR="00041039" w:rsidRDefault="001B26CB">
      <w:pPr>
        <w:pStyle w:val="ListParagraph"/>
        <w:numPr>
          <w:ilvl w:val="2"/>
          <w:numId w:val="976"/>
        </w:numPr>
        <w:tabs>
          <w:tab w:val="left" w:pos="1566"/>
        </w:tabs>
        <w:spacing w:line="160" w:lineRule="exact"/>
        <w:rPr>
          <w:sz w:val="14"/>
        </w:rPr>
      </w:pPr>
      <w:r>
        <w:rPr>
          <w:color w:val="231F20"/>
          <w:sz w:val="14"/>
        </w:rPr>
        <w:t>Разумевање основних принципа наслеђивања</w:t>
      </w:r>
      <w:r>
        <w:rPr>
          <w:color w:val="231F20"/>
          <w:spacing w:val="-2"/>
          <w:sz w:val="14"/>
        </w:rPr>
        <w:t xml:space="preserve"> </w:t>
      </w:r>
      <w:r>
        <w:rPr>
          <w:color w:val="231F20"/>
          <w:sz w:val="14"/>
        </w:rPr>
        <w:t>особина;</w:t>
      </w:r>
    </w:p>
    <w:p w:rsidR="00041039" w:rsidRDefault="001B26CB">
      <w:pPr>
        <w:pStyle w:val="ListParagraph"/>
        <w:numPr>
          <w:ilvl w:val="2"/>
          <w:numId w:val="976"/>
        </w:numPr>
        <w:tabs>
          <w:tab w:val="left" w:pos="1566"/>
        </w:tabs>
        <w:spacing w:line="161" w:lineRule="exact"/>
        <w:rPr>
          <w:sz w:val="14"/>
        </w:rPr>
      </w:pPr>
      <w:r>
        <w:rPr>
          <w:color w:val="231F20"/>
          <w:sz w:val="14"/>
        </w:rPr>
        <w:t xml:space="preserve">Разумевање проблема везаних за период одрастања и облике ризичног понашања и схватање </w:t>
      </w:r>
      <w:r>
        <w:rPr>
          <w:color w:val="231F20"/>
          <w:spacing w:val="-3"/>
          <w:sz w:val="14"/>
        </w:rPr>
        <w:t xml:space="preserve">улоге </w:t>
      </w:r>
      <w:r>
        <w:rPr>
          <w:color w:val="231F20"/>
          <w:sz w:val="14"/>
        </w:rPr>
        <w:t>и значаја</w:t>
      </w:r>
      <w:r>
        <w:rPr>
          <w:color w:val="231F20"/>
          <w:spacing w:val="-17"/>
          <w:sz w:val="14"/>
        </w:rPr>
        <w:t xml:space="preserve"> </w:t>
      </w:r>
      <w:r>
        <w:rPr>
          <w:color w:val="231F20"/>
          <w:sz w:val="14"/>
        </w:rPr>
        <w:t>породице.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560"/>
        </w:trPr>
        <w:tc>
          <w:tcPr>
            <w:tcW w:w="1304" w:type="dxa"/>
          </w:tcPr>
          <w:p w:rsidR="00041039" w:rsidRDefault="001B26CB">
            <w:pPr>
              <w:pStyle w:val="TableParagraph"/>
              <w:spacing w:before="18"/>
              <w:ind w:left="56"/>
              <w:rPr>
                <w:sz w:val="14"/>
              </w:rPr>
            </w:pPr>
            <w:r>
              <w:rPr>
                <w:color w:val="231F20"/>
                <w:sz w:val="14"/>
              </w:rPr>
              <w:t>Биологија ћелије</w:t>
            </w:r>
          </w:p>
        </w:tc>
        <w:tc>
          <w:tcPr>
            <w:tcW w:w="1587" w:type="dxa"/>
          </w:tcPr>
          <w:p w:rsidR="00041039" w:rsidRDefault="001B26CB">
            <w:pPr>
              <w:pStyle w:val="TableParagraph"/>
              <w:numPr>
                <w:ilvl w:val="0"/>
                <w:numId w:val="885"/>
              </w:numPr>
              <w:tabs>
                <w:tab w:val="left" w:pos="157"/>
              </w:tabs>
              <w:spacing w:before="8"/>
              <w:ind w:right="92"/>
              <w:rPr>
                <w:sz w:val="14"/>
              </w:rPr>
            </w:pPr>
            <w:r>
              <w:rPr>
                <w:color w:val="231F20"/>
                <w:sz w:val="14"/>
              </w:rPr>
              <w:t>Упознавање са предметом и значајем цитологије као</w:t>
            </w:r>
            <w:r>
              <w:rPr>
                <w:color w:val="231F20"/>
                <w:spacing w:val="-21"/>
                <w:sz w:val="14"/>
              </w:rPr>
              <w:t xml:space="preserve"> </w:t>
            </w:r>
            <w:r>
              <w:rPr>
                <w:color w:val="231F20"/>
                <w:sz w:val="14"/>
              </w:rPr>
              <w:t>научне дисциплине.</w:t>
            </w:r>
          </w:p>
          <w:p w:rsidR="00041039" w:rsidRDefault="001B26CB">
            <w:pPr>
              <w:pStyle w:val="TableParagraph"/>
              <w:numPr>
                <w:ilvl w:val="0"/>
                <w:numId w:val="885"/>
              </w:numPr>
              <w:tabs>
                <w:tab w:val="left" w:pos="157"/>
              </w:tabs>
              <w:spacing w:line="156"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33"/>
              <w:rPr>
                <w:sz w:val="14"/>
              </w:rPr>
            </w:pPr>
            <w:r>
              <w:rPr>
                <w:color w:val="231F20"/>
                <w:sz w:val="14"/>
              </w:rPr>
              <w:t>особинама живих бића и нивоима органи­ зације биолошких система.</w:t>
            </w:r>
          </w:p>
          <w:p w:rsidR="00041039" w:rsidRDefault="001B26CB">
            <w:pPr>
              <w:pStyle w:val="TableParagraph"/>
              <w:numPr>
                <w:ilvl w:val="0"/>
                <w:numId w:val="885"/>
              </w:numPr>
              <w:tabs>
                <w:tab w:val="left" w:pos="157"/>
              </w:tabs>
              <w:spacing w:line="157" w:lineRule="exact"/>
              <w:rPr>
                <w:sz w:val="14"/>
              </w:rPr>
            </w:pPr>
            <w:r>
              <w:rPr>
                <w:color w:val="231F20"/>
                <w:sz w:val="14"/>
              </w:rPr>
              <w:t>Упознавање</w:t>
            </w:r>
            <w:r>
              <w:rPr>
                <w:color w:val="231F20"/>
                <w:spacing w:val="-2"/>
                <w:sz w:val="14"/>
              </w:rPr>
              <w:t xml:space="preserve"> </w:t>
            </w:r>
            <w:r>
              <w:rPr>
                <w:color w:val="231F20"/>
                <w:sz w:val="14"/>
              </w:rPr>
              <w:t>са</w:t>
            </w:r>
          </w:p>
          <w:p w:rsidR="00041039" w:rsidRDefault="001B26CB">
            <w:pPr>
              <w:pStyle w:val="TableParagraph"/>
              <w:ind w:right="15"/>
              <w:rPr>
                <w:sz w:val="14"/>
              </w:rPr>
            </w:pPr>
            <w:r>
              <w:rPr>
                <w:color w:val="231F20"/>
                <w:sz w:val="14"/>
              </w:rPr>
              <w:t>хемијским саставом ћелије, грађом и функцијом.</w:t>
            </w:r>
          </w:p>
          <w:p w:rsidR="00041039" w:rsidRDefault="001B26CB">
            <w:pPr>
              <w:pStyle w:val="TableParagraph"/>
              <w:numPr>
                <w:ilvl w:val="0"/>
                <w:numId w:val="885"/>
              </w:numPr>
              <w:tabs>
                <w:tab w:val="left" w:pos="157"/>
              </w:tabs>
              <w:spacing w:line="158" w:lineRule="exact"/>
              <w:rPr>
                <w:sz w:val="14"/>
              </w:rPr>
            </w:pPr>
            <w:r>
              <w:rPr>
                <w:color w:val="231F20"/>
                <w:sz w:val="14"/>
              </w:rPr>
              <w:t>Схватање значаја</w:t>
            </w:r>
            <w:r>
              <w:rPr>
                <w:color w:val="231F20"/>
                <w:spacing w:val="-6"/>
                <w:sz w:val="14"/>
              </w:rPr>
              <w:t xml:space="preserve"> </w:t>
            </w:r>
            <w:r>
              <w:rPr>
                <w:color w:val="231F20"/>
                <w:sz w:val="14"/>
              </w:rPr>
              <w:t>(фо­</w:t>
            </w:r>
          </w:p>
          <w:p w:rsidR="00041039" w:rsidRDefault="001B26CB">
            <w:pPr>
              <w:pStyle w:val="TableParagraph"/>
              <w:ind w:right="15"/>
              <w:rPr>
                <w:sz w:val="14"/>
              </w:rPr>
            </w:pPr>
            <w:r>
              <w:rPr>
                <w:color w:val="231F20"/>
                <w:sz w:val="14"/>
              </w:rPr>
              <w:t>тосинтезе и ћелијског дисања).</w:t>
            </w:r>
          </w:p>
          <w:p w:rsidR="00041039" w:rsidRDefault="001B26CB">
            <w:pPr>
              <w:pStyle w:val="TableParagraph"/>
              <w:numPr>
                <w:ilvl w:val="0"/>
                <w:numId w:val="885"/>
              </w:numPr>
              <w:tabs>
                <w:tab w:val="left" w:pos="157"/>
              </w:tabs>
              <w:spacing w:line="160" w:lineRule="exact"/>
              <w:ind w:right="201"/>
              <w:rPr>
                <w:sz w:val="14"/>
              </w:rPr>
            </w:pPr>
            <w:r>
              <w:rPr>
                <w:color w:val="231F20"/>
                <w:sz w:val="14"/>
              </w:rPr>
              <w:t>Разумевање</w:t>
            </w:r>
            <w:r>
              <w:rPr>
                <w:color w:val="231F20"/>
                <w:spacing w:val="-7"/>
                <w:sz w:val="14"/>
              </w:rPr>
              <w:t xml:space="preserve"> </w:t>
            </w:r>
            <w:r>
              <w:rPr>
                <w:color w:val="231F20"/>
                <w:sz w:val="14"/>
              </w:rPr>
              <w:t xml:space="preserve">процеса који се одигравају </w:t>
            </w:r>
            <w:r>
              <w:rPr>
                <w:color w:val="231F20"/>
                <w:spacing w:val="-3"/>
                <w:sz w:val="14"/>
              </w:rPr>
              <w:t xml:space="preserve">током </w:t>
            </w:r>
            <w:r>
              <w:rPr>
                <w:color w:val="231F20"/>
                <w:sz w:val="14"/>
              </w:rPr>
              <w:t>ћелијског циклуса.</w:t>
            </w:r>
          </w:p>
          <w:p w:rsidR="00041039" w:rsidRDefault="001B26CB">
            <w:pPr>
              <w:pStyle w:val="TableParagraph"/>
              <w:numPr>
                <w:ilvl w:val="0"/>
                <w:numId w:val="885"/>
              </w:numPr>
              <w:tabs>
                <w:tab w:val="left" w:pos="157"/>
              </w:tabs>
              <w:spacing w:line="160" w:lineRule="exact"/>
              <w:ind w:right="44"/>
              <w:rPr>
                <w:sz w:val="14"/>
              </w:rPr>
            </w:pPr>
            <w:r>
              <w:rPr>
                <w:color w:val="231F20"/>
                <w:sz w:val="14"/>
              </w:rPr>
              <w:t>Разумевање ток</w:t>
            </w:r>
            <w:r>
              <w:rPr>
                <w:color w:val="231F20"/>
                <w:sz w:val="14"/>
              </w:rPr>
              <w:t>а и</w:t>
            </w:r>
            <w:r>
              <w:rPr>
                <w:color w:val="231F20"/>
                <w:spacing w:val="-20"/>
                <w:sz w:val="14"/>
              </w:rPr>
              <w:t xml:space="preserve"> </w:t>
            </w:r>
            <w:r>
              <w:rPr>
                <w:color w:val="231F20"/>
                <w:sz w:val="14"/>
              </w:rPr>
              <w:t>зна­ чаја ћелијских деоба.</w:t>
            </w:r>
          </w:p>
        </w:tc>
        <w:tc>
          <w:tcPr>
            <w:tcW w:w="2551" w:type="dxa"/>
          </w:tcPr>
          <w:p w:rsidR="00041039" w:rsidRDefault="001B26CB">
            <w:pPr>
              <w:pStyle w:val="TableParagraph"/>
              <w:numPr>
                <w:ilvl w:val="0"/>
                <w:numId w:val="884"/>
              </w:numPr>
              <w:tabs>
                <w:tab w:val="left" w:pos="157"/>
              </w:tabs>
              <w:spacing w:before="8"/>
              <w:ind w:right="501" w:hanging="99"/>
              <w:rPr>
                <w:sz w:val="14"/>
              </w:rPr>
            </w:pPr>
            <w:r>
              <w:rPr>
                <w:color w:val="231F20"/>
                <w:sz w:val="14"/>
              </w:rPr>
              <w:t>дефинише предмет</w:t>
            </w:r>
            <w:r>
              <w:rPr>
                <w:color w:val="231F20"/>
                <w:spacing w:val="-12"/>
                <w:sz w:val="14"/>
              </w:rPr>
              <w:t xml:space="preserve"> </w:t>
            </w:r>
            <w:r>
              <w:rPr>
                <w:color w:val="231F20"/>
                <w:sz w:val="14"/>
              </w:rPr>
              <w:t>проучавања цитологије;</w:t>
            </w:r>
          </w:p>
          <w:p w:rsidR="00041039" w:rsidRDefault="001B26CB">
            <w:pPr>
              <w:pStyle w:val="TableParagraph"/>
              <w:numPr>
                <w:ilvl w:val="0"/>
                <w:numId w:val="884"/>
              </w:numPr>
              <w:tabs>
                <w:tab w:val="left" w:pos="157"/>
              </w:tabs>
              <w:spacing w:before="1" w:line="160" w:lineRule="exact"/>
              <w:ind w:right="310" w:hanging="99"/>
              <w:rPr>
                <w:sz w:val="14"/>
              </w:rPr>
            </w:pPr>
            <w:r>
              <w:rPr>
                <w:color w:val="231F20"/>
                <w:sz w:val="14"/>
              </w:rPr>
              <w:t xml:space="preserve">наведе </w:t>
            </w:r>
            <w:r>
              <w:rPr>
                <w:color w:val="231F20"/>
                <w:spacing w:val="-2"/>
                <w:sz w:val="14"/>
              </w:rPr>
              <w:t xml:space="preserve">главне </w:t>
            </w:r>
            <w:r>
              <w:rPr>
                <w:color w:val="231F20"/>
                <w:sz w:val="14"/>
              </w:rPr>
              <w:t>особине живих бића и нивое организације биолошких система;</w:t>
            </w:r>
          </w:p>
          <w:p w:rsidR="00041039" w:rsidRDefault="001B26CB">
            <w:pPr>
              <w:pStyle w:val="TableParagraph"/>
              <w:numPr>
                <w:ilvl w:val="0"/>
                <w:numId w:val="884"/>
              </w:numPr>
              <w:tabs>
                <w:tab w:val="left" w:pos="157"/>
              </w:tabs>
              <w:spacing w:line="153" w:lineRule="exact"/>
              <w:ind w:hanging="99"/>
              <w:rPr>
                <w:sz w:val="14"/>
              </w:rPr>
            </w:pPr>
            <w:r>
              <w:rPr>
                <w:color w:val="231F20"/>
                <w:sz w:val="14"/>
              </w:rPr>
              <w:t>објасни хемијску структуру</w:t>
            </w:r>
            <w:r>
              <w:rPr>
                <w:color w:val="231F20"/>
                <w:spacing w:val="-4"/>
                <w:sz w:val="14"/>
              </w:rPr>
              <w:t xml:space="preserve"> </w:t>
            </w:r>
            <w:r>
              <w:rPr>
                <w:color w:val="231F20"/>
                <w:sz w:val="14"/>
              </w:rPr>
              <w:t>ћелије;</w:t>
            </w:r>
          </w:p>
          <w:p w:rsidR="00041039" w:rsidRDefault="001B26CB">
            <w:pPr>
              <w:pStyle w:val="TableParagraph"/>
              <w:numPr>
                <w:ilvl w:val="0"/>
                <w:numId w:val="884"/>
              </w:numPr>
              <w:tabs>
                <w:tab w:val="left" w:pos="157"/>
              </w:tabs>
              <w:spacing w:line="160" w:lineRule="exact"/>
              <w:ind w:hanging="99"/>
              <w:rPr>
                <w:sz w:val="14"/>
              </w:rPr>
            </w:pPr>
            <w:r>
              <w:rPr>
                <w:color w:val="231F20"/>
                <w:sz w:val="14"/>
              </w:rPr>
              <w:t>објасни функцију ћелијских</w:t>
            </w:r>
            <w:r>
              <w:rPr>
                <w:color w:val="231F20"/>
                <w:spacing w:val="-2"/>
                <w:sz w:val="14"/>
              </w:rPr>
              <w:t xml:space="preserve"> </w:t>
            </w:r>
            <w:r>
              <w:rPr>
                <w:color w:val="231F20"/>
                <w:sz w:val="14"/>
              </w:rPr>
              <w:t>органела;</w:t>
            </w:r>
          </w:p>
          <w:p w:rsidR="00041039" w:rsidRDefault="001B26CB">
            <w:pPr>
              <w:pStyle w:val="TableParagraph"/>
              <w:numPr>
                <w:ilvl w:val="0"/>
                <w:numId w:val="884"/>
              </w:numPr>
              <w:tabs>
                <w:tab w:val="left" w:pos="157"/>
              </w:tabs>
              <w:spacing w:line="237" w:lineRule="auto"/>
              <w:ind w:right="452" w:hanging="99"/>
              <w:rPr>
                <w:sz w:val="14"/>
              </w:rPr>
            </w:pPr>
            <w:r>
              <w:rPr>
                <w:color w:val="231F20"/>
                <w:sz w:val="14"/>
              </w:rPr>
              <w:t>објасни разлике између биљне</w:t>
            </w:r>
            <w:r>
              <w:rPr>
                <w:color w:val="231F20"/>
                <w:spacing w:val="-7"/>
                <w:sz w:val="14"/>
              </w:rPr>
              <w:t xml:space="preserve"> </w:t>
            </w:r>
            <w:r>
              <w:rPr>
                <w:color w:val="231F20"/>
                <w:sz w:val="14"/>
              </w:rPr>
              <w:t>и животињске</w:t>
            </w:r>
            <w:r>
              <w:rPr>
                <w:color w:val="231F20"/>
                <w:spacing w:val="-1"/>
                <w:sz w:val="14"/>
              </w:rPr>
              <w:t xml:space="preserve"> </w:t>
            </w:r>
            <w:r>
              <w:rPr>
                <w:color w:val="231F20"/>
                <w:sz w:val="14"/>
              </w:rPr>
              <w:t>ћелије;</w:t>
            </w:r>
          </w:p>
          <w:p w:rsidR="00041039" w:rsidRDefault="001B26CB">
            <w:pPr>
              <w:pStyle w:val="TableParagraph"/>
              <w:numPr>
                <w:ilvl w:val="0"/>
                <w:numId w:val="884"/>
              </w:numPr>
              <w:tabs>
                <w:tab w:val="left" w:pos="157"/>
              </w:tabs>
              <w:spacing w:line="160" w:lineRule="exact"/>
              <w:ind w:right="269" w:hanging="99"/>
              <w:rPr>
                <w:sz w:val="14"/>
              </w:rPr>
            </w:pPr>
            <w:r>
              <w:rPr>
                <w:color w:val="231F20"/>
                <w:sz w:val="14"/>
              </w:rPr>
              <w:t>објасни ток и значај кључних</w:t>
            </w:r>
            <w:r>
              <w:rPr>
                <w:color w:val="231F20"/>
                <w:spacing w:val="-10"/>
                <w:sz w:val="14"/>
              </w:rPr>
              <w:t xml:space="preserve"> </w:t>
            </w:r>
            <w:r>
              <w:rPr>
                <w:color w:val="231F20"/>
                <w:sz w:val="14"/>
              </w:rPr>
              <w:t>мета­ боличких процеса: фотосинтезе и ћелијског</w:t>
            </w:r>
            <w:r>
              <w:rPr>
                <w:color w:val="231F20"/>
                <w:spacing w:val="-1"/>
                <w:sz w:val="14"/>
              </w:rPr>
              <w:t xml:space="preserve"> </w:t>
            </w:r>
            <w:r>
              <w:rPr>
                <w:color w:val="231F20"/>
                <w:sz w:val="14"/>
              </w:rPr>
              <w:t>дисања;</w:t>
            </w:r>
          </w:p>
          <w:p w:rsidR="00041039" w:rsidRDefault="001B26CB">
            <w:pPr>
              <w:pStyle w:val="TableParagraph"/>
              <w:numPr>
                <w:ilvl w:val="0"/>
                <w:numId w:val="884"/>
              </w:numPr>
              <w:tabs>
                <w:tab w:val="left" w:pos="157"/>
              </w:tabs>
              <w:spacing w:line="153" w:lineRule="exact"/>
              <w:ind w:hanging="99"/>
              <w:rPr>
                <w:sz w:val="14"/>
              </w:rPr>
            </w:pPr>
            <w:r>
              <w:rPr>
                <w:color w:val="231F20"/>
                <w:sz w:val="14"/>
              </w:rPr>
              <w:t>објасни фазе ћелијског</w:t>
            </w:r>
            <w:r>
              <w:rPr>
                <w:color w:val="231F20"/>
                <w:spacing w:val="-3"/>
                <w:sz w:val="14"/>
              </w:rPr>
              <w:t xml:space="preserve"> </w:t>
            </w:r>
            <w:r>
              <w:rPr>
                <w:color w:val="231F20"/>
                <w:sz w:val="14"/>
              </w:rPr>
              <w:t>циклуса;</w:t>
            </w:r>
          </w:p>
          <w:p w:rsidR="00041039" w:rsidRDefault="001B26CB">
            <w:pPr>
              <w:pStyle w:val="TableParagraph"/>
              <w:numPr>
                <w:ilvl w:val="0"/>
                <w:numId w:val="884"/>
              </w:numPr>
              <w:tabs>
                <w:tab w:val="left" w:pos="157"/>
              </w:tabs>
              <w:spacing w:line="166" w:lineRule="exact"/>
              <w:ind w:hanging="99"/>
              <w:rPr>
                <w:sz w:val="14"/>
              </w:rPr>
            </w:pPr>
            <w:r>
              <w:rPr>
                <w:color w:val="231F20"/>
                <w:sz w:val="14"/>
              </w:rPr>
              <w:t>објасни ток и значај митозе и</w:t>
            </w:r>
            <w:r>
              <w:rPr>
                <w:color w:val="231F20"/>
                <w:spacing w:val="-9"/>
                <w:sz w:val="14"/>
              </w:rPr>
              <w:t xml:space="preserve"> </w:t>
            </w:r>
            <w:r>
              <w:rPr>
                <w:color w:val="231F20"/>
                <w:sz w:val="14"/>
              </w:rPr>
              <w:t>мејозе;</w:t>
            </w:r>
          </w:p>
        </w:tc>
        <w:tc>
          <w:tcPr>
            <w:tcW w:w="2834" w:type="dxa"/>
          </w:tcPr>
          <w:p w:rsidR="00041039" w:rsidRDefault="001B26CB">
            <w:pPr>
              <w:pStyle w:val="TableParagraph"/>
              <w:numPr>
                <w:ilvl w:val="0"/>
                <w:numId w:val="883"/>
              </w:numPr>
              <w:tabs>
                <w:tab w:val="left" w:pos="157"/>
              </w:tabs>
              <w:spacing w:before="9"/>
              <w:ind w:right="416" w:hanging="99"/>
              <w:rPr>
                <w:sz w:val="14"/>
              </w:rPr>
            </w:pPr>
            <w:r>
              <w:rPr>
                <w:color w:val="231F20"/>
                <w:sz w:val="14"/>
              </w:rPr>
              <w:t>Цитологија као научна дисциплина биологије која проучава</w:t>
            </w:r>
            <w:r>
              <w:rPr>
                <w:color w:val="231F20"/>
                <w:spacing w:val="-24"/>
                <w:sz w:val="14"/>
              </w:rPr>
              <w:t xml:space="preserve"> </w:t>
            </w:r>
            <w:r>
              <w:rPr>
                <w:color w:val="231F20"/>
                <w:sz w:val="14"/>
              </w:rPr>
              <w:t>организацију ћелије.</w:t>
            </w:r>
          </w:p>
          <w:p w:rsidR="00041039" w:rsidRDefault="001B26CB">
            <w:pPr>
              <w:pStyle w:val="TableParagraph"/>
              <w:numPr>
                <w:ilvl w:val="0"/>
                <w:numId w:val="883"/>
              </w:numPr>
              <w:tabs>
                <w:tab w:val="left" w:pos="157"/>
              </w:tabs>
              <w:spacing w:line="152" w:lineRule="exact"/>
              <w:ind w:hanging="99"/>
              <w:rPr>
                <w:sz w:val="14"/>
              </w:rPr>
            </w:pPr>
            <w:r>
              <w:rPr>
                <w:color w:val="231F20"/>
                <w:sz w:val="14"/>
              </w:rPr>
              <w:t>Основне карактеристике живих</w:t>
            </w:r>
            <w:r>
              <w:rPr>
                <w:color w:val="231F20"/>
                <w:spacing w:val="-4"/>
                <w:sz w:val="14"/>
              </w:rPr>
              <w:t xml:space="preserve"> </w:t>
            </w:r>
            <w:r>
              <w:rPr>
                <w:color w:val="231F20"/>
                <w:sz w:val="14"/>
              </w:rPr>
              <w:t>бића.</w:t>
            </w:r>
          </w:p>
          <w:p w:rsidR="00041039" w:rsidRDefault="001B26CB">
            <w:pPr>
              <w:pStyle w:val="TableParagraph"/>
              <w:numPr>
                <w:ilvl w:val="0"/>
                <w:numId w:val="883"/>
              </w:numPr>
              <w:tabs>
                <w:tab w:val="left" w:pos="157"/>
              </w:tabs>
              <w:spacing w:line="160" w:lineRule="exact"/>
              <w:ind w:hanging="99"/>
              <w:rPr>
                <w:sz w:val="14"/>
              </w:rPr>
            </w:pPr>
            <w:r>
              <w:rPr>
                <w:color w:val="231F20"/>
                <w:sz w:val="14"/>
              </w:rPr>
              <w:t>Нивои организације биолошких</w:t>
            </w:r>
            <w:r>
              <w:rPr>
                <w:color w:val="231F20"/>
                <w:spacing w:val="-5"/>
                <w:sz w:val="14"/>
              </w:rPr>
              <w:t xml:space="preserve"> </w:t>
            </w:r>
            <w:r>
              <w:rPr>
                <w:color w:val="231F20"/>
                <w:sz w:val="14"/>
              </w:rPr>
              <w:t>система.</w:t>
            </w:r>
          </w:p>
          <w:p w:rsidR="00041039" w:rsidRDefault="001B26CB">
            <w:pPr>
              <w:pStyle w:val="TableParagraph"/>
              <w:numPr>
                <w:ilvl w:val="0"/>
                <w:numId w:val="883"/>
              </w:numPr>
              <w:tabs>
                <w:tab w:val="left" w:pos="157"/>
              </w:tabs>
              <w:spacing w:line="160" w:lineRule="exact"/>
              <w:ind w:hanging="99"/>
              <w:rPr>
                <w:sz w:val="14"/>
              </w:rPr>
            </w:pPr>
            <w:r>
              <w:rPr>
                <w:color w:val="231F20"/>
                <w:sz w:val="14"/>
              </w:rPr>
              <w:t>Грађа ћелије и ћелијских</w:t>
            </w:r>
            <w:r>
              <w:rPr>
                <w:color w:val="231F20"/>
                <w:spacing w:val="-3"/>
                <w:sz w:val="14"/>
              </w:rPr>
              <w:t xml:space="preserve"> </w:t>
            </w:r>
            <w:r>
              <w:rPr>
                <w:color w:val="231F20"/>
                <w:sz w:val="14"/>
              </w:rPr>
              <w:t>органела.</w:t>
            </w:r>
          </w:p>
          <w:p w:rsidR="00041039" w:rsidRDefault="001B26CB">
            <w:pPr>
              <w:pStyle w:val="TableParagraph"/>
              <w:numPr>
                <w:ilvl w:val="0"/>
                <w:numId w:val="883"/>
              </w:numPr>
              <w:tabs>
                <w:tab w:val="left" w:pos="157"/>
              </w:tabs>
              <w:spacing w:line="160" w:lineRule="exact"/>
              <w:ind w:hanging="99"/>
              <w:rPr>
                <w:sz w:val="14"/>
              </w:rPr>
            </w:pPr>
            <w:r>
              <w:rPr>
                <w:color w:val="231F20"/>
                <w:sz w:val="14"/>
              </w:rPr>
              <w:t>Биљна и животињска</w:t>
            </w:r>
            <w:r>
              <w:rPr>
                <w:color w:val="231F20"/>
                <w:spacing w:val="-3"/>
                <w:sz w:val="14"/>
              </w:rPr>
              <w:t xml:space="preserve"> </w:t>
            </w:r>
            <w:r>
              <w:rPr>
                <w:color w:val="231F20"/>
                <w:sz w:val="14"/>
              </w:rPr>
              <w:t>ћелија.</w:t>
            </w:r>
          </w:p>
          <w:p w:rsidR="00041039" w:rsidRDefault="001B26CB">
            <w:pPr>
              <w:pStyle w:val="TableParagraph"/>
              <w:numPr>
                <w:ilvl w:val="0"/>
                <w:numId w:val="883"/>
              </w:numPr>
              <w:tabs>
                <w:tab w:val="left" w:pos="157"/>
              </w:tabs>
              <w:spacing w:line="166" w:lineRule="exact"/>
              <w:ind w:hanging="99"/>
              <w:rPr>
                <w:sz w:val="14"/>
              </w:rPr>
            </w:pPr>
            <w:r>
              <w:rPr>
                <w:color w:val="231F20"/>
                <w:sz w:val="14"/>
              </w:rPr>
              <w:t>Ћелијски циклус и ћелијске</w:t>
            </w:r>
            <w:r>
              <w:rPr>
                <w:color w:val="231F20"/>
                <w:spacing w:val="-7"/>
                <w:sz w:val="14"/>
              </w:rPr>
              <w:t xml:space="preserve"> </w:t>
            </w:r>
            <w:r>
              <w:rPr>
                <w:color w:val="231F20"/>
                <w:sz w:val="14"/>
              </w:rPr>
              <w:t>деобе.</w:t>
            </w:r>
          </w:p>
        </w:tc>
        <w:tc>
          <w:tcPr>
            <w:tcW w:w="2267" w:type="dxa"/>
          </w:tcPr>
          <w:p w:rsidR="00041039" w:rsidRDefault="001B26CB">
            <w:pPr>
              <w:pStyle w:val="TableParagraph"/>
              <w:numPr>
                <w:ilvl w:val="0"/>
                <w:numId w:val="882"/>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882"/>
              </w:numPr>
              <w:tabs>
                <w:tab w:val="left" w:pos="158"/>
              </w:tabs>
              <w:spacing w:line="160" w:lineRule="exact"/>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882"/>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882"/>
              </w:numPr>
              <w:tabs>
                <w:tab w:val="left" w:pos="158"/>
              </w:tabs>
              <w:spacing w:line="160" w:lineRule="exact"/>
              <w:ind w:hanging="99"/>
              <w:rPr>
                <w:sz w:val="14"/>
              </w:rPr>
            </w:pPr>
            <w:r>
              <w:rPr>
                <w:color w:val="231F20"/>
                <w:sz w:val="14"/>
              </w:rPr>
              <w:t>учионици</w:t>
            </w:r>
          </w:p>
          <w:p w:rsidR="00041039" w:rsidRDefault="001B26CB">
            <w:pPr>
              <w:pStyle w:val="TableParagraph"/>
              <w:numPr>
                <w:ilvl w:val="0"/>
                <w:numId w:val="882"/>
              </w:numPr>
              <w:tabs>
                <w:tab w:val="left" w:pos="158"/>
              </w:tabs>
              <w:spacing w:line="160" w:lineRule="exact"/>
              <w:ind w:hanging="99"/>
              <w:rPr>
                <w:sz w:val="14"/>
              </w:rPr>
            </w:pPr>
            <w:r>
              <w:rPr>
                <w:color w:val="231F20"/>
                <w:sz w:val="14"/>
              </w:rPr>
              <w:t>биолошкој</w:t>
            </w:r>
            <w:r>
              <w:rPr>
                <w:color w:val="231F20"/>
                <w:spacing w:val="-1"/>
                <w:sz w:val="14"/>
              </w:rPr>
              <w:t xml:space="preserve"> </w:t>
            </w:r>
            <w:r>
              <w:rPr>
                <w:color w:val="231F20"/>
                <w:sz w:val="14"/>
              </w:rPr>
              <w:t>радионици</w:t>
            </w:r>
          </w:p>
          <w:p w:rsidR="00041039" w:rsidRDefault="001B26CB">
            <w:pPr>
              <w:pStyle w:val="TableParagraph"/>
              <w:numPr>
                <w:ilvl w:val="0"/>
                <w:numId w:val="882"/>
              </w:numPr>
              <w:tabs>
                <w:tab w:val="left" w:pos="158"/>
              </w:tabs>
              <w:spacing w:line="237" w:lineRule="auto"/>
              <w:ind w:right="191" w:hanging="99"/>
              <w:rPr>
                <w:sz w:val="14"/>
              </w:rPr>
            </w:pPr>
            <w:r>
              <w:rPr>
                <w:color w:val="231F20"/>
                <w:sz w:val="14"/>
              </w:rPr>
              <w:t>адекватном објекту изван</w:t>
            </w:r>
            <w:r>
              <w:rPr>
                <w:color w:val="231F20"/>
                <w:spacing w:val="-14"/>
                <w:sz w:val="14"/>
              </w:rPr>
              <w:t xml:space="preserve"> </w:t>
            </w:r>
            <w:r>
              <w:rPr>
                <w:color w:val="231F20"/>
                <w:spacing w:val="-3"/>
                <w:sz w:val="14"/>
              </w:rPr>
              <w:t xml:space="preserve">школ­ </w:t>
            </w:r>
            <w:r>
              <w:rPr>
                <w:color w:val="231F20"/>
                <w:sz w:val="14"/>
              </w:rPr>
              <w:t>ског</w:t>
            </w:r>
            <w:r>
              <w:rPr>
                <w:color w:val="231F20"/>
                <w:spacing w:val="-1"/>
                <w:sz w:val="14"/>
              </w:rPr>
              <w:t xml:space="preserve"> </w:t>
            </w:r>
            <w:r>
              <w:rPr>
                <w:color w:val="231F20"/>
                <w:sz w:val="14"/>
              </w:rPr>
              <w:t>комплекса</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920"/>
        </w:trPr>
        <w:tc>
          <w:tcPr>
            <w:tcW w:w="1304" w:type="dxa"/>
          </w:tcPr>
          <w:p w:rsidR="00041039" w:rsidRDefault="001B26CB">
            <w:pPr>
              <w:pStyle w:val="TableParagraph"/>
              <w:spacing w:before="18"/>
              <w:ind w:left="56" w:right="181"/>
              <w:rPr>
                <w:sz w:val="14"/>
              </w:rPr>
            </w:pPr>
            <w:r>
              <w:rPr>
                <w:color w:val="231F20"/>
                <w:sz w:val="14"/>
              </w:rPr>
              <w:lastRenderedPageBreak/>
              <w:t>Основи физиоло­ гије човека</w:t>
            </w:r>
          </w:p>
        </w:tc>
        <w:tc>
          <w:tcPr>
            <w:tcW w:w="1587" w:type="dxa"/>
          </w:tcPr>
          <w:p w:rsidR="00041039" w:rsidRDefault="001B26CB">
            <w:pPr>
              <w:pStyle w:val="TableParagraph"/>
              <w:numPr>
                <w:ilvl w:val="0"/>
                <w:numId w:val="881"/>
              </w:numPr>
              <w:tabs>
                <w:tab w:val="left" w:pos="157"/>
              </w:tabs>
              <w:spacing w:before="8"/>
              <w:ind w:right="228"/>
              <w:rPr>
                <w:sz w:val="14"/>
              </w:rPr>
            </w:pPr>
            <w:r>
              <w:rPr>
                <w:color w:val="231F20"/>
                <w:sz w:val="14"/>
              </w:rPr>
              <w:t xml:space="preserve">Разумевање физио­ лошких процеса у </w:t>
            </w:r>
            <w:r>
              <w:rPr>
                <w:color w:val="231F20"/>
                <w:spacing w:val="-3"/>
                <w:sz w:val="14"/>
              </w:rPr>
              <w:t>људском</w:t>
            </w:r>
            <w:r>
              <w:rPr>
                <w:color w:val="231F20"/>
                <w:spacing w:val="-14"/>
                <w:sz w:val="14"/>
              </w:rPr>
              <w:t xml:space="preserve"> </w:t>
            </w:r>
            <w:r>
              <w:rPr>
                <w:color w:val="231F20"/>
                <w:sz w:val="14"/>
              </w:rPr>
              <w:t>организму.</w:t>
            </w:r>
          </w:p>
        </w:tc>
        <w:tc>
          <w:tcPr>
            <w:tcW w:w="2551" w:type="dxa"/>
          </w:tcPr>
          <w:p w:rsidR="00041039" w:rsidRDefault="001B26CB">
            <w:pPr>
              <w:pStyle w:val="TableParagraph"/>
              <w:numPr>
                <w:ilvl w:val="0"/>
                <w:numId w:val="880"/>
              </w:numPr>
              <w:tabs>
                <w:tab w:val="left" w:pos="157"/>
              </w:tabs>
              <w:spacing w:before="8"/>
              <w:ind w:right="291" w:hanging="99"/>
              <w:rPr>
                <w:sz w:val="14"/>
              </w:rPr>
            </w:pPr>
            <w:r>
              <w:rPr>
                <w:color w:val="231F20"/>
                <w:sz w:val="14"/>
              </w:rPr>
              <w:t>објасни настанак и пренос нервног импулса;</w:t>
            </w:r>
          </w:p>
          <w:p w:rsidR="00041039" w:rsidRDefault="001B26CB">
            <w:pPr>
              <w:pStyle w:val="TableParagraph"/>
              <w:numPr>
                <w:ilvl w:val="0"/>
                <w:numId w:val="880"/>
              </w:numPr>
              <w:tabs>
                <w:tab w:val="left" w:pos="157"/>
              </w:tabs>
              <w:spacing w:line="153" w:lineRule="exact"/>
              <w:ind w:hanging="99"/>
              <w:rPr>
                <w:sz w:val="14"/>
              </w:rPr>
            </w:pPr>
            <w:r>
              <w:rPr>
                <w:color w:val="231F20"/>
                <w:sz w:val="14"/>
              </w:rPr>
              <w:t>илуструје прост рефлексни</w:t>
            </w:r>
            <w:r>
              <w:rPr>
                <w:color w:val="231F20"/>
                <w:spacing w:val="-17"/>
                <w:sz w:val="14"/>
              </w:rPr>
              <w:t xml:space="preserve"> </w:t>
            </w:r>
            <w:r>
              <w:rPr>
                <w:color w:val="231F20"/>
                <w:sz w:val="14"/>
              </w:rPr>
              <w:t>лук;</w:t>
            </w:r>
          </w:p>
          <w:p w:rsidR="00041039" w:rsidRDefault="001B26CB">
            <w:pPr>
              <w:pStyle w:val="TableParagraph"/>
              <w:numPr>
                <w:ilvl w:val="0"/>
                <w:numId w:val="880"/>
              </w:numPr>
              <w:tabs>
                <w:tab w:val="left" w:pos="157"/>
              </w:tabs>
              <w:spacing w:line="160" w:lineRule="exact"/>
              <w:ind w:hanging="99"/>
              <w:rPr>
                <w:sz w:val="14"/>
              </w:rPr>
            </w:pPr>
            <w:r>
              <w:rPr>
                <w:color w:val="231F20"/>
                <w:sz w:val="14"/>
              </w:rPr>
              <w:t>објасни улогу нервног</w:t>
            </w:r>
            <w:r>
              <w:rPr>
                <w:color w:val="231F20"/>
                <w:spacing w:val="-19"/>
                <w:sz w:val="14"/>
              </w:rPr>
              <w:t xml:space="preserve"> </w:t>
            </w:r>
            <w:r>
              <w:rPr>
                <w:color w:val="231F20"/>
                <w:sz w:val="14"/>
              </w:rPr>
              <w:t>система;</w:t>
            </w:r>
          </w:p>
          <w:p w:rsidR="00041039" w:rsidRDefault="001B26CB">
            <w:pPr>
              <w:pStyle w:val="TableParagraph"/>
              <w:numPr>
                <w:ilvl w:val="0"/>
                <w:numId w:val="880"/>
              </w:numPr>
              <w:tabs>
                <w:tab w:val="left" w:pos="157"/>
              </w:tabs>
              <w:spacing w:line="160" w:lineRule="exact"/>
              <w:ind w:hanging="99"/>
              <w:rPr>
                <w:sz w:val="14"/>
              </w:rPr>
            </w:pPr>
            <w:r>
              <w:rPr>
                <w:color w:val="231F20"/>
                <w:sz w:val="14"/>
              </w:rPr>
              <w:t>објасни мишићну</w:t>
            </w:r>
            <w:r>
              <w:rPr>
                <w:color w:val="231F20"/>
                <w:spacing w:val="-9"/>
                <w:sz w:val="14"/>
              </w:rPr>
              <w:t xml:space="preserve"> </w:t>
            </w:r>
            <w:r>
              <w:rPr>
                <w:color w:val="231F20"/>
                <w:sz w:val="14"/>
              </w:rPr>
              <w:t>контракцију;</w:t>
            </w:r>
          </w:p>
          <w:p w:rsidR="00041039" w:rsidRDefault="001B26CB">
            <w:pPr>
              <w:pStyle w:val="TableParagraph"/>
              <w:numPr>
                <w:ilvl w:val="0"/>
                <w:numId w:val="880"/>
              </w:numPr>
              <w:tabs>
                <w:tab w:val="left" w:pos="157"/>
              </w:tabs>
              <w:spacing w:line="160" w:lineRule="exact"/>
              <w:ind w:hanging="99"/>
              <w:rPr>
                <w:sz w:val="14"/>
              </w:rPr>
            </w:pPr>
            <w:r>
              <w:rPr>
                <w:color w:val="231F20"/>
                <w:sz w:val="14"/>
              </w:rPr>
              <w:t>објасни улогу чулних</w:t>
            </w:r>
            <w:r>
              <w:rPr>
                <w:color w:val="231F20"/>
                <w:spacing w:val="-5"/>
                <w:sz w:val="14"/>
              </w:rPr>
              <w:t xml:space="preserve"> </w:t>
            </w:r>
            <w:r>
              <w:rPr>
                <w:color w:val="231F20"/>
                <w:sz w:val="14"/>
              </w:rPr>
              <w:t>органа;</w:t>
            </w:r>
          </w:p>
          <w:p w:rsidR="00041039" w:rsidRDefault="001B26CB">
            <w:pPr>
              <w:pStyle w:val="TableParagraph"/>
              <w:numPr>
                <w:ilvl w:val="0"/>
                <w:numId w:val="880"/>
              </w:numPr>
              <w:tabs>
                <w:tab w:val="left" w:pos="157"/>
              </w:tabs>
              <w:spacing w:line="237" w:lineRule="auto"/>
              <w:ind w:right="104" w:hanging="99"/>
              <w:rPr>
                <w:sz w:val="14"/>
              </w:rPr>
            </w:pPr>
            <w:r>
              <w:rPr>
                <w:color w:val="231F20"/>
                <w:sz w:val="14"/>
              </w:rPr>
              <w:t>дефинише позицију и улогу жлезда</w:t>
            </w:r>
            <w:r>
              <w:rPr>
                <w:color w:val="231F20"/>
                <w:spacing w:val="-19"/>
                <w:sz w:val="14"/>
              </w:rPr>
              <w:t xml:space="preserve"> </w:t>
            </w:r>
            <w:r>
              <w:rPr>
                <w:color w:val="231F20"/>
                <w:sz w:val="14"/>
              </w:rPr>
              <w:t>са унутрашњим</w:t>
            </w:r>
            <w:r>
              <w:rPr>
                <w:color w:val="231F20"/>
                <w:spacing w:val="-1"/>
                <w:sz w:val="14"/>
              </w:rPr>
              <w:t xml:space="preserve"> </w:t>
            </w:r>
            <w:r>
              <w:rPr>
                <w:color w:val="231F20"/>
                <w:sz w:val="14"/>
              </w:rPr>
              <w:t>лучењем;</w:t>
            </w:r>
          </w:p>
          <w:p w:rsidR="00041039" w:rsidRDefault="001B26CB">
            <w:pPr>
              <w:pStyle w:val="TableParagraph"/>
              <w:numPr>
                <w:ilvl w:val="0"/>
                <w:numId w:val="880"/>
              </w:numPr>
              <w:tabs>
                <w:tab w:val="left" w:pos="157"/>
              </w:tabs>
              <w:spacing w:line="155" w:lineRule="exact"/>
              <w:ind w:hanging="99"/>
              <w:rPr>
                <w:sz w:val="14"/>
              </w:rPr>
            </w:pPr>
            <w:r>
              <w:rPr>
                <w:color w:val="231F20"/>
                <w:sz w:val="14"/>
              </w:rPr>
              <w:t>објасни састав и улогу крви и</w:t>
            </w:r>
            <w:r>
              <w:rPr>
                <w:color w:val="231F20"/>
                <w:spacing w:val="-11"/>
                <w:sz w:val="14"/>
              </w:rPr>
              <w:t xml:space="preserve"> </w:t>
            </w:r>
            <w:r>
              <w:rPr>
                <w:color w:val="231F20"/>
                <w:sz w:val="14"/>
              </w:rPr>
              <w:t>лимфе;</w:t>
            </w:r>
          </w:p>
          <w:p w:rsidR="00041039" w:rsidRDefault="001B26CB">
            <w:pPr>
              <w:pStyle w:val="TableParagraph"/>
              <w:numPr>
                <w:ilvl w:val="0"/>
                <w:numId w:val="880"/>
              </w:numPr>
              <w:tabs>
                <w:tab w:val="left" w:pos="157"/>
              </w:tabs>
              <w:spacing w:line="237" w:lineRule="auto"/>
              <w:ind w:right="114" w:hanging="99"/>
              <w:rPr>
                <w:sz w:val="14"/>
              </w:rPr>
            </w:pPr>
            <w:r>
              <w:rPr>
                <w:color w:val="231F20"/>
                <w:sz w:val="14"/>
              </w:rPr>
              <w:t xml:space="preserve">објасни грађу и улогу срца и крвних </w:t>
            </w:r>
            <w:r>
              <w:rPr>
                <w:color w:val="231F20"/>
                <w:spacing w:val="-3"/>
                <w:sz w:val="14"/>
              </w:rPr>
              <w:t xml:space="preserve">судова </w:t>
            </w:r>
            <w:r>
              <w:rPr>
                <w:color w:val="231F20"/>
                <w:sz w:val="14"/>
              </w:rPr>
              <w:t>и неурохормоналну</w:t>
            </w:r>
            <w:r>
              <w:rPr>
                <w:color w:val="231F20"/>
                <w:spacing w:val="-22"/>
                <w:sz w:val="14"/>
              </w:rPr>
              <w:t xml:space="preserve"> </w:t>
            </w:r>
            <w:r>
              <w:rPr>
                <w:color w:val="231F20"/>
                <w:sz w:val="14"/>
              </w:rPr>
              <w:t>регулацију срчаног</w:t>
            </w:r>
            <w:r>
              <w:rPr>
                <w:color w:val="231F20"/>
                <w:spacing w:val="-1"/>
                <w:sz w:val="14"/>
              </w:rPr>
              <w:t xml:space="preserve"> </w:t>
            </w:r>
            <w:r>
              <w:rPr>
                <w:color w:val="231F20"/>
                <w:sz w:val="14"/>
              </w:rPr>
              <w:t>рада;</w:t>
            </w:r>
          </w:p>
          <w:p w:rsidR="00041039" w:rsidRDefault="001B26CB">
            <w:pPr>
              <w:pStyle w:val="TableParagraph"/>
              <w:numPr>
                <w:ilvl w:val="0"/>
                <w:numId w:val="880"/>
              </w:numPr>
              <w:tabs>
                <w:tab w:val="left" w:pos="157"/>
              </w:tabs>
              <w:spacing w:line="237" w:lineRule="auto"/>
              <w:ind w:right="136" w:hanging="99"/>
              <w:rPr>
                <w:sz w:val="14"/>
              </w:rPr>
            </w:pPr>
            <w:r>
              <w:rPr>
                <w:color w:val="231F20"/>
                <w:sz w:val="14"/>
              </w:rPr>
              <w:t>објасни размену гасова у плућима и ткивима и нервну регулацију</w:t>
            </w:r>
            <w:r>
              <w:rPr>
                <w:color w:val="231F20"/>
                <w:spacing w:val="-19"/>
                <w:sz w:val="14"/>
              </w:rPr>
              <w:t xml:space="preserve"> </w:t>
            </w:r>
            <w:r>
              <w:rPr>
                <w:color w:val="231F20"/>
                <w:sz w:val="14"/>
              </w:rPr>
              <w:t>дисања;</w:t>
            </w:r>
          </w:p>
          <w:p w:rsidR="00041039" w:rsidRDefault="001B26CB">
            <w:pPr>
              <w:pStyle w:val="TableParagraph"/>
              <w:numPr>
                <w:ilvl w:val="0"/>
                <w:numId w:val="880"/>
              </w:numPr>
              <w:tabs>
                <w:tab w:val="left" w:pos="157"/>
              </w:tabs>
              <w:spacing w:line="160" w:lineRule="exact"/>
              <w:ind w:hanging="99"/>
              <w:rPr>
                <w:sz w:val="14"/>
              </w:rPr>
            </w:pPr>
            <w:r>
              <w:rPr>
                <w:color w:val="231F20"/>
                <w:sz w:val="14"/>
              </w:rPr>
              <w:t>објасни варење, ресорпцију хране</w:t>
            </w:r>
          </w:p>
          <w:p w:rsidR="00041039" w:rsidRDefault="001B26CB">
            <w:pPr>
              <w:pStyle w:val="TableParagraph"/>
              <w:spacing w:line="155" w:lineRule="exact"/>
              <w:rPr>
                <w:sz w:val="14"/>
              </w:rPr>
            </w:pPr>
            <w:r>
              <w:rPr>
                <w:color w:val="231F20"/>
                <w:sz w:val="14"/>
              </w:rPr>
              <w:t>и неурохормоналну регулацију варења;</w:t>
            </w:r>
          </w:p>
          <w:p w:rsidR="00041039" w:rsidRDefault="001B26CB">
            <w:pPr>
              <w:pStyle w:val="TableParagraph"/>
              <w:numPr>
                <w:ilvl w:val="0"/>
                <w:numId w:val="880"/>
              </w:numPr>
              <w:tabs>
                <w:tab w:val="left" w:pos="157"/>
              </w:tabs>
              <w:spacing w:line="160" w:lineRule="exact"/>
              <w:ind w:hanging="99"/>
              <w:rPr>
                <w:sz w:val="14"/>
              </w:rPr>
            </w:pPr>
            <w:r>
              <w:rPr>
                <w:color w:val="231F20"/>
                <w:sz w:val="14"/>
              </w:rPr>
              <w:t>објасни улогу екскреторних</w:t>
            </w:r>
            <w:r>
              <w:rPr>
                <w:color w:val="231F20"/>
                <w:spacing w:val="-6"/>
                <w:sz w:val="14"/>
              </w:rPr>
              <w:t xml:space="preserve"> </w:t>
            </w:r>
            <w:r>
              <w:rPr>
                <w:color w:val="231F20"/>
                <w:sz w:val="14"/>
              </w:rPr>
              <w:t>ор</w:t>
            </w:r>
            <w:r>
              <w:rPr>
                <w:color w:val="231F20"/>
                <w:sz w:val="14"/>
              </w:rPr>
              <w:t>гана;</w:t>
            </w:r>
          </w:p>
          <w:p w:rsidR="00041039" w:rsidRDefault="001B26CB">
            <w:pPr>
              <w:pStyle w:val="TableParagraph"/>
              <w:numPr>
                <w:ilvl w:val="0"/>
                <w:numId w:val="880"/>
              </w:numPr>
              <w:tabs>
                <w:tab w:val="left" w:pos="157"/>
              </w:tabs>
              <w:spacing w:line="166" w:lineRule="exact"/>
              <w:ind w:hanging="99"/>
              <w:rPr>
                <w:sz w:val="14"/>
              </w:rPr>
            </w:pPr>
            <w:r>
              <w:rPr>
                <w:color w:val="231F20"/>
                <w:sz w:val="14"/>
              </w:rPr>
              <w:t>објасни улогу органа за</w:t>
            </w:r>
            <w:r>
              <w:rPr>
                <w:color w:val="231F20"/>
                <w:spacing w:val="-19"/>
                <w:sz w:val="14"/>
              </w:rPr>
              <w:t xml:space="preserve"> </w:t>
            </w:r>
            <w:r>
              <w:rPr>
                <w:color w:val="231F20"/>
                <w:sz w:val="14"/>
              </w:rPr>
              <w:t>размножавање;</w:t>
            </w:r>
          </w:p>
        </w:tc>
        <w:tc>
          <w:tcPr>
            <w:tcW w:w="2834" w:type="dxa"/>
          </w:tcPr>
          <w:p w:rsidR="00041039" w:rsidRDefault="001B26CB">
            <w:pPr>
              <w:pStyle w:val="TableParagraph"/>
              <w:numPr>
                <w:ilvl w:val="0"/>
                <w:numId w:val="879"/>
              </w:numPr>
              <w:tabs>
                <w:tab w:val="left" w:pos="157"/>
              </w:tabs>
              <w:spacing w:before="8" w:line="166" w:lineRule="exact"/>
              <w:ind w:hanging="99"/>
              <w:rPr>
                <w:sz w:val="14"/>
              </w:rPr>
            </w:pPr>
            <w:r>
              <w:rPr>
                <w:color w:val="231F20"/>
                <w:sz w:val="14"/>
              </w:rPr>
              <w:t>Нервни</w:t>
            </w:r>
            <w:r>
              <w:rPr>
                <w:color w:val="231F20"/>
                <w:spacing w:val="-2"/>
                <w:sz w:val="14"/>
              </w:rPr>
              <w:t xml:space="preserve"> </w:t>
            </w:r>
            <w:r>
              <w:rPr>
                <w:color w:val="231F20"/>
                <w:sz w:val="14"/>
              </w:rPr>
              <w:t>систем.</w:t>
            </w:r>
          </w:p>
          <w:p w:rsidR="00041039" w:rsidRDefault="001B26CB">
            <w:pPr>
              <w:pStyle w:val="TableParagraph"/>
              <w:numPr>
                <w:ilvl w:val="0"/>
                <w:numId w:val="879"/>
              </w:numPr>
              <w:tabs>
                <w:tab w:val="left" w:pos="157"/>
              </w:tabs>
              <w:spacing w:line="160" w:lineRule="exact"/>
              <w:ind w:hanging="99"/>
              <w:rPr>
                <w:sz w:val="14"/>
              </w:rPr>
            </w:pPr>
            <w:r>
              <w:rPr>
                <w:color w:val="231F20"/>
                <w:sz w:val="14"/>
              </w:rPr>
              <w:t>Чула.</w:t>
            </w:r>
          </w:p>
          <w:p w:rsidR="00041039" w:rsidRDefault="001B26CB">
            <w:pPr>
              <w:pStyle w:val="TableParagraph"/>
              <w:numPr>
                <w:ilvl w:val="0"/>
                <w:numId w:val="879"/>
              </w:numPr>
              <w:tabs>
                <w:tab w:val="left" w:pos="157"/>
              </w:tabs>
              <w:spacing w:line="160" w:lineRule="exact"/>
              <w:ind w:hanging="99"/>
              <w:rPr>
                <w:sz w:val="14"/>
              </w:rPr>
            </w:pPr>
            <w:r>
              <w:rPr>
                <w:color w:val="231F20"/>
                <w:sz w:val="14"/>
              </w:rPr>
              <w:t>Мишићно ­ скелетни систем</w:t>
            </w:r>
            <w:r>
              <w:rPr>
                <w:color w:val="231F20"/>
                <w:spacing w:val="-3"/>
                <w:sz w:val="14"/>
              </w:rPr>
              <w:t xml:space="preserve"> </w:t>
            </w:r>
            <w:r>
              <w:rPr>
                <w:color w:val="231F20"/>
                <w:sz w:val="14"/>
              </w:rPr>
              <w:t>органа.</w:t>
            </w:r>
          </w:p>
          <w:p w:rsidR="00041039" w:rsidRDefault="001B26CB">
            <w:pPr>
              <w:pStyle w:val="TableParagraph"/>
              <w:numPr>
                <w:ilvl w:val="0"/>
                <w:numId w:val="879"/>
              </w:numPr>
              <w:tabs>
                <w:tab w:val="left" w:pos="157"/>
              </w:tabs>
              <w:spacing w:line="160" w:lineRule="exact"/>
              <w:ind w:hanging="99"/>
              <w:rPr>
                <w:sz w:val="14"/>
              </w:rPr>
            </w:pPr>
            <w:r>
              <w:rPr>
                <w:color w:val="231F20"/>
                <w:sz w:val="14"/>
              </w:rPr>
              <w:t>Ендокрине жлезде ­ хуморална</w:t>
            </w:r>
            <w:r>
              <w:rPr>
                <w:color w:val="231F20"/>
                <w:spacing w:val="-16"/>
                <w:sz w:val="14"/>
              </w:rPr>
              <w:t xml:space="preserve"> </w:t>
            </w:r>
            <w:r>
              <w:rPr>
                <w:color w:val="231F20"/>
                <w:sz w:val="14"/>
              </w:rPr>
              <w:t>регулација.</w:t>
            </w:r>
          </w:p>
          <w:p w:rsidR="00041039" w:rsidRDefault="001B26CB">
            <w:pPr>
              <w:pStyle w:val="TableParagraph"/>
              <w:numPr>
                <w:ilvl w:val="0"/>
                <w:numId w:val="879"/>
              </w:numPr>
              <w:tabs>
                <w:tab w:val="left" w:pos="157"/>
              </w:tabs>
              <w:spacing w:line="160" w:lineRule="exact"/>
              <w:ind w:hanging="99"/>
              <w:rPr>
                <w:sz w:val="14"/>
              </w:rPr>
            </w:pPr>
            <w:r>
              <w:rPr>
                <w:color w:val="231F20"/>
                <w:sz w:val="14"/>
              </w:rPr>
              <w:t>Систем органа за</w:t>
            </w:r>
            <w:r>
              <w:rPr>
                <w:color w:val="231F20"/>
                <w:spacing w:val="-4"/>
                <w:sz w:val="14"/>
              </w:rPr>
              <w:t xml:space="preserve"> </w:t>
            </w:r>
            <w:r>
              <w:rPr>
                <w:color w:val="231F20"/>
                <w:sz w:val="14"/>
              </w:rPr>
              <w:t>варење.</w:t>
            </w:r>
          </w:p>
          <w:p w:rsidR="00041039" w:rsidRDefault="001B26CB">
            <w:pPr>
              <w:pStyle w:val="TableParagraph"/>
              <w:numPr>
                <w:ilvl w:val="0"/>
                <w:numId w:val="879"/>
              </w:numPr>
              <w:tabs>
                <w:tab w:val="left" w:pos="157"/>
              </w:tabs>
              <w:spacing w:line="160" w:lineRule="exact"/>
              <w:ind w:hanging="99"/>
              <w:rPr>
                <w:sz w:val="14"/>
              </w:rPr>
            </w:pPr>
            <w:r>
              <w:rPr>
                <w:color w:val="231F20"/>
                <w:sz w:val="14"/>
              </w:rPr>
              <w:t>Систем органа за</w:t>
            </w:r>
            <w:r>
              <w:rPr>
                <w:color w:val="231F20"/>
                <w:spacing w:val="-1"/>
                <w:sz w:val="14"/>
              </w:rPr>
              <w:t xml:space="preserve"> </w:t>
            </w:r>
            <w:r>
              <w:rPr>
                <w:color w:val="231F20"/>
                <w:sz w:val="14"/>
              </w:rPr>
              <w:t>дисање.</w:t>
            </w:r>
          </w:p>
          <w:p w:rsidR="00041039" w:rsidRDefault="001B26CB">
            <w:pPr>
              <w:pStyle w:val="TableParagraph"/>
              <w:numPr>
                <w:ilvl w:val="0"/>
                <w:numId w:val="879"/>
              </w:numPr>
              <w:tabs>
                <w:tab w:val="left" w:pos="157"/>
              </w:tabs>
              <w:spacing w:line="160" w:lineRule="exact"/>
              <w:ind w:hanging="99"/>
              <w:rPr>
                <w:sz w:val="14"/>
              </w:rPr>
            </w:pPr>
            <w:r>
              <w:rPr>
                <w:color w:val="231F20"/>
                <w:sz w:val="14"/>
              </w:rPr>
              <w:t>Систем за циркулацију телесних</w:t>
            </w:r>
            <w:r>
              <w:rPr>
                <w:color w:val="231F20"/>
                <w:spacing w:val="-11"/>
                <w:sz w:val="14"/>
              </w:rPr>
              <w:t xml:space="preserve"> </w:t>
            </w:r>
            <w:r>
              <w:rPr>
                <w:color w:val="231F20"/>
                <w:sz w:val="14"/>
              </w:rPr>
              <w:t>течности.</w:t>
            </w:r>
          </w:p>
          <w:p w:rsidR="00041039" w:rsidRDefault="001B26CB">
            <w:pPr>
              <w:pStyle w:val="TableParagraph"/>
              <w:numPr>
                <w:ilvl w:val="0"/>
                <w:numId w:val="879"/>
              </w:numPr>
              <w:tabs>
                <w:tab w:val="left" w:pos="157"/>
              </w:tabs>
              <w:spacing w:line="237" w:lineRule="auto"/>
              <w:ind w:right="287" w:hanging="99"/>
              <w:rPr>
                <w:sz w:val="14"/>
              </w:rPr>
            </w:pPr>
            <w:r>
              <w:rPr>
                <w:color w:val="231F20"/>
                <w:sz w:val="14"/>
              </w:rPr>
              <w:t>Систем органа за излучивање и</w:t>
            </w:r>
            <w:r>
              <w:rPr>
                <w:color w:val="231F20"/>
                <w:spacing w:val="-13"/>
                <w:sz w:val="14"/>
              </w:rPr>
              <w:t xml:space="preserve"> </w:t>
            </w:r>
            <w:r>
              <w:rPr>
                <w:color w:val="231F20"/>
                <w:sz w:val="14"/>
              </w:rPr>
              <w:t>размно­ жавање.</w:t>
            </w:r>
          </w:p>
        </w:tc>
        <w:tc>
          <w:tcPr>
            <w:tcW w:w="2267" w:type="dxa"/>
            <w:vMerge w:val="restart"/>
          </w:tcPr>
          <w:p w:rsidR="00041039" w:rsidRDefault="001B26CB">
            <w:pPr>
              <w:pStyle w:val="TableParagraph"/>
              <w:spacing w:before="16"/>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878"/>
              </w:numPr>
              <w:tabs>
                <w:tab w:val="left" w:pos="158"/>
              </w:tabs>
              <w:spacing w:before="1" w:line="160" w:lineRule="exact"/>
              <w:ind w:right="317" w:hanging="99"/>
              <w:rPr>
                <w:sz w:val="14"/>
              </w:rPr>
            </w:pPr>
            <w:r>
              <w:rPr>
                <w:color w:val="231F20"/>
                <w:sz w:val="14"/>
              </w:rPr>
              <w:t>поштовање свих</w:t>
            </w:r>
            <w:r>
              <w:rPr>
                <w:color w:val="231F20"/>
                <w:spacing w:val="-13"/>
                <w:sz w:val="14"/>
              </w:rPr>
              <w:t xml:space="preserve"> </w:t>
            </w:r>
            <w:r>
              <w:rPr>
                <w:color w:val="231F20"/>
                <w:sz w:val="14"/>
              </w:rPr>
              <w:t>дидактичких принципа;</w:t>
            </w:r>
          </w:p>
          <w:p w:rsidR="00041039" w:rsidRDefault="001B26CB">
            <w:pPr>
              <w:pStyle w:val="TableParagraph"/>
              <w:numPr>
                <w:ilvl w:val="0"/>
                <w:numId w:val="878"/>
              </w:numPr>
              <w:tabs>
                <w:tab w:val="left" w:pos="158"/>
              </w:tabs>
              <w:spacing w:line="160" w:lineRule="exact"/>
              <w:ind w:right="155" w:hanging="99"/>
              <w:rPr>
                <w:sz w:val="14"/>
              </w:rPr>
            </w:pPr>
            <w:r>
              <w:rPr>
                <w:color w:val="231F20"/>
                <w:sz w:val="14"/>
              </w:rPr>
              <w:t>примена природних наставних средстава, реализација теренске наставе, реализација биолошких наставних</w:t>
            </w:r>
            <w:r>
              <w:rPr>
                <w:color w:val="231F20"/>
                <w:spacing w:val="-1"/>
                <w:sz w:val="14"/>
              </w:rPr>
              <w:t xml:space="preserve"> </w:t>
            </w:r>
            <w:r>
              <w:rPr>
                <w:color w:val="231F20"/>
                <w:sz w:val="14"/>
              </w:rPr>
              <w:t>екскурзија;</w:t>
            </w:r>
          </w:p>
          <w:p w:rsidR="00041039" w:rsidRDefault="001B26CB">
            <w:pPr>
              <w:pStyle w:val="TableParagraph"/>
              <w:numPr>
                <w:ilvl w:val="0"/>
                <w:numId w:val="878"/>
              </w:numPr>
              <w:tabs>
                <w:tab w:val="left" w:pos="158"/>
              </w:tabs>
              <w:spacing w:line="160" w:lineRule="exact"/>
              <w:ind w:right="213" w:hanging="99"/>
              <w:rPr>
                <w:sz w:val="14"/>
              </w:rPr>
            </w:pPr>
            <w:r>
              <w:rPr>
                <w:color w:val="231F20"/>
                <w:sz w:val="14"/>
              </w:rPr>
              <w:t>комбиновање раз</w:t>
            </w:r>
            <w:r>
              <w:rPr>
                <w:color w:val="231F20"/>
                <w:sz w:val="14"/>
              </w:rPr>
              <w:t>личитих ди­ дактичких модела</w:t>
            </w:r>
            <w:r>
              <w:rPr>
                <w:color w:val="231F20"/>
                <w:spacing w:val="-20"/>
                <w:sz w:val="14"/>
              </w:rPr>
              <w:t xml:space="preserve"> </w:t>
            </w:r>
            <w:r>
              <w:rPr>
                <w:color w:val="231F20"/>
                <w:sz w:val="14"/>
              </w:rPr>
              <w:t>(проблемска, тимска настава</w:t>
            </w:r>
            <w:r>
              <w:rPr>
                <w:color w:val="231F20"/>
                <w:spacing w:val="-4"/>
                <w:sz w:val="14"/>
              </w:rPr>
              <w:t xml:space="preserve"> </w:t>
            </w:r>
            <w:r>
              <w:rPr>
                <w:color w:val="231F20"/>
                <w:sz w:val="14"/>
              </w:rPr>
              <w:t>биологије);</w:t>
            </w:r>
          </w:p>
          <w:p w:rsidR="00041039" w:rsidRDefault="001B26CB">
            <w:pPr>
              <w:pStyle w:val="TableParagraph"/>
              <w:numPr>
                <w:ilvl w:val="0"/>
                <w:numId w:val="878"/>
              </w:numPr>
              <w:tabs>
                <w:tab w:val="left" w:pos="158"/>
              </w:tabs>
              <w:spacing w:line="160" w:lineRule="exact"/>
              <w:ind w:right="81" w:hanging="99"/>
              <w:rPr>
                <w:sz w:val="14"/>
              </w:rPr>
            </w:pPr>
            <w:r>
              <w:rPr>
                <w:color w:val="231F20"/>
                <w:sz w:val="14"/>
              </w:rPr>
              <w:t>реализација самосталних ученич­ ких радова (есеји, презентације, реферати, пројекти,</w:t>
            </w:r>
            <w:r>
              <w:rPr>
                <w:color w:val="231F20"/>
                <w:spacing w:val="-3"/>
                <w:sz w:val="14"/>
              </w:rPr>
              <w:t xml:space="preserve"> </w:t>
            </w:r>
            <w:r>
              <w:rPr>
                <w:color w:val="231F20"/>
                <w:sz w:val="14"/>
              </w:rPr>
              <w:t>дебате).</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878"/>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878"/>
              </w:numPr>
              <w:tabs>
                <w:tab w:val="left" w:pos="158"/>
              </w:tabs>
              <w:spacing w:line="160"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1B26CB">
            <w:pPr>
              <w:pStyle w:val="TableParagraph"/>
              <w:numPr>
                <w:ilvl w:val="0"/>
                <w:numId w:val="878"/>
              </w:numPr>
              <w:tabs>
                <w:tab w:val="left" w:pos="158"/>
              </w:tabs>
              <w:spacing w:line="160" w:lineRule="exact"/>
              <w:ind w:hanging="99"/>
              <w:rPr>
                <w:sz w:val="14"/>
              </w:rPr>
            </w:pPr>
            <w:r>
              <w:rPr>
                <w:color w:val="231F20"/>
                <w:sz w:val="14"/>
              </w:rPr>
              <w:t>усмене</w:t>
            </w:r>
            <w:r>
              <w:rPr>
                <w:color w:val="231F20"/>
                <w:spacing w:val="-1"/>
                <w:sz w:val="14"/>
              </w:rPr>
              <w:t xml:space="preserve"> </w:t>
            </w:r>
            <w:r>
              <w:rPr>
                <w:color w:val="231F20"/>
                <w:sz w:val="14"/>
              </w:rPr>
              <w:t>провере</w:t>
            </w:r>
          </w:p>
          <w:p w:rsidR="00041039" w:rsidRDefault="001B26CB">
            <w:pPr>
              <w:pStyle w:val="TableParagraph"/>
              <w:numPr>
                <w:ilvl w:val="0"/>
                <w:numId w:val="878"/>
              </w:numPr>
              <w:tabs>
                <w:tab w:val="left" w:pos="158"/>
              </w:tabs>
              <w:spacing w:line="160" w:lineRule="exact"/>
              <w:ind w:hanging="99"/>
              <w:rPr>
                <w:sz w:val="14"/>
              </w:rPr>
            </w:pPr>
            <w:r>
              <w:rPr>
                <w:color w:val="231F20"/>
                <w:sz w:val="14"/>
              </w:rPr>
              <w:t>израде презентација и</w:t>
            </w:r>
            <w:r>
              <w:rPr>
                <w:color w:val="231F20"/>
                <w:spacing w:val="-9"/>
                <w:sz w:val="14"/>
              </w:rPr>
              <w:t xml:space="preserve"> </w:t>
            </w:r>
            <w:r>
              <w:rPr>
                <w:color w:val="231F20"/>
                <w:sz w:val="14"/>
              </w:rPr>
              <w:t>пројеката</w:t>
            </w:r>
          </w:p>
          <w:p w:rsidR="00041039" w:rsidRDefault="001B26CB">
            <w:pPr>
              <w:pStyle w:val="TableParagraph"/>
              <w:numPr>
                <w:ilvl w:val="0"/>
                <w:numId w:val="878"/>
              </w:numPr>
              <w:tabs>
                <w:tab w:val="left" w:pos="158"/>
              </w:tabs>
              <w:spacing w:line="237" w:lineRule="auto"/>
              <w:ind w:right="740" w:hanging="99"/>
              <w:rPr>
                <w:sz w:val="14"/>
              </w:rPr>
            </w:pPr>
            <w:r>
              <w:rPr>
                <w:color w:val="231F20"/>
                <w:sz w:val="14"/>
              </w:rPr>
              <w:t>организовања дебата</w:t>
            </w:r>
            <w:r>
              <w:rPr>
                <w:color w:val="231F20"/>
                <w:spacing w:val="-6"/>
                <w:sz w:val="14"/>
              </w:rPr>
              <w:t xml:space="preserve"> </w:t>
            </w:r>
            <w:r>
              <w:rPr>
                <w:color w:val="231F20"/>
                <w:sz w:val="14"/>
              </w:rPr>
              <w:t>и учествовања у</w:t>
            </w:r>
            <w:r>
              <w:rPr>
                <w:color w:val="231F20"/>
                <w:spacing w:val="-1"/>
                <w:sz w:val="14"/>
              </w:rPr>
              <w:t xml:space="preserve"> </w:t>
            </w:r>
            <w:r>
              <w:rPr>
                <w:color w:val="231F20"/>
                <w:sz w:val="14"/>
              </w:rPr>
              <w:t>њима</w:t>
            </w:r>
          </w:p>
          <w:p w:rsidR="00041039" w:rsidRDefault="00041039">
            <w:pPr>
              <w:pStyle w:val="TableParagraph"/>
              <w:spacing w:before="5"/>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878"/>
              </w:numPr>
              <w:tabs>
                <w:tab w:val="left" w:pos="158"/>
              </w:tabs>
              <w:spacing w:line="160" w:lineRule="exact"/>
              <w:ind w:hanging="99"/>
              <w:rPr>
                <w:b/>
                <w:sz w:val="14"/>
              </w:rPr>
            </w:pPr>
            <w:r>
              <w:rPr>
                <w:color w:val="231F20"/>
                <w:sz w:val="14"/>
              </w:rPr>
              <w:t xml:space="preserve">Биологија ћелије </w:t>
            </w:r>
            <w:r>
              <w:rPr>
                <w:b/>
                <w:color w:val="231F20"/>
                <w:sz w:val="14"/>
              </w:rPr>
              <w:t>(7 или 6</w:t>
            </w:r>
            <w:r>
              <w:rPr>
                <w:b/>
                <w:color w:val="231F20"/>
                <w:spacing w:val="-15"/>
                <w:sz w:val="14"/>
              </w:rPr>
              <w:t xml:space="preserve"> </w:t>
            </w:r>
            <w:r>
              <w:rPr>
                <w:b/>
                <w:color w:val="231F20"/>
                <w:sz w:val="14"/>
              </w:rPr>
              <w:t>часова)</w:t>
            </w:r>
          </w:p>
          <w:p w:rsidR="00041039" w:rsidRDefault="001B26CB">
            <w:pPr>
              <w:pStyle w:val="TableParagraph"/>
              <w:numPr>
                <w:ilvl w:val="0"/>
                <w:numId w:val="878"/>
              </w:numPr>
              <w:tabs>
                <w:tab w:val="left" w:pos="158"/>
              </w:tabs>
              <w:spacing w:line="237" w:lineRule="auto"/>
              <w:ind w:right="223" w:hanging="99"/>
              <w:rPr>
                <w:b/>
                <w:sz w:val="14"/>
              </w:rPr>
            </w:pPr>
            <w:r>
              <w:rPr>
                <w:color w:val="231F20"/>
                <w:sz w:val="14"/>
              </w:rPr>
              <w:t>Основи физиологије човека</w:t>
            </w:r>
            <w:r>
              <w:rPr>
                <w:color w:val="231F20"/>
                <w:spacing w:val="-16"/>
                <w:sz w:val="14"/>
              </w:rPr>
              <w:t xml:space="preserve"> </w:t>
            </w:r>
            <w:r>
              <w:rPr>
                <w:b/>
                <w:color w:val="231F20"/>
                <w:sz w:val="14"/>
              </w:rPr>
              <w:t>(30 или 25</w:t>
            </w:r>
            <w:r>
              <w:rPr>
                <w:b/>
                <w:color w:val="231F20"/>
                <w:spacing w:val="-2"/>
                <w:sz w:val="14"/>
              </w:rPr>
              <w:t xml:space="preserve"> </w:t>
            </w:r>
            <w:r>
              <w:rPr>
                <w:b/>
                <w:color w:val="231F20"/>
                <w:sz w:val="14"/>
              </w:rPr>
              <w:t>часова)</w:t>
            </w:r>
          </w:p>
          <w:p w:rsidR="00041039" w:rsidRDefault="001B26CB">
            <w:pPr>
              <w:pStyle w:val="TableParagraph"/>
              <w:numPr>
                <w:ilvl w:val="0"/>
                <w:numId w:val="878"/>
              </w:numPr>
              <w:tabs>
                <w:tab w:val="left" w:pos="158"/>
              </w:tabs>
              <w:spacing w:line="160" w:lineRule="exact"/>
              <w:ind w:right="352" w:hanging="99"/>
              <w:rPr>
                <w:b/>
                <w:sz w:val="14"/>
              </w:rPr>
            </w:pPr>
            <w:r>
              <w:rPr>
                <w:color w:val="231F20"/>
                <w:sz w:val="14"/>
              </w:rPr>
              <w:t>Биологија развића човека</w:t>
            </w:r>
            <w:r>
              <w:rPr>
                <w:color w:val="231F20"/>
                <w:spacing w:val="-13"/>
                <w:sz w:val="14"/>
              </w:rPr>
              <w:t xml:space="preserve"> </w:t>
            </w:r>
            <w:r>
              <w:rPr>
                <w:b/>
                <w:color w:val="231F20"/>
                <w:sz w:val="14"/>
              </w:rPr>
              <w:t>(12 часова)</w:t>
            </w:r>
          </w:p>
          <w:p w:rsidR="00041039" w:rsidRDefault="001B26CB">
            <w:pPr>
              <w:pStyle w:val="TableParagraph"/>
              <w:numPr>
                <w:ilvl w:val="0"/>
                <w:numId w:val="878"/>
              </w:numPr>
              <w:tabs>
                <w:tab w:val="left" w:pos="158"/>
              </w:tabs>
              <w:spacing w:line="158" w:lineRule="exact"/>
              <w:ind w:hanging="99"/>
              <w:rPr>
                <w:sz w:val="14"/>
              </w:rPr>
            </w:pPr>
            <w:r>
              <w:rPr>
                <w:color w:val="231F20"/>
                <w:sz w:val="14"/>
              </w:rPr>
              <w:t>Наслеђивање биолошких</w:t>
            </w:r>
            <w:r>
              <w:rPr>
                <w:color w:val="231F20"/>
                <w:spacing w:val="-7"/>
                <w:sz w:val="14"/>
              </w:rPr>
              <w:t xml:space="preserve"> </w:t>
            </w:r>
            <w:r>
              <w:rPr>
                <w:color w:val="231F20"/>
                <w:sz w:val="14"/>
              </w:rPr>
              <w:t>особина</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878"/>
              </w:numPr>
              <w:tabs>
                <w:tab w:val="left" w:pos="158"/>
              </w:tabs>
              <w:spacing w:line="165" w:lineRule="exact"/>
              <w:ind w:hanging="99"/>
              <w:rPr>
                <w:sz w:val="14"/>
              </w:rPr>
            </w:pPr>
            <w:r>
              <w:rPr>
                <w:color w:val="231F20"/>
                <w:sz w:val="14"/>
              </w:rPr>
              <w:t>Полно и репродуктивно</w:t>
            </w:r>
            <w:r>
              <w:rPr>
                <w:color w:val="231F20"/>
                <w:spacing w:val="-10"/>
                <w:sz w:val="14"/>
              </w:rPr>
              <w:t xml:space="preserve"> </w:t>
            </w:r>
            <w:r>
              <w:rPr>
                <w:color w:val="231F20"/>
                <w:sz w:val="14"/>
              </w:rPr>
              <w:t>здравље</w:t>
            </w:r>
          </w:p>
          <w:p w:rsidR="00041039" w:rsidRDefault="001B26CB">
            <w:pPr>
              <w:pStyle w:val="TableParagraph"/>
              <w:spacing w:line="160" w:lineRule="exact"/>
              <w:ind w:left="157"/>
              <w:rPr>
                <w:b/>
                <w:sz w:val="14"/>
              </w:rPr>
            </w:pPr>
            <w:r>
              <w:rPr>
                <w:b/>
                <w:color w:val="231F20"/>
                <w:sz w:val="14"/>
              </w:rPr>
              <w:t>(9 часова)</w:t>
            </w:r>
          </w:p>
        </w:tc>
      </w:tr>
      <w:tr w:rsidR="00041039">
        <w:trPr>
          <w:trHeight w:val="1480"/>
        </w:trPr>
        <w:tc>
          <w:tcPr>
            <w:tcW w:w="1304" w:type="dxa"/>
          </w:tcPr>
          <w:p w:rsidR="00041039" w:rsidRDefault="001B26CB">
            <w:pPr>
              <w:pStyle w:val="TableParagraph"/>
              <w:spacing w:before="19"/>
              <w:ind w:left="56" w:right="123"/>
              <w:rPr>
                <w:sz w:val="14"/>
              </w:rPr>
            </w:pPr>
            <w:r>
              <w:rPr>
                <w:color w:val="231F20"/>
                <w:sz w:val="14"/>
              </w:rPr>
              <w:t>Биологија развића човека</w:t>
            </w:r>
          </w:p>
        </w:tc>
        <w:tc>
          <w:tcPr>
            <w:tcW w:w="1587" w:type="dxa"/>
          </w:tcPr>
          <w:p w:rsidR="00041039" w:rsidRDefault="001B26CB">
            <w:pPr>
              <w:pStyle w:val="TableParagraph"/>
              <w:numPr>
                <w:ilvl w:val="0"/>
                <w:numId w:val="877"/>
              </w:numPr>
              <w:tabs>
                <w:tab w:val="left" w:pos="157"/>
              </w:tabs>
              <w:spacing w:before="9"/>
              <w:ind w:right="115"/>
              <w:rPr>
                <w:sz w:val="14"/>
              </w:rPr>
            </w:pPr>
            <w:r>
              <w:rPr>
                <w:color w:val="231F20"/>
                <w:sz w:val="14"/>
              </w:rPr>
              <w:t>Упознавање са</w:t>
            </w:r>
            <w:r>
              <w:rPr>
                <w:color w:val="231F20"/>
                <w:spacing w:val="-14"/>
                <w:sz w:val="14"/>
              </w:rPr>
              <w:t xml:space="preserve"> </w:t>
            </w:r>
            <w:r>
              <w:rPr>
                <w:color w:val="231F20"/>
                <w:sz w:val="14"/>
              </w:rPr>
              <w:t>основ­ ним фазама развића човека.</w:t>
            </w:r>
          </w:p>
          <w:p w:rsidR="00041039" w:rsidRDefault="001B26CB">
            <w:pPr>
              <w:pStyle w:val="TableParagraph"/>
              <w:numPr>
                <w:ilvl w:val="0"/>
                <w:numId w:val="877"/>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процеса</w:t>
            </w:r>
          </w:p>
          <w:p w:rsidR="00041039" w:rsidRDefault="001B26CB">
            <w:pPr>
              <w:pStyle w:val="TableParagraph"/>
              <w:spacing w:line="160" w:lineRule="exact"/>
              <w:rPr>
                <w:sz w:val="14"/>
              </w:rPr>
            </w:pPr>
            <w:r>
              <w:rPr>
                <w:color w:val="231F20"/>
                <w:sz w:val="14"/>
              </w:rPr>
              <w:t>полног сазревања.</w:t>
            </w:r>
          </w:p>
        </w:tc>
        <w:tc>
          <w:tcPr>
            <w:tcW w:w="2551" w:type="dxa"/>
          </w:tcPr>
          <w:p w:rsidR="00041039" w:rsidRDefault="001B26CB">
            <w:pPr>
              <w:pStyle w:val="TableParagraph"/>
              <w:numPr>
                <w:ilvl w:val="0"/>
                <w:numId w:val="876"/>
              </w:numPr>
              <w:tabs>
                <w:tab w:val="left" w:pos="157"/>
              </w:tabs>
              <w:spacing w:before="9"/>
              <w:ind w:right="349" w:hanging="99"/>
              <w:rPr>
                <w:sz w:val="14"/>
              </w:rPr>
            </w:pPr>
            <w:r>
              <w:rPr>
                <w:color w:val="231F20"/>
                <w:sz w:val="14"/>
              </w:rPr>
              <w:t>објасни процесе сперматогенезе</w:t>
            </w:r>
            <w:r>
              <w:rPr>
                <w:color w:val="231F20"/>
                <w:spacing w:val="-12"/>
                <w:sz w:val="14"/>
              </w:rPr>
              <w:t xml:space="preserve"> </w:t>
            </w:r>
            <w:r>
              <w:rPr>
                <w:color w:val="231F20"/>
                <w:sz w:val="14"/>
              </w:rPr>
              <w:t>и оогенезе;</w:t>
            </w:r>
          </w:p>
          <w:p w:rsidR="00041039" w:rsidRDefault="001B26CB">
            <w:pPr>
              <w:pStyle w:val="TableParagraph"/>
              <w:numPr>
                <w:ilvl w:val="0"/>
                <w:numId w:val="876"/>
              </w:numPr>
              <w:tabs>
                <w:tab w:val="left" w:pos="157"/>
              </w:tabs>
              <w:spacing w:line="153" w:lineRule="exact"/>
              <w:ind w:hanging="99"/>
              <w:rPr>
                <w:sz w:val="14"/>
              </w:rPr>
            </w:pPr>
            <w:r>
              <w:rPr>
                <w:color w:val="231F20"/>
                <w:sz w:val="14"/>
              </w:rPr>
              <w:t>опише процес</w:t>
            </w:r>
            <w:r>
              <w:rPr>
                <w:color w:val="231F20"/>
                <w:spacing w:val="-1"/>
                <w:sz w:val="14"/>
              </w:rPr>
              <w:t xml:space="preserve"> </w:t>
            </w:r>
            <w:r>
              <w:rPr>
                <w:color w:val="231F20"/>
                <w:sz w:val="14"/>
              </w:rPr>
              <w:t>оплођења;</w:t>
            </w:r>
          </w:p>
          <w:p w:rsidR="00041039" w:rsidRDefault="001B26CB">
            <w:pPr>
              <w:pStyle w:val="TableParagraph"/>
              <w:numPr>
                <w:ilvl w:val="0"/>
                <w:numId w:val="876"/>
              </w:numPr>
              <w:tabs>
                <w:tab w:val="left" w:pos="157"/>
              </w:tabs>
              <w:spacing w:line="160" w:lineRule="exact"/>
              <w:ind w:hanging="99"/>
              <w:rPr>
                <w:sz w:val="14"/>
              </w:rPr>
            </w:pPr>
            <w:r>
              <w:rPr>
                <w:color w:val="231F20"/>
                <w:sz w:val="14"/>
              </w:rPr>
              <w:t>наведе фазе интраутеричног</w:t>
            </w:r>
            <w:r>
              <w:rPr>
                <w:color w:val="231F20"/>
                <w:spacing w:val="-6"/>
                <w:sz w:val="14"/>
              </w:rPr>
              <w:t xml:space="preserve"> </w:t>
            </w:r>
            <w:r>
              <w:rPr>
                <w:color w:val="231F20"/>
                <w:sz w:val="14"/>
              </w:rPr>
              <w:t>развића;</w:t>
            </w:r>
          </w:p>
          <w:p w:rsidR="00041039" w:rsidRDefault="001B26CB">
            <w:pPr>
              <w:pStyle w:val="TableParagraph"/>
              <w:numPr>
                <w:ilvl w:val="0"/>
                <w:numId w:val="876"/>
              </w:numPr>
              <w:tabs>
                <w:tab w:val="left" w:pos="157"/>
              </w:tabs>
              <w:spacing w:line="237" w:lineRule="auto"/>
              <w:ind w:right="355" w:hanging="99"/>
              <w:rPr>
                <w:sz w:val="14"/>
              </w:rPr>
            </w:pPr>
            <w:r>
              <w:rPr>
                <w:color w:val="231F20"/>
                <w:sz w:val="14"/>
              </w:rPr>
              <w:t>објасни настанак ткива и</w:t>
            </w:r>
            <w:r>
              <w:rPr>
                <w:color w:val="231F20"/>
                <w:spacing w:val="-13"/>
                <w:sz w:val="14"/>
              </w:rPr>
              <w:t xml:space="preserve"> </w:t>
            </w:r>
            <w:r>
              <w:rPr>
                <w:color w:val="231F20"/>
                <w:sz w:val="14"/>
              </w:rPr>
              <w:t>зачетака органа;</w:t>
            </w:r>
          </w:p>
          <w:p w:rsidR="00041039" w:rsidRDefault="001B26CB">
            <w:pPr>
              <w:pStyle w:val="TableParagraph"/>
              <w:numPr>
                <w:ilvl w:val="0"/>
                <w:numId w:val="876"/>
              </w:numPr>
              <w:tabs>
                <w:tab w:val="left" w:pos="157"/>
              </w:tabs>
              <w:spacing w:line="160" w:lineRule="exact"/>
              <w:ind w:right="48" w:hanging="99"/>
              <w:rPr>
                <w:sz w:val="14"/>
              </w:rPr>
            </w:pPr>
            <w:r>
              <w:rPr>
                <w:color w:val="231F20"/>
                <w:sz w:val="14"/>
              </w:rPr>
              <w:t>опише промене које се догађају у</w:t>
            </w:r>
            <w:r>
              <w:rPr>
                <w:color w:val="231F20"/>
                <w:spacing w:val="-13"/>
                <w:sz w:val="14"/>
              </w:rPr>
              <w:t xml:space="preserve"> </w:t>
            </w:r>
            <w:r>
              <w:rPr>
                <w:color w:val="231F20"/>
                <w:sz w:val="14"/>
              </w:rPr>
              <w:t xml:space="preserve">орга­ низму </w:t>
            </w:r>
            <w:r>
              <w:rPr>
                <w:color w:val="231F20"/>
                <w:spacing w:val="-3"/>
                <w:sz w:val="14"/>
              </w:rPr>
              <w:t xml:space="preserve">од </w:t>
            </w:r>
            <w:r>
              <w:rPr>
                <w:color w:val="231F20"/>
                <w:sz w:val="14"/>
              </w:rPr>
              <w:t>рођења до</w:t>
            </w:r>
            <w:r>
              <w:rPr>
                <w:color w:val="231F20"/>
                <w:sz w:val="14"/>
              </w:rPr>
              <w:t xml:space="preserve"> </w:t>
            </w:r>
            <w:r>
              <w:rPr>
                <w:color w:val="231F20"/>
                <w:sz w:val="14"/>
              </w:rPr>
              <w:t>пубертета;</w:t>
            </w:r>
          </w:p>
          <w:p w:rsidR="00041039" w:rsidRDefault="001B26CB">
            <w:pPr>
              <w:pStyle w:val="TableParagraph"/>
              <w:numPr>
                <w:ilvl w:val="0"/>
                <w:numId w:val="876"/>
              </w:numPr>
              <w:tabs>
                <w:tab w:val="left" w:pos="157"/>
              </w:tabs>
              <w:spacing w:line="158" w:lineRule="exact"/>
              <w:ind w:hanging="99"/>
              <w:rPr>
                <w:sz w:val="14"/>
              </w:rPr>
            </w:pPr>
            <w:r>
              <w:rPr>
                <w:color w:val="231F20"/>
                <w:sz w:val="14"/>
              </w:rPr>
              <w:t>објасни полно</w:t>
            </w:r>
            <w:r>
              <w:rPr>
                <w:color w:val="231F20"/>
                <w:spacing w:val="-2"/>
                <w:sz w:val="14"/>
              </w:rPr>
              <w:t xml:space="preserve"> </w:t>
            </w:r>
            <w:r>
              <w:rPr>
                <w:color w:val="231F20"/>
                <w:sz w:val="14"/>
              </w:rPr>
              <w:t>сазревање;</w:t>
            </w:r>
          </w:p>
        </w:tc>
        <w:tc>
          <w:tcPr>
            <w:tcW w:w="2834" w:type="dxa"/>
          </w:tcPr>
          <w:p w:rsidR="00041039" w:rsidRDefault="001B26CB">
            <w:pPr>
              <w:pStyle w:val="TableParagraph"/>
              <w:numPr>
                <w:ilvl w:val="0"/>
                <w:numId w:val="875"/>
              </w:numPr>
              <w:tabs>
                <w:tab w:val="left" w:pos="157"/>
              </w:tabs>
              <w:spacing w:before="9" w:line="166" w:lineRule="exact"/>
              <w:ind w:hanging="99"/>
              <w:rPr>
                <w:sz w:val="14"/>
              </w:rPr>
            </w:pPr>
            <w:r>
              <w:rPr>
                <w:color w:val="231F20"/>
                <w:sz w:val="14"/>
              </w:rPr>
              <w:t>Стварање и сазревање полних</w:t>
            </w:r>
            <w:r>
              <w:rPr>
                <w:color w:val="231F20"/>
                <w:spacing w:val="-5"/>
                <w:sz w:val="14"/>
              </w:rPr>
              <w:t xml:space="preserve"> </w:t>
            </w:r>
            <w:r>
              <w:rPr>
                <w:color w:val="231F20"/>
                <w:sz w:val="14"/>
              </w:rPr>
              <w:t>ћелија.</w:t>
            </w:r>
          </w:p>
          <w:p w:rsidR="00041039" w:rsidRDefault="001B26CB">
            <w:pPr>
              <w:pStyle w:val="TableParagraph"/>
              <w:numPr>
                <w:ilvl w:val="0"/>
                <w:numId w:val="875"/>
              </w:numPr>
              <w:tabs>
                <w:tab w:val="left" w:pos="157"/>
              </w:tabs>
              <w:spacing w:line="160" w:lineRule="exact"/>
              <w:ind w:hanging="99"/>
              <w:rPr>
                <w:sz w:val="14"/>
              </w:rPr>
            </w:pPr>
            <w:r>
              <w:rPr>
                <w:color w:val="231F20"/>
                <w:sz w:val="14"/>
              </w:rPr>
              <w:t>Оплођење.</w:t>
            </w:r>
          </w:p>
          <w:p w:rsidR="00041039" w:rsidRDefault="001B26CB">
            <w:pPr>
              <w:pStyle w:val="TableParagraph"/>
              <w:numPr>
                <w:ilvl w:val="0"/>
                <w:numId w:val="875"/>
              </w:numPr>
              <w:tabs>
                <w:tab w:val="left" w:pos="157"/>
              </w:tabs>
              <w:spacing w:line="160" w:lineRule="exact"/>
              <w:ind w:hanging="99"/>
              <w:rPr>
                <w:sz w:val="14"/>
              </w:rPr>
            </w:pPr>
            <w:r>
              <w:rPr>
                <w:color w:val="231F20"/>
                <w:sz w:val="14"/>
              </w:rPr>
              <w:t>Интраутерично</w:t>
            </w:r>
            <w:r>
              <w:rPr>
                <w:color w:val="231F20"/>
                <w:spacing w:val="-1"/>
                <w:sz w:val="14"/>
              </w:rPr>
              <w:t xml:space="preserve"> </w:t>
            </w:r>
            <w:r>
              <w:rPr>
                <w:color w:val="231F20"/>
                <w:sz w:val="14"/>
              </w:rPr>
              <w:t>развиће.</w:t>
            </w:r>
          </w:p>
          <w:p w:rsidR="00041039" w:rsidRDefault="001B26CB">
            <w:pPr>
              <w:pStyle w:val="TableParagraph"/>
              <w:numPr>
                <w:ilvl w:val="0"/>
                <w:numId w:val="875"/>
              </w:numPr>
              <w:tabs>
                <w:tab w:val="left" w:pos="157"/>
              </w:tabs>
              <w:spacing w:line="160" w:lineRule="exact"/>
              <w:ind w:hanging="99"/>
              <w:rPr>
                <w:sz w:val="14"/>
              </w:rPr>
            </w:pPr>
            <w:r>
              <w:rPr>
                <w:color w:val="231F20"/>
                <w:sz w:val="14"/>
              </w:rPr>
              <w:t>Рађање и</w:t>
            </w:r>
            <w:r>
              <w:rPr>
                <w:color w:val="231F20"/>
                <w:spacing w:val="-3"/>
                <w:sz w:val="14"/>
              </w:rPr>
              <w:t xml:space="preserve"> </w:t>
            </w:r>
            <w:r>
              <w:rPr>
                <w:color w:val="231F20"/>
                <w:sz w:val="14"/>
              </w:rPr>
              <w:t>детињство.</w:t>
            </w:r>
          </w:p>
          <w:p w:rsidR="00041039" w:rsidRDefault="001B26CB">
            <w:pPr>
              <w:pStyle w:val="TableParagraph"/>
              <w:numPr>
                <w:ilvl w:val="0"/>
                <w:numId w:val="875"/>
              </w:numPr>
              <w:tabs>
                <w:tab w:val="left" w:pos="157"/>
              </w:tabs>
              <w:spacing w:line="166" w:lineRule="exact"/>
              <w:ind w:hanging="99"/>
              <w:rPr>
                <w:sz w:val="14"/>
              </w:rPr>
            </w:pPr>
            <w:r>
              <w:rPr>
                <w:color w:val="231F20"/>
                <w:sz w:val="14"/>
              </w:rPr>
              <w:t>Полно</w:t>
            </w:r>
            <w:r>
              <w:rPr>
                <w:color w:val="231F20"/>
                <w:spacing w:val="-2"/>
                <w:sz w:val="14"/>
              </w:rPr>
              <w:t xml:space="preserve"> </w:t>
            </w:r>
            <w:r>
              <w:rPr>
                <w:color w:val="231F20"/>
                <w:sz w:val="14"/>
              </w:rPr>
              <w:t>сазревање.</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19"/>
              <w:ind w:left="56" w:right="128"/>
              <w:rPr>
                <w:sz w:val="14"/>
              </w:rPr>
            </w:pPr>
            <w:r>
              <w:rPr>
                <w:color w:val="231F20"/>
                <w:sz w:val="14"/>
              </w:rPr>
              <w:t>Наслеђивање био­ лошких особина</w:t>
            </w:r>
          </w:p>
        </w:tc>
        <w:tc>
          <w:tcPr>
            <w:tcW w:w="1587" w:type="dxa"/>
          </w:tcPr>
          <w:p w:rsidR="00041039" w:rsidRDefault="001B26CB">
            <w:pPr>
              <w:pStyle w:val="TableParagraph"/>
              <w:numPr>
                <w:ilvl w:val="0"/>
                <w:numId w:val="874"/>
              </w:numPr>
              <w:tabs>
                <w:tab w:val="left" w:pos="157"/>
              </w:tabs>
              <w:spacing w:before="9"/>
              <w:ind w:right="115"/>
              <w:rPr>
                <w:sz w:val="14"/>
              </w:rPr>
            </w:pPr>
            <w:r>
              <w:rPr>
                <w:color w:val="231F20"/>
                <w:sz w:val="14"/>
              </w:rPr>
              <w:t>Разумевање</w:t>
            </w:r>
            <w:r>
              <w:rPr>
                <w:color w:val="231F20"/>
                <w:spacing w:val="-6"/>
                <w:sz w:val="14"/>
              </w:rPr>
              <w:t xml:space="preserve"> </w:t>
            </w:r>
            <w:r>
              <w:rPr>
                <w:color w:val="231F20"/>
                <w:sz w:val="14"/>
              </w:rPr>
              <w:t>основних принципа наслеђи­ вања особина.</w:t>
            </w:r>
          </w:p>
        </w:tc>
        <w:tc>
          <w:tcPr>
            <w:tcW w:w="2551" w:type="dxa"/>
          </w:tcPr>
          <w:p w:rsidR="00041039" w:rsidRDefault="001B26CB">
            <w:pPr>
              <w:pStyle w:val="TableParagraph"/>
              <w:numPr>
                <w:ilvl w:val="0"/>
                <w:numId w:val="873"/>
              </w:numPr>
              <w:tabs>
                <w:tab w:val="left" w:pos="157"/>
              </w:tabs>
              <w:spacing w:before="9" w:line="166" w:lineRule="exact"/>
              <w:ind w:hanging="99"/>
              <w:rPr>
                <w:sz w:val="14"/>
              </w:rPr>
            </w:pPr>
            <w:r>
              <w:rPr>
                <w:color w:val="231F20"/>
                <w:sz w:val="14"/>
              </w:rPr>
              <w:t>упореди ДНК, хроматин,</w:t>
            </w:r>
            <w:r>
              <w:rPr>
                <w:color w:val="231F20"/>
                <w:spacing w:val="-8"/>
                <w:sz w:val="14"/>
              </w:rPr>
              <w:t xml:space="preserve"> </w:t>
            </w:r>
            <w:r>
              <w:rPr>
                <w:color w:val="231F20"/>
                <w:sz w:val="14"/>
              </w:rPr>
              <w:t>хромозом;</w:t>
            </w:r>
          </w:p>
          <w:p w:rsidR="00041039" w:rsidRDefault="001B26CB">
            <w:pPr>
              <w:pStyle w:val="TableParagraph"/>
              <w:numPr>
                <w:ilvl w:val="0"/>
                <w:numId w:val="873"/>
              </w:numPr>
              <w:tabs>
                <w:tab w:val="left" w:pos="157"/>
              </w:tabs>
              <w:spacing w:line="237" w:lineRule="auto"/>
              <w:ind w:right="538" w:hanging="99"/>
              <w:rPr>
                <w:sz w:val="14"/>
              </w:rPr>
            </w:pPr>
            <w:r>
              <w:rPr>
                <w:color w:val="231F20"/>
                <w:sz w:val="14"/>
              </w:rPr>
              <w:t>дефинише ген, геном,</w:t>
            </w:r>
            <w:r>
              <w:rPr>
                <w:color w:val="231F20"/>
                <w:spacing w:val="-13"/>
                <w:sz w:val="14"/>
              </w:rPr>
              <w:t xml:space="preserve"> </w:t>
            </w:r>
            <w:r>
              <w:rPr>
                <w:color w:val="231F20"/>
                <w:sz w:val="14"/>
              </w:rPr>
              <w:t>генотип, фенотип;</w:t>
            </w:r>
          </w:p>
          <w:p w:rsidR="00041039" w:rsidRDefault="001B26CB">
            <w:pPr>
              <w:pStyle w:val="TableParagraph"/>
              <w:numPr>
                <w:ilvl w:val="0"/>
                <w:numId w:val="873"/>
              </w:numPr>
              <w:tabs>
                <w:tab w:val="left" w:pos="157"/>
              </w:tabs>
              <w:spacing w:line="160" w:lineRule="exact"/>
              <w:ind w:right="95" w:hanging="99"/>
              <w:rPr>
                <w:sz w:val="14"/>
              </w:rPr>
            </w:pPr>
            <w:r>
              <w:rPr>
                <w:color w:val="231F20"/>
                <w:sz w:val="14"/>
              </w:rPr>
              <w:t>објасни основна правила наслеђивања особина (Менделова</w:t>
            </w:r>
            <w:r>
              <w:rPr>
                <w:color w:val="231F20"/>
                <w:spacing w:val="-2"/>
                <w:sz w:val="14"/>
              </w:rPr>
              <w:t xml:space="preserve"> </w:t>
            </w:r>
            <w:r>
              <w:rPr>
                <w:color w:val="231F20"/>
                <w:sz w:val="14"/>
              </w:rPr>
              <w:t>правила);</w:t>
            </w:r>
          </w:p>
          <w:p w:rsidR="00041039" w:rsidRDefault="001B26CB">
            <w:pPr>
              <w:pStyle w:val="TableParagraph"/>
              <w:numPr>
                <w:ilvl w:val="0"/>
                <w:numId w:val="873"/>
              </w:numPr>
              <w:tabs>
                <w:tab w:val="left" w:pos="157"/>
              </w:tabs>
              <w:spacing w:line="153" w:lineRule="exact"/>
              <w:ind w:hanging="99"/>
              <w:rPr>
                <w:sz w:val="14"/>
              </w:rPr>
            </w:pPr>
            <w:r>
              <w:rPr>
                <w:color w:val="231F20"/>
                <w:sz w:val="14"/>
              </w:rPr>
              <w:t>објасни типове наслеђивања</w:t>
            </w:r>
            <w:r>
              <w:rPr>
                <w:color w:val="231F20"/>
                <w:spacing w:val="-7"/>
                <w:sz w:val="14"/>
              </w:rPr>
              <w:t xml:space="preserve"> </w:t>
            </w:r>
            <w:r>
              <w:rPr>
                <w:color w:val="231F20"/>
                <w:sz w:val="14"/>
              </w:rPr>
              <w:t>особина;</w:t>
            </w:r>
          </w:p>
          <w:p w:rsidR="00041039" w:rsidRDefault="001B26CB">
            <w:pPr>
              <w:pStyle w:val="TableParagraph"/>
              <w:numPr>
                <w:ilvl w:val="0"/>
                <w:numId w:val="873"/>
              </w:numPr>
              <w:tabs>
                <w:tab w:val="left" w:pos="157"/>
              </w:tabs>
              <w:spacing w:line="160" w:lineRule="exact"/>
              <w:ind w:hanging="99"/>
              <w:rPr>
                <w:sz w:val="14"/>
              </w:rPr>
            </w:pPr>
            <w:r>
              <w:rPr>
                <w:color w:val="231F20"/>
                <w:sz w:val="14"/>
              </w:rPr>
              <w:t>објасни врсте и узроке</w:t>
            </w:r>
            <w:r>
              <w:rPr>
                <w:color w:val="231F20"/>
                <w:spacing w:val="-4"/>
                <w:sz w:val="14"/>
              </w:rPr>
              <w:t xml:space="preserve"> </w:t>
            </w:r>
            <w:r>
              <w:rPr>
                <w:color w:val="231F20"/>
                <w:sz w:val="14"/>
              </w:rPr>
              <w:t>мутација;</w:t>
            </w:r>
          </w:p>
          <w:p w:rsidR="00041039" w:rsidRDefault="001B26CB">
            <w:pPr>
              <w:pStyle w:val="TableParagraph"/>
              <w:numPr>
                <w:ilvl w:val="0"/>
                <w:numId w:val="873"/>
              </w:numPr>
              <w:tabs>
                <w:tab w:val="left" w:pos="157"/>
              </w:tabs>
              <w:spacing w:line="237" w:lineRule="auto"/>
              <w:ind w:right="364" w:hanging="99"/>
              <w:rPr>
                <w:sz w:val="14"/>
              </w:rPr>
            </w:pPr>
            <w:r>
              <w:rPr>
                <w:color w:val="231F20"/>
                <w:sz w:val="14"/>
              </w:rPr>
              <w:t>наведе наследне болести човека</w:t>
            </w:r>
            <w:r>
              <w:rPr>
                <w:color w:val="231F20"/>
                <w:spacing w:val="-14"/>
                <w:sz w:val="14"/>
              </w:rPr>
              <w:t xml:space="preserve"> </w:t>
            </w:r>
            <w:r>
              <w:rPr>
                <w:color w:val="231F20"/>
                <w:sz w:val="14"/>
              </w:rPr>
              <w:t>и њихове</w:t>
            </w:r>
            <w:r>
              <w:rPr>
                <w:color w:val="231F20"/>
                <w:spacing w:val="-1"/>
                <w:sz w:val="14"/>
              </w:rPr>
              <w:t xml:space="preserve"> </w:t>
            </w:r>
            <w:r>
              <w:rPr>
                <w:color w:val="231F20"/>
                <w:sz w:val="14"/>
              </w:rPr>
              <w:t>узроке;</w:t>
            </w:r>
          </w:p>
        </w:tc>
        <w:tc>
          <w:tcPr>
            <w:tcW w:w="2834" w:type="dxa"/>
          </w:tcPr>
          <w:p w:rsidR="00041039" w:rsidRDefault="001B26CB">
            <w:pPr>
              <w:pStyle w:val="TableParagraph"/>
              <w:numPr>
                <w:ilvl w:val="0"/>
                <w:numId w:val="872"/>
              </w:numPr>
              <w:tabs>
                <w:tab w:val="left" w:pos="158"/>
              </w:tabs>
              <w:spacing w:before="9" w:line="166" w:lineRule="exact"/>
              <w:rPr>
                <w:sz w:val="14"/>
              </w:rPr>
            </w:pPr>
            <w:r>
              <w:rPr>
                <w:color w:val="231F20"/>
                <w:sz w:val="14"/>
              </w:rPr>
              <w:t>Генетика</w:t>
            </w:r>
            <w:r>
              <w:rPr>
                <w:color w:val="231F20"/>
                <w:spacing w:val="-1"/>
                <w:sz w:val="14"/>
              </w:rPr>
              <w:t xml:space="preserve"> </w:t>
            </w:r>
            <w:r>
              <w:rPr>
                <w:color w:val="231F20"/>
                <w:sz w:val="14"/>
              </w:rPr>
              <w:t>човека.</w:t>
            </w:r>
          </w:p>
          <w:p w:rsidR="00041039" w:rsidRDefault="001B26CB">
            <w:pPr>
              <w:pStyle w:val="TableParagraph"/>
              <w:numPr>
                <w:ilvl w:val="0"/>
                <w:numId w:val="872"/>
              </w:numPr>
              <w:tabs>
                <w:tab w:val="left" w:pos="158"/>
              </w:tabs>
              <w:spacing w:line="160" w:lineRule="exact"/>
              <w:rPr>
                <w:sz w:val="14"/>
              </w:rPr>
            </w:pPr>
            <w:r>
              <w:rPr>
                <w:color w:val="231F20"/>
                <w:sz w:val="14"/>
              </w:rPr>
              <w:t>Појам и функције</w:t>
            </w:r>
            <w:r>
              <w:rPr>
                <w:color w:val="231F20"/>
                <w:spacing w:val="-3"/>
                <w:sz w:val="14"/>
              </w:rPr>
              <w:t xml:space="preserve"> </w:t>
            </w:r>
            <w:r>
              <w:rPr>
                <w:color w:val="231F20"/>
                <w:sz w:val="14"/>
              </w:rPr>
              <w:t>гена.</w:t>
            </w:r>
          </w:p>
          <w:p w:rsidR="00041039" w:rsidRDefault="001B26CB">
            <w:pPr>
              <w:pStyle w:val="TableParagraph"/>
              <w:numPr>
                <w:ilvl w:val="0"/>
                <w:numId w:val="872"/>
              </w:numPr>
              <w:tabs>
                <w:tab w:val="left" w:pos="158"/>
              </w:tabs>
              <w:spacing w:line="237" w:lineRule="auto"/>
              <w:ind w:right="405"/>
              <w:rPr>
                <w:sz w:val="14"/>
              </w:rPr>
            </w:pPr>
            <w:r>
              <w:rPr>
                <w:color w:val="231F20"/>
                <w:sz w:val="14"/>
              </w:rPr>
              <w:t xml:space="preserve">Наслеђивање и варирање особина </w:t>
            </w:r>
            <w:r>
              <w:rPr>
                <w:color w:val="231F20"/>
                <w:spacing w:val="-5"/>
                <w:sz w:val="14"/>
              </w:rPr>
              <w:t xml:space="preserve">код </w:t>
            </w:r>
            <w:r>
              <w:rPr>
                <w:color w:val="231F20"/>
                <w:sz w:val="14"/>
              </w:rPr>
              <w:t>човека.</w:t>
            </w:r>
          </w:p>
          <w:p w:rsidR="00041039" w:rsidRDefault="001B26CB">
            <w:pPr>
              <w:pStyle w:val="TableParagraph"/>
              <w:numPr>
                <w:ilvl w:val="0"/>
                <w:numId w:val="872"/>
              </w:numPr>
              <w:tabs>
                <w:tab w:val="left" w:pos="158"/>
              </w:tabs>
              <w:spacing w:line="155" w:lineRule="exact"/>
              <w:rPr>
                <w:sz w:val="14"/>
              </w:rPr>
            </w:pPr>
            <w:r>
              <w:rPr>
                <w:color w:val="231F20"/>
                <w:sz w:val="14"/>
              </w:rPr>
              <w:t>Наследне</w:t>
            </w:r>
            <w:r>
              <w:rPr>
                <w:color w:val="231F20"/>
                <w:spacing w:val="-1"/>
                <w:sz w:val="14"/>
              </w:rPr>
              <w:t xml:space="preserve"> </w:t>
            </w:r>
            <w:r>
              <w:rPr>
                <w:color w:val="231F20"/>
                <w:sz w:val="14"/>
              </w:rPr>
              <w:t>болести.</w:t>
            </w:r>
          </w:p>
          <w:p w:rsidR="00041039" w:rsidRDefault="001B26CB">
            <w:pPr>
              <w:pStyle w:val="TableParagraph"/>
              <w:numPr>
                <w:ilvl w:val="0"/>
                <w:numId w:val="872"/>
              </w:numPr>
              <w:tabs>
                <w:tab w:val="left" w:pos="158"/>
              </w:tabs>
              <w:spacing w:line="237" w:lineRule="auto"/>
              <w:ind w:right="206"/>
              <w:rPr>
                <w:sz w:val="14"/>
              </w:rPr>
            </w:pPr>
            <w:r>
              <w:rPr>
                <w:color w:val="231F20"/>
                <w:sz w:val="14"/>
              </w:rPr>
              <w:t>Праћење особина на основу родословног стабла.</w:t>
            </w:r>
          </w:p>
          <w:p w:rsidR="00041039" w:rsidRDefault="001B26CB">
            <w:pPr>
              <w:pStyle w:val="TableParagraph"/>
              <w:numPr>
                <w:ilvl w:val="0"/>
                <w:numId w:val="872"/>
              </w:numPr>
              <w:tabs>
                <w:tab w:val="left" w:pos="158"/>
              </w:tabs>
              <w:spacing w:line="160" w:lineRule="exact"/>
              <w:ind w:right="262"/>
              <w:rPr>
                <w:sz w:val="14"/>
              </w:rPr>
            </w:pPr>
            <w:r>
              <w:rPr>
                <w:color w:val="231F20"/>
                <w:sz w:val="14"/>
              </w:rPr>
              <w:t>Генетичка условљеност човековог</w:t>
            </w:r>
            <w:r>
              <w:rPr>
                <w:color w:val="231F20"/>
                <w:spacing w:val="-24"/>
                <w:sz w:val="14"/>
              </w:rPr>
              <w:t xml:space="preserve"> </w:t>
            </w:r>
            <w:r>
              <w:rPr>
                <w:color w:val="231F20"/>
                <w:sz w:val="14"/>
              </w:rPr>
              <w:t>пона­ шања.</w:t>
            </w:r>
          </w:p>
          <w:p w:rsidR="00041039" w:rsidRDefault="001B26CB">
            <w:pPr>
              <w:pStyle w:val="TableParagraph"/>
              <w:numPr>
                <w:ilvl w:val="0"/>
                <w:numId w:val="872"/>
              </w:numPr>
              <w:tabs>
                <w:tab w:val="left" w:pos="158"/>
              </w:tabs>
              <w:spacing w:line="158" w:lineRule="exact"/>
              <w:rPr>
                <w:sz w:val="14"/>
              </w:rPr>
            </w:pPr>
            <w:r>
              <w:rPr>
                <w:color w:val="231F20"/>
                <w:spacing w:val="-3"/>
                <w:sz w:val="14"/>
              </w:rPr>
              <w:t xml:space="preserve">Генетичко </w:t>
            </w:r>
            <w:r>
              <w:rPr>
                <w:color w:val="231F20"/>
                <w:sz w:val="14"/>
              </w:rPr>
              <w:t>саветовање и</w:t>
            </w:r>
            <w:r>
              <w:rPr>
                <w:color w:val="231F20"/>
                <w:spacing w:val="2"/>
                <w:sz w:val="14"/>
              </w:rPr>
              <w:t xml:space="preserve"> </w:t>
            </w:r>
            <w:r>
              <w:rPr>
                <w:color w:val="231F20"/>
                <w:sz w:val="14"/>
              </w:rPr>
              <w:t>тестирање.</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7" w:right="37"/>
              <w:rPr>
                <w:sz w:val="14"/>
              </w:rPr>
            </w:pPr>
            <w:r>
              <w:rPr>
                <w:color w:val="231F20"/>
                <w:sz w:val="14"/>
              </w:rPr>
              <w:t>Полно и репродук­ тивно здравље</w:t>
            </w:r>
          </w:p>
        </w:tc>
        <w:tc>
          <w:tcPr>
            <w:tcW w:w="1587" w:type="dxa"/>
          </w:tcPr>
          <w:p w:rsidR="00041039" w:rsidRDefault="001B26CB">
            <w:pPr>
              <w:pStyle w:val="TableParagraph"/>
              <w:numPr>
                <w:ilvl w:val="0"/>
                <w:numId w:val="871"/>
              </w:numPr>
              <w:tabs>
                <w:tab w:val="left" w:pos="157"/>
              </w:tabs>
              <w:spacing w:before="10"/>
              <w:ind w:right="117" w:hanging="99"/>
              <w:rPr>
                <w:sz w:val="14"/>
              </w:rPr>
            </w:pPr>
            <w:r>
              <w:rPr>
                <w:color w:val="231F20"/>
                <w:sz w:val="14"/>
              </w:rPr>
              <w:t>Разумевање</w:t>
            </w:r>
            <w:r>
              <w:rPr>
                <w:color w:val="231F20"/>
                <w:spacing w:val="-15"/>
                <w:sz w:val="14"/>
              </w:rPr>
              <w:t xml:space="preserve"> </w:t>
            </w:r>
            <w:r>
              <w:rPr>
                <w:color w:val="231F20"/>
                <w:sz w:val="14"/>
              </w:rPr>
              <w:t>проблема везаних за период одрастања.</w:t>
            </w:r>
          </w:p>
          <w:p w:rsidR="00041039" w:rsidRDefault="001B26CB">
            <w:pPr>
              <w:pStyle w:val="TableParagraph"/>
              <w:numPr>
                <w:ilvl w:val="0"/>
                <w:numId w:val="871"/>
              </w:numPr>
              <w:tabs>
                <w:tab w:val="left" w:pos="157"/>
              </w:tabs>
              <w:spacing w:line="157" w:lineRule="exact"/>
              <w:ind w:hanging="99"/>
              <w:rPr>
                <w:sz w:val="14"/>
              </w:rPr>
            </w:pPr>
            <w:r>
              <w:rPr>
                <w:color w:val="231F20"/>
                <w:sz w:val="14"/>
              </w:rPr>
              <w:t xml:space="preserve">Схватања </w:t>
            </w:r>
            <w:r>
              <w:rPr>
                <w:color w:val="231F20"/>
                <w:spacing w:val="-3"/>
                <w:sz w:val="14"/>
              </w:rPr>
              <w:t>улоге</w:t>
            </w:r>
            <w:r>
              <w:rPr>
                <w:color w:val="231F20"/>
                <w:spacing w:val="-1"/>
                <w:sz w:val="14"/>
              </w:rPr>
              <w:t xml:space="preserve"> </w:t>
            </w:r>
            <w:r>
              <w:rPr>
                <w:color w:val="231F20"/>
                <w:sz w:val="14"/>
              </w:rPr>
              <w:t>и</w:t>
            </w:r>
          </w:p>
          <w:p w:rsidR="00041039" w:rsidRDefault="001B26CB">
            <w:pPr>
              <w:pStyle w:val="TableParagraph"/>
              <w:spacing w:line="155" w:lineRule="exact"/>
              <w:rPr>
                <w:sz w:val="14"/>
              </w:rPr>
            </w:pPr>
            <w:r>
              <w:rPr>
                <w:color w:val="231F20"/>
                <w:sz w:val="14"/>
              </w:rPr>
              <w:t>значаја породице.</w:t>
            </w:r>
          </w:p>
          <w:p w:rsidR="00041039" w:rsidRDefault="001B26CB">
            <w:pPr>
              <w:pStyle w:val="TableParagraph"/>
              <w:numPr>
                <w:ilvl w:val="0"/>
                <w:numId w:val="871"/>
              </w:numPr>
              <w:tabs>
                <w:tab w:val="left" w:pos="157"/>
              </w:tabs>
              <w:spacing w:line="237" w:lineRule="auto"/>
              <w:ind w:right="117" w:hanging="99"/>
              <w:rPr>
                <w:sz w:val="14"/>
              </w:rPr>
            </w:pPr>
            <w:r>
              <w:rPr>
                <w:color w:val="231F20"/>
                <w:sz w:val="14"/>
              </w:rPr>
              <w:t>Разумевање</w:t>
            </w:r>
            <w:r>
              <w:rPr>
                <w:color w:val="231F20"/>
                <w:spacing w:val="-15"/>
                <w:sz w:val="14"/>
              </w:rPr>
              <w:t xml:space="preserve"> </w:t>
            </w:r>
            <w:r>
              <w:rPr>
                <w:color w:val="231F20"/>
                <w:sz w:val="14"/>
              </w:rPr>
              <w:t>проблема повезаних са ризич­ ним</w:t>
            </w:r>
            <w:r>
              <w:rPr>
                <w:color w:val="231F20"/>
                <w:spacing w:val="-3"/>
                <w:sz w:val="14"/>
              </w:rPr>
              <w:t xml:space="preserve"> </w:t>
            </w:r>
            <w:r>
              <w:rPr>
                <w:color w:val="231F20"/>
                <w:sz w:val="14"/>
              </w:rPr>
              <w:t>понашањем.</w:t>
            </w:r>
          </w:p>
        </w:tc>
        <w:tc>
          <w:tcPr>
            <w:tcW w:w="2551" w:type="dxa"/>
          </w:tcPr>
          <w:p w:rsidR="00041039" w:rsidRDefault="001B26CB">
            <w:pPr>
              <w:pStyle w:val="TableParagraph"/>
              <w:numPr>
                <w:ilvl w:val="0"/>
                <w:numId w:val="870"/>
              </w:numPr>
              <w:tabs>
                <w:tab w:val="left" w:pos="157"/>
              </w:tabs>
              <w:spacing w:before="10"/>
              <w:ind w:right="212" w:hanging="99"/>
              <w:rPr>
                <w:sz w:val="14"/>
              </w:rPr>
            </w:pPr>
            <w:r>
              <w:rPr>
                <w:color w:val="231F20"/>
                <w:sz w:val="14"/>
              </w:rPr>
              <w:t>препозна</w:t>
            </w:r>
            <w:r>
              <w:rPr>
                <w:color w:val="231F20"/>
                <w:spacing w:val="-8"/>
                <w:sz w:val="14"/>
              </w:rPr>
              <w:t xml:space="preserve"> </w:t>
            </w:r>
            <w:r>
              <w:rPr>
                <w:color w:val="231F20"/>
                <w:sz w:val="14"/>
              </w:rPr>
              <w:t>проблеме</w:t>
            </w:r>
            <w:r>
              <w:rPr>
                <w:color w:val="231F20"/>
                <w:spacing w:val="-8"/>
                <w:sz w:val="14"/>
              </w:rPr>
              <w:t xml:space="preserve"> </w:t>
            </w:r>
            <w:r>
              <w:rPr>
                <w:color w:val="231F20"/>
                <w:sz w:val="14"/>
              </w:rPr>
              <w:t>везане</w:t>
            </w:r>
            <w:r>
              <w:rPr>
                <w:color w:val="231F20"/>
                <w:spacing w:val="-8"/>
                <w:sz w:val="14"/>
              </w:rPr>
              <w:t xml:space="preserve"> </w:t>
            </w:r>
            <w:r>
              <w:rPr>
                <w:color w:val="231F20"/>
                <w:sz w:val="14"/>
              </w:rPr>
              <w:t>за</w:t>
            </w:r>
            <w:r>
              <w:rPr>
                <w:color w:val="231F20"/>
                <w:spacing w:val="-8"/>
                <w:sz w:val="14"/>
              </w:rPr>
              <w:t xml:space="preserve"> </w:t>
            </w:r>
            <w:r>
              <w:rPr>
                <w:color w:val="231F20"/>
                <w:sz w:val="14"/>
              </w:rPr>
              <w:t>период одрастања;</w:t>
            </w:r>
          </w:p>
          <w:p w:rsidR="00041039" w:rsidRDefault="001B26CB">
            <w:pPr>
              <w:pStyle w:val="TableParagraph"/>
              <w:numPr>
                <w:ilvl w:val="0"/>
                <w:numId w:val="870"/>
              </w:numPr>
              <w:tabs>
                <w:tab w:val="left" w:pos="157"/>
              </w:tabs>
              <w:spacing w:line="153" w:lineRule="exact"/>
              <w:ind w:hanging="99"/>
              <w:rPr>
                <w:sz w:val="14"/>
              </w:rPr>
            </w:pPr>
            <w:r>
              <w:rPr>
                <w:color w:val="231F20"/>
                <w:sz w:val="14"/>
              </w:rPr>
              <w:t>објасни значај</w:t>
            </w:r>
            <w:r>
              <w:rPr>
                <w:color w:val="231F20"/>
                <w:spacing w:val="-2"/>
                <w:sz w:val="14"/>
              </w:rPr>
              <w:t xml:space="preserve"> </w:t>
            </w:r>
            <w:r>
              <w:rPr>
                <w:color w:val="231F20"/>
                <w:sz w:val="14"/>
              </w:rPr>
              <w:t>породице;</w:t>
            </w:r>
          </w:p>
          <w:p w:rsidR="00041039" w:rsidRDefault="001B26CB">
            <w:pPr>
              <w:pStyle w:val="TableParagraph"/>
              <w:numPr>
                <w:ilvl w:val="0"/>
                <w:numId w:val="870"/>
              </w:numPr>
              <w:tabs>
                <w:tab w:val="left" w:pos="157"/>
              </w:tabs>
              <w:spacing w:line="160" w:lineRule="exact"/>
              <w:ind w:hanging="99"/>
              <w:rPr>
                <w:sz w:val="14"/>
              </w:rPr>
            </w:pPr>
            <w:r>
              <w:rPr>
                <w:color w:val="231F20"/>
                <w:sz w:val="14"/>
              </w:rPr>
              <w:t>опише биолошку функцију</w:t>
            </w:r>
            <w:r>
              <w:rPr>
                <w:color w:val="231F20"/>
                <w:spacing w:val="-9"/>
                <w:sz w:val="14"/>
              </w:rPr>
              <w:t xml:space="preserve"> </w:t>
            </w:r>
            <w:r>
              <w:rPr>
                <w:color w:val="231F20"/>
                <w:sz w:val="14"/>
              </w:rPr>
              <w:t>породице;</w:t>
            </w:r>
          </w:p>
          <w:p w:rsidR="00041039" w:rsidRDefault="001B26CB">
            <w:pPr>
              <w:pStyle w:val="TableParagraph"/>
              <w:numPr>
                <w:ilvl w:val="0"/>
                <w:numId w:val="870"/>
              </w:numPr>
              <w:tabs>
                <w:tab w:val="left" w:pos="157"/>
              </w:tabs>
              <w:spacing w:line="237" w:lineRule="auto"/>
              <w:ind w:right="275" w:hanging="99"/>
              <w:rPr>
                <w:sz w:val="14"/>
              </w:rPr>
            </w:pPr>
            <w:r>
              <w:rPr>
                <w:color w:val="231F20"/>
                <w:sz w:val="14"/>
              </w:rPr>
              <w:t>дефинише појам „планирање поро­ дице”;</w:t>
            </w:r>
          </w:p>
          <w:p w:rsidR="00041039" w:rsidRDefault="001B26CB">
            <w:pPr>
              <w:pStyle w:val="TableParagraph"/>
              <w:numPr>
                <w:ilvl w:val="0"/>
                <w:numId w:val="870"/>
              </w:numPr>
              <w:tabs>
                <w:tab w:val="left" w:pos="157"/>
              </w:tabs>
              <w:spacing w:line="160" w:lineRule="exact"/>
              <w:ind w:right="219" w:hanging="99"/>
              <w:rPr>
                <w:sz w:val="14"/>
              </w:rPr>
            </w:pPr>
            <w:r>
              <w:rPr>
                <w:color w:val="231F20"/>
                <w:sz w:val="14"/>
              </w:rPr>
              <w:t xml:space="preserve">наведе облике заштите </w:t>
            </w:r>
            <w:r>
              <w:rPr>
                <w:color w:val="231F20"/>
                <w:spacing w:val="-3"/>
                <w:sz w:val="14"/>
              </w:rPr>
              <w:t>од</w:t>
            </w:r>
            <w:r>
              <w:rPr>
                <w:color w:val="231F20"/>
                <w:spacing w:val="-22"/>
                <w:sz w:val="14"/>
              </w:rPr>
              <w:t xml:space="preserve"> </w:t>
            </w:r>
            <w:r>
              <w:rPr>
                <w:color w:val="231F20"/>
                <w:sz w:val="14"/>
              </w:rPr>
              <w:t>нежељене трудноће;</w:t>
            </w:r>
          </w:p>
          <w:p w:rsidR="00041039" w:rsidRDefault="001B26CB">
            <w:pPr>
              <w:pStyle w:val="TableParagraph"/>
              <w:numPr>
                <w:ilvl w:val="0"/>
                <w:numId w:val="870"/>
              </w:numPr>
              <w:tabs>
                <w:tab w:val="left" w:pos="157"/>
              </w:tabs>
              <w:spacing w:line="160" w:lineRule="exact"/>
              <w:ind w:right="65" w:hanging="99"/>
              <w:rPr>
                <w:sz w:val="14"/>
              </w:rPr>
            </w:pPr>
            <w:r>
              <w:rPr>
                <w:color w:val="231F20"/>
                <w:sz w:val="14"/>
              </w:rPr>
              <w:t>објасни штетност абортуса по здравље жене;</w:t>
            </w:r>
          </w:p>
          <w:p w:rsidR="00041039" w:rsidRDefault="001B26CB">
            <w:pPr>
              <w:pStyle w:val="TableParagraph"/>
              <w:numPr>
                <w:ilvl w:val="0"/>
                <w:numId w:val="870"/>
              </w:numPr>
              <w:tabs>
                <w:tab w:val="left" w:pos="157"/>
              </w:tabs>
              <w:spacing w:line="160" w:lineRule="exact"/>
              <w:ind w:right="168" w:hanging="99"/>
              <w:rPr>
                <w:sz w:val="14"/>
              </w:rPr>
            </w:pPr>
            <w:r>
              <w:rPr>
                <w:color w:val="231F20"/>
                <w:sz w:val="14"/>
              </w:rPr>
              <w:t>наведе облике ризичног понашања, најчешће полно преносиве болести и болести</w:t>
            </w:r>
            <w:r>
              <w:rPr>
                <w:color w:val="231F20"/>
                <w:spacing w:val="-1"/>
                <w:sz w:val="14"/>
              </w:rPr>
              <w:t xml:space="preserve"> </w:t>
            </w:r>
            <w:r>
              <w:rPr>
                <w:color w:val="231F20"/>
                <w:sz w:val="14"/>
              </w:rPr>
              <w:t>зависности;</w:t>
            </w:r>
          </w:p>
        </w:tc>
        <w:tc>
          <w:tcPr>
            <w:tcW w:w="2834" w:type="dxa"/>
          </w:tcPr>
          <w:p w:rsidR="00041039" w:rsidRDefault="001B26CB">
            <w:pPr>
              <w:pStyle w:val="TableParagraph"/>
              <w:numPr>
                <w:ilvl w:val="0"/>
                <w:numId w:val="869"/>
              </w:numPr>
              <w:tabs>
                <w:tab w:val="left" w:pos="158"/>
              </w:tabs>
              <w:spacing w:before="10" w:line="166" w:lineRule="exact"/>
              <w:rPr>
                <w:sz w:val="14"/>
              </w:rPr>
            </w:pPr>
            <w:r>
              <w:rPr>
                <w:color w:val="231F20"/>
                <w:sz w:val="14"/>
              </w:rPr>
              <w:t>Појам и дефиниција</w:t>
            </w:r>
            <w:r>
              <w:rPr>
                <w:color w:val="231F20"/>
                <w:spacing w:val="-3"/>
                <w:sz w:val="14"/>
              </w:rPr>
              <w:t xml:space="preserve"> </w:t>
            </w:r>
            <w:r>
              <w:rPr>
                <w:color w:val="231F20"/>
                <w:sz w:val="14"/>
              </w:rPr>
              <w:t>здравља.</w:t>
            </w:r>
          </w:p>
          <w:p w:rsidR="00041039" w:rsidRDefault="001B26CB">
            <w:pPr>
              <w:pStyle w:val="TableParagraph"/>
              <w:numPr>
                <w:ilvl w:val="0"/>
                <w:numId w:val="869"/>
              </w:numPr>
              <w:tabs>
                <w:tab w:val="left" w:pos="158"/>
              </w:tabs>
              <w:spacing w:line="160" w:lineRule="exact"/>
              <w:rPr>
                <w:sz w:val="14"/>
              </w:rPr>
            </w:pPr>
            <w:r>
              <w:rPr>
                <w:color w:val="231F20"/>
                <w:sz w:val="14"/>
              </w:rPr>
              <w:t>Проблеми везани за период</w:t>
            </w:r>
            <w:r>
              <w:rPr>
                <w:color w:val="231F20"/>
                <w:spacing w:val="-16"/>
                <w:sz w:val="14"/>
              </w:rPr>
              <w:t xml:space="preserve"> </w:t>
            </w:r>
            <w:r>
              <w:rPr>
                <w:color w:val="231F20"/>
                <w:sz w:val="14"/>
              </w:rPr>
              <w:t>адолесценције.</w:t>
            </w:r>
          </w:p>
          <w:p w:rsidR="00041039" w:rsidRDefault="001B26CB">
            <w:pPr>
              <w:pStyle w:val="TableParagraph"/>
              <w:numPr>
                <w:ilvl w:val="0"/>
                <w:numId w:val="869"/>
              </w:numPr>
              <w:tabs>
                <w:tab w:val="left" w:pos="158"/>
              </w:tabs>
              <w:spacing w:line="160" w:lineRule="exact"/>
              <w:rPr>
                <w:sz w:val="14"/>
              </w:rPr>
            </w:pPr>
            <w:r>
              <w:rPr>
                <w:color w:val="231F20"/>
                <w:sz w:val="14"/>
              </w:rPr>
              <w:t>Планирање</w:t>
            </w:r>
            <w:r>
              <w:rPr>
                <w:color w:val="231F20"/>
                <w:spacing w:val="-2"/>
                <w:sz w:val="14"/>
              </w:rPr>
              <w:t xml:space="preserve"> </w:t>
            </w:r>
            <w:r>
              <w:rPr>
                <w:color w:val="231F20"/>
                <w:sz w:val="14"/>
              </w:rPr>
              <w:t>породице.</w:t>
            </w:r>
          </w:p>
          <w:p w:rsidR="00041039" w:rsidRDefault="001B26CB">
            <w:pPr>
              <w:pStyle w:val="TableParagraph"/>
              <w:numPr>
                <w:ilvl w:val="0"/>
                <w:numId w:val="869"/>
              </w:numPr>
              <w:tabs>
                <w:tab w:val="left" w:pos="158"/>
              </w:tabs>
              <w:spacing w:line="160" w:lineRule="exact"/>
              <w:rPr>
                <w:sz w:val="14"/>
              </w:rPr>
            </w:pPr>
            <w:r>
              <w:rPr>
                <w:color w:val="231F20"/>
                <w:sz w:val="14"/>
              </w:rPr>
              <w:t xml:space="preserve">Заштита </w:t>
            </w:r>
            <w:r>
              <w:rPr>
                <w:color w:val="231F20"/>
                <w:spacing w:val="-3"/>
                <w:sz w:val="14"/>
              </w:rPr>
              <w:t xml:space="preserve">од </w:t>
            </w:r>
            <w:r>
              <w:rPr>
                <w:color w:val="231F20"/>
                <w:sz w:val="14"/>
              </w:rPr>
              <w:t>полних</w:t>
            </w:r>
            <w:r>
              <w:rPr>
                <w:color w:val="231F20"/>
                <w:sz w:val="14"/>
              </w:rPr>
              <w:t xml:space="preserve"> </w:t>
            </w:r>
            <w:r>
              <w:rPr>
                <w:color w:val="231F20"/>
                <w:sz w:val="14"/>
              </w:rPr>
              <w:t>болести.</w:t>
            </w:r>
          </w:p>
          <w:p w:rsidR="00041039" w:rsidRDefault="001B26CB">
            <w:pPr>
              <w:pStyle w:val="TableParagraph"/>
              <w:numPr>
                <w:ilvl w:val="0"/>
                <w:numId w:val="869"/>
              </w:numPr>
              <w:tabs>
                <w:tab w:val="left" w:pos="158"/>
              </w:tabs>
              <w:spacing w:line="166" w:lineRule="exact"/>
              <w:rPr>
                <w:sz w:val="14"/>
              </w:rPr>
            </w:pPr>
            <w:r>
              <w:rPr>
                <w:color w:val="231F20"/>
                <w:sz w:val="14"/>
              </w:rPr>
              <w:t>Болести</w:t>
            </w:r>
            <w:r>
              <w:rPr>
                <w:color w:val="231F20"/>
                <w:spacing w:val="-1"/>
                <w:sz w:val="14"/>
              </w:rPr>
              <w:t xml:space="preserve"> </w:t>
            </w:r>
            <w:r>
              <w:rPr>
                <w:color w:val="231F20"/>
                <w:sz w:val="14"/>
              </w:rPr>
              <w:t>зависности.</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Екологија и заштита животне</w:t>
      </w:r>
      <w:r>
        <w:rPr>
          <w:color w:val="231F20"/>
          <w:spacing w:val="-3"/>
        </w:rPr>
        <w:t xml:space="preserve"> </w:t>
      </w:r>
      <w:r>
        <w:rPr>
          <w:color w:val="231F20"/>
        </w:rPr>
        <w:t>средине</w:t>
      </w:r>
    </w:p>
    <w:p w:rsidR="00041039" w:rsidRDefault="001B26CB">
      <w:pPr>
        <w:pStyle w:val="ListParagraph"/>
        <w:numPr>
          <w:ilvl w:val="1"/>
          <w:numId w:val="976"/>
        </w:numPr>
        <w:tabs>
          <w:tab w:val="left" w:pos="633"/>
        </w:tabs>
        <w:spacing w:line="203" w:lineRule="exact"/>
        <w:rPr>
          <w:sz w:val="18"/>
        </w:rPr>
      </w:pPr>
      <w:r>
        <w:rPr>
          <w:color w:val="231F20"/>
          <w:spacing w:val="-3"/>
          <w:sz w:val="18"/>
        </w:rPr>
        <w:t>Људски</w:t>
      </w:r>
      <w:r>
        <w:rPr>
          <w:color w:val="231F20"/>
          <w:spacing w:val="-1"/>
          <w:sz w:val="18"/>
        </w:rPr>
        <w:t xml:space="preserve"> </w:t>
      </w:r>
      <w:r>
        <w:rPr>
          <w:color w:val="231F20"/>
          <w:sz w:val="18"/>
        </w:rPr>
        <w:t>фактор</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МУЗИЧКА</w:t>
      </w:r>
      <w:r>
        <w:rPr>
          <w:b/>
          <w:color w:val="231F20"/>
          <w:spacing w:val="-1"/>
          <w:sz w:val="14"/>
        </w:rPr>
        <w:t xml:space="preserve"> </w:t>
      </w:r>
      <w:r>
        <w:rPr>
          <w:b/>
          <w:color w:val="231F20"/>
          <w:spacing w:val="-7"/>
          <w:sz w:val="14"/>
        </w:rPr>
        <w:t>КУЛТУРА</w:t>
      </w:r>
    </w:p>
    <w:p w:rsidR="00041039" w:rsidRDefault="001B26CB">
      <w:pPr>
        <w:pStyle w:val="BodyText"/>
        <w:spacing w:before="49" w:line="161" w:lineRule="exact"/>
        <w:ind w:left="157"/>
      </w:pPr>
      <w:r>
        <w:rPr>
          <w:color w:val="231F20"/>
        </w:rPr>
        <w:t>Циљеви предмета: – Оспособљавање ученика за разликовање обележја стилова различитих музичких жанрова;</w:t>
      </w:r>
    </w:p>
    <w:p w:rsidR="00041039" w:rsidRDefault="001B26CB">
      <w:pPr>
        <w:pStyle w:val="ListParagraph"/>
        <w:numPr>
          <w:ilvl w:val="2"/>
          <w:numId w:val="976"/>
        </w:numPr>
        <w:tabs>
          <w:tab w:val="left" w:pos="1566"/>
        </w:tabs>
        <w:spacing w:line="160" w:lineRule="exact"/>
        <w:rPr>
          <w:sz w:val="14"/>
        </w:rPr>
      </w:pPr>
      <w:r>
        <w:rPr>
          <w:color w:val="231F20"/>
          <w:sz w:val="14"/>
        </w:rPr>
        <w:t>Развијање свести о значају и улози музичке уметности кроз развој цивилизације и</w:t>
      </w:r>
      <w:r>
        <w:rPr>
          <w:color w:val="231F20"/>
          <w:spacing w:val="-10"/>
          <w:sz w:val="14"/>
        </w:rPr>
        <w:t xml:space="preserve"> </w:t>
      </w:r>
      <w:r>
        <w:rPr>
          <w:color w:val="231F20"/>
          <w:sz w:val="14"/>
        </w:rPr>
        <w:t>друштва;</w:t>
      </w:r>
    </w:p>
    <w:p w:rsidR="00041039" w:rsidRDefault="001B26CB">
      <w:pPr>
        <w:pStyle w:val="ListParagraph"/>
        <w:numPr>
          <w:ilvl w:val="2"/>
          <w:numId w:val="976"/>
        </w:numPr>
        <w:tabs>
          <w:tab w:val="left" w:pos="1566"/>
        </w:tabs>
        <w:spacing w:line="160" w:lineRule="exact"/>
        <w:rPr>
          <w:sz w:val="14"/>
        </w:rPr>
      </w:pPr>
      <w:r>
        <w:rPr>
          <w:color w:val="231F20"/>
          <w:sz w:val="14"/>
        </w:rPr>
        <w:t>Оспособљавање ученика за уочавање разлика и сличности између наше и других традиција и култура у домену</w:t>
      </w:r>
      <w:r>
        <w:rPr>
          <w:color w:val="231F20"/>
          <w:spacing w:val="-14"/>
          <w:sz w:val="14"/>
        </w:rPr>
        <w:t xml:space="preserve"> </w:t>
      </w:r>
      <w:r>
        <w:rPr>
          <w:color w:val="231F20"/>
          <w:sz w:val="14"/>
        </w:rPr>
        <w:t>музике;</w:t>
      </w:r>
    </w:p>
    <w:p w:rsidR="00041039" w:rsidRDefault="001B26CB">
      <w:pPr>
        <w:pStyle w:val="ListParagraph"/>
        <w:numPr>
          <w:ilvl w:val="2"/>
          <w:numId w:val="976"/>
        </w:numPr>
        <w:tabs>
          <w:tab w:val="left" w:pos="1566"/>
        </w:tabs>
        <w:spacing w:line="160" w:lineRule="exact"/>
        <w:rPr>
          <w:sz w:val="14"/>
        </w:rPr>
      </w:pPr>
      <w:r>
        <w:rPr>
          <w:color w:val="231F20"/>
          <w:sz w:val="14"/>
        </w:rPr>
        <w:t xml:space="preserve">Унапређивање естетских критеријума </w:t>
      </w:r>
      <w:r>
        <w:rPr>
          <w:color w:val="231F20"/>
          <w:spacing w:val="-5"/>
          <w:sz w:val="14"/>
        </w:rPr>
        <w:t>код</w:t>
      </w:r>
      <w:r>
        <w:rPr>
          <w:color w:val="231F20"/>
          <w:spacing w:val="-1"/>
          <w:sz w:val="14"/>
        </w:rPr>
        <w:t xml:space="preserve"> </w:t>
      </w:r>
      <w:r>
        <w:rPr>
          <w:color w:val="231F20"/>
          <w:sz w:val="14"/>
        </w:rPr>
        <w:t>ученика;</w:t>
      </w:r>
    </w:p>
    <w:p w:rsidR="00041039" w:rsidRDefault="001B26CB">
      <w:pPr>
        <w:pStyle w:val="ListParagraph"/>
        <w:numPr>
          <w:ilvl w:val="2"/>
          <w:numId w:val="976"/>
        </w:numPr>
        <w:tabs>
          <w:tab w:val="left" w:pos="1566"/>
        </w:tabs>
        <w:spacing w:line="240" w:lineRule="auto"/>
        <w:ind w:right="289"/>
        <w:rPr>
          <w:sz w:val="14"/>
        </w:rPr>
      </w:pPr>
      <w:r>
        <w:rPr>
          <w:color w:val="231F20"/>
          <w:sz w:val="14"/>
        </w:rPr>
        <w:t>Развијање</w:t>
      </w:r>
      <w:r>
        <w:rPr>
          <w:color w:val="231F20"/>
          <w:spacing w:val="-5"/>
          <w:sz w:val="14"/>
        </w:rPr>
        <w:t xml:space="preserve"> </w:t>
      </w:r>
      <w:r>
        <w:rPr>
          <w:color w:val="231F20"/>
          <w:sz w:val="14"/>
        </w:rPr>
        <w:t>навика</w:t>
      </w:r>
      <w:r>
        <w:rPr>
          <w:color w:val="231F20"/>
          <w:spacing w:val="-4"/>
          <w:sz w:val="14"/>
        </w:rPr>
        <w:t xml:space="preserve"> </w:t>
      </w:r>
      <w:r>
        <w:rPr>
          <w:color w:val="231F20"/>
          <w:spacing w:val="-5"/>
          <w:sz w:val="14"/>
        </w:rPr>
        <w:t>код</w:t>
      </w:r>
      <w:r>
        <w:rPr>
          <w:color w:val="231F20"/>
          <w:spacing w:val="-4"/>
          <w:sz w:val="14"/>
        </w:rPr>
        <w:t xml:space="preserve"> </w:t>
      </w:r>
      <w:r>
        <w:rPr>
          <w:color w:val="231F20"/>
          <w:sz w:val="14"/>
        </w:rPr>
        <w:t>ученика</w:t>
      </w:r>
      <w:r>
        <w:rPr>
          <w:color w:val="231F20"/>
          <w:spacing w:val="-4"/>
          <w:sz w:val="14"/>
        </w:rPr>
        <w:t xml:space="preserve"> </w:t>
      </w:r>
      <w:r>
        <w:rPr>
          <w:color w:val="231F20"/>
          <w:sz w:val="14"/>
        </w:rPr>
        <w:t>за</w:t>
      </w:r>
      <w:r>
        <w:rPr>
          <w:color w:val="231F20"/>
          <w:spacing w:val="-5"/>
          <w:sz w:val="14"/>
        </w:rPr>
        <w:t xml:space="preserve"> </w:t>
      </w:r>
      <w:r>
        <w:rPr>
          <w:color w:val="231F20"/>
          <w:sz w:val="14"/>
        </w:rPr>
        <w:t>праћење</w:t>
      </w:r>
      <w:r>
        <w:rPr>
          <w:color w:val="231F20"/>
          <w:spacing w:val="-5"/>
          <w:sz w:val="14"/>
        </w:rPr>
        <w:t xml:space="preserve"> </w:t>
      </w:r>
      <w:r>
        <w:rPr>
          <w:color w:val="231F20"/>
          <w:sz w:val="14"/>
        </w:rPr>
        <w:t>културно</w:t>
      </w:r>
      <w:r>
        <w:rPr>
          <w:color w:val="231F20"/>
          <w:spacing w:val="-4"/>
          <w:sz w:val="14"/>
        </w:rPr>
        <w:t xml:space="preserve"> </w:t>
      </w:r>
      <w:r>
        <w:rPr>
          <w:color w:val="231F20"/>
          <w:sz w:val="14"/>
        </w:rPr>
        <w:t>­</w:t>
      </w:r>
      <w:r>
        <w:rPr>
          <w:color w:val="231F20"/>
          <w:spacing w:val="-4"/>
          <w:sz w:val="14"/>
        </w:rPr>
        <w:t xml:space="preserve"> </w:t>
      </w:r>
      <w:r>
        <w:rPr>
          <w:color w:val="231F20"/>
          <w:sz w:val="14"/>
        </w:rPr>
        <w:t>уметничких</w:t>
      </w:r>
      <w:r>
        <w:rPr>
          <w:color w:val="231F20"/>
          <w:spacing w:val="-4"/>
          <w:sz w:val="14"/>
        </w:rPr>
        <w:t xml:space="preserve"> </w:t>
      </w:r>
      <w:r>
        <w:rPr>
          <w:color w:val="231F20"/>
          <w:sz w:val="14"/>
        </w:rPr>
        <w:t>манифестација</w:t>
      </w:r>
      <w:r>
        <w:rPr>
          <w:color w:val="231F20"/>
          <w:spacing w:val="-4"/>
          <w:sz w:val="14"/>
        </w:rPr>
        <w:t xml:space="preserve"> </w:t>
      </w:r>
      <w:r>
        <w:rPr>
          <w:color w:val="231F20"/>
          <w:sz w:val="14"/>
        </w:rPr>
        <w:t>у</w:t>
      </w:r>
      <w:r>
        <w:rPr>
          <w:color w:val="231F20"/>
          <w:spacing w:val="-4"/>
          <w:sz w:val="14"/>
        </w:rPr>
        <w:t xml:space="preserve"> </w:t>
      </w:r>
      <w:r>
        <w:rPr>
          <w:color w:val="231F20"/>
          <w:sz w:val="14"/>
        </w:rPr>
        <w:t>локалној</w:t>
      </w:r>
      <w:r>
        <w:rPr>
          <w:color w:val="231F20"/>
          <w:spacing w:val="-5"/>
          <w:sz w:val="14"/>
        </w:rPr>
        <w:t xml:space="preserve"> </w:t>
      </w:r>
      <w:r>
        <w:rPr>
          <w:color w:val="231F20"/>
          <w:sz w:val="14"/>
        </w:rPr>
        <w:t>средини</w:t>
      </w:r>
      <w:r>
        <w:rPr>
          <w:color w:val="231F20"/>
          <w:spacing w:val="-4"/>
          <w:sz w:val="14"/>
        </w:rPr>
        <w:t xml:space="preserve"> </w:t>
      </w:r>
      <w:r>
        <w:rPr>
          <w:color w:val="231F20"/>
          <w:sz w:val="14"/>
        </w:rPr>
        <w:t>и</w:t>
      </w:r>
      <w:r>
        <w:rPr>
          <w:color w:val="231F20"/>
          <w:spacing w:val="-5"/>
          <w:sz w:val="14"/>
        </w:rPr>
        <w:t xml:space="preserve"> </w:t>
      </w:r>
      <w:r>
        <w:rPr>
          <w:color w:val="231F20"/>
          <w:sz w:val="14"/>
        </w:rPr>
        <w:t>путем</w:t>
      </w:r>
      <w:r>
        <w:rPr>
          <w:color w:val="231F20"/>
          <w:spacing w:val="-5"/>
          <w:sz w:val="14"/>
        </w:rPr>
        <w:t xml:space="preserve"> </w:t>
      </w:r>
      <w:r>
        <w:rPr>
          <w:color w:val="231F20"/>
          <w:sz w:val="14"/>
        </w:rPr>
        <w:t>електронских</w:t>
      </w:r>
      <w:r>
        <w:rPr>
          <w:color w:val="231F20"/>
          <w:spacing w:val="-4"/>
          <w:sz w:val="14"/>
        </w:rPr>
        <w:t xml:space="preserve"> </w:t>
      </w:r>
      <w:r>
        <w:rPr>
          <w:color w:val="231F20"/>
          <w:sz w:val="14"/>
        </w:rPr>
        <w:t>медија</w:t>
      </w:r>
      <w:r>
        <w:rPr>
          <w:color w:val="231F20"/>
          <w:spacing w:val="-4"/>
          <w:sz w:val="14"/>
        </w:rPr>
        <w:t xml:space="preserve"> </w:t>
      </w:r>
      <w:r>
        <w:rPr>
          <w:color w:val="231F20"/>
          <w:sz w:val="14"/>
        </w:rPr>
        <w:t>(концерти,</w:t>
      </w:r>
      <w:r>
        <w:rPr>
          <w:color w:val="231F20"/>
          <w:spacing w:val="-4"/>
          <w:sz w:val="14"/>
        </w:rPr>
        <w:t xml:space="preserve"> </w:t>
      </w:r>
      <w:r>
        <w:rPr>
          <w:color w:val="231F20"/>
          <w:sz w:val="14"/>
        </w:rPr>
        <w:t>телеви­ зија, филм,</w:t>
      </w:r>
      <w:r>
        <w:rPr>
          <w:color w:val="231F20"/>
          <w:spacing w:val="-2"/>
          <w:sz w:val="14"/>
        </w:rPr>
        <w:t xml:space="preserve"> </w:t>
      </w:r>
      <w:r>
        <w:rPr>
          <w:color w:val="231F20"/>
          <w:sz w:val="14"/>
        </w:rPr>
        <w:t>Интернет);</w:t>
      </w:r>
    </w:p>
    <w:p w:rsidR="00041039" w:rsidRDefault="001B26CB">
      <w:pPr>
        <w:pStyle w:val="ListParagraph"/>
        <w:numPr>
          <w:ilvl w:val="2"/>
          <w:numId w:val="976"/>
        </w:numPr>
        <w:tabs>
          <w:tab w:val="left" w:pos="1566"/>
        </w:tabs>
        <w:spacing w:line="159" w:lineRule="exact"/>
        <w:rPr>
          <w:sz w:val="14"/>
        </w:rPr>
      </w:pPr>
      <w:r>
        <w:rPr>
          <w:color w:val="231F20"/>
          <w:sz w:val="14"/>
        </w:rPr>
        <w:t>Оспособљавање ученика за самостално истраживање стручне литературе, архиве, медијатеке,</w:t>
      </w:r>
      <w:r>
        <w:rPr>
          <w:color w:val="231F20"/>
          <w:spacing w:val="-6"/>
          <w:sz w:val="14"/>
        </w:rPr>
        <w:t xml:space="preserve"> </w:t>
      </w:r>
      <w:r>
        <w:rPr>
          <w:color w:val="231F20"/>
          <w:sz w:val="14"/>
        </w:rPr>
        <w:t>инт</w:t>
      </w:r>
      <w:r>
        <w:rPr>
          <w:color w:val="231F20"/>
          <w:sz w:val="14"/>
        </w:rPr>
        <w:t>ернета;</w:t>
      </w:r>
    </w:p>
    <w:p w:rsidR="00041039" w:rsidRDefault="001B26CB">
      <w:pPr>
        <w:pStyle w:val="ListParagraph"/>
        <w:numPr>
          <w:ilvl w:val="2"/>
          <w:numId w:val="976"/>
        </w:numPr>
        <w:tabs>
          <w:tab w:val="left" w:pos="1566"/>
        </w:tabs>
        <w:spacing w:line="161" w:lineRule="exact"/>
        <w:rPr>
          <w:b/>
          <w:sz w:val="14"/>
        </w:rPr>
      </w:pPr>
      <w:r>
        <w:rPr>
          <w:color w:val="231F20"/>
          <w:sz w:val="14"/>
        </w:rPr>
        <w:t>Подстицање уметничког развоја и усавршавања у складу са индивидуалним интересовањима и</w:t>
      </w:r>
      <w:r>
        <w:rPr>
          <w:color w:val="231F20"/>
          <w:spacing w:val="-7"/>
          <w:sz w:val="14"/>
        </w:rPr>
        <w:t xml:space="preserve"> </w:t>
      </w:r>
      <w:r>
        <w:rPr>
          <w:color w:val="231F20"/>
          <w:sz w:val="14"/>
        </w:rPr>
        <w:t>способностима</w:t>
      </w:r>
      <w:r>
        <w:rPr>
          <w:b/>
          <w:color w:val="231F20"/>
          <w:sz w:val="14"/>
        </w:rPr>
        <w:t>.</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817"/>
        </w:trPr>
        <w:tc>
          <w:tcPr>
            <w:tcW w:w="1304" w:type="dxa"/>
            <w:tcBorders>
              <w:bottom w:val="nil"/>
            </w:tcBorders>
          </w:tcPr>
          <w:p w:rsidR="00041039" w:rsidRDefault="001B26CB">
            <w:pPr>
              <w:pStyle w:val="TableParagraph"/>
              <w:spacing w:before="21" w:line="160" w:lineRule="exact"/>
              <w:ind w:left="56" w:right="172"/>
              <w:rPr>
                <w:sz w:val="14"/>
              </w:rPr>
            </w:pPr>
            <w:r>
              <w:rPr>
                <w:color w:val="231F20"/>
                <w:sz w:val="14"/>
              </w:rPr>
              <w:t>Класична музика (општа музичка анализа и теорија кроз слушање музике)</w:t>
            </w:r>
          </w:p>
        </w:tc>
        <w:tc>
          <w:tcPr>
            <w:tcW w:w="1587" w:type="dxa"/>
            <w:vMerge w:val="restart"/>
          </w:tcPr>
          <w:p w:rsidR="00041039" w:rsidRDefault="001B26CB">
            <w:pPr>
              <w:pStyle w:val="TableParagraph"/>
              <w:numPr>
                <w:ilvl w:val="0"/>
                <w:numId w:val="868"/>
              </w:numPr>
              <w:tabs>
                <w:tab w:val="left" w:pos="157"/>
              </w:tabs>
              <w:spacing w:before="8"/>
              <w:ind w:right="165"/>
              <w:jc w:val="both"/>
              <w:rPr>
                <w:sz w:val="14"/>
              </w:rPr>
            </w:pPr>
            <w:r>
              <w:rPr>
                <w:color w:val="231F20"/>
                <w:sz w:val="14"/>
              </w:rPr>
              <w:t xml:space="preserve">Оспособљавање уче­ ника за разликовање музичких стилова </w:t>
            </w:r>
            <w:r>
              <w:rPr>
                <w:color w:val="231F20"/>
                <w:spacing w:val="-3"/>
                <w:sz w:val="14"/>
              </w:rPr>
              <w:t xml:space="preserve">од </w:t>
            </w:r>
            <w:r>
              <w:rPr>
                <w:color w:val="231F20"/>
                <w:sz w:val="14"/>
              </w:rPr>
              <w:t>првобитне заједнице до XXI</w:t>
            </w:r>
            <w:r>
              <w:rPr>
                <w:color w:val="231F20"/>
                <w:spacing w:val="-2"/>
                <w:sz w:val="14"/>
              </w:rPr>
              <w:t xml:space="preserve"> </w:t>
            </w:r>
            <w:r>
              <w:rPr>
                <w:color w:val="231F20"/>
                <w:sz w:val="14"/>
              </w:rPr>
              <w:t>века.</w:t>
            </w:r>
          </w:p>
          <w:p w:rsidR="00041039" w:rsidRDefault="001B26CB">
            <w:pPr>
              <w:pStyle w:val="TableParagraph"/>
              <w:numPr>
                <w:ilvl w:val="0"/>
                <w:numId w:val="868"/>
              </w:numPr>
              <w:tabs>
                <w:tab w:val="left" w:pos="157"/>
              </w:tabs>
              <w:spacing w:line="155" w:lineRule="exact"/>
              <w:rPr>
                <w:sz w:val="14"/>
              </w:rPr>
            </w:pPr>
            <w:r>
              <w:rPr>
                <w:color w:val="231F20"/>
                <w:sz w:val="14"/>
              </w:rPr>
              <w:t>Развијање навика</w:t>
            </w:r>
            <w:r>
              <w:rPr>
                <w:color w:val="231F20"/>
                <w:spacing w:val="-5"/>
                <w:sz w:val="14"/>
              </w:rPr>
              <w:t xml:space="preserve"> </w:t>
            </w:r>
            <w:r>
              <w:rPr>
                <w:color w:val="231F20"/>
                <w:sz w:val="14"/>
              </w:rPr>
              <w:t>за</w:t>
            </w:r>
          </w:p>
          <w:p w:rsidR="00041039" w:rsidRDefault="001B26CB">
            <w:pPr>
              <w:pStyle w:val="TableParagraph"/>
              <w:ind w:right="15"/>
              <w:rPr>
                <w:sz w:val="14"/>
              </w:rPr>
            </w:pPr>
            <w:r>
              <w:rPr>
                <w:color w:val="231F20"/>
                <w:sz w:val="14"/>
              </w:rPr>
              <w:t>слушање уметничке музике.</w:t>
            </w:r>
          </w:p>
          <w:p w:rsidR="00041039" w:rsidRDefault="001B26CB">
            <w:pPr>
              <w:pStyle w:val="TableParagraph"/>
              <w:numPr>
                <w:ilvl w:val="0"/>
                <w:numId w:val="868"/>
              </w:numPr>
              <w:tabs>
                <w:tab w:val="left" w:pos="157"/>
              </w:tabs>
              <w:spacing w:line="160" w:lineRule="exact"/>
              <w:ind w:right="152"/>
              <w:rPr>
                <w:sz w:val="14"/>
              </w:rPr>
            </w:pPr>
            <w:r>
              <w:rPr>
                <w:color w:val="231F20"/>
                <w:sz w:val="14"/>
              </w:rPr>
              <w:t>Оспособљавање уочавања разлика</w:t>
            </w:r>
            <w:r>
              <w:rPr>
                <w:color w:val="231F20"/>
                <w:spacing w:val="-14"/>
                <w:sz w:val="14"/>
              </w:rPr>
              <w:t xml:space="preserve"> </w:t>
            </w:r>
            <w:r>
              <w:rPr>
                <w:color w:val="231F20"/>
                <w:sz w:val="14"/>
              </w:rPr>
              <w:t>ка­ рактера</w:t>
            </w:r>
            <w:r>
              <w:rPr>
                <w:color w:val="231F20"/>
                <w:spacing w:val="-14"/>
                <w:sz w:val="14"/>
              </w:rPr>
              <w:t xml:space="preserve"> </w:t>
            </w:r>
            <w:r>
              <w:rPr>
                <w:color w:val="231F20"/>
                <w:sz w:val="14"/>
              </w:rPr>
              <w:t>композиција.</w:t>
            </w:r>
          </w:p>
          <w:p w:rsidR="00041039" w:rsidRDefault="001B26CB">
            <w:pPr>
              <w:pStyle w:val="TableParagraph"/>
              <w:numPr>
                <w:ilvl w:val="0"/>
                <w:numId w:val="868"/>
              </w:numPr>
              <w:tabs>
                <w:tab w:val="left" w:pos="157"/>
              </w:tabs>
              <w:spacing w:line="160" w:lineRule="exact"/>
              <w:ind w:right="72"/>
              <w:rPr>
                <w:sz w:val="14"/>
              </w:rPr>
            </w:pPr>
            <w:r>
              <w:rPr>
                <w:color w:val="231F20"/>
                <w:sz w:val="14"/>
              </w:rPr>
              <w:t xml:space="preserve">Формирање музичког укуса и адекватног музичког експре­ сивног доживљаја музичког дела при­ </w:t>
            </w:r>
            <w:r>
              <w:rPr>
                <w:color w:val="231F20"/>
                <w:spacing w:val="-3"/>
                <w:sz w:val="14"/>
              </w:rPr>
              <w:t xml:space="preserve">ликом </w:t>
            </w:r>
            <w:r>
              <w:rPr>
                <w:color w:val="231F20"/>
                <w:sz w:val="14"/>
              </w:rPr>
              <w:t xml:space="preserve">слушања </w:t>
            </w:r>
            <w:r>
              <w:rPr>
                <w:color w:val="231F20"/>
                <w:spacing w:val="-3"/>
                <w:sz w:val="14"/>
              </w:rPr>
              <w:t xml:space="preserve">(аудио </w:t>
            </w:r>
            <w:r>
              <w:rPr>
                <w:color w:val="231F20"/>
                <w:sz w:val="14"/>
              </w:rPr>
              <w:t>апаратима и уживо на концертима).</w:t>
            </w:r>
          </w:p>
        </w:tc>
        <w:tc>
          <w:tcPr>
            <w:tcW w:w="2551" w:type="dxa"/>
            <w:vMerge w:val="restart"/>
          </w:tcPr>
          <w:p w:rsidR="00041039" w:rsidRDefault="001B26CB">
            <w:pPr>
              <w:pStyle w:val="TableParagraph"/>
              <w:numPr>
                <w:ilvl w:val="0"/>
                <w:numId w:val="867"/>
              </w:numPr>
              <w:tabs>
                <w:tab w:val="left" w:pos="157"/>
              </w:tabs>
              <w:spacing w:before="8"/>
              <w:ind w:right="79" w:hanging="99"/>
              <w:jc w:val="both"/>
              <w:rPr>
                <w:sz w:val="14"/>
              </w:rPr>
            </w:pPr>
            <w:r>
              <w:rPr>
                <w:color w:val="231F20"/>
                <w:sz w:val="14"/>
              </w:rPr>
              <w:t>препознаје и разликује одлике</w:t>
            </w:r>
            <w:r>
              <w:rPr>
                <w:color w:val="231F20"/>
                <w:spacing w:val="-22"/>
                <w:sz w:val="14"/>
              </w:rPr>
              <w:t xml:space="preserve"> </w:t>
            </w:r>
            <w:r>
              <w:rPr>
                <w:color w:val="231F20"/>
                <w:sz w:val="14"/>
              </w:rPr>
              <w:t>стилова у музичком израж</w:t>
            </w:r>
            <w:r>
              <w:rPr>
                <w:color w:val="231F20"/>
                <w:sz w:val="14"/>
              </w:rPr>
              <w:t xml:space="preserve">авању </w:t>
            </w:r>
            <w:r>
              <w:rPr>
                <w:color w:val="231F20"/>
                <w:spacing w:val="-3"/>
                <w:sz w:val="14"/>
              </w:rPr>
              <w:t xml:space="preserve">од </w:t>
            </w:r>
            <w:r>
              <w:rPr>
                <w:color w:val="231F20"/>
                <w:sz w:val="14"/>
              </w:rPr>
              <w:t>првобитне заједнице до</w:t>
            </w:r>
            <w:r>
              <w:rPr>
                <w:color w:val="231F20"/>
                <w:spacing w:val="-1"/>
                <w:sz w:val="14"/>
              </w:rPr>
              <w:t xml:space="preserve"> </w:t>
            </w:r>
            <w:r>
              <w:rPr>
                <w:color w:val="231F20"/>
                <w:sz w:val="14"/>
              </w:rPr>
              <w:t>данас;</w:t>
            </w:r>
          </w:p>
          <w:p w:rsidR="00041039" w:rsidRDefault="001B26CB">
            <w:pPr>
              <w:pStyle w:val="TableParagraph"/>
              <w:numPr>
                <w:ilvl w:val="0"/>
                <w:numId w:val="867"/>
              </w:numPr>
              <w:tabs>
                <w:tab w:val="left" w:pos="157"/>
              </w:tabs>
              <w:spacing w:line="157" w:lineRule="exact"/>
              <w:ind w:hanging="99"/>
              <w:rPr>
                <w:sz w:val="14"/>
              </w:rPr>
            </w:pPr>
            <w:r>
              <w:rPr>
                <w:color w:val="231F20"/>
                <w:sz w:val="14"/>
              </w:rPr>
              <w:t>испољава потребу за</w:t>
            </w:r>
            <w:r>
              <w:rPr>
                <w:color w:val="231F20"/>
                <w:spacing w:val="-10"/>
                <w:sz w:val="14"/>
              </w:rPr>
              <w:t xml:space="preserve"> </w:t>
            </w:r>
            <w:r>
              <w:rPr>
                <w:color w:val="231F20"/>
                <w:sz w:val="14"/>
              </w:rPr>
              <w:t>свакодневним</w:t>
            </w:r>
          </w:p>
          <w:p w:rsidR="00041039" w:rsidRDefault="001B26CB">
            <w:pPr>
              <w:pStyle w:val="TableParagraph"/>
              <w:ind w:right="169"/>
              <w:rPr>
                <w:sz w:val="14"/>
              </w:rPr>
            </w:pPr>
            <w:r>
              <w:rPr>
                <w:color w:val="231F20"/>
                <w:sz w:val="14"/>
              </w:rPr>
              <w:t>слушањем музике и на основу тога формира трајно интересовање према музици уопште;</w:t>
            </w:r>
          </w:p>
          <w:p w:rsidR="00041039" w:rsidRDefault="001B26CB">
            <w:pPr>
              <w:pStyle w:val="TableParagraph"/>
              <w:numPr>
                <w:ilvl w:val="0"/>
                <w:numId w:val="867"/>
              </w:numPr>
              <w:tabs>
                <w:tab w:val="left" w:pos="157"/>
              </w:tabs>
              <w:spacing w:line="158" w:lineRule="exact"/>
              <w:ind w:hanging="99"/>
              <w:rPr>
                <w:sz w:val="14"/>
              </w:rPr>
            </w:pPr>
            <w:r>
              <w:rPr>
                <w:color w:val="231F20"/>
                <w:sz w:val="14"/>
              </w:rPr>
              <w:t>препознаје одслушане композиције</w:t>
            </w:r>
            <w:r>
              <w:rPr>
                <w:color w:val="231F20"/>
                <w:spacing w:val="-12"/>
                <w:sz w:val="14"/>
              </w:rPr>
              <w:t xml:space="preserve"> </w:t>
            </w:r>
            <w:r>
              <w:rPr>
                <w:color w:val="231F20"/>
                <w:sz w:val="14"/>
              </w:rPr>
              <w:t>уз</w:t>
            </w:r>
          </w:p>
          <w:p w:rsidR="00041039" w:rsidRDefault="001B26CB">
            <w:pPr>
              <w:pStyle w:val="TableParagraph"/>
              <w:ind w:right="14"/>
              <w:rPr>
                <w:sz w:val="14"/>
              </w:rPr>
            </w:pPr>
            <w:r>
              <w:rPr>
                <w:color w:val="231F20"/>
                <w:sz w:val="14"/>
              </w:rPr>
              <w:t>познавање њихових аутора као и време настанка;</w:t>
            </w:r>
          </w:p>
          <w:p w:rsidR="00041039" w:rsidRDefault="001B26CB">
            <w:pPr>
              <w:pStyle w:val="TableParagraph"/>
              <w:numPr>
                <w:ilvl w:val="0"/>
                <w:numId w:val="867"/>
              </w:numPr>
              <w:tabs>
                <w:tab w:val="left" w:pos="157"/>
              </w:tabs>
              <w:spacing w:line="160" w:lineRule="exact"/>
              <w:ind w:right="233" w:hanging="99"/>
              <w:rPr>
                <w:sz w:val="14"/>
              </w:rPr>
            </w:pPr>
            <w:r>
              <w:rPr>
                <w:color w:val="231F20"/>
                <w:sz w:val="14"/>
              </w:rPr>
              <w:t>експресивно, аутономно</w:t>
            </w:r>
            <w:r>
              <w:rPr>
                <w:color w:val="231F20"/>
                <w:spacing w:val="-19"/>
                <w:sz w:val="14"/>
              </w:rPr>
              <w:t xml:space="preserve"> </w:t>
            </w:r>
            <w:r>
              <w:rPr>
                <w:color w:val="231F20"/>
                <w:sz w:val="14"/>
              </w:rPr>
              <w:t>доживљава карактер одслушане</w:t>
            </w:r>
            <w:r>
              <w:rPr>
                <w:color w:val="231F20"/>
                <w:spacing w:val="-8"/>
                <w:sz w:val="14"/>
              </w:rPr>
              <w:t xml:space="preserve"> </w:t>
            </w:r>
            <w:r>
              <w:rPr>
                <w:color w:val="231F20"/>
                <w:sz w:val="14"/>
              </w:rPr>
              <w:t>композиције;</w:t>
            </w:r>
          </w:p>
          <w:p w:rsidR="00041039" w:rsidRDefault="001B26CB">
            <w:pPr>
              <w:pStyle w:val="TableParagraph"/>
              <w:numPr>
                <w:ilvl w:val="0"/>
                <w:numId w:val="867"/>
              </w:numPr>
              <w:tabs>
                <w:tab w:val="left" w:pos="157"/>
              </w:tabs>
              <w:spacing w:line="160" w:lineRule="exact"/>
              <w:ind w:right="158" w:hanging="99"/>
              <w:rPr>
                <w:sz w:val="14"/>
              </w:rPr>
            </w:pPr>
            <w:r>
              <w:rPr>
                <w:color w:val="231F20"/>
                <w:sz w:val="14"/>
              </w:rPr>
              <w:t>поседује адекватан музички укус, самоиницијативно посећује</w:t>
            </w:r>
            <w:r>
              <w:rPr>
                <w:color w:val="231F20"/>
                <w:spacing w:val="-14"/>
                <w:sz w:val="14"/>
              </w:rPr>
              <w:t xml:space="preserve"> </w:t>
            </w:r>
            <w:r>
              <w:rPr>
                <w:color w:val="231F20"/>
                <w:sz w:val="14"/>
              </w:rPr>
              <w:t>концерте и друге музичке манифестације у локалној</w:t>
            </w:r>
            <w:r>
              <w:rPr>
                <w:color w:val="231F20"/>
                <w:spacing w:val="-2"/>
                <w:sz w:val="14"/>
              </w:rPr>
              <w:t xml:space="preserve"> </w:t>
            </w:r>
            <w:r>
              <w:rPr>
                <w:color w:val="231F20"/>
                <w:sz w:val="14"/>
              </w:rPr>
              <w:t>заједници;</w:t>
            </w:r>
          </w:p>
        </w:tc>
        <w:tc>
          <w:tcPr>
            <w:tcW w:w="2834" w:type="dxa"/>
            <w:vMerge w:val="restart"/>
          </w:tcPr>
          <w:p w:rsidR="00041039" w:rsidRDefault="001B26CB">
            <w:pPr>
              <w:pStyle w:val="TableParagraph"/>
              <w:numPr>
                <w:ilvl w:val="0"/>
                <w:numId w:val="866"/>
              </w:numPr>
              <w:tabs>
                <w:tab w:val="left" w:pos="157"/>
              </w:tabs>
              <w:spacing w:before="9"/>
              <w:ind w:right="67" w:hanging="99"/>
              <w:rPr>
                <w:sz w:val="14"/>
              </w:rPr>
            </w:pPr>
            <w:r>
              <w:rPr>
                <w:color w:val="231F20"/>
                <w:sz w:val="14"/>
              </w:rPr>
              <w:t>Значај музике у животу и друштву: првобитна заједница, стари век и разв</w:t>
            </w:r>
            <w:r>
              <w:rPr>
                <w:color w:val="231F20"/>
                <w:sz w:val="14"/>
              </w:rPr>
              <w:t>ој музике у средњем веку (духовна и</w:t>
            </w:r>
            <w:r>
              <w:rPr>
                <w:color w:val="231F20"/>
                <w:spacing w:val="-20"/>
                <w:sz w:val="14"/>
              </w:rPr>
              <w:t xml:space="preserve"> </w:t>
            </w:r>
            <w:r>
              <w:rPr>
                <w:color w:val="231F20"/>
                <w:sz w:val="14"/>
              </w:rPr>
              <w:t>световна музика).</w:t>
            </w:r>
          </w:p>
          <w:p w:rsidR="00041039" w:rsidRDefault="001B26CB">
            <w:pPr>
              <w:pStyle w:val="TableParagraph"/>
              <w:numPr>
                <w:ilvl w:val="0"/>
                <w:numId w:val="866"/>
              </w:numPr>
              <w:tabs>
                <w:tab w:val="left" w:pos="157"/>
              </w:tabs>
              <w:spacing w:line="156" w:lineRule="exact"/>
              <w:ind w:hanging="99"/>
              <w:rPr>
                <w:sz w:val="14"/>
              </w:rPr>
            </w:pPr>
            <w:r>
              <w:rPr>
                <w:color w:val="231F20"/>
                <w:sz w:val="14"/>
              </w:rPr>
              <w:t>Грегоријански корал, Византијско</w:t>
            </w:r>
            <w:r>
              <w:rPr>
                <w:color w:val="231F20"/>
                <w:spacing w:val="-15"/>
                <w:sz w:val="14"/>
              </w:rPr>
              <w:t xml:space="preserve"> </w:t>
            </w:r>
            <w:r>
              <w:rPr>
                <w:color w:val="231F20"/>
                <w:sz w:val="14"/>
              </w:rPr>
              <w:t>певање,</w:t>
            </w:r>
          </w:p>
          <w:p w:rsidR="00041039" w:rsidRDefault="001B26CB">
            <w:pPr>
              <w:pStyle w:val="TableParagraph"/>
              <w:spacing w:line="160" w:lineRule="exact"/>
              <w:rPr>
                <w:sz w:val="14"/>
              </w:rPr>
            </w:pPr>
            <w:r>
              <w:rPr>
                <w:color w:val="231F20"/>
                <w:sz w:val="14"/>
              </w:rPr>
              <w:t>Кир Стефан Србин: Ниња сили.</w:t>
            </w:r>
          </w:p>
          <w:p w:rsidR="00041039" w:rsidRDefault="001B26CB">
            <w:pPr>
              <w:pStyle w:val="TableParagraph"/>
              <w:spacing w:line="155" w:lineRule="exact"/>
              <w:ind w:left="57"/>
              <w:rPr>
                <w:b/>
                <w:sz w:val="14"/>
              </w:rPr>
            </w:pPr>
            <w:r>
              <w:rPr>
                <w:b/>
                <w:color w:val="231F20"/>
                <w:sz w:val="14"/>
              </w:rPr>
              <w:t>Ренесанса и барок:</w:t>
            </w:r>
          </w:p>
          <w:p w:rsidR="00041039" w:rsidRDefault="001B26CB">
            <w:pPr>
              <w:pStyle w:val="TableParagraph"/>
              <w:numPr>
                <w:ilvl w:val="0"/>
                <w:numId w:val="866"/>
              </w:numPr>
              <w:tabs>
                <w:tab w:val="left" w:pos="157"/>
              </w:tabs>
              <w:spacing w:line="237" w:lineRule="auto"/>
              <w:ind w:right="258" w:hanging="99"/>
              <w:rPr>
                <w:i/>
                <w:sz w:val="14"/>
              </w:rPr>
            </w:pPr>
            <w:r>
              <w:rPr>
                <w:color w:val="231F20"/>
                <w:sz w:val="14"/>
              </w:rPr>
              <w:t xml:space="preserve">Палестрина Л.: </w:t>
            </w:r>
            <w:r>
              <w:rPr>
                <w:i/>
                <w:color w:val="231F20"/>
                <w:sz w:val="14"/>
              </w:rPr>
              <w:t>Огни белта</w:t>
            </w:r>
            <w:r>
              <w:rPr>
                <w:color w:val="231F20"/>
                <w:sz w:val="14"/>
              </w:rPr>
              <w:t xml:space="preserve">, Вивалди А.: </w:t>
            </w:r>
            <w:r>
              <w:rPr>
                <w:i/>
                <w:color w:val="231F20"/>
                <w:sz w:val="14"/>
              </w:rPr>
              <w:t>4 годишња доба</w:t>
            </w:r>
            <w:r>
              <w:rPr>
                <w:color w:val="231F20"/>
                <w:sz w:val="14"/>
              </w:rPr>
              <w:t xml:space="preserve">, Хендл </w:t>
            </w:r>
            <w:r>
              <w:rPr>
                <w:color w:val="231F20"/>
                <w:spacing w:val="-4"/>
                <w:sz w:val="14"/>
              </w:rPr>
              <w:t xml:space="preserve">Г.Ф.: </w:t>
            </w:r>
            <w:r>
              <w:rPr>
                <w:i/>
                <w:color w:val="231F20"/>
                <w:sz w:val="14"/>
              </w:rPr>
              <w:t>Месија (Алелуја)</w:t>
            </w:r>
            <w:r>
              <w:rPr>
                <w:color w:val="231F20"/>
                <w:sz w:val="14"/>
              </w:rPr>
              <w:t xml:space="preserve">, Бах Ј.С.: </w:t>
            </w:r>
            <w:r>
              <w:rPr>
                <w:i/>
                <w:color w:val="231F20"/>
                <w:sz w:val="14"/>
              </w:rPr>
              <w:t>Токата и фуга</w:t>
            </w:r>
            <w:r>
              <w:rPr>
                <w:i/>
                <w:color w:val="231F20"/>
                <w:spacing w:val="-24"/>
                <w:sz w:val="14"/>
              </w:rPr>
              <w:t xml:space="preserve"> </w:t>
            </w:r>
            <w:r>
              <w:rPr>
                <w:i/>
                <w:color w:val="231F20"/>
                <w:sz w:val="14"/>
              </w:rPr>
              <w:t>d-mol</w:t>
            </w:r>
            <w:r>
              <w:rPr>
                <w:color w:val="231F20"/>
                <w:sz w:val="14"/>
              </w:rPr>
              <w:t xml:space="preserve">, </w:t>
            </w:r>
            <w:r>
              <w:rPr>
                <w:i/>
                <w:color w:val="231F20"/>
                <w:sz w:val="14"/>
              </w:rPr>
              <w:t>Брандебуршки копцерт бр. З G -</w:t>
            </w:r>
            <w:r>
              <w:rPr>
                <w:i/>
                <w:color w:val="231F20"/>
                <w:spacing w:val="-8"/>
                <w:sz w:val="14"/>
              </w:rPr>
              <w:t xml:space="preserve"> </w:t>
            </w:r>
            <w:r>
              <w:rPr>
                <w:i/>
                <w:color w:val="231F20"/>
                <w:spacing w:val="-4"/>
                <w:sz w:val="14"/>
              </w:rPr>
              <w:t>dur.</w:t>
            </w:r>
          </w:p>
          <w:p w:rsidR="00041039" w:rsidRDefault="001B26CB">
            <w:pPr>
              <w:pStyle w:val="TableParagraph"/>
              <w:spacing w:line="155" w:lineRule="exact"/>
              <w:ind w:left="57"/>
              <w:rPr>
                <w:b/>
                <w:sz w:val="14"/>
              </w:rPr>
            </w:pPr>
            <w:r>
              <w:rPr>
                <w:b/>
                <w:color w:val="231F20"/>
                <w:sz w:val="14"/>
              </w:rPr>
              <w:t>Класицизам:</w:t>
            </w:r>
          </w:p>
          <w:p w:rsidR="00041039" w:rsidRDefault="001B26CB">
            <w:pPr>
              <w:pStyle w:val="TableParagraph"/>
              <w:numPr>
                <w:ilvl w:val="0"/>
                <w:numId w:val="866"/>
              </w:numPr>
              <w:tabs>
                <w:tab w:val="left" w:pos="157"/>
              </w:tabs>
              <w:spacing w:line="237" w:lineRule="auto"/>
              <w:ind w:right="334" w:hanging="99"/>
              <w:rPr>
                <w:sz w:val="14"/>
              </w:rPr>
            </w:pPr>
            <w:r>
              <w:rPr>
                <w:color w:val="231F20"/>
                <w:sz w:val="14"/>
              </w:rPr>
              <w:t xml:space="preserve">Хајдн Ј.: </w:t>
            </w:r>
            <w:r>
              <w:rPr>
                <w:i/>
                <w:color w:val="231F20"/>
                <w:sz w:val="14"/>
              </w:rPr>
              <w:t>Симфонија изненађења бр</w:t>
            </w:r>
            <w:r>
              <w:rPr>
                <w:i/>
                <w:color w:val="231F20"/>
                <w:spacing w:val="-9"/>
                <w:sz w:val="14"/>
              </w:rPr>
              <w:t xml:space="preserve"> </w:t>
            </w:r>
            <w:r>
              <w:rPr>
                <w:i/>
                <w:color w:val="231F20"/>
                <w:sz w:val="14"/>
              </w:rPr>
              <w:t>94. G -</w:t>
            </w:r>
            <w:r>
              <w:rPr>
                <w:i/>
                <w:color w:val="231F20"/>
                <w:spacing w:val="-1"/>
                <w:sz w:val="14"/>
              </w:rPr>
              <w:t xml:space="preserve"> </w:t>
            </w:r>
            <w:r>
              <w:rPr>
                <w:i/>
                <w:color w:val="231F20"/>
                <w:sz w:val="14"/>
              </w:rPr>
              <w:t>dur</w:t>
            </w:r>
            <w:r>
              <w:rPr>
                <w:color w:val="231F20"/>
                <w:sz w:val="14"/>
              </w:rPr>
              <w:t>.</w:t>
            </w:r>
          </w:p>
          <w:p w:rsidR="00041039" w:rsidRDefault="001B26CB">
            <w:pPr>
              <w:pStyle w:val="TableParagraph"/>
              <w:numPr>
                <w:ilvl w:val="0"/>
                <w:numId w:val="866"/>
              </w:numPr>
              <w:tabs>
                <w:tab w:val="left" w:pos="157"/>
              </w:tabs>
              <w:spacing w:line="160" w:lineRule="exact"/>
              <w:ind w:right="49" w:hanging="99"/>
              <w:rPr>
                <w:i/>
                <w:sz w:val="14"/>
              </w:rPr>
            </w:pPr>
            <w:r>
              <w:rPr>
                <w:color w:val="231F20"/>
                <w:sz w:val="14"/>
              </w:rPr>
              <w:t xml:space="preserve">Моцарт В.А.: </w:t>
            </w:r>
            <w:r>
              <w:rPr>
                <w:i/>
                <w:color w:val="231F20"/>
                <w:sz w:val="14"/>
              </w:rPr>
              <w:t>Симфонија бр. 40. G - dur</w:t>
            </w:r>
            <w:r>
              <w:rPr>
                <w:color w:val="231F20"/>
                <w:sz w:val="14"/>
              </w:rPr>
              <w:t xml:space="preserve">, </w:t>
            </w:r>
            <w:r>
              <w:rPr>
                <w:i/>
                <w:color w:val="231F20"/>
                <w:sz w:val="14"/>
              </w:rPr>
              <w:t>Реквијем,</w:t>
            </w:r>
            <w:r>
              <w:rPr>
                <w:i/>
                <w:color w:val="231F20"/>
                <w:spacing w:val="-8"/>
                <w:sz w:val="14"/>
              </w:rPr>
              <w:t xml:space="preserve"> </w:t>
            </w:r>
            <w:r>
              <w:rPr>
                <w:i/>
                <w:color w:val="231F20"/>
                <w:sz w:val="14"/>
              </w:rPr>
              <w:t>Мала</w:t>
            </w:r>
            <w:r>
              <w:rPr>
                <w:i/>
                <w:color w:val="231F20"/>
                <w:spacing w:val="-7"/>
                <w:sz w:val="14"/>
              </w:rPr>
              <w:t xml:space="preserve"> </w:t>
            </w:r>
            <w:r>
              <w:rPr>
                <w:i/>
                <w:color w:val="231F20"/>
                <w:sz w:val="14"/>
              </w:rPr>
              <w:t>ноћна</w:t>
            </w:r>
            <w:r>
              <w:rPr>
                <w:i/>
                <w:color w:val="231F20"/>
                <w:spacing w:val="-8"/>
                <w:sz w:val="14"/>
              </w:rPr>
              <w:t xml:space="preserve"> </w:t>
            </w:r>
            <w:r>
              <w:rPr>
                <w:i/>
                <w:color w:val="231F20"/>
                <w:sz w:val="14"/>
              </w:rPr>
              <w:t>музика,</w:t>
            </w:r>
            <w:r>
              <w:rPr>
                <w:i/>
                <w:color w:val="231F20"/>
                <w:spacing w:val="-7"/>
                <w:sz w:val="14"/>
              </w:rPr>
              <w:t xml:space="preserve"> </w:t>
            </w:r>
            <w:r>
              <w:rPr>
                <w:i/>
                <w:color w:val="231F20"/>
                <w:sz w:val="14"/>
              </w:rPr>
              <w:t>Турски</w:t>
            </w:r>
            <w:r>
              <w:rPr>
                <w:i/>
                <w:color w:val="231F20"/>
                <w:spacing w:val="-7"/>
                <w:sz w:val="14"/>
              </w:rPr>
              <w:t xml:space="preserve"> </w:t>
            </w:r>
            <w:r>
              <w:rPr>
                <w:i/>
                <w:color w:val="231F20"/>
                <w:sz w:val="14"/>
              </w:rPr>
              <w:t>марш</w:t>
            </w:r>
            <w:r>
              <w:rPr>
                <w:color w:val="231F20"/>
                <w:sz w:val="14"/>
              </w:rPr>
              <w:t xml:space="preserve">, Бетовен Л.В.: </w:t>
            </w:r>
            <w:r>
              <w:rPr>
                <w:i/>
                <w:color w:val="231F20"/>
                <w:sz w:val="14"/>
              </w:rPr>
              <w:t>5. и 9. симфонија, За Елизу, Месечева</w:t>
            </w:r>
            <w:r>
              <w:rPr>
                <w:i/>
                <w:color w:val="231F20"/>
                <w:spacing w:val="-1"/>
                <w:sz w:val="14"/>
              </w:rPr>
              <w:t xml:space="preserve"> </w:t>
            </w:r>
            <w:r>
              <w:rPr>
                <w:i/>
                <w:color w:val="231F20"/>
                <w:sz w:val="14"/>
              </w:rPr>
              <w:t>соната.</w:t>
            </w:r>
          </w:p>
          <w:p w:rsidR="00041039" w:rsidRDefault="001B26CB">
            <w:pPr>
              <w:pStyle w:val="TableParagraph"/>
              <w:spacing w:line="153" w:lineRule="exact"/>
              <w:ind w:left="57"/>
              <w:rPr>
                <w:b/>
                <w:sz w:val="14"/>
              </w:rPr>
            </w:pPr>
            <w:r>
              <w:rPr>
                <w:b/>
                <w:color w:val="231F20"/>
                <w:sz w:val="14"/>
              </w:rPr>
              <w:t>Романтизам:</w:t>
            </w:r>
          </w:p>
          <w:p w:rsidR="00041039" w:rsidRDefault="001B26CB">
            <w:pPr>
              <w:pStyle w:val="TableParagraph"/>
              <w:numPr>
                <w:ilvl w:val="0"/>
                <w:numId w:val="866"/>
              </w:numPr>
              <w:tabs>
                <w:tab w:val="left" w:pos="157"/>
              </w:tabs>
              <w:spacing w:line="237" w:lineRule="auto"/>
              <w:ind w:right="91" w:hanging="99"/>
              <w:rPr>
                <w:i/>
                <w:sz w:val="14"/>
              </w:rPr>
            </w:pPr>
            <w:r>
              <w:rPr>
                <w:color w:val="231F20"/>
                <w:sz w:val="14"/>
              </w:rPr>
              <w:t xml:space="preserve">Менделсон Ф.: </w:t>
            </w:r>
            <w:r>
              <w:rPr>
                <w:i/>
                <w:color w:val="231F20"/>
                <w:sz w:val="14"/>
              </w:rPr>
              <w:t>Свадбени марш</w:t>
            </w:r>
            <w:r>
              <w:rPr>
                <w:color w:val="231F20"/>
                <w:sz w:val="14"/>
              </w:rPr>
              <w:t>, Шопен</w:t>
            </w:r>
            <w:r>
              <w:rPr>
                <w:color w:val="231F20"/>
                <w:spacing w:val="-13"/>
                <w:sz w:val="14"/>
              </w:rPr>
              <w:t xml:space="preserve"> </w:t>
            </w:r>
            <w:r>
              <w:rPr>
                <w:color w:val="231F20"/>
                <w:sz w:val="14"/>
              </w:rPr>
              <w:t xml:space="preserve">Ф.: </w:t>
            </w:r>
            <w:r>
              <w:rPr>
                <w:i/>
                <w:color w:val="231F20"/>
                <w:sz w:val="14"/>
              </w:rPr>
              <w:t>Валцер des - dur</w:t>
            </w:r>
            <w:r>
              <w:rPr>
                <w:color w:val="231F20"/>
                <w:sz w:val="14"/>
              </w:rPr>
              <w:t xml:space="preserve">, Брамс Ј.: </w:t>
            </w:r>
            <w:r>
              <w:rPr>
                <w:i/>
                <w:color w:val="231F20"/>
                <w:sz w:val="14"/>
              </w:rPr>
              <w:t>Мађарске игре по избору</w:t>
            </w:r>
            <w:r>
              <w:rPr>
                <w:color w:val="231F20"/>
                <w:sz w:val="14"/>
              </w:rPr>
              <w:t xml:space="preserve">, Сметана Б.: </w:t>
            </w:r>
            <w:r>
              <w:rPr>
                <w:i/>
                <w:color w:val="231F20"/>
                <w:sz w:val="14"/>
              </w:rPr>
              <w:t>Влтава</w:t>
            </w:r>
            <w:r>
              <w:rPr>
                <w:color w:val="231F20"/>
                <w:sz w:val="14"/>
              </w:rPr>
              <w:t xml:space="preserve">, Дворжак А.: </w:t>
            </w:r>
            <w:r>
              <w:rPr>
                <w:i/>
                <w:color w:val="231F20"/>
                <w:sz w:val="14"/>
              </w:rPr>
              <w:t>Симфонија из новог</w:t>
            </w:r>
            <w:r>
              <w:rPr>
                <w:i/>
                <w:color w:val="231F20"/>
                <w:spacing w:val="-3"/>
                <w:sz w:val="14"/>
              </w:rPr>
              <w:t xml:space="preserve"> </w:t>
            </w:r>
            <w:r>
              <w:rPr>
                <w:i/>
                <w:color w:val="231F20"/>
                <w:sz w:val="14"/>
              </w:rPr>
              <w:t>света.</w:t>
            </w:r>
          </w:p>
          <w:p w:rsidR="00041039" w:rsidRDefault="001B26CB">
            <w:pPr>
              <w:pStyle w:val="TableParagraph"/>
              <w:spacing w:line="155" w:lineRule="exact"/>
              <w:ind w:left="57"/>
              <w:rPr>
                <w:b/>
                <w:sz w:val="14"/>
              </w:rPr>
            </w:pPr>
            <w:r>
              <w:rPr>
                <w:b/>
                <w:color w:val="231F20"/>
                <w:sz w:val="14"/>
              </w:rPr>
              <w:t>Импресионизам</w:t>
            </w:r>
          </w:p>
          <w:p w:rsidR="00041039" w:rsidRDefault="001B26CB">
            <w:pPr>
              <w:pStyle w:val="TableParagraph"/>
              <w:numPr>
                <w:ilvl w:val="0"/>
                <w:numId w:val="866"/>
              </w:numPr>
              <w:tabs>
                <w:tab w:val="left" w:pos="157"/>
              </w:tabs>
              <w:spacing w:line="237" w:lineRule="auto"/>
              <w:ind w:right="71" w:hanging="99"/>
              <w:rPr>
                <w:i/>
                <w:sz w:val="14"/>
              </w:rPr>
            </w:pPr>
            <w:r>
              <w:rPr>
                <w:color w:val="231F20"/>
                <w:sz w:val="14"/>
              </w:rPr>
              <w:t xml:space="preserve">Дебиси К.: </w:t>
            </w:r>
            <w:r>
              <w:rPr>
                <w:i/>
                <w:color w:val="231F20"/>
                <w:sz w:val="14"/>
              </w:rPr>
              <w:t>Прелид за поподне једног</w:t>
            </w:r>
            <w:r>
              <w:rPr>
                <w:i/>
                <w:color w:val="231F20"/>
                <w:spacing w:val="-18"/>
                <w:sz w:val="14"/>
              </w:rPr>
              <w:t xml:space="preserve"> </w:t>
            </w:r>
            <w:r>
              <w:rPr>
                <w:i/>
                <w:color w:val="231F20"/>
                <w:sz w:val="14"/>
              </w:rPr>
              <w:t>пауна</w:t>
            </w:r>
            <w:r>
              <w:rPr>
                <w:color w:val="231F20"/>
                <w:sz w:val="14"/>
              </w:rPr>
              <w:t>, Равел М.:</w:t>
            </w:r>
            <w:r>
              <w:rPr>
                <w:color w:val="231F20"/>
                <w:spacing w:val="-2"/>
                <w:sz w:val="14"/>
              </w:rPr>
              <w:t xml:space="preserve"> </w:t>
            </w:r>
            <w:r>
              <w:rPr>
                <w:i/>
                <w:color w:val="231F20"/>
                <w:sz w:val="14"/>
              </w:rPr>
              <w:t>Болеро.</w:t>
            </w:r>
          </w:p>
          <w:p w:rsidR="00041039" w:rsidRDefault="001B26CB">
            <w:pPr>
              <w:pStyle w:val="TableParagraph"/>
              <w:spacing w:line="155" w:lineRule="exact"/>
              <w:ind w:left="57"/>
              <w:rPr>
                <w:b/>
                <w:sz w:val="14"/>
              </w:rPr>
            </w:pPr>
            <w:r>
              <w:rPr>
                <w:b/>
                <w:color w:val="231F20"/>
                <w:sz w:val="14"/>
              </w:rPr>
              <w:t>Музика XX века</w:t>
            </w:r>
          </w:p>
          <w:p w:rsidR="00041039" w:rsidRDefault="001B26CB">
            <w:pPr>
              <w:pStyle w:val="TableParagraph"/>
              <w:numPr>
                <w:ilvl w:val="0"/>
                <w:numId w:val="866"/>
              </w:numPr>
              <w:tabs>
                <w:tab w:val="left" w:pos="157"/>
              </w:tabs>
              <w:spacing w:line="237" w:lineRule="auto"/>
              <w:ind w:right="306" w:hanging="99"/>
              <w:rPr>
                <w:sz w:val="14"/>
              </w:rPr>
            </w:pPr>
            <w:r>
              <w:rPr>
                <w:color w:val="231F20"/>
                <w:sz w:val="14"/>
              </w:rPr>
              <w:t xml:space="preserve">Шостакович: </w:t>
            </w:r>
            <w:r>
              <w:rPr>
                <w:i/>
                <w:color w:val="231F20"/>
                <w:sz w:val="14"/>
              </w:rPr>
              <w:t>Камерна симфонија</w:t>
            </w:r>
            <w:r>
              <w:rPr>
                <w:color w:val="231F20"/>
                <w:sz w:val="14"/>
              </w:rPr>
              <w:t xml:space="preserve">, Прокофјев С.: </w:t>
            </w:r>
            <w:r>
              <w:rPr>
                <w:i/>
                <w:color w:val="231F20"/>
                <w:spacing w:val="-3"/>
                <w:sz w:val="14"/>
              </w:rPr>
              <w:t xml:space="preserve">Ромео </w:t>
            </w:r>
            <w:r>
              <w:rPr>
                <w:i/>
                <w:color w:val="231F20"/>
                <w:sz w:val="14"/>
              </w:rPr>
              <w:t>и Јулија</w:t>
            </w:r>
            <w:r>
              <w:rPr>
                <w:color w:val="231F20"/>
                <w:sz w:val="14"/>
              </w:rPr>
              <w:t xml:space="preserve">, </w:t>
            </w:r>
            <w:r>
              <w:rPr>
                <w:color w:val="231F20"/>
                <w:spacing w:val="-3"/>
                <w:sz w:val="14"/>
              </w:rPr>
              <w:t xml:space="preserve">Шенберг, </w:t>
            </w:r>
            <w:r>
              <w:rPr>
                <w:color w:val="231F20"/>
                <w:sz w:val="14"/>
              </w:rPr>
              <w:t>Стравински,</w:t>
            </w:r>
            <w:r>
              <w:rPr>
                <w:color w:val="231F20"/>
                <w:spacing w:val="-1"/>
                <w:sz w:val="14"/>
              </w:rPr>
              <w:t xml:space="preserve"> </w:t>
            </w:r>
            <w:r>
              <w:rPr>
                <w:color w:val="231F20"/>
                <w:sz w:val="14"/>
              </w:rPr>
              <w:t>Веберн.</w:t>
            </w:r>
          </w:p>
        </w:tc>
        <w:tc>
          <w:tcPr>
            <w:tcW w:w="2267" w:type="dxa"/>
            <w:tcBorders>
              <w:bottom w:val="nil"/>
            </w:tcBorders>
          </w:tcPr>
          <w:p w:rsidR="00041039" w:rsidRDefault="001B26CB">
            <w:pPr>
              <w:pStyle w:val="TableParagraph"/>
              <w:numPr>
                <w:ilvl w:val="0"/>
                <w:numId w:val="865"/>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tc>
      </w:tr>
      <w:tr w:rsidR="00041039">
        <w:trPr>
          <w:trHeight w:val="707"/>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line="149"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864"/>
              </w:numPr>
              <w:tabs>
                <w:tab w:val="left" w:pos="158"/>
              </w:tabs>
              <w:spacing w:line="160"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tc>
      </w:tr>
      <w:tr w:rsidR="00041039">
        <w:trPr>
          <w:trHeight w:val="469"/>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tc>
      </w:tr>
      <w:tr w:rsidR="00041039">
        <w:trPr>
          <w:trHeight w:val="63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863"/>
              </w:numPr>
              <w:tabs>
                <w:tab w:val="left" w:pos="158"/>
              </w:tabs>
              <w:spacing w:line="166" w:lineRule="exact"/>
              <w:ind w:hanging="99"/>
              <w:rPr>
                <w:sz w:val="14"/>
              </w:rPr>
            </w:pPr>
            <w:r>
              <w:rPr>
                <w:color w:val="231F20"/>
                <w:sz w:val="14"/>
              </w:rPr>
              <w:t>учионици</w:t>
            </w:r>
          </w:p>
        </w:tc>
      </w:tr>
      <w:tr w:rsidR="00041039">
        <w:trPr>
          <w:trHeight w:val="2171"/>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862"/>
              </w:numPr>
              <w:tabs>
                <w:tab w:val="left" w:pos="158"/>
              </w:tabs>
              <w:spacing w:before="1" w:line="160" w:lineRule="exact"/>
              <w:ind w:right="117" w:hanging="99"/>
              <w:rPr>
                <w:sz w:val="14"/>
              </w:rPr>
            </w:pPr>
            <w:r>
              <w:rPr>
                <w:color w:val="231F20"/>
                <w:sz w:val="14"/>
              </w:rPr>
              <w:t>користити сва доступна</w:t>
            </w:r>
            <w:r>
              <w:rPr>
                <w:color w:val="231F20"/>
                <w:spacing w:val="-11"/>
                <w:sz w:val="14"/>
              </w:rPr>
              <w:t xml:space="preserve"> </w:t>
            </w:r>
            <w:r>
              <w:rPr>
                <w:color w:val="231F20"/>
                <w:sz w:val="14"/>
              </w:rPr>
              <w:t>наставна средства;</w:t>
            </w:r>
          </w:p>
          <w:p w:rsidR="00041039" w:rsidRDefault="001B26CB">
            <w:pPr>
              <w:pStyle w:val="TableParagraph"/>
              <w:numPr>
                <w:ilvl w:val="0"/>
                <w:numId w:val="862"/>
              </w:numPr>
              <w:tabs>
                <w:tab w:val="left" w:pos="158"/>
              </w:tabs>
              <w:spacing w:line="160" w:lineRule="exact"/>
              <w:ind w:right="201" w:hanging="99"/>
              <w:rPr>
                <w:sz w:val="14"/>
              </w:rPr>
            </w:pPr>
            <w:r>
              <w:rPr>
                <w:color w:val="231F20"/>
                <w:sz w:val="14"/>
              </w:rPr>
              <w:t>користити мултимедијалне</w:t>
            </w:r>
            <w:r>
              <w:rPr>
                <w:color w:val="231F20"/>
                <w:spacing w:val="-23"/>
                <w:sz w:val="14"/>
              </w:rPr>
              <w:t xml:space="preserve"> </w:t>
            </w:r>
            <w:r>
              <w:rPr>
                <w:color w:val="231F20"/>
                <w:sz w:val="14"/>
              </w:rPr>
              <w:t>пре­ зентације;</w:t>
            </w:r>
          </w:p>
          <w:p w:rsidR="00041039" w:rsidRDefault="001B26CB">
            <w:pPr>
              <w:pStyle w:val="TableParagraph"/>
              <w:numPr>
                <w:ilvl w:val="0"/>
                <w:numId w:val="862"/>
              </w:numPr>
              <w:tabs>
                <w:tab w:val="left" w:pos="158"/>
              </w:tabs>
              <w:spacing w:line="160" w:lineRule="exact"/>
              <w:ind w:right="170" w:hanging="99"/>
              <w:rPr>
                <w:sz w:val="14"/>
              </w:rPr>
            </w:pPr>
            <w:r>
              <w:rPr>
                <w:color w:val="231F20"/>
                <w:sz w:val="14"/>
              </w:rPr>
              <w:t>упућивати ученике да користе Интернет и стручну</w:t>
            </w:r>
            <w:r>
              <w:rPr>
                <w:color w:val="231F20"/>
                <w:spacing w:val="-22"/>
                <w:sz w:val="14"/>
              </w:rPr>
              <w:t xml:space="preserve"> </w:t>
            </w:r>
            <w:r>
              <w:rPr>
                <w:color w:val="231F20"/>
                <w:sz w:val="14"/>
              </w:rPr>
              <w:t>литературу;</w:t>
            </w:r>
          </w:p>
          <w:p w:rsidR="00041039" w:rsidRDefault="001B26CB">
            <w:pPr>
              <w:pStyle w:val="TableParagraph"/>
              <w:numPr>
                <w:ilvl w:val="0"/>
                <w:numId w:val="862"/>
              </w:numPr>
              <w:tabs>
                <w:tab w:val="left" w:pos="158"/>
              </w:tabs>
              <w:spacing w:line="160" w:lineRule="exact"/>
              <w:ind w:right="124" w:hanging="99"/>
              <w:rPr>
                <w:sz w:val="14"/>
              </w:rPr>
            </w:pPr>
            <w:r>
              <w:rPr>
                <w:color w:val="231F20"/>
                <w:sz w:val="14"/>
              </w:rPr>
              <w:t>примењивати индивидуални</w:t>
            </w:r>
            <w:r>
              <w:rPr>
                <w:color w:val="231F20"/>
                <w:spacing w:val="-20"/>
                <w:sz w:val="14"/>
              </w:rPr>
              <w:t xml:space="preserve"> </w:t>
            </w:r>
            <w:r>
              <w:rPr>
                <w:color w:val="231F20"/>
                <w:sz w:val="14"/>
              </w:rPr>
              <w:t>рад, рад у паровима и рад у мањим групама;</w:t>
            </w:r>
          </w:p>
          <w:p w:rsidR="00041039" w:rsidRDefault="001B26CB">
            <w:pPr>
              <w:pStyle w:val="TableParagraph"/>
              <w:numPr>
                <w:ilvl w:val="0"/>
                <w:numId w:val="862"/>
              </w:numPr>
              <w:tabs>
                <w:tab w:val="left" w:pos="158"/>
              </w:tabs>
              <w:spacing w:line="160" w:lineRule="exact"/>
              <w:ind w:right="89" w:hanging="99"/>
              <w:rPr>
                <w:sz w:val="14"/>
              </w:rPr>
            </w:pPr>
            <w:r>
              <w:rPr>
                <w:color w:val="231F20"/>
                <w:sz w:val="14"/>
              </w:rPr>
              <w:t>континуирано упућивати</w:t>
            </w:r>
            <w:r>
              <w:rPr>
                <w:color w:val="231F20"/>
                <w:spacing w:val="-18"/>
                <w:sz w:val="14"/>
              </w:rPr>
              <w:t xml:space="preserve"> </w:t>
            </w:r>
            <w:r>
              <w:rPr>
                <w:color w:val="231F20"/>
                <w:sz w:val="14"/>
              </w:rPr>
              <w:t>ученике на присуство музике у</w:t>
            </w:r>
            <w:r>
              <w:rPr>
                <w:color w:val="231F20"/>
                <w:spacing w:val="-26"/>
                <w:sz w:val="14"/>
              </w:rPr>
              <w:t xml:space="preserve"> </w:t>
            </w:r>
            <w:r>
              <w:rPr>
                <w:color w:val="231F20"/>
                <w:sz w:val="14"/>
              </w:rPr>
              <w:t xml:space="preserve">свакоднев­ ном </w:t>
            </w:r>
            <w:r>
              <w:rPr>
                <w:color w:val="231F20"/>
                <w:spacing w:val="-3"/>
                <w:sz w:val="14"/>
              </w:rPr>
              <w:t xml:space="preserve">животу, </w:t>
            </w:r>
            <w:r>
              <w:rPr>
                <w:color w:val="231F20"/>
                <w:sz w:val="14"/>
              </w:rPr>
              <w:t>примену у пракси и другим наставним</w:t>
            </w:r>
            <w:r>
              <w:rPr>
                <w:color w:val="231F20"/>
                <w:spacing w:val="-4"/>
                <w:sz w:val="14"/>
              </w:rPr>
              <w:t xml:space="preserve"> </w:t>
            </w:r>
            <w:r>
              <w:rPr>
                <w:color w:val="231F20"/>
                <w:sz w:val="14"/>
              </w:rPr>
              <w:t>предметима;</w:t>
            </w:r>
          </w:p>
        </w:tc>
      </w:tr>
      <w:tr w:rsidR="00041039">
        <w:trPr>
          <w:trHeight w:val="393"/>
        </w:trPr>
        <w:tc>
          <w:tcPr>
            <w:tcW w:w="1304" w:type="dxa"/>
            <w:tcBorders>
              <w:bottom w:val="nil"/>
            </w:tcBorders>
          </w:tcPr>
          <w:p w:rsidR="00041039" w:rsidRDefault="001B26CB">
            <w:pPr>
              <w:pStyle w:val="TableParagraph"/>
              <w:spacing w:before="20"/>
              <w:ind w:left="56" w:right="113"/>
              <w:rPr>
                <w:sz w:val="14"/>
              </w:rPr>
            </w:pPr>
            <w:r>
              <w:rPr>
                <w:color w:val="231F20"/>
                <w:sz w:val="14"/>
              </w:rPr>
              <w:t>Опера и балет Оперета и мјузикл</w:t>
            </w:r>
          </w:p>
        </w:tc>
        <w:tc>
          <w:tcPr>
            <w:tcW w:w="1587" w:type="dxa"/>
            <w:vMerge w:val="restart"/>
          </w:tcPr>
          <w:p w:rsidR="00041039" w:rsidRDefault="001B26CB">
            <w:pPr>
              <w:pStyle w:val="TableParagraph"/>
              <w:numPr>
                <w:ilvl w:val="0"/>
                <w:numId w:val="861"/>
              </w:numPr>
              <w:tabs>
                <w:tab w:val="left" w:pos="157"/>
              </w:tabs>
              <w:spacing w:before="10"/>
              <w:ind w:right="102"/>
              <w:rPr>
                <w:sz w:val="14"/>
              </w:rPr>
            </w:pPr>
            <w:r>
              <w:rPr>
                <w:color w:val="231F20"/>
                <w:sz w:val="14"/>
              </w:rPr>
              <w:t>Значај корелације из­ међу текста,</w:t>
            </w:r>
            <w:r>
              <w:rPr>
                <w:color w:val="231F20"/>
                <w:spacing w:val="-11"/>
                <w:sz w:val="14"/>
              </w:rPr>
              <w:t xml:space="preserve"> </w:t>
            </w:r>
            <w:r>
              <w:rPr>
                <w:color w:val="231F20"/>
                <w:sz w:val="14"/>
              </w:rPr>
              <w:t>музичког и сценског</w:t>
            </w:r>
            <w:r>
              <w:rPr>
                <w:color w:val="231F20"/>
                <w:spacing w:val="-7"/>
                <w:sz w:val="14"/>
              </w:rPr>
              <w:t xml:space="preserve"> </w:t>
            </w:r>
            <w:r>
              <w:rPr>
                <w:color w:val="231F20"/>
                <w:sz w:val="14"/>
              </w:rPr>
              <w:t>извођења.</w:t>
            </w:r>
          </w:p>
          <w:p w:rsidR="00041039" w:rsidRDefault="001B26CB">
            <w:pPr>
              <w:pStyle w:val="TableParagraph"/>
              <w:numPr>
                <w:ilvl w:val="0"/>
                <w:numId w:val="861"/>
              </w:numPr>
              <w:tabs>
                <w:tab w:val="left" w:pos="157"/>
              </w:tabs>
              <w:spacing w:line="157" w:lineRule="exact"/>
              <w:rPr>
                <w:sz w:val="14"/>
              </w:rPr>
            </w:pPr>
            <w:r>
              <w:rPr>
                <w:color w:val="231F20"/>
                <w:sz w:val="14"/>
              </w:rPr>
              <w:t>Оспособљавање</w:t>
            </w:r>
            <w:r>
              <w:rPr>
                <w:color w:val="231F20"/>
                <w:spacing w:val="-1"/>
                <w:sz w:val="14"/>
              </w:rPr>
              <w:t xml:space="preserve"> </w:t>
            </w:r>
            <w:r>
              <w:rPr>
                <w:color w:val="231F20"/>
                <w:sz w:val="14"/>
              </w:rPr>
              <w:t>уче­</w:t>
            </w:r>
          </w:p>
          <w:p w:rsidR="00041039" w:rsidRDefault="001B26CB">
            <w:pPr>
              <w:pStyle w:val="TableParagraph"/>
              <w:ind w:right="71"/>
              <w:rPr>
                <w:sz w:val="14"/>
              </w:rPr>
            </w:pPr>
            <w:r>
              <w:rPr>
                <w:color w:val="231F20"/>
                <w:sz w:val="14"/>
              </w:rPr>
              <w:t>ника за препознавање и разликовање разних видова опере кроз историју.</w:t>
            </w:r>
          </w:p>
        </w:tc>
        <w:tc>
          <w:tcPr>
            <w:tcW w:w="2551" w:type="dxa"/>
            <w:vMerge w:val="restart"/>
          </w:tcPr>
          <w:p w:rsidR="00041039" w:rsidRDefault="001B26CB">
            <w:pPr>
              <w:pStyle w:val="TableParagraph"/>
              <w:numPr>
                <w:ilvl w:val="0"/>
                <w:numId w:val="860"/>
              </w:numPr>
              <w:tabs>
                <w:tab w:val="left" w:pos="157"/>
              </w:tabs>
              <w:spacing w:before="10"/>
              <w:ind w:right="163" w:hanging="99"/>
              <w:rPr>
                <w:sz w:val="14"/>
              </w:rPr>
            </w:pPr>
            <w:r>
              <w:rPr>
                <w:color w:val="231F20"/>
                <w:sz w:val="14"/>
              </w:rPr>
              <w:t>разуме међусобну повезаност</w:t>
            </w:r>
            <w:r>
              <w:rPr>
                <w:color w:val="231F20"/>
                <w:spacing w:val="-9"/>
                <w:sz w:val="14"/>
              </w:rPr>
              <w:t xml:space="preserve"> </w:t>
            </w:r>
            <w:r>
              <w:rPr>
                <w:color w:val="231F20"/>
                <w:sz w:val="14"/>
              </w:rPr>
              <w:t>текста, музике и</w:t>
            </w:r>
            <w:r>
              <w:rPr>
                <w:color w:val="231F20"/>
                <w:spacing w:val="-2"/>
                <w:sz w:val="14"/>
              </w:rPr>
              <w:t xml:space="preserve"> </w:t>
            </w:r>
            <w:r>
              <w:rPr>
                <w:color w:val="231F20"/>
                <w:sz w:val="14"/>
              </w:rPr>
              <w:t>покрета.</w:t>
            </w:r>
          </w:p>
          <w:p w:rsidR="00041039" w:rsidRDefault="001B26CB">
            <w:pPr>
              <w:pStyle w:val="TableParagraph"/>
              <w:numPr>
                <w:ilvl w:val="0"/>
                <w:numId w:val="860"/>
              </w:numPr>
              <w:tabs>
                <w:tab w:val="left" w:pos="157"/>
              </w:tabs>
              <w:spacing w:before="1" w:line="160" w:lineRule="exact"/>
              <w:ind w:right="96" w:hanging="99"/>
              <w:rPr>
                <w:sz w:val="14"/>
              </w:rPr>
            </w:pPr>
            <w:r>
              <w:rPr>
                <w:color w:val="231F20"/>
                <w:sz w:val="14"/>
              </w:rPr>
              <w:t>разликује музичко сценска дела</w:t>
            </w:r>
            <w:r>
              <w:rPr>
                <w:color w:val="231F20"/>
                <w:spacing w:val="-17"/>
                <w:sz w:val="14"/>
              </w:rPr>
              <w:t xml:space="preserve"> </w:t>
            </w:r>
            <w:r>
              <w:rPr>
                <w:color w:val="231F20"/>
                <w:sz w:val="14"/>
              </w:rPr>
              <w:t>према периоду</w:t>
            </w:r>
            <w:r>
              <w:rPr>
                <w:color w:val="231F20"/>
                <w:spacing w:val="-1"/>
                <w:sz w:val="14"/>
              </w:rPr>
              <w:t xml:space="preserve"> </w:t>
            </w:r>
            <w:r>
              <w:rPr>
                <w:color w:val="231F20"/>
                <w:sz w:val="14"/>
              </w:rPr>
              <w:t>настанка.</w:t>
            </w:r>
          </w:p>
          <w:p w:rsidR="00041039" w:rsidRDefault="001B26CB">
            <w:pPr>
              <w:pStyle w:val="TableParagraph"/>
              <w:numPr>
                <w:ilvl w:val="0"/>
                <w:numId w:val="860"/>
              </w:numPr>
              <w:tabs>
                <w:tab w:val="left" w:pos="157"/>
              </w:tabs>
              <w:spacing w:line="160" w:lineRule="exact"/>
              <w:ind w:right="59" w:hanging="99"/>
              <w:rPr>
                <w:sz w:val="14"/>
              </w:rPr>
            </w:pPr>
            <w:r>
              <w:rPr>
                <w:color w:val="231F20"/>
                <w:sz w:val="14"/>
              </w:rPr>
              <w:t xml:space="preserve">препознаје историјско културни ам­ бијент у </w:t>
            </w:r>
            <w:r>
              <w:rPr>
                <w:color w:val="231F20"/>
                <w:spacing w:val="-3"/>
                <w:sz w:val="14"/>
              </w:rPr>
              <w:t xml:space="preserve">коме </w:t>
            </w:r>
            <w:r>
              <w:rPr>
                <w:color w:val="231F20"/>
                <w:sz w:val="14"/>
              </w:rPr>
              <w:t>су настала поједина</w:t>
            </w:r>
            <w:r>
              <w:rPr>
                <w:color w:val="231F20"/>
                <w:spacing w:val="-6"/>
                <w:sz w:val="14"/>
              </w:rPr>
              <w:t xml:space="preserve"> </w:t>
            </w:r>
            <w:r>
              <w:rPr>
                <w:color w:val="231F20"/>
                <w:sz w:val="14"/>
              </w:rPr>
              <w:t>дела</w:t>
            </w:r>
          </w:p>
        </w:tc>
        <w:tc>
          <w:tcPr>
            <w:tcW w:w="2834" w:type="dxa"/>
            <w:vMerge w:val="restart"/>
          </w:tcPr>
          <w:p w:rsidR="00041039" w:rsidRDefault="001B26CB">
            <w:pPr>
              <w:pStyle w:val="TableParagraph"/>
              <w:spacing w:before="18" w:line="155" w:lineRule="exact"/>
              <w:ind w:left="57"/>
              <w:rPr>
                <w:b/>
                <w:sz w:val="14"/>
              </w:rPr>
            </w:pPr>
            <w:r>
              <w:rPr>
                <w:b/>
                <w:color w:val="231F20"/>
                <w:sz w:val="14"/>
              </w:rPr>
              <w:t>Опере:</w:t>
            </w:r>
          </w:p>
          <w:p w:rsidR="00041039" w:rsidRDefault="001B26CB">
            <w:pPr>
              <w:pStyle w:val="TableParagraph"/>
              <w:numPr>
                <w:ilvl w:val="0"/>
                <w:numId w:val="859"/>
              </w:numPr>
              <w:tabs>
                <w:tab w:val="left" w:pos="157"/>
              </w:tabs>
              <w:spacing w:line="237" w:lineRule="auto"/>
              <w:ind w:right="211" w:hanging="99"/>
              <w:rPr>
                <w:sz w:val="14"/>
              </w:rPr>
            </w:pPr>
            <w:r>
              <w:rPr>
                <w:color w:val="231F20"/>
                <w:sz w:val="14"/>
              </w:rPr>
              <w:t xml:space="preserve">Бизе Ж.: </w:t>
            </w:r>
            <w:r>
              <w:rPr>
                <w:i/>
                <w:color w:val="231F20"/>
                <w:sz w:val="14"/>
              </w:rPr>
              <w:t>Кармен</w:t>
            </w:r>
            <w:r>
              <w:rPr>
                <w:color w:val="231F20"/>
                <w:sz w:val="14"/>
              </w:rPr>
              <w:t xml:space="preserve">, Верди Ђ.: </w:t>
            </w:r>
            <w:r>
              <w:rPr>
                <w:i/>
                <w:color w:val="231F20"/>
                <w:sz w:val="14"/>
              </w:rPr>
              <w:t>Трубадур</w:t>
            </w:r>
            <w:r>
              <w:rPr>
                <w:color w:val="231F20"/>
                <w:sz w:val="14"/>
              </w:rPr>
              <w:t xml:space="preserve">, Росини Ђ.: </w:t>
            </w:r>
            <w:r>
              <w:rPr>
                <w:i/>
                <w:color w:val="231F20"/>
                <w:sz w:val="14"/>
              </w:rPr>
              <w:t>Севиљски берберин</w:t>
            </w:r>
            <w:r>
              <w:rPr>
                <w:color w:val="231F20"/>
                <w:sz w:val="14"/>
              </w:rPr>
              <w:t xml:space="preserve">, Пучини: </w:t>
            </w:r>
            <w:r>
              <w:rPr>
                <w:i/>
                <w:color w:val="231F20"/>
                <w:sz w:val="14"/>
              </w:rPr>
              <w:t>Тоска,</w:t>
            </w:r>
            <w:r>
              <w:rPr>
                <w:i/>
                <w:color w:val="231F20"/>
                <w:spacing w:val="-1"/>
                <w:sz w:val="14"/>
              </w:rPr>
              <w:t xml:space="preserve"> </w:t>
            </w:r>
            <w:r>
              <w:rPr>
                <w:i/>
                <w:color w:val="231F20"/>
                <w:sz w:val="14"/>
              </w:rPr>
              <w:t>Боеми</w:t>
            </w:r>
            <w:r>
              <w:rPr>
                <w:color w:val="231F20"/>
                <w:sz w:val="14"/>
              </w:rPr>
              <w:t>.</w:t>
            </w:r>
          </w:p>
          <w:p w:rsidR="00041039" w:rsidRDefault="001B26CB">
            <w:pPr>
              <w:pStyle w:val="TableParagraph"/>
              <w:spacing w:line="155" w:lineRule="exact"/>
              <w:ind w:left="57"/>
              <w:rPr>
                <w:b/>
                <w:sz w:val="14"/>
              </w:rPr>
            </w:pPr>
            <w:r>
              <w:rPr>
                <w:b/>
                <w:color w:val="231F20"/>
                <w:sz w:val="14"/>
              </w:rPr>
              <w:t>Балети:</w:t>
            </w:r>
          </w:p>
          <w:p w:rsidR="00041039" w:rsidRDefault="001B26CB">
            <w:pPr>
              <w:pStyle w:val="TableParagraph"/>
              <w:numPr>
                <w:ilvl w:val="0"/>
                <w:numId w:val="859"/>
              </w:numPr>
              <w:tabs>
                <w:tab w:val="left" w:pos="157"/>
              </w:tabs>
              <w:spacing w:line="237" w:lineRule="auto"/>
              <w:ind w:right="106" w:hanging="99"/>
              <w:rPr>
                <w:i/>
                <w:sz w:val="14"/>
              </w:rPr>
            </w:pPr>
            <w:r>
              <w:rPr>
                <w:color w:val="231F20"/>
                <w:sz w:val="14"/>
              </w:rPr>
              <w:t>Чајковски</w:t>
            </w:r>
            <w:r>
              <w:rPr>
                <w:color w:val="231F20"/>
                <w:spacing w:val="-8"/>
                <w:sz w:val="14"/>
              </w:rPr>
              <w:t xml:space="preserve"> </w:t>
            </w:r>
            <w:r>
              <w:rPr>
                <w:color w:val="231F20"/>
                <w:sz w:val="14"/>
              </w:rPr>
              <w:t>П.И.:</w:t>
            </w:r>
            <w:r>
              <w:rPr>
                <w:color w:val="231F20"/>
                <w:spacing w:val="-9"/>
                <w:sz w:val="14"/>
              </w:rPr>
              <w:t xml:space="preserve"> </w:t>
            </w:r>
            <w:r>
              <w:rPr>
                <w:i/>
                <w:color w:val="231F20"/>
                <w:sz w:val="14"/>
              </w:rPr>
              <w:t>Лабудово</w:t>
            </w:r>
            <w:r>
              <w:rPr>
                <w:i/>
                <w:color w:val="231F20"/>
                <w:spacing w:val="-8"/>
                <w:sz w:val="14"/>
              </w:rPr>
              <w:t xml:space="preserve"> </w:t>
            </w:r>
            <w:r>
              <w:rPr>
                <w:i/>
                <w:color w:val="231F20"/>
                <w:sz w:val="14"/>
              </w:rPr>
              <w:t>језеро</w:t>
            </w:r>
            <w:r>
              <w:rPr>
                <w:color w:val="231F20"/>
                <w:sz w:val="14"/>
              </w:rPr>
              <w:t>,</w:t>
            </w:r>
            <w:r>
              <w:rPr>
                <w:color w:val="231F20"/>
                <w:spacing w:val="-8"/>
                <w:sz w:val="14"/>
              </w:rPr>
              <w:t xml:space="preserve"> </w:t>
            </w:r>
            <w:r>
              <w:rPr>
                <w:i/>
                <w:color w:val="231F20"/>
                <w:sz w:val="14"/>
              </w:rPr>
              <w:t>Успавана лепотица</w:t>
            </w:r>
            <w:r>
              <w:rPr>
                <w:color w:val="231F20"/>
                <w:sz w:val="14"/>
              </w:rPr>
              <w:t xml:space="preserve">, Прокофјев С.: </w:t>
            </w:r>
            <w:r>
              <w:rPr>
                <w:i/>
                <w:color w:val="231F20"/>
                <w:spacing w:val="-3"/>
                <w:sz w:val="14"/>
              </w:rPr>
              <w:t xml:space="preserve">Ромео </w:t>
            </w:r>
            <w:r>
              <w:rPr>
                <w:i/>
                <w:color w:val="231F20"/>
                <w:sz w:val="14"/>
              </w:rPr>
              <w:t>и</w:t>
            </w:r>
            <w:r>
              <w:rPr>
                <w:i/>
                <w:color w:val="231F20"/>
                <w:spacing w:val="-6"/>
                <w:sz w:val="14"/>
              </w:rPr>
              <w:t xml:space="preserve"> </w:t>
            </w:r>
            <w:r>
              <w:rPr>
                <w:i/>
                <w:color w:val="231F20"/>
                <w:sz w:val="14"/>
              </w:rPr>
              <w:t>Јулија.</w:t>
            </w:r>
          </w:p>
          <w:p w:rsidR="00041039" w:rsidRDefault="001B26CB">
            <w:pPr>
              <w:pStyle w:val="TableParagraph"/>
              <w:spacing w:line="155" w:lineRule="exact"/>
              <w:ind w:left="57"/>
              <w:rPr>
                <w:b/>
                <w:sz w:val="14"/>
              </w:rPr>
            </w:pPr>
            <w:r>
              <w:rPr>
                <w:b/>
                <w:color w:val="231F20"/>
                <w:sz w:val="14"/>
              </w:rPr>
              <w:t>Оперете:</w:t>
            </w:r>
          </w:p>
          <w:p w:rsidR="00041039" w:rsidRDefault="001B26CB">
            <w:pPr>
              <w:pStyle w:val="TableParagraph"/>
              <w:numPr>
                <w:ilvl w:val="0"/>
                <w:numId w:val="859"/>
              </w:numPr>
              <w:tabs>
                <w:tab w:val="left" w:pos="157"/>
              </w:tabs>
              <w:spacing w:line="165" w:lineRule="exact"/>
              <w:ind w:hanging="99"/>
              <w:rPr>
                <w:i/>
                <w:sz w:val="14"/>
              </w:rPr>
            </w:pPr>
            <w:r>
              <w:rPr>
                <w:color w:val="231F20"/>
                <w:sz w:val="14"/>
              </w:rPr>
              <w:t xml:space="preserve">Штраус Ј.: </w:t>
            </w:r>
            <w:r>
              <w:rPr>
                <w:i/>
                <w:color w:val="231F20"/>
                <w:sz w:val="14"/>
              </w:rPr>
              <w:t>Слепи</w:t>
            </w:r>
            <w:r>
              <w:rPr>
                <w:i/>
                <w:color w:val="231F20"/>
                <w:spacing w:val="-2"/>
                <w:sz w:val="14"/>
              </w:rPr>
              <w:t xml:space="preserve"> </w:t>
            </w:r>
            <w:r>
              <w:rPr>
                <w:i/>
                <w:color w:val="231F20"/>
                <w:sz w:val="14"/>
              </w:rPr>
              <w:t>миш.</w:t>
            </w:r>
          </w:p>
          <w:p w:rsidR="00041039" w:rsidRDefault="001B26CB">
            <w:pPr>
              <w:pStyle w:val="TableParagraph"/>
              <w:spacing w:line="155" w:lineRule="exact"/>
              <w:ind w:left="57"/>
              <w:rPr>
                <w:b/>
                <w:sz w:val="14"/>
              </w:rPr>
            </w:pPr>
            <w:r>
              <w:rPr>
                <w:b/>
                <w:color w:val="231F20"/>
                <w:sz w:val="14"/>
              </w:rPr>
              <w:t>Мјузикли:</w:t>
            </w:r>
          </w:p>
          <w:p w:rsidR="00041039" w:rsidRDefault="001B26CB">
            <w:pPr>
              <w:pStyle w:val="TableParagraph"/>
              <w:numPr>
                <w:ilvl w:val="0"/>
                <w:numId w:val="859"/>
              </w:numPr>
              <w:tabs>
                <w:tab w:val="left" w:pos="157"/>
              </w:tabs>
              <w:spacing w:line="160" w:lineRule="exact"/>
              <w:ind w:right="417" w:hanging="99"/>
              <w:rPr>
                <w:sz w:val="14"/>
              </w:rPr>
            </w:pPr>
            <w:r>
              <w:rPr>
                <w:color w:val="231F20"/>
                <w:sz w:val="14"/>
              </w:rPr>
              <w:t>Цигани лете у небо, Коса, Мама</w:t>
            </w:r>
            <w:r>
              <w:rPr>
                <w:color w:val="231F20"/>
                <w:spacing w:val="-24"/>
                <w:sz w:val="14"/>
              </w:rPr>
              <w:t xml:space="preserve"> </w:t>
            </w:r>
            <w:r>
              <w:rPr>
                <w:color w:val="231F20"/>
                <w:sz w:val="14"/>
              </w:rPr>
              <w:t>Миа, Чикаго...</w:t>
            </w:r>
          </w:p>
        </w:tc>
        <w:tc>
          <w:tcPr>
            <w:tcW w:w="2267" w:type="dxa"/>
            <w:vMerge/>
            <w:tcBorders>
              <w:top w:val="nil"/>
              <w:bottom w:val="nil"/>
            </w:tcBorders>
          </w:tcPr>
          <w:p w:rsidR="00041039" w:rsidRDefault="00041039">
            <w:pPr>
              <w:rPr>
                <w:sz w:val="2"/>
                <w:szCs w:val="2"/>
              </w:rPr>
            </w:pPr>
          </w:p>
        </w:tc>
      </w:tr>
      <w:tr w:rsidR="00041039">
        <w:trPr>
          <w:trHeight w:val="924"/>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46"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858"/>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858"/>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619"/>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857"/>
              </w:numPr>
              <w:tabs>
                <w:tab w:val="left" w:pos="158"/>
              </w:tabs>
              <w:spacing w:line="160" w:lineRule="exact"/>
              <w:ind w:hanging="99"/>
              <w:rPr>
                <w:b/>
                <w:sz w:val="14"/>
              </w:rPr>
            </w:pPr>
            <w:r>
              <w:rPr>
                <w:color w:val="231F20"/>
                <w:sz w:val="14"/>
              </w:rPr>
              <w:t xml:space="preserve">Класична музика </w:t>
            </w:r>
            <w:r>
              <w:rPr>
                <w:b/>
                <w:color w:val="231F20"/>
                <w:sz w:val="14"/>
              </w:rPr>
              <w:t>(16</w:t>
            </w:r>
            <w:r>
              <w:rPr>
                <w:b/>
                <w:color w:val="231F20"/>
                <w:spacing w:val="-11"/>
                <w:sz w:val="14"/>
              </w:rPr>
              <w:t xml:space="preserve"> </w:t>
            </w:r>
            <w:r>
              <w:rPr>
                <w:b/>
                <w:color w:val="231F20"/>
                <w:sz w:val="14"/>
              </w:rPr>
              <w:t>часова)</w:t>
            </w:r>
          </w:p>
          <w:p w:rsidR="00041039" w:rsidRDefault="001B26CB">
            <w:pPr>
              <w:pStyle w:val="TableParagraph"/>
              <w:numPr>
                <w:ilvl w:val="0"/>
                <w:numId w:val="857"/>
              </w:numPr>
              <w:tabs>
                <w:tab w:val="left" w:pos="158"/>
              </w:tabs>
              <w:spacing w:line="165" w:lineRule="exact"/>
              <w:ind w:hanging="99"/>
              <w:rPr>
                <w:sz w:val="14"/>
              </w:rPr>
            </w:pPr>
            <w:r>
              <w:rPr>
                <w:color w:val="231F20"/>
                <w:sz w:val="14"/>
              </w:rPr>
              <w:t>Опера и балет; Оперета и</w:t>
            </w:r>
            <w:r>
              <w:rPr>
                <w:color w:val="231F20"/>
                <w:spacing w:val="-11"/>
                <w:sz w:val="14"/>
              </w:rPr>
              <w:t xml:space="preserve"> </w:t>
            </w:r>
            <w:r>
              <w:rPr>
                <w:color w:val="231F20"/>
                <w:sz w:val="14"/>
              </w:rPr>
              <w:t>мјузикл</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numPr>
                <w:ilvl w:val="0"/>
                <w:numId w:val="857"/>
              </w:numPr>
              <w:tabs>
                <w:tab w:val="left" w:pos="158"/>
              </w:tabs>
              <w:spacing w:line="237" w:lineRule="auto"/>
              <w:ind w:right="500" w:hanging="99"/>
              <w:rPr>
                <w:b/>
                <w:sz w:val="14"/>
              </w:rPr>
            </w:pPr>
            <w:r>
              <w:rPr>
                <w:color w:val="231F20"/>
                <w:sz w:val="14"/>
              </w:rPr>
              <w:t>Традиционална музика</w:t>
            </w:r>
            <w:r>
              <w:rPr>
                <w:color w:val="231F20"/>
                <w:spacing w:val="-10"/>
                <w:sz w:val="14"/>
              </w:rPr>
              <w:t xml:space="preserve"> </w:t>
            </w:r>
            <w:r>
              <w:rPr>
                <w:b/>
                <w:color w:val="231F20"/>
                <w:sz w:val="14"/>
              </w:rPr>
              <w:t>(12 часова)</w:t>
            </w:r>
          </w:p>
          <w:p w:rsidR="00041039" w:rsidRDefault="001B26CB">
            <w:pPr>
              <w:pStyle w:val="TableParagraph"/>
              <w:numPr>
                <w:ilvl w:val="0"/>
                <w:numId w:val="857"/>
              </w:numPr>
              <w:tabs>
                <w:tab w:val="left" w:pos="158"/>
              </w:tabs>
              <w:spacing w:line="155" w:lineRule="exact"/>
              <w:ind w:hanging="99"/>
              <w:rPr>
                <w:b/>
                <w:sz w:val="14"/>
              </w:rPr>
            </w:pPr>
            <w:r>
              <w:rPr>
                <w:color w:val="231F20"/>
                <w:sz w:val="14"/>
              </w:rPr>
              <w:t xml:space="preserve">Џез и блуз музика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numPr>
                <w:ilvl w:val="0"/>
                <w:numId w:val="857"/>
              </w:numPr>
              <w:tabs>
                <w:tab w:val="left" w:pos="158"/>
              </w:tabs>
              <w:spacing w:line="237" w:lineRule="auto"/>
              <w:ind w:right="420" w:hanging="99"/>
              <w:rPr>
                <w:b/>
                <w:sz w:val="14"/>
              </w:rPr>
            </w:pPr>
            <w:r>
              <w:rPr>
                <w:color w:val="231F20"/>
                <w:sz w:val="14"/>
              </w:rPr>
              <w:t>Филм и филмска музика</w:t>
            </w:r>
            <w:r>
              <w:rPr>
                <w:color w:val="231F20"/>
                <w:spacing w:val="-11"/>
                <w:sz w:val="14"/>
              </w:rPr>
              <w:t xml:space="preserve"> </w:t>
            </w:r>
            <w:r>
              <w:rPr>
                <w:b/>
                <w:color w:val="231F20"/>
                <w:sz w:val="14"/>
              </w:rPr>
              <w:t>(10 часова)</w:t>
            </w:r>
          </w:p>
          <w:p w:rsidR="00041039" w:rsidRDefault="001B26CB">
            <w:pPr>
              <w:pStyle w:val="TableParagraph"/>
              <w:numPr>
                <w:ilvl w:val="0"/>
                <w:numId w:val="857"/>
              </w:numPr>
              <w:tabs>
                <w:tab w:val="left" w:pos="158"/>
              </w:tabs>
              <w:spacing w:line="161" w:lineRule="exact"/>
              <w:ind w:hanging="99"/>
              <w:rPr>
                <w:b/>
                <w:sz w:val="14"/>
              </w:rPr>
            </w:pPr>
            <w:r>
              <w:rPr>
                <w:color w:val="231F20"/>
                <w:spacing w:val="-3"/>
                <w:sz w:val="14"/>
              </w:rPr>
              <w:t xml:space="preserve">Хорско </w:t>
            </w:r>
            <w:r>
              <w:rPr>
                <w:color w:val="231F20"/>
                <w:sz w:val="14"/>
              </w:rPr>
              <w:t xml:space="preserve">певање </w:t>
            </w:r>
            <w:r>
              <w:rPr>
                <w:b/>
                <w:color w:val="231F20"/>
                <w:sz w:val="14"/>
              </w:rPr>
              <w:t>(10 часова)</w:t>
            </w:r>
          </w:p>
        </w:tc>
      </w:tr>
      <w:tr w:rsidR="00041039">
        <w:trPr>
          <w:trHeight w:val="2120"/>
        </w:trPr>
        <w:tc>
          <w:tcPr>
            <w:tcW w:w="1304" w:type="dxa"/>
          </w:tcPr>
          <w:p w:rsidR="00041039" w:rsidRDefault="001B26CB">
            <w:pPr>
              <w:pStyle w:val="TableParagraph"/>
              <w:spacing w:before="21"/>
              <w:ind w:left="56" w:right="210"/>
              <w:rPr>
                <w:sz w:val="14"/>
              </w:rPr>
            </w:pPr>
            <w:r>
              <w:rPr>
                <w:color w:val="231F20"/>
                <w:sz w:val="14"/>
              </w:rPr>
              <w:t>Традиционална музика (народне песме, игре, пле­ сови).</w:t>
            </w:r>
          </w:p>
        </w:tc>
        <w:tc>
          <w:tcPr>
            <w:tcW w:w="1587" w:type="dxa"/>
          </w:tcPr>
          <w:p w:rsidR="00041039" w:rsidRDefault="001B26CB">
            <w:pPr>
              <w:pStyle w:val="TableParagraph"/>
              <w:numPr>
                <w:ilvl w:val="0"/>
                <w:numId w:val="856"/>
              </w:numPr>
              <w:tabs>
                <w:tab w:val="left" w:pos="157"/>
              </w:tabs>
              <w:spacing w:before="11"/>
              <w:ind w:right="59"/>
              <w:rPr>
                <w:sz w:val="14"/>
              </w:rPr>
            </w:pPr>
            <w:r>
              <w:rPr>
                <w:color w:val="231F20"/>
                <w:sz w:val="14"/>
              </w:rPr>
              <w:t>Оспособљавање уче­ ника за препознавање и разликовање</w:t>
            </w:r>
            <w:r>
              <w:rPr>
                <w:color w:val="231F20"/>
                <w:spacing w:val="-22"/>
                <w:sz w:val="14"/>
              </w:rPr>
              <w:t xml:space="preserve"> </w:t>
            </w:r>
            <w:r>
              <w:rPr>
                <w:color w:val="231F20"/>
                <w:sz w:val="14"/>
              </w:rPr>
              <w:t xml:space="preserve">културе и традиције </w:t>
            </w:r>
            <w:r>
              <w:rPr>
                <w:color w:val="231F20"/>
                <w:spacing w:val="-3"/>
                <w:sz w:val="14"/>
              </w:rPr>
              <w:t xml:space="preserve">како </w:t>
            </w:r>
            <w:r>
              <w:rPr>
                <w:color w:val="231F20"/>
                <w:sz w:val="14"/>
              </w:rPr>
              <w:t>свог тако и других</w:t>
            </w:r>
            <w:r>
              <w:rPr>
                <w:color w:val="231F20"/>
                <w:spacing w:val="-11"/>
                <w:sz w:val="14"/>
              </w:rPr>
              <w:t xml:space="preserve"> </w:t>
            </w:r>
            <w:r>
              <w:rPr>
                <w:color w:val="231F20"/>
                <w:sz w:val="14"/>
              </w:rPr>
              <w:t>народа.</w:t>
            </w:r>
          </w:p>
          <w:p w:rsidR="00041039" w:rsidRDefault="001B26CB">
            <w:pPr>
              <w:pStyle w:val="TableParagraph"/>
              <w:numPr>
                <w:ilvl w:val="0"/>
                <w:numId w:val="856"/>
              </w:numPr>
              <w:tabs>
                <w:tab w:val="left" w:pos="157"/>
              </w:tabs>
              <w:spacing w:line="155" w:lineRule="exact"/>
              <w:rPr>
                <w:sz w:val="14"/>
              </w:rPr>
            </w:pPr>
            <w:r>
              <w:rPr>
                <w:color w:val="231F20"/>
                <w:sz w:val="14"/>
              </w:rPr>
              <w:t>Развијање</w:t>
            </w:r>
            <w:r>
              <w:rPr>
                <w:color w:val="231F20"/>
                <w:spacing w:val="-2"/>
                <w:sz w:val="14"/>
              </w:rPr>
              <w:t xml:space="preserve"> </w:t>
            </w:r>
            <w:r>
              <w:rPr>
                <w:color w:val="231F20"/>
                <w:sz w:val="14"/>
              </w:rPr>
              <w:t>естетских</w:t>
            </w:r>
          </w:p>
          <w:p w:rsidR="00041039" w:rsidRDefault="001B26CB">
            <w:pPr>
              <w:pStyle w:val="TableParagraph"/>
              <w:ind w:right="15"/>
              <w:rPr>
                <w:sz w:val="14"/>
              </w:rPr>
            </w:pPr>
            <w:r>
              <w:rPr>
                <w:color w:val="231F20"/>
                <w:sz w:val="14"/>
              </w:rPr>
              <w:t>критеријума код ученика.</w:t>
            </w:r>
          </w:p>
          <w:p w:rsidR="00041039" w:rsidRDefault="001B26CB">
            <w:pPr>
              <w:pStyle w:val="TableParagraph"/>
              <w:numPr>
                <w:ilvl w:val="0"/>
                <w:numId w:val="856"/>
              </w:numPr>
              <w:tabs>
                <w:tab w:val="left" w:pos="157"/>
              </w:tabs>
              <w:spacing w:line="160" w:lineRule="exact"/>
              <w:ind w:right="150"/>
              <w:rPr>
                <w:sz w:val="14"/>
              </w:rPr>
            </w:pPr>
            <w:r>
              <w:rPr>
                <w:color w:val="231F20"/>
                <w:sz w:val="14"/>
              </w:rPr>
              <w:t>Развијање способно­ сти уочавања</w:t>
            </w:r>
            <w:r>
              <w:rPr>
                <w:color w:val="231F20"/>
                <w:spacing w:val="-10"/>
                <w:sz w:val="14"/>
              </w:rPr>
              <w:t xml:space="preserve"> </w:t>
            </w:r>
            <w:r>
              <w:rPr>
                <w:color w:val="231F20"/>
                <w:sz w:val="14"/>
              </w:rPr>
              <w:t>утицаја народног стваралаш­ тва на уметничко стваралаштво.</w:t>
            </w:r>
          </w:p>
        </w:tc>
        <w:tc>
          <w:tcPr>
            <w:tcW w:w="2551" w:type="dxa"/>
          </w:tcPr>
          <w:p w:rsidR="00041039" w:rsidRDefault="001B26CB">
            <w:pPr>
              <w:pStyle w:val="TableParagraph"/>
              <w:numPr>
                <w:ilvl w:val="0"/>
                <w:numId w:val="855"/>
              </w:numPr>
              <w:tabs>
                <w:tab w:val="left" w:pos="157"/>
              </w:tabs>
              <w:spacing w:before="11"/>
              <w:ind w:right="53" w:hanging="99"/>
              <w:rPr>
                <w:sz w:val="14"/>
              </w:rPr>
            </w:pPr>
            <w:r>
              <w:rPr>
                <w:color w:val="231F20"/>
                <w:sz w:val="14"/>
              </w:rPr>
              <w:t>препознаје естетске вредности у култури свог и народа других земаља уочавањем карактеристичних</w:t>
            </w:r>
            <w:r>
              <w:rPr>
                <w:color w:val="231F20"/>
                <w:spacing w:val="-22"/>
                <w:sz w:val="14"/>
              </w:rPr>
              <w:t xml:space="preserve"> </w:t>
            </w:r>
            <w:r>
              <w:rPr>
                <w:color w:val="231F20"/>
                <w:sz w:val="14"/>
              </w:rPr>
              <w:t>обележја музике светске народне</w:t>
            </w:r>
            <w:r>
              <w:rPr>
                <w:color w:val="231F20"/>
                <w:spacing w:val="-4"/>
                <w:sz w:val="14"/>
              </w:rPr>
              <w:t xml:space="preserve"> </w:t>
            </w:r>
            <w:r>
              <w:rPr>
                <w:color w:val="231F20"/>
                <w:sz w:val="14"/>
              </w:rPr>
              <w:t>баштине;</w:t>
            </w:r>
          </w:p>
          <w:p w:rsidR="00041039" w:rsidRDefault="001B26CB">
            <w:pPr>
              <w:pStyle w:val="TableParagraph"/>
              <w:numPr>
                <w:ilvl w:val="0"/>
                <w:numId w:val="855"/>
              </w:numPr>
              <w:tabs>
                <w:tab w:val="left" w:pos="157"/>
              </w:tabs>
              <w:spacing w:line="156" w:lineRule="exact"/>
              <w:ind w:hanging="99"/>
              <w:rPr>
                <w:sz w:val="14"/>
              </w:rPr>
            </w:pPr>
            <w:r>
              <w:rPr>
                <w:color w:val="231F20"/>
                <w:sz w:val="14"/>
              </w:rPr>
              <w:t>сагледава и вреднује утицај</w:t>
            </w:r>
            <w:r>
              <w:rPr>
                <w:color w:val="231F20"/>
                <w:spacing w:val="-12"/>
                <w:sz w:val="14"/>
              </w:rPr>
              <w:t xml:space="preserve"> </w:t>
            </w:r>
            <w:r>
              <w:rPr>
                <w:color w:val="231F20"/>
                <w:sz w:val="14"/>
              </w:rPr>
              <w:t>народног</w:t>
            </w:r>
          </w:p>
          <w:p w:rsidR="00041039" w:rsidRDefault="001B26CB">
            <w:pPr>
              <w:pStyle w:val="TableParagraph"/>
              <w:rPr>
                <w:sz w:val="14"/>
              </w:rPr>
            </w:pPr>
            <w:r>
              <w:rPr>
                <w:color w:val="231F20"/>
                <w:sz w:val="14"/>
              </w:rPr>
              <w:t>стваралаштва на уметничко ствара­ лаштво;</w:t>
            </w:r>
          </w:p>
        </w:tc>
        <w:tc>
          <w:tcPr>
            <w:tcW w:w="2834" w:type="dxa"/>
          </w:tcPr>
          <w:p w:rsidR="00041039" w:rsidRDefault="001B26CB">
            <w:pPr>
              <w:pStyle w:val="TableParagraph"/>
              <w:numPr>
                <w:ilvl w:val="0"/>
                <w:numId w:val="854"/>
              </w:numPr>
              <w:tabs>
                <w:tab w:val="left" w:pos="158"/>
              </w:tabs>
              <w:spacing w:before="11"/>
              <w:ind w:right="79"/>
              <w:rPr>
                <w:sz w:val="14"/>
              </w:rPr>
            </w:pPr>
            <w:r>
              <w:rPr>
                <w:color w:val="231F20"/>
                <w:sz w:val="14"/>
              </w:rPr>
              <w:t>Изворно певање традиционалних композиција</w:t>
            </w:r>
            <w:r>
              <w:rPr>
                <w:color w:val="231F20"/>
                <w:sz w:val="14"/>
              </w:rPr>
              <w:t xml:space="preserve"> са нашег и суседних</w:t>
            </w:r>
            <w:r>
              <w:rPr>
                <w:color w:val="231F20"/>
                <w:spacing w:val="-26"/>
                <w:sz w:val="14"/>
              </w:rPr>
              <w:t xml:space="preserve"> </w:t>
            </w:r>
            <w:r>
              <w:rPr>
                <w:color w:val="231F20"/>
                <w:sz w:val="14"/>
              </w:rPr>
              <w:t xml:space="preserve">подручја. </w:t>
            </w:r>
            <w:r>
              <w:rPr>
                <w:color w:val="231F20"/>
                <w:spacing w:val="-3"/>
                <w:sz w:val="14"/>
              </w:rPr>
              <w:t xml:space="preserve">Кола </w:t>
            </w:r>
            <w:r>
              <w:rPr>
                <w:color w:val="231F20"/>
                <w:sz w:val="14"/>
              </w:rPr>
              <w:t>и народне игре Србије и суседних земаља.</w:t>
            </w:r>
          </w:p>
          <w:p w:rsidR="00041039" w:rsidRDefault="001B26CB">
            <w:pPr>
              <w:pStyle w:val="TableParagraph"/>
              <w:spacing w:line="156" w:lineRule="exact"/>
              <w:ind w:left="57"/>
              <w:rPr>
                <w:sz w:val="14"/>
              </w:rPr>
            </w:pPr>
            <w:r>
              <w:rPr>
                <w:color w:val="231F20"/>
                <w:sz w:val="14"/>
              </w:rPr>
              <w:t xml:space="preserve">Мокрањац Ст. Ст.: </w:t>
            </w:r>
            <w:r>
              <w:rPr>
                <w:i/>
                <w:color w:val="231F20"/>
                <w:sz w:val="14"/>
              </w:rPr>
              <w:t>Руковети</w:t>
            </w:r>
            <w:r>
              <w:rPr>
                <w:color w:val="231F20"/>
                <w:sz w:val="14"/>
              </w:rPr>
              <w:t>, Тајчевић М.:</w:t>
            </w:r>
          </w:p>
          <w:p w:rsidR="00041039" w:rsidRDefault="001B26CB">
            <w:pPr>
              <w:pStyle w:val="TableParagraph"/>
              <w:spacing w:line="155" w:lineRule="exact"/>
              <w:ind w:left="57"/>
              <w:rPr>
                <w:i/>
                <w:sz w:val="14"/>
              </w:rPr>
            </w:pPr>
            <w:r>
              <w:rPr>
                <w:i/>
                <w:color w:val="231F20"/>
                <w:sz w:val="14"/>
              </w:rPr>
              <w:t>Охридска легенда.</w:t>
            </w:r>
          </w:p>
          <w:p w:rsidR="00041039" w:rsidRDefault="001B26CB">
            <w:pPr>
              <w:pStyle w:val="TableParagraph"/>
              <w:numPr>
                <w:ilvl w:val="0"/>
                <w:numId w:val="854"/>
              </w:numPr>
              <w:tabs>
                <w:tab w:val="left" w:pos="158"/>
              </w:tabs>
              <w:spacing w:line="237" w:lineRule="auto"/>
              <w:ind w:right="309"/>
              <w:rPr>
                <w:sz w:val="14"/>
              </w:rPr>
            </w:pPr>
            <w:r>
              <w:rPr>
                <w:color w:val="231F20"/>
                <w:sz w:val="14"/>
              </w:rPr>
              <w:t xml:space="preserve">Народна музика интегрисана у </w:t>
            </w:r>
            <w:r>
              <w:rPr>
                <w:color w:val="231F20"/>
                <w:spacing w:val="-3"/>
                <w:sz w:val="14"/>
              </w:rPr>
              <w:t xml:space="preserve">забавну, </w:t>
            </w:r>
            <w:r>
              <w:rPr>
                <w:color w:val="231F20"/>
                <w:sz w:val="14"/>
              </w:rPr>
              <w:t>електронску, џез и разне алтернативне правце.</w:t>
            </w:r>
          </w:p>
          <w:p w:rsidR="00041039" w:rsidRDefault="001B26CB">
            <w:pPr>
              <w:pStyle w:val="TableParagraph"/>
              <w:numPr>
                <w:ilvl w:val="0"/>
                <w:numId w:val="854"/>
              </w:numPr>
              <w:tabs>
                <w:tab w:val="left" w:pos="158"/>
              </w:tabs>
              <w:spacing w:line="237" w:lineRule="auto"/>
              <w:ind w:right="242"/>
              <w:rPr>
                <w:sz w:val="14"/>
              </w:rPr>
            </w:pPr>
            <w:r>
              <w:rPr>
                <w:color w:val="231F20"/>
                <w:sz w:val="14"/>
              </w:rPr>
              <w:t>Извођачи: Биљана Крстић, састав Балканика, Слободан Тркуља,</w:t>
            </w:r>
            <w:r>
              <w:rPr>
                <w:color w:val="231F20"/>
                <w:spacing w:val="-18"/>
                <w:sz w:val="14"/>
              </w:rPr>
              <w:t xml:space="preserve"> </w:t>
            </w:r>
            <w:r>
              <w:rPr>
                <w:color w:val="231F20"/>
                <w:sz w:val="14"/>
              </w:rPr>
              <w:t>Василиса, Кирил</w:t>
            </w:r>
            <w:r>
              <w:rPr>
                <w:color w:val="231F20"/>
                <w:spacing w:val="-1"/>
                <w:sz w:val="14"/>
              </w:rPr>
              <w:t xml:space="preserve"> </w:t>
            </w:r>
            <w:r>
              <w:rPr>
                <w:color w:val="231F20"/>
                <w:sz w:val="14"/>
              </w:rPr>
              <w:t>Џајковски...</w:t>
            </w:r>
          </w:p>
        </w:tc>
        <w:tc>
          <w:tcPr>
            <w:tcW w:w="2267" w:type="dxa"/>
            <w:vMerge/>
            <w:tcBorders>
              <w:top w:val="nil"/>
              <w:bottom w:val="nil"/>
            </w:tcBorders>
          </w:tcPr>
          <w:p w:rsidR="00041039" w:rsidRDefault="00041039">
            <w:pPr>
              <w:rPr>
                <w:sz w:val="2"/>
                <w:szCs w:val="2"/>
              </w:rPr>
            </w:pPr>
          </w:p>
        </w:tc>
      </w:tr>
      <w:tr w:rsidR="00041039">
        <w:trPr>
          <w:trHeight w:val="1960"/>
        </w:trPr>
        <w:tc>
          <w:tcPr>
            <w:tcW w:w="1304" w:type="dxa"/>
          </w:tcPr>
          <w:p w:rsidR="00041039" w:rsidRDefault="001B26CB">
            <w:pPr>
              <w:pStyle w:val="TableParagraph"/>
              <w:spacing w:before="21"/>
              <w:ind w:left="57" w:right="37"/>
              <w:rPr>
                <w:sz w:val="14"/>
              </w:rPr>
            </w:pPr>
            <w:r>
              <w:rPr>
                <w:color w:val="231F20"/>
                <w:sz w:val="14"/>
              </w:rPr>
              <w:t>Џез и блуз музика Филм и филмска музика</w:t>
            </w:r>
          </w:p>
        </w:tc>
        <w:tc>
          <w:tcPr>
            <w:tcW w:w="1587" w:type="dxa"/>
          </w:tcPr>
          <w:p w:rsidR="00041039" w:rsidRDefault="001B26CB">
            <w:pPr>
              <w:pStyle w:val="TableParagraph"/>
              <w:numPr>
                <w:ilvl w:val="0"/>
                <w:numId w:val="853"/>
              </w:numPr>
              <w:tabs>
                <w:tab w:val="left" w:pos="157"/>
              </w:tabs>
              <w:spacing w:before="11"/>
              <w:ind w:right="62" w:hanging="99"/>
              <w:rPr>
                <w:sz w:val="14"/>
              </w:rPr>
            </w:pPr>
            <w:r>
              <w:rPr>
                <w:color w:val="231F20"/>
                <w:sz w:val="14"/>
              </w:rPr>
              <w:t>Способност препозна­ вања критеријума који се односе на ритмичку строгост и импро­ визовање мелодије као карактеристика одређ</w:t>
            </w:r>
            <w:r>
              <w:rPr>
                <w:color w:val="231F20"/>
                <w:sz w:val="14"/>
              </w:rPr>
              <w:t>ене врсте музике (џез,</w:t>
            </w:r>
            <w:r>
              <w:rPr>
                <w:color w:val="231F20"/>
                <w:spacing w:val="-2"/>
                <w:sz w:val="14"/>
              </w:rPr>
              <w:t xml:space="preserve"> </w:t>
            </w:r>
            <w:r>
              <w:rPr>
                <w:color w:val="231F20"/>
                <w:sz w:val="14"/>
              </w:rPr>
              <w:t>блуз).</w:t>
            </w:r>
          </w:p>
          <w:p w:rsidR="00041039" w:rsidRDefault="001B26CB">
            <w:pPr>
              <w:pStyle w:val="TableParagraph"/>
              <w:numPr>
                <w:ilvl w:val="0"/>
                <w:numId w:val="853"/>
              </w:numPr>
              <w:tabs>
                <w:tab w:val="left" w:pos="157"/>
              </w:tabs>
              <w:spacing w:line="153" w:lineRule="exact"/>
              <w:ind w:hanging="99"/>
              <w:rPr>
                <w:sz w:val="14"/>
              </w:rPr>
            </w:pPr>
            <w:r>
              <w:rPr>
                <w:color w:val="231F20"/>
                <w:sz w:val="14"/>
              </w:rPr>
              <w:t>Способности</w:t>
            </w:r>
            <w:r>
              <w:rPr>
                <w:color w:val="231F20"/>
                <w:spacing w:val="-1"/>
                <w:sz w:val="14"/>
              </w:rPr>
              <w:t xml:space="preserve"> </w:t>
            </w:r>
            <w:r>
              <w:rPr>
                <w:color w:val="231F20"/>
                <w:sz w:val="14"/>
              </w:rPr>
              <w:t>разлико­</w:t>
            </w:r>
          </w:p>
          <w:p w:rsidR="00041039" w:rsidRDefault="001B26CB">
            <w:pPr>
              <w:pStyle w:val="TableParagraph"/>
              <w:spacing w:before="2" w:line="160" w:lineRule="exact"/>
              <w:ind w:right="20"/>
              <w:rPr>
                <w:sz w:val="14"/>
              </w:rPr>
            </w:pPr>
            <w:r>
              <w:rPr>
                <w:color w:val="231F20"/>
                <w:sz w:val="14"/>
              </w:rPr>
              <w:t>вања боје звука разли­ читих инструмената као и њихових састава.</w:t>
            </w:r>
          </w:p>
        </w:tc>
        <w:tc>
          <w:tcPr>
            <w:tcW w:w="2551" w:type="dxa"/>
          </w:tcPr>
          <w:p w:rsidR="00041039" w:rsidRDefault="001B26CB">
            <w:pPr>
              <w:pStyle w:val="TableParagraph"/>
              <w:numPr>
                <w:ilvl w:val="0"/>
                <w:numId w:val="852"/>
              </w:numPr>
              <w:tabs>
                <w:tab w:val="left" w:pos="157"/>
              </w:tabs>
              <w:spacing w:before="12"/>
              <w:ind w:right="163" w:hanging="99"/>
              <w:rPr>
                <w:sz w:val="14"/>
              </w:rPr>
            </w:pPr>
            <w:r>
              <w:rPr>
                <w:color w:val="231F20"/>
                <w:sz w:val="14"/>
              </w:rPr>
              <w:t>препознаје критеријуме који се од­ носе на начине настајања</w:t>
            </w:r>
            <w:r>
              <w:rPr>
                <w:color w:val="231F20"/>
                <w:spacing w:val="-20"/>
                <w:sz w:val="14"/>
              </w:rPr>
              <w:t xml:space="preserve"> </w:t>
            </w:r>
            <w:r>
              <w:rPr>
                <w:color w:val="231F20"/>
                <w:sz w:val="14"/>
              </w:rPr>
              <w:t>мелодијско ритмичких образаца различитих музичких</w:t>
            </w:r>
            <w:r>
              <w:rPr>
                <w:color w:val="231F20"/>
                <w:spacing w:val="-1"/>
                <w:sz w:val="14"/>
              </w:rPr>
              <w:t xml:space="preserve"> </w:t>
            </w:r>
            <w:r>
              <w:rPr>
                <w:color w:val="231F20"/>
                <w:sz w:val="14"/>
              </w:rPr>
              <w:t>жанрова;</w:t>
            </w:r>
          </w:p>
          <w:p w:rsidR="00041039" w:rsidRDefault="001B26CB">
            <w:pPr>
              <w:pStyle w:val="TableParagraph"/>
              <w:numPr>
                <w:ilvl w:val="0"/>
                <w:numId w:val="852"/>
              </w:numPr>
              <w:tabs>
                <w:tab w:val="left" w:pos="157"/>
              </w:tabs>
              <w:spacing w:line="156" w:lineRule="exact"/>
              <w:ind w:hanging="99"/>
              <w:rPr>
                <w:sz w:val="14"/>
              </w:rPr>
            </w:pPr>
            <w:r>
              <w:rPr>
                <w:color w:val="231F20"/>
                <w:sz w:val="14"/>
              </w:rPr>
              <w:t>разликује боју звука</w:t>
            </w:r>
            <w:r>
              <w:rPr>
                <w:color w:val="231F20"/>
                <w:spacing w:val="-3"/>
                <w:sz w:val="14"/>
              </w:rPr>
              <w:t xml:space="preserve"> </w:t>
            </w:r>
            <w:r>
              <w:rPr>
                <w:color w:val="231F20"/>
                <w:sz w:val="14"/>
              </w:rPr>
              <w:t>различитих</w:t>
            </w:r>
          </w:p>
          <w:p w:rsidR="00041039" w:rsidRDefault="001B26CB">
            <w:pPr>
              <w:pStyle w:val="TableParagraph"/>
              <w:rPr>
                <w:sz w:val="14"/>
              </w:rPr>
            </w:pPr>
            <w:r>
              <w:rPr>
                <w:color w:val="231F20"/>
                <w:sz w:val="14"/>
              </w:rPr>
              <w:t>инструмената, као и њихов визуелни изглед;</w:t>
            </w:r>
          </w:p>
          <w:p w:rsidR="00041039" w:rsidRDefault="001B26CB">
            <w:pPr>
              <w:pStyle w:val="TableParagraph"/>
              <w:numPr>
                <w:ilvl w:val="0"/>
                <w:numId w:val="852"/>
              </w:numPr>
              <w:tabs>
                <w:tab w:val="left" w:pos="157"/>
              </w:tabs>
              <w:spacing w:line="160" w:lineRule="exact"/>
              <w:ind w:right="44" w:hanging="99"/>
              <w:rPr>
                <w:sz w:val="14"/>
              </w:rPr>
            </w:pPr>
            <w:r>
              <w:rPr>
                <w:color w:val="231F20"/>
                <w:sz w:val="14"/>
              </w:rPr>
              <w:t xml:space="preserve">разликује саставе извођача (соло </w:t>
            </w:r>
            <w:r>
              <w:rPr>
                <w:color w:val="231F20"/>
                <w:spacing w:val="-3"/>
                <w:sz w:val="14"/>
              </w:rPr>
              <w:t xml:space="preserve">глас </w:t>
            </w:r>
            <w:r>
              <w:rPr>
                <w:color w:val="231F20"/>
                <w:sz w:val="14"/>
              </w:rPr>
              <w:t>– хор, соло инструмент ­ камерни</w:t>
            </w:r>
            <w:r>
              <w:rPr>
                <w:color w:val="231F20"/>
                <w:spacing w:val="-15"/>
                <w:sz w:val="14"/>
              </w:rPr>
              <w:t xml:space="preserve"> </w:t>
            </w:r>
            <w:r>
              <w:rPr>
                <w:color w:val="231F20"/>
                <w:sz w:val="14"/>
              </w:rPr>
              <w:t>састав</w:t>
            </w:r>
          </w:p>
          <w:p w:rsidR="00041039" w:rsidRDefault="001B26CB">
            <w:pPr>
              <w:pStyle w:val="TableParagraph"/>
              <w:spacing w:line="158" w:lineRule="exact"/>
              <w:rPr>
                <w:sz w:val="14"/>
              </w:rPr>
            </w:pPr>
            <w:r>
              <w:rPr>
                <w:color w:val="231F20"/>
                <w:sz w:val="14"/>
              </w:rPr>
              <w:t>- оркестар);</w:t>
            </w:r>
          </w:p>
        </w:tc>
        <w:tc>
          <w:tcPr>
            <w:tcW w:w="2834" w:type="dxa"/>
          </w:tcPr>
          <w:p w:rsidR="00041039" w:rsidRDefault="001B26CB">
            <w:pPr>
              <w:pStyle w:val="TableParagraph"/>
              <w:spacing w:before="20" w:line="155" w:lineRule="exact"/>
              <w:ind w:left="57"/>
              <w:rPr>
                <w:b/>
                <w:sz w:val="14"/>
              </w:rPr>
            </w:pPr>
            <w:r>
              <w:rPr>
                <w:b/>
                <w:color w:val="231F20"/>
                <w:sz w:val="14"/>
              </w:rPr>
              <w:t>Џез и блуз:</w:t>
            </w:r>
          </w:p>
          <w:p w:rsidR="00041039" w:rsidRDefault="001B26CB">
            <w:pPr>
              <w:pStyle w:val="TableParagraph"/>
              <w:numPr>
                <w:ilvl w:val="0"/>
                <w:numId w:val="851"/>
              </w:numPr>
              <w:tabs>
                <w:tab w:val="left" w:pos="158"/>
              </w:tabs>
              <w:spacing w:line="237" w:lineRule="auto"/>
              <w:ind w:right="299"/>
              <w:rPr>
                <w:sz w:val="14"/>
              </w:rPr>
            </w:pPr>
            <w:r>
              <w:rPr>
                <w:color w:val="231F20"/>
                <w:sz w:val="14"/>
              </w:rPr>
              <w:t>Луис Армстронг, Мајлс Дејвис, Били Холидеј, Џон Колтрејн, Чарли Паркер, Јован Маљоковић, Шабан</w:t>
            </w:r>
            <w:r>
              <w:rPr>
                <w:color w:val="231F20"/>
                <w:spacing w:val="-24"/>
                <w:sz w:val="14"/>
              </w:rPr>
              <w:t xml:space="preserve"> </w:t>
            </w:r>
            <w:r>
              <w:rPr>
                <w:color w:val="231F20"/>
                <w:sz w:val="14"/>
              </w:rPr>
              <w:t>Бајрамовић...</w:t>
            </w:r>
          </w:p>
          <w:p w:rsidR="00041039" w:rsidRDefault="001B26CB">
            <w:pPr>
              <w:pStyle w:val="TableParagraph"/>
              <w:spacing w:line="155" w:lineRule="exact"/>
              <w:ind w:left="57"/>
              <w:rPr>
                <w:b/>
                <w:sz w:val="14"/>
              </w:rPr>
            </w:pPr>
            <w:r>
              <w:rPr>
                <w:b/>
                <w:color w:val="231F20"/>
                <w:sz w:val="14"/>
              </w:rPr>
              <w:t>Филм:</w:t>
            </w:r>
          </w:p>
          <w:p w:rsidR="00041039" w:rsidRDefault="001B26CB">
            <w:pPr>
              <w:pStyle w:val="TableParagraph"/>
              <w:numPr>
                <w:ilvl w:val="0"/>
                <w:numId w:val="851"/>
              </w:numPr>
              <w:tabs>
                <w:tab w:val="left" w:pos="158"/>
              </w:tabs>
              <w:spacing w:line="165" w:lineRule="exact"/>
              <w:rPr>
                <w:sz w:val="14"/>
              </w:rPr>
            </w:pPr>
            <w:r>
              <w:rPr>
                <w:color w:val="231F20"/>
                <w:spacing w:val="-3"/>
                <w:sz w:val="14"/>
              </w:rPr>
              <w:t>Моцарт.</w:t>
            </w:r>
          </w:p>
          <w:p w:rsidR="00041039" w:rsidRDefault="001B26CB">
            <w:pPr>
              <w:pStyle w:val="TableParagraph"/>
              <w:spacing w:line="155" w:lineRule="exact"/>
              <w:ind w:left="57"/>
              <w:rPr>
                <w:b/>
                <w:sz w:val="14"/>
              </w:rPr>
            </w:pPr>
            <w:r>
              <w:rPr>
                <w:b/>
                <w:color w:val="231F20"/>
                <w:sz w:val="14"/>
              </w:rPr>
              <w:t>Филмска музика:</w:t>
            </w:r>
          </w:p>
          <w:p w:rsidR="00041039" w:rsidRDefault="001B26CB">
            <w:pPr>
              <w:pStyle w:val="TableParagraph"/>
              <w:numPr>
                <w:ilvl w:val="0"/>
                <w:numId w:val="851"/>
              </w:numPr>
              <w:tabs>
                <w:tab w:val="left" w:pos="158"/>
              </w:tabs>
              <w:spacing w:line="237" w:lineRule="auto"/>
              <w:ind w:right="146"/>
              <w:rPr>
                <w:sz w:val="14"/>
              </w:rPr>
            </w:pPr>
            <w:r>
              <w:rPr>
                <w:color w:val="231F20"/>
                <w:sz w:val="14"/>
              </w:rPr>
              <w:t>Е. Мориконе: музика из филмова:</w:t>
            </w:r>
            <w:r>
              <w:rPr>
                <w:color w:val="231F20"/>
                <w:spacing w:val="-26"/>
                <w:sz w:val="14"/>
              </w:rPr>
              <w:t xml:space="preserve"> </w:t>
            </w:r>
            <w:r>
              <w:rPr>
                <w:i/>
                <w:color w:val="231F20"/>
                <w:sz w:val="14"/>
              </w:rPr>
              <w:t>Амелија Пулен, Титаник, Ватрене улице,</w:t>
            </w:r>
            <w:r>
              <w:rPr>
                <w:i/>
                <w:color w:val="231F20"/>
                <w:spacing w:val="-7"/>
                <w:sz w:val="14"/>
              </w:rPr>
              <w:t xml:space="preserve"> </w:t>
            </w:r>
            <w:r>
              <w:rPr>
                <w:i/>
                <w:color w:val="231F20"/>
                <w:sz w:val="14"/>
              </w:rPr>
              <w:t>Клавир</w:t>
            </w:r>
            <w:r>
              <w:rPr>
                <w:color w:val="231F20"/>
                <w:sz w:val="14"/>
              </w:rPr>
              <w:t>...</w:t>
            </w:r>
          </w:p>
        </w:tc>
        <w:tc>
          <w:tcPr>
            <w:tcW w:w="2267" w:type="dxa"/>
            <w:tcBorders>
              <w:top w:val="nil"/>
            </w:tcBorders>
          </w:tcPr>
          <w:p w:rsidR="00041039" w:rsidRDefault="00041039">
            <w:pPr>
              <w:pStyle w:val="TableParagraph"/>
              <w:ind w:left="0"/>
              <w:rPr>
                <w:sz w:val="14"/>
              </w:rPr>
            </w:pPr>
          </w:p>
        </w:tc>
      </w:tr>
    </w:tbl>
    <w:p w:rsidR="00041039" w:rsidRDefault="00041039">
      <w:pPr>
        <w:rPr>
          <w:sz w:val="14"/>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20"/>
        </w:trPr>
        <w:tc>
          <w:tcPr>
            <w:tcW w:w="1304" w:type="dxa"/>
          </w:tcPr>
          <w:p w:rsidR="00041039" w:rsidRDefault="001B26CB">
            <w:pPr>
              <w:pStyle w:val="TableParagraph"/>
              <w:spacing w:before="18"/>
              <w:ind w:left="56"/>
              <w:rPr>
                <w:sz w:val="14"/>
              </w:rPr>
            </w:pPr>
            <w:r>
              <w:rPr>
                <w:color w:val="231F20"/>
                <w:sz w:val="14"/>
              </w:rPr>
              <w:lastRenderedPageBreak/>
              <w:t>Хорско певање</w:t>
            </w:r>
          </w:p>
        </w:tc>
        <w:tc>
          <w:tcPr>
            <w:tcW w:w="1587" w:type="dxa"/>
          </w:tcPr>
          <w:p w:rsidR="00041039" w:rsidRDefault="001B26CB">
            <w:pPr>
              <w:pStyle w:val="TableParagraph"/>
              <w:numPr>
                <w:ilvl w:val="0"/>
                <w:numId w:val="850"/>
              </w:numPr>
              <w:tabs>
                <w:tab w:val="left" w:pos="157"/>
              </w:tabs>
              <w:spacing w:before="8"/>
              <w:ind w:right="112"/>
              <w:rPr>
                <w:sz w:val="14"/>
              </w:rPr>
            </w:pPr>
            <w:r>
              <w:rPr>
                <w:color w:val="231F20"/>
                <w:sz w:val="14"/>
              </w:rPr>
              <w:t>Оспособљавање ученика за</w:t>
            </w:r>
            <w:r>
              <w:rPr>
                <w:color w:val="231F20"/>
                <w:spacing w:val="-16"/>
                <w:sz w:val="14"/>
              </w:rPr>
              <w:t xml:space="preserve"> </w:t>
            </w:r>
            <w:r>
              <w:rPr>
                <w:color w:val="231F20"/>
                <w:sz w:val="14"/>
              </w:rPr>
              <w:t>заједничко извођење.</w:t>
            </w:r>
          </w:p>
        </w:tc>
        <w:tc>
          <w:tcPr>
            <w:tcW w:w="2551" w:type="dxa"/>
          </w:tcPr>
          <w:p w:rsidR="00041039" w:rsidRDefault="001B26CB">
            <w:pPr>
              <w:pStyle w:val="TableParagraph"/>
              <w:numPr>
                <w:ilvl w:val="0"/>
                <w:numId w:val="849"/>
              </w:numPr>
              <w:tabs>
                <w:tab w:val="left" w:pos="157"/>
              </w:tabs>
              <w:spacing w:before="8"/>
              <w:ind w:right="79" w:hanging="99"/>
              <w:rPr>
                <w:sz w:val="14"/>
              </w:rPr>
            </w:pPr>
            <w:r>
              <w:rPr>
                <w:color w:val="231F20"/>
                <w:sz w:val="14"/>
              </w:rPr>
              <w:t>препознаје и реализује елементе</w:t>
            </w:r>
            <w:r>
              <w:rPr>
                <w:color w:val="231F20"/>
                <w:spacing w:val="-17"/>
                <w:sz w:val="14"/>
              </w:rPr>
              <w:t xml:space="preserve"> </w:t>
            </w:r>
            <w:r>
              <w:rPr>
                <w:color w:val="231F20"/>
                <w:sz w:val="14"/>
              </w:rPr>
              <w:t>зајед­ ничког</w:t>
            </w:r>
            <w:r>
              <w:rPr>
                <w:color w:val="231F20"/>
                <w:spacing w:val="-1"/>
                <w:sz w:val="14"/>
              </w:rPr>
              <w:t xml:space="preserve"> </w:t>
            </w:r>
            <w:r>
              <w:rPr>
                <w:color w:val="231F20"/>
                <w:sz w:val="14"/>
              </w:rPr>
              <w:t>музицирања;</w:t>
            </w:r>
          </w:p>
        </w:tc>
        <w:tc>
          <w:tcPr>
            <w:tcW w:w="2834" w:type="dxa"/>
          </w:tcPr>
          <w:p w:rsidR="00041039" w:rsidRDefault="001B26CB">
            <w:pPr>
              <w:pStyle w:val="TableParagraph"/>
              <w:numPr>
                <w:ilvl w:val="0"/>
                <w:numId w:val="848"/>
              </w:numPr>
              <w:tabs>
                <w:tab w:val="left" w:pos="157"/>
              </w:tabs>
              <w:spacing w:before="8"/>
              <w:ind w:right="102" w:hanging="99"/>
              <w:rPr>
                <w:sz w:val="14"/>
              </w:rPr>
            </w:pPr>
            <w:r>
              <w:rPr>
                <w:color w:val="231F20"/>
                <w:sz w:val="14"/>
              </w:rPr>
              <w:t>Слободан избор композиција према</w:t>
            </w:r>
            <w:r>
              <w:rPr>
                <w:color w:val="231F20"/>
                <w:spacing w:val="-23"/>
                <w:sz w:val="14"/>
              </w:rPr>
              <w:t xml:space="preserve"> </w:t>
            </w:r>
            <w:r>
              <w:rPr>
                <w:color w:val="231F20"/>
                <w:sz w:val="14"/>
              </w:rPr>
              <w:t>могућ­ ностима</w:t>
            </w:r>
            <w:r>
              <w:rPr>
                <w:color w:val="231F20"/>
                <w:spacing w:val="-1"/>
                <w:sz w:val="14"/>
              </w:rPr>
              <w:t xml:space="preserve"> </w:t>
            </w:r>
            <w:r>
              <w:rPr>
                <w:color w:val="231F20"/>
                <w:sz w:val="14"/>
              </w:rPr>
              <w:t>извођача.</w:t>
            </w:r>
          </w:p>
        </w:tc>
        <w:tc>
          <w:tcPr>
            <w:tcW w:w="2267" w:type="dxa"/>
          </w:tcPr>
          <w:p w:rsidR="00041039" w:rsidRDefault="00041039">
            <w:pPr>
              <w:pStyle w:val="TableParagraph"/>
              <w:ind w:left="0"/>
              <w:rPr>
                <w:sz w:val="14"/>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1"/>
          <w:numId w:val="976"/>
        </w:numPr>
        <w:tabs>
          <w:tab w:val="left" w:pos="633"/>
        </w:tabs>
        <w:rPr>
          <w:sz w:val="18"/>
        </w:rPr>
      </w:pPr>
      <w:r>
        <w:rPr>
          <w:color w:val="231F20"/>
          <w:sz w:val="18"/>
        </w:rPr>
        <w:t>Историја</w:t>
      </w:r>
    </w:p>
    <w:p w:rsidR="00041039" w:rsidRDefault="001B26CB">
      <w:pPr>
        <w:pStyle w:val="ListParagraph"/>
        <w:numPr>
          <w:ilvl w:val="1"/>
          <w:numId w:val="976"/>
        </w:numPr>
        <w:tabs>
          <w:tab w:val="left" w:pos="633"/>
        </w:tabs>
        <w:spacing w:line="203" w:lineRule="exact"/>
        <w:rPr>
          <w:sz w:val="18"/>
        </w:rPr>
      </w:pPr>
      <w:r>
        <w:rPr>
          <w:color w:val="231F20"/>
          <w:spacing w:val="-3"/>
          <w:sz w:val="18"/>
        </w:rPr>
        <w:t>Физичко</w:t>
      </w:r>
      <w:r>
        <w:rPr>
          <w:color w:val="231F20"/>
          <w:sz w:val="18"/>
        </w:rPr>
        <w:t xml:space="preserve"> васпитање</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ЛОГИКА </w:t>
      </w:r>
      <w:r>
        <w:rPr>
          <w:b/>
          <w:color w:val="231F20"/>
          <w:spacing w:val="-4"/>
          <w:sz w:val="14"/>
        </w:rPr>
        <w:t>СА</w:t>
      </w:r>
      <w:r>
        <w:rPr>
          <w:b/>
          <w:color w:val="231F20"/>
          <w:spacing w:val="-2"/>
          <w:sz w:val="14"/>
        </w:rPr>
        <w:t xml:space="preserve"> </w:t>
      </w:r>
      <w:r>
        <w:rPr>
          <w:b/>
          <w:color w:val="231F20"/>
          <w:sz w:val="14"/>
        </w:rPr>
        <w:t>ЕТИКОМ</w:t>
      </w:r>
    </w:p>
    <w:p w:rsidR="00041039" w:rsidRDefault="001B26CB">
      <w:pPr>
        <w:pStyle w:val="BodyText"/>
        <w:spacing w:before="49" w:line="161" w:lineRule="exact"/>
        <w:ind w:left="157"/>
      </w:pPr>
      <w:r>
        <w:rPr>
          <w:color w:val="231F20"/>
        </w:rPr>
        <w:t>Циљеви предмета: – Стицање основних знањао логици и етици и схватање значаја тих знања за јасно размишљање и развој личности;</w:t>
      </w:r>
    </w:p>
    <w:p w:rsidR="00041039" w:rsidRDefault="001B26CB">
      <w:pPr>
        <w:pStyle w:val="ListParagraph"/>
        <w:numPr>
          <w:ilvl w:val="2"/>
          <w:numId w:val="976"/>
        </w:numPr>
        <w:tabs>
          <w:tab w:val="left" w:pos="1566"/>
        </w:tabs>
        <w:spacing w:line="160" w:lineRule="exact"/>
        <w:rPr>
          <w:sz w:val="14"/>
        </w:rPr>
      </w:pPr>
      <w:r>
        <w:rPr>
          <w:color w:val="231F20"/>
          <w:sz w:val="14"/>
        </w:rPr>
        <w:t xml:space="preserve">Упознавање са елементима и законима логике и разумевање </w:t>
      </w:r>
      <w:r>
        <w:rPr>
          <w:color w:val="231F20"/>
          <w:spacing w:val="-3"/>
          <w:sz w:val="14"/>
        </w:rPr>
        <w:t xml:space="preserve">улоге </w:t>
      </w:r>
      <w:r>
        <w:rPr>
          <w:color w:val="231F20"/>
          <w:sz w:val="14"/>
        </w:rPr>
        <w:t>коју логика има у науци и свакодневном</w:t>
      </w:r>
      <w:r>
        <w:rPr>
          <w:color w:val="231F20"/>
          <w:spacing w:val="-18"/>
          <w:sz w:val="14"/>
        </w:rPr>
        <w:t xml:space="preserve"> </w:t>
      </w:r>
      <w:r>
        <w:rPr>
          <w:color w:val="231F20"/>
          <w:sz w:val="14"/>
        </w:rPr>
        <w:t>животу;</w:t>
      </w:r>
    </w:p>
    <w:p w:rsidR="00041039" w:rsidRDefault="001B26CB">
      <w:pPr>
        <w:pStyle w:val="ListParagraph"/>
        <w:numPr>
          <w:ilvl w:val="2"/>
          <w:numId w:val="976"/>
        </w:numPr>
        <w:tabs>
          <w:tab w:val="left" w:pos="1566"/>
        </w:tabs>
        <w:spacing w:line="160" w:lineRule="exact"/>
        <w:rPr>
          <w:sz w:val="14"/>
        </w:rPr>
      </w:pPr>
      <w:r>
        <w:rPr>
          <w:color w:val="231F20"/>
          <w:sz w:val="14"/>
        </w:rPr>
        <w:t>Разумевање појмова који се јављају у етичким расправама и развијање сензибилитета за етичка питања савременог</w:t>
      </w:r>
      <w:r>
        <w:rPr>
          <w:color w:val="231F20"/>
          <w:spacing w:val="-10"/>
          <w:sz w:val="14"/>
        </w:rPr>
        <w:t xml:space="preserve"> </w:t>
      </w:r>
      <w:r>
        <w:rPr>
          <w:color w:val="231F20"/>
          <w:sz w:val="14"/>
        </w:rPr>
        <w:t>друштва;</w:t>
      </w:r>
    </w:p>
    <w:p w:rsidR="00041039" w:rsidRDefault="001B26CB">
      <w:pPr>
        <w:pStyle w:val="ListParagraph"/>
        <w:numPr>
          <w:ilvl w:val="2"/>
          <w:numId w:val="976"/>
        </w:numPr>
        <w:tabs>
          <w:tab w:val="left" w:pos="1566"/>
        </w:tabs>
        <w:spacing w:line="161" w:lineRule="exact"/>
        <w:rPr>
          <w:sz w:val="14"/>
        </w:rPr>
      </w:pPr>
      <w:r>
        <w:rPr>
          <w:color w:val="231F20"/>
          <w:sz w:val="14"/>
        </w:rPr>
        <w:t>Оспособљавање ученика за самостално, критичко размишљање и формирање ставова о друштвеним</w:t>
      </w:r>
      <w:r>
        <w:rPr>
          <w:color w:val="231F20"/>
          <w:spacing w:val="-8"/>
          <w:sz w:val="14"/>
        </w:rPr>
        <w:t xml:space="preserve"> </w:t>
      </w:r>
      <w:r>
        <w:rPr>
          <w:color w:val="231F20"/>
          <w:sz w:val="14"/>
        </w:rPr>
        <w:t>проблемима.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0" w:right="430"/>
              <w:jc w:val="right"/>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800"/>
        </w:trPr>
        <w:tc>
          <w:tcPr>
            <w:tcW w:w="1304" w:type="dxa"/>
          </w:tcPr>
          <w:p w:rsidR="00041039" w:rsidRDefault="001B26CB">
            <w:pPr>
              <w:pStyle w:val="TableParagraph"/>
              <w:spacing w:before="18"/>
              <w:ind w:left="0" w:right="401"/>
              <w:jc w:val="right"/>
              <w:rPr>
                <w:sz w:val="14"/>
              </w:rPr>
            </w:pPr>
            <w:r>
              <w:rPr>
                <w:color w:val="231F20"/>
                <w:sz w:val="14"/>
              </w:rPr>
              <w:t>Увод у логику</w:t>
            </w:r>
          </w:p>
        </w:tc>
        <w:tc>
          <w:tcPr>
            <w:tcW w:w="1587" w:type="dxa"/>
          </w:tcPr>
          <w:p w:rsidR="00041039" w:rsidRDefault="001B26CB">
            <w:pPr>
              <w:pStyle w:val="TableParagraph"/>
              <w:numPr>
                <w:ilvl w:val="0"/>
                <w:numId w:val="847"/>
              </w:numPr>
              <w:tabs>
                <w:tab w:val="left" w:pos="157"/>
              </w:tabs>
              <w:spacing w:before="8"/>
              <w:ind w:right="287"/>
              <w:rPr>
                <w:sz w:val="14"/>
              </w:rPr>
            </w:pPr>
            <w:r>
              <w:rPr>
                <w:color w:val="231F20"/>
                <w:spacing w:val="-3"/>
                <w:sz w:val="14"/>
              </w:rPr>
              <w:t xml:space="preserve">Увођење </w:t>
            </w:r>
            <w:r>
              <w:rPr>
                <w:color w:val="231F20"/>
                <w:sz w:val="14"/>
              </w:rPr>
              <w:t>ученика у предмет</w:t>
            </w:r>
            <w:r>
              <w:rPr>
                <w:color w:val="231F20"/>
                <w:spacing w:val="-2"/>
                <w:sz w:val="14"/>
              </w:rPr>
              <w:t xml:space="preserve"> </w:t>
            </w:r>
            <w:r>
              <w:rPr>
                <w:color w:val="231F20"/>
                <w:sz w:val="14"/>
              </w:rPr>
              <w:t>логике.</w:t>
            </w:r>
          </w:p>
        </w:tc>
        <w:tc>
          <w:tcPr>
            <w:tcW w:w="2551" w:type="dxa"/>
          </w:tcPr>
          <w:p w:rsidR="00041039" w:rsidRDefault="001B26CB">
            <w:pPr>
              <w:pStyle w:val="TableParagraph"/>
              <w:numPr>
                <w:ilvl w:val="0"/>
                <w:numId w:val="846"/>
              </w:numPr>
              <w:tabs>
                <w:tab w:val="left" w:pos="157"/>
              </w:tabs>
              <w:spacing w:before="8"/>
              <w:ind w:right="60" w:hanging="99"/>
              <w:rPr>
                <w:sz w:val="14"/>
              </w:rPr>
            </w:pPr>
            <w:r>
              <w:rPr>
                <w:color w:val="231F20"/>
                <w:sz w:val="14"/>
              </w:rPr>
              <w:t>препозна и сам већ користи логику</w:t>
            </w:r>
            <w:r>
              <w:rPr>
                <w:color w:val="231F20"/>
                <w:spacing w:val="-24"/>
                <w:sz w:val="14"/>
              </w:rPr>
              <w:t xml:space="preserve"> </w:t>
            </w:r>
            <w:r>
              <w:rPr>
                <w:color w:val="231F20"/>
                <w:sz w:val="14"/>
              </w:rPr>
              <w:t>као и</w:t>
            </w:r>
            <w:r>
              <w:rPr>
                <w:color w:val="231F20"/>
                <w:spacing w:val="-2"/>
                <w:sz w:val="14"/>
              </w:rPr>
              <w:t xml:space="preserve"> </w:t>
            </w:r>
            <w:r>
              <w:rPr>
                <w:color w:val="231F20"/>
                <w:sz w:val="14"/>
              </w:rPr>
              <w:t>граматику;</w:t>
            </w:r>
          </w:p>
          <w:p w:rsidR="00041039" w:rsidRDefault="001B26CB">
            <w:pPr>
              <w:pStyle w:val="TableParagraph"/>
              <w:numPr>
                <w:ilvl w:val="0"/>
                <w:numId w:val="846"/>
              </w:numPr>
              <w:tabs>
                <w:tab w:val="left" w:pos="157"/>
              </w:tabs>
              <w:spacing w:line="160" w:lineRule="exact"/>
              <w:ind w:right="52" w:hanging="99"/>
              <w:rPr>
                <w:sz w:val="14"/>
              </w:rPr>
            </w:pPr>
            <w:r>
              <w:rPr>
                <w:color w:val="231F20"/>
                <w:sz w:val="14"/>
              </w:rPr>
              <w:t xml:space="preserve">разликује мишљење </w:t>
            </w:r>
            <w:r>
              <w:rPr>
                <w:color w:val="231F20"/>
                <w:spacing w:val="-3"/>
                <w:sz w:val="14"/>
              </w:rPr>
              <w:t xml:space="preserve">од </w:t>
            </w:r>
            <w:r>
              <w:rPr>
                <w:color w:val="231F20"/>
                <w:sz w:val="14"/>
              </w:rPr>
              <w:t>маште, надања, опажања и наводи примере из свако­ дневног</w:t>
            </w:r>
            <w:r>
              <w:rPr>
                <w:color w:val="231F20"/>
                <w:spacing w:val="-1"/>
                <w:sz w:val="14"/>
              </w:rPr>
              <w:t xml:space="preserve"> </w:t>
            </w:r>
            <w:r>
              <w:rPr>
                <w:color w:val="231F20"/>
                <w:sz w:val="14"/>
              </w:rPr>
              <w:t>живота;</w:t>
            </w:r>
          </w:p>
          <w:p w:rsidR="00041039" w:rsidRDefault="001B26CB">
            <w:pPr>
              <w:pStyle w:val="TableParagraph"/>
              <w:numPr>
                <w:ilvl w:val="0"/>
                <w:numId w:val="846"/>
              </w:numPr>
              <w:tabs>
                <w:tab w:val="left" w:pos="157"/>
              </w:tabs>
              <w:spacing w:line="160" w:lineRule="exact"/>
              <w:ind w:right="198" w:hanging="99"/>
              <w:rPr>
                <w:sz w:val="14"/>
              </w:rPr>
            </w:pPr>
            <w:r>
              <w:rPr>
                <w:color w:val="231F20"/>
                <w:sz w:val="14"/>
              </w:rPr>
              <w:t>искаже дефиницију логике, разуме</w:t>
            </w:r>
            <w:r>
              <w:rPr>
                <w:color w:val="231F20"/>
                <w:spacing w:val="-18"/>
                <w:sz w:val="14"/>
              </w:rPr>
              <w:t xml:space="preserve"> </w:t>
            </w:r>
            <w:r>
              <w:rPr>
                <w:color w:val="231F20"/>
                <w:sz w:val="14"/>
              </w:rPr>
              <w:t>и опише у чему се састоји формални карактер</w:t>
            </w:r>
            <w:r>
              <w:rPr>
                <w:color w:val="231F20"/>
                <w:spacing w:val="-1"/>
                <w:sz w:val="14"/>
              </w:rPr>
              <w:t xml:space="preserve"> </w:t>
            </w:r>
            <w:r>
              <w:rPr>
                <w:color w:val="231F20"/>
                <w:sz w:val="14"/>
              </w:rPr>
              <w:t>логике;</w:t>
            </w:r>
          </w:p>
          <w:p w:rsidR="00041039" w:rsidRDefault="001B26CB">
            <w:pPr>
              <w:pStyle w:val="TableParagraph"/>
              <w:numPr>
                <w:ilvl w:val="0"/>
                <w:numId w:val="846"/>
              </w:numPr>
              <w:tabs>
                <w:tab w:val="left" w:pos="157"/>
              </w:tabs>
              <w:spacing w:line="160" w:lineRule="exact"/>
              <w:ind w:right="88" w:hanging="99"/>
              <w:jc w:val="both"/>
              <w:rPr>
                <w:sz w:val="14"/>
              </w:rPr>
            </w:pPr>
            <w:r>
              <w:rPr>
                <w:color w:val="231F20"/>
                <w:sz w:val="14"/>
              </w:rPr>
              <w:t xml:space="preserve">разликује принципе мишљења, наведе примере за основне логичке принципе и симболички </w:t>
            </w:r>
            <w:r>
              <w:rPr>
                <w:color w:val="231F20"/>
                <w:sz w:val="14"/>
              </w:rPr>
              <w:t>их</w:t>
            </w:r>
            <w:r>
              <w:rPr>
                <w:color w:val="231F20"/>
                <w:spacing w:val="-6"/>
                <w:sz w:val="14"/>
              </w:rPr>
              <w:t xml:space="preserve"> </w:t>
            </w:r>
            <w:r>
              <w:rPr>
                <w:color w:val="231F20"/>
                <w:sz w:val="14"/>
              </w:rPr>
              <w:t>приказује;</w:t>
            </w:r>
          </w:p>
        </w:tc>
        <w:tc>
          <w:tcPr>
            <w:tcW w:w="2834" w:type="dxa"/>
          </w:tcPr>
          <w:p w:rsidR="00041039" w:rsidRDefault="001B26CB">
            <w:pPr>
              <w:pStyle w:val="TableParagraph"/>
              <w:numPr>
                <w:ilvl w:val="0"/>
                <w:numId w:val="845"/>
              </w:numPr>
              <w:tabs>
                <w:tab w:val="left" w:pos="157"/>
              </w:tabs>
              <w:spacing w:before="8" w:line="166" w:lineRule="exact"/>
              <w:ind w:hanging="99"/>
              <w:rPr>
                <w:sz w:val="14"/>
              </w:rPr>
            </w:pPr>
            <w:r>
              <w:rPr>
                <w:color w:val="231F20"/>
                <w:sz w:val="14"/>
              </w:rPr>
              <w:t>Појам и подела</w:t>
            </w:r>
            <w:r>
              <w:rPr>
                <w:color w:val="231F20"/>
                <w:spacing w:val="-4"/>
                <w:sz w:val="14"/>
              </w:rPr>
              <w:t xml:space="preserve"> </w:t>
            </w:r>
            <w:r>
              <w:rPr>
                <w:color w:val="231F20"/>
                <w:sz w:val="14"/>
              </w:rPr>
              <w:t>логике.</w:t>
            </w:r>
          </w:p>
          <w:p w:rsidR="00041039" w:rsidRDefault="001B26CB">
            <w:pPr>
              <w:pStyle w:val="TableParagraph"/>
              <w:numPr>
                <w:ilvl w:val="0"/>
                <w:numId w:val="845"/>
              </w:numPr>
              <w:tabs>
                <w:tab w:val="left" w:pos="157"/>
              </w:tabs>
              <w:spacing w:line="160" w:lineRule="exact"/>
              <w:ind w:hanging="99"/>
              <w:rPr>
                <w:sz w:val="14"/>
              </w:rPr>
            </w:pPr>
            <w:r>
              <w:rPr>
                <w:color w:val="231F20"/>
                <w:sz w:val="14"/>
              </w:rPr>
              <w:t xml:space="preserve">Логика као </w:t>
            </w:r>
            <w:r>
              <w:rPr>
                <w:color w:val="231F20"/>
                <w:spacing w:val="-3"/>
                <w:sz w:val="14"/>
              </w:rPr>
              <w:t xml:space="preserve">наука </w:t>
            </w:r>
            <w:r>
              <w:rPr>
                <w:color w:val="231F20"/>
                <w:sz w:val="14"/>
              </w:rPr>
              <w:t>о форми</w:t>
            </w:r>
            <w:r>
              <w:rPr>
                <w:color w:val="231F20"/>
                <w:spacing w:val="-7"/>
                <w:sz w:val="14"/>
              </w:rPr>
              <w:t xml:space="preserve"> </w:t>
            </w:r>
            <w:r>
              <w:rPr>
                <w:color w:val="231F20"/>
                <w:sz w:val="14"/>
              </w:rPr>
              <w:t>мишљења.</w:t>
            </w:r>
          </w:p>
          <w:p w:rsidR="00041039" w:rsidRDefault="001B26CB">
            <w:pPr>
              <w:pStyle w:val="TableParagraph"/>
              <w:numPr>
                <w:ilvl w:val="0"/>
                <w:numId w:val="845"/>
              </w:numPr>
              <w:tabs>
                <w:tab w:val="left" w:pos="157"/>
              </w:tabs>
              <w:spacing w:line="237" w:lineRule="auto"/>
              <w:ind w:right="109" w:hanging="99"/>
              <w:rPr>
                <w:sz w:val="14"/>
              </w:rPr>
            </w:pPr>
            <w:r>
              <w:rPr>
                <w:color w:val="231F20"/>
                <w:sz w:val="14"/>
              </w:rPr>
              <w:t>Основни</w:t>
            </w:r>
            <w:r>
              <w:rPr>
                <w:color w:val="231F20"/>
                <w:spacing w:val="-8"/>
                <w:sz w:val="14"/>
              </w:rPr>
              <w:t xml:space="preserve"> </w:t>
            </w:r>
            <w:r>
              <w:rPr>
                <w:color w:val="231F20"/>
                <w:sz w:val="14"/>
              </w:rPr>
              <w:t>логички</w:t>
            </w:r>
            <w:r>
              <w:rPr>
                <w:color w:val="231F20"/>
                <w:spacing w:val="-8"/>
                <w:sz w:val="14"/>
              </w:rPr>
              <w:t xml:space="preserve"> </w:t>
            </w:r>
            <w:r>
              <w:rPr>
                <w:color w:val="231F20"/>
                <w:sz w:val="14"/>
              </w:rPr>
              <w:t>принципи</w:t>
            </w:r>
            <w:r>
              <w:rPr>
                <w:color w:val="231F20"/>
                <w:spacing w:val="-8"/>
                <w:sz w:val="14"/>
              </w:rPr>
              <w:t xml:space="preserve"> </w:t>
            </w:r>
            <w:r>
              <w:rPr>
                <w:color w:val="231F20"/>
                <w:sz w:val="14"/>
              </w:rPr>
              <w:t>(идентитет,</w:t>
            </w:r>
            <w:r>
              <w:rPr>
                <w:color w:val="231F20"/>
                <w:spacing w:val="-7"/>
                <w:sz w:val="14"/>
              </w:rPr>
              <w:t xml:space="preserve"> </w:t>
            </w:r>
            <w:r>
              <w:rPr>
                <w:color w:val="231F20"/>
                <w:sz w:val="14"/>
              </w:rPr>
              <w:t>не противуречност и искључење</w:t>
            </w:r>
            <w:r>
              <w:rPr>
                <w:color w:val="231F20"/>
                <w:spacing w:val="-6"/>
                <w:sz w:val="14"/>
              </w:rPr>
              <w:t xml:space="preserve"> </w:t>
            </w:r>
            <w:r>
              <w:rPr>
                <w:color w:val="231F20"/>
                <w:sz w:val="14"/>
              </w:rPr>
              <w:t>трећег)</w:t>
            </w:r>
          </w:p>
        </w:tc>
        <w:tc>
          <w:tcPr>
            <w:tcW w:w="2267" w:type="dxa"/>
            <w:vMerge w:val="restart"/>
          </w:tcPr>
          <w:p w:rsidR="00041039" w:rsidRDefault="001B26CB">
            <w:pPr>
              <w:pStyle w:val="TableParagraph"/>
              <w:numPr>
                <w:ilvl w:val="0"/>
                <w:numId w:val="844"/>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844"/>
              </w:numPr>
              <w:tabs>
                <w:tab w:val="left" w:pos="158"/>
              </w:tabs>
              <w:spacing w:line="160" w:lineRule="exact"/>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844"/>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844"/>
              </w:numPr>
              <w:tabs>
                <w:tab w:val="left" w:pos="158"/>
              </w:tabs>
              <w:spacing w:before="1" w:line="160" w:lineRule="exact"/>
              <w:ind w:right="140" w:hanging="99"/>
              <w:rPr>
                <w:sz w:val="14"/>
              </w:rPr>
            </w:pPr>
            <w:r>
              <w:rPr>
                <w:color w:val="231F20"/>
                <w:sz w:val="14"/>
              </w:rPr>
              <w:t>дијалог са ученицима, самостал­ ни рад, организовање</w:t>
            </w:r>
            <w:r>
              <w:rPr>
                <w:color w:val="231F20"/>
                <w:spacing w:val="-4"/>
                <w:sz w:val="14"/>
              </w:rPr>
              <w:t xml:space="preserve"> </w:t>
            </w:r>
            <w:r>
              <w:rPr>
                <w:color w:val="231F20"/>
                <w:sz w:val="14"/>
              </w:rPr>
              <w:t>дебате;</w:t>
            </w:r>
          </w:p>
          <w:p w:rsidR="00041039" w:rsidRDefault="001B26CB">
            <w:pPr>
              <w:pStyle w:val="TableParagraph"/>
              <w:numPr>
                <w:ilvl w:val="0"/>
                <w:numId w:val="844"/>
              </w:numPr>
              <w:tabs>
                <w:tab w:val="left" w:pos="158"/>
              </w:tabs>
              <w:spacing w:line="160" w:lineRule="exact"/>
              <w:ind w:right="224" w:hanging="99"/>
              <w:rPr>
                <w:sz w:val="14"/>
              </w:rPr>
            </w:pPr>
            <w:r>
              <w:rPr>
                <w:color w:val="231F20"/>
                <w:sz w:val="14"/>
              </w:rPr>
              <w:t>користити актуелне примере</w:t>
            </w:r>
            <w:r>
              <w:rPr>
                <w:color w:val="231F20"/>
                <w:spacing w:val="-21"/>
                <w:sz w:val="14"/>
              </w:rPr>
              <w:t xml:space="preserve"> </w:t>
            </w:r>
            <w:r>
              <w:rPr>
                <w:color w:val="231F20"/>
                <w:sz w:val="14"/>
              </w:rPr>
              <w:t>из штампе и других</w:t>
            </w:r>
            <w:r>
              <w:rPr>
                <w:color w:val="231F20"/>
                <w:spacing w:val="-2"/>
                <w:sz w:val="14"/>
              </w:rPr>
              <w:t xml:space="preserve"> </w:t>
            </w:r>
            <w:r>
              <w:rPr>
                <w:color w:val="231F20"/>
                <w:sz w:val="14"/>
              </w:rPr>
              <w:t>медија;</w:t>
            </w:r>
          </w:p>
          <w:p w:rsidR="00041039" w:rsidRDefault="001B26CB">
            <w:pPr>
              <w:pStyle w:val="TableParagraph"/>
              <w:numPr>
                <w:ilvl w:val="0"/>
                <w:numId w:val="844"/>
              </w:numPr>
              <w:tabs>
                <w:tab w:val="left" w:pos="158"/>
              </w:tabs>
              <w:spacing w:line="160" w:lineRule="exact"/>
              <w:ind w:right="389" w:hanging="99"/>
              <w:rPr>
                <w:sz w:val="14"/>
              </w:rPr>
            </w:pPr>
            <w:r>
              <w:rPr>
                <w:color w:val="231F20"/>
                <w:sz w:val="14"/>
              </w:rPr>
              <w:t>користити актуелне</w:t>
            </w:r>
            <w:r>
              <w:rPr>
                <w:color w:val="231F20"/>
                <w:spacing w:val="-18"/>
                <w:sz w:val="14"/>
              </w:rPr>
              <w:t xml:space="preserve"> </w:t>
            </w:r>
            <w:r>
              <w:rPr>
                <w:color w:val="231F20"/>
                <w:sz w:val="14"/>
              </w:rPr>
              <w:t>примере везане за струку</w:t>
            </w:r>
            <w:r>
              <w:rPr>
                <w:color w:val="231F20"/>
                <w:spacing w:val="-6"/>
                <w:sz w:val="14"/>
              </w:rPr>
              <w:t xml:space="preserve"> </w:t>
            </w:r>
            <w:r>
              <w:rPr>
                <w:color w:val="231F20"/>
                <w:sz w:val="14"/>
              </w:rPr>
              <w:t>ученика;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844"/>
              </w:numPr>
              <w:tabs>
                <w:tab w:val="left" w:pos="158"/>
              </w:tabs>
              <w:spacing w:line="160" w:lineRule="exact"/>
              <w:ind w:right="246" w:hanging="99"/>
              <w:rPr>
                <w:sz w:val="14"/>
              </w:rPr>
            </w:pPr>
            <w:r>
              <w:rPr>
                <w:color w:val="231F20"/>
                <w:sz w:val="14"/>
              </w:rPr>
              <w:t>опажања наставника ­</w:t>
            </w:r>
            <w:r>
              <w:rPr>
                <w:color w:val="231F20"/>
                <w:spacing w:val="-12"/>
                <w:sz w:val="14"/>
              </w:rPr>
              <w:t xml:space="preserve"> </w:t>
            </w:r>
            <w:r>
              <w:rPr>
                <w:color w:val="231F20"/>
                <w:sz w:val="14"/>
              </w:rPr>
              <w:t>праћење рада на</w:t>
            </w:r>
            <w:r>
              <w:rPr>
                <w:color w:val="231F20"/>
                <w:spacing w:val="-2"/>
                <w:sz w:val="14"/>
              </w:rPr>
              <w:t xml:space="preserve"> </w:t>
            </w:r>
            <w:r>
              <w:rPr>
                <w:color w:val="231F20"/>
                <w:sz w:val="14"/>
              </w:rPr>
              <w:t>часу</w:t>
            </w:r>
          </w:p>
          <w:p w:rsidR="00041039" w:rsidRDefault="001B26CB">
            <w:pPr>
              <w:pStyle w:val="TableParagraph"/>
              <w:numPr>
                <w:ilvl w:val="0"/>
                <w:numId w:val="844"/>
              </w:numPr>
              <w:tabs>
                <w:tab w:val="left" w:pos="158"/>
              </w:tabs>
              <w:spacing w:line="159" w:lineRule="exact"/>
              <w:ind w:hanging="99"/>
              <w:rPr>
                <w:sz w:val="14"/>
              </w:rPr>
            </w:pPr>
            <w:r>
              <w:rPr>
                <w:color w:val="231F20"/>
                <w:sz w:val="14"/>
              </w:rPr>
              <w:t>питања ­</w:t>
            </w:r>
            <w:r>
              <w:rPr>
                <w:color w:val="231F20"/>
                <w:spacing w:val="-12"/>
                <w:sz w:val="14"/>
              </w:rPr>
              <w:t xml:space="preserve"> </w:t>
            </w:r>
            <w:r>
              <w:rPr>
                <w:color w:val="231F20"/>
                <w:sz w:val="14"/>
              </w:rPr>
              <w:t>одговори</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844"/>
              </w:numPr>
              <w:tabs>
                <w:tab w:val="left" w:pos="158"/>
              </w:tabs>
              <w:spacing w:line="160" w:lineRule="exact"/>
              <w:ind w:hanging="99"/>
              <w:rPr>
                <w:b/>
                <w:sz w:val="14"/>
              </w:rPr>
            </w:pPr>
            <w:r>
              <w:rPr>
                <w:color w:val="231F20"/>
                <w:spacing w:val="-6"/>
                <w:sz w:val="14"/>
              </w:rPr>
              <w:t xml:space="preserve">Увод </w:t>
            </w:r>
            <w:r>
              <w:rPr>
                <w:color w:val="231F20"/>
                <w:sz w:val="14"/>
              </w:rPr>
              <w:t xml:space="preserve">у логику </w:t>
            </w:r>
            <w:r>
              <w:rPr>
                <w:b/>
                <w:color w:val="231F20"/>
                <w:sz w:val="14"/>
              </w:rPr>
              <w:t>(3 или 2</w:t>
            </w:r>
            <w:r>
              <w:rPr>
                <w:b/>
                <w:color w:val="231F20"/>
                <w:sz w:val="14"/>
              </w:rPr>
              <w:t xml:space="preserve"> </w:t>
            </w:r>
            <w:r>
              <w:rPr>
                <w:b/>
                <w:color w:val="231F20"/>
                <w:sz w:val="14"/>
              </w:rPr>
              <w:t>часа)</w:t>
            </w:r>
          </w:p>
          <w:p w:rsidR="00041039" w:rsidRDefault="001B26CB">
            <w:pPr>
              <w:pStyle w:val="TableParagraph"/>
              <w:numPr>
                <w:ilvl w:val="0"/>
                <w:numId w:val="844"/>
              </w:numPr>
              <w:tabs>
                <w:tab w:val="left" w:pos="158"/>
              </w:tabs>
              <w:spacing w:line="237" w:lineRule="auto"/>
              <w:ind w:right="349" w:hanging="99"/>
              <w:rPr>
                <w:b/>
                <w:sz w:val="14"/>
              </w:rPr>
            </w:pPr>
            <w:r>
              <w:rPr>
                <w:color w:val="231F20"/>
                <w:sz w:val="14"/>
              </w:rPr>
              <w:t>Формална логика: појам,</w:t>
            </w:r>
            <w:r>
              <w:rPr>
                <w:color w:val="231F20"/>
                <w:spacing w:val="-17"/>
                <w:sz w:val="14"/>
              </w:rPr>
              <w:t xml:space="preserve"> </w:t>
            </w:r>
            <w:r>
              <w:rPr>
                <w:color w:val="231F20"/>
                <w:spacing w:val="-3"/>
                <w:sz w:val="14"/>
              </w:rPr>
              <w:t xml:space="preserve">суд, </w:t>
            </w:r>
            <w:r>
              <w:rPr>
                <w:color w:val="231F20"/>
                <w:sz w:val="14"/>
              </w:rPr>
              <w:t xml:space="preserve">закључак </w:t>
            </w:r>
            <w:r>
              <w:rPr>
                <w:b/>
                <w:color w:val="231F20"/>
                <w:sz w:val="14"/>
              </w:rPr>
              <w:t>(8+8+11</w:t>
            </w:r>
            <w:r>
              <w:rPr>
                <w:b/>
                <w:color w:val="231F20"/>
                <w:spacing w:val="-7"/>
                <w:sz w:val="14"/>
              </w:rPr>
              <w:t xml:space="preserve"> </w:t>
            </w:r>
            <w:r>
              <w:rPr>
                <w:b/>
                <w:color w:val="231F20"/>
                <w:sz w:val="14"/>
              </w:rPr>
              <w:t>часова)</w:t>
            </w:r>
          </w:p>
          <w:p w:rsidR="00041039" w:rsidRDefault="001B26CB">
            <w:pPr>
              <w:pStyle w:val="TableParagraph"/>
              <w:numPr>
                <w:ilvl w:val="0"/>
                <w:numId w:val="844"/>
              </w:numPr>
              <w:tabs>
                <w:tab w:val="left" w:pos="158"/>
              </w:tabs>
              <w:spacing w:line="155" w:lineRule="exact"/>
              <w:ind w:hanging="99"/>
              <w:rPr>
                <w:b/>
                <w:sz w:val="14"/>
              </w:rPr>
            </w:pPr>
            <w:r>
              <w:rPr>
                <w:color w:val="231F20"/>
                <w:sz w:val="14"/>
              </w:rPr>
              <w:t xml:space="preserve">Логичке грешке </w:t>
            </w:r>
            <w:r>
              <w:rPr>
                <w:b/>
                <w:color w:val="231F20"/>
                <w:sz w:val="14"/>
              </w:rPr>
              <w:t>(6 или 5</w:t>
            </w:r>
            <w:r>
              <w:rPr>
                <w:b/>
                <w:color w:val="231F20"/>
                <w:spacing w:val="-26"/>
                <w:sz w:val="14"/>
              </w:rPr>
              <w:t xml:space="preserve"> </w:t>
            </w:r>
            <w:r>
              <w:rPr>
                <w:b/>
                <w:color w:val="231F20"/>
                <w:sz w:val="14"/>
              </w:rPr>
              <w:t>часова)</w:t>
            </w:r>
          </w:p>
          <w:p w:rsidR="00041039" w:rsidRDefault="001B26CB">
            <w:pPr>
              <w:pStyle w:val="TableParagraph"/>
              <w:numPr>
                <w:ilvl w:val="0"/>
                <w:numId w:val="844"/>
              </w:numPr>
              <w:tabs>
                <w:tab w:val="left" w:pos="158"/>
              </w:tabs>
              <w:spacing w:line="160" w:lineRule="exact"/>
              <w:ind w:hanging="99"/>
              <w:rPr>
                <w:b/>
                <w:sz w:val="14"/>
              </w:rPr>
            </w:pPr>
            <w:r>
              <w:rPr>
                <w:color w:val="231F20"/>
                <w:sz w:val="14"/>
              </w:rPr>
              <w:t xml:space="preserve">Појам и значај етике </w:t>
            </w:r>
            <w:r>
              <w:rPr>
                <w:b/>
                <w:color w:val="231F20"/>
                <w:sz w:val="14"/>
              </w:rPr>
              <w:t>(4</w:t>
            </w:r>
            <w:r>
              <w:rPr>
                <w:b/>
                <w:color w:val="231F20"/>
                <w:spacing w:val="-8"/>
                <w:sz w:val="14"/>
              </w:rPr>
              <w:t xml:space="preserve"> </w:t>
            </w:r>
            <w:r>
              <w:rPr>
                <w:b/>
                <w:color w:val="231F20"/>
                <w:sz w:val="14"/>
              </w:rPr>
              <w:t>часа)</w:t>
            </w:r>
          </w:p>
          <w:p w:rsidR="00041039" w:rsidRDefault="001B26CB">
            <w:pPr>
              <w:pStyle w:val="TableParagraph"/>
              <w:numPr>
                <w:ilvl w:val="0"/>
                <w:numId w:val="844"/>
              </w:numPr>
              <w:tabs>
                <w:tab w:val="left" w:pos="158"/>
              </w:tabs>
              <w:spacing w:line="237" w:lineRule="auto"/>
              <w:ind w:right="48" w:hanging="99"/>
              <w:rPr>
                <w:b/>
                <w:sz w:val="14"/>
              </w:rPr>
            </w:pPr>
            <w:r>
              <w:rPr>
                <w:color w:val="231F20"/>
                <w:sz w:val="14"/>
              </w:rPr>
              <w:t>Лични,</w:t>
            </w:r>
            <w:r>
              <w:rPr>
                <w:color w:val="231F20"/>
                <w:spacing w:val="-10"/>
                <w:sz w:val="14"/>
              </w:rPr>
              <w:t xml:space="preserve"> </w:t>
            </w:r>
            <w:r>
              <w:rPr>
                <w:color w:val="231F20"/>
                <w:sz w:val="14"/>
              </w:rPr>
              <w:t>идентитет,</w:t>
            </w:r>
            <w:r>
              <w:rPr>
                <w:color w:val="231F20"/>
                <w:spacing w:val="-9"/>
                <w:sz w:val="14"/>
              </w:rPr>
              <w:t xml:space="preserve"> </w:t>
            </w:r>
            <w:r>
              <w:rPr>
                <w:color w:val="231F20"/>
                <w:sz w:val="14"/>
              </w:rPr>
              <w:t>слобода</w:t>
            </w:r>
            <w:r>
              <w:rPr>
                <w:color w:val="231F20"/>
                <w:spacing w:val="-9"/>
                <w:sz w:val="14"/>
              </w:rPr>
              <w:t xml:space="preserve"> </w:t>
            </w:r>
            <w:r>
              <w:rPr>
                <w:color w:val="231F20"/>
                <w:sz w:val="14"/>
              </w:rPr>
              <w:t>и</w:t>
            </w:r>
            <w:r>
              <w:rPr>
                <w:color w:val="231F20"/>
                <w:spacing w:val="-10"/>
                <w:sz w:val="14"/>
              </w:rPr>
              <w:t xml:space="preserve"> </w:t>
            </w:r>
            <w:r>
              <w:rPr>
                <w:color w:val="231F20"/>
                <w:sz w:val="14"/>
              </w:rPr>
              <w:t xml:space="preserve">одго­ ворност </w:t>
            </w:r>
            <w:r>
              <w:rPr>
                <w:b/>
                <w:color w:val="231F20"/>
                <w:sz w:val="14"/>
              </w:rPr>
              <w:t>(14 или 12</w:t>
            </w:r>
            <w:r>
              <w:rPr>
                <w:b/>
                <w:color w:val="231F20"/>
                <w:spacing w:val="-5"/>
                <w:sz w:val="14"/>
              </w:rPr>
              <w:t xml:space="preserve"> </w:t>
            </w:r>
            <w:r>
              <w:rPr>
                <w:b/>
                <w:color w:val="231F20"/>
                <w:sz w:val="14"/>
              </w:rPr>
              <w:t>часова)</w:t>
            </w:r>
          </w:p>
          <w:p w:rsidR="00041039" w:rsidRDefault="001B26CB">
            <w:pPr>
              <w:pStyle w:val="TableParagraph"/>
              <w:numPr>
                <w:ilvl w:val="0"/>
                <w:numId w:val="844"/>
              </w:numPr>
              <w:tabs>
                <w:tab w:val="left" w:pos="158"/>
              </w:tabs>
              <w:spacing w:line="160" w:lineRule="exact"/>
              <w:ind w:right="298" w:hanging="99"/>
              <w:rPr>
                <w:b/>
                <w:sz w:val="14"/>
              </w:rPr>
            </w:pPr>
            <w:r>
              <w:rPr>
                <w:color w:val="231F20"/>
                <w:sz w:val="14"/>
              </w:rPr>
              <w:t>Основне етичке норме и</w:t>
            </w:r>
            <w:r>
              <w:rPr>
                <w:color w:val="231F20"/>
                <w:spacing w:val="-19"/>
                <w:sz w:val="14"/>
              </w:rPr>
              <w:t xml:space="preserve"> </w:t>
            </w:r>
            <w:r>
              <w:rPr>
                <w:color w:val="231F20"/>
                <w:sz w:val="14"/>
              </w:rPr>
              <w:t xml:space="preserve">вред­ ности </w:t>
            </w:r>
            <w:r>
              <w:rPr>
                <w:b/>
                <w:color w:val="231F20"/>
                <w:sz w:val="14"/>
              </w:rPr>
              <w:t>(16 или 14</w:t>
            </w:r>
            <w:r>
              <w:rPr>
                <w:b/>
                <w:color w:val="231F20"/>
                <w:spacing w:val="-5"/>
                <w:sz w:val="14"/>
              </w:rPr>
              <w:t xml:space="preserve"> </w:t>
            </w:r>
            <w:r>
              <w:rPr>
                <w:b/>
                <w:color w:val="231F20"/>
                <w:sz w:val="14"/>
              </w:rPr>
              <w:t>часова)</w:t>
            </w:r>
          </w:p>
        </w:tc>
      </w:tr>
      <w:tr w:rsidR="00041039">
        <w:trPr>
          <w:trHeight w:val="7720"/>
        </w:trPr>
        <w:tc>
          <w:tcPr>
            <w:tcW w:w="1304" w:type="dxa"/>
          </w:tcPr>
          <w:p w:rsidR="00041039" w:rsidRDefault="001B26CB">
            <w:pPr>
              <w:pStyle w:val="TableParagraph"/>
              <w:spacing w:before="19"/>
              <w:ind w:left="56" w:right="154"/>
              <w:jc w:val="both"/>
              <w:rPr>
                <w:sz w:val="14"/>
              </w:rPr>
            </w:pPr>
            <w:r>
              <w:rPr>
                <w:color w:val="231F20"/>
                <w:sz w:val="14"/>
              </w:rPr>
              <w:t>Формална</w:t>
            </w:r>
            <w:r>
              <w:rPr>
                <w:color w:val="231F20"/>
                <w:spacing w:val="-11"/>
                <w:sz w:val="14"/>
              </w:rPr>
              <w:t xml:space="preserve"> </w:t>
            </w:r>
            <w:r>
              <w:rPr>
                <w:color w:val="231F20"/>
                <w:sz w:val="14"/>
              </w:rPr>
              <w:t xml:space="preserve">логика: појам, </w:t>
            </w:r>
            <w:r>
              <w:rPr>
                <w:color w:val="231F20"/>
                <w:spacing w:val="-3"/>
                <w:sz w:val="14"/>
              </w:rPr>
              <w:t xml:space="preserve">суд, </w:t>
            </w:r>
            <w:r>
              <w:rPr>
                <w:color w:val="231F20"/>
                <w:sz w:val="14"/>
              </w:rPr>
              <w:t>закљу­ чак</w:t>
            </w:r>
          </w:p>
        </w:tc>
        <w:tc>
          <w:tcPr>
            <w:tcW w:w="1587" w:type="dxa"/>
          </w:tcPr>
          <w:p w:rsidR="00041039" w:rsidRDefault="001B26CB">
            <w:pPr>
              <w:pStyle w:val="TableParagraph"/>
              <w:numPr>
                <w:ilvl w:val="0"/>
                <w:numId w:val="843"/>
              </w:numPr>
              <w:tabs>
                <w:tab w:val="left" w:pos="157"/>
              </w:tabs>
              <w:spacing w:before="9"/>
              <w:ind w:right="50"/>
              <w:rPr>
                <w:sz w:val="14"/>
              </w:rPr>
            </w:pPr>
            <w:r>
              <w:rPr>
                <w:color w:val="231F20"/>
                <w:sz w:val="14"/>
              </w:rPr>
              <w:t>Развој сазнања о појму и односима међу појмовима.</w:t>
            </w:r>
          </w:p>
          <w:p w:rsidR="00041039" w:rsidRDefault="001B26CB">
            <w:pPr>
              <w:pStyle w:val="TableParagraph"/>
              <w:numPr>
                <w:ilvl w:val="0"/>
                <w:numId w:val="843"/>
              </w:numPr>
              <w:tabs>
                <w:tab w:val="left" w:pos="157"/>
              </w:tabs>
              <w:spacing w:line="157" w:lineRule="exact"/>
              <w:rPr>
                <w:sz w:val="14"/>
              </w:rPr>
            </w:pPr>
            <w:r>
              <w:rPr>
                <w:color w:val="231F20"/>
                <w:sz w:val="14"/>
              </w:rPr>
              <w:t>Упознавање</w:t>
            </w:r>
            <w:r>
              <w:rPr>
                <w:color w:val="231F20"/>
                <w:spacing w:val="-4"/>
                <w:sz w:val="14"/>
              </w:rPr>
              <w:t xml:space="preserve"> </w:t>
            </w:r>
            <w:r>
              <w:rPr>
                <w:color w:val="231F20"/>
                <w:sz w:val="14"/>
              </w:rPr>
              <w:t>ученика</w:t>
            </w:r>
          </w:p>
          <w:p w:rsidR="00041039" w:rsidRDefault="001B26CB">
            <w:pPr>
              <w:pStyle w:val="TableParagraph"/>
              <w:ind w:right="14"/>
              <w:rPr>
                <w:sz w:val="14"/>
              </w:rPr>
            </w:pPr>
            <w:r>
              <w:rPr>
                <w:color w:val="231F20"/>
                <w:sz w:val="14"/>
              </w:rPr>
              <w:t>са структуром суда, врстама судова и одно­ сима између судова.</w:t>
            </w:r>
          </w:p>
          <w:p w:rsidR="00041039" w:rsidRDefault="001B26CB">
            <w:pPr>
              <w:pStyle w:val="TableParagraph"/>
              <w:numPr>
                <w:ilvl w:val="0"/>
                <w:numId w:val="843"/>
              </w:numPr>
              <w:tabs>
                <w:tab w:val="left" w:pos="157"/>
              </w:tabs>
              <w:spacing w:line="158" w:lineRule="exact"/>
              <w:rPr>
                <w:sz w:val="14"/>
              </w:rPr>
            </w:pPr>
            <w:r>
              <w:rPr>
                <w:color w:val="231F20"/>
                <w:sz w:val="14"/>
              </w:rPr>
              <w:t>Оспособљавање</w:t>
            </w:r>
          </w:p>
          <w:p w:rsidR="00041039" w:rsidRDefault="001B26CB">
            <w:pPr>
              <w:pStyle w:val="TableParagraph"/>
              <w:ind w:right="15"/>
              <w:rPr>
                <w:sz w:val="14"/>
              </w:rPr>
            </w:pPr>
            <w:r>
              <w:rPr>
                <w:color w:val="231F20"/>
                <w:sz w:val="14"/>
              </w:rPr>
              <w:t>ученика за логичко закључивање.</w:t>
            </w:r>
          </w:p>
        </w:tc>
        <w:tc>
          <w:tcPr>
            <w:tcW w:w="2551" w:type="dxa"/>
          </w:tcPr>
          <w:p w:rsidR="00041039" w:rsidRDefault="001B26CB">
            <w:pPr>
              <w:pStyle w:val="TableParagraph"/>
              <w:numPr>
                <w:ilvl w:val="0"/>
                <w:numId w:val="842"/>
              </w:numPr>
              <w:tabs>
                <w:tab w:val="left" w:pos="157"/>
              </w:tabs>
              <w:spacing w:before="9"/>
              <w:ind w:right="104" w:hanging="99"/>
              <w:rPr>
                <w:sz w:val="14"/>
              </w:rPr>
            </w:pPr>
            <w:r>
              <w:rPr>
                <w:color w:val="231F20"/>
                <w:sz w:val="14"/>
              </w:rPr>
              <w:t>увиди разлику између појма,</w:t>
            </w:r>
            <w:r>
              <w:rPr>
                <w:color w:val="231F20"/>
                <w:spacing w:val="-13"/>
                <w:sz w:val="14"/>
              </w:rPr>
              <w:t xml:space="preserve"> </w:t>
            </w:r>
            <w:r>
              <w:rPr>
                <w:color w:val="231F20"/>
                <w:sz w:val="14"/>
              </w:rPr>
              <w:t>термина, опажаја, предмета,</w:t>
            </w:r>
            <w:r>
              <w:rPr>
                <w:color w:val="231F20"/>
                <w:spacing w:val="-1"/>
                <w:sz w:val="14"/>
              </w:rPr>
              <w:t xml:space="preserve"> </w:t>
            </w:r>
            <w:r>
              <w:rPr>
                <w:color w:val="231F20"/>
                <w:sz w:val="14"/>
              </w:rPr>
              <w:t>представе;</w:t>
            </w:r>
          </w:p>
          <w:p w:rsidR="00041039" w:rsidRDefault="001B26CB">
            <w:pPr>
              <w:pStyle w:val="TableParagraph"/>
              <w:numPr>
                <w:ilvl w:val="0"/>
                <w:numId w:val="842"/>
              </w:numPr>
              <w:tabs>
                <w:tab w:val="left" w:pos="157"/>
              </w:tabs>
              <w:spacing w:line="160" w:lineRule="exact"/>
              <w:ind w:right="98" w:hanging="99"/>
              <w:rPr>
                <w:sz w:val="14"/>
              </w:rPr>
            </w:pPr>
            <w:r>
              <w:rPr>
                <w:color w:val="231F20"/>
                <w:sz w:val="14"/>
              </w:rPr>
              <w:t>разликује обим и садржај појма, увиђа однос између обима и садржаја, наводи пример за обим и садржај и дефинише обим и садржај</w:t>
            </w:r>
            <w:r>
              <w:rPr>
                <w:color w:val="231F20"/>
                <w:spacing w:val="-2"/>
                <w:sz w:val="14"/>
              </w:rPr>
              <w:t xml:space="preserve"> </w:t>
            </w:r>
            <w:r>
              <w:rPr>
                <w:color w:val="231F20"/>
                <w:sz w:val="14"/>
              </w:rPr>
              <w:t>појма;</w:t>
            </w:r>
          </w:p>
          <w:p w:rsidR="00041039" w:rsidRDefault="001B26CB">
            <w:pPr>
              <w:pStyle w:val="TableParagraph"/>
              <w:numPr>
                <w:ilvl w:val="0"/>
                <w:numId w:val="842"/>
              </w:numPr>
              <w:tabs>
                <w:tab w:val="left" w:pos="157"/>
              </w:tabs>
              <w:spacing w:line="160" w:lineRule="exact"/>
              <w:ind w:right="104" w:hanging="99"/>
              <w:rPr>
                <w:sz w:val="14"/>
              </w:rPr>
            </w:pPr>
            <w:r>
              <w:rPr>
                <w:color w:val="231F20"/>
                <w:sz w:val="14"/>
              </w:rPr>
              <w:t>препознаје и именује појмове,</w:t>
            </w:r>
            <w:r>
              <w:rPr>
                <w:color w:val="231F20"/>
                <w:spacing w:val="-25"/>
                <w:sz w:val="14"/>
              </w:rPr>
              <w:t xml:space="preserve"> </w:t>
            </w:r>
            <w:r>
              <w:rPr>
                <w:color w:val="231F20"/>
                <w:sz w:val="14"/>
              </w:rPr>
              <w:t>набраја их, уочава разлику између појединач­ них и општих</w:t>
            </w:r>
            <w:r>
              <w:rPr>
                <w:color w:val="231F20"/>
                <w:spacing w:val="-3"/>
                <w:sz w:val="14"/>
              </w:rPr>
              <w:t xml:space="preserve"> </w:t>
            </w:r>
            <w:r>
              <w:rPr>
                <w:color w:val="231F20"/>
                <w:sz w:val="14"/>
              </w:rPr>
              <w:t>појмова;</w:t>
            </w:r>
          </w:p>
          <w:p w:rsidR="00041039" w:rsidRDefault="001B26CB">
            <w:pPr>
              <w:pStyle w:val="TableParagraph"/>
              <w:numPr>
                <w:ilvl w:val="0"/>
                <w:numId w:val="842"/>
              </w:numPr>
              <w:tabs>
                <w:tab w:val="left" w:pos="157"/>
              </w:tabs>
              <w:spacing w:line="160" w:lineRule="exact"/>
              <w:ind w:right="275" w:hanging="99"/>
              <w:jc w:val="both"/>
              <w:rPr>
                <w:sz w:val="14"/>
              </w:rPr>
            </w:pPr>
            <w:r>
              <w:rPr>
                <w:color w:val="231F20"/>
                <w:sz w:val="14"/>
              </w:rPr>
              <w:t>препознаје односе међу појмовима и именује их (субординација,</w:t>
            </w:r>
            <w:r>
              <w:rPr>
                <w:color w:val="231F20"/>
                <w:spacing w:val="-22"/>
                <w:sz w:val="14"/>
              </w:rPr>
              <w:t xml:space="preserve"> </w:t>
            </w:r>
            <w:r>
              <w:rPr>
                <w:color w:val="231F20"/>
                <w:sz w:val="14"/>
              </w:rPr>
              <w:t>коор­ динација, контрарност) и</w:t>
            </w:r>
            <w:r>
              <w:rPr>
                <w:color w:val="231F20"/>
                <w:spacing w:val="-12"/>
                <w:sz w:val="14"/>
              </w:rPr>
              <w:t xml:space="preserve"> </w:t>
            </w:r>
            <w:r>
              <w:rPr>
                <w:color w:val="231F20"/>
                <w:sz w:val="14"/>
              </w:rPr>
              <w:t>графички приказује односе међу</w:t>
            </w:r>
            <w:r>
              <w:rPr>
                <w:color w:val="231F20"/>
                <w:spacing w:val="-12"/>
                <w:sz w:val="14"/>
              </w:rPr>
              <w:t xml:space="preserve"> </w:t>
            </w:r>
            <w:r>
              <w:rPr>
                <w:color w:val="231F20"/>
                <w:sz w:val="14"/>
              </w:rPr>
              <w:t>појмовима;</w:t>
            </w:r>
          </w:p>
          <w:p w:rsidR="00041039" w:rsidRDefault="001B26CB">
            <w:pPr>
              <w:pStyle w:val="TableParagraph"/>
              <w:numPr>
                <w:ilvl w:val="0"/>
                <w:numId w:val="842"/>
              </w:numPr>
              <w:tabs>
                <w:tab w:val="left" w:pos="157"/>
              </w:tabs>
              <w:spacing w:line="153" w:lineRule="exact"/>
              <w:ind w:hanging="99"/>
              <w:rPr>
                <w:sz w:val="14"/>
              </w:rPr>
            </w:pPr>
            <w:r>
              <w:rPr>
                <w:color w:val="231F20"/>
                <w:sz w:val="14"/>
              </w:rPr>
              <w:t>наведе делове</w:t>
            </w:r>
            <w:r>
              <w:rPr>
                <w:color w:val="231F20"/>
                <w:spacing w:val="-1"/>
                <w:sz w:val="14"/>
              </w:rPr>
              <w:t xml:space="preserve"> </w:t>
            </w:r>
            <w:r>
              <w:rPr>
                <w:color w:val="231F20"/>
                <w:sz w:val="14"/>
              </w:rPr>
              <w:t>дефиниције;</w:t>
            </w:r>
          </w:p>
          <w:p w:rsidR="00041039" w:rsidRDefault="001B26CB">
            <w:pPr>
              <w:pStyle w:val="TableParagraph"/>
              <w:numPr>
                <w:ilvl w:val="0"/>
                <w:numId w:val="842"/>
              </w:numPr>
              <w:tabs>
                <w:tab w:val="left" w:pos="157"/>
              </w:tabs>
              <w:spacing w:line="237" w:lineRule="auto"/>
              <w:ind w:right="375" w:hanging="99"/>
              <w:rPr>
                <w:sz w:val="14"/>
              </w:rPr>
            </w:pPr>
            <w:r>
              <w:rPr>
                <w:color w:val="231F20"/>
                <w:sz w:val="14"/>
              </w:rPr>
              <w:t>даје примере дефиниције из своје струке;</w:t>
            </w:r>
          </w:p>
          <w:p w:rsidR="00041039" w:rsidRDefault="001B26CB">
            <w:pPr>
              <w:pStyle w:val="TableParagraph"/>
              <w:numPr>
                <w:ilvl w:val="0"/>
                <w:numId w:val="842"/>
              </w:numPr>
              <w:tabs>
                <w:tab w:val="left" w:pos="157"/>
              </w:tabs>
              <w:spacing w:line="160" w:lineRule="exact"/>
              <w:ind w:right="495" w:hanging="99"/>
              <w:rPr>
                <w:sz w:val="14"/>
              </w:rPr>
            </w:pPr>
            <w:r>
              <w:rPr>
                <w:color w:val="231F20"/>
                <w:sz w:val="14"/>
              </w:rPr>
              <w:t>разликује прешироку и</w:t>
            </w:r>
            <w:r>
              <w:rPr>
                <w:color w:val="231F20"/>
                <w:spacing w:val="-19"/>
                <w:sz w:val="14"/>
              </w:rPr>
              <w:t xml:space="preserve"> </w:t>
            </w:r>
            <w:r>
              <w:rPr>
                <w:color w:val="231F20"/>
                <w:sz w:val="14"/>
              </w:rPr>
              <w:t>преуску дефиницију;</w:t>
            </w:r>
          </w:p>
          <w:p w:rsidR="00041039" w:rsidRDefault="001B26CB">
            <w:pPr>
              <w:pStyle w:val="TableParagraph"/>
              <w:numPr>
                <w:ilvl w:val="0"/>
                <w:numId w:val="842"/>
              </w:numPr>
              <w:tabs>
                <w:tab w:val="left" w:pos="157"/>
              </w:tabs>
              <w:spacing w:line="160" w:lineRule="exact"/>
              <w:ind w:right="144" w:hanging="99"/>
              <w:rPr>
                <w:sz w:val="14"/>
              </w:rPr>
            </w:pPr>
            <w:r>
              <w:rPr>
                <w:color w:val="231F20"/>
                <w:sz w:val="14"/>
              </w:rPr>
              <w:t xml:space="preserve">разликује чланове деобе </w:t>
            </w:r>
            <w:r>
              <w:rPr>
                <w:color w:val="231F20"/>
                <w:spacing w:val="-3"/>
                <w:sz w:val="14"/>
              </w:rPr>
              <w:t xml:space="preserve">од </w:t>
            </w:r>
            <w:r>
              <w:rPr>
                <w:color w:val="231F20"/>
                <w:sz w:val="14"/>
              </w:rPr>
              <w:t>принципа деобе;</w:t>
            </w:r>
          </w:p>
          <w:p w:rsidR="00041039" w:rsidRDefault="001B26CB">
            <w:pPr>
              <w:pStyle w:val="TableParagraph"/>
              <w:numPr>
                <w:ilvl w:val="0"/>
                <w:numId w:val="842"/>
              </w:numPr>
              <w:tabs>
                <w:tab w:val="left" w:pos="157"/>
              </w:tabs>
              <w:spacing w:line="160" w:lineRule="exact"/>
              <w:ind w:right="260" w:hanging="99"/>
              <w:rPr>
                <w:sz w:val="14"/>
              </w:rPr>
            </w:pPr>
            <w:r>
              <w:rPr>
                <w:color w:val="231F20"/>
                <w:sz w:val="14"/>
              </w:rPr>
              <w:t>увиђа значај принципа деобе,</w:t>
            </w:r>
            <w:r>
              <w:rPr>
                <w:color w:val="231F20"/>
                <w:spacing w:val="-16"/>
                <w:sz w:val="14"/>
              </w:rPr>
              <w:t xml:space="preserve"> </w:t>
            </w:r>
            <w:r>
              <w:rPr>
                <w:color w:val="231F20"/>
                <w:sz w:val="14"/>
              </w:rPr>
              <w:t>само­ стално изводи једну</w:t>
            </w:r>
            <w:r>
              <w:rPr>
                <w:color w:val="231F20"/>
                <w:spacing w:val="-4"/>
                <w:sz w:val="14"/>
              </w:rPr>
              <w:t xml:space="preserve"> </w:t>
            </w:r>
            <w:r>
              <w:rPr>
                <w:color w:val="231F20"/>
                <w:sz w:val="14"/>
              </w:rPr>
              <w:t>деобу;</w:t>
            </w:r>
          </w:p>
          <w:p w:rsidR="00041039" w:rsidRDefault="001B26CB">
            <w:pPr>
              <w:pStyle w:val="TableParagraph"/>
              <w:numPr>
                <w:ilvl w:val="0"/>
                <w:numId w:val="842"/>
              </w:numPr>
              <w:tabs>
                <w:tab w:val="left" w:pos="157"/>
              </w:tabs>
              <w:spacing w:line="160" w:lineRule="exact"/>
              <w:ind w:right="170" w:hanging="99"/>
              <w:rPr>
                <w:sz w:val="14"/>
              </w:rPr>
            </w:pPr>
            <w:r>
              <w:rPr>
                <w:color w:val="231F20"/>
                <w:sz w:val="14"/>
              </w:rPr>
              <w:t xml:space="preserve">разликује субјекат и предикат </w:t>
            </w:r>
            <w:r>
              <w:rPr>
                <w:color w:val="231F20"/>
                <w:spacing w:val="-3"/>
                <w:sz w:val="14"/>
              </w:rPr>
              <w:t xml:space="preserve">суда </w:t>
            </w:r>
            <w:r>
              <w:rPr>
                <w:color w:val="231F20"/>
                <w:sz w:val="14"/>
              </w:rPr>
              <w:t xml:space="preserve">и увиђа значај </w:t>
            </w:r>
            <w:r>
              <w:rPr>
                <w:color w:val="231F20"/>
                <w:spacing w:val="-3"/>
                <w:sz w:val="14"/>
              </w:rPr>
              <w:t xml:space="preserve">копуле </w:t>
            </w:r>
            <w:r>
              <w:rPr>
                <w:color w:val="231F20"/>
                <w:sz w:val="14"/>
              </w:rPr>
              <w:t>за квалитет</w:t>
            </w:r>
            <w:r>
              <w:rPr>
                <w:color w:val="231F20"/>
                <w:spacing w:val="-8"/>
                <w:sz w:val="14"/>
              </w:rPr>
              <w:t xml:space="preserve"> </w:t>
            </w:r>
            <w:r>
              <w:rPr>
                <w:color w:val="231F20"/>
                <w:spacing w:val="-3"/>
                <w:sz w:val="14"/>
              </w:rPr>
              <w:t>суда;</w:t>
            </w:r>
          </w:p>
          <w:p w:rsidR="00041039" w:rsidRDefault="001B26CB">
            <w:pPr>
              <w:pStyle w:val="TableParagraph"/>
              <w:numPr>
                <w:ilvl w:val="0"/>
                <w:numId w:val="842"/>
              </w:numPr>
              <w:tabs>
                <w:tab w:val="left" w:pos="157"/>
              </w:tabs>
              <w:spacing w:line="160" w:lineRule="exact"/>
              <w:ind w:right="115" w:hanging="99"/>
              <w:rPr>
                <w:sz w:val="14"/>
              </w:rPr>
            </w:pPr>
            <w:r>
              <w:rPr>
                <w:color w:val="231F20"/>
                <w:sz w:val="14"/>
              </w:rPr>
              <w:t xml:space="preserve">препознаје форму сложеног </w:t>
            </w:r>
            <w:r>
              <w:rPr>
                <w:color w:val="231F20"/>
                <w:spacing w:val="-3"/>
                <w:sz w:val="14"/>
              </w:rPr>
              <w:t xml:space="preserve">суда, </w:t>
            </w:r>
            <w:r>
              <w:rPr>
                <w:color w:val="231F20"/>
                <w:sz w:val="14"/>
              </w:rPr>
              <w:t>разликује и именује логичке везнике (негациј</w:t>
            </w:r>
            <w:r>
              <w:rPr>
                <w:color w:val="231F20"/>
                <w:sz w:val="14"/>
              </w:rPr>
              <w:t>а. конјукција, дисјункција, апликација и еквиваленција) и</w:t>
            </w:r>
            <w:r>
              <w:rPr>
                <w:color w:val="231F20"/>
                <w:spacing w:val="-24"/>
                <w:sz w:val="14"/>
              </w:rPr>
              <w:t xml:space="preserve"> </w:t>
            </w:r>
            <w:r>
              <w:rPr>
                <w:color w:val="231F20"/>
                <w:sz w:val="14"/>
              </w:rPr>
              <w:t>наводи примере;</w:t>
            </w:r>
          </w:p>
          <w:p w:rsidR="00041039" w:rsidRDefault="001B26CB">
            <w:pPr>
              <w:pStyle w:val="TableParagraph"/>
              <w:numPr>
                <w:ilvl w:val="0"/>
                <w:numId w:val="842"/>
              </w:numPr>
              <w:tabs>
                <w:tab w:val="left" w:pos="157"/>
              </w:tabs>
              <w:spacing w:line="160" w:lineRule="exact"/>
              <w:ind w:right="192" w:hanging="99"/>
              <w:jc w:val="both"/>
              <w:rPr>
                <w:sz w:val="14"/>
              </w:rPr>
            </w:pPr>
            <w:r>
              <w:rPr>
                <w:color w:val="231F20"/>
                <w:sz w:val="14"/>
              </w:rPr>
              <w:t xml:space="preserve">разликује квантитет и квалитет </w:t>
            </w:r>
            <w:r>
              <w:rPr>
                <w:color w:val="231F20"/>
                <w:spacing w:val="-3"/>
                <w:sz w:val="14"/>
              </w:rPr>
              <w:t xml:space="preserve">суда, </w:t>
            </w:r>
            <w:r>
              <w:rPr>
                <w:color w:val="231F20"/>
                <w:sz w:val="14"/>
              </w:rPr>
              <w:t xml:space="preserve">препознаје форму a, e, i, о </w:t>
            </w:r>
            <w:r>
              <w:rPr>
                <w:color w:val="231F20"/>
                <w:spacing w:val="-3"/>
                <w:sz w:val="14"/>
              </w:rPr>
              <w:t xml:space="preserve">суда </w:t>
            </w:r>
            <w:r>
              <w:rPr>
                <w:color w:val="231F20"/>
                <w:sz w:val="14"/>
              </w:rPr>
              <w:t>и на­ води</w:t>
            </w:r>
            <w:r>
              <w:rPr>
                <w:color w:val="231F20"/>
                <w:spacing w:val="-1"/>
                <w:sz w:val="14"/>
              </w:rPr>
              <w:t xml:space="preserve"> </w:t>
            </w:r>
            <w:r>
              <w:rPr>
                <w:color w:val="231F20"/>
                <w:sz w:val="14"/>
              </w:rPr>
              <w:t>примере;</w:t>
            </w:r>
          </w:p>
          <w:p w:rsidR="00041039" w:rsidRDefault="001B26CB">
            <w:pPr>
              <w:pStyle w:val="TableParagraph"/>
              <w:numPr>
                <w:ilvl w:val="0"/>
                <w:numId w:val="842"/>
              </w:numPr>
              <w:tabs>
                <w:tab w:val="left" w:pos="157"/>
              </w:tabs>
              <w:spacing w:line="153" w:lineRule="exact"/>
              <w:ind w:hanging="99"/>
              <w:rPr>
                <w:sz w:val="14"/>
              </w:rPr>
            </w:pPr>
            <w:r>
              <w:rPr>
                <w:color w:val="231F20"/>
                <w:sz w:val="14"/>
              </w:rPr>
              <w:t>именује односе међу</w:t>
            </w:r>
            <w:r>
              <w:rPr>
                <w:color w:val="231F20"/>
                <w:spacing w:val="-4"/>
                <w:sz w:val="14"/>
              </w:rPr>
              <w:t xml:space="preserve"> </w:t>
            </w:r>
            <w:r>
              <w:rPr>
                <w:color w:val="231F20"/>
                <w:sz w:val="14"/>
              </w:rPr>
              <w:t>судовима;</w:t>
            </w:r>
          </w:p>
          <w:p w:rsidR="00041039" w:rsidRDefault="001B26CB">
            <w:pPr>
              <w:pStyle w:val="TableParagraph"/>
              <w:numPr>
                <w:ilvl w:val="0"/>
                <w:numId w:val="842"/>
              </w:numPr>
              <w:tabs>
                <w:tab w:val="left" w:pos="157"/>
              </w:tabs>
              <w:spacing w:line="237" w:lineRule="auto"/>
              <w:ind w:right="205" w:hanging="99"/>
              <w:jc w:val="both"/>
              <w:rPr>
                <w:sz w:val="14"/>
              </w:rPr>
            </w:pPr>
            <w:r>
              <w:rPr>
                <w:color w:val="231F20"/>
                <w:sz w:val="14"/>
              </w:rPr>
              <w:t>препознаје индуктивно, дедуктивно и закључивање по аналогији на при­ мерима из свакодневног</w:t>
            </w:r>
            <w:r>
              <w:rPr>
                <w:color w:val="231F20"/>
                <w:spacing w:val="-7"/>
                <w:sz w:val="14"/>
              </w:rPr>
              <w:t xml:space="preserve"> </w:t>
            </w:r>
            <w:r>
              <w:rPr>
                <w:color w:val="231F20"/>
                <w:sz w:val="14"/>
              </w:rPr>
              <w:t>живота;</w:t>
            </w:r>
          </w:p>
          <w:p w:rsidR="00041039" w:rsidRDefault="001B26CB">
            <w:pPr>
              <w:pStyle w:val="TableParagraph"/>
              <w:numPr>
                <w:ilvl w:val="0"/>
                <w:numId w:val="842"/>
              </w:numPr>
              <w:tabs>
                <w:tab w:val="left" w:pos="157"/>
              </w:tabs>
              <w:spacing w:line="237" w:lineRule="auto"/>
              <w:ind w:right="344" w:hanging="99"/>
              <w:rPr>
                <w:sz w:val="14"/>
              </w:rPr>
            </w:pPr>
            <w:r>
              <w:rPr>
                <w:color w:val="231F20"/>
                <w:sz w:val="14"/>
              </w:rPr>
              <w:t>увиђа да и сам користи наведене форме закључивања, именује их</w:t>
            </w:r>
            <w:r>
              <w:rPr>
                <w:color w:val="231F20"/>
                <w:spacing w:val="-19"/>
                <w:sz w:val="14"/>
              </w:rPr>
              <w:t xml:space="preserve"> </w:t>
            </w:r>
            <w:r>
              <w:rPr>
                <w:color w:val="231F20"/>
                <w:sz w:val="14"/>
              </w:rPr>
              <w:t>и разликује;</w:t>
            </w:r>
          </w:p>
          <w:p w:rsidR="00041039" w:rsidRDefault="001B26CB">
            <w:pPr>
              <w:pStyle w:val="TableParagraph"/>
              <w:numPr>
                <w:ilvl w:val="0"/>
                <w:numId w:val="842"/>
              </w:numPr>
              <w:tabs>
                <w:tab w:val="left" w:pos="157"/>
              </w:tabs>
              <w:spacing w:line="237" w:lineRule="auto"/>
              <w:ind w:right="209" w:hanging="99"/>
              <w:rPr>
                <w:sz w:val="14"/>
              </w:rPr>
            </w:pPr>
            <w:r>
              <w:rPr>
                <w:color w:val="231F20"/>
                <w:sz w:val="14"/>
              </w:rPr>
              <w:t>демонстрира конверзију и</w:t>
            </w:r>
            <w:r>
              <w:rPr>
                <w:color w:val="231F20"/>
                <w:spacing w:val="-15"/>
                <w:sz w:val="14"/>
              </w:rPr>
              <w:t xml:space="preserve"> </w:t>
            </w:r>
            <w:r>
              <w:rPr>
                <w:color w:val="231F20"/>
                <w:sz w:val="14"/>
              </w:rPr>
              <w:t>обверзију на</w:t>
            </w:r>
            <w:r>
              <w:rPr>
                <w:color w:val="231F20"/>
                <w:spacing w:val="-2"/>
                <w:sz w:val="14"/>
              </w:rPr>
              <w:t xml:space="preserve"> </w:t>
            </w:r>
            <w:r>
              <w:rPr>
                <w:color w:val="231F20"/>
                <w:sz w:val="14"/>
              </w:rPr>
              <w:t>примерима;</w:t>
            </w:r>
          </w:p>
          <w:p w:rsidR="00041039" w:rsidRDefault="001B26CB">
            <w:pPr>
              <w:pStyle w:val="TableParagraph"/>
              <w:numPr>
                <w:ilvl w:val="0"/>
                <w:numId w:val="842"/>
              </w:numPr>
              <w:tabs>
                <w:tab w:val="left" w:pos="157"/>
              </w:tabs>
              <w:spacing w:line="160" w:lineRule="exact"/>
              <w:ind w:right="478" w:hanging="99"/>
              <w:rPr>
                <w:sz w:val="14"/>
              </w:rPr>
            </w:pPr>
            <w:r>
              <w:rPr>
                <w:color w:val="231F20"/>
                <w:sz w:val="14"/>
              </w:rPr>
              <w:t>наведе и објасни четири</w:t>
            </w:r>
            <w:r>
              <w:rPr>
                <w:color w:val="231F20"/>
                <w:spacing w:val="-6"/>
                <w:sz w:val="14"/>
              </w:rPr>
              <w:t xml:space="preserve"> </w:t>
            </w:r>
            <w:r>
              <w:rPr>
                <w:color w:val="231F20"/>
                <w:sz w:val="14"/>
              </w:rPr>
              <w:t>фигуре силогизма;</w:t>
            </w:r>
          </w:p>
          <w:p w:rsidR="00041039" w:rsidRDefault="001B26CB">
            <w:pPr>
              <w:pStyle w:val="TableParagraph"/>
              <w:numPr>
                <w:ilvl w:val="0"/>
                <w:numId w:val="842"/>
              </w:numPr>
              <w:tabs>
                <w:tab w:val="left" w:pos="157"/>
              </w:tabs>
              <w:spacing w:line="153" w:lineRule="exact"/>
              <w:ind w:hanging="99"/>
              <w:rPr>
                <w:sz w:val="14"/>
              </w:rPr>
            </w:pPr>
            <w:r>
              <w:rPr>
                <w:color w:val="231F20"/>
                <w:sz w:val="14"/>
              </w:rPr>
              <w:t>изводи задате модусе</w:t>
            </w:r>
            <w:r>
              <w:rPr>
                <w:color w:val="231F20"/>
                <w:spacing w:val="-5"/>
                <w:sz w:val="14"/>
              </w:rPr>
              <w:t xml:space="preserve"> </w:t>
            </w:r>
            <w:r>
              <w:rPr>
                <w:color w:val="231F20"/>
                <w:sz w:val="14"/>
              </w:rPr>
              <w:t>силогизма;</w:t>
            </w:r>
          </w:p>
          <w:p w:rsidR="00041039" w:rsidRDefault="001B26CB">
            <w:pPr>
              <w:pStyle w:val="TableParagraph"/>
              <w:numPr>
                <w:ilvl w:val="0"/>
                <w:numId w:val="842"/>
              </w:numPr>
              <w:tabs>
                <w:tab w:val="left" w:pos="157"/>
              </w:tabs>
              <w:spacing w:line="237" w:lineRule="auto"/>
              <w:ind w:right="367" w:hanging="99"/>
              <w:rPr>
                <w:sz w:val="14"/>
              </w:rPr>
            </w:pPr>
            <w:r>
              <w:rPr>
                <w:color w:val="231F20"/>
                <w:sz w:val="14"/>
              </w:rPr>
              <w:t>излаже примере за хипотетички</w:t>
            </w:r>
            <w:r>
              <w:rPr>
                <w:color w:val="231F20"/>
                <w:spacing w:val="-21"/>
                <w:sz w:val="14"/>
              </w:rPr>
              <w:t xml:space="preserve"> </w:t>
            </w:r>
            <w:r>
              <w:rPr>
                <w:color w:val="231F20"/>
                <w:sz w:val="14"/>
              </w:rPr>
              <w:t>и дисјунктивни</w:t>
            </w:r>
            <w:r>
              <w:rPr>
                <w:color w:val="231F20"/>
                <w:spacing w:val="-1"/>
                <w:sz w:val="14"/>
              </w:rPr>
              <w:t xml:space="preserve"> </w:t>
            </w:r>
            <w:r>
              <w:rPr>
                <w:color w:val="231F20"/>
                <w:sz w:val="14"/>
              </w:rPr>
              <w:t>силогизам;</w:t>
            </w:r>
          </w:p>
          <w:p w:rsidR="00041039" w:rsidRDefault="001B26CB">
            <w:pPr>
              <w:pStyle w:val="TableParagraph"/>
              <w:numPr>
                <w:ilvl w:val="0"/>
                <w:numId w:val="842"/>
              </w:numPr>
              <w:tabs>
                <w:tab w:val="left" w:pos="157"/>
              </w:tabs>
              <w:spacing w:line="160" w:lineRule="exact"/>
              <w:ind w:right="84" w:hanging="99"/>
              <w:rPr>
                <w:sz w:val="14"/>
              </w:rPr>
            </w:pPr>
            <w:r>
              <w:rPr>
                <w:color w:val="231F20"/>
                <w:sz w:val="14"/>
              </w:rPr>
              <w:t>повезује форме закључивања у</w:t>
            </w:r>
            <w:r>
              <w:rPr>
                <w:color w:val="231F20"/>
                <w:spacing w:val="-23"/>
                <w:sz w:val="14"/>
              </w:rPr>
              <w:t xml:space="preserve"> </w:t>
            </w:r>
            <w:r>
              <w:rPr>
                <w:color w:val="231F20"/>
                <w:sz w:val="14"/>
              </w:rPr>
              <w:t>облику доказа;</w:t>
            </w:r>
          </w:p>
        </w:tc>
        <w:tc>
          <w:tcPr>
            <w:tcW w:w="2834" w:type="dxa"/>
          </w:tcPr>
          <w:p w:rsidR="00041039" w:rsidRDefault="001B26CB">
            <w:pPr>
              <w:pStyle w:val="TableParagraph"/>
              <w:numPr>
                <w:ilvl w:val="0"/>
                <w:numId w:val="841"/>
              </w:numPr>
              <w:tabs>
                <w:tab w:val="left" w:pos="157"/>
              </w:tabs>
              <w:spacing w:before="10"/>
              <w:ind w:right="140" w:hanging="99"/>
              <w:rPr>
                <w:sz w:val="14"/>
              </w:rPr>
            </w:pPr>
            <w:r>
              <w:rPr>
                <w:color w:val="231F20"/>
                <w:sz w:val="14"/>
              </w:rPr>
              <w:t>Разлика између појма, ствари и</w:t>
            </w:r>
            <w:r>
              <w:rPr>
                <w:color w:val="231F20"/>
                <w:spacing w:val="-20"/>
                <w:sz w:val="14"/>
              </w:rPr>
              <w:t xml:space="preserve"> </w:t>
            </w:r>
            <w:r>
              <w:rPr>
                <w:color w:val="231F20"/>
                <w:sz w:val="14"/>
              </w:rPr>
              <w:t>представе. Врсте</w:t>
            </w:r>
            <w:r>
              <w:rPr>
                <w:color w:val="231F20"/>
                <w:spacing w:val="-1"/>
                <w:sz w:val="14"/>
              </w:rPr>
              <w:t xml:space="preserve"> </w:t>
            </w:r>
            <w:r>
              <w:rPr>
                <w:color w:val="231F20"/>
                <w:sz w:val="14"/>
              </w:rPr>
              <w:t>појмова.</w:t>
            </w:r>
          </w:p>
          <w:p w:rsidR="00041039" w:rsidRDefault="001B26CB">
            <w:pPr>
              <w:pStyle w:val="TableParagraph"/>
              <w:numPr>
                <w:ilvl w:val="0"/>
                <w:numId w:val="841"/>
              </w:numPr>
              <w:tabs>
                <w:tab w:val="left" w:pos="157"/>
              </w:tabs>
              <w:spacing w:line="153" w:lineRule="exact"/>
              <w:ind w:hanging="99"/>
              <w:rPr>
                <w:sz w:val="14"/>
              </w:rPr>
            </w:pPr>
            <w:r>
              <w:rPr>
                <w:color w:val="231F20"/>
                <w:sz w:val="14"/>
              </w:rPr>
              <w:t>Обим и садржај</w:t>
            </w:r>
            <w:r>
              <w:rPr>
                <w:color w:val="231F20"/>
                <w:spacing w:val="-3"/>
                <w:sz w:val="14"/>
              </w:rPr>
              <w:t xml:space="preserve"> </w:t>
            </w:r>
            <w:r>
              <w:rPr>
                <w:color w:val="231F20"/>
                <w:sz w:val="14"/>
              </w:rPr>
              <w:t>појма.</w:t>
            </w:r>
          </w:p>
          <w:p w:rsidR="00041039" w:rsidRDefault="001B26CB">
            <w:pPr>
              <w:pStyle w:val="TableParagraph"/>
              <w:numPr>
                <w:ilvl w:val="0"/>
                <w:numId w:val="841"/>
              </w:numPr>
              <w:tabs>
                <w:tab w:val="left" w:pos="157"/>
              </w:tabs>
              <w:spacing w:line="160" w:lineRule="exact"/>
              <w:ind w:hanging="99"/>
              <w:rPr>
                <w:sz w:val="14"/>
              </w:rPr>
            </w:pPr>
            <w:r>
              <w:rPr>
                <w:color w:val="231F20"/>
                <w:sz w:val="14"/>
              </w:rPr>
              <w:t>Односи међу</w:t>
            </w:r>
            <w:r>
              <w:rPr>
                <w:color w:val="231F20"/>
                <w:spacing w:val="-1"/>
                <w:sz w:val="14"/>
              </w:rPr>
              <w:t xml:space="preserve"> </w:t>
            </w:r>
            <w:r>
              <w:rPr>
                <w:color w:val="231F20"/>
                <w:sz w:val="14"/>
              </w:rPr>
              <w:t>појмовима.</w:t>
            </w:r>
          </w:p>
          <w:p w:rsidR="00041039" w:rsidRDefault="001B26CB">
            <w:pPr>
              <w:pStyle w:val="TableParagraph"/>
              <w:numPr>
                <w:ilvl w:val="0"/>
                <w:numId w:val="841"/>
              </w:numPr>
              <w:tabs>
                <w:tab w:val="left" w:pos="157"/>
              </w:tabs>
              <w:spacing w:line="160" w:lineRule="exact"/>
              <w:ind w:hanging="99"/>
              <w:rPr>
                <w:sz w:val="14"/>
              </w:rPr>
            </w:pPr>
            <w:r>
              <w:rPr>
                <w:color w:val="231F20"/>
                <w:sz w:val="14"/>
              </w:rPr>
              <w:t>Дефиниција и</w:t>
            </w:r>
            <w:r>
              <w:rPr>
                <w:color w:val="231F20"/>
                <w:spacing w:val="-1"/>
                <w:sz w:val="14"/>
              </w:rPr>
              <w:t xml:space="preserve"> </w:t>
            </w:r>
            <w:r>
              <w:rPr>
                <w:color w:val="231F20"/>
                <w:sz w:val="14"/>
              </w:rPr>
              <w:t>деоба.</w:t>
            </w:r>
          </w:p>
          <w:p w:rsidR="00041039" w:rsidRDefault="001B26CB">
            <w:pPr>
              <w:pStyle w:val="TableParagraph"/>
              <w:numPr>
                <w:ilvl w:val="0"/>
                <w:numId w:val="841"/>
              </w:numPr>
              <w:tabs>
                <w:tab w:val="left" w:pos="157"/>
              </w:tabs>
              <w:spacing w:line="160" w:lineRule="exact"/>
              <w:ind w:hanging="99"/>
              <w:rPr>
                <w:sz w:val="14"/>
              </w:rPr>
            </w:pPr>
            <w:r>
              <w:rPr>
                <w:color w:val="231F20"/>
                <w:spacing w:val="-5"/>
                <w:sz w:val="14"/>
              </w:rPr>
              <w:t xml:space="preserve">Суд </w:t>
            </w:r>
            <w:r>
              <w:rPr>
                <w:color w:val="231F20"/>
                <w:sz w:val="14"/>
              </w:rPr>
              <w:t>и врсте</w:t>
            </w:r>
            <w:r>
              <w:rPr>
                <w:color w:val="231F20"/>
                <w:spacing w:val="1"/>
                <w:sz w:val="14"/>
              </w:rPr>
              <w:t xml:space="preserve"> </w:t>
            </w:r>
            <w:r>
              <w:rPr>
                <w:color w:val="231F20"/>
                <w:sz w:val="14"/>
              </w:rPr>
              <w:t>судова.</w:t>
            </w:r>
          </w:p>
          <w:p w:rsidR="00041039" w:rsidRDefault="001B26CB">
            <w:pPr>
              <w:pStyle w:val="TableParagraph"/>
              <w:numPr>
                <w:ilvl w:val="0"/>
                <w:numId w:val="841"/>
              </w:numPr>
              <w:tabs>
                <w:tab w:val="left" w:pos="157"/>
              </w:tabs>
              <w:spacing w:line="237" w:lineRule="auto"/>
              <w:ind w:right="429" w:hanging="99"/>
              <w:rPr>
                <w:sz w:val="14"/>
              </w:rPr>
            </w:pPr>
            <w:r>
              <w:rPr>
                <w:color w:val="231F20"/>
                <w:sz w:val="14"/>
              </w:rPr>
              <w:t xml:space="preserve">Истиносна вредност сложених </w:t>
            </w:r>
            <w:r>
              <w:rPr>
                <w:color w:val="231F20"/>
                <w:spacing w:val="-3"/>
                <w:sz w:val="14"/>
              </w:rPr>
              <w:t xml:space="preserve">судо­ </w:t>
            </w:r>
            <w:r>
              <w:rPr>
                <w:color w:val="231F20"/>
                <w:sz w:val="14"/>
              </w:rPr>
              <w:t>ва (негација, конјукција,</w:t>
            </w:r>
            <w:r>
              <w:rPr>
                <w:color w:val="231F20"/>
                <w:spacing w:val="-17"/>
                <w:sz w:val="14"/>
              </w:rPr>
              <w:t xml:space="preserve"> </w:t>
            </w:r>
            <w:r>
              <w:rPr>
                <w:color w:val="231F20"/>
                <w:sz w:val="14"/>
              </w:rPr>
              <w:t>дисјункција, импликација и</w:t>
            </w:r>
            <w:r>
              <w:rPr>
                <w:color w:val="231F20"/>
                <w:spacing w:val="-4"/>
                <w:sz w:val="14"/>
              </w:rPr>
              <w:t xml:space="preserve"> </w:t>
            </w:r>
            <w:r>
              <w:rPr>
                <w:color w:val="231F20"/>
                <w:sz w:val="14"/>
              </w:rPr>
              <w:t>еквиваленција).</w:t>
            </w:r>
          </w:p>
          <w:p w:rsidR="00041039" w:rsidRDefault="001B26CB">
            <w:pPr>
              <w:pStyle w:val="TableParagraph"/>
              <w:numPr>
                <w:ilvl w:val="0"/>
                <w:numId w:val="841"/>
              </w:numPr>
              <w:tabs>
                <w:tab w:val="left" w:pos="157"/>
              </w:tabs>
              <w:spacing w:line="237" w:lineRule="auto"/>
              <w:ind w:right="967" w:hanging="99"/>
              <w:rPr>
                <w:sz w:val="14"/>
              </w:rPr>
            </w:pPr>
            <w:r>
              <w:rPr>
                <w:color w:val="231F20"/>
                <w:sz w:val="14"/>
              </w:rPr>
              <w:t>Комбинована подела</w:t>
            </w:r>
            <w:r>
              <w:rPr>
                <w:color w:val="231F20"/>
                <w:spacing w:val="-29"/>
                <w:sz w:val="14"/>
              </w:rPr>
              <w:t xml:space="preserve"> </w:t>
            </w:r>
            <w:r>
              <w:rPr>
                <w:color w:val="231F20"/>
                <w:sz w:val="14"/>
              </w:rPr>
              <w:t>судова, расподељеност</w:t>
            </w:r>
            <w:r>
              <w:rPr>
                <w:color w:val="231F20"/>
                <w:spacing w:val="-1"/>
                <w:sz w:val="14"/>
              </w:rPr>
              <w:t xml:space="preserve"> </w:t>
            </w:r>
            <w:r>
              <w:rPr>
                <w:color w:val="231F20"/>
                <w:sz w:val="14"/>
              </w:rPr>
              <w:t>појма.</w:t>
            </w:r>
          </w:p>
          <w:p w:rsidR="00041039" w:rsidRDefault="001B26CB">
            <w:pPr>
              <w:pStyle w:val="TableParagraph"/>
              <w:numPr>
                <w:ilvl w:val="0"/>
                <w:numId w:val="841"/>
              </w:numPr>
              <w:tabs>
                <w:tab w:val="left" w:pos="157"/>
              </w:tabs>
              <w:spacing w:line="155" w:lineRule="exact"/>
              <w:ind w:hanging="99"/>
              <w:rPr>
                <w:sz w:val="14"/>
              </w:rPr>
            </w:pPr>
            <w:r>
              <w:rPr>
                <w:color w:val="231F20"/>
                <w:sz w:val="14"/>
              </w:rPr>
              <w:t>Односи међу судовима (логички</w:t>
            </w:r>
            <w:r>
              <w:rPr>
                <w:color w:val="231F20"/>
                <w:spacing w:val="-11"/>
                <w:sz w:val="14"/>
              </w:rPr>
              <w:t xml:space="preserve"> </w:t>
            </w:r>
            <w:r>
              <w:rPr>
                <w:color w:val="231F20"/>
                <w:sz w:val="14"/>
              </w:rPr>
              <w:t>квадрат).</w:t>
            </w:r>
          </w:p>
          <w:p w:rsidR="00041039" w:rsidRDefault="001B26CB">
            <w:pPr>
              <w:pStyle w:val="TableParagraph"/>
              <w:numPr>
                <w:ilvl w:val="0"/>
                <w:numId w:val="841"/>
              </w:numPr>
              <w:tabs>
                <w:tab w:val="left" w:pos="157"/>
              </w:tabs>
              <w:spacing w:line="160" w:lineRule="exact"/>
              <w:ind w:hanging="99"/>
              <w:rPr>
                <w:sz w:val="14"/>
              </w:rPr>
            </w:pPr>
            <w:r>
              <w:rPr>
                <w:color w:val="231F20"/>
                <w:sz w:val="14"/>
              </w:rPr>
              <w:t>Врсте</w:t>
            </w:r>
            <w:r>
              <w:rPr>
                <w:color w:val="231F20"/>
                <w:spacing w:val="-1"/>
                <w:sz w:val="14"/>
              </w:rPr>
              <w:t xml:space="preserve"> </w:t>
            </w:r>
            <w:r>
              <w:rPr>
                <w:color w:val="231F20"/>
                <w:sz w:val="14"/>
              </w:rPr>
              <w:t>закључивања.</w:t>
            </w:r>
          </w:p>
          <w:p w:rsidR="00041039" w:rsidRDefault="001B26CB">
            <w:pPr>
              <w:pStyle w:val="TableParagraph"/>
              <w:numPr>
                <w:ilvl w:val="0"/>
                <w:numId w:val="841"/>
              </w:numPr>
              <w:tabs>
                <w:tab w:val="left" w:pos="157"/>
              </w:tabs>
              <w:spacing w:line="237" w:lineRule="auto"/>
              <w:ind w:right="329" w:hanging="99"/>
              <w:rPr>
                <w:sz w:val="14"/>
              </w:rPr>
            </w:pPr>
            <w:r>
              <w:rPr>
                <w:color w:val="231F20"/>
                <w:sz w:val="14"/>
              </w:rPr>
              <w:t>Непосредно закључивање ­</w:t>
            </w:r>
            <w:r>
              <w:rPr>
                <w:color w:val="231F20"/>
                <w:spacing w:val="-21"/>
                <w:sz w:val="14"/>
              </w:rPr>
              <w:t xml:space="preserve"> </w:t>
            </w:r>
            <w:r>
              <w:rPr>
                <w:color w:val="231F20"/>
                <w:sz w:val="14"/>
              </w:rPr>
              <w:t>конверзија, обверзија, логички</w:t>
            </w:r>
            <w:r>
              <w:rPr>
                <w:color w:val="231F20"/>
                <w:spacing w:val="-3"/>
                <w:sz w:val="14"/>
              </w:rPr>
              <w:t xml:space="preserve"> квадрат.</w:t>
            </w:r>
          </w:p>
          <w:p w:rsidR="00041039" w:rsidRDefault="001B26CB">
            <w:pPr>
              <w:pStyle w:val="TableParagraph"/>
              <w:numPr>
                <w:ilvl w:val="0"/>
                <w:numId w:val="841"/>
              </w:numPr>
              <w:tabs>
                <w:tab w:val="left" w:pos="157"/>
              </w:tabs>
              <w:spacing w:line="160" w:lineRule="exact"/>
              <w:ind w:right="493" w:hanging="99"/>
              <w:rPr>
                <w:sz w:val="14"/>
              </w:rPr>
            </w:pPr>
            <w:r>
              <w:rPr>
                <w:color w:val="231F20"/>
                <w:sz w:val="14"/>
              </w:rPr>
              <w:t>Посредно закључивање ­ индукција, аналогија и</w:t>
            </w:r>
            <w:r>
              <w:rPr>
                <w:color w:val="231F20"/>
                <w:spacing w:val="-3"/>
                <w:sz w:val="14"/>
              </w:rPr>
              <w:t xml:space="preserve"> </w:t>
            </w:r>
            <w:r>
              <w:rPr>
                <w:color w:val="231F20"/>
                <w:sz w:val="14"/>
              </w:rPr>
              <w:t>дедукција.</w:t>
            </w:r>
          </w:p>
          <w:p w:rsidR="00041039" w:rsidRDefault="001B26CB">
            <w:pPr>
              <w:pStyle w:val="TableParagraph"/>
              <w:numPr>
                <w:ilvl w:val="0"/>
                <w:numId w:val="841"/>
              </w:numPr>
              <w:tabs>
                <w:tab w:val="left" w:pos="157"/>
              </w:tabs>
              <w:spacing w:line="160" w:lineRule="exact"/>
              <w:ind w:right="259" w:hanging="99"/>
              <w:rPr>
                <w:sz w:val="14"/>
              </w:rPr>
            </w:pPr>
            <w:r>
              <w:rPr>
                <w:color w:val="231F20"/>
                <w:sz w:val="14"/>
              </w:rPr>
              <w:t>Фигуре</w:t>
            </w:r>
            <w:r>
              <w:rPr>
                <w:color w:val="231F20"/>
                <w:spacing w:val="-11"/>
                <w:sz w:val="14"/>
              </w:rPr>
              <w:t xml:space="preserve"> </w:t>
            </w:r>
            <w:r>
              <w:rPr>
                <w:color w:val="231F20"/>
                <w:sz w:val="14"/>
              </w:rPr>
              <w:t>категоричког</w:t>
            </w:r>
            <w:r>
              <w:rPr>
                <w:color w:val="231F20"/>
                <w:spacing w:val="-10"/>
                <w:sz w:val="14"/>
              </w:rPr>
              <w:t xml:space="preserve"> </w:t>
            </w:r>
            <w:r>
              <w:rPr>
                <w:color w:val="231F20"/>
                <w:sz w:val="14"/>
              </w:rPr>
              <w:t>силогизма,</w:t>
            </w:r>
            <w:r>
              <w:rPr>
                <w:color w:val="231F20"/>
                <w:spacing w:val="-10"/>
                <w:sz w:val="14"/>
              </w:rPr>
              <w:t xml:space="preserve"> </w:t>
            </w:r>
            <w:r>
              <w:rPr>
                <w:color w:val="231F20"/>
                <w:sz w:val="14"/>
              </w:rPr>
              <w:t>модуси категоричког</w:t>
            </w:r>
            <w:r>
              <w:rPr>
                <w:color w:val="231F20"/>
                <w:spacing w:val="-1"/>
                <w:sz w:val="14"/>
              </w:rPr>
              <w:t xml:space="preserve"> </w:t>
            </w:r>
            <w:r>
              <w:rPr>
                <w:color w:val="231F20"/>
                <w:sz w:val="14"/>
              </w:rPr>
              <w:t>силогизма.</w:t>
            </w:r>
          </w:p>
          <w:p w:rsidR="00041039" w:rsidRDefault="001B26CB">
            <w:pPr>
              <w:pStyle w:val="TableParagraph"/>
              <w:numPr>
                <w:ilvl w:val="0"/>
                <w:numId w:val="841"/>
              </w:numPr>
              <w:tabs>
                <w:tab w:val="left" w:pos="157"/>
              </w:tabs>
              <w:spacing w:line="153" w:lineRule="exact"/>
              <w:ind w:hanging="99"/>
              <w:rPr>
                <w:sz w:val="14"/>
              </w:rPr>
            </w:pPr>
            <w:r>
              <w:rPr>
                <w:color w:val="231F20"/>
                <w:sz w:val="14"/>
              </w:rPr>
              <w:t>Хипотетички и дисјунктивни</w:t>
            </w:r>
            <w:r>
              <w:rPr>
                <w:color w:val="231F20"/>
                <w:spacing w:val="-6"/>
                <w:sz w:val="14"/>
              </w:rPr>
              <w:t xml:space="preserve"> </w:t>
            </w:r>
            <w:r>
              <w:rPr>
                <w:color w:val="231F20"/>
                <w:sz w:val="14"/>
              </w:rPr>
              <w:t>силогизам.</w:t>
            </w:r>
          </w:p>
          <w:p w:rsidR="00041039" w:rsidRDefault="001B26CB">
            <w:pPr>
              <w:pStyle w:val="TableParagraph"/>
              <w:numPr>
                <w:ilvl w:val="0"/>
                <w:numId w:val="841"/>
              </w:numPr>
              <w:tabs>
                <w:tab w:val="left" w:pos="157"/>
              </w:tabs>
              <w:spacing w:line="160" w:lineRule="exact"/>
              <w:ind w:hanging="99"/>
              <w:rPr>
                <w:sz w:val="14"/>
              </w:rPr>
            </w:pPr>
            <w:r>
              <w:rPr>
                <w:color w:val="231F20"/>
                <w:sz w:val="14"/>
              </w:rPr>
              <w:t>Доказ.</w:t>
            </w:r>
          </w:p>
          <w:p w:rsidR="00041039" w:rsidRDefault="001B26CB">
            <w:pPr>
              <w:pStyle w:val="TableParagraph"/>
              <w:numPr>
                <w:ilvl w:val="0"/>
                <w:numId w:val="841"/>
              </w:numPr>
              <w:tabs>
                <w:tab w:val="left" w:pos="157"/>
              </w:tabs>
              <w:spacing w:line="237" w:lineRule="auto"/>
              <w:ind w:right="438" w:hanging="99"/>
              <w:rPr>
                <w:sz w:val="14"/>
              </w:rPr>
            </w:pPr>
            <w:r>
              <w:rPr>
                <w:color w:val="231F20"/>
                <w:sz w:val="14"/>
              </w:rPr>
              <w:t>Примери индуктивног и</w:t>
            </w:r>
            <w:r>
              <w:rPr>
                <w:color w:val="231F20"/>
                <w:spacing w:val="-24"/>
                <w:sz w:val="14"/>
              </w:rPr>
              <w:t xml:space="preserve"> </w:t>
            </w:r>
            <w:r>
              <w:rPr>
                <w:color w:val="231F20"/>
                <w:sz w:val="14"/>
              </w:rPr>
              <w:t>дедуктивног закључивања у</w:t>
            </w:r>
            <w:r>
              <w:rPr>
                <w:color w:val="231F20"/>
                <w:spacing w:val="-2"/>
                <w:sz w:val="14"/>
              </w:rPr>
              <w:t xml:space="preserve"> </w:t>
            </w:r>
            <w:r>
              <w:rPr>
                <w:color w:val="231F20"/>
                <w:sz w:val="14"/>
              </w:rPr>
              <w:t>наукама.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Логичке грешке</w:t>
            </w:r>
          </w:p>
        </w:tc>
        <w:tc>
          <w:tcPr>
            <w:tcW w:w="1587" w:type="dxa"/>
          </w:tcPr>
          <w:p w:rsidR="00041039" w:rsidRDefault="001B26CB">
            <w:pPr>
              <w:pStyle w:val="TableParagraph"/>
              <w:numPr>
                <w:ilvl w:val="0"/>
                <w:numId w:val="840"/>
              </w:numPr>
              <w:tabs>
                <w:tab w:val="left" w:pos="157"/>
              </w:tabs>
              <w:spacing w:before="8"/>
              <w:ind w:right="136"/>
              <w:rPr>
                <w:sz w:val="14"/>
              </w:rPr>
            </w:pPr>
            <w:r>
              <w:rPr>
                <w:color w:val="231F20"/>
                <w:sz w:val="14"/>
              </w:rPr>
              <w:t>Оспособљавање ученика за уочавање грешака у</w:t>
            </w:r>
            <w:r>
              <w:rPr>
                <w:color w:val="231F20"/>
                <w:spacing w:val="-8"/>
                <w:sz w:val="14"/>
              </w:rPr>
              <w:t xml:space="preserve"> </w:t>
            </w:r>
            <w:r>
              <w:rPr>
                <w:color w:val="231F20"/>
                <w:sz w:val="14"/>
              </w:rPr>
              <w:t>аргумента­ цији, закључивању и доказивању.</w:t>
            </w:r>
          </w:p>
        </w:tc>
        <w:tc>
          <w:tcPr>
            <w:tcW w:w="2551" w:type="dxa"/>
          </w:tcPr>
          <w:p w:rsidR="00041039" w:rsidRDefault="001B26CB">
            <w:pPr>
              <w:pStyle w:val="TableParagraph"/>
              <w:numPr>
                <w:ilvl w:val="0"/>
                <w:numId w:val="839"/>
              </w:numPr>
              <w:tabs>
                <w:tab w:val="left" w:pos="157"/>
              </w:tabs>
              <w:spacing w:before="8"/>
              <w:ind w:right="58" w:hanging="99"/>
              <w:rPr>
                <w:sz w:val="14"/>
              </w:rPr>
            </w:pPr>
            <w:r>
              <w:rPr>
                <w:color w:val="231F20"/>
                <w:sz w:val="14"/>
              </w:rPr>
              <w:t xml:space="preserve">разликује случајне </w:t>
            </w:r>
            <w:r>
              <w:rPr>
                <w:color w:val="231F20"/>
                <w:spacing w:val="-3"/>
                <w:sz w:val="14"/>
              </w:rPr>
              <w:t xml:space="preserve">од </w:t>
            </w:r>
            <w:r>
              <w:rPr>
                <w:color w:val="231F20"/>
                <w:sz w:val="14"/>
              </w:rPr>
              <w:t>намерних логич­ ких</w:t>
            </w:r>
            <w:r>
              <w:rPr>
                <w:color w:val="231F20"/>
                <w:spacing w:val="-1"/>
                <w:sz w:val="14"/>
              </w:rPr>
              <w:t xml:space="preserve"> </w:t>
            </w:r>
            <w:r>
              <w:rPr>
                <w:color w:val="231F20"/>
                <w:sz w:val="14"/>
              </w:rPr>
              <w:t>грешака;</w:t>
            </w:r>
          </w:p>
          <w:p w:rsidR="00041039" w:rsidRDefault="001B26CB">
            <w:pPr>
              <w:pStyle w:val="TableParagraph"/>
              <w:numPr>
                <w:ilvl w:val="0"/>
                <w:numId w:val="839"/>
              </w:numPr>
              <w:tabs>
                <w:tab w:val="left" w:pos="157"/>
              </w:tabs>
              <w:spacing w:line="153" w:lineRule="exact"/>
              <w:ind w:hanging="99"/>
              <w:rPr>
                <w:sz w:val="14"/>
              </w:rPr>
            </w:pPr>
            <w:r>
              <w:rPr>
                <w:color w:val="231F20"/>
                <w:sz w:val="14"/>
              </w:rPr>
              <w:t>примењује форме закључка и</w:t>
            </w:r>
            <w:r>
              <w:rPr>
                <w:color w:val="231F20"/>
                <w:spacing w:val="-12"/>
                <w:sz w:val="14"/>
              </w:rPr>
              <w:t xml:space="preserve"> </w:t>
            </w:r>
            <w:r>
              <w:rPr>
                <w:color w:val="231F20"/>
                <w:sz w:val="14"/>
              </w:rPr>
              <w:t>доказа;</w:t>
            </w:r>
          </w:p>
          <w:p w:rsidR="00041039" w:rsidRDefault="001B26CB">
            <w:pPr>
              <w:pStyle w:val="TableParagraph"/>
              <w:numPr>
                <w:ilvl w:val="0"/>
                <w:numId w:val="839"/>
              </w:numPr>
              <w:tabs>
                <w:tab w:val="left" w:pos="157"/>
              </w:tabs>
              <w:spacing w:line="237" w:lineRule="auto"/>
              <w:ind w:right="118" w:hanging="99"/>
              <w:rPr>
                <w:sz w:val="14"/>
              </w:rPr>
            </w:pPr>
            <w:r>
              <w:rPr>
                <w:color w:val="231F20"/>
                <w:sz w:val="14"/>
              </w:rPr>
              <w:t>препознаје</w:t>
            </w:r>
            <w:r>
              <w:rPr>
                <w:color w:val="231F20"/>
                <w:spacing w:val="-8"/>
                <w:sz w:val="14"/>
              </w:rPr>
              <w:t xml:space="preserve"> </w:t>
            </w:r>
            <w:r>
              <w:rPr>
                <w:color w:val="231F20"/>
                <w:sz w:val="14"/>
              </w:rPr>
              <w:t>и</w:t>
            </w:r>
            <w:r>
              <w:rPr>
                <w:color w:val="231F20"/>
                <w:spacing w:val="-8"/>
                <w:sz w:val="14"/>
              </w:rPr>
              <w:t xml:space="preserve"> </w:t>
            </w:r>
            <w:r>
              <w:rPr>
                <w:color w:val="231F20"/>
                <w:sz w:val="14"/>
              </w:rPr>
              <w:t>именује</w:t>
            </w:r>
            <w:r>
              <w:rPr>
                <w:color w:val="231F20"/>
                <w:spacing w:val="-8"/>
                <w:sz w:val="14"/>
              </w:rPr>
              <w:t xml:space="preserve"> </w:t>
            </w:r>
            <w:r>
              <w:rPr>
                <w:color w:val="231F20"/>
                <w:sz w:val="14"/>
              </w:rPr>
              <w:t>логичке</w:t>
            </w:r>
            <w:r>
              <w:rPr>
                <w:color w:val="231F20"/>
                <w:spacing w:val="-7"/>
                <w:sz w:val="14"/>
              </w:rPr>
              <w:t xml:space="preserve"> </w:t>
            </w:r>
            <w:r>
              <w:rPr>
                <w:color w:val="231F20"/>
                <w:sz w:val="14"/>
              </w:rPr>
              <w:t>грешке: увођење четвртог појма у силогизам, не расподељен појам, замена теза, argumentum ad hominem, post hoc ergo propter hoc;</w:t>
            </w:r>
          </w:p>
        </w:tc>
        <w:tc>
          <w:tcPr>
            <w:tcW w:w="2834" w:type="dxa"/>
          </w:tcPr>
          <w:p w:rsidR="00041039" w:rsidRDefault="001B26CB">
            <w:pPr>
              <w:pStyle w:val="TableParagraph"/>
              <w:numPr>
                <w:ilvl w:val="0"/>
                <w:numId w:val="838"/>
              </w:numPr>
              <w:tabs>
                <w:tab w:val="left" w:pos="157"/>
              </w:tabs>
              <w:spacing w:before="8" w:line="166" w:lineRule="exact"/>
              <w:ind w:hanging="99"/>
              <w:rPr>
                <w:sz w:val="14"/>
              </w:rPr>
            </w:pPr>
            <w:r>
              <w:rPr>
                <w:color w:val="231F20"/>
                <w:sz w:val="14"/>
              </w:rPr>
              <w:t>Паралогизми и</w:t>
            </w:r>
            <w:r>
              <w:rPr>
                <w:color w:val="231F20"/>
                <w:spacing w:val="-2"/>
                <w:sz w:val="14"/>
              </w:rPr>
              <w:t xml:space="preserve"> </w:t>
            </w:r>
            <w:r>
              <w:rPr>
                <w:color w:val="231F20"/>
                <w:sz w:val="14"/>
              </w:rPr>
              <w:t>софизми.</w:t>
            </w:r>
          </w:p>
          <w:p w:rsidR="00041039" w:rsidRDefault="001B26CB">
            <w:pPr>
              <w:pStyle w:val="TableParagraph"/>
              <w:numPr>
                <w:ilvl w:val="0"/>
                <w:numId w:val="838"/>
              </w:numPr>
              <w:tabs>
                <w:tab w:val="left" w:pos="157"/>
              </w:tabs>
              <w:spacing w:line="160"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pacing w:val="-3"/>
                <w:sz w:val="14"/>
              </w:rPr>
              <w:t>закључку.</w:t>
            </w:r>
          </w:p>
          <w:p w:rsidR="00041039" w:rsidRDefault="001B26CB">
            <w:pPr>
              <w:pStyle w:val="TableParagraph"/>
              <w:numPr>
                <w:ilvl w:val="0"/>
                <w:numId w:val="838"/>
              </w:numPr>
              <w:tabs>
                <w:tab w:val="left" w:pos="157"/>
              </w:tabs>
              <w:spacing w:line="160"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pacing w:val="-3"/>
                <w:sz w:val="14"/>
              </w:rPr>
              <w:t>доказу.</w:t>
            </w:r>
          </w:p>
          <w:p w:rsidR="00041039" w:rsidRDefault="001B26CB">
            <w:pPr>
              <w:pStyle w:val="TableParagraph"/>
              <w:numPr>
                <w:ilvl w:val="0"/>
                <w:numId w:val="838"/>
              </w:numPr>
              <w:tabs>
                <w:tab w:val="left" w:pos="157"/>
              </w:tabs>
              <w:spacing w:line="166"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z w:val="14"/>
              </w:rPr>
              <w:t>аргументацији.</w:t>
            </w:r>
          </w:p>
        </w:tc>
        <w:tc>
          <w:tcPr>
            <w:tcW w:w="2267" w:type="dxa"/>
            <w:vMerge w:val="restart"/>
          </w:tcPr>
          <w:p w:rsidR="00041039" w:rsidRDefault="00041039">
            <w:pPr>
              <w:pStyle w:val="TableParagraph"/>
              <w:ind w:left="0"/>
              <w:rPr>
                <w:sz w:val="14"/>
              </w:rPr>
            </w:pPr>
          </w:p>
        </w:tc>
      </w:tr>
      <w:tr w:rsidR="00041039">
        <w:trPr>
          <w:trHeight w:val="1000"/>
        </w:trPr>
        <w:tc>
          <w:tcPr>
            <w:tcW w:w="1304" w:type="dxa"/>
          </w:tcPr>
          <w:p w:rsidR="00041039" w:rsidRDefault="001B26CB">
            <w:pPr>
              <w:pStyle w:val="TableParagraph"/>
              <w:spacing w:before="18"/>
              <w:ind w:left="56" w:right="174"/>
              <w:rPr>
                <w:sz w:val="14"/>
              </w:rPr>
            </w:pPr>
            <w:r>
              <w:rPr>
                <w:color w:val="231F20"/>
                <w:sz w:val="14"/>
              </w:rPr>
              <w:t>Појам и значај етике</w:t>
            </w:r>
          </w:p>
        </w:tc>
        <w:tc>
          <w:tcPr>
            <w:tcW w:w="1587" w:type="dxa"/>
          </w:tcPr>
          <w:p w:rsidR="00041039" w:rsidRDefault="001B26CB">
            <w:pPr>
              <w:pStyle w:val="TableParagraph"/>
              <w:numPr>
                <w:ilvl w:val="0"/>
                <w:numId w:val="837"/>
              </w:numPr>
              <w:tabs>
                <w:tab w:val="left" w:pos="157"/>
              </w:tabs>
              <w:spacing w:before="8"/>
              <w:ind w:right="50"/>
              <w:rPr>
                <w:sz w:val="14"/>
              </w:rPr>
            </w:pPr>
            <w:r>
              <w:rPr>
                <w:color w:val="231F20"/>
                <w:sz w:val="14"/>
              </w:rPr>
              <w:t xml:space="preserve">Развој сазнања о појму и предмету етике, зна­ чају моралних норми за живот појединца у </w:t>
            </w:r>
            <w:r>
              <w:rPr>
                <w:color w:val="231F20"/>
                <w:spacing w:val="-3"/>
                <w:sz w:val="14"/>
              </w:rPr>
              <w:t>друштву.</w:t>
            </w:r>
          </w:p>
        </w:tc>
        <w:tc>
          <w:tcPr>
            <w:tcW w:w="2551" w:type="dxa"/>
          </w:tcPr>
          <w:p w:rsidR="00041039" w:rsidRDefault="001B26CB">
            <w:pPr>
              <w:pStyle w:val="TableParagraph"/>
              <w:numPr>
                <w:ilvl w:val="0"/>
                <w:numId w:val="836"/>
              </w:numPr>
              <w:tabs>
                <w:tab w:val="left" w:pos="157"/>
              </w:tabs>
              <w:spacing w:before="8"/>
              <w:ind w:right="50" w:hanging="99"/>
              <w:jc w:val="both"/>
              <w:rPr>
                <w:sz w:val="14"/>
              </w:rPr>
            </w:pPr>
            <w:r>
              <w:rPr>
                <w:color w:val="231F20"/>
                <w:sz w:val="14"/>
              </w:rPr>
              <w:t>набраја правила (норме) из</w:t>
            </w:r>
            <w:r>
              <w:rPr>
                <w:color w:val="231F20"/>
                <w:spacing w:val="-17"/>
                <w:sz w:val="14"/>
              </w:rPr>
              <w:t xml:space="preserve"> </w:t>
            </w:r>
            <w:r>
              <w:rPr>
                <w:color w:val="231F20"/>
                <w:sz w:val="14"/>
              </w:rPr>
              <w:t>различитих сфера</w:t>
            </w:r>
            <w:r>
              <w:rPr>
                <w:color w:val="231F20"/>
                <w:spacing w:val="-1"/>
                <w:sz w:val="14"/>
              </w:rPr>
              <w:t xml:space="preserve"> </w:t>
            </w:r>
            <w:r>
              <w:rPr>
                <w:color w:val="231F20"/>
                <w:sz w:val="14"/>
              </w:rPr>
              <w:t>живота;</w:t>
            </w:r>
          </w:p>
          <w:p w:rsidR="00041039" w:rsidRDefault="001B26CB">
            <w:pPr>
              <w:pStyle w:val="TableParagraph"/>
              <w:numPr>
                <w:ilvl w:val="0"/>
                <w:numId w:val="836"/>
              </w:numPr>
              <w:tabs>
                <w:tab w:val="left" w:pos="157"/>
              </w:tabs>
              <w:spacing w:before="1" w:line="160" w:lineRule="exact"/>
              <w:ind w:right="71" w:hanging="99"/>
              <w:jc w:val="both"/>
              <w:rPr>
                <w:sz w:val="14"/>
              </w:rPr>
            </w:pPr>
            <w:r>
              <w:rPr>
                <w:color w:val="231F20"/>
                <w:sz w:val="14"/>
              </w:rPr>
              <w:t>издваја правила која слободно</w:t>
            </w:r>
            <w:r>
              <w:rPr>
                <w:color w:val="231F20"/>
                <w:spacing w:val="-27"/>
                <w:sz w:val="14"/>
              </w:rPr>
              <w:t xml:space="preserve"> </w:t>
            </w:r>
            <w:r>
              <w:rPr>
                <w:color w:val="231F20"/>
                <w:sz w:val="14"/>
              </w:rPr>
              <w:t xml:space="preserve">прихва­ тамо и разликује их </w:t>
            </w:r>
            <w:r>
              <w:rPr>
                <w:color w:val="231F20"/>
                <w:spacing w:val="-3"/>
                <w:sz w:val="14"/>
              </w:rPr>
              <w:t xml:space="preserve">од </w:t>
            </w:r>
            <w:r>
              <w:rPr>
                <w:color w:val="231F20"/>
                <w:sz w:val="14"/>
              </w:rPr>
              <w:t>оних која</w:t>
            </w:r>
            <w:r>
              <w:rPr>
                <w:color w:val="231F20"/>
                <w:spacing w:val="-10"/>
                <w:sz w:val="14"/>
              </w:rPr>
              <w:t xml:space="preserve"> </w:t>
            </w:r>
            <w:r>
              <w:rPr>
                <w:color w:val="231F20"/>
                <w:sz w:val="14"/>
              </w:rPr>
              <w:t>имају спољашње</w:t>
            </w:r>
            <w:r>
              <w:rPr>
                <w:color w:val="231F20"/>
                <w:spacing w:val="-1"/>
                <w:sz w:val="14"/>
              </w:rPr>
              <w:t xml:space="preserve"> </w:t>
            </w:r>
            <w:r>
              <w:rPr>
                <w:color w:val="231F20"/>
                <w:sz w:val="14"/>
              </w:rPr>
              <w:t>порекло;</w:t>
            </w:r>
          </w:p>
          <w:p w:rsidR="00041039" w:rsidRDefault="001B26CB">
            <w:pPr>
              <w:pStyle w:val="TableParagraph"/>
              <w:numPr>
                <w:ilvl w:val="0"/>
                <w:numId w:val="836"/>
              </w:numPr>
              <w:tabs>
                <w:tab w:val="left" w:pos="157"/>
              </w:tabs>
              <w:spacing w:line="159" w:lineRule="exact"/>
              <w:ind w:hanging="99"/>
              <w:jc w:val="both"/>
              <w:rPr>
                <w:sz w:val="14"/>
              </w:rPr>
            </w:pPr>
            <w:r>
              <w:rPr>
                <w:color w:val="231F20"/>
                <w:sz w:val="14"/>
              </w:rPr>
              <w:t>дефинише предмет</w:t>
            </w:r>
            <w:r>
              <w:rPr>
                <w:color w:val="231F20"/>
                <w:spacing w:val="-1"/>
                <w:sz w:val="14"/>
              </w:rPr>
              <w:t xml:space="preserve"> </w:t>
            </w:r>
            <w:r>
              <w:rPr>
                <w:color w:val="231F20"/>
                <w:sz w:val="14"/>
              </w:rPr>
              <w:t>етике;</w:t>
            </w:r>
          </w:p>
        </w:tc>
        <w:tc>
          <w:tcPr>
            <w:tcW w:w="2834" w:type="dxa"/>
          </w:tcPr>
          <w:p w:rsidR="00041039" w:rsidRDefault="001B26CB">
            <w:pPr>
              <w:pStyle w:val="TableParagraph"/>
              <w:numPr>
                <w:ilvl w:val="0"/>
                <w:numId w:val="835"/>
              </w:numPr>
              <w:tabs>
                <w:tab w:val="left" w:pos="157"/>
              </w:tabs>
              <w:spacing w:before="8" w:line="166" w:lineRule="exact"/>
              <w:ind w:hanging="99"/>
              <w:rPr>
                <w:sz w:val="14"/>
              </w:rPr>
            </w:pPr>
            <w:r>
              <w:rPr>
                <w:color w:val="231F20"/>
                <w:sz w:val="14"/>
              </w:rPr>
              <w:t>Настанак и предмет</w:t>
            </w:r>
            <w:r>
              <w:rPr>
                <w:color w:val="231F20"/>
                <w:spacing w:val="-2"/>
                <w:sz w:val="14"/>
              </w:rPr>
              <w:t xml:space="preserve"> </w:t>
            </w:r>
            <w:r>
              <w:rPr>
                <w:color w:val="231F20"/>
                <w:sz w:val="14"/>
              </w:rPr>
              <w:t>етике.</w:t>
            </w:r>
          </w:p>
          <w:p w:rsidR="00041039" w:rsidRDefault="001B26CB">
            <w:pPr>
              <w:pStyle w:val="TableParagraph"/>
              <w:numPr>
                <w:ilvl w:val="0"/>
                <w:numId w:val="835"/>
              </w:numPr>
              <w:tabs>
                <w:tab w:val="left" w:pos="157"/>
              </w:tabs>
              <w:spacing w:line="160" w:lineRule="exact"/>
              <w:ind w:hanging="99"/>
              <w:rPr>
                <w:sz w:val="14"/>
              </w:rPr>
            </w:pPr>
            <w:r>
              <w:rPr>
                <w:color w:val="231F20"/>
                <w:sz w:val="14"/>
              </w:rPr>
              <w:t>Појам норме и појам</w:t>
            </w:r>
            <w:r>
              <w:rPr>
                <w:color w:val="231F20"/>
                <w:spacing w:val="-5"/>
                <w:sz w:val="14"/>
              </w:rPr>
              <w:t xml:space="preserve"> </w:t>
            </w:r>
            <w:r>
              <w:rPr>
                <w:color w:val="231F20"/>
                <w:sz w:val="14"/>
              </w:rPr>
              <w:t>морала.</w:t>
            </w:r>
          </w:p>
          <w:p w:rsidR="00041039" w:rsidRDefault="001B26CB">
            <w:pPr>
              <w:pStyle w:val="TableParagraph"/>
              <w:numPr>
                <w:ilvl w:val="0"/>
                <w:numId w:val="835"/>
              </w:numPr>
              <w:tabs>
                <w:tab w:val="left" w:pos="157"/>
              </w:tabs>
              <w:spacing w:line="237" w:lineRule="auto"/>
              <w:ind w:right="430" w:hanging="99"/>
              <w:rPr>
                <w:sz w:val="14"/>
              </w:rPr>
            </w:pPr>
            <w:r>
              <w:rPr>
                <w:color w:val="231F20"/>
                <w:sz w:val="14"/>
              </w:rPr>
              <w:t>Разлика између обичајних, правних</w:t>
            </w:r>
            <w:r>
              <w:rPr>
                <w:color w:val="231F20"/>
                <w:spacing w:val="-16"/>
                <w:sz w:val="14"/>
              </w:rPr>
              <w:t xml:space="preserve"> </w:t>
            </w:r>
            <w:r>
              <w:rPr>
                <w:color w:val="231F20"/>
                <w:sz w:val="14"/>
              </w:rPr>
              <w:t>и етичких</w:t>
            </w:r>
            <w:r>
              <w:rPr>
                <w:color w:val="231F20"/>
                <w:spacing w:val="-1"/>
                <w:sz w:val="14"/>
              </w:rPr>
              <w:t xml:space="preserve"> </w:t>
            </w:r>
            <w:r>
              <w:rPr>
                <w:color w:val="231F20"/>
                <w:sz w:val="14"/>
              </w:rPr>
              <w:t>норми.</w:t>
            </w:r>
          </w:p>
        </w:tc>
        <w:tc>
          <w:tcPr>
            <w:tcW w:w="2267" w:type="dxa"/>
            <w:vMerge/>
            <w:tcBorders>
              <w:top w:val="nil"/>
            </w:tcBorders>
          </w:tcPr>
          <w:p w:rsidR="00041039" w:rsidRDefault="00041039">
            <w:pPr>
              <w:rPr>
                <w:sz w:val="2"/>
                <w:szCs w:val="2"/>
              </w:rPr>
            </w:pPr>
          </w:p>
        </w:tc>
      </w:tr>
      <w:tr w:rsidR="00041039">
        <w:trPr>
          <w:trHeight w:val="2600"/>
        </w:trPr>
        <w:tc>
          <w:tcPr>
            <w:tcW w:w="1304" w:type="dxa"/>
          </w:tcPr>
          <w:p w:rsidR="00041039" w:rsidRDefault="001B26CB">
            <w:pPr>
              <w:pStyle w:val="TableParagraph"/>
              <w:spacing w:before="18"/>
              <w:ind w:left="56" w:right="37"/>
              <w:rPr>
                <w:sz w:val="14"/>
              </w:rPr>
            </w:pPr>
            <w:r>
              <w:rPr>
                <w:color w:val="231F20"/>
                <w:sz w:val="14"/>
              </w:rPr>
              <w:t>Лични, идентитет, слобода и одговор­ ност</w:t>
            </w:r>
          </w:p>
        </w:tc>
        <w:tc>
          <w:tcPr>
            <w:tcW w:w="1587" w:type="dxa"/>
          </w:tcPr>
          <w:p w:rsidR="00041039" w:rsidRDefault="001B26CB">
            <w:pPr>
              <w:pStyle w:val="TableParagraph"/>
              <w:numPr>
                <w:ilvl w:val="0"/>
                <w:numId w:val="834"/>
              </w:numPr>
              <w:tabs>
                <w:tab w:val="left" w:pos="157"/>
              </w:tabs>
              <w:spacing w:before="8"/>
              <w:ind w:right="88"/>
              <w:rPr>
                <w:sz w:val="14"/>
              </w:rPr>
            </w:pPr>
            <w:r>
              <w:rPr>
                <w:color w:val="231F20"/>
                <w:sz w:val="14"/>
              </w:rPr>
              <w:t xml:space="preserve">Развој сазнања о </w:t>
            </w:r>
            <w:r>
              <w:rPr>
                <w:color w:val="231F20"/>
                <w:spacing w:val="-3"/>
                <w:sz w:val="14"/>
              </w:rPr>
              <w:t xml:space="preserve">идентитету, </w:t>
            </w:r>
            <w:r>
              <w:rPr>
                <w:color w:val="231F20"/>
                <w:sz w:val="14"/>
              </w:rPr>
              <w:t xml:space="preserve">форми­ рању идентитета и о флуидности иденти­ тета </w:t>
            </w:r>
            <w:r>
              <w:rPr>
                <w:color w:val="231F20"/>
                <w:spacing w:val="-3"/>
                <w:sz w:val="14"/>
              </w:rPr>
              <w:t xml:space="preserve">преко </w:t>
            </w:r>
            <w:r>
              <w:rPr>
                <w:color w:val="231F20"/>
                <w:sz w:val="14"/>
              </w:rPr>
              <w:t>социјалних улога.</w:t>
            </w:r>
          </w:p>
          <w:p w:rsidR="00041039" w:rsidRDefault="001B26CB">
            <w:pPr>
              <w:pStyle w:val="TableParagraph"/>
              <w:numPr>
                <w:ilvl w:val="0"/>
                <w:numId w:val="834"/>
              </w:numPr>
              <w:tabs>
                <w:tab w:val="left" w:pos="157"/>
              </w:tabs>
              <w:spacing w:line="154" w:lineRule="exact"/>
              <w:rPr>
                <w:sz w:val="14"/>
              </w:rPr>
            </w:pPr>
            <w:r>
              <w:rPr>
                <w:color w:val="231F20"/>
                <w:sz w:val="14"/>
              </w:rPr>
              <w:t>Развој способности</w:t>
            </w:r>
          </w:p>
          <w:p w:rsidR="00041039" w:rsidRDefault="001B26CB">
            <w:pPr>
              <w:pStyle w:val="TableParagraph"/>
              <w:ind w:right="33"/>
              <w:rPr>
                <w:sz w:val="14"/>
              </w:rPr>
            </w:pPr>
            <w:r>
              <w:rPr>
                <w:color w:val="231F20"/>
                <w:sz w:val="14"/>
              </w:rPr>
              <w:t>идентификовања раз­ ликовања појмова пол и род и утицај културе на формирање појмова пола и рода (разлике у културама).</w:t>
            </w:r>
          </w:p>
          <w:p w:rsidR="00041039" w:rsidRDefault="001B26CB">
            <w:pPr>
              <w:pStyle w:val="TableParagraph"/>
              <w:numPr>
                <w:ilvl w:val="0"/>
                <w:numId w:val="834"/>
              </w:numPr>
              <w:tabs>
                <w:tab w:val="left" w:pos="157"/>
              </w:tabs>
              <w:spacing w:line="155" w:lineRule="exact"/>
              <w:rPr>
                <w:sz w:val="14"/>
              </w:rPr>
            </w:pPr>
            <w:r>
              <w:rPr>
                <w:color w:val="231F20"/>
                <w:sz w:val="14"/>
              </w:rPr>
              <w:t>Формирање става</w:t>
            </w:r>
            <w:r>
              <w:rPr>
                <w:color w:val="231F20"/>
                <w:spacing w:val="-2"/>
                <w:sz w:val="14"/>
              </w:rPr>
              <w:t xml:space="preserve"> </w:t>
            </w:r>
            <w:r>
              <w:rPr>
                <w:color w:val="231F20"/>
                <w:sz w:val="14"/>
              </w:rPr>
              <w:t>о</w:t>
            </w:r>
          </w:p>
          <w:p w:rsidR="00041039" w:rsidRDefault="001B26CB">
            <w:pPr>
              <w:pStyle w:val="TableParagraph"/>
              <w:ind w:right="15"/>
              <w:rPr>
                <w:sz w:val="14"/>
              </w:rPr>
            </w:pPr>
            <w:r>
              <w:rPr>
                <w:color w:val="231F20"/>
                <w:sz w:val="14"/>
              </w:rPr>
              <w:t>улози медија у креи­ рању идентитета.</w:t>
            </w:r>
          </w:p>
        </w:tc>
        <w:tc>
          <w:tcPr>
            <w:tcW w:w="2551" w:type="dxa"/>
          </w:tcPr>
          <w:p w:rsidR="00041039" w:rsidRDefault="001B26CB">
            <w:pPr>
              <w:pStyle w:val="TableParagraph"/>
              <w:numPr>
                <w:ilvl w:val="0"/>
                <w:numId w:val="833"/>
              </w:numPr>
              <w:tabs>
                <w:tab w:val="left" w:pos="157"/>
              </w:tabs>
              <w:spacing w:before="9"/>
              <w:ind w:right="77" w:hanging="99"/>
              <w:rPr>
                <w:sz w:val="14"/>
              </w:rPr>
            </w:pPr>
            <w:r>
              <w:rPr>
                <w:color w:val="231F20"/>
                <w:sz w:val="14"/>
              </w:rPr>
              <w:t xml:space="preserve">набраја </w:t>
            </w:r>
            <w:r>
              <w:rPr>
                <w:color w:val="231F20"/>
                <w:spacing w:val="-3"/>
                <w:sz w:val="14"/>
              </w:rPr>
              <w:t xml:space="preserve">како </w:t>
            </w:r>
            <w:r>
              <w:rPr>
                <w:color w:val="231F20"/>
                <w:sz w:val="14"/>
              </w:rPr>
              <w:t>се све манифестује лични идентитет;</w:t>
            </w:r>
          </w:p>
          <w:p w:rsidR="00041039" w:rsidRDefault="001B26CB">
            <w:pPr>
              <w:pStyle w:val="TableParagraph"/>
              <w:numPr>
                <w:ilvl w:val="0"/>
                <w:numId w:val="833"/>
              </w:numPr>
              <w:tabs>
                <w:tab w:val="left" w:pos="157"/>
              </w:tabs>
              <w:spacing w:line="160" w:lineRule="exact"/>
              <w:ind w:right="44" w:hanging="99"/>
              <w:rPr>
                <w:sz w:val="14"/>
              </w:rPr>
            </w:pPr>
            <w:r>
              <w:rPr>
                <w:color w:val="231F20"/>
                <w:sz w:val="14"/>
              </w:rPr>
              <w:t>разликује утицаје који формирају лични</w:t>
            </w:r>
            <w:r>
              <w:rPr>
                <w:color w:val="231F20"/>
                <w:spacing w:val="-6"/>
                <w:sz w:val="14"/>
              </w:rPr>
              <w:t xml:space="preserve"> </w:t>
            </w:r>
            <w:r>
              <w:rPr>
                <w:color w:val="231F20"/>
                <w:sz w:val="14"/>
              </w:rPr>
              <w:t>идентитет</w:t>
            </w:r>
            <w:r>
              <w:rPr>
                <w:color w:val="231F20"/>
                <w:spacing w:val="-6"/>
                <w:sz w:val="14"/>
              </w:rPr>
              <w:t xml:space="preserve"> </w:t>
            </w:r>
            <w:r>
              <w:rPr>
                <w:color w:val="231F20"/>
                <w:sz w:val="14"/>
              </w:rPr>
              <w:t>(разликује</w:t>
            </w:r>
            <w:r>
              <w:rPr>
                <w:color w:val="231F20"/>
                <w:spacing w:val="-6"/>
                <w:sz w:val="14"/>
              </w:rPr>
              <w:t xml:space="preserve"> </w:t>
            </w:r>
            <w:r>
              <w:rPr>
                <w:color w:val="231F20"/>
                <w:sz w:val="14"/>
              </w:rPr>
              <w:t>род</w:t>
            </w:r>
            <w:r>
              <w:rPr>
                <w:color w:val="231F20"/>
                <w:spacing w:val="-6"/>
                <w:sz w:val="14"/>
              </w:rPr>
              <w:t xml:space="preserve"> </w:t>
            </w:r>
            <w:r>
              <w:rPr>
                <w:color w:val="231F20"/>
                <w:sz w:val="14"/>
              </w:rPr>
              <w:t>и</w:t>
            </w:r>
            <w:r>
              <w:rPr>
                <w:color w:val="231F20"/>
                <w:spacing w:val="-6"/>
                <w:sz w:val="14"/>
              </w:rPr>
              <w:t xml:space="preserve"> </w:t>
            </w:r>
            <w:r>
              <w:rPr>
                <w:color w:val="231F20"/>
                <w:sz w:val="14"/>
              </w:rPr>
              <w:t>пол);</w:t>
            </w:r>
          </w:p>
          <w:p w:rsidR="00041039" w:rsidRDefault="001B26CB">
            <w:pPr>
              <w:pStyle w:val="TableParagraph"/>
              <w:numPr>
                <w:ilvl w:val="0"/>
                <w:numId w:val="833"/>
              </w:numPr>
              <w:tabs>
                <w:tab w:val="left" w:pos="157"/>
              </w:tabs>
              <w:spacing w:line="160" w:lineRule="exact"/>
              <w:ind w:right="208" w:hanging="99"/>
              <w:rPr>
                <w:sz w:val="14"/>
              </w:rPr>
            </w:pPr>
            <w:r>
              <w:rPr>
                <w:color w:val="231F20"/>
                <w:sz w:val="14"/>
              </w:rPr>
              <w:t xml:space="preserve">увиђа </w:t>
            </w:r>
            <w:r>
              <w:rPr>
                <w:color w:val="231F20"/>
                <w:spacing w:val="-3"/>
                <w:sz w:val="14"/>
              </w:rPr>
              <w:t xml:space="preserve">колика </w:t>
            </w:r>
            <w:r>
              <w:rPr>
                <w:color w:val="231F20"/>
                <w:sz w:val="14"/>
              </w:rPr>
              <w:t>је моћ визуелног иден­ титета;</w:t>
            </w:r>
          </w:p>
          <w:p w:rsidR="00041039" w:rsidRDefault="001B26CB">
            <w:pPr>
              <w:pStyle w:val="TableParagraph"/>
              <w:numPr>
                <w:ilvl w:val="0"/>
                <w:numId w:val="833"/>
              </w:numPr>
              <w:tabs>
                <w:tab w:val="left" w:pos="157"/>
              </w:tabs>
              <w:spacing w:line="160" w:lineRule="exact"/>
              <w:ind w:right="110" w:hanging="99"/>
              <w:rPr>
                <w:sz w:val="14"/>
              </w:rPr>
            </w:pPr>
            <w:r>
              <w:rPr>
                <w:color w:val="231F20"/>
                <w:sz w:val="14"/>
              </w:rPr>
              <w:t>препознаје утицај медија на</w:t>
            </w:r>
            <w:r>
              <w:rPr>
                <w:color w:val="231F20"/>
                <w:spacing w:val="-13"/>
                <w:sz w:val="14"/>
              </w:rPr>
              <w:t xml:space="preserve"> </w:t>
            </w:r>
            <w:r>
              <w:rPr>
                <w:color w:val="231F20"/>
                <w:sz w:val="14"/>
              </w:rPr>
              <w:t>креирање визуелног</w:t>
            </w:r>
            <w:r>
              <w:rPr>
                <w:color w:val="231F20"/>
                <w:spacing w:val="-1"/>
                <w:sz w:val="14"/>
              </w:rPr>
              <w:t xml:space="preserve"> </w:t>
            </w:r>
            <w:r>
              <w:rPr>
                <w:color w:val="231F20"/>
                <w:sz w:val="14"/>
              </w:rPr>
              <w:t>идентитета;</w:t>
            </w:r>
          </w:p>
          <w:p w:rsidR="00041039" w:rsidRDefault="001B26CB">
            <w:pPr>
              <w:pStyle w:val="TableParagraph"/>
              <w:numPr>
                <w:ilvl w:val="0"/>
                <w:numId w:val="833"/>
              </w:numPr>
              <w:tabs>
                <w:tab w:val="left" w:pos="157"/>
              </w:tabs>
              <w:spacing w:line="160" w:lineRule="exact"/>
              <w:ind w:right="94" w:hanging="99"/>
              <w:rPr>
                <w:sz w:val="14"/>
              </w:rPr>
            </w:pPr>
            <w:r>
              <w:rPr>
                <w:color w:val="231F20"/>
                <w:sz w:val="14"/>
              </w:rPr>
              <w:t>уочава разлику између модних и</w:t>
            </w:r>
            <w:r>
              <w:rPr>
                <w:color w:val="231F20"/>
                <w:spacing w:val="-21"/>
                <w:sz w:val="14"/>
              </w:rPr>
              <w:t xml:space="preserve"> </w:t>
            </w:r>
            <w:r>
              <w:rPr>
                <w:color w:val="231F20"/>
                <w:sz w:val="14"/>
              </w:rPr>
              <w:t>етич­ ких</w:t>
            </w:r>
            <w:r>
              <w:rPr>
                <w:color w:val="231F20"/>
                <w:spacing w:val="-1"/>
                <w:sz w:val="14"/>
              </w:rPr>
              <w:t xml:space="preserve"> </w:t>
            </w:r>
            <w:r>
              <w:rPr>
                <w:color w:val="231F20"/>
                <w:sz w:val="14"/>
              </w:rPr>
              <w:t>императива;</w:t>
            </w:r>
          </w:p>
          <w:p w:rsidR="00041039" w:rsidRDefault="001B26CB">
            <w:pPr>
              <w:pStyle w:val="TableParagraph"/>
              <w:numPr>
                <w:ilvl w:val="0"/>
                <w:numId w:val="833"/>
              </w:numPr>
              <w:tabs>
                <w:tab w:val="left" w:pos="157"/>
              </w:tabs>
              <w:spacing w:line="160" w:lineRule="exact"/>
              <w:ind w:right="210" w:hanging="99"/>
              <w:rPr>
                <w:sz w:val="14"/>
              </w:rPr>
            </w:pPr>
            <w:r>
              <w:rPr>
                <w:color w:val="231F20"/>
                <w:sz w:val="14"/>
              </w:rPr>
              <w:t>супротставља медијски наметнуте животне идеале и етичке</w:t>
            </w:r>
            <w:r>
              <w:rPr>
                <w:color w:val="231F20"/>
                <w:spacing w:val="-12"/>
                <w:sz w:val="14"/>
              </w:rPr>
              <w:t xml:space="preserve"> </w:t>
            </w:r>
            <w:r>
              <w:rPr>
                <w:color w:val="231F20"/>
                <w:sz w:val="14"/>
              </w:rPr>
              <w:t>вредности;</w:t>
            </w:r>
          </w:p>
        </w:tc>
        <w:tc>
          <w:tcPr>
            <w:tcW w:w="2834" w:type="dxa"/>
          </w:tcPr>
          <w:p w:rsidR="00041039" w:rsidRDefault="001B26CB">
            <w:pPr>
              <w:pStyle w:val="TableParagraph"/>
              <w:numPr>
                <w:ilvl w:val="0"/>
                <w:numId w:val="832"/>
              </w:numPr>
              <w:tabs>
                <w:tab w:val="left" w:pos="158"/>
              </w:tabs>
              <w:spacing w:before="9"/>
              <w:ind w:right="152"/>
              <w:rPr>
                <w:sz w:val="14"/>
              </w:rPr>
            </w:pPr>
            <w:r>
              <w:rPr>
                <w:color w:val="231F20"/>
                <w:spacing w:val="-4"/>
                <w:sz w:val="14"/>
              </w:rPr>
              <w:t xml:space="preserve">Улога </w:t>
            </w:r>
            <w:r>
              <w:rPr>
                <w:color w:val="231F20"/>
                <w:sz w:val="14"/>
              </w:rPr>
              <w:t>визуелног идентитета у формирању личног идентитета ­ међусобни</w:t>
            </w:r>
            <w:r>
              <w:rPr>
                <w:color w:val="231F20"/>
                <w:spacing w:val="-8"/>
                <w:sz w:val="14"/>
              </w:rPr>
              <w:t xml:space="preserve"> </w:t>
            </w:r>
            <w:r>
              <w:rPr>
                <w:color w:val="231F20"/>
                <w:sz w:val="14"/>
              </w:rPr>
              <w:t>утицаји.</w:t>
            </w:r>
          </w:p>
          <w:p w:rsidR="00041039" w:rsidRDefault="001B26CB">
            <w:pPr>
              <w:pStyle w:val="TableParagraph"/>
              <w:numPr>
                <w:ilvl w:val="0"/>
                <w:numId w:val="832"/>
              </w:numPr>
              <w:tabs>
                <w:tab w:val="left" w:pos="158"/>
              </w:tabs>
              <w:spacing w:line="153" w:lineRule="exact"/>
              <w:rPr>
                <w:sz w:val="14"/>
              </w:rPr>
            </w:pPr>
            <w:r>
              <w:rPr>
                <w:color w:val="231F20"/>
                <w:sz w:val="14"/>
              </w:rPr>
              <w:t>Појмови пола и</w:t>
            </w:r>
            <w:r>
              <w:rPr>
                <w:color w:val="231F20"/>
                <w:spacing w:val="-4"/>
                <w:sz w:val="14"/>
              </w:rPr>
              <w:t xml:space="preserve"> </w:t>
            </w:r>
            <w:r>
              <w:rPr>
                <w:color w:val="231F20"/>
                <w:sz w:val="14"/>
              </w:rPr>
              <w:t>рода.</w:t>
            </w:r>
          </w:p>
          <w:p w:rsidR="00041039" w:rsidRDefault="001B26CB">
            <w:pPr>
              <w:pStyle w:val="TableParagraph"/>
              <w:numPr>
                <w:ilvl w:val="0"/>
                <w:numId w:val="832"/>
              </w:numPr>
              <w:tabs>
                <w:tab w:val="left" w:pos="158"/>
              </w:tabs>
              <w:spacing w:line="237" w:lineRule="auto"/>
              <w:ind w:right="185"/>
              <w:rPr>
                <w:sz w:val="14"/>
              </w:rPr>
            </w:pPr>
            <w:r>
              <w:rPr>
                <w:color w:val="231F20"/>
                <w:sz w:val="14"/>
              </w:rPr>
              <w:t>Утицај медија на релативизацију</w:t>
            </w:r>
            <w:r>
              <w:rPr>
                <w:color w:val="231F20"/>
                <w:spacing w:val="-20"/>
                <w:sz w:val="14"/>
              </w:rPr>
              <w:t xml:space="preserve"> </w:t>
            </w:r>
            <w:r>
              <w:rPr>
                <w:color w:val="231F20"/>
                <w:sz w:val="14"/>
              </w:rPr>
              <w:t>етичких вредности.</w:t>
            </w:r>
          </w:p>
          <w:p w:rsidR="00041039" w:rsidRDefault="001B26CB">
            <w:pPr>
              <w:pStyle w:val="TableParagraph"/>
              <w:numPr>
                <w:ilvl w:val="0"/>
                <w:numId w:val="832"/>
              </w:numPr>
              <w:tabs>
                <w:tab w:val="left" w:pos="158"/>
              </w:tabs>
              <w:spacing w:line="155" w:lineRule="exact"/>
              <w:rPr>
                <w:sz w:val="14"/>
              </w:rPr>
            </w:pPr>
            <w:r>
              <w:rPr>
                <w:color w:val="231F20"/>
                <w:sz w:val="14"/>
              </w:rPr>
              <w:t>Естетски и етички</w:t>
            </w:r>
            <w:r>
              <w:rPr>
                <w:color w:val="231F20"/>
                <w:spacing w:val="-2"/>
                <w:sz w:val="14"/>
              </w:rPr>
              <w:t xml:space="preserve"> </w:t>
            </w:r>
            <w:r>
              <w:rPr>
                <w:color w:val="231F20"/>
                <w:sz w:val="14"/>
              </w:rPr>
              <w:t>идеал.</w:t>
            </w:r>
          </w:p>
          <w:p w:rsidR="00041039" w:rsidRDefault="001B26CB">
            <w:pPr>
              <w:pStyle w:val="TableParagraph"/>
              <w:numPr>
                <w:ilvl w:val="0"/>
                <w:numId w:val="832"/>
              </w:numPr>
              <w:tabs>
                <w:tab w:val="left" w:pos="158"/>
              </w:tabs>
              <w:spacing w:line="160" w:lineRule="exact"/>
              <w:rPr>
                <w:sz w:val="14"/>
              </w:rPr>
            </w:pPr>
            <w:r>
              <w:rPr>
                <w:color w:val="231F20"/>
                <w:sz w:val="14"/>
              </w:rPr>
              <w:t>Тело и интервенције на</w:t>
            </w:r>
            <w:r>
              <w:rPr>
                <w:color w:val="231F20"/>
                <w:spacing w:val="-4"/>
                <w:sz w:val="14"/>
              </w:rPr>
              <w:t xml:space="preserve"> </w:t>
            </w:r>
            <w:r>
              <w:rPr>
                <w:color w:val="231F20"/>
                <w:sz w:val="14"/>
              </w:rPr>
              <w:t>телу</w:t>
            </w:r>
          </w:p>
          <w:p w:rsidR="00041039" w:rsidRDefault="001B26CB">
            <w:pPr>
              <w:pStyle w:val="TableParagraph"/>
              <w:numPr>
                <w:ilvl w:val="0"/>
                <w:numId w:val="832"/>
              </w:numPr>
              <w:tabs>
                <w:tab w:val="left" w:pos="158"/>
              </w:tabs>
              <w:spacing w:line="166" w:lineRule="exact"/>
              <w:rPr>
                <w:sz w:val="14"/>
              </w:rPr>
            </w:pPr>
            <w:r>
              <w:rPr>
                <w:color w:val="231F20"/>
                <w:sz w:val="14"/>
              </w:rPr>
              <w:t>Сајбер идентитет, морал и слобода</w:t>
            </w:r>
            <w:r>
              <w:rPr>
                <w:color w:val="231F20"/>
                <w:spacing w:val="-20"/>
                <w:sz w:val="14"/>
              </w:rPr>
              <w:t xml:space="preserve"> </w:t>
            </w:r>
            <w:r>
              <w:rPr>
                <w:color w:val="231F20"/>
                <w:sz w:val="14"/>
              </w:rPr>
              <w:t>избора.</w:t>
            </w:r>
          </w:p>
        </w:tc>
        <w:tc>
          <w:tcPr>
            <w:tcW w:w="2267" w:type="dxa"/>
            <w:vMerge/>
            <w:tcBorders>
              <w:top w:val="nil"/>
            </w:tcBorders>
          </w:tcPr>
          <w:p w:rsidR="00041039" w:rsidRDefault="00041039">
            <w:pPr>
              <w:rPr>
                <w:sz w:val="2"/>
                <w:szCs w:val="2"/>
              </w:rPr>
            </w:pPr>
          </w:p>
        </w:tc>
      </w:tr>
      <w:tr w:rsidR="00041039">
        <w:trPr>
          <w:trHeight w:val="2280"/>
        </w:trPr>
        <w:tc>
          <w:tcPr>
            <w:tcW w:w="1304" w:type="dxa"/>
          </w:tcPr>
          <w:p w:rsidR="00041039" w:rsidRDefault="001B26CB">
            <w:pPr>
              <w:pStyle w:val="TableParagraph"/>
              <w:spacing w:before="19"/>
              <w:ind w:left="57" w:right="93"/>
              <w:rPr>
                <w:sz w:val="14"/>
              </w:rPr>
            </w:pPr>
            <w:r>
              <w:rPr>
                <w:color w:val="231F20"/>
                <w:sz w:val="14"/>
              </w:rPr>
              <w:t>Основне етичке норме и вредности</w:t>
            </w:r>
          </w:p>
        </w:tc>
        <w:tc>
          <w:tcPr>
            <w:tcW w:w="1587" w:type="dxa"/>
          </w:tcPr>
          <w:p w:rsidR="00041039" w:rsidRDefault="001B26CB">
            <w:pPr>
              <w:pStyle w:val="TableParagraph"/>
              <w:numPr>
                <w:ilvl w:val="0"/>
                <w:numId w:val="831"/>
              </w:numPr>
              <w:tabs>
                <w:tab w:val="left" w:pos="157"/>
              </w:tabs>
              <w:spacing w:before="9"/>
              <w:ind w:right="78" w:hanging="99"/>
              <w:rPr>
                <w:sz w:val="14"/>
              </w:rPr>
            </w:pPr>
            <w:r>
              <w:rPr>
                <w:color w:val="231F20"/>
                <w:sz w:val="14"/>
              </w:rPr>
              <w:t>Упознавање ученика са основним етичким нормама и вредности­ ма и развијање</w:t>
            </w:r>
            <w:r>
              <w:rPr>
                <w:color w:val="231F20"/>
                <w:spacing w:val="-8"/>
                <w:sz w:val="14"/>
              </w:rPr>
              <w:t xml:space="preserve"> </w:t>
            </w:r>
            <w:r>
              <w:rPr>
                <w:color w:val="231F20"/>
                <w:sz w:val="14"/>
              </w:rPr>
              <w:t>личног вредносног</w:t>
            </w:r>
            <w:r>
              <w:rPr>
                <w:color w:val="231F20"/>
                <w:spacing w:val="-1"/>
                <w:sz w:val="14"/>
              </w:rPr>
              <w:t xml:space="preserve"> </w:t>
            </w:r>
            <w:r>
              <w:rPr>
                <w:color w:val="231F20"/>
                <w:sz w:val="14"/>
              </w:rPr>
              <w:t>система.</w:t>
            </w:r>
          </w:p>
        </w:tc>
        <w:tc>
          <w:tcPr>
            <w:tcW w:w="2551" w:type="dxa"/>
          </w:tcPr>
          <w:p w:rsidR="00041039" w:rsidRDefault="001B26CB">
            <w:pPr>
              <w:pStyle w:val="TableParagraph"/>
              <w:numPr>
                <w:ilvl w:val="0"/>
                <w:numId w:val="830"/>
              </w:numPr>
              <w:tabs>
                <w:tab w:val="left" w:pos="157"/>
              </w:tabs>
              <w:spacing w:before="9" w:line="166" w:lineRule="exact"/>
              <w:ind w:hanging="99"/>
              <w:rPr>
                <w:sz w:val="14"/>
              </w:rPr>
            </w:pPr>
            <w:r>
              <w:rPr>
                <w:color w:val="231F20"/>
                <w:sz w:val="14"/>
              </w:rPr>
              <w:t xml:space="preserve">препознаје важније </w:t>
            </w:r>
            <w:r>
              <w:rPr>
                <w:color w:val="231F20"/>
                <w:spacing w:val="-3"/>
                <w:sz w:val="14"/>
              </w:rPr>
              <w:t>људске</w:t>
            </w:r>
            <w:r>
              <w:rPr>
                <w:color w:val="231F20"/>
                <w:spacing w:val="-9"/>
                <w:sz w:val="14"/>
              </w:rPr>
              <w:t xml:space="preserve"> </w:t>
            </w:r>
            <w:r>
              <w:rPr>
                <w:color w:val="231F20"/>
                <w:sz w:val="14"/>
              </w:rPr>
              <w:t>вредности;</w:t>
            </w:r>
          </w:p>
          <w:p w:rsidR="00041039" w:rsidRDefault="001B26CB">
            <w:pPr>
              <w:pStyle w:val="TableParagraph"/>
              <w:numPr>
                <w:ilvl w:val="0"/>
                <w:numId w:val="830"/>
              </w:numPr>
              <w:tabs>
                <w:tab w:val="left" w:pos="157"/>
              </w:tabs>
              <w:spacing w:line="237" w:lineRule="auto"/>
              <w:ind w:right="171" w:hanging="99"/>
              <w:rPr>
                <w:sz w:val="14"/>
              </w:rPr>
            </w:pPr>
            <w:r>
              <w:rPr>
                <w:color w:val="231F20"/>
                <w:sz w:val="14"/>
              </w:rPr>
              <w:t xml:space="preserve">разликује слободне </w:t>
            </w:r>
            <w:r>
              <w:rPr>
                <w:color w:val="231F20"/>
                <w:spacing w:val="-3"/>
                <w:sz w:val="14"/>
              </w:rPr>
              <w:t xml:space="preserve">од </w:t>
            </w:r>
            <w:r>
              <w:rPr>
                <w:color w:val="231F20"/>
                <w:sz w:val="14"/>
              </w:rPr>
              <w:t>самовољних и наметнутих</w:t>
            </w:r>
            <w:r>
              <w:rPr>
                <w:color w:val="231F20"/>
                <w:spacing w:val="-2"/>
                <w:sz w:val="14"/>
              </w:rPr>
              <w:t xml:space="preserve"> </w:t>
            </w:r>
            <w:r>
              <w:rPr>
                <w:color w:val="231F20"/>
                <w:sz w:val="14"/>
              </w:rPr>
              <w:t>поступака;</w:t>
            </w:r>
          </w:p>
          <w:p w:rsidR="00041039" w:rsidRDefault="001B26CB">
            <w:pPr>
              <w:pStyle w:val="TableParagraph"/>
              <w:numPr>
                <w:ilvl w:val="0"/>
                <w:numId w:val="830"/>
              </w:numPr>
              <w:tabs>
                <w:tab w:val="left" w:pos="157"/>
              </w:tabs>
              <w:spacing w:line="160" w:lineRule="exact"/>
              <w:ind w:right="185" w:hanging="99"/>
              <w:rPr>
                <w:sz w:val="14"/>
              </w:rPr>
            </w:pPr>
            <w:r>
              <w:rPr>
                <w:color w:val="231F20"/>
                <w:sz w:val="14"/>
              </w:rPr>
              <w:t>схвата постојање слободе избора</w:t>
            </w:r>
            <w:r>
              <w:rPr>
                <w:color w:val="231F20"/>
                <w:spacing w:val="-20"/>
                <w:sz w:val="14"/>
              </w:rPr>
              <w:t xml:space="preserve"> </w:t>
            </w:r>
            <w:r>
              <w:rPr>
                <w:color w:val="231F20"/>
                <w:sz w:val="14"/>
              </w:rPr>
              <w:t>као услова моралног</w:t>
            </w:r>
            <w:r>
              <w:rPr>
                <w:color w:val="231F20"/>
                <w:spacing w:val="-2"/>
                <w:sz w:val="14"/>
              </w:rPr>
              <w:t xml:space="preserve"> </w:t>
            </w:r>
            <w:r>
              <w:rPr>
                <w:color w:val="231F20"/>
                <w:sz w:val="14"/>
              </w:rPr>
              <w:t>поступања;</w:t>
            </w:r>
          </w:p>
          <w:p w:rsidR="00041039" w:rsidRDefault="001B26CB">
            <w:pPr>
              <w:pStyle w:val="TableParagraph"/>
              <w:numPr>
                <w:ilvl w:val="0"/>
                <w:numId w:val="830"/>
              </w:numPr>
              <w:tabs>
                <w:tab w:val="left" w:pos="157"/>
              </w:tabs>
              <w:spacing w:line="160" w:lineRule="exact"/>
              <w:ind w:right="144" w:hanging="99"/>
              <w:rPr>
                <w:sz w:val="14"/>
              </w:rPr>
            </w:pPr>
            <w:r>
              <w:rPr>
                <w:color w:val="231F20"/>
                <w:sz w:val="14"/>
              </w:rPr>
              <w:t>разуме везу између избора и</w:t>
            </w:r>
            <w:r>
              <w:rPr>
                <w:color w:val="231F20"/>
                <w:spacing w:val="-27"/>
                <w:sz w:val="14"/>
              </w:rPr>
              <w:t xml:space="preserve"> </w:t>
            </w:r>
            <w:r>
              <w:rPr>
                <w:color w:val="231F20"/>
                <w:sz w:val="14"/>
              </w:rPr>
              <w:t>одговор­ ности;</w:t>
            </w:r>
          </w:p>
          <w:p w:rsidR="00041039" w:rsidRDefault="001B26CB">
            <w:pPr>
              <w:pStyle w:val="TableParagraph"/>
              <w:numPr>
                <w:ilvl w:val="0"/>
                <w:numId w:val="830"/>
              </w:numPr>
              <w:tabs>
                <w:tab w:val="left" w:pos="157"/>
              </w:tabs>
              <w:spacing w:line="160" w:lineRule="exact"/>
              <w:ind w:right="272" w:hanging="99"/>
              <w:rPr>
                <w:sz w:val="14"/>
              </w:rPr>
            </w:pPr>
            <w:r>
              <w:rPr>
                <w:color w:val="231F20"/>
                <w:sz w:val="14"/>
              </w:rPr>
              <w:t>упоређује одговорне и</w:t>
            </w:r>
            <w:r>
              <w:rPr>
                <w:color w:val="231F20"/>
                <w:spacing w:val="-22"/>
                <w:sz w:val="14"/>
              </w:rPr>
              <w:t xml:space="preserve"> </w:t>
            </w:r>
            <w:r>
              <w:rPr>
                <w:color w:val="231F20"/>
                <w:sz w:val="14"/>
              </w:rPr>
              <w:t>неодговорне поступке;</w:t>
            </w:r>
          </w:p>
          <w:p w:rsidR="00041039" w:rsidRDefault="001B26CB">
            <w:pPr>
              <w:pStyle w:val="TableParagraph"/>
              <w:numPr>
                <w:ilvl w:val="0"/>
                <w:numId w:val="830"/>
              </w:numPr>
              <w:tabs>
                <w:tab w:val="left" w:pos="157"/>
              </w:tabs>
              <w:spacing w:line="160" w:lineRule="exact"/>
              <w:ind w:right="305" w:hanging="99"/>
              <w:jc w:val="both"/>
              <w:rPr>
                <w:sz w:val="14"/>
              </w:rPr>
            </w:pPr>
            <w:r>
              <w:rPr>
                <w:color w:val="231F20"/>
                <w:sz w:val="14"/>
              </w:rPr>
              <w:t>може да расправља о томе да ли је извор морала у нама или изван</w:t>
            </w:r>
            <w:r>
              <w:rPr>
                <w:color w:val="231F20"/>
                <w:spacing w:val="-16"/>
                <w:sz w:val="14"/>
              </w:rPr>
              <w:t xml:space="preserve"> </w:t>
            </w:r>
            <w:r>
              <w:rPr>
                <w:color w:val="231F20"/>
                <w:sz w:val="14"/>
              </w:rPr>
              <w:t>нас (аутономна и хетерономна</w:t>
            </w:r>
            <w:r>
              <w:rPr>
                <w:color w:val="231F20"/>
                <w:spacing w:val="-16"/>
                <w:sz w:val="14"/>
              </w:rPr>
              <w:t xml:space="preserve"> </w:t>
            </w:r>
            <w:r>
              <w:rPr>
                <w:color w:val="231F20"/>
                <w:sz w:val="14"/>
              </w:rPr>
              <w:t>етика);</w:t>
            </w:r>
          </w:p>
          <w:p w:rsidR="00041039" w:rsidRDefault="001B26CB">
            <w:pPr>
              <w:pStyle w:val="TableParagraph"/>
              <w:numPr>
                <w:ilvl w:val="0"/>
                <w:numId w:val="830"/>
              </w:numPr>
              <w:tabs>
                <w:tab w:val="left" w:pos="157"/>
              </w:tabs>
              <w:spacing w:line="160" w:lineRule="exact"/>
              <w:ind w:right="134" w:hanging="99"/>
              <w:rPr>
                <w:sz w:val="14"/>
              </w:rPr>
            </w:pPr>
            <w:r>
              <w:rPr>
                <w:color w:val="231F20"/>
                <w:sz w:val="14"/>
              </w:rPr>
              <w:t>увиђа разлику између основних етич­ ких</w:t>
            </w:r>
            <w:r>
              <w:rPr>
                <w:color w:val="231F20"/>
                <w:spacing w:val="-1"/>
                <w:sz w:val="14"/>
              </w:rPr>
              <w:t xml:space="preserve"> </w:t>
            </w:r>
            <w:r>
              <w:rPr>
                <w:color w:val="231F20"/>
                <w:sz w:val="14"/>
              </w:rPr>
              <w:t>праваца;</w:t>
            </w:r>
          </w:p>
        </w:tc>
        <w:tc>
          <w:tcPr>
            <w:tcW w:w="2834" w:type="dxa"/>
          </w:tcPr>
          <w:p w:rsidR="00041039" w:rsidRDefault="001B26CB">
            <w:pPr>
              <w:pStyle w:val="TableParagraph"/>
              <w:numPr>
                <w:ilvl w:val="0"/>
                <w:numId w:val="829"/>
              </w:numPr>
              <w:tabs>
                <w:tab w:val="left" w:pos="158"/>
              </w:tabs>
              <w:spacing w:before="10" w:line="166" w:lineRule="exact"/>
              <w:rPr>
                <w:sz w:val="14"/>
              </w:rPr>
            </w:pPr>
            <w:r>
              <w:rPr>
                <w:color w:val="231F20"/>
                <w:sz w:val="14"/>
              </w:rPr>
              <w:t>Пријатељство.</w:t>
            </w:r>
          </w:p>
          <w:p w:rsidR="00041039" w:rsidRDefault="001B26CB">
            <w:pPr>
              <w:pStyle w:val="TableParagraph"/>
              <w:numPr>
                <w:ilvl w:val="0"/>
                <w:numId w:val="829"/>
              </w:numPr>
              <w:tabs>
                <w:tab w:val="left" w:pos="158"/>
              </w:tabs>
              <w:spacing w:line="160" w:lineRule="exact"/>
              <w:rPr>
                <w:sz w:val="14"/>
              </w:rPr>
            </w:pPr>
            <w:r>
              <w:rPr>
                <w:color w:val="231F20"/>
                <w:sz w:val="14"/>
              </w:rPr>
              <w:t>Верност.</w:t>
            </w:r>
          </w:p>
          <w:p w:rsidR="00041039" w:rsidRDefault="001B26CB">
            <w:pPr>
              <w:pStyle w:val="TableParagraph"/>
              <w:numPr>
                <w:ilvl w:val="0"/>
                <w:numId w:val="829"/>
              </w:numPr>
              <w:tabs>
                <w:tab w:val="left" w:pos="158"/>
              </w:tabs>
              <w:spacing w:line="160" w:lineRule="exact"/>
              <w:rPr>
                <w:sz w:val="14"/>
              </w:rPr>
            </w:pPr>
            <w:r>
              <w:rPr>
                <w:color w:val="231F20"/>
                <w:sz w:val="14"/>
              </w:rPr>
              <w:t>Породица.</w:t>
            </w:r>
          </w:p>
          <w:p w:rsidR="00041039" w:rsidRDefault="001B26CB">
            <w:pPr>
              <w:pStyle w:val="TableParagraph"/>
              <w:numPr>
                <w:ilvl w:val="0"/>
                <w:numId w:val="829"/>
              </w:numPr>
              <w:tabs>
                <w:tab w:val="left" w:pos="158"/>
              </w:tabs>
              <w:spacing w:line="160" w:lineRule="exact"/>
              <w:rPr>
                <w:sz w:val="14"/>
              </w:rPr>
            </w:pPr>
            <w:r>
              <w:rPr>
                <w:color w:val="231F20"/>
                <w:sz w:val="14"/>
              </w:rPr>
              <w:t>Љубав.</w:t>
            </w:r>
          </w:p>
          <w:p w:rsidR="00041039" w:rsidRDefault="001B26CB">
            <w:pPr>
              <w:pStyle w:val="TableParagraph"/>
              <w:numPr>
                <w:ilvl w:val="0"/>
                <w:numId w:val="829"/>
              </w:numPr>
              <w:tabs>
                <w:tab w:val="left" w:pos="158"/>
              </w:tabs>
              <w:spacing w:line="160" w:lineRule="exact"/>
              <w:rPr>
                <w:sz w:val="14"/>
              </w:rPr>
            </w:pPr>
            <w:r>
              <w:rPr>
                <w:color w:val="231F20"/>
                <w:sz w:val="14"/>
              </w:rPr>
              <w:t>Морално</w:t>
            </w:r>
            <w:r>
              <w:rPr>
                <w:color w:val="231F20"/>
                <w:spacing w:val="-2"/>
                <w:sz w:val="14"/>
              </w:rPr>
              <w:t xml:space="preserve"> </w:t>
            </w:r>
            <w:r>
              <w:rPr>
                <w:color w:val="231F20"/>
                <w:sz w:val="14"/>
              </w:rPr>
              <w:t>добро.</w:t>
            </w:r>
          </w:p>
          <w:p w:rsidR="00041039" w:rsidRDefault="001B26CB">
            <w:pPr>
              <w:pStyle w:val="TableParagraph"/>
              <w:numPr>
                <w:ilvl w:val="0"/>
                <w:numId w:val="829"/>
              </w:numPr>
              <w:tabs>
                <w:tab w:val="left" w:pos="158"/>
              </w:tabs>
              <w:spacing w:line="160" w:lineRule="exact"/>
              <w:rPr>
                <w:sz w:val="14"/>
              </w:rPr>
            </w:pPr>
            <w:r>
              <w:rPr>
                <w:color w:val="231F20"/>
                <w:sz w:val="14"/>
              </w:rPr>
              <w:t>Донација</w:t>
            </w:r>
            <w:r>
              <w:rPr>
                <w:color w:val="231F20"/>
                <w:spacing w:val="-2"/>
                <w:sz w:val="14"/>
              </w:rPr>
              <w:t xml:space="preserve"> </w:t>
            </w:r>
            <w:r>
              <w:rPr>
                <w:color w:val="231F20"/>
                <w:sz w:val="14"/>
              </w:rPr>
              <w:t>органа.</w:t>
            </w:r>
          </w:p>
          <w:p w:rsidR="00041039" w:rsidRDefault="001B26CB">
            <w:pPr>
              <w:pStyle w:val="TableParagraph"/>
              <w:numPr>
                <w:ilvl w:val="0"/>
                <w:numId w:val="829"/>
              </w:numPr>
              <w:tabs>
                <w:tab w:val="left" w:pos="158"/>
              </w:tabs>
              <w:spacing w:line="160" w:lineRule="exact"/>
              <w:rPr>
                <w:sz w:val="14"/>
              </w:rPr>
            </w:pPr>
            <w:r>
              <w:rPr>
                <w:color w:val="231F20"/>
                <w:sz w:val="14"/>
              </w:rPr>
              <w:t>Сурогат</w:t>
            </w:r>
            <w:r>
              <w:rPr>
                <w:color w:val="231F20"/>
                <w:spacing w:val="-1"/>
                <w:sz w:val="14"/>
              </w:rPr>
              <w:t xml:space="preserve"> </w:t>
            </w:r>
            <w:r>
              <w:rPr>
                <w:color w:val="231F20"/>
                <w:sz w:val="14"/>
              </w:rPr>
              <w:t>мајка.</w:t>
            </w:r>
          </w:p>
          <w:p w:rsidR="00041039" w:rsidRDefault="001B26CB">
            <w:pPr>
              <w:pStyle w:val="TableParagraph"/>
              <w:numPr>
                <w:ilvl w:val="0"/>
                <w:numId w:val="829"/>
              </w:numPr>
              <w:tabs>
                <w:tab w:val="left" w:pos="158"/>
              </w:tabs>
              <w:spacing w:line="166" w:lineRule="exact"/>
              <w:rPr>
                <w:sz w:val="14"/>
              </w:rPr>
            </w:pPr>
            <w:r>
              <w:rPr>
                <w:color w:val="231F20"/>
                <w:sz w:val="14"/>
              </w:rPr>
              <w:t>Клонирање.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1"/>
          <w:numId w:val="976"/>
        </w:numPr>
        <w:tabs>
          <w:tab w:val="left" w:pos="633"/>
        </w:tabs>
        <w:rPr>
          <w:sz w:val="18"/>
        </w:rPr>
      </w:pPr>
      <w:r>
        <w:rPr>
          <w:color w:val="231F20"/>
          <w:sz w:val="18"/>
        </w:rPr>
        <w:t>Историја</w:t>
      </w:r>
    </w:p>
    <w:p w:rsidR="00041039" w:rsidRDefault="001B26CB">
      <w:pPr>
        <w:pStyle w:val="ListParagraph"/>
        <w:numPr>
          <w:ilvl w:val="1"/>
          <w:numId w:val="976"/>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1"/>
          <w:numId w:val="976"/>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BodyText"/>
        <w:ind w:left="2606"/>
        <w:rPr>
          <w:sz w:val="20"/>
        </w:rPr>
      </w:pPr>
      <w:r>
        <w:rPr>
          <w:noProof/>
          <w:sz w:val="20"/>
        </w:rPr>
        <w:lastRenderedPageBreak/>
        <w:drawing>
          <wp:inline distT="0" distB="0" distL="0" distR="0">
            <wp:extent cx="3286375" cy="861974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286375" cy="8619744"/>
                    </a:xfrm>
                    <a:prstGeom prst="rect">
                      <a:avLst/>
                    </a:prstGeom>
                  </pic:spPr>
                </pic:pic>
              </a:graphicData>
            </a:graphic>
          </wp:inline>
        </w:drawing>
      </w:r>
    </w:p>
    <w:p w:rsidR="00041039" w:rsidRDefault="00041039">
      <w:pPr>
        <w:rPr>
          <w:sz w:val="20"/>
        </w:rPr>
        <w:sectPr w:rsidR="00041039">
          <w:pgSz w:w="11910" w:h="15710"/>
          <w:pgMar w:top="260" w:right="540" w:bottom="280" w:left="580" w:header="720" w:footer="720" w:gutter="0"/>
          <w:cols w:space="720"/>
        </w:sectPr>
      </w:pPr>
    </w:p>
    <w:p w:rsidR="00041039" w:rsidRDefault="001B26CB">
      <w:pPr>
        <w:spacing w:before="80"/>
        <w:ind w:right="38"/>
        <w:jc w:val="center"/>
        <w:rPr>
          <w:b/>
          <w:sz w:val="18"/>
        </w:rPr>
      </w:pPr>
      <w:r>
        <w:rPr>
          <w:b/>
          <w:color w:val="231F20"/>
          <w:sz w:val="18"/>
        </w:rPr>
        <w:lastRenderedPageBreak/>
        <w:t>Б: Листа изборних предмета према програму образовног профила</w:t>
      </w:r>
    </w:p>
    <w:p w:rsidR="00041039" w:rsidRDefault="00041039">
      <w:pPr>
        <w:pStyle w:val="BodyText"/>
        <w:spacing w:before="11"/>
        <w:rPr>
          <w:b/>
          <w:sz w:val="20"/>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0"/>
        <w:gridCol w:w="6539"/>
        <w:gridCol w:w="850"/>
        <w:gridCol w:w="850"/>
        <w:gridCol w:w="850"/>
        <w:gridCol w:w="850"/>
      </w:tblGrid>
      <w:tr w:rsidR="00041039">
        <w:trPr>
          <w:trHeight w:val="198"/>
        </w:trPr>
        <w:tc>
          <w:tcPr>
            <w:tcW w:w="580" w:type="dxa"/>
            <w:vMerge w:val="restart"/>
          </w:tcPr>
          <w:p w:rsidR="00041039" w:rsidRDefault="001B26CB">
            <w:pPr>
              <w:pStyle w:val="TableParagraph"/>
              <w:spacing w:before="16"/>
              <w:ind w:left="194"/>
              <w:rPr>
                <w:b/>
                <w:sz w:val="14"/>
              </w:rPr>
            </w:pPr>
            <w:r>
              <w:rPr>
                <w:b/>
                <w:color w:val="231F20"/>
                <w:sz w:val="14"/>
              </w:rPr>
              <w:t>Рб.</w:t>
            </w:r>
          </w:p>
        </w:tc>
        <w:tc>
          <w:tcPr>
            <w:tcW w:w="6539" w:type="dxa"/>
            <w:vMerge w:val="restart"/>
          </w:tcPr>
          <w:p w:rsidR="00041039" w:rsidRDefault="001B26CB">
            <w:pPr>
              <w:pStyle w:val="TableParagraph"/>
              <w:spacing w:before="16"/>
              <w:ind w:left="2434" w:right="2424"/>
              <w:jc w:val="center"/>
              <w:rPr>
                <w:b/>
                <w:sz w:val="14"/>
              </w:rPr>
            </w:pPr>
            <w:r>
              <w:rPr>
                <w:b/>
                <w:color w:val="231F20"/>
                <w:sz w:val="14"/>
              </w:rPr>
              <w:t>Листа изборних предмета</w:t>
            </w:r>
          </w:p>
        </w:tc>
        <w:tc>
          <w:tcPr>
            <w:tcW w:w="3400" w:type="dxa"/>
            <w:gridSpan w:val="4"/>
          </w:tcPr>
          <w:p w:rsidR="00041039" w:rsidRDefault="001B26CB">
            <w:pPr>
              <w:pStyle w:val="TableParagraph"/>
              <w:spacing w:before="16"/>
              <w:ind w:left="1413" w:right="1401"/>
              <w:jc w:val="center"/>
              <w:rPr>
                <w:b/>
                <w:sz w:val="14"/>
              </w:rPr>
            </w:pPr>
            <w:r>
              <w:rPr>
                <w:b/>
                <w:color w:val="231F20"/>
                <w:sz w:val="14"/>
              </w:rPr>
              <w:t>РАЗРЕД</w:t>
            </w:r>
          </w:p>
        </w:tc>
      </w:tr>
      <w:tr w:rsidR="00041039">
        <w:trPr>
          <w:trHeight w:val="198"/>
        </w:trPr>
        <w:tc>
          <w:tcPr>
            <w:tcW w:w="580" w:type="dxa"/>
            <w:vMerge/>
            <w:tcBorders>
              <w:top w:val="nil"/>
            </w:tcBorders>
          </w:tcPr>
          <w:p w:rsidR="00041039" w:rsidRDefault="00041039">
            <w:pPr>
              <w:rPr>
                <w:sz w:val="2"/>
                <w:szCs w:val="2"/>
              </w:rPr>
            </w:pPr>
          </w:p>
        </w:tc>
        <w:tc>
          <w:tcPr>
            <w:tcW w:w="6539" w:type="dxa"/>
            <w:vMerge/>
            <w:tcBorders>
              <w:top w:val="nil"/>
            </w:tcBorders>
          </w:tcPr>
          <w:p w:rsidR="00041039" w:rsidRDefault="00041039">
            <w:pPr>
              <w:rPr>
                <w:sz w:val="2"/>
                <w:szCs w:val="2"/>
              </w:rPr>
            </w:pPr>
          </w:p>
        </w:tc>
        <w:tc>
          <w:tcPr>
            <w:tcW w:w="850" w:type="dxa"/>
          </w:tcPr>
          <w:p w:rsidR="00041039" w:rsidRDefault="001B26CB">
            <w:pPr>
              <w:pStyle w:val="TableParagraph"/>
              <w:spacing w:before="15"/>
              <w:ind w:left="11"/>
              <w:jc w:val="center"/>
              <w:rPr>
                <w:b/>
                <w:sz w:val="14"/>
              </w:rPr>
            </w:pPr>
            <w:r>
              <w:rPr>
                <w:b/>
                <w:color w:val="231F20"/>
                <w:sz w:val="14"/>
              </w:rPr>
              <w:t>I</w:t>
            </w:r>
          </w:p>
        </w:tc>
        <w:tc>
          <w:tcPr>
            <w:tcW w:w="850" w:type="dxa"/>
          </w:tcPr>
          <w:p w:rsidR="00041039" w:rsidRDefault="001B26CB">
            <w:pPr>
              <w:pStyle w:val="TableParagraph"/>
              <w:spacing w:before="15"/>
              <w:ind w:left="323" w:right="312"/>
              <w:jc w:val="center"/>
              <w:rPr>
                <w:b/>
                <w:sz w:val="14"/>
              </w:rPr>
            </w:pPr>
            <w:r>
              <w:rPr>
                <w:b/>
                <w:color w:val="231F20"/>
                <w:sz w:val="14"/>
              </w:rPr>
              <w:t>II</w:t>
            </w:r>
          </w:p>
        </w:tc>
        <w:tc>
          <w:tcPr>
            <w:tcW w:w="850" w:type="dxa"/>
          </w:tcPr>
          <w:p w:rsidR="00041039" w:rsidRDefault="001B26CB">
            <w:pPr>
              <w:pStyle w:val="TableParagraph"/>
              <w:spacing w:before="15"/>
              <w:ind w:left="324" w:right="312"/>
              <w:jc w:val="center"/>
              <w:rPr>
                <w:b/>
                <w:sz w:val="14"/>
              </w:rPr>
            </w:pPr>
            <w:r>
              <w:rPr>
                <w:b/>
                <w:color w:val="231F20"/>
                <w:sz w:val="14"/>
              </w:rPr>
              <w:t>III</w:t>
            </w:r>
          </w:p>
        </w:tc>
        <w:tc>
          <w:tcPr>
            <w:tcW w:w="850" w:type="dxa"/>
          </w:tcPr>
          <w:p w:rsidR="00041039" w:rsidRDefault="001B26CB">
            <w:pPr>
              <w:pStyle w:val="TableParagraph"/>
              <w:spacing w:before="15"/>
              <w:ind w:left="324" w:right="308"/>
              <w:jc w:val="center"/>
              <w:rPr>
                <w:b/>
                <w:sz w:val="14"/>
              </w:rPr>
            </w:pPr>
            <w:r>
              <w:rPr>
                <w:b/>
                <w:color w:val="231F20"/>
                <w:sz w:val="14"/>
              </w:rPr>
              <w:t>IV</w:t>
            </w:r>
          </w:p>
        </w:tc>
      </w:tr>
      <w:tr w:rsidR="00041039">
        <w:trPr>
          <w:trHeight w:val="198"/>
        </w:trPr>
        <w:tc>
          <w:tcPr>
            <w:tcW w:w="10519" w:type="dxa"/>
            <w:gridSpan w:val="6"/>
            <w:shd w:val="clear" w:color="auto" w:fill="E6E7E8"/>
          </w:tcPr>
          <w:p w:rsidR="00041039" w:rsidRDefault="001B26CB">
            <w:pPr>
              <w:pStyle w:val="TableParagraph"/>
              <w:spacing w:before="15"/>
              <w:ind w:left="56"/>
              <w:rPr>
                <w:b/>
                <w:sz w:val="14"/>
              </w:rPr>
            </w:pPr>
            <w:r>
              <w:rPr>
                <w:b/>
                <w:color w:val="231F20"/>
                <w:sz w:val="14"/>
              </w:rPr>
              <w:t>Општеобразовни предмети</w:t>
            </w:r>
          </w:p>
        </w:tc>
      </w:tr>
      <w:tr w:rsidR="00041039">
        <w:trPr>
          <w:trHeight w:val="200"/>
        </w:trPr>
        <w:tc>
          <w:tcPr>
            <w:tcW w:w="580" w:type="dxa"/>
          </w:tcPr>
          <w:p w:rsidR="00041039" w:rsidRDefault="001B26CB">
            <w:pPr>
              <w:pStyle w:val="TableParagraph"/>
              <w:spacing w:before="15"/>
              <w:ind w:left="56"/>
              <w:rPr>
                <w:b/>
                <w:sz w:val="14"/>
              </w:rPr>
            </w:pPr>
            <w:r>
              <w:rPr>
                <w:b/>
                <w:color w:val="231F20"/>
                <w:sz w:val="14"/>
              </w:rPr>
              <w:t>1.</w:t>
            </w:r>
          </w:p>
        </w:tc>
        <w:tc>
          <w:tcPr>
            <w:tcW w:w="6539" w:type="dxa"/>
          </w:tcPr>
          <w:p w:rsidR="00041039" w:rsidRDefault="001B26CB">
            <w:pPr>
              <w:pStyle w:val="TableParagraph"/>
              <w:spacing w:before="15"/>
              <w:ind w:left="56"/>
              <w:rPr>
                <w:b/>
                <w:sz w:val="14"/>
              </w:rPr>
            </w:pPr>
            <w:r>
              <w:rPr>
                <w:b/>
                <w:color w:val="231F20"/>
                <w:sz w:val="14"/>
              </w:rPr>
              <w:t>Изабрана поглавља математике</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12"/>
              <w:jc w:val="center"/>
              <w:rPr>
                <w:b/>
                <w:sz w:val="14"/>
              </w:rPr>
            </w:pPr>
            <w:r>
              <w:rPr>
                <w:b/>
                <w:color w:val="231F20"/>
                <w:sz w:val="14"/>
              </w:rPr>
              <w:t>2</w:t>
            </w:r>
          </w:p>
        </w:tc>
        <w:tc>
          <w:tcPr>
            <w:tcW w:w="850" w:type="dxa"/>
          </w:tcPr>
          <w:p w:rsidR="00041039" w:rsidRDefault="001B26CB">
            <w:pPr>
              <w:pStyle w:val="TableParagraph"/>
              <w:spacing w:before="15"/>
              <w:ind w:left="13"/>
              <w:jc w:val="center"/>
              <w:rPr>
                <w:b/>
                <w:sz w:val="14"/>
              </w:rPr>
            </w:pPr>
            <w:r>
              <w:rPr>
                <w:b/>
                <w:color w:val="231F20"/>
                <w:sz w:val="14"/>
              </w:rPr>
              <w:t>2</w:t>
            </w:r>
          </w:p>
        </w:tc>
      </w:tr>
      <w:tr w:rsidR="00041039">
        <w:trPr>
          <w:trHeight w:val="200"/>
        </w:trPr>
        <w:tc>
          <w:tcPr>
            <w:tcW w:w="580" w:type="dxa"/>
          </w:tcPr>
          <w:p w:rsidR="00041039" w:rsidRDefault="001B26CB">
            <w:pPr>
              <w:pStyle w:val="TableParagraph"/>
              <w:spacing w:before="15"/>
              <w:ind w:left="56"/>
              <w:rPr>
                <w:b/>
                <w:sz w:val="14"/>
              </w:rPr>
            </w:pPr>
            <w:r>
              <w:rPr>
                <w:b/>
                <w:color w:val="231F20"/>
                <w:sz w:val="14"/>
              </w:rPr>
              <w:t>2.</w:t>
            </w:r>
          </w:p>
        </w:tc>
        <w:tc>
          <w:tcPr>
            <w:tcW w:w="6539" w:type="dxa"/>
          </w:tcPr>
          <w:p w:rsidR="00041039" w:rsidRDefault="001B26CB">
            <w:pPr>
              <w:pStyle w:val="TableParagraph"/>
              <w:spacing w:before="15"/>
              <w:ind w:left="56"/>
              <w:rPr>
                <w:b/>
                <w:sz w:val="14"/>
              </w:rPr>
            </w:pPr>
            <w:r>
              <w:rPr>
                <w:b/>
                <w:color w:val="231F20"/>
                <w:sz w:val="14"/>
              </w:rPr>
              <w:t>Историја (одабране теме)*</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12"/>
              <w:jc w:val="center"/>
              <w:rPr>
                <w:b/>
                <w:sz w:val="14"/>
              </w:rPr>
            </w:pPr>
            <w:r>
              <w:rPr>
                <w:b/>
                <w:color w:val="231F20"/>
                <w:sz w:val="14"/>
              </w:rPr>
              <w:t>2</w:t>
            </w:r>
          </w:p>
        </w:tc>
        <w:tc>
          <w:tcPr>
            <w:tcW w:w="850" w:type="dxa"/>
          </w:tcPr>
          <w:p w:rsidR="00041039" w:rsidRDefault="001B26CB">
            <w:pPr>
              <w:pStyle w:val="TableParagraph"/>
              <w:spacing w:before="15"/>
              <w:ind w:left="13"/>
              <w:jc w:val="center"/>
              <w:rPr>
                <w:b/>
                <w:sz w:val="14"/>
              </w:rPr>
            </w:pPr>
            <w:r>
              <w:rPr>
                <w:b/>
                <w:color w:val="231F20"/>
                <w:sz w:val="14"/>
              </w:rPr>
              <w:t>2</w:t>
            </w:r>
          </w:p>
        </w:tc>
      </w:tr>
      <w:tr w:rsidR="00041039">
        <w:trPr>
          <w:trHeight w:val="200"/>
        </w:trPr>
        <w:tc>
          <w:tcPr>
            <w:tcW w:w="580" w:type="dxa"/>
          </w:tcPr>
          <w:p w:rsidR="00041039" w:rsidRDefault="001B26CB">
            <w:pPr>
              <w:pStyle w:val="TableParagraph"/>
              <w:spacing w:before="15"/>
              <w:ind w:left="56"/>
              <w:rPr>
                <w:b/>
                <w:sz w:val="14"/>
              </w:rPr>
            </w:pPr>
            <w:r>
              <w:rPr>
                <w:b/>
                <w:color w:val="231F20"/>
                <w:sz w:val="14"/>
              </w:rPr>
              <w:t>3.</w:t>
            </w:r>
          </w:p>
        </w:tc>
        <w:tc>
          <w:tcPr>
            <w:tcW w:w="6539" w:type="dxa"/>
          </w:tcPr>
          <w:p w:rsidR="00041039" w:rsidRDefault="001B26CB">
            <w:pPr>
              <w:pStyle w:val="TableParagraph"/>
              <w:spacing w:before="15"/>
              <w:ind w:left="56"/>
              <w:rPr>
                <w:b/>
                <w:sz w:val="14"/>
              </w:rPr>
            </w:pPr>
            <w:r>
              <w:rPr>
                <w:b/>
                <w:color w:val="231F20"/>
                <w:sz w:val="14"/>
              </w:rPr>
              <w:t>Психологија</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12"/>
              <w:jc w:val="center"/>
              <w:rPr>
                <w:b/>
                <w:sz w:val="14"/>
              </w:rPr>
            </w:pPr>
            <w:r>
              <w:rPr>
                <w:b/>
                <w:color w:val="231F20"/>
                <w:sz w:val="14"/>
              </w:rPr>
              <w:t>2</w:t>
            </w:r>
          </w:p>
        </w:tc>
        <w:tc>
          <w:tcPr>
            <w:tcW w:w="850" w:type="dxa"/>
          </w:tcPr>
          <w:p w:rsidR="00041039" w:rsidRDefault="00041039">
            <w:pPr>
              <w:pStyle w:val="TableParagraph"/>
              <w:ind w:left="0"/>
              <w:rPr>
                <w:sz w:val="12"/>
              </w:rPr>
            </w:pPr>
          </w:p>
        </w:tc>
      </w:tr>
      <w:tr w:rsidR="00041039">
        <w:trPr>
          <w:trHeight w:val="200"/>
        </w:trPr>
        <w:tc>
          <w:tcPr>
            <w:tcW w:w="580" w:type="dxa"/>
          </w:tcPr>
          <w:p w:rsidR="00041039" w:rsidRDefault="001B26CB">
            <w:pPr>
              <w:pStyle w:val="TableParagraph"/>
              <w:spacing w:before="15"/>
              <w:ind w:left="56"/>
              <w:rPr>
                <w:b/>
                <w:sz w:val="14"/>
              </w:rPr>
            </w:pPr>
            <w:r>
              <w:rPr>
                <w:b/>
                <w:color w:val="231F20"/>
                <w:sz w:val="14"/>
              </w:rPr>
              <w:t>4.</w:t>
            </w:r>
          </w:p>
        </w:tc>
        <w:tc>
          <w:tcPr>
            <w:tcW w:w="6539" w:type="dxa"/>
          </w:tcPr>
          <w:p w:rsidR="00041039" w:rsidRDefault="001B26CB">
            <w:pPr>
              <w:pStyle w:val="TableParagraph"/>
              <w:spacing w:before="15"/>
              <w:ind w:left="56"/>
              <w:rPr>
                <w:b/>
                <w:sz w:val="14"/>
              </w:rPr>
            </w:pPr>
            <w:r>
              <w:rPr>
                <w:b/>
                <w:color w:val="231F20"/>
                <w:sz w:val="14"/>
              </w:rPr>
              <w:t>Физика</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12"/>
              <w:jc w:val="center"/>
              <w:rPr>
                <w:b/>
                <w:sz w:val="14"/>
              </w:rPr>
            </w:pPr>
            <w:r>
              <w:rPr>
                <w:b/>
                <w:color w:val="231F20"/>
                <w:sz w:val="14"/>
              </w:rPr>
              <w:t>2</w:t>
            </w:r>
          </w:p>
        </w:tc>
        <w:tc>
          <w:tcPr>
            <w:tcW w:w="850" w:type="dxa"/>
          </w:tcPr>
          <w:p w:rsidR="00041039" w:rsidRDefault="00041039">
            <w:pPr>
              <w:pStyle w:val="TableParagraph"/>
              <w:ind w:left="0"/>
              <w:rPr>
                <w:sz w:val="12"/>
              </w:rPr>
            </w:pPr>
          </w:p>
        </w:tc>
      </w:tr>
      <w:tr w:rsidR="00041039">
        <w:trPr>
          <w:trHeight w:val="200"/>
        </w:trPr>
        <w:tc>
          <w:tcPr>
            <w:tcW w:w="580" w:type="dxa"/>
          </w:tcPr>
          <w:p w:rsidR="00041039" w:rsidRDefault="001B26CB">
            <w:pPr>
              <w:pStyle w:val="TableParagraph"/>
              <w:spacing w:before="15"/>
              <w:ind w:left="56"/>
              <w:rPr>
                <w:b/>
                <w:sz w:val="14"/>
              </w:rPr>
            </w:pPr>
            <w:r>
              <w:rPr>
                <w:b/>
                <w:color w:val="231F20"/>
                <w:sz w:val="14"/>
              </w:rPr>
              <w:t>5.</w:t>
            </w:r>
          </w:p>
        </w:tc>
        <w:tc>
          <w:tcPr>
            <w:tcW w:w="6539" w:type="dxa"/>
          </w:tcPr>
          <w:p w:rsidR="00041039" w:rsidRDefault="001B26CB">
            <w:pPr>
              <w:pStyle w:val="TableParagraph"/>
              <w:spacing w:before="15"/>
              <w:ind w:left="56"/>
              <w:rPr>
                <w:b/>
                <w:sz w:val="14"/>
              </w:rPr>
            </w:pPr>
            <w:r>
              <w:rPr>
                <w:b/>
                <w:color w:val="231F20"/>
                <w:sz w:val="14"/>
              </w:rPr>
              <w:t>Биологија (одабране теме)*</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12"/>
              <w:jc w:val="center"/>
              <w:rPr>
                <w:b/>
                <w:sz w:val="14"/>
              </w:rPr>
            </w:pPr>
            <w:r>
              <w:rPr>
                <w:b/>
                <w:color w:val="231F20"/>
                <w:sz w:val="14"/>
              </w:rPr>
              <w:t>2</w:t>
            </w:r>
          </w:p>
        </w:tc>
        <w:tc>
          <w:tcPr>
            <w:tcW w:w="850" w:type="dxa"/>
          </w:tcPr>
          <w:p w:rsidR="00041039" w:rsidRDefault="001B26CB">
            <w:pPr>
              <w:pStyle w:val="TableParagraph"/>
              <w:spacing w:before="15"/>
              <w:ind w:left="13"/>
              <w:jc w:val="center"/>
              <w:rPr>
                <w:b/>
                <w:sz w:val="14"/>
              </w:rPr>
            </w:pPr>
            <w:r>
              <w:rPr>
                <w:b/>
                <w:color w:val="231F20"/>
                <w:sz w:val="14"/>
              </w:rPr>
              <w:t>2</w:t>
            </w:r>
          </w:p>
        </w:tc>
      </w:tr>
      <w:tr w:rsidR="00041039">
        <w:trPr>
          <w:trHeight w:val="200"/>
        </w:trPr>
        <w:tc>
          <w:tcPr>
            <w:tcW w:w="580" w:type="dxa"/>
          </w:tcPr>
          <w:p w:rsidR="00041039" w:rsidRDefault="001B26CB">
            <w:pPr>
              <w:pStyle w:val="TableParagraph"/>
              <w:spacing w:before="15"/>
              <w:ind w:left="56"/>
              <w:rPr>
                <w:b/>
                <w:sz w:val="14"/>
              </w:rPr>
            </w:pPr>
            <w:r>
              <w:rPr>
                <w:b/>
                <w:color w:val="231F20"/>
                <w:sz w:val="14"/>
              </w:rPr>
              <w:t>6.</w:t>
            </w:r>
          </w:p>
        </w:tc>
        <w:tc>
          <w:tcPr>
            <w:tcW w:w="6539" w:type="dxa"/>
          </w:tcPr>
          <w:p w:rsidR="00041039" w:rsidRDefault="001B26CB">
            <w:pPr>
              <w:pStyle w:val="TableParagraph"/>
              <w:spacing w:before="15"/>
              <w:ind w:left="56"/>
              <w:rPr>
                <w:b/>
                <w:sz w:val="14"/>
              </w:rPr>
            </w:pPr>
            <w:r>
              <w:rPr>
                <w:b/>
                <w:color w:val="231F20"/>
                <w:sz w:val="14"/>
              </w:rPr>
              <w:t>Музичка култура</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12"/>
              <w:jc w:val="center"/>
              <w:rPr>
                <w:b/>
                <w:sz w:val="14"/>
              </w:rPr>
            </w:pPr>
            <w:r>
              <w:rPr>
                <w:b/>
                <w:color w:val="231F20"/>
                <w:sz w:val="14"/>
              </w:rPr>
              <w:t>2</w:t>
            </w:r>
          </w:p>
        </w:tc>
        <w:tc>
          <w:tcPr>
            <w:tcW w:w="850" w:type="dxa"/>
          </w:tcPr>
          <w:p w:rsidR="00041039" w:rsidRDefault="00041039">
            <w:pPr>
              <w:pStyle w:val="TableParagraph"/>
              <w:ind w:left="0"/>
              <w:rPr>
                <w:sz w:val="12"/>
              </w:rPr>
            </w:pPr>
          </w:p>
        </w:tc>
      </w:tr>
      <w:tr w:rsidR="00041039">
        <w:trPr>
          <w:trHeight w:val="200"/>
        </w:trPr>
        <w:tc>
          <w:tcPr>
            <w:tcW w:w="580" w:type="dxa"/>
          </w:tcPr>
          <w:p w:rsidR="00041039" w:rsidRDefault="001B26CB">
            <w:pPr>
              <w:pStyle w:val="TableParagraph"/>
              <w:spacing w:before="15"/>
              <w:ind w:left="56"/>
              <w:rPr>
                <w:b/>
                <w:sz w:val="14"/>
              </w:rPr>
            </w:pPr>
            <w:r>
              <w:rPr>
                <w:b/>
                <w:color w:val="231F20"/>
                <w:sz w:val="14"/>
              </w:rPr>
              <w:t>7.</w:t>
            </w:r>
          </w:p>
        </w:tc>
        <w:tc>
          <w:tcPr>
            <w:tcW w:w="6539" w:type="dxa"/>
          </w:tcPr>
          <w:p w:rsidR="00041039" w:rsidRDefault="001B26CB">
            <w:pPr>
              <w:pStyle w:val="TableParagraph"/>
              <w:spacing w:before="15"/>
              <w:ind w:left="56"/>
              <w:rPr>
                <w:b/>
                <w:sz w:val="14"/>
              </w:rPr>
            </w:pPr>
            <w:r>
              <w:rPr>
                <w:b/>
                <w:color w:val="231F20"/>
                <w:sz w:val="14"/>
              </w:rPr>
              <w:t>Логика са етиком</w:t>
            </w:r>
          </w:p>
        </w:tc>
        <w:tc>
          <w:tcPr>
            <w:tcW w:w="850" w:type="dxa"/>
          </w:tcPr>
          <w:p w:rsidR="00041039" w:rsidRDefault="00041039">
            <w:pPr>
              <w:pStyle w:val="TableParagraph"/>
              <w:ind w:left="0"/>
              <w:rPr>
                <w:sz w:val="12"/>
              </w:rPr>
            </w:pPr>
          </w:p>
        </w:tc>
        <w:tc>
          <w:tcPr>
            <w:tcW w:w="850" w:type="dxa"/>
          </w:tcPr>
          <w:p w:rsidR="00041039" w:rsidRDefault="00041039">
            <w:pPr>
              <w:pStyle w:val="TableParagraph"/>
              <w:ind w:left="0"/>
              <w:rPr>
                <w:sz w:val="12"/>
              </w:rPr>
            </w:pPr>
          </w:p>
        </w:tc>
        <w:tc>
          <w:tcPr>
            <w:tcW w:w="850" w:type="dxa"/>
          </w:tcPr>
          <w:p w:rsidR="00041039" w:rsidRDefault="001B26CB">
            <w:pPr>
              <w:pStyle w:val="TableParagraph"/>
              <w:spacing w:before="15"/>
              <w:ind w:left="12"/>
              <w:jc w:val="center"/>
              <w:rPr>
                <w:b/>
                <w:sz w:val="14"/>
              </w:rPr>
            </w:pPr>
            <w:r>
              <w:rPr>
                <w:b/>
                <w:color w:val="231F20"/>
                <w:sz w:val="14"/>
              </w:rPr>
              <w:t>2</w:t>
            </w:r>
          </w:p>
        </w:tc>
        <w:tc>
          <w:tcPr>
            <w:tcW w:w="850" w:type="dxa"/>
          </w:tcPr>
          <w:p w:rsidR="00041039" w:rsidRDefault="001B26CB">
            <w:pPr>
              <w:pStyle w:val="TableParagraph"/>
              <w:spacing w:before="15"/>
              <w:ind w:left="13"/>
              <w:jc w:val="center"/>
              <w:rPr>
                <w:b/>
                <w:sz w:val="14"/>
              </w:rPr>
            </w:pPr>
            <w:r>
              <w:rPr>
                <w:b/>
                <w:color w:val="231F20"/>
                <w:sz w:val="14"/>
              </w:rPr>
              <w:t>2</w:t>
            </w:r>
          </w:p>
        </w:tc>
      </w:tr>
    </w:tbl>
    <w:p w:rsidR="00041039" w:rsidRDefault="00041039">
      <w:pPr>
        <w:pStyle w:val="BodyText"/>
        <w:spacing w:before="6"/>
        <w:rPr>
          <w:b/>
          <w:sz w:val="17"/>
        </w:rPr>
      </w:pPr>
    </w:p>
    <w:p w:rsidR="00041039" w:rsidRDefault="001B26CB">
      <w:pPr>
        <w:ind w:right="38"/>
        <w:jc w:val="center"/>
        <w:rPr>
          <w:b/>
          <w:sz w:val="18"/>
        </w:rPr>
      </w:pPr>
      <w:r>
        <w:rPr>
          <w:b/>
          <w:color w:val="231F20"/>
          <w:sz w:val="18"/>
        </w:rPr>
        <w:t>Остали обавезни облици образовно-васпитног рада током школске године</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52"/>
        <w:gridCol w:w="1134"/>
        <w:gridCol w:w="1134"/>
        <w:gridCol w:w="1134"/>
        <w:gridCol w:w="1134"/>
        <w:gridCol w:w="1134"/>
      </w:tblGrid>
      <w:tr w:rsidR="00041039">
        <w:trPr>
          <w:trHeight w:val="360"/>
        </w:trPr>
        <w:tc>
          <w:tcPr>
            <w:tcW w:w="4852" w:type="dxa"/>
            <w:shd w:val="clear" w:color="auto" w:fill="E6E7E8"/>
          </w:tcPr>
          <w:p w:rsidR="00041039" w:rsidRDefault="00041039">
            <w:pPr>
              <w:pStyle w:val="TableParagraph"/>
              <w:ind w:left="0"/>
              <w:rPr>
                <w:sz w:val="14"/>
              </w:rPr>
            </w:pPr>
          </w:p>
        </w:tc>
        <w:tc>
          <w:tcPr>
            <w:tcW w:w="1134" w:type="dxa"/>
            <w:shd w:val="clear" w:color="auto" w:fill="E6E7E8"/>
          </w:tcPr>
          <w:p w:rsidR="00041039" w:rsidRDefault="001B26CB">
            <w:pPr>
              <w:pStyle w:val="TableParagraph"/>
              <w:spacing w:before="18" w:line="161" w:lineRule="exact"/>
              <w:ind w:left="264"/>
              <w:rPr>
                <w:b/>
                <w:sz w:val="14"/>
              </w:rPr>
            </w:pPr>
            <w:r>
              <w:rPr>
                <w:b/>
                <w:color w:val="231F20"/>
                <w:sz w:val="14"/>
              </w:rPr>
              <w:t>I РАЗРЕД</w:t>
            </w:r>
          </w:p>
          <w:p w:rsidR="00041039" w:rsidRDefault="001B26CB">
            <w:pPr>
              <w:pStyle w:val="TableParagraph"/>
              <w:spacing w:line="161" w:lineRule="exact"/>
              <w:ind w:left="355"/>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II РАЗРЕД</w:t>
            </w:r>
          </w:p>
          <w:p w:rsidR="00041039" w:rsidRDefault="001B26CB">
            <w:pPr>
              <w:pStyle w:val="TableParagraph"/>
              <w:spacing w:line="161" w:lineRule="exact"/>
              <w:ind w:left="178" w:right="170"/>
              <w:jc w:val="center"/>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III РАЗРЕД</w:t>
            </w:r>
          </w:p>
          <w:p w:rsidR="00041039" w:rsidRDefault="001B26CB">
            <w:pPr>
              <w:pStyle w:val="TableParagraph"/>
              <w:spacing w:line="161" w:lineRule="exact"/>
              <w:ind w:left="178" w:right="170"/>
              <w:jc w:val="center"/>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IV РАЗРЕД</w:t>
            </w:r>
          </w:p>
          <w:p w:rsidR="00041039" w:rsidRDefault="001B26CB">
            <w:pPr>
              <w:pStyle w:val="TableParagraph"/>
              <w:spacing w:line="161" w:lineRule="exact"/>
              <w:ind w:left="178" w:right="170"/>
              <w:jc w:val="center"/>
              <w:rPr>
                <w:b/>
                <w:sz w:val="14"/>
              </w:rPr>
            </w:pPr>
            <w:r>
              <w:rPr>
                <w:b/>
                <w:color w:val="231F20"/>
                <w:sz w:val="14"/>
              </w:rPr>
              <w:t>часова</w:t>
            </w:r>
          </w:p>
        </w:tc>
        <w:tc>
          <w:tcPr>
            <w:tcW w:w="1134" w:type="dxa"/>
            <w:shd w:val="clear" w:color="auto" w:fill="E6E7E8"/>
          </w:tcPr>
          <w:p w:rsidR="00041039" w:rsidRDefault="001B26CB">
            <w:pPr>
              <w:pStyle w:val="TableParagraph"/>
              <w:spacing w:before="18" w:line="161" w:lineRule="exact"/>
              <w:ind w:left="178" w:right="170"/>
              <w:jc w:val="center"/>
              <w:rPr>
                <w:b/>
                <w:sz w:val="14"/>
              </w:rPr>
            </w:pPr>
            <w:r>
              <w:rPr>
                <w:b/>
                <w:color w:val="231F20"/>
                <w:sz w:val="14"/>
              </w:rPr>
              <w:t>УКУПНО</w:t>
            </w:r>
          </w:p>
          <w:p w:rsidR="00041039" w:rsidRDefault="001B26CB">
            <w:pPr>
              <w:pStyle w:val="TableParagraph"/>
              <w:spacing w:line="161" w:lineRule="exact"/>
              <w:ind w:left="178" w:right="170"/>
              <w:jc w:val="center"/>
              <w:rPr>
                <w:b/>
                <w:sz w:val="14"/>
              </w:rPr>
            </w:pPr>
            <w:r>
              <w:rPr>
                <w:b/>
                <w:color w:val="231F20"/>
                <w:sz w:val="14"/>
              </w:rPr>
              <w:t>часова</w:t>
            </w:r>
          </w:p>
        </w:tc>
      </w:tr>
      <w:tr w:rsidR="00041039">
        <w:trPr>
          <w:trHeight w:val="198"/>
        </w:trPr>
        <w:tc>
          <w:tcPr>
            <w:tcW w:w="4852" w:type="dxa"/>
          </w:tcPr>
          <w:p w:rsidR="00041039" w:rsidRDefault="001B26CB">
            <w:pPr>
              <w:pStyle w:val="TableParagraph"/>
              <w:spacing w:before="16"/>
              <w:ind w:left="56"/>
              <w:rPr>
                <w:b/>
                <w:sz w:val="14"/>
              </w:rPr>
            </w:pPr>
            <w:r>
              <w:rPr>
                <w:b/>
                <w:color w:val="231F20"/>
                <w:sz w:val="14"/>
              </w:rPr>
              <w:t>Час одељенског старешине</w:t>
            </w:r>
          </w:p>
        </w:tc>
        <w:tc>
          <w:tcPr>
            <w:tcW w:w="1134" w:type="dxa"/>
          </w:tcPr>
          <w:p w:rsidR="00041039" w:rsidRDefault="001B26CB">
            <w:pPr>
              <w:pStyle w:val="TableParagraph"/>
              <w:spacing w:before="16"/>
              <w:ind w:left="178" w:right="169"/>
              <w:jc w:val="center"/>
              <w:rPr>
                <w:b/>
                <w:sz w:val="14"/>
              </w:rPr>
            </w:pPr>
            <w:r>
              <w:rPr>
                <w:b/>
                <w:color w:val="231F20"/>
                <w:sz w:val="14"/>
              </w:rPr>
              <w:t>70</w:t>
            </w:r>
          </w:p>
        </w:tc>
        <w:tc>
          <w:tcPr>
            <w:tcW w:w="1134" w:type="dxa"/>
          </w:tcPr>
          <w:p w:rsidR="00041039" w:rsidRDefault="001B26CB">
            <w:pPr>
              <w:pStyle w:val="TableParagraph"/>
              <w:spacing w:before="16"/>
              <w:ind w:left="178" w:right="170"/>
              <w:jc w:val="center"/>
              <w:rPr>
                <w:b/>
                <w:sz w:val="14"/>
              </w:rPr>
            </w:pPr>
            <w:r>
              <w:rPr>
                <w:b/>
                <w:color w:val="231F20"/>
                <w:sz w:val="14"/>
              </w:rPr>
              <w:t>70</w:t>
            </w:r>
          </w:p>
        </w:tc>
        <w:tc>
          <w:tcPr>
            <w:tcW w:w="1134" w:type="dxa"/>
          </w:tcPr>
          <w:p w:rsidR="00041039" w:rsidRDefault="001B26CB">
            <w:pPr>
              <w:pStyle w:val="TableParagraph"/>
              <w:spacing w:before="16"/>
              <w:ind w:left="178" w:right="170"/>
              <w:jc w:val="center"/>
              <w:rPr>
                <w:b/>
                <w:sz w:val="14"/>
              </w:rPr>
            </w:pPr>
            <w:r>
              <w:rPr>
                <w:b/>
                <w:color w:val="231F20"/>
                <w:sz w:val="14"/>
              </w:rPr>
              <w:t>70</w:t>
            </w:r>
          </w:p>
        </w:tc>
        <w:tc>
          <w:tcPr>
            <w:tcW w:w="1134" w:type="dxa"/>
          </w:tcPr>
          <w:p w:rsidR="00041039" w:rsidRDefault="001B26CB">
            <w:pPr>
              <w:pStyle w:val="TableParagraph"/>
              <w:spacing w:before="16"/>
              <w:ind w:left="178" w:right="170"/>
              <w:jc w:val="center"/>
              <w:rPr>
                <w:b/>
                <w:sz w:val="14"/>
              </w:rPr>
            </w:pPr>
            <w:r>
              <w:rPr>
                <w:b/>
                <w:color w:val="231F20"/>
                <w:sz w:val="14"/>
              </w:rPr>
              <w:t>64</w:t>
            </w:r>
          </w:p>
        </w:tc>
        <w:tc>
          <w:tcPr>
            <w:tcW w:w="1134" w:type="dxa"/>
          </w:tcPr>
          <w:p w:rsidR="00041039" w:rsidRDefault="001B26CB">
            <w:pPr>
              <w:pStyle w:val="TableParagraph"/>
              <w:spacing w:before="16"/>
              <w:ind w:left="177" w:right="170"/>
              <w:jc w:val="center"/>
              <w:rPr>
                <w:b/>
                <w:sz w:val="14"/>
              </w:rPr>
            </w:pPr>
            <w:r>
              <w:rPr>
                <w:b/>
                <w:color w:val="231F20"/>
                <w:sz w:val="14"/>
              </w:rPr>
              <w:t>274</w:t>
            </w:r>
          </w:p>
        </w:tc>
      </w:tr>
      <w:tr w:rsidR="00041039">
        <w:trPr>
          <w:trHeight w:val="198"/>
        </w:trPr>
        <w:tc>
          <w:tcPr>
            <w:tcW w:w="4852" w:type="dxa"/>
          </w:tcPr>
          <w:p w:rsidR="00041039" w:rsidRDefault="001B26CB">
            <w:pPr>
              <w:pStyle w:val="TableParagraph"/>
              <w:spacing w:before="15"/>
              <w:ind w:left="56"/>
              <w:rPr>
                <w:b/>
                <w:sz w:val="14"/>
              </w:rPr>
            </w:pPr>
            <w:r>
              <w:rPr>
                <w:b/>
                <w:color w:val="231F20"/>
                <w:sz w:val="14"/>
              </w:rPr>
              <w:t>Додатни рад *</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120</w:t>
            </w:r>
          </w:p>
        </w:tc>
      </w:tr>
      <w:tr w:rsidR="00041039">
        <w:trPr>
          <w:trHeight w:val="198"/>
        </w:trPr>
        <w:tc>
          <w:tcPr>
            <w:tcW w:w="4852" w:type="dxa"/>
          </w:tcPr>
          <w:p w:rsidR="00041039" w:rsidRDefault="001B26CB">
            <w:pPr>
              <w:pStyle w:val="TableParagraph"/>
              <w:spacing w:before="15"/>
              <w:ind w:left="56"/>
              <w:rPr>
                <w:b/>
                <w:sz w:val="14"/>
              </w:rPr>
            </w:pPr>
            <w:r>
              <w:rPr>
                <w:b/>
                <w:color w:val="231F20"/>
                <w:sz w:val="14"/>
              </w:rPr>
              <w:t>Допунски рад *</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120</w:t>
            </w:r>
          </w:p>
        </w:tc>
      </w:tr>
      <w:tr w:rsidR="00041039">
        <w:trPr>
          <w:trHeight w:val="198"/>
        </w:trPr>
        <w:tc>
          <w:tcPr>
            <w:tcW w:w="4852" w:type="dxa"/>
          </w:tcPr>
          <w:p w:rsidR="00041039" w:rsidRDefault="001B26CB">
            <w:pPr>
              <w:pStyle w:val="TableParagraph"/>
              <w:spacing w:before="15"/>
              <w:ind w:left="56"/>
              <w:rPr>
                <w:b/>
                <w:sz w:val="14"/>
              </w:rPr>
            </w:pPr>
            <w:r>
              <w:rPr>
                <w:b/>
                <w:color w:val="231F20"/>
                <w:sz w:val="14"/>
              </w:rPr>
              <w:t>Припремни рад *</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69"/>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30</w:t>
            </w:r>
          </w:p>
        </w:tc>
        <w:tc>
          <w:tcPr>
            <w:tcW w:w="1134" w:type="dxa"/>
          </w:tcPr>
          <w:p w:rsidR="00041039" w:rsidRDefault="001B26CB">
            <w:pPr>
              <w:pStyle w:val="TableParagraph"/>
              <w:spacing w:before="15"/>
              <w:ind w:left="178" w:right="170"/>
              <w:jc w:val="center"/>
              <w:rPr>
                <w:b/>
                <w:sz w:val="14"/>
              </w:rPr>
            </w:pPr>
            <w:r>
              <w:rPr>
                <w:b/>
                <w:color w:val="231F20"/>
                <w:sz w:val="14"/>
              </w:rPr>
              <w:t>до 120</w:t>
            </w:r>
          </w:p>
        </w:tc>
      </w:tr>
    </w:tbl>
    <w:p w:rsidR="00041039" w:rsidRDefault="00041039">
      <w:pPr>
        <w:pStyle w:val="BodyText"/>
        <w:spacing w:before="6"/>
        <w:rPr>
          <w:b/>
          <w:sz w:val="17"/>
        </w:rPr>
      </w:pPr>
    </w:p>
    <w:p w:rsidR="00041039" w:rsidRDefault="001B26CB">
      <w:pPr>
        <w:ind w:right="38"/>
        <w:jc w:val="center"/>
        <w:rPr>
          <w:b/>
          <w:sz w:val="18"/>
        </w:rPr>
      </w:pPr>
      <w:r>
        <w:rPr>
          <w:b/>
          <w:color w:val="231F20"/>
          <w:sz w:val="18"/>
        </w:rPr>
        <w:t>Остали обавезни облици образовно-васпитног рада током школске године</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04"/>
        <w:gridCol w:w="1133"/>
        <w:gridCol w:w="1133"/>
        <w:gridCol w:w="1133"/>
        <w:gridCol w:w="1133"/>
      </w:tblGrid>
      <w:tr w:rsidR="00041039">
        <w:trPr>
          <w:trHeight w:val="200"/>
        </w:trPr>
        <w:tc>
          <w:tcPr>
            <w:tcW w:w="6004" w:type="dxa"/>
            <w:shd w:val="clear" w:color="auto" w:fill="E6E7E8"/>
          </w:tcPr>
          <w:p w:rsidR="00041039" w:rsidRDefault="00041039">
            <w:pPr>
              <w:pStyle w:val="TableParagraph"/>
              <w:ind w:left="0"/>
              <w:rPr>
                <w:sz w:val="12"/>
              </w:rPr>
            </w:pPr>
          </w:p>
        </w:tc>
        <w:tc>
          <w:tcPr>
            <w:tcW w:w="1133" w:type="dxa"/>
            <w:shd w:val="clear" w:color="auto" w:fill="E6E7E8"/>
          </w:tcPr>
          <w:p w:rsidR="00041039" w:rsidRDefault="001B26CB">
            <w:pPr>
              <w:pStyle w:val="TableParagraph"/>
              <w:spacing w:before="16"/>
              <w:ind w:left="265"/>
              <w:rPr>
                <w:b/>
                <w:sz w:val="14"/>
              </w:rPr>
            </w:pPr>
            <w:r>
              <w:rPr>
                <w:b/>
                <w:color w:val="231F20"/>
                <w:sz w:val="14"/>
              </w:rPr>
              <w:t>I РАЗРЕД</w:t>
            </w:r>
          </w:p>
        </w:tc>
        <w:tc>
          <w:tcPr>
            <w:tcW w:w="1133" w:type="dxa"/>
            <w:shd w:val="clear" w:color="auto" w:fill="E6E7E8"/>
          </w:tcPr>
          <w:p w:rsidR="00041039" w:rsidRDefault="001B26CB">
            <w:pPr>
              <w:pStyle w:val="TableParagraph"/>
              <w:spacing w:before="16"/>
              <w:ind w:left="239"/>
              <w:rPr>
                <w:b/>
                <w:sz w:val="14"/>
              </w:rPr>
            </w:pPr>
            <w:r>
              <w:rPr>
                <w:b/>
                <w:color w:val="231F20"/>
                <w:sz w:val="14"/>
              </w:rPr>
              <w:t>II РАЗРЕД</w:t>
            </w:r>
          </w:p>
        </w:tc>
        <w:tc>
          <w:tcPr>
            <w:tcW w:w="1133" w:type="dxa"/>
            <w:shd w:val="clear" w:color="auto" w:fill="E6E7E8"/>
          </w:tcPr>
          <w:p w:rsidR="00041039" w:rsidRDefault="001B26CB">
            <w:pPr>
              <w:pStyle w:val="TableParagraph"/>
              <w:spacing w:before="16"/>
              <w:ind w:left="212"/>
              <w:rPr>
                <w:b/>
                <w:sz w:val="14"/>
              </w:rPr>
            </w:pPr>
            <w:r>
              <w:rPr>
                <w:b/>
                <w:color w:val="231F20"/>
                <w:sz w:val="14"/>
              </w:rPr>
              <w:t>III РАЗРЕД</w:t>
            </w:r>
          </w:p>
        </w:tc>
        <w:tc>
          <w:tcPr>
            <w:tcW w:w="1133" w:type="dxa"/>
            <w:shd w:val="clear" w:color="auto" w:fill="E6E7E8"/>
          </w:tcPr>
          <w:p w:rsidR="00041039" w:rsidRDefault="001B26CB">
            <w:pPr>
              <w:pStyle w:val="TableParagraph"/>
              <w:spacing w:before="16"/>
              <w:ind w:left="218"/>
              <w:rPr>
                <w:b/>
                <w:sz w:val="14"/>
              </w:rPr>
            </w:pPr>
            <w:r>
              <w:rPr>
                <w:b/>
                <w:color w:val="231F20"/>
                <w:sz w:val="14"/>
              </w:rPr>
              <w:t>IV РАЗРЕД</w:t>
            </w:r>
          </w:p>
        </w:tc>
      </w:tr>
      <w:tr w:rsidR="00041039">
        <w:trPr>
          <w:trHeight w:val="360"/>
        </w:trPr>
        <w:tc>
          <w:tcPr>
            <w:tcW w:w="6004" w:type="dxa"/>
          </w:tcPr>
          <w:p w:rsidR="00041039" w:rsidRDefault="001B26CB">
            <w:pPr>
              <w:pStyle w:val="TableParagraph"/>
              <w:spacing w:before="18"/>
              <w:ind w:left="56"/>
              <w:rPr>
                <w:sz w:val="14"/>
              </w:rPr>
            </w:pPr>
            <w:r>
              <w:rPr>
                <w:color w:val="231F20"/>
                <w:sz w:val="14"/>
              </w:rPr>
              <w:t>Екскурзија</w:t>
            </w:r>
          </w:p>
        </w:tc>
        <w:tc>
          <w:tcPr>
            <w:tcW w:w="1133" w:type="dxa"/>
          </w:tcPr>
          <w:p w:rsidR="00041039" w:rsidRDefault="001B26CB">
            <w:pPr>
              <w:pStyle w:val="TableParagraph"/>
              <w:spacing w:before="15"/>
              <w:ind w:left="281"/>
              <w:rPr>
                <w:b/>
                <w:sz w:val="14"/>
              </w:rPr>
            </w:pPr>
            <w:r>
              <w:rPr>
                <w:b/>
                <w:color w:val="231F20"/>
                <w:sz w:val="14"/>
              </w:rPr>
              <w:t>до 3 дана</w:t>
            </w:r>
          </w:p>
        </w:tc>
        <w:tc>
          <w:tcPr>
            <w:tcW w:w="1133" w:type="dxa"/>
          </w:tcPr>
          <w:p w:rsidR="00041039" w:rsidRDefault="001B26CB">
            <w:pPr>
              <w:pStyle w:val="TableParagraph"/>
              <w:spacing w:before="15"/>
              <w:ind w:left="282"/>
              <w:rPr>
                <w:b/>
                <w:sz w:val="14"/>
              </w:rPr>
            </w:pPr>
            <w:r>
              <w:rPr>
                <w:b/>
                <w:color w:val="231F20"/>
                <w:sz w:val="14"/>
              </w:rPr>
              <w:t>до 5 дана</w:t>
            </w:r>
          </w:p>
        </w:tc>
        <w:tc>
          <w:tcPr>
            <w:tcW w:w="1133" w:type="dxa"/>
          </w:tcPr>
          <w:p w:rsidR="00041039" w:rsidRDefault="001B26CB">
            <w:pPr>
              <w:pStyle w:val="TableParagraph"/>
              <w:spacing w:before="18"/>
              <w:ind w:left="75" w:right="43" w:firstLine="370"/>
              <w:rPr>
                <w:b/>
                <w:sz w:val="14"/>
              </w:rPr>
            </w:pPr>
            <w:r>
              <w:rPr>
                <w:b/>
                <w:color w:val="231F20"/>
                <w:sz w:val="14"/>
              </w:rPr>
              <w:t>до 5 наставних дана</w:t>
            </w:r>
          </w:p>
        </w:tc>
        <w:tc>
          <w:tcPr>
            <w:tcW w:w="1133" w:type="dxa"/>
          </w:tcPr>
          <w:p w:rsidR="00041039" w:rsidRDefault="001B26CB">
            <w:pPr>
              <w:pStyle w:val="TableParagraph"/>
              <w:spacing w:before="18"/>
              <w:ind w:left="76" w:right="42" w:firstLine="370"/>
              <w:rPr>
                <w:b/>
                <w:sz w:val="14"/>
              </w:rPr>
            </w:pPr>
            <w:r>
              <w:rPr>
                <w:b/>
                <w:color w:val="231F20"/>
                <w:sz w:val="14"/>
              </w:rPr>
              <w:t>до 5 наставних дана</w:t>
            </w:r>
          </w:p>
        </w:tc>
      </w:tr>
      <w:tr w:rsidR="00041039">
        <w:trPr>
          <w:trHeight w:val="200"/>
        </w:trPr>
        <w:tc>
          <w:tcPr>
            <w:tcW w:w="6004" w:type="dxa"/>
          </w:tcPr>
          <w:p w:rsidR="00041039" w:rsidRDefault="001B26CB">
            <w:pPr>
              <w:pStyle w:val="TableParagraph"/>
              <w:spacing w:before="18"/>
              <w:ind w:left="56"/>
              <w:rPr>
                <w:sz w:val="14"/>
              </w:rPr>
            </w:pPr>
            <w:r>
              <w:rPr>
                <w:color w:val="231F20"/>
                <w:sz w:val="14"/>
              </w:rPr>
              <w:t>Језик другог народа или националне мањине са елементима националне културе</w:t>
            </w:r>
          </w:p>
        </w:tc>
        <w:tc>
          <w:tcPr>
            <w:tcW w:w="4532" w:type="dxa"/>
            <w:gridSpan w:val="4"/>
          </w:tcPr>
          <w:p w:rsidR="00041039" w:rsidRDefault="001B26CB">
            <w:pPr>
              <w:pStyle w:val="TableParagraph"/>
              <w:spacing w:before="15"/>
              <w:ind w:left="1512" w:right="1498"/>
              <w:jc w:val="center"/>
              <w:rPr>
                <w:b/>
                <w:sz w:val="14"/>
              </w:rPr>
            </w:pPr>
            <w:r>
              <w:rPr>
                <w:b/>
                <w:color w:val="231F20"/>
                <w:sz w:val="14"/>
              </w:rPr>
              <w:t>2 часа недељно</w:t>
            </w:r>
          </w:p>
        </w:tc>
      </w:tr>
      <w:tr w:rsidR="00041039">
        <w:trPr>
          <w:trHeight w:val="200"/>
        </w:trPr>
        <w:tc>
          <w:tcPr>
            <w:tcW w:w="6004" w:type="dxa"/>
          </w:tcPr>
          <w:p w:rsidR="00041039" w:rsidRDefault="001B26CB">
            <w:pPr>
              <w:pStyle w:val="TableParagraph"/>
              <w:spacing w:before="18"/>
              <w:ind w:left="56"/>
              <w:rPr>
                <w:sz w:val="14"/>
              </w:rPr>
            </w:pPr>
            <w:r>
              <w:rPr>
                <w:color w:val="231F20"/>
                <w:sz w:val="14"/>
              </w:rPr>
              <w:t>Tpeћи страни језик</w:t>
            </w:r>
          </w:p>
        </w:tc>
        <w:tc>
          <w:tcPr>
            <w:tcW w:w="4532" w:type="dxa"/>
            <w:gridSpan w:val="4"/>
          </w:tcPr>
          <w:p w:rsidR="00041039" w:rsidRDefault="001B26CB">
            <w:pPr>
              <w:pStyle w:val="TableParagraph"/>
              <w:spacing w:before="15"/>
              <w:ind w:left="1512" w:right="1498"/>
              <w:jc w:val="center"/>
              <w:rPr>
                <w:b/>
                <w:sz w:val="14"/>
              </w:rPr>
            </w:pPr>
            <w:r>
              <w:rPr>
                <w:b/>
                <w:color w:val="231F20"/>
                <w:sz w:val="14"/>
              </w:rPr>
              <w:t>2 часа недељно</w:t>
            </w:r>
          </w:p>
        </w:tc>
      </w:tr>
      <w:tr w:rsidR="00041039">
        <w:trPr>
          <w:trHeight w:val="200"/>
        </w:trPr>
        <w:tc>
          <w:tcPr>
            <w:tcW w:w="6004" w:type="dxa"/>
          </w:tcPr>
          <w:p w:rsidR="00041039" w:rsidRDefault="001B26CB">
            <w:pPr>
              <w:pStyle w:val="TableParagraph"/>
              <w:spacing w:before="18"/>
              <w:ind w:left="56"/>
              <w:rPr>
                <w:sz w:val="14"/>
              </w:rPr>
            </w:pPr>
            <w:r>
              <w:rPr>
                <w:color w:val="231F20"/>
                <w:sz w:val="14"/>
              </w:rPr>
              <w:t>Други предмети *</w:t>
            </w:r>
          </w:p>
        </w:tc>
        <w:tc>
          <w:tcPr>
            <w:tcW w:w="4532" w:type="dxa"/>
            <w:gridSpan w:val="4"/>
          </w:tcPr>
          <w:p w:rsidR="00041039" w:rsidRDefault="001B26CB">
            <w:pPr>
              <w:pStyle w:val="TableParagraph"/>
              <w:spacing w:before="15"/>
              <w:ind w:left="1512" w:right="1498"/>
              <w:jc w:val="center"/>
              <w:rPr>
                <w:b/>
                <w:sz w:val="14"/>
              </w:rPr>
            </w:pPr>
            <w:r>
              <w:rPr>
                <w:b/>
                <w:color w:val="231F20"/>
                <w:sz w:val="14"/>
              </w:rPr>
              <w:t>1 - 2 часа недељно</w:t>
            </w:r>
          </w:p>
        </w:tc>
      </w:tr>
      <w:tr w:rsidR="00041039">
        <w:trPr>
          <w:trHeight w:val="200"/>
        </w:trPr>
        <w:tc>
          <w:tcPr>
            <w:tcW w:w="6004" w:type="dxa"/>
          </w:tcPr>
          <w:p w:rsidR="00041039" w:rsidRDefault="001B26CB">
            <w:pPr>
              <w:pStyle w:val="TableParagraph"/>
              <w:spacing w:before="18"/>
              <w:ind w:left="56"/>
              <w:rPr>
                <w:sz w:val="14"/>
              </w:rPr>
            </w:pPr>
            <w:r>
              <w:rPr>
                <w:color w:val="231F20"/>
                <w:sz w:val="14"/>
              </w:rPr>
              <w:t>Стваралачке и слободне активности ученика (хор, секције и друго)</w:t>
            </w:r>
          </w:p>
        </w:tc>
        <w:tc>
          <w:tcPr>
            <w:tcW w:w="4532" w:type="dxa"/>
            <w:gridSpan w:val="4"/>
          </w:tcPr>
          <w:p w:rsidR="00041039" w:rsidRDefault="001B26CB">
            <w:pPr>
              <w:pStyle w:val="TableParagraph"/>
              <w:spacing w:before="15"/>
              <w:ind w:left="1512" w:right="1498"/>
              <w:jc w:val="center"/>
              <w:rPr>
                <w:b/>
                <w:sz w:val="14"/>
              </w:rPr>
            </w:pPr>
            <w:r>
              <w:rPr>
                <w:b/>
                <w:color w:val="231F20"/>
                <w:sz w:val="14"/>
              </w:rPr>
              <w:t>30 - 60 часова годишње</w:t>
            </w:r>
          </w:p>
        </w:tc>
      </w:tr>
      <w:tr w:rsidR="00041039">
        <w:trPr>
          <w:trHeight w:val="200"/>
        </w:trPr>
        <w:tc>
          <w:tcPr>
            <w:tcW w:w="6004" w:type="dxa"/>
          </w:tcPr>
          <w:p w:rsidR="00041039" w:rsidRDefault="001B26CB">
            <w:pPr>
              <w:pStyle w:val="TableParagraph"/>
              <w:spacing w:before="18"/>
              <w:ind w:left="56"/>
              <w:rPr>
                <w:sz w:val="14"/>
              </w:rPr>
            </w:pPr>
            <w:r>
              <w:rPr>
                <w:color w:val="231F20"/>
                <w:sz w:val="14"/>
              </w:rPr>
              <w:t>Друштвене активности ­ ученички парламент, ученичке задруге</w:t>
            </w:r>
          </w:p>
        </w:tc>
        <w:tc>
          <w:tcPr>
            <w:tcW w:w="4532" w:type="dxa"/>
            <w:gridSpan w:val="4"/>
          </w:tcPr>
          <w:p w:rsidR="00041039" w:rsidRDefault="001B26CB">
            <w:pPr>
              <w:pStyle w:val="TableParagraph"/>
              <w:spacing w:before="15"/>
              <w:ind w:left="1512" w:right="1498"/>
              <w:jc w:val="center"/>
              <w:rPr>
                <w:b/>
                <w:sz w:val="14"/>
              </w:rPr>
            </w:pPr>
            <w:r>
              <w:rPr>
                <w:b/>
                <w:color w:val="231F20"/>
                <w:sz w:val="14"/>
              </w:rPr>
              <w:t>15 - 30 часова годишње</w:t>
            </w:r>
          </w:p>
        </w:tc>
      </w:tr>
      <w:tr w:rsidR="00041039">
        <w:trPr>
          <w:trHeight w:val="200"/>
        </w:trPr>
        <w:tc>
          <w:tcPr>
            <w:tcW w:w="6004" w:type="dxa"/>
          </w:tcPr>
          <w:p w:rsidR="00041039" w:rsidRDefault="001B26CB">
            <w:pPr>
              <w:pStyle w:val="TableParagraph"/>
              <w:spacing w:before="18"/>
              <w:ind w:left="56"/>
              <w:rPr>
                <w:sz w:val="14"/>
              </w:rPr>
            </w:pPr>
            <w:r>
              <w:rPr>
                <w:color w:val="231F20"/>
                <w:sz w:val="14"/>
              </w:rPr>
              <w:t>Културна и јавна делатност школе</w:t>
            </w:r>
          </w:p>
        </w:tc>
        <w:tc>
          <w:tcPr>
            <w:tcW w:w="4532" w:type="dxa"/>
            <w:gridSpan w:val="4"/>
          </w:tcPr>
          <w:p w:rsidR="00041039" w:rsidRDefault="001B26CB">
            <w:pPr>
              <w:pStyle w:val="TableParagraph"/>
              <w:spacing w:before="15"/>
              <w:ind w:left="1512" w:right="1498"/>
              <w:jc w:val="center"/>
              <w:rPr>
                <w:b/>
                <w:sz w:val="14"/>
              </w:rPr>
            </w:pPr>
            <w:r>
              <w:rPr>
                <w:b/>
                <w:color w:val="231F20"/>
                <w:sz w:val="14"/>
              </w:rPr>
              <w:t>2 радна дана</w:t>
            </w:r>
          </w:p>
        </w:tc>
      </w:tr>
    </w:tbl>
    <w:p w:rsidR="00041039" w:rsidRDefault="00041039">
      <w:pPr>
        <w:pStyle w:val="BodyText"/>
        <w:spacing w:before="6"/>
        <w:rPr>
          <w:b/>
          <w:sz w:val="17"/>
        </w:rPr>
      </w:pPr>
    </w:p>
    <w:p w:rsidR="00041039" w:rsidRDefault="001B26CB">
      <w:pPr>
        <w:ind w:right="37"/>
        <w:jc w:val="center"/>
        <w:rPr>
          <w:b/>
          <w:sz w:val="18"/>
        </w:rPr>
      </w:pPr>
      <w:r>
        <w:rPr>
          <w:b/>
          <w:color w:val="231F20"/>
          <w:sz w:val="18"/>
        </w:rPr>
        <w:t>Остваривање школског програма по недељама</w:t>
      </w:r>
    </w:p>
    <w:p w:rsidR="00041039" w:rsidRDefault="00041039">
      <w:pPr>
        <w:pStyle w:val="BodyText"/>
        <w:rPr>
          <w:b/>
          <w:sz w:val="21"/>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04"/>
        <w:gridCol w:w="1133"/>
        <w:gridCol w:w="1133"/>
        <w:gridCol w:w="1133"/>
        <w:gridCol w:w="1133"/>
      </w:tblGrid>
      <w:tr w:rsidR="00041039">
        <w:trPr>
          <w:trHeight w:val="200"/>
        </w:trPr>
        <w:tc>
          <w:tcPr>
            <w:tcW w:w="6004" w:type="dxa"/>
            <w:shd w:val="clear" w:color="auto" w:fill="E6E7E8"/>
          </w:tcPr>
          <w:p w:rsidR="00041039" w:rsidRDefault="00041039">
            <w:pPr>
              <w:pStyle w:val="TableParagraph"/>
              <w:ind w:left="0"/>
              <w:rPr>
                <w:sz w:val="12"/>
              </w:rPr>
            </w:pPr>
          </w:p>
        </w:tc>
        <w:tc>
          <w:tcPr>
            <w:tcW w:w="1133" w:type="dxa"/>
            <w:shd w:val="clear" w:color="auto" w:fill="E6E7E8"/>
          </w:tcPr>
          <w:p w:rsidR="00041039" w:rsidRDefault="001B26CB">
            <w:pPr>
              <w:pStyle w:val="TableParagraph"/>
              <w:spacing w:before="16"/>
              <w:ind w:left="177" w:right="166"/>
              <w:jc w:val="center"/>
              <w:rPr>
                <w:b/>
                <w:sz w:val="14"/>
              </w:rPr>
            </w:pPr>
            <w:r>
              <w:rPr>
                <w:b/>
                <w:color w:val="231F20"/>
                <w:sz w:val="14"/>
              </w:rPr>
              <w:t>I РАЗРЕД</w:t>
            </w:r>
          </w:p>
        </w:tc>
        <w:tc>
          <w:tcPr>
            <w:tcW w:w="1133" w:type="dxa"/>
            <w:shd w:val="clear" w:color="auto" w:fill="E6E7E8"/>
          </w:tcPr>
          <w:p w:rsidR="00041039" w:rsidRDefault="001B26CB">
            <w:pPr>
              <w:pStyle w:val="TableParagraph"/>
              <w:spacing w:before="16"/>
              <w:ind w:left="179" w:right="166"/>
              <w:jc w:val="center"/>
              <w:rPr>
                <w:b/>
                <w:sz w:val="14"/>
              </w:rPr>
            </w:pPr>
            <w:r>
              <w:rPr>
                <w:b/>
                <w:color w:val="231F20"/>
                <w:sz w:val="14"/>
              </w:rPr>
              <w:t>II РАЗРЕД</w:t>
            </w:r>
          </w:p>
        </w:tc>
        <w:tc>
          <w:tcPr>
            <w:tcW w:w="1133" w:type="dxa"/>
            <w:shd w:val="clear" w:color="auto" w:fill="E6E7E8"/>
          </w:tcPr>
          <w:p w:rsidR="00041039" w:rsidRDefault="001B26CB">
            <w:pPr>
              <w:pStyle w:val="TableParagraph"/>
              <w:spacing w:before="16"/>
              <w:ind w:left="181" w:right="166"/>
              <w:jc w:val="center"/>
              <w:rPr>
                <w:b/>
                <w:sz w:val="14"/>
              </w:rPr>
            </w:pPr>
            <w:r>
              <w:rPr>
                <w:b/>
                <w:color w:val="231F20"/>
                <w:sz w:val="14"/>
              </w:rPr>
              <w:t>III РАЗРЕД</w:t>
            </w:r>
          </w:p>
        </w:tc>
        <w:tc>
          <w:tcPr>
            <w:tcW w:w="1133" w:type="dxa"/>
            <w:shd w:val="clear" w:color="auto" w:fill="E6E7E8"/>
          </w:tcPr>
          <w:p w:rsidR="00041039" w:rsidRDefault="001B26CB">
            <w:pPr>
              <w:pStyle w:val="TableParagraph"/>
              <w:spacing w:before="16"/>
              <w:ind w:left="181" w:right="165"/>
              <w:jc w:val="center"/>
              <w:rPr>
                <w:b/>
                <w:sz w:val="14"/>
              </w:rPr>
            </w:pPr>
            <w:r>
              <w:rPr>
                <w:b/>
                <w:color w:val="231F20"/>
                <w:sz w:val="14"/>
              </w:rPr>
              <w:t>IV РАЗРЕД</w:t>
            </w:r>
          </w:p>
        </w:tc>
      </w:tr>
      <w:tr w:rsidR="00041039">
        <w:trPr>
          <w:trHeight w:val="200"/>
        </w:trPr>
        <w:tc>
          <w:tcPr>
            <w:tcW w:w="6004" w:type="dxa"/>
          </w:tcPr>
          <w:p w:rsidR="00041039" w:rsidRDefault="001B26CB">
            <w:pPr>
              <w:pStyle w:val="TableParagraph"/>
              <w:spacing w:before="18"/>
              <w:ind w:left="56"/>
              <w:rPr>
                <w:sz w:val="14"/>
              </w:rPr>
            </w:pPr>
            <w:r>
              <w:rPr>
                <w:color w:val="231F20"/>
                <w:sz w:val="14"/>
              </w:rPr>
              <w:t>Разредно ­ часовна настава</w:t>
            </w:r>
          </w:p>
        </w:tc>
        <w:tc>
          <w:tcPr>
            <w:tcW w:w="1133" w:type="dxa"/>
          </w:tcPr>
          <w:p w:rsidR="00041039" w:rsidRDefault="001B26CB">
            <w:pPr>
              <w:pStyle w:val="TableParagraph"/>
              <w:spacing w:before="15"/>
              <w:ind w:left="177" w:right="166"/>
              <w:jc w:val="center"/>
              <w:rPr>
                <w:b/>
                <w:sz w:val="14"/>
              </w:rPr>
            </w:pPr>
            <w:r>
              <w:rPr>
                <w:b/>
                <w:color w:val="231F20"/>
                <w:sz w:val="14"/>
              </w:rPr>
              <w:t>35</w:t>
            </w:r>
          </w:p>
        </w:tc>
        <w:tc>
          <w:tcPr>
            <w:tcW w:w="1133" w:type="dxa"/>
          </w:tcPr>
          <w:p w:rsidR="00041039" w:rsidRDefault="001B26CB">
            <w:pPr>
              <w:pStyle w:val="TableParagraph"/>
              <w:spacing w:before="15"/>
              <w:ind w:left="179" w:right="166"/>
              <w:jc w:val="center"/>
              <w:rPr>
                <w:b/>
                <w:sz w:val="14"/>
              </w:rPr>
            </w:pPr>
            <w:r>
              <w:rPr>
                <w:b/>
                <w:color w:val="231F20"/>
                <w:sz w:val="14"/>
              </w:rPr>
              <w:t>35</w:t>
            </w:r>
          </w:p>
        </w:tc>
        <w:tc>
          <w:tcPr>
            <w:tcW w:w="1133" w:type="dxa"/>
          </w:tcPr>
          <w:p w:rsidR="00041039" w:rsidRDefault="001B26CB">
            <w:pPr>
              <w:pStyle w:val="TableParagraph"/>
              <w:spacing w:before="15"/>
              <w:ind w:left="180" w:right="166"/>
              <w:jc w:val="center"/>
              <w:rPr>
                <w:b/>
                <w:sz w:val="14"/>
              </w:rPr>
            </w:pPr>
            <w:r>
              <w:rPr>
                <w:b/>
                <w:color w:val="231F20"/>
                <w:sz w:val="14"/>
              </w:rPr>
              <w:t>35</w:t>
            </w:r>
          </w:p>
        </w:tc>
        <w:tc>
          <w:tcPr>
            <w:tcW w:w="1133" w:type="dxa"/>
          </w:tcPr>
          <w:p w:rsidR="00041039" w:rsidRDefault="001B26CB">
            <w:pPr>
              <w:pStyle w:val="TableParagraph"/>
              <w:spacing w:before="15"/>
              <w:ind w:left="181" w:right="165"/>
              <w:jc w:val="center"/>
              <w:rPr>
                <w:b/>
                <w:sz w:val="14"/>
              </w:rPr>
            </w:pPr>
            <w:r>
              <w:rPr>
                <w:b/>
                <w:color w:val="231F20"/>
                <w:sz w:val="14"/>
              </w:rPr>
              <w:t>32</w:t>
            </w:r>
          </w:p>
        </w:tc>
      </w:tr>
      <w:tr w:rsidR="00041039">
        <w:trPr>
          <w:trHeight w:val="200"/>
        </w:trPr>
        <w:tc>
          <w:tcPr>
            <w:tcW w:w="6004" w:type="dxa"/>
          </w:tcPr>
          <w:p w:rsidR="00041039" w:rsidRDefault="001B26CB">
            <w:pPr>
              <w:pStyle w:val="TableParagraph"/>
              <w:spacing w:before="18"/>
              <w:ind w:left="56"/>
              <w:rPr>
                <w:sz w:val="14"/>
              </w:rPr>
            </w:pPr>
            <w:r>
              <w:rPr>
                <w:color w:val="231F20"/>
                <w:sz w:val="14"/>
              </w:rPr>
              <w:t>Менторски рад (блок практичне наставе)</w:t>
            </w:r>
          </w:p>
        </w:tc>
        <w:tc>
          <w:tcPr>
            <w:tcW w:w="1133" w:type="dxa"/>
          </w:tcPr>
          <w:p w:rsidR="00041039" w:rsidRDefault="001B26CB">
            <w:pPr>
              <w:pStyle w:val="TableParagraph"/>
              <w:spacing w:before="15"/>
              <w:ind w:left="11"/>
              <w:jc w:val="center"/>
              <w:rPr>
                <w:b/>
                <w:sz w:val="14"/>
              </w:rPr>
            </w:pPr>
            <w:r>
              <w:rPr>
                <w:b/>
                <w:color w:val="231F20"/>
                <w:sz w:val="14"/>
              </w:rPr>
              <w:t>2</w:t>
            </w:r>
          </w:p>
        </w:tc>
        <w:tc>
          <w:tcPr>
            <w:tcW w:w="1133" w:type="dxa"/>
          </w:tcPr>
          <w:p w:rsidR="00041039" w:rsidRDefault="001B26CB">
            <w:pPr>
              <w:pStyle w:val="TableParagraph"/>
              <w:spacing w:before="15"/>
              <w:ind w:left="13"/>
              <w:jc w:val="center"/>
              <w:rPr>
                <w:b/>
                <w:sz w:val="14"/>
              </w:rPr>
            </w:pPr>
            <w:r>
              <w:rPr>
                <w:b/>
                <w:color w:val="231F20"/>
                <w:sz w:val="14"/>
              </w:rPr>
              <w:t>2</w:t>
            </w:r>
          </w:p>
        </w:tc>
        <w:tc>
          <w:tcPr>
            <w:tcW w:w="1133" w:type="dxa"/>
          </w:tcPr>
          <w:p w:rsidR="00041039" w:rsidRDefault="001B26CB">
            <w:pPr>
              <w:pStyle w:val="TableParagraph"/>
              <w:spacing w:before="15"/>
              <w:ind w:left="14"/>
              <w:jc w:val="center"/>
              <w:rPr>
                <w:b/>
                <w:sz w:val="14"/>
              </w:rPr>
            </w:pPr>
            <w:r>
              <w:rPr>
                <w:b/>
                <w:color w:val="231F20"/>
                <w:sz w:val="14"/>
              </w:rPr>
              <w:t>2</w:t>
            </w:r>
          </w:p>
        </w:tc>
        <w:tc>
          <w:tcPr>
            <w:tcW w:w="1133" w:type="dxa"/>
          </w:tcPr>
          <w:p w:rsidR="00041039" w:rsidRDefault="001B26CB">
            <w:pPr>
              <w:pStyle w:val="TableParagraph"/>
              <w:spacing w:before="15"/>
              <w:ind w:left="16"/>
              <w:jc w:val="center"/>
              <w:rPr>
                <w:b/>
                <w:sz w:val="14"/>
              </w:rPr>
            </w:pPr>
            <w:r>
              <w:rPr>
                <w:b/>
                <w:color w:val="231F20"/>
                <w:sz w:val="14"/>
              </w:rPr>
              <w:t>2</w:t>
            </w:r>
          </w:p>
        </w:tc>
      </w:tr>
      <w:tr w:rsidR="00041039">
        <w:trPr>
          <w:trHeight w:val="200"/>
        </w:trPr>
        <w:tc>
          <w:tcPr>
            <w:tcW w:w="6004" w:type="dxa"/>
          </w:tcPr>
          <w:p w:rsidR="00041039" w:rsidRDefault="001B26CB">
            <w:pPr>
              <w:pStyle w:val="TableParagraph"/>
              <w:spacing w:before="18"/>
              <w:ind w:left="56"/>
              <w:rPr>
                <w:sz w:val="14"/>
              </w:rPr>
            </w:pPr>
            <w:r>
              <w:rPr>
                <w:color w:val="231F20"/>
                <w:sz w:val="14"/>
              </w:rPr>
              <w:t>Обавезне ваннаставне активности</w:t>
            </w:r>
          </w:p>
        </w:tc>
        <w:tc>
          <w:tcPr>
            <w:tcW w:w="1133" w:type="dxa"/>
          </w:tcPr>
          <w:p w:rsidR="00041039" w:rsidRDefault="001B26CB">
            <w:pPr>
              <w:pStyle w:val="TableParagraph"/>
              <w:spacing w:before="15"/>
              <w:ind w:left="11"/>
              <w:jc w:val="center"/>
              <w:rPr>
                <w:b/>
                <w:sz w:val="14"/>
              </w:rPr>
            </w:pPr>
            <w:r>
              <w:rPr>
                <w:b/>
                <w:color w:val="231F20"/>
                <w:sz w:val="14"/>
              </w:rPr>
              <w:t>2</w:t>
            </w:r>
          </w:p>
        </w:tc>
        <w:tc>
          <w:tcPr>
            <w:tcW w:w="1133" w:type="dxa"/>
          </w:tcPr>
          <w:p w:rsidR="00041039" w:rsidRDefault="001B26CB">
            <w:pPr>
              <w:pStyle w:val="TableParagraph"/>
              <w:spacing w:before="15"/>
              <w:ind w:left="13"/>
              <w:jc w:val="center"/>
              <w:rPr>
                <w:b/>
                <w:sz w:val="14"/>
              </w:rPr>
            </w:pPr>
            <w:r>
              <w:rPr>
                <w:b/>
                <w:color w:val="231F20"/>
                <w:sz w:val="14"/>
              </w:rPr>
              <w:t>2</w:t>
            </w:r>
          </w:p>
        </w:tc>
        <w:tc>
          <w:tcPr>
            <w:tcW w:w="1133" w:type="dxa"/>
          </w:tcPr>
          <w:p w:rsidR="00041039" w:rsidRDefault="001B26CB">
            <w:pPr>
              <w:pStyle w:val="TableParagraph"/>
              <w:spacing w:before="15"/>
              <w:ind w:left="14"/>
              <w:jc w:val="center"/>
              <w:rPr>
                <w:b/>
                <w:sz w:val="14"/>
              </w:rPr>
            </w:pPr>
            <w:r>
              <w:rPr>
                <w:b/>
                <w:color w:val="231F20"/>
                <w:sz w:val="14"/>
              </w:rPr>
              <w:t>2</w:t>
            </w:r>
          </w:p>
        </w:tc>
        <w:tc>
          <w:tcPr>
            <w:tcW w:w="1133" w:type="dxa"/>
          </w:tcPr>
          <w:p w:rsidR="00041039" w:rsidRDefault="001B26CB">
            <w:pPr>
              <w:pStyle w:val="TableParagraph"/>
              <w:spacing w:before="15"/>
              <w:ind w:left="16"/>
              <w:jc w:val="center"/>
              <w:rPr>
                <w:b/>
                <w:sz w:val="14"/>
              </w:rPr>
            </w:pPr>
            <w:r>
              <w:rPr>
                <w:b/>
                <w:color w:val="231F20"/>
                <w:sz w:val="14"/>
              </w:rPr>
              <w:t>2</w:t>
            </w:r>
          </w:p>
        </w:tc>
      </w:tr>
      <w:tr w:rsidR="00041039">
        <w:trPr>
          <w:trHeight w:val="200"/>
        </w:trPr>
        <w:tc>
          <w:tcPr>
            <w:tcW w:w="6004" w:type="dxa"/>
          </w:tcPr>
          <w:p w:rsidR="00041039" w:rsidRDefault="001B26CB">
            <w:pPr>
              <w:pStyle w:val="TableParagraph"/>
              <w:spacing w:before="18"/>
              <w:ind w:left="56"/>
              <w:rPr>
                <w:sz w:val="14"/>
              </w:rPr>
            </w:pPr>
            <w:r>
              <w:rPr>
                <w:color w:val="231F20"/>
                <w:sz w:val="14"/>
              </w:rPr>
              <w:t>Матурски испит</w:t>
            </w:r>
          </w:p>
        </w:tc>
        <w:tc>
          <w:tcPr>
            <w:tcW w:w="1133" w:type="dxa"/>
          </w:tcPr>
          <w:p w:rsidR="00041039" w:rsidRDefault="00041039">
            <w:pPr>
              <w:pStyle w:val="TableParagraph"/>
              <w:ind w:left="0"/>
              <w:rPr>
                <w:sz w:val="12"/>
              </w:rPr>
            </w:pPr>
          </w:p>
        </w:tc>
        <w:tc>
          <w:tcPr>
            <w:tcW w:w="1133" w:type="dxa"/>
          </w:tcPr>
          <w:p w:rsidR="00041039" w:rsidRDefault="00041039">
            <w:pPr>
              <w:pStyle w:val="TableParagraph"/>
              <w:ind w:left="0"/>
              <w:rPr>
                <w:sz w:val="12"/>
              </w:rPr>
            </w:pPr>
          </w:p>
        </w:tc>
        <w:tc>
          <w:tcPr>
            <w:tcW w:w="1133" w:type="dxa"/>
          </w:tcPr>
          <w:p w:rsidR="00041039" w:rsidRDefault="00041039">
            <w:pPr>
              <w:pStyle w:val="TableParagraph"/>
              <w:ind w:left="0"/>
              <w:rPr>
                <w:sz w:val="12"/>
              </w:rPr>
            </w:pPr>
          </w:p>
        </w:tc>
        <w:tc>
          <w:tcPr>
            <w:tcW w:w="1133" w:type="dxa"/>
          </w:tcPr>
          <w:p w:rsidR="00041039" w:rsidRDefault="001B26CB">
            <w:pPr>
              <w:pStyle w:val="TableParagraph"/>
              <w:spacing w:before="15"/>
              <w:ind w:left="16"/>
              <w:jc w:val="center"/>
              <w:rPr>
                <w:b/>
                <w:sz w:val="14"/>
              </w:rPr>
            </w:pPr>
            <w:r>
              <w:rPr>
                <w:b/>
                <w:color w:val="231F20"/>
                <w:sz w:val="14"/>
              </w:rPr>
              <w:t>3</w:t>
            </w:r>
          </w:p>
        </w:tc>
      </w:tr>
      <w:tr w:rsidR="00041039">
        <w:trPr>
          <w:trHeight w:val="198"/>
        </w:trPr>
        <w:tc>
          <w:tcPr>
            <w:tcW w:w="6004" w:type="dxa"/>
          </w:tcPr>
          <w:p w:rsidR="00041039" w:rsidRDefault="001B26CB">
            <w:pPr>
              <w:pStyle w:val="TableParagraph"/>
              <w:spacing w:before="15"/>
              <w:ind w:left="56"/>
              <w:rPr>
                <w:b/>
                <w:sz w:val="14"/>
              </w:rPr>
            </w:pPr>
            <w:r>
              <w:rPr>
                <w:b/>
                <w:color w:val="231F20"/>
                <w:sz w:val="14"/>
              </w:rPr>
              <w:t>Укупно радних недеља</w:t>
            </w:r>
          </w:p>
        </w:tc>
        <w:tc>
          <w:tcPr>
            <w:tcW w:w="1133" w:type="dxa"/>
          </w:tcPr>
          <w:p w:rsidR="00041039" w:rsidRDefault="001B26CB">
            <w:pPr>
              <w:pStyle w:val="TableParagraph"/>
              <w:spacing w:before="15"/>
              <w:ind w:left="177" w:right="166"/>
              <w:jc w:val="center"/>
              <w:rPr>
                <w:b/>
                <w:sz w:val="14"/>
              </w:rPr>
            </w:pPr>
            <w:r>
              <w:rPr>
                <w:b/>
                <w:color w:val="231F20"/>
                <w:sz w:val="14"/>
              </w:rPr>
              <w:t>39</w:t>
            </w:r>
          </w:p>
        </w:tc>
        <w:tc>
          <w:tcPr>
            <w:tcW w:w="1133" w:type="dxa"/>
          </w:tcPr>
          <w:p w:rsidR="00041039" w:rsidRDefault="001B26CB">
            <w:pPr>
              <w:pStyle w:val="TableParagraph"/>
              <w:spacing w:before="15"/>
              <w:ind w:left="179" w:right="166"/>
              <w:jc w:val="center"/>
              <w:rPr>
                <w:b/>
                <w:sz w:val="14"/>
              </w:rPr>
            </w:pPr>
            <w:r>
              <w:rPr>
                <w:b/>
                <w:color w:val="231F20"/>
                <w:sz w:val="14"/>
              </w:rPr>
              <w:t>39</w:t>
            </w:r>
          </w:p>
        </w:tc>
        <w:tc>
          <w:tcPr>
            <w:tcW w:w="1133" w:type="dxa"/>
          </w:tcPr>
          <w:p w:rsidR="00041039" w:rsidRDefault="001B26CB">
            <w:pPr>
              <w:pStyle w:val="TableParagraph"/>
              <w:spacing w:before="15"/>
              <w:ind w:left="180" w:right="166"/>
              <w:jc w:val="center"/>
              <w:rPr>
                <w:b/>
                <w:sz w:val="14"/>
              </w:rPr>
            </w:pPr>
            <w:r>
              <w:rPr>
                <w:b/>
                <w:color w:val="231F20"/>
                <w:sz w:val="14"/>
              </w:rPr>
              <w:t>39</w:t>
            </w:r>
          </w:p>
        </w:tc>
        <w:tc>
          <w:tcPr>
            <w:tcW w:w="1133" w:type="dxa"/>
          </w:tcPr>
          <w:p w:rsidR="00041039" w:rsidRDefault="001B26CB">
            <w:pPr>
              <w:pStyle w:val="TableParagraph"/>
              <w:spacing w:before="15"/>
              <w:ind w:left="181" w:right="165"/>
              <w:jc w:val="center"/>
              <w:rPr>
                <w:b/>
                <w:sz w:val="14"/>
              </w:rPr>
            </w:pPr>
            <w:r>
              <w:rPr>
                <w:b/>
                <w:color w:val="231F20"/>
                <w:sz w:val="14"/>
              </w:rPr>
              <w:t>39</w:t>
            </w:r>
          </w:p>
        </w:tc>
      </w:tr>
    </w:tbl>
    <w:p w:rsidR="00041039" w:rsidRDefault="00041039">
      <w:pPr>
        <w:jc w:val="center"/>
        <w:rPr>
          <w:sz w:val="14"/>
        </w:rPr>
        <w:sectPr w:rsidR="00041039">
          <w:pgSz w:w="11910" w:h="15710"/>
          <w:pgMar w:top="40" w:right="540" w:bottom="280" w:left="580" w:header="720" w:footer="720" w:gutter="0"/>
          <w:cols w:space="720"/>
        </w:sectPr>
      </w:pPr>
    </w:p>
    <w:p w:rsidR="00041039" w:rsidRDefault="001B26CB">
      <w:pPr>
        <w:spacing w:before="80"/>
        <w:ind w:right="37"/>
        <w:jc w:val="center"/>
        <w:rPr>
          <w:b/>
          <w:sz w:val="18"/>
        </w:rPr>
      </w:pPr>
      <w:r>
        <w:rPr>
          <w:b/>
          <w:color w:val="231F20"/>
          <w:sz w:val="18"/>
        </w:rPr>
        <w:lastRenderedPageBreak/>
        <w:t>A1: ОБАВЕЗНИ ОПШТЕОБРАЗОВНИ ПРЕДМЕТИ</w:t>
      </w:r>
    </w:p>
    <w:p w:rsidR="00041039" w:rsidRDefault="00041039">
      <w:pPr>
        <w:pStyle w:val="BodyText"/>
        <w:spacing w:before="11"/>
        <w:rPr>
          <w:b/>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pStyle w:val="BodyText"/>
        <w:spacing w:before="49" w:line="161" w:lineRule="exact"/>
        <w:ind w:left="157"/>
      </w:pPr>
      <w:r>
        <w:rPr>
          <w:color w:val="231F20"/>
        </w:rPr>
        <w:t>Циљеви предмета: – Проширивање и продубљивање знања о српском књижевном језику;</w:t>
      </w:r>
    </w:p>
    <w:p w:rsidR="00041039" w:rsidRDefault="001B26CB">
      <w:pPr>
        <w:pStyle w:val="ListParagraph"/>
        <w:numPr>
          <w:ilvl w:val="2"/>
          <w:numId w:val="976"/>
        </w:numPr>
        <w:tabs>
          <w:tab w:val="left" w:pos="1566"/>
        </w:tabs>
        <w:spacing w:line="160" w:lineRule="exact"/>
        <w:rPr>
          <w:sz w:val="14"/>
        </w:rPr>
      </w:pPr>
      <w:r>
        <w:rPr>
          <w:color w:val="231F20"/>
          <w:sz w:val="14"/>
        </w:rPr>
        <w:t>Развијање и неговање језичке културе, поштовање правила књижевног (стандардног) језика у усменом и писаном</w:t>
      </w:r>
      <w:r>
        <w:rPr>
          <w:color w:val="231F20"/>
          <w:spacing w:val="-20"/>
          <w:sz w:val="14"/>
        </w:rPr>
        <w:t xml:space="preserve"> </w:t>
      </w:r>
      <w:r>
        <w:rPr>
          <w:color w:val="231F20"/>
          <w:sz w:val="14"/>
        </w:rPr>
        <w:t>изражавању;</w:t>
      </w:r>
    </w:p>
    <w:p w:rsidR="00041039" w:rsidRDefault="001B26CB">
      <w:pPr>
        <w:pStyle w:val="ListParagraph"/>
        <w:numPr>
          <w:ilvl w:val="2"/>
          <w:numId w:val="976"/>
        </w:numPr>
        <w:tabs>
          <w:tab w:val="left" w:pos="1566"/>
        </w:tabs>
        <w:spacing w:line="160" w:lineRule="exact"/>
        <w:rPr>
          <w:sz w:val="14"/>
        </w:rPr>
      </w:pPr>
      <w:r>
        <w:rPr>
          <w:color w:val="231F20"/>
          <w:sz w:val="14"/>
        </w:rPr>
        <w:t>Подстицање ученика на усавршавање говорења, писања и читања, као и неговање културе</w:t>
      </w:r>
      <w:r>
        <w:rPr>
          <w:color w:val="231F20"/>
          <w:spacing w:val="-8"/>
          <w:sz w:val="14"/>
        </w:rPr>
        <w:t xml:space="preserve"> </w:t>
      </w:r>
      <w:r>
        <w:rPr>
          <w:color w:val="231F20"/>
          <w:sz w:val="14"/>
        </w:rPr>
        <w:t>дијалога;</w:t>
      </w:r>
    </w:p>
    <w:p w:rsidR="00041039" w:rsidRDefault="001B26CB">
      <w:pPr>
        <w:pStyle w:val="ListParagraph"/>
        <w:numPr>
          <w:ilvl w:val="2"/>
          <w:numId w:val="976"/>
        </w:numPr>
        <w:tabs>
          <w:tab w:val="left" w:pos="1566"/>
        </w:tabs>
        <w:spacing w:line="160" w:lineRule="exact"/>
        <w:rPr>
          <w:sz w:val="14"/>
        </w:rPr>
      </w:pPr>
      <w:r>
        <w:rPr>
          <w:color w:val="231F20"/>
          <w:sz w:val="14"/>
        </w:rPr>
        <w:t>Оспособљавање за ефикасно</w:t>
      </w:r>
      <w:r>
        <w:rPr>
          <w:color w:val="231F20"/>
          <w:spacing w:val="-2"/>
          <w:sz w:val="14"/>
        </w:rPr>
        <w:t xml:space="preserve"> </w:t>
      </w:r>
      <w:r>
        <w:rPr>
          <w:color w:val="231F20"/>
          <w:sz w:val="14"/>
        </w:rPr>
        <w:t>комуницирање;</w:t>
      </w:r>
    </w:p>
    <w:p w:rsidR="00041039" w:rsidRDefault="001B26CB">
      <w:pPr>
        <w:pStyle w:val="ListParagraph"/>
        <w:numPr>
          <w:ilvl w:val="2"/>
          <w:numId w:val="976"/>
        </w:numPr>
        <w:tabs>
          <w:tab w:val="left" w:pos="1566"/>
        </w:tabs>
        <w:spacing w:line="160" w:lineRule="exact"/>
        <w:rPr>
          <w:sz w:val="14"/>
        </w:rPr>
      </w:pPr>
      <w:r>
        <w:rPr>
          <w:color w:val="231F20"/>
          <w:sz w:val="14"/>
        </w:rPr>
        <w:t>Оспособљавање ученика да користе стручну литературу и језичке</w:t>
      </w:r>
      <w:r>
        <w:rPr>
          <w:color w:val="231F20"/>
          <w:spacing w:val="-4"/>
          <w:sz w:val="14"/>
        </w:rPr>
        <w:t xml:space="preserve"> </w:t>
      </w:r>
      <w:r>
        <w:rPr>
          <w:color w:val="231F20"/>
          <w:sz w:val="14"/>
        </w:rPr>
        <w:t>приручнике;</w:t>
      </w:r>
    </w:p>
    <w:p w:rsidR="00041039" w:rsidRDefault="001B26CB">
      <w:pPr>
        <w:pStyle w:val="ListParagraph"/>
        <w:numPr>
          <w:ilvl w:val="2"/>
          <w:numId w:val="976"/>
        </w:numPr>
        <w:tabs>
          <w:tab w:val="left" w:pos="1566"/>
        </w:tabs>
        <w:spacing w:line="160" w:lineRule="exact"/>
        <w:rPr>
          <w:sz w:val="14"/>
        </w:rPr>
      </w:pPr>
      <w:r>
        <w:rPr>
          <w:color w:val="231F20"/>
          <w:sz w:val="14"/>
        </w:rPr>
        <w:t>Продубљивање н проширивање знања о српској и светској</w:t>
      </w:r>
      <w:r>
        <w:rPr>
          <w:color w:val="231F20"/>
          <w:spacing w:val="-6"/>
          <w:sz w:val="14"/>
        </w:rPr>
        <w:t xml:space="preserve"> </w:t>
      </w:r>
      <w:r>
        <w:rPr>
          <w:color w:val="231F20"/>
          <w:sz w:val="14"/>
        </w:rPr>
        <w:t>књижевности;</w:t>
      </w:r>
    </w:p>
    <w:p w:rsidR="00041039" w:rsidRDefault="001B26CB">
      <w:pPr>
        <w:pStyle w:val="ListParagraph"/>
        <w:numPr>
          <w:ilvl w:val="2"/>
          <w:numId w:val="976"/>
        </w:numPr>
        <w:tabs>
          <w:tab w:val="left" w:pos="1566"/>
        </w:tabs>
        <w:spacing w:line="160" w:lineRule="exact"/>
        <w:rPr>
          <w:sz w:val="14"/>
        </w:rPr>
      </w:pPr>
      <w:r>
        <w:rPr>
          <w:color w:val="231F20"/>
          <w:sz w:val="14"/>
        </w:rPr>
        <w:t>Оспособљавање за интерпретацију књижевних</w:t>
      </w:r>
      <w:r>
        <w:rPr>
          <w:color w:val="231F20"/>
          <w:spacing w:val="-21"/>
          <w:sz w:val="14"/>
        </w:rPr>
        <w:t xml:space="preserve"> </w:t>
      </w:r>
      <w:r>
        <w:rPr>
          <w:color w:val="231F20"/>
          <w:sz w:val="14"/>
        </w:rPr>
        <w:t>текстова;</w:t>
      </w:r>
    </w:p>
    <w:p w:rsidR="00041039" w:rsidRDefault="001B26CB">
      <w:pPr>
        <w:pStyle w:val="ListParagraph"/>
        <w:numPr>
          <w:ilvl w:val="2"/>
          <w:numId w:val="976"/>
        </w:numPr>
        <w:tabs>
          <w:tab w:val="left" w:pos="1566"/>
        </w:tabs>
        <w:spacing w:line="160" w:lineRule="exact"/>
        <w:rPr>
          <w:sz w:val="14"/>
        </w:rPr>
      </w:pPr>
      <w:r>
        <w:rPr>
          <w:color w:val="231F20"/>
          <w:sz w:val="14"/>
        </w:rPr>
        <w:t>Унапређивање</w:t>
      </w:r>
      <w:r>
        <w:rPr>
          <w:color w:val="231F20"/>
          <w:spacing w:val="-8"/>
          <w:sz w:val="14"/>
        </w:rPr>
        <w:t xml:space="preserve"> </w:t>
      </w:r>
      <w:r>
        <w:rPr>
          <w:color w:val="231F20"/>
          <w:sz w:val="14"/>
        </w:rPr>
        <w:t>књижевних</w:t>
      </w:r>
      <w:r>
        <w:rPr>
          <w:color w:val="231F20"/>
          <w:spacing w:val="-8"/>
          <w:sz w:val="14"/>
        </w:rPr>
        <w:t xml:space="preserve"> </w:t>
      </w:r>
      <w:r>
        <w:rPr>
          <w:color w:val="231F20"/>
          <w:sz w:val="14"/>
        </w:rPr>
        <w:t>знања</w:t>
      </w:r>
      <w:r>
        <w:rPr>
          <w:color w:val="231F20"/>
          <w:spacing w:val="-8"/>
          <w:sz w:val="14"/>
        </w:rPr>
        <w:t xml:space="preserve"> </w:t>
      </w:r>
      <w:r>
        <w:rPr>
          <w:color w:val="231F20"/>
          <w:sz w:val="14"/>
        </w:rPr>
        <w:t>и</w:t>
      </w:r>
      <w:r>
        <w:rPr>
          <w:color w:val="231F20"/>
          <w:spacing w:val="-8"/>
          <w:sz w:val="14"/>
        </w:rPr>
        <w:t xml:space="preserve"> </w:t>
      </w:r>
      <w:r>
        <w:rPr>
          <w:color w:val="231F20"/>
          <w:sz w:val="14"/>
        </w:rPr>
        <w:t>читалачких</w:t>
      </w:r>
      <w:r>
        <w:rPr>
          <w:color w:val="231F20"/>
          <w:spacing w:val="-8"/>
          <w:sz w:val="14"/>
        </w:rPr>
        <w:t xml:space="preserve"> </w:t>
      </w:r>
      <w:r>
        <w:rPr>
          <w:color w:val="231F20"/>
          <w:sz w:val="14"/>
        </w:rPr>
        <w:t>вештина;</w:t>
      </w:r>
    </w:p>
    <w:p w:rsidR="00041039" w:rsidRDefault="001B26CB">
      <w:pPr>
        <w:pStyle w:val="ListParagraph"/>
        <w:numPr>
          <w:ilvl w:val="2"/>
          <w:numId w:val="976"/>
        </w:numPr>
        <w:tabs>
          <w:tab w:val="left" w:pos="1566"/>
        </w:tabs>
        <w:spacing w:line="240" w:lineRule="auto"/>
        <w:ind w:right="600"/>
        <w:rPr>
          <w:sz w:val="14"/>
        </w:rPr>
      </w:pPr>
      <w:r>
        <w:rPr>
          <w:color w:val="231F20"/>
          <w:sz w:val="14"/>
        </w:rPr>
        <w:t>Упознавање</w:t>
      </w:r>
      <w:r>
        <w:rPr>
          <w:color w:val="231F20"/>
          <w:spacing w:val="-4"/>
          <w:sz w:val="14"/>
        </w:rPr>
        <w:t xml:space="preserve"> </w:t>
      </w:r>
      <w:r>
        <w:rPr>
          <w:color w:val="231F20"/>
          <w:sz w:val="14"/>
        </w:rPr>
        <w:t>и</w:t>
      </w:r>
      <w:r>
        <w:rPr>
          <w:color w:val="231F20"/>
          <w:spacing w:val="-5"/>
          <w:sz w:val="14"/>
        </w:rPr>
        <w:t xml:space="preserve"> </w:t>
      </w:r>
      <w:r>
        <w:rPr>
          <w:color w:val="231F20"/>
          <w:sz w:val="14"/>
        </w:rPr>
        <w:t>проучавање</w:t>
      </w:r>
      <w:r>
        <w:rPr>
          <w:color w:val="231F20"/>
          <w:spacing w:val="-4"/>
          <w:sz w:val="14"/>
        </w:rPr>
        <w:t xml:space="preserve"> </w:t>
      </w:r>
      <w:r>
        <w:rPr>
          <w:color w:val="231F20"/>
          <w:sz w:val="14"/>
        </w:rPr>
        <w:t>репрезентативних</w:t>
      </w:r>
      <w:r>
        <w:rPr>
          <w:color w:val="231F20"/>
          <w:spacing w:val="-4"/>
          <w:sz w:val="14"/>
        </w:rPr>
        <w:t xml:space="preserve"> </w:t>
      </w:r>
      <w:r>
        <w:rPr>
          <w:color w:val="231F20"/>
          <w:sz w:val="14"/>
        </w:rPr>
        <w:t>дела</w:t>
      </w:r>
      <w:r>
        <w:rPr>
          <w:color w:val="231F20"/>
          <w:spacing w:val="-4"/>
          <w:sz w:val="14"/>
        </w:rPr>
        <w:t xml:space="preserve"> </w:t>
      </w:r>
      <w:r>
        <w:rPr>
          <w:color w:val="231F20"/>
          <w:sz w:val="14"/>
        </w:rPr>
        <w:t>српске</w:t>
      </w:r>
      <w:r>
        <w:rPr>
          <w:color w:val="231F20"/>
          <w:spacing w:val="-4"/>
          <w:sz w:val="14"/>
        </w:rPr>
        <w:t xml:space="preserve"> </w:t>
      </w:r>
      <w:r>
        <w:rPr>
          <w:color w:val="231F20"/>
          <w:sz w:val="14"/>
        </w:rPr>
        <w:t>и</w:t>
      </w:r>
      <w:r>
        <w:rPr>
          <w:color w:val="231F20"/>
          <w:spacing w:val="-5"/>
          <w:sz w:val="14"/>
        </w:rPr>
        <w:t xml:space="preserve"> </w:t>
      </w:r>
      <w:r>
        <w:rPr>
          <w:color w:val="231F20"/>
          <w:sz w:val="14"/>
        </w:rPr>
        <w:t>опште</w:t>
      </w:r>
      <w:r>
        <w:rPr>
          <w:color w:val="231F20"/>
          <w:spacing w:val="-4"/>
          <w:sz w:val="14"/>
        </w:rPr>
        <w:t xml:space="preserve"> </w:t>
      </w:r>
      <w:r>
        <w:rPr>
          <w:color w:val="231F20"/>
          <w:sz w:val="14"/>
        </w:rPr>
        <w:t>књижевности,</w:t>
      </w:r>
      <w:r>
        <w:rPr>
          <w:color w:val="231F20"/>
          <w:spacing w:val="-4"/>
          <w:sz w:val="14"/>
        </w:rPr>
        <w:t xml:space="preserve"> </w:t>
      </w:r>
      <w:r>
        <w:rPr>
          <w:color w:val="231F20"/>
          <w:sz w:val="14"/>
        </w:rPr>
        <w:t>књижевних</w:t>
      </w:r>
      <w:r>
        <w:rPr>
          <w:color w:val="231F20"/>
          <w:spacing w:val="-4"/>
          <w:sz w:val="14"/>
        </w:rPr>
        <w:t xml:space="preserve"> </w:t>
      </w:r>
      <w:r>
        <w:rPr>
          <w:color w:val="231F20"/>
          <w:sz w:val="14"/>
        </w:rPr>
        <w:t>жа</w:t>
      </w:r>
      <w:r>
        <w:rPr>
          <w:color w:val="231F20"/>
          <w:sz w:val="14"/>
        </w:rPr>
        <w:t>нрова;</w:t>
      </w:r>
      <w:r>
        <w:rPr>
          <w:color w:val="231F20"/>
          <w:spacing w:val="-4"/>
          <w:sz w:val="14"/>
        </w:rPr>
        <w:t xml:space="preserve"> </w:t>
      </w:r>
      <w:r>
        <w:rPr>
          <w:color w:val="231F20"/>
          <w:sz w:val="14"/>
        </w:rPr>
        <w:t>књижевноисторијских</w:t>
      </w:r>
      <w:r>
        <w:rPr>
          <w:color w:val="231F20"/>
          <w:spacing w:val="-4"/>
          <w:sz w:val="14"/>
        </w:rPr>
        <w:t xml:space="preserve"> </w:t>
      </w:r>
      <w:r>
        <w:rPr>
          <w:color w:val="231F20"/>
          <w:sz w:val="14"/>
        </w:rPr>
        <w:t>појава</w:t>
      </w:r>
      <w:r>
        <w:rPr>
          <w:color w:val="231F20"/>
          <w:spacing w:val="-4"/>
          <w:sz w:val="14"/>
        </w:rPr>
        <w:t xml:space="preserve"> </w:t>
      </w:r>
      <w:r>
        <w:rPr>
          <w:color w:val="231F20"/>
          <w:sz w:val="14"/>
        </w:rPr>
        <w:t>и</w:t>
      </w:r>
      <w:r>
        <w:rPr>
          <w:color w:val="231F20"/>
          <w:spacing w:val="-5"/>
          <w:sz w:val="14"/>
        </w:rPr>
        <w:t xml:space="preserve"> </w:t>
      </w:r>
      <w:r>
        <w:rPr>
          <w:color w:val="231F20"/>
          <w:sz w:val="14"/>
        </w:rPr>
        <w:t>процеса</w:t>
      </w:r>
      <w:r>
        <w:rPr>
          <w:color w:val="231F20"/>
          <w:spacing w:val="-4"/>
          <w:sz w:val="14"/>
        </w:rPr>
        <w:t xml:space="preserve"> </w:t>
      </w:r>
      <w:r>
        <w:rPr>
          <w:color w:val="231F20"/>
          <w:sz w:val="14"/>
        </w:rPr>
        <w:t>у књижевности;</w:t>
      </w:r>
    </w:p>
    <w:p w:rsidR="00041039" w:rsidRDefault="001B26CB">
      <w:pPr>
        <w:pStyle w:val="ListParagraph"/>
        <w:numPr>
          <w:ilvl w:val="2"/>
          <w:numId w:val="976"/>
        </w:numPr>
        <w:tabs>
          <w:tab w:val="left" w:pos="1566"/>
        </w:tabs>
        <w:spacing w:line="159" w:lineRule="exact"/>
        <w:rPr>
          <w:sz w:val="14"/>
        </w:rPr>
      </w:pPr>
      <w:r>
        <w:rPr>
          <w:color w:val="231F20"/>
          <w:sz w:val="14"/>
        </w:rPr>
        <w:t>Унапређивање знања о сопственој култури и културама других</w:t>
      </w:r>
      <w:r>
        <w:rPr>
          <w:color w:val="231F20"/>
          <w:spacing w:val="-6"/>
          <w:sz w:val="14"/>
        </w:rPr>
        <w:t xml:space="preserve"> </w:t>
      </w:r>
      <w:r>
        <w:rPr>
          <w:color w:val="231F20"/>
          <w:sz w:val="14"/>
        </w:rPr>
        <w:t>народа;</w:t>
      </w:r>
    </w:p>
    <w:p w:rsidR="00041039" w:rsidRDefault="001B26CB">
      <w:pPr>
        <w:pStyle w:val="ListParagraph"/>
        <w:numPr>
          <w:ilvl w:val="2"/>
          <w:numId w:val="976"/>
        </w:numPr>
        <w:tabs>
          <w:tab w:val="left" w:pos="1566"/>
        </w:tabs>
        <w:spacing w:line="160" w:lineRule="exact"/>
        <w:rPr>
          <w:sz w:val="14"/>
        </w:rPr>
      </w:pPr>
      <w:r>
        <w:rPr>
          <w:color w:val="231F20"/>
          <w:sz w:val="14"/>
        </w:rPr>
        <w:t>Развијање хуманистичког и књижевног образовања и васпитања на најбољим делима српске и светске културне</w:t>
      </w:r>
      <w:r>
        <w:rPr>
          <w:color w:val="231F20"/>
          <w:spacing w:val="-18"/>
          <w:sz w:val="14"/>
        </w:rPr>
        <w:t xml:space="preserve"> </w:t>
      </w:r>
      <w:r>
        <w:rPr>
          <w:color w:val="231F20"/>
          <w:sz w:val="14"/>
        </w:rPr>
        <w:t>баштине;</w:t>
      </w:r>
    </w:p>
    <w:p w:rsidR="00041039" w:rsidRDefault="001B26CB">
      <w:pPr>
        <w:pStyle w:val="ListParagraph"/>
        <w:numPr>
          <w:ilvl w:val="2"/>
          <w:numId w:val="976"/>
        </w:numPr>
        <w:tabs>
          <w:tab w:val="left" w:pos="1566"/>
        </w:tabs>
        <w:spacing w:line="160" w:lineRule="exact"/>
        <w:rPr>
          <w:sz w:val="14"/>
        </w:rPr>
      </w:pPr>
      <w:r>
        <w:rPr>
          <w:color w:val="231F20"/>
          <w:spacing w:val="-3"/>
          <w:sz w:val="14"/>
        </w:rPr>
        <w:t xml:space="preserve">Упућивање </w:t>
      </w:r>
      <w:r>
        <w:rPr>
          <w:color w:val="231F20"/>
          <w:sz w:val="14"/>
        </w:rPr>
        <w:t>ученика</w:t>
      </w:r>
      <w:r>
        <w:rPr>
          <w:color w:val="231F20"/>
          <w:sz w:val="14"/>
        </w:rPr>
        <w:t xml:space="preserve"> на истраживачки и критички однос према књижевности;</w:t>
      </w:r>
    </w:p>
    <w:p w:rsidR="00041039" w:rsidRDefault="001B26CB">
      <w:pPr>
        <w:pStyle w:val="ListParagraph"/>
        <w:numPr>
          <w:ilvl w:val="2"/>
          <w:numId w:val="976"/>
        </w:numPr>
        <w:tabs>
          <w:tab w:val="left" w:pos="1566"/>
        </w:tabs>
        <w:spacing w:line="160" w:lineRule="exact"/>
        <w:rPr>
          <w:sz w:val="14"/>
        </w:rPr>
      </w:pPr>
      <w:r>
        <w:rPr>
          <w:color w:val="231F20"/>
          <w:sz w:val="14"/>
        </w:rPr>
        <w:t>Обезбеђивање функционалних знања из теорије и историје</w:t>
      </w:r>
      <w:r>
        <w:rPr>
          <w:color w:val="231F20"/>
          <w:spacing w:val="-6"/>
          <w:sz w:val="14"/>
        </w:rPr>
        <w:t xml:space="preserve"> </w:t>
      </w:r>
      <w:r>
        <w:rPr>
          <w:color w:val="231F20"/>
          <w:sz w:val="14"/>
        </w:rPr>
        <w:t>књижевности;</w:t>
      </w:r>
    </w:p>
    <w:p w:rsidR="00041039" w:rsidRDefault="001B26CB">
      <w:pPr>
        <w:pStyle w:val="ListParagraph"/>
        <w:numPr>
          <w:ilvl w:val="2"/>
          <w:numId w:val="976"/>
        </w:numPr>
        <w:tabs>
          <w:tab w:val="left" w:pos="1566"/>
        </w:tabs>
        <w:spacing w:line="161" w:lineRule="exact"/>
        <w:rPr>
          <w:sz w:val="14"/>
        </w:rPr>
      </w:pPr>
      <w:r>
        <w:rPr>
          <w:color w:val="231F20"/>
          <w:sz w:val="14"/>
        </w:rPr>
        <w:t>Развијање трајног интересовања за нова</w:t>
      </w:r>
      <w:r>
        <w:rPr>
          <w:color w:val="231F20"/>
          <w:spacing w:val="-3"/>
          <w:sz w:val="14"/>
        </w:rPr>
        <w:t xml:space="preserve"> </w:t>
      </w:r>
      <w:r>
        <w:rPr>
          <w:color w:val="231F20"/>
          <w:sz w:val="14"/>
        </w:rPr>
        <w:t>сазнања.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280"/>
        </w:trPr>
        <w:tc>
          <w:tcPr>
            <w:tcW w:w="1304" w:type="dxa"/>
          </w:tcPr>
          <w:p w:rsidR="00041039" w:rsidRDefault="001B26CB">
            <w:pPr>
              <w:pStyle w:val="TableParagraph"/>
              <w:spacing w:before="18"/>
              <w:ind w:left="56" w:right="37"/>
              <w:rPr>
                <w:sz w:val="14"/>
              </w:rPr>
            </w:pPr>
            <w:r>
              <w:rPr>
                <w:color w:val="231F20"/>
                <w:sz w:val="14"/>
              </w:rPr>
              <w:t>Увод у проучавање књижевног дела</w:t>
            </w:r>
          </w:p>
        </w:tc>
        <w:tc>
          <w:tcPr>
            <w:tcW w:w="1587" w:type="dxa"/>
          </w:tcPr>
          <w:p w:rsidR="00041039" w:rsidRDefault="001B26CB">
            <w:pPr>
              <w:pStyle w:val="TableParagraph"/>
              <w:numPr>
                <w:ilvl w:val="0"/>
                <w:numId w:val="828"/>
              </w:numPr>
              <w:tabs>
                <w:tab w:val="left" w:pos="157"/>
              </w:tabs>
              <w:spacing w:before="8"/>
              <w:ind w:right="52"/>
              <w:rPr>
                <w:sz w:val="14"/>
              </w:rPr>
            </w:pPr>
            <w:r>
              <w:rPr>
                <w:color w:val="231F20"/>
                <w:spacing w:val="-3"/>
                <w:sz w:val="14"/>
              </w:rPr>
              <w:t xml:space="preserve">Увођење </w:t>
            </w:r>
            <w:r>
              <w:rPr>
                <w:color w:val="231F20"/>
                <w:sz w:val="14"/>
              </w:rPr>
              <w:t>ученика у свет књижевног дела</w:t>
            </w:r>
            <w:r>
              <w:rPr>
                <w:color w:val="231F20"/>
                <w:spacing w:val="-3"/>
                <w:sz w:val="14"/>
              </w:rPr>
              <w:t xml:space="preserve"> </w:t>
            </w:r>
            <w:r>
              <w:rPr>
                <w:color w:val="231F20"/>
                <w:sz w:val="14"/>
              </w:rPr>
              <w:t xml:space="preserve">и књижевност као </w:t>
            </w:r>
            <w:r>
              <w:rPr>
                <w:color w:val="231F20"/>
                <w:spacing w:val="-3"/>
                <w:sz w:val="14"/>
              </w:rPr>
              <w:t xml:space="preserve">науку </w:t>
            </w:r>
            <w:r>
              <w:rPr>
                <w:color w:val="231F20"/>
                <w:sz w:val="14"/>
              </w:rPr>
              <w:t>и</w:t>
            </w:r>
            <w:r>
              <w:rPr>
                <w:color w:val="231F20"/>
                <w:spacing w:val="-2"/>
                <w:sz w:val="14"/>
              </w:rPr>
              <w:t xml:space="preserve"> </w:t>
            </w:r>
            <w:r>
              <w:rPr>
                <w:color w:val="231F20"/>
                <w:sz w:val="14"/>
              </w:rPr>
              <w:t>уметност.</w:t>
            </w:r>
          </w:p>
        </w:tc>
        <w:tc>
          <w:tcPr>
            <w:tcW w:w="2551" w:type="dxa"/>
          </w:tcPr>
          <w:p w:rsidR="00041039" w:rsidRDefault="001B26CB">
            <w:pPr>
              <w:pStyle w:val="TableParagraph"/>
              <w:numPr>
                <w:ilvl w:val="0"/>
                <w:numId w:val="827"/>
              </w:numPr>
              <w:tabs>
                <w:tab w:val="left" w:pos="157"/>
              </w:tabs>
              <w:spacing w:before="8"/>
              <w:ind w:right="212" w:hanging="99"/>
              <w:rPr>
                <w:sz w:val="14"/>
              </w:rPr>
            </w:pPr>
            <w:r>
              <w:rPr>
                <w:color w:val="231F20"/>
                <w:sz w:val="14"/>
              </w:rPr>
              <w:t>разликује врсте уметности и</w:t>
            </w:r>
            <w:r>
              <w:rPr>
                <w:color w:val="231F20"/>
                <w:spacing w:val="-16"/>
                <w:sz w:val="14"/>
              </w:rPr>
              <w:t xml:space="preserve"> </w:t>
            </w:r>
            <w:r>
              <w:rPr>
                <w:color w:val="231F20"/>
                <w:sz w:val="14"/>
              </w:rPr>
              <w:t>њихова изражајна</w:t>
            </w:r>
            <w:r>
              <w:rPr>
                <w:color w:val="231F20"/>
                <w:spacing w:val="-2"/>
                <w:sz w:val="14"/>
              </w:rPr>
              <w:t xml:space="preserve"> </w:t>
            </w:r>
            <w:r>
              <w:rPr>
                <w:color w:val="231F20"/>
                <w:sz w:val="14"/>
              </w:rPr>
              <w:t>средства;</w:t>
            </w:r>
          </w:p>
          <w:p w:rsidR="00041039" w:rsidRDefault="001B26CB">
            <w:pPr>
              <w:pStyle w:val="TableParagraph"/>
              <w:numPr>
                <w:ilvl w:val="0"/>
                <w:numId w:val="827"/>
              </w:numPr>
              <w:tabs>
                <w:tab w:val="left" w:pos="157"/>
              </w:tabs>
              <w:spacing w:line="160" w:lineRule="exact"/>
              <w:ind w:right="98" w:hanging="99"/>
              <w:rPr>
                <w:sz w:val="14"/>
              </w:rPr>
            </w:pPr>
            <w:r>
              <w:rPr>
                <w:color w:val="231F20"/>
                <w:sz w:val="14"/>
              </w:rPr>
              <w:t>објасни појам и функцију књижев­ ности као уметности и однос књижев­ ности и других</w:t>
            </w:r>
            <w:r>
              <w:rPr>
                <w:color w:val="231F20"/>
                <w:spacing w:val="-1"/>
                <w:sz w:val="14"/>
              </w:rPr>
              <w:t xml:space="preserve"> </w:t>
            </w:r>
            <w:r>
              <w:rPr>
                <w:color w:val="231F20"/>
                <w:sz w:val="14"/>
              </w:rPr>
              <w:t>уметности;</w:t>
            </w:r>
          </w:p>
          <w:p w:rsidR="00041039" w:rsidRDefault="001B26CB">
            <w:pPr>
              <w:pStyle w:val="TableParagraph"/>
              <w:numPr>
                <w:ilvl w:val="0"/>
                <w:numId w:val="827"/>
              </w:numPr>
              <w:tabs>
                <w:tab w:val="left" w:pos="157"/>
              </w:tabs>
              <w:spacing w:line="160" w:lineRule="exact"/>
              <w:ind w:right="69" w:hanging="99"/>
              <w:rPr>
                <w:sz w:val="14"/>
              </w:rPr>
            </w:pPr>
            <w:r>
              <w:rPr>
                <w:color w:val="231F20"/>
                <w:sz w:val="14"/>
              </w:rPr>
              <w:t>наведе научне дисциплине које се</w:t>
            </w:r>
            <w:r>
              <w:rPr>
                <w:color w:val="231F20"/>
                <w:spacing w:val="-21"/>
                <w:sz w:val="14"/>
              </w:rPr>
              <w:t xml:space="preserve"> </w:t>
            </w:r>
            <w:r>
              <w:rPr>
                <w:color w:val="231F20"/>
                <w:sz w:val="14"/>
              </w:rPr>
              <w:t>баве проучавањем</w:t>
            </w:r>
            <w:r>
              <w:rPr>
                <w:color w:val="231F20"/>
                <w:spacing w:val="-1"/>
                <w:sz w:val="14"/>
              </w:rPr>
              <w:t xml:space="preserve"> </w:t>
            </w:r>
            <w:r>
              <w:rPr>
                <w:color w:val="231F20"/>
                <w:sz w:val="14"/>
              </w:rPr>
              <w:t>књижевности;</w:t>
            </w:r>
          </w:p>
          <w:p w:rsidR="00041039" w:rsidRDefault="001B26CB">
            <w:pPr>
              <w:pStyle w:val="TableParagraph"/>
              <w:numPr>
                <w:ilvl w:val="0"/>
                <w:numId w:val="827"/>
              </w:numPr>
              <w:tabs>
                <w:tab w:val="left" w:pos="157"/>
              </w:tabs>
              <w:spacing w:line="160" w:lineRule="exact"/>
              <w:ind w:right="288" w:hanging="99"/>
              <w:rPr>
                <w:sz w:val="14"/>
              </w:rPr>
            </w:pPr>
            <w:r>
              <w:rPr>
                <w:color w:val="231F20"/>
                <w:sz w:val="14"/>
              </w:rPr>
              <w:t>познаје књижевне родове и врсте</w:t>
            </w:r>
            <w:r>
              <w:rPr>
                <w:color w:val="231F20"/>
                <w:spacing w:val="-20"/>
                <w:sz w:val="14"/>
              </w:rPr>
              <w:t xml:space="preserve"> </w:t>
            </w:r>
            <w:r>
              <w:rPr>
                <w:color w:val="231F20"/>
                <w:sz w:val="14"/>
              </w:rPr>
              <w:t>и разликује њихове основне</w:t>
            </w:r>
            <w:r>
              <w:rPr>
                <w:color w:val="231F20"/>
                <w:spacing w:val="-11"/>
                <w:sz w:val="14"/>
              </w:rPr>
              <w:t xml:space="preserve"> </w:t>
            </w:r>
            <w:r>
              <w:rPr>
                <w:color w:val="231F20"/>
                <w:sz w:val="14"/>
              </w:rPr>
              <w:t>одлике;</w:t>
            </w:r>
          </w:p>
          <w:p w:rsidR="00041039" w:rsidRDefault="001B26CB">
            <w:pPr>
              <w:pStyle w:val="TableParagraph"/>
              <w:numPr>
                <w:ilvl w:val="0"/>
                <w:numId w:val="827"/>
              </w:numPr>
              <w:tabs>
                <w:tab w:val="left" w:pos="157"/>
              </w:tabs>
              <w:spacing w:line="160" w:lineRule="exact"/>
              <w:ind w:right="111" w:hanging="99"/>
              <w:rPr>
                <w:sz w:val="14"/>
              </w:rPr>
            </w:pPr>
            <w:r>
              <w:rPr>
                <w:color w:val="231F20"/>
                <w:sz w:val="14"/>
              </w:rPr>
              <w:t xml:space="preserve">одреди </w:t>
            </w:r>
            <w:r>
              <w:rPr>
                <w:color w:val="231F20"/>
                <w:spacing w:val="-3"/>
                <w:sz w:val="14"/>
              </w:rPr>
              <w:t xml:space="preserve">тему, </w:t>
            </w:r>
            <w:r>
              <w:rPr>
                <w:color w:val="231F20"/>
                <w:sz w:val="14"/>
              </w:rPr>
              <w:t xml:space="preserve">мотив, сиже, </w:t>
            </w:r>
            <w:r>
              <w:rPr>
                <w:color w:val="231F20"/>
                <w:spacing w:val="-5"/>
                <w:sz w:val="14"/>
              </w:rPr>
              <w:t xml:space="preserve">фабулу, </w:t>
            </w:r>
            <w:r>
              <w:rPr>
                <w:color w:val="231F20"/>
                <w:sz w:val="14"/>
              </w:rPr>
              <w:t>лик и идеју у књижевном</w:t>
            </w:r>
            <w:r>
              <w:rPr>
                <w:color w:val="231F20"/>
                <w:spacing w:val="-4"/>
                <w:sz w:val="14"/>
              </w:rPr>
              <w:t xml:space="preserve"> </w:t>
            </w:r>
            <w:r>
              <w:rPr>
                <w:color w:val="231F20"/>
                <w:sz w:val="14"/>
              </w:rPr>
              <w:t>делу;</w:t>
            </w:r>
          </w:p>
          <w:p w:rsidR="00041039" w:rsidRDefault="001B26CB">
            <w:pPr>
              <w:pStyle w:val="TableParagraph"/>
              <w:numPr>
                <w:ilvl w:val="0"/>
                <w:numId w:val="827"/>
              </w:numPr>
              <w:tabs>
                <w:tab w:val="left" w:pos="157"/>
              </w:tabs>
              <w:spacing w:line="160" w:lineRule="exact"/>
              <w:ind w:right="73" w:hanging="99"/>
              <w:rPr>
                <w:sz w:val="14"/>
              </w:rPr>
            </w:pPr>
            <w:r>
              <w:rPr>
                <w:color w:val="231F20"/>
                <w:sz w:val="14"/>
              </w:rPr>
              <w:t xml:space="preserve">износи своје утиске и запажања о књижевном </w:t>
            </w:r>
            <w:r>
              <w:rPr>
                <w:color w:val="231F20"/>
                <w:spacing w:val="-3"/>
                <w:sz w:val="14"/>
              </w:rPr>
              <w:t xml:space="preserve">делу. </w:t>
            </w:r>
            <w:r>
              <w:rPr>
                <w:color w:val="231F20"/>
                <w:sz w:val="14"/>
              </w:rPr>
              <w:t>тумачи његове</w:t>
            </w:r>
            <w:r>
              <w:rPr>
                <w:color w:val="231F20"/>
                <w:spacing w:val="-19"/>
                <w:sz w:val="14"/>
              </w:rPr>
              <w:t xml:space="preserve"> </w:t>
            </w:r>
            <w:r>
              <w:rPr>
                <w:color w:val="231F20"/>
                <w:sz w:val="14"/>
              </w:rPr>
              <w:t>битне чиниоце и вреднује</w:t>
            </w:r>
            <w:r>
              <w:rPr>
                <w:color w:val="231F20"/>
                <w:spacing w:val="-2"/>
                <w:sz w:val="14"/>
              </w:rPr>
              <w:t xml:space="preserve"> </w:t>
            </w:r>
            <w:r>
              <w:rPr>
                <w:color w:val="231F20"/>
                <w:sz w:val="14"/>
              </w:rPr>
              <w:t>га;</w:t>
            </w:r>
          </w:p>
        </w:tc>
        <w:tc>
          <w:tcPr>
            <w:tcW w:w="2834" w:type="dxa"/>
          </w:tcPr>
          <w:p w:rsidR="00041039" w:rsidRDefault="001B26CB">
            <w:pPr>
              <w:pStyle w:val="TableParagraph"/>
              <w:numPr>
                <w:ilvl w:val="0"/>
                <w:numId w:val="826"/>
              </w:numPr>
              <w:tabs>
                <w:tab w:val="left" w:pos="157"/>
              </w:tabs>
              <w:spacing w:before="8" w:line="166" w:lineRule="exact"/>
              <w:ind w:hanging="99"/>
              <w:rPr>
                <w:sz w:val="14"/>
              </w:rPr>
            </w:pPr>
            <w:r>
              <w:rPr>
                <w:color w:val="231F20"/>
                <w:sz w:val="14"/>
              </w:rPr>
              <w:t>Врсте уметности, подела</w:t>
            </w:r>
            <w:r>
              <w:rPr>
                <w:color w:val="231F20"/>
                <w:spacing w:val="-1"/>
                <w:sz w:val="14"/>
              </w:rPr>
              <w:t xml:space="preserve"> </w:t>
            </w:r>
            <w:r>
              <w:rPr>
                <w:color w:val="231F20"/>
                <w:sz w:val="14"/>
              </w:rPr>
              <w:t>уметности.</w:t>
            </w:r>
          </w:p>
          <w:p w:rsidR="00041039" w:rsidRDefault="001B26CB">
            <w:pPr>
              <w:pStyle w:val="TableParagraph"/>
              <w:numPr>
                <w:ilvl w:val="0"/>
                <w:numId w:val="826"/>
              </w:numPr>
              <w:tabs>
                <w:tab w:val="left" w:pos="157"/>
              </w:tabs>
              <w:spacing w:line="237" w:lineRule="auto"/>
              <w:ind w:right="171" w:hanging="99"/>
              <w:rPr>
                <w:sz w:val="14"/>
              </w:rPr>
            </w:pPr>
            <w:r>
              <w:rPr>
                <w:color w:val="231F20"/>
                <w:sz w:val="14"/>
              </w:rPr>
              <w:t>Књижевност као уметност, књижевност</w:t>
            </w:r>
            <w:r>
              <w:rPr>
                <w:color w:val="231F20"/>
                <w:spacing w:val="-11"/>
                <w:sz w:val="14"/>
              </w:rPr>
              <w:t xml:space="preserve"> </w:t>
            </w:r>
            <w:r>
              <w:rPr>
                <w:color w:val="231F20"/>
                <w:sz w:val="14"/>
              </w:rPr>
              <w:t>и друге</w:t>
            </w:r>
            <w:r>
              <w:rPr>
                <w:color w:val="231F20"/>
                <w:spacing w:val="-1"/>
                <w:sz w:val="14"/>
              </w:rPr>
              <w:t xml:space="preserve"> </w:t>
            </w:r>
            <w:r>
              <w:rPr>
                <w:color w:val="231F20"/>
                <w:sz w:val="14"/>
              </w:rPr>
              <w:t>уметности.</w:t>
            </w:r>
          </w:p>
          <w:p w:rsidR="00041039" w:rsidRDefault="001B26CB">
            <w:pPr>
              <w:pStyle w:val="TableParagraph"/>
              <w:numPr>
                <w:ilvl w:val="0"/>
                <w:numId w:val="826"/>
              </w:numPr>
              <w:tabs>
                <w:tab w:val="left" w:pos="157"/>
              </w:tabs>
              <w:spacing w:line="160" w:lineRule="exact"/>
              <w:ind w:right="629" w:hanging="99"/>
              <w:rPr>
                <w:sz w:val="14"/>
              </w:rPr>
            </w:pPr>
            <w:r>
              <w:rPr>
                <w:color w:val="231F20"/>
                <w:sz w:val="14"/>
              </w:rPr>
              <w:t>Историја књижевности, теорија књижевности, књижевна</w:t>
            </w:r>
            <w:r>
              <w:rPr>
                <w:color w:val="231F20"/>
                <w:spacing w:val="-4"/>
                <w:sz w:val="14"/>
              </w:rPr>
              <w:t xml:space="preserve"> </w:t>
            </w:r>
            <w:r>
              <w:rPr>
                <w:color w:val="231F20"/>
                <w:sz w:val="14"/>
              </w:rPr>
              <w:t>критика.</w:t>
            </w:r>
          </w:p>
          <w:p w:rsidR="00041039" w:rsidRDefault="001B26CB">
            <w:pPr>
              <w:pStyle w:val="TableParagraph"/>
              <w:numPr>
                <w:ilvl w:val="0"/>
                <w:numId w:val="826"/>
              </w:numPr>
              <w:tabs>
                <w:tab w:val="left" w:pos="157"/>
              </w:tabs>
              <w:spacing w:line="160" w:lineRule="exact"/>
              <w:ind w:right="66" w:hanging="99"/>
              <w:rPr>
                <w:sz w:val="14"/>
              </w:rPr>
            </w:pPr>
            <w:r>
              <w:rPr>
                <w:color w:val="231F20"/>
                <w:sz w:val="14"/>
              </w:rPr>
              <w:t>Лирика као књижевни род: народна лирска песма и уметничка лирска песма по</w:t>
            </w:r>
            <w:r>
              <w:rPr>
                <w:color w:val="231F20"/>
                <w:spacing w:val="-12"/>
                <w:sz w:val="14"/>
              </w:rPr>
              <w:t xml:space="preserve"> </w:t>
            </w:r>
            <w:r>
              <w:rPr>
                <w:color w:val="231F20"/>
                <w:spacing w:val="-3"/>
                <w:sz w:val="14"/>
              </w:rPr>
              <w:t>избору.</w:t>
            </w:r>
          </w:p>
          <w:p w:rsidR="00041039" w:rsidRDefault="001B26CB">
            <w:pPr>
              <w:pStyle w:val="TableParagraph"/>
              <w:numPr>
                <w:ilvl w:val="0"/>
                <w:numId w:val="826"/>
              </w:numPr>
              <w:tabs>
                <w:tab w:val="left" w:pos="157"/>
              </w:tabs>
              <w:spacing w:line="160" w:lineRule="exact"/>
              <w:ind w:right="276" w:hanging="99"/>
              <w:rPr>
                <w:sz w:val="14"/>
              </w:rPr>
            </w:pPr>
            <w:r>
              <w:rPr>
                <w:color w:val="231F20"/>
                <w:sz w:val="14"/>
              </w:rPr>
              <w:t>Епика као књижевни род: епска народ­ на песма (предлог „Кнежева вечера”), приповетка по избору и роман (предлог Д</w:t>
            </w:r>
            <w:r>
              <w:rPr>
                <w:color w:val="231F20"/>
                <w:sz w:val="14"/>
              </w:rPr>
              <w:t>рагослав Михаиловић „Кад су</w:t>
            </w:r>
            <w:r>
              <w:rPr>
                <w:color w:val="231F20"/>
                <w:spacing w:val="-13"/>
                <w:sz w:val="14"/>
              </w:rPr>
              <w:t xml:space="preserve"> </w:t>
            </w:r>
            <w:r>
              <w:rPr>
                <w:color w:val="231F20"/>
                <w:sz w:val="14"/>
              </w:rPr>
              <w:t>цветале тикве”).</w:t>
            </w:r>
          </w:p>
          <w:p w:rsidR="00041039" w:rsidRDefault="001B26CB">
            <w:pPr>
              <w:pStyle w:val="TableParagraph"/>
              <w:numPr>
                <w:ilvl w:val="0"/>
                <w:numId w:val="826"/>
              </w:numPr>
              <w:tabs>
                <w:tab w:val="left" w:pos="157"/>
              </w:tabs>
              <w:spacing w:line="159" w:lineRule="exact"/>
              <w:ind w:hanging="99"/>
              <w:rPr>
                <w:sz w:val="14"/>
              </w:rPr>
            </w:pPr>
            <w:r>
              <w:rPr>
                <w:color w:val="231F20"/>
                <w:sz w:val="14"/>
              </w:rPr>
              <w:t>Драма као књижевни род: драма по</w:t>
            </w:r>
            <w:r>
              <w:rPr>
                <w:color w:val="231F20"/>
                <w:spacing w:val="-12"/>
                <w:sz w:val="14"/>
              </w:rPr>
              <w:t xml:space="preserve"> </w:t>
            </w:r>
            <w:r>
              <w:rPr>
                <w:color w:val="231F20"/>
                <w:spacing w:val="-3"/>
                <w:sz w:val="14"/>
              </w:rPr>
              <w:t>избору.</w:t>
            </w:r>
          </w:p>
        </w:tc>
        <w:tc>
          <w:tcPr>
            <w:tcW w:w="2267" w:type="dxa"/>
            <w:vMerge w:val="restart"/>
          </w:tcPr>
          <w:p w:rsidR="00041039" w:rsidRDefault="001B26CB">
            <w:pPr>
              <w:pStyle w:val="TableParagraph"/>
              <w:numPr>
                <w:ilvl w:val="0"/>
                <w:numId w:val="825"/>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825"/>
              </w:numPr>
              <w:tabs>
                <w:tab w:val="left" w:pos="158"/>
              </w:tabs>
              <w:spacing w:line="160" w:lineRule="exact"/>
              <w:ind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825"/>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825"/>
              </w:numPr>
              <w:tabs>
                <w:tab w:val="left" w:pos="158"/>
              </w:tabs>
              <w:spacing w:line="160" w:lineRule="exact"/>
              <w:ind w:right="68" w:hanging="99"/>
              <w:rPr>
                <w:sz w:val="14"/>
              </w:rPr>
            </w:pPr>
            <w:r>
              <w:rPr>
                <w:color w:val="231F20"/>
                <w:sz w:val="14"/>
              </w:rPr>
              <w:t xml:space="preserve">Приликом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 цији. </w:t>
            </w:r>
            <w:r>
              <w:rPr>
                <w:color w:val="231F20"/>
                <w:spacing w:val="-2"/>
                <w:sz w:val="14"/>
              </w:rPr>
              <w:t xml:space="preserve">Такође </w:t>
            </w:r>
            <w:r>
              <w:rPr>
                <w:color w:val="231F20"/>
                <w:sz w:val="14"/>
              </w:rPr>
              <w:t xml:space="preserve">је ову наставну тему могуће обрађивати </w:t>
            </w:r>
            <w:r>
              <w:rPr>
                <w:color w:val="231F20"/>
                <w:spacing w:val="-3"/>
                <w:sz w:val="14"/>
              </w:rPr>
              <w:t xml:space="preserve">током </w:t>
            </w:r>
            <w:r>
              <w:rPr>
                <w:color w:val="231F20"/>
                <w:sz w:val="14"/>
              </w:rPr>
              <w:t xml:space="preserve">целе </w:t>
            </w:r>
            <w:r>
              <w:rPr>
                <w:color w:val="231F20"/>
                <w:spacing w:val="-3"/>
                <w:sz w:val="14"/>
              </w:rPr>
              <w:t xml:space="preserve">школске </w:t>
            </w:r>
            <w:r>
              <w:rPr>
                <w:color w:val="231F20"/>
                <w:sz w:val="14"/>
              </w:rPr>
              <w:t>године, п</w:t>
            </w:r>
            <w:r>
              <w:rPr>
                <w:color w:val="231F20"/>
                <w:sz w:val="14"/>
              </w:rPr>
              <w:t>а на пример структуру и одлике драмског</w:t>
            </w:r>
            <w:r>
              <w:rPr>
                <w:color w:val="231F20"/>
                <w:spacing w:val="-24"/>
                <w:sz w:val="14"/>
              </w:rPr>
              <w:t xml:space="preserve"> </w:t>
            </w:r>
            <w:r>
              <w:rPr>
                <w:color w:val="231F20"/>
                <w:sz w:val="14"/>
              </w:rPr>
              <w:t xml:space="preserve">дела обрадити на примеру „Ромеа и Јулије”, а структуру и одлике лирске и епске народне песме обрадити </w:t>
            </w:r>
            <w:r>
              <w:rPr>
                <w:color w:val="231F20"/>
                <w:spacing w:val="-3"/>
                <w:sz w:val="14"/>
              </w:rPr>
              <w:t xml:space="preserve">током </w:t>
            </w:r>
            <w:r>
              <w:rPr>
                <w:color w:val="231F20"/>
                <w:sz w:val="14"/>
              </w:rPr>
              <w:t>реализације теме Народна</w:t>
            </w:r>
            <w:r>
              <w:rPr>
                <w:color w:val="231F20"/>
                <w:spacing w:val="-1"/>
                <w:sz w:val="14"/>
              </w:rPr>
              <w:t xml:space="preserve"> </w:t>
            </w:r>
            <w:r>
              <w:rPr>
                <w:color w:val="231F20"/>
                <w:sz w:val="14"/>
              </w:rPr>
              <w:t>књижевност.</w:t>
            </w:r>
          </w:p>
          <w:p w:rsidR="00041039" w:rsidRDefault="001B26CB">
            <w:pPr>
              <w:pStyle w:val="TableParagraph"/>
              <w:numPr>
                <w:ilvl w:val="0"/>
                <w:numId w:val="825"/>
              </w:numPr>
              <w:tabs>
                <w:tab w:val="left" w:pos="158"/>
              </w:tabs>
              <w:spacing w:before="1" w:line="160" w:lineRule="exact"/>
              <w:ind w:right="307" w:hanging="99"/>
              <w:rPr>
                <w:sz w:val="14"/>
              </w:rPr>
            </w:pPr>
            <w:r>
              <w:rPr>
                <w:color w:val="231F20"/>
                <w:sz w:val="14"/>
              </w:rPr>
              <w:t>Народна књижевност се</w:t>
            </w:r>
            <w:r>
              <w:rPr>
                <w:color w:val="231F20"/>
                <w:spacing w:val="-11"/>
                <w:sz w:val="14"/>
              </w:rPr>
              <w:t xml:space="preserve"> </w:t>
            </w:r>
            <w:r>
              <w:rPr>
                <w:color w:val="231F20"/>
                <w:sz w:val="14"/>
              </w:rPr>
              <w:t>може обрадити по мотивима (рад у групама).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w:t>
            </w:r>
            <w:r>
              <w:rPr>
                <w:b/>
                <w:color w:val="231F20"/>
                <w:sz w:val="14"/>
              </w:rPr>
              <w:t>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825"/>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825"/>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825"/>
              </w:numPr>
              <w:tabs>
                <w:tab w:val="left" w:pos="158"/>
              </w:tabs>
              <w:spacing w:line="237" w:lineRule="auto"/>
              <w:ind w:right="264" w:hanging="99"/>
              <w:rPr>
                <w:b/>
                <w:sz w:val="14"/>
              </w:rPr>
            </w:pPr>
            <w:r>
              <w:rPr>
                <w:color w:val="231F20"/>
                <w:spacing w:val="-6"/>
                <w:sz w:val="14"/>
              </w:rPr>
              <w:t xml:space="preserve">Увод </w:t>
            </w:r>
            <w:r>
              <w:rPr>
                <w:color w:val="231F20"/>
                <w:sz w:val="14"/>
              </w:rPr>
              <w:t xml:space="preserve">у проучавање књижевног дела </w:t>
            </w:r>
            <w:r>
              <w:rPr>
                <w:b/>
                <w:color w:val="231F20"/>
                <w:sz w:val="14"/>
              </w:rPr>
              <w:t>(15</w:t>
            </w:r>
            <w:r>
              <w:rPr>
                <w:b/>
                <w:color w:val="231F20"/>
                <w:spacing w:val="-2"/>
                <w:sz w:val="14"/>
              </w:rPr>
              <w:t xml:space="preserve"> </w:t>
            </w:r>
            <w:r>
              <w:rPr>
                <w:b/>
                <w:color w:val="231F20"/>
                <w:sz w:val="14"/>
              </w:rPr>
              <w:t>часова)</w:t>
            </w:r>
          </w:p>
          <w:p w:rsidR="00041039" w:rsidRDefault="001B26CB">
            <w:pPr>
              <w:pStyle w:val="TableParagraph"/>
              <w:numPr>
                <w:ilvl w:val="0"/>
                <w:numId w:val="825"/>
              </w:numPr>
              <w:tabs>
                <w:tab w:val="left" w:pos="158"/>
              </w:tabs>
              <w:spacing w:line="160" w:lineRule="exact"/>
              <w:ind w:right="408" w:hanging="99"/>
              <w:rPr>
                <w:b/>
                <w:sz w:val="14"/>
              </w:rPr>
            </w:pPr>
            <w:r>
              <w:rPr>
                <w:color w:val="231F20"/>
                <w:sz w:val="14"/>
              </w:rPr>
              <w:t xml:space="preserve">Књижевност старог века </w:t>
            </w:r>
            <w:r>
              <w:rPr>
                <w:b/>
                <w:color w:val="231F20"/>
                <w:spacing w:val="-3"/>
                <w:sz w:val="14"/>
              </w:rPr>
              <w:t xml:space="preserve">(11 </w:t>
            </w:r>
            <w:r>
              <w:rPr>
                <w:b/>
                <w:color w:val="231F20"/>
                <w:sz w:val="14"/>
              </w:rPr>
              <w:t>часова)</w:t>
            </w:r>
          </w:p>
          <w:p w:rsidR="00041039" w:rsidRDefault="001B26CB">
            <w:pPr>
              <w:pStyle w:val="TableParagraph"/>
              <w:numPr>
                <w:ilvl w:val="0"/>
                <w:numId w:val="825"/>
              </w:numPr>
              <w:tabs>
                <w:tab w:val="left" w:pos="158"/>
              </w:tabs>
              <w:spacing w:line="160" w:lineRule="exact"/>
              <w:ind w:right="181" w:hanging="99"/>
              <w:rPr>
                <w:b/>
                <w:sz w:val="14"/>
              </w:rPr>
            </w:pPr>
            <w:r>
              <w:rPr>
                <w:color w:val="231F20"/>
                <w:sz w:val="14"/>
              </w:rPr>
              <w:t>Средњовековна књижевност</w:t>
            </w:r>
            <w:r>
              <w:rPr>
                <w:color w:val="231F20"/>
                <w:spacing w:val="-9"/>
                <w:sz w:val="14"/>
              </w:rPr>
              <w:t xml:space="preserve"> </w:t>
            </w:r>
            <w:r>
              <w:rPr>
                <w:b/>
                <w:color w:val="231F20"/>
                <w:spacing w:val="-3"/>
                <w:sz w:val="14"/>
              </w:rPr>
              <w:t xml:space="preserve">(11 </w:t>
            </w:r>
            <w:r>
              <w:rPr>
                <w:b/>
                <w:color w:val="231F20"/>
                <w:sz w:val="14"/>
              </w:rPr>
              <w:t>часова)</w:t>
            </w:r>
          </w:p>
          <w:p w:rsidR="00041039" w:rsidRDefault="001B26CB">
            <w:pPr>
              <w:pStyle w:val="TableParagraph"/>
              <w:numPr>
                <w:ilvl w:val="0"/>
                <w:numId w:val="825"/>
              </w:numPr>
              <w:tabs>
                <w:tab w:val="left" w:pos="158"/>
              </w:tabs>
              <w:spacing w:line="153" w:lineRule="exact"/>
              <w:ind w:hanging="99"/>
              <w:rPr>
                <w:b/>
                <w:sz w:val="14"/>
              </w:rPr>
            </w:pPr>
            <w:r>
              <w:rPr>
                <w:color w:val="231F20"/>
                <w:sz w:val="14"/>
              </w:rPr>
              <w:t xml:space="preserve">Народна књижевност </w:t>
            </w:r>
            <w:r>
              <w:rPr>
                <w:b/>
                <w:color w:val="231F20"/>
                <w:sz w:val="14"/>
              </w:rPr>
              <w:t>(13</w:t>
            </w:r>
            <w:r>
              <w:rPr>
                <w:b/>
                <w:color w:val="231F20"/>
                <w:spacing w:val="-8"/>
                <w:sz w:val="14"/>
              </w:rPr>
              <w:t xml:space="preserve"> </w:t>
            </w:r>
            <w:r>
              <w:rPr>
                <w:b/>
                <w:color w:val="231F20"/>
                <w:sz w:val="14"/>
              </w:rPr>
              <w:t>часова)</w:t>
            </w:r>
          </w:p>
          <w:p w:rsidR="00041039" w:rsidRDefault="001B26CB">
            <w:pPr>
              <w:pStyle w:val="TableParagraph"/>
              <w:numPr>
                <w:ilvl w:val="0"/>
                <w:numId w:val="825"/>
              </w:numPr>
              <w:tabs>
                <w:tab w:val="left" w:pos="158"/>
              </w:tabs>
              <w:spacing w:line="237" w:lineRule="auto"/>
              <w:ind w:right="468" w:hanging="99"/>
              <w:rPr>
                <w:b/>
                <w:sz w:val="14"/>
              </w:rPr>
            </w:pPr>
            <w:r>
              <w:rPr>
                <w:color w:val="231F20"/>
                <w:sz w:val="14"/>
              </w:rPr>
              <w:t>Хуманизам и ренесанса</w:t>
            </w:r>
            <w:r>
              <w:rPr>
                <w:color w:val="231F20"/>
                <w:spacing w:val="-12"/>
                <w:sz w:val="14"/>
              </w:rPr>
              <w:t xml:space="preserve"> </w:t>
            </w:r>
            <w:r>
              <w:rPr>
                <w:b/>
                <w:color w:val="231F20"/>
                <w:sz w:val="14"/>
              </w:rPr>
              <w:t>(10 часова)</w:t>
            </w:r>
          </w:p>
          <w:p w:rsidR="00041039" w:rsidRDefault="001B26CB">
            <w:pPr>
              <w:pStyle w:val="TableParagraph"/>
              <w:numPr>
                <w:ilvl w:val="0"/>
                <w:numId w:val="825"/>
              </w:numPr>
              <w:tabs>
                <w:tab w:val="left" w:pos="158"/>
              </w:tabs>
              <w:spacing w:line="160" w:lineRule="exact"/>
              <w:ind w:right="498" w:hanging="99"/>
              <w:rPr>
                <w:b/>
                <w:sz w:val="14"/>
              </w:rPr>
            </w:pPr>
            <w:r>
              <w:rPr>
                <w:color w:val="231F20"/>
                <w:sz w:val="14"/>
              </w:rPr>
              <w:t xml:space="preserve">Општи појмови о језику </w:t>
            </w:r>
            <w:r>
              <w:rPr>
                <w:b/>
                <w:color w:val="231F20"/>
                <w:sz w:val="14"/>
              </w:rPr>
              <w:t>(5 часова)</w:t>
            </w:r>
          </w:p>
          <w:p w:rsidR="00041039" w:rsidRDefault="001B26CB">
            <w:pPr>
              <w:pStyle w:val="TableParagraph"/>
              <w:numPr>
                <w:ilvl w:val="0"/>
                <w:numId w:val="825"/>
              </w:numPr>
              <w:tabs>
                <w:tab w:val="left" w:pos="158"/>
              </w:tabs>
              <w:spacing w:line="153" w:lineRule="exact"/>
              <w:ind w:hanging="99"/>
              <w:rPr>
                <w:b/>
                <w:sz w:val="14"/>
              </w:rPr>
            </w:pPr>
            <w:r>
              <w:rPr>
                <w:color w:val="231F20"/>
                <w:sz w:val="14"/>
              </w:rPr>
              <w:t xml:space="preserve">Фонетика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numPr>
                <w:ilvl w:val="0"/>
                <w:numId w:val="825"/>
              </w:numPr>
              <w:tabs>
                <w:tab w:val="left" w:pos="158"/>
              </w:tabs>
              <w:spacing w:line="160" w:lineRule="exact"/>
              <w:ind w:hanging="99"/>
              <w:rPr>
                <w:b/>
                <w:sz w:val="14"/>
              </w:rPr>
            </w:pPr>
            <w:r>
              <w:rPr>
                <w:color w:val="231F20"/>
                <w:sz w:val="14"/>
              </w:rPr>
              <w:t xml:space="preserve">Правопис </w:t>
            </w:r>
            <w:r>
              <w:rPr>
                <w:b/>
                <w:color w:val="231F20"/>
                <w:spacing w:val="-3"/>
                <w:sz w:val="14"/>
              </w:rPr>
              <w:t>(11</w:t>
            </w:r>
            <w:r>
              <w:rPr>
                <w:b/>
                <w:color w:val="231F20"/>
                <w:spacing w:val="-2"/>
                <w:sz w:val="14"/>
              </w:rPr>
              <w:t xml:space="preserve"> </w:t>
            </w:r>
            <w:r>
              <w:rPr>
                <w:b/>
                <w:color w:val="231F20"/>
                <w:sz w:val="14"/>
              </w:rPr>
              <w:t>часова)</w:t>
            </w:r>
          </w:p>
          <w:p w:rsidR="00041039" w:rsidRDefault="001B26CB">
            <w:pPr>
              <w:pStyle w:val="TableParagraph"/>
              <w:numPr>
                <w:ilvl w:val="0"/>
                <w:numId w:val="825"/>
              </w:numPr>
              <w:tabs>
                <w:tab w:val="left" w:pos="158"/>
              </w:tabs>
              <w:spacing w:line="165"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(20</w:t>
            </w:r>
            <w:r>
              <w:rPr>
                <w:b/>
                <w:color w:val="231F20"/>
                <w:spacing w:val="-3"/>
                <w:sz w:val="14"/>
              </w:rPr>
              <w:t xml:space="preserve"> </w:t>
            </w:r>
            <w:r>
              <w:rPr>
                <w:b/>
                <w:color w:val="231F20"/>
                <w:sz w:val="14"/>
              </w:rPr>
              <w:t>часова)</w:t>
            </w:r>
          </w:p>
        </w:tc>
      </w:tr>
      <w:tr w:rsidR="00041039">
        <w:trPr>
          <w:trHeight w:val="1800"/>
        </w:trPr>
        <w:tc>
          <w:tcPr>
            <w:tcW w:w="1304" w:type="dxa"/>
          </w:tcPr>
          <w:p w:rsidR="00041039" w:rsidRDefault="001B26CB">
            <w:pPr>
              <w:pStyle w:val="TableParagraph"/>
              <w:spacing w:before="20"/>
              <w:ind w:left="56" w:right="37"/>
              <w:rPr>
                <w:sz w:val="14"/>
              </w:rPr>
            </w:pPr>
            <w:r>
              <w:rPr>
                <w:color w:val="231F20"/>
                <w:sz w:val="14"/>
              </w:rPr>
              <w:t>Књижевност старог века</w:t>
            </w:r>
          </w:p>
        </w:tc>
        <w:tc>
          <w:tcPr>
            <w:tcW w:w="1587" w:type="dxa"/>
          </w:tcPr>
          <w:p w:rsidR="00041039" w:rsidRDefault="001B26CB">
            <w:pPr>
              <w:pStyle w:val="TableParagraph"/>
              <w:numPr>
                <w:ilvl w:val="0"/>
                <w:numId w:val="824"/>
              </w:numPr>
              <w:tabs>
                <w:tab w:val="left" w:pos="157"/>
              </w:tabs>
              <w:spacing w:before="10"/>
              <w:ind w:right="43"/>
              <w:rPr>
                <w:sz w:val="14"/>
              </w:rPr>
            </w:pPr>
            <w:r>
              <w:rPr>
                <w:color w:val="231F20"/>
                <w:sz w:val="14"/>
              </w:rPr>
              <w:t>Упознавање ученика са митологијом,</w:t>
            </w:r>
            <w:r>
              <w:rPr>
                <w:color w:val="231F20"/>
                <w:spacing w:val="-12"/>
                <w:sz w:val="14"/>
              </w:rPr>
              <w:t xml:space="preserve"> </w:t>
            </w:r>
            <w:r>
              <w:rPr>
                <w:color w:val="231F20"/>
                <w:sz w:val="14"/>
              </w:rPr>
              <w:t>репре­ зентативним делима старог века и њиховим значајем за развој европске</w:t>
            </w:r>
            <w:r>
              <w:rPr>
                <w:color w:val="231F20"/>
                <w:spacing w:val="-2"/>
                <w:sz w:val="14"/>
              </w:rPr>
              <w:t xml:space="preserve"> </w:t>
            </w:r>
            <w:r>
              <w:rPr>
                <w:color w:val="231F20"/>
                <w:sz w:val="14"/>
              </w:rPr>
              <w:t>културе.</w:t>
            </w:r>
          </w:p>
        </w:tc>
        <w:tc>
          <w:tcPr>
            <w:tcW w:w="2551" w:type="dxa"/>
          </w:tcPr>
          <w:p w:rsidR="00041039" w:rsidRDefault="001B26CB">
            <w:pPr>
              <w:pStyle w:val="TableParagraph"/>
              <w:numPr>
                <w:ilvl w:val="0"/>
                <w:numId w:val="823"/>
              </w:numPr>
              <w:tabs>
                <w:tab w:val="left" w:pos="157"/>
              </w:tabs>
              <w:spacing w:before="10"/>
              <w:ind w:right="168" w:hanging="99"/>
              <w:rPr>
                <w:sz w:val="14"/>
              </w:rPr>
            </w:pPr>
            <w:r>
              <w:rPr>
                <w:color w:val="231F20"/>
                <w:sz w:val="14"/>
              </w:rPr>
              <w:t>објасни значај митологије за</w:t>
            </w:r>
            <w:r>
              <w:rPr>
                <w:color w:val="231F20"/>
                <w:spacing w:val="-21"/>
                <w:sz w:val="14"/>
              </w:rPr>
              <w:t xml:space="preserve"> </w:t>
            </w:r>
            <w:r>
              <w:rPr>
                <w:color w:val="231F20"/>
                <w:sz w:val="14"/>
              </w:rPr>
              <w:t>античку књижевност и развој европске културе;</w:t>
            </w:r>
          </w:p>
          <w:p w:rsidR="00041039" w:rsidRDefault="001B26CB">
            <w:pPr>
              <w:pStyle w:val="TableParagraph"/>
              <w:numPr>
                <w:ilvl w:val="0"/>
                <w:numId w:val="823"/>
              </w:numPr>
              <w:tabs>
                <w:tab w:val="left" w:pos="157"/>
              </w:tabs>
              <w:spacing w:line="157" w:lineRule="exact"/>
              <w:ind w:hanging="99"/>
              <w:rPr>
                <w:sz w:val="14"/>
              </w:rPr>
            </w:pPr>
            <w:r>
              <w:rPr>
                <w:color w:val="231F20"/>
                <w:sz w:val="14"/>
              </w:rPr>
              <w:t>наведе имена аутора, називе</w:t>
            </w:r>
            <w:r>
              <w:rPr>
                <w:color w:val="231F20"/>
                <w:spacing w:val="-18"/>
                <w:sz w:val="14"/>
              </w:rPr>
              <w:t xml:space="preserve"> </w:t>
            </w:r>
            <w:r>
              <w:rPr>
                <w:color w:val="231F20"/>
                <w:sz w:val="14"/>
              </w:rPr>
              <w:t>обрађених</w:t>
            </w:r>
          </w:p>
          <w:p w:rsidR="00041039" w:rsidRDefault="001B26CB">
            <w:pPr>
              <w:pStyle w:val="TableParagraph"/>
              <w:rPr>
                <w:sz w:val="14"/>
              </w:rPr>
            </w:pPr>
            <w:r>
              <w:rPr>
                <w:color w:val="231F20"/>
                <w:sz w:val="14"/>
              </w:rPr>
              <w:t>дела и класификује их по културама којима припадају, књижевним родови­ ма и врстама;</w:t>
            </w:r>
          </w:p>
          <w:p w:rsidR="00041039" w:rsidRDefault="001B26CB">
            <w:pPr>
              <w:pStyle w:val="TableParagraph"/>
              <w:numPr>
                <w:ilvl w:val="0"/>
                <w:numId w:val="823"/>
              </w:numPr>
              <w:tabs>
                <w:tab w:val="left" w:pos="157"/>
              </w:tabs>
              <w:spacing w:line="158" w:lineRule="exact"/>
              <w:ind w:hanging="99"/>
              <w:rPr>
                <w:sz w:val="14"/>
              </w:rPr>
            </w:pPr>
            <w:r>
              <w:rPr>
                <w:color w:val="231F20"/>
                <w:sz w:val="14"/>
              </w:rPr>
              <w:t>тумачи и вреднује уметничке</w:t>
            </w:r>
            <w:r>
              <w:rPr>
                <w:color w:val="231F20"/>
                <w:spacing w:val="-13"/>
                <w:sz w:val="14"/>
              </w:rPr>
              <w:t xml:space="preserve"> </w:t>
            </w:r>
            <w:r>
              <w:rPr>
                <w:color w:val="231F20"/>
                <w:sz w:val="14"/>
              </w:rPr>
              <w:t>чиниоце</w:t>
            </w:r>
          </w:p>
          <w:p w:rsidR="00041039" w:rsidRDefault="001B26CB">
            <w:pPr>
              <w:pStyle w:val="TableParagraph"/>
              <w:spacing w:line="155" w:lineRule="exact"/>
              <w:rPr>
                <w:sz w:val="14"/>
              </w:rPr>
            </w:pPr>
            <w:r>
              <w:rPr>
                <w:color w:val="231F20"/>
                <w:sz w:val="14"/>
              </w:rPr>
              <w:t>у обрађеним делима;</w:t>
            </w:r>
          </w:p>
          <w:p w:rsidR="00041039" w:rsidRDefault="001B26CB">
            <w:pPr>
              <w:pStyle w:val="TableParagraph"/>
              <w:numPr>
                <w:ilvl w:val="0"/>
                <w:numId w:val="823"/>
              </w:numPr>
              <w:tabs>
                <w:tab w:val="left" w:pos="157"/>
              </w:tabs>
              <w:spacing w:before="6" w:line="160" w:lineRule="exact"/>
              <w:ind w:right="154" w:hanging="99"/>
              <w:rPr>
                <w:sz w:val="14"/>
              </w:rPr>
            </w:pPr>
            <w:r>
              <w:rPr>
                <w:color w:val="231F20"/>
                <w:sz w:val="14"/>
              </w:rPr>
              <w:t>објасни универзалне поруке</w:t>
            </w:r>
            <w:r>
              <w:rPr>
                <w:color w:val="231F20"/>
                <w:spacing w:val="-12"/>
                <w:sz w:val="14"/>
              </w:rPr>
              <w:t xml:space="preserve"> </w:t>
            </w:r>
            <w:r>
              <w:rPr>
                <w:color w:val="231F20"/>
                <w:sz w:val="14"/>
              </w:rPr>
              <w:t>књижев­ ности старог</w:t>
            </w:r>
            <w:r>
              <w:rPr>
                <w:color w:val="231F20"/>
                <w:spacing w:val="-1"/>
                <w:sz w:val="14"/>
              </w:rPr>
              <w:t xml:space="preserve"> </w:t>
            </w:r>
            <w:r>
              <w:rPr>
                <w:color w:val="231F20"/>
                <w:sz w:val="14"/>
              </w:rPr>
              <w:t>века;</w:t>
            </w:r>
          </w:p>
        </w:tc>
        <w:tc>
          <w:tcPr>
            <w:tcW w:w="2834" w:type="dxa"/>
          </w:tcPr>
          <w:p w:rsidR="00041039" w:rsidRDefault="001B26CB">
            <w:pPr>
              <w:pStyle w:val="TableParagraph"/>
              <w:numPr>
                <w:ilvl w:val="0"/>
                <w:numId w:val="822"/>
              </w:numPr>
              <w:tabs>
                <w:tab w:val="left" w:pos="158"/>
              </w:tabs>
              <w:spacing w:before="10"/>
              <w:ind w:right="190"/>
              <w:rPr>
                <w:sz w:val="14"/>
              </w:rPr>
            </w:pPr>
            <w:r>
              <w:rPr>
                <w:color w:val="231F20"/>
                <w:sz w:val="14"/>
              </w:rPr>
              <w:t>Сумерско ­ вавилонска књижевност: Еп</w:t>
            </w:r>
            <w:r>
              <w:rPr>
                <w:color w:val="231F20"/>
                <w:spacing w:val="-19"/>
                <w:sz w:val="14"/>
              </w:rPr>
              <w:t xml:space="preserve"> </w:t>
            </w:r>
            <w:r>
              <w:rPr>
                <w:color w:val="231F20"/>
                <w:sz w:val="14"/>
              </w:rPr>
              <w:t>о Гилгамешу (анализа</w:t>
            </w:r>
            <w:r>
              <w:rPr>
                <w:color w:val="231F20"/>
                <w:spacing w:val="-5"/>
                <w:sz w:val="14"/>
              </w:rPr>
              <w:t xml:space="preserve"> </w:t>
            </w:r>
            <w:r>
              <w:rPr>
                <w:color w:val="231F20"/>
                <w:sz w:val="14"/>
              </w:rPr>
              <w:t>одл</w:t>
            </w:r>
            <w:r>
              <w:rPr>
                <w:color w:val="231F20"/>
                <w:sz w:val="14"/>
              </w:rPr>
              <w:t>омка).</w:t>
            </w:r>
          </w:p>
          <w:p w:rsidR="00041039" w:rsidRDefault="001B26CB">
            <w:pPr>
              <w:pStyle w:val="TableParagraph"/>
              <w:numPr>
                <w:ilvl w:val="0"/>
                <w:numId w:val="822"/>
              </w:numPr>
              <w:tabs>
                <w:tab w:val="left" w:pos="158"/>
              </w:tabs>
              <w:spacing w:line="160" w:lineRule="exact"/>
              <w:ind w:right="358"/>
              <w:rPr>
                <w:sz w:val="14"/>
              </w:rPr>
            </w:pPr>
            <w:r>
              <w:rPr>
                <w:color w:val="231F20"/>
                <w:sz w:val="14"/>
              </w:rPr>
              <w:t xml:space="preserve">Митови: о </w:t>
            </w:r>
            <w:r>
              <w:rPr>
                <w:color w:val="231F20"/>
                <w:spacing w:val="-3"/>
                <w:sz w:val="14"/>
              </w:rPr>
              <w:t xml:space="preserve">Танталу, Сизифу, Нарцису, </w:t>
            </w:r>
            <w:r>
              <w:rPr>
                <w:color w:val="231F20"/>
                <w:sz w:val="14"/>
              </w:rPr>
              <w:t xml:space="preserve">митови о Троји: Парисов </w:t>
            </w:r>
            <w:r>
              <w:rPr>
                <w:color w:val="231F20"/>
                <w:spacing w:val="-3"/>
                <w:sz w:val="14"/>
              </w:rPr>
              <w:t xml:space="preserve">суд, </w:t>
            </w:r>
            <w:r>
              <w:rPr>
                <w:color w:val="231F20"/>
                <w:sz w:val="14"/>
              </w:rPr>
              <w:t>Одисеј</w:t>
            </w:r>
            <w:r>
              <w:rPr>
                <w:color w:val="231F20"/>
                <w:spacing w:val="-12"/>
                <w:sz w:val="14"/>
              </w:rPr>
              <w:t xml:space="preserve"> </w:t>
            </w:r>
            <w:r>
              <w:rPr>
                <w:color w:val="231F20"/>
                <w:sz w:val="14"/>
              </w:rPr>
              <w:t>и Пенелопа, Ахил,</w:t>
            </w:r>
            <w:r>
              <w:rPr>
                <w:color w:val="231F20"/>
                <w:spacing w:val="-3"/>
                <w:sz w:val="14"/>
              </w:rPr>
              <w:t xml:space="preserve"> </w:t>
            </w:r>
            <w:r>
              <w:rPr>
                <w:color w:val="231F20"/>
                <w:sz w:val="14"/>
              </w:rPr>
              <w:t>Едип...</w:t>
            </w:r>
          </w:p>
          <w:p w:rsidR="00041039" w:rsidRDefault="001B26CB">
            <w:pPr>
              <w:pStyle w:val="TableParagraph"/>
              <w:numPr>
                <w:ilvl w:val="0"/>
                <w:numId w:val="822"/>
              </w:numPr>
              <w:tabs>
                <w:tab w:val="left" w:pos="158"/>
              </w:tabs>
              <w:spacing w:line="160" w:lineRule="exact"/>
              <w:ind w:right="321"/>
              <w:rPr>
                <w:sz w:val="14"/>
              </w:rPr>
            </w:pPr>
            <w:r>
              <w:rPr>
                <w:color w:val="231F20"/>
                <w:sz w:val="14"/>
              </w:rPr>
              <w:t>Хеленска књижевност: Хомер:</w:t>
            </w:r>
            <w:r>
              <w:rPr>
                <w:color w:val="231F20"/>
                <w:spacing w:val="-23"/>
                <w:sz w:val="14"/>
              </w:rPr>
              <w:t xml:space="preserve"> </w:t>
            </w:r>
            <w:r>
              <w:rPr>
                <w:color w:val="231F20"/>
                <w:sz w:val="14"/>
              </w:rPr>
              <w:t>Илијада (одломак).</w:t>
            </w:r>
          </w:p>
          <w:p w:rsidR="00041039" w:rsidRDefault="001B26CB">
            <w:pPr>
              <w:pStyle w:val="TableParagraph"/>
              <w:numPr>
                <w:ilvl w:val="0"/>
                <w:numId w:val="822"/>
              </w:numPr>
              <w:tabs>
                <w:tab w:val="left" w:pos="158"/>
              </w:tabs>
              <w:spacing w:line="153" w:lineRule="exact"/>
              <w:rPr>
                <w:sz w:val="14"/>
              </w:rPr>
            </w:pPr>
            <w:r>
              <w:rPr>
                <w:color w:val="231F20"/>
                <w:sz w:val="14"/>
              </w:rPr>
              <w:t>Софокле:</w:t>
            </w:r>
            <w:r>
              <w:rPr>
                <w:color w:val="231F20"/>
                <w:spacing w:val="-1"/>
                <w:sz w:val="14"/>
              </w:rPr>
              <w:t xml:space="preserve"> </w:t>
            </w:r>
            <w:r>
              <w:rPr>
                <w:color w:val="231F20"/>
                <w:sz w:val="14"/>
              </w:rPr>
              <w:t>Антигона.</w:t>
            </w:r>
          </w:p>
          <w:p w:rsidR="00041039" w:rsidRDefault="001B26CB">
            <w:pPr>
              <w:pStyle w:val="TableParagraph"/>
              <w:numPr>
                <w:ilvl w:val="0"/>
                <w:numId w:val="822"/>
              </w:numPr>
              <w:tabs>
                <w:tab w:val="left" w:pos="158"/>
              </w:tabs>
              <w:spacing w:line="166" w:lineRule="exact"/>
              <w:rPr>
                <w:sz w:val="14"/>
              </w:rPr>
            </w:pPr>
            <w:r>
              <w:rPr>
                <w:color w:val="231F20"/>
                <w:sz w:val="14"/>
              </w:rPr>
              <w:t>Стари и Нови завет (текстови по</w:t>
            </w:r>
            <w:r>
              <w:rPr>
                <w:color w:val="231F20"/>
                <w:spacing w:val="-13"/>
                <w:sz w:val="14"/>
              </w:rPr>
              <w:t xml:space="preserve"> </w:t>
            </w:r>
            <w:r>
              <w:rPr>
                <w:color w:val="231F20"/>
                <w:sz w:val="14"/>
              </w:rPr>
              <w:t>избору).</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7" w:right="37"/>
              <w:rPr>
                <w:sz w:val="14"/>
              </w:rPr>
            </w:pPr>
            <w:r>
              <w:rPr>
                <w:color w:val="231F20"/>
                <w:sz w:val="14"/>
              </w:rPr>
              <w:t>Средњовековна књижевност</w:t>
            </w:r>
          </w:p>
        </w:tc>
        <w:tc>
          <w:tcPr>
            <w:tcW w:w="1587" w:type="dxa"/>
          </w:tcPr>
          <w:p w:rsidR="00041039" w:rsidRDefault="001B26CB">
            <w:pPr>
              <w:pStyle w:val="TableParagraph"/>
              <w:numPr>
                <w:ilvl w:val="0"/>
                <w:numId w:val="821"/>
              </w:numPr>
              <w:tabs>
                <w:tab w:val="left" w:pos="157"/>
              </w:tabs>
              <w:spacing w:before="10"/>
              <w:ind w:right="52" w:hanging="99"/>
              <w:rPr>
                <w:sz w:val="14"/>
              </w:rPr>
            </w:pPr>
            <w:r>
              <w:rPr>
                <w:color w:val="231F20"/>
                <w:sz w:val="14"/>
              </w:rPr>
              <w:t>Упознавање са споме­ ницима јужнословен­ ске културе, развојем писма и језика,</w:t>
            </w:r>
            <w:r>
              <w:rPr>
                <w:color w:val="231F20"/>
                <w:spacing w:val="-10"/>
                <w:sz w:val="14"/>
              </w:rPr>
              <w:t xml:space="preserve"> </w:t>
            </w:r>
            <w:r>
              <w:rPr>
                <w:color w:val="231F20"/>
                <w:sz w:val="14"/>
              </w:rPr>
              <w:t>делима средњовековне књи­ жевности</w:t>
            </w:r>
          </w:p>
        </w:tc>
        <w:tc>
          <w:tcPr>
            <w:tcW w:w="2551" w:type="dxa"/>
          </w:tcPr>
          <w:p w:rsidR="00041039" w:rsidRDefault="001B26CB">
            <w:pPr>
              <w:pStyle w:val="TableParagraph"/>
              <w:numPr>
                <w:ilvl w:val="0"/>
                <w:numId w:val="820"/>
              </w:numPr>
              <w:tabs>
                <w:tab w:val="left" w:pos="157"/>
              </w:tabs>
              <w:spacing w:before="10"/>
              <w:ind w:right="128" w:hanging="99"/>
              <w:rPr>
                <w:sz w:val="14"/>
              </w:rPr>
            </w:pPr>
            <w:r>
              <w:rPr>
                <w:color w:val="231F20"/>
                <w:sz w:val="14"/>
              </w:rPr>
              <w:t>наведе најзначајније споменике јужнословенске културе, језик,</w:t>
            </w:r>
            <w:r>
              <w:rPr>
                <w:color w:val="231F20"/>
                <w:spacing w:val="-22"/>
                <w:sz w:val="14"/>
              </w:rPr>
              <w:t xml:space="preserve"> </w:t>
            </w:r>
            <w:r>
              <w:rPr>
                <w:color w:val="231F20"/>
                <w:sz w:val="14"/>
              </w:rPr>
              <w:t xml:space="preserve">писмо и век у </w:t>
            </w:r>
            <w:r>
              <w:rPr>
                <w:color w:val="231F20"/>
                <w:spacing w:val="-4"/>
                <w:sz w:val="14"/>
              </w:rPr>
              <w:t xml:space="preserve">ком </w:t>
            </w:r>
            <w:r>
              <w:rPr>
                <w:color w:val="231F20"/>
                <w:sz w:val="14"/>
              </w:rPr>
              <w:t>су</w:t>
            </w:r>
            <w:r>
              <w:rPr>
                <w:color w:val="231F20"/>
                <w:spacing w:val="1"/>
                <w:sz w:val="14"/>
              </w:rPr>
              <w:t xml:space="preserve"> </w:t>
            </w:r>
            <w:r>
              <w:rPr>
                <w:color w:val="231F20"/>
                <w:sz w:val="14"/>
              </w:rPr>
              <w:t>настали;</w:t>
            </w:r>
          </w:p>
          <w:p w:rsidR="00041039" w:rsidRDefault="001B26CB">
            <w:pPr>
              <w:pStyle w:val="TableParagraph"/>
              <w:numPr>
                <w:ilvl w:val="0"/>
                <w:numId w:val="820"/>
              </w:numPr>
              <w:tabs>
                <w:tab w:val="left" w:pos="157"/>
              </w:tabs>
              <w:spacing w:line="152" w:lineRule="exact"/>
              <w:ind w:hanging="99"/>
              <w:rPr>
                <w:sz w:val="14"/>
              </w:rPr>
            </w:pPr>
            <w:r>
              <w:rPr>
                <w:color w:val="231F20"/>
                <w:sz w:val="14"/>
              </w:rPr>
              <w:t>именује ауторе и</w:t>
            </w:r>
            <w:r>
              <w:rPr>
                <w:color w:val="231F20"/>
                <w:spacing w:val="-4"/>
                <w:sz w:val="14"/>
              </w:rPr>
              <w:t xml:space="preserve"> </w:t>
            </w:r>
            <w:r>
              <w:rPr>
                <w:color w:val="231F20"/>
                <w:sz w:val="14"/>
              </w:rPr>
              <w:t>дела;</w:t>
            </w:r>
          </w:p>
          <w:p w:rsidR="00041039" w:rsidRDefault="001B26CB">
            <w:pPr>
              <w:pStyle w:val="TableParagraph"/>
              <w:numPr>
                <w:ilvl w:val="0"/>
                <w:numId w:val="820"/>
              </w:numPr>
              <w:tabs>
                <w:tab w:val="left" w:pos="157"/>
              </w:tabs>
              <w:spacing w:line="237" w:lineRule="auto"/>
              <w:ind w:right="597" w:hanging="99"/>
              <w:rPr>
                <w:sz w:val="14"/>
              </w:rPr>
            </w:pPr>
            <w:r>
              <w:rPr>
                <w:color w:val="231F20"/>
                <w:sz w:val="14"/>
              </w:rPr>
              <w:t>разуме поетику жанрова средњовековне</w:t>
            </w:r>
            <w:r>
              <w:rPr>
                <w:color w:val="231F20"/>
                <w:spacing w:val="-9"/>
                <w:sz w:val="14"/>
              </w:rPr>
              <w:t xml:space="preserve"> </w:t>
            </w:r>
            <w:r>
              <w:rPr>
                <w:color w:val="231F20"/>
                <w:sz w:val="14"/>
              </w:rPr>
              <w:t>књижевности;</w:t>
            </w:r>
          </w:p>
          <w:p w:rsidR="00041039" w:rsidRDefault="001B26CB">
            <w:pPr>
              <w:pStyle w:val="TableParagraph"/>
              <w:numPr>
                <w:ilvl w:val="0"/>
                <w:numId w:val="820"/>
              </w:numPr>
              <w:tabs>
                <w:tab w:val="left" w:pos="157"/>
              </w:tabs>
              <w:spacing w:line="160" w:lineRule="exact"/>
              <w:ind w:right="48" w:hanging="99"/>
              <w:rPr>
                <w:sz w:val="14"/>
              </w:rPr>
            </w:pPr>
            <w:r>
              <w:rPr>
                <w:color w:val="231F20"/>
                <w:sz w:val="14"/>
              </w:rPr>
              <w:t>лоцира обрађене текстове у</w:t>
            </w:r>
            <w:r>
              <w:rPr>
                <w:color w:val="231F20"/>
                <w:spacing w:val="-16"/>
                <w:sz w:val="14"/>
              </w:rPr>
              <w:t xml:space="preserve"> </w:t>
            </w:r>
            <w:r>
              <w:rPr>
                <w:color w:val="231F20"/>
                <w:sz w:val="14"/>
              </w:rPr>
              <w:t>историјски контекст;</w:t>
            </w:r>
          </w:p>
          <w:p w:rsidR="00041039" w:rsidRDefault="001B26CB">
            <w:pPr>
              <w:pStyle w:val="TableParagraph"/>
              <w:numPr>
                <w:ilvl w:val="0"/>
                <w:numId w:val="820"/>
              </w:numPr>
              <w:tabs>
                <w:tab w:val="left" w:pos="157"/>
              </w:tabs>
              <w:spacing w:line="160" w:lineRule="exact"/>
              <w:ind w:right="435" w:hanging="99"/>
              <w:rPr>
                <w:sz w:val="14"/>
              </w:rPr>
            </w:pPr>
            <w:r>
              <w:rPr>
                <w:color w:val="231F20"/>
                <w:sz w:val="14"/>
              </w:rPr>
              <w:t>објасни значај средњовековне књижевности за српску</w:t>
            </w:r>
            <w:r>
              <w:rPr>
                <w:color w:val="231F20"/>
                <w:spacing w:val="-19"/>
                <w:sz w:val="14"/>
              </w:rPr>
              <w:t xml:space="preserve"> </w:t>
            </w:r>
            <w:r>
              <w:rPr>
                <w:color w:val="231F20"/>
                <w:sz w:val="14"/>
              </w:rPr>
              <w:t>културу;</w:t>
            </w:r>
          </w:p>
          <w:p w:rsidR="00041039" w:rsidRDefault="001B26CB">
            <w:pPr>
              <w:pStyle w:val="TableParagraph"/>
              <w:numPr>
                <w:ilvl w:val="0"/>
                <w:numId w:val="820"/>
              </w:numPr>
              <w:tabs>
                <w:tab w:val="left" w:pos="157"/>
              </w:tabs>
              <w:spacing w:line="160" w:lineRule="exact"/>
              <w:ind w:right="91" w:hanging="99"/>
              <w:rPr>
                <w:sz w:val="14"/>
              </w:rPr>
            </w:pPr>
            <w:r>
              <w:rPr>
                <w:color w:val="231F20"/>
                <w:sz w:val="14"/>
              </w:rPr>
              <w:t xml:space="preserve">анализира изабране текстове уз прет­ </w:t>
            </w:r>
            <w:r>
              <w:rPr>
                <w:color w:val="231F20"/>
                <w:spacing w:val="-3"/>
                <w:sz w:val="14"/>
              </w:rPr>
              <w:t xml:space="preserve">ходно </w:t>
            </w:r>
            <w:r>
              <w:rPr>
                <w:color w:val="231F20"/>
                <w:sz w:val="14"/>
              </w:rPr>
              <w:t>припремање путем истраживач­ ких</w:t>
            </w:r>
            <w:r>
              <w:rPr>
                <w:color w:val="231F20"/>
                <w:spacing w:val="-1"/>
                <w:sz w:val="14"/>
              </w:rPr>
              <w:t xml:space="preserve"> </w:t>
            </w:r>
            <w:r>
              <w:rPr>
                <w:color w:val="231F20"/>
                <w:sz w:val="14"/>
              </w:rPr>
              <w:t>задатака;</w:t>
            </w:r>
          </w:p>
        </w:tc>
        <w:tc>
          <w:tcPr>
            <w:tcW w:w="2834" w:type="dxa"/>
          </w:tcPr>
          <w:p w:rsidR="00041039" w:rsidRDefault="001B26CB">
            <w:pPr>
              <w:pStyle w:val="TableParagraph"/>
              <w:numPr>
                <w:ilvl w:val="0"/>
                <w:numId w:val="819"/>
              </w:numPr>
              <w:tabs>
                <w:tab w:val="left" w:pos="158"/>
              </w:tabs>
              <w:spacing w:before="10"/>
              <w:ind w:right="115"/>
              <w:rPr>
                <w:sz w:val="14"/>
              </w:rPr>
            </w:pPr>
            <w:r>
              <w:rPr>
                <w:color w:val="231F20"/>
                <w:sz w:val="14"/>
              </w:rPr>
              <w:t>Почеци словенске писмености:</w:t>
            </w:r>
            <w:r>
              <w:rPr>
                <w:color w:val="231F20"/>
                <w:spacing w:val="-19"/>
                <w:sz w:val="14"/>
              </w:rPr>
              <w:t xml:space="preserve"> </w:t>
            </w:r>
            <w:r>
              <w:rPr>
                <w:color w:val="231F20"/>
                <w:sz w:val="14"/>
              </w:rPr>
              <w:t>Црноризац Храбар: „Слово о</w:t>
            </w:r>
            <w:r>
              <w:rPr>
                <w:color w:val="231F20"/>
                <w:spacing w:val="-3"/>
                <w:sz w:val="14"/>
              </w:rPr>
              <w:t xml:space="preserve"> </w:t>
            </w:r>
            <w:r>
              <w:rPr>
                <w:color w:val="231F20"/>
                <w:sz w:val="14"/>
              </w:rPr>
              <w:t>писменима”.</w:t>
            </w:r>
          </w:p>
          <w:p w:rsidR="00041039" w:rsidRDefault="001B26CB">
            <w:pPr>
              <w:pStyle w:val="TableParagraph"/>
              <w:numPr>
                <w:ilvl w:val="0"/>
                <w:numId w:val="819"/>
              </w:numPr>
              <w:tabs>
                <w:tab w:val="left" w:pos="158"/>
              </w:tabs>
              <w:spacing w:line="153" w:lineRule="exact"/>
              <w:rPr>
                <w:sz w:val="14"/>
              </w:rPr>
            </w:pPr>
            <w:r>
              <w:rPr>
                <w:color w:val="231F20"/>
                <w:sz w:val="14"/>
              </w:rPr>
              <w:t>Рад Ћирила и</w:t>
            </w:r>
            <w:r>
              <w:rPr>
                <w:color w:val="231F20"/>
                <w:spacing w:val="-5"/>
                <w:sz w:val="14"/>
              </w:rPr>
              <w:t xml:space="preserve"> </w:t>
            </w:r>
            <w:r>
              <w:rPr>
                <w:color w:val="231F20"/>
                <w:sz w:val="14"/>
              </w:rPr>
              <w:t>Методија.</w:t>
            </w:r>
          </w:p>
          <w:p w:rsidR="00041039" w:rsidRDefault="001B26CB">
            <w:pPr>
              <w:pStyle w:val="TableParagraph"/>
              <w:numPr>
                <w:ilvl w:val="0"/>
                <w:numId w:val="819"/>
              </w:numPr>
              <w:tabs>
                <w:tab w:val="left" w:pos="158"/>
              </w:tabs>
              <w:spacing w:line="237" w:lineRule="auto"/>
              <w:ind w:right="430"/>
              <w:rPr>
                <w:sz w:val="14"/>
              </w:rPr>
            </w:pPr>
            <w:r>
              <w:rPr>
                <w:color w:val="231F20"/>
                <w:sz w:val="14"/>
              </w:rPr>
              <w:t>Словенска писма и развој</w:t>
            </w:r>
            <w:r>
              <w:rPr>
                <w:color w:val="231F20"/>
                <w:spacing w:val="-12"/>
                <w:sz w:val="14"/>
              </w:rPr>
              <w:t xml:space="preserve"> </w:t>
            </w:r>
            <w:r>
              <w:rPr>
                <w:color w:val="231F20"/>
                <w:sz w:val="14"/>
              </w:rPr>
              <w:t>књижевног језика.</w:t>
            </w:r>
          </w:p>
          <w:p w:rsidR="00041039" w:rsidRDefault="001B26CB">
            <w:pPr>
              <w:pStyle w:val="TableParagraph"/>
              <w:numPr>
                <w:ilvl w:val="0"/>
                <w:numId w:val="819"/>
              </w:numPr>
              <w:tabs>
                <w:tab w:val="left" w:pos="158"/>
              </w:tabs>
              <w:spacing w:line="160" w:lineRule="exact"/>
              <w:ind w:right="345"/>
              <w:rPr>
                <w:sz w:val="14"/>
              </w:rPr>
            </w:pPr>
            <w:r>
              <w:rPr>
                <w:color w:val="231F20"/>
                <w:sz w:val="14"/>
              </w:rPr>
              <w:t>Најстарији споменици</w:t>
            </w:r>
            <w:r>
              <w:rPr>
                <w:color w:val="231F20"/>
                <w:spacing w:val="-9"/>
                <w:sz w:val="14"/>
              </w:rPr>
              <w:t xml:space="preserve"> </w:t>
            </w:r>
            <w:r>
              <w:rPr>
                <w:color w:val="231F20"/>
                <w:sz w:val="14"/>
              </w:rPr>
              <w:t>јужнословенске културе.</w:t>
            </w:r>
          </w:p>
          <w:p w:rsidR="00041039" w:rsidRDefault="001B26CB">
            <w:pPr>
              <w:pStyle w:val="TableParagraph"/>
              <w:numPr>
                <w:ilvl w:val="0"/>
                <w:numId w:val="819"/>
              </w:numPr>
              <w:tabs>
                <w:tab w:val="left" w:pos="158"/>
              </w:tabs>
              <w:spacing w:line="160" w:lineRule="exact"/>
              <w:ind w:right="351"/>
              <w:rPr>
                <w:sz w:val="14"/>
              </w:rPr>
            </w:pPr>
            <w:r>
              <w:rPr>
                <w:color w:val="231F20"/>
                <w:sz w:val="14"/>
              </w:rPr>
              <w:t>Свети Сава: „Житије Светог</w:t>
            </w:r>
            <w:r>
              <w:rPr>
                <w:color w:val="231F20"/>
                <w:spacing w:val="-6"/>
                <w:sz w:val="14"/>
              </w:rPr>
              <w:t xml:space="preserve"> </w:t>
            </w:r>
            <w:r>
              <w:rPr>
                <w:color w:val="231F20"/>
                <w:sz w:val="14"/>
              </w:rPr>
              <w:t>Симеона” (одломак).</w:t>
            </w:r>
          </w:p>
          <w:p w:rsidR="00041039" w:rsidRDefault="001B26CB">
            <w:pPr>
              <w:pStyle w:val="TableParagraph"/>
              <w:numPr>
                <w:ilvl w:val="0"/>
                <w:numId w:val="819"/>
              </w:numPr>
              <w:tabs>
                <w:tab w:val="left" w:pos="158"/>
              </w:tabs>
              <w:spacing w:line="153" w:lineRule="exact"/>
              <w:rPr>
                <w:sz w:val="14"/>
              </w:rPr>
            </w:pPr>
            <w:r>
              <w:rPr>
                <w:color w:val="231F20"/>
                <w:sz w:val="14"/>
              </w:rPr>
              <w:t>Јефимија: „Похвала кнезу</w:t>
            </w:r>
            <w:r>
              <w:rPr>
                <w:color w:val="231F20"/>
                <w:spacing w:val="-4"/>
                <w:sz w:val="14"/>
              </w:rPr>
              <w:t xml:space="preserve"> </w:t>
            </w:r>
            <w:r>
              <w:rPr>
                <w:color w:val="231F20"/>
                <w:sz w:val="14"/>
              </w:rPr>
              <w:t>Лазар</w:t>
            </w:r>
            <w:r>
              <w:rPr>
                <w:color w:val="231F20"/>
                <w:sz w:val="14"/>
              </w:rPr>
              <w:t>у”.</w:t>
            </w:r>
          </w:p>
          <w:p w:rsidR="00041039" w:rsidRDefault="001B26CB">
            <w:pPr>
              <w:pStyle w:val="TableParagraph"/>
              <w:numPr>
                <w:ilvl w:val="0"/>
                <w:numId w:val="819"/>
              </w:numPr>
              <w:tabs>
                <w:tab w:val="left" w:pos="158"/>
              </w:tabs>
              <w:spacing w:line="166" w:lineRule="exact"/>
              <w:rPr>
                <w:sz w:val="14"/>
              </w:rPr>
            </w:pPr>
            <w:r>
              <w:rPr>
                <w:color w:val="231F20"/>
                <w:sz w:val="14"/>
              </w:rPr>
              <w:t>Деспот Стефан Лазаревић: „Слово</w:t>
            </w:r>
            <w:r>
              <w:rPr>
                <w:color w:val="231F20"/>
                <w:spacing w:val="-9"/>
                <w:sz w:val="14"/>
              </w:rPr>
              <w:t xml:space="preserve"> </w:t>
            </w:r>
            <w:r>
              <w:rPr>
                <w:color w:val="231F20"/>
                <w:sz w:val="14"/>
              </w:rPr>
              <w:t>љубве”.</w:t>
            </w:r>
          </w:p>
        </w:tc>
        <w:tc>
          <w:tcPr>
            <w:tcW w:w="2267" w:type="dxa"/>
            <w:vMerge/>
            <w:tcBorders>
              <w:top w:val="nil"/>
            </w:tcBorders>
          </w:tcPr>
          <w:p w:rsidR="00041039" w:rsidRDefault="00041039">
            <w:pPr>
              <w:rPr>
                <w:sz w:val="2"/>
                <w:szCs w:val="2"/>
              </w:rPr>
            </w:pPr>
          </w:p>
        </w:tc>
      </w:tr>
      <w:tr w:rsidR="00041039">
        <w:trPr>
          <w:trHeight w:val="3249"/>
        </w:trPr>
        <w:tc>
          <w:tcPr>
            <w:tcW w:w="1304" w:type="dxa"/>
          </w:tcPr>
          <w:p w:rsidR="00041039" w:rsidRDefault="001B26CB">
            <w:pPr>
              <w:pStyle w:val="TableParagraph"/>
              <w:spacing w:before="21"/>
              <w:ind w:left="57" w:right="37"/>
              <w:rPr>
                <w:sz w:val="14"/>
              </w:rPr>
            </w:pPr>
            <w:r>
              <w:rPr>
                <w:color w:val="231F20"/>
                <w:sz w:val="14"/>
              </w:rPr>
              <w:t>Народна књижев­ ност</w:t>
            </w:r>
          </w:p>
        </w:tc>
        <w:tc>
          <w:tcPr>
            <w:tcW w:w="1587" w:type="dxa"/>
          </w:tcPr>
          <w:p w:rsidR="00041039" w:rsidRDefault="001B26CB">
            <w:pPr>
              <w:pStyle w:val="TableParagraph"/>
              <w:numPr>
                <w:ilvl w:val="0"/>
                <w:numId w:val="818"/>
              </w:numPr>
              <w:tabs>
                <w:tab w:val="left" w:pos="157"/>
              </w:tabs>
              <w:spacing w:before="11"/>
              <w:ind w:right="52" w:hanging="99"/>
              <w:rPr>
                <w:sz w:val="14"/>
              </w:rPr>
            </w:pPr>
            <w:r>
              <w:rPr>
                <w:color w:val="231F20"/>
                <w:sz w:val="14"/>
              </w:rPr>
              <w:t>Указивање на народну књижевност као израз колективног</w:t>
            </w:r>
            <w:r>
              <w:rPr>
                <w:color w:val="231F20"/>
                <w:spacing w:val="-15"/>
                <w:sz w:val="14"/>
              </w:rPr>
              <w:t xml:space="preserve"> </w:t>
            </w:r>
            <w:r>
              <w:rPr>
                <w:color w:val="231F20"/>
                <w:sz w:val="14"/>
              </w:rPr>
              <w:t xml:space="preserve">мишљења и осећања, ризницу народних обичаја, </w:t>
            </w:r>
            <w:r>
              <w:rPr>
                <w:color w:val="231F20"/>
                <w:spacing w:val="-3"/>
                <w:sz w:val="14"/>
              </w:rPr>
              <w:t xml:space="preserve">кодекс </w:t>
            </w:r>
            <w:r>
              <w:rPr>
                <w:color w:val="231F20"/>
                <w:sz w:val="14"/>
              </w:rPr>
              <w:t>етичких норми.</w:t>
            </w:r>
          </w:p>
        </w:tc>
        <w:tc>
          <w:tcPr>
            <w:tcW w:w="2551" w:type="dxa"/>
          </w:tcPr>
          <w:p w:rsidR="00041039" w:rsidRDefault="001B26CB">
            <w:pPr>
              <w:pStyle w:val="TableParagraph"/>
              <w:numPr>
                <w:ilvl w:val="0"/>
                <w:numId w:val="817"/>
              </w:numPr>
              <w:tabs>
                <w:tab w:val="left" w:pos="158"/>
              </w:tabs>
              <w:spacing w:before="11"/>
              <w:ind w:right="343"/>
              <w:rPr>
                <w:sz w:val="14"/>
              </w:rPr>
            </w:pPr>
            <w:r>
              <w:rPr>
                <w:color w:val="231F20"/>
                <w:sz w:val="14"/>
              </w:rPr>
              <w:t xml:space="preserve">разликује лирске, епске и </w:t>
            </w:r>
            <w:r>
              <w:rPr>
                <w:color w:val="231F20"/>
                <w:spacing w:val="-2"/>
                <w:sz w:val="14"/>
              </w:rPr>
              <w:t>лирско</w:t>
            </w:r>
            <w:r>
              <w:rPr>
                <w:color w:val="231F20"/>
                <w:spacing w:val="-14"/>
                <w:sz w:val="14"/>
              </w:rPr>
              <w:t xml:space="preserve"> </w:t>
            </w:r>
            <w:r>
              <w:rPr>
                <w:color w:val="231F20"/>
                <w:sz w:val="14"/>
              </w:rPr>
              <w:t>­ епске</w:t>
            </w:r>
            <w:r>
              <w:rPr>
                <w:color w:val="231F20"/>
                <w:spacing w:val="-1"/>
                <w:sz w:val="14"/>
              </w:rPr>
              <w:t xml:space="preserve"> </w:t>
            </w:r>
            <w:r>
              <w:rPr>
                <w:color w:val="231F20"/>
                <w:sz w:val="14"/>
              </w:rPr>
              <w:t>песме;</w:t>
            </w:r>
          </w:p>
          <w:p w:rsidR="00041039" w:rsidRDefault="001B26CB">
            <w:pPr>
              <w:pStyle w:val="TableParagraph"/>
              <w:numPr>
                <w:ilvl w:val="0"/>
                <w:numId w:val="817"/>
              </w:numPr>
              <w:tabs>
                <w:tab w:val="left" w:pos="158"/>
              </w:tabs>
              <w:spacing w:line="160" w:lineRule="exact"/>
              <w:ind w:right="200"/>
              <w:jc w:val="both"/>
              <w:rPr>
                <w:sz w:val="14"/>
              </w:rPr>
            </w:pPr>
            <w:r>
              <w:rPr>
                <w:color w:val="231F20"/>
                <w:sz w:val="14"/>
              </w:rPr>
              <w:t>уочи одлике усмене уметности речи (колективност,</w:t>
            </w:r>
            <w:r>
              <w:rPr>
                <w:color w:val="231F20"/>
                <w:spacing w:val="-16"/>
                <w:sz w:val="14"/>
              </w:rPr>
              <w:t xml:space="preserve"> </w:t>
            </w:r>
            <w:r>
              <w:rPr>
                <w:color w:val="231F20"/>
                <w:sz w:val="14"/>
              </w:rPr>
              <w:t>варијантност,</w:t>
            </w:r>
            <w:r>
              <w:rPr>
                <w:color w:val="231F20"/>
                <w:spacing w:val="-16"/>
                <w:sz w:val="14"/>
              </w:rPr>
              <w:t xml:space="preserve"> </w:t>
            </w:r>
            <w:r>
              <w:rPr>
                <w:color w:val="231F20"/>
                <w:sz w:val="14"/>
              </w:rPr>
              <w:t>форму­ лативност);</w:t>
            </w:r>
          </w:p>
          <w:p w:rsidR="00041039" w:rsidRDefault="001B26CB">
            <w:pPr>
              <w:pStyle w:val="TableParagraph"/>
              <w:numPr>
                <w:ilvl w:val="0"/>
                <w:numId w:val="817"/>
              </w:numPr>
              <w:tabs>
                <w:tab w:val="left" w:pos="158"/>
              </w:tabs>
              <w:spacing w:line="160" w:lineRule="exact"/>
              <w:ind w:right="147"/>
              <w:jc w:val="both"/>
              <w:rPr>
                <w:sz w:val="14"/>
              </w:rPr>
            </w:pPr>
            <w:r>
              <w:rPr>
                <w:color w:val="231F20"/>
                <w:sz w:val="14"/>
              </w:rPr>
              <w:t>процењује етичке вредности изнете</w:t>
            </w:r>
            <w:r>
              <w:rPr>
                <w:color w:val="231F20"/>
                <w:spacing w:val="-18"/>
                <w:sz w:val="14"/>
              </w:rPr>
              <w:t xml:space="preserve"> </w:t>
            </w:r>
            <w:r>
              <w:rPr>
                <w:color w:val="231F20"/>
                <w:sz w:val="14"/>
              </w:rPr>
              <w:t>у делима народне</w:t>
            </w:r>
            <w:r>
              <w:rPr>
                <w:color w:val="231F20"/>
                <w:spacing w:val="-2"/>
                <w:sz w:val="14"/>
              </w:rPr>
              <w:t xml:space="preserve"> </w:t>
            </w:r>
            <w:r>
              <w:rPr>
                <w:color w:val="231F20"/>
                <w:sz w:val="14"/>
              </w:rPr>
              <w:t>књижевности;</w:t>
            </w:r>
          </w:p>
          <w:p w:rsidR="00041039" w:rsidRDefault="001B26CB">
            <w:pPr>
              <w:pStyle w:val="TableParagraph"/>
              <w:numPr>
                <w:ilvl w:val="0"/>
                <w:numId w:val="817"/>
              </w:numPr>
              <w:tabs>
                <w:tab w:val="left" w:pos="158"/>
              </w:tabs>
              <w:spacing w:line="160" w:lineRule="exact"/>
              <w:ind w:right="122"/>
              <w:jc w:val="both"/>
              <w:rPr>
                <w:sz w:val="14"/>
              </w:rPr>
            </w:pPr>
            <w:r>
              <w:rPr>
                <w:color w:val="231F20"/>
                <w:sz w:val="14"/>
              </w:rPr>
              <w:t xml:space="preserve">тумачи ликове, битне мотиве, </w:t>
            </w:r>
            <w:r>
              <w:rPr>
                <w:color w:val="231F20"/>
                <w:spacing w:val="-5"/>
                <w:sz w:val="14"/>
              </w:rPr>
              <w:t xml:space="preserve">фабулу, </w:t>
            </w:r>
            <w:r>
              <w:rPr>
                <w:color w:val="231F20"/>
                <w:sz w:val="14"/>
              </w:rPr>
              <w:t>сиже,</w:t>
            </w:r>
            <w:r>
              <w:rPr>
                <w:color w:val="231F20"/>
                <w:spacing w:val="-6"/>
                <w:sz w:val="14"/>
              </w:rPr>
              <w:t xml:space="preserve"> </w:t>
            </w:r>
            <w:r>
              <w:rPr>
                <w:color w:val="231F20"/>
                <w:sz w:val="14"/>
              </w:rPr>
              <w:t>композицију</w:t>
            </w:r>
            <w:r>
              <w:rPr>
                <w:color w:val="231F20"/>
                <w:spacing w:val="-6"/>
                <w:sz w:val="14"/>
              </w:rPr>
              <w:t xml:space="preserve"> </w:t>
            </w:r>
            <w:r>
              <w:rPr>
                <w:color w:val="231F20"/>
                <w:sz w:val="14"/>
              </w:rPr>
              <w:t>и</w:t>
            </w:r>
            <w:r>
              <w:rPr>
                <w:color w:val="231F20"/>
                <w:spacing w:val="-6"/>
                <w:sz w:val="14"/>
              </w:rPr>
              <w:t xml:space="preserve"> </w:t>
            </w:r>
            <w:r>
              <w:rPr>
                <w:color w:val="231F20"/>
                <w:sz w:val="14"/>
              </w:rPr>
              <w:t>поруке</w:t>
            </w:r>
            <w:r>
              <w:rPr>
                <w:color w:val="231F20"/>
                <w:spacing w:val="-6"/>
                <w:sz w:val="14"/>
              </w:rPr>
              <w:t xml:space="preserve"> </w:t>
            </w:r>
            <w:r>
              <w:rPr>
                <w:color w:val="231F20"/>
                <w:sz w:val="14"/>
              </w:rPr>
              <w:t>у</w:t>
            </w:r>
            <w:r>
              <w:rPr>
                <w:color w:val="231F20"/>
                <w:spacing w:val="-6"/>
                <w:sz w:val="14"/>
              </w:rPr>
              <w:t xml:space="preserve"> </w:t>
            </w:r>
            <w:r>
              <w:rPr>
                <w:color w:val="231F20"/>
                <w:sz w:val="14"/>
              </w:rPr>
              <w:t>одабра­ ним</w:t>
            </w:r>
            <w:r>
              <w:rPr>
                <w:color w:val="231F20"/>
                <w:spacing w:val="-2"/>
                <w:sz w:val="14"/>
              </w:rPr>
              <w:t xml:space="preserve"> </w:t>
            </w:r>
            <w:r>
              <w:rPr>
                <w:color w:val="231F20"/>
                <w:sz w:val="14"/>
              </w:rPr>
              <w:t>делима;</w:t>
            </w:r>
          </w:p>
          <w:p w:rsidR="00041039" w:rsidRDefault="001B26CB">
            <w:pPr>
              <w:pStyle w:val="TableParagraph"/>
              <w:numPr>
                <w:ilvl w:val="0"/>
                <w:numId w:val="817"/>
              </w:numPr>
              <w:tabs>
                <w:tab w:val="left" w:pos="158"/>
              </w:tabs>
              <w:spacing w:line="160" w:lineRule="exact"/>
              <w:ind w:right="249"/>
              <w:jc w:val="both"/>
              <w:rPr>
                <w:sz w:val="14"/>
              </w:rPr>
            </w:pPr>
            <w:r>
              <w:rPr>
                <w:color w:val="231F20"/>
                <w:sz w:val="14"/>
              </w:rPr>
              <w:t>упореди уметничку</w:t>
            </w:r>
            <w:r>
              <w:rPr>
                <w:color w:val="231F20"/>
                <w:spacing w:val="-12"/>
                <w:sz w:val="14"/>
              </w:rPr>
              <w:t xml:space="preserve"> </w:t>
            </w:r>
            <w:r>
              <w:rPr>
                <w:color w:val="231F20"/>
                <w:sz w:val="14"/>
              </w:rPr>
              <w:t>интерпретацију стварности и историјске</w:t>
            </w:r>
            <w:r>
              <w:rPr>
                <w:color w:val="231F20"/>
                <w:spacing w:val="-7"/>
                <w:sz w:val="14"/>
              </w:rPr>
              <w:t xml:space="preserve"> </w:t>
            </w:r>
            <w:r>
              <w:rPr>
                <w:color w:val="231F20"/>
                <w:sz w:val="14"/>
              </w:rPr>
              <w:t>чињенице;</w:t>
            </w:r>
          </w:p>
        </w:tc>
        <w:tc>
          <w:tcPr>
            <w:tcW w:w="2834" w:type="dxa"/>
          </w:tcPr>
          <w:p w:rsidR="00041039" w:rsidRDefault="001B26CB">
            <w:pPr>
              <w:pStyle w:val="TableParagraph"/>
              <w:numPr>
                <w:ilvl w:val="0"/>
                <w:numId w:val="816"/>
              </w:numPr>
              <w:tabs>
                <w:tab w:val="left" w:pos="158"/>
              </w:tabs>
              <w:spacing w:before="11" w:line="166" w:lineRule="exact"/>
              <w:rPr>
                <w:sz w:val="14"/>
              </w:rPr>
            </w:pPr>
            <w:r>
              <w:rPr>
                <w:color w:val="231F20"/>
                <w:sz w:val="14"/>
              </w:rPr>
              <w:t>Врсте народне</w:t>
            </w:r>
            <w:r>
              <w:rPr>
                <w:color w:val="231F20"/>
                <w:spacing w:val="-1"/>
                <w:sz w:val="14"/>
              </w:rPr>
              <w:t xml:space="preserve"> </w:t>
            </w:r>
            <w:r>
              <w:rPr>
                <w:color w:val="231F20"/>
                <w:sz w:val="14"/>
              </w:rPr>
              <w:t>књижевности.</w:t>
            </w:r>
          </w:p>
          <w:p w:rsidR="00041039" w:rsidRDefault="001B26CB">
            <w:pPr>
              <w:pStyle w:val="TableParagraph"/>
              <w:numPr>
                <w:ilvl w:val="0"/>
                <w:numId w:val="816"/>
              </w:numPr>
              <w:tabs>
                <w:tab w:val="left" w:pos="158"/>
              </w:tabs>
              <w:spacing w:line="165" w:lineRule="exact"/>
              <w:rPr>
                <w:sz w:val="14"/>
              </w:rPr>
            </w:pPr>
            <w:r>
              <w:rPr>
                <w:color w:val="231F20"/>
                <w:sz w:val="14"/>
              </w:rPr>
              <w:t>Лирска народна песма „Овчар и</w:t>
            </w:r>
            <w:r>
              <w:rPr>
                <w:color w:val="231F20"/>
                <w:spacing w:val="-12"/>
                <w:sz w:val="14"/>
              </w:rPr>
              <w:t xml:space="preserve"> </w:t>
            </w:r>
            <w:r>
              <w:rPr>
                <w:color w:val="231F20"/>
                <w:sz w:val="14"/>
              </w:rPr>
              <w:t>девојка”,</w:t>
            </w:r>
          </w:p>
          <w:p w:rsidR="00041039" w:rsidRDefault="001B26CB">
            <w:pPr>
              <w:pStyle w:val="TableParagraph"/>
              <w:spacing w:line="155" w:lineRule="exact"/>
              <w:ind w:left="157"/>
              <w:rPr>
                <w:sz w:val="14"/>
              </w:rPr>
            </w:pPr>
            <w:r>
              <w:rPr>
                <w:color w:val="231F20"/>
                <w:sz w:val="14"/>
              </w:rPr>
              <w:t>„Зао господар” (предлог).</w:t>
            </w:r>
          </w:p>
          <w:p w:rsidR="00041039" w:rsidRDefault="001B26CB">
            <w:pPr>
              <w:pStyle w:val="TableParagraph"/>
              <w:numPr>
                <w:ilvl w:val="0"/>
                <w:numId w:val="816"/>
              </w:numPr>
              <w:tabs>
                <w:tab w:val="left" w:pos="158"/>
              </w:tabs>
              <w:spacing w:line="237" w:lineRule="auto"/>
              <w:ind w:right="87"/>
              <w:rPr>
                <w:sz w:val="14"/>
              </w:rPr>
            </w:pPr>
            <w:r>
              <w:rPr>
                <w:color w:val="231F20"/>
                <w:sz w:val="14"/>
              </w:rPr>
              <w:t>Епска народна песма „Бановић</w:t>
            </w:r>
            <w:r>
              <w:rPr>
                <w:color w:val="231F20"/>
                <w:spacing w:val="-11"/>
                <w:sz w:val="14"/>
              </w:rPr>
              <w:t xml:space="preserve"> </w:t>
            </w:r>
            <w:r>
              <w:rPr>
                <w:color w:val="231F20"/>
                <w:sz w:val="14"/>
              </w:rPr>
              <w:t xml:space="preserve">Страхиња”, </w:t>
            </w:r>
            <w:r>
              <w:rPr>
                <w:color w:val="231F20"/>
                <w:spacing w:val="-3"/>
                <w:sz w:val="14"/>
              </w:rPr>
              <w:t xml:space="preserve">Марко </w:t>
            </w:r>
            <w:r>
              <w:rPr>
                <w:color w:val="231F20"/>
                <w:sz w:val="14"/>
              </w:rPr>
              <w:t>пије уз Рамазан вино”, „Бој на Мишару”.</w:t>
            </w:r>
          </w:p>
          <w:p w:rsidR="00041039" w:rsidRDefault="001B26CB">
            <w:pPr>
              <w:pStyle w:val="TableParagraph"/>
              <w:numPr>
                <w:ilvl w:val="0"/>
                <w:numId w:val="816"/>
              </w:numPr>
              <w:tabs>
                <w:tab w:val="left" w:pos="158"/>
              </w:tabs>
              <w:spacing w:line="156" w:lineRule="exact"/>
              <w:rPr>
                <w:sz w:val="14"/>
              </w:rPr>
            </w:pPr>
            <w:r>
              <w:rPr>
                <w:color w:val="231F20"/>
                <w:spacing w:val="-2"/>
                <w:sz w:val="14"/>
              </w:rPr>
              <w:t xml:space="preserve">Лирско </w:t>
            </w:r>
            <w:r>
              <w:rPr>
                <w:color w:val="231F20"/>
                <w:sz w:val="14"/>
              </w:rPr>
              <w:t>­ епске песме (по</w:t>
            </w:r>
            <w:r>
              <w:rPr>
                <w:color w:val="231F20"/>
                <w:spacing w:val="-1"/>
                <w:sz w:val="14"/>
              </w:rPr>
              <w:t xml:space="preserve"> </w:t>
            </w:r>
            <w:r>
              <w:rPr>
                <w:color w:val="231F20"/>
                <w:sz w:val="14"/>
              </w:rPr>
              <w:t>избору).</w:t>
            </w:r>
          </w:p>
          <w:p w:rsidR="00041039" w:rsidRDefault="001B26CB">
            <w:pPr>
              <w:pStyle w:val="TableParagraph"/>
              <w:numPr>
                <w:ilvl w:val="0"/>
                <w:numId w:val="816"/>
              </w:numPr>
              <w:tabs>
                <w:tab w:val="left" w:pos="158"/>
              </w:tabs>
              <w:spacing w:line="160" w:lineRule="exact"/>
              <w:rPr>
                <w:sz w:val="14"/>
              </w:rPr>
            </w:pPr>
            <w:r>
              <w:rPr>
                <w:color w:val="231F20"/>
                <w:sz w:val="14"/>
              </w:rPr>
              <w:t>Народне проза (бајка по</w:t>
            </w:r>
            <w:r>
              <w:rPr>
                <w:color w:val="231F20"/>
                <w:spacing w:val="-6"/>
                <w:sz w:val="14"/>
              </w:rPr>
              <w:t xml:space="preserve"> </w:t>
            </w:r>
            <w:r>
              <w:rPr>
                <w:color w:val="231F20"/>
                <w:sz w:val="14"/>
              </w:rPr>
              <w:t>избору).</w:t>
            </w:r>
          </w:p>
          <w:p w:rsidR="00041039" w:rsidRDefault="001B26CB">
            <w:pPr>
              <w:pStyle w:val="TableParagraph"/>
              <w:numPr>
                <w:ilvl w:val="0"/>
                <w:numId w:val="816"/>
              </w:numPr>
              <w:tabs>
                <w:tab w:val="left" w:pos="158"/>
              </w:tabs>
              <w:spacing w:line="166" w:lineRule="exact"/>
              <w:rPr>
                <w:sz w:val="14"/>
              </w:rPr>
            </w:pPr>
            <w:r>
              <w:rPr>
                <w:color w:val="231F20"/>
                <w:sz w:val="14"/>
              </w:rPr>
              <w:t>Кратке народне прозне врсте</w:t>
            </w:r>
            <w:r>
              <w:rPr>
                <w:color w:val="231F20"/>
                <w:spacing w:val="-8"/>
                <w:sz w:val="14"/>
              </w:rPr>
              <w:t xml:space="preserve"> </w:t>
            </w:r>
            <w:r>
              <w:rPr>
                <w:color w:val="231F20"/>
                <w:sz w:val="14"/>
              </w:rPr>
              <w:t>(избор).</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1B26CB">
            <w:pPr>
              <w:pStyle w:val="TableParagraph"/>
              <w:spacing w:before="18"/>
              <w:ind w:left="56" w:right="37"/>
              <w:rPr>
                <w:sz w:val="14"/>
              </w:rPr>
            </w:pPr>
            <w:r>
              <w:rPr>
                <w:color w:val="231F20"/>
                <w:sz w:val="14"/>
              </w:rPr>
              <w:lastRenderedPageBreak/>
              <w:t>Хуманизам и ренесанса</w:t>
            </w:r>
          </w:p>
        </w:tc>
        <w:tc>
          <w:tcPr>
            <w:tcW w:w="1587" w:type="dxa"/>
          </w:tcPr>
          <w:p w:rsidR="00041039" w:rsidRDefault="001B26CB">
            <w:pPr>
              <w:pStyle w:val="TableParagraph"/>
              <w:numPr>
                <w:ilvl w:val="0"/>
                <w:numId w:val="815"/>
              </w:numPr>
              <w:tabs>
                <w:tab w:val="left" w:pos="157"/>
              </w:tabs>
              <w:spacing w:before="8"/>
              <w:ind w:right="101"/>
              <w:rPr>
                <w:sz w:val="14"/>
              </w:rPr>
            </w:pPr>
            <w:r>
              <w:rPr>
                <w:color w:val="231F20"/>
                <w:sz w:val="14"/>
              </w:rPr>
              <w:t>Упознавање са поетиком хуманизма и ренесансе, њеним најзначајним</w:t>
            </w:r>
            <w:r>
              <w:rPr>
                <w:color w:val="231F20"/>
                <w:spacing w:val="-11"/>
                <w:sz w:val="14"/>
              </w:rPr>
              <w:t xml:space="preserve"> </w:t>
            </w:r>
            <w:r>
              <w:rPr>
                <w:color w:val="231F20"/>
                <w:sz w:val="14"/>
              </w:rPr>
              <w:t>предста­</w:t>
            </w:r>
          </w:p>
          <w:p w:rsidR="00041039" w:rsidRDefault="001B26CB">
            <w:pPr>
              <w:pStyle w:val="TableParagraph"/>
              <w:spacing w:line="237" w:lineRule="auto"/>
              <w:ind w:right="15"/>
              <w:rPr>
                <w:sz w:val="14"/>
              </w:rPr>
            </w:pPr>
            <w:r>
              <w:rPr>
                <w:color w:val="231F20"/>
                <w:sz w:val="14"/>
              </w:rPr>
              <w:t>вницима и књижевним делима</w:t>
            </w:r>
          </w:p>
        </w:tc>
        <w:tc>
          <w:tcPr>
            <w:tcW w:w="2551" w:type="dxa"/>
          </w:tcPr>
          <w:p w:rsidR="00041039" w:rsidRDefault="001B26CB">
            <w:pPr>
              <w:pStyle w:val="TableParagraph"/>
              <w:numPr>
                <w:ilvl w:val="0"/>
                <w:numId w:val="814"/>
              </w:numPr>
              <w:tabs>
                <w:tab w:val="left" w:pos="157"/>
              </w:tabs>
              <w:spacing w:before="8"/>
              <w:ind w:right="215" w:hanging="99"/>
              <w:rPr>
                <w:sz w:val="14"/>
              </w:rPr>
            </w:pPr>
            <w:r>
              <w:rPr>
                <w:color w:val="231F20"/>
                <w:sz w:val="14"/>
              </w:rPr>
              <w:t>наведе најзначајније представнике</w:t>
            </w:r>
            <w:r>
              <w:rPr>
                <w:color w:val="231F20"/>
                <w:spacing w:val="-21"/>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814"/>
              </w:numPr>
              <w:tabs>
                <w:tab w:val="left" w:pos="157"/>
              </w:tabs>
              <w:spacing w:line="160" w:lineRule="exact"/>
              <w:ind w:right="122" w:hanging="99"/>
              <w:jc w:val="both"/>
              <w:rPr>
                <w:sz w:val="14"/>
              </w:rPr>
            </w:pPr>
            <w:r>
              <w:rPr>
                <w:color w:val="231F20"/>
                <w:sz w:val="14"/>
              </w:rPr>
              <w:t>објасни значење појмова хуманизам</w:t>
            </w:r>
            <w:r>
              <w:rPr>
                <w:color w:val="231F20"/>
                <w:spacing w:val="-23"/>
                <w:sz w:val="14"/>
              </w:rPr>
              <w:t xml:space="preserve"> </w:t>
            </w:r>
            <w:r>
              <w:rPr>
                <w:color w:val="231F20"/>
                <w:sz w:val="14"/>
              </w:rPr>
              <w:t>и ренесанса;</w:t>
            </w:r>
          </w:p>
          <w:p w:rsidR="00041039" w:rsidRDefault="001B26CB">
            <w:pPr>
              <w:pStyle w:val="TableParagraph"/>
              <w:numPr>
                <w:ilvl w:val="0"/>
                <w:numId w:val="814"/>
              </w:numPr>
              <w:tabs>
                <w:tab w:val="left" w:pos="157"/>
              </w:tabs>
              <w:spacing w:line="160" w:lineRule="exact"/>
              <w:ind w:right="136" w:hanging="99"/>
              <w:jc w:val="both"/>
              <w:rPr>
                <w:sz w:val="14"/>
              </w:rPr>
            </w:pPr>
            <w:r>
              <w:rPr>
                <w:color w:val="231F20"/>
                <w:sz w:val="14"/>
              </w:rPr>
              <w:t>наводи и на обрађеним делима</w:t>
            </w:r>
            <w:r>
              <w:rPr>
                <w:color w:val="231F20"/>
                <w:spacing w:val="-13"/>
                <w:sz w:val="14"/>
              </w:rPr>
              <w:t xml:space="preserve"> </w:t>
            </w:r>
            <w:r>
              <w:rPr>
                <w:color w:val="231F20"/>
                <w:sz w:val="14"/>
              </w:rPr>
              <w:t>образ­ лаже одлике</w:t>
            </w:r>
            <w:r>
              <w:rPr>
                <w:color w:val="231F20"/>
                <w:spacing w:val="-2"/>
                <w:sz w:val="14"/>
              </w:rPr>
              <w:t xml:space="preserve"> </w:t>
            </w:r>
            <w:r>
              <w:rPr>
                <w:color w:val="231F20"/>
                <w:sz w:val="14"/>
              </w:rPr>
              <w:t>епохе;</w:t>
            </w:r>
          </w:p>
          <w:p w:rsidR="00041039" w:rsidRDefault="001B26CB">
            <w:pPr>
              <w:pStyle w:val="TableParagraph"/>
              <w:numPr>
                <w:ilvl w:val="0"/>
                <w:numId w:val="814"/>
              </w:numPr>
              <w:tabs>
                <w:tab w:val="left" w:pos="157"/>
              </w:tabs>
              <w:spacing w:line="160" w:lineRule="exact"/>
              <w:ind w:right="164" w:hanging="99"/>
              <w:rPr>
                <w:sz w:val="14"/>
              </w:rPr>
            </w:pPr>
            <w:r>
              <w:rPr>
                <w:color w:val="231F20"/>
                <w:sz w:val="14"/>
              </w:rPr>
              <w:t>упореди вредности средњег века са вредностима хуманизма и</w:t>
            </w:r>
            <w:r>
              <w:rPr>
                <w:color w:val="231F20"/>
                <w:spacing w:val="-10"/>
                <w:sz w:val="14"/>
              </w:rPr>
              <w:t xml:space="preserve"> </w:t>
            </w:r>
            <w:r>
              <w:rPr>
                <w:color w:val="231F20"/>
                <w:sz w:val="14"/>
              </w:rPr>
              <w:t>ренесансе;</w:t>
            </w:r>
          </w:p>
          <w:p w:rsidR="00041039" w:rsidRDefault="001B26CB">
            <w:pPr>
              <w:pStyle w:val="TableParagraph"/>
              <w:numPr>
                <w:ilvl w:val="0"/>
                <w:numId w:val="814"/>
              </w:numPr>
              <w:tabs>
                <w:tab w:val="left" w:pos="157"/>
              </w:tabs>
              <w:spacing w:line="160" w:lineRule="exact"/>
              <w:ind w:right="60" w:hanging="99"/>
              <w:jc w:val="both"/>
              <w:rPr>
                <w:sz w:val="14"/>
              </w:rPr>
            </w:pPr>
            <w:r>
              <w:rPr>
                <w:color w:val="231F20"/>
                <w:sz w:val="14"/>
              </w:rPr>
              <w:t>објасни значај уметности хуманизма и ренесансе за развој европске културе</w:t>
            </w:r>
            <w:r>
              <w:rPr>
                <w:color w:val="231F20"/>
                <w:spacing w:val="-15"/>
                <w:sz w:val="14"/>
              </w:rPr>
              <w:t xml:space="preserve"> </w:t>
            </w:r>
            <w:r>
              <w:rPr>
                <w:color w:val="231F20"/>
                <w:sz w:val="14"/>
              </w:rPr>
              <w:t>и цивилизације;</w:t>
            </w:r>
          </w:p>
        </w:tc>
        <w:tc>
          <w:tcPr>
            <w:tcW w:w="2834" w:type="dxa"/>
          </w:tcPr>
          <w:p w:rsidR="00041039" w:rsidRDefault="001B26CB">
            <w:pPr>
              <w:pStyle w:val="TableParagraph"/>
              <w:numPr>
                <w:ilvl w:val="0"/>
                <w:numId w:val="813"/>
              </w:numPr>
              <w:tabs>
                <w:tab w:val="left" w:pos="157"/>
              </w:tabs>
              <w:spacing w:before="8"/>
              <w:ind w:right="100" w:hanging="99"/>
              <w:jc w:val="both"/>
              <w:rPr>
                <w:sz w:val="14"/>
              </w:rPr>
            </w:pPr>
            <w:r>
              <w:rPr>
                <w:color w:val="231F20"/>
                <w:sz w:val="14"/>
              </w:rPr>
              <w:t>Поетика хуманизма и ренесансе,</w:t>
            </w:r>
            <w:r>
              <w:rPr>
                <w:color w:val="231F20"/>
                <w:spacing w:val="-20"/>
                <w:sz w:val="14"/>
              </w:rPr>
              <w:t xml:space="preserve"> </w:t>
            </w:r>
            <w:r>
              <w:rPr>
                <w:color w:val="231F20"/>
                <w:sz w:val="14"/>
              </w:rPr>
              <w:t>најзначај­ нији</w:t>
            </w:r>
            <w:r>
              <w:rPr>
                <w:color w:val="231F20"/>
                <w:spacing w:val="-2"/>
                <w:sz w:val="14"/>
              </w:rPr>
              <w:t xml:space="preserve"> </w:t>
            </w:r>
            <w:r>
              <w:rPr>
                <w:color w:val="231F20"/>
                <w:sz w:val="14"/>
              </w:rPr>
              <w:t>представници.</w:t>
            </w:r>
          </w:p>
          <w:p w:rsidR="00041039" w:rsidRDefault="001B26CB">
            <w:pPr>
              <w:pStyle w:val="TableParagraph"/>
              <w:numPr>
                <w:ilvl w:val="0"/>
                <w:numId w:val="813"/>
              </w:numPr>
              <w:tabs>
                <w:tab w:val="left" w:pos="157"/>
              </w:tabs>
              <w:spacing w:line="160" w:lineRule="exact"/>
              <w:ind w:right="111" w:hanging="99"/>
              <w:jc w:val="both"/>
              <w:rPr>
                <w:sz w:val="14"/>
              </w:rPr>
            </w:pPr>
            <w:r>
              <w:rPr>
                <w:color w:val="231F20"/>
                <w:sz w:val="14"/>
              </w:rPr>
              <w:t>Франческо Петрарка: „Канцонијер”</w:t>
            </w:r>
            <w:r>
              <w:rPr>
                <w:color w:val="231F20"/>
                <w:spacing w:val="-19"/>
                <w:sz w:val="14"/>
              </w:rPr>
              <w:t xml:space="preserve"> </w:t>
            </w:r>
            <w:r>
              <w:rPr>
                <w:color w:val="231F20"/>
                <w:sz w:val="14"/>
              </w:rPr>
              <w:t>(избор сонета).</w:t>
            </w:r>
          </w:p>
          <w:p w:rsidR="00041039" w:rsidRDefault="001B26CB">
            <w:pPr>
              <w:pStyle w:val="TableParagraph"/>
              <w:numPr>
                <w:ilvl w:val="0"/>
                <w:numId w:val="813"/>
              </w:numPr>
              <w:tabs>
                <w:tab w:val="left" w:pos="157"/>
              </w:tabs>
              <w:spacing w:line="160" w:lineRule="exact"/>
              <w:ind w:right="152" w:hanging="99"/>
              <w:jc w:val="both"/>
              <w:rPr>
                <w:sz w:val="14"/>
              </w:rPr>
            </w:pPr>
            <w:r>
              <w:rPr>
                <w:color w:val="231F20"/>
                <w:sz w:val="14"/>
              </w:rPr>
              <w:t>Ћовани Бокачо: „Декамерон”</w:t>
            </w:r>
            <w:r>
              <w:rPr>
                <w:color w:val="231F20"/>
                <w:spacing w:val="-19"/>
                <w:sz w:val="14"/>
              </w:rPr>
              <w:t xml:space="preserve"> </w:t>
            </w:r>
            <w:r>
              <w:rPr>
                <w:color w:val="231F20"/>
                <w:sz w:val="14"/>
              </w:rPr>
              <w:t>(приповетка по избору) или Да</w:t>
            </w:r>
            <w:r>
              <w:rPr>
                <w:color w:val="231F20"/>
                <w:sz w:val="14"/>
              </w:rPr>
              <w:t>нте Алигијери: „Пакао” (одломак).</w:t>
            </w:r>
          </w:p>
          <w:p w:rsidR="00041039" w:rsidRDefault="001B26CB">
            <w:pPr>
              <w:pStyle w:val="TableParagraph"/>
              <w:numPr>
                <w:ilvl w:val="0"/>
                <w:numId w:val="813"/>
              </w:numPr>
              <w:tabs>
                <w:tab w:val="left" w:pos="157"/>
              </w:tabs>
              <w:spacing w:line="153" w:lineRule="exact"/>
              <w:ind w:hanging="99"/>
              <w:jc w:val="both"/>
              <w:rPr>
                <w:sz w:val="14"/>
              </w:rPr>
            </w:pPr>
            <w:r>
              <w:rPr>
                <w:color w:val="231F20"/>
                <w:sz w:val="14"/>
              </w:rPr>
              <w:t>Вилијам Шекспир: „Ромео и</w:t>
            </w:r>
            <w:r>
              <w:rPr>
                <w:color w:val="231F20"/>
                <w:spacing w:val="-7"/>
                <w:sz w:val="14"/>
              </w:rPr>
              <w:t xml:space="preserve"> </w:t>
            </w:r>
            <w:r>
              <w:rPr>
                <w:color w:val="231F20"/>
                <w:sz w:val="14"/>
              </w:rPr>
              <w:t>Јулија”.</w:t>
            </w:r>
          </w:p>
          <w:p w:rsidR="00041039" w:rsidRDefault="001B26CB">
            <w:pPr>
              <w:pStyle w:val="TableParagraph"/>
              <w:numPr>
                <w:ilvl w:val="0"/>
                <w:numId w:val="813"/>
              </w:numPr>
              <w:tabs>
                <w:tab w:val="left" w:pos="157"/>
              </w:tabs>
              <w:spacing w:line="166" w:lineRule="exact"/>
              <w:ind w:hanging="99"/>
              <w:jc w:val="both"/>
              <w:rPr>
                <w:sz w:val="14"/>
              </w:rPr>
            </w:pPr>
            <w:r>
              <w:rPr>
                <w:color w:val="231F20"/>
                <w:sz w:val="14"/>
              </w:rPr>
              <w:t>Сервантес: „Дон Кихот”</w:t>
            </w:r>
            <w:r>
              <w:rPr>
                <w:color w:val="231F20"/>
                <w:spacing w:val="-3"/>
                <w:sz w:val="14"/>
              </w:rPr>
              <w:t xml:space="preserve"> </w:t>
            </w:r>
            <w:r>
              <w:rPr>
                <w:color w:val="231F20"/>
                <w:sz w:val="14"/>
              </w:rPr>
              <w:t>(одломак).</w:t>
            </w:r>
          </w:p>
        </w:tc>
        <w:tc>
          <w:tcPr>
            <w:tcW w:w="2267" w:type="dxa"/>
            <w:vMerge w:val="restart"/>
          </w:tcPr>
          <w:p w:rsidR="00041039" w:rsidRDefault="00041039">
            <w:pPr>
              <w:pStyle w:val="TableParagraph"/>
              <w:ind w:left="0"/>
              <w:rPr>
                <w:sz w:val="14"/>
              </w:rPr>
            </w:pPr>
          </w:p>
        </w:tc>
      </w:tr>
      <w:tr w:rsidR="00041039">
        <w:trPr>
          <w:trHeight w:val="1320"/>
        </w:trPr>
        <w:tc>
          <w:tcPr>
            <w:tcW w:w="1304" w:type="dxa"/>
          </w:tcPr>
          <w:p w:rsidR="00041039" w:rsidRDefault="001B26CB">
            <w:pPr>
              <w:pStyle w:val="TableParagraph"/>
              <w:spacing w:before="18"/>
              <w:ind w:left="56" w:right="174"/>
              <w:rPr>
                <w:sz w:val="14"/>
              </w:rPr>
            </w:pPr>
            <w:r>
              <w:rPr>
                <w:color w:val="231F20"/>
                <w:sz w:val="14"/>
              </w:rPr>
              <w:t>Општи појмови о језику</w:t>
            </w:r>
          </w:p>
        </w:tc>
        <w:tc>
          <w:tcPr>
            <w:tcW w:w="1587" w:type="dxa"/>
          </w:tcPr>
          <w:p w:rsidR="00041039" w:rsidRDefault="001B26CB">
            <w:pPr>
              <w:pStyle w:val="TableParagraph"/>
              <w:numPr>
                <w:ilvl w:val="0"/>
                <w:numId w:val="812"/>
              </w:numPr>
              <w:tabs>
                <w:tab w:val="left" w:pos="157"/>
              </w:tabs>
              <w:spacing w:before="8"/>
              <w:ind w:right="98"/>
              <w:rPr>
                <w:sz w:val="14"/>
              </w:rPr>
            </w:pPr>
            <w:r>
              <w:rPr>
                <w:color w:val="231F20"/>
                <w:sz w:val="14"/>
              </w:rPr>
              <w:t>Указивање на</w:t>
            </w:r>
            <w:r>
              <w:rPr>
                <w:color w:val="231F20"/>
                <w:spacing w:val="-21"/>
                <w:sz w:val="14"/>
              </w:rPr>
              <w:t xml:space="preserve"> </w:t>
            </w:r>
            <w:r>
              <w:rPr>
                <w:color w:val="231F20"/>
                <w:sz w:val="14"/>
              </w:rPr>
              <w:t>проуча­ вање језика као сис­ тема, упознавање са његовом функцијом, друштвеном</w:t>
            </w:r>
            <w:r>
              <w:rPr>
                <w:color w:val="231F20"/>
                <w:spacing w:val="-6"/>
                <w:sz w:val="14"/>
              </w:rPr>
              <w:t xml:space="preserve"> </w:t>
            </w:r>
            <w:r>
              <w:rPr>
                <w:color w:val="231F20"/>
                <w:sz w:val="14"/>
              </w:rPr>
              <w:t>условље­ ношћу и историјским развојем.</w:t>
            </w:r>
          </w:p>
        </w:tc>
        <w:tc>
          <w:tcPr>
            <w:tcW w:w="2551" w:type="dxa"/>
          </w:tcPr>
          <w:p w:rsidR="00041039" w:rsidRDefault="001B26CB">
            <w:pPr>
              <w:pStyle w:val="TableParagraph"/>
              <w:numPr>
                <w:ilvl w:val="0"/>
                <w:numId w:val="811"/>
              </w:numPr>
              <w:tabs>
                <w:tab w:val="left" w:pos="157"/>
              </w:tabs>
              <w:spacing w:before="8"/>
              <w:ind w:right="458" w:hanging="99"/>
              <w:rPr>
                <w:sz w:val="14"/>
              </w:rPr>
            </w:pPr>
            <w:r>
              <w:rPr>
                <w:color w:val="231F20"/>
                <w:sz w:val="14"/>
              </w:rPr>
              <w:t>објасни функцију језика и</w:t>
            </w:r>
            <w:r>
              <w:rPr>
                <w:color w:val="231F20"/>
                <w:spacing w:val="-13"/>
                <w:sz w:val="14"/>
              </w:rPr>
              <w:t xml:space="preserve"> </w:t>
            </w:r>
            <w:r>
              <w:rPr>
                <w:color w:val="231F20"/>
                <w:sz w:val="14"/>
              </w:rPr>
              <w:t>појам језичког</w:t>
            </w:r>
            <w:r>
              <w:rPr>
                <w:color w:val="231F20"/>
                <w:spacing w:val="-1"/>
                <w:sz w:val="14"/>
              </w:rPr>
              <w:t xml:space="preserve"> </w:t>
            </w:r>
            <w:r>
              <w:rPr>
                <w:color w:val="231F20"/>
                <w:sz w:val="14"/>
              </w:rPr>
              <w:t>знака;</w:t>
            </w:r>
          </w:p>
          <w:p w:rsidR="00041039" w:rsidRDefault="001B26CB">
            <w:pPr>
              <w:pStyle w:val="TableParagraph"/>
              <w:numPr>
                <w:ilvl w:val="0"/>
                <w:numId w:val="811"/>
              </w:numPr>
              <w:tabs>
                <w:tab w:val="left" w:pos="157"/>
              </w:tabs>
              <w:spacing w:before="1" w:line="160" w:lineRule="exact"/>
              <w:ind w:right="146" w:hanging="99"/>
              <w:rPr>
                <w:sz w:val="14"/>
              </w:rPr>
            </w:pPr>
            <w:r>
              <w:rPr>
                <w:color w:val="231F20"/>
                <w:sz w:val="14"/>
              </w:rPr>
              <w:t>разуме природу модерног</w:t>
            </w:r>
            <w:r>
              <w:rPr>
                <w:color w:val="231F20"/>
                <w:spacing w:val="-20"/>
                <w:sz w:val="14"/>
              </w:rPr>
              <w:t xml:space="preserve"> </w:t>
            </w:r>
            <w:r>
              <w:rPr>
                <w:color w:val="231F20"/>
                <w:sz w:val="14"/>
              </w:rPr>
              <w:t>књижевног (стандардног)</w:t>
            </w:r>
            <w:r>
              <w:rPr>
                <w:color w:val="231F20"/>
                <w:spacing w:val="-1"/>
                <w:sz w:val="14"/>
              </w:rPr>
              <w:t xml:space="preserve"> </w:t>
            </w:r>
            <w:r>
              <w:rPr>
                <w:color w:val="231F20"/>
                <w:sz w:val="14"/>
              </w:rPr>
              <w:t>језика;</w:t>
            </w:r>
          </w:p>
          <w:p w:rsidR="00041039" w:rsidRDefault="001B26CB">
            <w:pPr>
              <w:pStyle w:val="TableParagraph"/>
              <w:numPr>
                <w:ilvl w:val="0"/>
                <w:numId w:val="811"/>
              </w:numPr>
              <w:tabs>
                <w:tab w:val="left" w:pos="157"/>
              </w:tabs>
              <w:spacing w:line="160" w:lineRule="exact"/>
              <w:ind w:right="121" w:hanging="99"/>
              <w:rPr>
                <w:sz w:val="14"/>
              </w:rPr>
            </w:pPr>
            <w:r>
              <w:rPr>
                <w:color w:val="231F20"/>
                <w:sz w:val="14"/>
              </w:rPr>
              <w:t>наведе фазе развоја књижевног</w:t>
            </w:r>
            <w:r>
              <w:rPr>
                <w:color w:val="231F20"/>
                <w:spacing w:val="-13"/>
                <w:sz w:val="14"/>
              </w:rPr>
              <w:t xml:space="preserve"> </w:t>
            </w:r>
            <w:r>
              <w:rPr>
                <w:color w:val="231F20"/>
                <w:sz w:val="14"/>
              </w:rPr>
              <w:t>језика до</w:t>
            </w:r>
            <w:r>
              <w:rPr>
                <w:color w:val="231F20"/>
                <w:spacing w:val="-1"/>
                <w:sz w:val="14"/>
              </w:rPr>
              <w:t xml:space="preserve"> </w:t>
            </w:r>
            <w:r>
              <w:rPr>
                <w:color w:val="231F20"/>
                <w:sz w:val="14"/>
              </w:rPr>
              <w:t>19.века;</w:t>
            </w:r>
          </w:p>
          <w:p w:rsidR="00041039" w:rsidRDefault="001B26CB">
            <w:pPr>
              <w:pStyle w:val="TableParagraph"/>
              <w:numPr>
                <w:ilvl w:val="0"/>
                <w:numId w:val="811"/>
              </w:numPr>
              <w:tabs>
                <w:tab w:val="left" w:pos="157"/>
              </w:tabs>
              <w:spacing w:line="160" w:lineRule="exact"/>
              <w:ind w:right="150" w:hanging="99"/>
              <w:rPr>
                <w:sz w:val="14"/>
              </w:rPr>
            </w:pPr>
            <w:r>
              <w:rPr>
                <w:color w:val="231F20"/>
                <w:sz w:val="14"/>
              </w:rPr>
              <w:t>наведе дисциплине које се баве</w:t>
            </w:r>
            <w:r>
              <w:rPr>
                <w:color w:val="231F20"/>
                <w:spacing w:val="-20"/>
                <w:sz w:val="14"/>
              </w:rPr>
              <w:t xml:space="preserve"> </w:t>
            </w:r>
            <w:r>
              <w:rPr>
                <w:color w:val="231F20"/>
                <w:sz w:val="14"/>
              </w:rPr>
              <w:t>проу­ чавањем језичког</w:t>
            </w:r>
            <w:r>
              <w:rPr>
                <w:color w:val="231F20"/>
                <w:spacing w:val="-2"/>
                <w:sz w:val="14"/>
              </w:rPr>
              <w:t xml:space="preserve"> </w:t>
            </w:r>
            <w:r>
              <w:rPr>
                <w:color w:val="231F20"/>
                <w:sz w:val="14"/>
              </w:rPr>
              <w:t>система;</w:t>
            </w:r>
          </w:p>
        </w:tc>
        <w:tc>
          <w:tcPr>
            <w:tcW w:w="2834" w:type="dxa"/>
          </w:tcPr>
          <w:p w:rsidR="00041039" w:rsidRDefault="001B26CB">
            <w:pPr>
              <w:pStyle w:val="TableParagraph"/>
              <w:numPr>
                <w:ilvl w:val="0"/>
                <w:numId w:val="810"/>
              </w:numPr>
              <w:tabs>
                <w:tab w:val="left" w:pos="157"/>
              </w:tabs>
              <w:spacing w:before="8"/>
              <w:ind w:right="290" w:hanging="99"/>
              <w:rPr>
                <w:sz w:val="14"/>
              </w:rPr>
            </w:pPr>
            <w:r>
              <w:rPr>
                <w:color w:val="231F20"/>
                <w:sz w:val="14"/>
              </w:rPr>
              <w:t xml:space="preserve">Место језика у </w:t>
            </w:r>
            <w:r>
              <w:rPr>
                <w:color w:val="231F20"/>
                <w:spacing w:val="-3"/>
                <w:sz w:val="14"/>
              </w:rPr>
              <w:t xml:space="preserve">људском друштву, </w:t>
            </w:r>
            <w:r>
              <w:rPr>
                <w:color w:val="231F20"/>
                <w:sz w:val="14"/>
              </w:rPr>
              <w:t>битна својства језика, језик и</w:t>
            </w:r>
            <w:r>
              <w:rPr>
                <w:color w:val="231F20"/>
                <w:spacing w:val="-13"/>
                <w:sz w:val="14"/>
              </w:rPr>
              <w:t xml:space="preserve"> </w:t>
            </w:r>
            <w:r>
              <w:rPr>
                <w:color w:val="231F20"/>
                <w:sz w:val="14"/>
              </w:rPr>
              <w:t>комуникација.</w:t>
            </w:r>
          </w:p>
          <w:p w:rsidR="00041039" w:rsidRDefault="001B26CB">
            <w:pPr>
              <w:pStyle w:val="TableParagraph"/>
              <w:numPr>
                <w:ilvl w:val="0"/>
                <w:numId w:val="810"/>
              </w:numPr>
              <w:tabs>
                <w:tab w:val="left" w:pos="157"/>
              </w:tabs>
              <w:spacing w:before="1" w:line="160" w:lineRule="exact"/>
              <w:ind w:right="677" w:hanging="99"/>
              <w:rPr>
                <w:sz w:val="14"/>
              </w:rPr>
            </w:pPr>
            <w:r>
              <w:rPr>
                <w:color w:val="231F20"/>
                <w:sz w:val="14"/>
              </w:rPr>
              <w:t>Књижевни језик, језичка норма</w:t>
            </w:r>
            <w:r>
              <w:rPr>
                <w:color w:val="231F20"/>
                <w:spacing w:val="-15"/>
                <w:sz w:val="14"/>
              </w:rPr>
              <w:t xml:space="preserve"> </w:t>
            </w:r>
            <w:r>
              <w:rPr>
                <w:color w:val="231F20"/>
                <w:sz w:val="14"/>
              </w:rPr>
              <w:t>и стандардизација.</w:t>
            </w:r>
          </w:p>
          <w:p w:rsidR="00041039" w:rsidRDefault="001B26CB">
            <w:pPr>
              <w:pStyle w:val="TableParagraph"/>
              <w:numPr>
                <w:ilvl w:val="0"/>
                <w:numId w:val="810"/>
              </w:numPr>
              <w:tabs>
                <w:tab w:val="left" w:pos="157"/>
              </w:tabs>
              <w:spacing w:line="153" w:lineRule="exact"/>
              <w:ind w:hanging="99"/>
              <w:rPr>
                <w:sz w:val="14"/>
              </w:rPr>
            </w:pPr>
            <w:r>
              <w:rPr>
                <w:color w:val="231F20"/>
                <w:sz w:val="14"/>
              </w:rPr>
              <w:t xml:space="preserve">Језички систем и </w:t>
            </w:r>
            <w:r>
              <w:rPr>
                <w:color w:val="231F20"/>
                <w:spacing w:val="-3"/>
                <w:sz w:val="14"/>
              </w:rPr>
              <w:t xml:space="preserve">науке </w:t>
            </w:r>
            <w:r>
              <w:rPr>
                <w:color w:val="231F20"/>
                <w:sz w:val="14"/>
              </w:rPr>
              <w:t>које се њиме</w:t>
            </w:r>
            <w:r>
              <w:rPr>
                <w:color w:val="231F20"/>
                <w:spacing w:val="-8"/>
                <w:sz w:val="14"/>
              </w:rPr>
              <w:t xml:space="preserve"> </w:t>
            </w:r>
            <w:r>
              <w:rPr>
                <w:color w:val="231F20"/>
                <w:sz w:val="14"/>
              </w:rPr>
              <w:t>баве.</w:t>
            </w:r>
          </w:p>
          <w:p w:rsidR="00041039" w:rsidRDefault="001B26CB">
            <w:pPr>
              <w:pStyle w:val="TableParagraph"/>
              <w:numPr>
                <w:ilvl w:val="0"/>
                <w:numId w:val="810"/>
              </w:numPr>
              <w:tabs>
                <w:tab w:val="left" w:pos="157"/>
              </w:tabs>
              <w:spacing w:line="166" w:lineRule="exact"/>
              <w:ind w:hanging="99"/>
              <w:rPr>
                <w:sz w:val="14"/>
              </w:rPr>
            </w:pPr>
            <w:r>
              <w:rPr>
                <w:color w:val="231F20"/>
                <w:sz w:val="14"/>
              </w:rPr>
              <w:t xml:space="preserve">Књижевни језици </w:t>
            </w:r>
            <w:r>
              <w:rPr>
                <w:color w:val="231F20"/>
                <w:spacing w:val="-4"/>
                <w:sz w:val="14"/>
              </w:rPr>
              <w:t xml:space="preserve">код </w:t>
            </w:r>
            <w:r>
              <w:rPr>
                <w:color w:val="231F20"/>
                <w:sz w:val="14"/>
              </w:rPr>
              <w:t>Срба до XIX</w:t>
            </w:r>
            <w:r>
              <w:rPr>
                <w:color w:val="231F20"/>
                <w:spacing w:val="-3"/>
                <w:sz w:val="14"/>
              </w:rPr>
              <w:t xml:space="preserve"> </w:t>
            </w:r>
            <w:r>
              <w:rPr>
                <w:color w:val="231F20"/>
                <w:sz w:val="14"/>
              </w:rPr>
              <w:t>века.</w:t>
            </w:r>
          </w:p>
        </w:tc>
        <w:tc>
          <w:tcPr>
            <w:tcW w:w="2267" w:type="dxa"/>
            <w:vMerge/>
            <w:tcBorders>
              <w:top w:val="nil"/>
            </w:tcBorders>
          </w:tcPr>
          <w:p w:rsidR="00041039" w:rsidRDefault="00041039">
            <w:pPr>
              <w:rPr>
                <w:sz w:val="2"/>
                <w:szCs w:val="2"/>
              </w:rPr>
            </w:pPr>
          </w:p>
        </w:tc>
      </w:tr>
      <w:tr w:rsidR="00041039">
        <w:trPr>
          <w:trHeight w:val="2440"/>
        </w:trPr>
        <w:tc>
          <w:tcPr>
            <w:tcW w:w="1304" w:type="dxa"/>
          </w:tcPr>
          <w:p w:rsidR="00041039" w:rsidRDefault="001B26CB">
            <w:pPr>
              <w:pStyle w:val="TableParagraph"/>
              <w:spacing w:before="19"/>
              <w:ind w:left="56"/>
              <w:rPr>
                <w:sz w:val="14"/>
              </w:rPr>
            </w:pPr>
            <w:r>
              <w:rPr>
                <w:color w:val="231F20"/>
                <w:sz w:val="14"/>
              </w:rPr>
              <w:t>Фонетика</w:t>
            </w:r>
          </w:p>
        </w:tc>
        <w:tc>
          <w:tcPr>
            <w:tcW w:w="1587" w:type="dxa"/>
          </w:tcPr>
          <w:p w:rsidR="00041039" w:rsidRDefault="001B26CB">
            <w:pPr>
              <w:pStyle w:val="TableParagraph"/>
              <w:numPr>
                <w:ilvl w:val="0"/>
                <w:numId w:val="809"/>
              </w:numPr>
              <w:tabs>
                <w:tab w:val="left" w:pos="157"/>
              </w:tabs>
              <w:spacing w:before="9"/>
              <w:ind w:right="334"/>
              <w:rPr>
                <w:sz w:val="14"/>
              </w:rPr>
            </w:pPr>
            <w:r>
              <w:rPr>
                <w:color w:val="231F20"/>
                <w:sz w:val="14"/>
              </w:rPr>
              <w:t>Стицање знања</w:t>
            </w:r>
            <w:r>
              <w:rPr>
                <w:color w:val="231F20"/>
                <w:spacing w:val="-12"/>
                <w:sz w:val="14"/>
              </w:rPr>
              <w:t xml:space="preserve"> </w:t>
            </w:r>
            <w:r>
              <w:rPr>
                <w:color w:val="231F20"/>
                <w:sz w:val="14"/>
              </w:rPr>
              <w:t>из области фонети­ ке (фонологије) и морфофонологије</w:t>
            </w:r>
          </w:p>
          <w:p w:rsidR="00041039" w:rsidRDefault="001B26CB">
            <w:pPr>
              <w:pStyle w:val="TableParagraph"/>
              <w:spacing w:line="237" w:lineRule="auto"/>
              <w:ind w:right="223"/>
              <w:rPr>
                <w:sz w:val="14"/>
              </w:rPr>
            </w:pPr>
            <w:r>
              <w:rPr>
                <w:color w:val="231F20"/>
                <w:sz w:val="14"/>
              </w:rPr>
              <w:t>књижевног језика и способности да се та знања примене у говору и писању.</w:t>
            </w:r>
          </w:p>
        </w:tc>
        <w:tc>
          <w:tcPr>
            <w:tcW w:w="2551" w:type="dxa"/>
          </w:tcPr>
          <w:p w:rsidR="00041039" w:rsidRDefault="001B26CB">
            <w:pPr>
              <w:pStyle w:val="TableParagraph"/>
              <w:numPr>
                <w:ilvl w:val="0"/>
                <w:numId w:val="808"/>
              </w:numPr>
              <w:tabs>
                <w:tab w:val="left" w:pos="157"/>
              </w:tabs>
              <w:spacing w:before="9" w:line="166" w:lineRule="exact"/>
              <w:ind w:hanging="99"/>
              <w:rPr>
                <w:sz w:val="14"/>
              </w:rPr>
            </w:pPr>
            <w:r>
              <w:rPr>
                <w:color w:val="231F20"/>
                <w:sz w:val="14"/>
              </w:rPr>
              <w:t>уме да се служи</w:t>
            </w:r>
            <w:r>
              <w:rPr>
                <w:color w:val="231F20"/>
                <w:spacing w:val="-2"/>
                <w:sz w:val="14"/>
              </w:rPr>
              <w:t xml:space="preserve"> </w:t>
            </w:r>
            <w:r>
              <w:rPr>
                <w:color w:val="231F20"/>
                <w:sz w:val="14"/>
              </w:rPr>
              <w:t>правописом;</w:t>
            </w:r>
          </w:p>
          <w:p w:rsidR="00041039" w:rsidRDefault="001B26CB">
            <w:pPr>
              <w:pStyle w:val="TableParagraph"/>
              <w:numPr>
                <w:ilvl w:val="0"/>
                <w:numId w:val="808"/>
              </w:numPr>
              <w:tabs>
                <w:tab w:val="left" w:pos="157"/>
              </w:tabs>
              <w:spacing w:line="160" w:lineRule="exact"/>
              <w:ind w:hanging="99"/>
              <w:rPr>
                <w:sz w:val="14"/>
              </w:rPr>
            </w:pPr>
            <w:r>
              <w:rPr>
                <w:color w:val="231F20"/>
                <w:sz w:val="14"/>
              </w:rPr>
              <w:t>разликује гласовне</w:t>
            </w:r>
            <w:r>
              <w:rPr>
                <w:color w:val="231F20"/>
                <w:spacing w:val="-5"/>
                <w:sz w:val="14"/>
              </w:rPr>
              <w:t xml:space="preserve"> </w:t>
            </w:r>
            <w:r>
              <w:rPr>
                <w:color w:val="231F20"/>
                <w:sz w:val="14"/>
              </w:rPr>
              <w:t>алтернације;</w:t>
            </w:r>
          </w:p>
          <w:p w:rsidR="00041039" w:rsidRDefault="001B26CB">
            <w:pPr>
              <w:pStyle w:val="TableParagraph"/>
              <w:numPr>
                <w:ilvl w:val="0"/>
                <w:numId w:val="808"/>
              </w:numPr>
              <w:tabs>
                <w:tab w:val="left" w:pos="157"/>
              </w:tabs>
              <w:spacing w:line="237" w:lineRule="auto"/>
              <w:ind w:right="60" w:hanging="99"/>
              <w:rPr>
                <w:sz w:val="14"/>
              </w:rPr>
            </w:pPr>
            <w:r>
              <w:rPr>
                <w:color w:val="231F20"/>
                <w:sz w:val="14"/>
              </w:rPr>
              <w:t>влада акценатским гласовним систе­ мом књижевног (стандардног) језика</w:t>
            </w:r>
            <w:r>
              <w:rPr>
                <w:color w:val="231F20"/>
                <w:spacing w:val="-10"/>
                <w:sz w:val="14"/>
              </w:rPr>
              <w:t xml:space="preserve"> </w:t>
            </w:r>
            <w:r>
              <w:rPr>
                <w:color w:val="231F20"/>
                <w:sz w:val="14"/>
              </w:rPr>
              <w:t>и да га примењује у</w:t>
            </w:r>
            <w:r>
              <w:rPr>
                <w:color w:val="231F20"/>
                <w:spacing w:val="-5"/>
                <w:sz w:val="14"/>
              </w:rPr>
              <w:t xml:space="preserve"> </w:t>
            </w:r>
            <w:r>
              <w:rPr>
                <w:color w:val="231F20"/>
                <w:sz w:val="14"/>
              </w:rPr>
              <w:t>говору;</w:t>
            </w:r>
          </w:p>
        </w:tc>
        <w:tc>
          <w:tcPr>
            <w:tcW w:w="2834" w:type="dxa"/>
          </w:tcPr>
          <w:p w:rsidR="00041039" w:rsidRDefault="001B26CB">
            <w:pPr>
              <w:pStyle w:val="TableParagraph"/>
              <w:numPr>
                <w:ilvl w:val="0"/>
                <w:numId w:val="807"/>
              </w:numPr>
              <w:tabs>
                <w:tab w:val="left" w:pos="158"/>
              </w:tabs>
              <w:spacing w:before="9" w:line="166" w:lineRule="exact"/>
              <w:rPr>
                <w:sz w:val="14"/>
              </w:rPr>
            </w:pPr>
            <w:r>
              <w:rPr>
                <w:color w:val="231F20"/>
                <w:sz w:val="14"/>
              </w:rPr>
              <w:t>Фонетика и</w:t>
            </w:r>
            <w:r>
              <w:rPr>
                <w:color w:val="231F20"/>
                <w:spacing w:val="-2"/>
                <w:sz w:val="14"/>
              </w:rPr>
              <w:t xml:space="preserve"> </w:t>
            </w:r>
            <w:r>
              <w:rPr>
                <w:color w:val="231F20"/>
                <w:sz w:val="14"/>
              </w:rPr>
              <w:t>фонологија.</w:t>
            </w:r>
          </w:p>
          <w:p w:rsidR="00041039" w:rsidRDefault="001B26CB">
            <w:pPr>
              <w:pStyle w:val="TableParagraph"/>
              <w:numPr>
                <w:ilvl w:val="0"/>
                <w:numId w:val="807"/>
              </w:numPr>
              <w:tabs>
                <w:tab w:val="left" w:pos="158"/>
              </w:tabs>
              <w:spacing w:line="160" w:lineRule="exact"/>
              <w:rPr>
                <w:sz w:val="14"/>
              </w:rPr>
            </w:pPr>
            <w:r>
              <w:rPr>
                <w:color w:val="231F20"/>
                <w:spacing w:val="-3"/>
                <w:sz w:val="14"/>
              </w:rPr>
              <w:t xml:space="preserve">Гласови </w:t>
            </w:r>
            <w:r>
              <w:rPr>
                <w:color w:val="231F20"/>
                <w:sz w:val="14"/>
              </w:rPr>
              <w:t>књижевног језика и њихов</w:t>
            </w:r>
            <w:r>
              <w:rPr>
                <w:color w:val="231F20"/>
                <w:spacing w:val="-19"/>
                <w:sz w:val="14"/>
              </w:rPr>
              <w:t xml:space="preserve"> </w:t>
            </w:r>
            <w:r>
              <w:rPr>
                <w:color w:val="231F20"/>
                <w:sz w:val="14"/>
              </w:rPr>
              <w:t>изговор.</w:t>
            </w:r>
          </w:p>
          <w:p w:rsidR="00041039" w:rsidRDefault="001B26CB">
            <w:pPr>
              <w:pStyle w:val="TableParagraph"/>
              <w:numPr>
                <w:ilvl w:val="0"/>
                <w:numId w:val="807"/>
              </w:numPr>
              <w:tabs>
                <w:tab w:val="left" w:pos="158"/>
              </w:tabs>
              <w:spacing w:line="237" w:lineRule="auto"/>
              <w:ind w:right="131"/>
              <w:rPr>
                <w:sz w:val="14"/>
              </w:rPr>
            </w:pPr>
            <w:r>
              <w:rPr>
                <w:color w:val="231F20"/>
                <w:spacing w:val="-3"/>
                <w:sz w:val="14"/>
              </w:rPr>
              <w:t xml:space="preserve">Гласовне </w:t>
            </w:r>
            <w:r>
              <w:rPr>
                <w:color w:val="231F20"/>
                <w:sz w:val="14"/>
              </w:rPr>
              <w:t>алтернације сугласника (звучних и беззвучних; с:ш, з:ж, н:м;</w:t>
            </w:r>
            <w:r>
              <w:rPr>
                <w:color w:val="231F20"/>
                <w:spacing w:val="-15"/>
                <w:sz w:val="14"/>
              </w:rPr>
              <w:t xml:space="preserve"> </w:t>
            </w:r>
            <w:r>
              <w:rPr>
                <w:color w:val="231F20"/>
                <w:sz w:val="14"/>
              </w:rPr>
              <w:t>к,г,х:ч,ж,ш</w:t>
            </w:r>
          </w:p>
          <w:p w:rsidR="00041039" w:rsidRDefault="001B26CB">
            <w:pPr>
              <w:pStyle w:val="TableParagraph"/>
              <w:ind w:left="157" w:right="84"/>
              <w:rPr>
                <w:sz w:val="14"/>
              </w:rPr>
            </w:pPr>
            <w:r>
              <w:rPr>
                <w:color w:val="231F20"/>
                <w:sz w:val="14"/>
              </w:rPr>
              <w:t>и к,г,х:ц,з,с; алтернације ненепчаних са предњонепчаним сугласницима), гласовне а</w:t>
            </w:r>
            <w:r>
              <w:rPr>
                <w:color w:val="231F20"/>
                <w:sz w:val="14"/>
              </w:rPr>
              <w:t>лтернације самогласника (промена о у е, непостојано а, промена сонанта л у вокал о), и губљење сугласника са правописним решењима.</w:t>
            </w:r>
          </w:p>
          <w:p w:rsidR="00041039" w:rsidRDefault="001B26CB">
            <w:pPr>
              <w:pStyle w:val="TableParagraph"/>
              <w:numPr>
                <w:ilvl w:val="0"/>
                <w:numId w:val="807"/>
              </w:numPr>
              <w:tabs>
                <w:tab w:val="left" w:pos="158"/>
              </w:tabs>
              <w:spacing w:line="155" w:lineRule="exact"/>
              <w:rPr>
                <w:sz w:val="14"/>
              </w:rPr>
            </w:pPr>
            <w:r>
              <w:rPr>
                <w:color w:val="231F20"/>
                <w:sz w:val="14"/>
              </w:rPr>
              <w:t>Акценатски систем књижевног</w:t>
            </w:r>
            <w:r>
              <w:rPr>
                <w:color w:val="231F20"/>
                <w:spacing w:val="-3"/>
                <w:sz w:val="14"/>
              </w:rPr>
              <w:t xml:space="preserve"> </w:t>
            </w:r>
            <w:r>
              <w:rPr>
                <w:color w:val="231F20"/>
                <w:sz w:val="14"/>
              </w:rPr>
              <w:t>језика,</w:t>
            </w:r>
          </w:p>
          <w:p w:rsidR="00041039" w:rsidRDefault="001B26CB">
            <w:pPr>
              <w:pStyle w:val="TableParagraph"/>
              <w:ind w:left="157"/>
              <w:rPr>
                <w:sz w:val="14"/>
              </w:rPr>
            </w:pPr>
            <w:r>
              <w:rPr>
                <w:color w:val="231F20"/>
                <w:sz w:val="14"/>
              </w:rPr>
              <w:t>диференцијација у односу на дијалекатско окружење.</w:t>
            </w:r>
          </w:p>
          <w:p w:rsidR="00041039" w:rsidRDefault="001B26CB">
            <w:pPr>
              <w:pStyle w:val="TableParagraph"/>
              <w:numPr>
                <w:ilvl w:val="0"/>
                <w:numId w:val="807"/>
              </w:numPr>
              <w:tabs>
                <w:tab w:val="left" w:pos="158"/>
              </w:tabs>
              <w:spacing w:line="160" w:lineRule="exact"/>
              <w:ind w:right="328"/>
              <w:rPr>
                <w:sz w:val="14"/>
              </w:rPr>
            </w:pPr>
            <w:r>
              <w:rPr>
                <w:color w:val="231F20"/>
                <w:sz w:val="14"/>
              </w:rPr>
              <w:t>Основна правила акцентуације</w:t>
            </w:r>
            <w:r>
              <w:rPr>
                <w:color w:val="231F20"/>
                <w:spacing w:val="-23"/>
                <w:sz w:val="14"/>
              </w:rPr>
              <w:t xml:space="preserve"> </w:t>
            </w:r>
            <w:r>
              <w:rPr>
                <w:color w:val="231F20"/>
                <w:sz w:val="14"/>
              </w:rPr>
              <w:t>српског књижевног</w:t>
            </w:r>
            <w:r>
              <w:rPr>
                <w:color w:val="231F20"/>
                <w:spacing w:val="-1"/>
                <w:sz w:val="14"/>
              </w:rPr>
              <w:t xml:space="preserve"> </w:t>
            </w:r>
            <w:r>
              <w:rPr>
                <w:color w:val="231F20"/>
                <w:sz w:val="14"/>
              </w:rPr>
              <w:t>језика.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numPr>
                <w:ilvl w:val="0"/>
                <w:numId w:val="806"/>
              </w:numPr>
              <w:tabs>
                <w:tab w:val="left" w:pos="157"/>
              </w:tabs>
              <w:spacing w:before="9"/>
              <w:ind w:right="218" w:hanging="99"/>
              <w:rPr>
                <w:sz w:val="14"/>
              </w:rPr>
            </w:pPr>
            <w:r>
              <w:rPr>
                <w:color w:val="231F20"/>
                <w:sz w:val="14"/>
              </w:rPr>
              <w:t>Оспособљавање ученика да пишу у складу са правопис­ ном</w:t>
            </w:r>
            <w:r>
              <w:rPr>
                <w:color w:val="231F20"/>
                <w:spacing w:val="-1"/>
                <w:sz w:val="14"/>
              </w:rPr>
              <w:t xml:space="preserve"> </w:t>
            </w:r>
            <w:r>
              <w:rPr>
                <w:color w:val="231F20"/>
                <w:sz w:val="14"/>
              </w:rPr>
              <w:t>нормом.</w:t>
            </w:r>
          </w:p>
        </w:tc>
        <w:tc>
          <w:tcPr>
            <w:tcW w:w="2551" w:type="dxa"/>
          </w:tcPr>
          <w:p w:rsidR="00041039" w:rsidRDefault="001B26CB">
            <w:pPr>
              <w:pStyle w:val="TableParagraph"/>
              <w:numPr>
                <w:ilvl w:val="0"/>
                <w:numId w:val="805"/>
              </w:numPr>
              <w:tabs>
                <w:tab w:val="left" w:pos="157"/>
              </w:tabs>
              <w:spacing w:before="9"/>
              <w:ind w:right="166" w:hanging="99"/>
              <w:rPr>
                <w:sz w:val="14"/>
              </w:rPr>
            </w:pPr>
            <w:r>
              <w:rPr>
                <w:color w:val="231F20"/>
                <w:sz w:val="14"/>
              </w:rPr>
              <w:t>примени</w:t>
            </w:r>
            <w:r>
              <w:rPr>
                <w:color w:val="231F20"/>
                <w:spacing w:val="-8"/>
                <w:sz w:val="14"/>
              </w:rPr>
              <w:t xml:space="preserve"> </w:t>
            </w:r>
            <w:r>
              <w:rPr>
                <w:color w:val="231F20"/>
                <w:sz w:val="14"/>
              </w:rPr>
              <w:t>знања</w:t>
            </w:r>
            <w:r>
              <w:rPr>
                <w:color w:val="231F20"/>
                <w:spacing w:val="-8"/>
                <w:sz w:val="14"/>
              </w:rPr>
              <w:t xml:space="preserve"> </w:t>
            </w:r>
            <w:r>
              <w:rPr>
                <w:color w:val="231F20"/>
                <w:sz w:val="14"/>
              </w:rPr>
              <w:t>о</w:t>
            </w:r>
            <w:r>
              <w:rPr>
                <w:color w:val="231F20"/>
                <w:spacing w:val="-7"/>
                <w:sz w:val="14"/>
              </w:rPr>
              <w:t xml:space="preserve"> </w:t>
            </w:r>
            <w:r>
              <w:rPr>
                <w:color w:val="231F20"/>
                <w:sz w:val="14"/>
              </w:rPr>
              <w:t>гласовним</w:t>
            </w:r>
            <w:r>
              <w:rPr>
                <w:color w:val="231F20"/>
                <w:spacing w:val="-8"/>
                <w:sz w:val="14"/>
              </w:rPr>
              <w:t xml:space="preserve"> </w:t>
            </w:r>
            <w:r>
              <w:rPr>
                <w:color w:val="231F20"/>
                <w:sz w:val="14"/>
              </w:rPr>
              <w:t>алтерна­ цијама у складу са језичком</w:t>
            </w:r>
            <w:r>
              <w:rPr>
                <w:color w:val="231F20"/>
                <w:spacing w:val="-21"/>
                <w:sz w:val="14"/>
              </w:rPr>
              <w:t xml:space="preserve"> </w:t>
            </w:r>
            <w:r>
              <w:rPr>
                <w:color w:val="231F20"/>
                <w:sz w:val="14"/>
              </w:rPr>
              <w:t>нормом;</w:t>
            </w:r>
          </w:p>
          <w:p w:rsidR="00041039" w:rsidRDefault="001B26CB">
            <w:pPr>
              <w:pStyle w:val="TableParagraph"/>
              <w:numPr>
                <w:ilvl w:val="0"/>
                <w:numId w:val="805"/>
              </w:numPr>
              <w:tabs>
                <w:tab w:val="left" w:pos="157"/>
              </w:tabs>
              <w:spacing w:line="160" w:lineRule="exact"/>
              <w:ind w:right="262" w:hanging="99"/>
              <w:rPr>
                <w:sz w:val="14"/>
              </w:rPr>
            </w:pPr>
            <w:r>
              <w:rPr>
                <w:color w:val="231F20"/>
                <w:sz w:val="14"/>
              </w:rPr>
              <w:t>примени употребу великог и малог слова у складу са језичком</w:t>
            </w:r>
            <w:r>
              <w:rPr>
                <w:color w:val="231F20"/>
                <w:spacing w:val="-22"/>
                <w:sz w:val="14"/>
              </w:rPr>
              <w:t xml:space="preserve"> </w:t>
            </w:r>
            <w:r>
              <w:rPr>
                <w:color w:val="231F20"/>
                <w:sz w:val="14"/>
              </w:rPr>
              <w:t>нормом;</w:t>
            </w:r>
          </w:p>
          <w:p w:rsidR="00041039" w:rsidRDefault="001B26CB">
            <w:pPr>
              <w:pStyle w:val="TableParagraph"/>
              <w:numPr>
                <w:ilvl w:val="0"/>
                <w:numId w:val="805"/>
              </w:numPr>
              <w:tabs>
                <w:tab w:val="left" w:pos="157"/>
              </w:tabs>
              <w:spacing w:line="160" w:lineRule="exact"/>
              <w:ind w:right="134" w:hanging="99"/>
              <w:rPr>
                <w:sz w:val="14"/>
              </w:rPr>
            </w:pPr>
            <w:r>
              <w:rPr>
                <w:color w:val="231F20"/>
                <w:sz w:val="14"/>
              </w:rPr>
              <w:t>подели речи на крају реда у складу</w:t>
            </w:r>
            <w:r>
              <w:rPr>
                <w:color w:val="231F20"/>
                <w:spacing w:val="-13"/>
                <w:sz w:val="14"/>
              </w:rPr>
              <w:t xml:space="preserve"> </w:t>
            </w:r>
            <w:r>
              <w:rPr>
                <w:color w:val="231F20"/>
                <w:sz w:val="14"/>
              </w:rPr>
              <w:t>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numPr>
                <w:ilvl w:val="0"/>
                <w:numId w:val="804"/>
              </w:numPr>
              <w:tabs>
                <w:tab w:val="left" w:pos="158"/>
              </w:tabs>
              <w:spacing w:before="9"/>
              <w:ind w:right="134"/>
              <w:rPr>
                <w:sz w:val="14"/>
              </w:rPr>
            </w:pPr>
            <w:r>
              <w:rPr>
                <w:color w:val="231F20"/>
                <w:spacing w:val="-3"/>
                <w:sz w:val="14"/>
              </w:rPr>
              <w:t xml:space="preserve">Главне </w:t>
            </w:r>
            <w:r>
              <w:rPr>
                <w:color w:val="231F20"/>
                <w:sz w:val="14"/>
              </w:rPr>
              <w:t>норме писања великог и малог слова (на почетку реченице, наслови и натписи, властита имена, имена народа, географски појмови, небеска тела, праз­ ници, установе и организације, присвојни придеви</w:t>
            </w:r>
            <w:r>
              <w:rPr>
                <w:color w:val="231F20"/>
                <w:sz w:val="14"/>
              </w:rPr>
              <w:t xml:space="preserve"> на ­ ов и ­ ин, куртоазна</w:t>
            </w:r>
            <w:r>
              <w:rPr>
                <w:color w:val="231F20"/>
                <w:spacing w:val="-19"/>
                <w:sz w:val="14"/>
              </w:rPr>
              <w:t xml:space="preserve"> </w:t>
            </w:r>
            <w:r>
              <w:rPr>
                <w:color w:val="231F20"/>
                <w:sz w:val="14"/>
              </w:rPr>
              <w:t>употреба великог слова, вишечлана имена земаља и остала вишечлана имена, помоћне речи у именима, називи серијских и апстрактних појмова, звања,</w:t>
            </w:r>
            <w:r>
              <w:rPr>
                <w:color w:val="231F20"/>
                <w:spacing w:val="-2"/>
                <w:sz w:val="14"/>
              </w:rPr>
              <w:t xml:space="preserve"> </w:t>
            </w:r>
            <w:r>
              <w:rPr>
                <w:color w:val="231F20"/>
                <w:sz w:val="14"/>
              </w:rPr>
              <w:t>титуле...).</w:t>
            </w:r>
          </w:p>
          <w:p w:rsidR="00041039" w:rsidRDefault="001B26CB">
            <w:pPr>
              <w:pStyle w:val="TableParagraph"/>
              <w:numPr>
                <w:ilvl w:val="0"/>
                <w:numId w:val="804"/>
              </w:numPr>
              <w:tabs>
                <w:tab w:val="left" w:pos="158"/>
              </w:tabs>
              <w:spacing w:line="151" w:lineRule="exact"/>
              <w:rPr>
                <w:sz w:val="14"/>
              </w:rPr>
            </w:pPr>
            <w:r>
              <w:rPr>
                <w:color w:val="231F20"/>
                <w:sz w:val="14"/>
              </w:rPr>
              <w:t>Подела речи на крају</w:t>
            </w:r>
            <w:r>
              <w:rPr>
                <w:color w:val="231F20"/>
                <w:spacing w:val="-3"/>
                <w:sz w:val="14"/>
              </w:rPr>
              <w:t xml:space="preserve"> </w:t>
            </w:r>
            <w:r>
              <w:rPr>
                <w:color w:val="231F20"/>
                <w:sz w:val="14"/>
              </w:rPr>
              <w:t>реда.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19"/>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803"/>
              </w:numPr>
              <w:tabs>
                <w:tab w:val="left" w:pos="157"/>
              </w:tabs>
              <w:spacing w:before="9"/>
              <w:ind w:right="158" w:hanging="99"/>
              <w:rPr>
                <w:sz w:val="14"/>
              </w:rPr>
            </w:pPr>
            <w:r>
              <w:rPr>
                <w:color w:val="231F20"/>
                <w:sz w:val="14"/>
              </w:rPr>
              <w:t>Оспособљавање ученика да користе различите облике казивања и</w:t>
            </w:r>
            <w:r>
              <w:rPr>
                <w:color w:val="231F20"/>
                <w:spacing w:val="-10"/>
                <w:sz w:val="14"/>
              </w:rPr>
              <w:t xml:space="preserve"> </w:t>
            </w:r>
            <w:r>
              <w:rPr>
                <w:color w:val="231F20"/>
                <w:sz w:val="14"/>
              </w:rPr>
              <w:t>функцио­ налне</w:t>
            </w:r>
            <w:r>
              <w:rPr>
                <w:color w:val="231F20"/>
                <w:spacing w:val="-2"/>
                <w:sz w:val="14"/>
              </w:rPr>
              <w:t xml:space="preserve"> </w:t>
            </w:r>
            <w:r>
              <w:rPr>
                <w:color w:val="231F20"/>
                <w:sz w:val="14"/>
              </w:rPr>
              <w:t>стилове.</w:t>
            </w:r>
          </w:p>
        </w:tc>
        <w:tc>
          <w:tcPr>
            <w:tcW w:w="2551" w:type="dxa"/>
          </w:tcPr>
          <w:p w:rsidR="00041039" w:rsidRDefault="001B26CB">
            <w:pPr>
              <w:pStyle w:val="TableParagraph"/>
              <w:numPr>
                <w:ilvl w:val="0"/>
                <w:numId w:val="802"/>
              </w:numPr>
              <w:tabs>
                <w:tab w:val="left" w:pos="158"/>
              </w:tabs>
              <w:spacing w:before="10"/>
              <w:ind w:right="142"/>
              <w:rPr>
                <w:sz w:val="14"/>
              </w:rPr>
            </w:pPr>
            <w:r>
              <w:rPr>
                <w:color w:val="231F20"/>
                <w:sz w:val="14"/>
              </w:rPr>
              <w:t>опише стања, осећања. расположења. изрази ставове, донесе закључке у усменом и писаном</w:t>
            </w:r>
            <w:r>
              <w:rPr>
                <w:color w:val="231F20"/>
                <w:spacing w:val="-6"/>
                <w:sz w:val="14"/>
              </w:rPr>
              <w:t xml:space="preserve"> </w:t>
            </w:r>
            <w:r>
              <w:rPr>
                <w:color w:val="231F20"/>
                <w:sz w:val="14"/>
              </w:rPr>
              <w:t>изражавању;</w:t>
            </w:r>
          </w:p>
          <w:p w:rsidR="00041039" w:rsidRDefault="001B26CB">
            <w:pPr>
              <w:pStyle w:val="TableParagraph"/>
              <w:numPr>
                <w:ilvl w:val="0"/>
                <w:numId w:val="802"/>
              </w:numPr>
              <w:tabs>
                <w:tab w:val="left" w:pos="158"/>
              </w:tabs>
              <w:spacing w:line="152" w:lineRule="exact"/>
              <w:rPr>
                <w:sz w:val="14"/>
              </w:rPr>
            </w:pPr>
            <w:r>
              <w:rPr>
                <w:color w:val="231F20"/>
                <w:sz w:val="14"/>
              </w:rPr>
              <w:t>разликује функционалне</w:t>
            </w:r>
            <w:r>
              <w:rPr>
                <w:color w:val="231F20"/>
                <w:spacing w:val="-3"/>
                <w:sz w:val="14"/>
              </w:rPr>
              <w:t xml:space="preserve"> </w:t>
            </w:r>
            <w:r>
              <w:rPr>
                <w:color w:val="231F20"/>
                <w:sz w:val="14"/>
              </w:rPr>
              <w:t>стилове;</w:t>
            </w:r>
          </w:p>
          <w:p w:rsidR="00041039" w:rsidRDefault="001B26CB">
            <w:pPr>
              <w:pStyle w:val="TableParagraph"/>
              <w:numPr>
                <w:ilvl w:val="0"/>
                <w:numId w:val="802"/>
              </w:numPr>
              <w:tabs>
                <w:tab w:val="left" w:pos="158"/>
              </w:tabs>
              <w:spacing w:line="237" w:lineRule="auto"/>
              <w:ind w:right="409"/>
              <w:rPr>
                <w:sz w:val="14"/>
              </w:rPr>
            </w:pPr>
            <w:r>
              <w:rPr>
                <w:color w:val="231F20"/>
                <w:sz w:val="14"/>
              </w:rPr>
              <w:t>препозна и примени одлике раз­ говорног и</w:t>
            </w:r>
            <w:r>
              <w:rPr>
                <w:color w:val="231F20"/>
                <w:spacing w:val="-22"/>
                <w:sz w:val="14"/>
              </w:rPr>
              <w:t xml:space="preserve"> </w:t>
            </w:r>
            <w:r>
              <w:rPr>
                <w:color w:val="231F20"/>
                <w:sz w:val="14"/>
              </w:rPr>
              <w:t>књижевноуметничког функционалног</w:t>
            </w:r>
            <w:r>
              <w:rPr>
                <w:color w:val="231F20"/>
                <w:spacing w:val="-2"/>
                <w:sz w:val="14"/>
              </w:rPr>
              <w:t xml:space="preserve"> </w:t>
            </w:r>
            <w:r>
              <w:rPr>
                <w:color w:val="231F20"/>
                <w:sz w:val="14"/>
              </w:rPr>
              <w:t>стила;</w:t>
            </w:r>
          </w:p>
          <w:p w:rsidR="00041039" w:rsidRDefault="001B26CB">
            <w:pPr>
              <w:pStyle w:val="TableParagraph"/>
              <w:numPr>
                <w:ilvl w:val="0"/>
                <w:numId w:val="802"/>
              </w:numPr>
              <w:tabs>
                <w:tab w:val="left" w:pos="158"/>
              </w:tabs>
              <w:spacing w:line="237" w:lineRule="auto"/>
              <w:ind w:right="120"/>
              <w:rPr>
                <w:sz w:val="14"/>
              </w:rPr>
            </w:pPr>
            <w:r>
              <w:rPr>
                <w:color w:val="231F20"/>
                <w:sz w:val="14"/>
              </w:rPr>
              <w:t>попуњава формуларе. уплатнице, захтеве и слично у складу са</w:t>
            </w:r>
            <w:r>
              <w:rPr>
                <w:color w:val="231F20"/>
                <w:spacing w:val="-19"/>
                <w:sz w:val="14"/>
              </w:rPr>
              <w:t xml:space="preserve"> </w:t>
            </w:r>
            <w:r>
              <w:rPr>
                <w:color w:val="231F20"/>
                <w:sz w:val="14"/>
              </w:rPr>
              <w:t>језичком нормом;</w:t>
            </w:r>
          </w:p>
        </w:tc>
        <w:tc>
          <w:tcPr>
            <w:tcW w:w="2834" w:type="dxa"/>
          </w:tcPr>
          <w:p w:rsidR="00041039" w:rsidRDefault="001B26CB">
            <w:pPr>
              <w:pStyle w:val="TableParagraph"/>
              <w:numPr>
                <w:ilvl w:val="0"/>
                <w:numId w:val="801"/>
              </w:numPr>
              <w:tabs>
                <w:tab w:val="left" w:pos="158"/>
              </w:tabs>
              <w:spacing w:before="10" w:line="166" w:lineRule="exact"/>
              <w:rPr>
                <w:sz w:val="14"/>
              </w:rPr>
            </w:pPr>
            <w:r>
              <w:rPr>
                <w:color w:val="231F20"/>
                <w:sz w:val="14"/>
              </w:rPr>
              <w:t>Језичке</w:t>
            </w:r>
            <w:r>
              <w:rPr>
                <w:color w:val="231F20"/>
                <w:spacing w:val="-1"/>
                <w:sz w:val="14"/>
              </w:rPr>
              <w:t xml:space="preserve"> </w:t>
            </w:r>
            <w:r>
              <w:rPr>
                <w:color w:val="231F20"/>
                <w:sz w:val="14"/>
              </w:rPr>
              <w:t>вежбе.</w:t>
            </w:r>
          </w:p>
          <w:p w:rsidR="00041039" w:rsidRDefault="001B26CB">
            <w:pPr>
              <w:pStyle w:val="TableParagraph"/>
              <w:numPr>
                <w:ilvl w:val="0"/>
                <w:numId w:val="801"/>
              </w:numPr>
              <w:tabs>
                <w:tab w:val="left" w:pos="158"/>
              </w:tabs>
              <w:spacing w:line="160" w:lineRule="exact"/>
              <w:rPr>
                <w:sz w:val="14"/>
              </w:rPr>
            </w:pPr>
            <w:r>
              <w:rPr>
                <w:color w:val="231F20"/>
                <w:sz w:val="14"/>
              </w:rPr>
              <w:t>Стилске</w:t>
            </w:r>
            <w:r>
              <w:rPr>
                <w:color w:val="231F20"/>
                <w:spacing w:val="-1"/>
                <w:sz w:val="14"/>
              </w:rPr>
              <w:t xml:space="preserve"> </w:t>
            </w:r>
            <w:r>
              <w:rPr>
                <w:color w:val="231F20"/>
                <w:sz w:val="14"/>
              </w:rPr>
              <w:t>вежбе.</w:t>
            </w:r>
          </w:p>
          <w:p w:rsidR="00041039" w:rsidRDefault="001B26CB">
            <w:pPr>
              <w:pStyle w:val="TableParagraph"/>
              <w:numPr>
                <w:ilvl w:val="0"/>
                <w:numId w:val="801"/>
              </w:numPr>
              <w:tabs>
                <w:tab w:val="left" w:pos="158"/>
              </w:tabs>
              <w:spacing w:line="237" w:lineRule="auto"/>
              <w:ind w:right="232"/>
              <w:rPr>
                <w:sz w:val="14"/>
              </w:rPr>
            </w:pPr>
            <w:r>
              <w:rPr>
                <w:color w:val="231F20"/>
                <w:sz w:val="14"/>
              </w:rPr>
              <w:t>Врсте функционалних стилова ­ основне одлике.</w:t>
            </w:r>
          </w:p>
          <w:p w:rsidR="00041039" w:rsidRDefault="001B26CB">
            <w:pPr>
              <w:pStyle w:val="TableParagraph"/>
              <w:numPr>
                <w:ilvl w:val="0"/>
                <w:numId w:val="801"/>
              </w:numPr>
              <w:tabs>
                <w:tab w:val="left" w:pos="158"/>
              </w:tabs>
              <w:spacing w:line="155" w:lineRule="exact"/>
              <w:rPr>
                <w:sz w:val="14"/>
              </w:rPr>
            </w:pPr>
            <w:r>
              <w:rPr>
                <w:color w:val="231F20"/>
                <w:sz w:val="14"/>
              </w:rPr>
              <w:t>Разговорни функционални</w:t>
            </w:r>
            <w:r>
              <w:rPr>
                <w:color w:val="231F20"/>
                <w:spacing w:val="-3"/>
                <w:sz w:val="14"/>
              </w:rPr>
              <w:t xml:space="preserve"> </w:t>
            </w:r>
            <w:r>
              <w:rPr>
                <w:color w:val="231F20"/>
                <w:sz w:val="14"/>
              </w:rPr>
              <w:t>стил.</w:t>
            </w:r>
          </w:p>
          <w:p w:rsidR="00041039" w:rsidRDefault="001B26CB">
            <w:pPr>
              <w:pStyle w:val="TableParagraph"/>
              <w:numPr>
                <w:ilvl w:val="0"/>
                <w:numId w:val="801"/>
              </w:numPr>
              <w:tabs>
                <w:tab w:val="left" w:pos="158"/>
              </w:tabs>
              <w:spacing w:line="160" w:lineRule="exact"/>
              <w:rPr>
                <w:sz w:val="14"/>
              </w:rPr>
            </w:pPr>
            <w:r>
              <w:rPr>
                <w:color w:val="231F20"/>
                <w:sz w:val="14"/>
              </w:rPr>
              <w:t>Књижевноуметнички функционални</w:t>
            </w:r>
            <w:r>
              <w:rPr>
                <w:color w:val="231F20"/>
                <w:spacing w:val="-6"/>
                <w:sz w:val="14"/>
              </w:rPr>
              <w:t xml:space="preserve"> </w:t>
            </w:r>
            <w:r>
              <w:rPr>
                <w:color w:val="231F20"/>
                <w:sz w:val="14"/>
              </w:rPr>
              <w:t>стил.</w:t>
            </w:r>
          </w:p>
          <w:p w:rsidR="00041039" w:rsidRDefault="001B26CB">
            <w:pPr>
              <w:pStyle w:val="TableParagraph"/>
              <w:numPr>
                <w:ilvl w:val="0"/>
                <w:numId w:val="801"/>
              </w:numPr>
              <w:tabs>
                <w:tab w:val="left" w:pos="158"/>
              </w:tabs>
              <w:spacing w:line="237" w:lineRule="auto"/>
              <w:ind w:right="260"/>
              <w:rPr>
                <w:sz w:val="14"/>
              </w:rPr>
            </w:pPr>
            <w:r>
              <w:rPr>
                <w:color w:val="231F20"/>
                <w:sz w:val="14"/>
              </w:rPr>
              <w:t>Попуњавање</w:t>
            </w:r>
            <w:r>
              <w:rPr>
                <w:color w:val="231F20"/>
                <w:spacing w:val="-10"/>
                <w:sz w:val="14"/>
              </w:rPr>
              <w:t xml:space="preserve"> </w:t>
            </w:r>
            <w:r>
              <w:rPr>
                <w:color w:val="231F20"/>
                <w:sz w:val="14"/>
              </w:rPr>
              <w:t>формулара,</w:t>
            </w:r>
            <w:r>
              <w:rPr>
                <w:color w:val="231F20"/>
                <w:spacing w:val="-11"/>
                <w:sz w:val="14"/>
              </w:rPr>
              <w:t xml:space="preserve"> </w:t>
            </w:r>
            <w:r>
              <w:rPr>
                <w:color w:val="231F20"/>
                <w:sz w:val="14"/>
              </w:rPr>
              <w:t>захтева,</w:t>
            </w:r>
            <w:r>
              <w:rPr>
                <w:color w:val="231F20"/>
                <w:spacing w:val="-10"/>
                <w:sz w:val="14"/>
              </w:rPr>
              <w:t xml:space="preserve"> </w:t>
            </w:r>
            <w:r>
              <w:rPr>
                <w:color w:val="231F20"/>
                <w:sz w:val="14"/>
              </w:rPr>
              <w:t>уплат­ ница и</w:t>
            </w:r>
            <w:r>
              <w:rPr>
                <w:color w:val="231F20"/>
                <w:spacing w:val="-3"/>
                <w:sz w:val="14"/>
              </w:rPr>
              <w:t xml:space="preserve"> </w:t>
            </w:r>
            <w:r>
              <w:rPr>
                <w:color w:val="231F20"/>
                <w:sz w:val="14"/>
              </w:rPr>
              <w:t>сл.</w:t>
            </w:r>
          </w:p>
          <w:p w:rsidR="00041039" w:rsidRDefault="001B26CB">
            <w:pPr>
              <w:pStyle w:val="TableParagraph"/>
              <w:numPr>
                <w:ilvl w:val="0"/>
                <w:numId w:val="801"/>
              </w:numPr>
              <w:tabs>
                <w:tab w:val="left" w:pos="158"/>
              </w:tabs>
              <w:spacing w:line="155" w:lineRule="exact"/>
              <w:rPr>
                <w:sz w:val="14"/>
              </w:rPr>
            </w:pPr>
            <w:r>
              <w:rPr>
                <w:color w:val="231F20"/>
                <w:sz w:val="14"/>
              </w:rPr>
              <w:t>Школски писмени задаци 4 х 2 +</w:t>
            </w:r>
            <w:r>
              <w:rPr>
                <w:color w:val="231F20"/>
                <w:spacing w:val="-10"/>
                <w:sz w:val="14"/>
              </w:rPr>
              <w:t xml:space="preserve"> </w:t>
            </w:r>
            <w:r>
              <w:rPr>
                <w:color w:val="231F20"/>
                <w:sz w:val="14"/>
              </w:rPr>
              <w:t>2.</w:t>
            </w:r>
          </w:p>
          <w:p w:rsidR="00041039" w:rsidRDefault="001B26CB">
            <w:pPr>
              <w:pStyle w:val="TableParagraph"/>
              <w:numPr>
                <w:ilvl w:val="0"/>
                <w:numId w:val="801"/>
              </w:numPr>
              <w:tabs>
                <w:tab w:val="left" w:pos="158"/>
              </w:tabs>
              <w:spacing w:line="165" w:lineRule="exact"/>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pStyle w:val="BodyText"/>
        <w:spacing w:before="8"/>
        <w:rPr>
          <w:b/>
          <w:sz w:val="18"/>
        </w:rPr>
      </w:pPr>
    </w:p>
    <w:p w:rsidR="00041039" w:rsidRDefault="001B26CB">
      <w:pPr>
        <w:tabs>
          <w:tab w:val="left" w:pos="1461"/>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600"/>
        </w:trPr>
        <w:tc>
          <w:tcPr>
            <w:tcW w:w="1304" w:type="dxa"/>
          </w:tcPr>
          <w:p w:rsidR="00041039" w:rsidRDefault="001B26CB">
            <w:pPr>
              <w:pStyle w:val="TableParagraph"/>
              <w:spacing w:before="18"/>
              <w:ind w:left="56" w:right="69"/>
              <w:rPr>
                <w:sz w:val="14"/>
              </w:rPr>
            </w:pPr>
            <w:r>
              <w:rPr>
                <w:color w:val="231F20"/>
                <w:sz w:val="14"/>
              </w:rPr>
              <w:t>Барок, класицизам, просветитељство</w:t>
            </w:r>
          </w:p>
        </w:tc>
        <w:tc>
          <w:tcPr>
            <w:tcW w:w="1587" w:type="dxa"/>
          </w:tcPr>
          <w:p w:rsidR="00041039" w:rsidRDefault="001B26CB">
            <w:pPr>
              <w:pStyle w:val="TableParagraph"/>
              <w:numPr>
                <w:ilvl w:val="0"/>
                <w:numId w:val="800"/>
              </w:numPr>
              <w:tabs>
                <w:tab w:val="left" w:pos="157"/>
              </w:tabs>
              <w:spacing w:before="8"/>
              <w:ind w:right="74"/>
              <w:rPr>
                <w:sz w:val="14"/>
              </w:rPr>
            </w:pPr>
            <w:r>
              <w:rPr>
                <w:color w:val="231F20"/>
                <w:sz w:val="14"/>
              </w:rPr>
              <w:t>Упознавање са европским</w:t>
            </w:r>
            <w:r>
              <w:rPr>
                <w:color w:val="231F20"/>
                <w:spacing w:val="-12"/>
                <w:sz w:val="14"/>
              </w:rPr>
              <w:t xml:space="preserve"> </w:t>
            </w:r>
            <w:r>
              <w:rPr>
                <w:color w:val="231F20"/>
                <w:sz w:val="14"/>
              </w:rPr>
              <w:t>културним, духовним и мисаоним тенденцијама XVII и XVIII века и њиховим утицајима на српску књижевност.</w:t>
            </w:r>
          </w:p>
        </w:tc>
        <w:tc>
          <w:tcPr>
            <w:tcW w:w="2551" w:type="dxa"/>
          </w:tcPr>
          <w:p w:rsidR="00041039" w:rsidRDefault="001B26CB">
            <w:pPr>
              <w:pStyle w:val="TableParagraph"/>
              <w:numPr>
                <w:ilvl w:val="0"/>
                <w:numId w:val="799"/>
              </w:numPr>
              <w:tabs>
                <w:tab w:val="left" w:pos="157"/>
              </w:tabs>
              <w:spacing w:before="8"/>
              <w:ind w:right="58" w:hanging="99"/>
              <w:jc w:val="both"/>
              <w:rPr>
                <w:sz w:val="14"/>
              </w:rPr>
            </w:pPr>
            <w:r>
              <w:rPr>
                <w:color w:val="231F20"/>
                <w:sz w:val="14"/>
              </w:rPr>
              <w:t>наведе особености барока, класицизма и просветитељства и њихове</w:t>
            </w:r>
            <w:r>
              <w:rPr>
                <w:color w:val="231F20"/>
                <w:spacing w:val="-15"/>
                <w:sz w:val="14"/>
              </w:rPr>
              <w:t xml:space="preserve"> </w:t>
            </w:r>
            <w:r>
              <w:rPr>
                <w:color w:val="231F20"/>
                <w:sz w:val="14"/>
              </w:rPr>
              <w:t>представ­ нике у</w:t>
            </w:r>
            <w:r>
              <w:rPr>
                <w:color w:val="231F20"/>
                <w:spacing w:val="-1"/>
                <w:sz w:val="14"/>
              </w:rPr>
              <w:t xml:space="preserve"> </w:t>
            </w:r>
            <w:r>
              <w:rPr>
                <w:color w:val="231F20"/>
                <w:sz w:val="14"/>
              </w:rPr>
              <w:t>књижевности;</w:t>
            </w:r>
          </w:p>
          <w:p w:rsidR="00041039" w:rsidRDefault="001B26CB">
            <w:pPr>
              <w:pStyle w:val="TableParagraph"/>
              <w:numPr>
                <w:ilvl w:val="0"/>
                <w:numId w:val="799"/>
              </w:numPr>
              <w:tabs>
                <w:tab w:val="left" w:pos="157"/>
              </w:tabs>
              <w:spacing w:line="157" w:lineRule="exact"/>
              <w:ind w:hanging="99"/>
              <w:rPr>
                <w:sz w:val="14"/>
              </w:rPr>
            </w:pPr>
            <w:r>
              <w:rPr>
                <w:color w:val="231F20"/>
                <w:sz w:val="14"/>
              </w:rPr>
              <w:t>објасни значај Венцловића</w:t>
            </w:r>
            <w:r>
              <w:rPr>
                <w:color w:val="231F20"/>
                <w:spacing w:val="-2"/>
                <w:sz w:val="14"/>
              </w:rPr>
              <w:t xml:space="preserve"> </w:t>
            </w:r>
            <w:r>
              <w:rPr>
                <w:color w:val="231F20"/>
                <w:sz w:val="14"/>
              </w:rPr>
              <w:t>и</w:t>
            </w:r>
          </w:p>
          <w:p w:rsidR="00041039" w:rsidRDefault="001B26CB">
            <w:pPr>
              <w:pStyle w:val="TableParagraph"/>
              <w:rPr>
                <w:sz w:val="14"/>
              </w:rPr>
            </w:pPr>
            <w:r>
              <w:rPr>
                <w:color w:val="231F20"/>
                <w:sz w:val="14"/>
              </w:rPr>
              <w:t>Орфелина за развој језика и књижев­ ности код Срба;</w:t>
            </w:r>
          </w:p>
          <w:p w:rsidR="00041039" w:rsidRDefault="001B26CB">
            <w:pPr>
              <w:pStyle w:val="TableParagraph"/>
              <w:numPr>
                <w:ilvl w:val="0"/>
                <w:numId w:val="799"/>
              </w:numPr>
              <w:tabs>
                <w:tab w:val="left" w:pos="157"/>
              </w:tabs>
              <w:spacing w:line="160" w:lineRule="exact"/>
              <w:ind w:right="168" w:hanging="99"/>
              <w:rPr>
                <w:sz w:val="14"/>
              </w:rPr>
            </w:pPr>
            <w:r>
              <w:rPr>
                <w:color w:val="231F20"/>
                <w:sz w:val="14"/>
              </w:rPr>
              <w:t>препозна одлике просветитељства</w:t>
            </w:r>
            <w:r>
              <w:rPr>
                <w:color w:val="231F20"/>
                <w:spacing w:val="-18"/>
                <w:sz w:val="14"/>
              </w:rPr>
              <w:t xml:space="preserve"> </w:t>
            </w:r>
            <w:r>
              <w:rPr>
                <w:color w:val="231F20"/>
                <w:sz w:val="14"/>
              </w:rPr>
              <w:t>на обрађеним</w:t>
            </w:r>
            <w:r>
              <w:rPr>
                <w:color w:val="231F20"/>
                <w:spacing w:val="-1"/>
                <w:sz w:val="14"/>
              </w:rPr>
              <w:t xml:space="preserve"> </w:t>
            </w:r>
            <w:r>
              <w:rPr>
                <w:color w:val="231F20"/>
                <w:sz w:val="14"/>
              </w:rPr>
              <w:t>делима;</w:t>
            </w:r>
          </w:p>
          <w:p w:rsidR="00041039" w:rsidRDefault="001B26CB">
            <w:pPr>
              <w:pStyle w:val="TableParagraph"/>
              <w:numPr>
                <w:ilvl w:val="0"/>
                <w:numId w:val="799"/>
              </w:numPr>
              <w:tabs>
                <w:tab w:val="left" w:pos="157"/>
              </w:tabs>
              <w:spacing w:line="160" w:lineRule="exact"/>
              <w:ind w:right="323" w:hanging="99"/>
              <w:rPr>
                <w:sz w:val="14"/>
              </w:rPr>
            </w:pPr>
            <w:r>
              <w:rPr>
                <w:color w:val="231F20"/>
                <w:sz w:val="14"/>
              </w:rPr>
              <w:t>објасни значај Доситејевог рада</w:t>
            </w:r>
            <w:r>
              <w:rPr>
                <w:color w:val="231F20"/>
                <w:spacing w:val="-9"/>
                <w:sz w:val="14"/>
              </w:rPr>
              <w:t xml:space="preserve"> </w:t>
            </w:r>
            <w:r>
              <w:rPr>
                <w:color w:val="231F20"/>
                <w:sz w:val="14"/>
              </w:rPr>
              <w:t>за српску културу и</w:t>
            </w:r>
            <w:r>
              <w:rPr>
                <w:color w:val="231F20"/>
                <w:spacing w:val="-6"/>
                <w:sz w:val="14"/>
              </w:rPr>
              <w:t xml:space="preserve"> </w:t>
            </w:r>
            <w:r>
              <w:rPr>
                <w:color w:val="231F20"/>
                <w:sz w:val="14"/>
              </w:rPr>
              <w:t>књижевност;</w:t>
            </w:r>
          </w:p>
          <w:p w:rsidR="00041039" w:rsidRDefault="001B26CB">
            <w:pPr>
              <w:pStyle w:val="TableParagraph"/>
              <w:numPr>
                <w:ilvl w:val="0"/>
                <w:numId w:val="799"/>
              </w:numPr>
              <w:tabs>
                <w:tab w:val="left" w:pos="157"/>
              </w:tabs>
              <w:spacing w:line="160" w:lineRule="exact"/>
              <w:ind w:right="114" w:hanging="99"/>
              <w:rPr>
                <w:sz w:val="14"/>
              </w:rPr>
            </w:pPr>
            <w:r>
              <w:rPr>
                <w:color w:val="231F20"/>
                <w:sz w:val="14"/>
              </w:rPr>
              <w:t>направи паралелу у обради истих мотива у европској и српској</w:t>
            </w:r>
            <w:r>
              <w:rPr>
                <w:color w:val="231F20"/>
                <w:spacing w:val="-23"/>
                <w:sz w:val="14"/>
              </w:rPr>
              <w:t xml:space="preserve"> </w:t>
            </w:r>
            <w:r>
              <w:rPr>
                <w:color w:val="231F20"/>
                <w:sz w:val="14"/>
              </w:rPr>
              <w:t>књижев­ ности;</w:t>
            </w:r>
          </w:p>
          <w:p w:rsidR="00041039" w:rsidRDefault="001B26CB">
            <w:pPr>
              <w:pStyle w:val="TableParagraph"/>
              <w:numPr>
                <w:ilvl w:val="0"/>
                <w:numId w:val="799"/>
              </w:numPr>
              <w:tabs>
                <w:tab w:val="left" w:pos="157"/>
              </w:tabs>
              <w:spacing w:line="160" w:lineRule="exact"/>
              <w:ind w:right="169" w:hanging="99"/>
              <w:rPr>
                <w:sz w:val="14"/>
              </w:rPr>
            </w:pPr>
            <w:r>
              <w:rPr>
                <w:color w:val="231F20"/>
                <w:sz w:val="14"/>
              </w:rPr>
              <w:t>наведе особ</w:t>
            </w:r>
            <w:r>
              <w:rPr>
                <w:color w:val="231F20"/>
                <w:sz w:val="14"/>
              </w:rPr>
              <w:t>ине ликова у обрађеним делима и заузме став према</w:t>
            </w:r>
            <w:r>
              <w:rPr>
                <w:color w:val="231F20"/>
                <w:spacing w:val="-23"/>
                <w:sz w:val="14"/>
              </w:rPr>
              <w:t xml:space="preserve"> </w:t>
            </w:r>
            <w:r>
              <w:rPr>
                <w:color w:val="231F20"/>
                <w:sz w:val="14"/>
              </w:rPr>
              <w:t>њиховим поступцима;</w:t>
            </w:r>
          </w:p>
        </w:tc>
        <w:tc>
          <w:tcPr>
            <w:tcW w:w="2834" w:type="dxa"/>
          </w:tcPr>
          <w:p w:rsidR="00041039" w:rsidRDefault="001B26CB">
            <w:pPr>
              <w:pStyle w:val="TableParagraph"/>
              <w:numPr>
                <w:ilvl w:val="0"/>
                <w:numId w:val="798"/>
              </w:numPr>
              <w:tabs>
                <w:tab w:val="left" w:pos="157"/>
              </w:tabs>
              <w:spacing w:before="8"/>
              <w:ind w:right="437" w:hanging="99"/>
              <w:rPr>
                <w:sz w:val="14"/>
              </w:rPr>
            </w:pPr>
            <w:r>
              <w:rPr>
                <w:color w:val="231F20"/>
                <w:sz w:val="14"/>
              </w:rPr>
              <w:t xml:space="preserve">Барок и класицизам, поетика, </w:t>
            </w:r>
            <w:r>
              <w:rPr>
                <w:color w:val="231F20"/>
                <w:spacing w:val="-3"/>
                <w:sz w:val="14"/>
              </w:rPr>
              <w:t xml:space="preserve">глав­ </w:t>
            </w:r>
            <w:r>
              <w:rPr>
                <w:color w:val="231F20"/>
                <w:sz w:val="14"/>
              </w:rPr>
              <w:t>ни представници у нашој и</w:t>
            </w:r>
            <w:r>
              <w:rPr>
                <w:color w:val="231F20"/>
                <w:spacing w:val="-17"/>
                <w:sz w:val="14"/>
              </w:rPr>
              <w:t xml:space="preserve"> </w:t>
            </w:r>
            <w:r>
              <w:rPr>
                <w:color w:val="231F20"/>
                <w:sz w:val="14"/>
              </w:rPr>
              <w:t>европској књижевности.</w:t>
            </w:r>
          </w:p>
          <w:p w:rsidR="00041039" w:rsidRDefault="001B26CB">
            <w:pPr>
              <w:pStyle w:val="TableParagraph"/>
              <w:numPr>
                <w:ilvl w:val="0"/>
                <w:numId w:val="798"/>
              </w:numPr>
              <w:tabs>
                <w:tab w:val="left" w:pos="157"/>
              </w:tabs>
              <w:spacing w:line="152" w:lineRule="exact"/>
              <w:ind w:hanging="99"/>
              <w:rPr>
                <w:sz w:val="14"/>
              </w:rPr>
            </w:pPr>
            <w:r>
              <w:rPr>
                <w:color w:val="231F20"/>
                <w:sz w:val="14"/>
              </w:rPr>
              <w:t>Гаврил</w:t>
            </w:r>
            <w:r>
              <w:rPr>
                <w:color w:val="231F20"/>
                <w:spacing w:val="-1"/>
                <w:sz w:val="14"/>
              </w:rPr>
              <w:t xml:space="preserve"> </w:t>
            </w:r>
            <w:r>
              <w:rPr>
                <w:color w:val="231F20"/>
                <w:sz w:val="14"/>
              </w:rPr>
              <w:t>Стефановић.</w:t>
            </w:r>
          </w:p>
          <w:p w:rsidR="00041039" w:rsidRDefault="001B26CB">
            <w:pPr>
              <w:pStyle w:val="TableParagraph"/>
              <w:numPr>
                <w:ilvl w:val="0"/>
                <w:numId w:val="798"/>
              </w:numPr>
              <w:tabs>
                <w:tab w:val="left" w:pos="157"/>
              </w:tabs>
              <w:spacing w:line="160" w:lineRule="exact"/>
              <w:ind w:hanging="99"/>
              <w:rPr>
                <w:sz w:val="14"/>
              </w:rPr>
            </w:pPr>
            <w:r>
              <w:rPr>
                <w:color w:val="231F20"/>
                <w:sz w:val="14"/>
              </w:rPr>
              <w:t>Венцловић: „Песме, беседе,</w:t>
            </w:r>
            <w:r>
              <w:rPr>
                <w:color w:val="231F20"/>
                <w:spacing w:val="-1"/>
                <w:sz w:val="14"/>
              </w:rPr>
              <w:t xml:space="preserve"> </w:t>
            </w:r>
            <w:r>
              <w:rPr>
                <w:color w:val="231F20"/>
                <w:sz w:val="14"/>
              </w:rPr>
              <w:t>легенде”.</w:t>
            </w:r>
          </w:p>
          <w:p w:rsidR="00041039" w:rsidRDefault="001B26CB">
            <w:pPr>
              <w:pStyle w:val="TableParagraph"/>
              <w:numPr>
                <w:ilvl w:val="0"/>
                <w:numId w:val="798"/>
              </w:numPr>
              <w:tabs>
                <w:tab w:val="left" w:pos="157"/>
              </w:tabs>
              <w:spacing w:line="237" w:lineRule="auto"/>
              <w:ind w:right="239" w:hanging="99"/>
              <w:rPr>
                <w:sz w:val="14"/>
              </w:rPr>
            </w:pPr>
            <w:r>
              <w:rPr>
                <w:color w:val="231F20"/>
                <w:sz w:val="14"/>
              </w:rPr>
              <w:t>Значај Венцловића и Орфелина за</w:t>
            </w:r>
            <w:r>
              <w:rPr>
                <w:color w:val="231F20"/>
                <w:spacing w:val="-17"/>
                <w:sz w:val="14"/>
              </w:rPr>
              <w:t xml:space="preserve"> </w:t>
            </w:r>
            <w:r>
              <w:rPr>
                <w:color w:val="231F20"/>
                <w:sz w:val="14"/>
              </w:rPr>
              <w:t xml:space="preserve">развој књижевног језика </w:t>
            </w:r>
            <w:r>
              <w:rPr>
                <w:color w:val="231F20"/>
                <w:spacing w:val="-5"/>
                <w:sz w:val="14"/>
              </w:rPr>
              <w:t>код</w:t>
            </w:r>
            <w:r>
              <w:rPr>
                <w:color w:val="231F20"/>
                <w:spacing w:val="-1"/>
                <w:sz w:val="14"/>
              </w:rPr>
              <w:t xml:space="preserve"> </w:t>
            </w:r>
            <w:r>
              <w:rPr>
                <w:color w:val="231F20"/>
                <w:sz w:val="14"/>
              </w:rPr>
              <w:t>Срба.</w:t>
            </w:r>
          </w:p>
          <w:p w:rsidR="00041039" w:rsidRDefault="001B26CB">
            <w:pPr>
              <w:pStyle w:val="TableParagraph"/>
              <w:numPr>
                <w:ilvl w:val="0"/>
                <w:numId w:val="798"/>
              </w:numPr>
              <w:tabs>
                <w:tab w:val="left" w:pos="157"/>
              </w:tabs>
              <w:spacing w:line="155" w:lineRule="exact"/>
              <w:ind w:hanging="99"/>
              <w:rPr>
                <w:sz w:val="14"/>
              </w:rPr>
            </w:pPr>
            <w:r>
              <w:rPr>
                <w:color w:val="231F20"/>
                <w:sz w:val="14"/>
              </w:rPr>
              <w:t>Молијер:</w:t>
            </w:r>
            <w:r>
              <w:rPr>
                <w:color w:val="231F20"/>
                <w:spacing w:val="-2"/>
                <w:sz w:val="14"/>
              </w:rPr>
              <w:t xml:space="preserve"> </w:t>
            </w:r>
            <w:r>
              <w:rPr>
                <w:color w:val="231F20"/>
                <w:spacing w:val="-3"/>
                <w:sz w:val="14"/>
              </w:rPr>
              <w:t>„Тврдица”.</w:t>
            </w:r>
          </w:p>
          <w:p w:rsidR="00041039" w:rsidRDefault="001B26CB">
            <w:pPr>
              <w:pStyle w:val="TableParagraph"/>
              <w:numPr>
                <w:ilvl w:val="0"/>
                <w:numId w:val="798"/>
              </w:numPr>
              <w:tabs>
                <w:tab w:val="left" w:pos="157"/>
              </w:tabs>
              <w:spacing w:line="160" w:lineRule="exact"/>
              <w:ind w:hanging="99"/>
              <w:rPr>
                <w:sz w:val="14"/>
              </w:rPr>
            </w:pPr>
            <w:r>
              <w:rPr>
                <w:color w:val="231F20"/>
                <w:sz w:val="14"/>
              </w:rPr>
              <w:t xml:space="preserve">Просветитељство у Европи и </w:t>
            </w:r>
            <w:r>
              <w:rPr>
                <w:color w:val="231F20"/>
                <w:spacing w:val="-4"/>
                <w:sz w:val="14"/>
              </w:rPr>
              <w:t>код</w:t>
            </w:r>
            <w:r>
              <w:rPr>
                <w:color w:val="231F20"/>
                <w:spacing w:val="-3"/>
                <w:sz w:val="14"/>
              </w:rPr>
              <w:t xml:space="preserve"> </w:t>
            </w:r>
            <w:r>
              <w:rPr>
                <w:color w:val="231F20"/>
                <w:sz w:val="14"/>
              </w:rPr>
              <w:t>нас.</w:t>
            </w:r>
          </w:p>
          <w:p w:rsidR="00041039" w:rsidRDefault="001B26CB">
            <w:pPr>
              <w:pStyle w:val="TableParagraph"/>
              <w:numPr>
                <w:ilvl w:val="0"/>
                <w:numId w:val="798"/>
              </w:numPr>
              <w:tabs>
                <w:tab w:val="left" w:pos="157"/>
              </w:tabs>
              <w:spacing w:line="237" w:lineRule="auto"/>
              <w:ind w:right="132" w:hanging="99"/>
              <w:rPr>
                <w:sz w:val="14"/>
              </w:rPr>
            </w:pPr>
            <w:r>
              <w:rPr>
                <w:color w:val="231F20"/>
                <w:sz w:val="14"/>
              </w:rPr>
              <w:t>Књижевно ­ просветитељски рад Доситеја Обрадовића.</w:t>
            </w:r>
          </w:p>
          <w:p w:rsidR="00041039" w:rsidRDefault="001B26CB">
            <w:pPr>
              <w:pStyle w:val="TableParagraph"/>
              <w:numPr>
                <w:ilvl w:val="0"/>
                <w:numId w:val="798"/>
              </w:numPr>
              <w:tabs>
                <w:tab w:val="left" w:pos="157"/>
              </w:tabs>
              <w:spacing w:line="155" w:lineRule="exact"/>
              <w:ind w:hanging="99"/>
              <w:rPr>
                <w:sz w:val="14"/>
              </w:rPr>
            </w:pPr>
            <w:r>
              <w:rPr>
                <w:color w:val="231F20"/>
                <w:sz w:val="14"/>
              </w:rPr>
              <w:t>Доситеј Обрадовић: „Писмо</w:t>
            </w:r>
            <w:r>
              <w:rPr>
                <w:color w:val="231F20"/>
                <w:spacing w:val="-11"/>
                <w:sz w:val="14"/>
              </w:rPr>
              <w:t xml:space="preserve"> </w:t>
            </w:r>
            <w:r>
              <w:rPr>
                <w:color w:val="231F20"/>
                <w:sz w:val="14"/>
              </w:rPr>
              <w:t>Харалампију”.</w:t>
            </w:r>
          </w:p>
          <w:p w:rsidR="00041039" w:rsidRDefault="001B26CB">
            <w:pPr>
              <w:pStyle w:val="TableParagraph"/>
              <w:numPr>
                <w:ilvl w:val="0"/>
                <w:numId w:val="798"/>
              </w:numPr>
              <w:tabs>
                <w:tab w:val="left" w:pos="157"/>
              </w:tabs>
              <w:spacing w:line="237" w:lineRule="auto"/>
              <w:ind w:right="864" w:hanging="99"/>
              <w:rPr>
                <w:sz w:val="14"/>
              </w:rPr>
            </w:pPr>
            <w:r>
              <w:rPr>
                <w:color w:val="231F20"/>
                <w:sz w:val="14"/>
              </w:rPr>
              <w:t>Доситеј Обрадовић: „Живот и прикљученија”</w:t>
            </w:r>
            <w:r>
              <w:rPr>
                <w:color w:val="231F20"/>
                <w:spacing w:val="-4"/>
                <w:sz w:val="14"/>
              </w:rPr>
              <w:t xml:space="preserve"> </w:t>
            </w:r>
            <w:r>
              <w:rPr>
                <w:color w:val="231F20"/>
                <w:sz w:val="14"/>
              </w:rPr>
              <w:t>(одломци).</w:t>
            </w:r>
          </w:p>
          <w:p w:rsidR="00041039" w:rsidRDefault="001B26CB">
            <w:pPr>
              <w:pStyle w:val="TableParagraph"/>
              <w:numPr>
                <w:ilvl w:val="0"/>
                <w:numId w:val="798"/>
              </w:numPr>
              <w:tabs>
                <w:tab w:val="left" w:pos="157"/>
              </w:tabs>
              <w:spacing w:line="161" w:lineRule="exact"/>
              <w:ind w:hanging="99"/>
              <w:rPr>
                <w:sz w:val="14"/>
              </w:rPr>
            </w:pPr>
            <w:r>
              <w:rPr>
                <w:color w:val="231F20"/>
                <w:sz w:val="14"/>
              </w:rPr>
              <w:t>Јован Стерија Поповић:</w:t>
            </w:r>
            <w:r>
              <w:rPr>
                <w:color w:val="231F20"/>
                <w:spacing w:val="-3"/>
                <w:sz w:val="14"/>
              </w:rPr>
              <w:t xml:space="preserve"> „Тврдица”.</w:t>
            </w:r>
          </w:p>
        </w:tc>
        <w:tc>
          <w:tcPr>
            <w:tcW w:w="2267" w:type="dxa"/>
          </w:tcPr>
          <w:p w:rsidR="00041039" w:rsidRDefault="001B26CB">
            <w:pPr>
              <w:pStyle w:val="TableParagraph"/>
              <w:numPr>
                <w:ilvl w:val="0"/>
                <w:numId w:val="797"/>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797"/>
              </w:numPr>
              <w:tabs>
                <w:tab w:val="left" w:pos="158"/>
              </w:tabs>
              <w:spacing w:line="160" w:lineRule="exact"/>
              <w:ind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79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588"/>
        </w:trPr>
        <w:tc>
          <w:tcPr>
            <w:tcW w:w="1304" w:type="dxa"/>
          </w:tcPr>
          <w:p w:rsidR="00041039" w:rsidRDefault="001B26CB">
            <w:pPr>
              <w:pStyle w:val="TableParagraph"/>
              <w:spacing w:before="18"/>
              <w:ind w:left="56"/>
              <w:rPr>
                <w:sz w:val="14"/>
              </w:rPr>
            </w:pPr>
            <w:r>
              <w:rPr>
                <w:color w:val="231F20"/>
                <w:sz w:val="14"/>
              </w:rPr>
              <w:lastRenderedPageBreak/>
              <w:t>Романтизам</w:t>
            </w:r>
          </w:p>
        </w:tc>
        <w:tc>
          <w:tcPr>
            <w:tcW w:w="1587" w:type="dxa"/>
          </w:tcPr>
          <w:p w:rsidR="00041039" w:rsidRDefault="001B26CB">
            <w:pPr>
              <w:pStyle w:val="TableParagraph"/>
              <w:numPr>
                <w:ilvl w:val="0"/>
                <w:numId w:val="796"/>
              </w:numPr>
              <w:tabs>
                <w:tab w:val="left" w:pos="157"/>
              </w:tabs>
              <w:spacing w:before="13" w:line="230" w:lineRule="auto"/>
              <w:ind w:right="85"/>
              <w:rPr>
                <w:sz w:val="14"/>
              </w:rPr>
            </w:pPr>
            <w:r>
              <w:rPr>
                <w:color w:val="231F20"/>
                <w:sz w:val="14"/>
              </w:rPr>
              <w:t>Упознавање са поетиком</w:t>
            </w:r>
            <w:r>
              <w:rPr>
                <w:color w:val="231F20"/>
                <w:spacing w:val="-16"/>
                <w:sz w:val="14"/>
              </w:rPr>
              <w:t xml:space="preserve"> </w:t>
            </w:r>
            <w:r>
              <w:rPr>
                <w:color w:val="231F20"/>
                <w:sz w:val="14"/>
              </w:rPr>
              <w:t>романтизма, представницима и делима европске и српске</w:t>
            </w:r>
            <w:r>
              <w:rPr>
                <w:color w:val="231F20"/>
                <w:spacing w:val="-2"/>
                <w:sz w:val="14"/>
              </w:rPr>
              <w:t xml:space="preserve"> </w:t>
            </w:r>
            <w:r>
              <w:rPr>
                <w:color w:val="231F20"/>
                <w:sz w:val="14"/>
              </w:rPr>
              <w:t>књижевности.</w:t>
            </w:r>
          </w:p>
        </w:tc>
        <w:tc>
          <w:tcPr>
            <w:tcW w:w="2551" w:type="dxa"/>
          </w:tcPr>
          <w:p w:rsidR="00041039" w:rsidRDefault="001B26CB">
            <w:pPr>
              <w:pStyle w:val="TableParagraph"/>
              <w:numPr>
                <w:ilvl w:val="0"/>
                <w:numId w:val="795"/>
              </w:numPr>
              <w:tabs>
                <w:tab w:val="left" w:pos="157"/>
              </w:tabs>
              <w:spacing w:before="15" w:line="228" w:lineRule="auto"/>
              <w:ind w:right="298" w:hanging="99"/>
              <w:jc w:val="both"/>
              <w:rPr>
                <w:sz w:val="14"/>
              </w:rPr>
            </w:pPr>
            <w:r>
              <w:rPr>
                <w:color w:val="231F20"/>
                <w:sz w:val="14"/>
              </w:rPr>
              <w:t>наведе представнике романтизма</w:t>
            </w:r>
            <w:r>
              <w:rPr>
                <w:color w:val="231F20"/>
                <w:spacing w:val="-18"/>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795"/>
              </w:numPr>
              <w:tabs>
                <w:tab w:val="left" w:pos="157"/>
              </w:tabs>
              <w:spacing w:line="228" w:lineRule="auto"/>
              <w:ind w:right="340" w:hanging="99"/>
              <w:jc w:val="both"/>
              <w:rPr>
                <w:sz w:val="14"/>
              </w:rPr>
            </w:pPr>
            <w:r>
              <w:rPr>
                <w:color w:val="231F20"/>
                <w:sz w:val="14"/>
              </w:rPr>
              <w:t>уочава и образлаже одлике</w:t>
            </w:r>
            <w:r>
              <w:rPr>
                <w:color w:val="231F20"/>
                <w:spacing w:val="-25"/>
                <w:sz w:val="14"/>
              </w:rPr>
              <w:t xml:space="preserve"> </w:t>
            </w:r>
            <w:r>
              <w:rPr>
                <w:color w:val="231F20"/>
                <w:sz w:val="14"/>
              </w:rPr>
              <w:t>роман­ тизма;</w:t>
            </w:r>
          </w:p>
          <w:p w:rsidR="00041039" w:rsidRDefault="001B26CB">
            <w:pPr>
              <w:pStyle w:val="TableParagraph"/>
              <w:numPr>
                <w:ilvl w:val="0"/>
                <w:numId w:val="795"/>
              </w:numPr>
              <w:tabs>
                <w:tab w:val="left" w:pos="157"/>
              </w:tabs>
              <w:spacing w:line="154" w:lineRule="exact"/>
              <w:ind w:right="158" w:hanging="99"/>
              <w:jc w:val="both"/>
              <w:rPr>
                <w:sz w:val="14"/>
              </w:rPr>
            </w:pPr>
            <w:r>
              <w:rPr>
                <w:color w:val="231F20"/>
                <w:sz w:val="14"/>
              </w:rPr>
              <w:t xml:space="preserve">изнесе свој </w:t>
            </w:r>
            <w:r>
              <w:rPr>
                <w:color w:val="231F20"/>
                <w:spacing w:val="-4"/>
                <w:sz w:val="14"/>
              </w:rPr>
              <w:t xml:space="preserve">суд </w:t>
            </w:r>
            <w:r>
              <w:rPr>
                <w:color w:val="231F20"/>
                <w:sz w:val="14"/>
              </w:rPr>
              <w:t>о књижевним делима користећи стечена знања и</w:t>
            </w:r>
            <w:r>
              <w:rPr>
                <w:color w:val="231F20"/>
                <w:spacing w:val="-18"/>
                <w:sz w:val="14"/>
              </w:rPr>
              <w:t xml:space="preserve"> </w:t>
            </w:r>
            <w:r>
              <w:rPr>
                <w:color w:val="231F20"/>
                <w:sz w:val="14"/>
              </w:rPr>
              <w:t>сопствена запажања;</w:t>
            </w:r>
          </w:p>
          <w:p w:rsidR="00041039" w:rsidRDefault="001B26CB">
            <w:pPr>
              <w:pStyle w:val="TableParagraph"/>
              <w:numPr>
                <w:ilvl w:val="0"/>
                <w:numId w:val="795"/>
              </w:numPr>
              <w:tabs>
                <w:tab w:val="left" w:pos="157"/>
              </w:tabs>
              <w:spacing w:line="154" w:lineRule="exact"/>
              <w:ind w:right="269" w:hanging="99"/>
              <w:jc w:val="both"/>
              <w:rPr>
                <w:sz w:val="14"/>
              </w:rPr>
            </w:pPr>
            <w:r>
              <w:rPr>
                <w:color w:val="231F20"/>
                <w:sz w:val="14"/>
              </w:rPr>
              <w:t>препозна и усвоји вредности наци­ оналне културе и разуме / поштује културне вредности других</w:t>
            </w:r>
            <w:r>
              <w:rPr>
                <w:color w:val="231F20"/>
                <w:spacing w:val="-21"/>
                <w:sz w:val="14"/>
              </w:rPr>
              <w:t xml:space="preserve"> </w:t>
            </w:r>
            <w:r>
              <w:rPr>
                <w:color w:val="231F20"/>
                <w:sz w:val="14"/>
              </w:rPr>
              <w:t>народа;</w:t>
            </w:r>
          </w:p>
          <w:p w:rsidR="00041039" w:rsidRDefault="001B26CB">
            <w:pPr>
              <w:pStyle w:val="TableParagraph"/>
              <w:numPr>
                <w:ilvl w:val="0"/>
                <w:numId w:val="795"/>
              </w:numPr>
              <w:tabs>
                <w:tab w:val="left" w:pos="157"/>
              </w:tabs>
              <w:spacing w:line="154" w:lineRule="exact"/>
              <w:ind w:right="99" w:hanging="99"/>
              <w:rPr>
                <w:sz w:val="14"/>
              </w:rPr>
            </w:pPr>
            <w:r>
              <w:rPr>
                <w:color w:val="231F20"/>
                <w:sz w:val="14"/>
              </w:rPr>
              <w:t>тумачи уметнички свет и ств</w:t>
            </w:r>
            <w:r>
              <w:rPr>
                <w:color w:val="231F20"/>
                <w:sz w:val="14"/>
              </w:rPr>
              <w:t>аралачке поступке у структури обрађених</w:t>
            </w:r>
            <w:r>
              <w:rPr>
                <w:color w:val="231F20"/>
                <w:spacing w:val="-9"/>
                <w:sz w:val="14"/>
              </w:rPr>
              <w:t xml:space="preserve"> </w:t>
            </w:r>
            <w:r>
              <w:rPr>
                <w:color w:val="231F20"/>
                <w:sz w:val="14"/>
              </w:rPr>
              <w:t>дела;</w:t>
            </w:r>
          </w:p>
        </w:tc>
        <w:tc>
          <w:tcPr>
            <w:tcW w:w="2834" w:type="dxa"/>
          </w:tcPr>
          <w:p w:rsidR="00041039" w:rsidRDefault="001B26CB">
            <w:pPr>
              <w:pStyle w:val="TableParagraph"/>
              <w:numPr>
                <w:ilvl w:val="0"/>
                <w:numId w:val="794"/>
              </w:numPr>
              <w:tabs>
                <w:tab w:val="left" w:pos="157"/>
              </w:tabs>
              <w:spacing w:before="15" w:line="228" w:lineRule="auto"/>
              <w:ind w:right="59" w:hanging="99"/>
              <w:rPr>
                <w:sz w:val="14"/>
              </w:rPr>
            </w:pPr>
            <w:r>
              <w:rPr>
                <w:color w:val="231F20"/>
                <w:sz w:val="14"/>
              </w:rPr>
              <w:t xml:space="preserve">Романтизам у Европи и </w:t>
            </w:r>
            <w:r>
              <w:rPr>
                <w:color w:val="231F20"/>
                <w:spacing w:val="-5"/>
                <w:sz w:val="14"/>
              </w:rPr>
              <w:t xml:space="preserve">код </w:t>
            </w:r>
            <w:r>
              <w:rPr>
                <w:color w:val="231F20"/>
                <w:sz w:val="14"/>
              </w:rPr>
              <w:t>нас (појам, осо­ бености, значај,</w:t>
            </w:r>
            <w:r>
              <w:rPr>
                <w:color w:val="231F20"/>
                <w:spacing w:val="-1"/>
                <w:sz w:val="14"/>
              </w:rPr>
              <w:t xml:space="preserve"> </w:t>
            </w:r>
            <w:r>
              <w:rPr>
                <w:color w:val="231F20"/>
                <w:sz w:val="14"/>
              </w:rPr>
              <w:t>представници).</w:t>
            </w:r>
          </w:p>
          <w:p w:rsidR="00041039" w:rsidRDefault="001B26CB">
            <w:pPr>
              <w:pStyle w:val="TableParagraph"/>
              <w:numPr>
                <w:ilvl w:val="0"/>
                <w:numId w:val="794"/>
              </w:numPr>
              <w:tabs>
                <w:tab w:val="left" w:pos="157"/>
              </w:tabs>
              <w:spacing w:line="148" w:lineRule="exact"/>
              <w:ind w:hanging="99"/>
              <w:rPr>
                <w:sz w:val="14"/>
              </w:rPr>
            </w:pPr>
            <w:r>
              <w:rPr>
                <w:color w:val="231F20"/>
                <w:sz w:val="14"/>
              </w:rPr>
              <w:t>А. С. Пушкин; „Цигани”</w:t>
            </w:r>
            <w:r>
              <w:rPr>
                <w:color w:val="231F20"/>
                <w:spacing w:val="-6"/>
                <w:sz w:val="14"/>
              </w:rPr>
              <w:t xml:space="preserve"> </w:t>
            </w:r>
            <w:r>
              <w:rPr>
                <w:color w:val="231F20"/>
                <w:sz w:val="14"/>
              </w:rPr>
              <w:t>(одломак).</w:t>
            </w:r>
          </w:p>
          <w:p w:rsidR="00041039" w:rsidRDefault="001B26CB">
            <w:pPr>
              <w:pStyle w:val="TableParagraph"/>
              <w:numPr>
                <w:ilvl w:val="0"/>
                <w:numId w:val="794"/>
              </w:numPr>
              <w:tabs>
                <w:tab w:val="left" w:pos="157"/>
              </w:tabs>
              <w:spacing w:line="230" w:lineRule="auto"/>
              <w:ind w:right="64" w:hanging="99"/>
              <w:rPr>
                <w:sz w:val="14"/>
              </w:rPr>
            </w:pPr>
            <w:r>
              <w:rPr>
                <w:color w:val="231F20"/>
                <w:sz w:val="14"/>
              </w:rPr>
              <w:t>А. С. Пушкин; „Евгеније Оњегин” (анализа Татјаниног писма Оњегину и Оњегиновог одговора и анализа Оњегиновог писма Татјани и Татјаниног</w:t>
            </w:r>
            <w:r>
              <w:rPr>
                <w:color w:val="231F20"/>
                <w:spacing w:val="-6"/>
                <w:sz w:val="14"/>
              </w:rPr>
              <w:t xml:space="preserve"> </w:t>
            </w:r>
            <w:r>
              <w:rPr>
                <w:color w:val="231F20"/>
                <w:sz w:val="14"/>
              </w:rPr>
              <w:t>одговора).</w:t>
            </w:r>
          </w:p>
          <w:p w:rsidR="00041039" w:rsidRDefault="001B26CB">
            <w:pPr>
              <w:pStyle w:val="TableParagraph"/>
              <w:numPr>
                <w:ilvl w:val="0"/>
                <w:numId w:val="794"/>
              </w:numPr>
              <w:tabs>
                <w:tab w:val="left" w:pos="157"/>
              </w:tabs>
              <w:spacing w:line="145" w:lineRule="exact"/>
              <w:ind w:hanging="99"/>
              <w:rPr>
                <w:sz w:val="14"/>
              </w:rPr>
            </w:pPr>
            <w:r>
              <w:rPr>
                <w:color w:val="231F20"/>
                <w:sz w:val="14"/>
              </w:rPr>
              <w:t>X. Хајне:</w:t>
            </w:r>
            <w:r>
              <w:rPr>
                <w:color w:val="231F20"/>
                <w:spacing w:val="-3"/>
                <w:sz w:val="14"/>
              </w:rPr>
              <w:t xml:space="preserve"> </w:t>
            </w:r>
            <w:r>
              <w:rPr>
                <w:color w:val="231F20"/>
                <w:sz w:val="14"/>
              </w:rPr>
              <w:t>„Лорелај”</w:t>
            </w:r>
          </w:p>
          <w:p w:rsidR="00041039" w:rsidRDefault="001B26CB">
            <w:pPr>
              <w:pStyle w:val="TableParagraph"/>
              <w:numPr>
                <w:ilvl w:val="0"/>
                <w:numId w:val="794"/>
              </w:numPr>
              <w:tabs>
                <w:tab w:val="left" w:pos="157"/>
              </w:tabs>
              <w:spacing w:line="154" w:lineRule="exact"/>
              <w:ind w:hanging="99"/>
              <w:rPr>
                <w:sz w:val="14"/>
              </w:rPr>
            </w:pPr>
            <w:r>
              <w:rPr>
                <w:color w:val="231F20"/>
                <w:sz w:val="14"/>
              </w:rPr>
              <w:t>Ш. Петефи: „Слобода</w:t>
            </w:r>
            <w:r>
              <w:rPr>
                <w:color w:val="231F20"/>
                <w:spacing w:val="-1"/>
                <w:sz w:val="14"/>
              </w:rPr>
              <w:t xml:space="preserve"> </w:t>
            </w:r>
            <w:r>
              <w:rPr>
                <w:color w:val="231F20"/>
                <w:sz w:val="14"/>
              </w:rPr>
              <w:t>света”</w:t>
            </w:r>
          </w:p>
          <w:p w:rsidR="00041039" w:rsidRDefault="001B26CB">
            <w:pPr>
              <w:pStyle w:val="TableParagraph"/>
              <w:numPr>
                <w:ilvl w:val="0"/>
                <w:numId w:val="794"/>
              </w:numPr>
              <w:tabs>
                <w:tab w:val="left" w:pos="157"/>
              </w:tabs>
              <w:spacing w:line="230" w:lineRule="auto"/>
              <w:ind w:right="142" w:hanging="99"/>
              <w:rPr>
                <w:sz w:val="14"/>
              </w:rPr>
            </w:pPr>
            <w:r>
              <w:rPr>
                <w:color w:val="231F20"/>
                <w:sz w:val="14"/>
              </w:rPr>
              <w:t>Вук Караџић ­ рад на реформи језика и правописа, рад на сакупљ</w:t>
            </w:r>
            <w:r>
              <w:rPr>
                <w:color w:val="231F20"/>
                <w:sz w:val="14"/>
              </w:rPr>
              <w:t>ању народних умотворина, лексикографски рад, Вук као књижевни критичар и полемичар, Вук</w:t>
            </w:r>
            <w:r>
              <w:rPr>
                <w:color w:val="231F20"/>
                <w:spacing w:val="-18"/>
                <w:sz w:val="14"/>
              </w:rPr>
              <w:t xml:space="preserve"> </w:t>
            </w:r>
            <w:r>
              <w:rPr>
                <w:color w:val="231F20"/>
                <w:sz w:val="14"/>
              </w:rPr>
              <w:t>као писац, историчар и</w:t>
            </w:r>
            <w:r>
              <w:rPr>
                <w:color w:val="231F20"/>
                <w:spacing w:val="-2"/>
                <w:sz w:val="14"/>
              </w:rPr>
              <w:t xml:space="preserve"> </w:t>
            </w:r>
            <w:r>
              <w:rPr>
                <w:color w:val="231F20"/>
                <w:sz w:val="14"/>
              </w:rPr>
              <w:t>биограф.</w:t>
            </w:r>
          </w:p>
          <w:p w:rsidR="00041039" w:rsidRDefault="001B26CB">
            <w:pPr>
              <w:pStyle w:val="TableParagraph"/>
              <w:numPr>
                <w:ilvl w:val="0"/>
                <w:numId w:val="794"/>
              </w:numPr>
              <w:tabs>
                <w:tab w:val="left" w:pos="157"/>
              </w:tabs>
              <w:spacing w:line="144" w:lineRule="exact"/>
              <w:ind w:hanging="99"/>
              <w:rPr>
                <w:sz w:val="14"/>
              </w:rPr>
            </w:pPr>
            <w:r>
              <w:rPr>
                <w:color w:val="231F20"/>
                <w:sz w:val="14"/>
              </w:rPr>
              <w:t>Значај 1847.</w:t>
            </w:r>
            <w:r>
              <w:rPr>
                <w:color w:val="231F20"/>
                <w:spacing w:val="-1"/>
                <w:sz w:val="14"/>
              </w:rPr>
              <w:t xml:space="preserve"> </w:t>
            </w:r>
            <w:r>
              <w:rPr>
                <w:color w:val="231F20"/>
                <w:sz w:val="14"/>
              </w:rPr>
              <w:t>године.</w:t>
            </w:r>
          </w:p>
          <w:p w:rsidR="00041039" w:rsidRDefault="001B26CB">
            <w:pPr>
              <w:pStyle w:val="TableParagraph"/>
              <w:numPr>
                <w:ilvl w:val="0"/>
                <w:numId w:val="794"/>
              </w:numPr>
              <w:tabs>
                <w:tab w:val="left" w:pos="157"/>
              </w:tabs>
              <w:spacing w:line="154" w:lineRule="exact"/>
              <w:ind w:hanging="99"/>
              <w:rPr>
                <w:sz w:val="14"/>
              </w:rPr>
            </w:pPr>
            <w:r>
              <w:rPr>
                <w:color w:val="231F20"/>
                <w:sz w:val="14"/>
              </w:rPr>
              <w:t>Петар Петровић Његош: „Горски</w:t>
            </w:r>
            <w:r>
              <w:rPr>
                <w:color w:val="231F20"/>
                <w:spacing w:val="-16"/>
                <w:sz w:val="14"/>
              </w:rPr>
              <w:t xml:space="preserve"> </w:t>
            </w:r>
            <w:r>
              <w:rPr>
                <w:color w:val="231F20"/>
                <w:sz w:val="14"/>
              </w:rPr>
              <w:t>вијенац”.</w:t>
            </w:r>
          </w:p>
          <w:p w:rsidR="00041039" w:rsidRDefault="001B26CB">
            <w:pPr>
              <w:pStyle w:val="TableParagraph"/>
              <w:numPr>
                <w:ilvl w:val="0"/>
                <w:numId w:val="794"/>
              </w:numPr>
              <w:tabs>
                <w:tab w:val="left" w:pos="157"/>
              </w:tabs>
              <w:spacing w:line="154" w:lineRule="exact"/>
              <w:ind w:hanging="99"/>
              <w:rPr>
                <w:sz w:val="14"/>
              </w:rPr>
            </w:pPr>
            <w:r>
              <w:rPr>
                <w:color w:val="231F20"/>
                <w:spacing w:val="-2"/>
                <w:sz w:val="14"/>
              </w:rPr>
              <w:t xml:space="preserve">Бранко </w:t>
            </w:r>
            <w:r>
              <w:rPr>
                <w:color w:val="231F20"/>
                <w:sz w:val="14"/>
              </w:rPr>
              <w:t>Радичевић: „Кад млидија’</w:t>
            </w:r>
            <w:r>
              <w:rPr>
                <w:color w:val="231F20"/>
                <w:spacing w:val="-15"/>
                <w:sz w:val="14"/>
              </w:rPr>
              <w:t xml:space="preserve"> </w:t>
            </w:r>
            <w:r>
              <w:rPr>
                <w:color w:val="231F20"/>
                <w:sz w:val="14"/>
              </w:rPr>
              <w:t>умрет”.</w:t>
            </w:r>
          </w:p>
          <w:p w:rsidR="00041039" w:rsidRDefault="001B26CB">
            <w:pPr>
              <w:pStyle w:val="TableParagraph"/>
              <w:numPr>
                <w:ilvl w:val="0"/>
                <w:numId w:val="794"/>
              </w:numPr>
              <w:tabs>
                <w:tab w:val="left" w:pos="157"/>
              </w:tabs>
              <w:spacing w:line="154" w:lineRule="exact"/>
              <w:ind w:hanging="99"/>
              <w:rPr>
                <w:sz w:val="14"/>
              </w:rPr>
            </w:pPr>
            <w:r>
              <w:rPr>
                <w:color w:val="231F20"/>
                <w:sz w:val="14"/>
              </w:rPr>
              <w:t>Ћура Јакшић: „На Липару”,</w:t>
            </w:r>
            <w:r>
              <w:rPr>
                <w:color w:val="231F20"/>
                <w:spacing w:val="-7"/>
                <w:sz w:val="14"/>
              </w:rPr>
              <w:t xml:space="preserve"> </w:t>
            </w:r>
            <w:r>
              <w:rPr>
                <w:color w:val="231F20"/>
                <w:sz w:val="14"/>
              </w:rPr>
              <w:t>„Отаџбина”.</w:t>
            </w:r>
          </w:p>
          <w:p w:rsidR="00041039" w:rsidRDefault="001B26CB">
            <w:pPr>
              <w:pStyle w:val="TableParagraph"/>
              <w:numPr>
                <w:ilvl w:val="0"/>
                <w:numId w:val="794"/>
              </w:numPr>
              <w:tabs>
                <w:tab w:val="left" w:pos="157"/>
              </w:tabs>
              <w:spacing w:line="230" w:lineRule="auto"/>
              <w:ind w:right="76" w:hanging="99"/>
              <w:jc w:val="both"/>
              <w:rPr>
                <w:sz w:val="14"/>
              </w:rPr>
            </w:pPr>
            <w:r>
              <w:rPr>
                <w:color w:val="231F20"/>
                <w:sz w:val="14"/>
              </w:rPr>
              <w:t xml:space="preserve">Јован Јовановић Змај: </w:t>
            </w:r>
            <w:r>
              <w:rPr>
                <w:color w:val="231F20"/>
                <w:spacing w:val="-4"/>
                <w:sz w:val="14"/>
              </w:rPr>
              <w:t xml:space="preserve">„Ђулићи” </w:t>
            </w:r>
            <w:r>
              <w:rPr>
                <w:color w:val="231F20"/>
                <w:sz w:val="14"/>
              </w:rPr>
              <w:t xml:space="preserve">и </w:t>
            </w:r>
            <w:r>
              <w:rPr>
                <w:color w:val="231F20"/>
                <w:spacing w:val="-4"/>
                <w:sz w:val="14"/>
              </w:rPr>
              <w:t xml:space="preserve">„Ћулићи </w:t>
            </w:r>
            <w:r>
              <w:rPr>
                <w:color w:val="231F20"/>
                <w:sz w:val="14"/>
              </w:rPr>
              <w:t>увеоци” (избор). Змајева сатирична</w:t>
            </w:r>
            <w:r>
              <w:rPr>
                <w:color w:val="231F20"/>
                <w:spacing w:val="-20"/>
                <w:sz w:val="14"/>
              </w:rPr>
              <w:t xml:space="preserve"> </w:t>
            </w:r>
            <w:r>
              <w:rPr>
                <w:color w:val="231F20"/>
                <w:sz w:val="14"/>
              </w:rPr>
              <w:t>поезија (избор).</w:t>
            </w:r>
          </w:p>
          <w:p w:rsidR="00041039" w:rsidRDefault="001B26CB">
            <w:pPr>
              <w:pStyle w:val="TableParagraph"/>
              <w:numPr>
                <w:ilvl w:val="0"/>
                <w:numId w:val="794"/>
              </w:numPr>
              <w:tabs>
                <w:tab w:val="left" w:pos="157"/>
              </w:tabs>
              <w:spacing w:line="150" w:lineRule="exact"/>
              <w:ind w:hanging="99"/>
              <w:rPr>
                <w:sz w:val="14"/>
              </w:rPr>
            </w:pPr>
            <w:r>
              <w:rPr>
                <w:color w:val="231F20"/>
                <w:sz w:val="14"/>
              </w:rPr>
              <w:t>Лаза Костић: „Међу јавом и међ</w:t>
            </w:r>
            <w:r>
              <w:rPr>
                <w:color w:val="231F20"/>
                <w:spacing w:val="-9"/>
                <w:sz w:val="14"/>
              </w:rPr>
              <w:t xml:space="preserve"> </w:t>
            </w:r>
            <w:r>
              <w:rPr>
                <w:color w:val="231F20"/>
                <w:sz w:val="14"/>
              </w:rPr>
              <w:t>сном”,</w:t>
            </w:r>
          </w:p>
          <w:p w:rsidR="00041039" w:rsidRDefault="001B26CB">
            <w:pPr>
              <w:pStyle w:val="TableParagraph"/>
              <w:spacing w:line="157" w:lineRule="exact"/>
              <w:rPr>
                <w:sz w:val="14"/>
              </w:rPr>
            </w:pPr>
            <w:r>
              <w:rPr>
                <w:color w:val="231F20"/>
                <w:sz w:val="14"/>
              </w:rPr>
              <w:t>„Santa Maria della Salute”.</w:t>
            </w:r>
          </w:p>
        </w:tc>
        <w:tc>
          <w:tcPr>
            <w:tcW w:w="2267" w:type="dxa"/>
            <w:vMerge w:val="restart"/>
          </w:tcPr>
          <w:p w:rsidR="00041039" w:rsidRDefault="001B26CB">
            <w:pPr>
              <w:pStyle w:val="TableParagraph"/>
              <w:spacing w:before="21" w:line="230" w:lineRule="auto"/>
              <w:ind w:left="58" w:right="109"/>
              <w:rPr>
                <w:b/>
                <w:sz w:val="14"/>
              </w:rPr>
            </w:pPr>
            <w:r>
              <w:rPr>
                <w:b/>
                <w:color w:val="231F20"/>
                <w:sz w:val="14"/>
              </w:rPr>
              <w:t>Препоруке за реализацију наставе</w:t>
            </w:r>
          </w:p>
          <w:p w:rsidR="00041039" w:rsidRDefault="001B26CB">
            <w:pPr>
              <w:pStyle w:val="TableParagraph"/>
              <w:numPr>
                <w:ilvl w:val="0"/>
                <w:numId w:val="793"/>
              </w:numPr>
              <w:tabs>
                <w:tab w:val="left" w:pos="158"/>
              </w:tabs>
              <w:spacing w:before="1" w:line="154" w:lineRule="exact"/>
              <w:ind w:right="217" w:hanging="99"/>
              <w:rPr>
                <w:sz w:val="14"/>
              </w:rPr>
            </w:pPr>
            <w:r>
              <w:rPr>
                <w:color w:val="231F20"/>
                <w:sz w:val="14"/>
              </w:rPr>
              <w:t xml:space="preserve">Могућност гледања екраниза­ ције неких </w:t>
            </w:r>
            <w:r>
              <w:rPr>
                <w:color w:val="231F20"/>
                <w:spacing w:val="-3"/>
                <w:sz w:val="14"/>
              </w:rPr>
              <w:t xml:space="preserve">од </w:t>
            </w:r>
            <w:r>
              <w:rPr>
                <w:color w:val="231F20"/>
                <w:sz w:val="14"/>
              </w:rPr>
              <w:t>дела реалистичке књижевности.</w:t>
            </w:r>
          </w:p>
          <w:p w:rsidR="00041039" w:rsidRDefault="00041039">
            <w:pPr>
              <w:pStyle w:val="TableParagraph"/>
              <w:spacing w:before="8"/>
              <w:ind w:left="0"/>
              <w:rPr>
                <w:b/>
                <w:sz w:val="12"/>
              </w:rPr>
            </w:pPr>
          </w:p>
          <w:p w:rsidR="00041039" w:rsidRDefault="001B26CB">
            <w:pPr>
              <w:pStyle w:val="TableParagraph"/>
              <w:spacing w:line="157" w:lineRule="exact"/>
              <w:ind w:left="58"/>
              <w:rPr>
                <w:b/>
                <w:sz w:val="14"/>
              </w:rPr>
            </w:pPr>
            <w:r>
              <w:rPr>
                <w:b/>
                <w:color w:val="231F20"/>
                <w:sz w:val="14"/>
              </w:rPr>
              <w:t>Оцењивање</w:t>
            </w:r>
          </w:p>
          <w:p w:rsidR="00041039" w:rsidRDefault="001B26CB">
            <w:pPr>
              <w:pStyle w:val="TableParagraph"/>
              <w:spacing w:before="2" w:line="230"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793"/>
              </w:numPr>
              <w:tabs>
                <w:tab w:val="left" w:pos="158"/>
              </w:tabs>
              <w:spacing w:line="146"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793"/>
              </w:numPr>
              <w:tabs>
                <w:tab w:val="left" w:pos="158"/>
              </w:tabs>
              <w:spacing w:line="163"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2"/>
              </w:rPr>
            </w:pPr>
          </w:p>
          <w:p w:rsidR="00041039" w:rsidRDefault="001B26CB">
            <w:pPr>
              <w:pStyle w:val="TableParagraph"/>
              <w:spacing w:line="152" w:lineRule="exact"/>
              <w:ind w:left="58"/>
              <w:rPr>
                <w:b/>
                <w:sz w:val="14"/>
              </w:rPr>
            </w:pPr>
            <w:r>
              <w:rPr>
                <w:b/>
                <w:color w:val="231F20"/>
                <w:sz w:val="14"/>
              </w:rPr>
              <w:t>Оквирни број часова по темама</w:t>
            </w:r>
          </w:p>
          <w:p w:rsidR="00041039" w:rsidRDefault="001B26CB">
            <w:pPr>
              <w:pStyle w:val="TableParagraph"/>
              <w:numPr>
                <w:ilvl w:val="0"/>
                <w:numId w:val="793"/>
              </w:numPr>
              <w:tabs>
                <w:tab w:val="left" w:pos="158"/>
              </w:tabs>
              <w:spacing w:line="228" w:lineRule="auto"/>
              <w:ind w:right="323" w:hanging="99"/>
              <w:rPr>
                <w:b/>
                <w:sz w:val="14"/>
              </w:rPr>
            </w:pPr>
            <w:r>
              <w:rPr>
                <w:color w:val="231F20"/>
                <w:sz w:val="14"/>
              </w:rPr>
              <w:t xml:space="preserve">Барок, класицизам, просвети­ тељство </w:t>
            </w:r>
            <w:r>
              <w:rPr>
                <w:b/>
                <w:color w:val="231F20"/>
                <w:sz w:val="14"/>
              </w:rPr>
              <w:t>(13</w:t>
            </w:r>
            <w:r>
              <w:rPr>
                <w:b/>
                <w:color w:val="231F20"/>
                <w:spacing w:val="-1"/>
                <w:sz w:val="14"/>
              </w:rPr>
              <w:t xml:space="preserve"> </w:t>
            </w:r>
            <w:r>
              <w:rPr>
                <w:b/>
                <w:color w:val="231F20"/>
                <w:sz w:val="14"/>
              </w:rPr>
              <w:t>часова)</w:t>
            </w:r>
          </w:p>
          <w:p w:rsidR="00041039" w:rsidRDefault="001B26CB">
            <w:pPr>
              <w:pStyle w:val="TableParagraph"/>
              <w:numPr>
                <w:ilvl w:val="0"/>
                <w:numId w:val="793"/>
              </w:numPr>
              <w:tabs>
                <w:tab w:val="left" w:pos="158"/>
              </w:tabs>
              <w:spacing w:line="148" w:lineRule="exact"/>
              <w:ind w:hanging="99"/>
              <w:rPr>
                <w:b/>
                <w:sz w:val="14"/>
              </w:rPr>
            </w:pPr>
            <w:r>
              <w:rPr>
                <w:color w:val="231F20"/>
                <w:sz w:val="14"/>
              </w:rPr>
              <w:t xml:space="preserve">Романтизам </w:t>
            </w:r>
            <w:r>
              <w:rPr>
                <w:b/>
                <w:color w:val="231F20"/>
                <w:sz w:val="14"/>
              </w:rPr>
              <w:t>(25</w:t>
            </w:r>
            <w:r>
              <w:rPr>
                <w:b/>
                <w:color w:val="231F20"/>
                <w:spacing w:val="-3"/>
                <w:sz w:val="14"/>
              </w:rPr>
              <w:t xml:space="preserve"> </w:t>
            </w:r>
            <w:r>
              <w:rPr>
                <w:b/>
                <w:color w:val="231F20"/>
                <w:sz w:val="14"/>
              </w:rPr>
              <w:t>часова)</w:t>
            </w:r>
          </w:p>
          <w:p w:rsidR="00041039" w:rsidRDefault="001B26CB">
            <w:pPr>
              <w:pStyle w:val="TableParagraph"/>
              <w:numPr>
                <w:ilvl w:val="0"/>
                <w:numId w:val="793"/>
              </w:numPr>
              <w:tabs>
                <w:tab w:val="left" w:pos="158"/>
              </w:tabs>
              <w:spacing w:line="154" w:lineRule="exact"/>
              <w:ind w:hanging="99"/>
              <w:rPr>
                <w:b/>
                <w:sz w:val="14"/>
              </w:rPr>
            </w:pPr>
            <w:r>
              <w:rPr>
                <w:color w:val="231F20"/>
                <w:sz w:val="14"/>
              </w:rPr>
              <w:t xml:space="preserve">Реализам </w:t>
            </w:r>
            <w:r>
              <w:rPr>
                <w:b/>
                <w:color w:val="231F20"/>
                <w:sz w:val="14"/>
              </w:rPr>
              <w:t>(28</w:t>
            </w:r>
            <w:r>
              <w:rPr>
                <w:b/>
                <w:color w:val="231F20"/>
                <w:spacing w:val="-2"/>
                <w:sz w:val="14"/>
              </w:rPr>
              <w:t xml:space="preserve"> </w:t>
            </w:r>
            <w:r>
              <w:rPr>
                <w:b/>
                <w:color w:val="231F20"/>
                <w:sz w:val="14"/>
              </w:rPr>
              <w:t>часова)</w:t>
            </w:r>
          </w:p>
          <w:p w:rsidR="00041039" w:rsidRDefault="001B26CB">
            <w:pPr>
              <w:pStyle w:val="TableParagraph"/>
              <w:numPr>
                <w:ilvl w:val="0"/>
                <w:numId w:val="793"/>
              </w:numPr>
              <w:tabs>
                <w:tab w:val="left" w:pos="158"/>
              </w:tabs>
              <w:spacing w:line="154" w:lineRule="exact"/>
              <w:ind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793"/>
              </w:numPr>
              <w:tabs>
                <w:tab w:val="left" w:pos="158"/>
              </w:tabs>
              <w:spacing w:line="154" w:lineRule="exact"/>
              <w:ind w:hanging="99"/>
              <w:rPr>
                <w:b/>
                <w:sz w:val="14"/>
              </w:rPr>
            </w:pPr>
            <w:r>
              <w:rPr>
                <w:color w:val="231F20"/>
                <w:sz w:val="14"/>
              </w:rPr>
              <w:t xml:space="preserve">Правопис </w:t>
            </w:r>
            <w:r>
              <w:rPr>
                <w:b/>
                <w:color w:val="231F20"/>
                <w:sz w:val="14"/>
              </w:rPr>
              <w:t>(5</w:t>
            </w:r>
            <w:r>
              <w:rPr>
                <w:b/>
                <w:color w:val="231F20"/>
                <w:spacing w:val="-2"/>
                <w:sz w:val="14"/>
              </w:rPr>
              <w:t xml:space="preserve"> </w:t>
            </w:r>
            <w:r>
              <w:rPr>
                <w:b/>
                <w:color w:val="231F20"/>
                <w:sz w:val="14"/>
              </w:rPr>
              <w:t>часова)</w:t>
            </w:r>
          </w:p>
          <w:p w:rsidR="00041039" w:rsidRDefault="001B26CB">
            <w:pPr>
              <w:pStyle w:val="TableParagraph"/>
              <w:numPr>
                <w:ilvl w:val="0"/>
                <w:numId w:val="793"/>
              </w:numPr>
              <w:tabs>
                <w:tab w:val="left" w:pos="158"/>
              </w:tabs>
              <w:spacing w:line="163"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(24</w:t>
            </w:r>
            <w:r>
              <w:rPr>
                <w:b/>
                <w:color w:val="231F20"/>
                <w:sz w:val="14"/>
              </w:rPr>
              <w:t xml:space="preserve"> </w:t>
            </w:r>
            <w:r>
              <w:rPr>
                <w:b/>
                <w:color w:val="231F20"/>
                <w:sz w:val="14"/>
              </w:rPr>
              <w:t>часа)</w:t>
            </w:r>
          </w:p>
        </w:tc>
      </w:tr>
      <w:tr w:rsidR="00041039">
        <w:trPr>
          <w:trHeight w:val="1740"/>
        </w:trPr>
        <w:tc>
          <w:tcPr>
            <w:tcW w:w="1304" w:type="dxa"/>
          </w:tcPr>
          <w:p w:rsidR="00041039" w:rsidRDefault="001B26CB">
            <w:pPr>
              <w:pStyle w:val="TableParagraph"/>
              <w:spacing w:before="18"/>
              <w:ind w:left="56"/>
              <w:rPr>
                <w:sz w:val="14"/>
              </w:rPr>
            </w:pPr>
            <w:r>
              <w:rPr>
                <w:color w:val="231F20"/>
                <w:sz w:val="14"/>
              </w:rPr>
              <w:t>Реализам</w:t>
            </w:r>
          </w:p>
        </w:tc>
        <w:tc>
          <w:tcPr>
            <w:tcW w:w="1587" w:type="dxa"/>
          </w:tcPr>
          <w:p w:rsidR="00041039" w:rsidRDefault="001B26CB">
            <w:pPr>
              <w:pStyle w:val="TableParagraph"/>
              <w:numPr>
                <w:ilvl w:val="0"/>
                <w:numId w:val="792"/>
              </w:numPr>
              <w:tabs>
                <w:tab w:val="left" w:pos="157"/>
              </w:tabs>
              <w:spacing w:before="13" w:line="230" w:lineRule="auto"/>
              <w:ind w:right="43"/>
              <w:rPr>
                <w:sz w:val="14"/>
              </w:rPr>
            </w:pPr>
            <w:r>
              <w:rPr>
                <w:color w:val="231F20"/>
                <w:sz w:val="14"/>
              </w:rPr>
              <w:t xml:space="preserve">Упознавање са поети­ </w:t>
            </w:r>
            <w:r>
              <w:rPr>
                <w:color w:val="231F20"/>
                <w:spacing w:val="-4"/>
                <w:sz w:val="14"/>
              </w:rPr>
              <w:t xml:space="preserve">ком </w:t>
            </w:r>
            <w:r>
              <w:rPr>
                <w:color w:val="231F20"/>
                <w:sz w:val="14"/>
              </w:rPr>
              <w:t>реализма, предста­ вницима и делима европске и српске књижевности.</w:t>
            </w:r>
          </w:p>
        </w:tc>
        <w:tc>
          <w:tcPr>
            <w:tcW w:w="2551" w:type="dxa"/>
          </w:tcPr>
          <w:p w:rsidR="00041039" w:rsidRDefault="001B26CB">
            <w:pPr>
              <w:pStyle w:val="TableParagraph"/>
              <w:numPr>
                <w:ilvl w:val="0"/>
                <w:numId w:val="791"/>
              </w:numPr>
              <w:tabs>
                <w:tab w:val="left" w:pos="157"/>
              </w:tabs>
              <w:spacing w:before="15" w:line="228" w:lineRule="auto"/>
              <w:ind w:right="117" w:hanging="99"/>
              <w:jc w:val="both"/>
              <w:rPr>
                <w:sz w:val="14"/>
              </w:rPr>
            </w:pPr>
            <w:r>
              <w:rPr>
                <w:color w:val="231F20"/>
                <w:sz w:val="14"/>
              </w:rPr>
              <w:t>наведе представнике правца и</w:t>
            </w:r>
            <w:r>
              <w:rPr>
                <w:color w:val="231F20"/>
                <w:spacing w:val="-26"/>
                <w:sz w:val="14"/>
              </w:rPr>
              <w:t xml:space="preserve"> </w:t>
            </w:r>
            <w:r>
              <w:rPr>
                <w:color w:val="231F20"/>
                <w:sz w:val="14"/>
              </w:rPr>
              <w:t>њихова дела;</w:t>
            </w:r>
          </w:p>
          <w:p w:rsidR="00041039" w:rsidRDefault="001B26CB">
            <w:pPr>
              <w:pStyle w:val="TableParagraph"/>
              <w:numPr>
                <w:ilvl w:val="0"/>
                <w:numId w:val="791"/>
              </w:numPr>
              <w:tabs>
                <w:tab w:val="left" w:pos="157"/>
              </w:tabs>
              <w:spacing w:line="228" w:lineRule="auto"/>
              <w:ind w:right="138" w:hanging="99"/>
              <w:jc w:val="both"/>
              <w:rPr>
                <w:sz w:val="14"/>
              </w:rPr>
            </w:pPr>
            <w:r>
              <w:rPr>
                <w:color w:val="231F20"/>
                <w:sz w:val="14"/>
              </w:rPr>
              <w:t>дефинише одлике реализма и</w:t>
            </w:r>
            <w:r>
              <w:rPr>
                <w:color w:val="231F20"/>
                <w:spacing w:val="-12"/>
                <w:sz w:val="14"/>
              </w:rPr>
              <w:t xml:space="preserve"> </w:t>
            </w:r>
            <w:r>
              <w:rPr>
                <w:color w:val="231F20"/>
                <w:sz w:val="14"/>
              </w:rPr>
              <w:t>објасни их на обрађеним књижевним</w:t>
            </w:r>
            <w:r>
              <w:rPr>
                <w:color w:val="231F20"/>
                <w:spacing w:val="-7"/>
                <w:sz w:val="14"/>
              </w:rPr>
              <w:t xml:space="preserve"> </w:t>
            </w:r>
            <w:r>
              <w:rPr>
                <w:color w:val="231F20"/>
                <w:sz w:val="14"/>
              </w:rPr>
              <w:t>делима;</w:t>
            </w:r>
          </w:p>
          <w:p w:rsidR="00041039" w:rsidRDefault="001B26CB">
            <w:pPr>
              <w:pStyle w:val="TableParagraph"/>
              <w:numPr>
                <w:ilvl w:val="0"/>
                <w:numId w:val="791"/>
              </w:numPr>
              <w:tabs>
                <w:tab w:val="left" w:pos="157"/>
              </w:tabs>
              <w:spacing w:line="228" w:lineRule="auto"/>
              <w:ind w:right="99" w:hanging="99"/>
              <w:jc w:val="both"/>
              <w:rPr>
                <w:sz w:val="14"/>
              </w:rPr>
            </w:pPr>
            <w:r>
              <w:rPr>
                <w:color w:val="231F20"/>
                <w:sz w:val="14"/>
              </w:rPr>
              <w:t>тумачи уметнички свет и стваралачке поступке у структури обрађених</w:t>
            </w:r>
            <w:r>
              <w:rPr>
                <w:color w:val="231F20"/>
                <w:spacing w:val="-9"/>
                <w:sz w:val="14"/>
              </w:rPr>
              <w:t xml:space="preserve"> </w:t>
            </w:r>
            <w:r>
              <w:rPr>
                <w:color w:val="231F20"/>
                <w:sz w:val="14"/>
              </w:rPr>
              <w:t>дела;</w:t>
            </w:r>
          </w:p>
          <w:p w:rsidR="00041039" w:rsidRDefault="001B26CB">
            <w:pPr>
              <w:pStyle w:val="TableParagraph"/>
              <w:numPr>
                <w:ilvl w:val="0"/>
                <w:numId w:val="791"/>
              </w:numPr>
              <w:tabs>
                <w:tab w:val="left" w:pos="157"/>
              </w:tabs>
              <w:spacing w:line="228" w:lineRule="auto"/>
              <w:ind w:right="65" w:hanging="99"/>
              <w:jc w:val="both"/>
              <w:rPr>
                <w:sz w:val="14"/>
              </w:rPr>
            </w:pPr>
            <w:r>
              <w:rPr>
                <w:color w:val="231F20"/>
                <w:sz w:val="14"/>
              </w:rPr>
              <w:t>процењује друштвене појаве и</w:t>
            </w:r>
            <w:r>
              <w:rPr>
                <w:color w:val="231F20"/>
                <w:spacing w:val="-25"/>
                <w:sz w:val="14"/>
              </w:rPr>
              <w:t xml:space="preserve"> </w:t>
            </w:r>
            <w:r>
              <w:rPr>
                <w:color w:val="231F20"/>
                <w:sz w:val="14"/>
              </w:rPr>
              <w:t>пробле­ ме које покреће књижевно</w:t>
            </w:r>
            <w:r>
              <w:rPr>
                <w:color w:val="231F20"/>
                <w:spacing w:val="-6"/>
                <w:sz w:val="14"/>
              </w:rPr>
              <w:t xml:space="preserve"> </w:t>
            </w:r>
            <w:r>
              <w:rPr>
                <w:color w:val="231F20"/>
                <w:sz w:val="14"/>
              </w:rPr>
              <w:t>дело;</w:t>
            </w:r>
          </w:p>
          <w:p w:rsidR="00041039" w:rsidRDefault="001B26CB">
            <w:pPr>
              <w:pStyle w:val="TableParagraph"/>
              <w:numPr>
                <w:ilvl w:val="0"/>
                <w:numId w:val="791"/>
              </w:numPr>
              <w:tabs>
                <w:tab w:val="left" w:pos="157"/>
              </w:tabs>
              <w:spacing w:line="154" w:lineRule="exact"/>
              <w:ind w:right="68" w:hanging="99"/>
              <w:jc w:val="both"/>
              <w:rPr>
                <w:sz w:val="14"/>
              </w:rPr>
            </w:pPr>
            <w:r>
              <w:rPr>
                <w:color w:val="231F20"/>
                <w:sz w:val="14"/>
              </w:rPr>
              <w:t>развије критички став и мишљење при процени поступака и понашања јунака у обрађеним</w:t>
            </w:r>
            <w:r>
              <w:rPr>
                <w:color w:val="231F20"/>
                <w:spacing w:val="-1"/>
                <w:sz w:val="14"/>
              </w:rPr>
              <w:t xml:space="preserve"> </w:t>
            </w:r>
            <w:r>
              <w:rPr>
                <w:color w:val="231F20"/>
                <w:sz w:val="14"/>
              </w:rPr>
              <w:t>делима;</w:t>
            </w:r>
          </w:p>
        </w:tc>
        <w:tc>
          <w:tcPr>
            <w:tcW w:w="2834" w:type="dxa"/>
          </w:tcPr>
          <w:p w:rsidR="00041039" w:rsidRDefault="001B26CB">
            <w:pPr>
              <w:pStyle w:val="TableParagraph"/>
              <w:numPr>
                <w:ilvl w:val="0"/>
                <w:numId w:val="790"/>
              </w:numPr>
              <w:tabs>
                <w:tab w:val="left" w:pos="157"/>
              </w:tabs>
              <w:spacing w:before="15" w:line="228" w:lineRule="auto"/>
              <w:ind w:right="82" w:hanging="99"/>
              <w:rPr>
                <w:sz w:val="14"/>
              </w:rPr>
            </w:pPr>
            <w:r>
              <w:rPr>
                <w:color w:val="231F20"/>
                <w:sz w:val="14"/>
              </w:rPr>
              <w:t xml:space="preserve">Реализам у Европи и </w:t>
            </w:r>
            <w:r>
              <w:rPr>
                <w:color w:val="231F20"/>
                <w:spacing w:val="-5"/>
                <w:sz w:val="14"/>
              </w:rPr>
              <w:t xml:space="preserve">код </w:t>
            </w:r>
            <w:r>
              <w:rPr>
                <w:color w:val="231F20"/>
                <w:sz w:val="14"/>
              </w:rPr>
              <w:t>нас (појам, особе­ ности, значај,</w:t>
            </w:r>
            <w:r>
              <w:rPr>
                <w:color w:val="231F20"/>
                <w:spacing w:val="-1"/>
                <w:sz w:val="14"/>
              </w:rPr>
              <w:t xml:space="preserve"> </w:t>
            </w:r>
            <w:r>
              <w:rPr>
                <w:color w:val="231F20"/>
                <w:sz w:val="14"/>
              </w:rPr>
              <w:t>представници).</w:t>
            </w:r>
          </w:p>
          <w:p w:rsidR="00041039" w:rsidRDefault="001B26CB">
            <w:pPr>
              <w:pStyle w:val="TableParagraph"/>
              <w:numPr>
                <w:ilvl w:val="0"/>
                <w:numId w:val="790"/>
              </w:numPr>
              <w:tabs>
                <w:tab w:val="left" w:pos="157"/>
              </w:tabs>
              <w:spacing w:line="228" w:lineRule="auto"/>
              <w:ind w:right="338" w:hanging="99"/>
              <w:rPr>
                <w:sz w:val="14"/>
              </w:rPr>
            </w:pPr>
            <w:r>
              <w:rPr>
                <w:color w:val="231F20"/>
                <w:sz w:val="14"/>
              </w:rPr>
              <w:t xml:space="preserve">Балзак: </w:t>
            </w:r>
            <w:r>
              <w:rPr>
                <w:color w:val="231F20"/>
                <w:spacing w:val="-6"/>
                <w:sz w:val="14"/>
              </w:rPr>
              <w:t xml:space="preserve">„Чича </w:t>
            </w:r>
            <w:r>
              <w:rPr>
                <w:color w:val="231F20"/>
                <w:spacing w:val="-3"/>
                <w:sz w:val="14"/>
              </w:rPr>
              <w:t xml:space="preserve">Горио” </w:t>
            </w:r>
            <w:r>
              <w:rPr>
                <w:color w:val="231F20"/>
                <w:sz w:val="14"/>
              </w:rPr>
              <w:t xml:space="preserve">или </w:t>
            </w:r>
            <w:r>
              <w:rPr>
                <w:color w:val="231F20"/>
                <w:spacing w:val="-3"/>
                <w:sz w:val="14"/>
              </w:rPr>
              <w:t xml:space="preserve">Толстој </w:t>
            </w:r>
            <w:r>
              <w:rPr>
                <w:color w:val="231F20"/>
                <w:sz w:val="14"/>
              </w:rPr>
              <w:t>„Ана Карењина”.</w:t>
            </w:r>
          </w:p>
          <w:p w:rsidR="00041039" w:rsidRDefault="001B26CB">
            <w:pPr>
              <w:pStyle w:val="TableParagraph"/>
              <w:numPr>
                <w:ilvl w:val="0"/>
                <w:numId w:val="790"/>
              </w:numPr>
              <w:tabs>
                <w:tab w:val="left" w:pos="157"/>
              </w:tabs>
              <w:spacing w:line="148" w:lineRule="exact"/>
              <w:ind w:hanging="99"/>
              <w:rPr>
                <w:sz w:val="14"/>
              </w:rPr>
            </w:pPr>
            <w:r>
              <w:rPr>
                <w:color w:val="231F20"/>
                <w:spacing w:val="-3"/>
                <w:sz w:val="14"/>
              </w:rPr>
              <w:t>Гогољ:</w:t>
            </w:r>
            <w:r>
              <w:rPr>
                <w:color w:val="231F20"/>
                <w:spacing w:val="-1"/>
                <w:sz w:val="14"/>
              </w:rPr>
              <w:t xml:space="preserve"> </w:t>
            </w:r>
            <w:r>
              <w:rPr>
                <w:color w:val="231F20"/>
                <w:sz w:val="14"/>
              </w:rPr>
              <w:t>„Ревизор”.</w:t>
            </w:r>
          </w:p>
          <w:p w:rsidR="00041039" w:rsidRDefault="001B26CB">
            <w:pPr>
              <w:pStyle w:val="TableParagraph"/>
              <w:numPr>
                <w:ilvl w:val="0"/>
                <w:numId w:val="790"/>
              </w:numPr>
              <w:tabs>
                <w:tab w:val="left" w:pos="157"/>
              </w:tabs>
              <w:spacing w:line="154" w:lineRule="exact"/>
              <w:ind w:hanging="99"/>
              <w:rPr>
                <w:sz w:val="14"/>
              </w:rPr>
            </w:pPr>
            <w:r>
              <w:rPr>
                <w:color w:val="231F20"/>
                <w:sz w:val="14"/>
              </w:rPr>
              <w:t xml:space="preserve">Милован </w:t>
            </w:r>
            <w:r>
              <w:rPr>
                <w:color w:val="231F20"/>
                <w:spacing w:val="-3"/>
                <w:sz w:val="14"/>
              </w:rPr>
              <w:t>Глишић: „Глава</w:t>
            </w:r>
            <w:r>
              <w:rPr>
                <w:color w:val="231F20"/>
                <w:sz w:val="14"/>
              </w:rPr>
              <w:t xml:space="preserve"> </w:t>
            </w:r>
            <w:r>
              <w:rPr>
                <w:color w:val="231F20"/>
                <w:sz w:val="14"/>
              </w:rPr>
              <w:t>шећера”.</w:t>
            </w:r>
          </w:p>
          <w:p w:rsidR="00041039" w:rsidRDefault="001B26CB">
            <w:pPr>
              <w:pStyle w:val="TableParagraph"/>
              <w:numPr>
                <w:ilvl w:val="0"/>
                <w:numId w:val="790"/>
              </w:numPr>
              <w:tabs>
                <w:tab w:val="left" w:pos="157"/>
              </w:tabs>
              <w:spacing w:line="154" w:lineRule="exact"/>
              <w:ind w:hanging="99"/>
              <w:rPr>
                <w:sz w:val="14"/>
              </w:rPr>
            </w:pPr>
            <w:r>
              <w:rPr>
                <w:color w:val="231F20"/>
                <w:sz w:val="14"/>
              </w:rPr>
              <w:t>Лаза Лазаревић:</w:t>
            </w:r>
            <w:r>
              <w:rPr>
                <w:color w:val="231F20"/>
                <w:spacing w:val="-3"/>
                <w:sz w:val="14"/>
              </w:rPr>
              <w:t xml:space="preserve"> </w:t>
            </w:r>
            <w:r>
              <w:rPr>
                <w:color w:val="231F20"/>
                <w:sz w:val="14"/>
              </w:rPr>
              <w:t>„Ветар”</w:t>
            </w:r>
          </w:p>
          <w:p w:rsidR="00041039" w:rsidRDefault="001B26CB">
            <w:pPr>
              <w:pStyle w:val="TableParagraph"/>
              <w:numPr>
                <w:ilvl w:val="0"/>
                <w:numId w:val="790"/>
              </w:numPr>
              <w:tabs>
                <w:tab w:val="left" w:pos="157"/>
              </w:tabs>
              <w:spacing w:line="154" w:lineRule="exact"/>
              <w:ind w:hanging="99"/>
              <w:rPr>
                <w:sz w:val="14"/>
              </w:rPr>
            </w:pPr>
            <w:r>
              <w:rPr>
                <w:color w:val="231F20"/>
                <w:sz w:val="14"/>
              </w:rPr>
              <w:t>Радоје Домановић: „Данга” или</w:t>
            </w:r>
            <w:r>
              <w:rPr>
                <w:color w:val="231F20"/>
                <w:spacing w:val="-6"/>
                <w:sz w:val="14"/>
              </w:rPr>
              <w:t xml:space="preserve"> </w:t>
            </w:r>
            <w:r>
              <w:rPr>
                <w:color w:val="231F20"/>
                <w:sz w:val="14"/>
              </w:rPr>
              <w:t>„Вођа”.</w:t>
            </w:r>
          </w:p>
          <w:p w:rsidR="00041039" w:rsidRDefault="001B26CB">
            <w:pPr>
              <w:pStyle w:val="TableParagraph"/>
              <w:numPr>
                <w:ilvl w:val="0"/>
                <w:numId w:val="790"/>
              </w:numPr>
              <w:tabs>
                <w:tab w:val="left" w:pos="157"/>
              </w:tabs>
              <w:spacing w:line="154" w:lineRule="exact"/>
              <w:ind w:hanging="99"/>
              <w:rPr>
                <w:sz w:val="14"/>
              </w:rPr>
            </w:pPr>
            <w:r>
              <w:rPr>
                <w:color w:val="231F20"/>
                <w:sz w:val="14"/>
              </w:rPr>
              <w:t>Симо Матавуљ:</w:t>
            </w:r>
            <w:r>
              <w:rPr>
                <w:color w:val="231F20"/>
                <w:spacing w:val="-1"/>
                <w:sz w:val="14"/>
              </w:rPr>
              <w:t xml:space="preserve"> </w:t>
            </w:r>
            <w:r>
              <w:rPr>
                <w:color w:val="231F20"/>
                <w:sz w:val="14"/>
              </w:rPr>
              <w:t>„Поварета”.</w:t>
            </w:r>
          </w:p>
          <w:p w:rsidR="00041039" w:rsidRDefault="001B26CB">
            <w:pPr>
              <w:pStyle w:val="TableParagraph"/>
              <w:numPr>
                <w:ilvl w:val="0"/>
                <w:numId w:val="790"/>
              </w:numPr>
              <w:tabs>
                <w:tab w:val="left" w:pos="157"/>
              </w:tabs>
              <w:spacing w:line="154" w:lineRule="exact"/>
              <w:ind w:hanging="99"/>
              <w:rPr>
                <w:sz w:val="14"/>
              </w:rPr>
            </w:pPr>
            <w:r>
              <w:rPr>
                <w:color w:val="231F20"/>
                <w:sz w:val="14"/>
              </w:rPr>
              <w:t>Бранислав Нушић: „Госпођа</w:t>
            </w:r>
            <w:r>
              <w:rPr>
                <w:color w:val="231F20"/>
                <w:spacing w:val="-12"/>
                <w:sz w:val="14"/>
              </w:rPr>
              <w:t xml:space="preserve"> </w:t>
            </w:r>
            <w:r>
              <w:rPr>
                <w:color w:val="231F20"/>
                <w:sz w:val="14"/>
              </w:rPr>
              <w:t>министарка”.</w:t>
            </w:r>
          </w:p>
          <w:p w:rsidR="00041039" w:rsidRDefault="001B26CB">
            <w:pPr>
              <w:pStyle w:val="TableParagraph"/>
              <w:numPr>
                <w:ilvl w:val="0"/>
                <w:numId w:val="790"/>
              </w:numPr>
              <w:tabs>
                <w:tab w:val="left" w:pos="157"/>
              </w:tabs>
              <w:spacing w:line="163" w:lineRule="exact"/>
              <w:ind w:hanging="99"/>
              <w:rPr>
                <w:sz w:val="14"/>
              </w:rPr>
            </w:pPr>
            <w:r>
              <w:rPr>
                <w:color w:val="231F20"/>
                <w:sz w:val="14"/>
              </w:rPr>
              <w:t>Војислав Илић: (избор из</w:t>
            </w:r>
            <w:r>
              <w:rPr>
                <w:color w:val="231F20"/>
                <w:spacing w:val="-5"/>
                <w:sz w:val="14"/>
              </w:rPr>
              <w:t xml:space="preserve"> </w:t>
            </w:r>
            <w:r>
              <w:rPr>
                <w:color w:val="231F20"/>
                <w:sz w:val="14"/>
              </w:rPr>
              <w:t>поезије).</w:t>
            </w:r>
          </w:p>
        </w:tc>
        <w:tc>
          <w:tcPr>
            <w:tcW w:w="2267" w:type="dxa"/>
            <w:vMerge/>
            <w:tcBorders>
              <w:top w:val="nil"/>
            </w:tcBorders>
          </w:tcPr>
          <w:p w:rsidR="00041039" w:rsidRDefault="00041039">
            <w:pPr>
              <w:rPr>
                <w:sz w:val="2"/>
                <w:szCs w:val="2"/>
              </w:rPr>
            </w:pPr>
          </w:p>
        </w:tc>
      </w:tr>
      <w:tr w:rsidR="00041039">
        <w:trPr>
          <w:trHeight w:val="1124"/>
        </w:trPr>
        <w:tc>
          <w:tcPr>
            <w:tcW w:w="1304" w:type="dxa"/>
          </w:tcPr>
          <w:p w:rsidR="00041039" w:rsidRDefault="001B26CB">
            <w:pPr>
              <w:pStyle w:val="TableParagraph"/>
              <w:spacing w:before="18"/>
              <w:ind w:left="56"/>
              <w:rPr>
                <w:sz w:val="14"/>
              </w:rPr>
            </w:pPr>
            <w:r>
              <w:rPr>
                <w:color w:val="231F20"/>
                <w:sz w:val="14"/>
              </w:rPr>
              <w:t>Морфологија</w:t>
            </w:r>
          </w:p>
        </w:tc>
        <w:tc>
          <w:tcPr>
            <w:tcW w:w="1587" w:type="dxa"/>
          </w:tcPr>
          <w:p w:rsidR="00041039" w:rsidRDefault="001B26CB">
            <w:pPr>
              <w:pStyle w:val="TableParagraph"/>
              <w:numPr>
                <w:ilvl w:val="0"/>
                <w:numId w:val="789"/>
              </w:numPr>
              <w:tabs>
                <w:tab w:val="left" w:pos="157"/>
              </w:tabs>
              <w:spacing w:before="13" w:line="230" w:lineRule="auto"/>
              <w:ind w:right="116"/>
              <w:rPr>
                <w:sz w:val="14"/>
              </w:rPr>
            </w:pPr>
            <w:r>
              <w:rPr>
                <w:color w:val="231F20"/>
                <w:sz w:val="14"/>
              </w:rPr>
              <w:t>Систематизовање знања о врстама речи и њиховим</w:t>
            </w:r>
            <w:r>
              <w:rPr>
                <w:color w:val="231F20"/>
                <w:spacing w:val="-16"/>
                <w:sz w:val="14"/>
              </w:rPr>
              <w:t xml:space="preserve"> </w:t>
            </w:r>
            <w:r>
              <w:rPr>
                <w:color w:val="231F20"/>
                <w:sz w:val="14"/>
              </w:rPr>
              <w:t>облицима.</w:t>
            </w:r>
          </w:p>
        </w:tc>
        <w:tc>
          <w:tcPr>
            <w:tcW w:w="2551" w:type="dxa"/>
          </w:tcPr>
          <w:p w:rsidR="00041039" w:rsidRDefault="001B26CB">
            <w:pPr>
              <w:pStyle w:val="TableParagraph"/>
              <w:numPr>
                <w:ilvl w:val="0"/>
                <w:numId w:val="788"/>
              </w:numPr>
              <w:tabs>
                <w:tab w:val="left" w:pos="157"/>
              </w:tabs>
              <w:spacing w:before="15" w:line="228" w:lineRule="auto"/>
              <w:ind w:right="483" w:hanging="99"/>
              <w:rPr>
                <w:sz w:val="14"/>
              </w:rPr>
            </w:pPr>
            <w:r>
              <w:rPr>
                <w:color w:val="231F20"/>
                <w:sz w:val="14"/>
              </w:rPr>
              <w:t>одреди врсту речи и</w:t>
            </w:r>
            <w:r>
              <w:rPr>
                <w:color w:val="231F20"/>
                <w:spacing w:val="-27"/>
                <w:sz w:val="14"/>
              </w:rPr>
              <w:t xml:space="preserve"> </w:t>
            </w:r>
            <w:r>
              <w:rPr>
                <w:color w:val="231F20"/>
                <w:sz w:val="14"/>
              </w:rPr>
              <w:t>граматичке категорије;</w:t>
            </w:r>
          </w:p>
          <w:p w:rsidR="00041039" w:rsidRDefault="001B26CB">
            <w:pPr>
              <w:pStyle w:val="TableParagraph"/>
              <w:numPr>
                <w:ilvl w:val="0"/>
                <w:numId w:val="788"/>
              </w:numPr>
              <w:tabs>
                <w:tab w:val="left" w:pos="157"/>
              </w:tabs>
              <w:spacing w:before="2" w:line="154" w:lineRule="exact"/>
              <w:ind w:right="205" w:hanging="99"/>
              <w:rPr>
                <w:sz w:val="14"/>
              </w:rPr>
            </w:pPr>
            <w:r>
              <w:rPr>
                <w:color w:val="231F20"/>
                <w:sz w:val="14"/>
              </w:rPr>
              <w:t>употреби у усменом и писаном изражавању облике речи у складу</w:t>
            </w:r>
            <w:r>
              <w:rPr>
                <w:color w:val="231F20"/>
                <w:spacing w:val="-20"/>
                <w:sz w:val="14"/>
              </w:rPr>
              <w:t xml:space="preserve"> </w:t>
            </w:r>
            <w:r>
              <w:rPr>
                <w:color w:val="231F20"/>
                <w:sz w:val="14"/>
              </w:rPr>
              <w:t>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numPr>
                <w:ilvl w:val="0"/>
                <w:numId w:val="787"/>
              </w:numPr>
              <w:tabs>
                <w:tab w:val="left" w:pos="158"/>
              </w:tabs>
              <w:spacing w:before="8" w:line="163" w:lineRule="exact"/>
              <w:rPr>
                <w:sz w:val="14"/>
              </w:rPr>
            </w:pPr>
            <w:r>
              <w:rPr>
                <w:color w:val="231F20"/>
                <w:sz w:val="14"/>
              </w:rPr>
              <w:t>Морфологија у ужем</w:t>
            </w:r>
            <w:r>
              <w:rPr>
                <w:color w:val="231F20"/>
                <w:spacing w:val="-2"/>
                <w:sz w:val="14"/>
              </w:rPr>
              <w:t xml:space="preserve"> </w:t>
            </w:r>
            <w:r>
              <w:rPr>
                <w:color w:val="231F20"/>
                <w:spacing w:val="-3"/>
                <w:sz w:val="14"/>
              </w:rPr>
              <w:t>смислу.</w:t>
            </w:r>
          </w:p>
          <w:p w:rsidR="00041039" w:rsidRDefault="001B26CB">
            <w:pPr>
              <w:pStyle w:val="TableParagraph"/>
              <w:numPr>
                <w:ilvl w:val="0"/>
                <w:numId w:val="787"/>
              </w:numPr>
              <w:tabs>
                <w:tab w:val="left" w:pos="158"/>
              </w:tabs>
              <w:spacing w:line="154" w:lineRule="exact"/>
              <w:rPr>
                <w:sz w:val="14"/>
              </w:rPr>
            </w:pPr>
            <w:r>
              <w:rPr>
                <w:color w:val="231F20"/>
                <w:sz w:val="14"/>
              </w:rPr>
              <w:t>Променљиве и непроменљиве врсте</w:t>
            </w:r>
            <w:r>
              <w:rPr>
                <w:color w:val="231F20"/>
                <w:spacing w:val="-12"/>
                <w:sz w:val="14"/>
              </w:rPr>
              <w:t xml:space="preserve"> </w:t>
            </w:r>
            <w:r>
              <w:rPr>
                <w:color w:val="231F20"/>
                <w:sz w:val="14"/>
              </w:rPr>
              <w:t>речи.</w:t>
            </w:r>
          </w:p>
          <w:p w:rsidR="00041039" w:rsidRDefault="001B26CB">
            <w:pPr>
              <w:pStyle w:val="TableParagraph"/>
              <w:numPr>
                <w:ilvl w:val="0"/>
                <w:numId w:val="787"/>
              </w:numPr>
              <w:tabs>
                <w:tab w:val="left" w:pos="158"/>
              </w:tabs>
              <w:spacing w:line="230" w:lineRule="auto"/>
              <w:ind w:right="146"/>
              <w:jc w:val="both"/>
              <w:rPr>
                <w:sz w:val="14"/>
              </w:rPr>
            </w:pPr>
            <w:r>
              <w:rPr>
                <w:color w:val="231F20"/>
                <w:sz w:val="14"/>
              </w:rPr>
              <w:t>Именице,</w:t>
            </w:r>
            <w:r>
              <w:rPr>
                <w:color w:val="231F20"/>
                <w:spacing w:val="-8"/>
                <w:sz w:val="14"/>
              </w:rPr>
              <w:t xml:space="preserve"> </w:t>
            </w:r>
            <w:r>
              <w:rPr>
                <w:color w:val="231F20"/>
                <w:sz w:val="14"/>
              </w:rPr>
              <w:t>придеви,</w:t>
            </w:r>
            <w:r>
              <w:rPr>
                <w:color w:val="231F20"/>
                <w:spacing w:val="-8"/>
                <w:sz w:val="14"/>
              </w:rPr>
              <w:t xml:space="preserve"> </w:t>
            </w:r>
            <w:r>
              <w:rPr>
                <w:color w:val="231F20"/>
                <w:sz w:val="14"/>
              </w:rPr>
              <w:t>заменице</w:t>
            </w:r>
            <w:r>
              <w:rPr>
                <w:color w:val="231F20"/>
                <w:spacing w:val="-8"/>
                <w:sz w:val="14"/>
              </w:rPr>
              <w:t xml:space="preserve"> </w:t>
            </w:r>
            <w:r>
              <w:rPr>
                <w:color w:val="231F20"/>
                <w:sz w:val="14"/>
              </w:rPr>
              <w:t>(њихове</w:t>
            </w:r>
            <w:r>
              <w:rPr>
                <w:color w:val="231F20"/>
                <w:spacing w:val="-7"/>
                <w:sz w:val="14"/>
              </w:rPr>
              <w:t xml:space="preserve"> </w:t>
            </w:r>
            <w:r>
              <w:rPr>
                <w:color w:val="231F20"/>
                <w:sz w:val="14"/>
              </w:rPr>
              <w:t>гра­ матичке категорије), бројеви (укључујући бројне именице и бројне</w:t>
            </w:r>
            <w:r>
              <w:rPr>
                <w:color w:val="231F20"/>
                <w:spacing w:val="-5"/>
                <w:sz w:val="14"/>
              </w:rPr>
              <w:t xml:space="preserve"> </w:t>
            </w:r>
            <w:r>
              <w:rPr>
                <w:color w:val="231F20"/>
                <w:sz w:val="14"/>
              </w:rPr>
              <w:t>придеве).</w:t>
            </w:r>
          </w:p>
          <w:p w:rsidR="00041039" w:rsidRDefault="001B26CB">
            <w:pPr>
              <w:pStyle w:val="TableParagraph"/>
              <w:numPr>
                <w:ilvl w:val="0"/>
                <w:numId w:val="787"/>
              </w:numPr>
              <w:tabs>
                <w:tab w:val="left" w:pos="158"/>
              </w:tabs>
              <w:spacing w:line="145" w:lineRule="exact"/>
              <w:jc w:val="both"/>
              <w:rPr>
                <w:sz w:val="14"/>
              </w:rPr>
            </w:pPr>
            <w:r>
              <w:rPr>
                <w:color w:val="231F20"/>
                <w:spacing w:val="-3"/>
                <w:sz w:val="14"/>
              </w:rPr>
              <w:t xml:space="preserve">Глаголи, </w:t>
            </w:r>
            <w:r>
              <w:rPr>
                <w:color w:val="231F20"/>
                <w:sz w:val="14"/>
              </w:rPr>
              <w:t>граматичке категорије</w:t>
            </w:r>
            <w:r>
              <w:rPr>
                <w:color w:val="231F20"/>
                <w:spacing w:val="-2"/>
                <w:sz w:val="14"/>
              </w:rPr>
              <w:t xml:space="preserve"> </w:t>
            </w:r>
            <w:r>
              <w:rPr>
                <w:color w:val="231F20"/>
                <w:spacing w:val="-3"/>
                <w:sz w:val="14"/>
              </w:rPr>
              <w:t>глагола.</w:t>
            </w:r>
          </w:p>
          <w:p w:rsidR="00041039" w:rsidRDefault="001B26CB">
            <w:pPr>
              <w:pStyle w:val="TableParagraph"/>
              <w:numPr>
                <w:ilvl w:val="0"/>
                <w:numId w:val="787"/>
              </w:numPr>
              <w:tabs>
                <w:tab w:val="left" w:pos="158"/>
              </w:tabs>
              <w:spacing w:line="163" w:lineRule="exact"/>
              <w:jc w:val="both"/>
              <w:rPr>
                <w:sz w:val="14"/>
              </w:rPr>
            </w:pPr>
            <w:r>
              <w:rPr>
                <w:color w:val="231F20"/>
                <w:sz w:val="14"/>
              </w:rPr>
              <w:t>Прилози, предлози, везници, речце,</w:t>
            </w:r>
            <w:r>
              <w:rPr>
                <w:color w:val="231F20"/>
                <w:spacing w:val="-16"/>
                <w:sz w:val="14"/>
              </w:rPr>
              <w:t xml:space="preserve"> </w:t>
            </w:r>
            <w:r>
              <w:rPr>
                <w:color w:val="231F20"/>
                <w:sz w:val="14"/>
              </w:rPr>
              <w:t>узвици.</w:t>
            </w:r>
          </w:p>
        </w:tc>
        <w:tc>
          <w:tcPr>
            <w:tcW w:w="2267" w:type="dxa"/>
            <w:vMerge/>
            <w:tcBorders>
              <w:top w:val="nil"/>
            </w:tcBorders>
          </w:tcPr>
          <w:p w:rsidR="00041039" w:rsidRDefault="00041039">
            <w:pPr>
              <w:rPr>
                <w:sz w:val="2"/>
                <w:szCs w:val="2"/>
              </w:rPr>
            </w:pPr>
          </w:p>
        </w:tc>
      </w:tr>
      <w:tr w:rsidR="00041039">
        <w:trPr>
          <w:trHeight w:val="816"/>
        </w:trPr>
        <w:tc>
          <w:tcPr>
            <w:tcW w:w="1304" w:type="dxa"/>
          </w:tcPr>
          <w:p w:rsidR="00041039" w:rsidRDefault="001B26CB">
            <w:pPr>
              <w:pStyle w:val="TableParagraph"/>
              <w:spacing w:before="18"/>
              <w:ind w:left="57"/>
              <w:rPr>
                <w:sz w:val="14"/>
              </w:rPr>
            </w:pPr>
            <w:r>
              <w:rPr>
                <w:color w:val="231F20"/>
                <w:sz w:val="14"/>
              </w:rPr>
              <w:t>Правопис</w:t>
            </w:r>
          </w:p>
        </w:tc>
        <w:tc>
          <w:tcPr>
            <w:tcW w:w="1587" w:type="dxa"/>
          </w:tcPr>
          <w:p w:rsidR="00041039" w:rsidRDefault="001B26CB">
            <w:pPr>
              <w:pStyle w:val="TableParagraph"/>
              <w:numPr>
                <w:ilvl w:val="0"/>
                <w:numId w:val="786"/>
              </w:numPr>
              <w:tabs>
                <w:tab w:val="left" w:pos="157"/>
              </w:tabs>
              <w:spacing w:before="13" w:line="230" w:lineRule="auto"/>
              <w:ind w:right="218" w:hanging="99"/>
              <w:rPr>
                <w:sz w:val="14"/>
              </w:rPr>
            </w:pPr>
            <w:r>
              <w:rPr>
                <w:color w:val="231F20"/>
                <w:sz w:val="14"/>
              </w:rPr>
              <w:t>Оспособљавање ученика да пишу у складу са правопис­ ном</w:t>
            </w:r>
            <w:r>
              <w:rPr>
                <w:color w:val="231F20"/>
                <w:spacing w:val="-1"/>
                <w:sz w:val="14"/>
              </w:rPr>
              <w:t xml:space="preserve"> </w:t>
            </w:r>
            <w:r>
              <w:rPr>
                <w:color w:val="231F20"/>
                <w:sz w:val="14"/>
              </w:rPr>
              <w:t>нормом.</w:t>
            </w:r>
          </w:p>
        </w:tc>
        <w:tc>
          <w:tcPr>
            <w:tcW w:w="2551" w:type="dxa"/>
          </w:tcPr>
          <w:p w:rsidR="00041039" w:rsidRDefault="001B26CB">
            <w:pPr>
              <w:pStyle w:val="TableParagraph"/>
              <w:numPr>
                <w:ilvl w:val="0"/>
                <w:numId w:val="785"/>
              </w:numPr>
              <w:tabs>
                <w:tab w:val="left" w:pos="157"/>
              </w:tabs>
              <w:spacing w:before="13" w:line="230" w:lineRule="auto"/>
              <w:ind w:right="148" w:hanging="99"/>
              <w:rPr>
                <w:sz w:val="14"/>
              </w:rPr>
            </w:pPr>
            <w:r>
              <w:rPr>
                <w:color w:val="231F20"/>
                <w:sz w:val="14"/>
              </w:rPr>
              <w:t>примени правила одвојеног и састављеног писања речи у складу са језичком</w:t>
            </w:r>
            <w:r>
              <w:rPr>
                <w:color w:val="231F20"/>
                <w:spacing w:val="-1"/>
                <w:sz w:val="14"/>
              </w:rPr>
              <w:t xml:space="preserve"> </w:t>
            </w:r>
            <w:r>
              <w:rPr>
                <w:color w:val="231F20"/>
                <w:sz w:val="14"/>
              </w:rPr>
              <w:t>нормом;</w:t>
            </w:r>
          </w:p>
        </w:tc>
        <w:tc>
          <w:tcPr>
            <w:tcW w:w="2834" w:type="dxa"/>
          </w:tcPr>
          <w:p w:rsidR="00041039" w:rsidRDefault="001B26CB">
            <w:pPr>
              <w:pStyle w:val="TableParagraph"/>
              <w:numPr>
                <w:ilvl w:val="0"/>
                <w:numId w:val="784"/>
              </w:numPr>
              <w:tabs>
                <w:tab w:val="left" w:pos="158"/>
              </w:tabs>
              <w:spacing w:before="13" w:line="230" w:lineRule="auto"/>
              <w:ind w:right="248" w:firstLine="0"/>
              <w:rPr>
                <w:sz w:val="14"/>
              </w:rPr>
            </w:pPr>
            <w:r>
              <w:rPr>
                <w:color w:val="231F20"/>
                <w:sz w:val="14"/>
              </w:rPr>
              <w:t xml:space="preserve">Спојено и одвојено писање речи (писање бројева и изведеница </w:t>
            </w:r>
            <w:r>
              <w:rPr>
                <w:color w:val="231F20"/>
                <w:spacing w:val="-3"/>
                <w:sz w:val="14"/>
              </w:rPr>
              <w:t xml:space="preserve">од </w:t>
            </w:r>
            <w:r>
              <w:rPr>
                <w:color w:val="231F20"/>
                <w:sz w:val="14"/>
              </w:rPr>
              <w:t xml:space="preserve">њих, писање заменица и заменичких прилога, спојеви предлога и других речи, </w:t>
            </w:r>
            <w:r>
              <w:rPr>
                <w:color w:val="231F20"/>
                <w:spacing w:val="-3"/>
                <w:sz w:val="14"/>
              </w:rPr>
              <w:t xml:space="preserve">глаголи </w:t>
            </w:r>
            <w:r>
              <w:rPr>
                <w:color w:val="231F20"/>
                <w:sz w:val="14"/>
              </w:rPr>
              <w:t>и речце, писање</w:t>
            </w:r>
            <w:r>
              <w:rPr>
                <w:color w:val="231F20"/>
                <w:spacing w:val="-1"/>
                <w:sz w:val="14"/>
              </w:rPr>
              <w:t xml:space="preserve"> </w:t>
            </w:r>
            <w:r>
              <w:rPr>
                <w:color w:val="231F20"/>
                <w:sz w:val="14"/>
              </w:rPr>
              <w:t>негације).</w:t>
            </w:r>
          </w:p>
        </w:tc>
        <w:tc>
          <w:tcPr>
            <w:tcW w:w="2267" w:type="dxa"/>
            <w:vMerge/>
            <w:tcBorders>
              <w:top w:val="nil"/>
            </w:tcBorders>
          </w:tcPr>
          <w:p w:rsidR="00041039" w:rsidRDefault="00041039">
            <w:pPr>
              <w:rPr>
                <w:sz w:val="2"/>
                <w:szCs w:val="2"/>
              </w:rPr>
            </w:pPr>
          </w:p>
        </w:tc>
      </w:tr>
      <w:tr w:rsidR="00041039">
        <w:trPr>
          <w:trHeight w:val="1740"/>
        </w:trPr>
        <w:tc>
          <w:tcPr>
            <w:tcW w:w="1304" w:type="dxa"/>
          </w:tcPr>
          <w:p w:rsidR="00041039" w:rsidRDefault="001B26CB">
            <w:pPr>
              <w:pStyle w:val="TableParagraph"/>
              <w:spacing w:before="23" w:line="230" w:lineRule="auto"/>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783"/>
              </w:numPr>
              <w:tabs>
                <w:tab w:val="left" w:pos="157"/>
              </w:tabs>
              <w:spacing w:before="13" w:line="230" w:lineRule="auto"/>
              <w:ind w:right="71" w:hanging="99"/>
              <w:rPr>
                <w:sz w:val="14"/>
              </w:rPr>
            </w:pPr>
            <w:r>
              <w:rPr>
                <w:color w:val="231F20"/>
                <w:sz w:val="14"/>
              </w:rPr>
              <w:t>Оспособљавање ученика да теоријска знања из граматике и правописа примењују у усменом и писаном изражавању у складу са језичком нормом, користе различите об­ лике казивања и</w:t>
            </w:r>
            <w:r>
              <w:rPr>
                <w:color w:val="231F20"/>
                <w:spacing w:val="-15"/>
                <w:sz w:val="14"/>
              </w:rPr>
              <w:t xml:space="preserve"> </w:t>
            </w:r>
            <w:r>
              <w:rPr>
                <w:color w:val="231F20"/>
                <w:sz w:val="14"/>
              </w:rPr>
              <w:t>функ­ ционалне</w:t>
            </w:r>
            <w:r>
              <w:rPr>
                <w:color w:val="231F20"/>
                <w:spacing w:val="-2"/>
                <w:sz w:val="14"/>
              </w:rPr>
              <w:t xml:space="preserve"> </w:t>
            </w:r>
            <w:r>
              <w:rPr>
                <w:color w:val="231F20"/>
                <w:sz w:val="14"/>
              </w:rPr>
              <w:t>стилове.</w:t>
            </w:r>
          </w:p>
        </w:tc>
        <w:tc>
          <w:tcPr>
            <w:tcW w:w="2551" w:type="dxa"/>
          </w:tcPr>
          <w:p w:rsidR="00041039" w:rsidRDefault="001B26CB">
            <w:pPr>
              <w:pStyle w:val="TableParagraph"/>
              <w:numPr>
                <w:ilvl w:val="0"/>
                <w:numId w:val="782"/>
              </w:numPr>
              <w:tabs>
                <w:tab w:val="left" w:pos="158"/>
              </w:tabs>
              <w:spacing w:before="13" w:line="230" w:lineRule="auto"/>
              <w:ind w:right="189"/>
              <w:rPr>
                <w:sz w:val="14"/>
              </w:rPr>
            </w:pPr>
            <w:r>
              <w:rPr>
                <w:color w:val="231F20"/>
                <w:sz w:val="14"/>
              </w:rPr>
              <w:t>изражава размишљања и критички став п</w:t>
            </w:r>
            <w:r>
              <w:rPr>
                <w:color w:val="231F20"/>
                <w:sz w:val="14"/>
              </w:rPr>
              <w:t>рема проблемима и појавама у књижевним текстовима и</w:t>
            </w:r>
            <w:r>
              <w:rPr>
                <w:color w:val="231F20"/>
                <w:spacing w:val="-24"/>
                <w:sz w:val="14"/>
              </w:rPr>
              <w:t xml:space="preserve"> </w:t>
            </w:r>
            <w:r>
              <w:rPr>
                <w:color w:val="231F20"/>
                <w:sz w:val="14"/>
              </w:rPr>
              <w:t>свакоднев­ ном</w:t>
            </w:r>
            <w:r>
              <w:rPr>
                <w:color w:val="231F20"/>
                <w:spacing w:val="-1"/>
                <w:sz w:val="14"/>
              </w:rPr>
              <w:t xml:space="preserve"> </w:t>
            </w:r>
            <w:r>
              <w:rPr>
                <w:color w:val="231F20"/>
                <w:sz w:val="14"/>
              </w:rPr>
              <w:t>животу;</w:t>
            </w:r>
          </w:p>
          <w:p w:rsidR="00041039" w:rsidRDefault="001B26CB">
            <w:pPr>
              <w:pStyle w:val="TableParagraph"/>
              <w:numPr>
                <w:ilvl w:val="0"/>
                <w:numId w:val="782"/>
              </w:numPr>
              <w:tabs>
                <w:tab w:val="left" w:pos="158"/>
              </w:tabs>
              <w:spacing w:line="150" w:lineRule="exact"/>
              <w:rPr>
                <w:sz w:val="14"/>
              </w:rPr>
            </w:pPr>
            <w:r>
              <w:rPr>
                <w:color w:val="231F20"/>
                <w:sz w:val="14"/>
              </w:rPr>
              <w:t>препозна одлике стручно ­</w:t>
            </w:r>
            <w:r>
              <w:rPr>
                <w:color w:val="231F20"/>
                <w:spacing w:val="-10"/>
                <w:sz w:val="14"/>
              </w:rPr>
              <w:t xml:space="preserve"> </w:t>
            </w:r>
            <w:r>
              <w:rPr>
                <w:color w:val="231F20"/>
                <w:sz w:val="14"/>
              </w:rPr>
              <w:t>научног</w:t>
            </w:r>
          </w:p>
          <w:p w:rsidR="00041039" w:rsidRDefault="001B26CB">
            <w:pPr>
              <w:pStyle w:val="TableParagraph"/>
              <w:spacing w:line="149" w:lineRule="exact"/>
              <w:ind w:left="157"/>
              <w:rPr>
                <w:sz w:val="14"/>
              </w:rPr>
            </w:pPr>
            <w:r>
              <w:rPr>
                <w:color w:val="231F20"/>
                <w:sz w:val="14"/>
              </w:rPr>
              <w:t>стила;</w:t>
            </w:r>
          </w:p>
          <w:p w:rsidR="00041039" w:rsidRDefault="001B26CB">
            <w:pPr>
              <w:pStyle w:val="TableParagraph"/>
              <w:numPr>
                <w:ilvl w:val="0"/>
                <w:numId w:val="782"/>
              </w:numPr>
              <w:tabs>
                <w:tab w:val="left" w:pos="158"/>
              </w:tabs>
              <w:spacing w:line="163" w:lineRule="exact"/>
              <w:rPr>
                <w:sz w:val="14"/>
              </w:rPr>
            </w:pPr>
            <w:r>
              <w:rPr>
                <w:color w:val="231F20"/>
                <w:sz w:val="14"/>
              </w:rPr>
              <w:t>примени одлике новинарског</w:t>
            </w:r>
            <w:r>
              <w:rPr>
                <w:color w:val="231F20"/>
                <w:spacing w:val="-10"/>
                <w:sz w:val="14"/>
              </w:rPr>
              <w:t xml:space="preserve"> </w:t>
            </w:r>
            <w:r>
              <w:rPr>
                <w:color w:val="231F20"/>
                <w:sz w:val="14"/>
              </w:rPr>
              <w:t>стила;</w:t>
            </w:r>
          </w:p>
        </w:tc>
        <w:tc>
          <w:tcPr>
            <w:tcW w:w="2834" w:type="dxa"/>
          </w:tcPr>
          <w:p w:rsidR="00041039" w:rsidRDefault="001B26CB">
            <w:pPr>
              <w:pStyle w:val="TableParagraph"/>
              <w:numPr>
                <w:ilvl w:val="0"/>
                <w:numId w:val="781"/>
              </w:numPr>
              <w:tabs>
                <w:tab w:val="left" w:pos="158"/>
              </w:tabs>
              <w:spacing w:before="8" w:line="163" w:lineRule="exact"/>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numPr>
                <w:ilvl w:val="0"/>
                <w:numId w:val="781"/>
              </w:numPr>
              <w:tabs>
                <w:tab w:val="left" w:pos="158"/>
              </w:tabs>
              <w:spacing w:line="154" w:lineRule="exact"/>
              <w:rPr>
                <w:sz w:val="14"/>
              </w:rPr>
            </w:pPr>
            <w:r>
              <w:rPr>
                <w:color w:val="231F20"/>
                <w:sz w:val="14"/>
              </w:rPr>
              <w:t>Стилске</w:t>
            </w:r>
            <w:r>
              <w:rPr>
                <w:color w:val="231F20"/>
                <w:spacing w:val="-11"/>
                <w:sz w:val="14"/>
              </w:rPr>
              <w:t xml:space="preserve"> </w:t>
            </w:r>
            <w:r>
              <w:rPr>
                <w:color w:val="231F20"/>
                <w:sz w:val="14"/>
              </w:rPr>
              <w:t>вежбе.</w:t>
            </w:r>
          </w:p>
          <w:p w:rsidR="00041039" w:rsidRDefault="001B26CB">
            <w:pPr>
              <w:pStyle w:val="TableParagraph"/>
              <w:numPr>
                <w:ilvl w:val="0"/>
                <w:numId w:val="781"/>
              </w:numPr>
              <w:tabs>
                <w:tab w:val="left" w:pos="158"/>
              </w:tabs>
              <w:spacing w:line="154" w:lineRule="exact"/>
              <w:rPr>
                <w:sz w:val="14"/>
              </w:rPr>
            </w:pPr>
            <w:r>
              <w:rPr>
                <w:color w:val="231F20"/>
                <w:sz w:val="14"/>
              </w:rPr>
              <w:t>Домаћи</w:t>
            </w:r>
            <w:r>
              <w:rPr>
                <w:color w:val="231F20"/>
                <w:spacing w:val="-12"/>
                <w:sz w:val="14"/>
              </w:rPr>
              <w:t xml:space="preserve"> </w:t>
            </w:r>
            <w:r>
              <w:rPr>
                <w:color w:val="231F20"/>
                <w:sz w:val="14"/>
              </w:rPr>
              <w:t>задаци.</w:t>
            </w:r>
          </w:p>
          <w:p w:rsidR="00041039" w:rsidRDefault="001B26CB">
            <w:pPr>
              <w:pStyle w:val="TableParagraph"/>
              <w:numPr>
                <w:ilvl w:val="0"/>
                <w:numId w:val="781"/>
              </w:numPr>
              <w:tabs>
                <w:tab w:val="left" w:pos="158"/>
              </w:tabs>
              <w:spacing w:line="154" w:lineRule="exact"/>
              <w:rPr>
                <w:sz w:val="14"/>
              </w:rPr>
            </w:pPr>
            <w:r>
              <w:rPr>
                <w:color w:val="231F20"/>
                <w:sz w:val="14"/>
              </w:rPr>
              <w:t>Школски писмени задаци 4 x 2 +</w:t>
            </w:r>
            <w:r>
              <w:rPr>
                <w:color w:val="231F20"/>
                <w:spacing w:val="-10"/>
                <w:sz w:val="14"/>
              </w:rPr>
              <w:t xml:space="preserve"> </w:t>
            </w:r>
            <w:r>
              <w:rPr>
                <w:color w:val="231F20"/>
                <w:sz w:val="14"/>
              </w:rPr>
              <w:t>2.</w:t>
            </w:r>
          </w:p>
          <w:p w:rsidR="00041039" w:rsidRDefault="001B26CB">
            <w:pPr>
              <w:pStyle w:val="TableParagraph"/>
              <w:numPr>
                <w:ilvl w:val="0"/>
                <w:numId w:val="781"/>
              </w:numPr>
              <w:tabs>
                <w:tab w:val="left" w:pos="156"/>
              </w:tabs>
              <w:spacing w:line="154" w:lineRule="exact"/>
              <w:ind w:left="155" w:hanging="98"/>
              <w:rPr>
                <w:sz w:val="14"/>
              </w:rPr>
            </w:pPr>
            <w:r>
              <w:rPr>
                <w:color w:val="231F20"/>
                <w:spacing w:val="-3"/>
                <w:sz w:val="14"/>
              </w:rPr>
              <w:t xml:space="preserve">Упознавање </w:t>
            </w:r>
            <w:r>
              <w:rPr>
                <w:color w:val="231F20"/>
                <w:sz w:val="14"/>
              </w:rPr>
              <w:t>са одликама новинарског</w:t>
            </w:r>
            <w:r>
              <w:rPr>
                <w:color w:val="231F20"/>
                <w:spacing w:val="-25"/>
                <w:sz w:val="14"/>
              </w:rPr>
              <w:t xml:space="preserve"> </w:t>
            </w:r>
            <w:r>
              <w:rPr>
                <w:color w:val="231F20"/>
                <w:sz w:val="14"/>
              </w:rPr>
              <w:t>стила.</w:t>
            </w:r>
          </w:p>
          <w:p w:rsidR="00041039" w:rsidRDefault="001B26CB">
            <w:pPr>
              <w:pStyle w:val="TableParagraph"/>
              <w:numPr>
                <w:ilvl w:val="0"/>
                <w:numId w:val="781"/>
              </w:numPr>
              <w:tabs>
                <w:tab w:val="left" w:pos="158"/>
              </w:tabs>
              <w:spacing w:line="228" w:lineRule="auto"/>
              <w:ind w:right="124"/>
              <w:rPr>
                <w:sz w:val="14"/>
              </w:rPr>
            </w:pPr>
            <w:r>
              <w:rPr>
                <w:color w:val="231F20"/>
                <w:sz w:val="14"/>
              </w:rPr>
              <w:t>Писање вести, извештаја, интервјуа и дру­ гих облика новинарског</w:t>
            </w:r>
            <w:r>
              <w:rPr>
                <w:color w:val="231F20"/>
                <w:spacing w:val="-9"/>
                <w:sz w:val="14"/>
              </w:rPr>
              <w:t xml:space="preserve"> </w:t>
            </w:r>
            <w:r>
              <w:rPr>
                <w:color w:val="231F20"/>
                <w:sz w:val="14"/>
              </w:rPr>
              <w:t>изражавања.</w:t>
            </w:r>
          </w:p>
          <w:p w:rsidR="00041039" w:rsidRDefault="001B26CB">
            <w:pPr>
              <w:pStyle w:val="TableParagraph"/>
              <w:numPr>
                <w:ilvl w:val="0"/>
                <w:numId w:val="781"/>
              </w:numPr>
              <w:tabs>
                <w:tab w:val="left" w:pos="158"/>
              </w:tabs>
              <w:spacing w:line="228" w:lineRule="auto"/>
              <w:ind w:right="92"/>
              <w:rPr>
                <w:sz w:val="14"/>
              </w:rPr>
            </w:pPr>
            <w:r>
              <w:rPr>
                <w:color w:val="231F20"/>
                <w:sz w:val="14"/>
              </w:rPr>
              <w:t>Упознавање</w:t>
            </w:r>
            <w:r>
              <w:rPr>
                <w:color w:val="231F20"/>
                <w:spacing w:val="-8"/>
                <w:sz w:val="14"/>
              </w:rPr>
              <w:t xml:space="preserve"> </w:t>
            </w:r>
            <w:r>
              <w:rPr>
                <w:color w:val="231F20"/>
                <w:sz w:val="14"/>
              </w:rPr>
              <w:t>са</w:t>
            </w:r>
            <w:r>
              <w:rPr>
                <w:color w:val="231F20"/>
                <w:spacing w:val="-8"/>
                <w:sz w:val="14"/>
              </w:rPr>
              <w:t xml:space="preserve"> </w:t>
            </w:r>
            <w:r>
              <w:rPr>
                <w:color w:val="231F20"/>
                <w:sz w:val="14"/>
              </w:rPr>
              <w:t>одликама</w:t>
            </w:r>
            <w:r>
              <w:rPr>
                <w:color w:val="231F20"/>
                <w:spacing w:val="-8"/>
                <w:sz w:val="14"/>
              </w:rPr>
              <w:t xml:space="preserve"> </w:t>
            </w:r>
            <w:r>
              <w:rPr>
                <w:color w:val="231F20"/>
                <w:sz w:val="14"/>
              </w:rPr>
              <w:t>стручно</w:t>
            </w:r>
            <w:r>
              <w:rPr>
                <w:color w:val="231F20"/>
                <w:spacing w:val="-8"/>
                <w:sz w:val="14"/>
              </w:rPr>
              <w:t xml:space="preserve"> </w:t>
            </w:r>
            <w:r>
              <w:rPr>
                <w:color w:val="231F20"/>
                <w:sz w:val="14"/>
              </w:rPr>
              <w:t>­</w:t>
            </w:r>
            <w:r>
              <w:rPr>
                <w:color w:val="231F20"/>
                <w:spacing w:val="-8"/>
                <w:sz w:val="14"/>
              </w:rPr>
              <w:t xml:space="preserve"> </w:t>
            </w:r>
            <w:r>
              <w:rPr>
                <w:color w:val="231F20"/>
                <w:sz w:val="14"/>
              </w:rPr>
              <w:t>научног стила.</w:t>
            </w:r>
          </w:p>
          <w:p w:rsidR="00041039" w:rsidRDefault="001B26CB">
            <w:pPr>
              <w:pStyle w:val="TableParagraph"/>
              <w:numPr>
                <w:ilvl w:val="0"/>
                <w:numId w:val="781"/>
              </w:numPr>
              <w:tabs>
                <w:tab w:val="left" w:pos="158"/>
              </w:tabs>
              <w:spacing w:line="228" w:lineRule="auto"/>
              <w:ind w:right="282"/>
              <w:rPr>
                <w:sz w:val="14"/>
              </w:rPr>
            </w:pPr>
            <w:r>
              <w:rPr>
                <w:color w:val="231F20"/>
                <w:sz w:val="14"/>
              </w:rPr>
              <w:t>Милутин Миланковић: „Кроз васиону</w:t>
            </w:r>
            <w:r>
              <w:rPr>
                <w:color w:val="231F20"/>
                <w:spacing w:val="-19"/>
                <w:sz w:val="14"/>
              </w:rPr>
              <w:t xml:space="preserve"> </w:t>
            </w:r>
            <w:r>
              <w:rPr>
                <w:color w:val="231F20"/>
                <w:sz w:val="14"/>
              </w:rPr>
              <w:t>и векове”.</w:t>
            </w:r>
          </w:p>
        </w:tc>
        <w:tc>
          <w:tcPr>
            <w:tcW w:w="2267" w:type="dxa"/>
            <w:vMerge/>
            <w:tcBorders>
              <w:top w:val="nil"/>
            </w:tcBorders>
          </w:tcPr>
          <w:p w:rsidR="00041039" w:rsidRDefault="00041039">
            <w:pPr>
              <w:rPr>
                <w:sz w:val="2"/>
                <w:szCs w:val="2"/>
              </w:rPr>
            </w:pPr>
          </w:p>
        </w:tc>
      </w:tr>
    </w:tbl>
    <w:p w:rsidR="00041039" w:rsidRDefault="00041039">
      <w:pPr>
        <w:pStyle w:val="BodyText"/>
        <w:spacing w:before="5"/>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3"/>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240"/>
        </w:trPr>
        <w:tc>
          <w:tcPr>
            <w:tcW w:w="1304" w:type="dxa"/>
          </w:tcPr>
          <w:p w:rsidR="00041039" w:rsidRDefault="001B26CB">
            <w:pPr>
              <w:pStyle w:val="TableParagraph"/>
              <w:spacing w:before="18"/>
              <w:ind w:left="56"/>
              <w:rPr>
                <w:sz w:val="14"/>
              </w:rPr>
            </w:pPr>
            <w:r>
              <w:rPr>
                <w:color w:val="231F20"/>
                <w:sz w:val="14"/>
              </w:rPr>
              <w:t>Модерна</w:t>
            </w:r>
          </w:p>
        </w:tc>
        <w:tc>
          <w:tcPr>
            <w:tcW w:w="1587" w:type="dxa"/>
          </w:tcPr>
          <w:p w:rsidR="00041039" w:rsidRDefault="001B26CB">
            <w:pPr>
              <w:pStyle w:val="TableParagraph"/>
              <w:numPr>
                <w:ilvl w:val="0"/>
                <w:numId w:val="780"/>
              </w:numPr>
              <w:tabs>
                <w:tab w:val="left" w:pos="157"/>
              </w:tabs>
              <w:spacing w:before="8"/>
              <w:ind w:right="105"/>
              <w:rPr>
                <w:sz w:val="14"/>
              </w:rPr>
            </w:pPr>
            <w:r>
              <w:rPr>
                <w:color w:val="231F20"/>
                <w:sz w:val="14"/>
              </w:rPr>
              <w:t>Упознавање са основ­ ним одликама</w:t>
            </w:r>
            <w:r>
              <w:rPr>
                <w:color w:val="231F20"/>
                <w:spacing w:val="-16"/>
                <w:sz w:val="14"/>
              </w:rPr>
              <w:t xml:space="preserve"> </w:t>
            </w:r>
            <w:r>
              <w:rPr>
                <w:color w:val="231F20"/>
                <w:sz w:val="14"/>
              </w:rPr>
              <w:t>правца, представницима и њиховим</w:t>
            </w:r>
            <w:r>
              <w:rPr>
                <w:color w:val="231F20"/>
                <w:spacing w:val="-1"/>
                <w:sz w:val="14"/>
              </w:rPr>
              <w:t xml:space="preserve"> </w:t>
            </w:r>
            <w:r>
              <w:rPr>
                <w:color w:val="231F20"/>
                <w:sz w:val="14"/>
              </w:rPr>
              <w:t>делима.</w:t>
            </w:r>
          </w:p>
        </w:tc>
        <w:tc>
          <w:tcPr>
            <w:tcW w:w="2551" w:type="dxa"/>
          </w:tcPr>
          <w:p w:rsidR="00041039" w:rsidRDefault="001B26CB">
            <w:pPr>
              <w:pStyle w:val="TableParagraph"/>
              <w:numPr>
                <w:ilvl w:val="0"/>
                <w:numId w:val="779"/>
              </w:numPr>
              <w:tabs>
                <w:tab w:val="left" w:pos="157"/>
              </w:tabs>
              <w:spacing w:before="8"/>
              <w:ind w:right="111" w:hanging="99"/>
              <w:rPr>
                <w:sz w:val="14"/>
              </w:rPr>
            </w:pPr>
            <w:r>
              <w:rPr>
                <w:color w:val="231F20"/>
                <w:sz w:val="14"/>
              </w:rPr>
              <w:t>наведе одлике правца, представнике</w:t>
            </w:r>
            <w:r>
              <w:rPr>
                <w:color w:val="231F20"/>
                <w:spacing w:val="-25"/>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779"/>
              </w:numPr>
              <w:tabs>
                <w:tab w:val="left" w:pos="157"/>
              </w:tabs>
              <w:spacing w:line="160" w:lineRule="exact"/>
              <w:ind w:right="328" w:hanging="99"/>
              <w:rPr>
                <w:sz w:val="14"/>
              </w:rPr>
            </w:pPr>
            <w:r>
              <w:rPr>
                <w:color w:val="231F20"/>
                <w:sz w:val="14"/>
              </w:rPr>
              <w:t>уочи и тумачи модерне елементе</w:t>
            </w:r>
            <w:r>
              <w:rPr>
                <w:color w:val="231F20"/>
                <w:spacing w:val="-24"/>
                <w:sz w:val="14"/>
              </w:rPr>
              <w:t xml:space="preserve"> </w:t>
            </w:r>
            <w:r>
              <w:rPr>
                <w:color w:val="231F20"/>
                <w:sz w:val="14"/>
              </w:rPr>
              <w:t>у изразу и форми књижевног</w:t>
            </w:r>
            <w:r>
              <w:rPr>
                <w:color w:val="231F20"/>
                <w:spacing w:val="-9"/>
                <w:sz w:val="14"/>
              </w:rPr>
              <w:t xml:space="preserve"> </w:t>
            </w:r>
            <w:r>
              <w:rPr>
                <w:color w:val="231F20"/>
                <w:sz w:val="14"/>
              </w:rPr>
              <w:t>дела;</w:t>
            </w:r>
          </w:p>
          <w:p w:rsidR="00041039" w:rsidRDefault="001B26CB">
            <w:pPr>
              <w:pStyle w:val="TableParagraph"/>
              <w:numPr>
                <w:ilvl w:val="0"/>
                <w:numId w:val="779"/>
              </w:numPr>
              <w:tabs>
                <w:tab w:val="left" w:pos="157"/>
              </w:tabs>
              <w:spacing w:line="160" w:lineRule="exact"/>
              <w:ind w:right="413" w:hanging="99"/>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834" w:type="dxa"/>
          </w:tcPr>
          <w:p w:rsidR="00041039" w:rsidRDefault="001B26CB">
            <w:pPr>
              <w:pStyle w:val="TableParagraph"/>
              <w:numPr>
                <w:ilvl w:val="0"/>
                <w:numId w:val="778"/>
              </w:numPr>
              <w:tabs>
                <w:tab w:val="left" w:pos="157"/>
              </w:tabs>
              <w:spacing w:before="8"/>
              <w:ind w:right="480" w:hanging="99"/>
              <w:rPr>
                <w:sz w:val="14"/>
              </w:rPr>
            </w:pPr>
            <w:r>
              <w:rPr>
                <w:color w:val="231F20"/>
                <w:sz w:val="14"/>
              </w:rPr>
              <w:t>Модерна у европској и српској књижевности. Одлике симболизма</w:t>
            </w:r>
            <w:r>
              <w:rPr>
                <w:color w:val="231F20"/>
                <w:spacing w:val="-12"/>
                <w:sz w:val="14"/>
              </w:rPr>
              <w:t xml:space="preserve"> </w:t>
            </w:r>
            <w:r>
              <w:rPr>
                <w:color w:val="231F20"/>
                <w:sz w:val="14"/>
              </w:rPr>
              <w:t>и импресионизма.</w:t>
            </w:r>
          </w:p>
          <w:p w:rsidR="00041039" w:rsidRDefault="001B26CB">
            <w:pPr>
              <w:pStyle w:val="TableParagraph"/>
              <w:numPr>
                <w:ilvl w:val="0"/>
                <w:numId w:val="778"/>
              </w:numPr>
              <w:tabs>
                <w:tab w:val="left" w:pos="157"/>
              </w:tabs>
              <w:spacing w:line="152" w:lineRule="exact"/>
              <w:ind w:hanging="99"/>
              <w:rPr>
                <w:sz w:val="14"/>
              </w:rPr>
            </w:pPr>
            <w:r>
              <w:rPr>
                <w:color w:val="231F20"/>
                <w:sz w:val="14"/>
              </w:rPr>
              <w:t>Шарл Бодлер:</w:t>
            </w:r>
            <w:r>
              <w:rPr>
                <w:color w:val="231F20"/>
                <w:spacing w:val="-2"/>
                <w:sz w:val="14"/>
              </w:rPr>
              <w:t xml:space="preserve"> </w:t>
            </w:r>
            <w:r>
              <w:rPr>
                <w:color w:val="231F20"/>
                <w:sz w:val="14"/>
              </w:rPr>
              <w:t>„Албатрос”.</w:t>
            </w:r>
          </w:p>
          <w:p w:rsidR="00041039" w:rsidRDefault="001B26CB">
            <w:pPr>
              <w:pStyle w:val="TableParagraph"/>
              <w:numPr>
                <w:ilvl w:val="0"/>
                <w:numId w:val="778"/>
              </w:numPr>
              <w:tabs>
                <w:tab w:val="left" w:pos="157"/>
              </w:tabs>
              <w:spacing w:line="160" w:lineRule="exact"/>
              <w:ind w:hanging="99"/>
              <w:rPr>
                <w:sz w:val="14"/>
              </w:rPr>
            </w:pPr>
            <w:r>
              <w:rPr>
                <w:color w:val="231F20"/>
                <w:sz w:val="14"/>
              </w:rPr>
              <w:t>А. П. Чехов: „Ујка</w:t>
            </w:r>
            <w:r>
              <w:rPr>
                <w:color w:val="231F20"/>
                <w:spacing w:val="-4"/>
                <w:sz w:val="14"/>
              </w:rPr>
              <w:t xml:space="preserve"> </w:t>
            </w:r>
            <w:r>
              <w:rPr>
                <w:color w:val="231F20"/>
                <w:sz w:val="14"/>
              </w:rPr>
              <w:t>Вања”.</w:t>
            </w:r>
          </w:p>
          <w:p w:rsidR="00041039" w:rsidRDefault="001B26CB">
            <w:pPr>
              <w:pStyle w:val="TableParagraph"/>
              <w:numPr>
                <w:ilvl w:val="0"/>
                <w:numId w:val="778"/>
              </w:numPr>
              <w:tabs>
                <w:tab w:val="left" w:pos="157"/>
              </w:tabs>
              <w:spacing w:line="237" w:lineRule="auto"/>
              <w:ind w:right="201" w:hanging="99"/>
              <w:rPr>
                <w:sz w:val="14"/>
              </w:rPr>
            </w:pPr>
            <w:r>
              <w:rPr>
                <w:color w:val="231F20"/>
                <w:sz w:val="14"/>
              </w:rPr>
              <w:t>Богдан</w:t>
            </w:r>
            <w:r>
              <w:rPr>
                <w:color w:val="231F20"/>
                <w:spacing w:val="-10"/>
                <w:sz w:val="14"/>
              </w:rPr>
              <w:t xml:space="preserve"> </w:t>
            </w:r>
            <w:r>
              <w:rPr>
                <w:color w:val="231F20"/>
                <w:sz w:val="14"/>
              </w:rPr>
              <w:t>Поповић:</w:t>
            </w:r>
            <w:r>
              <w:rPr>
                <w:color w:val="231F20"/>
                <w:spacing w:val="-11"/>
                <w:sz w:val="14"/>
              </w:rPr>
              <w:t xml:space="preserve"> </w:t>
            </w:r>
            <w:r>
              <w:rPr>
                <w:color w:val="231F20"/>
                <w:sz w:val="14"/>
              </w:rPr>
              <w:t>„Предговор</w:t>
            </w:r>
            <w:r>
              <w:rPr>
                <w:color w:val="231F20"/>
                <w:spacing w:val="-10"/>
                <w:sz w:val="14"/>
              </w:rPr>
              <w:t xml:space="preserve"> </w:t>
            </w:r>
            <w:r>
              <w:rPr>
                <w:color w:val="231F20"/>
                <w:sz w:val="14"/>
              </w:rPr>
              <w:t>Антологији новије српске</w:t>
            </w:r>
            <w:r>
              <w:rPr>
                <w:color w:val="231F20"/>
                <w:spacing w:val="-2"/>
                <w:sz w:val="14"/>
              </w:rPr>
              <w:t xml:space="preserve"> </w:t>
            </w:r>
            <w:r>
              <w:rPr>
                <w:color w:val="231F20"/>
                <w:sz w:val="14"/>
              </w:rPr>
              <w:t>лирике”.</w:t>
            </w:r>
          </w:p>
          <w:p w:rsidR="00041039" w:rsidRDefault="001B26CB">
            <w:pPr>
              <w:pStyle w:val="TableParagraph"/>
              <w:numPr>
                <w:ilvl w:val="0"/>
                <w:numId w:val="778"/>
              </w:numPr>
              <w:tabs>
                <w:tab w:val="left" w:pos="157"/>
              </w:tabs>
              <w:spacing w:line="160" w:lineRule="exact"/>
              <w:ind w:hanging="99"/>
              <w:rPr>
                <w:sz w:val="14"/>
              </w:rPr>
            </w:pPr>
            <w:r>
              <w:rPr>
                <w:color w:val="231F20"/>
                <w:sz w:val="14"/>
              </w:rPr>
              <w:t>Алекса Шантић: „Претпразничко</w:t>
            </w:r>
            <w:r>
              <w:rPr>
                <w:color w:val="231F20"/>
                <w:spacing w:val="-5"/>
                <w:sz w:val="14"/>
              </w:rPr>
              <w:t xml:space="preserve"> </w:t>
            </w:r>
            <w:r>
              <w:rPr>
                <w:color w:val="231F20"/>
                <w:sz w:val="14"/>
              </w:rPr>
              <w:t>вече”,</w:t>
            </w:r>
          </w:p>
          <w:p w:rsidR="00041039" w:rsidRDefault="001B26CB">
            <w:pPr>
              <w:pStyle w:val="TableParagraph"/>
              <w:spacing w:line="155" w:lineRule="exact"/>
              <w:rPr>
                <w:sz w:val="14"/>
              </w:rPr>
            </w:pPr>
            <w:r>
              <w:rPr>
                <w:color w:val="231F20"/>
                <w:sz w:val="14"/>
              </w:rPr>
              <w:t>„Вече на шкољу”.</w:t>
            </w:r>
          </w:p>
          <w:p w:rsidR="00041039" w:rsidRDefault="001B26CB">
            <w:pPr>
              <w:pStyle w:val="TableParagraph"/>
              <w:numPr>
                <w:ilvl w:val="0"/>
                <w:numId w:val="778"/>
              </w:numPr>
              <w:tabs>
                <w:tab w:val="left" w:pos="157"/>
              </w:tabs>
              <w:spacing w:line="237" w:lineRule="auto"/>
              <w:ind w:right="248" w:hanging="99"/>
              <w:rPr>
                <w:sz w:val="14"/>
              </w:rPr>
            </w:pPr>
            <w:r>
              <w:rPr>
                <w:color w:val="231F20"/>
                <w:sz w:val="14"/>
              </w:rPr>
              <w:t>Јован Дучић: „Благо цара Радована”</w:t>
            </w:r>
            <w:r>
              <w:rPr>
                <w:color w:val="231F20"/>
                <w:spacing w:val="-25"/>
                <w:sz w:val="14"/>
              </w:rPr>
              <w:t xml:space="preserve"> </w:t>
            </w:r>
            <w:r>
              <w:rPr>
                <w:color w:val="231F20"/>
                <w:sz w:val="14"/>
              </w:rPr>
              <w:t>(из­ бор),</w:t>
            </w:r>
            <w:r>
              <w:rPr>
                <w:color w:val="231F20"/>
                <w:spacing w:val="-1"/>
                <w:sz w:val="14"/>
              </w:rPr>
              <w:t xml:space="preserve"> </w:t>
            </w:r>
            <w:r>
              <w:rPr>
                <w:color w:val="231F20"/>
                <w:sz w:val="14"/>
              </w:rPr>
              <w:t>„Јабланови”.</w:t>
            </w:r>
          </w:p>
          <w:p w:rsidR="00041039" w:rsidRDefault="001B26CB">
            <w:pPr>
              <w:pStyle w:val="TableParagraph"/>
              <w:numPr>
                <w:ilvl w:val="0"/>
                <w:numId w:val="778"/>
              </w:numPr>
              <w:tabs>
                <w:tab w:val="left" w:pos="157"/>
              </w:tabs>
              <w:spacing w:line="155" w:lineRule="exact"/>
              <w:ind w:hanging="99"/>
              <w:rPr>
                <w:sz w:val="14"/>
              </w:rPr>
            </w:pPr>
            <w:r>
              <w:rPr>
                <w:color w:val="231F20"/>
                <w:sz w:val="14"/>
              </w:rPr>
              <w:t>Милан Ракић „Долап”, „Искрена</w:t>
            </w:r>
            <w:r>
              <w:rPr>
                <w:color w:val="231F20"/>
                <w:spacing w:val="-8"/>
                <w:sz w:val="14"/>
              </w:rPr>
              <w:t xml:space="preserve"> </w:t>
            </w:r>
            <w:r>
              <w:rPr>
                <w:color w:val="231F20"/>
                <w:sz w:val="14"/>
              </w:rPr>
              <w:t>песма”.</w:t>
            </w:r>
          </w:p>
          <w:p w:rsidR="00041039" w:rsidRDefault="001B26CB">
            <w:pPr>
              <w:pStyle w:val="TableParagraph"/>
              <w:numPr>
                <w:ilvl w:val="0"/>
                <w:numId w:val="778"/>
              </w:numPr>
              <w:tabs>
                <w:tab w:val="left" w:pos="157"/>
              </w:tabs>
              <w:spacing w:line="160" w:lineRule="exact"/>
              <w:ind w:hanging="99"/>
              <w:rPr>
                <w:sz w:val="14"/>
              </w:rPr>
            </w:pPr>
            <w:r>
              <w:rPr>
                <w:color w:val="231F20"/>
                <w:sz w:val="14"/>
              </w:rPr>
              <w:t>В. П. Дис: „Тамница”, „Можда</w:t>
            </w:r>
            <w:r>
              <w:rPr>
                <w:color w:val="231F20"/>
                <w:spacing w:val="-12"/>
                <w:sz w:val="14"/>
              </w:rPr>
              <w:t xml:space="preserve"> </w:t>
            </w:r>
            <w:r>
              <w:rPr>
                <w:color w:val="231F20"/>
                <w:sz w:val="14"/>
              </w:rPr>
              <w:t>спава”.</w:t>
            </w:r>
          </w:p>
          <w:p w:rsidR="00041039" w:rsidRDefault="001B26CB">
            <w:pPr>
              <w:pStyle w:val="TableParagraph"/>
              <w:numPr>
                <w:ilvl w:val="0"/>
                <w:numId w:val="778"/>
              </w:numPr>
              <w:tabs>
                <w:tab w:val="left" w:pos="157"/>
              </w:tabs>
              <w:spacing w:line="160" w:lineRule="exact"/>
              <w:ind w:hanging="99"/>
              <w:rPr>
                <w:sz w:val="14"/>
              </w:rPr>
            </w:pPr>
            <w:r>
              <w:rPr>
                <w:color w:val="231F20"/>
                <w:sz w:val="14"/>
              </w:rPr>
              <w:t>Сима Пандуровић:</w:t>
            </w:r>
            <w:r>
              <w:rPr>
                <w:color w:val="231F20"/>
                <w:spacing w:val="-3"/>
                <w:sz w:val="14"/>
              </w:rPr>
              <w:t xml:space="preserve"> </w:t>
            </w:r>
            <w:r>
              <w:rPr>
                <w:color w:val="231F20"/>
                <w:sz w:val="14"/>
              </w:rPr>
              <w:t>„Светковина”.</w:t>
            </w:r>
          </w:p>
          <w:p w:rsidR="00041039" w:rsidRDefault="001B26CB">
            <w:pPr>
              <w:pStyle w:val="TableParagraph"/>
              <w:numPr>
                <w:ilvl w:val="0"/>
                <w:numId w:val="778"/>
              </w:numPr>
              <w:tabs>
                <w:tab w:val="left" w:pos="157"/>
              </w:tabs>
              <w:spacing w:line="237" w:lineRule="auto"/>
              <w:ind w:right="63" w:hanging="99"/>
              <w:rPr>
                <w:sz w:val="14"/>
              </w:rPr>
            </w:pPr>
            <w:r>
              <w:rPr>
                <w:color w:val="231F20"/>
                <w:sz w:val="14"/>
              </w:rPr>
              <w:t>Бора Станковић: „Нечиста крв”.</w:t>
            </w:r>
            <w:r>
              <w:rPr>
                <w:color w:val="231F20"/>
                <w:spacing w:val="-21"/>
                <w:sz w:val="14"/>
              </w:rPr>
              <w:t xml:space="preserve"> </w:t>
            </w:r>
            <w:r>
              <w:rPr>
                <w:color w:val="231F20"/>
                <w:sz w:val="14"/>
              </w:rPr>
              <w:t>„Коштана” или „Божји људи” (приповетка по</w:t>
            </w:r>
            <w:r>
              <w:rPr>
                <w:color w:val="231F20"/>
                <w:spacing w:val="-22"/>
                <w:sz w:val="14"/>
              </w:rPr>
              <w:t xml:space="preserve"> </w:t>
            </w:r>
            <w:r>
              <w:rPr>
                <w:color w:val="231F20"/>
                <w:sz w:val="14"/>
              </w:rPr>
              <w:t>избору).</w:t>
            </w:r>
          </w:p>
          <w:p w:rsidR="00041039" w:rsidRDefault="001B26CB">
            <w:pPr>
              <w:pStyle w:val="TableParagraph"/>
              <w:numPr>
                <w:ilvl w:val="0"/>
                <w:numId w:val="778"/>
              </w:numPr>
              <w:tabs>
                <w:tab w:val="left" w:pos="157"/>
              </w:tabs>
              <w:spacing w:line="160" w:lineRule="exact"/>
              <w:ind w:right="218" w:hanging="99"/>
              <w:rPr>
                <w:sz w:val="14"/>
              </w:rPr>
            </w:pPr>
            <w:r>
              <w:rPr>
                <w:color w:val="231F20"/>
                <w:sz w:val="14"/>
              </w:rPr>
              <w:t>Јован Скерлић: „О Коштани” или</w:t>
            </w:r>
            <w:r>
              <w:rPr>
                <w:color w:val="231F20"/>
                <w:spacing w:val="-25"/>
                <w:sz w:val="14"/>
              </w:rPr>
              <w:t xml:space="preserve"> </w:t>
            </w:r>
            <w:r>
              <w:rPr>
                <w:color w:val="231F20"/>
                <w:sz w:val="14"/>
              </w:rPr>
              <w:t>„Божји људи”.</w:t>
            </w:r>
          </w:p>
          <w:p w:rsidR="00041039" w:rsidRDefault="001B26CB">
            <w:pPr>
              <w:pStyle w:val="TableParagraph"/>
              <w:numPr>
                <w:ilvl w:val="0"/>
                <w:numId w:val="778"/>
              </w:numPr>
              <w:tabs>
                <w:tab w:val="left" w:pos="157"/>
              </w:tabs>
              <w:spacing w:line="160" w:lineRule="exact"/>
              <w:ind w:right="144" w:hanging="99"/>
              <w:rPr>
                <w:sz w:val="14"/>
              </w:rPr>
            </w:pPr>
            <w:r>
              <w:rPr>
                <w:color w:val="231F20"/>
                <w:sz w:val="14"/>
              </w:rPr>
              <w:t>Петар</w:t>
            </w:r>
            <w:r>
              <w:rPr>
                <w:color w:val="231F20"/>
                <w:spacing w:val="-6"/>
                <w:sz w:val="14"/>
              </w:rPr>
              <w:t xml:space="preserve"> </w:t>
            </w:r>
            <w:r>
              <w:rPr>
                <w:color w:val="231F20"/>
                <w:sz w:val="14"/>
              </w:rPr>
              <w:t>Кочић:</w:t>
            </w:r>
            <w:r>
              <w:rPr>
                <w:color w:val="231F20"/>
                <w:spacing w:val="-6"/>
                <w:sz w:val="14"/>
              </w:rPr>
              <w:t xml:space="preserve"> </w:t>
            </w:r>
            <w:r>
              <w:rPr>
                <w:color w:val="231F20"/>
                <w:sz w:val="14"/>
              </w:rPr>
              <w:t>„Мрачајски</w:t>
            </w:r>
            <w:r>
              <w:rPr>
                <w:color w:val="231F20"/>
                <w:spacing w:val="-6"/>
                <w:sz w:val="14"/>
              </w:rPr>
              <w:t xml:space="preserve"> </w:t>
            </w:r>
            <w:r>
              <w:rPr>
                <w:color w:val="231F20"/>
                <w:sz w:val="14"/>
              </w:rPr>
              <w:t>прото”</w:t>
            </w:r>
            <w:r>
              <w:rPr>
                <w:color w:val="231F20"/>
                <w:spacing w:val="-6"/>
                <w:sz w:val="14"/>
              </w:rPr>
              <w:t xml:space="preserve"> </w:t>
            </w:r>
            <w:r>
              <w:rPr>
                <w:color w:val="231F20"/>
                <w:sz w:val="14"/>
              </w:rPr>
              <w:t>или</w:t>
            </w:r>
            <w:r>
              <w:rPr>
                <w:color w:val="231F20"/>
                <w:spacing w:val="-7"/>
                <w:sz w:val="14"/>
              </w:rPr>
              <w:t xml:space="preserve"> </w:t>
            </w:r>
            <w:r>
              <w:rPr>
                <w:color w:val="231F20"/>
                <w:sz w:val="14"/>
              </w:rPr>
              <w:t>при­ поветка по</w:t>
            </w:r>
            <w:r>
              <w:rPr>
                <w:color w:val="231F20"/>
                <w:spacing w:val="-2"/>
                <w:sz w:val="14"/>
              </w:rPr>
              <w:t xml:space="preserve"> </w:t>
            </w:r>
            <w:r>
              <w:rPr>
                <w:color w:val="231F20"/>
                <w:spacing w:val="-3"/>
                <w:sz w:val="14"/>
              </w:rPr>
              <w:t>избору.</w:t>
            </w:r>
          </w:p>
        </w:tc>
        <w:tc>
          <w:tcPr>
            <w:tcW w:w="2267" w:type="dxa"/>
          </w:tcPr>
          <w:p w:rsidR="00041039" w:rsidRDefault="001B26CB">
            <w:pPr>
              <w:pStyle w:val="TableParagraph"/>
              <w:numPr>
                <w:ilvl w:val="0"/>
                <w:numId w:val="777"/>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777"/>
              </w:numPr>
              <w:tabs>
                <w:tab w:val="left" w:pos="158"/>
              </w:tabs>
              <w:spacing w:line="160" w:lineRule="exact"/>
              <w:ind w:hanging="99"/>
              <w:rPr>
                <w:b/>
                <w:sz w:val="14"/>
              </w:rPr>
            </w:pPr>
            <w:r>
              <w:rPr>
                <w:color w:val="231F20"/>
                <w:sz w:val="14"/>
              </w:rPr>
              <w:t xml:space="preserve">теоријска настава </w:t>
            </w:r>
            <w:r>
              <w:rPr>
                <w:b/>
                <w:color w:val="231F20"/>
                <w:sz w:val="14"/>
              </w:rPr>
              <w:t>(105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r>
              <w:rPr>
                <w:color w:val="231F20"/>
                <w:sz w:val="14"/>
              </w:rPr>
              <w:t>.</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77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40"/>
        </w:trPr>
        <w:tc>
          <w:tcPr>
            <w:tcW w:w="1304" w:type="dxa"/>
          </w:tcPr>
          <w:p w:rsidR="00041039" w:rsidRDefault="001B26CB">
            <w:pPr>
              <w:pStyle w:val="TableParagraph"/>
              <w:spacing w:before="18"/>
              <w:ind w:left="56" w:right="174"/>
              <w:rPr>
                <w:sz w:val="14"/>
              </w:rPr>
            </w:pPr>
            <w:r>
              <w:rPr>
                <w:color w:val="231F20"/>
                <w:sz w:val="14"/>
              </w:rPr>
              <w:lastRenderedPageBreak/>
              <w:t>Књижевност између два рата</w:t>
            </w:r>
          </w:p>
        </w:tc>
        <w:tc>
          <w:tcPr>
            <w:tcW w:w="1587" w:type="dxa"/>
          </w:tcPr>
          <w:p w:rsidR="00041039" w:rsidRDefault="001B26CB">
            <w:pPr>
              <w:pStyle w:val="TableParagraph"/>
              <w:numPr>
                <w:ilvl w:val="0"/>
                <w:numId w:val="776"/>
              </w:numPr>
              <w:tabs>
                <w:tab w:val="left" w:pos="157"/>
              </w:tabs>
              <w:spacing w:before="8"/>
              <w:ind w:right="47"/>
              <w:rPr>
                <w:sz w:val="14"/>
              </w:rPr>
            </w:pPr>
            <w:r>
              <w:rPr>
                <w:color w:val="231F20"/>
                <w:sz w:val="14"/>
              </w:rPr>
              <w:t>Упознавање ученика са одликама</w:t>
            </w:r>
            <w:r>
              <w:rPr>
                <w:color w:val="231F20"/>
                <w:spacing w:val="-14"/>
                <w:sz w:val="14"/>
              </w:rPr>
              <w:t xml:space="preserve"> </w:t>
            </w:r>
            <w:r>
              <w:rPr>
                <w:color w:val="231F20"/>
                <w:sz w:val="14"/>
              </w:rPr>
              <w:t>међуратне књижевности. предс­ тавницима и</w:t>
            </w:r>
            <w:r>
              <w:rPr>
                <w:color w:val="231F20"/>
                <w:spacing w:val="-2"/>
                <w:sz w:val="14"/>
              </w:rPr>
              <w:t xml:space="preserve"> </w:t>
            </w:r>
            <w:r>
              <w:rPr>
                <w:color w:val="231F20"/>
                <w:sz w:val="14"/>
              </w:rPr>
              <w:t>делима.</w:t>
            </w:r>
          </w:p>
        </w:tc>
        <w:tc>
          <w:tcPr>
            <w:tcW w:w="2551" w:type="dxa"/>
          </w:tcPr>
          <w:p w:rsidR="00041039" w:rsidRDefault="001B26CB">
            <w:pPr>
              <w:pStyle w:val="TableParagraph"/>
              <w:numPr>
                <w:ilvl w:val="0"/>
                <w:numId w:val="775"/>
              </w:numPr>
              <w:tabs>
                <w:tab w:val="left" w:pos="157"/>
              </w:tabs>
              <w:spacing w:before="8"/>
              <w:ind w:right="50" w:hanging="99"/>
              <w:rPr>
                <w:sz w:val="14"/>
              </w:rPr>
            </w:pPr>
            <w:r>
              <w:rPr>
                <w:color w:val="231F20"/>
                <w:sz w:val="14"/>
              </w:rPr>
              <w:t>наведе одлике праваца, представнике</w:t>
            </w:r>
            <w:r>
              <w:rPr>
                <w:color w:val="231F20"/>
                <w:spacing w:val="-24"/>
                <w:sz w:val="14"/>
              </w:rPr>
              <w:t xml:space="preserve"> </w:t>
            </w:r>
            <w:r>
              <w:rPr>
                <w:color w:val="231F20"/>
                <w:sz w:val="14"/>
              </w:rPr>
              <w:t>и њихова</w:t>
            </w:r>
            <w:r>
              <w:rPr>
                <w:color w:val="231F20"/>
                <w:spacing w:val="-1"/>
                <w:sz w:val="14"/>
              </w:rPr>
              <w:t xml:space="preserve"> </w:t>
            </w:r>
            <w:r>
              <w:rPr>
                <w:color w:val="231F20"/>
                <w:sz w:val="14"/>
              </w:rPr>
              <w:t>дела;</w:t>
            </w:r>
          </w:p>
          <w:p w:rsidR="00041039" w:rsidRDefault="001B26CB">
            <w:pPr>
              <w:pStyle w:val="TableParagraph"/>
              <w:numPr>
                <w:ilvl w:val="0"/>
                <w:numId w:val="775"/>
              </w:numPr>
              <w:tabs>
                <w:tab w:val="left" w:pos="157"/>
              </w:tabs>
              <w:spacing w:line="160" w:lineRule="exact"/>
              <w:ind w:right="131" w:hanging="99"/>
              <w:rPr>
                <w:sz w:val="14"/>
              </w:rPr>
            </w:pPr>
            <w:r>
              <w:rPr>
                <w:color w:val="231F20"/>
                <w:sz w:val="14"/>
              </w:rPr>
              <w:t>наведе манифесте, књижевне</w:t>
            </w:r>
            <w:r>
              <w:rPr>
                <w:color w:val="231F20"/>
                <w:spacing w:val="-11"/>
                <w:sz w:val="14"/>
              </w:rPr>
              <w:t xml:space="preserve"> </w:t>
            </w:r>
            <w:r>
              <w:rPr>
                <w:color w:val="231F20"/>
                <w:sz w:val="14"/>
              </w:rPr>
              <w:t>покрете и струје у књижевности између два светска</w:t>
            </w:r>
            <w:r>
              <w:rPr>
                <w:color w:val="231F20"/>
                <w:spacing w:val="-1"/>
                <w:sz w:val="14"/>
              </w:rPr>
              <w:t xml:space="preserve"> </w:t>
            </w:r>
            <w:r>
              <w:rPr>
                <w:color w:val="231F20"/>
                <w:sz w:val="14"/>
              </w:rPr>
              <w:t>рата;</w:t>
            </w:r>
          </w:p>
          <w:p w:rsidR="00041039" w:rsidRDefault="001B26CB">
            <w:pPr>
              <w:pStyle w:val="TableParagraph"/>
              <w:numPr>
                <w:ilvl w:val="0"/>
                <w:numId w:val="775"/>
              </w:numPr>
              <w:tabs>
                <w:tab w:val="left" w:pos="157"/>
              </w:tabs>
              <w:spacing w:line="160" w:lineRule="exact"/>
              <w:ind w:right="106" w:hanging="99"/>
              <w:rPr>
                <w:sz w:val="14"/>
              </w:rPr>
            </w:pPr>
            <w:r>
              <w:rPr>
                <w:color w:val="231F20"/>
                <w:sz w:val="14"/>
              </w:rPr>
              <w:t xml:space="preserve">успостави узајамни однос књижевних дела и времена у </w:t>
            </w:r>
            <w:r>
              <w:rPr>
                <w:color w:val="231F20"/>
                <w:spacing w:val="-3"/>
                <w:sz w:val="14"/>
              </w:rPr>
              <w:t xml:space="preserve">коме </w:t>
            </w:r>
            <w:r>
              <w:rPr>
                <w:color w:val="231F20"/>
                <w:sz w:val="14"/>
              </w:rPr>
              <w:t>су</w:t>
            </w:r>
            <w:r>
              <w:rPr>
                <w:color w:val="231F20"/>
                <w:spacing w:val="-4"/>
                <w:sz w:val="14"/>
              </w:rPr>
              <w:t xml:space="preserve"> </w:t>
            </w:r>
            <w:r>
              <w:rPr>
                <w:color w:val="231F20"/>
                <w:sz w:val="14"/>
              </w:rPr>
              <w:t>настала;</w:t>
            </w:r>
          </w:p>
          <w:p w:rsidR="00041039" w:rsidRDefault="001B26CB">
            <w:pPr>
              <w:pStyle w:val="TableParagraph"/>
              <w:numPr>
                <w:ilvl w:val="0"/>
                <w:numId w:val="775"/>
              </w:numPr>
              <w:tabs>
                <w:tab w:val="left" w:pos="157"/>
              </w:tabs>
              <w:spacing w:line="160" w:lineRule="exact"/>
              <w:ind w:right="413" w:hanging="99"/>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834" w:type="dxa"/>
          </w:tcPr>
          <w:p w:rsidR="00041039" w:rsidRDefault="001B26CB">
            <w:pPr>
              <w:pStyle w:val="TableParagraph"/>
              <w:numPr>
                <w:ilvl w:val="0"/>
                <w:numId w:val="774"/>
              </w:numPr>
              <w:tabs>
                <w:tab w:val="left" w:pos="157"/>
              </w:tabs>
              <w:spacing w:before="8"/>
              <w:ind w:right="198" w:hanging="99"/>
              <w:rPr>
                <w:sz w:val="14"/>
              </w:rPr>
            </w:pPr>
            <w:r>
              <w:rPr>
                <w:color w:val="231F20"/>
                <w:sz w:val="14"/>
              </w:rPr>
              <w:t>Европска књижевност између два рата Одлике експресио</w:t>
            </w:r>
            <w:r>
              <w:rPr>
                <w:color w:val="231F20"/>
                <w:sz w:val="14"/>
              </w:rPr>
              <w:t>низма, футуризма,</w:t>
            </w:r>
            <w:r>
              <w:rPr>
                <w:color w:val="231F20"/>
                <w:spacing w:val="-21"/>
                <w:sz w:val="14"/>
              </w:rPr>
              <w:t xml:space="preserve"> </w:t>
            </w:r>
            <w:r>
              <w:rPr>
                <w:color w:val="231F20"/>
                <w:sz w:val="14"/>
              </w:rPr>
              <w:t>над­ реализма.</w:t>
            </w:r>
          </w:p>
          <w:p w:rsidR="00041039" w:rsidRDefault="001B26CB">
            <w:pPr>
              <w:pStyle w:val="TableParagraph"/>
              <w:numPr>
                <w:ilvl w:val="0"/>
                <w:numId w:val="774"/>
              </w:numPr>
              <w:tabs>
                <w:tab w:val="left" w:pos="157"/>
              </w:tabs>
              <w:spacing w:line="152" w:lineRule="exact"/>
              <w:ind w:hanging="99"/>
              <w:rPr>
                <w:sz w:val="14"/>
              </w:rPr>
            </w:pPr>
            <w:r>
              <w:rPr>
                <w:color w:val="231F20"/>
                <w:sz w:val="14"/>
              </w:rPr>
              <w:t>В. Мајаковски: „Облак у</w:t>
            </w:r>
            <w:r>
              <w:rPr>
                <w:color w:val="231F20"/>
                <w:spacing w:val="-9"/>
                <w:sz w:val="14"/>
              </w:rPr>
              <w:t xml:space="preserve"> </w:t>
            </w:r>
            <w:r>
              <w:rPr>
                <w:color w:val="231F20"/>
                <w:sz w:val="14"/>
              </w:rPr>
              <w:t>панталонама”.</w:t>
            </w:r>
          </w:p>
          <w:p w:rsidR="00041039" w:rsidRDefault="001B26CB">
            <w:pPr>
              <w:pStyle w:val="TableParagraph"/>
              <w:numPr>
                <w:ilvl w:val="0"/>
                <w:numId w:val="774"/>
              </w:numPr>
              <w:tabs>
                <w:tab w:val="left" w:pos="157"/>
              </w:tabs>
              <w:spacing w:line="237" w:lineRule="auto"/>
              <w:ind w:right="48" w:hanging="99"/>
              <w:rPr>
                <w:sz w:val="14"/>
              </w:rPr>
            </w:pPr>
            <w:r>
              <w:rPr>
                <w:color w:val="231F20"/>
                <w:sz w:val="14"/>
              </w:rPr>
              <w:t>Ф. Кафка: „Преображај” или X. Хесе: роман по избору или Е. Хемингвеј:</w:t>
            </w:r>
            <w:r>
              <w:rPr>
                <w:color w:val="231F20"/>
                <w:spacing w:val="-22"/>
                <w:sz w:val="14"/>
              </w:rPr>
              <w:t xml:space="preserve"> </w:t>
            </w:r>
            <w:r>
              <w:rPr>
                <w:color w:val="231F20"/>
                <w:sz w:val="14"/>
              </w:rPr>
              <w:t>„Старац и</w:t>
            </w:r>
            <w:r>
              <w:rPr>
                <w:color w:val="231F20"/>
                <w:spacing w:val="-1"/>
                <w:sz w:val="14"/>
              </w:rPr>
              <w:t xml:space="preserve"> </w:t>
            </w:r>
            <w:r>
              <w:rPr>
                <w:color w:val="231F20"/>
                <w:sz w:val="14"/>
              </w:rPr>
              <w:t>море”.</w:t>
            </w:r>
          </w:p>
          <w:p w:rsidR="00041039" w:rsidRDefault="001B26CB">
            <w:pPr>
              <w:pStyle w:val="TableParagraph"/>
              <w:numPr>
                <w:ilvl w:val="0"/>
                <w:numId w:val="774"/>
              </w:numPr>
              <w:tabs>
                <w:tab w:val="left" w:pos="157"/>
              </w:tabs>
              <w:spacing w:line="156" w:lineRule="exact"/>
              <w:ind w:hanging="99"/>
              <w:rPr>
                <w:sz w:val="14"/>
              </w:rPr>
            </w:pPr>
            <w:r>
              <w:rPr>
                <w:color w:val="231F20"/>
                <w:spacing w:val="-9"/>
                <w:sz w:val="14"/>
              </w:rPr>
              <w:t xml:space="preserve">Р. </w:t>
            </w:r>
            <w:r>
              <w:rPr>
                <w:color w:val="231F20"/>
                <w:sz w:val="14"/>
              </w:rPr>
              <w:t>Тагора: „Градинар”</w:t>
            </w:r>
            <w:r>
              <w:rPr>
                <w:color w:val="231F20"/>
                <w:spacing w:val="-19"/>
                <w:sz w:val="14"/>
              </w:rPr>
              <w:t xml:space="preserve"> </w:t>
            </w:r>
            <w:r>
              <w:rPr>
                <w:color w:val="231F20"/>
                <w:sz w:val="14"/>
              </w:rPr>
              <w:t>(избор).</w:t>
            </w:r>
          </w:p>
          <w:p w:rsidR="00041039" w:rsidRDefault="001B26CB">
            <w:pPr>
              <w:pStyle w:val="TableParagraph"/>
              <w:numPr>
                <w:ilvl w:val="0"/>
                <w:numId w:val="774"/>
              </w:numPr>
              <w:tabs>
                <w:tab w:val="left" w:pos="157"/>
              </w:tabs>
              <w:spacing w:line="160" w:lineRule="exact"/>
              <w:ind w:hanging="99"/>
              <w:rPr>
                <w:sz w:val="14"/>
              </w:rPr>
            </w:pPr>
            <w:r>
              <w:rPr>
                <w:color w:val="231F20"/>
                <w:sz w:val="14"/>
              </w:rPr>
              <w:t>Српска међуратна</w:t>
            </w:r>
            <w:r>
              <w:rPr>
                <w:color w:val="231F20"/>
                <w:spacing w:val="-2"/>
                <w:sz w:val="14"/>
              </w:rPr>
              <w:t xml:space="preserve"> </w:t>
            </w:r>
            <w:r>
              <w:rPr>
                <w:color w:val="231F20"/>
                <w:sz w:val="14"/>
              </w:rPr>
              <w:t>књижевност.</w:t>
            </w:r>
          </w:p>
          <w:p w:rsidR="00041039" w:rsidRDefault="001B26CB">
            <w:pPr>
              <w:pStyle w:val="TableParagraph"/>
              <w:numPr>
                <w:ilvl w:val="0"/>
                <w:numId w:val="774"/>
              </w:numPr>
              <w:tabs>
                <w:tab w:val="left" w:pos="157"/>
              </w:tabs>
              <w:spacing w:line="160" w:lineRule="exact"/>
              <w:ind w:hanging="99"/>
              <w:rPr>
                <w:sz w:val="14"/>
              </w:rPr>
            </w:pPr>
            <w:r>
              <w:rPr>
                <w:color w:val="231F20"/>
                <w:sz w:val="14"/>
              </w:rPr>
              <w:t>М. Бојић: „Плава</w:t>
            </w:r>
            <w:r>
              <w:rPr>
                <w:color w:val="231F20"/>
                <w:spacing w:val="-4"/>
                <w:sz w:val="14"/>
              </w:rPr>
              <w:t xml:space="preserve"> </w:t>
            </w:r>
            <w:r>
              <w:rPr>
                <w:color w:val="231F20"/>
                <w:sz w:val="14"/>
              </w:rPr>
              <w:t>гробница”.</w:t>
            </w:r>
          </w:p>
          <w:p w:rsidR="00041039" w:rsidRDefault="001B26CB">
            <w:pPr>
              <w:pStyle w:val="TableParagraph"/>
              <w:numPr>
                <w:ilvl w:val="0"/>
                <w:numId w:val="774"/>
              </w:numPr>
              <w:tabs>
                <w:tab w:val="left" w:pos="157"/>
              </w:tabs>
              <w:spacing w:line="160" w:lineRule="exact"/>
              <w:ind w:hanging="99"/>
              <w:rPr>
                <w:sz w:val="14"/>
              </w:rPr>
            </w:pPr>
            <w:r>
              <w:rPr>
                <w:color w:val="231F20"/>
                <w:sz w:val="14"/>
              </w:rPr>
              <w:t xml:space="preserve">Д. Васиљев: </w:t>
            </w:r>
            <w:r>
              <w:rPr>
                <w:color w:val="231F20"/>
                <w:spacing w:val="-5"/>
                <w:sz w:val="14"/>
              </w:rPr>
              <w:t xml:space="preserve">„Човек </w:t>
            </w:r>
            <w:r>
              <w:rPr>
                <w:color w:val="231F20"/>
                <w:sz w:val="14"/>
              </w:rPr>
              <w:t>пева после</w:t>
            </w:r>
            <w:r>
              <w:rPr>
                <w:color w:val="231F20"/>
                <w:spacing w:val="1"/>
                <w:sz w:val="14"/>
              </w:rPr>
              <w:t xml:space="preserve"> </w:t>
            </w:r>
            <w:r>
              <w:rPr>
                <w:color w:val="231F20"/>
                <w:sz w:val="14"/>
              </w:rPr>
              <w:t>рата”.</w:t>
            </w:r>
          </w:p>
          <w:p w:rsidR="00041039" w:rsidRDefault="001B26CB">
            <w:pPr>
              <w:pStyle w:val="TableParagraph"/>
              <w:numPr>
                <w:ilvl w:val="0"/>
                <w:numId w:val="774"/>
              </w:numPr>
              <w:tabs>
                <w:tab w:val="left" w:pos="157"/>
              </w:tabs>
              <w:spacing w:line="160" w:lineRule="exact"/>
              <w:ind w:hanging="99"/>
              <w:rPr>
                <w:sz w:val="14"/>
              </w:rPr>
            </w:pPr>
            <w:r>
              <w:rPr>
                <w:color w:val="231F20"/>
                <w:sz w:val="14"/>
              </w:rPr>
              <w:t>М. Црњански:</w:t>
            </w:r>
            <w:r>
              <w:rPr>
                <w:color w:val="231F20"/>
                <w:spacing w:val="-4"/>
                <w:sz w:val="14"/>
              </w:rPr>
              <w:t xml:space="preserve"> </w:t>
            </w:r>
            <w:r>
              <w:rPr>
                <w:color w:val="231F20"/>
                <w:sz w:val="14"/>
              </w:rPr>
              <w:t>„Суматра”.</w:t>
            </w:r>
          </w:p>
          <w:p w:rsidR="00041039" w:rsidRDefault="001B26CB">
            <w:pPr>
              <w:pStyle w:val="TableParagraph"/>
              <w:numPr>
                <w:ilvl w:val="0"/>
                <w:numId w:val="774"/>
              </w:numPr>
              <w:tabs>
                <w:tab w:val="left" w:pos="157"/>
              </w:tabs>
              <w:spacing w:line="160" w:lineRule="exact"/>
              <w:ind w:hanging="99"/>
              <w:rPr>
                <w:sz w:val="14"/>
              </w:rPr>
            </w:pPr>
            <w:r>
              <w:rPr>
                <w:color w:val="231F20"/>
                <w:sz w:val="14"/>
              </w:rPr>
              <w:t>М. Црњански:</w:t>
            </w:r>
            <w:r>
              <w:rPr>
                <w:color w:val="231F20"/>
                <w:spacing w:val="-11"/>
                <w:sz w:val="14"/>
              </w:rPr>
              <w:t xml:space="preserve"> </w:t>
            </w:r>
            <w:r>
              <w:rPr>
                <w:color w:val="231F20"/>
                <w:sz w:val="14"/>
              </w:rPr>
              <w:t>„Сеобе”.</w:t>
            </w:r>
          </w:p>
          <w:p w:rsidR="00041039" w:rsidRDefault="001B26CB">
            <w:pPr>
              <w:pStyle w:val="TableParagraph"/>
              <w:numPr>
                <w:ilvl w:val="0"/>
                <w:numId w:val="774"/>
              </w:numPr>
              <w:tabs>
                <w:tab w:val="left" w:pos="157"/>
              </w:tabs>
              <w:spacing w:line="160" w:lineRule="exact"/>
              <w:ind w:hanging="99"/>
              <w:rPr>
                <w:sz w:val="14"/>
              </w:rPr>
            </w:pPr>
            <w:r>
              <w:rPr>
                <w:color w:val="231F20"/>
                <w:sz w:val="14"/>
              </w:rPr>
              <w:t>И. Андрић: „Ex</w:t>
            </w:r>
            <w:r>
              <w:rPr>
                <w:color w:val="231F20"/>
                <w:spacing w:val="-16"/>
                <w:sz w:val="14"/>
              </w:rPr>
              <w:t xml:space="preserve"> </w:t>
            </w:r>
            <w:r>
              <w:rPr>
                <w:color w:val="231F20"/>
                <w:sz w:val="14"/>
              </w:rPr>
              <w:t>Ponto”.</w:t>
            </w:r>
          </w:p>
          <w:p w:rsidR="00041039" w:rsidRDefault="001B26CB">
            <w:pPr>
              <w:pStyle w:val="TableParagraph"/>
              <w:numPr>
                <w:ilvl w:val="0"/>
                <w:numId w:val="774"/>
              </w:numPr>
              <w:tabs>
                <w:tab w:val="left" w:pos="157"/>
              </w:tabs>
              <w:spacing w:line="160" w:lineRule="exact"/>
              <w:ind w:hanging="99"/>
              <w:rPr>
                <w:sz w:val="14"/>
              </w:rPr>
            </w:pPr>
            <w:r>
              <w:rPr>
                <w:color w:val="231F20"/>
                <w:sz w:val="14"/>
              </w:rPr>
              <w:t>И. Андрић: „Мост на</w:t>
            </w:r>
            <w:r>
              <w:rPr>
                <w:color w:val="231F20"/>
                <w:spacing w:val="-6"/>
                <w:sz w:val="14"/>
              </w:rPr>
              <w:t xml:space="preserve"> </w:t>
            </w:r>
            <w:r>
              <w:rPr>
                <w:color w:val="231F20"/>
                <w:sz w:val="14"/>
              </w:rPr>
              <w:t>Жепи”.</w:t>
            </w:r>
          </w:p>
          <w:p w:rsidR="00041039" w:rsidRDefault="001B26CB">
            <w:pPr>
              <w:pStyle w:val="TableParagraph"/>
              <w:numPr>
                <w:ilvl w:val="0"/>
                <w:numId w:val="774"/>
              </w:numPr>
              <w:tabs>
                <w:tab w:val="left" w:pos="157"/>
              </w:tabs>
              <w:spacing w:line="160" w:lineRule="exact"/>
              <w:ind w:hanging="99"/>
              <w:rPr>
                <w:sz w:val="14"/>
              </w:rPr>
            </w:pPr>
            <w:r>
              <w:rPr>
                <w:color w:val="231F20"/>
                <w:sz w:val="14"/>
              </w:rPr>
              <w:t>И. Андрић: „На Дрини</w:t>
            </w:r>
            <w:r>
              <w:rPr>
                <w:color w:val="231F20"/>
                <w:spacing w:val="-5"/>
                <w:sz w:val="14"/>
              </w:rPr>
              <w:t xml:space="preserve"> </w:t>
            </w:r>
            <w:r>
              <w:rPr>
                <w:color w:val="231F20"/>
                <w:sz w:val="14"/>
              </w:rPr>
              <w:t>ћуприја”.</w:t>
            </w:r>
          </w:p>
          <w:p w:rsidR="00041039" w:rsidRDefault="001B26CB">
            <w:pPr>
              <w:pStyle w:val="TableParagraph"/>
              <w:numPr>
                <w:ilvl w:val="0"/>
                <w:numId w:val="774"/>
              </w:numPr>
              <w:tabs>
                <w:tab w:val="left" w:pos="157"/>
              </w:tabs>
              <w:spacing w:line="237" w:lineRule="auto"/>
              <w:ind w:right="258" w:hanging="99"/>
              <w:rPr>
                <w:sz w:val="14"/>
              </w:rPr>
            </w:pPr>
            <w:r>
              <w:rPr>
                <w:color w:val="231F20"/>
                <w:sz w:val="14"/>
              </w:rPr>
              <w:t xml:space="preserve">М. Настасијевић: </w:t>
            </w:r>
            <w:r>
              <w:rPr>
                <w:color w:val="231F20"/>
                <w:spacing w:val="-5"/>
                <w:sz w:val="14"/>
              </w:rPr>
              <w:t xml:space="preserve">„Туга </w:t>
            </w:r>
            <w:r>
              <w:rPr>
                <w:color w:val="231F20"/>
                <w:sz w:val="14"/>
              </w:rPr>
              <w:t xml:space="preserve">у камену” или </w:t>
            </w:r>
            <w:r>
              <w:rPr>
                <w:color w:val="231F20"/>
                <w:spacing w:val="-7"/>
                <w:sz w:val="14"/>
              </w:rPr>
              <w:t xml:space="preserve">Т. </w:t>
            </w:r>
            <w:r>
              <w:rPr>
                <w:color w:val="231F20"/>
                <w:sz w:val="14"/>
              </w:rPr>
              <w:t>Ујевић: „Свакидашња</w:t>
            </w:r>
            <w:r>
              <w:rPr>
                <w:color w:val="231F20"/>
                <w:spacing w:val="-3"/>
                <w:sz w:val="14"/>
              </w:rPr>
              <w:t xml:space="preserve"> </w:t>
            </w:r>
            <w:r>
              <w:rPr>
                <w:color w:val="231F20"/>
                <w:sz w:val="14"/>
              </w:rPr>
              <w:t>јадиковка”.</w:t>
            </w:r>
          </w:p>
          <w:p w:rsidR="00041039" w:rsidRDefault="001B26CB">
            <w:pPr>
              <w:pStyle w:val="TableParagraph"/>
              <w:numPr>
                <w:ilvl w:val="0"/>
                <w:numId w:val="774"/>
              </w:numPr>
              <w:tabs>
                <w:tab w:val="left" w:pos="157"/>
              </w:tabs>
              <w:spacing w:line="155" w:lineRule="exact"/>
              <w:ind w:hanging="99"/>
              <w:rPr>
                <w:sz w:val="14"/>
              </w:rPr>
            </w:pPr>
            <w:r>
              <w:rPr>
                <w:color w:val="231F20"/>
                <w:spacing w:val="-9"/>
                <w:sz w:val="14"/>
              </w:rPr>
              <w:t xml:space="preserve">Р. </w:t>
            </w:r>
            <w:r>
              <w:rPr>
                <w:color w:val="231F20"/>
                <w:sz w:val="14"/>
              </w:rPr>
              <w:t>Петровић: „Људи говоре”</w:t>
            </w:r>
            <w:r>
              <w:rPr>
                <w:color w:val="231F20"/>
                <w:spacing w:val="-21"/>
                <w:sz w:val="14"/>
              </w:rPr>
              <w:t xml:space="preserve"> </w:t>
            </w:r>
            <w:r>
              <w:rPr>
                <w:color w:val="231F20"/>
                <w:sz w:val="14"/>
              </w:rPr>
              <w:t>(избор).</w:t>
            </w:r>
          </w:p>
          <w:p w:rsidR="00041039" w:rsidRDefault="001B26CB">
            <w:pPr>
              <w:pStyle w:val="TableParagraph"/>
              <w:numPr>
                <w:ilvl w:val="0"/>
                <w:numId w:val="774"/>
              </w:numPr>
              <w:tabs>
                <w:tab w:val="left" w:pos="157"/>
              </w:tabs>
              <w:spacing w:line="166" w:lineRule="exact"/>
              <w:ind w:hanging="99"/>
              <w:rPr>
                <w:sz w:val="14"/>
              </w:rPr>
            </w:pPr>
            <w:r>
              <w:rPr>
                <w:color w:val="231F20"/>
                <w:sz w:val="14"/>
              </w:rPr>
              <w:t>И. Секулић: „Госпа</w:t>
            </w:r>
            <w:r>
              <w:rPr>
                <w:color w:val="231F20"/>
                <w:spacing w:val="-5"/>
                <w:sz w:val="14"/>
              </w:rPr>
              <w:t xml:space="preserve"> </w:t>
            </w:r>
            <w:r>
              <w:rPr>
                <w:color w:val="231F20"/>
                <w:sz w:val="14"/>
              </w:rPr>
              <w:t>Нола”.</w:t>
            </w:r>
          </w:p>
        </w:tc>
        <w:tc>
          <w:tcPr>
            <w:tcW w:w="2267" w:type="dxa"/>
            <w:vMerge w:val="restart"/>
          </w:tcPr>
          <w:p w:rsidR="00041039" w:rsidRDefault="001B26CB">
            <w:pPr>
              <w:pStyle w:val="TableParagraph"/>
              <w:spacing w:before="16"/>
              <w:ind w:left="58" w:right="109"/>
              <w:rPr>
                <w:b/>
                <w:sz w:val="14"/>
              </w:rPr>
            </w:pPr>
            <w:r>
              <w:rPr>
                <w:b/>
                <w:color w:val="231F20"/>
                <w:sz w:val="14"/>
              </w:rPr>
              <w:t>Препоруке за реализацију наставе</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773"/>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773"/>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773"/>
              </w:numPr>
              <w:tabs>
                <w:tab w:val="left" w:pos="158"/>
              </w:tabs>
              <w:spacing w:line="160" w:lineRule="exact"/>
              <w:ind w:hanging="99"/>
              <w:rPr>
                <w:b/>
                <w:sz w:val="14"/>
              </w:rPr>
            </w:pPr>
            <w:r>
              <w:rPr>
                <w:color w:val="231F20"/>
                <w:sz w:val="14"/>
              </w:rPr>
              <w:t xml:space="preserve">Модерна </w:t>
            </w:r>
            <w:r>
              <w:rPr>
                <w:b/>
                <w:color w:val="231F20"/>
                <w:sz w:val="14"/>
              </w:rPr>
              <w:t>(29</w:t>
            </w:r>
            <w:r>
              <w:rPr>
                <w:b/>
                <w:color w:val="231F20"/>
                <w:spacing w:val="-3"/>
                <w:sz w:val="14"/>
              </w:rPr>
              <w:t xml:space="preserve"> </w:t>
            </w:r>
            <w:r>
              <w:rPr>
                <w:b/>
                <w:color w:val="231F20"/>
                <w:sz w:val="14"/>
              </w:rPr>
              <w:t>часова)</w:t>
            </w:r>
          </w:p>
          <w:p w:rsidR="00041039" w:rsidRDefault="001B26CB">
            <w:pPr>
              <w:pStyle w:val="TableParagraph"/>
              <w:numPr>
                <w:ilvl w:val="0"/>
                <w:numId w:val="773"/>
              </w:numPr>
              <w:tabs>
                <w:tab w:val="left" w:pos="158"/>
              </w:tabs>
              <w:spacing w:line="160" w:lineRule="exact"/>
              <w:ind w:hanging="99"/>
              <w:rPr>
                <w:b/>
                <w:sz w:val="14"/>
              </w:rPr>
            </w:pPr>
            <w:r>
              <w:rPr>
                <w:color w:val="231F20"/>
                <w:sz w:val="14"/>
              </w:rPr>
              <w:t xml:space="preserve">Међуратна књижевност </w:t>
            </w:r>
            <w:r>
              <w:rPr>
                <w:b/>
                <w:color w:val="231F20"/>
                <w:sz w:val="14"/>
              </w:rPr>
              <w:t>(33</w:t>
            </w:r>
            <w:r>
              <w:rPr>
                <w:b/>
                <w:color w:val="231F20"/>
                <w:spacing w:val="-5"/>
                <w:sz w:val="14"/>
              </w:rPr>
              <w:t xml:space="preserve"> </w:t>
            </w:r>
            <w:r>
              <w:rPr>
                <w:b/>
                <w:color w:val="231F20"/>
                <w:sz w:val="14"/>
              </w:rPr>
              <w:t>часа)</w:t>
            </w:r>
          </w:p>
          <w:p w:rsidR="00041039" w:rsidRDefault="001B26CB">
            <w:pPr>
              <w:pStyle w:val="TableParagraph"/>
              <w:numPr>
                <w:ilvl w:val="0"/>
                <w:numId w:val="773"/>
              </w:numPr>
              <w:tabs>
                <w:tab w:val="left" w:pos="158"/>
              </w:tabs>
              <w:spacing w:line="160" w:lineRule="exact"/>
              <w:ind w:hanging="99"/>
              <w:rPr>
                <w:b/>
                <w:sz w:val="14"/>
              </w:rPr>
            </w:pPr>
            <w:r>
              <w:rPr>
                <w:color w:val="231F20"/>
                <w:sz w:val="14"/>
              </w:rPr>
              <w:t xml:space="preserve">Лексикологија </w:t>
            </w:r>
            <w:r>
              <w:rPr>
                <w:b/>
                <w:color w:val="231F20"/>
                <w:spacing w:val="-3"/>
                <w:sz w:val="14"/>
              </w:rPr>
              <w:t>(11</w:t>
            </w:r>
            <w:r>
              <w:rPr>
                <w:b/>
                <w:color w:val="231F20"/>
                <w:spacing w:val="-5"/>
                <w:sz w:val="14"/>
              </w:rPr>
              <w:t xml:space="preserve"> </w:t>
            </w:r>
            <w:r>
              <w:rPr>
                <w:b/>
                <w:color w:val="231F20"/>
                <w:sz w:val="14"/>
              </w:rPr>
              <w:t>часова)</w:t>
            </w:r>
          </w:p>
          <w:p w:rsidR="00041039" w:rsidRDefault="001B26CB">
            <w:pPr>
              <w:pStyle w:val="TableParagraph"/>
              <w:numPr>
                <w:ilvl w:val="0"/>
                <w:numId w:val="773"/>
              </w:numPr>
              <w:tabs>
                <w:tab w:val="left" w:pos="158"/>
              </w:tabs>
              <w:spacing w:line="160" w:lineRule="exact"/>
              <w:ind w:hanging="99"/>
              <w:rPr>
                <w:b/>
                <w:sz w:val="14"/>
              </w:rPr>
            </w:pPr>
            <w:r>
              <w:rPr>
                <w:color w:val="231F20"/>
                <w:sz w:val="14"/>
              </w:rPr>
              <w:t xml:space="preserve">Правопис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773"/>
              </w:numPr>
              <w:tabs>
                <w:tab w:val="left" w:pos="158"/>
              </w:tabs>
              <w:spacing w:line="166"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(24</w:t>
            </w:r>
            <w:r>
              <w:rPr>
                <w:b/>
                <w:color w:val="231F20"/>
                <w:sz w:val="14"/>
              </w:rPr>
              <w:t xml:space="preserve"> </w:t>
            </w:r>
            <w:r>
              <w:rPr>
                <w:b/>
                <w:color w:val="231F20"/>
                <w:sz w:val="14"/>
              </w:rPr>
              <w:t>часа)</w:t>
            </w:r>
          </w:p>
        </w:tc>
      </w:tr>
      <w:tr w:rsidR="00041039">
        <w:trPr>
          <w:trHeight w:val="1000"/>
        </w:trPr>
        <w:tc>
          <w:tcPr>
            <w:tcW w:w="1304" w:type="dxa"/>
          </w:tcPr>
          <w:p w:rsidR="00041039" w:rsidRDefault="001B26CB">
            <w:pPr>
              <w:pStyle w:val="TableParagraph"/>
              <w:spacing w:before="19"/>
              <w:ind w:left="56"/>
              <w:rPr>
                <w:sz w:val="14"/>
              </w:rPr>
            </w:pPr>
            <w:r>
              <w:rPr>
                <w:color w:val="231F20"/>
                <w:sz w:val="14"/>
              </w:rPr>
              <w:t>Творба речи</w:t>
            </w:r>
          </w:p>
        </w:tc>
        <w:tc>
          <w:tcPr>
            <w:tcW w:w="1587" w:type="dxa"/>
          </w:tcPr>
          <w:p w:rsidR="00041039" w:rsidRDefault="001B26CB">
            <w:pPr>
              <w:pStyle w:val="TableParagraph"/>
              <w:numPr>
                <w:ilvl w:val="0"/>
                <w:numId w:val="772"/>
              </w:numPr>
              <w:tabs>
                <w:tab w:val="left" w:pos="157"/>
              </w:tabs>
              <w:spacing w:before="9"/>
              <w:ind w:right="258"/>
              <w:rPr>
                <w:sz w:val="14"/>
              </w:rPr>
            </w:pPr>
            <w:r>
              <w:rPr>
                <w:color w:val="231F20"/>
                <w:sz w:val="14"/>
              </w:rPr>
              <w:t>Систематизовање знања о основним правилима</w:t>
            </w:r>
            <w:r>
              <w:rPr>
                <w:color w:val="231F20"/>
                <w:spacing w:val="-11"/>
                <w:sz w:val="14"/>
              </w:rPr>
              <w:t xml:space="preserve"> </w:t>
            </w:r>
            <w:r>
              <w:rPr>
                <w:color w:val="231F20"/>
                <w:sz w:val="14"/>
              </w:rPr>
              <w:t>грађења речи.</w:t>
            </w:r>
          </w:p>
        </w:tc>
        <w:tc>
          <w:tcPr>
            <w:tcW w:w="2551" w:type="dxa"/>
          </w:tcPr>
          <w:p w:rsidR="00041039" w:rsidRDefault="001B26CB">
            <w:pPr>
              <w:pStyle w:val="TableParagraph"/>
              <w:numPr>
                <w:ilvl w:val="0"/>
                <w:numId w:val="771"/>
              </w:numPr>
              <w:tabs>
                <w:tab w:val="left" w:pos="157"/>
              </w:tabs>
              <w:spacing w:before="9"/>
              <w:ind w:right="164" w:hanging="99"/>
              <w:rPr>
                <w:sz w:val="14"/>
              </w:rPr>
            </w:pPr>
            <w:r>
              <w:rPr>
                <w:color w:val="231F20"/>
                <w:sz w:val="14"/>
              </w:rPr>
              <w:t>препозна просте, изведене и</w:t>
            </w:r>
            <w:r>
              <w:rPr>
                <w:color w:val="231F20"/>
                <w:spacing w:val="-17"/>
                <w:sz w:val="14"/>
              </w:rPr>
              <w:t xml:space="preserve"> </w:t>
            </w:r>
            <w:r>
              <w:rPr>
                <w:color w:val="231F20"/>
                <w:sz w:val="14"/>
              </w:rPr>
              <w:t>сложене речи;</w:t>
            </w:r>
          </w:p>
          <w:p w:rsidR="00041039" w:rsidRDefault="001B26CB">
            <w:pPr>
              <w:pStyle w:val="TableParagraph"/>
              <w:numPr>
                <w:ilvl w:val="0"/>
                <w:numId w:val="771"/>
              </w:numPr>
              <w:tabs>
                <w:tab w:val="left" w:pos="157"/>
              </w:tabs>
              <w:spacing w:line="160" w:lineRule="exact"/>
              <w:ind w:right="293" w:hanging="99"/>
              <w:rPr>
                <w:sz w:val="14"/>
              </w:rPr>
            </w:pPr>
            <w:r>
              <w:rPr>
                <w:color w:val="231F20"/>
                <w:sz w:val="14"/>
              </w:rPr>
              <w:t>примени основне принципе творбе речи;</w:t>
            </w:r>
          </w:p>
        </w:tc>
        <w:tc>
          <w:tcPr>
            <w:tcW w:w="2834" w:type="dxa"/>
          </w:tcPr>
          <w:p w:rsidR="00041039" w:rsidRDefault="001B26CB">
            <w:pPr>
              <w:pStyle w:val="TableParagraph"/>
              <w:numPr>
                <w:ilvl w:val="0"/>
                <w:numId w:val="770"/>
              </w:numPr>
              <w:tabs>
                <w:tab w:val="left" w:pos="157"/>
              </w:tabs>
              <w:spacing w:before="9" w:line="166" w:lineRule="exact"/>
              <w:ind w:hanging="99"/>
              <w:rPr>
                <w:sz w:val="14"/>
              </w:rPr>
            </w:pPr>
            <w:r>
              <w:rPr>
                <w:color w:val="231F20"/>
                <w:sz w:val="14"/>
              </w:rPr>
              <w:t>Просте, изведене и сложене</w:t>
            </w:r>
            <w:r>
              <w:rPr>
                <w:color w:val="231F20"/>
                <w:spacing w:val="-4"/>
                <w:sz w:val="14"/>
              </w:rPr>
              <w:t xml:space="preserve"> </w:t>
            </w:r>
            <w:r>
              <w:rPr>
                <w:color w:val="231F20"/>
                <w:sz w:val="14"/>
              </w:rPr>
              <w:t>речи.</w:t>
            </w:r>
          </w:p>
          <w:p w:rsidR="00041039" w:rsidRDefault="001B26CB">
            <w:pPr>
              <w:pStyle w:val="TableParagraph"/>
              <w:numPr>
                <w:ilvl w:val="0"/>
                <w:numId w:val="770"/>
              </w:numPr>
              <w:tabs>
                <w:tab w:val="left" w:pos="157"/>
              </w:tabs>
              <w:spacing w:line="160" w:lineRule="exact"/>
              <w:ind w:hanging="99"/>
              <w:rPr>
                <w:sz w:val="14"/>
              </w:rPr>
            </w:pPr>
            <w:r>
              <w:rPr>
                <w:color w:val="231F20"/>
                <w:sz w:val="14"/>
              </w:rPr>
              <w:t>Основни појмови о извођењу</w:t>
            </w:r>
            <w:r>
              <w:rPr>
                <w:color w:val="231F20"/>
                <w:spacing w:val="-6"/>
                <w:sz w:val="14"/>
              </w:rPr>
              <w:t xml:space="preserve"> </w:t>
            </w:r>
            <w:r>
              <w:rPr>
                <w:color w:val="231F20"/>
                <w:sz w:val="14"/>
              </w:rPr>
              <w:t>речи.</w:t>
            </w:r>
          </w:p>
          <w:p w:rsidR="00041039" w:rsidRDefault="001B26CB">
            <w:pPr>
              <w:pStyle w:val="TableParagraph"/>
              <w:numPr>
                <w:ilvl w:val="0"/>
                <w:numId w:val="770"/>
              </w:numPr>
              <w:tabs>
                <w:tab w:val="left" w:pos="157"/>
              </w:tabs>
              <w:spacing w:line="237" w:lineRule="auto"/>
              <w:ind w:right="353" w:hanging="99"/>
              <w:rPr>
                <w:sz w:val="14"/>
              </w:rPr>
            </w:pPr>
            <w:r>
              <w:rPr>
                <w:color w:val="231F20"/>
                <w:sz w:val="14"/>
              </w:rPr>
              <w:t>Важнији модели за извођење</w:t>
            </w:r>
            <w:r>
              <w:rPr>
                <w:color w:val="231F20"/>
                <w:spacing w:val="-17"/>
                <w:sz w:val="14"/>
              </w:rPr>
              <w:t xml:space="preserve"> </w:t>
            </w:r>
            <w:r>
              <w:rPr>
                <w:color w:val="231F20"/>
                <w:sz w:val="14"/>
              </w:rPr>
              <w:t>именица, придева и</w:t>
            </w:r>
            <w:r>
              <w:rPr>
                <w:color w:val="231F20"/>
                <w:spacing w:val="-2"/>
                <w:sz w:val="14"/>
              </w:rPr>
              <w:t xml:space="preserve"> </w:t>
            </w:r>
            <w:r>
              <w:rPr>
                <w:color w:val="231F20"/>
                <w:spacing w:val="-3"/>
                <w:sz w:val="14"/>
              </w:rPr>
              <w:t>глагола.</w:t>
            </w:r>
          </w:p>
          <w:p w:rsidR="00041039" w:rsidRDefault="001B26CB">
            <w:pPr>
              <w:pStyle w:val="TableParagraph"/>
              <w:numPr>
                <w:ilvl w:val="0"/>
                <w:numId w:val="770"/>
              </w:numPr>
              <w:tabs>
                <w:tab w:val="left" w:pos="157"/>
              </w:tabs>
              <w:spacing w:line="160" w:lineRule="exact"/>
              <w:ind w:right="282" w:hanging="99"/>
              <w:rPr>
                <w:sz w:val="14"/>
              </w:rPr>
            </w:pPr>
            <w:r>
              <w:rPr>
                <w:color w:val="231F20"/>
                <w:sz w:val="14"/>
              </w:rPr>
              <w:t>Основни појмови о творби сложеница</w:t>
            </w:r>
            <w:r>
              <w:rPr>
                <w:color w:val="231F20"/>
                <w:spacing w:val="-20"/>
                <w:sz w:val="14"/>
              </w:rPr>
              <w:t xml:space="preserve"> </w:t>
            </w:r>
            <w:r>
              <w:rPr>
                <w:color w:val="231F20"/>
                <w:sz w:val="14"/>
              </w:rPr>
              <w:t>и полусложеница.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19"/>
              <w:ind w:left="56"/>
              <w:rPr>
                <w:sz w:val="14"/>
              </w:rPr>
            </w:pPr>
            <w:r>
              <w:rPr>
                <w:color w:val="231F20"/>
                <w:sz w:val="14"/>
              </w:rPr>
              <w:t>Лексикологија</w:t>
            </w:r>
          </w:p>
        </w:tc>
        <w:tc>
          <w:tcPr>
            <w:tcW w:w="1587" w:type="dxa"/>
          </w:tcPr>
          <w:p w:rsidR="00041039" w:rsidRDefault="001B26CB">
            <w:pPr>
              <w:pStyle w:val="TableParagraph"/>
              <w:numPr>
                <w:ilvl w:val="0"/>
                <w:numId w:val="769"/>
              </w:numPr>
              <w:tabs>
                <w:tab w:val="left" w:pos="157"/>
              </w:tabs>
              <w:spacing w:before="9"/>
              <w:ind w:right="154"/>
              <w:jc w:val="both"/>
              <w:rPr>
                <w:sz w:val="14"/>
              </w:rPr>
            </w:pPr>
            <w:r>
              <w:rPr>
                <w:color w:val="231F20"/>
                <w:sz w:val="14"/>
              </w:rPr>
              <w:t>Упознавање ученика са основама</w:t>
            </w:r>
            <w:r>
              <w:rPr>
                <w:color w:val="231F20"/>
                <w:spacing w:val="-12"/>
                <w:sz w:val="14"/>
              </w:rPr>
              <w:t xml:space="preserve"> </w:t>
            </w:r>
            <w:r>
              <w:rPr>
                <w:color w:val="231F20"/>
                <w:sz w:val="14"/>
              </w:rPr>
              <w:t>лексико­ логије.</w:t>
            </w:r>
          </w:p>
        </w:tc>
        <w:tc>
          <w:tcPr>
            <w:tcW w:w="2551" w:type="dxa"/>
          </w:tcPr>
          <w:p w:rsidR="00041039" w:rsidRDefault="001B26CB">
            <w:pPr>
              <w:pStyle w:val="TableParagraph"/>
              <w:numPr>
                <w:ilvl w:val="0"/>
                <w:numId w:val="768"/>
              </w:numPr>
              <w:tabs>
                <w:tab w:val="left" w:pos="157"/>
              </w:tabs>
              <w:spacing w:before="9" w:line="166" w:lineRule="exact"/>
              <w:ind w:hanging="99"/>
              <w:rPr>
                <w:sz w:val="14"/>
              </w:rPr>
            </w:pPr>
            <w:r>
              <w:rPr>
                <w:color w:val="231F20"/>
                <w:sz w:val="14"/>
              </w:rPr>
              <w:t>препозна и одреди вредност</w:t>
            </w:r>
            <w:r>
              <w:rPr>
                <w:color w:val="231F20"/>
                <w:spacing w:val="-11"/>
                <w:sz w:val="14"/>
              </w:rPr>
              <w:t xml:space="preserve"> </w:t>
            </w:r>
            <w:r>
              <w:rPr>
                <w:color w:val="231F20"/>
                <w:sz w:val="14"/>
              </w:rPr>
              <w:t>лексеме;</w:t>
            </w:r>
          </w:p>
          <w:p w:rsidR="00041039" w:rsidRDefault="001B26CB">
            <w:pPr>
              <w:pStyle w:val="TableParagraph"/>
              <w:numPr>
                <w:ilvl w:val="0"/>
                <w:numId w:val="768"/>
              </w:numPr>
              <w:tabs>
                <w:tab w:val="left" w:pos="157"/>
              </w:tabs>
              <w:spacing w:line="160" w:lineRule="exact"/>
              <w:ind w:hanging="99"/>
              <w:rPr>
                <w:sz w:val="14"/>
              </w:rPr>
            </w:pPr>
            <w:r>
              <w:rPr>
                <w:color w:val="231F20"/>
                <w:sz w:val="14"/>
              </w:rPr>
              <w:t>уме да се служи</w:t>
            </w:r>
            <w:r>
              <w:rPr>
                <w:color w:val="231F20"/>
                <w:spacing w:val="-2"/>
                <w:sz w:val="14"/>
              </w:rPr>
              <w:t xml:space="preserve"> </w:t>
            </w:r>
            <w:r>
              <w:rPr>
                <w:color w:val="231F20"/>
                <w:sz w:val="14"/>
              </w:rPr>
              <w:t>речницима;</w:t>
            </w:r>
          </w:p>
          <w:p w:rsidR="00041039" w:rsidRDefault="001B26CB">
            <w:pPr>
              <w:pStyle w:val="TableParagraph"/>
              <w:numPr>
                <w:ilvl w:val="0"/>
                <w:numId w:val="768"/>
              </w:numPr>
              <w:tabs>
                <w:tab w:val="left" w:pos="157"/>
              </w:tabs>
              <w:spacing w:line="237" w:lineRule="auto"/>
              <w:ind w:right="160" w:hanging="99"/>
              <w:rPr>
                <w:sz w:val="14"/>
              </w:rPr>
            </w:pPr>
            <w:r>
              <w:rPr>
                <w:color w:val="231F20"/>
                <w:sz w:val="14"/>
              </w:rPr>
              <w:t>наведе примере синонима,</w:t>
            </w:r>
            <w:r>
              <w:rPr>
                <w:color w:val="231F20"/>
                <w:spacing w:val="-15"/>
                <w:sz w:val="14"/>
              </w:rPr>
              <w:t xml:space="preserve"> </w:t>
            </w:r>
            <w:r>
              <w:rPr>
                <w:color w:val="231F20"/>
                <w:sz w:val="14"/>
              </w:rPr>
              <w:t>антонима, хомонима,</w:t>
            </w:r>
            <w:r>
              <w:rPr>
                <w:color w:val="231F20"/>
                <w:spacing w:val="-1"/>
                <w:sz w:val="14"/>
              </w:rPr>
              <w:t xml:space="preserve"> </w:t>
            </w:r>
            <w:r>
              <w:rPr>
                <w:color w:val="231F20"/>
                <w:sz w:val="14"/>
              </w:rPr>
              <w:t>жаргона...</w:t>
            </w:r>
          </w:p>
        </w:tc>
        <w:tc>
          <w:tcPr>
            <w:tcW w:w="2834" w:type="dxa"/>
          </w:tcPr>
          <w:p w:rsidR="00041039" w:rsidRDefault="001B26CB">
            <w:pPr>
              <w:pStyle w:val="TableParagraph"/>
              <w:numPr>
                <w:ilvl w:val="0"/>
                <w:numId w:val="767"/>
              </w:numPr>
              <w:tabs>
                <w:tab w:val="left" w:pos="158"/>
              </w:tabs>
              <w:spacing w:before="9"/>
              <w:ind w:right="135"/>
              <w:rPr>
                <w:sz w:val="14"/>
              </w:rPr>
            </w:pPr>
            <w:r>
              <w:rPr>
                <w:color w:val="231F20"/>
                <w:sz w:val="14"/>
              </w:rPr>
              <w:t>Основни</w:t>
            </w:r>
            <w:r>
              <w:rPr>
                <w:color w:val="231F20"/>
                <w:spacing w:val="-9"/>
                <w:sz w:val="14"/>
              </w:rPr>
              <w:t xml:space="preserve"> </w:t>
            </w:r>
            <w:r>
              <w:rPr>
                <w:color w:val="231F20"/>
                <w:sz w:val="14"/>
              </w:rPr>
              <w:t>појмови</w:t>
            </w:r>
            <w:r>
              <w:rPr>
                <w:color w:val="231F20"/>
                <w:spacing w:val="-9"/>
                <w:sz w:val="14"/>
              </w:rPr>
              <w:t xml:space="preserve"> </w:t>
            </w:r>
            <w:r>
              <w:rPr>
                <w:color w:val="231F20"/>
                <w:sz w:val="14"/>
              </w:rPr>
              <w:t>из</w:t>
            </w:r>
            <w:r>
              <w:rPr>
                <w:color w:val="231F20"/>
                <w:spacing w:val="-9"/>
                <w:sz w:val="14"/>
              </w:rPr>
              <w:t xml:space="preserve"> </w:t>
            </w:r>
            <w:r>
              <w:rPr>
                <w:color w:val="231F20"/>
                <w:sz w:val="14"/>
              </w:rPr>
              <w:t>лексикологије</w:t>
            </w:r>
            <w:r>
              <w:rPr>
                <w:color w:val="231F20"/>
                <w:spacing w:val="-9"/>
                <w:sz w:val="14"/>
              </w:rPr>
              <w:t xml:space="preserve"> </w:t>
            </w:r>
            <w:r>
              <w:rPr>
                <w:color w:val="231F20"/>
                <w:sz w:val="14"/>
              </w:rPr>
              <w:t>(лексе­ ма, њено</w:t>
            </w:r>
            <w:r>
              <w:rPr>
                <w:color w:val="231F20"/>
                <w:spacing w:val="-2"/>
                <w:sz w:val="14"/>
              </w:rPr>
              <w:t xml:space="preserve"> </w:t>
            </w:r>
            <w:r>
              <w:rPr>
                <w:color w:val="231F20"/>
                <w:sz w:val="14"/>
              </w:rPr>
              <w:t>значење).</w:t>
            </w:r>
          </w:p>
          <w:p w:rsidR="00041039" w:rsidRDefault="001B26CB">
            <w:pPr>
              <w:pStyle w:val="TableParagraph"/>
              <w:numPr>
                <w:ilvl w:val="0"/>
                <w:numId w:val="767"/>
              </w:numPr>
              <w:tabs>
                <w:tab w:val="left" w:pos="158"/>
              </w:tabs>
              <w:spacing w:line="153" w:lineRule="exact"/>
              <w:rPr>
                <w:sz w:val="14"/>
              </w:rPr>
            </w:pPr>
            <w:r>
              <w:rPr>
                <w:color w:val="231F20"/>
                <w:sz w:val="14"/>
              </w:rPr>
              <w:t>Полисемија и</w:t>
            </w:r>
            <w:r>
              <w:rPr>
                <w:color w:val="231F20"/>
                <w:spacing w:val="-14"/>
                <w:sz w:val="14"/>
              </w:rPr>
              <w:t xml:space="preserve"> </w:t>
            </w:r>
            <w:r>
              <w:rPr>
                <w:color w:val="231F20"/>
                <w:sz w:val="14"/>
              </w:rPr>
              <w:t>хомонимија.</w:t>
            </w:r>
          </w:p>
          <w:p w:rsidR="00041039" w:rsidRDefault="001B26CB">
            <w:pPr>
              <w:pStyle w:val="TableParagraph"/>
              <w:numPr>
                <w:ilvl w:val="0"/>
                <w:numId w:val="767"/>
              </w:numPr>
              <w:tabs>
                <w:tab w:val="left" w:pos="158"/>
              </w:tabs>
              <w:spacing w:line="160" w:lineRule="exact"/>
              <w:rPr>
                <w:sz w:val="14"/>
              </w:rPr>
            </w:pPr>
            <w:r>
              <w:rPr>
                <w:color w:val="231F20"/>
                <w:sz w:val="14"/>
              </w:rPr>
              <w:t>Синонимија и</w:t>
            </w:r>
            <w:r>
              <w:rPr>
                <w:color w:val="231F20"/>
                <w:spacing w:val="-3"/>
                <w:sz w:val="14"/>
              </w:rPr>
              <w:t xml:space="preserve"> </w:t>
            </w:r>
            <w:r>
              <w:rPr>
                <w:color w:val="231F20"/>
                <w:sz w:val="14"/>
              </w:rPr>
              <w:t>антонимија.</w:t>
            </w:r>
          </w:p>
          <w:p w:rsidR="00041039" w:rsidRDefault="001B26CB">
            <w:pPr>
              <w:pStyle w:val="TableParagraph"/>
              <w:numPr>
                <w:ilvl w:val="0"/>
                <w:numId w:val="767"/>
              </w:numPr>
              <w:tabs>
                <w:tab w:val="left" w:pos="158"/>
              </w:tabs>
              <w:spacing w:line="237" w:lineRule="auto"/>
              <w:ind w:right="172"/>
              <w:rPr>
                <w:sz w:val="14"/>
              </w:rPr>
            </w:pPr>
            <w:r>
              <w:rPr>
                <w:color w:val="231F20"/>
                <w:sz w:val="14"/>
              </w:rPr>
              <w:t>Састав лексике српског књижевног</w:t>
            </w:r>
            <w:r>
              <w:rPr>
                <w:color w:val="231F20"/>
                <w:spacing w:val="-17"/>
                <w:sz w:val="14"/>
              </w:rPr>
              <w:t xml:space="preserve"> </w:t>
            </w:r>
            <w:r>
              <w:rPr>
                <w:color w:val="231F20"/>
                <w:sz w:val="14"/>
              </w:rPr>
              <w:t>(стан­ дардног)</w:t>
            </w:r>
            <w:r>
              <w:rPr>
                <w:color w:val="231F20"/>
                <w:spacing w:val="-1"/>
                <w:sz w:val="14"/>
              </w:rPr>
              <w:t xml:space="preserve"> </w:t>
            </w:r>
            <w:r>
              <w:rPr>
                <w:color w:val="231F20"/>
                <w:sz w:val="14"/>
              </w:rPr>
              <w:t>језика.</w:t>
            </w:r>
          </w:p>
          <w:p w:rsidR="00041039" w:rsidRDefault="001B26CB">
            <w:pPr>
              <w:pStyle w:val="TableParagraph"/>
              <w:numPr>
                <w:ilvl w:val="0"/>
                <w:numId w:val="767"/>
              </w:numPr>
              <w:tabs>
                <w:tab w:val="left" w:pos="158"/>
              </w:tabs>
              <w:spacing w:line="160" w:lineRule="exact"/>
              <w:ind w:right="399"/>
              <w:rPr>
                <w:sz w:val="14"/>
              </w:rPr>
            </w:pPr>
            <w:r>
              <w:rPr>
                <w:color w:val="231F20"/>
                <w:sz w:val="14"/>
              </w:rPr>
              <w:t>Дијалектизми, архаизми и</w:t>
            </w:r>
            <w:r>
              <w:rPr>
                <w:color w:val="231F20"/>
                <w:spacing w:val="-16"/>
                <w:sz w:val="14"/>
              </w:rPr>
              <w:t xml:space="preserve"> </w:t>
            </w:r>
            <w:r>
              <w:rPr>
                <w:color w:val="231F20"/>
                <w:sz w:val="14"/>
              </w:rPr>
              <w:t>историзми, неологизми, жаргонизми,</w:t>
            </w:r>
            <w:r>
              <w:rPr>
                <w:color w:val="231F20"/>
                <w:spacing w:val="-29"/>
                <w:sz w:val="14"/>
              </w:rPr>
              <w:t xml:space="preserve"> </w:t>
            </w:r>
            <w:r>
              <w:rPr>
                <w:color w:val="231F20"/>
                <w:sz w:val="14"/>
              </w:rPr>
              <w:t>вулгаризми.</w:t>
            </w:r>
          </w:p>
          <w:p w:rsidR="00041039" w:rsidRDefault="001B26CB">
            <w:pPr>
              <w:pStyle w:val="TableParagraph"/>
              <w:numPr>
                <w:ilvl w:val="0"/>
                <w:numId w:val="767"/>
              </w:numPr>
              <w:tabs>
                <w:tab w:val="left" w:pos="158"/>
              </w:tabs>
              <w:spacing w:line="153" w:lineRule="exact"/>
              <w:rPr>
                <w:sz w:val="14"/>
              </w:rPr>
            </w:pPr>
            <w:r>
              <w:rPr>
                <w:color w:val="231F20"/>
                <w:sz w:val="14"/>
              </w:rPr>
              <w:t>Фразеологизми.</w:t>
            </w:r>
          </w:p>
          <w:p w:rsidR="00041039" w:rsidRDefault="001B26CB">
            <w:pPr>
              <w:pStyle w:val="TableParagraph"/>
              <w:numPr>
                <w:ilvl w:val="0"/>
                <w:numId w:val="767"/>
              </w:numPr>
              <w:tabs>
                <w:tab w:val="left" w:pos="158"/>
              </w:tabs>
              <w:spacing w:line="160" w:lineRule="exact"/>
              <w:rPr>
                <w:sz w:val="14"/>
              </w:rPr>
            </w:pPr>
            <w:r>
              <w:rPr>
                <w:color w:val="231F20"/>
                <w:sz w:val="14"/>
              </w:rPr>
              <w:t>Термини.</w:t>
            </w:r>
          </w:p>
          <w:p w:rsidR="00041039" w:rsidRDefault="001B26CB">
            <w:pPr>
              <w:pStyle w:val="TableParagraph"/>
              <w:numPr>
                <w:ilvl w:val="0"/>
                <w:numId w:val="767"/>
              </w:numPr>
              <w:tabs>
                <w:tab w:val="left" w:pos="158"/>
              </w:tabs>
              <w:spacing w:line="166" w:lineRule="exact"/>
              <w:rPr>
                <w:sz w:val="14"/>
              </w:rPr>
            </w:pPr>
            <w:r>
              <w:rPr>
                <w:color w:val="231F20"/>
                <w:sz w:val="14"/>
              </w:rPr>
              <w:t>Речници и служење</w:t>
            </w:r>
            <w:r>
              <w:rPr>
                <w:color w:val="231F20"/>
                <w:spacing w:val="-3"/>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numPr>
                <w:ilvl w:val="0"/>
                <w:numId w:val="766"/>
              </w:numPr>
              <w:tabs>
                <w:tab w:val="left" w:pos="157"/>
              </w:tabs>
              <w:spacing w:before="9"/>
              <w:ind w:right="66" w:hanging="99"/>
              <w:rPr>
                <w:sz w:val="14"/>
              </w:rPr>
            </w:pPr>
            <w:r>
              <w:rPr>
                <w:color w:val="231F20"/>
                <w:sz w:val="14"/>
              </w:rPr>
              <w:t>Оспособљавање ученика за примењи­ вање знања из језика</w:t>
            </w:r>
            <w:r>
              <w:rPr>
                <w:color w:val="231F20"/>
                <w:spacing w:val="-12"/>
                <w:sz w:val="14"/>
              </w:rPr>
              <w:t xml:space="preserve"> </w:t>
            </w:r>
            <w:r>
              <w:rPr>
                <w:color w:val="231F20"/>
                <w:sz w:val="14"/>
              </w:rPr>
              <w:t>и правописа у складу са језичком</w:t>
            </w:r>
            <w:r>
              <w:rPr>
                <w:color w:val="231F20"/>
                <w:spacing w:val="-3"/>
                <w:sz w:val="14"/>
              </w:rPr>
              <w:t xml:space="preserve"> </w:t>
            </w:r>
            <w:r>
              <w:rPr>
                <w:color w:val="231F20"/>
                <w:sz w:val="14"/>
              </w:rPr>
              <w:t>нормом.</w:t>
            </w:r>
          </w:p>
        </w:tc>
        <w:tc>
          <w:tcPr>
            <w:tcW w:w="2551" w:type="dxa"/>
          </w:tcPr>
          <w:p w:rsidR="00041039" w:rsidRDefault="001B26CB">
            <w:pPr>
              <w:pStyle w:val="TableParagraph"/>
              <w:numPr>
                <w:ilvl w:val="0"/>
                <w:numId w:val="765"/>
              </w:numPr>
              <w:tabs>
                <w:tab w:val="left" w:pos="157"/>
              </w:tabs>
              <w:spacing w:before="9"/>
              <w:ind w:right="151" w:hanging="99"/>
              <w:rPr>
                <w:sz w:val="14"/>
              </w:rPr>
            </w:pPr>
            <w:r>
              <w:rPr>
                <w:color w:val="231F20"/>
                <w:sz w:val="14"/>
              </w:rPr>
              <w:t>примени правописна правила у писању сложеница, полусложеница</w:t>
            </w:r>
            <w:r>
              <w:rPr>
                <w:color w:val="231F20"/>
                <w:spacing w:val="-18"/>
                <w:sz w:val="14"/>
              </w:rPr>
              <w:t xml:space="preserve"> </w:t>
            </w:r>
            <w:r>
              <w:rPr>
                <w:color w:val="231F20"/>
                <w:sz w:val="14"/>
              </w:rPr>
              <w:t>и синтагми;</w:t>
            </w:r>
          </w:p>
          <w:p w:rsidR="00041039" w:rsidRDefault="001B26CB">
            <w:pPr>
              <w:pStyle w:val="TableParagraph"/>
              <w:numPr>
                <w:ilvl w:val="0"/>
                <w:numId w:val="765"/>
              </w:numPr>
              <w:tabs>
                <w:tab w:val="left" w:pos="157"/>
              </w:tabs>
              <w:spacing w:line="157" w:lineRule="exact"/>
              <w:ind w:hanging="99"/>
              <w:rPr>
                <w:sz w:val="14"/>
              </w:rPr>
            </w:pPr>
            <w:r>
              <w:rPr>
                <w:color w:val="231F20"/>
                <w:sz w:val="14"/>
              </w:rPr>
              <w:t>скраћује речи у складу са</w:t>
            </w:r>
            <w:r>
              <w:rPr>
                <w:color w:val="231F20"/>
                <w:spacing w:val="-5"/>
                <w:sz w:val="14"/>
              </w:rPr>
              <w:t xml:space="preserve"> </w:t>
            </w:r>
            <w:r>
              <w:rPr>
                <w:color w:val="231F20"/>
                <w:sz w:val="14"/>
              </w:rPr>
              <w:t>прописаним</w:t>
            </w:r>
          </w:p>
          <w:p w:rsidR="00041039" w:rsidRDefault="001B26CB">
            <w:pPr>
              <w:pStyle w:val="TableParagraph"/>
              <w:spacing w:line="160" w:lineRule="exact"/>
              <w:rPr>
                <w:sz w:val="14"/>
              </w:rPr>
            </w:pPr>
            <w:r>
              <w:rPr>
                <w:color w:val="231F20"/>
                <w:sz w:val="14"/>
              </w:rPr>
              <w:t>правилима;</w:t>
            </w:r>
          </w:p>
        </w:tc>
        <w:tc>
          <w:tcPr>
            <w:tcW w:w="2834" w:type="dxa"/>
          </w:tcPr>
          <w:p w:rsidR="00041039" w:rsidRDefault="001B26CB">
            <w:pPr>
              <w:pStyle w:val="TableParagraph"/>
              <w:numPr>
                <w:ilvl w:val="0"/>
                <w:numId w:val="764"/>
              </w:numPr>
              <w:tabs>
                <w:tab w:val="left" w:pos="158"/>
              </w:tabs>
              <w:spacing w:before="9"/>
              <w:ind w:right="133"/>
              <w:rPr>
                <w:sz w:val="14"/>
              </w:rPr>
            </w:pPr>
            <w:r>
              <w:rPr>
                <w:color w:val="231F20"/>
                <w:sz w:val="14"/>
              </w:rPr>
              <w:t>Основна</w:t>
            </w:r>
            <w:r>
              <w:rPr>
                <w:color w:val="231F20"/>
                <w:spacing w:val="-13"/>
                <w:sz w:val="14"/>
              </w:rPr>
              <w:t xml:space="preserve"> </w:t>
            </w:r>
            <w:r>
              <w:rPr>
                <w:color w:val="231F20"/>
                <w:sz w:val="14"/>
              </w:rPr>
              <w:t>правила</w:t>
            </w:r>
            <w:r>
              <w:rPr>
                <w:color w:val="231F20"/>
                <w:spacing w:val="-13"/>
                <w:sz w:val="14"/>
              </w:rPr>
              <w:t xml:space="preserve"> </w:t>
            </w:r>
            <w:r>
              <w:rPr>
                <w:color w:val="231F20"/>
                <w:sz w:val="14"/>
              </w:rPr>
              <w:t>спојеног,</w:t>
            </w:r>
            <w:r>
              <w:rPr>
                <w:color w:val="231F20"/>
                <w:spacing w:val="-12"/>
                <w:sz w:val="14"/>
              </w:rPr>
              <w:t xml:space="preserve"> </w:t>
            </w:r>
            <w:r>
              <w:rPr>
                <w:color w:val="231F20"/>
                <w:sz w:val="14"/>
              </w:rPr>
              <w:t xml:space="preserve">полусложенич­ </w:t>
            </w:r>
            <w:r>
              <w:rPr>
                <w:color w:val="231F20"/>
                <w:spacing w:val="-3"/>
                <w:sz w:val="14"/>
              </w:rPr>
              <w:t xml:space="preserve">ког </w:t>
            </w:r>
            <w:r>
              <w:rPr>
                <w:color w:val="231F20"/>
                <w:sz w:val="14"/>
              </w:rPr>
              <w:t>и одвојеног</w:t>
            </w:r>
            <w:r>
              <w:rPr>
                <w:color w:val="231F20"/>
                <w:sz w:val="14"/>
              </w:rPr>
              <w:t xml:space="preserve"> </w:t>
            </w:r>
            <w:r>
              <w:rPr>
                <w:color w:val="231F20"/>
                <w:sz w:val="14"/>
              </w:rPr>
              <w:t>писања.</w:t>
            </w:r>
          </w:p>
          <w:p w:rsidR="00041039" w:rsidRDefault="001B26CB">
            <w:pPr>
              <w:pStyle w:val="TableParagraph"/>
              <w:numPr>
                <w:ilvl w:val="0"/>
                <w:numId w:val="764"/>
              </w:numPr>
              <w:tabs>
                <w:tab w:val="left" w:pos="158"/>
              </w:tabs>
              <w:spacing w:line="159" w:lineRule="exact"/>
              <w:rPr>
                <w:sz w:val="14"/>
              </w:rPr>
            </w:pPr>
            <w:r>
              <w:rPr>
                <w:color w:val="231F20"/>
                <w:sz w:val="14"/>
              </w:rPr>
              <w:t>Скраћенице.</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763"/>
              </w:numPr>
              <w:tabs>
                <w:tab w:val="left" w:pos="157"/>
              </w:tabs>
              <w:spacing w:before="11" w:line="237" w:lineRule="auto"/>
              <w:ind w:right="115" w:hanging="99"/>
              <w:rPr>
                <w:sz w:val="14"/>
              </w:rPr>
            </w:pPr>
            <w:r>
              <w:rPr>
                <w:color w:val="231F20"/>
                <w:sz w:val="14"/>
              </w:rPr>
              <w:t>Оспособљавање ученика да теоријска знања из граматике и правописа примењују у усменом и писаном изражавању.</w:t>
            </w:r>
          </w:p>
        </w:tc>
        <w:tc>
          <w:tcPr>
            <w:tcW w:w="2551" w:type="dxa"/>
          </w:tcPr>
          <w:p w:rsidR="00041039" w:rsidRDefault="001B26CB">
            <w:pPr>
              <w:pStyle w:val="TableParagraph"/>
              <w:numPr>
                <w:ilvl w:val="0"/>
                <w:numId w:val="762"/>
              </w:numPr>
              <w:tabs>
                <w:tab w:val="left" w:pos="158"/>
              </w:tabs>
              <w:spacing w:before="9"/>
              <w:ind w:right="67"/>
              <w:jc w:val="both"/>
              <w:rPr>
                <w:sz w:val="14"/>
              </w:rPr>
            </w:pPr>
            <w:r>
              <w:rPr>
                <w:color w:val="231F20"/>
                <w:sz w:val="14"/>
              </w:rPr>
              <w:t>износи став, користи аргументе и про­ цењује опште и сопствене вредности у усменом и писаном</w:t>
            </w:r>
            <w:r>
              <w:rPr>
                <w:color w:val="231F20"/>
                <w:spacing w:val="-5"/>
                <w:sz w:val="14"/>
              </w:rPr>
              <w:t xml:space="preserve"> </w:t>
            </w:r>
            <w:r>
              <w:rPr>
                <w:color w:val="231F20"/>
                <w:sz w:val="14"/>
              </w:rPr>
              <w:t>изражавању;</w:t>
            </w:r>
          </w:p>
        </w:tc>
        <w:tc>
          <w:tcPr>
            <w:tcW w:w="2834" w:type="dxa"/>
          </w:tcPr>
          <w:p w:rsidR="00041039" w:rsidRDefault="001B26CB">
            <w:pPr>
              <w:pStyle w:val="TableParagraph"/>
              <w:numPr>
                <w:ilvl w:val="0"/>
                <w:numId w:val="761"/>
              </w:numPr>
              <w:tabs>
                <w:tab w:val="left" w:pos="158"/>
              </w:tabs>
              <w:spacing w:before="9" w:line="166" w:lineRule="exact"/>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numPr>
                <w:ilvl w:val="0"/>
                <w:numId w:val="761"/>
              </w:numPr>
              <w:tabs>
                <w:tab w:val="left" w:pos="158"/>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041039" w:rsidRDefault="001B26CB">
            <w:pPr>
              <w:pStyle w:val="TableParagraph"/>
              <w:numPr>
                <w:ilvl w:val="0"/>
                <w:numId w:val="761"/>
              </w:numPr>
              <w:tabs>
                <w:tab w:val="left" w:pos="158"/>
              </w:tabs>
              <w:spacing w:line="160" w:lineRule="exact"/>
              <w:rPr>
                <w:sz w:val="14"/>
              </w:rPr>
            </w:pPr>
            <w:r>
              <w:rPr>
                <w:color w:val="231F20"/>
                <w:sz w:val="14"/>
              </w:rPr>
              <w:t>Домаћи</w:t>
            </w:r>
            <w:r>
              <w:rPr>
                <w:color w:val="231F20"/>
                <w:spacing w:val="-12"/>
                <w:sz w:val="14"/>
              </w:rPr>
              <w:t xml:space="preserve"> </w:t>
            </w:r>
            <w:r>
              <w:rPr>
                <w:color w:val="231F20"/>
                <w:sz w:val="14"/>
              </w:rPr>
              <w:t>задаци.</w:t>
            </w:r>
          </w:p>
          <w:p w:rsidR="00041039" w:rsidRDefault="001B26CB">
            <w:pPr>
              <w:pStyle w:val="TableParagraph"/>
              <w:numPr>
                <w:ilvl w:val="0"/>
                <w:numId w:val="761"/>
              </w:numPr>
              <w:tabs>
                <w:tab w:val="left" w:pos="158"/>
              </w:tabs>
              <w:spacing w:line="160" w:lineRule="exact"/>
              <w:rPr>
                <w:sz w:val="14"/>
              </w:rPr>
            </w:pPr>
            <w:r>
              <w:rPr>
                <w:color w:val="231F20"/>
                <w:sz w:val="14"/>
              </w:rPr>
              <w:t>Говорне</w:t>
            </w:r>
            <w:r>
              <w:rPr>
                <w:color w:val="231F20"/>
                <w:spacing w:val="-19"/>
                <w:sz w:val="14"/>
              </w:rPr>
              <w:t xml:space="preserve"> </w:t>
            </w:r>
            <w:r>
              <w:rPr>
                <w:color w:val="231F20"/>
                <w:sz w:val="14"/>
              </w:rPr>
              <w:t>вежбе.</w:t>
            </w:r>
          </w:p>
          <w:p w:rsidR="00041039" w:rsidRDefault="001B26CB">
            <w:pPr>
              <w:pStyle w:val="TableParagraph"/>
              <w:numPr>
                <w:ilvl w:val="0"/>
                <w:numId w:val="761"/>
              </w:numPr>
              <w:tabs>
                <w:tab w:val="left" w:pos="158"/>
              </w:tabs>
              <w:spacing w:line="166" w:lineRule="exact"/>
              <w:rPr>
                <w:sz w:val="14"/>
              </w:rPr>
            </w:pPr>
            <w:r>
              <w:rPr>
                <w:color w:val="231F20"/>
                <w:sz w:val="14"/>
              </w:rPr>
              <w:t>Школски писмени задаци 4 x 2 +</w:t>
            </w:r>
            <w:r>
              <w:rPr>
                <w:color w:val="231F20"/>
                <w:spacing w:val="-10"/>
                <w:sz w:val="14"/>
              </w:rPr>
              <w:t xml:space="preserve"> </w:t>
            </w:r>
            <w:r>
              <w:rPr>
                <w:color w:val="231F20"/>
                <w:sz w:val="14"/>
              </w:rPr>
              <w:t>2.</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96</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880"/>
        </w:trPr>
        <w:tc>
          <w:tcPr>
            <w:tcW w:w="1304" w:type="dxa"/>
          </w:tcPr>
          <w:p w:rsidR="00041039" w:rsidRDefault="001B26CB">
            <w:pPr>
              <w:pStyle w:val="TableParagraph"/>
              <w:spacing w:before="18"/>
              <w:ind w:left="5" w:right="65"/>
              <w:jc w:val="center"/>
              <w:rPr>
                <w:sz w:val="14"/>
              </w:rPr>
            </w:pPr>
            <w:r>
              <w:rPr>
                <w:color w:val="231F20"/>
                <w:sz w:val="14"/>
              </w:rPr>
              <w:t>Савремена поезија</w:t>
            </w:r>
          </w:p>
        </w:tc>
        <w:tc>
          <w:tcPr>
            <w:tcW w:w="1587" w:type="dxa"/>
          </w:tcPr>
          <w:p w:rsidR="00041039" w:rsidRDefault="001B26CB">
            <w:pPr>
              <w:pStyle w:val="TableParagraph"/>
              <w:numPr>
                <w:ilvl w:val="0"/>
                <w:numId w:val="760"/>
              </w:numPr>
              <w:tabs>
                <w:tab w:val="left" w:pos="157"/>
              </w:tabs>
              <w:spacing w:before="8"/>
              <w:ind w:right="52"/>
              <w:rPr>
                <w:sz w:val="14"/>
              </w:rPr>
            </w:pPr>
            <w:r>
              <w:rPr>
                <w:color w:val="231F20"/>
                <w:sz w:val="14"/>
              </w:rPr>
              <w:t>Упознавање са</w:t>
            </w:r>
            <w:r>
              <w:rPr>
                <w:color w:val="231F20"/>
                <w:spacing w:val="-24"/>
                <w:sz w:val="14"/>
              </w:rPr>
              <w:t xml:space="preserve"> </w:t>
            </w:r>
            <w:r>
              <w:rPr>
                <w:color w:val="231F20"/>
                <w:sz w:val="14"/>
              </w:rPr>
              <w:t>одлика­ ма савремене поезије, њеним представници­ ма и</w:t>
            </w:r>
            <w:r>
              <w:rPr>
                <w:color w:val="231F20"/>
                <w:spacing w:val="-2"/>
                <w:sz w:val="14"/>
              </w:rPr>
              <w:t xml:space="preserve"> </w:t>
            </w:r>
            <w:r>
              <w:rPr>
                <w:color w:val="231F20"/>
                <w:sz w:val="14"/>
              </w:rPr>
              <w:t>делима.</w:t>
            </w:r>
          </w:p>
        </w:tc>
        <w:tc>
          <w:tcPr>
            <w:tcW w:w="2551" w:type="dxa"/>
          </w:tcPr>
          <w:p w:rsidR="00041039" w:rsidRDefault="001B26CB">
            <w:pPr>
              <w:pStyle w:val="TableParagraph"/>
              <w:numPr>
                <w:ilvl w:val="0"/>
                <w:numId w:val="759"/>
              </w:numPr>
              <w:tabs>
                <w:tab w:val="left" w:pos="157"/>
              </w:tabs>
              <w:spacing w:before="8" w:line="166" w:lineRule="exact"/>
              <w:ind w:hanging="99"/>
              <w:rPr>
                <w:sz w:val="14"/>
              </w:rPr>
            </w:pPr>
            <w:r>
              <w:rPr>
                <w:color w:val="231F20"/>
                <w:sz w:val="14"/>
              </w:rPr>
              <w:t>наведе обележја савремене</w:t>
            </w:r>
            <w:r>
              <w:rPr>
                <w:color w:val="231F20"/>
                <w:spacing w:val="-3"/>
                <w:sz w:val="14"/>
              </w:rPr>
              <w:t xml:space="preserve"> </w:t>
            </w:r>
            <w:r>
              <w:rPr>
                <w:color w:val="231F20"/>
                <w:sz w:val="14"/>
              </w:rPr>
              <w:t>поезије;</w:t>
            </w:r>
          </w:p>
          <w:p w:rsidR="00041039" w:rsidRDefault="001B26CB">
            <w:pPr>
              <w:pStyle w:val="TableParagraph"/>
              <w:numPr>
                <w:ilvl w:val="0"/>
                <w:numId w:val="759"/>
              </w:numPr>
              <w:tabs>
                <w:tab w:val="left" w:pos="157"/>
              </w:tabs>
              <w:spacing w:line="237" w:lineRule="auto"/>
              <w:ind w:right="166" w:hanging="99"/>
              <w:rPr>
                <w:sz w:val="14"/>
              </w:rPr>
            </w:pPr>
            <w:r>
              <w:rPr>
                <w:color w:val="231F20"/>
                <w:sz w:val="14"/>
              </w:rPr>
              <w:t>тумачи песничка дела износећи доживљаје, запажања и</w:t>
            </w:r>
            <w:r>
              <w:rPr>
                <w:color w:val="231F20"/>
                <w:spacing w:val="-18"/>
                <w:sz w:val="14"/>
              </w:rPr>
              <w:t xml:space="preserve"> </w:t>
            </w:r>
            <w:r>
              <w:rPr>
                <w:color w:val="231F20"/>
                <w:sz w:val="14"/>
              </w:rPr>
              <w:t>образложења о</w:t>
            </w:r>
            <w:r>
              <w:rPr>
                <w:color w:val="231F20"/>
                <w:spacing w:val="-1"/>
                <w:sz w:val="14"/>
              </w:rPr>
              <w:t xml:space="preserve"> </w:t>
            </w:r>
            <w:r>
              <w:rPr>
                <w:color w:val="231F20"/>
                <w:sz w:val="14"/>
              </w:rPr>
              <w:t>њима;</w:t>
            </w:r>
          </w:p>
          <w:p w:rsidR="00041039" w:rsidRDefault="001B26CB">
            <w:pPr>
              <w:pStyle w:val="TableParagraph"/>
              <w:numPr>
                <w:ilvl w:val="0"/>
                <w:numId w:val="759"/>
              </w:numPr>
              <w:tabs>
                <w:tab w:val="left" w:pos="157"/>
              </w:tabs>
              <w:spacing w:line="237" w:lineRule="auto"/>
              <w:ind w:right="79" w:hanging="99"/>
              <w:rPr>
                <w:sz w:val="14"/>
              </w:rPr>
            </w:pPr>
            <w:r>
              <w:rPr>
                <w:color w:val="231F20"/>
                <w:sz w:val="14"/>
              </w:rPr>
              <w:t>изведе закључак о карактеристикама песничког језика, мотивима и форми</w:t>
            </w:r>
            <w:r>
              <w:rPr>
                <w:color w:val="231F20"/>
                <w:spacing w:val="-16"/>
                <w:sz w:val="14"/>
              </w:rPr>
              <w:t xml:space="preserve"> </w:t>
            </w:r>
            <w:r>
              <w:rPr>
                <w:color w:val="231F20"/>
                <w:sz w:val="14"/>
              </w:rPr>
              <w:t>у обрађеним песмама;</w:t>
            </w:r>
          </w:p>
        </w:tc>
        <w:tc>
          <w:tcPr>
            <w:tcW w:w="2834" w:type="dxa"/>
          </w:tcPr>
          <w:p w:rsidR="00041039" w:rsidRDefault="001B26CB">
            <w:pPr>
              <w:pStyle w:val="TableParagraph"/>
              <w:numPr>
                <w:ilvl w:val="0"/>
                <w:numId w:val="758"/>
              </w:numPr>
              <w:tabs>
                <w:tab w:val="left" w:pos="157"/>
              </w:tabs>
              <w:spacing w:before="8" w:line="166" w:lineRule="exact"/>
              <w:ind w:hanging="99"/>
              <w:rPr>
                <w:sz w:val="14"/>
              </w:rPr>
            </w:pPr>
            <w:r>
              <w:rPr>
                <w:color w:val="231F20"/>
                <w:sz w:val="14"/>
              </w:rPr>
              <w:t>Одлике савремене</w:t>
            </w:r>
            <w:r>
              <w:rPr>
                <w:color w:val="231F20"/>
                <w:spacing w:val="-1"/>
                <w:sz w:val="14"/>
              </w:rPr>
              <w:t xml:space="preserve"> </w:t>
            </w:r>
            <w:r>
              <w:rPr>
                <w:color w:val="231F20"/>
                <w:sz w:val="14"/>
              </w:rPr>
              <w:t>поезије.</w:t>
            </w:r>
          </w:p>
          <w:p w:rsidR="00041039" w:rsidRDefault="001B26CB">
            <w:pPr>
              <w:pStyle w:val="TableParagraph"/>
              <w:numPr>
                <w:ilvl w:val="0"/>
                <w:numId w:val="758"/>
              </w:numPr>
              <w:tabs>
                <w:tab w:val="left" w:pos="157"/>
              </w:tabs>
              <w:spacing w:line="237" w:lineRule="auto"/>
              <w:ind w:right="156" w:hanging="99"/>
              <w:rPr>
                <w:sz w:val="14"/>
              </w:rPr>
            </w:pPr>
            <w:r>
              <w:rPr>
                <w:color w:val="231F20"/>
                <w:sz w:val="14"/>
              </w:rPr>
              <w:t>Избор из светске лирике 20. века</w:t>
            </w:r>
            <w:r>
              <w:rPr>
                <w:color w:val="231F20"/>
                <w:spacing w:val="-23"/>
                <w:sz w:val="14"/>
              </w:rPr>
              <w:t xml:space="preserve"> </w:t>
            </w:r>
            <w:r>
              <w:rPr>
                <w:color w:val="231F20"/>
                <w:sz w:val="14"/>
              </w:rPr>
              <w:t>(Превер, Ахматова, Цветајева,</w:t>
            </w:r>
            <w:r>
              <w:rPr>
                <w:color w:val="231F20"/>
                <w:spacing w:val="-3"/>
                <w:sz w:val="14"/>
              </w:rPr>
              <w:t xml:space="preserve"> </w:t>
            </w:r>
            <w:r>
              <w:rPr>
                <w:color w:val="231F20"/>
                <w:sz w:val="14"/>
              </w:rPr>
              <w:t>Бродски).</w:t>
            </w:r>
          </w:p>
          <w:p w:rsidR="00041039" w:rsidRDefault="001B26CB">
            <w:pPr>
              <w:pStyle w:val="TableParagraph"/>
              <w:numPr>
                <w:ilvl w:val="0"/>
                <w:numId w:val="758"/>
              </w:numPr>
              <w:tabs>
                <w:tab w:val="left" w:pos="157"/>
              </w:tabs>
              <w:spacing w:line="160" w:lineRule="exact"/>
              <w:ind w:hanging="99"/>
              <w:rPr>
                <w:sz w:val="14"/>
              </w:rPr>
            </w:pPr>
            <w:r>
              <w:rPr>
                <w:color w:val="231F20"/>
                <w:sz w:val="14"/>
              </w:rPr>
              <w:t>Васко Попа: „Каленић”,</w:t>
            </w:r>
            <w:r>
              <w:rPr>
                <w:color w:val="231F20"/>
                <w:spacing w:val="-6"/>
                <w:sz w:val="14"/>
              </w:rPr>
              <w:t xml:space="preserve"> </w:t>
            </w:r>
            <w:r>
              <w:rPr>
                <w:color w:val="231F20"/>
                <w:sz w:val="14"/>
              </w:rPr>
              <w:t>„Манасија”,</w:t>
            </w:r>
          </w:p>
          <w:p w:rsidR="00041039" w:rsidRDefault="001B26CB">
            <w:pPr>
              <w:pStyle w:val="TableParagraph"/>
              <w:spacing w:line="155" w:lineRule="exact"/>
              <w:rPr>
                <w:sz w:val="14"/>
              </w:rPr>
            </w:pPr>
            <w:r>
              <w:rPr>
                <w:color w:val="231F20"/>
                <w:sz w:val="14"/>
              </w:rPr>
              <w:t>„Кора” (избор из циклуса Списак).</w:t>
            </w:r>
          </w:p>
          <w:p w:rsidR="00041039" w:rsidRDefault="001B26CB">
            <w:pPr>
              <w:pStyle w:val="TableParagraph"/>
              <w:numPr>
                <w:ilvl w:val="0"/>
                <w:numId w:val="758"/>
              </w:numPr>
              <w:tabs>
                <w:tab w:val="left" w:pos="157"/>
              </w:tabs>
              <w:spacing w:line="165" w:lineRule="exact"/>
              <w:ind w:hanging="99"/>
              <w:rPr>
                <w:sz w:val="14"/>
              </w:rPr>
            </w:pPr>
            <w:r>
              <w:rPr>
                <w:color w:val="231F20"/>
                <w:sz w:val="14"/>
              </w:rPr>
              <w:t>Миодраг Павловић: „Научите</w:t>
            </w:r>
            <w:r>
              <w:rPr>
                <w:color w:val="231F20"/>
                <w:spacing w:val="-6"/>
                <w:sz w:val="14"/>
              </w:rPr>
              <w:t xml:space="preserve"> </w:t>
            </w:r>
            <w:r>
              <w:rPr>
                <w:color w:val="231F20"/>
                <w:sz w:val="14"/>
              </w:rPr>
              <w:t>пјесан”,</w:t>
            </w:r>
          </w:p>
          <w:p w:rsidR="00041039" w:rsidRDefault="001B26CB">
            <w:pPr>
              <w:pStyle w:val="TableParagraph"/>
              <w:spacing w:line="155" w:lineRule="exact"/>
              <w:rPr>
                <w:sz w:val="14"/>
              </w:rPr>
            </w:pPr>
            <w:r>
              <w:rPr>
                <w:color w:val="231F20"/>
                <w:sz w:val="14"/>
              </w:rPr>
              <w:t>„Реквијем” (или две песме по избору).</w:t>
            </w:r>
          </w:p>
          <w:p w:rsidR="00041039" w:rsidRDefault="001B26CB">
            <w:pPr>
              <w:pStyle w:val="TableParagraph"/>
              <w:numPr>
                <w:ilvl w:val="0"/>
                <w:numId w:val="758"/>
              </w:numPr>
              <w:tabs>
                <w:tab w:val="left" w:pos="157"/>
              </w:tabs>
              <w:spacing w:line="237" w:lineRule="auto"/>
              <w:ind w:right="258" w:hanging="99"/>
              <w:rPr>
                <w:sz w:val="14"/>
              </w:rPr>
            </w:pPr>
            <w:r>
              <w:rPr>
                <w:color w:val="231F20"/>
                <w:sz w:val="14"/>
              </w:rPr>
              <w:t xml:space="preserve">Десанка Максимовић: </w:t>
            </w:r>
            <w:r>
              <w:rPr>
                <w:color w:val="231F20"/>
                <w:spacing w:val="-3"/>
                <w:sz w:val="14"/>
              </w:rPr>
              <w:t xml:space="preserve">„Тражим </w:t>
            </w:r>
            <w:r>
              <w:rPr>
                <w:color w:val="231F20"/>
                <w:sz w:val="14"/>
              </w:rPr>
              <w:t>помило­ вање”</w:t>
            </w:r>
            <w:r>
              <w:rPr>
                <w:color w:val="231F20"/>
                <w:spacing w:val="-1"/>
                <w:sz w:val="14"/>
              </w:rPr>
              <w:t xml:space="preserve"> </w:t>
            </w:r>
            <w:r>
              <w:rPr>
                <w:color w:val="231F20"/>
                <w:sz w:val="14"/>
              </w:rPr>
              <w:t>(избор).</w:t>
            </w:r>
          </w:p>
          <w:p w:rsidR="00041039" w:rsidRDefault="001B26CB">
            <w:pPr>
              <w:pStyle w:val="TableParagraph"/>
              <w:numPr>
                <w:ilvl w:val="0"/>
                <w:numId w:val="758"/>
              </w:numPr>
              <w:tabs>
                <w:tab w:val="left" w:pos="157"/>
              </w:tabs>
              <w:spacing w:line="160" w:lineRule="exact"/>
              <w:ind w:right="551" w:hanging="99"/>
              <w:rPr>
                <w:sz w:val="14"/>
              </w:rPr>
            </w:pPr>
            <w:r>
              <w:rPr>
                <w:color w:val="231F20"/>
                <w:spacing w:val="-2"/>
                <w:sz w:val="14"/>
              </w:rPr>
              <w:t xml:space="preserve">Бранко </w:t>
            </w:r>
            <w:r>
              <w:rPr>
                <w:color w:val="231F20"/>
                <w:sz w:val="14"/>
              </w:rPr>
              <w:t>Миљковић: „Поезију ће сви писати”.</w:t>
            </w:r>
          </w:p>
          <w:p w:rsidR="00041039" w:rsidRDefault="001B26CB">
            <w:pPr>
              <w:pStyle w:val="TableParagraph"/>
              <w:numPr>
                <w:ilvl w:val="0"/>
                <w:numId w:val="758"/>
              </w:numPr>
              <w:tabs>
                <w:tab w:val="left" w:pos="157"/>
              </w:tabs>
              <w:spacing w:line="160" w:lineRule="exact"/>
              <w:ind w:right="313" w:hanging="99"/>
              <w:rPr>
                <w:sz w:val="14"/>
              </w:rPr>
            </w:pPr>
            <w:r>
              <w:rPr>
                <w:color w:val="231F20"/>
                <w:sz w:val="14"/>
              </w:rPr>
              <w:t>Стеван Раичковић: „Камена</w:t>
            </w:r>
            <w:r>
              <w:rPr>
                <w:color w:val="231F20"/>
                <w:spacing w:val="-21"/>
                <w:sz w:val="14"/>
              </w:rPr>
              <w:t xml:space="preserve"> </w:t>
            </w:r>
            <w:r>
              <w:rPr>
                <w:color w:val="231F20"/>
                <w:sz w:val="14"/>
              </w:rPr>
              <w:t>успаванка” (избор).</w:t>
            </w:r>
          </w:p>
        </w:tc>
        <w:tc>
          <w:tcPr>
            <w:tcW w:w="2267" w:type="dxa"/>
          </w:tcPr>
          <w:p w:rsidR="00041039" w:rsidRDefault="001B26CB">
            <w:pPr>
              <w:pStyle w:val="TableParagraph"/>
              <w:numPr>
                <w:ilvl w:val="0"/>
                <w:numId w:val="757"/>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757"/>
              </w:numPr>
              <w:tabs>
                <w:tab w:val="left" w:pos="158"/>
              </w:tabs>
              <w:spacing w:line="160" w:lineRule="exact"/>
              <w:ind w:hanging="99"/>
              <w:rPr>
                <w:b/>
                <w:sz w:val="14"/>
              </w:rPr>
            </w:pPr>
            <w:r>
              <w:rPr>
                <w:color w:val="231F20"/>
                <w:sz w:val="14"/>
              </w:rPr>
              <w:t xml:space="preserve">теоријска настава </w:t>
            </w:r>
            <w:r>
              <w:rPr>
                <w:b/>
                <w:color w:val="231F20"/>
                <w:sz w:val="14"/>
              </w:rPr>
              <w:t>(96</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numPr>
                <w:ilvl w:val="0"/>
                <w:numId w:val="75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757"/>
              </w:numPr>
              <w:tabs>
                <w:tab w:val="left" w:pos="158"/>
              </w:tabs>
              <w:spacing w:line="160" w:lineRule="exact"/>
              <w:ind w:right="89" w:hanging="99"/>
              <w:rPr>
                <w:sz w:val="14"/>
              </w:rPr>
            </w:pPr>
            <w:r>
              <w:rPr>
                <w:color w:val="231F20"/>
                <w:sz w:val="14"/>
              </w:rPr>
              <w:t>Могућност обраде савремене драме кроз повезивање са другим медијима ­ драмски текст као по­ зоришна представа, радио драма или ТВ –</w:t>
            </w:r>
            <w:r>
              <w:rPr>
                <w:color w:val="231F20"/>
                <w:spacing w:val="-2"/>
                <w:sz w:val="14"/>
              </w:rPr>
              <w:t xml:space="preserve"> </w:t>
            </w:r>
            <w:r>
              <w:rPr>
                <w:color w:val="231F20"/>
                <w:sz w:val="14"/>
              </w:rPr>
              <w:t>драма.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400"/>
        </w:trPr>
        <w:tc>
          <w:tcPr>
            <w:tcW w:w="1304" w:type="dxa"/>
          </w:tcPr>
          <w:p w:rsidR="00041039" w:rsidRDefault="001B26CB">
            <w:pPr>
              <w:pStyle w:val="TableParagraph"/>
              <w:spacing w:before="18"/>
              <w:ind w:left="56"/>
              <w:rPr>
                <w:sz w:val="14"/>
              </w:rPr>
            </w:pPr>
            <w:r>
              <w:rPr>
                <w:color w:val="231F20"/>
                <w:sz w:val="14"/>
              </w:rPr>
              <w:lastRenderedPageBreak/>
              <w:t>Савремена проза</w:t>
            </w:r>
          </w:p>
        </w:tc>
        <w:tc>
          <w:tcPr>
            <w:tcW w:w="1587" w:type="dxa"/>
          </w:tcPr>
          <w:p w:rsidR="00041039" w:rsidRDefault="001B26CB">
            <w:pPr>
              <w:pStyle w:val="TableParagraph"/>
              <w:numPr>
                <w:ilvl w:val="0"/>
                <w:numId w:val="756"/>
              </w:numPr>
              <w:tabs>
                <w:tab w:val="left" w:pos="157"/>
              </w:tabs>
              <w:spacing w:before="8"/>
              <w:ind w:right="69"/>
              <w:rPr>
                <w:sz w:val="14"/>
              </w:rPr>
            </w:pPr>
            <w:r>
              <w:rPr>
                <w:color w:val="231F20"/>
                <w:sz w:val="14"/>
              </w:rPr>
              <w:t>Упознавање са књижевнотеоријским појмовима, специфи­ чностима савремене прозе, њеним предста­ вницима и</w:t>
            </w:r>
            <w:r>
              <w:rPr>
                <w:color w:val="231F20"/>
                <w:spacing w:val="-3"/>
                <w:sz w:val="14"/>
              </w:rPr>
              <w:t xml:space="preserve"> </w:t>
            </w:r>
            <w:r>
              <w:rPr>
                <w:color w:val="231F20"/>
                <w:sz w:val="14"/>
              </w:rPr>
              <w:t>делима.</w:t>
            </w:r>
          </w:p>
        </w:tc>
        <w:tc>
          <w:tcPr>
            <w:tcW w:w="2551" w:type="dxa"/>
          </w:tcPr>
          <w:p w:rsidR="00041039" w:rsidRDefault="001B26CB">
            <w:pPr>
              <w:pStyle w:val="TableParagraph"/>
              <w:numPr>
                <w:ilvl w:val="0"/>
                <w:numId w:val="755"/>
              </w:numPr>
              <w:tabs>
                <w:tab w:val="left" w:pos="157"/>
              </w:tabs>
              <w:spacing w:before="8"/>
              <w:ind w:right="64" w:hanging="99"/>
              <w:rPr>
                <w:sz w:val="14"/>
              </w:rPr>
            </w:pPr>
            <w:r>
              <w:rPr>
                <w:color w:val="231F20"/>
                <w:sz w:val="14"/>
              </w:rPr>
              <w:t>именује различите прозне врсте и при­ поведне</w:t>
            </w:r>
            <w:r>
              <w:rPr>
                <w:color w:val="231F20"/>
                <w:spacing w:val="-1"/>
                <w:sz w:val="14"/>
              </w:rPr>
              <w:t xml:space="preserve"> </w:t>
            </w:r>
            <w:r>
              <w:rPr>
                <w:color w:val="231F20"/>
                <w:sz w:val="14"/>
              </w:rPr>
              <w:t>поступке;</w:t>
            </w:r>
          </w:p>
          <w:p w:rsidR="00041039" w:rsidRDefault="001B26CB">
            <w:pPr>
              <w:pStyle w:val="TableParagraph"/>
              <w:numPr>
                <w:ilvl w:val="0"/>
                <w:numId w:val="755"/>
              </w:numPr>
              <w:tabs>
                <w:tab w:val="left" w:pos="157"/>
              </w:tabs>
              <w:spacing w:line="160" w:lineRule="exact"/>
              <w:ind w:right="400" w:hanging="99"/>
              <w:rPr>
                <w:sz w:val="14"/>
              </w:rPr>
            </w:pPr>
            <w:r>
              <w:rPr>
                <w:color w:val="231F20"/>
                <w:sz w:val="14"/>
              </w:rPr>
              <w:t>тумачи дело у складу са</w:t>
            </w:r>
            <w:r>
              <w:rPr>
                <w:color w:val="231F20"/>
                <w:spacing w:val="-16"/>
                <w:sz w:val="14"/>
              </w:rPr>
              <w:t xml:space="preserve"> </w:t>
            </w:r>
            <w:r>
              <w:rPr>
                <w:color w:val="231F20"/>
                <w:sz w:val="14"/>
              </w:rPr>
              <w:t>његовим жанровским особеностима;</w:t>
            </w:r>
          </w:p>
          <w:p w:rsidR="00041039" w:rsidRDefault="001B26CB">
            <w:pPr>
              <w:pStyle w:val="TableParagraph"/>
              <w:numPr>
                <w:ilvl w:val="0"/>
                <w:numId w:val="755"/>
              </w:numPr>
              <w:tabs>
                <w:tab w:val="left" w:pos="157"/>
              </w:tabs>
              <w:spacing w:line="160" w:lineRule="exact"/>
              <w:ind w:right="394" w:hanging="99"/>
              <w:rPr>
                <w:sz w:val="14"/>
              </w:rPr>
            </w:pPr>
            <w:r>
              <w:rPr>
                <w:color w:val="231F20"/>
                <w:sz w:val="14"/>
              </w:rPr>
              <w:t xml:space="preserve">интегрише лично искуство </w:t>
            </w:r>
            <w:r>
              <w:rPr>
                <w:color w:val="231F20"/>
                <w:spacing w:val="-3"/>
                <w:sz w:val="14"/>
              </w:rPr>
              <w:t xml:space="preserve">током </w:t>
            </w:r>
            <w:r>
              <w:rPr>
                <w:color w:val="231F20"/>
                <w:sz w:val="14"/>
              </w:rPr>
              <w:t>читања и тумачења</w:t>
            </w:r>
            <w:r>
              <w:rPr>
                <w:color w:val="231F20"/>
                <w:spacing w:val="-3"/>
                <w:sz w:val="14"/>
              </w:rPr>
              <w:t xml:space="preserve"> </w:t>
            </w:r>
            <w:r>
              <w:rPr>
                <w:color w:val="231F20"/>
                <w:sz w:val="14"/>
              </w:rPr>
              <w:t>дела;</w:t>
            </w:r>
          </w:p>
          <w:p w:rsidR="00041039" w:rsidRDefault="001B26CB">
            <w:pPr>
              <w:pStyle w:val="TableParagraph"/>
              <w:numPr>
                <w:ilvl w:val="0"/>
                <w:numId w:val="755"/>
              </w:numPr>
              <w:tabs>
                <w:tab w:val="left" w:pos="157"/>
              </w:tabs>
              <w:spacing w:line="159" w:lineRule="exact"/>
              <w:ind w:hanging="99"/>
              <w:rPr>
                <w:sz w:val="14"/>
              </w:rPr>
            </w:pPr>
            <w:r>
              <w:rPr>
                <w:color w:val="231F20"/>
                <w:sz w:val="14"/>
              </w:rPr>
              <w:t>вреднује дело износећи</w:t>
            </w:r>
            <w:r>
              <w:rPr>
                <w:color w:val="231F20"/>
                <w:spacing w:val="-2"/>
                <w:sz w:val="14"/>
              </w:rPr>
              <w:t xml:space="preserve"> </w:t>
            </w:r>
            <w:r>
              <w:rPr>
                <w:color w:val="231F20"/>
                <w:sz w:val="14"/>
              </w:rPr>
              <w:t>аргументе;</w:t>
            </w:r>
          </w:p>
        </w:tc>
        <w:tc>
          <w:tcPr>
            <w:tcW w:w="2834" w:type="dxa"/>
          </w:tcPr>
          <w:p w:rsidR="00041039" w:rsidRDefault="001B26CB">
            <w:pPr>
              <w:pStyle w:val="TableParagraph"/>
              <w:numPr>
                <w:ilvl w:val="0"/>
                <w:numId w:val="754"/>
              </w:numPr>
              <w:tabs>
                <w:tab w:val="left" w:pos="157"/>
              </w:tabs>
              <w:spacing w:before="8"/>
              <w:ind w:right="271" w:hanging="99"/>
              <w:rPr>
                <w:sz w:val="14"/>
              </w:rPr>
            </w:pPr>
            <w:r>
              <w:rPr>
                <w:color w:val="231F20"/>
                <w:sz w:val="14"/>
              </w:rPr>
              <w:t>Структурни чиниоци прозног књижевноуметничког дела и</w:t>
            </w:r>
            <w:r>
              <w:rPr>
                <w:color w:val="231F20"/>
                <w:spacing w:val="-25"/>
                <w:sz w:val="14"/>
              </w:rPr>
              <w:t xml:space="preserve"> </w:t>
            </w:r>
            <w:r>
              <w:rPr>
                <w:color w:val="231F20"/>
                <w:sz w:val="14"/>
              </w:rPr>
              <w:t>типологија романа.</w:t>
            </w:r>
          </w:p>
          <w:p w:rsidR="00041039" w:rsidRDefault="001B26CB">
            <w:pPr>
              <w:pStyle w:val="TableParagraph"/>
              <w:numPr>
                <w:ilvl w:val="0"/>
                <w:numId w:val="754"/>
              </w:numPr>
              <w:tabs>
                <w:tab w:val="left" w:pos="157"/>
              </w:tabs>
              <w:spacing w:line="152" w:lineRule="exact"/>
              <w:ind w:hanging="99"/>
              <w:rPr>
                <w:sz w:val="14"/>
              </w:rPr>
            </w:pPr>
            <w:r>
              <w:rPr>
                <w:color w:val="231F20"/>
                <w:sz w:val="14"/>
              </w:rPr>
              <w:t>Есеј, Исидора Секулић: „О</w:t>
            </w:r>
            <w:r>
              <w:rPr>
                <w:color w:val="231F20"/>
                <w:spacing w:val="-9"/>
                <w:sz w:val="14"/>
              </w:rPr>
              <w:t xml:space="preserve"> </w:t>
            </w:r>
            <w:r>
              <w:rPr>
                <w:color w:val="231F20"/>
                <w:sz w:val="14"/>
              </w:rPr>
              <w:t>култури”.</w:t>
            </w:r>
          </w:p>
          <w:p w:rsidR="00041039" w:rsidRDefault="001B26CB">
            <w:pPr>
              <w:pStyle w:val="TableParagraph"/>
              <w:numPr>
                <w:ilvl w:val="0"/>
                <w:numId w:val="754"/>
              </w:numPr>
              <w:tabs>
                <w:tab w:val="left" w:pos="157"/>
              </w:tabs>
              <w:spacing w:line="237" w:lineRule="auto"/>
              <w:ind w:right="290" w:hanging="99"/>
              <w:rPr>
                <w:sz w:val="14"/>
              </w:rPr>
            </w:pPr>
            <w:r>
              <w:rPr>
                <w:color w:val="231F20"/>
                <w:sz w:val="14"/>
              </w:rPr>
              <w:t xml:space="preserve">Иво Андрић: „Разговор с </w:t>
            </w:r>
            <w:r>
              <w:rPr>
                <w:color w:val="231F20"/>
                <w:spacing w:val="-3"/>
                <w:sz w:val="14"/>
              </w:rPr>
              <w:t xml:space="preserve">Гојом” </w:t>
            </w:r>
            <w:r>
              <w:rPr>
                <w:color w:val="231F20"/>
                <w:sz w:val="14"/>
              </w:rPr>
              <w:t>или „О причи и</w:t>
            </w:r>
            <w:r>
              <w:rPr>
                <w:color w:val="231F20"/>
                <w:spacing w:val="-3"/>
                <w:sz w:val="14"/>
              </w:rPr>
              <w:t xml:space="preserve"> </w:t>
            </w:r>
            <w:r>
              <w:rPr>
                <w:color w:val="231F20"/>
                <w:sz w:val="14"/>
              </w:rPr>
              <w:t>причању”.</w:t>
            </w:r>
          </w:p>
          <w:p w:rsidR="00041039" w:rsidRDefault="001B26CB">
            <w:pPr>
              <w:pStyle w:val="TableParagraph"/>
              <w:numPr>
                <w:ilvl w:val="0"/>
                <w:numId w:val="754"/>
              </w:numPr>
              <w:tabs>
                <w:tab w:val="left" w:pos="157"/>
              </w:tabs>
              <w:spacing w:line="160" w:lineRule="exact"/>
              <w:ind w:right="529" w:hanging="99"/>
              <w:rPr>
                <w:sz w:val="14"/>
              </w:rPr>
            </w:pPr>
            <w:r>
              <w:rPr>
                <w:color w:val="231F20"/>
                <w:sz w:val="14"/>
              </w:rPr>
              <w:t xml:space="preserve">Приповетка, </w:t>
            </w:r>
            <w:r>
              <w:rPr>
                <w:color w:val="231F20"/>
                <w:spacing w:val="-2"/>
                <w:sz w:val="14"/>
              </w:rPr>
              <w:t xml:space="preserve">Бранко </w:t>
            </w:r>
            <w:r>
              <w:rPr>
                <w:color w:val="231F20"/>
                <w:sz w:val="14"/>
              </w:rPr>
              <w:t>Ћопић: „Башта сљезове боје”</w:t>
            </w:r>
            <w:r>
              <w:rPr>
                <w:color w:val="231F20"/>
                <w:spacing w:val="-1"/>
                <w:sz w:val="14"/>
              </w:rPr>
              <w:t xml:space="preserve"> </w:t>
            </w:r>
            <w:r>
              <w:rPr>
                <w:color w:val="231F20"/>
                <w:sz w:val="14"/>
              </w:rPr>
              <w:t>(избор).</w:t>
            </w:r>
          </w:p>
          <w:p w:rsidR="00041039" w:rsidRDefault="001B26CB">
            <w:pPr>
              <w:pStyle w:val="TableParagraph"/>
              <w:numPr>
                <w:ilvl w:val="0"/>
                <w:numId w:val="754"/>
              </w:numPr>
              <w:tabs>
                <w:tab w:val="left" w:pos="157"/>
              </w:tabs>
              <w:spacing w:line="153" w:lineRule="exact"/>
              <w:ind w:hanging="99"/>
              <w:rPr>
                <w:sz w:val="14"/>
              </w:rPr>
            </w:pPr>
            <w:r>
              <w:rPr>
                <w:color w:val="231F20"/>
                <w:sz w:val="14"/>
              </w:rPr>
              <w:t>Данило Киш:„Енциклопедија</w:t>
            </w:r>
            <w:r>
              <w:rPr>
                <w:color w:val="231F20"/>
                <w:spacing w:val="-3"/>
                <w:sz w:val="14"/>
              </w:rPr>
              <w:t xml:space="preserve"> </w:t>
            </w:r>
            <w:r>
              <w:rPr>
                <w:color w:val="231F20"/>
                <w:sz w:val="14"/>
              </w:rPr>
              <w:t>мртвих”.</w:t>
            </w:r>
          </w:p>
          <w:p w:rsidR="00041039" w:rsidRDefault="001B26CB">
            <w:pPr>
              <w:pStyle w:val="TableParagraph"/>
              <w:numPr>
                <w:ilvl w:val="0"/>
                <w:numId w:val="754"/>
              </w:numPr>
              <w:tabs>
                <w:tab w:val="left" w:pos="157"/>
              </w:tabs>
              <w:spacing w:line="160" w:lineRule="exact"/>
              <w:ind w:hanging="99"/>
              <w:rPr>
                <w:sz w:val="14"/>
              </w:rPr>
            </w:pPr>
            <w:r>
              <w:rPr>
                <w:color w:val="231F20"/>
                <w:sz w:val="14"/>
              </w:rPr>
              <w:t xml:space="preserve">Борхес: </w:t>
            </w:r>
            <w:r>
              <w:rPr>
                <w:color w:val="231F20"/>
                <w:spacing w:val="-4"/>
                <w:sz w:val="14"/>
              </w:rPr>
              <w:t>„Чекање”.</w:t>
            </w:r>
          </w:p>
          <w:p w:rsidR="00041039" w:rsidRDefault="001B26CB">
            <w:pPr>
              <w:pStyle w:val="TableParagraph"/>
              <w:numPr>
                <w:ilvl w:val="0"/>
                <w:numId w:val="754"/>
              </w:numPr>
              <w:tabs>
                <w:tab w:val="left" w:pos="157"/>
              </w:tabs>
              <w:spacing w:line="160" w:lineRule="exact"/>
              <w:ind w:hanging="99"/>
              <w:rPr>
                <w:sz w:val="14"/>
              </w:rPr>
            </w:pPr>
            <w:r>
              <w:rPr>
                <w:color w:val="231F20"/>
                <w:sz w:val="14"/>
              </w:rPr>
              <w:t>Роман. Албер Ками:</w:t>
            </w:r>
            <w:r>
              <w:rPr>
                <w:color w:val="231F20"/>
                <w:spacing w:val="-15"/>
                <w:sz w:val="14"/>
              </w:rPr>
              <w:t xml:space="preserve"> </w:t>
            </w:r>
            <w:r>
              <w:rPr>
                <w:color w:val="231F20"/>
                <w:sz w:val="14"/>
              </w:rPr>
              <w:t>„Странац”.</w:t>
            </w:r>
          </w:p>
          <w:p w:rsidR="00041039" w:rsidRDefault="001B26CB">
            <w:pPr>
              <w:pStyle w:val="TableParagraph"/>
              <w:numPr>
                <w:ilvl w:val="0"/>
                <w:numId w:val="754"/>
              </w:numPr>
              <w:tabs>
                <w:tab w:val="left" w:pos="157"/>
              </w:tabs>
              <w:spacing w:line="160" w:lineRule="exact"/>
              <w:ind w:hanging="99"/>
              <w:rPr>
                <w:sz w:val="14"/>
              </w:rPr>
            </w:pPr>
            <w:r>
              <w:rPr>
                <w:color w:val="231F20"/>
                <w:sz w:val="14"/>
              </w:rPr>
              <w:t>Иво Андрић: „Проклета</w:t>
            </w:r>
            <w:r>
              <w:rPr>
                <w:color w:val="231F20"/>
                <w:spacing w:val="-17"/>
                <w:sz w:val="14"/>
              </w:rPr>
              <w:t xml:space="preserve"> </w:t>
            </w:r>
            <w:r>
              <w:rPr>
                <w:color w:val="231F20"/>
                <w:sz w:val="14"/>
              </w:rPr>
              <w:t>авлија”.</w:t>
            </w:r>
          </w:p>
          <w:p w:rsidR="00041039" w:rsidRDefault="001B26CB">
            <w:pPr>
              <w:pStyle w:val="TableParagraph"/>
              <w:numPr>
                <w:ilvl w:val="0"/>
                <w:numId w:val="754"/>
              </w:numPr>
              <w:tabs>
                <w:tab w:val="left" w:pos="157"/>
              </w:tabs>
              <w:spacing w:line="237" w:lineRule="auto"/>
              <w:ind w:right="107" w:hanging="99"/>
              <w:rPr>
                <w:sz w:val="14"/>
              </w:rPr>
            </w:pPr>
            <w:r>
              <w:rPr>
                <w:color w:val="231F20"/>
                <w:sz w:val="14"/>
              </w:rPr>
              <w:t>Владан Десница: „Прољећа Ивана Галеба” (одломак по избору као пример за</w:t>
            </w:r>
            <w:r>
              <w:rPr>
                <w:color w:val="231F20"/>
                <w:spacing w:val="-20"/>
                <w:sz w:val="14"/>
              </w:rPr>
              <w:t xml:space="preserve"> </w:t>
            </w:r>
            <w:r>
              <w:rPr>
                <w:color w:val="231F20"/>
                <w:sz w:val="14"/>
              </w:rPr>
              <w:t>роман</w:t>
            </w:r>
          </w:p>
          <w:p w:rsidR="00041039" w:rsidRDefault="001B26CB">
            <w:pPr>
              <w:pStyle w:val="TableParagraph"/>
              <w:spacing w:line="155" w:lineRule="exact"/>
              <w:rPr>
                <w:sz w:val="14"/>
              </w:rPr>
            </w:pPr>
            <w:r>
              <w:rPr>
                <w:color w:val="231F20"/>
                <w:sz w:val="14"/>
              </w:rPr>
              <w:t>- есеј).</w:t>
            </w:r>
          </w:p>
          <w:p w:rsidR="00041039" w:rsidRDefault="001B26CB">
            <w:pPr>
              <w:pStyle w:val="TableParagraph"/>
              <w:numPr>
                <w:ilvl w:val="0"/>
                <w:numId w:val="754"/>
              </w:numPr>
              <w:tabs>
                <w:tab w:val="left" w:pos="157"/>
              </w:tabs>
              <w:spacing w:line="160" w:lineRule="exact"/>
              <w:ind w:hanging="99"/>
              <w:rPr>
                <w:sz w:val="14"/>
              </w:rPr>
            </w:pPr>
            <w:r>
              <w:rPr>
                <w:color w:val="231F20"/>
                <w:sz w:val="14"/>
              </w:rPr>
              <w:t>Меша Селимовић: „Дервиш и</w:t>
            </w:r>
            <w:r>
              <w:rPr>
                <w:color w:val="231F20"/>
                <w:spacing w:val="-2"/>
                <w:sz w:val="14"/>
              </w:rPr>
              <w:t xml:space="preserve"> </w:t>
            </w:r>
            <w:r>
              <w:rPr>
                <w:color w:val="231F20"/>
                <w:sz w:val="14"/>
              </w:rPr>
              <w:t>смрт”</w:t>
            </w:r>
          </w:p>
          <w:p w:rsidR="00041039" w:rsidRDefault="001B26CB">
            <w:pPr>
              <w:pStyle w:val="TableParagraph"/>
              <w:numPr>
                <w:ilvl w:val="0"/>
                <w:numId w:val="754"/>
              </w:numPr>
              <w:tabs>
                <w:tab w:val="left" w:pos="157"/>
              </w:tabs>
              <w:spacing w:line="160" w:lineRule="exact"/>
              <w:ind w:hanging="99"/>
              <w:rPr>
                <w:sz w:val="14"/>
              </w:rPr>
            </w:pPr>
            <w:r>
              <w:rPr>
                <w:color w:val="231F20"/>
                <w:sz w:val="14"/>
              </w:rPr>
              <w:t>Добрица Ћосић:</w:t>
            </w:r>
            <w:r>
              <w:rPr>
                <w:color w:val="231F20"/>
                <w:spacing w:val="-2"/>
                <w:sz w:val="14"/>
              </w:rPr>
              <w:t xml:space="preserve"> </w:t>
            </w:r>
            <w:r>
              <w:rPr>
                <w:color w:val="231F20"/>
                <w:sz w:val="14"/>
              </w:rPr>
              <w:t>„Корени”.</w:t>
            </w:r>
          </w:p>
          <w:p w:rsidR="00041039" w:rsidRDefault="001B26CB">
            <w:pPr>
              <w:pStyle w:val="TableParagraph"/>
              <w:numPr>
                <w:ilvl w:val="0"/>
                <w:numId w:val="754"/>
              </w:numPr>
              <w:tabs>
                <w:tab w:val="left" w:pos="157"/>
              </w:tabs>
              <w:spacing w:line="237" w:lineRule="auto"/>
              <w:ind w:right="339" w:hanging="99"/>
              <w:rPr>
                <w:sz w:val="14"/>
              </w:rPr>
            </w:pPr>
            <w:r>
              <w:rPr>
                <w:color w:val="231F20"/>
                <w:sz w:val="14"/>
              </w:rPr>
              <w:t>Добрица Ћосић: „Време смрти” (избор одломака).</w:t>
            </w:r>
          </w:p>
          <w:p w:rsidR="00041039" w:rsidRDefault="001B26CB">
            <w:pPr>
              <w:pStyle w:val="TableParagraph"/>
              <w:numPr>
                <w:ilvl w:val="0"/>
                <w:numId w:val="754"/>
              </w:numPr>
              <w:tabs>
                <w:tab w:val="left" w:pos="157"/>
              </w:tabs>
              <w:spacing w:line="160" w:lineRule="exact"/>
              <w:ind w:right="439" w:hanging="99"/>
              <w:rPr>
                <w:sz w:val="14"/>
              </w:rPr>
            </w:pPr>
            <w:r>
              <w:rPr>
                <w:color w:val="231F20"/>
                <w:sz w:val="14"/>
              </w:rPr>
              <w:t>Књижевна критика. Петар Џаџић:</w:t>
            </w:r>
            <w:r>
              <w:rPr>
                <w:color w:val="231F20"/>
                <w:spacing w:val="-11"/>
                <w:sz w:val="14"/>
              </w:rPr>
              <w:t xml:space="preserve"> </w:t>
            </w:r>
            <w:r>
              <w:rPr>
                <w:color w:val="231F20"/>
                <w:sz w:val="14"/>
              </w:rPr>
              <w:t>„О Проклетој</w:t>
            </w:r>
            <w:r>
              <w:rPr>
                <w:color w:val="231F20"/>
                <w:spacing w:val="-1"/>
                <w:sz w:val="14"/>
              </w:rPr>
              <w:t xml:space="preserve"> </w:t>
            </w:r>
            <w:r>
              <w:rPr>
                <w:color w:val="231F20"/>
                <w:sz w:val="14"/>
              </w:rPr>
              <w:t>авлији”.</w:t>
            </w:r>
          </w:p>
        </w:tc>
        <w:tc>
          <w:tcPr>
            <w:tcW w:w="2267" w:type="dxa"/>
            <w:vMerge w:val="restart"/>
          </w:tcPr>
          <w:p w:rsidR="00041039" w:rsidRDefault="001B26CB">
            <w:pPr>
              <w:pStyle w:val="TableParagraph"/>
              <w:spacing w:before="16"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753"/>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753"/>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753"/>
              </w:numPr>
              <w:tabs>
                <w:tab w:val="left" w:pos="158"/>
              </w:tabs>
              <w:spacing w:line="160" w:lineRule="exact"/>
              <w:ind w:hanging="99"/>
              <w:rPr>
                <w:b/>
                <w:sz w:val="14"/>
              </w:rPr>
            </w:pPr>
            <w:r>
              <w:rPr>
                <w:color w:val="231F20"/>
                <w:sz w:val="14"/>
              </w:rPr>
              <w:t xml:space="preserve">Савремена поезија </w:t>
            </w:r>
            <w:r>
              <w:rPr>
                <w:b/>
                <w:color w:val="231F20"/>
                <w:sz w:val="14"/>
              </w:rPr>
              <w:t>(13</w:t>
            </w:r>
            <w:r>
              <w:rPr>
                <w:b/>
                <w:color w:val="231F20"/>
                <w:spacing w:val="-4"/>
                <w:sz w:val="14"/>
              </w:rPr>
              <w:t xml:space="preserve"> </w:t>
            </w:r>
            <w:r>
              <w:rPr>
                <w:b/>
                <w:color w:val="231F20"/>
                <w:sz w:val="14"/>
              </w:rPr>
              <w:t>часова)</w:t>
            </w:r>
          </w:p>
          <w:p w:rsidR="00041039" w:rsidRDefault="001B26CB">
            <w:pPr>
              <w:pStyle w:val="TableParagraph"/>
              <w:numPr>
                <w:ilvl w:val="0"/>
                <w:numId w:val="753"/>
              </w:numPr>
              <w:tabs>
                <w:tab w:val="left" w:pos="158"/>
              </w:tabs>
              <w:spacing w:line="160" w:lineRule="exact"/>
              <w:ind w:hanging="99"/>
              <w:rPr>
                <w:b/>
                <w:sz w:val="14"/>
              </w:rPr>
            </w:pPr>
            <w:r>
              <w:rPr>
                <w:color w:val="231F20"/>
                <w:sz w:val="14"/>
              </w:rPr>
              <w:t xml:space="preserve">Савремена проза </w:t>
            </w:r>
            <w:r>
              <w:rPr>
                <w:b/>
                <w:color w:val="231F20"/>
                <w:sz w:val="14"/>
              </w:rPr>
              <w:t>(28</w:t>
            </w:r>
            <w:r>
              <w:rPr>
                <w:b/>
                <w:color w:val="231F20"/>
                <w:spacing w:val="-3"/>
                <w:sz w:val="14"/>
              </w:rPr>
              <w:t xml:space="preserve"> </w:t>
            </w:r>
            <w:r>
              <w:rPr>
                <w:b/>
                <w:color w:val="231F20"/>
                <w:sz w:val="14"/>
              </w:rPr>
              <w:t>часова)</w:t>
            </w:r>
          </w:p>
          <w:p w:rsidR="00041039" w:rsidRDefault="001B26CB">
            <w:pPr>
              <w:pStyle w:val="TableParagraph"/>
              <w:numPr>
                <w:ilvl w:val="0"/>
                <w:numId w:val="753"/>
              </w:numPr>
              <w:tabs>
                <w:tab w:val="left" w:pos="158"/>
              </w:tabs>
              <w:spacing w:line="160" w:lineRule="exact"/>
              <w:ind w:hanging="99"/>
              <w:rPr>
                <w:b/>
                <w:sz w:val="14"/>
              </w:rPr>
            </w:pPr>
            <w:r>
              <w:rPr>
                <w:color w:val="231F20"/>
                <w:sz w:val="14"/>
              </w:rPr>
              <w:t xml:space="preserve">Савремена драма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numPr>
                <w:ilvl w:val="0"/>
                <w:numId w:val="753"/>
              </w:numPr>
              <w:tabs>
                <w:tab w:val="left" w:pos="158"/>
              </w:tabs>
              <w:spacing w:line="165" w:lineRule="exact"/>
              <w:ind w:hanging="99"/>
              <w:rPr>
                <w:sz w:val="14"/>
              </w:rPr>
            </w:pPr>
            <w:r>
              <w:rPr>
                <w:color w:val="231F20"/>
                <w:sz w:val="14"/>
              </w:rPr>
              <w:t>Класици светске</w:t>
            </w:r>
            <w:r>
              <w:rPr>
                <w:color w:val="231F20"/>
                <w:spacing w:val="-1"/>
                <w:sz w:val="14"/>
              </w:rPr>
              <w:t xml:space="preserve"> </w:t>
            </w:r>
            <w:r>
              <w:rPr>
                <w:color w:val="231F20"/>
                <w:sz w:val="14"/>
              </w:rPr>
              <w:t>књижевности</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numPr>
                <w:ilvl w:val="0"/>
                <w:numId w:val="753"/>
              </w:numPr>
              <w:tabs>
                <w:tab w:val="left" w:pos="158"/>
              </w:tabs>
              <w:spacing w:line="160" w:lineRule="exact"/>
              <w:ind w:hanging="99"/>
              <w:rPr>
                <w:b/>
                <w:sz w:val="14"/>
              </w:rPr>
            </w:pPr>
            <w:r>
              <w:rPr>
                <w:color w:val="231F20"/>
                <w:sz w:val="14"/>
              </w:rPr>
              <w:t xml:space="preserve">Синтакса </w:t>
            </w:r>
            <w:r>
              <w:rPr>
                <w:b/>
                <w:color w:val="231F20"/>
                <w:sz w:val="14"/>
              </w:rPr>
              <w:t>(8</w:t>
            </w:r>
            <w:r>
              <w:rPr>
                <w:b/>
                <w:color w:val="231F20"/>
                <w:spacing w:val="-10"/>
                <w:sz w:val="14"/>
              </w:rPr>
              <w:t xml:space="preserve"> </w:t>
            </w:r>
            <w:r>
              <w:rPr>
                <w:b/>
                <w:color w:val="231F20"/>
                <w:sz w:val="14"/>
              </w:rPr>
              <w:t>часова)</w:t>
            </w:r>
          </w:p>
          <w:p w:rsidR="00041039" w:rsidRDefault="001B26CB">
            <w:pPr>
              <w:pStyle w:val="TableParagraph"/>
              <w:numPr>
                <w:ilvl w:val="0"/>
                <w:numId w:val="753"/>
              </w:numPr>
              <w:tabs>
                <w:tab w:val="left" w:pos="158"/>
              </w:tabs>
              <w:spacing w:line="160" w:lineRule="exact"/>
              <w:ind w:hanging="99"/>
              <w:rPr>
                <w:b/>
                <w:sz w:val="14"/>
              </w:rPr>
            </w:pPr>
            <w:r>
              <w:rPr>
                <w:color w:val="231F20"/>
                <w:sz w:val="14"/>
              </w:rPr>
              <w:t xml:space="preserve">Правопис </w:t>
            </w:r>
            <w:r>
              <w:rPr>
                <w:b/>
                <w:color w:val="231F20"/>
                <w:sz w:val="14"/>
              </w:rPr>
              <w:t>(6</w:t>
            </w:r>
            <w:r>
              <w:rPr>
                <w:b/>
                <w:color w:val="231F20"/>
                <w:spacing w:val="-12"/>
                <w:sz w:val="14"/>
              </w:rPr>
              <w:t xml:space="preserve"> </w:t>
            </w:r>
            <w:r>
              <w:rPr>
                <w:b/>
                <w:color w:val="231F20"/>
                <w:sz w:val="14"/>
              </w:rPr>
              <w:t>часова)</w:t>
            </w:r>
          </w:p>
          <w:p w:rsidR="00041039" w:rsidRDefault="001B26CB">
            <w:pPr>
              <w:pStyle w:val="TableParagraph"/>
              <w:numPr>
                <w:ilvl w:val="0"/>
                <w:numId w:val="753"/>
              </w:numPr>
              <w:tabs>
                <w:tab w:val="left" w:pos="158"/>
              </w:tabs>
              <w:spacing w:line="166" w:lineRule="exact"/>
              <w:ind w:hanging="99"/>
              <w:rPr>
                <w:b/>
                <w:sz w:val="14"/>
              </w:rPr>
            </w:pPr>
            <w:r>
              <w:rPr>
                <w:color w:val="231F20"/>
                <w:spacing w:val="-3"/>
                <w:sz w:val="14"/>
              </w:rPr>
              <w:t xml:space="preserve">Култура </w:t>
            </w:r>
            <w:r>
              <w:rPr>
                <w:color w:val="231F20"/>
                <w:sz w:val="14"/>
              </w:rPr>
              <w:t xml:space="preserve">изражавања </w:t>
            </w:r>
            <w:r>
              <w:rPr>
                <w:b/>
                <w:color w:val="231F20"/>
                <w:sz w:val="14"/>
              </w:rPr>
              <w:t>(22</w:t>
            </w:r>
            <w:r>
              <w:rPr>
                <w:b/>
                <w:color w:val="231F20"/>
                <w:sz w:val="14"/>
              </w:rPr>
              <w:t xml:space="preserve"> </w:t>
            </w:r>
            <w:r>
              <w:rPr>
                <w:b/>
                <w:color w:val="231F20"/>
                <w:sz w:val="14"/>
              </w:rPr>
              <w:t>часа)</w:t>
            </w:r>
          </w:p>
        </w:tc>
      </w:tr>
      <w:tr w:rsidR="00041039">
        <w:trPr>
          <w:trHeight w:val="1320"/>
        </w:trPr>
        <w:tc>
          <w:tcPr>
            <w:tcW w:w="1304" w:type="dxa"/>
          </w:tcPr>
          <w:p w:rsidR="00041039" w:rsidRDefault="001B26CB">
            <w:pPr>
              <w:pStyle w:val="TableParagraph"/>
              <w:spacing w:before="19"/>
              <w:ind w:left="56"/>
              <w:rPr>
                <w:sz w:val="14"/>
              </w:rPr>
            </w:pPr>
            <w:r>
              <w:rPr>
                <w:color w:val="231F20"/>
                <w:sz w:val="14"/>
              </w:rPr>
              <w:t>Савремена драма</w:t>
            </w:r>
          </w:p>
        </w:tc>
        <w:tc>
          <w:tcPr>
            <w:tcW w:w="1587" w:type="dxa"/>
          </w:tcPr>
          <w:p w:rsidR="00041039" w:rsidRDefault="001B26CB">
            <w:pPr>
              <w:pStyle w:val="TableParagraph"/>
              <w:numPr>
                <w:ilvl w:val="0"/>
                <w:numId w:val="752"/>
              </w:numPr>
              <w:tabs>
                <w:tab w:val="left" w:pos="157"/>
              </w:tabs>
              <w:spacing w:before="9"/>
              <w:ind w:right="238"/>
              <w:rPr>
                <w:sz w:val="14"/>
              </w:rPr>
            </w:pPr>
            <w:r>
              <w:rPr>
                <w:color w:val="231F20"/>
                <w:sz w:val="14"/>
              </w:rPr>
              <w:t>У познавање са основним</w:t>
            </w:r>
            <w:r>
              <w:rPr>
                <w:color w:val="231F20"/>
                <w:spacing w:val="-6"/>
                <w:sz w:val="14"/>
              </w:rPr>
              <w:t xml:space="preserve"> </w:t>
            </w:r>
            <w:r>
              <w:rPr>
                <w:color w:val="231F20"/>
                <w:sz w:val="14"/>
              </w:rPr>
              <w:t>одликама савремене драме, представницима и делима.</w:t>
            </w:r>
          </w:p>
        </w:tc>
        <w:tc>
          <w:tcPr>
            <w:tcW w:w="2551" w:type="dxa"/>
          </w:tcPr>
          <w:p w:rsidR="00041039" w:rsidRDefault="001B26CB">
            <w:pPr>
              <w:pStyle w:val="TableParagraph"/>
              <w:numPr>
                <w:ilvl w:val="0"/>
                <w:numId w:val="751"/>
              </w:numPr>
              <w:tabs>
                <w:tab w:val="left" w:pos="157"/>
              </w:tabs>
              <w:spacing w:before="9"/>
              <w:ind w:right="128" w:hanging="99"/>
              <w:rPr>
                <w:sz w:val="14"/>
              </w:rPr>
            </w:pPr>
            <w:r>
              <w:rPr>
                <w:color w:val="231F20"/>
                <w:sz w:val="14"/>
              </w:rPr>
              <w:t>увиди разлику између традиционалне и савремене</w:t>
            </w:r>
            <w:r>
              <w:rPr>
                <w:color w:val="231F20"/>
                <w:spacing w:val="-1"/>
                <w:sz w:val="14"/>
              </w:rPr>
              <w:t xml:space="preserve"> </w:t>
            </w:r>
            <w:r>
              <w:rPr>
                <w:color w:val="231F20"/>
                <w:sz w:val="14"/>
              </w:rPr>
              <w:t>драме;</w:t>
            </w:r>
          </w:p>
          <w:p w:rsidR="00041039" w:rsidRDefault="001B26CB">
            <w:pPr>
              <w:pStyle w:val="TableParagraph"/>
              <w:numPr>
                <w:ilvl w:val="0"/>
                <w:numId w:val="751"/>
              </w:numPr>
              <w:tabs>
                <w:tab w:val="left" w:pos="157"/>
              </w:tabs>
              <w:spacing w:line="160" w:lineRule="exact"/>
              <w:ind w:right="198" w:hanging="99"/>
              <w:rPr>
                <w:sz w:val="14"/>
              </w:rPr>
            </w:pPr>
            <w:r>
              <w:rPr>
                <w:color w:val="231F20"/>
                <w:sz w:val="14"/>
              </w:rPr>
              <w:t>упореди драмски књижевни текст</w:t>
            </w:r>
            <w:r>
              <w:rPr>
                <w:color w:val="231F20"/>
                <w:spacing w:val="-7"/>
                <w:sz w:val="14"/>
              </w:rPr>
              <w:t xml:space="preserve"> </w:t>
            </w:r>
            <w:r>
              <w:rPr>
                <w:color w:val="231F20"/>
                <w:sz w:val="14"/>
              </w:rPr>
              <w:t>са другим облицима његове интерпре­ тације;</w:t>
            </w:r>
          </w:p>
          <w:p w:rsidR="00041039" w:rsidRDefault="001B26CB">
            <w:pPr>
              <w:pStyle w:val="TableParagraph"/>
              <w:numPr>
                <w:ilvl w:val="0"/>
                <w:numId w:val="751"/>
              </w:numPr>
              <w:tabs>
                <w:tab w:val="left" w:pos="157"/>
              </w:tabs>
              <w:spacing w:line="160" w:lineRule="exact"/>
              <w:ind w:right="44" w:hanging="99"/>
              <w:rPr>
                <w:sz w:val="14"/>
              </w:rPr>
            </w:pPr>
            <w:r>
              <w:rPr>
                <w:color w:val="231F20"/>
                <w:sz w:val="14"/>
              </w:rPr>
              <w:t>формулише</w:t>
            </w:r>
            <w:r>
              <w:rPr>
                <w:color w:val="231F20"/>
                <w:spacing w:val="-7"/>
                <w:sz w:val="14"/>
              </w:rPr>
              <w:t xml:space="preserve"> </w:t>
            </w:r>
            <w:r>
              <w:rPr>
                <w:color w:val="231F20"/>
                <w:sz w:val="14"/>
              </w:rPr>
              <w:t>личне</w:t>
            </w:r>
            <w:r>
              <w:rPr>
                <w:color w:val="231F20"/>
                <w:spacing w:val="-7"/>
                <w:sz w:val="14"/>
              </w:rPr>
              <w:t xml:space="preserve"> </w:t>
            </w:r>
            <w:r>
              <w:rPr>
                <w:color w:val="231F20"/>
                <w:sz w:val="14"/>
              </w:rPr>
              <w:t>утиске</w:t>
            </w:r>
            <w:r>
              <w:rPr>
                <w:color w:val="231F20"/>
                <w:spacing w:val="-6"/>
                <w:sz w:val="14"/>
              </w:rPr>
              <w:t xml:space="preserve"> </w:t>
            </w:r>
            <w:r>
              <w:rPr>
                <w:color w:val="231F20"/>
                <w:sz w:val="14"/>
              </w:rPr>
              <w:t>и</w:t>
            </w:r>
            <w:r>
              <w:rPr>
                <w:color w:val="231F20"/>
                <w:spacing w:val="-7"/>
                <w:sz w:val="14"/>
              </w:rPr>
              <w:t xml:space="preserve"> </w:t>
            </w:r>
            <w:r>
              <w:rPr>
                <w:color w:val="231F20"/>
                <w:sz w:val="14"/>
              </w:rPr>
              <w:t>запажања</w:t>
            </w:r>
            <w:r>
              <w:rPr>
                <w:color w:val="231F20"/>
                <w:spacing w:val="-7"/>
                <w:sz w:val="14"/>
              </w:rPr>
              <w:t xml:space="preserve"> </w:t>
            </w:r>
            <w:r>
              <w:rPr>
                <w:color w:val="231F20"/>
                <w:sz w:val="14"/>
              </w:rPr>
              <w:t>о драмском</w:t>
            </w:r>
            <w:r>
              <w:rPr>
                <w:color w:val="231F20"/>
                <w:spacing w:val="-1"/>
                <w:sz w:val="14"/>
              </w:rPr>
              <w:t xml:space="preserve"> </w:t>
            </w:r>
            <w:r>
              <w:rPr>
                <w:color w:val="231F20"/>
                <w:sz w:val="14"/>
              </w:rPr>
              <w:t>делу;</w:t>
            </w:r>
          </w:p>
        </w:tc>
        <w:tc>
          <w:tcPr>
            <w:tcW w:w="2834" w:type="dxa"/>
          </w:tcPr>
          <w:p w:rsidR="00041039" w:rsidRDefault="001B26CB">
            <w:pPr>
              <w:pStyle w:val="TableParagraph"/>
              <w:numPr>
                <w:ilvl w:val="0"/>
                <w:numId w:val="750"/>
              </w:numPr>
              <w:tabs>
                <w:tab w:val="left" w:pos="157"/>
              </w:tabs>
              <w:spacing w:before="9" w:line="166" w:lineRule="exact"/>
              <w:ind w:hanging="99"/>
              <w:rPr>
                <w:sz w:val="14"/>
              </w:rPr>
            </w:pPr>
            <w:r>
              <w:rPr>
                <w:color w:val="231F20"/>
                <w:sz w:val="14"/>
              </w:rPr>
              <w:t>Одлике савремене</w:t>
            </w:r>
            <w:r>
              <w:rPr>
                <w:color w:val="231F20"/>
                <w:spacing w:val="-1"/>
                <w:sz w:val="14"/>
              </w:rPr>
              <w:t xml:space="preserve"> </w:t>
            </w:r>
            <w:r>
              <w:rPr>
                <w:color w:val="231F20"/>
                <w:sz w:val="14"/>
              </w:rPr>
              <w:t>драме.</w:t>
            </w:r>
          </w:p>
          <w:p w:rsidR="00041039" w:rsidRDefault="001B26CB">
            <w:pPr>
              <w:pStyle w:val="TableParagraph"/>
              <w:numPr>
                <w:ilvl w:val="0"/>
                <w:numId w:val="750"/>
              </w:numPr>
              <w:tabs>
                <w:tab w:val="left" w:pos="157"/>
              </w:tabs>
              <w:spacing w:line="160" w:lineRule="exact"/>
              <w:ind w:hanging="99"/>
              <w:rPr>
                <w:sz w:val="14"/>
              </w:rPr>
            </w:pPr>
            <w:r>
              <w:rPr>
                <w:color w:val="231F20"/>
                <w:sz w:val="14"/>
              </w:rPr>
              <w:t xml:space="preserve">С. Бекет: </w:t>
            </w:r>
            <w:r>
              <w:rPr>
                <w:color w:val="231F20"/>
                <w:spacing w:val="-4"/>
                <w:sz w:val="14"/>
              </w:rPr>
              <w:t>„Чекајући</w:t>
            </w:r>
            <w:r>
              <w:rPr>
                <w:color w:val="231F20"/>
                <w:sz w:val="14"/>
              </w:rPr>
              <w:t xml:space="preserve"> </w:t>
            </w:r>
            <w:r>
              <w:rPr>
                <w:color w:val="231F20"/>
                <w:spacing w:val="-3"/>
                <w:sz w:val="14"/>
              </w:rPr>
              <w:t>Годоа”.</w:t>
            </w:r>
          </w:p>
          <w:p w:rsidR="00041039" w:rsidRDefault="001B26CB">
            <w:pPr>
              <w:pStyle w:val="TableParagraph"/>
              <w:numPr>
                <w:ilvl w:val="0"/>
                <w:numId w:val="750"/>
              </w:numPr>
              <w:tabs>
                <w:tab w:val="left" w:pos="157"/>
              </w:tabs>
              <w:spacing w:line="160" w:lineRule="exact"/>
              <w:ind w:hanging="99"/>
              <w:rPr>
                <w:sz w:val="14"/>
              </w:rPr>
            </w:pPr>
            <w:r>
              <w:rPr>
                <w:color w:val="231F20"/>
                <w:sz w:val="14"/>
              </w:rPr>
              <w:t>Душан Ковачевић: „Балкански</w:t>
            </w:r>
            <w:r>
              <w:rPr>
                <w:color w:val="231F20"/>
                <w:spacing w:val="-9"/>
                <w:sz w:val="14"/>
              </w:rPr>
              <w:t xml:space="preserve"> </w:t>
            </w:r>
            <w:r>
              <w:rPr>
                <w:color w:val="231F20"/>
                <w:sz w:val="14"/>
              </w:rPr>
              <w:t>шпијун”.</w:t>
            </w:r>
          </w:p>
          <w:p w:rsidR="00041039" w:rsidRDefault="001B26CB">
            <w:pPr>
              <w:pStyle w:val="TableParagraph"/>
              <w:numPr>
                <w:ilvl w:val="0"/>
                <w:numId w:val="750"/>
              </w:numPr>
              <w:tabs>
                <w:tab w:val="left" w:pos="157"/>
              </w:tabs>
              <w:spacing w:line="237" w:lineRule="auto"/>
              <w:ind w:right="372" w:hanging="99"/>
              <w:rPr>
                <w:sz w:val="14"/>
              </w:rPr>
            </w:pPr>
            <w:r>
              <w:rPr>
                <w:color w:val="231F20"/>
                <w:sz w:val="14"/>
              </w:rPr>
              <w:t>Драмска књижевност и други медији</w:t>
            </w:r>
            <w:r>
              <w:rPr>
                <w:color w:val="231F20"/>
                <w:spacing w:val="-13"/>
                <w:sz w:val="14"/>
              </w:rPr>
              <w:t xml:space="preserve"> </w:t>
            </w:r>
            <w:r>
              <w:rPr>
                <w:color w:val="231F20"/>
                <w:sz w:val="14"/>
              </w:rPr>
              <w:t xml:space="preserve">­ Б. Пекић: </w:t>
            </w:r>
            <w:r>
              <w:rPr>
                <w:color w:val="231F20"/>
                <w:spacing w:val="-7"/>
                <w:sz w:val="14"/>
              </w:rPr>
              <w:t xml:space="preserve">„Чај </w:t>
            </w:r>
            <w:r>
              <w:rPr>
                <w:color w:val="231F20"/>
                <w:sz w:val="14"/>
              </w:rPr>
              <w:t>у пет” или А.</w:t>
            </w:r>
            <w:r>
              <w:rPr>
                <w:color w:val="231F20"/>
                <w:spacing w:val="-13"/>
                <w:sz w:val="14"/>
              </w:rPr>
              <w:t xml:space="preserve"> </w:t>
            </w:r>
            <w:r>
              <w:rPr>
                <w:color w:val="231F20"/>
                <w:sz w:val="14"/>
              </w:rPr>
              <w:t>Поповић:</w:t>
            </w:r>
          </w:p>
          <w:p w:rsidR="00041039" w:rsidRDefault="001B26CB">
            <w:pPr>
              <w:pStyle w:val="TableParagraph"/>
              <w:spacing w:line="237" w:lineRule="auto"/>
              <w:ind w:right="557"/>
              <w:rPr>
                <w:sz w:val="14"/>
              </w:rPr>
            </w:pPr>
            <w:r>
              <w:rPr>
                <w:color w:val="231F20"/>
                <w:sz w:val="14"/>
              </w:rPr>
              <w:t>„Развојни пут Боре шнајдера” или Љ. Симовић: „Путујуће позориште Шопаловић”.</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6" w:right="226"/>
              <w:rPr>
                <w:sz w:val="14"/>
              </w:rPr>
            </w:pPr>
            <w:r>
              <w:rPr>
                <w:color w:val="231F20"/>
                <w:sz w:val="14"/>
              </w:rPr>
              <w:t>Класици светске књижевности</w:t>
            </w:r>
          </w:p>
        </w:tc>
        <w:tc>
          <w:tcPr>
            <w:tcW w:w="1587" w:type="dxa"/>
          </w:tcPr>
          <w:p w:rsidR="00041039" w:rsidRDefault="001B26CB">
            <w:pPr>
              <w:pStyle w:val="TableParagraph"/>
              <w:numPr>
                <w:ilvl w:val="0"/>
                <w:numId w:val="749"/>
              </w:numPr>
              <w:tabs>
                <w:tab w:val="left" w:pos="157"/>
              </w:tabs>
              <w:spacing w:before="9"/>
              <w:ind w:right="100"/>
              <w:rPr>
                <w:sz w:val="14"/>
              </w:rPr>
            </w:pPr>
            <w:r>
              <w:rPr>
                <w:color w:val="231F20"/>
                <w:sz w:val="14"/>
              </w:rPr>
              <w:t>Упознавање са</w:t>
            </w:r>
            <w:r>
              <w:rPr>
                <w:color w:val="231F20"/>
                <w:spacing w:val="-21"/>
                <w:sz w:val="14"/>
              </w:rPr>
              <w:t xml:space="preserve"> </w:t>
            </w:r>
            <w:r>
              <w:rPr>
                <w:color w:val="231F20"/>
                <w:sz w:val="14"/>
              </w:rPr>
              <w:t>писци­ ма и делима светске књижевне</w:t>
            </w:r>
            <w:r>
              <w:rPr>
                <w:color w:val="231F20"/>
                <w:spacing w:val="-1"/>
                <w:sz w:val="14"/>
              </w:rPr>
              <w:t xml:space="preserve"> </w:t>
            </w:r>
            <w:r>
              <w:rPr>
                <w:color w:val="231F20"/>
                <w:sz w:val="14"/>
              </w:rPr>
              <w:t>баштине</w:t>
            </w:r>
          </w:p>
        </w:tc>
        <w:tc>
          <w:tcPr>
            <w:tcW w:w="2551" w:type="dxa"/>
          </w:tcPr>
          <w:p w:rsidR="00041039" w:rsidRDefault="001B26CB">
            <w:pPr>
              <w:pStyle w:val="TableParagraph"/>
              <w:numPr>
                <w:ilvl w:val="0"/>
                <w:numId w:val="748"/>
              </w:numPr>
              <w:tabs>
                <w:tab w:val="left" w:pos="157"/>
              </w:tabs>
              <w:spacing w:before="9"/>
              <w:ind w:right="334" w:hanging="99"/>
              <w:rPr>
                <w:sz w:val="14"/>
              </w:rPr>
            </w:pPr>
            <w:r>
              <w:rPr>
                <w:color w:val="231F20"/>
                <w:sz w:val="14"/>
              </w:rPr>
              <w:t>препозна свевременост обрађених тема;</w:t>
            </w:r>
          </w:p>
          <w:p w:rsidR="00041039" w:rsidRDefault="001B26CB">
            <w:pPr>
              <w:pStyle w:val="TableParagraph"/>
              <w:numPr>
                <w:ilvl w:val="0"/>
                <w:numId w:val="748"/>
              </w:numPr>
              <w:tabs>
                <w:tab w:val="left" w:pos="157"/>
              </w:tabs>
              <w:spacing w:line="160" w:lineRule="exact"/>
              <w:ind w:right="137" w:hanging="99"/>
              <w:rPr>
                <w:sz w:val="14"/>
              </w:rPr>
            </w:pPr>
            <w:r>
              <w:rPr>
                <w:color w:val="231F20"/>
                <w:sz w:val="14"/>
              </w:rPr>
              <w:t>тумачи дела износећи своја</w:t>
            </w:r>
            <w:r>
              <w:rPr>
                <w:color w:val="231F20"/>
                <w:spacing w:val="-19"/>
                <w:sz w:val="14"/>
              </w:rPr>
              <w:t xml:space="preserve"> </w:t>
            </w:r>
            <w:r>
              <w:rPr>
                <w:color w:val="231F20"/>
                <w:sz w:val="14"/>
              </w:rPr>
              <w:t>запажања и утиске и образложења о</w:t>
            </w:r>
            <w:r>
              <w:rPr>
                <w:color w:val="231F20"/>
                <w:spacing w:val="-7"/>
                <w:sz w:val="14"/>
              </w:rPr>
              <w:t xml:space="preserve"> </w:t>
            </w:r>
            <w:r>
              <w:rPr>
                <w:color w:val="231F20"/>
                <w:sz w:val="14"/>
              </w:rPr>
              <w:t>њима;</w:t>
            </w:r>
          </w:p>
        </w:tc>
        <w:tc>
          <w:tcPr>
            <w:tcW w:w="2834" w:type="dxa"/>
          </w:tcPr>
          <w:p w:rsidR="00041039" w:rsidRDefault="001B26CB">
            <w:pPr>
              <w:pStyle w:val="TableParagraph"/>
              <w:numPr>
                <w:ilvl w:val="0"/>
                <w:numId w:val="747"/>
              </w:numPr>
              <w:tabs>
                <w:tab w:val="left" w:pos="158"/>
              </w:tabs>
              <w:spacing w:before="9" w:line="166" w:lineRule="exact"/>
              <w:rPr>
                <w:sz w:val="14"/>
              </w:rPr>
            </w:pPr>
            <w:r>
              <w:rPr>
                <w:color w:val="231F20"/>
                <w:sz w:val="14"/>
              </w:rPr>
              <w:t>В: Шекспир:</w:t>
            </w:r>
            <w:r>
              <w:rPr>
                <w:color w:val="231F20"/>
                <w:spacing w:val="-1"/>
                <w:sz w:val="14"/>
              </w:rPr>
              <w:t xml:space="preserve"> </w:t>
            </w:r>
            <w:r>
              <w:rPr>
                <w:color w:val="231F20"/>
                <w:sz w:val="14"/>
              </w:rPr>
              <w:t>„Хамлет”.</w:t>
            </w:r>
          </w:p>
          <w:p w:rsidR="00041039" w:rsidRDefault="001B26CB">
            <w:pPr>
              <w:pStyle w:val="TableParagraph"/>
              <w:numPr>
                <w:ilvl w:val="0"/>
                <w:numId w:val="747"/>
              </w:numPr>
              <w:tabs>
                <w:tab w:val="left" w:pos="158"/>
              </w:tabs>
              <w:spacing w:line="160" w:lineRule="exact"/>
              <w:rPr>
                <w:sz w:val="14"/>
              </w:rPr>
            </w:pPr>
            <w:r>
              <w:rPr>
                <w:color w:val="231F20"/>
                <w:sz w:val="14"/>
              </w:rPr>
              <w:t>Е. А. По:</w:t>
            </w:r>
            <w:r>
              <w:rPr>
                <w:color w:val="231F20"/>
                <w:spacing w:val="-3"/>
                <w:sz w:val="14"/>
              </w:rPr>
              <w:t xml:space="preserve"> </w:t>
            </w:r>
            <w:r>
              <w:rPr>
                <w:color w:val="231F20"/>
                <w:sz w:val="14"/>
              </w:rPr>
              <w:t>„Гавран”.</w:t>
            </w:r>
          </w:p>
          <w:p w:rsidR="00041039" w:rsidRDefault="001B26CB">
            <w:pPr>
              <w:pStyle w:val="TableParagraph"/>
              <w:numPr>
                <w:ilvl w:val="0"/>
                <w:numId w:val="747"/>
              </w:numPr>
              <w:tabs>
                <w:tab w:val="left" w:pos="158"/>
              </w:tabs>
              <w:spacing w:line="166" w:lineRule="exact"/>
              <w:rPr>
                <w:sz w:val="14"/>
              </w:rPr>
            </w:pPr>
            <w:r>
              <w:rPr>
                <w:color w:val="231F20"/>
                <w:sz w:val="14"/>
              </w:rPr>
              <w:t>Ф. М: Достојевски: „Злочин и</w:t>
            </w:r>
            <w:r>
              <w:rPr>
                <w:color w:val="231F20"/>
                <w:spacing w:val="-7"/>
                <w:sz w:val="14"/>
              </w:rPr>
              <w:t xml:space="preserve"> </w:t>
            </w:r>
            <w:r>
              <w:rPr>
                <w:color w:val="231F20"/>
                <w:sz w:val="14"/>
              </w:rPr>
              <w:t>казна”.</w:t>
            </w:r>
          </w:p>
        </w:tc>
        <w:tc>
          <w:tcPr>
            <w:tcW w:w="2267" w:type="dxa"/>
            <w:vMerge/>
            <w:tcBorders>
              <w:top w:val="nil"/>
            </w:tcBorders>
          </w:tcPr>
          <w:p w:rsidR="00041039" w:rsidRDefault="00041039">
            <w:pPr>
              <w:rPr>
                <w:sz w:val="2"/>
                <w:szCs w:val="2"/>
              </w:rPr>
            </w:pPr>
          </w:p>
        </w:tc>
      </w:tr>
      <w:tr w:rsidR="00041039">
        <w:trPr>
          <w:trHeight w:val="2440"/>
        </w:trPr>
        <w:tc>
          <w:tcPr>
            <w:tcW w:w="1304" w:type="dxa"/>
          </w:tcPr>
          <w:p w:rsidR="00041039" w:rsidRDefault="001B26CB">
            <w:pPr>
              <w:pStyle w:val="TableParagraph"/>
              <w:spacing w:before="19"/>
              <w:ind w:left="57"/>
              <w:rPr>
                <w:sz w:val="14"/>
              </w:rPr>
            </w:pPr>
            <w:r>
              <w:rPr>
                <w:color w:val="231F20"/>
                <w:sz w:val="14"/>
              </w:rPr>
              <w:t>Синтакса</w:t>
            </w:r>
          </w:p>
        </w:tc>
        <w:tc>
          <w:tcPr>
            <w:tcW w:w="1587" w:type="dxa"/>
          </w:tcPr>
          <w:p w:rsidR="00041039" w:rsidRDefault="001B26CB">
            <w:pPr>
              <w:pStyle w:val="TableParagraph"/>
              <w:numPr>
                <w:ilvl w:val="0"/>
                <w:numId w:val="746"/>
              </w:numPr>
              <w:tabs>
                <w:tab w:val="left" w:pos="157"/>
              </w:tabs>
              <w:spacing w:before="9"/>
              <w:ind w:right="299" w:hanging="99"/>
              <w:rPr>
                <w:sz w:val="14"/>
              </w:rPr>
            </w:pPr>
            <w:r>
              <w:rPr>
                <w:color w:val="231F20"/>
                <w:sz w:val="14"/>
              </w:rPr>
              <w:t>Систематизовање знања из</w:t>
            </w:r>
            <w:r>
              <w:rPr>
                <w:color w:val="231F20"/>
                <w:spacing w:val="-8"/>
                <w:sz w:val="14"/>
              </w:rPr>
              <w:t xml:space="preserve"> </w:t>
            </w:r>
            <w:r>
              <w:rPr>
                <w:color w:val="231F20"/>
                <w:sz w:val="14"/>
              </w:rPr>
              <w:t>синтаксе.</w:t>
            </w:r>
          </w:p>
        </w:tc>
        <w:tc>
          <w:tcPr>
            <w:tcW w:w="2551" w:type="dxa"/>
          </w:tcPr>
          <w:p w:rsidR="00041039" w:rsidRDefault="001B26CB">
            <w:pPr>
              <w:pStyle w:val="TableParagraph"/>
              <w:numPr>
                <w:ilvl w:val="0"/>
                <w:numId w:val="745"/>
              </w:numPr>
              <w:tabs>
                <w:tab w:val="left" w:pos="157"/>
              </w:tabs>
              <w:spacing w:before="9"/>
              <w:ind w:right="43" w:hanging="99"/>
              <w:rPr>
                <w:sz w:val="14"/>
              </w:rPr>
            </w:pPr>
            <w:r>
              <w:rPr>
                <w:color w:val="231F20"/>
                <w:sz w:val="14"/>
              </w:rPr>
              <w:t>одреди синтаксичке јединице и</w:t>
            </w:r>
            <w:r>
              <w:rPr>
                <w:color w:val="231F20"/>
                <w:spacing w:val="-14"/>
                <w:sz w:val="14"/>
              </w:rPr>
              <w:t xml:space="preserve"> </w:t>
            </w:r>
            <w:r>
              <w:rPr>
                <w:color w:val="231F20"/>
                <w:spacing w:val="-3"/>
                <w:sz w:val="14"/>
              </w:rPr>
              <w:t xml:space="preserve">њихову </w:t>
            </w:r>
            <w:r>
              <w:rPr>
                <w:color w:val="231F20"/>
                <w:sz w:val="14"/>
              </w:rPr>
              <w:t>функцију;</w:t>
            </w:r>
          </w:p>
          <w:p w:rsidR="00041039" w:rsidRDefault="001B26CB">
            <w:pPr>
              <w:pStyle w:val="TableParagraph"/>
              <w:numPr>
                <w:ilvl w:val="0"/>
                <w:numId w:val="745"/>
              </w:numPr>
              <w:tabs>
                <w:tab w:val="left" w:pos="157"/>
              </w:tabs>
              <w:spacing w:line="160" w:lineRule="exact"/>
              <w:ind w:right="125" w:hanging="99"/>
              <w:rPr>
                <w:sz w:val="14"/>
              </w:rPr>
            </w:pPr>
            <w:r>
              <w:rPr>
                <w:color w:val="231F20"/>
                <w:sz w:val="14"/>
              </w:rPr>
              <w:t>одреди типове независних и</w:t>
            </w:r>
            <w:r>
              <w:rPr>
                <w:color w:val="231F20"/>
                <w:spacing w:val="-22"/>
                <w:sz w:val="14"/>
              </w:rPr>
              <w:t xml:space="preserve"> </w:t>
            </w:r>
            <w:r>
              <w:rPr>
                <w:color w:val="231F20"/>
                <w:sz w:val="14"/>
              </w:rPr>
              <w:t>зависних реченица, типове синтагми и типове напоредних</w:t>
            </w:r>
            <w:r>
              <w:rPr>
                <w:color w:val="231F20"/>
                <w:spacing w:val="-1"/>
                <w:sz w:val="14"/>
              </w:rPr>
              <w:t xml:space="preserve"> </w:t>
            </w:r>
            <w:r>
              <w:rPr>
                <w:color w:val="231F20"/>
                <w:sz w:val="14"/>
              </w:rPr>
              <w:t>конструкција;</w:t>
            </w:r>
          </w:p>
          <w:p w:rsidR="00041039" w:rsidRDefault="001B26CB">
            <w:pPr>
              <w:pStyle w:val="TableParagraph"/>
              <w:numPr>
                <w:ilvl w:val="0"/>
                <w:numId w:val="745"/>
              </w:numPr>
              <w:tabs>
                <w:tab w:val="left" w:pos="157"/>
              </w:tabs>
              <w:spacing w:line="153" w:lineRule="exact"/>
              <w:ind w:hanging="99"/>
              <w:rPr>
                <w:sz w:val="14"/>
              </w:rPr>
            </w:pPr>
            <w:r>
              <w:rPr>
                <w:color w:val="231F20"/>
                <w:sz w:val="14"/>
              </w:rPr>
              <w:t>разуме појам</w:t>
            </w:r>
            <w:r>
              <w:rPr>
                <w:color w:val="231F20"/>
                <w:spacing w:val="-3"/>
                <w:sz w:val="14"/>
              </w:rPr>
              <w:t xml:space="preserve"> </w:t>
            </w:r>
            <w:r>
              <w:rPr>
                <w:color w:val="231F20"/>
                <w:sz w:val="14"/>
              </w:rPr>
              <w:t>конгруенције;</w:t>
            </w:r>
          </w:p>
          <w:p w:rsidR="00041039" w:rsidRDefault="001B26CB">
            <w:pPr>
              <w:pStyle w:val="TableParagraph"/>
              <w:numPr>
                <w:ilvl w:val="0"/>
                <w:numId w:val="745"/>
              </w:numPr>
              <w:tabs>
                <w:tab w:val="left" w:pos="157"/>
              </w:tabs>
              <w:spacing w:line="166" w:lineRule="exact"/>
              <w:ind w:hanging="99"/>
              <w:rPr>
                <w:sz w:val="14"/>
              </w:rPr>
            </w:pPr>
            <w:r>
              <w:rPr>
                <w:color w:val="231F20"/>
                <w:sz w:val="14"/>
              </w:rPr>
              <w:t>познаје систем глаголских</w:t>
            </w:r>
            <w:r>
              <w:rPr>
                <w:color w:val="231F20"/>
                <w:spacing w:val="-10"/>
                <w:sz w:val="14"/>
              </w:rPr>
              <w:t xml:space="preserve"> </w:t>
            </w:r>
            <w:r>
              <w:rPr>
                <w:color w:val="231F20"/>
                <w:sz w:val="14"/>
              </w:rPr>
              <w:t>облика;</w:t>
            </w:r>
          </w:p>
        </w:tc>
        <w:tc>
          <w:tcPr>
            <w:tcW w:w="2834" w:type="dxa"/>
          </w:tcPr>
          <w:p w:rsidR="00041039" w:rsidRDefault="001B26CB">
            <w:pPr>
              <w:pStyle w:val="TableParagraph"/>
              <w:numPr>
                <w:ilvl w:val="0"/>
                <w:numId w:val="744"/>
              </w:numPr>
              <w:tabs>
                <w:tab w:val="left" w:pos="158"/>
              </w:tabs>
              <w:spacing w:before="9"/>
              <w:ind w:right="86"/>
              <w:rPr>
                <w:sz w:val="14"/>
              </w:rPr>
            </w:pPr>
            <w:r>
              <w:rPr>
                <w:color w:val="231F20"/>
                <w:sz w:val="14"/>
              </w:rPr>
              <w:t>Синтаксичке јединице (комуникативна реченица, предикатска реченица,</w:t>
            </w:r>
            <w:r>
              <w:rPr>
                <w:color w:val="231F20"/>
                <w:spacing w:val="-21"/>
                <w:sz w:val="14"/>
              </w:rPr>
              <w:t xml:space="preserve"> </w:t>
            </w:r>
            <w:r>
              <w:rPr>
                <w:color w:val="231F20"/>
                <w:sz w:val="14"/>
              </w:rPr>
              <w:t>синтагма, реч).</w:t>
            </w:r>
          </w:p>
          <w:p w:rsidR="00041039" w:rsidRDefault="001B26CB">
            <w:pPr>
              <w:pStyle w:val="TableParagraph"/>
              <w:numPr>
                <w:ilvl w:val="0"/>
                <w:numId w:val="744"/>
              </w:numPr>
              <w:tabs>
                <w:tab w:val="left" w:pos="158"/>
              </w:tabs>
              <w:spacing w:line="157" w:lineRule="exact"/>
              <w:rPr>
                <w:sz w:val="14"/>
              </w:rPr>
            </w:pPr>
            <w:r>
              <w:rPr>
                <w:color w:val="231F20"/>
                <w:sz w:val="14"/>
              </w:rPr>
              <w:t>Основне реченичне и</w:t>
            </w:r>
            <w:r>
              <w:rPr>
                <w:color w:val="231F20"/>
                <w:spacing w:val="-5"/>
                <w:sz w:val="14"/>
              </w:rPr>
              <w:t xml:space="preserve"> </w:t>
            </w:r>
            <w:r>
              <w:rPr>
                <w:color w:val="231F20"/>
                <w:sz w:val="14"/>
              </w:rPr>
              <w:t>синтагматске</w:t>
            </w:r>
          </w:p>
          <w:p w:rsidR="00041039" w:rsidRDefault="001B26CB">
            <w:pPr>
              <w:pStyle w:val="TableParagraph"/>
              <w:spacing w:line="155" w:lineRule="exact"/>
              <w:ind w:left="157"/>
              <w:rPr>
                <w:sz w:val="14"/>
              </w:rPr>
            </w:pPr>
            <w:r>
              <w:rPr>
                <w:color w:val="231F20"/>
                <w:sz w:val="14"/>
              </w:rPr>
              <w:t>конструкције.</w:t>
            </w:r>
          </w:p>
          <w:p w:rsidR="00041039" w:rsidRDefault="001B26CB">
            <w:pPr>
              <w:pStyle w:val="TableParagraph"/>
              <w:numPr>
                <w:ilvl w:val="0"/>
                <w:numId w:val="744"/>
              </w:numPr>
              <w:tabs>
                <w:tab w:val="left" w:pos="158"/>
              </w:tabs>
              <w:spacing w:line="237" w:lineRule="auto"/>
              <w:ind w:right="505"/>
              <w:rPr>
                <w:sz w:val="14"/>
              </w:rPr>
            </w:pPr>
            <w:r>
              <w:rPr>
                <w:color w:val="231F20"/>
                <w:sz w:val="14"/>
              </w:rPr>
              <w:t>Падежни систем и његова</w:t>
            </w:r>
            <w:r>
              <w:rPr>
                <w:color w:val="231F20"/>
                <w:spacing w:val="-16"/>
                <w:sz w:val="14"/>
              </w:rPr>
              <w:t xml:space="preserve"> </w:t>
            </w:r>
            <w:r>
              <w:rPr>
                <w:color w:val="231F20"/>
                <w:sz w:val="14"/>
              </w:rPr>
              <w:t>употреба. Предлошко ­ падежне</w:t>
            </w:r>
            <w:r>
              <w:rPr>
                <w:color w:val="231F20"/>
                <w:spacing w:val="-26"/>
                <w:sz w:val="14"/>
              </w:rPr>
              <w:t xml:space="preserve"> </w:t>
            </w:r>
            <w:r>
              <w:rPr>
                <w:color w:val="231F20"/>
                <w:sz w:val="14"/>
              </w:rPr>
              <w:t>конструкције.</w:t>
            </w:r>
          </w:p>
          <w:p w:rsidR="00041039" w:rsidRDefault="001B26CB">
            <w:pPr>
              <w:pStyle w:val="TableParagraph"/>
              <w:numPr>
                <w:ilvl w:val="0"/>
                <w:numId w:val="744"/>
              </w:numPr>
              <w:tabs>
                <w:tab w:val="left" w:pos="158"/>
              </w:tabs>
              <w:spacing w:line="155" w:lineRule="exact"/>
              <w:rPr>
                <w:sz w:val="14"/>
              </w:rPr>
            </w:pPr>
            <w:r>
              <w:rPr>
                <w:color w:val="231F20"/>
                <w:sz w:val="14"/>
              </w:rPr>
              <w:t>Конгруенција. Синтакса глаголских</w:t>
            </w:r>
            <w:r>
              <w:rPr>
                <w:color w:val="231F20"/>
                <w:spacing w:val="-26"/>
                <w:sz w:val="14"/>
              </w:rPr>
              <w:t xml:space="preserve"> </w:t>
            </w:r>
            <w:r>
              <w:rPr>
                <w:color w:val="231F20"/>
                <w:sz w:val="14"/>
              </w:rPr>
              <w:t>облика.</w:t>
            </w:r>
          </w:p>
          <w:p w:rsidR="00041039" w:rsidRDefault="001B26CB">
            <w:pPr>
              <w:pStyle w:val="TableParagraph"/>
              <w:numPr>
                <w:ilvl w:val="0"/>
                <w:numId w:val="744"/>
              </w:numPr>
              <w:tabs>
                <w:tab w:val="left" w:pos="158"/>
              </w:tabs>
              <w:spacing w:line="160" w:lineRule="exact"/>
              <w:rPr>
                <w:sz w:val="14"/>
              </w:rPr>
            </w:pPr>
            <w:r>
              <w:rPr>
                <w:color w:val="231F20"/>
                <w:sz w:val="14"/>
              </w:rPr>
              <w:t>Систем зависних</w:t>
            </w:r>
            <w:r>
              <w:rPr>
                <w:color w:val="231F20"/>
                <w:spacing w:val="-2"/>
                <w:sz w:val="14"/>
              </w:rPr>
              <w:t xml:space="preserve"> </w:t>
            </w:r>
            <w:r>
              <w:rPr>
                <w:color w:val="231F20"/>
                <w:sz w:val="14"/>
              </w:rPr>
              <w:t>реченица.</w:t>
            </w:r>
          </w:p>
          <w:p w:rsidR="00041039" w:rsidRDefault="001B26CB">
            <w:pPr>
              <w:pStyle w:val="TableParagraph"/>
              <w:numPr>
                <w:ilvl w:val="0"/>
                <w:numId w:val="744"/>
              </w:numPr>
              <w:tabs>
                <w:tab w:val="left" w:pos="158"/>
              </w:tabs>
              <w:spacing w:line="237" w:lineRule="auto"/>
              <w:ind w:right="68"/>
              <w:rPr>
                <w:sz w:val="14"/>
              </w:rPr>
            </w:pPr>
            <w:r>
              <w:rPr>
                <w:color w:val="231F20"/>
                <w:sz w:val="14"/>
              </w:rPr>
              <w:t>Систем независних реченица (обавештајне, упитне, узвичне, заповедне и</w:t>
            </w:r>
            <w:r>
              <w:rPr>
                <w:color w:val="231F20"/>
                <w:spacing w:val="-4"/>
                <w:sz w:val="14"/>
              </w:rPr>
              <w:t xml:space="preserve"> </w:t>
            </w:r>
            <w:r>
              <w:rPr>
                <w:color w:val="231F20"/>
                <w:sz w:val="14"/>
              </w:rPr>
              <w:t>жељне).</w:t>
            </w:r>
          </w:p>
          <w:p w:rsidR="00041039" w:rsidRDefault="001B26CB">
            <w:pPr>
              <w:pStyle w:val="TableParagraph"/>
              <w:numPr>
                <w:ilvl w:val="0"/>
                <w:numId w:val="744"/>
              </w:numPr>
              <w:tabs>
                <w:tab w:val="left" w:pos="158"/>
              </w:tabs>
              <w:spacing w:line="160" w:lineRule="exact"/>
              <w:ind w:right="42"/>
              <w:rPr>
                <w:sz w:val="14"/>
              </w:rPr>
            </w:pPr>
            <w:r>
              <w:rPr>
                <w:color w:val="231F20"/>
                <w:sz w:val="14"/>
              </w:rPr>
              <w:t xml:space="preserve">Напоредне конструкције. Појам напоред­ ног односа. </w:t>
            </w:r>
            <w:r>
              <w:rPr>
                <w:color w:val="231F20"/>
                <w:spacing w:val="-3"/>
                <w:sz w:val="14"/>
              </w:rPr>
              <w:t xml:space="preserve">Главни </w:t>
            </w:r>
            <w:r>
              <w:rPr>
                <w:color w:val="231F20"/>
                <w:sz w:val="14"/>
              </w:rPr>
              <w:t>типови непосредних конструкција (саставне, раставне,</w:t>
            </w:r>
            <w:r>
              <w:rPr>
                <w:color w:val="231F20"/>
                <w:spacing w:val="-18"/>
                <w:sz w:val="14"/>
              </w:rPr>
              <w:t xml:space="preserve"> </w:t>
            </w:r>
            <w:r>
              <w:rPr>
                <w:color w:val="231F20"/>
                <w:sz w:val="14"/>
              </w:rPr>
              <w:t>супротне, искључне, закључне и</w:t>
            </w:r>
            <w:r>
              <w:rPr>
                <w:color w:val="231F20"/>
                <w:spacing w:val="-8"/>
                <w:sz w:val="14"/>
              </w:rPr>
              <w:t xml:space="preserve"> </w:t>
            </w:r>
            <w:r>
              <w:rPr>
                <w:color w:val="231F20"/>
                <w:sz w:val="14"/>
              </w:rPr>
              <w:t>градационе).</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numPr>
                <w:ilvl w:val="0"/>
                <w:numId w:val="743"/>
              </w:numPr>
              <w:tabs>
                <w:tab w:val="left" w:pos="157"/>
              </w:tabs>
              <w:spacing w:before="11" w:line="237" w:lineRule="auto"/>
              <w:ind w:right="66" w:hanging="99"/>
              <w:rPr>
                <w:sz w:val="14"/>
              </w:rPr>
            </w:pPr>
            <w:r>
              <w:rPr>
                <w:color w:val="231F20"/>
                <w:sz w:val="14"/>
              </w:rPr>
              <w:t>Оспособљавање ученика за примењи­ вање знања из језика</w:t>
            </w:r>
            <w:r>
              <w:rPr>
                <w:color w:val="231F20"/>
                <w:spacing w:val="-12"/>
                <w:sz w:val="14"/>
              </w:rPr>
              <w:t xml:space="preserve"> </w:t>
            </w:r>
            <w:r>
              <w:rPr>
                <w:color w:val="231F20"/>
                <w:sz w:val="14"/>
              </w:rPr>
              <w:t>и правописа у складу са језичком</w:t>
            </w:r>
            <w:r>
              <w:rPr>
                <w:color w:val="231F20"/>
                <w:spacing w:val="-3"/>
                <w:sz w:val="14"/>
              </w:rPr>
              <w:t xml:space="preserve"> </w:t>
            </w:r>
            <w:r>
              <w:rPr>
                <w:color w:val="231F20"/>
                <w:sz w:val="14"/>
              </w:rPr>
              <w:t>нормом.</w:t>
            </w:r>
          </w:p>
        </w:tc>
        <w:tc>
          <w:tcPr>
            <w:tcW w:w="2551" w:type="dxa"/>
          </w:tcPr>
          <w:p w:rsidR="00041039" w:rsidRDefault="001B26CB">
            <w:pPr>
              <w:pStyle w:val="TableParagraph"/>
              <w:numPr>
                <w:ilvl w:val="0"/>
                <w:numId w:val="742"/>
              </w:numPr>
              <w:tabs>
                <w:tab w:val="left" w:pos="158"/>
              </w:tabs>
              <w:spacing w:before="10"/>
              <w:ind w:right="76"/>
              <w:rPr>
                <w:sz w:val="14"/>
              </w:rPr>
            </w:pPr>
            <w:r>
              <w:rPr>
                <w:color w:val="231F20"/>
                <w:sz w:val="14"/>
              </w:rPr>
              <w:t>примени правописне знаке у складу</w:t>
            </w:r>
            <w:r>
              <w:rPr>
                <w:color w:val="231F20"/>
                <w:spacing w:val="-16"/>
                <w:sz w:val="14"/>
              </w:rPr>
              <w:t xml:space="preserve"> </w:t>
            </w:r>
            <w:r>
              <w:rPr>
                <w:color w:val="231F20"/>
                <w:sz w:val="14"/>
              </w:rPr>
              <w:t>са језичком</w:t>
            </w:r>
            <w:r>
              <w:rPr>
                <w:color w:val="231F20"/>
                <w:spacing w:val="-1"/>
                <w:sz w:val="14"/>
              </w:rPr>
              <w:t xml:space="preserve"> </w:t>
            </w:r>
            <w:r>
              <w:rPr>
                <w:color w:val="231F20"/>
                <w:sz w:val="14"/>
              </w:rPr>
              <w:t>нормом;</w:t>
            </w:r>
          </w:p>
          <w:p w:rsidR="00041039" w:rsidRDefault="001B26CB">
            <w:pPr>
              <w:pStyle w:val="TableParagraph"/>
              <w:numPr>
                <w:ilvl w:val="0"/>
                <w:numId w:val="742"/>
              </w:numPr>
              <w:tabs>
                <w:tab w:val="left" w:pos="158"/>
              </w:tabs>
              <w:spacing w:line="160" w:lineRule="exact"/>
              <w:ind w:right="108"/>
              <w:rPr>
                <w:sz w:val="14"/>
              </w:rPr>
            </w:pPr>
            <w:r>
              <w:rPr>
                <w:color w:val="231F20"/>
                <w:sz w:val="14"/>
              </w:rPr>
              <w:t>употреби знаке интерпункције у</w:t>
            </w:r>
            <w:r>
              <w:rPr>
                <w:color w:val="231F20"/>
                <w:spacing w:val="-19"/>
                <w:sz w:val="14"/>
              </w:rPr>
              <w:t xml:space="preserve"> </w:t>
            </w:r>
            <w:r>
              <w:rPr>
                <w:color w:val="231F20"/>
                <w:sz w:val="14"/>
              </w:rPr>
              <w:t>скла­ ду са језичком</w:t>
            </w:r>
            <w:r>
              <w:rPr>
                <w:color w:val="231F20"/>
                <w:spacing w:val="-3"/>
                <w:sz w:val="14"/>
              </w:rPr>
              <w:t xml:space="preserve"> </w:t>
            </w:r>
            <w:r>
              <w:rPr>
                <w:color w:val="231F20"/>
                <w:sz w:val="14"/>
              </w:rPr>
              <w:t>нормом;</w:t>
            </w:r>
          </w:p>
        </w:tc>
        <w:tc>
          <w:tcPr>
            <w:tcW w:w="2834" w:type="dxa"/>
          </w:tcPr>
          <w:p w:rsidR="00041039" w:rsidRDefault="001B26CB">
            <w:pPr>
              <w:pStyle w:val="TableParagraph"/>
              <w:numPr>
                <w:ilvl w:val="0"/>
                <w:numId w:val="741"/>
              </w:numPr>
              <w:tabs>
                <w:tab w:val="left" w:pos="158"/>
              </w:tabs>
              <w:spacing w:before="10" w:line="166" w:lineRule="exact"/>
              <w:rPr>
                <w:sz w:val="14"/>
              </w:rPr>
            </w:pPr>
            <w:r>
              <w:rPr>
                <w:color w:val="231F20"/>
                <w:sz w:val="14"/>
              </w:rPr>
              <w:t>Правописни</w:t>
            </w:r>
            <w:r>
              <w:rPr>
                <w:color w:val="231F20"/>
                <w:spacing w:val="-1"/>
                <w:sz w:val="14"/>
              </w:rPr>
              <w:t xml:space="preserve"> </w:t>
            </w:r>
            <w:r>
              <w:rPr>
                <w:color w:val="231F20"/>
                <w:sz w:val="14"/>
              </w:rPr>
              <w:t>знаци.</w:t>
            </w:r>
          </w:p>
          <w:p w:rsidR="00041039" w:rsidRDefault="001B26CB">
            <w:pPr>
              <w:pStyle w:val="TableParagraph"/>
              <w:numPr>
                <w:ilvl w:val="0"/>
                <w:numId w:val="741"/>
              </w:numPr>
              <w:tabs>
                <w:tab w:val="left" w:pos="158"/>
              </w:tabs>
              <w:spacing w:line="166" w:lineRule="exact"/>
              <w:rPr>
                <w:sz w:val="14"/>
              </w:rPr>
            </w:pPr>
            <w:r>
              <w:rPr>
                <w:color w:val="231F20"/>
                <w:sz w:val="14"/>
              </w:rPr>
              <w:t>Општа правила интерпункције у</w:t>
            </w:r>
            <w:r>
              <w:rPr>
                <w:color w:val="231F20"/>
                <w:spacing w:val="-16"/>
                <w:sz w:val="14"/>
              </w:rPr>
              <w:t xml:space="preserve"> </w:t>
            </w:r>
            <w:r>
              <w:rPr>
                <w:color w:val="231F20"/>
                <w:sz w:val="14"/>
              </w:rPr>
              <w:t>реченици.</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740"/>
              </w:numPr>
              <w:tabs>
                <w:tab w:val="left" w:pos="157"/>
              </w:tabs>
              <w:spacing w:before="11" w:line="237" w:lineRule="auto"/>
              <w:ind w:right="110" w:hanging="99"/>
              <w:rPr>
                <w:sz w:val="14"/>
              </w:rPr>
            </w:pPr>
            <w:r>
              <w:rPr>
                <w:color w:val="231F20"/>
                <w:sz w:val="14"/>
              </w:rPr>
              <w:t>Усавршавање</w:t>
            </w:r>
            <w:r>
              <w:rPr>
                <w:color w:val="231F20"/>
                <w:spacing w:val="-22"/>
                <w:sz w:val="14"/>
              </w:rPr>
              <w:t xml:space="preserve"> </w:t>
            </w:r>
            <w:r>
              <w:rPr>
                <w:color w:val="231F20"/>
                <w:sz w:val="14"/>
              </w:rPr>
              <w:t>културе изражавања и него­ вање интересовања за праћење културних садржаја и критички однос према њима, као и оспособљавање за операционализа­ цију функционалних стилова.</w:t>
            </w:r>
          </w:p>
        </w:tc>
        <w:tc>
          <w:tcPr>
            <w:tcW w:w="2551" w:type="dxa"/>
          </w:tcPr>
          <w:p w:rsidR="00041039" w:rsidRDefault="001B26CB">
            <w:pPr>
              <w:pStyle w:val="TableParagraph"/>
              <w:numPr>
                <w:ilvl w:val="0"/>
                <w:numId w:val="739"/>
              </w:numPr>
              <w:tabs>
                <w:tab w:val="left" w:pos="158"/>
              </w:tabs>
              <w:spacing w:before="10"/>
              <w:ind w:right="126"/>
              <w:rPr>
                <w:sz w:val="14"/>
              </w:rPr>
            </w:pPr>
            <w:r>
              <w:rPr>
                <w:color w:val="231F20"/>
                <w:sz w:val="14"/>
              </w:rPr>
              <w:t>напише есеј поштујући структуру</w:t>
            </w:r>
            <w:r>
              <w:rPr>
                <w:color w:val="231F20"/>
                <w:spacing w:val="-15"/>
                <w:sz w:val="14"/>
              </w:rPr>
              <w:t xml:space="preserve"> </w:t>
            </w:r>
            <w:r>
              <w:rPr>
                <w:color w:val="231F20"/>
                <w:sz w:val="14"/>
              </w:rPr>
              <w:t>ове књижевне</w:t>
            </w:r>
            <w:r>
              <w:rPr>
                <w:color w:val="231F20"/>
                <w:spacing w:val="-1"/>
                <w:sz w:val="14"/>
              </w:rPr>
              <w:t xml:space="preserve"> </w:t>
            </w:r>
            <w:r>
              <w:rPr>
                <w:color w:val="231F20"/>
                <w:sz w:val="14"/>
              </w:rPr>
              <w:t>врсте;</w:t>
            </w:r>
          </w:p>
          <w:p w:rsidR="00041039" w:rsidRDefault="001B26CB">
            <w:pPr>
              <w:pStyle w:val="TableParagraph"/>
              <w:numPr>
                <w:ilvl w:val="0"/>
                <w:numId w:val="739"/>
              </w:numPr>
              <w:tabs>
                <w:tab w:val="left" w:pos="158"/>
              </w:tabs>
              <w:spacing w:line="160" w:lineRule="exact"/>
              <w:ind w:right="350"/>
              <w:rPr>
                <w:sz w:val="14"/>
              </w:rPr>
            </w:pPr>
            <w:r>
              <w:rPr>
                <w:color w:val="231F20"/>
                <w:sz w:val="14"/>
              </w:rPr>
              <w:t xml:space="preserve">састави биографију, </w:t>
            </w:r>
            <w:r>
              <w:rPr>
                <w:color w:val="231F20"/>
                <w:spacing w:val="-4"/>
                <w:sz w:val="14"/>
              </w:rPr>
              <w:t>молбу, жалбу,</w:t>
            </w:r>
            <w:r>
              <w:rPr>
                <w:color w:val="231F20"/>
                <w:spacing w:val="-4"/>
                <w:sz w:val="14"/>
              </w:rPr>
              <w:t xml:space="preserve"> </w:t>
            </w:r>
            <w:r>
              <w:rPr>
                <w:color w:val="231F20"/>
                <w:sz w:val="14"/>
              </w:rPr>
              <w:t>приговор...</w:t>
            </w:r>
          </w:p>
          <w:p w:rsidR="00041039" w:rsidRDefault="001B26CB">
            <w:pPr>
              <w:pStyle w:val="TableParagraph"/>
              <w:numPr>
                <w:ilvl w:val="0"/>
                <w:numId w:val="739"/>
              </w:numPr>
              <w:tabs>
                <w:tab w:val="left" w:pos="158"/>
              </w:tabs>
              <w:spacing w:line="160" w:lineRule="exact"/>
              <w:ind w:right="227"/>
              <w:rPr>
                <w:sz w:val="14"/>
              </w:rPr>
            </w:pPr>
            <w:r>
              <w:rPr>
                <w:color w:val="231F20"/>
                <w:sz w:val="14"/>
              </w:rPr>
              <w:t xml:space="preserve">процењује вредност понуђених </w:t>
            </w:r>
            <w:r>
              <w:rPr>
                <w:color w:val="231F20"/>
                <w:spacing w:val="-3"/>
                <w:sz w:val="14"/>
              </w:rPr>
              <w:t xml:space="preserve">кул­ </w:t>
            </w:r>
            <w:r>
              <w:rPr>
                <w:color w:val="231F20"/>
                <w:sz w:val="14"/>
              </w:rPr>
              <w:t>турних</w:t>
            </w:r>
            <w:r>
              <w:rPr>
                <w:color w:val="231F20"/>
                <w:spacing w:val="-1"/>
                <w:sz w:val="14"/>
              </w:rPr>
              <w:t xml:space="preserve"> </w:t>
            </w:r>
            <w:r>
              <w:rPr>
                <w:color w:val="231F20"/>
                <w:sz w:val="14"/>
              </w:rPr>
              <w:t>садржаја;</w:t>
            </w:r>
          </w:p>
        </w:tc>
        <w:tc>
          <w:tcPr>
            <w:tcW w:w="2834" w:type="dxa"/>
          </w:tcPr>
          <w:p w:rsidR="00041039" w:rsidRDefault="001B26CB">
            <w:pPr>
              <w:pStyle w:val="TableParagraph"/>
              <w:numPr>
                <w:ilvl w:val="0"/>
                <w:numId w:val="738"/>
              </w:numPr>
              <w:tabs>
                <w:tab w:val="left" w:pos="158"/>
              </w:tabs>
              <w:spacing w:before="10" w:line="166" w:lineRule="exact"/>
              <w:ind w:hanging="99"/>
              <w:rPr>
                <w:sz w:val="14"/>
              </w:rPr>
            </w:pPr>
            <w:r>
              <w:rPr>
                <w:color w:val="231F20"/>
                <w:sz w:val="14"/>
              </w:rPr>
              <w:t>Лексичке</w:t>
            </w:r>
            <w:r>
              <w:rPr>
                <w:color w:val="231F20"/>
                <w:spacing w:val="-1"/>
                <w:sz w:val="14"/>
              </w:rPr>
              <w:t xml:space="preserve"> </w:t>
            </w:r>
            <w:r>
              <w:rPr>
                <w:color w:val="231F20"/>
                <w:sz w:val="14"/>
              </w:rPr>
              <w:t>вежбе.</w:t>
            </w:r>
          </w:p>
          <w:p w:rsidR="00041039" w:rsidRDefault="001B26CB">
            <w:pPr>
              <w:pStyle w:val="TableParagraph"/>
              <w:numPr>
                <w:ilvl w:val="0"/>
                <w:numId w:val="738"/>
              </w:numPr>
              <w:tabs>
                <w:tab w:val="left" w:pos="158"/>
              </w:tabs>
              <w:spacing w:line="160" w:lineRule="exact"/>
              <w:ind w:hanging="99"/>
              <w:rPr>
                <w:sz w:val="14"/>
              </w:rPr>
            </w:pPr>
            <w:r>
              <w:rPr>
                <w:color w:val="231F20"/>
                <w:sz w:val="14"/>
              </w:rPr>
              <w:t>Стилске</w:t>
            </w:r>
            <w:r>
              <w:rPr>
                <w:color w:val="231F20"/>
                <w:spacing w:val="-1"/>
                <w:sz w:val="14"/>
              </w:rPr>
              <w:t xml:space="preserve"> </w:t>
            </w:r>
            <w:r>
              <w:rPr>
                <w:color w:val="231F20"/>
                <w:sz w:val="14"/>
              </w:rPr>
              <w:t>вежбе.</w:t>
            </w:r>
          </w:p>
          <w:p w:rsidR="00041039" w:rsidRDefault="001B26CB">
            <w:pPr>
              <w:pStyle w:val="TableParagraph"/>
              <w:numPr>
                <w:ilvl w:val="0"/>
                <w:numId w:val="738"/>
              </w:numPr>
              <w:tabs>
                <w:tab w:val="left" w:pos="158"/>
              </w:tabs>
              <w:spacing w:line="160" w:lineRule="exact"/>
              <w:ind w:hanging="99"/>
              <w:rPr>
                <w:sz w:val="14"/>
              </w:rPr>
            </w:pPr>
            <w:r>
              <w:rPr>
                <w:color w:val="231F20"/>
                <w:sz w:val="14"/>
              </w:rPr>
              <w:t>Писање есеја.</w:t>
            </w:r>
          </w:p>
          <w:p w:rsidR="00041039" w:rsidRDefault="001B26CB">
            <w:pPr>
              <w:pStyle w:val="TableParagraph"/>
              <w:numPr>
                <w:ilvl w:val="0"/>
                <w:numId w:val="738"/>
              </w:numPr>
              <w:tabs>
                <w:tab w:val="left" w:pos="158"/>
              </w:tabs>
              <w:spacing w:line="160" w:lineRule="exact"/>
              <w:ind w:hanging="99"/>
              <w:rPr>
                <w:sz w:val="14"/>
              </w:rPr>
            </w:pPr>
            <w:r>
              <w:rPr>
                <w:color w:val="231F20"/>
                <w:sz w:val="14"/>
              </w:rPr>
              <w:t>Говорне</w:t>
            </w:r>
            <w:r>
              <w:rPr>
                <w:color w:val="231F20"/>
                <w:spacing w:val="-1"/>
                <w:sz w:val="14"/>
              </w:rPr>
              <w:t xml:space="preserve"> </w:t>
            </w:r>
            <w:r>
              <w:rPr>
                <w:color w:val="231F20"/>
                <w:sz w:val="14"/>
              </w:rPr>
              <w:t>вежбе.</w:t>
            </w:r>
          </w:p>
          <w:p w:rsidR="00041039" w:rsidRDefault="001B26CB">
            <w:pPr>
              <w:pStyle w:val="TableParagraph"/>
              <w:numPr>
                <w:ilvl w:val="0"/>
                <w:numId w:val="738"/>
              </w:numPr>
              <w:tabs>
                <w:tab w:val="left" w:pos="158"/>
              </w:tabs>
              <w:spacing w:line="160" w:lineRule="exact"/>
              <w:ind w:hanging="99"/>
              <w:rPr>
                <w:sz w:val="14"/>
              </w:rPr>
            </w:pPr>
            <w:r>
              <w:rPr>
                <w:color w:val="231F20"/>
                <w:sz w:val="14"/>
              </w:rPr>
              <w:t>Школски писмени задаци 4 x 2 +</w:t>
            </w:r>
            <w:r>
              <w:rPr>
                <w:color w:val="231F20"/>
                <w:spacing w:val="-10"/>
                <w:sz w:val="14"/>
              </w:rPr>
              <w:t xml:space="preserve"> </w:t>
            </w:r>
            <w:r>
              <w:rPr>
                <w:color w:val="231F20"/>
                <w:sz w:val="14"/>
              </w:rPr>
              <w:t>2.</w:t>
            </w:r>
          </w:p>
          <w:p w:rsidR="00041039" w:rsidRDefault="001B26CB">
            <w:pPr>
              <w:pStyle w:val="TableParagraph"/>
              <w:numPr>
                <w:ilvl w:val="0"/>
                <w:numId w:val="738"/>
              </w:numPr>
              <w:tabs>
                <w:tab w:val="left" w:pos="158"/>
              </w:tabs>
              <w:spacing w:line="237" w:lineRule="auto"/>
              <w:ind w:right="356" w:hanging="99"/>
              <w:rPr>
                <w:sz w:val="14"/>
              </w:rPr>
            </w:pPr>
            <w:r>
              <w:rPr>
                <w:color w:val="231F20"/>
                <w:sz w:val="14"/>
              </w:rPr>
              <w:t>Административни функционални</w:t>
            </w:r>
            <w:r>
              <w:rPr>
                <w:color w:val="231F20"/>
                <w:spacing w:val="-16"/>
                <w:sz w:val="14"/>
              </w:rPr>
              <w:t xml:space="preserve"> </w:t>
            </w:r>
            <w:r>
              <w:rPr>
                <w:color w:val="231F20"/>
                <w:sz w:val="14"/>
              </w:rPr>
              <w:t>стил (писање молбе, жалбе,</w:t>
            </w:r>
            <w:r>
              <w:rPr>
                <w:color w:val="231F20"/>
                <w:spacing w:val="-3"/>
                <w:sz w:val="14"/>
              </w:rPr>
              <w:t xml:space="preserve"> </w:t>
            </w:r>
            <w:r>
              <w:rPr>
                <w:color w:val="231F20"/>
                <w:sz w:val="14"/>
              </w:rPr>
              <w:t>биографије).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Историја</w:t>
      </w:r>
    </w:p>
    <w:p w:rsidR="00041039" w:rsidRDefault="001B26CB">
      <w:pPr>
        <w:pStyle w:val="ListParagraph"/>
        <w:numPr>
          <w:ilvl w:val="1"/>
          <w:numId w:val="976"/>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1"/>
          <w:numId w:val="976"/>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1"/>
          <w:numId w:val="976"/>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pStyle w:val="BodyText"/>
        <w:spacing w:before="49" w:line="161" w:lineRule="exact"/>
        <w:ind w:left="157"/>
      </w:pPr>
      <w:r>
        <w:rPr>
          <w:color w:val="231F20"/>
        </w:rPr>
        <w:t>Циљеви предмета: – Овладавање српским као нематерњим језиком у оквиру програмом предвиђених садржаја;</w:t>
      </w:r>
    </w:p>
    <w:p w:rsidR="00041039" w:rsidRDefault="001B26CB">
      <w:pPr>
        <w:pStyle w:val="ListParagraph"/>
        <w:numPr>
          <w:ilvl w:val="2"/>
          <w:numId w:val="976"/>
        </w:numPr>
        <w:tabs>
          <w:tab w:val="left" w:pos="1566"/>
        </w:tabs>
        <w:spacing w:line="160" w:lineRule="exact"/>
        <w:rPr>
          <w:sz w:val="14"/>
        </w:rPr>
      </w:pPr>
      <w:r>
        <w:rPr>
          <w:color w:val="231F20"/>
          <w:spacing w:val="-3"/>
          <w:sz w:val="14"/>
        </w:rPr>
        <w:t xml:space="preserve">Усвајање </w:t>
      </w:r>
      <w:r>
        <w:rPr>
          <w:color w:val="231F20"/>
          <w:sz w:val="14"/>
        </w:rPr>
        <w:t>граматичких садржаја и</w:t>
      </w:r>
      <w:r>
        <w:rPr>
          <w:color w:val="231F20"/>
          <w:sz w:val="14"/>
        </w:rPr>
        <w:t xml:space="preserve"> </w:t>
      </w:r>
      <w:r>
        <w:rPr>
          <w:color w:val="231F20"/>
          <w:sz w:val="14"/>
        </w:rPr>
        <w:t>лексике;</w:t>
      </w:r>
    </w:p>
    <w:p w:rsidR="00041039" w:rsidRDefault="001B26CB">
      <w:pPr>
        <w:pStyle w:val="ListParagraph"/>
        <w:numPr>
          <w:ilvl w:val="2"/>
          <w:numId w:val="976"/>
        </w:numPr>
        <w:tabs>
          <w:tab w:val="left" w:pos="1566"/>
        </w:tabs>
        <w:spacing w:line="160" w:lineRule="exact"/>
        <w:rPr>
          <w:sz w:val="14"/>
        </w:rPr>
      </w:pPr>
      <w:r>
        <w:rPr>
          <w:color w:val="231F20"/>
          <w:spacing w:val="-3"/>
          <w:sz w:val="14"/>
        </w:rPr>
        <w:t xml:space="preserve">Усвајање </w:t>
      </w:r>
      <w:r>
        <w:rPr>
          <w:color w:val="231F20"/>
          <w:sz w:val="14"/>
        </w:rPr>
        <w:t>правилног изговора и писања;</w:t>
      </w:r>
    </w:p>
    <w:p w:rsidR="00041039" w:rsidRDefault="001B26CB">
      <w:pPr>
        <w:pStyle w:val="ListParagraph"/>
        <w:numPr>
          <w:ilvl w:val="2"/>
          <w:numId w:val="976"/>
        </w:numPr>
        <w:tabs>
          <w:tab w:val="left" w:pos="1566"/>
        </w:tabs>
        <w:spacing w:line="160" w:lineRule="exact"/>
        <w:rPr>
          <w:sz w:val="14"/>
        </w:rPr>
      </w:pPr>
      <w:r>
        <w:rPr>
          <w:color w:val="231F20"/>
          <w:sz w:val="14"/>
        </w:rPr>
        <w:t>Оспособљавање за комуникацију у свакодневним животним</w:t>
      </w:r>
      <w:r>
        <w:rPr>
          <w:color w:val="231F20"/>
          <w:spacing w:val="-3"/>
          <w:sz w:val="14"/>
        </w:rPr>
        <w:t xml:space="preserve"> </w:t>
      </w:r>
      <w:r>
        <w:rPr>
          <w:color w:val="231F20"/>
          <w:sz w:val="14"/>
        </w:rPr>
        <w:t>ситуацијама;</w:t>
      </w:r>
    </w:p>
    <w:p w:rsidR="00041039" w:rsidRDefault="001B26CB">
      <w:pPr>
        <w:pStyle w:val="ListParagraph"/>
        <w:numPr>
          <w:ilvl w:val="2"/>
          <w:numId w:val="976"/>
        </w:numPr>
        <w:tabs>
          <w:tab w:val="left" w:pos="1566"/>
        </w:tabs>
        <w:spacing w:line="160" w:lineRule="exact"/>
        <w:rPr>
          <w:sz w:val="14"/>
        </w:rPr>
      </w:pPr>
      <w:r>
        <w:rPr>
          <w:color w:val="231F20"/>
          <w:sz w:val="14"/>
        </w:rPr>
        <w:t>Оспособљ</w:t>
      </w:r>
      <w:r>
        <w:rPr>
          <w:color w:val="231F20"/>
          <w:sz w:val="14"/>
        </w:rPr>
        <w:t>авање ученика за самостално усмено и писмено</w:t>
      </w:r>
      <w:r>
        <w:rPr>
          <w:color w:val="231F20"/>
          <w:spacing w:val="-5"/>
          <w:sz w:val="14"/>
        </w:rPr>
        <w:t xml:space="preserve"> </w:t>
      </w:r>
      <w:r>
        <w:rPr>
          <w:color w:val="231F20"/>
          <w:sz w:val="14"/>
        </w:rPr>
        <w:t>изражавање;</w:t>
      </w:r>
    </w:p>
    <w:p w:rsidR="00041039" w:rsidRDefault="001B26CB">
      <w:pPr>
        <w:pStyle w:val="ListParagraph"/>
        <w:numPr>
          <w:ilvl w:val="2"/>
          <w:numId w:val="976"/>
        </w:numPr>
        <w:tabs>
          <w:tab w:val="left" w:pos="1566"/>
        </w:tabs>
        <w:spacing w:line="160" w:lineRule="exact"/>
        <w:rPr>
          <w:sz w:val="14"/>
        </w:rPr>
      </w:pPr>
      <w:r>
        <w:rPr>
          <w:color w:val="231F20"/>
          <w:sz w:val="14"/>
        </w:rPr>
        <w:t>Разликовање функционалних стилова српског језика и овладавање њиховим</w:t>
      </w:r>
      <w:r>
        <w:rPr>
          <w:color w:val="231F20"/>
          <w:spacing w:val="-6"/>
          <w:sz w:val="14"/>
        </w:rPr>
        <w:t xml:space="preserve"> </w:t>
      </w:r>
      <w:r>
        <w:rPr>
          <w:color w:val="231F20"/>
          <w:sz w:val="14"/>
        </w:rPr>
        <w:t>особинама;</w:t>
      </w:r>
    </w:p>
    <w:p w:rsidR="00041039" w:rsidRDefault="001B26CB">
      <w:pPr>
        <w:pStyle w:val="ListParagraph"/>
        <w:numPr>
          <w:ilvl w:val="2"/>
          <w:numId w:val="976"/>
        </w:numPr>
        <w:tabs>
          <w:tab w:val="left" w:pos="1566"/>
        </w:tabs>
        <w:spacing w:line="160" w:lineRule="exact"/>
        <w:rPr>
          <w:sz w:val="14"/>
        </w:rPr>
      </w:pPr>
      <w:r>
        <w:rPr>
          <w:color w:val="231F20"/>
          <w:sz w:val="14"/>
        </w:rPr>
        <w:t>Упознавање ученика са значајним карактеристикама културе народа који говоре српским</w:t>
      </w:r>
      <w:r>
        <w:rPr>
          <w:color w:val="231F20"/>
          <w:spacing w:val="-8"/>
          <w:sz w:val="14"/>
        </w:rPr>
        <w:t xml:space="preserve"> </w:t>
      </w:r>
      <w:r>
        <w:rPr>
          <w:color w:val="231F20"/>
          <w:sz w:val="14"/>
        </w:rPr>
        <w:t>језиком;</w:t>
      </w:r>
    </w:p>
    <w:p w:rsidR="00041039" w:rsidRDefault="001B26CB">
      <w:pPr>
        <w:pStyle w:val="ListParagraph"/>
        <w:numPr>
          <w:ilvl w:val="2"/>
          <w:numId w:val="976"/>
        </w:numPr>
        <w:tabs>
          <w:tab w:val="left" w:pos="1566"/>
        </w:tabs>
        <w:spacing w:line="160" w:lineRule="exact"/>
        <w:rPr>
          <w:sz w:val="14"/>
        </w:rPr>
      </w:pPr>
      <w:r>
        <w:rPr>
          <w:color w:val="231F20"/>
          <w:sz w:val="14"/>
        </w:rPr>
        <w:t>Упознавање ученика са дел</w:t>
      </w:r>
      <w:r>
        <w:rPr>
          <w:color w:val="231F20"/>
          <w:sz w:val="14"/>
        </w:rPr>
        <w:t>има српске</w:t>
      </w:r>
      <w:r>
        <w:rPr>
          <w:color w:val="231F20"/>
          <w:spacing w:val="-1"/>
          <w:sz w:val="14"/>
        </w:rPr>
        <w:t xml:space="preserve"> </w:t>
      </w:r>
      <w:r>
        <w:rPr>
          <w:color w:val="231F20"/>
          <w:sz w:val="14"/>
        </w:rPr>
        <w:t>књижевности;</w:t>
      </w:r>
    </w:p>
    <w:p w:rsidR="00041039" w:rsidRDefault="001B26CB">
      <w:pPr>
        <w:pStyle w:val="ListParagraph"/>
        <w:numPr>
          <w:ilvl w:val="2"/>
          <w:numId w:val="976"/>
        </w:numPr>
        <w:tabs>
          <w:tab w:val="left" w:pos="1566"/>
        </w:tabs>
        <w:spacing w:line="160" w:lineRule="exact"/>
        <w:rPr>
          <w:sz w:val="14"/>
        </w:rPr>
      </w:pPr>
      <w:r>
        <w:rPr>
          <w:color w:val="231F20"/>
          <w:sz w:val="14"/>
        </w:rPr>
        <w:t>Упознавање</w:t>
      </w:r>
      <w:r>
        <w:rPr>
          <w:color w:val="231F20"/>
          <w:spacing w:val="-3"/>
          <w:sz w:val="14"/>
        </w:rPr>
        <w:t xml:space="preserve"> </w:t>
      </w:r>
      <w:r>
        <w:rPr>
          <w:color w:val="231F20"/>
          <w:sz w:val="14"/>
        </w:rPr>
        <w:t>ученика</w:t>
      </w:r>
      <w:r>
        <w:rPr>
          <w:color w:val="231F20"/>
          <w:spacing w:val="-3"/>
          <w:sz w:val="14"/>
        </w:rPr>
        <w:t xml:space="preserve"> </w:t>
      </w:r>
      <w:r>
        <w:rPr>
          <w:color w:val="231F20"/>
          <w:sz w:val="14"/>
        </w:rPr>
        <w:t>са</w:t>
      </w:r>
      <w:r>
        <w:rPr>
          <w:color w:val="231F20"/>
          <w:spacing w:val="-3"/>
          <w:sz w:val="14"/>
        </w:rPr>
        <w:t xml:space="preserve"> </w:t>
      </w:r>
      <w:r>
        <w:rPr>
          <w:color w:val="231F20"/>
          <w:sz w:val="14"/>
        </w:rPr>
        <w:t>одликама</w:t>
      </w:r>
      <w:r>
        <w:rPr>
          <w:color w:val="231F20"/>
          <w:spacing w:val="-3"/>
          <w:sz w:val="14"/>
        </w:rPr>
        <w:t xml:space="preserve"> </w:t>
      </w:r>
      <w:r>
        <w:rPr>
          <w:color w:val="231F20"/>
          <w:sz w:val="14"/>
        </w:rPr>
        <w:t>различитих</w:t>
      </w:r>
      <w:r>
        <w:rPr>
          <w:color w:val="231F20"/>
          <w:spacing w:val="-3"/>
          <w:sz w:val="14"/>
        </w:rPr>
        <w:t xml:space="preserve"> </w:t>
      </w:r>
      <w:r>
        <w:rPr>
          <w:color w:val="231F20"/>
          <w:sz w:val="14"/>
        </w:rPr>
        <w:t>типова</w:t>
      </w:r>
      <w:r>
        <w:rPr>
          <w:color w:val="231F20"/>
          <w:spacing w:val="-3"/>
          <w:sz w:val="14"/>
        </w:rPr>
        <w:t xml:space="preserve"> </w:t>
      </w:r>
      <w:r>
        <w:rPr>
          <w:color w:val="231F20"/>
          <w:sz w:val="14"/>
        </w:rPr>
        <w:t>текстова:</w:t>
      </w:r>
      <w:r>
        <w:rPr>
          <w:color w:val="231F20"/>
          <w:spacing w:val="-3"/>
          <w:sz w:val="14"/>
        </w:rPr>
        <w:t xml:space="preserve"> </w:t>
      </w:r>
      <w:r>
        <w:rPr>
          <w:color w:val="231F20"/>
          <w:sz w:val="14"/>
        </w:rPr>
        <w:t>књижевноуметничким</w:t>
      </w:r>
      <w:r>
        <w:rPr>
          <w:color w:val="231F20"/>
          <w:spacing w:val="-3"/>
          <w:sz w:val="14"/>
        </w:rPr>
        <w:t xml:space="preserve"> </w:t>
      </w:r>
      <w:r>
        <w:rPr>
          <w:color w:val="231F20"/>
          <w:sz w:val="14"/>
        </w:rPr>
        <w:t>и</w:t>
      </w:r>
      <w:r>
        <w:rPr>
          <w:color w:val="231F20"/>
          <w:spacing w:val="-4"/>
          <w:sz w:val="14"/>
        </w:rPr>
        <w:t xml:space="preserve"> </w:t>
      </w:r>
      <w:r>
        <w:rPr>
          <w:color w:val="231F20"/>
          <w:sz w:val="14"/>
        </w:rPr>
        <w:t>осталим</w:t>
      </w:r>
      <w:r>
        <w:rPr>
          <w:color w:val="231F20"/>
          <w:spacing w:val="-4"/>
          <w:sz w:val="14"/>
        </w:rPr>
        <w:t xml:space="preserve"> </w:t>
      </w:r>
      <w:r>
        <w:rPr>
          <w:color w:val="231F20"/>
          <w:sz w:val="14"/>
        </w:rPr>
        <w:t>(научно</w:t>
      </w:r>
      <w:r>
        <w:rPr>
          <w:color w:val="231F20"/>
          <w:spacing w:val="-4"/>
          <w:sz w:val="14"/>
        </w:rPr>
        <w:t xml:space="preserve"> </w:t>
      </w:r>
      <w:r>
        <w:rPr>
          <w:color w:val="231F20"/>
          <w:sz w:val="14"/>
        </w:rPr>
        <w:t>­</w:t>
      </w:r>
      <w:r>
        <w:rPr>
          <w:color w:val="231F20"/>
          <w:spacing w:val="-3"/>
          <w:sz w:val="14"/>
        </w:rPr>
        <w:t xml:space="preserve"> </w:t>
      </w:r>
      <w:r>
        <w:rPr>
          <w:color w:val="231F20"/>
          <w:sz w:val="14"/>
        </w:rPr>
        <w:t>популарним,</w:t>
      </w:r>
      <w:r>
        <w:rPr>
          <w:color w:val="231F20"/>
          <w:spacing w:val="-4"/>
          <w:sz w:val="14"/>
        </w:rPr>
        <w:t xml:space="preserve"> </w:t>
      </w:r>
      <w:r>
        <w:rPr>
          <w:color w:val="231F20"/>
          <w:sz w:val="14"/>
        </w:rPr>
        <w:t>информативним</w:t>
      </w:r>
      <w:r>
        <w:rPr>
          <w:color w:val="231F20"/>
          <w:spacing w:val="-3"/>
          <w:sz w:val="14"/>
        </w:rPr>
        <w:t xml:space="preserve"> </w:t>
      </w:r>
      <w:r>
        <w:rPr>
          <w:color w:val="231F20"/>
          <w:sz w:val="14"/>
        </w:rPr>
        <w:t>исл.);</w:t>
      </w:r>
    </w:p>
    <w:p w:rsidR="00041039" w:rsidRDefault="001B26CB">
      <w:pPr>
        <w:pStyle w:val="ListParagraph"/>
        <w:numPr>
          <w:ilvl w:val="2"/>
          <w:numId w:val="976"/>
        </w:numPr>
        <w:tabs>
          <w:tab w:val="left" w:pos="1566"/>
        </w:tabs>
        <w:spacing w:line="160" w:lineRule="exact"/>
        <w:rPr>
          <w:sz w:val="14"/>
        </w:rPr>
      </w:pPr>
      <w:r>
        <w:rPr>
          <w:color w:val="231F20"/>
          <w:sz w:val="14"/>
        </w:rPr>
        <w:t>Продубљивање знања о књижевним родовима и</w:t>
      </w:r>
      <w:r>
        <w:rPr>
          <w:color w:val="231F20"/>
          <w:spacing w:val="-3"/>
          <w:sz w:val="14"/>
        </w:rPr>
        <w:t xml:space="preserve"> </w:t>
      </w:r>
      <w:r>
        <w:rPr>
          <w:color w:val="231F20"/>
          <w:sz w:val="14"/>
        </w:rPr>
        <w:t>врстама;</w:t>
      </w:r>
    </w:p>
    <w:p w:rsidR="00041039" w:rsidRDefault="001B26CB">
      <w:pPr>
        <w:pStyle w:val="ListParagraph"/>
        <w:numPr>
          <w:ilvl w:val="2"/>
          <w:numId w:val="976"/>
        </w:numPr>
        <w:tabs>
          <w:tab w:val="left" w:pos="1566"/>
        </w:tabs>
        <w:spacing w:line="160" w:lineRule="exact"/>
        <w:rPr>
          <w:sz w:val="14"/>
        </w:rPr>
      </w:pPr>
      <w:r>
        <w:rPr>
          <w:color w:val="231F20"/>
          <w:sz w:val="14"/>
        </w:rPr>
        <w:t>Оспособљавање ученика за тумачење језичко­стилских одлика текстова на српском</w:t>
      </w:r>
      <w:r>
        <w:rPr>
          <w:color w:val="231F20"/>
          <w:spacing w:val="-7"/>
          <w:sz w:val="14"/>
        </w:rPr>
        <w:t xml:space="preserve"> </w:t>
      </w:r>
      <w:r>
        <w:rPr>
          <w:color w:val="231F20"/>
          <w:sz w:val="14"/>
        </w:rPr>
        <w:t>језику;</w:t>
      </w:r>
    </w:p>
    <w:p w:rsidR="00041039" w:rsidRDefault="001B26CB">
      <w:pPr>
        <w:pStyle w:val="ListParagraph"/>
        <w:numPr>
          <w:ilvl w:val="2"/>
          <w:numId w:val="976"/>
        </w:numPr>
        <w:tabs>
          <w:tab w:val="left" w:pos="1566"/>
        </w:tabs>
        <w:spacing w:line="160" w:lineRule="exact"/>
        <w:rPr>
          <w:sz w:val="14"/>
        </w:rPr>
      </w:pPr>
      <w:r>
        <w:rPr>
          <w:color w:val="231F20"/>
          <w:sz w:val="14"/>
        </w:rPr>
        <w:t>Развијање интересовања ученика за даље учење српског</w:t>
      </w:r>
      <w:r>
        <w:rPr>
          <w:color w:val="231F20"/>
          <w:spacing w:val="-4"/>
          <w:sz w:val="14"/>
        </w:rPr>
        <w:t xml:space="preserve"> </w:t>
      </w:r>
      <w:r>
        <w:rPr>
          <w:color w:val="231F20"/>
          <w:sz w:val="14"/>
        </w:rPr>
        <w:t>језика;</w:t>
      </w:r>
    </w:p>
    <w:p w:rsidR="00041039" w:rsidRDefault="001B26CB">
      <w:pPr>
        <w:pStyle w:val="ListParagraph"/>
        <w:numPr>
          <w:ilvl w:val="2"/>
          <w:numId w:val="976"/>
        </w:numPr>
        <w:tabs>
          <w:tab w:val="left" w:pos="1566"/>
        </w:tabs>
        <w:spacing w:line="161" w:lineRule="exact"/>
        <w:rPr>
          <w:sz w:val="14"/>
        </w:rPr>
      </w:pPr>
      <w:r>
        <w:rPr>
          <w:color w:val="231F20"/>
          <w:sz w:val="14"/>
        </w:rPr>
        <w:t>Овладавање терминологијом у оквиру подручја</w:t>
      </w:r>
      <w:r>
        <w:rPr>
          <w:color w:val="231F20"/>
          <w:spacing w:val="-1"/>
          <w:sz w:val="14"/>
        </w:rPr>
        <w:t xml:space="preserve"> </w:t>
      </w:r>
      <w:r>
        <w:rPr>
          <w:color w:val="231F20"/>
          <w:sz w:val="14"/>
        </w:rPr>
        <w:t>рада.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0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737"/>
              </w:numPr>
              <w:tabs>
                <w:tab w:val="left" w:pos="157"/>
              </w:tabs>
              <w:spacing w:before="8"/>
              <w:ind w:right="64"/>
              <w:rPr>
                <w:sz w:val="14"/>
              </w:rPr>
            </w:pPr>
            <w:r>
              <w:rPr>
                <w:color w:val="231F20"/>
                <w:sz w:val="14"/>
              </w:rPr>
              <w:t>Оспособљавање ученика за правилан изговор гласова срп­ ског језика и</w:t>
            </w:r>
            <w:r>
              <w:rPr>
                <w:color w:val="231F20"/>
                <w:spacing w:val="-19"/>
                <w:sz w:val="14"/>
              </w:rPr>
              <w:t xml:space="preserve"> </w:t>
            </w:r>
            <w:r>
              <w:rPr>
                <w:color w:val="231F20"/>
                <w:sz w:val="14"/>
              </w:rPr>
              <w:t>правилно акцентовање</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736"/>
              </w:numPr>
              <w:tabs>
                <w:tab w:val="left" w:pos="157"/>
              </w:tabs>
              <w:spacing w:before="8"/>
              <w:ind w:right="104" w:hanging="99"/>
              <w:rPr>
                <w:sz w:val="14"/>
              </w:rPr>
            </w:pPr>
            <w:r>
              <w:rPr>
                <w:color w:val="231F20"/>
                <w:sz w:val="14"/>
              </w:rPr>
              <w:t>правилно</w:t>
            </w:r>
            <w:r>
              <w:rPr>
                <w:color w:val="231F20"/>
                <w:spacing w:val="-13"/>
                <w:sz w:val="14"/>
              </w:rPr>
              <w:t xml:space="preserve"> </w:t>
            </w:r>
            <w:r>
              <w:rPr>
                <w:color w:val="231F20"/>
                <w:sz w:val="14"/>
              </w:rPr>
              <w:t>артикулише</w:t>
            </w:r>
            <w:r>
              <w:rPr>
                <w:color w:val="231F20"/>
                <w:spacing w:val="-13"/>
                <w:sz w:val="14"/>
              </w:rPr>
              <w:t xml:space="preserve"> </w:t>
            </w:r>
            <w:r>
              <w:rPr>
                <w:color w:val="231F20"/>
                <w:sz w:val="14"/>
              </w:rPr>
              <w:t>гласове</w:t>
            </w:r>
            <w:r>
              <w:rPr>
                <w:color w:val="231F20"/>
                <w:spacing w:val="-12"/>
                <w:sz w:val="14"/>
              </w:rPr>
              <w:t xml:space="preserve"> </w:t>
            </w:r>
            <w:r>
              <w:rPr>
                <w:color w:val="231F20"/>
                <w:sz w:val="14"/>
              </w:rPr>
              <w:t>српског језика;</w:t>
            </w:r>
          </w:p>
          <w:p w:rsidR="00041039" w:rsidRDefault="001B26CB">
            <w:pPr>
              <w:pStyle w:val="TableParagraph"/>
              <w:numPr>
                <w:ilvl w:val="0"/>
                <w:numId w:val="736"/>
              </w:numPr>
              <w:tabs>
                <w:tab w:val="left" w:pos="157"/>
              </w:tabs>
              <w:spacing w:line="160" w:lineRule="exact"/>
              <w:ind w:right="241" w:hanging="99"/>
              <w:rPr>
                <w:sz w:val="14"/>
              </w:rPr>
            </w:pPr>
            <w:r>
              <w:rPr>
                <w:color w:val="231F20"/>
                <w:sz w:val="14"/>
              </w:rPr>
              <w:t>разликује акцентоване и</w:t>
            </w:r>
            <w:r>
              <w:rPr>
                <w:color w:val="231F20"/>
                <w:spacing w:val="-9"/>
                <w:sz w:val="14"/>
              </w:rPr>
              <w:t xml:space="preserve"> </w:t>
            </w:r>
            <w:r>
              <w:rPr>
                <w:color w:val="231F20"/>
                <w:sz w:val="14"/>
              </w:rPr>
              <w:t>неакценто­ ване</w:t>
            </w:r>
            <w:r>
              <w:rPr>
                <w:color w:val="231F20"/>
                <w:spacing w:val="-1"/>
                <w:sz w:val="14"/>
              </w:rPr>
              <w:t xml:space="preserve"> </w:t>
            </w:r>
            <w:r>
              <w:rPr>
                <w:color w:val="231F20"/>
                <w:sz w:val="14"/>
              </w:rPr>
              <w:t>речи;</w:t>
            </w:r>
          </w:p>
          <w:p w:rsidR="00041039" w:rsidRDefault="001B26CB">
            <w:pPr>
              <w:pStyle w:val="TableParagraph"/>
              <w:numPr>
                <w:ilvl w:val="0"/>
                <w:numId w:val="736"/>
              </w:numPr>
              <w:tabs>
                <w:tab w:val="left" w:pos="157"/>
              </w:tabs>
              <w:spacing w:line="160" w:lineRule="exact"/>
              <w:ind w:right="152" w:hanging="99"/>
              <w:rPr>
                <w:sz w:val="14"/>
              </w:rPr>
            </w:pPr>
            <w:r>
              <w:rPr>
                <w:color w:val="231F20"/>
                <w:sz w:val="14"/>
              </w:rPr>
              <w:t>примењује основна правила акценто­ вања</w:t>
            </w:r>
            <w:r>
              <w:rPr>
                <w:color w:val="231F20"/>
                <w:spacing w:val="-1"/>
                <w:sz w:val="14"/>
              </w:rPr>
              <w:t xml:space="preserve"> </w:t>
            </w:r>
            <w:r>
              <w:rPr>
                <w:color w:val="231F20"/>
                <w:sz w:val="14"/>
              </w:rPr>
              <w:t>речи;</w:t>
            </w:r>
          </w:p>
        </w:tc>
        <w:tc>
          <w:tcPr>
            <w:tcW w:w="2834" w:type="dxa"/>
          </w:tcPr>
          <w:p w:rsidR="00041039" w:rsidRDefault="001B26CB">
            <w:pPr>
              <w:pStyle w:val="TableParagraph"/>
              <w:numPr>
                <w:ilvl w:val="0"/>
                <w:numId w:val="735"/>
              </w:numPr>
              <w:tabs>
                <w:tab w:val="left" w:pos="157"/>
              </w:tabs>
              <w:spacing w:before="8"/>
              <w:ind w:right="71" w:hanging="99"/>
              <w:rPr>
                <w:sz w:val="14"/>
              </w:rPr>
            </w:pPr>
            <w:r>
              <w:rPr>
                <w:color w:val="231F20"/>
                <w:sz w:val="14"/>
              </w:rPr>
              <w:t>Вокалски и консонантски систем</w:t>
            </w:r>
            <w:r>
              <w:rPr>
                <w:color w:val="231F20"/>
                <w:spacing w:val="-14"/>
                <w:sz w:val="14"/>
              </w:rPr>
              <w:t xml:space="preserve"> </w:t>
            </w:r>
            <w:r>
              <w:rPr>
                <w:color w:val="231F20"/>
                <w:sz w:val="14"/>
              </w:rPr>
              <w:t>стандард­ ног српског</w:t>
            </w:r>
            <w:r>
              <w:rPr>
                <w:color w:val="231F20"/>
                <w:spacing w:val="-2"/>
                <w:sz w:val="14"/>
              </w:rPr>
              <w:t xml:space="preserve"> </w:t>
            </w:r>
            <w:r>
              <w:rPr>
                <w:color w:val="231F20"/>
                <w:sz w:val="14"/>
              </w:rPr>
              <w:t>језика.</w:t>
            </w:r>
          </w:p>
          <w:p w:rsidR="00041039" w:rsidRDefault="001B26CB">
            <w:pPr>
              <w:pStyle w:val="TableParagraph"/>
              <w:numPr>
                <w:ilvl w:val="0"/>
                <w:numId w:val="735"/>
              </w:numPr>
              <w:tabs>
                <w:tab w:val="left" w:pos="157"/>
              </w:tabs>
              <w:spacing w:line="153" w:lineRule="exact"/>
              <w:ind w:hanging="99"/>
              <w:rPr>
                <w:sz w:val="14"/>
              </w:rPr>
            </w:pPr>
            <w:r>
              <w:rPr>
                <w:color w:val="231F20"/>
                <w:sz w:val="14"/>
              </w:rPr>
              <w:t>Основе акценатског система српског</w:t>
            </w:r>
            <w:r>
              <w:rPr>
                <w:color w:val="231F20"/>
                <w:spacing w:val="-20"/>
                <w:sz w:val="14"/>
              </w:rPr>
              <w:t xml:space="preserve"> </w:t>
            </w:r>
            <w:r>
              <w:rPr>
                <w:color w:val="231F20"/>
                <w:sz w:val="14"/>
              </w:rPr>
              <w:t>језика.</w:t>
            </w:r>
          </w:p>
          <w:p w:rsidR="00041039" w:rsidRDefault="001B26CB">
            <w:pPr>
              <w:pStyle w:val="TableParagraph"/>
              <w:numPr>
                <w:ilvl w:val="0"/>
                <w:numId w:val="735"/>
              </w:numPr>
              <w:tabs>
                <w:tab w:val="left" w:pos="157"/>
              </w:tabs>
              <w:spacing w:line="166" w:lineRule="exact"/>
              <w:ind w:hanging="99"/>
              <w:rPr>
                <w:sz w:val="14"/>
              </w:rPr>
            </w:pPr>
            <w:r>
              <w:rPr>
                <w:color w:val="231F20"/>
                <w:sz w:val="14"/>
              </w:rPr>
              <w:t>Алтернације</w:t>
            </w:r>
            <w:r>
              <w:rPr>
                <w:color w:val="231F20"/>
                <w:spacing w:val="-2"/>
                <w:sz w:val="14"/>
              </w:rPr>
              <w:t xml:space="preserve"> </w:t>
            </w:r>
            <w:r>
              <w:rPr>
                <w:color w:val="231F20"/>
                <w:sz w:val="14"/>
              </w:rPr>
              <w:t>гласова.</w:t>
            </w:r>
          </w:p>
        </w:tc>
        <w:tc>
          <w:tcPr>
            <w:tcW w:w="2267" w:type="dxa"/>
            <w:vMerge w:val="restart"/>
          </w:tcPr>
          <w:p w:rsidR="00041039" w:rsidRDefault="001B26CB">
            <w:pPr>
              <w:pStyle w:val="TableParagraph"/>
              <w:numPr>
                <w:ilvl w:val="0"/>
                <w:numId w:val="734"/>
              </w:numPr>
              <w:tabs>
                <w:tab w:val="left" w:pos="158"/>
              </w:tabs>
              <w:spacing w:before="8"/>
              <w:ind w:right="50" w:hanging="99"/>
              <w:rPr>
                <w:sz w:val="14"/>
              </w:rPr>
            </w:pPr>
            <w:r>
              <w:rPr>
                <w:color w:val="231F20"/>
                <w:sz w:val="14"/>
              </w:rPr>
              <w:t>На почетку теме ученике упознати са циљ</w:t>
            </w:r>
            <w:r>
              <w:rPr>
                <w:color w:val="231F20"/>
                <w:sz w:val="14"/>
              </w:rPr>
              <w:t>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734"/>
              </w:numPr>
              <w:tabs>
                <w:tab w:val="left" w:pos="158"/>
              </w:tabs>
              <w:spacing w:before="1" w:line="160" w:lineRule="exact"/>
              <w:ind w:right="121" w:hanging="99"/>
              <w:rPr>
                <w:b/>
                <w:sz w:val="14"/>
              </w:rPr>
            </w:pPr>
            <w:r>
              <w:rPr>
                <w:color w:val="231F20"/>
                <w:sz w:val="14"/>
              </w:rPr>
              <w:t>теоријска настава са вежбама</w:t>
            </w:r>
            <w:r>
              <w:rPr>
                <w:color w:val="231F20"/>
                <w:spacing w:val="-10"/>
                <w:sz w:val="14"/>
              </w:rPr>
              <w:t xml:space="preserve"> </w:t>
            </w:r>
            <w:r>
              <w:rPr>
                <w:b/>
                <w:color w:val="231F20"/>
                <w:sz w:val="14"/>
              </w:rPr>
              <w:t>(70 часова)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734"/>
              </w:numPr>
              <w:tabs>
                <w:tab w:val="left" w:pos="158"/>
              </w:tabs>
              <w:spacing w:line="166"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734"/>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734"/>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734"/>
              </w:numPr>
              <w:tabs>
                <w:tab w:val="left" w:pos="158"/>
              </w:tabs>
              <w:spacing w:line="160" w:lineRule="exact"/>
              <w:ind w:hanging="99"/>
              <w:rPr>
                <w:b/>
                <w:sz w:val="14"/>
              </w:rPr>
            </w:pPr>
            <w:r>
              <w:rPr>
                <w:color w:val="231F20"/>
                <w:sz w:val="14"/>
              </w:rPr>
              <w:t xml:space="preserve">фонетика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734"/>
              </w:numPr>
              <w:tabs>
                <w:tab w:val="left" w:pos="158"/>
              </w:tabs>
              <w:spacing w:line="160" w:lineRule="exact"/>
              <w:ind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734"/>
              </w:numPr>
              <w:tabs>
                <w:tab w:val="left" w:pos="158"/>
              </w:tabs>
              <w:spacing w:line="160" w:lineRule="exact"/>
              <w:ind w:hanging="99"/>
              <w:rPr>
                <w:b/>
                <w:sz w:val="14"/>
              </w:rPr>
            </w:pPr>
            <w:r>
              <w:rPr>
                <w:color w:val="231F20"/>
                <w:sz w:val="14"/>
              </w:rPr>
              <w:t xml:space="preserve">творба речи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734"/>
              </w:numPr>
              <w:tabs>
                <w:tab w:val="left" w:pos="158"/>
              </w:tabs>
              <w:spacing w:line="160" w:lineRule="exact"/>
              <w:ind w:hanging="99"/>
              <w:rPr>
                <w:b/>
                <w:sz w:val="14"/>
              </w:rPr>
            </w:pPr>
            <w:r>
              <w:rPr>
                <w:color w:val="231F20"/>
                <w:sz w:val="14"/>
              </w:rPr>
              <w:t xml:space="preserve">синтакса </w:t>
            </w:r>
            <w:r>
              <w:rPr>
                <w:b/>
                <w:color w:val="231F20"/>
                <w:sz w:val="14"/>
              </w:rPr>
              <w:t>(9</w:t>
            </w:r>
            <w:r>
              <w:rPr>
                <w:b/>
                <w:color w:val="231F20"/>
                <w:spacing w:val="-10"/>
                <w:sz w:val="14"/>
              </w:rPr>
              <w:t xml:space="preserve"> </w:t>
            </w:r>
            <w:r>
              <w:rPr>
                <w:b/>
                <w:color w:val="231F20"/>
                <w:sz w:val="14"/>
              </w:rPr>
              <w:t>часова)</w:t>
            </w:r>
          </w:p>
          <w:p w:rsidR="00041039" w:rsidRDefault="001B26CB">
            <w:pPr>
              <w:pStyle w:val="TableParagraph"/>
              <w:numPr>
                <w:ilvl w:val="0"/>
                <w:numId w:val="734"/>
              </w:numPr>
              <w:tabs>
                <w:tab w:val="left" w:pos="158"/>
              </w:tabs>
              <w:spacing w:line="160" w:lineRule="exact"/>
              <w:ind w:hanging="99"/>
              <w:rPr>
                <w:b/>
                <w:sz w:val="14"/>
              </w:rPr>
            </w:pPr>
            <w:r>
              <w:rPr>
                <w:color w:val="231F20"/>
                <w:sz w:val="14"/>
              </w:rPr>
              <w:t xml:space="preserve">правопис </w:t>
            </w:r>
            <w:r>
              <w:rPr>
                <w:b/>
                <w:color w:val="231F20"/>
                <w:sz w:val="14"/>
              </w:rPr>
              <w:t>(9</w:t>
            </w:r>
            <w:r>
              <w:rPr>
                <w:b/>
                <w:color w:val="231F20"/>
                <w:spacing w:val="-12"/>
                <w:sz w:val="14"/>
              </w:rPr>
              <w:t xml:space="preserve"> </w:t>
            </w:r>
            <w:r>
              <w:rPr>
                <w:b/>
                <w:color w:val="231F20"/>
                <w:sz w:val="14"/>
              </w:rPr>
              <w:t>часова)</w:t>
            </w:r>
          </w:p>
          <w:p w:rsidR="00041039" w:rsidRDefault="001B26CB">
            <w:pPr>
              <w:pStyle w:val="TableParagraph"/>
              <w:numPr>
                <w:ilvl w:val="0"/>
                <w:numId w:val="734"/>
              </w:numPr>
              <w:tabs>
                <w:tab w:val="left" w:pos="158"/>
              </w:tabs>
              <w:spacing w:line="160" w:lineRule="exact"/>
              <w:ind w:hanging="99"/>
              <w:rPr>
                <w:b/>
                <w:sz w:val="14"/>
              </w:rPr>
            </w:pPr>
            <w:r>
              <w:rPr>
                <w:color w:val="231F20"/>
                <w:sz w:val="14"/>
              </w:rPr>
              <w:t xml:space="preserve">култура изражавања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numPr>
                <w:ilvl w:val="0"/>
                <w:numId w:val="734"/>
              </w:numPr>
              <w:tabs>
                <w:tab w:val="left" w:pos="158"/>
              </w:tabs>
              <w:spacing w:line="166" w:lineRule="exact"/>
              <w:ind w:hanging="99"/>
              <w:rPr>
                <w:b/>
                <w:sz w:val="14"/>
              </w:rPr>
            </w:pPr>
            <w:r>
              <w:rPr>
                <w:color w:val="231F20"/>
                <w:sz w:val="14"/>
              </w:rPr>
              <w:t xml:space="preserve">књижевност </w:t>
            </w:r>
            <w:r>
              <w:rPr>
                <w:b/>
                <w:color w:val="231F20"/>
                <w:sz w:val="14"/>
              </w:rPr>
              <w:t>(12</w:t>
            </w:r>
            <w:r>
              <w:rPr>
                <w:b/>
                <w:color w:val="231F20"/>
                <w:spacing w:val="-2"/>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ind w:left="58"/>
              <w:rPr>
                <w:sz w:val="14"/>
              </w:rPr>
            </w:pPr>
            <w:r>
              <w:rPr>
                <w:color w:val="231F20"/>
                <w:sz w:val="14"/>
              </w:rPr>
              <w:t>Наставни програм српског као нематерњег језика за средњу школу представља продужетак програ­</w:t>
            </w:r>
          </w:p>
          <w:p w:rsidR="00041039" w:rsidRDefault="001B26CB">
            <w:pPr>
              <w:pStyle w:val="TableParagraph"/>
              <w:spacing w:line="237" w:lineRule="auto"/>
              <w:ind w:left="58" w:right="18"/>
              <w:rPr>
                <w:sz w:val="14"/>
              </w:rPr>
            </w:pPr>
            <w:r>
              <w:rPr>
                <w:color w:val="231F20"/>
                <w:sz w:val="14"/>
              </w:rPr>
              <w:t>ма основне школе и обезбеђује континуитет наставе овог предмета. Стога, неопходно је да се наставник упозна са садржајем програма предмета српски као нематерњи језик за основну школу.</w:t>
            </w:r>
          </w:p>
          <w:p w:rsidR="00041039" w:rsidRDefault="001B26CB">
            <w:pPr>
              <w:pStyle w:val="TableParagraph"/>
              <w:spacing w:before="1" w:line="237" w:lineRule="auto"/>
              <w:ind w:left="58" w:right="18"/>
              <w:rPr>
                <w:sz w:val="14"/>
              </w:rPr>
            </w:pPr>
            <w:r>
              <w:rPr>
                <w:color w:val="231F20"/>
                <w:sz w:val="14"/>
              </w:rPr>
              <w:t>Ниво знања ученика из основне школе, у погледу овладаности српским језик</w:t>
            </w:r>
            <w:r>
              <w:rPr>
                <w:color w:val="231F20"/>
                <w:sz w:val="14"/>
              </w:rPr>
              <w:t xml:space="preserve">ом, веома је раз­ личит. Зато настава </w:t>
            </w:r>
            <w:r>
              <w:rPr>
                <w:i/>
                <w:color w:val="231F20"/>
                <w:sz w:val="14"/>
              </w:rPr>
              <w:t xml:space="preserve">српског као нематерњег језика </w:t>
            </w:r>
            <w:r>
              <w:rPr>
                <w:color w:val="231F20"/>
                <w:sz w:val="14"/>
              </w:rPr>
              <w:t>не може бити једнообразна и у њој се морају уважавати различите могућности и употребе ученика различитих сре­ дина и различитих матерњих јези­ ка. При том се у наставу наглашено укључује п</w:t>
            </w:r>
            <w:r>
              <w:rPr>
                <w:color w:val="231F20"/>
                <w:sz w:val="14"/>
              </w:rPr>
              <w:t>ринцип индивидуали­ зације и спровођење диференцира­ ног рада на различитим нивоима ученичког знања.</w:t>
            </w:r>
          </w:p>
        </w:tc>
      </w:tr>
      <w:tr w:rsidR="00041039">
        <w:trPr>
          <w:trHeight w:val="1320"/>
        </w:trPr>
        <w:tc>
          <w:tcPr>
            <w:tcW w:w="1304" w:type="dxa"/>
          </w:tcPr>
          <w:p w:rsidR="00041039" w:rsidRDefault="001B26CB">
            <w:pPr>
              <w:pStyle w:val="TableParagraph"/>
              <w:spacing w:before="19"/>
              <w:ind w:left="56"/>
              <w:rPr>
                <w:sz w:val="14"/>
              </w:rPr>
            </w:pPr>
            <w:r>
              <w:rPr>
                <w:color w:val="231F20"/>
                <w:sz w:val="14"/>
              </w:rPr>
              <w:t>Морфологија</w:t>
            </w:r>
          </w:p>
        </w:tc>
        <w:tc>
          <w:tcPr>
            <w:tcW w:w="1587" w:type="dxa"/>
          </w:tcPr>
          <w:p w:rsidR="00041039" w:rsidRDefault="001B26CB">
            <w:pPr>
              <w:pStyle w:val="TableParagraph"/>
              <w:numPr>
                <w:ilvl w:val="0"/>
                <w:numId w:val="733"/>
              </w:numPr>
              <w:tabs>
                <w:tab w:val="left" w:pos="157"/>
              </w:tabs>
              <w:spacing w:before="9"/>
              <w:ind w:right="119"/>
              <w:rPr>
                <w:sz w:val="14"/>
              </w:rPr>
            </w:pPr>
            <w:r>
              <w:rPr>
                <w:color w:val="231F20"/>
                <w:sz w:val="14"/>
              </w:rPr>
              <w:t>Упознавање ученика са правилном</w:t>
            </w:r>
            <w:r>
              <w:rPr>
                <w:color w:val="231F20"/>
                <w:spacing w:val="-9"/>
                <w:sz w:val="14"/>
              </w:rPr>
              <w:t xml:space="preserve"> </w:t>
            </w:r>
            <w:r>
              <w:rPr>
                <w:color w:val="231F20"/>
                <w:sz w:val="14"/>
              </w:rPr>
              <w:t>употре­ бом врста и облика речи.</w:t>
            </w:r>
          </w:p>
        </w:tc>
        <w:tc>
          <w:tcPr>
            <w:tcW w:w="2551" w:type="dxa"/>
          </w:tcPr>
          <w:p w:rsidR="00041039" w:rsidRDefault="001B26CB">
            <w:pPr>
              <w:pStyle w:val="TableParagraph"/>
              <w:numPr>
                <w:ilvl w:val="0"/>
                <w:numId w:val="732"/>
              </w:numPr>
              <w:tabs>
                <w:tab w:val="left" w:pos="157"/>
              </w:tabs>
              <w:spacing w:before="9" w:line="166" w:lineRule="exact"/>
              <w:ind w:hanging="99"/>
              <w:rPr>
                <w:sz w:val="14"/>
              </w:rPr>
            </w:pPr>
            <w:r>
              <w:rPr>
                <w:color w:val="231F20"/>
                <w:sz w:val="14"/>
              </w:rPr>
              <w:t>разликује врсте</w:t>
            </w:r>
            <w:r>
              <w:rPr>
                <w:color w:val="231F20"/>
                <w:spacing w:val="-2"/>
                <w:sz w:val="14"/>
              </w:rPr>
              <w:t xml:space="preserve"> </w:t>
            </w:r>
            <w:r>
              <w:rPr>
                <w:color w:val="231F20"/>
                <w:sz w:val="14"/>
              </w:rPr>
              <w:t>речи;</w:t>
            </w:r>
          </w:p>
          <w:p w:rsidR="00041039" w:rsidRDefault="001B26CB">
            <w:pPr>
              <w:pStyle w:val="TableParagraph"/>
              <w:numPr>
                <w:ilvl w:val="0"/>
                <w:numId w:val="732"/>
              </w:numPr>
              <w:tabs>
                <w:tab w:val="left" w:pos="157"/>
              </w:tabs>
              <w:spacing w:line="237" w:lineRule="auto"/>
              <w:ind w:right="377" w:hanging="99"/>
              <w:rPr>
                <w:sz w:val="14"/>
              </w:rPr>
            </w:pPr>
            <w:r>
              <w:rPr>
                <w:color w:val="231F20"/>
                <w:sz w:val="14"/>
              </w:rPr>
              <w:t>правилно употребљава род и</w:t>
            </w:r>
            <w:r>
              <w:rPr>
                <w:color w:val="231F20"/>
                <w:spacing w:val="-16"/>
                <w:sz w:val="14"/>
              </w:rPr>
              <w:t xml:space="preserve"> </w:t>
            </w:r>
            <w:r>
              <w:rPr>
                <w:color w:val="231F20"/>
                <w:sz w:val="14"/>
              </w:rPr>
              <w:t>број именских</w:t>
            </w:r>
            <w:r>
              <w:rPr>
                <w:color w:val="231F20"/>
                <w:spacing w:val="-2"/>
                <w:sz w:val="14"/>
              </w:rPr>
              <w:t xml:space="preserve"> </w:t>
            </w:r>
            <w:r>
              <w:rPr>
                <w:color w:val="231F20"/>
                <w:sz w:val="14"/>
              </w:rPr>
              <w:t>речи;</w:t>
            </w:r>
          </w:p>
          <w:p w:rsidR="00041039" w:rsidRDefault="001B26CB">
            <w:pPr>
              <w:pStyle w:val="TableParagraph"/>
              <w:numPr>
                <w:ilvl w:val="0"/>
                <w:numId w:val="732"/>
              </w:numPr>
              <w:tabs>
                <w:tab w:val="left" w:pos="157"/>
              </w:tabs>
              <w:spacing w:line="160" w:lineRule="exact"/>
              <w:ind w:right="311" w:hanging="99"/>
              <w:rPr>
                <w:sz w:val="14"/>
              </w:rPr>
            </w:pPr>
            <w:r>
              <w:rPr>
                <w:color w:val="231F20"/>
                <w:sz w:val="14"/>
              </w:rPr>
              <w:t>правилно употребљава лице, род</w:t>
            </w:r>
            <w:r>
              <w:rPr>
                <w:color w:val="231F20"/>
                <w:spacing w:val="-19"/>
                <w:sz w:val="14"/>
              </w:rPr>
              <w:t xml:space="preserve"> </w:t>
            </w:r>
            <w:r>
              <w:rPr>
                <w:color w:val="231F20"/>
                <w:sz w:val="14"/>
              </w:rPr>
              <w:t xml:space="preserve">и број </w:t>
            </w:r>
            <w:r>
              <w:rPr>
                <w:color w:val="231F20"/>
                <w:spacing w:val="-3"/>
                <w:sz w:val="14"/>
              </w:rPr>
              <w:t>глагола;</w:t>
            </w:r>
          </w:p>
          <w:p w:rsidR="00041039" w:rsidRDefault="001B26CB">
            <w:pPr>
              <w:pStyle w:val="TableParagraph"/>
              <w:numPr>
                <w:ilvl w:val="0"/>
                <w:numId w:val="732"/>
              </w:numPr>
              <w:tabs>
                <w:tab w:val="left" w:pos="157"/>
              </w:tabs>
              <w:spacing w:line="153" w:lineRule="exact"/>
              <w:ind w:hanging="99"/>
              <w:rPr>
                <w:sz w:val="14"/>
              </w:rPr>
            </w:pPr>
            <w:r>
              <w:rPr>
                <w:color w:val="231F20"/>
                <w:sz w:val="14"/>
              </w:rPr>
              <w:t xml:space="preserve">разликује </w:t>
            </w:r>
            <w:r>
              <w:rPr>
                <w:color w:val="231F20"/>
                <w:spacing w:val="-3"/>
                <w:sz w:val="14"/>
              </w:rPr>
              <w:t xml:space="preserve">глаголе </w:t>
            </w:r>
            <w:r>
              <w:rPr>
                <w:color w:val="231F20"/>
                <w:sz w:val="14"/>
              </w:rPr>
              <w:t>по виду и</w:t>
            </w:r>
            <w:r>
              <w:rPr>
                <w:color w:val="231F20"/>
                <w:spacing w:val="-4"/>
                <w:sz w:val="14"/>
              </w:rPr>
              <w:t xml:space="preserve"> </w:t>
            </w:r>
            <w:r>
              <w:rPr>
                <w:color w:val="231F20"/>
                <w:sz w:val="14"/>
              </w:rPr>
              <w:t>роду;</w:t>
            </w:r>
          </w:p>
          <w:p w:rsidR="00041039" w:rsidRDefault="001B26CB">
            <w:pPr>
              <w:pStyle w:val="TableParagraph"/>
              <w:numPr>
                <w:ilvl w:val="0"/>
                <w:numId w:val="732"/>
              </w:numPr>
              <w:tabs>
                <w:tab w:val="left" w:pos="157"/>
              </w:tabs>
              <w:spacing w:line="237" w:lineRule="auto"/>
              <w:ind w:right="422" w:hanging="99"/>
              <w:rPr>
                <w:sz w:val="14"/>
              </w:rPr>
            </w:pPr>
            <w:r>
              <w:rPr>
                <w:color w:val="231F20"/>
                <w:sz w:val="14"/>
              </w:rPr>
              <w:t>разликује основне</w:t>
            </w:r>
            <w:r>
              <w:rPr>
                <w:color w:val="231F20"/>
                <w:spacing w:val="-20"/>
                <w:sz w:val="14"/>
              </w:rPr>
              <w:t xml:space="preserve"> </w:t>
            </w:r>
            <w:r>
              <w:rPr>
                <w:color w:val="231F20"/>
                <w:sz w:val="14"/>
              </w:rPr>
              <w:t>лексиколошке категорије;</w:t>
            </w:r>
          </w:p>
        </w:tc>
        <w:tc>
          <w:tcPr>
            <w:tcW w:w="2834" w:type="dxa"/>
          </w:tcPr>
          <w:p w:rsidR="00041039" w:rsidRDefault="001B26CB">
            <w:pPr>
              <w:pStyle w:val="TableParagraph"/>
              <w:numPr>
                <w:ilvl w:val="0"/>
                <w:numId w:val="731"/>
              </w:numPr>
              <w:tabs>
                <w:tab w:val="left" w:pos="157"/>
              </w:tabs>
              <w:spacing w:before="9"/>
              <w:ind w:right="720" w:hanging="99"/>
              <w:rPr>
                <w:sz w:val="14"/>
              </w:rPr>
            </w:pPr>
            <w:r>
              <w:rPr>
                <w:color w:val="231F20"/>
                <w:sz w:val="14"/>
              </w:rPr>
              <w:t>Врсте речи и њихове</w:t>
            </w:r>
            <w:r>
              <w:rPr>
                <w:color w:val="231F20"/>
                <w:spacing w:val="-25"/>
                <w:sz w:val="14"/>
              </w:rPr>
              <w:t xml:space="preserve"> </w:t>
            </w:r>
            <w:r>
              <w:rPr>
                <w:color w:val="231F20"/>
                <w:sz w:val="14"/>
              </w:rPr>
              <w:t>граматичке категорије.</w:t>
            </w:r>
          </w:p>
          <w:p w:rsidR="00041039" w:rsidRDefault="001B26CB">
            <w:pPr>
              <w:pStyle w:val="TableParagraph"/>
              <w:numPr>
                <w:ilvl w:val="0"/>
                <w:numId w:val="731"/>
              </w:numPr>
              <w:tabs>
                <w:tab w:val="left" w:pos="157"/>
              </w:tabs>
              <w:spacing w:before="1" w:line="160" w:lineRule="exact"/>
              <w:ind w:right="855" w:hanging="99"/>
              <w:rPr>
                <w:sz w:val="14"/>
              </w:rPr>
            </w:pPr>
            <w:r>
              <w:rPr>
                <w:color w:val="231F20"/>
                <w:sz w:val="14"/>
              </w:rPr>
              <w:t>Речи са деклинацијом, речи</w:t>
            </w:r>
            <w:r>
              <w:rPr>
                <w:color w:val="231F20"/>
                <w:spacing w:val="-11"/>
                <w:sz w:val="14"/>
              </w:rPr>
              <w:t xml:space="preserve"> </w:t>
            </w:r>
            <w:r>
              <w:rPr>
                <w:color w:val="231F20"/>
                <w:sz w:val="14"/>
              </w:rPr>
              <w:t>са конјугацијом.</w:t>
            </w:r>
          </w:p>
          <w:p w:rsidR="00041039" w:rsidRDefault="001B26CB">
            <w:pPr>
              <w:pStyle w:val="TableParagraph"/>
              <w:numPr>
                <w:ilvl w:val="0"/>
                <w:numId w:val="731"/>
              </w:numPr>
              <w:tabs>
                <w:tab w:val="left" w:pos="157"/>
              </w:tabs>
              <w:spacing w:line="153" w:lineRule="exact"/>
              <w:ind w:hanging="99"/>
              <w:rPr>
                <w:sz w:val="14"/>
              </w:rPr>
            </w:pPr>
            <w:r>
              <w:rPr>
                <w:color w:val="231F20"/>
                <w:spacing w:val="-3"/>
                <w:sz w:val="14"/>
              </w:rPr>
              <w:t xml:space="preserve">Глаголски </w:t>
            </w:r>
            <w:r>
              <w:rPr>
                <w:color w:val="231F20"/>
                <w:sz w:val="14"/>
              </w:rPr>
              <w:t>облици ­ лични и</w:t>
            </w:r>
            <w:r>
              <w:rPr>
                <w:color w:val="231F20"/>
                <w:spacing w:val="-4"/>
                <w:sz w:val="14"/>
              </w:rPr>
              <w:t xml:space="preserve"> </w:t>
            </w:r>
            <w:r>
              <w:rPr>
                <w:color w:val="231F20"/>
                <w:sz w:val="14"/>
              </w:rPr>
              <w:t>нелични.</w:t>
            </w:r>
          </w:p>
          <w:p w:rsidR="00041039" w:rsidRDefault="001B26CB">
            <w:pPr>
              <w:pStyle w:val="TableParagraph"/>
              <w:numPr>
                <w:ilvl w:val="0"/>
                <w:numId w:val="731"/>
              </w:numPr>
              <w:tabs>
                <w:tab w:val="left" w:pos="157"/>
              </w:tabs>
              <w:spacing w:line="166" w:lineRule="exact"/>
              <w:ind w:hanging="99"/>
              <w:rPr>
                <w:sz w:val="14"/>
              </w:rPr>
            </w:pPr>
            <w:r>
              <w:rPr>
                <w:color w:val="231F20"/>
                <w:sz w:val="14"/>
              </w:rPr>
              <w:t>Основне лексиколошке</w:t>
            </w:r>
            <w:r>
              <w:rPr>
                <w:color w:val="231F20"/>
                <w:spacing w:val="-6"/>
                <w:sz w:val="14"/>
              </w:rPr>
              <w:t xml:space="preserve"> </w:t>
            </w:r>
            <w:r>
              <w:rPr>
                <w:color w:val="231F20"/>
                <w:sz w:val="14"/>
              </w:rPr>
              <w:t>категорије.</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6"/>
              <w:rPr>
                <w:sz w:val="14"/>
              </w:rPr>
            </w:pPr>
            <w:r>
              <w:rPr>
                <w:color w:val="231F20"/>
                <w:sz w:val="14"/>
              </w:rPr>
              <w:t>Творба речи</w:t>
            </w:r>
          </w:p>
        </w:tc>
        <w:tc>
          <w:tcPr>
            <w:tcW w:w="1587" w:type="dxa"/>
          </w:tcPr>
          <w:p w:rsidR="00041039" w:rsidRDefault="001B26CB">
            <w:pPr>
              <w:pStyle w:val="TableParagraph"/>
              <w:numPr>
                <w:ilvl w:val="0"/>
                <w:numId w:val="730"/>
              </w:numPr>
              <w:tabs>
                <w:tab w:val="left" w:pos="157"/>
              </w:tabs>
              <w:spacing w:before="11" w:line="237" w:lineRule="auto"/>
              <w:ind w:right="232"/>
              <w:jc w:val="both"/>
              <w:rPr>
                <w:sz w:val="14"/>
              </w:rPr>
            </w:pPr>
            <w:r>
              <w:rPr>
                <w:color w:val="231F20"/>
                <w:sz w:val="14"/>
              </w:rPr>
              <w:t>Упознавање и</w:t>
            </w:r>
            <w:r>
              <w:rPr>
                <w:color w:val="231F20"/>
                <w:spacing w:val="-16"/>
                <w:sz w:val="14"/>
              </w:rPr>
              <w:t xml:space="preserve"> </w:t>
            </w:r>
            <w:r>
              <w:rPr>
                <w:color w:val="231F20"/>
                <w:sz w:val="14"/>
              </w:rPr>
              <w:t>оспо­ собљавање ученика за примену правила творбе</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729"/>
              </w:numPr>
              <w:tabs>
                <w:tab w:val="left" w:pos="157"/>
              </w:tabs>
              <w:spacing w:before="10"/>
              <w:ind w:right="369" w:hanging="99"/>
              <w:rPr>
                <w:sz w:val="14"/>
              </w:rPr>
            </w:pPr>
            <w:r>
              <w:rPr>
                <w:color w:val="231F20"/>
                <w:sz w:val="14"/>
              </w:rPr>
              <w:t>правилно гради различите типове твореница;</w:t>
            </w:r>
          </w:p>
        </w:tc>
        <w:tc>
          <w:tcPr>
            <w:tcW w:w="2834" w:type="dxa"/>
          </w:tcPr>
          <w:p w:rsidR="00041039" w:rsidRDefault="001B26CB">
            <w:pPr>
              <w:pStyle w:val="TableParagraph"/>
              <w:numPr>
                <w:ilvl w:val="0"/>
                <w:numId w:val="728"/>
              </w:numPr>
              <w:tabs>
                <w:tab w:val="left" w:pos="158"/>
              </w:tabs>
              <w:spacing w:before="10"/>
              <w:ind w:right="118"/>
              <w:rPr>
                <w:sz w:val="14"/>
              </w:rPr>
            </w:pPr>
            <w:r>
              <w:rPr>
                <w:color w:val="231F20"/>
                <w:sz w:val="14"/>
              </w:rPr>
              <w:t>Изведене</w:t>
            </w:r>
            <w:r>
              <w:rPr>
                <w:color w:val="231F20"/>
                <w:spacing w:val="-6"/>
                <w:sz w:val="14"/>
              </w:rPr>
              <w:t xml:space="preserve"> </w:t>
            </w:r>
            <w:r>
              <w:rPr>
                <w:color w:val="231F20"/>
                <w:sz w:val="14"/>
              </w:rPr>
              <w:t>и</w:t>
            </w:r>
            <w:r>
              <w:rPr>
                <w:color w:val="231F20"/>
                <w:spacing w:val="-6"/>
                <w:sz w:val="14"/>
              </w:rPr>
              <w:t xml:space="preserve"> </w:t>
            </w:r>
            <w:r>
              <w:rPr>
                <w:color w:val="231F20"/>
                <w:sz w:val="14"/>
              </w:rPr>
              <w:t>сложене</w:t>
            </w:r>
            <w:r>
              <w:rPr>
                <w:color w:val="231F20"/>
                <w:spacing w:val="-6"/>
                <w:sz w:val="14"/>
              </w:rPr>
              <w:t xml:space="preserve"> </w:t>
            </w:r>
            <w:r>
              <w:rPr>
                <w:color w:val="231F20"/>
                <w:sz w:val="14"/>
              </w:rPr>
              <w:t>речи</w:t>
            </w:r>
            <w:r>
              <w:rPr>
                <w:color w:val="231F20"/>
                <w:spacing w:val="-6"/>
                <w:sz w:val="14"/>
              </w:rPr>
              <w:t xml:space="preserve"> </w:t>
            </w:r>
            <w:r>
              <w:rPr>
                <w:color w:val="231F20"/>
                <w:sz w:val="14"/>
              </w:rPr>
              <w:t>(улога</w:t>
            </w:r>
            <w:r>
              <w:rPr>
                <w:color w:val="231F20"/>
                <w:spacing w:val="-6"/>
                <w:sz w:val="14"/>
              </w:rPr>
              <w:t xml:space="preserve"> </w:t>
            </w:r>
            <w:r>
              <w:rPr>
                <w:color w:val="231F20"/>
                <w:sz w:val="14"/>
              </w:rPr>
              <w:t>префикса, суфикса и спојних вокала у грађењу</w:t>
            </w:r>
            <w:r>
              <w:rPr>
                <w:color w:val="231F20"/>
                <w:spacing w:val="-26"/>
                <w:sz w:val="14"/>
              </w:rPr>
              <w:t xml:space="preserve"> </w:t>
            </w:r>
            <w:r>
              <w:rPr>
                <w:color w:val="231F20"/>
                <w:sz w:val="14"/>
              </w:rPr>
              <w:t>речи).</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Синтакса</w:t>
            </w:r>
          </w:p>
        </w:tc>
        <w:tc>
          <w:tcPr>
            <w:tcW w:w="1587" w:type="dxa"/>
          </w:tcPr>
          <w:p w:rsidR="00041039" w:rsidRDefault="001B26CB">
            <w:pPr>
              <w:pStyle w:val="TableParagraph"/>
              <w:numPr>
                <w:ilvl w:val="0"/>
                <w:numId w:val="727"/>
              </w:numPr>
              <w:tabs>
                <w:tab w:val="left" w:pos="157"/>
              </w:tabs>
              <w:spacing w:before="10"/>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726"/>
              </w:numPr>
              <w:tabs>
                <w:tab w:val="left" w:pos="157"/>
              </w:tabs>
              <w:spacing w:before="10"/>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numPr>
                <w:ilvl w:val="0"/>
                <w:numId w:val="726"/>
              </w:numPr>
              <w:tabs>
                <w:tab w:val="left" w:pos="157"/>
              </w:tabs>
              <w:spacing w:line="160" w:lineRule="exact"/>
              <w:ind w:right="95" w:hanging="99"/>
              <w:rPr>
                <w:sz w:val="14"/>
              </w:rPr>
            </w:pPr>
            <w:r>
              <w:rPr>
                <w:color w:val="231F20"/>
                <w:sz w:val="14"/>
              </w:rPr>
              <w:t>препознаје</w:t>
            </w:r>
            <w:r>
              <w:rPr>
                <w:color w:val="231F20"/>
                <w:spacing w:val="-12"/>
                <w:sz w:val="14"/>
              </w:rPr>
              <w:t xml:space="preserve"> </w:t>
            </w:r>
            <w:r>
              <w:rPr>
                <w:color w:val="231F20"/>
                <w:sz w:val="14"/>
              </w:rPr>
              <w:t>врсту</w:t>
            </w:r>
            <w:r>
              <w:rPr>
                <w:color w:val="231F20"/>
                <w:spacing w:val="-11"/>
                <w:sz w:val="14"/>
              </w:rPr>
              <w:t xml:space="preserve"> </w:t>
            </w:r>
            <w:r>
              <w:rPr>
                <w:color w:val="231F20"/>
                <w:sz w:val="14"/>
              </w:rPr>
              <w:t>комуникативне</w:t>
            </w:r>
            <w:r>
              <w:rPr>
                <w:color w:val="231F20"/>
                <w:spacing w:val="-11"/>
                <w:sz w:val="14"/>
              </w:rPr>
              <w:t xml:space="preserve"> </w:t>
            </w:r>
            <w:r>
              <w:rPr>
                <w:color w:val="231F20"/>
                <w:sz w:val="14"/>
              </w:rPr>
              <w:t>рече­ нице, као и њену</w:t>
            </w:r>
            <w:r>
              <w:rPr>
                <w:color w:val="231F20"/>
                <w:spacing w:val="-6"/>
                <w:sz w:val="14"/>
              </w:rPr>
              <w:t xml:space="preserve"> </w:t>
            </w:r>
            <w:r>
              <w:rPr>
                <w:color w:val="231F20"/>
                <w:sz w:val="14"/>
              </w:rPr>
              <w:t>функцију;</w:t>
            </w:r>
          </w:p>
        </w:tc>
        <w:tc>
          <w:tcPr>
            <w:tcW w:w="2834" w:type="dxa"/>
          </w:tcPr>
          <w:p w:rsidR="00041039" w:rsidRDefault="001B26CB">
            <w:pPr>
              <w:pStyle w:val="TableParagraph"/>
              <w:numPr>
                <w:ilvl w:val="0"/>
                <w:numId w:val="725"/>
              </w:numPr>
              <w:tabs>
                <w:tab w:val="left" w:pos="158"/>
              </w:tabs>
              <w:spacing w:before="10"/>
              <w:ind w:right="248"/>
              <w:rPr>
                <w:sz w:val="14"/>
              </w:rPr>
            </w:pPr>
            <w:r>
              <w:rPr>
                <w:color w:val="231F20"/>
                <w:sz w:val="14"/>
              </w:rPr>
              <w:t>Основни реченични чланови</w:t>
            </w:r>
            <w:r>
              <w:rPr>
                <w:color w:val="231F20"/>
                <w:spacing w:val="-18"/>
                <w:sz w:val="14"/>
              </w:rPr>
              <w:t xml:space="preserve"> </w:t>
            </w:r>
            <w:r>
              <w:rPr>
                <w:color w:val="231F20"/>
                <w:sz w:val="14"/>
              </w:rPr>
              <w:t>(одредбени и допунски), изражавање лексемама и синтагмама.</w:t>
            </w:r>
          </w:p>
          <w:p w:rsidR="00041039" w:rsidRDefault="001B26CB">
            <w:pPr>
              <w:pStyle w:val="TableParagraph"/>
              <w:numPr>
                <w:ilvl w:val="0"/>
                <w:numId w:val="725"/>
              </w:numPr>
              <w:tabs>
                <w:tab w:val="left" w:pos="158"/>
              </w:tabs>
              <w:spacing w:line="157" w:lineRule="exact"/>
              <w:rPr>
                <w:sz w:val="14"/>
              </w:rPr>
            </w:pPr>
            <w:r>
              <w:rPr>
                <w:color w:val="231F20"/>
                <w:sz w:val="14"/>
              </w:rPr>
              <w:t>Врсте реченице по комуникативној</w:t>
            </w:r>
            <w:r>
              <w:rPr>
                <w:color w:val="231F20"/>
                <w:spacing w:val="-15"/>
                <w:sz w:val="14"/>
              </w:rPr>
              <w:t xml:space="preserve"> </w:t>
            </w:r>
            <w:r>
              <w:rPr>
                <w:color w:val="231F20"/>
                <w:sz w:val="14"/>
              </w:rPr>
              <w:t>функ­</w:t>
            </w:r>
          </w:p>
          <w:p w:rsidR="00041039" w:rsidRDefault="001B26CB">
            <w:pPr>
              <w:pStyle w:val="TableParagraph"/>
              <w:spacing w:line="160" w:lineRule="exact"/>
              <w:ind w:left="157"/>
              <w:rPr>
                <w:sz w:val="14"/>
              </w:rPr>
            </w:pPr>
            <w:r>
              <w:rPr>
                <w:color w:val="231F20"/>
                <w:sz w:val="14"/>
              </w:rPr>
              <w:t>цији.</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numPr>
                <w:ilvl w:val="0"/>
                <w:numId w:val="724"/>
              </w:numPr>
              <w:tabs>
                <w:tab w:val="left" w:pos="157"/>
              </w:tabs>
              <w:spacing w:before="10"/>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723"/>
              </w:numPr>
              <w:tabs>
                <w:tab w:val="left" w:pos="158"/>
              </w:tabs>
              <w:spacing w:before="10"/>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722"/>
              </w:numPr>
              <w:tabs>
                <w:tab w:val="left" w:pos="158"/>
              </w:tabs>
              <w:spacing w:before="10"/>
              <w:ind w:right="137"/>
              <w:rPr>
                <w:sz w:val="14"/>
              </w:rPr>
            </w:pPr>
            <w:r>
              <w:rPr>
                <w:color w:val="231F20"/>
                <w:sz w:val="14"/>
              </w:rPr>
              <w:t>Карактеристике фонетског правописа</w:t>
            </w:r>
            <w:r>
              <w:rPr>
                <w:color w:val="231F20"/>
                <w:spacing w:val="-16"/>
                <w:sz w:val="14"/>
              </w:rPr>
              <w:t xml:space="preserve"> </w:t>
            </w:r>
            <w:r>
              <w:rPr>
                <w:color w:val="231F20"/>
                <w:sz w:val="14"/>
              </w:rPr>
              <w:t>(по­ себно</w:t>
            </w:r>
            <w:r>
              <w:rPr>
                <w:color w:val="231F20"/>
                <w:spacing w:val="-5"/>
                <w:sz w:val="14"/>
              </w:rPr>
              <w:t xml:space="preserve"> </w:t>
            </w:r>
            <w:r>
              <w:rPr>
                <w:color w:val="231F20"/>
                <w:sz w:val="14"/>
              </w:rPr>
              <w:t>с</w:t>
            </w:r>
            <w:r>
              <w:rPr>
                <w:color w:val="231F20"/>
                <w:spacing w:val="-5"/>
                <w:sz w:val="14"/>
              </w:rPr>
              <w:t xml:space="preserve"> </w:t>
            </w:r>
            <w:r>
              <w:rPr>
                <w:color w:val="231F20"/>
                <w:sz w:val="14"/>
              </w:rPr>
              <w:t>обзиром</w:t>
            </w:r>
            <w:r>
              <w:rPr>
                <w:color w:val="231F20"/>
                <w:spacing w:val="-5"/>
                <w:sz w:val="14"/>
              </w:rPr>
              <w:t xml:space="preserve"> </w:t>
            </w:r>
            <w:r>
              <w:rPr>
                <w:color w:val="231F20"/>
                <w:sz w:val="14"/>
              </w:rPr>
              <w:t>на</w:t>
            </w:r>
            <w:r>
              <w:rPr>
                <w:color w:val="231F20"/>
                <w:spacing w:val="-6"/>
                <w:sz w:val="14"/>
              </w:rPr>
              <w:t xml:space="preserve"> </w:t>
            </w:r>
            <w:r>
              <w:rPr>
                <w:color w:val="231F20"/>
                <w:sz w:val="14"/>
              </w:rPr>
              <w:t>гласовне</w:t>
            </w:r>
            <w:r>
              <w:rPr>
                <w:color w:val="231F20"/>
                <w:spacing w:val="-6"/>
                <w:sz w:val="14"/>
              </w:rPr>
              <w:t xml:space="preserve"> </w:t>
            </w:r>
            <w:r>
              <w:rPr>
                <w:color w:val="231F20"/>
                <w:sz w:val="14"/>
              </w:rPr>
              <w:t>алтернације).</w:t>
            </w:r>
          </w:p>
          <w:p w:rsidR="00041039" w:rsidRDefault="001B26CB">
            <w:pPr>
              <w:pStyle w:val="TableParagraph"/>
              <w:numPr>
                <w:ilvl w:val="0"/>
                <w:numId w:val="722"/>
              </w:numPr>
              <w:tabs>
                <w:tab w:val="left" w:pos="158"/>
              </w:tabs>
              <w:spacing w:line="153" w:lineRule="exact"/>
              <w:rPr>
                <w:sz w:val="14"/>
              </w:rPr>
            </w:pPr>
            <w:r>
              <w:rPr>
                <w:color w:val="231F20"/>
                <w:sz w:val="14"/>
              </w:rPr>
              <w:t>Велико и мало</w:t>
            </w:r>
            <w:r>
              <w:rPr>
                <w:color w:val="231F20"/>
                <w:spacing w:val="-3"/>
                <w:sz w:val="14"/>
              </w:rPr>
              <w:t xml:space="preserve"> </w:t>
            </w:r>
            <w:r>
              <w:rPr>
                <w:color w:val="231F20"/>
                <w:sz w:val="14"/>
              </w:rPr>
              <w:t>слово.</w:t>
            </w:r>
          </w:p>
          <w:p w:rsidR="00041039" w:rsidRDefault="001B26CB">
            <w:pPr>
              <w:pStyle w:val="TableParagraph"/>
              <w:numPr>
                <w:ilvl w:val="0"/>
                <w:numId w:val="722"/>
              </w:numPr>
              <w:tabs>
                <w:tab w:val="left" w:pos="158"/>
              </w:tabs>
              <w:spacing w:line="160" w:lineRule="exact"/>
              <w:rPr>
                <w:sz w:val="14"/>
              </w:rPr>
            </w:pPr>
            <w:r>
              <w:rPr>
                <w:color w:val="231F20"/>
                <w:sz w:val="14"/>
              </w:rPr>
              <w:t>Састављено и растављено писање</w:t>
            </w:r>
            <w:r>
              <w:rPr>
                <w:color w:val="231F20"/>
                <w:spacing w:val="-2"/>
                <w:sz w:val="14"/>
              </w:rPr>
              <w:t xml:space="preserve"> </w:t>
            </w:r>
            <w:r>
              <w:rPr>
                <w:color w:val="231F20"/>
                <w:sz w:val="14"/>
              </w:rPr>
              <w:t>речи.</w:t>
            </w:r>
          </w:p>
          <w:p w:rsidR="00041039" w:rsidRDefault="001B26CB">
            <w:pPr>
              <w:pStyle w:val="TableParagraph"/>
              <w:numPr>
                <w:ilvl w:val="0"/>
                <w:numId w:val="722"/>
              </w:numPr>
              <w:tabs>
                <w:tab w:val="left" w:pos="158"/>
              </w:tabs>
              <w:spacing w:line="165" w:lineRule="exact"/>
              <w:rPr>
                <w:sz w:val="14"/>
              </w:rPr>
            </w:pPr>
            <w:r>
              <w:rPr>
                <w:color w:val="231F20"/>
                <w:sz w:val="14"/>
              </w:rPr>
              <w:t>Правописни знаци и знаци</w:t>
            </w:r>
            <w:r>
              <w:rPr>
                <w:color w:val="231F20"/>
                <w:spacing w:val="-16"/>
                <w:sz w:val="14"/>
              </w:rPr>
              <w:t xml:space="preserve"> </w:t>
            </w:r>
            <w:r>
              <w:rPr>
                <w:color w:val="231F20"/>
                <w:sz w:val="14"/>
              </w:rPr>
              <w:t>интерпункције.</w:t>
            </w:r>
          </w:p>
        </w:tc>
        <w:tc>
          <w:tcPr>
            <w:tcW w:w="2267" w:type="dxa"/>
            <w:vMerge/>
            <w:tcBorders>
              <w:top w:val="nil"/>
            </w:tcBorders>
          </w:tcPr>
          <w:p w:rsidR="00041039" w:rsidRDefault="00041039">
            <w:pPr>
              <w:rPr>
                <w:sz w:val="2"/>
                <w:szCs w:val="2"/>
              </w:rPr>
            </w:pPr>
          </w:p>
        </w:tc>
      </w:tr>
      <w:tr w:rsidR="00041039">
        <w:trPr>
          <w:trHeight w:val="4908"/>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721"/>
              </w:numPr>
              <w:tabs>
                <w:tab w:val="left" w:pos="157"/>
              </w:tabs>
              <w:spacing w:before="10"/>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720"/>
              </w:numPr>
              <w:tabs>
                <w:tab w:val="left" w:pos="158"/>
              </w:tabs>
              <w:spacing w:before="10"/>
              <w:ind w:right="116"/>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720"/>
              </w:numPr>
              <w:tabs>
                <w:tab w:val="left" w:pos="158"/>
              </w:tabs>
              <w:spacing w:line="160" w:lineRule="exact"/>
              <w:ind w:right="158"/>
              <w:rPr>
                <w:sz w:val="14"/>
              </w:rPr>
            </w:pPr>
            <w:r>
              <w:rPr>
                <w:color w:val="231F20"/>
                <w:sz w:val="14"/>
              </w:rPr>
              <w:t>даје комплексније одговоре на</w:t>
            </w:r>
            <w:r>
              <w:rPr>
                <w:color w:val="231F20"/>
                <w:spacing w:val="-23"/>
                <w:sz w:val="14"/>
              </w:rPr>
              <w:t xml:space="preserve"> </w:t>
            </w:r>
            <w:r>
              <w:rPr>
                <w:color w:val="231F20"/>
                <w:sz w:val="14"/>
              </w:rPr>
              <w:t>поста­ вљена питања и поставља</w:t>
            </w:r>
            <w:r>
              <w:rPr>
                <w:color w:val="231F20"/>
                <w:spacing w:val="-4"/>
                <w:sz w:val="14"/>
              </w:rPr>
              <w:t xml:space="preserve"> </w:t>
            </w:r>
            <w:r>
              <w:rPr>
                <w:color w:val="231F20"/>
                <w:sz w:val="14"/>
              </w:rPr>
              <w:t>питања;</w:t>
            </w:r>
          </w:p>
        </w:tc>
        <w:tc>
          <w:tcPr>
            <w:tcW w:w="2834" w:type="dxa"/>
          </w:tcPr>
          <w:p w:rsidR="00041039" w:rsidRDefault="001B26CB">
            <w:pPr>
              <w:pStyle w:val="TableParagraph"/>
              <w:numPr>
                <w:ilvl w:val="0"/>
                <w:numId w:val="719"/>
              </w:numPr>
              <w:tabs>
                <w:tab w:val="left" w:pos="158"/>
              </w:tabs>
              <w:spacing w:before="10" w:line="171" w:lineRule="exact"/>
              <w:ind w:hanging="99"/>
              <w:rPr>
                <w:sz w:val="14"/>
              </w:rPr>
            </w:pPr>
            <w:r>
              <w:rPr>
                <w:color w:val="231F20"/>
                <w:sz w:val="14"/>
              </w:rPr>
              <w:t>Тематика:</w:t>
            </w:r>
          </w:p>
          <w:p w:rsidR="00041039" w:rsidRDefault="001B26CB">
            <w:pPr>
              <w:pStyle w:val="TableParagraph"/>
              <w:numPr>
                <w:ilvl w:val="0"/>
                <w:numId w:val="718"/>
              </w:numPr>
              <w:tabs>
                <w:tab w:val="left" w:pos="164"/>
              </w:tabs>
              <w:spacing w:line="160" w:lineRule="exact"/>
              <w:rPr>
                <w:sz w:val="14"/>
              </w:rPr>
            </w:pPr>
            <w:r>
              <w:rPr>
                <w:color w:val="231F20"/>
                <w:spacing w:val="-3"/>
                <w:sz w:val="14"/>
              </w:rPr>
              <w:t>Школа;</w:t>
            </w:r>
          </w:p>
          <w:p w:rsidR="00041039" w:rsidRDefault="001B26CB">
            <w:pPr>
              <w:pStyle w:val="TableParagraph"/>
              <w:numPr>
                <w:ilvl w:val="0"/>
                <w:numId w:val="718"/>
              </w:numPr>
              <w:tabs>
                <w:tab w:val="left" w:pos="164"/>
              </w:tabs>
              <w:spacing w:line="160" w:lineRule="exact"/>
              <w:rPr>
                <w:sz w:val="14"/>
              </w:rPr>
            </w:pPr>
            <w:r>
              <w:rPr>
                <w:color w:val="231F20"/>
                <w:sz w:val="14"/>
              </w:rPr>
              <w:t>Занимања;</w:t>
            </w:r>
          </w:p>
          <w:p w:rsidR="00041039" w:rsidRDefault="001B26CB">
            <w:pPr>
              <w:pStyle w:val="TableParagraph"/>
              <w:numPr>
                <w:ilvl w:val="0"/>
                <w:numId w:val="718"/>
              </w:numPr>
              <w:tabs>
                <w:tab w:val="left" w:pos="164"/>
              </w:tabs>
              <w:spacing w:line="160" w:lineRule="exact"/>
              <w:rPr>
                <w:sz w:val="14"/>
              </w:rPr>
            </w:pPr>
            <w:r>
              <w:rPr>
                <w:color w:val="231F20"/>
                <w:sz w:val="14"/>
              </w:rPr>
              <w:t>Из живота</w:t>
            </w:r>
            <w:r>
              <w:rPr>
                <w:color w:val="231F20"/>
                <w:spacing w:val="-2"/>
                <w:sz w:val="14"/>
              </w:rPr>
              <w:t xml:space="preserve"> </w:t>
            </w:r>
            <w:r>
              <w:rPr>
                <w:color w:val="231F20"/>
                <w:sz w:val="14"/>
              </w:rPr>
              <w:t>младих;</w:t>
            </w:r>
          </w:p>
          <w:p w:rsidR="00041039" w:rsidRDefault="001B26CB">
            <w:pPr>
              <w:pStyle w:val="TableParagraph"/>
              <w:numPr>
                <w:ilvl w:val="0"/>
                <w:numId w:val="718"/>
              </w:numPr>
              <w:tabs>
                <w:tab w:val="left" w:pos="164"/>
              </w:tabs>
              <w:spacing w:line="155" w:lineRule="exact"/>
              <w:rPr>
                <w:sz w:val="14"/>
              </w:rPr>
            </w:pPr>
            <w:r>
              <w:rPr>
                <w:color w:val="231F20"/>
                <w:sz w:val="14"/>
              </w:rPr>
              <w:t>Свакодневни</w:t>
            </w:r>
            <w:r>
              <w:rPr>
                <w:color w:val="231F20"/>
                <w:spacing w:val="-1"/>
                <w:sz w:val="14"/>
              </w:rPr>
              <w:t xml:space="preserve"> </w:t>
            </w:r>
            <w:r>
              <w:rPr>
                <w:color w:val="231F20"/>
                <w:spacing w:val="-3"/>
                <w:sz w:val="14"/>
              </w:rPr>
              <w:t>живот.</w:t>
            </w:r>
          </w:p>
          <w:p w:rsidR="00041039" w:rsidRDefault="001B26CB">
            <w:pPr>
              <w:pStyle w:val="TableParagraph"/>
              <w:numPr>
                <w:ilvl w:val="0"/>
                <w:numId w:val="717"/>
              </w:numPr>
              <w:tabs>
                <w:tab w:val="left" w:pos="158"/>
              </w:tabs>
              <w:spacing w:line="237" w:lineRule="auto"/>
              <w:ind w:right="393" w:hanging="99"/>
              <w:rPr>
                <w:sz w:val="14"/>
              </w:rPr>
            </w:pPr>
            <w:r>
              <w:rPr>
                <w:color w:val="231F20"/>
                <w:sz w:val="14"/>
              </w:rPr>
              <w:t>Комуникативне функције:</w:t>
            </w:r>
            <w:r>
              <w:rPr>
                <w:color w:val="231F20"/>
                <w:spacing w:val="-28"/>
                <w:sz w:val="14"/>
              </w:rPr>
              <w:t xml:space="preserve"> </w:t>
            </w:r>
            <w:r>
              <w:rPr>
                <w:color w:val="231F20"/>
                <w:sz w:val="14"/>
              </w:rPr>
              <w:t>исказивање осећања и</w:t>
            </w:r>
            <w:r>
              <w:rPr>
                <w:color w:val="231F20"/>
                <w:spacing w:val="-1"/>
                <w:sz w:val="14"/>
              </w:rPr>
              <w:t xml:space="preserve"> </w:t>
            </w:r>
            <w:r>
              <w:rPr>
                <w:color w:val="231F20"/>
                <w:sz w:val="14"/>
              </w:rPr>
              <w:t>ставова.</w:t>
            </w:r>
          </w:p>
          <w:p w:rsidR="00041039" w:rsidRDefault="001B26CB">
            <w:pPr>
              <w:pStyle w:val="TableParagraph"/>
              <w:numPr>
                <w:ilvl w:val="0"/>
                <w:numId w:val="717"/>
              </w:numPr>
              <w:tabs>
                <w:tab w:val="left" w:pos="158"/>
              </w:tabs>
              <w:spacing w:line="160" w:lineRule="exact"/>
              <w:ind w:right="313" w:hanging="99"/>
              <w:rPr>
                <w:sz w:val="14"/>
              </w:rPr>
            </w:pPr>
            <w:r>
              <w:rPr>
                <w:color w:val="231F20"/>
                <w:sz w:val="14"/>
              </w:rPr>
              <w:t>Богаћење ученичког речника новом</w:t>
            </w:r>
            <w:r>
              <w:rPr>
                <w:color w:val="231F20"/>
                <w:spacing w:val="-26"/>
                <w:sz w:val="14"/>
              </w:rPr>
              <w:t xml:space="preserve"> </w:t>
            </w:r>
            <w:r>
              <w:rPr>
                <w:color w:val="231F20"/>
                <w:sz w:val="14"/>
              </w:rPr>
              <w:t>оп­ штом и стручном</w:t>
            </w:r>
            <w:r>
              <w:rPr>
                <w:color w:val="231F20"/>
                <w:spacing w:val="-5"/>
                <w:sz w:val="14"/>
              </w:rPr>
              <w:t xml:space="preserve"> </w:t>
            </w:r>
            <w:r>
              <w:rPr>
                <w:color w:val="231F20"/>
                <w:sz w:val="14"/>
              </w:rPr>
              <w:t>лексиком.</w:t>
            </w:r>
          </w:p>
          <w:p w:rsidR="00041039" w:rsidRDefault="001B26CB">
            <w:pPr>
              <w:pStyle w:val="TableParagraph"/>
              <w:numPr>
                <w:ilvl w:val="0"/>
                <w:numId w:val="717"/>
              </w:numPr>
              <w:tabs>
                <w:tab w:val="left" w:pos="158"/>
              </w:tabs>
              <w:spacing w:line="153"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717"/>
              </w:numPr>
              <w:tabs>
                <w:tab w:val="left" w:pos="158"/>
              </w:tabs>
              <w:spacing w:line="166"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64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numPr>
                <w:ilvl w:val="0"/>
                <w:numId w:val="716"/>
              </w:numPr>
              <w:tabs>
                <w:tab w:val="left" w:pos="157"/>
              </w:tabs>
              <w:spacing w:before="8"/>
              <w:ind w:right="138"/>
              <w:rPr>
                <w:sz w:val="14"/>
              </w:rPr>
            </w:pPr>
            <w:r>
              <w:rPr>
                <w:color w:val="231F20"/>
                <w:sz w:val="14"/>
              </w:rPr>
              <w:t>Упознавање са раз­ личитим књижевним родовима и врстама и значајним делима српске</w:t>
            </w:r>
            <w:r>
              <w:rPr>
                <w:color w:val="231F20"/>
                <w:spacing w:val="-3"/>
                <w:sz w:val="14"/>
              </w:rPr>
              <w:t xml:space="preserve"> </w:t>
            </w:r>
            <w:r>
              <w:rPr>
                <w:color w:val="231F20"/>
                <w:sz w:val="14"/>
              </w:rPr>
              <w:t>књижевности.</w:t>
            </w:r>
          </w:p>
        </w:tc>
        <w:tc>
          <w:tcPr>
            <w:tcW w:w="2551" w:type="dxa"/>
          </w:tcPr>
          <w:p w:rsidR="00041039" w:rsidRDefault="001B26CB">
            <w:pPr>
              <w:pStyle w:val="TableParagraph"/>
              <w:numPr>
                <w:ilvl w:val="0"/>
                <w:numId w:val="715"/>
              </w:numPr>
              <w:tabs>
                <w:tab w:val="left" w:pos="157"/>
              </w:tabs>
              <w:spacing w:before="8"/>
              <w:ind w:right="267" w:hanging="99"/>
              <w:rPr>
                <w:sz w:val="14"/>
              </w:rPr>
            </w:pPr>
            <w:r>
              <w:rPr>
                <w:color w:val="231F20"/>
                <w:sz w:val="14"/>
              </w:rPr>
              <w:t>разликује књижевне родове и</w:t>
            </w:r>
            <w:r>
              <w:rPr>
                <w:color w:val="231F20"/>
                <w:spacing w:val="-15"/>
                <w:sz w:val="14"/>
              </w:rPr>
              <w:t xml:space="preserve"> </w:t>
            </w:r>
            <w:r>
              <w:rPr>
                <w:color w:val="231F20"/>
                <w:sz w:val="14"/>
              </w:rPr>
              <w:t>врсте и користи познавање жанровских посредности при интерпретацији књижевног дела у</w:t>
            </w:r>
            <w:r>
              <w:rPr>
                <w:color w:val="231F20"/>
                <w:spacing w:val="-1"/>
                <w:sz w:val="14"/>
              </w:rPr>
              <w:t xml:space="preserve"> </w:t>
            </w:r>
            <w:r>
              <w:rPr>
                <w:color w:val="231F20"/>
                <w:sz w:val="14"/>
              </w:rPr>
              <w:t>настави;</w:t>
            </w:r>
          </w:p>
          <w:p w:rsidR="00041039" w:rsidRDefault="001B26CB">
            <w:pPr>
              <w:pStyle w:val="TableParagraph"/>
              <w:numPr>
                <w:ilvl w:val="0"/>
                <w:numId w:val="715"/>
              </w:numPr>
              <w:tabs>
                <w:tab w:val="left" w:pos="157"/>
              </w:tabs>
              <w:spacing w:line="156" w:lineRule="exact"/>
              <w:ind w:hanging="99"/>
              <w:rPr>
                <w:sz w:val="14"/>
              </w:rPr>
            </w:pPr>
            <w:r>
              <w:rPr>
                <w:color w:val="231F20"/>
                <w:sz w:val="14"/>
              </w:rPr>
              <w:t>чита, препричава и тумачи</w:t>
            </w:r>
            <w:r>
              <w:rPr>
                <w:color w:val="231F20"/>
                <w:spacing w:val="-14"/>
                <w:sz w:val="14"/>
              </w:rPr>
              <w:t xml:space="preserve"> </w:t>
            </w:r>
            <w:r>
              <w:rPr>
                <w:color w:val="231F20"/>
                <w:sz w:val="14"/>
              </w:rPr>
              <w:t>књижевно­</w:t>
            </w:r>
          </w:p>
          <w:p w:rsidR="00041039" w:rsidRDefault="001B26CB">
            <w:pPr>
              <w:pStyle w:val="TableParagraph"/>
              <w:spacing w:line="155" w:lineRule="exact"/>
              <w:rPr>
                <w:sz w:val="14"/>
              </w:rPr>
            </w:pPr>
            <w:r>
              <w:rPr>
                <w:color w:val="231F20"/>
                <w:sz w:val="14"/>
              </w:rPr>
              <w:t>уметничке и остале типове текстова;</w:t>
            </w:r>
          </w:p>
          <w:p w:rsidR="00041039" w:rsidRDefault="001B26CB">
            <w:pPr>
              <w:pStyle w:val="TableParagraph"/>
              <w:numPr>
                <w:ilvl w:val="0"/>
                <w:numId w:val="715"/>
              </w:numPr>
              <w:tabs>
                <w:tab w:val="left" w:pos="157"/>
              </w:tabs>
              <w:spacing w:line="237" w:lineRule="auto"/>
              <w:ind w:right="269" w:hanging="99"/>
              <w:rPr>
                <w:sz w:val="14"/>
              </w:rPr>
            </w:pPr>
            <w:r>
              <w:rPr>
                <w:color w:val="231F20"/>
                <w:sz w:val="14"/>
              </w:rPr>
              <w:t>анализира идејне аспекте текстова обухваћених школским</w:t>
            </w:r>
            <w:r>
              <w:rPr>
                <w:color w:val="231F20"/>
                <w:spacing w:val="-27"/>
                <w:sz w:val="14"/>
              </w:rPr>
              <w:t xml:space="preserve"> </w:t>
            </w:r>
            <w:r>
              <w:rPr>
                <w:color w:val="231F20"/>
                <w:sz w:val="14"/>
              </w:rPr>
              <w:t>програмом;</w:t>
            </w:r>
          </w:p>
        </w:tc>
        <w:tc>
          <w:tcPr>
            <w:tcW w:w="2834" w:type="dxa"/>
          </w:tcPr>
          <w:p w:rsidR="00041039" w:rsidRDefault="001B26CB">
            <w:pPr>
              <w:pStyle w:val="TableParagraph"/>
              <w:numPr>
                <w:ilvl w:val="0"/>
                <w:numId w:val="714"/>
              </w:numPr>
              <w:tabs>
                <w:tab w:val="left" w:pos="157"/>
              </w:tabs>
              <w:spacing w:before="8"/>
              <w:ind w:right="233" w:hanging="99"/>
              <w:rPr>
                <w:sz w:val="14"/>
              </w:rPr>
            </w:pPr>
            <w:r>
              <w:rPr>
                <w:color w:val="231F20"/>
                <w:sz w:val="14"/>
              </w:rPr>
              <w:t>Вук Стефановић Караџић ­ сакупљач</w:t>
            </w:r>
            <w:r>
              <w:rPr>
                <w:color w:val="231F20"/>
                <w:spacing w:val="-17"/>
                <w:sz w:val="14"/>
              </w:rPr>
              <w:t xml:space="preserve"> </w:t>
            </w:r>
            <w:r>
              <w:rPr>
                <w:color w:val="231F20"/>
                <w:sz w:val="14"/>
              </w:rPr>
              <w:t>на­ родних</w:t>
            </w:r>
            <w:r>
              <w:rPr>
                <w:color w:val="231F20"/>
                <w:spacing w:val="-1"/>
                <w:sz w:val="14"/>
              </w:rPr>
              <w:t xml:space="preserve"> </w:t>
            </w:r>
            <w:r>
              <w:rPr>
                <w:color w:val="231F20"/>
                <w:sz w:val="14"/>
              </w:rPr>
              <w:t>умотворина.</w:t>
            </w:r>
          </w:p>
          <w:p w:rsidR="00041039" w:rsidRDefault="001B26CB">
            <w:pPr>
              <w:pStyle w:val="TableParagraph"/>
              <w:numPr>
                <w:ilvl w:val="0"/>
                <w:numId w:val="714"/>
              </w:numPr>
              <w:tabs>
                <w:tab w:val="left" w:pos="157"/>
              </w:tabs>
              <w:spacing w:line="160" w:lineRule="exact"/>
              <w:ind w:right="109" w:hanging="99"/>
              <w:jc w:val="both"/>
              <w:rPr>
                <w:sz w:val="14"/>
              </w:rPr>
            </w:pPr>
            <w:r>
              <w:rPr>
                <w:color w:val="231F20"/>
                <w:sz w:val="14"/>
              </w:rPr>
              <w:t>Избор из лирске народне поезије („Српска дјевојка”, „Девојка и сунце”, „Мајка Јова</w:t>
            </w:r>
            <w:r>
              <w:rPr>
                <w:color w:val="231F20"/>
                <w:spacing w:val="-17"/>
                <w:sz w:val="14"/>
              </w:rPr>
              <w:t xml:space="preserve"> </w:t>
            </w:r>
            <w:r>
              <w:rPr>
                <w:color w:val="231F20"/>
                <w:sz w:val="14"/>
              </w:rPr>
              <w:t>у ружи</w:t>
            </w:r>
            <w:r>
              <w:rPr>
                <w:color w:val="231F20"/>
                <w:spacing w:val="-1"/>
                <w:sz w:val="14"/>
              </w:rPr>
              <w:t xml:space="preserve"> </w:t>
            </w:r>
            <w:r>
              <w:rPr>
                <w:color w:val="231F20"/>
                <w:sz w:val="14"/>
              </w:rPr>
              <w:t>родила”).</w:t>
            </w:r>
          </w:p>
          <w:p w:rsidR="00041039" w:rsidRDefault="001B26CB">
            <w:pPr>
              <w:pStyle w:val="TableParagraph"/>
              <w:numPr>
                <w:ilvl w:val="0"/>
                <w:numId w:val="714"/>
              </w:numPr>
              <w:tabs>
                <w:tab w:val="left" w:pos="157"/>
              </w:tabs>
              <w:spacing w:line="153" w:lineRule="exact"/>
              <w:ind w:hanging="99"/>
              <w:rPr>
                <w:sz w:val="14"/>
              </w:rPr>
            </w:pPr>
            <w:r>
              <w:rPr>
                <w:color w:val="231F20"/>
                <w:sz w:val="14"/>
              </w:rPr>
              <w:t>Епска народна песма ­ „Косовка</w:t>
            </w:r>
            <w:r>
              <w:rPr>
                <w:color w:val="231F20"/>
                <w:spacing w:val="-11"/>
                <w:sz w:val="14"/>
              </w:rPr>
              <w:t xml:space="preserve"> </w:t>
            </w:r>
            <w:r>
              <w:rPr>
                <w:color w:val="231F20"/>
                <w:sz w:val="14"/>
              </w:rPr>
              <w:t>девојка”.</w:t>
            </w:r>
          </w:p>
          <w:p w:rsidR="00041039" w:rsidRDefault="001B26CB">
            <w:pPr>
              <w:pStyle w:val="TableParagraph"/>
              <w:numPr>
                <w:ilvl w:val="0"/>
                <w:numId w:val="714"/>
              </w:numPr>
              <w:tabs>
                <w:tab w:val="left" w:pos="157"/>
              </w:tabs>
              <w:spacing w:line="160" w:lineRule="exact"/>
              <w:ind w:hanging="99"/>
              <w:rPr>
                <w:sz w:val="14"/>
              </w:rPr>
            </w:pPr>
            <w:r>
              <w:rPr>
                <w:color w:val="231F20"/>
                <w:sz w:val="14"/>
              </w:rPr>
              <w:t>Легенде и предања о Светом</w:t>
            </w:r>
            <w:r>
              <w:rPr>
                <w:color w:val="231F20"/>
                <w:spacing w:val="-5"/>
                <w:sz w:val="14"/>
              </w:rPr>
              <w:t xml:space="preserve"> </w:t>
            </w:r>
            <w:r>
              <w:rPr>
                <w:color w:val="231F20"/>
                <w:sz w:val="14"/>
              </w:rPr>
              <w:t>Сави.</w:t>
            </w:r>
          </w:p>
          <w:p w:rsidR="00041039" w:rsidRDefault="001B26CB">
            <w:pPr>
              <w:pStyle w:val="TableParagraph"/>
              <w:numPr>
                <w:ilvl w:val="0"/>
                <w:numId w:val="714"/>
              </w:numPr>
              <w:tabs>
                <w:tab w:val="left" w:pos="157"/>
              </w:tabs>
              <w:spacing w:line="237" w:lineRule="auto"/>
              <w:ind w:right="91" w:hanging="99"/>
              <w:rPr>
                <w:sz w:val="14"/>
              </w:rPr>
            </w:pPr>
            <w:r>
              <w:rPr>
                <w:color w:val="231F20"/>
                <w:sz w:val="14"/>
              </w:rPr>
              <w:t>Народна бајка (по избору)</w:t>
            </w:r>
            <w:r>
              <w:rPr>
                <w:color w:val="231F20"/>
                <w:sz w:val="14"/>
              </w:rPr>
              <w:t xml:space="preserve"> ­ „Дјевојка</w:t>
            </w:r>
            <w:r>
              <w:rPr>
                <w:color w:val="231F20"/>
                <w:spacing w:val="-22"/>
                <w:sz w:val="14"/>
              </w:rPr>
              <w:t xml:space="preserve"> </w:t>
            </w:r>
            <w:r>
              <w:rPr>
                <w:color w:val="231F20"/>
                <w:sz w:val="14"/>
              </w:rPr>
              <w:t xml:space="preserve">бржа </w:t>
            </w:r>
            <w:r>
              <w:rPr>
                <w:color w:val="231F20"/>
                <w:spacing w:val="-3"/>
                <w:sz w:val="14"/>
              </w:rPr>
              <w:t xml:space="preserve">од </w:t>
            </w:r>
            <w:r>
              <w:rPr>
                <w:color w:val="231F20"/>
                <w:sz w:val="14"/>
              </w:rPr>
              <w:t>коња”; „Међедовић”,</w:t>
            </w:r>
            <w:r>
              <w:rPr>
                <w:color w:val="231F20"/>
                <w:spacing w:val="-1"/>
                <w:sz w:val="14"/>
              </w:rPr>
              <w:t xml:space="preserve"> </w:t>
            </w:r>
            <w:r>
              <w:rPr>
                <w:color w:val="231F20"/>
                <w:sz w:val="14"/>
              </w:rPr>
              <w:t>„Биберче”.</w:t>
            </w:r>
          </w:p>
          <w:p w:rsidR="00041039" w:rsidRDefault="001B26CB">
            <w:pPr>
              <w:pStyle w:val="TableParagraph"/>
              <w:numPr>
                <w:ilvl w:val="0"/>
                <w:numId w:val="714"/>
              </w:numPr>
              <w:tabs>
                <w:tab w:val="left" w:pos="157"/>
              </w:tabs>
              <w:spacing w:line="155" w:lineRule="exact"/>
              <w:ind w:hanging="99"/>
              <w:rPr>
                <w:sz w:val="14"/>
              </w:rPr>
            </w:pPr>
            <w:r>
              <w:rPr>
                <w:color w:val="231F20"/>
                <w:sz w:val="14"/>
              </w:rPr>
              <w:t>Бранислав Нушић: „Госпођа</w:t>
            </w:r>
            <w:r>
              <w:rPr>
                <w:color w:val="231F20"/>
                <w:spacing w:val="-12"/>
                <w:sz w:val="14"/>
              </w:rPr>
              <w:t xml:space="preserve"> </w:t>
            </w:r>
            <w:r>
              <w:rPr>
                <w:color w:val="231F20"/>
                <w:sz w:val="14"/>
              </w:rPr>
              <w:t>министарка”.</w:t>
            </w:r>
          </w:p>
          <w:p w:rsidR="00041039" w:rsidRDefault="001B26CB">
            <w:pPr>
              <w:pStyle w:val="TableParagraph"/>
              <w:numPr>
                <w:ilvl w:val="0"/>
                <w:numId w:val="714"/>
              </w:numPr>
              <w:tabs>
                <w:tab w:val="left" w:pos="157"/>
              </w:tabs>
              <w:spacing w:line="237" w:lineRule="auto"/>
              <w:ind w:right="449" w:hanging="99"/>
              <w:rPr>
                <w:sz w:val="14"/>
              </w:rPr>
            </w:pPr>
            <w:r>
              <w:rPr>
                <w:color w:val="231F20"/>
                <w:sz w:val="14"/>
              </w:rPr>
              <w:t>Лаза Лазаревић: „Први пут с оцем на јутрење”.</w:t>
            </w:r>
          </w:p>
          <w:p w:rsidR="00041039" w:rsidRDefault="001B26CB">
            <w:pPr>
              <w:pStyle w:val="TableParagraph"/>
              <w:numPr>
                <w:ilvl w:val="0"/>
                <w:numId w:val="714"/>
              </w:numPr>
              <w:tabs>
                <w:tab w:val="left" w:pos="157"/>
              </w:tabs>
              <w:spacing w:line="160" w:lineRule="exact"/>
              <w:ind w:right="111" w:hanging="99"/>
              <w:rPr>
                <w:sz w:val="14"/>
              </w:rPr>
            </w:pPr>
            <w:r>
              <w:rPr>
                <w:color w:val="231F20"/>
                <w:sz w:val="14"/>
              </w:rPr>
              <w:t xml:space="preserve">Јован Јовановић Змај: </w:t>
            </w:r>
            <w:r>
              <w:rPr>
                <w:color w:val="231F20"/>
                <w:spacing w:val="-4"/>
                <w:sz w:val="14"/>
              </w:rPr>
              <w:t xml:space="preserve">„Ћулићи” </w:t>
            </w:r>
            <w:r>
              <w:rPr>
                <w:color w:val="231F20"/>
                <w:sz w:val="14"/>
              </w:rPr>
              <w:t xml:space="preserve">и </w:t>
            </w:r>
            <w:r>
              <w:rPr>
                <w:color w:val="231F20"/>
                <w:spacing w:val="-4"/>
                <w:sz w:val="14"/>
              </w:rPr>
              <w:t xml:space="preserve">„Ћулићи </w:t>
            </w:r>
            <w:r>
              <w:rPr>
                <w:color w:val="231F20"/>
                <w:sz w:val="14"/>
              </w:rPr>
              <w:t>увеоци”</w:t>
            </w:r>
            <w:r>
              <w:rPr>
                <w:color w:val="231F20"/>
                <w:spacing w:val="-1"/>
                <w:sz w:val="14"/>
              </w:rPr>
              <w:t xml:space="preserve"> </w:t>
            </w:r>
            <w:r>
              <w:rPr>
                <w:color w:val="231F20"/>
                <w:sz w:val="14"/>
              </w:rPr>
              <w:t>(избор).</w:t>
            </w:r>
          </w:p>
          <w:p w:rsidR="00041039" w:rsidRDefault="001B26CB">
            <w:pPr>
              <w:pStyle w:val="TableParagraph"/>
              <w:numPr>
                <w:ilvl w:val="0"/>
                <w:numId w:val="714"/>
              </w:numPr>
              <w:tabs>
                <w:tab w:val="left" w:pos="157"/>
              </w:tabs>
              <w:spacing w:line="160" w:lineRule="exact"/>
              <w:ind w:right="322" w:hanging="99"/>
              <w:rPr>
                <w:sz w:val="14"/>
              </w:rPr>
            </w:pPr>
            <w:r>
              <w:rPr>
                <w:color w:val="231F20"/>
                <w:sz w:val="14"/>
              </w:rPr>
              <w:t>Десанка Максимовић: „Сребрне плеса­ чице”.</w:t>
            </w:r>
          </w:p>
          <w:p w:rsidR="00041039" w:rsidRDefault="001B26CB">
            <w:pPr>
              <w:pStyle w:val="TableParagraph"/>
              <w:numPr>
                <w:ilvl w:val="0"/>
                <w:numId w:val="714"/>
              </w:numPr>
              <w:tabs>
                <w:tab w:val="left" w:pos="157"/>
              </w:tabs>
              <w:spacing w:line="153" w:lineRule="exact"/>
              <w:ind w:hanging="99"/>
              <w:jc w:val="both"/>
              <w:rPr>
                <w:sz w:val="14"/>
              </w:rPr>
            </w:pPr>
            <w:r>
              <w:rPr>
                <w:color w:val="231F20"/>
                <w:sz w:val="14"/>
              </w:rPr>
              <w:t>Ћура Јакшић:</w:t>
            </w:r>
            <w:r>
              <w:rPr>
                <w:color w:val="231F20"/>
                <w:spacing w:val="-3"/>
                <w:sz w:val="14"/>
              </w:rPr>
              <w:t xml:space="preserve"> </w:t>
            </w:r>
            <w:r>
              <w:rPr>
                <w:color w:val="231F20"/>
                <w:sz w:val="14"/>
              </w:rPr>
              <w:t>,Вече”.</w:t>
            </w:r>
          </w:p>
          <w:p w:rsidR="00041039" w:rsidRDefault="001B26CB">
            <w:pPr>
              <w:pStyle w:val="TableParagraph"/>
              <w:numPr>
                <w:ilvl w:val="0"/>
                <w:numId w:val="714"/>
              </w:numPr>
              <w:tabs>
                <w:tab w:val="left" w:pos="157"/>
              </w:tabs>
              <w:spacing w:line="160" w:lineRule="exact"/>
              <w:ind w:hanging="99"/>
              <w:jc w:val="both"/>
              <w:rPr>
                <w:sz w:val="14"/>
              </w:rPr>
            </w:pPr>
            <w:r>
              <w:rPr>
                <w:color w:val="231F20"/>
                <w:sz w:val="14"/>
              </w:rPr>
              <w:t>Данило Киш: избор из</w:t>
            </w:r>
            <w:r>
              <w:rPr>
                <w:color w:val="231F20"/>
                <w:spacing w:val="-8"/>
                <w:sz w:val="14"/>
              </w:rPr>
              <w:t xml:space="preserve"> </w:t>
            </w:r>
            <w:r>
              <w:rPr>
                <w:color w:val="231F20"/>
                <w:sz w:val="14"/>
              </w:rPr>
              <w:t>приповедака.</w:t>
            </w:r>
          </w:p>
          <w:p w:rsidR="00041039" w:rsidRDefault="001B26CB">
            <w:pPr>
              <w:pStyle w:val="TableParagraph"/>
              <w:numPr>
                <w:ilvl w:val="0"/>
                <w:numId w:val="714"/>
              </w:numPr>
              <w:tabs>
                <w:tab w:val="left" w:pos="157"/>
              </w:tabs>
              <w:spacing w:line="160" w:lineRule="exact"/>
              <w:ind w:hanging="99"/>
              <w:jc w:val="both"/>
              <w:rPr>
                <w:sz w:val="14"/>
              </w:rPr>
            </w:pPr>
            <w:r>
              <w:rPr>
                <w:color w:val="231F20"/>
                <w:sz w:val="14"/>
              </w:rPr>
              <w:t>Иво Андрић: „Мост па Жепи” ­</w:t>
            </w:r>
            <w:r>
              <w:rPr>
                <w:color w:val="231F20"/>
                <w:spacing w:val="-15"/>
                <w:sz w:val="14"/>
              </w:rPr>
              <w:t xml:space="preserve"> </w:t>
            </w:r>
            <w:r>
              <w:rPr>
                <w:color w:val="231F20"/>
                <w:sz w:val="14"/>
              </w:rPr>
              <w:t>одломак.</w:t>
            </w:r>
          </w:p>
          <w:p w:rsidR="00041039" w:rsidRDefault="001B26CB">
            <w:pPr>
              <w:pStyle w:val="TableParagraph"/>
              <w:numPr>
                <w:ilvl w:val="0"/>
                <w:numId w:val="714"/>
              </w:numPr>
              <w:tabs>
                <w:tab w:val="left" w:pos="157"/>
              </w:tabs>
              <w:spacing w:line="160" w:lineRule="exact"/>
              <w:ind w:hanging="99"/>
              <w:jc w:val="both"/>
              <w:rPr>
                <w:sz w:val="14"/>
              </w:rPr>
            </w:pPr>
            <w:r>
              <w:rPr>
                <w:color w:val="231F20"/>
                <w:sz w:val="14"/>
              </w:rPr>
              <w:t>Радоје Домановић:</w:t>
            </w:r>
            <w:r>
              <w:rPr>
                <w:color w:val="231F20"/>
                <w:spacing w:val="-2"/>
                <w:sz w:val="14"/>
              </w:rPr>
              <w:t xml:space="preserve"> </w:t>
            </w:r>
            <w:r>
              <w:rPr>
                <w:color w:val="231F20"/>
                <w:sz w:val="14"/>
              </w:rPr>
              <w:t>„Вођа”.</w:t>
            </w:r>
          </w:p>
          <w:p w:rsidR="00041039" w:rsidRDefault="001B26CB">
            <w:pPr>
              <w:pStyle w:val="TableParagraph"/>
              <w:numPr>
                <w:ilvl w:val="0"/>
                <w:numId w:val="714"/>
              </w:numPr>
              <w:tabs>
                <w:tab w:val="left" w:pos="157"/>
              </w:tabs>
              <w:spacing w:line="237" w:lineRule="auto"/>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numPr>
                <w:ilvl w:val="0"/>
                <w:numId w:val="714"/>
              </w:numPr>
              <w:tabs>
                <w:tab w:val="left" w:pos="157"/>
              </w:tabs>
              <w:spacing w:line="237" w:lineRule="auto"/>
              <w:ind w:right="238" w:hanging="99"/>
              <w:rPr>
                <w:sz w:val="14"/>
              </w:rPr>
            </w:pPr>
            <w:r>
              <w:rPr>
                <w:color w:val="231F20"/>
                <w:sz w:val="14"/>
              </w:rPr>
              <w:t>Избор песама: староградске и савремене музике.</w:t>
            </w:r>
          </w:p>
          <w:p w:rsidR="00041039" w:rsidRDefault="001B26CB">
            <w:pPr>
              <w:pStyle w:val="TableParagraph"/>
              <w:spacing w:line="160" w:lineRule="exact"/>
              <w:ind w:left="57"/>
              <w:jc w:val="both"/>
              <w:rPr>
                <w:b/>
                <w:sz w:val="14"/>
              </w:rPr>
            </w:pPr>
            <w:r>
              <w:rPr>
                <w:b/>
                <w:color w:val="231F20"/>
                <w:sz w:val="14"/>
              </w:rPr>
              <w:t>(Обавезно треба обрадити седам дела.)</w:t>
            </w:r>
          </w:p>
        </w:tc>
        <w:tc>
          <w:tcPr>
            <w:tcW w:w="2267" w:type="dxa"/>
          </w:tcPr>
          <w:p w:rsidR="00041039" w:rsidRDefault="001B26CB">
            <w:pPr>
              <w:pStyle w:val="TableParagraph"/>
              <w:spacing w:before="19"/>
              <w:ind w:left="57" w:right="43"/>
              <w:rPr>
                <w:sz w:val="14"/>
              </w:rPr>
            </w:pPr>
            <w:r>
              <w:rPr>
                <w:color w:val="231F20"/>
                <w:sz w:val="14"/>
              </w:rPr>
              <w:t>С обзиром на то да је основни циљ 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w:t>
            </w:r>
            <w:r>
              <w:rPr>
                <w:color w:val="231F20"/>
                <w:sz w:val="14"/>
              </w:rPr>
              <w:t>нципима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line="237" w:lineRule="auto"/>
              <w:ind w:left="57" w:right="112"/>
              <w:rPr>
                <w:sz w:val="14"/>
              </w:rPr>
            </w:pPr>
            <w:r>
              <w:rPr>
                <w:color w:val="231F20"/>
                <w:sz w:val="14"/>
              </w:rPr>
              <w:t xml:space="preserve">Садржаји програма из граматике повезани су са садржајима грама­ тике у основној </w:t>
            </w:r>
            <w:r>
              <w:rPr>
                <w:color w:val="231F20"/>
                <w:spacing w:val="-3"/>
                <w:sz w:val="14"/>
              </w:rPr>
              <w:t xml:space="preserve">школи, </w:t>
            </w:r>
            <w:r>
              <w:rPr>
                <w:color w:val="231F20"/>
                <w:sz w:val="14"/>
              </w:rPr>
              <w:t>којима се сада приступа когнитивно. Тиме се знања употпуњују и подижу на виши ниво, коригују се</w:t>
            </w:r>
            <w:r>
              <w:rPr>
                <w:color w:val="231F20"/>
                <w:spacing w:val="-19"/>
                <w:sz w:val="14"/>
              </w:rPr>
              <w:t xml:space="preserve"> </w:t>
            </w:r>
            <w:r>
              <w:rPr>
                <w:color w:val="231F20"/>
                <w:sz w:val="14"/>
              </w:rPr>
              <w:t>евентуалне грешке настале услед интерферен­ ције матерњег језика и</w:t>
            </w:r>
            <w:r>
              <w:rPr>
                <w:color w:val="231F20"/>
                <w:spacing w:val="-17"/>
                <w:sz w:val="14"/>
              </w:rPr>
              <w:t xml:space="preserve"> </w:t>
            </w:r>
            <w:r>
              <w:rPr>
                <w:color w:val="231F20"/>
                <w:sz w:val="14"/>
              </w:rPr>
              <w:t>недовољно</w:t>
            </w:r>
          </w:p>
          <w:p w:rsidR="00041039" w:rsidRDefault="001B26CB">
            <w:pPr>
              <w:pStyle w:val="TableParagraph"/>
              <w:ind w:left="57"/>
              <w:rPr>
                <w:sz w:val="14"/>
              </w:rPr>
            </w:pPr>
            <w:r>
              <w:rPr>
                <w:color w:val="231F20"/>
                <w:sz w:val="14"/>
              </w:rPr>
              <w:t>савладаних садржаја из претходних разреда.</w:t>
            </w:r>
          </w:p>
          <w:p w:rsidR="00041039" w:rsidRDefault="001B26CB">
            <w:pPr>
              <w:pStyle w:val="TableParagraph"/>
              <w:ind w:left="57" w:right="54"/>
              <w:rPr>
                <w:sz w:val="14"/>
              </w:rPr>
            </w:pPr>
            <w:r>
              <w:rPr>
                <w:color w:val="231F20"/>
                <w:sz w:val="14"/>
              </w:rPr>
              <w:t>Наставу граматике треба организо­ вати као средство учења употребе језика, без нефункционалног учења граматичких правила и парадигми, Гр</w:t>
            </w:r>
            <w:r>
              <w:rPr>
                <w:color w:val="231F20"/>
                <w:sz w:val="14"/>
              </w:rPr>
              <w:t>аматичке елементе треба презен­ товати и увежбавати у контексту, у реалним говорним ситуацијама.</w:t>
            </w:r>
          </w:p>
          <w:p w:rsidR="00041039" w:rsidRDefault="001B26CB">
            <w:pPr>
              <w:pStyle w:val="TableParagraph"/>
              <w:spacing w:line="237" w:lineRule="auto"/>
              <w:ind w:left="57"/>
              <w:rPr>
                <w:sz w:val="14"/>
              </w:rPr>
            </w:pPr>
            <w:r>
              <w:rPr>
                <w:color w:val="231F20"/>
                <w:sz w:val="14"/>
              </w:rPr>
              <w:t>Настава српског као нематерњег језика мора бити хуманистички оријентисана и богата како језич­ ким тако и садржајима из културе. Поред језичких, морају бити за</w:t>
            </w:r>
            <w:r>
              <w:rPr>
                <w:color w:val="231F20"/>
                <w:sz w:val="14"/>
              </w:rPr>
              <w:t>­ ступљени књижевни, уметнички, стручни и други потребни типови текстова.</w:t>
            </w:r>
          </w:p>
          <w:p w:rsidR="00041039" w:rsidRDefault="001B26CB">
            <w:pPr>
              <w:pStyle w:val="TableParagraph"/>
              <w:ind w:left="57" w:right="32"/>
              <w:rPr>
                <w:sz w:val="14"/>
              </w:rPr>
            </w:pPr>
            <w:r>
              <w:rPr>
                <w:color w:val="231F20"/>
                <w:sz w:val="14"/>
              </w:rPr>
              <w:t>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друге пригодне текстове (научне, стручне...) преко којих ће у</w:t>
            </w:r>
            <w:r>
              <w:rPr>
                <w:color w:val="231F20"/>
                <w:sz w:val="14"/>
              </w:rPr>
              <w:t>ченици упознати различи­ те форме изражавања у књижевном делу, различите функционалне стилове и врсте текстова.</w:t>
            </w:r>
          </w:p>
          <w:p w:rsidR="00041039" w:rsidRDefault="001B26CB">
            <w:pPr>
              <w:pStyle w:val="TableParagraph"/>
              <w:spacing w:line="149" w:lineRule="exact"/>
              <w:ind w:left="57"/>
              <w:rPr>
                <w:sz w:val="14"/>
              </w:rPr>
            </w:pPr>
            <w:r>
              <w:rPr>
                <w:color w:val="231F20"/>
                <w:sz w:val="14"/>
              </w:rPr>
              <w:t>Изузетну пажњу треба посветити</w:t>
            </w:r>
          </w:p>
          <w:p w:rsidR="00041039" w:rsidRDefault="001B26CB">
            <w:pPr>
              <w:pStyle w:val="TableParagraph"/>
              <w:ind w:left="57" w:right="8"/>
              <w:rPr>
                <w:sz w:val="14"/>
              </w:rPr>
            </w:pPr>
            <w:r>
              <w:rPr>
                <w:color w:val="231F20"/>
                <w:sz w:val="14"/>
              </w:rPr>
              <w:t xml:space="preserve">мотивацији ученика за рад органи­ зовањем различитих метода и обли­ ка рада и разноврсним лексичким, граматичким </w:t>
            </w:r>
            <w:r>
              <w:rPr>
                <w:color w:val="231F20"/>
                <w:sz w:val="14"/>
              </w:rPr>
              <w:t>и комуникативним вежбама.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7" w:right="104"/>
              <w:rPr>
                <w:sz w:val="14"/>
              </w:rPr>
            </w:pPr>
            <w:r>
              <w:rPr>
                <w:i/>
                <w:color w:val="231F20"/>
                <w:sz w:val="14"/>
              </w:rPr>
              <w:t xml:space="preserve">Посебне напомене </w:t>
            </w:r>
            <w:r>
              <w:rPr>
                <w:color w:val="231F20"/>
                <w:sz w:val="14"/>
              </w:rPr>
              <w:t>за остваривање појединих садржаја у оквиру тема.</w:t>
            </w:r>
          </w:p>
          <w:p w:rsidR="00041039" w:rsidRDefault="001B26CB">
            <w:pPr>
              <w:pStyle w:val="TableParagraph"/>
              <w:numPr>
                <w:ilvl w:val="0"/>
                <w:numId w:val="713"/>
              </w:numPr>
              <w:tabs>
                <w:tab w:val="left" w:pos="158"/>
              </w:tabs>
              <w:spacing w:line="237" w:lineRule="auto"/>
              <w:ind w:right="52"/>
              <w:rPr>
                <w:sz w:val="14"/>
              </w:rPr>
            </w:pPr>
            <w:r>
              <w:rPr>
                <w:color w:val="231F20"/>
                <w:sz w:val="14"/>
              </w:rPr>
              <w:t>У оквиру фонетике обратити пажњ</w:t>
            </w:r>
            <w:r>
              <w:rPr>
                <w:color w:val="231F20"/>
                <w:sz w:val="14"/>
              </w:rPr>
              <w:t>у на разлику у акценту речи између матерњег и српског</w:t>
            </w:r>
            <w:r>
              <w:rPr>
                <w:color w:val="231F20"/>
                <w:spacing w:val="-24"/>
                <w:sz w:val="14"/>
              </w:rPr>
              <w:t xml:space="preserve"> </w:t>
            </w:r>
            <w:r>
              <w:rPr>
                <w:color w:val="231F20"/>
                <w:sz w:val="14"/>
              </w:rPr>
              <w:t>језика.</w:t>
            </w:r>
          </w:p>
          <w:p w:rsidR="00041039" w:rsidRDefault="001B26CB">
            <w:pPr>
              <w:pStyle w:val="TableParagraph"/>
              <w:numPr>
                <w:ilvl w:val="0"/>
                <w:numId w:val="713"/>
              </w:numPr>
              <w:tabs>
                <w:tab w:val="left" w:pos="158"/>
              </w:tabs>
              <w:spacing w:line="237" w:lineRule="auto"/>
              <w:ind w:right="62"/>
              <w:rPr>
                <w:sz w:val="14"/>
              </w:rPr>
            </w:pPr>
            <w:r>
              <w:rPr>
                <w:color w:val="231F20"/>
                <w:sz w:val="14"/>
              </w:rPr>
              <w:t>У садржајима морфологије тежиште треба ставити на род и број именских речи (слагање</w:t>
            </w:r>
            <w:r>
              <w:rPr>
                <w:color w:val="231F20"/>
                <w:spacing w:val="-20"/>
                <w:sz w:val="14"/>
              </w:rPr>
              <w:t xml:space="preserve"> </w:t>
            </w:r>
            <w:r>
              <w:rPr>
                <w:color w:val="231F20"/>
                <w:sz w:val="14"/>
              </w:rPr>
              <w:t>име­ ница са придевима и придевским заменицама).</w:t>
            </w:r>
          </w:p>
          <w:p w:rsidR="00041039" w:rsidRDefault="001B26CB">
            <w:pPr>
              <w:pStyle w:val="TableParagraph"/>
              <w:numPr>
                <w:ilvl w:val="0"/>
                <w:numId w:val="713"/>
              </w:numPr>
              <w:tabs>
                <w:tab w:val="left" w:pos="158"/>
              </w:tabs>
              <w:spacing w:line="237" w:lineRule="auto"/>
              <w:ind w:right="185"/>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w:t>
            </w:r>
            <w:r>
              <w:rPr>
                <w:color w:val="231F20"/>
                <w:spacing w:val="-10"/>
                <w:sz w:val="14"/>
              </w:rPr>
              <w:t xml:space="preserve"> </w:t>
            </w:r>
            <w:r>
              <w:rPr>
                <w:color w:val="231F20"/>
                <w:sz w:val="14"/>
              </w:rPr>
              <w:t>речце</w:t>
            </w:r>
          </w:p>
          <w:p w:rsidR="00041039" w:rsidRDefault="001B26CB">
            <w:pPr>
              <w:pStyle w:val="TableParagraph"/>
              <w:ind w:left="157"/>
              <w:rPr>
                <w:sz w:val="14"/>
              </w:rPr>
            </w:pPr>
            <w:r>
              <w:rPr>
                <w:color w:val="231F20"/>
                <w:sz w:val="14"/>
              </w:rPr>
              <w:t xml:space="preserve">се </w:t>
            </w:r>
            <w:r>
              <w:rPr>
                <w:color w:val="231F20"/>
                <w:sz w:val="14"/>
              </w:rPr>
              <w:t>(код најчешће коришћених глагола).</w:t>
            </w:r>
          </w:p>
          <w:p w:rsidR="00041039" w:rsidRDefault="001B26CB">
            <w:pPr>
              <w:pStyle w:val="TableParagraph"/>
              <w:numPr>
                <w:ilvl w:val="0"/>
                <w:numId w:val="713"/>
              </w:numPr>
              <w:tabs>
                <w:tab w:val="left" w:pos="158"/>
              </w:tabs>
              <w:spacing w:line="160" w:lineRule="exact"/>
              <w:ind w:right="163"/>
              <w:jc w:val="both"/>
              <w:rPr>
                <w:sz w:val="14"/>
              </w:rPr>
            </w:pPr>
            <w:r>
              <w:rPr>
                <w:color w:val="231F20"/>
                <w:spacing w:val="-4"/>
                <w:sz w:val="14"/>
              </w:rPr>
              <w:t xml:space="preserve">Код </w:t>
            </w:r>
            <w:r>
              <w:rPr>
                <w:color w:val="231F20"/>
                <w:sz w:val="14"/>
              </w:rPr>
              <w:t>творбе речи префиксацију</w:t>
            </w:r>
            <w:r>
              <w:rPr>
                <w:color w:val="231F20"/>
                <w:spacing w:val="-7"/>
                <w:sz w:val="14"/>
              </w:rPr>
              <w:t xml:space="preserve"> </w:t>
            </w:r>
            <w:r>
              <w:rPr>
                <w:color w:val="231F20"/>
                <w:sz w:val="14"/>
              </w:rPr>
              <w:t xml:space="preserve">и суфиксацију повезати са </w:t>
            </w:r>
            <w:r>
              <w:rPr>
                <w:color w:val="231F20"/>
                <w:spacing w:val="-3"/>
                <w:sz w:val="14"/>
              </w:rPr>
              <w:t xml:space="preserve">глагол­ </w:t>
            </w:r>
            <w:r>
              <w:rPr>
                <w:color w:val="231F20"/>
                <w:sz w:val="14"/>
              </w:rPr>
              <w:t>ским</w:t>
            </w:r>
            <w:r>
              <w:rPr>
                <w:color w:val="231F20"/>
                <w:spacing w:val="-1"/>
                <w:sz w:val="14"/>
              </w:rPr>
              <w:t xml:space="preserve"> </w:t>
            </w:r>
            <w:r>
              <w:rPr>
                <w:color w:val="231F20"/>
                <w:sz w:val="14"/>
              </w:rPr>
              <w:t>видом.</w:t>
            </w:r>
          </w:p>
          <w:p w:rsidR="00041039" w:rsidRDefault="001B26CB">
            <w:pPr>
              <w:pStyle w:val="TableParagraph"/>
              <w:numPr>
                <w:ilvl w:val="0"/>
                <w:numId w:val="713"/>
              </w:numPr>
              <w:tabs>
                <w:tab w:val="left" w:pos="158"/>
              </w:tabs>
              <w:spacing w:line="160" w:lineRule="exact"/>
              <w:ind w:right="484"/>
              <w:rPr>
                <w:sz w:val="14"/>
              </w:rPr>
            </w:pPr>
            <w:r>
              <w:rPr>
                <w:color w:val="231F20"/>
                <w:sz w:val="14"/>
              </w:rPr>
              <w:t>У остваривању садржаја програма који се односе</w:t>
            </w:r>
            <w:r>
              <w:rPr>
                <w:color w:val="231F20"/>
                <w:spacing w:val="-16"/>
                <w:sz w:val="14"/>
              </w:rPr>
              <w:t xml:space="preserve"> </w:t>
            </w:r>
            <w:r>
              <w:rPr>
                <w:color w:val="231F20"/>
                <w:sz w:val="14"/>
              </w:rPr>
              <w:t>на</w:t>
            </w:r>
          </w:p>
          <w:p w:rsidR="00041039" w:rsidRDefault="001B26CB">
            <w:pPr>
              <w:pStyle w:val="TableParagraph"/>
              <w:spacing w:line="237" w:lineRule="auto"/>
              <w:ind w:left="157" w:right="30"/>
              <w:rPr>
                <w:sz w:val="14"/>
              </w:rPr>
            </w:pPr>
            <w:r>
              <w:rPr>
                <w:color w:val="231F20"/>
                <w:sz w:val="14"/>
              </w:rPr>
              <w:t>падеже детаљније обрадити месна значења генитива, акузатива и локатива. Увежбавање падежа повезивати са проширивањем реченице синтагмама.</w:t>
            </w:r>
          </w:p>
          <w:p w:rsidR="00041039" w:rsidRDefault="001B26CB">
            <w:pPr>
              <w:pStyle w:val="TableParagraph"/>
              <w:numPr>
                <w:ilvl w:val="0"/>
                <w:numId w:val="713"/>
              </w:numPr>
              <w:tabs>
                <w:tab w:val="left" w:pos="158"/>
              </w:tabs>
              <w:spacing w:line="237" w:lineRule="auto"/>
              <w:ind w:right="117"/>
              <w:rPr>
                <w:sz w:val="14"/>
              </w:rPr>
            </w:pPr>
            <w:r>
              <w:rPr>
                <w:color w:val="231F20"/>
                <w:sz w:val="14"/>
              </w:rPr>
              <w:t xml:space="preserve">Обратити пажњу на структуру реченице и </w:t>
            </w:r>
            <w:r>
              <w:rPr>
                <w:color w:val="231F20"/>
                <w:spacing w:val="-3"/>
                <w:sz w:val="14"/>
              </w:rPr>
              <w:t>њихову</w:t>
            </w:r>
            <w:r>
              <w:rPr>
                <w:color w:val="231F20"/>
                <w:spacing w:val="-17"/>
                <w:sz w:val="14"/>
              </w:rPr>
              <w:t xml:space="preserve"> </w:t>
            </w:r>
            <w:r>
              <w:rPr>
                <w:color w:val="231F20"/>
                <w:sz w:val="14"/>
              </w:rPr>
              <w:t>комуникатив­ ну</w:t>
            </w:r>
            <w:r>
              <w:rPr>
                <w:color w:val="231F20"/>
                <w:spacing w:val="-2"/>
                <w:sz w:val="14"/>
              </w:rPr>
              <w:t xml:space="preserve"> </w:t>
            </w:r>
            <w:r>
              <w:rPr>
                <w:color w:val="231F20"/>
                <w:sz w:val="14"/>
              </w:rPr>
              <w:t>функцију.</w:t>
            </w:r>
          </w:p>
          <w:p w:rsidR="00041039" w:rsidRDefault="001B26CB">
            <w:pPr>
              <w:pStyle w:val="TableParagraph"/>
              <w:numPr>
                <w:ilvl w:val="0"/>
                <w:numId w:val="713"/>
              </w:numPr>
              <w:tabs>
                <w:tab w:val="left" w:pos="158"/>
              </w:tabs>
              <w:spacing w:line="160" w:lineRule="exact"/>
              <w:ind w:right="110"/>
              <w:rPr>
                <w:sz w:val="14"/>
              </w:rPr>
            </w:pPr>
            <w:r>
              <w:rPr>
                <w:color w:val="231F20"/>
                <w:spacing w:val="-4"/>
                <w:sz w:val="14"/>
              </w:rPr>
              <w:t xml:space="preserve">Код </w:t>
            </w:r>
            <w:r>
              <w:rPr>
                <w:color w:val="231F20"/>
                <w:sz w:val="14"/>
              </w:rPr>
              <w:t>глаголских облика</w:t>
            </w:r>
            <w:r>
              <w:rPr>
                <w:color w:val="231F20"/>
                <w:spacing w:val="-27"/>
                <w:sz w:val="14"/>
              </w:rPr>
              <w:t xml:space="preserve"> </w:t>
            </w:r>
            <w:r>
              <w:rPr>
                <w:color w:val="231F20"/>
                <w:sz w:val="14"/>
              </w:rPr>
              <w:t>увежбава­ ти презент, перфекат и футур</w:t>
            </w:r>
            <w:r>
              <w:rPr>
                <w:color w:val="231F20"/>
                <w:spacing w:val="-20"/>
                <w:sz w:val="14"/>
              </w:rPr>
              <w:t xml:space="preserve"> </w:t>
            </w:r>
            <w:r>
              <w:rPr>
                <w:color w:val="231F20"/>
                <w:sz w:val="14"/>
              </w:rPr>
              <w:t>I.</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4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712"/>
              </w:numPr>
              <w:tabs>
                <w:tab w:val="left" w:pos="155"/>
              </w:tabs>
              <w:spacing w:before="8"/>
              <w:ind w:right="44"/>
              <w:rPr>
                <w:sz w:val="14"/>
              </w:rPr>
            </w:pPr>
            <w:r>
              <w:rPr>
                <w:color w:val="231F20"/>
                <w:sz w:val="14"/>
              </w:rPr>
              <w:t xml:space="preserve">У </w:t>
            </w:r>
            <w:r>
              <w:rPr>
                <w:color w:val="231F20"/>
                <w:spacing w:val="-3"/>
                <w:sz w:val="14"/>
              </w:rPr>
              <w:t xml:space="preserve">области </w:t>
            </w:r>
            <w:r>
              <w:rPr>
                <w:b/>
                <w:color w:val="231F20"/>
                <w:sz w:val="14"/>
              </w:rPr>
              <w:t xml:space="preserve">правописа </w:t>
            </w:r>
            <w:r>
              <w:rPr>
                <w:color w:val="231F20"/>
                <w:sz w:val="14"/>
              </w:rPr>
              <w:t xml:space="preserve">обавезно треба </w:t>
            </w:r>
            <w:r>
              <w:rPr>
                <w:color w:val="231F20"/>
                <w:spacing w:val="-3"/>
                <w:sz w:val="14"/>
              </w:rPr>
              <w:t xml:space="preserve">увежбавати </w:t>
            </w:r>
            <w:r>
              <w:rPr>
                <w:color w:val="231F20"/>
                <w:sz w:val="14"/>
              </w:rPr>
              <w:t xml:space="preserve">писање </w:t>
            </w:r>
            <w:r>
              <w:rPr>
                <w:color w:val="231F20"/>
                <w:spacing w:val="-3"/>
                <w:sz w:val="14"/>
              </w:rPr>
              <w:t>речце</w:t>
            </w:r>
            <w:r>
              <w:rPr>
                <w:color w:val="231F20"/>
                <w:spacing w:val="-19"/>
                <w:sz w:val="14"/>
              </w:rPr>
              <w:t xml:space="preserve"> </w:t>
            </w:r>
            <w:r>
              <w:rPr>
                <w:color w:val="231F20"/>
                <w:sz w:val="14"/>
              </w:rPr>
              <w:t>не.</w:t>
            </w:r>
          </w:p>
          <w:p w:rsidR="00041039" w:rsidRDefault="001B26CB">
            <w:pPr>
              <w:pStyle w:val="TableParagraph"/>
              <w:numPr>
                <w:ilvl w:val="0"/>
                <w:numId w:val="712"/>
              </w:numPr>
              <w:tabs>
                <w:tab w:val="left" w:pos="158"/>
              </w:tabs>
              <w:spacing w:line="160" w:lineRule="exact"/>
              <w:ind w:left="157" w:right="85" w:hanging="100"/>
              <w:rPr>
                <w:sz w:val="14"/>
              </w:rPr>
            </w:pPr>
            <w:r>
              <w:rPr>
                <w:color w:val="231F20"/>
                <w:sz w:val="14"/>
              </w:rPr>
              <w:t xml:space="preserve">У тематици </w:t>
            </w:r>
            <w:r>
              <w:rPr>
                <w:b/>
                <w:color w:val="231F20"/>
                <w:sz w:val="14"/>
              </w:rPr>
              <w:t>књижевност</w:t>
            </w:r>
            <w:r>
              <w:rPr>
                <w:color w:val="231F20"/>
                <w:sz w:val="14"/>
              </w:rPr>
              <w:t xml:space="preserve">, међу седам књижевних дела обавезних за </w:t>
            </w:r>
            <w:r>
              <w:rPr>
                <w:color w:val="231F20"/>
                <w:spacing w:val="-3"/>
                <w:sz w:val="14"/>
              </w:rPr>
              <w:t xml:space="preserve">обраду, </w:t>
            </w:r>
            <w:r>
              <w:rPr>
                <w:color w:val="231F20"/>
                <w:sz w:val="14"/>
              </w:rPr>
              <w:t>укључити дела из на­ родне</w:t>
            </w:r>
            <w:r>
              <w:rPr>
                <w:color w:val="231F20"/>
                <w:spacing w:val="-1"/>
                <w:sz w:val="14"/>
              </w:rPr>
              <w:t xml:space="preserve"> </w:t>
            </w:r>
            <w:r>
              <w:rPr>
                <w:color w:val="231F20"/>
                <w:sz w:val="14"/>
              </w:rPr>
              <w:t>књижевности.</w:t>
            </w:r>
          </w:p>
          <w:p w:rsidR="00041039" w:rsidRDefault="001B26CB">
            <w:pPr>
              <w:pStyle w:val="TableParagraph"/>
              <w:numPr>
                <w:ilvl w:val="0"/>
                <w:numId w:val="712"/>
              </w:numPr>
              <w:tabs>
                <w:tab w:val="left" w:pos="158"/>
              </w:tabs>
              <w:spacing w:line="160" w:lineRule="exact"/>
              <w:ind w:left="157" w:right="270" w:hanging="100"/>
              <w:rPr>
                <w:sz w:val="14"/>
              </w:rPr>
            </w:pPr>
            <w:r>
              <w:rPr>
                <w:color w:val="231F20"/>
                <w:sz w:val="14"/>
              </w:rPr>
              <w:t>Приликом интерпретације књижевноуметничких тексто­ ва, указивати на особености књижевних родова и врста</w:t>
            </w:r>
            <w:r>
              <w:rPr>
                <w:color w:val="231F20"/>
                <w:spacing w:val="-15"/>
                <w:sz w:val="14"/>
              </w:rPr>
              <w:t xml:space="preserve"> </w:t>
            </w:r>
            <w:r>
              <w:rPr>
                <w:color w:val="231F20"/>
                <w:sz w:val="14"/>
              </w:rPr>
              <w:t>као и на језичко ­ стилске одлике књижевних</w:t>
            </w:r>
            <w:r>
              <w:rPr>
                <w:color w:val="231F20"/>
                <w:spacing w:val="-1"/>
                <w:sz w:val="14"/>
              </w:rPr>
              <w:t xml:space="preserve"> </w:t>
            </w:r>
            <w:r>
              <w:rPr>
                <w:color w:val="231F20"/>
                <w:sz w:val="14"/>
              </w:rPr>
              <w:t>дела.</w:t>
            </w:r>
          </w:p>
          <w:p w:rsidR="00041039" w:rsidRDefault="001B26CB">
            <w:pPr>
              <w:pStyle w:val="TableParagraph"/>
              <w:numPr>
                <w:ilvl w:val="0"/>
                <w:numId w:val="712"/>
              </w:numPr>
              <w:tabs>
                <w:tab w:val="left" w:pos="158"/>
              </w:tabs>
              <w:spacing w:line="160" w:lineRule="exact"/>
              <w:ind w:left="157" w:right="97" w:hanging="100"/>
              <w:rPr>
                <w:sz w:val="14"/>
              </w:rPr>
            </w:pPr>
            <w:r>
              <w:rPr>
                <w:color w:val="231F20"/>
                <w:sz w:val="14"/>
              </w:rPr>
              <w:t>На примерима текстова српске књижевности обнављати и систематизовати садржаје из историје књижевности,</w:t>
            </w:r>
            <w:r>
              <w:rPr>
                <w:color w:val="231F20"/>
                <w:sz w:val="14"/>
              </w:rPr>
              <w:t xml:space="preserve"> теорије књижевности и књижевне кри­ тике, које ученик познаје из про­ грама прописаног за</w:t>
            </w:r>
            <w:r>
              <w:rPr>
                <w:color w:val="231F20"/>
                <w:spacing w:val="-15"/>
                <w:sz w:val="14"/>
              </w:rPr>
              <w:t xml:space="preserve"> </w:t>
            </w:r>
            <w:r>
              <w:rPr>
                <w:color w:val="231F20"/>
                <w:sz w:val="14"/>
              </w:rPr>
              <w:t>савладавање његовог матерњег</w:t>
            </w:r>
            <w:r>
              <w:rPr>
                <w:color w:val="231F20"/>
                <w:spacing w:val="-3"/>
                <w:sz w:val="14"/>
              </w:rPr>
              <w:t xml:space="preserve"> </w:t>
            </w:r>
            <w:r>
              <w:rPr>
                <w:color w:val="231F20"/>
                <w:sz w:val="14"/>
              </w:rPr>
              <w:t>језика.</w:t>
            </w:r>
          </w:p>
        </w:tc>
      </w:tr>
    </w:tbl>
    <w:p w:rsidR="00041039" w:rsidRDefault="00041039">
      <w:pPr>
        <w:pStyle w:val="BodyText"/>
        <w:spacing w:before="6"/>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16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711"/>
              </w:numPr>
              <w:tabs>
                <w:tab w:val="left" w:pos="157"/>
              </w:tabs>
              <w:spacing w:before="8"/>
              <w:ind w:right="188"/>
              <w:rPr>
                <w:sz w:val="14"/>
              </w:rPr>
            </w:pPr>
            <w:r>
              <w:rPr>
                <w:color w:val="231F20"/>
                <w:sz w:val="14"/>
              </w:rPr>
              <w:t>Оспособљавање ученика за</w:t>
            </w:r>
            <w:r>
              <w:rPr>
                <w:color w:val="231F20"/>
                <w:spacing w:val="-12"/>
                <w:sz w:val="14"/>
              </w:rPr>
              <w:t xml:space="preserve"> </w:t>
            </w:r>
            <w:r>
              <w:rPr>
                <w:color w:val="231F20"/>
                <w:sz w:val="14"/>
              </w:rPr>
              <w:t>правилно акцентовање речи и реченица.</w:t>
            </w:r>
          </w:p>
          <w:p w:rsidR="00041039" w:rsidRDefault="001B26CB">
            <w:pPr>
              <w:pStyle w:val="TableParagraph"/>
              <w:numPr>
                <w:ilvl w:val="0"/>
                <w:numId w:val="711"/>
              </w:numPr>
              <w:tabs>
                <w:tab w:val="left" w:pos="157"/>
              </w:tabs>
              <w:spacing w:line="156" w:lineRule="exact"/>
              <w:rPr>
                <w:sz w:val="14"/>
              </w:rPr>
            </w:pPr>
            <w:r>
              <w:rPr>
                <w:color w:val="231F20"/>
                <w:sz w:val="14"/>
              </w:rPr>
              <w:t>Оспособљавање</w:t>
            </w:r>
          </w:p>
          <w:p w:rsidR="00041039" w:rsidRDefault="001B26CB">
            <w:pPr>
              <w:pStyle w:val="TableParagraph"/>
              <w:ind w:right="215"/>
              <w:rPr>
                <w:sz w:val="14"/>
              </w:rPr>
            </w:pPr>
            <w:r>
              <w:rPr>
                <w:color w:val="231F20"/>
                <w:sz w:val="14"/>
              </w:rPr>
              <w:t>ученика за примену гласовних промена.</w:t>
            </w:r>
          </w:p>
        </w:tc>
        <w:tc>
          <w:tcPr>
            <w:tcW w:w="2551" w:type="dxa"/>
          </w:tcPr>
          <w:p w:rsidR="00041039" w:rsidRDefault="001B26CB">
            <w:pPr>
              <w:pStyle w:val="TableParagraph"/>
              <w:numPr>
                <w:ilvl w:val="0"/>
                <w:numId w:val="710"/>
              </w:numPr>
              <w:tabs>
                <w:tab w:val="left" w:pos="157"/>
              </w:tabs>
              <w:spacing w:before="8"/>
              <w:ind w:right="152" w:hanging="99"/>
              <w:rPr>
                <w:sz w:val="14"/>
              </w:rPr>
            </w:pPr>
            <w:r>
              <w:rPr>
                <w:color w:val="231F20"/>
                <w:sz w:val="14"/>
              </w:rPr>
              <w:t>примењује основна правила акценто­ вања речи и</w:t>
            </w:r>
            <w:r>
              <w:rPr>
                <w:color w:val="231F20"/>
                <w:spacing w:val="-3"/>
                <w:sz w:val="14"/>
              </w:rPr>
              <w:t xml:space="preserve"> </w:t>
            </w:r>
            <w:r>
              <w:rPr>
                <w:color w:val="231F20"/>
                <w:sz w:val="14"/>
              </w:rPr>
              <w:t>реченица;</w:t>
            </w:r>
          </w:p>
          <w:p w:rsidR="00041039" w:rsidRDefault="001B26CB">
            <w:pPr>
              <w:pStyle w:val="TableParagraph"/>
              <w:numPr>
                <w:ilvl w:val="0"/>
                <w:numId w:val="710"/>
              </w:numPr>
              <w:tabs>
                <w:tab w:val="left" w:pos="157"/>
              </w:tabs>
              <w:spacing w:line="160"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numPr>
                <w:ilvl w:val="0"/>
                <w:numId w:val="709"/>
              </w:numPr>
              <w:tabs>
                <w:tab w:val="left" w:pos="157"/>
              </w:tabs>
              <w:spacing w:before="8" w:line="166" w:lineRule="exact"/>
              <w:ind w:hanging="99"/>
              <w:rPr>
                <w:sz w:val="14"/>
              </w:rPr>
            </w:pPr>
            <w:r>
              <w:rPr>
                <w:color w:val="231F20"/>
                <w:sz w:val="14"/>
              </w:rPr>
              <w:t>Квалитет и квантитет</w:t>
            </w:r>
            <w:r>
              <w:rPr>
                <w:color w:val="231F20"/>
                <w:spacing w:val="-3"/>
                <w:sz w:val="14"/>
              </w:rPr>
              <w:t xml:space="preserve"> </w:t>
            </w:r>
            <w:r>
              <w:rPr>
                <w:color w:val="231F20"/>
                <w:sz w:val="14"/>
              </w:rPr>
              <w:t>акцента.</w:t>
            </w:r>
          </w:p>
          <w:p w:rsidR="00041039" w:rsidRDefault="001B26CB">
            <w:pPr>
              <w:pStyle w:val="TableParagraph"/>
              <w:numPr>
                <w:ilvl w:val="0"/>
                <w:numId w:val="709"/>
              </w:numPr>
              <w:tabs>
                <w:tab w:val="left" w:pos="157"/>
              </w:tabs>
              <w:spacing w:line="160" w:lineRule="exact"/>
              <w:ind w:hanging="99"/>
              <w:rPr>
                <w:sz w:val="14"/>
              </w:rPr>
            </w:pPr>
            <w:r>
              <w:rPr>
                <w:color w:val="231F20"/>
                <w:sz w:val="14"/>
              </w:rPr>
              <w:t>Једначење сугласника по</w:t>
            </w:r>
            <w:r>
              <w:rPr>
                <w:color w:val="231F20"/>
                <w:spacing w:val="-7"/>
                <w:sz w:val="14"/>
              </w:rPr>
              <w:t xml:space="preserve"> </w:t>
            </w:r>
            <w:r>
              <w:rPr>
                <w:color w:val="231F20"/>
                <w:sz w:val="14"/>
              </w:rPr>
              <w:t>звучности.</w:t>
            </w:r>
          </w:p>
          <w:p w:rsidR="00041039" w:rsidRDefault="001B26CB">
            <w:pPr>
              <w:pStyle w:val="TableParagraph"/>
              <w:numPr>
                <w:ilvl w:val="0"/>
                <w:numId w:val="709"/>
              </w:numPr>
              <w:tabs>
                <w:tab w:val="left" w:pos="157"/>
              </w:tabs>
              <w:spacing w:line="160" w:lineRule="exact"/>
              <w:ind w:hanging="99"/>
              <w:rPr>
                <w:sz w:val="14"/>
              </w:rPr>
            </w:pPr>
            <w:r>
              <w:rPr>
                <w:color w:val="231F20"/>
                <w:sz w:val="14"/>
              </w:rPr>
              <w:t>Једначење сугласника по месту</w:t>
            </w:r>
            <w:r>
              <w:rPr>
                <w:color w:val="231F20"/>
                <w:spacing w:val="-10"/>
                <w:sz w:val="14"/>
              </w:rPr>
              <w:t xml:space="preserve"> </w:t>
            </w:r>
            <w:r>
              <w:rPr>
                <w:color w:val="231F20"/>
                <w:sz w:val="14"/>
              </w:rPr>
              <w:t>творбе.</w:t>
            </w:r>
          </w:p>
          <w:p w:rsidR="00041039" w:rsidRDefault="001B26CB">
            <w:pPr>
              <w:pStyle w:val="TableParagraph"/>
              <w:numPr>
                <w:ilvl w:val="0"/>
                <w:numId w:val="709"/>
              </w:numPr>
              <w:tabs>
                <w:tab w:val="left" w:pos="157"/>
              </w:tabs>
              <w:spacing w:line="166" w:lineRule="exact"/>
              <w:ind w:hanging="99"/>
              <w:rPr>
                <w:sz w:val="14"/>
              </w:rPr>
            </w:pPr>
            <w:r>
              <w:rPr>
                <w:color w:val="231F20"/>
                <w:sz w:val="14"/>
              </w:rPr>
              <w:t>Палатализација и</w:t>
            </w:r>
            <w:r>
              <w:rPr>
                <w:color w:val="231F20"/>
                <w:spacing w:val="-3"/>
                <w:sz w:val="14"/>
              </w:rPr>
              <w:t xml:space="preserve"> </w:t>
            </w:r>
            <w:r>
              <w:rPr>
                <w:color w:val="231F20"/>
                <w:sz w:val="14"/>
              </w:rPr>
              <w:t>сибиларизација.</w:t>
            </w:r>
          </w:p>
        </w:tc>
        <w:tc>
          <w:tcPr>
            <w:tcW w:w="2267" w:type="dxa"/>
            <w:vMerge w:val="restart"/>
          </w:tcPr>
          <w:p w:rsidR="00041039" w:rsidRDefault="001B26CB">
            <w:pPr>
              <w:pStyle w:val="TableParagraph"/>
              <w:numPr>
                <w:ilvl w:val="0"/>
                <w:numId w:val="708"/>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708"/>
              </w:numPr>
              <w:tabs>
                <w:tab w:val="left" w:pos="158"/>
              </w:tabs>
              <w:spacing w:line="160" w:lineRule="exact"/>
              <w:ind w:right="156" w:hanging="99"/>
              <w:rPr>
                <w:b/>
                <w:sz w:val="14"/>
              </w:rPr>
            </w:pPr>
            <w:r>
              <w:rPr>
                <w:color w:val="231F20"/>
                <w:sz w:val="14"/>
              </w:rPr>
              <w:t>теоријска наставаса вежбама</w:t>
            </w:r>
            <w:r>
              <w:rPr>
                <w:color w:val="231F20"/>
                <w:spacing w:val="-10"/>
                <w:sz w:val="14"/>
              </w:rPr>
              <w:t xml:space="preserve"> </w:t>
            </w:r>
            <w:r>
              <w:rPr>
                <w:b/>
                <w:color w:val="231F20"/>
                <w:sz w:val="14"/>
              </w:rPr>
              <w:t>(70 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708"/>
              </w:numPr>
              <w:tabs>
                <w:tab w:val="left" w:pos="158"/>
              </w:tabs>
              <w:spacing w:line="166"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708"/>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708"/>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708"/>
              </w:numPr>
              <w:tabs>
                <w:tab w:val="left" w:pos="158"/>
              </w:tabs>
              <w:spacing w:line="160" w:lineRule="exact"/>
              <w:ind w:hanging="99"/>
              <w:rPr>
                <w:b/>
                <w:sz w:val="14"/>
              </w:rPr>
            </w:pPr>
            <w:r>
              <w:rPr>
                <w:color w:val="231F20"/>
                <w:sz w:val="14"/>
              </w:rPr>
              <w:t xml:space="preserve">фонетика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708"/>
              </w:numPr>
              <w:tabs>
                <w:tab w:val="left" w:pos="158"/>
              </w:tabs>
              <w:spacing w:line="160" w:lineRule="exact"/>
              <w:ind w:hanging="99"/>
              <w:rPr>
                <w:b/>
                <w:sz w:val="14"/>
              </w:rPr>
            </w:pPr>
            <w:r>
              <w:rPr>
                <w:color w:val="231F20"/>
                <w:sz w:val="14"/>
              </w:rPr>
              <w:t xml:space="preserve">морфологија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708"/>
              </w:numPr>
              <w:tabs>
                <w:tab w:val="left" w:pos="158"/>
              </w:tabs>
              <w:spacing w:line="160" w:lineRule="exact"/>
              <w:ind w:hanging="99"/>
              <w:rPr>
                <w:b/>
                <w:sz w:val="14"/>
              </w:rPr>
            </w:pPr>
            <w:r>
              <w:rPr>
                <w:color w:val="231F20"/>
                <w:sz w:val="14"/>
              </w:rPr>
              <w:t xml:space="preserve">творба речи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708"/>
              </w:numPr>
              <w:tabs>
                <w:tab w:val="left" w:pos="158"/>
              </w:tabs>
              <w:spacing w:line="160" w:lineRule="exact"/>
              <w:ind w:hanging="99"/>
              <w:rPr>
                <w:b/>
                <w:sz w:val="14"/>
              </w:rPr>
            </w:pPr>
            <w:r>
              <w:rPr>
                <w:color w:val="231F20"/>
                <w:sz w:val="14"/>
              </w:rPr>
              <w:t xml:space="preserve">синтакса </w:t>
            </w:r>
            <w:r>
              <w:rPr>
                <w:b/>
                <w:color w:val="231F20"/>
                <w:sz w:val="14"/>
              </w:rPr>
              <w:t>(9</w:t>
            </w:r>
            <w:r>
              <w:rPr>
                <w:b/>
                <w:color w:val="231F20"/>
                <w:spacing w:val="-10"/>
                <w:sz w:val="14"/>
              </w:rPr>
              <w:t xml:space="preserve"> </w:t>
            </w:r>
            <w:r>
              <w:rPr>
                <w:b/>
                <w:color w:val="231F20"/>
                <w:sz w:val="14"/>
              </w:rPr>
              <w:t>часова)</w:t>
            </w:r>
          </w:p>
          <w:p w:rsidR="00041039" w:rsidRDefault="001B26CB">
            <w:pPr>
              <w:pStyle w:val="TableParagraph"/>
              <w:numPr>
                <w:ilvl w:val="0"/>
                <w:numId w:val="708"/>
              </w:numPr>
              <w:tabs>
                <w:tab w:val="left" w:pos="158"/>
              </w:tabs>
              <w:spacing w:line="160" w:lineRule="exact"/>
              <w:ind w:hanging="99"/>
              <w:rPr>
                <w:b/>
                <w:sz w:val="14"/>
              </w:rPr>
            </w:pPr>
            <w:r>
              <w:rPr>
                <w:color w:val="231F20"/>
                <w:sz w:val="14"/>
              </w:rPr>
              <w:t xml:space="preserve">правопис </w:t>
            </w:r>
            <w:r>
              <w:rPr>
                <w:b/>
                <w:color w:val="231F20"/>
                <w:sz w:val="14"/>
              </w:rPr>
              <w:t>(9</w:t>
            </w:r>
            <w:r>
              <w:rPr>
                <w:b/>
                <w:color w:val="231F20"/>
                <w:spacing w:val="-12"/>
                <w:sz w:val="14"/>
              </w:rPr>
              <w:t xml:space="preserve"> </w:t>
            </w:r>
            <w:r>
              <w:rPr>
                <w:b/>
                <w:color w:val="231F20"/>
                <w:sz w:val="14"/>
              </w:rPr>
              <w:t>часова)</w:t>
            </w:r>
          </w:p>
          <w:p w:rsidR="00041039" w:rsidRDefault="001B26CB">
            <w:pPr>
              <w:pStyle w:val="TableParagraph"/>
              <w:numPr>
                <w:ilvl w:val="0"/>
                <w:numId w:val="708"/>
              </w:numPr>
              <w:tabs>
                <w:tab w:val="left" w:pos="158"/>
              </w:tabs>
              <w:spacing w:line="160" w:lineRule="exact"/>
              <w:ind w:hanging="99"/>
              <w:rPr>
                <w:b/>
                <w:sz w:val="14"/>
              </w:rPr>
            </w:pPr>
            <w:r>
              <w:rPr>
                <w:color w:val="231F20"/>
                <w:sz w:val="14"/>
              </w:rPr>
              <w:t xml:space="preserve">култура изражавања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numPr>
                <w:ilvl w:val="0"/>
                <w:numId w:val="708"/>
              </w:numPr>
              <w:tabs>
                <w:tab w:val="left" w:pos="158"/>
              </w:tabs>
              <w:spacing w:line="166" w:lineRule="exact"/>
              <w:ind w:hanging="99"/>
              <w:rPr>
                <w:b/>
                <w:sz w:val="14"/>
              </w:rPr>
            </w:pPr>
            <w:r>
              <w:rPr>
                <w:color w:val="231F20"/>
                <w:sz w:val="14"/>
              </w:rPr>
              <w:t xml:space="preserve">књижевност </w:t>
            </w:r>
            <w:r>
              <w:rPr>
                <w:b/>
                <w:color w:val="231F20"/>
                <w:sz w:val="14"/>
              </w:rPr>
              <w:t>(12</w:t>
            </w:r>
            <w:r>
              <w:rPr>
                <w:b/>
                <w:color w:val="231F20"/>
                <w:spacing w:val="-2"/>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ind w:left="58" w:right="45"/>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 језик </w:t>
            </w:r>
            <w:r>
              <w:rPr>
                <w:color w:val="231F20"/>
                <w:sz w:val="14"/>
              </w:rPr>
              <w:t xml:space="preserve">за први разред средње </w:t>
            </w:r>
            <w:r>
              <w:rPr>
                <w:color w:val="231F20"/>
                <w:spacing w:val="-3"/>
                <w:sz w:val="14"/>
              </w:rPr>
              <w:t xml:space="preserve">школе. </w:t>
            </w:r>
            <w:r>
              <w:rPr>
                <w:color w:val="231F20"/>
                <w:sz w:val="14"/>
              </w:rPr>
              <w:t>Осим овладавања садржајима предвиђе­ ним за овај разред у настави је неопходно обезбедити обнављање</w:t>
            </w:r>
            <w:r>
              <w:rPr>
                <w:color w:val="231F20"/>
                <w:spacing w:val="-19"/>
                <w:sz w:val="14"/>
              </w:rPr>
              <w:t xml:space="preserve"> </w:t>
            </w:r>
            <w:r>
              <w:rPr>
                <w:color w:val="231F20"/>
                <w:sz w:val="14"/>
              </w:rPr>
              <w:t>и утврђивање градива из претходног разре</w:t>
            </w:r>
            <w:r>
              <w:rPr>
                <w:color w:val="231F20"/>
                <w:sz w:val="14"/>
              </w:rPr>
              <w:t xml:space="preserve">да </w:t>
            </w:r>
            <w:r>
              <w:rPr>
                <w:color w:val="231F20"/>
                <w:spacing w:val="-3"/>
                <w:sz w:val="14"/>
              </w:rPr>
              <w:t xml:space="preserve">како </w:t>
            </w:r>
            <w:r>
              <w:rPr>
                <w:color w:val="231F20"/>
                <w:sz w:val="14"/>
              </w:rPr>
              <w:t>би се спречило његово заборављање и учврстиле стечене навике, а ново градиво усвајало као природни наставак претходног и као део једног целовитог</w:t>
            </w:r>
            <w:r>
              <w:rPr>
                <w:color w:val="231F20"/>
                <w:spacing w:val="-8"/>
                <w:sz w:val="14"/>
              </w:rPr>
              <w:t xml:space="preserve"> </w:t>
            </w:r>
            <w:r>
              <w:rPr>
                <w:color w:val="231F20"/>
                <w:sz w:val="14"/>
              </w:rPr>
              <w:t>система.</w:t>
            </w:r>
          </w:p>
        </w:tc>
      </w:tr>
      <w:tr w:rsidR="00041039">
        <w:trPr>
          <w:trHeight w:val="2600"/>
        </w:trPr>
        <w:tc>
          <w:tcPr>
            <w:tcW w:w="1304" w:type="dxa"/>
          </w:tcPr>
          <w:p w:rsidR="00041039" w:rsidRDefault="001B26CB">
            <w:pPr>
              <w:pStyle w:val="TableParagraph"/>
              <w:spacing w:before="19"/>
              <w:ind w:left="56" w:right="301"/>
              <w:rPr>
                <w:sz w:val="14"/>
              </w:rPr>
            </w:pPr>
            <w:r>
              <w:rPr>
                <w:color w:val="231F20"/>
                <w:sz w:val="14"/>
              </w:rPr>
              <w:t>Морфологија и морфосинтакса</w:t>
            </w:r>
          </w:p>
        </w:tc>
        <w:tc>
          <w:tcPr>
            <w:tcW w:w="1587" w:type="dxa"/>
          </w:tcPr>
          <w:p w:rsidR="00041039" w:rsidRDefault="001B26CB">
            <w:pPr>
              <w:pStyle w:val="TableParagraph"/>
              <w:numPr>
                <w:ilvl w:val="0"/>
                <w:numId w:val="707"/>
              </w:numPr>
              <w:tabs>
                <w:tab w:val="left" w:pos="157"/>
              </w:tabs>
              <w:spacing w:before="9"/>
              <w:ind w:right="105"/>
              <w:rPr>
                <w:sz w:val="14"/>
              </w:rPr>
            </w:pPr>
            <w:r>
              <w:rPr>
                <w:color w:val="231F20"/>
                <w:sz w:val="14"/>
              </w:rPr>
              <w:t>Упознавање ученика са правилном употре­ бом и оспособљавање за правилну употребу облика</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706"/>
              </w:numPr>
              <w:tabs>
                <w:tab w:val="left" w:pos="157"/>
              </w:tabs>
              <w:spacing w:before="9"/>
              <w:ind w:right="166" w:hanging="99"/>
              <w:rPr>
                <w:sz w:val="14"/>
              </w:rPr>
            </w:pPr>
            <w:r>
              <w:rPr>
                <w:color w:val="231F20"/>
                <w:sz w:val="14"/>
              </w:rPr>
              <w:t>правилно употребљава именице</w:t>
            </w:r>
            <w:r>
              <w:rPr>
                <w:color w:val="231F20"/>
                <w:spacing w:val="-19"/>
                <w:sz w:val="14"/>
              </w:rPr>
              <w:t xml:space="preserve"> </w:t>
            </w:r>
            <w:r>
              <w:rPr>
                <w:color w:val="231F20"/>
                <w:sz w:val="14"/>
              </w:rPr>
              <w:t>при­ родног мушког</w:t>
            </w:r>
            <w:r>
              <w:rPr>
                <w:color w:val="231F20"/>
                <w:spacing w:val="-2"/>
                <w:sz w:val="14"/>
              </w:rPr>
              <w:t xml:space="preserve"> </w:t>
            </w:r>
            <w:r>
              <w:rPr>
                <w:color w:val="231F20"/>
                <w:sz w:val="14"/>
              </w:rPr>
              <w:t>рода;</w:t>
            </w:r>
          </w:p>
          <w:p w:rsidR="00041039" w:rsidRDefault="001B26CB">
            <w:pPr>
              <w:pStyle w:val="TableParagraph"/>
              <w:numPr>
                <w:ilvl w:val="0"/>
                <w:numId w:val="706"/>
              </w:numPr>
              <w:tabs>
                <w:tab w:val="left" w:pos="157"/>
              </w:tabs>
              <w:spacing w:line="160" w:lineRule="exact"/>
              <w:ind w:right="396" w:hanging="99"/>
              <w:rPr>
                <w:sz w:val="14"/>
              </w:rPr>
            </w:pPr>
            <w:r>
              <w:rPr>
                <w:color w:val="231F20"/>
                <w:sz w:val="14"/>
              </w:rPr>
              <w:t>препознаје именице типа</w:t>
            </w:r>
            <w:r>
              <w:rPr>
                <w:color w:val="231F20"/>
                <w:spacing w:val="-23"/>
                <w:sz w:val="14"/>
              </w:rPr>
              <w:t xml:space="preserve"> </w:t>
            </w:r>
            <w:r>
              <w:rPr>
                <w:color w:val="231F20"/>
                <w:sz w:val="14"/>
              </w:rPr>
              <w:t>singular tantum и pluralia</w:t>
            </w:r>
            <w:r>
              <w:rPr>
                <w:color w:val="231F20"/>
                <w:spacing w:val="-1"/>
                <w:sz w:val="14"/>
              </w:rPr>
              <w:t xml:space="preserve"> </w:t>
            </w:r>
            <w:r>
              <w:rPr>
                <w:color w:val="231F20"/>
                <w:sz w:val="14"/>
              </w:rPr>
              <w:t>tantum;</w:t>
            </w:r>
          </w:p>
          <w:p w:rsidR="00041039" w:rsidRDefault="001B26CB">
            <w:pPr>
              <w:pStyle w:val="TableParagraph"/>
              <w:numPr>
                <w:ilvl w:val="0"/>
                <w:numId w:val="706"/>
              </w:numPr>
              <w:tabs>
                <w:tab w:val="left" w:pos="157"/>
              </w:tabs>
              <w:spacing w:line="160"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w:t>
            </w:r>
            <w:r>
              <w:rPr>
                <w:color w:val="231F20"/>
                <w:spacing w:val="-1"/>
                <w:sz w:val="14"/>
              </w:rPr>
              <w:t xml:space="preserve"> </w:t>
            </w:r>
            <w:r>
              <w:rPr>
                <w:color w:val="231F20"/>
                <w:sz w:val="14"/>
              </w:rPr>
              <w:t>речи;</w:t>
            </w:r>
          </w:p>
          <w:p w:rsidR="00041039" w:rsidRDefault="001B26CB">
            <w:pPr>
              <w:pStyle w:val="TableParagraph"/>
              <w:numPr>
                <w:ilvl w:val="0"/>
                <w:numId w:val="706"/>
              </w:numPr>
              <w:tabs>
                <w:tab w:val="left" w:pos="157"/>
              </w:tabs>
              <w:spacing w:line="153" w:lineRule="exact"/>
              <w:ind w:hanging="99"/>
              <w:rPr>
                <w:sz w:val="14"/>
              </w:rPr>
            </w:pPr>
            <w:r>
              <w:rPr>
                <w:color w:val="231F20"/>
                <w:sz w:val="14"/>
              </w:rPr>
              <w:t>употребљава прилоге за</w:t>
            </w:r>
            <w:r>
              <w:rPr>
                <w:color w:val="231F20"/>
                <w:spacing w:val="-4"/>
                <w:sz w:val="14"/>
              </w:rPr>
              <w:t xml:space="preserve"> </w:t>
            </w:r>
            <w:r>
              <w:rPr>
                <w:color w:val="231F20"/>
                <w:sz w:val="14"/>
              </w:rPr>
              <w:t>време;</w:t>
            </w:r>
          </w:p>
          <w:p w:rsidR="00041039" w:rsidRDefault="001B26CB">
            <w:pPr>
              <w:pStyle w:val="TableParagraph"/>
              <w:numPr>
                <w:ilvl w:val="0"/>
                <w:numId w:val="706"/>
              </w:numPr>
              <w:tabs>
                <w:tab w:val="left" w:pos="157"/>
              </w:tabs>
              <w:spacing w:line="237" w:lineRule="auto"/>
              <w:ind w:right="291" w:hanging="99"/>
              <w:rPr>
                <w:sz w:val="14"/>
              </w:rPr>
            </w:pPr>
            <w:r>
              <w:rPr>
                <w:color w:val="231F20"/>
                <w:sz w:val="14"/>
              </w:rPr>
              <w:t xml:space="preserve">разликује типове </w:t>
            </w:r>
            <w:r>
              <w:rPr>
                <w:color w:val="231F20"/>
                <w:spacing w:val="-3"/>
                <w:sz w:val="14"/>
              </w:rPr>
              <w:t xml:space="preserve">глагола </w:t>
            </w:r>
            <w:r>
              <w:rPr>
                <w:color w:val="231F20"/>
                <w:sz w:val="14"/>
              </w:rPr>
              <w:t>по виду и роду;</w:t>
            </w:r>
          </w:p>
          <w:p w:rsidR="00041039" w:rsidRDefault="001B26CB">
            <w:pPr>
              <w:pStyle w:val="TableParagraph"/>
              <w:numPr>
                <w:ilvl w:val="0"/>
                <w:numId w:val="706"/>
              </w:numPr>
              <w:tabs>
                <w:tab w:val="left" w:pos="157"/>
              </w:tabs>
              <w:spacing w:line="155" w:lineRule="exact"/>
              <w:ind w:hanging="99"/>
              <w:rPr>
                <w:sz w:val="14"/>
              </w:rPr>
            </w:pPr>
            <w:r>
              <w:rPr>
                <w:color w:val="231F20"/>
                <w:sz w:val="14"/>
              </w:rPr>
              <w:t xml:space="preserve">разликује </w:t>
            </w:r>
            <w:r>
              <w:rPr>
                <w:color w:val="231F20"/>
                <w:spacing w:val="-3"/>
                <w:sz w:val="14"/>
              </w:rPr>
              <w:t>глаголске</w:t>
            </w:r>
            <w:r>
              <w:rPr>
                <w:color w:val="231F20"/>
                <w:spacing w:val="-1"/>
                <w:sz w:val="14"/>
              </w:rPr>
              <w:t xml:space="preserve"> </w:t>
            </w:r>
            <w:r>
              <w:rPr>
                <w:color w:val="231F20"/>
                <w:sz w:val="14"/>
              </w:rPr>
              <w:t>начине;</w:t>
            </w:r>
          </w:p>
          <w:p w:rsidR="00041039" w:rsidRDefault="001B26CB">
            <w:pPr>
              <w:pStyle w:val="TableParagraph"/>
              <w:numPr>
                <w:ilvl w:val="0"/>
                <w:numId w:val="706"/>
              </w:numPr>
              <w:tabs>
                <w:tab w:val="left" w:pos="157"/>
              </w:tabs>
              <w:spacing w:line="237" w:lineRule="auto"/>
              <w:ind w:right="164" w:hanging="99"/>
              <w:rPr>
                <w:sz w:val="14"/>
              </w:rPr>
            </w:pPr>
            <w:r>
              <w:rPr>
                <w:color w:val="231F20"/>
                <w:sz w:val="14"/>
              </w:rPr>
              <w:t>препознаје и употребљава врсте</w:t>
            </w:r>
            <w:r>
              <w:rPr>
                <w:color w:val="231F20"/>
                <w:spacing w:val="-20"/>
                <w:sz w:val="14"/>
              </w:rPr>
              <w:t xml:space="preserve"> </w:t>
            </w:r>
            <w:r>
              <w:rPr>
                <w:color w:val="231F20"/>
                <w:sz w:val="14"/>
              </w:rPr>
              <w:t>при­ девских</w:t>
            </w:r>
            <w:r>
              <w:rPr>
                <w:color w:val="231F20"/>
                <w:spacing w:val="-1"/>
                <w:sz w:val="14"/>
              </w:rPr>
              <w:t xml:space="preserve"> </w:t>
            </w:r>
            <w:r>
              <w:rPr>
                <w:color w:val="231F20"/>
                <w:sz w:val="14"/>
              </w:rPr>
              <w:t>заменица;</w:t>
            </w:r>
          </w:p>
        </w:tc>
        <w:tc>
          <w:tcPr>
            <w:tcW w:w="2834" w:type="dxa"/>
          </w:tcPr>
          <w:p w:rsidR="00041039" w:rsidRDefault="001B26CB">
            <w:pPr>
              <w:pStyle w:val="TableParagraph"/>
              <w:numPr>
                <w:ilvl w:val="0"/>
                <w:numId w:val="705"/>
              </w:numPr>
              <w:tabs>
                <w:tab w:val="left" w:pos="157"/>
              </w:tabs>
              <w:spacing w:before="9" w:line="171" w:lineRule="exact"/>
              <w:ind w:hanging="99"/>
              <w:rPr>
                <w:sz w:val="14"/>
              </w:rPr>
            </w:pPr>
            <w:r>
              <w:rPr>
                <w:color w:val="231F20"/>
                <w:sz w:val="14"/>
              </w:rPr>
              <w:t>Именице:</w:t>
            </w:r>
          </w:p>
          <w:p w:rsidR="00041039" w:rsidRDefault="001B26CB">
            <w:pPr>
              <w:pStyle w:val="TableParagraph"/>
              <w:numPr>
                <w:ilvl w:val="0"/>
                <w:numId w:val="704"/>
              </w:numPr>
              <w:tabs>
                <w:tab w:val="left" w:pos="163"/>
              </w:tabs>
              <w:spacing w:line="160" w:lineRule="exact"/>
              <w:rPr>
                <w:sz w:val="14"/>
              </w:rPr>
            </w:pPr>
            <w:r>
              <w:rPr>
                <w:color w:val="231F20"/>
                <w:sz w:val="14"/>
              </w:rPr>
              <w:t>природни мушки</w:t>
            </w:r>
            <w:r>
              <w:rPr>
                <w:color w:val="231F20"/>
                <w:spacing w:val="-1"/>
                <w:sz w:val="14"/>
              </w:rPr>
              <w:t xml:space="preserve"> </w:t>
            </w:r>
            <w:r>
              <w:rPr>
                <w:color w:val="231F20"/>
                <w:sz w:val="14"/>
              </w:rPr>
              <w:t>род;</w:t>
            </w:r>
          </w:p>
          <w:p w:rsidR="00041039" w:rsidRDefault="001B26CB">
            <w:pPr>
              <w:pStyle w:val="TableParagraph"/>
              <w:numPr>
                <w:ilvl w:val="0"/>
                <w:numId w:val="704"/>
              </w:numPr>
              <w:tabs>
                <w:tab w:val="left" w:pos="163"/>
              </w:tabs>
              <w:ind w:right="356"/>
              <w:rPr>
                <w:sz w:val="14"/>
              </w:rPr>
            </w:pPr>
            <w:r>
              <w:rPr>
                <w:color w:val="231F20"/>
                <w:sz w:val="14"/>
              </w:rPr>
              <w:t>именице типа singular tantum и pluralia tantum.</w:t>
            </w:r>
          </w:p>
          <w:p w:rsidR="00041039" w:rsidRDefault="001B26CB">
            <w:pPr>
              <w:pStyle w:val="TableParagraph"/>
              <w:numPr>
                <w:ilvl w:val="0"/>
                <w:numId w:val="703"/>
              </w:numPr>
              <w:tabs>
                <w:tab w:val="left" w:pos="157"/>
              </w:tabs>
              <w:spacing w:before="1" w:line="160" w:lineRule="exact"/>
              <w:ind w:right="293" w:hanging="99"/>
              <w:rPr>
                <w:sz w:val="14"/>
              </w:rPr>
            </w:pPr>
            <w:r>
              <w:rPr>
                <w:color w:val="231F20"/>
                <w:sz w:val="14"/>
              </w:rPr>
              <w:t>Падежи (облици и основна значења ­</w:t>
            </w:r>
            <w:r>
              <w:rPr>
                <w:color w:val="231F20"/>
                <w:spacing w:val="-19"/>
                <w:sz w:val="14"/>
              </w:rPr>
              <w:t xml:space="preserve"> </w:t>
            </w:r>
            <w:r>
              <w:rPr>
                <w:color w:val="231F20"/>
                <w:sz w:val="14"/>
              </w:rPr>
              <w:t>са предлозима и без</w:t>
            </w:r>
            <w:r>
              <w:rPr>
                <w:color w:val="231F20"/>
                <w:spacing w:val="-4"/>
                <w:sz w:val="14"/>
              </w:rPr>
              <w:t xml:space="preserve"> </w:t>
            </w:r>
            <w:r>
              <w:rPr>
                <w:color w:val="231F20"/>
                <w:sz w:val="14"/>
              </w:rPr>
              <w:t>предлога).</w:t>
            </w:r>
          </w:p>
          <w:p w:rsidR="00041039" w:rsidRDefault="001B26CB">
            <w:pPr>
              <w:pStyle w:val="TableParagraph"/>
              <w:numPr>
                <w:ilvl w:val="0"/>
                <w:numId w:val="703"/>
              </w:numPr>
              <w:tabs>
                <w:tab w:val="left" w:pos="157"/>
              </w:tabs>
              <w:spacing w:line="153" w:lineRule="exact"/>
              <w:ind w:hanging="99"/>
              <w:rPr>
                <w:sz w:val="14"/>
              </w:rPr>
            </w:pPr>
            <w:r>
              <w:rPr>
                <w:color w:val="231F20"/>
                <w:sz w:val="14"/>
              </w:rPr>
              <w:t>Прилози за место, време и</w:t>
            </w:r>
            <w:r>
              <w:rPr>
                <w:color w:val="231F20"/>
                <w:spacing w:val="-8"/>
                <w:sz w:val="14"/>
              </w:rPr>
              <w:t xml:space="preserve"> </w:t>
            </w:r>
            <w:r>
              <w:rPr>
                <w:color w:val="231F20"/>
                <w:sz w:val="14"/>
              </w:rPr>
              <w:t>начин.</w:t>
            </w:r>
          </w:p>
          <w:p w:rsidR="00041039" w:rsidRDefault="001B26CB">
            <w:pPr>
              <w:pStyle w:val="TableParagraph"/>
              <w:numPr>
                <w:ilvl w:val="0"/>
                <w:numId w:val="703"/>
              </w:numPr>
              <w:tabs>
                <w:tab w:val="left" w:pos="157"/>
              </w:tabs>
              <w:spacing w:line="160" w:lineRule="exact"/>
              <w:ind w:hanging="99"/>
              <w:rPr>
                <w:sz w:val="14"/>
              </w:rPr>
            </w:pPr>
            <w:r>
              <w:rPr>
                <w:color w:val="231F20"/>
                <w:sz w:val="14"/>
              </w:rPr>
              <w:t>Бројеви.</w:t>
            </w:r>
          </w:p>
          <w:p w:rsidR="00041039" w:rsidRDefault="001B26CB">
            <w:pPr>
              <w:pStyle w:val="TableParagraph"/>
              <w:numPr>
                <w:ilvl w:val="0"/>
                <w:numId w:val="703"/>
              </w:numPr>
              <w:tabs>
                <w:tab w:val="left" w:pos="157"/>
              </w:tabs>
              <w:spacing w:line="160" w:lineRule="exact"/>
              <w:ind w:hanging="99"/>
              <w:rPr>
                <w:sz w:val="14"/>
              </w:rPr>
            </w:pPr>
            <w:r>
              <w:rPr>
                <w:color w:val="231F20"/>
                <w:sz w:val="14"/>
              </w:rPr>
              <w:t xml:space="preserve">Обнављање: презент, </w:t>
            </w:r>
            <w:r>
              <w:rPr>
                <w:color w:val="231F20"/>
                <w:spacing w:val="-3"/>
                <w:sz w:val="14"/>
              </w:rPr>
              <w:t xml:space="preserve">перфекат, </w:t>
            </w:r>
            <w:r>
              <w:rPr>
                <w:color w:val="231F20"/>
                <w:sz w:val="14"/>
              </w:rPr>
              <w:t>футур</w:t>
            </w:r>
            <w:r>
              <w:rPr>
                <w:color w:val="231F20"/>
                <w:spacing w:val="-6"/>
                <w:sz w:val="14"/>
              </w:rPr>
              <w:t xml:space="preserve"> </w:t>
            </w:r>
            <w:r>
              <w:rPr>
                <w:color w:val="231F20"/>
                <w:sz w:val="14"/>
              </w:rPr>
              <w:t>I.</w:t>
            </w:r>
          </w:p>
          <w:p w:rsidR="00041039" w:rsidRDefault="001B26CB">
            <w:pPr>
              <w:pStyle w:val="TableParagraph"/>
              <w:numPr>
                <w:ilvl w:val="0"/>
                <w:numId w:val="703"/>
              </w:numPr>
              <w:tabs>
                <w:tab w:val="left" w:pos="157"/>
              </w:tabs>
              <w:spacing w:line="165" w:lineRule="exact"/>
              <w:ind w:hanging="99"/>
              <w:rPr>
                <w:sz w:val="14"/>
              </w:rPr>
            </w:pPr>
            <w:r>
              <w:rPr>
                <w:color w:val="231F20"/>
                <w:spacing w:val="-3"/>
                <w:sz w:val="14"/>
              </w:rPr>
              <w:t>Глаголи:</w:t>
            </w:r>
          </w:p>
          <w:p w:rsidR="00041039" w:rsidRDefault="001B26CB">
            <w:pPr>
              <w:pStyle w:val="TableParagraph"/>
              <w:numPr>
                <w:ilvl w:val="0"/>
                <w:numId w:val="702"/>
              </w:numPr>
              <w:tabs>
                <w:tab w:val="left" w:pos="163"/>
              </w:tabs>
              <w:spacing w:line="160" w:lineRule="exact"/>
              <w:rPr>
                <w:sz w:val="14"/>
              </w:rPr>
            </w:pPr>
            <w:r>
              <w:rPr>
                <w:color w:val="231F20"/>
                <w:sz w:val="14"/>
              </w:rPr>
              <w:t>императив;</w:t>
            </w:r>
          </w:p>
          <w:p w:rsidR="00041039" w:rsidRDefault="001B26CB">
            <w:pPr>
              <w:pStyle w:val="TableParagraph"/>
              <w:numPr>
                <w:ilvl w:val="0"/>
                <w:numId w:val="702"/>
              </w:numPr>
              <w:tabs>
                <w:tab w:val="left" w:pos="163"/>
              </w:tabs>
              <w:spacing w:line="160" w:lineRule="exact"/>
              <w:rPr>
                <w:sz w:val="14"/>
              </w:rPr>
            </w:pPr>
            <w:r>
              <w:rPr>
                <w:color w:val="231F20"/>
                <w:sz w:val="14"/>
              </w:rPr>
              <w:t>потенцијал;</w:t>
            </w:r>
          </w:p>
          <w:p w:rsidR="00041039" w:rsidRDefault="001B26CB">
            <w:pPr>
              <w:pStyle w:val="TableParagraph"/>
              <w:numPr>
                <w:ilvl w:val="0"/>
                <w:numId w:val="702"/>
              </w:numPr>
              <w:tabs>
                <w:tab w:val="left" w:pos="163"/>
              </w:tabs>
              <w:ind w:right="437"/>
              <w:rPr>
                <w:sz w:val="14"/>
              </w:rPr>
            </w:pPr>
            <w:r>
              <w:rPr>
                <w:color w:val="231F20"/>
                <w:spacing w:val="-3"/>
                <w:sz w:val="14"/>
              </w:rPr>
              <w:t xml:space="preserve">глаголски </w:t>
            </w:r>
            <w:r>
              <w:rPr>
                <w:color w:val="231F20"/>
                <w:sz w:val="14"/>
              </w:rPr>
              <w:t xml:space="preserve">вид: свршени и несвршени </w:t>
            </w:r>
            <w:r>
              <w:rPr>
                <w:color w:val="231F20"/>
                <w:spacing w:val="-3"/>
                <w:sz w:val="14"/>
              </w:rPr>
              <w:t>глаголи;</w:t>
            </w:r>
          </w:p>
          <w:p w:rsidR="00041039" w:rsidRDefault="001B26CB">
            <w:pPr>
              <w:pStyle w:val="TableParagraph"/>
              <w:numPr>
                <w:ilvl w:val="0"/>
                <w:numId w:val="702"/>
              </w:numPr>
              <w:tabs>
                <w:tab w:val="left" w:pos="163"/>
              </w:tabs>
              <w:spacing w:line="154" w:lineRule="exact"/>
              <w:rPr>
                <w:sz w:val="14"/>
              </w:rPr>
            </w:pPr>
            <w:r>
              <w:rPr>
                <w:color w:val="231F20"/>
                <w:spacing w:val="-3"/>
                <w:sz w:val="14"/>
              </w:rPr>
              <w:t xml:space="preserve">глаголски </w:t>
            </w:r>
            <w:r>
              <w:rPr>
                <w:color w:val="231F20"/>
                <w:sz w:val="14"/>
              </w:rPr>
              <w:t>род: узајамно­повратни</w:t>
            </w:r>
            <w:r>
              <w:rPr>
                <w:color w:val="231F20"/>
                <w:sz w:val="14"/>
              </w:rPr>
              <w:t xml:space="preserve"> </w:t>
            </w:r>
            <w:r>
              <w:rPr>
                <w:color w:val="231F20"/>
                <w:spacing w:val="-3"/>
                <w:sz w:val="14"/>
              </w:rPr>
              <w:t>глаголи.</w:t>
            </w:r>
          </w:p>
          <w:p w:rsidR="00041039" w:rsidRDefault="001B26CB">
            <w:pPr>
              <w:pStyle w:val="TableParagraph"/>
              <w:numPr>
                <w:ilvl w:val="0"/>
                <w:numId w:val="701"/>
              </w:numPr>
              <w:tabs>
                <w:tab w:val="left" w:pos="157"/>
              </w:tabs>
              <w:spacing w:line="165" w:lineRule="exact"/>
              <w:ind w:hanging="99"/>
              <w:rPr>
                <w:sz w:val="14"/>
              </w:rPr>
            </w:pPr>
            <w:r>
              <w:rPr>
                <w:color w:val="231F20"/>
                <w:sz w:val="14"/>
              </w:rPr>
              <w:t>Придевске</w:t>
            </w:r>
            <w:r>
              <w:rPr>
                <w:color w:val="231F20"/>
                <w:spacing w:val="-1"/>
                <w:sz w:val="14"/>
              </w:rPr>
              <w:t xml:space="preserve"> </w:t>
            </w:r>
            <w:r>
              <w:rPr>
                <w:color w:val="231F20"/>
                <w:sz w:val="14"/>
              </w:rPr>
              <w:t>заменице.</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20"/>
              <w:ind w:left="56"/>
              <w:rPr>
                <w:sz w:val="14"/>
              </w:rPr>
            </w:pPr>
            <w:r>
              <w:rPr>
                <w:color w:val="231F20"/>
                <w:sz w:val="14"/>
              </w:rPr>
              <w:t>Творба речи</w:t>
            </w:r>
          </w:p>
        </w:tc>
        <w:tc>
          <w:tcPr>
            <w:tcW w:w="1587" w:type="dxa"/>
          </w:tcPr>
          <w:p w:rsidR="00041039" w:rsidRDefault="001B26CB">
            <w:pPr>
              <w:pStyle w:val="TableParagraph"/>
              <w:numPr>
                <w:ilvl w:val="0"/>
                <w:numId w:val="700"/>
              </w:numPr>
              <w:tabs>
                <w:tab w:val="left" w:pos="157"/>
              </w:tabs>
              <w:spacing w:before="11" w:line="237" w:lineRule="auto"/>
              <w:ind w:right="161"/>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numPr>
                <w:ilvl w:val="0"/>
                <w:numId w:val="699"/>
              </w:numPr>
              <w:tabs>
                <w:tab w:val="left" w:pos="157"/>
              </w:tabs>
              <w:spacing w:before="10"/>
              <w:ind w:hanging="99"/>
              <w:rPr>
                <w:sz w:val="14"/>
              </w:rPr>
            </w:pPr>
            <w:r>
              <w:rPr>
                <w:color w:val="231F20"/>
                <w:sz w:val="14"/>
              </w:rPr>
              <w:t>правилно гради речи</w:t>
            </w:r>
            <w:r>
              <w:rPr>
                <w:color w:val="231F20"/>
                <w:spacing w:val="-10"/>
                <w:sz w:val="14"/>
              </w:rPr>
              <w:t xml:space="preserve"> </w:t>
            </w:r>
            <w:r>
              <w:rPr>
                <w:color w:val="231F20"/>
                <w:sz w:val="14"/>
              </w:rPr>
              <w:t>префиксацијом;</w:t>
            </w:r>
          </w:p>
        </w:tc>
        <w:tc>
          <w:tcPr>
            <w:tcW w:w="2834" w:type="dxa"/>
          </w:tcPr>
          <w:p w:rsidR="00041039" w:rsidRDefault="001B26CB">
            <w:pPr>
              <w:pStyle w:val="TableParagraph"/>
              <w:numPr>
                <w:ilvl w:val="0"/>
                <w:numId w:val="698"/>
              </w:numPr>
              <w:tabs>
                <w:tab w:val="left" w:pos="158"/>
              </w:tabs>
              <w:spacing w:before="10"/>
              <w:rPr>
                <w:sz w:val="14"/>
              </w:rPr>
            </w:pPr>
            <w:r>
              <w:rPr>
                <w:color w:val="231F20"/>
                <w:sz w:val="14"/>
              </w:rPr>
              <w:t>Префиксација у врстама</w:t>
            </w:r>
            <w:r>
              <w:rPr>
                <w:color w:val="231F20"/>
                <w:spacing w:val="-2"/>
                <w:sz w:val="14"/>
              </w:rPr>
              <w:t xml:space="preserve"> </w:t>
            </w:r>
            <w:r>
              <w:rPr>
                <w:color w:val="231F20"/>
                <w:sz w:val="14"/>
              </w:rPr>
              <w:t>речи.</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7"/>
              <w:rPr>
                <w:sz w:val="14"/>
              </w:rPr>
            </w:pPr>
            <w:r>
              <w:rPr>
                <w:color w:val="231F20"/>
                <w:sz w:val="14"/>
              </w:rPr>
              <w:t>Синтакса</w:t>
            </w:r>
          </w:p>
        </w:tc>
        <w:tc>
          <w:tcPr>
            <w:tcW w:w="1587" w:type="dxa"/>
          </w:tcPr>
          <w:p w:rsidR="00041039" w:rsidRDefault="001B26CB">
            <w:pPr>
              <w:pStyle w:val="TableParagraph"/>
              <w:numPr>
                <w:ilvl w:val="0"/>
                <w:numId w:val="697"/>
              </w:numPr>
              <w:tabs>
                <w:tab w:val="left" w:pos="157"/>
              </w:tabs>
              <w:spacing w:before="11" w:line="237" w:lineRule="auto"/>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696"/>
              </w:numPr>
              <w:tabs>
                <w:tab w:val="left" w:pos="157"/>
              </w:tabs>
              <w:spacing w:before="10"/>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numPr>
                <w:ilvl w:val="0"/>
                <w:numId w:val="696"/>
              </w:numPr>
              <w:tabs>
                <w:tab w:val="left" w:pos="157"/>
              </w:tabs>
              <w:spacing w:line="160" w:lineRule="exact"/>
              <w:ind w:right="234" w:hanging="99"/>
              <w:rPr>
                <w:sz w:val="14"/>
              </w:rPr>
            </w:pPr>
            <w:r>
              <w:rPr>
                <w:color w:val="231F20"/>
                <w:sz w:val="14"/>
              </w:rPr>
              <w:t>саставља временске и узрочне</w:t>
            </w:r>
            <w:r>
              <w:rPr>
                <w:color w:val="231F20"/>
                <w:spacing w:val="-17"/>
                <w:sz w:val="14"/>
              </w:rPr>
              <w:t xml:space="preserve"> </w:t>
            </w:r>
            <w:r>
              <w:rPr>
                <w:color w:val="231F20"/>
                <w:sz w:val="14"/>
              </w:rPr>
              <w:t>рече­ нице;</w:t>
            </w:r>
          </w:p>
        </w:tc>
        <w:tc>
          <w:tcPr>
            <w:tcW w:w="2834" w:type="dxa"/>
          </w:tcPr>
          <w:p w:rsidR="00041039" w:rsidRDefault="001B26CB">
            <w:pPr>
              <w:pStyle w:val="TableParagraph"/>
              <w:numPr>
                <w:ilvl w:val="0"/>
                <w:numId w:val="695"/>
              </w:numPr>
              <w:tabs>
                <w:tab w:val="left" w:pos="158"/>
              </w:tabs>
              <w:spacing w:before="10" w:line="166" w:lineRule="exact"/>
              <w:rPr>
                <w:sz w:val="14"/>
              </w:rPr>
            </w:pPr>
            <w:r>
              <w:rPr>
                <w:color w:val="231F20"/>
                <w:sz w:val="14"/>
              </w:rPr>
              <w:t>Неправи</w:t>
            </w:r>
            <w:r>
              <w:rPr>
                <w:color w:val="231F20"/>
                <w:spacing w:val="-1"/>
                <w:sz w:val="14"/>
              </w:rPr>
              <w:t xml:space="preserve"> </w:t>
            </w:r>
            <w:r>
              <w:rPr>
                <w:color w:val="231F20"/>
                <w:spacing w:val="-3"/>
                <w:sz w:val="14"/>
              </w:rPr>
              <w:t>објекат.</w:t>
            </w:r>
          </w:p>
          <w:p w:rsidR="00041039" w:rsidRDefault="001B26CB">
            <w:pPr>
              <w:pStyle w:val="TableParagraph"/>
              <w:numPr>
                <w:ilvl w:val="0"/>
                <w:numId w:val="695"/>
              </w:numPr>
              <w:tabs>
                <w:tab w:val="left" w:pos="158"/>
              </w:tabs>
              <w:spacing w:line="160" w:lineRule="exact"/>
              <w:rPr>
                <w:sz w:val="14"/>
              </w:rPr>
            </w:pPr>
            <w:r>
              <w:rPr>
                <w:color w:val="231F20"/>
                <w:sz w:val="14"/>
              </w:rPr>
              <w:t>Прилошке одредбе за место, време,</w:t>
            </w:r>
            <w:r>
              <w:rPr>
                <w:color w:val="231F20"/>
                <w:spacing w:val="-15"/>
                <w:sz w:val="14"/>
              </w:rPr>
              <w:t xml:space="preserve"> </w:t>
            </w:r>
            <w:r>
              <w:rPr>
                <w:color w:val="231F20"/>
                <w:sz w:val="14"/>
              </w:rPr>
              <w:t>узрок.</w:t>
            </w:r>
          </w:p>
          <w:p w:rsidR="00041039" w:rsidRDefault="001B26CB">
            <w:pPr>
              <w:pStyle w:val="TableParagraph"/>
              <w:numPr>
                <w:ilvl w:val="0"/>
                <w:numId w:val="695"/>
              </w:numPr>
              <w:tabs>
                <w:tab w:val="left" w:pos="158"/>
              </w:tabs>
              <w:spacing w:line="160" w:lineRule="exact"/>
              <w:rPr>
                <w:sz w:val="14"/>
              </w:rPr>
            </w:pPr>
            <w:r>
              <w:rPr>
                <w:color w:val="231F20"/>
                <w:sz w:val="14"/>
              </w:rPr>
              <w:t>Партитивни</w:t>
            </w:r>
            <w:r>
              <w:rPr>
                <w:color w:val="231F20"/>
                <w:spacing w:val="-1"/>
                <w:sz w:val="14"/>
              </w:rPr>
              <w:t xml:space="preserve"> </w:t>
            </w:r>
            <w:r>
              <w:rPr>
                <w:color w:val="231F20"/>
                <w:sz w:val="14"/>
              </w:rPr>
              <w:t>генитив.</w:t>
            </w:r>
          </w:p>
          <w:p w:rsidR="00041039" w:rsidRDefault="001B26CB">
            <w:pPr>
              <w:pStyle w:val="TableParagraph"/>
              <w:numPr>
                <w:ilvl w:val="0"/>
                <w:numId w:val="695"/>
              </w:numPr>
              <w:tabs>
                <w:tab w:val="left" w:pos="158"/>
              </w:tabs>
              <w:spacing w:line="165" w:lineRule="exact"/>
              <w:rPr>
                <w:sz w:val="14"/>
              </w:rPr>
            </w:pPr>
            <w:r>
              <w:rPr>
                <w:color w:val="231F20"/>
                <w:sz w:val="14"/>
              </w:rPr>
              <w:t>Врсте зависних реченица:</w:t>
            </w:r>
            <w:r>
              <w:rPr>
                <w:color w:val="231F20"/>
                <w:spacing w:val="-6"/>
                <w:sz w:val="14"/>
              </w:rPr>
              <w:t xml:space="preserve"> </w:t>
            </w:r>
            <w:r>
              <w:rPr>
                <w:color w:val="231F20"/>
                <w:sz w:val="14"/>
              </w:rPr>
              <w:t>адвербијалне.</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numPr>
                <w:ilvl w:val="0"/>
                <w:numId w:val="694"/>
              </w:numPr>
              <w:tabs>
                <w:tab w:val="left" w:pos="157"/>
              </w:tabs>
              <w:spacing w:before="11" w:line="237" w:lineRule="auto"/>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693"/>
              </w:numPr>
              <w:tabs>
                <w:tab w:val="left" w:pos="158"/>
              </w:tabs>
              <w:spacing w:before="10"/>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692"/>
              </w:numPr>
              <w:tabs>
                <w:tab w:val="left" w:pos="158"/>
              </w:tabs>
              <w:spacing w:before="10" w:line="166" w:lineRule="exact"/>
              <w:rPr>
                <w:sz w:val="14"/>
              </w:rPr>
            </w:pPr>
            <w:r>
              <w:rPr>
                <w:color w:val="231F20"/>
                <w:sz w:val="14"/>
              </w:rPr>
              <w:t>Употреба</w:t>
            </w:r>
            <w:r>
              <w:rPr>
                <w:color w:val="231F20"/>
                <w:spacing w:val="-23"/>
                <w:sz w:val="14"/>
              </w:rPr>
              <w:t xml:space="preserve"> </w:t>
            </w:r>
            <w:r>
              <w:rPr>
                <w:color w:val="231F20"/>
                <w:sz w:val="14"/>
              </w:rPr>
              <w:t>запете.</w:t>
            </w:r>
          </w:p>
          <w:p w:rsidR="00041039" w:rsidRDefault="001B26CB">
            <w:pPr>
              <w:pStyle w:val="TableParagraph"/>
              <w:numPr>
                <w:ilvl w:val="0"/>
                <w:numId w:val="692"/>
              </w:numPr>
              <w:tabs>
                <w:tab w:val="left" w:pos="158"/>
              </w:tabs>
              <w:spacing w:line="160" w:lineRule="exact"/>
              <w:rPr>
                <w:sz w:val="14"/>
              </w:rPr>
            </w:pPr>
            <w:r>
              <w:rPr>
                <w:color w:val="231F20"/>
                <w:sz w:val="14"/>
              </w:rPr>
              <w:t>Писање</w:t>
            </w:r>
            <w:r>
              <w:rPr>
                <w:color w:val="231F20"/>
                <w:spacing w:val="-3"/>
                <w:sz w:val="14"/>
              </w:rPr>
              <w:t xml:space="preserve"> </w:t>
            </w:r>
            <w:r>
              <w:rPr>
                <w:color w:val="231F20"/>
                <w:sz w:val="14"/>
              </w:rPr>
              <w:t>бројева.</w:t>
            </w:r>
          </w:p>
          <w:p w:rsidR="00041039" w:rsidRDefault="001B26CB">
            <w:pPr>
              <w:pStyle w:val="TableParagraph"/>
              <w:numPr>
                <w:ilvl w:val="0"/>
                <w:numId w:val="692"/>
              </w:numPr>
              <w:tabs>
                <w:tab w:val="left" w:pos="158"/>
              </w:tabs>
              <w:spacing w:line="166" w:lineRule="exact"/>
              <w:rPr>
                <w:sz w:val="14"/>
              </w:rPr>
            </w:pPr>
            <w:r>
              <w:rPr>
                <w:color w:val="231F20"/>
                <w:sz w:val="14"/>
              </w:rPr>
              <w:t>Писање</w:t>
            </w:r>
            <w:r>
              <w:rPr>
                <w:color w:val="231F20"/>
                <w:spacing w:val="-10"/>
                <w:sz w:val="14"/>
              </w:rPr>
              <w:t xml:space="preserve"> </w:t>
            </w:r>
            <w:r>
              <w:rPr>
                <w:color w:val="231F20"/>
                <w:sz w:val="14"/>
              </w:rPr>
              <w:t>датума.</w:t>
            </w:r>
          </w:p>
        </w:tc>
        <w:tc>
          <w:tcPr>
            <w:tcW w:w="2267" w:type="dxa"/>
            <w:vMerge/>
            <w:tcBorders>
              <w:top w:val="nil"/>
            </w:tcBorders>
          </w:tcPr>
          <w:p w:rsidR="00041039" w:rsidRDefault="00041039">
            <w:pPr>
              <w:rPr>
                <w:sz w:val="2"/>
                <w:szCs w:val="2"/>
              </w:rPr>
            </w:pPr>
          </w:p>
        </w:tc>
      </w:tr>
      <w:tr w:rsidR="00041039">
        <w:trPr>
          <w:trHeight w:val="3080"/>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691"/>
              </w:numPr>
              <w:tabs>
                <w:tab w:val="left" w:pos="157"/>
              </w:tabs>
              <w:spacing w:before="10"/>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690"/>
              </w:numPr>
              <w:tabs>
                <w:tab w:val="left" w:pos="158"/>
              </w:tabs>
              <w:spacing w:before="10"/>
              <w:ind w:right="116"/>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690"/>
              </w:numPr>
              <w:tabs>
                <w:tab w:val="left" w:pos="158"/>
              </w:tabs>
              <w:spacing w:line="160" w:lineRule="exact"/>
              <w:ind w:right="90"/>
              <w:rPr>
                <w:sz w:val="14"/>
              </w:rPr>
            </w:pPr>
            <w:r>
              <w:rPr>
                <w:color w:val="231F20"/>
                <w:sz w:val="14"/>
              </w:rPr>
              <w:t>даје одговоре на постављена питања</w:t>
            </w:r>
            <w:r>
              <w:rPr>
                <w:color w:val="231F20"/>
                <w:spacing w:val="-10"/>
                <w:sz w:val="14"/>
              </w:rPr>
              <w:t xml:space="preserve"> </w:t>
            </w:r>
            <w:r>
              <w:rPr>
                <w:color w:val="231F20"/>
                <w:sz w:val="14"/>
              </w:rPr>
              <w:t>и поставља питања;</w:t>
            </w:r>
          </w:p>
        </w:tc>
        <w:tc>
          <w:tcPr>
            <w:tcW w:w="2834" w:type="dxa"/>
          </w:tcPr>
          <w:p w:rsidR="00041039" w:rsidRDefault="001B26CB">
            <w:pPr>
              <w:pStyle w:val="TableParagraph"/>
              <w:numPr>
                <w:ilvl w:val="0"/>
                <w:numId w:val="689"/>
              </w:numPr>
              <w:tabs>
                <w:tab w:val="left" w:pos="158"/>
              </w:tabs>
              <w:spacing w:before="10" w:line="171" w:lineRule="exact"/>
              <w:ind w:hanging="99"/>
              <w:rPr>
                <w:sz w:val="14"/>
              </w:rPr>
            </w:pPr>
            <w:r>
              <w:rPr>
                <w:color w:val="231F20"/>
                <w:sz w:val="14"/>
              </w:rPr>
              <w:t>Тематика:</w:t>
            </w:r>
          </w:p>
          <w:p w:rsidR="00041039" w:rsidRDefault="001B26CB">
            <w:pPr>
              <w:pStyle w:val="TableParagraph"/>
              <w:numPr>
                <w:ilvl w:val="0"/>
                <w:numId w:val="688"/>
              </w:numPr>
              <w:tabs>
                <w:tab w:val="left" w:pos="164"/>
              </w:tabs>
              <w:spacing w:line="160" w:lineRule="exact"/>
              <w:rPr>
                <w:sz w:val="14"/>
              </w:rPr>
            </w:pPr>
            <w:r>
              <w:rPr>
                <w:color w:val="231F20"/>
                <w:sz w:val="14"/>
              </w:rPr>
              <w:t>пријатељи и</w:t>
            </w:r>
            <w:r>
              <w:rPr>
                <w:color w:val="231F20"/>
                <w:spacing w:val="-2"/>
                <w:sz w:val="14"/>
              </w:rPr>
              <w:t xml:space="preserve"> </w:t>
            </w:r>
            <w:r>
              <w:rPr>
                <w:color w:val="231F20"/>
                <w:sz w:val="14"/>
              </w:rPr>
              <w:t>родбина;</w:t>
            </w:r>
          </w:p>
          <w:p w:rsidR="00041039" w:rsidRDefault="001B26CB">
            <w:pPr>
              <w:pStyle w:val="TableParagraph"/>
              <w:numPr>
                <w:ilvl w:val="0"/>
                <w:numId w:val="688"/>
              </w:numPr>
              <w:tabs>
                <w:tab w:val="left" w:pos="164"/>
              </w:tabs>
              <w:ind w:right="244"/>
              <w:rPr>
                <w:sz w:val="14"/>
              </w:rPr>
            </w:pPr>
            <w:r>
              <w:rPr>
                <w:color w:val="231F20"/>
                <w:sz w:val="14"/>
              </w:rPr>
              <w:t>становање (просторије, намештај, кућни апарати);</w:t>
            </w:r>
          </w:p>
          <w:p w:rsidR="00041039" w:rsidRDefault="001B26CB">
            <w:pPr>
              <w:pStyle w:val="TableParagraph"/>
              <w:numPr>
                <w:ilvl w:val="0"/>
                <w:numId w:val="688"/>
              </w:numPr>
              <w:tabs>
                <w:tab w:val="left" w:pos="164"/>
              </w:tabs>
              <w:spacing w:line="159" w:lineRule="exact"/>
              <w:rPr>
                <w:sz w:val="14"/>
              </w:rPr>
            </w:pPr>
            <w:r>
              <w:rPr>
                <w:color w:val="231F20"/>
                <w:sz w:val="14"/>
              </w:rPr>
              <w:t>основне животне</w:t>
            </w:r>
            <w:r>
              <w:rPr>
                <w:color w:val="231F20"/>
                <w:spacing w:val="-1"/>
                <w:sz w:val="14"/>
              </w:rPr>
              <w:t xml:space="preserve"> </w:t>
            </w:r>
            <w:r>
              <w:rPr>
                <w:color w:val="231F20"/>
                <w:sz w:val="14"/>
              </w:rPr>
              <w:t>намирнице;</w:t>
            </w:r>
          </w:p>
          <w:p w:rsidR="00041039" w:rsidRDefault="001B26CB">
            <w:pPr>
              <w:pStyle w:val="TableParagraph"/>
              <w:numPr>
                <w:ilvl w:val="0"/>
                <w:numId w:val="688"/>
              </w:numPr>
              <w:tabs>
                <w:tab w:val="left" w:pos="164"/>
              </w:tabs>
              <w:ind w:right="157"/>
              <w:rPr>
                <w:sz w:val="14"/>
              </w:rPr>
            </w:pPr>
            <w:r>
              <w:rPr>
                <w:color w:val="231F20"/>
                <w:sz w:val="14"/>
              </w:rPr>
              <w:t>јавно објекти, службе и установе</w:t>
            </w:r>
            <w:r>
              <w:rPr>
                <w:color w:val="231F20"/>
                <w:spacing w:val="-17"/>
                <w:sz w:val="14"/>
              </w:rPr>
              <w:t xml:space="preserve"> </w:t>
            </w:r>
            <w:r>
              <w:rPr>
                <w:color w:val="231F20"/>
                <w:sz w:val="14"/>
              </w:rPr>
              <w:t>(продав­ ница, амбуланта, пошта,</w:t>
            </w:r>
            <w:r>
              <w:rPr>
                <w:color w:val="231F20"/>
                <w:spacing w:val="-6"/>
                <w:sz w:val="14"/>
              </w:rPr>
              <w:t xml:space="preserve"> </w:t>
            </w:r>
            <w:r>
              <w:rPr>
                <w:color w:val="231F20"/>
                <w:sz w:val="14"/>
              </w:rPr>
              <w:t>ресторан);</w:t>
            </w:r>
          </w:p>
          <w:p w:rsidR="00041039" w:rsidRDefault="001B26CB">
            <w:pPr>
              <w:pStyle w:val="TableParagraph"/>
              <w:numPr>
                <w:ilvl w:val="0"/>
                <w:numId w:val="688"/>
              </w:numPr>
              <w:tabs>
                <w:tab w:val="left" w:pos="164"/>
              </w:tabs>
              <w:spacing w:line="159" w:lineRule="exact"/>
              <w:rPr>
                <w:sz w:val="14"/>
              </w:rPr>
            </w:pPr>
            <w:r>
              <w:rPr>
                <w:color w:val="231F20"/>
                <w:sz w:val="14"/>
              </w:rPr>
              <w:t>биљни и животињски</w:t>
            </w:r>
            <w:r>
              <w:rPr>
                <w:color w:val="231F20"/>
                <w:spacing w:val="-2"/>
                <w:sz w:val="14"/>
              </w:rPr>
              <w:t xml:space="preserve"> </w:t>
            </w:r>
            <w:r>
              <w:rPr>
                <w:color w:val="231F20"/>
                <w:sz w:val="14"/>
              </w:rPr>
              <w:t>свет;</w:t>
            </w:r>
          </w:p>
          <w:p w:rsidR="00041039" w:rsidRDefault="001B26CB">
            <w:pPr>
              <w:pStyle w:val="TableParagraph"/>
              <w:numPr>
                <w:ilvl w:val="0"/>
                <w:numId w:val="688"/>
              </w:numPr>
              <w:tabs>
                <w:tab w:val="left" w:pos="164"/>
              </w:tabs>
              <w:spacing w:line="160" w:lineRule="exact"/>
              <w:rPr>
                <w:sz w:val="14"/>
              </w:rPr>
            </w:pPr>
            <w:r>
              <w:rPr>
                <w:color w:val="231F20"/>
                <w:sz w:val="14"/>
              </w:rPr>
              <w:t>прославе и</w:t>
            </w:r>
            <w:r>
              <w:rPr>
                <w:color w:val="231F20"/>
                <w:spacing w:val="-2"/>
                <w:sz w:val="14"/>
              </w:rPr>
              <w:t xml:space="preserve"> </w:t>
            </w:r>
            <w:r>
              <w:rPr>
                <w:color w:val="231F20"/>
                <w:sz w:val="14"/>
              </w:rPr>
              <w:t>свечаности;</w:t>
            </w:r>
          </w:p>
          <w:p w:rsidR="00041039" w:rsidRDefault="001B26CB">
            <w:pPr>
              <w:pStyle w:val="TableParagraph"/>
              <w:numPr>
                <w:ilvl w:val="0"/>
                <w:numId w:val="688"/>
              </w:numPr>
              <w:tabs>
                <w:tab w:val="left" w:pos="164"/>
              </w:tabs>
              <w:spacing w:line="155" w:lineRule="exact"/>
              <w:rPr>
                <w:sz w:val="14"/>
              </w:rPr>
            </w:pPr>
            <w:r>
              <w:rPr>
                <w:color w:val="231F20"/>
                <w:sz w:val="14"/>
              </w:rPr>
              <w:t>мерне јединице, временске</w:t>
            </w:r>
            <w:r>
              <w:rPr>
                <w:color w:val="231F20"/>
                <w:spacing w:val="-5"/>
                <w:sz w:val="14"/>
              </w:rPr>
              <w:t xml:space="preserve"> </w:t>
            </w:r>
            <w:r>
              <w:rPr>
                <w:color w:val="231F20"/>
                <w:sz w:val="14"/>
              </w:rPr>
              <w:t>одреднице.</w:t>
            </w:r>
          </w:p>
          <w:p w:rsidR="00041039" w:rsidRDefault="001B26CB">
            <w:pPr>
              <w:pStyle w:val="TableParagraph"/>
              <w:numPr>
                <w:ilvl w:val="0"/>
                <w:numId w:val="687"/>
              </w:numPr>
              <w:tabs>
                <w:tab w:val="left" w:pos="158"/>
              </w:tabs>
              <w:spacing w:line="165" w:lineRule="exact"/>
              <w:ind w:hanging="99"/>
              <w:rPr>
                <w:sz w:val="14"/>
              </w:rPr>
            </w:pPr>
            <w:r>
              <w:rPr>
                <w:color w:val="231F20"/>
                <w:spacing w:val="-1"/>
                <w:sz w:val="14"/>
              </w:rPr>
              <w:t>Комуникативне</w:t>
            </w:r>
            <w:r>
              <w:rPr>
                <w:color w:val="231F20"/>
                <w:spacing w:val="-12"/>
                <w:sz w:val="14"/>
              </w:rPr>
              <w:t xml:space="preserve"> </w:t>
            </w:r>
            <w:r>
              <w:rPr>
                <w:color w:val="231F20"/>
                <w:sz w:val="14"/>
              </w:rPr>
              <w:t>функције:</w:t>
            </w:r>
          </w:p>
          <w:p w:rsidR="00041039" w:rsidRDefault="001B26CB">
            <w:pPr>
              <w:pStyle w:val="TableParagraph"/>
              <w:numPr>
                <w:ilvl w:val="0"/>
                <w:numId w:val="686"/>
              </w:numPr>
              <w:tabs>
                <w:tab w:val="left" w:pos="164"/>
              </w:tabs>
              <w:spacing w:line="160" w:lineRule="exact"/>
              <w:rPr>
                <w:sz w:val="14"/>
              </w:rPr>
            </w:pPr>
            <w:r>
              <w:rPr>
                <w:color w:val="231F20"/>
                <w:sz w:val="14"/>
              </w:rPr>
              <w:t>ословљавање и обраћање;</w:t>
            </w:r>
          </w:p>
          <w:p w:rsidR="00041039" w:rsidRDefault="001B26CB">
            <w:pPr>
              <w:pStyle w:val="TableParagraph"/>
              <w:numPr>
                <w:ilvl w:val="0"/>
                <w:numId w:val="686"/>
              </w:numPr>
              <w:tabs>
                <w:tab w:val="left" w:pos="164"/>
              </w:tabs>
              <w:spacing w:line="160" w:lineRule="exact"/>
              <w:rPr>
                <w:sz w:val="14"/>
              </w:rPr>
            </w:pPr>
            <w:r>
              <w:rPr>
                <w:color w:val="231F20"/>
                <w:sz w:val="14"/>
              </w:rPr>
              <w:t>исказивање</w:t>
            </w:r>
            <w:r>
              <w:rPr>
                <w:color w:val="231F20"/>
                <w:spacing w:val="-1"/>
                <w:sz w:val="14"/>
              </w:rPr>
              <w:t xml:space="preserve"> </w:t>
            </w:r>
            <w:r>
              <w:rPr>
                <w:color w:val="231F20"/>
                <w:sz w:val="14"/>
              </w:rPr>
              <w:t>молбе;</w:t>
            </w:r>
          </w:p>
          <w:p w:rsidR="00041039" w:rsidRDefault="001B26CB">
            <w:pPr>
              <w:pStyle w:val="TableParagraph"/>
              <w:numPr>
                <w:ilvl w:val="0"/>
                <w:numId w:val="686"/>
              </w:numPr>
              <w:tabs>
                <w:tab w:val="left" w:pos="164"/>
              </w:tabs>
              <w:spacing w:line="160" w:lineRule="exact"/>
              <w:rPr>
                <w:sz w:val="14"/>
              </w:rPr>
            </w:pPr>
            <w:r>
              <w:rPr>
                <w:color w:val="231F20"/>
                <w:sz w:val="14"/>
              </w:rPr>
              <w:t>тражење и давање</w:t>
            </w:r>
            <w:r>
              <w:rPr>
                <w:color w:val="231F20"/>
                <w:spacing w:val="-2"/>
                <w:sz w:val="14"/>
              </w:rPr>
              <w:t xml:space="preserve"> </w:t>
            </w:r>
            <w:r>
              <w:rPr>
                <w:color w:val="231F20"/>
                <w:sz w:val="14"/>
              </w:rPr>
              <w:t>упутстава;</w:t>
            </w:r>
          </w:p>
          <w:p w:rsidR="00041039" w:rsidRDefault="001B26CB">
            <w:pPr>
              <w:pStyle w:val="TableParagraph"/>
              <w:numPr>
                <w:ilvl w:val="0"/>
                <w:numId w:val="686"/>
              </w:numPr>
              <w:tabs>
                <w:tab w:val="left" w:pos="164"/>
              </w:tabs>
              <w:spacing w:line="155" w:lineRule="exact"/>
              <w:rPr>
                <w:sz w:val="14"/>
              </w:rPr>
            </w:pPr>
            <w:r>
              <w:rPr>
                <w:color w:val="231F20"/>
                <w:sz w:val="14"/>
              </w:rPr>
              <w:t>позивање и прихватање / одбијање</w:t>
            </w:r>
            <w:r>
              <w:rPr>
                <w:color w:val="231F20"/>
                <w:spacing w:val="-16"/>
                <w:sz w:val="14"/>
              </w:rPr>
              <w:t xml:space="preserve"> </w:t>
            </w:r>
            <w:r>
              <w:rPr>
                <w:color w:val="231F20"/>
                <w:sz w:val="14"/>
              </w:rPr>
              <w:t>позива.</w:t>
            </w:r>
          </w:p>
          <w:p w:rsidR="00041039" w:rsidRDefault="001B26CB">
            <w:pPr>
              <w:pStyle w:val="TableParagraph"/>
              <w:numPr>
                <w:ilvl w:val="0"/>
                <w:numId w:val="685"/>
              </w:numPr>
              <w:tabs>
                <w:tab w:val="left" w:pos="158"/>
              </w:tabs>
              <w:spacing w:line="237" w:lineRule="auto"/>
              <w:ind w:right="186" w:hanging="99"/>
              <w:rPr>
                <w:sz w:val="14"/>
              </w:rPr>
            </w:pPr>
            <w:r>
              <w:rPr>
                <w:color w:val="231F20"/>
                <w:sz w:val="14"/>
              </w:rPr>
              <w:t>Проширивање језичке и лексичке грађе новим речима и фразеолошким</w:t>
            </w:r>
            <w:r>
              <w:rPr>
                <w:color w:val="231F20"/>
                <w:spacing w:val="-23"/>
                <w:sz w:val="14"/>
              </w:rPr>
              <w:t xml:space="preserve"> </w:t>
            </w:r>
            <w:r>
              <w:rPr>
                <w:color w:val="231F20"/>
                <w:sz w:val="14"/>
              </w:rPr>
              <w:t>изразима.</w:t>
            </w:r>
          </w:p>
          <w:p w:rsidR="00041039" w:rsidRDefault="001B26CB">
            <w:pPr>
              <w:pStyle w:val="TableParagraph"/>
              <w:numPr>
                <w:ilvl w:val="0"/>
                <w:numId w:val="685"/>
              </w:numPr>
              <w:tabs>
                <w:tab w:val="left" w:pos="158"/>
              </w:tabs>
              <w:spacing w:line="155"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685"/>
              </w:numPr>
              <w:tabs>
                <w:tab w:val="left" w:pos="158"/>
              </w:tabs>
              <w:spacing w:line="164"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48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numPr>
                <w:ilvl w:val="0"/>
                <w:numId w:val="684"/>
              </w:numPr>
              <w:tabs>
                <w:tab w:val="left" w:pos="157"/>
              </w:tabs>
              <w:spacing w:before="8"/>
              <w:ind w:right="115"/>
              <w:rPr>
                <w:sz w:val="14"/>
              </w:rPr>
            </w:pPr>
            <w:r>
              <w:rPr>
                <w:color w:val="231F20"/>
                <w:sz w:val="14"/>
              </w:rPr>
              <w:t>Упознавање са зна­ чајним делима</w:t>
            </w:r>
            <w:r>
              <w:rPr>
                <w:color w:val="231F20"/>
                <w:spacing w:val="-6"/>
                <w:sz w:val="14"/>
              </w:rPr>
              <w:t xml:space="preserve"> </w:t>
            </w:r>
            <w:r>
              <w:rPr>
                <w:color w:val="231F20"/>
                <w:sz w:val="14"/>
              </w:rPr>
              <w:t>српске књижевности.</w:t>
            </w:r>
          </w:p>
        </w:tc>
        <w:tc>
          <w:tcPr>
            <w:tcW w:w="2551" w:type="dxa"/>
          </w:tcPr>
          <w:p w:rsidR="00041039" w:rsidRDefault="001B26CB">
            <w:pPr>
              <w:pStyle w:val="TableParagraph"/>
              <w:numPr>
                <w:ilvl w:val="0"/>
                <w:numId w:val="683"/>
              </w:numPr>
              <w:tabs>
                <w:tab w:val="left" w:pos="157"/>
              </w:tabs>
              <w:spacing w:before="8"/>
              <w:ind w:right="100" w:hanging="99"/>
              <w:jc w:val="both"/>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9"/>
                <w:sz w:val="14"/>
              </w:rPr>
              <w:t xml:space="preserve"> </w:t>
            </w:r>
            <w:r>
              <w:rPr>
                <w:color w:val="231F20"/>
                <w:sz w:val="14"/>
              </w:rPr>
              <w:t>текстова;</w:t>
            </w:r>
          </w:p>
          <w:p w:rsidR="00041039" w:rsidRDefault="001B26CB">
            <w:pPr>
              <w:pStyle w:val="TableParagraph"/>
              <w:numPr>
                <w:ilvl w:val="0"/>
                <w:numId w:val="683"/>
              </w:numPr>
              <w:tabs>
                <w:tab w:val="left" w:pos="157"/>
              </w:tabs>
              <w:spacing w:line="160" w:lineRule="exact"/>
              <w:ind w:right="69" w:hanging="99"/>
              <w:jc w:val="both"/>
              <w:rPr>
                <w:sz w:val="14"/>
              </w:rPr>
            </w:pPr>
            <w:r>
              <w:rPr>
                <w:color w:val="231F20"/>
                <w:sz w:val="14"/>
              </w:rPr>
              <w:t>користи познавање жанровских</w:t>
            </w:r>
            <w:r>
              <w:rPr>
                <w:color w:val="231F20"/>
                <w:spacing w:val="-12"/>
                <w:sz w:val="14"/>
              </w:rPr>
              <w:t xml:space="preserve"> </w:t>
            </w:r>
            <w:r>
              <w:rPr>
                <w:color w:val="231F20"/>
                <w:sz w:val="14"/>
              </w:rPr>
              <w:t>посеб­ ности при интерпретацији књижевног дела у</w:t>
            </w:r>
            <w:r>
              <w:rPr>
                <w:color w:val="231F20"/>
                <w:spacing w:val="-1"/>
                <w:sz w:val="14"/>
              </w:rPr>
              <w:t xml:space="preserve"> </w:t>
            </w:r>
            <w:r>
              <w:rPr>
                <w:color w:val="231F20"/>
                <w:sz w:val="14"/>
              </w:rPr>
              <w:t>настави;</w:t>
            </w:r>
          </w:p>
          <w:p w:rsidR="00041039" w:rsidRDefault="001B26CB">
            <w:pPr>
              <w:pStyle w:val="TableParagraph"/>
              <w:numPr>
                <w:ilvl w:val="0"/>
                <w:numId w:val="683"/>
              </w:numPr>
              <w:tabs>
                <w:tab w:val="left" w:pos="157"/>
              </w:tabs>
              <w:spacing w:line="160" w:lineRule="exact"/>
              <w:ind w:right="269" w:hanging="99"/>
              <w:rPr>
                <w:sz w:val="14"/>
              </w:rPr>
            </w:pPr>
            <w:r>
              <w:rPr>
                <w:color w:val="231F20"/>
                <w:sz w:val="14"/>
              </w:rPr>
              <w:t>анализира идејне аспекте текстова обухваћених школским</w:t>
            </w:r>
            <w:r>
              <w:rPr>
                <w:color w:val="231F20"/>
                <w:spacing w:val="-27"/>
                <w:sz w:val="14"/>
              </w:rPr>
              <w:t xml:space="preserve"> </w:t>
            </w:r>
            <w:r>
              <w:rPr>
                <w:color w:val="231F20"/>
                <w:sz w:val="14"/>
              </w:rPr>
              <w:t>програмом;</w:t>
            </w:r>
          </w:p>
        </w:tc>
        <w:tc>
          <w:tcPr>
            <w:tcW w:w="2834" w:type="dxa"/>
          </w:tcPr>
          <w:p w:rsidR="00041039" w:rsidRDefault="001B26CB">
            <w:pPr>
              <w:pStyle w:val="TableParagraph"/>
              <w:spacing w:before="18" w:line="155" w:lineRule="exact"/>
              <w:ind w:left="57"/>
              <w:rPr>
                <w:sz w:val="14"/>
              </w:rPr>
            </w:pPr>
            <w:r>
              <w:rPr>
                <w:color w:val="231F20"/>
                <w:sz w:val="14"/>
              </w:rPr>
              <w:t>ОБАВЕЗНИ:</w:t>
            </w:r>
          </w:p>
          <w:p w:rsidR="00041039" w:rsidRDefault="001B26CB">
            <w:pPr>
              <w:pStyle w:val="TableParagraph"/>
              <w:numPr>
                <w:ilvl w:val="0"/>
                <w:numId w:val="682"/>
              </w:numPr>
              <w:tabs>
                <w:tab w:val="left" w:pos="157"/>
              </w:tabs>
              <w:spacing w:line="160" w:lineRule="exact"/>
              <w:ind w:hanging="99"/>
              <w:rPr>
                <w:sz w:val="14"/>
              </w:rPr>
            </w:pPr>
            <w:r>
              <w:rPr>
                <w:color w:val="231F20"/>
                <w:sz w:val="14"/>
              </w:rPr>
              <w:t>„Смрт Омера и</w:t>
            </w:r>
            <w:r>
              <w:rPr>
                <w:color w:val="231F20"/>
                <w:spacing w:val="-3"/>
                <w:sz w:val="14"/>
              </w:rPr>
              <w:t xml:space="preserve"> </w:t>
            </w:r>
            <w:r>
              <w:rPr>
                <w:color w:val="231F20"/>
                <w:sz w:val="14"/>
              </w:rPr>
              <w:t>Мериме”</w:t>
            </w:r>
            <w:r>
              <w:rPr>
                <w:color w:val="231F20"/>
                <w:sz w:val="14"/>
              </w:rPr>
              <w:t>.</w:t>
            </w:r>
          </w:p>
          <w:p w:rsidR="00041039" w:rsidRDefault="001B26CB">
            <w:pPr>
              <w:pStyle w:val="TableParagraph"/>
              <w:numPr>
                <w:ilvl w:val="0"/>
                <w:numId w:val="682"/>
              </w:numPr>
              <w:tabs>
                <w:tab w:val="left" w:pos="157"/>
              </w:tabs>
              <w:spacing w:line="160" w:lineRule="exact"/>
              <w:ind w:hanging="99"/>
              <w:rPr>
                <w:sz w:val="14"/>
              </w:rPr>
            </w:pPr>
            <w:r>
              <w:rPr>
                <w:color w:val="231F20"/>
                <w:sz w:val="14"/>
              </w:rPr>
              <w:t>„У цара Тројана козје</w:t>
            </w:r>
            <w:r>
              <w:rPr>
                <w:color w:val="231F20"/>
                <w:spacing w:val="-4"/>
                <w:sz w:val="14"/>
              </w:rPr>
              <w:t xml:space="preserve"> </w:t>
            </w:r>
            <w:r>
              <w:rPr>
                <w:color w:val="231F20"/>
                <w:sz w:val="14"/>
              </w:rPr>
              <w:t>уши”.</w:t>
            </w:r>
          </w:p>
          <w:p w:rsidR="00041039" w:rsidRDefault="001B26CB">
            <w:pPr>
              <w:pStyle w:val="TableParagraph"/>
              <w:numPr>
                <w:ilvl w:val="0"/>
                <w:numId w:val="682"/>
              </w:numPr>
              <w:tabs>
                <w:tab w:val="left" w:pos="157"/>
              </w:tabs>
              <w:spacing w:line="237" w:lineRule="auto"/>
              <w:ind w:right="465" w:hanging="99"/>
              <w:rPr>
                <w:sz w:val="14"/>
              </w:rPr>
            </w:pPr>
            <w:r>
              <w:rPr>
                <w:color w:val="231F20"/>
                <w:spacing w:val="-2"/>
                <w:sz w:val="14"/>
              </w:rPr>
              <w:t xml:space="preserve">Бранко </w:t>
            </w:r>
            <w:r>
              <w:rPr>
                <w:color w:val="231F20"/>
                <w:sz w:val="14"/>
              </w:rPr>
              <w:t xml:space="preserve">Радичевић: </w:t>
            </w:r>
            <w:r>
              <w:rPr>
                <w:color w:val="231F20"/>
                <w:spacing w:val="-4"/>
                <w:sz w:val="14"/>
              </w:rPr>
              <w:t xml:space="preserve">„Ћачки </w:t>
            </w:r>
            <w:r>
              <w:rPr>
                <w:color w:val="231F20"/>
                <w:sz w:val="14"/>
              </w:rPr>
              <w:t>растанак” (одломци).</w:t>
            </w:r>
          </w:p>
          <w:p w:rsidR="00041039" w:rsidRDefault="001B26CB">
            <w:pPr>
              <w:pStyle w:val="TableParagraph"/>
              <w:numPr>
                <w:ilvl w:val="0"/>
                <w:numId w:val="682"/>
              </w:numPr>
              <w:tabs>
                <w:tab w:val="left" w:pos="157"/>
              </w:tabs>
              <w:spacing w:line="155" w:lineRule="exact"/>
              <w:ind w:hanging="99"/>
              <w:rPr>
                <w:sz w:val="14"/>
              </w:rPr>
            </w:pPr>
            <w:r>
              <w:rPr>
                <w:color w:val="231F20"/>
                <w:sz w:val="14"/>
              </w:rPr>
              <w:t xml:space="preserve">Милован </w:t>
            </w:r>
            <w:r>
              <w:rPr>
                <w:color w:val="231F20"/>
                <w:spacing w:val="-3"/>
                <w:sz w:val="14"/>
              </w:rPr>
              <w:t>Глишић: „Глава</w:t>
            </w:r>
            <w:r>
              <w:rPr>
                <w:color w:val="231F20"/>
                <w:sz w:val="14"/>
              </w:rPr>
              <w:t xml:space="preserve"> </w:t>
            </w:r>
            <w:r>
              <w:rPr>
                <w:color w:val="231F20"/>
                <w:sz w:val="14"/>
              </w:rPr>
              <w:t>шећера”.</w:t>
            </w:r>
          </w:p>
          <w:p w:rsidR="00041039" w:rsidRDefault="001B26CB">
            <w:pPr>
              <w:pStyle w:val="TableParagraph"/>
              <w:numPr>
                <w:ilvl w:val="0"/>
                <w:numId w:val="682"/>
              </w:numPr>
              <w:tabs>
                <w:tab w:val="left" w:pos="157"/>
              </w:tabs>
              <w:spacing w:line="237" w:lineRule="auto"/>
              <w:ind w:right="60" w:hanging="99"/>
              <w:rPr>
                <w:sz w:val="14"/>
              </w:rPr>
            </w:pPr>
            <w:r>
              <w:rPr>
                <w:color w:val="231F20"/>
                <w:sz w:val="14"/>
              </w:rPr>
              <w:t xml:space="preserve">Десанка Максимовић: </w:t>
            </w:r>
            <w:r>
              <w:rPr>
                <w:color w:val="231F20"/>
                <w:spacing w:val="-3"/>
                <w:sz w:val="14"/>
              </w:rPr>
              <w:t xml:space="preserve">„Тражим </w:t>
            </w:r>
            <w:r>
              <w:rPr>
                <w:color w:val="231F20"/>
                <w:sz w:val="14"/>
              </w:rPr>
              <w:t>помило­ вање” (</w:t>
            </w:r>
            <w:r>
              <w:rPr>
                <w:i/>
                <w:color w:val="231F20"/>
                <w:sz w:val="14"/>
              </w:rPr>
              <w:t xml:space="preserve">За калуђера </w:t>
            </w:r>
            <w:r>
              <w:rPr>
                <w:color w:val="231F20"/>
                <w:sz w:val="14"/>
              </w:rPr>
              <w:t xml:space="preserve">или </w:t>
            </w:r>
            <w:r>
              <w:rPr>
                <w:i/>
                <w:color w:val="231F20"/>
                <w:sz w:val="14"/>
              </w:rPr>
              <w:t>За лажи</w:t>
            </w:r>
            <w:r>
              <w:rPr>
                <w:i/>
                <w:color w:val="231F20"/>
                <w:spacing w:val="-16"/>
                <w:sz w:val="14"/>
              </w:rPr>
              <w:t xml:space="preserve"> </w:t>
            </w:r>
            <w:r>
              <w:rPr>
                <w:i/>
                <w:color w:val="231F20"/>
                <w:sz w:val="14"/>
              </w:rPr>
              <w:t>изговорене из</w:t>
            </w:r>
            <w:r>
              <w:rPr>
                <w:i/>
                <w:color w:val="231F20"/>
                <w:spacing w:val="-1"/>
                <w:sz w:val="14"/>
              </w:rPr>
              <w:t xml:space="preserve"> </w:t>
            </w:r>
            <w:r>
              <w:rPr>
                <w:i/>
                <w:color w:val="231F20"/>
                <w:sz w:val="14"/>
              </w:rPr>
              <w:t>милосрђа</w:t>
            </w:r>
            <w:r>
              <w:rPr>
                <w:color w:val="231F20"/>
                <w:sz w:val="14"/>
              </w:rPr>
              <w:t>).</w:t>
            </w:r>
          </w:p>
          <w:p w:rsidR="00041039" w:rsidRDefault="001B26CB">
            <w:pPr>
              <w:pStyle w:val="TableParagraph"/>
              <w:numPr>
                <w:ilvl w:val="0"/>
                <w:numId w:val="682"/>
              </w:numPr>
              <w:tabs>
                <w:tab w:val="left" w:pos="157"/>
              </w:tabs>
              <w:spacing w:line="237" w:lineRule="auto"/>
              <w:ind w:right="89" w:hanging="99"/>
              <w:rPr>
                <w:sz w:val="14"/>
              </w:rPr>
            </w:pPr>
            <w:r>
              <w:rPr>
                <w:color w:val="231F20"/>
                <w:sz w:val="14"/>
              </w:rPr>
              <w:t>Бранислав Нушић: „Аутобиографија”</w:t>
            </w:r>
            <w:r>
              <w:rPr>
                <w:color w:val="231F20"/>
                <w:spacing w:val="-21"/>
                <w:sz w:val="14"/>
              </w:rPr>
              <w:t xml:space="preserve"> </w:t>
            </w:r>
            <w:r>
              <w:rPr>
                <w:color w:val="231F20"/>
                <w:sz w:val="14"/>
              </w:rPr>
              <w:t xml:space="preserve">(пог­ лавље </w:t>
            </w:r>
            <w:r>
              <w:rPr>
                <w:i/>
                <w:color w:val="231F20"/>
                <w:sz w:val="14"/>
              </w:rPr>
              <w:t xml:space="preserve">Српски језик </w:t>
            </w:r>
            <w:r>
              <w:rPr>
                <w:color w:val="231F20"/>
                <w:sz w:val="14"/>
              </w:rPr>
              <w:t>­ два</w:t>
            </w:r>
            <w:r>
              <w:rPr>
                <w:color w:val="231F20"/>
                <w:spacing w:val="-7"/>
                <w:sz w:val="14"/>
              </w:rPr>
              <w:t xml:space="preserve"> </w:t>
            </w:r>
            <w:r>
              <w:rPr>
                <w:color w:val="231F20"/>
                <w:sz w:val="14"/>
              </w:rPr>
              <w:t>одломка).</w:t>
            </w:r>
          </w:p>
          <w:p w:rsidR="00041039" w:rsidRDefault="001B26CB">
            <w:pPr>
              <w:pStyle w:val="TableParagraph"/>
              <w:numPr>
                <w:ilvl w:val="0"/>
                <w:numId w:val="682"/>
              </w:numPr>
              <w:tabs>
                <w:tab w:val="left" w:pos="157"/>
              </w:tabs>
              <w:spacing w:line="160" w:lineRule="exact"/>
              <w:ind w:right="104" w:hanging="99"/>
              <w:rPr>
                <w:sz w:val="14"/>
              </w:rPr>
            </w:pPr>
            <w:r>
              <w:rPr>
                <w:color w:val="231F20"/>
                <w:spacing w:val="-2"/>
                <w:sz w:val="14"/>
              </w:rPr>
              <w:t xml:space="preserve">Бранко </w:t>
            </w:r>
            <w:r>
              <w:rPr>
                <w:color w:val="231F20"/>
                <w:sz w:val="14"/>
              </w:rPr>
              <w:t>Ћопић: „Башта сљезове боје” (при­ поветка по</w:t>
            </w:r>
            <w:r>
              <w:rPr>
                <w:color w:val="231F20"/>
                <w:spacing w:val="-2"/>
                <w:sz w:val="14"/>
              </w:rPr>
              <w:t xml:space="preserve"> </w:t>
            </w:r>
            <w:r>
              <w:rPr>
                <w:color w:val="231F20"/>
                <w:sz w:val="14"/>
              </w:rPr>
              <w:t>избору).</w:t>
            </w:r>
          </w:p>
          <w:p w:rsidR="00041039" w:rsidRDefault="001B26CB">
            <w:pPr>
              <w:pStyle w:val="TableParagraph"/>
              <w:numPr>
                <w:ilvl w:val="0"/>
                <w:numId w:val="682"/>
              </w:numPr>
              <w:tabs>
                <w:tab w:val="left" w:pos="157"/>
              </w:tabs>
              <w:spacing w:line="160" w:lineRule="exact"/>
              <w:ind w:right="157" w:hanging="99"/>
              <w:rPr>
                <w:sz w:val="14"/>
              </w:rPr>
            </w:pPr>
            <w:r>
              <w:rPr>
                <w:color w:val="231F20"/>
                <w:sz w:val="14"/>
              </w:rPr>
              <w:t>Иво Андрић: „На Дрини ћуприја” (о</w:t>
            </w:r>
            <w:r>
              <w:rPr>
                <w:color w:val="231F20"/>
                <w:spacing w:val="-21"/>
                <w:sz w:val="14"/>
              </w:rPr>
              <w:t xml:space="preserve"> </w:t>
            </w:r>
            <w:r>
              <w:rPr>
                <w:color w:val="231F20"/>
                <w:sz w:val="14"/>
              </w:rPr>
              <w:t>Фати Авдагиној).</w:t>
            </w:r>
          </w:p>
          <w:p w:rsidR="00041039" w:rsidRDefault="001B26CB">
            <w:pPr>
              <w:pStyle w:val="TableParagraph"/>
              <w:spacing w:line="153" w:lineRule="exact"/>
              <w:ind w:left="57"/>
              <w:rPr>
                <w:sz w:val="14"/>
              </w:rPr>
            </w:pPr>
            <w:r>
              <w:rPr>
                <w:color w:val="231F20"/>
                <w:sz w:val="14"/>
              </w:rPr>
              <w:t>ИЗБОРНИ:</w:t>
            </w:r>
          </w:p>
          <w:p w:rsidR="00041039" w:rsidRDefault="001B26CB">
            <w:pPr>
              <w:pStyle w:val="TableParagraph"/>
              <w:numPr>
                <w:ilvl w:val="0"/>
                <w:numId w:val="682"/>
              </w:numPr>
              <w:tabs>
                <w:tab w:val="left" w:pos="157"/>
              </w:tabs>
              <w:spacing w:line="237" w:lineRule="auto"/>
              <w:ind w:right="110" w:hanging="99"/>
              <w:rPr>
                <w:sz w:val="14"/>
              </w:rPr>
            </w:pPr>
            <w:r>
              <w:rPr>
                <w:color w:val="231F20"/>
                <w:sz w:val="14"/>
              </w:rPr>
              <w:t>Јован Јовановић Змај: ,,Песмо моја, закити се цветом”</w:t>
            </w:r>
            <w:r>
              <w:rPr>
                <w:color w:val="231F20"/>
                <w:spacing w:val="-1"/>
                <w:sz w:val="14"/>
              </w:rPr>
              <w:t xml:space="preserve"> </w:t>
            </w:r>
            <w:r>
              <w:rPr>
                <w:color w:val="231F20"/>
                <w:sz w:val="14"/>
              </w:rPr>
              <w:t>.</w:t>
            </w:r>
          </w:p>
          <w:p w:rsidR="00041039" w:rsidRDefault="001B26CB">
            <w:pPr>
              <w:pStyle w:val="TableParagraph"/>
              <w:numPr>
                <w:ilvl w:val="0"/>
                <w:numId w:val="682"/>
              </w:numPr>
              <w:tabs>
                <w:tab w:val="left" w:pos="157"/>
              </w:tabs>
              <w:spacing w:line="160" w:lineRule="exact"/>
              <w:ind w:right="293" w:hanging="99"/>
              <w:rPr>
                <w:sz w:val="14"/>
              </w:rPr>
            </w:pPr>
            <w:r>
              <w:rPr>
                <w:color w:val="231F20"/>
                <w:sz w:val="14"/>
              </w:rPr>
              <w:t>Текст о Милени Павловић Барили; Антологија савремених српских писаца (избор).</w:t>
            </w:r>
          </w:p>
          <w:p w:rsidR="00041039" w:rsidRDefault="001B26CB">
            <w:pPr>
              <w:pStyle w:val="TableParagraph"/>
              <w:numPr>
                <w:ilvl w:val="0"/>
                <w:numId w:val="682"/>
              </w:numPr>
              <w:tabs>
                <w:tab w:val="left" w:pos="157"/>
              </w:tabs>
              <w:spacing w:line="160" w:lineRule="exact"/>
              <w:ind w:right="167" w:hanging="99"/>
              <w:rPr>
                <w:sz w:val="14"/>
              </w:rPr>
            </w:pPr>
            <w:r>
              <w:rPr>
                <w:color w:val="231F20"/>
                <w:sz w:val="14"/>
              </w:rPr>
              <w:t>Пеђа Милосављевић: „Потера за пејзажи­ ма”.</w:t>
            </w:r>
          </w:p>
          <w:p w:rsidR="00041039" w:rsidRDefault="001B26CB">
            <w:pPr>
              <w:pStyle w:val="TableParagraph"/>
              <w:numPr>
                <w:ilvl w:val="0"/>
                <w:numId w:val="682"/>
              </w:numPr>
              <w:tabs>
                <w:tab w:val="left" w:pos="157"/>
              </w:tabs>
              <w:spacing w:line="160" w:lineRule="exact"/>
              <w:ind w:right="343" w:hanging="99"/>
              <w:rPr>
                <w:sz w:val="14"/>
              </w:rPr>
            </w:pPr>
            <w:r>
              <w:rPr>
                <w:color w:val="231F20"/>
                <w:sz w:val="14"/>
              </w:rPr>
              <w:t>Веселин Чајкановић: „Главније биље</w:t>
            </w:r>
            <w:r>
              <w:rPr>
                <w:color w:val="231F20"/>
                <w:spacing w:val="-16"/>
                <w:sz w:val="14"/>
              </w:rPr>
              <w:t xml:space="preserve"> </w:t>
            </w:r>
            <w:r>
              <w:rPr>
                <w:color w:val="231F20"/>
                <w:sz w:val="14"/>
              </w:rPr>
              <w:t xml:space="preserve">у веровању </w:t>
            </w:r>
            <w:r>
              <w:rPr>
                <w:color w:val="231F20"/>
                <w:spacing w:val="-5"/>
                <w:sz w:val="14"/>
              </w:rPr>
              <w:t xml:space="preserve">код </w:t>
            </w:r>
            <w:r>
              <w:rPr>
                <w:color w:val="231F20"/>
                <w:sz w:val="14"/>
              </w:rPr>
              <w:t>нас</w:t>
            </w:r>
            <w:r>
              <w:rPr>
                <w:color w:val="231F20"/>
                <w:spacing w:val="2"/>
                <w:sz w:val="14"/>
              </w:rPr>
              <w:t xml:space="preserve"> </w:t>
            </w:r>
            <w:r>
              <w:rPr>
                <w:color w:val="231F20"/>
                <w:sz w:val="14"/>
              </w:rPr>
              <w:t>Срба”.</w:t>
            </w:r>
          </w:p>
          <w:p w:rsidR="00041039" w:rsidRDefault="001B26CB">
            <w:pPr>
              <w:pStyle w:val="TableParagraph"/>
              <w:numPr>
                <w:ilvl w:val="0"/>
                <w:numId w:val="682"/>
              </w:numPr>
              <w:tabs>
                <w:tab w:val="left" w:pos="157"/>
              </w:tabs>
              <w:spacing w:line="160" w:lineRule="exact"/>
              <w:ind w:right="110" w:hanging="99"/>
              <w:rPr>
                <w:sz w:val="14"/>
              </w:rPr>
            </w:pPr>
            <w:r>
              <w:rPr>
                <w:color w:val="231F20"/>
                <w:sz w:val="14"/>
              </w:rPr>
              <w:t>Текстови из других функционалних</w:t>
            </w:r>
            <w:r>
              <w:rPr>
                <w:color w:val="231F20"/>
                <w:spacing w:val="-22"/>
                <w:sz w:val="14"/>
              </w:rPr>
              <w:t xml:space="preserve"> </w:t>
            </w:r>
            <w:r>
              <w:rPr>
                <w:color w:val="231F20"/>
                <w:sz w:val="14"/>
              </w:rPr>
              <w:t>стило­ ва: публицистички</w:t>
            </w:r>
            <w:r>
              <w:rPr>
                <w:color w:val="231F20"/>
                <w:spacing w:val="-3"/>
                <w:sz w:val="14"/>
              </w:rPr>
              <w:t xml:space="preserve"> </w:t>
            </w:r>
            <w:r>
              <w:rPr>
                <w:color w:val="231F20"/>
                <w:sz w:val="14"/>
              </w:rPr>
              <w:t>(избор).</w:t>
            </w:r>
          </w:p>
          <w:p w:rsidR="00041039" w:rsidRDefault="001B26CB">
            <w:pPr>
              <w:pStyle w:val="TableParagraph"/>
              <w:numPr>
                <w:ilvl w:val="0"/>
                <w:numId w:val="682"/>
              </w:numPr>
              <w:tabs>
                <w:tab w:val="left" w:pos="157"/>
              </w:tabs>
              <w:spacing w:line="160" w:lineRule="exact"/>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spacing w:line="158" w:lineRule="exact"/>
              <w:ind w:left="57"/>
              <w:rPr>
                <w:b/>
                <w:sz w:val="14"/>
              </w:rPr>
            </w:pPr>
            <w:r>
              <w:rPr>
                <w:b/>
                <w:color w:val="231F20"/>
                <w:sz w:val="14"/>
              </w:rPr>
              <w:t>(Треба одабрати 2 дела.)</w:t>
            </w:r>
          </w:p>
        </w:tc>
        <w:tc>
          <w:tcPr>
            <w:tcW w:w="2267" w:type="dxa"/>
          </w:tcPr>
          <w:p w:rsidR="00041039" w:rsidRDefault="001B26CB">
            <w:pPr>
              <w:pStyle w:val="TableParagraph"/>
              <w:spacing w:before="19"/>
              <w:ind w:left="57" w:right="18"/>
              <w:rPr>
                <w:sz w:val="14"/>
              </w:rPr>
            </w:pPr>
            <w:r>
              <w:rPr>
                <w:color w:val="231F20"/>
                <w:sz w:val="14"/>
              </w:rPr>
              <w:t xml:space="preserve">Зато настава </w:t>
            </w:r>
            <w:r>
              <w:rPr>
                <w:i/>
                <w:color w:val="231F20"/>
                <w:sz w:val="14"/>
              </w:rPr>
              <w:t xml:space="preserve">српског као нема- терњег језика </w:t>
            </w:r>
            <w:r>
              <w:rPr>
                <w:color w:val="231F20"/>
                <w:sz w:val="14"/>
              </w:rPr>
              <w:t>не може бити једнообразна и у њој се морају уважавати различите могућности и употреб</w:t>
            </w:r>
            <w:r>
              <w:rPr>
                <w:color w:val="231F20"/>
                <w:sz w:val="14"/>
              </w:rPr>
              <w:t>е ученика различитих сре­ дина и различитих матерњих јези­ ка. При том се у наставу наглашено укључује принцип индивидуали­ зације и спровођење диференцира­ ног рада на различитим нивоима ученичког знања.</w:t>
            </w:r>
          </w:p>
          <w:p w:rsidR="00041039" w:rsidRDefault="001B26CB">
            <w:pPr>
              <w:pStyle w:val="TableParagraph"/>
              <w:spacing w:line="150" w:lineRule="exact"/>
              <w:ind w:left="57"/>
              <w:rPr>
                <w:sz w:val="14"/>
              </w:rPr>
            </w:pPr>
            <w:r>
              <w:rPr>
                <w:color w:val="231F20"/>
                <w:sz w:val="14"/>
              </w:rPr>
              <w:t>С обзиром на то да је основни циљ</w:t>
            </w:r>
          </w:p>
          <w:p w:rsidR="00041039" w:rsidRDefault="001B26CB">
            <w:pPr>
              <w:pStyle w:val="TableParagraph"/>
              <w:ind w:left="57" w:right="43"/>
              <w:rPr>
                <w:sz w:val="14"/>
              </w:rPr>
            </w:pPr>
            <w:r>
              <w:rPr>
                <w:color w:val="231F20"/>
                <w:sz w:val="14"/>
              </w:rPr>
              <w:t>наставе овога пре</w:t>
            </w:r>
            <w:r>
              <w:rPr>
                <w:color w:val="231F20"/>
                <w:sz w:val="14"/>
              </w:rPr>
              <w:t>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spacing w:line="237" w:lineRule="auto"/>
              <w:ind w:left="57" w:right="112"/>
              <w:rPr>
                <w:sz w:val="14"/>
              </w:rPr>
            </w:pPr>
            <w:r>
              <w:rPr>
                <w:color w:val="231F20"/>
                <w:sz w:val="14"/>
              </w:rPr>
              <w:t>Садржаји програма из грамати</w:t>
            </w:r>
            <w:r>
              <w:rPr>
                <w:color w:val="231F20"/>
                <w:sz w:val="14"/>
              </w:rPr>
              <w:t xml:space="preserve">ке повезани су са садржајима грама­ тике у основној </w:t>
            </w:r>
            <w:r>
              <w:rPr>
                <w:color w:val="231F20"/>
                <w:spacing w:val="-3"/>
                <w:sz w:val="14"/>
              </w:rPr>
              <w:t xml:space="preserve">школи, </w:t>
            </w:r>
            <w:r>
              <w:rPr>
                <w:color w:val="231F20"/>
                <w:sz w:val="14"/>
              </w:rPr>
              <w:t>којима се сада приступа когнитивно. Тиме се знања употпуњују и подижу на виши ниво, коригују се</w:t>
            </w:r>
            <w:r>
              <w:rPr>
                <w:color w:val="231F20"/>
                <w:spacing w:val="-19"/>
                <w:sz w:val="14"/>
              </w:rPr>
              <w:t xml:space="preserve"> </w:t>
            </w:r>
            <w:r>
              <w:rPr>
                <w:color w:val="231F20"/>
                <w:sz w:val="14"/>
              </w:rPr>
              <w:t>евентуалне грешке настале услед интерферен­ ције матерњег језика и</w:t>
            </w:r>
            <w:r>
              <w:rPr>
                <w:color w:val="231F20"/>
                <w:spacing w:val="-17"/>
                <w:sz w:val="14"/>
              </w:rPr>
              <w:t xml:space="preserve"> </w:t>
            </w:r>
            <w:r>
              <w:rPr>
                <w:color w:val="231F20"/>
                <w:sz w:val="14"/>
              </w:rPr>
              <w:t>недовољно</w:t>
            </w:r>
          </w:p>
          <w:p w:rsidR="00041039" w:rsidRDefault="001B26CB">
            <w:pPr>
              <w:pStyle w:val="TableParagraph"/>
              <w:ind w:left="57"/>
              <w:rPr>
                <w:sz w:val="14"/>
              </w:rPr>
            </w:pPr>
            <w:r>
              <w:rPr>
                <w:color w:val="231F20"/>
                <w:sz w:val="14"/>
              </w:rPr>
              <w:t>савладаних садржаја из п</w:t>
            </w:r>
            <w:r>
              <w:rPr>
                <w:color w:val="231F20"/>
                <w:sz w:val="14"/>
              </w:rPr>
              <w:t>ретходних разреда.</w:t>
            </w:r>
          </w:p>
          <w:p w:rsidR="00041039" w:rsidRDefault="001B26CB">
            <w:pPr>
              <w:pStyle w:val="TableParagraph"/>
              <w:ind w:left="57" w:right="54"/>
              <w:rPr>
                <w:sz w:val="14"/>
              </w:rPr>
            </w:pPr>
            <w:r>
              <w:rPr>
                <w:color w:val="231F20"/>
                <w:sz w:val="14"/>
              </w:rPr>
              <w:t>Наставу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w:t>
            </w:r>
          </w:p>
          <w:p w:rsidR="00041039" w:rsidRDefault="001B26CB">
            <w:pPr>
              <w:pStyle w:val="TableParagraph"/>
              <w:spacing w:line="237" w:lineRule="auto"/>
              <w:ind w:left="57"/>
              <w:rPr>
                <w:sz w:val="14"/>
              </w:rPr>
            </w:pPr>
            <w:r>
              <w:rPr>
                <w:color w:val="231F20"/>
                <w:sz w:val="14"/>
              </w:rPr>
              <w:t>Настава српског као нематерњег језика мора бити хуманистички оријентисана и богата како језич­ ким тако и садржајима из културе. Поред језичких, морају бити за­ ступљени књижевни, уметнички, стручни и други потребни типови текстова.</w:t>
            </w:r>
          </w:p>
          <w:p w:rsidR="00041039" w:rsidRDefault="001B26CB">
            <w:pPr>
              <w:pStyle w:val="TableParagraph"/>
              <w:ind w:left="57" w:right="32"/>
              <w:rPr>
                <w:sz w:val="14"/>
              </w:rPr>
            </w:pPr>
            <w:r>
              <w:rPr>
                <w:color w:val="231F20"/>
                <w:sz w:val="14"/>
              </w:rPr>
              <w:t>У оквиру часова књижевн</w:t>
            </w:r>
            <w:r>
              <w:rPr>
                <w:color w:val="231F20"/>
                <w:sz w:val="14"/>
              </w:rPr>
              <w:t>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друге пригодне текстове (научне, стручне...) преко којих ће ученици упознати различи</w:t>
            </w:r>
            <w:r>
              <w:rPr>
                <w:color w:val="231F20"/>
                <w:sz w:val="14"/>
              </w:rPr>
              <w:t>­ те форме изражавања у књижевном делу, различите функционалне стилове и врсте текстова.</w:t>
            </w:r>
          </w:p>
          <w:p w:rsidR="00041039" w:rsidRDefault="001B26CB">
            <w:pPr>
              <w:pStyle w:val="TableParagraph"/>
              <w:spacing w:line="149" w:lineRule="exact"/>
              <w:ind w:left="57"/>
              <w:rPr>
                <w:sz w:val="14"/>
              </w:rPr>
            </w:pPr>
            <w:r>
              <w:rPr>
                <w:color w:val="231F20"/>
                <w:sz w:val="14"/>
              </w:rPr>
              <w:t>Изузетну пажњу треба посветити</w:t>
            </w:r>
          </w:p>
          <w:p w:rsidR="00041039" w:rsidRDefault="001B26CB">
            <w:pPr>
              <w:pStyle w:val="TableParagraph"/>
              <w:ind w:left="57" w:right="8"/>
              <w:rPr>
                <w:sz w:val="14"/>
              </w:rPr>
            </w:pPr>
            <w:r>
              <w:rPr>
                <w:color w:val="231F20"/>
                <w:sz w:val="14"/>
              </w:rPr>
              <w:t>мотивацији ученика за рад органи­ зовањем различитих метода и обли­ ка рада и разноврсним лексичким, граматичким и комуникативним вежбам</w:t>
            </w:r>
            <w:r>
              <w:rPr>
                <w:color w:val="231F20"/>
                <w:sz w:val="14"/>
              </w:rPr>
              <w:t>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7" w:right="104"/>
              <w:rPr>
                <w:sz w:val="14"/>
              </w:rPr>
            </w:pPr>
            <w:r>
              <w:rPr>
                <w:i/>
                <w:color w:val="231F20"/>
                <w:sz w:val="14"/>
              </w:rPr>
              <w:t xml:space="preserve">Посебне напомене </w:t>
            </w:r>
            <w:r>
              <w:rPr>
                <w:color w:val="231F20"/>
                <w:sz w:val="14"/>
              </w:rPr>
              <w:t>за остваривање појединих садржаја у оквиру тема.</w:t>
            </w:r>
          </w:p>
          <w:p w:rsidR="00041039" w:rsidRDefault="001B26CB">
            <w:pPr>
              <w:pStyle w:val="TableParagraph"/>
              <w:numPr>
                <w:ilvl w:val="0"/>
                <w:numId w:val="681"/>
              </w:numPr>
              <w:tabs>
                <w:tab w:val="left" w:pos="158"/>
              </w:tabs>
              <w:spacing w:line="237" w:lineRule="auto"/>
              <w:ind w:right="52"/>
              <w:rPr>
                <w:sz w:val="14"/>
              </w:rPr>
            </w:pPr>
            <w:r>
              <w:rPr>
                <w:color w:val="231F20"/>
                <w:sz w:val="14"/>
              </w:rPr>
              <w:t xml:space="preserve">У оквиру фонетике обратити пажњу на разлику у акценту </w:t>
            </w:r>
            <w:r>
              <w:rPr>
                <w:color w:val="231F20"/>
                <w:sz w:val="14"/>
              </w:rPr>
              <w:t>речи између матерњег и српског</w:t>
            </w:r>
            <w:r>
              <w:rPr>
                <w:color w:val="231F20"/>
                <w:spacing w:val="-24"/>
                <w:sz w:val="14"/>
              </w:rPr>
              <w:t xml:space="preserve"> </w:t>
            </w:r>
            <w:r>
              <w:rPr>
                <w:color w:val="231F20"/>
                <w:sz w:val="14"/>
              </w:rPr>
              <w:t>језика.</w:t>
            </w:r>
          </w:p>
          <w:p w:rsidR="00041039" w:rsidRDefault="001B26CB">
            <w:pPr>
              <w:pStyle w:val="TableParagraph"/>
              <w:numPr>
                <w:ilvl w:val="0"/>
                <w:numId w:val="681"/>
              </w:numPr>
              <w:tabs>
                <w:tab w:val="left" w:pos="158"/>
              </w:tabs>
              <w:spacing w:line="237" w:lineRule="auto"/>
              <w:ind w:right="42"/>
              <w:rPr>
                <w:sz w:val="14"/>
              </w:rPr>
            </w:pPr>
            <w:r>
              <w:rPr>
                <w:color w:val="231F20"/>
                <w:sz w:val="14"/>
              </w:rPr>
              <w:t>У садржајима морфологије</w:t>
            </w:r>
            <w:r>
              <w:rPr>
                <w:color w:val="231F20"/>
                <w:spacing w:val="-14"/>
                <w:sz w:val="14"/>
              </w:rPr>
              <w:t xml:space="preserve"> </w:t>
            </w:r>
            <w:r>
              <w:rPr>
                <w:color w:val="231F20"/>
                <w:sz w:val="14"/>
              </w:rPr>
              <w:t>тежиш тетреба ставити на род и број именских речи (слагање именица са придевима и придевским за­ меницама).</w:t>
            </w:r>
          </w:p>
          <w:p w:rsidR="00041039" w:rsidRDefault="001B26CB">
            <w:pPr>
              <w:pStyle w:val="TableParagraph"/>
              <w:numPr>
                <w:ilvl w:val="0"/>
                <w:numId w:val="681"/>
              </w:numPr>
              <w:tabs>
                <w:tab w:val="left" w:pos="158"/>
              </w:tabs>
              <w:spacing w:line="237" w:lineRule="auto"/>
              <w:ind w:right="185"/>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w:t>
            </w:r>
            <w:r>
              <w:rPr>
                <w:color w:val="231F20"/>
                <w:spacing w:val="-10"/>
                <w:sz w:val="14"/>
              </w:rPr>
              <w:t xml:space="preserve"> </w:t>
            </w:r>
            <w:r>
              <w:rPr>
                <w:color w:val="231F20"/>
                <w:sz w:val="14"/>
              </w:rPr>
              <w:t>речце</w:t>
            </w:r>
          </w:p>
          <w:p w:rsidR="00041039" w:rsidRDefault="001B26CB">
            <w:pPr>
              <w:pStyle w:val="TableParagraph"/>
              <w:ind w:left="157"/>
              <w:rPr>
                <w:sz w:val="14"/>
              </w:rPr>
            </w:pPr>
            <w:r>
              <w:rPr>
                <w:color w:val="231F20"/>
                <w:sz w:val="14"/>
              </w:rPr>
              <w:t>се (код најчешће коришћених глагола).</w:t>
            </w:r>
          </w:p>
          <w:p w:rsidR="00041039" w:rsidRDefault="001B26CB">
            <w:pPr>
              <w:pStyle w:val="TableParagraph"/>
              <w:numPr>
                <w:ilvl w:val="0"/>
                <w:numId w:val="681"/>
              </w:numPr>
              <w:tabs>
                <w:tab w:val="left" w:pos="158"/>
              </w:tabs>
              <w:spacing w:line="160" w:lineRule="exact"/>
              <w:ind w:right="163"/>
              <w:jc w:val="both"/>
              <w:rPr>
                <w:sz w:val="14"/>
              </w:rPr>
            </w:pPr>
            <w:r>
              <w:rPr>
                <w:color w:val="231F20"/>
                <w:spacing w:val="-4"/>
                <w:sz w:val="14"/>
              </w:rPr>
              <w:t xml:space="preserve">Код </w:t>
            </w:r>
            <w:r>
              <w:rPr>
                <w:color w:val="231F20"/>
                <w:sz w:val="14"/>
              </w:rPr>
              <w:t>творбе речи префиксацију</w:t>
            </w:r>
            <w:r>
              <w:rPr>
                <w:color w:val="231F20"/>
                <w:spacing w:val="-7"/>
                <w:sz w:val="14"/>
              </w:rPr>
              <w:t xml:space="preserve"> </w:t>
            </w:r>
            <w:r>
              <w:rPr>
                <w:color w:val="231F20"/>
                <w:sz w:val="14"/>
              </w:rPr>
              <w:t xml:space="preserve">и суфиксацију повезати са </w:t>
            </w:r>
            <w:r>
              <w:rPr>
                <w:color w:val="231F20"/>
                <w:spacing w:val="-3"/>
                <w:sz w:val="14"/>
              </w:rPr>
              <w:t xml:space="preserve">глагол­ </w:t>
            </w:r>
            <w:r>
              <w:rPr>
                <w:color w:val="231F20"/>
                <w:sz w:val="14"/>
              </w:rPr>
              <w:t>ским</w:t>
            </w:r>
            <w:r>
              <w:rPr>
                <w:color w:val="231F20"/>
                <w:spacing w:val="-1"/>
                <w:sz w:val="14"/>
              </w:rPr>
              <w:t xml:space="preserve"> </w:t>
            </w:r>
            <w:r>
              <w:rPr>
                <w:color w:val="231F20"/>
                <w:sz w:val="14"/>
              </w:rPr>
              <w:t>видом.</w:t>
            </w:r>
          </w:p>
        </w:tc>
      </w:tr>
    </w:tbl>
    <w:p w:rsidR="00041039" w:rsidRDefault="00041039">
      <w:pPr>
        <w:spacing w:line="160" w:lineRule="exact"/>
        <w:jc w:val="both"/>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32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680"/>
              </w:numPr>
              <w:tabs>
                <w:tab w:val="left" w:pos="158"/>
              </w:tabs>
              <w:spacing w:before="8"/>
              <w:ind w:right="484"/>
              <w:rPr>
                <w:sz w:val="14"/>
              </w:rPr>
            </w:pPr>
            <w:r>
              <w:rPr>
                <w:color w:val="231F20"/>
                <w:sz w:val="14"/>
              </w:rPr>
              <w:t>У остваривању садржаја програма који се односе</w:t>
            </w:r>
            <w:r>
              <w:rPr>
                <w:color w:val="231F20"/>
                <w:spacing w:val="-16"/>
                <w:sz w:val="14"/>
              </w:rPr>
              <w:t xml:space="preserve"> </w:t>
            </w:r>
            <w:r>
              <w:rPr>
                <w:color w:val="231F20"/>
                <w:sz w:val="14"/>
              </w:rPr>
              <w:t>на</w:t>
            </w:r>
          </w:p>
          <w:p w:rsidR="00041039" w:rsidRDefault="001B26CB">
            <w:pPr>
              <w:pStyle w:val="TableParagraph"/>
              <w:spacing w:line="237" w:lineRule="auto"/>
              <w:ind w:left="157" w:right="30"/>
              <w:rPr>
                <w:sz w:val="14"/>
              </w:rPr>
            </w:pPr>
            <w:r>
              <w:rPr>
                <w:color w:val="231F20"/>
                <w:sz w:val="14"/>
              </w:rPr>
              <w:t>падеже детаљније обрадити месна значења генитива. акузатива и локатива. Увежбавање падежа повезивати са проширивањем реченице синтагмама.</w:t>
            </w:r>
          </w:p>
          <w:p w:rsidR="00041039" w:rsidRDefault="001B26CB">
            <w:pPr>
              <w:pStyle w:val="TableParagraph"/>
              <w:numPr>
                <w:ilvl w:val="0"/>
                <w:numId w:val="680"/>
              </w:numPr>
              <w:tabs>
                <w:tab w:val="left" w:pos="158"/>
              </w:tabs>
              <w:spacing w:line="237" w:lineRule="auto"/>
              <w:ind w:right="117"/>
              <w:rPr>
                <w:sz w:val="14"/>
              </w:rPr>
            </w:pPr>
            <w:r>
              <w:rPr>
                <w:color w:val="231F20"/>
                <w:sz w:val="14"/>
              </w:rPr>
              <w:t xml:space="preserve">Обратити пажњу на структуру реченице и </w:t>
            </w:r>
            <w:r>
              <w:rPr>
                <w:color w:val="231F20"/>
                <w:spacing w:val="-3"/>
                <w:sz w:val="14"/>
              </w:rPr>
              <w:t>њихову</w:t>
            </w:r>
            <w:r>
              <w:rPr>
                <w:color w:val="231F20"/>
                <w:spacing w:val="-17"/>
                <w:sz w:val="14"/>
              </w:rPr>
              <w:t xml:space="preserve"> </w:t>
            </w:r>
            <w:r>
              <w:rPr>
                <w:color w:val="231F20"/>
                <w:sz w:val="14"/>
              </w:rPr>
              <w:t>комуникатив­ ну</w:t>
            </w:r>
            <w:r>
              <w:rPr>
                <w:color w:val="231F20"/>
                <w:spacing w:val="-2"/>
                <w:sz w:val="14"/>
              </w:rPr>
              <w:t xml:space="preserve"> </w:t>
            </w:r>
            <w:r>
              <w:rPr>
                <w:color w:val="231F20"/>
                <w:sz w:val="14"/>
              </w:rPr>
              <w:t>функцију.</w:t>
            </w:r>
          </w:p>
          <w:p w:rsidR="00041039" w:rsidRDefault="001B26CB">
            <w:pPr>
              <w:pStyle w:val="TableParagraph"/>
              <w:numPr>
                <w:ilvl w:val="0"/>
                <w:numId w:val="680"/>
              </w:numPr>
              <w:tabs>
                <w:tab w:val="left" w:pos="158"/>
              </w:tabs>
              <w:spacing w:line="237" w:lineRule="auto"/>
              <w:ind w:right="110"/>
              <w:rPr>
                <w:sz w:val="14"/>
              </w:rPr>
            </w:pPr>
            <w:r>
              <w:rPr>
                <w:color w:val="231F20"/>
                <w:spacing w:val="-4"/>
                <w:sz w:val="14"/>
              </w:rPr>
              <w:t xml:space="preserve">Код </w:t>
            </w:r>
            <w:r>
              <w:rPr>
                <w:color w:val="231F20"/>
                <w:sz w:val="14"/>
              </w:rPr>
              <w:t>глаголских облика</w:t>
            </w:r>
            <w:r>
              <w:rPr>
                <w:color w:val="231F20"/>
                <w:spacing w:val="-27"/>
                <w:sz w:val="14"/>
              </w:rPr>
              <w:t xml:space="preserve"> </w:t>
            </w:r>
            <w:r>
              <w:rPr>
                <w:color w:val="231F20"/>
                <w:sz w:val="14"/>
              </w:rPr>
              <w:t>увежбава­ ти презент, пе</w:t>
            </w:r>
            <w:r>
              <w:rPr>
                <w:color w:val="231F20"/>
                <w:sz w:val="14"/>
              </w:rPr>
              <w:t>рфекат и футур</w:t>
            </w:r>
            <w:r>
              <w:rPr>
                <w:color w:val="231F20"/>
                <w:spacing w:val="-20"/>
                <w:sz w:val="14"/>
              </w:rPr>
              <w:t xml:space="preserve"> </w:t>
            </w:r>
            <w:r>
              <w:rPr>
                <w:color w:val="231F20"/>
                <w:sz w:val="14"/>
              </w:rPr>
              <w:t>I.</w:t>
            </w:r>
          </w:p>
          <w:p w:rsidR="00041039" w:rsidRDefault="001B26CB">
            <w:pPr>
              <w:pStyle w:val="TableParagraph"/>
              <w:numPr>
                <w:ilvl w:val="0"/>
                <w:numId w:val="680"/>
              </w:numPr>
              <w:tabs>
                <w:tab w:val="left" w:pos="158"/>
              </w:tabs>
              <w:spacing w:line="160" w:lineRule="exact"/>
              <w:ind w:right="204"/>
              <w:jc w:val="both"/>
              <w:rPr>
                <w:sz w:val="14"/>
              </w:rPr>
            </w:pPr>
            <w:r>
              <w:rPr>
                <w:color w:val="231F20"/>
                <w:sz w:val="14"/>
              </w:rPr>
              <w:t xml:space="preserve">У области </w:t>
            </w:r>
            <w:r>
              <w:rPr>
                <w:b/>
                <w:color w:val="231F20"/>
                <w:sz w:val="14"/>
              </w:rPr>
              <w:t xml:space="preserve">правописа </w:t>
            </w:r>
            <w:r>
              <w:rPr>
                <w:color w:val="231F20"/>
                <w:sz w:val="14"/>
              </w:rPr>
              <w:t>обавезно треба увежбавати писање</w:t>
            </w:r>
            <w:r>
              <w:rPr>
                <w:color w:val="231F20"/>
                <w:spacing w:val="-13"/>
                <w:sz w:val="14"/>
              </w:rPr>
              <w:t xml:space="preserve"> </w:t>
            </w:r>
            <w:r>
              <w:rPr>
                <w:color w:val="231F20"/>
                <w:sz w:val="14"/>
              </w:rPr>
              <w:t>речце не.</w:t>
            </w:r>
          </w:p>
          <w:p w:rsidR="00041039" w:rsidRDefault="001B26CB">
            <w:pPr>
              <w:pStyle w:val="TableParagraph"/>
              <w:numPr>
                <w:ilvl w:val="0"/>
                <w:numId w:val="680"/>
              </w:numPr>
              <w:tabs>
                <w:tab w:val="left" w:pos="158"/>
              </w:tabs>
              <w:spacing w:line="160" w:lineRule="exact"/>
              <w:ind w:right="85"/>
              <w:rPr>
                <w:sz w:val="14"/>
              </w:rPr>
            </w:pPr>
            <w:r>
              <w:rPr>
                <w:color w:val="231F20"/>
                <w:sz w:val="14"/>
              </w:rPr>
              <w:t xml:space="preserve">У тематици </w:t>
            </w:r>
            <w:r>
              <w:rPr>
                <w:b/>
                <w:color w:val="231F20"/>
                <w:sz w:val="14"/>
              </w:rPr>
              <w:t>књижевност</w:t>
            </w:r>
            <w:r>
              <w:rPr>
                <w:color w:val="231F20"/>
                <w:sz w:val="14"/>
              </w:rPr>
              <w:t xml:space="preserve">, међу седам књижевних дела обавезних за </w:t>
            </w:r>
            <w:r>
              <w:rPr>
                <w:color w:val="231F20"/>
                <w:spacing w:val="-3"/>
                <w:sz w:val="14"/>
              </w:rPr>
              <w:t xml:space="preserve">обраду, </w:t>
            </w:r>
            <w:r>
              <w:rPr>
                <w:color w:val="231F20"/>
                <w:sz w:val="14"/>
              </w:rPr>
              <w:t>укључити дела из на­ родне</w:t>
            </w:r>
            <w:r>
              <w:rPr>
                <w:color w:val="231F20"/>
                <w:spacing w:val="-1"/>
                <w:sz w:val="14"/>
              </w:rPr>
              <w:t xml:space="preserve"> </w:t>
            </w:r>
            <w:r>
              <w:rPr>
                <w:color w:val="231F20"/>
                <w:sz w:val="14"/>
              </w:rPr>
              <w:t>књижевности.</w:t>
            </w:r>
          </w:p>
          <w:p w:rsidR="00041039" w:rsidRDefault="001B26CB">
            <w:pPr>
              <w:pStyle w:val="TableParagraph"/>
              <w:numPr>
                <w:ilvl w:val="0"/>
                <w:numId w:val="680"/>
              </w:numPr>
              <w:tabs>
                <w:tab w:val="left" w:pos="158"/>
              </w:tabs>
              <w:spacing w:line="160" w:lineRule="exact"/>
              <w:ind w:right="270"/>
              <w:rPr>
                <w:sz w:val="14"/>
              </w:rPr>
            </w:pPr>
            <w:r>
              <w:rPr>
                <w:color w:val="231F20"/>
                <w:sz w:val="14"/>
              </w:rPr>
              <w:t>Приликом интерпретације књижевноуметничких тексто­ ва, указивати на особености књижевних родова и врста</w:t>
            </w:r>
            <w:r>
              <w:rPr>
                <w:color w:val="231F20"/>
                <w:spacing w:val="-15"/>
                <w:sz w:val="14"/>
              </w:rPr>
              <w:t xml:space="preserve"> </w:t>
            </w:r>
            <w:r>
              <w:rPr>
                <w:color w:val="231F20"/>
                <w:sz w:val="14"/>
              </w:rPr>
              <w:t>као и на језичко ­ стилске одлике књижевних</w:t>
            </w:r>
            <w:r>
              <w:rPr>
                <w:color w:val="231F20"/>
                <w:spacing w:val="-1"/>
                <w:sz w:val="14"/>
              </w:rPr>
              <w:t xml:space="preserve"> </w:t>
            </w:r>
            <w:r>
              <w:rPr>
                <w:color w:val="231F20"/>
                <w:sz w:val="14"/>
              </w:rPr>
              <w:t>дела.</w:t>
            </w:r>
          </w:p>
          <w:p w:rsidR="00041039" w:rsidRDefault="001B26CB">
            <w:pPr>
              <w:pStyle w:val="TableParagraph"/>
              <w:numPr>
                <w:ilvl w:val="0"/>
                <w:numId w:val="680"/>
              </w:numPr>
              <w:tabs>
                <w:tab w:val="left" w:pos="158"/>
              </w:tabs>
              <w:spacing w:line="160" w:lineRule="exact"/>
              <w:ind w:right="97"/>
              <w:rPr>
                <w:sz w:val="14"/>
              </w:rPr>
            </w:pPr>
            <w:r>
              <w:rPr>
                <w:color w:val="231F20"/>
                <w:sz w:val="14"/>
              </w:rPr>
              <w:t>На примерима текстова српске књижевности обнављати и систематизовати садржаје из историје књижевности, теорије књижевности и књижевне кри­ тике, које ученик познаје из про­ грама прописаног за</w:t>
            </w:r>
            <w:r>
              <w:rPr>
                <w:color w:val="231F20"/>
                <w:spacing w:val="-15"/>
                <w:sz w:val="14"/>
              </w:rPr>
              <w:t xml:space="preserve"> </w:t>
            </w:r>
            <w:r>
              <w:rPr>
                <w:color w:val="231F20"/>
                <w:sz w:val="14"/>
              </w:rPr>
              <w:t>савладавање његовог матерњег</w:t>
            </w:r>
            <w:r>
              <w:rPr>
                <w:color w:val="231F20"/>
                <w:spacing w:val="-3"/>
                <w:sz w:val="14"/>
              </w:rPr>
              <w:t xml:space="preserve"> </w:t>
            </w:r>
            <w:r>
              <w:rPr>
                <w:color w:val="231F20"/>
                <w:sz w:val="14"/>
              </w:rPr>
              <w:t>језика.</w:t>
            </w:r>
          </w:p>
        </w:tc>
      </w:tr>
    </w:tbl>
    <w:p w:rsidR="00041039" w:rsidRDefault="00041039">
      <w:pPr>
        <w:pStyle w:val="BodyText"/>
        <w:spacing w:before="6"/>
        <w:rPr>
          <w:b/>
          <w:sz w:val="18"/>
        </w:rPr>
      </w:pPr>
    </w:p>
    <w:p w:rsidR="00041039" w:rsidRDefault="001B26CB">
      <w:pPr>
        <w:tabs>
          <w:tab w:val="left" w:pos="1460"/>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К</w:t>
      </w:r>
      <w:r>
        <w:rPr>
          <w:b/>
          <w:color w:val="231F20"/>
          <w:spacing w:val="-3"/>
          <w:sz w:val="14"/>
        </w:rPr>
        <w:t xml:space="preserve">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00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679"/>
              </w:numPr>
              <w:tabs>
                <w:tab w:val="left" w:pos="157"/>
              </w:tabs>
              <w:spacing w:before="8"/>
              <w:ind w:right="119"/>
              <w:rPr>
                <w:sz w:val="14"/>
              </w:rPr>
            </w:pPr>
            <w:r>
              <w:rPr>
                <w:color w:val="231F20"/>
                <w:sz w:val="14"/>
              </w:rPr>
              <w:t>Оспособљавање уче­ ника за</w:t>
            </w:r>
            <w:r>
              <w:rPr>
                <w:color w:val="231F20"/>
                <w:spacing w:val="-15"/>
                <w:sz w:val="14"/>
              </w:rPr>
              <w:t xml:space="preserve"> </w:t>
            </w:r>
            <w:r>
              <w:rPr>
                <w:color w:val="231F20"/>
                <w:sz w:val="14"/>
              </w:rPr>
              <w:t>препознавање акценатских</w:t>
            </w:r>
            <w:r>
              <w:rPr>
                <w:color w:val="231F20"/>
                <w:spacing w:val="-3"/>
                <w:sz w:val="14"/>
              </w:rPr>
              <w:t xml:space="preserve"> </w:t>
            </w:r>
            <w:r>
              <w:rPr>
                <w:color w:val="231F20"/>
                <w:sz w:val="14"/>
              </w:rPr>
              <w:t>целина.</w:t>
            </w:r>
          </w:p>
          <w:p w:rsidR="00041039" w:rsidRDefault="001B26CB">
            <w:pPr>
              <w:pStyle w:val="TableParagraph"/>
              <w:numPr>
                <w:ilvl w:val="0"/>
                <w:numId w:val="679"/>
              </w:numPr>
              <w:tabs>
                <w:tab w:val="left" w:pos="157"/>
              </w:tabs>
              <w:spacing w:line="157" w:lineRule="exact"/>
              <w:rPr>
                <w:sz w:val="14"/>
              </w:rPr>
            </w:pPr>
            <w:r>
              <w:rPr>
                <w:color w:val="231F20"/>
                <w:sz w:val="14"/>
              </w:rPr>
              <w:t>Оспособљавање</w:t>
            </w:r>
          </w:p>
          <w:p w:rsidR="00041039" w:rsidRDefault="001B26CB">
            <w:pPr>
              <w:pStyle w:val="TableParagraph"/>
              <w:ind w:right="215"/>
              <w:rPr>
                <w:sz w:val="14"/>
              </w:rPr>
            </w:pPr>
            <w:r>
              <w:rPr>
                <w:color w:val="231F20"/>
                <w:sz w:val="14"/>
              </w:rPr>
              <w:t>ученика за примену гласовних промена.</w:t>
            </w:r>
          </w:p>
        </w:tc>
        <w:tc>
          <w:tcPr>
            <w:tcW w:w="2551" w:type="dxa"/>
          </w:tcPr>
          <w:p w:rsidR="00041039" w:rsidRDefault="001B26CB">
            <w:pPr>
              <w:pStyle w:val="TableParagraph"/>
              <w:numPr>
                <w:ilvl w:val="0"/>
                <w:numId w:val="678"/>
              </w:numPr>
              <w:tabs>
                <w:tab w:val="left" w:pos="157"/>
              </w:tabs>
              <w:spacing w:before="8"/>
              <w:ind w:right="155" w:hanging="99"/>
              <w:rPr>
                <w:sz w:val="14"/>
              </w:rPr>
            </w:pPr>
            <w:r>
              <w:rPr>
                <w:color w:val="231F20"/>
                <w:sz w:val="14"/>
              </w:rPr>
              <w:t>уочава разлику између акцентоване</w:t>
            </w:r>
            <w:r>
              <w:rPr>
                <w:color w:val="231F20"/>
                <w:spacing w:val="-19"/>
                <w:sz w:val="14"/>
              </w:rPr>
              <w:t xml:space="preserve"> </w:t>
            </w:r>
            <w:r>
              <w:rPr>
                <w:color w:val="231F20"/>
                <w:sz w:val="14"/>
              </w:rPr>
              <w:t>и неакцентоване речи и групе</w:t>
            </w:r>
            <w:r>
              <w:rPr>
                <w:color w:val="231F20"/>
                <w:spacing w:val="-7"/>
                <w:sz w:val="14"/>
              </w:rPr>
              <w:t xml:space="preserve"> </w:t>
            </w:r>
            <w:r>
              <w:rPr>
                <w:color w:val="231F20"/>
                <w:sz w:val="14"/>
              </w:rPr>
              <w:t>речи;</w:t>
            </w:r>
          </w:p>
          <w:p w:rsidR="00041039" w:rsidRDefault="001B26CB">
            <w:pPr>
              <w:pStyle w:val="TableParagraph"/>
              <w:numPr>
                <w:ilvl w:val="0"/>
                <w:numId w:val="678"/>
              </w:numPr>
              <w:tabs>
                <w:tab w:val="left" w:pos="157"/>
              </w:tabs>
              <w:spacing w:line="160"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numPr>
                <w:ilvl w:val="0"/>
                <w:numId w:val="677"/>
              </w:numPr>
              <w:tabs>
                <w:tab w:val="left" w:pos="157"/>
              </w:tabs>
              <w:spacing w:before="8" w:line="166" w:lineRule="exact"/>
              <w:ind w:hanging="99"/>
              <w:rPr>
                <w:sz w:val="14"/>
              </w:rPr>
            </w:pPr>
            <w:r>
              <w:rPr>
                <w:color w:val="231F20"/>
                <w:sz w:val="14"/>
              </w:rPr>
              <w:t>Проклитике,</w:t>
            </w:r>
            <w:r>
              <w:rPr>
                <w:color w:val="231F20"/>
                <w:spacing w:val="-1"/>
                <w:sz w:val="14"/>
              </w:rPr>
              <w:t xml:space="preserve"> </w:t>
            </w:r>
            <w:r>
              <w:rPr>
                <w:color w:val="231F20"/>
                <w:sz w:val="14"/>
              </w:rPr>
              <w:t>енклитике.</w:t>
            </w:r>
          </w:p>
          <w:p w:rsidR="00041039" w:rsidRDefault="001B26CB">
            <w:pPr>
              <w:pStyle w:val="TableParagraph"/>
              <w:numPr>
                <w:ilvl w:val="0"/>
                <w:numId w:val="677"/>
              </w:numPr>
              <w:tabs>
                <w:tab w:val="left" w:pos="157"/>
              </w:tabs>
              <w:spacing w:line="160" w:lineRule="exact"/>
              <w:ind w:hanging="99"/>
              <w:rPr>
                <w:sz w:val="14"/>
              </w:rPr>
            </w:pPr>
            <w:r>
              <w:rPr>
                <w:color w:val="231F20"/>
                <w:sz w:val="14"/>
              </w:rPr>
              <w:t>Непостојано</w:t>
            </w:r>
            <w:r>
              <w:rPr>
                <w:color w:val="231F20"/>
                <w:spacing w:val="-1"/>
                <w:sz w:val="14"/>
              </w:rPr>
              <w:t xml:space="preserve"> </w:t>
            </w:r>
            <w:r>
              <w:rPr>
                <w:color w:val="231F20"/>
                <w:sz w:val="14"/>
              </w:rPr>
              <w:t>а.</w:t>
            </w:r>
          </w:p>
          <w:p w:rsidR="00041039" w:rsidRDefault="001B26CB">
            <w:pPr>
              <w:pStyle w:val="TableParagraph"/>
              <w:numPr>
                <w:ilvl w:val="0"/>
                <w:numId w:val="677"/>
              </w:numPr>
              <w:tabs>
                <w:tab w:val="left" w:pos="157"/>
              </w:tabs>
              <w:spacing w:line="166" w:lineRule="exact"/>
              <w:ind w:hanging="99"/>
              <w:rPr>
                <w:sz w:val="14"/>
              </w:rPr>
            </w:pPr>
            <w:r>
              <w:rPr>
                <w:color w:val="231F20"/>
                <w:sz w:val="14"/>
              </w:rPr>
              <w:t>Губљење</w:t>
            </w:r>
            <w:r>
              <w:rPr>
                <w:color w:val="231F20"/>
                <w:spacing w:val="-1"/>
                <w:sz w:val="14"/>
              </w:rPr>
              <w:t xml:space="preserve"> </w:t>
            </w:r>
            <w:r>
              <w:rPr>
                <w:color w:val="231F20"/>
                <w:sz w:val="14"/>
              </w:rPr>
              <w:t>сугласника.</w:t>
            </w:r>
          </w:p>
        </w:tc>
        <w:tc>
          <w:tcPr>
            <w:tcW w:w="2267" w:type="dxa"/>
            <w:vMerge w:val="restart"/>
          </w:tcPr>
          <w:p w:rsidR="00041039" w:rsidRDefault="001B26CB">
            <w:pPr>
              <w:pStyle w:val="TableParagraph"/>
              <w:numPr>
                <w:ilvl w:val="0"/>
                <w:numId w:val="676"/>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676"/>
              </w:numPr>
              <w:tabs>
                <w:tab w:val="left" w:pos="158"/>
              </w:tabs>
              <w:spacing w:line="160" w:lineRule="exact"/>
              <w:ind w:right="156" w:hanging="99"/>
              <w:rPr>
                <w:b/>
                <w:sz w:val="14"/>
              </w:rPr>
            </w:pPr>
            <w:r>
              <w:rPr>
                <w:color w:val="231F20"/>
                <w:sz w:val="14"/>
              </w:rPr>
              <w:t>теоријска наставаса вежбама</w:t>
            </w:r>
            <w:r>
              <w:rPr>
                <w:color w:val="231F20"/>
                <w:spacing w:val="-10"/>
                <w:sz w:val="14"/>
              </w:rPr>
              <w:t xml:space="preserve"> </w:t>
            </w:r>
            <w:r>
              <w:rPr>
                <w:b/>
                <w:color w:val="231F20"/>
                <w:sz w:val="14"/>
              </w:rPr>
              <w:t>(70 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676"/>
              </w:numPr>
              <w:tabs>
                <w:tab w:val="left" w:pos="158"/>
              </w:tabs>
              <w:spacing w:line="166"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676"/>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676"/>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676"/>
              </w:numPr>
              <w:tabs>
                <w:tab w:val="left" w:pos="158"/>
              </w:tabs>
              <w:spacing w:line="160" w:lineRule="exact"/>
              <w:ind w:hanging="99"/>
              <w:rPr>
                <w:b/>
                <w:sz w:val="14"/>
              </w:rPr>
            </w:pPr>
            <w:r>
              <w:rPr>
                <w:color w:val="231F20"/>
                <w:sz w:val="14"/>
              </w:rPr>
              <w:t xml:space="preserve">фонетика </w:t>
            </w:r>
            <w:r>
              <w:rPr>
                <w:b/>
                <w:color w:val="231F20"/>
                <w:sz w:val="14"/>
              </w:rPr>
              <w:t>(8</w:t>
            </w:r>
            <w:r>
              <w:rPr>
                <w:b/>
                <w:color w:val="231F20"/>
                <w:spacing w:val="-2"/>
                <w:sz w:val="14"/>
              </w:rPr>
              <w:t xml:space="preserve"> </w:t>
            </w:r>
            <w:r>
              <w:rPr>
                <w:b/>
                <w:color w:val="231F20"/>
                <w:sz w:val="14"/>
              </w:rPr>
              <w:t>часова)</w:t>
            </w:r>
          </w:p>
          <w:p w:rsidR="00041039" w:rsidRDefault="001B26CB">
            <w:pPr>
              <w:pStyle w:val="TableParagraph"/>
              <w:numPr>
                <w:ilvl w:val="0"/>
                <w:numId w:val="676"/>
              </w:numPr>
              <w:tabs>
                <w:tab w:val="left" w:pos="158"/>
              </w:tabs>
              <w:spacing w:line="237" w:lineRule="auto"/>
              <w:ind w:right="49" w:hanging="99"/>
              <w:rPr>
                <w:b/>
                <w:sz w:val="14"/>
              </w:rPr>
            </w:pPr>
            <w:r>
              <w:rPr>
                <w:color w:val="231F20"/>
                <w:sz w:val="14"/>
              </w:rPr>
              <w:t xml:space="preserve">морфологија и морфосинтакса </w:t>
            </w:r>
            <w:r>
              <w:rPr>
                <w:b/>
                <w:color w:val="231F20"/>
                <w:sz w:val="14"/>
              </w:rPr>
              <w:t>(15 часова)</w:t>
            </w:r>
          </w:p>
          <w:p w:rsidR="00041039" w:rsidRDefault="001B26CB">
            <w:pPr>
              <w:pStyle w:val="TableParagraph"/>
              <w:numPr>
                <w:ilvl w:val="0"/>
                <w:numId w:val="676"/>
              </w:numPr>
              <w:tabs>
                <w:tab w:val="left" w:pos="158"/>
              </w:tabs>
              <w:spacing w:line="155" w:lineRule="exact"/>
              <w:ind w:hanging="99"/>
              <w:rPr>
                <w:b/>
                <w:sz w:val="14"/>
              </w:rPr>
            </w:pPr>
            <w:r>
              <w:rPr>
                <w:color w:val="231F20"/>
                <w:sz w:val="14"/>
              </w:rPr>
              <w:t xml:space="preserve">творба речи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676"/>
              </w:numPr>
              <w:tabs>
                <w:tab w:val="left" w:pos="158"/>
              </w:tabs>
              <w:spacing w:line="160" w:lineRule="exact"/>
              <w:ind w:hanging="99"/>
              <w:rPr>
                <w:b/>
                <w:sz w:val="14"/>
              </w:rPr>
            </w:pPr>
            <w:r>
              <w:rPr>
                <w:color w:val="231F20"/>
                <w:sz w:val="14"/>
              </w:rPr>
              <w:t xml:space="preserve">синтакса </w:t>
            </w:r>
            <w:r>
              <w:rPr>
                <w:b/>
                <w:color w:val="231F20"/>
                <w:sz w:val="14"/>
              </w:rPr>
              <w:t>(9</w:t>
            </w:r>
            <w:r>
              <w:rPr>
                <w:b/>
                <w:color w:val="231F20"/>
                <w:spacing w:val="-2"/>
                <w:sz w:val="14"/>
              </w:rPr>
              <w:t xml:space="preserve"> </w:t>
            </w:r>
            <w:r>
              <w:rPr>
                <w:b/>
                <w:color w:val="231F20"/>
                <w:sz w:val="14"/>
              </w:rPr>
              <w:t>часова)</w:t>
            </w:r>
          </w:p>
          <w:p w:rsidR="00041039" w:rsidRDefault="001B26CB">
            <w:pPr>
              <w:pStyle w:val="TableParagraph"/>
              <w:numPr>
                <w:ilvl w:val="0"/>
                <w:numId w:val="676"/>
              </w:numPr>
              <w:tabs>
                <w:tab w:val="left" w:pos="158"/>
              </w:tabs>
              <w:spacing w:line="160" w:lineRule="exact"/>
              <w:ind w:hanging="99"/>
              <w:rPr>
                <w:b/>
                <w:sz w:val="14"/>
              </w:rPr>
            </w:pPr>
            <w:r>
              <w:rPr>
                <w:color w:val="231F20"/>
                <w:sz w:val="14"/>
              </w:rPr>
              <w:t xml:space="preserve">правопис </w:t>
            </w:r>
            <w:r>
              <w:rPr>
                <w:b/>
                <w:color w:val="231F20"/>
                <w:sz w:val="14"/>
              </w:rPr>
              <w:t>(4</w:t>
            </w:r>
            <w:r>
              <w:rPr>
                <w:b/>
                <w:color w:val="231F20"/>
                <w:spacing w:val="-2"/>
                <w:sz w:val="14"/>
              </w:rPr>
              <w:t xml:space="preserve"> </w:t>
            </w:r>
            <w:r>
              <w:rPr>
                <w:b/>
                <w:color w:val="231F20"/>
                <w:sz w:val="14"/>
              </w:rPr>
              <w:t>часа)</w:t>
            </w:r>
          </w:p>
          <w:p w:rsidR="00041039" w:rsidRDefault="001B26CB">
            <w:pPr>
              <w:pStyle w:val="TableParagraph"/>
              <w:numPr>
                <w:ilvl w:val="0"/>
                <w:numId w:val="676"/>
              </w:numPr>
              <w:tabs>
                <w:tab w:val="left" w:pos="158"/>
              </w:tabs>
              <w:spacing w:line="160" w:lineRule="exact"/>
              <w:ind w:hanging="99"/>
              <w:rPr>
                <w:b/>
                <w:sz w:val="14"/>
              </w:rPr>
            </w:pPr>
            <w:r>
              <w:rPr>
                <w:color w:val="231F20"/>
                <w:sz w:val="14"/>
              </w:rPr>
              <w:t xml:space="preserve">култура изражавања </w:t>
            </w:r>
            <w:r>
              <w:rPr>
                <w:b/>
                <w:color w:val="231F20"/>
                <w:sz w:val="14"/>
              </w:rPr>
              <w:t>(14</w:t>
            </w:r>
            <w:r>
              <w:rPr>
                <w:b/>
                <w:color w:val="231F20"/>
                <w:spacing w:val="-10"/>
                <w:sz w:val="14"/>
              </w:rPr>
              <w:t xml:space="preserve"> </w:t>
            </w:r>
            <w:r>
              <w:rPr>
                <w:b/>
                <w:color w:val="231F20"/>
                <w:sz w:val="14"/>
              </w:rPr>
              <w:t>часова)</w:t>
            </w:r>
          </w:p>
          <w:p w:rsidR="00041039" w:rsidRDefault="001B26CB">
            <w:pPr>
              <w:pStyle w:val="TableParagraph"/>
              <w:numPr>
                <w:ilvl w:val="0"/>
                <w:numId w:val="676"/>
              </w:numPr>
              <w:tabs>
                <w:tab w:val="left" w:pos="158"/>
              </w:tabs>
              <w:spacing w:line="166" w:lineRule="exact"/>
              <w:ind w:hanging="99"/>
              <w:rPr>
                <w:b/>
                <w:sz w:val="14"/>
              </w:rPr>
            </w:pPr>
            <w:r>
              <w:rPr>
                <w:color w:val="231F20"/>
                <w:sz w:val="14"/>
              </w:rPr>
              <w:t xml:space="preserve">књижевност </w:t>
            </w:r>
            <w:r>
              <w:rPr>
                <w:b/>
                <w:color w:val="231F20"/>
                <w:sz w:val="14"/>
              </w:rPr>
              <w:t>(14</w:t>
            </w:r>
            <w:r>
              <w:rPr>
                <w:b/>
                <w:color w:val="231F20"/>
                <w:spacing w:val="-2"/>
                <w:sz w:val="14"/>
              </w:rPr>
              <w:t xml:space="preserve"> </w:t>
            </w:r>
            <w:r>
              <w:rPr>
                <w:b/>
                <w:color w:val="231F20"/>
                <w:sz w:val="14"/>
              </w:rPr>
              <w:t>часова)</w:t>
            </w:r>
          </w:p>
        </w:tc>
      </w:tr>
      <w:tr w:rsidR="00041039">
        <w:trPr>
          <w:trHeight w:val="1480"/>
        </w:trPr>
        <w:tc>
          <w:tcPr>
            <w:tcW w:w="1304" w:type="dxa"/>
          </w:tcPr>
          <w:p w:rsidR="00041039" w:rsidRDefault="001B26CB">
            <w:pPr>
              <w:pStyle w:val="TableParagraph"/>
              <w:spacing w:before="19"/>
              <w:ind w:left="56" w:right="301"/>
              <w:rPr>
                <w:sz w:val="14"/>
              </w:rPr>
            </w:pPr>
            <w:r>
              <w:rPr>
                <w:color w:val="231F20"/>
                <w:sz w:val="14"/>
              </w:rPr>
              <w:t>Морфологија и морфосинтакса</w:t>
            </w:r>
          </w:p>
        </w:tc>
        <w:tc>
          <w:tcPr>
            <w:tcW w:w="1587" w:type="dxa"/>
          </w:tcPr>
          <w:p w:rsidR="00041039" w:rsidRDefault="001B26CB">
            <w:pPr>
              <w:pStyle w:val="TableParagraph"/>
              <w:numPr>
                <w:ilvl w:val="0"/>
                <w:numId w:val="675"/>
              </w:numPr>
              <w:tabs>
                <w:tab w:val="left" w:pos="157"/>
              </w:tabs>
              <w:spacing w:before="9"/>
              <w:ind w:right="277"/>
              <w:jc w:val="both"/>
              <w:rPr>
                <w:sz w:val="14"/>
              </w:rPr>
            </w:pPr>
            <w:r>
              <w:rPr>
                <w:color w:val="231F20"/>
                <w:sz w:val="14"/>
              </w:rPr>
              <w:t>Оспособљавање за правилну</w:t>
            </w:r>
            <w:r>
              <w:rPr>
                <w:color w:val="231F20"/>
                <w:spacing w:val="-12"/>
                <w:sz w:val="14"/>
              </w:rPr>
              <w:t xml:space="preserve"> </w:t>
            </w:r>
            <w:r>
              <w:rPr>
                <w:color w:val="231F20"/>
                <w:sz w:val="14"/>
              </w:rPr>
              <w:t>употребу облика</w:t>
            </w:r>
            <w:r>
              <w:rPr>
                <w:color w:val="231F20"/>
                <w:spacing w:val="-2"/>
                <w:sz w:val="14"/>
              </w:rPr>
              <w:t xml:space="preserve"> </w:t>
            </w:r>
            <w:r>
              <w:rPr>
                <w:color w:val="231F20"/>
                <w:sz w:val="14"/>
              </w:rPr>
              <w:t>речи.</w:t>
            </w:r>
          </w:p>
        </w:tc>
        <w:tc>
          <w:tcPr>
            <w:tcW w:w="2551" w:type="dxa"/>
          </w:tcPr>
          <w:p w:rsidR="00041039" w:rsidRDefault="001B26CB">
            <w:pPr>
              <w:pStyle w:val="TableParagraph"/>
              <w:numPr>
                <w:ilvl w:val="0"/>
                <w:numId w:val="674"/>
              </w:numPr>
              <w:tabs>
                <w:tab w:val="left" w:pos="157"/>
              </w:tabs>
              <w:spacing w:before="9"/>
              <w:ind w:right="154" w:hanging="99"/>
              <w:rPr>
                <w:sz w:val="14"/>
              </w:rPr>
            </w:pPr>
            <w:r>
              <w:rPr>
                <w:color w:val="231F20"/>
                <w:sz w:val="14"/>
              </w:rPr>
              <w:t>правилно употребљава именице</w:t>
            </w:r>
            <w:r>
              <w:rPr>
                <w:color w:val="231F20"/>
                <w:spacing w:val="-18"/>
                <w:sz w:val="14"/>
              </w:rPr>
              <w:t xml:space="preserve"> </w:t>
            </w:r>
            <w:r>
              <w:rPr>
                <w:color w:val="231F20"/>
                <w:sz w:val="14"/>
              </w:rPr>
              <w:t>жен­ ског рода на</w:t>
            </w:r>
            <w:r>
              <w:rPr>
                <w:color w:val="231F20"/>
                <w:spacing w:val="-4"/>
                <w:sz w:val="14"/>
              </w:rPr>
              <w:t xml:space="preserve"> </w:t>
            </w:r>
            <w:r>
              <w:rPr>
                <w:color w:val="231F20"/>
                <w:sz w:val="14"/>
              </w:rPr>
              <w:t>консонант;</w:t>
            </w:r>
          </w:p>
          <w:p w:rsidR="00041039" w:rsidRDefault="001B26CB">
            <w:pPr>
              <w:pStyle w:val="TableParagraph"/>
              <w:numPr>
                <w:ilvl w:val="0"/>
                <w:numId w:val="674"/>
              </w:numPr>
              <w:tabs>
                <w:tab w:val="left" w:pos="157"/>
              </w:tabs>
              <w:spacing w:line="160"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w:t>
            </w:r>
            <w:r>
              <w:rPr>
                <w:color w:val="231F20"/>
                <w:spacing w:val="-1"/>
                <w:sz w:val="14"/>
              </w:rPr>
              <w:t xml:space="preserve"> </w:t>
            </w:r>
            <w:r>
              <w:rPr>
                <w:color w:val="231F20"/>
                <w:sz w:val="14"/>
              </w:rPr>
              <w:t>речи;</w:t>
            </w:r>
          </w:p>
          <w:p w:rsidR="00041039" w:rsidRDefault="001B26CB">
            <w:pPr>
              <w:pStyle w:val="TableParagraph"/>
              <w:numPr>
                <w:ilvl w:val="0"/>
                <w:numId w:val="674"/>
              </w:numPr>
              <w:tabs>
                <w:tab w:val="left" w:pos="157"/>
              </w:tabs>
              <w:spacing w:line="153" w:lineRule="exact"/>
              <w:ind w:hanging="99"/>
              <w:rPr>
                <w:sz w:val="14"/>
              </w:rPr>
            </w:pPr>
            <w:r>
              <w:rPr>
                <w:color w:val="231F20"/>
                <w:sz w:val="14"/>
              </w:rPr>
              <w:t>правилно компарира</w:t>
            </w:r>
            <w:r>
              <w:rPr>
                <w:color w:val="231F20"/>
                <w:spacing w:val="-4"/>
                <w:sz w:val="14"/>
              </w:rPr>
              <w:t xml:space="preserve"> </w:t>
            </w:r>
            <w:r>
              <w:rPr>
                <w:color w:val="231F20"/>
                <w:sz w:val="14"/>
              </w:rPr>
              <w:t>придеве;</w:t>
            </w:r>
          </w:p>
          <w:p w:rsidR="00041039" w:rsidRDefault="001B26CB">
            <w:pPr>
              <w:pStyle w:val="TableParagraph"/>
              <w:numPr>
                <w:ilvl w:val="0"/>
                <w:numId w:val="674"/>
              </w:numPr>
              <w:tabs>
                <w:tab w:val="left" w:pos="157"/>
              </w:tabs>
              <w:spacing w:line="237" w:lineRule="auto"/>
              <w:ind w:right="254" w:hanging="99"/>
              <w:rPr>
                <w:sz w:val="14"/>
              </w:rPr>
            </w:pPr>
            <w:r>
              <w:rPr>
                <w:color w:val="231F20"/>
                <w:sz w:val="14"/>
              </w:rPr>
              <w:t>разликује праве повратне и</w:t>
            </w:r>
            <w:r>
              <w:rPr>
                <w:color w:val="231F20"/>
                <w:spacing w:val="-21"/>
                <w:sz w:val="14"/>
              </w:rPr>
              <w:t xml:space="preserve"> </w:t>
            </w:r>
            <w:r>
              <w:rPr>
                <w:color w:val="231F20"/>
                <w:sz w:val="14"/>
              </w:rPr>
              <w:t>неправе повратне</w:t>
            </w:r>
            <w:r>
              <w:rPr>
                <w:color w:val="231F20"/>
                <w:spacing w:val="-1"/>
                <w:sz w:val="14"/>
              </w:rPr>
              <w:t xml:space="preserve"> </w:t>
            </w:r>
            <w:r>
              <w:rPr>
                <w:color w:val="231F20"/>
                <w:spacing w:val="-3"/>
                <w:sz w:val="14"/>
              </w:rPr>
              <w:t>глаголе;</w:t>
            </w:r>
          </w:p>
          <w:p w:rsidR="00041039" w:rsidRDefault="001B26CB">
            <w:pPr>
              <w:pStyle w:val="TableParagraph"/>
              <w:numPr>
                <w:ilvl w:val="0"/>
                <w:numId w:val="674"/>
              </w:numPr>
              <w:tabs>
                <w:tab w:val="left" w:pos="157"/>
              </w:tabs>
              <w:spacing w:line="161" w:lineRule="exact"/>
              <w:ind w:hanging="99"/>
              <w:rPr>
                <w:sz w:val="14"/>
              </w:rPr>
            </w:pPr>
            <w:r>
              <w:rPr>
                <w:color w:val="231F20"/>
                <w:sz w:val="14"/>
              </w:rPr>
              <w:t>препознаје аорист, футур</w:t>
            </w:r>
            <w:r>
              <w:rPr>
                <w:color w:val="231F20"/>
                <w:spacing w:val="-5"/>
                <w:sz w:val="14"/>
              </w:rPr>
              <w:t xml:space="preserve"> </w:t>
            </w:r>
            <w:r>
              <w:rPr>
                <w:color w:val="231F20"/>
                <w:sz w:val="14"/>
              </w:rPr>
              <w:t>II;</w:t>
            </w:r>
          </w:p>
        </w:tc>
        <w:tc>
          <w:tcPr>
            <w:tcW w:w="2834" w:type="dxa"/>
          </w:tcPr>
          <w:p w:rsidR="00041039" w:rsidRDefault="001B26CB">
            <w:pPr>
              <w:pStyle w:val="TableParagraph"/>
              <w:numPr>
                <w:ilvl w:val="0"/>
                <w:numId w:val="673"/>
              </w:numPr>
              <w:tabs>
                <w:tab w:val="left" w:pos="157"/>
              </w:tabs>
              <w:spacing w:before="9" w:line="171" w:lineRule="exact"/>
              <w:ind w:hanging="99"/>
              <w:rPr>
                <w:sz w:val="14"/>
              </w:rPr>
            </w:pPr>
            <w:r>
              <w:rPr>
                <w:color w:val="231F20"/>
                <w:sz w:val="14"/>
              </w:rPr>
              <w:t>Именице:</w:t>
            </w:r>
          </w:p>
          <w:p w:rsidR="00041039" w:rsidRDefault="001B26CB">
            <w:pPr>
              <w:pStyle w:val="TableParagraph"/>
              <w:numPr>
                <w:ilvl w:val="0"/>
                <w:numId w:val="672"/>
              </w:numPr>
              <w:tabs>
                <w:tab w:val="left" w:pos="163"/>
              </w:tabs>
              <w:spacing w:line="160" w:lineRule="exact"/>
              <w:rPr>
                <w:sz w:val="14"/>
              </w:rPr>
            </w:pPr>
            <w:r>
              <w:rPr>
                <w:color w:val="231F20"/>
                <w:sz w:val="14"/>
              </w:rPr>
              <w:t>именице женског рода на</w:t>
            </w:r>
            <w:r>
              <w:rPr>
                <w:color w:val="231F20"/>
                <w:spacing w:val="-9"/>
                <w:sz w:val="14"/>
              </w:rPr>
              <w:t xml:space="preserve"> </w:t>
            </w:r>
            <w:r>
              <w:rPr>
                <w:color w:val="231F20"/>
                <w:sz w:val="14"/>
              </w:rPr>
              <w:t>консонант;</w:t>
            </w:r>
          </w:p>
          <w:p w:rsidR="00041039" w:rsidRDefault="001B26CB">
            <w:pPr>
              <w:pStyle w:val="TableParagraph"/>
              <w:numPr>
                <w:ilvl w:val="0"/>
                <w:numId w:val="672"/>
              </w:numPr>
              <w:tabs>
                <w:tab w:val="left" w:pos="163"/>
              </w:tabs>
              <w:ind w:right="509"/>
              <w:rPr>
                <w:sz w:val="14"/>
              </w:rPr>
            </w:pPr>
            <w:r>
              <w:rPr>
                <w:color w:val="231F20"/>
                <w:sz w:val="14"/>
              </w:rPr>
              <w:t>проширивање падежних функција</w:t>
            </w:r>
            <w:r>
              <w:rPr>
                <w:color w:val="231F20"/>
                <w:spacing w:val="-18"/>
                <w:sz w:val="14"/>
              </w:rPr>
              <w:t xml:space="preserve"> </w:t>
            </w:r>
            <w:r>
              <w:rPr>
                <w:color w:val="231F20"/>
                <w:sz w:val="14"/>
              </w:rPr>
              <w:t>и значења.</w:t>
            </w:r>
          </w:p>
          <w:p w:rsidR="00041039" w:rsidRDefault="001B26CB">
            <w:pPr>
              <w:pStyle w:val="TableParagraph"/>
              <w:numPr>
                <w:ilvl w:val="0"/>
                <w:numId w:val="671"/>
              </w:numPr>
              <w:tabs>
                <w:tab w:val="left" w:pos="157"/>
              </w:tabs>
              <w:spacing w:line="159" w:lineRule="exact"/>
              <w:ind w:hanging="99"/>
              <w:rPr>
                <w:sz w:val="14"/>
              </w:rPr>
            </w:pPr>
            <w:r>
              <w:rPr>
                <w:color w:val="231F20"/>
                <w:spacing w:val="-3"/>
                <w:sz w:val="14"/>
              </w:rPr>
              <w:t>Глаголи:</w:t>
            </w:r>
          </w:p>
          <w:p w:rsidR="00041039" w:rsidRDefault="001B26CB">
            <w:pPr>
              <w:pStyle w:val="TableParagraph"/>
              <w:numPr>
                <w:ilvl w:val="0"/>
                <w:numId w:val="670"/>
              </w:numPr>
              <w:tabs>
                <w:tab w:val="left" w:pos="163"/>
              </w:tabs>
              <w:spacing w:line="160" w:lineRule="exact"/>
              <w:rPr>
                <w:sz w:val="14"/>
              </w:rPr>
            </w:pPr>
            <w:r>
              <w:rPr>
                <w:color w:val="231F20"/>
                <w:sz w:val="14"/>
              </w:rPr>
              <w:t>аорист, футур</w:t>
            </w:r>
            <w:r>
              <w:rPr>
                <w:color w:val="231F20"/>
                <w:spacing w:val="-1"/>
                <w:sz w:val="14"/>
              </w:rPr>
              <w:t xml:space="preserve"> </w:t>
            </w:r>
            <w:r>
              <w:rPr>
                <w:color w:val="231F20"/>
                <w:sz w:val="14"/>
              </w:rPr>
              <w:t>II;</w:t>
            </w:r>
          </w:p>
          <w:p w:rsidR="00041039" w:rsidRDefault="001B26CB">
            <w:pPr>
              <w:pStyle w:val="TableParagraph"/>
              <w:numPr>
                <w:ilvl w:val="0"/>
                <w:numId w:val="670"/>
              </w:numPr>
              <w:tabs>
                <w:tab w:val="left" w:pos="163"/>
              </w:tabs>
              <w:spacing w:line="160" w:lineRule="exact"/>
              <w:rPr>
                <w:sz w:val="14"/>
              </w:rPr>
            </w:pPr>
            <w:r>
              <w:rPr>
                <w:color w:val="231F20"/>
                <w:spacing w:val="-3"/>
                <w:sz w:val="14"/>
              </w:rPr>
              <w:t xml:space="preserve">глаголски </w:t>
            </w:r>
            <w:r>
              <w:rPr>
                <w:color w:val="231F20"/>
                <w:sz w:val="14"/>
              </w:rPr>
              <w:t>вид(учестали</w:t>
            </w:r>
            <w:r>
              <w:rPr>
                <w:color w:val="231F20"/>
                <w:spacing w:val="1"/>
                <w:sz w:val="14"/>
              </w:rPr>
              <w:t xml:space="preserve"> </w:t>
            </w:r>
            <w:r>
              <w:rPr>
                <w:color w:val="231F20"/>
                <w:spacing w:val="-3"/>
                <w:sz w:val="14"/>
              </w:rPr>
              <w:t>глаголи);</w:t>
            </w:r>
          </w:p>
          <w:p w:rsidR="00041039" w:rsidRDefault="001B26CB">
            <w:pPr>
              <w:pStyle w:val="TableParagraph"/>
              <w:numPr>
                <w:ilvl w:val="0"/>
                <w:numId w:val="670"/>
              </w:numPr>
              <w:tabs>
                <w:tab w:val="left" w:pos="163"/>
              </w:tabs>
              <w:spacing w:line="155" w:lineRule="exact"/>
              <w:rPr>
                <w:sz w:val="14"/>
              </w:rPr>
            </w:pPr>
            <w:r>
              <w:rPr>
                <w:color w:val="231F20"/>
                <w:spacing w:val="-3"/>
                <w:sz w:val="14"/>
              </w:rPr>
              <w:t xml:space="preserve">глаголски </w:t>
            </w:r>
            <w:r>
              <w:rPr>
                <w:color w:val="231F20"/>
                <w:sz w:val="14"/>
              </w:rPr>
              <w:t>род: неправи повратни</w:t>
            </w:r>
            <w:r>
              <w:rPr>
                <w:color w:val="231F20"/>
                <w:spacing w:val="-3"/>
                <w:sz w:val="14"/>
              </w:rPr>
              <w:t xml:space="preserve"> глаголи.</w:t>
            </w:r>
          </w:p>
          <w:p w:rsidR="00041039" w:rsidRDefault="001B26CB">
            <w:pPr>
              <w:pStyle w:val="TableParagraph"/>
              <w:numPr>
                <w:ilvl w:val="0"/>
                <w:numId w:val="669"/>
              </w:numPr>
              <w:tabs>
                <w:tab w:val="left" w:pos="157"/>
              </w:tabs>
              <w:spacing w:line="166" w:lineRule="exact"/>
              <w:ind w:hanging="99"/>
              <w:rPr>
                <w:sz w:val="14"/>
              </w:rPr>
            </w:pPr>
            <w:r>
              <w:rPr>
                <w:color w:val="231F20"/>
                <w:sz w:val="14"/>
              </w:rPr>
              <w:t>Придеви:</w:t>
            </w:r>
            <w:r>
              <w:rPr>
                <w:color w:val="231F20"/>
                <w:spacing w:val="-2"/>
                <w:sz w:val="14"/>
              </w:rPr>
              <w:t xml:space="preserve"> </w:t>
            </w:r>
            <w:r>
              <w:rPr>
                <w:color w:val="231F20"/>
                <w:sz w:val="14"/>
              </w:rPr>
              <w:t>компарација.</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19"/>
              <w:ind w:left="56"/>
              <w:rPr>
                <w:sz w:val="14"/>
              </w:rPr>
            </w:pPr>
            <w:r>
              <w:rPr>
                <w:color w:val="231F20"/>
                <w:sz w:val="14"/>
              </w:rPr>
              <w:t>Творба речи</w:t>
            </w:r>
          </w:p>
        </w:tc>
        <w:tc>
          <w:tcPr>
            <w:tcW w:w="1587" w:type="dxa"/>
          </w:tcPr>
          <w:p w:rsidR="00041039" w:rsidRDefault="001B26CB">
            <w:pPr>
              <w:pStyle w:val="TableParagraph"/>
              <w:numPr>
                <w:ilvl w:val="0"/>
                <w:numId w:val="668"/>
              </w:numPr>
              <w:tabs>
                <w:tab w:val="left" w:pos="157"/>
              </w:tabs>
              <w:spacing w:before="9"/>
              <w:ind w:right="161"/>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numPr>
                <w:ilvl w:val="0"/>
                <w:numId w:val="667"/>
              </w:numPr>
              <w:tabs>
                <w:tab w:val="left" w:pos="157"/>
              </w:tabs>
              <w:spacing w:before="9"/>
              <w:ind w:right="110" w:hanging="99"/>
              <w:rPr>
                <w:sz w:val="14"/>
              </w:rPr>
            </w:pPr>
            <w:r>
              <w:rPr>
                <w:color w:val="231F20"/>
                <w:sz w:val="14"/>
              </w:rPr>
              <w:t>правилно гради деминутиве и</w:t>
            </w:r>
            <w:r>
              <w:rPr>
                <w:color w:val="231F20"/>
                <w:spacing w:val="-23"/>
                <w:sz w:val="14"/>
              </w:rPr>
              <w:t xml:space="preserve"> </w:t>
            </w:r>
            <w:r>
              <w:rPr>
                <w:color w:val="231F20"/>
                <w:sz w:val="14"/>
              </w:rPr>
              <w:t>аугмен­ тативе;</w:t>
            </w:r>
          </w:p>
        </w:tc>
        <w:tc>
          <w:tcPr>
            <w:tcW w:w="2834" w:type="dxa"/>
          </w:tcPr>
          <w:p w:rsidR="00041039" w:rsidRDefault="001B26CB">
            <w:pPr>
              <w:pStyle w:val="TableParagraph"/>
              <w:numPr>
                <w:ilvl w:val="0"/>
                <w:numId w:val="666"/>
              </w:numPr>
              <w:tabs>
                <w:tab w:val="left" w:pos="158"/>
              </w:tabs>
              <w:spacing w:before="9"/>
              <w:rPr>
                <w:sz w:val="14"/>
              </w:rPr>
            </w:pPr>
            <w:r>
              <w:rPr>
                <w:color w:val="231F20"/>
                <w:sz w:val="14"/>
              </w:rPr>
              <w:t>Деминутиви и</w:t>
            </w:r>
            <w:r>
              <w:rPr>
                <w:color w:val="231F20"/>
                <w:spacing w:val="-2"/>
                <w:sz w:val="14"/>
              </w:rPr>
              <w:t xml:space="preserve"> </w:t>
            </w:r>
            <w:r>
              <w:rPr>
                <w:color w:val="231F20"/>
                <w:sz w:val="14"/>
              </w:rPr>
              <w:t>аугментативи.</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19"/>
              <w:ind w:left="57"/>
              <w:rPr>
                <w:sz w:val="14"/>
              </w:rPr>
            </w:pPr>
            <w:r>
              <w:rPr>
                <w:color w:val="231F20"/>
                <w:sz w:val="14"/>
              </w:rPr>
              <w:t>Синтакса</w:t>
            </w:r>
          </w:p>
        </w:tc>
        <w:tc>
          <w:tcPr>
            <w:tcW w:w="1587" w:type="dxa"/>
          </w:tcPr>
          <w:p w:rsidR="00041039" w:rsidRDefault="001B26CB">
            <w:pPr>
              <w:pStyle w:val="TableParagraph"/>
              <w:numPr>
                <w:ilvl w:val="0"/>
                <w:numId w:val="665"/>
              </w:numPr>
              <w:tabs>
                <w:tab w:val="left" w:pos="157"/>
              </w:tabs>
              <w:spacing w:before="9"/>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664"/>
              </w:numPr>
              <w:tabs>
                <w:tab w:val="left" w:pos="157"/>
              </w:tabs>
              <w:spacing w:before="9"/>
              <w:ind w:right="209" w:hanging="99"/>
              <w:rPr>
                <w:sz w:val="14"/>
              </w:rPr>
            </w:pPr>
            <w:r>
              <w:rPr>
                <w:color w:val="231F20"/>
                <w:sz w:val="14"/>
              </w:rPr>
              <w:t>прошири просту реченицу</w:t>
            </w:r>
            <w:r>
              <w:rPr>
                <w:color w:val="231F20"/>
                <w:spacing w:val="-17"/>
                <w:sz w:val="14"/>
              </w:rPr>
              <w:t xml:space="preserve"> </w:t>
            </w:r>
            <w:r>
              <w:rPr>
                <w:color w:val="231F20"/>
                <w:sz w:val="14"/>
              </w:rPr>
              <w:t>зависним члановима;</w:t>
            </w:r>
          </w:p>
          <w:p w:rsidR="00041039" w:rsidRDefault="001B26CB">
            <w:pPr>
              <w:pStyle w:val="TableParagraph"/>
              <w:numPr>
                <w:ilvl w:val="0"/>
                <w:numId w:val="664"/>
              </w:numPr>
              <w:tabs>
                <w:tab w:val="left" w:pos="157"/>
              </w:tabs>
              <w:spacing w:line="160" w:lineRule="exact"/>
              <w:ind w:right="383" w:hanging="99"/>
              <w:rPr>
                <w:sz w:val="14"/>
              </w:rPr>
            </w:pPr>
            <w:r>
              <w:rPr>
                <w:color w:val="231F20"/>
                <w:sz w:val="14"/>
              </w:rPr>
              <w:t>препознаје реченице са</w:t>
            </w:r>
            <w:r>
              <w:rPr>
                <w:color w:val="231F20"/>
                <w:spacing w:val="-18"/>
                <w:sz w:val="14"/>
              </w:rPr>
              <w:t xml:space="preserve"> </w:t>
            </w:r>
            <w:r>
              <w:rPr>
                <w:color w:val="231F20"/>
                <w:sz w:val="14"/>
              </w:rPr>
              <w:t>логичким субјектом;</w:t>
            </w:r>
          </w:p>
          <w:p w:rsidR="00041039" w:rsidRDefault="001B26CB">
            <w:pPr>
              <w:pStyle w:val="TableParagraph"/>
              <w:numPr>
                <w:ilvl w:val="0"/>
                <w:numId w:val="664"/>
              </w:numPr>
              <w:tabs>
                <w:tab w:val="left" w:pos="157"/>
              </w:tabs>
              <w:spacing w:line="153" w:lineRule="exact"/>
              <w:ind w:hanging="99"/>
              <w:rPr>
                <w:sz w:val="14"/>
              </w:rPr>
            </w:pPr>
            <w:r>
              <w:rPr>
                <w:color w:val="231F20"/>
                <w:sz w:val="14"/>
              </w:rPr>
              <w:t>саставља условне и намерне</w:t>
            </w:r>
            <w:r>
              <w:rPr>
                <w:color w:val="231F20"/>
                <w:spacing w:val="-8"/>
                <w:sz w:val="14"/>
              </w:rPr>
              <w:t xml:space="preserve"> </w:t>
            </w:r>
            <w:r>
              <w:rPr>
                <w:color w:val="231F20"/>
                <w:sz w:val="14"/>
              </w:rPr>
              <w:t>реченице;</w:t>
            </w:r>
          </w:p>
          <w:p w:rsidR="00041039" w:rsidRDefault="001B26CB">
            <w:pPr>
              <w:pStyle w:val="TableParagraph"/>
              <w:numPr>
                <w:ilvl w:val="0"/>
                <w:numId w:val="664"/>
              </w:numPr>
              <w:tabs>
                <w:tab w:val="left" w:pos="157"/>
              </w:tabs>
              <w:spacing w:line="237" w:lineRule="auto"/>
              <w:ind w:right="439" w:hanging="99"/>
              <w:rPr>
                <w:sz w:val="14"/>
              </w:rPr>
            </w:pPr>
            <w:r>
              <w:rPr>
                <w:color w:val="231F20"/>
                <w:sz w:val="14"/>
              </w:rPr>
              <w:t>правилно употребљава</w:t>
            </w:r>
            <w:r>
              <w:rPr>
                <w:color w:val="231F20"/>
                <w:spacing w:val="-15"/>
                <w:sz w:val="14"/>
              </w:rPr>
              <w:t xml:space="preserve"> </w:t>
            </w:r>
            <w:r>
              <w:rPr>
                <w:color w:val="231F20"/>
                <w:sz w:val="14"/>
              </w:rPr>
              <w:t>безличне реченице;</w:t>
            </w:r>
          </w:p>
        </w:tc>
        <w:tc>
          <w:tcPr>
            <w:tcW w:w="2834" w:type="dxa"/>
          </w:tcPr>
          <w:p w:rsidR="00041039" w:rsidRDefault="001B26CB">
            <w:pPr>
              <w:pStyle w:val="TableParagraph"/>
              <w:numPr>
                <w:ilvl w:val="0"/>
                <w:numId w:val="663"/>
              </w:numPr>
              <w:tabs>
                <w:tab w:val="left" w:pos="158"/>
              </w:tabs>
              <w:spacing w:before="9" w:line="166" w:lineRule="exact"/>
              <w:rPr>
                <w:sz w:val="14"/>
              </w:rPr>
            </w:pPr>
            <w:r>
              <w:rPr>
                <w:color w:val="231F20"/>
                <w:sz w:val="14"/>
              </w:rPr>
              <w:t>Безличне</w:t>
            </w:r>
            <w:r>
              <w:rPr>
                <w:color w:val="231F20"/>
                <w:spacing w:val="-2"/>
                <w:sz w:val="14"/>
              </w:rPr>
              <w:t xml:space="preserve"> </w:t>
            </w:r>
            <w:r>
              <w:rPr>
                <w:color w:val="231F20"/>
                <w:sz w:val="14"/>
              </w:rPr>
              <w:t>реченице.</w:t>
            </w:r>
          </w:p>
          <w:p w:rsidR="00041039" w:rsidRDefault="001B26CB">
            <w:pPr>
              <w:pStyle w:val="TableParagraph"/>
              <w:numPr>
                <w:ilvl w:val="0"/>
                <w:numId w:val="663"/>
              </w:numPr>
              <w:tabs>
                <w:tab w:val="left" w:pos="158"/>
              </w:tabs>
              <w:spacing w:line="160" w:lineRule="exact"/>
              <w:rPr>
                <w:sz w:val="14"/>
              </w:rPr>
            </w:pPr>
            <w:r>
              <w:rPr>
                <w:color w:val="231F20"/>
                <w:sz w:val="14"/>
              </w:rPr>
              <w:t>Логички</w:t>
            </w:r>
            <w:r>
              <w:rPr>
                <w:color w:val="231F20"/>
                <w:spacing w:val="-1"/>
                <w:sz w:val="14"/>
              </w:rPr>
              <w:t xml:space="preserve"> </w:t>
            </w:r>
            <w:r>
              <w:rPr>
                <w:color w:val="231F20"/>
                <w:sz w:val="14"/>
              </w:rPr>
              <w:t>субјекти.</w:t>
            </w:r>
          </w:p>
          <w:p w:rsidR="00041039" w:rsidRDefault="001B26CB">
            <w:pPr>
              <w:pStyle w:val="TableParagraph"/>
              <w:numPr>
                <w:ilvl w:val="0"/>
                <w:numId w:val="663"/>
              </w:numPr>
              <w:tabs>
                <w:tab w:val="left" w:pos="158"/>
              </w:tabs>
              <w:spacing w:line="160" w:lineRule="exact"/>
              <w:rPr>
                <w:sz w:val="14"/>
              </w:rPr>
            </w:pPr>
            <w:r>
              <w:rPr>
                <w:color w:val="231F20"/>
                <w:sz w:val="14"/>
              </w:rPr>
              <w:t>Неконгруентни</w:t>
            </w:r>
            <w:r>
              <w:rPr>
                <w:color w:val="231F20"/>
                <w:spacing w:val="-1"/>
                <w:sz w:val="14"/>
              </w:rPr>
              <w:t xml:space="preserve"> </w:t>
            </w:r>
            <w:r>
              <w:rPr>
                <w:color w:val="231F20"/>
                <w:sz w:val="14"/>
              </w:rPr>
              <w:t>атрибути.</w:t>
            </w:r>
          </w:p>
          <w:p w:rsidR="00041039" w:rsidRDefault="001B26CB">
            <w:pPr>
              <w:pStyle w:val="TableParagraph"/>
              <w:numPr>
                <w:ilvl w:val="0"/>
                <w:numId w:val="663"/>
              </w:numPr>
              <w:tabs>
                <w:tab w:val="left" w:pos="158"/>
              </w:tabs>
              <w:spacing w:line="237" w:lineRule="auto"/>
              <w:ind w:right="447"/>
              <w:rPr>
                <w:sz w:val="14"/>
              </w:rPr>
            </w:pPr>
            <w:r>
              <w:rPr>
                <w:color w:val="231F20"/>
                <w:sz w:val="14"/>
              </w:rPr>
              <w:t>Проширивање прилошко</w:t>
            </w:r>
            <w:r>
              <w:rPr>
                <w:color w:val="231F20"/>
                <w:spacing w:val="-26"/>
                <w:sz w:val="14"/>
              </w:rPr>
              <w:t xml:space="preserve"> </w:t>
            </w:r>
            <w:r>
              <w:rPr>
                <w:color w:val="231F20"/>
                <w:sz w:val="14"/>
              </w:rPr>
              <w:t>одредбених значења.</w:t>
            </w:r>
          </w:p>
          <w:p w:rsidR="00041039" w:rsidRDefault="001B26CB">
            <w:pPr>
              <w:pStyle w:val="TableParagraph"/>
              <w:numPr>
                <w:ilvl w:val="0"/>
                <w:numId w:val="663"/>
              </w:numPr>
              <w:tabs>
                <w:tab w:val="left" w:pos="158"/>
              </w:tabs>
              <w:spacing w:line="161" w:lineRule="exact"/>
              <w:rPr>
                <w:sz w:val="14"/>
              </w:rPr>
            </w:pPr>
            <w:r>
              <w:rPr>
                <w:color w:val="231F20"/>
                <w:sz w:val="14"/>
              </w:rPr>
              <w:t>Односне и изричне</w:t>
            </w:r>
            <w:r>
              <w:rPr>
                <w:color w:val="231F20"/>
                <w:spacing w:val="-3"/>
                <w:sz w:val="14"/>
              </w:rPr>
              <w:t xml:space="preserve"> </w:t>
            </w:r>
            <w:r>
              <w:rPr>
                <w:color w:val="231F20"/>
                <w:sz w:val="14"/>
              </w:rPr>
              <w:t>реченице.</w:t>
            </w:r>
          </w:p>
        </w:tc>
        <w:tc>
          <w:tcPr>
            <w:tcW w:w="2267" w:type="dxa"/>
            <w:vMerge/>
            <w:tcBorders>
              <w:top w:val="nil"/>
            </w:tcBorders>
          </w:tcPr>
          <w:p w:rsidR="00041039" w:rsidRDefault="00041039">
            <w:pPr>
              <w:rPr>
                <w:sz w:val="2"/>
                <w:szCs w:val="2"/>
              </w:rPr>
            </w:pPr>
          </w:p>
        </w:tc>
      </w:tr>
      <w:tr w:rsidR="00041039">
        <w:trPr>
          <w:trHeight w:val="1758"/>
        </w:trPr>
        <w:tc>
          <w:tcPr>
            <w:tcW w:w="1304" w:type="dxa"/>
          </w:tcPr>
          <w:p w:rsidR="00041039" w:rsidRDefault="001B26CB">
            <w:pPr>
              <w:pStyle w:val="TableParagraph"/>
              <w:spacing w:before="19"/>
              <w:ind w:left="57"/>
              <w:rPr>
                <w:sz w:val="14"/>
              </w:rPr>
            </w:pPr>
            <w:r>
              <w:rPr>
                <w:color w:val="231F20"/>
                <w:sz w:val="14"/>
              </w:rPr>
              <w:t>Правопис</w:t>
            </w:r>
          </w:p>
        </w:tc>
        <w:tc>
          <w:tcPr>
            <w:tcW w:w="1587" w:type="dxa"/>
          </w:tcPr>
          <w:p w:rsidR="00041039" w:rsidRDefault="001B26CB">
            <w:pPr>
              <w:pStyle w:val="TableParagraph"/>
              <w:numPr>
                <w:ilvl w:val="0"/>
                <w:numId w:val="662"/>
              </w:numPr>
              <w:tabs>
                <w:tab w:val="left" w:pos="157"/>
              </w:tabs>
              <w:spacing w:before="9"/>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661"/>
              </w:numPr>
              <w:tabs>
                <w:tab w:val="left" w:pos="158"/>
              </w:tabs>
              <w:spacing w:before="9"/>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660"/>
              </w:numPr>
              <w:tabs>
                <w:tab w:val="left" w:pos="158"/>
              </w:tabs>
              <w:spacing w:before="9" w:line="166" w:lineRule="exact"/>
              <w:rPr>
                <w:sz w:val="14"/>
              </w:rPr>
            </w:pPr>
            <w:r>
              <w:rPr>
                <w:color w:val="231F20"/>
                <w:sz w:val="14"/>
              </w:rPr>
              <w:t>Састављено и растављено писање</w:t>
            </w:r>
            <w:r>
              <w:rPr>
                <w:color w:val="231F20"/>
                <w:spacing w:val="-2"/>
                <w:sz w:val="14"/>
              </w:rPr>
              <w:t xml:space="preserve"> </w:t>
            </w:r>
            <w:r>
              <w:rPr>
                <w:color w:val="231F20"/>
                <w:sz w:val="14"/>
              </w:rPr>
              <w:t>речи.</w:t>
            </w:r>
          </w:p>
          <w:p w:rsidR="00041039" w:rsidRDefault="001B26CB">
            <w:pPr>
              <w:pStyle w:val="TableParagraph"/>
              <w:numPr>
                <w:ilvl w:val="0"/>
                <w:numId w:val="660"/>
              </w:numPr>
              <w:tabs>
                <w:tab w:val="left" w:pos="158"/>
              </w:tabs>
              <w:spacing w:line="166" w:lineRule="exact"/>
              <w:rPr>
                <w:sz w:val="14"/>
              </w:rPr>
            </w:pPr>
            <w:r>
              <w:rPr>
                <w:color w:val="231F20"/>
                <w:spacing w:val="-3"/>
                <w:sz w:val="14"/>
              </w:rPr>
              <w:t xml:space="preserve">Управни </w:t>
            </w:r>
            <w:r>
              <w:rPr>
                <w:color w:val="231F20"/>
                <w:sz w:val="14"/>
              </w:rPr>
              <w:t>и неуправни говор.</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080"/>
        </w:trPr>
        <w:tc>
          <w:tcPr>
            <w:tcW w:w="1304" w:type="dxa"/>
          </w:tcPr>
          <w:p w:rsidR="00041039" w:rsidRDefault="001B26CB">
            <w:pPr>
              <w:pStyle w:val="TableParagraph"/>
              <w:spacing w:before="18"/>
              <w:ind w:left="56" w:right="37"/>
              <w:rPr>
                <w:sz w:val="14"/>
              </w:rPr>
            </w:pPr>
            <w:r>
              <w:rPr>
                <w:color w:val="231F20"/>
                <w:sz w:val="14"/>
              </w:rPr>
              <w:lastRenderedPageBreak/>
              <w:t>Култура изража­ вања</w:t>
            </w:r>
          </w:p>
        </w:tc>
        <w:tc>
          <w:tcPr>
            <w:tcW w:w="1587" w:type="dxa"/>
          </w:tcPr>
          <w:p w:rsidR="00041039" w:rsidRDefault="001B26CB">
            <w:pPr>
              <w:pStyle w:val="TableParagraph"/>
              <w:numPr>
                <w:ilvl w:val="0"/>
                <w:numId w:val="659"/>
              </w:numPr>
              <w:tabs>
                <w:tab w:val="left" w:pos="157"/>
              </w:tabs>
              <w:spacing w:before="8"/>
              <w:ind w:right="130"/>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658"/>
              </w:numPr>
              <w:tabs>
                <w:tab w:val="left" w:pos="157"/>
              </w:tabs>
              <w:spacing w:before="8"/>
              <w:ind w:right="117" w:hanging="99"/>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658"/>
              </w:numPr>
              <w:tabs>
                <w:tab w:val="left" w:pos="157"/>
              </w:tabs>
              <w:spacing w:line="160" w:lineRule="exact"/>
              <w:ind w:right="43" w:hanging="99"/>
              <w:rPr>
                <w:sz w:val="14"/>
              </w:rPr>
            </w:pPr>
            <w:r>
              <w:rPr>
                <w:color w:val="231F20"/>
                <w:sz w:val="14"/>
              </w:rPr>
              <w:t>даје комплексне одговоре на</w:t>
            </w:r>
            <w:r>
              <w:rPr>
                <w:color w:val="231F20"/>
                <w:spacing w:val="-25"/>
                <w:sz w:val="14"/>
              </w:rPr>
              <w:t xml:space="preserve"> </w:t>
            </w:r>
            <w:r>
              <w:rPr>
                <w:color w:val="231F20"/>
                <w:sz w:val="14"/>
              </w:rPr>
              <w:t>поставље­ на питања и поставља</w:t>
            </w:r>
            <w:r>
              <w:rPr>
                <w:color w:val="231F20"/>
                <w:spacing w:val="-2"/>
                <w:sz w:val="14"/>
              </w:rPr>
              <w:t xml:space="preserve"> </w:t>
            </w:r>
            <w:r>
              <w:rPr>
                <w:color w:val="231F20"/>
                <w:sz w:val="14"/>
              </w:rPr>
              <w:t>питања;</w:t>
            </w:r>
          </w:p>
        </w:tc>
        <w:tc>
          <w:tcPr>
            <w:tcW w:w="2834" w:type="dxa"/>
          </w:tcPr>
          <w:p w:rsidR="00041039" w:rsidRDefault="001B26CB">
            <w:pPr>
              <w:pStyle w:val="TableParagraph"/>
              <w:numPr>
                <w:ilvl w:val="0"/>
                <w:numId w:val="657"/>
              </w:numPr>
              <w:tabs>
                <w:tab w:val="left" w:pos="157"/>
              </w:tabs>
              <w:spacing w:before="8" w:line="171" w:lineRule="exact"/>
              <w:ind w:hanging="99"/>
              <w:rPr>
                <w:sz w:val="14"/>
              </w:rPr>
            </w:pPr>
            <w:r>
              <w:rPr>
                <w:color w:val="231F20"/>
                <w:sz w:val="14"/>
              </w:rPr>
              <w:t>Тематика:</w:t>
            </w:r>
          </w:p>
          <w:p w:rsidR="00041039" w:rsidRDefault="001B26CB">
            <w:pPr>
              <w:pStyle w:val="TableParagraph"/>
              <w:numPr>
                <w:ilvl w:val="0"/>
                <w:numId w:val="656"/>
              </w:numPr>
              <w:tabs>
                <w:tab w:val="left" w:pos="163"/>
              </w:tabs>
              <w:spacing w:line="160" w:lineRule="exact"/>
              <w:rPr>
                <w:sz w:val="14"/>
              </w:rPr>
            </w:pPr>
            <w:r>
              <w:rPr>
                <w:color w:val="231F20"/>
                <w:sz w:val="14"/>
              </w:rPr>
              <w:t>међуљудски</w:t>
            </w:r>
            <w:r>
              <w:rPr>
                <w:color w:val="231F20"/>
                <w:spacing w:val="-1"/>
                <w:sz w:val="14"/>
              </w:rPr>
              <w:t xml:space="preserve"> </w:t>
            </w:r>
            <w:r>
              <w:rPr>
                <w:color w:val="231F20"/>
                <w:sz w:val="14"/>
              </w:rPr>
              <w:t>односи;</w:t>
            </w:r>
          </w:p>
          <w:p w:rsidR="00041039" w:rsidRDefault="001B26CB">
            <w:pPr>
              <w:pStyle w:val="TableParagraph"/>
              <w:numPr>
                <w:ilvl w:val="0"/>
                <w:numId w:val="656"/>
              </w:numPr>
              <w:tabs>
                <w:tab w:val="left" w:pos="163"/>
              </w:tabs>
              <w:spacing w:line="160" w:lineRule="exact"/>
              <w:rPr>
                <w:sz w:val="14"/>
              </w:rPr>
            </w:pPr>
            <w:r>
              <w:rPr>
                <w:color w:val="231F20"/>
                <w:sz w:val="14"/>
              </w:rPr>
              <w:t>култура</w:t>
            </w:r>
            <w:r>
              <w:rPr>
                <w:color w:val="231F20"/>
                <w:spacing w:val="-1"/>
                <w:sz w:val="14"/>
              </w:rPr>
              <w:t xml:space="preserve"> </w:t>
            </w:r>
            <w:r>
              <w:rPr>
                <w:color w:val="231F20"/>
                <w:sz w:val="14"/>
              </w:rPr>
              <w:t>становања;</w:t>
            </w:r>
          </w:p>
          <w:p w:rsidR="00041039" w:rsidRDefault="001B26CB">
            <w:pPr>
              <w:pStyle w:val="TableParagraph"/>
              <w:numPr>
                <w:ilvl w:val="0"/>
                <w:numId w:val="656"/>
              </w:numPr>
              <w:tabs>
                <w:tab w:val="left" w:pos="163"/>
              </w:tabs>
              <w:spacing w:line="160" w:lineRule="exact"/>
              <w:rPr>
                <w:sz w:val="14"/>
              </w:rPr>
            </w:pPr>
            <w:r>
              <w:rPr>
                <w:color w:val="231F20"/>
                <w:sz w:val="14"/>
              </w:rPr>
              <w:t>здравље;</w:t>
            </w:r>
          </w:p>
          <w:p w:rsidR="00041039" w:rsidRDefault="001B26CB">
            <w:pPr>
              <w:pStyle w:val="TableParagraph"/>
              <w:numPr>
                <w:ilvl w:val="0"/>
                <w:numId w:val="656"/>
              </w:numPr>
              <w:tabs>
                <w:tab w:val="left" w:pos="163"/>
              </w:tabs>
              <w:spacing w:line="160" w:lineRule="exact"/>
              <w:rPr>
                <w:sz w:val="14"/>
              </w:rPr>
            </w:pPr>
            <w:r>
              <w:rPr>
                <w:color w:val="231F20"/>
                <w:sz w:val="14"/>
              </w:rPr>
              <w:t>спорт;</w:t>
            </w:r>
          </w:p>
          <w:p w:rsidR="00041039" w:rsidRDefault="001B26CB">
            <w:pPr>
              <w:pStyle w:val="TableParagraph"/>
              <w:numPr>
                <w:ilvl w:val="0"/>
                <w:numId w:val="656"/>
              </w:numPr>
              <w:tabs>
                <w:tab w:val="left" w:pos="163"/>
              </w:tabs>
              <w:spacing w:line="160" w:lineRule="exact"/>
              <w:rPr>
                <w:sz w:val="14"/>
              </w:rPr>
            </w:pPr>
            <w:r>
              <w:rPr>
                <w:color w:val="231F20"/>
                <w:sz w:val="14"/>
              </w:rPr>
              <w:t>саобраћај;</w:t>
            </w:r>
          </w:p>
          <w:p w:rsidR="00041039" w:rsidRDefault="001B26CB">
            <w:pPr>
              <w:pStyle w:val="TableParagraph"/>
              <w:numPr>
                <w:ilvl w:val="0"/>
                <w:numId w:val="656"/>
              </w:numPr>
              <w:tabs>
                <w:tab w:val="left" w:pos="163"/>
              </w:tabs>
              <w:spacing w:line="160" w:lineRule="exact"/>
              <w:rPr>
                <w:sz w:val="14"/>
              </w:rPr>
            </w:pPr>
            <w:r>
              <w:rPr>
                <w:color w:val="231F20"/>
                <w:sz w:val="14"/>
              </w:rPr>
              <w:t>привреда у</w:t>
            </w:r>
            <w:r>
              <w:rPr>
                <w:color w:val="231F20"/>
                <w:spacing w:val="-1"/>
                <w:sz w:val="14"/>
              </w:rPr>
              <w:t xml:space="preserve"> </w:t>
            </w:r>
            <w:r>
              <w:rPr>
                <w:color w:val="231F20"/>
                <w:sz w:val="14"/>
              </w:rPr>
              <w:t>окружењу;</w:t>
            </w:r>
          </w:p>
          <w:p w:rsidR="00041039" w:rsidRDefault="001B26CB">
            <w:pPr>
              <w:pStyle w:val="TableParagraph"/>
              <w:numPr>
                <w:ilvl w:val="0"/>
                <w:numId w:val="656"/>
              </w:numPr>
              <w:tabs>
                <w:tab w:val="left" w:pos="163"/>
              </w:tabs>
              <w:spacing w:line="160" w:lineRule="exact"/>
              <w:rPr>
                <w:sz w:val="14"/>
              </w:rPr>
            </w:pPr>
            <w:r>
              <w:rPr>
                <w:color w:val="231F20"/>
                <w:sz w:val="14"/>
              </w:rPr>
              <w:t>клима, атмосферске</w:t>
            </w:r>
            <w:r>
              <w:rPr>
                <w:color w:val="231F20"/>
                <w:spacing w:val="-1"/>
                <w:sz w:val="14"/>
              </w:rPr>
              <w:t xml:space="preserve"> </w:t>
            </w:r>
            <w:r>
              <w:rPr>
                <w:color w:val="231F20"/>
                <w:sz w:val="14"/>
              </w:rPr>
              <w:t>појаве:</w:t>
            </w:r>
          </w:p>
          <w:p w:rsidR="00041039" w:rsidRDefault="001B26CB">
            <w:pPr>
              <w:pStyle w:val="TableParagraph"/>
              <w:numPr>
                <w:ilvl w:val="0"/>
                <w:numId w:val="656"/>
              </w:numPr>
              <w:tabs>
                <w:tab w:val="left" w:pos="163"/>
              </w:tabs>
              <w:spacing w:line="155" w:lineRule="exact"/>
              <w:rPr>
                <w:sz w:val="14"/>
              </w:rPr>
            </w:pPr>
            <w:r>
              <w:rPr>
                <w:color w:val="231F20"/>
                <w:sz w:val="14"/>
              </w:rPr>
              <w:t>обичаји,</w:t>
            </w:r>
            <w:r>
              <w:rPr>
                <w:color w:val="231F20"/>
                <w:spacing w:val="-1"/>
                <w:sz w:val="14"/>
              </w:rPr>
              <w:t xml:space="preserve"> </w:t>
            </w:r>
            <w:r>
              <w:rPr>
                <w:color w:val="231F20"/>
                <w:sz w:val="14"/>
              </w:rPr>
              <w:t>празници.</w:t>
            </w:r>
          </w:p>
          <w:p w:rsidR="00041039" w:rsidRDefault="001B26CB">
            <w:pPr>
              <w:pStyle w:val="TableParagraph"/>
              <w:numPr>
                <w:ilvl w:val="0"/>
                <w:numId w:val="655"/>
              </w:numPr>
              <w:tabs>
                <w:tab w:val="left" w:pos="157"/>
              </w:tabs>
              <w:spacing w:line="165" w:lineRule="exact"/>
              <w:ind w:hanging="99"/>
              <w:rPr>
                <w:sz w:val="14"/>
              </w:rPr>
            </w:pPr>
            <w:r>
              <w:rPr>
                <w:color w:val="231F20"/>
                <w:sz w:val="14"/>
              </w:rPr>
              <w:t>Комуникативне</w:t>
            </w:r>
            <w:r>
              <w:rPr>
                <w:color w:val="231F20"/>
                <w:spacing w:val="-1"/>
                <w:sz w:val="14"/>
              </w:rPr>
              <w:t xml:space="preserve"> </w:t>
            </w:r>
            <w:r>
              <w:rPr>
                <w:color w:val="231F20"/>
                <w:sz w:val="14"/>
              </w:rPr>
              <w:t>функције:</w:t>
            </w:r>
          </w:p>
          <w:p w:rsidR="00041039" w:rsidRDefault="001B26CB">
            <w:pPr>
              <w:pStyle w:val="TableParagraph"/>
              <w:numPr>
                <w:ilvl w:val="0"/>
                <w:numId w:val="654"/>
              </w:numPr>
              <w:tabs>
                <w:tab w:val="left" w:pos="163"/>
              </w:tabs>
              <w:ind w:right="133"/>
              <w:rPr>
                <w:sz w:val="14"/>
              </w:rPr>
            </w:pPr>
            <w:r>
              <w:rPr>
                <w:color w:val="231F20"/>
                <w:sz w:val="14"/>
              </w:rPr>
              <w:t>исказивање расположења;</w:t>
            </w:r>
            <w:r>
              <w:rPr>
                <w:color w:val="231F20"/>
                <w:spacing w:val="-16"/>
                <w:sz w:val="14"/>
              </w:rPr>
              <w:t xml:space="preserve"> </w:t>
            </w:r>
            <w:r>
              <w:rPr>
                <w:color w:val="231F20"/>
                <w:sz w:val="14"/>
              </w:rPr>
              <w:t>допадања/недо­ падања;</w:t>
            </w:r>
          </w:p>
          <w:p w:rsidR="00041039" w:rsidRDefault="001B26CB">
            <w:pPr>
              <w:pStyle w:val="TableParagraph"/>
              <w:numPr>
                <w:ilvl w:val="0"/>
                <w:numId w:val="654"/>
              </w:numPr>
              <w:tabs>
                <w:tab w:val="left" w:pos="163"/>
              </w:tabs>
              <w:ind w:right="174"/>
              <w:rPr>
                <w:sz w:val="14"/>
              </w:rPr>
            </w:pPr>
            <w:r>
              <w:rPr>
                <w:color w:val="231F20"/>
                <w:sz w:val="14"/>
              </w:rPr>
              <w:t>предлагање и прихватање /</w:t>
            </w:r>
            <w:r>
              <w:rPr>
                <w:color w:val="231F20"/>
                <w:spacing w:val="-22"/>
                <w:sz w:val="14"/>
              </w:rPr>
              <w:t xml:space="preserve"> </w:t>
            </w:r>
            <w:r>
              <w:rPr>
                <w:color w:val="231F20"/>
                <w:sz w:val="14"/>
              </w:rPr>
              <w:t>неприхватање предлога:</w:t>
            </w:r>
          </w:p>
          <w:p w:rsidR="00041039" w:rsidRDefault="001B26CB">
            <w:pPr>
              <w:pStyle w:val="TableParagraph"/>
              <w:numPr>
                <w:ilvl w:val="0"/>
                <w:numId w:val="654"/>
              </w:numPr>
              <w:tabs>
                <w:tab w:val="left" w:pos="163"/>
              </w:tabs>
              <w:spacing w:line="154" w:lineRule="exact"/>
              <w:rPr>
                <w:sz w:val="14"/>
              </w:rPr>
            </w:pPr>
            <w:r>
              <w:rPr>
                <w:color w:val="231F20"/>
                <w:sz w:val="14"/>
              </w:rPr>
              <w:t>честитање.</w:t>
            </w:r>
          </w:p>
          <w:p w:rsidR="00041039" w:rsidRDefault="001B26CB">
            <w:pPr>
              <w:pStyle w:val="TableParagraph"/>
              <w:numPr>
                <w:ilvl w:val="0"/>
                <w:numId w:val="653"/>
              </w:numPr>
              <w:tabs>
                <w:tab w:val="left" w:pos="157"/>
              </w:tabs>
              <w:spacing w:line="237" w:lineRule="auto"/>
              <w:ind w:right="187" w:hanging="99"/>
              <w:rPr>
                <w:sz w:val="14"/>
              </w:rPr>
            </w:pPr>
            <w:r>
              <w:rPr>
                <w:color w:val="231F20"/>
                <w:sz w:val="14"/>
              </w:rPr>
              <w:t>Проширивање језичке и лексичке грађе новим речима и фразеолошким</w:t>
            </w:r>
            <w:r>
              <w:rPr>
                <w:color w:val="231F20"/>
                <w:spacing w:val="-23"/>
                <w:sz w:val="14"/>
              </w:rPr>
              <w:t xml:space="preserve"> </w:t>
            </w:r>
            <w:r>
              <w:rPr>
                <w:color w:val="231F20"/>
                <w:sz w:val="14"/>
              </w:rPr>
              <w:t>изразима.</w:t>
            </w:r>
          </w:p>
          <w:p w:rsidR="00041039" w:rsidRDefault="001B26CB">
            <w:pPr>
              <w:pStyle w:val="TableParagraph"/>
              <w:numPr>
                <w:ilvl w:val="0"/>
                <w:numId w:val="653"/>
              </w:numPr>
              <w:tabs>
                <w:tab w:val="left" w:pos="157"/>
              </w:tabs>
              <w:spacing w:line="155"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653"/>
              </w:numPr>
              <w:tabs>
                <w:tab w:val="left" w:pos="157"/>
              </w:tabs>
              <w:spacing w:line="166"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val="restart"/>
          </w:tcPr>
          <w:p w:rsidR="00041039" w:rsidRDefault="001B26CB">
            <w:pPr>
              <w:pStyle w:val="TableParagraph"/>
              <w:spacing w:before="16"/>
              <w:ind w:left="58"/>
              <w:rPr>
                <w:b/>
                <w:sz w:val="14"/>
              </w:rPr>
            </w:pPr>
            <w:r>
              <w:rPr>
                <w:b/>
                <w:color w:val="231F20"/>
                <w:sz w:val="14"/>
              </w:rPr>
              <w:t>Препоруке за реализацију садр- жаја програма</w:t>
            </w:r>
          </w:p>
          <w:p w:rsidR="00041039" w:rsidRDefault="001B26CB">
            <w:pPr>
              <w:pStyle w:val="TableParagraph"/>
              <w:ind w:left="58" w:right="37"/>
              <w:rPr>
                <w:sz w:val="14"/>
              </w:rPr>
            </w:pPr>
            <w:r>
              <w:rPr>
                <w:color w:val="231F20"/>
                <w:sz w:val="14"/>
              </w:rPr>
              <w:t xml:space="preserve">Наставник треба да се упозна са садржајем програма предмета </w:t>
            </w:r>
            <w:r>
              <w:rPr>
                <w:i/>
                <w:color w:val="231F20"/>
                <w:sz w:val="14"/>
              </w:rPr>
              <w:t xml:space="preserve">срп- </w:t>
            </w:r>
            <w:r>
              <w:rPr>
                <w:i/>
                <w:color w:val="231F20"/>
                <w:sz w:val="14"/>
              </w:rPr>
              <w:t xml:space="preserve">ски као нематерњи језик </w:t>
            </w:r>
            <w:r>
              <w:rPr>
                <w:color w:val="231F20"/>
                <w:sz w:val="14"/>
              </w:rPr>
              <w:t xml:space="preserve">за први и други разред средње </w:t>
            </w:r>
            <w:r>
              <w:rPr>
                <w:color w:val="231F20"/>
                <w:spacing w:val="-3"/>
                <w:sz w:val="14"/>
              </w:rPr>
              <w:t xml:space="preserve">школе. </w:t>
            </w:r>
            <w:r>
              <w:rPr>
                <w:color w:val="231F20"/>
                <w:sz w:val="14"/>
              </w:rPr>
              <w:t>Осим овладавања садржајима предвиђе­ ним за овај разред у настави је неопходно обезбедити обнављање</w:t>
            </w:r>
            <w:r>
              <w:rPr>
                <w:color w:val="231F20"/>
                <w:spacing w:val="-19"/>
                <w:sz w:val="14"/>
              </w:rPr>
              <w:t xml:space="preserve"> </w:t>
            </w:r>
            <w:r>
              <w:rPr>
                <w:color w:val="231F20"/>
                <w:sz w:val="14"/>
              </w:rPr>
              <w:t xml:space="preserve">и утврђивање градива из претходних разреда </w:t>
            </w:r>
            <w:r>
              <w:rPr>
                <w:color w:val="231F20"/>
                <w:spacing w:val="-3"/>
                <w:sz w:val="14"/>
              </w:rPr>
              <w:t xml:space="preserve">како </w:t>
            </w:r>
            <w:r>
              <w:rPr>
                <w:color w:val="231F20"/>
                <w:sz w:val="14"/>
              </w:rPr>
              <w:t>би се спречило његово заборављање и учврстиле с</w:t>
            </w:r>
            <w:r>
              <w:rPr>
                <w:color w:val="231F20"/>
                <w:sz w:val="14"/>
              </w:rPr>
              <w:t xml:space="preserve">течене навике, а ново градиво усвајало као природни наставак претходног и као део једног целовитог система. Настава </w:t>
            </w:r>
            <w:r>
              <w:rPr>
                <w:i/>
                <w:color w:val="231F20"/>
                <w:sz w:val="14"/>
              </w:rPr>
              <w:t xml:space="preserve">српског као нематерњег језика </w:t>
            </w:r>
            <w:r>
              <w:rPr>
                <w:color w:val="231F20"/>
                <w:sz w:val="14"/>
              </w:rPr>
              <w:t>не може бити</w:t>
            </w:r>
            <w:r>
              <w:rPr>
                <w:color w:val="231F20"/>
                <w:spacing w:val="-8"/>
                <w:sz w:val="14"/>
              </w:rPr>
              <w:t xml:space="preserve"> </w:t>
            </w:r>
            <w:r>
              <w:rPr>
                <w:color w:val="231F20"/>
                <w:sz w:val="14"/>
              </w:rPr>
              <w:t>једнообраз­</w:t>
            </w:r>
          </w:p>
          <w:p w:rsidR="00041039" w:rsidRDefault="001B26CB">
            <w:pPr>
              <w:pStyle w:val="TableParagraph"/>
              <w:spacing w:line="146" w:lineRule="exact"/>
              <w:ind w:left="58"/>
              <w:rPr>
                <w:sz w:val="14"/>
              </w:rPr>
            </w:pPr>
            <w:r>
              <w:rPr>
                <w:color w:val="231F20"/>
                <w:sz w:val="14"/>
              </w:rPr>
              <w:t>на и у њој се морају уважавати</w:t>
            </w:r>
          </w:p>
          <w:p w:rsidR="00041039" w:rsidRDefault="001B26CB">
            <w:pPr>
              <w:pStyle w:val="TableParagraph"/>
              <w:ind w:left="58" w:right="84"/>
              <w:rPr>
                <w:sz w:val="14"/>
              </w:rPr>
            </w:pPr>
            <w:r>
              <w:rPr>
                <w:color w:val="231F20"/>
                <w:sz w:val="14"/>
              </w:rPr>
              <w:t>различите могућности и потребе ученика различитих средина и различитих матерњих језика, При том се у наставу наглашено укљу­ чује принцип индивидуализације и спровођење диференцираног рада на различитим нивоима ученичког знања.</w:t>
            </w:r>
          </w:p>
          <w:p w:rsidR="00041039" w:rsidRDefault="001B26CB">
            <w:pPr>
              <w:pStyle w:val="TableParagraph"/>
              <w:spacing w:line="237" w:lineRule="auto"/>
              <w:ind w:left="58" w:right="43"/>
              <w:rPr>
                <w:sz w:val="14"/>
              </w:rPr>
            </w:pPr>
            <w:r>
              <w:rPr>
                <w:color w:val="231F20"/>
                <w:sz w:val="14"/>
              </w:rPr>
              <w:t>С обзиром на то да је основн</w:t>
            </w:r>
            <w:r>
              <w:rPr>
                <w:color w:val="231F20"/>
                <w:sz w:val="14"/>
              </w:rPr>
              <w:t>и циљ 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комуни­ кативног приступа у усвајању и учењу</w:t>
            </w:r>
            <w:r>
              <w:rPr>
                <w:color w:val="231F20"/>
                <w:spacing w:val="-1"/>
                <w:sz w:val="14"/>
              </w:rPr>
              <w:t xml:space="preserve"> </w:t>
            </w:r>
            <w:r>
              <w:rPr>
                <w:color w:val="231F20"/>
                <w:sz w:val="14"/>
              </w:rPr>
              <w:t>језика.</w:t>
            </w:r>
          </w:p>
          <w:p w:rsidR="00041039" w:rsidRDefault="001B26CB">
            <w:pPr>
              <w:pStyle w:val="TableParagraph"/>
              <w:ind w:left="58" w:right="40"/>
              <w:rPr>
                <w:sz w:val="14"/>
              </w:rPr>
            </w:pPr>
            <w:r>
              <w:rPr>
                <w:color w:val="231F20"/>
                <w:sz w:val="14"/>
              </w:rPr>
              <w:t>Наста</w:t>
            </w:r>
            <w:r>
              <w:rPr>
                <w:color w:val="231F20"/>
                <w:sz w:val="14"/>
              </w:rPr>
              <w:t>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 и у књижевним и другим тексто</w:t>
            </w:r>
            <w:r>
              <w:rPr>
                <w:color w:val="231F20"/>
                <w:sz w:val="14"/>
              </w:rPr>
              <w:t xml:space="preserve">вима. 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 ким тако и садржајима из културе. Поред језичких, у пуној мери морају бити заступљени књижевни, уметнички, савремени садржаји и садржаји цивилизацијских те</w:t>
            </w:r>
            <w:r>
              <w:rPr>
                <w:color w:val="231F20"/>
                <w:sz w:val="14"/>
              </w:rPr>
              <w:t>кови­ на. 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текстове и других функционалних стилова, аутенти­ чне</w:t>
            </w:r>
            <w:r>
              <w:rPr>
                <w:color w:val="231F20"/>
                <w:sz w:val="14"/>
              </w:rPr>
              <w:t xml:space="preserve"> и конструисане, да би ученици стицали способност разликовања и адекватне примене одговарајућих форми изражавања.</w:t>
            </w:r>
          </w:p>
          <w:p w:rsidR="00041039" w:rsidRDefault="001B26CB">
            <w:pPr>
              <w:pStyle w:val="TableParagraph"/>
              <w:spacing w:line="133" w:lineRule="exact"/>
              <w:ind w:left="58"/>
              <w:rPr>
                <w:sz w:val="14"/>
              </w:rPr>
            </w:pPr>
            <w:r>
              <w:rPr>
                <w:color w:val="231F20"/>
                <w:sz w:val="14"/>
              </w:rPr>
              <w:t>Изузетну пажњу треба посветити</w:t>
            </w:r>
          </w:p>
          <w:p w:rsidR="00041039" w:rsidRDefault="001B26CB">
            <w:pPr>
              <w:pStyle w:val="TableParagraph"/>
              <w:ind w:left="58" w:right="7"/>
              <w:rPr>
                <w:sz w:val="14"/>
              </w:rPr>
            </w:pPr>
            <w:r>
              <w:rPr>
                <w:color w:val="231F20"/>
                <w:sz w:val="14"/>
              </w:rPr>
              <w:t>мотивацији ученика за рад органи­ зовањем различитих метода и обли­ ка рада и разноврсним лексичким, граматички</w:t>
            </w:r>
            <w:r>
              <w:rPr>
                <w:color w:val="231F20"/>
                <w:sz w:val="14"/>
              </w:rPr>
              <w:t>м и комуникативним вежбама. Ученике треба подсти­ цати и на уочавање сличности и разлика српског и матерњег језика, али и ширих, културолошких карак­ теристика.</w:t>
            </w:r>
          </w:p>
          <w:p w:rsidR="00041039" w:rsidRDefault="001B26CB">
            <w:pPr>
              <w:pStyle w:val="TableParagraph"/>
              <w:spacing w:line="237" w:lineRule="auto"/>
              <w:ind w:left="58" w:right="79"/>
              <w:rPr>
                <w:sz w:val="14"/>
              </w:rPr>
            </w:pPr>
            <w:r>
              <w:rPr>
                <w:color w:val="231F20"/>
                <w:sz w:val="14"/>
              </w:rPr>
              <w:t>Приликом интерпретације</w:t>
            </w:r>
            <w:r>
              <w:rPr>
                <w:color w:val="231F20"/>
                <w:spacing w:val="-20"/>
                <w:sz w:val="14"/>
              </w:rPr>
              <w:t xml:space="preserve"> </w:t>
            </w:r>
            <w:r>
              <w:rPr>
                <w:color w:val="231F20"/>
                <w:sz w:val="14"/>
              </w:rPr>
              <w:t>књижев­ ноуметничких текстова, указивати на особености књижевних родова</w:t>
            </w:r>
            <w:r>
              <w:rPr>
                <w:color w:val="231F20"/>
                <w:sz w:val="14"/>
              </w:rPr>
              <w:t xml:space="preserve"> и врста као и на језичко ­ стилске одлике књижевних</w:t>
            </w:r>
            <w:r>
              <w:rPr>
                <w:color w:val="231F20"/>
                <w:spacing w:val="-2"/>
                <w:sz w:val="14"/>
              </w:rPr>
              <w:t xml:space="preserve"> </w:t>
            </w:r>
            <w:r>
              <w:rPr>
                <w:color w:val="231F20"/>
                <w:sz w:val="14"/>
              </w:rPr>
              <w:t>дела.</w:t>
            </w:r>
          </w:p>
          <w:p w:rsidR="00041039" w:rsidRDefault="001B26CB">
            <w:pPr>
              <w:pStyle w:val="TableParagraph"/>
              <w:ind w:left="58" w:right="308"/>
              <w:rPr>
                <w:sz w:val="14"/>
              </w:rPr>
            </w:pPr>
            <w:r>
              <w:rPr>
                <w:color w:val="231F20"/>
                <w:sz w:val="14"/>
              </w:rPr>
              <w:t>На примерима текстова српс­ ке књижевности обнављати и систематизовати садржаје из историје књижевности, теорије</w:t>
            </w:r>
          </w:p>
          <w:p w:rsidR="00041039" w:rsidRDefault="001B26CB">
            <w:pPr>
              <w:pStyle w:val="TableParagraph"/>
              <w:spacing w:line="237" w:lineRule="auto"/>
              <w:ind w:left="58"/>
              <w:rPr>
                <w:sz w:val="14"/>
              </w:rPr>
            </w:pPr>
            <w:r>
              <w:rPr>
                <w:color w:val="231F20"/>
                <w:sz w:val="14"/>
              </w:rPr>
              <w:t>књижевности и књижевне критике, које ученик познаје из програма прописаног за савладавање његовог матерњег језика.</w:t>
            </w:r>
          </w:p>
        </w:tc>
      </w:tr>
      <w:tr w:rsidR="00041039">
        <w:trPr>
          <w:trHeight w:val="10707"/>
        </w:trPr>
        <w:tc>
          <w:tcPr>
            <w:tcW w:w="1304" w:type="dxa"/>
          </w:tcPr>
          <w:p w:rsidR="00041039" w:rsidRDefault="001B26CB">
            <w:pPr>
              <w:pStyle w:val="TableParagraph"/>
              <w:spacing w:before="20"/>
              <w:ind w:left="56"/>
              <w:rPr>
                <w:sz w:val="14"/>
              </w:rPr>
            </w:pPr>
            <w:r>
              <w:rPr>
                <w:color w:val="231F20"/>
                <w:sz w:val="14"/>
              </w:rPr>
              <w:t>Књижевност</w:t>
            </w:r>
          </w:p>
        </w:tc>
        <w:tc>
          <w:tcPr>
            <w:tcW w:w="1587" w:type="dxa"/>
          </w:tcPr>
          <w:p w:rsidR="00041039" w:rsidRDefault="001B26CB">
            <w:pPr>
              <w:pStyle w:val="TableParagraph"/>
              <w:numPr>
                <w:ilvl w:val="0"/>
                <w:numId w:val="652"/>
              </w:numPr>
              <w:tabs>
                <w:tab w:val="left" w:pos="157"/>
              </w:tabs>
              <w:spacing w:before="10"/>
              <w:ind w:right="173"/>
              <w:rPr>
                <w:sz w:val="14"/>
              </w:rPr>
            </w:pPr>
            <w:r>
              <w:rPr>
                <w:color w:val="231F20"/>
                <w:sz w:val="14"/>
              </w:rPr>
              <w:t>Упознавање са значајним делима српске</w:t>
            </w:r>
            <w:r>
              <w:rPr>
                <w:color w:val="231F20"/>
                <w:spacing w:val="-3"/>
                <w:sz w:val="14"/>
              </w:rPr>
              <w:t xml:space="preserve"> </w:t>
            </w:r>
            <w:r>
              <w:rPr>
                <w:color w:val="231F20"/>
                <w:sz w:val="14"/>
              </w:rPr>
              <w:t>књижевности и њиховим најзна­ чајнијим одликама и особеностима.</w:t>
            </w:r>
          </w:p>
        </w:tc>
        <w:tc>
          <w:tcPr>
            <w:tcW w:w="2551" w:type="dxa"/>
          </w:tcPr>
          <w:p w:rsidR="00041039" w:rsidRDefault="001B26CB">
            <w:pPr>
              <w:pStyle w:val="TableParagraph"/>
              <w:numPr>
                <w:ilvl w:val="0"/>
                <w:numId w:val="651"/>
              </w:numPr>
              <w:tabs>
                <w:tab w:val="left" w:pos="157"/>
              </w:tabs>
              <w:spacing w:before="10"/>
              <w:ind w:right="146" w:hanging="99"/>
              <w:rPr>
                <w:sz w:val="14"/>
              </w:rPr>
            </w:pPr>
            <w:r>
              <w:rPr>
                <w:color w:val="231F20"/>
                <w:sz w:val="14"/>
              </w:rPr>
              <w:t>чита, препричава и тумачи</w:t>
            </w:r>
            <w:r>
              <w:rPr>
                <w:color w:val="231F20"/>
                <w:spacing w:val="-21"/>
                <w:sz w:val="14"/>
              </w:rPr>
              <w:t xml:space="preserve"> </w:t>
            </w:r>
            <w:r>
              <w:rPr>
                <w:color w:val="231F20"/>
                <w:sz w:val="14"/>
              </w:rPr>
              <w:t>к</w:t>
            </w:r>
            <w:r>
              <w:rPr>
                <w:color w:val="231F20"/>
                <w:sz w:val="14"/>
              </w:rPr>
              <w:t>њижевно уметничке и остале типове</w:t>
            </w:r>
            <w:r>
              <w:rPr>
                <w:color w:val="231F20"/>
                <w:spacing w:val="-10"/>
                <w:sz w:val="14"/>
              </w:rPr>
              <w:t xml:space="preserve"> </w:t>
            </w:r>
            <w:r>
              <w:rPr>
                <w:color w:val="231F20"/>
                <w:sz w:val="14"/>
              </w:rPr>
              <w:t>текстова;</w:t>
            </w:r>
          </w:p>
          <w:p w:rsidR="00041039" w:rsidRDefault="001B26CB">
            <w:pPr>
              <w:pStyle w:val="TableParagraph"/>
              <w:numPr>
                <w:ilvl w:val="0"/>
                <w:numId w:val="651"/>
              </w:numPr>
              <w:tabs>
                <w:tab w:val="left" w:pos="157"/>
              </w:tabs>
              <w:spacing w:line="153" w:lineRule="exact"/>
              <w:ind w:hanging="99"/>
              <w:rPr>
                <w:sz w:val="14"/>
              </w:rPr>
            </w:pPr>
            <w:r>
              <w:rPr>
                <w:color w:val="231F20"/>
                <w:sz w:val="14"/>
              </w:rPr>
              <w:t>анализира идејне аспекте</w:t>
            </w:r>
            <w:r>
              <w:rPr>
                <w:color w:val="231F20"/>
                <w:spacing w:val="-5"/>
                <w:sz w:val="14"/>
              </w:rPr>
              <w:t xml:space="preserve"> </w:t>
            </w:r>
            <w:r>
              <w:rPr>
                <w:color w:val="231F20"/>
                <w:sz w:val="14"/>
              </w:rPr>
              <w:t>текста;</w:t>
            </w:r>
          </w:p>
          <w:p w:rsidR="00041039" w:rsidRDefault="001B26CB">
            <w:pPr>
              <w:pStyle w:val="TableParagraph"/>
              <w:numPr>
                <w:ilvl w:val="0"/>
                <w:numId w:val="651"/>
              </w:numPr>
              <w:tabs>
                <w:tab w:val="left" w:pos="157"/>
              </w:tabs>
              <w:spacing w:line="237" w:lineRule="auto"/>
              <w:ind w:right="69" w:hanging="99"/>
              <w:rPr>
                <w:sz w:val="14"/>
              </w:rPr>
            </w:pPr>
            <w:r>
              <w:rPr>
                <w:color w:val="231F20"/>
                <w:sz w:val="14"/>
              </w:rPr>
              <w:t xml:space="preserve">уочава основне интеграционе чиниоце интерпретације књижевноуметничког текста </w:t>
            </w:r>
            <w:r>
              <w:rPr>
                <w:color w:val="231F20"/>
                <w:spacing w:val="-3"/>
                <w:sz w:val="14"/>
              </w:rPr>
              <w:t xml:space="preserve">(тему, </w:t>
            </w:r>
            <w:r>
              <w:rPr>
                <w:color w:val="231F20"/>
                <w:sz w:val="14"/>
              </w:rPr>
              <w:t xml:space="preserve">мотиве, песничке слике, типове јунака, </w:t>
            </w:r>
            <w:r>
              <w:rPr>
                <w:color w:val="231F20"/>
                <w:spacing w:val="-3"/>
                <w:sz w:val="14"/>
              </w:rPr>
              <w:t xml:space="preserve">структуру, композицију, </w:t>
            </w:r>
            <w:r>
              <w:rPr>
                <w:color w:val="231F20"/>
                <w:sz w:val="14"/>
              </w:rPr>
              <w:t>облике казивања, језичко ­ стилске карактеристике...);</w:t>
            </w:r>
          </w:p>
        </w:tc>
        <w:tc>
          <w:tcPr>
            <w:tcW w:w="2834" w:type="dxa"/>
          </w:tcPr>
          <w:p w:rsidR="00041039" w:rsidRDefault="001B26CB">
            <w:pPr>
              <w:pStyle w:val="TableParagraph"/>
              <w:spacing w:before="20" w:line="155" w:lineRule="exact"/>
              <w:ind w:left="57"/>
              <w:rPr>
                <w:sz w:val="14"/>
              </w:rPr>
            </w:pPr>
            <w:r>
              <w:rPr>
                <w:color w:val="231F20"/>
                <w:sz w:val="14"/>
              </w:rPr>
              <w:t>ОБАВЕЗНИ:</w:t>
            </w:r>
          </w:p>
          <w:p w:rsidR="00041039" w:rsidRDefault="001B26CB">
            <w:pPr>
              <w:pStyle w:val="TableParagraph"/>
              <w:numPr>
                <w:ilvl w:val="0"/>
                <w:numId w:val="650"/>
              </w:numPr>
              <w:tabs>
                <w:tab w:val="left" w:pos="157"/>
              </w:tabs>
              <w:spacing w:line="160" w:lineRule="exact"/>
              <w:ind w:hanging="99"/>
              <w:rPr>
                <w:sz w:val="14"/>
              </w:rPr>
            </w:pPr>
            <w:r>
              <w:rPr>
                <w:color w:val="231F20"/>
                <w:sz w:val="14"/>
              </w:rPr>
              <w:t>„Бановић</w:t>
            </w:r>
            <w:r>
              <w:rPr>
                <w:color w:val="231F20"/>
                <w:spacing w:val="-1"/>
                <w:sz w:val="14"/>
              </w:rPr>
              <w:t xml:space="preserve"> </w:t>
            </w:r>
            <w:r>
              <w:rPr>
                <w:color w:val="231F20"/>
                <w:sz w:val="14"/>
              </w:rPr>
              <w:t>Страхиња”.</w:t>
            </w:r>
          </w:p>
          <w:p w:rsidR="00041039" w:rsidRDefault="001B26CB">
            <w:pPr>
              <w:pStyle w:val="TableParagraph"/>
              <w:numPr>
                <w:ilvl w:val="0"/>
                <w:numId w:val="650"/>
              </w:numPr>
              <w:tabs>
                <w:tab w:val="left" w:pos="157"/>
              </w:tabs>
              <w:spacing w:line="160" w:lineRule="exact"/>
              <w:ind w:hanging="99"/>
              <w:rPr>
                <w:sz w:val="14"/>
              </w:rPr>
            </w:pPr>
            <w:r>
              <w:rPr>
                <w:color w:val="231F20"/>
                <w:sz w:val="14"/>
              </w:rPr>
              <w:t>„Немушти</w:t>
            </w:r>
            <w:r>
              <w:rPr>
                <w:color w:val="231F20"/>
                <w:spacing w:val="-1"/>
                <w:sz w:val="14"/>
              </w:rPr>
              <w:t xml:space="preserve"> </w:t>
            </w:r>
            <w:r>
              <w:rPr>
                <w:color w:val="231F20"/>
                <w:sz w:val="14"/>
              </w:rPr>
              <w:t>језик”.</w:t>
            </w:r>
          </w:p>
          <w:p w:rsidR="00041039" w:rsidRDefault="001B26CB">
            <w:pPr>
              <w:pStyle w:val="TableParagraph"/>
              <w:numPr>
                <w:ilvl w:val="0"/>
                <w:numId w:val="650"/>
              </w:numPr>
              <w:tabs>
                <w:tab w:val="left" w:pos="157"/>
              </w:tabs>
              <w:spacing w:line="160" w:lineRule="exact"/>
              <w:ind w:hanging="99"/>
              <w:rPr>
                <w:sz w:val="14"/>
              </w:rPr>
            </w:pPr>
            <w:r>
              <w:rPr>
                <w:color w:val="231F20"/>
                <w:sz w:val="14"/>
              </w:rPr>
              <w:t>Милан Ракић: „Искрена</w:t>
            </w:r>
            <w:r>
              <w:rPr>
                <w:color w:val="231F20"/>
                <w:spacing w:val="-3"/>
                <w:sz w:val="14"/>
              </w:rPr>
              <w:t xml:space="preserve"> </w:t>
            </w:r>
            <w:r>
              <w:rPr>
                <w:color w:val="231F20"/>
                <w:sz w:val="14"/>
              </w:rPr>
              <w:t>песма”.</w:t>
            </w:r>
          </w:p>
          <w:p w:rsidR="00041039" w:rsidRDefault="001B26CB">
            <w:pPr>
              <w:pStyle w:val="TableParagraph"/>
              <w:numPr>
                <w:ilvl w:val="0"/>
                <w:numId w:val="650"/>
              </w:numPr>
              <w:tabs>
                <w:tab w:val="left" w:pos="157"/>
              </w:tabs>
              <w:spacing w:line="160" w:lineRule="exact"/>
              <w:ind w:hanging="99"/>
              <w:rPr>
                <w:sz w:val="14"/>
              </w:rPr>
            </w:pPr>
            <w:r>
              <w:rPr>
                <w:color w:val="231F20"/>
                <w:sz w:val="14"/>
              </w:rPr>
              <w:t>Милош Црњански: ,,Прича” или</w:t>
            </w:r>
            <w:r>
              <w:rPr>
                <w:color w:val="231F20"/>
                <w:spacing w:val="-12"/>
                <w:sz w:val="14"/>
              </w:rPr>
              <w:t xml:space="preserve"> </w:t>
            </w:r>
            <w:r>
              <w:rPr>
                <w:color w:val="231F20"/>
                <w:sz w:val="14"/>
              </w:rPr>
              <w:t>,,Живот”.</w:t>
            </w:r>
          </w:p>
          <w:p w:rsidR="00041039" w:rsidRDefault="001B26CB">
            <w:pPr>
              <w:pStyle w:val="TableParagraph"/>
              <w:numPr>
                <w:ilvl w:val="0"/>
                <w:numId w:val="650"/>
              </w:numPr>
              <w:tabs>
                <w:tab w:val="left" w:pos="157"/>
              </w:tabs>
              <w:spacing w:line="237" w:lineRule="auto"/>
              <w:ind w:right="102" w:hanging="99"/>
              <w:rPr>
                <w:sz w:val="14"/>
              </w:rPr>
            </w:pPr>
            <w:r>
              <w:rPr>
                <w:color w:val="231F20"/>
                <w:sz w:val="14"/>
              </w:rPr>
              <w:t>Момо</w:t>
            </w:r>
            <w:r>
              <w:rPr>
                <w:color w:val="231F20"/>
                <w:spacing w:val="-6"/>
                <w:sz w:val="14"/>
              </w:rPr>
              <w:t xml:space="preserve"> </w:t>
            </w:r>
            <w:r>
              <w:rPr>
                <w:color w:val="231F20"/>
                <w:sz w:val="14"/>
              </w:rPr>
              <w:t>Капор:</w:t>
            </w:r>
            <w:r>
              <w:rPr>
                <w:color w:val="231F20"/>
                <w:spacing w:val="-7"/>
                <w:sz w:val="14"/>
              </w:rPr>
              <w:t xml:space="preserve"> </w:t>
            </w:r>
            <w:r>
              <w:rPr>
                <w:color w:val="231F20"/>
                <w:sz w:val="14"/>
              </w:rPr>
              <w:t>„Белешке</w:t>
            </w:r>
            <w:r>
              <w:rPr>
                <w:color w:val="231F20"/>
                <w:spacing w:val="-6"/>
                <w:sz w:val="14"/>
              </w:rPr>
              <w:t xml:space="preserve"> </w:t>
            </w:r>
            <w:r>
              <w:rPr>
                <w:color w:val="231F20"/>
                <w:sz w:val="14"/>
              </w:rPr>
              <w:t>једне</w:t>
            </w:r>
            <w:r>
              <w:rPr>
                <w:color w:val="231F20"/>
                <w:spacing w:val="-6"/>
                <w:sz w:val="14"/>
              </w:rPr>
              <w:t xml:space="preserve"> </w:t>
            </w:r>
            <w:r>
              <w:rPr>
                <w:color w:val="231F20"/>
                <w:sz w:val="14"/>
              </w:rPr>
              <w:t>Ане”</w:t>
            </w:r>
            <w:r>
              <w:rPr>
                <w:color w:val="231F20"/>
                <w:spacing w:val="-7"/>
                <w:sz w:val="14"/>
              </w:rPr>
              <w:t xml:space="preserve"> </w:t>
            </w:r>
            <w:r>
              <w:rPr>
                <w:color w:val="231F20"/>
                <w:sz w:val="14"/>
              </w:rPr>
              <w:t>(одлом­ ци из 1., 9. и 12.</w:t>
            </w:r>
            <w:r>
              <w:rPr>
                <w:color w:val="231F20"/>
                <w:spacing w:val="-5"/>
                <w:sz w:val="14"/>
              </w:rPr>
              <w:t xml:space="preserve"> </w:t>
            </w:r>
            <w:r>
              <w:rPr>
                <w:color w:val="231F20"/>
                <w:sz w:val="14"/>
              </w:rPr>
              <w:t>главе).</w:t>
            </w:r>
          </w:p>
          <w:p w:rsidR="00041039" w:rsidRDefault="001B26CB">
            <w:pPr>
              <w:pStyle w:val="TableParagraph"/>
              <w:numPr>
                <w:ilvl w:val="0"/>
                <w:numId w:val="650"/>
              </w:numPr>
              <w:tabs>
                <w:tab w:val="left" w:pos="157"/>
              </w:tabs>
              <w:spacing w:line="155" w:lineRule="exact"/>
              <w:ind w:hanging="99"/>
              <w:rPr>
                <w:sz w:val="14"/>
              </w:rPr>
            </w:pPr>
            <w:r>
              <w:rPr>
                <w:color w:val="231F20"/>
                <w:sz w:val="14"/>
              </w:rPr>
              <w:t>Лаза Лазаревић: ,,Ветар”</w:t>
            </w:r>
            <w:r>
              <w:rPr>
                <w:color w:val="231F20"/>
                <w:spacing w:val="-6"/>
                <w:sz w:val="14"/>
              </w:rPr>
              <w:t xml:space="preserve"> </w:t>
            </w:r>
            <w:r>
              <w:rPr>
                <w:color w:val="231F20"/>
                <w:sz w:val="14"/>
              </w:rPr>
              <w:t>(одломак).</w:t>
            </w:r>
          </w:p>
          <w:p w:rsidR="00041039" w:rsidRDefault="001B26CB">
            <w:pPr>
              <w:pStyle w:val="TableParagraph"/>
              <w:numPr>
                <w:ilvl w:val="0"/>
                <w:numId w:val="650"/>
              </w:numPr>
              <w:tabs>
                <w:tab w:val="left" w:pos="157"/>
              </w:tabs>
              <w:spacing w:line="237" w:lineRule="auto"/>
              <w:ind w:right="43" w:hanging="99"/>
              <w:rPr>
                <w:sz w:val="14"/>
              </w:rPr>
            </w:pPr>
            <w:r>
              <w:rPr>
                <w:color w:val="231F20"/>
                <w:sz w:val="14"/>
              </w:rPr>
              <w:t>Александар Поповић: „Путујуће</w:t>
            </w:r>
            <w:r>
              <w:rPr>
                <w:color w:val="231F20"/>
                <w:spacing w:val="-18"/>
                <w:sz w:val="14"/>
              </w:rPr>
              <w:t xml:space="preserve"> </w:t>
            </w:r>
            <w:r>
              <w:rPr>
                <w:color w:val="231F20"/>
                <w:sz w:val="14"/>
              </w:rPr>
              <w:t>позориште Шопаловић” (VII слика Видова трава или Шишање Софије ­ док Дробац не изађе са сцене).</w:t>
            </w:r>
          </w:p>
          <w:p w:rsidR="00041039" w:rsidRDefault="001B26CB">
            <w:pPr>
              <w:pStyle w:val="TableParagraph"/>
              <w:spacing w:line="155" w:lineRule="exact"/>
              <w:ind w:left="57"/>
              <w:rPr>
                <w:sz w:val="14"/>
              </w:rPr>
            </w:pPr>
            <w:r>
              <w:rPr>
                <w:color w:val="231F20"/>
                <w:sz w:val="14"/>
              </w:rPr>
              <w:t>ИЗБОРНИ:</w:t>
            </w:r>
          </w:p>
          <w:p w:rsidR="00041039" w:rsidRDefault="001B26CB">
            <w:pPr>
              <w:pStyle w:val="TableParagraph"/>
              <w:numPr>
                <w:ilvl w:val="0"/>
                <w:numId w:val="650"/>
              </w:numPr>
              <w:tabs>
                <w:tab w:val="left" w:pos="157"/>
              </w:tabs>
              <w:spacing w:line="160" w:lineRule="exact"/>
              <w:ind w:hanging="99"/>
              <w:rPr>
                <w:sz w:val="14"/>
              </w:rPr>
            </w:pPr>
            <w:r>
              <w:rPr>
                <w:color w:val="231F20"/>
                <w:sz w:val="14"/>
              </w:rPr>
              <w:t>Иво Андрић: „Ex ponto”</w:t>
            </w:r>
            <w:r>
              <w:rPr>
                <w:color w:val="231F20"/>
                <w:spacing w:val="-5"/>
                <w:sz w:val="14"/>
              </w:rPr>
              <w:t xml:space="preserve"> </w:t>
            </w:r>
            <w:r>
              <w:rPr>
                <w:color w:val="231F20"/>
                <w:sz w:val="14"/>
              </w:rPr>
              <w:t>(одломак).</w:t>
            </w:r>
          </w:p>
          <w:p w:rsidR="00041039" w:rsidRDefault="001B26CB">
            <w:pPr>
              <w:pStyle w:val="TableParagraph"/>
              <w:numPr>
                <w:ilvl w:val="0"/>
                <w:numId w:val="650"/>
              </w:numPr>
              <w:tabs>
                <w:tab w:val="left" w:pos="157"/>
              </w:tabs>
              <w:spacing w:line="237" w:lineRule="auto"/>
              <w:ind w:right="197" w:hanging="99"/>
              <w:rPr>
                <w:sz w:val="14"/>
              </w:rPr>
            </w:pPr>
            <w:r>
              <w:rPr>
                <w:color w:val="231F20"/>
                <w:sz w:val="14"/>
              </w:rPr>
              <w:t xml:space="preserve">Милован Витезовић: „Шешир професора Косте Вујића” (одломак у </w:t>
            </w:r>
            <w:r>
              <w:rPr>
                <w:color w:val="231F20"/>
                <w:spacing w:val="-3"/>
                <w:sz w:val="14"/>
              </w:rPr>
              <w:t xml:space="preserve">коме </w:t>
            </w:r>
            <w:r>
              <w:rPr>
                <w:color w:val="231F20"/>
                <w:sz w:val="14"/>
              </w:rPr>
              <w:t xml:space="preserve">се Коста Вујић </w:t>
            </w:r>
            <w:r>
              <w:rPr>
                <w:color w:val="231F20"/>
                <w:spacing w:val="-3"/>
                <w:sz w:val="14"/>
              </w:rPr>
              <w:t xml:space="preserve">суди </w:t>
            </w:r>
            <w:r>
              <w:rPr>
                <w:color w:val="231F20"/>
                <w:sz w:val="14"/>
              </w:rPr>
              <w:t>са</w:t>
            </w:r>
            <w:r>
              <w:rPr>
                <w:color w:val="231F20"/>
                <w:spacing w:val="2"/>
                <w:sz w:val="14"/>
              </w:rPr>
              <w:t xml:space="preserve"> </w:t>
            </w:r>
            <w:r>
              <w:rPr>
                <w:color w:val="231F20"/>
                <w:sz w:val="14"/>
              </w:rPr>
              <w:t>каменоресцем).</w:t>
            </w:r>
          </w:p>
          <w:p w:rsidR="00041039" w:rsidRDefault="001B26CB">
            <w:pPr>
              <w:pStyle w:val="TableParagraph"/>
              <w:numPr>
                <w:ilvl w:val="0"/>
                <w:numId w:val="650"/>
              </w:numPr>
              <w:tabs>
                <w:tab w:val="left" w:pos="157"/>
              </w:tabs>
              <w:spacing w:line="237" w:lineRule="auto"/>
              <w:ind w:right="375" w:hanging="99"/>
              <w:rPr>
                <w:sz w:val="14"/>
              </w:rPr>
            </w:pPr>
            <w:r>
              <w:rPr>
                <w:color w:val="231F20"/>
                <w:sz w:val="14"/>
              </w:rPr>
              <w:t>Бора Станковић: приповетка „У</w:t>
            </w:r>
            <w:r>
              <w:rPr>
                <w:color w:val="231F20"/>
                <w:spacing w:val="-24"/>
                <w:sz w:val="14"/>
              </w:rPr>
              <w:t xml:space="preserve"> </w:t>
            </w:r>
            <w:r>
              <w:rPr>
                <w:color w:val="231F20"/>
                <w:sz w:val="14"/>
              </w:rPr>
              <w:t>ноћи” (одломак).</w:t>
            </w:r>
          </w:p>
          <w:p w:rsidR="00041039" w:rsidRDefault="001B26CB">
            <w:pPr>
              <w:pStyle w:val="TableParagraph"/>
              <w:numPr>
                <w:ilvl w:val="0"/>
                <w:numId w:val="650"/>
              </w:numPr>
              <w:tabs>
                <w:tab w:val="left" w:pos="157"/>
              </w:tabs>
              <w:spacing w:line="155" w:lineRule="exact"/>
              <w:ind w:hanging="99"/>
              <w:rPr>
                <w:sz w:val="14"/>
              </w:rPr>
            </w:pPr>
            <w:r>
              <w:rPr>
                <w:color w:val="231F20"/>
                <w:sz w:val="14"/>
              </w:rPr>
              <w:t>Текст о Сави</w:t>
            </w:r>
            <w:r>
              <w:rPr>
                <w:color w:val="231F20"/>
                <w:spacing w:val="-3"/>
                <w:sz w:val="14"/>
              </w:rPr>
              <w:t xml:space="preserve"> </w:t>
            </w:r>
            <w:r>
              <w:rPr>
                <w:color w:val="231F20"/>
                <w:sz w:val="14"/>
              </w:rPr>
              <w:t>Шумановићу.</w:t>
            </w:r>
          </w:p>
          <w:p w:rsidR="00041039" w:rsidRDefault="001B26CB">
            <w:pPr>
              <w:pStyle w:val="TableParagraph"/>
              <w:numPr>
                <w:ilvl w:val="0"/>
                <w:numId w:val="650"/>
              </w:numPr>
              <w:tabs>
                <w:tab w:val="left" w:pos="157"/>
              </w:tabs>
              <w:spacing w:line="160" w:lineRule="exact"/>
              <w:ind w:hanging="99"/>
              <w:rPr>
                <w:sz w:val="14"/>
              </w:rPr>
            </w:pPr>
            <w:r>
              <w:rPr>
                <w:color w:val="231F20"/>
                <w:sz w:val="14"/>
              </w:rPr>
              <w:t>Избор текстова песама које се</w:t>
            </w:r>
            <w:r>
              <w:rPr>
                <w:color w:val="231F20"/>
                <w:spacing w:val="-5"/>
                <w:sz w:val="14"/>
              </w:rPr>
              <w:t xml:space="preserve"> </w:t>
            </w:r>
            <w:r>
              <w:rPr>
                <w:color w:val="231F20"/>
                <w:spacing w:val="-3"/>
                <w:sz w:val="14"/>
              </w:rPr>
              <w:t>певају.</w:t>
            </w:r>
          </w:p>
          <w:p w:rsidR="00041039" w:rsidRDefault="001B26CB">
            <w:pPr>
              <w:pStyle w:val="TableParagraph"/>
              <w:numPr>
                <w:ilvl w:val="0"/>
                <w:numId w:val="650"/>
              </w:numPr>
              <w:tabs>
                <w:tab w:val="left" w:pos="157"/>
              </w:tabs>
              <w:spacing w:line="237" w:lineRule="auto"/>
              <w:ind w:right="148" w:hanging="99"/>
              <w:rPr>
                <w:sz w:val="14"/>
              </w:rPr>
            </w:pPr>
            <w:r>
              <w:rPr>
                <w:color w:val="231F20"/>
                <w:sz w:val="14"/>
              </w:rPr>
              <w:t>Текст из функционалне стилистике:</w:t>
            </w:r>
            <w:r>
              <w:rPr>
                <w:color w:val="231F20"/>
                <w:spacing w:val="-22"/>
                <w:sz w:val="14"/>
              </w:rPr>
              <w:t xml:space="preserve"> </w:t>
            </w:r>
            <w:r>
              <w:rPr>
                <w:color w:val="231F20"/>
                <w:sz w:val="14"/>
              </w:rPr>
              <w:t>адми­ нистративно правни</w:t>
            </w:r>
            <w:r>
              <w:rPr>
                <w:color w:val="231F20"/>
                <w:spacing w:val="-2"/>
                <w:sz w:val="14"/>
              </w:rPr>
              <w:t xml:space="preserve"> </w:t>
            </w:r>
            <w:r>
              <w:rPr>
                <w:color w:val="231F20"/>
                <w:sz w:val="14"/>
              </w:rPr>
              <w:t>стил.</w:t>
            </w:r>
          </w:p>
          <w:p w:rsidR="00041039" w:rsidRDefault="001B26CB">
            <w:pPr>
              <w:pStyle w:val="TableParagraph"/>
              <w:numPr>
                <w:ilvl w:val="0"/>
                <w:numId w:val="650"/>
              </w:numPr>
              <w:tabs>
                <w:tab w:val="left" w:pos="157"/>
              </w:tabs>
              <w:spacing w:line="160" w:lineRule="exact"/>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spacing w:line="158" w:lineRule="exact"/>
              <w:ind w:left="57"/>
              <w:rPr>
                <w:b/>
                <w:sz w:val="14"/>
              </w:rPr>
            </w:pPr>
            <w:r>
              <w:rPr>
                <w:b/>
                <w:color w:val="231F20"/>
                <w:sz w:val="14"/>
              </w:rPr>
              <w:t>(Треба обрадити два дела.)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Pr>
                <w:sz w:val="14"/>
              </w:rPr>
            </w:pPr>
            <w:r>
              <w:rPr>
                <w:color w:val="231F20"/>
                <w:sz w:val="14"/>
              </w:rPr>
              <w:t>Фонетика</w:t>
            </w:r>
          </w:p>
        </w:tc>
        <w:tc>
          <w:tcPr>
            <w:tcW w:w="1587" w:type="dxa"/>
          </w:tcPr>
          <w:p w:rsidR="00041039" w:rsidRDefault="001B26CB">
            <w:pPr>
              <w:pStyle w:val="TableParagraph"/>
              <w:numPr>
                <w:ilvl w:val="0"/>
                <w:numId w:val="649"/>
              </w:numPr>
              <w:tabs>
                <w:tab w:val="left" w:pos="157"/>
              </w:tabs>
              <w:spacing w:before="8"/>
              <w:ind w:right="188"/>
              <w:rPr>
                <w:sz w:val="14"/>
              </w:rPr>
            </w:pPr>
            <w:r>
              <w:rPr>
                <w:color w:val="231F20"/>
                <w:sz w:val="14"/>
              </w:rPr>
              <w:t>Оспособљавање ученика за</w:t>
            </w:r>
            <w:r>
              <w:rPr>
                <w:color w:val="231F20"/>
                <w:spacing w:val="-12"/>
                <w:sz w:val="14"/>
              </w:rPr>
              <w:t xml:space="preserve"> </w:t>
            </w:r>
            <w:r>
              <w:rPr>
                <w:color w:val="231F20"/>
                <w:sz w:val="14"/>
              </w:rPr>
              <w:t>правилно акцентовање речи и реченица.</w:t>
            </w:r>
          </w:p>
          <w:p w:rsidR="00041039" w:rsidRDefault="001B26CB">
            <w:pPr>
              <w:pStyle w:val="TableParagraph"/>
              <w:numPr>
                <w:ilvl w:val="0"/>
                <w:numId w:val="649"/>
              </w:numPr>
              <w:tabs>
                <w:tab w:val="left" w:pos="157"/>
              </w:tabs>
              <w:spacing w:line="156" w:lineRule="exact"/>
              <w:rPr>
                <w:sz w:val="14"/>
              </w:rPr>
            </w:pPr>
            <w:r>
              <w:rPr>
                <w:color w:val="231F20"/>
                <w:sz w:val="14"/>
              </w:rPr>
              <w:t>Оспособљавање</w:t>
            </w:r>
            <w:r>
              <w:rPr>
                <w:color w:val="231F20"/>
                <w:spacing w:val="-1"/>
                <w:sz w:val="14"/>
              </w:rPr>
              <w:t xml:space="preserve"> </w:t>
            </w:r>
            <w:r>
              <w:rPr>
                <w:color w:val="231F20"/>
                <w:sz w:val="14"/>
              </w:rPr>
              <w:t>уче­</w:t>
            </w:r>
          </w:p>
          <w:p w:rsidR="00041039" w:rsidRDefault="001B26CB">
            <w:pPr>
              <w:pStyle w:val="TableParagraph"/>
              <w:ind w:right="150"/>
              <w:jc w:val="both"/>
              <w:rPr>
                <w:sz w:val="14"/>
              </w:rPr>
            </w:pPr>
            <w:r>
              <w:rPr>
                <w:color w:val="231F20"/>
                <w:sz w:val="14"/>
              </w:rPr>
              <w:t>ника за</w:t>
            </w:r>
            <w:r>
              <w:rPr>
                <w:color w:val="231F20"/>
                <w:spacing w:val="-9"/>
                <w:sz w:val="14"/>
              </w:rPr>
              <w:t xml:space="preserve"> </w:t>
            </w:r>
            <w:r>
              <w:rPr>
                <w:color w:val="231F20"/>
                <w:sz w:val="14"/>
              </w:rPr>
              <w:t>објашњавање и примену гласовних промена.</w:t>
            </w:r>
          </w:p>
        </w:tc>
        <w:tc>
          <w:tcPr>
            <w:tcW w:w="2551" w:type="dxa"/>
          </w:tcPr>
          <w:p w:rsidR="00041039" w:rsidRDefault="001B26CB">
            <w:pPr>
              <w:pStyle w:val="TableParagraph"/>
              <w:numPr>
                <w:ilvl w:val="0"/>
                <w:numId w:val="648"/>
              </w:numPr>
              <w:tabs>
                <w:tab w:val="left" w:pos="157"/>
              </w:tabs>
              <w:spacing w:before="8"/>
              <w:ind w:right="152" w:hanging="99"/>
              <w:rPr>
                <w:sz w:val="14"/>
              </w:rPr>
            </w:pPr>
            <w:r>
              <w:rPr>
                <w:color w:val="231F20"/>
                <w:sz w:val="14"/>
              </w:rPr>
              <w:t>примењује основна правила акценто­ вања речи и</w:t>
            </w:r>
            <w:r>
              <w:rPr>
                <w:color w:val="231F20"/>
                <w:spacing w:val="-3"/>
                <w:sz w:val="14"/>
              </w:rPr>
              <w:t xml:space="preserve"> </w:t>
            </w:r>
            <w:r>
              <w:rPr>
                <w:color w:val="231F20"/>
                <w:sz w:val="14"/>
              </w:rPr>
              <w:t>реченица;</w:t>
            </w:r>
          </w:p>
          <w:p w:rsidR="00041039" w:rsidRDefault="001B26CB">
            <w:pPr>
              <w:pStyle w:val="TableParagraph"/>
              <w:numPr>
                <w:ilvl w:val="0"/>
                <w:numId w:val="648"/>
              </w:numPr>
              <w:tabs>
                <w:tab w:val="left" w:pos="157"/>
              </w:tabs>
              <w:spacing w:line="160" w:lineRule="exact"/>
              <w:ind w:right="241" w:hanging="99"/>
              <w:rPr>
                <w:sz w:val="14"/>
              </w:rPr>
            </w:pPr>
            <w:r>
              <w:rPr>
                <w:color w:val="231F20"/>
                <w:sz w:val="14"/>
              </w:rPr>
              <w:t>препознаје акценатске целине и разликује акцентоване и</w:t>
            </w:r>
            <w:r>
              <w:rPr>
                <w:color w:val="231F20"/>
                <w:spacing w:val="-9"/>
                <w:sz w:val="14"/>
              </w:rPr>
              <w:t xml:space="preserve"> </w:t>
            </w:r>
            <w:r>
              <w:rPr>
                <w:color w:val="231F20"/>
                <w:sz w:val="14"/>
              </w:rPr>
              <w:t>неакценто­ ване</w:t>
            </w:r>
            <w:r>
              <w:rPr>
                <w:color w:val="231F20"/>
                <w:spacing w:val="-1"/>
                <w:sz w:val="14"/>
              </w:rPr>
              <w:t xml:space="preserve"> </w:t>
            </w:r>
            <w:r>
              <w:rPr>
                <w:color w:val="231F20"/>
                <w:sz w:val="14"/>
              </w:rPr>
              <w:t>речи;</w:t>
            </w:r>
          </w:p>
          <w:p w:rsidR="00041039" w:rsidRDefault="001B26CB">
            <w:pPr>
              <w:pStyle w:val="TableParagraph"/>
              <w:numPr>
                <w:ilvl w:val="0"/>
                <w:numId w:val="648"/>
              </w:numPr>
              <w:tabs>
                <w:tab w:val="left" w:pos="157"/>
              </w:tabs>
              <w:spacing w:line="160" w:lineRule="exact"/>
              <w:ind w:right="100" w:hanging="99"/>
              <w:rPr>
                <w:sz w:val="14"/>
              </w:rPr>
            </w:pPr>
            <w:r>
              <w:rPr>
                <w:color w:val="231F20"/>
                <w:sz w:val="14"/>
              </w:rPr>
              <w:t>правилно употребљава облике речи</w:t>
            </w:r>
            <w:r>
              <w:rPr>
                <w:color w:val="231F20"/>
                <w:spacing w:val="-22"/>
                <w:sz w:val="14"/>
              </w:rPr>
              <w:t xml:space="preserve"> </w:t>
            </w:r>
            <w:r>
              <w:rPr>
                <w:color w:val="231F20"/>
                <w:sz w:val="14"/>
              </w:rPr>
              <w:t>са гласовним</w:t>
            </w:r>
            <w:r>
              <w:rPr>
                <w:color w:val="231F20"/>
                <w:spacing w:val="-2"/>
                <w:sz w:val="14"/>
              </w:rPr>
              <w:t xml:space="preserve"> </w:t>
            </w:r>
            <w:r>
              <w:rPr>
                <w:color w:val="231F20"/>
                <w:sz w:val="14"/>
              </w:rPr>
              <w:t>променама;</w:t>
            </w:r>
          </w:p>
        </w:tc>
        <w:tc>
          <w:tcPr>
            <w:tcW w:w="2834" w:type="dxa"/>
          </w:tcPr>
          <w:p w:rsidR="00041039" w:rsidRDefault="001B26CB">
            <w:pPr>
              <w:pStyle w:val="TableParagraph"/>
              <w:numPr>
                <w:ilvl w:val="0"/>
                <w:numId w:val="647"/>
              </w:numPr>
              <w:tabs>
                <w:tab w:val="left" w:pos="157"/>
              </w:tabs>
              <w:spacing w:before="8"/>
              <w:ind w:right="68" w:hanging="99"/>
              <w:rPr>
                <w:sz w:val="14"/>
              </w:rPr>
            </w:pPr>
            <w:r>
              <w:rPr>
                <w:color w:val="231F20"/>
                <w:spacing w:val="-3"/>
                <w:sz w:val="14"/>
              </w:rPr>
              <w:t xml:space="preserve">Увежбавање </w:t>
            </w:r>
            <w:r>
              <w:rPr>
                <w:color w:val="231F20"/>
                <w:sz w:val="14"/>
              </w:rPr>
              <w:t>садржаја прог</w:t>
            </w:r>
            <w:r>
              <w:rPr>
                <w:color w:val="231F20"/>
                <w:sz w:val="14"/>
              </w:rPr>
              <w:t>рама из претход­ них</w:t>
            </w:r>
            <w:r>
              <w:rPr>
                <w:color w:val="231F20"/>
                <w:spacing w:val="-2"/>
                <w:sz w:val="14"/>
              </w:rPr>
              <w:t xml:space="preserve"> </w:t>
            </w:r>
            <w:r>
              <w:rPr>
                <w:color w:val="231F20"/>
                <w:sz w:val="14"/>
              </w:rPr>
              <w:t>разреда.</w:t>
            </w:r>
          </w:p>
        </w:tc>
        <w:tc>
          <w:tcPr>
            <w:tcW w:w="2267" w:type="dxa"/>
            <w:vMerge w:val="restart"/>
          </w:tcPr>
          <w:p w:rsidR="00041039" w:rsidRDefault="001B26CB">
            <w:pPr>
              <w:pStyle w:val="TableParagraph"/>
              <w:numPr>
                <w:ilvl w:val="0"/>
                <w:numId w:val="646"/>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646"/>
              </w:numPr>
              <w:tabs>
                <w:tab w:val="left" w:pos="158"/>
              </w:tabs>
              <w:spacing w:before="1" w:line="160" w:lineRule="exact"/>
              <w:ind w:right="156" w:hanging="99"/>
              <w:rPr>
                <w:b/>
                <w:sz w:val="14"/>
              </w:rPr>
            </w:pPr>
            <w:r>
              <w:rPr>
                <w:color w:val="231F20"/>
                <w:sz w:val="14"/>
              </w:rPr>
              <w:t>теоријска наставаса вежбама</w:t>
            </w:r>
            <w:r>
              <w:rPr>
                <w:color w:val="231F20"/>
                <w:spacing w:val="-10"/>
                <w:sz w:val="14"/>
              </w:rPr>
              <w:t xml:space="preserve"> </w:t>
            </w:r>
            <w:r>
              <w:rPr>
                <w:b/>
                <w:color w:val="231F20"/>
                <w:sz w:val="14"/>
              </w:rPr>
              <w:t>(64 часа)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646"/>
              </w:numPr>
              <w:tabs>
                <w:tab w:val="left" w:pos="158"/>
              </w:tabs>
              <w:spacing w:line="166" w:lineRule="exact"/>
              <w:ind w:hanging="99"/>
              <w:rPr>
                <w:sz w:val="14"/>
              </w:rPr>
            </w:pPr>
            <w:r>
              <w:rPr>
                <w:color w:val="231F20"/>
                <w:sz w:val="14"/>
              </w:rPr>
              <w:t>Настава се реализује у</w:t>
            </w:r>
            <w:r>
              <w:rPr>
                <w:color w:val="231F20"/>
                <w:spacing w:val="-4"/>
                <w:sz w:val="14"/>
              </w:rPr>
              <w:t xml:space="preserve"> </w:t>
            </w: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646"/>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646"/>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646"/>
              </w:numPr>
              <w:tabs>
                <w:tab w:val="left" w:pos="158"/>
              </w:tabs>
              <w:spacing w:line="160" w:lineRule="exact"/>
              <w:ind w:hanging="99"/>
              <w:rPr>
                <w:b/>
                <w:sz w:val="14"/>
              </w:rPr>
            </w:pPr>
            <w:r>
              <w:rPr>
                <w:color w:val="231F20"/>
                <w:sz w:val="14"/>
              </w:rPr>
              <w:t xml:space="preserve">фонетика </w:t>
            </w:r>
            <w:r>
              <w:rPr>
                <w:b/>
                <w:color w:val="231F20"/>
                <w:sz w:val="14"/>
              </w:rPr>
              <w:t>(7</w:t>
            </w:r>
            <w:r>
              <w:rPr>
                <w:b/>
                <w:color w:val="231F20"/>
                <w:spacing w:val="-2"/>
                <w:sz w:val="14"/>
              </w:rPr>
              <w:t xml:space="preserve"> </w:t>
            </w:r>
            <w:r>
              <w:rPr>
                <w:b/>
                <w:color w:val="231F20"/>
                <w:sz w:val="14"/>
              </w:rPr>
              <w:t>часова)</w:t>
            </w:r>
          </w:p>
          <w:p w:rsidR="00041039" w:rsidRDefault="001B26CB">
            <w:pPr>
              <w:pStyle w:val="TableParagraph"/>
              <w:numPr>
                <w:ilvl w:val="0"/>
                <w:numId w:val="646"/>
              </w:numPr>
              <w:tabs>
                <w:tab w:val="left" w:pos="158"/>
              </w:tabs>
              <w:spacing w:line="160" w:lineRule="exact"/>
              <w:ind w:hanging="99"/>
              <w:rPr>
                <w:b/>
                <w:sz w:val="14"/>
              </w:rPr>
            </w:pPr>
            <w:r>
              <w:rPr>
                <w:color w:val="231F20"/>
                <w:sz w:val="14"/>
              </w:rPr>
              <w:t xml:space="preserve">морфологија </w:t>
            </w:r>
            <w:r>
              <w:rPr>
                <w:b/>
                <w:color w:val="231F20"/>
                <w:sz w:val="14"/>
              </w:rPr>
              <w:t>(9</w:t>
            </w:r>
            <w:r>
              <w:rPr>
                <w:b/>
                <w:color w:val="231F20"/>
                <w:spacing w:val="-3"/>
                <w:sz w:val="14"/>
              </w:rPr>
              <w:t xml:space="preserve"> </w:t>
            </w:r>
            <w:r>
              <w:rPr>
                <w:b/>
                <w:color w:val="231F20"/>
                <w:sz w:val="14"/>
              </w:rPr>
              <w:t>часова)</w:t>
            </w:r>
          </w:p>
          <w:p w:rsidR="00041039" w:rsidRDefault="001B26CB">
            <w:pPr>
              <w:pStyle w:val="TableParagraph"/>
              <w:numPr>
                <w:ilvl w:val="0"/>
                <w:numId w:val="646"/>
              </w:numPr>
              <w:tabs>
                <w:tab w:val="left" w:pos="158"/>
              </w:tabs>
              <w:spacing w:line="160" w:lineRule="exact"/>
              <w:ind w:hanging="99"/>
              <w:rPr>
                <w:b/>
                <w:sz w:val="14"/>
              </w:rPr>
            </w:pPr>
            <w:r>
              <w:rPr>
                <w:color w:val="231F20"/>
                <w:sz w:val="14"/>
              </w:rPr>
              <w:t xml:space="preserve">творба речи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646"/>
              </w:numPr>
              <w:tabs>
                <w:tab w:val="left" w:pos="158"/>
              </w:tabs>
              <w:spacing w:line="160" w:lineRule="exact"/>
              <w:ind w:hanging="99"/>
              <w:rPr>
                <w:b/>
                <w:sz w:val="14"/>
              </w:rPr>
            </w:pPr>
            <w:r>
              <w:rPr>
                <w:color w:val="231F20"/>
                <w:sz w:val="14"/>
              </w:rPr>
              <w:t xml:space="preserve">синтакса </w:t>
            </w:r>
            <w:r>
              <w:rPr>
                <w:b/>
                <w:color w:val="231F20"/>
                <w:sz w:val="14"/>
              </w:rPr>
              <w:t>(9</w:t>
            </w:r>
            <w:r>
              <w:rPr>
                <w:b/>
                <w:color w:val="231F20"/>
                <w:spacing w:val="-2"/>
                <w:sz w:val="14"/>
              </w:rPr>
              <w:t xml:space="preserve"> </w:t>
            </w:r>
            <w:r>
              <w:rPr>
                <w:b/>
                <w:color w:val="231F20"/>
                <w:sz w:val="14"/>
              </w:rPr>
              <w:t>часова)</w:t>
            </w:r>
          </w:p>
          <w:p w:rsidR="00041039" w:rsidRDefault="001B26CB">
            <w:pPr>
              <w:pStyle w:val="TableParagraph"/>
              <w:numPr>
                <w:ilvl w:val="0"/>
                <w:numId w:val="646"/>
              </w:numPr>
              <w:tabs>
                <w:tab w:val="left" w:pos="158"/>
              </w:tabs>
              <w:spacing w:line="160" w:lineRule="exact"/>
              <w:ind w:hanging="99"/>
              <w:rPr>
                <w:sz w:val="14"/>
              </w:rPr>
            </w:pPr>
            <w:r>
              <w:rPr>
                <w:color w:val="231F20"/>
                <w:sz w:val="14"/>
              </w:rPr>
              <w:t xml:space="preserve">правопис </w:t>
            </w:r>
            <w:r>
              <w:rPr>
                <w:b/>
                <w:color w:val="231F20"/>
                <w:sz w:val="14"/>
              </w:rPr>
              <w:t>(5</w:t>
            </w:r>
            <w:r>
              <w:rPr>
                <w:b/>
                <w:color w:val="231F20"/>
                <w:spacing w:val="-2"/>
                <w:sz w:val="14"/>
              </w:rPr>
              <w:t xml:space="preserve"> </w:t>
            </w:r>
            <w:r>
              <w:rPr>
                <w:b/>
                <w:color w:val="231F20"/>
                <w:sz w:val="14"/>
              </w:rPr>
              <w:t>часова)</w:t>
            </w:r>
            <w:r>
              <w:rPr>
                <w:color w:val="231F20"/>
                <w:sz w:val="14"/>
              </w:rPr>
              <w:t>,</w:t>
            </w:r>
          </w:p>
          <w:p w:rsidR="00041039" w:rsidRDefault="001B26CB">
            <w:pPr>
              <w:pStyle w:val="TableParagraph"/>
              <w:numPr>
                <w:ilvl w:val="0"/>
                <w:numId w:val="646"/>
              </w:numPr>
              <w:tabs>
                <w:tab w:val="left" w:pos="158"/>
              </w:tabs>
              <w:spacing w:line="160" w:lineRule="exact"/>
              <w:ind w:hanging="99"/>
              <w:rPr>
                <w:b/>
                <w:sz w:val="14"/>
              </w:rPr>
            </w:pPr>
            <w:r>
              <w:rPr>
                <w:color w:val="231F20"/>
                <w:sz w:val="14"/>
              </w:rPr>
              <w:t xml:space="preserve">култура изражавања </w:t>
            </w:r>
            <w:r>
              <w:rPr>
                <w:b/>
                <w:color w:val="231F20"/>
                <w:sz w:val="14"/>
              </w:rPr>
              <w:t>(15</w:t>
            </w:r>
            <w:r>
              <w:rPr>
                <w:b/>
                <w:color w:val="231F20"/>
                <w:spacing w:val="-10"/>
                <w:sz w:val="14"/>
              </w:rPr>
              <w:t xml:space="preserve"> </w:t>
            </w:r>
            <w:r>
              <w:rPr>
                <w:b/>
                <w:color w:val="231F20"/>
                <w:sz w:val="14"/>
              </w:rPr>
              <w:t>часова)</w:t>
            </w:r>
          </w:p>
          <w:p w:rsidR="00041039" w:rsidRDefault="001B26CB">
            <w:pPr>
              <w:pStyle w:val="TableParagraph"/>
              <w:numPr>
                <w:ilvl w:val="0"/>
                <w:numId w:val="646"/>
              </w:numPr>
              <w:tabs>
                <w:tab w:val="left" w:pos="158"/>
              </w:tabs>
              <w:spacing w:line="166" w:lineRule="exact"/>
              <w:ind w:hanging="99"/>
              <w:rPr>
                <w:b/>
                <w:sz w:val="14"/>
              </w:rPr>
            </w:pPr>
            <w:r>
              <w:rPr>
                <w:color w:val="231F20"/>
                <w:sz w:val="14"/>
              </w:rPr>
              <w:t xml:space="preserve">књижевност </w:t>
            </w:r>
            <w:r>
              <w:rPr>
                <w:b/>
                <w:color w:val="231F20"/>
                <w:sz w:val="14"/>
              </w:rPr>
              <w:t>(15</w:t>
            </w:r>
            <w:r>
              <w:rPr>
                <w:b/>
                <w:color w:val="231F20"/>
                <w:spacing w:val="-2"/>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ind w:left="58" w:right="32"/>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нематерњијезик </w:t>
            </w:r>
            <w:r>
              <w:rPr>
                <w:color w:val="231F20"/>
                <w:sz w:val="14"/>
              </w:rPr>
              <w:t>у прет­ ходним разредима.</w:t>
            </w:r>
          </w:p>
          <w:p w:rsidR="00041039" w:rsidRDefault="001B26CB">
            <w:pPr>
              <w:pStyle w:val="TableParagraph"/>
              <w:spacing w:line="237" w:lineRule="auto"/>
              <w:ind w:left="58" w:right="133"/>
              <w:rPr>
                <w:sz w:val="14"/>
              </w:rPr>
            </w:pPr>
            <w:r>
              <w:rPr>
                <w:color w:val="231F20"/>
                <w:sz w:val="14"/>
              </w:rPr>
              <w:t xml:space="preserve">Настава </w:t>
            </w:r>
            <w:r>
              <w:rPr>
                <w:i/>
                <w:color w:val="231F20"/>
                <w:sz w:val="14"/>
              </w:rPr>
              <w:t xml:space="preserve">српског као нематерњег језика </w:t>
            </w:r>
            <w:r>
              <w:rPr>
                <w:color w:val="231F20"/>
                <w:sz w:val="14"/>
              </w:rPr>
              <w:t xml:space="preserve">не може бити једнообраз­ на и у њој се морају уважавати различите могућности и потребе ученика различитих </w:t>
            </w:r>
            <w:r>
              <w:rPr>
                <w:color w:val="231F20"/>
                <w:sz w:val="14"/>
              </w:rPr>
              <w:t>средина и различитих матерњих језика. При том се у наставу наглашено укљу­</w:t>
            </w:r>
          </w:p>
          <w:p w:rsidR="00041039" w:rsidRDefault="001B26CB">
            <w:pPr>
              <w:pStyle w:val="TableParagraph"/>
              <w:ind w:left="58" w:right="84"/>
              <w:rPr>
                <w:sz w:val="14"/>
              </w:rPr>
            </w:pPr>
            <w:r>
              <w:rPr>
                <w:color w:val="231F20"/>
                <w:sz w:val="14"/>
              </w:rPr>
              <w:t>чује принцип индивидуализације и спровођење диференцираног рада на различитим нивоима ученичког знања.</w:t>
            </w:r>
          </w:p>
          <w:p w:rsidR="00041039" w:rsidRDefault="001B26CB">
            <w:pPr>
              <w:pStyle w:val="TableParagraph"/>
              <w:spacing w:line="237" w:lineRule="auto"/>
              <w:ind w:left="58" w:right="43"/>
              <w:rPr>
                <w:sz w:val="14"/>
              </w:rPr>
            </w:pPr>
            <w:r>
              <w:rPr>
                <w:color w:val="231F20"/>
                <w:sz w:val="14"/>
              </w:rPr>
              <w:t>С обзиром на то да је основни циљ наставе овога предмета продуктив­ но овладавање српским језиком и оспособљавање ученика за комуни­ кацију у свакодневним</w:t>
            </w:r>
            <w:r>
              <w:rPr>
                <w:color w:val="231F20"/>
                <w:spacing w:val="-22"/>
                <w:sz w:val="14"/>
              </w:rPr>
              <w:t xml:space="preserve"> </w:t>
            </w:r>
            <w:r>
              <w:rPr>
                <w:color w:val="231F20"/>
                <w:sz w:val="14"/>
              </w:rPr>
              <w:t>ситуацијама, организација ове наставе треба да се базира на принципима комуни­ кативног приступа у ус</w:t>
            </w:r>
            <w:r>
              <w:rPr>
                <w:color w:val="231F20"/>
                <w:sz w:val="14"/>
              </w:rPr>
              <w:t>вајању и учењу</w:t>
            </w:r>
            <w:r>
              <w:rPr>
                <w:color w:val="231F20"/>
                <w:spacing w:val="-1"/>
                <w:sz w:val="14"/>
              </w:rPr>
              <w:t xml:space="preserve"> </w:t>
            </w:r>
            <w:r>
              <w:rPr>
                <w:color w:val="231F20"/>
                <w:sz w:val="14"/>
              </w:rPr>
              <w:t>језика.</w:t>
            </w:r>
          </w:p>
          <w:p w:rsidR="00041039" w:rsidRDefault="001B26CB">
            <w:pPr>
              <w:pStyle w:val="TableParagraph"/>
              <w:spacing w:before="2" w:line="237" w:lineRule="auto"/>
              <w:ind w:left="58" w:right="53"/>
              <w:rPr>
                <w:sz w:val="14"/>
              </w:rPr>
            </w:pPr>
            <w:r>
              <w:rPr>
                <w:color w:val="231F20"/>
                <w:sz w:val="14"/>
              </w:rPr>
              <w:t>Наставу граматике треба организо­ вати као средство учења употребе језика, без нефункционалног учења граматичких правила и парадигми. Граматичке елементе треба презен­ товати и увежбавати у контексту, у реалним говорним ситуацијама и</w:t>
            </w:r>
            <w:r>
              <w:rPr>
                <w:color w:val="231F20"/>
                <w:sz w:val="14"/>
              </w:rPr>
              <w:t xml:space="preserve"> у књижевним и другим текстовима. 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 ким тако и садржајима из културе.</w:t>
            </w:r>
          </w:p>
        </w:tc>
      </w:tr>
      <w:tr w:rsidR="00041039">
        <w:trPr>
          <w:trHeight w:val="1800"/>
        </w:trPr>
        <w:tc>
          <w:tcPr>
            <w:tcW w:w="1304" w:type="dxa"/>
          </w:tcPr>
          <w:p w:rsidR="00041039" w:rsidRDefault="001B26CB">
            <w:pPr>
              <w:pStyle w:val="TableParagraph"/>
              <w:spacing w:before="20"/>
              <w:ind w:left="56"/>
              <w:rPr>
                <w:sz w:val="14"/>
              </w:rPr>
            </w:pPr>
            <w:r>
              <w:rPr>
                <w:color w:val="231F20"/>
                <w:sz w:val="14"/>
              </w:rPr>
              <w:t>Морфологија</w:t>
            </w:r>
          </w:p>
        </w:tc>
        <w:tc>
          <w:tcPr>
            <w:tcW w:w="1587" w:type="dxa"/>
          </w:tcPr>
          <w:p w:rsidR="00041039" w:rsidRDefault="001B26CB">
            <w:pPr>
              <w:pStyle w:val="TableParagraph"/>
              <w:numPr>
                <w:ilvl w:val="0"/>
                <w:numId w:val="645"/>
              </w:numPr>
              <w:tabs>
                <w:tab w:val="left" w:pos="157"/>
              </w:tabs>
              <w:spacing w:before="10"/>
              <w:ind w:right="105"/>
              <w:rPr>
                <w:sz w:val="14"/>
              </w:rPr>
            </w:pPr>
            <w:r>
              <w:rPr>
                <w:color w:val="231F20"/>
                <w:sz w:val="14"/>
              </w:rPr>
              <w:t>Упознавање ученика са правилном употре­ бом и оспособљавање за правилну употребу</w:t>
            </w:r>
            <w:r>
              <w:rPr>
                <w:color w:val="231F20"/>
                <w:sz w:val="14"/>
              </w:rPr>
              <w:t xml:space="preserve"> облика</w:t>
            </w:r>
            <w:r>
              <w:rPr>
                <w:color w:val="231F20"/>
                <w:spacing w:val="-1"/>
                <w:sz w:val="14"/>
              </w:rPr>
              <w:t xml:space="preserve"> </w:t>
            </w:r>
            <w:r>
              <w:rPr>
                <w:color w:val="231F20"/>
                <w:sz w:val="14"/>
              </w:rPr>
              <w:t>речи.</w:t>
            </w:r>
          </w:p>
        </w:tc>
        <w:tc>
          <w:tcPr>
            <w:tcW w:w="2551" w:type="dxa"/>
          </w:tcPr>
          <w:p w:rsidR="00041039" w:rsidRDefault="001B26CB">
            <w:pPr>
              <w:pStyle w:val="TableParagraph"/>
              <w:numPr>
                <w:ilvl w:val="0"/>
                <w:numId w:val="644"/>
              </w:numPr>
              <w:tabs>
                <w:tab w:val="left" w:pos="157"/>
              </w:tabs>
              <w:spacing w:before="10"/>
              <w:ind w:right="225" w:hanging="99"/>
              <w:rPr>
                <w:sz w:val="14"/>
              </w:rPr>
            </w:pPr>
            <w:r>
              <w:rPr>
                <w:color w:val="231F20"/>
                <w:sz w:val="14"/>
              </w:rPr>
              <w:t>разликује врсте речи, променљиве</w:t>
            </w:r>
            <w:r>
              <w:rPr>
                <w:color w:val="231F20"/>
                <w:spacing w:val="-16"/>
                <w:sz w:val="14"/>
              </w:rPr>
              <w:t xml:space="preserve"> </w:t>
            </w:r>
            <w:r>
              <w:rPr>
                <w:color w:val="231F20"/>
                <w:sz w:val="14"/>
              </w:rPr>
              <w:t>и непроменљиве</w:t>
            </w:r>
            <w:r>
              <w:rPr>
                <w:color w:val="231F20"/>
                <w:spacing w:val="-1"/>
                <w:sz w:val="14"/>
              </w:rPr>
              <w:t xml:space="preserve"> </w:t>
            </w:r>
            <w:r>
              <w:rPr>
                <w:color w:val="231F20"/>
                <w:sz w:val="14"/>
              </w:rPr>
              <w:t>речи;</w:t>
            </w:r>
          </w:p>
          <w:p w:rsidR="00041039" w:rsidRDefault="001B26CB">
            <w:pPr>
              <w:pStyle w:val="TableParagraph"/>
              <w:numPr>
                <w:ilvl w:val="0"/>
                <w:numId w:val="644"/>
              </w:numPr>
              <w:tabs>
                <w:tab w:val="left" w:pos="157"/>
              </w:tabs>
              <w:spacing w:line="160" w:lineRule="exact"/>
              <w:ind w:right="188" w:hanging="99"/>
              <w:rPr>
                <w:sz w:val="14"/>
              </w:rPr>
            </w:pPr>
            <w:r>
              <w:rPr>
                <w:color w:val="231F20"/>
                <w:sz w:val="14"/>
              </w:rPr>
              <w:t>правилно употребљава облике</w:t>
            </w:r>
            <w:r>
              <w:rPr>
                <w:color w:val="231F20"/>
                <w:spacing w:val="-22"/>
                <w:sz w:val="14"/>
              </w:rPr>
              <w:t xml:space="preserve"> </w:t>
            </w:r>
            <w:r>
              <w:rPr>
                <w:color w:val="231F20"/>
                <w:sz w:val="14"/>
              </w:rPr>
              <w:t>имен­ ских и глаголских</w:t>
            </w:r>
            <w:r>
              <w:rPr>
                <w:color w:val="231F20"/>
                <w:spacing w:val="-5"/>
                <w:sz w:val="14"/>
              </w:rPr>
              <w:t xml:space="preserve"> </w:t>
            </w:r>
            <w:r>
              <w:rPr>
                <w:color w:val="231F20"/>
                <w:sz w:val="14"/>
              </w:rPr>
              <w:t>речи;</w:t>
            </w:r>
          </w:p>
          <w:p w:rsidR="00041039" w:rsidRDefault="001B26CB">
            <w:pPr>
              <w:pStyle w:val="TableParagraph"/>
              <w:numPr>
                <w:ilvl w:val="0"/>
                <w:numId w:val="644"/>
              </w:numPr>
              <w:tabs>
                <w:tab w:val="left" w:pos="157"/>
              </w:tabs>
              <w:spacing w:line="160" w:lineRule="exact"/>
              <w:ind w:right="379" w:hanging="99"/>
              <w:rPr>
                <w:sz w:val="14"/>
              </w:rPr>
            </w:pPr>
            <w:r>
              <w:rPr>
                <w:color w:val="231F20"/>
                <w:sz w:val="14"/>
              </w:rPr>
              <w:t>правилно употребљава</w:t>
            </w:r>
            <w:r>
              <w:rPr>
                <w:color w:val="231F20"/>
                <w:spacing w:val="-10"/>
                <w:sz w:val="14"/>
              </w:rPr>
              <w:t xml:space="preserve"> </w:t>
            </w:r>
            <w:r>
              <w:rPr>
                <w:color w:val="231F20"/>
                <w:sz w:val="14"/>
              </w:rPr>
              <w:t>различите врсте непроменљивих</w:t>
            </w:r>
            <w:r>
              <w:rPr>
                <w:color w:val="231F20"/>
                <w:spacing w:val="-4"/>
                <w:sz w:val="14"/>
              </w:rPr>
              <w:t xml:space="preserve"> </w:t>
            </w:r>
            <w:r>
              <w:rPr>
                <w:color w:val="231F20"/>
                <w:sz w:val="14"/>
              </w:rPr>
              <w:t>речи;</w:t>
            </w:r>
          </w:p>
          <w:p w:rsidR="00041039" w:rsidRDefault="001B26CB">
            <w:pPr>
              <w:pStyle w:val="TableParagraph"/>
              <w:numPr>
                <w:ilvl w:val="0"/>
                <w:numId w:val="644"/>
              </w:numPr>
              <w:tabs>
                <w:tab w:val="left" w:pos="157"/>
              </w:tabs>
              <w:spacing w:line="160" w:lineRule="exact"/>
              <w:ind w:right="76" w:hanging="99"/>
              <w:rPr>
                <w:sz w:val="14"/>
              </w:rPr>
            </w:pPr>
            <w:r>
              <w:rPr>
                <w:color w:val="231F20"/>
                <w:sz w:val="14"/>
              </w:rPr>
              <w:t>разликује и правилно употребљава</w:t>
            </w:r>
            <w:r>
              <w:rPr>
                <w:color w:val="231F20"/>
                <w:spacing w:val="-14"/>
                <w:sz w:val="14"/>
              </w:rPr>
              <w:t xml:space="preserve"> </w:t>
            </w:r>
            <w:r>
              <w:rPr>
                <w:color w:val="231F20"/>
                <w:sz w:val="14"/>
              </w:rPr>
              <w:t xml:space="preserve">све </w:t>
            </w:r>
            <w:r>
              <w:rPr>
                <w:color w:val="231F20"/>
                <w:spacing w:val="-3"/>
                <w:sz w:val="14"/>
              </w:rPr>
              <w:t xml:space="preserve">глаголске </w:t>
            </w:r>
            <w:r>
              <w:rPr>
                <w:color w:val="231F20"/>
                <w:sz w:val="14"/>
              </w:rPr>
              <w:t>облике са значењем радње која се десила у</w:t>
            </w:r>
            <w:r>
              <w:rPr>
                <w:color w:val="231F20"/>
                <w:spacing w:val="-2"/>
                <w:sz w:val="14"/>
              </w:rPr>
              <w:t xml:space="preserve"> </w:t>
            </w:r>
            <w:r>
              <w:rPr>
                <w:color w:val="231F20"/>
                <w:sz w:val="14"/>
              </w:rPr>
              <w:t>прошлости;</w:t>
            </w:r>
          </w:p>
          <w:p w:rsidR="00041039" w:rsidRDefault="001B26CB">
            <w:pPr>
              <w:pStyle w:val="TableParagraph"/>
              <w:numPr>
                <w:ilvl w:val="0"/>
                <w:numId w:val="644"/>
              </w:numPr>
              <w:tabs>
                <w:tab w:val="left" w:pos="157"/>
              </w:tabs>
              <w:spacing w:line="160" w:lineRule="exact"/>
              <w:ind w:right="301" w:hanging="99"/>
              <w:rPr>
                <w:sz w:val="14"/>
              </w:rPr>
            </w:pPr>
            <w:r>
              <w:rPr>
                <w:color w:val="231F20"/>
                <w:sz w:val="14"/>
              </w:rPr>
              <w:t>разликује и правилно</w:t>
            </w:r>
            <w:r>
              <w:rPr>
                <w:color w:val="231F20"/>
                <w:spacing w:val="-13"/>
                <w:sz w:val="14"/>
              </w:rPr>
              <w:t xml:space="preserve"> </w:t>
            </w:r>
            <w:r>
              <w:rPr>
                <w:color w:val="231F20"/>
                <w:sz w:val="14"/>
              </w:rPr>
              <w:t xml:space="preserve">употребљава </w:t>
            </w:r>
            <w:r>
              <w:rPr>
                <w:color w:val="231F20"/>
                <w:spacing w:val="-3"/>
                <w:sz w:val="14"/>
              </w:rPr>
              <w:t>глаголске</w:t>
            </w:r>
            <w:r>
              <w:rPr>
                <w:color w:val="231F20"/>
                <w:spacing w:val="-1"/>
                <w:sz w:val="14"/>
              </w:rPr>
              <w:t xml:space="preserve"> </w:t>
            </w:r>
            <w:r>
              <w:rPr>
                <w:color w:val="231F20"/>
                <w:sz w:val="14"/>
              </w:rPr>
              <w:t>прилоге;</w:t>
            </w:r>
          </w:p>
        </w:tc>
        <w:tc>
          <w:tcPr>
            <w:tcW w:w="2834" w:type="dxa"/>
          </w:tcPr>
          <w:p w:rsidR="00041039" w:rsidRDefault="001B26CB">
            <w:pPr>
              <w:pStyle w:val="TableParagraph"/>
              <w:numPr>
                <w:ilvl w:val="0"/>
                <w:numId w:val="643"/>
              </w:numPr>
              <w:tabs>
                <w:tab w:val="left" w:pos="157"/>
              </w:tabs>
              <w:spacing w:before="10" w:line="166" w:lineRule="exact"/>
              <w:ind w:hanging="99"/>
              <w:rPr>
                <w:sz w:val="14"/>
              </w:rPr>
            </w:pPr>
            <w:r>
              <w:rPr>
                <w:color w:val="231F20"/>
                <w:spacing w:val="-3"/>
                <w:sz w:val="14"/>
              </w:rPr>
              <w:t>Имперфекат.</w:t>
            </w:r>
          </w:p>
          <w:p w:rsidR="00041039" w:rsidRDefault="001B26CB">
            <w:pPr>
              <w:pStyle w:val="TableParagraph"/>
              <w:numPr>
                <w:ilvl w:val="0"/>
                <w:numId w:val="643"/>
              </w:numPr>
              <w:tabs>
                <w:tab w:val="left" w:pos="157"/>
              </w:tabs>
              <w:spacing w:line="160" w:lineRule="exact"/>
              <w:ind w:hanging="99"/>
              <w:rPr>
                <w:sz w:val="14"/>
              </w:rPr>
            </w:pPr>
            <w:r>
              <w:rPr>
                <w:color w:val="231F20"/>
                <w:sz w:val="14"/>
              </w:rPr>
              <w:t>Плусквамперфекат.</w:t>
            </w:r>
          </w:p>
          <w:p w:rsidR="00041039" w:rsidRDefault="001B26CB">
            <w:pPr>
              <w:pStyle w:val="TableParagraph"/>
              <w:numPr>
                <w:ilvl w:val="0"/>
                <w:numId w:val="643"/>
              </w:numPr>
              <w:tabs>
                <w:tab w:val="left" w:pos="157"/>
              </w:tabs>
              <w:spacing w:line="160" w:lineRule="exact"/>
              <w:ind w:hanging="99"/>
              <w:rPr>
                <w:sz w:val="14"/>
              </w:rPr>
            </w:pPr>
            <w:r>
              <w:rPr>
                <w:color w:val="231F20"/>
                <w:spacing w:val="-3"/>
                <w:sz w:val="14"/>
              </w:rPr>
              <w:t xml:space="preserve">Глаголски </w:t>
            </w:r>
            <w:r>
              <w:rPr>
                <w:color w:val="231F20"/>
                <w:sz w:val="14"/>
              </w:rPr>
              <w:t>прилог</w:t>
            </w:r>
            <w:r>
              <w:rPr>
                <w:color w:val="231F20"/>
                <w:sz w:val="14"/>
              </w:rPr>
              <w:t xml:space="preserve"> </w:t>
            </w:r>
            <w:r>
              <w:rPr>
                <w:color w:val="231F20"/>
                <w:sz w:val="14"/>
              </w:rPr>
              <w:t>садашњи.</w:t>
            </w:r>
          </w:p>
          <w:p w:rsidR="00041039" w:rsidRDefault="001B26CB">
            <w:pPr>
              <w:pStyle w:val="TableParagraph"/>
              <w:numPr>
                <w:ilvl w:val="0"/>
                <w:numId w:val="643"/>
              </w:numPr>
              <w:tabs>
                <w:tab w:val="left" w:pos="157"/>
              </w:tabs>
              <w:spacing w:line="160" w:lineRule="exact"/>
              <w:ind w:hanging="99"/>
              <w:rPr>
                <w:sz w:val="14"/>
              </w:rPr>
            </w:pPr>
            <w:r>
              <w:rPr>
                <w:color w:val="231F20"/>
                <w:spacing w:val="-3"/>
                <w:sz w:val="14"/>
              </w:rPr>
              <w:t xml:space="preserve">Глаголски </w:t>
            </w:r>
            <w:r>
              <w:rPr>
                <w:color w:val="231F20"/>
                <w:sz w:val="14"/>
              </w:rPr>
              <w:t>прилог прошли.</w:t>
            </w:r>
          </w:p>
          <w:p w:rsidR="00041039" w:rsidRDefault="001B26CB">
            <w:pPr>
              <w:pStyle w:val="TableParagraph"/>
              <w:numPr>
                <w:ilvl w:val="0"/>
                <w:numId w:val="643"/>
              </w:numPr>
              <w:tabs>
                <w:tab w:val="left" w:pos="157"/>
              </w:tabs>
              <w:spacing w:line="166" w:lineRule="exact"/>
              <w:ind w:hanging="99"/>
              <w:rPr>
                <w:sz w:val="14"/>
              </w:rPr>
            </w:pPr>
            <w:r>
              <w:rPr>
                <w:color w:val="231F20"/>
                <w:sz w:val="14"/>
              </w:rPr>
              <w:t>Врсте речи:</w:t>
            </w:r>
            <w:r>
              <w:rPr>
                <w:color w:val="231F20"/>
                <w:spacing w:val="-1"/>
                <w:sz w:val="14"/>
              </w:rPr>
              <w:t xml:space="preserve"> </w:t>
            </w:r>
            <w:r>
              <w:rPr>
                <w:color w:val="231F20"/>
                <w:sz w:val="14"/>
              </w:rPr>
              <w:t>систематизација.</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20"/>
              <w:ind w:left="56"/>
              <w:rPr>
                <w:sz w:val="14"/>
              </w:rPr>
            </w:pPr>
            <w:r>
              <w:rPr>
                <w:color w:val="231F20"/>
                <w:sz w:val="14"/>
              </w:rPr>
              <w:t>Творба речи</w:t>
            </w:r>
          </w:p>
        </w:tc>
        <w:tc>
          <w:tcPr>
            <w:tcW w:w="1587" w:type="dxa"/>
          </w:tcPr>
          <w:p w:rsidR="00041039" w:rsidRDefault="001B26CB">
            <w:pPr>
              <w:pStyle w:val="TableParagraph"/>
              <w:numPr>
                <w:ilvl w:val="0"/>
                <w:numId w:val="642"/>
              </w:numPr>
              <w:tabs>
                <w:tab w:val="left" w:pos="157"/>
              </w:tabs>
              <w:spacing w:before="11" w:line="237" w:lineRule="auto"/>
              <w:ind w:right="161"/>
              <w:rPr>
                <w:sz w:val="14"/>
              </w:rPr>
            </w:pPr>
            <w:r>
              <w:rPr>
                <w:color w:val="231F20"/>
                <w:sz w:val="14"/>
              </w:rPr>
              <w:t>Оспособљавање ученика за примену правила творбе</w:t>
            </w:r>
            <w:r>
              <w:rPr>
                <w:color w:val="231F20"/>
                <w:spacing w:val="-13"/>
                <w:sz w:val="14"/>
              </w:rPr>
              <w:t xml:space="preserve"> </w:t>
            </w:r>
            <w:r>
              <w:rPr>
                <w:color w:val="231F20"/>
                <w:sz w:val="14"/>
              </w:rPr>
              <w:t>речи.</w:t>
            </w:r>
          </w:p>
        </w:tc>
        <w:tc>
          <w:tcPr>
            <w:tcW w:w="2551" w:type="dxa"/>
          </w:tcPr>
          <w:p w:rsidR="00041039" w:rsidRDefault="001B26CB">
            <w:pPr>
              <w:pStyle w:val="TableParagraph"/>
              <w:numPr>
                <w:ilvl w:val="0"/>
                <w:numId w:val="641"/>
              </w:numPr>
              <w:tabs>
                <w:tab w:val="left" w:pos="157"/>
              </w:tabs>
              <w:spacing w:before="10"/>
              <w:ind w:right="85" w:hanging="99"/>
              <w:rPr>
                <w:sz w:val="14"/>
              </w:rPr>
            </w:pPr>
            <w:r>
              <w:rPr>
                <w:color w:val="231F20"/>
                <w:sz w:val="14"/>
              </w:rPr>
              <w:t>правилно гради речи префиксацијом</w:t>
            </w:r>
            <w:r>
              <w:rPr>
                <w:color w:val="231F20"/>
                <w:spacing w:val="-21"/>
                <w:sz w:val="14"/>
              </w:rPr>
              <w:t xml:space="preserve"> </w:t>
            </w:r>
            <w:r>
              <w:rPr>
                <w:color w:val="231F20"/>
                <w:sz w:val="14"/>
              </w:rPr>
              <w:t>и суфиксацијом;</w:t>
            </w:r>
          </w:p>
        </w:tc>
        <w:tc>
          <w:tcPr>
            <w:tcW w:w="2834" w:type="dxa"/>
          </w:tcPr>
          <w:p w:rsidR="00041039" w:rsidRDefault="001B26CB">
            <w:pPr>
              <w:pStyle w:val="TableParagraph"/>
              <w:numPr>
                <w:ilvl w:val="0"/>
                <w:numId w:val="640"/>
              </w:numPr>
              <w:tabs>
                <w:tab w:val="left" w:pos="158"/>
              </w:tabs>
              <w:spacing w:before="10"/>
              <w:ind w:right="67"/>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0"/>
              <w:ind w:left="57"/>
              <w:rPr>
                <w:sz w:val="14"/>
              </w:rPr>
            </w:pPr>
            <w:r>
              <w:rPr>
                <w:color w:val="231F20"/>
                <w:sz w:val="14"/>
              </w:rPr>
              <w:t>Синтакса</w:t>
            </w:r>
          </w:p>
        </w:tc>
        <w:tc>
          <w:tcPr>
            <w:tcW w:w="1587" w:type="dxa"/>
          </w:tcPr>
          <w:p w:rsidR="00041039" w:rsidRDefault="001B26CB">
            <w:pPr>
              <w:pStyle w:val="TableParagraph"/>
              <w:numPr>
                <w:ilvl w:val="0"/>
                <w:numId w:val="639"/>
              </w:numPr>
              <w:tabs>
                <w:tab w:val="left" w:pos="157"/>
              </w:tabs>
              <w:spacing w:before="10"/>
              <w:ind w:right="188" w:hanging="99"/>
              <w:rPr>
                <w:sz w:val="14"/>
              </w:rPr>
            </w:pPr>
            <w:r>
              <w:rPr>
                <w:color w:val="231F20"/>
                <w:sz w:val="14"/>
              </w:rPr>
              <w:t>Оспособљавање ученика за</w:t>
            </w:r>
            <w:r>
              <w:rPr>
                <w:color w:val="231F20"/>
                <w:spacing w:val="-12"/>
                <w:sz w:val="14"/>
              </w:rPr>
              <w:t xml:space="preserve"> </w:t>
            </w:r>
            <w:r>
              <w:rPr>
                <w:color w:val="231F20"/>
                <w:sz w:val="14"/>
              </w:rPr>
              <w:t>правилно грађење синтагми и реченица.</w:t>
            </w:r>
          </w:p>
        </w:tc>
        <w:tc>
          <w:tcPr>
            <w:tcW w:w="2551" w:type="dxa"/>
          </w:tcPr>
          <w:p w:rsidR="00041039" w:rsidRDefault="001B26CB">
            <w:pPr>
              <w:pStyle w:val="TableParagraph"/>
              <w:numPr>
                <w:ilvl w:val="0"/>
                <w:numId w:val="638"/>
              </w:numPr>
              <w:tabs>
                <w:tab w:val="left" w:pos="157"/>
              </w:tabs>
              <w:spacing w:before="10"/>
              <w:ind w:right="249" w:hanging="99"/>
              <w:rPr>
                <w:sz w:val="14"/>
              </w:rPr>
            </w:pPr>
            <w:r>
              <w:rPr>
                <w:color w:val="231F20"/>
                <w:sz w:val="14"/>
              </w:rPr>
              <w:t>твори просту реченицу са зависним члановима;</w:t>
            </w:r>
          </w:p>
          <w:p w:rsidR="00041039" w:rsidRDefault="001B26CB">
            <w:pPr>
              <w:pStyle w:val="TableParagraph"/>
              <w:numPr>
                <w:ilvl w:val="0"/>
                <w:numId w:val="638"/>
              </w:numPr>
              <w:tabs>
                <w:tab w:val="left" w:pos="157"/>
              </w:tabs>
              <w:spacing w:line="160" w:lineRule="exact"/>
              <w:ind w:right="409" w:hanging="99"/>
              <w:rPr>
                <w:sz w:val="14"/>
              </w:rPr>
            </w:pPr>
            <w:r>
              <w:rPr>
                <w:color w:val="231F20"/>
                <w:sz w:val="14"/>
              </w:rPr>
              <w:t>препознаје и саставља независно сложене</w:t>
            </w:r>
            <w:r>
              <w:rPr>
                <w:color w:val="231F20"/>
                <w:spacing w:val="-1"/>
                <w:sz w:val="14"/>
              </w:rPr>
              <w:t xml:space="preserve"> </w:t>
            </w:r>
            <w:r>
              <w:rPr>
                <w:color w:val="231F20"/>
                <w:sz w:val="14"/>
              </w:rPr>
              <w:t>реченице;</w:t>
            </w:r>
          </w:p>
          <w:p w:rsidR="00041039" w:rsidRDefault="001B26CB">
            <w:pPr>
              <w:pStyle w:val="TableParagraph"/>
              <w:numPr>
                <w:ilvl w:val="0"/>
                <w:numId w:val="638"/>
              </w:numPr>
              <w:tabs>
                <w:tab w:val="left" w:pos="157"/>
              </w:tabs>
              <w:spacing w:line="160" w:lineRule="exact"/>
              <w:ind w:right="89" w:hanging="99"/>
              <w:rPr>
                <w:sz w:val="14"/>
              </w:rPr>
            </w:pPr>
            <w:r>
              <w:rPr>
                <w:color w:val="231F20"/>
                <w:sz w:val="14"/>
              </w:rPr>
              <w:t>препознаје и саставља врсте односних реченице;</w:t>
            </w:r>
          </w:p>
          <w:p w:rsidR="00041039" w:rsidRDefault="001B26CB">
            <w:pPr>
              <w:pStyle w:val="TableParagraph"/>
              <w:numPr>
                <w:ilvl w:val="0"/>
                <w:numId w:val="638"/>
              </w:numPr>
              <w:tabs>
                <w:tab w:val="left" w:pos="157"/>
              </w:tabs>
              <w:spacing w:line="160" w:lineRule="exact"/>
              <w:ind w:right="259" w:hanging="99"/>
              <w:rPr>
                <w:sz w:val="14"/>
              </w:rPr>
            </w:pPr>
            <w:r>
              <w:rPr>
                <w:color w:val="231F20"/>
                <w:sz w:val="14"/>
              </w:rPr>
              <w:t>употребљава реченице са</w:t>
            </w:r>
            <w:r>
              <w:rPr>
                <w:color w:val="231F20"/>
                <w:spacing w:val="-13"/>
                <w:sz w:val="14"/>
              </w:rPr>
              <w:t xml:space="preserve"> </w:t>
            </w:r>
            <w:r>
              <w:rPr>
                <w:color w:val="231F20"/>
                <w:sz w:val="14"/>
              </w:rPr>
              <w:t>логичким субјектима;</w:t>
            </w:r>
          </w:p>
          <w:p w:rsidR="00041039" w:rsidRDefault="001B26CB">
            <w:pPr>
              <w:pStyle w:val="TableParagraph"/>
              <w:numPr>
                <w:ilvl w:val="0"/>
                <w:numId w:val="638"/>
              </w:numPr>
              <w:tabs>
                <w:tab w:val="left" w:pos="157"/>
              </w:tabs>
              <w:spacing w:line="160" w:lineRule="exact"/>
              <w:ind w:right="90" w:hanging="99"/>
              <w:rPr>
                <w:sz w:val="14"/>
              </w:rPr>
            </w:pPr>
            <w:r>
              <w:rPr>
                <w:color w:val="231F20"/>
                <w:sz w:val="14"/>
              </w:rPr>
              <w:t>разликује и саставља активне и пасив­ не</w:t>
            </w:r>
            <w:r>
              <w:rPr>
                <w:color w:val="231F20"/>
                <w:spacing w:val="-2"/>
                <w:sz w:val="14"/>
              </w:rPr>
              <w:t xml:space="preserve"> </w:t>
            </w:r>
            <w:r>
              <w:rPr>
                <w:color w:val="231F20"/>
                <w:sz w:val="14"/>
              </w:rPr>
              <w:t>реченице;</w:t>
            </w:r>
          </w:p>
        </w:tc>
        <w:tc>
          <w:tcPr>
            <w:tcW w:w="2834" w:type="dxa"/>
          </w:tcPr>
          <w:p w:rsidR="00041039" w:rsidRDefault="001B26CB">
            <w:pPr>
              <w:pStyle w:val="TableParagraph"/>
              <w:numPr>
                <w:ilvl w:val="0"/>
                <w:numId w:val="637"/>
              </w:numPr>
              <w:tabs>
                <w:tab w:val="left" w:pos="158"/>
              </w:tabs>
              <w:spacing w:before="10" w:line="166" w:lineRule="exact"/>
              <w:rPr>
                <w:sz w:val="14"/>
              </w:rPr>
            </w:pPr>
            <w:r>
              <w:rPr>
                <w:color w:val="231F20"/>
                <w:sz w:val="14"/>
              </w:rPr>
              <w:t>Активне и пасивне</w:t>
            </w:r>
            <w:r>
              <w:rPr>
                <w:color w:val="231F20"/>
                <w:spacing w:val="-4"/>
                <w:sz w:val="14"/>
              </w:rPr>
              <w:t xml:space="preserve"> </w:t>
            </w:r>
            <w:r>
              <w:rPr>
                <w:color w:val="231F20"/>
                <w:sz w:val="14"/>
              </w:rPr>
              <w:t>реченице.</w:t>
            </w:r>
          </w:p>
          <w:p w:rsidR="00041039" w:rsidRDefault="001B26CB">
            <w:pPr>
              <w:pStyle w:val="TableParagraph"/>
              <w:numPr>
                <w:ilvl w:val="0"/>
                <w:numId w:val="637"/>
              </w:numPr>
              <w:tabs>
                <w:tab w:val="left" w:pos="158"/>
              </w:tabs>
              <w:spacing w:line="237" w:lineRule="auto"/>
              <w:ind w:right="725"/>
              <w:rPr>
                <w:sz w:val="14"/>
              </w:rPr>
            </w:pPr>
            <w:r>
              <w:rPr>
                <w:color w:val="231F20"/>
                <w:sz w:val="14"/>
              </w:rPr>
              <w:t>Односне реченице: атрибутске</w:t>
            </w:r>
            <w:r>
              <w:rPr>
                <w:color w:val="231F20"/>
                <w:spacing w:val="-15"/>
                <w:sz w:val="14"/>
              </w:rPr>
              <w:t xml:space="preserve"> </w:t>
            </w:r>
            <w:r>
              <w:rPr>
                <w:color w:val="231F20"/>
                <w:sz w:val="14"/>
              </w:rPr>
              <w:t>и адвербијалне</w:t>
            </w:r>
            <w:r>
              <w:rPr>
                <w:color w:val="231F20"/>
                <w:spacing w:val="-2"/>
                <w:sz w:val="14"/>
              </w:rPr>
              <w:t xml:space="preserve"> </w:t>
            </w:r>
            <w:r>
              <w:rPr>
                <w:color w:val="231F20"/>
                <w:sz w:val="14"/>
              </w:rPr>
              <w:t>реченице.</w:t>
            </w:r>
          </w:p>
          <w:p w:rsidR="00041039" w:rsidRDefault="001B26CB">
            <w:pPr>
              <w:pStyle w:val="TableParagraph"/>
              <w:numPr>
                <w:ilvl w:val="0"/>
                <w:numId w:val="637"/>
              </w:numPr>
              <w:tabs>
                <w:tab w:val="left" w:pos="158"/>
              </w:tabs>
              <w:spacing w:line="155" w:lineRule="exact"/>
              <w:rPr>
                <w:sz w:val="14"/>
              </w:rPr>
            </w:pPr>
            <w:r>
              <w:rPr>
                <w:color w:val="231F20"/>
                <w:sz w:val="14"/>
              </w:rPr>
              <w:t>Напоредни односи у сложеној</w:t>
            </w:r>
            <w:r>
              <w:rPr>
                <w:color w:val="231F20"/>
                <w:spacing w:val="-8"/>
                <w:sz w:val="14"/>
              </w:rPr>
              <w:t xml:space="preserve"> </w:t>
            </w:r>
            <w:r>
              <w:rPr>
                <w:color w:val="231F20"/>
                <w:sz w:val="14"/>
              </w:rPr>
              <w:t>реченици.</w:t>
            </w:r>
          </w:p>
          <w:p w:rsidR="00041039" w:rsidRDefault="001B26CB">
            <w:pPr>
              <w:pStyle w:val="TableParagraph"/>
              <w:numPr>
                <w:ilvl w:val="0"/>
                <w:numId w:val="637"/>
              </w:numPr>
              <w:tabs>
                <w:tab w:val="left" w:pos="158"/>
              </w:tabs>
              <w:spacing w:line="166" w:lineRule="exact"/>
              <w:rPr>
                <w:sz w:val="14"/>
              </w:rPr>
            </w:pPr>
            <w:r>
              <w:rPr>
                <w:color w:val="231F20"/>
                <w:sz w:val="14"/>
              </w:rPr>
              <w:t>Однос логичког и граматичког</w:t>
            </w:r>
            <w:r>
              <w:rPr>
                <w:color w:val="231F20"/>
                <w:spacing w:val="-12"/>
                <w:sz w:val="14"/>
              </w:rPr>
              <w:t xml:space="preserve"> </w:t>
            </w:r>
            <w:r>
              <w:rPr>
                <w:color w:val="231F20"/>
                <w:sz w:val="14"/>
              </w:rPr>
              <w:t>субјекта.</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7"/>
              <w:rPr>
                <w:sz w:val="14"/>
              </w:rPr>
            </w:pPr>
            <w:r>
              <w:rPr>
                <w:color w:val="231F20"/>
                <w:sz w:val="14"/>
              </w:rPr>
              <w:t>Правопис</w:t>
            </w:r>
          </w:p>
        </w:tc>
        <w:tc>
          <w:tcPr>
            <w:tcW w:w="1587" w:type="dxa"/>
          </w:tcPr>
          <w:p w:rsidR="00041039" w:rsidRDefault="001B26CB">
            <w:pPr>
              <w:pStyle w:val="TableParagraph"/>
              <w:numPr>
                <w:ilvl w:val="0"/>
                <w:numId w:val="636"/>
              </w:numPr>
              <w:tabs>
                <w:tab w:val="left" w:pos="157"/>
              </w:tabs>
              <w:spacing w:before="12" w:line="237" w:lineRule="auto"/>
              <w:ind w:right="129" w:hanging="99"/>
              <w:rPr>
                <w:sz w:val="14"/>
              </w:rPr>
            </w:pPr>
            <w:r>
              <w:rPr>
                <w:color w:val="231F20"/>
                <w:sz w:val="14"/>
              </w:rPr>
              <w:t>Оспособљавање ученика за примену правописних</w:t>
            </w:r>
            <w:r>
              <w:rPr>
                <w:color w:val="231F20"/>
                <w:spacing w:val="-9"/>
                <w:sz w:val="14"/>
              </w:rPr>
              <w:t xml:space="preserve"> </w:t>
            </w:r>
            <w:r>
              <w:rPr>
                <w:color w:val="231F20"/>
                <w:sz w:val="14"/>
              </w:rPr>
              <w:t>правила српског</w:t>
            </w:r>
            <w:r>
              <w:rPr>
                <w:color w:val="231F20"/>
                <w:spacing w:val="-1"/>
                <w:sz w:val="14"/>
              </w:rPr>
              <w:t xml:space="preserve"> </w:t>
            </w:r>
            <w:r>
              <w:rPr>
                <w:color w:val="231F20"/>
                <w:sz w:val="14"/>
              </w:rPr>
              <w:t>језика.</w:t>
            </w:r>
          </w:p>
        </w:tc>
        <w:tc>
          <w:tcPr>
            <w:tcW w:w="2551" w:type="dxa"/>
          </w:tcPr>
          <w:p w:rsidR="00041039" w:rsidRDefault="001B26CB">
            <w:pPr>
              <w:pStyle w:val="TableParagraph"/>
              <w:numPr>
                <w:ilvl w:val="0"/>
                <w:numId w:val="635"/>
              </w:numPr>
              <w:tabs>
                <w:tab w:val="left" w:pos="158"/>
              </w:tabs>
              <w:spacing w:before="10"/>
              <w:ind w:right="209"/>
              <w:rPr>
                <w:sz w:val="14"/>
              </w:rPr>
            </w:pPr>
            <w:r>
              <w:rPr>
                <w:color w:val="231F20"/>
                <w:sz w:val="14"/>
              </w:rPr>
              <w:t>примењује правописна правила</w:t>
            </w:r>
            <w:r>
              <w:rPr>
                <w:color w:val="231F20"/>
                <w:spacing w:val="-17"/>
                <w:sz w:val="14"/>
              </w:rPr>
              <w:t xml:space="preserve"> </w:t>
            </w:r>
            <w:r>
              <w:rPr>
                <w:color w:val="231F20"/>
                <w:sz w:val="14"/>
              </w:rPr>
              <w:t>срп­ ског</w:t>
            </w:r>
            <w:r>
              <w:rPr>
                <w:color w:val="231F20"/>
                <w:spacing w:val="-1"/>
                <w:sz w:val="14"/>
              </w:rPr>
              <w:t xml:space="preserve"> </w:t>
            </w:r>
            <w:r>
              <w:rPr>
                <w:color w:val="231F20"/>
                <w:sz w:val="14"/>
              </w:rPr>
              <w:t>језика;</w:t>
            </w:r>
          </w:p>
        </w:tc>
        <w:tc>
          <w:tcPr>
            <w:tcW w:w="2834" w:type="dxa"/>
          </w:tcPr>
          <w:p w:rsidR="00041039" w:rsidRDefault="001B26CB">
            <w:pPr>
              <w:pStyle w:val="TableParagraph"/>
              <w:numPr>
                <w:ilvl w:val="0"/>
                <w:numId w:val="634"/>
              </w:numPr>
              <w:tabs>
                <w:tab w:val="left" w:pos="158"/>
              </w:tabs>
              <w:spacing w:before="10"/>
              <w:ind w:right="67"/>
              <w:rPr>
                <w:sz w:val="14"/>
              </w:rPr>
            </w:pPr>
            <w:r>
              <w:rPr>
                <w:color w:val="231F20"/>
                <w:spacing w:val="-3"/>
                <w:sz w:val="14"/>
              </w:rPr>
              <w:t xml:space="preserve">Увежбавање </w:t>
            </w:r>
            <w:r>
              <w:rPr>
                <w:color w:val="231F20"/>
                <w:sz w:val="14"/>
              </w:rPr>
              <w:t>садржаја програма из претход­ них</w:t>
            </w:r>
            <w:r>
              <w:rPr>
                <w:color w:val="231F20"/>
                <w:spacing w:val="-2"/>
                <w:sz w:val="14"/>
              </w:rPr>
              <w:t xml:space="preserve"> </w:t>
            </w:r>
            <w:r>
              <w:rPr>
                <w:color w:val="231F20"/>
                <w:sz w:val="14"/>
              </w:rPr>
              <w:t>разреда.</w:t>
            </w:r>
          </w:p>
        </w:tc>
        <w:tc>
          <w:tcPr>
            <w:tcW w:w="2267" w:type="dxa"/>
            <w:vMerge/>
            <w:tcBorders>
              <w:top w:val="nil"/>
            </w:tcBorders>
          </w:tcPr>
          <w:p w:rsidR="00041039" w:rsidRDefault="00041039">
            <w:pPr>
              <w:rPr>
                <w:sz w:val="2"/>
                <w:szCs w:val="2"/>
              </w:rPr>
            </w:pPr>
          </w:p>
        </w:tc>
      </w:tr>
      <w:tr w:rsidR="00041039">
        <w:trPr>
          <w:trHeight w:val="5708"/>
        </w:trPr>
        <w:tc>
          <w:tcPr>
            <w:tcW w:w="1304" w:type="dxa"/>
          </w:tcPr>
          <w:p w:rsidR="00041039" w:rsidRDefault="001B26CB">
            <w:pPr>
              <w:pStyle w:val="TableParagraph"/>
              <w:spacing w:before="20"/>
              <w:ind w:left="57" w:right="37"/>
              <w:rPr>
                <w:sz w:val="14"/>
              </w:rPr>
            </w:pPr>
            <w:r>
              <w:rPr>
                <w:color w:val="231F20"/>
                <w:sz w:val="14"/>
              </w:rPr>
              <w:t>Култура изража­ вања</w:t>
            </w:r>
          </w:p>
        </w:tc>
        <w:tc>
          <w:tcPr>
            <w:tcW w:w="1587" w:type="dxa"/>
          </w:tcPr>
          <w:p w:rsidR="00041039" w:rsidRDefault="001B26CB">
            <w:pPr>
              <w:pStyle w:val="TableParagraph"/>
              <w:numPr>
                <w:ilvl w:val="0"/>
                <w:numId w:val="633"/>
              </w:numPr>
              <w:tabs>
                <w:tab w:val="left" w:pos="157"/>
              </w:tabs>
              <w:spacing w:before="10"/>
              <w:ind w:right="129" w:hanging="99"/>
              <w:rPr>
                <w:sz w:val="14"/>
              </w:rPr>
            </w:pPr>
            <w:r>
              <w:rPr>
                <w:color w:val="231F20"/>
                <w:sz w:val="14"/>
              </w:rPr>
              <w:t>Оспособљавање ученика за усмено и писмено</w:t>
            </w:r>
            <w:r>
              <w:rPr>
                <w:color w:val="231F20"/>
                <w:spacing w:val="-11"/>
                <w:sz w:val="14"/>
              </w:rPr>
              <w:t xml:space="preserve"> </w:t>
            </w:r>
            <w:r>
              <w:rPr>
                <w:color w:val="231F20"/>
                <w:sz w:val="14"/>
              </w:rPr>
              <w:t>изражавање.</w:t>
            </w:r>
          </w:p>
        </w:tc>
        <w:tc>
          <w:tcPr>
            <w:tcW w:w="2551" w:type="dxa"/>
          </w:tcPr>
          <w:p w:rsidR="00041039" w:rsidRDefault="001B26CB">
            <w:pPr>
              <w:pStyle w:val="TableParagraph"/>
              <w:numPr>
                <w:ilvl w:val="0"/>
                <w:numId w:val="632"/>
              </w:numPr>
              <w:tabs>
                <w:tab w:val="left" w:pos="158"/>
              </w:tabs>
              <w:spacing w:before="10"/>
              <w:ind w:right="116"/>
              <w:rPr>
                <w:sz w:val="14"/>
              </w:rPr>
            </w:pPr>
            <w:r>
              <w:rPr>
                <w:color w:val="231F20"/>
                <w:sz w:val="14"/>
              </w:rPr>
              <w:t>комуницира на српском језику у</w:t>
            </w:r>
            <w:r>
              <w:rPr>
                <w:color w:val="231F20"/>
                <w:spacing w:val="-26"/>
                <w:sz w:val="14"/>
              </w:rPr>
              <w:t xml:space="preserve"> </w:t>
            </w:r>
            <w:r>
              <w:rPr>
                <w:color w:val="231F20"/>
                <w:sz w:val="14"/>
              </w:rPr>
              <w:t>скла­ ду са темом или</w:t>
            </w:r>
            <w:r>
              <w:rPr>
                <w:color w:val="231F20"/>
                <w:spacing w:val="-4"/>
                <w:sz w:val="14"/>
              </w:rPr>
              <w:t xml:space="preserve"> </w:t>
            </w:r>
            <w:r>
              <w:rPr>
                <w:color w:val="231F20"/>
                <w:sz w:val="14"/>
              </w:rPr>
              <w:t>ситуацијом;</w:t>
            </w:r>
          </w:p>
          <w:p w:rsidR="00041039" w:rsidRDefault="001B26CB">
            <w:pPr>
              <w:pStyle w:val="TableParagraph"/>
              <w:numPr>
                <w:ilvl w:val="0"/>
                <w:numId w:val="632"/>
              </w:numPr>
              <w:tabs>
                <w:tab w:val="left" w:pos="158"/>
              </w:tabs>
              <w:spacing w:before="1" w:line="160" w:lineRule="exact"/>
              <w:ind w:right="49"/>
              <w:rPr>
                <w:sz w:val="14"/>
              </w:rPr>
            </w:pPr>
            <w:r>
              <w:rPr>
                <w:color w:val="231F20"/>
                <w:sz w:val="14"/>
              </w:rPr>
              <w:t>даје комплексније одговоре на поста­ вљена питања, поставља питања и саставља дуже текстове о задатој</w:t>
            </w:r>
            <w:r>
              <w:rPr>
                <w:color w:val="231F20"/>
                <w:spacing w:val="-18"/>
                <w:sz w:val="14"/>
              </w:rPr>
              <w:t xml:space="preserve"> </w:t>
            </w:r>
            <w:r>
              <w:rPr>
                <w:color w:val="231F20"/>
                <w:sz w:val="14"/>
              </w:rPr>
              <w:t>теми;</w:t>
            </w:r>
          </w:p>
          <w:p w:rsidR="00041039" w:rsidRDefault="001B26CB">
            <w:pPr>
              <w:pStyle w:val="TableParagraph"/>
              <w:numPr>
                <w:ilvl w:val="0"/>
                <w:numId w:val="632"/>
              </w:numPr>
              <w:tabs>
                <w:tab w:val="left" w:pos="158"/>
              </w:tabs>
              <w:spacing w:line="160" w:lineRule="exact"/>
              <w:ind w:right="136"/>
              <w:rPr>
                <w:sz w:val="14"/>
              </w:rPr>
            </w:pPr>
            <w:r>
              <w:rPr>
                <w:color w:val="231F20"/>
                <w:sz w:val="14"/>
              </w:rPr>
              <w:t>разликује и саставља текстове</w:t>
            </w:r>
            <w:r>
              <w:rPr>
                <w:color w:val="231F20"/>
                <w:spacing w:val="-11"/>
                <w:sz w:val="14"/>
              </w:rPr>
              <w:t xml:space="preserve"> </w:t>
            </w:r>
            <w:r>
              <w:rPr>
                <w:color w:val="231F20"/>
                <w:sz w:val="14"/>
              </w:rPr>
              <w:t>жалби, молби и сличних</w:t>
            </w:r>
            <w:r>
              <w:rPr>
                <w:color w:val="231F20"/>
                <w:spacing w:val="-4"/>
                <w:sz w:val="14"/>
              </w:rPr>
              <w:t xml:space="preserve"> </w:t>
            </w:r>
            <w:r>
              <w:rPr>
                <w:color w:val="231F20"/>
                <w:sz w:val="14"/>
              </w:rPr>
              <w:t>текстова;</w:t>
            </w:r>
          </w:p>
        </w:tc>
        <w:tc>
          <w:tcPr>
            <w:tcW w:w="2834" w:type="dxa"/>
          </w:tcPr>
          <w:p w:rsidR="00041039" w:rsidRDefault="001B26CB">
            <w:pPr>
              <w:pStyle w:val="TableParagraph"/>
              <w:numPr>
                <w:ilvl w:val="0"/>
                <w:numId w:val="631"/>
              </w:numPr>
              <w:tabs>
                <w:tab w:val="left" w:pos="158"/>
              </w:tabs>
              <w:spacing w:before="10" w:line="171" w:lineRule="exact"/>
              <w:ind w:hanging="99"/>
              <w:rPr>
                <w:sz w:val="14"/>
              </w:rPr>
            </w:pPr>
            <w:r>
              <w:rPr>
                <w:color w:val="231F20"/>
                <w:sz w:val="14"/>
              </w:rPr>
              <w:t>Тематика:</w:t>
            </w:r>
          </w:p>
          <w:p w:rsidR="00041039" w:rsidRDefault="001B26CB">
            <w:pPr>
              <w:pStyle w:val="TableParagraph"/>
              <w:numPr>
                <w:ilvl w:val="0"/>
                <w:numId w:val="630"/>
              </w:numPr>
              <w:tabs>
                <w:tab w:val="left" w:pos="164"/>
              </w:tabs>
              <w:spacing w:line="160" w:lineRule="exact"/>
              <w:rPr>
                <w:sz w:val="14"/>
              </w:rPr>
            </w:pPr>
            <w:r>
              <w:rPr>
                <w:color w:val="231F20"/>
                <w:sz w:val="14"/>
              </w:rPr>
              <w:t>обавезе и слободно</w:t>
            </w:r>
            <w:r>
              <w:rPr>
                <w:color w:val="231F20"/>
                <w:spacing w:val="-4"/>
                <w:sz w:val="14"/>
              </w:rPr>
              <w:t xml:space="preserve"> </w:t>
            </w:r>
            <w:r>
              <w:rPr>
                <w:color w:val="231F20"/>
                <w:sz w:val="14"/>
              </w:rPr>
              <w:t>време;</w:t>
            </w:r>
          </w:p>
          <w:p w:rsidR="00041039" w:rsidRDefault="001B26CB">
            <w:pPr>
              <w:pStyle w:val="TableParagraph"/>
              <w:numPr>
                <w:ilvl w:val="0"/>
                <w:numId w:val="630"/>
              </w:numPr>
              <w:tabs>
                <w:tab w:val="left" w:pos="164"/>
              </w:tabs>
              <w:spacing w:line="160" w:lineRule="exact"/>
              <w:rPr>
                <w:sz w:val="14"/>
              </w:rPr>
            </w:pPr>
            <w:r>
              <w:rPr>
                <w:color w:val="231F20"/>
                <w:sz w:val="14"/>
              </w:rPr>
              <w:t>култура и</w:t>
            </w:r>
            <w:r>
              <w:rPr>
                <w:color w:val="231F20"/>
                <w:spacing w:val="-15"/>
                <w:sz w:val="14"/>
              </w:rPr>
              <w:t xml:space="preserve"> </w:t>
            </w:r>
            <w:r>
              <w:rPr>
                <w:color w:val="231F20"/>
                <w:sz w:val="14"/>
              </w:rPr>
              <w:t>медији;</w:t>
            </w:r>
          </w:p>
          <w:p w:rsidR="00041039" w:rsidRDefault="001B26CB">
            <w:pPr>
              <w:pStyle w:val="TableParagraph"/>
              <w:numPr>
                <w:ilvl w:val="0"/>
                <w:numId w:val="630"/>
              </w:numPr>
              <w:tabs>
                <w:tab w:val="left" w:pos="164"/>
              </w:tabs>
              <w:spacing w:line="160" w:lineRule="exact"/>
              <w:rPr>
                <w:sz w:val="14"/>
              </w:rPr>
            </w:pPr>
            <w:r>
              <w:rPr>
                <w:color w:val="231F20"/>
                <w:sz w:val="14"/>
              </w:rPr>
              <w:t>млади и</w:t>
            </w:r>
            <w:r>
              <w:rPr>
                <w:color w:val="231F20"/>
                <w:spacing w:val="-5"/>
                <w:sz w:val="14"/>
              </w:rPr>
              <w:t xml:space="preserve"> </w:t>
            </w:r>
            <w:r>
              <w:rPr>
                <w:color w:val="231F20"/>
                <w:sz w:val="14"/>
              </w:rPr>
              <w:t>друштво;</w:t>
            </w:r>
          </w:p>
          <w:p w:rsidR="00041039" w:rsidRDefault="001B26CB">
            <w:pPr>
              <w:pStyle w:val="TableParagraph"/>
              <w:numPr>
                <w:ilvl w:val="0"/>
                <w:numId w:val="630"/>
              </w:numPr>
              <w:tabs>
                <w:tab w:val="left" w:pos="164"/>
              </w:tabs>
              <w:spacing w:line="160" w:lineRule="exact"/>
              <w:rPr>
                <w:sz w:val="14"/>
              </w:rPr>
            </w:pPr>
            <w:r>
              <w:rPr>
                <w:color w:val="231F20"/>
                <w:sz w:val="14"/>
              </w:rPr>
              <w:t>екологија и оч</w:t>
            </w:r>
            <w:r>
              <w:rPr>
                <w:color w:val="231F20"/>
                <w:sz w:val="14"/>
              </w:rPr>
              <w:t>ување животне</w:t>
            </w:r>
            <w:r>
              <w:rPr>
                <w:color w:val="231F20"/>
                <w:spacing w:val="-10"/>
                <w:sz w:val="14"/>
              </w:rPr>
              <w:t xml:space="preserve"> </w:t>
            </w:r>
            <w:r>
              <w:rPr>
                <w:color w:val="231F20"/>
                <w:sz w:val="14"/>
              </w:rPr>
              <w:t>средине;</w:t>
            </w:r>
          </w:p>
          <w:p w:rsidR="00041039" w:rsidRDefault="001B26CB">
            <w:pPr>
              <w:pStyle w:val="TableParagraph"/>
              <w:numPr>
                <w:ilvl w:val="0"/>
                <w:numId w:val="630"/>
              </w:numPr>
              <w:tabs>
                <w:tab w:val="left" w:pos="164"/>
              </w:tabs>
              <w:spacing w:line="160" w:lineRule="exact"/>
              <w:rPr>
                <w:sz w:val="14"/>
              </w:rPr>
            </w:pPr>
            <w:r>
              <w:rPr>
                <w:color w:val="231F20"/>
                <w:sz w:val="14"/>
              </w:rPr>
              <w:t>специфичности</w:t>
            </w:r>
            <w:r>
              <w:rPr>
                <w:color w:val="231F20"/>
                <w:spacing w:val="-1"/>
                <w:sz w:val="14"/>
              </w:rPr>
              <w:t xml:space="preserve"> </w:t>
            </w:r>
            <w:r>
              <w:rPr>
                <w:color w:val="231F20"/>
                <w:sz w:val="14"/>
              </w:rPr>
              <w:t>струке;</w:t>
            </w:r>
          </w:p>
          <w:p w:rsidR="00041039" w:rsidRDefault="001B26CB">
            <w:pPr>
              <w:pStyle w:val="TableParagraph"/>
              <w:numPr>
                <w:ilvl w:val="0"/>
                <w:numId w:val="630"/>
              </w:numPr>
              <w:tabs>
                <w:tab w:val="left" w:pos="164"/>
              </w:tabs>
              <w:ind w:right="262"/>
              <w:rPr>
                <w:sz w:val="14"/>
              </w:rPr>
            </w:pPr>
            <w:r>
              <w:rPr>
                <w:color w:val="231F20"/>
                <w:sz w:val="14"/>
              </w:rPr>
              <w:t>радна биографија, службено и</w:t>
            </w:r>
            <w:r>
              <w:rPr>
                <w:color w:val="231F20"/>
                <w:spacing w:val="-6"/>
                <w:sz w:val="14"/>
              </w:rPr>
              <w:t xml:space="preserve"> </w:t>
            </w:r>
            <w:r>
              <w:rPr>
                <w:color w:val="231F20"/>
                <w:sz w:val="14"/>
              </w:rPr>
              <w:t>пословно писмо.</w:t>
            </w:r>
          </w:p>
          <w:p w:rsidR="00041039" w:rsidRDefault="001B26CB">
            <w:pPr>
              <w:pStyle w:val="TableParagraph"/>
              <w:numPr>
                <w:ilvl w:val="0"/>
                <w:numId w:val="629"/>
              </w:numPr>
              <w:tabs>
                <w:tab w:val="left" w:pos="158"/>
              </w:tabs>
              <w:spacing w:line="159" w:lineRule="exact"/>
              <w:ind w:hanging="99"/>
              <w:rPr>
                <w:sz w:val="14"/>
              </w:rPr>
            </w:pPr>
            <w:r>
              <w:rPr>
                <w:color w:val="231F20"/>
                <w:sz w:val="14"/>
              </w:rPr>
              <w:t>Комуникативне</w:t>
            </w:r>
            <w:r>
              <w:rPr>
                <w:color w:val="231F20"/>
                <w:spacing w:val="-1"/>
                <w:sz w:val="14"/>
              </w:rPr>
              <w:t xml:space="preserve"> </w:t>
            </w:r>
            <w:r>
              <w:rPr>
                <w:color w:val="231F20"/>
                <w:sz w:val="14"/>
              </w:rPr>
              <w:t>функције:</w:t>
            </w:r>
          </w:p>
          <w:p w:rsidR="00041039" w:rsidRDefault="001B26CB">
            <w:pPr>
              <w:pStyle w:val="TableParagraph"/>
              <w:numPr>
                <w:ilvl w:val="0"/>
                <w:numId w:val="628"/>
              </w:numPr>
              <w:tabs>
                <w:tab w:val="left" w:pos="164"/>
              </w:tabs>
              <w:ind w:right="98"/>
              <w:rPr>
                <w:sz w:val="14"/>
              </w:rPr>
            </w:pPr>
            <w:r>
              <w:rPr>
                <w:color w:val="231F20"/>
                <w:sz w:val="14"/>
              </w:rPr>
              <w:t>слагање / неслагање с мишљењем саговор­ ника; исказивање психолошких</w:t>
            </w:r>
            <w:r>
              <w:rPr>
                <w:color w:val="231F20"/>
                <w:spacing w:val="-9"/>
                <w:sz w:val="14"/>
              </w:rPr>
              <w:t xml:space="preserve"> </w:t>
            </w:r>
            <w:r>
              <w:rPr>
                <w:color w:val="231F20"/>
                <w:sz w:val="14"/>
              </w:rPr>
              <w:t>стања;</w:t>
            </w:r>
          </w:p>
          <w:p w:rsidR="00041039" w:rsidRDefault="001B26CB">
            <w:pPr>
              <w:pStyle w:val="TableParagraph"/>
              <w:numPr>
                <w:ilvl w:val="0"/>
                <w:numId w:val="628"/>
              </w:numPr>
              <w:tabs>
                <w:tab w:val="left" w:pos="164"/>
              </w:tabs>
              <w:spacing w:line="154" w:lineRule="exact"/>
              <w:rPr>
                <w:sz w:val="14"/>
              </w:rPr>
            </w:pPr>
            <w:r>
              <w:rPr>
                <w:color w:val="231F20"/>
                <w:sz w:val="14"/>
              </w:rPr>
              <w:t>реферисање о себи и о</w:t>
            </w:r>
            <w:r>
              <w:rPr>
                <w:color w:val="231F20"/>
                <w:spacing w:val="-1"/>
                <w:sz w:val="14"/>
              </w:rPr>
              <w:t xml:space="preserve"> </w:t>
            </w:r>
            <w:r>
              <w:rPr>
                <w:color w:val="231F20"/>
                <w:sz w:val="14"/>
              </w:rPr>
              <w:t>другима.</w:t>
            </w:r>
          </w:p>
          <w:p w:rsidR="00041039" w:rsidRDefault="001B26CB">
            <w:pPr>
              <w:pStyle w:val="TableParagraph"/>
              <w:numPr>
                <w:ilvl w:val="0"/>
                <w:numId w:val="627"/>
              </w:numPr>
              <w:tabs>
                <w:tab w:val="left" w:pos="158"/>
              </w:tabs>
              <w:spacing w:line="237" w:lineRule="auto"/>
              <w:ind w:right="313" w:hanging="99"/>
              <w:rPr>
                <w:sz w:val="14"/>
              </w:rPr>
            </w:pPr>
            <w:r>
              <w:rPr>
                <w:color w:val="231F20"/>
                <w:sz w:val="14"/>
              </w:rPr>
              <w:t>Богаћење ученичког речника новом</w:t>
            </w:r>
            <w:r>
              <w:rPr>
                <w:color w:val="231F20"/>
                <w:spacing w:val="-26"/>
                <w:sz w:val="14"/>
              </w:rPr>
              <w:t xml:space="preserve"> </w:t>
            </w:r>
            <w:r>
              <w:rPr>
                <w:color w:val="231F20"/>
                <w:sz w:val="14"/>
              </w:rPr>
              <w:t>оп­ штом и стручном</w:t>
            </w:r>
            <w:r>
              <w:rPr>
                <w:color w:val="231F20"/>
                <w:spacing w:val="-5"/>
                <w:sz w:val="14"/>
              </w:rPr>
              <w:t xml:space="preserve"> </w:t>
            </w:r>
            <w:r>
              <w:rPr>
                <w:color w:val="231F20"/>
                <w:sz w:val="14"/>
              </w:rPr>
              <w:t>лексиком.</w:t>
            </w:r>
          </w:p>
          <w:p w:rsidR="00041039" w:rsidRDefault="001B26CB">
            <w:pPr>
              <w:pStyle w:val="TableParagraph"/>
              <w:numPr>
                <w:ilvl w:val="0"/>
                <w:numId w:val="627"/>
              </w:numPr>
              <w:tabs>
                <w:tab w:val="left" w:pos="158"/>
              </w:tabs>
              <w:spacing w:line="155" w:lineRule="exact"/>
              <w:ind w:hanging="99"/>
              <w:rPr>
                <w:sz w:val="14"/>
              </w:rPr>
            </w:pPr>
            <w:r>
              <w:rPr>
                <w:color w:val="231F20"/>
                <w:sz w:val="14"/>
              </w:rPr>
              <w:t>Писање молби, жалби и сличних</w:t>
            </w:r>
            <w:r>
              <w:rPr>
                <w:color w:val="231F20"/>
                <w:spacing w:val="-12"/>
                <w:sz w:val="14"/>
              </w:rPr>
              <w:t xml:space="preserve"> </w:t>
            </w:r>
            <w:r>
              <w:rPr>
                <w:color w:val="231F20"/>
                <w:sz w:val="14"/>
              </w:rPr>
              <w:t>текстова.</w:t>
            </w:r>
          </w:p>
          <w:p w:rsidR="00041039" w:rsidRDefault="001B26CB">
            <w:pPr>
              <w:pStyle w:val="TableParagraph"/>
              <w:numPr>
                <w:ilvl w:val="0"/>
                <w:numId w:val="627"/>
              </w:numPr>
              <w:tabs>
                <w:tab w:val="left" w:pos="158"/>
              </w:tabs>
              <w:spacing w:line="160" w:lineRule="exact"/>
              <w:ind w:hanging="99"/>
              <w:rPr>
                <w:sz w:val="14"/>
              </w:rPr>
            </w:pPr>
            <w:r>
              <w:rPr>
                <w:color w:val="231F20"/>
                <w:sz w:val="14"/>
              </w:rPr>
              <w:t>Писмени задатак (један</w:t>
            </w:r>
            <w:r>
              <w:rPr>
                <w:color w:val="231F20"/>
                <w:spacing w:val="-5"/>
                <w:sz w:val="14"/>
              </w:rPr>
              <w:t xml:space="preserve"> </w:t>
            </w:r>
            <w:r>
              <w:rPr>
                <w:color w:val="231F20"/>
                <w:sz w:val="14"/>
              </w:rPr>
              <w:t>годишње).</w:t>
            </w:r>
          </w:p>
          <w:p w:rsidR="00041039" w:rsidRDefault="001B26CB">
            <w:pPr>
              <w:pStyle w:val="TableParagraph"/>
              <w:numPr>
                <w:ilvl w:val="0"/>
                <w:numId w:val="627"/>
              </w:numPr>
              <w:tabs>
                <w:tab w:val="left" w:pos="158"/>
              </w:tabs>
              <w:spacing w:line="166" w:lineRule="exact"/>
              <w:ind w:hanging="99"/>
              <w:rPr>
                <w:sz w:val="14"/>
              </w:rPr>
            </w:pPr>
            <w:r>
              <w:rPr>
                <w:color w:val="231F20"/>
                <w:sz w:val="14"/>
              </w:rPr>
              <w:t>Домаћи</w:t>
            </w:r>
            <w:r>
              <w:rPr>
                <w:color w:val="231F20"/>
                <w:spacing w:val="-1"/>
                <w:sz w:val="14"/>
              </w:rPr>
              <w:t xml:space="preserve"> </w:t>
            </w:r>
            <w:r>
              <w:rPr>
                <w:color w:val="231F20"/>
                <w:sz w:val="14"/>
              </w:rPr>
              <w:t>задаци.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2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280"/>
        </w:trPr>
        <w:tc>
          <w:tcPr>
            <w:tcW w:w="1304" w:type="dxa"/>
          </w:tcPr>
          <w:p w:rsidR="00041039" w:rsidRDefault="001B26CB">
            <w:pPr>
              <w:pStyle w:val="TableParagraph"/>
              <w:spacing w:before="18"/>
              <w:ind w:left="56"/>
              <w:rPr>
                <w:sz w:val="14"/>
              </w:rPr>
            </w:pPr>
            <w:r>
              <w:rPr>
                <w:color w:val="231F20"/>
                <w:sz w:val="14"/>
              </w:rPr>
              <w:lastRenderedPageBreak/>
              <w:t>Књижевност</w:t>
            </w:r>
          </w:p>
        </w:tc>
        <w:tc>
          <w:tcPr>
            <w:tcW w:w="1587" w:type="dxa"/>
          </w:tcPr>
          <w:p w:rsidR="00041039" w:rsidRDefault="001B26CB">
            <w:pPr>
              <w:pStyle w:val="TableParagraph"/>
              <w:numPr>
                <w:ilvl w:val="0"/>
                <w:numId w:val="626"/>
              </w:numPr>
              <w:tabs>
                <w:tab w:val="left" w:pos="157"/>
              </w:tabs>
              <w:spacing w:before="8"/>
              <w:ind w:right="138"/>
              <w:rPr>
                <w:sz w:val="14"/>
              </w:rPr>
            </w:pPr>
            <w:r>
              <w:rPr>
                <w:color w:val="231F20"/>
                <w:sz w:val="14"/>
              </w:rPr>
              <w:t>Упознавање са раз­ личитим књижевним родовима и врстама и значајним делима српске</w:t>
            </w:r>
            <w:r>
              <w:rPr>
                <w:color w:val="231F20"/>
                <w:spacing w:val="-3"/>
                <w:sz w:val="14"/>
              </w:rPr>
              <w:t xml:space="preserve"> </w:t>
            </w:r>
            <w:r>
              <w:rPr>
                <w:color w:val="231F20"/>
                <w:sz w:val="14"/>
              </w:rPr>
              <w:t>књижевности.</w:t>
            </w:r>
          </w:p>
        </w:tc>
        <w:tc>
          <w:tcPr>
            <w:tcW w:w="2551" w:type="dxa"/>
          </w:tcPr>
          <w:p w:rsidR="00041039" w:rsidRDefault="001B26CB">
            <w:pPr>
              <w:pStyle w:val="TableParagraph"/>
              <w:numPr>
                <w:ilvl w:val="0"/>
                <w:numId w:val="625"/>
              </w:numPr>
              <w:tabs>
                <w:tab w:val="left" w:pos="157"/>
              </w:tabs>
              <w:spacing w:before="8"/>
              <w:ind w:right="100" w:hanging="99"/>
              <w:rPr>
                <w:sz w:val="14"/>
              </w:rPr>
            </w:pPr>
            <w:r>
              <w:rPr>
                <w:color w:val="231F20"/>
                <w:sz w:val="14"/>
              </w:rPr>
              <w:t>чита, препричава и тумачи</w:t>
            </w:r>
            <w:r>
              <w:rPr>
                <w:color w:val="231F20"/>
                <w:spacing w:val="-21"/>
                <w:sz w:val="14"/>
              </w:rPr>
              <w:t xml:space="preserve"> </w:t>
            </w:r>
            <w:r>
              <w:rPr>
                <w:color w:val="231F20"/>
                <w:sz w:val="14"/>
              </w:rPr>
              <w:t>књижевно­ уметничке и остале типове</w:t>
            </w:r>
            <w:r>
              <w:rPr>
                <w:color w:val="231F20"/>
                <w:spacing w:val="-9"/>
                <w:sz w:val="14"/>
              </w:rPr>
              <w:t xml:space="preserve"> </w:t>
            </w:r>
            <w:r>
              <w:rPr>
                <w:color w:val="231F20"/>
                <w:sz w:val="14"/>
              </w:rPr>
              <w:t>текстова;</w:t>
            </w:r>
          </w:p>
          <w:p w:rsidR="00041039" w:rsidRDefault="001B26CB">
            <w:pPr>
              <w:pStyle w:val="TableParagraph"/>
              <w:numPr>
                <w:ilvl w:val="0"/>
                <w:numId w:val="625"/>
              </w:numPr>
              <w:tabs>
                <w:tab w:val="left" w:pos="157"/>
              </w:tabs>
              <w:spacing w:line="160" w:lineRule="exact"/>
              <w:ind w:right="69" w:hanging="99"/>
              <w:rPr>
                <w:sz w:val="14"/>
              </w:rPr>
            </w:pPr>
            <w:r>
              <w:rPr>
                <w:color w:val="231F20"/>
                <w:sz w:val="14"/>
              </w:rPr>
              <w:t xml:space="preserve">користи познавање жанровских посебности при интерпретацији књижевног дела у настави, анализира идејне аспекте текстова обухваћених школским програмом, уочава основне интеграционе чиниоце интерпрета­ ције књижевноуметничког текста </w:t>
            </w:r>
            <w:r>
              <w:rPr>
                <w:color w:val="231F20"/>
                <w:spacing w:val="-3"/>
                <w:sz w:val="14"/>
              </w:rPr>
              <w:t xml:space="preserve">(тему, </w:t>
            </w:r>
            <w:r>
              <w:rPr>
                <w:color w:val="231F20"/>
                <w:sz w:val="14"/>
              </w:rPr>
              <w:t>мотиве, песничке сл</w:t>
            </w:r>
            <w:r>
              <w:rPr>
                <w:color w:val="231F20"/>
                <w:sz w:val="14"/>
              </w:rPr>
              <w:t xml:space="preserve">ике, типове јунака, </w:t>
            </w:r>
            <w:r>
              <w:rPr>
                <w:color w:val="231F20"/>
                <w:spacing w:val="-3"/>
                <w:sz w:val="14"/>
              </w:rPr>
              <w:t xml:space="preserve">структуру, композицију, </w:t>
            </w:r>
            <w:r>
              <w:rPr>
                <w:color w:val="231F20"/>
                <w:sz w:val="14"/>
              </w:rPr>
              <w:t>облике казивања, језичко ­ стилске каракте­ ристике...);</w:t>
            </w:r>
          </w:p>
        </w:tc>
        <w:tc>
          <w:tcPr>
            <w:tcW w:w="2834" w:type="dxa"/>
          </w:tcPr>
          <w:p w:rsidR="00041039" w:rsidRDefault="001B26CB">
            <w:pPr>
              <w:pStyle w:val="TableParagraph"/>
              <w:spacing w:before="18" w:line="155" w:lineRule="exact"/>
              <w:ind w:left="57"/>
              <w:rPr>
                <w:sz w:val="14"/>
              </w:rPr>
            </w:pPr>
            <w:r>
              <w:rPr>
                <w:color w:val="231F20"/>
                <w:sz w:val="14"/>
              </w:rPr>
              <w:t>ОБАВЕЗНИ:</w:t>
            </w:r>
          </w:p>
          <w:p w:rsidR="00041039" w:rsidRDefault="001B26CB">
            <w:pPr>
              <w:pStyle w:val="TableParagraph"/>
              <w:numPr>
                <w:ilvl w:val="0"/>
                <w:numId w:val="624"/>
              </w:numPr>
              <w:tabs>
                <w:tab w:val="left" w:pos="157"/>
              </w:tabs>
              <w:spacing w:line="160" w:lineRule="exact"/>
              <w:ind w:hanging="99"/>
              <w:rPr>
                <w:sz w:val="14"/>
              </w:rPr>
            </w:pPr>
            <w:r>
              <w:rPr>
                <w:color w:val="231F20"/>
                <w:sz w:val="14"/>
              </w:rPr>
              <w:t>„Хасанагиница”.</w:t>
            </w:r>
          </w:p>
          <w:p w:rsidR="00041039" w:rsidRDefault="001B26CB">
            <w:pPr>
              <w:pStyle w:val="TableParagraph"/>
              <w:numPr>
                <w:ilvl w:val="0"/>
                <w:numId w:val="624"/>
              </w:numPr>
              <w:tabs>
                <w:tab w:val="left" w:pos="157"/>
              </w:tabs>
              <w:spacing w:line="160" w:lineRule="exact"/>
              <w:ind w:hanging="99"/>
              <w:rPr>
                <w:sz w:val="14"/>
              </w:rPr>
            </w:pPr>
            <w:r>
              <w:rPr>
                <w:color w:val="231F20"/>
                <w:sz w:val="14"/>
              </w:rPr>
              <w:t>„Златоруни</w:t>
            </w:r>
            <w:r>
              <w:rPr>
                <w:color w:val="231F20"/>
                <w:spacing w:val="-1"/>
                <w:sz w:val="14"/>
              </w:rPr>
              <w:t xml:space="preserve"> </w:t>
            </w:r>
            <w:r>
              <w:rPr>
                <w:color w:val="231F20"/>
                <w:sz w:val="14"/>
              </w:rPr>
              <w:t>ован”.</w:t>
            </w:r>
          </w:p>
          <w:p w:rsidR="00041039" w:rsidRDefault="001B26CB">
            <w:pPr>
              <w:pStyle w:val="TableParagraph"/>
              <w:numPr>
                <w:ilvl w:val="0"/>
                <w:numId w:val="624"/>
              </w:numPr>
              <w:tabs>
                <w:tab w:val="left" w:pos="157"/>
              </w:tabs>
              <w:spacing w:line="160" w:lineRule="exact"/>
              <w:ind w:hanging="99"/>
              <w:rPr>
                <w:sz w:val="14"/>
              </w:rPr>
            </w:pPr>
            <w:r>
              <w:rPr>
                <w:color w:val="231F20"/>
                <w:sz w:val="14"/>
              </w:rPr>
              <w:t>Вељко Петровић: „Салашар”</w:t>
            </w:r>
            <w:r>
              <w:rPr>
                <w:color w:val="231F20"/>
                <w:spacing w:val="-7"/>
                <w:sz w:val="14"/>
              </w:rPr>
              <w:t xml:space="preserve"> </w:t>
            </w:r>
            <w:r>
              <w:rPr>
                <w:color w:val="231F20"/>
                <w:sz w:val="14"/>
              </w:rPr>
              <w:t>(одломак).</w:t>
            </w:r>
          </w:p>
          <w:p w:rsidR="00041039" w:rsidRDefault="001B26CB">
            <w:pPr>
              <w:pStyle w:val="TableParagraph"/>
              <w:numPr>
                <w:ilvl w:val="0"/>
                <w:numId w:val="624"/>
              </w:numPr>
              <w:tabs>
                <w:tab w:val="left" w:pos="157"/>
              </w:tabs>
              <w:spacing w:line="237" w:lineRule="auto"/>
              <w:ind w:right="507" w:hanging="99"/>
              <w:rPr>
                <w:sz w:val="14"/>
              </w:rPr>
            </w:pPr>
            <w:r>
              <w:rPr>
                <w:color w:val="231F20"/>
                <w:sz w:val="14"/>
              </w:rPr>
              <w:t>Јован Дучић: „Благо цара</w:t>
            </w:r>
            <w:r>
              <w:rPr>
                <w:color w:val="231F20"/>
                <w:spacing w:val="-25"/>
                <w:sz w:val="14"/>
              </w:rPr>
              <w:t xml:space="preserve"> </w:t>
            </w:r>
            <w:r>
              <w:rPr>
                <w:color w:val="231F20"/>
                <w:sz w:val="14"/>
              </w:rPr>
              <w:t>Радована” (одломак).</w:t>
            </w:r>
          </w:p>
          <w:p w:rsidR="00041039" w:rsidRDefault="001B26CB">
            <w:pPr>
              <w:pStyle w:val="TableParagraph"/>
              <w:numPr>
                <w:ilvl w:val="0"/>
                <w:numId w:val="624"/>
              </w:numPr>
              <w:tabs>
                <w:tab w:val="left" w:pos="157"/>
              </w:tabs>
              <w:spacing w:line="155" w:lineRule="exact"/>
              <w:ind w:hanging="99"/>
              <w:rPr>
                <w:sz w:val="14"/>
              </w:rPr>
            </w:pPr>
            <w:r>
              <w:rPr>
                <w:color w:val="231F20"/>
                <w:sz w:val="14"/>
              </w:rPr>
              <w:t>Васко Попа: „Врати ми моје</w:t>
            </w:r>
            <w:r>
              <w:rPr>
                <w:color w:val="231F20"/>
                <w:spacing w:val="-6"/>
                <w:sz w:val="14"/>
              </w:rPr>
              <w:t xml:space="preserve"> </w:t>
            </w:r>
            <w:r>
              <w:rPr>
                <w:color w:val="231F20"/>
                <w:sz w:val="14"/>
              </w:rPr>
              <w:t>к</w:t>
            </w:r>
            <w:r>
              <w:rPr>
                <w:color w:val="231F20"/>
                <w:sz w:val="14"/>
              </w:rPr>
              <w:t>рпице”.</w:t>
            </w:r>
          </w:p>
          <w:p w:rsidR="00041039" w:rsidRDefault="001B26CB">
            <w:pPr>
              <w:pStyle w:val="TableParagraph"/>
              <w:numPr>
                <w:ilvl w:val="0"/>
                <w:numId w:val="624"/>
              </w:numPr>
              <w:tabs>
                <w:tab w:val="left" w:pos="157"/>
              </w:tabs>
              <w:spacing w:line="237" w:lineRule="auto"/>
              <w:ind w:right="109" w:hanging="99"/>
              <w:rPr>
                <w:sz w:val="14"/>
              </w:rPr>
            </w:pPr>
            <w:r>
              <w:rPr>
                <w:color w:val="231F20"/>
                <w:sz w:val="14"/>
              </w:rPr>
              <w:t>Данило Киш: „Енциклопедија мртвих” (приповетка Славно је за отаџбину</w:t>
            </w:r>
            <w:r>
              <w:rPr>
                <w:color w:val="231F20"/>
                <w:spacing w:val="-7"/>
                <w:sz w:val="14"/>
              </w:rPr>
              <w:t xml:space="preserve"> </w:t>
            </w:r>
            <w:r>
              <w:rPr>
                <w:color w:val="231F20"/>
                <w:sz w:val="14"/>
              </w:rPr>
              <w:t>мрети).</w:t>
            </w:r>
          </w:p>
          <w:p w:rsidR="00041039" w:rsidRDefault="001B26CB">
            <w:pPr>
              <w:pStyle w:val="TableParagraph"/>
              <w:numPr>
                <w:ilvl w:val="0"/>
                <w:numId w:val="624"/>
              </w:numPr>
              <w:tabs>
                <w:tab w:val="left" w:pos="157"/>
              </w:tabs>
              <w:spacing w:line="160" w:lineRule="exact"/>
              <w:ind w:right="427" w:hanging="99"/>
              <w:rPr>
                <w:sz w:val="14"/>
              </w:rPr>
            </w:pPr>
            <w:r>
              <w:rPr>
                <w:color w:val="231F20"/>
                <w:sz w:val="14"/>
              </w:rPr>
              <w:t>Светлана Велмар Јанковић;</w:t>
            </w:r>
            <w:r>
              <w:rPr>
                <w:color w:val="231F20"/>
                <w:spacing w:val="-23"/>
                <w:sz w:val="14"/>
              </w:rPr>
              <w:t xml:space="preserve"> </w:t>
            </w:r>
            <w:r>
              <w:rPr>
                <w:color w:val="231F20"/>
                <w:sz w:val="14"/>
              </w:rPr>
              <w:t>„Дорћол” (избор).</w:t>
            </w:r>
          </w:p>
          <w:p w:rsidR="00041039" w:rsidRDefault="001B26CB">
            <w:pPr>
              <w:pStyle w:val="TableParagraph"/>
              <w:spacing w:line="153" w:lineRule="exact"/>
              <w:ind w:left="57"/>
              <w:rPr>
                <w:sz w:val="14"/>
              </w:rPr>
            </w:pPr>
            <w:r>
              <w:rPr>
                <w:color w:val="231F20"/>
                <w:sz w:val="14"/>
              </w:rPr>
              <w:t>ИЗБОРНИ:</w:t>
            </w:r>
          </w:p>
          <w:p w:rsidR="00041039" w:rsidRDefault="001B26CB">
            <w:pPr>
              <w:pStyle w:val="TableParagraph"/>
              <w:numPr>
                <w:ilvl w:val="0"/>
                <w:numId w:val="624"/>
              </w:numPr>
              <w:tabs>
                <w:tab w:val="left" w:pos="157"/>
              </w:tabs>
              <w:spacing w:line="160" w:lineRule="exact"/>
              <w:ind w:hanging="99"/>
              <w:rPr>
                <w:sz w:val="14"/>
              </w:rPr>
            </w:pPr>
            <w:r>
              <w:rPr>
                <w:color w:val="231F20"/>
                <w:sz w:val="14"/>
              </w:rPr>
              <w:t>Стеван Сремац: „Зона</w:t>
            </w:r>
            <w:r>
              <w:rPr>
                <w:color w:val="231F20"/>
                <w:spacing w:val="-2"/>
                <w:sz w:val="14"/>
              </w:rPr>
              <w:t xml:space="preserve"> </w:t>
            </w:r>
            <w:r>
              <w:rPr>
                <w:color w:val="231F20"/>
                <w:sz w:val="14"/>
              </w:rPr>
              <w:t>Замфирова”.</w:t>
            </w:r>
          </w:p>
          <w:p w:rsidR="00041039" w:rsidRDefault="001B26CB">
            <w:pPr>
              <w:pStyle w:val="TableParagraph"/>
              <w:numPr>
                <w:ilvl w:val="0"/>
                <w:numId w:val="624"/>
              </w:numPr>
              <w:tabs>
                <w:tab w:val="left" w:pos="157"/>
              </w:tabs>
              <w:spacing w:line="160" w:lineRule="exact"/>
              <w:ind w:hanging="99"/>
              <w:rPr>
                <w:sz w:val="14"/>
              </w:rPr>
            </w:pPr>
            <w:r>
              <w:rPr>
                <w:color w:val="231F20"/>
                <w:sz w:val="14"/>
              </w:rPr>
              <w:t>Владислав Петковић Дис: „Можда</w:t>
            </w:r>
            <w:r>
              <w:rPr>
                <w:color w:val="231F20"/>
                <w:spacing w:val="-12"/>
                <w:sz w:val="14"/>
              </w:rPr>
              <w:t xml:space="preserve"> </w:t>
            </w:r>
            <w:r>
              <w:rPr>
                <w:color w:val="231F20"/>
                <w:sz w:val="14"/>
              </w:rPr>
              <w:t>спава”.</w:t>
            </w:r>
          </w:p>
          <w:p w:rsidR="00041039" w:rsidRDefault="001B26CB">
            <w:pPr>
              <w:pStyle w:val="TableParagraph"/>
              <w:numPr>
                <w:ilvl w:val="0"/>
                <w:numId w:val="624"/>
              </w:numPr>
              <w:tabs>
                <w:tab w:val="left" w:pos="157"/>
              </w:tabs>
              <w:spacing w:line="237" w:lineRule="auto"/>
              <w:ind w:right="393" w:hanging="99"/>
              <w:rPr>
                <w:sz w:val="14"/>
              </w:rPr>
            </w:pPr>
            <w:r>
              <w:rPr>
                <w:color w:val="231F20"/>
                <w:spacing w:val="-3"/>
                <w:sz w:val="14"/>
              </w:rPr>
              <w:t xml:space="preserve">Горан </w:t>
            </w:r>
            <w:r>
              <w:rPr>
                <w:color w:val="231F20"/>
                <w:sz w:val="14"/>
              </w:rPr>
              <w:t xml:space="preserve">Петровић: „Ситничарница </w:t>
            </w:r>
            <w:r>
              <w:rPr>
                <w:color w:val="231F20"/>
                <w:spacing w:val="-4"/>
                <w:sz w:val="14"/>
              </w:rPr>
              <w:t xml:space="preserve">Код </w:t>
            </w:r>
            <w:r>
              <w:rPr>
                <w:color w:val="231F20"/>
                <w:sz w:val="14"/>
              </w:rPr>
              <w:t>срећне</w:t>
            </w:r>
            <w:r>
              <w:rPr>
                <w:color w:val="231F20"/>
                <w:spacing w:val="-8"/>
                <w:sz w:val="14"/>
              </w:rPr>
              <w:t xml:space="preserve"> </w:t>
            </w:r>
            <w:r>
              <w:rPr>
                <w:color w:val="231F20"/>
                <w:sz w:val="14"/>
              </w:rPr>
              <w:t>руке”</w:t>
            </w:r>
            <w:r>
              <w:rPr>
                <w:color w:val="231F20"/>
                <w:spacing w:val="-8"/>
                <w:sz w:val="14"/>
              </w:rPr>
              <w:t xml:space="preserve"> </w:t>
            </w:r>
            <w:r>
              <w:rPr>
                <w:color w:val="231F20"/>
                <w:sz w:val="14"/>
              </w:rPr>
              <w:t>(11.</w:t>
            </w:r>
            <w:r>
              <w:rPr>
                <w:color w:val="231F20"/>
                <w:spacing w:val="-8"/>
                <w:sz w:val="14"/>
              </w:rPr>
              <w:t xml:space="preserve"> </w:t>
            </w:r>
            <w:r>
              <w:rPr>
                <w:color w:val="231F20"/>
                <w:sz w:val="14"/>
              </w:rPr>
              <w:t>поглавље,</w:t>
            </w:r>
            <w:r>
              <w:rPr>
                <w:color w:val="231F20"/>
                <w:spacing w:val="-9"/>
                <w:sz w:val="14"/>
              </w:rPr>
              <w:t xml:space="preserve"> </w:t>
            </w:r>
            <w:r>
              <w:rPr>
                <w:color w:val="231F20"/>
                <w:sz w:val="14"/>
              </w:rPr>
              <w:t>одломци).</w:t>
            </w:r>
          </w:p>
          <w:p w:rsidR="00041039" w:rsidRDefault="001B26CB">
            <w:pPr>
              <w:pStyle w:val="TableParagraph"/>
              <w:numPr>
                <w:ilvl w:val="0"/>
                <w:numId w:val="624"/>
              </w:numPr>
              <w:tabs>
                <w:tab w:val="left" w:pos="157"/>
              </w:tabs>
              <w:spacing w:line="155" w:lineRule="exact"/>
              <w:ind w:hanging="99"/>
              <w:rPr>
                <w:sz w:val="14"/>
              </w:rPr>
            </w:pPr>
            <w:r>
              <w:rPr>
                <w:color w:val="231F20"/>
                <w:sz w:val="14"/>
              </w:rPr>
              <w:t>Гроздана Олујић: „Принц</w:t>
            </w:r>
            <w:r>
              <w:rPr>
                <w:color w:val="231F20"/>
                <w:spacing w:val="-5"/>
                <w:sz w:val="14"/>
              </w:rPr>
              <w:t xml:space="preserve"> </w:t>
            </w:r>
            <w:r>
              <w:rPr>
                <w:color w:val="231F20"/>
                <w:sz w:val="14"/>
              </w:rPr>
              <w:t>облака”.</w:t>
            </w:r>
          </w:p>
          <w:p w:rsidR="00041039" w:rsidRDefault="001B26CB">
            <w:pPr>
              <w:pStyle w:val="TableParagraph"/>
              <w:numPr>
                <w:ilvl w:val="0"/>
                <w:numId w:val="624"/>
              </w:numPr>
              <w:tabs>
                <w:tab w:val="left" w:pos="157"/>
              </w:tabs>
              <w:spacing w:line="237" w:lineRule="auto"/>
              <w:ind w:right="417" w:hanging="99"/>
              <w:rPr>
                <w:sz w:val="14"/>
              </w:rPr>
            </w:pPr>
            <w:r>
              <w:rPr>
                <w:color w:val="231F20"/>
                <w:sz w:val="14"/>
              </w:rPr>
              <w:t>Слободан Селенић: „Очеви и оци”</w:t>
            </w:r>
            <w:r>
              <w:rPr>
                <w:color w:val="231F20"/>
                <w:spacing w:val="-8"/>
                <w:sz w:val="14"/>
              </w:rPr>
              <w:t xml:space="preserve"> </w:t>
            </w:r>
            <w:r>
              <w:rPr>
                <w:color w:val="231F20"/>
                <w:sz w:val="14"/>
              </w:rPr>
              <w:t>(4. поглавље ­</w:t>
            </w:r>
            <w:r>
              <w:rPr>
                <w:color w:val="231F20"/>
                <w:spacing w:val="-2"/>
                <w:sz w:val="14"/>
              </w:rPr>
              <w:t xml:space="preserve"> </w:t>
            </w:r>
            <w:r>
              <w:rPr>
                <w:color w:val="231F20"/>
                <w:sz w:val="14"/>
              </w:rPr>
              <w:t>одломци).</w:t>
            </w:r>
          </w:p>
          <w:p w:rsidR="00041039" w:rsidRDefault="001B26CB">
            <w:pPr>
              <w:pStyle w:val="TableParagraph"/>
              <w:numPr>
                <w:ilvl w:val="0"/>
                <w:numId w:val="624"/>
              </w:numPr>
              <w:tabs>
                <w:tab w:val="left" w:pos="157"/>
              </w:tabs>
              <w:spacing w:line="155" w:lineRule="exact"/>
              <w:ind w:hanging="99"/>
              <w:rPr>
                <w:sz w:val="14"/>
              </w:rPr>
            </w:pPr>
            <w:r>
              <w:rPr>
                <w:color w:val="231F20"/>
                <w:sz w:val="14"/>
              </w:rPr>
              <w:t>ТекстоМилутину</w:t>
            </w:r>
            <w:r>
              <w:rPr>
                <w:color w:val="231F20"/>
                <w:spacing w:val="-1"/>
                <w:sz w:val="14"/>
              </w:rPr>
              <w:t xml:space="preserve"> </w:t>
            </w:r>
            <w:r>
              <w:rPr>
                <w:color w:val="231F20"/>
                <w:spacing w:val="-3"/>
                <w:sz w:val="14"/>
              </w:rPr>
              <w:t>Миланковићу.</w:t>
            </w:r>
          </w:p>
          <w:p w:rsidR="00041039" w:rsidRDefault="001B26CB">
            <w:pPr>
              <w:pStyle w:val="TableParagraph"/>
              <w:numPr>
                <w:ilvl w:val="0"/>
                <w:numId w:val="624"/>
              </w:numPr>
              <w:tabs>
                <w:tab w:val="left" w:pos="157"/>
              </w:tabs>
              <w:spacing w:line="160" w:lineRule="exact"/>
              <w:ind w:hanging="99"/>
              <w:rPr>
                <w:sz w:val="14"/>
              </w:rPr>
            </w:pPr>
            <w:r>
              <w:rPr>
                <w:color w:val="231F20"/>
                <w:sz w:val="14"/>
              </w:rPr>
              <w:t>Избор текстова песама које се</w:t>
            </w:r>
            <w:r>
              <w:rPr>
                <w:color w:val="231F20"/>
                <w:spacing w:val="-6"/>
                <w:sz w:val="14"/>
              </w:rPr>
              <w:t xml:space="preserve"> </w:t>
            </w:r>
            <w:r>
              <w:rPr>
                <w:color w:val="231F20"/>
                <w:spacing w:val="-3"/>
                <w:sz w:val="14"/>
              </w:rPr>
              <w:t>певају.</w:t>
            </w:r>
          </w:p>
          <w:p w:rsidR="00041039" w:rsidRDefault="001B26CB">
            <w:pPr>
              <w:pStyle w:val="TableParagraph"/>
              <w:numPr>
                <w:ilvl w:val="0"/>
                <w:numId w:val="624"/>
              </w:numPr>
              <w:tabs>
                <w:tab w:val="left" w:pos="157"/>
              </w:tabs>
              <w:spacing w:line="237" w:lineRule="auto"/>
              <w:ind w:right="43" w:hanging="99"/>
              <w:jc w:val="both"/>
              <w:rPr>
                <w:sz w:val="14"/>
              </w:rPr>
            </w:pPr>
            <w:r>
              <w:rPr>
                <w:color w:val="231F20"/>
                <w:sz w:val="14"/>
              </w:rPr>
              <w:t>Избор текстова из енциклопедија и часопи­ са за децу и младе (из различитих</w:t>
            </w:r>
            <w:r>
              <w:rPr>
                <w:color w:val="231F20"/>
                <w:spacing w:val="-13"/>
                <w:sz w:val="14"/>
              </w:rPr>
              <w:t xml:space="preserve"> </w:t>
            </w:r>
            <w:r>
              <w:rPr>
                <w:color w:val="231F20"/>
                <w:sz w:val="14"/>
              </w:rPr>
              <w:t>функцио­ налних</w:t>
            </w:r>
            <w:r>
              <w:rPr>
                <w:color w:val="231F20"/>
                <w:spacing w:val="-2"/>
                <w:sz w:val="14"/>
              </w:rPr>
              <w:t xml:space="preserve"> </w:t>
            </w:r>
            <w:r>
              <w:rPr>
                <w:color w:val="231F20"/>
                <w:sz w:val="14"/>
              </w:rPr>
              <w:t>стилова).</w:t>
            </w:r>
          </w:p>
          <w:p w:rsidR="00041039" w:rsidRDefault="001B26CB">
            <w:pPr>
              <w:pStyle w:val="TableParagraph"/>
              <w:ind w:left="57"/>
              <w:rPr>
                <w:b/>
                <w:sz w:val="14"/>
              </w:rPr>
            </w:pPr>
            <w:r>
              <w:rPr>
                <w:b/>
                <w:color w:val="231F20"/>
                <w:sz w:val="14"/>
              </w:rPr>
              <w:t>(Треба обрадити три дела.)</w:t>
            </w:r>
          </w:p>
        </w:tc>
        <w:tc>
          <w:tcPr>
            <w:tcW w:w="2267" w:type="dxa"/>
          </w:tcPr>
          <w:p w:rsidR="00041039" w:rsidRDefault="001B26CB">
            <w:pPr>
              <w:pStyle w:val="TableParagraph"/>
              <w:spacing w:before="19"/>
              <w:ind w:left="57" w:right="41"/>
              <w:rPr>
                <w:sz w:val="14"/>
              </w:rPr>
            </w:pPr>
            <w:r>
              <w:rPr>
                <w:color w:val="231F20"/>
                <w:sz w:val="14"/>
              </w:rPr>
              <w:t>Поред језичких, у пуној мери морају бити заступљени књижевни, уметнички, савремени садржаји и садржаји цивилизацијских текови­ на. У оквиру часова књижевности обрађују се одабрани одломци из српске књижевности у складу са нивоом знања и интересовањима учен</w:t>
            </w:r>
            <w:r>
              <w:rPr>
                <w:color w:val="231F20"/>
                <w:sz w:val="14"/>
              </w:rPr>
              <w:t>ика. Поред предложених књижевних текстова у настави треба користити текстове и других функционалних стилова, аутенти­ чне и конструисане, да би ученици стицали способност разликовања и адекватне примене одговарајућих форми изражавања.</w:t>
            </w:r>
          </w:p>
          <w:p w:rsidR="00041039" w:rsidRDefault="001B26CB">
            <w:pPr>
              <w:pStyle w:val="TableParagraph"/>
              <w:spacing w:line="145" w:lineRule="exact"/>
              <w:ind w:left="57"/>
              <w:rPr>
                <w:sz w:val="14"/>
              </w:rPr>
            </w:pPr>
            <w:r>
              <w:rPr>
                <w:color w:val="231F20"/>
                <w:sz w:val="14"/>
              </w:rPr>
              <w:t xml:space="preserve">Изузетну пажњу треба </w:t>
            </w:r>
            <w:r>
              <w:rPr>
                <w:color w:val="231F20"/>
                <w:sz w:val="14"/>
              </w:rPr>
              <w:t>посве­</w:t>
            </w:r>
          </w:p>
          <w:p w:rsidR="00041039" w:rsidRDefault="001B26CB">
            <w:pPr>
              <w:pStyle w:val="TableParagraph"/>
              <w:ind w:left="57" w:right="41"/>
              <w:rPr>
                <w:sz w:val="14"/>
              </w:rPr>
            </w:pPr>
            <w:r>
              <w:rPr>
                <w:color w:val="231F20"/>
                <w:sz w:val="14"/>
              </w:rPr>
              <w:t>тити мотивацији ученика за рад организовањем различитих метода и облика рада и разноврсним лексичким, граматичким и комуни­ кативним вежбама. Ученике треба подстицати и на уочавање слич­ ности и разлика српског и</w:t>
            </w:r>
            <w:r>
              <w:rPr>
                <w:color w:val="231F20"/>
                <w:spacing w:val="-21"/>
                <w:sz w:val="14"/>
              </w:rPr>
              <w:t xml:space="preserve"> </w:t>
            </w:r>
            <w:r>
              <w:rPr>
                <w:color w:val="231F20"/>
                <w:sz w:val="14"/>
              </w:rPr>
              <w:t>матерњег језика. али и ширих</w:t>
            </w:r>
            <w:r>
              <w:rPr>
                <w:color w:val="231F20"/>
                <w:spacing w:val="-27"/>
                <w:sz w:val="14"/>
              </w:rPr>
              <w:t xml:space="preserve"> </w:t>
            </w:r>
            <w:r>
              <w:rPr>
                <w:color w:val="231F20"/>
                <w:sz w:val="14"/>
              </w:rPr>
              <w:t>културо</w:t>
            </w:r>
            <w:r>
              <w:rPr>
                <w:color w:val="231F20"/>
                <w:sz w:val="14"/>
              </w:rPr>
              <w:t>лошких карактеристика.</w:t>
            </w:r>
          </w:p>
          <w:p w:rsidR="00041039" w:rsidRDefault="001B26CB">
            <w:pPr>
              <w:pStyle w:val="TableParagraph"/>
              <w:spacing w:line="237" w:lineRule="auto"/>
              <w:ind w:left="57" w:right="79"/>
              <w:rPr>
                <w:sz w:val="14"/>
              </w:rPr>
            </w:pPr>
            <w:r>
              <w:rPr>
                <w:color w:val="231F20"/>
                <w:sz w:val="14"/>
              </w:rPr>
              <w:t>Приликом интерпретације</w:t>
            </w:r>
            <w:r>
              <w:rPr>
                <w:color w:val="231F20"/>
                <w:spacing w:val="-20"/>
                <w:sz w:val="14"/>
              </w:rPr>
              <w:t xml:space="preserve"> </w:t>
            </w:r>
            <w:r>
              <w:rPr>
                <w:color w:val="231F20"/>
                <w:sz w:val="14"/>
              </w:rPr>
              <w:t>књижев­ но уметничких текстова, указивати на особености књижевних родова и врста као и на језичко ­ стилске одлике књижевних</w:t>
            </w:r>
            <w:r>
              <w:rPr>
                <w:color w:val="231F20"/>
                <w:spacing w:val="-2"/>
                <w:sz w:val="14"/>
              </w:rPr>
              <w:t xml:space="preserve"> </w:t>
            </w:r>
            <w:r>
              <w:rPr>
                <w:color w:val="231F20"/>
                <w:sz w:val="14"/>
              </w:rPr>
              <w:t>дела.</w:t>
            </w:r>
          </w:p>
          <w:p w:rsidR="00041039" w:rsidRDefault="001B26CB">
            <w:pPr>
              <w:pStyle w:val="TableParagraph"/>
              <w:ind w:left="57" w:right="309"/>
              <w:rPr>
                <w:sz w:val="14"/>
              </w:rPr>
            </w:pPr>
            <w:r>
              <w:rPr>
                <w:color w:val="231F20"/>
                <w:sz w:val="14"/>
              </w:rPr>
              <w:t>На примерима текстова српс­ ке књижевности обнављати и систематизовати садржај</w:t>
            </w:r>
            <w:r>
              <w:rPr>
                <w:color w:val="231F20"/>
                <w:sz w:val="14"/>
              </w:rPr>
              <w:t>е из историје књижевности, теорије</w:t>
            </w:r>
          </w:p>
          <w:p w:rsidR="00041039" w:rsidRDefault="001B26CB">
            <w:pPr>
              <w:pStyle w:val="TableParagraph"/>
              <w:spacing w:line="237" w:lineRule="auto"/>
              <w:ind w:left="57"/>
              <w:rPr>
                <w:sz w:val="14"/>
              </w:rPr>
            </w:pPr>
            <w:r>
              <w:rPr>
                <w:color w:val="231F20"/>
                <w:sz w:val="14"/>
              </w:rPr>
              <w:t>књижевности и књижевне критике, које ученик познаје из програма прописаног за савладавање његовог матерњег језика.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1"/>
          <w:numId w:val="976"/>
        </w:numPr>
        <w:tabs>
          <w:tab w:val="left" w:pos="633"/>
        </w:tabs>
      </w:pPr>
      <w:r>
        <w:rPr>
          <w:color w:val="231F20"/>
        </w:rPr>
        <w:t>Матерњи језик и</w:t>
      </w:r>
      <w:r>
        <w:rPr>
          <w:color w:val="231F20"/>
          <w:spacing w:val="-3"/>
        </w:rPr>
        <w:t xml:space="preserve"> </w:t>
      </w:r>
      <w:r>
        <w:rPr>
          <w:color w:val="231F20"/>
        </w:rPr>
        <w:t>књижевност</w:t>
      </w:r>
    </w:p>
    <w:p w:rsidR="00041039" w:rsidRDefault="001B26CB">
      <w:pPr>
        <w:pStyle w:val="ListParagraph"/>
        <w:numPr>
          <w:ilvl w:val="1"/>
          <w:numId w:val="976"/>
        </w:numPr>
        <w:tabs>
          <w:tab w:val="left" w:pos="633"/>
        </w:tabs>
        <w:rPr>
          <w:sz w:val="18"/>
        </w:rPr>
      </w:pPr>
      <w:r>
        <w:rPr>
          <w:color w:val="231F20"/>
          <w:sz w:val="18"/>
        </w:rPr>
        <w:t>Историја</w:t>
      </w:r>
    </w:p>
    <w:p w:rsidR="00041039" w:rsidRDefault="001B26CB">
      <w:pPr>
        <w:pStyle w:val="ListParagraph"/>
        <w:numPr>
          <w:ilvl w:val="1"/>
          <w:numId w:val="976"/>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1"/>
          <w:numId w:val="976"/>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1"/>
          <w:numId w:val="976"/>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p w:rsidR="00041039" w:rsidRDefault="00041039">
      <w:pPr>
        <w:pStyle w:val="BodyText"/>
        <w:rPr>
          <w:sz w:val="23"/>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pStyle w:val="BodyText"/>
        <w:tabs>
          <w:tab w:val="left" w:pos="1460"/>
        </w:tabs>
        <w:spacing w:before="49"/>
        <w:ind w:left="1565" w:right="347" w:hanging="1409"/>
      </w:pPr>
      <w:r>
        <w:rPr>
          <w:color w:val="231F20"/>
        </w:rPr>
        <w:t>Циљ</w:t>
      </w:r>
      <w:r>
        <w:rPr>
          <w:color w:val="231F20"/>
          <w:spacing w:val="-3"/>
        </w:rPr>
        <w:t xml:space="preserve"> </w:t>
      </w:r>
      <w:r>
        <w:rPr>
          <w:color w:val="231F20"/>
        </w:rPr>
        <w:t>предмета:</w:t>
      </w:r>
      <w:r>
        <w:rPr>
          <w:color w:val="231F20"/>
        </w:rPr>
        <w:tab/>
        <w:t>–</w:t>
      </w:r>
      <w:r>
        <w:rPr>
          <w:color w:val="231F20"/>
          <w:spacing w:val="-3"/>
        </w:rPr>
        <w:t xml:space="preserve"> </w:t>
      </w:r>
      <w:r>
        <w:rPr>
          <w:color w:val="231F20"/>
        </w:rPr>
        <w:t>Развијање</w:t>
      </w:r>
      <w:r>
        <w:rPr>
          <w:color w:val="231F20"/>
          <w:spacing w:val="-4"/>
        </w:rPr>
        <w:t xml:space="preserve"> </w:t>
      </w:r>
      <w:r>
        <w:rPr>
          <w:color w:val="231F20"/>
        </w:rPr>
        <w:t>сазнајних</w:t>
      </w:r>
      <w:r>
        <w:rPr>
          <w:color w:val="231F20"/>
          <w:spacing w:val="-3"/>
        </w:rPr>
        <w:t xml:space="preserve"> </w:t>
      </w:r>
      <w:r>
        <w:rPr>
          <w:color w:val="231F20"/>
        </w:rPr>
        <w:t>и</w:t>
      </w:r>
      <w:r>
        <w:rPr>
          <w:color w:val="231F20"/>
          <w:spacing w:val="-4"/>
        </w:rPr>
        <w:t xml:space="preserve"> </w:t>
      </w:r>
      <w:r>
        <w:rPr>
          <w:color w:val="231F20"/>
        </w:rPr>
        <w:t>интелектуалних</w:t>
      </w:r>
      <w:r>
        <w:rPr>
          <w:color w:val="231F20"/>
          <w:spacing w:val="-4"/>
        </w:rPr>
        <w:t xml:space="preserve"> </w:t>
      </w:r>
      <w:r>
        <w:rPr>
          <w:color w:val="231F20"/>
        </w:rPr>
        <w:t>способности</w:t>
      </w:r>
      <w:r>
        <w:rPr>
          <w:color w:val="231F20"/>
          <w:spacing w:val="-3"/>
        </w:rPr>
        <w:t xml:space="preserve"> </w:t>
      </w:r>
      <w:r>
        <w:rPr>
          <w:color w:val="231F20"/>
        </w:rPr>
        <w:t>и</w:t>
      </w:r>
      <w:r>
        <w:rPr>
          <w:color w:val="231F20"/>
          <w:spacing w:val="-4"/>
        </w:rPr>
        <w:t xml:space="preserve"> </w:t>
      </w:r>
      <w:r>
        <w:rPr>
          <w:color w:val="231F20"/>
        </w:rPr>
        <w:t>стицање</w:t>
      </w:r>
      <w:r>
        <w:rPr>
          <w:color w:val="231F20"/>
          <w:spacing w:val="-3"/>
        </w:rPr>
        <w:t xml:space="preserve"> </w:t>
      </w:r>
      <w:r>
        <w:rPr>
          <w:color w:val="231F20"/>
        </w:rPr>
        <w:t>позитивног</w:t>
      </w:r>
      <w:r>
        <w:rPr>
          <w:color w:val="231F20"/>
          <w:spacing w:val="-4"/>
        </w:rPr>
        <w:t xml:space="preserve"> </w:t>
      </w:r>
      <w:r>
        <w:rPr>
          <w:color w:val="231F20"/>
        </w:rPr>
        <w:t>односа</w:t>
      </w:r>
      <w:r>
        <w:rPr>
          <w:color w:val="231F20"/>
          <w:spacing w:val="-3"/>
        </w:rPr>
        <w:t xml:space="preserve"> </w:t>
      </w:r>
      <w:r>
        <w:rPr>
          <w:color w:val="231F20"/>
        </w:rPr>
        <w:t>према</w:t>
      </w:r>
      <w:r>
        <w:rPr>
          <w:color w:val="231F20"/>
          <w:spacing w:val="-3"/>
        </w:rPr>
        <w:t xml:space="preserve"> </w:t>
      </w:r>
      <w:r>
        <w:rPr>
          <w:color w:val="231F20"/>
        </w:rPr>
        <w:t>другим</w:t>
      </w:r>
      <w:r>
        <w:rPr>
          <w:color w:val="231F20"/>
          <w:spacing w:val="-3"/>
        </w:rPr>
        <w:t xml:space="preserve"> </w:t>
      </w:r>
      <w:r>
        <w:rPr>
          <w:color w:val="231F20"/>
        </w:rPr>
        <w:t>културама</w:t>
      </w:r>
      <w:r>
        <w:rPr>
          <w:color w:val="231F20"/>
          <w:spacing w:val="-3"/>
        </w:rPr>
        <w:t xml:space="preserve"> </w:t>
      </w:r>
      <w:r>
        <w:rPr>
          <w:color w:val="231F20"/>
        </w:rPr>
        <w:t>уз</w:t>
      </w:r>
      <w:r>
        <w:rPr>
          <w:color w:val="231F20"/>
          <w:spacing w:val="-3"/>
        </w:rPr>
        <w:t xml:space="preserve"> </w:t>
      </w:r>
      <w:r>
        <w:rPr>
          <w:color w:val="231F20"/>
        </w:rPr>
        <w:t>уважавање</w:t>
      </w:r>
      <w:r>
        <w:rPr>
          <w:color w:val="231F20"/>
          <w:spacing w:val="-3"/>
        </w:rPr>
        <w:t xml:space="preserve"> </w:t>
      </w:r>
      <w:r>
        <w:rPr>
          <w:color w:val="231F20"/>
        </w:rPr>
        <w:t>различитости</w:t>
      </w:r>
      <w:r>
        <w:rPr>
          <w:color w:val="231F20"/>
          <w:spacing w:val="-3"/>
        </w:rPr>
        <w:t xml:space="preserve"> </w:t>
      </w:r>
      <w:r>
        <w:rPr>
          <w:color w:val="231F20"/>
        </w:rPr>
        <w:t>и</w:t>
      </w:r>
      <w:r>
        <w:rPr>
          <w:color w:val="231F20"/>
          <w:spacing w:val="-4"/>
        </w:rPr>
        <w:t xml:space="preserve"> </w:t>
      </w:r>
      <w:r>
        <w:rPr>
          <w:color w:val="231F20"/>
        </w:rPr>
        <w:t>усвајањез­ нања и умења потребних у комуникацији на страном језику у усменом и писаном</w:t>
      </w:r>
      <w:r>
        <w:rPr>
          <w:color w:val="231F20"/>
          <w:spacing w:val="-8"/>
        </w:rPr>
        <w:t xml:space="preserve"> </w:t>
      </w:r>
      <w:r>
        <w:rPr>
          <w:color w:val="231F20"/>
          <w:spacing w:val="-4"/>
        </w:rPr>
        <w:t>облику.</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623"/>
              </w:numPr>
              <w:tabs>
                <w:tab w:val="left" w:pos="157"/>
              </w:tabs>
              <w:spacing w:before="8"/>
              <w:ind w:right="216"/>
              <w:rPr>
                <w:sz w:val="14"/>
              </w:rPr>
            </w:pPr>
            <w:r>
              <w:rPr>
                <w:color w:val="231F20"/>
                <w:sz w:val="14"/>
              </w:rPr>
              <w:t>разуме реченице, питања и упутства из</w:t>
            </w:r>
            <w:r>
              <w:rPr>
                <w:color w:val="231F20"/>
                <w:spacing w:val="-23"/>
                <w:sz w:val="14"/>
              </w:rPr>
              <w:t xml:space="preserve"> </w:t>
            </w:r>
            <w:r>
              <w:rPr>
                <w:color w:val="231F20"/>
                <w:sz w:val="14"/>
              </w:rPr>
              <w:t>свако­ дневног говора (кратка упутства изговорена споро и</w:t>
            </w:r>
            <w:r>
              <w:rPr>
                <w:color w:val="231F20"/>
                <w:spacing w:val="-2"/>
                <w:sz w:val="14"/>
              </w:rPr>
              <w:t xml:space="preserve"> </w:t>
            </w:r>
            <w:r>
              <w:rPr>
                <w:color w:val="231F20"/>
                <w:sz w:val="14"/>
              </w:rPr>
              <w:t>разговетно);</w:t>
            </w:r>
          </w:p>
          <w:p w:rsidR="00041039" w:rsidRDefault="001B26CB">
            <w:pPr>
              <w:pStyle w:val="TableParagraph"/>
              <w:numPr>
                <w:ilvl w:val="0"/>
                <w:numId w:val="623"/>
              </w:numPr>
              <w:tabs>
                <w:tab w:val="left" w:pos="157"/>
              </w:tabs>
              <w:spacing w:line="157" w:lineRule="exact"/>
              <w:rPr>
                <w:sz w:val="14"/>
              </w:rPr>
            </w:pPr>
            <w:r>
              <w:rPr>
                <w:color w:val="231F20"/>
                <w:sz w:val="14"/>
              </w:rPr>
              <w:t>разуме општи садржај краћих,</w:t>
            </w:r>
            <w:r>
              <w:rPr>
                <w:color w:val="231F20"/>
                <w:spacing w:val="-5"/>
                <w:sz w:val="14"/>
              </w:rPr>
              <w:t xml:space="preserve"> </w:t>
            </w:r>
            <w:r>
              <w:rPr>
                <w:color w:val="231F20"/>
                <w:sz w:val="14"/>
              </w:rPr>
              <w:t>прилагођених</w:t>
            </w:r>
          </w:p>
          <w:p w:rsidR="00041039" w:rsidRDefault="001B26CB">
            <w:pPr>
              <w:pStyle w:val="TableParagraph"/>
              <w:rPr>
                <w:sz w:val="14"/>
              </w:rPr>
            </w:pPr>
            <w:r>
              <w:rPr>
                <w:color w:val="231F20"/>
                <w:sz w:val="14"/>
              </w:rPr>
              <w:t>текстова после неколико слушања или уз помоћ визуелних ефеката (на упутствима, ознакама, етикетама);</w:t>
            </w:r>
          </w:p>
          <w:p w:rsidR="00041039" w:rsidRDefault="001B26CB">
            <w:pPr>
              <w:pStyle w:val="TableParagraph"/>
              <w:numPr>
                <w:ilvl w:val="0"/>
                <w:numId w:val="623"/>
              </w:numPr>
              <w:tabs>
                <w:tab w:val="left" w:pos="157"/>
              </w:tabs>
              <w:spacing w:line="159" w:lineRule="exact"/>
              <w:rPr>
                <w:sz w:val="14"/>
              </w:rPr>
            </w:pPr>
            <w:r>
              <w:rPr>
                <w:color w:val="231F20"/>
                <w:sz w:val="14"/>
              </w:rPr>
              <w:t>разу</w:t>
            </w:r>
            <w:r>
              <w:rPr>
                <w:color w:val="231F20"/>
                <w:sz w:val="14"/>
              </w:rPr>
              <w:t>ме бројеве (цене, рачуне, тачно</w:t>
            </w:r>
            <w:r>
              <w:rPr>
                <w:color w:val="231F20"/>
                <w:spacing w:val="-10"/>
                <w:sz w:val="14"/>
              </w:rPr>
              <w:t xml:space="preserve"> </w:t>
            </w:r>
            <w:r>
              <w:rPr>
                <w:color w:val="231F20"/>
                <w:sz w:val="14"/>
              </w:rPr>
              <w:t>време);</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622"/>
              </w:numPr>
              <w:tabs>
                <w:tab w:val="left" w:pos="157"/>
              </w:tabs>
              <w:spacing w:line="237" w:lineRule="auto"/>
              <w:ind w:right="305"/>
              <w:rPr>
                <w:sz w:val="14"/>
              </w:rPr>
            </w:pPr>
            <w:r>
              <w:rPr>
                <w:color w:val="231F20"/>
                <w:sz w:val="14"/>
              </w:rPr>
              <w:t>Свакодневни</w:t>
            </w:r>
            <w:r>
              <w:rPr>
                <w:color w:val="231F20"/>
                <w:spacing w:val="-9"/>
                <w:sz w:val="14"/>
              </w:rPr>
              <w:t xml:space="preserve"> </w:t>
            </w:r>
            <w:r>
              <w:rPr>
                <w:color w:val="231F20"/>
                <w:sz w:val="14"/>
              </w:rPr>
              <w:t>живот</w:t>
            </w:r>
            <w:r>
              <w:rPr>
                <w:color w:val="231F20"/>
                <w:spacing w:val="-9"/>
                <w:sz w:val="14"/>
              </w:rPr>
              <w:t xml:space="preserve"> </w:t>
            </w:r>
            <w:r>
              <w:rPr>
                <w:color w:val="231F20"/>
                <w:sz w:val="14"/>
              </w:rPr>
              <w:t>(организација</w:t>
            </w:r>
            <w:r>
              <w:rPr>
                <w:color w:val="231F20"/>
                <w:spacing w:val="-9"/>
                <w:sz w:val="14"/>
              </w:rPr>
              <w:t xml:space="preserve"> </w:t>
            </w:r>
            <w:r>
              <w:rPr>
                <w:color w:val="231F20"/>
                <w:sz w:val="14"/>
              </w:rPr>
              <w:t>времена,</w:t>
            </w:r>
            <w:r>
              <w:rPr>
                <w:color w:val="231F20"/>
                <w:spacing w:val="-10"/>
                <w:sz w:val="14"/>
              </w:rPr>
              <w:t xml:space="preserve"> </w:t>
            </w:r>
            <w:r>
              <w:rPr>
                <w:color w:val="231F20"/>
                <w:sz w:val="14"/>
              </w:rPr>
              <w:t>по­ слова, слободно</w:t>
            </w:r>
            <w:r>
              <w:rPr>
                <w:color w:val="231F20"/>
                <w:spacing w:val="-1"/>
                <w:sz w:val="14"/>
              </w:rPr>
              <w:t xml:space="preserve"> </w:t>
            </w:r>
            <w:r>
              <w:rPr>
                <w:color w:val="231F20"/>
                <w:sz w:val="14"/>
              </w:rPr>
              <w:t>време).</w:t>
            </w:r>
          </w:p>
          <w:p w:rsidR="00041039" w:rsidRDefault="001B26CB">
            <w:pPr>
              <w:pStyle w:val="TableParagraph"/>
              <w:numPr>
                <w:ilvl w:val="0"/>
                <w:numId w:val="622"/>
              </w:numPr>
              <w:tabs>
                <w:tab w:val="left" w:pos="157"/>
              </w:tabs>
              <w:spacing w:line="160" w:lineRule="exact"/>
              <w:ind w:right="293"/>
              <w:rPr>
                <w:sz w:val="14"/>
              </w:rPr>
            </w:pPr>
            <w:r>
              <w:rPr>
                <w:color w:val="231F20"/>
                <w:sz w:val="14"/>
              </w:rPr>
              <w:t>Храна и здравље (навике у исхрани,</w:t>
            </w:r>
            <w:r>
              <w:rPr>
                <w:color w:val="231F20"/>
                <w:spacing w:val="-20"/>
                <w:sz w:val="14"/>
              </w:rPr>
              <w:t xml:space="preserve"> </w:t>
            </w:r>
            <w:r>
              <w:rPr>
                <w:color w:val="231F20"/>
                <w:sz w:val="14"/>
              </w:rPr>
              <w:t>карактери­ стична јела и пића у земљама</w:t>
            </w:r>
            <w:r>
              <w:rPr>
                <w:color w:val="231F20"/>
                <w:spacing w:val="-5"/>
                <w:sz w:val="14"/>
              </w:rPr>
              <w:t xml:space="preserve"> </w:t>
            </w:r>
            <w:r>
              <w:rPr>
                <w:color w:val="231F20"/>
                <w:sz w:val="14"/>
              </w:rPr>
              <w:t>света).</w:t>
            </w:r>
          </w:p>
          <w:p w:rsidR="00041039" w:rsidRDefault="001B26CB">
            <w:pPr>
              <w:pStyle w:val="TableParagraph"/>
              <w:numPr>
                <w:ilvl w:val="0"/>
                <w:numId w:val="622"/>
              </w:numPr>
              <w:tabs>
                <w:tab w:val="left" w:pos="157"/>
              </w:tabs>
              <w:spacing w:line="153" w:lineRule="exact"/>
              <w:rPr>
                <w:sz w:val="14"/>
              </w:rPr>
            </w:pPr>
            <w:r>
              <w:rPr>
                <w:color w:val="231F20"/>
                <w:sz w:val="14"/>
              </w:rPr>
              <w:t>Познати</w:t>
            </w:r>
            <w:r>
              <w:rPr>
                <w:color w:val="231F20"/>
                <w:spacing w:val="-8"/>
                <w:sz w:val="14"/>
              </w:rPr>
              <w:t xml:space="preserve"> </w:t>
            </w:r>
            <w:r>
              <w:rPr>
                <w:color w:val="231F20"/>
                <w:sz w:val="14"/>
              </w:rPr>
              <w:t>градови</w:t>
            </w:r>
            <w:r>
              <w:rPr>
                <w:color w:val="231F20"/>
                <w:spacing w:val="-9"/>
                <w:sz w:val="14"/>
              </w:rPr>
              <w:t xml:space="preserve"> </w:t>
            </w:r>
            <w:r>
              <w:rPr>
                <w:color w:val="231F20"/>
                <w:sz w:val="14"/>
              </w:rPr>
              <w:t>и</w:t>
            </w:r>
            <w:r>
              <w:rPr>
                <w:color w:val="231F20"/>
                <w:spacing w:val="-9"/>
                <w:sz w:val="14"/>
              </w:rPr>
              <w:t xml:space="preserve"> </w:t>
            </w:r>
            <w:r>
              <w:rPr>
                <w:color w:val="231F20"/>
                <w:sz w:val="14"/>
              </w:rPr>
              <w:t>њихове</w:t>
            </w:r>
            <w:r>
              <w:rPr>
                <w:color w:val="231F20"/>
                <w:spacing w:val="-8"/>
                <w:sz w:val="14"/>
              </w:rPr>
              <w:t xml:space="preserve"> </w:t>
            </w:r>
            <w:r>
              <w:rPr>
                <w:color w:val="231F20"/>
                <w:sz w:val="14"/>
              </w:rPr>
              <w:t>знаменитости.</w:t>
            </w:r>
          </w:p>
          <w:p w:rsidR="00041039" w:rsidRDefault="001B26CB">
            <w:pPr>
              <w:pStyle w:val="TableParagraph"/>
              <w:numPr>
                <w:ilvl w:val="0"/>
                <w:numId w:val="622"/>
              </w:numPr>
              <w:tabs>
                <w:tab w:val="left" w:pos="157"/>
              </w:tabs>
              <w:spacing w:line="160" w:lineRule="exact"/>
              <w:rPr>
                <w:sz w:val="14"/>
              </w:rPr>
            </w:pPr>
            <w:r>
              <w:rPr>
                <w:color w:val="231F20"/>
                <w:sz w:val="14"/>
              </w:rPr>
              <w:t>Спортови и позната спортска</w:t>
            </w:r>
            <w:r>
              <w:rPr>
                <w:color w:val="231F20"/>
                <w:spacing w:val="-15"/>
                <w:sz w:val="14"/>
              </w:rPr>
              <w:t xml:space="preserve"> </w:t>
            </w:r>
            <w:r>
              <w:rPr>
                <w:color w:val="231F20"/>
                <w:sz w:val="14"/>
              </w:rPr>
              <w:t>такмичења.</w:t>
            </w:r>
          </w:p>
          <w:p w:rsidR="00041039" w:rsidRDefault="001B26CB">
            <w:pPr>
              <w:pStyle w:val="TableParagraph"/>
              <w:numPr>
                <w:ilvl w:val="0"/>
                <w:numId w:val="622"/>
              </w:numPr>
              <w:tabs>
                <w:tab w:val="left" w:pos="157"/>
              </w:tabs>
              <w:spacing w:line="237" w:lineRule="auto"/>
              <w:ind w:right="365"/>
              <w:rPr>
                <w:sz w:val="14"/>
              </w:rPr>
            </w:pPr>
            <w:r>
              <w:rPr>
                <w:color w:val="231F20"/>
                <w:sz w:val="14"/>
              </w:rPr>
              <w:t xml:space="preserve">Живот и дела славних </w:t>
            </w:r>
            <w:r>
              <w:rPr>
                <w:color w:val="231F20"/>
                <w:spacing w:val="-3"/>
                <w:sz w:val="14"/>
              </w:rPr>
              <w:t xml:space="preserve">људи </w:t>
            </w:r>
            <w:r>
              <w:rPr>
                <w:color w:val="231F20"/>
                <w:sz w:val="14"/>
              </w:rPr>
              <w:t xml:space="preserve">ХХ века (из света </w:t>
            </w:r>
            <w:r>
              <w:rPr>
                <w:color w:val="231F20"/>
                <w:spacing w:val="-3"/>
                <w:sz w:val="14"/>
              </w:rPr>
              <w:t>науке,</w:t>
            </w:r>
            <w:r>
              <w:rPr>
                <w:color w:val="231F20"/>
                <w:spacing w:val="-1"/>
                <w:sz w:val="14"/>
              </w:rPr>
              <w:t xml:space="preserve"> </w:t>
            </w:r>
            <w:r>
              <w:rPr>
                <w:color w:val="231F20"/>
                <w:sz w:val="14"/>
              </w:rPr>
              <w:t>културе).</w:t>
            </w:r>
          </w:p>
          <w:p w:rsidR="00041039" w:rsidRDefault="001B26CB">
            <w:pPr>
              <w:pStyle w:val="TableParagraph"/>
              <w:numPr>
                <w:ilvl w:val="0"/>
                <w:numId w:val="622"/>
              </w:numPr>
              <w:tabs>
                <w:tab w:val="left" w:pos="157"/>
              </w:tabs>
              <w:spacing w:line="155" w:lineRule="exact"/>
              <w:rPr>
                <w:sz w:val="14"/>
              </w:rPr>
            </w:pPr>
            <w:r>
              <w:rPr>
                <w:color w:val="231F20"/>
                <w:sz w:val="14"/>
              </w:rPr>
              <w:t>Медији (штампа,</w:t>
            </w:r>
            <w:r>
              <w:rPr>
                <w:color w:val="231F20"/>
                <w:spacing w:val="-1"/>
                <w:sz w:val="14"/>
              </w:rPr>
              <w:t xml:space="preserve"> </w:t>
            </w:r>
            <w:r>
              <w:rPr>
                <w:color w:val="231F20"/>
                <w:sz w:val="14"/>
              </w:rPr>
              <w:t>телевизија).</w:t>
            </w:r>
          </w:p>
          <w:p w:rsidR="00041039" w:rsidRDefault="001B26CB">
            <w:pPr>
              <w:pStyle w:val="TableParagraph"/>
              <w:numPr>
                <w:ilvl w:val="0"/>
                <w:numId w:val="622"/>
              </w:numPr>
              <w:tabs>
                <w:tab w:val="left" w:pos="157"/>
              </w:tabs>
              <w:spacing w:line="160" w:lineRule="exact"/>
              <w:rPr>
                <w:sz w:val="14"/>
              </w:rPr>
            </w:pPr>
            <w:r>
              <w:rPr>
                <w:color w:val="231F20"/>
                <w:sz w:val="14"/>
              </w:rPr>
              <w:t>Интересантне животне приче и</w:t>
            </w:r>
            <w:r>
              <w:rPr>
                <w:color w:val="231F20"/>
                <w:spacing w:val="-4"/>
                <w:sz w:val="14"/>
              </w:rPr>
              <w:t xml:space="preserve"> </w:t>
            </w:r>
            <w:r>
              <w:rPr>
                <w:color w:val="231F20"/>
                <w:sz w:val="14"/>
              </w:rPr>
              <w:t>догађаји.</w:t>
            </w:r>
          </w:p>
          <w:p w:rsidR="00041039" w:rsidRDefault="001B26CB">
            <w:pPr>
              <w:pStyle w:val="TableParagraph"/>
              <w:numPr>
                <w:ilvl w:val="0"/>
                <w:numId w:val="622"/>
              </w:numPr>
              <w:tabs>
                <w:tab w:val="left" w:pos="157"/>
              </w:tabs>
              <w:spacing w:line="166" w:lineRule="exact"/>
              <w:rPr>
                <w:sz w:val="14"/>
              </w:rPr>
            </w:pPr>
            <w:r>
              <w:rPr>
                <w:color w:val="231F20"/>
                <w:sz w:val="14"/>
              </w:rPr>
              <w:t>Свет компјутера (распрострањеност и</w:t>
            </w:r>
            <w:r>
              <w:rPr>
                <w:color w:val="231F20"/>
                <w:spacing w:val="-7"/>
                <w:sz w:val="14"/>
              </w:rPr>
              <w:t xml:space="preserve"> </w:t>
            </w:r>
            <w:r>
              <w:rPr>
                <w:color w:val="231F20"/>
                <w:sz w:val="14"/>
              </w:rPr>
              <w:t>примена).</w:t>
            </w:r>
          </w:p>
        </w:tc>
        <w:tc>
          <w:tcPr>
            <w:tcW w:w="2834" w:type="dxa"/>
            <w:vMerge w:val="restart"/>
          </w:tcPr>
          <w:p w:rsidR="00041039" w:rsidRDefault="001B26CB">
            <w:pPr>
              <w:pStyle w:val="TableParagraph"/>
              <w:numPr>
                <w:ilvl w:val="0"/>
                <w:numId w:val="621"/>
              </w:numPr>
              <w:tabs>
                <w:tab w:val="left" w:pos="162"/>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621"/>
              </w:numPr>
              <w:tabs>
                <w:tab w:val="left" w:pos="162"/>
              </w:tabs>
              <w:ind w:right="282"/>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numPr>
                <w:ilvl w:val="0"/>
                <w:numId w:val="621"/>
              </w:numPr>
              <w:tabs>
                <w:tab w:val="left" w:pos="162"/>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621"/>
              </w:numPr>
              <w:tabs>
                <w:tab w:val="left" w:pos="162"/>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621"/>
              </w:numPr>
              <w:tabs>
                <w:tab w:val="left" w:pos="162"/>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621"/>
              </w:numPr>
              <w:tabs>
                <w:tab w:val="left" w:pos="162"/>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621"/>
              </w:numPr>
              <w:tabs>
                <w:tab w:val="left" w:pos="162"/>
              </w:tabs>
              <w:spacing w:line="160" w:lineRule="exact"/>
              <w:rPr>
                <w:sz w:val="14"/>
              </w:rPr>
            </w:pPr>
            <w:r>
              <w:rPr>
                <w:color w:val="231F20"/>
                <w:sz w:val="14"/>
              </w:rPr>
              <w:t>Изражавање потврд</w:t>
            </w:r>
            <w:r>
              <w:rPr>
                <w:color w:val="231F20"/>
                <w:sz w:val="14"/>
              </w:rPr>
              <w:t>е и</w:t>
            </w:r>
            <w:r>
              <w:rPr>
                <w:color w:val="231F20"/>
                <w:spacing w:val="-4"/>
                <w:sz w:val="14"/>
              </w:rPr>
              <w:t xml:space="preserve"> </w:t>
            </w:r>
            <w:r>
              <w:rPr>
                <w:color w:val="231F20"/>
                <w:sz w:val="14"/>
              </w:rPr>
              <w:t>негирање.</w:t>
            </w:r>
          </w:p>
          <w:p w:rsidR="00041039" w:rsidRDefault="001B26CB">
            <w:pPr>
              <w:pStyle w:val="TableParagraph"/>
              <w:numPr>
                <w:ilvl w:val="0"/>
                <w:numId w:val="621"/>
              </w:numPr>
              <w:tabs>
                <w:tab w:val="left" w:pos="162"/>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621"/>
              </w:numPr>
              <w:tabs>
                <w:tab w:val="left" w:pos="162"/>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621"/>
              </w:numPr>
              <w:tabs>
                <w:tab w:val="left" w:pos="162"/>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621"/>
              </w:numPr>
              <w:tabs>
                <w:tab w:val="left" w:pos="162"/>
              </w:tabs>
              <w:ind w:right="628"/>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621"/>
              </w:numPr>
              <w:tabs>
                <w:tab w:val="left" w:pos="162"/>
              </w:tabs>
              <w:ind w:right="273"/>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621"/>
              </w:numPr>
              <w:tabs>
                <w:tab w:val="left" w:pos="162"/>
              </w:tabs>
              <w:spacing w:line="159" w:lineRule="exact"/>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621"/>
              </w:numPr>
              <w:tabs>
                <w:tab w:val="left" w:pos="162"/>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621"/>
              </w:numPr>
              <w:tabs>
                <w:tab w:val="left" w:pos="162"/>
              </w:tabs>
              <w:spacing w:line="160" w:lineRule="exact"/>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numPr>
                <w:ilvl w:val="0"/>
                <w:numId w:val="621"/>
              </w:numPr>
              <w:tabs>
                <w:tab w:val="left" w:pos="162"/>
              </w:tabs>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numPr>
                <w:ilvl w:val="0"/>
                <w:numId w:val="621"/>
              </w:numPr>
              <w:tabs>
                <w:tab w:val="left" w:pos="162"/>
              </w:tabs>
              <w:spacing w:line="159"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numPr>
                <w:ilvl w:val="0"/>
                <w:numId w:val="621"/>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621"/>
              </w:numPr>
              <w:tabs>
                <w:tab w:val="left" w:pos="162"/>
              </w:tabs>
              <w:spacing w:line="161" w:lineRule="exact"/>
              <w:rPr>
                <w:sz w:val="14"/>
              </w:rPr>
            </w:pPr>
            <w:r>
              <w:rPr>
                <w:color w:val="231F20"/>
                <w:sz w:val="14"/>
              </w:rPr>
              <w:t>Исказивање</w:t>
            </w:r>
            <w:r>
              <w:rPr>
                <w:color w:val="231F20"/>
                <w:spacing w:val="-1"/>
                <w:sz w:val="14"/>
              </w:rPr>
              <w:t xml:space="preserve"> </w:t>
            </w:r>
            <w:r>
              <w:rPr>
                <w:color w:val="231F20"/>
                <w:sz w:val="14"/>
              </w:rPr>
              <w:t>препоруке.</w:t>
            </w:r>
          </w:p>
        </w:tc>
      </w:tr>
      <w:tr w:rsidR="00041039">
        <w:trPr>
          <w:trHeight w:val="1061"/>
        </w:trPr>
        <w:tc>
          <w:tcPr>
            <w:tcW w:w="1304" w:type="dxa"/>
            <w:tcBorders>
              <w:top w:val="nil"/>
            </w:tcBorders>
          </w:tcPr>
          <w:p w:rsidR="00041039" w:rsidRDefault="001B26CB">
            <w:pPr>
              <w:pStyle w:val="TableParagraph"/>
              <w:numPr>
                <w:ilvl w:val="0"/>
                <w:numId w:val="620"/>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619"/>
              </w:numPr>
              <w:tabs>
                <w:tab w:val="left" w:pos="157"/>
              </w:tabs>
              <w:spacing w:before="9"/>
              <w:ind w:right="228"/>
              <w:jc w:val="both"/>
              <w:rPr>
                <w:sz w:val="14"/>
              </w:rPr>
            </w:pPr>
            <w:r>
              <w:rPr>
                <w:color w:val="231F20"/>
                <w:sz w:val="14"/>
              </w:rPr>
              <w:t>у</w:t>
            </w:r>
            <w:r>
              <w:rPr>
                <w:color w:val="231F20"/>
                <w:spacing w:val="-8"/>
                <w:sz w:val="14"/>
              </w:rPr>
              <w:t xml:space="preserve"> </w:t>
            </w:r>
            <w:r>
              <w:rPr>
                <w:color w:val="231F20"/>
                <w:sz w:val="14"/>
              </w:rPr>
              <w:t>непознатом</w:t>
            </w:r>
            <w:r>
              <w:rPr>
                <w:color w:val="231F20"/>
                <w:spacing w:val="-8"/>
                <w:sz w:val="14"/>
              </w:rPr>
              <w:t xml:space="preserve"> </w:t>
            </w:r>
            <w:r>
              <w:rPr>
                <w:color w:val="231F20"/>
                <w:sz w:val="14"/>
              </w:rPr>
              <w:t>тексту</w:t>
            </w:r>
            <w:r>
              <w:rPr>
                <w:color w:val="231F20"/>
                <w:spacing w:val="-8"/>
                <w:sz w:val="14"/>
              </w:rPr>
              <w:t xml:space="preserve"> </w:t>
            </w:r>
            <w:r>
              <w:rPr>
                <w:color w:val="231F20"/>
                <w:sz w:val="14"/>
              </w:rPr>
              <w:t>препознаје</w:t>
            </w:r>
            <w:r>
              <w:rPr>
                <w:color w:val="231F20"/>
                <w:spacing w:val="-9"/>
                <w:sz w:val="14"/>
              </w:rPr>
              <w:t xml:space="preserve"> </w:t>
            </w:r>
            <w:r>
              <w:rPr>
                <w:color w:val="231F20"/>
                <w:sz w:val="14"/>
              </w:rPr>
              <w:t>познате</w:t>
            </w:r>
            <w:r>
              <w:rPr>
                <w:color w:val="231F20"/>
                <w:spacing w:val="-8"/>
                <w:sz w:val="14"/>
              </w:rPr>
              <w:t xml:space="preserve"> </w:t>
            </w:r>
            <w:r>
              <w:rPr>
                <w:color w:val="231F20"/>
                <w:sz w:val="14"/>
              </w:rPr>
              <w:t>речи, изразе</w:t>
            </w:r>
            <w:r>
              <w:rPr>
                <w:color w:val="231F20"/>
                <w:spacing w:val="-5"/>
                <w:sz w:val="14"/>
              </w:rPr>
              <w:t xml:space="preserve"> </w:t>
            </w:r>
            <w:r>
              <w:rPr>
                <w:color w:val="231F20"/>
                <w:sz w:val="14"/>
              </w:rPr>
              <w:t>и</w:t>
            </w:r>
            <w:r>
              <w:rPr>
                <w:color w:val="231F20"/>
                <w:spacing w:val="-5"/>
                <w:sz w:val="14"/>
              </w:rPr>
              <w:t xml:space="preserve"> </w:t>
            </w:r>
            <w:r>
              <w:rPr>
                <w:color w:val="231F20"/>
                <w:sz w:val="14"/>
              </w:rPr>
              <w:t>реченице</w:t>
            </w:r>
            <w:r>
              <w:rPr>
                <w:color w:val="231F20"/>
                <w:spacing w:val="-5"/>
                <w:sz w:val="14"/>
              </w:rPr>
              <w:t xml:space="preserve"> </w:t>
            </w:r>
            <w:r>
              <w:rPr>
                <w:color w:val="231F20"/>
                <w:sz w:val="14"/>
              </w:rPr>
              <w:t>(нпр.</w:t>
            </w:r>
            <w:r>
              <w:rPr>
                <w:color w:val="231F20"/>
                <w:spacing w:val="-5"/>
                <w:sz w:val="14"/>
              </w:rPr>
              <w:t xml:space="preserve"> </w:t>
            </w:r>
            <w:r>
              <w:rPr>
                <w:color w:val="231F20"/>
                <w:sz w:val="14"/>
              </w:rPr>
              <w:t>у</w:t>
            </w:r>
            <w:r>
              <w:rPr>
                <w:color w:val="231F20"/>
                <w:spacing w:val="-5"/>
                <w:sz w:val="14"/>
              </w:rPr>
              <w:t xml:space="preserve"> </w:t>
            </w:r>
            <w:r>
              <w:rPr>
                <w:color w:val="231F20"/>
                <w:sz w:val="14"/>
              </w:rPr>
              <w:t>огласима,</w:t>
            </w:r>
            <w:r>
              <w:rPr>
                <w:color w:val="231F20"/>
                <w:spacing w:val="-5"/>
                <w:sz w:val="14"/>
              </w:rPr>
              <w:t xml:space="preserve"> </w:t>
            </w:r>
            <w:r>
              <w:rPr>
                <w:color w:val="231F20"/>
                <w:sz w:val="14"/>
              </w:rPr>
              <w:t>на</w:t>
            </w:r>
            <w:r>
              <w:rPr>
                <w:color w:val="231F20"/>
                <w:spacing w:val="-5"/>
                <w:sz w:val="14"/>
              </w:rPr>
              <w:t xml:space="preserve"> </w:t>
            </w:r>
            <w:r>
              <w:rPr>
                <w:color w:val="231F20"/>
                <w:sz w:val="14"/>
              </w:rPr>
              <w:t>плака­ тима);</w:t>
            </w:r>
          </w:p>
          <w:p w:rsidR="00041039" w:rsidRDefault="001B26CB">
            <w:pPr>
              <w:pStyle w:val="TableParagraph"/>
              <w:numPr>
                <w:ilvl w:val="0"/>
                <w:numId w:val="619"/>
              </w:numPr>
              <w:tabs>
                <w:tab w:val="left" w:pos="157"/>
              </w:tabs>
              <w:spacing w:line="157" w:lineRule="exact"/>
              <w:rPr>
                <w:sz w:val="14"/>
              </w:rPr>
            </w:pPr>
            <w:r>
              <w:rPr>
                <w:color w:val="231F20"/>
                <w:sz w:val="14"/>
              </w:rPr>
              <w:t>разуме општи садржај и смисао краћих</w:t>
            </w:r>
            <w:r>
              <w:rPr>
                <w:color w:val="231F20"/>
                <w:spacing w:val="-10"/>
                <w:sz w:val="14"/>
              </w:rPr>
              <w:t xml:space="preserve"> </w:t>
            </w:r>
            <w:r>
              <w:rPr>
                <w:color w:val="231F20"/>
                <w:sz w:val="14"/>
              </w:rPr>
              <w:t>текстова</w:t>
            </w:r>
          </w:p>
          <w:p w:rsidR="00041039" w:rsidRDefault="001B26CB">
            <w:pPr>
              <w:pStyle w:val="TableParagraph"/>
              <w:rPr>
                <w:sz w:val="14"/>
              </w:rPr>
            </w:pPr>
            <w:r>
              <w:rPr>
                <w:color w:val="231F20"/>
                <w:sz w:val="14"/>
              </w:rPr>
              <w:t>(саопштења, формуларе са подацима о некој особи, основне команде на машинама / компју­ теру, декларације о производима, упутства за употребу и коришћење);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610"/>
        </w:trPr>
        <w:tc>
          <w:tcPr>
            <w:tcW w:w="1304" w:type="dxa"/>
            <w:tcBorders>
              <w:top w:val="nil"/>
            </w:tcBorders>
          </w:tcPr>
          <w:p w:rsidR="00041039" w:rsidRDefault="001B26CB">
            <w:pPr>
              <w:pStyle w:val="TableParagraph"/>
              <w:numPr>
                <w:ilvl w:val="0"/>
                <w:numId w:val="618"/>
              </w:numPr>
              <w:tabs>
                <w:tab w:val="left" w:pos="157"/>
              </w:tabs>
              <w:spacing w:before="69"/>
              <w:ind w:right="131"/>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ГОВОР</w:t>
            </w:r>
          </w:p>
          <w:p w:rsidR="00041039" w:rsidRDefault="00041039">
            <w:pPr>
              <w:pStyle w:val="TableParagraph"/>
              <w:spacing w:before="11"/>
              <w:ind w:left="0"/>
              <w:rPr>
                <w:b/>
                <w:sz w:val="12"/>
              </w:rPr>
            </w:pPr>
          </w:p>
          <w:p w:rsidR="00041039" w:rsidRDefault="001B26CB">
            <w:pPr>
              <w:pStyle w:val="TableParagraph"/>
              <w:numPr>
                <w:ilvl w:val="0"/>
                <w:numId w:val="617"/>
              </w:numPr>
              <w:tabs>
                <w:tab w:val="left" w:pos="157"/>
              </w:tabs>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tcPr>
          <w:p w:rsidR="00041039" w:rsidRDefault="001B26CB">
            <w:pPr>
              <w:pStyle w:val="TableParagraph"/>
              <w:numPr>
                <w:ilvl w:val="0"/>
                <w:numId w:val="616"/>
              </w:numPr>
              <w:tabs>
                <w:tab w:val="left" w:pos="157"/>
              </w:tabs>
              <w:spacing w:before="8"/>
              <w:ind w:right="76"/>
              <w:rPr>
                <w:sz w:val="14"/>
              </w:rPr>
            </w:pPr>
            <w:r>
              <w:rPr>
                <w:color w:val="231F20"/>
                <w:sz w:val="14"/>
              </w:rPr>
              <w:t>употребљава једноставне изразе и реченице да би представио свакодневне, себи блиске лично­ сти, активности, ситуације и</w:t>
            </w:r>
            <w:r>
              <w:rPr>
                <w:color w:val="231F20"/>
                <w:spacing w:val="-2"/>
                <w:sz w:val="14"/>
              </w:rPr>
              <w:t xml:space="preserve"> </w:t>
            </w:r>
            <w:r>
              <w:rPr>
                <w:color w:val="231F20"/>
                <w:sz w:val="14"/>
              </w:rPr>
              <w:t>догађаје;</w:t>
            </w:r>
          </w:p>
        </w:tc>
        <w:tc>
          <w:tcPr>
            <w:tcW w:w="3288"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numPr>
                <w:ilvl w:val="0"/>
                <w:numId w:val="615"/>
              </w:numPr>
              <w:tabs>
                <w:tab w:val="left" w:pos="162"/>
              </w:tabs>
              <w:spacing w:before="18" w:line="161"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615"/>
              </w:numPr>
              <w:tabs>
                <w:tab w:val="left" w:pos="162"/>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ПИСАЊЕ</w:t>
            </w:r>
          </w:p>
        </w:tc>
        <w:tc>
          <w:tcPr>
            <w:tcW w:w="3118" w:type="dxa"/>
            <w:vMerge w:val="restart"/>
          </w:tcPr>
          <w:p w:rsidR="00041039" w:rsidRDefault="001B26CB">
            <w:pPr>
              <w:pStyle w:val="TableParagraph"/>
              <w:numPr>
                <w:ilvl w:val="0"/>
                <w:numId w:val="614"/>
              </w:numPr>
              <w:tabs>
                <w:tab w:val="left" w:pos="157"/>
              </w:tabs>
              <w:spacing w:before="8" w:line="166" w:lineRule="exact"/>
              <w:rPr>
                <w:sz w:val="14"/>
              </w:rPr>
            </w:pPr>
            <w:r>
              <w:rPr>
                <w:color w:val="231F20"/>
                <w:sz w:val="14"/>
              </w:rPr>
              <w:t>саставља кратак текст о одговарајућој</w:t>
            </w:r>
            <w:r>
              <w:rPr>
                <w:color w:val="231F20"/>
                <w:spacing w:val="-6"/>
                <w:sz w:val="14"/>
              </w:rPr>
              <w:t xml:space="preserve"> </w:t>
            </w:r>
            <w:r>
              <w:rPr>
                <w:color w:val="231F20"/>
                <w:sz w:val="14"/>
              </w:rPr>
              <w:t>теми</w:t>
            </w:r>
          </w:p>
          <w:p w:rsidR="00041039" w:rsidRDefault="001B26CB">
            <w:pPr>
              <w:pStyle w:val="TableParagraph"/>
              <w:numPr>
                <w:ilvl w:val="0"/>
                <w:numId w:val="614"/>
              </w:numPr>
              <w:tabs>
                <w:tab w:val="left" w:pos="157"/>
              </w:tabs>
              <w:spacing w:line="237" w:lineRule="auto"/>
              <w:ind w:right="73"/>
              <w:rPr>
                <w:sz w:val="14"/>
              </w:rPr>
            </w:pPr>
            <w:r>
              <w:rPr>
                <w:color w:val="231F20"/>
                <w:sz w:val="14"/>
              </w:rPr>
              <w:t>пише кратке поруке релевантне за посао</w:t>
            </w:r>
            <w:r>
              <w:rPr>
                <w:color w:val="231F20"/>
                <w:spacing w:val="-19"/>
                <w:sz w:val="14"/>
              </w:rPr>
              <w:t xml:space="preserve"> </w:t>
            </w:r>
            <w:r>
              <w:rPr>
                <w:color w:val="231F20"/>
                <w:sz w:val="14"/>
              </w:rPr>
              <w:t>(место, термини</w:t>
            </w:r>
            <w:r>
              <w:rPr>
                <w:color w:val="231F20"/>
                <w:spacing w:val="-1"/>
                <w:sz w:val="14"/>
              </w:rPr>
              <w:t xml:space="preserve"> </w:t>
            </w:r>
            <w:r>
              <w:rPr>
                <w:color w:val="231F20"/>
                <w:sz w:val="14"/>
              </w:rPr>
              <w:t>састанка);</w:t>
            </w:r>
          </w:p>
          <w:p w:rsidR="00041039" w:rsidRDefault="001B26CB">
            <w:pPr>
              <w:pStyle w:val="TableParagraph"/>
              <w:numPr>
                <w:ilvl w:val="0"/>
                <w:numId w:val="614"/>
              </w:numPr>
              <w:tabs>
                <w:tab w:val="left" w:pos="157"/>
              </w:tabs>
              <w:spacing w:line="155" w:lineRule="exact"/>
              <w:rPr>
                <w:sz w:val="14"/>
              </w:rPr>
            </w:pPr>
            <w:r>
              <w:rPr>
                <w:color w:val="231F20"/>
                <w:sz w:val="14"/>
              </w:rPr>
              <w:t>пише краћи текст о себи и свом</w:t>
            </w:r>
            <w:r>
              <w:rPr>
                <w:color w:val="231F20"/>
                <w:spacing w:val="-8"/>
                <w:sz w:val="14"/>
              </w:rPr>
              <w:t xml:space="preserve"> </w:t>
            </w:r>
            <w:r>
              <w:rPr>
                <w:color w:val="231F20"/>
                <w:sz w:val="14"/>
              </w:rPr>
              <w:t>окружењу</w:t>
            </w:r>
          </w:p>
          <w:p w:rsidR="00041039" w:rsidRDefault="001B26CB">
            <w:pPr>
              <w:pStyle w:val="TableParagraph"/>
              <w:numPr>
                <w:ilvl w:val="0"/>
                <w:numId w:val="614"/>
              </w:numPr>
              <w:tabs>
                <w:tab w:val="left" w:pos="157"/>
              </w:tabs>
              <w:spacing w:line="237" w:lineRule="auto"/>
              <w:ind w:left="56" w:right="585" w:firstLine="0"/>
              <w:rPr>
                <w:sz w:val="14"/>
              </w:rPr>
            </w:pPr>
            <w:r>
              <w:rPr>
                <w:color w:val="231F20"/>
                <w:sz w:val="14"/>
              </w:rPr>
              <w:t xml:space="preserve">попуњава формулар </w:t>
            </w:r>
            <w:r>
              <w:rPr>
                <w:color w:val="231F20"/>
                <w:spacing w:val="-3"/>
                <w:sz w:val="14"/>
              </w:rPr>
              <w:t xml:space="preserve">где </w:t>
            </w:r>
            <w:r>
              <w:rPr>
                <w:color w:val="231F20"/>
                <w:sz w:val="14"/>
              </w:rPr>
              <w:t>се траже</w:t>
            </w:r>
            <w:r>
              <w:rPr>
                <w:color w:val="231F20"/>
                <w:spacing w:val="-20"/>
                <w:sz w:val="14"/>
              </w:rPr>
              <w:t xml:space="preserve"> </w:t>
            </w:r>
            <w:r>
              <w:rPr>
                <w:color w:val="231F20"/>
                <w:sz w:val="14"/>
              </w:rPr>
              <w:t>лични подаци;</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901"/>
        </w:trPr>
        <w:tc>
          <w:tcPr>
            <w:tcW w:w="1304" w:type="dxa"/>
            <w:tcBorders>
              <w:top w:val="nil"/>
            </w:tcBorders>
          </w:tcPr>
          <w:p w:rsidR="00041039" w:rsidRDefault="001B26CB">
            <w:pPr>
              <w:pStyle w:val="TableParagraph"/>
              <w:numPr>
                <w:ilvl w:val="0"/>
                <w:numId w:val="613"/>
              </w:numPr>
              <w:tabs>
                <w:tab w:val="left" w:pos="157"/>
              </w:tabs>
              <w:spacing w:before="69"/>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numPr>
                <w:ilvl w:val="0"/>
                <w:numId w:val="612"/>
              </w:numPr>
              <w:tabs>
                <w:tab w:val="left" w:pos="157"/>
              </w:tabs>
              <w:spacing w:before="8"/>
              <w:ind w:right="52"/>
              <w:rPr>
                <w:sz w:val="14"/>
              </w:rPr>
            </w:pPr>
            <w:r>
              <w:rPr>
                <w:color w:val="231F20"/>
                <w:sz w:val="14"/>
              </w:rPr>
              <w:t>на једноставан начин се споразумева са</w:t>
            </w:r>
            <w:r>
              <w:rPr>
                <w:color w:val="231F20"/>
                <w:spacing w:val="-18"/>
                <w:sz w:val="14"/>
              </w:rPr>
              <w:t xml:space="preserve"> </w:t>
            </w:r>
            <w:r>
              <w:rPr>
                <w:color w:val="231F20"/>
                <w:sz w:val="14"/>
              </w:rPr>
              <w:t xml:space="preserve">саговор­ </w:t>
            </w:r>
            <w:r>
              <w:rPr>
                <w:color w:val="231F20"/>
                <w:spacing w:val="-3"/>
                <w:sz w:val="14"/>
              </w:rPr>
              <w:t xml:space="preserve">ником </w:t>
            </w:r>
            <w:r>
              <w:rPr>
                <w:color w:val="231F20"/>
                <w:sz w:val="14"/>
              </w:rPr>
              <w:t>који говори споро и</w:t>
            </w:r>
            <w:r>
              <w:rPr>
                <w:color w:val="231F20"/>
                <w:spacing w:val="-2"/>
                <w:sz w:val="14"/>
              </w:rPr>
              <w:t xml:space="preserve"> </w:t>
            </w:r>
            <w:r>
              <w:rPr>
                <w:color w:val="231F20"/>
                <w:sz w:val="14"/>
              </w:rPr>
              <w:t>разговетно;</w:t>
            </w:r>
          </w:p>
          <w:p w:rsidR="00041039" w:rsidRDefault="001B26CB">
            <w:pPr>
              <w:pStyle w:val="TableParagraph"/>
              <w:numPr>
                <w:ilvl w:val="0"/>
                <w:numId w:val="612"/>
              </w:numPr>
              <w:tabs>
                <w:tab w:val="left" w:pos="157"/>
              </w:tabs>
              <w:spacing w:line="160" w:lineRule="exact"/>
              <w:ind w:right="274"/>
              <w:rPr>
                <w:sz w:val="14"/>
              </w:rPr>
            </w:pPr>
            <w:r>
              <w:rPr>
                <w:color w:val="231F20"/>
                <w:sz w:val="14"/>
              </w:rPr>
              <w:t>поставља једноставна питања у вези са поз­ натим темама из живота као и да усмено</w:t>
            </w:r>
            <w:r>
              <w:rPr>
                <w:color w:val="231F20"/>
                <w:spacing w:val="-20"/>
                <w:sz w:val="14"/>
              </w:rPr>
              <w:t xml:space="preserve"> </w:t>
            </w:r>
            <w:r>
              <w:rPr>
                <w:color w:val="231F20"/>
                <w:sz w:val="14"/>
              </w:rPr>
              <w:t>или писмено</w:t>
            </w:r>
            <w:r>
              <w:rPr>
                <w:color w:val="231F20"/>
                <w:spacing w:val="-6"/>
                <w:sz w:val="14"/>
              </w:rPr>
              <w:t xml:space="preserve"> </w:t>
            </w:r>
            <w:r>
              <w:rPr>
                <w:color w:val="231F20"/>
                <w:sz w:val="14"/>
              </w:rPr>
              <w:t>одговара</w:t>
            </w:r>
            <w:r>
              <w:rPr>
                <w:color w:val="231F20"/>
                <w:spacing w:val="-5"/>
                <w:sz w:val="14"/>
              </w:rPr>
              <w:t xml:space="preserve"> </w:t>
            </w:r>
            <w:r>
              <w:rPr>
                <w:color w:val="231F20"/>
                <w:sz w:val="14"/>
              </w:rPr>
              <w:t>на</w:t>
            </w:r>
            <w:r>
              <w:rPr>
                <w:color w:val="231F20"/>
                <w:spacing w:val="-6"/>
                <w:sz w:val="14"/>
              </w:rPr>
              <w:t xml:space="preserve"> </w:t>
            </w:r>
            <w:r>
              <w:rPr>
                <w:color w:val="231F20"/>
                <w:sz w:val="14"/>
              </w:rPr>
              <w:t>иста</w:t>
            </w:r>
            <w:r>
              <w:rPr>
                <w:color w:val="231F20"/>
                <w:spacing w:val="-5"/>
                <w:sz w:val="14"/>
              </w:rPr>
              <w:t xml:space="preserve"> </w:t>
            </w:r>
            <w:r>
              <w:rPr>
                <w:color w:val="231F20"/>
                <w:sz w:val="14"/>
              </w:rPr>
              <w:t>(бројеви,</w:t>
            </w:r>
            <w:r>
              <w:rPr>
                <w:color w:val="231F20"/>
                <w:spacing w:val="-5"/>
                <w:sz w:val="14"/>
              </w:rPr>
              <w:t xml:space="preserve"> </w:t>
            </w:r>
            <w:r>
              <w:rPr>
                <w:color w:val="231F20"/>
                <w:sz w:val="14"/>
              </w:rPr>
              <w:t>подаци</w:t>
            </w:r>
            <w:r>
              <w:rPr>
                <w:color w:val="231F20"/>
                <w:spacing w:val="-5"/>
                <w:sz w:val="14"/>
              </w:rPr>
              <w:t xml:space="preserve"> </w:t>
            </w:r>
            <w:r>
              <w:rPr>
                <w:color w:val="231F20"/>
                <w:sz w:val="14"/>
              </w:rPr>
              <w:t>о количинама, време,</w:t>
            </w:r>
            <w:r>
              <w:rPr>
                <w:color w:val="231F20"/>
                <w:spacing w:val="-3"/>
                <w:sz w:val="14"/>
              </w:rPr>
              <w:t xml:space="preserve"> </w:t>
            </w:r>
            <w:r>
              <w:rPr>
                <w:color w:val="231F20"/>
                <w:sz w:val="14"/>
              </w:rPr>
              <w:t>датум);</w:t>
            </w:r>
          </w:p>
          <w:p w:rsidR="00041039" w:rsidRDefault="001B26CB">
            <w:pPr>
              <w:pStyle w:val="TableParagraph"/>
              <w:numPr>
                <w:ilvl w:val="0"/>
                <w:numId w:val="612"/>
              </w:numPr>
              <w:tabs>
                <w:tab w:val="left" w:pos="157"/>
              </w:tabs>
              <w:spacing w:before="1" w:line="160" w:lineRule="exact"/>
              <w:ind w:right="90"/>
              <w:rPr>
                <w:sz w:val="14"/>
              </w:rPr>
            </w:pPr>
            <w:r>
              <w:rPr>
                <w:color w:val="231F20"/>
                <w:sz w:val="14"/>
              </w:rPr>
              <w:t xml:space="preserve">напише </w:t>
            </w:r>
            <w:r>
              <w:rPr>
                <w:color w:val="231F20"/>
                <w:spacing w:val="-2"/>
                <w:sz w:val="14"/>
              </w:rPr>
              <w:t xml:space="preserve">кратко </w:t>
            </w:r>
            <w:r>
              <w:rPr>
                <w:color w:val="231F20"/>
                <w:sz w:val="14"/>
              </w:rPr>
              <w:t xml:space="preserve">лично писмо, </w:t>
            </w:r>
            <w:r>
              <w:rPr>
                <w:color w:val="231F20"/>
                <w:spacing w:val="-3"/>
                <w:sz w:val="14"/>
              </w:rPr>
              <w:t>поруку,</w:t>
            </w:r>
            <w:r>
              <w:rPr>
                <w:color w:val="231F20"/>
                <w:spacing w:val="-23"/>
                <w:sz w:val="14"/>
              </w:rPr>
              <w:t xml:space="preserve"> </w:t>
            </w:r>
            <w:r>
              <w:rPr>
                <w:color w:val="231F20"/>
                <w:sz w:val="14"/>
              </w:rPr>
              <w:t xml:space="preserve">разгледни­ </w:t>
            </w:r>
            <w:r>
              <w:rPr>
                <w:color w:val="231F20"/>
                <w:spacing w:val="-6"/>
                <w:sz w:val="14"/>
              </w:rPr>
              <w:t>цу,</w:t>
            </w:r>
            <w:r>
              <w:rPr>
                <w:color w:val="231F20"/>
                <w:sz w:val="14"/>
              </w:rPr>
              <w:t xml:space="preserve"> честитку;</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611"/>
              </w:numPr>
              <w:tabs>
                <w:tab w:val="left" w:pos="157"/>
              </w:tabs>
              <w:spacing w:before="69"/>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tcBorders>
              <w:bottom w:val="nil"/>
            </w:tcBorders>
          </w:tcPr>
          <w:p w:rsidR="00041039" w:rsidRDefault="001B26CB">
            <w:pPr>
              <w:pStyle w:val="TableParagraph"/>
              <w:numPr>
                <w:ilvl w:val="0"/>
                <w:numId w:val="610"/>
              </w:numPr>
              <w:tabs>
                <w:tab w:val="left" w:pos="157"/>
              </w:tabs>
              <w:spacing w:before="8"/>
              <w:rPr>
                <w:sz w:val="14"/>
              </w:rPr>
            </w:pPr>
            <w:r>
              <w:rPr>
                <w:color w:val="231F20"/>
                <w:sz w:val="14"/>
              </w:rPr>
              <w:t>На овом нивоу није</w:t>
            </w:r>
            <w:r>
              <w:rPr>
                <w:color w:val="231F20"/>
                <w:spacing w:val="-5"/>
                <w:sz w:val="14"/>
              </w:rPr>
              <w:t xml:space="preserve"> </w:t>
            </w:r>
            <w:r>
              <w:rPr>
                <w:color w:val="231F20"/>
                <w:sz w:val="14"/>
              </w:rPr>
              <w:t>предвиђена;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609"/>
              </w:numPr>
              <w:tabs>
                <w:tab w:val="left" w:pos="157"/>
              </w:tabs>
              <w:spacing w:before="69"/>
              <w:ind w:right="134"/>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409"/>
        </w:trPr>
        <w:tc>
          <w:tcPr>
            <w:tcW w:w="1304" w:type="dxa"/>
            <w:tcBorders>
              <w:bottom w:val="nil"/>
            </w:tcBorders>
          </w:tcPr>
          <w:p w:rsidR="00041039" w:rsidRDefault="001B26CB">
            <w:pPr>
              <w:pStyle w:val="TableParagraph"/>
              <w:spacing w:before="18"/>
              <w:ind w:left="56" w:right="331"/>
              <w:rPr>
                <w:sz w:val="14"/>
              </w:rPr>
            </w:pPr>
            <w:r>
              <w:rPr>
                <w:color w:val="231F20"/>
                <w:sz w:val="14"/>
              </w:rPr>
              <w:t>МЕДИЈСКА ПИСМЕНОСТ</w:t>
            </w:r>
          </w:p>
        </w:tc>
        <w:tc>
          <w:tcPr>
            <w:tcW w:w="3118" w:type="dxa"/>
            <w:vMerge w:val="restart"/>
          </w:tcPr>
          <w:p w:rsidR="00041039" w:rsidRDefault="001B26CB">
            <w:pPr>
              <w:pStyle w:val="TableParagraph"/>
              <w:numPr>
                <w:ilvl w:val="0"/>
                <w:numId w:val="608"/>
              </w:numPr>
              <w:tabs>
                <w:tab w:val="left" w:pos="157"/>
              </w:tabs>
              <w:spacing w:before="9"/>
              <w:ind w:right="181"/>
              <w:rPr>
                <w:sz w:val="14"/>
              </w:rPr>
            </w:pPr>
            <w:r>
              <w:rPr>
                <w:color w:val="231F20"/>
                <w:sz w:val="14"/>
              </w:rPr>
              <w:t>препознаје и правилно користи основне</w:t>
            </w:r>
            <w:r>
              <w:rPr>
                <w:color w:val="231F20"/>
                <w:spacing w:val="-21"/>
                <w:sz w:val="14"/>
              </w:rPr>
              <w:t xml:space="preserve"> </w:t>
            </w:r>
            <w:r>
              <w:rPr>
                <w:color w:val="231F20"/>
                <w:sz w:val="14"/>
              </w:rPr>
              <w:t>фоно­ лошке (интонација, прозодија,</w:t>
            </w:r>
            <w:r>
              <w:rPr>
                <w:color w:val="231F20"/>
                <w:spacing w:val="-3"/>
                <w:sz w:val="14"/>
              </w:rPr>
              <w:t xml:space="preserve"> </w:t>
            </w:r>
            <w:r>
              <w:rPr>
                <w:color w:val="231F20"/>
                <w:sz w:val="14"/>
              </w:rPr>
              <w:t>ритам);</w:t>
            </w:r>
          </w:p>
          <w:p w:rsidR="00041039" w:rsidRDefault="001B26CB">
            <w:pPr>
              <w:pStyle w:val="TableParagraph"/>
              <w:numPr>
                <w:ilvl w:val="0"/>
                <w:numId w:val="608"/>
              </w:numPr>
              <w:tabs>
                <w:tab w:val="left" w:pos="157"/>
              </w:tabs>
              <w:spacing w:line="160" w:lineRule="exact"/>
              <w:ind w:right="278"/>
              <w:rPr>
                <w:sz w:val="14"/>
              </w:rPr>
            </w:pPr>
            <w:r>
              <w:rPr>
                <w:color w:val="231F20"/>
                <w:sz w:val="14"/>
              </w:rPr>
              <w:t>и морфосинтаксичке категорије (именички</w:t>
            </w:r>
            <w:r>
              <w:rPr>
                <w:color w:val="231F20"/>
                <w:spacing w:val="-22"/>
                <w:sz w:val="14"/>
              </w:rPr>
              <w:t xml:space="preserve"> </w:t>
            </w:r>
            <w:r>
              <w:rPr>
                <w:color w:val="231F20"/>
                <w:sz w:val="14"/>
              </w:rPr>
              <w:t xml:space="preserve">и </w:t>
            </w:r>
            <w:r>
              <w:rPr>
                <w:color w:val="231F20"/>
                <w:spacing w:val="-3"/>
                <w:sz w:val="14"/>
              </w:rPr>
              <w:t xml:space="preserve">глаголски </w:t>
            </w:r>
            <w:r>
              <w:rPr>
                <w:color w:val="231F20"/>
                <w:sz w:val="14"/>
              </w:rPr>
              <w:t>наставци, основни ред</w:t>
            </w:r>
            <w:r>
              <w:rPr>
                <w:color w:val="231F20"/>
                <w:spacing w:val="1"/>
                <w:sz w:val="14"/>
              </w:rPr>
              <w:t xml:space="preserve"> </w:t>
            </w:r>
            <w:r>
              <w:rPr>
                <w:color w:val="231F20"/>
                <w:sz w:val="14"/>
              </w:rPr>
              <w:t>речи);</w:t>
            </w:r>
          </w:p>
          <w:p w:rsidR="00041039" w:rsidRDefault="001B26CB">
            <w:pPr>
              <w:pStyle w:val="TableParagraph"/>
              <w:numPr>
                <w:ilvl w:val="0"/>
                <w:numId w:val="608"/>
              </w:numPr>
              <w:tabs>
                <w:tab w:val="left" w:pos="157"/>
              </w:tabs>
              <w:spacing w:line="160" w:lineRule="exact"/>
              <w:ind w:right="116"/>
              <w:rPr>
                <w:sz w:val="14"/>
              </w:rPr>
            </w:pPr>
            <w:r>
              <w:rPr>
                <w:color w:val="231F20"/>
                <w:sz w:val="14"/>
              </w:rPr>
              <w:t>користи садржаје медијске продукције</w:t>
            </w:r>
            <w:r>
              <w:rPr>
                <w:color w:val="231F20"/>
                <w:spacing w:val="-25"/>
                <w:sz w:val="14"/>
              </w:rPr>
              <w:t xml:space="preserve"> </w:t>
            </w:r>
            <w:r>
              <w:rPr>
                <w:color w:val="231F20"/>
                <w:sz w:val="14"/>
              </w:rPr>
              <w:t xml:space="preserve">намење­ не учењу страних језика (штампани медији, </w:t>
            </w:r>
            <w:r>
              <w:rPr>
                <w:color w:val="231F20"/>
                <w:spacing w:val="-4"/>
                <w:sz w:val="14"/>
              </w:rPr>
              <w:t xml:space="preserve">аудио </w:t>
            </w:r>
            <w:r>
              <w:rPr>
                <w:color w:val="231F20"/>
                <w:sz w:val="14"/>
              </w:rPr>
              <w:t>/ видео записи, компакт диск, интернет итд.);</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607"/>
              </w:numPr>
              <w:tabs>
                <w:tab w:val="left" w:pos="157"/>
              </w:tabs>
              <w:spacing w:before="69"/>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9"/>
        <w:rPr>
          <w:b/>
          <w:sz w:val="16"/>
        </w:rPr>
      </w:pPr>
    </w:p>
    <w:p w:rsidR="00041039" w:rsidRDefault="001B26CB">
      <w:pPr>
        <w:pStyle w:val="ListParagraph"/>
        <w:numPr>
          <w:ilvl w:val="0"/>
          <w:numId w:val="606"/>
        </w:numPr>
        <w:tabs>
          <w:tab w:val="left" w:pos="613"/>
        </w:tabs>
        <w:spacing w:line="203" w:lineRule="exact"/>
        <w:ind w:hanging="115"/>
        <w:rPr>
          <w:b/>
          <w:sz w:val="18"/>
        </w:rPr>
      </w:pPr>
      <w:r>
        <w:rPr>
          <w:b/>
          <w:color w:val="231F20"/>
          <w:sz w:val="18"/>
        </w:rPr>
        <w:t>РЕЧЕНИЦА</w:t>
      </w:r>
    </w:p>
    <w:p w:rsidR="00041039" w:rsidRDefault="001B26CB">
      <w:pPr>
        <w:pStyle w:val="Heading2"/>
      </w:pPr>
      <w:r>
        <w:rPr>
          <w:color w:val="231F20"/>
        </w:rPr>
        <w:t>Обновити реченичне моделе обухваћене програмом за основну школу.</w:t>
      </w:r>
    </w:p>
    <w:p w:rsidR="00041039" w:rsidRDefault="001B26CB">
      <w:pPr>
        <w:pStyle w:val="ListParagraph"/>
        <w:numPr>
          <w:ilvl w:val="1"/>
          <w:numId w:val="976"/>
        </w:numPr>
        <w:tabs>
          <w:tab w:val="left" w:pos="633"/>
        </w:tabs>
        <w:rPr>
          <w:sz w:val="18"/>
        </w:rPr>
      </w:pPr>
      <w:r>
        <w:rPr>
          <w:color w:val="231F20"/>
          <w:sz w:val="18"/>
        </w:rPr>
        <w:t>Ред речи у реченици. Место прилога и прилошких</w:t>
      </w:r>
      <w:r>
        <w:rPr>
          <w:color w:val="231F20"/>
          <w:spacing w:val="-6"/>
          <w:sz w:val="18"/>
        </w:rPr>
        <w:t xml:space="preserve"> </w:t>
      </w:r>
      <w:r>
        <w:rPr>
          <w:color w:val="231F20"/>
          <w:sz w:val="18"/>
        </w:rPr>
        <w:t>одредби;</w:t>
      </w:r>
    </w:p>
    <w:p w:rsidR="00041039" w:rsidRDefault="001B26CB">
      <w:pPr>
        <w:pStyle w:val="ListParagraph"/>
        <w:numPr>
          <w:ilvl w:val="0"/>
          <w:numId w:val="605"/>
        </w:numPr>
        <w:tabs>
          <w:tab w:val="left" w:pos="633"/>
        </w:tabs>
        <w:rPr>
          <w:i/>
          <w:sz w:val="18"/>
        </w:rPr>
      </w:pPr>
      <w:r>
        <w:rPr>
          <w:i/>
          <w:color w:val="231F20"/>
          <w:spacing w:val="-6"/>
          <w:sz w:val="18"/>
        </w:rPr>
        <w:t>Tag</w:t>
      </w:r>
      <w:r>
        <w:rPr>
          <w:i/>
          <w:color w:val="231F20"/>
          <w:sz w:val="18"/>
        </w:rPr>
        <w:t xml:space="preserve"> questions;</w:t>
      </w:r>
    </w:p>
    <w:p w:rsidR="00041039" w:rsidRDefault="001B26CB">
      <w:pPr>
        <w:pStyle w:val="ListParagraph"/>
        <w:numPr>
          <w:ilvl w:val="0"/>
          <w:numId w:val="605"/>
        </w:numPr>
        <w:tabs>
          <w:tab w:val="left" w:pos="633"/>
        </w:tabs>
        <w:rPr>
          <w:sz w:val="18"/>
        </w:rPr>
      </w:pPr>
      <w:r>
        <w:rPr>
          <w:i/>
          <w:color w:val="231F20"/>
          <w:spacing w:val="-6"/>
          <w:sz w:val="18"/>
        </w:rPr>
        <w:t xml:space="preserve">Yes </w:t>
      </w:r>
      <w:r>
        <w:rPr>
          <w:i/>
          <w:color w:val="231F20"/>
          <w:sz w:val="18"/>
        </w:rPr>
        <w:t>/ No</w:t>
      </w:r>
      <w:r>
        <w:rPr>
          <w:i/>
          <w:color w:val="231F20"/>
          <w:spacing w:val="5"/>
          <w:sz w:val="18"/>
        </w:rPr>
        <w:t xml:space="preserve"> </w:t>
      </w:r>
      <w:r>
        <w:rPr>
          <w:color w:val="231F20"/>
          <w:sz w:val="18"/>
        </w:rPr>
        <w:t>питања;</w:t>
      </w:r>
    </w:p>
    <w:p w:rsidR="00041039" w:rsidRDefault="001B26CB">
      <w:pPr>
        <w:pStyle w:val="ListParagraph"/>
        <w:numPr>
          <w:ilvl w:val="0"/>
          <w:numId w:val="605"/>
        </w:numPr>
        <w:tabs>
          <w:tab w:val="left" w:pos="633"/>
        </w:tabs>
        <w:spacing w:line="203" w:lineRule="exact"/>
        <w:rPr>
          <w:sz w:val="18"/>
        </w:rPr>
      </w:pPr>
      <w:r>
        <w:rPr>
          <w:i/>
          <w:color w:val="231F20"/>
          <w:sz w:val="18"/>
        </w:rPr>
        <w:t>“WH”</w:t>
      </w:r>
      <w:r>
        <w:rPr>
          <w:i/>
          <w:color w:val="231F20"/>
          <w:spacing w:val="-1"/>
          <w:sz w:val="18"/>
        </w:rPr>
        <w:t xml:space="preserve"> </w:t>
      </w:r>
      <w:r>
        <w:rPr>
          <w:color w:val="231F20"/>
          <w:sz w:val="18"/>
        </w:rPr>
        <w:t>питања.</w:t>
      </w:r>
    </w:p>
    <w:p w:rsidR="00041039" w:rsidRDefault="00041039">
      <w:pPr>
        <w:pStyle w:val="BodyText"/>
        <w:spacing w:before="9"/>
        <w:rPr>
          <w:sz w:val="16"/>
        </w:rPr>
      </w:pPr>
    </w:p>
    <w:p w:rsidR="00041039" w:rsidRDefault="001B26CB">
      <w:pPr>
        <w:pStyle w:val="Heading1"/>
        <w:numPr>
          <w:ilvl w:val="0"/>
          <w:numId w:val="606"/>
        </w:numPr>
        <w:tabs>
          <w:tab w:val="left" w:pos="683"/>
        </w:tabs>
        <w:spacing w:before="0"/>
        <w:ind w:left="682" w:hanging="185"/>
      </w:pPr>
      <w:r>
        <w:rPr>
          <w:color w:val="231F20"/>
        </w:rPr>
        <w:t>ИМЕНИЧКА</w:t>
      </w:r>
      <w:r>
        <w:rPr>
          <w:color w:val="231F20"/>
          <w:spacing w:val="-2"/>
        </w:rPr>
        <w:t xml:space="preserve"> </w:t>
      </w:r>
      <w:r>
        <w:rPr>
          <w:color w:val="231F20"/>
        </w:rPr>
        <w:t>ГРУПА</w:t>
      </w:r>
    </w:p>
    <w:p w:rsidR="00041039" w:rsidRDefault="001B26CB">
      <w:pPr>
        <w:pStyle w:val="Heading2"/>
        <w:numPr>
          <w:ilvl w:val="0"/>
          <w:numId w:val="604"/>
        </w:numPr>
        <w:tabs>
          <w:tab w:val="left" w:pos="678"/>
        </w:tabs>
        <w:ind w:firstLine="0"/>
      </w:pPr>
      <w:r>
        <w:rPr>
          <w:color w:val="231F20"/>
        </w:rPr>
        <w:t>Члан</w:t>
      </w:r>
    </w:p>
    <w:p w:rsidR="00041039" w:rsidRDefault="001B26CB">
      <w:pPr>
        <w:pStyle w:val="ListParagraph"/>
        <w:numPr>
          <w:ilvl w:val="0"/>
          <w:numId w:val="603"/>
        </w:numPr>
        <w:tabs>
          <w:tab w:val="left" w:pos="633"/>
        </w:tabs>
        <w:ind w:firstLine="0"/>
        <w:rPr>
          <w:sz w:val="18"/>
        </w:rPr>
      </w:pPr>
      <w:r>
        <w:rPr>
          <w:color w:val="231F20"/>
          <w:sz w:val="18"/>
        </w:rPr>
        <w:t>Обновити употребу одређеног и неодређеног</w:t>
      </w:r>
      <w:r>
        <w:rPr>
          <w:color w:val="231F20"/>
          <w:spacing w:val="-3"/>
          <w:sz w:val="18"/>
        </w:rPr>
        <w:t xml:space="preserve"> </w:t>
      </w:r>
      <w:r>
        <w:rPr>
          <w:color w:val="231F20"/>
          <w:sz w:val="18"/>
        </w:rPr>
        <w:t>члана;</w:t>
      </w:r>
    </w:p>
    <w:p w:rsidR="00041039" w:rsidRDefault="001B26CB">
      <w:pPr>
        <w:pStyle w:val="ListParagraph"/>
        <w:numPr>
          <w:ilvl w:val="0"/>
          <w:numId w:val="603"/>
        </w:numPr>
        <w:tabs>
          <w:tab w:val="left" w:pos="633"/>
        </w:tabs>
        <w:ind w:firstLine="0"/>
        <w:rPr>
          <w:sz w:val="18"/>
        </w:rPr>
      </w:pPr>
      <w:r>
        <w:rPr>
          <w:color w:val="231F20"/>
          <w:spacing w:val="-3"/>
          <w:sz w:val="18"/>
        </w:rPr>
        <w:t xml:space="preserve">Нулти </w:t>
      </w:r>
      <w:r>
        <w:rPr>
          <w:color w:val="231F20"/>
          <w:sz w:val="18"/>
        </w:rPr>
        <w:t>члан уз градивне и апстрактне</w:t>
      </w:r>
      <w:r>
        <w:rPr>
          <w:color w:val="231F20"/>
          <w:spacing w:val="-1"/>
          <w:sz w:val="18"/>
        </w:rPr>
        <w:t xml:space="preserve"> </w:t>
      </w:r>
      <w:r>
        <w:rPr>
          <w:color w:val="231F20"/>
          <w:sz w:val="18"/>
        </w:rPr>
        <w:t>именице.</w:t>
      </w:r>
    </w:p>
    <w:p w:rsidR="00041039" w:rsidRDefault="001B26CB">
      <w:pPr>
        <w:pStyle w:val="ListParagraph"/>
        <w:numPr>
          <w:ilvl w:val="0"/>
          <w:numId w:val="604"/>
        </w:numPr>
        <w:tabs>
          <w:tab w:val="left" w:pos="678"/>
        </w:tabs>
        <w:ind w:firstLine="0"/>
        <w:rPr>
          <w:sz w:val="18"/>
        </w:rPr>
      </w:pPr>
      <w:r>
        <w:rPr>
          <w:color w:val="231F20"/>
          <w:sz w:val="18"/>
        </w:rPr>
        <w:t>Именице</w:t>
      </w:r>
    </w:p>
    <w:p w:rsidR="00041039" w:rsidRDefault="001B26CB">
      <w:pPr>
        <w:pStyle w:val="ListParagraph"/>
        <w:numPr>
          <w:ilvl w:val="0"/>
          <w:numId w:val="603"/>
        </w:numPr>
        <w:tabs>
          <w:tab w:val="left" w:pos="633"/>
        </w:tabs>
        <w:ind w:firstLine="0"/>
        <w:rPr>
          <w:sz w:val="18"/>
        </w:rPr>
      </w:pPr>
      <w:r>
        <w:rPr>
          <w:color w:val="231F20"/>
          <w:sz w:val="18"/>
        </w:rPr>
        <w:t>Множина именица ­</w:t>
      </w:r>
      <w:r>
        <w:rPr>
          <w:color w:val="231F20"/>
          <w:spacing w:val="-1"/>
          <w:sz w:val="18"/>
        </w:rPr>
        <w:t xml:space="preserve"> </w:t>
      </w:r>
      <w:r>
        <w:rPr>
          <w:color w:val="231F20"/>
          <w:sz w:val="18"/>
        </w:rPr>
        <w:t>обновити;</w:t>
      </w:r>
    </w:p>
    <w:p w:rsidR="00041039" w:rsidRDefault="001B26CB">
      <w:pPr>
        <w:pStyle w:val="ListParagraph"/>
        <w:numPr>
          <w:ilvl w:val="0"/>
          <w:numId w:val="603"/>
        </w:numPr>
        <w:tabs>
          <w:tab w:val="left" w:pos="633"/>
        </w:tabs>
        <w:ind w:firstLine="0"/>
        <w:rPr>
          <w:sz w:val="18"/>
        </w:rPr>
      </w:pPr>
      <w:r>
        <w:rPr>
          <w:color w:val="231F20"/>
          <w:sz w:val="18"/>
        </w:rPr>
        <w:t>Изражавање припадања и својине ­ саксонски</w:t>
      </w:r>
      <w:r>
        <w:rPr>
          <w:color w:val="231F20"/>
          <w:spacing w:val="-4"/>
          <w:sz w:val="18"/>
        </w:rPr>
        <w:t xml:space="preserve"> </w:t>
      </w:r>
      <w:r>
        <w:rPr>
          <w:color w:val="231F20"/>
          <w:sz w:val="18"/>
        </w:rPr>
        <w:t>генитив;</w:t>
      </w:r>
    </w:p>
    <w:p w:rsidR="00041039" w:rsidRDefault="001B26CB">
      <w:pPr>
        <w:pStyle w:val="ListParagraph"/>
        <w:numPr>
          <w:ilvl w:val="0"/>
          <w:numId w:val="603"/>
        </w:numPr>
        <w:tabs>
          <w:tab w:val="left" w:pos="633"/>
        </w:tabs>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604"/>
        </w:numPr>
        <w:tabs>
          <w:tab w:val="left" w:pos="678"/>
        </w:tabs>
        <w:spacing w:before="2" w:line="232" w:lineRule="auto"/>
        <w:ind w:right="8674" w:firstLine="0"/>
        <w:rPr>
          <w:sz w:val="18"/>
        </w:rPr>
      </w:pPr>
      <w:r>
        <w:rPr>
          <w:color w:val="231F20"/>
          <w:sz w:val="18"/>
        </w:rPr>
        <w:t>Заменички облици а) Заменице</w:t>
      </w:r>
    </w:p>
    <w:p w:rsidR="00041039" w:rsidRDefault="001B26CB">
      <w:pPr>
        <w:pStyle w:val="ListParagraph"/>
        <w:numPr>
          <w:ilvl w:val="0"/>
          <w:numId w:val="603"/>
        </w:numPr>
        <w:tabs>
          <w:tab w:val="left" w:pos="633"/>
        </w:tabs>
        <w:spacing w:line="197"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603"/>
        </w:numPr>
        <w:tabs>
          <w:tab w:val="left" w:pos="633"/>
        </w:tabs>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603"/>
        </w:numPr>
        <w:tabs>
          <w:tab w:val="left" w:pos="633"/>
        </w:tabs>
        <w:spacing w:before="1" w:line="232"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603"/>
        </w:numPr>
        <w:tabs>
          <w:tab w:val="left" w:pos="633"/>
        </w:tabs>
        <w:spacing w:line="197"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603"/>
        </w:numPr>
        <w:tabs>
          <w:tab w:val="left" w:pos="633"/>
        </w:tabs>
        <w:ind w:firstLine="0"/>
        <w:rPr>
          <w:sz w:val="18"/>
        </w:rPr>
      </w:pPr>
      <w:r>
        <w:rPr>
          <w:color w:val="231F20"/>
          <w:sz w:val="18"/>
        </w:rPr>
        <w:t>Неодређени</w:t>
      </w:r>
      <w:r>
        <w:rPr>
          <w:color w:val="231F20"/>
          <w:spacing w:val="-1"/>
          <w:sz w:val="18"/>
        </w:rPr>
        <w:t xml:space="preserve"> </w:t>
      </w:r>
      <w:r>
        <w:rPr>
          <w:color w:val="231F20"/>
          <w:sz w:val="18"/>
        </w:rPr>
        <w:t>детерминатори</w:t>
      </w:r>
      <w:r>
        <w:rPr>
          <w:color w:val="231F20"/>
          <w:sz w:val="18"/>
        </w:rPr>
        <w:t>;</w:t>
      </w:r>
    </w:p>
    <w:p w:rsidR="00041039" w:rsidRDefault="001B26CB">
      <w:pPr>
        <w:pStyle w:val="ListParagraph"/>
        <w:numPr>
          <w:ilvl w:val="0"/>
          <w:numId w:val="603"/>
        </w:numPr>
        <w:tabs>
          <w:tab w:val="left" w:pos="633"/>
        </w:tabs>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604"/>
        </w:numPr>
        <w:tabs>
          <w:tab w:val="left" w:pos="678"/>
        </w:tabs>
        <w:ind w:firstLine="0"/>
        <w:rPr>
          <w:sz w:val="18"/>
        </w:rPr>
      </w:pPr>
      <w:r>
        <w:rPr>
          <w:color w:val="231F20"/>
          <w:sz w:val="18"/>
        </w:rPr>
        <w:t>Придеви</w:t>
      </w:r>
    </w:p>
    <w:p w:rsidR="00041039" w:rsidRDefault="001B26CB">
      <w:pPr>
        <w:pStyle w:val="ListParagraph"/>
        <w:numPr>
          <w:ilvl w:val="0"/>
          <w:numId w:val="603"/>
        </w:numPr>
        <w:tabs>
          <w:tab w:val="left" w:pos="633"/>
        </w:tabs>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numPr>
          <w:ilvl w:val="0"/>
          <w:numId w:val="604"/>
        </w:numPr>
        <w:tabs>
          <w:tab w:val="left" w:pos="678"/>
        </w:tabs>
        <w:ind w:firstLine="0"/>
        <w:rPr>
          <w:sz w:val="18"/>
        </w:rPr>
      </w:pPr>
      <w:r>
        <w:rPr>
          <w:color w:val="231F20"/>
          <w:sz w:val="18"/>
        </w:rPr>
        <w:t>Бројеви</w:t>
      </w:r>
    </w:p>
    <w:p w:rsidR="00041039" w:rsidRDefault="001B26CB">
      <w:pPr>
        <w:pStyle w:val="ListParagraph"/>
        <w:numPr>
          <w:ilvl w:val="0"/>
          <w:numId w:val="602"/>
        </w:numPr>
        <w:tabs>
          <w:tab w:val="left" w:pos="633"/>
        </w:tabs>
        <w:ind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604"/>
        </w:numPr>
        <w:tabs>
          <w:tab w:val="left" w:pos="678"/>
        </w:tabs>
        <w:spacing w:line="203" w:lineRule="exact"/>
        <w:ind w:firstLine="0"/>
        <w:rPr>
          <w:sz w:val="18"/>
        </w:rPr>
      </w:pPr>
      <w:r>
        <w:rPr>
          <w:color w:val="231F20"/>
          <w:sz w:val="18"/>
        </w:rPr>
        <w:t>Квантификатори</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ListParagraph"/>
        <w:numPr>
          <w:ilvl w:val="0"/>
          <w:numId w:val="606"/>
        </w:numPr>
        <w:tabs>
          <w:tab w:val="left" w:pos="753"/>
        </w:tabs>
        <w:spacing w:before="63" w:line="203" w:lineRule="exact"/>
        <w:ind w:left="752" w:hanging="255"/>
        <w:rPr>
          <w:b/>
          <w:sz w:val="18"/>
        </w:rPr>
      </w:pPr>
      <w:r>
        <w:rPr>
          <w:b/>
          <w:color w:val="231F20"/>
          <w:spacing w:val="-6"/>
          <w:sz w:val="18"/>
        </w:rPr>
        <w:lastRenderedPageBreak/>
        <w:t>ГЛAГОЛСКА</w:t>
      </w:r>
      <w:r>
        <w:rPr>
          <w:b/>
          <w:color w:val="231F20"/>
          <w:spacing w:val="-1"/>
          <w:sz w:val="18"/>
        </w:rPr>
        <w:t xml:space="preserve"> </w:t>
      </w:r>
      <w:r>
        <w:rPr>
          <w:b/>
          <w:color w:val="231F20"/>
          <w:sz w:val="18"/>
        </w:rPr>
        <w:t>ГРУПА</w:t>
      </w:r>
    </w:p>
    <w:p w:rsidR="00041039" w:rsidRDefault="001B26CB">
      <w:pPr>
        <w:pStyle w:val="ListParagraph"/>
        <w:numPr>
          <w:ilvl w:val="0"/>
          <w:numId w:val="601"/>
        </w:numPr>
        <w:tabs>
          <w:tab w:val="left" w:pos="678"/>
        </w:tabs>
        <w:rPr>
          <w:sz w:val="18"/>
        </w:rPr>
      </w:pPr>
      <w:r>
        <w:rPr>
          <w:color w:val="231F20"/>
          <w:spacing w:val="-4"/>
          <w:sz w:val="18"/>
        </w:rPr>
        <w:t>Глаголи</w:t>
      </w:r>
    </w:p>
    <w:p w:rsidR="00041039" w:rsidRDefault="001B26CB">
      <w:pPr>
        <w:pStyle w:val="ListParagraph"/>
        <w:numPr>
          <w:ilvl w:val="0"/>
          <w:numId w:val="602"/>
        </w:numPr>
        <w:tabs>
          <w:tab w:val="left" w:pos="633"/>
        </w:tabs>
        <w:ind w:left="632"/>
        <w:rPr>
          <w:sz w:val="18"/>
        </w:rPr>
      </w:pPr>
      <w:r>
        <w:rPr>
          <w:color w:val="231F20"/>
          <w:sz w:val="18"/>
        </w:rPr>
        <w:t xml:space="preserve">Обновити </w:t>
      </w:r>
      <w:r>
        <w:rPr>
          <w:color w:val="231F20"/>
          <w:spacing w:val="-3"/>
          <w:sz w:val="18"/>
        </w:rPr>
        <w:t xml:space="preserve">глаголске </w:t>
      </w:r>
      <w:r>
        <w:rPr>
          <w:color w:val="231F20"/>
          <w:sz w:val="18"/>
        </w:rPr>
        <w:t>облике предвиђене програмом за основну</w:t>
      </w:r>
      <w:r>
        <w:rPr>
          <w:color w:val="231F20"/>
          <w:spacing w:val="-1"/>
          <w:sz w:val="18"/>
        </w:rPr>
        <w:t xml:space="preserve"> </w:t>
      </w:r>
      <w:r>
        <w:rPr>
          <w:color w:val="231F20"/>
          <w:spacing w:val="-3"/>
          <w:sz w:val="18"/>
        </w:rPr>
        <w:t>школу;</w:t>
      </w:r>
    </w:p>
    <w:p w:rsidR="00041039" w:rsidRDefault="001B26CB">
      <w:pPr>
        <w:pStyle w:val="ListParagraph"/>
        <w:numPr>
          <w:ilvl w:val="0"/>
          <w:numId w:val="602"/>
        </w:numPr>
        <w:tabs>
          <w:tab w:val="left" w:pos="633"/>
        </w:tabs>
        <w:ind w:left="632"/>
        <w:rPr>
          <w:sz w:val="18"/>
        </w:rPr>
      </w:pPr>
      <w:r>
        <w:rPr>
          <w:color w:val="231F20"/>
          <w:sz w:val="18"/>
        </w:rPr>
        <w:t>Обновити употребу: Present Simple, Present Continuous, Past Simple, Past</w:t>
      </w:r>
      <w:r>
        <w:rPr>
          <w:color w:val="231F20"/>
          <w:spacing w:val="-12"/>
          <w:sz w:val="18"/>
        </w:rPr>
        <w:t xml:space="preserve"> </w:t>
      </w:r>
      <w:r>
        <w:rPr>
          <w:color w:val="231F20"/>
          <w:sz w:val="18"/>
        </w:rPr>
        <w:t>Continuous;</w:t>
      </w:r>
    </w:p>
    <w:p w:rsidR="00041039" w:rsidRDefault="001B26CB">
      <w:pPr>
        <w:pStyle w:val="ListParagraph"/>
        <w:numPr>
          <w:ilvl w:val="0"/>
          <w:numId w:val="602"/>
        </w:numPr>
        <w:tabs>
          <w:tab w:val="left" w:pos="633"/>
        </w:tabs>
        <w:ind w:left="632"/>
        <w:rPr>
          <w:sz w:val="18"/>
        </w:rPr>
      </w:pPr>
      <w:r>
        <w:rPr>
          <w:color w:val="231F20"/>
          <w:sz w:val="18"/>
        </w:rPr>
        <w:t xml:space="preserve">going to и трајни презент за планове и намере, going to и will (за </w:t>
      </w:r>
      <w:r>
        <w:rPr>
          <w:color w:val="231F20"/>
          <w:spacing w:val="-4"/>
          <w:sz w:val="18"/>
        </w:rPr>
        <w:t>будућа</w:t>
      </w:r>
      <w:r>
        <w:rPr>
          <w:color w:val="231F20"/>
          <w:spacing w:val="-11"/>
          <w:sz w:val="18"/>
        </w:rPr>
        <w:t xml:space="preserve"> </w:t>
      </w:r>
      <w:r>
        <w:rPr>
          <w:color w:val="231F20"/>
          <w:sz w:val="18"/>
        </w:rPr>
        <w:t>предвиђања);</w:t>
      </w:r>
    </w:p>
    <w:p w:rsidR="00041039" w:rsidRDefault="001B26CB">
      <w:pPr>
        <w:pStyle w:val="ListParagraph"/>
        <w:numPr>
          <w:ilvl w:val="0"/>
          <w:numId w:val="602"/>
        </w:numPr>
        <w:tabs>
          <w:tab w:val="left" w:pos="633"/>
        </w:tabs>
        <w:ind w:left="632"/>
        <w:rPr>
          <w:sz w:val="18"/>
        </w:rPr>
      </w:pPr>
      <w:r>
        <w:rPr>
          <w:color w:val="231F20"/>
          <w:sz w:val="18"/>
        </w:rPr>
        <w:t>used to.</w:t>
      </w:r>
    </w:p>
    <w:p w:rsidR="00041039" w:rsidRDefault="001B26CB">
      <w:pPr>
        <w:pStyle w:val="ListParagraph"/>
        <w:numPr>
          <w:ilvl w:val="0"/>
          <w:numId w:val="601"/>
        </w:numPr>
        <w:tabs>
          <w:tab w:val="left" w:pos="678"/>
        </w:tabs>
        <w:rPr>
          <w:sz w:val="18"/>
        </w:rPr>
      </w:pPr>
      <w:r>
        <w:rPr>
          <w:color w:val="231F20"/>
          <w:sz w:val="18"/>
        </w:rPr>
        <w:t>Прилози, извођење прилога и</w:t>
      </w:r>
      <w:r>
        <w:rPr>
          <w:color w:val="231F20"/>
          <w:spacing w:val="-4"/>
          <w:sz w:val="18"/>
        </w:rPr>
        <w:t xml:space="preserve"> </w:t>
      </w:r>
      <w:r>
        <w:rPr>
          <w:color w:val="231F20"/>
          <w:sz w:val="18"/>
        </w:rPr>
        <w:t>у</w:t>
      </w:r>
      <w:r>
        <w:rPr>
          <w:color w:val="231F20"/>
          <w:sz w:val="18"/>
        </w:rPr>
        <w:t>потреба.</w:t>
      </w:r>
    </w:p>
    <w:p w:rsidR="00041039" w:rsidRDefault="001B26CB">
      <w:pPr>
        <w:pStyle w:val="ListParagraph"/>
        <w:numPr>
          <w:ilvl w:val="0"/>
          <w:numId w:val="601"/>
        </w:numPr>
        <w:tabs>
          <w:tab w:val="left" w:pos="678"/>
        </w:tabs>
        <w:spacing w:line="203" w:lineRule="exact"/>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600"/>
              </w:numPr>
              <w:tabs>
                <w:tab w:val="left" w:pos="157"/>
              </w:tabs>
              <w:spacing w:before="8"/>
              <w:ind w:right="192"/>
              <w:rPr>
                <w:sz w:val="14"/>
              </w:rPr>
            </w:pPr>
            <w:r>
              <w:rPr>
                <w:color w:val="231F20"/>
                <w:sz w:val="14"/>
              </w:rPr>
              <w:t>разуме караће исказе који садрже фреквентне речи и структуре (информације о</w:t>
            </w:r>
            <w:r>
              <w:rPr>
                <w:color w:val="231F20"/>
                <w:spacing w:val="-16"/>
                <w:sz w:val="14"/>
              </w:rPr>
              <w:t xml:space="preserve"> </w:t>
            </w:r>
            <w:r>
              <w:rPr>
                <w:color w:val="231F20"/>
                <w:sz w:val="14"/>
              </w:rPr>
              <w:t xml:space="preserve">личностима, </w:t>
            </w:r>
            <w:r>
              <w:rPr>
                <w:color w:val="231F20"/>
                <w:spacing w:val="-3"/>
                <w:sz w:val="14"/>
              </w:rPr>
              <w:t xml:space="preserve">послу, </w:t>
            </w:r>
            <w:r>
              <w:rPr>
                <w:color w:val="231F20"/>
                <w:sz w:val="14"/>
              </w:rPr>
              <w:t xml:space="preserve">породици, куповини, </w:t>
            </w:r>
            <w:r>
              <w:rPr>
                <w:color w:val="231F20"/>
                <w:spacing w:val="-3"/>
                <w:sz w:val="14"/>
              </w:rPr>
              <w:t xml:space="preserve">школи, </w:t>
            </w:r>
            <w:r>
              <w:rPr>
                <w:color w:val="231F20"/>
                <w:sz w:val="14"/>
              </w:rPr>
              <w:t>ближем окружењу);</w:t>
            </w:r>
          </w:p>
          <w:p w:rsidR="00041039" w:rsidRDefault="001B26CB">
            <w:pPr>
              <w:pStyle w:val="TableParagraph"/>
              <w:numPr>
                <w:ilvl w:val="0"/>
                <w:numId w:val="600"/>
              </w:numPr>
              <w:tabs>
                <w:tab w:val="left" w:pos="157"/>
              </w:tabs>
              <w:spacing w:line="156" w:lineRule="exact"/>
              <w:rPr>
                <w:sz w:val="14"/>
              </w:rPr>
            </w:pPr>
            <w:r>
              <w:rPr>
                <w:color w:val="231F20"/>
                <w:sz w:val="14"/>
              </w:rPr>
              <w:t>разуме најбитније информације у кратким</w:t>
            </w:r>
            <w:r>
              <w:rPr>
                <w:color w:val="231F20"/>
                <w:spacing w:val="-11"/>
                <w:sz w:val="14"/>
              </w:rPr>
              <w:t xml:space="preserve"> </w:t>
            </w:r>
            <w:r>
              <w:rPr>
                <w:color w:val="231F20"/>
                <w:sz w:val="14"/>
              </w:rPr>
              <w:t>и</w:t>
            </w:r>
          </w:p>
          <w:p w:rsidR="00041039" w:rsidRDefault="001B26CB">
            <w:pPr>
              <w:pStyle w:val="TableParagraph"/>
              <w:rPr>
                <w:sz w:val="14"/>
              </w:rPr>
            </w:pPr>
            <w:r>
              <w:rPr>
                <w:color w:val="231F20"/>
                <w:sz w:val="14"/>
              </w:rPr>
              <w:t>једноставним обавештењима (преко разгласа, на улици, на шалтеру) и правил</w:t>
            </w:r>
            <w:r>
              <w:rPr>
                <w:color w:val="231F20"/>
                <w:sz w:val="14"/>
              </w:rPr>
              <w:t>но их користи;</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599"/>
              </w:numPr>
              <w:tabs>
                <w:tab w:val="left" w:pos="157"/>
              </w:tabs>
              <w:spacing w:line="237" w:lineRule="auto"/>
              <w:ind w:right="105"/>
              <w:jc w:val="both"/>
              <w:rPr>
                <w:sz w:val="14"/>
              </w:rPr>
            </w:pPr>
            <w:r>
              <w:rPr>
                <w:color w:val="231F20"/>
                <w:sz w:val="14"/>
              </w:rPr>
              <w:t>Свакодневни живот (комуникација међу младима, генерацијски</w:t>
            </w:r>
            <w:r>
              <w:rPr>
                <w:color w:val="231F20"/>
                <w:spacing w:val="-8"/>
                <w:sz w:val="14"/>
              </w:rPr>
              <w:t xml:space="preserve"> </w:t>
            </w:r>
            <w:r>
              <w:rPr>
                <w:color w:val="231F20"/>
                <w:sz w:val="14"/>
              </w:rPr>
              <w:t>конфликти</w:t>
            </w:r>
            <w:r>
              <w:rPr>
                <w:color w:val="231F20"/>
                <w:spacing w:val="-8"/>
                <w:sz w:val="14"/>
              </w:rPr>
              <w:t xml:space="preserve"> </w:t>
            </w:r>
            <w:r>
              <w:rPr>
                <w:color w:val="231F20"/>
                <w:sz w:val="14"/>
              </w:rPr>
              <w:t>и</w:t>
            </w:r>
            <w:r>
              <w:rPr>
                <w:color w:val="231F20"/>
                <w:spacing w:val="-9"/>
                <w:sz w:val="14"/>
              </w:rPr>
              <w:t xml:space="preserve"> </w:t>
            </w:r>
            <w:r>
              <w:rPr>
                <w:color w:val="231F20"/>
                <w:sz w:val="14"/>
              </w:rPr>
              <w:t>начини</w:t>
            </w:r>
            <w:r>
              <w:rPr>
                <w:color w:val="231F20"/>
                <w:spacing w:val="-8"/>
                <w:sz w:val="14"/>
              </w:rPr>
              <w:t xml:space="preserve"> </w:t>
            </w:r>
            <w:r>
              <w:rPr>
                <w:color w:val="231F20"/>
                <w:sz w:val="14"/>
              </w:rPr>
              <w:t>превазилажења, међувршњачка</w:t>
            </w:r>
            <w:r>
              <w:rPr>
                <w:color w:val="231F20"/>
                <w:spacing w:val="-1"/>
                <w:sz w:val="14"/>
              </w:rPr>
              <w:t xml:space="preserve"> </w:t>
            </w:r>
            <w:r>
              <w:rPr>
                <w:color w:val="231F20"/>
                <w:sz w:val="14"/>
              </w:rPr>
              <w:t>подршка).</w:t>
            </w:r>
          </w:p>
          <w:p w:rsidR="00041039" w:rsidRDefault="001B26CB">
            <w:pPr>
              <w:pStyle w:val="TableParagraph"/>
              <w:numPr>
                <w:ilvl w:val="0"/>
                <w:numId w:val="599"/>
              </w:numPr>
              <w:tabs>
                <w:tab w:val="left" w:pos="157"/>
              </w:tabs>
              <w:spacing w:line="237" w:lineRule="auto"/>
              <w:ind w:right="131"/>
              <w:rPr>
                <w:sz w:val="14"/>
              </w:rPr>
            </w:pPr>
            <w:r>
              <w:rPr>
                <w:color w:val="231F20"/>
                <w:sz w:val="14"/>
              </w:rPr>
              <w:t>Образовање (образовање у земљама чији се језик учи,</w:t>
            </w:r>
            <w:r>
              <w:rPr>
                <w:color w:val="231F20"/>
                <w:spacing w:val="-6"/>
                <w:sz w:val="14"/>
              </w:rPr>
              <w:t xml:space="preserve"> </w:t>
            </w:r>
            <w:r>
              <w:rPr>
                <w:color w:val="231F20"/>
                <w:sz w:val="14"/>
              </w:rPr>
              <w:t>школовање</w:t>
            </w:r>
            <w:r>
              <w:rPr>
                <w:color w:val="231F20"/>
                <w:spacing w:val="-6"/>
                <w:sz w:val="14"/>
              </w:rPr>
              <w:t xml:space="preserve"> </w:t>
            </w:r>
            <w:r>
              <w:rPr>
                <w:color w:val="231F20"/>
                <w:sz w:val="14"/>
              </w:rPr>
              <w:t>које</w:t>
            </w:r>
            <w:r>
              <w:rPr>
                <w:color w:val="231F20"/>
                <w:spacing w:val="-6"/>
                <w:sz w:val="14"/>
              </w:rPr>
              <w:t xml:space="preserve"> </w:t>
            </w:r>
            <w:r>
              <w:rPr>
                <w:color w:val="231F20"/>
                <w:sz w:val="14"/>
              </w:rPr>
              <w:t>припрема</w:t>
            </w:r>
            <w:r>
              <w:rPr>
                <w:color w:val="231F20"/>
                <w:spacing w:val="-6"/>
                <w:sz w:val="14"/>
              </w:rPr>
              <w:t xml:space="preserve"> </w:t>
            </w:r>
            <w:r>
              <w:rPr>
                <w:color w:val="231F20"/>
                <w:sz w:val="14"/>
              </w:rPr>
              <w:t>за</w:t>
            </w:r>
            <w:r>
              <w:rPr>
                <w:color w:val="231F20"/>
                <w:spacing w:val="-7"/>
                <w:sz w:val="14"/>
              </w:rPr>
              <w:t xml:space="preserve"> </w:t>
            </w:r>
            <w:r>
              <w:rPr>
                <w:color w:val="231F20"/>
                <w:sz w:val="14"/>
              </w:rPr>
              <w:t>студије</w:t>
            </w:r>
            <w:r>
              <w:rPr>
                <w:color w:val="231F20"/>
                <w:spacing w:val="-6"/>
                <w:sz w:val="14"/>
              </w:rPr>
              <w:t xml:space="preserve"> </w:t>
            </w:r>
            <w:r>
              <w:rPr>
                <w:color w:val="231F20"/>
                <w:sz w:val="14"/>
              </w:rPr>
              <w:t>или</w:t>
            </w:r>
            <w:r>
              <w:rPr>
                <w:color w:val="231F20"/>
                <w:spacing w:val="-7"/>
                <w:sz w:val="14"/>
              </w:rPr>
              <w:t xml:space="preserve"> </w:t>
            </w:r>
            <w:r>
              <w:rPr>
                <w:color w:val="231F20"/>
                <w:sz w:val="14"/>
              </w:rPr>
              <w:t>свет рада, образовање за</w:t>
            </w:r>
            <w:r>
              <w:rPr>
                <w:color w:val="231F20"/>
                <w:spacing w:val="-2"/>
                <w:sz w:val="14"/>
              </w:rPr>
              <w:t xml:space="preserve"> </w:t>
            </w:r>
            <w:r>
              <w:rPr>
                <w:color w:val="231F20"/>
                <w:sz w:val="14"/>
              </w:rPr>
              <w:t>све).</w:t>
            </w:r>
          </w:p>
          <w:p w:rsidR="00041039" w:rsidRDefault="001B26CB">
            <w:pPr>
              <w:pStyle w:val="TableParagraph"/>
              <w:numPr>
                <w:ilvl w:val="0"/>
                <w:numId w:val="599"/>
              </w:numPr>
              <w:tabs>
                <w:tab w:val="left" w:pos="157"/>
              </w:tabs>
              <w:spacing w:line="237" w:lineRule="auto"/>
              <w:ind w:right="368"/>
              <w:rPr>
                <w:sz w:val="14"/>
              </w:rPr>
            </w:pPr>
            <w:r>
              <w:rPr>
                <w:color w:val="231F20"/>
                <w:sz w:val="14"/>
              </w:rPr>
              <w:t>Познати региони у земљама чији се језик</w:t>
            </w:r>
            <w:r>
              <w:rPr>
                <w:color w:val="231F20"/>
                <w:spacing w:val="-15"/>
                <w:sz w:val="14"/>
              </w:rPr>
              <w:t xml:space="preserve"> </w:t>
            </w:r>
            <w:r>
              <w:rPr>
                <w:color w:val="231F20"/>
                <w:sz w:val="14"/>
              </w:rPr>
              <w:t>учи, њихова</w:t>
            </w:r>
            <w:r>
              <w:rPr>
                <w:color w:val="231F20"/>
                <w:spacing w:val="-1"/>
                <w:sz w:val="14"/>
              </w:rPr>
              <w:t xml:space="preserve"> </w:t>
            </w:r>
            <w:r>
              <w:rPr>
                <w:color w:val="231F20"/>
                <w:sz w:val="14"/>
              </w:rPr>
              <w:t>обележја.</w:t>
            </w:r>
          </w:p>
          <w:p w:rsidR="00041039" w:rsidRDefault="001B26CB">
            <w:pPr>
              <w:pStyle w:val="TableParagraph"/>
              <w:numPr>
                <w:ilvl w:val="0"/>
                <w:numId w:val="599"/>
              </w:numPr>
              <w:tabs>
                <w:tab w:val="left" w:pos="157"/>
              </w:tabs>
              <w:spacing w:line="160" w:lineRule="exact"/>
              <w:ind w:right="199"/>
              <w:rPr>
                <w:sz w:val="14"/>
              </w:rPr>
            </w:pPr>
            <w:r>
              <w:rPr>
                <w:color w:val="231F20"/>
                <w:spacing w:val="-3"/>
                <w:sz w:val="14"/>
              </w:rPr>
              <w:t xml:space="preserve">Културни </w:t>
            </w:r>
            <w:r>
              <w:rPr>
                <w:color w:val="231F20"/>
                <w:sz w:val="14"/>
              </w:rPr>
              <w:t>живот (манифестације које млади радо посећују у земљи и земљама чији се језик учи, међународни пројекти и учешће на</w:t>
            </w:r>
            <w:r>
              <w:rPr>
                <w:color w:val="231F20"/>
                <w:spacing w:val="-8"/>
                <w:sz w:val="14"/>
              </w:rPr>
              <w:t xml:space="preserve"> </w:t>
            </w:r>
            <w:r>
              <w:rPr>
                <w:color w:val="231F20"/>
                <w:sz w:val="14"/>
              </w:rPr>
              <w:t>њима).</w:t>
            </w:r>
          </w:p>
          <w:p w:rsidR="00041039" w:rsidRDefault="001B26CB">
            <w:pPr>
              <w:pStyle w:val="TableParagraph"/>
              <w:numPr>
                <w:ilvl w:val="0"/>
                <w:numId w:val="599"/>
              </w:numPr>
              <w:tabs>
                <w:tab w:val="left" w:pos="157"/>
              </w:tabs>
              <w:spacing w:line="160" w:lineRule="exact"/>
              <w:ind w:right="129"/>
              <w:rPr>
                <w:sz w:val="14"/>
              </w:rPr>
            </w:pPr>
            <w:r>
              <w:rPr>
                <w:color w:val="231F20"/>
                <w:sz w:val="14"/>
              </w:rPr>
              <w:t>Заштита</w:t>
            </w:r>
            <w:r>
              <w:rPr>
                <w:color w:val="231F20"/>
                <w:spacing w:val="-7"/>
                <w:sz w:val="14"/>
              </w:rPr>
              <w:t xml:space="preserve"> </w:t>
            </w:r>
            <w:r>
              <w:rPr>
                <w:color w:val="231F20"/>
                <w:sz w:val="14"/>
              </w:rPr>
              <w:t>човекове</w:t>
            </w:r>
            <w:r>
              <w:rPr>
                <w:color w:val="231F20"/>
                <w:spacing w:val="-7"/>
                <w:sz w:val="14"/>
              </w:rPr>
              <w:t xml:space="preserve"> </w:t>
            </w:r>
            <w:r>
              <w:rPr>
                <w:color w:val="231F20"/>
                <w:sz w:val="14"/>
              </w:rPr>
              <w:t>околине</w:t>
            </w:r>
            <w:r>
              <w:rPr>
                <w:color w:val="231F20"/>
                <w:spacing w:val="-8"/>
                <w:sz w:val="14"/>
              </w:rPr>
              <w:t xml:space="preserve"> </w:t>
            </w:r>
            <w:r>
              <w:rPr>
                <w:color w:val="231F20"/>
                <w:sz w:val="14"/>
              </w:rPr>
              <w:t>(акциј</w:t>
            </w:r>
            <w:r>
              <w:rPr>
                <w:color w:val="231F20"/>
                <w:sz w:val="14"/>
              </w:rPr>
              <w:t>е</w:t>
            </w:r>
            <w:r>
              <w:rPr>
                <w:color w:val="231F20"/>
                <w:spacing w:val="-7"/>
                <w:sz w:val="14"/>
              </w:rPr>
              <w:t xml:space="preserve"> </w:t>
            </w:r>
            <w:r>
              <w:rPr>
                <w:color w:val="231F20"/>
                <w:sz w:val="14"/>
              </w:rPr>
              <w:t>на</w:t>
            </w:r>
            <w:r>
              <w:rPr>
                <w:color w:val="231F20"/>
                <w:spacing w:val="-8"/>
                <w:sz w:val="14"/>
              </w:rPr>
              <w:t xml:space="preserve"> </w:t>
            </w:r>
            <w:r>
              <w:rPr>
                <w:color w:val="231F20"/>
                <w:sz w:val="14"/>
              </w:rPr>
              <w:t>нивоу</w:t>
            </w:r>
            <w:r>
              <w:rPr>
                <w:color w:val="231F20"/>
                <w:spacing w:val="-7"/>
                <w:sz w:val="14"/>
              </w:rPr>
              <w:t xml:space="preserve"> </w:t>
            </w:r>
            <w:r>
              <w:rPr>
                <w:color w:val="231F20"/>
                <w:sz w:val="14"/>
              </w:rPr>
              <w:t xml:space="preserve">града, </w:t>
            </w:r>
            <w:r>
              <w:rPr>
                <w:color w:val="231F20"/>
                <w:spacing w:val="-3"/>
                <w:sz w:val="14"/>
              </w:rPr>
              <w:t xml:space="preserve">школе, </w:t>
            </w:r>
            <w:r>
              <w:rPr>
                <w:color w:val="231F20"/>
                <w:sz w:val="14"/>
              </w:rPr>
              <w:t>волонтерски рад).</w:t>
            </w:r>
          </w:p>
          <w:p w:rsidR="00041039" w:rsidRDefault="001B26CB">
            <w:pPr>
              <w:pStyle w:val="TableParagraph"/>
              <w:numPr>
                <w:ilvl w:val="0"/>
                <w:numId w:val="599"/>
              </w:numPr>
              <w:tabs>
                <w:tab w:val="left" w:pos="157"/>
              </w:tabs>
              <w:spacing w:line="153" w:lineRule="exact"/>
              <w:rPr>
                <w:sz w:val="14"/>
              </w:rPr>
            </w:pPr>
            <w:r>
              <w:rPr>
                <w:color w:val="231F20"/>
                <w:sz w:val="14"/>
              </w:rPr>
              <w:t>Медији (штампа, телевизија, електронски</w:t>
            </w:r>
            <w:r>
              <w:rPr>
                <w:color w:val="231F20"/>
                <w:spacing w:val="-9"/>
                <w:sz w:val="14"/>
              </w:rPr>
              <w:t xml:space="preserve"> </w:t>
            </w:r>
            <w:r>
              <w:rPr>
                <w:color w:val="231F20"/>
                <w:sz w:val="14"/>
              </w:rPr>
              <w:t>медији).</w:t>
            </w:r>
          </w:p>
          <w:p w:rsidR="00041039" w:rsidRDefault="001B26CB">
            <w:pPr>
              <w:pStyle w:val="TableParagraph"/>
              <w:numPr>
                <w:ilvl w:val="0"/>
                <w:numId w:val="599"/>
              </w:numPr>
              <w:tabs>
                <w:tab w:val="left" w:pos="157"/>
              </w:tabs>
              <w:spacing w:line="160" w:lineRule="exact"/>
              <w:rPr>
                <w:sz w:val="14"/>
              </w:rPr>
            </w:pPr>
            <w:r>
              <w:rPr>
                <w:color w:val="231F20"/>
                <w:sz w:val="14"/>
              </w:rPr>
              <w:t>Интересантне животне приче и</w:t>
            </w:r>
            <w:r>
              <w:rPr>
                <w:color w:val="231F20"/>
                <w:spacing w:val="-4"/>
                <w:sz w:val="14"/>
              </w:rPr>
              <w:t xml:space="preserve"> </w:t>
            </w:r>
            <w:r>
              <w:rPr>
                <w:color w:val="231F20"/>
                <w:sz w:val="14"/>
              </w:rPr>
              <w:t>догађаји.</w:t>
            </w:r>
          </w:p>
          <w:p w:rsidR="00041039" w:rsidRDefault="001B26CB">
            <w:pPr>
              <w:pStyle w:val="TableParagraph"/>
              <w:numPr>
                <w:ilvl w:val="0"/>
                <w:numId w:val="599"/>
              </w:numPr>
              <w:tabs>
                <w:tab w:val="left" w:pos="157"/>
              </w:tabs>
              <w:spacing w:line="166" w:lineRule="exact"/>
              <w:rPr>
                <w:sz w:val="14"/>
              </w:rPr>
            </w:pPr>
            <w:r>
              <w:rPr>
                <w:color w:val="231F20"/>
                <w:sz w:val="14"/>
              </w:rPr>
              <w:t>Свет компјутера (млади и друштвене</w:t>
            </w:r>
            <w:r>
              <w:rPr>
                <w:color w:val="231F20"/>
                <w:spacing w:val="-8"/>
                <w:sz w:val="14"/>
              </w:rPr>
              <w:t xml:space="preserve"> </w:t>
            </w:r>
            <w:r>
              <w:rPr>
                <w:color w:val="231F20"/>
                <w:sz w:val="14"/>
              </w:rPr>
              <w:t>мреже).</w:t>
            </w:r>
          </w:p>
        </w:tc>
        <w:tc>
          <w:tcPr>
            <w:tcW w:w="2834" w:type="dxa"/>
            <w:vMerge w:val="restart"/>
          </w:tcPr>
          <w:p w:rsidR="00041039" w:rsidRDefault="001B26CB">
            <w:pPr>
              <w:pStyle w:val="TableParagraph"/>
              <w:numPr>
                <w:ilvl w:val="0"/>
                <w:numId w:val="598"/>
              </w:numPr>
              <w:tabs>
                <w:tab w:val="left" w:pos="162"/>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598"/>
              </w:numPr>
              <w:tabs>
                <w:tab w:val="left" w:pos="162"/>
              </w:tabs>
              <w:ind w:right="282"/>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numPr>
                <w:ilvl w:val="0"/>
                <w:numId w:val="598"/>
              </w:numPr>
              <w:tabs>
                <w:tab w:val="left" w:pos="162"/>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598"/>
              </w:numPr>
              <w:tabs>
                <w:tab w:val="left" w:pos="162"/>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598"/>
              </w:numPr>
              <w:tabs>
                <w:tab w:val="left" w:pos="162"/>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598"/>
              </w:numPr>
              <w:tabs>
                <w:tab w:val="left" w:pos="162"/>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598"/>
              </w:numPr>
              <w:tabs>
                <w:tab w:val="left" w:pos="162"/>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numPr>
                <w:ilvl w:val="0"/>
                <w:numId w:val="598"/>
              </w:numPr>
              <w:tabs>
                <w:tab w:val="left" w:pos="162"/>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598"/>
              </w:numPr>
              <w:tabs>
                <w:tab w:val="left" w:pos="162"/>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598"/>
              </w:numPr>
              <w:tabs>
                <w:tab w:val="left" w:pos="162"/>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598"/>
              </w:numPr>
              <w:tabs>
                <w:tab w:val="left" w:pos="162"/>
              </w:tabs>
              <w:ind w:right="628"/>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598"/>
              </w:numPr>
              <w:tabs>
                <w:tab w:val="left" w:pos="162"/>
              </w:tabs>
              <w:ind w:right="273"/>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598"/>
              </w:numPr>
              <w:tabs>
                <w:tab w:val="left" w:pos="162"/>
              </w:tabs>
              <w:spacing w:line="159" w:lineRule="exact"/>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598"/>
              </w:numPr>
              <w:tabs>
                <w:tab w:val="left" w:pos="162"/>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598"/>
              </w:numPr>
              <w:tabs>
                <w:tab w:val="left" w:pos="162"/>
              </w:tabs>
              <w:spacing w:line="160" w:lineRule="exact"/>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numPr>
                <w:ilvl w:val="0"/>
                <w:numId w:val="598"/>
              </w:numPr>
              <w:tabs>
                <w:tab w:val="left" w:pos="162"/>
              </w:tabs>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numPr>
                <w:ilvl w:val="0"/>
                <w:numId w:val="598"/>
              </w:numPr>
              <w:tabs>
                <w:tab w:val="left" w:pos="162"/>
              </w:tabs>
              <w:spacing w:line="159"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numPr>
                <w:ilvl w:val="0"/>
                <w:numId w:val="598"/>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598"/>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numPr>
                <w:ilvl w:val="0"/>
                <w:numId w:val="598"/>
              </w:numPr>
              <w:tabs>
                <w:tab w:val="left" w:pos="162"/>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598"/>
              </w:numPr>
              <w:tabs>
                <w:tab w:val="left" w:pos="162"/>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901"/>
        </w:trPr>
        <w:tc>
          <w:tcPr>
            <w:tcW w:w="1304" w:type="dxa"/>
            <w:tcBorders>
              <w:top w:val="nil"/>
            </w:tcBorders>
          </w:tcPr>
          <w:p w:rsidR="00041039" w:rsidRDefault="001B26CB">
            <w:pPr>
              <w:pStyle w:val="TableParagraph"/>
              <w:numPr>
                <w:ilvl w:val="0"/>
                <w:numId w:val="597"/>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596"/>
              </w:numPr>
              <w:tabs>
                <w:tab w:val="left" w:pos="157"/>
              </w:tabs>
              <w:spacing w:before="9"/>
              <w:ind w:right="47"/>
              <w:rPr>
                <w:sz w:val="14"/>
              </w:rPr>
            </w:pPr>
            <w:r>
              <w:rPr>
                <w:color w:val="231F20"/>
                <w:sz w:val="14"/>
              </w:rPr>
              <w:t>чита и разуме различите врсте кратких и при­ лагођених текстова (једноставнија лична / по­ словна писма, позивнице, термини, проспекти, упутства,</w:t>
            </w:r>
            <w:r>
              <w:rPr>
                <w:color w:val="231F20"/>
                <w:spacing w:val="-7"/>
                <w:sz w:val="14"/>
              </w:rPr>
              <w:t xml:space="preserve"> </w:t>
            </w:r>
            <w:r>
              <w:rPr>
                <w:color w:val="231F20"/>
                <w:sz w:val="14"/>
              </w:rPr>
              <w:t>огласи)</w:t>
            </w:r>
            <w:r>
              <w:rPr>
                <w:color w:val="231F20"/>
                <w:spacing w:val="-8"/>
                <w:sz w:val="14"/>
              </w:rPr>
              <w:t xml:space="preserve"> </w:t>
            </w:r>
            <w:r>
              <w:rPr>
                <w:color w:val="231F20"/>
                <w:sz w:val="14"/>
              </w:rPr>
              <w:t>препознајући</w:t>
            </w:r>
            <w:r>
              <w:rPr>
                <w:color w:val="231F20"/>
                <w:spacing w:val="-8"/>
                <w:sz w:val="14"/>
              </w:rPr>
              <w:t xml:space="preserve"> </w:t>
            </w:r>
            <w:r>
              <w:rPr>
                <w:color w:val="231F20"/>
                <w:sz w:val="14"/>
              </w:rPr>
              <w:t>основна</w:t>
            </w:r>
            <w:r>
              <w:rPr>
                <w:color w:val="231F20"/>
                <w:spacing w:val="-7"/>
                <w:sz w:val="14"/>
              </w:rPr>
              <w:t xml:space="preserve"> </w:t>
            </w:r>
            <w:r>
              <w:rPr>
                <w:color w:val="231F20"/>
                <w:sz w:val="14"/>
              </w:rPr>
              <w:t>значења и релевантне</w:t>
            </w:r>
            <w:r>
              <w:rPr>
                <w:color w:val="231F20"/>
                <w:spacing w:val="-2"/>
                <w:sz w:val="14"/>
              </w:rPr>
              <w:t xml:space="preserve"> </w:t>
            </w:r>
            <w:r>
              <w:rPr>
                <w:color w:val="231F20"/>
                <w:sz w:val="14"/>
              </w:rPr>
              <w:t>детаље;</w:t>
            </w:r>
          </w:p>
          <w:p w:rsidR="00041039" w:rsidRDefault="001B26CB">
            <w:pPr>
              <w:pStyle w:val="TableParagraph"/>
              <w:numPr>
                <w:ilvl w:val="0"/>
                <w:numId w:val="596"/>
              </w:numPr>
              <w:tabs>
                <w:tab w:val="left" w:pos="157"/>
              </w:tabs>
              <w:spacing w:line="155" w:lineRule="exact"/>
              <w:rPr>
                <w:sz w:val="14"/>
              </w:rPr>
            </w:pPr>
            <w:r>
              <w:rPr>
                <w:color w:val="231F20"/>
                <w:sz w:val="14"/>
              </w:rPr>
              <w:t>открива значење непознатих речи на</w:t>
            </w:r>
            <w:r>
              <w:rPr>
                <w:color w:val="231F20"/>
                <w:spacing w:val="-12"/>
                <w:sz w:val="14"/>
              </w:rPr>
              <w:t xml:space="preserve"> </w:t>
            </w:r>
            <w:r>
              <w:rPr>
                <w:color w:val="231F20"/>
                <w:sz w:val="14"/>
              </w:rPr>
              <w:t>основу</w:t>
            </w:r>
          </w:p>
          <w:p w:rsidR="00041039" w:rsidRDefault="001B26CB">
            <w:pPr>
              <w:pStyle w:val="TableParagraph"/>
              <w:spacing w:line="155" w:lineRule="exact"/>
              <w:rPr>
                <w:sz w:val="14"/>
              </w:rPr>
            </w:pPr>
            <w:r>
              <w:rPr>
                <w:color w:val="231F20"/>
                <w:sz w:val="14"/>
              </w:rPr>
              <w:t>контекста и / или помоћу речника;</w:t>
            </w:r>
          </w:p>
          <w:p w:rsidR="00041039" w:rsidRDefault="001B26CB">
            <w:pPr>
              <w:pStyle w:val="TableParagraph"/>
              <w:numPr>
                <w:ilvl w:val="0"/>
                <w:numId w:val="596"/>
              </w:numPr>
              <w:tabs>
                <w:tab w:val="left" w:pos="157"/>
              </w:tabs>
              <w:spacing w:line="237" w:lineRule="auto"/>
              <w:ind w:right="120"/>
              <w:rPr>
                <w:sz w:val="14"/>
              </w:rPr>
            </w:pPr>
            <w:r>
              <w:rPr>
                <w:color w:val="231F20"/>
                <w:sz w:val="14"/>
              </w:rPr>
              <w:t xml:space="preserve">уочи предвидљиве информације (кад, где, </w:t>
            </w:r>
            <w:r>
              <w:rPr>
                <w:color w:val="231F20"/>
                <w:spacing w:val="-3"/>
                <w:sz w:val="14"/>
              </w:rPr>
              <w:t xml:space="preserve">ко, колико) </w:t>
            </w:r>
            <w:r>
              <w:rPr>
                <w:color w:val="231F20"/>
                <w:sz w:val="14"/>
              </w:rPr>
              <w:t>у свакодневним текстовима (рекламе, огласи, јеловници, проспекти) као и једностав­ нијим</w:t>
            </w:r>
            <w:r>
              <w:rPr>
                <w:color w:val="231F20"/>
                <w:spacing w:val="-8"/>
                <w:sz w:val="14"/>
              </w:rPr>
              <w:t xml:space="preserve"> </w:t>
            </w:r>
            <w:r>
              <w:rPr>
                <w:color w:val="231F20"/>
                <w:sz w:val="14"/>
              </w:rPr>
              <w:t>стручним</w:t>
            </w:r>
            <w:r>
              <w:rPr>
                <w:color w:val="231F20"/>
                <w:spacing w:val="-7"/>
                <w:sz w:val="14"/>
              </w:rPr>
              <w:t xml:space="preserve"> </w:t>
            </w:r>
            <w:r>
              <w:rPr>
                <w:color w:val="231F20"/>
                <w:sz w:val="14"/>
              </w:rPr>
              <w:t>текстовима</w:t>
            </w:r>
            <w:r>
              <w:rPr>
                <w:color w:val="231F20"/>
                <w:spacing w:val="-7"/>
                <w:sz w:val="14"/>
              </w:rPr>
              <w:t xml:space="preserve"> </w:t>
            </w:r>
            <w:r>
              <w:rPr>
                <w:color w:val="231F20"/>
                <w:sz w:val="14"/>
              </w:rPr>
              <w:t>(формулари,</w:t>
            </w:r>
            <w:r>
              <w:rPr>
                <w:color w:val="231F20"/>
                <w:spacing w:val="-8"/>
                <w:sz w:val="14"/>
              </w:rPr>
              <w:t xml:space="preserve"> </w:t>
            </w:r>
            <w:r>
              <w:rPr>
                <w:color w:val="231F20"/>
                <w:sz w:val="14"/>
              </w:rPr>
              <w:t>шеме, извештаји);</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700"/>
        </w:trPr>
        <w:tc>
          <w:tcPr>
            <w:tcW w:w="1304" w:type="dxa"/>
            <w:tcBorders>
              <w:top w:val="nil"/>
            </w:tcBorders>
          </w:tcPr>
          <w:p w:rsidR="00041039" w:rsidRDefault="001B26CB">
            <w:pPr>
              <w:pStyle w:val="TableParagraph"/>
              <w:numPr>
                <w:ilvl w:val="0"/>
                <w:numId w:val="595"/>
              </w:numPr>
              <w:tabs>
                <w:tab w:val="left" w:pos="157"/>
              </w:tabs>
              <w:spacing w:before="69"/>
              <w:ind w:right="131"/>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19"/>
              <w:ind w:left="56"/>
              <w:rPr>
                <w:sz w:val="14"/>
              </w:rPr>
            </w:pPr>
            <w:r>
              <w:rPr>
                <w:color w:val="231F20"/>
                <w:sz w:val="14"/>
              </w:rPr>
              <w:t>ГОВОР</w:t>
            </w:r>
          </w:p>
        </w:tc>
        <w:tc>
          <w:tcPr>
            <w:tcW w:w="3118" w:type="dxa"/>
            <w:vMerge w:val="restart"/>
          </w:tcPr>
          <w:p w:rsidR="00041039" w:rsidRDefault="001B26CB">
            <w:pPr>
              <w:pStyle w:val="TableParagraph"/>
              <w:numPr>
                <w:ilvl w:val="0"/>
                <w:numId w:val="594"/>
              </w:numPr>
              <w:tabs>
                <w:tab w:val="left" w:pos="157"/>
              </w:tabs>
              <w:spacing w:before="9"/>
              <w:ind w:right="208"/>
              <w:jc w:val="both"/>
              <w:rPr>
                <w:sz w:val="14"/>
              </w:rPr>
            </w:pPr>
            <w:r>
              <w:rPr>
                <w:color w:val="231F20"/>
                <w:sz w:val="14"/>
              </w:rPr>
              <w:t>описује ситуације, прича о догађајима и аргу­ ментује ставове користећи једноставне</w:t>
            </w:r>
            <w:r>
              <w:rPr>
                <w:color w:val="231F20"/>
                <w:spacing w:val="-14"/>
                <w:sz w:val="14"/>
              </w:rPr>
              <w:t xml:space="preserve"> </w:t>
            </w:r>
            <w:r>
              <w:rPr>
                <w:color w:val="231F20"/>
                <w:sz w:val="14"/>
              </w:rPr>
              <w:t>изразе и</w:t>
            </w:r>
            <w:r>
              <w:rPr>
                <w:color w:val="231F20"/>
                <w:spacing w:val="-2"/>
                <w:sz w:val="14"/>
              </w:rPr>
              <w:t xml:space="preserve"> </w:t>
            </w:r>
            <w:r>
              <w:rPr>
                <w:color w:val="231F20"/>
                <w:sz w:val="14"/>
              </w:rPr>
              <w:t>реченице;</w:t>
            </w:r>
          </w:p>
          <w:p w:rsidR="00041039" w:rsidRDefault="001B26CB">
            <w:pPr>
              <w:pStyle w:val="TableParagraph"/>
              <w:numPr>
                <w:ilvl w:val="0"/>
                <w:numId w:val="594"/>
              </w:numPr>
              <w:tabs>
                <w:tab w:val="left" w:pos="157"/>
              </w:tabs>
              <w:spacing w:line="157" w:lineRule="exact"/>
              <w:rPr>
                <w:sz w:val="14"/>
              </w:rPr>
            </w:pPr>
            <w:r>
              <w:rPr>
                <w:color w:val="231F20"/>
                <w:sz w:val="14"/>
              </w:rPr>
              <w:t>води једноставне разговоре (телефонира),</w:t>
            </w:r>
            <w:r>
              <w:rPr>
                <w:color w:val="231F20"/>
                <w:spacing w:val="-4"/>
                <w:sz w:val="14"/>
              </w:rPr>
              <w:t xml:space="preserve"> </w:t>
            </w:r>
            <w:r>
              <w:rPr>
                <w:color w:val="231F20"/>
                <w:sz w:val="14"/>
              </w:rPr>
              <w:t>даје</w:t>
            </w:r>
          </w:p>
          <w:p w:rsidR="00041039" w:rsidRDefault="001B26CB">
            <w:pPr>
              <w:pStyle w:val="TableParagraph"/>
              <w:spacing w:line="155" w:lineRule="exact"/>
              <w:rPr>
                <w:sz w:val="14"/>
              </w:rPr>
            </w:pPr>
            <w:r>
              <w:rPr>
                <w:color w:val="231F20"/>
                <w:sz w:val="14"/>
              </w:rPr>
              <w:t>информације и упутства, уговара термине;</w:t>
            </w:r>
          </w:p>
          <w:p w:rsidR="00041039" w:rsidRDefault="001B26CB">
            <w:pPr>
              <w:pStyle w:val="TableParagraph"/>
              <w:numPr>
                <w:ilvl w:val="0"/>
                <w:numId w:val="594"/>
              </w:numPr>
              <w:tabs>
                <w:tab w:val="left" w:pos="157"/>
              </w:tabs>
              <w:spacing w:line="237" w:lineRule="auto"/>
              <w:ind w:right="386"/>
              <w:rPr>
                <w:sz w:val="14"/>
              </w:rPr>
            </w:pPr>
            <w:r>
              <w:rPr>
                <w:color w:val="231F20"/>
                <w:sz w:val="14"/>
              </w:rPr>
              <w:t>реагује учтиво на питања , захтеве,</w:t>
            </w:r>
            <w:r>
              <w:rPr>
                <w:color w:val="231F20"/>
                <w:spacing w:val="-15"/>
                <w:sz w:val="14"/>
              </w:rPr>
              <w:t xml:space="preserve"> </w:t>
            </w:r>
            <w:r>
              <w:rPr>
                <w:color w:val="231F20"/>
                <w:sz w:val="14"/>
              </w:rPr>
              <w:t>позиве, извињења</w:t>
            </w:r>
            <w:r>
              <w:rPr>
                <w:color w:val="231F20"/>
                <w:spacing w:val="-2"/>
                <w:sz w:val="14"/>
              </w:rPr>
              <w:t xml:space="preserve"> </w:t>
            </w:r>
            <w:r>
              <w:rPr>
                <w:color w:val="231F20"/>
                <w:sz w:val="14"/>
              </w:rPr>
              <w:t>саговорника;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060"/>
        </w:trPr>
        <w:tc>
          <w:tcPr>
            <w:tcW w:w="1304" w:type="dxa"/>
            <w:tcBorders>
              <w:top w:val="nil"/>
            </w:tcBorders>
          </w:tcPr>
          <w:p w:rsidR="00041039" w:rsidRDefault="001B26CB">
            <w:pPr>
              <w:pStyle w:val="TableParagraph"/>
              <w:numPr>
                <w:ilvl w:val="0"/>
                <w:numId w:val="593"/>
              </w:numPr>
              <w:tabs>
                <w:tab w:val="left" w:pos="157"/>
              </w:tabs>
              <w:spacing w:before="71" w:line="237" w:lineRule="auto"/>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20"/>
              <w:ind w:left="56"/>
              <w:rPr>
                <w:sz w:val="14"/>
              </w:rPr>
            </w:pPr>
            <w:r>
              <w:rPr>
                <w:color w:val="231F20"/>
                <w:sz w:val="14"/>
              </w:rPr>
              <w:t>ПИСАЊЕ</w:t>
            </w:r>
          </w:p>
        </w:tc>
        <w:tc>
          <w:tcPr>
            <w:tcW w:w="3118" w:type="dxa"/>
            <w:vMerge w:val="restart"/>
          </w:tcPr>
          <w:p w:rsidR="00041039" w:rsidRDefault="001B26CB">
            <w:pPr>
              <w:pStyle w:val="TableParagraph"/>
              <w:numPr>
                <w:ilvl w:val="0"/>
                <w:numId w:val="592"/>
              </w:numPr>
              <w:tabs>
                <w:tab w:val="left" w:pos="157"/>
              </w:tabs>
              <w:spacing w:before="12" w:line="235" w:lineRule="auto"/>
              <w:ind w:right="415"/>
              <w:rPr>
                <w:sz w:val="14"/>
              </w:rPr>
            </w:pPr>
            <w:r>
              <w:rPr>
                <w:color w:val="231F20"/>
                <w:sz w:val="14"/>
              </w:rPr>
              <w:t>попуњава</w:t>
            </w:r>
            <w:r>
              <w:rPr>
                <w:color w:val="231F20"/>
                <w:spacing w:val="-7"/>
                <w:sz w:val="14"/>
              </w:rPr>
              <w:t xml:space="preserve"> </w:t>
            </w:r>
            <w:r>
              <w:rPr>
                <w:color w:val="231F20"/>
                <w:sz w:val="14"/>
              </w:rPr>
              <w:t>рачуне,</w:t>
            </w:r>
            <w:r>
              <w:rPr>
                <w:color w:val="231F20"/>
                <w:spacing w:val="-7"/>
                <w:sz w:val="14"/>
              </w:rPr>
              <w:t xml:space="preserve"> </w:t>
            </w:r>
            <w:r>
              <w:rPr>
                <w:color w:val="231F20"/>
                <w:sz w:val="14"/>
              </w:rPr>
              <w:t>признанице</w:t>
            </w:r>
            <w:r>
              <w:rPr>
                <w:color w:val="231F20"/>
                <w:spacing w:val="-7"/>
                <w:sz w:val="14"/>
              </w:rPr>
              <w:t xml:space="preserve"> </w:t>
            </w:r>
            <w:r>
              <w:rPr>
                <w:color w:val="231F20"/>
                <w:sz w:val="14"/>
              </w:rPr>
              <w:t>и</w:t>
            </w:r>
            <w:r>
              <w:rPr>
                <w:color w:val="231F20"/>
                <w:spacing w:val="-7"/>
                <w:sz w:val="14"/>
              </w:rPr>
              <w:t xml:space="preserve"> </w:t>
            </w:r>
            <w:r>
              <w:rPr>
                <w:color w:val="231F20"/>
                <w:sz w:val="14"/>
              </w:rPr>
              <w:t>хартије</w:t>
            </w:r>
            <w:r>
              <w:rPr>
                <w:color w:val="231F20"/>
                <w:spacing w:val="-7"/>
                <w:sz w:val="14"/>
              </w:rPr>
              <w:t xml:space="preserve"> </w:t>
            </w:r>
            <w:r>
              <w:rPr>
                <w:color w:val="231F20"/>
                <w:spacing w:val="-3"/>
                <w:sz w:val="14"/>
              </w:rPr>
              <w:t xml:space="preserve">од </w:t>
            </w:r>
            <w:r>
              <w:rPr>
                <w:color w:val="231F20"/>
                <w:sz w:val="14"/>
              </w:rPr>
              <w:t>вредности;</w:t>
            </w:r>
          </w:p>
          <w:p w:rsidR="00041039" w:rsidRDefault="001B26CB">
            <w:pPr>
              <w:pStyle w:val="TableParagraph"/>
              <w:numPr>
                <w:ilvl w:val="0"/>
                <w:numId w:val="592"/>
              </w:numPr>
              <w:tabs>
                <w:tab w:val="left" w:pos="157"/>
              </w:tabs>
              <w:spacing w:before="3" w:line="160" w:lineRule="exact"/>
              <w:ind w:right="348"/>
              <w:rPr>
                <w:sz w:val="14"/>
              </w:rPr>
            </w:pPr>
            <w:r>
              <w:rPr>
                <w:color w:val="231F20"/>
                <w:sz w:val="14"/>
              </w:rPr>
              <w:t>напише једноставно пословно писмо према одређеном</w:t>
            </w:r>
            <w:r>
              <w:rPr>
                <w:color w:val="231F20"/>
                <w:spacing w:val="-1"/>
                <w:sz w:val="14"/>
              </w:rPr>
              <w:t xml:space="preserve"> </w:t>
            </w:r>
            <w:r>
              <w:rPr>
                <w:color w:val="231F20"/>
                <w:sz w:val="14"/>
              </w:rPr>
              <w:t>моделу;</w:t>
            </w:r>
          </w:p>
          <w:p w:rsidR="00041039" w:rsidRDefault="001B26CB">
            <w:pPr>
              <w:pStyle w:val="TableParagraph"/>
              <w:numPr>
                <w:ilvl w:val="0"/>
                <w:numId w:val="592"/>
              </w:numPr>
              <w:tabs>
                <w:tab w:val="left" w:pos="157"/>
              </w:tabs>
              <w:spacing w:line="159" w:lineRule="exact"/>
              <w:rPr>
                <w:sz w:val="14"/>
              </w:rPr>
            </w:pPr>
            <w:r>
              <w:rPr>
                <w:color w:val="231F20"/>
                <w:sz w:val="14"/>
              </w:rPr>
              <w:t>опише и појасни садржај схема и</w:t>
            </w:r>
            <w:r>
              <w:rPr>
                <w:color w:val="231F20"/>
                <w:spacing w:val="-13"/>
                <w:sz w:val="14"/>
              </w:rPr>
              <w:t xml:space="preserve"> </w:t>
            </w:r>
            <w:r>
              <w:rPr>
                <w:color w:val="231F20"/>
                <w:sz w:val="14"/>
              </w:rPr>
              <w:t>графикона;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900"/>
        </w:trPr>
        <w:tc>
          <w:tcPr>
            <w:tcW w:w="1304" w:type="dxa"/>
            <w:tcBorders>
              <w:top w:val="nil"/>
            </w:tcBorders>
          </w:tcPr>
          <w:p w:rsidR="00041039" w:rsidRDefault="001B26CB">
            <w:pPr>
              <w:pStyle w:val="TableParagraph"/>
              <w:numPr>
                <w:ilvl w:val="0"/>
                <w:numId w:val="591"/>
              </w:numPr>
              <w:tabs>
                <w:tab w:val="left" w:pos="157"/>
              </w:tabs>
              <w:spacing w:before="71" w:line="237" w:lineRule="auto"/>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numPr>
                <w:ilvl w:val="0"/>
                <w:numId w:val="590"/>
              </w:numPr>
              <w:tabs>
                <w:tab w:val="left" w:pos="157"/>
              </w:tabs>
              <w:spacing w:before="8"/>
              <w:ind w:right="51"/>
              <w:rPr>
                <w:sz w:val="14"/>
              </w:rPr>
            </w:pPr>
            <w:r>
              <w:rPr>
                <w:color w:val="231F20"/>
                <w:sz w:val="14"/>
              </w:rPr>
              <w:t>комуницира у свакодневним ситуацијама и размењује</w:t>
            </w:r>
            <w:r>
              <w:rPr>
                <w:color w:val="231F20"/>
                <w:spacing w:val="-8"/>
                <w:sz w:val="14"/>
              </w:rPr>
              <w:t xml:space="preserve"> </w:t>
            </w:r>
            <w:r>
              <w:rPr>
                <w:color w:val="231F20"/>
                <w:sz w:val="14"/>
              </w:rPr>
              <w:t>информације</w:t>
            </w:r>
            <w:r>
              <w:rPr>
                <w:color w:val="231F20"/>
                <w:spacing w:val="-8"/>
                <w:sz w:val="14"/>
              </w:rPr>
              <w:t xml:space="preserve"> </w:t>
            </w:r>
            <w:r>
              <w:rPr>
                <w:color w:val="231F20"/>
                <w:sz w:val="14"/>
              </w:rPr>
              <w:t>блиске</w:t>
            </w:r>
            <w:r>
              <w:rPr>
                <w:color w:val="231F20"/>
                <w:spacing w:val="-8"/>
                <w:sz w:val="14"/>
              </w:rPr>
              <w:t xml:space="preserve"> </w:t>
            </w:r>
            <w:r>
              <w:rPr>
                <w:color w:val="231F20"/>
                <w:sz w:val="14"/>
              </w:rPr>
              <w:t>његовим</w:t>
            </w:r>
            <w:r>
              <w:rPr>
                <w:color w:val="231F20"/>
                <w:spacing w:val="-8"/>
                <w:sz w:val="14"/>
              </w:rPr>
              <w:t xml:space="preserve"> </w:t>
            </w:r>
            <w:r>
              <w:rPr>
                <w:color w:val="231F20"/>
                <w:sz w:val="14"/>
              </w:rPr>
              <w:t>интере­ совањима (писмено и</w:t>
            </w:r>
            <w:r>
              <w:rPr>
                <w:color w:val="231F20"/>
                <w:spacing w:val="-2"/>
                <w:sz w:val="14"/>
              </w:rPr>
              <w:t xml:space="preserve"> </w:t>
            </w:r>
            <w:r>
              <w:rPr>
                <w:color w:val="231F20"/>
                <w:sz w:val="14"/>
              </w:rPr>
              <w:t>усмено);</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589"/>
              </w:numPr>
              <w:tabs>
                <w:tab w:val="left" w:pos="157"/>
              </w:tabs>
              <w:spacing w:before="69"/>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vMerge w:val="restart"/>
          </w:tcPr>
          <w:p w:rsidR="00041039" w:rsidRDefault="001B26CB">
            <w:pPr>
              <w:pStyle w:val="TableParagraph"/>
              <w:numPr>
                <w:ilvl w:val="0"/>
                <w:numId w:val="588"/>
              </w:numPr>
              <w:tabs>
                <w:tab w:val="left" w:pos="157"/>
              </w:tabs>
              <w:spacing w:before="8"/>
              <w:ind w:right="236"/>
              <w:rPr>
                <w:sz w:val="14"/>
              </w:rPr>
            </w:pPr>
            <w:r>
              <w:rPr>
                <w:color w:val="231F20"/>
                <w:sz w:val="14"/>
              </w:rPr>
              <w:t>преводи</w:t>
            </w:r>
            <w:r>
              <w:rPr>
                <w:color w:val="231F20"/>
                <w:spacing w:val="-6"/>
                <w:sz w:val="14"/>
              </w:rPr>
              <w:t xml:space="preserve"> </w:t>
            </w:r>
            <w:r>
              <w:rPr>
                <w:color w:val="231F20"/>
                <w:sz w:val="14"/>
              </w:rPr>
              <w:t>усмено</w:t>
            </w:r>
            <w:r>
              <w:rPr>
                <w:color w:val="231F20"/>
                <w:spacing w:val="-6"/>
                <w:sz w:val="14"/>
              </w:rPr>
              <w:t xml:space="preserve"> </w:t>
            </w:r>
            <w:r>
              <w:rPr>
                <w:color w:val="231F20"/>
                <w:sz w:val="14"/>
              </w:rPr>
              <w:t>или</w:t>
            </w:r>
            <w:r>
              <w:rPr>
                <w:color w:val="231F20"/>
                <w:spacing w:val="-6"/>
                <w:sz w:val="14"/>
              </w:rPr>
              <w:t xml:space="preserve"> </w:t>
            </w:r>
            <w:r>
              <w:rPr>
                <w:color w:val="231F20"/>
                <w:sz w:val="14"/>
              </w:rPr>
              <w:t>писмено</w:t>
            </w:r>
            <w:r>
              <w:rPr>
                <w:color w:val="231F20"/>
                <w:spacing w:val="-6"/>
                <w:sz w:val="14"/>
              </w:rPr>
              <w:t xml:space="preserve"> </w:t>
            </w:r>
            <w:r>
              <w:rPr>
                <w:color w:val="231F20"/>
                <w:sz w:val="14"/>
              </w:rPr>
              <w:t>кратке</w:t>
            </w:r>
            <w:r>
              <w:rPr>
                <w:color w:val="231F20"/>
                <w:spacing w:val="-6"/>
                <w:sz w:val="14"/>
              </w:rPr>
              <w:t xml:space="preserve"> </w:t>
            </w:r>
            <w:r>
              <w:rPr>
                <w:color w:val="231F20"/>
                <w:sz w:val="14"/>
              </w:rPr>
              <w:t>поруке</w:t>
            </w:r>
            <w:r>
              <w:rPr>
                <w:color w:val="231F20"/>
                <w:spacing w:val="-6"/>
                <w:sz w:val="14"/>
              </w:rPr>
              <w:t xml:space="preserve"> </w:t>
            </w:r>
            <w:r>
              <w:rPr>
                <w:color w:val="231F20"/>
                <w:sz w:val="14"/>
              </w:rPr>
              <w:t>у складу са потребама</w:t>
            </w:r>
            <w:r>
              <w:rPr>
                <w:color w:val="231F20"/>
                <w:spacing w:val="-3"/>
                <w:sz w:val="14"/>
              </w:rPr>
              <w:t xml:space="preserve"> </w:t>
            </w:r>
            <w:r>
              <w:rPr>
                <w:color w:val="231F20"/>
                <w:sz w:val="14"/>
              </w:rPr>
              <w:t>комуникације;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587"/>
              </w:numPr>
              <w:tabs>
                <w:tab w:val="left" w:pos="157"/>
              </w:tabs>
              <w:spacing w:before="69"/>
              <w:ind w:right="134"/>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408"/>
        </w:trPr>
        <w:tc>
          <w:tcPr>
            <w:tcW w:w="1304" w:type="dxa"/>
            <w:tcBorders>
              <w:bottom w:val="nil"/>
            </w:tcBorders>
          </w:tcPr>
          <w:p w:rsidR="00041039" w:rsidRDefault="001B26CB">
            <w:pPr>
              <w:pStyle w:val="TableParagraph"/>
              <w:spacing w:before="18"/>
              <w:ind w:left="56" w:right="331"/>
              <w:rPr>
                <w:sz w:val="14"/>
              </w:rPr>
            </w:pPr>
            <w:r>
              <w:rPr>
                <w:color w:val="231F20"/>
                <w:sz w:val="14"/>
              </w:rPr>
              <w:t>МЕДИЈСКА ПИСМЕНОСТ</w:t>
            </w:r>
          </w:p>
        </w:tc>
        <w:tc>
          <w:tcPr>
            <w:tcW w:w="3118" w:type="dxa"/>
            <w:tcBorders>
              <w:bottom w:val="nil"/>
            </w:tcBorders>
          </w:tcPr>
          <w:p w:rsidR="00041039" w:rsidRDefault="001B26CB">
            <w:pPr>
              <w:pStyle w:val="TableParagraph"/>
              <w:numPr>
                <w:ilvl w:val="0"/>
                <w:numId w:val="586"/>
              </w:numPr>
              <w:tabs>
                <w:tab w:val="left" w:pos="157"/>
              </w:tabs>
              <w:spacing w:before="8"/>
              <w:rPr>
                <w:sz w:val="14"/>
              </w:rPr>
            </w:pPr>
            <w:r>
              <w:rPr>
                <w:color w:val="231F20"/>
                <w:sz w:val="14"/>
              </w:rPr>
              <w:t>аргументује свој став о медијском</w:t>
            </w:r>
            <w:r>
              <w:rPr>
                <w:color w:val="231F20"/>
                <w:spacing w:val="-7"/>
                <w:sz w:val="14"/>
              </w:rPr>
              <w:t xml:space="preserve"> </w:t>
            </w:r>
            <w:r>
              <w:rPr>
                <w:color w:val="231F20"/>
                <w:sz w:val="14"/>
              </w:rPr>
              <w:t>тексту;</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21"/>
        </w:trPr>
        <w:tc>
          <w:tcPr>
            <w:tcW w:w="1304" w:type="dxa"/>
            <w:tcBorders>
              <w:top w:val="nil"/>
            </w:tcBorders>
          </w:tcPr>
          <w:p w:rsidR="00041039" w:rsidRDefault="001B26CB">
            <w:pPr>
              <w:pStyle w:val="TableParagraph"/>
              <w:numPr>
                <w:ilvl w:val="0"/>
                <w:numId w:val="585"/>
              </w:numPr>
              <w:tabs>
                <w:tab w:val="left" w:pos="157"/>
              </w:tabs>
              <w:spacing w:before="69"/>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60" w:right="540" w:bottom="280" w:left="580" w:header="720" w:footer="720" w:gutter="0"/>
          <w:cols w:space="720"/>
        </w:sectPr>
      </w:pPr>
    </w:p>
    <w:p w:rsidR="00041039" w:rsidRDefault="001B26CB">
      <w:pPr>
        <w:pStyle w:val="Heading1"/>
        <w:spacing w:before="80" w:line="240" w:lineRule="auto"/>
        <w:ind w:left="0" w:right="37"/>
        <w:jc w:val="center"/>
      </w:pPr>
      <w:r>
        <w:rPr>
          <w:color w:val="231F20"/>
        </w:rPr>
        <w:lastRenderedPageBreak/>
        <w:t>ГРАМАТИЧКИ САДРЖАЈИ</w:t>
      </w:r>
    </w:p>
    <w:p w:rsidR="00041039" w:rsidRDefault="00041039">
      <w:pPr>
        <w:pStyle w:val="BodyText"/>
        <w:spacing w:before="9"/>
        <w:rPr>
          <w:b/>
          <w:sz w:val="16"/>
        </w:rPr>
      </w:pPr>
    </w:p>
    <w:p w:rsidR="00041039" w:rsidRDefault="001B26CB">
      <w:pPr>
        <w:pStyle w:val="ListParagraph"/>
        <w:numPr>
          <w:ilvl w:val="0"/>
          <w:numId w:val="584"/>
        </w:numPr>
        <w:tabs>
          <w:tab w:val="left" w:pos="613"/>
        </w:tabs>
        <w:spacing w:line="203" w:lineRule="exact"/>
        <w:ind w:hanging="115"/>
        <w:rPr>
          <w:b/>
          <w:sz w:val="18"/>
        </w:rPr>
      </w:pPr>
      <w:r>
        <w:rPr>
          <w:b/>
          <w:color w:val="231F20"/>
          <w:sz w:val="18"/>
        </w:rPr>
        <w:t>РЕЧЕНИЦА</w:t>
      </w:r>
    </w:p>
    <w:p w:rsidR="00041039" w:rsidRDefault="001B26CB">
      <w:pPr>
        <w:pStyle w:val="Heading2"/>
        <w:numPr>
          <w:ilvl w:val="0"/>
          <w:numId w:val="602"/>
        </w:numPr>
        <w:tabs>
          <w:tab w:val="left" w:pos="633"/>
        </w:tabs>
        <w:ind w:firstLine="0"/>
      </w:pPr>
      <w:r>
        <w:rPr>
          <w:color w:val="231F20"/>
        </w:rPr>
        <w:t>Систематизација свих типова упитних</w:t>
      </w:r>
      <w:r>
        <w:rPr>
          <w:color w:val="231F20"/>
          <w:spacing w:val="-1"/>
        </w:rPr>
        <w:t xml:space="preserve"> </w:t>
      </w:r>
      <w:r>
        <w:rPr>
          <w:color w:val="231F20"/>
        </w:rPr>
        <w:t>реченица;</w:t>
      </w:r>
    </w:p>
    <w:p w:rsidR="00041039" w:rsidRDefault="001B26CB">
      <w:pPr>
        <w:pStyle w:val="ListParagraph"/>
        <w:numPr>
          <w:ilvl w:val="0"/>
          <w:numId w:val="602"/>
        </w:numPr>
        <w:tabs>
          <w:tab w:val="left" w:pos="633"/>
        </w:tabs>
        <w:ind w:firstLine="0"/>
        <w:rPr>
          <w:sz w:val="18"/>
        </w:rPr>
      </w:pPr>
      <w:r>
        <w:rPr>
          <w:color w:val="231F20"/>
          <w:sz w:val="18"/>
        </w:rPr>
        <w:t>Ред речи у</w:t>
      </w:r>
      <w:r>
        <w:rPr>
          <w:color w:val="231F20"/>
          <w:spacing w:val="-1"/>
          <w:sz w:val="18"/>
        </w:rPr>
        <w:t xml:space="preserve"> </w:t>
      </w:r>
      <w:r>
        <w:rPr>
          <w:color w:val="231F20"/>
          <w:sz w:val="18"/>
        </w:rPr>
        <w:t>реченици;</w:t>
      </w:r>
    </w:p>
    <w:p w:rsidR="00041039" w:rsidRDefault="001B26CB">
      <w:pPr>
        <w:pStyle w:val="ListParagraph"/>
        <w:numPr>
          <w:ilvl w:val="0"/>
          <w:numId w:val="602"/>
        </w:numPr>
        <w:tabs>
          <w:tab w:val="left" w:pos="633"/>
        </w:tabs>
        <w:ind w:firstLine="0"/>
        <w:rPr>
          <w:sz w:val="18"/>
        </w:rPr>
      </w:pPr>
      <w:r>
        <w:rPr>
          <w:color w:val="231F20"/>
          <w:sz w:val="18"/>
        </w:rPr>
        <w:t>Место прилога и прилошких</w:t>
      </w:r>
      <w:r>
        <w:rPr>
          <w:color w:val="231F20"/>
          <w:spacing w:val="-4"/>
          <w:sz w:val="18"/>
        </w:rPr>
        <w:t xml:space="preserve"> </w:t>
      </w:r>
      <w:r>
        <w:rPr>
          <w:color w:val="231F20"/>
          <w:sz w:val="18"/>
        </w:rPr>
        <w:t>одредби;</w:t>
      </w:r>
    </w:p>
    <w:p w:rsidR="00041039" w:rsidRDefault="001B26CB">
      <w:pPr>
        <w:pStyle w:val="ListParagraph"/>
        <w:numPr>
          <w:ilvl w:val="0"/>
          <w:numId w:val="602"/>
        </w:numPr>
        <w:tabs>
          <w:tab w:val="left" w:pos="633"/>
        </w:tabs>
        <w:ind w:firstLine="0"/>
        <w:rPr>
          <w:sz w:val="18"/>
        </w:rPr>
      </w:pPr>
      <w:r>
        <w:rPr>
          <w:color w:val="231F20"/>
          <w:sz w:val="18"/>
        </w:rPr>
        <w:t>Повезивање реченица уз употребу</w:t>
      </w:r>
      <w:r>
        <w:rPr>
          <w:color w:val="231F20"/>
          <w:spacing w:val="-1"/>
          <w:sz w:val="18"/>
        </w:rPr>
        <w:t xml:space="preserve"> </w:t>
      </w:r>
      <w:r>
        <w:rPr>
          <w:color w:val="231F20"/>
          <w:sz w:val="18"/>
        </w:rPr>
        <w:t>везника;</w:t>
      </w:r>
    </w:p>
    <w:p w:rsidR="00041039" w:rsidRDefault="001B26CB">
      <w:pPr>
        <w:pStyle w:val="ListParagraph"/>
        <w:numPr>
          <w:ilvl w:val="0"/>
          <w:numId w:val="602"/>
        </w:numPr>
        <w:tabs>
          <w:tab w:val="left" w:pos="629"/>
        </w:tabs>
        <w:ind w:left="628" w:hanging="131"/>
        <w:rPr>
          <w:sz w:val="18"/>
        </w:rPr>
      </w:pPr>
      <w:r>
        <w:rPr>
          <w:color w:val="231F20"/>
          <w:spacing w:val="-5"/>
          <w:sz w:val="18"/>
        </w:rPr>
        <w:t>Tag</w:t>
      </w:r>
      <w:r>
        <w:rPr>
          <w:color w:val="231F20"/>
          <w:sz w:val="18"/>
        </w:rPr>
        <w:t xml:space="preserve"> questions;</w:t>
      </w:r>
    </w:p>
    <w:p w:rsidR="00041039" w:rsidRDefault="001B26CB">
      <w:pPr>
        <w:pStyle w:val="ListParagraph"/>
        <w:numPr>
          <w:ilvl w:val="0"/>
          <w:numId w:val="602"/>
        </w:numPr>
        <w:tabs>
          <w:tab w:val="left" w:pos="633"/>
        </w:tabs>
        <w:spacing w:line="203" w:lineRule="exact"/>
        <w:ind w:firstLine="0"/>
        <w:rPr>
          <w:i/>
          <w:sz w:val="18"/>
        </w:rPr>
      </w:pPr>
      <w:r>
        <w:rPr>
          <w:color w:val="231F20"/>
          <w:spacing w:val="-4"/>
          <w:sz w:val="18"/>
        </w:rPr>
        <w:t xml:space="preserve">Узвици </w:t>
      </w:r>
      <w:r>
        <w:rPr>
          <w:color w:val="231F20"/>
          <w:sz w:val="18"/>
        </w:rPr>
        <w:t xml:space="preserve">са </w:t>
      </w:r>
      <w:r>
        <w:rPr>
          <w:i/>
          <w:color w:val="231F20"/>
          <w:sz w:val="18"/>
        </w:rPr>
        <w:t xml:space="preserve">so </w:t>
      </w:r>
      <w:r>
        <w:rPr>
          <w:color w:val="231F20"/>
          <w:sz w:val="18"/>
        </w:rPr>
        <w:t>и</w:t>
      </w:r>
      <w:r>
        <w:rPr>
          <w:color w:val="231F20"/>
          <w:sz w:val="18"/>
        </w:rPr>
        <w:t xml:space="preserve"> </w:t>
      </w:r>
      <w:r>
        <w:rPr>
          <w:i/>
          <w:color w:val="231F20"/>
          <w:sz w:val="18"/>
        </w:rPr>
        <w:t>such.</w:t>
      </w:r>
    </w:p>
    <w:p w:rsidR="00041039" w:rsidRDefault="00041039">
      <w:pPr>
        <w:pStyle w:val="BodyText"/>
        <w:spacing w:before="9"/>
        <w:rPr>
          <w:i/>
          <w:sz w:val="16"/>
        </w:rPr>
      </w:pPr>
    </w:p>
    <w:p w:rsidR="00041039" w:rsidRDefault="001B26CB">
      <w:pPr>
        <w:pStyle w:val="Heading1"/>
        <w:numPr>
          <w:ilvl w:val="0"/>
          <w:numId w:val="584"/>
        </w:numPr>
        <w:tabs>
          <w:tab w:val="left" w:pos="683"/>
        </w:tabs>
        <w:spacing w:before="0"/>
        <w:ind w:left="682" w:hanging="185"/>
      </w:pPr>
      <w:r>
        <w:rPr>
          <w:color w:val="231F20"/>
        </w:rPr>
        <w:t>ИМЕНИЧКА</w:t>
      </w:r>
      <w:r>
        <w:rPr>
          <w:color w:val="231F20"/>
          <w:spacing w:val="-2"/>
        </w:rPr>
        <w:t xml:space="preserve"> </w:t>
      </w:r>
      <w:r>
        <w:rPr>
          <w:color w:val="231F20"/>
        </w:rPr>
        <w:t>ГРУПА</w:t>
      </w:r>
    </w:p>
    <w:p w:rsidR="00041039" w:rsidRDefault="001B26CB">
      <w:pPr>
        <w:pStyle w:val="Heading2"/>
        <w:numPr>
          <w:ilvl w:val="0"/>
          <w:numId w:val="583"/>
        </w:numPr>
        <w:tabs>
          <w:tab w:val="left" w:pos="678"/>
        </w:tabs>
        <w:ind w:firstLine="0"/>
      </w:pPr>
      <w:r>
        <w:rPr>
          <w:color w:val="231F20"/>
        </w:rPr>
        <w:t>Члан</w:t>
      </w:r>
    </w:p>
    <w:p w:rsidR="00041039" w:rsidRDefault="001B26CB">
      <w:pPr>
        <w:pStyle w:val="ListParagraph"/>
        <w:numPr>
          <w:ilvl w:val="0"/>
          <w:numId w:val="602"/>
        </w:numPr>
        <w:tabs>
          <w:tab w:val="left" w:pos="633"/>
        </w:tabs>
        <w:ind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numPr>
          <w:ilvl w:val="0"/>
          <w:numId w:val="583"/>
        </w:numPr>
        <w:tabs>
          <w:tab w:val="left" w:pos="678"/>
        </w:tabs>
        <w:ind w:firstLine="0"/>
        <w:rPr>
          <w:sz w:val="18"/>
        </w:rPr>
      </w:pPr>
      <w:r>
        <w:rPr>
          <w:color w:val="231F20"/>
          <w:sz w:val="18"/>
        </w:rPr>
        <w:t>Именице</w:t>
      </w:r>
    </w:p>
    <w:p w:rsidR="00041039" w:rsidRDefault="001B26CB">
      <w:pPr>
        <w:pStyle w:val="ListParagraph"/>
        <w:numPr>
          <w:ilvl w:val="0"/>
          <w:numId w:val="602"/>
        </w:numPr>
        <w:tabs>
          <w:tab w:val="left" w:pos="633"/>
        </w:tabs>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583"/>
        </w:numPr>
        <w:tabs>
          <w:tab w:val="left" w:pos="678"/>
        </w:tabs>
        <w:spacing w:before="1" w:line="232" w:lineRule="auto"/>
        <w:ind w:right="8674" w:firstLine="0"/>
        <w:rPr>
          <w:sz w:val="18"/>
        </w:rPr>
      </w:pPr>
      <w:r>
        <w:rPr>
          <w:color w:val="231F20"/>
          <w:sz w:val="18"/>
        </w:rPr>
        <w:t>Заменички облици а) Заменице</w:t>
      </w:r>
    </w:p>
    <w:p w:rsidR="00041039" w:rsidRDefault="001B26CB">
      <w:pPr>
        <w:pStyle w:val="ListParagraph"/>
        <w:numPr>
          <w:ilvl w:val="0"/>
          <w:numId w:val="602"/>
        </w:numPr>
        <w:tabs>
          <w:tab w:val="left" w:pos="633"/>
        </w:tabs>
        <w:spacing w:line="197"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602"/>
        </w:numPr>
        <w:tabs>
          <w:tab w:val="left" w:pos="633"/>
        </w:tabs>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602"/>
        </w:numPr>
        <w:tabs>
          <w:tab w:val="left" w:pos="633"/>
        </w:tabs>
        <w:spacing w:before="2" w:line="232"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602"/>
        </w:numPr>
        <w:tabs>
          <w:tab w:val="left" w:pos="633"/>
        </w:tabs>
        <w:spacing w:line="197"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602"/>
        </w:numPr>
        <w:tabs>
          <w:tab w:val="left" w:pos="633"/>
        </w:tabs>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numPr>
          <w:ilvl w:val="0"/>
          <w:numId w:val="602"/>
        </w:numPr>
        <w:tabs>
          <w:tab w:val="left" w:pos="633"/>
        </w:tabs>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583"/>
        </w:numPr>
        <w:tabs>
          <w:tab w:val="left" w:pos="678"/>
        </w:tabs>
        <w:ind w:firstLine="0"/>
        <w:rPr>
          <w:sz w:val="18"/>
        </w:rPr>
      </w:pPr>
      <w:r>
        <w:rPr>
          <w:color w:val="231F20"/>
          <w:sz w:val="18"/>
        </w:rPr>
        <w:t>Придеви</w:t>
      </w:r>
    </w:p>
    <w:p w:rsidR="00041039" w:rsidRDefault="001B26CB">
      <w:pPr>
        <w:pStyle w:val="ListParagraph"/>
        <w:numPr>
          <w:ilvl w:val="0"/>
          <w:numId w:val="602"/>
        </w:numPr>
        <w:tabs>
          <w:tab w:val="left" w:pos="633"/>
        </w:tabs>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numPr>
          <w:ilvl w:val="0"/>
          <w:numId w:val="583"/>
        </w:numPr>
        <w:tabs>
          <w:tab w:val="left" w:pos="678"/>
        </w:tabs>
        <w:ind w:firstLine="0"/>
        <w:rPr>
          <w:sz w:val="18"/>
        </w:rPr>
      </w:pPr>
      <w:r>
        <w:rPr>
          <w:color w:val="231F20"/>
          <w:sz w:val="18"/>
        </w:rPr>
        <w:t>Бројеви</w:t>
      </w:r>
    </w:p>
    <w:p w:rsidR="00041039" w:rsidRDefault="001B26CB">
      <w:pPr>
        <w:pStyle w:val="ListParagraph"/>
        <w:numPr>
          <w:ilvl w:val="0"/>
          <w:numId w:val="582"/>
        </w:numPr>
        <w:tabs>
          <w:tab w:val="left" w:pos="633"/>
        </w:tabs>
        <w:ind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583"/>
        </w:numPr>
        <w:tabs>
          <w:tab w:val="left" w:pos="678"/>
        </w:tabs>
        <w:spacing w:line="203" w:lineRule="exact"/>
        <w:ind w:firstLine="0"/>
        <w:rPr>
          <w:sz w:val="18"/>
        </w:rPr>
      </w:pPr>
      <w:r>
        <w:rPr>
          <w:color w:val="231F20"/>
          <w:sz w:val="18"/>
        </w:rPr>
        <w:t>Квантификатори</w:t>
      </w:r>
    </w:p>
    <w:p w:rsidR="00041039" w:rsidRDefault="00041039">
      <w:pPr>
        <w:pStyle w:val="BodyText"/>
        <w:spacing w:before="9"/>
        <w:rPr>
          <w:sz w:val="16"/>
        </w:rPr>
      </w:pPr>
    </w:p>
    <w:p w:rsidR="00041039" w:rsidRDefault="001B26CB">
      <w:pPr>
        <w:pStyle w:val="ListParagraph"/>
        <w:numPr>
          <w:ilvl w:val="0"/>
          <w:numId w:val="584"/>
        </w:numPr>
        <w:tabs>
          <w:tab w:val="left" w:pos="753"/>
        </w:tabs>
        <w:spacing w:line="203" w:lineRule="exact"/>
        <w:ind w:left="752" w:hanging="255"/>
        <w:rPr>
          <w:b/>
          <w:sz w:val="18"/>
        </w:rPr>
      </w:pPr>
      <w:r>
        <w:rPr>
          <w:b/>
          <w:color w:val="231F20"/>
          <w:spacing w:val="-6"/>
          <w:sz w:val="18"/>
        </w:rPr>
        <w:t>ГЛAГОЛСКА</w:t>
      </w:r>
      <w:r>
        <w:rPr>
          <w:b/>
          <w:color w:val="231F20"/>
          <w:spacing w:val="-1"/>
          <w:sz w:val="18"/>
        </w:rPr>
        <w:t xml:space="preserve"> </w:t>
      </w:r>
      <w:r>
        <w:rPr>
          <w:b/>
          <w:color w:val="231F20"/>
          <w:sz w:val="18"/>
        </w:rPr>
        <w:t>ГРУПА</w:t>
      </w:r>
    </w:p>
    <w:p w:rsidR="00041039" w:rsidRDefault="001B26CB">
      <w:pPr>
        <w:pStyle w:val="ListParagraph"/>
        <w:numPr>
          <w:ilvl w:val="0"/>
          <w:numId w:val="581"/>
        </w:numPr>
        <w:tabs>
          <w:tab w:val="left" w:pos="678"/>
        </w:tabs>
        <w:rPr>
          <w:sz w:val="18"/>
        </w:rPr>
      </w:pPr>
      <w:r>
        <w:rPr>
          <w:color w:val="231F20"/>
          <w:spacing w:val="-4"/>
          <w:sz w:val="18"/>
        </w:rPr>
        <w:t>Глаголи</w:t>
      </w:r>
    </w:p>
    <w:p w:rsidR="00041039" w:rsidRDefault="001B26CB">
      <w:pPr>
        <w:pStyle w:val="ListParagraph"/>
        <w:numPr>
          <w:ilvl w:val="0"/>
          <w:numId w:val="582"/>
        </w:numPr>
        <w:tabs>
          <w:tab w:val="left" w:pos="633"/>
        </w:tabs>
        <w:ind w:firstLine="0"/>
        <w:rPr>
          <w:sz w:val="18"/>
        </w:rPr>
      </w:pPr>
      <w:r>
        <w:rPr>
          <w:color w:val="231F20"/>
          <w:sz w:val="18"/>
        </w:rPr>
        <w:t>Обновити разлику у употреби Present Simple, Present Continuous, Past Simple, Past</w:t>
      </w:r>
      <w:r>
        <w:rPr>
          <w:color w:val="231F20"/>
          <w:spacing w:val="-13"/>
          <w:sz w:val="18"/>
        </w:rPr>
        <w:t xml:space="preserve"> </w:t>
      </w:r>
      <w:r>
        <w:rPr>
          <w:color w:val="231F20"/>
          <w:sz w:val="18"/>
        </w:rPr>
        <w:t>Continuous;</w:t>
      </w:r>
    </w:p>
    <w:p w:rsidR="00041039" w:rsidRDefault="001B26CB">
      <w:pPr>
        <w:pStyle w:val="ListParagraph"/>
        <w:numPr>
          <w:ilvl w:val="0"/>
          <w:numId w:val="582"/>
        </w:numPr>
        <w:tabs>
          <w:tab w:val="left" w:pos="633"/>
        </w:tabs>
        <w:ind w:firstLine="0"/>
        <w:rPr>
          <w:sz w:val="18"/>
        </w:rPr>
      </w:pPr>
      <w:r>
        <w:rPr>
          <w:color w:val="231F20"/>
          <w:sz w:val="18"/>
        </w:rPr>
        <w:t>Обновити све употребе Present</w:t>
      </w:r>
      <w:r>
        <w:rPr>
          <w:color w:val="231F20"/>
          <w:spacing w:val="-3"/>
          <w:sz w:val="18"/>
        </w:rPr>
        <w:t xml:space="preserve"> </w:t>
      </w:r>
      <w:r>
        <w:rPr>
          <w:color w:val="231F20"/>
          <w:sz w:val="18"/>
        </w:rPr>
        <w:t>Perfect;</w:t>
      </w:r>
    </w:p>
    <w:p w:rsidR="00041039" w:rsidRDefault="001B26CB">
      <w:pPr>
        <w:pStyle w:val="ListParagraph"/>
        <w:numPr>
          <w:ilvl w:val="0"/>
          <w:numId w:val="582"/>
        </w:numPr>
        <w:tabs>
          <w:tab w:val="left" w:pos="633"/>
        </w:tabs>
        <w:ind w:firstLine="0"/>
        <w:rPr>
          <w:sz w:val="18"/>
        </w:rPr>
      </w:pPr>
      <w:r>
        <w:rPr>
          <w:color w:val="231F20"/>
          <w:sz w:val="18"/>
        </w:rPr>
        <w:t>Used</w:t>
      </w:r>
      <w:r>
        <w:rPr>
          <w:color w:val="231F20"/>
          <w:spacing w:val="-2"/>
          <w:sz w:val="18"/>
        </w:rPr>
        <w:t xml:space="preserve"> </w:t>
      </w:r>
      <w:r>
        <w:rPr>
          <w:color w:val="231F20"/>
          <w:sz w:val="18"/>
        </w:rPr>
        <w:t>to;</w:t>
      </w:r>
    </w:p>
    <w:p w:rsidR="00041039" w:rsidRDefault="001B26CB">
      <w:pPr>
        <w:pStyle w:val="ListParagraph"/>
        <w:numPr>
          <w:ilvl w:val="0"/>
          <w:numId w:val="582"/>
        </w:numPr>
        <w:tabs>
          <w:tab w:val="left" w:pos="633"/>
        </w:tabs>
        <w:ind w:firstLine="0"/>
        <w:rPr>
          <w:sz w:val="18"/>
        </w:rPr>
      </w:pPr>
      <w:r>
        <w:rPr>
          <w:color w:val="231F20"/>
          <w:sz w:val="18"/>
        </w:rPr>
        <w:t>Начини изражавања будућности, планова у будућности (going to,</w:t>
      </w:r>
      <w:r>
        <w:rPr>
          <w:color w:val="231F20"/>
          <w:spacing w:val="-5"/>
          <w:sz w:val="18"/>
        </w:rPr>
        <w:t xml:space="preserve"> </w:t>
      </w:r>
      <w:r>
        <w:rPr>
          <w:color w:val="231F20"/>
          <w:sz w:val="18"/>
        </w:rPr>
        <w:t>will);</w:t>
      </w:r>
    </w:p>
    <w:p w:rsidR="00041039" w:rsidRDefault="001B26CB">
      <w:pPr>
        <w:pStyle w:val="ListParagraph"/>
        <w:numPr>
          <w:ilvl w:val="0"/>
          <w:numId w:val="582"/>
        </w:numPr>
        <w:tabs>
          <w:tab w:val="left" w:pos="633"/>
        </w:tabs>
        <w:ind w:firstLine="0"/>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w:t>
      </w:r>
      <w:r>
        <w:rPr>
          <w:color w:val="231F20"/>
          <w:sz w:val="18"/>
        </w:rPr>
        <w:t>ht;</w:t>
      </w:r>
    </w:p>
    <w:p w:rsidR="00041039" w:rsidRDefault="001B26CB">
      <w:pPr>
        <w:pStyle w:val="ListParagraph"/>
        <w:numPr>
          <w:ilvl w:val="0"/>
          <w:numId w:val="582"/>
        </w:numPr>
        <w:tabs>
          <w:tab w:val="left" w:pos="633"/>
        </w:tabs>
        <w:ind w:firstLine="0"/>
        <w:rPr>
          <w:sz w:val="18"/>
        </w:rPr>
      </w:pPr>
      <w:r>
        <w:rPr>
          <w:color w:val="231F20"/>
          <w:sz w:val="18"/>
        </w:rPr>
        <w:t xml:space="preserve">Прилози, извођење прилога и употреба, прилози вероватноће са </w:t>
      </w:r>
      <w:r>
        <w:rPr>
          <w:color w:val="231F20"/>
          <w:spacing w:val="-3"/>
          <w:sz w:val="18"/>
        </w:rPr>
        <w:t xml:space="preserve">may, </w:t>
      </w:r>
      <w:r>
        <w:rPr>
          <w:color w:val="231F20"/>
          <w:sz w:val="18"/>
        </w:rPr>
        <w:t>might и</w:t>
      </w:r>
      <w:r>
        <w:rPr>
          <w:color w:val="231F20"/>
          <w:spacing w:val="-7"/>
          <w:sz w:val="18"/>
        </w:rPr>
        <w:t xml:space="preserve"> </w:t>
      </w:r>
      <w:r>
        <w:rPr>
          <w:color w:val="231F20"/>
          <w:sz w:val="18"/>
        </w:rPr>
        <w:t>will;</w:t>
      </w:r>
    </w:p>
    <w:p w:rsidR="00041039" w:rsidRDefault="001B26CB">
      <w:pPr>
        <w:pStyle w:val="ListParagraph"/>
        <w:numPr>
          <w:ilvl w:val="0"/>
          <w:numId w:val="582"/>
        </w:numPr>
        <w:tabs>
          <w:tab w:val="left" w:pos="633"/>
        </w:tabs>
        <w:ind w:firstLine="0"/>
        <w:rPr>
          <w:sz w:val="18"/>
        </w:rPr>
      </w:pPr>
      <w:r>
        <w:rPr>
          <w:color w:val="231F20"/>
          <w:sz w:val="18"/>
        </w:rPr>
        <w:t>Пасивне конструкције ­ садашње и прошло време ­ the Present Simple, Past Simple (продуктивно и</w:t>
      </w:r>
      <w:r>
        <w:rPr>
          <w:color w:val="231F20"/>
          <w:spacing w:val="-24"/>
          <w:sz w:val="18"/>
        </w:rPr>
        <w:t xml:space="preserve"> </w:t>
      </w:r>
      <w:r>
        <w:rPr>
          <w:color w:val="231F20"/>
          <w:sz w:val="18"/>
        </w:rPr>
        <w:t>рецептивно);</w:t>
      </w:r>
    </w:p>
    <w:p w:rsidR="00041039" w:rsidRDefault="001B26CB">
      <w:pPr>
        <w:pStyle w:val="ListParagraph"/>
        <w:numPr>
          <w:ilvl w:val="0"/>
          <w:numId w:val="582"/>
        </w:numPr>
        <w:tabs>
          <w:tab w:val="left" w:pos="633"/>
        </w:tabs>
        <w:ind w:firstLine="0"/>
        <w:rPr>
          <w:sz w:val="18"/>
        </w:rPr>
      </w:pPr>
      <w:r>
        <w:rPr>
          <w:color w:val="231F20"/>
          <w:sz w:val="18"/>
        </w:rPr>
        <w:t>Present Perfect Passive</w:t>
      </w:r>
      <w:r>
        <w:rPr>
          <w:color w:val="231F20"/>
          <w:spacing w:val="-4"/>
          <w:sz w:val="18"/>
        </w:rPr>
        <w:t xml:space="preserve"> </w:t>
      </w:r>
      <w:r>
        <w:rPr>
          <w:color w:val="231F20"/>
          <w:sz w:val="18"/>
        </w:rPr>
        <w:t>(рецептивно).</w:t>
      </w:r>
    </w:p>
    <w:p w:rsidR="00041039" w:rsidRDefault="001B26CB">
      <w:pPr>
        <w:pStyle w:val="ListParagraph"/>
        <w:numPr>
          <w:ilvl w:val="0"/>
          <w:numId w:val="581"/>
        </w:numPr>
        <w:tabs>
          <w:tab w:val="left" w:pos="678"/>
        </w:tabs>
        <w:rPr>
          <w:sz w:val="18"/>
        </w:rPr>
      </w:pPr>
      <w:r>
        <w:rPr>
          <w:color w:val="231F20"/>
          <w:sz w:val="18"/>
        </w:rPr>
        <w:t>Предлози и најчешћи прилоз</w:t>
      </w:r>
      <w:r>
        <w:rPr>
          <w:color w:val="231F20"/>
          <w:sz w:val="18"/>
        </w:rPr>
        <w:t>и за оријентацију у времену и</w:t>
      </w:r>
      <w:r>
        <w:rPr>
          <w:color w:val="231F20"/>
          <w:spacing w:val="-8"/>
          <w:sz w:val="18"/>
        </w:rPr>
        <w:t xml:space="preserve"> </w:t>
      </w:r>
      <w:r>
        <w:rPr>
          <w:color w:val="231F20"/>
          <w:spacing w:val="-3"/>
          <w:sz w:val="18"/>
        </w:rPr>
        <w:t>простору.</w:t>
      </w:r>
    </w:p>
    <w:p w:rsidR="00041039" w:rsidRDefault="001B26CB">
      <w:pPr>
        <w:pStyle w:val="ListParagraph"/>
        <w:numPr>
          <w:ilvl w:val="0"/>
          <w:numId w:val="581"/>
        </w:numPr>
        <w:tabs>
          <w:tab w:val="left" w:pos="678"/>
        </w:tabs>
        <w:spacing w:line="203" w:lineRule="exact"/>
        <w:rPr>
          <w:sz w:val="18"/>
        </w:rPr>
      </w:pPr>
      <w:r>
        <w:rPr>
          <w:color w:val="231F20"/>
          <w:sz w:val="18"/>
        </w:rPr>
        <w:t>Први кондиционал и други кондиционал (рецептивно и</w:t>
      </w:r>
      <w:r>
        <w:rPr>
          <w:color w:val="231F20"/>
          <w:spacing w:val="-9"/>
          <w:sz w:val="18"/>
        </w:rPr>
        <w:t xml:space="preserve"> </w:t>
      </w:r>
      <w:r>
        <w:rPr>
          <w:color w:val="231F20"/>
          <w:sz w:val="18"/>
        </w:rPr>
        <w:t>продуктивно).</w:t>
      </w:r>
    </w:p>
    <w:p w:rsidR="00041039" w:rsidRDefault="00041039">
      <w:pPr>
        <w:pStyle w:val="BodyText"/>
        <w:rPr>
          <w:sz w:val="23"/>
        </w:rPr>
      </w:pPr>
    </w:p>
    <w:p w:rsidR="00041039" w:rsidRDefault="001B26CB">
      <w:pPr>
        <w:tabs>
          <w:tab w:val="left" w:pos="1303"/>
        </w:tabs>
        <w:ind w:right="7901"/>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w:t>
      </w:r>
      <w:r>
        <w:rPr>
          <w:b/>
          <w:color w:val="231F20"/>
          <w:sz w:val="14"/>
        </w:rPr>
        <w:t>ЈЕЗИК</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sz w:val="14"/>
              </w:rPr>
            </w:pPr>
            <w:r>
              <w:rPr>
                <w:color w:val="231F20"/>
                <w:sz w:val="14"/>
              </w:rPr>
              <w:t>По завршетку теме ученик ће бити у стању да:</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580"/>
              </w:numPr>
              <w:tabs>
                <w:tab w:val="left" w:pos="157"/>
              </w:tabs>
              <w:spacing w:before="8"/>
              <w:ind w:right="105"/>
              <w:rPr>
                <w:sz w:val="14"/>
              </w:rPr>
            </w:pPr>
            <w:r>
              <w:rPr>
                <w:color w:val="231F20"/>
                <w:sz w:val="14"/>
              </w:rPr>
              <w:t>разуме основне поруке и захтеве исказане јас­ ним</w:t>
            </w:r>
            <w:r>
              <w:rPr>
                <w:color w:val="231F20"/>
                <w:spacing w:val="-6"/>
                <w:sz w:val="14"/>
              </w:rPr>
              <w:t xml:space="preserve"> </w:t>
            </w:r>
            <w:r>
              <w:rPr>
                <w:color w:val="231F20"/>
                <w:sz w:val="14"/>
              </w:rPr>
              <w:t>стандардним</w:t>
            </w:r>
            <w:r>
              <w:rPr>
                <w:color w:val="231F20"/>
                <w:spacing w:val="-5"/>
                <w:sz w:val="14"/>
              </w:rPr>
              <w:t xml:space="preserve"> </w:t>
            </w:r>
            <w:r>
              <w:rPr>
                <w:color w:val="231F20"/>
                <w:sz w:val="14"/>
              </w:rPr>
              <w:t>језиком</w:t>
            </w:r>
            <w:r>
              <w:rPr>
                <w:color w:val="231F20"/>
                <w:spacing w:val="-5"/>
                <w:sz w:val="14"/>
              </w:rPr>
              <w:t xml:space="preserve"> </w:t>
            </w:r>
            <w:r>
              <w:rPr>
                <w:color w:val="231F20"/>
                <w:sz w:val="14"/>
              </w:rPr>
              <w:t>када</w:t>
            </w:r>
            <w:r>
              <w:rPr>
                <w:color w:val="231F20"/>
                <w:spacing w:val="-5"/>
                <w:sz w:val="14"/>
              </w:rPr>
              <w:t xml:space="preserve"> </w:t>
            </w:r>
            <w:r>
              <w:rPr>
                <w:color w:val="231F20"/>
                <w:sz w:val="14"/>
              </w:rPr>
              <w:t>је</w:t>
            </w:r>
            <w:r>
              <w:rPr>
                <w:color w:val="231F20"/>
                <w:spacing w:val="-5"/>
                <w:sz w:val="14"/>
              </w:rPr>
              <w:t xml:space="preserve"> </w:t>
            </w:r>
            <w:r>
              <w:rPr>
                <w:color w:val="231F20"/>
                <w:sz w:val="14"/>
              </w:rPr>
              <w:t>реч</w:t>
            </w:r>
            <w:r>
              <w:rPr>
                <w:color w:val="231F20"/>
                <w:spacing w:val="-5"/>
                <w:sz w:val="14"/>
              </w:rPr>
              <w:t xml:space="preserve"> </w:t>
            </w:r>
            <w:r>
              <w:rPr>
                <w:color w:val="231F20"/>
                <w:sz w:val="14"/>
              </w:rPr>
              <w:t>о</w:t>
            </w:r>
            <w:r>
              <w:rPr>
                <w:color w:val="231F20"/>
                <w:spacing w:val="-5"/>
                <w:sz w:val="14"/>
              </w:rPr>
              <w:t xml:space="preserve"> </w:t>
            </w:r>
            <w:r>
              <w:rPr>
                <w:color w:val="231F20"/>
                <w:sz w:val="14"/>
              </w:rPr>
              <w:t>блиским темама (кола, посао,</w:t>
            </w:r>
            <w:r>
              <w:rPr>
                <w:color w:val="231F20"/>
                <w:spacing w:val="-3"/>
                <w:sz w:val="14"/>
              </w:rPr>
              <w:t xml:space="preserve"> </w:t>
            </w:r>
            <w:r>
              <w:rPr>
                <w:color w:val="231F20"/>
                <w:sz w:val="14"/>
              </w:rPr>
              <w:t>хоби);</w:t>
            </w:r>
          </w:p>
          <w:p w:rsidR="00041039" w:rsidRDefault="001B26CB">
            <w:pPr>
              <w:pStyle w:val="TableParagraph"/>
              <w:numPr>
                <w:ilvl w:val="0"/>
                <w:numId w:val="580"/>
              </w:numPr>
              <w:tabs>
                <w:tab w:val="left" w:pos="157"/>
              </w:tabs>
              <w:spacing w:line="157" w:lineRule="exact"/>
              <w:rPr>
                <w:sz w:val="14"/>
              </w:rPr>
            </w:pPr>
            <w:r>
              <w:rPr>
                <w:color w:val="231F20"/>
                <w:sz w:val="14"/>
              </w:rPr>
              <w:t>разуме глобално суштину нешто дужих</w:t>
            </w:r>
            <w:r>
              <w:rPr>
                <w:color w:val="231F20"/>
                <w:spacing w:val="-10"/>
                <w:sz w:val="14"/>
              </w:rPr>
              <w:t xml:space="preserve"> </w:t>
            </w:r>
            <w:r>
              <w:rPr>
                <w:color w:val="231F20"/>
                <w:sz w:val="14"/>
              </w:rPr>
              <w:t>раз­</w:t>
            </w:r>
          </w:p>
          <w:p w:rsidR="00041039" w:rsidRDefault="001B26CB">
            <w:pPr>
              <w:pStyle w:val="TableParagraph"/>
              <w:rPr>
                <w:sz w:val="14"/>
              </w:rPr>
            </w:pPr>
            <w:r>
              <w:rPr>
                <w:color w:val="231F20"/>
                <w:sz w:val="14"/>
              </w:rPr>
              <w:t>говора или дискусија, који се односе на мање сложене садржаје, уколико се говори разговетно стандардним језиком, поставља питања и</w:t>
            </w:r>
          </w:p>
          <w:p w:rsidR="00041039" w:rsidRDefault="001B26CB">
            <w:pPr>
              <w:pStyle w:val="TableParagraph"/>
              <w:spacing w:line="237" w:lineRule="auto"/>
              <w:ind w:right="198"/>
              <w:rPr>
                <w:sz w:val="14"/>
              </w:rPr>
            </w:pPr>
            <w:r>
              <w:rPr>
                <w:color w:val="231F20"/>
                <w:sz w:val="14"/>
              </w:rPr>
              <w:t>тражи објашњења у вези са темом дискусије / разговора;</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579"/>
              </w:numPr>
              <w:tabs>
                <w:tab w:val="left" w:pos="157"/>
              </w:tabs>
              <w:spacing w:line="237" w:lineRule="auto"/>
              <w:ind w:right="299"/>
              <w:rPr>
                <w:sz w:val="14"/>
              </w:rPr>
            </w:pPr>
            <w:r>
              <w:rPr>
                <w:color w:val="231F20"/>
                <w:sz w:val="14"/>
              </w:rPr>
              <w:t>Свакодневни</w:t>
            </w:r>
            <w:r>
              <w:rPr>
                <w:color w:val="231F20"/>
                <w:spacing w:val="-9"/>
                <w:sz w:val="14"/>
              </w:rPr>
              <w:t xml:space="preserve"> </w:t>
            </w:r>
            <w:r>
              <w:rPr>
                <w:color w:val="231F20"/>
                <w:sz w:val="14"/>
              </w:rPr>
              <w:t>живот</w:t>
            </w:r>
            <w:r>
              <w:rPr>
                <w:color w:val="231F20"/>
                <w:spacing w:val="-9"/>
                <w:sz w:val="14"/>
              </w:rPr>
              <w:t xml:space="preserve"> </w:t>
            </w:r>
            <w:r>
              <w:rPr>
                <w:color w:val="231F20"/>
                <w:sz w:val="14"/>
              </w:rPr>
              <w:t>(генерацијски</w:t>
            </w:r>
            <w:r>
              <w:rPr>
                <w:color w:val="231F20"/>
                <w:spacing w:val="-9"/>
                <w:sz w:val="14"/>
              </w:rPr>
              <w:t xml:space="preserve"> </w:t>
            </w:r>
            <w:r>
              <w:rPr>
                <w:color w:val="231F20"/>
                <w:sz w:val="14"/>
              </w:rPr>
              <w:t>конфликти</w:t>
            </w:r>
            <w:r>
              <w:rPr>
                <w:color w:val="231F20"/>
                <w:spacing w:val="-9"/>
                <w:sz w:val="14"/>
              </w:rPr>
              <w:t xml:space="preserve"> </w:t>
            </w:r>
            <w:r>
              <w:rPr>
                <w:color w:val="231F20"/>
                <w:sz w:val="14"/>
              </w:rPr>
              <w:t>и начини</w:t>
            </w:r>
            <w:r>
              <w:rPr>
                <w:color w:val="231F20"/>
                <w:spacing w:val="-1"/>
                <w:sz w:val="14"/>
              </w:rPr>
              <w:t xml:space="preserve"> </w:t>
            </w:r>
            <w:r>
              <w:rPr>
                <w:color w:val="231F20"/>
                <w:sz w:val="14"/>
              </w:rPr>
              <w:t>превазил</w:t>
            </w:r>
            <w:r>
              <w:rPr>
                <w:color w:val="231F20"/>
                <w:sz w:val="14"/>
              </w:rPr>
              <w:t>ажења).</w:t>
            </w:r>
          </w:p>
          <w:p w:rsidR="00041039" w:rsidRDefault="001B26CB">
            <w:pPr>
              <w:pStyle w:val="TableParagraph"/>
              <w:numPr>
                <w:ilvl w:val="0"/>
                <w:numId w:val="579"/>
              </w:numPr>
              <w:tabs>
                <w:tab w:val="left" w:pos="157"/>
              </w:tabs>
              <w:spacing w:line="160" w:lineRule="exact"/>
              <w:ind w:right="64"/>
              <w:rPr>
                <w:sz w:val="14"/>
              </w:rPr>
            </w:pPr>
            <w:r>
              <w:rPr>
                <w:color w:val="231F20"/>
                <w:sz w:val="14"/>
              </w:rPr>
              <w:t>Образовање (образовање за све, пракса и</w:t>
            </w:r>
            <w:r>
              <w:rPr>
                <w:color w:val="231F20"/>
                <w:spacing w:val="-26"/>
                <w:sz w:val="14"/>
              </w:rPr>
              <w:t xml:space="preserve"> </w:t>
            </w:r>
            <w:r>
              <w:rPr>
                <w:color w:val="231F20"/>
                <w:sz w:val="14"/>
              </w:rPr>
              <w:t xml:space="preserve">припреме за </w:t>
            </w:r>
            <w:r>
              <w:rPr>
                <w:color w:val="231F20"/>
                <w:spacing w:val="-3"/>
                <w:sz w:val="14"/>
              </w:rPr>
              <w:t xml:space="preserve">будуће </w:t>
            </w:r>
            <w:r>
              <w:rPr>
                <w:color w:val="231F20"/>
                <w:sz w:val="14"/>
              </w:rPr>
              <w:t>занимање, размена ученика).</w:t>
            </w:r>
          </w:p>
          <w:p w:rsidR="00041039" w:rsidRDefault="001B26CB">
            <w:pPr>
              <w:pStyle w:val="TableParagraph"/>
              <w:numPr>
                <w:ilvl w:val="0"/>
                <w:numId w:val="579"/>
              </w:numPr>
              <w:tabs>
                <w:tab w:val="left" w:pos="157"/>
              </w:tabs>
              <w:spacing w:line="160" w:lineRule="exact"/>
              <w:ind w:right="48"/>
              <w:rPr>
                <w:sz w:val="14"/>
              </w:rPr>
            </w:pPr>
            <w:r>
              <w:rPr>
                <w:color w:val="231F20"/>
                <w:sz w:val="14"/>
              </w:rPr>
              <w:t>Познате фирме, предузећа, установе, институције</w:t>
            </w:r>
            <w:r>
              <w:rPr>
                <w:color w:val="231F20"/>
                <w:spacing w:val="-21"/>
                <w:sz w:val="14"/>
              </w:rPr>
              <w:t xml:space="preserve"> </w:t>
            </w:r>
            <w:r>
              <w:rPr>
                <w:color w:val="231F20"/>
                <w:sz w:val="14"/>
              </w:rPr>
              <w:t>у земљама чији се језик</w:t>
            </w:r>
            <w:r>
              <w:rPr>
                <w:color w:val="231F20"/>
                <w:spacing w:val="-2"/>
                <w:sz w:val="14"/>
              </w:rPr>
              <w:t xml:space="preserve"> </w:t>
            </w:r>
            <w:r>
              <w:rPr>
                <w:color w:val="231F20"/>
                <w:sz w:val="14"/>
              </w:rPr>
              <w:t>учи.</w:t>
            </w:r>
          </w:p>
          <w:p w:rsidR="00041039" w:rsidRDefault="001B26CB">
            <w:pPr>
              <w:pStyle w:val="TableParagraph"/>
              <w:numPr>
                <w:ilvl w:val="0"/>
                <w:numId w:val="579"/>
              </w:numPr>
              <w:tabs>
                <w:tab w:val="left" w:pos="157"/>
              </w:tabs>
              <w:spacing w:line="160" w:lineRule="exact"/>
              <w:ind w:right="148"/>
              <w:rPr>
                <w:sz w:val="14"/>
              </w:rPr>
            </w:pPr>
            <w:r>
              <w:rPr>
                <w:color w:val="231F20"/>
                <w:spacing w:val="-3"/>
                <w:sz w:val="14"/>
              </w:rPr>
              <w:t xml:space="preserve">Културни </w:t>
            </w:r>
            <w:r>
              <w:rPr>
                <w:color w:val="231F20"/>
                <w:sz w:val="14"/>
              </w:rPr>
              <w:t>живот (међународни пројекти и учешће на</w:t>
            </w:r>
            <w:r>
              <w:rPr>
                <w:color w:val="231F20"/>
                <w:spacing w:val="-2"/>
                <w:sz w:val="14"/>
              </w:rPr>
              <w:t xml:space="preserve"> </w:t>
            </w:r>
            <w:r>
              <w:rPr>
                <w:color w:val="231F20"/>
                <w:sz w:val="14"/>
              </w:rPr>
              <w:t>њима).</w:t>
            </w:r>
          </w:p>
          <w:p w:rsidR="00041039" w:rsidRDefault="001B26CB">
            <w:pPr>
              <w:pStyle w:val="TableParagraph"/>
              <w:numPr>
                <w:ilvl w:val="0"/>
                <w:numId w:val="579"/>
              </w:numPr>
              <w:tabs>
                <w:tab w:val="left" w:pos="157"/>
              </w:tabs>
              <w:spacing w:line="153" w:lineRule="exact"/>
              <w:rPr>
                <w:sz w:val="14"/>
              </w:rPr>
            </w:pPr>
            <w:r>
              <w:rPr>
                <w:color w:val="231F20"/>
                <w:sz w:val="14"/>
              </w:rPr>
              <w:t>Заштита човекове околине (волонтерски</w:t>
            </w:r>
            <w:r>
              <w:rPr>
                <w:color w:val="231F20"/>
                <w:spacing w:val="-11"/>
                <w:sz w:val="14"/>
              </w:rPr>
              <w:t xml:space="preserve"> </w:t>
            </w:r>
            <w:r>
              <w:rPr>
                <w:color w:val="231F20"/>
                <w:sz w:val="14"/>
              </w:rPr>
              <w:t>рад).</w:t>
            </w:r>
          </w:p>
          <w:p w:rsidR="00041039" w:rsidRDefault="001B26CB">
            <w:pPr>
              <w:pStyle w:val="TableParagraph"/>
              <w:numPr>
                <w:ilvl w:val="0"/>
                <w:numId w:val="579"/>
              </w:numPr>
              <w:tabs>
                <w:tab w:val="left" w:pos="157"/>
              </w:tabs>
              <w:spacing w:line="160" w:lineRule="exact"/>
              <w:rPr>
                <w:sz w:val="14"/>
              </w:rPr>
            </w:pPr>
            <w:r>
              <w:rPr>
                <w:color w:val="231F20"/>
                <w:sz w:val="14"/>
              </w:rPr>
              <w:t>Медији (штампа, телевизија, електронски</w:t>
            </w:r>
            <w:r>
              <w:rPr>
                <w:color w:val="231F20"/>
                <w:spacing w:val="-9"/>
                <w:sz w:val="14"/>
              </w:rPr>
              <w:t xml:space="preserve"> </w:t>
            </w:r>
            <w:r>
              <w:rPr>
                <w:color w:val="231F20"/>
                <w:sz w:val="14"/>
              </w:rPr>
              <w:t>медији).</w:t>
            </w:r>
          </w:p>
          <w:p w:rsidR="00041039" w:rsidRDefault="001B26CB">
            <w:pPr>
              <w:pStyle w:val="TableParagraph"/>
              <w:numPr>
                <w:ilvl w:val="0"/>
                <w:numId w:val="579"/>
              </w:numPr>
              <w:tabs>
                <w:tab w:val="left" w:pos="157"/>
              </w:tabs>
              <w:spacing w:line="237" w:lineRule="auto"/>
              <w:ind w:right="211"/>
              <w:rPr>
                <w:sz w:val="14"/>
              </w:rPr>
            </w:pPr>
            <w:r>
              <w:rPr>
                <w:color w:val="231F20"/>
                <w:sz w:val="14"/>
              </w:rPr>
              <w:t>Историјски догађаји/личности из земаља чији се језик</w:t>
            </w:r>
            <w:r>
              <w:rPr>
                <w:color w:val="231F20"/>
                <w:spacing w:val="-2"/>
                <w:sz w:val="14"/>
              </w:rPr>
              <w:t xml:space="preserve"> </w:t>
            </w:r>
            <w:r>
              <w:rPr>
                <w:color w:val="231F20"/>
                <w:sz w:val="14"/>
              </w:rPr>
              <w:t>учи.</w:t>
            </w:r>
          </w:p>
          <w:p w:rsidR="00041039" w:rsidRDefault="001B26CB">
            <w:pPr>
              <w:pStyle w:val="TableParagraph"/>
              <w:numPr>
                <w:ilvl w:val="0"/>
                <w:numId w:val="579"/>
              </w:numPr>
              <w:tabs>
                <w:tab w:val="left" w:pos="157"/>
              </w:tabs>
              <w:spacing w:line="160" w:lineRule="exact"/>
              <w:ind w:right="435"/>
              <w:rPr>
                <w:sz w:val="14"/>
              </w:rPr>
            </w:pPr>
            <w:r>
              <w:rPr>
                <w:color w:val="231F20"/>
                <w:sz w:val="14"/>
              </w:rPr>
              <w:t>Свет компјутера (предности и мане</w:t>
            </w:r>
            <w:r>
              <w:rPr>
                <w:color w:val="231F20"/>
                <w:spacing w:val="-16"/>
                <w:sz w:val="14"/>
              </w:rPr>
              <w:t xml:space="preserve"> </w:t>
            </w:r>
            <w:r>
              <w:rPr>
                <w:color w:val="231F20"/>
                <w:sz w:val="14"/>
              </w:rPr>
              <w:t>употребе компјутера).</w:t>
            </w:r>
          </w:p>
        </w:tc>
        <w:tc>
          <w:tcPr>
            <w:tcW w:w="2834" w:type="dxa"/>
            <w:vMerge w:val="restart"/>
          </w:tcPr>
          <w:p w:rsidR="00041039" w:rsidRDefault="001B26CB">
            <w:pPr>
              <w:pStyle w:val="TableParagraph"/>
              <w:numPr>
                <w:ilvl w:val="0"/>
                <w:numId w:val="578"/>
              </w:numPr>
              <w:tabs>
                <w:tab w:val="left" w:pos="162"/>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578"/>
              </w:numPr>
              <w:tabs>
                <w:tab w:val="left" w:pos="162"/>
              </w:tabs>
              <w:ind w:right="282"/>
              <w:rPr>
                <w:sz w:val="14"/>
              </w:rPr>
            </w:pPr>
            <w:r>
              <w:rPr>
                <w:color w:val="231F20"/>
                <w:sz w:val="14"/>
              </w:rPr>
              <w:t>Поздрављање (састајање, растанак; формално, неформално, специфично</w:t>
            </w:r>
            <w:r>
              <w:rPr>
                <w:color w:val="231F20"/>
                <w:spacing w:val="-14"/>
                <w:sz w:val="14"/>
              </w:rPr>
              <w:t xml:space="preserve"> </w:t>
            </w:r>
            <w:r>
              <w:rPr>
                <w:color w:val="231F20"/>
                <w:sz w:val="14"/>
              </w:rPr>
              <w:t>по регионима).</w:t>
            </w:r>
          </w:p>
          <w:p w:rsidR="00041039" w:rsidRDefault="001B26CB">
            <w:pPr>
              <w:pStyle w:val="TableParagraph"/>
              <w:numPr>
                <w:ilvl w:val="0"/>
                <w:numId w:val="578"/>
              </w:numPr>
              <w:tabs>
                <w:tab w:val="left" w:pos="162"/>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578"/>
              </w:numPr>
              <w:tabs>
                <w:tab w:val="left" w:pos="162"/>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578"/>
              </w:numPr>
              <w:tabs>
                <w:tab w:val="left" w:pos="162"/>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578"/>
              </w:numPr>
              <w:tabs>
                <w:tab w:val="left" w:pos="162"/>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578"/>
              </w:numPr>
              <w:tabs>
                <w:tab w:val="left" w:pos="162"/>
              </w:tabs>
              <w:spacing w:line="160" w:lineRule="exact"/>
              <w:rPr>
                <w:sz w:val="14"/>
              </w:rPr>
            </w:pPr>
            <w:r>
              <w:rPr>
                <w:color w:val="231F20"/>
                <w:sz w:val="14"/>
              </w:rPr>
              <w:t>Изражавање потврд</w:t>
            </w:r>
            <w:r>
              <w:rPr>
                <w:color w:val="231F20"/>
                <w:sz w:val="14"/>
              </w:rPr>
              <w:t>е и</w:t>
            </w:r>
            <w:r>
              <w:rPr>
                <w:color w:val="231F20"/>
                <w:spacing w:val="-4"/>
                <w:sz w:val="14"/>
              </w:rPr>
              <w:t xml:space="preserve"> </w:t>
            </w:r>
            <w:r>
              <w:rPr>
                <w:color w:val="231F20"/>
                <w:sz w:val="14"/>
              </w:rPr>
              <w:t>негирање.</w:t>
            </w:r>
          </w:p>
          <w:p w:rsidR="00041039" w:rsidRDefault="001B26CB">
            <w:pPr>
              <w:pStyle w:val="TableParagraph"/>
              <w:numPr>
                <w:ilvl w:val="0"/>
                <w:numId w:val="578"/>
              </w:numPr>
              <w:tabs>
                <w:tab w:val="left" w:pos="162"/>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578"/>
              </w:numPr>
              <w:tabs>
                <w:tab w:val="left" w:pos="162"/>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578"/>
              </w:numPr>
              <w:tabs>
                <w:tab w:val="left" w:pos="162"/>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578"/>
              </w:numPr>
              <w:tabs>
                <w:tab w:val="left" w:pos="162"/>
              </w:tabs>
              <w:ind w:right="628"/>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578"/>
              </w:numPr>
              <w:tabs>
                <w:tab w:val="left" w:pos="162"/>
              </w:tabs>
              <w:ind w:right="273"/>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578"/>
              </w:numPr>
              <w:tabs>
                <w:tab w:val="left" w:pos="162"/>
              </w:tabs>
              <w:spacing w:line="159" w:lineRule="exact"/>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578"/>
              </w:numPr>
              <w:tabs>
                <w:tab w:val="left" w:pos="162"/>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578"/>
              </w:numPr>
              <w:tabs>
                <w:tab w:val="left" w:pos="162"/>
              </w:tabs>
              <w:spacing w:line="160" w:lineRule="exact"/>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numPr>
                <w:ilvl w:val="0"/>
                <w:numId w:val="578"/>
              </w:numPr>
              <w:tabs>
                <w:tab w:val="left" w:pos="162"/>
              </w:tabs>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tc>
      </w:tr>
      <w:tr w:rsidR="00041039">
        <w:trPr>
          <w:trHeight w:val="2181"/>
        </w:trPr>
        <w:tc>
          <w:tcPr>
            <w:tcW w:w="1304" w:type="dxa"/>
            <w:tcBorders>
              <w:top w:val="nil"/>
            </w:tcBorders>
          </w:tcPr>
          <w:p w:rsidR="00041039" w:rsidRDefault="001B26CB">
            <w:pPr>
              <w:pStyle w:val="TableParagraph"/>
              <w:numPr>
                <w:ilvl w:val="0"/>
                <w:numId w:val="577"/>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576"/>
              </w:numPr>
              <w:tabs>
                <w:tab w:val="left" w:pos="157"/>
              </w:tabs>
              <w:spacing w:before="9"/>
              <w:ind w:right="232"/>
              <w:rPr>
                <w:sz w:val="14"/>
              </w:rPr>
            </w:pPr>
            <w:r>
              <w:rPr>
                <w:color w:val="231F20"/>
                <w:sz w:val="14"/>
              </w:rPr>
              <w:t xml:space="preserve">разуме једноставније текстове (стандардна писма, информације о </w:t>
            </w:r>
            <w:r>
              <w:rPr>
                <w:color w:val="231F20"/>
                <w:spacing w:val="-3"/>
                <w:sz w:val="14"/>
              </w:rPr>
              <w:t xml:space="preserve">неком </w:t>
            </w:r>
            <w:r>
              <w:rPr>
                <w:color w:val="231F20"/>
                <w:sz w:val="14"/>
              </w:rPr>
              <w:t>процесу) који</w:t>
            </w:r>
            <w:r>
              <w:rPr>
                <w:color w:val="231F20"/>
                <w:spacing w:val="-18"/>
                <w:sz w:val="14"/>
              </w:rPr>
              <w:t xml:space="preserve"> </w:t>
            </w:r>
            <w:r>
              <w:rPr>
                <w:color w:val="231F20"/>
                <w:sz w:val="14"/>
              </w:rPr>
              <w:t>су писани обичним</w:t>
            </w:r>
            <w:r>
              <w:rPr>
                <w:color w:val="231F20"/>
                <w:spacing w:val="-1"/>
                <w:sz w:val="14"/>
              </w:rPr>
              <w:t xml:space="preserve"> </w:t>
            </w:r>
            <w:r>
              <w:rPr>
                <w:color w:val="231F20"/>
                <w:sz w:val="14"/>
              </w:rPr>
              <w:t>језиком;</w:t>
            </w:r>
          </w:p>
          <w:p w:rsidR="00041039" w:rsidRDefault="001B26CB">
            <w:pPr>
              <w:pStyle w:val="TableParagraph"/>
              <w:numPr>
                <w:ilvl w:val="0"/>
                <w:numId w:val="576"/>
              </w:numPr>
              <w:tabs>
                <w:tab w:val="left" w:pos="157"/>
              </w:tabs>
              <w:spacing w:line="152" w:lineRule="exact"/>
              <w:rPr>
                <w:sz w:val="14"/>
              </w:rPr>
            </w:pPr>
            <w:r>
              <w:rPr>
                <w:color w:val="231F20"/>
                <w:sz w:val="14"/>
              </w:rPr>
              <w:t>разуме опис догађаја и</w:t>
            </w:r>
            <w:r>
              <w:rPr>
                <w:color w:val="231F20"/>
                <w:spacing w:val="-2"/>
                <w:sz w:val="14"/>
              </w:rPr>
              <w:t xml:space="preserve"> </w:t>
            </w:r>
            <w:r>
              <w:rPr>
                <w:color w:val="231F20"/>
                <w:sz w:val="14"/>
              </w:rPr>
              <w:t>осећања;</w:t>
            </w:r>
          </w:p>
          <w:p w:rsidR="00041039" w:rsidRDefault="001B26CB">
            <w:pPr>
              <w:pStyle w:val="TableParagraph"/>
              <w:numPr>
                <w:ilvl w:val="0"/>
                <w:numId w:val="576"/>
              </w:numPr>
              <w:tabs>
                <w:tab w:val="left" w:pos="157"/>
              </w:tabs>
              <w:spacing w:line="237" w:lineRule="auto"/>
              <w:ind w:right="99"/>
              <w:rPr>
                <w:sz w:val="14"/>
              </w:rPr>
            </w:pPr>
            <w:r>
              <w:rPr>
                <w:color w:val="231F20"/>
                <w:sz w:val="14"/>
              </w:rPr>
              <w:t>разуме основни садржај као и важније детаље у извештајима, брошурама и</w:t>
            </w:r>
            <w:r>
              <w:rPr>
                <w:color w:val="231F20"/>
                <w:spacing w:val="-2"/>
                <w:sz w:val="14"/>
              </w:rPr>
              <w:t xml:space="preserve"> </w:t>
            </w:r>
            <w:r>
              <w:rPr>
                <w:color w:val="231F20"/>
                <w:sz w:val="14"/>
              </w:rPr>
              <w:t>сл.;</w:t>
            </w:r>
          </w:p>
        </w:tc>
        <w:tc>
          <w:tcPr>
            <w:tcW w:w="3288" w:type="dxa"/>
            <w:vMerge w:val="restart"/>
          </w:tcPr>
          <w:p w:rsidR="00041039" w:rsidRDefault="00041039">
            <w:pPr>
              <w:pStyle w:val="TableParagraph"/>
              <w:ind w:left="0"/>
              <w:rPr>
                <w:sz w:val="14"/>
              </w:rPr>
            </w:pPr>
          </w:p>
        </w:tc>
        <w:tc>
          <w:tcPr>
            <w:tcW w:w="2834" w:type="dxa"/>
            <w:vMerge/>
            <w:tcBorders>
              <w:top w:val="nil"/>
            </w:tcBorders>
          </w:tcPr>
          <w:p w:rsidR="00041039" w:rsidRDefault="00041039">
            <w:pPr>
              <w:rPr>
                <w:sz w:val="2"/>
                <w:szCs w:val="2"/>
              </w:rPr>
            </w:pPr>
          </w:p>
        </w:tc>
      </w:tr>
      <w:tr w:rsidR="00041039">
        <w:trPr>
          <w:trHeight w:val="1010"/>
        </w:trPr>
        <w:tc>
          <w:tcPr>
            <w:tcW w:w="1304" w:type="dxa"/>
            <w:tcBorders>
              <w:top w:val="nil"/>
            </w:tcBorders>
          </w:tcPr>
          <w:p w:rsidR="00041039" w:rsidRDefault="001B26CB">
            <w:pPr>
              <w:pStyle w:val="TableParagraph"/>
              <w:numPr>
                <w:ilvl w:val="0"/>
                <w:numId w:val="575"/>
              </w:numPr>
              <w:tabs>
                <w:tab w:val="left" w:pos="157"/>
              </w:tabs>
              <w:spacing w:before="69"/>
              <w:ind w:right="131"/>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1320"/>
        </w:trPr>
        <w:tc>
          <w:tcPr>
            <w:tcW w:w="1304" w:type="dxa"/>
          </w:tcPr>
          <w:p w:rsidR="00041039" w:rsidRDefault="001B26CB">
            <w:pPr>
              <w:pStyle w:val="TableParagraph"/>
              <w:spacing w:before="18"/>
              <w:ind w:left="56"/>
              <w:rPr>
                <w:sz w:val="14"/>
              </w:rPr>
            </w:pPr>
            <w:r>
              <w:rPr>
                <w:color w:val="231F20"/>
                <w:sz w:val="14"/>
              </w:rPr>
              <w:lastRenderedPageBreak/>
              <w:t>ГОВОР</w:t>
            </w:r>
          </w:p>
          <w:p w:rsidR="00041039" w:rsidRDefault="00041039">
            <w:pPr>
              <w:pStyle w:val="TableParagraph"/>
              <w:spacing w:before="11"/>
              <w:ind w:left="0"/>
              <w:rPr>
                <w:b/>
                <w:sz w:val="12"/>
              </w:rPr>
            </w:pPr>
          </w:p>
          <w:p w:rsidR="00041039" w:rsidRDefault="001B26CB">
            <w:pPr>
              <w:pStyle w:val="TableParagraph"/>
              <w:numPr>
                <w:ilvl w:val="0"/>
                <w:numId w:val="574"/>
              </w:numPr>
              <w:tabs>
                <w:tab w:val="left" w:pos="157"/>
              </w:tabs>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tcPr>
          <w:p w:rsidR="00041039" w:rsidRDefault="001B26CB">
            <w:pPr>
              <w:pStyle w:val="TableParagraph"/>
              <w:numPr>
                <w:ilvl w:val="0"/>
                <w:numId w:val="573"/>
              </w:numPr>
              <w:tabs>
                <w:tab w:val="left" w:pos="157"/>
              </w:tabs>
              <w:spacing w:before="8"/>
              <w:ind w:right="126"/>
              <w:rPr>
                <w:sz w:val="14"/>
              </w:rPr>
            </w:pPr>
            <w:r>
              <w:rPr>
                <w:color w:val="231F20"/>
                <w:sz w:val="14"/>
              </w:rPr>
              <w:t>једноставним средствима опише статус и</w:t>
            </w:r>
            <w:r>
              <w:rPr>
                <w:color w:val="231F20"/>
                <w:spacing w:val="-7"/>
                <w:sz w:val="14"/>
              </w:rPr>
              <w:t xml:space="preserve"> </w:t>
            </w:r>
            <w:r>
              <w:rPr>
                <w:color w:val="231F20"/>
                <w:sz w:val="14"/>
              </w:rPr>
              <w:t xml:space="preserve">обра­ зовање, </w:t>
            </w:r>
            <w:r>
              <w:rPr>
                <w:color w:val="231F20"/>
                <w:spacing w:val="-3"/>
                <w:sz w:val="14"/>
              </w:rPr>
              <w:t>будуће</w:t>
            </w:r>
            <w:r>
              <w:rPr>
                <w:color w:val="231F20"/>
                <w:spacing w:val="-1"/>
                <w:sz w:val="14"/>
              </w:rPr>
              <w:t xml:space="preserve"> </w:t>
            </w:r>
            <w:r>
              <w:rPr>
                <w:color w:val="231F20"/>
                <w:sz w:val="14"/>
              </w:rPr>
              <w:t>запослење;</w:t>
            </w:r>
          </w:p>
          <w:p w:rsidR="00041039" w:rsidRDefault="001B26CB">
            <w:pPr>
              <w:pStyle w:val="TableParagraph"/>
              <w:numPr>
                <w:ilvl w:val="0"/>
                <w:numId w:val="573"/>
              </w:numPr>
              <w:tabs>
                <w:tab w:val="left" w:pos="157"/>
              </w:tabs>
              <w:spacing w:line="160" w:lineRule="exact"/>
              <w:ind w:right="52"/>
              <w:rPr>
                <w:sz w:val="14"/>
              </w:rPr>
            </w:pPr>
            <w:r>
              <w:rPr>
                <w:color w:val="231F20"/>
                <w:sz w:val="14"/>
              </w:rPr>
              <w:t xml:space="preserve">опише делатност, </w:t>
            </w:r>
            <w:r>
              <w:rPr>
                <w:color w:val="231F20"/>
                <w:spacing w:val="-3"/>
                <w:sz w:val="14"/>
              </w:rPr>
              <w:t xml:space="preserve">фирму, </w:t>
            </w:r>
            <w:r>
              <w:rPr>
                <w:color w:val="231F20"/>
                <w:sz w:val="14"/>
              </w:rPr>
              <w:t>процес рада или пак преприча</w:t>
            </w:r>
            <w:r>
              <w:rPr>
                <w:color w:val="231F20"/>
                <w:spacing w:val="-7"/>
                <w:sz w:val="14"/>
              </w:rPr>
              <w:t xml:space="preserve"> </w:t>
            </w:r>
            <w:r>
              <w:rPr>
                <w:color w:val="231F20"/>
                <w:sz w:val="14"/>
              </w:rPr>
              <w:t>телефонски</w:t>
            </w:r>
            <w:r>
              <w:rPr>
                <w:color w:val="231F20"/>
                <w:spacing w:val="-6"/>
                <w:sz w:val="14"/>
              </w:rPr>
              <w:t xml:space="preserve"> </w:t>
            </w:r>
            <w:r>
              <w:rPr>
                <w:color w:val="231F20"/>
                <w:sz w:val="14"/>
              </w:rPr>
              <w:t>разговор</w:t>
            </w:r>
            <w:r>
              <w:rPr>
                <w:color w:val="231F20"/>
                <w:spacing w:val="-6"/>
                <w:sz w:val="14"/>
              </w:rPr>
              <w:t xml:space="preserve"> </w:t>
            </w:r>
            <w:r>
              <w:rPr>
                <w:color w:val="231F20"/>
                <w:sz w:val="14"/>
              </w:rPr>
              <w:t>или</w:t>
            </w:r>
            <w:r>
              <w:rPr>
                <w:color w:val="231F20"/>
                <w:spacing w:val="-7"/>
                <w:sz w:val="14"/>
              </w:rPr>
              <w:t xml:space="preserve"> </w:t>
            </w:r>
            <w:r>
              <w:rPr>
                <w:color w:val="231F20"/>
                <w:sz w:val="14"/>
              </w:rPr>
              <w:t>одлуке</w:t>
            </w:r>
            <w:r>
              <w:rPr>
                <w:color w:val="231F20"/>
                <w:spacing w:val="-6"/>
                <w:sz w:val="14"/>
              </w:rPr>
              <w:t xml:space="preserve"> </w:t>
            </w:r>
            <w:r>
              <w:rPr>
                <w:color w:val="231F20"/>
                <w:sz w:val="14"/>
              </w:rPr>
              <w:t>неког договора у оквиру познате</w:t>
            </w:r>
            <w:r>
              <w:rPr>
                <w:color w:val="231F20"/>
                <w:spacing w:val="-4"/>
                <w:sz w:val="14"/>
              </w:rPr>
              <w:t xml:space="preserve"> </w:t>
            </w:r>
            <w:r>
              <w:rPr>
                <w:color w:val="231F20"/>
                <w:sz w:val="14"/>
              </w:rPr>
              <w:t>лексике;</w:t>
            </w:r>
          </w:p>
          <w:p w:rsidR="00041039" w:rsidRDefault="001B26CB">
            <w:pPr>
              <w:pStyle w:val="TableParagraph"/>
              <w:numPr>
                <w:ilvl w:val="0"/>
                <w:numId w:val="573"/>
              </w:numPr>
              <w:tabs>
                <w:tab w:val="left" w:pos="157"/>
              </w:tabs>
              <w:spacing w:line="160" w:lineRule="exact"/>
              <w:ind w:right="648"/>
              <w:rPr>
                <w:sz w:val="14"/>
              </w:rPr>
            </w:pPr>
            <w:r>
              <w:rPr>
                <w:color w:val="231F20"/>
                <w:sz w:val="14"/>
              </w:rPr>
              <w:t>образложи краће своје намере,</w:t>
            </w:r>
            <w:r>
              <w:rPr>
                <w:color w:val="231F20"/>
                <w:spacing w:val="-20"/>
                <w:sz w:val="14"/>
              </w:rPr>
              <w:t xml:space="preserve"> </w:t>
            </w:r>
            <w:r>
              <w:rPr>
                <w:color w:val="231F20"/>
                <w:sz w:val="14"/>
              </w:rPr>
              <w:t>одлуке, поступке;</w:t>
            </w:r>
          </w:p>
        </w:tc>
        <w:tc>
          <w:tcPr>
            <w:tcW w:w="3288"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numPr>
                <w:ilvl w:val="0"/>
                <w:numId w:val="572"/>
              </w:numPr>
              <w:tabs>
                <w:tab w:val="left" w:pos="162"/>
              </w:tabs>
              <w:spacing w:before="18" w:line="161"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numPr>
                <w:ilvl w:val="0"/>
                <w:numId w:val="572"/>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572"/>
              </w:numPr>
              <w:tabs>
                <w:tab w:val="left" w:pos="162"/>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numPr>
                <w:ilvl w:val="0"/>
                <w:numId w:val="572"/>
              </w:numPr>
              <w:tabs>
                <w:tab w:val="left" w:pos="162"/>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572"/>
              </w:numPr>
              <w:tabs>
                <w:tab w:val="left" w:pos="162"/>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ПИСАЊЕ</w:t>
            </w:r>
          </w:p>
        </w:tc>
        <w:tc>
          <w:tcPr>
            <w:tcW w:w="3118" w:type="dxa"/>
            <w:vMerge w:val="restart"/>
          </w:tcPr>
          <w:p w:rsidR="00041039" w:rsidRDefault="001B26CB">
            <w:pPr>
              <w:pStyle w:val="TableParagraph"/>
              <w:numPr>
                <w:ilvl w:val="0"/>
                <w:numId w:val="571"/>
              </w:numPr>
              <w:tabs>
                <w:tab w:val="left" w:pos="157"/>
              </w:tabs>
              <w:spacing w:before="8"/>
              <w:ind w:right="415"/>
              <w:rPr>
                <w:sz w:val="14"/>
              </w:rPr>
            </w:pPr>
            <w:r>
              <w:rPr>
                <w:color w:val="231F20"/>
                <w:sz w:val="14"/>
              </w:rPr>
              <w:t>попуњава</w:t>
            </w:r>
            <w:r>
              <w:rPr>
                <w:color w:val="231F20"/>
                <w:spacing w:val="-7"/>
                <w:sz w:val="14"/>
              </w:rPr>
              <w:t xml:space="preserve"> </w:t>
            </w:r>
            <w:r>
              <w:rPr>
                <w:color w:val="231F20"/>
                <w:sz w:val="14"/>
              </w:rPr>
              <w:t>рачуне,</w:t>
            </w:r>
            <w:r>
              <w:rPr>
                <w:color w:val="231F20"/>
                <w:spacing w:val="-7"/>
                <w:sz w:val="14"/>
              </w:rPr>
              <w:t xml:space="preserve"> </w:t>
            </w:r>
            <w:r>
              <w:rPr>
                <w:color w:val="231F20"/>
                <w:sz w:val="14"/>
              </w:rPr>
              <w:t>признанице</w:t>
            </w:r>
            <w:r>
              <w:rPr>
                <w:color w:val="231F20"/>
                <w:spacing w:val="-7"/>
                <w:sz w:val="14"/>
              </w:rPr>
              <w:t xml:space="preserve"> </w:t>
            </w:r>
            <w:r>
              <w:rPr>
                <w:color w:val="231F20"/>
                <w:sz w:val="14"/>
              </w:rPr>
              <w:t>и</w:t>
            </w:r>
            <w:r>
              <w:rPr>
                <w:color w:val="231F20"/>
                <w:spacing w:val="-7"/>
                <w:sz w:val="14"/>
              </w:rPr>
              <w:t xml:space="preserve"> </w:t>
            </w:r>
            <w:r>
              <w:rPr>
                <w:color w:val="231F20"/>
                <w:sz w:val="14"/>
              </w:rPr>
              <w:t>хартије</w:t>
            </w:r>
            <w:r>
              <w:rPr>
                <w:color w:val="231F20"/>
                <w:spacing w:val="-7"/>
                <w:sz w:val="14"/>
              </w:rPr>
              <w:t xml:space="preserve"> </w:t>
            </w:r>
            <w:r>
              <w:rPr>
                <w:color w:val="231F20"/>
                <w:spacing w:val="-3"/>
                <w:sz w:val="14"/>
              </w:rPr>
              <w:t xml:space="preserve">од </w:t>
            </w:r>
            <w:r>
              <w:rPr>
                <w:color w:val="231F20"/>
                <w:sz w:val="14"/>
              </w:rPr>
              <w:t>вредности;</w:t>
            </w:r>
          </w:p>
          <w:p w:rsidR="00041039" w:rsidRDefault="001B26CB">
            <w:pPr>
              <w:pStyle w:val="TableParagraph"/>
              <w:numPr>
                <w:ilvl w:val="0"/>
                <w:numId w:val="571"/>
              </w:numPr>
              <w:tabs>
                <w:tab w:val="left" w:pos="157"/>
              </w:tabs>
              <w:spacing w:line="158" w:lineRule="exact"/>
              <w:rPr>
                <w:sz w:val="14"/>
              </w:rPr>
            </w:pPr>
            <w:r>
              <w:rPr>
                <w:color w:val="231F20"/>
                <w:sz w:val="14"/>
              </w:rPr>
              <w:t>напише једноставно пословно писмо</w:t>
            </w:r>
            <w:r>
              <w:rPr>
                <w:color w:val="231F20"/>
                <w:spacing w:val="-5"/>
                <w:sz w:val="14"/>
              </w:rPr>
              <w:t xml:space="preserve"> </w:t>
            </w:r>
            <w:r>
              <w:rPr>
                <w:color w:val="231F20"/>
                <w:sz w:val="14"/>
              </w:rPr>
              <w:t>према</w:t>
            </w:r>
          </w:p>
          <w:p w:rsidR="00041039" w:rsidRDefault="001B26CB">
            <w:pPr>
              <w:pStyle w:val="TableParagraph"/>
              <w:spacing w:line="155" w:lineRule="exact"/>
              <w:rPr>
                <w:sz w:val="14"/>
              </w:rPr>
            </w:pPr>
            <w:r>
              <w:rPr>
                <w:color w:val="231F20"/>
                <w:sz w:val="14"/>
              </w:rPr>
              <w:t>одређеном моделу;</w:t>
            </w:r>
          </w:p>
          <w:p w:rsidR="00041039" w:rsidRDefault="001B26CB">
            <w:pPr>
              <w:pStyle w:val="TableParagraph"/>
              <w:numPr>
                <w:ilvl w:val="0"/>
                <w:numId w:val="571"/>
              </w:numPr>
              <w:tabs>
                <w:tab w:val="left" w:pos="157"/>
              </w:tabs>
              <w:spacing w:line="166" w:lineRule="exact"/>
              <w:rPr>
                <w:sz w:val="14"/>
              </w:rPr>
            </w:pPr>
            <w:r>
              <w:rPr>
                <w:color w:val="231F20"/>
                <w:sz w:val="14"/>
              </w:rPr>
              <w:t>опише и појасни садржај схема и</w:t>
            </w:r>
            <w:r>
              <w:rPr>
                <w:color w:val="231F20"/>
                <w:spacing w:val="-13"/>
                <w:sz w:val="14"/>
              </w:rPr>
              <w:t xml:space="preserve"> </w:t>
            </w:r>
            <w:r>
              <w:rPr>
                <w:color w:val="231F20"/>
                <w:sz w:val="14"/>
              </w:rPr>
              <w:t>графикона;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901"/>
        </w:trPr>
        <w:tc>
          <w:tcPr>
            <w:tcW w:w="1304" w:type="dxa"/>
            <w:tcBorders>
              <w:top w:val="nil"/>
            </w:tcBorders>
          </w:tcPr>
          <w:p w:rsidR="00041039" w:rsidRDefault="001B26CB">
            <w:pPr>
              <w:pStyle w:val="TableParagraph"/>
              <w:numPr>
                <w:ilvl w:val="0"/>
                <w:numId w:val="570"/>
              </w:numPr>
              <w:tabs>
                <w:tab w:val="left" w:pos="157"/>
              </w:tabs>
              <w:spacing w:before="69"/>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ИНТЕРАКЦИЈА</w:t>
            </w:r>
          </w:p>
        </w:tc>
        <w:tc>
          <w:tcPr>
            <w:tcW w:w="3118" w:type="dxa"/>
            <w:vMerge w:val="restart"/>
          </w:tcPr>
          <w:p w:rsidR="00041039" w:rsidRDefault="001B26CB">
            <w:pPr>
              <w:pStyle w:val="TableParagraph"/>
              <w:numPr>
                <w:ilvl w:val="0"/>
                <w:numId w:val="569"/>
              </w:numPr>
              <w:tabs>
                <w:tab w:val="left" w:pos="157"/>
              </w:tabs>
              <w:spacing w:before="8"/>
              <w:ind w:right="372"/>
              <w:rPr>
                <w:sz w:val="14"/>
              </w:rPr>
            </w:pPr>
            <w:r>
              <w:rPr>
                <w:color w:val="231F20"/>
                <w:sz w:val="14"/>
              </w:rPr>
              <w:t>поведе, настави и заврши неки једноставан разговор, под условом да је лице у лице са саговорником;</w:t>
            </w:r>
          </w:p>
          <w:p w:rsidR="00041039" w:rsidRDefault="001B26CB">
            <w:pPr>
              <w:pStyle w:val="TableParagraph"/>
              <w:numPr>
                <w:ilvl w:val="0"/>
                <w:numId w:val="569"/>
              </w:numPr>
              <w:tabs>
                <w:tab w:val="left" w:pos="157"/>
              </w:tabs>
              <w:spacing w:line="157" w:lineRule="exact"/>
              <w:rPr>
                <w:sz w:val="14"/>
              </w:rPr>
            </w:pPr>
            <w:r>
              <w:rPr>
                <w:color w:val="231F20"/>
                <w:spacing w:val="-4"/>
                <w:sz w:val="14"/>
              </w:rPr>
              <w:t xml:space="preserve">буде </w:t>
            </w:r>
            <w:r>
              <w:rPr>
                <w:color w:val="231F20"/>
                <w:sz w:val="14"/>
              </w:rPr>
              <w:t>схваћен у размени идеја и информација</w:t>
            </w:r>
            <w:r>
              <w:rPr>
                <w:color w:val="231F20"/>
                <w:spacing w:val="-8"/>
                <w:sz w:val="14"/>
              </w:rPr>
              <w:t xml:space="preserve"> </w:t>
            </w:r>
            <w:r>
              <w:rPr>
                <w:color w:val="231F20"/>
                <w:sz w:val="14"/>
              </w:rPr>
              <w:t>о</w:t>
            </w:r>
          </w:p>
          <w:p w:rsidR="00041039" w:rsidRDefault="001B26CB">
            <w:pPr>
              <w:pStyle w:val="TableParagraph"/>
              <w:ind w:right="14"/>
              <w:rPr>
                <w:sz w:val="14"/>
              </w:rPr>
            </w:pPr>
            <w:r>
              <w:rPr>
                <w:color w:val="231F20"/>
                <w:sz w:val="14"/>
              </w:rPr>
              <w:t>блиским темама у предвидљивим, свакодневним ситуацијама;</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568"/>
              </w:numPr>
              <w:tabs>
                <w:tab w:val="left" w:pos="157"/>
              </w:tabs>
              <w:spacing w:before="69"/>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249"/>
        </w:trPr>
        <w:tc>
          <w:tcPr>
            <w:tcW w:w="1304" w:type="dxa"/>
            <w:tcBorders>
              <w:bottom w:val="nil"/>
            </w:tcBorders>
          </w:tcPr>
          <w:p w:rsidR="00041039" w:rsidRDefault="001B26CB">
            <w:pPr>
              <w:pStyle w:val="TableParagraph"/>
              <w:spacing w:before="18"/>
              <w:ind w:left="56"/>
              <w:rPr>
                <w:sz w:val="14"/>
              </w:rPr>
            </w:pPr>
            <w:r>
              <w:rPr>
                <w:color w:val="231F20"/>
                <w:sz w:val="14"/>
              </w:rPr>
              <w:t>МЕДИЈАЦИЈА</w:t>
            </w:r>
          </w:p>
        </w:tc>
        <w:tc>
          <w:tcPr>
            <w:tcW w:w="3118" w:type="dxa"/>
            <w:tcBorders>
              <w:bottom w:val="nil"/>
            </w:tcBorders>
          </w:tcPr>
          <w:p w:rsidR="00041039" w:rsidRDefault="001B26CB">
            <w:pPr>
              <w:pStyle w:val="TableParagraph"/>
              <w:numPr>
                <w:ilvl w:val="0"/>
                <w:numId w:val="567"/>
              </w:numPr>
              <w:tabs>
                <w:tab w:val="left" w:pos="157"/>
              </w:tabs>
              <w:spacing w:before="8"/>
              <w:rPr>
                <w:sz w:val="14"/>
              </w:rPr>
            </w:pPr>
            <w:r>
              <w:rPr>
                <w:color w:val="231F20"/>
                <w:sz w:val="14"/>
              </w:rPr>
              <w:t>сажима садржај текста, филма, разговара и</w:t>
            </w:r>
            <w:r>
              <w:rPr>
                <w:color w:val="231F20"/>
                <w:spacing w:val="-7"/>
                <w:sz w:val="14"/>
              </w:rPr>
              <w:t xml:space="preserve"> </w:t>
            </w:r>
            <w:r>
              <w:rPr>
                <w:color w:val="231F20"/>
                <w:sz w:val="14"/>
              </w:rPr>
              <w:t>сл.;</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566"/>
              </w:numPr>
              <w:tabs>
                <w:tab w:val="left" w:pos="157"/>
              </w:tabs>
              <w:spacing w:before="69"/>
              <w:ind w:right="134"/>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408"/>
        </w:trPr>
        <w:tc>
          <w:tcPr>
            <w:tcW w:w="1304" w:type="dxa"/>
            <w:tcBorders>
              <w:bottom w:val="nil"/>
            </w:tcBorders>
          </w:tcPr>
          <w:p w:rsidR="00041039" w:rsidRDefault="001B26CB">
            <w:pPr>
              <w:pStyle w:val="TableParagraph"/>
              <w:spacing w:before="18"/>
              <w:ind w:left="56" w:right="331"/>
              <w:rPr>
                <w:sz w:val="14"/>
              </w:rPr>
            </w:pPr>
            <w:r>
              <w:rPr>
                <w:color w:val="231F20"/>
                <w:sz w:val="14"/>
              </w:rPr>
              <w:t>МЕДИЈСКА ПИСМЕНОСТ</w:t>
            </w:r>
          </w:p>
        </w:tc>
        <w:tc>
          <w:tcPr>
            <w:tcW w:w="3118" w:type="dxa"/>
            <w:tcBorders>
              <w:bottom w:val="nil"/>
            </w:tcBorders>
          </w:tcPr>
          <w:p w:rsidR="00041039" w:rsidRDefault="001B26CB">
            <w:pPr>
              <w:pStyle w:val="TableParagraph"/>
              <w:numPr>
                <w:ilvl w:val="0"/>
                <w:numId w:val="565"/>
              </w:numPr>
              <w:tabs>
                <w:tab w:val="left" w:pos="157"/>
              </w:tabs>
              <w:spacing w:before="8"/>
              <w:rPr>
                <w:sz w:val="14"/>
              </w:rPr>
            </w:pPr>
            <w:r>
              <w:rPr>
                <w:color w:val="231F20"/>
                <w:sz w:val="14"/>
              </w:rPr>
              <w:t>идентификује различита гледишта о истој</w:t>
            </w:r>
            <w:r>
              <w:rPr>
                <w:color w:val="231F20"/>
                <w:spacing w:val="-15"/>
                <w:sz w:val="14"/>
              </w:rPr>
              <w:t xml:space="preserve"> </w:t>
            </w:r>
            <w:r>
              <w:rPr>
                <w:color w:val="231F20"/>
                <w:sz w:val="14"/>
              </w:rPr>
              <w:t>теми;</w:t>
            </w: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1221"/>
        </w:trPr>
        <w:tc>
          <w:tcPr>
            <w:tcW w:w="1304" w:type="dxa"/>
            <w:tcBorders>
              <w:top w:val="nil"/>
            </w:tcBorders>
          </w:tcPr>
          <w:p w:rsidR="00041039" w:rsidRDefault="001B26CB">
            <w:pPr>
              <w:pStyle w:val="TableParagraph"/>
              <w:numPr>
                <w:ilvl w:val="0"/>
                <w:numId w:val="564"/>
              </w:numPr>
              <w:tabs>
                <w:tab w:val="left" w:pos="157"/>
              </w:tabs>
              <w:spacing w:before="69"/>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r>
      <w:tr w:rsidR="00041039">
        <w:trPr>
          <w:trHeight w:val="680"/>
        </w:trPr>
        <w:tc>
          <w:tcPr>
            <w:tcW w:w="1304" w:type="dxa"/>
          </w:tcPr>
          <w:p w:rsidR="00041039" w:rsidRDefault="001B26CB">
            <w:pPr>
              <w:pStyle w:val="TableParagraph"/>
              <w:spacing w:before="18"/>
              <w:ind w:left="56"/>
              <w:rPr>
                <w:sz w:val="14"/>
              </w:rPr>
            </w:pPr>
            <w:r>
              <w:rPr>
                <w:color w:val="231F20"/>
                <w:sz w:val="14"/>
              </w:rPr>
              <w:t>ЗНАЊА О ЈЕЗИКУ</w:t>
            </w:r>
          </w:p>
        </w:tc>
        <w:tc>
          <w:tcPr>
            <w:tcW w:w="3118" w:type="dxa"/>
          </w:tcPr>
          <w:p w:rsidR="00041039" w:rsidRDefault="001B26CB">
            <w:pPr>
              <w:pStyle w:val="TableParagraph"/>
              <w:numPr>
                <w:ilvl w:val="0"/>
                <w:numId w:val="563"/>
              </w:numPr>
              <w:tabs>
                <w:tab w:val="left" w:pos="157"/>
              </w:tabs>
              <w:spacing w:before="8"/>
              <w:ind w:right="257"/>
              <w:rPr>
                <w:sz w:val="14"/>
              </w:rPr>
            </w:pPr>
            <w:r>
              <w:rPr>
                <w:color w:val="231F20"/>
                <w:sz w:val="14"/>
              </w:rPr>
              <w:t>коректно употребљава једноставне структу­ ре користећи зависне реченице (уз одређене системске</w:t>
            </w:r>
            <w:r>
              <w:rPr>
                <w:color w:val="231F20"/>
                <w:spacing w:val="-8"/>
                <w:sz w:val="14"/>
              </w:rPr>
              <w:t xml:space="preserve"> </w:t>
            </w:r>
            <w:r>
              <w:rPr>
                <w:color w:val="231F20"/>
                <w:sz w:val="14"/>
              </w:rPr>
              <w:t>елементарне</w:t>
            </w:r>
            <w:r>
              <w:rPr>
                <w:color w:val="231F20"/>
                <w:spacing w:val="-8"/>
                <w:sz w:val="14"/>
              </w:rPr>
              <w:t xml:space="preserve"> </w:t>
            </w:r>
            <w:r>
              <w:rPr>
                <w:color w:val="231F20"/>
                <w:sz w:val="14"/>
              </w:rPr>
              <w:t>грешке</w:t>
            </w:r>
            <w:r>
              <w:rPr>
                <w:color w:val="231F20"/>
                <w:spacing w:val="-8"/>
                <w:sz w:val="14"/>
              </w:rPr>
              <w:t xml:space="preserve"> </w:t>
            </w:r>
            <w:r>
              <w:rPr>
                <w:color w:val="231F20"/>
                <w:sz w:val="14"/>
              </w:rPr>
              <w:t>које</w:t>
            </w:r>
            <w:r>
              <w:rPr>
                <w:color w:val="231F20"/>
                <w:spacing w:val="-8"/>
                <w:sz w:val="14"/>
              </w:rPr>
              <w:t xml:space="preserve"> </w:t>
            </w:r>
            <w:r>
              <w:rPr>
                <w:color w:val="231F20"/>
                <w:sz w:val="14"/>
              </w:rPr>
              <w:t>глобални смисао не доводе у</w:t>
            </w:r>
            <w:r>
              <w:rPr>
                <w:color w:val="231F20"/>
                <w:spacing w:val="-2"/>
                <w:sz w:val="14"/>
              </w:rPr>
              <w:t xml:space="preserve"> </w:t>
            </w:r>
            <w:r>
              <w:rPr>
                <w:color w:val="231F20"/>
                <w:sz w:val="14"/>
              </w:rPr>
              <w:t>питање);</w:t>
            </w:r>
          </w:p>
        </w:tc>
        <w:tc>
          <w:tcPr>
            <w:tcW w:w="3288"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9"/>
        <w:rPr>
          <w:b/>
          <w:sz w:val="16"/>
        </w:rPr>
      </w:pPr>
    </w:p>
    <w:p w:rsidR="00041039" w:rsidRDefault="001B26CB">
      <w:pPr>
        <w:pStyle w:val="ListParagraph"/>
        <w:numPr>
          <w:ilvl w:val="0"/>
          <w:numId w:val="562"/>
        </w:numPr>
        <w:tabs>
          <w:tab w:val="left" w:pos="613"/>
        </w:tabs>
        <w:spacing w:line="203" w:lineRule="exact"/>
        <w:ind w:hanging="115"/>
        <w:rPr>
          <w:b/>
          <w:sz w:val="18"/>
        </w:rPr>
      </w:pPr>
      <w:r>
        <w:rPr>
          <w:b/>
          <w:color w:val="231F20"/>
          <w:sz w:val="18"/>
        </w:rPr>
        <w:t>РЕЧЕНИЦА</w:t>
      </w:r>
    </w:p>
    <w:p w:rsidR="00041039" w:rsidRDefault="001B26CB">
      <w:pPr>
        <w:pStyle w:val="Heading2"/>
        <w:numPr>
          <w:ilvl w:val="0"/>
          <w:numId w:val="582"/>
        </w:numPr>
        <w:tabs>
          <w:tab w:val="left" w:pos="633"/>
        </w:tabs>
        <w:ind w:firstLine="0"/>
      </w:pPr>
      <w:r>
        <w:rPr>
          <w:color w:val="231F20"/>
        </w:rPr>
        <w:t>Сви типови упитних</w:t>
      </w:r>
      <w:r>
        <w:rPr>
          <w:color w:val="231F20"/>
          <w:spacing w:val="-1"/>
        </w:rPr>
        <w:t xml:space="preserve"> </w:t>
      </w:r>
      <w:r>
        <w:rPr>
          <w:color w:val="231F20"/>
        </w:rPr>
        <w:t>реченица;</w:t>
      </w:r>
    </w:p>
    <w:p w:rsidR="00041039" w:rsidRDefault="001B26CB">
      <w:pPr>
        <w:pStyle w:val="ListParagraph"/>
        <w:numPr>
          <w:ilvl w:val="0"/>
          <w:numId w:val="582"/>
        </w:numPr>
        <w:tabs>
          <w:tab w:val="left" w:pos="633"/>
        </w:tabs>
        <w:ind w:firstLine="0"/>
        <w:rPr>
          <w:sz w:val="18"/>
        </w:rPr>
      </w:pPr>
      <w:r>
        <w:rPr>
          <w:color w:val="231F20"/>
          <w:sz w:val="18"/>
        </w:rPr>
        <w:t>Директна и индиректна</w:t>
      </w:r>
      <w:r>
        <w:rPr>
          <w:color w:val="231F20"/>
          <w:spacing w:val="-2"/>
          <w:sz w:val="18"/>
        </w:rPr>
        <w:t xml:space="preserve"> </w:t>
      </w:r>
      <w:r>
        <w:rPr>
          <w:color w:val="231F20"/>
          <w:sz w:val="18"/>
        </w:rPr>
        <w:t>питања;</w:t>
      </w:r>
    </w:p>
    <w:p w:rsidR="00041039" w:rsidRDefault="001B26CB">
      <w:pPr>
        <w:pStyle w:val="ListParagraph"/>
        <w:numPr>
          <w:ilvl w:val="0"/>
          <w:numId w:val="582"/>
        </w:numPr>
        <w:tabs>
          <w:tab w:val="left" w:pos="633"/>
        </w:tabs>
        <w:ind w:firstLine="0"/>
        <w:rPr>
          <w:sz w:val="18"/>
        </w:rPr>
      </w:pPr>
      <w:r>
        <w:rPr>
          <w:color w:val="231F20"/>
          <w:sz w:val="18"/>
        </w:rPr>
        <w:t>Одређене релативне</w:t>
      </w:r>
      <w:r>
        <w:rPr>
          <w:color w:val="231F20"/>
          <w:spacing w:val="-1"/>
          <w:sz w:val="18"/>
        </w:rPr>
        <w:t xml:space="preserve"> </w:t>
      </w:r>
      <w:r>
        <w:rPr>
          <w:color w:val="231F20"/>
          <w:sz w:val="18"/>
        </w:rPr>
        <w:t>клаузе;</w:t>
      </w:r>
    </w:p>
    <w:p w:rsidR="00041039" w:rsidRDefault="001B26CB">
      <w:pPr>
        <w:pStyle w:val="ListParagraph"/>
        <w:numPr>
          <w:ilvl w:val="0"/>
          <w:numId w:val="582"/>
        </w:numPr>
        <w:tabs>
          <w:tab w:val="left" w:pos="633"/>
        </w:tabs>
        <w:spacing w:line="203" w:lineRule="exact"/>
        <w:ind w:firstLine="0"/>
        <w:rPr>
          <w:sz w:val="18"/>
        </w:rPr>
      </w:pPr>
      <w:r>
        <w:rPr>
          <w:color w:val="231F20"/>
          <w:sz w:val="18"/>
        </w:rPr>
        <w:t>Сложене реченице: временске клаузе, узрочне клаузе, допусне</w:t>
      </w:r>
      <w:r>
        <w:rPr>
          <w:color w:val="231F20"/>
          <w:spacing w:val="-4"/>
          <w:sz w:val="18"/>
        </w:rPr>
        <w:t xml:space="preserve"> </w:t>
      </w:r>
      <w:r>
        <w:rPr>
          <w:color w:val="231F20"/>
          <w:sz w:val="18"/>
        </w:rPr>
        <w:t>клаузе.</w:t>
      </w:r>
    </w:p>
    <w:p w:rsidR="00041039" w:rsidRDefault="00041039">
      <w:pPr>
        <w:pStyle w:val="BodyText"/>
        <w:spacing w:before="9"/>
        <w:rPr>
          <w:sz w:val="16"/>
        </w:rPr>
      </w:pPr>
    </w:p>
    <w:p w:rsidR="00041039" w:rsidRDefault="001B26CB">
      <w:pPr>
        <w:pStyle w:val="ListParagraph"/>
        <w:numPr>
          <w:ilvl w:val="0"/>
          <w:numId w:val="562"/>
        </w:numPr>
        <w:tabs>
          <w:tab w:val="left" w:pos="683"/>
        </w:tabs>
        <w:spacing w:line="203" w:lineRule="exact"/>
        <w:ind w:left="682" w:hanging="185"/>
        <w:rPr>
          <w:b/>
          <w:sz w:val="18"/>
        </w:rPr>
      </w:pPr>
      <w:r>
        <w:rPr>
          <w:b/>
          <w:color w:val="231F20"/>
          <w:sz w:val="18"/>
        </w:rPr>
        <w:t>ИМЕНИЧКА</w:t>
      </w:r>
      <w:r>
        <w:rPr>
          <w:b/>
          <w:color w:val="231F20"/>
          <w:spacing w:val="-2"/>
          <w:sz w:val="18"/>
        </w:rPr>
        <w:t xml:space="preserve"> </w:t>
      </w:r>
      <w:r>
        <w:rPr>
          <w:b/>
          <w:color w:val="231F20"/>
          <w:sz w:val="18"/>
        </w:rPr>
        <w:t>ГРУПА</w:t>
      </w:r>
    </w:p>
    <w:p w:rsidR="00041039" w:rsidRDefault="001B26CB">
      <w:pPr>
        <w:pStyle w:val="ListParagraph"/>
        <w:numPr>
          <w:ilvl w:val="0"/>
          <w:numId w:val="561"/>
        </w:numPr>
        <w:tabs>
          <w:tab w:val="left" w:pos="678"/>
        </w:tabs>
        <w:ind w:firstLine="0"/>
        <w:rPr>
          <w:sz w:val="18"/>
        </w:rPr>
      </w:pPr>
      <w:r>
        <w:rPr>
          <w:color w:val="231F20"/>
          <w:sz w:val="18"/>
        </w:rPr>
        <w:t>Члан</w:t>
      </w:r>
    </w:p>
    <w:p w:rsidR="00041039" w:rsidRDefault="001B26CB">
      <w:pPr>
        <w:pStyle w:val="ListParagraph"/>
        <w:numPr>
          <w:ilvl w:val="0"/>
          <w:numId w:val="582"/>
        </w:numPr>
        <w:tabs>
          <w:tab w:val="left" w:pos="633"/>
        </w:tabs>
        <w:ind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numPr>
          <w:ilvl w:val="0"/>
          <w:numId w:val="561"/>
        </w:numPr>
        <w:tabs>
          <w:tab w:val="left" w:pos="678"/>
        </w:tabs>
        <w:ind w:firstLine="0"/>
        <w:rPr>
          <w:sz w:val="18"/>
        </w:rPr>
      </w:pPr>
      <w:r>
        <w:rPr>
          <w:color w:val="231F20"/>
          <w:sz w:val="18"/>
        </w:rPr>
        <w:t>Именице</w:t>
      </w:r>
    </w:p>
    <w:p w:rsidR="00041039" w:rsidRDefault="001B26CB">
      <w:pPr>
        <w:pStyle w:val="ListParagraph"/>
        <w:numPr>
          <w:ilvl w:val="0"/>
          <w:numId w:val="582"/>
        </w:numPr>
        <w:tabs>
          <w:tab w:val="left" w:pos="633"/>
        </w:tabs>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561"/>
        </w:numPr>
        <w:tabs>
          <w:tab w:val="left" w:pos="678"/>
        </w:tabs>
        <w:spacing w:before="2" w:line="232" w:lineRule="auto"/>
        <w:ind w:right="8674" w:firstLine="0"/>
        <w:rPr>
          <w:sz w:val="18"/>
        </w:rPr>
      </w:pPr>
      <w:r>
        <w:rPr>
          <w:color w:val="231F20"/>
          <w:sz w:val="18"/>
        </w:rPr>
        <w:t>Заменички облици а) Заменице</w:t>
      </w:r>
    </w:p>
    <w:p w:rsidR="00041039" w:rsidRDefault="001B26CB">
      <w:pPr>
        <w:pStyle w:val="ListParagraph"/>
        <w:numPr>
          <w:ilvl w:val="0"/>
          <w:numId w:val="582"/>
        </w:numPr>
        <w:tabs>
          <w:tab w:val="left" w:pos="633"/>
        </w:tabs>
        <w:spacing w:line="197"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582"/>
        </w:numPr>
        <w:tabs>
          <w:tab w:val="left" w:pos="633"/>
        </w:tabs>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582"/>
        </w:numPr>
        <w:tabs>
          <w:tab w:val="left" w:pos="633"/>
        </w:tabs>
        <w:spacing w:before="1" w:line="232"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582"/>
        </w:numPr>
        <w:tabs>
          <w:tab w:val="left" w:pos="633"/>
        </w:tabs>
        <w:spacing w:line="197"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582"/>
        </w:numPr>
        <w:tabs>
          <w:tab w:val="left" w:pos="633"/>
        </w:tabs>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numPr>
          <w:ilvl w:val="0"/>
          <w:numId w:val="582"/>
        </w:numPr>
        <w:tabs>
          <w:tab w:val="left" w:pos="633"/>
        </w:tabs>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561"/>
        </w:numPr>
        <w:tabs>
          <w:tab w:val="left" w:pos="678"/>
        </w:tabs>
        <w:ind w:firstLine="0"/>
        <w:rPr>
          <w:sz w:val="18"/>
        </w:rPr>
      </w:pPr>
      <w:r>
        <w:rPr>
          <w:color w:val="231F20"/>
          <w:sz w:val="18"/>
        </w:rPr>
        <w:t>Придеви</w:t>
      </w:r>
    </w:p>
    <w:p w:rsidR="00041039" w:rsidRDefault="001B26CB">
      <w:pPr>
        <w:pStyle w:val="ListParagraph"/>
        <w:numPr>
          <w:ilvl w:val="0"/>
          <w:numId w:val="582"/>
        </w:numPr>
        <w:tabs>
          <w:tab w:val="left" w:pos="633"/>
        </w:tabs>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200" w:lineRule="exact"/>
        <w:ind w:left="497"/>
        <w:rPr>
          <w:i/>
          <w:sz w:val="18"/>
        </w:rPr>
      </w:pPr>
      <w:r>
        <w:rPr>
          <w:i/>
          <w:color w:val="231F20"/>
          <w:sz w:val="18"/>
        </w:rPr>
        <w:t>– too / not…enough / not as…(as) /…than.</w:t>
      </w:r>
    </w:p>
    <w:p w:rsidR="00041039" w:rsidRDefault="001B26CB">
      <w:pPr>
        <w:pStyle w:val="ListParagraph"/>
        <w:numPr>
          <w:ilvl w:val="0"/>
          <w:numId w:val="561"/>
        </w:numPr>
        <w:tabs>
          <w:tab w:val="left" w:pos="678"/>
        </w:tabs>
        <w:ind w:firstLine="0"/>
        <w:rPr>
          <w:sz w:val="18"/>
        </w:rPr>
      </w:pPr>
      <w:r>
        <w:rPr>
          <w:color w:val="231F20"/>
          <w:sz w:val="18"/>
        </w:rPr>
        <w:t>Бројеви</w:t>
      </w:r>
    </w:p>
    <w:p w:rsidR="00041039" w:rsidRDefault="001B26CB">
      <w:pPr>
        <w:pStyle w:val="ListParagraph"/>
        <w:numPr>
          <w:ilvl w:val="0"/>
          <w:numId w:val="560"/>
        </w:numPr>
        <w:tabs>
          <w:tab w:val="left" w:pos="633"/>
        </w:tabs>
        <w:ind w:firstLine="0"/>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561"/>
        </w:numPr>
        <w:tabs>
          <w:tab w:val="left" w:pos="678"/>
        </w:tabs>
        <w:spacing w:line="203" w:lineRule="exact"/>
        <w:ind w:firstLine="0"/>
        <w:rPr>
          <w:sz w:val="18"/>
        </w:rPr>
      </w:pPr>
      <w:r>
        <w:rPr>
          <w:color w:val="231F20"/>
          <w:sz w:val="18"/>
        </w:rPr>
        <w:t>Квантификатори</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pStyle w:val="ListParagraph"/>
        <w:numPr>
          <w:ilvl w:val="0"/>
          <w:numId w:val="562"/>
        </w:numPr>
        <w:tabs>
          <w:tab w:val="left" w:pos="753"/>
        </w:tabs>
        <w:spacing w:before="80" w:line="203" w:lineRule="exact"/>
        <w:ind w:left="752" w:hanging="255"/>
        <w:rPr>
          <w:b/>
          <w:sz w:val="18"/>
        </w:rPr>
      </w:pPr>
      <w:r>
        <w:rPr>
          <w:b/>
          <w:color w:val="231F20"/>
          <w:spacing w:val="-6"/>
          <w:sz w:val="18"/>
        </w:rPr>
        <w:lastRenderedPageBreak/>
        <w:t>ГЛAГОЛСКА</w:t>
      </w:r>
      <w:r>
        <w:rPr>
          <w:b/>
          <w:color w:val="231F20"/>
          <w:spacing w:val="-1"/>
          <w:sz w:val="18"/>
        </w:rPr>
        <w:t xml:space="preserve"> </w:t>
      </w:r>
      <w:r>
        <w:rPr>
          <w:b/>
          <w:color w:val="231F20"/>
          <w:sz w:val="18"/>
        </w:rPr>
        <w:t>ГРУПА</w:t>
      </w:r>
    </w:p>
    <w:p w:rsidR="00041039" w:rsidRDefault="001B26CB">
      <w:pPr>
        <w:pStyle w:val="ListParagraph"/>
        <w:numPr>
          <w:ilvl w:val="0"/>
          <w:numId w:val="559"/>
        </w:numPr>
        <w:tabs>
          <w:tab w:val="left" w:pos="678"/>
        </w:tabs>
        <w:rPr>
          <w:sz w:val="18"/>
        </w:rPr>
      </w:pPr>
      <w:r>
        <w:rPr>
          <w:color w:val="231F20"/>
          <w:spacing w:val="-4"/>
          <w:sz w:val="18"/>
        </w:rPr>
        <w:t>Глаголи</w:t>
      </w:r>
    </w:p>
    <w:p w:rsidR="00041039" w:rsidRDefault="001B26CB">
      <w:pPr>
        <w:pStyle w:val="ListParagraph"/>
        <w:numPr>
          <w:ilvl w:val="0"/>
          <w:numId w:val="560"/>
        </w:numPr>
        <w:tabs>
          <w:tab w:val="left" w:pos="633"/>
        </w:tabs>
        <w:ind w:left="632"/>
        <w:rPr>
          <w:sz w:val="18"/>
        </w:rPr>
      </w:pPr>
      <w:r>
        <w:rPr>
          <w:color w:val="231F20"/>
          <w:sz w:val="18"/>
        </w:rPr>
        <w:t>Обновити разлику у употреби Present Simple, Present Continuous, Past Simple, Past</w:t>
      </w:r>
      <w:r>
        <w:rPr>
          <w:color w:val="231F20"/>
          <w:spacing w:val="-13"/>
          <w:sz w:val="18"/>
        </w:rPr>
        <w:t xml:space="preserve"> </w:t>
      </w:r>
      <w:r>
        <w:rPr>
          <w:color w:val="231F20"/>
          <w:sz w:val="18"/>
        </w:rPr>
        <w:t>Continuous;</w:t>
      </w:r>
    </w:p>
    <w:p w:rsidR="00041039" w:rsidRDefault="001B26CB">
      <w:pPr>
        <w:pStyle w:val="ListParagraph"/>
        <w:numPr>
          <w:ilvl w:val="0"/>
          <w:numId w:val="560"/>
        </w:numPr>
        <w:tabs>
          <w:tab w:val="left" w:pos="633"/>
        </w:tabs>
        <w:ind w:left="632"/>
        <w:rPr>
          <w:sz w:val="18"/>
        </w:rPr>
      </w:pPr>
      <w:r>
        <w:rPr>
          <w:color w:val="231F20"/>
          <w:sz w:val="18"/>
        </w:rPr>
        <w:t>Обновити све употребе Present</w:t>
      </w:r>
      <w:r>
        <w:rPr>
          <w:color w:val="231F20"/>
          <w:spacing w:val="-3"/>
          <w:sz w:val="18"/>
        </w:rPr>
        <w:t xml:space="preserve"> </w:t>
      </w:r>
      <w:r>
        <w:rPr>
          <w:color w:val="231F20"/>
          <w:sz w:val="18"/>
        </w:rPr>
        <w:t>Perfect;</w:t>
      </w:r>
    </w:p>
    <w:p w:rsidR="00041039" w:rsidRDefault="001B26CB">
      <w:pPr>
        <w:pStyle w:val="ListParagraph"/>
        <w:numPr>
          <w:ilvl w:val="0"/>
          <w:numId w:val="560"/>
        </w:numPr>
        <w:tabs>
          <w:tab w:val="left" w:pos="633"/>
        </w:tabs>
        <w:ind w:left="632"/>
        <w:rPr>
          <w:sz w:val="18"/>
        </w:rPr>
      </w:pPr>
      <w:r>
        <w:rPr>
          <w:color w:val="231F20"/>
          <w:sz w:val="18"/>
        </w:rPr>
        <w:t>Used</w:t>
      </w:r>
      <w:r>
        <w:rPr>
          <w:color w:val="231F20"/>
          <w:spacing w:val="-2"/>
          <w:sz w:val="18"/>
        </w:rPr>
        <w:t xml:space="preserve"> </w:t>
      </w:r>
      <w:r>
        <w:rPr>
          <w:color w:val="231F20"/>
          <w:sz w:val="18"/>
        </w:rPr>
        <w:t>to;</w:t>
      </w:r>
    </w:p>
    <w:p w:rsidR="00041039" w:rsidRDefault="001B26CB">
      <w:pPr>
        <w:pStyle w:val="ListParagraph"/>
        <w:numPr>
          <w:ilvl w:val="0"/>
          <w:numId w:val="560"/>
        </w:numPr>
        <w:tabs>
          <w:tab w:val="left" w:pos="633"/>
        </w:tabs>
        <w:ind w:left="632"/>
        <w:rPr>
          <w:sz w:val="18"/>
        </w:rPr>
      </w:pPr>
      <w:r>
        <w:rPr>
          <w:color w:val="231F20"/>
          <w:sz w:val="18"/>
        </w:rPr>
        <w:t>Начини изражавања будућности, планова у будућности (going to,</w:t>
      </w:r>
      <w:r>
        <w:rPr>
          <w:color w:val="231F20"/>
          <w:spacing w:val="-5"/>
          <w:sz w:val="18"/>
        </w:rPr>
        <w:t xml:space="preserve"> </w:t>
      </w:r>
      <w:r>
        <w:rPr>
          <w:color w:val="231F20"/>
          <w:sz w:val="18"/>
        </w:rPr>
        <w:t>will);</w:t>
      </w:r>
    </w:p>
    <w:p w:rsidR="00041039" w:rsidRDefault="001B26CB">
      <w:pPr>
        <w:pStyle w:val="ListParagraph"/>
        <w:numPr>
          <w:ilvl w:val="0"/>
          <w:numId w:val="560"/>
        </w:numPr>
        <w:tabs>
          <w:tab w:val="left" w:pos="633"/>
        </w:tabs>
        <w:ind w:left="632"/>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numPr>
          <w:ilvl w:val="0"/>
          <w:numId w:val="560"/>
        </w:numPr>
        <w:tabs>
          <w:tab w:val="left" w:pos="633"/>
        </w:tabs>
        <w:ind w:left="632"/>
        <w:rPr>
          <w:sz w:val="18"/>
        </w:rPr>
      </w:pPr>
      <w:r>
        <w:rPr>
          <w:color w:val="231F20"/>
          <w:sz w:val="18"/>
        </w:rPr>
        <w:t xml:space="preserve">Прилози, извођење прилога и употреба, прилози вероватноће са </w:t>
      </w:r>
      <w:r>
        <w:rPr>
          <w:color w:val="231F20"/>
          <w:spacing w:val="-3"/>
          <w:sz w:val="18"/>
        </w:rPr>
        <w:t xml:space="preserve">may, </w:t>
      </w:r>
      <w:r>
        <w:rPr>
          <w:color w:val="231F20"/>
          <w:sz w:val="18"/>
        </w:rPr>
        <w:t>might и</w:t>
      </w:r>
      <w:r>
        <w:rPr>
          <w:color w:val="231F20"/>
          <w:spacing w:val="-7"/>
          <w:sz w:val="18"/>
        </w:rPr>
        <w:t xml:space="preserve"> </w:t>
      </w:r>
      <w:r>
        <w:rPr>
          <w:color w:val="231F20"/>
          <w:sz w:val="18"/>
        </w:rPr>
        <w:t>will;</w:t>
      </w:r>
    </w:p>
    <w:p w:rsidR="00041039" w:rsidRDefault="001B26CB">
      <w:pPr>
        <w:pStyle w:val="ListParagraph"/>
        <w:numPr>
          <w:ilvl w:val="0"/>
          <w:numId w:val="560"/>
        </w:numPr>
        <w:tabs>
          <w:tab w:val="left" w:pos="633"/>
        </w:tabs>
        <w:ind w:left="632"/>
        <w:rPr>
          <w:sz w:val="18"/>
        </w:rPr>
      </w:pPr>
      <w:r>
        <w:rPr>
          <w:color w:val="231F20"/>
          <w:sz w:val="18"/>
        </w:rPr>
        <w:t>Пасивне конструкције ­ садашње и прошло време ­ the Presen</w:t>
      </w:r>
      <w:r>
        <w:rPr>
          <w:color w:val="231F20"/>
          <w:sz w:val="18"/>
        </w:rPr>
        <w:t>t Simple, Past Simple (продуктивно и</w:t>
      </w:r>
      <w:r>
        <w:rPr>
          <w:color w:val="231F20"/>
          <w:spacing w:val="-24"/>
          <w:sz w:val="18"/>
        </w:rPr>
        <w:t xml:space="preserve"> </w:t>
      </w:r>
      <w:r>
        <w:rPr>
          <w:color w:val="231F20"/>
          <w:sz w:val="18"/>
        </w:rPr>
        <w:t>рецептивно);</w:t>
      </w:r>
    </w:p>
    <w:p w:rsidR="00041039" w:rsidRDefault="001B26CB">
      <w:pPr>
        <w:pStyle w:val="ListParagraph"/>
        <w:numPr>
          <w:ilvl w:val="0"/>
          <w:numId w:val="560"/>
        </w:numPr>
        <w:tabs>
          <w:tab w:val="left" w:pos="633"/>
        </w:tabs>
        <w:ind w:left="632"/>
        <w:rPr>
          <w:sz w:val="18"/>
        </w:rPr>
      </w:pPr>
      <w:r>
        <w:rPr>
          <w:color w:val="231F20"/>
          <w:sz w:val="18"/>
        </w:rPr>
        <w:t>Present Perfect Passive</w:t>
      </w:r>
      <w:r>
        <w:rPr>
          <w:color w:val="231F20"/>
          <w:spacing w:val="-4"/>
          <w:sz w:val="18"/>
        </w:rPr>
        <w:t xml:space="preserve"> </w:t>
      </w:r>
      <w:r>
        <w:rPr>
          <w:color w:val="231F20"/>
          <w:sz w:val="18"/>
        </w:rPr>
        <w:t>(рецептивно).</w:t>
      </w:r>
    </w:p>
    <w:p w:rsidR="00041039" w:rsidRDefault="001B26CB">
      <w:pPr>
        <w:pStyle w:val="ListParagraph"/>
        <w:numPr>
          <w:ilvl w:val="0"/>
          <w:numId w:val="559"/>
        </w:numPr>
        <w:tabs>
          <w:tab w:val="left" w:pos="678"/>
        </w:tabs>
        <w:rPr>
          <w:sz w:val="18"/>
        </w:rPr>
      </w:pPr>
      <w:r>
        <w:rPr>
          <w:color w:val="231F20"/>
          <w:sz w:val="18"/>
        </w:rPr>
        <w:t>Предлози и најчешћи прилози за оријентацију у времену и</w:t>
      </w:r>
      <w:r>
        <w:rPr>
          <w:color w:val="231F20"/>
          <w:spacing w:val="-8"/>
          <w:sz w:val="18"/>
        </w:rPr>
        <w:t xml:space="preserve"> </w:t>
      </w:r>
      <w:r>
        <w:rPr>
          <w:color w:val="231F20"/>
          <w:spacing w:val="-3"/>
          <w:sz w:val="18"/>
        </w:rPr>
        <w:t>простору.</w:t>
      </w:r>
    </w:p>
    <w:p w:rsidR="00041039" w:rsidRDefault="001B26CB">
      <w:pPr>
        <w:pStyle w:val="ListParagraph"/>
        <w:numPr>
          <w:ilvl w:val="0"/>
          <w:numId w:val="559"/>
        </w:numPr>
        <w:tabs>
          <w:tab w:val="left" w:pos="678"/>
        </w:tabs>
        <w:spacing w:line="203" w:lineRule="exact"/>
        <w:rPr>
          <w:sz w:val="18"/>
        </w:rPr>
      </w:pPr>
      <w:r>
        <w:rPr>
          <w:color w:val="231F20"/>
          <w:sz w:val="18"/>
        </w:rPr>
        <w:t>Први кондиционал и други кондиционал (рецептивно и</w:t>
      </w:r>
      <w:r>
        <w:rPr>
          <w:color w:val="231F20"/>
          <w:spacing w:val="-9"/>
          <w:sz w:val="18"/>
        </w:rPr>
        <w:t xml:space="preserve"> </w:t>
      </w:r>
      <w:r>
        <w:rPr>
          <w:color w:val="231F20"/>
          <w:sz w:val="18"/>
        </w:rPr>
        <w:t>продуктивно).</w:t>
      </w:r>
    </w:p>
    <w:p w:rsidR="00041039" w:rsidRDefault="00041039">
      <w:pPr>
        <w:pStyle w:val="BodyText"/>
        <w:rPr>
          <w:sz w:val="23"/>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ЕНГЛЕСКИ</w:t>
      </w:r>
      <w:r>
        <w:rPr>
          <w:b/>
          <w:color w:val="231F20"/>
          <w:sz w:val="14"/>
        </w:rPr>
        <w:t xml:space="preserve"> ЈЕЗИК</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358"/>
        </w:trPr>
        <w:tc>
          <w:tcPr>
            <w:tcW w:w="1304" w:type="dxa"/>
            <w:shd w:val="clear" w:color="auto" w:fill="E6E7E8"/>
          </w:tcPr>
          <w:p w:rsidR="00041039" w:rsidRDefault="001B26CB">
            <w:pPr>
              <w:pStyle w:val="TableParagraph"/>
              <w:spacing w:before="96"/>
              <w:ind w:left="34" w:right="24"/>
              <w:jc w:val="center"/>
              <w:rPr>
                <w:b/>
                <w:sz w:val="14"/>
              </w:rPr>
            </w:pPr>
            <w:r>
              <w:rPr>
                <w:b/>
                <w:color w:val="231F20"/>
                <w:sz w:val="14"/>
              </w:rPr>
              <w:t>ЦИЉ</w:t>
            </w:r>
          </w:p>
        </w:tc>
        <w:tc>
          <w:tcPr>
            <w:tcW w:w="3118" w:type="dxa"/>
            <w:shd w:val="clear" w:color="auto" w:fill="E6E7E8"/>
          </w:tcPr>
          <w:p w:rsidR="00041039" w:rsidRDefault="001B26CB">
            <w:pPr>
              <w:pStyle w:val="TableParagraph"/>
              <w:spacing w:before="16" w:line="161" w:lineRule="exact"/>
              <w:ind w:left="124" w:right="114"/>
              <w:jc w:val="center"/>
              <w:rPr>
                <w:b/>
                <w:sz w:val="14"/>
              </w:rPr>
            </w:pPr>
            <w:r>
              <w:rPr>
                <w:b/>
                <w:color w:val="231F20"/>
                <w:sz w:val="14"/>
              </w:rPr>
              <w:t>ИСХОДИ</w:t>
            </w:r>
          </w:p>
          <w:p w:rsidR="00041039" w:rsidRDefault="001B26CB">
            <w:pPr>
              <w:pStyle w:val="TableParagraph"/>
              <w:spacing w:line="161" w:lineRule="exact"/>
              <w:ind w:left="124" w:right="114"/>
              <w:jc w:val="center"/>
              <w:rPr>
                <w:b/>
                <w:sz w:val="14"/>
              </w:rPr>
            </w:pPr>
            <w:r>
              <w:rPr>
                <w:color w:val="231F20"/>
                <w:sz w:val="14"/>
              </w:rPr>
              <w:t>По завршетку теме ученик ће бити у стању да:</w:t>
            </w:r>
            <w:r>
              <w:rPr>
                <w:b/>
                <w:color w:val="231F20"/>
                <w:sz w:val="14"/>
              </w:rPr>
              <w:t>:</w:t>
            </w:r>
          </w:p>
        </w:tc>
        <w:tc>
          <w:tcPr>
            <w:tcW w:w="3288" w:type="dxa"/>
            <w:shd w:val="clear" w:color="auto" w:fill="E6E7E8"/>
          </w:tcPr>
          <w:p w:rsidR="00041039" w:rsidRDefault="001B26CB">
            <w:pPr>
              <w:pStyle w:val="TableParagraph"/>
              <w:spacing w:before="96"/>
              <w:ind w:left="579"/>
              <w:rPr>
                <w:b/>
                <w:sz w:val="14"/>
              </w:rPr>
            </w:pPr>
            <w:r>
              <w:rPr>
                <w:b/>
                <w:color w:val="231F20"/>
                <w:sz w:val="14"/>
              </w:rPr>
              <w:t>ПРЕПОРУЧЕНЕ ОПШТЕ ТЕМЕ</w:t>
            </w:r>
          </w:p>
        </w:tc>
        <w:tc>
          <w:tcPr>
            <w:tcW w:w="2834" w:type="dxa"/>
            <w:shd w:val="clear" w:color="auto" w:fill="E6E7E8"/>
          </w:tcPr>
          <w:p w:rsidR="00041039" w:rsidRDefault="001B26CB">
            <w:pPr>
              <w:pStyle w:val="TableParagraph"/>
              <w:spacing w:before="96"/>
              <w:ind w:left="324"/>
              <w:rPr>
                <w:b/>
                <w:sz w:val="14"/>
              </w:rPr>
            </w:pPr>
            <w:r>
              <w:rPr>
                <w:b/>
                <w:color w:val="231F20"/>
                <w:sz w:val="14"/>
              </w:rPr>
              <w:t>КОМУНИКАТИВНЕ ФУНКЦИЈЕ</w:t>
            </w:r>
          </w:p>
        </w:tc>
      </w:tr>
      <w:tr w:rsidR="00041039">
        <w:trPr>
          <w:trHeight w:val="248"/>
        </w:trPr>
        <w:tc>
          <w:tcPr>
            <w:tcW w:w="1304" w:type="dxa"/>
            <w:tcBorders>
              <w:bottom w:val="nil"/>
            </w:tcBorders>
          </w:tcPr>
          <w:p w:rsidR="00041039" w:rsidRDefault="001B26CB">
            <w:pPr>
              <w:pStyle w:val="TableParagraph"/>
              <w:spacing w:before="18"/>
              <w:ind w:left="56"/>
              <w:rPr>
                <w:sz w:val="14"/>
              </w:rPr>
            </w:pPr>
            <w:r>
              <w:rPr>
                <w:color w:val="231F20"/>
                <w:sz w:val="14"/>
              </w:rPr>
              <w:t>СЛУШАЊЕ</w:t>
            </w:r>
          </w:p>
        </w:tc>
        <w:tc>
          <w:tcPr>
            <w:tcW w:w="3118" w:type="dxa"/>
            <w:vMerge w:val="restart"/>
          </w:tcPr>
          <w:p w:rsidR="00041039" w:rsidRDefault="001B26CB">
            <w:pPr>
              <w:pStyle w:val="TableParagraph"/>
              <w:numPr>
                <w:ilvl w:val="0"/>
                <w:numId w:val="558"/>
              </w:numPr>
              <w:tabs>
                <w:tab w:val="left" w:pos="157"/>
              </w:tabs>
              <w:spacing w:before="8"/>
              <w:ind w:right="140"/>
              <w:rPr>
                <w:sz w:val="14"/>
              </w:rPr>
            </w:pPr>
            <w:r>
              <w:rPr>
                <w:color w:val="231F20"/>
                <w:sz w:val="14"/>
              </w:rPr>
              <w:t>разуме суштину битних информација са</w:t>
            </w:r>
            <w:r>
              <w:rPr>
                <w:color w:val="231F20"/>
                <w:spacing w:val="-13"/>
                <w:sz w:val="14"/>
              </w:rPr>
              <w:t xml:space="preserve"> </w:t>
            </w:r>
            <w:r>
              <w:rPr>
                <w:color w:val="231F20"/>
                <w:sz w:val="14"/>
              </w:rPr>
              <w:t xml:space="preserve">радија или телевизије, презентација или дискусија о актуелним збивањима или о стварима које се њега тичу на приватном и прoфесионалном </w:t>
            </w:r>
            <w:r>
              <w:rPr>
                <w:color w:val="231F20"/>
                <w:spacing w:val="-4"/>
                <w:sz w:val="14"/>
              </w:rPr>
              <w:t xml:space="preserve">плану, </w:t>
            </w:r>
            <w:r>
              <w:rPr>
                <w:color w:val="231F20"/>
                <w:spacing w:val="-3"/>
                <w:sz w:val="14"/>
              </w:rPr>
              <w:t xml:space="preserve">уколико </w:t>
            </w:r>
            <w:r>
              <w:rPr>
                <w:color w:val="231F20"/>
                <w:sz w:val="14"/>
              </w:rPr>
              <w:t>се говори разговетно стандар­ дним</w:t>
            </w:r>
            <w:r>
              <w:rPr>
                <w:color w:val="231F20"/>
                <w:spacing w:val="-1"/>
                <w:sz w:val="14"/>
              </w:rPr>
              <w:t xml:space="preserve"> </w:t>
            </w:r>
            <w:r>
              <w:rPr>
                <w:color w:val="231F20"/>
                <w:sz w:val="14"/>
              </w:rPr>
              <w:t>језиком;</w:t>
            </w:r>
          </w:p>
        </w:tc>
        <w:tc>
          <w:tcPr>
            <w:tcW w:w="3288" w:type="dxa"/>
            <w:vMerge w:val="restart"/>
          </w:tcPr>
          <w:p w:rsidR="00041039" w:rsidRDefault="001B26CB">
            <w:pPr>
              <w:pStyle w:val="TableParagraph"/>
              <w:spacing w:before="18" w:line="155" w:lineRule="exact"/>
              <w:ind w:left="56"/>
              <w:rPr>
                <w:b/>
                <w:sz w:val="14"/>
              </w:rPr>
            </w:pPr>
            <w:r>
              <w:rPr>
                <w:b/>
                <w:color w:val="231F20"/>
                <w:sz w:val="14"/>
              </w:rPr>
              <w:t>OПШТЕ ТЕМЕ</w:t>
            </w:r>
          </w:p>
          <w:p w:rsidR="00041039" w:rsidRDefault="001B26CB">
            <w:pPr>
              <w:pStyle w:val="TableParagraph"/>
              <w:numPr>
                <w:ilvl w:val="0"/>
                <w:numId w:val="557"/>
              </w:numPr>
              <w:tabs>
                <w:tab w:val="left" w:pos="157"/>
              </w:tabs>
              <w:spacing w:line="237" w:lineRule="auto"/>
              <w:ind w:right="171"/>
              <w:rPr>
                <w:sz w:val="14"/>
              </w:rPr>
            </w:pPr>
            <w:r>
              <w:rPr>
                <w:color w:val="231F20"/>
                <w:sz w:val="14"/>
              </w:rPr>
              <w:t xml:space="preserve">Свакодневни живот (планови за </w:t>
            </w:r>
            <w:r>
              <w:rPr>
                <w:color w:val="231F20"/>
                <w:spacing w:val="-3"/>
                <w:sz w:val="14"/>
              </w:rPr>
              <w:t xml:space="preserve">будућност, </w:t>
            </w:r>
            <w:r>
              <w:rPr>
                <w:color w:val="231F20"/>
                <w:sz w:val="14"/>
              </w:rPr>
              <w:t>посао и</w:t>
            </w:r>
            <w:r>
              <w:rPr>
                <w:color w:val="231F20"/>
                <w:spacing w:val="-2"/>
                <w:sz w:val="14"/>
              </w:rPr>
              <w:t xml:space="preserve"> </w:t>
            </w:r>
            <w:r>
              <w:rPr>
                <w:color w:val="231F20"/>
                <w:sz w:val="14"/>
              </w:rPr>
              <w:t>каријера).</w:t>
            </w:r>
          </w:p>
          <w:p w:rsidR="00041039" w:rsidRDefault="001B26CB">
            <w:pPr>
              <w:pStyle w:val="TableParagraph"/>
              <w:numPr>
                <w:ilvl w:val="0"/>
                <w:numId w:val="557"/>
              </w:numPr>
              <w:tabs>
                <w:tab w:val="left" w:pos="157"/>
              </w:tabs>
              <w:spacing w:line="160" w:lineRule="exact"/>
              <w:ind w:right="226"/>
              <w:rPr>
                <w:sz w:val="14"/>
              </w:rPr>
            </w:pPr>
            <w:r>
              <w:rPr>
                <w:color w:val="231F20"/>
                <w:sz w:val="14"/>
              </w:rPr>
              <w:t xml:space="preserve">Образовање (могућност образовања у иностран­ </w:t>
            </w:r>
            <w:r>
              <w:rPr>
                <w:color w:val="231F20"/>
                <w:spacing w:val="-4"/>
                <w:sz w:val="14"/>
              </w:rPr>
              <w:t xml:space="preserve">ству, </w:t>
            </w:r>
            <w:r>
              <w:rPr>
                <w:color w:val="231F20"/>
                <w:sz w:val="14"/>
              </w:rPr>
              <w:t>размена ученика, усавршавање у струци).</w:t>
            </w:r>
          </w:p>
          <w:p w:rsidR="00041039" w:rsidRDefault="001B26CB">
            <w:pPr>
              <w:pStyle w:val="TableParagraph"/>
              <w:numPr>
                <w:ilvl w:val="0"/>
                <w:numId w:val="557"/>
              </w:numPr>
              <w:tabs>
                <w:tab w:val="left" w:pos="157"/>
              </w:tabs>
              <w:spacing w:line="160" w:lineRule="exact"/>
              <w:ind w:right="580"/>
              <w:rPr>
                <w:sz w:val="14"/>
              </w:rPr>
            </w:pPr>
            <w:r>
              <w:rPr>
                <w:color w:val="231F20"/>
                <w:sz w:val="14"/>
              </w:rPr>
              <w:t>Друштвено уређење и политички систем</w:t>
            </w:r>
            <w:r>
              <w:rPr>
                <w:color w:val="231F20"/>
                <w:spacing w:val="-14"/>
                <w:sz w:val="14"/>
              </w:rPr>
              <w:t xml:space="preserve"> </w:t>
            </w:r>
            <w:r>
              <w:rPr>
                <w:color w:val="231F20"/>
                <w:sz w:val="14"/>
              </w:rPr>
              <w:t>у земљама чији се језик</w:t>
            </w:r>
            <w:r>
              <w:rPr>
                <w:color w:val="231F20"/>
                <w:spacing w:val="-2"/>
                <w:sz w:val="14"/>
              </w:rPr>
              <w:t xml:space="preserve"> </w:t>
            </w:r>
            <w:r>
              <w:rPr>
                <w:color w:val="231F20"/>
                <w:sz w:val="14"/>
              </w:rPr>
              <w:t>учи.</w:t>
            </w:r>
          </w:p>
          <w:p w:rsidR="00041039" w:rsidRDefault="001B26CB">
            <w:pPr>
              <w:pStyle w:val="TableParagraph"/>
              <w:numPr>
                <w:ilvl w:val="0"/>
                <w:numId w:val="557"/>
              </w:numPr>
              <w:tabs>
                <w:tab w:val="left" w:pos="157"/>
              </w:tabs>
              <w:spacing w:line="160" w:lineRule="exact"/>
              <w:ind w:right="87"/>
              <w:rPr>
                <w:sz w:val="14"/>
              </w:rPr>
            </w:pPr>
            <w:r>
              <w:rPr>
                <w:color w:val="231F20"/>
                <w:spacing w:val="-3"/>
                <w:sz w:val="14"/>
              </w:rPr>
              <w:t xml:space="preserve">Културни </w:t>
            </w:r>
            <w:r>
              <w:rPr>
                <w:color w:val="231F20"/>
                <w:sz w:val="14"/>
              </w:rPr>
              <w:t>живот (манифестације, сајмови и излож­ бе општег</w:t>
            </w:r>
            <w:r>
              <w:rPr>
                <w:color w:val="231F20"/>
                <w:spacing w:val="-1"/>
                <w:sz w:val="14"/>
              </w:rPr>
              <w:t xml:space="preserve"> </w:t>
            </w:r>
            <w:r>
              <w:rPr>
                <w:color w:val="231F20"/>
                <w:sz w:val="14"/>
              </w:rPr>
              <w:t>карактера).</w:t>
            </w:r>
          </w:p>
          <w:p w:rsidR="00041039" w:rsidRDefault="001B26CB">
            <w:pPr>
              <w:pStyle w:val="TableParagraph"/>
              <w:numPr>
                <w:ilvl w:val="0"/>
                <w:numId w:val="557"/>
              </w:numPr>
              <w:tabs>
                <w:tab w:val="left" w:pos="157"/>
              </w:tabs>
              <w:spacing w:line="153" w:lineRule="exact"/>
              <w:rPr>
                <w:sz w:val="14"/>
              </w:rPr>
            </w:pPr>
            <w:r>
              <w:rPr>
                <w:color w:val="231F20"/>
                <w:sz w:val="14"/>
              </w:rPr>
              <w:t>Медији (утицај</w:t>
            </w:r>
            <w:r>
              <w:rPr>
                <w:color w:val="231F20"/>
                <w:spacing w:val="-1"/>
                <w:sz w:val="14"/>
              </w:rPr>
              <w:t xml:space="preserve"> </w:t>
            </w:r>
            <w:r>
              <w:rPr>
                <w:color w:val="231F20"/>
                <w:sz w:val="14"/>
              </w:rPr>
              <w:t>медија).</w:t>
            </w:r>
          </w:p>
          <w:p w:rsidR="00041039" w:rsidRDefault="001B26CB">
            <w:pPr>
              <w:pStyle w:val="TableParagraph"/>
              <w:numPr>
                <w:ilvl w:val="0"/>
                <w:numId w:val="557"/>
              </w:numPr>
              <w:tabs>
                <w:tab w:val="left" w:pos="157"/>
              </w:tabs>
              <w:spacing w:line="160" w:lineRule="exact"/>
              <w:rPr>
                <w:sz w:val="14"/>
              </w:rPr>
            </w:pPr>
            <w:r>
              <w:rPr>
                <w:color w:val="231F20"/>
                <w:sz w:val="14"/>
              </w:rPr>
              <w:t>Историјске везе Србије и земаља чији се језик</w:t>
            </w:r>
            <w:r>
              <w:rPr>
                <w:color w:val="231F20"/>
                <w:spacing w:val="-13"/>
                <w:sz w:val="14"/>
              </w:rPr>
              <w:t xml:space="preserve"> </w:t>
            </w:r>
            <w:r>
              <w:rPr>
                <w:color w:val="231F20"/>
                <w:sz w:val="14"/>
              </w:rPr>
              <w:t>учи.</w:t>
            </w:r>
          </w:p>
          <w:p w:rsidR="00041039" w:rsidRDefault="001B26CB">
            <w:pPr>
              <w:pStyle w:val="TableParagraph"/>
              <w:numPr>
                <w:ilvl w:val="0"/>
                <w:numId w:val="557"/>
              </w:numPr>
              <w:tabs>
                <w:tab w:val="left" w:pos="157"/>
              </w:tabs>
              <w:spacing w:line="237" w:lineRule="auto"/>
              <w:ind w:right="171"/>
              <w:rPr>
                <w:sz w:val="14"/>
              </w:rPr>
            </w:pPr>
            <w:r>
              <w:rPr>
                <w:color w:val="231F20"/>
                <w:sz w:val="14"/>
              </w:rPr>
              <w:t>Свет компјутера (оглашавање на различитим</w:t>
            </w:r>
            <w:r>
              <w:rPr>
                <w:color w:val="231F20"/>
                <w:spacing w:val="-25"/>
                <w:sz w:val="14"/>
              </w:rPr>
              <w:t xml:space="preserve"> </w:t>
            </w:r>
            <w:r>
              <w:rPr>
                <w:color w:val="231F20"/>
                <w:spacing w:val="-3"/>
                <w:sz w:val="14"/>
              </w:rPr>
              <w:t xml:space="preserve">гло­ </w:t>
            </w:r>
            <w:r>
              <w:rPr>
                <w:color w:val="231F20"/>
                <w:sz w:val="14"/>
              </w:rPr>
              <w:t>балним мрежама, виртуелни свет</w:t>
            </w:r>
            <w:r>
              <w:rPr>
                <w:color w:val="231F20"/>
                <w:spacing w:val="-21"/>
                <w:sz w:val="14"/>
              </w:rPr>
              <w:t xml:space="preserve"> </w:t>
            </w:r>
            <w:r>
              <w:rPr>
                <w:color w:val="231F20"/>
                <w:sz w:val="14"/>
              </w:rPr>
              <w:t>комуникације).</w:t>
            </w:r>
          </w:p>
        </w:tc>
        <w:tc>
          <w:tcPr>
            <w:tcW w:w="2834" w:type="dxa"/>
            <w:vMerge w:val="restart"/>
          </w:tcPr>
          <w:p w:rsidR="00041039" w:rsidRDefault="001B26CB">
            <w:pPr>
              <w:pStyle w:val="TableParagraph"/>
              <w:numPr>
                <w:ilvl w:val="0"/>
                <w:numId w:val="556"/>
              </w:numPr>
              <w:tabs>
                <w:tab w:val="left" w:pos="163"/>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041039" w:rsidRDefault="001B26CB">
            <w:pPr>
              <w:pStyle w:val="TableParagraph"/>
              <w:numPr>
                <w:ilvl w:val="0"/>
                <w:numId w:val="556"/>
              </w:numPr>
              <w:tabs>
                <w:tab w:val="left" w:pos="163"/>
              </w:tabs>
              <w:ind w:right="282"/>
              <w:rPr>
                <w:sz w:val="14"/>
              </w:rPr>
            </w:pPr>
            <w:r>
              <w:rPr>
                <w:color w:val="231F20"/>
                <w:sz w:val="14"/>
              </w:rPr>
              <w:t>Поздрављање (састајање, растанак; формално, неформално, специфично</w:t>
            </w:r>
            <w:r>
              <w:rPr>
                <w:color w:val="231F20"/>
                <w:spacing w:val="-15"/>
                <w:sz w:val="14"/>
              </w:rPr>
              <w:t xml:space="preserve"> </w:t>
            </w:r>
            <w:r>
              <w:rPr>
                <w:color w:val="231F20"/>
                <w:sz w:val="14"/>
              </w:rPr>
              <w:t>по регионима).</w:t>
            </w:r>
          </w:p>
          <w:p w:rsidR="00041039" w:rsidRDefault="001B26CB">
            <w:pPr>
              <w:pStyle w:val="TableParagraph"/>
              <w:numPr>
                <w:ilvl w:val="0"/>
                <w:numId w:val="556"/>
              </w:numPr>
              <w:tabs>
                <w:tab w:val="left" w:pos="163"/>
              </w:tabs>
              <w:spacing w:line="237" w:lineRule="auto"/>
              <w:ind w:right="455"/>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041039" w:rsidRDefault="001B26CB">
            <w:pPr>
              <w:pStyle w:val="TableParagraph"/>
              <w:numPr>
                <w:ilvl w:val="0"/>
                <w:numId w:val="556"/>
              </w:numPr>
              <w:tabs>
                <w:tab w:val="left" w:pos="163"/>
              </w:tabs>
              <w:spacing w:line="160" w:lineRule="exact"/>
              <w:rPr>
                <w:sz w:val="14"/>
              </w:rPr>
            </w:pPr>
            <w:r>
              <w:rPr>
                <w:color w:val="231F20"/>
                <w:sz w:val="14"/>
              </w:rPr>
              <w:t>Давање једноставних упутстава и</w:t>
            </w:r>
            <w:r>
              <w:rPr>
                <w:color w:val="231F20"/>
                <w:spacing w:val="-10"/>
                <w:sz w:val="14"/>
              </w:rPr>
              <w:t xml:space="preserve"> </w:t>
            </w:r>
            <w:r>
              <w:rPr>
                <w:color w:val="231F20"/>
                <w:sz w:val="14"/>
              </w:rPr>
              <w:t>команди.</w:t>
            </w:r>
          </w:p>
          <w:p w:rsidR="00041039" w:rsidRDefault="001B26CB">
            <w:pPr>
              <w:pStyle w:val="TableParagraph"/>
              <w:numPr>
                <w:ilvl w:val="0"/>
                <w:numId w:val="556"/>
              </w:numPr>
              <w:tabs>
                <w:tab w:val="left" w:pos="163"/>
              </w:tabs>
              <w:spacing w:line="160" w:lineRule="exact"/>
              <w:rPr>
                <w:sz w:val="14"/>
              </w:rPr>
            </w:pPr>
            <w:r>
              <w:rPr>
                <w:color w:val="231F20"/>
                <w:sz w:val="14"/>
              </w:rPr>
              <w:t>Изражавање молби и</w:t>
            </w:r>
            <w:r>
              <w:rPr>
                <w:color w:val="231F20"/>
                <w:spacing w:val="-5"/>
                <w:sz w:val="14"/>
              </w:rPr>
              <w:t xml:space="preserve"> </w:t>
            </w:r>
            <w:r>
              <w:rPr>
                <w:color w:val="231F20"/>
                <w:sz w:val="14"/>
              </w:rPr>
              <w:t>захвалности.</w:t>
            </w:r>
          </w:p>
          <w:p w:rsidR="00041039" w:rsidRDefault="001B26CB">
            <w:pPr>
              <w:pStyle w:val="TableParagraph"/>
              <w:numPr>
                <w:ilvl w:val="0"/>
                <w:numId w:val="556"/>
              </w:numPr>
              <w:tabs>
                <w:tab w:val="left" w:pos="163"/>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041039" w:rsidRDefault="001B26CB">
            <w:pPr>
              <w:pStyle w:val="TableParagraph"/>
              <w:numPr>
                <w:ilvl w:val="0"/>
                <w:numId w:val="556"/>
              </w:numPr>
              <w:tabs>
                <w:tab w:val="left" w:pos="163"/>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041039" w:rsidRDefault="001B26CB">
            <w:pPr>
              <w:pStyle w:val="TableParagraph"/>
              <w:numPr>
                <w:ilvl w:val="0"/>
                <w:numId w:val="556"/>
              </w:numPr>
              <w:tabs>
                <w:tab w:val="left" w:pos="163"/>
              </w:tabs>
              <w:spacing w:line="160" w:lineRule="exact"/>
              <w:rPr>
                <w:sz w:val="14"/>
              </w:rPr>
            </w:pPr>
            <w:r>
              <w:rPr>
                <w:color w:val="231F20"/>
                <w:sz w:val="14"/>
              </w:rPr>
              <w:t>Изражавање допадања и</w:t>
            </w:r>
            <w:r>
              <w:rPr>
                <w:color w:val="231F20"/>
                <w:spacing w:val="-4"/>
                <w:sz w:val="14"/>
              </w:rPr>
              <w:t xml:space="preserve"> </w:t>
            </w:r>
            <w:r>
              <w:rPr>
                <w:color w:val="231F20"/>
                <w:sz w:val="14"/>
              </w:rPr>
              <w:t>недопадања.</w:t>
            </w:r>
          </w:p>
          <w:p w:rsidR="00041039" w:rsidRDefault="001B26CB">
            <w:pPr>
              <w:pStyle w:val="TableParagraph"/>
              <w:numPr>
                <w:ilvl w:val="0"/>
                <w:numId w:val="556"/>
              </w:numPr>
              <w:tabs>
                <w:tab w:val="left" w:pos="163"/>
              </w:tabs>
              <w:spacing w:line="160" w:lineRule="exact"/>
              <w:rPr>
                <w:sz w:val="14"/>
              </w:rPr>
            </w:pPr>
            <w:r>
              <w:rPr>
                <w:color w:val="231F20"/>
                <w:sz w:val="14"/>
              </w:rPr>
              <w:t>Изражавање физичких сензација и</w:t>
            </w:r>
            <w:r>
              <w:rPr>
                <w:color w:val="231F20"/>
                <w:spacing w:val="-8"/>
                <w:sz w:val="14"/>
              </w:rPr>
              <w:t xml:space="preserve"> </w:t>
            </w:r>
            <w:r>
              <w:rPr>
                <w:color w:val="231F20"/>
                <w:sz w:val="14"/>
              </w:rPr>
              <w:t>потреба.</w:t>
            </w:r>
          </w:p>
          <w:p w:rsidR="00041039" w:rsidRDefault="001B26CB">
            <w:pPr>
              <w:pStyle w:val="TableParagraph"/>
              <w:numPr>
                <w:ilvl w:val="0"/>
                <w:numId w:val="556"/>
              </w:numPr>
              <w:tabs>
                <w:tab w:val="left" w:pos="163"/>
              </w:tabs>
              <w:ind w:right="37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041039" w:rsidRDefault="001B26CB">
            <w:pPr>
              <w:pStyle w:val="TableParagraph"/>
              <w:numPr>
                <w:ilvl w:val="0"/>
                <w:numId w:val="556"/>
              </w:numPr>
              <w:tabs>
                <w:tab w:val="left" w:pos="163"/>
              </w:tabs>
              <w:ind w:right="627"/>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041039" w:rsidRDefault="001B26CB">
            <w:pPr>
              <w:pStyle w:val="TableParagraph"/>
              <w:numPr>
                <w:ilvl w:val="0"/>
                <w:numId w:val="556"/>
              </w:numPr>
              <w:tabs>
                <w:tab w:val="left" w:pos="163"/>
              </w:tabs>
              <w:ind w:right="272"/>
              <w:rPr>
                <w:sz w:val="14"/>
              </w:rPr>
            </w:pPr>
            <w:r>
              <w:rPr>
                <w:color w:val="231F20"/>
                <w:sz w:val="14"/>
              </w:rPr>
              <w:t>Описивање и упоређивање лица и</w:t>
            </w:r>
            <w:r>
              <w:rPr>
                <w:color w:val="231F20"/>
                <w:spacing w:val="-18"/>
                <w:sz w:val="14"/>
              </w:rPr>
              <w:t xml:space="preserve"> </w:t>
            </w:r>
            <w:r>
              <w:rPr>
                <w:color w:val="231F20"/>
                <w:sz w:val="14"/>
              </w:rPr>
              <w:t>пред­ мета.</w:t>
            </w:r>
          </w:p>
          <w:p w:rsidR="00041039" w:rsidRDefault="001B26CB">
            <w:pPr>
              <w:pStyle w:val="TableParagraph"/>
              <w:numPr>
                <w:ilvl w:val="0"/>
                <w:numId w:val="556"/>
              </w:numPr>
              <w:tabs>
                <w:tab w:val="left" w:pos="163"/>
              </w:tabs>
              <w:spacing w:line="159" w:lineRule="exact"/>
              <w:rPr>
                <w:sz w:val="14"/>
              </w:rPr>
            </w:pPr>
            <w:r>
              <w:rPr>
                <w:color w:val="231F20"/>
                <w:sz w:val="14"/>
              </w:rPr>
              <w:t>Изрицање забране и реаговање на</w:t>
            </w:r>
            <w:r>
              <w:rPr>
                <w:color w:val="231F20"/>
                <w:spacing w:val="-13"/>
                <w:sz w:val="14"/>
              </w:rPr>
              <w:t xml:space="preserve"> </w:t>
            </w:r>
            <w:r>
              <w:rPr>
                <w:color w:val="231F20"/>
                <w:spacing w:val="-3"/>
                <w:sz w:val="14"/>
              </w:rPr>
              <w:t>забрану.</w:t>
            </w:r>
          </w:p>
          <w:p w:rsidR="00041039" w:rsidRDefault="001B26CB">
            <w:pPr>
              <w:pStyle w:val="TableParagraph"/>
              <w:numPr>
                <w:ilvl w:val="0"/>
                <w:numId w:val="556"/>
              </w:numPr>
              <w:tabs>
                <w:tab w:val="left" w:pos="163"/>
              </w:tabs>
              <w:spacing w:line="160" w:lineRule="exact"/>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041039" w:rsidRDefault="001B26CB">
            <w:pPr>
              <w:pStyle w:val="TableParagraph"/>
              <w:numPr>
                <w:ilvl w:val="0"/>
                <w:numId w:val="556"/>
              </w:numPr>
              <w:tabs>
                <w:tab w:val="left" w:pos="163"/>
              </w:tabs>
              <w:spacing w:line="160" w:lineRule="exact"/>
              <w:rPr>
                <w:sz w:val="14"/>
              </w:rPr>
            </w:pPr>
            <w:r>
              <w:rPr>
                <w:color w:val="231F20"/>
                <w:sz w:val="14"/>
              </w:rPr>
              <w:t>Скретање</w:t>
            </w:r>
            <w:r>
              <w:rPr>
                <w:color w:val="231F20"/>
                <w:spacing w:val="-1"/>
                <w:sz w:val="14"/>
              </w:rPr>
              <w:t xml:space="preserve"> </w:t>
            </w:r>
            <w:r>
              <w:rPr>
                <w:color w:val="231F20"/>
                <w:sz w:val="14"/>
              </w:rPr>
              <w:t>пажње.</w:t>
            </w:r>
          </w:p>
          <w:p w:rsidR="00041039" w:rsidRDefault="001B26CB">
            <w:pPr>
              <w:pStyle w:val="TableParagraph"/>
              <w:numPr>
                <w:ilvl w:val="0"/>
                <w:numId w:val="556"/>
              </w:numPr>
              <w:tabs>
                <w:tab w:val="left" w:pos="163"/>
              </w:tabs>
              <w:ind w:right="124"/>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041039" w:rsidRDefault="001B26CB">
            <w:pPr>
              <w:pStyle w:val="TableParagraph"/>
              <w:numPr>
                <w:ilvl w:val="0"/>
                <w:numId w:val="556"/>
              </w:numPr>
              <w:tabs>
                <w:tab w:val="left" w:pos="163"/>
              </w:tabs>
              <w:spacing w:line="159"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041039" w:rsidRDefault="001B26CB">
            <w:pPr>
              <w:pStyle w:val="TableParagraph"/>
              <w:numPr>
                <w:ilvl w:val="0"/>
                <w:numId w:val="556"/>
              </w:numPr>
              <w:tabs>
                <w:tab w:val="left" w:pos="163"/>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041039" w:rsidRDefault="001B26CB">
            <w:pPr>
              <w:pStyle w:val="TableParagraph"/>
              <w:numPr>
                <w:ilvl w:val="0"/>
                <w:numId w:val="556"/>
              </w:numPr>
              <w:tabs>
                <w:tab w:val="left" w:pos="163"/>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041039" w:rsidRDefault="001B26CB">
            <w:pPr>
              <w:pStyle w:val="TableParagraph"/>
              <w:numPr>
                <w:ilvl w:val="0"/>
                <w:numId w:val="556"/>
              </w:numPr>
              <w:tabs>
                <w:tab w:val="left" w:pos="163"/>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041039" w:rsidRDefault="001B26CB">
            <w:pPr>
              <w:pStyle w:val="TableParagraph"/>
              <w:numPr>
                <w:ilvl w:val="0"/>
                <w:numId w:val="556"/>
              </w:numPr>
              <w:tabs>
                <w:tab w:val="left" w:pos="163"/>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041039">
        <w:trPr>
          <w:trHeight w:val="741"/>
        </w:trPr>
        <w:tc>
          <w:tcPr>
            <w:tcW w:w="1304" w:type="dxa"/>
            <w:tcBorders>
              <w:top w:val="nil"/>
            </w:tcBorders>
          </w:tcPr>
          <w:p w:rsidR="00041039" w:rsidRDefault="001B26CB">
            <w:pPr>
              <w:pStyle w:val="TableParagraph"/>
              <w:numPr>
                <w:ilvl w:val="0"/>
                <w:numId w:val="555"/>
              </w:numPr>
              <w:tabs>
                <w:tab w:val="left" w:pos="157"/>
              </w:tabs>
              <w:spacing w:before="69"/>
              <w:ind w:right="166"/>
              <w:jc w:val="both"/>
              <w:rPr>
                <w:sz w:val="14"/>
              </w:rPr>
            </w:pPr>
            <w:r>
              <w:rPr>
                <w:color w:val="231F20"/>
                <w:sz w:val="14"/>
              </w:rPr>
              <w:t>Оспособљавање ученика за</w:t>
            </w:r>
            <w:r>
              <w:rPr>
                <w:color w:val="231F20"/>
                <w:spacing w:val="-8"/>
                <w:sz w:val="14"/>
              </w:rPr>
              <w:t xml:space="preserve"> </w:t>
            </w:r>
            <w:r>
              <w:rPr>
                <w:color w:val="231F20"/>
                <w:sz w:val="14"/>
              </w:rPr>
              <w:t>разу­ мевање усменог говора.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ЧИТАЊЕ</w:t>
            </w:r>
          </w:p>
        </w:tc>
        <w:tc>
          <w:tcPr>
            <w:tcW w:w="3118" w:type="dxa"/>
            <w:vMerge w:val="restart"/>
          </w:tcPr>
          <w:p w:rsidR="00041039" w:rsidRDefault="001B26CB">
            <w:pPr>
              <w:pStyle w:val="TableParagraph"/>
              <w:numPr>
                <w:ilvl w:val="0"/>
                <w:numId w:val="554"/>
              </w:numPr>
              <w:tabs>
                <w:tab w:val="left" w:pos="157"/>
              </w:tabs>
              <w:spacing w:before="9"/>
              <w:ind w:right="135"/>
              <w:rPr>
                <w:sz w:val="14"/>
              </w:rPr>
            </w:pPr>
            <w:r>
              <w:rPr>
                <w:color w:val="231F20"/>
                <w:sz w:val="14"/>
              </w:rPr>
              <w:t>разуме смисао сложенијих текстова</w:t>
            </w:r>
            <w:r>
              <w:rPr>
                <w:color w:val="231F20"/>
                <w:spacing w:val="-23"/>
                <w:sz w:val="14"/>
              </w:rPr>
              <w:t xml:space="preserve"> </w:t>
            </w:r>
            <w:r>
              <w:rPr>
                <w:color w:val="231F20"/>
                <w:sz w:val="14"/>
              </w:rPr>
              <w:t>шематских приказа, упутстава,</w:t>
            </w:r>
            <w:r>
              <w:rPr>
                <w:color w:val="231F20"/>
                <w:spacing w:val="-1"/>
                <w:sz w:val="14"/>
              </w:rPr>
              <w:t xml:space="preserve"> </w:t>
            </w:r>
            <w:r>
              <w:rPr>
                <w:color w:val="231F20"/>
                <w:sz w:val="14"/>
              </w:rPr>
              <w:t>уговора</w:t>
            </w:r>
          </w:p>
          <w:p w:rsidR="00041039" w:rsidRDefault="001B26CB">
            <w:pPr>
              <w:pStyle w:val="TableParagraph"/>
              <w:numPr>
                <w:ilvl w:val="0"/>
                <w:numId w:val="554"/>
              </w:numPr>
              <w:tabs>
                <w:tab w:val="left" w:pos="157"/>
              </w:tabs>
              <w:spacing w:line="160" w:lineRule="exact"/>
              <w:ind w:right="170"/>
              <w:rPr>
                <w:sz w:val="14"/>
              </w:rPr>
            </w:pPr>
            <w:r>
              <w:rPr>
                <w:color w:val="231F20"/>
                <w:sz w:val="14"/>
              </w:rPr>
              <w:t>разуме текстове у којима се износи лични</w:t>
            </w:r>
            <w:r>
              <w:rPr>
                <w:color w:val="231F20"/>
                <w:spacing w:val="-23"/>
                <w:sz w:val="14"/>
              </w:rPr>
              <w:t xml:space="preserve"> </w:t>
            </w:r>
            <w:r>
              <w:rPr>
                <w:color w:val="231F20"/>
                <w:sz w:val="14"/>
              </w:rPr>
              <w:t>став или посебно</w:t>
            </w:r>
            <w:r>
              <w:rPr>
                <w:color w:val="231F20"/>
                <w:spacing w:val="-2"/>
                <w:sz w:val="14"/>
              </w:rPr>
              <w:t xml:space="preserve"> </w:t>
            </w:r>
            <w:r>
              <w:rPr>
                <w:color w:val="231F20"/>
                <w:sz w:val="14"/>
              </w:rPr>
              <w:t>гледиште;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740"/>
        </w:trPr>
        <w:tc>
          <w:tcPr>
            <w:tcW w:w="1304" w:type="dxa"/>
            <w:tcBorders>
              <w:top w:val="nil"/>
            </w:tcBorders>
          </w:tcPr>
          <w:p w:rsidR="00041039" w:rsidRDefault="001B26CB">
            <w:pPr>
              <w:pStyle w:val="TableParagraph"/>
              <w:numPr>
                <w:ilvl w:val="0"/>
                <w:numId w:val="553"/>
              </w:numPr>
              <w:tabs>
                <w:tab w:val="left" w:pos="157"/>
              </w:tabs>
              <w:spacing w:before="69"/>
              <w:ind w:right="131"/>
              <w:jc w:val="both"/>
              <w:rPr>
                <w:sz w:val="14"/>
              </w:rPr>
            </w:pPr>
            <w:r>
              <w:rPr>
                <w:color w:val="231F20"/>
                <w:sz w:val="14"/>
              </w:rPr>
              <w:t>Оспособљавање ученика за разу­ мевање</w:t>
            </w:r>
            <w:r>
              <w:rPr>
                <w:color w:val="231F20"/>
                <w:spacing w:val="-6"/>
                <w:sz w:val="14"/>
              </w:rPr>
              <w:t xml:space="preserve"> </w:t>
            </w:r>
            <w:r>
              <w:rPr>
                <w:color w:val="231F20"/>
                <w:sz w:val="14"/>
              </w:rPr>
              <w:t>прочита­ них</w:t>
            </w:r>
            <w:r>
              <w:rPr>
                <w:color w:val="231F20"/>
                <w:spacing w:val="-3"/>
                <w:sz w:val="14"/>
              </w:rPr>
              <w:t xml:space="preserve"> </w:t>
            </w:r>
            <w:r>
              <w:rPr>
                <w:color w:val="231F20"/>
                <w:sz w:val="14"/>
              </w:rPr>
              <w:t>текстова.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49"/>
        </w:trPr>
        <w:tc>
          <w:tcPr>
            <w:tcW w:w="1304" w:type="dxa"/>
            <w:tcBorders>
              <w:bottom w:val="nil"/>
            </w:tcBorders>
          </w:tcPr>
          <w:p w:rsidR="00041039" w:rsidRDefault="001B26CB">
            <w:pPr>
              <w:pStyle w:val="TableParagraph"/>
              <w:spacing w:before="19"/>
              <w:ind w:left="56"/>
              <w:rPr>
                <w:sz w:val="14"/>
              </w:rPr>
            </w:pPr>
            <w:r>
              <w:rPr>
                <w:color w:val="231F20"/>
                <w:sz w:val="14"/>
              </w:rPr>
              <w:t>ГОВОР</w:t>
            </w:r>
          </w:p>
        </w:tc>
        <w:tc>
          <w:tcPr>
            <w:tcW w:w="3118" w:type="dxa"/>
            <w:vMerge w:val="restart"/>
          </w:tcPr>
          <w:p w:rsidR="00041039" w:rsidRDefault="001B26CB">
            <w:pPr>
              <w:pStyle w:val="TableParagraph"/>
              <w:numPr>
                <w:ilvl w:val="0"/>
                <w:numId w:val="552"/>
              </w:numPr>
              <w:tabs>
                <w:tab w:val="left" w:pos="157"/>
              </w:tabs>
              <w:spacing w:before="9"/>
              <w:ind w:right="164"/>
              <w:rPr>
                <w:sz w:val="14"/>
              </w:rPr>
            </w:pPr>
            <w:r>
              <w:rPr>
                <w:color w:val="231F20"/>
                <w:sz w:val="14"/>
              </w:rPr>
              <w:t>представи припремљену презентацију која се односи</w:t>
            </w:r>
            <w:r>
              <w:rPr>
                <w:color w:val="231F20"/>
                <w:spacing w:val="-4"/>
                <w:sz w:val="14"/>
              </w:rPr>
              <w:t xml:space="preserve"> </w:t>
            </w:r>
            <w:r>
              <w:rPr>
                <w:color w:val="231F20"/>
                <w:sz w:val="14"/>
              </w:rPr>
              <w:t>на</w:t>
            </w:r>
            <w:r>
              <w:rPr>
                <w:color w:val="231F20"/>
                <w:spacing w:val="-5"/>
                <w:sz w:val="14"/>
              </w:rPr>
              <w:t xml:space="preserve"> </w:t>
            </w:r>
            <w:r>
              <w:rPr>
                <w:color w:val="231F20"/>
                <w:sz w:val="14"/>
              </w:rPr>
              <w:t>теме</w:t>
            </w:r>
            <w:r>
              <w:rPr>
                <w:color w:val="231F20"/>
                <w:spacing w:val="-4"/>
                <w:sz w:val="14"/>
              </w:rPr>
              <w:t xml:space="preserve"> </w:t>
            </w:r>
            <w:r>
              <w:rPr>
                <w:color w:val="231F20"/>
                <w:sz w:val="14"/>
              </w:rPr>
              <w:t>везане</w:t>
            </w:r>
            <w:r>
              <w:rPr>
                <w:color w:val="231F20"/>
                <w:spacing w:val="-5"/>
                <w:sz w:val="14"/>
              </w:rPr>
              <w:t xml:space="preserve"> </w:t>
            </w:r>
            <w:r>
              <w:rPr>
                <w:color w:val="231F20"/>
                <w:sz w:val="14"/>
              </w:rPr>
              <w:t>за</w:t>
            </w:r>
            <w:r>
              <w:rPr>
                <w:color w:val="231F20"/>
                <w:spacing w:val="-5"/>
                <w:sz w:val="14"/>
              </w:rPr>
              <w:t xml:space="preserve"> </w:t>
            </w:r>
            <w:r>
              <w:rPr>
                <w:color w:val="231F20"/>
                <w:sz w:val="14"/>
              </w:rPr>
              <w:t>области</w:t>
            </w:r>
            <w:r>
              <w:rPr>
                <w:color w:val="231F20"/>
                <w:spacing w:val="-5"/>
                <w:sz w:val="14"/>
              </w:rPr>
              <w:t xml:space="preserve"> </w:t>
            </w:r>
            <w:r>
              <w:rPr>
                <w:color w:val="231F20"/>
                <w:sz w:val="14"/>
              </w:rPr>
              <w:t>личног</w:t>
            </w:r>
            <w:r>
              <w:rPr>
                <w:color w:val="231F20"/>
                <w:spacing w:val="-5"/>
                <w:sz w:val="14"/>
              </w:rPr>
              <w:t xml:space="preserve"> </w:t>
            </w:r>
            <w:r>
              <w:rPr>
                <w:color w:val="231F20"/>
                <w:sz w:val="14"/>
              </w:rPr>
              <w:t xml:space="preserve">инте­ ресовања, </w:t>
            </w:r>
            <w:r>
              <w:rPr>
                <w:color w:val="231F20"/>
                <w:spacing w:val="-3"/>
                <w:sz w:val="14"/>
              </w:rPr>
              <w:t>школско</w:t>
            </w:r>
            <w:r>
              <w:rPr>
                <w:color w:val="231F20"/>
                <w:spacing w:val="-1"/>
                <w:sz w:val="14"/>
              </w:rPr>
              <w:t xml:space="preserve"> </w:t>
            </w:r>
            <w:r>
              <w:rPr>
                <w:color w:val="231F20"/>
                <w:sz w:val="14"/>
              </w:rPr>
              <w:t>градиво;</w:t>
            </w:r>
          </w:p>
          <w:p w:rsidR="00041039" w:rsidRDefault="001B26CB">
            <w:pPr>
              <w:pStyle w:val="TableParagraph"/>
              <w:numPr>
                <w:ilvl w:val="0"/>
                <w:numId w:val="552"/>
              </w:numPr>
              <w:tabs>
                <w:tab w:val="left" w:pos="157"/>
              </w:tabs>
              <w:spacing w:line="157" w:lineRule="exact"/>
              <w:rPr>
                <w:sz w:val="14"/>
              </w:rPr>
            </w:pPr>
            <w:r>
              <w:rPr>
                <w:color w:val="231F20"/>
                <w:sz w:val="14"/>
              </w:rPr>
              <w:t>говори о утисцима, употребљавајући и</w:t>
            </w:r>
            <w:r>
              <w:rPr>
                <w:color w:val="231F20"/>
                <w:spacing w:val="-4"/>
                <w:sz w:val="14"/>
              </w:rPr>
              <w:t xml:space="preserve"> </w:t>
            </w:r>
            <w:r>
              <w:rPr>
                <w:color w:val="231F20"/>
                <w:spacing w:val="-3"/>
                <w:sz w:val="14"/>
              </w:rPr>
              <w:t>ком­</w:t>
            </w:r>
          </w:p>
          <w:p w:rsidR="00041039" w:rsidRDefault="001B26CB">
            <w:pPr>
              <w:pStyle w:val="TableParagraph"/>
              <w:spacing w:line="155" w:lineRule="exact"/>
              <w:rPr>
                <w:sz w:val="14"/>
              </w:rPr>
            </w:pPr>
            <w:r>
              <w:rPr>
                <w:color w:val="231F20"/>
                <w:sz w:val="14"/>
              </w:rPr>
              <w:t>плексније изразе;</w:t>
            </w:r>
          </w:p>
          <w:p w:rsidR="00041039" w:rsidRDefault="001B26CB">
            <w:pPr>
              <w:pStyle w:val="TableParagraph"/>
              <w:numPr>
                <w:ilvl w:val="0"/>
                <w:numId w:val="552"/>
              </w:numPr>
              <w:tabs>
                <w:tab w:val="left" w:pos="157"/>
              </w:tabs>
              <w:spacing w:line="237" w:lineRule="auto"/>
              <w:ind w:right="127"/>
              <w:rPr>
                <w:sz w:val="14"/>
              </w:rPr>
            </w:pPr>
            <w:r>
              <w:rPr>
                <w:color w:val="231F20"/>
                <w:sz w:val="14"/>
              </w:rPr>
              <w:t>даје дужи опис свакодневних радњи из свог окружења, описује прошле активности, свако­ дневне обавезе, планове, радне задатке и</w:t>
            </w:r>
            <w:r>
              <w:rPr>
                <w:color w:val="231F20"/>
                <w:spacing w:val="-26"/>
                <w:sz w:val="14"/>
              </w:rPr>
              <w:t xml:space="preserve"> </w:t>
            </w:r>
            <w:r>
              <w:rPr>
                <w:color w:val="231F20"/>
                <w:sz w:val="14"/>
              </w:rPr>
              <w:t>начин организовања;</w:t>
            </w:r>
          </w:p>
          <w:p w:rsidR="00041039" w:rsidRDefault="001B26CB">
            <w:pPr>
              <w:pStyle w:val="TableParagraph"/>
              <w:numPr>
                <w:ilvl w:val="0"/>
                <w:numId w:val="552"/>
              </w:numPr>
              <w:tabs>
                <w:tab w:val="left" w:pos="157"/>
              </w:tabs>
              <w:spacing w:line="237" w:lineRule="auto"/>
              <w:ind w:right="251"/>
              <w:rPr>
                <w:sz w:val="14"/>
              </w:rPr>
            </w:pPr>
            <w:r>
              <w:rPr>
                <w:color w:val="231F20"/>
                <w:sz w:val="14"/>
              </w:rPr>
              <w:t>даје релевантне податке са неке</w:t>
            </w:r>
            <w:r>
              <w:rPr>
                <w:color w:val="231F20"/>
                <w:spacing w:val="-23"/>
                <w:sz w:val="14"/>
              </w:rPr>
              <w:t xml:space="preserve"> </w:t>
            </w:r>
            <w:r>
              <w:rPr>
                <w:color w:val="231F20"/>
                <w:sz w:val="14"/>
              </w:rPr>
              <w:t>презентације или из</w:t>
            </w:r>
            <w:r>
              <w:rPr>
                <w:color w:val="231F20"/>
                <w:spacing w:val="-3"/>
                <w:sz w:val="14"/>
              </w:rPr>
              <w:t xml:space="preserve"> </w:t>
            </w:r>
            <w:r>
              <w:rPr>
                <w:color w:val="231F20"/>
                <w:sz w:val="14"/>
              </w:rPr>
              <w:t>дискусије;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540"/>
        </w:trPr>
        <w:tc>
          <w:tcPr>
            <w:tcW w:w="1304" w:type="dxa"/>
            <w:tcBorders>
              <w:top w:val="nil"/>
            </w:tcBorders>
          </w:tcPr>
          <w:p w:rsidR="00041039" w:rsidRDefault="001B26CB">
            <w:pPr>
              <w:pStyle w:val="TableParagraph"/>
              <w:numPr>
                <w:ilvl w:val="0"/>
                <w:numId w:val="551"/>
              </w:numPr>
              <w:tabs>
                <w:tab w:val="left" w:pos="157"/>
              </w:tabs>
              <w:spacing w:before="69"/>
              <w:ind w:right="79"/>
              <w:rPr>
                <w:sz w:val="14"/>
              </w:rPr>
            </w:pPr>
            <w:r>
              <w:rPr>
                <w:color w:val="231F20"/>
                <w:sz w:val="14"/>
              </w:rPr>
              <w:t>Оспособљавање ученика за</w:t>
            </w:r>
            <w:r>
              <w:rPr>
                <w:color w:val="231F20"/>
                <w:spacing w:val="-5"/>
                <w:sz w:val="14"/>
              </w:rPr>
              <w:t xml:space="preserve"> </w:t>
            </w:r>
            <w:r>
              <w:rPr>
                <w:color w:val="231F20"/>
                <w:spacing w:val="-2"/>
                <w:sz w:val="14"/>
              </w:rPr>
              <w:t xml:space="preserve">кратко </w:t>
            </w:r>
            <w:r>
              <w:rPr>
                <w:color w:val="231F20"/>
                <w:sz w:val="14"/>
              </w:rPr>
              <w:t xml:space="preserve">монолошко изла­ гање и за учешће у дијалогу на страном </w:t>
            </w:r>
            <w:r>
              <w:rPr>
                <w:color w:val="231F20"/>
                <w:spacing w:val="-3"/>
                <w:sz w:val="14"/>
              </w:rPr>
              <w:t>језику.</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19"/>
              <w:ind w:left="56"/>
              <w:rPr>
                <w:sz w:val="14"/>
              </w:rPr>
            </w:pPr>
            <w:r>
              <w:rPr>
                <w:color w:val="231F20"/>
                <w:sz w:val="14"/>
              </w:rPr>
              <w:t>ПИСАЊЕ</w:t>
            </w:r>
          </w:p>
        </w:tc>
        <w:tc>
          <w:tcPr>
            <w:tcW w:w="3118" w:type="dxa"/>
            <w:vMerge w:val="restart"/>
          </w:tcPr>
          <w:p w:rsidR="00041039" w:rsidRDefault="001B26CB">
            <w:pPr>
              <w:pStyle w:val="TableParagraph"/>
              <w:numPr>
                <w:ilvl w:val="0"/>
                <w:numId w:val="550"/>
              </w:numPr>
              <w:tabs>
                <w:tab w:val="left" w:pos="157"/>
              </w:tabs>
              <w:spacing w:before="10"/>
              <w:ind w:right="133"/>
              <w:rPr>
                <w:sz w:val="14"/>
              </w:rPr>
            </w:pPr>
            <w:r>
              <w:rPr>
                <w:color w:val="231F20"/>
                <w:sz w:val="14"/>
              </w:rPr>
              <w:t>напише писмо или нешто дужи текст да би са­ општио информацију или указао на лични</w:t>
            </w:r>
            <w:r>
              <w:rPr>
                <w:color w:val="231F20"/>
                <w:spacing w:val="-19"/>
                <w:sz w:val="14"/>
              </w:rPr>
              <w:t xml:space="preserve"> </w:t>
            </w:r>
            <w:r>
              <w:rPr>
                <w:color w:val="231F20"/>
                <w:sz w:val="14"/>
              </w:rPr>
              <w:t>став или супротстављање</w:t>
            </w:r>
            <w:r>
              <w:rPr>
                <w:color w:val="231F20"/>
                <w:spacing w:val="-2"/>
                <w:sz w:val="14"/>
              </w:rPr>
              <w:t xml:space="preserve"> </w:t>
            </w:r>
            <w:r>
              <w:rPr>
                <w:color w:val="231F20"/>
                <w:sz w:val="14"/>
              </w:rPr>
              <w:t>мишљења;</w:t>
            </w:r>
          </w:p>
          <w:p w:rsidR="00041039" w:rsidRDefault="001B26CB">
            <w:pPr>
              <w:pStyle w:val="TableParagraph"/>
              <w:numPr>
                <w:ilvl w:val="0"/>
                <w:numId w:val="550"/>
              </w:numPr>
              <w:tabs>
                <w:tab w:val="left" w:pos="157"/>
              </w:tabs>
              <w:spacing w:line="157" w:lineRule="exact"/>
              <w:rPr>
                <w:sz w:val="14"/>
              </w:rPr>
            </w:pPr>
            <w:r>
              <w:rPr>
                <w:color w:val="231F20"/>
                <w:sz w:val="14"/>
              </w:rPr>
              <w:t>напише извештај или протокол о догађају</w:t>
            </w:r>
            <w:r>
              <w:rPr>
                <w:color w:val="231F20"/>
                <w:spacing w:val="-17"/>
                <w:sz w:val="14"/>
              </w:rPr>
              <w:t xml:space="preserve"> </w:t>
            </w:r>
            <w:r>
              <w:rPr>
                <w:color w:val="231F20"/>
                <w:sz w:val="14"/>
              </w:rPr>
              <w:t>или</w:t>
            </w:r>
          </w:p>
          <w:p w:rsidR="00041039" w:rsidRDefault="001B26CB">
            <w:pPr>
              <w:pStyle w:val="TableParagraph"/>
              <w:spacing w:line="155" w:lineRule="exact"/>
              <w:rPr>
                <w:sz w:val="14"/>
              </w:rPr>
            </w:pPr>
            <w:r>
              <w:rPr>
                <w:color w:val="231F20"/>
                <w:sz w:val="14"/>
              </w:rPr>
              <w:t>са састанка;</w:t>
            </w:r>
          </w:p>
          <w:p w:rsidR="00041039" w:rsidRDefault="001B26CB">
            <w:pPr>
              <w:pStyle w:val="TableParagraph"/>
              <w:numPr>
                <w:ilvl w:val="0"/>
                <w:numId w:val="550"/>
              </w:numPr>
              <w:tabs>
                <w:tab w:val="left" w:pos="157"/>
              </w:tabs>
              <w:spacing w:line="166" w:lineRule="exact"/>
              <w:rPr>
                <w:sz w:val="14"/>
              </w:rPr>
            </w:pPr>
            <w:r>
              <w:rPr>
                <w:color w:val="231F20"/>
                <w:sz w:val="14"/>
              </w:rPr>
              <w:t>писмено конкурише за неки</w:t>
            </w:r>
            <w:r>
              <w:rPr>
                <w:color w:val="231F20"/>
                <w:spacing w:val="-6"/>
                <w:sz w:val="14"/>
              </w:rPr>
              <w:t xml:space="preserve"> </w:t>
            </w:r>
            <w:r>
              <w:rPr>
                <w:color w:val="231F20"/>
                <w:sz w:val="14"/>
              </w:rPr>
              <w:t>посао;</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900"/>
        </w:trPr>
        <w:tc>
          <w:tcPr>
            <w:tcW w:w="1304" w:type="dxa"/>
            <w:tcBorders>
              <w:top w:val="nil"/>
            </w:tcBorders>
          </w:tcPr>
          <w:p w:rsidR="00041039" w:rsidRDefault="001B26CB">
            <w:pPr>
              <w:pStyle w:val="TableParagraph"/>
              <w:numPr>
                <w:ilvl w:val="0"/>
                <w:numId w:val="549"/>
              </w:numPr>
              <w:tabs>
                <w:tab w:val="left" w:pos="157"/>
              </w:tabs>
              <w:spacing w:before="71" w:line="237" w:lineRule="auto"/>
              <w:ind w:right="70"/>
              <w:rPr>
                <w:sz w:val="14"/>
              </w:rPr>
            </w:pPr>
            <w:r>
              <w:rPr>
                <w:color w:val="231F20"/>
                <w:sz w:val="14"/>
              </w:rPr>
              <w:t>Оспособљавање ученика за писање краћих текстова</w:t>
            </w:r>
            <w:r>
              <w:rPr>
                <w:color w:val="231F20"/>
                <w:spacing w:val="-8"/>
                <w:sz w:val="14"/>
              </w:rPr>
              <w:t xml:space="preserve"> </w:t>
            </w:r>
            <w:r>
              <w:rPr>
                <w:color w:val="231F20"/>
                <w:sz w:val="14"/>
              </w:rPr>
              <w:t>различи­ тог</w:t>
            </w:r>
            <w:r>
              <w:rPr>
                <w:color w:val="231F20"/>
                <w:spacing w:val="-1"/>
                <w:sz w:val="14"/>
              </w:rPr>
              <w:t xml:space="preserve"> </w:t>
            </w:r>
            <w:r>
              <w:rPr>
                <w:color w:val="231F20"/>
                <w:sz w:val="14"/>
              </w:rPr>
              <w:t>садржаја.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0"/>
        </w:trPr>
        <w:tc>
          <w:tcPr>
            <w:tcW w:w="1304" w:type="dxa"/>
            <w:tcBorders>
              <w:bottom w:val="nil"/>
            </w:tcBorders>
          </w:tcPr>
          <w:p w:rsidR="00041039" w:rsidRDefault="001B26CB">
            <w:pPr>
              <w:pStyle w:val="TableParagraph"/>
              <w:spacing w:before="20"/>
              <w:ind w:left="56"/>
              <w:rPr>
                <w:sz w:val="14"/>
              </w:rPr>
            </w:pPr>
            <w:r>
              <w:rPr>
                <w:color w:val="231F20"/>
                <w:sz w:val="14"/>
              </w:rPr>
              <w:t>ИНТЕРАКЦИЈА</w:t>
            </w:r>
          </w:p>
        </w:tc>
        <w:tc>
          <w:tcPr>
            <w:tcW w:w="3118" w:type="dxa"/>
            <w:vMerge w:val="restart"/>
          </w:tcPr>
          <w:p w:rsidR="00041039" w:rsidRDefault="001B26CB">
            <w:pPr>
              <w:pStyle w:val="TableParagraph"/>
              <w:numPr>
                <w:ilvl w:val="0"/>
                <w:numId w:val="548"/>
              </w:numPr>
              <w:tabs>
                <w:tab w:val="left" w:pos="157"/>
              </w:tabs>
              <w:spacing w:before="10"/>
              <w:ind w:right="258"/>
              <w:rPr>
                <w:sz w:val="14"/>
              </w:rPr>
            </w:pPr>
            <w:r>
              <w:rPr>
                <w:color w:val="231F20"/>
                <w:sz w:val="14"/>
              </w:rPr>
              <w:t>оствари комуникацију о основним темама, под условом да је у стању да тражи помоћ</w:t>
            </w:r>
            <w:r>
              <w:rPr>
                <w:color w:val="231F20"/>
                <w:spacing w:val="-11"/>
                <w:sz w:val="14"/>
              </w:rPr>
              <w:t xml:space="preserve"> </w:t>
            </w:r>
            <w:r>
              <w:rPr>
                <w:color w:val="231F20"/>
                <w:spacing w:val="-3"/>
                <w:sz w:val="14"/>
              </w:rPr>
              <w:t xml:space="preserve">од </w:t>
            </w:r>
            <w:r>
              <w:rPr>
                <w:color w:val="231F20"/>
                <w:sz w:val="14"/>
              </w:rPr>
              <w:t>саговорника;</w:t>
            </w:r>
          </w:p>
          <w:p w:rsidR="00041039" w:rsidRDefault="001B26CB">
            <w:pPr>
              <w:pStyle w:val="TableParagraph"/>
              <w:numPr>
                <w:ilvl w:val="0"/>
                <w:numId w:val="548"/>
              </w:numPr>
              <w:tabs>
                <w:tab w:val="left" w:pos="157"/>
              </w:tabs>
              <w:spacing w:line="157" w:lineRule="exact"/>
              <w:rPr>
                <w:sz w:val="14"/>
              </w:rPr>
            </w:pPr>
            <w:r>
              <w:rPr>
                <w:color w:val="231F20"/>
                <w:sz w:val="14"/>
              </w:rPr>
              <w:t>образложи и одбрани свој став, разјасни</w:t>
            </w:r>
            <w:r>
              <w:rPr>
                <w:color w:val="231F20"/>
                <w:spacing w:val="-6"/>
                <w:sz w:val="14"/>
              </w:rPr>
              <w:t xml:space="preserve"> </w:t>
            </w:r>
            <w:r>
              <w:rPr>
                <w:color w:val="231F20"/>
                <w:sz w:val="14"/>
              </w:rPr>
              <w:t>неспо­</w:t>
            </w:r>
          </w:p>
          <w:p w:rsidR="00041039" w:rsidRDefault="001B26CB">
            <w:pPr>
              <w:pStyle w:val="TableParagraph"/>
              <w:spacing w:line="160" w:lineRule="exact"/>
              <w:rPr>
                <w:sz w:val="14"/>
              </w:rPr>
            </w:pPr>
            <w:r>
              <w:rPr>
                <w:color w:val="231F20"/>
                <w:sz w:val="14"/>
              </w:rPr>
              <w:t>разуме;</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19"/>
        </w:trPr>
        <w:tc>
          <w:tcPr>
            <w:tcW w:w="1304" w:type="dxa"/>
            <w:tcBorders>
              <w:top w:val="nil"/>
            </w:tcBorders>
          </w:tcPr>
          <w:p w:rsidR="00041039" w:rsidRDefault="001B26CB">
            <w:pPr>
              <w:pStyle w:val="TableParagraph"/>
              <w:numPr>
                <w:ilvl w:val="0"/>
                <w:numId w:val="547"/>
              </w:numPr>
              <w:tabs>
                <w:tab w:val="left" w:pos="157"/>
              </w:tabs>
              <w:spacing w:before="71" w:line="237" w:lineRule="auto"/>
              <w:ind w:right="140"/>
              <w:rPr>
                <w:sz w:val="14"/>
              </w:rPr>
            </w:pPr>
            <w:r>
              <w:rPr>
                <w:color w:val="231F20"/>
                <w:sz w:val="14"/>
              </w:rPr>
              <w:t>Оспособљавање ученика за учешће у дија­ логу на страном језику и</w:t>
            </w:r>
            <w:r>
              <w:rPr>
                <w:color w:val="231F20"/>
                <w:spacing w:val="-6"/>
                <w:sz w:val="14"/>
              </w:rPr>
              <w:t xml:space="preserve"> </w:t>
            </w:r>
            <w:r>
              <w:rPr>
                <w:color w:val="231F20"/>
                <w:sz w:val="14"/>
              </w:rPr>
              <w:t>размену краћих писаних порука.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251"/>
        </w:trPr>
        <w:tc>
          <w:tcPr>
            <w:tcW w:w="1304" w:type="dxa"/>
            <w:tcBorders>
              <w:bottom w:val="nil"/>
            </w:tcBorders>
          </w:tcPr>
          <w:p w:rsidR="00041039" w:rsidRDefault="001B26CB">
            <w:pPr>
              <w:pStyle w:val="TableParagraph"/>
              <w:spacing w:before="20"/>
              <w:ind w:left="56"/>
              <w:rPr>
                <w:sz w:val="14"/>
              </w:rPr>
            </w:pPr>
            <w:r>
              <w:rPr>
                <w:color w:val="231F20"/>
                <w:sz w:val="14"/>
              </w:rPr>
              <w:t>МЕДИЈАЦИЈА</w:t>
            </w:r>
          </w:p>
        </w:tc>
        <w:tc>
          <w:tcPr>
            <w:tcW w:w="3118" w:type="dxa"/>
            <w:tcBorders>
              <w:bottom w:val="nil"/>
            </w:tcBorders>
          </w:tcPr>
          <w:p w:rsidR="00041039" w:rsidRDefault="001B26CB">
            <w:pPr>
              <w:pStyle w:val="TableParagraph"/>
              <w:numPr>
                <w:ilvl w:val="0"/>
                <w:numId w:val="546"/>
              </w:numPr>
              <w:tabs>
                <w:tab w:val="left" w:pos="157"/>
              </w:tabs>
              <w:spacing w:before="10"/>
              <w:rPr>
                <w:sz w:val="14"/>
              </w:rPr>
            </w:pPr>
            <w:r>
              <w:rPr>
                <w:color w:val="231F20"/>
                <w:sz w:val="14"/>
              </w:rPr>
              <w:t>препричава садржај текста, разговора,</w:t>
            </w:r>
            <w:r>
              <w:rPr>
                <w:color w:val="231F20"/>
                <w:spacing w:val="-15"/>
                <w:sz w:val="14"/>
              </w:rPr>
              <w:t xml:space="preserve"> </w:t>
            </w:r>
            <w:r>
              <w:rPr>
                <w:color w:val="231F20"/>
                <w:sz w:val="14"/>
              </w:rPr>
              <w:t>договора;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19"/>
        </w:trPr>
        <w:tc>
          <w:tcPr>
            <w:tcW w:w="1304" w:type="dxa"/>
            <w:tcBorders>
              <w:top w:val="nil"/>
            </w:tcBorders>
          </w:tcPr>
          <w:p w:rsidR="00041039" w:rsidRDefault="001B26CB">
            <w:pPr>
              <w:pStyle w:val="TableParagraph"/>
              <w:numPr>
                <w:ilvl w:val="0"/>
                <w:numId w:val="545"/>
              </w:numPr>
              <w:tabs>
                <w:tab w:val="left" w:pos="157"/>
              </w:tabs>
              <w:spacing w:before="70" w:line="237" w:lineRule="auto"/>
              <w:ind w:right="133"/>
              <w:rPr>
                <w:sz w:val="14"/>
              </w:rPr>
            </w:pPr>
            <w:r>
              <w:rPr>
                <w:color w:val="231F20"/>
                <w:sz w:val="14"/>
              </w:rPr>
              <w:t>Оспособљавање ученика да преводи,</w:t>
            </w:r>
            <w:r>
              <w:rPr>
                <w:color w:val="231F20"/>
                <w:spacing w:val="-8"/>
                <w:sz w:val="14"/>
              </w:rPr>
              <w:t xml:space="preserve"> </w:t>
            </w:r>
            <w:r>
              <w:rPr>
                <w:color w:val="231F20"/>
                <w:sz w:val="14"/>
              </w:rPr>
              <w:t>сажима и препричава садржај краћих усмених и писа­ них</w:t>
            </w:r>
            <w:r>
              <w:rPr>
                <w:color w:val="231F20"/>
                <w:spacing w:val="-3"/>
                <w:sz w:val="14"/>
              </w:rPr>
              <w:t xml:space="preserve"> </w:t>
            </w:r>
            <w:r>
              <w:rPr>
                <w:color w:val="231F20"/>
                <w:sz w:val="14"/>
              </w:rPr>
              <w:t>текстова.</w:t>
            </w:r>
          </w:p>
        </w:tc>
        <w:tc>
          <w:tcPr>
            <w:tcW w:w="3118" w:type="dxa"/>
            <w:tcBorders>
              <w:top w:val="nil"/>
            </w:tcBorders>
          </w:tcPr>
          <w:p w:rsidR="00041039" w:rsidRDefault="00041039">
            <w:pPr>
              <w:pStyle w:val="TableParagraph"/>
              <w:ind w:left="0"/>
              <w:rPr>
                <w:sz w:val="14"/>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410"/>
        </w:trPr>
        <w:tc>
          <w:tcPr>
            <w:tcW w:w="1304" w:type="dxa"/>
            <w:tcBorders>
              <w:bottom w:val="nil"/>
            </w:tcBorders>
          </w:tcPr>
          <w:p w:rsidR="00041039" w:rsidRDefault="001B26CB">
            <w:pPr>
              <w:pStyle w:val="TableParagraph"/>
              <w:spacing w:before="20"/>
              <w:ind w:left="56" w:right="331"/>
              <w:rPr>
                <w:sz w:val="14"/>
              </w:rPr>
            </w:pPr>
            <w:r>
              <w:rPr>
                <w:color w:val="231F20"/>
                <w:sz w:val="14"/>
              </w:rPr>
              <w:t>МЕДИЈСКА ПИСМЕНОСТ</w:t>
            </w:r>
          </w:p>
        </w:tc>
        <w:tc>
          <w:tcPr>
            <w:tcW w:w="3118" w:type="dxa"/>
            <w:vMerge w:val="restart"/>
          </w:tcPr>
          <w:p w:rsidR="00041039" w:rsidRDefault="001B26CB">
            <w:pPr>
              <w:pStyle w:val="TableParagraph"/>
              <w:numPr>
                <w:ilvl w:val="0"/>
                <w:numId w:val="544"/>
              </w:numPr>
              <w:tabs>
                <w:tab w:val="left" w:pos="157"/>
              </w:tabs>
              <w:spacing w:before="10"/>
              <w:ind w:right="401"/>
              <w:rPr>
                <w:sz w:val="14"/>
              </w:rPr>
            </w:pPr>
            <w:r>
              <w:rPr>
                <w:color w:val="231F20"/>
                <w:sz w:val="14"/>
              </w:rPr>
              <w:t>пореди различите приказе истог догађаја</w:t>
            </w:r>
            <w:r>
              <w:rPr>
                <w:color w:val="231F20"/>
                <w:spacing w:val="-14"/>
                <w:sz w:val="14"/>
              </w:rPr>
              <w:t xml:space="preserve"> </w:t>
            </w:r>
            <w:r>
              <w:rPr>
                <w:color w:val="231F20"/>
                <w:sz w:val="14"/>
              </w:rPr>
              <w:t>у различитим</w:t>
            </w:r>
            <w:r>
              <w:rPr>
                <w:color w:val="231F20"/>
                <w:spacing w:val="-1"/>
                <w:sz w:val="14"/>
              </w:rPr>
              <w:t xml:space="preserve"> </w:t>
            </w:r>
            <w:r>
              <w:rPr>
                <w:color w:val="231F20"/>
                <w:sz w:val="14"/>
              </w:rPr>
              <w:t>медијима;</w:t>
            </w: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r w:rsidR="00041039">
        <w:trPr>
          <w:trHeight w:val="1219"/>
        </w:trPr>
        <w:tc>
          <w:tcPr>
            <w:tcW w:w="1304" w:type="dxa"/>
            <w:tcBorders>
              <w:top w:val="nil"/>
            </w:tcBorders>
          </w:tcPr>
          <w:p w:rsidR="00041039" w:rsidRDefault="001B26CB">
            <w:pPr>
              <w:pStyle w:val="TableParagraph"/>
              <w:numPr>
                <w:ilvl w:val="0"/>
                <w:numId w:val="543"/>
              </w:numPr>
              <w:tabs>
                <w:tab w:val="left" w:pos="157"/>
              </w:tabs>
              <w:spacing w:before="71" w:line="237" w:lineRule="auto"/>
              <w:ind w:right="54"/>
              <w:rPr>
                <w:sz w:val="14"/>
              </w:rPr>
            </w:pPr>
            <w:r>
              <w:rPr>
                <w:color w:val="231F20"/>
                <w:sz w:val="14"/>
              </w:rPr>
              <w:t>Оспособљавање ученика да кори­ сте медије као из­ воре</w:t>
            </w:r>
            <w:r>
              <w:rPr>
                <w:color w:val="231F20"/>
                <w:spacing w:val="-9"/>
                <w:sz w:val="14"/>
              </w:rPr>
              <w:t xml:space="preserve"> </w:t>
            </w:r>
            <w:r>
              <w:rPr>
                <w:color w:val="231F20"/>
                <w:sz w:val="14"/>
              </w:rPr>
              <w:t>информација и развијају кри­ тичко мишљење</w:t>
            </w:r>
            <w:r>
              <w:rPr>
                <w:color w:val="231F20"/>
                <w:spacing w:val="-8"/>
                <w:sz w:val="14"/>
              </w:rPr>
              <w:t xml:space="preserve"> </w:t>
            </w:r>
            <w:r>
              <w:rPr>
                <w:color w:val="231F20"/>
                <w:sz w:val="14"/>
              </w:rPr>
              <w:t>у вези са</w:t>
            </w:r>
            <w:r>
              <w:rPr>
                <w:color w:val="231F20"/>
                <w:spacing w:val="-2"/>
                <w:sz w:val="14"/>
              </w:rPr>
              <w:t xml:space="preserve"> </w:t>
            </w:r>
            <w:r>
              <w:rPr>
                <w:color w:val="231F20"/>
                <w:sz w:val="14"/>
              </w:rPr>
              <w:t>њима.</w:t>
            </w:r>
          </w:p>
        </w:tc>
        <w:tc>
          <w:tcPr>
            <w:tcW w:w="3118" w:type="dxa"/>
            <w:vMerge/>
            <w:tcBorders>
              <w:top w:val="nil"/>
            </w:tcBorders>
          </w:tcPr>
          <w:p w:rsidR="00041039" w:rsidRDefault="00041039">
            <w:pPr>
              <w:rPr>
                <w:sz w:val="2"/>
                <w:szCs w:val="2"/>
              </w:rPr>
            </w:pPr>
          </w:p>
        </w:tc>
        <w:tc>
          <w:tcPr>
            <w:tcW w:w="3288"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4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3118"/>
        <w:gridCol w:w="3288"/>
        <w:gridCol w:w="2834"/>
      </w:tblGrid>
      <w:tr w:rsidR="00041039">
        <w:trPr>
          <w:trHeight w:val="840"/>
        </w:trPr>
        <w:tc>
          <w:tcPr>
            <w:tcW w:w="1304" w:type="dxa"/>
          </w:tcPr>
          <w:p w:rsidR="00041039" w:rsidRDefault="001B26CB">
            <w:pPr>
              <w:pStyle w:val="TableParagraph"/>
              <w:spacing w:before="18"/>
              <w:ind w:left="56"/>
              <w:rPr>
                <w:sz w:val="14"/>
              </w:rPr>
            </w:pPr>
            <w:r>
              <w:rPr>
                <w:color w:val="231F20"/>
                <w:sz w:val="14"/>
              </w:rPr>
              <w:lastRenderedPageBreak/>
              <w:t>ЗНАЊА О ЈЕЗИКУ</w:t>
            </w:r>
          </w:p>
        </w:tc>
        <w:tc>
          <w:tcPr>
            <w:tcW w:w="3118" w:type="dxa"/>
          </w:tcPr>
          <w:p w:rsidR="00041039" w:rsidRDefault="001B26CB">
            <w:pPr>
              <w:pStyle w:val="TableParagraph"/>
              <w:numPr>
                <w:ilvl w:val="0"/>
                <w:numId w:val="542"/>
              </w:numPr>
              <w:tabs>
                <w:tab w:val="left" w:pos="157"/>
              </w:tabs>
              <w:spacing w:before="8"/>
              <w:ind w:right="105"/>
              <w:rPr>
                <w:sz w:val="14"/>
              </w:rPr>
            </w:pPr>
            <w:r>
              <w:rPr>
                <w:color w:val="231F20"/>
                <w:sz w:val="14"/>
              </w:rPr>
              <w:t>коректно употребљава сложеније структуре и процесе (номинализације, градације, трансфор­ мације);</w:t>
            </w:r>
          </w:p>
          <w:p w:rsidR="00041039" w:rsidRDefault="001B26CB">
            <w:pPr>
              <w:pStyle w:val="TableParagraph"/>
              <w:numPr>
                <w:ilvl w:val="0"/>
                <w:numId w:val="542"/>
              </w:numPr>
              <w:tabs>
                <w:tab w:val="left" w:pos="157"/>
              </w:tabs>
              <w:spacing w:line="157" w:lineRule="exact"/>
              <w:rPr>
                <w:sz w:val="14"/>
              </w:rPr>
            </w:pPr>
            <w:r>
              <w:rPr>
                <w:color w:val="231F20"/>
                <w:sz w:val="14"/>
              </w:rPr>
              <w:t>контролише граматичка знања и исправља</w:t>
            </w:r>
            <w:r>
              <w:rPr>
                <w:color w:val="231F20"/>
                <w:spacing w:val="-26"/>
                <w:sz w:val="14"/>
              </w:rPr>
              <w:t xml:space="preserve"> </w:t>
            </w:r>
            <w:r>
              <w:rPr>
                <w:color w:val="231F20"/>
                <w:sz w:val="14"/>
              </w:rPr>
              <w:t>своје</w:t>
            </w:r>
          </w:p>
          <w:p w:rsidR="00041039" w:rsidRDefault="001B26CB">
            <w:pPr>
              <w:pStyle w:val="TableParagraph"/>
              <w:spacing w:line="160" w:lineRule="exact"/>
              <w:rPr>
                <w:sz w:val="14"/>
              </w:rPr>
            </w:pPr>
            <w:r>
              <w:rPr>
                <w:color w:val="231F20"/>
                <w:sz w:val="14"/>
              </w:rPr>
              <w:t>грешке;</w:t>
            </w:r>
          </w:p>
        </w:tc>
        <w:tc>
          <w:tcPr>
            <w:tcW w:w="3288" w:type="dxa"/>
          </w:tcPr>
          <w:p w:rsidR="00041039" w:rsidRDefault="00041039">
            <w:pPr>
              <w:pStyle w:val="TableParagraph"/>
              <w:ind w:left="0"/>
              <w:rPr>
                <w:sz w:val="16"/>
              </w:rPr>
            </w:pPr>
          </w:p>
        </w:tc>
        <w:tc>
          <w:tcPr>
            <w:tcW w:w="2834" w:type="dxa"/>
          </w:tcPr>
          <w:p w:rsidR="00041039" w:rsidRDefault="00041039">
            <w:pPr>
              <w:pStyle w:val="TableParagraph"/>
              <w:ind w:left="0"/>
              <w:rPr>
                <w:sz w:val="16"/>
              </w:rPr>
            </w:pPr>
          </w:p>
        </w:tc>
      </w:tr>
    </w:tbl>
    <w:p w:rsidR="00041039" w:rsidRDefault="00041039">
      <w:pPr>
        <w:pStyle w:val="BodyText"/>
        <w:rPr>
          <w:b/>
          <w:sz w:val="10"/>
        </w:rPr>
      </w:pPr>
    </w:p>
    <w:p w:rsidR="00041039" w:rsidRDefault="001B26CB">
      <w:pPr>
        <w:pStyle w:val="Heading1"/>
        <w:spacing w:line="240" w:lineRule="auto"/>
        <w:ind w:left="0" w:right="37"/>
        <w:jc w:val="center"/>
      </w:pPr>
      <w:r>
        <w:rPr>
          <w:color w:val="231F20"/>
        </w:rPr>
        <w:t>ГРАМАТИЧКИ САДРЖАЈИ</w:t>
      </w:r>
    </w:p>
    <w:p w:rsidR="00041039" w:rsidRDefault="00041039">
      <w:pPr>
        <w:pStyle w:val="BodyText"/>
        <w:spacing w:before="5"/>
        <w:rPr>
          <w:b/>
          <w:sz w:val="16"/>
        </w:rPr>
      </w:pPr>
    </w:p>
    <w:p w:rsidR="00041039" w:rsidRDefault="001B26CB">
      <w:pPr>
        <w:pStyle w:val="ListParagraph"/>
        <w:numPr>
          <w:ilvl w:val="0"/>
          <w:numId w:val="541"/>
        </w:numPr>
        <w:tabs>
          <w:tab w:val="left" w:pos="613"/>
        </w:tabs>
        <w:spacing w:line="202" w:lineRule="exact"/>
        <w:ind w:hanging="115"/>
        <w:rPr>
          <w:b/>
          <w:sz w:val="18"/>
        </w:rPr>
      </w:pPr>
      <w:r>
        <w:rPr>
          <w:b/>
          <w:color w:val="231F20"/>
          <w:sz w:val="18"/>
        </w:rPr>
        <w:t>РЕЧЕНИЦА</w:t>
      </w:r>
    </w:p>
    <w:p w:rsidR="00041039" w:rsidRDefault="001B26CB">
      <w:pPr>
        <w:pStyle w:val="Heading2"/>
        <w:numPr>
          <w:ilvl w:val="0"/>
          <w:numId w:val="560"/>
        </w:numPr>
        <w:tabs>
          <w:tab w:val="left" w:pos="633"/>
        </w:tabs>
        <w:spacing w:line="198" w:lineRule="exact"/>
        <w:ind w:firstLine="0"/>
      </w:pPr>
      <w:r>
        <w:rPr>
          <w:color w:val="231F20"/>
        </w:rPr>
        <w:t>Сви типови упитних</w:t>
      </w:r>
      <w:r>
        <w:rPr>
          <w:color w:val="231F20"/>
          <w:spacing w:val="-1"/>
        </w:rPr>
        <w:t xml:space="preserve"> </w:t>
      </w:r>
      <w:r>
        <w:rPr>
          <w:color w:val="231F20"/>
        </w:rPr>
        <w:t>реченица;</w:t>
      </w:r>
    </w:p>
    <w:p w:rsidR="00041039" w:rsidRDefault="001B26CB">
      <w:pPr>
        <w:pStyle w:val="ListParagraph"/>
        <w:numPr>
          <w:ilvl w:val="0"/>
          <w:numId w:val="560"/>
        </w:numPr>
        <w:tabs>
          <w:tab w:val="left" w:pos="633"/>
        </w:tabs>
        <w:spacing w:line="198" w:lineRule="exact"/>
        <w:ind w:firstLine="0"/>
        <w:rPr>
          <w:sz w:val="18"/>
        </w:rPr>
      </w:pPr>
      <w:r>
        <w:rPr>
          <w:color w:val="231F20"/>
          <w:sz w:val="18"/>
        </w:rPr>
        <w:t>Релативне</w:t>
      </w:r>
      <w:r>
        <w:rPr>
          <w:color w:val="231F20"/>
          <w:spacing w:val="-1"/>
          <w:sz w:val="18"/>
        </w:rPr>
        <w:t xml:space="preserve"> </w:t>
      </w:r>
      <w:r>
        <w:rPr>
          <w:color w:val="231F20"/>
          <w:sz w:val="18"/>
        </w:rPr>
        <w:t>клаузе;</w:t>
      </w:r>
    </w:p>
    <w:p w:rsidR="00041039" w:rsidRDefault="001B26CB">
      <w:pPr>
        <w:pStyle w:val="ListParagraph"/>
        <w:numPr>
          <w:ilvl w:val="0"/>
          <w:numId w:val="560"/>
        </w:numPr>
        <w:tabs>
          <w:tab w:val="left" w:pos="633"/>
        </w:tabs>
        <w:spacing w:line="198" w:lineRule="exact"/>
        <w:ind w:firstLine="0"/>
        <w:rPr>
          <w:sz w:val="18"/>
        </w:rPr>
      </w:pPr>
      <w:r>
        <w:rPr>
          <w:color w:val="231F20"/>
          <w:sz w:val="18"/>
        </w:rPr>
        <w:t>Све врсте сложених</w:t>
      </w:r>
      <w:r>
        <w:rPr>
          <w:color w:val="231F20"/>
          <w:spacing w:val="-2"/>
          <w:sz w:val="18"/>
        </w:rPr>
        <w:t xml:space="preserve"> </w:t>
      </w:r>
      <w:r>
        <w:rPr>
          <w:color w:val="231F20"/>
          <w:sz w:val="18"/>
        </w:rPr>
        <w:t>реченица;</w:t>
      </w:r>
    </w:p>
    <w:p w:rsidR="00041039" w:rsidRDefault="001B26CB">
      <w:pPr>
        <w:pStyle w:val="ListParagraph"/>
        <w:numPr>
          <w:ilvl w:val="0"/>
          <w:numId w:val="560"/>
        </w:numPr>
        <w:tabs>
          <w:tab w:val="left" w:pos="633"/>
        </w:tabs>
        <w:spacing w:line="201" w:lineRule="exact"/>
        <w:ind w:firstLine="0"/>
        <w:rPr>
          <w:sz w:val="18"/>
        </w:rPr>
      </w:pPr>
      <w:r>
        <w:rPr>
          <w:color w:val="231F20"/>
          <w:sz w:val="18"/>
        </w:rPr>
        <w:t>Директна и индиректна</w:t>
      </w:r>
      <w:r>
        <w:rPr>
          <w:color w:val="231F20"/>
          <w:spacing w:val="-2"/>
          <w:sz w:val="18"/>
        </w:rPr>
        <w:t xml:space="preserve"> </w:t>
      </w:r>
      <w:r>
        <w:rPr>
          <w:color w:val="231F20"/>
          <w:sz w:val="18"/>
        </w:rPr>
        <w:t>питања;</w:t>
      </w:r>
    </w:p>
    <w:p w:rsidR="00041039" w:rsidRDefault="001B26CB">
      <w:pPr>
        <w:pStyle w:val="ListParagraph"/>
        <w:numPr>
          <w:ilvl w:val="0"/>
          <w:numId w:val="560"/>
        </w:numPr>
        <w:tabs>
          <w:tab w:val="left" w:pos="633"/>
        </w:tabs>
        <w:spacing w:line="195" w:lineRule="exact"/>
        <w:ind w:firstLine="0"/>
        <w:rPr>
          <w:sz w:val="18"/>
        </w:rPr>
      </w:pPr>
      <w:r>
        <w:rPr>
          <w:color w:val="231F20"/>
          <w:sz w:val="18"/>
        </w:rPr>
        <w:t>Индиректни говор: рецептивно и</w:t>
      </w:r>
      <w:r>
        <w:rPr>
          <w:color w:val="231F20"/>
          <w:spacing w:val="-2"/>
          <w:sz w:val="18"/>
        </w:rPr>
        <w:t xml:space="preserve"> </w:t>
      </w:r>
      <w:r>
        <w:rPr>
          <w:color w:val="231F20"/>
          <w:sz w:val="18"/>
        </w:rPr>
        <w:t>продуктивно;</w:t>
      </w:r>
    </w:p>
    <w:p w:rsidR="00041039" w:rsidRDefault="001B26CB">
      <w:pPr>
        <w:spacing w:before="2" w:line="230" w:lineRule="auto"/>
        <w:ind w:left="497" w:right="1805"/>
        <w:rPr>
          <w:sz w:val="18"/>
        </w:rPr>
      </w:pPr>
      <w:r>
        <w:rPr>
          <w:color w:val="231F20"/>
          <w:sz w:val="18"/>
        </w:rPr>
        <w:t>а) изјаве и питања ­ без промене глаголског времена (глагол главне реченице у једном од садашњих времена); б) молбе, захтеви, наредбе;</w:t>
      </w:r>
    </w:p>
    <w:p w:rsidR="00041039" w:rsidRDefault="001B26CB">
      <w:pPr>
        <w:spacing w:line="194" w:lineRule="exact"/>
        <w:ind w:left="497"/>
        <w:rPr>
          <w:sz w:val="18"/>
        </w:rPr>
      </w:pPr>
      <w:r>
        <w:rPr>
          <w:color w:val="231F20"/>
          <w:sz w:val="18"/>
        </w:rPr>
        <w:t>ц) изјаве и питања са променом глаголских времена;</w:t>
      </w:r>
    </w:p>
    <w:p w:rsidR="00041039" w:rsidRDefault="001B26CB">
      <w:pPr>
        <w:pStyle w:val="ListParagraph"/>
        <w:numPr>
          <w:ilvl w:val="0"/>
          <w:numId w:val="560"/>
        </w:numPr>
        <w:tabs>
          <w:tab w:val="left" w:pos="633"/>
        </w:tabs>
        <w:spacing w:line="198" w:lineRule="exact"/>
        <w:ind w:firstLine="0"/>
        <w:rPr>
          <w:sz w:val="18"/>
        </w:rPr>
      </w:pPr>
      <w:r>
        <w:rPr>
          <w:color w:val="231F20"/>
          <w:sz w:val="18"/>
        </w:rPr>
        <w:t>Одређене релативне</w:t>
      </w:r>
      <w:r>
        <w:rPr>
          <w:color w:val="231F20"/>
          <w:spacing w:val="-1"/>
          <w:sz w:val="18"/>
        </w:rPr>
        <w:t xml:space="preserve"> </w:t>
      </w:r>
      <w:r>
        <w:rPr>
          <w:color w:val="231F20"/>
          <w:sz w:val="18"/>
        </w:rPr>
        <w:t>клаузе;</w:t>
      </w:r>
    </w:p>
    <w:p w:rsidR="00041039" w:rsidRDefault="001B26CB">
      <w:pPr>
        <w:pStyle w:val="ListParagraph"/>
        <w:numPr>
          <w:ilvl w:val="0"/>
          <w:numId w:val="560"/>
        </w:numPr>
        <w:tabs>
          <w:tab w:val="left" w:pos="633"/>
        </w:tabs>
        <w:spacing w:line="202" w:lineRule="exact"/>
        <w:ind w:firstLine="0"/>
        <w:rPr>
          <w:sz w:val="18"/>
        </w:rPr>
      </w:pPr>
      <w:r>
        <w:rPr>
          <w:color w:val="231F20"/>
          <w:sz w:val="18"/>
        </w:rPr>
        <w:t>Сложене реченице: временске клаузе, узрочне</w:t>
      </w:r>
      <w:r>
        <w:rPr>
          <w:color w:val="231F20"/>
          <w:sz w:val="18"/>
        </w:rPr>
        <w:t xml:space="preserve"> клаузе, допусне</w:t>
      </w:r>
      <w:r>
        <w:rPr>
          <w:color w:val="231F20"/>
          <w:spacing w:val="-4"/>
          <w:sz w:val="18"/>
        </w:rPr>
        <w:t xml:space="preserve"> </w:t>
      </w:r>
      <w:r>
        <w:rPr>
          <w:color w:val="231F20"/>
          <w:sz w:val="18"/>
        </w:rPr>
        <w:t>клаузе.</w:t>
      </w:r>
    </w:p>
    <w:p w:rsidR="00041039" w:rsidRDefault="00041039">
      <w:pPr>
        <w:pStyle w:val="BodyText"/>
        <w:spacing w:before="5"/>
        <w:rPr>
          <w:sz w:val="16"/>
        </w:rPr>
      </w:pPr>
    </w:p>
    <w:p w:rsidR="00041039" w:rsidRDefault="001B26CB">
      <w:pPr>
        <w:pStyle w:val="ListParagraph"/>
        <w:numPr>
          <w:ilvl w:val="0"/>
          <w:numId w:val="541"/>
        </w:numPr>
        <w:tabs>
          <w:tab w:val="left" w:pos="683"/>
        </w:tabs>
        <w:spacing w:line="202" w:lineRule="exact"/>
        <w:ind w:left="682" w:hanging="185"/>
        <w:rPr>
          <w:b/>
          <w:sz w:val="18"/>
        </w:rPr>
      </w:pPr>
      <w:r>
        <w:rPr>
          <w:b/>
          <w:color w:val="231F20"/>
          <w:sz w:val="18"/>
        </w:rPr>
        <w:t>ИМЕНИЧКА</w:t>
      </w:r>
      <w:r>
        <w:rPr>
          <w:b/>
          <w:color w:val="231F20"/>
          <w:spacing w:val="-2"/>
          <w:sz w:val="18"/>
        </w:rPr>
        <w:t xml:space="preserve"> </w:t>
      </w:r>
      <w:r>
        <w:rPr>
          <w:b/>
          <w:color w:val="231F20"/>
          <w:sz w:val="18"/>
        </w:rPr>
        <w:t>ГРУПА</w:t>
      </w:r>
    </w:p>
    <w:p w:rsidR="00041039" w:rsidRDefault="001B26CB">
      <w:pPr>
        <w:pStyle w:val="ListParagraph"/>
        <w:numPr>
          <w:ilvl w:val="0"/>
          <w:numId w:val="540"/>
        </w:numPr>
        <w:tabs>
          <w:tab w:val="left" w:pos="678"/>
        </w:tabs>
        <w:spacing w:line="198" w:lineRule="exact"/>
        <w:ind w:firstLine="0"/>
        <w:rPr>
          <w:sz w:val="18"/>
        </w:rPr>
      </w:pPr>
      <w:r>
        <w:rPr>
          <w:color w:val="231F20"/>
          <w:sz w:val="18"/>
        </w:rPr>
        <w:t>Члан</w:t>
      </w:r>
    </w:p>
    <w:p w:rsidR="00041039" w:rsidRDefault="001B26CB">
      <w:pPr>
        <w:pStyle w:val="ListParagraph"/>
        <w:numPr>
          <w:ilvl w:val="0"/>
          <w:numId w:val="560"/>
        </w:numPr>
        <w:tabs>
          <w:tab w:val="left" w:pos="633"/>
        </w:tabs>
        <w:spacing w:line="198" w:lineRule="exact"/>
        <w:ind w:firstLine="0"/>
        <w:rPr>
          <w:sz w:val="18"/>
        </w:rPr>
      </w:pPr>
      <w:r>
        <w:rPr>
          <w:color w:val="231F20"/>
          <w:sz w:val="18"/>
        </w:rPr>
        <w:t>Разлике између одређеног и неодређеног члана у ширем</w:t>
      </w:r>
      <w:r>
        <w:rPr>
          <w:color w:val="231F20"/>
          <w:spacing w:val="-4"/>
          <w:sz w:val="18"/>
        </w:rPr>
        <w:t xml:space="preserve"> контексту.</w:t>
      </w:r>
    </w:p>
    <w:p w:rsidR="00041039" w:rsidRDefault="001B26CB">
      <w:pPr>
        <w:pStyle w:val="ListParagraph"/>
        <w:numPr>
          <w:ilvl w:val="0"/>
          <w:numId w:val="540"/>
        </w:numPr>
        <w:tabs>
          <w:tab w:val="left" w:pos="678"/>
        </w:tabs>
        <w:spacing w:line="198" w:lineRule="exact"/>
        <w:ind w:firstLine="0"/>
        <w:rPr>
          <w:sz w:val="18"/>
        </w:rPr>
      </w:pPr>
      <w:r>
        <w:rPr>
          <w:color w:val="231F20"/>
          <w:sz w:val="18"/>
        </w:rPr>
        <w:t>Именице</w:t>
      </w:r>
    </w:p>
    <w:p w:rsidR="00041039" w:rsidRDefault="001B26CB">
      <w:pPr>
        <w:pStyle w:val="ListParagraph"/>
        <w:numPr>
          <w:ilvl w:val="0"/>
          <w:numId w:val="560"/>
        </w:numPr>
        <w:tabs>
          <w:tab w:val="left" w:pos="633"/>
        </w:tabs>
        <w:spacing w:line="198" w:lineRule="exact"/>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041039" w:rsidRDefault="001B26CB">
      <w:pPr>
        <w:pStyle w:val="ListParagraph"/>
        <w:numPr>
          <w:ilvl w:val="0"/>
          <w:numId w:val="540"/>
        </w:numPr>
        <w:tabs>
          <w:tab w:val="left" w:pos="678"/>
        </w:tabs>
        <w:spacing w:before="2" w:line="230" w:lineRule="auto"/>
        <w:ind w:right="8674" w:firstLine="0"/>
        <w:rPr>
          <w:sz w:val="18"/>
        </w:rPr>
      </w:pPr>
      <w:r>
        <w:rPr>
          <w:color w:val="231F20"/>
          <w:sz w:val="18"/>
        </w:rPr>
        <w:t>Заменички облици а) Заменице</w:t>
      </w:r>
    </w:p>
    <w:p w:rsidR="00041039" w:rsidRDefault="001B26CB">
      <w:pPr>
        <w:pStyle w:val="ListParagraph"/>
        <w:numPr>
          <w:ilvl w:val="0"/>
          <w:numId w:val="560"/>
        </w:numPr>
        <w:tabs>
          <w:tab w:val="left" w:pos="633"/>
        </w:tabs>
        <w:spacing w:line="194" w:lineRule="exact"/>
        <w:ind w:firstLine="0"/>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041039" w:rsidRDefault="001B26CB">
      <w:pPr>
        <w:pStyle w:val="ListParagraph"/>
        <w:numPr>
          <w:ilvl w:val="0"/>
          <w:numId w:val="560"/>
        </w:numPr>
        <w:tabs>
          <w:tab w:val="left" w:pos="633"/>
        </w:tabs>
        <w:spacing w:line="198" w:lineRule="exact"/>
        <w:ind w:firstLine="0"/>
        <w:rPr>
          <w:sz w:val="18"/>
        </w:rPr>
      </w:pPr>
      <w:r>
        <w:rPr>
          <w:color w:val="231F20"/>
          <w:sz w:val="18"/>
        </w:rPr>
        <w:t>Показне</w:t>
      </w:r>
      <w:r>
        <w:rPr>
          <w:color w:val="231F20"/>
          <w:spacing w:val="-1"/>
          <w:sz w:val="18"/>
        </w:rPr>
        <w:t xml:space="preserve"> </w:t>
      </w:r>
      <w:r>
        <w:rPr>
          <w:color w:val="231F20"/>
          <w:sz w:val="18"/>
        </w:rPr>
        <w:t>заменице;</w:t>
      </w:r>
    </w:p>
    <w:p w:rsidR="00041039" w:rsidRDefault="001B26CB">
      <w:pPr>
        <w:pStyle w:val="ListParagraph"/>
        <w:numPr>
          <w:ilvl w:val="0"/>
          <w:numId w:val="560"/>
        </w:numPr>
        <w:tabs>
          <w:tab w:val="left" w:pos="633"/>
        </w:tabs>
        <w:spacing w:before="2" w:line="230" w:lineRule="auto"/>
        <w:ind w:right="8681"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041039" w:rsidRDefault="001B26CB">
      <w:pPr>
        <w:pStyle w:val="ListParagraph"/>
        <w:numPr>
          <w:ilvl w:val="0"/>
          <w:numId w:val="560"/>
        </w:numPr>
        <w:tabs>
          <w:tab w:val="left" w:pos="633"/>
        </w:tabs>
        <w:spacing w:line="194"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041039" w:rsidRDefault="001B26CB">
      <w:pPr>
        <w:pStyle w:val="ListParagraph"/>
        <w:numPr>
          <w:ilvl w:val="0"/>
          <w:numId w:val="560"/>
        </w:numPr>
        <w:tabs>
          <w:tab w:val="left" w:pos="633"/>
        </w:tabs>
        <w:spacing w:line="198" w:lineRule="exact"/>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041039" w:rsidRDefault="001B26CB">
      <w:pPr>
        <w:pStyle w:val="ListParagraph"/>
        <w:numPr>
          <w:ilvl w:val="0"/>
          <w:numId w:val="560"/>
        </w:numPr>
        <w:tabs>
          <w:tab w:val="left" w:pos="633"/>
        </w:tabs>
        <w:spacing w:line="198" w:lineRule="exact"/>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041039" w:rsidRDefault="001B26CB">
      <w:pPr>
        <w:pStyle w:val="ListParagraph"/>
        <w:numPr>
          <w:ilvl w:val="0"/>
          <w:numId w:val="540"/>
        </w:numPr>
        <w:tabs>
          <w:tab w:val="left" w:pos="678"/>
        </w:tabs>
        <w:spacing w:line="198" w:lineRule="exact"/>
        <w:ind w:firstLine="0"/>
        <w:rPr>
          <w:sz w:val="18"/>
        </w:rPr>
      </w:pPr>
      <w:r>
        <w:rPr>
          <w:color w:val="231F20"/>
          <w:sz w:val="18"/>
        </w:rPr>
        <w:t>Придеви</w:t>
      </w:r>
    </w:p>
    <w:p w:rsidR="00041039" w:rsidRDefault="001B26CB">
      <w:pPr>
        <w:pStyle w:val="ListParagraph"/>
        <w:numPr>
          <w:ilvl w:val="0"/>
          <w:numId w:val="560"/>
        </w:numPr>
        <w:tabs>
          <w:tab w:val="left" w:pos="633"/>
        </w:tabs>
        <w:spacing w:line="198" w:lineRule="exact"/>
        <w:ind w:firstLine="0"/>
        <w:rPr>
          <w:sz w:val="18"/>
        </w:rPr>
      </w:pPr>
      <w:r>
        <w:rPr>
          <w:color w:val="231F20"/>
          <w:sz w:val="18"/>
        </w:rPr>
        <w:t>Обновити компарацију</w:t>
      </w:r>
      <w:r>
        <w:rPr>
          <w:color w:val="231F20"/>
          <w:spacing w:val="-2"/>
          <w:sz w:val="18"/>
        </w:rPr>
        <w:t xml:space="preserve"> </w:t>
      </w:r>
      <w:r>
        <w:rPr>
          <w:color w:val="231F20"/>
          <w:sz w:val="18"/>
        </w:rPr>
        <w:t>придева;</w:t>
      </w:r>
    </w:p>
    <w:p w:rsidR="00041039" w:rsidRDefault="001B26CB">
      <w:pPr>
        <w:spacing w:line="198" w:lineRule="exact"/>
        <w:ind w:left="497"/>
        <w:rPr>
          <w:i/>
          <w:sz w:val="18"/>
        </w:rPr>
      </w:pPr>
      <w:r>
        <w:rPr>
          <w:i/>
          <w:color w:val="231F20"/>
          <w:sz w:val="18"/>
        </w:rPr>
        <w:t>– too / not…enough / not as…(as) /…than.</w:t>
      </w:r>
    </w:p>
    <w:p w:rsidR="00041039" w:rsidRDefault="001B26CB">
      <w:pPr>
        <w:pStyle w:val="ListParagraph"/>
        <w:numPr>
          <w:ilvl w:val="0"/>
          <w:numId w:val="540"/>
        </w:numPr>
        <w:tabs>
          <w:tab w:val="left" w:pos="678"/>
        </w:tabs>
        <w:spacing w:line="198" w:lineRule="exact"/>
        <w:ind w:firstLine="0"/>
        <w:rPr>
          <w:sz w:val="18"/>
        </w:rPr>
      </w:pPr>
      <w:r>
        <w:rPr>
          <w:color w:val="231F20"/>
          <w:sz w:val="18"/>
        </w:rPr>
        <w:t>Бројеви</w:t>
      </w:r>
    </w:p>
    <w:p w:rsidR="00041039" w:rsidRDefault="001B26CB">
      <w:pPr>
        <w:pStyle w:val="ListParagraph"/>
        <w:numPr>
          <w:ilvl w:val="0"/>
          <w:numId w:val="539"/>
        </w:numPr>
        <w:tabs>
          <w:tab w:val="left" w:pos="633"/>
        </w:tabs>
        <w:spacing w:line="198" w:lineRule="exact"/>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041039" w:rsidRDefault="001B26CB">
      <w:pPr>
        <w:pStyle w:val="ListParagraph"/>
        <w:numPr>
          <w:ilvl w:val="0"/>
          <w:numId w:val="540"/>
        </w:numPr>
        <w:tabs>
          <w:tab w:val="left" w:pos="678"/>
        </w:tabs>
        <w:spacing w:line="202" w:lineRule="exact"/>
        <w:ind w:firstLine="0"/>
        <w:rPr>
          <w:sz w:val="18"/>
        </w:rPr>
      </w:pPr>
      <w:r>
        <w:rPr>
          <w:color w:val="231F20"/>
          <w:sz w:val="18"/>
        </w:rPr>
        <w:t>Квантификатори</w:t>
      </w:r>
    </w:p>
    <w:p w:rsidR="00041039" w:rsidRDefault="00041039">
      <w:pPr>
        <w:pStyle w:val="BodyText"/>
        <w:spacing w:before="5"/>
        <w:rPr>
          <w:sz w:val="16"/>
        </w:rPr>
      </w:pPr>
    </w:p>
    <w:p w:rsidR="00041039" w:rsidRDefault="001B26CB">
      <w:pPr>
        <w:pStyle w:val="ListParagraph"/>
        <w:numPr>
          <w:ilvl w:val="0"/>
          <w:numId w:val="541"/>
        </w:numPr>
        <w:tabs>
          <w:tab w:val="left" w:pos="753"/>
        </w:tabs>
        <w:spacing w:line="202" w:lineRule="exact"/>
        <w:ind w:left="752" w:hanging="255"/>
        <w:rPr>
          <w:b/>
          <w:sz w:val="18"/>
        </w:rPr>
      </w:pPr>
      <w:r>
        <w:rPr>
          <w:b/>
          <w:color w:val="231F20"/>
          <w:spacing w:val="-6"/>
          <w:sz w:val="18"/>
        </w:rPr>
        <w:t>ГЛAГОЛСКА</w:t>
      </w:r>
      <w:r>
        <w:rPr>
          <w:b/>
          <w:color w:val="231F20"/>
          <w:spacing w:val="-1"/>
          <w:sz w:val="18"/>
        </w:rPr>
        <w:t xml:space="preserve"> </w:t>
      </w:r>
      <w:r>
        <w:rPr>
          <w:b/>
          <w:color w:val="231F20"/>
          <w:sz w:val="18"/>
        </w:rPr>
        <w:t>ГРУПА</w:t>
      </w:r>
    </w:p>
    <w:p w:rsidR="00041039" w:rsidRDefault="001B26CB">
      <w:pPr>
        <w:pStyle w:val="ListParagraph"/>
        <w:numPr>
          <w:ilvl w:val="0"/>
          <w:numId w:val="538"/>
        </w:numPr>
        <w:tabs>
          <w:tab w:val="left" w:pos="678"/>
        </w:tabs>
        <w:spacing w:line="198" w:lineRule="exact"/>
        <w:rPr>
          <w:sz w:val="18"/>
        </w:rPr>
      </w:pPr>
      <w:r>
        <w:rPr>
          <w:color w:val="231F20"/>
          <w:spacing w:val="-4"/>
          <w:sz w:val="18"/>
        </w:rPr>
        <w:t>Глаголи</w:t>
      </w:r>
    </w:p>
    <w:p w:rsidR="00041039" w:rsidRDefault="001B26CB">
      <w:pPr>
        <w:pStyle w:val="ListParagraph"/>
        <w:numPr>
          <w:ilvl w:val="0"/>
          <w:numId w:val="539"/>
        </w:numPr>
        <w:tabs>
          <w:tab w:val="left" w:pos="633"/>
        </w:tabs>
        <w:spacing w:line="198" w:lineRule="exact"/>
        <w:rPr>
          <w:sz w:val="18"/>
        </w:rPr>
      </w:pPr>
      <w:r>
        <w:rPr>
          <w:color w:val="231F20"/>
          <w:sz w:val="18"/>
        </w:rPr>
        <w:t>Обновити и утврдити сва садашња</w:t>
      </w:r>
      <w:r>
        <w:rPr>
          <w:color w:val="231F20"/>
          <w:spacing w:val="-3"/>
          <w:sz w:val="18"/>
        </w:rPr>
        <w:t xml:space="preserve"> </w:t>
      </w:r>
      <w:r>
        <w:rPr>
          <w:color w:val="231F20"/>
          <w:sz w:val="18"/>
        </w:rPr>
        <w:t>времена;</w:t>
      </w:r>
    </w:p>
    <w:p w:rsidR="00041039" w:rsidRDefault="001B26CB">
      <w:pPr>
        <w:pStyle w:val="ListParagraph"/>
        <w:numPr>
          <w:ilvl w:val="0"/>
          <w:numId w:val="539"/>
        </w:numPr>
        <w:tabs>
          <w:tab w:val="left" w:pos="633"/>
        </w:tabs>
        <w:spacing w:line="198" w:lineRule="exact"/>
        <w:rPr>
          <w:sz w:val="18"/>
        </w:rPr>
      </w:pPr>
      <w:r>
        <w:rPr>
          <w:color w:val="231F20"/>
          <w:sz w:val="18"/>
        </w:rPr>
        <w:t>Обновити и утврдити сва прошла</w:t>
      </w:r>
      <w:r>
        <w:rPr>
          <w:color w:val="231F20"/>
          <w:spacing w:val="-4"/>
          <w:sz w:val="18"/>
        </w:rPr>
        <w:t xml:space="preserve"> </w:t>
      </w:r>
      <w:r>
        <w:rPr>
          <w:color w:val="231F20"/>
          <w:sz w:val="18"/>
        </w:rPr>
        <w:t>времена;</w:t>
      </w:r>
    </w:p>
    <w:p w:rsidR="00041039" w:rsidRDefault="001B26CB">
      <w:pPr>
        <w:pStyle w:val="ListParagraph"/>
        <w:numPr>
          <w:ilvl w:val="0"/>
          <w:numId w:val="539"/>
        </w:numPr>
        <w:tabs>
          <w:tab w:val="left" w:pos="633"/>
        </w:tabs>
        <w:spacing w:line="198" w:lineRule="exact"/>
        <w:rPr>
          <w:sz w:val="18"/>
        </w:rPr>
      </w:pPr>
      <w:r>
        <w:rPr>
          <w:color w:val="231F20"/>
          <w:sz w:val="18"/>
        </w:rPr>
        <w:t>Разлика између Used to и Past Continuous</w:t>
      </w:r>
      <w:r>
        <w:rPr>
          <w:color w:val="231F20"/>
          <w:spacing w:val="-8"/>
          <w:sz w:val="18"/>
        </w:rPr>
        <w:t xml:space="preserve"> </w:t>
      </w:r>
      <w:r>
        <w:rPr>
          <w:color w:val="231F20"/>
          <w:spacing w:val="-3"/>
          <w:sz w:val="18"/>
        </w:rPr>
        <w:t>Tense;</w:t>
      </w:r>
    </w:p>
    <w:p w:rsidR="00041039" w:rsidRDefault="001B26CB">
      <w:pPr>
        <w:pStyle w:val="ListParagraph"/>
        <w:numPr>
          <w:ilvl w:val="0"/>
          <w:numId w:val="539"/>
        </w:numPr>
        <w:tabs>
          <w:tab w:val="left" w:pos="633"/>
        </w:tabs>
        <w:spacing w:line="198" w:lineRule="exact"/>
        <w:rPr>
          <w:sz w:val="18"/>
        </w:rPr>
      </w:pPr>
      <w:r>
        <w:rPr>
          <w:color w:val="231F20"/>
          <w:sz w:val="18"/>
        </w:rPr>
        <w:t>Обновити и утврдити све начине зa изражавање</w:t>
      </w:r>
      <w:r>
        <w:rPr>
          <w:color w:val="231F20"/>
          <w:spacing w:val="-6"/>
          <w:sz w:val="18"/>
        </w:rPr>
        <w:t xml:space="preserve"> </w:t>
      </w:r>
      <w:r>
        <w:rPr>
          <w:color w:val="231F20"/>
          <w:sz w:val="18"/>
        </w:rPr>
        <w:t>будућности;</w:t>
      </w:r>
    </w:p>
    <w:p w:rsidR="00041039" w:rsidRDefault="001B26CB">
      <w:pPr>
        <w:pStyle w:val="ListParagraph"/>
        <w:numPr>
          <w:ilvl w:val="0"/>
          <w:numId w:val="539"/>
        </w:numPr>
        <w:tabs>
          <w:tab w:val="left" w:pos="633"/>
        </w:tabs>
        <w:spacing w:line="198" w:lineRule="exact"/>
        <w:rPr>
          <w:sz w:val="18"/>
        </w:rPr>
      </w:pPr>
      <w:r>
        <w:rPr>
          <w:color w:val="231F20"/>
          <w:spacing w:val="-3"/>
          <w:sz w:val="18"/>
        </w:rPr>
        <w:t>Глаголски</w:t>
      </w:r>
      <w:r>
        <w:rPr>
          <w:color w:val="231F20"/>
          <w:spacing w:val="-1"/>
          <w:sz w:val="18"/>
        </w:rPr>
        <w:t xml:space="preserve"> </w:t>
      </w:r>
      <w:r>
        <w:rPr>
          <w:color w:val="231F20"/>
          <w:sz w:val="18"/>
        </w:rPr>
        <w:t>обрасци;</w:t>
      </w:r>
    </w:p>
    <w:p w:rsidR="00041039" w:rsidRDefault="001B26CB">
      <w:pPr>
        <w:pStyle w:val="ListParagraph"/>
        <w:numPr>
          <w:ilvl w:val="0"/>
          <w:numId w:val="539"/>
        </w:numPr>
        <w:tabs>
          <w:tab w:val="left" w:pos="633"/>
        </w:tabs>
        <w:spacing w:line="198" w:lineRule="exact"/>
        <w:rPr>
          <w:sz w:val="18"/>
        </w:rPr>
      </w:pPr>
      <w:r>
        <w:rPr>
          <w:color w:val="231F20"/>
          <w:spacing w:val="-4"/>
          <w:sz w:val="18"/>
        </w:rPr>
        <w:t>Глаголи</w:t>
      </w:r>
      <w:r>
        <w:rPr>
          <w:color w:val="231F20"/>
          <w:spacing w:val="-1"/>
          <w:sz w:val="18"/>
        </w:rPr>
        <w:t xml:space="preserve"> </w:t>
      </w:r>
      <w:r>
        <w:rPr>
          <w:color w:val="231F20"/>
          <w:sz w:val="18"/>
        </w:rPr>
        <w:t>стања;</w:t>
      </w:r>
    </w:p>
    <w:p w:rsidR="00041039" w:rsidRDefault="001B26CB">
      <w:pPr>
        <w:pStyle w:val="ListParagraph"/>
        <w:numPr>
          <w:ilvl w:val="0"/>
          <w:numId w:val="539"/>
        </w:numPr>
        <w:tabs>
          <w:tab w:val="left" w:pos="633"/>
        </w:tabs>
        <w:spacing w:line="198" w:lineRule="exact"/>
        <w:rPr>
          <w:sz w:val="18"/>
        </w:rPr>
      </w:pPr>
      <w:r>
        <w:rPr>
          <w:color w:val="231F20"/>
          <w:sz w:val="18"/>
        </w:rPr>
        <w:t xml:space="preserve">Модални </w:t>
      </w:r>
      <w:r>
        <w:rPr>
          <w:color w:val="231F20"/>
          <w:spacing w:val="-3"/>
          <w:sz w:val="18"/>
        </w:rPr>
        <w:t xml:space="preserve">глаголи: </w:t>
      </w:r>
      <w:r>
        <w:rPr>
          <w:color w:val="231F20"/>
          <w:sz w:val="18"/>
        </w:rPr>
        <w:t xml:space="preserve">should, must, will, </w:t>
      </w:r>
      <w:r>
        <w:rPr>
          <w:color w:val="231F20"/>
          <w:spacing w:val="-3"/>
          <w:sz w:val="18"/>
        </w:rPr>
        <w:t>may,</w:t>
      </w:r>
      <w:r>
        <w:rPr>
          <w:color w:val="231F20"/>
          <w:spacing w:val="-2"/>
          <w:sz w:val="18"/>
        </w:rPr>
        <w:t xml:space="preserve"> </w:t>
      </w:r>
      <w:r>
        <w:rPr>
          <w:color w:val="231F20"/>
          <w:sz w:val="18"/>
        </w:rPr>
        <w:t>might;</w:t>
      </w:r>
    </w:p>
    <w:p w:rsidR="00041039" w:rsidRDefault="001B26CB">
      <w:pPr>
        <w:pStyle w:val="ListParagraph"/>
        <w:numPr>
          <w:ilvl w:val="0"/>
          <w:numId w:val="539"/>
        </w:numPr>
        <w:tabs>
          <w:tab w:val="left" w:pos="631"/>
        </w:tabs>
        <w:spacing w:line="198" w:lineRule="exact"/>
        <w:ind w:left="630" w:hanging="133"/>
        <w:rPr>
          <w:sz w:val="18"/>
        </w:rPr>
      </w:pPr>
      <w:r>
        <w:rPr>
          <w:color w:val="231F20"/>
          <w:sz w:val="18"/>
        </w:rPr>
        <w:t>Пасивне</w:t>
      </w:r>
      <w:r>
        <w:rPr>
          <w:color w:val="231F20"/>
          <w:spacing w:val="-13"/>
          <w:sz w:val="18"/>
        </w:rPr>
        <w:t xml:space="preserve"> </w:t>
      </w:r>
      <w:r>
        <w:rPr>
          <w:color w:val="231F20"/>
          <w:sz w:val="18"/>
        </w:rPr>
        <w:t>конструкције</w:t>
      </w:r>
      <w:r>
        <w:rPr>
          <w:color w:val="231F20"/>
          <w:spacing w:val="-13"/>
          <w:sz w:val="18"/>
        </w:rPr>
        <w:t xml:space="preserve"> </w:t>
      </w:r>
      <w:r>
        <w:rPr>
          <w:color w:val="231F20"/>
          <w:sz w:val="18"/>
        </w:rPr>
        <w:t>­</w:t>
      </w:r>
      <w:r>
        <w:rPr>
          <w:color w:val="231F20"/>
          <w:spacing w:val="-13"/>
          <w:sz w:val="18"/>
        </w:rPr>
        <w:t xml:space="preserve"> </w:t>
      </w:r>
      <w:r>
        <w:rPr>
          <w:color w:val="231F20"/>
          <w:sz w:val="18"/>
        </w:rPr>
        <w:t>the</w:t>
      </w:r>
      <w:r>
        <w:rPr>
          <w:color w:val="231F20"/>
          <w:spacing w:val="-13"/>
          <w:sz w:val="18"/>
        </w:rPr>
        <w:t xml:space="preserve"> </w:t>
      </w:r>
      <w:r>
        <w:rPr>
          <w:color w:val="231F20"/>
          <w:sz w:val="18"/>
        </w:rPr>
        <w:t>Present</w:t>
      </w:r>
      <w:r>
        <w:rPr>
          <w:color w:val="231F20"/>
          <w:spacing w:val="-13"/>
          <w:sz w:val="18"/>
        </w:rPr>
        <w:t xml:space="preserve"> </w:t>
      </w:r>
      <w:r>
        <w:rPr>
          <w:color w:val="231F20"/>
          <w:sz w:val="18"/>
        </w:rPr>
        <w:t>Simple,</w:t>
      </w:r>
      <w:r>
        <w:rPr>
          <w:color w:val="231F20"/>
          <w:spacing w:val="-13"/>
          <w:sz w:val="18"/>
        </w:rPr>
        <w:t xml:space="preserve"> </w:t>
      </w:r>
      <w:r>
        <w:rPr>
          <w:color w:val="231F20"/>
          <w:sz w:val="18"/>
        </w:rPr>
        <w:t>Past</w:t>
      </w:r>
      <w:r>
        <w:rPr>
          <w:color w:val="231F20"/>
          <w:spacing w:val="-13"/>
          <w:sz w:val="18"/>
        </w:rPr>
        <w:t xml:space="preserve"> </w:t>
      </w:r>
      <w:r>
        <w:rPr>
          <w:color w:val="231F20"/>
          <w:sz w:val="18"/>
        </w:rPr>
        <w:t>Simple,</w:t>
      </w:r>
      <w:r>
        <w:rPr>
          <w:color w:val="231F20"/>
          <w:spacing w:val="-13"/>
          <w:sz w:val="18"/>
        </w:rPr>
        <w:t xml:space="preserve"> </w:t>
      </w:r>
      <w:r>
        <w:rPr>
          <w:color w:val="231F20"/>
          <w:sz w:val="18"/>
        </w:rPr>
        <w:t>Present</w:t>
      </w:r>
      <w:r>
        <w:rPr>
          <w:color w:val="231F20"/>
          <w:spacing w:val="-13"/>
          <w:sz w:val="18"/>
        </w:rPr>
        <w:t xml:space="preserve"> </w:t>
      </w:r>
      <w:r>
        <w:rPr>
          <w:color w:val="231F20"/>
          <w:sz w:val="18"/>
        </w:rPr>
        <w:t>Perfect</w:t>
      </w:r>
      <w:r>
        <w:rPr>
          <w:color w:val="231F20"/>
          <w:spacing w:val="-13"/>
          <w:sz w:val="18"/>
        </w:rPr>
        <w:t xml:space="preserve"> </w:t>
      </w:r>
      <w:r>
        <w:rPr>
          <w:color w:val="231F20"/>
          <w:sz w:val="18"/>
        </w:rPr>
        <w:t>(продуктивно</w:t>
      </w:r>
      <w:r>
        <w:rPr>
          <w:color w:val="231F20"/>
          <w:spacing w:val="-13"/>
          <w:sz w:val="18"/>
        </w:rPr>
        <w:t xml:space="preserve"> </w:t>
      </w:r>
      <w:r>
        <w:rPr>
          <w:color w:val="231F20"/>
          <w:sz w:val="18"/>
        </w:rPr>
        <w:t>и</w:t>
      </w:r>
      <w:r>
        <w:rPr>
          <w:color w:val="231F20"/>
          <w:spacing w:val="-13"/>
          <w:sz w:val="18"/>
        </w:rPr>
        <w:t xml:space="preserve"> </w:t>
      </w:r>
      <w:r>
        <w:rPr>
          <w:color w:val="231F20"/>
          <w:sz w:val="18"/>
        </w:rPr>
        <w:t>рецептивно),</w:t>
      </w:r>
      <w:r>
        <w:rPr>
          <w:color w:val="231F20"/>
          <w:spacing w:val="-13"/>
          <w:sz w:val="18"/>
        </w:rPr>
        <w:t xml:space="preserve"> </w:t>
      </w:r>
      <w:r>
        <w:rPr>
          <w:color w:val="231F20"/>
          <w:sz w:val="18"/>
        </w:rPr>
        <w:t>oстала</w:t>
      </w:r>
      <w:r>
        <w:rPr>
          <w:color w:val="231F20"/>
          <w:spacing w:val="-13"/>
          <w:sz w:val="18"/>
        </w:rPr>
        <w:t xml:space="preserve"> </w:t>
      </w:r>
      <w:r>
        <w:rPr>
          <w:color w:val="231F20"/>
          <w:sz w:val="18"/>
        </w:rPr>
        <w:t>времена</w:t>
      </w:r>
      <w:r>
        <w:rPr>
          <w:color w:val="231F20"/>
          <w:spacing w:val="-13"/>
          <w:sz w:val="18"/>
        </w:rPr>
        <w:t xml:space="preserve"> </w:t>
      </w:r>
      <w:r>
        <w:rPr>
          <w:color w:val="231F20"/>
          <w:sz w:val="18"/>
        </w:rPr>
        <w:t>само</w:t>
      </w:r>
      <w:r>
        <w:rPr>
          <w:color w:val="231F20"/>
          <w:spacing w:val="-13"/>
          <w:sz w:val="18"/>
        </w:rPr>
        <w:t xml:space="preserve"> </w:t>
      </w:r>
      <w:r>
        <w:rPr>
          <w:color w:val="231F20"/>
          <w:sz w:val="18"/>
        </w:rPr>
        <w:t>рецептивно;</w:t>
      </w:r>
    </w:p>
    <w:p w:rsidR="00041039" w:rsidRDefault="001B26CB">
      <w:pPr>
        <w:pStyle w:val="ListParagraph"/>
        <w:numPr>
          <w:ilvl w:val="0"/>
          <w:numId w:val="539"/>
        </w:numPr>
        <w:tabs>
          <w:tab w:val="left" w:pos="633"/>
        </w:tabs>
        <w:spacing w:line="198" w:lineRule="exact"/>
        <w:rPr>
          <w:sz w:val="18"/>
        </w:rPr>
      </w:pPr>
      <w:r>
        <w:rPr>
          <w:color w:val="231F20"/>
          <w:sz w:val="18"/>
        </w:rPr>
        <w:t>wish + Past simple / w</w:t>
      </w:r>
      <w:r>
        <w:rPr>
          <w:i/>
          <w:color w:val="231F20"/>
          <w:sz w:val="18"/>
        </w:rPr>
        <w:t xml:space="preserve">ould - Have something done </w:t>
      </w:r>
      <w:r>
        <w:rPr>
          <w:color w:val="231F20"/>
          <w:sz w:val="18"/>
        </w:rPr>
        <w:t>(само</w:t>
      </w:r>
      <w:r>
        <w:rPr>
          <w:color w:val="231F20"/>
          <w:spacing w:val="-7"/>
          <w:sz w:val="18"/>
        </w:rPr>
        <w:t xml:space="preserve"> </w:t>
      </w:r>
      <w:r>
        <w:rPr>
          <w:color w:val="231F20"/>
          <w:sz w:val="18"/>
        </w:rPr>
        <w:t>рецептивно).</w:t>
      </w:r>
    </w:p>
    <w:p w:rsidR="00041039" w:rsidRDefault="001B26CB">
      <w:pPr>
        <w:pStyle w:val="Heading2"/>
        <w:numPr>
          <w:ilvl w:val="0"/>
          <w:numId w:val="538"/>
        </w:numPr>
        <w:tabs>
          <w:tab w:val="left" w:pos="678"/>
        </w:tabs>
        <w:spacing w:line="198" w:lineRule="exact"/>
      </w:pPr>
      <w:r>
        <w:rPr>
          <w:color w:val="231F20"/>
        </w:rPr>
        <w:t>Први и други кондиционал</w:t>
      </w:r>
      <w:r>
        <w:rPr>
          <w:color w:val="231F20"/>
        </w:rPr>
        <w:t xml:space="preserve"> (рецептивно и продуктивно); трећи кондиционал</w:t>
      </w:r>
      <w:r>
        <w:rPr>
          <w:color w:val="231F20"/>
          <w:spacing w:val="-11"/>
        </w:rPr>
        <w:t xml:space="preserve"> </w:t>
      </w:r>
      <w:r>
        <w:rPr>
          <w:color w:val="231F20"/>
        </w:rPr>
        <w:t>(рецептивно).</w:t>
      </w:r>
    </w:p>
    <w:p w:rsidR="00041039" w:rsidRDefault="001B26CB">
      <w:pPr>
        <w:pStyle w:val="ListParagraph"/>
        <w:numPr>
          <w:ilvl w:val="0"/>
          <w:numId w:val="538"/>
        </w:numPr>
        <w:tabs>
          <w:tab w:val="left" w:pos="678"/>
        </w:tabs>
        <w:spacing w:line="202" w:lineRule="exact"/>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041039" w:rsidRDefault="00041039">
      <w:pPr>
        <w:pStyle w:val="BodyText"/>
        <w:spacing w:before="5"/>
        <w:rPr>
          <w:sz w:val="16"/>
        </w:rPr>
      </w:pPr>
    </w:p>
    <w:p w:rsidR="00041039" w:rsidRDefault="001B26CB">
      <w:pPr>
        <w:spacing w:line="202" w:lineRule="exact"/>
        <w:ind w:left="497"/>
        <w:rPr>
          <w:b/>
          <w:sz w:val="18"/>
        </w:rPr>
      </w:pPr>
      <w:r>
        <w:rPr>
          <w:b/>
          <w:color w:val="231F20"/>
          <w:sz w:val="18"/>
        </w:rPr>
        <w:t>Лексикологија</w:t>
      </w:r>
    </w:p>
    <w:p w:rsidR="00041039" w:rsidRDefault="001B26CB">
      <w:pPr>
        <w:spacing w:line="202" w:lineRule="exact"/>
        <w:ind w:left="497"/>
        <w:rPr>
          <w:sz w:val="18"/>
        </w:rPr>
      </w:pPr>
      <w:r>
        <w:rPr>
          <w:color w:val="231F20"/>
          <w:sz w:val="18"/>
        </w:rPr>
        <w:t>Најчешћи идиоми и фразеологизми. Полисемија.</w:t>
      </w:r>
    </w:p>
    <w:p w:rsidR="00041039" w:rsidRDefault="00041039">
      <w:pPr>
        <w:pStyle w:val="BodyText"/>
        <w:spacing w:before="5"/>
        <w:rPr>
          <w:sz w:val="16"/>
        </w:rPr>
      </w:pPr>
    </w:p>
    <w:p w:rsidR="00041039" w:rsidRDefault="001B26CB">
      <w:pPr>
        <w:spacing w:before="1" w:line="202" w:lineRule="exact"/>
        <w:ind w:left="497"/>
        <w:rPr>
          <w:b/>
          <w:sz w:val="18"/>
        </w:rPr>
      </w:pPr>
      <w:r>
        <w:rPr>
          <w:b/>
          <w:color w:val="231F20"/>
          <w:sz w:val="18"/>
        </w:rPr>
        <w:t>Лексикографија</w:t>
      </w:r>
    </w:p>
    <w:p w:rsidR="00041039" w:rsidRDefault="001B26CB">
      <w:pPr>
        <w:spacing w:line="202" w:lineRule="exact"/>
        <w:ind w:left="497"/>
        <w:rPr>
          <w:sz w:val="18"/>
        </w:rPr>
      </w:pPr>
      <w:r>
        <w:rPr>
          <w:color w:val="231F20"/>
          <w:sz w:val="18"/>
        </w:rPr>
        <w:t>Стручни и енциклопедијски речници.</w:t>
      </w:r>
    </w:p>
    <w:p w:rsidR="00041039" w:rsidRDefault="001B26CB">
      <w:pPr>
        <w:spacing w:before="161"/>
        <w:ind w:left="3862"/>
        <w:rPr>
          <w:sz w:val="18"/>
        </w:rPr>
      </w:pPr>
      <w:r>
        <w:rPr>
          <w:color w:val="231F20"/>
          <w:sz w:val="18"/>
        </w:rPr>
        <w:t>НАЧИН ОСТВАРИВАЊА ПРОГРАМА</w:t>
      </w:r>
    </w:p>
    <w:p w:rsidR="00041039" w:rsidRDefault="00041039">
      <w:pPr>
        <w:pStyle w:val="BodyText"/>
        <w:rPr>
          <w:sz w:val="17"/>
        </w:rPr>
      </w:pPr>
    </w:p>
    <w:p w:rsidR="00041039" w:rsidRDefault="001B26CB">
      <w:pPr>
        <w:spacing w:line="230" w:lineRule="auto"/>
        <w:ind w:left="100" w:right="137" w:firstLine="396"/>
        <w:jc w:val="both"/>
        <w:rPr>
          <w:sz w:val="18"/>
        </w:rPr>
      </w:pPr>
      <w:r>
        <w:rPr>
          <w:color w:val="231F20"/>
          <w:sz w:val="18"/>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w:t>
      </w:r>
      <w:r>
        <w:rPr>
          <w:color w:val="231F20"/>
          <w:sz w:val="18"/>
        </w:rPr>
        <w:t>alk. односно прила­ 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нe толико на граматичкој прецизности исказа; претпоставља да се знања уче</w:t>
      </w:r>
      <w:r>
        <w:rPr>
          <w:color w:val="231F20"/>
          <w:sz w:val="18"/>
        </w:rPr>
        <w:t>ника мере прецизно дефинисаним релативним, а не толико апсолутним критеријумима тачности.</w:t>
      </w:r>
    </w:p>
    <w:p w:rsidR="00041039" w:rsidRDefault="001B26CB">
      <w:pPr>
        <w:spacing w:line="232" w:lineRule="auto"/>
        <w:ind w:left="100" w:right="137" w:firstLine="396"/>
        <w:jc w:val="both"/>
        <w:rPr>
          <w:sz w:val="18"/>
        </w:rPr>
      </w:pPr>
      <w:r>
        <w:rPr>
          <w:color w:val="231F20"/>
          <w:sz w:val="18"/>
        </w:rPr>
        <w:t xml:space="preserve">Један </w:t>
      </w:r>
      <w:r>
        <w:rPr>
          <w:color w:val="231F20"/>
          <w:spacing w:val="-3"/>
          <w:sz w:val="18"/>
        </w:rPr>
        <w:t xml:space="preserve">од </w:t>
      </w:r>
      <w:r>
        <w:rPr>
          <w:color w:val="231F20"/>
          <w:sz w:val="18"/>
        </w:rPr>
        <w:t>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w:t>
      </w:r>
      <w:r>
        <w:rPr>
          <w:color w:val="231F20"/>
          <w:sz w:val="18"/>
        </w:rPr>
        <w:t xml:space="preserve"> за информацијама имање или више комплексним задацима. У тим задацима увек су јасно одређени</w:t>
      </w:r>
      <w:r>
        <w:rPr>
          <w:color w:val="231F20"/>
          <w:spacing w:val="-6"/>
          <w:sz w:val="18"/>
        </w:rPr>
        <w:t xml:space="preserve"> </w:t>
      </w:r>
      <w:r>
        <w:rPr>
          <w:color w:val="231F20"/>
          <w:spacing w:val="-4"/>
          <w:sz w:val="18"/>
        </w:rPr>
        <w:t>контекст,</w:t>
      </w:r>
      <w:r>
        <w:rPr>
          <w:color w:val="231F20"/>
          <w:spacing w:val="-7"/>
          <w:sz w:val="18"/>
        </w:rPr>
        <w:t xml:space="preserve"> </w:t>
      </w:r>
      <w:r>
        <w:rPr>
          <w:color w:val="231F20"/>
          <w:sz w:val="18"/>
        </w:rPr>
        <w:t>процедура</w:t>
      </w:r>
      <w:r>
        <w:rPr>
          <w:color w:val="231F20"/>
          <w:spacing w:val="-6"/>
          <w:sz w:val="18"/>
        </w:rPr>
        <w:t xml:space="preserve"> </w:t>
      </w:r>
      <w:r>
        <w:rPr>
          <w:color w:val="231F20"/>
          <w:sz w:val="18"/>
        </w:rPr>
        <w:t>и</w:t>
      </w:r>
      <w:r>
        <w:rPr>
          <w:color w:val="231F20"/>
          <w:spacing w:val="-6"/>
          <w:sz w:val="18"/>
        </w:rPr>
        <w:t xml:space="preserve"> </w:t>
      </w:r>
      <w:r>
        <w:rPr>
          <w:color w:val="231F20"/>
          <w:sz w:val="18"/>
        </w:rPr>
        <w:t>циљ,</w:t>
      </w:r>
      <w:r>
        <w:rPr>
          <w:color w:val="231F20"/>
          <w:spacing w:val="-6"/>
          <w:sz w:val="18"/>
        </w:rPr>
        <w:t xml:space="preserve"> </w:t>
      </w:r>
      <w:r>
        <w:rPr>
          <w:color w:val="231F20"/>
          <w:sz w:val="18"/>
        </w:rPr>
        <w:t>чиме</w:t>
      </w:r>
      <w:r>
        <w:rPr>
          <w:color w:val="231F20"/>
          <w:spacing w:val="-7"/>
          <w:sz w:val="18"/>
        </w:rPr>
        <w:t xml:space="preserve"> </w:t>
      </w:r>
      <w:r>
        <w:rPr>
          <w:color w:val="231F20"/>
          <w:sz w:val="18"/>
        </w:rPr>
        <w:t>се</w:t>
      </w:r>
      <w:r>
        <w:rPr>
          <w:color w:val="231F20"/>
          <w:spacing w:val="-7"/>
          <w:sz w:val="18"/>
        </w:rPr>
        <w:t xml:space="preserve"> </w:t>
      </w:r>
      <w:r>
        <w:rPr>
          <w:color w:val="231F20"/>
          <w:sz w:val="18"/>
        </w:rPr>
        <w:t>унапређује</w:t>
      </w:r>
      <w:r>
        <w:rPr>
          <w:color w:val="231F20"/>
          <w:spacing w:val="-7"/>
          <w:sz w:val="18"/>
        </w:rPr>
        <w:t xml:space="preserve"> </w:t>
      </w:r>
      <w:r>
        <w:rPr>
          <w:color w:val="231F20"/>
          <w:sz w:val="18"/>
        </w:rPr>
        <w:t>квантитет</w:t>
      </w:r>
      <w:r>
        <w:rPr>
          <w:color w:val="231F20"/>
          <w:spacing w:val="-7"/>
          <w:sz w:val="18"/>
        </w:rPr>
        <w:t xml:space="preserve"> </w:t>
      </w:r>
      <w:r>
        <w:rPr>
          <w:color w:val="231F20"/>
          <w:sz w:val="18"/>
        </w:rPr>
        <w:t>језичког</w:t>
      </w:r>
      <w:r>
        <w:rPr>
          <w:color w:val="231F20"/>
          <w:spacing w:val="-7"/>
          <w:sz w:val="18"/>
        </w:rPr>
        <w:t xml:space="preserve"> </w:t>
      </w:r>
      <w:r>
        <w:rPr>
          <w:color w:val="231F20"/>
          <w:sz w:val="18"/>
        </w:rPr>
        <w:t>материјала</w:t>
      </w:r>
      <w:r>
        <w:rPr>
          <w:color w:val="231F20"/>
          <w:spacing w:val="-7"/>
          <w:sz w:val="18"/>
        </w:rPr>
        <w:t xml:space="preserve"> </w:t>
      </w:r>
      <w:r>
        <w:rPr>
          <w:color w:val="231F20"/>
          <w:spacing w:val="-3"/>
          <w:sz w:val="18"/>
        </w:rPr>
        <w:t>који</w:t>
      </w:r>
      <w:r>
        <w:rPr>
          <w:color w:val="231F20"/>
          <w:spacing w:val="-7"/>
          <w:sz w:val="18"/>
        </w:rPr>
        <w:t xml:space="preserve"> </w:t>
      </w:r>
      <w:r>
        <w:rPr>
          <w:color w:val="231F20"/>
          <w:sz w:val="18"/>
        </w:rPr>
        <w:t>је</w:t>
      </w:r>
      <w:r>
        <w:rPr>
          <w:color w:val="231F20"/>
          <w:spacing w:val="-6"/>
          <w:sz w:val="18"/>
        </w:rPr>
        <w:t xml:space="preserve"> </w:t>
      </w:r>
      <w:r>
        <w:rPr>
          <w:color w:val="231F20"/>
          <w:sz w:val="18"/>
        </w:rPr>
        <w:t>неопходан</w:t>
      </w:r>
      <w:r>
        <w:rPr>
          <w:color w:val="231F20"/>
          <w:spacing w:val="-6"/>
          <w:sz w:val="18"/>
        </w:rPr>
        <w:t xml:space="preserve"> </w:t>
      </w:r>
      <w:r>
        <w:rPr>
          <w:color w:val="231F20"/>
          <w:sz w:val="18"/>
        </w:rPr>
        <w:t>услов</w:t>
      </w:r>
      <w:r>
        <w:rPr>
          <w:color w:val="231F20"/>
          <w:spacing w:val="-7"/>
          <w:sz w:val="18"/>
        </w:rPr>
        <w:t xml:space="preserve"> </w:t>
      </w:r>
      <w:r>
        <w:rPr>
          <w:color w:val="231F20"/>
          <w:sz w:val="18"/>
        </w:rPr>
        <w:t>за</w:t>
      </w:r>
      <w:r>
        <w:rPr>
          <w:color w:val="231F20"/>
          <w:spacing w:val="-7"/>
          <w:sz w:val="18"/>
        </w:rPr>
        <w:t xml:space="preserve"> </w:t>
      </w:r>
      <w:r>
        <w:rPr>
          <w:color w:val="231F20"/>
          <w:sz w:val="18"/>
        </w:rPr>
        <w:t>било</w:t>
      </w:r>
      <w:r>
        <w:rPr>
          <w:color w:val="231F20"/>
          <w:spacing w:val="-6"/>
          <w:sz w:val="18"/>
        </w:rPr>
        <w:t xml:space="preserve"> </w:t>
      </w:r>
      <w:r>
        <w:rPr>
          <w:color w:val="231F20"/>
          <w:spacing w:val="-3"/>
          <w:sz w:val="18"/>
        </w:rPr>
        <w:t>које</w:t>
      </w:r>
      <w:r>
        <w:rPr>
          <w:color w:val="231F20"/>
          <w:spacing w:val="-7"/>
          <w:sz w:val="18"/>
        </w:rPr>
        <w:t xml:space="preserve"> </w:t>
      </w:r>
      <w:r>
        <w:rPr>
          <w:color w:val="231F20"/>
          <w:sz w:val="18"/>
        </w:rPr>
        <w:t>учење</w:t>
      </w:r>
      <w:r>
        <w:rPr>
          <w:color w:val="231F20"/>
          <w:spacing w:val="-7"/>
          <w:sz w:val="18"/>
        </w:rPr>
        <w:t xml:space="preserve"> </w:t>
      </w:r>
      <w:r>
        <w:rPr>
          <w:color w:val="231F20"/>
          <w:sz w:val="18"/>
        </w:rPr>
        <w:t>језика.</w:t>
      </w:r>
    </w:p>
    <w:p w:rsidR="00041039" w:rsidRDefault="00041039">
      <w:pPr>
        <w:spacing w:line="232" w:lineRule="auto"/>
        <w:jc w:val="both"/>
        <w:rPr>
          <w:sz w:val="18"/>
        </w:rPr>
        <w:sectPr w:rsidR="00041039">
          <w:pgSz w:w="11910" w:h="15710"/>
          <w:pgMar w:top="160" w:right="540" w:bottom="280" w:left="580" w:header="720" w:footer="720" w:gutter="0"/>
          <w:cols w:space="720"/>
        </w:sectPr>
      </w:pPr>
    </w:p>
    <w:p w:rsidR="00041039" w:rsidRDefault="001B26CB">
      <w:pPr>
        <w:spacing w:before="63" w:line="203" w:lineRule="exact"/>
        <w:ind w:left="497"/>
        <w:rPr>
          <w:sz w:val="18"/>
        </w:rPr>
      </w:pPr>
      <w:r>
        <w:rPr>
          <w:color w:val="231F20"/>
          <w:sz w:val="18"/>
        </w:rPr>
        <w:lastRenderedPageBreak/>
        <w:t>Такозвана комуникативн</w:t>
      </w:r>
      <w:r>
        <w:rPr>
          <w:color w:val="231F20"/>
          <w:sz w:val="18"/>
        </w:rPr>
        <w:t>о ­ интерактивна парадигма у настави страних језика, између осталог, укључује и следеће компоненте:</w:t>
      </w:r>
    </w:p>
    <w:p w:rsidR="00041039" w:rsidRDefault="001B26CB">
      <w:pPr>
        <w:pStyle w:val="ListParagraph"/>
        <w:numPr>
          <w:ilvl w:val="0"/>
          <w:numId w:val="539"/>
        </w:numPr>
        <w:tabs>
          <w:tab w:val="left" w:pos="633"/>
        </w:tabs>
        <w:rPr>
          <w:sz w:val="18"/>
        </w:rPr>
      </w:pPr>
      <w:r>
        <w:rPr>
          <w:color w:val="231F20"/>
          <w:sz w:val="18"/>
        </w:rPr>
        <w:t>усвајање језичког садржаја кроз циљано и осмишљено учествовање у друштвеном</w:t>
      </w:r>
      <w:r>
        <w:rPr>
          <w:color w:val="231F20"/>
          <w:spacing w:val="-6"/>
          <w:sz w:val="18"/>
        </w:rPr>
        <w:t xml:space="preserve"> </w:t>
      </w:r>
      <w:r>
        <w:rPr>
          <w:color w:val="231F20"/>
          <w:sz w:val="18"/>
        </w:rPr>
        <w:t>чину;</w:t>
      </w:r>
    </w:p>
    <w:p w:rsidR="00041039" w:rsidRDefault="001B26CB">
      <w:pPr>
        <w:pStyle w:val="ListParagraph"/>
        <w:numPr>
          <w:ilvl w:val="0"/>
          <w:numId w:val="539"/>
        </w:numPr>
        <w:tabs>
          <w:tab w:val="left" w:pos="633"/>
        </w:tabs>
        <w:rPr>
          <w:sz w:val="18"/>
        </w:rPr>
      </w:pPr>
      <w:r>
        <w:rPr>
          <w:color w:val="231F20"/>
          <w:sz w:val="18"/>
        </w:rPr>
        <w:t>поимање наставног програма као динамичне заједнички припремљене и ажуриране листе задатака и</w:t>
      </w:r>
      <w:r>
        <w:rPr>
          <w:color w:val="231F20"/>
          <w:spacing w:val="-17"/>
          <w:sz w:val="18"/>
        </w:rPr>
        <w:t xml:space="preserve"> </w:t>
      </w:r>
      <w:r>
        <w:rPr>
          <w:color w:val="231F20"/>
          <w:sz w:val="18"/>
        </w:rPr>
        <w:t>активности;</w:t>
      </w:r>
    </w:p>
    <w:p w:rsidR="00041039" w:rsidRDefault="001B26CB">
      <w:pPr>
        <w:pStyle w:val="ListParagraph"/>
        <w:numPr>
          <w:ilvl w:val="0"/>
          <w:numId w:val="539"/>
        </w:numPr>
        <w:tabs>
          <w:tab w:val="left" w:pos="633"/>
        </w:tabs>
        <w:rPr>
          <w:sz w:val="18"/>
        </w:rPr>
      </w:pPr>
      <w:r>
        <w:rPr>
          <w:color w:val="231F20"/>
          <w:sz w:val="18"/>
        </w:rPr>
        <w:t>наставник је ту да омогући приступ и прихватање нових</w:t>
      </w:r>
      <w:r>
        <w:rPr>
          <w:color w:val="231F20"/>
          <w:spacing w:val="-5"/>
          <w:sz w:val="18"/>
        </w:rPr>
        <w:t xml:space="preserve"> </w:t>
      </w:r>
      <w:r>
        <w:rPr>
          <w:color w:val="231F20"/>
          <w:sz w:val="18"/>
        </w:rPr>
        <w:t>идеја;</w:t>
      </w:r>
    </w:p>
    <w:p w:rsidR="00041039" w:rsidRDefault="001B26CB">
      <w:pPr>
        <w:pStyle w:val="ListParagraph"/>
        <w:numPr>
          <w:ilvl w:val="0"/>
          <w:numId w:val="539"/>
        </w:numPr>
        <w:tabs>
          <w:tab w:val="left" w:pos="633"/>
        </w:tabs>
        <w:rPr>
          <w:sz w:val="18"/>
        </w:rPr>
      </w:pPr>
      <w:r>
        <w:rPr>
          <w:color w:val="231F20"/>
          <w:sz w:val="18"/>
        </w:rPr>
        <w:t>ученици се третирају као одговорни, креативни, активни учесници у друштвеном</w:t>
      </w:r>
      <w:r>
        <w:rPr>
          <w:color w:val="231F20"/>
          <w:spacing w:val="-5"/>
          <w:sz w:val="18"/>
        </w:rPr>
        <w:t xml:space="preserve"> </w:t>
      </w:r>
      <w:r>
        <w:rPr>
          <w:color w:val="231F20"/>
          <w:sz w:val="18"/>
        </w:rPr>
        <w:t>чину;</w:t>
      </w:r>
    </w:p>
    <w:p w:rsidR="00041039" w:rsidRDefault="001B26CB">
      <w:pPr>
        <w:pStyle w:val="ListParagraph"/>
        <w:numPr>
          <w:ilvl w:val="0"/>
          <w:numId w:val="539"/>
        </w:numPr>
        <w:tabs>
          <w:tab w:val="left" w:pos="633"/>
        </w:tabs>
        <w:spacing w:before="1" w:line="232" w:lineRule="auto"/>
        <w:ind w:right="138"/>
        <w:rPr>
          <w:sz w:val="18"/>
        </w:rPr>
      </w:pPr>
      <w:r>
        <w:rPr>
          <w:color w:val="231F20"/>
          <w:sz w:val="18"/>
        </w:rPr>
        <w:t>уџбениц</w:t>
      </w:r>
      <w:r>
        <w:rPr>
          <w:color w:val="231F20"/>
          <w:sz w:val="18"/>
        </w:rPr>
        <w:t xml:space="preserve">и су само један </w:t>
      </w:r>
      <w:r>
        <w:rPr>
          <w:color w:val="231F20"/>
          <w:spacing w:val="-3"/>
          <w:sz w:val="18"/>
        </w:rPr>
        <w:t xml:space="preserve">од </w:t>
      </w:r>
      <w:r>
        <w:rPr>
          <w:color w:val="231F20"/>
          <w:sz w:val="18"/>
        </w:rPr>
        <w:t xml:space="preserve">ресурса; осим њих препоручује се и примена других извора информација и дидактичких материјала, учионица постаје простор </w:t>
      </w:r>
      <w:r>
        <w:rPr>
          <w:color w:val="231F20"/>
          <w:spacing w:val="-3"/>
          <w:sz w:val="18"/>
        </w:rPr>
        <w:t xml:space="preserve">који </w:t>
      </w:r>
      <w:r>
        <w:rPr>
          <w:color w:val="231F20"/>
          <w:sz w:val="18"/>
        </w:rPr>
        <w:t>је могуће реструктурирати из дана у</w:t>
      </w:r>
      <w:r>
        <w:rPr>
          <w:color w:val="231F20"/>
          <w:sz w:val="18"/>
        </w:rPr>
        <w:t xml:space="preserve"> </w:t>
      </w:r>
      <w:r>
        <w:rPr>
          <w:color w:val="231F20"/>
          <w:sz w:val="18"/>
        </w:rPr>
        <w:t>дан.</w:t>
      </w:r>
    </w:p>
    <w:p w:rsidR="00041039" w:rsidRDefault="00041039">
      <w:pPr>
        <w:pStyle w:val="BodyText"/>
        <w:spacing w:before="9"/>
        <w:rPr>
          <w:sz w:val="16"/>
        </w:rPr>
      </w:pPr>
    </w:p>
    <w:p w:rsidR="00041039" w:rsidRDefault="001B26CB">
      <w:pPr>
        <w:spacing w:before="1" w:line="203" w:lineRule="exact"/>
        <w:ind w:left="497"/>
        <w:rPr>
          <w:b/>
          <w:sz w:val="18"/>
        </w:rPr>
      </w:pPr>
      <w:r>
        <w:rPr>
          <w:b/>
          <w:color w:val="231F20"/>
          <w:sz w:val="18"/>
        </w:rPr>
        <w:t>КОРЕЛАЦИЈА СА ДРУГИМ ПРЕДМЕТИМА</w:t>
      </w:r>
    </w:p>
    <w:p w:rsidR="00041039" w:rsidRDefault="001B26CB">
      <w:pPr>
        <w:pStyle w:val="ListParagraph"/>
        <w:numPr>
          <w:ilvl w:val="0"/>
          <w:numId w:val="539"/>
        </w:numPr>
        <w:tabs>
          <w:tab w:val="left" w:pos="633"/>
        </w:tabs>
        <w:rPr>
          <w:sz w:val="18"/>
        </w:rPr>
      </w:pPr>
      <w:r>
        <w:rPr>
          <w:color w:val="231F20"/>
          <w:sz w:val="18"/>
        </w:rPr>
        <w:t>Стручни енглески</w:t>
      </w:r>
      <w:r>
        <w:rPr>
          <w:color w:val="231F20"/>
          <w:spacing w:val="-1"/>
          <w:sz w:val="18"/>
        </w:rPr>
        <w:t xml:space="preserve"> </w:t>
      </w:r>
      <w:r>
        <w:rPr>
          <w:color w:val="231F20"/>
          <w:sz w:val="18"/>
        </w:rPr>
        <w:t>језик</w:t>
      </w:r>
    </w:p>
    <w:p w:rsidR="00041039" w:rsidRDefault="001B26CB">
      <w:pPr>
        <w:pStyle w:val="ListParagraph"/>
        <w:numPr>
          <w:ilvl w:val="0"/>
          <w:numId w:val="539"/>
        </w:numPr>
        <w:tabs>
          <w:tab w:val="left" w:pos="633"/>
        </w:tabs>
        <w:rPr>
          <w:sz w:val="18"/>
        </w:rPr>
      </w:pPr>
      <w:r>
        <w:rPr>
          <w:color w:val="231F20"/>
          <w:sz w:val="18"/>
        </w:rPr>
        <w:t>Рачунарство и</w:t>
      </w:r>
      <w:r>
        <w:rPr>
          <w:color w:val="231F20"/>
          <w:spacing w:val="-2"/>
          <w:sz w:val="18"/>
        </w:rPr>
        <w:t xml:space="preserve"> </w:t>
      </w:r>
      <w:r>
        <w:rPr>
          <w:color w:val="231F20"/>
          <w:sz w:val="18"/>
        </w:rPr>
        <w:t>информатика</w:t>
      </w:r>
    </w:p>
    <w:p w:rsidR="00041039" w:rsidRDefault="001B26CB">
      <w:pPr>
        <w:pStyle w:val="ListParagraph"/>
        <w:numPr>
          <w:ilvl w:val="0"/>
          <w:numId w:val="539"/>
        </w:numPr>
        <w:tabs>
          <w:tab w:val="left" w:pos="633"/>
        </w:tabs>
        <w:rPr>
          <w:sz w:val="18"/>
        </w:rPr>
      </w:pPr>
      <w:r>
        <w:rPr>
          <w:color w:val="231F20"/>
          <w:sz w:val="18"/>
        </w:rPr>
        <w:t>Рачунари</w:t>
      </w:r>
    </w:p>
    <w:p w:rsidR="00041039" w:rsidRDefault="001B26CB">
      <w:pPr>
        <w:pStyle w:val="ListParagraph"/>
        <w:numPr>
          <w:ilvl w:val="0"/>
          <w:numId w:val="539"/>
        </w:numPr>
        <w:tabs>
          <w:tab w:val="left" w:pos="633"/>
        </w:tabs>
        <w:rPr>
          <w:sz w:val="18"/>
        </w:rPr>
      </w:pPr>
      <w:r>
        <w:rPr>
          <w:color w:val="231F20"/>
          <w:sz w:val="18"/>
        </w:rPr>
        <w:t>Аеродроми</w:t>
      </w:r>
    </w:p>
    <w:p w:rsidR="00041039" w:rsidRDefault="001B26CB">
      <w:pPr>
        <w:pStyle w:val="ListParagraph"/>
        <w:numPr>
          <w:ilvl w:val="0"/>
          <w:numId w:val="539"/>
        </w:numPr>
        <w:tabs>
          <w:tab w:val="left" w:pos="633"/>
        </w:tabs>
        <w:rPr>
          <w:sz w:val="18"/>
        </w:rPr>
      </w:pPr>
      <w:r>
        <w:rPr>
          <w:color w:val="231F20"/>
          <w:spacing w:val="-3"/>
          <w:sz w:val="18"/>
        </w:rPr>
        <w:t xml:space="preserve">Аутоматска </w:t>
      </w:r>
      <w:r>
        <w:rPr>
          <w:color w:val="231F20"/>
          <w:sz w:val="18"/>
        </w:rPr>
        <w:t>обрада</w:t>
      </w:r>
      <w:r>
        <w:rPr>
          <w:color w:val="231F20"/>
          <w:spacing w:val="1"/>
          <w:sz w:val="18"/>
        </w:rPr>
        <w:t xml:space="preserve"> </w:t>
      </w:r>
      <w:r>
        <w:rPr>
          <w:color w:val="231F20"/>
          <w:sz w:val="18"/>
        </w:rPr>
        <w:t>података</w:t>
      </w:r>
    </w:p>
    <w:p w:rsidR="00041039" w:rsidRDefault="001B26CB">
      <w:pPr>
        <w:pStyle w:val="ListParagraph"/>
        <w:numPr>
          <w:ilvl w:val="0"/>
          <w:numId w:val="539"/>
        </w:numPr>
        <w:tabs>
          <w:tab w:val="left" w:pos="633"/>
        </w:tabs>
        <w:rPr>
          <w:sz w:val="18"/>
        </w:rPr>
      </w:pPr>
      <w:r>
        <w:rPr>
          <w:color w:val="231F20"/>
          <w:sz w:val="18"/>
        </w:rPr>
        <w:t>Превоз путника и</w:t>
      </w:r>
      <w:r>
        <w:rPr>
          <w:color w:val="231F20"/>
          <w:spacing w:val="-2"/>
          <w:sz w:val="18"/>
        </w:rPr>
        <w:t xml:space="preserve"> </w:t>
      </w:r>
      <w:r>
        <w:rPr>
          <w:color w:val="231F20"/>
          <w:sz w:val="18"/>
        </w:rPr>
        <w:t>робе</w:t>
      </w:r>
    </w:p>
    <w:p w:rsidR="00041039" w:rsidRDefault="001B26CB">
      <w:pPr>
        <w:pStyle w:val="ListParagraph"/>
        <w:numPr>
          <w:ilvl w:val="0"/>
          <w:numId w:val="539"/>
        </w:numPr>
        <w:tabs>
          <w:tab w:val="left" w:pos="633"/>
        </w:tabs>
        <w:spacing w:line="203" w:lineRule="exact"/>
        <w:rPr>
          <w:sz w:val="18"/>
        </w:rPr>
      </w:pPr>
      <w:r>
        <w:rPr>
          <w:color w:val="231F20"/>
          <w:sz w:val="18"/>
        </w:rPr>
        <w:t>Предузетништво</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pStyle w:val="BodyText"/>
        <w:tabs>
          <w:tab w:val="left" w:pos="1460"/>
        </w:tabs>
        <w:spacing w:before="50"/>
        <w:ind w:left="1460" w:right="445" w:hanging="1304"/>
      </w:pPr>
      <w:r>
        <w:rPr>
          <w:color w:val="231F20"/>
          <w:spacing w:val="-8"/>
        </w:rPr>
        <w:t>Циљеви</w:t>
      </w:r>
      <w:r>
        <w:rPr>
          <w:color w:val="231F20"/>
          <w:spacing w:val="-17"/>
        </w:rPr>
        <w:t xml:space="preserve"> </w:t>
      </w:r>
      <w:r>
        <w:rPr>
          <w:color w:val="231F20"/>
          <w:spacing w:val="-8"/>
        </w:rPr>
        <w:t>предмета:</w:t>
      </w:r>
      <w:r>
        <w:rPr>
          <w:color w:val="231F20"/>
          <w:spacing w:val="-8"/>
        </w:rPr>
        <w:tab/>
      </w:r>
      <w:r>
        <w:rPr>
          <w:color w:val="231F20"/>
        </w:rPr>
        <w:t>Циљ физичког васпитања је да се разноврсним и систематским моторичким активностима, у повезаности са осталим васпитно ­ образовним подручјима,</w:t>
      </w:r>
      <w:r>
        <w:rPr>
          <w:color w:val="231F20"/>
          <w:spacing w:val="-5"/>
        </w:rPr>
        <w:t xml:space="preserve"> </w:t>
      </w:r>
      <w:r>
        <w:rPr>
          <w:color w:val="231F20"/>
        </w:rPr>
        <w:t>допринесе</w:t>
      </w:r>
      <w:r>
        <w:rPr>
          <w:color w:val="231F20"/>
          <w:spacing w:val="-5"/>
        </w:rPr>
        <w:t xml:space="preserve"> </w:t>
      </w:r>
      <w:r>
        <w:rPr>
          <w:color w:val="231F20"/>
        </w:rPr>
        <w:t>интегралном</w:t>
      </w:r>
      <w:r>
        <w:rPr>
          <w:color w:val="231F20"/>
          <w:spacing w:val="-5"/>
        </w:rPr>
        <w:t xml:space="preserve"> </w:t>
      </w:r>
      <w:r>
        <w:rPr>
          <w:color w:val="231F20"/>
        </w:rPr>
        <w:t>развоју</w:t>
      </w:r>
      <w:r>
        <w:rPr>
          <w:color w:val="231F20"/>
          <w:spacing w:val="-5"/>
        </w:rPr>
        <w:t xml:space="preserve"> </w:t>
      </w:r>
      <w:r>
        <w:rPr>
          <w:color w:val="231F20"/>
        </w:rPr>
        <w:t>личности</w:t>
      </w:r>
      <w:r>
        <w:rPr>
          <w:color w:val="231F20"/>
          <w:spacing w:val="-5"/>
        </w:rPr>
        <w:t xml:space="preserve"> </w:t>
      </w:r>
      <w:r>
        <w:rPr>
          <w:color w:val="231F20"/>
        </w:rPr>
        <w:t>ученика</w:t>
      </w:r>
      <w:r>
        <w:rPr>
          <w:color w:val="231F20"/>
          <w:spacing w:val="-5"/>
        </w:rPr>
        <w:t xml:space="preserve"> </w:t>
      </w:r>
      <w:r>
        <w:rPr>
          <w:color w:val="231F20"/>
        </w:rPr>
        <w:t>(когнитивном,</w:t>
      </w:r>
      <w:r>
        <w:rPr>
          <w:color w:val="231F20"/>
          <w:spacing w:val="-5"/>
        </w:rPr>
        <w:t xml:space="preserve"> </w:t>
      </w:r>
      <w:r>
        <w:rPr>
          <w:color w:val="231F20"/>
        </w:rPr>
        <w:t>афективном,</w:t>
      </w:r>
      <w:r>
        <w:rPr>
          <w:color w:val="231F20"/>
          <w:spacing w:val="-5"/>
        </w:rPr>
        <w:t xml:space="preserve"> </w:t>
      </w:r>
      <w:r>
        <w:rPr>
          <w:color w:val="231F20"/>
        </w:rPr>
        <w:t>моторичком),</w:t>
      </w:r>
      <w:r>
        <w:rPr>
          <w:color w:val="231F20"/>
          <w:spacing w:val="-5"/>
        </w:rPr>
        <w:t xml:space="preserve"> </w:t>
      </w:r>
      <w:r>
        <w:rPr>
          <w:color w:val="231F20"/>
        </w:rPr>
        <w:t>развоју</w:t>
      </w:r>
      <w:r>
        <w:rPr>
          <w:color w:val="231F20"/>
          <w:spacing w:val="-5"/>
        </w:rPr>
        <w:t xml:space="preserve"> </w:t>
      </w:r>
      <w:r>
        <w:rPr>
          <w:color w:val="231F20"/>
        </w:rPr>
        <w:t>моторичких</w:t>
      </w:r>
      <w:r>
        <w:rPr>
          <w:color w:val="231F20"/>
          <w:spacing w:val="-5"/>
        </w:rPr>
        <w:t xml:space="preserve"> </w:t>
      </w:r>
      <w:r>
        <w:rPr>
          <w:color w:val="231F20"/>
        </w:rPr>
        <w:t>способно</w:t>
      </w:r>
      <w:r>
        <w:rPr>
          <w:color w:val="231F20"/>
        </w:rPr>
        <w:t>сти,</w:t>
      </w:r>
      <w:r>
        <w:rPr>
          <w:color w:val="231F20"/>
          <w:spacing w:val="-5"/>
        </w:rPr>
        <w:t xml:space="preserve"> </w:t>
      </w:r>
      <w:r>
        <w:rPr>
          <w:color w:val="231F20"/>
        </w:rPr>
        <w:t>стицању, усавршавању</w:t>
      </w:r>
      <w:r>
        <w:rPr>
          <w:color w:val="231F20"/>
          <w:spacing w:val="-3"/>
        </w:rPr>
        <w:t xml:space="preserve"> </w:t>
      </w:r>
      <w:r>
        <w:rPr>
          <w:color w:val="231F20"/>
        </w:rPr>
        <w:t>и</w:t>
      </w:r>
      <w:r>
        <w:rPr>
          <w:color w:val="231F20"/>
          <w:spacing w:val="-4"/>
        </w:rPr>
        <w:t xml:space="preserve"> </w:t>
      </w:r>
      <w:r>
        <w:rPr>
          <w:color w:val="231F20"/>
        </w:rPr>
        <w:t>примени</w:t>
      </w:r>
      <w:r>
        <w:rPr>
          <w:color w:val="231F20"/>
          <w:spacing w:val="-4"/>
        </w:rPr>
        <w:t xml:space="preserve"> </w:t>
      </w:r>
      <w:r>
        <w:rPr>
          <w:color w:val="231F20"/>
        </w:rPr>
        <w:t>моторичких</w:t>
      </w:r>
      <w:r>
        <w:rPr>
          <w:color w:val="231F20"/>
          <w:spacing w:val="-3"/>
        </w:rPr>
        <w:t xml:space="preserve"> </w:t>
      </w:r>
      <w:r>
        <w:rPr>
          <w:color w:val="231F20"/>
        </w:rPr>
        <w:t>умења,</w:t>
      </w:r>
      <w:r>
        <w:rPr>
          <w:color w:val="231F20"/>
          <w:spacing w:val="-3"/>
        </w:rPr>
        <w:t xml:space="preserve"> </w:t>
      </w:r>
      <w:r>
        <w:rPr>
          <w:color w:val="231F20"/>
        </w:rPr>
        <w:t>навика</w:t>
      </w:r>
      <w:r>
        <w:rPr>
          <w:color w:val="231F20"/>
          <w:spacing w:val="-3"/>
        </w:rPr>
        <w:t xml:space="preserve"> </w:t>
      </w:r>
      <w:r>
        <w:rPr>
          <w:color w:val="231F20"/>
        </w:rPr>
        <w:t>и</w:t>
      </w:r>
      <w:r>
        <w:rPr>
          <w:color w:val="231F20"/>
          <w:spacing w:val="-4"/>
        </w:rPr>
        <w:t xml:space="preserve"> </w:t>
      </w:r>
      <w:r>
        <w:rPr>
          <w:color w:val="231F20"/>
        </w:rPr>
        <w:t>неопходних</w:t>
      </w:r>
      <w:r>
        <w:rPr>
          <w:color w:val="231F20"/>
          <w:spacing w:val="-3"/>
        </w:rPr>
        <w:t xml:space="preserve"> </w:t>
      </w:r>
      <w:r>
        <w:rPr>
          <w:color w:val="231F20"/>
        </w:rPr>
        <w:t>теоријских</w:t>
      </w:r>
      <w:r>
        <w:rPr>
          <w:color w:val="231F20"/>
          <w:spacing w:val="-3"/>
        </w:rPr>
        <w:t xml:space="preserve"> </w:t>
      </w:r>
      <w:r>
        <w:rPr>
          <w:color w:val="231F20"/>
        </w:rPr>
        <w:t>знања</w:t>
      </w:r>
      <w:r>
        <w:rPr>
          <w:color w:val="231F20"/>
          <w:spacing w:val="-4"/>
        </w:rPr>
        <w:t xml:space="preserve"> </w:t>
      </w:r>
      <w:r>
        <w:rPr>
          <w:color w:val="231F20"/>
        </w:rPr>
        <w:t>у</w:t>
      </w:r>
      <w:r>
        <w:rPr>
          <w:color w:val="231F20"/>
          <w:spacing w:val="-3"/>
        </w:rPr>
        <w:t xml:space="preserve"> </w:t>
      </w:r>
      <w:r>
        <w:rPr>
          <w:color w:val="231F20"/>
        </w:rPr>
        <w:t>свакодневним</w:t>
      </w:r>
      <w:r>
        <w:rPr>
          <w:color w:val="231F20"/>
          <w:spacing w:val="-3"/>
        </w:rPr>
        <w:t xml:space="preserve"> </w:t>
      </w:r>
      <w:r>
        <w:rPr>
          <w:color w:val="231F20"/>
        </w:rPr>
        <w:t>и</w:t>
      </w:r>
      <w:r>
        <w:rPr>
          <w:color w:val="231F20"/>
          <w:spacing w:val="-4"/>
        </w:rPr>
        <w:t xml:space="preserve"> </w:t>
      </w:r>
      <w:r>
        <w:rPr>
          <w:color w:val="231F20"/>
        </w:rPr>
        <w:t>специфичним</w:t>
      </w:r>
      <w:r>
        <w:rPr>
          <w:color w:val="231F20"/>
          <w:spacing w:val="-3"/>
        </w:rPr>
        <w:t xml:space="preserve"> </w:t>
      </w:r>
      <w:r>
        <w:rPr>
          <w:color w:val="231F20"/>
        </w:rPr>
        <w:t>условима</w:t>
      </w:r>
      <w:r>
        <w:rPr>
          <w:color w:val="231F20"/>
          <w:spacing w:val="-3"/>
        </w:rPr>
        <w:t xml:space="preserve"> </w:t>
      </w:r>
      <w:r>
        <w:rPr>
          <w:color w:val="231F20"/>
        </w:rPr>
        <w:t>живота</w:t>
      </w:r>
      <w:r>
        <w:rPr>
          <w:color w:val="231F20"/>
          <w:spacing w:val="-3"/>
        </w:rPr>
        <w:t xml:space="preserve"> </w:t>
      </w:r>
      <w:r>
        <w:rPr>
          <w:color w:val="231F20"/>
        </w:rPr>
        <w:t>и</w:t>
      </w:r>
      <w:r>
        <w:rPr>
          <w:color w:val="231F20"/>
          <w:spacing w:val="-4"/>
        </w:rPr>
        <w:t xml:space="preserve"> </w:t>
      </w:r>
      <w:r>
        <w:rPr>
          <w:color w:val="231F20"/>
        </w:rPr>
        <w:t>рада.</w:t>
      </w:r>
    </w:p>
    <w:p w:rsidR="00041039" w:rsidRDefault="001B26CB">
      <w:pPr>
        <w:pStyle w:val="BodyText"/>
        <w:spacing w:line="158" w:lineRule="exact"/>
        <w:ind w:left="1460"/>
      </w:pPr>
      <w:r>
        <w:rPr>
          <w:color w:val="231F20"/>
        </w:rPr>
        <w:t>Посебни циљеви предмета:</w:t>
      </w:r>
    </w:p>
    <w:p w:rsidR="00041039" w:rsidRDefault="001B26CB">
      <w:pPr>
        <w:pStyle w:val="ListParagraph"/>
        <w:numPr>
          <w:ilvl w:val="1"/>
          <w:numId w:val="539"/>
        </w:numPr>
        <w:tabs>
          <w:tab w:val="left" w:pos="1566"/>
        </w:tabs>
        <w:spacing w:line="160" w:lineRule="exact"/>
        <w:rPr>
          <w:sz w:val="14"/>
        </w:rPr>
      </w:pPr>
      <w:r>
        <w:rPr>
          <w:color w:val="231F20"/>
          <w:sz w:val="14"/>
        </w:rPr>
        <w:t>Подстицање раста и развоја и утицање на правилно држање тела (превенција постуралних</w:t>
      </w:r>
      <w:r>
        <w:rPr>
          <w:color w:val="231F20"/>
          <w:spacing w:val="-9"/>
          <w:sz w:val="14"/>
        </w:rPr>
        <w:t xml:space="preserve"> </w:t>
      </w:r>
      <w:r>
        <w:rPr>
          <w:color w:val="231F20"/>
          <w:sz w:val="14"/>
        </w:rPr>
        <w:t>поремећаја);</w:t>
      </w:r>
    </w:p>
    <w:p w:rsidR="00041039" w:rsidRDefault="001B26CB">
      <w:pPr>
        <w:pStyle w:val="ListParagraph"/>
        <w:numPr>
          <w:ilvl w:val="1"/>
          <w:numId w:val="539"/>
        </w:numPr>
        <w:tabs>
          <w:tab w:val="left" w:pos="1566"/>
        </w:tabs>
        <w:spacing w:line="160" w:lineRule="exact"/>
        <w:rPr>
          <w:sz w:val="14"/>
        </w:rPr>
      </w:pPr>
      <w:r>
        <w:rPr>
          <w:color w:val="231F20"/>
          <w:sz w:val="14"/>
        </w:rPr>
        <w:t>Развој и усавршавање моторичких способности и теоријских знања неопходних за самостални рад на</w:t>
      </w:r>
      <w:r>
        <w:rPr>
          <w:color w:val="231F20"/>
          <w:spacing w:val="-11"/>
          <w:sz w:val="14"/>
        </w:rPr>
        <w:t xml:space="preserve"> </w:t>
      </w:r>
      <w:r>
        <w:rPr>
          <w:color w:val="231F20"/>
          <w:sz w:val="14"/>
        </w:rPr>
        <w:t>њима;</w:t>
      </w:r>
    </w:p>
    <w:p w:rsidR="00041039" w:rsidRDefault="001B26CB">
      <w:pPr>
        <w:pStyle w:val="ListParagraph"/>
        <w:numPr>
          <w:ilvl w:val="1"/>
          <w:numId w:val="539"/>
        </w:numPr>
        <w:tabs>
          <w:tab w:val="left" w:pos="1566"/>
        </w:tabs>
        <w:spacing w:line="160" w:lineRule="exact"/>
        <w:rPr>
          <w:sz w:val="14"/>
        </w:rPr>
      </w:pPr>
      <w:r>
        <w:rPr>
          <w:color w:val="231F20"/>
          <w:sz w:val="14"/>
        </w:rPr>
        <w:t>Стицање моторичких умења (вештина) и теоријских знања неопходних за њихово</w:t>
      </w:r>
      <w:r>
        <w:rPr>
          <w:color w:val="231F20"/>
          <w:spacing w:val="-8"/>
          <w:sz w:val="14"/>
        </w:rPr>
        <w:t xml:space="preserve"> </w:t>
      </w:r>
      <w:r>
        <w:rPr>
          <w:color w:val="231F20"/>
          <w:sz w:val="14"/>
        </w:rPr>
        <w:t>усвајање;</w:t>
      </w:r>
    </w:p>
    <w:p w:rsidR="00041039" w:rsidRDefault="001B26CB">
      <w:pPr>
        <w:pStyle w:val="ListParagraph"/>
        <w:numPr>
          <w:ilvl w:val="1"/>
          <w:numId w:val="539"/>
        </w:numPr>
        <w:tabs>
          <w:tab w:val="left" w:pos="1566"/>
        </w:tabs>
        <w:spacing w:line="240" w:lineRule="auto"/>
        <w:ind w:right="318"/>
        <w:rPr>
          <w:sz w:val="14"/>
        </w:rPr>
      </w:pPr>
      <w:r>
        <w:rPr>
          <w:color w:val="231F20"/>
          <w:sz w:val="14"/>
        </w:rPr>
        <w:t>Проширење</w:t>
      </w:r>
      <w:r>
        <w:rPr>
          <w:color w:val="231F20"/>
          <w:spacing w:val="-5"/>
          <w:sz w:val="14"/>
        </w:rPr>
        <w:t xml:space="preserve"> </w:t>
      </w:r>
      <w:r>
        <w:rPr>
          <w:color w:val="231F20"/>
          <w:sz w:val="14"/>
        </w:rPr>
        <w:t>и</w:t>
      </w:r>
      <w:r>
        <w:rPr>
          <w:color w:val="231F20"/>
          <w:spacing w:val="-5"/>
          <w:sz w:val="14"/>
        </w:rPr>
        <w:t xml:space="preserve"> </w:t>
      </w:r>
      <w:r>
        <w:rPr>
          <w:color w:val="231F20"/>
          <w:sz w:val="14"/>
        </w:rPr>
        <w:t>продубљивање</w:t>
      </w:r>
      <w:r>
        <w:rPr>
          <w:color w:val="231F20"/>
          <w:spacing w:val="-4"/>
          <w:sz w:val="14"/>
        </w:rPr>
        <w:t xml:space="preserve"> </w:t>
      </w:r>
      <w:r>
        <w:rPr>
          <w:color w:val="231F20"/>
          <w:sz w:val="14"/>
        </w:rPr>
        <w:t>интересовања</w:t>
      </w:r>
      <w:r>
        <w:rPr>
          <w:color w:val="231F20"/>
          <w:spacing w:val="-4"/>
          <w:sz w:val="14"/>
        </w:rPr>
        <w:t xml:space="preserve"> </w:t>
      </w:r>
      <w:r>
        <w:rPr>
          <w:color w:val="231F20"/>
          <w:sz w:val="14"/>
        </w:rPr>
        <w:t>које</w:t>
      </w:r>
      <w:r>
        <w:rPr>
          <w:color w:val="231F20"/>
          <w:spacing w:val="-4"/>
          <w:sz w:val="14"/>
        </w:rPr>
        <w:t xml:space="preserve"> </w:t>
      </w:r>
      <w:r>
        <w:rPr>
          <w:color w:val="231F20"/>
          <w:sz w:val="14"/>
        </w:rPr>
        <w:t>су</w:t>
      </w:r>
      <w:r>
        <w:rPr>
          <w:color w:val="231F20"/>
          <w:spacing w:val="-4"/>
          <w:sz w:val="14"/>
        </w:rPr>
        <w:t xml:space="preserve"> </w:t>
      </w:r>
      <w:r>
        <w:rPr>
          <w:color w:val="231F20"/>
          <w:sz w:val="14"/>
        </w:rPr>
        <w:t>ученици</w:t>
      </w:r>
      <w:r>
        <w:rPr>
          <w:color w:val="231F20"/>
          <w:spacing w:val="-4"/>
          <w:sz w:val="14"/>
        </w:rPr>
        <w:t xml:space="preserve"> </w:t>
      </w:r>
      <w:r>
        <w:rPr>
          <w:color w:val="231F20"/>
          <w:sz w:val="14"/>
        </w:rPr>
        <w:t>сте</w:t>
      </w:r>
      <w:r>
        <w:rPr>
          <w:color w:val="231F20"/>
          <w:sz w:val="14"/>
        </w:rPr>
        <w:t>кли</w:t>
      </w:r>
      <w:r>
        <w:rPr>
          <w:color w:val="231F20"/>
          <w:spacing w:val="-4"/>
          <w:sz w:val="14"/>
        </w:rPr>
        <w:t xml:space="preserve"> </w:t>
      </w:r>
      <w:r>
        <w:rPr>
          <w:color w:val="231F20"/>
          <w:sz w:val="14"/>
        </w:rPr>
        <w:t>у</w:t>
      </w:r>
      <w:r>
        <w:rPr>
          <w:color w:val="231F20"/>
          <w:spacing w:val="-4"/>
          <w:sz w:val="14"/>
        </w:rPr>
        <w:t xml:space="preserve"> </w:t>
      </w:r>
      <w:r>
        <w:rPr>
          <w:color w:val="231F20"/>
          <w:sz w:val="14"/>
        </w:rPr>
        <w:t>основној</w:t>
      </w:r>
      <w:r>
        <w:rPr>
          <w:color w:val="231F20"/>
          <w:spacing w:val="-4"/>
          <w:sz w:val="14"/>
        </w:rPr>
        <w:t xml:space="preserve"> </w:t>
      </w:r>
      <w:r>
        <w:rPr>
          <w:color w:val="231F20"/>
          <w:spacing w:val="-3"/>
          <w:sz w:val="14"/>
        </w:rPr>
        <w:t>школи</w:t>
      </w:r>
      <w:r>
        <w:rPr>
          <w:color w:val="231F20"/>
          <w:spacing w:val="-5"/>
          <w:sz w:val="14"/>
        </w:rPr>
        <w:t xml:space="preserve"> </w:t>
      </w:r>
      <w:r>
        <w:rPr>
          <w:color w:val="231F20"/>
          <w:sz w:val="14"/>
        </w:rPr>
        <w:t>и</w:t>
      </w:r>
      <w:r>
        <w:rPr>
          <w:color w:val="231F20"/>
          <w:spacing w:val="-5"/>
          <w:sz w:val="14"/>
        </w:rPr>
        <w:t xml:space="preserve"> </w:t>
      </w:r>
      <w:r>
        <w:rPr>
          <w:color w:val="231F20"/>
          <w:sz w:val="14"/>
        </w:rPr>
        <w:t>потпуније</w:t>
      </w:r>
      <w:r>
        <w:rPr>
          <w:color w:val="231F20"/>
          <w:spacing w:val="-4"/>
          <w:sz w:val="14"/>
        </w:rPr>
        <w:t xml:space="preserve"> </w:t>
      </w:r>
      <w:r>
        <w:rPr>
          <w:color w:val="231F20"/>
          <w:sz w:val="14"/>
        </w:rPr>
        <w:t>сагледавање</w:t>
      </w:r>
      <w:r>
        <w:rPr>
          <w:color w:val="231F20"/>
          <w:spacing w:val="-4"/>
          <w:sz w:val="14"/>
        </w:rPr>
        <w:t xml:space="preserve"> </w:t>
      </w:r>
      <w:r>
        <w:rPr>
          <w:color w:val="231F20"/>
          <w:sz w:val="14"/>
        </w:rPr>
        <w:t>спортске</w:t>
      </w:r>
      <w:r>
        <w:rPr>
          <w:color w:val="231F20"/>
          <w:spacing w:val="-4"/>
          <w:sz w:val="14"/>
        </w:rPr>
        <w:t xml:space="preserve"> </w:t>
      </w:r>
      <w:r>
        <w:rPr>
          <w:color w:val="231F20"/>
          <w:sz w:val="14"/>
        </w:rPr>
        <w:t>гране,</w:t>
      </w:r>
      <w:r>
        <w:rPr>
          <w:color w:val="231F20"/>
          <w:spacing w:val="-5"/>
          <w:sz w:val="14"/>
        </w:rPr>
        <w:t xml:space="preserve"> </w:t>
      </w:r>
      <w:r>
        <w:rPr>
          <w:color w:val="231F20"/>
          <w:sz w:val="14"/>
        </w:rPr>
        <w:t>за</w:t>
      </w:r>
      <w:r>
        <w:rPr>
          <w:color w:val="231F20"/>
          <w:spacing w:val="-5"/>
          <w:sz w:val="14"/>
        </w:rPr>
        <w:t xml:space="preserve"> </w:t>
      </w:r>
      <w:r>
        <w:rPr>
          <w:color w:val="231F20"/>
          <w:sz w:val="14"/>
        </w:rPr>
        <w:t>коју</w:t>
      </w:r>
      <w:r>
        <w:rPr>
          <w:color w:val="231F20"/>
          <w:spacing w:val="-4"/>
          <w:sz w:val="14"/>
        </w:rPr>
        <w:t xml:space="preserve"> </w:t>
      </w:r>
      <w:r>
        <w:rPr>
          <w:color w:val="231F20"/>
          <w:sz w:val="14"/>
        </w:rPr>
        <w:t>показују</w:t>
      </w:r>
      <w:r>
        <w:rPr>
          <w:color w:val="231F20"/>
          <w:spacing w:val="-4"/>
          <w:sz w:val="14"/>
        </w:rPr>
        <w:t xml:space="preserve"> </w:t>
      </w:r>
      <w:r>
        <w:rPr>
          <w:color w:val="231F20"/>
          <w:sz w:val="14"/>
        </w:rPr>
        <w:t>посе­ бан</w:t>
      </w:r>
      <w:r>
        <w:rPr>
          <w:color w:val="231F20"/>
          <w:spacing w:val="-1"/>
          <w:sz w:val="14"/>
        </w:rPr>
        <w:t xml:space="preserve"> </w:t>
      </w:r>
      <w:r>
        <w:rPr>
          <w:color w:val="231F20"/>
          <w:sz w:val="14"/>
        </w:rPr>
        <w:t>интерес;</w:t>
      </w:r>
    </w:p>
    <w:p w:rsidR="00041039" w:rsidRDefault="001B26CB">
      <w:pPr>
        <w:pStyle w:val="ListParagraph"/>
        <w:numPr>
          <w:ilvl w:val="1"/>
          <w:numId w:val="539"/>
        </w:numPr>
        <w:tabs>
          <w:tab w:val="left" w:pos="1566"/>
        </w:tabs>
        <w:spacing w:line="159" w:lineRule="exact"/>
        <w:rPr>
          <w:sz w:val="14"/>
        </w:rPr>
      </w:pPr>
      <w:r>
        <w:rPr>
          <w:color w:val="231F20"/>
          <w:spacing w:val="-3"/>
          <w:sz w:val="14"/>
        </w:rPr>
        <w:t>Усвајање</w:t>
      </w:r>
      <w:r>
        <w:rPr>
          <w:color w:val="231F20"/>
          <w:spacing w:val="-2"/>
          <w:sz w:val="14"/>
        </w:rPr>
        <w:t xml:space="preserve"> </w:t>
      </w:r>
      <w:r>
        <w:rPr>
          <w:color w:val="231F20"/>
          <w:sz w:val="14"/>
        </w:rPr>
        <w:t>знања</w:t>
      </w:r>
      <w:r>
        <w:rPr>
          <w:color w:val="231F20"/>
          <w:spacing w:val="-3"/>
          <w:sz w:val="14"/>
        </w:rPr>
        <w:t xml:space="preserve"> </w:t>
      </w:r>
      <w:r>
        <w:rPr>
          <w:color w:val="231F20"/>
          <w:sz w:val="14"/>
        </w:rPr>
        <w:t>ради</w:t>
      </w:r>
      <w:r>
        <w:rPr>
          <w:color w:val="231F20"/>
          <w:spacing w:val="-2"/>
          <w:sz w:val="14"/>
        </w:rPr>
        <w:t xml:space="preserve"> </w:t>
      </w:r>
      <w:r>
        <w:rPr>
          <w:color w:val="231F20"/>
          <w:sz w:val="14"/>
        </w:rPr>
        <w:t>разумевања</w:t>
      </w:r>
      <w:r>
        <w:rPr>
          <w:color w:val="231F20"/>
          <w:spacing w:val="-2"/>
          <w:sz w:val="14"/>
        </w:rPr>
        <w:t xml:space="preserve"> </w:t>
      </w:r>
      <w:r>
        <w:rPr>
          <w:color w:val="231F20"/>
          <w:sz w:val="14"/>
        </w:rPr>
        <w:t>значаја</w:t>
      </w:r>
      <w:r>
        <w:rPr>
          <w:color w:val="231F20"/>
          <w:spacing w:val="-2"/>
          <w:sz w:val="14"/>
        </w:rPr>
        <w:t xml:space="preserve"> </w:t>
      </w:r>
      <w:r>
        <w:rPr>
          <w:color w:val="231F20"/>
          <w:sz w:val="14"/>
        </w:rPr>
        <w:t>и</w:t>
      </w:r>
      <w:r>
        <w:rPr>
          <w:color w:val="231F20"/>
          <w:spacing w:val="-3"/>
          <w:sz w:val="14"/>
        </w:rPr>
        <w:t xml:space="preserve"> </w:t>
      </w:r>
      <w:r>
        <w:rPr>
          <w:color w:val="231F20"/>
          <w:sz w:val="14"/>
        </w:rPr>
        <w:t>суштине</w:t>
      </w:r>
      <w:r>
        <w:rPr>
          <w:color w:val="231F20"/>
          <w:spacing w:val="-2"/>
          <w:sz w:val="14"/>
        </w:rPr>
        <w:t xml:space="preserve"> </w:t>
      </w:r>
      <w:r>
        <w:rPr>
          <w:color w:val="231F20"/>
          <w:sz w:val="14"/>
        </w:rPr>
        <w:t>физичког</w:t>
      </w:r>
      <w:r>
        <w:rPr>
          <w:color w:val="231F20"/>
          <w:spacing w:val="-2"/>
          <w:sz w:val="14"/>
        </w:rPr>
        <w:t xml:space="preserve"> </w:t>
      </w:r>
      <w:r>
        <w:rPr>
          <w:color w:val="231F20"/>
          <w:sz w:val="14"/>
        </w:rPr>
        <w:t>васпитања</w:t>
      </w:r>
      <w:r>
        <w:rPr>
          <w:color w:val="231F20"/>
          <w:spacing w:val="-2"/>
          <w:sz w:val="14"/>
        </w:rPr>
        <w:t xml:space="preserve"> </w:t>
      </w:r>
      <w:r>
        <w:rPr>
          <w:color w:val="231F20"/>
          <w:sz w:val="14"/>
        </w:rPr>
        <w:t>дефинисаних</w:t>
      </w:r>
      <w:r>
        <w:rPr>
          <w:color w:val="231F20"/>
          <w:spacing w:val="-2"/>
          <w:sz w:val="14"/>
        </w:rPr>
        <w:t xml:space="preserve"> </w:t>
      </w:r>
      <w:r>
        <w:rPr>
          <w:color w:val="231F20"/>
          <w:sz w:val="14"/>
        </w:rPr>
        <w:t>општим</w:t>
      </w:r>
      <w:r>
        <w:rPr>
          <w:color w:val="231F20"/>
          <w:spacing w:val="-2"/>
          <w:sz w:val="14"/>
        </w:rPr>
        <w:t xml:space="preserve"> </w:t>
      </w:r>
      <w:r>
        <w:rPr>
          <w:color w:val="231F20"/>
          <w:sz w:val="14"/>
        </w:rPr>
        <w:t>циљем</w:t>
      </w:r>
      <w:r>
        <w:rPr>
          <w:color w:val="231F20"/>
          <w:spacing w:val="-3"/>
          <w:sz w:val="14"/>
        </w:rPr>
        <w:t xml:space="preserve"> </w:t>
      </w:r>
      <w:r>
        <w:rPr>
          <w:color w:val="231F20"/>
          <w:sz w:val="14"/>
        </w:rPr>
        <w:t>овог</w:t>
      </w:r>
      <w:r>
        <w:rPr>
          <w:color w:val="231F20"/>
          <w:spacing w:val="-2"/>
          <w:sz w:val="14"/>
        </w:rPr>
        <w:t xml:space="preserve"> </w:t>
      </w:r>
      <w:r>
        <w:rPr>
          <w:color w:val="231F20"/>
          <w:sz w:val="14"/>
        </w:rPr>
        <w:t>предмета</w:t>
      </w:r>
      <w:r>
        <w:rPr>
          <w:color w:val="231F20"/>
          <w:spacing w:val="-2"/>
          <w:sz w:val="14"/>
        </w:rPr>
        <w:t xml:space="preserve"> </w:t>
      </w:r>
      <w:r>
        <w:rPr>
          <w:color w:val="231F20"/>
          <w:sz w:val="14"/>
        </w:rPr>
        <w:t>(васпитно­образовног</w:t>
      </w:r>
      <w:r>
        <w:rPr>
          <w:color w:val="231F20"/>
          <w:spacing w:val="-2"/>
          <w:sz w:val="14"/>
        </w:rPr>
        <w:t xml:space="preserve"> </w:t>
      </w:r>
      <w:r>
        <w:rPr>
          <w:color w:val="231F20"/>
          <w:sz w:val="14"/>
        </w:rPr>
        <w:t>подручја);</w:t>
      </w:r>
    </w:p>
    <w:p w:rsidR="00041039" w:rsidRDefault="001B26CB">
      <w:pPr>
        <w:pStyle w:val="ListParagraph"/>
        <w:numPr>
          <w:ilvl w:val="1"/>
          <w:numId w:val="539"/>
        </w:numPr>
        <w:tabs>
          <w:tab w:val="left" w:pos="1566"/>
        </w:tabs>
        <w:spacing w:line="160" w:lineRule="exact"/>
        <w:rPr>
          <w:sz w:val="14"/>
        </w:rPr>
      </w:pPr>
      <w:r>
        <w:rPr>
          <w:color w:val="231F20"/>
          <w:sz w:val="14"/>
        </w:rPr>
        <w:t>Мотивација ученика за бављење физичким активностима и формирање позитивних психо­социјалних образаца</w:t>
      </w:r>
      <w:r>
        <w:rPr>
          <w:color w:val="231F20"/>
          <w:spacing w:val="-12"/>
          <w:sz w:val="14"/>
        </w:rPr>
        <w:t xml:space="preserve"> </w:t>
      </w:r>
      <w:r>
        <w:rPr>
          <w:color w:val="231F20"/>
          <w:sz w:val="14"/>
        </w:rPr>
        <w:t>понашања;</w:t>
      </w:r>
    </w:p>
    <w:p w:rsidR="00041039" w:rsidRDefault="001B26CB">
      <w:pPr>
        <w:pStyle w:val="ListParagraph"/>
        <w:numPr>
          <w:ilvl w:val="1"/>
          <w:numId w:val="539"/>
        </w:numPr>
        <w:tabs>
          <w:tab w:val="left" w:pos="1566"/>
        </w:tabs>
        <w:spacing w:line="161" w:lineRule="exact"/>
        <w:rPr>
          <w:sz w:val="14"/>
        </w:rPr>
      </w:pPr>
      <w:r>
        <w:rPr>
          <w:color w:val="231F20"/>
          <w:sz w:val="14"/>
        </w:rPr>
        <w:t>Оспособљавање ученика да стечена умења, знања и навике користе у свакодневним условима живота и</w:t>
      </w:r>
      <w:r>
        <w:rPr>
          <w:color w:val="231F20"/>
          <w:spacing w:val="-11"/>
          <w:sz w:val="14"/>
        </w:rPr>
        <w:t xml:space="preserve"> </w:t>
      </w:r>
      <w:r>
        <w:rPr>
          <w:color w:val="231F20"/>
          <w:sz w:val="14"/>
        </w:rPr>
        <w:t>рада.</w:t>
      </w:r>
    </w:p>
    <w:p w:rsidR="00041039" w:rsidRDefault="001B26CB">
      <w:pPr>
        <w:tabs>
          <w:tab w:val="left" w:pos="1460"/>
        </w:tabs>
        <w:spacing w:before="48"/>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780"/>
        </w:trPr>
        <w:tc>
          <w:tcPr>
            <w:tcW w:w="1304" w:type="dxa"/>
          </w:tcPr>
          <w:p w:rsidR="00041039" w:rsidRDefault="001B26CB">
            <w:pPr>
              <w:pStyle w:val="TableParagraph"/>
              <w:spacing w:before="20" w:line="235" w:lineRule="auto"/>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537"/>
              </w:numPr>
              <w:tabs>
                <w:tab w:val="left" w:pos="157"/>
              </w:tabs>
              <w:spacing w:before="11" w:line="235" w:lineRule="auto"/>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537"/>
              </w:numPr>
              <w:tabs>
                <w:tab w:val="left" w:pos="157"/>
              </w:tabs>
              <w:spacing w:before="2" w:line="158"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5"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536"/>
              </w:numPr>
              <w:tabs>
                <w:tab w:val="left" w:pos="157"/>
              </w:tabs>
              <w:spacing w:before="11" w:line="235" w:lineRule="auto"/>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536"/>
              </w:numPr>
              <w:tabs>
                <w:tab w:val="left" w:pos="157"/>
              </w:tabs>
              <w:spacing w:before="2" w:line="158" w:lineRule="exact"/>
              <w:ind w:right="63" w:hanging="99"/>
              <w:jc w:val="both"/>
              <w:rPr>
                <w:sz w:val="14"/>
              </w:rPr>
            </w:pPr>
            <w:r>
              <w:rPr>
                <w:color w:val="231F20"/>
                <w:sz w:val="14"/>
              </w:rPr>
              <w:t>објасни карактеристике положаја</w:t>
            </w:r>
            <w:r>
              <w:rPr>
                <w:color w:val="231F20"/>
                <w:spacing w:val="-19"/>
                <w:sz w:val="14"/>
              </w:rPr>
              <w:t xml:space="preserve"> </w:t>
            </w:r>
            <w:r>
              <w:rPr>
                <w:color w:val="231F20"/>
                <w:sz w:val="14"/>
              </w:rPr>
              <w:t>тела, покрета и кретања у професији за коју се</w:t>
            </w:r>
            <w:r>
              <w:rPr>
                <w:color w:val="231F20"/>
                <w:spacing w:val="-5"/>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5"/>
                <w:sz w:val="14"/>
              </w:rPr>
              <w:t xml:space="preserve"> </w:t>
            </w:r>
            <w:r>
              <w:rPr>
                <w:color w:val="231F20"/>
                <w:sz w:val="14"/>
              </w:rPr>
              <w:t>оне,</w:t>
            </w:r>
            <w:r>
              <w:rPr>
                <w:color w:val="231F20"/>
                <w:spacing w:val="-5"/>
                <w:sz w:val="14"/>
              </w:rPr>
              <w:t xml:space="preserve"> </w:t>
            </w:r>
            <w:r>
              <w:rPr>
                <w:color w:val="231F20"/>
                <w:sz w:val="14"/>
              </w:rPr>
              <w:t>које</w:t>
            </w:r>
            <w:r>
              <w:rPr>
                <w:color w:val="231F20"/>
                <w:spacing w:val="-5"/>
                <w:sz w:val="14"/>
              </w:rPr>
              <w:t xml:space="preserve"> </w:t>
            </w:r>
            <w:r>
              <w:rPr>
                <w:color w:val="231F20"/>
                <w:sz w:val="14"/>
              </w:rPr>
              <w:t>могу</w:t>
            </w:r>
            <w:r>
              <w:rPr>
                <w:color w:val="231F20"/>
                <w:spacing w:val="-5"/>
                <w:sz w:val="14"/>
              </w:rPr>
              <w:t xml:space="preserve"> </w:t>
            </w:r>
            <w:r>
              <w:rPr>
                <w:color w:val="231F20"/>
                <w:sz w:val="14"/>
              </w:rPr>
              <w:t>имати негативан утицај</w:t>
            </w:r>
            <w:r>
              <w:rPr>
                <w:color w:val="231F20"/>
                <w:sz w:val="14"/>
              </w:rPr>
              <w:t xml:space="preserve"> на његов </w:t>
            </w:r>
            <w:r>
              <w:rPr>
                <w:color w:val="231F20"/>
                <w:spacing w:val="-3"/>
                <w:sz w:val="14"/>
              </w:rPr>
              <w:t>раст,</w:t>
            </w:r>
            <w:r>
              <w:rPr>
                <w:color w:val="231F20"/>
                <w:spacing w:val="-14"/>
                <w:sz w:val="14"/>
              </w:rPr>
              <w:t xml:space="preserve"> </w:t>
            </w:r>
            <w:r>
              <w:rPr>
                <w:color w:val="231F20"/>
                <w:sz w:val="14"/>
              </w:rPr>
              <w:t>развој;</w:t>
            </w:r>
          </w:p>
          <w:p w:rsidR="00041039" w:rsidRDefault="001B26CB">
            <w:pPr>
              <w:pStyle w:val="TableParagraph"/>
              <w:numPr>
                <w:ilvl w:val="0"/>
                <w:numId w:val="536"/>
              </w:numPr>
              <w:tabs>
                <w:tab w:val="left" w:pos="157"/>
              </w:tabs>
              <w:spacing w:line="158" w:lineRule="exact"/>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535"/>
              </w:numPr>
              <w:tabs>
                <w:tab w:val="left" w:pos="157"/>
              </w:tabs>
              <w:spacing w:before="12" w:line="235" w:lineRule="auto"/>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535"/>
              </w:numPr>
              <w:tabs>
                <w:tab w:val="left" w:pos="157"/>
              </w:tabs>
              <w:spacing w:line="152"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535"/>
              </w:numPr>
              <w:tabs>
                <w:tab w:val="left" w:pos="157"/>
              </w:tabs>
              <w:spacing w:line="235"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Borders>
              <w:bottom w:val="nil"/>
            </w:tcBorders>
          </w:tcPr>
          <w:p w:rsidR="00041039" w:rsidRDefault="001B26CB">
            <w:pPr>
              <w:pStyle w:val="TableParagraph"/>
              <w:numPr>
                <w:ilvl w:val="0"/>
                <w:numId w:val="534"/>
              </w:numPr>
              <w:tabs>
                <w:tab w:val="left" w:pos="158"/>
              </w:tabs>
              <w:spacing w:before="12" w:line="235"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534"/>
              </w:numPr>
              <w:tabs>
                <w:tab w:val="left" w:pos="158"/>
              </w:tabs>
              <w:spacing w:before="2" w:line="158" w:lineRule="exact"/>
              <w:ind w:right="79" w:hanging="99"/>
              <w:rPr>
                <w:sz w:val="14"/>
              </w:rPr>
            </w:pPr>
            <w:r>
              <w:rPr>
                <w:color w:val="231F20"/>
                <w:spacing w:val="-5"/>
                <w:sz w:val="14"/>
              </w:rPr>
              <w:t xml:space="preserve">Током </w:t>
            </w:r>
            <w:r>
              <w:rPr>
                <w:color w:val="231F20"/>
                <w:sz w:val="14"/>
              </w:rPr>
              <w:t xml:space="preserve">реализације часова физич­ </w:t>
            </w:r>
            <w:r>
              <w:rPr>
                <w:color w:val="231F20"/>
                <w:spacing w:val="-3"/>
                <w:sz w:val="14"/>
              </w:rPr>
              <w:t xml:space="preserve">ког </w:t>
            </w:r>
            <w:r>
              <w:rPr>
                <w:color w:val="231F20"/>
                <w:sz w:val="14"/>
              </w:rPr>
              <w:t>васпитања давати информа­ ције о томе које вежбе позитивно утичу на статус њиховог органи­ зма, с обзиром на карактеристике њихове професије, а које</w:t>
            </w:r>
            <w:r>
              <w:rPr>
                <w:color w:val="231F20"/>
                <w:spacing w:val="-23"/>
                <w:sz w:val="14"/>
              </w:rPr>
              <w:t xml:space="preserve"> </w:t>
            </w:r>
            <w:r>
              <w:rPr>
                <w:color w:val="231F20"/>
                <w:sz w:val="14"/>
              </w:rPr>
              <w:t>негатив­ но утичу на</w:t>
            </w:r>
            <w:r>
              <w:rPr>
                <w:color w:val="231F20"/>
                <w:spacing w:val="-3"/>
                <w:sz w:val="14"/>
              </w:rPr>
              <w:t xml:space="preserve"> </w:t>
            </w:r>
            <w:r>
              <w:rPr>
                <w:color w:val="231F20"/>
                <w:sz w:val="14"/>
              </w:rPr>
              <w:t>здравље.</w:t>
            </w:r>
          </w:p>
          <w:p w:rsidR="00041039" w:rsidRDefault="001B26CB">
            <w:pPr>
              <w:pStyle w:val="TableParagraph"/>
              <w:numPr>
                <w:ilvl w:val="0"/>
                <w:numId w:val="534"/>
              </w:numPr>
              <w:tabs>
                <w:tab w:val="left" w:pos="158"/>
              </w:tabs>
              <w:spacing w:before="1" w:line="158" w:lineRule="exact"/>
              <w:ind w:right="278" w:hanging="99"/>
              <w:rPr>
                <w:sz w:val="14"/>
              </w:rPr>
            </w:pPr>
            <w:r>
              <w:rPr>
                <w:color w:val="231F20"/>
                <w:sz w:val="14"/>
              </w:rPr>
              <w:t xml:space="preserve">Ученици који похађају чет­ ворогодишње стручне </w:t>
            </w:r>
            <w:r>
              <w:rPr>
                <w:color w:val="231F20"/>
                <w:spacing w:val="-3"/>
                <w:sz w:val="14"/>
              </w:rPr>
              <w:t xml:space="preserve">школе </w:t>
            </w:r>
            <w:r>
              <w:rPr>
                <w:color w:val="231F20"/>
                <w:sz w:val="14"/>
              </w:rPr>
              <w:t>далеко су више оптерећен</w:t>
            </w:r>
            <w:r>
              <w:rPr>
                <w:color w:val="231F20"/>
                <w:sz w:val="14"/>
              </w:rPr>
              <w:t>и у редовном образовању прак­ тичном и теоријском</w:t>
            </w:r>
            <w:r>
              <w:rPr>
                <w:color w:val="231F20"/>
                <w:spacing w:val="-20"/>
                <w:sz w:val="14"/>
              </w:rPr>
              <w:t xml:space="preserve"> </w:t>
            </w:r>
            <w:r>
              <w:rPr>
                <w:color w:val="231F20"/>
                <w:sz w:val="14"/>
              </w:rPr>
              <w:t xml:space="preserve">наставом </w:t>
            </w:r>
            <w:r>
              <w:rPr>
                <w:color w:val="231F20"/>
                <w:spacing w:val="-3"/>
                <w:sz w:val="14"/>
              </w:rPr>
              <w:t xml:space="preserve">од </w:t>
            </w:r>
            <w:r>
              <w:rPr>
                <w:color w:val="231F20"/>
                <w:sz w:val="14"/>
              </w:rPr>
              <w:t>осталих ученика. Због тога је физичко васпитање, у овим школама, значајно за</w:t>
            </w:r>
            <w:r>
              <w:rPr>
                <w:color w:val="231F20"/>
                <w:spacing w:val="-16"/>
                <w:sz w:val="14"/>
              </w:rPr>
              <w:t xml:space="preserve"> </w:t>
            </w:r>
            <w:r>
              <w:rPr>
                <w:color w:val="231F20"/>
                <w:sz w:val="14"/>
              </w:rPr>
              <w:t>активан</w:t>
            </w:r>
          </w:p>
          <w:p w:rsidR="00041039" w:rsidRDefault="001B26CB">
            <w:pPr>
              <w:pStyle w:val="TableParagraph"/>
              <w:spacing w:line="235" w:lineRule="auto"/>
              <w:ind w:left="157" w:right="18"/>
              <w:rPr>
                <w:sz w:val="14"/>
              </w:rPr>
            </w:pPr>
            <w:r>
              <w:rPr>
                <w:color w:val="231F20"/>
                <w:sz w:val="14"/>
              </w:rPr>
              <w:t>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tc>
      </w:tr>
      <w:tr w:rsidR="00041039">
        <w:trPr>
          <w:trHeight w:val="2417"/>
        </w:trPr>
        <w:tc>
          <w:tcPr>
            <w:tcW w:w="1304" w:type="dxa"/>
            <w:tcBorders>
              <w:bottom w:val="nil"/>
            </w:tcBorders>
          </w:tcPr>
          <w:p w:rsidR="00041039" w:rsidRDefault="001B26CB">
            <w:pPr>
              <w:pStyle w:val="TableParagraph"/>
              <w:spacing w:before="24" w:line="235" w:lineRule="auto"/>
              <w:ind w:left="56" w:right="116"/>
              <w:rPr>
                <w:sz w:val="14"/>
              </w:rPr>
            </w:pPr>
            <w:r>
              <w:rPr>
                <w:color w:val="231F20"/>
                <w:sz w:val="14"/>
              </w:rPr>
              <w:t>Развој</w:t>
            </w:r>
            <w:r>
              <w:rPr>
                <w:color w:val="231F20"/>
                <w:spacing w:val="-7"/>
                <w:sz w:val="14"/>
              </w:rPr>
              <w:t xml:space="preserve"> </w:t>
            </w:r>
            <w:r>
              <w:rPr>
                <w:color w:val="231F20"/>
                <w:sz w:val="14"/>
              </w:rPr>
              <w:t>моторичких и функционал­ них способ</w:t>
            </w:r>
            <w:r>
              <w:rPr>
                <w:color w:val="231F20"/>
                <w:sz w:val="14"/>
              </w:rPr>
              <w:t>ности човека, као основа за реализовање постављених циљева и</w:t>
            </w:r>
            <w:r>
              <w:rPr>
                <w:color w:val="231F20"/>
                <w:spacing w:val="-2"/>
                <w:sz w:val="14"/>
              </w:rPr>
              <w:t xml:space="preserve"> </w:t>
            </w:r>
            <w:r>
              <w:rPr>
                <w:color w:val="231F20"/>
                <w:spacing w:val="-3"/>
                <w:sz w:val="14"/>
              </w:rPr>
              <w:t>исхода</w:t>
            </w:r>
          </w:p>
        </w:tc>
        <w:tc>
          <w:tcPr>
            <w:tcW w:w="1587" w:type="dxa"/>
            <w:vMerge w:val="restart"/>
          </w:tcPr>
          <w:p w:rsidR="00041039" w:rsidRDefault="001B26CB">
            <w:pPr>
              <w:pStyle w:val="TableParagraph"/>
              <w:numPr>
                <w:ilvl w:val="0"/>
                <w:numId w:val="533"/>
              </w:numPr>
              <w:tabs>
                <w:tab w:val="left" w:pos="157"/>
              </w:tabs>
              <w:spacing w:before="15" w:line="235" w:lineRule="auto"/>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vMerge w:val="restart"/>
          </w:tcPr>
          <w:p w:rsidR="00041039" w:rsidRDefault="001B26CB">
            <w:pPr>
              <w:pStyle w:val="TableParagraph"/>
              <w:numPr>
                <w:ilvl w:val="0"/>
                <w:numId w:val="532"/>
              </w:numPr>
              <w:tabs>
                <w:tab w:val="left" w:pos="157"/>
              </w:tabs>
              <w:spacing w:before="15" w:line="235" w:lineRule="auto"/>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w:t>
            </w:r>
            <w:r>
              <w:rPr>
                <w:color w:val="231F20"/>
                <w:sz w:val="14"/>
              </w:rPr>
              <w:t xml:space="preserve"> за њихов</w:t>
            </w:r>
            <w:r>
              <w:rPr>
                <w:color w:val="231F20"/>
                <w:spacing w:val="-8"/>
                <w:sz w:val="14"/>
              </w:rPr>
              <w:t xml:space="preserve"> </w:t>
            </w:r>
            <w:r>
              <w:rPr>
                <w:color w:val="231F20"/>
                <w:sz w:val="14"/>
              </w:rPr>
              <w:t>развој;</w:t>
            </w:r>
          </w:p>
          <w:p w:rsidR="00041039" w:rsidRDefault="001B26CB">
            <w:pPr>
              <w:pStyle w:val="TableParagraph"/>
              <w:numPr>
                <w:ilvl w:val="0"/>
                <w:numId w:val="532"/>
              </w:numPr>
              <w:tabs>
                <w:tab w:val="left" w:pos="157"/>
              </w:tabs>
              <w:spacing w:before="2" w:line="158" w:lineRule="exact"/>
              <w:ind w:right="55" w:hanging="99"/>
              <w:rPr>
                <w:sz w:val="14"/>
              </w:rPr>
            </w:pPr>
            <w:r>
              <w:rPr>
                <w:color w:val="231F20"/>
                <w:sz w:val="14"/>
              </w:rPr>
              <w:t>примени адекватна средства (изводи вежбе) за развој и усавршавање мото­ ричких способности из: вежби</w:t>
            </w:r>
            <w:r>
              <w:rPr>
                <w:color w:val="231F20"/>
                <w:spacing w:val="-13"/>
                <w:sz w:val="14"/>
              </w:rPr>
              <w:t xml:space="preserve"> </w:t>
            </w:r>
            <w:r>
              <w:rPr>
                <w:color w:val="231F20"/>
                <w:sz w:val="14"/>
              </w:rPr>
              <w:t>облико­ вања, атлетике, гимнастике,</w:t>
            </w:r>
            <w:r>
              <w:rPr>
                <w:color w:val="231F20"/>
                <w:spacing w:val="-15"/>
                <w:sz w:val="14"/>
              </w:rPr>
              <w:t xml:space="preserve"> </w:t>
            </w:r>
            <w:r>
              <w:rPr>
                <w:color w:val="231F20"/>
                <w:sz w:val="14"/>
              </w:rPr>
              <w:t>пливања</w:t>
            </w:r>
          </w:p>
          <w:p w:rsidR="00041039" w:rsidRDefault="001B26CB">
            <w:pPr>
              <w:pStyle w:val="TableParagraph"/>
              <w:spacing w:line="235"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vMerge w:val="restart"/>
          </w:tcPr>
          <w:p w:rsidR="00041039" w:rsidRDefault="001B26CB">
            <w:pPr>
              <w:pStyle w:val="TableParagraph"/>
              <w:numPr>
                <w:ilvl w:val="0"/>
                <w:numId w:val="531"/>
              </w:numPr>
              <w:tabs>
                <w:tab w:val="left" w:pos="157"/>
              </w:tabs>
              <w:spacing w:before="16" w:line="235" w:lineRule="auto"/>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531"/>
              </w:numPr>
              <w:tabs>
                <w:tab w:val="left" w:pos="157"/>
              </w:tabs>
              <w:spacing w:before="2" w:line="158" w:lineRule="exact"/>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531"/>
              </w:numPr>
              <w:tabs>
                <w:tab w:val="left" w:pos="157"/>
              </w:tabs>
              <w:spacing w:line="151"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531"/>
              </w:numPr>
              <w:tabs>
                <w:tab w:val="left" w:pos="157"/>
              </w:tabs>
              <w:spacing w:line="235"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numPr>
                <w:ilvl w:val="0"/>
                <w:numId w:val="531"/>
              </w:numPr>
              <w:tabs>
                <w:tab w:val="left" w:pos="157"/>
              </w:tabs>
              <w:spacing w:line="158"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531"/>
              </w:numPr>
              <w:tabs>
                <w:tab w:val="left" w:pos="157"/>
              </w:tabs>
              <w:spacing w:line="151" w:lineRule="exact"/>
              <w:ind w:hanging="99"/>
              <w:rPr>
                <w:sz w:val="14"/>
              </w:rPr>
            </w:pPr>
            <w:r>
              <w:rPr>
                <w:color w:val="231F20"/>
                <w:sz w:val="14"/>
              </w:rPr>
              <w:t>Аеробик.</w:t>
            </w:r>
          </w:p>
          <w:p w:rsidR="00041039" w:rsidRDefault="001B26CB">
            <w:pPr>
              <w:pStyle w:val="TableParagraph"/>
              <w:numPr>
                <w:ilvl w:val="0"/>
                <w:numId w:val="531"/>
              </w:numPr>
              <w:tabs>
                <w:tab w:val="left" w:pos="157"/>
              </w:tabs>
              <w:spacing w:line="165"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tcBorders>
              <w:top w:val="nil"/>
              <w:bottom w:val="nil"/>
            </w:tcBorders>
          </w:tcPr>
          <w:p w:rsidR="00041039" w:rsidRDefault="00041039">
            <w:pPr>
              <w:rPr>
                <w:sz w:val="2"/>
                <w:szCs w:val="2"/>
              </w:rPr>
            </w:pPr>
          </w:p>
        </w:tc>
      </w:tr>
      <w:tr w:rsidR="00041039">
        <w:trPr>
          <w:trHeight w:val="1116"/>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69" w:line="160" w:lineRule="exact"/>
              <w:ind w:left="58"/>
              <w:rPr>
                <w:b/>
                <w:sz w:val="14"/>
              </w:rPr>
            </w:pPr>
            <w:r>
              <w:rPr>
                <w:b/>
                <w:color w:val="231F20"/>
                <w:sz w:val="14"/>
              </w:rPr>
              <w:t>Облици наставе</w:t>
            </w:r>
          </w:p>
          <w:p w:rsidR="00041039" w:rsidRDefault="001B26CB">
            <w:pPr>
              <w:pStyle w:val="TableParagraph"/>
              <w:spacing w:before="1" w:line="235" w:lineRule="auto"/>
              <w:ind w:left="58" w:right="343"/>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530"/>
              </w:numPr>
              <w:tabs>
                <w:tab w:val="left" w:pos="158"/>
              </w:tabs>
              <w:spacing w:line="153" w:lineRule="exact"/>
              <w:ind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530"/>
              </w:numPr>
              <w:tabs>
                <w:tab w:val="left" w:pos="158"/>
              </w:tabs>
              <w:spacing w:line="158" w:lineRule="exact"/>
              <w:ind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numPr>
                <w:ilvl w:val="0"/>
                <w:numId w:val="530"/>
              </w:numPr>
              <w:tabs>
                <w:tab w:val="left" w:pos="158"/>
              </w:tabs>
              <w:spacing w:line="165" w:lineRule="exact"/>
              <w:ind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tc>
      </w:tr>
      <w:tr w:rsidR="00041039">
        <w:trPr>
          <w:trHeight w:val="1690"/>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92" w:line="235" w:lineRule="auto"/>
              <w:ind w:left="58"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line="235" w:lineRule="auto"/>
              <w:ind w:left="58" w:right="382"/>
              <w:rPr>
                <w:sz w:val="14"/>
              </w:rPr>
            </w:pPr>
            <w:r>
              <w:rPr>
                <w:color w:val="231F20"/>
                <w:sz w:val="14"/>
              </w:rPr>
              <w:t>Настава се изводи фронтално и по групама, у зависности од</w:t>
            </w:r>
          </w:p>
          <w:p w:rsidR="00041039" w:rsidRDefault="001B26CB">
            <w:pPr>
              <w:pStyle w:val="TableParagraph"/>
              <w:spacing w:before="3" w:line="158" w:lineRule="exact"/>
              <w:ind w:left="58"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дуалан.</w:t>
            </w:r>
          </w:p>
        </w:tc>
      </w:tr>
    </w:tbl>
    <w:p w:rsidR="00041039" w:rsidRDefault="00041039">
      <w:pPr>
        <w:spacing w:line="158" w:lineRule="exact"/>
        <w:rPr>
          <w:sz w:val="14"/>
        </w:rPr>
        <w:sectPr w:rsidR="00041039">
          <w:pgSz w:w="11910" w:h="15710"/>
          <w:pgMar w:top="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788"/>
        </w:trPr>
        <w:tc>
          <w:tcPr>
            <w:tcW w:w="1304" w:type="dxa"/>
          </w:tcPr>
          <w:p w:rsidR="00041039" w:rsidRDefault="001B26CB">
            <w:pPr>
              <w:pStyle w:val="TableParagraph"/>
              <w:spacing w:before="18"/>
              <w:ind w:left="56" w:right="77"/>
              <w:rPr>
                <w:sz w:val="14"/>
              </w:rPr>
            </w:pPr>
            <w:r>
              <w:rPr>
                <w:color w:val="231F20"/>
                <w:sz w:val="14"/>
              </w:rPr>
              <w:lastRenderedPageBreak/>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spacing w:before="1"/>
              <w:ind w:left="56"/>
              <w:rPr>
                <w:sz w:val="14"/>
              </w:rPr>
            </w:pPr>
            <w:r>
              <w:rPr>
                <w:color w:val="231F20"/>
                <w:sz w:val="14"/>
              </w:rPr>
              <w:t>Атлетика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35"/>
              <w:ind w:left="56" w:right="54"/>
              <w:rPr>
                <w:sz w:val="14"/>
              </w:rPr>
            </w:pPr>
            <w:r>
              <w:rPr>
                <w:color w:val="231F20"/>
                <w:sz w:val="14"/>
              </w:rPr>
              <w:t>Спортска гимнастика: (Вежбе на</w:t>
            </w:r>
            <w:r>
              <w:rPr>
                <w:color w:val="231F20"/>
                <w:spacing w:val="-9"/>
                <w:sz w:val="14"/>
              </w:rPr>
              <w:t xml:space="preserve"> </w:t>
            </w:r>
            <w:r>
              <w:rPr>
                <w:color w:val="231F20"/>
                <w:sz w:val="14"/>
              </w:rPr>
              <w:t>справама и</w:t>
            </w:r>
            <w:r>
              <w:rPr>
                <w:color w:val="231F20"/>
                <w:spacing w:val="-2"/>
                <w:sz w:val="14"/>
              </w:rPr>
              <w:t xml:space="preserve"> </w:t>
            </w:r>
            <w:r>
              <w:rPr>
                <w:color w:val="231F20"/>
                <w:sz w:val="14"/>
              </w:rPr>
              <w:t>тлу)</w:t>
            </w:r>
          </w:p>
        </w:tc>
        <w:tc>
          <w:tcPr>
            <w:tcW w:w="1587" w:type="dxa"/>
          </w:tcPr>
          <w:p w:rsidR="00041039" w:rsidRDefault="001B26CB">
            <w:pPr>
              <w:pStyle w:val="TableParagraph"/>
              <w:numPr>
                <w:ilvl w:val="0"/>
                <w:numId w:val="529"/>
              </w:numPr>
              <w:tabs>
                <w:tab w:val="left" w:pos="157"/>
              </w:tabs>
              <w:spacing w:before="8"/>
              <w:ind w:right="81"/>
              <w:rPr>
                <w:sz w:val="14"/>
              </w:rPr>
            </w:pPr>
            <w:r>
              <w:rPr>
                <w:color w:val="231F20"/>
                <w:sz w:val="14"/>
              </w:rPr>
              <w:t>Стицање моторичких умења (вештина) и теоријских знања неопходних за</w:t>
            </w:r>
            <w:r>
              <w:rPr>
                <w:color w:val="231F20"/>
                <w:spacing w:val="-22"/>
                <w:sz w:val="14"/>
              </w:rPr>
              <w:t xml:space="preserve"> </w:t>
            </w:r>
            <w:r>
              <w:rPr>
                <w:color w:val="231F20"/>
                <w:sz w:val="14"/>
              </w:rPr>
              <w:t>њихово усвајање.</w:t>
            </w:r>
          </w:p>
          <w:p w:rsidR="00041039" w:rsidRDefault="001B26CB">
            <w:pPr>
              <w:pStyle w:val="TableParagraph"/>
              <w:numPr>
                <w:ilvl w:val="0"/>
                <w:numId w:val="529"/>
              </w:numPr>
              <w:tabs>
                <w:tab w:val="left" w:pos="157"/>
              </w:tabs>
              <w:spacing w:line="155" w:lineRule="exact"/>
              <w:rPr>
                <w:sz w:val="14"/>
              </w:rPr>
            </w:pPr>
            <w:r>
              <w:rPr>
                <w:color w:val="231F20"/>
                <w:sz w:val="14"/>
              </w:rPr>
              <w:t>Мотивација ученика</w:t>
            </w:r>
            <w:r>
              <w:rPr>
                <w:color w:val="231F20"/>
                <w:spacing w:val="-8"/>
                <w:sz w:val="14"/>
              </w:rPr>
              <w:t xml:space="preserve"> </w:t>
            </w:r>
            <w:r>
              <w:rPr>
                <w:color w:val="231F20"/>
                <w:sz w:val="14"/>
              </w:rPr>
              <w:t>за</w:t>
            </w:r>
          </w:p>
          <w:p w:rsidR="00041039" w:rsidRDefault="001B26CB">
            <w:pPr>
              <w:pStyle w:val="TableParagraph"/>
              <w:ind w:right="152"/>
              <w:rPr>
                <w:sz w:val="14"/>
              </w:rPr>
            </w:pPr>
            <w:r>
              <w:rPr>
                <w:color w:val="231F20"/>
                <w:sz w:val="14"/>
              </w:rPr>
              <w:t>бављењем физичким активностима.</w:t>
            </w:r>
          </w:p>
          <w:p w:rsidR="00041039" w:rsidRDefault="001B26CB">
            <w:pPr>
              <w:pStyle w:val="TableParagraph"/>
              <w:numPr>
                <w:ilvl w:val="0"/>
                <w:numId w:val="529"/>
              </w:numPr>
              <w:tabs>
                <w:tab w:val="left" w:pos="157"/>
              </w:tabs>
              <w:spacing w:line="160" w:lineRule="exact"/>
              <w:ind w:right="108"/>
              <w:rPr>
                <w:sz w:val="14"/>
              </w:rPr>
            </w:pPr>
            <w:r>
              <w:rPr>
                <w:color w:val="231F20"/>
                <w:sz w:val="14"/>
              </w:rPr>
              <w:t>Формирање позитив­ них психо</w:t>
            </w:r>
            <w:r>
              <w:rPr>
                <w:color w:val="231F20"/>
                <w:spacing w:val="-13"/>
                <w:sz w:val="14"/>
              </w:rPr>
              <w:t xml:space="preserve"> </w:t>
            </w:r>
            <w:r>
              <w:rPr>
                <w:color w:val="231F20"/>
                <w:sz w:val="14"/>
              </w:rPr>
              <w:t>социјалних образаца</w:t>
            </w:r>
            <w:r>
              <w:rPr>
                <w:color w:val="231F20"/>
                <w:spacing w:val="-3"/>
                <w:sz w:val="14"/>
              </w:rPr>
              <w:t xml:space="preserve"> </w:t>
            </w:r>
            <w:r>
              <w:rPr>
                <w:color w:val="231F20"/>
                <w:sz w:val="14"/>
              </w:rPr>
              <w:t>понашања.</w:t>
            </w:r>
          </w:p>
          <w:p w:rsidR="00041039" w:rsidRDefault="001B26CB">
            <w:pPr>
              <w:pStyle w:val="TableParagraph"/>
              <w:numPr>
                <w:ilvl w:val="0"/>
                <w:numId w:val="529"/>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numPr>
                <w:ilvl w:val="0"/>
                <w:numId w:val="529"/>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 покрета и кретања.</w:t>
            </w:r>
          </w:p>
          <w:p w:rsidR="00041039" w:rsidRDefault="001B26CB">
            <w:pPr>
              <w:pStyle w:val="TableParagraph"/>
              <w:numPr>
                <w:ilvl w:val="0"/>
                <w:numId w:val="529"/>
              </w:numPr>
              <w:tabs>
                <w:tab w:val="left" w:pos="157"/>
              </w:tabs>
              <w:spacing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041039" w:rsidRDefault="001B26CB">
            <w:pPr>
              <w:pStyle w:val="TableParagraph"/>
              <w:numPr>
                <w:ilvl w:val="0"/>
                <w:numId w:val="529"/>
              </w:numPr>
              <w:tabs>
                <w:tab w:val="left" w:pos="157"/>
              </w:tabs>
              <w:spacing w:line="160" w:lineRule="exact"/>
              <w:ind w:right="76"/>
              <w:rPr>
                <w:sz w:val="14"/>
              </w:rPr>
            </w:pPr>
            <w:r>
              <w:rPr>
                <w:color w:val="231F20"/>
                <w:sz w:val="14"/>
              </w:rPr>
              <w:t>Повезивање моторич­ ких задатака у</w:t>
            </w:r>
            <w:r>
              <w:rPr>
                <w:color w:val="231F20"/>
                <w:spacing w:val="-14"/>
                <w:sz w:val="14"/>
              </w:rPr>
              <w:t xml:space="preserve"> </w:t>
            </w:r>
            <w:r>
              <w:rPr>
                <w:color w:val="231F20"/>
                <w:sz w:val="14"/>
              </w:rPr>
              <w:t xml:space="preserve">целине. </w:t>
            </w: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numPr>
                <w:ilvl w:val="0"/>
                <w:numId w:val="529"/>
              </w:numPr>
              <w:tabs>
                <w:tab w:val="left" w:pos="157"/>
              </w:tabs>
              <w:spacing w:line="160" w:lineRule="exact"/>
              <w:ind w:right="81"/>
              <w:rPr>
                <w:sz w:val="14"/>
              </w:rPr>
            </w:pPr>
            <w:r>
              <w:rPr>
                <w:color w:val="231F20"/>
                <w:sz w:val="14"/>
              </w:rPr>
              <w:t>Развијање елемената ритма у</w:t>
            </w:r>
            <w:r>
              <w:rPr>
                <w:color w:val="231F20"/>
                <w:spacing w:val="-10"/>
                <w:sz w:val="14"/>
              </w:rPr>
              <w:t xml:space="preserve"> </w:t>
            </w:r>
            <w:r>
              <w:rPr>
                <w:color w:val="231F20"/>
                <w:sz w:val="14"/>
              </w:rPr>
              <w:t>препознавању целина: рад ­ одмор, напрезање ­релакса­ ција, убрзање ­ успо­ равање.</w:t>
            </w:r>
          </w:p>
          <w:p w:rsidR="00041039" w:rsidRDefault="001B26CB">
            <w:pPr>
              <w:pStyle w:val="TableParagraph"/>
              <w:numPr>
                <w:ilvl w:val="0"/>
                <w:numId w:val="529"/>
              </w:numPr>
              <w:tabs>
                <w:tab w:val="left" w:pos="157"/>
              </w:tabs>
              <w:spacing w:line="160" w:lineRule="exact"/>
              <w:ind w:right="59"/>
              <w:rPr>
                <w:sz w:val="14"/>
              </w:rPr>
            </w:pPr>
            <w:r>
              <w:rPr>
                <w:color w:val="231F20"/>
                <w:sz w:val="14"/>
              </w:rPr>
              <w:t>Избор спортских грана, спортско ­ рекреативних или</w:t>
            </w:r>
            <w:r>
              <w:rPr>
                <w:color w:val="231F20"/>
                <w:sz w:val="14"/>
              </w:rPr>
              <w:t xml:space="preserve"> других кретних активности као трајног опредељења за њихово свакодневно упражњавање.</w:t>
            </w:r>
          </w:p>
        </w:tc>
        <w:tc>
          <w:tcPr>
            <w:tcW w:w="2551" w:type="dxa"/>
          </w:tcPr>
          <w:p w:rsidR="00041039" w:rsidRDefault="001B26CB">
            <w:pPr>
              <w:pStyle w:val="TableParagraph"/>
              <w:numPr>
                <w:ilvl w:val="0"/>
                <w:numId w:val="528"/>
              </w:numPr>
              <w:tabs>
                <w:tab w:val="left" w:pos="157"/>
              </w:tabs>
              <w:spacing w:before="9"/>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528"/>
              </w:numPr>
              <w:tabs>
                <w:tab w:val="left" w:pos="157"/>
              </w:tabs>
              <w:spacing w:line="156" w:lineRule="exact"/>
              <w:ind w:hanging="99"/>
              <w:rPr>
                <w:sz w:val="14"/>
              </w:rPr>
            </w:pPr>
            <w:r>
              <w:rPr>
                <w:color w:val="231F20"/>
                <w:sz w:val="14"/>
              </w:rPr>
              <w:t>демонстрира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w:t>
            </w:r>
            <w:r>
              <w:rPr>
                <w:color w:val="231F20"/>
                <w:sz w:val="14"/>
              </w:rPr>
              <w:t>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numPr>
                <w:ilvl w:val="0"/>
                <w:numId w:val="528"/>
              </w:numPr>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numPr>
                <w:ilvl w:val="0"/>
                <w:numId w:val="528"/>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528"/>
              </w:numPr>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w:t>
            </w:r>
            <w:r>
              <w:rPr>
                <w:color w:val="231F20"/>
                <w:sz w:val="14"/>
              </w:rPr>
              <w:t>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528"/>
              </w:numPr>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w:t>
            </w:r>
            <w:r>
              <w:rPr>
                <w:color w:val="231F20"/>
                <w:sz w:val="14"/>
              </w:rPr>
              <w:t>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528"/>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контактима;</w:t>
            </w:r>
          </w:p>
          <w:p w:rsidR="00041039" w:rsidRDefault="001B26CB">
            <w:pPr>
              <w:pStyle w:val="TableParagraph"/>
              <w:numPr>
                <w:ilvl w:val="0"/>
                <w:numId w:val="528"/>
              </w:numPr>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528"/>
              </w:numPr>
              <w:tabs>
                <w:tab w:val="left" w:pos="157"/>
              </w:tabs>
              <w:spacing w:line="237" w:lineRule="auto"/>
              <w:ind w:right="291" w:hanging="99"/>
              <w:rPr>
                <w:sz w:val="14"/>
              </w:rPr>
            </w:pPr>
            <w:r>
              <w:rPr>
                <w:color w:val="231F20"/>
                <w:sz w:val="14"/>
              </w:rPr>
              <w:t>самостално бира физичку,</w:t>
            </w:r>
            <w:r>
              <w:rPr>
                <w:color w:val="231F20"/>
                <w:spacing w:val="-14"/>
                <w:sz w:val="14"/>
              </w:rPr>
              <w:t xml:space="preserve"> </w:t>
            </w:r>
            <w:r>
              <w:rPr>
                <w:color w:val="231F20"/>
                <w:sz w:val="14"/>
              </w:rPr>
              <w:t xml:space="preserve">односно спортску активност и изводи је у окружењу у </w:t>
            </w:r>
            <w:r>
              <w:rPr>
                <w:color w:val="231F20"/>
                <w:spacing w:val="-3"/>
                <w:sz w:val="14"/>
              </w:rPr>
              <w:t>коме</w:t>
            </w:r>
            <w:r>
              <w:rPr>
                <w:color w:val="231F20"/>
                <w:spacing w:val="-1"/>
                <w:sz w:val="14"/>
              </w:rPr>
              <w:t xml:space="preserve"> </w:t>
            </w:r>
            <w:r>
              <w:rPr>
                <w:color w:val="231F20"/>
                <w:sz w:val="14"/>
              </w:rPr>
              <w:t>живи;</w:t>
            </w:r>
          </w:p>
          <w:p w:rsidR="00041039" w:rsidRDefault="001B26CB">
            <w:pPr>
              <w:pStyle w:val="TableParagraph"/>
              <w:numPr>
                <w:ilvl w:val="0"/>
                <w:numId w:val="528"/>
              </w:numPr>
              <w:tabs>
                <w:tab w:val="left" w:pos="157"/>
              </w:tabs>
              <w:spacing w:line="237" w:lineRule="auto"/>
              <w:ind w:right="49" w:hanging="99"/>
              <w:rPr>
                <w:sz w:val="14"/>
              </w:rPr>
            </w:pPr>
            <w:r>
              <w:rPr>
                <w:color w:val="231F20"/>
                <w:sz w:val="14"/>
              </w:rPr>
              <w:t xml:space="preserve">објасни да покрет и кретање, без </w:t>
            </w:r>
            <w:r>
              <w:rPr>
                <w:color w:val="231F20"/>
                <w:sz w:val="14"/>
              </w:rPr>
              <w:t>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528"/>
              </w:numPr>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numPr>
                <w:ilvl w:val="0"/>
                <w:numId w:val="528"/>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w:t>
            </w:r>
            <w:r>
              <w:rPr>
                <w:color w:val="231F20"/>
                <w:sz w:val="14"/>
              </w:rPr>
              <w:t>има и у слободном времену;</w:t>
            </w:r>
          </w:p>
          <w:p w:rsidR="00041039" w:rsidRDefault="001B26CB">
            <w:pPr>
              <w:pStyle w:val="TableParagraph"/>
              <w:numPr>
                <w:ilvl w:val="0"/>
                <w:numId w:val="528"/>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528"/>
              </w:numPr>
              <w:tabs>
                <w:tab w:val="left" w:pos="157"/>
              </w:tabs>
              <w:spacing w:line="237" w:lineRule="auto"/>
              <w:ind w:right="171" w:hanging="99"/>
              <w:rPr>
                <w:sz w:val="14"/>
              </w:rPr>
            </w:pPr>
            <w:r>
              <w:rPr>
                <w:color w:val="231F20"/>
                <w:sz w:val="14"/>
              </w:rPr>
              <w:t>правилно се односи према</w:t>
            </w:r>
            <w:r>
              <w:rPr>
                <w:color w:val="231F20"/>
                <w:spacing w:val="-17"/>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 што преноси у</w:t>
            </w:r>
            <w:r>
              <w:rPr>
                <w:color w:val="231F20"/>
                <w:spacing w:val="-24"/>
                <w:sz w:val="14"/>
              </w:rPr>
              <w:t xml:space="preserve"> </w:t>
            </w:r>
            <w:r>
              <w:rPr>
                <w:color w:val="231F20"/>
                <w:sz w:val="14"/>
              </w:rPr>
              <w:t>свакодневни живот</w:t>
            </w:r>
          </w:p>
          <w:p w:rsidR="00041039" w:rsidRDefault="001B26CB">
            <w:pPr>
              <w:pStyle w:val="TableParagraph"/>
              <w:numPr>
                <w:ilvl w:val="0"/>
                <w:numId w:val="528"/>
              </w:numPr>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7"/>
              <w:ind w:left="0"/>
              <w:rPr>
                <w:b/>
                <w:sz w:val="15"/>
              </w:rPr>
            </w:pPr>
          </w:p>
          <w:p w:rsidR="00041039" w:rsidRDefault="001B26CB">
            <w:pPr>
              <w:pStyle w:val="TableParagraph"/>
              <w:spacing w:before="1" w:line="160" w:lineRule="exact"/>
              <w:ind w:left="57"/>
              <w:rPr>
                <w:b/>
                <w:sz w:val="14"/>
              </w:rPr>
            </w:pPr>
            <w:r>
              <w:rPr>
                <w:b/>
                <w:color w:val="231F20"/>
                <w:sz w:val="14"/>
              </w:rPr>
              <w:t>АТЛЕТИКА</w:t>
            </w:r>
          </w:p>
          <w:p w:rsidR="00041039" w:rsidRDefault="001B26CB">
            <w:pPr>
              <w:pStyle w:val="TableParagraph"/>
              <w:spacing w:before="1" w:line="235" w:lineRule="auto"/>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p w:rsidR="00041039" w:rsidRDefault="001B26CB">
            <w:pPr>
              <w:pStyle w:val="TableParagraph"/>
              <w:spacing w:line="158" w:lineRule="exact"/>
              <w:ind w:left="57"/>
              <w:rPr>
                <w:b/>
                <w:sz w:val="14"/>
              </w:rPr>
            </w:pPr>
            <w:r>
              <w:rPr>
                <w:b/>
                <w:color w:val="231F20"/>
                <w:sz w:val="14"/>
              </w:rPr>
              <w:t>Трчање:</w:t>
            </w:r>
          </w:p>
          <w:p w:rsidR="00041039" w:rsidRDefault="001B26CB">
            <w:pPr>
              <w:pStyle w:val="TableParagraph"/>
              <w:spacing w:before="1" w:line="235" w:lineRule="auto"/>
              <w:ind w:left="57"/>
              <w:rPr>
                <w:b/>
                <w:sz w:val="14"/>
              </w:rPr>
            </w:pPr>
            <w:r>
              <w:rPr>
                <w:b/>
                <w:color w:val="231F20"/>
                <w:sz w:val="14"/>
              </w:rPr>
              <w:t>Усавршавање технике трчања на кратке н средње стазе:</w:t>
            </w:r>
          </w:p>
          <w:p w:rsidR="00041039" w:rsidRDefault="001B26CB">
            <w:pPr>
              <w:pStyle w:val="TableParagraph"/>
              <w:numPr>
                <w:ilvl w:val="0"/>
                <w:numId w:val="527"/>
              </w:numPr>
              <w:tabs>
                <w:tab w:val="left" w:pos="163"/>
              </w:tabs>
              <w:spacing w:line="157" w:lineRule="exact"/>
              <w:ind w:firstLine="0"/>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527"/>
              </w:numPr>
              <w:tabs>
                <w:tab w:val="left" w:pos="163"/>
              </w:tabs>
              <w:spacing w:line="158" w:lineRule="exact"/>
              <w:ind w:firstLine="0"/>
              <w:rPr>
                <w:sz w:val="14"/>
              </w:rPr>
            </w:pPr>
            <w:r>
              <w:rPr>
                <w:color w:val="231F20"/>
                <w:sz w:val="14"/>
              </w:rPr>
              <w:t>800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527"/>
              </w:numPr>
              <w:tabs>
                <w:tab w:val="left" w:pos="163"/>
              </w:tabs>
              <w:spacing w:before="1" w:line="235" w:lineRule="auto"/>
              <w:ind w:right="173" w:firstLine="0"/>
              <w:rPr>
                <w:sz w:val="14"/>
              </w:rPr>
            </w:pPr>
            <w:r>
              <w:rPr>
                <w:color w:val="231F20"/>
                <w:sz w:val="14"/>
              </w:rPr>
              <w:t>штафета 4 х 100 м ученици и ученице. Вежбање технике трчања на средњим ста­ зама умереним интензитетом и</w:t>
            </w:r>
            <w:r>
              <w:rPr>
                <w:color w:val="231F20"/>
                <w:spacing w:val="-18"/>
                <w:sz w:val="14"/>
              </w:rPr>
              <w:t xml:space="preserve"> </w:t>
            </w:r>
            <w:r>
              <w:rPr>
                <w:color w:val="231F20"/>
                <w:sz w:val="14"/>
              </w:rPr>
              <w:t xml:space="preserve">различитим темпом у трајању </w:t>
            </w:r>
            <w:r>
              <w:rPr>
                <w:color w:val="231F20"/>
                <w:spacing w:val="-3"/>
                <w:sz w:val="14"/>
              </w:rPr>
              <w:t xml:space="preserve">од </w:t>
            </w:r>
            <w:r>
              <w:rPr>
                <w:color w:val="231F20"/>
                <w:sz w:val="14"/>
              </w:rPr>
              <w:t>5 до 10</w:t>
            </w:r>
            <w:r>
              <w:rPr>
                <w:color w:val="231F20"/>
                <w:spacing w:val="2"/>
                <w:sz w:val="14"/>
              </w:rPr>
              <w:t xml:space="preserve"> </w:t>
            </w:r>
            <w:r>
              <w:rPr>
                <w:color w:val="231F20"/>
                <w:sz w:val="14"/>
              </w:rPr>
              <w:t>минута.</w:t>
            </w:r>
          </w:p>
          <w:p w:rsidR="00041039" w:rsidRDefault="001B26CB">
            <w:pPr>
              <w:pStyle w:val="TableParagraph"/>
              <w:spacing w:line="158" w:lineRule="exact"/>
              <w:ind w:left="57"/>
              <w:rPr>
                <w:sz w:val="14"/>
              </w:rPr>
            </w:pPr>
            <w:r>
              <w:rPr>
                <w:color w:val="231F20"/>
                <w:sz w:val="14"/>
              </w:rPr>
              <w:t>К</w:t>
            </w:r>
            <w:r>
              <w:rPr>
                <w:color w:val="231F20"/>
                <w:sz w:val="14"/>
              </w:rPr>
              <w:t>рос: јесењи и пролећни:</w:t>
            </w:r>
          </w:p>
          <w:p w:rsidR="00041039" w:rsidRDefault="001B26CB">
            <w:pPr>
              <w:pStyle w:val="TableParagraph"/>
              <w:numPr>
                <w:ilvl w:val="0"/>
                <w:numId w:val="527"/>
              </w:numPr>
              <w:tabs>
                <w:tab w:val="left" w:pos="163"/>
              </w:tabs>
              <w:spacing w:line="158" w:lineRule="exact"/>
              <w:ind w:firstLine="0"/>
              <w:rPr>
                <w:sz w:val="14"/>
              </w:rPr>
            </w:pPr>
            <w:r>
              <w:rPr>
                <w:color w:val="231F20"/>
                <w:sz w:val="14"/>
              </w:rPr>
              <w:t>800 м ученице;</w:t>
            </w:r>
          </w:p>
          <w:p w:rsidR="00041039" w:rsidRDefault="001B26CB">
            <w:pPr>
              <w:pStyle w:val="TableParagraph"/>
              <w:numPr>
                <w:ilvl w:val="0"/>
                <w:numId w:val="527"/>
              </w:numPr>
              <w:tabs>
                <w:tab w:val="left" w:pos="163"/>
              </w:tabs>
              <w:spacing w:line="158" w:lineRule="exact"/>
              <w:ind w:firstLine="0"/>
              <w:rPr>
                <w:sz w:val="14"/>
              </w:rPr>
            </w:pPr>
            <w:r>
              <w:rPr>
                <w:color w:val="231F20"/>
                <w:sz w:val="14"/>
              </w:rPr>
              <w:t>1000 м ученици.</w:t>
            </w:r>
          </w:p>
          <w:p w:rsidR="00041039" w:rsidRDefault="001B26CB">
            <w:pPr>
              <w:pStyle w:val="TableParagraph"/>
              <w:spacing w:line="158" w:lineRule="exact"/>
              <w:ind w:left="57"/>
              <w:rPr>
                <w:b/>
                <w:sz w:val="14"/>
              </w:rPr>
            </w:pPr>
            <w:r>
              <w:rPr>
                <w:b/>
                <w:color w:val="231F20"/>
                <w:sz w:val="14"/>
              </w:rPr>
              <w:t>Скокови:</w:t>
            </w:r>
          </w:p>
          <w:p w:rsidR="00041039" w:rsidRDefault="001B26CB">
            <w:pPr>
              <w:pStyle w:val="TableParagraph"/>
              <w:spacing w:before="1" w:line="235" w:lineRule="auto"/>
              <w:ind w:left="57" w:right="564"/>
              <w:rPr>
                <w:b/>
                <w:sz w:val="14"/>
              </w:rPr>
            </w:pPr>
            <w:r>
              <w:rPr>
                <w:color w:val="231F20"/>
                <w:sz w:val="14"/>
              </w:rPr>
              <w:t xml:space="preserve">Скок удаљ, корачном техником. Скок увис, леђном техником. </w:t>
            </w:r>
            <w:r>
              <w:rPr>
                <w:b/>
                <w:color w:val="231F20"/>
                <w:sz w:val="14"/>
              </w:rPr>
              <w:t>Бацање:</w:t>
            </w:r>
          </w:p>
          <w:p w:rsidR="00041039" w:rsidRDefault="001B26CB">
            <w:pPr>
              <w:pStyle w:val="TableParagraph"/>
              <w:spacing w:before="1" w:line="235" w:lineRule="auto"/>
              <w:ind w:left="57"/>
              <w:rPr>
                <w:sz w:val="14"/>
              </w:rPr>
            </w:pPr>
            <w:r>
              <w:rPr>
                <w:color w:val="231F20"/>
                <w:sz w:val="14"/>
              </w:rPr>
              <w:t>Бацање кугле, једна од рационалних техника (ученице 4 кг, ученици 5 кг).</w:t>
            </w:r>
          </w:p>
          <w:p w:rsidR="00041039" w:rsidRDefault="001B26CB">
            <w:pPr>
              <w:pStyle w:val="TableParagraph"/>
              <w:spacing w:before="1" w:line="235" w:lineRule="auto"/>
              <w:ind w:left="57" w:right="84"/>
              <w:rPr>
                <w:sz w:val="14"/>
              </w:rPr>
            </w:pPr>
            <w:r>
              <w:rPr>
                <w:color w:val="231F20"/>
                <w:sz w:val="14"/>
              </w:rPr>
              <w:t>Спровести такмичења у одељењу на резултат, у свим реализованим атлетским дисциплинама.</w:t>
            </w:r>
          </w:p>
          <w:p w:rsidR="00041039" w:rsidRDefault="00041039">
            <w:pPr>
              <w:pStyle w:val="TableParagraph"/>
              <w:spacing w:before="9"/>
              <w:ind w:left="0"/>
              <w:rPr>
                <w:b/>
                <w:sz w:val="13"/>
              </w:rPr>
            </w:pPr>
          </w:p>
          <w:p w:rsidR="00041039" w:rsidRDefault="001B26CB">
            <w:pPr>
              <w:pStyle w:val="TableParagraph"/>
              <w:spacing w:line="235" w:lineRule="auto"/>
              <w:ind w:left="57"/>
              <w:rPr>
                <w:b/>
                <w:sz w:val="14"/>
              </w:rPr>
            </w:pPr>
            <w:r>
              <w:rPr>
                <w:b/>
                <w:color w:val="231F20"/>
                <w:sz w:val="14"/>
              </w:rPr>
              <w:t>СПОРТСКА ГИМНАСТИКА: ВЕЖБЕ НА СПРАВАМА И ТЛУ</w:t>
            </w:r>
          </w:p>
          <w:p w:rsidR="00041039" w:rsidRDefault="001B26CB">
            <w:pPr>
              <w:pStyle w:val="TableParagraph"/>
              <w:spacing w:line="157" w:lineRule="exact"/>
              <w:ind w:left="57"/>
              <w:rPr>
                <w:b/>
                <w:sz w:val="14"/>
              </w:rPr>
            </w:pPr>
            <w:r>
              <w:rPr>
                <w:b/>
                <w:color w:val="231F20"/>
                <w:sz w:val="14"/>
              </w:rPr>
              <w:t>Напомене:</w:t>
            </w:r>
          </w:p>
          <w:p w:rsidR="00041039" w:rsidRDefault="001B26CB">
            <w:pPr>
              <w:pStyle w:val="TableParagraph"/>
              <w:numPr>
                <w:ilvl w:val="0"/>
                <w:numId w:val="527"/>
              </w:numPr>
              <w:tabs>
                <w:tab w:val="left" w:pos="163"/>
              </w:tabs>
              <w:spacing w:before="1" w:line="235" w:lineRule="auto"/>
              <w:ind w:left="162" w:right="61"/>
              <w:jc w:val="both"/>
              <w:rPr>
                <w:sz w:val="14"/>
              </w:rPr>
            </w:pPr>
            <w:r>
              <w:rPr>
                <w:color w:val="231F20"/>
                <w:sz w:val="14"/>
              </w:rPr>
              <w:t>Наставник формира групе на основу</w:t>
            </w:r>
            <w:r>
              <w:rPr>
                <w:color w:val="231F20"/>
                <w:spacing w:val="-14"/>
                <w:sz w:val="14"/>
              </w:rPr>
              <w:t xml:space="preserve"> </w:t>
            </w:r>
            <w:r>
              <w:rPr>
                <w:color w:val="231F20"/>
                <w:sz w:val="14"/>
              </w:rPr>
              <w:t xml:space="preserve">умења (вештина) ученика стечених после основне </w:t>
            </w:r>
            <w:r>
              <w:rPr>
                <w:color w:val="231F20"/>
                <w:spacing w:val="-3"/>
                <w:sz w:val="14"/>
              </w:rPr>
              <w:t xml:space="preserve">школе: </w:t>
            </w:r>
            <w:r>
              <w:rPr>
                <w:color w:val="231F20"/>
                <w:sz w:val="14"/>
              </w:rPr>
              <w:t>основни, средњи и напредн</w:t>
            </w:r>
            <w:r>
              <w:rPr>
                <w:color w:val="231F20"/>
                <w:sz w:val="14"/>
              </w:rPr>
              <w:t>и</w:t>
            </w:r>
            <w:r>
              <w:rPr>
                <w:color w:val="231F20"/>
                <w:spacing w:val="-2"/>
                <w:sz w:val="14"/>
              </w:rPr>
              <w:t xml:space="preserve"> </w:t>
            </w:r>
            <w:r>
              <w:rPr>
                <w:color w:val="231F20"/>
                <w:sz w:val="14"/>
              </w:rPr>
              <w:t>ниво.</w:t>
            </w:r>
          </w:p>
          <w:p w:rsidR="00041039" w:rsidRDefault="001B26CB">
            <w:pPr>
              <w:pStyle w:val="TableParagraph"/>
              <w:numPr>
                <w:ilvl w:val="0"/>
                <w:numId w:val="527"/>
              </w:numPr>
              <w:tabs>
                <w:tab w:val="left" w:pos="163"/>
              </w:tabs>
              <w:spacing w:before="1" w:line="235" w:lineRule="auto"/>
              <w:ind w:left="162" w:right="54"/>
              <w:rPr>
                <w:sz w:val="14"/>
              </w:rPr>
            </w:pPr>
            <w:r>
              <w:rPr>
                <w:color w:val="231F20"/>
                <w:sz w:val="14"/>
              </w:rPr>
              <w:t>Наставник олакшава, односно отежава</w:t>
            </w:r>
            <w:r>
              <w:rPr>
                <w:color w:val="231F20"/>
                <w:spacing w:val="-19"/>
                <w:sz w:val="14"/>
              </w:rPr>
              <w:t xml:space="preserve"> </w:t>
            </w:r>
            <w:r>
              <w:rPr>
                <w:color w:val="231F20"/>
                <w:sz w:val="14"/>
              </w:rPr>
              <w:t>про­ грам на основу моторичких способности и претходно стечених умења</w:t>
            </w:r>
            <w:r>
              <w:rPr>
                <w:color w:val="231F20"/>
                <w:spacing w:val="-5"/>
                <w:sz w:val="14"/>
              </w:rPr>
              <w:t xml:space="preserve"> </w:t>
            </w:r>
            <w:r>
              <w:rPr>
                <w:color w:val="231F20"/>
                <w:sz w:val="14"/>
              </w:rPr>
              <w:t>ученика.</w:t>
            </w:r>
          </w:p>
          <w:p w:rsidR="00041039" w:rsidRDefault="001B26CB">
            <w:pPr>
              <w:pStyle w:val="TableParagraph"/>
              <w:numPr>
                <w:ilvl w:val="0"/>
                <w:numId w:val="526"/>
              </w:numPr>
              <w:tabs>
                <w:tab w:val="left" w:pos="142"/>
              </w:tabs>
              <w:spacing w:line="158" w:lineRule="exact"/>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58" w:lineRule="exact"/>
              <w:ind w:left="57"/>
              <w:rPr>
                <w:b/>
                <w:sz w:val="14"/>
              </w:rPr>
            </w:pPr>
            <w:r>
              <w:rPr>
                <w:b/>
                <w:color w:val="231F20"/>
                <w:sz w:val="14"/>
              </w:rPr>
              <w:t>За ученике и ученице:</w:t>
            </w:r>
          </w:p>
          <w:p w:rsidR="00041039" w:rsidRDefault="001B26CB">
            <w:pPr>
              <w:pStyle w:val="TableParagraph"/>
              <w:numPr>
                <w:ilvl w:val="0"/>
                <w:numId w:val="525"/>
              </w:numPr>
              <w:tabs>
                <w:tab w:val="left" w:pos="163"/>
              </w:tabs>
              <w:spacing w:before="1" w:line="235" w:lineRule="auto"/>
              <w:ind w:right="225"/>
              <w:rPr>
                <w:sz w:val="14"/>
              </w:rPr>
            </w:pPr>
            <w:r>
              <w:rPr>
                <w:color w:val="231F20"/>
                <w:sz w:val="14"/>
              </w:rPr>
              <w:t>вага претклоном и заножењем и</w:t>
            </w:r>
            <w:r>
              <w:rPr>
                <w:color w:val="231F20"/>
                <w:spacing w:val="-22"/>
                <w:sz w:val="14"/>
              </w:rPr>
              <w:t xml:space="preserve"> </w:t>
            </w:r>
            <w:r>
              <w:rPr>
                <w:color w:val="231F20"/>
                <w:sz w:val="14"/>
              </w:rPr>
              <w:t xml:space="preserve">спојено, одразом једне ноге </w:t>
            </w:r>
            <w:r>
              <w:rPr>
                <w:color w:val="231F20"/>
                <w:spacing w:val="-3"/>
                <w:sz w:val="14"/>
              </w:rPr>
              <w:t>колут</w:t>
            </w:r>
            <w:r>
              <w:rPr>
                <w:color w:val="231F20"/>
                <w:spacing w:val="-6"/>
                <w:sz w:val="14"/>
              </w:rPr>
              <w:t xml:space="preserve"> </w:t>
            </w:r>
            <w:r>
              <w:rPr>
                <w:color w:val="231F20"/>
                <w:sz w:val="14"/>
              </w:rPr>
              <w:t>напред;</w:t>
            </w:r>
          </w:p>
          <w:p w:rsidR="00041039" w:rsidRDefault="001B26CB">
            <w:pPr>
              <w:pStyle w:val="TableParagraph"/>
              <w:numPr>
                <w:ilvl w:val="0"/>
                <w:numId w:val="525"/>
              </w:numPr>
              <w:tabs>
                <w:tab w:val="left" w:pos="163"/>
              </w:tabs>
              <w:spacing w:line="157" w:lineRule="exact"/>
              <w:rPr>
                <w:sz w:val="14"/>
              </w:rPr>
            </w:pPr>
            <w:r>
              <w:rPr>
                <w:color w:val="231F20"/>
                <w:sz w:val="14"/>
              </w:rPr>
              <w:t xml:space="preserve">став на шакама, издржај, </w:t>
            </w:r>
            <w:r>
              <w:rPr>
                <w:color w:val="231F20"/>
                <w:spacing w:val="-3"/>
                <w:sz w:val="14"/>
              </w:rPr>
              <w:t>колут</w:t>
            </w:r>
            <w:r>
              <w:rPr>
                <w:color w:val="231F20"/>
                <w:spacing w:val="-7"/>
                <w:sz w:val="14"/>
              </w:rPr>
              <w:t xml:space="preserve"> </w:t>
            </w:r>
            <w:r>
              <w:rPr>
                <w:color w:val="231F20"/>
                <w:sz w:val="14"/>
              </w:rPr>
              <w:t>напред;</w:t>
            </w:r>
          </w:p>
          <w:p w:rsidR="00041039" w:rsidRDefault="001B26CB">
            <w:pPr>
              <w:pStyle w:val="TableParagraph"/>
              <w:numPr>
                <w:ilvl w:val="0"/>
                <w:numId w:val="525"/>
              </w:numPr>
              <w:tabs>
                <w:tab w:val="left" w:pos="163"/>
              </w:tabs>
              <w:spacing w:before="1" w:line="235" w:lineRule="auto"/>
              <w:ind w:right="326"/>
              <w:rPr>
                <w:sz w:val="14"/>
              </w:rPr>
            </w:pPr>
            <w:r>
              <w:rPr>
                <w:color w:val="231F20"/>
                <w:sz w:val="14"/>
              </w:rPr>
              <w:t>два повезана премета странце удесно</w:t>
            </w:r>
            <w:r>
              <w:rPr>
                <w:color w:val="231F20"/>
                <w:spacing w:val="-16"/>
                <w:sz w:val="14"/>
              </w:rPr>
              <w:t xml:space="preserve"> </w:t>
            </w:r>
            <w:r>
              <w:rPr>
                <w:color w:val="231F20"/>
                <w:sz w:val="14"/>
              </w:rPr>
              <w:t>и улево;</w:t>
            </w:r>
          </w:p>
          <w:p w:rsidR="00041039" w:rsidRDefault="001B26CB">
            <w:pPr>
              <w:pStyle w:val="TableParagraph"/>
              <w:numPr>
                <w:ilvl w:val="0"/>
                <w:numId w:val="525"/>
              </w:numPr>
              <w:tabs>
                <w:tab w:val="left" w:pos="163"/>
              </w:tabs>
              <w:spacing w:before="1" w:line="235" w:lineRule="auto"/>
              <w:ind w:right="327"/>
              <w:rPr>
                <w:sz w:val="14"/>
              </w:rPr>
            </w:pPr>
            <w:r>
              <w:rPr>
                <w:color w:val="231F20"/>
                <w:sz w:val="14"/>
              </w:rPr>
              <w:t xml:space="preserve">за напредни ниво премет странце са окретом за 180º и </w:t>
            </w:r>
            <w:r>
              <w:rPr>
                <w:color w:val="231F20"/>
                <w:spacing w:val="-3"/>
                <w:sz w:val="14"/>
              </w:rPr>
              <w:t xml:space="preserve">доскоком </w:t>
            </w:r>
            <w:r>
              <w:rPr>
                <w:color w:val="231F20"/>
                <w:sz w:val="14"/>
              </w:rPr>
              <w:t>на обе ноге (,,рондат”).</w:t>
            </w:r>
          </w:p>
          <w:p w:rsidR="00041039" w:rsidRDefault="001B26CB">
            <w:pPr>
              <w:pStyle w:val="TableParagraph"/>
              <w:numPr>
                <w:ilvl w:val="0"/>
                <w:numId w:val="524"/>
              </w:numPr>
              <w:tabs>
                <w:tab w:val="left" w:pos="142"/>
              </w:tabs>
              <w:spacing w:line="158" w:lineRule="exact"/>
              <w:rPr>
                <w:b/>
                <w:sz w:val="14"/>
              </w:rPr>
            </w:pPr>
            <w:r>
              <w:rPr>
                <w:b/>
                <w:color w:val="231F20"/>
                <w:sz w:val="14"/>
              </w:rPr>
              <w:t>Прескок</w:t>
            </w:r>
          </w:p>
          <w:p w:rsidR="00041039" w:rsidRDefault="001B26CB">
            <w:pPr>
              <w:pStyle w:val="TableParagraph"/>
              <w:spacing w:before="1" w:line="235" w:lineRule="auto"/>
              <w:ind w:left="57"/>
              <w:rPr>
                <w:sz w:val="14"/>
              </w:rPr>
            </w:pPr>
            <w:r>
              <w:rPr>
                <w:b/>
                <w:color w:val="231F20"/>
                <w:sz w:val="14"/>
              </w:rPr>
              <w:t xml:space="preserve">За ученике </w:t>
            </w:r>
            <w:r>
              <w:rPr>
                <w:color w:val="231F20"/>
                <w:sz w:val="14"/>
              </w:rPr>
              <w:t xml:space="preserve">коњ у ширину висине 120 цм; </w:t>
            </w:r>
            <w:r>
              <w:rPr>
                <w:b/>
                <w:color w:val="231F20"/>
                <w:sz w:val="14"/>
              </w:rPr>
              <w:t xml:space="preserve">за ученице </w:t>
            </w:r>
            <w:r>
              <w:rPr>
                <w:color w:val="231F20"/>
                <w:sz w:val="14"/>
              </w:rPr>
              <w:t>110 цм:</w:t>
            </w:r>
          </w:p>
          <w:p w:rsidR="00041039" w:rsidRDefault="001B26CB">
            <w:pPr>
              <w:pStyle w:val="TableParagraph"/>
              <w:numPr>
                <w:ilvl w:val="0"/>
                <w:numId w:val="523"/>
              </w:numPr>
              <w:tabs>
                <w:tab w:val="left" w:pos="163"/>
              </w:tabs>
              <w:spacing w:line="157" w:lineRule="exact"/>
              <w:rPr>
                <w:sz w:val="14"/>
              </w:rPr>
            </w:pPr>
            <w:r>
              <w:rPr>
                <w:color w:val="231F20"/>
                <w:sz w:val="14"/>
              </w:rPr>
              <w:t>згрчка;</w:t>
            </w:r>
          </w:p>
          <w:p w:rsidR="00041039" w:rsidRDefault="001B26CB">
            <w:pPr>
              <w:pStyle w:val="TableParagraph"/>
              <w:numPr>
                <w:ilvl w:val="0"/>
                <w:numId w:val="523"/>
              </w:numPr>
              <w:tabs>
                <w:tab w:val="left" w:pos="163"/>
              </w:tabs>
              <w:spacing w:line="158" w:lineRule="exact"/>
              <w:rPr>
                <w:sz w:val="14"/>
              </w:rPr>
            </w:pPr>
            <w:r>
              <w:rPr>
                <w:color w:val="231F20"/>
                <w:sz w:val="14"/>
              </w:rPr>
              <w:t>разношка;</w:t>
            </w:r>
          </w:p>
          <w:p w:rsidR="00041039" w:rsidRDefault="001B26CB">
            <w:pPr>
              <w:pStyle w:val="TableParagraph"/>
              <w:numPr>
                <w:ilvl w:val="0"/>
                <w:numId w:val="523"/>
              </w:numPr>
              <w:tabs>
                <w:tab w:val="left" w:pos="163"/>
              </w:tabs>
              <w:spacing w:line="158" w:lineRule="exact"/>
              <w:rPr>
                <w:sz w:val="14"/>
              </w:rPr>
            </w:pPr>
            <w:r>
              <w:rPr>
                <w:color w:val="231F20"/>
                <w:sz w:val="14"/>
              </w:rPr>
              <w:t>за напредни ниво:</w:t>
            </w:r>
            <w:r>
              <w:rPr>
                <w:color w:val="231F20"/>
                <w:spacing w:val="-3"/>
                <w:sz w:val="14"/>
              </w:rPr>
              <w:t xml:space="preserve"> </w:t>
            </w:r>
            <w:r>
              <w:rPr>
                <w:color w:val="231F20"/>
                <w:sz w:val="14"/>
              </w:rPr>
              <w:t>склонка.</w:t>
            </w:r>
          </w:p>
          <w:p w:rsidR="00041039" w:rsidRDefault="001B26CB">
            <w:pPr>
              <w:pStyle w:val="TableParagraph"/>
              <w:numPr>
                <w:ilvl w:val="0"/>
                <w:numId w:val="522"/>
              </w:numPr>
              <w:tabs>
                <w:tab w:val="left" w:pos="142"/>
              </w:tabs>
              <w:spacing w:line="158" w:lineRule="exact"/>
              <w:rPr>
                <w:b/>
                <w:sz w:val="14"/>
              </w:rPr>
            </w:pPr>
            <w:r>
              <w:rPr>
                <w:b/>
                <w:color w:val="231F20"/>
                <w:sz w:val="14"/>
              </w:rPr>
              <w:t>Кругови</w:t>
            </w:r>
          </w:p>
          <w:p w:rsidR="00041039" w:rsidRDefault="001B26CB">
            <w:pPr>
              <w:pStyle w:val="TableParagraph"/>
              <w:spacing w:line="158" w:lineRule="exact"/>
              <w:ind w:left="57"/>
              <w:rPr>
                <w:sz w:val="14"/>
              </w:rPr>
            </w:pPr>
            <w:r>
              <w:rPr>
                <w:b/>
                <w:color w:val="231F20"/>
                <w:sz w:val="14"/>
              </w:rPr>
              <w:t xml:space="preserve">За ученике </w:t>
            </w:r>
            <w:r>
              <w:rPr>
                <w:color w:val="231F20"/>
                <w:sz w:val="14"/>
              </w:rPr>
              <w:t>/ дохватни кругови /:</w:t>
            </w:r>
          </w:p>
          <w:p w:rsidR="00041039" w:rsidRDefault="001B26CB">
            <w:pPr>
              <w:pStyle w:val="TableParagraph"/>
              <w:numPr>
                <w:ilvl w:val="0"/>
                <w:numId w:val="521"/>
              </w:numPr>
              <w:tabs>
                <w:tab w:val="left" w:pos="163"/>
              </w:tabs>
              <w:spacing w:before="1" w:line="235" w:lineRule="auto"/>
              <w:ind w:right="140"/>
              <w:rPr>
                <w:sz w:val="14"/>
              </w:rPr>
            </w:pPr>
            <w:r>
              <w:rPr>
                <w:color w:val="231F20"/>
                <w:sz w:val="14"/>
              </w:rPr>
              <w:t>из мирног виса вучењем вис узнето,</w:t>
            </w:r>
            <w:r>
              <w:rPr>
                <w:color w:val="231F20"/>
                <w:spacing w:val="-13"/>
                <w:sz w:val="14"/>
              </w:rPr>
              <w:t xml:space="preserve"> </w:t>
            </w:r>
            <w:r>
              <w:rPr>
                <w:color w:val="231F20"/>
                <w:sz w:val="14"/>
              </w:rPr>
              <w:t>спуст у вис стражњи, издржај, вучењем вис узнето, спуст у вис</w:t>
            </w:r>
            <w:r>
              <w:rPr>
                <w:color w:val="231F20"/>
                <w:spacing w:val="-3"/>
                <w:sz w:val="14"/>
              </w:rPr>
              <w:t xml:space="preserve"> </w:t>
            </w:r>
            <w:r>
              <w:rPr>
                <w:color w:val="231F20"/>
                <w:sz w:val="14"/>
              </w:rPr>
              <w:t>предњи.</w:t>
            </w:r>
          </w:p>
          <w:p w:rsidR="00041039" w:rsidRDefault="001B26CB">
            <w:pPr>
              <w:pStyle w:val="TableParagraph"/>
              <w:spacing w:line="158" w:lineRule="exact"/>
              <w:ind w:left="57"/>
              <w:rPr>
                <w:sz w:val="14"/>
              </w:rPr>
            </w:pPr>
            <w:r>
              <w:rPr>
                <w:b/>
                <w:color w:val="231F20"/>
                <w:sz w:val="14"/>
              </w:rPr>
              <w:t xml:space="preserve">За ученице </w:t>
            </w:r>
            <w:r>
              <w:rPr>
                <w:color w:val="231F20"/>
                <w:sz w:val="14"/>
              </w:rPr>
              <w:t>/ дохватни кругови /:</w:t>
            </w:r>
          </w:p>
          <w:p w:rsidR="00041039" w:rsidRDefault="001B26CB">
            <w:pPr>
              <w:pStyle w:val="TableParagraph"/>
              <w:numPr>
                <w:ilvl w:val="0"/>
                <w:numId w:val="521"/>
              </w:numPr>
              <w:tabs>
                <w:tab w:val="left" w:pos="163"/>
              </w:tabs>
              <w:spacing w:before="1" w:line="235" w:lineRule="auto"/>
              <w:ind w:right="159"/>
              <w:rPr>
                <w:sz w:val="14"/>
              </w:rPr>
            </w:pPr>
            <w:r>
              <w:rPr>
                <w:color w:val="231F20"/>
                <w:sz w:val="14"/>
              </w:rPr>
              <w:t xml:space="preserve">уз помоћ суножним </w:t>
            </w:r>
            <w:r>
              <w:rPr>
                <w:color w:val="231F20"/>
                <w:spacing w:val="-3"/>
                <w:sz w:val="14"/>
              </w:rPr>
              <w:t xml:space="preserve">одскоком </w:t>
            </w:r>
            <w:r>
              <w:rPr>
                <w:color w:val="231F20"/>
                <w:sz w:val="14"/>
              </w:rPr>
              <w:t>наскок у згиб, њих у згибу / уз помоћ /; спуст у</w:t>
            </w:r>
            <w:r>
              <w:rPr>
                <w:color w:val="231F20"/>
                <w:spacing w:val="-23"/>
                <w:sz w:val="14"/>
              </w:rPr>
              <w:t xml:space="preserve"> </w:t>
            </w:r>
            <w:r>
              <w:rPr>
                <w:color w:val="231F20"/>
                <w:sz w:val="14"/>
              </w:rPr>
              <w:t>вис стојећи.</w:t>
            </w:r>
          </w:p>
          <w:p w:rsidR="00041039" w:rsidRDefault="001B26CB">
            <w:pPr>
              <w:pStyle w:val="TableParagraph"/>
              <w:numPr>
                <w:ilvl w:val="0"/>
                <w:numId w:val="520"/>
              </w:numPr>
              <w:tabs>
                <w:tab w:val="left" w:pos="142"/>
              </w:tabs>
              <w:spacing w:line="158" w:lineRule="exact"/>
              <w:rPr>
                <w:b/>
                <w:sz w:val="14"/>
              </w:rPr>
            </w:pPr>
            <w:r>
              <w:rPr>
                <w:b/>
                <w:color w:val="231F20"/>
                <w:sz w:val="14"/>
              </w:rPr>
              <w:t>Разбој</w:t>
            </w:r>
          </w:p>
          <w:p w:rsidR="00041039" w:rsidRDefault="001B26CB">
            <w:pPr>
              <w:pStyle w:val="TableParagraph"/>
              <w:spacing w:line="158" w:lineRule="exact"/>
              <w:ind w:left="57"/>
              <w:rPr>
                <w:sz w:val="14"/>
              </w:rPr>
            </w:pPr>
            <w:r>
              <w:rPr>
                <w:b/>
                <w:color w:val="231F20"/>
                <w:sz w:val="14"/>
              </w:rPr>
              <w:t xml:space="preserve">За ученике </w:t>
            </w:r>
            <w:r>
              <w:rPr>
                <w:color w:val="231F20"/>
                <w:sz w:val="14"/>
              </w:rPr>
              <w:t>/ паралелни разбој /:</w:t>
            </w:r>
          </w:p>
          <w:p w:rsidR="00041039" w:rsidRDefault="001B26CB">
            <w:pPr>
              <w:pStyle w:val="TableParagraph"/>
              <w:numPr>
                <w:ilvl w:val="0"/>
                <w:numId w:val="519"/>
              </w:numPr>
              <w:tabs>
                <w:tab w:val="left" w:pos="163"/>
              </w:tabs>
              <w:spacing w:before="1" w:line="235" w:lineRule="auto"/>
              <w:ind w:right="377"/>
              <w:rPr>
                <w:sz w:val="14"/>
              </w:rPr>
            </w:pPr>
            <w:r>
              <w:rPr>
                <w:color w:val="231F20"/>
                <w:sz w:val="14"/>
              </w:rPr>
              <w:t xml:space="preserve">из њиха у </w:t>
            </w:r>
            <w:r>
              <w:rPr>
                <w:color w:val="231F20"/>
                <w:spacing w:val="-3"/>
                <w:sz w:val="14"/>
              </w:rPr>
              <w:t xml:space="preserve">упору, </w:t>
            </w:r>
            <w:r>
              <w:rPr>
                <w:color w:val="231F20"/>
                <w:sz w:val="14"/>
              </w:rPr>
              <w:t>предњихом саскок</w:t>
            </w:r>
            <w:r>
              <w:rPr>
                <w:color w:val="231F20"/>
                <w:spacing w:val="-19"/>
                <w:sz w:val="14"/>
              </w:rPr>
              <w:t xml:space="preserve"> </w:t>
            </w:r>
            <w:r>
              <w:rPr>
                <w:color w:val="231F20"/>
                <w:sz w:val="14"/>
              </w:rPr>
              <w:t>са окретом за 180º (окрет према</w:t>
            </w:r>
            <w:r>
              <w:rPr>
                <w:color w:val="231F20"/>
                <w:spacing w:val="-23"/>
                <w:sz w:val="14"/>
              </w:rPr>
              <w:t xml:space="preserve"> </w:t>
            </w:r>
            <w:r>
              <w:rPr>
                <w:color w:val="231F20"/>
                <w:sz w:val="14"/>
              </w:rPr>
              <w:t>притци);</w:t>
            </w:r>
          </w:p>
          <w:p w:rsidR="00041039" w:rsidRDefault="001B26CB">
            <w:pPr>
              <w:pStyle w:val="TableParagraph"/>
              <w:numPr>
                <w:ilvl w:val="0"/>
                <w:numId w:val="519"/>
              </w:numPr>
              <w:tabs>
                <w:tab w:val="left" w:pos="163"/>
              </w:tabs>
              <w:spacing w:before="1" w:line="235" w:lineRule="auto"/>
              <w:ind w:right="222"/>
              <w:rPr>
                <w:sz w:val="14"/>
              </w:rPr>
            </w:pPr>
            <w:r>
              <w:rPr>
                <w:color w:val="231F20"/>
                <w:sz w:val="14"/>
              </w:rPr>
              <w:t xml:space="preserve">њих у </w:t>
            </w:r>
            <w:r>
              <w:rPr>
                <w:color w:val="231F20"/>
                <w:spacing w:val="-3"/>
                <w:sz w:val="14"/>
              </w:rPr>
              <w:t xml:space="preserve">упору, </w:t>
            </w:r>
            <w:r>
              <w:rPr>
                <w:color w:val="231F20"/>
                <w:sz w:val="14"/>
              </w:rPr>
              <w:t>у зањиху склек,</w:t>
            </w:r>
            <w:r>
              <w:rPr>
                <w:color w:val="231F20"/>
                <w:spacing w:val="-20"/>
                <w:sz w:val="14"/>
              </w:rPr>
              <w:t xml:space="preserve"> </w:t>
            </w:r>
            <w:r>
              <w:rPr>
                <w:color w:val="231F20"/>
                <w:sz w:val="14"/>
              </w:rPr>
              <w:t xml:space="preserve">предњихом упор, зањих у </w:t>
            </w:r>
            <w:r>
              <w:rPr>
                <w:color w:val="231F20"/>
                <w:spacing w:val="-3"/>
                <w:sz w:val="14"/>
              </w:rPr>
              <w:t xml:space="preserve">упору, </w:t>
            </w:r>
            <w:r>
              <w:rPr>
                <w:color w:val="231F20"/>
                <w:sz w:val="14"/>
              </w:rPr>
              <w:t>у предњих у</w:t>
            </w:r>
            <w:r>
              <w:rPr>
                <w:color w:val="231F20"/>
                <w:spacing w:val="-3"/>
                <w:sz w:val="14"/>
              </w:rPr>
              <w:t xml:space="preserve"> </w:t>
            </w:r>
            <w:r>
              <w:rPr>
                <w:color w:val="231F20"/>
                <w:sz w:val="14"/>
              </w:rPr>
              <w:t>склек</w:t>
            </w:r>
          </w:p>
          <w:p w:rsidR="00041039" w:rsidRDefault="001B26CB">
            <w:pPr>
              <w:pStyle w:val="TableParagraph"/>
              <w:spacing w:before="1" w:line="235" w:lineRule="auto"/>
              <w:ind w:left="57"/>
              <w:rPr>
                <w:sz w:val="14"/>
              </w:rPr>
            </w:pPr>
            <w:r>
              <w:rPr>
                <w:b/>
                <w:color w:val="231F20"/>
                <w:sz w:val="14"/>
              </w:rPr>
              <w:t xml:space="preserve">За ученице </w:t>
            </w:r>
            <w:r>
              <w:rPr>
                <w:color w:val="231F20"/>
                <w:sz w:val="14"/>
              </w:rPr>
              <w:t>/ двовисински разбој или једна притка вратила /:</w:t>
            </w:r>
          </w:p>
          <w:p w:rsidR="00041039" w:rsidRDefault="001B26CB">
            <w:pPr>
              <w:pStyle w:val="TableParagraph"/>
              <w:numPr>
                <w:ilvl w:val="0"/>
                <w:numId w:val="519"/>
              </w:numPr>
              <w:tabs>
                <w:tab w:val="left" w:pos="163"/>
              </w:tabs>
              <w:spacing w:line="235" w:lineRule="auto"/>
              <w:ind w:right="168"/>
              <w:rPr>
                <w:sz w:val="14"/>
              </w:rPr>
            </w:pPr>
            <w:r>
              <w:rPr>
                <w:color w:val="231F20"/>
                <w:sz w:val="14"/>
              </w:rPr>
              <w:t>наскок у упор на н / п. премах једном ногом</w:t>
            </w:r>
            <w:r>
              <w:rPr>
                <w:color w:val="231F20"/>
                <w:spacing w:val="-9"/>
                <w:sz w:val="14"/>
              </w:rPr>
              <w:t xml:space="preserve"> </w:t>
            </w:r>
            <w:r>
              <w:rPr>
                <w:color w:val="231F20"/>
                <w:sz w:val="14"/>
              </w:rPr>
              <w:t>до</w:t>
            </w:r>
            <w:r>
              <w:rPr>
                <w:color w:val="231F20"/>
                <w:spacing w:val="-9"/>
                <w:sz w:val="14"/>
              </w:rPr>
              <w:t xml:space="preserve"> </w:t>
            </w:r>
            <w:r>
              <w:rPr>
                <w:color w:val="231F20"/>
                <w:sz w:val="14"/>
              </w:rPr>
              <w:t>упора</w:t>
            </w:r>
            <w:r>
              <w:rPr>
                <w:color w:val="231F20"/>
                <w:spacing w:val="-9"/>
                <w:sz w:val="14"/>
              </w:rPr>
              <w:t xml:space="preserve"> </w:t>
            </w:r>
            <w:r>
              <w:rPr>
                <w:color w:val="231F20"/>
                <w:sz w:val="14"/>
              </w:rPr>
              <w:t>јашућег,</w:t>
            </w:r>
            <w:r>
              <w:rPr>
                <w:color w:val="231F20"/>
                <w:spacing w:val="-9"/>
                <w:sz w:val="14"/>
              </w:rPr>
              <w:t xml:space="preserve"> </w:t>
            </w:r>
            <w:r>
              <w:rPr>
                <w:color w:val="231F20"/>
                <w:sz w:val="14"/>
              </w:rPr>
              <w:t>прехвату</w:t>
            </w:r>
            <w:r>
              <w:rPr>
                <w:color w:val="231F20"/>
                <w:spacing w:val="-9"/>
                <w:sz w:val="14"/>
              </w:rPr>
              <w:t xml:space="preserve"> </w:t>
            </w:r>
            <w:r>
              <w:rPr>
                <w:color w:val="231F20"/>
                <w:sz w:val="14"/>
              </w:rPr>
              <w:t xml:space="preserve">потхват упорном </w:t>
            </w:r>
            <w:r>
              <w:rPr>
                <w:color w:val="231F20"/>
                <w:spacing w:val="-3"/>
                <w:sz w:val="14"/>
              </w:rPr>
              <w:t xml:space="preserve">руком </w:t>
            </w:r>
            <w:r>
              <w:rPr>
                <w:color w:val="231F20"/>
                <w:sz w:val="14"/>
              </w:rPr>
              <w:t>(до предножне) и спојено одножењем заножне премах и саскок</w:t>
            </w:r>
            <w:r>
              <w:rPr>
                <w:color w:val="231F20"/>
                <w:spacing w:val="-17"/>
                <w:sz w:val="14"/>
              </w:rPr>
              <w:t xml:space="preserve"> </w:t>
            </w:r>
            <w:r>
              <w:rPr>
                <w:color w:val="231F20"/>
                <w:sz w:val="14"/>
              </w:rPr>
              <w:t>са</w:t>
            </w:r>
          </w:p>
          <w:p w:rsidR="00041039" w:rsidRDefault="001B26CB">
            <w:pPr>
              <w:pStyle w:val="TableParagraph"/>
              <w:spacing w:before="1" w:line="235" w:lineRule="auto"/>
              <w:ind w:left="162" w:right="2"/>
              <w:rPr>
                <w:sz w:val="14"/>
              </w:rPr>
            </w:pPr>
            <w:r>
              <w:rPr>
                <w:color w:val="231F20"/>
                <w:sz w:val="14"/>
              </w:rPr>
              <w:t>окретом ­ за 90º (одношка), завршити боком према при</w:t>
            </w:r>
            <w:r>
              <w:rPr>
                <w:color w:val="231F20"/>
                <w:sz w:val="14"/>
              </w:rPr>
              <w:t>тци.</w:t>
            </w:r>
          </w:p>
          <w:p w:rsidR="00041039" w:rsidRDefault="001B26CB">
            <w:pPr>
              <w:pStyle w:val="TableParagraph"/>
              <w:numPr>
                <w:ilvl w:val="0"/>
                <w:numId w:val="518"/>
              </w:numPr>
              <w:tabs>
                <w:tab w:val="left" w:pos="142"/>
              </w:tabs>
              <w:spacing w:line="157" w:lineRule="exact"/>
              <w:rPr>
                <w:b/>
                <w:sz w:val="14"/>
              </w:rPr>
            </w:pPr>
            <w:r>
              <w:rPr>
                <w:b/>
                <w:color w:val="231F20"/>
                <w:sz w:val="14"/>
              </w:rPr>
              <w:t>Вратило</w:t>
            </w:r>
          </w:p>
          <w:p w:rsidR="00041039" w:rsidRDefault="001B26CB">
            <w:pPr>
              <w:pStyle w:val="TableParagraph"/>
              <w:spacing w:before="2" w:line="235" w:lineRule="auto"/>
              <w:ind w:left="57" w:right="174"/>
              <w:rPr>
                <w:sz w:val="14"/>
              </w:rPr>
            </w:pPr>
            <w:r>
              <w:rPr>
                <w:b/>
                <w:color w:val="231F20"/>
                <w:sz w:val="14"/>
              </w:rPr>
              <w:t xml:space="preserve">За ученике </w:t>
            </w:r>
            <w:r>
              <w:rPr>
                <w:color w:val="231F20"/>
                <w:sz w:val="14"/>
              </w:rPr>
              <w:t>/ дохватно вратило /: суножним</w:t>
            </w:r>
            <w:r>
              <w:rPr>
                <w:color w:val="231F20"/>
                <w:spacing w:val="-7"/>
                <w:sz w:val="14"/>
              </w:rPr>
              <w:t xml:space="preserve"> </w:t>
            </w:r>
            <w:r>
              <w:rPr>
                <w:color w:val="231F20"/>
                <w:sz w:val="14"/>
              </w:rPr>
              <w:t>одривом</w:t>
            </w:r>
            <w:r>
              <w:rPr>
                <w:color w:val="231F20"/>
                <w:spacing w:val="-7"/>
                <w:sz w:val="14"/>
              </w:rPr>
              <w:t xml:space="preserve"> </w:t>
            </w:r>
            <w:r>
              <w:rPr>
                <w:color w:val="231F20"/>
                <w:sz w:val="14"/>
              </w:rPr>
              <w:t>узмак;</w:t>
            </w:r>
            <w:r>
              <w:rPr>
                <w:color w:val="231F20"/>
                <w:spacing w:val="-7"/>
                <w:sz w:val="14"/>
              </w:rPr>
              <w:t xml:space="preserve"> </w:t>
            </w:r>
            <w:r>
              <w:rPr>
                <w:color w:val="231F20"/>
                <w:sz w:val="14"/>
              </w:rPr>
              <w:t>ковртљај</w:t>
            </w:r>
            <w:r>
              <w:rPr>
                <w:color w:val="231F20"/>
                <w:spacing w:val="-7"/>
                <w:sz w:val="14"/>
              </w:rPr>
              <w:t xml:space="preserve"> </w:t>
            </w:r>
            <w:r>
              <w:rPr>
                <w:color w:val="231F20"/>
                <w:sz w:val="14"/>
              </w:rPr>
              <w:t>назад</w:t>
            </w:r>
            <w:r>
              <w:rPr>
                <w:color w:val="231F20"/>
                <w:spacing w:val="-8"/>
                <w:sz w:val="14"/>
              </w:rPr>
              <w:t xml:space="preserve"> </w:t>
            </w:r>
            <w:r>
              <w:rPr>
                <w:color w:val="231F20"/>
                <w:sz w:val="14"/>
              </w:rPr>
              <w:t>у</w:t>
            </w:r>
          </w:p>
          <w:p w:rsidR="00041039" w:rsidRDefault="001B26CB">
            <w:pPr>
              <w:pStyle w:val="TableParagraph"/>
              <w:spacing w:before="2" w:line="158" w:lineRule="exact"/>
              <w:ind w:left="57"/>
              <w:rPr>
                <w:sz w:val="14"/>
              </w:rPr>
            </w:pPr>
            <w:r>
              <w:rPr>
                <w:color w:val="231F20"/>
                <w:sz w:val="14"/>
              </w:rPr>
              <w:t>упору предњем; саскок замахом у заножење (зањихом).</w:t>
            </w:r>
          </w:p>
        </w:tc>
        <w:tc>
          <w:tcPr>
            <w:tcW w:w="2267" w:type="dxa"/>
          </w:tcPr>
          <w:p w:rsidR="00041039" w:rsidRDefault="001B26CB">
            <w:pPr>
              <w:pStyle w:val="TableParagraph"/>
              <w:spacing w:before="22" w:line="155" w:lineRule="exact"/>
              <w:ind w:left="57"/>
              <w:rPr>
                <w:b/>
                <w:sz w:val="14"/>
              </w:rPr>
            </w:pPr>
            <w:r>
              <w:rPr>
                <w:b/>
                <w:color w:val="231F20"/>
                <w:sz w:val="14"/>
              </w:rPr>
              <w:t>Место реализације наставе</w:t>
            </w:r>
          </w:p>
          <w:p w:rsidR="00041039" w:rsidRDefault="001B26CB">
            <w:pPr>
              <w:pStyle w:val="TableParagraph"/>
              <w:numPr>
                <w:ilvl w:val="0"/>
                <w:numId w:val="517"/>
              </w:numPr>
              <w:tabs>
                <w:tab w:val="left" w:pos="158"/>
              </w:tabs>
              <w:spacing w:line="237" w:lineRule="auto"/>
              <w:ind w:right="113"/>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517"/>
              </w:numPr>
              <w:tabs>
                <w:tab w:val="left" w:pos="158"/>
              </w:tabs>
              <w:spacing w:line="237" w:lineRule="auto"/>
              <w:ind w:right="10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10"/>
              <w:ind w:left="0"/>
              <w:rPr>
                <w:b/>
                <w:sz w:val="12"/>
              </w:rPr>
            </w:pPr>
          </w:p>
          <w:p w:rsidR="00041039" w:rsidRDefault="001B26CB">
            <w:pPr>
              <w:pStyle w:val="TableParagraph"/>
              <w:ind w:left="57" w:right="109"/>
              <w:rPr>
                <w:b/>
                <w:sz w:val="14"/>
              </w:rPr>
            </w:pPr>
            <w:r>
              <w:rPr>
                <w:b/>
                <w:color w:val="231F20"/>
                <w:sz w:val="14"/>
              </w:rPr>
              <w:t>Препоруке за реализацију наставе</w:t>
            </w:r>
          </w:p>
          <w:p w:rsidR="00041039" w:rsidRDefault="001B26CB">
            <w:pPr>
              <w:pStyle w:val="TableParagraph"/>
              <w:numPr>
                <w:ilvl w:val="0"/>
                <w:numId w:val="517"/>
              </w:numPr>
              <w:tabs>
                <w:tab w:val="left" w:pos="158"/>
              </w:tabs>
              <w:spacing w:before="1" w:line="160" w:lineRule="exact"/>
              <w:ind w:right="74"/>
              <w:rPr>
                <w:sz w:val="14"/>
              </w:rPr>
            </w:pPr>
            <w:r>
              <w:rPr>
                <w:color w:val="231F20"/>
                <w:sz w:val="14"/>
              </w:rPr>
              <w:t>Настава се реализује у циклусима који трају приближно 10 ­ 12 часова (узастопних). Наставнику физичко</w:t>
            </w:r>
            <w:r>
              <w:rPr>
                <w:color w:val="231F20"/>
                <w:sz w:val="14"/>
              </w:rPr>
              <w:t>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8"/>
              <w:ind w:left="0"/>
              <w:rPr>
                <w:b/>
                <w:sz w:val="13"/>
              </w:rPr>
            </w:pPr>
          </w:p>
          <w:p w:rsidR="00041039" w:rsidRDefault="001B26CB">
            <w:pPr>
              <w:pStyle w:val="TableParagraph"/>
              <w:spacing w:line="161" w:lineRule="exact"/>
              <w:ind w:left="57"/>
              <w:rPr>
                <w:b/>
                <w:sz w:val="14"/>
              </w:rPr>
            </w:pPr>
            <w:r>
              <w:rPr>
                <w:b/>
                <w:color w:val="231F20"/>
                <w:sz w:val="14"/>
              </w:rPr>
              <w:t>Садржај циклуса је:</w:t>
            </w:r>
          </w:p>
          <w:p w:rsidR="00041039" w:rsidRDefault="001B26CB">
            <w:pPr>
              <w:pStyle w:val="TableParagraph"/>
              <w:numPr>
                <w:ilvl w:val="0"/>
                <w:numId w:val="516"/>
              </w:numPr>
              <w:tabs>
                <w:tab w:val="left" w:pos="163"/>
              </w:tabs>
              <w:ind w:right="169"/>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516"/>
              </w:numPr>
              <w:tabs>
                <w:tab w:val="left" w:pos="163"/>
              </w:tabs>
              <w:spacing w:line="159"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516"/>
              </w:numPr>
              <w:tabs>
                <w:tab w:val="left" w:pos="163"/>
              </w:tabs>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516"/>
              </w:numPr>
              <w:tabs>
                <w:tab w:val="left" w:pos="163"/>
              </w:tabs>
              <w:spacing w:line="159"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516"/>
              </w:numPr>
              <w:tabs>
                <w:tab w:val="left" w:pos="163"/>
              </w:tabs>
              <w:ind w:right="244"/>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9" w:lineRule="exact"/>
              <w:ind w:left="162"/>
              <w:rPr>
                <w:sz w:val="14"/>
              </w:rPr>
            </w:pPr>
            <w:r>
              <w:rPr>
                <w:color w:val="231F20"/>
                <w:sz w:val="14"/>
              </w:rPr>
              <w:t>- један.</w:t>
            </w:r>
          </w:p>
          <w:p w:rsidR="00041039" w:rsidRDefault="00041039">
            <w:pPr>
              <w:pStyle w:val="TableParagraph"/>
              <w:spacing w:before="8"/>
              <w:ind w:left="0"/>
              <w:rPr>
                <w:b/>
                <w:sz w:val="13"/>
              </w:rPr>
            </w:pPr>
          </w:p>
          <w:p w:rsidR="00041039" w:rsidRDefault="001B26CB">
            <w:pPr>
              <w:pStyle w:val="TableParagraph"/>
              <w:ind w:left="57" w:right="42"/>
              <w:rPr>
                <w:sz w:val="14"/>
              </w:rPr>
            </w:pPr>
            <w:r>
              <w:rPr>
                <w:b/>
                <w:color w:val="231F20"/>
                <w:sz w:val="14"/>
              </w:rPr>
              <w:t xml:space="preserve">Начин остваривања програма </w:t>
            </w:r>
            <w:r>
              <w:rPr>
                <w:color w:val="231F20"/>
                <w:sz w:val="14"/>
              </w:rPr>
              <w:t>Садржаји програма усмерени су на: развијање физичких способности; спортско ­ техничко образовање; повезивање физичког васпитањ</w:t>
            </w:r>
            <w:r>
              <w:rPr>
                <w:color w:val="231F20"/>
                <w:sz w:val="14"/>
              </w:rPr>
              <w:t>а</w:t>
            </w:r>
          </w:p>
          <w:p w:rsidR="00041039" w:rsidRDefault="001B26CB">
            <w:pPr>
              <w:pStyle w:val="TableParagraph"/>
              <w:spacing w:line="237" w:lineRule="auto"/>
              <w:ind w:left="57" w:right="78"/>
              <w:rPr>
                <w:sz w:val="14"/>
              </w:rPr>
            </w:pPr>
            <w:r>
              <w:rPr>
                <w:color w:val="231F20"/>
                <w:sz w:val="14"/>
              </w:rPr>
              <w:t>са животом и радом. 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 ставника физичког васпитања.</w:t>
            </w:r>
          </w:p>
          <w:p w:rsidR="00041039" w:rsidRDefault="001B26CB">
            <w:pPr>
              <w:pStyle w:val="TableParagraph"/>
              <w:ind w:left="57"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7" w:lineRule="auto"/>
              <w:ind w:left="57" w:right="40"/>
              <w:rPr>
                <w:sz w:val="14"/>
              </w:rPr>
            </w:pPr>
            <w:r>
              <w:rPr>
                <w:color w:val="231F20"/>
                <w:sz w:val="14"/>
              </w:rPr>
              <w:t xml:space="preserve">Часови у току недеље треба да буду распоређени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p w:rsidR="00041039" w:rsidRDefault="001B26CB">
            <w:pPr>
              <w:pStyle w:val="TableParagraph"/>
              <w:spacing w:before="1"/>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ind w:left="57" w:right="157"/>
              <w:rPr>
                <w:sz w:val="14"/>
              </w:rPr>
            </w:pPr>
            <w:r>
              <w:rPr>
                <w:color w:val="231F20"/>
                <w:sz w:val="14"/>
              </w:rPr>
              <w:t xml:space="preserve">за ученике и одвојено за ученице, а само у школама које имају по два паралелна објекта </w:t>
            </w:r>
            <w:r>
              <w:rPr>
                <w:color w:val="231F20"/>
                <w:sz w:val="14"/>
              </w:rPr>
              <w:t>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spacing w:before="6"/>
              <w:ind w:left="0"/>
              <w:rPr>
                <w:b/>
                <w:sz w:val="13"/>
              </w:rPr>
            </w:pPr>
          </w:p>
          <w:p w:rsidR="00041039" w:rsidRDefault="001B26CB">
            <w:pPr>
              <w:pStyle w:val="TableParagraph"/>
              <w:spacing w:before="1"/>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 xml:space="preserve">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w:t>
            </w:r>
            <w:r>
              <w:rPr>
                <w:color w:val="231F20"/>
                <w:sz w:val="14"/>
              </w:rPr>
              <w:t>у физичком васпитању ­ стандарди за оцењивање физичких способности ученика и постигнућа у спортским играма.</w:t>
            </w:r>
          </w:p>
          <w:p w:rsidR="00041039" w:rsidRDefault="00041039">
            <w:pPr>
              <w:pStyle w:val="TableParagraph"/>
              <w:spacing w:before="11"/>
              <w:ind w:left="0"/>
              <w:rPr>
                <w:b/>
                <w:sz w:val="12"/>
              </w:rPr>
            </w:pPr>
          </w:p>
          <w:p w:rsidR="00041039" w:rsidRDefault="001B26CB">
            <w:pPr>
              <w:pStyle w:val="TableParagraph"/>
              <w:spacing w:line="161" w:lineRule="exact"/>
              <w:ind w:left="57"/>
              <w:rPr>
                <w:b/>
                <w:sz w:val="14"/>
              </w:rPr>
            </w:pPr>
            <w:r>
              <w:rPr>
                <w:b/>
                <w:color w:val="231F20"/>
                <w:sz w:val="14"/>
              </w:rPr>
              <w:t>Минимални обавезни захтеви</w:t>
            </w:r>
          </w:p>
          <w:p w:rsidR="00041039" w:rsidRDefault="001B26CB">
            <w:pPr>
              <w:pStyle w:val="TableParagraph"/>
              <w:numPr>
                <w:ilvl w:val="0"/>
                <w:numId w:val="515"/>
              </w:numPr>
              <w:tabs>
                <w:tab w:val="left" w:pos="142"/>
              </w:tabs>
              <w:ind w:right="66"/>
              <w:rPr>
                <w:sz w:val="14"/>
              </w:rPr>
            </w:pPr>
            <w:r>
              <w:rPr>
                <w:b/>
                <w:color w:val="231F20"/>
                <w:spacing w:val="-3"/>
                <w:sz w:val="14"/>
              </w:rPr>
              <w:t xml:space="preserve">Атлетика: </w:t>
            </w:r>
            <w:r>
              <w:rPr>
                <w:color w:val="231F20"/>
                <w:sz w:val="14"/>
              </w:rPr>
              <w:t xml:space="preserve">трчање на 100 м за ученике и ученице, трчање на 800 м за ученике и 500 м за ученице, скок удаљ, увис, бацање </w:t>
            </w:r>
            <w:r>
              <w:rPr>
                <w:color w:val="231F20"/>
                <w:spacing w:val="-3"/>
                <w:sz w:val="14"/>
              </w:rPr>
              <w:t xml:space="preserve">кугле </w:t>
            </w:r>
            <w:r>
              <w:rPr>
                <w:color w:val="231F20"/>
                <w:sz w:val="14"/>
              </w:rPr>
              <w:t>­</w:t>
            </w:r>
            <w:r>
              <w:rPr>
                <w:color w:val="231F20"/>
                <w:spacing w:val="-14"/>
                <w:sz w:val="14"/>
              </w:rPr>
              <w:t xml:space="preserve"> </w:t>
            </w:r>
            <w:r>
              <w:rPr>
                <w:color w:val="231F20"/>
                <w:sz w:val="14"/>
              </w:rPr>
              <w:t xml:space="preserve">на </w:t>
            </w:r>
            <w:r>
              <w:rPr>
                <w:color w:val="231F20"/>
                <w:spacing w:val="-3"/>
                <w:sz w:val="14"/>
              </w:rPr>
              <w:t>резултат.</w:t>
            </w:r>
          </w:p>
          <w:p w:rsidR="00041039" w:rsidRDefault="001B26CB">
            <w:pPr>
              <w:pStyle w:val="TableParagraph"/>
              <w:numPr>
                <w:ilvl w:val="0"/>
                <w:numId w:val="514"/>
              </w:numPr>
              <w:tabs>
                <w:tab w:val="left" w:pos="158"/>
              </w:tabs>
              <w:spacing w:line="156" w:lineRule="exact"/>
              <w:rPr>
                <w:sz w:val="14"/>
              </w:rPr>
            </w:pPr>
            <w:r>
              <w:rPr>
                <w:color w:val="231F20"/>
                <w:sz w:val="14"/>
              </w:rPr>
              <w:t>Вежбе на справама и</w:t>
            </w:r>
            <w:r>
              <w:rPr>
                <w:color w:val="231F20"/>
                <w:spacing w:val="-5"/>
                <w:sz w:val="14"/>
              </w:rPr>
              <w:t xml:space="preserve"> </w:t>
            </w:r>
            <w:r>
              <w:rPr>
                <w:color w:val="231F20"/>
                <w:sz w:val="14"/>
              </w:rPr>
              <w:t>тлу:</w:t>
            </w:r>
          </w:p>
          <w:p w:rsidR="00041039" w:rsidRDefault="001B26CB">
            <w:pPr>
              <w:pStyle w:val="TableParagraph"/>
              <w:ind w:left="57" w:right="32"/>
              <w:rPr>
                <w:sz w:val="14"/>
              </w:rPr>
            </w:pPr>
            <w:r>
              <w:rPr>
                <w:b/>
                <w:color w:val="231F20"/>
                <w:sz w:val="14"/>
              </w:rPr>
              <w:t xml:space="preserve">За ученике: </w:t>
            </w:r>
            <w:r>
              <w:rPr>
                <w:color w:val="231F20"/>
                <w:sz w:val="14"/>
              </w:rPr>
              <w:t>наставни садржаји из програма вежби на тлу, прескока, једне справе у упору и једне справе у вису.</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8200"/>
        </w:trPr>
        <w:tc>
          <w:tcPr>
            <w:tcW w:w="130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8"/>
              <w:ind w:left="0"/>
              <w:rPr>
                <w:b/>
                <w:sz w:val="12"/>
              </w:rPr>
            </w:pPr>
          </w:p>
          <w:p w:rsidR="00041039" w:rsidRDefault="001B26CB">
            <w:pPr>
              <w:pStyle w:val="TableParagraph"/>
              <w:ind w:left="56" w:right="356"/>
              <w:rPr>
                <w:sz w:val="14"/>
              </w:rPr>
            </w:pPr>
            <w:r>
              <w:rPr>
                <w:color w:val="231F20"/>
                <w:sz w:val="14"/>
              </w:rPr>
              <w:t>Спортска игра (по избору)</w:t>
            </w:r>
          </w:p>
          <w:p w:rsidR="00041039" w:rsidRDefault="00041039">
            <w:pPr>
              <w:pStyle w:val="TableParagraph"/>
              <w:spacing w:before="9"/>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1B26CB">
            <w:pPr>
              <w:pStyle w:val="TableParagraph"/>
              <w:numPr>
                <w:ilvl w:val="0"/>
                <w:numId w:val="513"/>
              </w:numPr>
              <w:tabs>
                <w:tab w:val="left" w:pos="142"/>
              </w:tabs>
              <w:spacing w:before="16" w:line="161" w:lineRule="exact"/>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 висока греда /:</w:t>
            </w:r>
          </w:p>
          <w:p w:rsidR="00041039" w:rsidRDefault="001B26CB">
            <w:pPr>
              <w:pStyle w:val="TableParagraph"/>
              <w:ind w:left="162" w:right="47" w:hanging="105"/>
              <w:rPr>
                <w:sz w:val="14"/>
              </w:rPr>
            </w:pPr>
            <w:r>
              <w:rPr>
                <w:color w:val="231F20"/>
                <w:sz w:val="14"/>
              </w:rPr>
              <w:t xml:space="preserve">– залетом и суножним </w:t>
            </w:r>
            <w:r>
              <w:rPr>
                <w:color w:val="231F20"/>
                <w:spacing w:val="-3"/>
                <w:sz w:val="14"/>
              </w:rPr>
              <w:t xml:space="preserve">одскоком </w:t>
            </w:r>
            <w:r>
              <w:rPr>
                <w:color w:val="231F20"/>
                <w:sz w:val="14"/>
              </w:rPr>
              <w:t>наскок у упор, премах одножно десном: окрет за 90°. упором рукама испред тела преднос разножно; ослонцем ногу иза тела</w:t>
            </w:r>
            <w:r>
              <w:rPr>
                <w:color w:val="231F20"/>
                <w:spacing w:val="-17"/>
                <w:sz w:val="14"/>
              </w:rPr>
              <w:t xml:space="preserve"> </w:t>
            </w:r>
            <w:r>
              <w:rPr>
                <w:color w:val="231F20"/>
                <w:sz w:val="14"/>
              </w:rPr>
              <w:t>(</w:t>
            </w:r>
            <w:r>
              <w:rPr>
                <w:b/>
                <w:color w:val="231F20"/>
                <w:sz w:val="14"/>
              </w:rPr>
              <w:t>напред- нији ниво</w:t>
            </w:r>
            <w:r>
              <w:rPr>
                <w:color w:val="231F20"/>
                <w:sz w:val="14"/>
              </w:rPr>
              <w:t>: замахом у заножење) до упора чучећег; усправ, усправ, ходање у успону са докорацима, вага претклоном, усклон, саскок пруженим телом (чеоно или бочно у односу на</w:t>
            </w:r>
            <w:r>
              <w:rPr>
                <w:color w:val="231F20"/>
                <w:spacing w:val="-2"/>
                <w:sz w:val="14"/>
              </w:rPr>
              <w:t xml:space="preserve"> </w:t>
            </w:r>
            <w:r>
              <w:rPr>
                <w:color w:val="231F20"/>
                <w:sz w:val="14"/>
              </w:rPr>
              <w:t>справу).</w:t>
            </w:r>
          </w:p>
          <w:p w:rsidR="00041039" w:rsidRDefault="001B26CB">
            <w:pPr>
              <w:pStyle w:val="TableParagraph"/>
              <w:numPr>
                <w:ilvl w:val="0"/>
                <w:numId w:val="512"/>
              </w:numPr>
              <w:tabs>
                <w:tab w:val="left" w:pos="142"/>
              </w:tabs>
              <w:spacing w:line="237" w:lineRule="auto"/>
              <w:ind w:right="1426" w:firstLine="0"/>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ind w:left="162" w:right="65" w:hanging="105"/>
              <w:rPr>
                <w:sz w:val="14"/>
              </w:rPr>
            </w:pPr>
            <w:r>
              <w:rPr>
                <w:color w:val="231F20"/>
                <w:sz w:val="14"/>
              </w:rPr>
              <w:t xml:space="preserve">– премах одножно десном напред замах улево, замах удесно, замах улево и спојено премах левом напред; премах десном назад, замах улево, замах удесно и спојено одножењем десне, саскок са окретом за 90º улево до става на </w:t>
            </w:r>
            <w:r>
              <w:rPr>
                <w:color w:val="231F20"/>
                <w:spacing w:val="-5"/>
                <w:sz w:val="14"/>
              </w:rPr>
              <w:t xml:space="preserve">тлу, </w:t>
            </w:r>
            <w:r>
              <w:rPr>
                <w:color w:val="231F20"/>
                <w:sz w:val="14"/>
              </w:rPr>
              <w:t xml:space="preserve">леви бок према </w:t>
            </w:r>
            <w:r>
              <w:rPr>
                <w:color w:val="231F20"/>
                <w:spacing w:val="-5"/>
                <w:sz w:val="14"/>
              </w:rPr>
              <w:t>коњу.</w:t>
            </w:r>
          </w:p>
          <w:p w:rsidR="00041039" w:rsidRDefault="001B26CB">
            <w:pPr>
              <w:pStyle w:val="TableParagraph"/>
              <w:spacing w:line="237" w:lineRule="auto"/>
              <w:ind w:left="57" w:right="62"/>
              <w:rPr>
                <w:sz w:val="14"/>
              </w:rPr>
            </w:pPr>
            <w:r>
              <w:rPr>
                <w:b/>
                <w:color w:val="231F20"/>
                <w:sz w:val="14"/>
              </w:rPr>
              <w:t>Школско такм</w:t>
            </w:r>
            <w:r>
              <w:rPr>
                <w:b/>
                <w:color w:val="231F20"/>
                <w:sz w:val="14"/>
              </w:rPr>
              <w:t>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61"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w:t>
            </w:r>
            <w:r>
              <w:rPr>
                <w:b/>
                <w:color w:val="231F20"/>
                <w:sz w:val="14"/>
              </w:rPr>
              <w:t xml:space="preserve">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pacing w:val="-4"/>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10"/>
              <w:ind w:left="0"/>
              <w:rPr>
                <w:b/>
                <w:sz w:val="12"/>
              </w:rPr>
            </w:pPr>
          </w:p>
          <w:p w:rsidR="00041039" w:rsidRDefault="001B26CB">
            <w:pPr>
              <w:pStyle w:val="TableParagraph"/>
              <w:spacing w:line="161" w:lineRule="exact"/>
              <w:ind w:left="57"/>
              <w:rPr>
                <w:b/>
                <w:sz w:val="14"/>
              </w:rPr>
            </w:pPr>
            <w:r>
              <w:rPr>
                <w:b/>
                <w:color w:val="231F20"/>
                <w:sz w:val="14"/>
              </w:rPr>
              <w:t>СПОРТСКА ИГРА (по избору)</w:t>
            </w:r>
          </w:p>
          <w:p w:rsidR="00041039" w:rsidRDefault="001B26CB">
            <w:pPr>
              <w:pStyle w:val="TableParagraph"/>
              <w:numPr>
                <w:ilvl w:val="0"/>
                <w:numId w:val="511"/>
              </w:numPr>
              <w:tabs>
                <w:tab w:val="left" w:pos="163"/>
              </w:tabs>
              <w:ind w:right="156"/>
              <w:rPr>
                <w:sz w:val="14"/>
              </w:rPr>
            </w:pPr>
            <w:r>
              <w:rPr>
                <w:color w:val="231F20"/>
                <w:sz w:val="14"/>
              </w:rPr>
              <w:t>Понављање и учвршћивање ра</w:t>
            </w:r>
            <w:r>
              <w:rPr>
                <w:color w:val="231F20"/>
                <w:sz w:val="14"/>
              </w:rPr>
              <w:t>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numPr>
                <w:ilvl w:val="0"/>
                <w:numId w:val="511"/>
              </w:numPr>
              <w:tabs>
                <w:tab w:val="left" w:pos="163"/>
              </w:tabs>
              <w:ind w:right="134"/>
              <w:rPr>
                <w:sz w:val="14"/>
              </w:rPr>
            </w:pPr>
            <w:r>
              <w:rPr>
                <w:color w:val="231F20"/>
                <w:sz w:val="14"/>
              </w:rPr>
              <w:t xml:space="preserve">Даље проширивање и продубљивање техничко ­ 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садржаје из спортске</w:t>
            </w:r>
            <w:r>
              <w:rPr>
                <w:color w:val="231F20"/>
                <w:spacing w:val="-7"/>
                <w:sz w:val="14"/>
              </w:rPr>
              <w:t xml:space="preserve"> </w:t>
            </w:r>
            <w:r>
              <w:rPr>
                <w:color w:val="231F20"/>
                <w:sz w:val="14"/>
              </w:rPr>
              <w:t>игре.</w:t>
            </w:r>
          </w:p>
          <w:p w:rsidR="00041039" w:rsidRDefault="001B26CB">
            <w:pPr>
              <w:pStyle w:val="TableParagraph"/>
              <w:numPr>
                <w:ilvl w:val="0"/>
                <w:numId w:val="510"/>
              </w:numPr>
              <w:tabs>
                <w:tab w:val="left" w:pos="157"/>
              </w:tabs>
              <w:spacing w:line="155" w:lineRule="exact"/>
              <w:ind w:hanging="99"/>
              <w:rPr>
                <w:sz w:val="14"/>
              </w:rPr>
            </w:pPr>
            <w:r>
              <w:rPr>
                <w:color w:val="231F20"/>
                <w:sz w:val="14"/>
              </w:rPr>
              <w:t>Стручно веће наставника физичког</w:t>
            </w:r>
            <w:r>
              <w:rPr>
                <w:color w:val="231F20"/>
                <w:spacing w:val="-9"/>
                <w:sz w:val="14"/>
              </w:rPr>
              <w:t xml:space="preserve"> </w:t>
            </w:r>
            <w:r>
              <w:rPr>
                <w:color w:val="231F20"/>
                <w:sz w:val="14"/>
              </w:rPr>
              <w:t>васпи­</w:t>
            </w:r>
          </w:p>
          <w:p w:rsidR="00041039" w:rsidRDefault="001B26CB">
            <w:pPr>
              <w:pStyle w:val="TableParagraph"/>
              <w:rPr>
                <w:sz w:val="14"/>
              </w:rPr>
            </w:pPr>
            <w:r>
              <w:rPr>
                <w:color w:val="231F20"/>
                <w:sz w:val="14"/>
              </w:rPr>
              <w:t>тања, према програму који сам доноси из програма првогразреда (програм по избору ученика) у складу са могућностима школе, организује наставу за коју ученици покажу посебно интересовање.</w:t>
            </w:r>
          </w:p>
          <w:p w:rsidR="00041039" w:rsidRDefault="001B26CB">
            <w:pPr>
              <w:pStyle w:val="TableParagraph"/>
              <w:numPr>
                <w:ilvl w:val="0"/>
                <w:numId w:val="510"/>
              </w:numPr>
              <w:tabs>
                <w:tab w:val="left" w:pos="157"/>
              </w:tabs>
              <w:spacing w:line="156" w:lineRule="exact"/>
              <w:ind w:hanging="99"/>
              <w:rPr>
                <w:sz w:val="14"/>
              </w:rPr>
            </w:pPr>
            <w:r>
              <w:rPr>
                <w:color w:val="231F20"/>
                <w:sz w:val="14"/>
              </w:rPr>
              <w:t xml:space="preserve">Препорука: </w:t>
            </w:r>
            <w:r>
              <w:rPr>
                <w:color w:val="231F20"/>
                <w:spacing w:val="-3"/>
                <w:sz w:val="14"/>
              </w:rPr>
              <w:t xml:space="preserve">уколико </w:t>
            </w:r>
            <w:r>
              <w:rPr>
                <w:color w:val="231F20"/>
                <w:sz w:val="14"/>
              </w:rPr>
              <w:t>је могуће,</w:t>
            </w:r>
            <w:r>
              <w:rPr>
                <w:color w:val="231F20"/>
                <w:spacing w:val="-1"/>
                <w:sz w:val="14"/>
              </w:rPr>
              <w:t xml:space="preserve"> </w:t>
            </w:r>
            <w:r>
              <w:rPr>
                <w:color w:val="231F20"/>
                <w:sz w:val="14"/>
              </w:rPr>
              <w:t>организо­</w:t>
            </w:r>
          </w:p>
          <w:p w:rsidR="00041039" w:rsidRDefault="001B26CB">
            <w:pPr>
              <w:pStyle w:val="TableParagraph"/>
              <w:rPr>
                <w:sz w:val="14"/>
              </w:rPr>
            </w:pPr>
            <w:r>
              <w:rPr>
                <w:color w:val="231F20"/>
                <w:sz w:val="14"/>
              </w:rPr>
              <w:t>вати наставу пливања (посебно обуку за непливаче)</w:t>
            </w:r>
          </w:p>
        </w:tc>
        <w:tc>
          <w:tcPr>
            <w:tcW w:w="2267" w:type="dxa"/>
          </w:tcPr>
          <w:p w:rsidR="00041039" w:rsidRDefault="001B26CB">
            <w:pPr>
              <w:pStyle w:val="TableParagraph"/>
              <w:spacing w:before="19"/>
              <w:ind w:left="57" w:right="127"/>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7"/>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509"/>
              </w:numPr>
              <w:tabs>
                <w:tab w:val="left" w:pos="158"/>
              </w:tabs>
              <w:spacing w:line="237" w:lineRule="auto"/>
              <w:ind w:right="156"/>
              <w:jc w:val="both"/>
              <w:rPr>
                <w:b/>
                <w:sz w:val="14"/>
              </w:rPr>
            </w:pPr>
            <w:r>
              <w:rPr>
                <w:color w:val="231F20"/>
                <w:sz w:val="14"/>
              </w:rPr>
              <w:t>Тестирање и провера</w:t>
            </w:r>
            <w:r>
              <w:rPr>
                <w:color w:val="231F20"/>
                <w:spacing w:val="-14"/>
                <w:sz w:val="14"/>
              </w:rPr>
              <w:t xml:space="preserve"> </w:t>
            </w:r>
            <w:r>
              <w:rPr>
                <w:color w:val="231F20"/>
                <w:sz w:val="14"/>
              </w:rPr>
              <w:t xml:space="preserve">савладано­ сти стандарда из основне </w:t>
            </w:r>
            <w:r>
              <w:rPr>
                <w:color w:val="231F20"/>
                <w:spacing w:val="-3"/>
                <w:sz w:val="14"/>
              </w:rPr>
              <w:t xml:space="preserve">школе </w:t>
            </w:r>
            <w:r>
              <w:rPr>
                <w:b/>
                <w:color w:val="231F20"/>
                <w:sz w:val="14"/>
              </w:rPr>
              <w:t>(6</w:t>
            </w:r>
            <w:r>
              <w:rPr>
                <w:b/>
                <w:color w:val="231F20"/>
                <w:spacing w:val="-1"/>
                <w:sz w:val="14"/>
              </w:rPr>
              <w:t xml:space="preserve"> </w:t>
            </w:r>
            <w:r>
              <w:rPr>
                <w:b/>
                <w:color w:val="231F20"/>
                <w:sz w:val="14"/>
              </w:rPr>
              <w:t>часо</w:t>
            </w:r>
            <w:r>
              <w:rPr>
                <w:b/>
                <w:color w:val="231F20"/>
                <w:sz w:val="14"/>
              </w:rPr>
              <w:t>ва)</w:t>
            </w:r>
          </w:p>
          <w:p w:rsidR="00041039" w:rsidRDefault="001B26CB">
            <w:pPr>
              <w:pStyle w:val="TableParagraph"/>
              <w:numPr>
                <w:ilvl w:val="0"/>
                <w:numId w:val="509"/>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509"/>
              </w:numPr>
              <w:tabs>
                <w:tab w:val="left" w:pos="158"/>
              </w:tabs>
              <w:spacing w:line="155" w:lineRule="exact"/>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509"/>
              </w:numPr>
              <w:tabs>
                <w:tab w:val="left" w:pos="158"/>
              </w:tabs>
              <w:spacing w:line="237" w:lineRule="auto"/>
              <w:ind w:right="104"/>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numPr>
                <w:ilvl w:val="0"/>
                <w:numId w:val="509"/>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509"/>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509"/>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509"/>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5"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 вођење редовне наставе школа у току школске године организује: Два целодневна излета са пеша­ чењем:</w:t>
            </w:r>
          </w:p>
          <w:p w:rsidR="00041039" w:rsidRDefault="001B26CB">
            <w:pPr>
              <w:pStyle w:val="TableParagraph"/>
              <w:numPr>
                <w:ilvl w:val="0"/>
                <w:numId w:val="508"/>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508"/>
              </w:numPr>
              <w:tabs>
                <w:tab w:val="left" w:pos="163"/>
              </w:tabs>
              <w:ind w:right="180"/>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508"/>
              </w:numPr>
              <w:tabs>
                <w:tab w:val="left" w:pos="163"/>
              </w:tabs>
              <w:ind w:right="134"/>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w:t>
            </w:r>
            <w:r>
              <w:rPr>
                <w:color w:val="231F20"/>
                <w:sz w:val="14"/>
              </w:rPr>
              <w:t>е, према узрасту ученика.</w:t>
            </w:r>
          </w:p>
          <w:p w:rsidR="00041039" w:rsidRDefault="00041039">
            <w:pPr>
              <w:pStyle w:val="TableParagraph"/>
              <w:spacing w:before="10"/>
              <w:ind w:left="0"/>
              <w:rPr>
                <w:b/>
                <w:sz w:val="12"/>
              </w:rPr>
            </w:pPr>
          </w:p>
          <w:p w:rsidR="00041039" w:rsidRDefault="001B26CB">
            <w:pPr>
              <w:pStyle w:val="TableParagraph"/>
              <w:spacing w:line="237" w:lineRule="auto"/>
              <w:ind w:left="57" w:right="10"/>
              <w:rPr>
                <w:sz w:val="14"/>
              </w:rPr>
            </w:pPr>
            <w:r>
              <w:rPr>
                <w:color w:val="231F20"/>
                <w:sz w:val="14"/>
              </w:rPr>
              <w:t>Школа организује и спроводи спортска такмичења, као јединстве­ ни део процеса наставе физичког васпитања. Спортска такмичења организују се у оквиру радне суботе и у друго време које одреди школа. Међу школска спортска такмичења о</w:t>
            </w:r>
            <w:r>
              <w:rPr>
                <w:color w:val="231F20"/>
                <w:sz w:val="14"/>
              </w:rPr>
              <w:t>рганизују се у оквиру календара који доноси Министарство просве­ те науке и технолошког развоја.</w:t>
            </w:r>
          </w:p>
        </w:tc>
      </w:tr>
    </w:tbl>
    <w:p w:rsidR="00041039" w:rsidRDefault="00041039">
      <w:pPr>
        <w:pStyle w:val="BodyText"/>
        <w:spacing w:before="8"/>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507"/>
              </w:numPr>
              <w:tabs>
                <w:tab w:val="left" w:pos="157"/>
              </w:tabs>
              <w:spacing w:before="8"/>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507"/>
              </w:numPr>
              <w:tabs>
                <w:tab w:val="left" w:pos="157"/>
              </w:tabs>
              <w:spacing w:line="160"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506"/>
              </w:numPr>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506"/>
              </w:numPr>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numPr>
                <w:ilvl w:val="0"/>
                <w:numId w:val="506"/>
              </w:numPr>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505"/>
              </w:numPr>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505"/>
              </w:numPr>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505"/>
              </w:numPr>
              <w:tabs>
                <w:tab w:val="left" w:pos="157"/>
              </w:tabs>
              <w:spacing w:line="237" w:lineRule="auto"/>
              <w:ind w:right="109" w:hanging="99"/>
              <w:rPr>
                <w:sz w:val="14"/>
              </w:rPr>
            </w:pPr>
            <w:r>
              <w:rPr>
                <w:color w:val="231F20"/>
                <w:sz w:val="14"/>
              </w:rPr>
              <w:t xml:space="preserve">Провера стања </w:t>
            </w:r>
            <w:r>
              <w:rPr>
                <w:color w:val="231F20"/>
                <w:sz w:val="14"/>
              </w:rPr>
              <w:t>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Pr>
          <w:p w:rsidR="00041039" w:rsidRDefault="001B26CB">
            <w:pPr>
              <w:pStyle w:val="TableParagraph"/>
              <w:numPr>
                <w:ilvl w:val="0"/>
                <w:numId w:val="504"/>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504"/>
              </w:numPr>
              <w:tabs>
                <w:tab w:val="left" w:pos="158"/>
              </w:tabs>
              <w:spacing w:line="156" w:lineRule="exact"/>
              <w:ind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 о томе које вежбе позитивно утичу на статус њиховог органи­ зма, с обзиром на карактеристике њихове професије, а које негатив­ но утичу на здравље.</w:t>
            </w:r>
          </w:p>
        </w:tc>
      </w:tr>
      <w:tr w:rsidR="00041039">
        <w:trPr>
          <w:trHeight w:val="1640"/>
        </w:trPr>
        <w:tc>
          <w:tcPr>
            <w:tcW w:w="1304" w:type="dxa"/>
          </w:tcPr>
          <w:p w:rsidR="00041039" w:rsidRDefault="001B26CB">
            <w:pPr>
              <w:pStyle w:val="TableParagraph"/>
              <w:spacing w:before="19"/>
              <w:ind w:left="56" w:right="99"/>
              <w:rPr>
                <w:sz w:val="14"/>
              </w:rPr>
            </w:pPr>
            <w:r>
              <w:rPr>
                <w:color w:val="231F20"/>
                <w:sz w:val="14"/>
              </w:rPr>
              <w:t>Развој моторичких и функционал­ них способности човека, као основа за ре</w:t>
            </w:r>
            <w:r>
              <w:rPr>
                <w:color w:val="231F20"/>
                <w:sz w:val="14"/>
              </w:rPr>
              <w:t>ализовање по­ стављених циљева и</w:t>
            </w:r>
            <w:r>
              <w:rPr>
                <w:color w:val="231F20"/>
                <w:spacing w:val="-1"/>
                <w:sz w:val="14"/>
              </w:rPr>
              <w:t xml:space="preserve"> </w:t>
            </w:r>
            <w:r>
              <w:rPr>
                <w:color w:val="231F20"/>
                <w:spacing w:val="-3"/>
                <w:sz w:val="14"/>
              </w:rPr>
              <w:t>исхода</w:t>
            </w:r>
          </w:p>
        </w:tc>
        <w:tc>
          <w:tcPr>
            <w:tcW w:w="1587" w:type="dxa"/>
          </w:tcPr>
          <w:p w:rsidR="00041039" w:rsidRDefault="001B26CB">
            <w:pPr>
              <w:pStyle w:val="TableParagraph"/>
              <w:numPr>
                <w:ilvl w:val="0"/>
                <w:numId w:val="503"/>
              </w:numPr>
              <w:tabs>
                <w:tab w:val="left" w:pos="157"/>
              </w:tabs>
              <w:spacing w:before="9"/>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tcPr>
          <w:p w:rsidR="00041039" w:rsidRDefault="001B26CB">
            <w:pPr>
              <w:pStyle w:val="TableParagraph"/>
              <w:numPr>
                <w:ilvl w:val="0"/>
                <w:numId w:val="502"/>
              </w:numPr>
              <w:tabs>
                <w:tab w:val="left" w:pos="157"/>
              </w:tabs>
              <w:spacing w:before="9"/>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numPr>
                <w:ilvl w:val="0"/>
                <w:numId w:val="502"/>
              </w:numPr>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tcPr>
          <w:p w:rsidR="00041039" w:rsidRDefault="001B26CB">
            <w:pPr>
              <w:pStyle w:val="TableParagraph"/>
              <w:numPr>
                <w:ilvl w:val="0"/>
                <w:numId w:val="501"/>
              </w:numPr>
              <w:tabs>
                <w:tab w:val="left" w:pos="157"/>
              </w:tabs>
              <w:spacing w:before="9"/>
              <w:ind w:right="221" w:hanging="99"/>
              <w:rPr>
                <w:sz w:val="14"/>
              </w:rPr>
            </w:pPr>
            <w:r>
              <w:rPr>
                <w:color w:val="231F20"/>
                <w:sz w:val="14"/>
              </w:rPr>
              <w:t xml:space="preserve">Вежбе снаге без и </w:t>
            </w:r>
            <w:r>
              <w:rPr>
                <w:color w:val="231F20"/>
                <w:sz w:val="14"/>
              </w:rPr>
              <w:t>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501"/>
              </w:numPr>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501"/>
              </w:numPr>
              <w:tabs>
                <w:tab w:val="left" w:pos="157"/>
              </w:tabs>
              <w:spacing w:line="237" w:lineRule="auto"/>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501"/>
              </w:numPr>
              <w:tabs>
                <w:tab w:val="left" w:pos="157"/>
              </w:tabs>
              <w:spacing w:line="160" w:lineRule="exact"/>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numPr>
                <w:ilvl w:val="0"/>
                <w:numId w:val="501"/>
              </w:numPr>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501"/>
              </w:numPr>
              <w:tabs>
                <w:tab w:val="left" w:pos="157"/>
              </w:tabs>
              <w:spacing w:line="158" w:lineRule="exact"/>
              <w:ind w:hanging="99"/>
              <w:rPr>
                <w:sz w:val="14"/>
              </w:rPr>
            </w:pPr>
            <w:r>
              <w:rPr>
                <w:color w:val="231F20"/>
                <w:sz w:val="14"/>
              </w:rPr>
              <w:t>Аеробик.</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788"/>
        </w:trPr>
        <w:tc>
          <w:tcPr>
            <w:tcW w:w="1304" w:type="dxa"/>
          </w:tcPr>
          <w:p w:rsidR="00041039" w:rsidRDefault="001B26CB">
            <w:pPr>
              <w:pStyle w:val="TableParagraph"/>
              <w:spacing w:before="18"/>
              <w:ind w:left="56" w:right="77"/>
              <w:rPr>
                <w:sz w:val="14"/>
              </w:rPr>
            </w:pPr>
            <w:r>
              <w:rPr>
                <w:color w:val="231F20"/>
                <w:sz w:val="14"/>
              </w:rPr>
              <w:lastRenderedPageBreak/>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spacing w:before="1"/>
              <w:ind w:left="56"/>
              <w:rPr>
                <w:sz w:val="14"/>
              </w:rPr>
            </w:pPr>
            <w:r>
              <w:rPr>
                <w:color w:val="231F20"/>
                <w:sz w:val="14"/>
              </w:rPr>
              <w:t>Атлетика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11"/>
              <w:ind w:left="56" w:right="54"/>
              <w:rPr>
                <w:sz w:val="14"/>
              </w:rPr>
            </w:pPr>
            <w:r>
              <w:rPr>
                <w:color w:val="231F20"/>
                <w:sz w:val="14"/>
              </w:rPr>
              <w:t>Спортска гимнастика: (Вежбе на</w:t>
            </w:r>
            <w:r>
              <w:rPr>
                <w:color w:val="231F20"/>
                <w:spacing w:val="-9"/>
                <w:sz w:val="14"/>
              </w:rPr>
              <w:t xml:space="preserve"> </w:t>
            </w:r>
            <w:r>
              <w:rPr>
                <w:color w:val="231F20"/>
                <w:sz w:val="14"/>
              </w:rPr>
              <w:t>справама и</w:t>
            </w:r>
            <w:r>
              <w:rPr>
                <w:color w:val="231F20"/>
                <w:spacing w:val="-2"/>
                <w:sz w:val="14"/>
              </w:rPr>
              <w:t xml:space="preserve"> </w:t>
            </w:r>
            <w:r>
              <w:rPr>
                <w:color w:val="231F20"/>
                <w:sz w:val="14"/>
              </w:rPr>
              <w:t>тлу)</w:t>
            </w:r>
          </w:p>
        </w:tc>
        <w:tc>
          <w:tcPr>
            <w:tcW w:w="1587" w:type="dxa"/>
          </w:tcPr>
          <w:p w:rsidR="00041039" w:rsidRDefault="001B26CB">
            <w:pPr>
              <w:pStyle w:val="TableParagraph"/>
              <w:numPr>
                <w:ilvl w:val="0"/>
                <w:numId w:val="500"/>
              </w:numPr>
              <w:tabs>
                <w:tab w:val="left" w:pos="157"/>
              </w:tabs>
              <w:spacing w:before="8"/>
              <w:ind w:right="48"/>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041039" w:rsidRDefault="001B26CB">
            <w:pPr>
              <w:pStyle w:val="TableParagraph"/>
              <w:numPr>
                <w:ilvl w:val="0"/>
                <w:numId w:val="500"/>
              </w:numPr>
              <w:tabs>
                <w:tab w:val="left" w:pos="157"/>
              </w:tabs>
              <w:spacing w:line="157" w:lineRule="exact"/>
              <w:rPr>
                <w:sz w:val="14"/>
              </w:rPr>
            </w:pPr>
            <w:r>
              <w:rPr>
                <w:color w:val="231F20"/>
                <w:sz w:val="14"/>
              </w:rPr>
              <w:t>Формирање</w:t>
            </w:r>
            <w:r>
              <w:rPr>
                <w:color w:val="231F20"/>
                <w:spacing w:val="-3"/>
                <w:sz w:val="14"/>
              </w:rPr>
              <w:t xml:space="preserve"> </w:t>
            </w:r>
            <w:r>
              <w:rPr>
                <w:color w:val="231F20"/>
                <w:sz w:val="14"/>
              </w:rPr>
              <w:t>позитив­</w:t>
            </w:r>
          </w:p>
          <w:p w:rsidR="00041039" w:rsidRDefault="001B26CB">
            <w:pPr>
              <w:pStyle w:val="TableParagraph"/>
              <w:ind w:right="15"/>
              <w:rPr>
                <w:sz w:val="14"/>
              </w:rPr>
            </w:pPr>
            <w:r>
              <w:rPr>
                <w:color w:val="231F20"/>
                <w:sz w:val="14"/>
              </w:rPr>
              <w:t>них психо социјалних образаца понашања.</w:t>
            </w:r>
          </w:p>
          <w:p w:rsidR="00041039" w:rsidRDefault="001B26CB">
            <w:pPr>
              <w:pStyle w:val="TableParagraph"/>
              <w:numPr>
                <w:ilvl w:val="0"/>
                <w:numId w:val="500"/>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numPr>
                <w:ilvl w:val="0"/>
                <w:numId w:val="500"/>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w:t>
            </w:r>
          </w:p>
          <w:p w:rsidR="00041039" w:rsidRDefault="001B26CB">
            <w:pPr>
              <w:pStyle w:val="TableParagraph"/>
              <w:numPr>
                <w:ilvl w:val="0"/>
                <w:numId w:val="500"/>
              </w:numPr>
              <w:tabs>
                <w:tab w:val="left" w:pos="157"/>
              </w:tabs>
              <w:spacing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w:t>
            </w:r>
            <w:r>
              <w:rPr>
                <w:color w:val="231F20"/>
                <w:sz w:val="14"/>
              </w:rPr>
              <w:t>обина ученика.</w:t>
            </w:r>
          </w:p>
          <w:p w:rsidR="00041039" w:rsidRDefault="001B26CB">
            <w:pPr>
              <w:pStyle w:val="TableParagraph"/>
              <w:numPr>
                <w:ilvl w:val="0"/>
                <w:numId w:val="500"/>
              </w:numPr>
              <w:tabs>
                <w:tab w:val="left" w:pos="157"/>
              </w:tabs>
              <w:spacing w:line="160" w:lineRule="exact"/>
              <w:ind w:right="210"/>
              <w:rPr>
                <w:sz w:val="14"/>
              </w:rPr>
            </w:pPr>
            <w:r>
              <w:rPr>
                <w:color w:val="231F20"/>
                <w:sz w:val="14"/>
              </w:rPr>
              <w:t>Стицање и усавр­ шавање моторич­ ких знања, умећа, вештина, техника и навика</w:t>
            </w:r>
            <w:r>
              <w:rPr>
                <w:color w:val="231F20"/>
                <w:spacing w:val="-9"/>
                <w:sz w:val="14"/>
              </w:rPr>
              <w:t xml:space="preserve"> </w:t>
            </w:r>
            <w:r>
              <w:rPr>
                <w:color w:val="231F20"/>
                <w:sz w:val="14"/>
              </w:rPr>
              <w:t>предвиђених</w:t>
            </w:r>
          </w:p>
          <w:p w:rsidR="00041039" w:rsidRDefault="001B26CB">
            <w:pPr>
              <w:pStyle w:val="TableParagraph"/>
              <w:spacing w:line="237" w:lineRule="auto"/>
              <w:ind w:right="15"/>
              <w:rPr>
                <w:sz w:val="14"/>
              </w:rPr>
            </w:pPr>
            <w:r>
              <w:rPr>
                <w:color w:val="231F20"/>
                <w:sz w:val="14"/>
              </w:rPr>
              <w:t>програмом за базичне спортске гране.</w:t>
            </w:r>
          </w:p>
          <w:p w:rsidR="00041039" w:rsidRDefault="001B26CB">
            <w:pPr>
              <w:pStyle w:val="TableParagraph"/>
              <w:numPr>
                <w:ilvl w:val="0"/>
                <w:numId w:val="500"/>
              </w:numPr>
              <w:tabs>
                <w:tab w:val="left" w:pos="157"/>
              </w:tabs>
              <w:spacing w:line="237" w:lineRule="auto"/>
              <w:ind w:right="73"/>
              <w:rPr>
                <w:sz w:val="14"/>
              </w:rPr>
            </w:pPr>
            <w:r>
              <w:rPr>
                <w:color w:val="231F20"/>
                <w:sz w:val="14"/>
              </w:rPr>
              <w:t>Повезивање моторич­ ких задатака у</w:t>
            </w:r>
            <w:r>
              <w:rPr>
                <w:color w:val="231F20"/>
                <w:spacing w:val="-15"/>
                <w:sz w:val="14"/>
              </w:rPr>
              <w:t xml:space="preserve"> </w:t>
            </w:r>
            <w:r>
              <w:rPr>
                <w:color w:val="231F20"/>
                <w:sz w:val="14"/>
              </w:rPr>
              <w:t>целине; али без стварања крутих моторичких аутоматизама.</w:t>
            </w:r>
          </w:p>
          <w:p w:rsidR="00041039" w:rsidRDefault="001B26CB">
            <w:pPr>
              <w:pStyle w:val="TableParagraph"/>
              <w:numPr>
                <w:ilvl w:val="0"/>
                <w:numId w:val="500"/>
              </w:numPr>
              <w:tabs>
                <w:tab w:val="left" w:pos="157"/>
              </w:tabs>
              <w:spacing w:line="237" w:lineRule="auto"/>
              <w:ind w:right="158"/>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numPr>
                <w:ilvl w:val="0"/>
                <w:numId w:val="500"/>
              </w:numPr>
              <w:tabs>
                <w:tab w:val="left" w:pos="157"/>
              </w:tabs>
              <w:spacing w:line="237" w:lineRule="auto"/>
              <w:ind w:right="165"/>
              <w:rPr>
                <w:sz w:val="14"/>
              </w:rPr>
            </w:pPr>
            <w:r>
              <w:rPr>
                <w:color w:val="231F20"/>
                <w:sz w:val="14"/>
              </w:rPr>
              <w:t>Развијање елемената ритма сједињавањем кинетичких и енер­ гетских елемената у целине: рад ­ одмор, напрезање ­ релакса­ ција, убрзање ­ успо­ равање,</w:t>
            </w:r>
          </w:p>
          <w:p w:rsidR="00041039" w:rsidRDefault="001B26CB">
            <w:pPr>
              <w:pStyle w:val="TableParagraph"/>
              <w:numPr>
                <w:ilvl w:val="0"/>
                <w:numId w:val="500"/>
              </w:numPr>
              <w:tabs>
                <w:tab w:val="left" w:pos="157"/>
              </w:tabs>
              <w:spacing w:line="237" w:lineRule="auto"/>
              <w:ind w:right="359"/>
              <w:rPr>
                <w:sz w:val="14"/>
              </w:rPr>
            </w:pPr>
            <w:r>
              <w:rPr>
                <w:color w:val="231F20"/>
                <w:sz w:val="14"/>
              </w:rPr>
              <w:t>Избор спорто</w:t>
            </w:r>
            <w:r>
              <w:rPr>
                <w:color w:val="231F20"/>
                <w:sz w:val="14"/>
              </w:rPr>
              <w:t>ва, односно</w:t>
            </w:r>
            <w:r>
              <w:rPr>
                <w:color w:val="231F20"/>
                <w:spacing w:val="-10"/>
                <w:sz w:val="14"/>
              </w:rPr>
              <w:t xml:space="preserve"> </w:t>
            </w:r>
            <w:r>
              <w:rPr>
                <w:color w:val="231F20"/>
                <w:sz w:val="14"/>
              </w:rPr>
              <w:t>спортско</w:t>
            </w:r>
          </w:p>
          <w:p w:rsidR="00041039" w:rsidRDefault="001B26CB">
            <w:pPr>
              <w:pStyle w:val="TableParagraph"/>
              <w:ind w:right="15"/>
              <w:rPr>
                <w:sz w:val="14"/>
              </w:rPr>
            </w:pPr>
            <w:r>
              <w:rPr>
                <w:color w:val="231F20"/>
                <w:sz w:val="14"/>
              </w:rPr>
              <w:t>- рекреативних или других кретних ак­ тивности као трајног опредељења за њихово свакодневно упражња­ вање.</w:t>
            </w:r>
          </w:p>
        </w:tc>
        <w:tc>
          <w:tcPr>
            <w:tcW w:w="2551" w:type="dxa"/>
          </w:tcPr>
          <w:p w:rsidR="00041039" w:rsidRDefault="001B26CB">
            <w:pPr>
              <w:pStyle w:val="TableParagraph"/>
              <w:numPr>
                <w:ilvl w:val="0"/>
                <w:numId w:val="499"/>
              </w:numPr>
              <w:tabs>
                <w:tab w:val="left" w:pos="157"/>
              </w:tabs>
              <w:spacing w:before="9"/>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499"/>
              </w:numPr>
              <w:tabs>
                <w:tab w:val="left" w:pos="157"/>
              </w:tabs>
              <w:spacing w:line="156" w:lineRule="exact"/>
              <w:ind w:hanging="99"/>
              <w:rPr>
                <w:sz w:val="14"/>
              </w:rPr>
            </w:pPr>
            <w:r>
              <w:rPr>
                <w:color w:val="231F20"/>
                <w:sz w:val="14"/>
              </w:rPr>
              <w:t>демонстрира техник</w:t>
            </w:r>
            <w:r>
              <w:rPr>
                <w:color w:val="231F20"/>
                <w:sz w:val="14"/>
              </w:rPr>
              <w:t>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numPr>
                <w:ilvl w:val="0"/>
                <w:numId w:val="499"/>
              </w:numPr>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numPr>
                <w:ilvl w:val="0"/>
                <w:numId w:val="499"/>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499"/>
              </w:numPr>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499"/>
              </w:numPr>
              <w:tabs>
                <w:tab w:val="left" w:pos="157"/>
              </w:tabs>
              <w:spacing w:line="237" w:lineRule="auto"/>
              <w:ind w:right="131" w:hanging="99"/>
              <w:rPr>
                <w:sz w:val="14"/>
              </w:rPr>
            </w:pPr>
            <w:r>
              <w:rPr>
                <w:color w:val="231F20"/>
                <w:sz w:val="14"/>
              </w:rPr>
              <w:t>сагледа негативне утицаје савреме­ ног начи</w:t>
            </w:r>
            <w:r>
              <w:rPr>
                <w:color w:val="231F20"/>
                <w:sz w:val="14"/>
              </w:rPr>
              <w:t xml:space="preserve">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499"/>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w:t>
            </w:r>
            <w:r>
              <w:rPr>
                <w:color w:val="231F20"/>
                <w:sz w:val="14"/>
              </w:rPr>
              <w:t>нтактима;</w:t>
            </w:r>
          </w:p>
          <w:p w:rsidR="00041039" w:rsidRDefault="001B26CB">
            <w:pPr>
              <w:pStyle w:val="TableParagraph"/>
              <w:numPr>
                <w:ilvl w:val="0"/>
                <w:numId w:val="499"/>
              </w:numPr>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499"/>
              </w:numPr>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499"/>
              </w:numPr>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numPr>
                <w:ilvl w:val="0"/>
                <w:numId w:val="499"/>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w:t>
            </w:r>
            <w:r>
              <w:rPr>
                <w:color w:val="231F20"/>
                <w:sz w:val="14"/>
              </w:rPr>
              <w:t xml:space="preserve"> па школским спорт­ ским такмичењима и у слободном времену;</w:t>
            </w:r>
          </w:p>
          <w:p w:rsidR="00041039" w:rsidRDefault="001B26CB">
            <w:pPr>
              <w:pStyle w:val="TableParagraph"/>
              <w:numPr>
                <w:ilvl w:val="0"/>
                <w:numId w:val="499"/>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499"/>
              </w:numPr>
              <w:tabs>
                <w:tab w:val="left" w:pos="157"/>
              </w:tabs>
              <w:spacing w:line="237" w:lineRule="auto"/>
              <w:ind w:right="155" w:hanging="99"/>
              <w:rPr>
                <w:sz w:val="14"/>
              </w:rPr>
            </w:pPr>
            <w:r>
              <w:rPr>
                <w:color w:val="231F20"/>
                <w:sz w:val="14"/>
              </w:rPr>
              <w:t>има правилан однос према</w:t>
            </w:r>
            <w:r>
              <w:rPr>
                <w:color w:val="231F20"/>
                <w:spacing w:val="-20"/>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w:t>
            </w:r>
            <w:r>
              <w:rPr>
                <w:color w:val="231F20"/>
                <w:sz w:val="14"/>
              </w:rPr>
              <w:t>портом;</w:t>
            </w:r>
          </w:p>
          <w:p w:rsidR="00041039" w:rsidRDefault="001B26CB">
            <w:pPr>
              <w:pStyle w:val="TableParagraph"/>
              <w:numPr>
                <w:ilvl w:val="0"/>
                <w:numId w:val="499"/>
              </w:numPr>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10"/>
              <w:ind w:left="0"/>
              <w:rPr>
                <w:b/>
                <w:sz w:val="16"/>
              </w:rPr>
            </w:pPr>
          </w:p>
          <w:p w:rsidR="00041039" w:rsidRDefault="001B26CB">
            <w:pPr>
              <w:pStyle w:val="TableParagraph"/>
              <w:spacing w:line="161" w:lineRule="exact"/>
              <w:ind w:left="57"/>
              <w:rPr>
                <w:b/>
                <w:sz w:val="14"/>
              </w:rPr>
            </w:pPr>
            <w:r>
              <w:rPr>
                <w:b/>
                <w:color w:val="231F20"/>
                <w:sz w:val="14"/>
              </w:rPr>
              <w:t>АТЛЕТИКА</w:t>
            </w:r>
          </w:p>
          <w:p w:rsidR="00041039" w:rsidRDefault="001B26CB">
            <w:pPr>
              <w:pStyle w:val="TableParagraph"/>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p w:rsidR="00041039" w:rsidRDefault="00041039">
            <w:pPr>
              <w:pStyle w:val="TableParagraph"/>
              <w:spacing w:before="7"/>
              <w:ind w:left="0"/>
              <w:rPr>
                <w:b/>
                <w:sz w:val="13"/>
              </w:rPr>
            </w:pPr>
          </w:p>
          <w:p w:rsidR="00041039" w:rsidRDefault="001B26CB">
            <w:pPr>
              <w:pStyle w:val="TableParagraph"/>
              <w:spacing w:line="161" w:lineRule="exact"/>
              <w:ind w:left="57"/>
              <w:rPr>
                <w:b/>
                <w:sz w:val="14"/>
              </w:rPr>
            </w:pPr>
            <w:r>
              <w:rPr>
                <w:b/>
                <w:color w:val="231F20"/>
                <w:sz w:val="14"/>
              </w:rPr>
              <w:t>Трчањe:</w:t>
            </w:r>
          </w:p>
          <w:p w:rsidR="00041039" w:rsidRDefault="001B26CB">
            <w:pPr>
              <w:pStyle w:val="TableParagraph"/>
              <w:ind w:left="57"/>
              <w:rPr>
                <w:b/>
                <w:sz w:val="14"/>
              </w:rPr>
            </w:pPr>
            <w:r>
              <w:rPr>
                <w:b/>
                <w:color w:val="231F20"/>
                <w:sz w:val="14"/>
              </w:rPr>
              <w:t>Усавршавање технике трчања на кратке н средње стазе:</w:t>
            </w:r>
          </w:p>
          <w:p w:rsidR="00041039" w:rsidRDefault="001B26CB">
            <w:pPr>
              <w:pStyle w:val="TableParagraph"/>
              <w:numPr>
                <w:ilvl w:val="0"/>
                <w:numId w:val="498"/>
              </w:numPr>
              <w:tabs>
                <w:tab w:val="left" w:pos="163"/>
              </w:tabs>
              <w:spacing w:line="159" w:lineRule="exact"/>
              <w:ind w:firstLine="0"/>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498"/>
              </w:numPr>
              <w:tabs>
                <w:tab w:val="left" w:pos="163"/>
              </w:tabs>
              <w:spacing w:line="160" w:lineRule="exact"/>
              <w:ind w:firstLine="0"/>
              <w:rPr>
                <w:sz w:val="14"/>
              </w:rPr>
            </w:pPr>
            <w:r>
              <w:rPr>
                <w:color w:val="231F20"/>
                <w:sz w:val="14"/>
              </w:rPr>
              <w:t>800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498"/>
              </w:numPr>
              <w:tabs>
                <w:tab w:val="left" w:pos="163"/>
              </w:tabs>
              <w:ind w:right="173" w:firstLine="0"/>
              <w:rPr>
                <w:sz w:val="14"/>
              </w:rPr>
            </w:pPr>
            <w:r>
              <w:rPr>
                <w:color w:val="231F20"/>
                <w:sz w:val="14"/>
              </w:rPr>
              <w:t>штафета 4 х 100 м ученици и ученице. Вежбање технике трчања на средњим ста­ зама умереним интензитетом и</w:t>
            </w:r>
            <w:r>
              <w:rPr>
                <w:color w:val="231F20"/>
                <w:spacing w:val="-18"/>
                <w:sz w:val="14"/>
              </w:rPr>
              <w:t xml:space="preserve"> </w:t>
            </w:r>
            <w:r>
              <w:rPr>
                <w:color w:val="231F20"/>
                <w:sz w:val="14"/>
              </w:rPr>
              <w:t xml:space="preserve">различитим темпом у трајању </w:t>
            </w:r>
            <w:r>
              <w:rPr>
                <w:color w:val="231F20"/>
                <w:spacing w:val="-3"/>
                <w:sz w:val="14"/>
              </w:rPr>
              <w:t xml:space="preserve">од </w:t>
            </w:r>
            <w:r>
              <w:rPr>
                <w:color w:val="231F20"/>
                <w:sz w:val="14"/>
              </w:rPr>
              <w:t>5 до 10</w:t>
            </w:r>
            <w:r>
              <w:rPr>
                <w:color w:val="231F20"/>
                <w:spacing w:val="2"/>
                <w:sz w:val="14"/>
              </w:rPr>
              <w:t xml:space="preserve"> </w:t>
            </w:r>
            <w:r>
              <w:rPr>
                <w:color w:val="231F20"/>
                <w:sz w:val="14"/>
              </w:rPr>
              <w:t>минута.</w:t>
            </w:r>
          </w:p>
          <w:p w:rsidR="00041039" w:rsidRDefault="001B26CB">
            <w:pPr>
              <w:pStyle w:val="TableParagraph"/>
              <w:spacing w:line="157" w:lineRule="exact"/>
              <w:ind w:left="57"/>
              <w:rPr>
                <w:sz w:val="14"/>
              </w:rPr>
            </w:pPr>
            <w:r>
              <w:rPr>
                <w:color w:val="231F20"/>
                <w:sz w:val="14"/>
              </w:rPr>
              <w:t>Крос: јесењи и пролећни:</w:t>
            </w:r>
          </w:p>
          <w:p w:rsidR="00041039" w:rsidRDefault="001B26CB">
            <w:pPr>
              <w:pStyle w:val="TableParagraph"/>
              <w:numPr>
                <w:ilvl w:val="0"/>
                <w:numId w:val="498"/>
              </w:numPr>
              <w:tabs>
                <w:tab w:val="left" w:pos="163"/>
              </w:tabs>
              <w:spacing w:line="160" w:lineRule="exact"/>
              <w:ind w:firstLine="0"/>
              <w:rPr>
                <w:sz w:val="14"/>
              </w:rPr>
            </w:pPr>
            <w:r>
              <w:rPr>
                <w:color w:val="231F20"/>
                <w:sz w:val="14"/>
              </w:rPr>
              <w:t>800 м ученице;</w:t>
            </w:r>
          </w:p>
          <w:p w:rsidR="00041039" w:rsidRDefault="001B26CB">
            <w:pPr>
              <w:pStyle w:val="TableParagraph"/>
              <w:numPr>
                <w:ilvl w:val="0"/>
                <w:numId w:val="498"/>
              </w:numPr>
              <w:tabs>
                <w:tab w:val="left" w:pos="163"/>
              </w:tabs>
              <w:spacing w:line="160" w:lineRule="exact"/>
              <w:ind w:firstLine="0"/>
              <w:rPr>
                <w:sz w:val="14"/>
              </w:rPr>
            </w:pPr>
            <w:r>
              <w:rPr>
                <w:color w:val="231F20"/>
                <w:sz w:val="14"/>
              </w:rPr>
              <w:t>1000 м ученици.</w:t>
            </w:r>
          </w:p>
          <w:p w:rsidR="00041039" w:rsidRDefault="001B26CB">
            <w:pPr>
              <w:pStyle w:val="TableParagraph"/>
              <w:spacing w:line="160" w:lineRule="exact"/>
              <w:ind w:left="57"/>
              <w:rPr>
                <w:b/>
                <w:sz w:val="14"/>
              </w:rPr>
            </w:pPr>
            <w:r>
              <w:rPr>
                <w:b/>
                <w:color w:val="231F20"/>
                <w:sz w:val="14"/>
              </w:rPr>
              <w:t>Скокови:</w:t>
            </w:r>
          </w:p>
          <w:p w:rsidR="00041039" w:rsidRDefault="001B26CB">
            <w:pPr>
              <w:pStyle w:val="TableParagraph"/>
              <w:ind w:left="57" w:right="564"/>
              <w:rPr>
                <w:b/>
                <w:sz w:val="14"/>
              </w:rPr>
            </w:pPr>
            <w:r>
              <w:rPr>
                <w:color w:val="231F20"/>
                <w:sz w:val="14"/>
              </w:rPr>
              <w:t xml:space="preserve">Скок удаљ, корачном техником. Скок увис, леђном техником. </w:t>
            </w:r>
            <w:r>
              <w:rPr>
                <w:b/>
                <w:color w:val="231F20"/>
                <w:sz w:val="14"/>
              </w:rPr>
              <w:t>Бацање:</w:t>
            </w:r>
          </w:p>
          <w:p w:rsidR="00041039" w:rsidRDefault="001B26CB">
            <w:pPr>
              <w:pStyle w:val="TableParagraph"/>
              <w:spacing w:line="237" w:lineRule="auto"/>
              <w:ind w:left="57"/>
              <w:rPr>
                <w:sz w:val="14"/>
              </w:rPr>
            </w:pPr>
            <w:r>
              <w:rPr>
                <w:color w:val="231F20"/>
                <w:sz w:val="14"/>
              </w:rPr>
              <w:t>Бацање кугле, једна од рационалних техника (ученице 4 кг, ученици 5 кг).</w:t>
            </w:r>
          </w:p>
          <w:p w:rsidR="00041039" w:rsidRDefault="001B26CB">
            <w:pPr>
              <w:pStyle w:val="TableParagraph"/>
              <w:ind w:left="57" w:right="84"/>
              <w:rPr>
                <w:sz w:val="14"/>
              </w:rPr>
            </w:pPr>
            <w:r>
              <w:rPr>
                <w:color w:val="231F20"/>
                <w:sz w:val="14"/>
              </w:rPr>
              <w:t>Спровести такмичења у одељењу на резултат, у свим реализованим атлетским дисциплинама.</w:t>
            </w:r>
          </w:p>
          <w:p w:rsidR="00041039" w:rsidRDefault="00041039">
            <w:pPr>
              <w:pStyle w:val="TableParagraph"/>
              <w:spacing w:before="4"/>
              <w:ind w:left="0"/>
              <w:rPr>
                <w:b/>
                <w:sz w:val="13"/>
              </w:rPr>
            </w:pPr>
          </w:p>
          <w:p w:rsidR="00041039" w:rsidRDefault="001B26CB">
            <w:pPr>
              <w:pStyle w:val="TableParagraph"/>
              <w:spacing w:before="1"/>
              <w:ind w:left="57"/>
              <w:rPr>
                <w:b/>
                <w:sz w:val="14"/>
              </w:rPr>
            </w:pPr>
            <w:r>
              <w:rPr>
                <w:b/>
                <w:color w:val="231F20"/>
                <w:sz w:val="14"/>
              </w:rPr>
              <w:t>СПОРТСКА ГИМНАСТИКА: ВЕЖБЕ НА СПРАВАМА И ТЛУ</w:t>
            </w:r>
          </w:p>
          <w:p w:rsidR="00041039" w:rsidRDefault="001B26CB">
            <w:pPr>
              <w:pStyle w:val="TableParagraph"/>
              <w:spacing w:line="159" w:lineRule="exact"/>
              <w:ind w:left="57"/>
              <w:rPr>
                <w:b/>
                <w:sz w:val="14"/>
              </w:rPr>
            </w:pPr>
            <w:r>
              <w:rPr>
                <w:b/>
                <w:color w:val="231F20"/>
                <w:sz w:val="14"/>
              </w:rPr>
              <w:t>Напомене:</w:t>
            </w:r>
          </w:p>
          <w:p w:rsidR="00041039" w:rsidRDefault="001B26CB">
            <w:pPr>
              <w:pStyle w:val="TableParagraph"/>
              <w:numPr>
                <w:ilvl w:val="0"/>
                <w:numId w:val="498"/>
              </w:numPr>
              <w:tabs>
                <w:tab w:val="left" w:pos="163"/>
              </w:tabs>
              <w:ind w:left="162" w:right="54"/>
              <w:rPr>
                <w:sz w:val="14"/>
              </w:rPr>
            </w:pPr>
            <w:r>
              <w:rPr>
                <w:color w:val="231F20"/>
                <w:sz w:val="14"/>
              </w:rPr>
              <w:t>Наставник олакшава, односно отежава</w:t>
            </w:r>
            <w:r>
              <w:rPr>
                <w:color w:val="231F20"/>
                <w:spacing w:val="-19"/>
                <w:sz w:val="14"/>
              </w:rPr>
              <w:t xml:space="preserve"> </w:t>
            </w:r>
            <w:r>
              <w:rPr>
                <w:color w:val="231F20"/>
                <w:sz w:val="14"/>
              </w:rPr>
              <w:t>про­ грам на основу моторичких способности и претходно стечених умења</w:t>
            </w:r>
            <w:r>
              <w:rPr>
                <w:color w:val="231F20"/>
                <w:spacing w:val="-5"/>
                <w:sz w:val="14"/>
              </w:rPr>
              <w:t xml:space="preserve"> </w:t>
            </w:r>
            <w:r>
              <w:rPr>
                <w:color w:val="231F20"/>
                <w:sz w:val="14"/>
              </w:rPr>
              <w:t>ученика</w:t>
            </w:r>
            <w:r>
              <w:rPr>
                <w:color w:val="231F20"/>
                <w:sz w:val="14"/>
              </w:rPr>
              <w:t>.</w:t>
            </w:r>
          </w:p>
          <w:p w:rsidR="00041039" w:rsidRDefault="001B26CB">
            <w:pPr>
              <w:pStyle w:val="TableParagraph"/>
              <w:numPr>
                <w:ilvl w:val="0"/>
                <w:numId w:val="497"/>
              </w:numPr>
              <w:tabs>
                <w:tab w:val="left" w:pos="142"/>
              </w:tabs>
              <w:spacing w:line="158" w:lineRule="exact"/>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60" w:lineRule="exact"/>
              <w:ind w:left="57"/>
              <w:rPr>
                <w:b/>
                <w:sz w:val="14"/>
              </w:rPr>
            </w:pPr>
            <w:r>
              <w:rPr>
                <w:b/>
                <w:color w:val="231F20"/>
                <w:sz w:val="14"/>
              </w:rPr>
              <w:t>За ученике и ученице:</w:t>
            </w:r>
          </w:p>
          <w:p w:rsidR="00041039" w:rsidRDefault="001B26CB">
            <w:pPr>
              <w:pStyle w:val="TableParagraph"/>
              <w:numPr>
                <w:ilvl w:val="0"/>
                <w:numId w:val="496"/>
              </w:numPr>
              <w:tabs>
                <w:tab w:val="left" w:pos="163"/>
              </w:tabs>
              <w:ind w:right="435"/>
              <w:rPr>
                <w:sz w:val="14"/>
              </w:rPr>
            </w:pPr>
            <w:r>
              <w:rPr>
                <w:color w:val="231F20"/>
                <w:sz w:val="14"/>
              </w:rPr>
              <w:t>из упора за рукама, згибом, провлак згрчено напред до упора пред</w:t>
            </w:r>
            <w:r>
              <w:rPr>
                <w:color w:val="231F20"/>
                <w:spacing w:val="-22"/>
                <w:sz w:val="14"/>
              </w:rPr>
              <w:t xml:space="preserve"> </w:t>
            </w:r>
            <w:r>
              <w:rPr>
                <w:color w:val="231F20"/>
                <w:sz w:val="14"/>
              </w:rPr>
              <w:t>рукама (опружено);</w:t>
            </w:r>
          </w:p>
          <w:p w:rsidR="00041039" w:rsidRDefault="001B26CB">
            <w:pPr>
              <w:pStyle w:val="TableParagraph"/>
              <w:numPr>
                <w:ilvl w:val="0"/>
                <w:numId w:val="496"/>
              </w:numPr>
              <w:tabs>
                <w:tab w:val="left" w:pos="163"/>
              </w:tabs>
              <w:spacing w:line="237" w:lineRule="auto"/>
              <w:ind w:right="233"/>
              <w:rPr>
                <w:sz w:val="14"/>
              </w:rPr>
            </w:pPr>
            <w:r>
              <w:rPr>
                <w:color w:val="231F20"/>
                <w:spacing w:val="-3"/>
                <w:sz w:val="14"/>
              </w:rPr>
              <w:t xml:space="preserve">колут </w:t>
            </w:r>
            <w:r>
              <w:rPr>
                <w:color w:val="231F20"/>
                <w:sz w:val="14"/>
              </w:rPr>
              <w:t>напред и спојено усправом до</w:t>
            </w:r>
            <w:r>
              <w:rPr>
                <w:color w:val="231F20"/>
                <w:spacing w:val="-11"/>
                <w:sz w:val="14"/>
              </w:rPr>
              <w:t xml:space="preserve"> </w:t>
            </w:r>
            <w:r>
              <w:rPr>
                <w:color w:val="231F20"/>
                <w:sz w:val="14"/>
              </w:rPr>
              <w:t>ваге претклоном и заножењем,</w:t>
            </w:r>
            <w:r>
              <w:rPr>
                <w:color w:val="231F20"/>
                <w:spacing w:val="-7"/>
                <w:sz w:val="14"/>
              </w:rPr>
              <w:t xml:space="preserve"> </w:t>
            </w:r>
            <w:r>
              <w:rPr>
                <w:color w:val="231F20"/>
                <w:sz w:val="14"/>
              </w:rPr>
              <w:t>издржај;</w:t>
            </w:r>
          </w:p>
          <w:p w:rsidR="00041039" w:rsidRDefault="001B26CB">
            <w:pPr>
              <w:pStyle w:val="TableParagraph"/>
              <w:numPr>
                <w:ilvl w:val="0"/>
                <w:numId w:val="496"/>
              </w:numPr>
              <w:tabs>
                <w:tab w:val="left" w:pos="163"/>
              </w:tabs>
              <w:ind w:right="246"/>
              <w:rPr>
                <w:sz w:val="14"/>
              </w:rPr>
            </w:pPr>
            <w:r>
              <w:rPr>
                <w:color w:val="231F20"/>
                <w:sz w:val="14"/>
              </w:rPr>
              <w:t>премет странце упором у „бољу” страну и спојено, премет странце у „слабију” страну;</w:t>
            </w:r>
          </w:p>
          <w:p w:rsidR="00041039" w:rsidRDefault="001B26CB">
            <w:pPr>
              <w:pStyle w:val="TableParagraph"/>
              <w:numPr>
                <w:ilvl w:val="0"/>
                <w:numId w:val="496"/>
              </w:numPr>
              <w:tabs>
                <w:tab w:val="left" w:pos="163"/>
              </w:tabs>
              <w:spacing w:line="158" w:lineRule="exact"/>
              <w:rPr>
                <w:sz w:val="14"/>
              </w:rPr>
            </w:pPr>
            <w:r>
              <w:rPr>
                <w:color w:val="231F20"/>
                <w:sz w:val="14"/>
              </w:rPr>
              <w:t xml:space="preserve">за </w:t>
            </w:r>
            <w:r>
              <w:rPr>
                <w:b/>
                <w:color w:val="231F20"/>
                <w:sz w:val="14"/>
              </w:rPr>
              <w:t xml:space="preserve">напредни ниво </w:t>
            </w:r>
            <w:r>
              <w:rPr>
                <w:color w:val="231F20"/>
                <w:sz w:val="14"/>
              </w:rPr>
              <w:t>премет напред</w:t>
            </w:r>
            <w:r>
              <w:rPr>
                <w:color w:val="231F20"/>
                <w:spacing w:val="-14"/>
                <w:sz w:val="14"/>
              </w:rPr>
              <w:t xml:space="preserve"> </w:t>
            </w:r>
            <w:r>
              <w:rPr>
                <w:color w:val="231F20"/>
                <w:sz w:val="14"/>
              </w:rPr>
              <w:t>упором.</w:t>
            </w:r>
          </w:p>
          <w:p w:rsidR="00041039" w:rsidRDefault="001B26CB">
            <w:pPr>
              <w:pStyle w:val="TableParagraph"/>
              <w:numPr>
                <w:ilvl w:val="0"/>
                <w:numId w:val="495"/>
              </w:numPr>
              <w:tabs>
                <w:tab w:val="left" w:pos="142"/>
              </w:tabs>
              <w:spacing w:line="160" w:lineRule="exact"/>
              <w:rPr>
                <w:b/>
                <w:sz w:val="14"/>
              </w:rPr>
            </w:pPr>
            <w:r>
              <w:rPr>
                <w:b/>
                <w:color w:val="231F20"/>
                <w:sz w:val="14"/>
              </w:rPr>
              <w:t>Прескок</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коњ у ширину висине 120 цм;</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110 цм:</w:t>
            </w:r>
          </w:p>
          <w:p w:rsidR="00041039" w:rsidRDefault="001B26CB">
            <w:pPr>
              <w:pStyle w:val="TableParagraph"/>
              <w:numPr>
                <w:ilvl w:val="0"/>
                <w:numId w:val="494"/>
              </w:numPr>
              <w:tabs>
                <w:tab w:val="left" w:pos="163"/>
              </w:tabs>
              <w:spacing w:line="160" w:lineRule="exact"/>
              <w:rPr>
                <w:sz w:val="14"/>
              </w:rPr>
            </w:pPr>
            <w:r>
              <w:rPr>
                <w:color w:val="231F20"/>
                <w:sz w:val="14"/>
              </w:rPr>
              <w:t>згрчка;</w:t>
            </w:r>
          </w:p>
          <w:p w:rsidR="00041039" w:rsidRDefault="001B26CB">
            <w:pPr>
              <w:pStyle w:val="TableParagraph"/>
              <w:numPr>
                <w:ilvl w:val="0"/>
                <w:numId w:val="494"/>
              </w:numPr>
              <w:tabs>
                <w:tab w:val="left" w:pos="163"/>
              </w:tabs>
              <w:spacing w:line="160" w:lineRule="exact"/>
              <w:rPr>
                <w:sz w:val="14"/>
              </w:rPr>
            </w:pPr>
            <w:r>
              <w:rPr>
                <w:color w:val="231F20"/>
                <w:sz w:val="14"/>
              </w:rPr>
              <w:t>разношка;</w:t>
            </w:r>
          </w:p>
          <w:p w:rsidR="00041039" w:rsidRDefault="001B26CB">
            <w:pPr>
              <w:pStyle w:val="TableParagraph"/>
              <w:numPr>
                <w:ilvl w:val="0"/>
                <w:numId w:val="494"/>
              </w:numPr>
              <w:tabs>
                <w:tab w:val="left" w:pos="163"/>
              </w:tabs>
              <w:ind w:right="160"/>
              <w:rPr>
                <w:sz w:val="14"/>
              </w:rPr>
            </w:pPr>
            <w:r>
              <w:rPr>
                <w:color w:val="231F20"/>
                <w:sz w:val="14"/>
              </w:rPr>
              <w:t xml:space="preserve">за </w:t>
            </w:r>
            <w:r>
              <w:rPr>
                <w:b/>
                <w:color w:val="231F20"/>
                <w:sz w:val="14"/>
              </w:rPr>
              <w:t>напредни ниво</w:t>
            </w:r>
            <w:r>
              <w:rPr>
                <w:color w:val="231F20"/>
                <w:sz w:val="14"/>
              </w:rPr>
              <w:t>: склонка и прескоци</w:t>
            </w:r>
            <w:r>
              <w:rPr>
                <w:color w:val="231F20"/>
                <w:spacing w:val="-20"/>
                <w:sz w:val="14"/>
              </w:rPr>
              <w:t xml:space="preserve"> </w:t>
            </w:r>
            <w:r>
              <w:rPr>
                <w:color w:val="231F20"/>
                <w:sz w:val="14"/>
              </w:rPr>
              <w:t>са заножењем</w:t>
            </w:r>
            <w:r>
              <w:rPr>
                <w:color w:val="231F20"/>
                <w:sz w:val="14"/>
              </w:rPr>
              <w:t>.</w:t>
            </w:r>
          </w:p>
          <w:p w:rsidR="00041039" w:rsidRDefault="001B26CB">
            <w:pPr>
              <w:pStyle w:val="TableParagraph"/>
              <w:numPr>
                <w:ilvl w:val="0"/>
                <w:numId w:val="493"/>
              </w:numPr>
              <w:tabs>
                <w:tab w:val="left" w:pos="142"/>
              </w:tabs>
              <w:spacing w:line="159" w:lineRule="exact"/>
              <w:rPr>
                <w:b/>
                <w:sz w:val="14"/>
              </w:rPr>
            </w:pPr>
            <w:r>
              <w:rPr>
                <w:b/>
                <w:color w:val="231F20"/>
                <w:sz w:val="14"/>
              </w:rPr>
              <w:t>Кругови</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доскочни кругови /:</w:t>
            </w:r>
          </w:p>
          <w:p w:rsidR="00041039" w:rsidRDefault="001B26CB">
            <w:pPr>
              <w:pStyle w:val="TableParagraph"/>
              <w:spacing w:line="160" w:lineRule="exact"/>
              <w:ind w:left="57"/>
              <w:rPr>
                <w:sz w:val="14"/>
              </w:rPr>
            </w:pPr>
            <w:r>
              <w:rPr>
                <w:color w:val="231F20"/>
                <w:sz w:val="14"/>
              </w:rPr>
              <w:t>– њих, зањихом саскок, уз помоћ.</w:t>
            </w:r>
          </w:p>
          <w:p w:rsidR="00041039" w:rsidRDefault="001B26CB">
            <w:pPr>
              <w:pStyle w:val="TableParagraph"/>
              <w:numPr>
                <w:ilvl w:val="0"/>
                <w:numId w:val="492"/>
              </w:numPr>
              <w:tabs>
                <w:tab w:val="left" w:pos="142"/>
              </w:tabs>
              <w:spacing w:line="160" w:lineRule="exact"/>
              <w:rPr>
                <w:b/>
                <w:sz w:val="14"/>
              </w:rPr>
            </w:pPr>
            <w:r>
              <w:rPr>
                <w:b/>
                <w:color w:val="231F20"/>
                <w:sz w:val="14"/>
              </w:rPr>
              <w:t>Разбој</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паралелни разбој /:</w:t>
            </w:r>
          </w:p>
          <w:p w:rsidR="00041039" w:rsidRDefault="001B26CB">
            <w:pPr>
              <w:pStyle w:val="TableParagraph"/>
              <w:numPr>
                <w:ilvl w:val="0"/>
                <w:numId w:val="491"/>
              </w:numPr>
              <w:tabs>
                <w:tab w:val="left" w:pos="163"/>
              </w:tabs>
              <w:ind w:right="88"/>
              <w:rPr>
                <w:sz w:val="14"/>
              </w:rPr>
            </w:pPr>
            <w:r>
              <w:rPr>
                <w:color w:val="231F20"/>
                <w:sz w:val="14"/>
              </w:rPr>
              <w:t>из упора седећег разножно пред рукама, прехватом напред и дизањем склоњено став на раменима, спуст назад у упор се­ дећи</w:t>
            </w:r>
            <w:r>
              <w:rPr>
                <w:color w:val="231F20"/>
                <w:spacing w:val="-6"/>
                <w:sz w:val="14"/>
              </w:rPr>
              <w:t xml:space="preserve"> </w:t>
            </w:r>
            <w:r>
              <w:rPr>
                <w:color w:val="231F20"/>
                <w:sz w:val="14"/>
              </w:rPr>
              <w:t>разножно,</w:t>
            </w:r>
            <w:r>
              <w:rPr>
                <w:color w:val="231F20"/>
                <w:spacing w:val="-6"/>
                <w:sz w:val="14"/>
              </w:rPr>
              <w:t xml:space="preserve"> </w:t>
            </w:r>
            <w:r>
              <w:rPr>
                <w:color w:val="231F20"/>
                <w:sz w:val="14"/>
              </w:rPr>
              <w:t>прехват</w:t>
            </w:r>
            <w:r>
              <w:rPr>
                <w:color w:val="231F20"/>
                <w:spacing w:val="-6"/>
                <w:sz w:val="14"/>
              </w:rPr>
              <w:t xml:space="preserve"> </w:t>
            </w:r>
            <w:r>
              <w:rPr>
                <w:color w:val="231F20"/>
                <w:sz w:val="14"/>
              </w:rPr>
              <w:t>рукама</w:t>
            </w:r>
            <w:r>
              <w:rPr>
                <w:color w:val="231F20"/>
                <w:spacing w:val="-6"/>
                <w:sz w:val="14"/>
              </w:rPr>
              <w:t xml:space="preserve"> </w:t>
            </w:r>
            <w:r>
              <w:rPr>
                <w:color w:val="231F20"/>
                <w:sz w:val="14"/>
              </w:rPr>
              <w:t>иза</w:t>
            </w:r>
            <w:r>
              <w:rPr>
                <w:color w:val="231F20"/>
                <w:spacing w:val="-7"/>
                <w:sz w:val="14"/>
              </w:rPr>
              <w:t xml:space="preserve"> </w:t>
            </w:r>
            <w:r>
              <w:rPr>
                <w:color w:val="231F20"/>
                <w:sz w:val="14"/>
              </w:rPr>
              <w:t>бутина, сножити и зањихом</w:t>
            </w:r>
            <w:r>
              <w:rPr>
                <w:color w:val="231F20"/>
                <w:spacing w:val="-4"/>
                <w:sz w:val="14"/>
              </w:rPr>
              <w:t xml:space="preserve"> </w:t>
            </w:r>
            <w:r>
              <w:rPr>
                <w:color w:val="231F20"/>
                <w:sz w:val="14"/>
              </w:rPr>
              <w:t>саскок.</w:t>
            </w:r>
          </w:p>
          <w:p w:rsidR="00041039" w:rsidRDefault="001B26CB">
            <w:pPr>
              <w:pStyle w:val="TableParagraph"/>
              <w:spacing w:line="237" w:lineRule="auto"/>
              <w:ind w:left="57" w:right="396"/>
              <w:rPr>
                <w:sz w:val="14"/>
              </w:rPr>
            </w:pPr>
            <w:r>
              <w:rPr>
                <w:b/>
                <w:color w:val="231F20"/>
                <w:sz w:val="14"/>
              </w:rPr>
              <w:t xml:space="preserve">За ученице </w:t>
            </w:r>
            <w:r>
              <w:rPr>
                <w:color w:val="231F20"/>
                <w:sz w:val="14"/>
              </w:rPr>
              <w:t>/ двовисински разбој, једна притка, вратило /:</w:t>
            </w:r>
          </w:p>
          <w:p w:rsidR="00041039" w:rsidRDefault="001B26CB">
            <w:pPr>
              <w:pStyle w:val="TableParagraph"/>
              <w:numPr>
                <w:ilvl w:val="0"/>
                <w:numId w:val="491"/>
              </w:numPr>
              <w:tabs>
                <w:tab w:val="left" w:pos="163"/>
              </w:tabs>
              <w:ind w:right="129"/>
              <w:rPr>
                <w:sz w:val="14"/>
              </w:rPr>
            </w:pPr>
            <w:r>
              <w:rPr>
                <w:color w:val="231F20"/>
                <w:sz w:val="14"/>
              </w:rPr>
              <w:t>вис на в / п лицем према н / п: клим, пре­ мах згрчено једном ногом до виса</w:t>
            </w:r>
            <w:r>
              <w:rPr>
                <w:color w:val="231F20"/>
                <w:spacing w:val="-25"/>
                <w:sz w:val="14"/>
              </w:rPr>
              <w:t xml:space="preserve"> </w:t>
            </w:r>
            <w:r>
              <w:rPr>
                <w:color w:val="231F20"/>
                <w:sz w:val="14"/>
              </w:rPr>
              <w:t>лежећег на н / п, прехват (може разноручно)</w:t>
            </w:r>
            <w:r>
              <w:rPr>
                <w:color w:val="231F20"/>
                <w:spacing w:val="-14"/>
                <w:sz w:val="14"/>
              </w:rPr>
              <w:t xml:space="preserve"> </w:t>
            </w:r>
            <w:r>
              <w:rPr>
                <w:color w:val="231F20"/>
                <w:sz w:val="14"/>
              </w:rPr>
              <w:t>на</w:t>
            </w:r>
          </w:p>
          <w:p w:rsidR="00041039" w:rsidRDefault="001B26CB">
            <w:pPr>
              <w:pStyle w:val="TableParagraph"/>
              <w:spacing w:line="237" w:lineRule="auto"/>
              <w:ind w:left="162" w:right="226"/>
              <w:jc w:val="both"/>
              <w:rPr>
                <w:sz w:val="14"/>
              </w:rPr>
            </w:pPr>
            <w:r>
              <w:rPr>
                <w:color w:val="231F20"/>
                <w:sz w:val="14"/>
              </w:rPr>
              <w:t>н / п до упора јашућег; премах одножно предножном (уназад) до упора предњег: замахом</w:t>
            </w:r>
            <w:r>
              <w:rPr>
                <w:color w:val="231F20"/>
                <w:spacing w:val="-9"/>
                <w:sz w:val="14"/>
              </w:rPr>
              <w:t xml:space="preserve"> </w:t>
            </w:r>
            <w:r>
              <w:rPr>
                <w:color w:val="231F20"/>
                <w:sz w:val="14"/>
              </w:rPr>
              <w:t>уназад</w:t>
            </w:r>
            <w:r>
              <w:rPr>
                <w:color w:val="231F20"/>
                <w:spacing w:val="-9"/>
                <w:sz w:val="14"/>
              </w:rPr>
              <w:t xml:space="preserve"> </w:t>
            </w:r>
            <w:r>
              <w:rPr>
                <w:color w:val="231F20"/>
                <w:sz w:val="14"/>
              </w:rPr>
              <w:t>(зањихом)</w:t>
            </w:r>
            <w:r>
              <w:rPr>
                <w:color w:val="231F20"/>
                <w:spacing w:val="-9"/>
                <w:sz w:val="14"/>
              </w:rPr>
              <w:t xml:space="preserve"> </w:t>
            </w:r>
            <w:r>
              <w:rPr>
                <w:color w:val="231F20"/>
                <w:sz w:val="14"/>
              </w:rPr>
              <w:t>саскок</w:t>
            </w:r>
            <w:r>
              <w:rPr>
                <w:color w:val="231F20"/>
                <w:spacing w:val="-9"/>
                <w:sz w:val="14"/>
              </w:rPr>
              <w:t xml:space="preserve"> </w:t>
            </w:r>
            <w:r>
              <w:rPr>
                <w:color w:val="231F20"/>
                <w:sz w:val="14"/>
              </w:rPr>
              <w:t>пруже­ ним</w:t>
            </w:r>
            <w:r>
              <w:rPr>
                <w:color w:val="231F20"/>
                <w:spacing w:val="-2"/>
                <w:sz w:val="14"/>
              </w:rPr>
              <w:t xml:space="preserve"> </w:t>
            </w:r>
            <w:r>
              <w:rPr>
                <w:color w:val="231F20"/>
                <w:sz w:val="14"/>
              </w:rPr>
              <w:t>телом;</w:t>
            </w:r>
          </w:p>
          <w:p w:rsidR="00041039" w:rsidRDefault="001B26CB">
            <w:pPr>
              <w:pStyle w:val="TableParagraph"/>
              <w:numPr>
                <w:ilvl w:val="0"/>
                <w:numId w:val="491"/>
              </w:numPr>
              <w:tabs>
                <w:tab w:val="left" w:pos="163"/>
              </w:tabs>
              <w:ind w:right="124"/>
              <w:rPr>
                <w:sz w:val="14"/>
              </w:rPr>
            </w:pPr>
            <w:r>
              <w:rPr>
                <w:color w:val="231F20"/>
                <w:sz w:val="14"/>
              </w:rPr>
              <w:t>једна притка: наскок у упор предњи, премах одножно једном ногом до упора јашућег; премах одножно заножном до упора стражњег; саскок са седом</w:t>
            </w:r>
            <w:r>
              <w:rPr>
                <w:color w:val="231F20"/>
                <w:spacing w:val="-19"/>
                <w:sz w:val="14"/>
              </w:rPr>
              <w:t xml:space="preserve"> </w:t>
            </w:r>
            <w:r>
              <w:rPr>
                <w:color w:val="231F20"/>
                <w:sz w:val="14"/>
              </w:rPr>
              <w:t>(замахом ногама</w:t>
            </w:r>
            <w:r>
              <w:rPr>
                <w:color w:val="231F20"/>
                <w:spacing w:val="-1"/>
                <w:sz w:val="14"/>
              </w:rPr>
              <w:t xml:space="preserve"> </w:t>
            </w:r>
            <w:r>
              <w:rPr>
                <w:color w:val="231F20"/>
                <w:sz w:val="14"/>
              </w:rPr>
              <w:t>унапред).</w:t>
            </w:r>
          </w:p>
        </w:tc>
        <w:tc>
          <w:tcPr>
            <w:tcW w:w="2267" w:type="dxa"/>
          </w:tcPr>
          <w:p w:rsidR="00041039" w:rsidRDefault="001B26CB">
            <w:pPr>
              <w:pStyle w:val="TableParagraph"/>
              <w:numPr>
                <w:ilvl w:val="0"/>
                <w:numId w:val="490"/>
              </w:numPr>
              <w:tabs>
                <w:tab w:val="left" w:pos="158"/>
              </w:tabs>
              <w:spacing w:before="14" w:line="235" w:lineRule="auto"/>
              <w:ind w:right="279"/>
              <w:rPr>
                <w:sz w:val="14"/>
              </w:rPr>
            </w:pPr>
            <w:r>
              <w:rPr>
                <w:color w:val="231F20"/>
                <w:sz w:val="14"/>
              </w:rPr>
              <w:t xml:space="preserve">Ученици који похађају чет­ ворогодишње стручне </w:t>
            </w:r>
            <w:r>
              <w:rPr>
                <w:color w:val="231F20"/>
                <w:spacing w:val="-3"/>
                <w:sz w:val="14"/>
              </w:rPr>
              <w:t xml:space="preserve">школе </w:t>
            </w:r>
            <w:r>
              <w:rPr>
                <w:color w:val="231F20"/>
                <w:sz w:val="14"/>
              </w:rPr>
              <w:t>далеко су више оптерећени у редовном</w:t>
            </w:r>
            <w:r>
              <w:rPr>
                <w:color w:val="231F20"/>
                <w:sz w:val="14"/>
              </w:rPr>
              <w:t xml:space="preserve"> образовању прак­ тичном и теоријском</w:t>
            </w:r>
            <w:r>
              <w:rPr>
                <w:color w:val="231F20"/>
                <w:spacing w:val="-20"/>
                <w:sz w:val="14"/>
              </w:rPr>
              <w:t xml:space="preserve"> </w:t>
            </w:r>
            <w:r>
              <w:rPr>
                <w:color w:val="231F20"/>
                <w:sz w:val="14"/>
              </w:rPr>
              <w:t xml:space="preserve">наставом </w:t>
            </w:r>
            <w:r>
              <w:rPr>
                <w:color w:val="231F20"/>
                <w:spacing w:val="-3"/>
                <w:sz w:val="14"/>
              </w:rPr>
              <w:t xml:space="preserve">од </w:t>
            </w:r>
            <w:r>
              <w:rPr>
                <w:color w:val="231F20"/>
                <w:sz w:val="14"/>
              </w:rPr>
              <w:t>осталих ученика. Због тога је физичко васпитање, у овим школама, значајно за</w:t>
            </w:r>
            <w:r>
              <w:rPr>
                <w:color w:val="231F20"/>
                <w:spacing w:val="-16"/>
                <w:sz w:val="14"/>
              </w:rPr>
              <w:t xml:space="preserve"> </w:t>
            </w:r>
            <w:r>
              <w:rPr>
                <w:color w:val="231F20"/>
                <w:sz w:val="14"/>
              </w:rPr>
              <w:t>активан</w:t>
            </w:r>
          </w:p>
          <w:p w:rsidR="00041039" w:rsidRDefault="001B26CB">
            <w:pPr>
              <w:pStyle w:val="TableParagraph"/>
              <w:spacing w:before="2" w:line="235" w:lineRule="auto"/>
              <w:ind w:left="157" w:right="18"/>
              <w:rPr>
                <w:sz w:val="14"/>
              </w:rPr>
            </w:pPr>
            <w:r>
              <w:rPr>
                <w:color w:val="231F20"/>
                <w:sz w:val="14"/>
              </w:rPr>
              <w:t>опоравак ученика, компензацију и релаксацију с обзиром на њихова честа статичка и једнострана оптерећења. Теоријска знања</w:t>
            </w:r>
            <w:r>
              <w:rPr>
                <w:color w:val="231F20"/>
                <w:sz w:val="14"/>
              </w:rPr>
              <w:t xml:space="preserve"> из области физичких активности су од великог значаја за укупним бављењем физичким вежбама.</w:t>
            </w:r>
          </w:p>
          <w:p w:rsidR="00041039" w:rsidRDefault="00041039">
            <w:pPr>
              <w:pStyle w:val="TableParagraph"/>
              <w:spacing w:before="8"/>
              <w:ind w:left="0"/>
              <w:rPr>
                <w:b/>
                <w:sz w:val="13"/>
              </w:rPr>
            </w:pPr>
          </w:p>
          <w:p w:rsidR="00041039" w:rsidRDefault="001B26CB">
            <w:pPr>
              <w:pStyle w:val="TableParagraph"/>
              <w:spacing w:line="160" w:lineRule="exact"/>
              <w:ind w:left="57"/>
              <w:rPr>
                <w:b/>
                <w:sz w:val="14"/>
              </w:rPr>
            </w:pPr>
            <w:r>
              <w:rPr>
                <w:b/>
                <w:color w:val="231F20"/>
                <w:sz w:val="14"/>
              </w:rPr>
              <w:t>Облици наставе</w:t>
            </w:r>
          </w:p>
          <w:p w:rsidR="00041039" w:rsidRDefault="001B26CB">
            <w:pPr>
              <w:pStyle w:val="TableParagraph"/>
              <w:spacing w:before="1" w:line="235" w:lineRule="auto"/>
              <w:ind w:left="57" w:right="344"/>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490"/>
              </w:numPr>
              <w:tabs>
                <w:tab w:val="left" w:pos="158"/>
              </w:tabs>
              <w:spacing w:line="153" w:lineRule="exact"/>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490"/>
              </w:numPr>
              <w:tabs>
                <w:tab w:val="left" w:pos="158"/>
              </w:tabs>
              <w:spacing w:line="158" w:lineRule="exact"/>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numPr>
                <w:ilvl w:val="0"/>
                <w:numId w:val="490"/>
              </w:numPr>
              <w:tabs>
                <w:tab w:val="left" w:pos="158"/>
              </w:tabs>
              <w:spacing w:line="165" w:lineRule="exact"/>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235" w:lineRule="auto"/>
              <w:ind w:left="57"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before="1" w:line="235" w:lineRule="auto"/>
              <w:ind w:left="57" w:right="382"/>
              <w:rPr>
                <w:sz w:val="14"/>
              </w:rPr>
            </w:pPr>
            <w:r>
              <w:rPr>
                <w:color w:val="231F20"/>
                <w:sz w:val="14"/>
              </w:rPr>
              <w:t>Настава се изводи фронтално и по групама, у зависности од</w:t>
            </w:r>
          </w:p>
          <w:p w:rsidR="00041039" w:rsidRDefault="001B26CB">
            <w:pPr>
              <w:pStyle w:val="TableParagraph"/>
              <w:spacing w:line="235" w:lineRule="auto"/>
              <w:ind w:left="57"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w:t>
            </w:r>
            <w:r>
              <w:rPr>
                <w:color w:val="231F20"/>
                <w:sz w:val="14"/>
              </w:rPr>
              <w:t>алан.</w:t>
            </w:r>
          </w:p>
          <w:p w:rsidR="00041039" w:rsidRDefault="00041039">
            <w:pPr>
              <w:pStyle w:val="TableParagraph"/>
              <w:spacing w:before="7"/>
              <w:ind w:left="0"/>
              <w:rPr>
                <w:b/>
                <w:sz w:val="13"/>
              </w:rPr>
            </w:pPr>
          </w:p>
          <w:p w:rsidR="00041039" w:rsidRDefault="001B26CB">
            <w:pPr>
              <w:pStyle w:val="TableParagraph"/>
              <w:spacing w:before="1" w:line="154" w:lineRule="exact"/>
              <w:ind w:left="57"/>
              <w:rPr>
                <w:b/>
                <w:sz w:val="14"/>
              </w:rPr>
            </w:pPr>
            <w:r>
              <w:rPr>
                <w:b/>
                <w:color w:val="231F20"/>
                <w:sz w:val="14"/>
              </w:rPr>
              <w:t>Место реализације наставе</w:t>
            </w:r>
          </w:p>
          <w:p w:rsidR="00041039" w:rsidRDefault="001B26CB">
            <w:pPr>
              <w:pStyle w:val="TableParagraph"/>
              <w:numPr>
                <w:ilvl w:val="0"/>
                <w:numId w:val="490"/>
              </w:numPr>
              <w:tabs>
                <w:tab w:val="left" w:pos="158"/>
              </w:tabs>
              <w:spacing w:line="235" w:lineRule="auto"/>
              <w:ind w:right="113"/>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490"/>
              </w:numPr>
              <w:tabs>
                <w:tab w:val="left" w:pos="158"/>
              </w:tabs>
              <w:spacing w:line="158" w:lineRule="exact"/>
              <w:ind w:right="10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5"/>
              <w:ind w:left="0"/>
              <w:rPr>
                <w:b/>
                <w:sz w:val="13"/>
              </w:rPr>
            </w:pPr>
          </w:p>
          <w:p w:rsidR="00041039" w:rsidRDefault="001B26CB">
            <w:pPr>
              <w:pStyle w:val="TableParagraph"/>
              <w:spacing w:line="235" w:lineRule="auto"/>
              <w:ind w:left="57" w:right="109"/>
              <w:rPr>
                <w:b/>
                <w:sz w:val="14"/>
              </w:rPr>
            </w:pPr>
            <w:r>
              <w:rPr>
                <w:b/>
                <w:color w:val="231F20"/>
                <w:sz w:val="14"/>
              </w:rPr>
              <w:t>Препоруке за реализацију наставе</w:t>
            </w:r>
          </w:p>
          <w:p w:rsidR="00041039" w:rsidRDefault="001B26CB">
            <w:pPr>
              <w:pStyle w:val="TableParagraph"/>
              <w:numPr>
                <w:ilvl w:val="0"/>
                <w:numId w:val="490"/>
              </w:numPr>
              <w:tabs>
                <w:tab w:val="left" w:pos="158"/>
              </w:tabs>
              <w:spacing w:before="2" w:line="158" w:lineRule="exact"/>
              <w:ind w:right="74"/>
              <w:rPr>
                <w:sz w:val="14"/>
              </w:rPr>
            </w:pPr>
            <w:r>
              <w:rPr>
                <w:color w:val="231F20"/>
                <w:sz w:val="14"/>
              </w:rPr>
              <w:t>Настава се реализује у циклусима који трају приближно 10 ­ 12 часова (узастопних). Наставнику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5"/>
              <w:ind w:left="0"/>
              <w:rPr>
                <w:b/>
                <w:sz w:val="13"/>
              </w:rPr>
            </w:pPr>
          </w:p>
          <w:p w:rsidR="00041039" w:rsidRDefault="001B26CB">
            <w:pPr>
              <w:pStyle w:val="TableParagraph"/>
              <w:spacing w:line="160" w:lineRule="exact"/>
              <w:ind w:left="57"/>
              <w:rPr>
                <w:b/>
                <w:sz w:val="14"/>
              </w:rPr>
            </w:pPr>
            <w:r>
              <w:rPr>
                <w:b/>
                <w:color w:val="231F20"/>
                <w:sz w:val="14"/>
              </w:rPr>
              <w:t>Садржа</w:t>
            </w:r>
            <w:r>
              <w:rPr>
                <w:b/>
                <w:color w:val="231F20"/>
                <w:sz w:val="14"/>
              </w:rPr>
              <w:t>ј циклуса је:</w:t>
            </w:r>
          </w:p>
          <w:p w:rsidR="00041039" w:rsidRDefault="001B26CB">
            <w:pPr>
              <w:pStyle w:val="TableParagraph"/>
              <w:numPr>
                <w:ilvl w:val="0"/>
                <w:numId w:val="489"/>
              </w:numPr>
              <w:tabs>
                <w:tab w:val="left" w:pos="163"/>
              </w:tabs>
              <w:spacing w:before="1" w:line="235" w:lineRule="auto"/>
              <w:ind w:right="169"/>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489"/>
              </w:numPr>
              <w:tabs>
                <w:tab w:val="left" w:pos="163"/>
              </w:tabs>
              <w:spacing w:line="157"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489"/>
              </w:numPr>
              <w:tabs>
                <w:tab w:val="left" w:pos="163"/>
              </w:tabs>
              <w:spacing w:before="1" w:line="235" w:lineRule="auto"/>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489"/>
              </w:numPr>
              <w:tabs>
                <w:tab w:val="left" w:pos="163"/>
              </w:tabs>
              <w:spacing w:line="157"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489"/>
              </w:numPr>
              <w:tabs>
                <w:tab w:val="left" w:pos="163"/>
              </w:tabs>
              <w:spacing w:before="1" w:line="235" w:lineRule="auto"/>
              <w:ind w:right="124"/>
              <w:rPr>
                <w:sz w:val="14"/>
              </w:rPr>
            </w:pPr>
            <w:r>
              <w:rPr>
                <w:color w:val="231F20"/>
                <w:sz w:val="14"/>
              </w:rPr>
              <w:t>за повезивање физичког васпи­ тања са животом и радом ­</w:t>
            </w:r>
            <w:r>
              <w:rPr>
                <w:color w:val="231F20"/>
                <w:spacing w:val="-13"/>
                <w:sz w:val="14"/>
              </w:rPr>
              <w:t xml:space="preserve"> </w:t>
            </w:r>
            <w:r>
              <w:rPr>
                <w:color w:val="231F20"/>
                <w:sz w:val="14"/>
              </w:rPr>
              <w:t>један.</w:t>
            </w:r>
          </w:p>
          <w:p w:rsidR="00041039" w:rsidRDefault="00041039">
            <w:pPr>
              <w:pStyle w:val="TableParagraph"/>
              <w:spacing w:before="9"/>
              <w:ind w:left="0"/>
              <w:rPr>
                <w:b/>
                <w:sz w:val="13"/>
              </w:rPr>
            </w:pPr>
          </w:p>
          <w:p w:rsidR="00041039" w:rsidRDefault="001B26CB">
            <w:pPr>
              <w:pStyle w:val="TableParagraph"/>
              <w:spacing w:line="235" w:lineRule="auto"/>
              <w:ind w:left="57" w:right="42"/>
              <w:rPr>
                <w:sz w:val="14"/>
              </w:rPr>
            </w:pPr>
            <w:r>
              <w:rPr>
                <w:b/>
                <w:color w:val="231F20"/>
                <w:sz w:val="14"/>
              </w:rPr>
              <w:t xml:space="preserve">Начин остваривања програма </w:t>
            </w:r>
            <w:r>
              <w:rPr>
                <w:color w:val="231F20"/>
                <w:sz w:val="14"/>
              </w:rPr>
              <w:t>Садржаји програма усмерени су на: развијање физичких способности; спортско ­ техничко образовање; повезивање физичког васпитања са животом и радом.</w:t>
            </w:r>
          </w:p>
          <w:p w:rsidR="00041039" w:rsidRDefault="001B26CB">
            <w:pPr>
              <w:pStyle w:val="TableParagraph"/>
              <w:spacing w:before="2" w:line="235" w:lineRule="auto"/>
              <w:ind w:left="57"/>
              <w:rPr>
                <w:sz w:val="14"/>
              </w:rPr>
            </w:pPr>
            <w:r>
              <w:rPr>
                <w:color w:val="231F20"/>
                <w:sz w:val="14"/>
              </w:rPr>
              <w:t>Годишњи план, програм и распоред кросева, такмичења, зимовања</w:t>
            </w:r>
          </w:p>
          <w:p w:rsidR="00041039" w:rsidRDefault="001B26CB">
            <w:pPr>
              <w:pStyle w:val="TableParagraph"/>
              <w:spacing w:before="1" w:line="235" w:lineRule="auto"/>
              <w:ind w:left="57" w:right="252"/>
              <w:rPr>
                <w:sz w:val="14"/>
              </w:rPr>
            </w:pPr>
            <w:r>
              <w:rPr>
                <w:color w:val="231F20"/>
                <w:sz w:val="14"/>
              </w:rPr>
              <w:t>и других облика рад</w:t>
            </w:r>
            <w:r>
              <w:rPr>
                <w:color w:val="231F20"/>
                <w:sz w:val="14"/>
              </w:rPr>
              <w:t xml:space="preserve">а утврђује се на почетку </w:t>
            </w:r>
            <w:r>
              <w:rPr>
                <w:color w:val="231F20"/>
                <w:spacing w:val="-3"/>
                <w:sz w:val="14"/>
              </w:rPr>
              <w:t xml:space="preserve">школске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before="1" w:line="235" w:lineRule="auto"/>
              <w:ind w:left="57"/>
              <w:rPr>
                <w:sz w:val="14"/>
              </w:rPr>
            </w:pPr>
            <w:r>
              <w:rPr>
                <w:color w:val="231F20"/>
                <w:sz w:val="14"/>
              </w:rPr>
              <w:t>стручног већа наставника физичког васпитања.</w:t>
            </w:r>
          </w:p>
          <w:p w:rsidR="00041039" w:rsidRDefault="001B26CB">
            <w:pPr>
              <w:pStyle w:val="TableParagraph"/>
              <w:spacing w:line="235" w:lineRule="auto"/>
              <w:ind w:left="57"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before="3" w:line="158" w:lineRule="exact"/>
              <w:ind w:left="57" w:right="40"/>
              <w:rPr>
                <w:sz w:val="14"/>
              </w:rPr>
            </w:pPr>
            <w:r>
              <w:rPr>
                <w:color w:val="231F20"/>
                <w:sz w:val="14"/>
              </w:rPr>
              <w:t xml:space="preserve">Часови у току недеље треба да буду распоређени у једнаким интерва­ лима, </w:t>
            </w:r>
            <w:r>
              <w:rPr>
                <w:b/>
                <w:color w:val="231F20"/>
                <w:sz w:val="14"/>
              </w:rPr>
              <w:t xml:space="preserve">не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tc>
      </w:tr>
    </w:tbl>
    <w:p w:rsidR="00041039" w:rsidRDefault="00041039">
      <w:pPr>
        <w:spacing w:line="158"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8578"/>
        </w:trPr>
        <w:tc>
          <w:tcPr>
            <w:tcW w:w="1304" w:type="dxa"/>
            <w:tcBorders>
              <w:bottom w:val="nil"/>
            </w:tcBorders>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spacing w:before="11"/>
              <w:ind w:left="0"/>
              <w:rPr>
                <w:b/>
                <w:sz w:val="18"/>
              </w:rPr>
            </w:pPr>
          </w:p>
          <w:p w:rsidR="00041039" w:rsidRDefault="001B26CB">
            <w:pPr>
              <w:pStyle w:val="TableParagraph"/>
              <w:ind w:left="56" w:right="356"/>
              <w:rPr>
                <w:sz w:val="14"/>
              </w:rPr>
            </w:pPr>
            <w:r>
              <w:rPr>
                <w:color w:val="231F20"/>
                <w:sz w:val="14"/>
              </w:rPr>
              <w:t>Спортска игра (по избору)</w:t>
            </w:r>
          </w:p>
          <w:p w:rsidR="00041039" w:rsidRDefault="00041039">
            <w:pPr>
              <w:pStyle w:val="TableParagraph"/>
              <w:spacing w:before="9"/>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vMerge w:val="restart"/>
          </w:tcPr>
          <w:p w:rsidR="00041039" w:rsidRDefault="00041039">
            <w:pPr>
              <w:pStyle w:val="TableParagraph"/>
              <w:ind w:left="0"/>
              <w:rPr>
                <w:sz w:val="14"/>
              </w:rPr>
            </w:pPr>
          </w:p>
        </w:tc>
        <w:tc>
          <w:tcPr>
            <w:tcW w:w="2551"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numPr>
                <w:ilvl w:val="0"/>
                <w:numId w:val="488"/>
              </w:numPr>
              <w:tabs>
                <w:tab w:val="left" w:pos="142"/>
              </w:tabs>
              <w:spacing w:before="16" w:line="161" w:lineRule="exact"/>
              <w:rPr>
                <w:b/>
                <w:sz w:val="14"/>
              </w:rPr>
            </w:pPr>
            <w:r>
              <w:rPr>
                <w:b/>
                <w:color w:val="231F20"/>
                <w:sz w:val="14"/>
              </w:rPr>
              <w:t>Вратило</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доскочно вратило /:</w:t>
            </w:r>
          </w:p>
          <w:p w:rsidR="00041039" w:rsidRDefault="001B26CB">
            <w:pPr>
              <w:pStyle w:val="TableParagraph"/>
              <w:ind w:left="162" w:hanging="105"/>
              <w:rPr>
                <w:sz w:val="14"/>
              </w:rPr>
            </w:pPr>
            <w:r>
              <w:rPr>
                <w:color w:val="231F20"/>
                <w:sz w:val="14"/>
              </w:rPr>
              <w:t>– из мирног виса узмак до упора, замахом ногама уназад (зањихом) саскок увито.</w:t>
            </w:r>
          </w:p>
          <w:p w:rsidR="00041039" w:rsidRDefault="001B26CB">
            <w:pPr>
              <w:pStyle w:val="TableParagraph"/>
              <w:numPr>
                <w:ilvl w:val="0"/>
                <w:numId w:val="487"/>
              </w:numPr>
              <w:tabs>
                <w:tab w:val="left" w:pos="142"/>
              </w:tabs>
              <w:spacing w:line="159" w:lineRule="exact"/>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 висока греда /:</w:t>
            </w:r>
          </w:p>
          <w:p w:rsidR="00041039" w:rsidRDefault="001B26CB">
            <w:pPr>
              <w:pStyle w:val="TableParagraph"/>
              <w:ind w:left="162" w:right="24" w:hanging="105"/>
              <w:rPr>
                <w:sz w:val="14"/>
              </w:rPr>
            </w:pPr>
            <w:r>
              <w:rPr>
                <w:color w:val="231F20"/>
                <w:sz w:val="14"/>
              </w:rPr>
              <w:t>– залетом и суножним одскоком наскок у упор чучећи; окрет за 90º усправ у успон, окрет за 180°, лагано трчање на прстима, скок са променом ногу, кораци у успону до краја греде; саскок згрчено (бочно у односу на греду).</w:t>
            </w:r>
          </w:p>
          <w:p w:rsidR="00041039" w:rsidRDefault="001B26CB">
            <w:pPr>
              <w:pStyle w:val="TableParagraph"/>
              <w:numPr>
                <w:ilvl w:val="0"/>
                <w:numId w:val="486"/>
              </w:numPr>
              <w:tabs>
                <w:tab w:val="left" w:pos="142"/>
              </w:tabs>
              <w:spacing w:line="237" w:lineRule="auto"/>
              <w:ind w:right="1426" w:firstLine="0"/>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ind w:left="162" w:hanging="105"/>
              <w:rPr>
                <w:sz w:val="14"/>
              </w:rPr>
            </w:pPr>
            <w:r>
              <w:rPr>
                <w:color w:val="231F20"/>
                <w:sz w:val="14"/>
              </w:rPr>
              <w:t>– из упора пред рукама, коло заножно левом. коло заножно десном.</w:t>
            </w:r>
          </w:p>
          <w:p w:rsidR="00041039" w:rsidRDefault="001B26CB">
            <w:pPr>
              <w:pStyle w:val="TableParagraph"/>
              <w:ind w:left="57" w:right="62"/>
              <w:rPr>
                <w:sz w:val="14"/>
              </w:rPr>
            </w:pPr>
            <w:r>
              <w:rPr>
                <w:b/>
                <w:color w:val="231F20"/>
                <w:sz w:val="14"/>
              </w:rPr>
              <w:t>Школско такмичење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w:t>
            </w:r>
            <w:r>
              <w:rPr>
                <w:color w:val="231F20"/>
                <w:sz w:val="14"/>
              </w:rPr>
              <w:t xml:space="preserve"> учешће на вишим нивоима школских такмичења.</w:t>
            </w:r>
          </w:p>
          <w:p w:rsidR="00041039" w:rsidRDefault="001B26CB">
            <w:pPr>
              <w:pStyle w:val="TableParagraph"/>
              <w:spacing w:line="155"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 xml:space="preserve">наставни садржаји из програма вежби на тлу, прескока, греде </w:t>
            </w:r>
            <w:r>
              <w:rPr>
                <w:color w:val="231F20"/>
                <w:sz w:val="14"/>
              </w:rPr>
              <w:t>и двовисинског разбоја.</w:t>
            </w:r>
          </w:p>
          <w:p w:rsidR="00041039" w:rsidRDefault="00041039">
            <w:pPr>
              <w:pStyle w:val="TableParagraph"/>
              <w:spacing w:before="1"/>
              <w:ind w:left="0"/>
              <w:rPr>
                <w:b/>
                <w:sz w:val="13"/>
              </w:rPr>
            </w:pPr>
          </w:p>
          <w:p w:rsidR="00041039" w:rsidRDefault="001B26CB">
            <w:pPr>
              <w:pStyle w:val="TableParagraph"/>
              <w:spacing w:line="161" w:lineRule="exact"/>
              <w:ind w:left="57"/>
              <w:rPr>
                <w:b/>
                <w:sz w:val="14"/>
              </w:rPr>
            </w:pPr>
            <w:r>
              <w:rPr>
                <w:b/>
                <w:color w:val="231F20"/>
                <w:sz w:val="14"/>
              </w:rPr>
              <w:t>СПОРТСКА ИГРА (по избору)</w:t>
            </w:r>
          </w:p>
          <w:p w:rsidR="00041039" w:rsidRDefault="001B26CB">
            <w:pPr>
              <w:pStyle w:val="TableParagraph"/>
              <w:numPr>
                <w:ilvl w:val="0"/>
                <w:numId w:val="485"/>
              </w:numPr>
              <w:tabs>
                <w:tab w:val="left" w:pos="163"/>
              </w:tabs>
              <w:ind w:right="156"/>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numPr>
                <w:ilvl w:val="0"/>
                <w:numId w:val="485"/>
              </w:numPr>
              <w:tabs>
                <w:tab w:val="left" w:pos="163"/>
              </w:tabs>
              <w:ind w:right="134"/>
              <w:rPr>
                <w:sz w:val="14"/>
              </w:rPr>
            </w:pPr>
            <w:r>
              <w:rPr>
                <w:color w:val="231F20"/>
                <w:sz w:val="14"/>
              </w:rPr>
              <w:t xml:space="preserve">Даље проширивање и продубљивање техничко ­ 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садржаје из спортске</w:t>
            </w:r>
            <w:r>
              <w:rPr>
                <w:color w:val="231F20"/>
                <w:spacing w:val="-7"/>
                <w:sz w:val="14"/>
              </w:rPr>
              <w:t xml:space="preserve"> </w:t>
            </w:r>
            <w:r>
              <w:rPr>
                <w:color w:val="231F20"/>
                <w:sz w:val="14"/>
              </w:rPr>
              <w:t>игре.</w:t>
            </w:r>
          </w:p>
          <w:p w:rsidR="00041039" w:rsidRDefault="001B26CB">
            <w:pPr>
              <w:pStyle w:val="TableParagraph"/>
              <w:numPr>
                <w:ilvl w:val="0"/>
                <w:numId w:val="484"/>
              </w:numPr>
              <w:tabs>
                <w:tab w:val="left" w:pos="157"/>
              </w:tabs>
              <w:spacing w:line="155" w:lineRule="exact"/>
              <w:ind w:hanging="99"/>
              <w:rPr>
                <w:sz w:val="14"/>
              </w:rPr>
            </w:pPr>
            <w:r>
              <w:rPr>
                <w:color w:val="231F20"/>
                <w:sz w:val="14"/>
              </w:rPr>
              <w:t>Стручно веће наставника физичког</w:t>
            </w:r>
            <w:r>
              <w:rPr>
                <w:color w:val="231F20"/>
                <w:spacing w:val="-6"/>
                <w:sz w:val="14"/>
              </w:rPr>
              <w:t xml:space="preserve"> </w:t>
            </w:r>
            <w:r>
              <w:rPr>
                <w:color w:val="231F20"/>
                <w:sz w:val="14"/>
              </w:rPr>
              <w:t>вас­</w:t>
            </w:r>
          </w:p>
          <w:p w:rsidR="00041039" w:rsidRDefault="001B26CB">
            <w:pPr>
              <w:pStyle w:val="TableParagraph"/>
              <w:ind w:right="84"/>
              <w:rPr>
                <w:sz w:val="14"/>
              </w:rPr>
            </w:pPr>
            <w:r>
              <w:rPr>
                <w:color w:val="231F20"/>
                <w:sz w:val="14"/>
              </w:rPr>
              <w:t xml:space="preserve">питања, према програму који сам доноси из програма другог разреда (програм по избору ученика) у складу са могућностима школе, организује </w:t>
            </w:r>
            <w:r>
              <w:rPr>
                <w:color w:val="231F20"/>
                <w:sz w:val="14"/>
              </w:rPr>
              <w:t>наставу за коју ученици покажу посебно интересовање.</w:t>
            </w:r>
          </w:p>
        </w:tc>
        <w:tc>
          <w:tcPr>
            <w:tcW w:w="2267" w:type="dxa"/>
            <w:tcBorders>
              <w:bottom w:val="nil"/>
            </w:tcBorders>
          </w:tcPr>
          <w:p w:rsidR="00041039" w:rsidRDefault="001B26CB">
            <w:pPr>
              <w:pStyle w:val="TableParagraph"/>
              <w:spacing w:before="19"/>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ind w:left="57" w:right="157"/>
              <w:rPr>
                <w:sz w:val="14"/>
              </w:rPr>
            </w:pPr>
            <w:r>
              <w:rPr>
                <w:color w:val="231F20"/>
                <w:sz w:val="14"/>
              </w:rPr>
              <w:t>за ученике и одвојено за ученице, а само у школама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w:t>
            </w:r>
            <w:r>
              <w:rPr>
                <w:color w:val="231F20"/>
                <w:sz w:val="14"/>
              </w:rPr>
              <w:t>ализација часа.</w:t>
            </w:r>
          </w:p>
          <w:p w:rsidR="00041039" w:rsidRDefault="00041039">
            <w:pPr>
              <w:pStyle w:val="TableParagraph"/>
              <w:spacing w:before="6"/>
              <w:ind w:left="0"/>
              <w:rPr>
                <w:b/>
                <w:sz w:val="13"/>
              </w:rPr>
            </w:pPr>
          </w:p>
          <w:p w:rsidR="00041039" w:rsidRDefault="001B26CB">
            <w:pPr>
              <w:pStyle w:val="TableParagraph"/>
              <w:spacing w:before="1"/>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w:t>
            </w:r>
            <w:r>
              <w:rPr>
                <w:color w:val="231F20"/>
                <w:sz w:val="14"/>
              </w:rPr>
              <w:t xml:space="preserve"> играма.</w:t>
            </w:r>
          </w:p>
          <w:p w:rsidR="00041039" w:rsidRDefault="00041039">
            <w:pPr>
              <w:pStyle w:val="TableParagraph"/>
              <w:spacing w:before="11"/>
              <w:ind w:left="0"/>
              <w:rPr>
                <w:b/>
                <w:sz w:val="12"/>
              </w:rPr>
            </w:pPr>
          </w:p>
          <w:p w:rsidR="00041039" w:rsidRDefault="001B26CB">
            <w:pPr>
              <w:pStyle w:val="TableParagraph"/>
              <w:spacing w:line="161" w:lineRule="exact"/>
              <w:ind w:left="57"/>
              <w:rPr>
                <w:b/>
                <w:sz w:val="14"/>
              </w:rPr>
            </w:pPr>
            <w:r>
              <w:rPr>
                <w:b/>
                <w:color w:val="231F20"/>
                <w:sz w:val="14"/>
              </w:rPr>
              <w:t>Минимални обавезни захтеви</w:t>
            </w:r>
          </w:p>
          <w:p w:rsidR="00041039" w:rsidRDefault="001B26CB">
            <w:pPr>
              <w:pStyle w:val="TableParagraph"/>
              <w:numPr>
                <w:ilvl w:val="0"/>
                <w:numId w:val="483"/>
              </w:numPr>
              <w:tabs>
                <w:tab w:val="left" w:pos="142"/>
              </w:tabs>
              <w:ind w:right="66"/>
              <w:rPr>
                <w:sz w:val="14"/>
              </w:rPr>
            </w:pPr>
            <w:r>
              <w:rPr>
                <w:b/>
                <w:color w:val="231F20"/>
                <w:spacing w:val="-3"/>
                <w:sz w:val="14"/>
              </w:rPr>
              <w:t xml:space="preserve">Атлетика: </w:t>
            </w:r>
            <w:r>
              <w:rPr>
                <w:color w:val="231F20"/>
                <w:sz w:val="14"/>
              </w:rPr>
              <w:t xml:space="preserve">трчање на 100 м за ученике и ученице, трчање на 800 м за ученике и 500 м за ученице, скок удаљ, увис, бацање </w:t>
            </w:r>
            <w:r>
              <w:rPr>
                <w:color w:val="231F20"/>
                <w:spacing w:val="-3"/>
                <w:sz w:val="14"/>
              </w:rPr>
              <w:t xml:space="preserve">кугле </w:t>
            </w:r>
            <w:r>
              <w:rPr>
                <w:color w:val="231F20"/>
                <w:sz w:val="14"/>
              </w:rPr>
              <w:t>­</w:t>
            </w:r>
            <w:r>
              <w:rPr>
                <w:color w:val="231F20"/>
                <w:spacing w:val="-14"/>
                <w:sz w:val="14"/>
              </w:rPr>
              <w:t xml:space="preserve"> </w:t>
            </w:r>
            <w:r>
              <w:rPr>
                <w:color w:val="231F20"/>
                <w:sz w:val="14"/>
              </w:rPr>
              <w:t xml:space="preserve">на </w:t>
            </w:r>
            <w:r>
              <w:rPr>
                <w:color w:val="231F20"/>
                <w:spacing w:val="-3"/>
                <w:sz w:val="14"/>
              </w:rPr>
              <w:t>резултат.</w:t>
            </w:r>
          </w:p>
          <w:p w:rsidR="00041039" w:rsidRDefault="001B26CB">
            <w:pPr>
              <w:pStyle w:val="TableParagraph"/>
              <w:numPr>
                <w:ilvl w:val="0"/>
                <w:numId w:val="483"/>
              </w:numPr>
              <w:tabs>
                <w:tab w:val="left" w:pos="142"/>
              </w:tabs>
              <w:spacing w:line="156" w:lineRule="exact"/>
              <w:rPr>
                <w:b/>
                <w:sz w:val="14"/>
              </w:rPr>
            </w:pPr>
            <w:r>
              <w:rPr>
                <w:b/>
                <w:color w:val="231F20"/>
                <w:sz w:val="14"/>
              </w:rPr>
              <w:t>Вежбе на справама и</w:t>
            </w:r>
            <w:r>
              <w:rPr>
                <w:b/>
                <w:color w:val="231F20"/>
                <w:spacing w:val="-5"/>
                <w:sz w:val="14"/>
              </w:rPr>
              <w:t xml:space="preserve"> </w:t>
            </w:r>
            <w:r>
              <w:rPr>
                <w:b/>
                <w:color w:val="231F20"/>
                <w:sz w:val="14"/>
              </w:rPr>
              <w:t>тлу:</w:t>
            </w:r>
          </w:p>
          <w:p w:rsidR="00041039" w:rsidRDefault="001B26CB">
            <w:pPr>
              <w:pStyle w:val="TableParagraph"/>
              <w:ind w:left="57" w:right="32"/>
              <w:rPr>
                <w:sz w:val="14"/>
              </w:rPr>
            </w:pPr>
            <w:r>
              <w:rPr>
                <w:b/>
                <w:color w:val="231F20"/>
                <w:sz w:val="14"/>
              </w:rPr>
              <w:t xml:space="preserve">За ученике: </w:t>
            </w:r>
            <w:r>
              <w:rPr>
                <w:color w:val="231F20"/>
                <w:sz w:val="14"/>
              </w:rPr>
              <w:t>наставни садржаји из програма вежби на тлу</w:t>
            </w:r>
            <w:r>
              <w:rPr>
                <w:color w:val="231F20"/>
                <w:sz w:val="14"/>
              </w:rPr>
              <w:t>, прескока, једне справе у упору и једне справе у вису.</w:t>
            </w:r>
          </w:p>
          <w:p w:rsidR="00041039" w:rsidRDefault="001B26CB">
            <w:pPr>
              <w:pStyle w:val="TableParagraph"/>
              <w:spacing w:line="237" w:lineRule="auto"/>
              <w:ind w:left="57" w:right="127"/>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p w:rsidR="00041039" w:rsidRDefault="00041039">
            <w:pPr>
              <w:pStyle w:val="TableParagraph"/>
              <w:spacing w:before="8"/>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482"/>
              </w:numPr>
              <w:tabs>
                <w:tab w:val="left" w:pos="158"/>
              </w:tabs>
              <w:spacing w:line="237" w:lineRule="auto"/>
              <w:ind w:right="246"/>
              <w:rPr>
                <w:b/>
                <w:sz w:val="14"/>
              </w:rPr>
            </w:pPr>
            <w:r>
              <w:rPr>
                <w:color w:val="231F20"/>
                <w:sz w:val="14"/>
              </w:rPr>
              <w:t>Тестирање и провера савлада­ ности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482"/>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482"/>
              </w:numPr>
              <w:tabs>
                <w:tab w:val="left" w:pos="158"/>
              </w:tabs>
              <w:spacing w:line="155" w:lineRule="exact"/>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482"/>
              </w:numPr>
              <w:tabs>
                <w:tab w:val="left" w:pos="158"/>
              </w:tabs>
              <w:spacing w:line="237" w:lineRule="auto"/>
              <w:ind w:right="104"/>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numPr>
                <w:ilvl w:val="0"/>
                <w:numId w:val="482"/>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482"/>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а п</w:t>
            </w:r>
            <w:r>
              <w:rPr>
                <w:color w:val="231F20"/>
                <w:sz w:val="14"/>
              </w:rPr>
              <w:t xml:space="preserve">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482"/>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482"/>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tc>
      </w:tr>
      <w:tr w:rsidR="00041039">
        <w:trPr>
          <w:trHeight w:val="287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041039">
            <w:pPr>
              <w:pStyle w:val="TableParagraph"/>
              <w:ind w:left="0"/>
              <w:rPr>
                <w:sz w:val="14"/>
              </w:rPr>
            </w:pPr>
          </w:p>
        </w:tc>
        <w:tc>
          <w:tcPr>
            <w:tcW w:w="2267" w:type="dxa"/>
            <w:tcBorders>
              <w:top w:val="nil"/>
              <w:bottom w:val="nil"/>
            </w:tcBorders>
          </w:tcPr>
          <w:p w:rsidR="00041039" w:rsidRDefault="001B26CB">
            <w:pPr>
              <w:pStyle w:val="TableParagraph"/>
              <w:spacing w:before="71"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 вођење редовне наставе школа у току школске године организује: Два целодневна излета са пеша­ чењем:</w:t>
            </w:r>
          </w:p>
          <w:p w:rsidR="00041039" w:rsidRDefault="001B26CB">
            <w:pPr>
              <w:pStyle w:val="TableParagraph"/>
              <w:numPr>
                <w:ilvl w:val="0"/>
                <w:numId w:val="481"/>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481"/>
              </w:numPr>
              <w:tabs>
                <w:tab w:val="left" w:pos="163"/>
              </w:tabs>
              <w:ind w:right="180"/>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481"/>
              </w:numPr>
              <w:tabs>
                <w:tab w:val="left" w:pos="163"/>
              </w:tabs>
              <w:ind w:right="134"/>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tc>
      </w:tr>
      <w:tr w:rsidR="00041039">
        <w:trPr>
          <w:trHeight w:val="1691"/>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tcBorders>
          </w:tcPr>
          <w:p w:rsidR="00041039" w:rsidRDefault="001B26CB">
            <w:pPr>
              <w:pStyle w:val="TableParagraph"/>
              <w:spacing w:before="73" w:line="237" w:lineRule="auto"/>
              <w:ind w:left="57" w:right="10"/>
              <w:rPr>
                <w:sz w:val="14"/>
              </w:rPr>
            </w:pPr>
            <w:r>
              <w:rPr>
                <w:color w:val="231F20"/>
                <w:sz w:val="14"/>
              </w:rPr>
              <w:t>Школа организује и спроводи спортска такмичења, као јединстве­ ни део процеса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w:t>
            </w:r>
            <w:r>
              <w:rPr>
                <w:color w:val="231F20"/>
                <w:sz w:val="14"/>
              </w:rPr>
              <w:t>ара који доноси Министарство просве­ те науке и технолошког развоја.</w:t>
            </w:r>
          </w:p>
        </w:tc>
      </w:tr>
    </w:tbl>
    <w:p w:rsidR="00041039" w:rsidRDefault="00041039">
      <w:pPr>
        <w:spacing w:line="237" w:lineRule="auto"/>
        <w:rPr>
          <w:sz w:val="14"/>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480"/>
              </w:numPr>
              <w:tabs>
                <w:tab w:val="left" w:pos="157"/>
              </w:tabs>
              <w:spacing w:before="8"/>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480"/>
              </w:numPr>
              <w:tabs>
                <w:tab w:val="left" w:pos="157"/>
              </w:tabs>
              <w:spacing w:line="160"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479"/>
              </w:numPr>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479"/>
              </w:numPr>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numPr>
                <w:ilvl w:val="0"/>
                <w:numId w:val="479"/>
              </w:numPr>
              <w:tabs>
                <w:tab w:val="left" w:pos="157"/>
              </w:tabs>
              <w:spacing w:line="237" w:lineRule="auto"/>
              <w:ind w:right="52" w:hanging="99"/>
              <w:rPr>
                <w:sz w:val="14"/>
              </w:rPr>
            </w:pPr>
            <w:r>
              <w:rPr>
                <w:color w:val="231F20"/>
                <w:sz w:val="14"/>
              </w:rPr>
              <w:t>одабере и изведе вежбе обликовања и вежбе из ко</w:t>
            </w:r>
            <w:r>
              <w:rPr>
                <w:color w:val="231F20"/>
                <w:sz w:val="14"/>
              </w:rPr>
              <w:t>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478"/>
              </w:numPr>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478"/>
              </w:numPr>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478"/>
              </w:numPr>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vMerge w:val="restart"/>
            <w:tcBorders>
              <w:bottom w:val="nil"/>
            </w:tcBorders>
          </w:tcPr>
          <w:p w:rsidR="00041039" w:rsidRDefault="001B26CB">
            <w:pPr>
              <w:pStyle w:val="TableParagraph"/>
              <w:numPr>
                <w:ilvl w:val="0"/>
                <w:numId w:val="477"/>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477"/>
              </w:numPr>
              <w:tabs>
                <w:tab w:val="left" w:pos="158"/>
              </w:tabs>
              <w:spacing w:line="156" w:lineRule="exact"/>
              <w:ind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 о томе које вежбе позитивно утичу на статус њиховог органи­ зма, с обзиром на карактеристике њихове професије, а које негатив­ но утичу на здравље.</w:t>
            </w:r>
          </w:p>
          <w:p w:rsidR="00041039" w:rsidRDefault="001B26CB">
            <w:pPr>
              <w:pStyle w:val="TableParagraph"/>
              <w:numPr>
                <w:ilvl w:val="0"/>
                <w:numId w:val="477"/>
              </w:numPr>
              <w:tabs>
                <w:tab w:val="left" w:pos="158"/>
              </w:tabs>
              <w:spacing w:line="155" w:lineRule="exact"/>
              <w:ind w:hanging="99"/>
              <w:rPr>
                <w:sz w:val="14"/>
              </w:rPr>
            </w:pPr>
            <w:r>
              <w:rPr>
                <w:color w:val="231F20"/>
                <w:sz w:val="14"/>
              </w:rPr>
              <w:t>Ученици који похађају</w:t>
            </w:r>
            <w:r>
              <w:rPr>
                <w:color w:val="231F20"/>
                <w:spacing w:val="-4"/>
                <w:sz w:val="14"/>
              </w:rPr>
              <w:t xml:space="preserve"> </w:t>
            </w:r>
            <w:r>
              <w:rPr>
                <w:color w:val="231F20"/>
                <w:sz w:val="14"/>
              </w:rPr>
              <w:t>чет­</w:t>
            </w:r>
          </w:p>
          <w:p w:rsidR="00041039" w:rsidRDefault="001B26CB">
            <w:pPr>
              <w:pStyle w:val="TableParagraph"/>
              <w:ind w:left="157" w:right="230"/>
              <w:rPr>
                <w:sz w:val="14"/>
              </w:rPr>
            </w:pPr>
            <w:r>
              <w:rPr>
                <w:color w:val="231F20"/>
                <w:sz w:val="14"/>
              </w:rPr>
              <w:t>ворогодишње стручне школе далеко су више оптер</w:t>
            </w:r>
            <w:r>
              <w:rPr>
                <w:color w:val="231F20"/>
                <w:sz w:val="14"/>
              </w:rPr>
              <w:t>ећени у редовном образовању прак­ тичном и теоријском наставом од осталих ученика. Због тога је физичко васпитање, у овим школама, значајно за активан</w:t>
            </w:r>
          </w:p>
          <w:p w:rsidR="00041039" w:rsidRDefault="001B26CB">
            <w:pPr>
              <w:pStyle w:val="TableParagraph"/>
              <w:spacing w:line="237" w:lineRule="auto"/>
              <w:ind w:left="157" w:right="18"/>
              <w:rPr>
                <w:sz w:val="14"/>
              </w:rPr>
            </w:pPr>
            <w:r>
              <w:rPr>
                <w:color w:val="231F20"/>
                <w:sz w:val="14"/>
              </w:rPr>
              <w:t>опоравак ученика, компензацију и релаксацију с обзиром на њихова честа статичка и једнострана оптерећења.</w:t>
            </w:r>
            <w:r>
              <w:rPr>
                <w:color w:val="231F20"/>
                <w:sz w:val="14"/>
              </w:rPr>
              <w:t xml:space="preserve"> Теоријска знања из области физичких активности су од великог значаја за укупним бављењем физичким вежбама.</w:t>
            </w:r>
          </w:p>
        </w:tc>
      </w:tr>
      <w:tr w:rsidR="00041039">
        <w:trPr>
          <w:trHeight w:val="2287"/>
        </w:trPr>
        <w:tc>
          <w:tcPr>
            <w:tcW w:w="1304" w:type="dxa"/>
            <w:tcBorders>
              <w:bottom w:val="nil"/>
            </w:tcBorders>
          </w:tcPr>
          <w:p w:rsidR="00041039" w:rsidRDefault="001B26CB">
            <w:pPr>
              <w:pStyle w:val="TableParagraph"/>
              <w:spacing w:before="20"/>
              <w:ind w:left="56" w:right="116"/>
              <w:rPr>
                <w:sz w:val="14"/>
              </w:rPr>
            </w:pPr>
            <w:r>
              <w:rPr>
                <w:color w:val="231F20"/>
                <w:sz w:val="14"/>
              </w:rPr>
              <w:t>Развој</w:t>
            </w:r>
            <w:r>
              <w:rPr>
                <w:color w:val="231F20"/>
                <w:spacing w:val="-7"/>
                <w:sz w:val="14"/>
              </w:rPr>
              <w:t xml:space="preserve"> </w:t>
            </w:r>
            <w:r>
              <w:rPr>
                <w:color w:val="231F20"/>
                <w:sz w:val="14"/>
              </w:rPr>
              <w:t>моторичких и функционал­ них способности човека, као основа за реализовање постављених циљева и</w:t>
            </w:r>
            <w:r>
              <w:rPr>
                <w:color w:val="231F20"/>
                <w:spacing w:val="-2"/>
                <w:sz w:val="14"/>
              </w:rPr>
              <w:t xml:space="preserve"> </w:t>
            </w:r>
            <w:r>
              <w:rPr>
                <w:color w:val="231F20"/>
                <w:spacing w:val="-3"/>
                <w:sz w:val="14"/>
              </w:rPr>
              <w:t>исхода</w:t>
            </w:r>
          </w:p>
        </w:tc>
        <w:tc>
          <w:tcPr>
            <w:tcW w:w="1587" w:type="dxa"/>
            <w:vMerge w:val="restart"/>
          </w:tcPr>
          <w:p w:rsidR="00041039" w:rsidRDefault="001B26CB">
            <w:pPr>
              <w:pStyle w:val="TableParagraph"/>
              <w:numPr>
                <w:ilvl w:val="0"/>
                <w:numId w:val="476"/>
              </w:numPr>
              <w:tabs>
                <w:tab w:val="left" w:pos="157"/>
              </w:tabs>
              <w:spacing w:before="10"/>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vMerge w:val="restart"/>
          </w:tcPr>
          <w:p w:rsidR="00041039" w:rsidRDefault="001B26CB">
            <w:pPr>
              <w:pStyle w:val="TableParagraph"/>
              <w:numPr>
                <w:ilvl w:val="0"/>
                <w:numId w:val="475"/>
              </w:numPr>
              <w:tabs>
                <w:tab w:val="left" w:pos="157"/>
              </w:tabs>
              <w:spacing w:before="10"/>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numPr>
                <w:ilvl w:val="0"/>
                <w:numId w:val="475"/>
              </w:numPr>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ind w:right="302"/>
              <w:rPr>
                <w:sz w:val="14"/>
              </w:rPr>
            </w:pPr>
            <w:r>
              <w:rPr>
                <w:color w:val="231F20"/>
                <w:sz w:val="14"/>
              </w:rPr>
              <w:t>и спортских игара за развој: снаге, брзине, издржљивости, гипкости, спретности и окретности;</w:t>
            </w:r>
          </w:p>
        </w:tc>
        <w:tc>
          <w:tcPr>
            <w:tcW w:w="2834" w:type="dxa"/>
            <w:vMerge w:val="restart"/>
          </w:tcPr>
          <w:p w:rsidR="00041039" w:rsidRDefault="001B26CB">
            <w:pPr>
              <w:pStyle w:val="TableParagraph"/>
              <w:numPr>
                <w:ilvl w:val="0"/>
                <w:numId w:val="474"/>
              </w:numPr>
              <w:tabs>
                <w:tab w:val="left" w:pos="157"/>
              </w:tabs>
              <w:spacing w:before="10"/>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474"/>
              </w:numPr>
              <w:tabs>
                <w:tab w:val="left" w:pos="157"/>
              </w:tabs>
              <w:spacing w:before="1" w:line="160" w:lineRule="exact"/>
              <w:ind w:right="324" w:hanging="99"/>
              <w:rPr>
                <w:sz w:val="14"/>
              </w:rPr>
            </w:pPr>
            <w:r>
              <w:rPr>
                <w:color w:val="231F20"/>
                <w:sz w:val="14"/>
              </w:rPr>
              <w:t>Трчањ</w:t>
            </w:r>
            <w:r>
              <w:rPr>
                <w:color w:val="231F20"/>
                <w:sz w:val="14"/>
              </w:rPr>
              <w:t>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474"/>
              </w:numPr>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474"/>
              </w:numPr>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numPr>
                <w:ilvl w:val="0"/>
                <w:numId w:val="474"/>
              </w:numPr>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474"/>
              </w:numPr>
              <w:tabs>
                <w:tab w:val="left" w:pos="157"/>
              </w:tabs>
              <w:spacing w:line="153" w:lineRule="exact"/>
              <w:ind w:hanging="99"/>
              <w:rPr>
                <w:sz w:val="14"/>
              </w:rPr>
            </w:pPr>
            <w:r>
              <w:rPr>
                <w:color w:val="231F20"/>
                <w:sz w:val="14"/>
              </w:rPr>
              <w:t>Аеробик.</w:t>
            </w:r>
          </w:p>
          <w:p w:rsidR="00041039" w:rsidRDefault="001B26CB">
            <w:pPr>
              <w:pStyle w:val="TableParagraph"/>
              <w:numPr>
                <w:ilvl w:val="0"/>
                <w:numId w:val="474"/>
              </w:numPr>
              <w:tabs>
                <w:tab w:val="left" w:pos="157"/>
              </w:tabs>
              <w:spacing w:line="166"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tcBorders>
              <w:top w:val="nil"/>
              <w:bottom w:val="nil"/>
            </w:tcBorders>
          </w:tcPr>
          <w:p w:rsidR="00041039" w:rsidRDefault="00041039">
            <w:pPr>
              <w:rPr>
                <w:sz w:val="2"/>
                <w:szCs w:val="2"/>
              </w:rPr>
            </w:pPr>
          </w:p>
        </w:tc>
      </w:tr>
      <w:tr w:rsidR="00041039">
        <w:trPr>
          <w:trHeight w:val="111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473"/>
              </w:numPr>
              <w:tabs>
                <w:tab w:val="left" w:pos="158"/>
              </w:tabs>
              <w:spacing w:line="154" w:lineRule="exact"/>
              <w:ind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473"/>
              </w:numPr>
              <w:tabs>
                <w:tab w:val="left" w:pos="158"/>
              </w:tabs>
              <w:spacing w:line="160" w:lineRule="exact"/>
              <w:ind w:hanging="99"/>
              <w:rPr>
                <w:b/>
                <w:sz w:val="14"/>
              </w:rPr>
            </w:pPr>
            <w:r>
              <w:rPr>
                <w:color w:val="231F20"/>
                <w:sz w:val="14"/>
              </w:rPr>
              <w:t xml:space="preserve">мерење и тестирање </w:t>
            </w:r>
            <w:r>
              <w:rPr>
                <w:b/>
                <w:color w:val="231F20"/>
                <w:sz w:val="14"/>
              </w:rPr>
              <w:t>(8</w:t>
            </w:r>
            <w:r>
              <w:rPr>
                <w:b/>
                <w:color w:val="231F20"/>
                <w:spacing w:val="-4"/>
                <w:sz w:val="14"/>
              </w:rPr>
              <w:t xml:space="preserve"> </w:t>
            </w:r>
            <w:r>
              <w:rPr>
                <w:b/>
                <w:color w:val="231F20"/>
                <w:sz w:val="14"/>
              </w:rPr>
              <w:t>часова)</w:t>
            </w:r>
          </w:p>
          <w:p w:rsidR="00041039" w:rsidRDefault="001B26CB">
            <w:pPr>
              <w:pStyle w:val="TableParagraph"/>
              <w:numPr>
                <w:ilvl w:val="0"/>
                <w:numId w:val="473"/>
              </w:numPr>
              <w:tabs>
                <w:tab w:val="left" w:pos="158"/>
              </w:tabs>
              <w:spacing w:line="166" w:lineRule="exact"/>
              <w:ind w:hanging="99"/>
              <w:rPr>
                <w:b/>
                <w:sz w:val="14"/>
              </w:rPr>
            </w:pPr>
            <w:r>
              <w:rPr>
                <w:color w:val="231F20"/>
                <w:sz w:val="14"/>
              </w:rPr>
              <w:t xml:space="preserve">практична настава </w:t>
            </w:r>
            <w:r>
              <w:rPr>
                <w:b/>
                <w:color w:val="231F20"/>
                <w:sz w:val="14"/>
              </w:rPr>
              <w:t>(58</w:t>
            </w:r>
            <w:r>
              <w:rPr>
                <w:b/>
                <w:color w:val="231F20"/>
                <w:spacing w:val="-6"/>
                <w:sz w:val="14"/>
              </w:rPr>
              <w:t xml:space="preserve"> </w:t>
            </w:r>
            <w:r>
              <w:rPr>
                <w:b/>
                <w:color w:val="231F20"/>
                <w:sz w:val="14"/>
              </w:rPr>
              <w:t>часова)</w:t>
            </w:r>
          </w:p>
        </w:tc>
      </w:tr>
      <w:tr w:rsidR="00041039">
        <w:trPr>
          <w:trHeight w:val="1749"/>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ind w:left="58" w:right="109"/>
              <w:rPr>
                <w:sz w:val="14"/>
              </w:rPr>
            </w:pPr>
            <w:r>
              <w:rPr>
                <w:b/>
                <w:color w:val="231F20"/>
                <w:sz w:val="14"/>
              </w:rPr>
              <w:t xml:space="preserve">Подела одељења на групе </w:t>
            </w:r>
            <w:r>
              <w:rPr>
                <w:color w:val="231F20"/>
                <w:sz w:val="14"/>
              </w:rPr>
              <w:t>Одељење се не дели приликом реализације.</w:t>
            </w:r>
          </w:p>
          <w:p w:rsidR="00041039" w:rsidRDefault="001B26CB">
            <w:pPr>
              <w:pStyle w:val="TableParagraph"/>
              <w:spacing w:line="237" w:lineRule="auto"/>
              <w:ind w:left="58" w:right="382"/>
              <w:rPr>
                <w:sz w:val="14"/>
              </w:rPr>
            </w:pPr>
            <w:r>
              <w:rPr>
                <w:color w:val="231F20"/>
                <w:sz w:val="14"/>
              </w:rPr>
              <w:t>Настава се изводи фронтално и по групама, у зависности од</w:t>
            </w:r>
          </w:p>
          <w:p w:rsidR="00041039" w:rsidRDefault="001B26CB">
            <w:pPr>
              <w:pStyle w:val="TableParagraph"/>
              <w:ind w:left="58"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дуалан.</w:t>
            </w:r>
          </w:p>
        </w:tc>
      </w:tr>
      <w:tr w:rsidR="00041039">
        <w:trPr>
          <w:trHeight w:val="143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55" w:lineRule="exact"/>
              <w:ind w:left="58"/>
              <w:rPr>
                <w:b/>
                <w:sz w:val="14"/>
              </w:rPr>
            </w:pPr>
            <w:r>
              <w:rPr>
                <w:b/>
                <w:color w:val="231F20"/>
                <w:sz w:val="14"/>
              </w:rPr>
              <w:t>Место реализације наставе</w:t>
            </w:r>
          </w:p>
          <w:p w:rsidR="00041039" w:rsidRDefault="001B26CB">
            <w:pPr>
              <w:pStyle w:val="TableParagraph"/>
              <w:numPr>
                <w:ilvl w:val="0"/>
                <w:numId w:val="472"/>
              </w:numPr>
              <w:tabs>
                <w:tab w:val="left" w:pos="158"/>
              </w:tabs>
              <w:spacing w:line="237" w:lineRule="auto"/>
              <w:ind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472"/>
              </w:numPr>
              <w:tabs>
                <w:tab w:val="left" w:pos="158"/>
              </w:tabs>
              <w:spacing w:line="237" w:lineRule="auto"/>
              <w:ind w:right="101" w:hanging="99"/>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tc>
      </w:tr>
      <w:tr w:rsidR="00041039">
        <w:trPr>
          <w:trHeight w:val="159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ind w:left="58" w:right="109"/>
              <w:rPr>
                <w:b/>
                <w:sz w:val="14"/>
              </w:rPr>
            </w:pPr>
            <w:r>
              <w:rPr>
                <w:b/>
                <w:color w:val="231F20"/>
                <w:sz w:val="14"/>
              </w:rPr>
              <w:t>Препоруке за реализацију наставе</w:t>
            </w:r>
          </w:p>
          <w:p w:rsidR="00041039" w:rsidRDefault="001B26CB">
            <w:pPr>
              <w:pStyle w:val="TableParagraph"/>
              <w:numPr>
                <w:ilvl w:val="0"/>
                <w:numId w:val="471"/>
              </w:numPr>
              <w:tabs>
                <w:tab w:val="left" w:pos="158"/>
              </w:tabs>
              <w:spacing w:before="1" w:line="160" w:lineRule="exact"/>
              <w:ind w:right="74" w:hanging="99"/>
              <w:rPr>
                <w:sz w:val="14"/>
              </w:rPr>
            </w:pPr>
            <w:r>
              <w:rPr>
                <w:color w:val="231F20"/>
                <w:sz w:val="14"/>
              </w:rPr>
              <w:t>Настава се реализује у циклусима који трају приближно 10 ­ 12 часова (узастопних). Наставнику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tc>
      </w:tr>
      <w:tr w:rsidR="00041039">
        <w:trPr>
          <w:trHeight w:val="1691"/>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line="161" w:lineRule="exact"/>
              <w:ind w:left="58"/>
              <w:rPr>
                <w:b/>
                <w:sz w:val="14"/>
              </w:rPr>
            </w:pPr>
            <w:r>
              <w:rPr>
                <w:b/>
                <w:color w:val="231F20"/>
                <w:sz w:val="14"/>
              </w:rPr>
              <w:t>Садржај циклуса је:</w:t>
            </w:r>
          </w:p>
          <w:p w:rsidR="00041039" w:rsidRDefault="001B26CB">
            <w:pPr>
              <w:pStyle w:val="TableParagraph"/>
              <w:numPr>
                <w:ilvl w:val="0"/>
                <w:numId w:val="470"/>
              </w:numPr>
              <w:tabs>
                <w:tab w:val="left" w:pos="164"/>
              </w:tabs>
              <w:ind w:right="169"/>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470"/>
              </w:numPr>
              <w:tabs>
                <w:tab w:val="left" w:pos="164"/>
              </w:tabs>
              <w:spacing w:line="159"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470"/>
              </w:numPr>
              <w:tabs>
                <w:tab w:val="left" w:pos="164"/>
              </w:tabs>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470"/>
              </w:numPr>
              <w:tabs>
                <w:tab w:val="left" w:pos="164"/>
              </w:tabs>
              <w:spacing w:line="159"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470"/>
              </w:numPr>
              <w:tabs>
                <w:tab w:val="left" w:pos="164"/>
              </w:tabs>
              <w:ind w:right="244"/>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8" w:lineRule="exact"/>
              <w:ind w:left="163"/>
              <w:rPr>
                <w:sz w:val="14"/>
              </w:rPr>
            </w:pPr>
            <w:r>
              <w:rPr>
                <w:color w:val="231F20"/>
                <w:sz w:val="14"/>
              </w:rPr>
              <w:t>- један.</w:t>
            </w:r>
          </w:p>
        </w:tc>
      </w:tr>
    </w:tbl>
    <w:p w:rsidR="00041039" w:rsidRDefault="00041039">
      <w:pPr>
        <w:spacing w:line="158" w:lineRule="exact"/>
        <w:rPr>
          <w:sz w:val="14"/>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3160"/>
        </w:trPr>
        <w:tc>
          <w:tcPr>
            <w:tcW w:w="1304" w:type="dxa"/>
          </w:tcPr>
          <w:p w:rsidR="00041039" w:rsidRDefault="001B26CB">
            <w:pPr>
              <w:pStyle w:val="TableParagraph"/>
              <w:spacing w:before="18"/>
              <w:ind w:left="56" w:right="77"/>
              <w:rPr>
                <w:sz w:val="14"/>
              </w:rPr>
            </w:pPr>
            <w:r>
              <w:rPr>
                <w:color w:val="231F20"/>
                <w:sz w:val="14"/>
              </w:rPr>
              <w:lastRenderedPageBreak/>
              <w:t>Усвајање знања, умења и вештина из спортских грана и дисциплина као основа за реализо­ вање постављених циљева и исхода</w:t>
            </w:r>
          </w:p>
          <w:p w:rsidR="00041039" w:rsidRDefault="00041039">
            <w:pPr>
              <w:pStyle w:val="TableParagraph"/>
              <w:spacing w:before="3"/>
              <w:ind w:left="0"/>
              <w:rPr>
                <w:b/>
                <w:sz w:val="13"/>
              </w:rPr>
            </w:pPr>
          </w:p>
          <w:p w:rsidR="00041039" w:rsidRDefault="001B26CB">
            <w:pPr>
              <w:pStyle w:val="TableParagraph"/>
              <w:spacing w:before="1"/>
              <w:ind w:left="56"/>
              <w:rPr>
                <w:sz w:val="14"/>
              </w:rPr>
            </w:pPr>
            <w:r>
              <w:rPr>
                <w:color w:val="231F20"/>
                <w:sz w:val="14"/>
              </w:rPr>
              <w:t>Атлетика</w:t>
            </w: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1B26CB">
            <w:pPr>
              <w:pStyle w:val="TableParagraph"/>
              <w:spacing w:before="119"/>
              <w:ind w:left="56" w:right="54"/>
              <w:rPr>
                <w:sz w:val="14"/>
              </w:rPr>
            </w:pPr>
            <w:r>
              <w:rPr>
                <w:color w:val="231F20"/>
                <w:sz w:val="14"/>
              </w:rPr>
              <w:t>Спортска гимнастика: (Вежбе на</w:t>
            </w:r>
            <w:r>
              <w:rPr>
                <w:color w:val="231F20"/>
                <w:spacing w:val="-9"/>
                <w:sz w:val="14"/>
              </w:rPr>
              <w:t xml:space="preserve"> </w:t>
            </w:r>
            <w:r>
              <w:rPr>
                <w:color w:val="231F20"/>
                <w:sz w:val="14"/>
              </w:rPr>
              <w:t>справама и</w:t>
            </w:r>
            <w:r>
              <w:rPr>
                <w:color w:val="231F20"/>
                <w:spacing w:val="-2"/>
                <w:sz w:val="14"/>
              </w:rPr>
              <w:t xml:space="preserve"> </w:t>
            </w:r>
            <w:r>
              <w:rPr>
                <w:color w:val="231F20"/>
                <w:sz w:val="14"/>
              </w:rPr>
              <w:t>тлу)</w:t>
            </w:r>
          </w:p>
        </w:tc>
        <w:tc>
          <w:tcPr>
            <w:tcW w:w="1587" w:type="dxa"/>
          </w:tcPr>
          <w:p w:rsidR="00041039" w:rsidRDefault="001B26CB">
            <w:pPr>
              <w:pStyle w:val="TableParagraph"/>
              <w:numPr>
                <w:ilvl w:val="0"/>
                <w:numId w:val="469"/>
              </w:numPr>
              <w:tabs>
                <w:tab w:val="left" w:pos="157"/>
              </w:tabs>
              <w:spacing w:before="8"/>
              <w:ind w:right="48"/>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041039" w:rsidRDefault="001B26CB">
            <w:pPr>
              <w:pStyle w:val="TableParagraph"/>
              <w:numPr>
                <w:ilvl w:val="0"/>
                <w:numId w:val="469"/>
              </w:numPr>
              <w:tabs>
                <w:tab w:val="left" w:pos="157"/>
              </w:tabs>
              <w:spacing w:line="157" w:lineRule="exact"/>
              <w:rPr>
                <w:sz w:val="14"/>
              </w:rPr>
            </w:pPr>
            <w:r>
              <w:rPr>
                <w:color w:val="231F20"/>
                <w:sz w:val="14"/>
              </w:rPr>
              <w:t>Формирање</w:t>
            </w:r>
            <w:r>
              <w:rPr>
                <w:color w:val="231F20"/>
                <w:spacing w:val="-3"/>
                <w:sz w:val="14"/>
              </w:rPr>
              <w:t xml:space="preserve"> </w:t>
            </w:r>
            <w:r>
              <w:rPr>
                <w:color w:val="231F20"/>
                <w:sz w:val="14"/>
              </w:rPr>
              <w:t>позитив­</w:t>
            </w:r>
          </w:p>
          <w:p w:rsidR="00041039" w:rsidRDefault="001B26CB">
            <w:pPr>
              <w:pStyle w:val="TableParagraph"/>
              <w:ind w:right="15"/>
              <w:rPr>
                <w:sz w:val="14"/>
              </w:rPr>
            </w:pPr>
            <w:r>
              <w:rPr>
                <w:color w:val="231F20"/>
                <w:sz w:val="14"/>
              </w:rPr>
              <w:t>них психо социјалних образаца понашања.</w:t>
            </w:r>
          </w:p>
          <w:p w:rsidR="00041039" w:rsidRDefault="001B26CB">
            <w:pPr>
              <w:pStyle w:val="TableParagraph"/>
              <w:numPr>
                <w:ilvl w:val="0"/>
                <w:numId w:val="469"/>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 вима живота и</w:t>
            </w:r>
            <w:r>
              <w:rPr>
                <w:color w:val="231F20"/>
                <w:spacing w:val="-4"/>
                <w:sz w:val="14"/>
              </w:rPr>
              <w:t xml:space="preserve"> </w:t>
            </w:r>
            <w:r>
              <w:rPr>
                <w:color w:val="231F20"/>
                <w:sz w:val="14"/>
              </w:rPr>
              <w:t>рада.</w:t>
            </w:r>
          </w:p>
          <w:p w:rsidR="00041039" w:rsidRDefault="001B26CB">
            <w:pPr>
              <w:pStyle w:val="TableParagraph"/>
              <w:numPr>
                <w:ilvl w:val="0"/>
                <w:numId w:val="469"/>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w:t>
            </w:r>
          </w:p>
          <w:p w:rsidR="00041039" w:rsidRDefault="001B26CB">
            <w:pPr>
              <w:pStyle w:val="TableParagraph"/>
              <w:numPr>
                <w:ilvl w:val="0"/>
                <w:numId w:val="469"/>
              </w:numPr>
              <w:tabs>
                <w:tab w:val="left" w:pos="157"/>
              </w:tabs>
              <w:spacing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041039" w:rsidRDefault="001B26CB">
            <w:pPr>
              <w:pStyle w:val="TableParagraph"/>
              <w:numPr>
                <w:ilvl w:val="0"/>
                <w:numId w:val="469"/>
              </w:numPr>
              <w:tabs>
                <w:tab w:val="left" w:pos="157"/>
              </w:tabs>
              <w:spacing w:line="160" w:lineRule="exact"/>
              <w:ind w:right="210"/>
              <w:rPr>
                <w:sz w:val="14"/>
              </w:rPr>
            </w:pPr>
            <w:r>
              <w:rPr>
                <w:color w:val="231F20"/>
                <w:sz w:val="14"/>
              </w:rPr>
              <w:t>Стицање и усавр­ шавање моторич­ ких знања, умећа, вештина, техника и навика</w:t>
            </w:r>
            <w:r>
              <w:rPr>
                <w:color w:val="231F20"/>
                <w:spacing w:val="-9"/>
                <w:sz w:val="14"/>
              </w:rPr>
              <w:t xml:space="preserve"> </w:t>
            </w:r>
            <w:r>
              <w:rPr>
                <w:color w:val="231F20"/>
                <w:sz w:val="14"/>
              </w:rPr>
              <w:t>предвиђених</w:t>
            </w:r>
          </w:p>
          <w:p w:rsidR="00041039" w:rsidRDefault="001B26CB">
            <w:pPr>
              <w:pStyle w:val="TableParagraph"/>
              <w:spacing w:line="237" w:lineRule="auto"/>
              <w:ind w:right="15"/>
              <w:rPr>
                <w:sz w:val="14"/>
              </w:rPr>
            </w:pPr>
            <w:r>
              <w:rPr>
                <w:color w:val="231F20"/>
                <w:sz w:val="14"/>
              </w:rPr>
              <w:t>програмом за базичне спортске гране.</w:t>
            </w:r>
          </w:p>
          <w:p w:rsidR="00041039" w:rsidRDefault="001B26CB">
            <w:pPr>
              <w:pStyle w:val="TableParagraph"/>
              <w:numPr>
                <w:ilvl w:val="0"/>
                <w:numId w:val="469"/>
              </w:numPr>
              <w:tabs>
                <w:tab w:val="left" w:pos="157"/>
              </w:tabs>
              <w:spacing w:line="237" w:lineRule="auto"/>
              <w:ind w:right="73"/>
              <w:rPr>
                <w:sz w:val="14"/>
              </w:rPr>
            </w:pPr>
            <w:r>
              <w:rPr>
                <w:color w:val="231F20"/>
                <w:sz w:val="14"/>
              </w:rPr>
              <w:t>Повезивање моторич­ ких задатака у</w:t>
            </w:r>
            <w:r>
              <w:rPr>
                <w:color w:val="231F20"/>
                <w:spacing w:val="-15"/>
                <w:sz w:val="14"/>
              </w:rPr>
              <w:t xml:space="preserve"> </w:t>
            </w:r>
            <w:r>
              <w:rPr>
                <w:color w:val="231F20"/>
                <w:sz w:val="14"/>
              </w:rPr>
              <w:t>целине; али без стварања крутих мотори</w:t>
            </w:r>
            <w:r>
              <w:rPr>
                <w:color w:val="231F20"/>
                <w:sz w:val="14"/>
              </w:rPr>
              <w:t>чких аутоматизама.</w:t>
            </w:r>
          </w:p>
          <w:p w:rsidR="00041039" w:rsidRDefault="001B26CB">
            <w:pPr>
              <w:pStyle w:val="TableParagraph"/>
              <w:numPr>
                <w:ilvl w:val="0"/>
                <w:numId w:val="469"/>
              </w:numPr>
              <w:tabs>
                <w:tab w:val="left" w:pos="157"/>
              </w:tabs>
              <w:spacing w:line="237" w:lineRule="auto"/>
              <w:ind w:right="158"/>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numPr>
                <w:ilvl w:val="0"/>
                <w:numId w:val="469"/>
              </w:numPr>
              <w:tabs>
                <w:tab w:val="left" w:pos="157"/>
              </w:tabs>
              <w:spacing w:line="237" w:lineRule="auto"/>
              <w:ind w:right="165"/>
              <w:rPr>
                <w:sz w:val="14"/>
              </w:rPr>
            </w:pPr>
            <w:r>
              <w:rPr>
                <w:color w:val="231F20"/>
                <w:sz w:val="14"/>
              </w:rPr>
              <w:t>Развијање елемената ритма сједињавањем кинетичких и енер­ гетских елемената у целине: рад ­ одмор, напрезање ­ релакса­ ција, убрзање ­ успо­ равање.</w:t>
            </w:r>
          </w:p>
          <w:p w:rsidR="00041039" w:rsidRDefault="001B26CB">
            <w:pPr>
              <w:pStyle w:val="TableParagraph"/>
              <w:numPr>
                <w:ilvl w:val="0"/>
                <w:numId w:val="469"/>
              </w:numPr>
              <w:tabs>
                <w:tab w:val="left" w:pos="157"/>
              </w:tabs>
              <w:spacing w:line="237" w:lineRule="auto"/>
              <w:ind w:right="359"/>
              <w:rPr>
                <w:sz w:val="14"/>
              </w:rPr>
            </w:pPr>
            <w:r>
              <w:rPr>
                <w:color w:val="231F20"/>
                <w:sz w:val="14"/>
              </w:rPr>
              <w:t>Избор спортова, односно</w:t>
            </w:r>
            <w:r>
              <w:rPr>
                <w:color w:val="231F20"/>
                <w:spacing w:val="-10"/>
                <w:sz w:val="14"/>
              </w:rPr>
              <w:t xml:space="preserve"> </w:t>
            </w:r>
            <w:r>
              <w:rPr>
                <w:color w:val="231F20"/>
                <w:sz w:val="14"/>
              </w:rPr>
              <w:t>спортско</w:t>
            </w:r>
          </w:p>
          <w:p w:rsidR="00041039" w:rsidRDefault="001B26CB">
            <w:pPr>
              <w:pStyle w:val="TableParagraph"/>
              <w:ind w:right="15"/>
              <w:rPr>
                <w:sz w:val="14"/>
              </w:rPr>
            </w:pPr>
            <w:r>
              <w:rPr>
                <w:color w:val="231F20"/>
                <w:sz w:val="14"/>
              </w:rPr>
              <w:t>- рекреативних или других кретних ак­ тивности као трајног опредељења за њихово свакодневно упражња­ вање.</w:t>
            </w:r>
          </w:p>
        </w:tc>
        <w:tc>
          <w:tcPr>
            <w:tcW w:w="2551" w:type="dxa"/>
          </w:tcPr>
          <w:p w:rsidR="00041039" w:rsidRDefault="001B26CB">
            <w:pPr>
              <w:pStyle w:val="TableParagraph"/>
              <w:numPr>
                <w:ilvl w:val="0"/>
                <w:numId w:val="468"/>
              </w:numPr>
              <w:tabs>
                <w:tab w:val="left" w:pos="157"/>
              </w:tabs>
              <w:spacing w:before="9"/>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468"/>
              </w:numPr>
              <w:tabs>
                <w:tab w:val="left" w:pos="157"/>
              </w:tabs>
              <w:spacing w:line="156" w:lineRule="exact"/>
              <w:ind w:hanging="99"/>
              <w:rPr>
                <w:sz w:val="14"/>
              </w:rPr>
            </w:pPr>
            <w:r>
              <w:rPr>
                <w:color w:val="231F20"/>
                <w:sz w:val="14"/>
              </w:rPr>
              <w:t>демонстрира вежбе и</w:t>
            </w:r>
            <w:r>
              <w:rPr>
                <w:color w:val="231F20"/>
                <w:spacing w:val="-3"/>
                <w:sz w:val="14"/>
              </w:rPr>
              <w:t xml:space="preserve"> </w:t>
            </w:r>
            <w:r>
              <w:rPr>
                <w:color w:val="231F20"/>
                <w:sz w:val="14"/>
              </w:rPr>
              <w:t>технике</w:t>
            </w:r>
          </w:p>
          <w:p w:rsidR="00041039" w:rsidRDefault="001B26CB">
            <w:pPr>
              <w:pStyle w:val="TableParagraph"/>
              <w:ind w:right="16"/>
              <w:rPr>
                <w:sz w:val="14"/>
              </w:rPr>
            </w:pPr>
            <w:r>
              <w:rPr>
                <w:color w:val="231F20"/>
                <w:sz w:val="14"/>
              </w:rPr>
              <w:t>атлетских д</w:t>
            </w:r>
            <w:r>
              <w:rPr>
                <w:color w:val="231F20"/>
                <w:sz w:val="14"/>
              </w:rPr>
              <w:t>исциплина и вежби на справама и тлу које се уче (поседовање вештине)</w:t>
            </w:r>
          </w:p>
          <w:p w:rsidR="00041039" w:rsidRDefault="001B26CB">
            <w:pPr>
              <w:pStyle w:val="TableParagraph"/>
              <w:numPr>
                <w:ilvl w:val="0"/>
                <w:numId w:val="468"/>
              </w:numPr>
              <w:tabs>
                <w:tab w:val="left" w:pos="157"/>
              </w:tabs>
              <w:spacing w:line="158" w:lineRule="exact"/>
              <w:ind w:hanging="99"/>
              <w:rPr>
                <w:sz w:val="14"/>
              </w:rPr>
            </w:pPr>
            <w:r>
              <w:rPr>
                <w:color w:val="231F20"/>
                <w:sz w:val="14"/>
              </w:rPr>
              <w:t>детаљније опише правила</w:t>
            </w:r>
            <w:r>
              <w:rPr>
                <w:color w:val="231F20"/>
                <w:spacing w:val="-11"/>
                <w:sz w:val="14"/>
              </w:rPr>
              <w:t xml:space="preserve"> </w:t>
            </w:r>
            <w:r>
              <w:rPr>
                <w:color w:val="231F20"/>
                <w:sz w:val="14"/>
              </w:rPr>
              <w:t>спортске</w:t>
            </w:r>
          </w:p>
          <w:p w:rsidR="00041039" w:rsidRDefault="001B26CB">
            <w:pPr>
              <w:pStyle w:val="TableParagraph"/>
              <w:spacing w:line="160" w:lineRule="exact"/>
              <w:rPr>
                <w:sz w:val="14"/>
              </w:rPr>
            </w:pPr>
            <w:r>
              <w:rPr>
                <w:color w:val="231F20"/>
                <w:sz w:val="14"/>
              </w:rPr>
              <w:t>гране за коју показује посебан интерес</w:t>
            </w:r>
          </w:p>
          <w:p w:rsidR="00041039" w:rsidRDefault="001B26CB">
            <w:pPr>
              <w:pStyle w:val="TableParagraph"/>
              <w:spacing w:line="155" w:lineRule="exact"/>
              <w:rPr>
                <w:sz w:val="14"/>
              </w:rPr>
            </w:pPr>
            <w:r>
              <w:rPr>
                <w:color w:val="231F20"/>
                <w:sz w:val="14"/>
              </w:rPr>
              <w:t>- за коју школа има услове;</w:t>
            </w:r>
          </w:p>
          <w:p w:rsidR="00041039" w:rsidRDefault="001B26CB">
            <w:pPr>
              <w:pStyle w:val="TableParagraph"/>
              <w:numPr>
                <w:ilvl w:val="0"/>
                <w:numId w:val="468"/>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468"/>
              </w:numPr>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сагле­ дава (детект</w:t>
            </w:r>
            <w:r>
              <w:rPr>
                <w:color w:val="231F20"/>
                <w:sz w:val="14"/>
              </w:rPr>
              <w:t>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468"/>
              </w:numPr>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w:t>
            </w:r>
            <w:r>
              <w:rPr>
                <w:color w:val="231F20"/>
                <w:sz w:val="14"/>
              </w:rPr>
              <w:t>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468"/>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контактима;</w:t>
            </w:r>
          </w:p>
          <w:p w:rsidR="00041039" w:rsidRDefault="001B26CB">
            <w:pPr>
              <w:pStyle w:val="TableParagraph"/>
              <w:numPr>
                <w:ilvl w:val="0"/>
                <w:numId w:val="468"/>
              </w:numPr>
              <w:tabs>
                <w:tab w:val="left" w:pos="157"/>
              </w:tabs>
              <w:spacing w:line="237" w:lineRule="auto"/>
              <w:ind w:right="190" w:hanging="99"/>
              <w:rPr>
                <w:sz w:val="14"/>
              </w:rPr>
            </w:pPr>
            <w:r>
              <w:rPr>
                <w:color w:val="231F20"/>
                <w:sz w:val="14"/>
              </w:rPr>
              <w:t xml:space="preserve">доводи у везу свакодневни живот и способност за учење и практичан рад са </w:t>
            </w:r>
            <w:r>
              <w:rPr>
                <w:color w:val="231F20"/>
                <w:sz w:val="14"/>
              </w:rPr>
              <w:t>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468"/>
              </w:numPr>
              <w:tabs>
                <w:tab w:val="left" w:pos="157"/>
              </w:tabs>
              <w:spacing w:line="237" w:lineRule="auto"/>
              <w:ind w:right="49" w:hanging="99"/>
              <w:rPr>
                <w:sz w:val="14"/>
              </w:rPr>
            </w:pPr>
            <w:r>
              <w:rPr>
                <w:color w:val="231F20"/>
                <w:sz w:val="14"/>
              </w:rPr>
              <w:t>објасни да покрет и кретање, без 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468"/>
              </w:numPr>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numPr>
                <w:ilvl w:val="0"/>
                <w:numId w:val="468"/>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numPr>
                <w:ilvl w:val="0"/>
                <w:numId w:val="468"/>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468"/>
              </w:numPr>
              <w:tabs>
                <w:tab w:val="left" w:pos="157"/>
              </w:tabs>
              <w:spacing w:line="237" w:lineRule="auto"/>
              <w:ind w:right="155" w:hanging="99"/>
              <w:rPr>
                <w:sz w:val="14"/>
              </w:rPr>
            </w:pPr>
            <w:r>
              <w:rPr>
                <w:color w:val="231F20"/>
                <w:sz w:val="14"/>
              </w:rPr>
              <w:t>има правилан однос према</w:t>
            </w:r>
            <w:r>
              <w:rPr>
                <w:color w:val="231F20"/>
                <w:spacing w:val="-20"/>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w:t>
            </w:r>
          </w:p>
          <w:p w:rsidR="00041039" w:rsidRDefault="001B26CB">
            <w:pPr>
              <w:pStyle w:val="TableParagraph"/>
              <w:numPr>
                <w:ilvl w:val="0"/>
                <w:numId w:val="468"/>
              </w:numPr>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Pr>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6"/>
              </w:rPr>
            </w:pPr>
          </w:p>
          <w:p w:rsidR="00041039" w:rsidRDefault="00041039">
            <w:pPr>
              <w:pStyle w:val="TableParagraph"/>
              <w:ind w:left="0"/>
              <w:rPr>
                <w:b/>
                <w:sz w:val="17"/>
              </w:rPr>
            </w:pPr>
          </w:p>
          <w:p w:rsidR="00041039" w:rsidRDefault="001B26CB">
            <w:pPr>
              <w:pStyle w:val="TableParagraph"/>
              <w:spacing w:before="1" w:line="161" w:lineRule="exact"/>
              <w:ind w:left="57"/>
              <w:rPr>
                <w:b/>
                <w:sz w:val="14"/>
              </w:rPr>
            </w:pPr>
            <w:r>
              <w:rPr>
                <w:b/>
                <w:color w:val="231F20"/>
                <w:sz w:val="14"/>
              </w:rPr>
              <w:t>АТЛЕТИКА</w:t>
            </w:r>
          </w:p>
          <w:p w:rsidR="00041039" w:rsidRDefault="001B26CB">
            <w:pPr>
              <w:pStyle w:val="TableParagraph"/>
              <w:ind w:left="57" w:right="173"/>
              <w:rPr>
                <w:sz w:val="14"/>
              </w:rPr>
            </w:pPr>
            <w:r>
              <w:rPr>
                <w:color w:val="231F20"/>
                <w:sz w:val="14"/>
              </w:rPr>
              <w:t>У свим атлетским дисциплинама треба радити на развијању основних моторичких особина за дату дисциплину.</w:t>
            </w:r>
          </w:p>
          <w:p w:rsidR="00041039" w:rsidRDefault="001B26CB">
            <w:pPr>
              <w:pStyle w:val="TableParagraph"/>
              <w:spacing w:line="158" w:lineRule="exact"/>
              <w:ind w:left="57"/>
              <w:rPr>
                <w:b/>
                <w:sz w:val="14"/>
              </w:rPr>
            </w:pPr>
            <w:r>
              <w:rPr>
                <w:b/>
                <w:color w:val="231F20"/>
                <w:sz w:val="14"/>
              </w:rPr>
              <w:t>Трчање:</w:t>
            </w:r>
          </w:p>
          <w:p w:rsidR="00041039" w:rsidRDefault="001B26CB">
            <w:pPr>
              <w:pStyle w:val="TableParagraph"/>
              <w:numPr>
                <w:ilvl w:val="0"/>
                <w:numId w:val="467"/>
              </w:numPr>
              <w:tabs>
                <w:tab w:val="left" w:pos="163"/>
              </w:tabs>
              <w:spacing w:line="160" w:lineRule="exact"/>
              <w:rPr>
                <w:sz w:val="14"/>
              </w:rPr>
            </w:pPr>
            <w:r>
              <w:rPr>
                <w:color w:val="231F20"/>
                <w:sz w:val="14"/>
              </w:rPr>
              <w:t>100 м ученици и</w:t>
            </w:r>
            <w:r>
              <w:rPr>
                <w:color w:val="231F20"/>
                <w:spacing w:val="-1"/>
                <w:sz w:val="14"/>
              </w:rPr>
              <w:t xml:space="preserve"> </w:t>
            </w:r>
            <w:r>
              <w:rPr>
                <w:color w:val="231F20"/>
                <w:sz w:val="14"/>
              </w:rPr>
              <w:t>ученице;</w:t>
            </w:r>
          </w:p>
          <w:p w:rsidR="00041039" w:rsidRDefault="001B26CB">
            <w:pPr>
              <w:pStyle w:val="TableParagraph"/>
              <w:numPr>
                <w:ilvl w:val="0"/>
                <w:numId w:val="467"/>
              </w:numPr>
              <w:tabs>
                <w:tab w:val="left" w:pos="163"/>
              </w:tabs>
              <w:spacing w:line="160" w:lineRule="exact"/>
              <w:rPr>
                <w:sz w:val="14"/>
              </w:rPr>
            </w:pPr>
            <w:r>
              <w:rPr>
                <w:color w:val="231F20"/>
                <w:sz w:val="14"/>
              </w:rPr>
              <w:t>1000 м ученици;</w:t>
            </w:r>
          </w:p>
          <w:p w:rsidR="00041039" w:rsidRDefault="001B26CB">
            <w:pPr>
              <w:pStyle w:val="TableParagraph"/>
              <w:numPr>
                <w:ilvl w:val="0"/>
                <w:numId w:val="467"/>
              </w:numPr>
              <w:tabs>
                <w:tab w:val="left" w:pos="163"/>
              </w:tabs>
              <w:spacing w:line="160" w:lineRule="exact"/>
              <w:rPr>
                <w:sz w:val="14"/>
              </w:rPr>
            </w:pPr>
            <w:r>
              <w:rPr>
                <w:color w:val="231F20"/>
                <w:sz w:val="14"/>
              </w:rPr>
              <w:t>800 м ученице;</w:t>
            </w:r>
          </w:p>
          <w:p w:rsidR="00041039" w:rsidRDefault="001B26CB">
            <w:pPr>
              <w:pStyle w:val="TableParagraph"/>
              <w:numPr>
                <w:ilvl w:val="0"/>
                <w:numId w:val="467"/>
              </w:numPr>
              <w:tabs>
                <w:tab w:val="left" w:pos="163"/>
              </w:tabs>
              <w:spacing w:line="160" w:lineRule="exact"/>
              <w:rPr>
                <w:sz w:val="14"/>
              </w:rPr>
            </w:pPr>
            <w:r>
              <w:rPr>
                <w:color w:val="231F20"/>
                <w:sz w:val="14"/>
              </w:rPr>
              <w:t>штафета 4 х 100 м ученици и</w:t>
            </w:r>
            <w:r>
              <w:rPr>
                <w:color w:val="231F20"/>
                <w:spacing w:val="-1"/>
                <w:sz w:val="14"/>
              </w:rPr>
              <w:t xml:space="preserve"> </w:t>
            </w:r>
            <w:r>
              <w:rPr>
                <w:color w:val="231F20"/>
                <w:sz w:val="14"/>
              </w:rPr>
              <w:t>ученице.</w:t>
            </w:r>
          </w:p>
          <w:p w:rsidR="00041039" w:rsidRDefault="001B26CB">
            <w:pPr>
              <w:pStyle w:val="TableParagraph"/>
              <w:spacing w:line="160" w:lineRule="exact"/>
              <w:ind w:left="57"/>
              <w:rPr>
                <w:b/>
                <w:sz w:val="14"/>
              </w:rPr>
            </w:pPr>
            <w:r>
              <w:rPr>
                <w:b/>
                <w:color w:val="231F20"/>
                <w:sz w:val="14"/>
              </w:rPr>
              <w:t>Скокови:</w:t>
            </w:r>
          </w:p>
          <w:p w:rsidR="00041039" w:rsidRDefault="001B26CB">
            <w:pPr>
              <w:pStyle w:val="TableParagraph"/>
              <w:ind w:left="57" w:right="809"/>
              <w:jc w:val="both"/>
              <w:rPr>
                <w:b/>
                <w:sz w:val="14"/>
              </w:rPr>
            </w:pPr>
            <w:r>
              <w:rPr>
                <w:color w:val="231F20"/>
                <w:sz w:val="14"/>
              </w:rPr>
              <w:t>Скок</w:t>
            </w:r>
            <w:r>
              <w:rPr>
                <w:color w:val="231F20"/>
                <w:spacing w:val="-12"/>
                <w:sz w:val="14"/>
              </w:rPr>
              <w:t xml:space="preserve"> </w:t>
            </w:r>
            <w:r>
              <w:rPr>
                <w:color w:val="231F20"/>
                <w:sz w:val="14"/>
              </w:rPr>
              <w:t>удаљ,</w:t>
            </w:r>
            <w:r>
              <w:rPr>
                <w:color w:val="231F20"/>
                <w:spacing w:val="-12"/>
                <w:sz w:val="14"/>
              </w:rPr>
              <w:t xml:space="preserve"> </w:t>
            </w:r>
            <w:r>
              <w:rPr>
                <w:color w:val="231F20"/>
                <w:sz w:val="14"/>
              </w:rPr>
              <w:t>одабраном</w:t>
            </w:r>
            <w:r>
              <w:rPr>
                <w:color w:val="231F20"/>
                <w:spacing w:val="-12"/>
                <w:sz w:val="14"/>
              </w:rPr>
              <w:t xml:space="preserve"> </w:t>
            </w:r>
            <w:r>
              <w:rPr>
                <w:color w:val="231F20"/>
                <w:sz w:val="14"/>
              </w:rPr>
              <w:t xml:space="preserve">техником. Скок увис, </w:t>
            </w:r>
            <w:r>
              <w:rPr>
                <w:color w:val="231F20"/>
                <w:sz w:val="14"/>
              </w:rPr>
              <w:t>одабраном</w:t>
            </w:r>
            <w:r>
              <w:rPr>
                <w:color w:val="231F20"/>
                <w:spacing w:val="-23"/>
                <w:sz w:val="14"/>
              </w:rPr>
              <w:t xml:space="preserve"> </w:t>
            </w:r>
            <w:r>
              <w:rPr>
                <w:color w:val="231F20"/>
                <w:sz w:val="14"/>
              </w:rPr>
              <w:t xml:space="preserve">техником. </w:t>
            </w:r>
            <w:r>
              <w:rPr>
                <w:b/>
                <w:color w:val="231F20"/>
                <w:sz w:val="14"/>
              </w:rPr>
              <w:t>Бацање:</w:t>
            </w:r>
          </w:p>
          <w:p w:rsidR="00041039" w:rsidRDefault="001B26CB">
            <w:pPr>
              <w:pStyle w:val="TableParagraph"/>
              <w:spacing w:line="237" w:lineRule="auto"/>
              <w:ind w:left="57"/>
              <w:rPr>
                <w:sz w:val="14"/>
              </w:rPr>
            </w:pPr>
            <w:r>
              <w:rPr>
                <w:color w:val="231F20"/>
                <w:sz w:val="14"/>
              </w:rPr>
              <w:t>Бацање кугле, рационалном техником (уче­ нице 4 кг, ученици 6 кг).</w:t>
            </w:r>
          </w:p>
          <w:p w:rsidR="00041039" w:rsidRDefault="001B26CB">
            <w:pPr>
              <w:pStyle w:val="TableParagraph"/>
              <w:ind w:left="57" w:right="84"/>
              <w:rPr>
                <w:sz w:val="14"/>
              </w:rPr>
            </w:pPr>
            <w:r>
              <w:rPr>
                <w:color w:val="231F20"/>
                <w:sz w:val="14"/>
              </w:rPr>
              <w:t>Спровести такмичења у одељењу на резултат, у свим реализованим атлетским дисциплинама.</w:t>
            </w:r>
          </w:p>
          <w:p w:rsidR="00041039" w:rsidRDefault="00041039">
            <w:pPr>
              <w:pStyle w:val="TableParagraph"/>
              <w:spacing w:before="4"/>
              <w:ind w:left="0"/>
              <w:rPr>
                <w:b/>
                <w:sz w:val="13"/>
              </w:rPr>
            </w:pPr>
          </w:p>
          <w:p w:rsidR="00041039" w:rsidRDefault="001B26CB">
            <w:pPr>
              <w:pStyle w:val="TableParagraph"/>
              <w:spacing w:before="1"/>
              <w:ind w:left="57"/>
              <w:rPr>
                <w:b/>
                <w:sz w:val="14"/>
              </w:rPr>
            </w:pPr>
            <w:r>
              <w:rPr>
                <w:b/>
                <w:color w:val="231F20"/>
                <w:sz w:val="14"/>
              </w:rPr>
              <w:t>СПОРТСКА ГИМНАСТИКА: ВЕЖБЕ НА СПРАВАМА И ТЛУ</w:t>
            </w:r>
          </w:p>
          <w:p w:rsidR="00041039" w:rsidRDefault="001B26CB">
            <w:pPr>
              <w:pStyle w:val="TableParagraph"/>
              <w:spacing w:line="159" w:lineRule="exact"/>
              <w:ind w:left="57"/>
              <w:rPr>
                <w:b/>
                <w:sz w:val="14"/>
              </w:rPr>
            </w:pPr>
            <w:r>
              <w:rPr>
                <w:b/>
                <w:color w:val="231F20"/>
                <w:sz w:val="14"/>
              </w:rPr>
              <w:t>Напомене:</w:t>
            </w:r>
          </w:p>
          <w:p w:rsidR="00041039" w:rsidRDefault="001B26CB">
            <w:pPr>
              <w:pStyle w:val="TableParagraph"/>
              <w:numPr>
                <w:ilvl w:val="0"/>
                <w:numId w:val="467"/>
              </w:numPr>
              <w:tabs>
                <w:tab w:val="left" w:pos="163"/>
              </w:tabs>
              <w:ind w:right="54"/>
              <w:rPr>
                <w:sz w:val="14"/>
              </w:rPr>
            </w:pPr>
            <w:r>
              <w:rPr>
                <w:color w:val="231F20"/>
                <w:sz w:val="14"/>
              </w:rPr>
              <w:t>Наставник олакшава, односно отежава</w:t>
            </w:r>
            <w:r>
              <w:rPr>
                <w:color w:val="231F20"/>
                <w:spacing w:val="-19"/>
                <w:sz w:val="14"/>
              </w:rPr>
              <w:t xml:space="preserve"> </w:t>
            </w:r>
            <w:r>
              <w:rPr>
                <w:color w:val="231F20"/>
                <w:sz w:val="14"/>
              </w:rPr>
              <w:t>про­ грам на основу моторичких способности и претходно стечених умења</w:t>
            </w:r>
            <w:r>
              <w:rPr>
                <w:color w:val="231F20"/>
                <w:spacing w:val="-5"/>
                <w:sz w:val="14"/>
              </w:rPr>
              <w:t xml:space="preserve"> </w:t>
            </w:r>
            <w:r>
              <w:rPr>
                <w:color w:val="231F20"/>
                <w:sz w:val="14"/>
              </w:rPr>
              <w:t>ученика.</w:t>
            </w:r>
          </w:p>
          <w:p w:rsidR="00041039" w:rsidRDefault="001B26CB">
            <w:pPr>
              <w:pStyle w:val="TableParagraph"/>
              <w:numPr>
                <w:ilvl w:val="0"/>
                <w:numId w:val="466"/>
              </w:numPr>
              <w:tabs>
                <w:tab w:val="left" w:pos="142"/>
              </w:tabs>
              <w:spacing w:line="158" w:lineRule="exact"/>
              <w:rPr>
                <w:b/>
                <w:sz w:val="14"/>
              </w:rPr>
            </w:pPr>
            <w:r>
              <w:rPr>
                <w:b/>
                <w:color w:val="231F20"/>
                <w:sz w:val="14"/>
              </w:rPr>
              <w:t>Вежбе на</w:t>
            </w:r>
            <w:r>
              <w:rPr>
                <w:b/>
                <w:color w:val="231F20"/>
                <w:spacing w:val="-1"/>
                <w:sz w:val="14"/>
              </w:rPr>
              <w:t xml:space="preserve"> </w:t>
            </w:r>
            <w:r>
              <w:rPr>
                <w:b/>
                <w:color w:val="231F20"/>
                <w:spacing w:val="-2"/>
                <w:sz w:val="14"/>
              </w:rPr>
              <w:t>тлу</w:t>
            </w:r>
          </w:p>
          <w:p w:rsidR="00041039" w:rsidRDefault="001B26CB">
            <w:pPr>
              <w:pStyle w:val="TableParagraph"/>
              <w:spacing w:line="160" w:lineRule="exact"/>
              <w:ind w:left="57"/>
              <w:rPr>
                <w:b/>
                <w:sz w:val="14"/>
              </w:rPr>
            </w:pPr>
            <w:r>
              <w:rPr>
                <w:b/>
                <w:color w:val="231F20"/>
                <w:sz w:val="14"/>
              </w:rPr>
              <w:t>За ученике и ученице:</w:t>
            </w:r>
          </w:p>
          <w:p w:rsidR="00041039" w:rsidRDefault="001B26CB">
            <w:pPr>
              <w:pStyle w:val="TableParagraph"/>
              <w:numPr>
                <w:ilvl w:val="0"/>
                <w:numId w:val="465"/>
              </w:numPr>
              <w:tabs>
                <w:tab w:val="left" w:pos="163"/>
              </w:tabs>
              <w:ind w:right="43"/>
              <w:rPr>
                <w:sz w:val="14"/>
              </w:rPr>
            </w:pPr>
            <w:r>
              <w:rPr>
                <w:color w:val="231F20"/>
                <w:sz w:val="14"/>
              </w:rPr>
              <w:t>из</w:t>
            </w:r>
            <w:r>
              <w:rPr>
                <w:color w:val="231F20"/>
                <w:spacing w:val="-6"/>
                <w:sz w:val="14"/>
              </w:rPr>
              <w:t xml:space="preserve"> </w:t>
            </w:r>
            <w:r>
              <w:rPr>
                <w:color w:val="231F20"/>
                <w:sz w:val="14"/>
              </w:rPr>
              <w:t>упора</w:t>
            </w:r>
            <w:r>
              <w:rPr>
                <w:color w:val="231F20"/>
                <w:spacing w:val="-6"/>
                <w:sz w:val="14"/>
              </w:rPr>
              <w:t xml:space="preserve"> </w:t>
            </w:r>
            <w:r>
              <w:rPr>
                <w:color w:val="231F20"/>
                <w:sz w:val="14"/>
              </w:rPr>
              <w:t>за</w:t>
            </w:r>
            <w:r>
              <w:rPr>
                <w:color w:val="231F20"/>
                <w:spacing w:val="-6"/>
                <w:sz w:val="14"/>
              </w:rPr>
              <w:t xml:space="preserve"> </w:t>
            </w:r>
            <w:r>
              <w:rPr>
                <w:color w:val="231F20"/>
                <w:sz w:val="14"/>
              </w:rPr>
              <w:t>рукама,</w:t>
            </w:r>
            <w:r>
              <w:rPr>
                <w:color w:val="231F20"/>
                <w:spacing w:val="-6"/>
                <w:sz w:val="14"/>
              </w:rPr>
              <w:t xml:space="preserve"> </w:t>
            </w:r>
            <w:r>
              <w:rPr>
                <w:color w:val="231F20"/>
                <w:sz w:val="14"/>
              </w:rPr>
              <w:t>згибом,</w:t>
            </w:r>
            <w:r>
              <w:rPr>
                <w:color w:val="231F20"/>
                <w:spacing w:val="-6"/>
                <w:sz w:val="14"/>
              </w:rPr>
              <w:t xml:space="preserve"> </w:t>
            </w:r>
            <w:r>
              <w:rPr>
                <w:color w:val="231F20"/>
                <w:sz w:val="14"/>
              </w:rPr>
              <w:t>премак</w:t>
            </w:r>
            <w:r>
              <w:rPr>
                <w:color w:val="231F20"/>
                <w:spacing w:val="-6"/>
                <w:sz w:val="14"/>
              </w:rPr>
              <w:t xml:space="preserve"> </w:t>
            </w:r>
            <w:r>
              <w:rPr>
                <w:color w:val="231F20"/>
                <w:sz w:val="14"/>
              </w:rPr>
              <w:t>одбочно до упора пред рукама</w:t>
            </w:r>
            <w:r>
              <w:rPr>
                <w:color w:val="231F20"/>
                <w:spacing w:val="-4"/>
                <w:sz w:val="14"/>
              </w:rPr>
              <w:t xml:space="preserve"> </w:t>
            </w:r>
            <w:r>
              <w:rPr>
                <w:color w:val="231F20"/>
                <w:sz w:val="14"/>
              </w:rPr>
              <w:t>(опружено),</w:t>
            </w:r>
          </w:p>
          <w:p w:rsidR="00041039" w:rsidRDefault="001B26CB">
            <w:pPr>
              <w:pStyle w:val="TableParagraph"/>
              <w:numPr>
                <w:ilvl w:val="0"/>
                <w:numId w:val="465"/>
              </w:numPr>
              <w:tabs>
                <w:tab w:val="left" w:pos="163"/>
              </w:tabs>
              <w:ind w:right="114"/>
              <w:rPr>
                <w:sz w:val="14"/>
              </w:rPr>
            </w:pPr>
            <w:r>
              <w:rPr>
                <w:color w:val="231F20"/>
                <w:sz w:val="14"/>
              </w:rPr>
              <w:t xml:space="preserve">комбинација вежби која садржи (вежбе се </w:t>
            </w:r>
            <w:r>
              <w:rPr>
                <w:color w:val="231F20"/>
                <w:spacing w:val="-3"/>
                <w:sz w:val="14"/>
              </w:rPr>
              <w:t xml:space="preserve">бирају, </w:t>
            </w:r>
            <w:r>
              <w:rPr>
                <w:color w:val="231F20"/>
                <w:sz w:val="14"/>
              </w:rPr>
              <w:t xml:space="preserve">одузимају или додају у складу са могућностима ученика): плесне кораке; скок са окретом за 180º: окрет на две или једној нози; премет странце; </w:t>
            </w:r>
            <w:r>
              <w:rPr>
                <w:color w:val="231F20"/>
                <w:spacing w:val="-3"/>
                <w:sz w:val="14"/>
              </w:rPr>
              <w:t xml:space="preserve">колут </w:t>
            </w:r>
            <w:r>
              <w:rPr>
                <w:color w:val="231F20"/>
                <w:sz w:val="14"/>
              </w:rPr>
              <w:t>напред суножним одразом и малим летом; вагу претклоном и зан</w:t>
            </w:r>
            <w:r>
              <w:rPr>
                <w:color w:val="231F20"/>
                <w:sz w:val="14"/>
              </w:rPr>
              <w:t xml:space="preserve">ожењем; став на шакама </w:t>
            </w:r>
            <w:r>
              <w:rPr>
                <w:color w:val="231F20"/>
                <w:spacing w:val="-3"/>
                <w:sz w:val="14"/>
              </w:rPr>
              <w:t xml:space="preserve">колут </w:t>
            </w:r>
            <w:r>
              <w:rPr>
                <w:color w:val="231F20"/>
                <w:sz w:val="14"/>
              </w:rPr>
              <w:t>напред и сп. скок са окретом</w:t>
            </w:r>
            <w:r>
              <w:rPr>
                <w:color w:val="231F20"/>
                <w:spacing w:val="-15"/>
                <w:sz w:val="14"/>
              </w:rPr>
              <w:t xml:space="preserve"> </w:t>
            </w:r>
            <w:r>
              <w:rPr>
                <w:color w:val="231F20"/>
                <w:sz w:val="14"/>
              </w:rPr>
              <w:t>(произ­ вољан број</w:t>
            </w:r>
            <w:r>
              <w:rPr>
                <w:color w:val="231F20"/>
                <w:spacing w:val="-1"/>
                <w:sz w:val="14"/>
              </w:rPr>
              <w:t xml:space="preserve"> </w:t>
            </w:r>
            <w:r>
              <w:rPr>
                <w:color w:val="231F20"/>
                <w:sz w:val="14"/>
              </w:rPr>
              <w:t>степени);</w:t>
            </w:r>
          </w:p>
          <w:p w:rsidR="00041039" w:rsidRDefault="001B26CB">
            <w:pPr>
              <w:pStyle w:val="TableParagraph"/>
              <w:numPr>
                <w:ilvl w:val="0"/>
                <w:numId w:val="465"/>
              </w:numPr>
              <w:tabs>
                <w:tab w:val="left" w:pos="163"/>
              </w:tabs>
              <w:spacing w:line="237" w:lineRule="auto"/>
              <w:ind w:right="72"/>
              <w:rPr>
                <w:sz w:val="14"/>
              </w:rPr>
            </w:pPr>
            <w:r>
              <w:rPr>
                <w:color w:val="231F20"/>
                <w:sz w:val="14"/>
              </w:rPr>
              <w:t xml:space="preserve">за </w:t>
            </w:r>
            <w:r>
              <w:rPr>
                <w:b/>
                <w:color w:val="231F20"/>
                <w:sz w:val="14"/>
              </w:rPr>
              <w:t xml:space="preserve">напредни ниво </w:t>
            </w:r>
            <w:r>
              <w:rPr>
                <w:color w:val="231F20"/>
                <w:spacing w:val="-3"/>
                <w:sz w:val="14"/>
              </w:rPr>
              <w:t xml:space="preserve">колут </w:t>
            </w:r>
            <w:r>
              <w:rPr>
                <w:color w:val="231F20"/>
                <w:sz w:val="14"/>
              </w:rPr>
              <w:t>летећи и</w:t>
            </w:r>
            <w:r>
              <w:rPr>
                <w:color w:val="231F20"/>
                <w:spacing w:val="-22"/>
                <w:sz w:val="14"/>
              </w:rPr>
              <w:t xml:space="preserve"> </w:t>
            </w:r>
            <w:r>
              <w:rPr>
                <w:color w:val="231F20"/>
                <w:sz w:val="14"/>
              </w:rPr>
              <w:t>прекопит напред, уз</w:t>
            </w:r>
            <w:r>
              <w:rPr>
                <w:color w:val="231F20"/>
                <w:spacing w:val="-1"/>
                <w:sz w:val="14"/>
              </w:rPr>
              <w:t xml:space="preserve"> </w:t>
            </w:r>
            <w:r>
              <w:rPr>
                <w:color w:val="231F20"/>
                <w:sz w:val="14"/>
              </w:rPr>
              <w:t>помоћ.</w:t>
            </w:r>
          </w:p>
          <w:p w:rsidR="00041039" w:rsidRDefault="001B26CB">
            <w:pPr>
              <w:pStyle w:val="TableParagraph"/>
              <w:numPr>
                <w:ilvl w:val="0"/>
                <w:numId w:val="464"/>
              </w:numPr>
              <w:tabs>
                <w:tab w:val="left" w:pos="142"/>
              </w:tabs>
              <w:spacing w:line="160" w:lineRule="exact"/>
              <w:rPr>
                <w:b/>
                <w:sz w:val="14"/>
              </w:rPr>
            </w:pPr>
            <w:r>
              <w:rPr>
                <w:b/>
                <w:color w:val="231F20"/>
                <w:sz w:val="14"/>
              </w:rPr>
              <w:t>Прескок</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коњ у ширину висине 120 цм;</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110 цм:</w:t>
            </w:r>
          </w:p>
          <w:p w:rsidR="00041039" w:rsidRDefault="001B26CB">
            <w:pPr>
              <w:pStyle w:val="TableParagraph"/>
              <w:numPr>
                <w:ilvl w:val="0"/>
                <w:numId w:val="463"/>
              </w:numPr>
              <w:tabs>
                <w:tab w:val="left" w:pos="163"/>
              </w:tabs>
              <w:spacing w:line="160" w:lineRule="exact"/>
              <w:rPr>
                <w:sz w:val="14"/>
              </w:rPr>
            </w:pPr>
            <w:r>
              <w:rPr>
                <w:color w:val="231F20"/>
                <w:sz w:val="14"/>
              </w:rPr>
              <w:t>згрчка;</w:t>
            </w:r>
          </w:p>
          <w:p w:rsidR="00041039" w:rsidRDefault="001B26CB">
            <w:pPr>
              <w:pStyle w:val="TableParagraph"/>
              <w:numPr>
                <w:ilvl w:val="0"/>
                <w:numId w:val="463"/>
              </w:numPr>
              <w:tabs>
                <w:tab w:val="left" w:pos="163"/>
              </w:tabs>
              <w:spacing w:line="160" w:lineRule="exact"/>
              <w:rPr>
                <w:sz w:val="14"/>
              </w:rPr>
            </w:pPr>
            <w:r>
              <w:rPr>
                <w:color w:val="231F20"/>
                <w:sz w:val="14"/>
              </w:rPr>
              <w:t>разношка;</w:t>
            </w:r>
          </w:p>
          <w:p w:rsidR="00041039" w:rsidRDefault="001B26CB">
            <w:pPr>
              <w:pStyle w:val="TableParagraph"/>
              <w:ind w:left="162" w:hanging="105"/>
              <w:rPr>
                <w:sz w:val="14"/>
              </w:rPr>
            </w:pPr>
            <w:r>
              <w:rPr>
                <w:b/>
                <w:color w:val="231F20"/>
                <w:sz w:val="14"/>
              </w:rPr>
              <w:t>– занапредни ниво</w:t>
            </w:r>
            <w:r>
              <w:rPr>
                <w:color w:val="231F20"/>
                <w:sz w:val="14"/>
              </w:rPr>
              <w:t>: склонка и прескоци са заножењем и „прекопит”.</w:t>
            </w:r>
          </w:p>
          <w:p w:rsidR="00041039" w:rsidRDefault="001B26CB">
            <w:pPr>
              <w:pStyle w:val="TableParagraph"/>
              <w:numPr>
                <w:ilvl w:val="0"/>
                <w:numId w:val="462"/>
              </w:numPr>
              <w:tabs>
                <w:tab w:val="left" w:pos="142"/>
              </w:tabs>
              <w:spacing w:line="159" w:lineRule="exact"/>
              <w:rPr>
                <w:b/>
                <w:sz w:val="14"/>
              </w:rPr>
            </w:pPr>
            <w:r>
              <w:rPr>
                <w:b/>
                <w:color w:val="231F20"/>
                <w:sz w:val="14"/>
              </w:rPr>
              <w:t>Кругови</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доскочни кругови /:</w:t>
            </w:r>
          </w:p>
          <w:p w:rsidR="00041039" w:rsidRDefault="001B26CB">
            <w:pPr>
              <w:pStyle w:val="TableParagraph"/>
              <w:ind w:left="162" w:hanging="105"/>
              <w:rPr>
                <w:sz w:val="14"/>
              </w:rPr>
            </w:pPr>
            <w:r>
              <w:rPr>
                <w:color w:val="231F20"/>
                <w:sz w:val="14"/>
              </w:rPr>
              <w:t>– вучењем вис узнето; вис стрмоглаво; вис узнето; спуст у вис стражњи ­ издржај; вучењем вис узнето; спусту вис предњи (полако); саскок.</w:t>
            </w:r>
          </w:p>
          <w:p w:rsidR="00041039" w:rsidRDefault="001B26CB">
            <w:pPr>
              <w:pStyle w:val="TableParagraph"/>
              <w:numPr>
                <w:ilvl w:val="0"/>
                <w:numId w:val="461"/>
              </w:numPr>
              <w:tabs>
                <w:tab w:val="left" w:pos="142"/>
              </w:tabs>
              <w:spacing w:line="157" w:lineRule="exact"/>
              <w:rPr>
                <w:b/>
                <w:sz w:val="14"/>
              </w:rPr>
            </w:pPr>
            <w:r>
              <w:rPr>
                <w:b/>
                <w:color w:val="231F20"/>
                <w:sz w:val="14"/>
              </w:rPr>
              <w:t>Разбој</w:t>
            </w:r>
          </w:p>
          <w:p w:rsidR="00041039" w:rsidRDefault="001B26CB">
            <w:pPr>
              <w:pStyle w:val="TableParagraph"/>
              <w:spacing w:line="160" w:lineRule="exact"/>
              <w:ind w:left="57"/>
              <w:rPr>
                <w:sz w:val="14"/>
              </w:rPr>
            </w:pPr>
            <w:r>
              <w:rPr>
                <w:b/>
                <w:color w:val="231F20"/>
                <w:sz w:val="14"/>
              </w:rPr>
              <w:t xml:space="preserve">За ученике </w:t>
            </w:r>
            <w:r>
              <w:rPr>
                <w:color w:val="231F20"/>
                <w:sz w:val="14"/>
              </w:rPr>
              <w:t>/ паралелни разбој /:</w:t>
            </w:r>
          </w:p>
          <w:p w:rsidR="00041039" w:rsidRDefault="001B26CB">
            <w:pPr>
              <w:pStyle w:val="TableParagraph"/>
              <w:numPr>
                <w:ilvl w:val="0"/>
                <w:numId w:val="460"/>
              </w:numPr>
              <w:tabs>
                <w:tab w:val="left" w:pos="163"/>
              </w:tabs>
              <w:ind w:right="42"/>
              <w:rPr>
                <w:sz w:val="14"/>
              </w:rPr>
            </w:pPr>
            <w:r>
              <w:rPr>
                <w:color w:val="231F20"/>
                <w:sz w:val="14"/>
              </w:rPr>
              <w:t>из замаха у упору предњихом спуст у склек, зањих у склеку и спојено упор (у зањиху);</w:t>
            </w:r>
            <w:r>
              <w:rPr>
                <w:color w:val="231F20"/>
                <w:spacing w:val="-6"/>
                <w:sz w:val="14"/>
              </w:rPr>
              <w:t xml:space="preserve"> </w:t>
            </w:r>
            <w:r>
              <w:rPr>
                <w:color w:val="231F20"/>
                <w:sz w:val="14"/>
              </w:rPr>
              <w:t>предњих</w:t>
            </w:r>
            <w:r>
              <w:rPr>
                <w:color w:val="231F20"/>
                <w:spacing w:val="-6"/>
                <w:sz w:val="14"/>
              </w:rPr>
              <w:t xml:space="preserve"> </w:t>
            </w:r>
            <w:r>
              <w:rPr>
                <w:color w:val="231F20"/>
                <w:sz w:val="14"/>
              </w:rPr>
              <w:t>и</w:t>
            </w:r>
            <w:r>
              <w:rPr>
                <w:color w:val="231F20"/>
                <w:spacing w:val="-6"/>
                <w:sz w:val="14"/>
              </w:rPr>
              <w:t xml:space="preserve"> </w:t>
            </w:r>
            <w:r>
              <w:rPr>
                <w:color w:val="231F20"/>
                <w:sz w:val="14"/>
              </w:rPr>
              <w:t>спојено</w:t>
            </w:r>
            <w:r>
              <w:rPr>
                <w:color w:val="231F20"/>
                <w:spacing w:val="-6"/>
                <w:sz w:val="14"/>
              </w:rPr>
              <w:t xml:space="preserve"> </w:t>
            </w:r>
            <w:r>
              <w:rPr>
                <w:color w:val="231F20"/>
                <w:sz w:val="14"/>
              </w:rPr>
              <w:t>склек,</w:t>
            </w:r>
            <w:r>
              <w:rPr>
                <w:color w:val="231F20"/>
                <w:spacing w:val="-6"/>
                <w:sz w:val="14"/>
              </w:rPr>
              <w:t xml:space="preserve"> </w:t>
            </w:r>
            <w:r>
              <w:rPr>
                <w:color w:val="231F20"/>
                <w:sz w:val="14"/>
              </w:rPr>
              <w:t>зањихом упор (поновити 2 до 3</w:t>
            </w:r>
            <w:r>
              <w:rPr>
                <w:color w:val="231F20"/>
                <w:spacing w:val="-2"/>
                <w:sz w:val="14"/>
              </w:rPr>
              <w:t xml:space="preserve"> </w:t>
            </w:r>
            <w:r>
              <w:rPr>
                <w:color w:val="231F20"/>
                <w:sz w:val="14"/>
              </w:rPr>
              <w:t>пута).</w:t>
            </w:r>
          </w:p>
          <w:p w:rsidR="00041039" w:rsidRDefault="001B26CB">
            <w:pPr>
              <w:pStyle w:val="TableParagraph"/>
              <w:spacing w:line="237" w:lineRule="auto"/>
              <w:ind w:left="57" w:right="396"/>
              <w:rPr>
                <w:sz w:val="14"/>
              </w:rPr>
            </w:pPr>
            <w:r>
              <w:rPr>
                <w:b/>
                <w:color w:val="231F20"/>
                <w:sz w:val="14"/>
              </w:rPr>
              <w:t xml:space="preserve">За ученице </w:t>
            </w:r>
            <w:r>
              <w:rPr>
                <w:color w:val="231F20"/>
                <w:sz w:val="14"/>
              </w:rPr>
              <w:t>/ двовисински разбој, једна притка, вратило /:</w:t>
            </w:r>
          </w:p>
          <w:p w:rsidR="00041039" w:rsidRDefault="001B26CB">
            <w:pPr>
              <w:pStyle w:val="TableParagraph"/>
              <w:numPr>
                <w:ilvl w:val="0"/>
                <w:numId w:val="460"/>
              </w:numPr>
              <w:tabs>
                <w:tab w:val="left" w:pos="163"/>
              </w:tabs>
              <w:ind w:right="66"/>
              <w:rPr>
                <w:sz w:val="14"/>
              </w:rPr>
            </w:pPr>
            <w:r>
              <w:rPr>
                <w:color w:val="231F20"/>
                <w:sz w:val="14"/>
              </w:rPr>
              <w:t xml:space="preserve">лицем према н / п, залетом и </w:t>
            </w:r>
            <w:r>
              <w:rPr>
                <w:color w:val="231F20"/>
                <w:sz w:val="14"/>
              </w:rPr>
              <w:t xml:space="preserve">суножним </w:t>
            </w:r>
            <w:r>
              <w:rPr>
                <w:color w:val="231F20"/>
                <w:spacing w:val="-3"/>
                <w:sz w:val="14"/>
              </w:rPr>
              <w:t xml:space="preserve">одскоком </w:t>
            </w:r>
            <w:r>
              <w:rPr>
                <w:color w:val="231F20"/>
                <w:sz w:val="14"/>
              </w:rPr>
              <w:t>наскок упор предњи; премах одножно десном (левом) у упора јашући; прехват</w:t>
            </w:r>
            <w:r>
              <w:rPr>
                <w:color w:val="231F20"/>
                <w:spacing w:val="-5"/>
                <w:sz w:val="14"/>
              </w:rPr>
              <w:t xml:space="preserve"> </w:t>
            </w:r>
            <w:r>
              <w:rPr>
                <w:color w:val="231F20"/>
                <w:sz w:val="14"/>
              </w:rPr>
              <w:t>на</w:t>
            </w:r>
            <w:r>
              <w:rPr>
                <w:color w:val="231F20"/>
                <w:spacing w:val="-6"/>
                <w:sz w:val="14"/>
              </w:rPr>
              <w:t xml:space="preserve"> </w:t>
            </w:r>
            <w:r>
              <w:rPr>
                <w:color w:val="231F20"/>
                <w:sz w:val="14"/>
              </w:rPr>
              <w:t>в</w:t>
            </w:r>
            <w:r>
              <w:rPr>
                <w:color w:val="231F20"/>
                <w:spacing w:val="-6"/>
                <w:sz w:val="14"/>
              </w:rPr>
              <w:t xml:space="preserve"> </w:t>
            </w:r>
            <w:r>
              <w:rPr>
                <w:color w:val="231F20"/>
                <w:sz w:val="14"/>
              </w:rPr>
              <w:t>/</w:t>
            </w:r>
            <w:r>
              <w:rPr>
                <w:color w:val="231F20"/>
                <w:spacing w:val="-5"/>
                <w:sz w:val="14"/>
              </w:rPr>
              <w:t xml:space="preserve"> </w:t>
            </w:r>
            <w:r>
              <w:rPr>
                <w:color w:val="231F20"/>
                <w:sz w:val="14"/>
              </w:rPr>
              <w:t>п;</w:t>
            </w:r>
            <w:r>
              <w:rPr>
                <w:color w:val="231F20"/>
                <w:spacing w:val="-6"/>
                <w:sz w:val="14"/>
              </w:rPr>
              <w:t xml:space="preserve"> </w:t>
            </w:r>
            <w:r>
              <w:rPr>
                <w:color w:val="231F20"/>
                <w:sz w:val="14"/>
              </w:rPr>
              <w:t>премах</w:t>
            </w:r>
            <w:r>
              <w:rPr>
                <w:color w:val="231F20"/>
                <w:spacing w:val="-5"/>
                <w:sz w:val="14"/>
              </w:rPr>
              <w:t xml:space="preserve"> </w:t>
            </w:r>
            <w:r>
              <w:rPr>
                <w:color w:val="231F20"/>
                <w:sz w:val="14"/>
              </w:rPr>
              <w:t>одножно</w:t>
            </w:r>
            <w:r>
              <w:rPr>
                <w:color w:val="231F20"/>
                <w:spacing w:val="-5"/>
                <w:sz w:val="14"/>
              </w:rPr>
              <w:t xml:space="preserve"> </w:t>
            </w:r>
            <w:r>
              <w:rPr>
                <w:color w:val="231F20"/>
                <w:sz w:val="14"/>
              </w:rPr>
              <w:t xml:space="preserve">заножном до виса </w:t>
            </w:r>
            <w:r>
              <w:rPr>
                <w:color w:val="231F20"/>
                <w:spacing w:val="-3"/>
                <w:sz w:val="14"/>
              </w:rPr>
              <w:t xml:space="preserve">седећег, </w:t>
            </w:r>
            <w:r>
              <w:rPr>
                <w:color w:val="231F20"/>
                <w:sz w:val="14"/>
              </w:rPr>
              <w:t xml:space="preserve">подметним опружањем или одривом </w:t>
            </w:r>
            <w:r>
              <w:rPr>
                <w:color w:val="231F20"/>
                <w:spacing w:val="-3"/>
                <w:sz w:val="14"/>
              </w:rPr>
              <w:t xml:space="preserve">од </w:t>
            </w:r>
            <w:r>
              <w:rPr>
                <w:color w:val="231F20"/>
                <w:sz w:val="14"/>
              </w:rPr>
              <w:t xml:space="preserve">н / п предњих и спојено саскок у предњиху (уз помоћ) до става на </w:t>
            </w:r>
            <w:r>
              <w:rPr>
                <w:color w:val="231F20"/>
                <w:spacing w:val="-5"/>
                <w:sz w:val="14"/>
              </w:rPr>
              <w:t xml:space="preserve">тлу, </w:t>
            </w:r>
            <w:r>
              <w:rPr>
                <w:color w:val="231F20"/>
                <w:sz w:val="14"/>
              </w:rPr>
              <w:t>леђима према в /</w:t>
            </w:r>
            <w:r>
              <w:rPr>
                <w:color w:val="231F20"/>
                <w:spacing w:val="1"/>
                <w:sz w:val="14"/>
              </w:rPr>
              <w:t xml:space="preserve"> </w:t>
            </w:r>
            <w:r>
              <w:rPr>
                <w:color w:val="231F20"/>
                <w:sz w:val="14"/>
              </w:rPr>
              <w:t>п;</w:t>
            </w:r>
          </w:p>
          <w:p w:rsidR="00041039" w:rsidRDefault="001B26CB">
            <w:pPr>
              <w:pStyle w:val="TableParagraph"/>
              <w:numPr>
                <w:ilvl w:val="0"/>
                <w:numId w:val="460"/>
              </w:numPr>
              <w:tabs>
                <w:tab w:val="left" w:pos="163"/>
              </w:tabs>
              <w:spacing w:line="237" w:lineRule="auto"/>
              <w:ind w:right="145"/>
              <w:rPr>
                <w:sz w:val="14"/>
              </w:rPr>
            </w:pPr>
            <w:r>
              <w:rPr>
                <w:color w:val="231F20"/>
                <w:sz w:val="14"/>
              </w:rPr>
              <w:t xml:space="preserve">једна притка: залетом и суножним </w:t>
            </w:r>
            <w:r>
              <w:rPr>
                <w:color w:val="231F20"/>
                <w:spacing w:val="-3"/>
                <w:sz w:val="14"/>
              </w:rPr>
              <w:t xml:space="preserve">одско­ </w:t>
            </w:r>
            <w:r>
              <w:rPr>
                <w:color w:val="231F20"/>
                <w:spacing w:val="-4"/>
                <w:sz w:val="14"/>
              </w:rPr>
              <w:t xml:space="preserve">ком </w:t>
            </w:r>
            <w:r>
              <w:rPr>
                <w:color w:val="231F20"/>
                <w:sz w:val="14"/>
              </w:rPr>
              <w:t>наскок упор предњи: премах</w:t>
            </w:r>
            <w:r>
              <w:rPr>
                <w:color w:val="231F20"/>
                <w:spacing w:val="-21"/>
                <w:sz w:val="14"/>
              </w:rPr>
              <w:t xml:space="preserve"> </w:t>
            </w:r>
            <w:r>
              <w:rPr>
                <w:color w:val="231F20"/>
                <w:sz w:val="14"/>
              </w:rPr>
              <w:t>одножно десном (левом) до упора јашућег, премах одножно заножном до упора стражњег; сасед са окретом за</w:t>
            </w:r>
            <w:r>
              <w:rPr>
                <w:color w:val="231F20"/>
                <w:spacing w:val="-2"/>
                <w:sz w:val="14"/>
              </w:rPr>
              <w:t xml:space="preserve"> </w:t>
            </w:r>
            <w:r>
              <w:rPr>
                <w:color w:val="231F20"/>
                <w:sz w:val="14"/>
              </w:rPr>
              <w:t>90°.</w:t>
            </w:r>
          </w:p>
        </w:tc>
        <w:tc>
          <w:tcPr>
            <w:tcW w:w="2267" w:type="dxa"/>
          </w:tcPr>
          <w:p w:rsidR="00041039" w:rsidRDefault="001B26CB">
            <w:pPr>
              <w:pStyle w:val="TableParagraph"/>
              <w:spacing w:before="19"/>
              <w:ind w:left="57" w:right="42"/>
              <w:rPr>
                <w:sz w:val="14"/>
              </w:rPr>
            </w:pPr>
            <w:r>
              <w:rPr>
                <w:b/>
                <w:color w:val="231F20"/>
                <w:sz w:val="14"/>
              </w:rPr>
              <w:t xml:space="preserve">Начин остваривања програма </w:t>
            </w:r>
            <w:r>
              <w:rPr>
                <w:color w:val="231F20"/>
                <w:sz w:val="14"/>
              </w:rPr>
              <w:t>Садржаји програма усмерени су</w:t>
            </w:r>
            <w:r>
              <w:rPr>
                <w:color w:val="231F20"/>
                <w:sz w:val="14"/>
              </w:rPr>
              <w:t xml:space="preserve"> на: развијање физичких способности; спортско ­ техничко образовање; повезивање физичког васпитања са животом и радом.</w:t>
            </w:r>
          </w:p>
          <w:p w:rsidR="00041039" w:rsidRDefault="001B26CB">
            <w:pPr>
              <w:pStyle w:val="TableParagraph"/>
              <w:spacing w:line="237" w:lineRule="auto"/>
              <w:ind w:left="57"/>
              <w:rPr>
                <w:sz w:val="14"/>
              </w:rPr>
            </w:pPr>
            <w:r>
              <w:rPr>
                <w:color w:val="231F20"/>
                <w:sz w:val="14"/>
              </w:rPr>
              <w:t>Годишњи план, програм и распоред кросева, такмичења, зимовања</w:t>
            </w:r>
          </w:p>
          <w:p w:rsidR="00041039" w:rsidRDefault="001B26CB">
            <w:pPr>
              <w:pStyle w:val="TableParagraph"/>
              <w:ind w:left="57" w:right="252"/>
              <w:rPr>
                <w:sz w:val="14"/>
              </w:rPr>
            </w:pPr>
            <w:r>
              <w:rPr>
                <w:color w:val="231F20"/>
                <w:sz w:val="14"/>
              </w:rPr>
              <w:t xml:space="preserve">и других облика рада утврђује се на почетку </w:t>
            </w:r>
            <w:r>
              <w:rPr>
                <w:color w:val="231F20"/>
                <w:spacing w:val="-3"/>
                <w:sz w:val="14"/>
              </w:rPr>
              <w:t xml:space="preserve">школске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7" w:lineRule="auto"/>
              <w:ind w:left="57"/>
              <w:rPr>
                <w:sz w:val="14"/>
              </w:rPr>
            </w:pPr>
            <w:r>
              <w:rPr>
                <w:color w:val="231F20"/>
                <w:sz w:val="14"/>
              </w:rPr>
              <w:t>стручног већа наставника физичког васпитања.</w:t>
            </w:r>
          </w:p>
          <w:p w:rsidR="00041039" w:rsidRDefault="001B26CB">
            <w:pPr>
              <w:pStyle w:val="TableParagraph"/>
              <w:ind w:left="57"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7" w:lineRule="auto"/>
              <w:ind w:left="57" w:right="40"/>
              <w:rPr>
                <w:sz w:val="14"/>
              </w:rPr>
            </w:pPr>
            <w:r>
              <w:rPr>
                <w:color w:val="231F20"/>
                <w:sz w:val="14"/>
              </w:rPr>
              <w:t xml:space="preserve">Часови у току недеље треба да буду распоређени у једнаким интерва­ лима, </w:t>
            </w:r>
            <w:r>
              <w:rPr>
                <w:b/>
                <w:color w:val="231F20"/>
                <w:sz w:val="14"/>
              </w:rPr>
              <w:t>н</w:t>
            </w:r>
            <w:r>
              <w:rPr>
                <w:b/>
                <w:color w:val="231F20"/>
                <w:sz w:val="14"/>
              </w:rPr>
              <w:t xml:space="preserve">е могу се одржавати као блок часови. </w:t>
            </w:r>
            <w:r>
              <w:rPr>
                <w:color w:val="231F20"/>
                <w:sz w:val="14"/>
              </w:rPr>
              <w:t xml:space="preserve">Настава се не може 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p w:rsidR="00041039" w:rsidRDefault="001B26CB">
            <w:pPr>
              <w:pStyle w:val="TableParagraph"/>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ind w:left="57" w:right="157"/>
              <w:rPr>
                <w:sz w:val="14"/>
              </w:rPr>
            </w:pPr>
            <w:r>
              <w:rPr>
                <w:color w:val="231F20"/>
                <w:sz w:val="14"/>
              </w:rPr>
              <w:t>за ученике и одвојено за ученице, а само у школама</w:t>
            </w:r>
            <w:r>
              <w:rPr>
                <w:color w:val="231F20"/>
                <w:sz w:val="14"/>
              </w:rPr>
              <w:t xml:space="preserve">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spacing w:before="1"/>
              <w:ind w:left="0"/>
              <w:rPr>
                <w:b/>
                <w:sz w:val="13"/>
              </w:rPr>
            </w:pPr>
          </w:p>
          <w:p w:rsidR="00041039" w:rsidRDefault="001B26CB">
            <w:pPr>
              <w:pStyle w:val="TableParagraph"/>
              <w:spacing w:before="1"/>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w:t>
            </w:r>
            <w:r>
              <w:rPr>
                <w:color w:val="231F20"/>
                <w:sz w:val="14"/>
              </w:rPr>
              <w:t xml:space="preserve"> играма.</w:t>
            </w:r>
          </w:p>
          <w:p w:rsidR="00041039" w:rsidRDefault="00041039">
            <w:pPr>
              <w:pStyle w:val="TableParagraph"/>
              <w:spacing w:before="11"/>
              <w:ind w:left="0"/>
              <w:rPr>
                <w:b/>
                <w:sz w:val="12"/>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459"/>
              </w:numPr>
              <w:tabs>
                <w:tab w:val="left" w:pos="158"/>
              </w:tabs>
              <w:spacing w:line="237" w:lineRule="auto"/>
              <w:ind w:right="246"/>
              <w:rPr>
                <w:b/>
                <w:sz w:val="14"/>
              </w:rPr>
            </w:pPr>
            <w:r>
              <w:rPr>
                <w:color w:val="231F20"/>
                <w:sz w:val="14"/>
              </w:rPr>
              <w:t>Тестирање и провера савлада­ ности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459"/>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459"/>
              </w:numPr>
              <w:tabs>
                <w:tab w:val="left" w:pos="158"/>
              </w:tabs>
              <w:spacing w:line="155" w:lineRule="exact"/>
              <w:rPr>
                <w:b/>
                <w:sz w:val="14"/>
              </w:rPr>
            </w:pPr>
            <w:r>
              <w:rPr>
                <w:color w:val="231F20"/>
                <w:spacing w:val="-3"/>
                <w:sz w:val="14"/>
              </w:rPr>
              <w:t xml:space="preserve">Атлетика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459"/>
              </w:numPr>
              <w:tabs>
                <w:tab w:val="left" w:pos="158"/>
              </w:tabs>
              <w:spacing w:line="237" w:lineRule="auto"/>
              <w:ind w:right="104"/>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(12</w:t>
            </w:r>
            <w:r>
              <w:rPr>
                <w:b/>
                <w:color w:val="231F20"/>
                <w:spacing w:val="-2"/>
                <w:sz w:val="14"/>
              </w:rPr>
              <w:t xml:space="preserve"> </w:t>
            </w:r>
            <w:r>
              <w:rPr>
                <w:b/>
                <w:color w:val="231F20"/>
                <w:sz w:val="14"/>
              </w:rPr>
              <w:t>часова)</w:t>
            </w:r>
          </w:p>
          <w:p w:rsidR="00041039" w:rsidRDefault="001B26CB">
            <w:pPr>
              <w:pStyle w:val="TableParagraph"/>
              <w:numPr>
                <w:ilvl w:val="0"/>
                <w:numId w:val="459"/>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459"/>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459"/>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459"/>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 вођење редовне наставе школа у току школске године организује: Два целодневна излета са пеша­ чењем:</w:t>
            </w:r>
          </w:p>
          <w:p w:rsidR="00041039" w:rsidRDefault="001B26CB">
            <w:pPr>
              <w:pStyle w:val="TableParagraph"/>
              <w:numPr>
                <w:ilvl w:val="0"/>
                <w:numId w:val="458"/>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458"/>
              </w:numPr>
              <w:tabs>
                <w:tab w:val="left" w:pos="163"/>
              </w:tabs>
              <w:ind w:right="180"/>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458"/>
              </w:numPr>
              <w:tabs>
                <w:tab w:val="left" w:pos="163"/>
              </w:tabs>
              <w:ind w:right="134"/>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015"/>
        </w:trPr>
        <w:tc>
          <w:tcPr>
            <w:tcW w:w="1304" w:type="dxa"/>
            <w:tcBorders>
              <w:bottom w:val="nil"/>
            </w:tcBorders>
          </w:tcPr>
          <w:p w:rsidR="00041039" w:rsidRDefault="00041039">
            <w:pPr>
              <w:pStyle w:val="TableParagraph"/>
              <w:ind w:left="0"/>
              <w:rPr>
                <w:sz w:val="14"/>
              </w:rPr>
            </w:pPr>
          </w:p>
        </w:tc>
        <w:tc>
          <w:tcPr>
            <w:tcW w:w="1587" w:type="dxa"/>
            <w:vMerge w:val="restart"/>
          </w:tcPr>
          <w:p w:rsidR="00041039" w:rsidRDefault="00041039">
            <w:pPr>
              <w:pStyle w:val="TableParagraph"/>
              <w:ind w:left="0"/>
              <w:rPr>
                <w:sz w:val="14"/>
              </w:rPr>
            </w:pPr>
          </w:p>
        </w:tc>
        <w:tc>
          <w:tcPr>
            <w:tcW w:w="2551"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numPr>
                <w:ilvl w:val="0"/>
                <w:numId w:val="457"/>
              </w:numPr>
              <w:tabs>
                <w:tab w:val="left" w:pos="142"/>
              </w:tabs>
              <w:spacing w:before="16" w:line="161" w:lineRule="exact"/>
              <w:rPr>
                <w:b/>
                <w:sz w:val="14"/>
              </w:rPr>
            </w:pPr>
            <w:r>
              <w:rPr>
                <w:b/>
                <w:color w:val="231F20"/>
                <w:sz w:val="14"/>
              </w:rPr>
              <w:t>Вратило</w:t>
            </w:r>
          </w:p>
          <w:p w:rsidR="00041039" w:rsidRDefault="001B26CB">
            <w:pPr>
              <w:pStyle w:val="TableParagraph"/>
              <w:ind w:left="57" w:right="16"/>
              <w:rPr>
                <w:sz w:val="14"/>
              </w:rPr>
            </w:pPr>
            <w:r>
              <w:rPr>
                <w:b/>
                <w:color w:val="231F20"/>
                <w:sz w:val="14"/>
              </w:rPr>
              <w:t xml:space="preserve">За ученике </w:t>
            </w:r>
            <w:r>
              <w:rPr>
                <w:color w:val="231F20"/>
                <w:sz w:val="14"/>
              </w:rPr>
              <w:t>/ доскочно и дохватно или дочел­ но вратило /:</w:t>
            </w:r>
          </w:p>
          <w:p w:rsidR="00041039" w:rsidRDefault="001B26CB">
            <w:pPr>
              <w:pStyle w:val="TableParagraph"/>
              <w:numPr>
                <w:ilvl w:val="0"/>
                <w:numId w:val="456"/>
              </w:numPr>
              <w:tabs>
                <w:tab w:val="left" w:pos="163"/>
              </w:tabs>
              <w:ind w:right="61"/>
              <w:rPr>
                <w:sz w:val="14"/>
              </w:rPr>
            </w:pPr>
            <w:r>
              <w:rPr>
                <w:color w:val="231F20"/>
                <w:sz w:val="14"/>
              </w:rPr>
              <w:t>/ доскочно /: подметно успостављање њиха; њихање са повећавањем амплитуде</w:t>
            </w:r>
            <w:r>
              <w:rPr>
                <w:color w:val="231F20"/>
                <w:spacing w:val="-22"/>
                <w:sz w:val="14"/>
              </w:rPr>
              <w:t xml:space="preserve"> </w:t>
            </w:r>
            <w:r>
              <w:rPr>
                <w:color w:val="231F20"/>
                <w:sz w:val="14"/>
              </w:rPr>
              <w:t>и саскок у предњиху или зањиху уз</w:t>
            </w:r>
            <w:r>
              <w:rPr>
                <w:color w:val="231F20"/>
                <w:spacing w:val="-19"/>
                <w:sz w:val="14"/>
              </w:rPr>
              <w:t xml:space="preserve"> </w:t>
            </w:r>
            <w:r>
              <w:rPr>
                <w:color w:val="231F20"/>
                <w:sz w:val="14"/>
              </w:rPr>
              <w:t>помоћ;</w:t>
            </w:r>
          </w:p>
          <w:p w:rsidR="00041039" w:rsidRDefault="001B26CB">
            <w:pPr>
              <w:pStyle w:val="TableParagraph"/>
              <w:numPr>
                <w:ilvl w:val="0"/>
                <w:numId w:val="456"/>
              </w:numPr>
              <w:tabs>
                <w:tab w:val="left" w:pos="163"/>
              </w:tabs>
              <w:spacing w:line="237" w:lineRule="auto"/>
              <w:ind w:right="236"/>
              <w:rPr>
                <w:sz w:val="14"/>
              </w:rPr>
            </w:pPr>
            <w:r>
              <w:rPr>
                <w:color w:val="231F20"/>
                <w:sz w:val="14"/>
              </w:rPr>
              <w:t>/</w:t>
            </w:r>
            <w:r>
              <w:rPr>
                <w:color w:val="231F20"/>
                <w:spacing w:val="-6"/>
                <w:sz w:val="14"/>
              </w:rPr>
              <w:t xml:space="preserve"> </w:t>
            </w:r>
            <w:r>
              <w:rPr>
                <w:color w:val="231F20"/>
                <w:sz w:val="14"/>
              </w:rPr>
              <w:t>дохватно</w:t>
            </w:r>
            <w:r>
              <w:rPr>
                <w:color w:val="231F20"/>
                <w:spacing w:val="-6"/>
                <w:sz w:val="14"/>
              </w:rPr>
              <w:t xml:space="preserve"> </w:t>
            </w:r>
            <w:r>
              <w:rPr>
                <w:color w:val="231F20"/>
                <w:sz w:val="14"/>
              </w:rPr>
              <w:t>или</w:t>
            </w:r>
            <w:r>
              <w:rPr>
                <w:color w:val="231F20"/>
                <w:spacing w:val="-7"/>
                <w:sz w:val="14"/>
              </w:rPr>
              <w:t xml:space="preserve"> </w:t>
            </w:r>
            <w:r>
              <w:rPr>
                <w:color w:val="231F20"/>
                <w:sz w:val="14"/>
              </w:rPr>
              <w:t>дочелно</w:t>
            </w:r>
            <w:r>
              <w:rPr>
                <w:color w:val="231F20"/>
                <w:spacing w:val="-6"/>
                <w:sz w:val="14"/>
              </w:rPr>
              <w:t xml:space="preserve"> </w:t>
            </w:r>
            <w:r>
              <w:rPr>
                <w:color w:val="231F20"/>
                <w:sz w:val="14"/>
              </w:rPr>
              <w:t>/:</w:t>
            </w:r>
            <w:r>
              <w:rPr>
                <w:color w:val="231F20"/>
                <w:spacing w:val="-6"/>
                <w:sz w:val="14"/>
              </w:rPr>
              <w:t xml:space="preserve"> </w:t>
            </w:r>
            <w:r>
              <w:rPr>
                <w:color w:val="231F20"/>
                <w:sz w:val="14"/>
              </w:rPr>
              <w:t>ковртљај</w:t>
            </w:r>
            <w:r>
              <w:rPr>
                <w:color w:val="231F20"/>
                <w:spacing w:val="-6"/>
                <w:sz w:val="14"/>
              </w:rPr>
              <w:t xml:space="preserve"> </w:t>
            </w:r>
            <w:r>
              <w:rPr>
                <w:color w:val="231F20"/>
                <w:sz w:val="14"/>
              </w:rPr>
              <w:t xml:space="preserve">назад у </w:t>
            </w:r>
            <w:r>
              <w:rPr>
                <w:color w:val="231F20"/>
                <w:spacing w:val="-3"/>
                <w:sz w:val="14"/>
              </w:rPr>
              <w:t>упору.</w:t>
            </w:r>
          </w:p>
          <w:p w:rsidR="00041039" w:rsidRDefault="001B26CB">
            <w:pPr>
              <w:pStyle w:val="TableParagraph"/>
              <w:numPr>
                <w:ilvl w:val="0"/>
                <w:numId w:val="455"/>
              </w:numPr>
              <w:tabs>
                <w:tab w:val="left" w:pos="142"/>
              </w:tabs>
              <w:spacing w:line="160" w:lineRule="exact"/>
              <w:rPr>
                <w:b/>
                <w:sz w:val="14"/>
              </w:rPr>
            </w:pPr>
            <w:r>
              <w:rPr>
                <w:b/>
                <w:color w:val="231F20"/>
                <w:spacing w:val="-3"/>
                <w:sz w:val="14"/>
              </w:rPr>
              <w:t>Греда</w:t>
            </w:r>
          </w:p>
          <w:p w:rsidR="00041039" w:rsidRDefault="001B26CB">
            <w:pPr>
              <w:pStyle w:val="TableParagraph"/>
              <w:spacing w:line="160" w:lineRule="exact"/>
              <w:ind w:left="57"/>
              <w:rPr>
                <w:sz w:val="14"/>
              </w:rPr>
            </w:pPr>
            <w:r>
              <w:rPr>
                <w:b/>
                <w:color w:val="231F20"/>
                <w:sz w:val="14"/>
              </w:rPr>
              <w:t xml:space="preserve">За ученице </w:t>
            </w:r>
            <w:r>
              <w:rPr>
                <w:color w:val="231F20"/>
                <w:sz w:val="14"/>
              </w:rPr>
              <w:t>/ висока греда/:</w:t>
            </w:r>
          </w:p>
          <w:p w:rsidR="00041039" w:rsidRDefault="001B26CB">
            <w:pPr>
              <w:pStyle w:val="TableParagraph"/>
              <w:ind w:left="162" w:right="141" w:hanging="105"/>
              <w:rPr>
                <w:sz w:val="14"/>
              </w:rPr>
            </w:pPr>
            <w:r>
              <w:rPr>
                <w:color w:val="231F20"/>
                <w:sz w:val="14"/>
              </w:rPr>
              <w:t>– залетом н суножним одскоком наскок у упор чучећи одножн</w:t>
            </w:r>
            <w:r>
              <w:rPr>
                <w:color w:val="231F20"/>
                <w:sz w:val="14"/>
              </w:rPr>
              <w:t>о; окрет за 90º до упора чучећег; усправ, одручити; кораци у успону до корацима; вага претклоном и заножењем, усклон; суножним одскоком скок са померањем; окрет за 90º у успону;</w:t>
            </w:r>
          </w:p>
          <w:p w:rsidR="00041039" w:rsidRDefault="001B26CB">
            <w:pPr>
              <w:pStyle w:val="TableParagraph"/>
              <w:spacing w:line="237" w:lineRule="auto"/>
              <w:ind w:left="162" w:right="7"/>
              <w:rPr>
                <w:sz w:val="14"/>
              </w:rPr>
            </w:pPr>
            <w:r>
              <w:rPr>
                <w:color w:val="231F20"/>
                <w:sz w:val="14"/>
              </w:rPr>
              <w:t xml:space="preserve">саскок пруженим телом или, за </w:t>
            </w:r>
            <w:r>
              <w:rPr>
                <w:b/>
                <w:color w:val="231F20"/>
                <w:sz w:val="14"/>
              </w:rPr>
              <w:t xml:space="preserve">напреднији ниво </w:t>
            </w:r>
            <w:r>
              <w:rPr>
                <w:color w:val="231F20"/>
                <w:sz w:val="14"/>
              </w:rPr>
              <w:t>­ са предножним разножењем.</w:t>
            </w:r>
          </w:p>
          <w:p w:rsidR="00041039" w:rsidRDefault="001B26CB">
            <w:pPr>
              <w:pStyle w:val="TableParagraph"/>
              <w:numPr>
                <w:ilvl w:val="0"/>
                <w:numId w:val="454"/>
              </w:numPr>
              <w:tabs>
                <w:tab w:val="left" w:pos="142"/>
              </w:tabs>
              <w:ind w:right="1426" w:firstLine="0"/>
              <w:rPr>
                <w:b/>
                <w:sz w:val="14"/>
              </w:rPr>
            </w:pPr>
            <w:r>
              <w:rPr>
                <w:b/>
                <w:color w:val="231F20"/>
                <w:spacing w:val="-3"/>
                <w:sz w:val="14"/>
              </w:rPr>
              <w:t xml:space="preserve">Коњ </w:t>
            </w:r>
            <w:r>
              <w:rPr>
                <w:b/>
                <w:color w:val="231F20"/>
                <w:sz w:val="14"/>
              </w:rPr>
              <w:t>са хватаљкама За</w:t>
            </w:r>
            <w:r>
              <w:rPr>
                <w:b/>
                <w:color w:val="231F20"/>
                <w:spacing w:val="-1"/>
                <w:sz w:val="14"/>
              </w:rPr>
              <w:t xml:space="preserve"> </w:t>
            </w:r>
            <w:r>
              <w:rPr>
                <w:b/>
                <w:color w:val="231F20"/>
                <w:sz w:val="14"/>
              </w:rPr>
              <w:t>ученике:</w:t>
            </w:r>
          </w:p>
          <w:p w:rsidR="00041039" w:rsidRDefault="001B26CB">
            <w:pPr>
              <w:pStyle w:val="TableParagraph"/>
              <w:numPr>
                <w:ilvl w:val="0"/>
                <w:numId w:val="453"/>
              </w:numPr>
              <w:tabs>
                <w:tab w:val="left" w:pos="163"/>
              </w:tabs>
              <w:ind w:right="191"/>
              <w:rPr>
                <w:sz w:val="14"/>
              </w:rPr>
            </w:pPr>
            <w:r>
              <w:rPr>
                <w:color w:val="231F20"/>
                <w:sz w:val="14"/>
              </w:rPr>
              <w:t xml:space="preserve">из упора предњег </w:t>
            </w:r>
            <w:r>
              <w:rPr>
                <w:color w:val="231F20"/>
                <w:spacing w:val="-3"/>
                <w:sz w:val="14"/>
              </w:rPr>
              <w:t xml:space="preserve">коло </w:t>
            </w:r>
            <w:r>
              <w:rPr>
                <w:color w:val="231F20"/>
                <w:sz w:val="14"/>
              </w:rPr>
              <w:t xml:space="preserve">предожно десном, </w:t>
            </w:r>
            <w:r>
              <w:rPr>
                <w:color w:val="231F20"/>
                <w:spacing w:val="-3"/>
                <w:sz w:val="14"/>
              </w:rPr>
              <w:t xml:space="preserve">коло </w:t>
            </w:r>
            <w:r>
              <w:rPr>
                <w:color w:val="231F20"/>
                <w:sz w:val="14"/>
              </w:rPr>
              <w:t>предножно</w:t>
            </w:r>
            <w:r>
              <w:rPr>
                <w:color w:val="231F20"/>
                <w:sz w:val="14"/>
              </w:rPr>
              <w:t xml:space="preserve"> </w:t>
            </w:r>
            <w:r>
              <w:rPr>
                <w:color w:val="231F20"/>
                <w:sz w:val="14"/>
              </w:rPr>
              <w:t>левом;</w:t>
            </w:r>
          </w:p>
          <w:p w:rsidR="00041039" w:rsidRDefault="001B26CB">
            <w:pPr>
              <w:pStyle w:val="TableParagraph"/>
              <w:numPr>
                <w:ilvl w:val="0"/>
                <w:numId w:val="453"/>
              </w:numPr>
              <w:tabs>
                <w:tab w:val="left" w:pos="163"/>
              </w:tabs>
              <w:ind w:right="178"/>
              <w:rPr>
                <w:sz w:val="14"/>
              </w:rPr>
            </w:pPr>
            <w:r>
              <w:rPr>
                <w:color w:val="231F20"/>
                <w:sz w:val="14"/>
              </w:rPr>
              <w:t xml:space="preserve">из упора стражњег </w:t>
            </w:r>
            <w:r>
              <w:rPr>
                <w:color w:val="231F20"/>
                <w:spacing w:val="-3"/>
                <w:sz w:val="14"/>
              </w:rPr>
              <w:t xml:space="preserve">коло </w:t>
            </w:r>
            <w:r>
              <w:rPr>
                <w:color w:val="231F20"/>
                <w:sz w:val="14"/>
              </w:rPr>
              <w:t xml:space="preserve">одножно десном, </w:t>
            </w:r>
            <w:r>
              <w:rPr>
                <w:color w:val="231F20"/>
                <w:spacing w:val="-3"/>
                <w:sz w:val="14"/>
              </w:rPr>
              <w:t xml:space="preserve">коло </w:t>
            </w:r>
            <w:r>
              <w:rPr>
                <w:color w:val="231F20"/>
                <w:sz w:val="14"/>
              </w:rPr>
              <w:t>одножно</w:t>
            </w:r>
            <w:r>
              <w:rPr>
                <w:color w:val="231F20"/>
                <w:sz w:val="14"/>
              </w:rPr>
              <w:t xml:space="preserve"> </w:t>
            </w:r>
            <w:r>
              <w:rPr>
                <w:color w:val="231F20"/>
                <w:sz w:val="14"/>
              </w:rPr>
              <w:t>левом.</w:t>
            </w:r>
          </w:p>
          <w:p w:rsidR="00041039" w:rsidRDefault="001B26CB">
            <w:pPr>
              <w:pStyle w:val="TableParagraph"/>
              <w:ind w:left="57" w:right="62"/>
              <w:rPr>
                <w:sz w:val="14"/>
              </w:rPr>
            </w:pPr>
            <w:r>
              <w:rPr>
                <w:b/>
                <w:color w:val="231F20"/>
                <w:sz w:val="14"/>
              </w:rPr>
              <w:t>Школско такмичење (одељење, школа)</w:t>
            </w:r>
            <w:r>
              <w:rPr>
                <w:color w:val="231F20"/>
                <w:sz w:val="14"/>
              </w:rPr>
              <w:t xml:space="preserve">; актив наставника физичког васпитања бира справе на којима ће се ученици такмичити. </w:t>
            </w: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041039" w:rsidRDefault="001B26CB">
            <w:pPr>
              <w:pStyle w:val="TableParagraph"/>
              <w:spacing w:line="155" w:lineRule="exact"/>
              <w:ind w:left="57"/>
              <w:rPr>
                <w:b/>
                <w:sz w:val="14"/>
              </w:rPr>
            </w:pPr>
            <w:r>
              <w:rPr>
                <w:b/>
                <w:color w:val="231F20"/>
                <w:sz w:val="14"/>
              </w:rPr>
              <w:t>Минимални образовни захтеви:</w:t>
            </w:r>
          </w:p>
          <w:p w:rsidR="00041039" w:rsidRDefault="001B26CB">
            <w:pPr>
              <w:pStyle w:val="TableParagraph"/>
              <w:ind w:left="57" w:right="101"/>
              <w:jc w:val="both"/>
              <w:rPr>
                <w:sz w:val="14"/>
              </w:rPr>
            </w:pPr>
            <w:r>
              <w:rPr>
                <w:b/>
                <w:color w:val="231F20"/>
                <w:sz w:val="14"/>
              </w:rPr>
              <w:t xml:space="preserve">За ученике: </w:t>
            </w:r>
            <w:r>
              <w:rPr>
                <w:color w:val="231F20"/>
                <w:sz w:val="14"/>
              </w:rPr>
              <w:t>наставни садр</w:t>
            </w:r>
            <w:r>
              <w:rPr>
                <w:color w:val="231F20"/>
                <w:sz w:val="14"/>
              </w:rPr>
              <w:t xml:space="preserve">жаји из програма вежби на </w:t>
            </w:r>
            <w:r>
              <w:rPr>
                <w:color w:val="231F20"/>
                <w:spacing w:val="-5"/>
                <w:sz w:val="14"/>
              </w:rPr>
              <w:t xml:space="preserve">тлу, </w:t>
            </w:r>
            <w:r>
              <w:rPr>
                <w:color w:val="231F20"/>
                <w:sz w:val="14"/>
              </w:rPr>
              <w:t>прескока, једне справе у</w:t>
            </w:r>
            <w:r>
              <w:rPr>
                <w:color w:val="231F20"/>
                <w:spacing w:val="-14"/>
                <w:sz w:val="14"/>
              </w:rPr>
              <w:t xml:space="preserve"> </w:t>
            </w:r>
            <w:r>
              <w:rPr>
                <w:color w:val="231F20"/>
                <w:sz w:val="14"/>
              </w:rPr>
              <w:t>упору и једне справе у</w:t>
            </w:r>
            <w:r>
              <w:rPr>
                <w:color w:val="231F20"/>
                <w:spacing w:val="-2"/>
                <w:sz w:val="14"/>
              </w:rPr>
              <w:t xml:space="preserve"> </w:t>
            </w:r>
            <w:r>
              <w:rPr>
                <w:color w:val="231F20"/>
                <w:spacing w:val="-4"/>
                <w:sz w:val="14"/>
              </w:rPr>
              <w:t>вису.</w:t>
            </w:r>
          </w:p>
          <w:p w:rsidR="00041039" w:rsidRDefault="001B26CB">
            <w:pPr>
              <w:pStyle w:val="TableParagraph"/>
              <w:spacing w:line="237" w:lineRule="auto"/>
              <w:ind w:left="57" w:right="4"/>
              <w:rPr>
                <w:sz w:val="14"/>
              </w:rPr>
            </w:pPr>
            <w:r>
              <w:rPr>
                <w:b/>
                <w:color w:val="231F20"/>
                <w:sz w:val="14"/>
              </w:rPr>
              <w:t xml:space="preserve">За ученице: </w:t>
            </w:r>
            <w:r>
              <w:rPr>
                <w:color w:val="231F20"/>
                <w:sz w:val="14"/>
              </w:rPr>
              <w:t>наставни садржаји из програма вежби на тлу, прескока, греде и двовисинског разбоја.</w:t>
            </w:r>
          </w:p>
        </w:tc>
        <w:tc>
          <w:tcPr>
            <w:tcW w:w="2267" w:type="dxa"/>
            <w:tcBorders>
              <w:bottom w:val="nil"/>
            </w:tcBorders>
          </w:tcPr>
          <w:p w:rsidR="00041039" w:rsidRDefault="001B26CB">
            <w:pPr>
              <w:pStyle w:val="TableParagraph"/>
              <w:spacing w:before="19"/>
              <w:ind w:left="57" w:right="10"/>
              <w:rPr>
                <w:sz w:val="14"/>
              </w:rPr>
            </w:pPr>
            <w:r>
              <w:rPr>
                <w:color w:val="231F20"/>
                <w:sz w:val="14"/>
              </w:rPr>
              <w:t>Школа организује и спроводи спортска такмичења, као јединстве­ ни део проце</w:t>
            </w:r>
            <w:r>
              <w:rPr>
                <w:color w:val="231F20"/>
                <w:sz w:val="14"/>
              </w:rPr>
              <w:t>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Министарство просве­ те науке и технолошког развоја.</w:t>
            </w:r>
          </w:p>
        </w:tc>
      </w:tr>
      <w:tr w:rsidR="00041039">
        <w:trPr>
          <w:trHeight w:val="2493"/>
        </w:trPr>
        <w:tc>
          <w:tcPr>
            <w:tcW w:w="1304" w:type="dxa"/>
            <w:tcBorders>
              <w:top w:val="nil"/>
            </w:tcBorders>
          </w:tcPr>
          <w:p w:rsidR="00041039" w:rsidRDefault="001B26CB">
            <w:pPr>
              <w:pStyle w:val="TableParagraph"/>
              <w:spacing w:before="73"/>
              <w:ind w:left="56" w:right="356"/>
              <w:rPr>
                <w:sz w:val="14"/>
              </w:rPr>
            </w:pPr>
            <w:r>
              <w:rPr>
                <w:color w:val="231F20"/>
                <w:sz w:val="14"/>
              </w:rPr>
              <w:t>Спортска игра (по избору)</w:t>
            </w:r>
          </w:p>
          <w:p w:rsidR="00041039" w:rsidRDefault="00041039">
            <w:pPr>
              <w:pStyle w:val="TableParagraph"/>
              <w:spacing w:before="8"/>
              <w:ind w:left="0"/>
              <w:rPr>
                <w:b/>
                <w:sz w:val="13"/>
              </w:rPr>
            </w:pPr>
          </w:p>
          <w:p w:rsidR="00041039" w:rsidRDefault="001B26CB">
            <w:pPr>
              <w:pStyle w:val="TableParagraph"/>
              <w:ind w:left="56" w:right="51"/>
              <w:rPr>
                <w:sz w:val="14"/>
              </w:rPr>
            </w:pPr>
            <w:r>
              <w:rPr>
                <w:color w:val="231F20"/>
                <w:sz w:val="14"/>
              </w:rPr>
              <w:t>Физичка, односно спортска активност у складу са могућ­ ностима школе</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1B26CB">
            <w:pPr>
              <w:pStyle w:val="TableParagraph"/>
              <w:spacing w:before="71" w:line="161" w:lineRule="exact"/>
              <w:ind w:left="57"/>
              <w:rPr>
                <w:b/>
                <w:sz w:val="14"/>
              </w:rPr>
            </w:pPr>
            <w:r>
              <w:rPr>
                <w:b/>
                <w:color w:val="231F20"/>
                <w:sz w:val="14"/>
              </w:rPr>
              <w:t>СПОРТСКА ИГРА (по избору)</w:t>
            </w:r>
          </w:p>
          <w:p w:rsidR="00041039" w:rsidRDefault="001B26CB">
            <w:pPr>
              <w:pStyle w:val="TableParagraph"/>
              <w:numPr>
                <w:ilvl w:val="0"/>
                <w:numId w:val="452"/>
              </w:numPr>
              <w:tabs>
                <w:tab w:val="left" w:pos="163"/>
              </w:tabs>
              <w:ind w:right="156"/>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numPr>
                <w:ilvl w:val="0"/>
                <w:numId w:val="452"/>
              </w:numPr>
              <w:tabs>
                <w:tab w:val="left" w:pos="163"/>
              </w:tabs>
              <w:ind w:right="134"/>
              <w:rPr>
                <w:sz w:val="14"/>
              </w:rPr>
            </w:pPr>
            <w:r>
              <w:rPr>
                <w:color w:val="231F20"/>
                <w:sz w:val="14"/>
              </w:rPr>
              <w:t xml:space="preserve">Даље проширивање и продубљивање техничко ­ тактичке припремљености ученика у складу са изборним програмом за дату </w:t>
            </w:r>
            <w:r>
              <w:rPr>
                <w:color w:val="231F20"/>
                <w:spacing w:val="-4"/>
                <w:sz w:val="14"/>
              </w:rPr>
              <w:t xml:space="preserve">игру. </w:t>
            </w:r>
            <w:r>
              <w:rPr>
                <w:color w:val="231F20"/>
                <w:sz w:val="14"/>
              </w:rPr>
              <w:t>На основу претходних</w:t>
            </w:r>
            <w:r>
              <w:rPr>
                <w:color w:val="231F20"/>
                <w:spacing w:val="-22"/>
                <w:sz w:val="14"/>
              </w:rPr>
              <w:t xml:space="preserve"> </w:t>
            </w:r>
            <w:r>
              <w:rPr>
                <w:color w:val="231F20"/>
                <w:sz w:val="14"/>
              </w:rPr>
              <w:t>умења у техници и тактици наставник планира конкретне садржаје из спортске</w:t>
            </w:r>
            <w:r>
              <w:rPr>
                <w:color w:val="231F20"/>
                <w:spacing w:val="-7"/>
                <w:sz w:val="14"/>
              </w:rPr>
              <w:t xml:space="preserve"> </w:t>
            </w:r>
            <w:r>
              <w:rPr>
                <w:color w:val="231F20"/>
                <w:sz w:val="14"/>
              </w:rPr>
              <w:t>игре.</w:t>
            </w:r>
          </w:p>
          <w:p w:rsidR="00041039" w:rsidRDefault="001B26CB">
            <w:pPr>
              <w:pStyle w:val="TableParagraph"/>
              <w:numPr>
                <w:ilvl w:val="0"/>
                <w:numId w:val="451"/>
              </w:numPr>
              <w:tabs>
                <w:tab w:val="left" w:pos="157"/>
              </w:tabs>
              <w:spacing w:line="155" w:lineRule="exact"/>
              <w:ind w:hanging="99"/>
              <w:rPr>
                <w:sz w:val="14"/>
              </w:rPr>
            </w:pPr>
            <w:r>
              <w:rPr>
                <w:color w:val="231F20"/>
                <w:sz w:val="14"/>
              </w:rPr>
              <w:t>Стручно веће наставника физичког</w:t>
            </w:r>
            <w:r>
              <w:rPr>
                <w:color w:val="231F20"/>
                <w:spacing w:val="-6"/>
                <w:sz w:val="14"/>
              </w:rPr>
              <w:t xml:space="preserve"> </w:t>
            </w:r>
            <w:r>
              <w:rPr>
                <w:color w:val="231F20"/>
                <w:sz w:val="14"/>
              </w:rPr>
              <w:t>вас­</w:t>
            </w:r>
          </w:p>
          <w:p w:rsidR="00041039" w:rsidRDefault="001B26CB">
            <w:pPr>
              <w:pStyle w:val="TableParagraph"/>
              <w:ind w:right="84"/>
              <w:rPr>
                <w:sz w:val="14"/>
              </w:rPr>
            </w:pPr>
            <w:r>
              <w:rPr>
                <w:color w:val="231F20"/>
                <w:sz w:val="14"/>
              </w:rPr>
              <w:t>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tc>
        <w:tc>
          <w:tcPr>
            <w:tcW w:w="2267" w:type="dxa"/>
            <w:tcBorders>
              <w:top w:val="nil"/>
            </w:tcBorders>
          </w:tcPr>
          <w:p w:rsidR="00041039" w:rsidRDefault="00041039">
            <w:pPr>
              <w:pStyle w:val="TableParagraph"/>
              <w:ind w:left="0"/>
              <w:rPr>
                <w:sz w:val="14"/>
              </w:rPr>
            </w:pPr>
          </w:p>
        </w:tc>
      </w:tr>
    </w:tbl>
    <w:p w:rsidR="00041039" w:rsidRDefault="00041039">
      <w:pPr>
        <w:pStyle w:val="BodyText"/>
        <w:spacing w:before="7"/>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56" w:right="105"/>
              <w:rPr>
                <w:sz w:val="14"/>
              </w:rPr>
            </w:pPr>
            <w:r>
              <w:rPr>
                <w:color w:val="231F20"/>
                <w:sz w:val="14"/>
              </w:rPr>
              <w:t>Здравствена култура и физичка активност, као основа за реализо­ вање постављених циљева и исхода</w:t>
            </w:r>
          </w:p>
        </w:tc>
        <w:tc>
          <w:tcPr>
            <w:tcW w:w="1587" w:type="dxa"/>
          </w:tcPr>
          <w:p w:rsidR="00041039" w:rsidRDefault="001B26CB">
            <w:pPr>
              <w:pStyle w:val="TableParagraph"/>
              <w:numPr>
                <w:ilvl w:val="0"/>
                <w:numId w:val="450"/>
              </w:numPr>
              <w:tabs>
                <w:tab w:val="left" w:pos="157"/>
              </w:tabs>
              <w:spacing w:before="8"/>
              <w:ind w:right="159"/>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041039" w:rsidRDefault="001B26CB">
            <w:pPr>
              <w:pStyle w:val="TableParagraph"/>
              <w:numPr>
                <w:ilvl w:val="0"/>
                <w:numId w:val="450"/>
              </w:numPr>
              <w:tabs>
                <w:tab w:val="left" w:pos="157"/>
              </w:tabs>
              <w:spacing w:line="160" w:lineRule="exact"/>
              <w:ind w:right="336"/>
              <w:rPr>
                <w:sz w:val="14"/>
              </w:rPr>
            </w:pPr>
            <w:r>
              <w:rPr>
                <w:color w:val="231F20"/>
                <w:sz w:val="14"/>
              </w:rPr>
              <w:t>Утицај на правил­ но држање</w:t>
            </w:r>
            <w:r>
              <w:rPr>
                <w:color w:val="231F20"/>
                <w:spacing w:val="-3"/>
                <w:sz w:val="14"/>
              </w:rPr>
              <w:t xml:space="preserve"> </w:t>
            </w:r>
            <w:r>
              <w:rPr>
                <w:color w:val="231F20"/>
                <w:sz w:val="14"/>
              </w:rPr>
              <w:t>тела</w:t>
            </w:r>
          </w:p>
          <w:p w:rsidR="00041039" w:rsidRDefault="001B26CB">
            <w:pPr>
              <w:pStyle w:val="TableParagraph"/>
              <w:spacing w:line="237" w:lineRule="auto"/>
              <w:ind w:right="71"/>
              <w:rPr>
                <w:sz w:val="14"/>
              </w:rPr>
            </w:pPr>
            <w:r>
              <w:rPr>
                <w:color w:val="231F20"/>
                <w:sz w:val="14"/>
              </w:rPr>
              <w:t>(превенција постурал­ них поремећаја).</w:t>
            </w:r>
          </w:p>
        </w:tc>
        <w:tc>
          <w:tcPr>
            <w:tcW w:w="2551" w:type="dxa"/>
          </w:tcPr>
          <w:p w:rsidR="00041039" w:rsidRDefault="001B26CB">
            <w:pPr>
              <w:pStyle w:val="TableParagraph"/>
              <w:numPr>
                <w:ilvl w:val="0"/>
                <w:numId w:val="449"/>
              </w:numPr>
              <w:tabs>
                <w:tab w:val="left" w:pos="157"/>
              </w:tabs>
              <w:spacing w:before="8"/>
              <w:ind w:right="164" w:hanging="99"/>
              <w:rPr>
                <w:sz w:val="14"/>
              </w:rPr>
            </w:pPr>
            <w:r>
              <w:rPr>
                <w:color w:val="231F20"/>
                <w:sz w:val="14"/>
              </w:rPr>
              <w:t>препозна везе између физичке</w:t>
            </w:r>
            <w:r>
              <w:rPr>
                <w:color w:val="231F20"/>
                <w:spacing w:val="-18"/>
                <w:sz w:val="14"/>
              </w:rPr>
              <w:t xml:space="preserve"> </w:t>
            </w:r>
            <w:r>
              <w:rPr>
                <w:color w:val="231F20"/>
                <w:sz w:val="14"/>
              </w:rPr>
              <w:t>актив­ ности и</w:t>
            </w:r>
            <w:r>
              <w:rPr>
                <w:color w:val="231F20"/>
                <w:spacing w:val="-2"/>
                <w:sz w:val="14"/>
              </w:rPr>
              <w:t xml:space="preserve"> </w:t>
            </w:r>
            <w:r>
              <w:rPr>
                <w:color w:val="231F20"/>
                <w:sz w:val="14"/>
              </w:rPr>
              <w:t>здравља;</w:t>
            </w:r>
          </w:p>
          <w:p w:rsidR="00041039" w:rsidRDefault="001B26CB">
            <w:pPr>
              <w:pStyle w:val="TableParagraph"/>
              <w:numPr>
                <w:ilvl w:val="0"/>
                <w:numId w:val="449"/>
              </w:numPr>
              <w:tabs>
                <w:tab w:val="left" w:pos="157"/>
              </w:tabs>
              <w:spacing w:line="160" w:lineRule="exact"/>
              <w:ind w:right="74" w:hanging="99"/>
              <w:rPr>
                <w:sz w:val="14"/>
              </w:rPr>
            </w:pPr>
            <w:r>
              <w:rPr>
                <w:color w:val="231F20"/>
                <w:sz w:val="14"/>
              </w:rPr>
              <w:t>објасни карактеристике положаја</w:t>
            </w:r>
            <w:r>
              <w:rPr>
                <w:color w:val="231F20"/>
                <w:spacing w:val="-20"/>
                <w:sz w:val="14"/>
              </w:rPr>
              <w:t xml:space="preserve"> </w:t>
            </w:r>
            <w:r>
              <w:rPr>
                <w:color w:val="231F20"/>
                <w:sz w:val="14"/>
              </w:rPr>
              <w:t>тела, покрета и кретања у професији</w:t>
            </w:r>
            <w:r>
              <w:rPr>
                <w:color w:val="231F20"/>
                <w:spacing w:val="-4"/>
                <w:sz w:val="14"/>
              </w:rPr>
              <w:t xml:space="preserve"> </w:t>
            </w:r>
            <w:r>
              <w:rPr>
                <w:color w:val="231F20"/>
                <w:sz w:val="14"/>
              </w:rPr>
              <w:t>за</w:t>
            </w:r>
          </w:p>
          <w:p w:rsidR="00041039" w:rsidRDefault="001B26CB">
            <w:pPr>
              <w:pStyle w:val="TableParagraph"/>
              <w:spacing w:line="237" w:lineRule="auto"/>
              <w:ind w:right="65"/>
              <w:rPr>
                <w:sz w:val="14"/>
              </w:rPr>
            </w:pPr>
            <w:r>
              <w:rPr>
                <w:color w:val="231F20"/>
                <w:sz w:val="14"/>
              </w:rPr>
              <w:t>коју се школује и уочи оне, које могу имати негативан утицај на његов раст и развој;</w:t>
            </w:r>
          </w:p>
          <w:p w:rsidR="00041039" w:rsidRDefault="001B26CB">
            <w:pPr>
              <w:pStyle w:val="TableParagraph"/>
              <w:numPr>
                <w:ilvl w:val="0"/>
                <w:numId w:val="449"/>
              </w:numPr>
              <w:tabs>
                <w:tab w:val="left" w:pos="157"/>
              </w:tabs>
              <w:spacing w:line="237" w:lineRule="auto"/>
              <w:ind w:right="52" w:hanging="99"/>
              <w:rPr>
                <w:sz w:val="14"/>
              </w:rPr>
            </w:pPr>
            <w:r>
              <w:rPr>
                <w:color w:val="231F20"/>
                <w:sz w:val="14"/>
              </w:rPr>
              <w:t>одабере и изведе вежбе обликовања и вежбе из корективне гимнастике, које ће превентивно утицати на могуће не­ гативне утицаје услед рада у</w:t>
            </w:r>
            <w:r>
              <w:rPr>
                <w:color w:val="231F20"/>
                <w:spacing w:val="-16"/>
                <w:sz w:val="14"/>
              </w:rPr>
              <w:t xml:space="preserve"> </w:t>
            </w:r>
            <w:r>
              <w:rPr>
                <w:color w:val="231F20"/>
                <w:sz w:val="14"/>
              </w:rPr>
              <w:t>одабраној професији;</w:t>
            </w:r>
          </w:p>
        </w:tc>
        <w:tc>
          <w:tcPr>
            <w:tcW w:w="2834" w:type="dxa"/>
          </w:tcPr>
          <w:p w:rsidR="00041039" w:rsidRDefault="001B26CB">
            <w:pPr>
              <w:pStyle w:val="TableParagraph"/>
              <w:numPr>
                <w:ilvl w:val="0"/>
                <w:numId w:val="448"/>
              </w:numPr>
              <w:tabs>
                <w:tab w:val="left" w:pos="157"/>
              </w:tabs>
              <w:spacing w:before="8"/>
              <w:ind w:right="233" w:hanging="99"/>
              <w:rPr>
                <w:sz w:val="14"/>
              </w:rPr>
            </w:pPr>
            <w:r>
              <w:rPr>
                <w:color w:val="231F20"/>
                <w:sz w:val="14"/>
              </w:rPr>
              <w:t>Вежбе</w:t>
            </w:r>
            <w:r>
              <w:rPr>
                <w:color w:val="231F20"/>
                <w:spacing w:val="-8"/>
                <w:sz w:val="14"/>
              </w:rPr>
              <w:t xml:space="preserve"> </w:t>
            </w:r>
            <w:r>
              <w:rPr>
                <w:color w:val="231F20"/>
                <w:sz w:val="14"/>
              </w:rPr>
              <w:t>облик</w:t>
            </w:r>
            <w:r>
              <w:rPr>
                <w:color w:val="231F20"/>
                <w:sz w:val="14"/>
              </w:rPr>
              <w:t>овања</w:t>
            </w:r>
            <w:r>
              <w:rPr>
                <w:color w:val="231F20"/>
                <w:spacing w:val="-8"/>
                <w:sz w:val="14"/>
              </w:rPr>
              <w:t xml:space="preserve"> </w:t>
            </w:r>
            <w:r>
              <w:rPr>
                <w:color w:val="231F20"/>
                <w:sz w:val="14"/>
              </w:rPr>
              <w:t>(јачања,</w:t>
            </w:r>
            <w:r>
              <w:rPr>
                <w:color w:val="231F20"/>
                <w:spacing w:val="-8"/>
                <w:sz w:val="14"/>
              </w:rPr>
              <w:t xml:space="preserve"> </w:t>
            </w:r>
            <w:r>
              <w:rPr>
                <w:color w:val="231F20"/>
                <w:sz w:val="14"/>
              </w:rPr>
              <w:t>лабављење</w:t>
            </w:r>
            <w:r>
              <w:rPr>
                <w:color w:val="231F20"/>
                <w:spacing w:val="-9"/>
                <w:sz w:val="14"/>
              </w:rPr>
              <w:t xml:space="preserve"> </w:t>
            </w:r>
            <w:r>
              <w:rPr>
                <w:color w:val="231F20"/>
                <w:sz w:val="14"/>
              </w:rPr>
              <w:t>и растезање).</w:t>
            </w:r>
          </w:p>
          <w:p w:rsidR="00041039" w:rsidRDefault="001B26CB">
            <w:pPr>
              <w:pStyle w:val="TableParagraph"/>
              <w:numPr>
                <w:ilvl w:val="0"/>
                <w:numId w:val="448"/>
              </w:numPr>
              <w:tabs>
                <w:tab w:val="left" w:pos="157"/>
              </w:tabs>
              <w:spacing w:line="153" w:lineRule="exact"/>
              <w:ind w:hanging="99"/>
              <w:rPr>
                <w:sz w:val="14"/>
              </w:rPr>
            </w:pPr>
            <w:r>
              <w:rPr>
                <w:color w:val="231F20"/>
                <w:sz w:val="14"/>
              </w:rPr>
              <w:t>Вежбе из корективне</w:t>
            </w:r>
            <w:r>
              <w:rPr>
                <w:color w:val="231F20"/>
                <w:spacing w:val="-6"/>
                <w:sz w:val="14"/>
              </w:rPr>
              <w:t xml:space="preserve"> </w:t>
            </w:r>
            <w:r>
              <w:rPr>
                <w:color w:val="231F20"/>
                <w:sz w:val="14"/>
              </w:rPr>
              <w:t>гимнастике.</w:t>
            </w:r>
          </w:p>
          <w:p w:rsidR="00041039" w:rsidRDefault="001B26CB">
            <w:pPr>
              <w:pStyle w:val="TableParagraph"/>
              <w:numPr>
                <w:ilvl w:val="0"/>
                <w:numId w:val="448"/>
              </w:numPr>
              <w:tabs>
                <w:tab w:val="left" w:pos="157"/>
              </w:tabs>
              <w:spacing w:line="237" w:lineRule="auto"/>
              <w:ind w:right="109" w:hanging="99"/>
              <w:rPr>
                <w:sz w:val="14"/>
              </w:rPr>
            </w:pPr>
            <w:r>
              <w:rPr>
                <w:color w:val="231F20"/>
                <w:sz w:val="14"/>
              </w:rPr>
              <w:t>Провера стања моторичких и</w:t>
            </w:r>
            <w:r>
              <w:rPr>
                <w:color w:val="231F20"/>
                <w:spacing w:val="-13"/>
                <w:sz w:val="14"/>
              </w:rPr>
              <w:t xml:space="preserve"> </w:t>
            </w:r>
            <w:r>
              <w:rPr>
                <w:color w:val="231F20"/>
                <w:sz w:val="14"/>
              </w:rPr>
              <w:t>функционал­ них</w:t>
            </w:r>
            <w:r>
              <w:rPr>
                <w:color w:val="231F20"/>
                <w:spacing w:val="-1"/>
                <w:sz w:val="14"/>
              </w:rPr>
              <w:t xml:space="preserve"> </w:t>
            </w:r>
            <w:r>
              <w:rPr>
                <w:color w:val="231F20"/>
                <w:sz w:val="14"/>
              </w:rPr>
              <w:t>способности.</w:t>
            </w:r>
          </w:p>
        </w:tc>
        <w:tc>
          <w:tcPr>
            <w:tcW w:w="2267" w:type="dxa"/>
          </w:tcPr>
          <w:p w:rsidR="00041039" w:rsidRDefault="001B26CB">
            <w:pPr>
              <w:pStyle w:val="TableParagraph"/>
              <w:numPr>
                <w:ilvl w:val="0"/>
                <w:numId w:val="447"/>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1B26CB">
            <w:pPr>
              <w:pStyle w:val="TableParagraph"/>
              <w:numPr>
                <w:ilvl w:val="0"/>
                <w:numId w:val="447"/>
              </w:numPr>
              <w:tabs>
                <w:tab w:val="left" w:pos="158"/>
              </w:tabs>
              <w:spacing w:line="156" w:lineRule="exact"/>
              <w:ind w:hanging="99"/>
              <w:rPr>
                <w:sz w:val="14"/>
              </w:rPr>
            </w:pPr>
            <w:r>
              <w:rPr>
                <w:color w:val="231F20"/>
                <w:spacing w:val="-5"/>
                <w:sz w:val="14"/>
              </w:rPr>
              <w:t xml:space="preserve">Током </w:t>
            </w:r>
            <w:r>
              <w:rPr>
                <w:color w:val="231F20"/>
                <w:sz w:val="14"/>
              </w:rPr>
              <w:t>реализације часова</w:t>
            </w:r>
            <w:r>
              <w:rPr>
                <w:color w:val="231F20"/>
                <w:spacing w:val="1"/>
                <w:sz w:val="14"/>
              </w:rPr>
              <w:t xml:space="preserve"> </w:t>
            </w:r>
            <w:r>
              <w:rPr>
                <w:color w:val="231F20"/>
                <w:sz w:val="14"/>
              </w:rPr>
              <w:t>физич­</w:t>
            </w:r>
          </w:p>
          <w:p w:rsidR="00041039" w:rsidRDefault="001B26CB">
            <w:pPr>
              <w:pStyle w:val="TableParagraph"/>
              <w:ind w:left="157"/>
              <w:rPr>
                <w:sz w:val="14"/>
              </w:rPr>
            </w:pPr>
            <w:r>
              <w:rPr>
                <w:color w:val="231F20"/>
                <w:sz w:val="14"/>
              </w:rPr>
              <w:t>ког васпитања давати информа­ ције о томе које вежбе позитивно утичу на статус њиховог органи­ зма, с обзиром на карактеристике њихове професије, а које негатив­ но утичу на здравље.</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1B26CB">
            <w:pPr>
              <w:pStyle w:val="TableParagraph"/>
              <w:spacing w:before="18"/>
              <w:ind w:left="56" w:right="116"/>
              <w:rPr>
                <w:sz w:val="14"/>
              </w:rPr>
            </w:pPr>
            <w:r>
              <w:rPr>
                <w:color w:val="231F20"/>
                <w:sz w:val="14"/>
              </w:rPr>
              <w:lastRenderedPageBreak/>
              <w:t>Развој</w:t>
            </w:r>
            <w:r>
              <w:rPr>
                <w:color w:val="231F20"/>
                <w:spacing w:val="-7"/>
                <w:sz w:val="14"/>
              </w:rPr>
              <w:t xml:space="preserve"> </w:t>
            </w:r>
            <w:r>
              <w:rPr>
                <w:color w:val="231F20"/>
                <w:sz w:val="14"/>
              </w:rPr>
              <w:t xml:space="preserve">моторичких и функционал­ </w:t>
            </w:r>
            <w:r>
              <w:rPr>
                <w:color w:val="231F20"/>
                <w:sz w:val="14"/>
              </w:rPr>
              <w:t>них способности човека, као основа за реализовање постављених циљева и</w:t>
            </w:r>
            <w:r>
              <w:rPr>
                <w:color w:val="231F20"/>
                <w:spacing w:val="-2"/>
                <w:sz w:val="14"/>
              </w:rPr>
              <w:t xml:space="preserve"> </w:t>
            </w:r>
            <w:r>
              <w:rPr>
                <w:color w:val="231F20"/>
                <w:spacing w:val="-3"/>
                <w:sz w:val="14"/>
              </w:rPr>
              <w:t>исхода</w:t>
            </w:r>
          </w:p>
        </w:tc>
        <w:tc>
          <w:tcPr>
            <w:tcW w:w="1587" w:type="dxa"/>
          </w:tcPr>
          <w:p w:rsidR="00041039" w:rsidRDefault="001B26CB">
            <w:pPr>
              <w:pStyle w:val="TableParagraph"/>
              <w:numPr>
                <w:ilvl w:val="0"/>
                <w:numId w:val="446"/>
              </w:numPr>
              <w:tabs>
                <w:tab w:val="left" w:pos="157"/>
              </w:tabs>
              <w:spacing w:before="8"/>
              <w:ind w:right="112"/>
              <w:rPr>
                <w:sz w:val="14"/>
              </w:rPr>
            </w:pPr>
            <w:r>
              <w:rPr>
                <w:color w:val="231F20"/>
                <w:sz w:val="14"/>
              </w:rPr>
              <w:t>Развој и</w:t>
            </w:r>
            <w:r>
              <w:rPr>
                <w:color w:val="231F20"/>
                <w:spacing w:val="-6"/>
                <w:sz w:val="14"/>
              </w:rPr>
              <w:t xml:space="preserve"> </w:t>
            </w:r>
            <w:r>
              <w:rPr>
                <w:color w:val="231F20"/>
                <w:sz w:val="14"/>
              </w:rPr>
              <w:t>усавршавање моторичких способ­ ности и теоријских знања неопходних за самостални рад на њима.</w:t>
            </w:r>
          </w:p>
        </w:tc>
        <w:tc>
          <w:tcPr>
            <w:tcW w:w="2551" w:type="dxa"/>
          </w:tcPr>
          <w:p w:rsidR="00041039" w:rsidRDefault="001B26CB">
            <w:pPr>
              <w:pStyle w:val="TableParagraph"/>
              <w:numPr>
                <w:ilvl w:val="0"/>
                <w:numId w:val="445"/>
              </w:numPr>
              <w:tabs>
                <w:tab w:val="left" w:pos="157"/>
              </w:tabs>
              <w:spacing w:before="8"/>
              <w:ind w:right="184" w:hanging="99"/>
              <w:jc w:val="both"/>
              <w:rPr>
                <w:sz w:val="14"/>
              </w:rPr>
            </w:pPr>
            <w:r>
              <w:rPr>
                <w:color w:val="231F20"/>
                <w:sz w:val="14"/>
              </w:rPr>
              <w:t>именује моторичке способности</w:t>
            </w:r>
            <w:r>
              <w:rPr>
                <w:color w:val="231F20"/>
                <w:spacing w:val="-16"/>
                <w:sz w:val="14"/>
              </w:rPr>
              <w:t xml:space="preserve"> </w:t>
            </w:r>
            <w:r>
              <w:rPr>
                <w:color w:val="231F20"/>
                <w:sz w:val="14"/>
              </w:rPr>
              <w:t>које треба развијати, као и основна сред­ ства и методе за њихов</w:t>
            </w:r>
            <w:r>
              <w:rPr>
                <w:color w:val="231F20"/>
                <w:spacing w:val="-8"/>
                <w:sz w:val="14"/>
              </w:rPr>
              <w:t xml:space="preserve"> </w:t>
            </w:r>
            <w:r>
              <w:rPr>
                <w:color w:val="231F20"/>
                <w:sz w:val="14"/>
              </w:rPr>
              <w:t>развој;</w:t>
            </w:r>
          </w:p>
          <w:p w:rsidR="00041039" w:rsidRDefault="001B26CB">
            <w:pPr>
              <w:pStyle w:val="TableParagraph"/>
              <w:numPr>
                <w:ilvl w:val="0"/>
                <w:numId w:val="445"/>
              </w:numPr>
              <w:tabs>
                <w:tab w:val="left" w:pos="157"/>
              </w:tabs>
              <w:spacing w:line="157" w:lineRule="exact"/>
              <w:ind w:hanging="99"/>
              <w:rPr>
                <w:sz w:val="14"/>
              </w:rPr>
            </w:pPr>
            <w:r>
              <w:rPr>
                <w:color w:val="231F20"/>
                <w:sz w:val="14"/>
              </w:rPr>
              <w:t>примени адекватна средства</w:t>
            </w:r>
            <w:r>
              <w:rPr>
                <w:color w:val="231F20"/>
                <w:spacing w:val="-9"/>
                <w:sz w:val="14"/>
              </w:rPr>
              <w:t xml:space="preserve"> </w:t>
            </w:r>
            <w:r>
              <w:rPr>
                <w:color w:val="231F20"/>
                <w:sz w:val="14"/>
              </w:rPr>
              <w:t>(изводи</w:t>
            </w:r>
          </w:p>
          <w:p w:rsidR="00041039" w:rsidRDefault="001B26CB">
            <w:pPr>
              <w:pStyle w:val="TableParagraph"/>
              <w:rPr>
                <w:sz w:val="14"/>
              </w:rPr>
            </w:pPr>
            <w:r>
              <w:rPr>
                <w:color w:val="231F20"/>
                <w:sz w:val="14"/>
              </w:rPr>
              <w:t>вежбе) за развој и усавршавање мото­ ричких способности из: вежби облико­ вања, атлетике, гимнастике, пливања</w:t>
            </w:r>
          </w:p>
          <w:p w:rsidR="00041039" w:rsidRDefault="001B26CB">
            <w:pPr>
              <w:pStyle w:val="TableParagraph"/>
              <w:spacing w:line="237" w:lineRule="auto"/>
              <w:rPr>
                <w:sz w:val="14"/>
              </w:rPr>
            </w:pPr>
            <w:r>
              <w:rPr>
                <w:color w:val="231F20"/>
                <w:sz w:val="14"/>
              </w:rPr>
              <w:t>и спортских игара за развој: снаге, бр</w:t>
            </w:r>
            <w:r>
              <w:rPr>
                <w:color w:val="231F20"/>
                <w:sz w:val="14"/>
              </w:rPr>
              <w:t>зине, издржљивости, гипкости, спретности и окретности;</w:t>
            </w:r>
          </w:p>
        </w:tc>
        <w:tc>
          <w:tcPr>
            <w:tcW w:w="2834" w:type="dxa"/>
          </w:tcPr>
          <w:p w:rsidR="00041039" w:rsidRDefault="001B26CB">
            <w:pPr>
              <w:pStyle w:val="TableParagraph"/>
              <w:numPr>
                <w:ilvl w:val="0"/>
                <w:numId w:val="444"/>
              </w:numPr>
              <w:tabs>
                <w:tab w:val="left" w:pos="157"/>
              </w:tabs>
              <w:spacing w:before="8"/>
              <w:ind w:right="221" w:hanging="99"/>
              <w:rPr>
                <w:sz w:val="14"/>
              </w:rPr>
            </w:pPr>
            <w:r>
              <w:rPr>
                <w:color w:val="231F20"/>
                <w:sz w:val="14"/>
              </w:rPr>
              <w:t>Вежбе снаге без и са малим теговима</w:t>
            </w:r>
            <w:r>
              <w:rPr>
                <w:color w:val="231F20"/>
                <w:spacing w:val="-19"/>
                <w:sz w:val="14"/>
              </w:rPr>
              <w:t xml:space="preserve"> </w:t>
            </w:r>
            <w:r>
              <w:rPr>
                <w:color w:val="231F20"/>
                <w:sz w:val="14"/>
              </w:rPr>
              <w:t xml:space="preserve">(до 4 </w:t>
            </w:r>
            <w:r>
              <w:rPr>
                <w:color w:val="231F20"/>
                <w:spacing w:val="-4"/>
                <w:sz w:val="14"/>
              </w:rPr>
              <w:t>кг.).</w:t>
            </w:r>
          </w:p>
          <w:p w:rsidR="00041039" w:rsidRDefault="001B26CB">
            <w:pPr>
              <w:pStyle w:val="TableParagraph"/>
              <w:numPr>
                <w:ilvl w:val="0"/>
                <w:numId w:val="444"/>
              </w:numPr>
              <w:tabs>
                <w:tab w:val="left" w:pos="157"/>
              </w:tabs>
              <w:spacing w:line="160" w:lineRule="exact"/>
              <w:ind w:right="324" w:hanging="99"/>
              <w:rPr>
                <w:sz w:val="14"/>
              </w:rPr>
            </w:pPr>
            <w:r>
              <w:rPr>
                <w:color w:val="231F20"/>
                <w:sz w:val="14"/>
              </w:rPr>
              <w:t>Трчање на 800 м ученице и 1000 м</w:t>
            </w:r>
            <w:r>
              <w:rPr>
                <w:color w:val="231F20"/>
                <w:spacing w:val="-14"/>
                <w:sz w:val="14"/>
              </w:rPr>
              <w:t xml:space="preserve"> </w:t>
            </w:r>
            <w:r>
              <w:rPr>
                <w:color w:val="231F20"/>
                <w:sz w:val="14"/>
              </w:rPr>
              <w:t>уче­ ници.</w:t>
            </w:r>
          </w:p>
          <w:p w:rsidR="00041039" w:rsidRDefault="001B26CB">
            <w:pPr>
              <w:pStyle w:val="TableParagraph"/>
              <w:numPr>
                <w:ilvl w:val="0"/>
                <w:numId w:val="444"/>
              </w:numPr>
              <w:tabs>
                <w:tab w:val="left" w:pos="157"/>
              </w:tabs>
              <w:spacing w:line="153" w:lineRule="exact"/>
              <w:ind w:hanging="99"/>
              <w:rPr>
                <w:sz w:val="14"/>
              </w:rPr>
            </w:pPr>
            <w:r>
              <w:rPr>
                <w:color w:val="231F20"/>
                <w:sz w:val="14"/>
              </w:rPr>
              <w:t>Трчање на 60 м и 100</w:t>
            </w:r>
            <w:r>
              <w:rPr>
                <w:color w:val="231F20"/>
                <w:spacing w:val="-4"/>
                <w:sz w:val="14"/>
              </w:rPr>
              <w:t xml:space="preserve"> </w:t>
            </w:r>
            <w:r>
              <w:rPr>
                <w:color w:val="231F20"/>
                <w:sz w:val="14"/>
              </w:rPr>
              <w:t>м.</w:t>
            </w:r>
          </w:p>
          <w:p w:rsidR="00041039" w:rsidRDefault="001B26CB">
            <w:pPr>
              <w:pStyle w:val="TableParagraph"/>
              <w:numPr>
                <w:ilvl w:val="0"/>
                <w:numId w:val="444"/>
              </w:numPr>
              <w:tabs>
                <w:tab w:val="left" w:pos="157"/>
              </w:tabs>
              <w:spacing w:line="237" w:lineRule="auto"/>
              <w:ind w:right="496" w:hanging="9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041039" w:rsidRDefault="001B26CB">
            <w:pPr>
              <w:pStyle w:val="TableParagraph"/>
              <w:numPr>
                <w:ilvl w:val="0"/>
                <w:numId w:val="444"/>
              </w:numPr>
              <w:tabs>
                <w:tab w:val="left" w:pos="157"/>
              </w:tabs>
              <w:spacing w:line="160" w:lineRule="exact"/>
              <w:ind w:right="432" w:hanging="99"/>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041039" w:rsidRDefault="001B26CB">
            <w:pPr>
              <w:pStyle w:val="TableParagraph"/>
              <w:numPr>
                <w:ilvl w:val="0"/>
                <w:numId w:val="444"/>
              </w:numPr>
              <w:tabs>
                <w:tab w:val="left" w:pos="157"/>
              </w:tabs>
              <w:spacing w:line="153" w:lineRule="exact"/>
              <w:ind w:hanging="99"/>
              <w:rPr>
                <w:sz w:val="14"/>
              </w:rPr>
            </w:pPr>
            <w:r>
              <w:rPr>
                <w:color w:val="231F20"/>
                <w:sz w:val="14"/>
              </w:rPr>
              <w:t>Аеробик.</w:t>
            </w:r>
          </w:p>
          <w:p w:rsidR="00041039" w:rsidRDefault="001B26CB">
            <w:pPr>
              <w:pStyle w:val="TableParagraph"/>
              <w:numPr>
                <w:ilvl w:val="0"/>
                <w:numId w:val="444"/>
              </w:numPr>
              <w:tabs>
                <w:tab w:val="left" w:pos="157"/>
              </w:tabs>
              <w:spacing w:line="166" w:lineRule="exact"/>
              <w:ind w:hanging="99"/>
              <w:rPr>
                <w:sz w:val="14"/>
              </w:rPr>
            </w:pPr>
            <w:r>
              <w:rPr>
                <w:color w:val="231F20"/>
                <w:sz w:val="14"/>
              </w:rPr>
              <w:t>Обука техника</w:t>
            </w:r>
            <w:r>
              <w:rPr>
                <w:color w:val="231F20"/>
                <w:spacing w:val="-2"/>
                <w:sz w:val="14"/>
              </w:rPr>
              <w:t xml:space="preserve"> </w:t>
            </w:r>
            <w:r>
              <w:rPr>
                <w:color w:val="231F20"/>
                <w:sz w:val="14"/>
              </w:rPr>
              <w:t>пливања.</w:t>
            </w:r>
          </w:p>
        </w:tc>
        <w:tc>
          <w:tcPr>
            <w:tcW w:w="2267" w:type="dxa"/>
            <w:vMerge w:val="restart"/>
          </w:tcPr>
          <w:p w:rsidR="00041039" w:rsidRDefault="001B26CB">
            <w:pPr>
              <w:pStyle w:val="TableParagraph"/>
              <w:numPr>
                <w:ilvl w:val="0"/>
                <w:numId w:val="443"/>
              </w:numPr>
              <w:tabs>
                <w:tab w:val="left" w:pos="158"/>
              </w:tabs>
              <w:spacing w:before="8"/>
              <w:ind w:right="278" w:hanging="99"/>
              <w:rPr>
                <w:sz w:val="14"/>
              </w:rPr>
            </w:pPr>
            <w:r>
              <w:rPr>
                <w:color w:val="231F20"/>
                <w:sz w:val="14"/>
              </w:rPr>
              <w:t xml:space="preserve">Ученици који похађају чет­ ворогодишње стручне </w:t>
            </w:r>
            <w:r>
              <w:rPr>
                <w:color w:val="231F20"/>
                <w:spacing w:val="-3"/>
                <w:sz w:val="14"/>
              </w:rPr>
              <w:t xml:space="preserve">школе </w:t>
            </w:r>
            <w:r>
              <w:rPr>
                <w:color w:val="231F20"/>
                <w:sz w:val="14"/>
              </w:rPr>
              <w:t>далеко су више оптерећени у редовном образовању прак­ тичном и теоријском</w:t>
            </w:r>
            <w:r>
              <w:rPr>
                <w:color w:val="231F20"/>
                <w:spacing w:val="-20"/>
                <w:sz w:val="14"/>
              </w:rPr>
              <w:t xml:space="preserve"> </w:t>
            </w:r>
            <w:r>
              <w:rPr>
                <w:color w:val="231F20"/>
                <w:sz w:val="14"/>
              </w:rPr>
              <w:t xml:space="preserve">наставом </w:t>
            </w:r>
            <w:r>
              <w:rPr>
                <w:color w:val="231F20"/>
                <w:spacing w:val="-3"/>
                <w:sz w:val="14"/>
              </w:rPr>
              <w:t xml:space="preserve">од </w:t>
            </w:r>
            <w:r>
              <w:rPr>
                <w:color w:val="231F20"/>
                <w:sz w:val="14"/>
              </w:rPr>
              <w:t>осталих ученика. Због тога је физич</w:t>
            </w:r>
            <w:r>
              <w:rPr>
                <w:color w:val="231F20"/>
                <w:sz w:val="14"/>
              </w:rPr>
              <w:t>ко васпитање, у овим школама, значајно за</w:t>
            </w:r>
            <w:r>
              <w:rPr>
                <w:color w:val="231F20"/>
                <w:spacing w:val="-16"/>
                <w:sz w:val="14"/>
              </w:rPr>
              <w:t xml:space="preserve"> </w:t>
            </w:r>
            <w:r>
              <w:rPr>
                <w:color w:val="231F20"/>
                <w:sz w:val="14"/>
              </w:rPr>
              <w:t>активан</w:t>
            </w:r>
          </w:p>
          <w:p w:rsidR="00041039" w:rsidRDefault="001B26CB">
            <w:pPr>
              <w:pStyle w:val="TableParagraph"/>
              <w:spacing w:line="237" w:lineRule="auto"/>
              <w:ind w:left="157" w:right="18"/>
              <w:rPr>
                <w:sz w:val="14"/>
              </w:rPr>
            </w:pPr>
            <w:r>
              <w:rPr>
                <w:color w:val="231F20"/>
                <w:sz w:val="14"/>
              </w:rPr>
              <w:t>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w:t>
            </w:r>
            <w:r>
              <w:rPr>
                <w:color w:val="231F20"/>
                <w:sz w:val="14"/>
              </w:rPr>
              <w:t>жбама.</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343"/>
              <w:rPr>
                <w:sz w:val="14"/>
              </w:rPr>
            </w:pPr>
            <w:r>
              <w:rPr>
                <w:color w:val="231F20"/>
                <w:sz w:val="14"/>
              </w:rPr>
              <w:t>Предмет се реализује у оквиру следећих облика наставе:</w:t>
            </w:r>
          </w:p>
          <w:p w:rsidR="00041039" w:rsidRDefault="001B26CB">
            <w:pPr>
              <w:pStyle w:val="TableParagraph"/>
              <w:numPr>
                <w:ilvl w:val="0"/>
                <w:numId w:val="443"/>
              </w:numPr>
              <w:tabs>
                <w:tab w:val="left" w:pos="158"/>
              </w:tabs>
              <w:spacing w:line="154" w:lineRule="exact"/>
              <w:ind w:hanging="99"/>
              <w:rPr>
                <w:b/>
                <w:sz w:val="14"/>
              </w:rPr>
            </w:pPr>
            <w:r>
              <w:rPr>
                <w:color w:val="231F20"/>
                <w:sz w:val="14"/>
              </w:rPr>
              <w:t xml:space="preserve">теоријска настава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443"/>
              </w:numPr>
              <w:tabs>
                <w:tab w:val="left" w:pos="158"/>
              </w:tabs>
              <w:spacing w:line="160" w:lineRule="exact"/>
              <w:ind w:hanging="99"/>
              <w:rPr>
                <w:b/>
                <w:sz w:val="14"/>
              </w:rPr>
            </w:pPr>
            <w:r>
              <w:rPr>
                <w:color w:val="231F20"/>
                <w:sz w:val="14"/>
              </w:rPr>
              <w:t xml:space="preserve">мерење и тестирање </w:t>
            </w:r>
            <w:r>
              <w:rPr>
                <w:b/>
                <w:color w:val="231F20"/>
                <w:sz w:val="14"/>
              </w:rPr>
              <w:t>(6</w:t>
            </w:r>
            <w:r>
              <w:rPr>
                <w:b/>
                <w:color w:val="231F20"/>
                <w:spacing w:val="-4"/>
                <w:sz w:val="14"/>
              </w:rPr>
              <w:t xml:space="preserve"> </w:t>
            </w:r>
            <w:r>
              <w:rPr>
                <w:b/>
                <w:color w:val="231F20"/>
                <w:sz w:val="14"/>
              </w:rPr>
              <w:t>часова)</w:t>
            </w:r>
          </w:p>
          <w:p w:rsidR="00041039" w:rsidRDefault="001B26CB">
            <w:pPr>
              <w:pStyle w:val="TableParagraph"/>
              <w:numPr>
                <w:ilvl w:val="0"/>
                <w:numId w:val="443"/>
              </w:numPr>
              <w:tabs>
                <w:tab w:val="left" w:pos="158"/>
              </w:tabs>
              <w:spacing w:line="166" w:lineRule="exact"/>
              <w:ind w:hanging="99"/>
              <w:rPr>
                <w:b/>
                <w:sz w:val="14"/>
              </w:rPr>
            </w:pPr>
            <w:r>
              <w:rPr>
                <w:color w:val="231F20"/>
                <w:sz w:val="14"/>
              </w:rPr>
              <w:t xml:space="preserve">практична настава </w:t>
            </w:r>
            <w:r>
              <w:rPr>
                <w:b/>
                <w:color w:val="231F20"/>
                <w:sz w:val="14"/>
              </w:rPr>
              <w:t>(54</w:t>
            </w:r>
            <w:r>
              <w:rPr>
                <w:b/>
                <w:color w:val="231F20"/>
                <w:spacing w:val="-6"/>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ind w:left="58" w:right="382"/>
              <w:rPr>
                <w:sz w:val="14"/>
              </w:rPr>
            </w:pPr>
            <w:r>
              <w:rPr>
                <w:b/>
                <w:color w:val="231F20"/>
                <w:sz w:val="14"/>
              </w:rPr>
              <w:t xml:space="preserve">Подела одељења на групе </w:t>
            </w:r>
            <w:r>
              <w:rPr>
                <w:color w:val="231F20"/>
                <w:sz w:val="14"/>
              </w:rPr>
              <w:t>Настава се изводи фронтално и по групама, у зависности од</w:t>
            </w:r>
          </w:p>
          <w:p w:rsidR="00041039" w:rsidRDefault="001B26CB">
            <w:pPr>
              <w:pStyle w:val="TableParagraph"/>
              <w:spacing w:line="237" w:lineRule="auto"/>
              <w:ind w:left="58" w:right="86"/>
              <w:rPr>
                <w:sz w:val="14"/>
              </w:rPr>
            </w:pPr>
            <w:r>
              <w:rPr>
                <w:color w:val="231F20"/>
                <w:sz w:val="14"/>
              </w:rPr>
              <w:t>карактера методске јединице која се реализује. Уколико је потребно, нарочито за вежбе из корективне гимнастике, приступ је индиви­ дуалан.</w:t>
            </w:r>
          </w:p>
          <w:p w:rsidR="00041039" w:rsidRDefault="00041039">
            <w:pPr>
              <w:pStyle w:val="TableParagraph"/>
              <w:spacing w:before="10"/>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numPr>
                <w:ilvl w:val="0"/>
                <w:numId w:val="443"/>
              </w:numPr>
              <w:tabs>
                <w:tab w:val="left" w:pos="158"/>
              </w:tabs>
              <w:spacing w:line="237" w:lineRule="auto"/>
              <w:ind w:right="113" w:hanging="99"/>
              <w:rPr>
                <w:sz w:val="14"/>
              </w:rPr>
            </w:pPr>
            <w:r>
              <w:rPr>
                <w:color w:val="231F20"/>
                <w:sz w:val="14"/>
              </w:rPr>
              <w:t>Теоријска настава се реализује у учионици или у сали, истовреме­ но са практичном</w:t>
            </w:r>
            <w:r>
              <w:rPr>
                <w:color w:val="231F20"/>
                <w:spacing w:val="-5"/>
                <w:sz w:val="14"/>
              </w:rPr>
              <w:t xml:space="preserve"> </w:t>
            </w:r>
            <w:r>
              <w:rPr>
                <w:color w:val="231F20"/>
                <w:sz w:val="14"/>
              </w:rPr>
              <w:t>наставом.</w:t>
            </w:r>
          </w:p>
          <w:p w:rsidR="00041039" w:rsidRDefault="001B26CB">
            <w:pPr>
              <w:pStyle w:val="TableParagraph"/>
              <w:numPr>
                <w:ilvl w:val="0"/>
                <w:numId w:val="443"/>
              </w:numPr>
              <w:tabs>
                <w:tab w:val="left" w:pos="158"/>
              </w:tabs>
              <w:spacing w:line="237" w:lineRule="auto"/>
              <w:ind w:right="101" w:hanging="99"/>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041039" w:rsidRDefault="00041039">
            <w:pPr>
              <w:pStyle w:val="TableParagraph"/>
              <w:spacing w:before="10"/>
              <w:ind w:left="0"/>
              <w:rPr>
                <w:b/>
                <w:sz w:val="12"/>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numPr>
                <w:ilvl w:val="0"/>
                <w:numId w:val="443"/>
              </w:numPr>
              <w:tabs>
                <w:tab w:val="left" w:pos="158"/>
              </w:tabs>
              <w:spacing w:before="1" w:line="160" w:lineRule="exact"/>
              <w:ind w:right="74" w:hanging="99"/>
              <w:rPr>
                <w:sz w:val="14"/>
              </w:rPr>
            </w:pPr>
            <w:r>
              <w:rPr>
                <w:color w:val="231F20"/>
                <w:sz w:val="14"/>
              </w:rPr>
              <w:t>Настава се реализује у циклусима који трају приближно 10 ­ 12 часова (узастопних). Наставник</w:t>
            </w:r>
            <w:r>
              <w:rPr>
                <w:color w:val="231F20"/>
                <w:sz w:val="14"/>
              </w:rPr>
              <w:t>у физичког васпитања је</w:t>
            </w:r>
            <w:r>
              <w:rPr>
                <w:color w:val="231F20"/>
                <w:spacing w:val="-5"/>
                <w:sz w:val="14"/>
              </w:rPr>
              <w:t xml:space="preserve"> </w:t>
            </w:r>
            <w:r>
              <w:rPr>
                <w:color w:val="231F20"/>
                <w:sz w:val="14"/>
              </w:rPr>
              <w:t xml:space="preserve">остављено да зависно </w:t>
            </w:r>
            <w:r>
              <w:rPr>
                <w:color w:val="231F20"/>
                <w:spacing w:val="-3"/>
                <w:sz w:val="14"/>
              </w:rPr>
              <w:t xml:space="preserve">од </w:t>
            </w:r>
            <w:r>
              <w:rPr>
                <w:color w:val="231F20"/>
                <w:sz w:val="14"/>
              </w:rPr>
              <w:t>потреба, прецизира трајање сваког циклуса, као и редослед њиховог</w:t>
            </w:r>
            <w:r>
              <w:rPr>
                <w:color w:val="231F20"/>
                <w:spacing w:val="-2"/>
                <w:sz w:val="14"/>
              </w:rPr>
              <w:t xml:space="preserve"> </w:t>
            </w:r>
            <w:r>
              <w:rPr>
                <w:color w:val="231F20"/>
                <w:sz w:val="14"/>
              </w:rPr>
              <w:t>садржаја.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Садржај циклуса је:</w:t>
            </w:r>
          </w:p>
          <w:p w:rsidR="00041039" w:rsidRDefault="001B26CB">
            <w:pPr>
              <w:pStyle w:val="TableParagraph"/>
              <w:numPr>
                <w:ilvl w:val="0"/>
                <w:numId w:val="442"/>
              </w:numPr>
              <w:tabs>
                <w:tab w:val="left" w:pos="164"/>
              </w:tabs>
              <w:ind w:right="169"/>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 један;</w:t>
            </w:r>
          </w:p>
          <w:p w:rsidR="00041039" w:rsidRDefault="001B26CB">
            <w:pPr>
              <w:pStyle w:val="TableParagraph"/>
              <w:numPr>
                <w:ilvl w:val="0"/>
                <w:numId w:val="442"/>
              </w:numPr>
              <w:tabs>
                <w:tab w:val="left" w:pos="164"/>
              </w:tabs>
              <w:spacing w:line="159" w:lineRule="exact"/>
              <w:rPr>
                <w:sz w:val="14"/>
              </w:rPr>
            </w:pPr>
            <w:r>
              <w:rPr>
                <w:color w:val="231F20"/>
                <w:sz w:val="14"/>
              </w:rPr>
              <w:t>за атлетику ­</w:t>
            </w:r>
            <w:r>
              <w:rPr>
                <w:color w:val="231F20"/>
                <w:spacing w:val="-3"/>
                <w:sz w:val="14"/>
              </w:rPr>
              <w:t xml:space="preserve"> </w:t>
            </w:r>
            <w:r>
              <w:rPr>
                <w:color w:val="231F20"/>
                <w:sz w:val="14"/>
              </w:rPr>
              <w:t>један;</w:t>
            </w:r>
          </w:p>
          <w:p w:rsidR="00041039" w:rsidRDefault="001B26CB">
            <w:pPr>
              <w:pStyle w:val="TableParagraph"/>
              <w:numPr>
                <w:ilvl w:val="0"/>
                <w:numId w:val="442"/>
              </w:numPr>
              <w:tabs>
                <w:tab w:val="left" w:pos="164"/>
              </w:tabs>
              <w:ind w:right="68"/>
              <w:rPr>
                <w:sz w:val="14"/>
              </w:rPr>
            </w:pPr>
            <w:r>
              <w:rPr>
                <w:color w:val="231F20"/>
                <w:sz w:val="14"/>
              </w:rPr>
              <w:t>за гимнастику: вежбе на</w:t>
            </w:r>
            <w:r>
              <w:rPr>
                <w:color w:val="231F20"/>
                <w:spacing w:val="-22"/>
                <w:sz w:val="14"/>
              </w:rPr>
              <w:t xml:space="preserve"> </w:t>
            </w:r>
            <w:r>
              <w:rPr>
                <w:color w:val="231F20"/>
                <w:sz w:val="14"/>
              </w:rPr>
              <w:t>справама и тлу ­</w:t>
            </w:r>
            <w:r>
              <w:rPr>
                <w:color w:val="231F20"/>
                <w:spacing w:val="-2"/>
                <w:sz w:val="14"/>
              </w:rPr>
              <w:t xml:space="preserve"> </w:t>
            </w:r>
            <w:r>
              <w:rPr>
                <w:color w:val="231F20"/>
                <w:sz w:val="14"/>
              </w:rPr>
              <w:t>један;</w:t>
            </w:r>
          </w:p>
          <w:p w:rsidR="00041039" w:rsidRDefault="001B26CB">
            <w:pPr>
              <w:pStyle w:val="TableParagraph"/>
              <w:numPr>
                <w:ilvl w:val="0"/>
                <w:numId w:val="442"/>
              </w:numPr>
              <w:tabs>
                <w:tab w:val="left" w:pos="164"/>
              </w:tabs>
              <w:spacing w:line="159" w:lineRule="exact"/>
              <w:rPr>
                <w:sz w:val="14"/>
              </w:rPr>
            </w:pPr>
            <w:r>
              <w:rPr>
                <w:color w:val="231F20"/>
                <w:sz w:val="14"/>
              </w:rPr>
              <w:t>за спорт по избору ученика ­</w:t>
            </w:r>
            <w:r>
              <w:rPr>
                <w:color w:val="231F20"/>
                <w:spacing w:val="-12"/>
                <w:sz w:val="14"/>
              </w:rPr>
              <w:t xml:space="preserve"> </w:t>
            </w:r>
            <w:r>
              <w:rPr>
                <w:color w:val="231F20"/>
                <w:sz w:val="14"/>
              </w:rPr>
              <w:t>два;</w:t>
            </w:r>
          </w:p>
          <w:p w:rsidR="00041039" w:rsidRDefault="001B26CB">
            <w:pPr>
              <w:pStyle w:val="TableParagraph"/>
              <w:numPr>
                <w:ilvl w:val="0"/>
                <w:numId w:val="442"/>
              </w:numPr>
              <w:tabs>
                <w:tab w:val="left" w:pos="164"/>
              </w:tabs>
              <w:ind w:right="244"/>
              <w:rPr>
                <w:sz w:val="14"/>
              </w:rPr>
            </w:pPr>
            <w:r>
              <w:rPr>
                <w:color w:val="231F20"/>
                <w:sz w:val="14"/>
              </w:rPr>
              <w:t>за повезивање физичког васпитања са животом и</w:t>
            </w:r>
            <w:r>
              <w:rPr>
                <w:color w:val="231F20"/>
                <w:spacing w:val="-12"/>
                <w:sz w:val="14"/>
              </w:rPr>
              <w:t xml:space="preserve"> </w:t>
            </w:r>
            <w:r>
              <w:rPr>
                <w:color w:val="231F20"/>
                <w:sz w:val="14"/>
              </w:rPr>
              <w:t>радом</w:t>
            </w:r>
          </w:p>
          <w:p w:rsidR="00041039" w:rsidRDefault="001B26CB">
            <w:pPr>
              <w:pStyle w:val="TableParagraph"/>
              <w:spacing w:line="159" w:lineRule="exact"/>
              <w:ind w:left="163"/>
              <w:rPr>
                <w:sz w:val="14"/>
              </w:rPr>
            </w:pPr>
            <w:r>
              <w:rPr>
                <w:color w:val="231F20"/>
                <w:sz w:val="14"/>
              </w:rPr>
              <w:t>- један.</w:t>
            </w:r>
          </w:p>
          <w:p w:rsidR="00041039" w:rsidRDefault="00041039">
            <w:pPr>
              <w:pStyle w:val="TableParagraph"/>
              <w:spacing w:before="7"/>
              <w:ind w:left="0"/>
              <w:rPr>
                <w:b/>
                <w:sz w:val="13"/>
              </w:rPr>
            </w:pPr>
          </w:p>
          <w:p w:rsidR="00041039" w:rsidRDefault="001B26CB">
            <w:pPr>
              <w:pStyle w:val="TableParagraph"/>
              <w:spacing w:before="1"/>
              <w:ind w:left="58"/>
              <w:rPr>
                <w:sz w:val="14"/>
              </w:rPr>
            </w:pPr>
            <w:r>
              <w:rPr>
                <w:b/>
                <w:color w:val="231F20"/>
                <w:sz w:val="14"/>
              </w:rPr>
              <w:t xml:space="preserve">Начин остваривања програма </w:t>
            </w:r>
            <w:r>
              <w:rPr>
                <w:color w:val="231F20"/>
                <w:sz w:val="14"/>
              </w:rPr>
              <w:t xml:space="preserve">Садржаји програма усмерени су на: развијање физичких способности; спортско ­ техничко образовање; повезивање </w:t>
            </w:r>
            <w:r>
              <w:rPr>
                <w:color w:val="231F20"/>
                <w:sz w:val="14"/>
              </w:rPr>
              <w:t>физичког васпитања са животом и радом.</w:t>
            </w:r>
          </w:p>
          <w:p w:rsidR="00041039" w:rsidRDefault="001B26CB">
            <w:pPr>
              <w:pStyle w:val="TableParagraph"/>
              <w:spacing w:line="237" w:lineRule="auto"/>
              <w:ind w:left="58"/>
              <w:rPr>
                <w:sz w:val="14"/>
              </w:rPr>
            </w:pPr>
            <w:r>
              <w:rPr>
                <w:color w:val="231F20"/>
                <w:sz w:val="14"/>
              </w:rPr>
              <w:t>Годишњи план, програм и распоред кросева, такмичења, зимовања</w:t>
            </w:r>
          </w:p>
          <w:p w:rsidR="00041039" w:rsidRDefault="001B26CB">
            <w:pPr>
              <w:pStyle w:val="TableParagraph"/>
              <w:ind w:left="58" w:right="252"/>
              <w:rPr>
                <w:sz w:val="14"/>
              </w:rPr>
            </w:pPr>
            <w:r>
              <w:rPr>
                <w:color w:val="231F20"/>
                <w:sz w:val="14"/>
              </w:rPr>
              <w:t xml:space="preserve">и других облика рада утврђује се на почетку </w:t>
            </w:r>
            <w:r>
              <w:rPr>
                <w:color w:val="231F20"/>
                <w:spacing w:val="-3"/>
                <w:sz w:val="14"/>
              </w:rPr>
              <w:t xml:space="preserve">школске </w:t>
            </w:r>
            <w:r>
              <w:rPr>
                <w:color w:val="231F20"/>
                <w:sz w:val="14"/>
              </w:rPr>
              <w:t xml:space="preserve">године на наставничком </w:t>
            </w:r>
            <w:r>
              <w:rPr>
                <w:color w:val="231F20"/>
                <w:spacing w:val="-3"/>
                <w:sz w:val="14"/>
              </w:rPr>
              <w:t xml:space="preserve">већу, </w:t>
            </w:r>
            <w:r>
              <w:rPr>
                <w:color w:val="231F20"/>
                <w:sz w:val="14"/>
              </w:rPr>
              <w:t>на</w:t>
            </w:r>
            <w:r>
              <w:rPr>
                <w:color w:val="231F20"/>
                <w:spacing w:val="-7"/>
                <w:sz w:val="14"/>
              </w:rPr>
              <w:t xml:space="preserve"> </w:t>
            </w:r>
            <w:r>
              <w:rPr>
                <w:color w:val="231F20"/>
                <w:sz w:val="14"/>
              </w:rPr>
              <w:t>предлог</w:t>
            </w:r>
          </w:p>
          <w:p w:rsidR="00041039" w:rsidRDefault="001B26CB">
            <w:pPr>
              <w:pStyle w:val="TableParagraph"/>
              <w:spacing w:line="237" w:lineRule="auto"/>
              <w:ind w:left="58"/>
              <w:rPr>
                <w:sz w:val="14"/>
              </w:rPr>
            </w:pPr>
            <w:r>
              <w:rPr>
                <w:color w:val="231F20"/>
                <w:sz w:val="14"/>
              </w:rPr>
              <w:t>стручног већа наставника физичког васпитања.</w:t>
            </w:r>
          </w:p>
          <w:p w:rsidR="00041039" w:rsidRDefault="001B26CB">
            <w:pPr>
              <w:pStyle w:val="TableParagraph"/>
              <w:ind w:left="58" w:right="67"/>
              <w:rPr>
                <w:sz w:val="14"/>
              </w:rPr>
            </w:pPr>
            <w:r>
              <w:rPr>
                <w:color w:val="231F20"/>
                <w:sz w:val="14"/>
              </w:rPr>
              <w:t>Стручно веће наставника физичког васпитања, самостално, одређује редослед обраде појединих садржаја програма и циклуса.</w:t>
            </w:r>
          </w:p>
          <w:p w:rsidR="00041039" w:rsidRDefault="001B26CB">
            <w:pPr>
              <w:pStyle w:val="TableParagraph"/>
              <w:spacing w:line="237" w:lineRule="auto"/>
              <w:ind w:left="58" w:right="39"/>
              <w:rPr>
                <w:sz w:val="14"/>
              </w:rPr>
            </w:pPr>
            <w:r>
              <w:rPr>
                <w:color w:val="231F20"/>
                <w:sz w:val="14"/>
              </w:rPr>
              <w:t xml:space="preserve">Часови у току недеље треба да буду распоређени у једнаким интерва­ лима, </w:t>
            </w:r>
            <w:r>
              <w:rPr>
                <w:b/>
                <w:color w:val="231F20"/>
                <w:sz w:val="14"/>
              </w:rPr>
              <w:t xml:space="preserve">не могу се одржавати као блок часови. </w:t>
            </w:r>
            <w:r>
              <w:rPr>
                <w:color w:val="231F20"/>
                <w:sz w:val="14"/>
              </w:rPr>
              <w:t>Настава се не може одржав</w:t>
            </w:r>
            <w:r>
              <w:rPr>
                <w:color w:val="231F20"/>
                <w:sz w:val="14"/>
              </w:rPr>
              <w:t xml:space="preserve">ати </w:t>
            </w:r>
            <w:r>
              <w:rPr>
                <w:b/>
                <w:color w:val="231F20"/>
                <w:sz w:val="14"/>
              </w:rPr>
              <w:t xml:space="preserve">истовремено са два одељења </w:t>
            </w:r>
            <w:r>
              <w:rPr>
                <w:color w:val="231F20"/>
                <w:sz w:val="14"/>
              </w:rPr>
              <w:t>ни на спортском терену ни у фискултурној сали.</w:t>
            </w:r>
          </w:p>
        </w:tc>
      </w:tr>
      <w:tr w:rsidR="00041039">
        <w:trPr>
          <w:trHeight w:val="1218"/>
        </w:trPr>
        <w:tc>
          <w:tcPr>
            <w:tcW w:w="1304" w:type="dxa"/>
            <w:tcBorders>
              <w:bottom w:val="nil"/>
            </w:tcBorders>
          </w:tcPr>
          <w:p w:rsidR="00041039" w:rsidRDefault="001B26CB">
            <w:pPr>
              <w:pStyle w:val="TableParagraph"/>
              <w:spacing w:before="20"/>
              <w:ind w:left="56" w:right="77"/>
              <w:rPr>
                <w:sz w:val="14"/>
              </w:rPr>
            </w:pPr>
            <w:r>
              <w:rPr>
                <w:color w:val="231F20"/>
                <w:sz w:val="14"/>
              </w:rPr>
              <w:t>Усвајање знања, умења и вештина из спортских грана и дисциплина као основа за реализо­ вање постављених циљева и исхода</w:t>
            </w:r>
          </w:p>
        </w:tc>
        <w:tc>
          <w:tcPr>
            <w:tcW w:w="1587" w:type="dxa"/>
            <w:vMerge w:val="restart"/>
          </w:tcPr>
          <w:p w:rsidR="00041039" w:rsidRDefault="001B26CB">
            <w:pPr>
              <w:pStyle w:val="TableParagraph"/>
              <w:numPr>
                <w:ilvl w:val="0"/>
                <w:numId w:val="441"/>
              </w:numPr>
              <w:tabs>
                <w:tab w:val="left" w:pos="157"/>
              </w:tabs>
              <w:spacing w:before="10"/>
              <w:ind w:right="81"/>
              <w:rPr>
                <w:sz w:val="14"/>
              </w:rPr>
            </w:pPr>
            <w:r>
              <w:rPr>
                <w:color w:val="231F20"/>
                <w:sz w:val="14"/>
              </w:rPr>
              <w:t>Стицање моторичких умења (вештина) и теоријских знања неопходних за</w:t>
            </w:r>
            <w:r>
              <w:rPr>
                <w:color w:val="231F20"/>
                <w:spacing w:val="-22"/>
                <w:sz w:val="14"/>
              </w:rPr>
              <w:t xml:space="preserve"> </w:t>
            </w:r>
            <w:r>
              <w:rPr>
                <w:color w:val="231F20"/>
                <w:sz w:val="14"/>
              </w:rPr>
              <w:t>њихово усвајање.</w:t>
            </w:r>
          </w:p>
          <w:p w:rsidR="00041039" w:rsidRDefault="001B26CB">
            <w:pPr>
              <w:pStyle w:val="TableParagraph"/>
              <w:numPr>
                <w:ilvl w:val="0"/>
                <w:numId w:val="441"/>
              </w:numPr>
              <w:tabs>
                <w:tab w:val="left" w:pos="157"/>
              </w:tabs>
              <w:spacing w:line="155" w:lineRule="exact"/>
              <w:rPr>
                <w:sz w:val="14"/>
              </w:rPr>
            </w:pPr>
            <w:r>
              <w:rPr>
                <w:color w:val="231F20"/>
                <w:sz w:val="14"/>
              </w:rPr>
              <w:t>Мотивација ученика</w:t>
            </w:r>
            <w:r>
              <w:rPr>
                <w:color w:val="231F20"/>
                <w:spacing w:val="-8"/>
                <w:sz w:val="14"/>
              </w:rPr>
              <w:t xml:space="preserve"> </w:t>
            </w:r>
            <w:r>
              <w:rPr>
                <w:color w:val="231F20"/>
                <w:sz w:val="14"/>
              </w:rPr>
              <w:t>за</w:t>
            </w:r>
          </w:p>
          <w:p w:rsidR="00041039" w:rsidRDefault="001B26CB">
            <w:pPr>
              <w:pStyle w:val="TableParagraph"/>
              <w:ind w:right="152"/>
              <w:rPr>
                <w:sz w:val="14"/>
              </w:rPr>
            </w:pPr>
            <w:r>
              <w:rPr>
                <w:color w:val="231F20"/>
                <w:sz w:val="14"/>
              </w:rPr>
              <w:t>бављењем физичким активностима.</w:t>
            </w:r>
          </w:p>
          <w:p w:rsidR="00041039" w:rsidRDefault="001B26CB">
            <w:pPr>
              <w:pStyle w:val="TableParagraph"/>
              <w:numPr>
                <w:ilvl w:val="0"/>
                <w:numId w:val="441"/>
              </w:numPr>
              <w:tabs>
                <w:tab w:val="left" w:pos="157"/>
              </w:tabs>
              <w:spacing w:line="160" w:lineRule="exact"/>
              <w:ind w:right="108"/>
              <w:rPr>
                <w:sz w:val="14"/>
              </w:rPr>
            </w:pPr>
            <w:r>
              <w:rPr>
                <w:color w:val="231F20"/>
                <w:sz w:val="14"/>
              </w:rPr>
              <w:t>Формирање позитив­ них психо</w:t>
            </w:r>
            <w:r>
              <w:rPr>
                <w:color w:val="231F20"/>
                <w:spacing w:val="-13"/>
                <w:sz w:val="14"/>
              </w:rPr>
              <w:t xml:space="preserve"> </w:t>
            </w:r>
            <w:r>
              <w:rPr>
                <w:color w:val="231F20"/>
                <w:sz w:val="14"/>
              </w:rPr>
              <w:t>социјалних образаца</w:t>
            </w:r>
            <w:r>
              <w:rPr>
                <w:color w:val="231F20"/>
                <w:spacing w:val="-3"/>
                <w:sz w:val="14"/>
              </w:rPr>
              <w:t xml:space="preserve"> </w:t>
            </w:r>
            <w:r>
              <w:rPr>
                <w:color w:val="231F20"/>
                <w:sz w:val="14"/>
              </w:rPr>
              <w:t>понашања.</w:t>
            </w:r>
          </w:p>
          <w:p w:rsidR="00041039" w:rsidRDefault="001B26CB">
            <w:pPr>
              <w:pStyle w:val="TableParagraph"/>
              <w:numPr>
                <w:ilvl w:val="0"/>
                <w:numId w:val="441"/>
              </w:numPr>
              <w:tabs>
                <w:tab w:val="left" w:pos="157"/>
              </w:tabs>
              <w:spacing w:line="160" w:lineRule="exact"/>
              <w:ind w:right="59"/>
              <w:rPr>
                <w:sz w:val="14"/>
              </w:rPr>
            </w:pPr>
            <w:r>
              <w:rPr>
                <w:color w:val="231F20"/>
                <w:sz w:val="14"/>
              </w:rPr>
              <w:t>Примена стечених умења, знања и</w:t>
            </w:r>
            <w:r>
              <w:rPr>
                <w:color w:val="231F20"/>
                <w:spacing w:val="-14"/>
                <w:sz w:val="14"/>
              </w:rPr>
              <w:t xml:space="preserve"> </w:t>
            </w:r>
            <w:r>
              <w:rPr>
                <w:color w:val="231F20"/>
                <w:sz w:val="14"/>
              </w:rPr>
              <w:t>навика у свакодневним усло</w:t>
            </w:r>
            <w:r>
              <w:rPr>
                <w:color w:val="231F20"/>
                <w:sz w:val="14"/>
              </w:rPr>
              <w:t>­ вима живота и</w:t>
            </w:r>
            <w:r>
              <w:rPr>
                <w:color w:val="231F20"/>
                <w:spacing w:val="-4"/>
                <w:sz w:val="14"/>
              </w:rPr>
              <w:t xml:space="preserve"> </w:t>
            </w:r>
            <w:r>
              <w:rPr>
                <w:color w:val="231F20"/>
                <w:sz w:val="14"/>
              </w:rPr>
              <w:t>рада.</w:t>
            </w:r>
          </w:p>
          <w:p w:rsidR="00041039" w:rsidRDefault="001B26CB">
            <w:pPr>
              <w:pStyle w:val="TableParagraph"/>
              <w:numPr>
                <w:ilvl w:val="0"/>
                <w:numId w:val="441"/>
              </w:numPr>
              <w:tabs>
                <w:tab w:val="left" w:pos="157"/>
              </w:tabs>
              <w:spacing w:line="160" w:lineRule="exact"/>
              <w:ind w:right="145"/>
              <w:rPr>
                <w:sz w:val="14"/>
              </w:rPr>
            </w:pPr>
            <w:r>
              <w:rPr>
                <w:color w:val="231F20"/>
                <w:sz w:val="14"/>
              </w:rPr>
              <w:t>Естетско</w:t>
            </w:r>
            <w:r>
              <w:rPr>
                <w:color w:val="231F20"/>
                <w:spacing w:val="-12"/>
                <w:sz w:val="14"/>
              </w:rPr>
              <w:t xml:space="preserve"> </w:t>
            </w:r>
            <w:r>
              <w:rPr>
                <w:color w:val="231F20"/>
                <w:sz w:val="14"/>
              </w:rPr>
              <w:t>изражавање покретом и дожи­ вљавање естетских вредности покрета и кретања.</w:t>
            </w:r>
          </w:p>
          <w:p w:rsidR="00041039" w:rsidRDefault="001B26CB">
            <w:pPr>
              <w:pStyle w:val="TableParagraph"/>
              <w:numPr>
                <w:ilvl w:val="0"/>
                <w:numId w:val="441"/>
              </w:numPr>
              <w:tabs>
                <w:tab w:val="left" w:pos="157"/>
              </w:tabs>
              <w:spacing w:before="1" w:line="160" w:lineRule="exact"/>
              <w:ind w:right="102"/>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041039" w:rsidRDefault="001B26CB">
            <w:pPr>
              <w:pStyle w:val="TableParagraph"/>
              <w:numPr>
                <w:ilvl w:val="0"/>
                <w:numId w:val="441"/>
              </w:numPr>
              <w:tabs>
                <w:tab w:val="left" w:pos="157"/>
              </w:tabs>
              <w:spacing w:line="160" w:lineRule="exact"/>
              <w:ind w:right="76"/>
              <w:rPr>
                <w:sz w:val="14"/>
              </w:rPr>
            </w:pPr>
            <w:r>
              <w:rPr>
                <w:color w:val="231F20"/>
                <w:sz w:val="14"/>
              </w:rPr>
              <w:t>Повезивање моторич­ ких задатака у</w:t>
            </w:r>
            <w:r>
              <w:rPr>
                <w:color w:val="231F20"/>
                <w:spacing w:val="-16"/>
                <w:sz w:val="14"/>
              </w:rPr>
              <w:t xml:space="preserve"> </w:t>
            </w:r>
            <w:r>
              <w:rPr>
                <w:color w:val="231F20"/>
                <w:sz w:val="14"/>
              </w:rPr>
              <w:t>целине.</w:t>
            </w:r>
          </w:p>
          <w:p w:rsidR="00041039" w:rsidRDefault="001B26CB">
            <w:pPr>
              <w:pStyle w:val="TableParagraph"/>
              <w:numPr>
                <w:ilvl w:val="0"/>
                <w:numId w:val="441"/>
              </w:numPr>
              <w:tabs>
                <w:tab w:val="left" w:pos="157"/>
              </w:tabs>
              <w:spacing w:line="160" w:lineRule="exact"/>
              <w:ind w:right="157"/>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сусрете и манифес­ тације.</w:t>
            </w:r>
          </w:p>
          <w:p w:rsidR="00041039" w:rsidRDefault="001B26CB">
            <w:pPr>
              <w:pStyle w:val="TableParagraph"/>
              <w:numPr>
                <w:ilvl w:val="0"/>
                <w:numId w:val="441"/>
              </w:numPr>
              <w:tabs>
                <w:tab w:val="left" w:pos="157"/>
              </w:tabs>
              <w:spacing w:line="160" w:lineRule="exact"/>
              <w:ind w:right="80"/>
              <w:rPr>
                <w:sz w:val="14"/>
              </w:rPr>
            </w:pPr>
            <w:r>
              <w:rPr>
                <w:color w:val="231F20"/>
                <w:sz w:val="14"/>
              </w:rPr>
              <w:t>Развијање елемената ритма у</w:t>
            </w:r>
            <w:r>
              <w:rPr>
                <w:color w:val="231F20"/>
                <w:spacing w:val="-10"/>
                <w:sz w:val="14"/>
              </w:rPr>
              <w:t xml:space="preserve"> </w:t>
            </w:r>
            <w:r>
              <w:rPr>
                <w:color w:val="231F20"/>
                <w:sz w:val="14"/>
              </w:rPr>
              <w:t>препознавању целина: рад ­ одмор, напрезање ­ релакса­ ција. убрзање ­ успо­ равање.</w:t>
            </w:r>
          </w:p>
          <w:p w:rsidR="00041039" w:rsidRDefault="001B26CB">
            <w:pPr>
              <w:pStyle w:val="TableParagraph"/>
              <w:numPr>
                <w:ilvl w:val="0"/>
                <w:numId w:val="441"/>
              </w:numPr>
              <w:tabs>
                <w:tab w:val="left" w:pos="157"/>
              </w:tabs>
              <w:spacing w:line="160" w:lineRule="exact"/>
              <w:ind w:right="359"/>
              <w:rPr>
                <w:sz w:val="14"/>
              </w:rPr>
            </w:pPr>
            <w:r>
              <w:rPr>
                <w:color w:val="231F20"/>
                <w:sz w:val="14"/>
              </w:rPr>
              <w:t>Избор спортова, односно</w:t>
            </w:r>
            <w:r>
              <w:rPr>
                <w:color w:val="231F20"/>
                <w:spacing w:val="-10"/>
                <w:sz w:val="14"/>
              </w:rPr>
              <w:t xml:space="preserve"> </w:t>
            </w:r>
            <w:r>
              <w:rPr>
                <w:color w:val="231F20"/>
                <w:sz w:val="14"/>
              </w:rPr>
              <w:t>спортско</w:t>
            </w:r>
          </w:p>
          <w:p w:rsidR="00041039" w:rsidRDefault="001B26CB">
            <w:pPr>
              <w:pStyle w:val="TableParagraph"/>
              <w:spacing w:line="237" w:lineRule="auto"/>
              <w:ind w:right="15"/>
              <w:rPr>
                <w:sz w:val="14"/>
              </w:rPr>
            </w:pPr>
            <w:r>
              <w:rPr>
                <w:color w:val="231F20"/>
                <w:sz w:val="14"/>
              </w:rPr>
              <w:t>- рекреативних или других кретних ак­ тивности као трајног опредељења за њихово свакодневно упражња­ вање.</w:t>
            </w:r>
          </w:p>
        </w:tc>
        <w:tc>
          <w:tcPr>
            <w:tcW w:w="2551" w:type="dxa"/>
            <w:vMerge w:val="restart"/>
          </w:tcPr>
          <w:p w:rsidR="00041039" w:rsidRDefault="001B26CB">
            <w:pPr>
              <w:pStyle w:val="TableParagraph"/>
              <w:numPr>
                <w:ilvl w:val="0"/>
                <w:numId w:val="440"/>
              </w:numPr>
              <w:tabs>
                <w:tab w:val="left" w:pos="157"/>
              </w:tabs>
              <w:spacing w:before="11"/>
              <w:ind w:right="95" w:hanging="99"/>
              <w:rPr>
                <w:sz w:val="14"/>
              </w:rPr>
            </w:pPr>
            <w:r>
              <w:rPr>
                <w:color w:val="231F20"/>
                <w:spacing w:val="-2"/>
                <w:sz w:val="14"/>
              </w:rPr>
              <w:t xml:space="preserve">кратко </w:t>
            </w:r>
            <w:r>
              <w:rPr>
                <w:color w:val="231F20"/>
                <w:sz w:val="14"/>
              </w:rPr>
              <w:t>опише основне карактеристике и правила атлетике, гимнастике и спортске гране ­ дисциплина које се уче;</w:t>
            </w:r>
          </w:p>
          <w:p w:rsidR="00041039" w:rsidRDefault="001B26CB">
            <w:pPr>
              <w:pStyle w:val="TableParagraph"/>
              <w:numPr>
                <w:ilvl w:val="0"/>
                <w:numId w:val="440"/>
              </w:numPr>
              <w:tabs>
                <w:tab w:val="left" w:pos="157"/>
              </w:tabs>
              <w:spacing w:line="156" w:lineRule="exact"/>
              <w:ind w:hanging="99"/>
              <w:rPr>
                <w:sz w:val="14"/>
              </w:rPr>
            </w:pPr>
            <w:r>
              <w:rPr>
                <w:color w:val="231F20"/>
                <w:sz w:val="14"/>
              </w:rPr>
              <w:t>демонстрира технику</w:t>
            </w:r>
            <w:r>
              <w:rPr>
                <w:color w:val="231F20"/>
                <w:spacing w:val="-3"/>
                <w:sz w:val="14"/>
              </w:rPr>
              <w:t xml:space="preserve"> </w:t>
            </w:r>
            <w:r>
              <w:rPr>
                <w:color w:val="231F20"/>
                <w:sz w:val="14"/>
              </w:rPr>
              <w:t>дисциплина</w:t>
            </w:r>
          </w:p>
          <w:p w:rsidR="00041039" w:rsidRDefault="001B26CB">
            <w:pPr>
              <w:pStyle w:val="TableParagraph"/>
              <w:ind w:right="8"/>
              <w:rPr>
                <w:sz w:val="14"/>
              </w:rPr>
            </w:pPr>
            <w:r>
              <w:rPr>
                <w:color w:val="231F20"/>
                <w:sz w:val="14"/>
              </w:rPr>
              <w:t>из атлетике и гимнастике (вежби на справама и тлу) које поседују вештину, технику и тактику спортске игре као</w:t>
            </w:r>
          </w:p>
          <w:p w:rsidR="00041039" w:rsidRDefault="001B26CB">
            <w:pPr>
              <w:pStyle w:val="TableParagraph"/>
              <w:spacing w:line="237" w:lineRule="auto"/>
              <w:ind w:right="179"/>
              <w:rPr>
                <w:sz w:val="14"/>
              </w:rPr>
            </w:pPr>
            <w:r>
              <w:rPr>
                <w:color w:val="231F20"/>
                <w:sz w:val="14"/>
              </w:rPr>
              <w:t>и вежбе из осталих програмом пред­ виђених садржаја;</w:t>
            </w:r>
          </w:p>
          <w:p w:rsidR="00041039" w:rsidRDefault="001B26CB">
            <w:pPr>
              <w:pStyle w:val="TableParagraph"/>
              <w:numPr>
                <w:ilvl w:val="0"/>
                <w:numId w:val="440"/>
              </w:numPr>
              <w:tabs>
                <w:tab w:val="left" w:pos="157"/>
              </w:tabs>
              <w:spacing w:line="237" w:lineRule="auto"/>
              <w:ind w:right="73" w:hanging="99"/>
              <w:rPr>
                <w:sz w:val="14"/>
              </w:rPr>
            </w:pPr>
            <w:r>
              <w:rPr>
                <w:color w:val="231F20"/>
                <w:sz w:val="14"/>
              </w:rPr>
              <w:t>детаљније опише правила спортске гране за коју показује посебан</w:t>
            </w:r>
            <w:r>
              <w:rPr>
                <w:color w:val="231F20"/>
                <w:spacing w:val="-20"/>
                <w:sz w:val="14"/>
              </w:rPr>
              <w:t xml:space="preserve"> </w:t>
            </w:r>
            <w:r>
              <w:rPr>
                <w:color w:val="231F20"/>
                <w:sz w:val="14"/>
              </w:rPr>
              <w:t>интерес</w:t>
            </w:r>
          </w:p>
          <w:p w:rsidR="00041039" w:rsidRDefault="001B26CB">
            <w:pPr>
              <w:pStyle w:val="TableParagraph"/>
              <w:spacing w:line="155" w:lineRule="exact"/>
              <w:rPr>
                <w:sz w:val="14"/>
              </w:rPr>
            </w:pPr>
            <w:r>
              <w:rPr>
                <w:color w:val="231F20"/>
                <w:sz w:val="14"/>
              </w:rPr>
              <w:t>- за коју школа има у</w:t>
            </w:r>
            <w:r>
              <w:rPr>
                <w:color w:val="231F20"/>
                <w:sz w:val="14"/>
              </w:rPr>
              <w:t>слове;</w:t>
            </w:r>
          </w:p>
          <w:p w:rsidR="00041039" w:rsidRDefault="001B26CB">
            <w:pPr>
              <w:pStyle w:val="TableParagraph"/>
              <w:numPr>
                <w:ilvl w:val="0"/>
                <w:numId w:val="440"/>
              </w:numPr>
              <w:tabs>
                <w:tab w:val="left" w:pos="157"/>
              </w:tabs>
              <w:spacing w:line="237" w:lineRule="auto"/>
              <w:ind w:right="64" w:hanging="99"/>
              <w:rPr>
                <w:sz w:val="14"/>
              </w:rPr>
            </w:pPr>
            <w:r>
              <w:rPr>
                <w:color w:val="231F20"/>
                <w:sz w:val="14"/>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3"/>
                <w:sz w:val="14"/>
              </w:rPr>
              <w:t xml:space="preserve"> </w:t>
            </w:r>
            <w:r>
              <w:rPr>
                <w:color w:val="231F20"/>
                <w:sz w:val="14"/>
              </w:rPr>
              <w:t>активности;</w:t>
            </w:r>
          </w:p>
          <w:p w:rsidR="00041039" w:rsidRDefault="001B26CB">
            <w:pPr>
              <w:pStyle w:val="TableParagraph"/>
              <w:numPr>
                <w:ilvl w:val="0"/>
                <w:numId w:val="440"/>
              </w:numPr>
              <w:tabs>
                <w:tab w:val="left" w:pos="157"/>
              </w:tabs>
              <w:spacing w:line="237" w:lineRule="auto"/>
              <w:ind w:right="46" w:hanging="99"/>
              <w:rPr>
                <w:sz w:val="14"/>
              </w:rPr>
            </w:pPr>
            <w:r>
              <w:rPr>
                <w:color w:val="231F20"/>
                <w:sz w:val="14"/>
              </w:rPr>
              <w:t>жели да се бави физичким, односно спортским активностима, пошто</w:t>
            </w:r>
            <w:r>
              <w:rPr>
                <w:color w:val="231F20"/>
                <w:spacing w:val="-15"/>
                <w:sz w:val="14"/>
              </w:rPr>
              <w:t xml:space="preserve"> </w:t>
            </w:r>
            <w:r>
              <w:rPr>
                <w:color w:val="231F20"/>
                <w:sz w:val="14"/>
              </w:rPr>
              <w:t xml:space="preserve">сагле­ дава </w:t>
            </w:r>
            <w:r>
              <w:rPr>
                <w:color w:val="231F20"/>
                <w:sz w:val="14"/>
              </w:rPr>
              <w:t>(детектује) позитивне</w:t>
            </w:r>
            <w:r>
              <w:rPr>
                <w:color w:val="231F20"/>
                <w:spacing w:val="-17"/>
                <w:sz w:val="14"/>
              </w:rPr>
              <w:t xml:space="preserve"> </w:t>
            </w:r>
            <w:r>
              <w:rPr>
                <w:color w:val="231F20"/>
                <w:sz w:val="14"/>
              </w:rPr>
              <w:t>карактерис­ тике физичке и спортске активности ­ њихове позитивне утицаје на здравље, дружење и добро</w:t>
            </w:r>
            <w:r>
              <w:rPr>
                <w:color w:val="231F20"/>
                <w:spacing w:val="-4"/>
                <w:sz w:val="14"/>
              </w:rPr>
              <w:t xml:space="preserve"> </w:t>
            </w:r>
            <w:r>
              <w:rPr>
                <w:color w:val="231F20"/>
                <w:sz w:val="14"/>
              </w:rPr>
              <w:t>расположење;</w:t>
            </w:r>
          </w:p>
          <w:p w:rsidR="00041039" w:rsidRDefault="001B26CB">
            <w:pPr>
              <w:pStyle w:val="TableParagraph"/>
              <w:numPr>
                <w:ilvl w:val="0"/>
                <w:numId w:val="440"/>
              </w:numPr>
              <w:tabs>
                <w:tab w:val="left" w:pos="157"/>
              </w:tabs>
              <w:spacing w:line="237" w:lineRule="auto"/>
              <w:ind w:right="131" w:hanging="99"/>
              <w:rPr>
                <w:sz w:val="14"/>
              </w:rPr>
            </w:pPr>
            <w:r>
              <w:rPr>
                <w:color w:val="231F20"/>
                <w:sz w:val="14"/>
              </w:rPr>
              <w:t xml:space="preserve">сагледа негативне утицаје савреме­ ног начина живота (пушење, дрога, насиље, деликвентно понашање) и </w:t>
            </w:r>
            <w:r>
              <w:rPr>
                <w:color w:val="231F20"/>
                <w:spacing w:val="-4"/>
                <w:sz w:val="14"/>
              </w:rPr>
              <w:t xml:space="preserve">буде </w:t>
            </w:r>
            <w:r>
              <w:rPr>
                <w:color w:val="231F20"/>
                <w:sz w:val="14"/>
              </w:rPr>
              <w:t>свестан да је</w:t>
            </w:r>
            <w:r>
              <w:rPr>
                <w:color w:val="231F20"/>
                <w:sz w:val="14"/>
              </w:rPr>
              <w:t xml:space="preserve"> физичким, односно спортским активностима могуће пре­ дупредити негативне</w:t>
            </w:r>
            <w:r>
              <w:rPr>
                <w:color w:val="231F20"/>
                <w:spacing w:val="-2"/>
                <w:sz w:val="14"/>
              </w:rPr>
              <w:t xml:space="preserve"> </w:t>
            </w:r>
            <w:r>
              <w:rPr>
                <w:color w:val="231F20"/>
                <w:sz w:val="14"/>
              </w:rPr>
              <w:t>утицаје;</w:t>
            </w:r>
          </w:p>
          <w:p w:rsidR="00041039" w:rsidRDefault="001B26CB">
            <w:pPr>
              <w:pStyle w:val="TableParagraph"/>
              <w:numPr>
                <w:ilvl w:val="0"/>
                <w:numId w:val="440"/>
              </w:numPr>
              <w:tabs>
                <w:tab w:val="left" w:pos="157"/>
              </w:tabs>
              <w:spacing w:line="237" w:lineRule="auto"/>
              <w:ind w:right="129" w:hanging="99"/>
              <w:rPr>
                <w:sz w:val="14"/>
              </w:rPr>
            </w:pPr>
            <w:r>
              <w:rPr>
                <w:color w:val="231F20"/>
                <w:sz w:val="14"/>
              </w:rPr>
              <w:t>комуницира путем физичких</w:t>
            </w:r>
            <w:r>
              <w:rPr>
                <w:color w:val="231F20"/>
                <w:spacing w:val="-17"/>
                <w:sz w:val="14"/>
              </w:rPr>
              <w:t xml:space="preserve"> </w:t>
            </w:r>
            <w:r>
              <w:rPr>
                <w:color w:val="231F20"/>
                <w:sz w:val="14"/>
              </w:rPr>
              <w:t>односно спортских активности са својим друговима и ужива у дружењу и контактима;</w:t>
            </w:r>
          </w:p>
          <w:p w:rsidR="00041039" w:rsidRDefault="001B26CB">
            <w:pPr>
              <w:pStyle w:val="TableParagraph"/>
              <w:numPr>
                <w:ilvl w:val="0"/>
                <w:numId w:val="440"/>
              </w:numPr>
              <w:tabs>
                <w:tab w:val="left" w:pos="157"/>
              </w:tabs>
              <w:spacing w:line="237" w:lineRule="auto"/>
              <w:ind w:right="190" w:hanging="99"/>
              <w:rPr>
                <w:sz w:val="14"/>
              </w:rPr>
            </w:pPr>
            <w:r>
              <w:rPr>
                <w:color w:val="231F20"/>
                <w:sz w:val="14"/>
              </w:rPr>
              <w:t>доводи у везу свакодневни живот и способност за учење и практичан рад са физичким односно</w:t>
            </w:r>
            <w:r>
              <w:rPr>
                <w:color w:val="231F20"/>
                <w:spacing w:val="-2"/>
                <w:sz w:val="14"/>
              </w:rPr>
              <w:t xml:space="preserve"> </w:t>
            </w:r>
            <w:r>
              <w:rPr>
                <w:color w:val="231F20"/>
                <w:sz w:val="14"/>
              </w:rPr>
              <w:t>спортским</w:t>
            </w:r>
          </w:p>
          <w:p w:rsidR="00041039" w:rsidRDefault="001B26CB">
            <w:pPr>
              <w:pStyle w:val="TableParagraph"/>
              <w:spacing w:line="155" w:lineRule="exact"/>
              <w:rPr>
                <w:sz w:val="14"/>
              </w:rPr>
            </w:pPr>
            <w:r>
              <w:rPr>
                <w:color w:val="231F20"/>
                <w:sz w:val="14"/>
              </w:rPr>
              <w:t>активностима и правилном исхраном;</w:t>
            </w:r>
          </w:p>
          <w:p w:rsidR="00041039" w:rsidRDefault="001B26CB">
            <w:pPr>
              <w:pStyle w:val="TableParagraph"/>
              <w:numPr>
                <w:ilvl w:val="0"/>
                <w:numId w:val="440"/>
              </w:numPr>
              <w:tabs>
                <w:tab w:val="left" w:pos="157"/>
              </w:tabs>
              <w:spacing w:line="237" w:lineRule="auto"/>
              <w:ind w:right="291" w:hanging="99"/>
              <w:rPr>
                <w:sz w:val="14"/>
              </w:rPr>
            </w:pPr>
            <w:r>
              <w:rPr>
                <w:color w:val="231F20"/>
                <w:sz w:val="14"/>
              </w:rPr>
              <w:t>самостално бира физичку,</w:t>
            </w:r>
            <w:r>
              <w:rPr>
                <w:color w:val="231F20"/>
                <w:spacing w:val="-14"/>
                <w:sz w:val="14"/>
              </w:rPr>
              <w:t xml:space="preserve"> </w:t>
            </w:r>
            <w:r>
              <w:rPr>
                <w:color w:val="231F20"/>
                <w:sz w:val="14"/>
              </w:rPr>
              <w:t xml:space="preserve">односно спортску активност и изводи је у окружењу у </w:t>
            </w:r>
            <w:r>
              <w:rPr>
                <w:color w:val="231F20"/>
                <w:spacing w:val="-3"/>
                <w:sz w:val="14"/>
              </w:rPr>
              <w:t>коме</w:t>
            </w:r>
            <w:r>
              <w:rPr>
                <w:color w:val="231F20"/>
                <w:spacing w:val="-1"/>
                <w:sz w:val="14"/>
              </w:rPr>
              <w:t xml:space="preserve"> </w:t>
            </w:r>
            <w:r>
              <w:rPr>
                <w:color w:val="231F20"/>
                <w:sz w:val="14"/>
              </w:rPr>
              <w:t>живи;</w:t>
            </w:r>
          </w:p>
          <w:p w:rsidR="00041039" w:rsidRDefault="001B26CB">
            <w:pPr>
              <w:pStyle w:val="TableParagraph"/>
              <w:numPr>
                <w:ilvl w:val="0"/>
                <w:numId w:val="440"/>
              </w:numPr>
              <w:tabs>
                <w:tab w:val="left" w:pos="157"/>
              </w:tabs>
              <w:spacing w:line="237" w:lineRule="auto"/>
              <w:ind w:right="49" w:hanging="99"/>
              <w:rPr>
                <w:sz w:val="14"/>
              </w:rPr>
            </w:pPr>
            <w:r>
              <w:rPr>
                <w:color w:val="231F20"/>
                <w:sz w:val="14"/>
              </w:rPr>
              <w:t xml:space="preserve">објасни да покрет и кретање, без </w:t>
            </w:r>
            <w:r>
              <w:rPr>
                <w:color w:val="231F20"/>
                <w:sz w:val="14"/>
              </w:rPr>
              <w:t>обзира на то којој врсти физичке, односно спортске активности припада, има своју естетску компоненту</w:t>
            </w:r>
            <w:r>
              <w:rPr>
                <w:color w:val="231F20"/>
                <w:spacing w:val="-16"/>
                <w:sz w:val="14"/>
              </w:rPr>
              <w:t xml:space="preserve"> </w:t>
            </w:r>
            <w:r>
              <w:rPr>
                <w:color w:val="231F20"/>
                <w:sz w:val="14"/>
              </w:rPr>
              <w:t>(лепота извођења, лепота</w:t>
            </w:r>
            <w:r>
              <w:rPr>
                <w:color w:val="231F20"/>
                <w:spacing w:val="-2"/>
                <w:sz w:val="14"/>
              </w:rPr>
              <w:t xml:space="preserve"> </w:t>
            </w:r>
            <w:r>
              <w:rPr>
                <w:color w:val="231F20"/>
                <w:sz w:val="14"/>
              </w:rPr>
              <w:t>доживљаја);</w:t>
            </w:r>
          </w:p>
          <w:p w:rsidR="00041039" w:rsidRDefault="001B26CB">
            <w:pPr>
              <w:pStyle w:val="TableParagraph"/>
              <w:numPr>
                <w:ilvl w:val="0"/>
                <w:numId w:val="440"/>
              </w:numPr>
              <w:tabs>
                <w:tab w:val="left" w:pos="157"/>
              </w:tabs>
              <w:spacing w:line="157" w:lineRule="exact"/>
              <w:ind w:hanging="99"/>
              <w:rPr>
                <w:sz w:val="14"/>
              </w:rPr>
            </w:pPr>
            <w:r>
              <w:rPr>
                <w:color w:val="231F20"/>
                <w:sz w:val="14"/>
              </w:rPr>
              <w:t>ужива у извођењу покрета и</w:t>
            </w:r>
            <w:r>
              <w:rPr>
                <w:color w:val="231F20"/>
                <w:spacing w:val="-7"/>
                <w:sz w:val="14"/>
              </w:rPr>
              <w:t xml:space="preserve"> </w:t>
            </w:r>
            <w:r>
              <w:rPr>
                <w:color w:val="231F20"/>
                <w:sz w:val="14"/>
              </w:rPr>
              <w:t>кретања;</w:t>
            </w:r>
          </w:p>
          <w:p w:rsidR="00041039" w:rsidRDefault="001B26CB">
            <w:pPr>
              <w:pStyle w:val="TableParagraph"/>
              <w:numPr>
                <w:ilvl w:val="0"/>
                <w:numId w:val="440"/>
              </w:numPr>
              <w:tabs>
                <w:tab w:val="left" w:pos="157"/>
              </w:tabs>
              <w:spacing w:line="237" w:lineRule="auto"/>
              <w:ind w:right="118" w:hanging="99"/>
              <w:rPr>
                <w:sz w:val="14"/>
              </w:rPr>
            </w:pPr>
            <w:r>
              <w:rPr>
                <w:color w:val="231F20"/>
                <w:sz w:val="14"/>
              </w:rPr>
              <w:t>наводи основне олимпијске</w:t>
            </w:r>
            <w:r>
              <w:rPr>
                <w:color w:val="231F20"/>
                <w:spacing w:val="-22"/>
                <w:sz w:val="14"/>
              </w:rPr>
              <w:t xml:space="preserve"> </w:t>
            </w:r>
            <w:r>
              <w:rPr>
                <w:color w:val="231F20"/>
                <w:sz w:val="14"/>
              </w:rPr>
              <w:t>принципе и примењује их па школским спорт­ ским такмичењима и у слободном времену;</w:t>
            </w:r>
          </w:p>
          <w:p w:rsidR="00041039" w:rsidRDefault="001B26CB">
            <w:pPr>
              <w:pStyle w:val="TableParagraph"/>
              <w:numPr>
                <w:ilvl w:val="0"/>
                <w:numId w:val="440"/>
              </w:numPr>
              <w:tabs>
                <w:tab w:val="left" w:pos="157"/>
              </w:tabs>
              <w:spacing w:line="237" w:lineRule="auto"/>
              <w:ind w:right="49" w:hanging="99"/>
              <w:rPr>
                <w:sz w:val="14"/>
              </w:rPr>
            </w:pPr>
            <w:r>
              <w:rPr>
                <w:color w:val="231F20"/>
                <w:sz w:val="14"/>
              </w:rPr>
              <w:t>препозна нетолерантно понашање својих другова и реагује на њега,</w:t>
            </w:r>
            <w:r>
              <w:rPr>
                <w:color w:val="231F20"/>
                <w:spacing w:val="-19"/>
                <w:sz w:val="14"/>
              </w:rPr>
              <w:t xml:space="preserve"> </w:t>
            </w:r>
            <w:r>
              <w:rPr>
                <w:color w:val="231F20"/>
                <w:sz w:val="14"/>
              </w:rPr>
              <w:t xml:space="preserve">шири дух пријатељства, </w:t>
            </w:r>
            <w:r>
              <w:rPr>
                <w:color w:val="231F20"/>
                <w:spacing w:val="-4"/>
                <w:sz w:val="14"/>
              </w:rPr>
              <w:t xml:space="preserve">буде </w:t>
            </w:r>
            <w:r>
              <w:rPr>
                <w:color w:val="231F20"/>
                <w:sz w:val="14"/>
              </w:rPr>
              <w:t>истрајан у својим</w:t>
            </w:r>
            <w:r>
              <w:rPr>
                <w:color w:val="231F20"/>
                <w:spacing w:val="-1"/>
                <w:sz w:val="14"/>
              </w:rPr>
              <w:t xml:space="preserve"> </w:t>
            </w:r>
            <w:r>
              <w:rPr>
                <w:color w:val="231F20"/>
                <w:sz w:val="14"/>
              </w:rPr>
              <w:t>активностима;</w:t>
            </w:r>
          </w:p>
          <w:p w:rsidR="00041039" w:rsidRDefault="001B26CB">
            <w:pPr>
              <w:pStyle w:val="TableParagraph"/>
              <w:numPr>
                <w:ilvl w:val="0"/>
                <w:numId w:val="440"/>
              </w:numPr>
              <w:tabs>
                <w:tab w:val="left" w:pos="157"/>
              </w:tabs>
              <w:spacing w:line="237" w:lineRule="auto"/>
              <w:ind w:right="171" w:hanging="99"/>
              <w:rPr>
                <w:sz w:val="14"/>
              </w:rPr>
            </w:pPr>
            <w:r>
              <w:rPr>
                <w:color w:val="231F20"/>
                <w:sz w:val="14"/>
              </w:rPr>
              <w:t>се правилно односи према</w:t>
            </w:r>
            <w:r>
              <w:rPr>
                <w:color w:val="231F20"/>
                <w:spacing w:val="-18"/>
                <w:sz w:val="14"/>
              </w:rPr>
              <w:t xml:space="preserve"> </w:t>
            </w:r>
            <w:r>
              <w:rPr>
                <w:color w:val="231F20"/>
                <w:sz w:val="14"/>
              </w:rPr>
              <w:t xml:space="preserve">окружењу у </w:t>
            </w:r>
            <w:r>
              <w:rPr>
                <w:color w:val="231F20"/>
                <w:spacing w:val="-3"/>
                <w:sz w:val="14"/>
              </w:rPr>
              <w:t xml:space="preserve">коме </w:t>
            </w:r>
            <w:r>
              <w:rPr>
                <w:color w:val="231F20"/>
                <w:sz w:val="14"/>
              </w:rPr>
              <w:t>вежба, рекреира се и бави се спортом, што преноси у</w:t>
            </w:r>
            <w:r>
              <w:rPr>
                <w:color w:val="231F20"/>
                <w:spacing w:val="-24"/>
                <w:sz w:val="14"/>
              </w:rPr>
              <w:t xml:space="preserve"> </w:t>
            </w:r>
            <w:r>
              <w:rPr>
                <w:color w:val="231F20"/>
                <w:sz w:val="14"/>
              </w:rPr>
              <w:t>свакодневни живот;</w:t>
            </w:r>
          </w:p>
          <w:p w:rsidR="00041039" w:rsidRDefault="001B26CB">
            <w:pPr>
              <w:pStyle w:val="TableParagraph"/>
              <w:numPr>
                <w:ilvl w:val="0"/>
                <w:numId w:val="440"/>
              </w:numPr>
              <w:tabs>
                <w:tab w:val="left" w:pos="157"/>
              </w:tabs>
              <w:spacing w:line="237" w:lineRule="auto"/>
              <w:ind w:right="332" w:hanging="99"/>
              <w:rPr>
                <w:sz w:val="14"/>
              </w:rPr>
            </w:pPr>
            <w:r>
              <w:rPr>
                <w:color w:val="231F20"/>
                <w:sz w:val="14"/>
              </w:rPr>
              <w:t xml:space="preserve">учествује на </w:t>
            </w:r>
            <w:r>
              <w:rPr>
                <w:color w:val="231F20"/>
                <w:spacing w:val="-3"/>
                <w:sz w:val="14"/>
              </w:rPr>
              <w:t xml:space="preserve">школском </w:t>
            </w:r>
            <w:r>
              <w:rPr>
                <w:color w:val="231F20"/>
                <w:sz w:val="14"/>
              </w:rPr>
              <w:t>такмичењу и у систему школских спортских такмичења;</w:t>
            </w:r>
          </w:p>
        </w:tc>
        <w:tc>
          <w:tcPr>
            <w:tcW w:w="2834" w:type="dxa"/>
            <w:tcBorders>
              <w:bottom w:val="nil"/>
            </w:tcBorders>
          </w:tcPr>
          <w:p w:rsidR="00041039" w:rsidRDefault="00041039">
            <w:pPr>
              <w:pStyle w:val="TableParagraph"/>
              <w:ind w:left="0"/>
              <w:rPr>
                <w:sz w:val="14"/>
              </w:rPr>
            </w:pPr>
          </w:p>
        </w:tc>
        <w:tc>
          <w:tcPr>
            <w:tcW w:w="2267" w:type="dxa"/>
            <w:vMerge/>
            <w:tcBorders>
              <w:top w:val="nil"/>
            </w:tcBorders>
          </w:tcPr>
          <w:p w:rsidR="00041039" w:rsidRDefault="00041039">
            <w:pPr>
              <w:rPr>
                <w:sz w:val="2"/>
                <w:szCs w:val="2"/>
              </w:rPr>
            </w:pPr>
          </w:p>
        </w:tc>
      </w:tr>
      <w:tr w:rsidR="00041039">
        <w:trPr>
          <w:trHeight w:val="3030"/>
        </w:trPr>
        <w:tc>
          <w:tcPr>
            <w:tcW w:w="1304" w:type="dxa"/>
            <w:tcBorders>
              <w:top w:val="nil"/>
              <w:bottom w:val="nil"/>
            </w:tcBorders>
          </w:tcPr>
          <w:p w:rsidR="00041039" w:rsidRDefault="001B26CB">
            <w:pPr>
              <w:pStyle w:val="TableParagraph"/>
              <w:spacing w:before="71"/>
              <w:ind w:left="56" w:right="72"/>
              <w:rPr>
                <w:sz w:val="14"/>
              </w:rPr>
            </w:pPr>
            <w:r>
              <w:rPr>
                <w:color w:val="231F20"/>
                <w:sz w:val="14"/>
              </w:rPr>
              <w:t>Програм по избору ученика:</w:t>
            </w:r>
          </w:p>
          <w:p w:rsidR="00041039" w:rsidRDefault="001B26CB">
            <w:pPr>
              <w:pStyle w:val="TableParagraph"/>
              <w:ind w:left="56" w:right="138"/>
              <w:rPr>
                <w:sz w:val="14"/>
              </w:rPr>
            </w:pPr>
            <w:r>
              <w:rPr>
                <w:color w:val="231F20"/>
                <w:sz w:val="14"/>
              </w:rPr>
              <w:t>Ритмичка гимнас­ тика и народни плесови</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ind w:left="57"/>
              <w:rPr>
                <w:b/>
                <w:sz w:val="14"/>
              </w:rPr>
            </w:pPr>
            <w:r>
              <w:rPr>
                <w:b/>
                <w:color w:val="231F20"/>
                <w:sz w:val="14"/>
              </w:rPr>
              <w:t>ПРОГРАМ ПО ИЗ БОРУ УЧЕНИКА</w:t>
            </w:r>
          </w:p>
          <w:p w:rsidR="00041039" w:rsidRDefault="00041039">
            <w:pPr>
              <w:pStyle w:val="TableParagraph"/>
              <w:spacing w:before="10"/>
              <w:ind w:left="0"/>
              <w:rPr>
                <w:b/>
                <w:sz w:val="13"/>
              </w:rPr>
            </w:pPr>
          </w:p>
          <w:p w:rsidR="00041039" w:rsidRDefault="001B26CB">
            <w:pPr>
              <w:pStyle w:val="TableParagraph"/>
              <w:ind w:left="57" w:right="84"/>
              <w:rPr>
                <w:b/>
                <w:sz w:val="14"/>
              </w:rPr>
            </w:pPr>
            <w:r>
              <w:rPr>
                <w:b/>
                <w:color w:val="231F20"/>
                <w:sz w:val="14"/>
              </w:rPr>
              <w:t>РИТМИЧКА ГИМНАСТИКА И НАРОДНИ ПЛЕСОВИ</w:t>
            </w:r>
          </w:p>
          <w:p w:rsidR="00041039" w:rsidRDefault="001B26CB">
            <w:pPr>
              <w:pStyle w:val="TableParagraph"/>
              <w:numPr>
                <w:ilvl w:val="0"/>
                <w:numId w:val="439"/>
              </w:numPr>
              <w:tabs>
                <w:tab w:val="left" w:pos="163"/>
              </w:tabs>
              <w:ind w:right="173"/>
              <w:rPr>
                <w:sz w:val="14"/>
              </w:rPr>
            </w:pPr>
            <w:r>
              <w:rPr>
                <w:color w:val="231F20"/>
                <w:sz w:val="14"/>
              </w:rPr>
              <w:t>Савладавање основних вежби:</w:t>
            </w:r>
            <w:r>
              <w:rPr>
                <w:color w:val="231F20"/>
                <w:spacing w:val="-15"/>
                <w:sz w:val="14"/>
              </w:rPr>
              <w:t xml:space="preserve"> </w:t>
            </w:r>
            <w:r>
              <w:rPr>
                <w:color w:val="231F20"/>
                <w:sz w:val="14"/>
              </w:rPr>
              <w:t>„докорак”, мењајући корак галопом у свим правци­ ма, полкин корак, далеко високи</w:t>
            </w:r>
            <w:r>
              <w:rPr>
                <w:color w:val="231F20"/>
                <w:spacing w:val="-18"/>
                <w:sz w:val="14"/>
              </w:rPr>
              <w:t xml:space="preserve"> </w:t>
            </w:r>
            <w:r>
              <w:rPr>
                <w:color w:val="231F20"/>
                <w:sz w:val="14"/>
              </w:rPr>
              <w:t>скок,</w:t>
            </w:r>
          </w:p>
          <w:p w:rsidR="00041039" w:rsidRDefault="001B26CB">
            <w:pPr>
              <w:pStyle w:val="TableParagraph"/>
              <w:spacing w:line="158" w:lineRule="exact"/>
              <w:ind w:left="162"/>
              <w:rPr>
                <w:sz w:val="14"/>
              </w:rPr>
            </w:pPr>
            <w:r>
              <w:rPr>
                <w:color w:val="231F20"/>
                <w:sz w:val="14"/>
              </w:rPr>
              <w:t>„маказице”.</w:t>
            </w:r>
          </w:p>
          <w:p w:rsidR="00041039" w:rsidRDefault="001B26CB">
            <w:pPr>
              <w:pStyle w:val="TableParagraph"/>
              <w:numPr>
                <w:ilvl w:val="0"/>
                <w:numId w:val="439"/>
              </w:numPr>
              <w:tabs>
                <w:tab w:val="left" w:pos="163"/>
              </w:tabs>
              <w:ind w:right="54"/>
              <w:rPr>
                <w:sz w:val="14"/>
              </w:rPr>
            </w:pPr>
            <w:r>
              <w:rPr>
                <w:color w:val="231F20"/>
                <w:sz w:val="14"/>
              </w:rPr>
              <w:t>Систематска обрада естетског покрета тела у месту и у кретању без реквизита и са рек­ визитима, користећи при томе различиту динамику, ритам и</w:t>
            </w:r>
            <w:r>
              <w:rPr>
                <w:color w:val="231F20"/>
                <w:spacing w:val="-3"/>
                <w:sz w:val="14"/>
              </w:rPr>
              <w:t xml:space="preserve"> </w:t>
            </w:r>
            <w:r>
              <w:rPr>
                <w:color w:val="231F20"/>
                <w:sz w:val="14"/>
              </w:rPr>
              <w:t>темпо.</w:t>
            </w:r>
          </w:p>
          <w:p w:rsidR="00041039" w:rsidRDefault="001B26CB">
            <w:pPr>
              <w:pStyle w:val="TableParagraph"/>
              <w:numPr>
                <w:ilvl w:val="0"/>
                <w:numId w:val="439"/>
              </w:numPr>
              <w:tabs>
                <w:tab w:val="left" w:pos="163"/>
              </w:tabs>
              <w:spacing w:line="237" w:lineRule="auto"/>
              <w:ind w:right="101"/>
              <w:rPr>
                <w:sz w:val="14"/>
              </w:rPr>
            </w:pPr>
            <w:r>
              <w:rPr>
                <w:color w:val="231F20"/>
                <w:sz w:val="14"/>
              </w:rPr>
              <w:t>Примена савладане технике естетског</w:t>
            </w:r>
            <w:r>
              <w:rPr>
                <w:color w:val="231F20"/>
                <w:spacing w:val="-24"/>
                <w:sz w:val="14"/>
              </w:rPr>
              <w:t xml:space="preserve"> </w:t>
            </w:r>
            <w:r>
              <w:rPr>
                <w:color w:val="231F20"/>
                <w:sz w:val="14"/>
              </w:rPr>
              <w:t>пок­ рета и кретања у кратким</w:t>
            </w:r>
            <w:r>
              <w:rPr>
                <w:color w:val="231F20"/>
                <w:spacing w:val="-3"/>
                <w:sz w:val="14"/>
              </w:rPr>
              <w:t xml:space="preserve"> </w:t>
            </w:r>
            <w:r>
              <w:rPr>
                <w:color w:val="231F20"/>
                <w:sz w:val="14"/>
              </w:rPr>
              <w:t>саставима.</w:t>
            </w:r>
          </w:p>
          <w:p w:rsidR="00041039" w:rsidRDefault="001B26CB">
            <w:pPr>
              <w:pStyle w:val="TableParagraph"/>
              <w:numPr>
                <w:ilvl w:val="0"/>
                <w:numId w:val="439"/>
              </w:numPr>
              <w:tabs>
                <w:tab w:val="left" w:pos="163"/>
              </w:tabs>
              <w:ind w:right="334"/>
              <w:rPr>
                <w:sz w:val="14"/>
              </w:rPr>
            </w:pPr>
            <w:r>
              <w:rPr>
                <w:color w:val="231F20"/>
                <w:sz w:val="14"/>
              </w:rPr>
              <w:t>Треба савладати најмање пет</w:t>
            </w:r>
            <w:r>
              <w:rPr>
                <w:color w:val="231F20"/>
                <w:spacing w:val="-27"/>
                <w:sz w:val="14"/>
              </w:rPr>
              <w:t xml:space="preserve"> </w:t>
            </w:r>
            <w:r>
              <w:rPr>
                <w:color w:val="231F20"/>
                <w:sz w:val="14"/>
              </w:rPr>
              <w:t>н</w:t>
            </w:r>
            <w:r>
              <w:rPr>
                <w:color w:val="231F20"/>
                <w:sz w:val="14"/>
              </w:rPr>
              <w:t>ародних плесова.</w:t>
            </w:r>
          </w:p>
          <w:p w:rsidR="00041039" w:rsidRDefault="001B26CB">
            <w:pPr>
              <w:pStyle w:val="TableParagraph"/>
              <w:numPr>
                <w:ilvl w:val="0"/>
                <w:numId w:val="439"/>
              </w:numPr>
              <w:tabs>
                <w:tab w:val="left" w:pos="163"/>
              </w:tabs>
              <w:ind w:right="408"/>
              <w:rPr>
                <w:sz w:val="14"/>
              </w:rPr>
            </w:pPr>
            <w:r>
              <w:rPr>
                <w:color w:val="231F20"/>
                <w:sz w:val="14"/>
              </w:rPr>
              <w:t>Припрема за такмичење и приредбе</w:t>
            </w:r>
            <w:r>
              <w:rPr>
                <w:color w:val="231F20"/>
                <w:spacing w:val="-16"/>
                <w:sz w:val="14"/>
              </w:rPr>
              <w:t xml:space="preserve"> </w:t>
            </w:r>
            <w:r>
              <w:rPr>
                <w:color w:val="231F20"/>
                <w:sz w:val="14"/>
              </w:rPr>
              <w:t>и учешће на</w:t>
            </w:r>
            <w:r>
              <w:rPr>
                <w:color w:val="231F20"/>
                <w:spacing w:val="-2"/>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r w:rsidR="00041039">
        <w:trPr>
          <w:trHeight w:val="1270"/>
        </w:trPr>
        <w:tc>
          <w:tcPr>
            <w:tcW w:w="1304" w:type="dxa"/>
            <w:tcBorders>
              <w:top w:val="nil"/>
              <w:bottom w:val="nil"/>
            </w:tcBorders>
          </w:tcPr>
          <w:p w:rsidR="00041039" w:rsidRDefault="001B26CB">
            <w:pPr>
              <w:pStyle w:val="TableParagraph"/>
              <w:spacing w:before="71"/>
              <w:ind w:left="56" w:right="130"/>
              <w:rPr>
                <w:sz w:val="14"/>
              </w:rPr>
            </w:pPr>
            <w:r>
              <w:rPr>
                <w:color w:val="231F20"/>
                <w:sz w:val="14"/>
              </w:rPr>
              <w:t>Спортска игра (по избору)</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СПОРТСКА ИГРА (по избору)</w:t>
            </w:r>
          </w:p>
          <w:p w:rsidR="00041039" w:rsidRDefault="001B26CB">
            <w:pPr>
              <w:pStyle w:val="TableParagraph"/>
              <w:numPr>
                <w:ilvl w:val="0"/>
                <w:numId w:val="438"/>
              </w:numPr>
              <w:tabs>
                <w:tab w:val="left" w:pos="163"/>
              </w:tabs>
              <w:ind w:right="155"/>
              <w:rPr>
                <w:sz w:val="14"/>
              </w:rPr>
            </w:pPr>
            <w:r>
              <w:rPr>
                <w:color w:val="231F20"/>
                <w:sz w:val="14"/>
              </w:rPr>
              <w:t>Понављање и учвршћивање раније</w:t>
            </w:r>
            <w:r>
              <w:rPr>
                <w:color w:val="231F20"/>
                <w:spacing w:val="-17"/>
                <w:sz w:val="14"/>
              </w:rPr>
              <w:t xml:space="preserve"> </w:t>
            </w:r>
            <w:r>
              <w:rPr>
                <w:color w:val="231F20"/>
                <w:sz w:val="14"/>
              </w:rPr>
              <w:t>обуча­ ваних елемената</w:t>
            </w:r>
            <w:r>
              <w:rPr>
                <w:color w:val="231F20"/>
                <w:spacing w:val="-1"/>
                <w:sz w:val="14"/>
              </w:rPr>
              <w:t xml:space="preserve"> </w:t>
            </w:r>
            <w:r>
              <w:rPr>
                <w:color w:val="231F20"/>
                <w:sz w:val="14"/>
              </w:rPr>
              <w:t>игре.</w:t>
            </w:r>
          </w:p>
          <w:p w:rsidR="00041039" w:rsidRDefault="001B26CB">
            <w:pPr>
              <w:pStyle w:val="TableParagraph"/>
              <w:numPr>
                <w:ilvl w:val="0"/>
                <w:numId w:val="438"/>
              </w:numPr>
              <w:tabs>
                <w:tab w:val="left" w:pos="163"/>
              </w:tabs>
              <w:ind w:right="176"/>
              <w:rPr>
                <w:sz w:val="14"/>
              </w:rPr>
            </w:pPr>
            <w:r>
              <w:rPr>
                <w:color w:val="231F20"/>
                <w:sz w:val="14"/>
              </w:rPr>
              <w:t>Даље проширивање и продубљивање техничко ­ тактичке припремљености ученика у складу са изборним</w:t>
            </w:r>
            <w:r>
              <w:rPr>
                <w:color w:val="231F20"/>
                <w:spacing w:val="-19"/>
                <w:sz w:val="14"/>
              </w:rPr>
              <w:t xml:space="preserve"> </w:t>
            </w:r>
            <w:r>
              <w:rPr>
                <w:color w:val="231F20"/>
                <w:sz w:val="14"/>
              </w:rPr>
              <w:t>програмом за дату</w:t>
            </w:r>
            <w:r>
              <w:rPr>
                <w:color w:val="231F20"/>
                <w:spacing w:val="-2"/>
                <w:sz w:val="14"/>
              </w:rPr>
              <w:t xml:space="preserve"> </w:t>
            </w:r>
            <w:r>
              <w:rPr>
                <w:color w:val="231F20"/>
                <w:spacing w:val="-4"/>
                <w:sz w:val="14"/>
              </w:rPr>
              <w:t>игру.</w:t>
            </w:r>
          </w:p>
        </w:tc>
        <w:tc>
          <w:tcPr>
            <w:tcW w:w="2267" w:type="dxa"/>
            <w:vMerge/>
            <w:tcBorders>
              <w:top w:val="nil"/>
            </w:tcBorders>
          </w:tcPr>
          <w:p w:rsidR="00041039" w:rsidRDefault="00041039">
            <w:pPr>
              <w:rPr>
                <w:sz w:val="2"/>
                <w:szCs w:val="2"/>
              </w:rPr>
            </w:pPr>
          </w:p>
        </w:tc>
      </w:tr>
      <w:tr w:rsidR="00041039">
        <w:trPr>
          <w:trHeight w:val="2390"/>
        </w:trPr>
        <w:tc>
          <w:tcPr>
            <w:tcW w:w="1304" w:type="dxa"/>
            <w:tcBorders>
              <w:top w:val="nil"/>
              <w:bottom w:val="nil"/>
            </w:tcBorders>
          </w:tcPr>
          <w:p w:rsidR="00041039" w:rsidRDefault="001B26CB">
            <w:pPr>
              <w:pStyle w:val="TableParagraph"/>
              <w:spacing w:before="71"/>
              <w:ind w:left="56"/>
              <w:rPr>
                <w:sz w:val="14"/>
              </w:rPr>
            </w:pPr>
            <w:r>
              <w:rPr>
                <w:color w:val="231F20"/>
                <w:sz w:val="14"/>
              </w:rPr>
              <w:t>Рукомет</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РУКОМЕТ</w:t>
            </w:r>
          </w:p>
          <w:p w:rsidR="00041039" w:rsidRDefault="001B26CB">
            <w:pPr>
              <w:pStyle w:val="TableParagraph"/>
              <w:numPr>
                <w:ilvl w:val="0"/>
                <w:numId w:val="437"/>
              </w:numPr>
              <w:tabs>
                <w:tab w:val="left" w:pos="163"/>
              </w:tabs>
              <w:ind w:right="74"/>
              <w:rPr>
                <w:sz w:val="14"/>
              </w:rPr>
            </w:pPr>
            <w:r>
              <w:rPr>
                <w:color w:val="231F20"/>
                <w:spacing w:val="-3"/>
                <w:sz w:val="14"/>
              </w:rPr>
              <w:t xml:space="preserve">Увежбавати </w:t>
            </w:r>
            <w:r>
              <w:rPr>
                <w:color w:val="231F20"/>
                <w:sz w:val="14"/>
              </w:rPr>
              <w:t>основне техничке елементе који су предвиђени програмским</w:t>
            </w:r>
            <w:r>
              <w:rPr>
                <w:color w:val="231F20"/>
                <w:spacing w:val="-23"/>
                <w:sz w:val="14"/>
              </w:rPr>
              <w:t xml:space="preserve"> </w:t>
            </w:r>
            <w:r>
              <w:rPr>
                <w:color w:val="231F20"/>
                <w:sz w:val="14"/>
              </w:rPr>
              <w:t>садржаји­ ма за средњу</w:t>
            </w:r>
            <w:r>
              <w:rPr>
                <w:color w:val="231F20"/>
                <w:spacing w:val="-2"/>
                <w:sz w:val="14"/>
              </w:rPr>
              <w:t xml:space="preserve"> </w:t>
            </w:r>
            <w:r>
              <w:rPr>
                <w:color w:val="231F20"/>
                <w:spacing w:val="-5"/>
                <w:sz w:val="14"/>
              </w:rPr>
              <w:t>школу.</w:t>
            </w:r>
          </w:p>
          <w:p w:rsidR="00041039" w:rsidRDefault="001B26CB">
            <w:pPr>
              <w:pStyle w:val="TableParagraph"/>
              <w:numPr>
                <w:ilvl w:val="0"/>
                <w:numId w:val="437"/>
              </w:numPr>
              <w:tabs>
                <w:tab w:val="left" w:pos="163"/>
              </w:tabs>
              <w:spacing w:line="237" w:lineRule="auto"/>
              <w:ind w:right="61"/>
              <w:rPr>
                <w:sz w:val="14"/>
              </w:rPr>
            </w:pPr>
            <w:r>
              <w:rPr>
                <w:color w:val="231F20"/>
                <w:sz w:val="14"/>
              </w:rPr>
              <w:t>Покривање и откривање играча,</w:t>
            </w:r>
            <w:r>
              <w:rPr>
                <w:color w:val="231F20"/>
                <w:spacing w:val="-25"/>
                <w:sz w:val="14"/>
              </w:rPr>
              <w:t xml:space="preserve"> </w:t>
            </w:r>
            <w:r>
              <w:rPr>
                <w:color w:val="231F20"/>
                <w:sz w:val="14"/>
              </w:rPr>
              <w:t xml:space="preserve">одузимање лопте, ометање противника. Општи принципи постављања играча у одбрани и </w:t>
            </w:r>
            <w:r>
              <w:rPr>
                <w:color w:val="231F20"/>
                <w:spacing w:val="-3"/>
                <w:sz w:val="14"/>
              </w:rPr>
              <w:t xml:space="preserve">нападу. </w:t>
            </w:r>
            <w:r>
              <w:rPr>
                <w:color w:val="231F20"/>
                <w:sz w:val="14"/>
              </w:rPr>
              <w:t xml:space="preserve">Напад са једним и два играча и на­ пад против зонске одбране. Зонска одбрана и напад „човек на човека”. </w:t>
            </w:r>
            <w:r>
              <w:rPr>
                <w:color w:val="231F20"/>
                <w:spacing w:val="-3"/>
                <w:sz w:val="14"/>
              </w:rPr>
              <w:t xml:space="preserve">Уигравање </w:t>
            </w:r>
            <w:r>
              <w:rPr>
                <w:color w:val="231F20"/>
                <w:sz w:val="14"/>
              </w:rPr>
              <w:t>кроз тренажни процес.</w:t>
            </w:r>
          </w:p>
          <w:p w:rsidR="00041039" w:rsidRDefault="001B26CB">
            <w:pPr>
              <w:pStyle w:val="TableParagraph"/>
              <w:numPr>
                <w:ilvl w:val="0"/>
                <w:numId w:val="437"/>
              </w:numPr>
              <w:tabs>
                <w:tab w:val="left" w:pos="163"/>
              </w:tabs>
              <w:spacing w:before="2" w:line="161" w:lineRule="exact"/>
              <w:rPr>
                <w:sz w:val="14"/>
              </w:rPr>
            </w:pPr>
            <w:r>
              <w:rPr>
                <w:color w:val="231F20"/>
                <w:sz w:val="14"/>
              </w:rPr>
              <w:t>Правила</w:t>
            </w:r>
            <w:r>
              <w:rPr>
                <w:color w:val="231F20"/>
                <w:spacing w:val="-2"/>
                <w:sz w:val="14"/>
              </w:rPr>
              <w:t xml:space="preserve"> </w:t>
            </w:r>
            <w:r>
              <w:rPr>
                <w:color w:val="231F20"/>
                <w:sz w:val="14"/>
              </w:rPr>
              <w:t>игре.</w:t>
            </w:r>
          </w:p>
          <w:p w:rsidR="00041039" w:rsidRDefault="001B26CB">
            <w:pPr>
              <w:pStyle w:val="TableParagraph"/>
              <w:numPr>
                <w:ilvl w:val="0"/>
                <w:numId w:val="437"/>
              </w:numPr>
              <w:tabs>
                <w:tab w:val="left" w:pos="163"/>
              </w:tabs>
              <w:ind w:right="261"/>
              <w:rPr>
                <w:sz w:val="14"/>
              </w:rPr>
            </w:pPr>
            <w:r>
              <w:rPr>
                <w:color w:val="231F20"/>
                <w:sz w:val="14"/>
              </w:rPr>
              <w:t>Учествовање на разредним, школским</w:t>
            </w:r>
            <w:r>
              <w:rPr>
                <w:color w:val="231F20"/>
                <w:spacing w:val="-1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tc>
        <w:tc>
          <w:tcPr>
            <w:tcW w:w="2267" w:type="dxa"/>
            <w:vMerge/>
            <w:tcBorders>
              <w:top w:val="nil"/>
            </w:tcBorders>
          </w:tcPr>
          <w:p w:rsidR="00041039" w:rsidRDefault="00041039">
            <w:pPr>
              <w:rPr>
                <w:sz w:val="2"/>
                <w:szCs w:val="2"/>
              </w:rPr>
            </w:pPr>
          </w:p>
        </w:tc>
      </w:tr>
      <w:tr w:rsidR="00041039">
        <w:trPr>
          <w:trHeight w:val="2070"/>
        </w:trPr>
        <w:tc>
          <w:tcPr>
            <w:tcW w:w="1304" w:type="dxa"/>
            <w:tcBorders>
              <w:top w:val="nil"/>
              <w:bottom w:val="nil"/>
            </w:tcBorders>
          </w:tcPr>
          <w:p w:rsidR="00041039" w:rsidRDefault="001B26CB">
            <w:pPr>
              <w:pStyle w:val="TableParagraph"/>
              <w:spacing w:before="71"/>
              <w:ind w:left="56"/>
              <w:rPr>
                <w:sz w:val="14"/>
              </w:rPr>
            </w:pPr>
            <w:r>
              <w:rPr>
                <w:color w:val="231F20"/>
                <w:sz w:val="14"/>
              </w:rPr>
              <w:t>Фудбал</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2" w:line="161" w:lineRule="exact"/>
              <w:ind w:left="57"/>
              <w:rPr>
                <w:b/>
                <w:sz w:val="14"/>
              </w:rPr>
            </w:pPr>
            <w:r>
              <w:rPr>
                <w:b/>
                <w:color w:val="231F20"/>
                <w:sz w:val="14"/>
              </w:rPr>
              <w:t>ФУДБАЛ</w:t>
            </w:r>
          </w:p>
          <w:p w:rsidR="00041039" w:rsidRDefault="001B26CB">
            <w:pPr>
              <w:pStyle w:val="TableParagraph"/>
              <w:numPr>
                <w:ilvl w:val="0"/>
                <w:numId w:val="436"/>
              </w:numPr>
              <w:tabs>
                <w:tab w:val="left" w:pos="163"/>
              </w:tabs>
              <w:ind w:right="367"/>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numPr>
                <w:ilvl w:val="0"/>
                <w:numId w:val="436"/>
              </w:numPr>
              <w:tabs>
                <w:tab w:val="left" w:pos="163"/>
              </w:tabs>
              <w:spacing w:line="237" w:lineRule="auto"/>
              <w:ind w:right="61"/>
              <w:rPr>
                <w:sz w:val="14"/>
              </w:rPr>
            </w:pPr>
            <w:r>
              <w:rPr>
                <w:color w:val="231F20"/>
                <w:sz w:val="14"/>
              </w:rPr>
              <w:t>Покривање и откривање играча,</w:t>
            </w:r>
            <w:r>
              <w:rPr>
                <w:color w:val="231F20"/>
                <w:spacing w:val="-25"/>
                <w:sz w:val="14"/>
              </w:rPr>
              <w:t xml:space="preserve"> </w:t>
            </w:r>
            <w:r>
              <w:rPr>
                <w:color w:val="231F20"/>
                <w:sz w:val="14"/>
              </w:rPr>
              <w:t>одузимање лопте и ометање противника. Општи принципи постављања играча у нападу и одбрани. Разне варијанте напада и</w:t>
            </w:r>
            <w:r>
              <w:rPr>
                <w:color w:val="231F20"/>
                <w:spacing w:val="-23"/>
                <w:sz w:val="14"/>
              </w:rPr>
              <w:t xml:space="preserve"> </w:t>
            </w:r>
            <w:r>
              <w:rPr>
                <w:color w:val="231F20"/>
                <w:sz w:val="14"/>
              </w:rPr>
              <w:t xml:space="preserve">одбране. </w:t>
            </w:r>
            <w:r>
              <w:rPr>
                <w:color w:val="231F20"/>
                <w:spacing w:val="-3"/>
                <w:sz w:val="14"/>
              </w:rPr>
              <w:t xml:space="preserve">Уигравање </w:t>
            </w:r>
            <w:r>
              <w:rPr>
                <w:color w:val="231F20"/>
                <w:sz w:val="14"/>
              </w:rPr>
              <w:t>кроз тренажни</w:t>
            </w:r>
            <w:r>
              <w:rPr>
                <w:color w:val="231F20"/>
                <w:spacing w:val="3"/>
                <w:sz w:val="14"/>
              </w:rPr>
              <w:t xml:space="preserve"> </w:t>
            </w:r>
            <w:r>
              <w:rPr>
                <w:color w:val="231F20"/>
                <w:sz w:val="14"/>
              </w:rPr>
              <w:t>процес.</w:t>
            </w:r>
          </w:p>
          <w:p w:rsidR="00041039" w:rsidRDefault="001B26CB">
            <w:pPr>
              <w:pStyle w:val="TableParagraph"/>
              <w:numPr>
                <w:ilvl w:val="0"/>
                <w:numId w:val="436"/>
              </w:numPr>
              <w:tabs>
                <w:tab w:val="left" w:pos="163"/>
              </w:tabs>
              <w:spacing w:line="161" w:lineRule="exact"/>
              <w:rPr>
                <w:sz w:val="14"/>
              </w:rPr>
            </w:pPr>
            <w:r>
              <w:rPr>
                <w:color w:val="231F20"/>
                <w:sz w:val="14"/>
              </w:rPr>
              <w:t>Правила малог</w:t>
            </w:r>
            <w:r>
              <w:rPr>
                <w:color w:val="231F20"/>
                <w:spacing w:val="-4"/>
                <w:sz w:val="14"/>
              </w:rPr>
              <w:t xml:space="preserve"> </w:t>
            </w:r>
            <w:r>
              <w:rPr>
                <w:color w:val="231F20"/>
                <w:sz w:val="14"/>
              </w:rPr>
              <w:t>фудбала.</w:t>
            </w:r>
          </w:p>
          <w:p w:rsidR="00041039" w:rsidRDefault="001B26CB">
            <w:pPr>
              <w:pStyle w:val="TableParagraph"/>
              <w:numPr>
                <w:ilvl w:val="0"/>
                <w:numId w:val="436"/>
              </w:numPr>
              <w:tabs>
                <w:tab w:val="left" w:pos="163"/>
              </w:tabs>
              <w:ind w:right="497"/>
              <w:rPr>
                <w:sz w:val="14"/>
              </w:rPr>
            </w:pPr>
            <w:r>
              <w:rPr>
                <w:color w:val="231F20"/>
                <w:sz w:val="14"/>
              </w:rPr>
              <w:t>Учествовање на разним школским</w:t>
            </w:r>
            <w:r>
              <w:rPr>
                <w:color w:val="231F20"/>
                <w:spacing w:val="-17"/>
                <w:sz w:val="14"/>
              </w:rPr>
              <w:t xml:space="preserve"> </w:t>
            </w:r>
            <w:r>
              <w:rPr>
                <w:color w:val="231F20"/>
                <w:sz w:val="14"/>
              </w:rPr>
              <w:t>и међушколским</w:t>
            </w:r>
            <w:r>
              <w:rPr>
                <w:color w:val="231F20"/>
                <w:spacing w:val="-3"/>
                <w:sz w:val="14"/>
              </w:rPr>
              <w:t xml:space="preserve"> </w:t>
            </w:r>
            <w:r>
              <w:rPr>
                <w:color w:val="231F20"/>
                <w:sz w:val="14"/>
              </w:rPr>
              <w:t>такмичењима.</w:t>
            </w:r>
          </w:p>
        </w:tc>
        <w:tc>
          <w:tcPr>
            <w:tcW w:w="2267" w:type="dxa"/>
            <w:vMerge/>
            <w:tcBorders>
              <w:top w:val="nil"/>
            </w:tcBorders>
          </w:tcPr>
          <w:p w:rsidR="00041039" w:rsidRDefault="00041039">
            <w:pPr>
              <w:rPr>
                <w:sz w:val="2"/>
                <w:szCs w:val="2"/>
              </w:rPr>
            </w:pPr>
          </w:p>
        </w:tc>
      </w:tr>
      <w:tr w:rsidR="00041039">
        <w:trPr>
          <w:trHeight w:val="2008"/>
        </w:trPr>
        <w:tc>
          <w:tcPr>
            <w:tcW w:w="1304" w:type="dxa"/>
            <w:tcBorders>
              <w:top w:val="nil"/>
            </w:tcBorders>
          </w:tcPr>
          <w:p w:rsidR="00041039" w:rsidRDefault="001B26CB">
            <w:pPr>
              <w:pStyle w:val="TableParagraph"/>
              <w:spacing w:before="71"/>
              <w:ind w:left="56"/>
              <w:rPr>
                <w:sz w:val="14"/>
              </w:rPr>
            </w:pPr>
            <w:r>
              <w:rPr>
                <w:color w:val="231F20"/>
                <w:sz w:val="14"/>
              </w:rPr>
              <w:t>Кошарка</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1B26CB">
            <w:pPr>
              <w:pStyle w:val="TableParagraph"/>
              <w:spacing w:before="72" w:line="161" w:lineRule="exact"/>
              <w:ind w:left="57"/>
              <w:rPr>
                <w:b/>
                <w:sz w:val="14"/>
              </w:rPr>
            </w:pPr>
            <w:r>
              <w:rPr>
                <w:b/>
                <w:color w:val="231F20"/>
                <w:sz w:val="14"/>
              </w:rPr>
              <w:t>КОШАРКА</w:t>
            </w:r>
          </w:p>
          <w:p w:rsidR="00041039" w:rsidRDefault="001B26CB">
            <w:pPr>
              <w:pStyle w:val="TableParagraph"/>
              <w:numPr>
                <w:ilvl w:val="0"/>
                <w:numId w:val="435"/>
              </w:numPr>
              <w:tabs>
                <w:tab w:val="left" w:pos="163"/>
              </w:tabs>
              <w:ind w:right="367"/>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средњу</w:t>
            </w:r>
            <w:r>
              <w:rPr>
                <w:color w:val="231F20"/>
                <w:spacing w:val="-2"/>
                <w:sz w:val="14"/>
              </w:rPr>
              <w:t xml:space="preserve"> </w:t>
            </w:r>
            <w:r>
              <w:rPr>
                <w:color w:val="231F20"/>
                <w:spacing w:val="-5"/>
                <w:sz w:val="14"/>
              </w:rPr>
              <w:t>школу.</w:t>
            </w:r>
          </w:p>
          <w:p w:rsidR="00041039" w:rsidRDefault="001B26CB">
            <w:pPr>
              <w:pStyle w:val="TableParagraph"/>
              <w:numPr>
                <w:ilvl w:val="0"/>
                <w:numId w:val="435"/>
              </w:numPr>
              <w:tabs>
                <w:tab w:val="left" w:pos="163"/>
              </w:tabs>
              <w:spacing w:line="237" w:lineRule="auto"/>
              <w:ind w:right="137"/>
              <w:rPr>
                <w:sz w:val="14"/>
              </w:rPr>
            </w:pPr>
            <w:r>
              <w:rPr>
                <w:color w:val="231F20"/>
                <w:sz w:val="14"/>
              </w:rPr>
              <w:t xml:space="preserve">Техника кошарке. Шутирање на </w:t>
            </w:r>
            <w:r>
              <w:rPr>
                <w:color w:val="231F20"/>
                <w:spacing w:val="-3"/>
                <w:sz w:val="14"/>
              </w:rPr>
              <w:t xml:space="preserve">кош </w:t>
            </w:r>
            <w:r>
              <w:rPr>
                <w:color w:val="231F20"/>
                <w:sz w:val="14"/>
              </w:rPr>
              <w:t xml:space="preserve">из места и кретања, шут са једном или обема рукама, са разних одстојања </w:t>
            </w:r>
            <w:r>
              <w:rPr>
                <w:color w:val="231F20"/>
                <w:spacing w:val="-3"/>
                <w:sz w:val="14"/>
              </w:rPr>
              <w:t>од</w:t>
            </w:r>
            <w:r>
              <w:rPr>
                <w:color w:val="231F20"/>
                <w:spacing w:val="-7"/>
                <w:sz w:val="14"/>
              </w:rPr>
              <w:t xml:space="preserve"> </w:t>
            </w:r>
            <w:r>
              <w:rPr>
                <w:color w:val="231F20"/>
                <w:sz w:val="14"/>
              </w:rPr>
              <w:t>коша.</w:t>
            </w:r>
          </w:p>
          <w:p w:rsidR="00041039" w:rsidRDefault="001B26CB">
            <w:pPr>
              <w:pStyle w:val="TableParagraph"/>
              <w:ind w:left="162" w:right="220"/>
              <w:rPr>
                <w:sz w:val="14"/>
              </w:rPr>
            </w:pPr>
            <w:r>
              <w:rPr>
                <w:color w:val="231F20"/>
                <w:sz w:val="14"/>
              </w:rPr>
              <w:t>Постављање и кретање играча у нападу</w:t>
            </w:r>
            <w:r>
              <w:rPr>
                <w:color w:val="231F20"/>
                <w:sz w:val="14"/>
              </w:rPr>
              <w:t xml:space="preserve"> и одбрани. Одбрана „зоном” и „човек на</w:t>
            </w:r>
          </w:p>
          <w:p w:rsidR="00041039" w:rsidRDefault="001B26CB">
            <w:pPr>
              <w:pStyle w:val="TableParagraph"/>
              <w:spacing w:line="160" w:lineRule="exact"/>
              <w:ind w:left="162"/>
              <w:rPr>
                <w:sz w:val="14"/>
              </w:rPr>
            </w:pPr>
            <w:r>
              <w:rPr>
                <w:color w:val="231F20"/>
                <w:sz w:val="14"/>
              </w:rPr>
              <w:t>човека”. Напад против ових врста одбрана. Контранапад у разним варијантама и принцип блока.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76"/>
        </w:trPr>
        <w:tc>
          <w:tcPr>
            <w:tcW w:w="1304" w:type="dxa"/>
            <w:tcBorders>
              <w:bottom w:val="nil"/>
            </w:tcBorders>
          </w:tcPr>
          <w:p w:rsidR="00041039" w:rsidRDefault="00041039">
            <w:pPr>
              <w:pStyle w:val="TableParagraph"/>
              <w:ind w:left="0"/>
              <w:rPr>
                <w:sz w:val="14"/>
              </w:rPr>
            </w:pPr>
          </w:p>
        </w:tc>
        <w:tc>
          <w:tcPr>
            <w:tcW w:w="1587" w:type="dxa"/>
            <w:vMerge w:val="restart"/>
          </w:tcPr>
          <w:p w:rsidR="00041039" w:rsidRDefault="00041039">
            <w:pPr>
              <w:pStyle w:val="TableParagraph"/>
              <w:ind w:left="0"/>
              <w:rPr>
                <w:sz w:val="14"/>
              </w:rPr>
            </w:pPr>
          </w:p>
        </w:tc>
        <w:tc>
          <w:tcPr>
            <w:tcW w:w="2551" w:type="dxa"/>
            <w:vMerge w:val="restart"/>
          </w:tcPr>
          <w:p w:rsidR="00041039" w:rsidRDefault="00041039">
            <w:pPr>
              <w:pStyle w:val="TableParagraph"/>
              <w:ind w:left="0"/>
              <w:rPr>
                <w:sz w:val="14"/>
              </w:rPr>
            </w:pPr>
          </w:p>
        </w:tc>
        <w:tc>
          <w:tcPr>
            <w:tcW w:w="2834" w:type="dxa"/>
            <w:tcBorders>
              <w:bottom w:val="nil"/>
            </w:tcBorders>
          </w:tcPr>
          <w:p w:rsidR="00041039" w:rsidRDefault="001B26CB">
            <w:pPr>
              <w:pStyle w:val="TableParagraph"/>
              <w:numPr>
                <w:ilvl w:val="0"/>
                <w:numId w:val="434"/>
              </w:numPr>
              <w:tabs>
                <w:tab w:val="left" w:pos="163"/>
              </w:tabs>
              <w:spacing w:before="18" w:line="161" w:lineRule="exact"/>
              <w:rPr>
                <w:sz w:val="14"/>
              </w:rPr>
            </w:pPr>
            <w:r>
              <w:rPr>
                <w:color w:val="231F20"/>
                <w:sz w:val="14"/>
              </w:rPr>
              <w:t>Правила игре и</w:t>
            </w:r>
            <w:r>
              <w:rPr>
                <w:color w:val="231F20"/>
                <w:spacing w:val="-4"/>
                <w:sz w:val="14"/>
              </w:rPr>
              <w:t xml:space="preserve"> </w:t>
            </w:r>
            <w:r>
              <w:rPr>
                <w:color w:val="231F20"/>
                <w:sz w:val="14"/>
              </w:rPr>
              <w:t>суђење.</w:t>
            </w:r>
          </w:p>
          <w:p w:rsidR="00041039" w:rsidRDefault="001B26CB">
            <w:pPr>
              <w:pStyle w:val="TableParagraph"/>
              <w:numPr>
                <w:ilvl w:val="0"/>
                <w:numId w:val="434"/>
              </w:numPr>
              <w:tabs>
                <w:tab w:val="left" w:pos="163"/>
              </w:tabs>
              <w:ind w:right="296"/>
              <w:rPr>
                <w:sz w:val="14"/>
              </w:rPr>
            </w:pPr>
            <w:r>
              <w:rPr>
                <w:color w:val="231F20"/>
                <w:sz w:val="14"/>
              </w:rPr>
              <w:t>Учествовање на разредним н</w:t>
            </w:r>
            <w:r>
              <w:rPr>
                <w:color w:val="231F20"/>
                <w:spacing w:val="-20"/>
                <w:sz w:val="14"/>
              </w:rPr>
              <w:t xml:space="preserve"> </w:t>
            </w:r>
            <w:r>
              <w:rPr>
                <w:color w:val="231F20"/>
                <w:sz w:val="14"/>
              </w:rPr>
              <w:t>школским такмичењима.</w:t>
            </w:r>
          </w:p>
        </w:tc>
        <w:tc>
          <w:tcPr>
            <w:tcW w:w="2267" w:type="dxa"/>
            <w:vMerge w:val="restart"/>
          </w:tcPr>
          <w:p w:rsidR="00041039" w:rsidRDefault="001B26CB">
            <w:pPr>
              <w:pStyle w:val="TableParagraph"/>
              <w:spacing w:before="19"/>
              <w:ind w:left="57"/>
              <w:rPr>
                <w:sz w:val="14"/>
              </w:rPr>
            </w:pPr>
            <w:r>
              <w:rPr>
                <w:color w:val="231F20"/>
                <w:sz w:val="14"/>
              </w:rPr>
              <w:t>У свим разредима настава физичког васпитања се реализује одвојено</w:t>
            </w:r>
          </w:p>
          <w:p w:rsidR="00041039" w:rsidRDefault="001B26CB">
            <w:pPr>
              <w:pStyle w:val="TableParagraph"/>
              <w:ind w:left="57" w:right="157"/>
              <w:rPr>
                <w:sz w:val="14"/>
              </w:rPr>
            </w:pPr>
            <w:r>
              <w:rPr>
                <w:color w:val="231F20"/>
                <w:sz w:val="14"/>
              </w:rPr>
              <w:t>за ученике и одвојено за ученице, а само у школама које имају по два паралелна објекта за физичко</w:t>
            </w:r>
          </w:p>
          <w:p w:rsidR="00041039" w:rsidRDefault="001B26CB">
            <w:pPr>
              <w:pStyle w:val="TableParagraph"/>
              <w:spacing w:line="237" w:lineRule="auto"/>
              <w:ind w:left="57" w:right="49"/>
              <w:rPr>
                <w:sz w:val="14"/>
              </w:rPr>
            </w:pPr>
            <w:r>
              <w:rPr>
                <w:color w:val="231F20"/>
                <w:sz w:val="14"/>
              </w:rPr>
              <w:t>васпитање дозвољена је истовреме­ на реализација часа.</w:t>
            </w:r>
          </w:p>
          <w:p w:rsidR="00041039" w:rsidRDefault="00041039">
            <w:pPr>
              <w:pStyle w:val="TableParagraph"/>
              <w:spacing w:before="6"/>
              <w:ind w:left="0"/>
              <w:rPr>
                <w:b/>
                <w:sz w:val="13"/>
              </w:rPr>
            </w:pPr>
          </w:p>
          <w:p w:rsidR="00041039" w:rsidRDefault="001B26CB">
            <w:pPr>
              <w:pStyle w:val="TableParagraph"/>
              <w:spacing w:before="1"/>
              <w:ind w:left="57"/>
              <w:rPr>
                <w:b/>
                <w:sz w:val="14"/>
              </w:rPr>
            </w:pPr>
            <w:r>
              <w:rPr>
                <w:b/>
                <w:color w:val="231F20"/>
                <w:sz w:val="14"/>
              </w:rPr>
              <w:t>Праћење, вредновање и оцењивање</w:t>
            </w:r>
          </w:p>
          <w:p w:rsidR="00041039" w:rsidRDefault="001B26CB">
            <w:pPr>
              <w:pStyle w:val="TableParagraph"/>
              <w:ind w:left="57" w:right="86"/>
              <w:rPr>
                <w:sz w:val="14"/>
              </w:rPr>
            </w:pPr>
            <w:r>
              <w:rPr>
                <w:color w:val="231F20"/>
                <w:sz w:val="14"/>
              </w:rPr>
              <w:t>Праћ</w:t>
            </w:r>
            <w:r>
              <w:rPr>
                <w:color w:val="231F20"/>
                <w:sz w:val="14"/>
              </w:rPr>
              <w:t>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w:t>
            </w:r>
            <w:r>
              <w:rPr>
                <w:color w:val="231F20"/>
                <w:sz w:val="14"/>
              </w:rPr>
              <w:t>ама.</w:t>
            </w:r>
          </w:p>
          <w:p w:rsidR="00041039" w:rsidRDefault="00041039">
            <w:pPr>
              <w:pStyle w:val="TableParagraph"/>
              <w:spacing w:before="11"/>
              <w:ind w:left="0"/>
              <w:rPr>
                <w:b/>
                <w:sz w:val="12"/>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433"/>
              </w:numPr>
              <w:tabs>
                <w:tab w:val="left" w:pos="158"/>
              </w:tabs>
              <w:spacing w:line="237" w:lineRule="auto"/>
              <w:ind w:right="246"/>
              <w:rPr>
                <w:b/>
                <w:sz w:val="14"/>
              </w:rPr>
            </w:pPr>
            <w:r>
              <w:rPr>
                <w:color w:val="231F20"/>
                <w:sz w:val="14"/>
              </w:rPr>
              <w:t>Тестирање и провера савлада­ ности стандарда из</w:t>
            </w:r>
            <w:r>
              <w:rPr>
                <w:color w:val="231F20"/>
                <w:spacing w:val="-15"/>
                <w:sz w:val="14"/>
              </w:rPr>
              <w:t xml:space="preserve"> </w:t>
            </w:r>
            <w:r>
              <w:rPr>
                <w:color w:val="231F20"/>
                <w:sz w:val="14"/>
              </w:rPr>
              <w:t xml:space="preserve">претходног разреда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433"/>
              </w:numPr>
              <w:tabs>
                <w:tab w:val="left" w:pos="158"/>
              </w:tabs>
              <w:spacing w:line="237" w:lineRule="auto"/>
              <w:ind w:right="92"/>
              <w:rPr>
                <w:b/>
                <w:sz w:val="14"/>
              </w:rPr>
            </w:pPr>
            <w:r>
              <w:rPr>
                <w:color w:val="231F20"/>
                <w:sz w:val="14"/>
              </w:rPr>
              <w:t xml:space="preserve">Теоријских часова </w:t>
            </w:r>
            <w:r>
              <w:rPr>
                <w:b/>
                <w:color w:val="231F20"/>
                <w:sz w:val="14"/>
              </w:rPr>
              <w:t>(2 у првом и</w:t>
            </w:r>
            <w:r>
              <w:rPr>
                <w:b/>
                <w:color w:val="231F20"/>
                <w:spacing w:val="-17"/>
                <w:sz w:val="14"/>
              </w:rPr>
              <w:t xml:space="preserve"> </w:t>
            </w:r>
            <w:r>
              <w:rPr>
                <w:b/>
                <w:color w:val="231F20"/>
                <w:sz w:val="14"/>
              </w:rPr>
              <w:t>2 у другом</w:t>
            </w:r>
            <w:r>
              <w:rPr>
                <w:b/>
                <w:color w:val="231F20"/>
                <w:spacing w:val="-4"/>
                <w:sz w:val="14"/>
              </w:rPr>
              <w:t xml:space="preserve"> </w:t>
            </w:r>
            <w:r>
              <w:rPr>
                <w:b/>
                <w:color w:val="231F20"/>
                <w:sz w:val="14"/>
              </w:rPr>
              <w:t>полугодишту)</w:t>
            </w:r>
          </w:p>
          <w:p w:rsidR="00041039" w:rsidRDefault="001B26CB">
            <w:pPr>
              <w:pStyle w:val="TableParagraph"/>
              <w:numPr>
                <w:ilvl w:val="0"/>
                <w:numId w:val="433"/>
              </w:numPr>
              <w:tabs>
                <w:tab w:val="left" w:pos="158"/>
              </w:tabs>
              <w:spacing w:line="155" w:lineRule="exact"/>
              <w:rPr>
                <w:b/>
                <w:sz w:val="14"/>
              </w:rPr>
            </w:pPr>
            <w:r>
              <w:rPr>
                <w:color w:val="231F20"/>
                <w:spacing w:val="-3"/>
                <w:sz w:val="14"/>
              </w:rPr>
              <w:t xml:space="preserve">Атлетика </w:t>
            </w:r>
            <w:r>
              <w:rPr>
                <w:b/>
                <w:color w:val="231F20"/>
                <w:sz w:val="14"/>
              </w:rPr>
              <w:t>(10</w:t>
            </w:r>
            <w:r>
              <w:rPr>
                <w:b/>
                <w:color w:val="231F20"/>
                <w:spacing w:val="1"/>
                <w:sz w:val="14"/>
              </w:rPr>
              <w:t xml:space="preserve"> </w:t>
            </w:r>
            <w:r>
              <w:rPr>
                <w:b/>
                <w:color w:val="231F20"/>
                <w:sz w:val="14"/>
              </w:rPr>
              <w:t>часова)</w:t>
            </w:r>
          </w:p>
          <w:p w:rsidR="00041039" w:rsidRDefault="001B26CB">
            <w:pPr>
              <w:pStyle w:val="TableParagraph"/>
              <w:numPr>
                <w:ilvl w:val="0"/>
                <w:numId w:val="433"/>
              </w:numPr>
              <w:tabs>
                <w:tab w:val="left" w:pos="158"/>
              </w:tabs>
              <w:spacing w:line="237" w:lineRule="auto"/>
              <w:ind w:right="105"/>
              <w:rPr>
                <w:b/>
                <w:sz w:val="14"/>
              </w:rPr>
            </w:pPr>
            <w:r>
              <w:rPr>
                <w:color w:val="231F20"/>
                <w:sz w:val="14"/>
              </w:rPr>
              <w:t>Гимнастика: вежбе на справама</w:t>
            </w:r>
            <w:r>
              <w:rPr>
                <w:color w:val="231F20"/>
                <w:spacing w:val="-24"/>
                <w:sz w:val="14"/>
              </w:rPr>
              <w:t xml:space="preserve"> </w:t>
            </w:r>
            <w:r>
              <w:rPr>
                <w:color w:val="231F20"/>
                <w:sz w:val="14"/>
              </w:rPr>
              <w:t xml:space="preserve">и тлу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433"/>
              </w:numPr>
              <w:tabs>
                <w:tab w:val="left" w:pos="158"/>
              </w:tabs>
              <w:spacing w:line="160" w:lineRule="exact"/>
              <w:rPr>
                <w:sz w:val="14"/>
              </w:rPr>
            </w:pPr>
            <w:r>
              <w:rPr>
                <w:color w:val="231F20"/>
                <w:sz w:val="14"/>
              </w:rPr>
              <w:t>Спортска игра: по избору</w:t>
            </w:r>
            <w:r>
              <w:rPr>
                <w:color w:val="231F20"/>
                <w:spacing w:val="-8"/>
                <w:sz w:val="14"/>
              </w:rPr>
              <w:t xml:space="preserve"> </w:t>
            </w:r>
            <w:r>
              <w:rPr>
                <w:color w:val="231F20"/>
                <w:spacing w:val="-3"/>
                <w:sz w:val="14"/>
              </w:rPr>
              <w:t>школе</w:t>
            </w:r>
          </w:p>
          <w:p w:rsidR="00041039" w:rsidRDefault="001B26CB">
            <w:pPr>
              <w:pStyle w:val="TableParagraph"/>
              <w:spacing w:line="155" w:lineRule="exact"/>
              <w:ind w:left="157"/>
              <w:rPr>
                <w:b/>
                <w:sz w:val="14"/>
              </w:rPr>
            </w:pPr>
            <w:r>
              <w:rPr>
                <w:b/>
                <w:color w:val="231F20"/>
                <w:sz w:val="14"/>
              </w:rPr>
              <w:t>(10 часова)</w:t>
            </w:r>
          </w:p>
          <w:p w:rsidR="00041039" w:rsidRDefault="001B26CB">
            <w:pPr>
              <w:pStyle w:val="TableParagraph"/>
              <w:numPr>
                <w:ilvl w:val="0"/>
                <w:numId w:val="433"/>
              </w:numPr>
              <w:tabs>
                <w:tab w:val="left" w:pos="158"/>
              </w:tabs>
              <w:spacing w:line="237" w:lineRule="auto"/>
              <w:ind w:right="119"/>
              <w:rPr>
                <w:b/>
                <w:sz w:val="14"/>
              </w:rPr>
            </w:pPr>
            <w:r>
              <w:rPr>
                <w:color w:val="231F20"/>
                <w:sz w:val="14"/>
              </w:rPr>
              <w:t xml:space="preserve">Физичка активност, односно спортска активност у складу са могућностима </w:t>
            </w:r>
            <w:r>
              <w:rPr>
                <w:color w:val="231F20"/>
                <w:spacing w:val="-3"/>
                <w:sz w:val="14"/>
              </w:rPr>
              <w:t xml:space="preserve">школе </w:t>
            </w:r>
            <w:r>
              <w:rPr>
                <w:color w:val="231F20"/>
                <w:sz w:val="14"/>
              </w:rPr>
              <w:t xml:space="preserve">а по избору ученика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433"/>
              </w:numPr>
              <w:tabs>
                <w:tab w:val="left" w:pos="158"/>
              </w:tabs>
              <w:spacing w:line="157" w:lineRule="exact"/>
              <w:rPr>
                <w:b/>
                <w:sz w:val="14"/>
              </w:rPr>
            </w:pPr>
            <w:r>
              <w:rPr>
                <w:color w:val="231F20"/>
                <w:sz w:val="14"/>
              </w:rPr>
              <w:t xml:space="preserve">Пливање </w:t>
            </w:r>
            <w:r>
              <w:rPr>
                <w:b/>
                <w:color w:val="231F20"/>
                <w:sz w:val="14"/>
              </w:rPr>
              <w:t>(10</w:t>
            </w:r>
            <w:r>
              <w:rPr>
                <w:b/>
                <w:color w:val="231F20"/>
                <w:spacing w:val="-2"/>
                <w:sz w:val="14"/>
              </w:rPr>
              <w:t xml:space="preserve"> </w:t>
            </w:r>
            <w:r>
              <w:rPr>
                <w:b/>
                <w:color w:val="231F20"/>
                <w:sz w:val="14"/>
              </w:rPr>
              <w:t>часова)</w:t>
            </w:r>
          </w:p>
          <w:p w:rsidR="00041039" w:rsidRDefault="001B26CB">
            <w:pPr>
              <w:pStyle w:val="TableParagraph"/>
              <w:numPr>
                <w:ilvl w:val="0"/>
                <w:numId w:val="433"/>
              </w:numPr>
              <w:tabs>
                <w:tab w:val="left" w:pos="158"/>
              </w:tabs>
              <w:spacing w:line="237" w:lineRule="auto"/>
              <w:ind w:right="401"/>
              <w:rPr>
                <w:b/>
                <w:sz w:val="14"/>
              </w:rPr>
            </w:pPr>
            <w:r>
              <w:rPr>
                <w:color w:val="231F20"/>
                <w:sz w:val="14"/>
              </w:rPr>
              <w:t>Провера знања и вештина</w:t>
            </w:r>
            <w:r>
              <w:rPr>
                <w:color w:val="231F20"/>
                <w:spacing w:val="-11"/>
                <w:sz w:val="14"/>
              </w:rPr>
              <w:t xml:space="preserve"> </w:t>
            </w:r>
            <w:r>
              <w:rPr>
                <w:b/>
                <w:color w:val="231F20"/>
                <w:sz w:val="14"/>
              </w:rPr>
              <w:t>(4 часа)</w:t>
            </w:r>
          </w:p>
          <w:p w:rsidR="00041039" w:rsidRDefault="001B26CB">
            <w:pPr>
              <w:pStyle w:val="TableParagraph"/>
              <w:spacing w:before="134" w:line="161" w:lineRule="exact"/>
              <w:ind w:left="57"/>
              <w:rPr>
                <w:b/>
                <w:sz w:val="14"/>
              </w:rPr>
            </w:pPr>
            <w:r>
              <w:rPr>
                <w:b/>
                <w:color w:val="231F20"/>
                <w:sz w:val="14"/>
              </w:rPr>
              <w:t>ПОСЕБНЕ АКТИВНОСТИ</w:t>
            </w:r>
          </w:p>
          <w:p w:rsidR="00041039" w:rsidRDefault="001B26CB">
            <w:pPr>
              <w:pStyle w:val="TableParagraph"/>
              <w:ind w:left="57" w:right="109"/>
              <w:rPr>
                <w:sz w:val="14"/>
              </w:rPr>
            </w:pPr>
            <w:r>
              <w:rPr>
                <w:color w:val="231F20"/>
                <w:sz w:val="14"/>
              </w:rPr>
              <w:t>Из фонда радних дана и за из­ вођење редовне наставе школа у току школске године организује: Два целодневна излета са пеша­ чењем:</w:t>
            </w:r>
          </w:p>
          <w:p w:rsidR="00041039" w:rsidRDefault="001B26CB">
            <w:pPr>
              <w:pStyle w:val="TableParagraph"/>
              <w:numPr>
                <w:ilvl w:val="0"/>
                <w:numId w:val="432"/>
              </w:numPr>
              <w:tabs>
                <w:tab w:val="left" w:pos="163"/>
              </w:tabs>
              <w:spacing w:line="237" w:lineRule="auto"/>
              <w:ind w:right="262"/>
              <w:rPr>
                <w:sz w:val="14"/>
              </w:rPr>
            </w:pPr>
            <w:r>
              <w:rPr>
                <w:color w:val="231F20"/>
                <w:sz w:val="14"/>
              </w:rPr>
              <w:t>I разред до 12км (укупно у</w:t>
            </w:r>
            <w:r>
              <w:rPr>
                <w:color w:val="231F20"/>
                <w:spacing w:val="-5"/>
                <w:sz w:val="14"/>
              </w:rPr>
              <w:t xml:space="preserve"> </w:t>
            </w:r>
            <w:r>
              <w:rPr>
                <w:color w:val="231F20"/>
                <w:sz w:val="14"/>
              </w:rPr>
              <w:t>оба правца);</w:t>
            </w:r>
          </w:p>
          <w:p w:rsidR="00041039" w:rsidRDefault="001B26CB">
            <w:pPr>
              <w:pStyle w:val="TableParagraph"/>
              <w:numPr>
                <w:ilvl w:val="0"/>
                <w:numId w:val="432"/>
              </w:numPr>
              <w:tabs>
                <w:tab w:val="left" w:pos="163"/>
              </w:tabs>
              <w:ind w:right="181"/>
              <w:rPr>
                <w:sz w:val="14"/>
              </w:rPr>
            </w:pPr>
            <w:r>
              <w:rPr>
                <w:color w:val="231F20"/>
                <w:sz w:val="14"/>
              </w:rPr>
              <w:t>II разред до 14 км (укупно у</w:t>
            </w:r>
            <w:r>
              <w:rPr>
                <w:color w:val="231F20"/>
                <w:spacing w:val="-6"/>
                <w:sz w:val="14"/>
              </w:rPr>
              <w:t xml:space="preserve"> </w:t>
            </w:r>
            <w:r>
              <w:rPr>
                <w:color w:val="231F20"/>
                <w:sz w:val="14"/>
              </w:rPr>
              <w:t>оба правца);</w:t>
            </w:r>
          </w:p>
          <w:p w:rsidR="00041039" w:rsidRDefault="001B26CB">
            <w:pPr>
              <w:pStyle w:val="TableParagraph"/>
              <w:numPr>
                <w:ilvl w:val="0"/>
                <w:numId w:val="432"/>
              </w:numPr>
              <w:tabs>
                <w:tab w:val="left" w:pos="163"/>
              </w:tabs>
              <w:ind w:right="134"/>
              <w:rPr>
                <w:sz w:val="14"/>
              </w:rPr>
            </w:pPr>
            <w:r>
              <w:rPr>
                <w:color w:val="231F20"/>
                <w:sz w:val="14"/>
              </w:rPr>
              <w:t>III разред до 16 км (укупно у</w:t>
            </w:r>
            <w:r>
              <w:rPr>
                <w:color w:val="231F20"/>
                <w:spacing w:val="-7"/>
                <w:sz w:val="14"/>
              </w:rPr>
              <w:t xml:space="preserve"> </w:t>
            </w:r>
            <w:r>
              <w:rPr>
                <w:color w:val="231F20"/>
                <w:sz w:val="14"/>
              </w:rPr>
              <w:t>оба правца).</w:t>
            </w:r>
          </w:p>
          <w:p w:rsidR="00041039" w:rsidRDefault="001B26CB">
            <w:pPr>
              <w:pStyle w:val="TableParagraph"/>
              <w:ind w:left="57"/>
              <w:rPr>
                <w:sz w:val="14"/>
              </w:rPr>
            </w:pPr>
            <w:r>
              <w:rPr>
                <w:color w:val="231F20"/>
                <w:sz w:val="14"/>
              </w:rPr>
              <w:t>Два кроса: јесењи и пролећни. Стручно веће наставника физичког васпитања утврђује програм и садржај излета и дужину стазе за кросеве, према узрасту ученика.</w:t>
            </w:r>
          </w:p>
          <w:p w:rsidR="00041039" w:rsidRDefault="00041039">
            <w:pPr>
              <w:pStyle w:val="TableParagraph"/>
              <w:spacing w:before="11"/>
              <w:ind w:left="0"/>
              <w:rPr>
                <w:b/>
                <w:sz w:val="12"/>
              </w:rPr>
            </w:pPr>
          </w:p>
          <w:p w:rsidR="00041039" w:rsidRDefault="001B26CB">
            <w:pPr>
              <w:pStyle w:val="TableParagraph"/>
              <w:spacing w:line="237" w:lineRule="auto"/>
              <w:ind w:left="57" w:right="10"/>
              <w:rPr>
                <w:sz w:val="14"/>
              </w:rPr>
            </w:pPr>
            <w:r>
              <w:rPr>
                <w:color w:val="231F20"/>
                <w:sz w:val="14"/>
              </w:rPr>
              <w:t>Школа организује и спроводи спортска такмичења, као јединстве­ ни део процеса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w:t>
            </w:r>
            <w:r>
              <w:rPr>
                <w:color w:val="231F20"/>
                <w:sz w:val="14"/>
              </w:rPr>
              <w:t>ара који доноси Министарство просве­ те науке и технолошког развоја.</w:t>
            </w:r>
          </w:p>
        </w:tc>
      </w:tr>
      <w:tr w:rsidR="00041039">
        <w:trPr>
          <w:trHeight w:val="1750"/>
        </w:trPr>
        <w:tc>
          <w:tcPr>
            <w:tcW w:w="1304" w:type="dxa"/>
            <w:tcBorders>
              <w:top w:val="nil"/>
              <w:bottom w:val="nil"/>
            </w:tcBorders>
          </w:tcPr>
          <w:p w:rsidR="00041039" w:rsidRDefault="001B26CB">
            <w:pPr>
              <w:pStyle w:val="TableParagraph"/>
              <w:spacing w:before="71"/>
              <w:ind w:left="56"/>
              <w:rPr>
                <w:sz w:val="14"/>
              </w:rPr>
            </w:pPr>
            <w:r>
              <w:rPr>
                <w:color w:val="231F20"/>
                <w:sz w:val="14"/>
              </w:rPr>
              <w:t>Одбојка</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ОДБОЈКА</w:t>
            </w:r>
          </w:p>
          <w:p w:rsidR="00041039" w:rsidRDefault="001B26CB">
            <w:pPr>
              <w:pStyle w:val="TableParagraph"/>
              <w:numPr>
                <w:ilvl w:val="0"/>
                <w:numId w:val="431"/>
              </w:numPr>
              <w:tabs>
                <w:tab w:val="left" w:pos="163"/>
              </w:tabs>
              <w:ind w:right="367"/>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основну</w:t>
            </w:r>
            <w:r>
              <w:rPr>
                <w:color w:val="231F20"/>
                <w:spacing w:val="-1"/>
                <w:sz w:val="14"/>
              </w:rPr>
              <w:t xml:space="preserve"> </w:t>
            </w:r>
            <w:r>
              <w:rPr>
                <w:color w:val="231F20"/>
                <w:spacing w:val="-5"/>
                <w:sz w:val="14"/>
              </w:rPr>
              <w:t>школу.</w:t>
            </w:r>
          </w:p>
          <w:p w:rsidR="00041039" w:rsidRDefault="001B26CB">
            <w:pPr>
              <w:pStyle w:val="TableParagraph"/>
              <w:numPr>
                <w:ilvl w:val="0"/>
                <w:numId w:val="431"/>
              </w:numPr>
              <w:tabs>
                <w:tab w:val="left" w:pos="163"/>
              </w:tabs>
              <w:spacing w:line="237" w:lineRule="auto"/>
              <w:ind w:right="79"/>
              <w:rPr>
                <w:sz w:val="14"/>
              </w:rPr>
            </w:pPr>
            <w:r>
              <w:rPr>
                <w:color w:val="231F20"/>
                <w:sz w:val="14"/>
              </w:rPr>
              <w:t xml:space="preserve">Техника одбојке. Игра са повученим и истуреним центром. Смечирање н његова блокада. </w:t>
            </w:r>
            <w:r>
              <w:rPr>
                <w:color w:val="231F20"/>
                <w:spacing w:val="-3"/>
                <w:sz w:val="14"/>
              </w:rPr>
              <w:t xml:space="preserve">Уигравање </w:t>
            </w:r>
            <w:r>
              <w:rPr>
                <w:color w:val="231F20"/>
                <w:sz w:val="14"/>
              </w:rPr>
              <w:t>кроз тренажни</w:t>
            </w:r>
            <w:r>
              <w:rPr>
                <w:color w:val="231F20"/>
                <w:spacing w:val="1"/>
                <w:sz w:val="14"/>
              </w:rPr>
              <w:t xml:space="preserve"> </w:t>
            </w:r>
            <w:r>
              <w:rPr>
                <w:color w:val="231F20"/>
                <w:sz w:val="14"/>
              </w:rPr>
              <w:t>процес.</w:t>
            </w:r>
          </w:p>
          <w:p w:rsidR="00041039" w:rsidRDefault="001B26CB">
            <w:pPr>
              <w:pStyle w:val="TableParagraph"/>
              <w:numPr>
                <w:ilvl w:val="0"/>
                <w:numId w:val="431"/>
              </w:numPr>
              <w:tabs>
                <w:tab w:val="left" w:pos="163"/>
              </w:tabs>
              <w:spacing w:line="161" w:lineRule="exact"/>
              <w:rPr>
                <w:sz w:val="14"/>
              </w:rPr>
            </w:pPr>
            <w:r>
              <w:rPr>
                <w:color w:val="231F20"/>
                <w:sz w:val="14"/>
              </w:rPr>
              <w:t>Правила игре и</w:t>
            </w:r>
            <w:r>
              <w:rPr>
                <w:color w:val="231F20"/>
                <w:spacing w:val="-4"/>
                <w:sz w:val="14"/>
              </w:rPr>
              <w:t xml:space="preserve"> </w:t>
            </w:r>
            <w:r>
              <w:rPr>
                <w:color w:val="231F20"/>
                <w:sz w:val="14"/>
              </w:rPr>
              <w:t>суђења.</w:t>
            </w:r>
          </w:p>
          <w:p w:rsidR="00041039" w:rsidRDefault="001B26CB">
            <w:pPr>
              <w:pStyle w:val="TableParagraph"/>
              <w:numPr>
                <w:ilvl w:val="0"/>
                <w:numId w:val="431"/>
              </w:numPr>
              <w:tabs>
                <w:tab w:val="left" w:pos="163"/>
              </w:tabs>
              <w:ind w:right="103"/>
              <w:rPr>
                <w:sz w:val="14"/>
              </w:rPr>
            </w:pPr>
            <w:r>
              <w:rPr>
                <w:color w:val="231F20"/>
                <w:sz w:val="14"/>
              </w:rPr>
              <w:t>Учествовање на одељењским, разредним</w:t>
            </w:r>
            <w:r>
              <w:rPr>
                <w:color w:val="231F20"/>
                <w:spacing w:val="-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tc>
        <w:tc>
          <w:tcPr>
            <w:tcW w:w="2267" w:type="dxa"/>
            <w:vMerge/>
            <w:tcBorders>
              <w:top w:val="nil"/>
            </w:tcBorders>
          </w:tcPr>
          <w:p w:rsidR="00041039" w:rsidRDefault="00041039">
            <w:pPr>
              <w:rPr>
                <w:sz w:val="2"/>
                <w:szCs w:val="2"/>
              </w:rPr>
            </w:pPr>
          </w:p>
        </w:tc>
      </w:tr>
      <w:tr w:rsidR="00041039">
        <w:trPr>
          <w:trHeight w:val="1590"/>
        </w:trPr>
        <w:tc>
          <w:tcPr>
            <w:tcW w:w="1304" w:type="dxa"/>
            <w:tcBorders>
              <w:top w:val="nil"/>
              <w:bottom w:val="nil"/>
            </w:tcBorders>
          </w:tcPr>
          <w:p w:rsidR="00041039" w:rsidRDefault="001B26CB">
            <w:pPr>
              <w:pStyle w:val="TableParagraph"/>
              <w:spacing w:before="71"/>
              <w:ind w:left="56"/>
              <w:rPr>
                <w:sz w:val="14"/>
              </w:rPr>
            </w:pPr>
            <w:r>
              <w:rPr>
                <w:color w:val="231F20"/>
                <w:sz w:val="14"/>
              </w:rPr>
              <w:t>Пливање</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1" w:line="161" w:lineRule="exact"/>
              <w:ind w:left="57"/>
              <w:rPr>
                <w:b/>
                <w:sz w:val="14"/>
              </w:rPr>
            </w:pPr>
            <w:r>
              <w:rPr>
                <w:b/>
                <w:color w:val="231F20"/>
                <w:sz w:val="14"/>
              </w:rPr>
              <w:t>ПЛИВАЊЕ</w:t>
            </w:r>
          </w:p>
          <w:p w:rsidR="00041039" w:rsidRDefault="001B26CB">
            <w:pPr>
              <w:pStyle w:val="TableParagraph"/>
              <w:numPr>
                <w:ilvl w:val="0"/>
                <w:numId w:val="430"/>
              </w:numPr>
              <w:tabs>
                <w:tab w:val="left" w:pos="163"/>
              </w:tabs>
              <w:ind w:right="64"/>
              <w:rPr>
                <w:sz w:val="14"/>
              </w:rPr>
            </w:pPr>
            <w:r>
              <w:rPr>
                <w:color w:val="231F20"/>
                <w:sz w:val="14"/>
              </w:rPr>
              <w:t>Упознавање и примена основних</w:t>
            </w:r>
            <w:r>
              <w:rPr>
                <w:color w:val="231F20"/>
                <w:spacing w:val="-20"/>
                <w:sz w:val="14"/>
              </w:rPr>
              <w:t xml:space="preserve"> </w:t>
            </w:r>
            <w:r>
              <w:rPr>
                <w:color w:val="231F20"/>
                <w:sz w:val="14"/>
              </w:rPr>
              <w:t>сигурнос­ них мера у</w:t>
            </w:r>
            <w:r>
              <w:rPr>
                <w:color w:val="231F20"/>
                <w:spacing w:val="-1"/>
                <w:sz w:val="14"/>
              </w:rPr>
              <w:t xml:space="preserve"> </w:t>
            </w:r>
            <w:r>
              <w:rPr>
                <w:color w:val="231F20"/>
                <w:spacing w:val="-3"/>
                <w:sz w:val="14"/>
              </w:rPr>
              <w:t>пливању.</w:t>
            </w:r>
          </w:p>
          <w:p w:rsidR="00041039" w:rsidRDefault="001B26CB">
            <w:pPr>
              <w:pStyle w:val="TableParagraph"/>
              <w:numPr>
                <w:ilvl w:val="0"/>
                <w:numId w:val="430"/>
              </w:numPr>
              <w:tabs>
                <w:tab w:val="left" w:pos="163"/>
              </w:tabs>
              <w:ind w:right="53"/>
              <w:rPr>
                <w:sz w:val="14"/>
              </w:rPr>
            </w:pPr>
            <w:r>
              <w:rPr>
                <w:color w:val="231F20"/>
                <w:spacing w:val="-3"/>
                <w:sz w:val="14"/>
              </w:rPr>
              <w:t xml:space="preserve">Усвајање </w:t>
            </w:r>
            <w:r>
              <w:rPr>
                <w:color w:val="231F20"/>
                <w:sz w:val="14"/>
              </w:rPr>
              <w:t>две технике пливања (по скло­ ностима и избору ученика). Вежбање ради постизања бољих резултата, Скок на</w:t>
            </w:r>
            <w:r>
              <w:rPr>
                <w:color w:val="231F20"/>
                <w:spacing w:val="-22"/>
                <w:sz w:val="14"/>
              </w:rPr>
              <w:t xml:space="preserve"> </w:t>
            </w:r>
            <w:r>
              <w:rPr>
                <w:color w:val="231F20"/>
                <w:sz w:val="14"/>
              </w:rPr>
              <w:t>старту и</w:t>
            </w:r>
            <w:r>
              <w:rPr>
                <w:color w:val="231F20"/>
                <w:spacing w:val="-1"/>
                <w:sz w:val="14"/>
              </w:rPr>
              <w:t xml:space="preserve"> </w:t>
            </w:r>
            <w:r>
              <w:rPr>
                <w:color w:val="231F20"/>
                <w:sz w:val="14"/>
              </w:rPr>
              <w:t>окрети.</w:t>
            </w:r>
          </w:p>
          <w:p w:rsidR="00041039" w:rsidRDefault="001B26CB">
            <w:pPr>
              <w:pStyle w:val="TableParagraph"/>
              <w:numPr>
                <w:ilvl w:val="0"/>
                <w:numId w:val="430"/>
              </w:numPr>
              <w:tabs>
                <w:tab w:val="left" w:pos="163"/>
              </w:tabs>
              <w:spacing w:line="237" w:lineRule="auto"/>
              <w:ind w:right="103"/>
              <w:rPr>
                <w:sz w:val="14"/>
              </w:rPr>
            </w:pPr>
            <w:r>
              <w:rPr>
                <w:color w:val="231F20"/>
                <w:sz w:val="14"/>
              </w:rPr>
              <w:t>Учествовање на одељењским, разредним</w:t>
            </w:r>
            <w:r>
              <w:rPr>
                <w:color w:val="231F20"/>
                <w:spacing w:val="-9"/>
                <w:sz w:val="14"/>
              </w:rPr>
              <w:t xml:space="preserve"> </w:t>
            </w:r>
            <w:r>
              <w:rPr>
                <w:color w:val="231F20"/>
                <w:sz w:val="14"/>
              </w:rPr>
              <w:t>и међушколским</w:t>
            </w:r>
            <w:r>
              <w:rPr>
                <w:color w:val="231F20"/>
                <w:spacing w:val="-2"/>
                <w:sz w:val="14"/>
              </w:rPr>
              <w:t xml:space="preserve"> </w:t>
            </w:r>
            <w:r>
              <w:rPr>
                <w:color w:val="231F20"/>
                <w:sz w:val="14"/>
              </w:rPr>
              <w:t>такмичењима.</w:t>
            </w:r>
          </w:p>
        </w:tc>
        <w:tc>
          <w:tcPr>
            <w:tcW w:w="2267" w:type="dxa"/>
            <w:vMerge/>
            <w:tcBorders>
              <w:top w:val="nil"/>
            </w:tcBorders>
          </w:tcPr>
          <w:p w:rsidR="00041039" w:rsidRDefault="00041039">
            <w:pPr>
              <w:rPr>
                <w:sz w:val="2"/>
                <w:szCs w:val="2"/>
              </w:rPr>
            </w:pPr>
          </w:p>
        </w:tc>
      </w:tr>
      <w:tr w:rsidR="00041039">
        <w:trPr>
          <w:trHeight w:val="1430"/>
        </w:trPr>
        <w:tc>
          <w:tcPr>
            <w:tcW w:w="1304" w:type="dxa"/>
            <w:tcBorders>
              <w:top w:val="nil"/>
              <w:bottom w:val="nil"/>
            </w:tcBorders>
          </w:tcPr>
          <w:p w:rsidR="00041039" w:rsidRDefault="001B26CB">
            <w:pPr>
              <w:pStyle w:val="TableParagraph"/>
              <w:spacing w:before="71"/>
              <w:ind w:left="56"/>
              <w:rPr>
                <w:sz w:val="14"/>
              </w:rPr>
            </w:pPr>
            <w:r>
              <w:rPr>
                <w:color w:val="231F20"/>
                <w:sz w:val="14"/>
              </w:rPr>
              <w:t>Борилачке вештине</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bottom w:val="nil"/>
            </w:tcBorders>
          </w:tcPr>
          <w:p w:rsidR="00041039" w:rsidRDefault="001B26CB">
            <w:pPr>
              <w:pStyle w:val="TableParagraph"/>
              <w:spacing w:before="72" w:line="161" w:lineRule="exact"/>
              <w:ind w:left="57"/>
              <w:rPr>
                <w:b/>
                <w:sz w:val="14"/>
              </w:rPr>
            </w:pPr>
            <w:r>
              <w:rPr>
                <w:b/>
                <w:color w:val="231F20"/>
                <w:sz w:val="14"/>
              </w:rPr>
              <w:t>БОРИЛАЧКЕ ВЕШТИНЕ</w:t>
            </w:r>
          </w:p>
          <w:p w:rsidR="00041039" w:rsidRDefault="001B26CB">
            <w:pPr>
              <w:pStyle w:val="TableParagraph"/>
              <w:ind w:left="162" w:right="178" w:hanging="105"/>
              <w:rPr>
                <w:sz w:val="14"/>
              </w:rPr>
            </w:pPr>
            <w:r>
              <w:rPr>
                <w:color w:val="231F20"/>
                <w:sz w:val="14"/>
              </w:rPr>
              <w:t>–</w:t>
            </w:r>
            <w:r>
              <w:rPr>
                <w:color w:val="231F20"/>
                <w:spacing w:val="-5"/>
                <w:sz w:val="14"/>
              </w:rPr>
              <w:t xml:space="preserve"> </w:t>
            </w:r>
            <w:r>
              <w:rPr>
                <w:color w:val="231F20"/>
                <w:sz w:val="14"/>
              </w:rPr>
              <w:t>Избор</w:t>
            </w:r>
            <w:r>
              <w:rPr>
                <w:color w:val="231F20"/>
                <w:spacing w:val="-6"/>
                <w:sz w:val="14"/>
              </w:rPr>
              <w:t xml:space="preserve"> </w:t>
            </w:r>
            <w:r>
              <w:rPr>
                <w:color w:val="231F20"/>
                <w:sz w:val="14"/>
              </w:rPr>
              <w:t>борилачке</w:t>
            </w:r>
            <w:r>
              <w:rPr>
                <w:color w:val="231F20"/>
                <w:spacing w:val="-5"/>
                <w:sz w:val="14"/>
              </w:rPr>
              <w:t xml:space="preserve"> </w:t>
            </w:r>
            <w:r>
              <w:rPr>
                <w:color w:val="231F20"/>
                <w:sz w:val="14"/>
              </w:rPr>
              <w:t>вештине</w:t>
            </w:r>
            <w:r>
              <w:rPr>
                <w:color w:val="231F20"/>
                <w:spacing w:val="-5"/>
                <w:sz w:val="14"/>
              </w:rPr>
              <w:t xml:space="preserve"> </w:t>
            </w:r>
            <w:r>
              <w:rPr>
                <w:color w:val="231F20"/>
                <w:sz w:val="14"/>
              </w:rPr>
              <w:t>која</w:t>
            </w:r>
            <w:r>
              <w:rPr>
                <w:color w:val="231F20"/>
                <w:spacing w:val="-5"/>
                <w:sz w:val="14"/>
              </w:rPr>
              <w:t xml:space="preserve"> </w:t>
            </w:r>
            <w:r>
              <w:rPr>
                <w:color w:val="231F20"/>
                <w:sz w:val="14"/>
              </w:rPr>
              <w:t>се</w:t>
            </w:r>
            <w:r>
              <w:rPr>
                <w:color w:val="231F20"/>
                <w:spacing w:val="-5"/>
                <w:sz w:val="14"/>
              </w:rPr>
              <w:t xml:space="preserve"> </w:t>
            </w:r>
            <w:r>
              <w:rPr>
                <w:color w:val="231F20"/>
                <w:sz w:val="14"/>
              </w:rPr>
              <w:t>изучава на матичним факултетима спорта и физичког васпитања и која је у програ­ му Школских спортских</w:t>
            </w:r>
            <w:r>
              <w:rPr>
                <w:color w:val="231F20"/>
                <w:spacing w:val="-5"/>
                <w:sz w:val="14"/>
              </w:rPr>
              <w:t xml:space="preserve"> </w:t>
            </w:r>
            <w:r>
              <w:rPr>
                <w:color w:val="231F20"/>
                <w:sz w:val="14"/>
              </w:rPr>
              <w:t>такмичења.</w:t>
            </w:r>
          </w:p>
          <w:p w:rsidR="00041039" w:rsidRDefault="001B26CB">
            <w:pPr>
              <w:pStyle w:val="TableParagraph"/>
              <w:spacing w:line="237" w:lineRule="auto"/>
              <w:ind w:left="162" w:right="94"/>
              <w:rPr>
                <w:sz w:val="14"/>
              </w:rPr>
            </w:pPr>
            <w:r>
              <w:rPr>
                <w:color w:val="231F20"/>
                <w:sz w:val="14"/>
              </w:rPr>
              <w:t>Наставник у складу са могућностима шко­ ле и интересовањима ученика предлаже наставни прогр</w:t>
            </w:r>
            <w:r>
              <w:rPr>
                <w:color w:val="231F20"/>
                <w:sz w:val="14"/>
              </w:rPr>
              <w:t>ам.</w:t>
            </w:r>
          </w:p>
        </w:tc>
        <w:tc>
          <w:tcPr>
            <w:tcW w:w="2267" w:type="dxa"/>
            <w:vMerge/>
            <w:tcBorders>
              <w:top w:val="nil"/>
            </w:tcBorders>
          </w:tcPr>
          <w:p w:rsidR="00041039" w:rsidRDefault="00041039">
            <w:pPr>
              <w:rPr>
                <w:sz w:val="2"/>
                <w:szCs w:val="2"/>
              </w:rPr>
            </w:pPr>
          </w:p>
        </w:tc>
      </w:tr>
      <w:tr w:rsidR="00041039">
        <w:trPr>
          <w:trHeight w:val="5373"/>
        </w:trPr>
        <w:tc>
          <w:tcPr>
            <w:tcW w:w="1304" w:type="dxa"/>
            <w:tcBorders>
              <w:top w:val="nil"/>
            </w:tcBorders>
          </w:tcPr>
          <w:p w:rsidR="00041039" w:rsidRDefault="001B26CB">
            <w:pPr>
              <w:pStyle w:val="TableParagraph"/>
              <w:spacing w:before="71"/>
              <w:ind w:left="56"/>
              <w:rPr>
                <w:sz w:val="14"/>
              </w:rPr>
            </w:pPr>
            <w:r>
              <w:rPr>
                <w:color w:val="231F20"/>
                <w:sz w:val="14"/>
              </w:rPr>
              <w:t>Клизање, скијање</w:t>
            </w: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1B26CB">
            <w:pPr>
              <w:pStyle w:val="TableParagraph"/>
              <w:spacing w:before="72" w:line="161" w:lineRule="exact"/>
              <w:ind w:left="57"/>
              <w:rPr>
                <w:b/>
                <w:sz w:val="14"/>
              </w:rPr>
            </w:pPr>
            <w:r>
              <w:rPr>
                <w:b/>
                <w:color w:val="231F20"/>
                <w:sz w:val="14"/>
              </w:rPr>
              <w:t>КЛИЗАЊЕ И СКИЈАЊЕ</w:t>
            </w:r>
          </w:p>
          <w:p w:rsidR="00041039" w:rsidRDefault="001B26CB">
            <w:pPr>
              <w:pStyle w:val="TableParagraph"/>
              <w:ind w:left="162" w:right="173" w:hanging="105"/>
              <w:rPr>
                <w:sz w:val="14"/>
              </w:rPr>
            </w:pPr>
            <w:r>
              <w:rPr>
                <w:color w:val="231F20"/>
                <w:sz w:val="14"/>
              </w:rPr>
              <w:t>– 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 тима.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2"/>
        <w:spacing w:before="98" w:line="232" w:lineRule="auto"/>
        <w:ind w:left="100" w:right="137" w:firstLine="396"/>
        <w:jc w:val="both"/>
      </w:pPr>
      <w:r>
        <w:rPr>
          <w:color w:val="231F20"/>
        </w:rPr>
        <w:t xml:space="preserve">Сваки </w:t>
      </w:r>
      <w:r>
        <w:rPr>
          <w:color w:val="231F20"/>
          <w:spacing w:val="-3"/>
        </w:rPr>
        <w:t xml:space="preserve">од </w:t>
      </w:r>
      <w:r>
        <w:rPr>
          <w:color w:val="231F20"/>
        </w:rPr>
        <w:t xml:space="preserve">образовних профила има карактеристике везане за обављање конкретних стручних послова, </w:t>
      </w:r>
      <w:r>
        <w:rPr>
          <w:color w:val="231F20"/>
          <w:spacing w:val="-3"/>
        </w:rPr>
        <w:t xml:space="preserve">који </w:t>
      </w:r>
      <w:r>
        <w:rPr>
          <w:color w:val="231F20"/>
        </w:rPr>
        <w:t xml:space="preserve">захтевају одређене по­ ложаје тела, покрете и кретања, </w:t>
      </w:r>
      <w:r>
        <w:rPr>
          <w:color w:val="231F20"/>
          <w:spacing w:val="-3"/>
        </w:rPr>
        <w:t xml:space="preserve">који </w:t>
      </w:r>
      <w:r>
        <w:rPr>
          <w:color w:val="231F20"/>
        </w:rPr>
        <w:t xml:space="preserve">могу негативно утицати на правилно држање (статус кичменог стуба и статус стопала). </w:t>
      </w:r>
      <w:r>
        <w:rPr>
          <w:color w:val="231F20"/>
          <w:spacing w:val="-4"/>
        </w:rPr>
        <w:t xml:space="preserve">Како </w:t>
      </w:r>
      <w:r>
        <w:rPr>
          <w:color w:val="231F20"/>
        </w:rPr>
        <w:t xml:space="preserve">би се </w:t>
      </w:r>
      <w:r>
        <w:rPr>
          <w:color w:val="231F20"/>
          <w:spacing w:val="-3"/>
        </w:rPr>
        <w:t>избегли</w:t>
      </w:r>
      <w:r>
        <w:rPr>
          <w:color w:val="231F20"/>
          <w:spacing w:val="-7"/>
        </w:rPr>
        <w:t xml:space="preserve"> </w:t>
      </w:r>
      <w:r>
        <w:rPr>
          <w:color w:val="231F20"/>
        </w:rPr>
        <w:t>ов</w:t>
      </w:r>
      <w:r>
        <w:rPr>
          <w:color w:val="231F20"/>
        </w:rPr>
        <w:t>и</w:t>
      </w:r>
      <w:r>
        <w:rPr>
          <w:color w:val="231F20"/>
          <w:spacing w:val="-7"/>
        </w:rPr>
        <w:t xml:space="preserve"> </w:t>
      </w:r>
      <w:r>
        <w:rPr>
          <w:color w:val="231F20"/>
        </w:rPr>
        <w:t>негативни</w:t>
      </w:r>
      <w:r>
        <w:rPr>
          <w:color w:val="231F20"/>
          <w:spacing w:val="-7"/>
        </w:rPr>
        <w:t xml:space="preserve"> </w:t>
      </w:r>
      <w:r>
        <w:rPr>
          <w:color w:val="231F20"/>
        </w:rPr>
        <w:t>утицаји,</w:t>
      </w:r>
      <w:r>
        <w:rPr>
          <w:color w:val="231F20"/>
          <w:spacing w:val="-7"/>
        </w:rPr>
        <w:t xml:space="preserve"> </w:t>
      </w:r>
      <w:r>
        <w:rPr>
          <w:color w:val="231F20"/>
        </w:rPr>
        <w:t>наставници</w:t>
      </w:r>
      <w:r>
        <w:rPr>
          <w:color w:val="231F20"/>
          <w:spacing w:val="-7"/>
        </w:rPr>
        <w:t xml:space="preserve"> </w:t>
      </w:r>
      <w:r>
        <w:rPr>
          <w:color w:val="231F20"/>
        </w:rPr>
        <w:t>стручних</w:t>
      </w:r>
      <w:r>
        <w:rPr>
          <w:color w:val="231F20"/>
          <w:spacing w:val="-7"/>
        </w:rPr>
        <w:t xml:space="preserve"> </w:t>
      </w:r>
      <w:r>
        <w:rPr>
          <w:color w:val="231F20"/>
        </w:rPr>
        <w:t>предмета</w:t>
      </w:r>
      <w:r>
        <w:rPr>
          <w:color w:val="231F20"/>
          <w:spacing w:val="-7"/>
        </w:rPr>
        <w:t xml:space="preserve"> </w:t>
      </w:r>
      <w:r>
        <w:rPr>
          <w:color w:val="231F20"/>
        </w:rPr>
        <w:t>и</w:t>
      </w:r>
      <w:r>
        <w:rPr>
          <w:color w:val="231F20"/>
          <w:spacing w:val="-7"/>
        </w:rPr>
        <w:t xml:space="preserve"> </w:t>
      </w:r>
      <w:r>
        <w:rPr>
          <w:color w:val="231F20"/>
        </w:rPr>
        <w:t>професори</w:t>
      </w:r>
      <w:r>
        <w:rPr>
          <w:color w:val="231F20"/>
          <w:spacing w:val="-7"/>
        </w:rPr>
        <w:t xml:space="preserve"> </w:t>
      </w:r>
      <w:r>
        <w:rPr>
          <w:color w:val="231F20"/>
        </w:rPr>
        <w:t>физичког</w:t>
      </w:r>
      <w:r>
        <w:rPr>
          <w:color w:val="231F20"/>
          <w:spacing w:val="-7"/>
        </w:rPr>
        <w:t xml:space="preserve"> </w:t>
      </w:r>
      <w:r>
        <w:rPr>
          <w:color w:val="231F20"/>
        </w:rPr>
        <w:t>васпитања</w:t>
      </w:r>
      <w:r>
        <w:rPr>
          <w:color w:val="231F20"/>
          <w:spacing w:val="-7"/>
        </w:rPr>
        <w:t xml:space="preserve"> </w:t>
      </w:r>
      <w:r>
        <w:rPr>
          <w:color w:val="231F20"/>
        </w:rPr>
        <w:t>дефинишу</w:t>
      </w:r>
      <w:r>
        <w:rPr>
          <w:color w:val="231F20"/>
          <w:spacing w:val="-7"/>
        </w:rPr>
        <w:t xml:space="preserve"> </w:t>
      </w:r>
      <w:r>
        <w:rPr>
          <w:color w:val="231F20"/>
        </w:rPr>
        <w:t>могуће</w:t>
      </w:r>
      <w:r>
        <w:rPr>
          <w:color w:val="231F20"/>
          <w:spacing w:val="-7"/>
        </w:rPr>
        <w:t xml:space="preserve"> </w:t>
      </w:r>
      <w:r>
        <w:rPr>
          <w:color w:val="231F20"/>
        </w:rPr>
        <w:t>професионалне</w:t>
      </w:r>
      <w:r>
        <w:rPr>
          <w:color w:val="231F20"/>
          <w:spacing w:val="-7"/>
        </w:rPr>
        <w:t xml:space="preserve"> </w:t>
      </w:r>
      <w:r>
        <w:rPr>
          <w:color w:val="231F20"/>
        </w:rPr>
        <w:t>поре­ мећаје, на основу чега се програмирају посебни садржаји, којима се обезбеђује</w:t>
      </w:r>
      <w:r>
        <w:rPr>
          <w:color w:val="231F20"/>
          <w:spacing w:val="-6"/>
        </w:rPr>
        <w:t xml:space="preserve"> </w:t>
      </w:r>
      <w:r>
        <w:rPr>
          <w:color w:val="231F20"/>
        </w:rPr>
        <w:t>превенција.</w:t>
      </w:r>
    </w:p>
    <w:p w:rsidR="00041039" w:rsidRDefault="00041039">
      <w:pPr>
        <w:pStyle w:val="BodyText"/>
        <w:spacing w:before="8"/>
        <w:rPr>
          <w:sz w:val="16"/>
        </w:rPr>
      </w:pPr>
    </w:p>
    <w:p w:rsidR="00041039" w:rsidRDefault="001B26CB">
      <w:pPr>
        <w:spacing w:line="203" w:lineRule="exact"/>
        <w:ind w:left="497"/>
        <w:rPr>
          <w:b/>
          <w:sz w:val="18"/>
        </w:rPr>
      </w:pPr>
      <w:r>
        <w:rPr>
          <w:b/>
          <w:color w:val="231F20"/>
          <w:sz w:val="18"/>
        </w:rPr>
        <w:t>КОРЕЛАЦИЈА СА ДРУГИМ ПРЕДМЕТИМА</w:t>
      </w:r>
    </w:p>
    <w:p w:rsidR="00041039" w:rsidRDefault="001B26CB">
      <w:pPr>
        <w:pStyle w:val="ListParagraph"/>
        <w:numPr>
          <w:ilvl w:val="0"/>
          <w:numId w:val="539"/>
        </w:numPr>
        <w:tabs>
          <w:tab w:val="left" w:pos="633"/>
        </w:tabs>
        <w:rPr>
          <w:sz w:val="18"/>
        </w:rPr>
      </w:pPr>
      <w:r>
        <w:rPr>
          <w:color w:val="231F20"/>
          <w:sz w:val="18"/>
        </w:rPr>
        <w:t>Специјално физич</w:t>
      </w:r>
      <w:r>
        <w:rPr>
          <w:color w:val="231F20"/>
          <w:sz w:val="18"/>
        </w:rPr>
        <w:t>ко</w:t>
      </w:r>
      <w:r>
        <w:rPr>
          <w:color w:val="231F20"/>
          <w:spacing w:val="-2"/>
          <w:sz w:val="18"/>
        </w:rPr>
        <w:t xml:space="preserve"> </w:t>
      </w:r>
      <w:r>
        <w:rPr>
          <w:color w:val="231F20"/>
          <w:sz w:val="18"/>
        </w:rPr>
        <w:t>васпитање</w:t>
      </w:r>
    </w:p>
    <w:p w:rsidR="00041039" w:rsidRDefault="001B26CB">
      <w:pPr>
        <w:pStyle w:val="ListParagraph"/>
        <w:numPr>
          <w:ilvl w:val="0"/>
          <w:numId w:val="539"/>
        </w:numPr>
        <w:tabs>
          <w:tab w:val="left" w:pos="633"/>
        </w:tabs>
        <w:rPr>
          <w:sz w:val="18"/>
        </w:rPr>
      </w:pPr>
      <w:r>
        <w:rPr>
          <w:color w:val="231F20"/>
          <w:sz w:val="18"/>
        </w:rPr>
        <w:t>Биологија (одабране</w:t>
      </w:r>
      <w:r>
        <w:rPr>
          <w:color w:val="231F20"/>
          <w:spacing w:val="-2"/>
          <w:sz w:val="18"/>
        </w:rPr>
        <w:t xml:space="preserve"> </w:t>
      </w:r>
      <w:r>
        <w:rPr>
          <w:color w:val="231F20"/>
          <w:sz w:val="18"/>
        </w:rPr>
        <w:t>теме)*</w:t>
      </w:r>
    </w:p>
    <w:p w:rsidR="00041039" w:rsidRDefault="001B26CB">
      <w:pPr>
        <w:pStyle w:val="ListParagraph"/>
        <w:numPr>
          <w:ilvl w:val="0"/>
          <w:numId w:val="539"/>
        </w:numPr>
        <w:tabs>
          <w:tab w:val="left" w:pos="633"/>
        </w:tabs>
        <w:spacing w:line="203" w:lineRule="exact"/>
        <w:rPr>
          <w:sz w:val="18"/>
        </w:rPr>
      </w:pPr>
      <w:r>
        <w:rPr>
          <w:color w:val="231F20"/>
          <w:sz w:val="18"/>
        </w:rPr>
        <w:t>Музичка</w:t>
      </w:r>
      <w:r>
        <w:rPr>
          <w:color w:val="231F20"/>
          <w:spacing w:val="-1"/>
          <w:sz w:val="18"/>
        </w:rPr>
        <w:t xml:space="preserve"> </w:t>
      </w:r>
      <w:r>
        <w:rPr>
          <w:color w:val="231F20"/>
          <w:spacing w:val="-3"/>
          <w:sz w:val="18"/>
        </w:rPr>
        <w:t>култура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041039" w:rsidRDefault="001B26CB">
      <w:pPr>
        <w:pStyle w:val="BodyText"/>
        <w:tabs>
          <w:tab w:val="left" w:pos="1460"/>
        </w:tabs>
        <w:spacing w:before="49" w:line="161" w:lineRule="exact"/>
        <w:ind w:left="157"/>
      </w:pPr>
      <w:r>
        <w:rPr>
          <w:color w:val="231F20"/>
        </w:rPr>
        <w:t>Циљ</w:t>
      </w:r>
      <w:r>
        <w:rPr>
          <w:color w:val="231F20"/>
          <w:spacing w:val="-3"/>
        </w:rPr>
        <w:t xml:space="preserve"> </w:t>
      </w:r>
      <w:r>
        <w:rPr>
          <w:color w:val="231F20"/>
        </w:rPr>
        <w:t>предмета:</w:t>
      </w:r>
      <w:r>
        <w:rPr>
          <w:color w:val="231F20"/>
        </w:rPr>
        <w:tab/>
        <w:t>– Развијање логичког и апстрактног</w:t>
      </w:r>
      <w:r>
        <w:rPr>
          <w:color w:val="231F20"/>
          <w:spacing w:val="-3"/>
        </w:rPr>
        <w:t xml:space="preserve"> </w:t>
      </w:r>
      <w:r>
        <w:rPr>
          <w:color w:val="231F20"/>
        </w:rPr>
        <w:t>мишљења;</w:t>
      </w:r>
    </w:p>
    <w:p w:rsidR="00041039" w:rsidRDefault="001B26CB">
      <w:pPr>
        <w:pStyle w:val="ListParagraph"/>
        <w:numPr>
          <w:ilvl w:val="1"/>
          <w:numId w:val="539"/>
        </w:numPr>
        <w:tabs>
          <w:tab w:val="left" w:pos="1566"/>
        </w:tabs>
        <w:spacing w:line="160" w:lineRule="exact"/>
        <w:rPr>
          <w:sz w:val="14"/>
        </w:rPr>
      </w:pPr>
      <w:r>
        <w:rPr>
          <w:color w:val="231F20"/>
          <w:sz w:val="14"/>
        </w:rPr>
        <w:t>Развијање способности јасног и прецизног изражавања и коришћења основног математичко ­ логичког</w:t>
      </w:r>
      <w:r>
        <w:rPr>
          <w:color w:val="231F20"/>
          <w:spacing w:val="-13"/>
          <w:sz w:val="14"/>
        </w:rPr>
        <w:t xml:space="preserve"> </w:t>
      </w:r>
      <w:r>
        <w:rPr>
          <w:color w:val="231F20"/>
          <w:sz w:val="14"/>
        </w:rPr>
        <w:t>језика;</w:t>
      </w:r>
    </w:p>
    <w:p w:rsidR="00041039" w:rsidRDefault="001B26CB">
      <w:pPr>
        <w:pStyle w:val="ListParagraph"/>
        <w:numPr>
          <w:ilvl w:val="1"/>
          <w:numId w:val="539"/>
        </w:numPr>
        <w:tabs>
          <w:tab w:val="left" w:pos="1566"/>
        </w:tabs>
        <w:spacing w:line="160" w:lineRule="exact"/>
        <w:rPr>
          <w:sz w:val="14"/>
        </w:rPr>
      </w:pPr>
      <w:r>
        <w:rPr>
          <w:color w:val="231F20"/>
          <w:sz w:val="14"/>
        </w:rPr>
        <w:t>Развијање осећаја за простор. разликовање геометријских објеката и њихови узајамни односи и</w:t>
      </w:r>
      <w:r>
        <w:rPr>
          <w:color w:val="231F20"/>
          <w:spacing w:val="-10"/>
          <w:sz w:val="14"/>
        </w:rPr>
        <w:t xml:space="preserve"> </w:t>
      </w:r>
      <w:r>
        <w:rPr>
          <w:color w:val="231F20"/>
          <w:sz w:val="14"/>
        </w:rPr>
        <w:t>трансформације;</w:t>
      </w:r>
    </w:p>
    <w:p w:rsidR="00041039" w:rsidRDefault="001B26CB">
      <w:pPr>
        <w:pStyle w:val="ListParagraph"/>
        <w:numPr>
          <w:ilvl w:val="1"/>
          <w:numId w:val="539"/>
        </w:numPr>
        <w:tabs>
          <w:tab w:val="left" w:pos="1566"/>
        </w:tabs>
        <w:spacing w:line="160" w:lineRule="exact"/>
        <w:rPr>
          <w:sz w:val="14"/>
        </w:rPr>
      </w:pPr>
      <w:r>
        <w:rPr>
          <w:color w:val="231F20"/>
          <w:sz w:val="14"/>
        </w:rPr>
        <w:t>Развијање систематичности, уредности, прецизности, темељности, истрајности, критичности у</w:t>
      </w:r>
      <w:r>
        <w:rPr>
          <w:color w:val="231F20"/>
          <w:spacing w:val="-2"/>
          <w:sz w:val="14"/>
        </w:rPr>
        <w:t xml:space="preserve"> </w:t>
      </w:r>
      <w:r>
        <w:rPr>
          <w:color w:val="231F20"/>
          <w:sz w:val="14"/>
        </w:rPr>
        <w:t>раду;</w:t>
      </w:r>
    </w:p>
    <w:p w:rsidR="00041039" w:rsidRDefault="001B26CB">
      <w:pPr>
        <w:pStyle w:val="ListParagraph"/>
        <w:numPr>
          <w:ilvl w:val="1"/>
          <w:numId w:val="539"/>
        </w:numPr>
        <w:tabs>
          <w:tab w:val="left" w:pos="1566"/>
        </w:tabs>
        <w:spacing w:line="160" w:lineRule="exact"/>
        <w:rPr>
          <w:sz w:val="14"/>
        </w:rPr>
      </w:pPr>
      <w:r>
        <w:rPr>
          <w:color w:val="231F20"/>
          <w:sz w:val="14"/>
        </w:rPr>
        <w:t xml:space="preserve">Оспособљавање за примену стечених знања </w:t>
      </w:r>
      <w:r>
        <w:rPr>
          <w:color w:val="231F20"/>
          <w:spacing w:val="-3"/>
          <w:sz w:val="14"/>
        </w:rPr>
        <w:t>како</w:t>
      </w:r>
      <w:r>
        <w:rPr>
          <w:color w:val="231F20"/>
          <w:spacing w:val="-3"/>
          <w:sz w:val="14"/>
        </w:rPr>
        <w:t xml:space="preserve"> </w:t>
      </w:r>
      <w:r>
        <w:rPr>
          <w:color w:val="231F20"/>
          <w:sz w:val="14"/>
        </w:rPr>
        <w:t>у математици тако и у осталим</w:t>
      </w:r>
      <w:r>
        <w:rPr>
          <w:color w:val="231F20"/>
          <w:spacing w:val="-6"/>
          <w:sz w:val="14"/>
        </w:rPr>
        <w:t xml:space="preserve"> </w:t>
      </w:r>
      <w:r>
        <w:rPr>
          <w:color w:val="231F20"/>
          <w:sz w:val="14"/>
        </w:rPr>
        <w:t>предметима;</w:t>
      </w:r>
    </w:p>
    <w:p w:rsidR="00041039" w:rsidRDefault="001B26CB">
      <w:pPr>
        <w:pStyle w:val="ListParagraph"/>
        <w:numPr>
          <w:ilvl w:val="1"/>
          <w:numId w:val="539"/>
        </w:numPr>
        <w:tabs>
          <w:tab w:val="left" w:pos="1566"/>
        </w:tabs>
        <w:spacing w:line="160" w:lineRule="exact"/>
        <w:rPr>
          <w:sz w:val="14"/>
        </w:rPr>
      </w:pPr>
      <w:r>
        <w:rPr>
          <w:color w:val="231F20"/>
          <w:sz w:val="14"/>
        </w:rPr>
        <w:t>Формирање основа за наставак</w:t>
      </w:r>
      <w:r>
        <w:rPr>
          <w:color w:val="231F20"/>
          <w:spacing w:val="-2"/>
          <w:sz w:val="14"/>
        </w:rPr>
        <w:t xml:space="preserve"> </w:t>
      </w:r>
      <w:r>
        <w:rPr>
          <w:color w:val="231F20"/>
          <w:sz w:val="14"/>
        </w:rPr>
        <w:t>образовања;</w:t>
      </w:r>
    </w:p>
    <w:p w:rsidR="00041039" w:rsidRDefault="001B26CB">
      <w:pPr>
        <w:pStyle w:val="ListParagraph"/>
        <w:numPr>
          <w:ilvl w:val="1"/>
          <w:numId w:val="539"/>
        </w:numPr>
        <w:tabs>
          <w:tab w:val="left" w:pos="1566"/>
        </w:tabs>
        <w:spacing w:line="161" w:lineRule="exact"/>
        <w:rPr>
          <w:sz w:val="14"/>
        </w:rPr>
      </w:pPr>
      <w:r>
        <w:rPr>
          <w:color w:val="231F20"/>
          <w:sz w:val="14"/>
        </w:rPr>
        <w:t>Формирање</w:t>
      </w:r>
      <w:r>
        <w:rPr>
          <w:color w:val="231F20"/>
          <w:spacing w:val="-2"/>
          <w:sz w:val="14"/>
        </w:rPr>
        <w:t xml:space="preserve"> </w:t>
      </w:r>
      <w:r>
        <w:rPr>
          <w:color w:val="231F20"/>
          <w:sz w:val="14"/>
        </w:rPr>
        <w:t>математичке</w:t>
      </w:r>
      <w:r>
        <w:rPr>
          <w:color w:val="231F20"/>
          <w:spacing w:val="-2"/>
          <w:sz w:val="14"/>
        </w:rPr>
        <w:t xml:space="preserve"> </w:t>
      </w:r>
      <w:r>
        <w:rPr>
          <w:color w:val="231F20"/>
          <w:sz w:val="14"/>
        </w:rPr>
        <w:t>културе</w:t>
      </w:r>
      <w:r>
        <w:rPr>
          <w:color w:val="231F20"/>
          <w:spacing w:val="-2"/>
          <w:sz w:val="14"/>
        </w:rPr>
        <w:t xml:space="preserve"> </w:t>
      </w:r>
      <w:r>
        <w:rPr>
          <w:color w:val="231F20"/>
          <w:sz w:val="14"/>
        </w:rPr>
        <w:t>која</w:t>
      </w:r>
      <w:r>
        <w:rPr>
          <w:color w:val="231F20"/>
          <w:spacing w:val="-2"/>
          <w:sz w:val="14"/>
        </w:rPr>
        <w:t xml:space="preserve"> </w:t>
      </w:r>
      <w:r>
        <w:rPr>
          <w:color w:val="231F20"/>
          <w:sz w:val="14"/>
        </w:rPr>
        <w:t>подразумева</w:t>
      </w:r>
      <w:r>
        <w:rPr>
          <w:color w:val="231F20"/>
          <w:spacing w:val="-2"/>
          <w:sz w:val="14"/>
        </w:rPr>
        <w:t xml:space="preserve"> </w:t>
      </w:r>
      <w:r>
        <w:rPr>
          <w:color w:val="231F20"/>
          <w:sz w:val="14"/>
        </w:rPr>
        <w:t>свест</w:t>
      </w:r>
      <w:r>
        <w:rPr>
          <w:color w:val="231F20"/>
          <w:spacing w:val="-2"/>
          <w:sz w:val="14"/>
        </w:rPr>
        <w:t xml:space="preserve"> </w:t>
      </w:r>
      <w:r>
        <w:rPr>
          <w:color w:val="231F20"/>
          <w:sz w:val="14"/>
        </w:rPr>
        <w:t>о</w:t>
      </w:r>
      <w:r>
        <w:rPr>
          <w:color w:val="231F20"/>
          <w:spacing w:val="-2"/>
          <w:sz w:val="14"/>
        </w:rPr>
        <w:t xml:space="preserve"> </w:t>
      </w:r>
      <w:r>
        <w:rPr>
          <w:color w:val="231F20"/>
          <w:sz w:val="14"/>
        </w:rPr>
        <w:t>универзалности</w:t>
      </w:r>
      <w:r>
        <w:rPr>
          <w:color w:val="231F20"/>
          <w:spacing w:val="-2"/>
          <w:sz w:val="14"/>
        </w:rPr>
        <w:t xml:space="preserve"> </w:t>
      </w:r>
      <w:r>
        <w:rPr>
          <w:color w:val="231F20"/>
          <w:sz w:val="14"/>
        </w:rPr>
        <w:t>и</w:t>
      </w:r>
      <w:r>
        <w:rPr>
          <w:color w:val="231F20"/>
          <w:spacing w:val="-3"/>
          <w:sz w:val="14"/>
        </w:rPr>
        <w:t xml:space="preserve"> </w:t>
      </w:r>
      <w:r>
        <w:rPr>
          <w:color w:val="231F20"/>
          <w:sz w:val="14"/>
        </w:rPr>
        <w:t>примени</w:t>
      </w:r>
      <w:r>
        <w:rPr>
          <w:color w:val="231F20"/>
          <w:spacing w:val="-3"/>
          <w:sz w:val="14"/>
        </w:rPr>
        <w:t xml:space="preserve"> </w:t>
      </w:r>
      <w:r>
        <w:rPr>
          <w:color w:val="231F20"/>
          <w:sz w:val="14"/>
        </w:rPr>
        <w:t>математике</w:t>
      </w:r>
      <w:r>
        <w:rPr>
          <w:color w:val="231F20"/>
          <w:spacing w:val="-2"/>
          <w:sz w:val="14"/>
        </w:rPr>
        <w:t xml:space="preserve"> </w:t>
      </w:r>
      <w:r>
        <w:rPr>
          <w:color w:val="231F20"/>
          <w:sz w:val="14"/>
        </w:rPr>
        <w:t>и</w:t>
      </w:r>
      <w:r>
        <w:rPr>
          <w:color w:val="231F20"/>
          <w:spacing w:val="-3"/>
          <w:sz w:val="14"/>
        </w:rPr>
        <w:t xml:space="preserve"> </w:t>
      </w:r>
      <w:r>
        <w:rPr>
          <w:color w:val="231F20"/>
          <w:sz w:val="14"/>
        </w:rPr>
        <w:t>математичког</w:t>
      </w:r>
      <w:r>
        <w:rPr>
          <w:color w:val="231F20"/>
          <w:spacing w:val="-2"/>
          <w:sz w:val="14"/>
        </w:rPr>
        <w:t xml:space="preserve"> </w:t>
      </w:r>
      <w:r>
        <w:rPr>
          <w:color w:val="231F20"/>
          <w:sz w:val="14"/>
        </w:rPr>
        <w:t>начина</w:t>
      </w:r>
      <w:r>
        <w:rPr>
          <w:color w:val="231F20"/>
          <w:spacing w:val="-2"/>
          <w:sz w:val="14"/>
        </w:rPr>
        <w:t xml:space="preserve"> </w:t>
      </w:r>
      <w:r>
        <w:rPr>
          <w:color w:val="231F20"/>
          <w:sz w:val="14"/>
        </w:rPr>
        <w:t>мишљења.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140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ight="37"/>
              <w:rPr>
                <w:sz w:val="14"/>
              </w:rPr>
            </w:pPr>
            <w:r>
              <w:rPr>
                <w:color w:val="231F20"/>
                <w:sz w:val="14"/>
              </w:rPr>
              <w:t>Тригонометрија правоуглог троугла</w:t>
            </w:r>
          </w:p>
        </w:tc>
        <w:tc>
          <w:tcPr>
            <w:tcW w:w="1587" w:type="dxa"/>
          </w:tcPr>
          <w:p w:rsidR="00041039" w:rsidRDefault="001B26CB">
            <w:pPr>
              <w:pStyle w:val="TableParagraph"/>
              <w:numPr>
                <w:ilvl w:val="0"/>
                <w:numId w:val="429"/>
              </w:numPr>
              <w:tabs>
                <w:tab w:val="left" w:pos="157"/>
              </w:tabs>
              <w:spacing w:before="8"/>
              <w:ind w:right="94"/>
              <w:rPr>
                <w:sz w:val="14"/>
              </w:rPr>
            </w:pPr>
            <w:r>
              <w:rPr>
                <w:color w:val="231F20"/>
                <w:sz w:val="14"/>
              </w:rPr>
              <w:t xml:space="preserve">Оспособљавање за решавање </w:t>
            </w:r>
            <w:r>
              <w:rPr>
                <w:color w:val="231F20"/>
                <w:spacing w:val="-3"/>
                <w:sz w:val="14"/>
              </w:rPr>
              <w:t xml:space="preserve">правоуглог </w:t>
            </w:r>
            <w:r>
              <w:rPr>
                <w:color w:val="231F20"/>
                <w:sz w:val="14"/>
              </w:rPr>
              <w:t>троугла, као и за</w:t>
            </w:r>
            <w:r>
              <w:rPr>
                <w:color w:val="231F20"/>
                <w:spacing w:val="-25"/>
                <w:sz w:val="14"/>
              </w:rPr>
              <w:t xml:space="preserve"> </w:t>
            </w:r>
            <w:r>
              <w:rPr>
                <w:color w:val="231F20"/>
                <w:sz w:val="14"/>
              </w:rPr>
              <w:t>изра­ чунавање вредности основних тригоно­ метријских функција на тригонометријској кружници.</w:t>
            </w:r>
          </w:p>
        </w:tc>
        <w:tc>
          <w:tcPr>
            <w:tcW w:w="2551" w:type="dxa"/>
          </w:tcPr>
          <w:p w:rsidR="00041039" w:rsidRDefault="001B26CB">
            <w:pPr>
              <w:pStyle w:val="TableParagraph"/>
              <w:numPr>
                <w:ilvl w:val="0"/>
                <w:numId w:val="428"/>
              </w:numPr>
              <w:tabs>
                <w:tab w:val="left" w:pos="157"/>
              </w:tabs>
              <w:spacing w:before="8"/>
              <w:ind w:right="43" w:hanging="99"/>
              <w:rPr>
                <w:sz w:val="14"/>
              </w:rPr>
            </w:pPr>
            <w:r>
              <w:rPr>
                <w:color w:val="231F20"/>
                <w:sz w:val="14"/>
              </w:rPr>
              <w:t>објасни шта су синус, косинус,</w:t>
            </w:r>
            <w:r>
              <w:rPr>
                <w:color w:val="231F20"/>
                <w:spacing w:val="-13"/>
                <w:sz w:val="14"/>
              </w:rPr>
              <w:t xml:space="preserve"> </w:t>
            </w:r>
            <w:r>
              <w:rPr>
                <w:color w:val="231F20"/>
                <w:sz w:val="14"/>
              </w:rPr>
              <w:t xml:space="preserve">тангенс и котангенс оштрог </w:t>
            </w:r>
            <w:r>
              <w:rPr>
                <w:color w:val="231F20"/>
                <w:spacing w:val="-3"/>
                <w:sz w:val="14"/>
              </w:rPr>
              <w:t xml:space="preserve">угла </w:t>
            </w:r>
            <w:r>
              <w:rPr>
                <w:color w:val="231F20"/>
                <w:sz w:val="14"/>
              </w:rPr>
              <w:t xml:space="preserve">у </w:t>
            </w:r>
            <w:r>
              <w:rPr>
                <w:color w:val="231F20"/>
                <w:spacing w:val="-3"/>
                <w:sz w:val="14"/>
              </w:rPr>
              <w:t xml:space="preserve">правоуглом </w:t>
            </w:r>
            <w:r>
              <w:rPr>
                <w:color w:val="231F20"/>
                <w:spacing w:val="-4"/>
                <w:sz w:val="14"/>
              </w:rPr>
              <w:t xml:space="preserve">троуглу, </w:t>
            </w:r>
            <w:r>
              <w:rPr>
                <w:color w:val="231F20"/>
                <w:sz w:val="14"/>
              </w:rPr>
              <w:t xml:space="preserve">израчуна их </w:t>
            </w:r>
            <w:r>
              <w:rPr>
                <w:color w:val="231F20"/>
                <w:spacing w:val="-3"/>
                <w:sz w:val="14"/>
              </w:rPr>
              <w:t xml:space="preserve">ако </w:t>
            </w:r>
            <w:r>
              <w:rPr>
                <w:color w:val="231F20"/>
                <w:sz w:val="14"/>
              </w:rPr>
              <w:t>су дате странице (или се могу израчунати) и обрнуто, конструише оштар угао</w:t>
            </w:r>
            <w:r>
              <w:rPr>
                <w:color w:val="231F20"/>
                <w:spacing w:val="-5"/>
                <w:sz w:val="14"/>
              </w:rPr>
              <w:t xml:space="preserve"> </w:t>
            </w:r>
            <w:r>
              <w:rPr>
                <w:color w:val="231F20"/>
                <w:spacing w:val="-3"/>
                <w:sz w:val="14"/>
              </w:rPr>
              <w:t>ако</w:t>
            </w:r>
          </w:p>
          <w:p w:rsidR="00041039" w:rsidRDefault="001B26CB">
            <w:pPr>
              <w:pStyle w:val="TableParagraph"/>
              <w:spacing w:line="237" w:lineRule="auto"/>
              <w:ind w:right="228"/>
              <w:jc w:val="both"/>
              <w:rPr>
                <w:sz w:val="14"/>
              </w:rPr>
            </w:pPr>
            <w:r>
              <w:rPr>
                <w:color w:val="231F20"/>
                <w:sz w:val="14"/>
              </w:rPr>
              <w:t>је позната једна његова</w:t>
            </w:r>
            <w:r>
              <w:rPr>
                <w:color w:val="231F20"/>
                <w:spacing w:val="-21"/>
                <w:sz w:val="14"/>
              </w:rPr>
              <w:t xml:space="preserve"> </w:t>
            </w:r>
            <w:r>
              <w:rPr>
                <w:color w:val="231F20"/>
                <w:sz w:val="14"/>
              </w:rPr>
              <w:t>тригономет­ ријска</w:t>
            </w:r>
            <w:r>
              <w:rPr>
                <w:color w:val="231F20"/>
                <w:spacing w:val="-1"/>
                <w:sz w:val="14"/>
              </w:rPr>
              <w:t xml:space="preserve"> </w:t>
            </w:r>
            <w:r>
              <w:rPr>
                <w:color w:val="231F20"/>
                <w:sz w:val="14"/>
              </w:rPr>
              <w:t>функција;</w:t>
            </w:r>
          </w:p>
          <w:p w:rsidR="00041039" w:rsidRDefault="001B26CB">
            <w:pPr>
              <w:pStyle w:val="TableParagraph"/>
              <w:numPr>
                <w:ilvl w:val="0"/>
                <w:numId w:val="428"/>
              </w:numPr>
              <w:tabs>
                <w:tab w:val="left" w:pos="157"/>
              </w:tabs>
              <w:spacing w:line="237" w:lineRule="auto"/>
              <w:ind w:right="137" w:hanging="99"/>
              <w:rPr>
                <w:sz w:val="14"/>
              </w:rPr>
            </w:pPr>
            <w:r>
              <w:rPr>
                <w:color w:val="231F20"/>
                <w:sz w:val="14"/>
              </w:rPr>
              <w:t>одреди вредности</w:t>
            </w:r>
            <w:r>
              <w:rPr>
                <w:color w:val="231F20"/>
                <w:spacing w:val="-12"/>
                <w:sz w:val="14"/>
              </w:rPr>
              <w:t xml:space="preserve"> </w:t>
            </w:r>
            <w:r>
              <w:rPr>
                <w:color w:val="231F20"/>
                <w:sz w:val="14"/>
              </w:rPr>
              <w:t>тригонометријских функција углова 30°, 45°,</w:t>
            </w:r>
            <w:r>
              <w:rPr>
                <w:color w:val="231F20"/>
                <w:spacing w:val="-4"/>
                <w:sz w:val="14"/>
              </w:rPr>
              <w:t xml:space="preserve"> </w:t>
            </w:r>
            <w:r>
              <w:rPr>
                <w:color w:val="231F20"/>
                <w:sz w:val="14"/>
              </w:rPr>
              <w:t>60°;</w:t>
            </w:r>
          </w:p>
          <w:p w:rsidR="00041039" w:rsidRDefault="001B26CB">
            <w:pPr>
              <w:pStyle w:val="TableParagraph"/>
              <w:numPr>
                <w:ilvl w:val="0"/>
                <w:numId w:val="428"/>
              </w:numPr>
              <w:tabs>
                <w:tab w:val="left" w:pos="157"/>
              </w:tabs>
              <w:spacing w:line="160" w:lineRule="exact"/>
              <w:ind w:right="276" w:hanging="99"/>
              <w:jc w:val="both"/>
              <w:rPr>
                <w:sz w:val="14"/>
              </w:rPr>
            </w:pPr>
            <w:r>
              <w:rPr>
                <w:color w:val="231F20"/>
                <w:sz w:val="14"/>
              </w:rPr>
              <w:t>одреди вредност сваке</w:t>
            </w:r>
            <w:r>
              <w:rPr>
                <w:color w:val="231F20"/>
                <w:spacing w:val="-19"/>
                <w:sz w:val="14"/>
              </w:rPr>
              <w:t xml:space="preserve"> </w:t>
            </w:r>
            <w:r>
              <w:rPr>
                <w:color w:val="231F20"/>
                <w:sz w:val="14"/>
              </w:rPr>
              <w:t xml:space="preserve">тригономет­ ријске функције </w:t>
            </w:r>
            <w:r>
              <w:rPr>
                <w:color w:val="231F20"/>
                <w:spacing w:val="-3"/>
                <w:sz w:val="14"/>
              </w:rPr>
              <w:t xml:space="preserve">угла </w:t>
            </w:r>
            <w:r>
              <w:rPr>
                <w:color w:val="231F20"/>
                <w:sz w:val="14"/>
              </w:rPr>
              <w:t xml:space="preserve">у </w:t>
            </w:r>
            <w:r>
              <w:rPr>
                <w:color w:val="231F20"/>
                <w:spacing w:val="-3"/>
                <w:sz w:val="14"/>
              </w:rPr>
              <w:t xml:space="preserve">правоуглом троуглу </w:t>
            </w:r>
            <w:r>
              <w:rPr>
                <w:color w:val="231F20"/>
                <w:sz w:val="14"/>
              </w:rPr>
              <w:t>и на кружници;</w:t>
            </w:r>
          </w:p>
          <w:p w:rsidR="00041039" w:rsidRDefault="001B26CB">
            <w:pPr>
              <w:pStyle w:val="TableParagraph"/>
              <w:numPr>
                <w:ilvl w:val="0"/>
                <w:numId w:val="428"/>
              </w:numPr>
              <w:tabs>
                <w:tab w:val="left" w:pos="157"/>
              </w:tabs>
              <w:spacing w:line="160" w:lineRule="exact"/>
              <w:ind w:right="241" w:hanging="99"/>
              <w:jc w:val="both"/>
              <w:rPr>
                <w:sz w:val="14"/>
              </w:rPr>
            </w:pPr>
            <w:r>
              <w:rPr>
                <w:color w:val="231F20"/>
                <w:sz w:val="14"/>
              </w:rPr>
              <w:t xml:space="preserve">одреди угао </w:t>
            </w:r>
            <w:r>
              <w:rPr>
                <w:color w:val="231F20"/>
                <w:spacing w:val="-3"/>
                <w:sz w:val="14"/>
              </w:rPr>
              <w:t xml:space="preserve">ако </w:t>
            </w:r>
            <w:r>
              <w:rPr>
                <w:color w:val="231F20"/>
                <w:sz w:val="14"/>
              </w:rPr>
              <w:t>је позната вредност једне тригонометријске</w:t>
            </w:r>
            <w:r>
              <w:rPr>
                <w:color w:val="231F20"/>
                <w:spacing w:val="-6"/>
                <w:sz w:val="14"/>
              </w:rPr>
              <w:t xml:space="preserve"> </w:t>
            </w:r>
            <w:r>
              <w:rPr>
                <w:color w:val="231F20"/>
                <w:sz w:val="14"/>
              </w:rPr>
              <w:t>функције;</w:t>
            </w:r>
          </w:p>
          <w:p w:rsidR="00041039" w:rsidRDefault="001B26CB">
            <w:pPr>
              <w:pStyle w:val="TableParagraph"/>
              <w:numPr>
                <w:ilvl w:val="0"/>
                <w:numId w:val="428"/>
              </w:numPr>
              <w:tabs>
                <w:tab w:val="left" w:pos="157"/>
              </w:tabs>
              <w:spacing w:line="160" w:lineRule="exact"/>
              <w:ind w:right="281" w:hanging="99"/>
              <w:jc w:val="both"/>
              <w:rPr>
                <w:sz w:val="14"/>
              </w:rPr>
            </w:pPr>
            <w:r>
              <w:rPr>
                <w:color w:val="231F20"/>
                <w:sz w:val="14"/>
              </w:rPr>
              <w:t>употреби елементе</w:t>
            </w:r>
            <w:r>
              <w:rPr>
                <w:color w:val="231F20"/>
                <w:spacing w:val="-6"/>
                <w:sz w:val="14"/>
              </w:rPr>
              <w:t xml:space="preserve"> </w:t>
            </w:r>
            <w:r>
              <w:rPr>
                <w:color w:val="231F20"/>
                <w:sz w:val="14"/>
              </w:rPr>
              <w:t>тригонометрије правоуглог троугла, при решавању практичних</w:t>
            </w:r>
            <w:r>
              <w:rPr>
                <w:color w:val="231F20"/>
                <w:spacing w:val="-1"/>
                <w:sz w:val="14"/>
              </w:rPr>
              <w:t xml:space="preserve"> </w:t>
            </w:r>
            <w:r>
              <w:rPr>
                <w:color w:val="231F20"/>
                <w:sz w:val="14"/>
              </w:rPr>
              <w:t>проблема;</w:t>
            </w:r>
          </w:p>
        </w:tc>
        <w:tc>
          <w:tcPr>
            <w:tcW w:w="2834" w:type="dxa"/>
          </w:tcPr>
          <w:p w:rsidR="00041039" w:rsidRDefault="001B26CB">
            <w:pPr>
              <w:pStyle w:val="TableParagraph"/>
              <w:numPr>
                <w:ilvl w:val="0"/>
                <w:numId w:val="427"/>
              </w:numPr>
              <w:tabs>
                <w:tab w:val="left" w:pos="157"/>
              </w:tabs>
              <w:spacing w:before="8"/>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 xml:space="preserve">функција оштрог угла у </w:t>
            </w:r>
            <w:r>
              <w:rPr>
                <w:color w:val="231F20"/>
                <w:spacing w:val="-3"/>
                <w:sz w:val="14"/>
              </w:rPr>
              <w:t>правоуглом</w:t>
            </w:r>
            <w:r>
              <w:rPr>
                <w:color w:val="231F20"/>
                <w:spacing w:val="-1"/>
                <w:sz w:val="14"/>
              </w:rPr>
              <w:t xml:space="preserve"> </w:t>
            </w:r>
            <w:r>
              <w:rPr>
                <w:color w:val="231F20"/>
                <w:spacing w:val="-4"/>
                <w:sz w:val="14"/>
              </w:rPr>
              <w:t>тро</w:t>
            </w:r>
            <w:r>
              <w:rPr>
                <w:color w:val="231F20"/>
                <w:spacing w:val="-4"/>
                <w:sz w:val="14"/>
              </w:rPr>
              <w:t>углу.</w:t>
            </w:r>
          </w:p>
          <w:p w:rsidR="00041039" w:rsidRDefault="001B26CB">
            <w:pPr>
              <w:pStyle w:val="TableParagraph"/>
              <w:numPr>
                <w:ilvl w:val="0"/>
                <w:numId w:val="427"/>
              </w:numPr>
              <w:tabs>
                <w:tab w:val="left" w:pos="157"/>
              </w:tabs>
              <w:spacing w:before="1" w:line="160" w:lineRule="exact"/>
              <w:ind w:right="97" w:hanging="99"/>
              <w:rPr>
                <w:sz w:val="14"/>
              </w:rPr>
            </w:pPr>
            <w:r>
              <w:rPr>
                <w:color w:val="231F20"/>
                <w:sz w:val="14"/>
              </w:rPr>
              <w:t>Вредности тригонометријских функција карактеристичних</w:t>
            </w:r>
            <w:r>
              <w:rPr>
                <w:color w:val="231F20"/>
                <w:spacing w:val="-6"/>
                <w:sz w:val="14"/>
              </w:rPr>
              <w:t xml:space="preserve"> </w:t>
            </w:r>
            <w:r>
              <w:rPr>
                <w:color w:val="231F20"/>
                <w:sz w:val="14"/>
              </w:rPr>
              <w:t>углова</w:t>
            </w:r>
            <w:r>
              <w:rPr>
                <w:color w:val="231F20"/>
                <w:spacing w:val="-6"/>
                <w:sz w:val="14"/>
              </w:rPr>
              <w:t xml:space="preserve"> </w:t>
            </w:r>
            <w:r>
              <w:rPr>
                <w:color w:val="231F20"/>
                <w:sz w:val="14"/>
              </w:rPr>
              <w:t>(од</w:t>
            </w:r>
            <w:r>
              <w:rPr>
                <w:color w:val="231F20"/>
                <w:spacing w:val="-6"/>
                <w:sz w:val="14"/>
              </w:rPr>
              <w:t xml:space="preserve"> </w:t>
            </w:r>
            <w:r>
              <w:rPr>
                <w:color w:val="231F20"/>
                <w:sz w:val="14"/>
              </w:rPr>
              <w:t>30°,</w:t>
            </w:r>
            <w:r>
              <w:rPr>
                <w:color w:val="231F20"/>
                <w:spacing w:val="-6"/>
                <w:sz w:val="14"/>
              </w:rPr>
              <w:t xml:space="preserve"> </w:t>
            </w:r>
            <w:r>
              <w:rPr>
                <w:color w:val="231F20"/>
                <w:sz w:val="14"/>
              </w:rPr>
              <w:t>45°,</w:t>
            </w:r>
            <w:r>
              <w:rPr>
                <w:color w:val="231F20"/>
                <w:spacing w:val="-6"/>
                <w:sz w:val="14"/>
              </w:rPr>
              <w:t xml:space="preserve"> </w:t>
            </w:r>
            <w:r>
              <w:rPr>
                <w:color w:val="231F20"/>
                <w:sz w:val="14"/>
              </w:rPr>
              <w:t>60°).</w:t>
            </w:r>
          </w:p>
          <w:p w:rsidR="00041039" w:rsidRDefault="001B26CB">
            <w:pPr>
              <w:pStyle w:val="TableParagraph"/>
              <w:numPr>
                <w:ilvl w:val="0"/>
                <w:numId w:val="427"/>
              </w:numPr>
              <w:tabs>
                <w:tab w:val="left" w:pos="157"/>
              </w:tabs>
              <w:spacing w:line="160" w:lineRule="exact"/>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функција оштрог</w:t>
            </w:r>
            <w:r>
              <w:rPr>
                <w:color w:val="231F20"/>
                <w:spacing w:val="-1"/>
                <w:sz w:val="14"/>
              </w:rPr>
              <w:t xml:space="preserve"> </w:t>
            </w:r>
            <w:r>
              <w:rPr>
                <w:color w:val="231F20"/>
                <w:sz w:val="14"/>
              </w:rPr>
              <w:t>угла.</w:t>
            </w:r>
          </w:p>
          <w:p w:rsidR="00041039" w:rsidRDefault="001B26CB">
            <w:pPr>
              <w:pStyle w:val="TableParagraph"/>
              <w:numPr>
                <w:ilvl w:val="0"/>
                <w:numId w:val="427"/>
              </w:numPr>
              <w:tabs>
                <w:tab w:val="left" w:pos="157"/>
              </w:tabs>
              <w:spacing w:line="153" w:lineRule="exact"/>
              <w:ind w:hanging="99"/>
              <w:rPr>
                <w:sz w:val="14"/>
              </w:rPr>
            </w:pPr>
            <w:r>
              <w:rPr>
                <w:color w:val="231F20"/>
                <w:sz w:val="14"/>
              </w:rPr>
              <w:t>Основни тригонометријски</w:t>
            </w:r>
            <w:r>
              <w:rPr>
                <w:color w:val="231F20"/>
                <w:spacing w:val="-5"/>
                <w:sz w:val="14"/>
              </w:rPr>
              <w:t xml:space="preserve"> </w:t>
            </w:r>
            <w:r>
              <w:rPr>
                <w:color w:val="231F20"/>
                <w:sz w:val="14"/>
              </w:rPr>
              <w:t>идентитети.</w:t>
            </w:r>
          </w:p>
          <w:p w:rsidR="00041039" w:rsidRDefault="001B26CB">
            <w:pPr>
              <w:pStyle w:val="TableParagraph"/>
              <w:numPr>
                <w:ilvl w:val="0"/>
                <w:numId w:val="427"/>
              </w:numPr>
              <w:tabs>
                <w:tab w:val="left" w:pos="157"/>
              </w:tabs>
              <w:spacing w:line="237" w:lineRule="auto"/>
              <w:ind w:right="64" w:hanging="99"/>
              <w:rPr>
                <w:sz w:val="14"/>
              </w:rPr>
            </w:pPr>
            <w:r>
              <w:rPr>
                <w:color w:val="231F20"/>
                <w:sz w:val="14"/>
              </w:rPr>
              <w:t xml:space="preserve">Уопштење појма </w:t>
            </w:r>
            <w:r>
              <w:rPr>
                <w:color w:val="231F20"/>
                <w:spacing w:val="-3"/>
                <w:sz w:val="14"/>
              </w:rPr>
              <w:t xml:space="preserve">угла </w:t>
            </w:r>
            <w:r>
              <w:rPr>
                <w:color w:val="231F20"/>
                <w:sz w:val="14"/>
              </w:rPr>
              <w:t>на кружници</w:t>
            </w:r>
            <w:r>
              <w:rPr>
                <w:color w:val="231F20"/>
                <w:spacing w:val="-26"/>
                <w:sz w:val="14"/>
              </w:rPr>
              <w:t xml:space="preserve"> </w:t>
            </w:r>
            <w:r>
              <w:rPr>
                <w:color w:val="231F20"/>
                <w:sz w:val="14"/>
              </w:rPr>
              <w:t>(степен, радијан).</w:t>
            </w:r>
          </w:p>
          <w:p w:rsidR="00041039" w:rsidRDefault="001B26CB">
            <w:pPr>
              <w:pStyle w:val="TableParagraph"/>
              <w:numPr>
                <w:ilvl w:val="0"/>
                <w:numId w:val="427"/>
              </w:numPr>
              <w:tabs>
                <w:tab w:val="left" w:pos="157"/>
              </w:tabs>
              <w:spacing w:line="160" w:lineRule="exact"/>
              <w:ind w:right="170" w:hanging="99"/>
              <w:rPr>
                <w:sz w:val="14"/>
              </w:rPr>
            </w:pPr>
            <w:r>
              <w:rPr>
                <w:color w:val="231F20"/>
                <w:sz w:val="14"/>
              </w:rPr>
              <w:t>Дефиниције тригонометријских</w:t>
            </w:r>
            <w:r>
              <w:rPr>
                <w:color w:val="231F20"/>
                <w:spacing w:val="-7"/>
                <w:sz w:val="14"/>
              </w:rPr>
              <w:t xml:space="preserve"> </w:t>
            </w:r>
            <w:r>
              <w:rPr>
                <w:color w:val="231F20"/>
                <w:sz w:val="14"/>
              </w:rPr>
              <w:t>функција произвољног</w:t>
            </w:r>
            <w:r>
              <w:rPr>
                <w:color w:val="231F20"/>
                <w:spacing w:val="-1"/>
                <w:sz w:val="14"/>
              </w:rPr>
              <w:t xml:space="preserve"> </w:t>
            </w:r>
            <w:r>
              <w:rPr>
                <w:color w:val="231F20"/>
                <w:sz w:val="14"/>
              </w:rPr>
              <w:t>угла.</w:t>
            </w:r>
          </w:p>
        </w:tc>
        <w:tc>
          <w:tcPr>
            <w:tcW w:w="2267" w:type="dxa"/>
            <w:vMerge w:val="restart"/>
          </w:tcPr>
          <w:p w:rsidR="00041039" w:rsidRDefault="001B26CB">
            <w:pPr>
              <w:pStyle w:val="TableParagraph"/>
              <w:numPr>
                <w:ilvl w:val="0"/>
                <w:numId w:val="426"/>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426"/>
              </w:numPr>
              <w:tabs>
                <w:tab w:val="left" w:pos="158"/>
              </w:tabs>
              <w:spacing w:line="160" w:lineRule="exact"/>
              <w:ind w:hanging="99"/>
              <w:rPr>
                <w:b/>
                <w:sz w:val="14"/>
              </w:rPr>
            </w:pPr>
            <w:r>
              <w:rPr>
                <w:color w:val="231F20"/>
                <w:sz w:val="14"/>
              </w:rPr>
              <w:t xml:space="preserve">теоријска настава </w:t>
            </w:r>
            <w:r>
              <w:rPr>
                <w:b/>
                <w:color w:val="231F20"/>
                <w:sz w:val="14"/>
              </w:rPr>
              <w:t>(140</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426"/>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426"/>
              </w:numPr>
              <w:tabs>
                <w:tab w:val="left" w:pos="158"/>
              </w:tabs>
              <w:spacing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426"/>
              </w:numPr>
              <w:tabs>
                <w:tab w:val="left" w:pos="158"/>
              </w:tabs>
              <w:spacing w:before="1"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426"/>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426"/>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426"/>
              </w:numPr>
              <w:tabs>
                <w:tab w:val="left" w:pos="158"/>
              </w:tabs>
              <w:spacing w:line="160" w:lineRule="exact"/>
              <w:ind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технологија;</w:t>
            </w:r>
          </w:p>
          <w:p w:rsidR="00041039" w:rsidRDefault="001B26CB">
            <w:pPr>
              <w:pStyle w:val="TableParagraph"/>
              <w:numPr>
                <w:ilvl w:val="0"/>
                <w:numId w:val="425"/>
              </w:numPr>
              <w:tabs>
                <w:tab w:val="left" w:pos="143"/>
              </w:tabs>
              <w:spacing w:line="237" w:lineRule="auto"/>
              <w:ind w:right="60"/>
              <w:rPr>
                <w:sz w:val="14"/>
              </w:rPr>
            </w:pPr>
            <w:r>
              <w:rPr>
                <w:b/>
                <w:color w:val="231F20"/>
                <w:sz w:val="14"/>
              </w:rPr>
              <w:t xml:space="preserve">Тригонометрија </w:t>
            </w:r>
            <w:r>
              <w:rPr>
                <w:b/>
                <w:color w:val="231F20"/>
                <w:spacing w:val="-3"/>
                <w:sz w:val="14"/>
              </w:rPr>
              <w:t xml:space="preserve">правоуглог троугла: </w:t>
            </w:r>
            <w:r>
              <w:rPr>
                <w:color w:val="231F20"/>
                <w:sz w:val="14"/>
              </w:rPr>
              <w:t xml:space="preserve">оспособити ученике за проналажење правоуглог </w:t>
            </w:r>
            <w:r>
              <w:rPr>
                <w:color w:val="231F20"/>
                <w:spacing w:val="-3"/>
                <w:sz w:val="14"/>
              </w:rPr>
              <w:t xml:space="preserve">троугла </w:t>
            </w:r>
            <w:r>
              <w:rPr>
                <w:color w:val="231F20"/>
                <w:sz w:val="14"/>
              </w:rPr>
              <w:t>на разним геометријским фигу­ рама. Инсистирати на правилном означавању и адекватној</w:t>
            </w:r>
            <w:r>
              <w:rPr>
                <w:color w:val="231F20"/>
                <w:spacing w:val="-18"/>
                <w:sz w:val="14"/>
              </w:rPr>
              <w:t xml:space="preserve"> </w:t>
            </w:r>
            <w:r>
              <w:rPr>
                <w:color w:val="231F20"/>
                <w:sz w:val="14"/>
              </w:rPr>
              <w:t>употреби тригонометријских</w:t>
            </w:r>
            <w:r>
              <w:rPr>
                <w:color w:val="231F20"/>
                <w:spacing w:val="-1"/>
                <w:sz w:val="14"/>
              </w:rPr>
              <w:t xml:space="preserve"> </w:t>
            </w:r>
            <w:r>
              <w:rPr>
                <w:color w:val="231F20"/>
                <w:sz w:val="14"/>
              </w:rPr>
              <w:t>функција.</w:t>
            </w:r>
          </w:p>
          <w:p w:rsidR="00041039" w:rsidRDefault="001B26CB">
            <w:pPr>
              <w:pStyle w:val="TableParagraph"/>
              <w:numPr>
                <w:ilvl w:val="0"/>
                <w:numId w:val="425"/>
              </w:numPr>
              <w:tabs>
                <w:tab w:val="left" w:pos="143"/>
              </w:tabs>
              <w:spacing w:before="2"/>
              <w:ind w:right="79"/>
              <w:rPr>
                <w:sz w:val="14"/>
              </w:rPr>
            </w:pPr>
            <w:r>
              <w:rPr>
                <w:b/>
                <w:color w:val="231F20"/>
                <w:sz w:val="14"/>
              </w:rPr>
              <w:t xml:space="preserve">Логика и скупови: </w:t>
            </w:r>
            <w:r>
              <w:rPr>
                <w:color w:val="231F20"/>
                <w:sz w:val="14"/>
              </w:rPr>
              <w:t>сводити ску­ повне</w:t>
            </w:r>
            <w:r>
              <w:rPr>
                <w:color w:val="231F20"/>
                <w:spacing w:val="-8"/>
                <w:sz w:val="14"/>
              </w:rPr>
              <w:t xml:space="preserve"> </w:t>
            </w:r>
            <w:r>
              <w:rPr>
                <w:color w:val="231F20"/>
                <w:sz w:val="14"/>
              </w:rPr>
              <w:t>доказе</w:t>
            </w:r>
            <w:r>
              <w:rPr>
                <w:color w:val="231F20"/>
                <w:spacing w:val="-7"/>
                <w:sz w:val="14"/>
              </w:rPr>
              <w:t xml:space="preserve"> </w:t>
            </w:r>
            <w:r>
              <w:rPr>
                <w:color w:val="231F20"/>
                <w:sz w:val="14"/>
              </w:rPr>
              <w:t>на</w:t>
            </w:r>
            <w:r>
              <w:rPr>
                <w:color w:val="231F20"/>
                <w:spacing w:val="-8"/>
                <w:sz w:val="14"/>
              </w:rPr>
              <w:t xml:space="preserve"> </w:t>
            </w:r>
            <w:r>
              <w:rPr>
                <w:color w:val="231F20"/>
                <w:sz w:val="14"/>
              </w:rPr>
              <w:t>логичке</w:t>
            </w:r>
            <w:r>
              <w:rPr>
                <w:color w:val="231F20"/>
                <w:spacing w:val="-7"/>
                <w:sz w:val="14"/>
              </w:rPr>
              <w:t xml:space="preserve"> </w:t>
            </w:r>
            <w:r>
              <w:rPr>
                <w:color w:val="231F20"/>
                <w:sz w:val="14"/>
              </w:rPr>
              <w:t>формул</w:t>
            </w:r>
            <w:r>
              <w:rPr>
                <w:color w:val="231F20"/>
                <w:sz w:val="14"/>
              </w:rPr>
              <w:t>е; истаћи разлике између правила збира и производа и комбиновати их у</w:t>
            </w:r>
            <w:r>
              <w:rPr>
                <w:color w:val="231F20"/>
                <w:spacing w:val="-2"/>
                <w:sz w:val="14"/>
              </w:rPr>
              <w:t xml:space="preserve"> </w:t>
            </w:r>
            <w:r>
              <w:rPr>
                <w:color w:val="231F20"/>
                <w:sz w:val="14"/>
              </w:rPr>
              <w:t>задацима.</w:t>
            </w:r>
          </w:p>
          <w:p w:rsidR="00041039" w:rsidRDefault="001B26CB">
            <w:pPr>
              <w:pStyle w:val="TableParagraph"/>
              <w:numPr>
                <w:ilvl w:val="0"/>
                <w:numId w:val="425"/>
              </w:numPr>
              <w:tabs>
                <w:tab w:val="left" w:pos="143"/>
              </w:tabs>
              <w:spacing w:line="237" w:lineRule="auto"/>
              <w:ind w:right="109"/>
              <w:rPr>
                <w:sz w:val="14"/>
              </w:rPr>
            </w:pPr>
            <w:r>
              <w:rPr>
                <w:b/>
                <w:color w:val="231F20"/>
                <w:sz w:val="14"/>
              </w:rPr>
              <w:t xml:space="preserve">Реални бројеви: </w:t>
            </w:r>
            <w:r>
              <w:rPr>
                <w:color w:val="231F20"/>
                <w:sz w:val="14"/>
              </w:rPr>
              <w:t>нагласити за­ твореност операција у</w:t>
            </w:r>
            <w:r>
              <w:rPr>
                <w:color w:val="231F20"/>
                <w:spacing w:val="-3"/>
                <w:sz w:val="14"/>
              </w:rPr>
              <w:t xml:space="preserve"> </w:t>
            </w:r>
            <w:r>
              <w:rPr>
                <w:color w:val="231F20"/>
                <w:sz w:val="14"/>
              </w:rPr>
              <w:t>одређеним скуповима и потребу да се постојећи скуп прошири</w:t>
            </w:r>
            <w:r>
              <w:rPr>
                <w:color w:val="231F20"/>
                <w:spacing w:val="-9"/>
                <w:sz w:val="14"/>
              </w:rPr>
              <w:t xml:space="preserve"> </w:t>
            </w:r>
            <w:r>
              <w:rPr>
                <w:color w:val="231F20"/>
                <w:sz w:val="14"/>
              </w:rPr>
              <w:t>новим.</w:t>
            </w:r>
          </w:p>
          <w:p w:rsidR="00041039" w:rsidRDefault="001B26CB">
            <w:pPr>
              <w:pStyle w:val="TableParagraph"/>
              <w:ind w:left="142" w:right="230"/>
              <w:rPr>
                <w:sz w:val="14"/>
              </w:rPr>
            </w:pPr>
            <w:r>
              <w:rPr>
                <w:color w:val="231F20"/>
                <w:sz w:val="14"/>
              </w:rPr>
              <w:t>Садржаје о грешкама повезати са стручним предметима, из­</w:t>
            </w:r>
          </w:p>
          <w:p w:rsidR="00041039" w:rsidRDefault="001B26CB">
            <w:pPr>
              <w:pStyle w:val="TableParagraph"/>
              <w:ind w:left="142" w:right="14"/>
              <w:rPr>
                <w:sz w:val="14"/>
              </w:rPr>
            </w:pPr>
            <w:r>
              <w:rPr>
                <w:color w:val="231F20"/>
                <w:sz w:val="14"/>
              </w:rPr>
              <w:t>рачунавати апсолутну и релативну грешку конкретних мерења.</w:t>
            </w:r>
          </w:p>
          <w:p w:rsidR="00041039" w:rsidRDefault="001B26CB">
            <w:pPr>
              <w:pStyle w:val="TableParagraph"/>
              <w:numPr>
                <w:ilvl w:val="0"/>
                <w:numId w:val="425"/>
              </w:numPr>
              <w:tabs>
                <w:tab w:val="left" w:pos="143"/>
              </w:tabs>
              <w:ind w:right="81"/>
              <w:rPr>
                <w:sz w:val="14"/>
              </w:rPr>
            </w:pPr>
            <w:r>
              <w:rPr>
                <w:b/>
                <w:color w:val="231F20"/>
                <w:sz w:val="14"/>
              </w:rPr>
              <w:t xml:space="preserve">Рационални алгебарски изрази: </w:t>
            </w:r>
            <w:r>
              <w:rPr>
                <w:color w:val="231F20"/>
                <w:sz w:val="14"/>
              </w:rPr>
              <w:t>пажњу усмерити на растављање полинома на чиниоце, а</w:t>
            </w:r>
            <w:r>
              <w:rPr>
                <w:color w:val="231F20"/>
                <w:spacing w:val="-8"/>
                <w:sz w:val="14"/>
              </w:rPr>
              <w:t xml:space="preserve"> </w:t>
            </w:r>
            <w:r>
              <w:rPr>
                <w:color w:val="231F20"/>
                <w:sz w:val="14"/>
              </w:rPr>
              <w:t>затим</w:t>
            </w:r>
          </w:p>
          <w:p w:rsidR="00041039" w:rsidRDefault="001B26CB">
            <w:pPr>
              <w:pStyle w:val="TableParagraph"/>
              <w:spacing w:line="237" w:lineRule="auto"/>
              <w:ind w:left="142" w:right="137"/>
              <w:rPr>
                <w:sz w:val="14"/>
              </w:rPr>
            </w:pPr>
            <w:r>
              <w:rPr>
                <w:color w:val="231F20"/>
                <w:sz w:val="14"/>
              </w:rPr>
              <w:t>на изразе са алгебарским раз­ ломцима уз инсистирање на условима. Користити једначине и неједначине код којих</w:t>
            </w:r>
            <w:r>
              <w:rPr>
                <w:color w:val="231F20"/>
                <w:sz w:val="14"/>
              </w:rPr>
              <w:t xml:space="preserve"> услови егзистенције разломака утичу на решење.</w:t>
            </w:r>
          </w:p>
          <w:p w:rsidR="00041039" w:rsidRDefault="001B26CB">
            <w:pPr>
              <w:pStyle w:val="TableParagraph"/>
              <w:numPr>
                <w:ilvl w:val="0"/>
                <w:numId w:val="425"/>
              </w:numPr>
              <w:tabs>
                <w:tab w:val="left" w:pos="143"/>
              </w:tabs>
              <w:ind w:right="54"/>
              <w:rPr>
                <w:sz w:val="14"/>
              </w:rPr>
            </w:pPr>
            <w:r>
              <w:rPr>
                <w:b/>
                <w:color w:val="231F20"/>
                <w:sz w:val="14"/>
              </w:rPr>
              <w:t xml:space="preserve">Пропорционалност: </w:t>
            </w:r>
            <w:r>
              <w:rPr>
                <w:color w:val="231F20"/>
                <w:sz w:val="14"/>
              </w:rPr>
              <w:t>поновити и утврдити основна правила</w:t>
            </w:r>
            <w:r>
              <w:rPr>
                <w:color w:val="231F20"/>
                <w:spacing w:val="-10"/>
                <w:sz w:val="14"/>
              </w:rPr>
              <w:t xml:space="preserve"> </w:t>
            </w:r>
            <w:r>
              <w:rPr>
                <w:color w:val="231F20"/>
                <w:sz w:val="14"/>
              </w:rPr>
              <w:t>поделе, мешања и осталих елементарних примена</w:t>
            </w:r>
            <w:r>
              <w:rPr>
                <w:color w:val="231F20"/>
                <w:spacing w:val="-2"/>
                <w:sz w:val="14"/>
              </w:rPr>
              <w:t xml:space="preserve"> </w:t>
            </w:r>
            <w:r>
              <w:rPr>
                <w:color w:val="231F20"/>
                <w:sz w:val="14"/>
              </w:rPr>
              <w:t>пропорција.</w:t>
            </w:r>
          </w:p>
        </w:tc>
      </w:tr>
      <w:tr w:rsidR="00041039">
        <w:trPr>
          <w:trHeight w:val="1320"/>
        </w:trPr>
        <w:tc>
          <w:tcPr>
            <w:tcW w:w="1304" w:type="dxa"/>
          </w:tcPr>
          <w:p w:rsidR="00041039" w:rsidRDefault="001B26CB">
            <w:pPr>
              <w:pStyle w:val="TableParagraph"/>
              <w:spacing w:before="20"/>
              <w:ind w:left="56"/>
              <w:rPr>
                <w:sz w:val="14"/>
              </w:rPr>
            </w:pPr>
            <w:r>
              <w:rPr>
                <w:color w:val="231F20"/>
                <w:sz w:val="14"/>
              </w:rPr>
              <w:t>Логика и скупови</w:t>
            </w:r>
          </w:p>
        </w:tc>
        <w:tc>
          <w:tcPr>
            <w:tcW w:w="1587" w:type="dxa"/>
          </w:tcPr>
          <w:p w:rsidR="00041039" w:rsidRDefault="001B26CB">
            <w:pPr>
              <w:pStyle w:val="TableParagraph"/>
              <w:numPr>
                <w:ilvl w:val="0"/>
                <w:numId w:val="424"/>
              </w:numPr>
              <w:tabs>
                <w:tab w:val="left" w:pos="157"/>
              </w:tabs>
              <w:spacing w:before="10"/>
              <w:ind w:right="94"/>
              <w:rPr>
                <w:sz w:val="14"/>
              </w:rPr>
            </w:pPr>
            <w:r>
              <w:rPr>
                <w:color w:val="231F20"/>
                <w:sz w:val="14"/>
              </w:rPr>
              <w:t>Стицање знања о исказима и обављању основних логичких и скуповних операција и примена ових знања у комбинаторним задацима.</w:t>
            </w:r>
          </w:p>
        </w:tc>
        <w:tc>
          <w:tcPr>
            <w:tcW w:w="2551" w:type="dxa"/>
          </w:tcPr>
          <w:p w:rsidR="00041039" w:rsidRDefault="001B26CB">
            <w:pPr>
              <w:pStyle w:val="TableParagraph"/>
              <w:numPr>
                <w:ilvl w:val="0"/>
                <w:numId w:val="423"/>
              </w:numPr>
              <w:tabs>
                <w:tab w:val="left" w:pos="157"/>
              </w:tabs>
              <w:spacing w:before="10"/>
              <w:ind w:right="77" w:hanging="99"/>
              <w:rPr>
                <w:sz w:val="14"/>
              </w:rPr>
            </w:pPr>
            <w:r>
              <w:rPr>
                <w:color w:val="231F20"/>
                <w:sz w:val="14"/>
              </w:rPr>
              <w:t>одређује истинитосну вредност логич­ ке</w:t>
            </w:r>
            <w:r>
              <w:rPr>
                <w:color w:val="231F20"/>
                <w:spacing w:val="-1"/>
                <w:sz w:val="14"/>
              </w:rPr>
              <w:t xml:space="preserve"> </w:t>
            </w:r>
            <w:r>
              <w:rPr>
                <w:color w:val="231F20"/>
                <w:sz w:val="14"/>
              </w:rPr>
              <w:t>формуле;</w:t>
            </w:r>
          </w:p>
          <w:p w:rsidR="00041039" w:rsidRDefault="001B26CB">
            <w:pPr>
              <w:pStyle w:val="TableParagraph"/>
              <w:numPr>
                <w:ilvl w:val="0"/>
                <w:numId w:val="423"/>
              </w:numPr>
              <w:tabs>
                <w:tab w:val="left" w:pos="157"/>
              </w:tabs>
              <w:spacing w:line="160" w:lineRule="exact"/>
              <w:ind w:right="124" w:hanging="99"/>
              <w:rPr>
                <w:sz w:val="14"/>
              </w:rPr>
            </w:pPr>
            <w:r>
              <w:rPr>
                <w:color w:val="231F20"/>
                <w:sz w:val="14"/>
              </w:rPr>
              <w:t>коректно се служи</w:t>
            </w:r>
            <w:r>
              <w:rPr>
                <w:color w:val="231F20"/>
                <w:spacing w:val="-23"/>
                <w:sz w:val="14"/>
              </w:rPr>
              <w:t xml:space="preserve"> </w:t>
            </w:r>
            <w:r>
              <w:rPr>
                <w:color w:val="231F20"/>
                <w:sz w:val="14"/>
              </w:rPr>
              <w:t>квантификаторима и разуме њихова</w:t>
            </w:r>
            <w:r>
              <w:rPr>
                <w:color w:val="231F20"/>
                <w:spacing w:val="-4"/>
                <w:sz w:val="14"/>
              </w:rPr>
              <w:t xml:space="preserve"> </w:t>
            </w:r>
            <w:r>
              <w:rPr>
                <w:color w:val="231F20"/>
                <w:sz w:val="14"/>
              </w:rPr>
              <w:t>значења;</w:t>
            </w:r>
          </w:p>
          <w:p w:rsidR="00041039" w:rsidRDefault="001B26CB">
            <w:pPr>
              <w:pStyle w:val="TableParagraph"/>
              <w:numPr>
                <w:ilvl w:val="0"/>
                <w:numId w:val="423"/>
              </w:numPr>
              <w:tabs>
                <w:tab w:val="left" w:pos="157"/>
              </w:tabs>
              <w:spacing w:line="160" w:lineRule="exact"/>
              <w:ind w:right="168" w:hanging="99"/>
              <w:rPr>
                <w:sz w:val="14"/>
              </w:rPr>
            </w:pPr>
            <w:r>
              <w:rPr>
                <w:color w:val="231F20"/>
                <w:sz w:val="14"/>
              </w:rPr>
              <w:t>познаје основне скуповне</w:t>
            </w:r>
            <w:r>
              <w:rPr>
                <w:color w:val="231F20"/>
                <w:spacing w:val="-12"/>
                <w:sz w:val="14"/>
              </w:rPr>
              <w:t xml:space="preserve"> </w:t>
            </w:r>
            <w:r>
              <w:rPr>
                <w:color w:val="231F20"/>
                <w:sz w:val="14"/>
              </w:rPr>
              <w:t>једнакости и обавља елементарне операције са скуповима;</w:t>
            </w:r>
          </w:p>
          <w:p w:rsidR="00041039" w:rsidRDefault="001B26CB">
            <w:pPr>
              <w:pStyle w:val="TableParagraph"/>
              <w:numPr>
                <w:ilvl w:val="0"/>
                <w:numId w:val="423"/>
              </w:numPr>
              <w:tabs>
                <w:tab w:val="left" w:pos="157"/>
              </w:tabs>
              <w:spacing w:line="158" w:lineRule="exact"/>
              <w:ind w:hanging="99"/>
              <w:rPr>
                <w:sz w:val="14"/>
              </w:rPr>
            </w:pPr>
            <w:r>
              <w:rPr>
                <w:color w:val="231F20"/>
                <w:sz w:val="14"/>
              </w:rPr>
              <w:t>решава лакше комбинаторне</w:t>
            </w:r>
            <w:r>
              <w:rPr>
                <w:color w:val="231F20"/>
                <w:spacing w:val="-14"/>
                <w:sz w:val="14"/>
              </w:rPr>
              <w:t xml:space="preserve"> </w:t>
            </w:r>
            <w:r>
              <w:rPr>
                <w:color w:val="231F20"/>
                <w:sz w:val="14"/>
              </w:rPr>
              <w:t>задатке;</w:t>
            </w:r>
          </w:p>
        </w:tc>
        <w:tc>
          <w:tcPr>
            <w:tcW w:w="2834" w:type="dxa"/>
          </w:tcPr>
          <w:p w:rsidR="00041039" w:rsidRDefault="001B26CB">
            <w:pPr>
              <w:pStyle w:val="TableParagraph"/>
              <w:numPr>
                <w:ilvl w:val="0"/>
                <w:numId w:val="422"/>
              </w:numPr>
              <w:tabs>
                <w:tab w:val="left" w:pos="157"/>
              </w:tabs>
              <w:spacing w:before="10" w:line="166" w:lineRule="exact"/>
              <w:ind w:hanging="99"/>
              <w:rPr>
                <w:sz w:val="14"/>
              </w:rPr>
            </w:pPr>
            <w:r>
              <w:rPr>
                <w:color w:val="231F20"/>
                <w:sz w:val="14"/>
              </w:rPr>
              <w:t>Искази и операције са</w:t>
            </w:r>
            <w:r>
              <w:rPr>
                <w:color w:val="231F20"/>
                <w:spacing w:val="-2"/>
                <w:sz w:val="14"/>
              </w:rPr>
              <w:t xml:space="preserve"> </w:t>
            </w:r>
            <w:r>
              <w:rPr>
                <w:color w:val="231F20"/>
                <w:sz w:val="14"/>
              </w:rPr>
              <w:t>њима.</w:t>
            </w:r>
          </w:p>
          <w:p w:rsidR="00041039" w:rsidRDefault="001B26CB">
            <w:pPr>
              <w:pStyle w:val="TableParagraph"/>
              <w:numPr>
                <w:ilvl w:val="0"/>
                <w:numId w:val="422"/>
              </w:numPr>
              <w:tabs>
                <w:tab w:val="left" w:pos="157"/>
              </w:tabs>
              <w:spacing w:line="160" w:lineRule="exact"/>
              <w:ind w:hanging="99"/>
              <w:rPr>
                <w:sz w:val="14"/>
              </w:rPr>
            </w:pPr>
            <w:r>
              <w:rPr>
                <w:color w:val="231F20"/>
                <w:sz w:val="14"/>
              </w:rPr>
              <w:t>Истинитосна вредност</w:t>
            </w:r>
            <w:r>
              <w:rPr>
                <w:color w:val="231F20"/>
                <w:spacing w:val="-2"/>
                <w:sz w:val="14"/>
              </w:rPr>
              <w:t xml:space="preserve"> </w:t>
            </w:r>
            <w:r>
              <w:rPr>
                <w:color w:val="231F20"/>
                <w:sz w:val="14"/>
              </w:rPr>
              <w:t>формуле.</w:t>
            </w:r>
          </w:p>
          <w:p w:rsidR="00041039" w:rsidRDefault="001B26CB">
            <w:pPr>
              <w:pStyle w:val="TableParagraph"/>
              <w:numPr>
                <w:ilvl w:val="0"/>
                <w:numId w:val="422"/>
              </w:numPr>
              <w:tabs>
                <w:tab w:val="left" w:pos="157"/>
              </w:tabs>
              <w:spacing w:line="160" w:lineRule="exact"/>
              <w:ind w:hanging="99"/>
              <w:rPr>
                <w:sz w:val="14"/>
              </w:rPr>
            </w:pPr>
            <w:r>
              <w:rPr>
                <w:color w:val="231F20"/>
                <w:sz w:val="14"/>
              </w:rPr>
              <w:t>Основне операције са</w:t>
            </w:r>
            <w:r>
              <w:rPr>
                <w:color w:val="231F20"/>
                <w:spacing w:val="-3"/>
                <w:sz w:val="14"/>
              </w:rPr>
              <w:t xml:space="preserve"> </w:t>
            </w:r>
            <w:r>
              <w:rPr>
                <w:color w:val="231F20"/>
                <w:sz w:val="14"/>
              </w:rPr>
              <w:t>скуповима.</w:t>
            </w:r>
          </w:p>
          <w:p w:rsidR="00041039" w:rsidRDefault="001B26CB">
            <w:pPr>
              <w:pStyle w:val="TableParagraph"/>
              <w:numPr>
                <w:ilvl w:val="0"/>
                <w:numId w:val="422"/>
              </w:numPr>
              <w:tabs>
                <w:tab w:val="left" w:pos="157"/>
              </w:tabs>
              <w:spacing w:line="160" w:lineRule="exact"/>
              <w:ind w:hanging="99"/>
              <w:rPr>
                <w:sz w:val="14"/>
              </w:rPr>
            </w:pPr>
            <w:r>
              <w:rPr>
                <w:color w:val="231F20"/>
                <w:sz w:val="14"/>
              </w:rPr>
              <w:t>Доказивање лакших скуповних</w:t>
            </w:r>
            <w:r>
              <w:rPr>
                <w:color w:val="231F20"/>
                <w:spacing w:val="-12"/>
                <w:sz w:val="14"/>
              </w:rPr>
              <w:t xml:space="preserve"> </w:t>
            </w:r>
            <w:r>
              <w:rPr>
                <w:color w:val="231F20"/>
                <w:sz w:val="14"/>
              </w:rPr>
              <w:t>једнакости.</w:t>
            </w:r>
          </w:p>
          <w:p w:rsidR="00041039" w:rsidRDefault="001B26CB">
            <w:pPr>
              <w:pStyle w:val="TableParagraph"/>
              <w:numPr>
                <w:ilvl w:val="0"/>
                <w:numId w:val="422"/>
              </w:numPr>
              <w:tabs>
                <w:tab w:val="left" w:pos="157"/>
              </w:tabs>
              <w:spacing w:line="160" w:lineRule="exact"/>
              <w:ind w:hanging="99"/>
              <w:rPr>
                <w:i/>
                <w:sz w:val="14"/>
              </w:rPr>
            </w:pPr>
            <w:r>
              <w:rPr>
                <w:color w:val="231F20"/>
                <w:sz w:val="14"/>
              </w:rPr>
              <w:t xml:space="preserve">Скупови бројева </w:t>
            </w:r>
            <w:r>
              <w:rPr>
                <w:i/>
                <w:color w:val="231F20"/>
                <w:sz w:val="14"/>
              </w:rPr>
              <w:t>N, Z, Q, I,</w:t>
            </w:r>
            <w:r>
              <w:rPr>
                <w:i/>
                <w:color w:val="231F20"/>
                <w:spacing w:val="-4"/>
                <w:sz w:val="14"/>
              </w:rPr>
              <w:t xml:space="preserve"> </w:t>
            </w:r>
            <w:r>
              <w:rPr>
                <w:i/>
                <w:color w:val="231F20"/>
                <w:sz w:val="14"/>
              </w:rPr>
              <w:t>R.</w:t>
            </w:r>
          </w:p>
          <w:p w:rsidR="00041039" w:rsidRDefault="001B26CB">
            <w:pPr>
              <w:pStyle w:val="TableParagraph"/>
              <w:numPr>
                <w:ilvl w:val="0"/>
                <w:numId w:val="422"/>
              </w:numPr>
              <w:tabs>
                <w:tab w:val="left" w:pos="157"/>
              </w:tabs>
              <w:spacing w:line="160" w:lineRule="exact"/>
              <w:ind w:hanging="99"/>
              <w:rPr>
                <w:sz w:val="14"/>
              </w:rPr>
            </w:pPr>
            <w:r>
              <w:rPr>
                <w:color w:val="231F20"/>
                <w:sz w:val="14"/>
              </w:rPr>
              <w:t>Правило збира и</w:t>
            </w:r>
            <w:r>
              <w:rPr>
                <w:color w:val="231F20"/>
                <w:spacing w:val="-5"/>
                <w:sz w:val="14"/>
              </w:rPr>
              <w:t xml:space="preserve"> </w:t>
            </w:r>
            <w:r>
              <w:rPr>
                <w:color w:val="231F20"/>
                <w:sz w:val="14"/>
              </w:rPr>
              <w:t>производа.</w:t>
            </w:r>
          </w:p>
          <w:p w:rsidR="00041039" w:rsidRDefault="001B26CB">
            <w:pPr>
              <w:pStyle w:val="TableParagraph"/>
              <w:numPr>
                <w:ilvl w:val="0"/>
                <w:numId w:val="422"/>
              </w:numPr>
              <w:tabs>
                <w:tab w:val="left" w:pos="157"/>
              </w:tabs>
              <w:spacing w:line="160" w:lineRule="exact"/>
              <w:ind w:hanging="99"/>
              <w:rPr>
                <w:sz w:val="14"/>
              </w:rPr>
            </w:pPr>
            <w:r>
              <w:rPr>
                <w:color w:val="231F20"/>
                <w:sz w:val="14"/>
              </w:rPr>
              <w:t>Релација.</w:t>
            </w:r>
          </w:p>
          <w:p w:rsidR="00041039" w:rsidRDefault="001B26CB">
            <w:pPr>
              <w:pStyle w:val="TableParagraph"/>
              <w:numPr>
                <w:ilvl w:val="0"/>
                <w:numId w:val="422"/>
              </w:numPr>
              <w:tabs>
                <w:tab w:val="left" w:pos="157"/>
              </w:tabs>
              <w:spacing w:line="164" w:lineRule="exact"/>
              <w:ind w:hanging="99"/>
              <w:rPr>
                <w:sz w:val="14"/>
              </w:rPr>
            </w:pPr>
            <w:r>
              <w:rPr>
                <w:color w:val="231F20"/>
                <w:sz w:val="14"/>
              </w:rPr>
              <w:t>Функција.</w:t>
            </w:r>
          </w:p>
        </w:tc>
        <w:tc>
          <w:tcPr>
            <w:tcW w:w="2267" w:type="dxa"/>
            <w:vMerge/>
            <w:tcBorders>
              <w:top w:val="nil"/>
            </w:tcBorders>
          </w:tcPr>
          <w:p w:rsidR="00041039" w:rsidRDefault="00041039">
            <w:pPr>
              <w:rPr>
                <w:sz w:val="2"/>
                <w:szCs w:val="2"/>
              </w:rPr>
            </w:pPr>
          </w:p>
        </w:tc>
      </w:tr>
      <w:tr w:rsidR="00041039">
        <w:trPr>
          <w:trHeight w:val="1320"/>
        </w:trPr>
        <w:tc>
          <w:tcPr>
            <w:tcW w:w="1304" w:type="dxa"/>
          </w:tcPr>
          <w:p w:rsidR="00041039" w:rsidRDefault="001B26CB">
            <w:pPr>
              <w:pStyle w:val="TableParagraph"/>
              <w:spacing w:before="20"/>
              <w:ind w:left="56"/>
              <w:rPr>
                <w:sz w:val="14"/>
              </w:rPr>
            </w:pPr>
            <w:r>
              <w:rPr>
                <w:color w:val="231F20"/>
                <w:sz w:val="14"/>
              </w:rPr>
              <w:t>Реални бројеви</w:t>
            </w:r>
          </w:p>
        </w:tc>
        <w:tc>
          <w:tcPr>
            <w:tcW w:w="1587" w:type="dxa"/>
          </w:tcPr>
          <w:p w:rsidR="00041039" w:rsidRDefault="001B26CB">
            <w:pPr>
              <w:pStyle w:val="TableParagraph"/>
              <w:numPr>
                <w:ilvl w:val="0"/>
                <w:numId w:val="421"/>
              </w:numPr>
              <w:tabs>
                <w:tab w:val="left" w:pos="157"/>
              </w:tabs>
              <w:spacing w:before="10"/>
              <w:ind w:right="44"/>
              <w:rPr>
                <w:sz w:val="14"/>
              </w:rPr>
            </w:pPr>
            <w:r>
              <w:rPr>
                <w:color w:val="231F20"/>
                <w:sz w:val="14"/>
              </w:rPr>
              <w:t>Упознавање са основним особинама најважнијих скупова бројева и</w:t>
            </w:r>
            <w:r>
              <w:rPr>
                <w:color w:val="231F20"/>
                <w:spacing w:val="-10"/>
                <w:sz w:val="14"/>
              </w:rPr>
              <w:t xml:space="preserve"> </w:t>
            </w:r>
            <w:r>
              <w:rPr>
                <w:color w:val="231F20"/>
                <w:sz w:val="14"/>
              </w:rPr>
              <w:t>одређивањем приближних вреднос­ ти реалног</w:t>
            </w:r>
            <w:r>
              <w:rPr>
                <w:color w:val="231F20"/>
                <w:spacing w:val="-2"/>
                <w:sz w:val="14"/>
              </w:rPr>
              <w:t xml:space="preserve"> </w:t>
            </w:r>
            <w:r>
              <w:rPr>
                <w:color w:val="231F20"/>
                <w:sz w:val="14"/>
              </w:rPr>
              <w:t>броја.</w:t>
            </w:r>
          </w:p>
        </w:tc>
        <w:tc>
          <w:tcPr>
            <w:tcW w:w="2551" w:type="dxa"/>
          </w:tcPr>
          <w:p w:rsidR="00041039" w:rsidRDefault="001B26CB">
            <w:pPr>
              <w:pStyle w:val="TableParagraph"/>
              <w:numPr>
                <w:ilvl w:val="0"/>
                <w:numId w:val="420"/>
              </w:numPr>
              <w:tabs>
                <w:tab w:val="left" w:pos="157"/>
              </w:tabs>
              <w:spacing w:before="10"/>
              <w:ind w:right="50" w:hanging="99"/>
              <w:rPr>
                <w:sz w:val="14"/>
              </w:rPr>
            </w:pPr>
            <w:r>
              <w:rPr>
                <w:color w:val="231F20"/>
                <w:sz w:val="14"/>
              </w:rPr>
              <w:t>наведе основне подскупове скупа реалних бројева (</w:t>
            </w:r>
            <w:r>
              <w:rPr>
                <w:i/>
                <w:color w:val="231F20"/>
                <w:sz w:val="14"/>
              </w:rPr>
              <w:t>N, Z, Q, I</w:t>
            </w:r>
            <w:r>
              <w:rPr>
                <w:color w:val="231F20"/>
                <w:sz w:val="14"/>
              </w:rPr>
              <w:t>) и разликује њихове елементе на</w:t>
            </w:r>
            <w:r>
              <w:rPr>
                <w:color w:val="231F20"/>
                <w:spacing w:val="-5"/>
                <w:sz w:val="14"/>
              </w:rPr>
              <w:t xml:space="preserve"> </w:t>
            </w:r>
            <w:r>
              <w:rPr>
                <w:color w:val="231F20"/>
                <w:sz w:val="14"/>
              </w:rPr>
              <w:t>примерима;</w:t>
            </w:r>
          </w:p>
          <w:p w:rsidR="00041039" w:rsidRDefault="001B26CB">
            <w:pPr>
              <w:pStyle w:val="TableParagraph"/>
              <w:numPr>
                <w:ilvl w:val="0"/>
                <w:numId w:val="420"/>
              </w:numPr>
              <w:tabs>
                <w:tab w:val="left" w:pos="157"/>
              </w:tabs>
              <w:spacing w:line="157" w:lineRule="exact"/>
              <w:ind w:hanging="99"/>
              <w:rPr>
                <w:sz w:val="14"/>
              </w:rPr>
            </w:pPr>
            <w:r>
              <w:rPr>
                <w:color w:val="231F20"/>
                <w:sz w:val="14"/>
              </w:rPr>
              <w:t>одреди приближну вредност</w:t>
            </w:r>
            <w:r>
              <w:rPr>
                <w:color w:val="231F20"/>
                <w:spacing w:val="-9"/>
                <w:sz w:val="14"/>
              </w:rPr>
              <w:t xml:space="preserve"> </w:t>
            </w:r>
            <w:r>
              <w:rPr>
                <w:color w:val="231F20"/>
                <w:sz w:val="14"/>
              </w:rPr>
              <w:t>реалног</w:t>
            </w:r>
          </w:p>
          <w:p w:rsidR="00041039" w:rsidRDefault="001B26CB">
            <w:pPr>
              <w:pStyle w:val="TableParagraph"/>
              <w:spacing w:line="155" w:lineRule="exact"/>
              <w:rPr>
                <w:sz w:val="14"/>
              </w:rPr>
            </w:pPr>
            <w:r>
              <w:rPr>
                <w:color w:val="231F20"/>
                <w:sz w:val="14"/>
              </w:rPr>
              <w:t>броја и израчуна грешку;</w:t>
            </w:r>
          </w:p>
          <w:p w:rsidR="00041039" w:rsidRDefault="001B26CB">
            <w:pPr>
              <w:pStyle w:val="TableParagraph"/>
              <w:numPr>
                <w:ilvl w:val="0"/>
                <w:numId w:val="420"/>
              </w:numPr>
              <w:tabs>
                <w:tab w:val="left" w:pos="157"/>
              </w:tabs>
              <w:spacing w:before="7" w:line="160" w:lineRule="exact"/>
              <w:ind w:right="334" w:hanging="99"/>
              <w:rPr>
                <w:sz w:val="14"/>
              </w:rPr>
            </w:pPr>
            <w:r>
              <w:rPr>
                <w:color w:val="231F20"/>
                <w:sz w:val="14"/>
              </w:rPr>
              <w:t>обавља елементарне рачунске операције са приближним</w:t>
            </w:r>
            <w:r>
              <w:rPr>
                <w:color w:val="231F20"/>
                <w:spacing w:val="-14"/>
                <w:sz w:val="14"/>
              </w:rPr>
              <w:t xml:space="preserve"> </w:t>
            </w:r>
            <w:r>
              <w:rPr>
                <w:color w:val="231F20"/>
                <w:sz w:val="14"/>
              </w:rPr>
              <w:t>вредно­ стима;</w:t>
            </w:r>
          </w:p>
        </w:tc>
        <w:tc>
          <w:tcPr>
            <w:tcW w:w="2834" w:type="dxa"/>
          </w:tcPr>
          <w:p w:rsidR="00041039" w:rsidRDefault="001B26CB">
            <w:pPr>
              <w:pStyle w:val="TableParagraph"/>
              <w:numPr>
                <w:ilvl w:val="0"/>
                <w:numId w:val="419"/>
              </w:numPr>
              <w:tabs>
                <w:tab w:val="left" w:pos="158"/>
              </w:tabs>
              <w:spacing w:before="10" w:line="166" w:lineRule="exact"/>
              <w:rPr>
                <w:i/>
                <w:sz w:val="14"/>
              </w:rPr>
            </w:pPr>
            <w:r>
              <w:rPr>
                <w:color w:val="231F20"/>
                <w:sz w:val="14"/>
              </w:rPr>
              <w:t xml:space="preserve">Скупови бројева </w:t>
            </w:r>
            <w:r>
              <w:rPr>
                <w:i/>
                <w:color w:val="231F20"/>
                <w:sz w:val="14"/>
              </w:rPr>
              <w:t>N, Z, Q, I,</w:t>
            </w:r>
            <w:r>
              <w:rPr>
                <w:i/>
                <w:color w:val="231F20"/>
                <w:spacing w:val="-4"/>
                <w:sz w:val="14"/>
              </w:rPr>
              <w:t xml:space="preserve"> </w:t>
            </w:r>
            <w:r>
              <w:rPr>
                <w:i/>
                <w:color w:val="231F20"/>
                <w:sz w:val="14"/>
              </w:rPr>
              <w:t>R.</w:t>
            </w:r>
          </w:p>
          <w:p w:rsidR="00041039" w:rsidRDefault="001B26CB">
            <w:pPr>
              <w:pStyle w:val="TableParagraph"/>
              <w:numPr>
                <w:ilvl w:val="0"/>
                <w:numId w:val="419"/>
              </w:numPr>
              <w:tabs>
                <w:tab w:val="left" w:pos="158"/>
              </w:tabs>
              <w:spacing w:line="160" w:lineRule="exact"/>
              <w:rPr>
                <w:sz w:val="14"/>
              </w:rPr>
            </w:pPr>
            <w:r>
              <w:rPr>
                <w:color w:val="231F20"/>
                <w:sz w:val="14"/>
              </w:rPr>
              <w:t>Бројевна</w:t>
            </w:r>
            <w:r>
              <w:rPr>
                <w:color w:val="231F20"/>
                <w:spacing w:val="-2"/>
                <w:sz w:val="14"/>
              </w:rPr>
              <w:t xml:space="preserve"> </w:t>
            </w:r>
            <w:r>
              <w:rPr>
                <w:color w:val="231F20"/>
                <w:sz w:val="14"/>
              </w:rPr>
              <w:t>оса.</w:t>
            </w:r>
          </w:p>
          <w:p w:rsidR="00041039" w:rsidRDefault="001B26CB">
            <w:pPr>
              <w:pStyle w:val="TableParagraph"/>
              <w:numPr>
                <w:ilvl w:val="0"/>
                <w:numId w:val="419"/>
              </w:numPr>
              <w:tabs>
                <w:tab w:val="left" w:pos="158"/>
              </w:tabs>
              <w:spacing w:line="160" w:lineRule="exact"/>
              <w:rPr>
                <w:sz w:val="14"/>
              </w:rPr>
            </w:pPr>
            <w:r>
              <w:rPr>
                <w:color w:val="231F20"/>
                <w:sz w:val="14"/>
              </w:rPr>
              <w:t>Приближне вредности реалних</w:t>
            </w:r>
            <w:r>
              <w:rPr>
                <w:color w:val="231F20"/>
                <w:spacing w:val="-6"/>
                <w:sz w:val="14"/>
              </w:rPr>
              <w:t xml:space="preserve"> </w:t>
            </w:r>
            <w:r>
              <w:rPr>
                <w:color w:val="231F20"/>
                <w:sz w:val="14"/>
              </w:rPr>
              <w:t>бројева.</w:t>
            </w:r>
          </w:p>
          <w:p w:rsidR="00041039" w:rsidRDefault="001B26CB">
            <w:pPr>
              <w:pStyle w:val="TableParagraph"/>
              <w:numPr>
                <w:ilvl w:val="0"/>
                <w:numId w:val="419"/>
              </w:numPr>
              <w:tabs>
                <w:tab w:val="left" w:pos="158"/>
              </w:tabs>
              <w:spacing w:line="160" w:lineRule="exact"/>
              <w:rPr>
                <w:sz w:val="14"/>
              </w:rPr>
            </w:pPr>
            <w:r>
              <w:rPr>
                <w:color w:val="231F20"/>
                <w:sz w:val="14"/>
              </w:rPr>
              <w:t>Грешка, граница</w:t>
            </w:r>
            <w:r>
              <w:rPr>
                <w:color w:val="231F20"/>
                <w:spacing w:val="-3"/>
                <w:sz w:val="14"/>
              </w:rPr>
              <w:t xml:space="preserve"> </w:t>
            </w:r>
            <w:r>
              <w:rPr>
                <w:color w:val="231F20"/>
                <w:sz w:val="14"/>
              </w:rPr>
              <w:t>грешке.</w:t>
            </w:r>
          </w:p>
          <w:p w:rsidR="00041039" w:rsidRDefault="001B26CB">
            <w:pPr>
              <w:pStyle w:val="TableParagraph"/>
              <w:numPr>
                <w:ilvl w:val="0"/>
                <w:numId w:val="419"/>
              </w:numPr>
              <w:tabs>
                <w:tab w:val="left" w:pos="158"/>
              </w:tabs>
              <w:spacing w:line="166" w:lineRule="exact"/>
              <w:rPr>
                <w:sz w:val="14"/>
              </w:rPr>
            </w:pPr>
            <w:r>
              <w:rPr>
                <w:color w:val="231F20"/>
                <w:sz w:val="14"/>
              </w:rPr>
              <w:t>Операције са приближним</w:t>
            </w:r>
            <w:r>
              <w:rPr>
                <w:color w:val="231F20"/>
                <w:spacing w:val="-8"/>
                <w:sz w:val="14"/>
              </w:rPr>
              <w:t xml:space="preserve"> </w:t>
            </w:r>
            <w:r>
              <w:rPr>
                <w:color w:val="231F20"/>
                <w:sz w:val="14"/>
              </w:rPr>
              <w:t>вредностима.</w:t>
            </w:r>
          </w:p>
        </w:tc>
        <w:tc>
          <w:tcPr>
            <w:tcW w:w="2267" w:type="dxa"/>
            <w:vMerge/>
            <w:tcBorders>
              <w:top w:val="nil"/>
            </w:tcBorders>
          </w:tcPr>
          <w:p w:rsidR="00041039" w:rsidRDefault="00041039">
            <w:pPr>
              <w:rPr>
                <w:sz w:val="2"/>
                <w:szCs w:val="2"/>
              </w:rPr>
            </w:pPr>
          </w:p>
        </w:tc>
      </w:tr>
      <w:tr w:rsidR="00041039">
        <w:trPr>
          <w:trHeight w:val="2760"/>
        </w:trPr>
        <w:tc>
          <w:tcPr>
            <w:tcW w:w="1304" w:type="dxa"/>
          </w:tcPr>
          <w:p w:rsidR="00041039" w:rsidRDefault="001B26CB">
            <w:pPr>
              <w:pStyle w:val="TableParagraph"/>
              <w:spacing w:before="20"/>
              <w:ind w:left="57" w:right="167"/>
              <w:rPr>
                <w:sz w:val="14"/>
              </w:rPr>
            </w:pPr>
            <w:r>
              <w:rPr>
                <w:color w:val="231F20"/>
                <w:sz w:val="14"/>
              </w:rPr>
              <w:t>Рационални алге­ барски изрази</w:t>
            </w:r>
          </w:p>
        </w:tc>
        <w:tc>
          <w:tcPr>
            <w:tcW w:w="1587" w:type="dxa"/>
          </w:tcPr>
          <w:p w:rsidR="00041039" w:rsidRDefault="001B26CB">
            <w:pPr>
              <w:pStyle w:val="TableParagraph"/>
              <w:numPr>
                <w:ilvl w:val="0"/>
                <w:numId w:val="418"/>
              </w:numPr>
              <w:tabs>
                <w:tab w:val="left" w:pos="157"/>
              </w:tabs>
              <w:spacing w:before="10"/>
              <w:ind w:right="86" w:hanging="99"/>
              <w:rPr>
                <w:sz w:val="14"/>
              </w:rPr>
            </w:pPr>
            <w:r>
              <w:rPr>
                <w:color w:val="231F20"/>
                <w:sz w:val="14"/>
              </w:rPr>
              <w:t>Стицање знања о</w:t>
            </w:r>
            <w:r>
              <w:rPr>
                <w:color w:val="231F20"/>
                <w:spacing w:val="-11"/>
                <w:sz w:val="14"/>
              </w:rPr>
              <w:t xml:space="preserve"> </w:t>
            </w:r>
            <w:r>
              <w:rPr>
                <w:color w:val="231F20"/>
                <w:sz w:val="14"/>
              </w:rPr>
              <w:t>раду са</w:t>
            </w:r>
            <w:r>
              <w:rPr>
                <w:color w:val="231F20"/>
                <w:spacing w:val="-1"/>
                <w:sz w:val="14"/>
              </w:rPr>
              <w:t xml:space="preserve"> </w:t>
            </w:r>
            <w:r>
              <w:rPr>
                <w:color w:val="231F20"/>
                <w:sz w:val="14"/>
              </w:rPr>
              <w:t>разломцима.</w:t>
            </w:r>
          </w:p>
        </w:tc>
        <w:tc>
          <w:tcPr>
            <w:tcW w:w="2551" w:type="dxa"/>
          </w:tcPr>
          <w:p w:rsidR="00041039" w:rsidRDefault="001B26CB">
            <w:pPr>
              <w:pStyle w:val="TableParagraph"/>
              <w:numPr>
                <w:ilvl w:val="0"/>
                <w:numId w:val="417"/>
              </w:numPr>
              <w:tabs>
                <w:tab w:val="left" w:pos="157"/>
              </w:tabs>
              <w:spacing w:before="10"/>
              <w:ind w:right="236" w:hanging="99"/>
              <w:rPr>
                <w:sz w:val="14"/>
              </w:rPr>
            </w:pPr>
            <w:r>
              <w:rPr>
                <w:color w:val="231F20"/>
                <w:sz w:val="14"/>
              </w:rPr>
              <w:t>сређује полиноме и обавља основне рачунске операције са</w:t>
            </w:r>
            <w:r>
              <w:rPr>
                <w:color w:val="231F20"/>
                <w:spacing w:val="-3"/>
                <w:sz w:val="14"/>
              </w:rPr>
              <w:t xml:space="preserve"> </w:t>
            </w:r>
            <w:r>
              <w:rPr>
                <w:color w:val="231F20"/>
                <w:sz w:val="14"/>
              </w:rPr>
              <w:t>њима;</w:t>
            </w:r>
          </w:p>
          <w:p w:rsidR="00041039" w:rsidRDefault="001B26CB">
            <w:pPr>
              <w:pStyle w:val="TableParagraph"/>
              <w:numPr>
                <w:ilvl w:val="0"/>
                <w:numId w:val="417"/>
              </w:numPr>
              <w:tabs>
                <w:tab w:val="left" w:pos="157"/>
              </w:tabs>
              <w:spacing w:line="153" w:lineRule="exact"/>
              <w:ind w:hanging="99"/>
              <w:rPr>
                <w:sz w:val="14"/>
              </w:rPr>
            </w:pPr>
            <w:r>
              <w:rPr>
                <w:color w:val="231F20"/>
                <w:sz w:val="14"/>
              </w:rPr>
              <w:t>подели два</w:t>
            </w:r>
            <w:r>
              <w:rPr>
                <w:color w:val="231F20"/>
                <w:spacing w:val="-2"/>
                <w:sz w:val="14"/>
              </w:rPr>
              <w:t xml:space="preserve"> </w:t>
            </w:r>
            <w:r>
              <w:rPr>
                <w:color w:val="231F20"/>
                <w:sz w:val="14"/>
              </w:rPr>
              <w:t>полинома;</w:t>
            </w:r>
          </w:p>
          <w:p w:rsidR="00041039" w:rsidRDefault="001B26CB">
            <w:pPr>
              <w:pStyle w:val="TableParagraph"/>
              <w:numPr>
                <w:ilvl w:val="0"/>
                <w:numId w:val="417"/>
              </w:numPr>
              <w:tabs>
                <w:tab w:val="left" w:pos="157"/>
              </w:tabs>
              <w:spacing w:line="237" w:lineRule="auto"/>
              <w:ind w:right="200" w:hanging="99"/>
              <w:rPr>
                <w:sz w:val="14"/>
              </w:rPr>
            </w:pPr>
            <w:r>
              <w:rPr>
                <w:color w:val="231F20"/>
                <w:sz w:val="14"/>
              </w:rPr>
              <w:t>користи Безуов став при дељењу</w:t>
            </w:r>
            <w:r>
              <w:rPr>
                <w:color w:val="231F20"/>
                <w:spacing w:val="-19"/>
                <w:sz w:val="14"/>
              </w:rPr>
              <w:t xml:space="preserve"> </w:t>
            </w:r>
            <w:r>
              <w:rPr>
                <w:color w:val="231F20"/>
                <w:sz w:val="14"/>
              </w:rPr>
              <w:t>по­ линома и одређивању</w:t>
            </w:r>
            <w:r>
              <w:rPr>
                <w:color w:val="231F20"/>
                <w:spacing w:val="-5"/>
                <w:sz w:val="14"/>
              </w:rPr>
              <w:t xml:space="preserve"> </w:t>
            </w:r>
            <w:r>
              <w:rPr>
                <w:color w:val="231F20"/>
                <w:sz w:val="14"/>
              </w:rPr>
              <w:t>остатка;</w:t>
            </w:r>
          </w:p>
          <w:p w:rsidR="00041039" w:rsidRDefault="001B26CB">
            <w:pPr>
              <w:pStyle w:val="TableParagraph"/>
              <w:numPr>
                <w:ilvl w:val="0"/>
                <w:numId w:val="417"/>
              </w:numPr>
              <w:tabs>
                <w:tab w:val="left" w:pos="157"/>
              </w:tabs>
              <w:spacing w:line="160" w:lineRule="exact"/>
              <w:ind w:right="62" w:hanging="99"/>
              <w:rPr>
                <w:sz w:val="14"/>
              </w:rPr>
            </w:pPr>
            <w:r>
              <w:rPr>
                <w:color w:val="231F20"/>
                <w:sz w:val="14"/>
              </w:rPr>
              <w:t>растави полином на чиниоце при­ меном основних формула (дистрибу­ тивни</w:t>
            </w:r>
            <w:r>
              <w:rPr>
                <w:color w:val="231F20"/>
                <w:spacing w:val="-9"/>
                <w:sz w:val="14"/>
              </w:rPr>
              <w:t xml:space="preserve"> </w:t>
            </w:r>
            <w:r>
              <w:rPr>
                <w:color w:val="231F20"/>
                <w:sz w:val="14"/>
              </w:rPr>
              <w:t>закон</w:t>
            </w:r>
            <w:r>
              <w:rPr>
                <w:color w:val="231F20"/>
                <w:spacing w:val="-9"/>
                <w:sz w:val="14"/>
              </w:rPr>
              <w:t xml:space="preserve"> </w:t>
            </w:r>
            <w:r>
              <w:rPr>
                <w:color w:val="231F20"/>
                <w:sz w:val="14"/>
              </w:rPr>
              <w:t>множења</w:t>
            </w:r>
            <w:r>
              <w:rPr>
                <w:color w:val="231F20"/>
                <w:spacing w:val="-9"/>
                <w:sz w:val="14"/>
              </w:rPr>
              <w:t xml:space="preserve"> </w:t>
            </w:r>
            <w:r>
              <w:rPr>
                <w:color w:val="231F20"/>
                <w:sz w:val="14"/>
              </w:rPr>
              <w:t>према</w:t>
            </w:r>
            <w:r>
              <w:rPr>
                <w:color w:val="231F20"/>
                <w:spacing w:val="-9"/>
                <w:sz w:val="14"/>
              </w:rPr>
              <w:t xml:space="preserve"> </w:t>
            </w:r>
            <w:r>
              <w:rPr>
                <w:color w:val="231F20"/>
                <w:sz w:val="14"/>
              </w:rPr>
              <w:t>сабирању, квадрат бинома, разлика квадрата, куб бинома, збир и разлика</w:t>
            </w:r>
            <w:r>
              <w:rPr>
                <w:color w:val="231F20"/>
                <w:spacing w:val="-7"/>
                <w:sz w:val="14"/>
              </w:rPr>
              <w:t xml:space="preserve"> </w:t>
            </w:r>
            <w:r>
              <w:rPr>
                <w:color w:val="231F20"/>
                <w:sz w:val="14"/>
              </w:rPr>
              <w:t>кубова);</w:t>
            </w:r>
          </w:p>
          <w:p w:rsidR="00041039" w:rsidRDefault="001B26CB">
            <w:pPr>
              <w:pStyle w:val="TableParagraph"/>
              <w:numPr>
                <w:ilvl w:val="0"/>
                <w:numId w:val="417"/>
              </w:numPr>
              <w:tabs>
                <w:tab w:val="left" w:pos="157"/>
              </w:tabs>
              <w:spacing w:line="153" w:lineRule="exact"/>
              <w:ind w:hanging="99"/>
              <w:rPr>
                <w:sz w:val="14"/>
              </w:rPr>
            </w:pPr>
            <w:r>
              <w:rPr>
                <w:color w:val="231F20"/>
                <w:sz w:val="14"/>
              </w:rPr>
              <w:t xml:space="preserve">одреди НЗС и </w:t>
            </w:r>
            <w:r>
              <w:rPr>
                <w:color w:val="231F20"/>
                <w:spacing w:val="-4"/>
                <w:sz w:val="14"/>
              </w:rPr>
              <w:t xml:space="preserve">НЗД </w:t>
            </w:r>
            <w:r>
              <w:rPr>
                <w:color w:val="231F20"/>
                <w:sz w:val="14"/>
              </w:rPr>
              <w:t>датих</w:t>
            </w:r>
            <w:r>
              <w:rPr>
                <w:color w:val="231F20"/>
                <w:spacing w:val="-9"/>
                <w:sz w:val="14"/>
              </w:rPr>
              <w:t xml:space="preserve"> </w:t>
            </w:r>
            <w:r>
              <w:rPr>
                <w:color w:val="231F20"/>
                <w:sz w:val="14"/>
              </w:rPr>
              <w:t>полинома;</w:t>
            </w:r>
          </w:p>
          <w:p w:rsidR="00041039" w:rsidRDefault="001B26CB">
            <w:pPr>
              <w:pStyle w:val="TableParagraph"/>
              <w:numPr>
                <w:ilvl w:val="0"/>
                <w:numId w:val="417"/>
              </w:numPr>
              <w:tabs>
                <w:tab w:val="left" w:pos="157"/>
              </w:tabs>
              <w:spacing w:line="237" w:lineRule="auto"/>
              <w:ind w:right="46" w:hanging="99"/>
              <w:rPr>
                <w:sz w:val="14"/>
              </w:rPr>
            </w:pPr>
            <w:r>
              <w:rPr>
                <w:color w:val="231F20"/>
                <w:sz w:val="14"/>
              </w:rPr>
              <w:t>трансформише рационални алгебарски израз;</w:t>
            </w:r>
          </w:p>
          <w:p w:rsidR="00041039" w:rsidRDefault="001B26CB">
            <w:pPr>
              <w:pStyle w:val="TableParagraph"/>
              <w:numPr>
                <w:ilvl w:val="0"/>
                <w:numId w:val="417"/>
              </w:numPr>
              <w:tabs>
                <w:tab w:val="left" w:pos="157"/>
              </w:tabs>
              <w:spacing w:line="160" w:lineRule="exact"/>
              <w:ind w:right="750" w:hanging="99"/>
              <w:rPr>
                <w:sz w:val="14"/>
              </w:rPr>
            </w:pPr>
            <w:r>
              <w:rPr>
                <w:color w:val="231F20"/>
                <w:sz w:val="14"/>
              </w:rPr>
              <w:t>реши линеарне једначине</w:t>
            </w:r>
            <w:r>
              <w:rPr>
                <w:color w:val="231F20"/>
                <w:spacing w:val="-10"/>
                <w:sz w:val="14"/>
              </w:rPr>
              <w:t xml:space="preserve"> </w:t>
            </w:r>
            <w:r>
              <w:rPr>
                <w:color w:val="231F20"/>
                <w:sz w:val="14"/>
              </w:rPr>
              <w:t>и неједначине;</w:t>
            </w:r>
          </w:p>
          <w:p w:rsidR="00041039" w:rsidRDefault="001B26CB">
            <w:pPr>
              <w:pStyle w:val="TableParagraph"/>
              <w:numPr>
                <w:ilvl w:val="0"/>
                <w:numId w:val="417"/>
              </w:numPr>
              <w:tabs>
                <w:tab w:val="left" w:pos="157"/>
              </w:tabs>
              <w:spacing w:line="160" w:lineRule="exact"/>
              <w:ind w:right="169" w:hanging="99"/>
              <w:rPr>
                <w:sz w:val="14"/>
              </w:rPr>
            </w:pPr>
            <w:r>
              <w:rPr>
                <w:color w:val="231F20"/>
                <w:sz w:val="14"/>
              </w:rPr>
              <w:t>реши систем линеарних једначина</w:t>
            </w:r>
            <w:r>
              <w:rPr>
                <w:color w:val="231F20"/>
                <w:spacing w:val="-9"/>
                <w:sz w:val="14"/>
              </w:rPr>
              <w:t xml:space="preserve"> </w:t>
            </w:r>
            <w:r>
              <w:rPr>
                <w:color w:val="231F20"/>
                <w:sz w:val="14"/>
              </w:rPr>
              <w:t>са две</w:t>
            </w:r>
            <w:r>
              <w:rPr>
                <w:color w:val="231F20"/>
                <w:spacing w:val="-1"/>
                <w:sz w:val="14"/>
              </w:rPr>
              <w:t xml:space="preserve"> </w:t>
            </w:r>
            <w:r>
              <w:rPr>
                <w:color w:val="231F20"/>
                <w:sz w:val="14"/>
              </w:rPr>
              <w:t>непознате;</w:t>
            </w:r>
          </w:p>
        </w:tc>
        <w:tc>
          <w:tcPr>
            <w:tcW w:w="2834" w:type="dxa"/>
          </w:tcPr>
          <w:p w:rsidR="00041039" w:rsidRDefault="001B26CB">
            <w:pPr>
              <w:pStyle w:val="TableParagraph"/>
              <w:numPr>
                <w:ilvl w:val="0"/>
                <w:numId w:val="416"/>
              </w:numPr>
              <w:tabs>
                <w:tab w:val="left" w:pos="158"/>
              </w:tabs>
              <w:spacing w:before="11"/>
              <w:ind w:right="303"/>
              <w:rPr>
                <w:sz w:val="14"/>
              </w:rPr>
            </w:pPr>
            <w:r>
              <w:rPr>
                <w:color w:val="231F20"/>
                <w:sz w:val="14"/>
              </w:rPr>
              <w:t>Сређивање, сабирање и множење</w:t>
            </w:r>
            <w:r>
              <w:rPr>
                <w:color w:val="231F20"/>
                <w:spacing w:val="-14"/>
                <w:sz w:val="14"/>
              </w:rPr>
              <w:t xml:space="preserve"> </w:t>
            </w:r>
            <w:r>
              <w:rPr>
                <w:color w:val="231F20"/>
                <w:sz w:val="14"/>
              </w:rPr>
              <w:t>поли­ нома.</w:t>
            </w:r>
          </w:p>
          <w:p w:rsidR="00041039" w:rsidRDefault="001B26CB">
            <w:pPr>
              <w:pStyle w:val="TableParagraph"/>
              <w:numPr>
                <w:ilvl w:val="0"/>
                <w:numId w:val="416"/>
              </w:numPr>
              <w:tabs>
                <w:tab w:val="left" w:pos="158"/>
              </w:tabs>
              <w:spacing w:line="153" w:lineRule="exact"/>
              <w:rPr>
                <w:sz w:val="14"/>
              </w:rPr>
            </w:pPr>
            <w:r>
              <w:rPr>
                <w:color w:val="231F20"/>
                <w:sz w:val="14"/>
              </w:rPr>
              <w:t>Дељење</w:t>
            </w:r>
            <w:r>
              <w:rPr>
                <w:color w:val="231F20"/>
                <w:spacing w:val="-1"/>
                <w:sz w:val="14"/>
              </w:rPr>
              <w:t xml:space="preserve"> </w:t>
            </w:r>
            <w:r>
              <w:rPr>
                <w:color w:val="231F20"/>
                <w:sz w:val="14"/>
              </w:rPr>
              <w:t>полинома.</w:t>
            </w:r>
          </w:p>
          <w:p w:rsidR="00041039" w:rsidRDefault="001B26CB">
            <w:pPr>
              <w:pStyle w:val="TableParagraph"/>
              <w:numPr>
                <w:ilvl w:val="0"/>
                <w:numId w:val="416"/>
              </w:numPr>
              <w:tabs>
                <w:tab w:val="left" w:pos="158"/>
              </w:tabs>
              <w:spacing w:line="237" w:lineRule="auto"/>
              <w:ind w:right="117"/>
              <w:rPr>
                <w:sz w:val="14"/>
              </w:rPr>
            </w:pPr>
            <w:r>
              <w:rPr>
                <w:color w:val="231F20"/>
                <w:sz w:val="14"/>
              </w:rPr>
              <w:t>Растављање полинома на чиниоце метода­ ма груписања чланова, разлике квадрата, квадрата бинома, разлике и збира кубова</w:t>
            </w:r>
            <w:r>
              <w:rPr>
                <w:color w:val="231F20"/>
                <w:spacing w:val="-25"/>
                <w:sz w:val="14"/>
              </w:rPr>
              <w:t xml:space="preserve"> </w:t>
            </w:r>
            <w:r>
              <w:rPr>
                <w:color w:val="231F20"/>
                <w:sz w:val="14"/>
              </w:rPr>
              <w:t>и куба збира и</w:t>
            </w:r>
            <w:r>
              <w:rPr>
                <w:color w:val="231F20"/>
                <w:spacing w:val="-3"/>
                <w:sz w:val="14"/>
              </w:rPr>
              <w:t xml:space="preserve"> </w:t>
            </w:r>
            <w:r>
              <w:rPr>
                <w:color w:val="231F20"/>
                <w:sz w:val="14"/>
              </w:rPr>
              <w:t>разлике.</w:t>
            </w:r>
          </w:p>
          <w:p w:rsidR="00041039" w:rsidRDefault="001B26CB">
            <w:pPr>
              <w:pStyle w:val="TableParagraph"/>
              <w:numPr>
                <w:ilvl w:val="0"/>
                <w:numId w:val="416"/>
              </w:numPr>
              <w:tabs>
                <w:tab w:val="left" w:pos="158"/>
              </w:tabs>
              <w:spacing w:line="157" w:lineRule="exact"/>
              <w:rPr>
                <w:sz w:val="14"/>
              </w:rPr>
            </w:pPr>
            <w:r>
              <w:rPr>
                <w:color w:val="231F20"/>
                <w:sz w:val="14"/>
              </w:rPr>
              <w:t>НЗС</w:t>
            </w:r>
            <w:r>
              <w:rPr>
                <w:color w:val="231F20"/>
                <w:spacing w:val="-2"/>
                <w:sz w:val="14"/>
              </w:rPr>
              <w:t xml:space="preserve"> </w:t>
            </w:r>
            <w:r>
              <w:rPr>
                <w:color w:val="231F20"/>
                <w:sz w:val="14"/>
              </w:rPr>
              <w:t>полинома.</w:t>
            </w:r>
          </w:p>
          <w:p w:rsidR="00041039" w:rsidRDefault="001B26CB">
            <w:pPr>
              <w:pStyle w:val="TableParagraph"/>
              <w:numPr>
                <w:ilvl w:val="0"/>
                <w:numId w:val="416"/>
              </w:numPr>
              <w:tabs>
                <w:tab w:val="left" w:pos="158"/>
              </w:tabs>
              <w:spacing w:line="160" w:lineRule="exact"/>
              <w:rPr>
                <w:sz w:val="14"/>
              </w:rPr>
            </w:pPr>
            <w:r>
              <w:rPr>
                <w:color w:val="231F20"/>
                <w:sz w:val="14"/>
              </w:rPr>
              <w:t>Множење и дељење</w:t>
            </w:r>
            <w:r>
              <w:rPr>
                <w:color w:val="231F20"/>
                <w:spacing w:val="-3"/>
                <w:sz w:val="14"/>
              </w:rPr>
              <w:t xml:space="preserve"> </w:t>
            </w:r>
            <w:r>
              <w:rPr>
                <w:color w:val="231F20"/>
                <w:sz w:val="14"/>
              </w:rPr>
              <w:t>разломака.</w:t>
            </w:r>
          </w:p>
          <w:p w:rsidR="00041039" w:rsidRDefault="001B26CB">
            <w:pPr>
              <w:pStyle w:val="TableParagraph"/>
              <w:numPr>
                <w:ilvl w:val="0"/>
                <w:numId w:val="416"/>
              </w:numPr>
              <w:tabs>
                <w:tab w:val="left" w:pos="158"/>
              </w:tabs>
              <w:spacing w:line="160" w:lineRule="exact"/>
              <w:rPr>
                <w:sz w:val="14"/>
              </w:rPr>
            </w:pPr>
            <w:r>
              <w:rPr>
                <w:color w:val="231F20"/>
                <w:sz w:val="14"/>
              </w:rPr>
              <w:t>Сабирање</w:t>
            </w:r>
            <w:r>
              <w:rPr>
                <w:color w:val="231F20"/>
                <w:spacing w:val="-1"/>
                <w:sz w:val="14"/>
              </w:rPr>
              <w:t xml:space="preserve"> </w:t>
            </w:r>
            <w:r>
              <w:rPr>
                <w:color w:val="231F20"/>
                <w:sz w:val="14"/>
              </w:rPr>
              <w:t>разломака.</w:t>
            </w:r>
          </w:p>
          <w:p w:rsidR="00041039" w:rsidRDefault="001B26CB">
            <w:pPr>
              <w:pStyle w:val="TableParagraph"/>
              <w:numPr>
                <w:ilvl w:val="0"/>
                <w:numId w:val="416"/>
              </w:numPr>
              <w:tabs>
                <w:tab w:val="left" w:pos="158"/>
              </w:tabs>
              <w:spacing w:line="160" w:lineRule="exact"/>
              <w:rPr>
                <w:sz w:val="14"/>
              </w:rPr>
            </w:pPr>
            <w:r>
              <w:rPr>
                <w:color w:val="231F20"/>
                <w:sz w:val="14"/>
              </w:rPr>
              <w:t>Линеарне</w:t>
            </w:r>
            <w:r>
              <w:rPr>
                <w:color w:val="231F20"/>
                <w:spacing w:val="-1"/>
                <w:sz w:val="14"/>
              </w:rPr>
              <w:t xml:space="preserve"> </w:t>
            </w:r>
            <w:r>
              <w:rPr>
                <w:color w:val="231F20"/>
                <w:sz w:val="14"/>
              </w:rPr>
              <w:t>једначине.</w:t>
            </w:r>
          </w:p>
          <w:p w:rsidR="00041039" w:rsidRDefault="001B26CB">
            <w:pPr>
              <w:pStyle w:val="TableParagraph"/>
              <w:numPr>
                <w:ilvl w:val="0"/>
                <w:numId w:val="416"/>
              </w:numPr>
              <w:tabs>
                <w:tab w:val="left" w:pos="158"/>
              </w:tabs>
              <w:spacing w:line="160" w:lineRule="exact"/>
              <w:rPr>
                <w:sz w:val="14"/>
              </w:rPr>
            </w:pPr>
            <w:r>
              <w:rPr>
                <w:color w:val="231F20"/>
                <w:sz w:val="14"/>
              </w:rPr>
              <w:t>Линеарне</w:t>
            </w:r>
            <w:r>
              <w:rPr>
                <w:color w:val="231F20"/>
                <w:spacing w:val="-1"/>
                <w:sz w:val="14"/>
              </w:rPr>
              <w:t xml:space="preserve"> </w:t>
            </w:r>
            <w:r>
              <w:rPr>
                <w:color w:val="231F20"/>
                <w:sz w:val="14"/>
              </w:rPr>
              <w:t>неједначине.</w:t>
            </w:r>
          </w:p>
          <w:p w:rsidR="00041039" w:rsidRDefault="001B26CB">
            <w:pPr>
              <w:pStyle w:val="TableParagraph"/>
              <w:numPr>
                <w:ilvl w:val="0"/>
                <w:numId w:val="416"/>
              </w:numPr>
              <w:tabs>
                <w:tab w:val="left" w:pos="158"/>
              </w:tabs>
              <w:spacing w:line="166" w:lineRule="exact"/>
              <w:rPr>
                <w:sz w:val="14"/>
              </w:rPr>
            </w:pPr>
            <w:r>
              <w:rPr>
                <w:color w:val="231F20"/>
                <w:sz w:val="14"/>
              </w:rPr>
              <w:t>Систем ли</w:t>
            </w:r>
            <w:r>
              <w:rPr>
                <w:color w:val="231F20"/>
                <w:sz w:val="14"/>
              </w:rPr>
              <w:t>неарних</w:t>
            </w:r>
            <w:r>
              <w:rPr>
                <w:color w:val="231F20"/>
                <w:spacing w:val="-1"/>
                <w:sz w:val="14"/>
              </w:rPr>
              <w:t xml:space="preserve"> </w:t>
            </w:r>
            <w:r>
              <w:rPr>
                <w:color w:val="231F20"/>
                <w:sz w:val="14"/>
              </w:rPr>
              <w:t>једначина.</w:t>
            </w:r>
          </w:p>
        </w:tc>
        <w:tc>
          <w:tcPr>
            <w:tcW w:w="2267" w:type="dxa"/>
            <w:vMerge/>
            <w:tcBorders>
              <w:top w:val="nil"/>
            </w:tcBorders>
          </w:tcPr>
          <w:p w:rsidR="00041039" w:rsidRDefault="00041039">
            <w:pPr>
              <w:rPr>
                <w:sz w:val="2"/>
                <w:szCs w:val="2"/>
              </w:rPr>
            </w:pPr>
          </w:p>
        </w:tc>
      </w:tr>
      <w:tr w:rsidR="00041039">
        <w:trPr>
          <w:trHeight w:val="1320"/>
        </w:trPr>
        <w:tc>
          <w:tcPr>
            <w:tcW w:w="1304" w:type="dxa"/>
          </w:tcPr>
          <w:p w:rsidR="00041039" w:rsidRDefault="001B26CB">
            <w:pPr>
              <w:pStyle w:val="TableParagraph"/>
              <w:spacing w:before="21"/>
              <w:ind w:left="57"/>
              <w:rPr>
                <w:sz w:val="14"/>
              </w:rPr>
            </w:pPr>
            <w:r>
              <w:rPr>
                <w:color w:val="231F20"/>
                <w:sz w:val="14"/>
              </w:rPr>
              <w:t>Пропорционалност</w:t>
            </w:r>
          </w:p>
        </w:tc>
        <w:tc>
          <w:tcPr>
            <w:tcW w:w="1587" w:type="dxa"/>
          </w:tcPr>
          <w:p w:rsidR="00041039" w:rsidRDefault="001B26CB">
            <w:pPr>
              <w:pStyle w:val="TableParagraph"/>
              <w:numPr>
                <w:ilvl w:val="0"/>
                <w:numId w:val="415"/>
              </w:numPr>
              <w:tabs>
                <w:tab w:val="left" w:pos="157"/>
              </w:tabs>
              <w:spacing w:before="11"/>
              <w:ind w:right="160" w:hanging="99"/>
              <w:rPr>
                <w:sz w:val="14"/>
              </w:rPr>
            </w:pPr>
            <w:r>
              <w:rPr>
                <w:color w:val="231F20"/>
                <w:sz w:val="14"/>
              </w:rPr>
              <w:t>Стицање основних знања из решавања</w:t>
            </w:r>
            <w:r>
              <w:rPr>
                <w:color w:val="231F20"/>
                <w:spacing w:val="-9"/>
                <w:sz w:val="14"/>
              </w:rPr>
              <w:t xml:space="preserve"> </w:t>
            </w:r>
            <w:r>
              <w:rPr>
                <w:color w:val="231F20"/>
                <w:sz w:val="14"/>
              </w:rPr>
              <w:t>и примена</w:t>
            </w:r>
            <w:r>
              <w:rPr>
                <w:color w:val="231F20"/>
                <w:spacing w:val="-12"/>
                <w:sz w:val="14"/>
              </w:rPr>
              <w:t xml:space="preserve"> </w:t>
            </w:r>
            <w:r>
              <w:rPr>
                <w:color w:val="231F20"/>
                <w:sz w:val="14"/>
              </w:rPr>
              <w:t>пропорција.</w:t>
            </w:r>
          </w:p>
        </w:tc>
        <w:tc>
          <w:tcPr>
            <w:tcW w:w="2551" w:type="dxa"/>
          </w:tcPr>
          <w:p w:rsidR="00041039" w:rsidRDefault="001B26CB">
            <w:pPr>
              <w:pStyle w:val="TableParagraph"/>
              <w:numPr>
                <w:ilvl w:val="0"/>
                <w:numId w:val="414"/>
              </w:numPr>
              <w:tabs>
                <w:tab w:val="left" w:pos="158"/>
              </w:tabs>
              <w:spacing w:before="11"/>
              <w:ind w:right="516"/>
              <w:rPr>
                <w:sz w:val="14"/>
              </w:rPr>
            </w:pPr>
            <w:r>
              <w:rPr>
                <w:color w:val="231F20"/>
                <w:sz w:val="14"/>
              </w:rPr>
              <w:t>самостално поставља и решава пропорције;</w:t>
            </w:r>
          </w:p>
          <w:p w:rsidR="00041039" w:rsidRDefault="001B26CB">
            <w:pPr>
              <w:pStyle w:val="TableParagraph"/>
              <w:numPr>
                <w:ilvl w:val="0"/>
                <w:numId w:val="414"/>
              </w:numPr>
              <w:tabs>
                <w:tab w:val="left" w:pos="158"/>
              </w:tabs>
              <w:spacing w:line="160" w:lineRule="exact"/>
              <w:ind w:right="114"/>
              <w:rPr>
                <w:sz w:val="14"/>
              </w:rPr>
            </w:pPr>
            <w:r>
              <w:rPr>
                <w:color w:val="231F20"/>
                <w:sz w:val="14"/>
              </w:rPr>
              <w:t>препозна директну или обрнуту пропорционалност две величине и примени их у решавању једноставних проблема;</w:t>
            </w:r>
          </w:p>
          <w:p w:rsidR="00041039" w:rsidRDefault="001B26CB">
            <w:pPr>
              <w:pStyle w:val="TableParagraph"/>
              <w:numPr>
                <w:ilvl w:val="0"/>
                <w:numId w:val="414"/>
              </w:numPr>
              <w:tabs>
                <w:tab w:val="left" w:pos="158"/>
              </w:tabs>
              <w:spacing w:line="160" w:lineRule="exact"/>
              <w:ind w:right="435"/>
              <w:rPr>
                <w:sz w:val="14"/>
              </w:rPr>
            </w:pPr>
            <w:r>
              <w:rPr>
                <w:color w:val="231F20"/>
                <w:sz w:val="14"/>
              </w:rPr>
              <w:t>решава једноставније процентне једначине;</w:t>
            </w:r>
          </w:p>
        </w:tc>
        <w:tc>
          <w:tcPr>
            <w:tcW w:w="2834" w:type="dxa"/>
          </w:tcPr>
          <w:p w:rsidR="00041039" w:rsidRDefault="001B26CB">
            <w:pPr>
              <w:pStyle w:val="TableParagraph"/>
              <w:numPr>
                <w:ilvl w:val="0"/>
                <w:numId w:val="413"/>
              </w:numPr>
              <w:tabs>
                <w:tab w:val="left" w:pos="158"/>
              </w:tabs>
              <w:spacing w:before="11" w:line="166" w:lineRule="exact"/>
              <w:rPr>
                <w:sz w:val="14"/>
              </w:rPr>
            </w:pPr>
            <w:r>
              <w:rPr>
                <w:color w:val="231F20"/>
                <w:sz w:val="14"/>
              </w:rPr>
              <w:t>Решавање</w:t>
            </w:r>
            <w:r>
              <w:rPr>
                <w:color w:val="231F20"/>
                <w:spacing w:val="-1"/>
                <w:sz w:val="14"/>
              </w:rPr>
              <w:t xml:space="preserve"> </w:t>
            </w:r>
            <w:r>
              <w:rPr>
                <w:color w:val="231F20"/>
                <w:sz w:val="14"/>
              </w:rPr>
              <w:t>пропорције.</w:t>
            </w:r>
          </w:p>
          <w:p w:rsidR="00041039" w:rsidRDefault="001B26CB">
            <w:pPr>
              <w:pStyle w:val="TableParagraph"/>
              <w:numPr>
                <w:ilvl w:val="0"/>
                <w:numId w:val="413"/>
              </w:numPr>
              <w:tabs>
                <w:tab w:val="left" w:pos="158"/>
              </w:tabs>
              <w:spacing w:line="160" w:lineRule="exact"/>
              <w:rPr>
                <w:sz w:val="14"/>
              </w:rPr>
            </w:pPr>
            <w:r>
              <w:rPr>
                <w:color w:val="231F20"/>
                <w:sz w:val="14"/>
              </w:rPr>
              <w:t>Директна и обрнута</w:t>
            </w:r>
            <w:r>
              <w:rPr>
                <w:color w:val="231F20"/>
                <w:spacing w:val="-8"/>
                <w:sz w:val="14"/>
              </w:rPr>
              <w:t xml:space="preserve"> </w:t>
            </w:r>
            <w:r>
              <w:rPr>
                <w:color w:val="231F20"/>
                <w:sz w:val="14"/>
              </w:rPr>
              <w:t>пропорционалност.</w:t>
            </w:r>
          </w:p>
          <w:p w:rsidR="00041039" w:rsidRDefault="001B26CB">
            <w:pPr>
              <w:pStyle w:val="TableParagraph"/>
              <w:numPr>
                <w:ilvl w:val="0"/>
                <w:numId w:val="413"/>
              </w:numPr>
              <w:tabs>
                <w:tab w:val="left" w:pos="158"/>
              </w:tabs>
              <w:spacing w:line="160" w:lineRule="exact"/>
              <w:rPr>
                <w:sz w:val="14"/>
              </w:rPr>
            </w:pPr>
            <w:r>
              <w:rPr>
                <w:color w:val="231F20"/>
                <w:sz w:val="14"/>
              </w:rPr>
              <w:t>Рачун</w:t>
            </w:r>
            <w:r>
              <w:rPr>
                <w:color w:val="231F20"/>
                <w:spacing w:val="-1"/>
                <w:sz w:val="14"/>
              </w:rPr>
              <w:t xml:space="preserve"> </w:t>
            </w:r>
            <w:r>
              <w:rPr>
                <w:color w:val="231F20"/>
                <w:sz w:val="14"/>
              </w:rPr>
              <w:t>поделе.</w:t>
            </w:r>
          </w:p>
          <w:p w:rsidR="00041039" w:rsidRDefault="001B26CB">
            <w:pPr>
              <w:pStyle w:val="TableParagraph"/>
              <w:numPr>
                <w:ilvl w:val="0"/>
                <w:numId w:val="413"/>
              </w:numPr>
              <w:tabs>
                <w:tab w:val="left" w:pos="158"/>
              </w:tabs>
              <w:spacing w:line="160" w:lineRule="exact"/>
              <w:rPr>
                <w:sz w:val="14"/>
              </w:rPr>
            </w:pPr>
            <w:r>
              <w:rPr>
                <w:color w:val="231F20"/>
                <w:sz w:val="14"/>
              </w:rPr>
              <w:t>Рачун</w:t>
            </w:r>
            <w:r>
              <w:rPr>
                <w:color w:val="231F20"/>
                <w:spacing w:val="-1"/>
                <w:sz w:val="14"/>
              </w:rPr>
              <w:t xml:space="preserve"> </w:t>
            </w:r>
            <w:r>
              <w:rPr>
                <w:color w:val="231F20"/>
                <w:sz w:val="14"/>
              </w:rPr>
              <w:t>мешања.</w:t>
            </w:r>
          </w:p>
          <w:p w:rsidR="00041039" w:rsidRDefault="001B26CB">
            <w:pPr>
              <w:pStyle w:val="TableParagraph"/>
              <w:numPr>
                <w:ilvl w:val="0"/>
                <w:numId w:val="413"/>
              </w:numPr>
              <w:tabs>
                <w:tab w:val="left" w:pos="158"/>
              </w:tabs>
              <w:spacing w:line="166" w:lineRule="exact"/>
              <w:rPr>
                <w:sz w:val="14"/>
              </w:rPr>
            </w:pPr>
            <w:r>
              <w:rPr>
                <w:color w:val="231F20"/>
                <w:sz w:val="14"/>
              </w:rPr>
              <w:t>Процентни</w:t>
            </w:r>
            <w:r>
              <w:rPr>
                <w:color w:val="231F20"/>
                <w:spacing w:val="-2"/>
                <w:sz w:val="14"/>
              </w:rPr>
              <w:t xml:space="preserve"> </w:t>
            </w:r>
            <w:r>
              <w:rPr>
                <w:color w:val="231F20"/>
                <w:sz w:val="14"/>
              </w:rPr>
              <w:t>рачун.</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21"/>
              <w:ind w:left="57"/>
              <w:rPr>
                <w:sz w:val="14"/>
              </w:rPr>
            </w:pPr>
            <w:r>
              <w:rPr>
                <w:color w:val="231F20"/>
                <w:sz w:val="14"/>
              </w:rPr>
              <w:t>Сличност</w:t>
            </w:r>
          </w:p>
        </w:tc>
        <w:tc>
          <w:tcPr>
            <w:tcW w:w="1587" w:type="dxa"/>
          </w:tcPr>
          <w:p w:rsidR="00041039" w:rsidRDefault="001B26CB">
            <w:pPr>
              <w:pStyle w:val="TableParagraph"/>
              <w:numPr>
                <w:ilvl w:val="0"/>
                <w:numId w:val="412"/>
              </w:numPr>
              <w:tabs>
                <w:tab w:val="left" w:pos="157"/>
              </w:tabs>
              <w:spacing w:before="11"/>
              <w:ind w:right="84" w:hanging="99"/>
              <w:rPr>
                <w:sz w:val="14"/>
              </w:rPr>
            </w:pPr>
            <w:r>
              <w:rPr>
                <w:color w:val="231F20"/>
                <w:sz w:val="14"/>
              </w:rPr>
              <w:t xml:space="preserve">Оспособљавање за решавање планиме­ тријских проблема </w:t>
            </w:r>
            <w:r>
              <w:rPr>
                <w:color w:val="231F20"/>
                <w:spacing w:val="-3"/>
                <w:sz w:val="14"/>
              </w:rPr>
              <w:t xml:space="preserve">ко­ </w:t>
            </w:r>
            <w:r>
              <w:rPr>
                <w:color w:val="231F20"/>
                <w:sz w:val="14"/>
              </w:rPr>
              <w:t>ришћењем</w:t>
            </w:r>
            <w:r>
              <w:rPr>
                <w:color w:val="231F20"/>
                <w:spacing w:val="1"/>
                <w:sz w:val="14"/>
              </w:rPr>
              <w:t xml:space="preserve"> </w:t>
            </w:r>
            <w:r>
              <w:rPr>
                <w:color w:val="231F20"/>
                <w:sz w:val="14"/>
              </w:rPr>
              <w:t>сличности.</w:t>
            </w:r>
          </w:p>
        </w:tc>
        <w:tc>
          <w:tcPr>
            <w:tcW w:w="2551" w:type="dxa"/>
          </w:tcPr>
          <w:p w:rsidR="00041039" w:rsidRDefault="001B26CB">
            <w:pPr>
              <w:pStyle w:val="TableParagraph"/>
              <w:numPr>
                <w:ilvl w:val="0"/>
                <w:numId w:val="411"/>
              </w:numPr>
              <w:tabs>
                <w:tab w:val="left" w:pos="158"/>
              </w:tabs>
              <w:spacing w:before="11"/>
              <w:ind w:right="144"/>
              <w:rPr>
                <w:sz w:val="14"/>
              </w:rPr>
            </w:pPr>
            <w:r>
              <w:rPr>
                <w:color w:val="231F20"/>
                <w:sz w:val="14"/>
              </w:rPr>
              <w:t>ставове сличности троуглова</w:t>
            </w:r>
            <w:r>
              <w:rPr>
                <w:color w:val="231F20"/>
                <w:spacing w:val="-22"/>
                <w:sz w:val="14"/>
              </w:rPr>
              <w:t xml:space="preserve"> </w:t>
            </w:r>
            <w:r>
              <w:rPr>
                <w:color w:val="231F20"/>
                <w:sz w:val="14"/>
              </w:rPr>
              <w:t>користи у</w:t>
            </w:r>
            <w:r>
              <w:rPr>
                <w:color w:val="231F20"/>
                <w:spacing w:val="-1"/>
                <w:sz w:val="14"/>
              </w:rPr>
              <w:t xml:space="preserve"> </w:t>
            </w:r>
            <w:r>
              <w:rPr>
                <w:color w:val="231F20"/>
                <w:sz w:val="14"/>
              </w:rPr>
              <w:t>доказивању;</w:t>
            </w:r>
          </w:p>
          <w:p w:rsidR="00041039" w:rsidRDefault="001B26CB">
            <w:pPr>
              <w:pStyle w:val="TableParagraph"/>
              <w:numPr>
                <w:ilvl w:val="0"/>
                <w:numId w:val="411"/>
              </w:numPr>
              <w:tabs>
                <w:tab w:val="left" w:pos="158"/>
              </w:tabs>
              <w:spacing w:before="1" w:line="160" w:lineRule="exact"/>
              <w:ind w:right="83"/>
              <w:rPr>
                <w:sz w:val="14"/>
              </w:rPr>
            </w:pPr>
            <w:r>
              <w:rPr>
                <w:color w:val="231F20"/>
                <w:sz w:val="14"/>
              </w:rPr>
              <w:t>проналази и израчунава непознате елементе сличних троуглова на</w:t>
            </w:r>
            <w:r>
              <w:rPr>
                <w:color w:val="231F20"/>
                <w:spacing w:val="-18"/>
                <w:sz w:val="14"/>
              </w:rPr>
              <w:t xml:space="preserve"> </w:t>
            </w:r>
            <w:r>
              <w:rPr>
                <w:color w:val="231F20"/>
                <w:sz w:val="14"/>
              </w:rPr>
              <w:t>слици;</w:t>
            </w:r>
          </w:p>
          <w:p w:rsidR="00041039" w:rsidRDefault="001B26CB">
            <w:pPr>
              <w:pStyle w:val="TableParagraph"/>
              <w:numPr>
                <w:ilvl w:val="0"/>
                <w:numId w:val="411"/>
              </w:numPr>
              <w:tabs>
                <w:tab w:val="left" w:pos="158"/>
              </w:tabs>
              <w:spacing w:line="160" w:lineRule="exact"/>
              <w:ind w:right="246"/>
              <w:jc w:val="both"/>
              <w:rPr>
                <w:sz w:val="14"/>
              </w:rPr>
            </w:pPr>
            <w:r>
              <w:rPr>
                <w:color w:val="231F20"/>
                <w:sz w:val="14"/>
              </w:rPr>
              <w:t xml:space="preserve">примени ставове сличности на пра­ </w:t>
            </w:r>
            <w:r>
              <w:rPr>
                <w:color w:val="231F20"/>
                <w:spacing w:val="-3"/>
                <w:sz w:val="14"/>
              </w:rPr>
              <w:t xml:space="preserve">воугли </w:t>
            </w:r>
            <w:r>
              <w:rPr>
                <w:color w:val="231F20"/>
                <w:sz w:val="14"/>
              </w:rPr>
              <w:t>троугао (доказни и</w:t>
            </w:r>
            <w:r>
              <w:rPr>
                <w:color w:val="231F20"/>
                <w:spacing w:val="-11"/>
                <w:sz w:val="14"/>
              </w:rPr>
              <w:t xml:space="preserve"> </w:t>
            </w:r>
            <w:r>
              <w:rPr>
                <w:color w:val="231F20"/>
                <w:sz w:val="14"/>
              </w:rPr>
              <w:t>рачунски задаци);</w:t>
            </w:r>
          </w:p>
        </w:tc>
        <w:tc>
          <w:tcPr>
            <w:tcW w:w="2834" w:type="dxa"/>
          </w:tcPr>
          <w:p w:rsidR="00041039" w:rsidRDefault="001B26CB">
            <w:pPr>
              <w:pStyle w:val="TableParagraph"/>
              <w:numPr>
                <w:ilvl w:val="0"/>
                <w:numId w:val="410"/>
              </w:numPr>
              <w:tabs>
                <w:tab w:val="left" w:pos="158"/>
              </w:tabs>
              <w:spacing w:before="11"/>
              <w:ind w:right="478" w:hanging="99"/>
              <w:rPr>
                <w:sz w:val="14"/>
              </w:rPr>
            </w:pPr>
            <w:r>
              <w:rPr>
                <w:color w:val="231F20"/>
                <w:sz w:val="14"/>
              </w:rPr>
              <w:t>Пропорционалност дужи и Талесова теорема.</w:t>
            </w:r>
          </w:p>
          <w:p w:rsidR="00041039" w:rsidRDefault="001B26CB">
            <w:pPr>
              <w:pStyle w:val="TableParagraph"/>
              <w:numPr>
                <w:ilvl w:val="0"/>
                <w:numId w:val="410"/>
              </w:numPr>
              <w:tabs>
                <w:tab w:val="left" w:pos="158"/>
              </w:tabs>
              <w:spacing w:line="153" w:lineRule="exact"/>
              <w:ind w:hanging="99"/>
              <w:rPr>
                <w:sz w:val="14"/>
              </w:rPr>
            </w:pPr>
            <w:r>
              <w:rPr>
                <w:color w:val="231F20"/>
                <w:sz w:val="14"/>
              </w:rPr>
              <w:t>Сличност фигура и</w:t>
            </w:r>
            <w:r>
              <w:rPr>
                <w:color w:val="231F20"/>
                <w:spacing w:val="-3"/>
                <w:sz w:val="14"/>
              </w:rPr>
              <w:t xml:space="preserve"> </w:t>
            </w:r>
            <w:r>
              <w:rPr>
                <w:color w:val="231F20"/>
                <w:sz w:val="14"/>
              </w:rPr>
              <w:t>троуглова.</w:t>
            </w:r>
          </w:p>
          <w:p w:rsidR="00041039" w:rsidRDefault="001B26CB">
            <w:pPr>
              <w:pStyle w:val="TableParagraph"/>
              <w:numPr>
                <w:ilvl w:val="0"/>
                <w:numId w:val="410"/>
              </w:numPr>
              <w:tabs>
                <w:tab w:val="left" w:pos="158"/>
              </w:tabs>
              <w:spacing w:line="237" w:lineRule="auto"/>
              <w:ind w:right="136" w:hanging="99"/>
              <w:rPr>
                <w:sz w:val="14"/>
              </w:rPr>
            </w:pPr>
            <w:r>
              <w:rPr>
                <w:color w:val="231F20"/>
                <w:sz w:val="14"/>
              </w:rPr>
              <w:t>Ставови сличности троуглова и примене</w:t>
            </w:r>
            <w:r>
              <w:rPr>
                <w:color w:val="231F20"/>
                <w:spacing w:val="-23"/>
                <w:sz w:val="14"/>
              </w:rPr>
              <w:t xml:space="preserve"> </w:t>
            </w:r>
            <w:r>
              <w:rPr>
                <w:color w:val="231F20"/>
                <w:sz w:val="14"/>
              </w:rPr>
              <w:t>у доказивању.</w:t>
            </w:r>
          </w:p>
          <w:p w:rsidR="00041039" w:rsidRDefault="001B26CB">
            <w:pPr>
              <w:pStyle w:val="TableParagraph"/>
              <w:numPr>
                <w:ilvl w:val="0"/>
                <w:numId w:val="410"/>
              </w:numPr>
              <w:tabs>
                <w:tab w:val="left" w:pos="158"/>
              </w:tabs>
              <w:spacing w:line="155" w:lineRule="exact"/>
              <w:ind w:hanging="99"/>
              <w:rPr>
                <w:sz w:val="14"/>
              </w:rPr>
            </w:pPr>
            <w:r>
              <w:rPr>
                <w:color w:val="231F20"/>
                <w:sz w:val="14"/>
              </w:rPr>
              <w:t xml:space="preserve">Примена сличности на </w:t>
            </w:r>
            <w:r>
              <w:rPr>
                <w:color w:val="231F20"/>
                <w:spacing w:val="-3"/>
                <w:sz w:val="14"/>
              </w:rPr>
              <w:t>правоугли</w:t>
            </w:r>
            <w:r>
              <w:rPr>
                <w:color w:val="231F20"/>
                <w:spacing w:val="-4"/>
                <w:sz w:val="14"/>
              </w:rPr>
              <w:t xml:space="preserve"> </w:t>
            </w:r>
            <w:r>
              <w:rPr>
                <w:color w:val="231F20"/>
                <w:sz w:val="14"/>
              </w:rPr>
              <w:t>троугао.</w:t>
            </w:r>
          </w:p>
          <w:p w:rsidR="00041039" w:rsidRDefault="001B26CB">
            <w:pPr>
              <w:pStyle w:val="TableParagraph"/>
              <w:numPr>
                <w:ilvl w:val="0"/>
                <w:numId w:val="410"/>
              </w:numPr>
              <w:tabs>
                <w:tab w:val="left" w:pos="158"/>
              </w:tabs>
              <w:spacing w:line="163" w:lineRule="exact"/>
              <w:ind w:hanging="99"/>
              <w:rPr>
                <w:sz w:val="14"/>
              </w:rPr>
            </w:pPr>
            <w:r>
              <w:rPr>
                <w:color w:val="231F20"/>
                <w:sz w:val="14"/>
              </w:rPr>
              <w:t>Круг и</w:t>
            </w:r>
            <w:r>
              <w:rPr>
                <w:color w:val="231F20"/>
                <w:spacing w:val="-2"/>
                <w:sz w:val="14"/>
              </w:rPr>
              <w:t xml:space="preserve"> </w:t>
            </w:r>
            <w:r>
              <w:rPr>
                <w:color w:val="231F20"/>
                <w:sz w:val="14"/>
              </w:rPr>
              <w:t>сличност.</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840"/>
        </w:trPr>
        <w:tc>
          <w:tcPr>
            <w:tcW w:w="1304" w:type="dxa"/>
          </w:tcPr>
          <w:p w:rsidR="00041039" w:rsidRDefault="001B26CB">
            <w:pPr>
              <w:pStyle w:val="TableParagraph"/>
              <w:spacing w:before="18"/>
              <w:ind w:left="56"/>
              <w:rPr>
                <w:sz w:val="14"/>
              </w:rPr>
            </w:pPr>
            <w:r>
              <w:rPr>
                <w:color w:val="231F20"/>
                <w:sz w:val="14"/>
              </w:rPr>
              <w:lastRenderedPageBreak/>
              <w:t>Увод у геометрију</w:t>
            </w:r>
          </w:p>
        </w:tc>
        <w:tc>
          <w:tcPr>
            <w:tcW w:w="1587" w:type="dxa"/>
          </w:tcPr>
          <w:p w:rsidR="00041039" w:rsidRDefault="001B26CB">
            <w:pPr>
              <w:pStyle w:val="TableParagraph"/>
              <w:numPr>
                <w:ilvl w:val="0"/>
                <w:numId w:val="409"/>
              </w:numPr>
              <w:tabs>
                <w:tab w:val="left" w:pos="157"/>
              </w:tabs>
              <w:spacing w:before="8"/>
              <w:ind w:right="148"/>
              <w:rPr>
                <w:sz w:val="14"/>
              </w:rPr>
            </w:pPr>
            <w:r>
              <w:rPr>
                <w:color w:val="231F20"/>
                <w:sz w:val="14"/>
              </w:rPr>
              <w:t>Упознавање са осно­ вама аксиоматског заснивања на</w:t>
            </w:r>
            <w:r>
              <w:rPr>
                <w:color w:val="231F20"/>
                <w:spacing w:val="-13"/>
                <w:sz w:val="14"/>
              </w:rPr>
              <w:t xml:space="preserve"> </w:t>
            </w:r>
            <w:r>
              <w:rPr>
                <w:color w:val="231F20"/>
                <w:sz w:val="14"/>
              </w:rPr>
              <w:t>геомет­ ријском</w:t>
            </w:r>
            <w:r>
              <w:rPr>
                <w:color w:val="231F20"/>
                <w:spacing w:val="-1"/>
                <w:sz w:val="14"/>
              </w:rPr>
              <w:t xml:space="preserve"> </w:t>
            </w:r>
            <w:r>
              <w:rPr>
                <w:color w:val="231F20"/>
                <w:spacing w:val="-3"/>
                <w:sz w:val="14"/>
              </w:rPr>
              <w:t>моделу.</w:t>
            </w:r>
          </w:p>
        </w:tc>
        <w:tc>
          <w:tcPr>
            <w:tcW w:w="2551" w:type="dxa"/>
          </w:tcPr>
          <w:p w:rsidR="00041039" w:rsidRDefault="001B26CB">
            <w:pPr>
              <w:pStyle w:val="TableParagraph"/>
              <w:numPr>
                <w:ilvl w:val="0"/>
                <w:numId w:val="408"/>
              </w:numPr>
              <w:tabs>
                <w:tab w:val="left" w:pos="157"/>
              </w:tabs>
              <w:spacing w:before="8"/>
              <w:ind w:right="487" w:hanging="99"/>
              <w:rPr>
                <w:sz w:val="14"/>
              </w:rPr>
            </w:pPr>
            <w:r>
              <w:rPr>
                <w:color w:val="231F20"/>
                <w:sz w:val="14"/>
              </w:rPr>
              <w:t>разликује основне</w:t>
            </w:r>
            <w:r>
              <w:rPr>
                <w:color w:val="231F20"/>
                <w:spacing w:val="-7"/>
                <w:sz w:val="14"/>
              </w:rPr>
              <w:t xml:space="preserve"> </w:t>
            </w:r>
            <w:r>
              <w:rPr>
                <w:color w:val="231F20"/>
                <w:sz w:val="14"/>
              </w:rPr>
              <w:t>геометријске објекте;</w:t>
            </w:r>
          </w:p>
          <w:p w:rsidR="00041039" w:rsidRDefault="001B26CB">
            <w:pPr>
              <w:pStyle w:val="TableParagraph"/>
              <w:numPr>
                <w:ilvl w:val="0"/>
                <w:numId w:val="408"/>
              </w:numPr>
              <w:tabs>
                <w:tab w:val="left" w:pos="157"/>
              </w:tabs>
              <w:spacing w:line="160" w:lineRule="exact"/>
              <w:ind w:right="45" w:hanging="99"/>
              <w:rPr>
                <w:sz w:val="14"/>
              </w:rPr>
            </w:pPr>
            <w:r>
              <w:rPr>
                <w:color w:val="231F20"/>
                <w:sz w:val="14"/>
              </w:rPr>
              <w:t>наведе основне ставове везане за релације припадања, распореда и</w:t>
            </w:r>
            <w:r>
              <w:rPr>
                <w:color w:val="231F20"/>
                <w:spacing w:val="-17"/>
                <w:sz w:val="14"/>
              </w:rPr>
              <w:t xml:space="preserve"> </w:t>
            </w:r>
            <w:r>
              <w:rPr>
                <w:color w:val="231F20"/>
                <w:sz w:val="14"/>
              </w:rPr>
              <w:t>пара­ лелности;</w:t>
            </w:r>
          </w:p>
        </w:tc>
        <w:tc>
          <w:tcPr>
            <w:tcW w:w="2834" w:type="dxa"/>
          </w:tcPr>
          <w:p w:rsidR="00041039" w:rsidRDefault="001B26CB">
            <w:pPr>
              <w:pStyle w:val="TableParagraph"/>
              <w:numPr>
                <w:ilvl w:val="0"/>
                <w:numId w:val="407"/>
              </w:numPr>
              <w:tabs>
                <w:tab w:val="left" w:pos="157"/>
              </w:tabs>
              <w:spacing w:before="8" w:line="166" w:lineRule="exact"/>
              <w:ind w:hanging="99"/>
              <w:rPr>
                <w:sz w:val="14"/>
              </w:rPr>
            </w:pPr>
            <w:r>
              <w:rPr>
                <w:color w:val="231F20"/>
                <w:spacing w:val="-3"/>
                <w:sz w:val="14"/>
              </w:rPr>
              <w:t xml:space="preserve">Увођење </w:t>
            </w:r>
            <w:r>
              <w:rPr>
                <w:color w:val="231F20"/>
                <w:sz w:val="14"/>
              </w:rPr>
              <w:t>основних геометријских појмова.</w:t>
            </w:r>
          </w:p>
          <w:p w:rsidR="00041039" w:rsidRDefault="001B26CB">
            <w:pPr>
              <w:pStyle w:val="TableParagraph"/>
              <w:numPr>
                <w:ilvl w:val="0"/>
                <w:numId w:val="407"/>
              </w:numPr>
              <w:tabs>
                <w:tab w:val="left" w:pos="157"/>
              </w:tabs>
              <w:spacing w:line="237" w:lineRule="auto"/>
              <w:ind w:right="119" w:hanging="99"/>
              <w:rPr>
                <w:sz w:val="14"/>
              </w:rPr>
            </w:pPr>
            <w:r>
              <w:rPr>
                <w:color w:val="231F20"/>
                <w:sz w:val="14"/>
              </w:rPr>
              <w:t>Аксиоме припадања, распореда и</w:t>
            </w:r>
            <w:r>
              <w:rPr>
                <w:color w:val="231F20"/>
                <w:spacing w:val="-24"/>
                <w:sz w:val="14"/>
              </w:rPr>
              <w:t xml:space="preserve"> </w:t>
            </w:r>
            <w:r>
              <w:rPr>
                <w:color w:val="231F20"/>
                <w:sz w:val="14"/>
              </w:rPr>
              <w:t>паралел­ ности.</w:t>
            </w:r>
          </w:p>
        </w:tc>
        <w:tc>
          <w:tcPr>
            <w:tcW w:w="2267" w:type="dxa"/>
            <w:vMerge w:val="restart"/>
          </w:tcPr>
          <w:p w:rsidR="00041039" w:rsidRDefault="001B26CB">
            <w:pPr>
              <w:pStyle w:val="TableParagraph"/>
              <w:numPr>
                <w:ilvl w:val="0"/>
                <w:numId w:val="406"/>
              </w:numPr>
              <w:tabs>
                <w:tab w:val="left" w:pos="143"/>
              </w:tabs>
              <w:spacing w:before="18"/>
              <w:ind w:right="188"/>
              <w:rPr>
                <w:sz w:val="14"/>
              </w:rPr>
            </w:pPr>
            <w:r>
              <w:rPr>
                <w:b/>
                <w:color w:val="231F20"/>
                <w:sz w:val="14"/>
              </w:rPr>
              <w:t xml:space="preserve">Сличност: </w:t>
            </w:r>
            <w:r>
              <w:rPr>
                <w:color w:val="231F20"/>
                <w:sz w:val="14"/>
              </w:rPr>
              <w:t>истаћи значај ставова сличности троуглова у доказивању, развијати смисао</w:t>
            </w:r>
            <w:r>
              <w:rPr>
                <w:color w:val="231F20"/>
                <w:spacing w:val="-24"/>
                <w:sz w:val="14"/>
              </w:rPr>
              <w:t xml:space="preserve"> </w:t>
            </w:r>
            <w:r>
              <w:rPr>
                <w:color w:val="231F20"/>
                <w:sz w:val="14"/>
              </w:rPr>
              <w:t xml:space="preserve">за проналажење сличних троу­ </w:t>
            </w:r>
            <w:r>
              <w:rPr>
                <w:color w:val="231F20"/>
                <w:spacing w:val="-3"/>
                <w:sz w:val="14"/>
              </w:rPr>
              <w:t xml:space="preserve">глова </w:t>
            </w:r>
            <w:r>
              <w:rPr>
                <w:color w:val="231F20"/>
                <w:sz w:val="14"/>
              </w:rPr>
              <w:t>у сложенијим сликама са многоугловима и</w:t>
            </w:r>
            <w:r>
              <w:rPr>
                <w:color w:val="231F20"/>
                <w:spacing w:val="-6"/>
                <w:sz w:val="14"/>
              </w:rPr>
              <w:t xml:space="preserve"> </w:t>
            </w:r>
            <w:r>
              <w:rPr>
                <w:color w:val="231F20"/>
                <w:sz w:val="14"/>
              </w:rPr>
              <w:t>кругом.</w:t>
            </w:r>
          </w:p>
          <w:p w:rsidR="00041039" w:rsidRDefault="001B26CB">
            <w:pPr>
              <w:pStyle w:val="TableParagraph"/>
              <w:numPr>
                <w:ilvl w:val="0"/>
                <w:numId w:val="406"/>
              </w:numPr>
              <w:tabs>
                <w:tab w:val="left" w:pos="143"/>
              </w:tabs>
              <w:spacing w:line="237" w:lineRule="auto"/>
              <w:ind w:right="158"/>
              <w:rPr>
                <w:sz w:val="14"/>
              </w:rPr>
            </w:pPr>
            <w:r>
              <w:rPr>
                <w:b/>
                <w:color w:val="231F20"/>
                <w:spacing w:val="-5"/>
                <w:sz w:val="14"/>
              </w:rPr>
              <w:t xml:space="preserve">Увод </w:t>
            </w:r>
            <w:r>
              <w:rPr>
                <w:b/>
                <w:color w:val="231F20"/>
                <w:sz w:val="14"/>
              </w:rPr>
              <w:t xml:space="preserve">у геометрију: </w:t>
            </w:r>
            <w:r>
              <w:rPr>
                <w:color w:val="231F20"/>
                <w:sz w:val="14"/>
              </w:rPr>
              <w:t>дати кратак приказ, са примерима,</w:t>
            </w:r>
            <w:r>
              <w:rPr>
                <w:color w:val="231F20"/>
                <w:spacing w:val="-22"/>
                <w:sz w:val="14"/>
              </w:rPr>
              <w:t xml:space="preserve"> </w:t>
            </w:r>
            <w:r>
              <w:rPr>
                <w:color w:val="231F20"/>
                <w:sz w:val="14"/>
              </w:rPr>
              <w:t>аксиомат­ ског заснивања</w:t>
            </w:r>
            <w:r>
              <w:rPr>
                <w:color w:val="231F20"/>
                <w:spacing w:val="-4"/>
                <w:sz w:val="14"/>
              </w:rPr>
              <w:t xml:space="preserve"> </w:t>
            </w:r>
            <w:r>
              <w:rPr>
                <w:color w:val="231F20"/>
                <w:sz w:val="14"/>
              </w:rPr>
              <w:t>геометрије.</w:t>
            </w:r>
          </w:p>
          <w:p w:rsidR="00041039" w:rsidRDefault="001B26CB">
            <w:pPr>
              <w:pStyle w:val="TableParagraph"/>
              <w:numPr>
                <w:ilvl w:val="0"/>
                <w:numId w:val="406"/>
              </w:numPr>
              <w:tabs>
                <w:tab w:val="left" w:pos="143"/>
              </w:tabs>
              <w:ind w:right="76"/>
              <w:rPr>
                <w:sz w:val="14"/>
              </w:rPr>
            </w:pPr>
            <w:r>
              <w:rPr>
                <w:b/>
                <w:color w:val="231F20"/>
                <w:sz w:val="14"/>
              </w:rPr>
              <w:t xml:space="preserve">Подударност: </w:t>
            </w:r>
            <w:r>
              <w:rPr>
                <w:color w:val="231F20"/>
                <w:sz w:val="14"/>
              </w:rPr>
              <w:t>инсистирати на прецизности и систематичности у раду кроз конструктивне задатке; приближити појмове подудар­ ности, симетричности и развијати смисао за опажање</w:t>
            </w:r>
            <w:r>
              <w:rPr>
                <w:color w:val="231F20"/>
                <w:spacing w:val="-1"/>
                <w:sz w:val="14"/>
              </w:rPr>
              <w:t xml:space="preserve"> </w:t>
            </w:r>
            <w:r>
              <w:rPr>
                <w:color w:val="231F20"/>
                <w:sz w:val="14"/>
              </w:rPr>
              <w:t>детаља</w:t>
            </w:r>
          </w:p>
          <w:p w:rsidR="00041039" w:rsidRDefault="001B26CB">
            <w:pPr>
              <w:pStyle w:val="TableParagraph"/>
              <w:spacing w:line="237" w:lineRule="auto"/>
              <w:ind w:left="142"/>
              <w:rPr>
                <w:sz w:val="14"/>
              </w:rPr>
            </w:pPr>
            <w:r>
              <w:rPr>
                <w:color w:val="231F20"/>
                <w:sz w:val="14"/>
              </w:rPr>
              <w:t>на геометријским фигурама. Систематизовати знања о многоу­ гловима и кругу.</w:t>
            </w:r>
          </w:p>
          <w:p w:rsidR="00041039" w:rsidRDefault="00041039">
            <w:pPr>
              <w:pStyle w:val="TableParagraph"/>
              <w:spacing w:before="2"/>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405"/>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405"/>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теми</w:t>
            </w:r>
          </w:p>
          <w:p w:rsidR="00041039" w:rsidRDefault="001B26CB">
            <w:pPr>
              <w:pStyle w:val="TableParagraph"/>
              <w:numPr>
                <w:ilvl w:val="0"/>
                <w:numId w:val="405"/>
              </w:numPr>
              <w:tabs>
                <w:tab w:val="left" w:pos="158"/>
              </w:tabs>
              <w:spacing w:line="237" w:lineRule="auto"/>
              <w:ind w:right="172" w:hanging="99"/>
              <w:rPr>
                <w:b/>
                <w:sz w:val="14"/>
              </w:rPr>
            </w:pPr>
            <w:r>
              <w:rPr>
                <w:color w:val="231F20"/>
                <w:sz w:val="14"/>
              </w:rPr>
              <w:t>Тригонометрија правоуглог</w:t>
            </w:r>
            <w:r>
              <w:rPr>
                <w:color w:val="231F20"/>
                <w:spacing w:val="-27"/>
                <w:sz w:val="14"/>
              </w:rPr>
              <w:t xml:space="preserve"> </w:t>
            </w:r>
            <w:r>
              <w:rPr>
                <w:color w:val="231F20"/>
                <w:sz w:val="14"/>
              </w:rPr>
              <w:t xml:space="preserve">тро­ </w:t>
            </w:r>
            <w:r>
              <w:rPr>
                <w:color w:val="231F20"/>
                <w:spacing w:val="-3"/>
                <w:sz w:val="14"/>
              </w:rPr>
              <w:t xml:space="preserve">угла </w:t>
            </w:r>
            <w:r>
              <w:rPr>
                <w:b/>
                <w:color w:val="231F20"/>
                <w:sz w:val="14"/>
              </w:rPr>
              <w:t>(9</w:t>
            </w:r>
            <w:r>
              <w:rPr>
                <w:b/>
                <w:color w:val="231F20"/>
                <w:sz w:val="14"/>
              </w:rPr>
              <w:t xml:space="preserve"> </w:t>
            </w:r>
            <w:r>
              <w:rPr>
                <w:b/>
                <w:color w:val="231F20"/>
                <w:sz w:val="14"/>
              </w:rPr>
              <w:t>часова)</w:t>
            </w:r>
          </w:p>
          <w:p w:rsidR="00041039" w:rsidRDefault="001B26CB">
            <w:pPr>
              <w:pStyle w:val="TableParagraph"/>
              <w:numPr>
                <w:ilvl w:val="0"/>
                <w:numId w:val="405"/>
              </w:numPr>
              <w:tabs>
                <w:tab w:val="left" w:pos="158"/>
              </w:tabs>
              <w:spacing w:line="155" w:lineRule="exact"/>
              <w:ind w:hanging="99"/>
              <w:rPr>
                <w:b/>
                <w:sz w:val="14"/>
              </w:rPr>
            </w:pPr>
            <w:r>
              <w:rPr>
                <w:color w:val="231F20"/>
                <w:sz w:val="14"/>
              </w:rPr>
              <w:t xml:space="preserve">Логика и скупови </w:t>
            </w:r>
            <w:r>
              <w:rPr>
                <w:b/>
                <w:color w:val="231F20"/>
                <w:sz w:val="14"/>
              </w:rPr>
              <w:t>(15</w:t>
            </w:r>
            <w:r>
              <w:rPr>
                <w:b/>
                <w:color w:val="231F20"/>
                <w:spacing w:val="-7"/>
                <w:sz w:val="14"/>
              </w:rPr>
              <w:t xml:space="preserve"> </w:t>
            </w:r>
            <w:r>
              <w:rPr>
                <w:b/>
                <w:color w:val="231F20"/>
                <w:sz w:val="14"/>
              </w:rPr>
              <w:t>часова)</w:t>
            </w:r>
          </w:p>
          <w:p w:rsidR="00041039" w:rsidRDefault="001B26CB">
            <w:pPr>
              <w:pStyle w:val="TableParagraph"/>
              <w:numPr>
                <w:ilvl w:val="0"/>
                <w:numId w:val="405"/>
              </w:numPr>
              <w:tabs>
                <w:tab w:val="left" w:pos="158"/>
              </w:tabs>
              <w:spacing w:line="165" w:lineRule="exact"/>
              <w:ind w:hanging="99"/>
              <w:rPr>
                <w:sz w:val="14"/>
              </w:rPr>
            </w:pPr>
            <w:r>
              <w:rPr>
                <w:color w:val="231F20"/>
                <w:sz w:val="14"/>
              </w:rPr>
              <w:t>Рационални алгебарски</w:t>
            </w:r>
            <w:r>
              <w:rPr>
                <w:color w:val="231F20"/>
                <w:spacing w:val="-4"/>
                <w:sz w:val="14"/>
              </w:rPr>
              <w:t xml:space="preserve"> </w:t>
            </w:r>
            <w:r>
              <w:rPr>
                <w:color w:val="231F20"/>
                <w:sz w:val="14"/>
              </w:rPr>
              <w:t>изрази</w:t>
            </w:r>
          </w:p>
          <w:p w:rsidR="00041039" w:rsidRDefault="001B26CB">
            <w:pPr>
              <w:pStyle w:val="TableParagraph"/>
              <w:spacing w:line="155" w:lineRule="exact"/>
              <w:ind w:left="157"/>
              <w:rPr>
                <w:b/>
                <w:sz w:val="14"/>
              </w:rPr>
            </w:pPr>
            <w:r>
              <w:rPr>
                <w:b/>
                <w:color w:val="231F20"/>
                <w:sz w:val="14"/>
              </w:rPr>
              <w:t>(32 часа)</w:t>
            </w:r>
          </w:p>
          <w:p w:rsidR="00041039" w:rsidRDefault="001B26CB">
            <w:pPr>
              <w:pStyle w:val="TableParagraph"/>
              <w:numPr>
                <w:ilvl w:val="0"/>
                <w:numId w:val="405"/>
              </w:numPr>
              <w:tabs>
                <w:tab w:val="left" w:pos="158"/>
              </w:tabs>
              <w:spacing w:line="160" w:lineRule="exact"/>
              <w:ind w:hanging="99"/>
              <w:rPr>
                <w:b/>
                <w:sz w:val="14"/>
              </w:rPr>
            </w:pPr>
            <w:r>
              <w:rPr>
                <w:color w:val="231F20"/>
                <w:spacing w:val="-6"/>
                <w:sz w:val="14"/>
              </w:rPr>
              <w:t xml:space="preserve">Увод </w:t>
            </w:r>
            <w:r>
              <w:rPr>
                <w:color w:val="231F20"/>
                <w:sz w:val="14"/>
              </w:rPr>
              <w:t xml:space="preserve">у геометрију </w:t>
            </w:r>
            <w:r>
              <w:rPr>
                <w:b/>
                <w:color w:val="231F20"/>
                <w:sz w:val="14"/>
              </w:rPr>
              <w:t>(5</w:t>
            </w:r>
            <w:r>
              <w:rPr>
                <w:b/>
                <w:color w:val="231F20"/>
                <w:spacing w:val="1"/>
                <w:sz w:val="14"/>
              </w:rPr>
              <w:t xml:space="preserve"> </w:t>
            </w:r>
            <w:r>
              <w:rPr>
                <w:b/>
                <w:color w:val="231F20"/>
                <w:sz w:val="14"/>
              </w:rPr>
              <w:t>часова)</w:t>
            </w:r>
          </w:p>
          <w:p w:rsidR="00041039" w:rsidRDefault="001B26CB">
            <w:pPr>
              <w:pStyle w:val="TableParagraph"/>
              <w:numPr>
                <w:ilvl w:val="0"/>
                <w:numId w:val="405"/>
              </w:numPr>
              <w:tabs>
                <w:tab w:val="left" w:pos="158"/>
              </w:tabs>
              <w:spacing w:line="160" w:lineRule="exact"/>
              <w:ind w:hanging="99"/>
              <w:rPr>
                <w:b/>
                <w:sz w:val="14"/>
              </w:rPr>
            </w:pPr>
            <w:r>
              <w:rPr>
                <w:color w:val="231F20"/>
                <w:sz w:val="14"/>
              </w:rPr>
              <w:t xml:space="preserve">Подударност </w:t>
            </w:r>
            <w:r>
              <w:rPr>
                <w:b/>
                <w:color w:val="231F20"/>
                <w:sz w:val="14"/>
              </w:rPr>
              <w:t>(32</w:t>
            </w:r>
            <w:r>
              <w:rPr>
                <w:b/>
                <w:color w:val="231F20"/>
                <w:spacing w:val="-2"/>
                <w:sz w:val="14"/>
              </w:rPr>
              <w:t xml:space="preserve"> </w:t>
            </w:r>
            <w:r>
              <w:rPr>
                <w:b/>
                <w:color w:val="231F20"/>
                <w:sz w:val="14"/>
              </w:rPr>
              <w:t>часа)</w:t>
            </w:r>
          </w:p>
          <w:p w:rsidR="00041039" w:rsidRDefault="001B26CB">
            <w:pPr>
              <w:pStyle w:val="TableParagraph"/>
              <w:numPr>
                <w:ilvl w:val="0"/>
                <w:numId w:val="405"/>
              </w:numPr>
              <w:tabs>
                <w:tab w:val="left" w:pos="158"/>
              </w:tabs>
              <w:spacing w:line="160" w:lineRule="exact"/>
              <w:ind w:hanging="99"/>
              <w:rPr>
                <w:b/>
                <w:sz w:val="14"/>
              </w:rPr>
            </w:pPr>
            <w:r>
              <w:rPr>
                <w:color w:val="231F20"/>
                <w:sz w:val="14"/>
              </w:rPr>
              <w:t xml:space="preserve">Пропорционалност </w:t>
            </w:r>
            <w:r>
              <w:rPr>
                <w:b/>
                <w:color w:val="231F20"/>
                <w:sz w:val="14"/>
              </w:rPr>
              <w:t>(8</w:t>
            </w:r>
            <w:r>
              <w:rPr>
                <w:b/>
                <w:color w:val="231F20"/>
                <w:spacing w:val="-6"/>
                <w:sz w:val="14"/>
              </w:rPr>
              <w:t xml:space="preserve"> </w:t>
            </w:r>
            <w:r>
              <w:rPr>
                <w:b/>
                <w:color w:val="231F20"/>
                <w:sz w:val="14"/>
              </w:rPr>
              <w:t>часова)</w:t>
            </w:r>
          </w:p>
          <w:p w:rsidR="00041039" w:rsidRDefault="001B26CB">
            <w:pPr>
              <w:pStyle w:val="TableParagraph"/>
              <w:numPr>
                <w:ilvl w:val="0"/>
                <w:numId w:val="405"/>
              </w:numPr>
              <w:tabs>
                <w:tab w:val="left" w:pos="158"/>
              </w:tabs>
              <w:spacing w:line="160" w:lineRule="exact"/>
              <w:ind w:hanging="99"/>
              <w:rPr>
                <w:b/>
                <w:sz w:val="14"/>
              </w:rPr>
            </w:pPr>
            <w:r>
              <w:rPr>
                <w:color w:val="231F20"/>
                <w:sz w:val="14"/>
              </w:rPr>
              <w:t xml:space="preserve">Сличност </w:t>
            </w:r>
            <w:r>
              <w:rPr>
                <w:b/>
                <w:color w:val="231F20"/>
                <w:sz w:val="14"/>
              </w:rPr>
              <w:t>(14</w:t>
            </w:r>
            <w:r>
              <w:rPr>
                <w:b/>
                <w:color w:val="231F20"/>
                <w:spacing w:val="-2"/>
                <w:sz w:val="14"/>
              </w:rPr>
              <w:t xml:space="preserve"> </w:t>
            </w:r>
            <w:r>
              <w:rPr>
                <w:b/>
                <w:color w:val="231F20"/>
                <w:sz w:val="14"/>
              </w:rPr>
              <w:t>часова)</w:t>
            </w:r>
          </w:p>
          <w:p w:rsidR="00041039" w:rsidRDefault="001B26CB">
            <w:pPr>
              <w:pStyle w:val="TableParagraph"/>
              <w:numPr>
                <w:ilvl w:val="0"/>
                <w:numId w:val="405"/>
              </w:numPr>
              <w:tabs>
                <w:tab w:val="left" w:pos="158"/>
              </w:tabs>
              <w:spacing w:line="166" w:lineRule="exact"/>
              <w:ind w:hanging="99"/>
              <w:rPr>
                <w:b/>
                <w:sz w:val="14"/>
              </w:rPr>
            </w:pPr>
            <w:r>
              <w:rPr>
                <w:color w:val="231F20"/>
                <w:sz w:val="14"/>
              </w:rPr>
              <w:t xml:space="preserve">Реални бројеви </w:t>
            </w:r>
            <w:r>
              <w:rPr>
                <w:b/>
                <w:color w:val="231F20"/>
                <w:sz w:val="14"/>
              </w:rPr>
              <w:t>(13</w:t>
            </w:r>
            <w:r>
              <w:rPr>
                <w:b/>
                <w:color w:val="231F20"/>
                <w:spacing w:val="-4"/>
                <w:sz w:val="14"/>
              </w:rPr>
              <w:t xml:space="preserve"> </w:t>
            </w:r>
            <w:r>
              <w:rPr>
                <w:b/>
                <w:color w:val="231F20"/>
                <w:sz w:val="14"/>
              </w:rPr>
              <w:t>часова)</w:t>
            </w:r>
          </w:p>
          <w:p w:rsidR="00041039" w:rsidRDefault="00041039">
            <w:pPr>
              <w:pStyle w:val="TableParagraph"/>
              <w:spacing w:before="5"/>
              <w:ind w:left="0"/>
              <w:rPr>
                <w:b/>
                <w:sz w:val="13"/>
              </w:rPr>
            </w:pPr>
          </w:p>
          <w:p w:rsidR="00041039" w:rsidRDefault="001B26CB">
            <w:pPr>
              <w:pStyle w:val="TableParagraph"/>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5749"/>
        </w:trPr>
        <w:tc>
          <w:tcPr>
            <w:tcW w:w="1304" w:type="dxa"/>
          </w:tcPr>
          <w:p w:rsidR="00041039" w:rsidRDefault="001B26CB">
            <w:pPr>
              <w:pStyle w:val="TableParagraph"/>
              <w:spacing w:before="19"/>
              <w:ind w:left="56"/>
              <w:rPr>
                <w:sz w:val="14"/>
              </w:rPr>
            </w:pPr>
            <w:r>
              <w:rPr>
                <w:color w:val="231F20"/>
                <w:sz w:val="14"/>
              </w:rPr>
              <w:t>Подударност</w:t>
            </w:r>
          </w:p>
        </w:tc>
        <w:tc>
          <w:tcPr>
            <w:tcW w:w="1587" w:type="dxa"/>
          </w:tcPr>
          <w:p w:rsidR="00041039" w:rsidRDefault="001B26CB">
            <w:pPr>
              <w:pStyle w:val="TableParagraph"/>
              <w:numPr>
                <w:ilvl w:val="0"/>
                <w:numId w:val="404"/>
              </w:numPr>
              <w:tabs>
                <w:tab w:val="left" w:pos="157"/>
              </w:tabs>
              <w:spacing w:before="9"/>
              <w:ind w:right="100"/>
              <w:rPr>
                <w:sz w:val="14"/>
              </w:rPr>
            </w:pPr>
            <w:r>
              <w:rPr>
                <w:color w:val="231F20"/>
                <w:sz w:val="14"/>
              </w:rPr>
              <w:t>Стицање и</w:t>
            </w:r>
            <w:r>
              <w:rPr>
                <w:color w:val="231F20"/>
                <w:spacing w:val="-14"/>
                <w:sz w:val="14"/>
              </w:rPr>
              <w:t xml:space="preserve"> </w:t>
            </w:r>
            <w:r>
              <w:rPr>
                <w:color w:val="231F20"/>
                <w:sz w:val="14"/>
              </w:rPr>
              <w:t>продубљи­ вање основних знања о многоугловима и кружници уз елемен­ тарне</w:t>
            </w:r>
            <w:r>
              <w:rPr>
                <w:color w:val="231F20"/>
                <w:spacing w:val="-2"/>
                <w:sz w:val="14"/>
              </w:rPr>
              <w:t xml:space="preserve"> </w:t>
            </w:r>
            <w:r>
              <w:rPr>
                <w:color w:val="231F20"/>
                <w:sz w:val="14"/>
              </w:rPr>
              <w:t>конструкције.</w:t>
            </w:r>
          </w:p>
        </w:tc>
        <w:tc>
          <w:tcPr>
            <w:tcW w:w="2551" w:type="dxa"/>
          </w:tcPr>
          <w:p w:rsidR="00041039" w:rsidRDefault="001B26CB">
            <w:pPr>
              <w:pStyle w:val="TableParagraph"/>
              <w:numPr>
                <w:ilvl w:val="0"/>
                <w:numId w:val="403"/>
              </w:numPr>
              <w:tabs>
                <w:tab w:val="left" w:pos="157"/>
              </w:tabs>
              <w:spacing w:before="9" w:line="166" w:lineRule="exact"/>
              <w:ind w:hanging="99"/>
              <w:rPr>
                <w:sz w:val="14"/>
              </w:rPr>
            </w:pPr>
            <w:r>
              <w:rPr>
                <w:color w:val="231F20"/>
                <w:sz w:val="14"/>
              </w:rPr>
              <w:t>конструише и преноси</w:t>
            </w:r>
            <w:r>
              <w:rPr>
                <w:color w:val="231F20"/>
                <w:spacing w:val="-5"/>
                <w:sz w:val="14"/>
              </w:rPr>
              <w:t xml:space="preserve"> </w:t>
            </w:r>
            <w:r>
              <w:rPr>
                <w:color w:val="231F20"/>
                <w:sz w:val="14"/>
              </w:rPr>
              <w:t>углове;</w:t>
            </w:r>
          </w:p>
          <w:p w:rsidR="00041039" w:rsidRDefault="001B26CB">
            <w:pPr>
              <w:pStyle w:val="TableParagraph"/>
              <w:numPr>
                <w:ilvl w:val="0"/>
                <w:numId w:val="403"/>
              </w:numPr>
              <w:tabs>
                <w:tab w:val="left" w:pos="157"/>
              </w:tabs>
              <w:spacing w:line="237" w:lineRule="auto"/>
              <w:ind w:right="194" w:hanging="99"/>
              <w:rPr>
                <w:sz w:val="14"/>
              </w:rPr>
            </w:pPr>
            <w:r>
              <w:rPr>
                <w:color w:val="231F20"/>
                <w:sz w:val="14"/>
              </w:rPr>
              <w:t>одреди обим, странице, висине, симетрале страна, симетрале</w:t>
            </w:r>
            <w:r>
              <w:rPr>
                <w:color w:val="231F20"/>
                <w:spacing w:val="-10"/>
                <w:sz w:val="14"/>
              </w:rPr>
              <w:t xml:space="preserve"> </w:t>
            </w:r>
            <w:r>
              <w:rPr>
                <w:color w:val="231F20"/>
                <w:sz w:val="14"/>
              </w:rPr>
              <w:t xml:space="preserve">углова, тежишне дужи </w:t>
            </w:r>
            <w:r>
              <w:rPr>
                <w:color w:val="231F20"/>
                <w:spacing w:val="-3"/>
                <w:sz w:val="14"/>
              </w:rPr>
              <w:t>троугла;</w:t>
            </w:r>
          </w:p>
          <w:p w:rsidR="00041039" w:rsidRDefault="001B26CB">
            <w:pPr>
              <w:pStyle w:val="TableParagraph"/>
              <w:numPr>
                <w:ilvl w:val="0"/>
                <w:numId w:val="403"/>
              </w:numPr>
              <w:tabs>
                <w:tab w:val="left" w:pos="157"/>
              </w:tabs>
              <w:spacing w:line="237" w:lineRule="auto"/>
              <w:ind w:right="194" w:hanging="99"/>
              <w:rPr>
                <w:sz w:val="14"/>
              </w:rPr>
            </w:pPr>
            <w:r>
              <w:rPr>
                <w:color w:val="231F20"/>
                <w:sz w:val="14"/>
              </w:rPr>
              <w:t>одреди обим, странице, висине, симетрале страна, с</w:t>
            </w:r>
            <w:r>
              <w:rPr>
                <w:color w:val="231F20"/>
                <w:sz w:val="14"/>
              </w:rPr>
              <w:t>иметрале</w:t>
            </w:r>
            <w:r>
              <w:rPr>
                <w:color w:val="231F20"/>
                <w:spacing w:val="-10"/>
                <w:sz w:val="14"/>
              </w:rPr>
              <w:t xml:space="preserve"> </w:t>
            </w:r>
            <w:r>
              <w:rPr>
                <w:color w:val="231F20"/>
                <w:sz w:val="14"/>
              </w:rPr>
              <w:t>углова, тежишне дужи</w:t>
            </w:r>
            <w:r>
              <w:rPr>
                <w:color w:val="231F20"/>
                <w:spacing w:val="-4"/>
                <w:sz w:val="14"/>
              </w:rPr>
              <w:t xml:space="preserve"> </w:t>
            </w:r>
            <w:r>
              <w:rPr>
                <w:color w:val="231F20"/>
                <w:sz w:val="14"/>
              </w:rPr>
              <w:t>четвороугла;</w:t>
            </w:r>
          </w:p>
          <w:p w:rsidR="00041039" w:rsidRDefault="001B26CB">
            <w:pPr>
              <w:pStyle w:val="TableParagraph"/>
              <w:numPr>
                <w:ilvl w:val="0"/>
                <w:numId w:val="403"/>
              </w:numPr>
              <w:tabs>
                <w:tab w:val="left" w:pos="157"/>
              </w:tabs>
              <w:spacing w:line="237" w:lineRule="auto"/>
              <w:ind w:right="115" w:hanging="99"/>
              <w:rPr>
                <w:sz w:val="14"/>
              </w:rPr>
            </w:pPr>
            <w:r>
              <w:rPr>
                <w:color w:val="231F20"/>
                <w:sz w:val="14"/>
              </w:rPr>
              <w:t>одреди пречник, полупречник,</w:t>
            </w:r>
            <w:r>
              <w:rPr>
                <w:color w:val="231F20"/>
                <w:spacing w:val="-20"/>
                <w:sz w:val="14"/>
              </w:rPr>
              <w:t xml:space="preserve"> </w:t>
            </w:r>
            <w:r>
              <w:rPr>
                <w:color w:val="231F20"/>
                <w:spacing w:val="-3"/>
                <w:sz w:val="14"/>
              </w:rPr>
              <w:t xml:space="preserve">тетиву, </w:t>
            </w:r>
            <w:r>
              <w:rPr>
                <w:color w:val="231F20"/>
                <w:sz w:val="14"/>
              </w:rPr>
              <w:t>тангенту и сечицу</w:t>
            </w:r>
            <w:r>
              <w:rPr>
                <w:color w:val="231F20"/>
                <w:spacing w:val="-2"/>
                <w:sz w:val="14"/>
              </w:rPr>
              <w:t xml:space="preserve"> </w:t>
            </w:r>
            <w:r>
              <w:rPr>
                <w:color w:val="231F20"/>
                <w:sz w:val="14"/>
              </w:rPr>
              <w:t>круга;</w:t>
            </w:r>
          </w:p>
          <w:p w:rsidR="00041039" w:rsidRDefault="001B26CB">
            <w:pPr>
              <w:pStyle w:val="TableParagraph"/>
              <w:numPr>
                <w:ilvl w:val="0"/>
                <w:numId w:val="403"/>
              </w:numPr>
              <w:tabs>
                <w:tab w:val="left" w:pos="157"/>
              </w:tabs>
              <w:spacing w:line="155" w:lineRule="exact"/>
              <w:ind w:hanging="99"/>
              <w:rPr>
                <w:sz w:val="14"/>
              </w:rPr>
            </w:pPr>
            <w:r>
              <w:rPr>
                <w:color w:val="231F20"/>
                <w:sz w:val="14"/>
              </w:rPr>
              <w:t>препознаје подударне</w:t>
            </w:r>
            <w:r>
              <w:rPr>
                <w:color w:val="231F20"/>
                <w:spacing w:val="-24"/>
                <w:sz w:val="14"/>
              </w:rPr>
              <w:t xml:space="preserve"> </w:t>
            </w:r>
            <w:r>
              <w:rPr>
                <w:color w:val="231F20"/>
                <w:sz w:val="14"/>
              </w:rPr>
              <w:t>фигуре;</w:t>
            </w:r>
          </w:p>
          <w:p w:rsidR="00041039" w:rsidRDefault="001B26CB">
            <w:pPr>
              <w:pStyle w:val="TableParagraph"/>
              <w:numPr>
                <w:ilvl w:val="0"/>
                <w:numId w:val="403"/>
              </w:numPr>
              <w:tabs>
                <w:tab w:val="left" w:pos="157"/>
              </w:tabs>
              <w:spacing w:line="237" w:lineRule="auto"/>
              <w:ind w:right="97" w:hanging="99"/>
              <w:rPr>
                <w:sz w:val="14"/>
              </w:rPr>
            </w:pPr>
            <w:r>
              <w:rPr>
                <w:color w:val="231F20"/>
                <w:sz w:val="14"/>
              </w:rPr>
              <w:t>употреби једнакост елемената у доказивању</w:t>
            </w:r>
            <w:r>
              <w:rPr>
                <w:color w:val="231F20"/>
                <w:spacing w:val="-11"/>
                <w:sz w:val="14"/>
              </w:rPr>
              <w:t xml:space="preserve"> </w:t>
            </w:r>
            <w:r>
              <w:rPr>
                <w:color w:val="231F20"/>
                <w:sz w:val="14"/>
              </w:rPr>
              <w:t>подударности</w:t>
            </w:r>
            <w:r>
              <w:rPr>
                <w:color w:val="231F20"/>
                <w:spacing w:val="-11"/>
                <w:sz w:val="14"/>
              </w:rPr>
              <w:t xml:space="preserve"> </w:t>
            </w:r>
            <w:r>
              <w:rPr>
                <w:color w:val="231F20"/>
                <w:sz w:val="14"/>
              </w:rPr>
              <w:t>троуглова</w:t>
            </w:r>
            <w:r>
              <w:rPr>
                <w:color w:val="231F20"/>
                <w:spacing w:val="-11"/>
                <w:sz w:val="14"/>
              </w:rPr>
              <w:t xml:space="preserve"> </w:t>
            </w:r>
            <w:r>
              <w:rPr>
                <w:color w:val="231F20"/>
                <w:sz w:val="14"/>
              </w:rPr>
              <w:t>и четвороуглова;</w:t>
            </w:r>
          </w:p>
          <w:p w:rsidR="00041039" w:rsidRDefault="001B26CB">
            <w:pPr>
              <w:pStyle w:val="TableParagraph"/>
              <w:numPr>
                <w:ilvl w:val="0"/>
                <w:numId w:val="403"/>
              </w:numPr>
              <w:tabs>
                <w:tab w:val="left" w:pos="157"/>
              </w:tabs>
              <w:spacing w:line="156" w:lineRule="exact"/>
              <w:ind w:hanging="99"/>
              <w:rPr>
                <w:sz w:val="14"/>
              </w:rPr>
            </w:pPr>
            <w:r>
              <w:rPr>
                <w:color w:val="231F20"/>
                <w:sz w:val="14"/>
              </w:rPr>
              <w:t xml:space="preserve">препозна основне особине </w:t>
            </w:r>
            <w:r>
              <w:rPr>
                <w:color w:val="231F20"/>
                <w:spacing w:val="-3"/>
                <w:sz w:val="14"/>
              </w:rPr>
              <w:t>троугла;</w:t>
            </w:r>
          </w:p>
          <w:p w:rsidR="00041039" w:rsidRDefault="001B26CB">
            <w:pPr>
              <w:pStyle w:val="TableParagraph"/>
              <w:numPr>
                <w:ilvl w:val="0"/>
                <w:numId w:val="403"/>
              </w:numPr>
              <w:tabs>
                <w:tab w:val="left" w:pos="157"/>
              </w:tabs>
              <w:spacing w:line="237" w:lineRule="auto"/>
              <w:ind w:right="364" w:hanging="99"/>
              <w:rPr>
                <w:sz w:val="14"/>
              </w:rPr>
            </w:pPr>
            <w:r>
              <w:rPr>
                <w:color w:val="231F20"/>
                <w:sz w:val="14"/>
              </w:rPr>
              <w:t>изводи елементарне</w:t>
            </w:r>
            <w:r>
              <w:rPr>
                <w:color w:val="231F20"/>
                <w:spacing w:val="-15"/>
                <w:sz w:val="14"/>
              </w:rPr>
              <w:t xml:space="preserve"> </w:t>
            </w:r>
            <w:r>
              <w:rPr>
                <w:color w:val="231F20"/>
                <w:sz w:val="14"/>
              </w:rPr>
              <w:t>конструкције лењиром и</w:t>
            </w:r>
            <w:r>
              <w:rPr>
                <w:color w:val="231F20"/>
                <w:spacing w:val="-2"/>
                <w:sz w:val="14"/>
              </w:rPr>
              <w:t xml:space="preserve"> </w:t>
            </w:r>
            <w:r>
              <w:rPr>
                <w:color w:val="231F20"/>
                <w:sz w:val="14"/>
              </w:rPr>
              <w:t>шестаром;</w:t>
            </w:r>
          </w:p>
          <w:p w:rsidR="00041039" w:rsidRDefault="001B26CB">
            <w:pPr>
              <w:pStyle w:val="TableParagraph"/>
              <w:numPr>
                <w:ilvl w:val="0"/>
                <w:numId w:val="403"/>
              </w:numPr>
              <w:tabs>
                <w:tab w:val="left" w:pos="157"/>
              </w:tabs>
              <w:spacing w:line="155" w:lineRule="exact"/>
              <w:ind w:hanging="99"/>
              <w:rPr>
                <w:sz w:val="14"/>
              </w:rPr>
            </w:pPr>
            <w:r>
              <w:rPr>
                <w:color w:val="231F20"/>
                <w:sz w:val="14"/>
              </w:rPr>
              <w:t>одреди значајне тачке</w:t>
            </w:r>
            <w:r>
              <w:rPr>
                <w:color w:val="231F20"/>
                <w:spacing w:val="-3"/>
                <w:sz w:val="14"/>
              </w:rPr>
              <w:t xml:space="preserve"> троугла;</w:t>
            </w:r>
          </w:p>
          <w:p w:rsidR="00041039" w:rsidRDefault="001B26CB">
            <w:pPr>
              <w:pStyle w:val="TableParagraph"/>
              <w:numPr>
                <w:ilvl w:val="0"/>
                <w:numId w:val="403"/>
              </w:numPr>
              <w:tabs>
                <w:tab w:val="left" w:pos="157"/>
              </w:tabs>
              <w:spacing w:line="237" w:lineRule="auto"/>
              <w:ind w:right="244" w:hanging="99"/>
              <w:rPr>
                <w:sz w:val="14"/>
              </w:rPr>
            </w:pPr>
            <w:r>
              <w:rPr>
                <w:color w:val="231F20"/>
                <w:sz w:val="14"/>
              </w:rPr>
              <w:t xml:space="preserve">препозна основне особине четворо­ </w:t>
            </w:r>
            <w:r>
              <w:rPr>
                <w:color w:val="231F20"/>
                <w:spacing w:val="-3"/>
                <w:sz w:val="14"/>
              </w:rPr>
              <w:t>угла;</w:t>
            </w:r>
          </w:p>
          <w:p w:rsidR="00041039" w:rsidRDefault="001B26CB">
            <w:pPr>
              <w:pStyle w:val="TableParagraph"/>
              <w:numPr>
                <w:ilvl w:val="0"/>
                <w:numId w:val="403"/>
              </w:numPr>
              <w:tabs>
                <w:tab w:val="left" w:pos="157"/>
              </w:tabs>
              <w:spacing w:line="160" w:lineRule="exact"/>
              <w:ind w:right="92" w:hanging="99"/>
              <w:rPr>
                <w:sz w:val="14"/>
              </w:rPr>
            </w:pPr>
            <w:r>
              <w:rPr>
                <w:color w:val="231F20"/>
                <w:sz w:val="14"/>
              </w:rPr>
              <w:t>влада основним појмовима везаним за угао, троугао, четвороугао и</w:t>
            </w:r>
            <w:r>
              <w:rPr>
                <w:color w:val="231F20"/>
                <w:spacing w:val="-6"/>
                <w:sz w:val="14"/>
              </w:rPr>
              <w:t xml:space="preserve"> </w:t>
            </w:r>
            <w:r>
              <w:rPr>
                <w:color w:val="231F20"/>
                <w:sz w:val="14"/>
              </w:rPr>
              <w:t>круг;</w:t>
            </w:r>
          </w:p>
          <w:p w:rsidR="00041039" w:rsidRDefault="001B26CB">
            <w:pPr>
              <w:pStyle w:val="TableParagraph"/>
              <w:numPr>
                <w:ilvl w:val="0"/>
                <w:numId w:val="403"/>
              </w:numPr>
              <w:tabs>
                <w:tab w:val="left" w:pos="157"/>
              </w:tabs>
              <w:spacing w:line="160" w:lineRule="exact"/>
              <w:ind w:right="179" w:hanging="99"/>
              <w:rPr>
                <w:sz w:val="14"/>
              </w:rPr>
            </w:pPr>
            <w:r>
              <w:rPr>
                <w:color w:val="231F20"/>
                <w:sz w:val="14"/>
              </w:rPr>
              <w:t>наведе</w:t>
            </w:r>
            <w:r>
              <w:rPr>
                <w:color w:val="231F20"/>
                <w:spacing w:val="-7"/>
                <w:sz w:val="14"/>
              </w:rPr>
              <w:t xml:space="preserve"> </w:t>
            </w:r>
            <w:r>
              <w:rPr>
                <w:color w:val="231F20"/>
                <w:sz w:val="14"/>
              </w:rPr>
              <w:t>и</w:t>
            </w:r>
            <w:r>
              <w:rPr>
                <w:color w:val="231F20"/>
                <w:spacing w:val="-8"/>
                <w:sz w:val="14"/>
              </w:rPr>
              <w:t xml:space="preserve"> </w:t>
            </w:r>
            <w:r>
              <w:rPr>
                <w:color w:val="231F20"/>
                <w:sz w:val="14"/>
              </w:rPr>
              <w:t>користи</w:t>
            </w:r>
            <w:r>
              <w:rPr>
                <w:color w:val="231F20"/>
                <w:spacing w:val="-7"/>
                <w:sz w:val="14"/>
              </w:rPr>
              <w:t xml:space="preserve"> </w:t>
            </w:r>
            <w:r>
              <w:rPr>
                <w:color w:val="231F20"/>
                <w:sz w:val="14"/>
              </w:rPr>
              <w:t>ставове</w:t>
            </w:r>
            <w:r>
              <w:rPr>
                <w:color w:val="231F20"/>
                <w:spacing w:val="-7"/>
                <w:sz w:val="14"/>
              </w:rPr>
              <w:t xml:space="preserve"> </w:t>
            </w:r>
            <w:r>
              <w:rPr>
                <w:color w:val="231F20"/>
                <w:sz w:val="14"/>
              </w:rPr>
              <w:t>подударно­ сти</w:t>
            </w:r>
            <w:r>
              <w:rPr>
                <w:color w:val="231F20"/>
                <w:spacing w:val="-1"/>
                <w:sz w:val="14"/>
              </w:rPr>
              <w:t xml:space="preserve"> </w:t>
            </w:r>
            <w:r>
              <w:rPr>
                <w:color w:val="231F20"/>
                <w:sz w:val="14"/>
              </w:rPr>
              <w:t>троуглова;</w:t>
            </w:r>
          </w:p>
          <w:p w:rsidR="00041039" w:rsidRDefault="001B26CB">
            <w:pPr>
              <w:pStyle w:val="TableParagraph"/>
              <w:numPr>
                <w:ilvl w:val="0"/>
                <w:numId w:val="403"/>
              </w:numPr>
              <w:tabs>
                <w:tab w:val="left" w:pos="157"/>
              </w:tabs>
              <w:spacing w:line="160" w:lineRule="exact"/>
              <w:ind w:right="46" w:hanging="99"/>
              <w:rPr>
                <w:sz w:val="14"/>
              </w:rPr>
            </w:pPr>
            <w:r>
              <w:rPr>
                <w:color w:val="231F20"/>
                <w:sz w:val="14"/>
              </w:rPr>
              <w:t xml:space="preserve">израчуна непознате елементе </w:t>
            </w:r>
            <w:r>
              <w:rPr>
                <w:color w:val="231F20"/>
                <w:spacing w:val="-3"/>
                <w:sz w:val="14"/>
              </w:rPr>
              <w:t xml:space="preserve">троугла </w:t>
            </w:r>
            <w:r>
              <w:rPr>
                <w:color w:val="231F20"/>
                <w:sz w:val="14"/>
              </w:rPr>
              <w:t>и четвороугла;</w:t>
            </w:r>
          </w:p>
          <w:p w:rsidR="00041039" w:rsidRDefault="001B26CB">
            <w:pPr>
              <w:pStyle w:val="TableParagraph"/>
              <w:numPr>
                <w:ilvl w:val="0"/>
                <w:numId w:val="403"/>
              </w:numPr>
              <w:tabs>
                <w:tab w:val="left" w:pos="157"/>
              </w:tabs>
              <w:spacing w:line="160" w:lineRule="exact"/>
              <w:ind w:right="80" w:hanging="99"/>
              <w:rPr>
                <w:sz w:val="14"/>
              </w:rPr>
            </w:pPr>
            <w:r>
              <w:rPr>
                <w:color w:val="231F20"/>
                <w:sz w:val="14"/>
              </w:rPr>
              <w:t>решава лакше задатке са тангентним</w:t>
            </w:r>
            <w:r>
              <w:rPr>
                <w:color w:val="231F20"/>
                <w:spacing w:val="-17"/>
                <w:sz w:val="14"/>
              </w:rPr>
              <w:t xml:space="preserve"> </w:t>
            </w:r>
            <w:r>
              <w:rPr>
                <w:color w:val="231F20"/>
                <w:sz w:val="14"/>
              </w:rPr>
              <w:t>и тетивним</w:t>
            </w:r>
            <w:r>
              <w:rPr>
                <w:color w:val="231F20"/>
                <w:spacing w:val="-2"/>
                <w:sz w:val="14"/>
              </w:rPr>
              <w:t xml:space="preserve"> </w:t>
            </w:r>
            <w:r>
              <w:rPr>
                <w:color w:val="231F20"/>
                <w:sz w:val="14"/>
              </w:rPr>
              <w:t>четвороугловима;</w:t>
            </w:r>
          </w:p>
          <w:p w:rsidR="00041039" w:rsidRDefault="001B26CB">
            <w:pPr>
              <w:pStyle w:val="TableParagraph"/>
              <w:numPr>
                <w:ilvl w:val="0"/>
                <w:numId w:val="403"/>
              </w:numPr>
              <w:tabs>
                <w:tab w:val="left" w:pos="157"/>
              </w:tabs>
              <w:spacing w:line="160" w:lineRule="exact"/>
              <w:ind w:right="92" w:hanging="99"/>
              <w:jc w:val="both"/>
              <w:rPr>
                <w:sz w:val="14"/>
              </w:rPr>
            </w:pPr>
            <w:r>
              <w:rPr>
                <w:color w:val="231F20"/>
                <w:sz w:val="14"/>
              </w:rPr>
              <w:t>користи изометријске</w:t>
            </w:r>
            <w:r>
              <w:rPr>
                <w:color w:val="231F20"/>
                <w:spacing w:val="-16"/>
                <w:sz w:val="14"/>
              </w:rPr>
              <w:t xml:space="preserve"> </w:t>
            </w:r>
            <w:r>
              <w:rPr>
                <w:color w:val="231F20"/>
                <w:sz w:val="14"/>
              </w:rPr>
              <w:t>трансформације у решавању лакших планиметријских проблема;</w:t>
            </w:r>
          </w:p>
        </w:tc>
        <w:tc>
          <w:tcPr>
            <w:tcW w:w="2834" w:type="dxa"/>
          </w:tcPr>
          <w:p w:rsidR="00041039" w:rsidRDefault="001B26CB">
            <w:pPr>
              <w:pStyle w:val="TableParagraph"/>
              <w:numPr>
                <w:ilvl w:val="0"/>
                <w:numId w:val="402"/>
              </w:numPr>
              <w:tabs>
                <w:tab w:val="left" w:pos="157"/>
              </w:tabs>
              <w:spacing w:before="9" w:line="166" w:lineRule="exact"/>
              <w:ind w:hanging="99"/>
              <w:rPr>
                <w:sz w:val="14"/>
              </w:rPr>
            </w:pPr>
            <w:r>
              <w:rPr>
                <w:color w:val="231F20"/>
                <w:sz w:val="14"/>
              </w:rPr>
              <w:t>Основне особине</w:t>
            </w:r>
            <w:r>
              <w:rPr>
                <w:color w:val="231F20"/>
                <w:spacing w:val="-1"/>
                <w:sz w:val="14"/>
              </w:rPr>
              <w:t xml:space="preserve"> </w:t>
            </w:r>
            <w:r>
              <w:rPr>
                <w:color w:val="231F20"/>
                <w:spacing w:val="-3"/>
                <w:sz w:val="14"/>
              </w:rPr>
              <w:t>троугла.</w:t>
            </w:r>
          </w:p>
          <w:p w:rsidR="00041039" w:rsidRDefault="001B26CB">
            <w:pPr>
              <w:pStyle w:val="TableParagraph"/>
              <w:numPr>
                <w:ilvl w:val="0"/>
                <w:numId w:val="402"/>
              </w:numPr>
              <w:tabs>
                <w:tab w:val="left" w:pos="157"/>
              </w:tabs>
              <w:spacing w:line="160" w:lineRule="exact"/>
              <w:ind w:hanging="99"/>
              <w:rPr>
                <w:sz w:val="14"/>
              </w:rPr>
            </w:pPr>
            <w:r>
              <w:rPr>
                <w:color w:val="231F20"/>
                <w:sz w:val="14"/>
              </w:rPr>
              <w:t>Основне особине</w:t>
            </w:r>
            <w:r>
              <w:rPr>
                <w:color w:val="231F20"/>
                <w:spacing w:val="-3"/>
                <w:sz w:val="14"/>
              </w:rPr>
              <w:t xml:space="preserve"> </w:t>
            </w:r>
            <w:r>
              <w:rPr>
                <w:color w:val="231F20"/>
                <w:sz w:val="14"/>
              </w:rPr>
              <w:t>четвороугла.</w:t>
            </w:r>
          </w:p>
          <w:p w:rsidR="00041039" w:rsidRDefault="001B26CB">
            <w:pPr>
              <w:pStyle w:val="TableParagraph"/>
              <w:numPr>
                <w:ilvl w:val="0"/>
                <w:numId w:val="402"/>
              </w:numPr>
              <w:tabs>
                <w:tab w:val="left" w:pos="157"/>
              </w:tabs>
              <w:spacing w:line="160" w:lineRule="exact"/>
              <w:ind w:hanging="99"/>
              <w:rPr>
                <w:sz w:val="14"/>
              </w:rPr>
            </w:pPr>
            <w:r>
              <w:rPr>
                <w:color w:val="231F20"/>
                <w:sz w:val="14"/>
              </w:rPr>
              <w:t>Основне особине</w:t>
            </w:r>
            <w:r>
              <w:rPr>
                <w:color w:val="231F20"/>
                <w:spacing w:val="-2"/>
                <w:sz w:val="14"/>
              </w:rPr>
              <w:t xml:space="preserve"> </w:t>
            </w:r>
            <w:r>
              <w:rPr>
                <w:color w:val="231F20"/>
                <w:sz w:val="14"/>
              </w:rPr>
              <w:t>круга.</w:t>
            </w:r>
          </w:p>
          <w:p w:rsidR="00041039" w:rsidRDefault="001B26CB">
            <w:pPr>
              <w:pStyle w:val="TableParagraph"/>
              <w:numPr>
                <w:ilvl w:val="0"/>
                <w:numId w:val="402"/>
              </w:numPr>
              <w:tabs>
                <w:tab w:val="left" w:pos="157"/>
              </w:tabs>
              <w:spacing w:line="237" w:lineRule="auto"/>
              <w:ind w:right="166" w:hanging="99"/>
              <w:rPr>
                <w:sz w:val="14"/>
              </w:rPr>
            </w:pPr>
            <w:r>
              <w:rPr>
                <w:color w:val="231F20"/>
                <w:sz w:val="14"/>
              </w:rPr>
              <w:t>Ставови</w:t>
            </w:r>
            <w:r>
              <w:rPr>
                <w:color w:val="231F20"/>
                <w:spacing w:val="-8"/>
                <w:sz w:val="14"/>
              </w:rPr>
              <w:t xml:space="preserve"> </w:t>
            </w:r>
            <w:r>
              <w:rPr>
                <w:color w:val="231F20"/>
                <w:sz w:val="14"/>
              </w:rPr>
              <w:t>подударности</w:t>
            </w:r>
            <w:r>
              <w:rPr>
                <w:color w:val="231F20"/>
                <w:spacing w:val="-8"/>
                <w:sz w:val="14"/>
              </w:rPr>
              <w:t xml:space="preserve"> </w:t>
            </w:r>
            <w:r>
              <w:rPr>
                <w:color w:val="231F20"/>
                <w:sz w:val="14"/>
              </w:rPr>
              <w:t>троуглова</w:t>
            </w:r>
            <w:r>
              <w:rPr>
                <w:color w:val="231F20"/>
                <w:spacing w:val="-8"/>
                <w:sz w:val="14"/>
              </w:rPr>
              <w:t xml:space="preserve"> </w:t>
            </w:r>
            <w:r>
              <w:rPr>
                <w:color w:val="231F20"/>
                <w:sz w:val="14"/>
              </w:rPr>
              <w:t>и</w:t>
            </w:r>
            <w:r>
              <w:rPr>
                <w:color w:val="231F20"/>
                <w:spacing w:val="-9"/>
                <w:sz w:val="14"/>
              </w:rPr>
              <w:t xml:space="preserve"> </w:t>
            </w:r>
            <w:r>
              <w:rPr>
                <w:color w:val="231F20"/>
                <w:sz w:val="14"/>
              </w:rPr>
              <w:t>лакши докази.</w:t>
            </w:r>
          </w:p>
          <w:p w:rsidR="00041039" w:rsidRDefault="001B26CB">
            <w:pPr>
              <w:pStyle w:val="TableParagraph"/>
              <w:numPr>
                <w:ilvl w:val="0"/>
                <w:numId w:val="402"/>
              </w:numPr>
              <w:tabs>
                <w:tab w:val="left" w:pos="157"/>
              </w:tabs>
              <w:spacing w:line="160" w:lineRule="exact"/>
              <w:ind w:right="387" w:hanging="99"/>
              <w:rPr>
                <w:sz w:val="14"/>
              </w:rPr>
            </w:pPr>
            <w:r>
              <w:rPr>
                <w:color w:val="231F20"/>
                <w:sz w:val="14"/>
              </w:rPr>
              <w:t>Елементарне конструкције лењиром</w:t>
            </w:r>
            <w:r>
              <w:rPr>
                <w:color w:val="231F20"/>
                <w:spacing w:val="-15"/>
                <w:sz w:val="14"/>
              </w:rPr>
              <w:t xml:space="preserve"> </w:t>
            </w:r>
            <w:r>
              <w:rPr>
                <w:color w:val="231F20"/>
                <w:sz w:val="14"/>
              </w:rPr>
              <w:t>и шестаром.</w:t>
            </w:r>
          </w:p>
          <w:p w:rsidR="00041039" w:rsidRDefault="001B26CB">
            <w:pPr>
              <w:pStyle w:val="TableParagraph"/>
              <w:numPr>
                <w:ilvl w:val="0"/>
                <w:numId w:val="402"/>
              </w:numPr>
              <w:tabs>
                <w:tab w:val="left" w:pos="157"/>
              </w:tabs>
              <w:spacing w:line="153" w:lineRule="exact"/>
              <w:ind w:hanging="99"/>
              <w:rPr>
                <w:sz w:val="14"/>
              </w:rPr>
            </w:pPr>
            <w:r>
              <w:rPr>
                <w:color w:val="231F20"/>
                <w:sz w:val="14"/>
              </w:rPr>
              <w:t>Лакши примери конструкције</w:t>
            </w:r>
            <w:r>
              <w:rPr>
                <w:color w:val="231F20"/>
                <w:spacing w:val="-5"/>
                <w:sz w:val="14"/>
              </w:rPr>
              <w:t xml:space="preserve"> </w:t>
            </w:r>
            <w:r>
              <w:rPr>
                <w:color w:val="231F20"/>
                <w:spacing w:val="-3"/>
                <w:sz w:val="14"/>
              </w:rPr>
              <w:t>троугла.</w:t>
            </w:r>
          </w:p>
          <w:p w:rsidR="00041039" w:rsidRDefault="001B26CB">
            <w:pPr>
              <w:pStyle w:val="TableParagraph"/>
              <w:numPr>
                <w:ilvl w:val="0"/>
                <w:numId w:val="402"/>
              </w:numPr>
              <w:tabs>
                <w:tab w:val="left" w:pos="157"/>
              </w:tabs>
              <w:spacing w:line="160" w:lineRule="exact"/>
              <w:ind w:hanging="99"/>
              <w:rPr>
                <w:sz w:val="14"/>
              </w:rPr>
            </w:pPr>
            <w:r>
              <w:rPr>
                <w:color w:val="231F20"/>
                <w:sz w:val="14"/>
              </w:rPr>
              <w:t>Изометријске</w:t>
            </w:r>
            <w:r>
              <w:rPr>
                <w:color w:val="231F20"/>
                <w:spacing w:val="-1"/>
                <w:sz w:val="14"/>
              </w:rPr>
              <w:t xml:space="preserve"> </w:t>
            </w:r>
            <w:r>
              <w:rPr>
                <w:color w:val="231F20"/>
                <w:sz w:val="14"/>
              </w:rPr>
              <w:t>трансформације.</w:t>
            </w:r>
          </w:p>
          <w:p w:rsidR="00041039" w:rsidRDefault="001B26CB">
            <w:pPr>
              <w:pStyle w:val="TableParagraph"/>
              <w:numPr>
                <w:ilvl w:val="0"/>
                <w:numId w:val="402"/>
              </w:numPr>
              <w:tabs>
                <w:tab w:val="left" w:pos="157"/>
              </w:tabs>
              <w:spacing w:line="166" w:lineRule="exact"/>
              <w:ind w:hanging="99"/>
              <w:rPr>
                <w:sz w:val="14"/>
              </w:rPr>
            </w:pPr>
            <w:r>
              <w:rPr>
                <w:color w:val="231F20"/>
                <w:sz w:val="14"/>
              </w:rPr>
              <w:t>Вектори и операције са</w:t>
            </w:r>
            <w:r>
              <w:rPr>
                <w:color w:val="231F20"/>
                <w:spacing w:val="-2"/>
                <w:sz w:val="14"/>
              </w:rPr>
              <w:t xml:space="preserve"> </w:t>
            </w:r>
            <w:r>
              <w:rPr>
                <w:color w:val="231F20"/>
                <w:sz w:val="14"/>
              </w:rPr>
              <w:t>њима.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7" w:line="314" w:lineRule="auto"/>
        <w:ind w:left="157" w:right="8288"/>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175 часова </w:t>
      </w:r>
      <w:r>
        <w:rPr>
          <w:color w:val="231F20"/>
          <w:sz w:val="14"/>
        </w:rPr>
        <w:t>Разред:</w:t>
      </w:r>
      <w:r>
        <w:rPr>
          <w:color w:val="231F20"/>
          <w:sz w:val="14"/>
        </w:rPr>
        <w:tab/>
      </w:r>
      <w:r>
        <w:rPr>
          <w:b/>
          <w:color w:val="231F20"/>
          <w:sz w:val="14"/>
        </w:rPr>
        <w:t>други</w:t>
      </w:r>
    </w:p>
    <w:p w:rsidR="00041039" w:rsidRDefault="00041039">
      <w:pPr>
        <w:pStyle w:val="BodyText"/>
        <w:spacing w:before="1"/>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5160"/>
        </w:trPr>
        <w:tc>
          <w:tcPr>
            <w:tcW w:w="1304" w:type="dxa"/>
          </w:tcPr>
          <w:p w:rsidR="00041039" w:rsidRDefault="001B26CB">
            <w:pPr>
              <w:pStyle w:val="TableParagraph"/>
              <w:spacing w:before="18"/>
              <w:ind w:left="56" w:right="37"/>
              <w:rPr>
                <w:sz w:val="14"/>
              </w:rPr>
            </w:pPr>
            <w:r>
              <w:rPr>
                <w:color w:val="231F20"/>
                <w:sz w:val="14"/>
              </w:rPr>
              <w:t>Степеновање и кореновање</w:t>
            </w:r>
          </w:p>
        </w:tc>
        <w:tc>
          <w:tcPr>
            <w:tcW w:w="1587" w:type="dxa"/>
          </w:tcPr>
          <w:p w:rsidR="00041039" w:rsidRDefault="001B26CB">
            <w:pPr>
              <w:pStyle w:val="TableParagraph"/>
              <w:numPr>
                <w:ilvl w:val="0"/>
                <w:numId w:val="401"/>
              </w:numPr>
              <w:tabs>
                <w:tab w:val="left" w:pos="157"/>
              </w:tabs>
              <w:spacing w:before="8"/>
              <w:ind w:right="122"/>
              <w:jc w:val="both"/>
              <w:rPr>
                <w:sz w:val="14"/>
              </w:rPr>
            </w:pPr>
            <w:r>
              <w:rPr>
                <w:color w:val="231F20"/>
                <w:sz w:val="14"/>
              </w:rPr>
              <w:t>Стицање знања о сте­ пенима и коренима и операцијама са</w:t>
            </w:r>
            <w:r>
              <w:rPr>
                <w:color w:val="231F20"/>
                <w:spacing w:val="-3"/>
                <w:sz w:val="14"/>
              </w:rPr>
              <w:t xml:space="preserve"> </w:t>
            </w:r>
            <w:r>
              <w:rPr>
                <w:color w:val="231F20"/>
                <w:sz w:val="14"/>
              </w:rPr>
              <w:t>њима.</w:t>
            </w:r>
          </w:p>
        </w:tc>
        <w:tc>
          <w:tcPr>
            <w:tcW w:w="2551" w:type="dxa"/>
          </w:tcPr>
          <w:p w:rsidR="00041039" w:rsidRDefault="001B26CB">
            <w:pPr>
              <w:pStyle w:val="TableParagraph"/>
              <w:numPr>
                <w:ilvl w:val="0"/>
                <w:numId w:val="400"/>
              </w:numPr>
              <w:tabs>
                <w:tab w:val="left" w:pos="157"/>
              </w:tabs>
              <w:spacing w:before="8"/>
              <w:ind w:right="433" w:hanging="99"/>
              <w:rPr>
                <w:sz w:val="14"/>
              </w:rPr>
            </w:pPr>
            <w:r>
              <w:rPr>
                <w:color w:val="231F20"/>
                <w:sz w:val="14"/>
              </w:rPr>
              <w:t>дефинише степен и операције са степенима;</w:t>
            </w:r>
          </w:p>
          <w:p w:rsidR="00041039" w:rsidRDefault="001B26CB">
            <w:pPr>
              <w:pStyle w:val="TableParagraph"/>
              <w:numPr>
                <w:ilvl w:val="0"/>
                <w:numId w:val="400"/>
              </w:numPr>
              <w:tabs>
                <w:tab w:val="left" w:pos="157"/>
              </w:tabs>
              <w:spacing w:line="160" w:lineRule="exact"/>
              <w:ind w:right="44" w:hanging="99"/>
              <w:rPr>
                <w:sz w:val="14"/>
              </w:rPr>
            </w:pPr>
            <w:r>
              <w:rPr>
                <w:color w:val="231F20"/>
                <w:sz w:val="14"/>
              </w:rPr>
              <w:t>наведе особине операција степеновања са целим изложиоцем и примени их у трансформацијама</w:t>
            </w:r>
            <w:r>
              <w:rPr>
                <w:color w:val="231F20"/>
                <w:spacing w:val="-1"/>
                <w:sz w:val="14"/>
              </w:rPr>
              <w:t xml:space="preserve"> </w:t>
            </w:r>
            <w:r>
              <w:rPr>
                <w:color w:val="231F20"/>
                <w:sz w:val="14"/>
              </w:rPr>
              <w:t>израза;</w:t>
            </w:r>
          </w:p>
          <w:p w:rsidR="00041039" w:rsidRDefault="001B26CB">
            <w:pPr>
              <w:pStyle w:val="TableParagraph"/>
              <w:numPr>
                <w:ilvl w:val="0"/>
                <w:numId w:val="400"/>
              </w:numPr>
              <w:tabs>
                <w:tab w:val="left" w:pos="157"/>
              </w:tabs>
              <w:spacing w:line="160" w:lineRule="exact"/>
              <w:ind w:right="281" w:hanging="99"/>
              <w:rPr>
                <w:sz w:val="14"/>
              </w:rPr>
            </w:pPr>
            <w:r>
              <w:rPr>
                <w:color w:val="231F20"/>
                <w:sz w:val="14"/>
              </w:rPr>
              <w:t>упрости и среди израз са целим из­ ложиоцем;</w:t>
            </w:r>
          </w:p>
          <w:p w:rsidR="00041039" w:rsidRDefault="001B26CB">
            <w:pPr>
              <w:pStyle w:val="TableParagraph"/>
              <w:numPr>
                <w:ilvl w:val="0"/>
                <w:numId w:val="400"/>
              </w:numPr>
              <w:tabs>
                <w:tab w:val="left" w:pos="157"/>
              </w:tabs>
              <w:spacing w:line="160" w:lineRule="exact"/>
              <w:ind w:right="65" w:hanging="99"/>
              <w:rPr>
                <w:sz w:val="14"/>
              </w:rPr>
            </w:pPr>
            <w:r>
              <w:rPr>
                <w:color w:val="231F20"/>
                <w:sz w:val="14"/>
              </w:rPr>
              <w:t>упрости и среди израз са рационалним изложиоцем;</w:t>
            </w:r>
          </w:p>
          <w:p w:rsidR="00041039" w:rsidRDefault="001B26CB">
            <w:pPr>
              <w:pStyle w:val="TableParagraph"/>
              <w:numPr>
                <w:ilvl w:val="0"/>
                <w:numId w:val="400"/>
              </w:numPr>
              <w:tabs>
                <w:tab w:val="left" w:pos="157"/>
              </w:tabs>
              <w:spacing w:line="159" w:lineRule="exact"/>
              <w:ind w:hanging="99"/>
              <w:rPr>
                <w:sz w:val="14"/>
              </w:rPr>
            </w:pPr>
            <w:r>
              <w:rPr>
                <w:color w:val="231F20"/>
                <w:sz w:val="14"/>
              </w:rPr>
              <w:t>рационалише</w:t>
            </w:r>
            <w:r>
              <w:rPr>
                <w:color w:val="231F20"/>
                <w:spacing w:val="-10"/>
                <w:sz w:val="14"/>
              </w:rPr>
              <w:t xml:space="preserve"> </w:t>
            </w:r>
            <w:r>
              <w:rPr>
                <w:color w:val="231F20"/>
                <w:sz w:val="14"/>
              </w:rPr>
              <w:t>разломке;</w:t>
            </w:r>
          </w:p>
        </w:tc>
        <w:tc>
          <w:tcPr>
            <w:tcW w:w="2834" w:type="dxa"/>
          </w:tcPr>
          <w:p w:rsidR="00041039" w:rsidRDefault="001B26CB">
            <w:pPr>
              <w:pStyle w:val="TableParagraph"/>
              <w:numPr>
                <w:ilvl w:val="0"/>
                <w:numId w:val="399"/>
              </w:numPr>
              <w:tabs>
                <w:tab w:val="left" w:pos="157"/>
              </w:tabs>
              <w:spacing w:before="8" w:line="166" w:lineRule="exact"/>
              <w:ind w:hanging="99"/>
              <w:rPr>
                <w:sz w:val="14"/>
              </w:rPr>
            </w:pPr>
            <w:r>
              <w:rPr>
                <w:color w:val="231F20"/>
                <w:sz w:val="14"/>
              </w:rPr>
              <w:t>Појам</w:t>
            </w:r>
            <w:r>
              <w:rPr>
                <w:color w:val="231F20"/>
                <w:spacing w:val="-2"/>
                <w:sz w:val="14"/>
              </w:rPr>
              <w:t xml:space="preserve"> </w:t>
            </w:r>
            <w:r>
              <w:rPr>
                <w:color w:val="231F20"/>
                <w:sz w:val="14"/>
              </w:rPr>
              <w:t>степена.</w:t>
            </w:r>
          </w:p>
          <w:p w:rsidR="00041039" w:rsidRDefault="001B26CB">
            <w:pPr>
              <w:pStyle w:val="TableParagraph"/>
              <w:numPr>
                <w:ilvl w:val="0"/>
                <w:numId w:val="399"/>
              </w:numPr>
              <w:tabs>
                <w:tab w:val="left" w:pos="157"/>
              </w:tabs>
              <w:spacing w:line="160" w:lineRule="exact"/>
              <w:ind w:hanging="99"/>
              <w:rPr>
                <w:sz w:val="14"/>
              </w:rPr>
            </w:pPr>
            <w:r>
              <w:rPr>
                <w:color w:val="231F20"/>
                <w:sz w:val="14"/>
              </w:rPr>
              <w:t>Операције са</w:t>
            </w:r>
            <w:r>
              <w:rPr>
                <w:color w:val="231F20"/>
                <w:spacing w:val="-2"/>
                <w:sz w:val="14"/>
              </w:rPr>
              <w:t xml:space="preserve"> </w:t>
            </w:r>
            <w:r>
              <w:rPr>
                <w:color w:val="231F20"/>
                <w:sz w:val="14"/>
              </w:rPr>
              <w:t>степенима.</w:t>
            </w:r>
          </w:p>
          <w:p w:rsidR="00041039" w:rsidRDefault="001B26CB">
            <w:pPr>
              <w:pStyle w:val="TableParagraph"/>
              <w:numPr>
                <w:ilvl w:val="0"/>
                <w:numId w:val="399"/>
              </w:numPr>
              <w:tabs>
                <w:tab w:val="left" w:pos="157"/>
              </w:tabs>
              <w:spacing w:line="160" w:lineRule="exact"/>
              <w:ind w:hanging="99"/>
              <w:rPr>
                <w:sz w:val="14"/>
              </w:rPr>
            </w:pPr>
            <w:r>
              <w:rPr>
                <w:color w:val="231F20"/>
                <w:sz w:val="14"/>
              </w:rPr>
              <w:t>Степен са целим</w:t>
            </w:r>
            <w:r>
              <w:rPr>
                <w:color w:val="231F20"/>
                <w:spacing w:val="-3"/>
                <w:sz w:val="14"/>
              </w:rPr>
              <w:t xml:space="preserve"> </w:t>
            </w:r>
            <w:r>
              <w:rPr>
                <w:color w:val="231F20"/>
                <w:sz w:val="14"/>
              </w:rPr>
              <w:t>изложиоцем.</w:t>
            </w:r>
          </w:p>
          <w:p w:rsidR="00041039" w:rsidRDefault="001B26CB">
            <w:pPr>
              <w:pStyle w:val="TableParagraph"/>
              <w:numPr>
                <w:ilvl w:val="0"/>
                <w:numId w:val="399"/>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корена.</w:t>
            </w:r>
          </w:p>
          <w:p w:rsidR="00041039" w:rsidRDefault="001B26CB">
            <w:pPr>
              <w:pStyle w:val="TableParagraph"/>
              <w:numPr>
                <w:ilvl w:val="0"/>
                <w:numId w:val="399"/>
              </w:numPr>
              <w:tabs>
                <w:tab w:val="left" w:pos="157"/>
              </w:tabs>
              <w:spacing w:line="160" w:lineRule="exact"/>
              <w:ind w:hanging="99"/>
              <w:rPr>
                <w:sz w:val="14"/>
              </w:rPr>
            </w:pPr>
            <w:r>
              <w:rPr>
                <w:color w:val="231F20"/>
                <w:sz w:val="14"/>
              </w:rPr>
              <w:t>Операције са</w:t>
            </w:r>
            <w:r>
              <w:rPr>
                <w:color w:val="231F20"/>
                <w:spacing w:val="-2"/>
                <w:sz w:val="14"/>
              </w:rPr>
              <w:t xml:space="preserve"> </w:t>
            </w:r>
            <w:r>
              <w:rPr>
                <w:color w:val="231F20"/>
                <w:sz w:val="14"/>
              </w:rPr>
              <w:t>коренима.</w:t>
            </w:r>
          </w:p>
          <w:p w:rsidR="00041039" w:rsidRDefault="001B26CB">
            <w:pPr>
              <w:pStyle w:val="TableParagraph"/>
              <w:numPr>
                <w:ilvl w:val="0"/>
                <w:numId w:val="399"/>
              </w:numPr>
              <w:tabs>
                <w:tab w:val="left" w:pos="157"/>
              </w:tabs>
              <w:spacing w:line="160" w:lineRule="exact"/>
              <w:ind w:hanging="99"/>
              <w:rPr>
                <w:sz w:val="14"/>
              </w:rPr>
            </w:pPr>
            <w:r>
              <w:rPr>
                <w:color w:val="231F20"/>
                <w:sz w:val="14"/>
              </w:rPr>
              <w:t>Степен са рационалним</w:t>
            </w:r>
            <w:r>
              <w:rPr>
                <w:color w:val="231F20"/>
                <w:spacing w:val="-4"/>
                <w:sz w:val="14"/>
              </w:rPr>
              <w:t xml:space="preserve"> </w:t>
            </w:r>
            <w:r>
              <w:rPr>
                <w:color w:val="231F20"/>
                <w:sz w:val="14"/>
              </w:rPr>
              <w:t>изложиоцем.</w:t>
            </w:r>
          </w:p>
          <w:p w:rsidR="00041039" w:rsidRDefault="001B26CB">
            <w:pPr>
              <w:pStyle w:val="TableParagraph"/>
              <w:numPr>
                <w:ilvl w:val="0"/>
                <w:numId w:val="399"/>
              </w:numPr>
              <w:tabs>
                <w:tab w:val="left" w:pos="157"/>
              </w:tabs>
              <w:spacing w:line="160" w:lineRule="exact"/>
              <w:ind w:hanging="99"/>
              <w:rPr>
                <w:sz w:val="14"/>
              </w:rPr>
            </w:pPr>
            <w:r>
              <w:rPr>
                <w:color w:val="231F20"/>
                <w:sz w:val="14"/>
              </w:rPr>
              <w:t>Рационалисање имениоца</w:t>
            </w:r>
            <w:r>
              <w:rPr>
                <w:color w:val="231F20"/>
                <w:spacing w:val="-4"/>
                <w:sz w:val="14"/>
              </w:rPr>
              <w:t xml:space="preserve"> </w:t>
            </w:r>
            <w:r>
              <w:rPr>
                <w:color w:val="231F20"/>
                <w:sz w:val="14"/>
              </w:rPr>
              <w:t>разломка.</w:t>
            </w:r>
          </w:p>
          <w:p w:rsidR="00041039" w:rsidRDefault="001B26CB">
            <w:pPr>
              <w:pStyle w:val="TableParagraph"/>
              <w:numPr>
                <w:ilvl w:val="0"/>
                <w:numId w:val="399"/>
              </w:numPr>
              <w:tabs>
                <w:tab w:val="left" w:pos="157"/>
              </w:tabs>
              <w:spacing w:line="237" w:lineRule="auto"/>
              <w:ind w:right="553" w:hanging="99"/>
              <w:rPr>
                <w:sz w:val="14"/>
              </w:rPr>
            </w:pPr>
            <w:r>
              <w:rPr>
                <w:color w:val="231F20"/>
                <w:sz w:val="14"/>
              </w:rPr>
              <w:t>График и особине степене и</w:t>
            </w:r>
            <w:r>
              <w:rPr>
                <w:color w:val="231F20"/>
                <w:spacing w:val="-16"/>
                <w:sz w:val="14"/>
              </w:rPr>
              <w:t xml:space="preserve"> </w:t>
            </w:r>
            <w:r>
              <w:rPr>
                <w:color w:val="231F20"/>
                <w:sz w:val="14"/>
              </w:rPr>
              <w:t>корене функције.</w:t>
            </w:r>
          </w:p>
          <w:p w:rsidR="00041039" w:rsidRDefault="001B26CB">
            <w:pPr>
              <w:pStyle w:val="TableParagraph"/>
              <w:numPr>
                <w:ilvl w:val="0"/>
                <w:numId w:val="399"/>
              </w:numPr>
              <w:tabs>
                <w:tab w:val="left" w:pos="157"/>
              </w:tabs>
              <w:spacing w:line="155" w:lineRule="exact"/>
              <w:ind w:hanging="99"/>
              <w:rPr>
                <w:sz w:val="14"/>
              </w:rPr>
            </w:pPr>
            <w:r>
              <w:rPr>
                <w:color w:val="231F20"/>
                <w:sz w:val="14"/>
              </w:rPr>
              <w:t>Изрази са рационалним</w:t>
            </w:r>
            <w:r>
              <w:rPr>
                <w:color w:val="231F20"/>
                <w:spacing w:val="-5"/>
                <w:sz w:val="14"/>
              </w:rPr>
              <w:t xml:space="preserve"> </w:t>
            </w:r>
            <w:r>
              <w:rPr>
                <w:color w:val="231F20"/>
                <w:sz w:val="14"/>
              </w:rPr>
              <w:t>изложиоцем.</w:t>
            </w:r>
          </w:p>
          <w:p w:rsidR="00041039" w:rsidRDefault="001B26CB">
            <w:pPr>
              <w:pStyle w:val="TableParagraph"/>
              <w:numPr>
                <w:ilvl w:val="0"/>
                <w:numId w:val="399"/>
              </w:numPr>
              <w:tabs>
                <w:tab w:val="left" w:pos="157"/>
              </w:tabs>
              <w:spacing w:line="166" w:lineRule="exact"/>
              <w:ind w:hanging="99"/>
              <w:rPr>
                <w:sz w:val="14"/>
              </w:rPr>
            </w:pPr>
            <w:r>
              <w:rPr>
                <w:color w:val="231F20"/>
                <w:sz w:val="14"/>
              </w:rPr>
              <w:t>Комплексни бројеви и основне</w:t>
            </w:r>
            <w:r>
              <w:rPr>
                <w:color w:val="231F20"/>
                <w:spacing w:val="-6"/>
                <w:sz w:val="14"/>
              </w:rPr>
              <w:t xml:space="preserve"> </w:t>
            </w:r>
            <w:r>
              <w:rPr>
                <w:color w:val="231F20"/>
                <w:sz w:val="14"/>
              </w:rPr>
              <w:t>операције.</w:t>
            </w:r>
          </w:p>
        </w:tc>
        <w:tc>
          <w:tcPr>
            <w:tcW w:w="2267" w:type="dxa"/>
          </w:tcPr>
          <w:p w:rsidR="00041039" w:rsidRDefault="001B26CB">
            <w:pPr>
              <w:pStyle w:val="TableParagraph"/>
              <w:numPr>
                <w:ilvl w:val="0"/>
                <w:numId w:val="398"/>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398"/>
              </w:numPr>
              <w:tabs>
                <w:tab w:val="left" w:pos="158"/>
              </w:tabs>
              <w:spacing w:line="160" w:lineRule="exact"/>
              <w:ind w:hanging="99"/>
              <w:rPr>
                <w:b/>
                <w:sz w:val="14"/>
              </w:rPr>
            </w:pPr>
            <w:r>
              <w:rPr>
                <w:color w:val="231F20"/>
                <w:sz w:val="14"/>
              </w:rPr>
              <w:t xml:space="preserve">теоријска настава </w:t>
            </w:r>
            <w:r>
              <w:rPr>
                <w:b/>
                <w:color w:val="231F20"/>
                <w:sz w:val="14"/>
              </w:rPr>
              <w:t>(175</w:t>
            </w:r>
            <w:r>
              <w:rPr>
                <w:b/>
                <w:color w:val="231F20"/>
                <w:spacing w:val="-5"/>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398"/>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ight="109"/>
              <w:rPr>
                <w:b/>
                <w:sz w:val="14"/>
              </w:rPr>
            </w:pPr>
            <w:r>
              <w:rPr>
                <w:b/>
                <w:color w:val="231F20"/>
                <w:sz w:val="14"/>
              </w:rPr>
              <w:t>Препоруке за реализацију наставе</w:t>
            </w:r>
          </w:p>
          <w:p w:rsidR="00041039" w:rsidRDefault="001B26CB">
            <w:pPr>
              <w:pStyle w:val="TableParagraph"/>
              <w:numPr>
                <w:ilvl w:val="0"/>
                <w:numId w:val="398"/>
              </w:numPr>
              <w:tabs>
                <w:tab w:val="left" w:pos="158"/>
              </w:tabs>
              <w:spacing w:before="1"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398"/>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398"/>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398"/>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398"/>
              </w:numPr>
              <w:tabs>
                <w:tab w:val="left" w:pos="158"/>
              </w:tabs>
              <w:spacing w:line="160" w:lineRule="exact"/>
              <w:ind w:right="94" w:hanging="99"/>
              <w:rPr>
                <w:sz w:val="14"/>
              </w:rPr>
            </w:pPr>
            <w:r>
              <w:rPr>
                <w:color w:val="231F20"/>
                <w:sz w:val="14"/>
              </w:rPr>
              <w:t>упућивати ученике на претражи­ вање различитих извора и</w:t>
            </w:r>
            <w:r>
              <w:rPr>
                <w:color w:val="231F20"/>
                <w:spacing w:val="-12"/>
                <w:sz w:val="14"/>
              </w:rPr>
              <w:t xml:space="preserve"> </w:t>
            </w:r>
            <w:r>
              <w:rPr>
                <w:color w:val="231F20"/>
                <w:sz w:val="14"/>
              </w:rPr>
              <w:t>приме­ ну савремених</w:t>
            </w:r>
            <w:r>
              <w:rPr>
                <w:color w:val="231F20"/>
                <w:spacing w:val="-3"/>
                <w:sz w:val="14"/>
              </w:rPr>
              <w:t xml:space="preserve"> </w:t>
            </w:r>
            <w:r>
              <w:rPr>
                <w:color w:val="231F20"/>
                <w:sz w:val="14"/>
              </w:rPr>
              <w:t>технолог</w:t>
            </w:r>
            <w:r>
              <w:rPr>
                <w:color w:val="231F20"/>
                <w:sz w:val="14"/>
              </w:rPr>
              <w:t>ија;</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120"/>
        </w:trPr>
        <w:tc>
          <w:tcPr>
            <w:tcW w:w="1304" w:type="dxa"/>
          </w:tcPr>
          <w:p w:rsidR="00041039" w:rsidRDefault="001B26CB">
            <w:pPr>
              <w:pStyle w:val="TableParagraph"/>
              <w:spacing w:before="18"/>
              <w:ind w:left="56" w:right="215"/>
              <w:jc w:val="both"/>
              <w:rPr>
                <w:sz w:val="14"/>
              </w:rPr>
            </w:pPr>
            <w:r>
              <w:rPr>
                <w:color w:val="231F20"/>
                <w:sz w:val="14"/>
              </w:rPr>
              <w:lastRenderedPageBreak/>
              <w:t>Квадратна једна­ чина и</w:t>
            </w:r>
            <w:r>
              <w:rPr>
                <w:color w:val="231F20"/>
                <w:spacing w:val="-10"/>
                <w:sz w:val="14"/>
              </w:rPr>
              <w:t xml:space="preserve"> </w:t>
            </w:r>
            <w:r>
              <w:rPr>
                <w:color w:val="231F20"/>
                <w:sz w:val="14"/>
              </w:rPr>
              <w:t>квадратна функција</w:t>
            </w:r>
          </w:p>
        </w:tc>
        <w:tc>
          <w:tcPr>
            <w:tcW w:w="1587" w:type="dxa"/>
          </w:tcPr>
          <w:p w:rsidR="00041039" w:rsidRDefault="001B26CB">
            <w:pPr>
              <w:pStyle w:val="TableParagraph"/>
              <w:numPr>
                <w:ilvl w:val="0"/>
                <w:numId w:val="397"/>
              </w:numPr>
              <w:tabs>
                <w:tab w:val="left" w:pos="157"/>
              </w:tabs>
              <w:spacing w:before="8"/>
              <w:ind w:right="94"/>
              <w:rPr>
                <w:sz w:val="14"/>
              </w:rPr>
            </w:pPr>
            <w:r>
              <w:rPr>
                <w:color w:val="231F20"/>
                <w:sz w:val="14"/>
              </w:rPr>
              <w:t>Стицање знања о комплексним</w:t>
            </w:r>
            <w:r>
              <w:rPr>
                <w:color w:val="231F20"/>
                <w:spacing w:val="-14"/>
                <w:sz w:val="14"/>
              </w:rPr>
              <w:t xml:space="preserve"> </w:t>
            </w:r>
            <w:r>
              <w:rPr>
                <w:color w:val="231F20"/>
                <w:sz w:val="14"/>
              </w:rPr>
              <w:t>бројеви­ ма и операцијама са њима и о решавању квадратних једначина и</w:t>
            </w:r>
            <w:r>
              <w:rPr>
                <w:color w:val="231F20"/>
                <w:spacing w:val="-2"/>
                <w:sz w:val="14"/>
              </w:rPr>
              <w:t xml:space="preserve"> </w:t>
            </w:r>
            <w:r>
              <w:rPr>
                <w:color w:val="231F20"/>
                <w:sz w:val="14"/>
              </w:rPr>
              <w:t>неједначина.</w:t>
            </w:r>
          </w:p>
        </w:tc>
        <w:tc>
          <w:tcPr>
            <w:tcW w:w="2551" w:type="dxa"/>
          </w:tcPr>
          <w:p w:rsidR="00041039" w:rsidRDefault="001B26CB">
            <w:pPr>
              <w:pStyle w:val="TableParagraph"/>
              <w:numPr>
                <w:ilvl w:val="0"/>
                <w:numId w:val="396"/>
              </w:numPr>
              <w:tabs>
                <w:tab w:val="left" w:pos="157"/>
              </w:tabs>
              <w:spacing w:before="8"/>
              <w:ind w:right="315" w:hanging="99"/>
              <w:rPr>
                <w:sz w:val="14"/>
              </w:rPr>
            </w:pPr>
            <w:r>
              <w:rPr>
                <w:color w:val="231F20"/>
                <w:sz w:val="14"/>
              </w:rPr>
              <w:t>дефинише комплексан број у ал­ гебарском</w:t>
            </w:r>
            <w:r>
              <w:rPr>
                <w:color w:val="231F20"/>
                <w:spacing w:val="-7"/>
                <w:sz w:val="14"/>
              </w:rPr>
              <w:t xml:space="preserve"> </w:t>
            </w:r>
            <w:r>
              <w:rPr>
                <w:color w:val="231F20"/>
                <w:sz w:val="14"/>
              </w:rPr>
              <w:t>облику</w:t>
            </w:r>
            <w:r>
              <w:rPr>
                <w:color w:val="231F20"/>
                <w:spacing w:val="-7"/>
                <w:sz w:val="14"/>
              </w:rPr>
              <w:t xml:space="preserve"> </w:t>
            </w:r>
            <w:r>
              <w:rPr>
                <w:color w:val="231F20"/>
                <w:sz w:val="14"/>
              </w:rPr>
              <w:t>и</w:t>
            </w:r>
            <w:r>
              <w:rPr>
                <w:color w:val="231F20"/>
                <w:spacing w:val="-8"/>
                <w:sz w:val="14"/>
              </w:rPr>
              <w:t xml:space="preserve"> </w:t>
            </w:r>
            <w:r>
              <w:rPr>
                <w:color w:val="231F20"/>
                <w:sz w:val="14"/>
              </w:rPr>
              <w:t>одреди</w:t>
            </w:r>
            <w:r>
              <w:rPr>
                <w:color w:val="231F20"/>
                <w:spacing w:val="-7"/>
                <w:sz w:val="14"/>
              </w:rPr>
              <w:t xml:space="preserve"> </w:t>
            </w:r>
            <w:r>
              <w:rPr>
                <w:color w:val="231F20"/>
                <w:sz w:val="14"/>
              </w:rPr>
              <w:t>реални и имагинарни део комплексног броја представи комплексан број</w:t>
            </w:r>
            <w:r>
              <w:rPr>
                <w:color w:val="231F20"/>
                <w:spacing w:val="-16"/>
                <w:sz w:val="14"/>
              </w:rPr>
              <w:t xml:space="preserve"> </w:t>
            </w:r>
            <w:r>
              <w:rPr>
                <w:color w:val="231F20"/>
                <w:sz w:val="14"/>
              </w:rPr>
              <w:t>у комплексној</w:t>
            </w:r>
            <w:r>
              <w:rPr>
                <w:color w:val="231F20"/>
                <w:spacing w:val="-1"/>
                <w:sz w:val="14"/>
              </w:rPr>
              <w:t xml:space="preserve"> </w:t>
            </w:r>
            <w:r>
              <w:rPr>
                <w:color w:val="231F20"/>
                <w:sz w:val="14"/>
              </w:rPr>
              <w:t>равни;</w:t>
            </w:r>
          </w:p>
          <w:p w:rsidR="00041039" w:rsidRDefault="001B26CB">
            <w:pPr>
              <w:pStyle w:val="TableParagraph"/>
              <w:numPr>
                <w:ilvl w:val="0"/>
                <w:numId w:val="396"/>
              </w:numPr>
              <w:tabs>
                <w:tab w:val="left" w:pos="157"/>
              </w:tabs>
              <w:spacing w:line="155" w:lineRule="exact"/>
              <w:ind w:hanging="99"/>
              <w:rPr>
                <w:sz w:val="14"/>
              </w:rPr>
            </w:pPr>
            <w:r>
              <w:rPr>
                <w:color w:val="231F20"/>
                <w:sz w:val="14"/>
              </w:rPr>
              <w:t>обавља основне рачунске</w:t>
            </w:r>
            <w:r>
              <w:rPr>
                <w:color w:val="231F20"/>
                <w:spacing w:val="-3"/>
                <w:sz w:val="14"/>
              </w:rPr>
              <w:t xml:space="preserve"> </w:t>
            </w:r>
            <w:r>
              <w:rPr>
                <w:color w:val="231F20"/>
                <w:sz w:val="14"/>
              </w:rPr>
              <w:t>операције</w:t>
            </w:r>
          </w:p>
          <w:p w:rsidR="00041039" w:rsidRDefault="001B26CB">
            <w:pPr>
              <w:pStyle w:val="TableParagraph"/>
              <w:rPr>
                <w:sz w:val="14"/>
              </w:rPr>
            </w:pPr>
            <w:r>
              <w:rPr>
                <w:color w:val="231F20"/>
                <w:sz w:val="14"/>
              </w:rPr>
              <w:t>са комплексним бројем у алгебарском облику;</w:t>
            </w:r>
          </w:p>
          <w:p w:rsidR="00041039" w:rsidRDefault="001B26CB">
            <w:pPr>
              <w:pStyle w:val="TableParagraph"/>
              <w:numPr>
                <w:ilvl w:val="0"/>
                <w:numId w:val="396"/>
              </w:numPr>
              <w:tabs>
                <w:tab w:val="left" w:pos="157"/>
              </w:tabs>
              <w:spacing w:line="154" w:lineRule="exact"/>
              <w:ind w:hanging="99"/>
              <w:rPr>
                <w:sz w:val="14"/>
              </w:rPr>
            </w:pPr>
            <w:r>
              <w:rPr>
                <w:color w:val="231F20"/>
                <w:sz w:val="14"/>
              </w:rPr>
              <w:t xml:space="preserve">одреди </w:t>
            </w:r>
            <w:r>
              <w:rPr>
                <w:color w:val="231F20"/>
                <w:spacing w:val="-3"/>
                <w:sz w:val="14"/>
              </w:rPr>
              <w:t xml:space="preserve">модул </w:t>
            </w:r>
            <w:r>
              <w:rPr>
                <w:color w:val="231F20"/>
                <w:sz w:val="14"/>
              </w:rPr>
              <w:t>комплексног</w:t>
            </w:r>
            <w:r>
              <w:rPr>
                <w:color w:val="231F20"/>
                <w:spacing w:val="-2"/>
                <w:sz w:val="14"/>
              </w:rPr>
              <w:t xml:space="preserve"> </w:t>
            </w:r>
            <w:r>
              <w:rPr>
                <w:color w:val="231F20"/>
                <w:sz w:val="14"/>
              </w:rPr>
              <w:t>броја;</w:t>
            </w:r>
          </w:p>
          <w:p w:rsidR="00041039" w:rsidRDefault="001B26CB">
            <w:pPr>
              <w:pStyle w:val="TableParagraph"/>
              <w:numPr>
                <w:ilvl w:val="0"/>
                <w:numId w:val="396"/>
              </w:numPr>
              <w:tabs>
                <w:tab w:val="left" w:pos="157"/>
              </w:tabs>
              <w:spacing w:line="237" w:lineRule="auto"/>
              <w:ind w:right="513" w:hanging="99"/>
              <w:rPr>
                <w:sz w:val="14"/>
              </w:rPr>
            </w:pPr>
            <w:r>
              <w:rPr>
                <w:color w:val="231F20"/>
                <w:sz w:val="14"/>
              </w:rPr>
              <w:t>одреди</w:t>
            </w:r>
            <w:r>
              <w:rPr>
                <w:color w:val="231F20"/>
                <w:spacing w:val="-17"/>
                <w:sz w:val="14"/>
              </w:rPr>
              <w:t xml:space="preserve"> </w:t>
            </w:r>
            <w:r>
              <w:rPr>
                <w:color w:val="231F20"/>
                <w:sz w:val="14"/>
              </w:rPr>
              <w:t>коњуговано</w:t>
            </w:r>
            <w:r>
              <w:rPr>
                <w:color w:val="231F20"/>
                <w:spacing w:val="-17"/>
                <w:sz w:val="14"/>
              </w:rPr>
              <w:t xml:space="preserve"> </w:t>
            </w:r>
            <w:r>
              <w:rPr>
                <w:color w:val="231F20"/>
                <w:sz w:val="14"/>
              </w:rPr>
              <w:t>комплексне бројеве;</w:t>
            </w:r>
          </w:p>
          <w:p w:rsidR="00041039" w:rsidRDefault="001B26CB">
            <w:pPr>
              <w:pStyle w:val="TableParagraph"/>
              <w:numPr>
                <w:ilvl w:val="0"/>
                <w:numId w:val="396"/>
              </w:numPr>
              <w:tabs>
                <w:tab w:val="left" w:pos="157"/>
              </w:tabs>
              <w:spacing w:line="160" w:lineRule="exact"/>
              <w:ind w:right="429" w:hanging="99"/>
              <w:rPr>
                <w:sz w:val="14"/>
              </w:rPr>
            </w:pPr>
            <w:r>
              <w:rPr>
                <w:color w:val="231F20"/>
                <w:sz w:val="14"/>
              </w:rPr>
              <w:t>решава једноставне једначине</w:t>
            </w:r>
            <w:r>
              <w:rPr>
                <w:color w:val="231F20"/>
                <w:spacing w:val="-7"/>
                <w:sz w:val="14"/>
              </w:rPr>
              <w:t xml:space="preserve"> </w:t>
            </w:r>
            <w:r>
              <w:rPr>
                <w:color w:val="231F20"/>
                <w:sz w:val="14"/>
              </w:rPr>
              <w:t>са комплексним</w:t>
            </w:r>
            <w:r>
              <w:rPr>
                <w:color w:val="231F20"/>
                <w:spacing w:val="-2"/>
                <w:sz w:val="14"/>
              </w:rPr>
              <w:t xml:space="preserve"> </w:t>
            </w:r>
            <w:r>
              <w:rPr>
                <w:color w:val="231F20"/>
                <w:sz w:val="14"/>
              </w:rPr>
              <w:t>бројевима;</w:t>
            </w:r>
          </w:p>
          <w:p w:rsidR="00041039" w:rsidRDefault="001B26CB">
            <w:pPr>
              <w:pStyle w:val="TableParagraph"/>
              <w:numPr>
                <w:ilvl w:val="0"/>
                <w:numId w:val="396"/>
              </w:numPr>
              <w:tabs>
                <w:tab w:val="left" w:pos="157"/>
              </w:tabs>
              <w:spacing w:line="160" w:lineRule="exact"/>
              <w:ind w:right="308" w:hanging="99"/>
              <w:rPr>
                <w:sz w:val="14"/>
              </w:rPr>
            </w:pPr>
            <w:r>
              <w:rPr>
                <w:color w:val="231F20"/>
                <w:sz w:val="14"/>
              </w:rPr>
              <w:t>објасни шта је дискриминанта и одреди природу решења</w:t>
            </w:r>
            <w:r>
              <w:rPr>
                <w:color w:val="231F20"/>
                <w:spacing w:val="-23"/>
                <w:sz w:val="14"/>
              </w:rPr>
              <w:t xml:space="preserve"> </w:t>
            </w:r>
            <w:r>
              <w:rPr>
                <w:color w:val="231F20"/>
                <w:sz w:val="14"/>
              </w:rPr>
              <w:t>квадратне једначине;</w:t>
            </w:r>
          </w:p>
          <w:p w:rsidR="00041039" w:rsidRDefault="001B26CB">
            <w:pPr>
              <w:pStyle w:val="TableParagraph"/>
              <w:numPr>
                <w:ilvl w:val="0"/>
                <w:numId w:val="396"/>
              </w:numPr>
              <w:tabs>
                <w:tab w:val="left" w:pos="157"/>
              </w:tabs>
              <w:spacing w:line="153" w:lineRule="exact"/>
              <w:ind w:hanging="99"/>
              <w:rPr>
                <w:sz w:val="14"/>
              </w:rPr>
            </w:pPr>
            <w:r>
              <w:rPr>
                <w:color w:val="231F20"/>
                <w:sz w:val="14"/>
              </w:rPr>
              <w:t>решава квадратне</w:t>
            </w:r>
            <w:r>
              <w:rPr>
                <w:color w:val="231F20"/>
                <w:spacing w:val="-2"/>
                <w:sz w:val="14"/>
              </w:rPr>
              <w:t xml:space="preserve"> </w:t>
            </w:r>
            <w:r>
              <w:rPr>
                <w:color w:val="231F20"/>
                <w:sz w:val="14"/>
              </w:rPr>
              <w:t>једначине;</w:t>
            </w:r>
          </w:p>
          <w:p w:rsidR="00041039" w:rsidRDefault="001B26CB">
            <w:pPr>
              <w:pStyle w:val="TableParagraph"/>
              <w:numPr>
                <w:ilvl w:val="0"/>
                <w:numId w:val="396"/>
              </w:numPr>
              <w:tabs>
                <w:tab w:val="left" w:pos="157"/>
              </w:tabs>
              <w:spacing w:line="237" w:lineRule="auto"/>
              <w:ind w:right="226" w:hanging="99"/>
              <w:rPr>
                <w:sz w:val="14"/>
              </w:rPr>
            </w:pPr>
            <w:r>
              <w:rPr>
                <w:color w:val="231F20"/>
                <w:sz w:val="14"/>
              </w:rPr>
              <w:t>напише Виетова правила и</w:t>
            </w:r>
            <w:r>
              <w:rPr>
                <w:color w:val="231F20"/>
                <w:spacing w:val="-23"/>
                <w:sz w:val="14"/>
              </w:rPr>
              <w:t xml:space="preserve"> </w:t>
            </w:r>
            <w:r>
              <w:rPr>
                <w:color w:val="231F20"/>
                <w:sz w:val="14"/>
              </w:rPr>
              <w:t>примени их;</w:t>
            </w:r>
          </w:p>
          <w:p w:rsidR="00041039" w:rsidRDefault="001B26CB">
            <w:pPr>
              <w:pStyle w:val="TableParagraph"/>
              <w:numPr>
                <w:ilvl w:val="0"/>
                <w:numId w:val="396"/>
              </w:numPr>
              <w:tabs>
                <w:tab w:val="left" w:pos="157"/>
              </w:tabs>
              <w:spacing w:line="155" w:lineRule="exact"/>
              <w:ind w:hanging="99"/>
              <w:rPr>
                <w:sz w:val="14"/>
              </w:rPr>
            </w:pPr>
            <w:r>
              <w:rPr>
                <w:color w:val="231F20"/>
                <w:sz w:val="14"/>
              </w:rPr>
              <w:t>растави квадратни трином на</w:t>
            </w:r>
            <w:r>
              <w:rPr>
                <w:color w:val="231F20"/>
                <w:spacing w:val="-8"/>
                <w:sz w:val="14"/>
              </w:rPr>
              <w:t xml:space="preserve"> </w:t>
            </w:r>
            <w:r>
              <w:rPr>
                <w:color w:val="231F20"/>
                <w:sz w:val="14"/>
              </w:rPr>
              <w:t>чиниоце;</w:t>
            </w:r>
          </w:p>
          <w:p w:rsidR="00041039" w:rsidRDefault="001B26CB">
            <w:pPr>
              <w:pStyle w:val="TableParagraph"/>
              <w:numPr>
                <w:ilvl w:val="0"/>
                <w:numId w:val="396"/>
              </w:numPr>
              <w:tabs>
                <w:tab w:val="left" w:pos="157"/>
              </w:tabs>
              <w:spacing w:line="237" w:lineRule="auto"/>
              <w:ind w:right="179" w:hanging="99"/>
              <w:rPr>
                <w:sz w:val="14"/>
              </w:rPr>
            </w:pPr>
            <w:r>
              <w:rPr>
                <w:color w:val="231F20"/>
                <w:sz w:val="14"/>
              </w:rPr>
              <w:t>реши једначине које се сменом</w:t>
            </w:r>
            <w:r>
              <w:rPr>
                <w:color w:val="231F20"/>
                <w:spacing w:val="-24"/>
                <w:sz w:val="14"/>
              </w:rPr>
              <w:t xml:space="preserve"> </w:t>
            </w:r>
            <w:r>
              <w:rPr>
                <w:color w:val="231F20"/>
                <w:sz w:val="14"/>
              </w:rPr>
              <w:t>своде на</w:t>
            </w:r>
            <w:r>
              <w:rPr>
                <w:color w:val="231F20"/>
                <w:spacing w:val="-2"/>
                <w:sz w:val="14"/>
              </w:rPr>
              <w:t xml:space="preserve"> </w:t>
            </w:r>
            <w:r>
              <w:rPr>
                <w:color w:val="231F20"/>
                <w:sz w:val="14"/>
              </w:rPr>
              <w:t>квадратне;</w:t>
            </w:r>
          </w:p>
          <w:p w:rsidR="00041039" w:rsidRDefault="001B26CB">
            <w:pPr>
              <w:pStyle w:val="TableParagraph"/>
              <w:numPr>
                <w:ilvl w:val="0"/>
                <w:numId w:val="396"/>
              </w:numPr>
              <w:tabs>
                <w:tab w:val="left" w:pos="157"/>
              </w:tabs>
              <w:spacing w:line="160" w:lineRule="exact"/>
              <w:ind w:right="144" w:hanging="99"/>
              <w:rPr>
                <w:sz w:val="14"/>
              </w:rPr>
            </w:pPr>
            <w:r>
              <w:rPr>
                <w:color w:val="231F20"/>
                <w:sz w:val="14"/>
              </w:rPr>
              <w:t>реши систем линеарне и квадратне једначине и карактеристичне</w:t>
            </w:r>
            <w:r>
              <w:rPr>
                <w:color w:val="231F20"/>
                <w:spacing w:val="-21"/>
                <w:sz w:val="14"/>
              </w:rPr>
              <w:t xml:space="preserve"> </w:t>
            </w:r>
            <w:r>
              <w:rPr>
                <w:color w:val="231F20"/>
                <w:sz w:val="14"/>
              </w:rPr>
              <w:t>системе две квадратне</w:t>
            </w:r>
            <w:r>
              <w:rPr>
                <w:color w:val="231F20"/>
                <w:spacing w:val="-2"/>
                <w:sz w:val="14"/>
              </w:rPr>
              <w:t xml:space="preserve"> </w:t>
            </w:r>
            <w:r>
              <w:rPr>
                <w:color w:val="231F20"/>
                <w:sz w:val="14"/>
              </w:rPr>
              <w:t>једначине;</w:t>
            </w:r>
          </w:p>
          <w:p w:rsidR="00041039" w:rsidRDefault="001B26CB">
            <w:pPr>
              <w:pStyle w:val="TableParagraph"/>
              <w:numPr>
                <w:ilvl w:val="0"/>
                <w:numId w:val="396"/>
              </w:numPr>
              <w:tabs>
                <w:tab w:val="left" w:pos="157"/>
              </w:tabs>
              <w:spacing w:line="160" w:lineRule="exact"/>
              <w:ind w:right="189" w:hanging="99"/>
              <w:rPr>
                <w:sz w:val="14"/>
              </w:rPr>
            </w:pPr>
            <w:r>
              <w:rPr>
                <w:color w:val="231F20"/>
                <w:sz w:val="14"/>
              </w:rPr>
              <w:t>разликује шест могућих типова гра­ фика квадратне функције и примени их при одређивању знака</w:t>
            </w:r>
            <w:r>
              <w:rPr>
                <w:color w:val="231F20"/>
                <w:spacing w:val="-25"/>
                <w:sz w:val="14"/>
              </w:rPr>
              <w:t xml:space="preserve"> </w:t>
            </w:r>
            <w:r>
              <w:rPr>
                <w:color w:val="231F20"/>
                <w:sz w:val="14"/>
              </w:rPr>
              <w:t xml:space="preserve">квадратног тринома </w:t>
            </w:r>
            <w:r>
              <w:rPr>
                <w:color w:val="231F20"/>
                <w:sz w:val="14"/>
              </w:rPr>
              <w:t>и решавању квадратне неједначине;</w:t>
            </w:r>
          </w:p>
          <w:p w:rsidR="00041039" w:rsidRDefault="001B26CB">
            <w:pPr>
              <w:pStyle w:val="TableParagraph"/>
              <w:numPr>
                <w:ilvl w:val="0"/>
                <w:numId w:val="396"/>
              </w:numPr>
              <w:tabs>
                <w:tab w:val="left" w:pos="157"/>
              </w:tabs>
              <w:spacing w:line="153" w:lineRule="exact"/>
              <w:ind w:hanging="99"/>
              <w:rPr>
                <w:sz w:val="14"/>
              </w:rPr>
            </w:pPr>
            <w:r>
              <w:rPr>
                <w:color w:val="231F20"/>
                <w:sz w:val="14"/>
              </w:rPr>
              <w:t>решава квадратне</w:t>
            </w:r>
            <w:r>
              <w:rPr>
                <w:color w:val="231F20"/>
                <w:spacing w:val="-3"/>
                <w:sz w:val="14"/>
              </w:rPr>
              <w:t xml:space="preserve"> </w:t>
            </w:r>
            <w:r>
              <w:rPr>
                <w:color w:val="231F20"/>
                <w:sz w:val="14"/>
              </w:rPr>
              <w:t>неједначине;</w:t>
            </w:r>
          </w:p>
          <w:p w:rsidR="00041039" w:rsidRDefault="001B26CB">
            <w:pPr>
              <w:pStyle w:val="TableParagraph"/>
              <w:numPr>
                <w:ilvl w:val="0"/>
                <w:numId w:val="396"/>
              </w:numPr>
              <w:tabs>
                <w:tab w:val="left" w:pos="157"/>
              </w:tabs>
              <w:spacing w:line="237" w:lineRule="auto"/>
              <w:ind w:right="454" w:hanging="99"/>
              <w:rPr>
                <w:sz w:val="14"/>
              </w:rPr>
            </w:pPr>
            <w:r>
              <w:rPr>
                <w:color w:val="231F20"/>
                <w:sz w:val="14"/>
              </w:rPr>
              <w:t>решава неједначине у којима се јављају разломци са</w:t>
            </w:r>
            <w:r>
              <w:rPr>
                <w:color w:val="231F20"/>
                <w:spacing w:val="-12"/>
                <w:sz w:val="14"/>
              </w:rPr>
              <w:t xml:space="preserve"> </w:t>
            </w:r>
            <w:r>
              <w:rPr>
                <w:color w:val="231F20"/>
                <w:sz w:val="14"/>
              </w:rPr>
              <w:t>квадратним триномима;</w:t>
            </w:r>
          </w:p>
          <w:p w:rsidR="00041039" w:rsidRDefault="001B26CB">
            <w:pPr>
              <w:pStyle w:val="TableParagraph"/>
              <w:numPr>
                <w:ilvl w:val="0"/>
                <w:numId w:val="396"/>
              </w:numPr>
              <w:tabs>
                <w:tab w:val="left" w:pos="157"/>
              </w:tabs>
              <w:spacing w:line="237" w:lineRule="auto"/>
              <w:ind w:right="195" w:hanging="99"/>
              <w:rPr>
                <w:sz w:val="14"/>
              </w:rPr>
            </w:pPr>
            <w:r>
              <w:rPr>
                <w:color w:val="231F20"/>
                <w:sz w:val="14"/>
              </w:rPr>
              <w:t>нацрта график квадратне функције</w:t>
            </w:r>
            <w:r>
              <w:rPr>
                <w:color w:val="231F20"/>
                <w:spacing w:val="-20"/>
                <w:sz w:val="14"/>
              </w:rPr>
              <w:t xml:space="preserve"> </w:t>
            </w:r>
            <w:r>
              <w:rPr>
                <w:color w:val="231F20"/>
                <w:sz w:val="14"/>
              </w:rPr>
              <w:t>и опише њене</w:t>
            </w:r>
            <w:r>
              <w:rPr>
                <w:color w:val="231F20"/>
                <w:spacing w:val="-1"/>
                <w:sz w:val="14"/>
              </w:rPr>
              <w:t xml:space="preserve"> </w:t>
            </w:r>
            <w:r>
              <w:rPr>
                <w:color w:val="231F20"/>
                <w:sz w:val="14"/>
              </w:rPr>
              <w:t>особине;</w:t>
            </w:r>
          </w:p>
          <w:p w:rsidR="00041039" w:rsidRDefault="001B26CB">
            <w:pPr>
              <w:pStyle w:val="TableParagraph"/>
              <w:numPr>
                <w:ilvl w:val="0"/>
                <w:numId w:val="396"/>
              </w:numPr>
              <w:tabs>
                <w:tab w:val="left" w:pos="157"/>
              </w:tabs>
              <w:spacing w:line="155" w:lineRule="exact"/>
              <w:ind w:hanging="99"/>
              <w:rPr>
                <w:sz w:val="14"/>
              </w:rPr>
            </w:pPr>
            <w:r>
              <w:rPr>
                <w:color w:val="231F20"/>
                <w:sz w:val="14"/>
              </w:rPr>
              <w:t>одреди теме квадратне</w:t>
            </w:r>
            <w:r>
              <w:rPr>
                <w:color w:val="231F20"/>
                <w:spacing w:val="-5"/>
                <w:sz w:val="14"/>
              </w:rPr>
              <w:t xml:space="preserve"> </w:t>
            </w:r>
            <w:r>
              <w:rPr>
                <w:color w:val="231F20"/>
                <w:sz w:val="14"/>
              </w:rPr>
              <w:t>функције;</w:t>
            </w:r>
          </w:p>
          <w:p w:rsidR="00041039" w:rsidRDefault="001B26CB">
            <w:pPr>
              <w:pStyle w:val="TableParagraph"/>
              <w:numPr>
                <w:ilvl w:val="0"/>
                <w:numId w:val="396"/>
              </w:numPr>
              <w:tabs>
                <w:tab w:val="left" w:pos="157"/>
              </w:tabs>
              <w:spacing w:line="166" w:lineRule="exact"/>
              <w:ind w:hanging="99"/>
              <w:rPr>
                <w:sz w:val="14"/>
              </w:rPr>
            </w:pPr>
            <w:r>
              <w:rPr>
                <w:color w:val="231F20"/>
                <w:sz w:val="14"/>
              </w:rPr>
              <w:t>решава ирационалне</w:t>
            </w:r>
            <w:r>
              <w:rPr>
                <w:color w:val="231F20"/>
                <w:spacing w:val="-4"/>
                <w:sz w:val="14"/>
              </w:rPr>
              <w:t xml:space="preserve"> </w:t>
            </w:r>
            <w:r>
              <w:rPr>
                <w:color w:val="231F20"/>
                <w:sz w:val="14"/>
              </w:rPr>
              <w:t>једначине;</w:t>
            </w:r>
          </w:p>
        </w:tc>
        <w:tc>
          <w:tcPr>
            <w:tcW w:w="2834" w:type="dxa"/>
          </w:tcPr>
          <w:p w:rsidR="00041039" w:rsidRDefault="001B26CB">
            <w:pPr>
              <w:pStyle w:val="TableParagraph"/>
              <w:numPr>
                <w:ilvl w:val="0"/>
                <w:numId w:val="395"/>
              </w:numPr>
              <w:tabs>
                <w:tab w:val="left" w:pos="157"/>
              </w:tabs>
              <w:spacing w:before="9"/>
              <w:ind w:right="336" w:hanging="99"/>
              <w:rPr>
                <w:sz w:val="14"/>
              </w:rPr>
            </w:pPr>
            <w:r>
              <w:rPr>
                <w:color w:val="231F20"/>
                <w:sz w:val="14"/>
              </w:rPr>
              <w:t>Алгебарски облик комплексног броја</w:t>
            </w:r>
            <w:r>
              <w:rPr>
                <w:color w:val="231F20"/>
                <w:spacing w:val="-24"/>
                <w:sz w:val="14"/>
              </w:rPr>
              <w:t xml:space="preserve"> </w:t>
            </w:r>
            <w:r>
              <w:rPr>
                <w:color w:val="231F20"/>
                <w:sz w:val="14"/>
              </w:rPr>
              <w:t>и основне операције.</w:t>
            </w:r>
          </w:p>
          <w:p w:rsidR="00041039" w:rsidRDefault="001B26CB">
            <w:pPr>
              <w:pStyle w:val="TableParagraph"/>
              <w:numPr>
                <w:ilvl w:val="0"/>
                <w:numId w:val="395"/>
              </w:numPr>
              <w:tabs>
                <w:tab w:val="left" w:pos="157"/>
              </w:tabs>
              <w:spacing w:line="153" w:lineRule="exact"/>
              <w:ind w:hanging="99"/>
              <w:rPr>
                <w:sz w:val="14"/>
              </w:rPr>
            </w:pPr>
            <w:r>
              <w:rPr>
                <w:color w:val="231F20"/>
                <w:sz w:val="14"/>
              </w:rPr>
              <w:t>Комплексна</w:t>
            </w:r>
            <w:r>
              <w:rPr>
                <w:color w:val="231F20"/>
                <w:spacing w:val="-1"/>
                <w:sz w:val="14"/>
              </w:rPr>
              <w:t xml:space="preserve"> </w:t>
            </w:r>
            <w:r>
              <w:rPr>
                <w:color w:val="231F20"/>
                <w:sz w:val="14"/>
              </w:rPr>
              <w:t>раван.</w:t>
            </w:r>
          </w:p>
          <w:p w:rsidR="00041039" w:rsidRDefault="001B26CB">
            <w:pPr>
              <w:pStyle w:val="TableParagraph"/>
              <w:numPr>
                <w:ilvl w:val="0"/>
                <w:numId w:val="395"/>
              </w:numPr>
              <w:tabs>
                <w:tab w:val="left" w:pos="157"/>
              </w:tabs>
              <w:spacing w:line="160" w:lineRule="exact"/>
              <w:ind w:hanging="99"/>
              <w:rPr>
                <w:sz w:val="14"/>
              </w:rPr>
            </w:pPr>
            <w:r>
              <w:rPr>
                <w:color w:val="231F20"/>
                <w:sz w:val="14"/>
              </w:rPr>
              <w:t>Једначине са комплексним</w:t>
            </w:r>
            <w:r>
              <w:rPr>
                <w:color w:val="231F20"/>
                <w:spacing w:val="-5"/>
                <w:sz w:val="14"/>
              </w:rPr>
              <w:t xml:space="preserve"> </w:t>
            </w:r>
            <w:r>
              <w:rPr>
                <w:color w:val="231F20"/>
                <w:sz w:val="14"/>
              </w:rPr>
              <w:t>бројевима.</w:t>
            </w:r>
          </w:p>
          <w:p w:rsidR="00041039" w:rsidRDefault="001B26CB">
            <w:pPr>
              <w:pStyle w:val="TableParagraph"/>
              <w:numPr>
                <w:ilvl w:val="0"/>
                <w:numId w:val="395"/>
              </w:numPr>
              <w:tabs>
                <w:tab w:val="left" w:pos="157"/>
              </w:tabs>
              <w:spacing w:line="160" w:lineRule="exact"/>
              <w:ind w:hanging="99"/>
              <w:rPr>
                <w:sz w:val="14"/>
              </w:rPr>
            </w:pPr>
            <w:r>
              <w:rPr>
                <w:color w:val="231F20"/>
                <w:sz w:val="14"/>
              </w:rPr>
              <w:t>Квадратна</w:t>
            </w:r>
            <w:r>
              <w:rPr>
                <w:color w:val="231F20"/>
                <w:spacing w:val="-1"/>
                <w:sz w:val="14"/>
              </w:rPr>
              <w:t xml:space="preserve"> </w:t>
            </w:r>
            <w:r>
              <w:rPr>
                <w:color w:val="231F20"/>
                <w:sz w:val="14"/>
              </w:rPr>
              <w:t>једначина.</w:t>
            </w:r>
          </w:p>
          <w:p w:rsidR="00041039" w:rsidRDefault="001B26CB">
            <w:pPr>
              <w:pStyle w:val="TableParagraph"/>
              <w:numPr>
                <w:ilvl w:val="0"/>
                <w:numId w:val="395"/>
              </w:numPr>
              <w:tabs>
                <w:tab w:val="left" w:pos="157"/>
              </w:tabs>
              <w:spacing w:line="237" w:lineRule="auto"/>
              <w:ind w:right="544" w:hanging="99"/>
              <w:rPr>
                <w:sz w:val="14"/>
              </w:rPr>
            </w:pPr>
            <w:r>
              <w:rPr>
                <w:color w:val="231F20"/>
                <w:sz w:val="14"/>
              </w:rPr>
              <w:t>Растављање квадратног тринома</w:t>
            </w:r>
            <w:r>
              <w:rPr>
                <w:color w:val="231F20"/>
                <w:spacing w:val="-15"/>
                <w:sz w:val="14"/>
              </w:rPr>
              <w:t xml:space="preserve"> </w:t>
            </w:r>
            <w:r>
              <w:rPr>
                <w:color w:val="231F20"/>
                <w:sz w:val="14"/>
              </w:rPr>
              <w:t>на чиниоце.</w:t>
            </w:r>
          </w:p>
          <w:p w:rsidR="00041039" w:rsidRDefault="001B26CB">
            <w:pPr>
              <w:pStyle w:val="TableParagraph"/>
              <w:numPr>
                <w:ilvl w:val="0"/>
                <w:numId w:val="395"/>
              </w:numPr>
              <w:tabs>
                <w:tab w:val="left" w:pos="157"/>
              </w:tabs>
              <w:spacing w:line="155" w:lineRule="exact"/>
              <w:ind w:hanging="99"/>
              <w:rPr>
                <w:sz w:val="14"/>
              </w:rPr>
            </w:pPr>
            <w:r>
              <w:rPr>
                <w:color w:val="231F20"/>
                <w:sz w:val="14"/>
              </w:rPr>
              <w:t>Природа решења квадратне</w:t>
            </w:r>
            <w:r>
              <w:rPr>
                <w:color w:val="231F20"/>
                <w:spacing w:val="-6"/>
                <w:sz w:val="14"/>
              </w:rPr>
              <w:t xml:space="preserve"> </w:t>
            </w:r>
            <w:r>
              <w:rPr>
                <w:color w:val="231F20"/>
                <w:sz w:val="14"/>
              </w:rPr>
              <w:t>једначине.</w:t>
            </w:r>
          </w:p>
          <w:p w:rsidR="00041039" w:rsidRDefault="001B26CB">
            <w:pPr>
              <w:pStyle w:val="TableParagraph"/>
              <w:numPr>
                <w:ilvl w:val="0"/>
                <w:numId w:val="395"/>
              </w:numPr>
              <w:tabs>
                <w:tab w:val="left" w:pos="157"/>
              </w:tabs>
              <w:spacing w:line="160" w:lineRule="exact"/>
              <w:ind w:hanging="99"/>
              <w:rPr>
                <w:sz w:val="14"/>
              </w:rPr>
            </w:pPr>
            <w:r>
              <w:rPr>
                <w:color w:val="231F20"/>
                <w:sz w:val="14"/>
              </w:rPr>
              <w:t>Вијетове</w:t>
            </w:r>
            <w:r>
              <w:rPr>
                <w:color w:val="231F20"/>
                <w:spacing w:val="-1"/>
                <w:sz w:val="14"/>
              </w:rPr>
              <w:t xml:space="preserve"> </w:t>
            </w:r>
            <w:r>
              <w:rPr>
                <w:color w:val="231F20"/>
                <w:sz w:val="14"/>
              </w:rPr>
              <w:t>везе.</w:t>
            </w:r>
          </w:p>
          <w:p w:rsidR="00041039" w:rsidRDefault="001B26CB">
            <w:pPr>
              <w:pStyle w:val="TableParagraph"/>
              <w:numPr>
                <w:ilvl w:val="0"/>
                <w:numId w:val="395"/>
              </w:numPr>
              <w:tabs>
                <w:tab w:val="left" w:pos="157"/>
              </w:tabs>
              <w:spacing w:line="160" w:lineRule="exact"/>
              <w:ind w:hanging="99"/>
              <w:rPr>
                <w:sz w:val="14"/>
              </w:rPr>
            </w:pPr>
            <w:r>
              <w:rPr>
                <w:color w:val="231F20"/>
                <w:sz w:val="14"/>
              </w:rPr>
              <w:t>Квадратне</w:t>
            </w:r>
            <w:r>
              <w:rPr>
                <w:color w:val="231F20"/>
                <w:spacing w:val="-1"/>
                <w:sz w:val="14"/>
              </w:rPr>
              <w:t xml:space="preserve"> </w:t>
            </w:r>
            <w:r>
              <w:rPr>
                <w:color w:val="231F20"/>
                <w:sz w:val="14"/>
              </w:rPr>
              <w:t>неједначине.</w:t>
            </w:r>
          </w:p>
          <w:p w:rsidR="00041039" w:rsidRDefault="001B26CB">
            <w:pPr>
              <w:pStyle w:val="TableParagraph"/>
              <w:numPr>
                <w:ilvl w:val="0"/>
                <w:numId w:val="395"/>
              </w:numPr>
              <w:tabs>
                <w:tab w:val="left" w:pos="157"/>
              </w:tabs>
              <w:spacing w:line="160" w:lineRule="exact"/>
              <w:ind w:hanging="99"/>
              <w:rPr>
                <w:sz w:val="14"/>
              </w:rPr>
            </w:pPr>
            <w:r>
              <w:rPr>
                <w:color w:val="231F20"/>
                <w:sz w:val="14"/>
              </w:rPr>
              <w:t>Квадратна функција ­ график и</w:t>
            </w:r>
            <w:r>
              <w:rPr>
                <w:color w:val="231F20"/>
                <w:spacing w:val="-9"/>
                <w:sz w:val="14"/>
              </w:rPr>
              <w:t xml:space="preserve"> </w:t>
            </w:r>
            <w:r>
              <w:rPr>
                <w:color w:val="231F20"/>
                <w:sz w:val="14"/>
              </w:rPr>
              <w:t>особине.</w:t>
            </w:r>
          </w:p>
          <w:p w:rsidR="00041039" w:rsidRDefault="001B26CB">
            <w:pPr>
              <w:pStyle w:val="TableParagraph"/>
              <w:numPr>
                <w:ilvl w:val="0"/>
                <w:numId w:val="395"/>
              </w:numPr>
              <w:tabs>
                <w:tab w:val="left" w:pos="157"/>
              </w:tabs>
              <w:spacing w:line="160" w:lineRule="exact"/>
              <w:ind w:hanging="99"/>
              <w:rPr>
                <w:sz w:val="14"/>
              </w:rPr>
            </w:pPr>
            <w:r>
              <w:rPr>
                <w:color w:val="231F20"/>
                <w:sz w:val="14"/>
              </w:rPr>
              <w:t>Биквадратна</w:t>
            </w:r>
            <w:r>
              <w:rPr>
                <w:color w:val="231F20"/>
                <w:spacing w:val="-1"/>
                <w:sz w:val="14"/>
              </w:rPr>
              <w:t xml:space="preserve"> </w:t>
            </w:r>
            <w:r>
              <w:rPr>
                <w:color w:val="231F20"/>
                <w:sz w:val="14"/>
              </w:rPr>
              <w:t>једначина.</w:t>
            </w:r>
          </w:p>
          <w:p w:rsidR="00041039" w:rsidRDefault="001B26CB">
            <w:pPr>
              <w:pStyle w:val="TableParagraph"/>
              <w:numPr>
                <w:ilvl w:val="0"/>
                <w:numId w:val="395"/>
              </w:numPr>
              <w:tabs>
                <w:tab w:val="left" w:pos="157"/>
              </w:tabs>
              <w:spacing w:line="237" w:lineRule="auto"/>
              <w:ind w:right="348" w:hanging="99"/>
              <w:rPr>
                <w:sz w:val="14"/>
              </w:rPr>
            </w:pPr>
            <w:r>
              <w:rPr>
                <w:color w:val="231F20"/>
                <w:sz w:val="14"/>
              </w:rPr>
              <w:t>Једначине</w:t>
            </w:r>
            <w:r>
              <w:rPr>
                <w:color w:val="231F20"/>
                <w:spacing w:val="-5"/>
                <w:sz w:val="14"/>
              </w:rPr>
              <w:t xml:space="preserve"> </w:t>
            </w:r>
            <w:r>
              <w:rPr>
                <w:color w:val="231F20"/>
                <w:sz w:val="14"/>
              </w:rPr>
              <w:t>које</w:t>
            </w:r>
            <w:r>
              <w:rPr>
                <w:color w:val="231F20"/>
                <w:spacing w:val="-5"/>
                <w:sz w:val="14"/>
              </w:rPr>
              <w:t xml:space="preserve"> </w:t>
            </w:r>
            <w:r>
              <w:rPr>
                <w:color w:val="231F20"/>
                <w:sz w:val="14"/>
              </w:rPr>
              <w:t>се</w:t>
            </w:r>
            <w:r>
              <w:rPr>
                <w:color w:val="231F20"/>
                <w:spacing w:val="-5"/>
                <w:sz w:val="14"/>
              </w:rPr>
              <w:t xml:space="preserve"> </w:t>
            </w:r>
            <w:r>
              <w:rPr>
                <w:color w:val="231F20"/>
                <w:sz w:val="14"/>
              </w:rPr>
              <w:t>сменом</w:t>
            </w:r>
            <w:r>
              <w:rPr>
                <w:color w:val="231F20"/>
                <w:spacing w:val="-5"/>
                <w:sz w:val="14"/>
              </w:rPr>
              <w:t xml:space="preserve"> </w:t>
            </w:r>
            <w:r>
              <w:rPr>
                <w:color w:val="231F20"/>
                <w:sz w:val="14"/>
              </w:rPr>
              <w:t>своде</w:t>
            </w:r>
            <w:r>
              <w:rPr>
                <w:color w:val="231F20"/>
                <w:spacing w:val="-5"/>
                <w:sz w:val="14"/>
              </w:rPr>
              <w:t xml:space="preserve"> </w:t>
            </w:r>
            <w:r>
              <w:rPr>
                <w:color w:val="231F20"/>
                <w:sz w:val="14"/>
              </w:rPr>
              <w:t>на</w:t>
            </w:r>
            <w:r>
              <w:rPr>
                <w:color w:val="231F20"/>
                <w:spacing w:val="-6"/>
                <w:sz w:val="14"/>
              </w:rPr>
              <w:t xml:space="preserve"> </w:t>
            </w:r>
            <w:r>
              <w:rPr>
                <w:color w:val="231F20"/>
                <w:sz w:val="14"/>
              </w:rPr>
              <w:t>ква­ дратне.</w:t>
            </w:r>
          </w:p>
          <w:p w:rsidR="00041039" w:rsidRDefault="001B26CB">
            <w:pPr>
              <w:pStyle w:val="TableParagraph"/>
              <w:numPr>
                <w:ilvl w:val="0"/>
                <w:numId w:val="395"/>
              </w:numPr>
              <w:tabs>
                <w:tab w:val="left" w:pos="157"/>
              </w:tabs>
              <w:spacing w:line="155" w:lineRule="exact"/>
              <w:ind w:hanging="99"/>
              <w:rPr>
                <w:sz w:val="14"/>
              </w:rPr>
            </w:pPr>
            <w:r>
              <w:rPr>
                <w:color w:val="231F20"/>
                <w:sz w:val="14"/>
              </w:rPr>
              <w:t>Систем квадратних</w:t>
            </w:r>
            <w:r>
              <w:rPr>
                <w:color w:val="231F20"/>
                <w:spacing w:val="-2"/>
                <w:sz w:val="14"/>
              </w:rPr>
              <w:t xml:space="preserve"> </w:t>
            </w:r>
            <w:r>
              <w:rPr>
                <w:color w:val="231F20"/>
                <w:sz w:val="14"/>
              </w:rPr>
              <w:t>једначина.</w:t>
            </w:r>
          </w:p>
          <w:p w:rsidR="00041039" w:rsidRDefault="001B26CB">
            <w:pPr>
              <w:pStyle w:val="TableParagraph"/>
              <w:numPr>
                <w:ilvl w:val="0"/>
                <w:numId w:val="395"/>
              </w:numPr>
              <w:tabs>
                <w:tab w:val="left" w:pos="157"/>
              </w:tabs>
              <w:spacing w:line="166" w:lineRule="exact"/>
              <w:ind w:hanging="99"/>
              <w:rPr>
                <w:sz w:val="14"/>
              </w:rPr>
            </w:pPr>
            <w:r>
              <w:rPr>
                <w:color w:val="231F20"/>
                <w:sz w:val="14"/>
              </w:rPr>
              <w:t>Ирационалне једначине и</w:t>
            </w:r>
            <w:r>
              <w:rPr>
                <w:color w:val="231F20"/>
                <w:spacing w:val="-8"/>
                <w:sz w:val="14"/>
              </w:rPr>
              <w:t xml:space="preserve"> </w:t>
            </w:r>
            <w:r>
              <w:rPr>
                <w:color w:val="231F20"/>
                <w:sz w:val="14"/>
              </w:rPr>
              <w:t>неједначине.</w:t>
            </w:r>
          </w:p>
        </w:tc>
        <w:tc>
          <w:tcPr>
            <w:tcW w:w="2267" w:type="dxa"/>
            <w:vMerge w:val="restart"/>
          </w:tcPr>
          <w:p w:rsidR="00041039" w:rsidRDefault="001B26CB">
            <w:pPr>
              <w:pStyle w:val="TableParagraph"/>
              <w:numPr>
                <w:ilvl w:val="0"/>
                <w:numId w:val="394"/>
              </w:numPr>
              <w:tabs>
                <w:tab w:val="left" w:pos="143"/>
              </w:tabs>
              <w:spacing w:before="17"/>
              <w:ind w:right="71"/>
              <w:rPr>
                <w:sz w:val="14"/>
              </w:rPr>
            </w:pPr>
            <w:r>
              <w:rPr>
                <w:b/>
                <w:color w:val="231F20"/>
                <w:sz w:val="14"/>
              </w:rPr>
              <w:t xml:space="preserve">Степеновање и кореновање: </w:t>
            </w:r>
            <w:r>
              <w:rPr>
                <w:color w:val="231F20"/>
                <w:sz w:val="14"/>
              </w:rPr>
              <w:t>пажљиво увежбати најважнија правила степеновања и коре­ новања, упрошћавање корена и рационалисање; почети са систе­ матизацијом основних својстава функције на примерима степене функције; увежбати основне опе­ рације са комплексним</w:t>
            </w:r>
            <w:r>
              <w:rPr>
                <w:color w:val="231F20"/>
                <w:spacing w:val="-15"/>
                <w:sz w:val="14"/>
              </w:rPr>
              <w:t xml:space="preserve"> </w:t>
            </w:r>
            <w:r>
              <w:rPr>
                <w:color w:val="231F20"/>
                <w:sz w:val="14"/>
              </w:rPr>
              <w:t>бројевима.</w:t>
            </w:r>
          </w:p>
          <w:p w:rsidR="00041039" w:rsidRDefault="001B26CB">
            <w:pPr>
              <w:pStyle w:val="TableParagraph"/>
              <w:numPr>
                <w:ilvl w:val="0"/>
                <w:numId w:val="394"/>
              </w:numPr>
              <w:tabs>
                <w:tab w:val="left" w:pos="143"/>
              </w:tabs>
              <w:spacing w:line="237" w:lineRule="auto"/>
              <w:ind w:right="167"/>
              <w:rPr>
                <w:sz w:val="14"/>
              </w:rPr>
            </w:pPr>
            <w:r>
              <w:rPr>
                <w:b/>
                <w:color w:val="231F20"/>
                <w:sz w:val="14"/>
              </w:rPr>
              <w:t xml:space="preserve">Квадратна једначина и ква- дратна функција: </w:t>
            </w:r>
            <w:r>
              <w:rPr>
                <w:color w:val="231F20"/>
                <w:sz w:val="14"/>
              </w:rPr>
              <w:t>проћи кроз разне обликеједначина које се сводена квадратну, укључујући и ирационалне, увежбати рас­ тављање квадратног тринома и Вијетове везе, користити</w:t>
            </w:r>
            <w:r>
              <w:rPr>
                <w:color w:val="231F20"/>
                <w:spacing w:val="-18"/>
                <w:sz w:val="14"/>
              </w:rPr>
              <w:t xml:space="preserve"> </w:t>
            </w:r>
            <w:r>
              <w:rPr>
                <w:color w:val="231F20"/>
                <w:sz w:val="14"/>
              </w:rPr>
              <w:t>график квадратне функције у решавању неједначина.</w:t>
            </w:r>
          </w:p>
          <w:p w:rsidR="00041039" w:rsidRDefault="001B26CB">
            <w:pPr>
              <w:pStyle w:val="TableParagraph"/>
              <w:numPr>
                <w:ilvl w:val="0"/>
                <w:numId w:val="394"/>
              </w:numPr>
              <w:tabs>
                <w:tab w:val="left" w:pos="143"/>
              </w:tabs>
              <w:ind w:right="46"/>
              <w:rPr>
                <w:sz w:val="14"/>
              </w:rPr>
            </w:pPr>
            <w:r>
              <w:rPr>
                <w:b/>
                <w:color w:val="231F20"/>
                <w:sz w:val="14"/>
              </w:rPr>
              <w:t>Тригоном</w:t>
            </w:r>
            <w:r>
              <w:rPr>
                <w:b/>
                <w:color w:val="231F20"/>
                <w:sz w:val="14"/>
              </w:rPr>
              <w:t>етријске функције:</w:t>
            </w:r>
            <w:r>
              <w:rPr>
                <w:b/>
                <w:color w:val="231F20"/>
                <w:spacing w:val="-26"/>
                <w:sz w:val="14"/>
              </w:rPr>
              <w:t xml:space="preserve"> </w:t>
            </w:r>
            <w:r>
              <w:rPr>
                <w:color w:val="231F20"/>
                <w:sz w:val="14"/>
              </w:rPr>
              <w:t xml:space="preserve">ин­ систирати на тригонометријском кругу и употреби симетрије при свођењу на први квадрант; увеж­ бавати теореме и идентитете кроз што бројније примене; посветити пажњу решавању тригономет­ ријских једначина и једноставних неједначина и </w:t>
            </w:r>
            <w:r>
              <w:rPr>
                <w:color w:val="231F20"/>
                <w:sz w:val="14"/>
              </w:rPr>
              <w:t xml:space="preserve">користити ова знања при одређивању графика тригонометријских функција; ис­ тицати особине функција кад </w:t>
            </w:r>
            <w:r>
              <w:rPr>
                <w:color w:val="231F20"/>
                <w:spacing w:val="-3"/>
                <w:sz w:val="14"/>
              </w:rPr>
              <w:t xml:space="preserve">год </w:t>
            </w:r>
            <w:r>
              <w:rPr>
                <w:color w:val="231F20"/>
                <w:sz w:val="14"/>
              </w:rPr>
              <w:t>је могуће. Проширити употребу синусне и косинусне теореме на што већи део</w:t>
            </w:r>
            <w:r>
              <w:rPr>
                <w:color w:val="231F20"/>
                <w:spacing w:val="-3"/>
                <w:sz w:val="14"/>
              </w:rPr>
              <w:t xml:space="preserve"> </w:t>
            </w:r>
            <w:r>
              <w:rPr>
                <w:color w:val="231F20"/>
                <w:sz w:val="14"/>
              </w:rPr>
              <w:t>планиметрије.</w:t>
            </w:r>
          </w:p>
          <w:p w:rsidR="00041039" w:rsidRDefault="001B26CB">
            <w:pPr>
              <w:pStyle w:val="TableParagraph"/>
              <w:numPr>
                <w:ilvl w:val="0"/>
                <w:numId w:val="394"/>
              </w:numPr>
              <w:tabs>
                <w:tab w:val="left" w:pos="143"/>
              </w:tabs>
              <w:spacing w:line="146" w:lineRule="exact"/>
              <w:rPr>
                <w:b/>
                <w:sz w:val="14"/>
              </w:rPr>
            </w:pPr>
            <w:r>
              <w:rPr>
                <w:b/>
                <w:color w:val="231F20"/>
                <w:sz w:val="14"/>
              </w:rPr>
              <w:t>Експоненцијална и</w:t>
            </w:r>
            <w:r>
              <w:rPr>
                <w:b/>
                <w:color w:val="231F20"/>
                <w:spacing w:val="-6"/>
                <w:sz w:val="14"/>
              </w:rPr>
              <w:t xml:space="preserve"> </w:t>
            </w:r>
            <w:r>
              <w:rPr>
                <w:b/>
                <w:color w:val="231F20"/>
                <w:sz w:val="14"/>
              </w:rPr>
              <w:t>логаритам-</w:t>
            </w:r>
          </w:p>
          <w:p w:rsidR="00041039" w:rsidRDefault="001B26CB">
            <w:pPr>
              <w:pStyle w:val="TableParagraph"/>
              <w:ind w:left="142"/>
              <w:rPr>
                <w:sz w:val="14"/>
              </w:rPr>
            </w:pPr>
            <w:r>
              <w:rPr>
                <w:b/>
                <w:color w:val="231F20"/>
                <w:sz w:val="14"/>
              </w:rPr>
              <w:t xml:space="preserve">ска функција: </w:t>
            </w:r>
            <w:r>
              <w:rPr>
                <w:color w:val="231F20"/>
                <w:sz w:val="14"/>
              </w:rPr>
              <w:t xml:space="preserve">поновити својства </w:t>
            </w:r>
            <w:r>
              <w:rPr>
                <w:color w:val="231F20"/>
                <w:sz w:val="14"/>
              </w:rPr>
              <w:t>функција и на овим примери­</w:t>
            </w:r>
          </w:p>
          <w:p w:rsidR="00041039" w:rsidRDefault="001B26CB">
            <w:pPr>
              <w:pStyle w:val="TableParagraph"/>
              <w:ind w:left="142" w:right="385"/>
              <w:jc w:val="both"/>
              <w:rPr>
                <w:sz w:val="14"/>
              </w:rPr>
            </w:pPr>
            <w:r>
              <w:rPr>
                <w:color w:val="231F20"/>
                <w:sz w:val="14"/>
              </w:rPr>
              <w:t>ма, увежбати</w:t>
            </w:r>
            <w:r>
              <w:rPr>
                <w:color w:val="231F20"/>
                <w:spacing w:val="-17"/>
                <w:sz w:val="14"/>
              </w:rPr>
              <w:t xml:space="preserve"> </w:t>
            </w:r>
            <w:r>
              <w:rPr>
                <w:color w:val="231F20"/>
                <w:sz w:val="14"/>
              </w:rPr>
              <w:t>логаритмовање и повећати фонд једначина</w:t>
            </w:r>
            <w:r>
              <w:rPr>
                <w:color w:val="231F20"/>
                <w:spacing w:val="-16"/>
                <w:sz w:val="14"/>
              </w:rPr>
              <w:t xml:space="preserve"> </w:t>
            </w:r>
            <w:r>
              <w:rPr>
                <w:color w:val="231F20"/>
                <w:sz w:val="14"/>
              </w:rPr>
              <w:t>и неједначина.</w:t>
            </w:r>
          </w:p>
          <w:p w:rsidR="00041039" w:rsidRDefault="00041039">
            <w:pPr>
              <w:pStyle w:val="TableParagraph"/>
              <w:spacing w:before="2"/>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393"/>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393"/>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теми</w:t>
            </w:r>
          </w:p>
          <w:p w:rsidR="00041039" w:rsidRDefault="001B26CB">
            <w:pPr>
              <w:pStyle w:val="TableParagraph"/>
              <w:numPr>
                <w:ilvl w:val="0"/>
                <w:numId w:val="393"/>
              </w:numPr>
              <w:tabs>
                <w:tab w:val="left" w:pos="158"/>
              </w:tabs>
              <w:spacing w:line="237" w:lineRule="auto"/>
              <w:ind w:right="246" w:hanging="99"/>
              <w:rPr>
                <w:b/>
                <w:sz w:val="14"/>
              </w:rPr>
            </w:pPr>
            <w:r>
              <w:rPr>
                <w:color w:val="231F20"/>
                <w:sz w:val="14"/>
              </w:rPr>
              <w:t>Степеновање и кореновање</w:t>
            </w:r>
            <w:r>
              <w:rPr>
                <w:color w:val="231F20"/>
                <w:spacing w:val="-15"/>
                <w:sz w:val="14"/>
              </w:rPr>
              <w:t xml:space="preserve"> </w:t>
            </w:r>
            <w:r>
              <w:rPr>
                <w:b/>
                <w:color w:val="231F20"/>
                <w:sz w:val="14"/>
              </w:rPr>
              <w:t>(35 часова)</w:t>
            </w:r>
          </w:p>
          <w:p w:rsidR="00041039" w:rsidRDefault="001B26CB">
            <w:pPr>
              <w:pStyle w:val="TableParagraph"/>
              <w:numPr>
                <w:ilvl w:val="0"/>
                <w:numId w:val="393"/>
              </w:numPr>
              <w:tabs>
                <w:tab w:val="left" w:pos="158"/>
              </w:tabs>
              <w:spacing w:line="160" w:lineRule="exact"/>
              <w:ind w:right="122" w:hanging="99"/>
              <w:rPr>
                <w:b/>
                <w:sz w:val="14"/>
              </w:rPr>
            </w:pPr>
            <w:r>
              <w:rPr>
                <w:color w:val="231F20"/>
                <w:sz w:val="14"/>
              </w:rPr>
              <w:t>Квадратна једначина и</w:t>
            </w:r>
            <w:r>
              <w:rPr>
                <w:color w:val="231F20"/>
                <w:spacing w:val="-24"/>
                <w:sz w:val="14"/>
              </w:rPr>
              <w:t xml:space="preserve"> </w:t>
            </w:r>
            <w:r>
              <w:rPr>
                <w:color w:val="231F20"/>
                <w:sz w:val="14"/>
              </w:rPr>
              <w:t xml:space="preserve">квадратна функција </w:t>
            </w:r>
            <w:r>
              <w:rPr>
                <w:b/>
                <w:color w:val="231F20"/>
                <w:sz w:val="14"/>
              </w:rPr>
              <w:t>(46</w:t>
            </w:r>
            <w:r>
              <w:rPr>
                <w:b/>
                <w:color w:val="231F20"/>
                <w:spacing w:val="-1"/>
                <w:sz w:val="14"/>
              </w:rPr>
              <w:t xml:space="preserve"> </w:t>
            </w:r>
            <w:r>
              <w:rPr>
                <w:b/>
                <w:color w:val="231F20"/>
                <w:sz w:val="14"/>
              </w:rPr>
              <w:t>часова)</w:t>
            </w:r>
          </w:p>
          <w:p w:rsidR="00041039" w:rsidRDefault="001B26CB">
            <w:pPr>
              <w:pStyle w:val="TableParagraph"/>
              <w:numPr>
                <w:ilvl w:val="0"/>
                <w:numId w:val="393"/>
              </w:numPr>
              <w:tabs>
                <w:tab w:val="left" w:pos="158"/>
              </w:tabs>
              <w:spacing w:line="160" w:lineRule="exact"/>
              <w:ind w:right="116" w:hanging="99"/>
              <w:rPr>
                <w:b/>
                <w:sz w:val="14"/>
              </w:rPr>
            </w:pPr>
            <w:r>
              <w:rPr>
                <w:color w:val="231F20"/>
                <w:sz w:val="14"/>
              </w:rPr>
              <w:t>Експоненцијална и</w:t>
            </w:r>
            <w:r>
              <w:rPr>
                <w:color w:val="231F20"/>
                <w:spacing w:val="-13"/>
                <w:sz w:val="14"/>
              </w:rPr>
              <w:t xml:space="preserve"> </w:t>
            </w:r>
            <w:r>
              <w:rPr>
                <w:color w:val="231F20"/>
                <w:sz w:val="14"/>
              </w:rPr>
              <w:t xml:space="preserve">логаритамска функција </w:t>
            </w:r>
            <w:r>
              <w:rPr>
                <w:b/>
                <w:color w:val="231F20"/>
                <w:sz w:val="14"/>
              </w:rPr>
              <w:t>(30</w:t>
            </w:r>
            <w:r>
              <w:rPr>
                <w:b/>
                <w:color w:val="231F20"/>
                <w:spacing w:val="-1"/>
                <w:sz w:val="14"/>
              </w:rPr>
              <w:t xml:space="preserve"> </w:t>
            </w:r>
            <w:r>
              <w:rPr>
                <w:b/>
                <w:color w:val="231F20"/>
                <w:sz w:val="14"/>
              </w:rPr>
              <w:t>часова)</w:t>
            </w:r>
          </w:p>
          <w:p w:rsidR="00041039" w:rsidRDefault="001B26CB">
            <w:pPr>
              <w:pStyle w:val="TableParagraph"/>
              <w:numPr>
                <w:ilvl w:val="0"/>
                <w:numId w:val="393"/>
              </w:numPr>
              <w:tabs>
                <w:tab w:val="left" w:pos="158"/>
              </w:tabs>
              <w:spacing w:line="160" w:lineRule="exact"/>
              <w:ind w:right="212" w:hanging="99"/>
              <w:rPr>
                <w:b/>
                <w:sz w:val="14"/>
              </w:rPr>
            </w:pPr>
            <w:r>
              <w:rPr>
                <w:color w:val="231F20"/>
                <w:sz w:val="14"/>
              </w:rPr>
              <w:t>Тригонометријске функције</w:t>
            </w:r>
            <w:r>
              <w:rPr>
                <w:color w:val="231F20"/>
                <w:spacing w:val="-19"/>
                <w:sz w:val="14"/>
              </w:rPr>
              <w:t xml:space="preserve"> </w:t>
            </w:r>
            <w:r>
              <w:rPr>
                <w:b/>
                <w:color w:val="231F20"/>
                <w:sz w:val="14"/>
              </w:rPr>
              <w:t>(52 часа)</w:t>
            </w:r>
          </w:p>
          <w:p w:rsidR="00041039" w:rsidRDefault="00041039">
            <w:pPr>
              <w:pStyle w:val="TableParagraph"/>
              <w:spacing w:before="5"/>
              <w:ind w:left="0"/>
              <w:rPr>
                <w:b/>
                <w:sz w:val="13"/>
              </w:rPr>
            </w:pPr>
          </w:p>
          <w:p w:rsidR="00041039" w:rsidRDefault="001B26CB">
            <w:pPr>
              <w:pStyle w:val="TableParagraph"/>
              <w:spacing w:before="1"/>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3718"/>
        </w:trPr>
        <w:tc>
          <w:tcPr>
            <w:tcW w:w="1304" w:type="dxa"/>
          </w:tcPr>
          <w:p w:rsidR="00041039" w:rsidRDefault="001B26CB">
            <w:pPr>
              <w:pStyle w:val="TableParagraph"/>
              <w:spacing w:before="18"/>
              <w:ind w:left="56" w:right="37"/>
              <w:rPr>
                <w:sz w:val="14"/>
              </w:rPr>
            </w:pPr>
            <w:r>
              <w:rPr>
                <w:color w:val="231F20"/>
                <w:sz w:val="14"/>
              </w:rPr>
              <w:t>Тригонометријске функције</w:t>
            </w:r>
          </w:p>
        </w:tc>
        <w:tc>
          <w:tcPr>
            <w:tcW w:w="1587" w:type="dxa"/>
          </w:tcPr>
          <w:p w:rsidR="00041039" w:rsidRDefault="001B26CB">
            <w:pPr>
              <w:pStyle w:val="TableParagraph"/>
              <w:numPr>
                <w:ilvl w:val="0"/>
                <w:numId w:val="392"/>
              </w:numPr>
              <w:tabs>
                <w:tab w:val="left" w:pos="157"/>
              </w:tabs>
              <w:spacing w:before="8"/>
              <w:ind w:right="53"/>
              <w:rPr>
                <w:sz w:val="14"/>
              </w:rPr>
            </w:pPr>
            <w:r>
              <w:rPr>
                <w:color w:val="231F20"/>
                <w:sz w:val="14"/>
              </w:rPr>
              <w:t>Решавање</w:t>
            </w:r>
            <w:r>
              <w:rPr>
                <w:color w:val="231F20"/>
                <w:spacing w:val="-9"/>
                <w:sz w:val="14"/>
              </w:rPr>
              <w:t xml:space="preserve"> </w:t>
            </w:r>
            <w:r>
              <w:rPr>
                <w:color w:val="231F20"/>
                <w:sz w:val="14"/>
              </w:rPr>
              <w:t>тригономет­ ријских једначина и обављање елементар­ них трансформација тригонометријских израза.</w:t>
            </w:r>
          </w:p>
        </w:tc>
        <w:tc>
          <w:tcPr>
            <w:tcW w:w="2551" w:type="dxa"/>
          </w:tcPr>
          <w:p w:rsidR="00041039" w:rsidRDefault="001B26CB">
            <w:pPr>
              <w:pStyle w:val="TableParagraph"/>
              <w:numPr>
                <w:ilvl w:val="0"/>
                <w:numId w:val="391"/>
              </w:numPr>
              <w:tabs>
                <w:tab w:val="left" w:pos="157"/>
              </w:tabs>
              <w:spacing w:before="8"/>
              <w:ind w:right="477" w:hanging="99"/>
              <w:rPr>
                <w:sz w:val="14"/>
              </w:rPr>
            </w:pPr>
            <w:r>
              <w:rPr>
                <w:color w:val="231F20"/>
                <w:sz w:val="14"/>
              </w:rPr>
              <w:t>представи вредности тригонометријских функција</w:t>
            </w:r>
            <w:r>
              <w:rPr>
                <w:color w:val="231F20"/>
                <w:spacing w:val="-10"/>
                <w:sz w:val="14"/>
              </w:rPr>
              <w:t xml:space="preserve"> </w:t>
            </w:r>
            <w:r>
              <w:rPr>
                <w:color w:val="231F20"/>
                <w:sz w:val="14"/>
              </w:rPr>
              <w:t>на тригонометријској</w:t>
            </w:r>
            <w:r>
              <w:rPr>
                <w:color w:val="231F20"/>
                <w:spacing w:val="-4"/>
                <w:sz w:val="14"/>
              </w:rPr>
              <w:t xml:space="preserve"> </w:t>
            </w:r>
            <w:r>
              <w:rPr>
                <w:color w:val="231F20"/>
                <w:sz w:val="14"/>
              </w:rPr>
              <w:t>кружници;</w:t>
            </w:r>
          </w:p>
          <w:p w:rsidR="00041039" w:rsidRDefault="001B26CB">
            <w:pPr>
              <w:pStyle w:val="TableParagraph"/>
              <w:numPr>
                <w:ilvl w:val="0"/>
                <w:numId w:val="391"/>
              </w:numPr>
              <w:tabs>
                <w:tab w:val="left" w:pos="157"/>
              </w:tabs>
              <w:spacing w:line="157" w:lineRule="exact"/>
              <w:ind w:hanging="99"/>
              <w:rPr>
                <w:sz w:val="14"/>
              </w:rPr>
            </w:pPr>
            <w:r>
              <w:rPr>
                <w:color w:val="231F20"/>
                <w:sz w:val="14"/>
              </w:rPr>
              <w:t>изводи трансформације</w:t>
            </w:r>
            <w:r>
              <w:rPr>
                <w:color w:val="231F20"/>
                <w:spacing w:val="-1"/>
                <w:sz w:val="14"/>
              </w:rPr>
              <w:t xml:space="preserve"> </w:t>
            </w:r>
            <w:r>
              <w:rPr>
                <w:color w:val="231F20"/>
                <w:sz w:val="14"/>
              </w:rPr>
              <w:t>на</w:t>
            </w:r>
          </w:p>
          <w:p w:rsidR="00041039" w:rsidRDefault="001B26CB">
            <w:pPr>
              <w:pStyle w:val="TableParagraph"/>
              <w:spacing w:line="155" w:lineRule="exact"/>
              <w:rPr>
                <w:sz w:val="14"/>
              </w:rPr>
            </w:pPr>
            <w:r>
              <w:rPr>
                <w:color w:val="231F20"/>
                <w:sz w:val="14"/>
              </w:rPr>
              <w:t>тригонометријској кружници;</w:t>
            </w:r>
          </w:p>
          <w:p w:rsidR="00041039" w:rsidRDefault="001B26CB">
            <w:pPr>
              <w:pStyle w:val="TableParagraph"/>
              <w:numPr>
                <w:ilvl w:val="0"/>
                <w:numId w:val="391"/>
              </w:numPr>
              <w:tabs>
                <w:tab w:val="left" w:pos="157"/>
              </w:tabs>
              <w:spacing w:line="237" w:lineRule="auto"/>
              <w:ind w:right="455" w:hanging="99"/>
              <w:rPr>
                <w:sz w:val="14"/>
              </w:rPr>
            </w:pPr>
            <w:r>
              <w:rPr>
                <w:color w:val="231F20"/>
                <w:sz w:val="14"/>
              </w:rPr>
              <w:t>докаже лакше</w:t>
            </w:r>
            <w:r>
              <w:rPr>
                <w:color w:val="231F20"/>
                <w:spacing w:val="-17"/>
                <w:sz w:val="14"/>
              </w:rPr>
              <w:t xml:space="preserve"> </w:t>
            </w:r>
            <w:r>
              <w:rPr>
                <w:color w:val="231F20"/>
                <w:sz w:val="14"/>
              </w:rPr>
              <w:t>тригонометријске идентичности;</w:t>
            </w:r>
          </w:p>
          <w:p w:rsidR="00041039" w:rsidRDefault="001B26CB">
            <w:pPr>
              <w:pStyle w:val="TableParagraph"/>
              <w:numPr>
                <w:ilvl w:val="0"/>
                <w:numId w:val="391"/>
              </w:numPr>
              <w:tabs>
                <w:tab w:val="left" w:pos="157"/>
              </w:tabs>
              <w:spacing w:line="155" w:lineRule="exact"/>
              <w:ind w:hanging="99"/>
              <w:rPr>
                <w:sz w:val="14"/>
              </w:rPr>
            </w:pPr>
            <w:r>
              <w:rPr>
                <w:color w:val="231F20"/>
                <w:sz w:val="14"/>
              </w:rPr>
              <w:t>наведе и примени адиционе</w:t>
            </w:r>
            <w:r>
              <w:rPr>
                <w:color w:val="231F20"/>
                <w:spacing w:val="-7"/>
                <w:sz w:val="14"/>
              </w:rPr>
              <w:t xml:space="preserve"> </w:t>
            </w:r>
            <w:r>
              <w:rPr>
                <w:color w:val="231F20"/>
                <w:sz w:val="14"/>
              </w:rPr>
              <w:t>теореме;</w:t>
            </w:r>
          </w:p>
          <w:p w:rsidR="00041039" w:rsidRDefault="001B26CB">
            <w:pPr>
              <w:pStyle w:val="TableParagraph"/>
              <w:numPr>
                <w:ilvl w:val="0"/>
                <w:numId w:val="391"/>
              </w:numPr>
              <w:tabs>
                <w:tab w:val="left" w:pos="157"/>
              </w:tabs>
              <w:spacing w:line="237" w:lineRule="auto"/>
              <w:ind w:right="65" w:hanging="99"/>
              <w:rPr>
                <w:sz w:val="14"/>
              </w:rPr>
            </w:pPr>
            <w:r>
              <w:rPr>
                <w:color w:val="231F20"/>
                <w:sz w:val="14"/>
              </w:rPr>
              <w:t>наведе и примени формуле за</w:t>
            </w:r>
            <w:r>
              <w:rPr>
                <w:color w:val="231F20"/>
                <w:spacing w:val="-24"/>
                <w:sz w:val="14"/>
              </w:rPr>
              <w:t xml:space="preserve"> </w:t>
            </w:r>
            <w:r>
              <w:rPr>
                <w:color w:val="231F20"/>
                <w:sz w:val="14"/>
              </w:rPr>
              <w:t>двостру­ ки угао;</w:t>
            </w:r>
          </w:p>
          <w:p w:rsidR="00041039" w:rsidRDefault="001B26CB">
            <w:pPr>
              <w:pStyle w:val="TableParagraph"/>
              <w:numPr>
                <w:ilvl w:val="0"/>
                <w:numId w:val="391"/>
              </w:numPr>
              <w:tabs>
                <w:tab w:val="left" w:pos="157"/>
              </w:tabs>
              <w:spacing w:line="160" w:lineRule="exact"/>
              <w:ind w:right="394" w:hanging="99"/>
              <w:rPr>
                <w:sz w:val="14"/>
              </w:rPr>
            </w:pPr>
            <w:r>
              <w:rPr>
                <w:color w:val="231F20"/>
                <w:sz w:val="14"/>
              </w:rPr>
              <w:t>наведе</w:t>
            </w:r>
            <w:r>
              <w:rPr>
                <w:color w:val="231F20"/>
                <w:spacing w:val="-5"/>
                <w:sz w:val="14"/>
              </w:rPr>
              <w:t xml:space="preserve"> </w:t>
            </w:r>
            <w:r>
              <w:rPr>
                <w:color w:val="231F20"/>
                <w:sz w:val="14"/>
              </w:rPr>
              <w:t>и</w:t>
            </w:r>
            <w:r>
              <w:rPr>
                <w:color w:val="231F20"/>
                <w:spacing w:val="-6"/>
                <w:sz w:val="14"/>
              </w:rPr>
              <w:t xml:space="preserve"> </w:t>
            </w:r>
            <w:r>
              <w:rPr>
                <w:color w:val="231F20"/>
                <w:sz w:val="14"/>
              </w:rPr>
              <w:t>примени</w:t>
            </w:r>
            <w:r>
              <w:rPr>
                <w:color w:val="231F20"/>
                <w:spacing w:val="-6"/>
                <w:sz w:val="14"/>
              </w:rPr>
              <w:t xml:space="preserve"> </w:t>
            </w:r>
            <w:r>
              <w:rPr>
                <w:color w:val="231F20"/>
                <w:sz w:val="14"/>
              </w:rPr>
              <w:t>формуле</w:t>
            </w:r>
            <w:r>
              <w:rPr>
                <w:color w:val="231F20"/>
                <w:spacing w:val="-6"/>
                <w:sz w:val="14"/>
              </w:rPr>
              <w:t xml:space="preserve"> </w:t>
            </w:r>
            <w:r>
              <w:rPr>
                <w:color w:val="231F20"/>
                <w:sz w:val="14"/>
              </w:rPr>
              <w:t>за</w:t>
            </w:r>
            <w:r>
              <w:rPr>
                <w:color w:val="231F20"/>
                <w:spacing w:val="-6"/>
                <w:sz w:val="14"/>
              </w:rPr>
              <w:t xml:space="preserve"> </w:t>
            </w:r>
            <w:r>
              <w:rPr>
                <w:color w:val="231F20"/>
                <w:sz w:val="14"/>
              </w:rPr>
              <w:t>по­ луугао;</w:t>
            </w:r>
          </w:p>
          <w:p w:rsidR="00041039" w:rsidRDefault="001B26CB">
            <w:pPr>
              <w:pStyle w:val="TableParagraph"/>
              <w:numPr>
                <w:ilvl w:val="0"/>
                <w:numId w:val="391"/>
              </w:numPr>
              <w:tabs>
                <w:tab w:val="left" w:pos="157"/>
              </w:tabs>
              <w:spacing w:line="160" w:lineRule="exact"/>
              <w:ind w:right="189" w:hanging="99"/>
              <w:rPr>
                <w:sz w:val="14"/>
              </w:rPr>
            </w:pPr>
            <w:r>
              <w:rPr>
                <w:color w:val="231F20"/>
                <w:sz w:val="14"/>
              </w:rPr>
              <w:t>изводи елементарне</w:t>
            </w:r>
            <w:r>
              <w:rPr>
                <w:color w:val="231F20"/>
                <w:spacing w:val="-8"/>
                <w:sz w:val="14"/>
              </w:rPr>
              <w:t xml:space="preserve"> </w:t>
            </w:r>
            <w:r>
              <w:rPr>
                <w:color w:val="231F20"/>
                <w:sz w:val="14"/>
              </w:rPr>
              <w:t>трансформације тригонометријских</w:t>
            </w:r>
            <w:r>
              <w:rPr>
                <w:color w:val="231F20"/>
                <w:spacing w:val="-1"/>
                <w:sz w:val="14"/>
              </w:rPr>
              <w:t xml:space="preserve"> </w:t>
            </w:r>
            <w:r>
              <w:rPr>
                <w:color w:val="231F20"/>
                <w:sz w:val="14"/>
              </w:rPr>
              <w:t>израза;</w:t>
            </w:r>
          </w:p>
          <w:p w:rsidR="00041039" w:rsidRDefault="001B26CB">
            <w:pPr>
              <w:pStyle w:val="TableParagraph"/>
              <w:numPr>
                <w:ilvl w:val="0"/>
                <w:numId w:val="391"/>
              </w:numPr>
              <w:tabs>
                <w:tab w:val="left" w:pos="157"/>
              </w:tabs>
              <w:spacing w:line="160" w:lineRule="exact"/>
              <w:ind w:right="185" w:hanging="99"/>
              <w:rPr>
                <w:sz w:val="14"/>
              </w:rPr>
            </w:pPr>
            <w:r>
              <w:rPr>
                <w:color w:val="231F20"/>
                <w:sz w:val="14"/>
              </w:rPr>
              <w:t>реши елементарне</w:t>
            </w:r>
            <w:r>
              <w:rPr>
                <w:color w:val="231F20"/>
                <w:spacing w:val="-8"/>
                <w:sz w:val="14"/>
              </w:rPr>
              <w:t xml:space="preserve"> </w:t>
            </w:r>
            <w:r>
              <w:rPr>
                <w:color w:val="231F20"/>
                <w:sz w:val="14"/>
              </w:rPr>
              <w:t>тригонометријске једначине;</w:t>
            </w:r>
          </w:p>
          <w:p w:rsidR="00041039" w:rsidRDefault="001B26CB">
            <w:pPr>
              <w:pStyle w:val="TableParagraph"/>
              <w:numPr>
                <w:ilvl w:val="0"/>
                <w:numId w:val="391"/>
              </w:numPr>
              <w:tabs>
                <w:tab w:val="left" w:pos="157"/>
              </w:tabs>
              <w:spacing w:line="160" w:lineRule="exact"/>
              <w:ind w:right="623" w:hanging="99"/>
              <w:rPr>
                <w:sz w:val="14"/>
              </w:rPr>
            </w:pPr>
            <w:r>
              <w:rPr>
                <w:color w:val="231F20"/>
                <w:sz w:val="14"/>
              </w:rPr>
              <w:t>решава и друге</w:t>
            </w:r>
            <w:r>
              <w:rPr>
                <w:color w:val="231F20"/>
                <w:spacing w:val="-5"/>
                <w:sz w:val="14"/>
              </w:rPr>
              <w:t xml:space="preserve"> </w:t>
            </w:r>
            <w:r>
              <w:rPr>
                <w:color w:val="231F20"/>
                <w:sz w:val="14"/>
              </w:rPr>
              <w:t>једноставније тригонометријске</w:t>
            </w:r>
            <w:r>
              <w:rPr>
                <w:color w:val="231F20"/>
                <w:spacing w:val="-8"/>
                <w:sz w:val="14"/>
              </w:rPr>
              <w:t xml:space="preserve"> </w:t>
            </w:r>
            <w:r>
              <w:rPr>
                <w:color w:val="231F20"/>
                <w:sz w:val="14"/>
              </w:rPr>
              <w:t>једначине;</w:t>
            </w:r>
          </w:p>
          <w:p w:rsidR="00041039" w:rsidRDefault="001B26CB">
            <w:pPr>
              <w:pStyle w:val="TableParagraph"/>
              <w:numPr>
                <w:ilvl w:val="0"/>
                <w:numId w:val="391"/>
              </w:numPr>
              <w:tabs>
                <w:tab w:val="left" w:pos="157"/>
              </w:tabs>
              <w:spacing w:line="160" w:lineRule="exact"/>
              <w:ind w:right="196" w:hanging="99"/>
              <w:jc w:val="both"/>
              <w:rPr>
                <w:sz w:val="14"/>
              </w:rPr>
            </w:pPr>
            <w:r>
              <w:rPr>
                <w:color w:val="231F20"/>
                <w:sz w:val="14"/>
              </w:rPr>
              <w:t>скицира графике</w:t>
            </w:r>
            <w:r>
              <w:rPr>
                <w:color w:val="231F20"/>
                <w:spacing w:val="-13"/>
                <w:sz w:val="14"/>
              </w:rPr>
              <w:t xml:space="preserve"> </w:t>
            </w:r>
            <w:r>
              <w:rPr>
                <w:color w:val="231F20"/>
                <w:sz w:val="14"/>
              </w:rPr>
              <w:t>тригонометријских функција и са графика чита основне особине;</w:t>
            </w:r>
          </w:p>
          <w:p w:rsidR="00041039" w:rsidRDefault="001B26CB">
            <w:pPr>
              <w:pStyle w:val="TableParagraph"/>
              <w:numPr>
                <w:ilvl w:val="0"/>
                <w:numId w:val="391"/>
              </w:numPr>
              <w:tabs>
                <w:tab w:val="left" w:pos="157"/>
              </w:tabs>
              <w:spacing w:line="160" w:lineRule="exact"/>
              <w:ind w:right="96" w:hanging="99"/>
              <w:rPr>
                <w:sz w:val="14"/>
              </w:rPr>
            </w:pPr>
            <w:r>
              <w:rPr>
                <w:color w:val="231F20"/>
                <w:sz w:val="14"/>
              </w:rPr>
              <w:t>користи синусну и косинусну</w:t>
            </w:r>
            <w:r>
              <w:rPr>
                <w:color w:val="231F20"/>
                <w:spacing w:val="-20"/>
                <w:sz w:val="14"/>
              </w:rPr>
              <w:t xml:space="preserve"> </w:t>
            </w:r>
            <w:r>
              <w:rPr>
                <w:color w:val="231F20"/>
                <w:sz w:val="14"/>
              </w:rPr>
              <w:t>теорему при решавању</w:t>
            </w:r>
            <w:r>
              <w:rPr>
                <w:color w:val="231F20"/>
                <w:spacing w:val="-1"/>
                <w:sz w:val="14"/>
              </w:rPr>
              <w:t xml:space="preserve"> </w:t>
            </w:r>
            <w:r>
              <w:rPr>
                <w:color w:val="231F20"/>
                <w:spacing w:val="-3"/>
                <w:sz w:val="14"/>
              </w:rPr>
              <w:t>троугла;</w:t>
            </w:r>
          </w:p>
        </w:tc>
        <w:tc>
          <w:tcPr>
            <w:tcW w:w="2834" w:type="dxa"/>
          </w:tcPr>
          <w:p w:rsidR="00041039" w:rsidRDefault="001B26CB">
            <w:pPr>
              <w:pStyle w:val="TableParagraph"/>
              <w:numPr>
                <w:ilvl w:val="0"/>
                <w:numId w:val="390"/>
              </w:numPr>
              <w:tabs>
                <w:tab w:val="left" w:pos="157"/>
              </w:tabs>
              <w:spacing w:before="9" w:line="166" w:lineRule="exact"/>
              <w:ind w:hanging="99"/>
              <w:rPr>
                <w:sz w:val="14"/>
              </w:rPr>
            </w:pPr>
            <w:r>
              <w:rPr>
                <w:color w:val="231F20"/>
                <w:sz w:val="14"/>
              </w:rPr>
              <w:t>Тригонометријска</w:t>
            </w:r>
            <w:r>
              <w:rPr>
                <w:color w:val="231F20"/>
                <w:spacing w:val="-1"/>
                <w:sz w:val="14"/>
              </w:rPr>
              <w:t xml:space="preserve"> </w:t>
            </w:r>
            <w:r>
              <w:rPr>
                <w:color w:val="231F20"/>
                <w:sz w:val="14"/>
              </w:rPr>
              <w:t>кружница.</w:t>
            </w:r>
          </w:p>
          <w:p w:rsidR="00041039" w:rsidRDefault="001B26CB">
            <w:pPr>
              <w:pStyle w:val="TableParagraph"/>
              <w:numPr>
                <w:ilvl w:val="0"/>
                <w:numId w:val="390"/>
              </w:numPr>
              <w:tabs>
                <w:tab w:val="left" w:pos="157"/>
              </w:tabs>
              <w:spacing w:line="237" w:lineRule="auto"/>
              <w:ind w:right="502" w:hanging="99"/>
              <w:rPr>
                <w:sz w:val="14"/>
              </w:rPr>
            </w:pPr>
            <w:r>
              <w:rPr>
                <w:color w:val="231F20"/>
                <w:sz w:val="14"/>
              </w:rPr>
              <w:t>Трансформације</w:t>
            </w:r>
            <w:r>
              <w:rPr>
                <w:color w:val="231F20"/>
                <w:spacing w:val="-12"/>
                <w:sz w:val="14"/>
              </w:rPr>
              <w:t xml:space="preserve"> </w:t>
            </w:r>
            <w:r>
              <w:rPr>
                <w:color w:val="231F20"/>
                <w:sz w:val="14"/>
              </w:rPr>
              <w:t>тригонометријских функција и</w:t>
            </w:r>
            <w:r>
              <w:rPr>
                <w:color w:val="231F20"/>
                <w:spacing w:val="-2"/>
                <w:sz w:val="14"/>
              </w:rPr>
              <w:t xml:space="preserve"> </w:t>
            </w:r>
            <w:r>
              <w:rPr>
                <w:color w:val="231F20"/>
                <w:sz w:val="14"/>
              </w:rPr>
              <w:t>израза.</w:t>
            </w:r>
          </w:p>
          <w:p w:rsidR="00041039" w:rsidRDefault="001B26CB">
            <w:pPr>
              <w:pStyle w:val="TableParagraph"/>
              <w:numPr>
                <w:ilvl w:val="0"/>
                <w:numId w:val="390"/>
              </w:numPr>
              <w:tabs>
                <w:tab w:val="left" w:pos="157"/>
              </w:tabs>
              <w:spacing w:line="155" w:lineRule="exact"/>
              <w:ind w:hanging="99"/>
              <w:rPr>
                <w:sz w:val="14"/>
              </w:rPr>
            </w:pPr>
            <w:r>
              <w:rPr>
                <w:color w:val="231F20"/>
                <w:sz w:val="14"/>
              </w:rPr>
              <w:t>Адиционе</w:t>
            </w:r>
            <w:r>
              <w:rPr>
                <w:color w:val="231F20"/>
                <w:spacing w:val="-2"/>
                <w:sz w:val="14"/>
              </w:rPr>
              <w:t xml:space="preserve"> </w:t>
            </w:r>
            <w:r>
              <w:rPr>
                <w:color w:val="231F20"/>
                <w:sz w:val="14"/>
              </w:rPr>
              <w:t>теореме.</w:t>
            </w:r>
          </w:p>
          <w:p w:rsidR="00041039" w:rsidRDefault="001B26CB">
            <w:pPr>
              <w:pStyle w:val="TableParagraph"/>
              <w:numPr>
                <w:ilvl w:val="0"/>
                <w:numId w:val="390"/>
              </w:numPr>
              <w:tabs>
                <w:tab w:val="left" w:pos="157"/>
              </w:tabs>
              <w:spacing w:line="160" w:lineRule="exact"/>
              <w:ind w:hanging="99"/>
              <w:rPr>
                <w:sz w:val="14"/>
              </w:rPr>
            </w:pPr>
            <w:r>
              <w:rPr>
                <w:color w:val="231F20"/>
                <w:sz w:val="14"/>
              </w:rPr>
              <w:t>Формуле за двоструки</w:t>
            </w:r>
            <w:r>
              <w:rPr>
                <w:color w:val="231F20"/>
                <w:spacing w:val="-4"/>
                <w:sz w:val="14"/>
              </w:rPr>
              <w:t xml:space="preserve"> </w:t>
            </w:r>
            <w:r>
              <w:rPr>
                <w:color w:val="231F20"/>
                <w:sz w:val="14"/>
              </w:rPr>
              <w:t>угао.</w:t>
            </w:r>
          </w:p>
          <w:p w:rsidR="00041039" w:rsidRDefault="001B26CB">
            <w:pPr>
              <w:pStyle w:val="TableParagraph"/>
              <w:numPr>
                <w:ilvl w:val="0"/>
                <w:numId w:val="390"/>
              </w:numPr>
              <w:tabs>
                <w:tab w:val="left" w:pos="157"/>
              </w:tabs>
              <w:spacing w:line="160" w:lineRule="exact"/>
              <w:ind w:hanging="99"/>
              <w:rPr>
                <w:sz w:val="14"/>
              </w:rPr>
            </w:pPr>
            <w:r>
              <w:rPr>
                <w:color w:val="231F20"/>
                <w:sz w:val="14"/>
              </w:rPr>
              <w:t>Формуле за</w:t>
            </w:r>
            <w:r>
              <w:rPr>
                <w:color w:val="231F20"/>
                <w:spacing w:val="-4"/>
                <w:sz w:val="14"/>
              </w:rPr>
              <w:t xml:space="preserve"> </w:t>
            </w:r>
            <w:r>
              <w:rPr>
                <w:color w:val="231F20"/>
                <w:sz w:val="14"/>
              </w:rPr>
              <w:t>полуугао.</w:t>
            </w:r>
          </w:p>
          <w:p w:rsidR="00041039" w:rsidRDefault="001B26CB">
            <w:pPr>
              <w:pStyle w:val="TableParagraph"/>
              <w:numPr>
                <w:ilvl w:val="0"/>
                <w:numId w:val="390"/>
              </w:numPr>
              <w:tabs>
                <w:tab w:val="left" w:pos="157"/>
              </w:tabs>
              <w:spacing w:line="237" w:lineRule="auto"/>
              <w:ind w:right="518" w:hanging="99"/>
              <w:rPr>
                <w:sz w:val="14"/>
              </w:rPr>
            </w:pPr>
            <w:r>
              <w:rPr>
                <w:color w:val="231F20"/>
                <w:sz w:val="14"/>
              </w:rPr>
              <w:t>Трансформације збира у производ</w:t>
            </w:r>
            <w:r>
              <w:rPr>
                <w:color w:val="231F20"/>
                <w:spacing w:val="-23"/>
                <w:sz w:val="14"/>
              </w:rPr>
              <w:t xml:space="preserve"> </w:t>
            </w:r>
            <w:r>
              <w:rPr>
                <w:color w:val="231F20"/>
                <w:sz w:val="14"/>
              </w:rPr>
              <w:t>и обрнуто.</w:t>
            </w:r>
          </w:p>
          <w:p w:rsidR="00041039" w:rsidRDefault="001B26CB">
            <w:pPr>
              <w:pStyle w:val="TableParagraph"/>
              <w:numPr>
                <w:ilvl w:val="0"/>
                <w:numId w:val="390"/>
              </w:numPr>
              <w:tabs>
                <w:tab w:val="left" w:pos="157"/>
              </w:tabs>
              <w:spacing w:line="155" w:lineRule="exact"/>
              <w:ind w:hanging="99"/>
              <w:rPr>
                <w:sz w:val="14"/>
              </w:rPr>
            </w:pPr>
            <w:r>
              <w:rPr>
                <w:color w:val="231F20"/>
                <w:sz w:val="14"/>
              </w:rPr>
              <w:t>Тригонометријске</w:t>
            </w:r>
            <w:r>
              <w:rPr>
                <w:color w:val="231F20"/>
                <w:spacing w:val="-1"/>
                <w:sz w:val="14"/>
              </w:rPr>
              <w:t xml:space="preserve"> </w:t>
            </w:r>
            <w:r>
              <w:rPr>
                <w:color w:val="231F20"/>
                <w:sz w:val="14"/>
              </w:rPr>
              <w:t>једначине.</w:t>
            </w:r>
          </w:p>
          <w:p w:rsidR="00041039" w:rsidRDefault="001B26CB">
            <w:pPr>
              <w:pStyle w:val="TableParagraph"/>
              <w:numPr>
                <w:ilvl w:val="0"/>
                <w:numId w:val="390"/>
              </w:numPr>
              <w:tabs>
                <w:tab w:val="left" w:pos="157"/>
              </w:tabs>
              <w:spacing w:line="237" w:lineRule="auto"/>
              <w:ind w:right="204" w:hanging="99"/>
              <w:rPr>
                <w:sz w:val="14"/>
              </w:rPr>
            </w:pPr>
            <w:r>
              <w:rPr>
                <w:color w:val="231F20"/>
                <w:sz w:val="14"/>
              </w:rPr>
              <w:t>Једноставније тригонометријске</w:t>
            </w:r>
            <w:r>
              <w:rPr>
                <w:color w:val="231F20"/>
                <w:spacing w:val="-12"/>
                <w:sz w:val="14"/>
              </w:rPr>
              <w:t xml:space="preserve"> </w:t>
            </w:r>
            <w:r>
              <w:rPr>
                <w:color w:val="231F20"/>
                <w:sz w:val="14"/>
              </w:rPr>
              <w:t>неједна­ чине.</w:t>
            </w:r>
          </w:p>
          <w:p w:rsidR="00041039" w:rsidRDefault="001B26CB">
            <w:pPr>
              <w:pStyle w:val="TableParagraph"/>
              <w:numPr>
                <w:ilvl w:val="0"/>
                <w:numId w:val="390"/>
              </w:numPr>
              <w:tabs>
                <w:tab w:val="left" w:pos="157"/>
              </w:tabs>
              <w:spacing w:line="155" w:lineRule="exact"/>
              <w:ind w:hanging="99"/>
              <w:rPr>
                <w:sz w:val="14"/>
              </w:rPr>
            </w:pPr>
            <w:r>
              <w:rPr>
                <w:color w:val="231F20"/>
                <w:sz w:val="14"/>
              </w:rPr>
              <w:t>Графици три</w:t>
            </w:r>
            <w:r>
              <w:rPr>
                <w:color w:val="231F20"/>
                <w:sz w:val="14"/>
              </w:rPr>
              <w:t>гонометријских</w:t>
            </w:r>
            <w:r>
              <w:rPr>
                <w:color w:val="231F20"/>
                <w:spacing w:val="-3"/>
                <w:sz w:val="14"/>
              </w:rPr>
              <w:t xml:space="preserve"> </w:t>
            </w:r>
            <w:r>
              <w:rPr>
                <w:color w:val="231F20"/>
                <w:sz w:val="14"/>
              </w:rPr>
              <w:t>функција.</w:t>
            </w:r>
          </w:p>
          <w:p w:rsidR="00041039" w:rsidRDefault="001B26CB">
            <w:pPr>
              <w:pStyle w:val="TableParagraph"/>
              <w:numPr>
                <w:ilvl w:val="0"/>
                <w:numId w:val="390"/>
              </w:numPr>
              <w:tabs>
                <w:tab w:val="left" w:pos="157"/>
              </w:tabs>
              <w:spacing w:line="166" w:lineRule="exact"/>
              <w:ind w:hanging="99"/>
              <w:rPr>
                <w:sz w:val="14"/>
              </w:rPr>
            </w:pPr>
            <w:r>
              <w:rPr>
                <w:color w:val="231F20"/>
                <w:sz w:val="14"/>
              </w:rPr>
              <w:t>Синусна и косинусна</w:t>
            </w:r>
            <w:r>
              <w:rPr>
                <w:color w:val="231F20"/>
                <w:spacing w:val="-2"/>
                <w:sz w:val="14"/>
              </w:rPr>
              <w:t xml:space="preserve"> </w:t>
            </w:r>
            <w:r>
              <w:rPr>
                <w:color w:val="231F20"/>
                <w:sz w:val="14"/>
              </w:rPr>
              <w:t>теорема.</w:t>
            </w:r>
          </w:p>
        </w:tc>
        <w:tc>
          <w:tcPr>
            <w:tcW w:w="2267" w:type="dxa"/>
            <w:vMerge/>
            <w:tcBorders>
              <w:top w:val="nil"/>
            </w:tcBorders>
          </w:tcPr>
          <w:p w:rsidR="00041039" w:rsidRDefault="00041039">
            <w:pPr>
              <w:rPr>
                <w:sz w:val="2"/>
                <w:szCs w:val="2"/>
              </w:rPr>
            </w:pPr>
          </w:p>
        </w:tc>
      </w:tr>
      <w:tr w:rsidR="00041039">
        <w:trPr>
          <w:trHeight w:val="2600"/>
        </w:trPr>
        <w:tc>
          <w:tcPr>
            <w:tcW w:w="1304" w:type="dxa"/>
          </w:tcPr>
          <w:p w:rsidR="00041039" w:rsidRDefault="001B26CB">
            <w:pPr>
              <w:pStyle w:val="TableParagraph"/>
              <w:spacing w:before="21"/>
              <w:ind w:left="56" w:right="187"/>
              <w:rPr>
                <w:sz w:val="14"/>
              </w:rPr>
            </w:pPr>
            <w:r>
              <w:rPr>
                <w:color w:val="231F20"/>
                <w:sz w:val="14"/>
              </w:rPr>
              <w:t>Експоненцијална и логаритамска функција</w:t>
            </w:r>
          </w:p>
        </w:tc>
        <w:tc>
          <w:tcPr>
            <w:tcW w:w="1587" w:type="dxa"/>
          </w:tcPr>
          <w:p w:rsidR="00041039" w:rsidRDefault="001B26CB">
            <w:pPr>
              <w:pStyle w:val="TableParagraph"/>
              <w:numPr>
                <w:ilvl w:val="0"/>
                <w:numId w:val="389"/>
              </w:numPr>
              <w:tabs>
                <w:tab w:val="left" w:pos="157"/>
              </w:tabs>
              <w:spacing w:before="11"/>
              <w:ind w:right="199"/>
              <w:rPr>
                <w:sz w:val="14"/>
              </w:rPr>
            </w:pPr>
            <w:r>
              <w:rPr>
                <w:color w:val="231F20"/>
                <w:sz w:val="14"/>
              </w:rPr>
              <w:t>Стицање знања о решавању</w:t>
            </w:r>
            <w:r>
              <w:rPr>
                <w:color w:val="231F20"/>
                <w:spacing w:val="-10"/>
                <w:sz w:val="14"/>
              </w:rPr>
              <w:t xml:space="preserve"> </w:t>
            </w:r>
            <w:r>
              <w:rPr>
                <w:color w:val="231F20"/>
                <w:sz w:val="14"/>
              </w:rPr>
              <w:t>једначина и неједначина са експоненцијалним</w:t>
            </w:r>
          </w:p>
          <w:p w:rsidR="00041039" w:rsidRDefault="001B26CB">
            <w:pPr>
              <w:pStyle w:val="TableParagraph"/>
              <w:spacing w:line="237" w:lineRule="auto"/>
              <w:ind w:right="381"/>
              <w:rPr>
                <w:sz w:val="14"/>
              </w:rPr>
            </w:pPr>
            <w:r>
              <w:rPr>
                <w:color w:val="231F20"/>
                <w:sz w:val="14"/>
              </w:rPr>
              <w:t>и логаритамским изразима.</w:t>
            </w:r>
          </w:p>
        </w:tc>
        <w:tc>
          <w:tcPr>
            <w:tcW w:w="2551" w:type="dxa"/>
          </w:tcPr>
          <w:p w:rsidR="00041039" w:rsidRDefault="001B26CB">
            <w:pPr>
              <w:pStyle w:val="TableParagraph"/>
              <w:numPr>
                <w:ilvl w:val="0"/>
                <w:numId w:val="388"/>
              </w:numPr>
              <w:tabs>
                <w:tab w:val="left" w:pos="157"/>
              </w:tabs>
              <w:spacing w:before="11"/>
              <w:ind w:right="680" w:hanging="99"/>
              <w:rPr>
                <w:sz w:val="14"/>
              </w:rPr>
            </w:pPr>
            <w:r>
              <w:rPr>
                <w:color w:val="231F20"/>
                <w:sz w:val="14"/>
              </w:rPr>
              <w:t>скицира и даје опис</w:t>
            </w:r>
            <w:r>
              <w:rPr>
                <w:color w:val="231F20"/>
                <w:spacing w:val="-9"/>
                <w:sz w:val="14"/>
              </w:rPr>
              <w:t xml:space="preserve"> </w:t>
            </w:r>
            <w:r>
              <w:rPr>
                <w:color w:val="231F20"/>
                <w:sz w:val="14"/>
              </w:rPr>
              <w:t>графика експоненцијалне</w:t>
            </w:r>
            <w:r>
              <w:rPr>
                <w:color w:val="231F20"/>
                <w:spacing w:val="-4"/>
                <w:sz w:val="14"/>
              </w:rPr>
              <w:t xml:space="preserve"> </w:t>
            </w:r>
            <w:r>
              <w:rPr>
                <w:color w:val="231F20"/>
                <w:sz w:val="14"/>
              </w:rPr>
              <w:t>функције;</w:t>
            </w:r>
          </w:p>
          <w:p w:rsidR="00041039" w:rsidRDefault="001B26CB">
            <w:pPr>
              <w:pStyle w:val="TableParagraph"/>
              <w:numPr>
                <w:ilvl w:val="0"/>
                <w:numId w:val="388"/>
              </w:numPr>
              <w:tabs>
                <w:tab w:val="left" w:pos="157"/>
              </w:tabs>
              <w:spacing w:line="160" w:lineRule="exact"/>
              <w:ind w:right="233" w:hanging="99"/>
              <w:rPr>
                <w:sz w:val="14"/>
              </w:rPr>
            </w:pPr>
            <w:r>
              <w:rPr>
                <w:color w:val="231F20"/>
                <w:sz w:val="14"/>
              </w:rPr>
              <w:t>реши лакше експоненцијалне</w:t>
            </w:r>
            <w:r>
              <w:rPr>
                <w:color w:val="231F20"/>
                <w:spacing w:val="-12"/>
                <w:sz w:val="14"/>
              </w:rPr>
              <w:t xml:space="preserve"> </w:t>
            </w:r>
            <w:r>
              <w:rPr>
                <w:color w:val="231F20"/>
                <w:sz w:val="14"/>
              </w:rPr>
              <w:t>једна­ чине;</w:t>
            </w:r>
          </w:p>
          <w:p w:rsidR="00041039" w:rsidRDefault="001B26CB">
            <w:pPr>
              <w:pStyle w:val="TableParagraph"/>
              <w:numPr>
                <w:ilvl w:val="0"/>
                <w:numId w:val="388"/>
              </w:numPr>
              <w:tabs>
                <w:tab w:val="left" w:pos="157"/>
              </w:tabs>
              <w:spacing w:line="160" w:lineRule="exact"/>
              <w:ind w:right="233" w:hanging="99"/>
              <w:rPr>
                <w:sz w:val="14"/>
              </w:rPr>
            </w:pPr>
            <w:r>
              <w:rPr>
                <w:color w:val="231F20"/>
                <w:sz w:val="14"/>
              </w:rPr>
              <w:t>реши лакше експоненцијалне</w:t>
            </w:r>
            <w:r>
              <w:rPr>
                <w:color w:val="231F20"/>
                <w:spacing w:val="-15"/>
                <w:sz w:val="14"/>
              </w:rPr>
              <w:t xml:space="preserve"> </w:t>
            </w:r>
            <w:r>
              <w:rPr>
                <w:color w:val="231F20"/>
                <w:sz w:val="14"/>
              </w:rPr>
              <w:t>нејед­ начине;</w:t>
            </w:r>
          </w:p>
          <w:p w:rsidR="00041039" w:rsidRDefault="001B26CB">
            <w:pPr>
              <w:pStyle w:val="TableParagraph"/>
              <w:numPr>
                <w:ilvl w:val="0"/>
                <w:numId w:val="388"/>
              </w:numPr>
              <w:tabs>
                <w:tab w:val="left" w:pos="157"/>
              </w:tabs>
              <w:spacing w:line="160" w:lineRule="exact"/>
              <w:ind w:right="194" w:hanging="99"/>
              <w:rPr>
                <w:sz w:val="14"/>
              </w:rPr>
            </w:pPr>
            <w:r>
              <w:rPr>
                <w:color w:val="231F20"/>
                <w:sz w:val="14"/>
              </w:rPr>
              <w:t>скицира и даје опис графика</w:t>
            </w:r>
            <w:r>
              <w:rPr>
                <w:color w:val="231F20"/>
                <w:spacing w:val="-15"/>
                <w:sz w:val="14"/>
              </w:rPr>
              <w:t xml:space="preserve"> </w:t>
            </w:r>
            <w:r>
              <w:rPr>
                <w:color w:val="231F20"/>
                <w:sz w:val="14"/>
              </w:rPr>
              <w:t>логари­ тамске</w:t>
            </w:r>
            <w:r>
              <w:rPr>
                <w:color w:val="231F20"/>
                <w:spacing w:val="-1"/>
                <w:sz w:val="14"/>
              </w:rPr>
              <w:t xml:space="preserve"> </w:t>
            </w:r>
            <w:r>
              <w:rPr>
                <w:color w:val="231F20"/>
                <w:sz w:val="14"/>
              </w:rPr>
              <w:t>функције;</w:t>
            </w:r>
          </w:p>
          <w:p w:rsidR="00041039" w:rsidRDefault="001B26CB">
            <w:pPr>
              <w:pStyle w:val="TableParagraph"/>
              <w:numPr>
                <w:ilvl w:val="0"/>
                <w:numId w:val="388"/>
              </w:numPr>
              <w:tabs>
                <w:tab w:val="left" w:pos="157"/>
              </w:tabs>
              <w:spacing w:line="160" w:lineRule="exact"/>
              <w:ind w:right="207" w:hanging="99"/>
              <w:rPr>
                <w:sz w:val="14"/>
              </w:rPr>
            </w:pPr>
            <w:r>
              <w:rPr>
                <w:color w:val="231F20"/>
                <w:sz w:val="14"/>
              </w:rPr>
              <w:t>изведе елементарне трансформације логаритамских</w:t>
            </w:r>
            <w:r>
              <w:rPr>
                <w:color w:val="231F20"/>
                <w:spacing w:val="-1"/>
                <w:sz w:val="14"/>
              </w:rPr>
              <w:t xml:space="preserve"> </w:t>
            </w:r>
            <w:r>
              <w:rPr>
                <w:color w:val="231F20"/>
                <w:sz w:val="14"/>
              </w:rPr>
              <w:t>израза;</w:t>
            </w:r>
          </w:p>
          <w:p w:rsidR="00041039" w:rsidRDefault="001B26CB">
            <w:pPr>
              <w:pStyle w:val="TableParagraph"/>
              <w:numPr>
                <w:ilvl w:val="0"/>
                <w:numId w:val="388"/>
              </w:numPr>
              <w:tabs>
                <w:tab w:val="left" w:pos="157"/>
              </w:tabs>
              <w:spacing w:line="153" w:lineRule="exact"/>
              <w:ind w:hanging="99"/>
              <w:rPr>
                <w:sz w:val="14"/>
              </w:rPr>
            </w:pPr>
            <w:r>
              <w:rPr>
                <w:color w:val="231F20"/>
                <w:sz w:val="14"/>
              </w:rPr>
              <w:t>реши лакше логаритамске</w:t>
            </w:r>
            <w:r>
              <w:rPr>
                <w:color w:val="231F20"/>
                <w:spacing w:val="-9"/>
                <w:sz w:val="14"/>
              </w:rPr>
              <w:t xml:space="preserve"> </w:t>
            </w:r>
            <w:r>
              <w:rPr>
                <w:color w:val="231F20"/>
                <w:sz w:val="14"/>
              </w:rPr>
              <w:t>једначине;</w:t>
            </w:r>
          </w:p>
          <w:p w:rsidR="00041039" w:rsidRDefault="001B26CB">
            <w:pPr>
              <w:pStyle w:val="TableParagraph"/>
              <w:numPr>
                <w:ilvl w:val="0"/>
                <w:numId w:val="388"/>
              </w:numPr>
              <w:tabs>
                <w:tab w:val="left" w:pos="157"/>
              </w:tabs>
              <w:spacing w:line="237" w:lineRule="auto"/>
              <w:ind w:right="294" w:hanging="99"/>
              <w:rPr>
                <w:sz w:val="14"/>
              </w:rPr>
            </w:pPr>
            <w:r>
              <w:rPr>
                <w:color w:val="231F20"/>
                <w:sz w:val="14"/>
              </w:rPr>
              <w:t>реши лакше логаритамске</w:t>
            </w:r>
            <w:r>
              <w:rPr>
                <w:color w:val="231F20"/>
                <w:spacing w:val="-17"/>
                <w:sz w:val="14"/>
              </w:rPr>
              <w:t xml:space="preserve"> </w:t>
            </w:r>
            <w:r>
              <w:rPr>
                <w:color w:val="231F20"/>
                <w:sz w:val="14"/>
              </w:rPr>
              <w:t>неједна­ чине;</w:t>
            </w:r>
          </w:p>
          <w:p w:rsidR="00041039" w:rsidRDefault="001B26CB">
            <w:pPr>
              <w:pStyle w:val="TableParagraph"/>
              <w:numPr>
                <w:ilvl w:val="0"/>
                <w:numId w:val="388"/>
              </w:numPr>
              <w:tabs>
                <w:tab w:val="left" w:pos="157"/>
              </w:tabs>
              <w:spacing w:line="160" w:lineRule="exact"/>
              <w:ind w:right="256" w:hanging="99"/>
              <w:rPr>
                <w:sz w:val="14"/>
              </w:rPr>
            </w:pPr>
            <w:r>
              <w:rPr>
                <w:color w:val="231F20"/>
                <w:sz w:val="14"/>
              </w:rPr>
              <w:t>реши једноставније системе експоненцијалних и логаритамских једначина;</w:t>
            </w:r>
          </w:p>
        </w:tc>
        <w:tc>
          <w:tcPr>
            <w:tcW w:w="2834" w:type="dxa"/>
          </w:tcPr>
          <w:p w:rsidR="00041039" w:rsidRDefault="001B26CB">
            <w:pPr>
              <w:pStyle w:val="TableParagraph"/>
              <w:numPr>
                <w:ilvl w:val="0"/>
                <w:numId w:val="387"/>
              </w:numPr>
              <w:tabs>
                <w:tab w:val="left" w:pos="158"/>
              </w:tabs>
              <w:spacing w:before="11"/>
              <w:ind w:right="401"/>
              <w:rPr>
                <w:sz w:val="14"/>
              </w:rPr>
            </w:pPr>
            <w:r>
              <w:rPr>
                <w:color w:val="231F20"/>
                <w:sz w:val="14"/>
              </w:rPr>
              <w:t>Експоненцијална функција ­ график</w:t>
            </w:r>
            <w:r>
              <w:rPr>
                <w:color w:val="231F20"/>
                <w:spacing w:val="-16"/>
                <w:sz w:val="14"/>
              </w:rPr>
              <w:t xml:space="preserve"> </w:t>
            </w:r>
            <w:r>
              <w:rPr>
                <w:color w:val="231F20"/>
                <w:sz w:val="14"/>
              </w:rPr>
              <w:t>и особине.</w:t>
            </w:r>
          </w:p>
          <w:p w:rsidR="00041039" w:rsidRDefault="001B26CB">
            <w:pPr>
              <w:pStyle w:val="TableParagraph"/>
              <w:numPr>
                <w:ilvl w:val="0"/>
                <w:numId w:val="387"/>
              </w:numPr>
              <w:tabs>
                <w:tab w:val="left" w:pos="158"/>
              </w:tabs>
              <w:spacing w:before="1" w:line="160" w:lineRule="exact"/>
              <w:ind w:right="397"/>
              <w:rPr>
                <w:sz w:val="14"/>
              </w:rPr>
            </w:pPr>
            <w:r>
              <w:rPr>
                <w:color w:val="231F20"/>
                <w:sz w:val="14"/>
              </w:rPr>
              <w:t>Експоненцијални изрази, једначине и неједначине.</w:t>
            </w:r>
          </w:p>
          <w:p w:rsidR="00041039" w:rsidRDefault="001B26CB">
            <w:pPr>
              <w:pStyle w:val="TableParagraph"/>
              <w:numPr>
                <w:ilvl w:val="0"/>
                <w:numId w:val="387"/>
              </w:numPr>
              <w:tabs>
                <w:tab w:val="left" w:pos="158"/>
              </w:tabs>
              <w:spacing w:line="153" w:lineRule="exact"/>
              <w:rPr>
                <w:sz w:val="14"/>
              </w:rPr>
            </w:pPr>
            <w:r>
              <w:rPr>
                <w:color w:val="231F20"/>
                <w:sz w:val="14"/>
              </w:rPr>
              <w:t>Инверзна</w:t>
            </w:r>
            <w:r>
              <w:rPr>
                <w:color w:val="231F20"/>
                <w:spacing w:val="-2"/>
                <w:sz w:val="14"/>
              </w:rPr>
              <w:t xml:space="preserve"> </w:t>
            </w:r>
            <w:r>
              <w:rPr>
                <w:color w:val="231F20"/>
                <w:sz w:val="14"/>
              </w:rPr>
              <w:t>функција.</w:t>
            </w:r>
          </w:p>
          <w:p w:rsidR="00041039" w:rsidRDefault="001B26CB">
            <w:pPr>
              <w:pStyle w:val="TableParagraph"/>
              <w:numPr>
                <w:ilvl w:val="0"/>
                <w:numId w:val="387"/>
              </w:numPr>
              <w:tabs>
                <w:tab w:val="left" w:pos="158"/>
              </w:tabs>
              <w:spacing w:line="160" w:lineRule="exact"/>
              <w:rPr>
                <w:sz w:val="14"/>
              </w:rPr>
            </w:pPr>
            <w:r>
              <w:rPr>
                <w:color w:val="231F20"/>
                <w:sz w:val="14"/>
              </w:rPr>
              <w:t>Логаритамска функција ­ график и</w:t>
            </w:r>
            <w:r>
              <w:rPr>
                <w:color w:val="231F20"/>
                <w:spacing w:val="-14"/>
                <w:sz w:val="14"/>
              </w:rPr>
              <w:t xml:space="preserve"> </w:t>
            </w:r>
            <w:r>
              <w:rPr>
                <w:color w:val="231F20"/>
                <w:sz w:val="14"/>
              </w:rPr>
              <w:t>особине.</w:t>
            </w:r>
          </w:p>
          <w:p w:rsidR="00041039" w:rsidRDefault="001B26CB">
            <w:pPr>
              <w:pStyle w:val="TableParagraph"/>
              <w:numPr>
                <w:ilvl w:val="0"/>
                <w:numId w:val="387"/>
              </w:numPr>
              <w:tabs>
                <w:tab w:val="left" w:pos="158"/>
              </w:tabs>
              <w:spacing w:line="237" w:lineRule="auto"/>
              <w:ind w:right="316"/>
              <w:rPr>
                <w:sz w:val="14"/>
              </w:rPr>
            </w:pPr>
            <w:r>
              <w:rPr>
                <w:color w:val="231F20"/>
                <w:sz w:val="14"/>
              </w:rPr>
              <w:t>Правила логаритмовања, логаритамски изрази.</w:t>
            </w:r>
          </w:p>
          <w:p w:rsidR="00041039" w:rsidRDefault="001B26CB">
            <w:pPr>
              <w:pStyle w:val="TableParagraph"/>
              <w:numPr>
                <w:ilvl w:val="0"/>
                <w:numId w:val="387"/>
              </w:numPr>
              <w:tabs>
                <w:tab w:val="left" w:pos="158"/>
              </w:tabs>
              <w:spacing w:line="155" w:lineRule="exact"/>
              <w:rPr>
                <w:sz w:val="14"/>
              </w:rPr>
            </w:pPr>
            <w:r>
              <w:rPr>
                <w:color w:val="231F20"/>
                <w:sz w:val="14"/>
              </w:rPr>
              <w:t>Логаритамске једначине и</w:t>
            </w:r>
            <w:r>
              <w:rPr>
                <w:color w:val="231F20"/>
                <w:spacing w:val="-8"/>
                <w:sz w:val="14"/>
              </w:rPr>
              <w:t xml:space="preserve"> </w:t>
            </w:r>
            <w:r>
              <w:rPr>
                <w:color w:val="231F20"/>
                <w:sz w:val="14"/>
              </w:rPr>
              <w:t>неједначине.</w:t>
            </w:r>
          </w:p>
          <w:p w:rsidR="00041039" w:rsidRDefault="001B26CB">
            <w:pPr>
              <w:pStyle w:val="TableParagraph"/>
              <w:numPr>
                <w:ilvl w:val="0"/>
                <w:numId w:val="387"/>
              </w:numPr>
              <w:tabs>
                <w:tab w:val="left" w:pos="158"/>
              </w:tabs>
              <w:spacing w:line="237" w:lineRule="auto"/>
              <w:ind w:right="61"/>
              <w:rPr>
                <w:sz w:val="14"/>
              </w:rPr>
            </w:pPr>
            <w:r>
              <w:rPr>
                <w:color w:val="231F20"/>
                <w:sz w:val="14"/>
              </w:rPr>
              <w:t>Систем експоненцијалних и логаритамских једначина.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p w:rsidR="00041039" w:rsidRDefault="001B26CB">
      <w:pPr>
        <w:tabs>
          <w:tab w:val="left" w:pos="1460"/>
        </w:tabs>
        <w:spacing w:before="69" w:line="314" w:lineRule="auto"/>
        <w:ind w:left="157" w:right="8289"/>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175 часова </w:t>
      </w:r>
      <w:r>
        <w:rPr>
          <w:color w:val="231F20"/>
          <w:sz w:val="14"/>
        </w:rPr>
        <w:t>Разред:</w:t>
      </w:r>
      <w:r>
        <w:rPr>
          <w:color w:val="231F20"/>
          <w:sz w:val="14"/>
        </w:rPr>
        <w:tab/>
      </w:r>
      <w:r>
        <w:rPr>
          <w:b/>
          <w:color w:val="231F20"/>
          <w:sz w:val="14"/>
        </w:rPr>
        <w:t>трећи</w:t>
      </w:r>
    </w:p>
    <w:p w:rsidR="00041039" w:rsidRDefault="00041039">
      <w:pPr>
        <w:pStyle w:val="BodyText"/>
        <w:spacing w:before="3"/>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Pr>
                <w:sz w:val="14"/>
              </w:rPr>
            </w:pPr>
            <w:r>
              <w:rPr>
                <w:color w:val="231F20"/>
                <w:sz w:val="14"/>
              </w:rPr>
              <w:t>Полиедри</w:t>
            </w:r>
          </w:p>
        </w:tc>
        <w:tc>
          <w:tcPr>
            <w:tcW w:w="1587" w:type="dxa"/>
          </w:tcPr>
          <w:p w:rsidR="00041039" w:rsidRDefault="001B26CB">
            <w:pPr>
              <w:pStyle w:val="TableParagraph"/>
              <w:numPr>
                <w:ilvl w:val="0"/>
                <w:numId w:val="386"/>
              </w:numPr>
              <w:tabs>
                <w:tab w:val="left" w:pos="157"/>
              </w:tabs>
              <w:spacing w:before="8"/>
              <w:ind w:right="169"/>
              <w:rPr>
                <w:sz w:val="14"/>
              </w:rPr>
            </w:pPr>
            <w:r>
              <w:rPr>
                <w:color w:val="231F20"/>
                <w:sz w:val="14"/>
              </w:rPr>
              <w:t>Обнављање и упо­ тпуњавање знања о површини и запре­ мини полиедара и примена ових</w:t>
            </w:r>
            <w:r>
              <w:rPr>
                <w:color w:val="231F20"/>
                <w:spacing w:val="-11"/>
                <w:sz w:val="14"/>
              </w:rPr>
              <w:t xml:space="preserve"> </w:t>
            </w:r>
            <w:r>
              <w:rPr>
                <w:color w:val="231F20"/>
                <w:sz w:val="14"/>
              </w:rPr>
              <w:t>знања.</w:t>
            </w:r>
          </w:p>
        </w:tc>
        <w:tc>
          <w:tcPr>
            <w:tcW w:w="2551" w:type="dxa"/>
          </w:tcPr>
          <w:p w:rsidR="00041039" w:rsidRDefault="001B26CB">
            <w:pPr>
              <w:pStyle w:val="TableParagraph"/>
              <w:numPr>
                <w:ilvl w:val="0"/>
                <w:numId w:val="385"/>
              </w:numPr>
              <w:tabs>
                <w:tab w:val="left" w:pos="157"/>
              </w:tabs>
              <w:spacing w:before="8"/>
              <w:ind w:right="81" w:hanging="99"/>
              <w:rPr>
                <w:sz w:val="14"/>
              </w:rPr>
            </w:pPr>
            <w:r>
              <w:rPr>
                <w:color w:val="231F20"/>
                <w:sz w:val="14"/>
              </w:rPr>
              <w:t>примени формуле за израчунавање обима и површине: правоугаоника, квадрата, паралелограма, троугла,</w:t>
            </w:r>
            <w:r>
              <w:rPr>
                <w:color w:val="231F20"/>
                <w:spacing w:val="-27"/>
                <w:sz w:val="14"/>
              </w:rPr>
              <w:t xml:space="preserve"> </w:t>
            </w:r>
            <w:r>
              <w:rPr>
                <w:color w:val="231F20"/>
                <w:sz w:val="14"/>
              </w:rPr>
              <w:t xml:space="preserve">чет­ </w:t>
            </w:r>
            <w:r>
              <w:rPr>
                <w:color w:val="231F20"/>
                <w:spacing w:val="-3"/>
                <w:sz w:val="14"/>
              </w:rPr>
              <w:t xml:space="preserve">вороугла </w:t>
            </w:r>
            <w:r>
              <w:rPr>
                <w:color w:val="231F20"/>
                <w:sz w:val="14"/>
              </w:rPr>
              <w:t>са нормалним дијагоналама, једнакостраничног троугла, трапеза, правилног</w:t>
            </w:r>
            <w:r>
              <w:rPr>
                <w:color w:val="231F20"/>
                <w:spacing w:val="-2"/>
                <w:sz w:val="14"/>
              </w:rPr>
              <w:t xml:space="preserve"> </w:t>
            </w:r>
            <w:r>
              <w:rPr>
                <w:color w:val="231F20"/>
                <w:sz w:val="14"/>
              </w:rPr>
              <w:t>шестоугла;</w:t>
            </w:r>
          </w:p>
          <w:p w:rsidR="00041039" w:rsidRDefault="001B26CB">
            <w:pPr>
              <w:pStyle w:val="TableParagraph"/>
              <w:numPr>
                <w:ilvl w:val="0"/>
                <w:numId w:val="385"/>
              </w:numPr>
              <w:tabs>
                <w:tab w:val="left" w:pos="157"/>
              </w:tabs>
              <w:spacing w:line="154" w:lineRule="exact"/>
              <w:ind w:hanging="99"/>
              <w:rPr>
                <w:sz w:val="14"/>
              </w:rPr>
            </w:pPr>
            <w:r>
              <w:rPr>
                <w:color w:val="231F20"/>
                <w:sz w:val="14"/>
              </w:rPr>
              <w:t>израчуна површину и</w:t>
            </w:r>
            <w:r>
              <w:rPr>
                <w:color w:val="231F20"/>
                <w:spacing w:val="-7"/>
                <w:sz w:val="14"/>
              </w:rPr>
              <w:t xml:space="preserve"> </w:t>
            </w:r>
            <w:r>
              <w:rPr>
                <w:color w:val="231F20"/>
                <w:sz w:val="14"/>
              </w:rPr>
              <w:t>запремину</w:t>
            </w:r>
          </w:p>
          <w:p w:rsidR="00041039" w:rsidRDefault="001B26CB">
            <w:pPr>
              <w:pStyle w:val="TableParagraph"/>
              <w:spacing w:line="155" w:lineRule="exact"/>
              <w:rPr>
                <w:sz w:val="14"/>
              </w:rPr>
            </w:pPr>
            <w:r>
              <w:rPr>
                <w:color w:val="231F20"/>
                <w:sz w:val="14"/>
              </w:rPr>
              <w:t>призме;</w:t>
            </w:r>
          </w:p>
          <w:p w:rsidR="00041039" w:rsidRDefault="001B26CB">
            <w:pPr>
              <w:pStyle w:val="TableParagraph"/>
              <w:numPr>
                <w:ilvl w:val="0"/>
                <w:numId w:val="385"/>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пирамиде;</w:t>
            </w:r>
          </w:p>
          <w:p w:rsidR="00041039" w:rsidRDefault="001B26CB">
            <w:pPr>
              <w:pStyle w:val="TableParagraph"/>
              <w:numPr>
                <w:ilvl w:val="0"/>
                <w:numId w:val="385"/>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сложеног</w:t>
            </w:r>
            <w:r>
              <w:rPr>
                <w:color w:val="231F20"/>
                <w:spacing w:val="-1"/>
                <w:sz w:val="14"/>
              </w:rPr>
              <w:t xml:space="preserve"> </w:t>
            </w:r>
            <w:r>
              <w:rPr>
                <w:color w:val="231F20"/>
                <w:sz w:val="14"/>
              </w:rPr>
              <w:t>тела;</w:t>
            </w:r>
          </w:p>
          <w:p w:rsidR="00041039" w:rsidRDefault="001B26CB">
            <w:pPr>
              <w:pStyle w:val="TableParagraph"/>
              <w:numPr>
                <w:ilvl w:val="0"/>
                <w:numId w:val="385"/>
              </w:numPr>
              <w:tabs>
                <w:tab w:val="left" w:pos="157"/>
              </w:tabs>
              <w:spacing w:line="160" w:lineRule="exact"/>
              <w:ind w:right="201" w:hanging="99"/>
              <w:rPr>
                <w:sz w:val="14"/>
              </w:rPr>
            </w:pPr>
            <w:r>
              <w:rPr>
                <w:color w:val="231F20"/>
                <w:sz w:val="14"/>
              </w:rPr>
              <w:t>проналази равне пресеке полиедра и израчунава им</w:t>
            </w:r>
            <w:r>
              <w:rPr>
                <w:color w:val="231F20"/>
                <w:spacing w:val="-3"/>
                <w:sz w:val="14"/>
              </w:rPr>
              <w:t xml:space="preserve"> </w:t>
            </w:r>
            <w:r>
              <w:rPr>
                <w:color w:val="231F20"/>
                <w:sz w:val="14"/>
              </w:rPr>
              <w:t>површину;</w:t>
            </w:r>
          </w:p>
          <w:p w:rsidR="00041039" w:rsidRDefault="001B26CB">
            <w:pPr>
              <w:pStyle w:val="TableParagraph"/>
              <w:numPr>
                <w:ilvl w:val="0"/>
                <w:numId w:val="385"/>
              </w:numPr>
              <w:tabs>
                <w:tab w:val="left" w:pos="157"/>
              </w:tabs>
              <w:spacing w:line="153" w:lineRule="exact"/>
              <w:ind w:hanging="99"/>
              <w:rPr>
                <w:sz w:val="14"/>
              </w:rPr>
            </w:pPr>
            <w:r>
              <w:rPr>
                <w:color w:val="231F20"/>
                <w:sz w:val="14"/>
              </w:rPr>
              <w:t>разликује пет правилних</w:t>
            </w:r>
            <w:r>
              <w:rPr>
                <w:color w:val="231F20"/>
                <w:spacing w:val="-8"/>
                <w:sz w:val="14"/>
              </w:rPr>
              <w:t xml:space="preserve"> </w:t>
            </w:r>
            <w:r>
              <w:rPr>
                <w:color w:val="231F20"/>
                <w:sz w:val="14"/>
              </w:rPr>
              <w:t>полиедара;</w:t>
            </w:r>
          </w:p>
          <w:p w:rsidR="00041039" w:rsidRDefault="001B26CB">
            <w:pPr>
              <w:pStyle w:val="TableParagraph"/>
              <w:numPr>
                <w:ilvl w:val="0"/>
                <w:numId w:val="385"/>
              </w:numPr>
              <w:tabs>
                <w:tab w:val="left" w:pos="157"/>
              </w:tabs>
              <w:spacing w:line="237" w:lineRule="auto"/>
              <w:ind w:right="236" w:hanging="99"/>
              <w:rPr>
                <w:sz w:val="14"/>
              </w:rPr>
            </w:pPr>
            <w:r>
              <w:rPr>
                <w:color w:val="231F20"/>
                <w:sz w:val="14"/>
              </w:rPr>
              <w:t>примени стечено знање у</w:t>
            </w:r>
            <w:r>
              <w:rPr>
                <w:color w:val="231F20"/>
                <w:spacing w:val="-17"/>
                <w:sz w:val="14"/>
              </w:rPr>
              <w:t xml:space="preserve"> </w:t>
            </w:r>
            <w:r>
              <w:rPr>
                <w:color w:val="231F20"/>
                <w:sz w:val="14"/>
              </w:rPr>
              <w:t>решавању практичних</w:t>
            </w:r>
            <w:r>
              <w:rPr>
                <w:color w:val="231F20"/>
                <w:spacing w:val="-1"/>
                <w:sz w:val="14"/>
              </w:rPr>
              <w:t xml:space="preserve"> </w:t>
            </w:r>
            <w:r>
              <w:rPr>
                <w:color w:val="231F20"/>
                <w:sz w:val="14"/>
              </w:rPr>
              <w:t>проблема;</w:t>
            </w:r>
          </w:p>
        </w:tc>
        <w:tc>
          <w:tcPr>
            <w:tcW w:w="2834" w:type="dxa"/>
          </w:tcPr>
          <w:p w:rsidR="00041039" w:rsidRDefault="001B26CB">
            <w:pPr>
              <w:pStyle w:val="TableParagraph"/>
              <w:numPr>
                <w:ilvl w:val="0"/>
                <w:numId w:val="384"/>
              </w:numPr>
              <w:tabs>
                <w:tab w:val="left" w:pos="157"/>
              </w:tabs>
              <w:spacing w:before="8" w:line="166" w:lineRule="exact"/>
              <w:ind w:hanging="99"/>
              <w:rPr>
                <w:sz w:val="14"/>
              </w:rPr>
            </w:pPr>
            <w:r>
              <w:rPr>
                <w:color w:val="231F20"/>
                <w:sz w:val="14"/>
              </w:rPr>
              <w:t>Површине равних</w:t>
            </w:r>
            <w:r>
              <w:rPr>
                <w:color w:val="231F20"/>
                <w:spacing w:val="-2"/>
                <w:sz w:val="14"/>
              </w:rPr>
              <w:t xml:space="preserve"> </w:t>
            </w:r>
            <w:r>
              <w:rPr>
                <w:color w:val="231F20"/>
                <w:sz w:val="14"/>
              </w:rPr>
              <w:t>фигура.</w:t>
            </w:r>
          </w:p>
          <w:p w:rsidR="00041039" w:rsidRDefault="001B26CB">
            <w:pPr>
              <w:pStyle w:val="TableParagraph"/>
              <w:numPr>
                <w:ilvl w:val="0"/>
                <w:numId w:val="384"/>
              </w:numPr>
              <w:tabs>
                <w:tab w:val="left" w:pos="157"/>
              </w:tabs>
              <w:spacing w:line="160" w:lineRule="exact"/>
              <w:ind w:hanging="99"/>
              <w:rPr>
                <w:sz w:val="14"/>
              </w:rPr>
            </w:pPr>
            <w:r>
              <w:rPr>
                <w:color w:val="231F20"/>
                <w:sz w:val="14"/>
              </w:rPr>
              <w:t>Површина и запремина</w:t>
            </w:r>
            <w:r>
              <w:rPr>
                <w:color w:val="231F20"/>
                <w:spacing w:val="-6"/>
                <w:sz w:val="14"/>
              </w:rPr>
              <w:t xml:space="preserve"> </w:t>
            </w:r>
            <w:r>
              <w:rPr>
                <w:color w:val="231F20"/>
                <w:sz w:val="14"/>
              </w:rPr>
              <w:t>призме.</w:t>
            </w:r>
          </w:p>
          <w:p w:rsidR="00041039" w:rsidRDefault="001B26CB">
            <w:pPr>
              <w:pStyle w:val="TableParagraph"/>
              <w:numPr>
                <w:ilvl w:val="0"/>
                <w:numId w:val="384"/>
              </w:numPr>
              <w:tabs>
                <w:tab w:val="left" w:pos="157"/>
              </w:tabs>
              <w:spacing w:line="160" w:lineRule="exact"/>
              <w:ind w:hanging="99"/>
              <w:rPr>
                <w:sz w:val="14"/>
              </w:rPr>
            </w:pPr>
            <w:r>
              <w:rPr>
                <w:color w:val="231F20"/>
                <w:sz w:val="14"/>
              </w:rPr>
              <w:t>Површина и запремина</w:t>
            </w:r>
            <w:r>
              <w:rPr>
                <w:color w:val="231F20"/>
                <w:spacing w:val="-7"/>
                <w:sz w:val="14"/>
              </w:rPr>
              <w:t xml:space="preserve"> </w:t>
            </w:r>
            <w:r>
              <w:rPr>
                <w:color w:val="231F20"/>
                <w:sz w:val="14"/>
              </w:rPr>
              <w:t>пирамиде.</w:t>
            </w:r>
          </w:p>
          <w:p w:rsidR="00041039" w:rsidRDefault="001B26CB">
            <w:pPr>
              <w:pStyle w:val="TableParagraph"/>
              <w:numPr>
                <w:ilvl w:val="0"/>
                <w:numId w:val="384"/>
              </w:numPr>
              <w:tabs>
                <w:tab w:val="left" w:pos="157"/>
              </w:tabs>
              <w:spacing w:line="237" w:lineRule="auto"/>
              <w:ind w:right="245" w:hanging="99"/>
              <w:rPr>
                <w:sz w:val="14"/>
              </w:rPr>
            </w:pPr>
            <w:r>
              <w:rPr>
                <w:color w:val="231F20"/>
                <w:sz w:val="14"/>
              </w:rPr>
              <w:t>Површина и запремина зарубљене</w:t>
            </w:r>
            <w:r>
              <w:rPr>
                <w:color w:val="231F20"/>
                <w:spacing w:val="-26"/>
                <w:sz w:val="14"/>
              </w:rPr>
              <w:t xml:space="preserve"> </w:t>
            </w:r>
            <w:r>
              <w:rPr>
                <w:color w:val="231F20"/>
                <w:sz w:val="14"/>
              </w:rPr>
              <w:t>пира­ миде.</w:t>
            </w:r>
          </w:p>
          <w:p w:rsidR="00041039" w:rsidRDefault="001B26CB">
            <w:pPr>
              <w:pStyle w:val="TableParagraph"/>
              <w:numPr>
                <w:ilvl w:val="0"/>
                <w:numId w:val="384"/>
              </w:numPr>
              <w:tabs>
                <w:tab w:val="left" w:pos="157"/>
              </w:tabs>
              <w:spacing w:line="155" w:lineRule="exact"/>
              <w:ind w:hanging="99"/>
              <w:rPr>
                <w:sz w:val="14"/>
              </w:rPr>
            </w:pPr>
            <w:r>
              <w:rPr>
                <w:color w:val="231F20"/>
                <w:sz w:val="14"/>
              </w:rPr>
              <w:t>Равни пресеци</w:t>
            </w:r>
            <w:r>
              <w:rPr>
                <w:color w:val="231F20"/>
                <w:spacing w:val="-2"/>
                <w:sz w:val="14"/>
              </w:rPr>
              <w:t xml:space="preserve"> </w:t>
            </w:r>
            <w:r>
              <w:rPr>
                <w:color w:val="231F20"/>
                <w:sz w:val="14"/>
              </w:rPr>
              <w:t>полиедара.</w:t>
            </w:r>
          </w:p>
          <w:p w:rsidR="00041039" w:rsidRDefault="001B26CB">
            <w:pPr>
              <w:pStyle w:val="TableParagraph"/>
              <w:numPr>
                <w:ilvl w:val="0"/>
                <w:numId w:val="384"/>
              </w:numPr>
              <w:tabs>
                <w:tab w:val="left" w:pos="157"/>
              </w:tabs>
              <w:spacing w:line="166" w:lineRule="exact"/>
              <w:ind w:hanging="99"/>
              <w:rPr>
                <w:sz w:val="14"/>
              </w:rPr>
            </w:pPr>
            <w:r>
              <w:rPr>
                <w:color w:val="231F20"/>
                <w:sz w:val="14"/>
              </w:rPr>
              <w:t>Правилни</w:t>
            </w:r>
            <w:r>
              <w:rPr>
                <w:color w:val="231F20"/>
                <w:spacing w:val="-2"/>
                <w:sz w:val="14"/>
              </w:rPr>
              <w:t xml:space="preserve"> </w:t>
            </w:r>
            <w:r>
              <w:rPr>
                <w:color w:val="231F20"/>
                <w:sz w:val="14"/>
              </w:rPr>
              <w:t>полиедри.</w:t>
            </w:r>
          </w:p>
        </w:tc>
        <w:tc>
          <w:tcPr>
            <w:tcW w:w="2267" w:type="dxa"/>
            <w:vMerge w:val="restart"/>
          </w:tcPr>
          <w:p w:rsidR="00041039" w:rsidRDefault="001B26CB">
            <w:pPr>
              <w:pStyle w:val="TableParagraph"/>
              <w:numPr>
                <w:ilvl w:val="0"/>
                <w:numId w:val="383"/>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383"/>
              </w:numPr>
              <w:tabs>
                <w:tab w:val="left" w:pos="158"/>
              </w:tabs>
              <w:spacing w:line="160" w:lineRule="exact"/>
              <w:ind w:hanging="99"/>
              <w:rPr>
                <w:b/>
                <w:sz w:val="14"/>
              </w:rPr>
            </w:pPr>
            <w:r>
              <w:rPr>
                <w:color w:val="231F20"/>
                <w:sz w:val="14"/>
              </w:rPr>
              <w:t xml:space="preserve">теоријска настава </w:t>
            </w:r>
            <w:r>
              <w:rPr>
                <w:b/>
                <w:color w:val="231F20"/>
                <w:sz w:val="14"/>
              </w:rPr>
              <w:t>(175</w:t>
            </w:r>
            <w:r>
              <w:rPr>
                <w:b/>
                <w:color w:val="231F20"/>
                <w:spacing w:val="-5"/>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383"/>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ight="109"/>
              <w:rPr>
                <w:b/>
                <w:sz w:val="14"/>
              </w:rPr>
            </w:pPr>
            <w:r>
              <w:rPr>
                <w:b/>
                <w:color w:val="231F20"/>
                <w:sz w:val="14"/>
              </w:rPr>
              <w:t>Препоруке за реализацију наставе</w:t>
            </w:r>
          </w:p>
          <w:p w:rsidR="00041039" w:rsidRDefault="001B26CB">
            <w:pPr>
              <w:pStyle w:val="TableParagraph"/>
              <w:numPr>
                <w:ilvl w:val="0"/>
                <w:numId w:val="383"/>
              </w:numPr>
              <w:tabs>
                <w:tab w:val="left" w:pos="158"/>
              </w:tabs>
              <w:spacing w:line="160"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383"/>
              </w:numPr>
              <w:tabs>
                <w:tab w:val="left" w:pos="158"/>
              </w:tabs>
              <w:spacing w:before="1"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383"/>
              </w:numPr>
              <w:tabs>
                <w:tab w:val="left" w:pos="158"/>
              </w:tabs>
              <w:spacing w:line="160" w:lineRule="exact"/>
              <w:ind w:right="223" w:hanging="99"/>
              <w:rPr>
                <w:sz w:val="14"/>
              </w:rPr>
            </w:pPr>
            <w:r>
              <w:rPr>
                <w:color w:val="231F20"/>
                <w:sz w:val="14"/>
              </w:rPr>
              <w:t>подстицати ученике на раз­ мишљање и самостално закљу­ чивање;</w:t>
            </w:r>
          </w:p>
          <w:p w:rsidR="00041039" w:rsidRDefault="001B26CB">
            <w:pPr>
              <w:pStyle w:val="TableParagraph"/>
              <w:numPr>
                <w:ilvl w:val="0"/>
                <w:numId w:val="383"/>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383"/>
              </w:numPr>
              <w:tabs>
                <w:tab w:val="left" w:pos="158"/>
              </w:tabs>
              <w:spacing w:line="160" w:lineRule="exact"/>
              <w:ind w:right="309" w:hanging="99"/>
              <w:rPr>
                <w:sz w:val="14"/>
              </w:rPr>
            </w:pPr>
            <w:r>
              <w:rPr>
                <w:color w:val="231F20"/>
                <w:sz w:val="14"/>
              </w:rPr>
              <w:t>у</w:t>
            </w:r>
            <w:r>
              <w:rPr>
                <w:color w:val="231F20"/>
                <w:sz w:val="14"/>
              </w:rPr>
              <w:t>пућивати ученике на претраживање различитих извора и примену савремених технологија;</w:t>
            </w:r>
          </w:p>
          <w:p w:rsidR="00041039" w:rsidRDefault="001B26CB">
            <w:pPr>
              <w:pStyle w:val="TableParagraph"/>
              <w:numPr>
                <w:ilvl w:val="0"/>
                <w:numId w:val="382"/>
              </w:numPr>
              <w:tabs>
                <w:tab w:val="left" w:pos="143"/>
              </w:tabs>
              <w:spacing w:line="237" w:lineRule="auto"/>
              <w:ind w:right="140"/>
              <w:rPr>
                <w:sz w:val="14"/>
              </w:rPr>
            </w:pPr>
            <w:r>
              <w:rPr>
                <w:b/>
                <w:color w:val="231F20"/>
                <w:sz w:val="14"/>
              </w:rPr>
              <w:t xml:space="preserve">Полиедри и обртна тела: </w:t>
            </w:r>
            <w:r>
              <w:rPr>
                <w:color w:val="231F20"/>
                <w:sz w:val="14"/>
              </w:rPr>
              <w:t>до­ пунити већ постојећа знања о телима новим планиметријским садржајима; омогућити учени­ цима боље виђење простора кроз разне примене и кроз рад са сложеним</w:t>
            </w:r>
            <w:r>
              <w:rPr>
                <w:color w:val="231F20"/>
                <w:spacing w:val="-1"/>
                <w:sz w:val="14"/>
              </w:rPr>
              <w:t xml:space="preserve"> </w:t>
            </w:r>
            <w:r>
              <w:rPr>
                <w:color w:val="231F20"/>
                <w:sz w:val="14"/>
              </w:rPr>
              <w:t>телима.</w:t>
            </w:r>
          </w:p>
          <w:p w:rsidR="00041039" w:rsidRDefault="001B26CB">
            <w:pPr>
              <w:pStyle w:val="TableParagraph"/>
              <w:numPr>
                <w:ilvl w:val="0"/>
                <w:numId w:val="382"/>
              </w:numPr>
              <w:tabs>
                <w:tab w:val="left" w:pos="143"/>
              </w:tabs>
              <w:spacing w:before="2"/>
              <w:ind w:right="101"/>
              <w:rPr>
                <w:sz w:val="14"/>
              </w:rPr>
            </w:pPr>
            <w:r>
              <w:rPr>
                <w:b/>
                <w:color w:val="231F20"/>
                <w:sz w:val="14"/>
              </w:rPr>
              <w:t xml:space="preserve">Вектори: </w:t>
            </w:r>
            <w:r>
              <w:rPr>
                <w:color w:val="231F20"/>
                <w:sz w:val="14"/>
              </w:rPr>
              <w:t>представити коор­ динатно скаларни, векторски и мешовити производ и користити их</w:t>
            </w:r>
            <w:r>
              <w:rPr>
                <w:color w:val="231F20"/>
                <w:sz w:val="14"/>
              </w:rPr>
              <w:t xml:space="preserve"> при израчунавању површина</w:t>
            </w:r>
            <w:r>
              <w:rPr>
                <w:color w:val="231F20"/>
                <w:spacing w:val="-22"/>
                <w:sz w:val="14"/>
              </w:rPr>
              <w:t xml:space="preserve"> </w:t>
            </w:r>
            <w:r>
              <w:rPr>
                <w:color w:val="231F20"/>
                <w:sz w:val="14"/>
              </w:rPr>
              <w:t>и запремина.</w:t>
            </w:r>
          </w:p>
          <w:p w:rsidR="00041039" w:rsidRDefault="001B26CB">
            <w:pPr>
              <w:pStyle w:val="TableParagraph"/>
              <w:numPr>
                <w:ilvl w:val="0"/>
                <w:numId w:val="382"/>
              </w:numPr>
              <w:tabs>
                <w:tab w:val="left" w:pos="143"/>
              </w:tabs>
              <w:spacing w:line="237" w:lineRule="auto"/>
              <w:ind w:right="419"/>
              <w:rPr>
                <w:sz w:val="14"/>
              </w:rPr>
            </w:pPr>
            <w:r>
              <w:rPr>
                <w:b/>
                <w:color w:val="231F20"/>
                <w:sz w:val="14"/>
              </w:rPr>
              <w:t xml:space="preserve">Аналитичка геометрија у равни: </w:t>
            </w:r>
            <w:r>
              <w:rPr>
                <w:color w:val="231F20"/>
                <w:sz w:val="14"/>
              </w:rPr>
              <w:t>развијати способно­ сти за формирање</w:t>
            </w:r>
            <w:r>
              <w:rPr>
                <w:color w:val="231F20"/>
                <w:spacing w:val="-13"/>
                <w:sz w:val="14"/>
              </w:rPr>
              <w:t xml:space="preserve"> </w:t>
            </w:r>
            <w:r>
              <w:rPr>
                <w:color w:val="231F20"/>
                <w:sz w:val="14"/>
              </w:rPr>
              <w:t>једначина</w:t>
            </w:r>
          </w:p>
          <w:p w:rsidR="00041039" w:rsidRDefault="001B26CB">
            <w:pPr>
              <w:pStyle w:val="TableParagraph"/>
              <w:ind w:left="142"/>
              <w:rPr>
                <w:sz w:val="14"/>
              </w:rPr>
            </w:pPr>
            <w:r>
              <w:rPr>
                <w:color w:val="231F20"/>
                <w:sz w:val="14"/>
              </w:rPr>
              <w:t>правих и кривих другог реда при испитивању међусобних положаја ових линија; решавати познате планиметријске проблеме алатом аналитичке гео</w:t>
            </w:r>
            <w:r>
              <w:rPr>
                <w:color w:val="231F20"/>
                <w:sz w:val="14"/>
              </w:rPr>
              <w:t>метрије.</w:t>
            </w:r>
          </w:p>
          <w:p w:rsidR="00041039" w:rsidRDefault="001B26CB">
            <w:pPr>
              <w:pStyle w:val="TableParagraph"/>
              <w:numPr>
                <w:ilvl w:val="0"/>
                <w:numId w:val="382"/>
              </w:numPr>
              <w:tabs>
                <w:tab w:val="left" w:pos="143"/>
              </w:tabs>
              <w:spacing w:line="237" w:lineRule="auto"/>
              <w:ind w:right="82"/>
              <w:rPr>
                <w:sz w:val="14"/>
              </w:rPr>
            </w:pPr>
            <w:r>
              <w:rPr>
                <w:b/>
                <w:color w:val="231F20"/>
                <w:sz w:val="14"/>
              </w:rPr>
              <w:t xml:space="preserve">Математичка индукција. Низови: </w:t>
            </w:r>
            <w:r>
              <w:rPr>
                <w:color w:val="231F20"/>
                <w:sz w:val="14"/>
              </w:rPr>
              <w:t>математичку индукцију вежбати на једноставним при­ мерима; објаснити поја низа и особине; радити на граничним вредностима што шире.</w:t>
            </w:r>
            <w:r>
              <w:rPr>
                <w:color w:val="231F20"/>
                <w:spacing w:val="-17"/>
                <w:sz w:val="14"/>
              </w:rPr>
              <w:t xml:space="preserve"> </w:t>
            </w:r>
            <w:r>
              <w:rPr>
                <w:color w:val="231F20"/>
                <w:sz w:val="14"/>
              </w:rPr>
              <w:t>Нарочито увежбати аритметички и геомет­ ријски</w:t>
            </w:r>
            <w:r>
              <w:rPr>
                <w:color w:val="231F20"/>
                <w:spacing w:val="-1"/>
                <w:sz w:val="14"/>
              </w:rPr>
              <w:t xml:space="preserve"> </w:t>
            </w:r>
            <w:r>
              <w:rPr>
                <w:color w:val="231F20"/>
                <w:sz w:val="14"/>
              </w:rPr>
              <w:t>низ.</w:t>
            </w:r>
          </w:p>
          <w:p w:rsidR="00041039" w:rsidRDefault="001B26CB">
            <w:pPr>
              <w:pStyle w:val="TableParagraph"/>
              <w:numPr>
                <w:ilvl w:val="0"/>
                <w:numId w:val="382"/>
              </w:numPr>
              <w:tabs>
                <w:tab w:val="left" w:pos="143"/>
              </w:tabs>
              <w:ind w:right="184"/>
              <w:rPr>
                <w:sz w:val="14"/>
              </w:rPr>
            </w:pPr>
            <w:r>
              <w:rPr>
                <w:b/>
                <w:color w:val="231F20"/>
                <w:sz w:val="14"/>
              </w:rPr>
              <w:t xml:space="preserve">Комплексни бројеви и по- линоми: </w:t>
            </w:r>
            <w:r>
              <w:rPr>
                <w:color w:val="231F20"/>
                <w:sz w:val="14"/>
              </w:rPr>
              <w:t>кроз степен и корен комплексног броја, уз помоћ основног става алгебре, довести до генерализације решавања алгебарских</w:t>
            </w:r>
            <w:r>
              <w:rPr>
                <w:color w:val="231F20"/>
                <w:spacing w:val="-1"/>
                <w:sz w:val="14"/>
              </w:rPr>
              <w:t xml:space="preserve"> </w:t>
            </w:r>
            <w:r>
              <w:rPr>
                <w:color w:val="231F20"/>
                <w:sz w:val="14"/>
              </w:rPr>
              <w:t>једначина.</w:t>
            </w:r>
          </w:p>
          <w:p w:rsidR="00041039" w:rsidRDefault="00041039">
            <w:pPr>
              <w:pStyle w:val="TableParagraph"/>
              <w:spacing w:before="2"/>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381"/>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381"/>
              </w:numPr>
              <w:tabs>
                <w:tab w:val="left" w:pos="158"/>
              </w:tabs>
              <w:spacing w:line="165"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2600"/>
        </w:trPr>
        <w:tc>
          <w:tcPr>
            <w:tcW w:w="1304" w:type="dxa"/>
          </w:tcPr>
          <w:p w:rsidR="00041039" w:rsidRDefault="001B26CB">
            <w:pPr>
              <w:pStyle w:val="TableParagraph"/>
              <w:spacing w:before="20"/>
              <w:ind w:left="56"/>
              <w:rPr>
                <w:sz w:val="14"/>
              </w:rPr>
            </w:pPr>
            <w:r>
              <w:rPr>
                <w:color w:val="231F20"/>
                <w:sz w:val="14"/>
              </w:rPr>
              <w:t>Обртна тела</w:t>
            </w:r>
          </w:p>
        </w:tc>
        <w:tc>
          <w:tcPr>
            <w:tcW w:w="1587" w:type="dxa"/>
          </w:tcPr>
          <w:p w:rsidR="00041039" w:rsidRDefault="001B26CB">
            <w:pPr>
              <w:pStyle w:val="TableParagraph"/>
              <w:numPr>
                <w:ilvl w:val="0"/>
                <w:numId w:val="380"/>
              </w:numPr>
              <w:tabs>
                <w:tab w:val="left" w:pos="157"/>
              </w:tabs>
              <w:spacing w:before="10"/>
              <w:ind w:right="138"/>
              <w:rPr>
                <w:sz w:val="14"/>
              </w:rPr>
            </w:pPr>
            <w:r>
              <w:rPr>
                <w:color w:val="231F20"/>
                <w:sz w:val="14"/>
              </w:rPr>
              <w:t>Употпуњавање</w:t>
            </w:r>
            <w:r>
              <w:rPr>
                <w:color w:val="231F20"/>
                <w:spacing w:val="-18"/>
                <w:sz w:val="14"/>
              </w:rPr>
              <w:t xml:space="preserve"> </w:t>
            </w:r>
            <w:r>
              <w:rPr>
                <w:color w:val="231F20"/>
                <w:sz w:val="14"/>
              </w:rPr>
              <w:t>знања о површини и запре­ мини обртних тела и примена ових</w:t>
            </w:r>
            <w:r>
              <w:rPr>
                <w:color w:val="231F20"/>
                <w:spacing w:val="-9"/>
                <w:sz w:val="14"/>
              </w:rPr>
              <w:t xml:space="preserve"> </w:t>
            </w:r>
            <w:r>
              <w:rPr>
                <w:color w:val="231F20"/>
                <w:sz w:val="14"/>
              </w:rPr>
              <w:t>знања.</w:t>
            </w:r>
          </w:p>
        </w:tc>
        <w:tc>
          <w:tcPr>
            <w:tcW w:w="2551" w:type="dxa"/>
          </w:tcPr>
          <w:p w:rsidR="00041039" w:rsidRDefault="001B26CB">
            <w:pPr>
              <w:pStyle w:val="TableParagraph"/>
              <w:numPr>
                <w:ilvl w:val="0"/>
                <w:numId w:val="379"/>
              </w:numPr>
              <w:tabs>
                <w:tab w:val="left" w:pos="157"/>
              </w:tabs>
              <w:spacing w:before="10"/>
              <w:ind w:right="197" w:hanging="99"/>
              <w:jc w:val="both"/>
              <w:rPr>
                <w:sz w:val="14"/>
              </w:rPr>
            </w:pPr>
            <w:r>
              <w:rPr>
                <w:color w:val="231F20"/>
                <w:sz w:val="14"/>
              </w:rPr>
              <w:t>напише и примени формуле за изра­ чунавање обима и површине круга</w:t>
            </w:r>
            <w:r>
              <w:rPr>
                <w:color w:val="231F20"/>
                <w:spacing w:val="-14"/>
                <w:sz w:val="14"/>
              </w:rPr>
              <w:t xml:space="preserve"> </w:t>
            </w:r>
            <w:r>
              <w:rPr>
                <w:color w:val="231F20"/>
                <w:sz w:val="14"/>
              </w:rPr>
              <w:t>и делова</w:t>
            </w:r>
            <w:r>
              <w:rPr>
                <w:color w:val="231F20"/>
                <w:spacing w:val="-1"/>
                <w:sz w:val="14"/>
              </w:rPr>
              <w:t xml:space="preserve"> </w:t>
            </w:r>
            <w:r>
              <w:rPr>
                <w:color w:val="231F20"/>
                <w:sz w:val="14"/>
              </w:rPr>
              <w:t>круга;</w:t>
            </w:r>
          </w:p>
          <w:p w:rsidR="00041039" w:rsidRDefault="001B26CB">
            <w:pPr>
              <w:pStyle w:val="TableParagraph"/>
              <w:numPr>
                <w:ilvl w:val="0"/>
                <w:numId w:val="379"/>
              </w:numPr>
              <w:tabs>
                <w:tab w:val="left" w:pos="157"/>
              </w:tabs>
              <w:spacing w:line="157" w:lineRule="exact"/>
              <w:ind w:hanging="99"/>
              <w:rPr>
                <w:sz w:val="14"/>
              </w:rPr>
            </w:pPr>
            <w:r>
              <w:rPr>
                <w:color w:val="231F20"/>
                <w:sz w:val="14"/>
              </w:rPr>
              <w:t>проналази равне пресеке облих тела</w:t>
            </w:r>
            <w:r>
              <w:rPr>
                <w:color w:val="231F20"/>
                <w:spacing w:val="-12"/>
                <w:sz w:val="14"/>
              </w:rPr>
              <w:t xml:space="preserve"> </w:t>
            </w:r>
            <w:r>
              <w:rPr>
                <w:color w:val="231F20"/>
                <w:sz w:val="14"/>
              </w:rPr>
              <w:t>и</w:t>
            </w:r>
          </w:p>
          <w:p w:rsidR="00041039" w:rsidRDefault="001B26CB">
            <w:pPr>
              <w:pStyle w:val="TableParagraph"/>
              <w:spacing w:line="155" w:lineRule="exact"/>
              <w:rPr>
                <w:sz w:val="14"/>
              </w:rPr>
            </w:pPr>
            <w:r>
              <w:rPr>
                <w:color w:val="231F20"/>
                <w:sz w:val="14"/>
              </w:rPr>
              <w:t>израчунава им површину;</w:t>
            </w:r>
          </w:p>
          <w:p w:rsidR="00041039" w:rsidRDefault="001B26CB">
            <w:pPr>
              <w:pStyle w:val="TableParagraph"/>
              <w:numPr>
                <w:ilvl w:val="0"/>
                <w:numId w:val="379"/>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ваљка;</w:t>
            </w:r>
          </w:p>
          <w:p w:rsidR="00041039" w:rsidRDefault="001B26CB">
            <w:pPr>
              <w:pStyle w:val="TableParagraph"/>
              <w:numPr>
                <w:ilvl w:val="0"/>
                <w:numId w:val="379"/>
              </w:numPr>
              <w:tabs>
                <w:tab w:val="left" w:pos="157"/>
              </w:tabs>
              <w:spacing w:line="155" w:lineRule="exact"/>
              <w:ind w:hanging="99"/>
              <w:rPr>
                <w:sz w:val="14"/>
              </w:rPr>
            </w:pPr>
            <w:r>
              <w:rPr>
                <w:color w:val="231F20"/>
                <w:sz w:val="14"/>
              </w:rPr>
              <w:t>израчуна површину и запремину</w:t>
            </w:r>
            <w:r>
              <w:rPr>
                <w:color w:val="231F20"/>
                <w:spacing w:val="-19"/>
                <w:sz w:val="14"/>
              </w:rPr>
              <w:t xml:space="preserve"> </w:t>
            </w:r>
            <w:r>
              <w:rPr>
                <w:color w:val="231F20"/>
                <w:sz w:val="14"/>
              </w:rPr>
              <w:t>купе;</w:t>
            </w:r>
          </w:p>
          <w:p w:rsidR="00041039" w:rsidRDefault="001B26CB">
            <w:pPr>
              <w:pStyle w:val="TableParagraph"/>
              <w:numPr>
                <w:ilvl w:val="0"/>
                <w:numId w:val="379"/>
              </w:numPr>
              <w:tabs>
                <w:tab w:val="left" w:pos="157"/>
              </w:tabs>
              <w:spacing w:line="237" w:lineRule="auto"/>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зарубљене</w:t>
            </w:r>
            <w:r>
              <w:rPr>
                <w:color w:val="231F20"/>
                <w:spacing w:val="-1"/>
                <w:sz w:val="14"/>
              </w:rPr>
              <w:t xml:space="preserve"> </w:t>
            </w:r>
            <w:r>
              <w:rPr>
                <w:color w:val="231F20"/>
                <w:sz w:val="14"/>
              </w:rPr>
              <w:t>купе;</w:t>
            </w:r>
          </w:p>
          <w:p w:rsidR="00041039" w:rsidRDefault="001B26CB">
            <w:pPr>
              <w:pStyle w:val="TableParagraph"/>
              <w:numPr>
                <w:ilvl w:val="0"/>
                <w:numId w:val="379"/>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ротационог</w:t>
            </w:r>
            <w:r>
              <w:rPr>
                <w:color w:val="231F20"/>
                <w:spacing w:val="-1"/>
                <w:sz w:val="14"/>
              </w:rPr>
              <w:t xml:space="preserve"> </w:t>
            </w:r>
            <w:r>
              <w:rPr>
                <w:color w:val="231F20"/>
                <w:sz w:val="14"/>
              </w:rPr>
              <w:t>тела;</w:t>
            </w:r>
          </w:p>
          <w:p w:rsidR="00041039" w:rsidRDefault="001B26CB">
            <w:pPr>
              <w:pStyle w:val="TableParagraph"/>
              <w:numPr>
                <w:ilvl w:val="0"/>
                <w:numId w:val="379"/>
              </w:numPr>
              <w:tabs>
                <w:tab w:val="left" w:pos="157"/>
              </w:tabs>
              <w:spacing w:line="160" w:lineRule="exact"/>
              <w:ind w:right="55" w:hanging="99"/>
              <w:rPr>
                <w:sz w:val="14"/>
              </w:rPr>
            </w:pPr>
            <w:r>
              <w:rPr>
                <w:color w:val="231F20"/>
                <w:sz w:val="14"/>
              </w:rPr>
              <w:t>израчуна</w:t>
            </w:r>
            <w:r>
              <w:rPr>
                <w:color w:val="231F20"/>
                <w:spacing w:val="-7"/>
                <w:sz w:val="14"/>
              </w:rPr>
              <w:t xml:space="preserve"> </w:t>
            </w:r>
            <w:r>
              <w:rPr>
                <w:color w:val="231F20"/>
                <w:sz w:val="14"/>
              </w:rPr>
              <w:t>површину</w:t>
            </w:r>
            <w:r>
              <w:rPr>
                <w:color w:val="231F20"/>
                <w:spacing w:val="-8"/>
                <w:sz w:val="14"/>
              </w:rPr>
              <w:t xml:space="preserve"> </w:t>
            </w:r>
            <w:r>
              <w:rPr>
                <w:color w:val="231F20"/>
                <w:sz w:val="14"/>
              </w:rPr>
              <w:t>и</w:t>
            </w:r>
            <w:r>
              <w:rPr>
                <w:color w:val="231F20"/>
                <w:spacing w:val="-8"/>
                <w:sz w:val="14"/>
              </w:rPr>
              <w:t xml:space="preserve"> </w:t>
            </w:r>
            <w:r>
              <w:rPr>
                <w:color w:val="231F20"/>
                <w:sz w:val="14"/>
              </w:rPr>
              <w:t>запремину</w:t>
            </w:r>
            <w:r>
              <w:rPr>
                <w:color w:val="231F20"/>
                <w:spacing w:val="-8"/>
                <w:sz w:val="14"/>
              </w:rPr>
              <w:t xml:space="preserve"> </w:t>
            </w:r>
            <w:r>
              <w:rPr>
                <w:color w:val="231F20"/>
                <w:sz w:val="14"/>
              </w:rPr>
              <w:t>лопте и делова</w:t>
            </w:r>
            <w:r>
              <w:rPr>
                <w:color w:val="231F20"/>
                <w:spacing w:val="-2"/>
                <w:sz w:val="14"/>
              </w:rPr>
              <w:t xml:space="preserve"> </w:t>
            </w:r>
            <w:r>
              <w:rPr>
                <w:color w:val="231F20"/>
                <w:sz w:val="14"/>
              </w:rPr>
              <w:t>лопте;</w:t>
            </w:r>
          </w:p>
          <w:p w:rsidR="00041039" w:rsidRDefault="001B26CB">
            <w:pPr>
              <w:pStyle w:val="TableParagraph"/>
              <w:numPr>
                <w:ilvl w:val="0"/>
                <w:numId w:val="379"/>
              </w:numPr>
              <w:tabs>
                <w:tab w:val="left" w:pos="157"/>
              </w:tabs>
              <w:spacing w:line="160" w:lineRule="exact"/>
              <w:ind w:right="429" w:hanging="99"/>
              <w:rPr>
                <w:sz w:val="14"/>
              </w:rPr>
            </w:pPr>
            <w:r>
              <w:rPr>
                <w:color w:val="231F20"/>
                <w:sz w:val="14"/>
              </w:rPr>
              <w:t>израчуна површину и</w:t>
            </w:r>
            <w:r>
              <w:rPr>
                <w:color w:val="231F20"/>
                <w:spacing w:val="-24"/>
                <w:sz w:val="14"/>
              </w:rPr>
              <w:t xml:space="preserve"> </w:t>
            </w:r>
            <w:r>
              <w:rPr>
                <w:color w:val="231F20"/>
                <w:sz w:val="14"/>
              </w:rPr>
              <w:t>запремину сложеног</w:t>
            </w:r>
            <w:r>
              <w:rPr>
                <w:color w:val="231F20"/>
                <w:spacing w:val="-1"/>
                <w:sz w:val="14"/>
              </w:rPr>
              <w:t xml:space="preserve"> </w:t>
            </w:r>
            <w:r>
              <w:rPr>
                <w:color w:val="231F20"/>
                <w:sz w:val="14"/>
              </w:rPr>
              <w:t>тела;</w:t>
            </w:r>
          </w:p>
        </w:tc>
        <w:tc>
          <w:tcPr>
            <w:tcW w:w="2834" w:type="dxa"/>
          </w:tcPr>
          <w:p w:rsidR="00041039" w:rsidRDefault="001B26CB">
            <w:pPr>
              <w:pStyle w:val="TableParagraph"/>
              <w:numPr>
                <w:ilvl w:val="0"/>
                <w:numId w:val="378"/>
              </w:numPr>
              <w:tabs>
                <w:tab w:val="left" w:pos="157"/>
              </w:tabs>
              <w:spacing w:before="10" w:line="166" w:lineRule="exact"/>
              <w:ind w:hanging="99"/>
              <w:rPr>
                <w:sz w:val="14"/>
              </w:rPr>
            </w:pPr>
            <w:r>
              <w:rPr>
                <w:color w:val="231F20"/>
                <w:sz w:val="14"/>
              </w:rPr>
              <w:t>Површина круга и делова</w:t>
            </w:r>
            <w:r>
              <w:rPr>
                <w:color w:val="231F20"/>
                <w:spacing w:val="-5"/>
                <w:sz w:val="14"/>
              </w:rPr>
              <w:t xml:space="preserve"> </w:t>
            </w:r>
            <w:r>
              <w:rPr>
                <w:color w:val="231F20"/>
                <w:sz w:val="14"/>
              </w:rPr>
              <w:t>круга.</w:t>
            </w:r>
          </w:p>
          <w:p w:rsidR="00041039" w:rsidRDefault="001B26CB">
            <w:pPr>
              <w:pStyle w:val="TableParagraph"/>
              <w:numPr>
                <w:ilvl w:val="0"/>
                <w:numId w:val="378"/>
              </w:numPr>
              <w:tabs>
                <w:tab w:val="left" w:pos="157"/>
              </w:tabs>
              <w:spacing w:line="160" w:lineRule="exact"/>
              <w:ind w:hanging="99"/>
              <w:rPr>
                <w:sz w:val="14"/>
              </w:rPr>
            </w:pPr>
            <w:r>
              <w:rPr>
                <w:color w:val="231F20"/>
                <w:sz w:val="14"/>
              </w:rPr>
              <w:t>Површина и запремина</w:t>
            </w:r>
            <w:r>
              <w:rPr>
                <w:color w:val="231F20"/>
                <w:spacing w:val="-6"/>
                <w:sz w:val="14"/>
              </w:rPr>
              <w:t xml:space="preserve"> </w:t>
            </w:r>
            <w:r>
              <w:rPr>
                <w:color w:val="231F20"/>
                <w:sz w:val="14"/>
              </w:rPr>
              <w:t>ваљка.</w:t>
            </w:r>
          </w:p>
          <w:p w:rsidR="00041039" w:rsidRDefault="001B26CB">
            <w:pPr>
              <w:pStyle w:val="TableParagraph"/>
              <w:numPr>
                <w:ilvl w:val="0"/>
                <w:numId w:val="378"/>
              </w:numPr>
              <w:tabs>
                <w:tab w:val="left" w:pos="157"/>
              </w:tabs>
              <w:spacing w:line="237" w:lineRule="auto"/>
              <w:ind w:right="191" w:hanging="99"/>
              <w:rPr>
                <w:sz w:val="14"/>
              </w:rPr>
            </w:pPr>
            <w:r>
              <w:rPr>
                <w:color w:val="231F20"/>
                <w:sz w:val="14"/>
              </w:rPr>
              <w:t>Површина и запремина купе и</w:t>
            </w:r>
            <w:r>
              <w:rPr>
                <w:color w:val="231F20"/>
                <w:spacing w:val="-26"/>
                <w:sz w:val="14"/>
              </w:rPr>
              <w:t xml:space="preserve"> </w:t>
            </w:r>
            <w:r>
              <w:rPr>
                <w:color w:val="231F20"/>
                <w:sz w:val="14"/>
              </w:rPr>
              <w:t>зарубљене купе.</w:t>
            </w:r>
          </w:p>
          <w:p w:rsidR="00041039" w:rsidRDefault="001B26CB">
            <w:pPr>
              <w:pStyle w:val="TableParagraph"/>
              <w:numPr>
                <w:ilvl w:val="0"/>
                <w:numId w:val="378"/>
              </w:numPr>
              <w:tabs>
                <w:tab w:val="left" w:pos="157"/>
              </w:tabs>
              <w:spacing w:line="160" w:lineRule="exact"/>
              <w:ind w:right="352" w:hanging="99"/>
              <w:rPr>
                <w:sz w:val="14"/>
              </w:rPr>
            </w:pPr>
            <w:r>
              <w:rPr>
                <w:color w:val="231F20"/>
                <w:sz w:val="14"/>
              </w:rPr>
              <w:t>Површина и запремина лопте и</w:t>
            </w:r>
            <w:r>
              <w:rPr>
                <w:color w:val="231F20"/>
                <w:spacing w:val="-24"/>
                <w:sz w:val="14"/>
              </w:rPr>
              <w:t xml:space="preserve"> </w:t>
            </w:r>
            <w:r>
              <w:rPr>
                <w:color w:val="231F20"/>
                <w:sz w:val="14"/>
              </w:rPr>
              <w:t>делова лопте.</w:t>
            </w:r>
          </w:p>
          <w:p w:rsidR="00041039" w:rsidRDefault="001B26CB">
            <w:pPr>
              <w:pStyle w:val="TableParagraph"/>
              <w:numPr>
                <w:ilvl w:val="0"/>
                <w:numId w:val="378"/>
              </w:numPr>
              <w:tabs>
                <w:tab w:val="left" w:pos="157"/>
              </w:tabs>
              <w:spacing w:line="159" w:lineRule="exact"/>
              <w:ind w:hanging="99"/>
              <w:rPr>
                <w:sz w:val="14"/>
              </w:rPr>
            </w:pPr>
            <w:r>
              <w:rPr>
                <w:color w:val="231F20"/>
                <w:sz w:val="14"/>
              </w:rPr>
              <w:t>Ротациона</w:t>
            </w:r>
            <w:r>
              <w:rPr>
                <w:color w:val="231F20"/>
                <w:spacing w:val="-1"/>
                <w:sz w:val="14"/>
              </w:rPr>
              <w:t xml:space="preserve"> </w:t>
            </w:r>
            <w:r>
              <w:rPr>
                <w:color w:val="231F20"/>
                <w:sz w:val="14"/>
              </w:rPr>
              <w:t>тела.</w:t>
            </w:r>
          </w:p>
        </w:tc>
        <w:tc>
          <w:tcPr>
            <w:tcW w:w="2267" w:type="dxa"/>
            <w:vMerge/>
            <w:tcBorders>
              <w:top w:val="nil"/>
            </w:tcBorders>
          </w:tcPr>
          <w:p w:rsidR="00041039" w:rsidRDefault="00041039">
            <w:pPr>
              <w:rPr>
                <w:sz w:val="2"/>
                <w:szCs w:val="2"/>
              </w:rPr>
            </w:pPr>
          </w:p>
        </w:tc>
      </w:tr>
      <w:tr w:rsidR="00041039">
        <w:trPr>
          <w:trHeight w:val="2120"/>
        </w:trPr>
        <w:tc>
          <w:tcPr>
            <w:tcW w:w="1304" w:type="dxa"/>
          </w:tcPr>
          <w:p w:rsidR="00041039" w:rsidRDefault="001B26CB">
            <w:pPr>
              <w:pStyle w:val="TableParagraph"/>
              <w:spacing w:before="20"/>
              <w:ind w:left="56"/>
              <w:rPr>
                <w:sz w:val="14"/>
              </w:rPr>
            </w:pPr>
            <w:r>
              <w:rPr>
                <w:color w:val="231F20"/>
                <w:sz w:val="14"/>
              </w:rPr>
              <w:t>Вектори</w:t>
            </w:r>
          </w:p>
        </w:tc>
        <w:tc>
          <w:tcPr>
            <w:tcW w:w="1587" w:type="dxa"/>
          </w:tcPr>
          <w:p w:rsidR="00041039" w:rsidRDefault="001B26CB">
            <w:pPr>
              <w:pStyle w:val="TableParagraph"/>
              <w:numPr>
                <w:ilvl w:val="0"/>
                <w:numId w:val="377"/>
              </w:numPr>
              <w:tabs>
                <w:tab w:val="left" w:pos="157"/>
              </w:tabs>
              <w:spacing w:before="10"/>
              <w:ind w:right="128"/>
              <w:rPr>
                <w:sz w:val="14"/>
              </w:rPr>
            </w:pPr>
            <w:r>
              <w:rPr>
                <w:color w:val="231F20"/>
                <w:sz w:val="14"/>
              </w:rPr>
              <w:t>Систематизација стеченог знања о</w:t>
            </w:r>
            <w:r>
              <w:rPr>
                <w:color w:val="231F20"/>
                <w:spacing w:val="-10"/>
                <w:sz w:val="14"/>
              </w:rPr>
              <w:t xml:space="preserve"> </w:t>
            </w:r>
            <w:r>
              <w:rPr>
                <w:color w:val="231F20"/>
                <w:sz w:val="14"/>
              </w:rPr>
              <w:t>век­ торима и</w:t>
            </w:r>
            <w:r>
              <w:rPr>
                <w:color w:val="231F20"/>
                <w:spacing w:val="-4"/>
                <w:sz w:val="14"/>
              </w:rPr>
              <w:t xml:space="preserve"> </w:t>
            </w:r>
            <w:r>
              <w:rPr>
                <w:color w:val="231F20"/>
                <w:sz w:val="14"/>
              </w:rPr>
              <w:t>примена.</w:t>
            </w:r>
          </w:p>
        </w:tc>
        <w:tc>
          <w:tcPr>
            <w:tcW w:w="2551" w:type="dxa"/>
          </w:tcPr>
          <w:p w:rsidR="00041039" w:rsidRDefault="001B26CB">
            <w:pPr>
              <w:pStyle w:val="TableParagraph"/>
              <w:numPr>
                <w:ilvl w:val="0"/>
                <w:numId w:val="376"/>
              </w:numPr>
              <w:tabs>
                <w:tab w:val="left" w:pos="157"/>
              </w:tabs>
              <w:spacing w:before="10"/>
              <w:ind w:right="509" w:hanging="99"/>
              <w:rPr>
                <w:sz w:val="14"/>
              </w:rPr>
            </w:pPr>
            <w:r>
              <w:rPr>
                <w:color w:val="231F20"/>
                <w:sz w:val="14"/>
              </w:rPr>
              <w:t>одреди</w:t>
            </w:r>
            <w:r>
              <w:rPr>
                <w:color w:val="231F20"/>
                <w:spacing w:val="-7"/>
                <w:sz w:val="14"/>
              </w:rPr>
              <w:t xml:space="preserve"> </w:t>
            </w:r>
            <w:r>
              <w:rPr>
                <w:color w:val="231F20"/>
                <w:sz w:val="14"/>
              </w:rPr>
              <w:t>вектор</w:t>
            </w:r>
            <w:r>
              <w:rPr>
                <w:color w:val="231F20"/>
                <w:spacing w:val="-7"/>
                <w:sz w:val="14"/>
              </w:rPr>
              <w:t xml:space="preserve"> </w:t>
            </w:r>
            <w:r>
              <w:rPr>
                <w:color w:val="231F20"/>
                <w:sz w:val="14"/>
              </w:rPr>
              <w:t>положаја</w:t>
            </w:r>
            <w:r>
              <w:rPr>
                <w:color w:val="231F20"/>
                <w:spacing w:val="-7"/>
                <w:sz w:val="14"/>
              </w:rPr>
              <w:t xml:space="preserve"> </w:t>
            </w:r>
            <w:r>
              <w:rPr>
                <w:color w:val="231F20"/>
                <w:sz w:val="14"/>
              </w:rPr>
              <w:t>тачке</w:t>
            </w:r>
            <w:r>
              <w:rPr>
                <w:color w:val="231F20"/>
                <w:spacing w:val="-7"/>
                <w:sz w:val="14"/>
              </w:rPr>
              <w:t xml:space="preserve"> </w:t>
            </w:r>
            <w:r>
              <w:rPr>
                <w:color w:val="231F20"/>
                <w:sz w:val="14"/>
              </w:rPr>
              <w:t>у простору;</w:t>
            </w:r>
          </w:p>
          <w:p w:rsidR="00041039" w:rsidRDefault="001B26CB">
            <w:pPr>
              <w:pStyle w:val="TableParagraph"/>
              <w:numPr>
                <w:ilvl w:val="0"/>
                <w:numId w:val="376"/>
              </w:numPr>
              <w:tabs>
                <w:tab w:val="left" w:pos="157"/>
              </w:tabs>
              <w:spacing w:line="160" w:lineRule="exact"/>
              <w:ind w:right="284" w:hanging="99"/>
              <w:rPr>
                <w:sz w:val="14"/>
              </w:rPr>
            </w:pPr>
            <w:r>
              <w:rPr>
                <w:color w:val="231F20"/>
                <w:sz w:val="14"/>
              </w:rPr>
              <w:t>одређује линеарну комбинацију</w:t>
            </w:r>
            <w:r>
              <w:rPr>
                <w:color w:val="231F20"/>
                <w:spacing w:val="-19"/>
                <w:sz w:val="14"/>
              </w:rPr>
              <w:t xml:space="preserve"> </w:t>
            </w:r>
            <w:r>
              <w:rPr>
                <w:color w:val="231F20"/>
                <w:sz w:val="14"/>
              </w:rPr>
              <w:t>за­ датих</w:t>
            </w:r>
            <w:r>
              <w:rPr>
                <w:color w:val="231F20"/>
                <w:spacing w:val="-1"/>
                <w:sz w:val="14"/>
              </w:rPr>
              <w:t xml:space="preserve"> </w:t>
            </w:r>
            <w:r>
              <w:rPr>
                <w:color w:val="231F20"/>
                <w:sz w:val="14"/>
              </w:rPr>
              <w:t>вектора;</w:t>
            </w:r>
          </w:p>
          <w:p w:rsidR="00041039" w:rsidRDefault="001B26CB">
            <w:pPr>
              <w:pStyle w:val="TableParagraph"/>
              <w:numPr>
                <w:ilvl w:val="0"/>
                <w:numId w:val="376"/>
              </w:numPr>
              <w:tabs>
                <w:tab w:val="left" w:pos="157"/>
              </w:tabs>
              <w:spacing w:before="1" w:line="160" w:lineRule="exact"/>
              <w:ind w:right="137" w:hanging="99"/>
              <w:rPr>
                <w:sz w:val="14"/>
              </w:rPr>
            </w:pPr>
            <w:r>
              <w:rPr>
                <w:color w:val="231F20"/>
                <w:sz w:val="14"/>
              </w:rPr>
              <w:t>одреди</w:t>
            </w:r>
            <w:r>
              <w:rPr>
                <w:color w:val="231F20"/>
                <w:spacing w:val="-7"/>
                <w:sz w:val="14"/>
              </w:rPr>
              <w:t xml:space="preserve"> </w:t>
            </w:r>
            <w:r>
              <w:rPr>
                <w:color w:val="231F20"/>
                <w:sz w:val="14"/>
              </w:rPr>
              <w:t>скаларни</w:t>
            </w:r>
            <w:r>
              <w:rPr>
                <w:color w:val="231F20"/>
                <w:spacing w:val="-8"/>
                <w:sz w:val="14"/>
              </w:rPr>
              <w:t xml:space="preserve"> </w:t>
            </w:r>
            <w:r>
              <w:rPr>
                <w:color w:val="231F20"/>
                <w:sz w:val="14"/>
              </w:rPr>
              <w:t>производ</w:t>
            </w:r>
            <w:r>
              <w:rPr>
                <w:color w:val="231F20"/>
                <w:spacing w:val="-7"/>
                <w:sz w:val="14"/>
              </w:rPr>
              <w:t xml:space="preserve"> </w:t>
            </w:r>
            <w:r>
              <w:rPr>
                <w:color w:val="231F20"/>
                <w:sz w:val="14"/>
              </w:rPr>
              <w:t>вектора</w:t>
            </w:r>
            <w:r>
              <w:rPr>
                <w:color w:val="231F20"/>
                <w:spacing w:val="-7"/>
                <w:sz w:val="14"/>
              </w:rPr>
              <w:t xml:space="preserve"> </w:t>
            </w:r>
            <w:r>
              <w:rPr>
                <w:color w:val="231F20"/>
                <w:sz w:val="14"/>
              </w:rPr>
              <w:t>по дефиницији и</w:t>
            </w:r>
            <w:r>
              <w:rPr>
                <w:color w:val="231F20"/>
                <w:spacing w:val="-3"/>
                <w:sz w:val="14"/>
              </w:rPr>
              <w:t xml:space="preserve"> </w:t>
            </w:r>
            <w:r>
              <w:rPr>
                <w:color w:val="231F20"/>
                <w:sz w:val="14"/>
              </w:rPr>
              <w:t>координатно;</w:t>
            </w:r>
          </w:p>
          <w:p w:rsidR="00041039" w:rsidRDefault="001B26CB">
            <w:pPr>
              <w:pStyle w:val="TableParagraph"/>
              <w:numPr>
                <w:ilvl w:val="0"/>
                <w:numId w:val="376"/>
              </w:numPr>
              <w:tabs>
                <w:tab w:val="left" w:pos="157"/>
              </w:tabs>
              <w:spacing w:line="153" w:lineRule="exact"/>
              <w:ind w:hanging="99"/>
              <w:rPr>
                <w:sz w:val="14"/>
              </w:rPr>
            </w:pPr>
            <w:r>
              <w:rPr>
                <w:color w:val="231F20"/>
                <w:sz w:val="14"/>
              </w:rPr>
              <w:t>израчуна детерминанту трећег</w:t>
            </w:r>
            <w:r>
              <w:rPr>
                <w:color w:val="231F20"/>
                <w:spacing w:val="-5"/>
                <w:sz w:val="14"/>
              </w:rPr>
              <w:t xml:space="preserve"> </w:t>
            </w:r>
            <w:r>
              <w:rPr>
                <w:color w:val="231F20"/>
                <w:sz w:val="14"/>
              </w:rPr>
              <w:t>реда;</w:t>
            </w:r>
          </w:p>
          <w:p w:rsidR="00041039" w:rsidRDefault="001B26CB">
            <w:pPr>
              <w:pStyle w:val="TableParagraph"/>
              <w:numPr>
                <w:ilvl w:val="0"/>
                <w:numId w:val="376"/>
              </w:numPr>
              <w:tabs>
                <w:tab w:val="left" w:pos="157"/>
              </w:tabs>
              <w:spacing w:line="237" w:lineRule="auto"/>
              <w:ind w:right="153" w:hanging="99"/>
              <w:rPr>
                <w:sz w:val="14"/>
              </w:rPr>
            </w:pPr>
            <w:r>
              <w:rPr>
                <w:color w:val="231F20"/>
                <w:sz w:val="14"/>
              </w:rPr>
              <w:t>одреди</w:t>
            </w:r>
            <w:r>
              <w:rPr>
                <w:color w:val="231F20"/>
                <w:spacing w:val="-7"/>
                <w:sz w:val="14"/>
              </w:rPr>
              <w:t xml:space="preserve"> </w:t>
            </w:r>
            <w:r>
              <w:rPr>
                <w:color w:val="231F20"/>
                <w:sz w:val="14"/>
              </w:rPr>
              <w:t>векторски</w:t>
            </w:r>
            <w:r>
              <w:rPr>
                <w:color w:val="231F20"/>
                <w:spacing w:val="-7"/>
                <w:sz w:val="14"/>
              </w:rPr>
              <w:t xml:space="preserve"> </w:t>
            </w:r>
            <w:r>
              <w:rPr>
                <w:color w:val="231F20"/>
                <w:sz w:val="14"/>
              </w:rPr>
              <w:t>и</w:t>
            </w:r>
            <w:r>
              <w:rPr>
                <w:color w:val="231F20"/>
                <w:spacing w:val="-8"/>
                <w:sz w:val="14"/>
              </w:rPr>
              <w:t xml:space="preserve"> </w:t>
            </w:r>
            <w:r>
              <w:rPr>
                <w:color w:val="231F20"/>
                <w:sz w:val="14"/>
              </w:rPr>
              <w:t>производ</w:t>
            </w:r>
            <w:r>
              <w:rPr>
                <w:color w:val="231F20"/>
                <w:spacing w:val="-7"/>
                <w:sz w:val="14"/>
              </w:rPr>
              <w:t xml:space="preserve"> </w:t>
            </w:r>
            <w:r>
              <w:rPr>
                <w:color w:val="231F20"/>
                <w:sz w:val="14"/>
              </w:rPr>
              <w:t>вектора по дефиницији и</w:t>
            </w:r>
            <w:r>
              <w:rPr>
                <w:color w:val="231F20"/>
                <w:spacing w:val="-5"/>
                <w:sz w:val="14"/>
              </w:rPr>
              <w:t xml:space="preserve"> </w:t>
            </w:r>
            <w:r>
              <w:rPr>
                <w:color w:val="231F20"/>
                <w:sz w:val="14"/>
              </w:rPr>
              <w:t>координатно;</w:t>
            </w:r>
          </w:p>
          <w:p w:rsidR="00041039" w:rsidRDefault="001B26CB">
            <w:pPr>
              <w:pStyle w:val="TableParagraph"/>
              <w:numPr>
                <w:ilvl w:val="0"/>
                <w:numId w:val="376"/>
              </w:numPr>
              <w:tabs>
                <w:tab w:val="left" w:pos="157"/>
              </w:tabs>
              <w:spacing w:line="160" w:lineRule="exact"/>
              <w:ind w:right="75" w:hanging="99"/>
              <w:rPr>
                <w:sz w:val="14"/>
              </w:rPr>
            </w:pPr>
            <w:r>
              <w:rPr>
                <w:color w:val="231F20"/>
                <w:sz w:val="14"/>
              </w:rPr>
              <w:t>одреди мешовити пр</w:t>
            </w:r>
            <w:r>
              <w:rPr>
                <w:color w:val="231F20"/>
                <w:sz w:val="14"/>
              </w:rPr>
              <w:t>оизвод вектора</w:t>
            </w:r>
            <w:r>
              <w:rPr>
                <w:color w:val="231F20"/>
                <w:spacing w:val="-23"/>
                <w:sz w:val="14"/>
              </w:rPr>
              <w:t xml:space="preserve"> </w:t>
            </w:r>
            <w:r>
              <w:rPr>
                <w:color w:val="231F20"/>
                <w:sz w:val="14"/>
              </w:rPr>
              <w:t>по дефиницији и</w:t>
            </w:r>
            <w:r>
              <w:rPr>
                <w:color w:val="231F20"/>
                <w:spacing w:val="-3"/>
                <w:sz w:val="14"/>
              </w:rPr>
              <w:t xml:space="preserve"> </w:t>
            </w:r>
            <w:r>
              <w:rPr>
                <w:color w:val="231F20"/>
                <w:sz w:val="14"/>
              </w:rPr>
              <w:t>координатно;</w:t>
            </w:r>
          </w:p>
          <w:p w:rsidR="00041039" w:rsidRDefault="001B26CB">
            <w:pPr>
              <w:pStyle w:val="TableParagraph"/>
              <w:numPr>
                <w:ilvl w:val="0"/>
                <w:numId w:val="376"/>
              </w:numPr>
              <w:tabs>
                <w:tab w:val="left" w:pos="157"/>
              </w:tabs>
              <w:spacing w:line="160" w:lineRule="exact"/>
              <w:ind w:right="50" w:hanging="99"/>
              <w:rPr>
                <w:sz w:val="14"/>
              </w:rPr>
            </w:pPr>
            <w:r>
              <w:rPr>
                <w:color w:val="231F20"/>
                <w:sz w:val="14"/>
              </w:rPr>
              <w:t>одреди запремину и површину базе</w:t>
            </w:r>
            <w:r>
              <w:rPr>
                <w:color w:val="231F20"/>
                <w:spacing w:val="-23"/>
                <w:sz w:val="14"/>
              </w:rPr>
              <w:t xml:space="preserve"> </w:t>
            </w:r>
            <w:r>
              <w:rPr>
                <w:color w:val="231F20"/>
                <w:spacing w:val="-3"/>
                <w:sz w:val="14"/>
              </w:rPr>
              <w:t xml:space="preserve">ко­ </w:t>
            </w:r>
            <w:r>
              <w:rPr>
                <w:color w:val="231F20"/>
                <w:sz w:val="14"/>
              </w:rPr>
              <w:t>ординатно задате призме и</w:t>
            </w:r>
            <w:r>
              <w:rPr>
                <w:color w:val="231F20"/>
                <w:spacing w:val="-16"/>
                <w:sz w:val="14"/>
              </w:rPr>
              <w:t xml:space="preserve"> </w:t>
            </w:r>
            <w:r>
              <w:rPr>
                <w:color w:val="231F20"/>
                <w:sz w:val="14"/>
              </w:rPr>
              <w:t>пирамиде</w:t>
            </w:r>
          </w:p>
        </w:tc>
        <w:tc>
          <w:tcPr>
            <w:tcW w:w="2834" w:type="dxa"/>
          </w:tcPr>
          <w:p w:rsidR="00041039" w:rsidRDefault="001B26CB">
            <w:pPr>
              <w:pStyle w:val="TableParagraph"/>
              <w:numPr>
                <w:ilvl w:val="0"/>
                <w:numId w:val="375"/>
              </w:numPr>
              <w:tabs>
                <w:tab w:val="left" w:pos="158"/>
              </w:tabs>
              <w:spacing w:before="10" w:line="166" w:lineRule="exact"/>
              <w:rPr>
                <w:sz w:val="14"/>
              </w:rPr>
            </w:pPr>
            <w:r>
              <w:rPr>
                <w:color w:val="231F20"/>
                <w:sz w:val="14"/>
              </w:rPr>
              <w:t>Детерминанте другог и трећег</w:t>
            </w:r>
            <w:r>
              <w:rPr>
                <w:color w:val="231F20"/>
                <w:spacing w:val="-3"/>
                <w:sz w:val="14"/>
              </w:rPr>
              <w:t xml:space="preserve"> </w:t>
            </w:r>
            <w:r>
              <w:rPr>
                <w:color w:val="231F20"/>
                <w:sz w:val="14"/>
              </w:rPr>
              <w:t>реда.</w:t>
            </w:r>
          </w:p>
          <w:p w:rsidR="00041039" w:rsidRDefault="001B26CB">
            <w:pPr>
              <w:pStyle w:val="TableParagraph"/>
              <w:numPr>
                <w:ilvl w:val="0"/>
                <w:numId w:val="375"/>
              </w:numPr>
              <w:tabs>
                <w:tab w:val="left" w:pos="158"/>
              </w:tabs>
              <w:spacing w:line="237" w:lineRule="auto"/>
              <w:ind w:right="110"/>
              <w:rPr>
                <w:sz w:val="14"/>
              </w:rPr>
            </w:pPr>
            <w:r>
              <w:rPr>
                <w:color w:val="231F20"/>
                <w:sz w:val="14"/>
              </w:rPr>
              <w:t>Основне</w:t>
            </w:r>
            <w:r>
              <w:rPr>
                <w:color w:val="231F20"/>
                <w:spacing w:val="-8"/>
                <w:sz w:val="14"/>
              </w:rPr>
              <w:t xml:space="preserve"> </w:t>
            </w:r>
            <w:r>
              <w:rPr>
                <w:color w:val="231F20"/>
                <w:sz w:val="14"/>
              </w:rPr>
              <w:t>рачунске</w:t>
            </w:r>
            <w:r>
              <w:rPr>
                <w:color w:val="231F20"/>
                <w:spacing w:val="-7"/>
                <w:sz w:val="14"/>
              </w:rPr>
              <w:t xml:space="preserve"> </w:t>
            </w:r>
            <w:r>
              <w:rPr>
                <w:color w:val="231F20"/>
                <w:sz w:val="14"/>
              </w:rPr>
              <w:t>операције</w:t>
            </w:r>
            <w:r>
              <w:rPr>
                <w:color w:val="231F20"/>
                <w:spacing w:val="-7"/>
                <w:sz w:val="14"/>
              </w:rPr>
              <w:t xml:space="preserve"> </w:t>
            </w:r>
            <w:r>
              <w:rPr>
                <w:color w:val="231F20"/>
                <w:sz w:val="14"/>
              </w:rPr>
              <w:t>са</w:t>
            </w:r>
            <w:r>
              <w:rPr>
                <w:color w:val="231F20"/>
                <w:spacing w:val="-7"/>
                <w:sz w:val="14"/>
              </w:rPr>
              <w:t xml:space="preserve"> </w:t>
            </w:r>
            <w:r>
              <w:rPr>
                <w:color w:val="231F20"/>
                <w:sz w:val="14"/>
              </w:rPr>
              <w:t>координат­ но</w:t>
            </w:r>
            <w:r>
              <w:rPr>
                <w:color w:val="231F20"/>
                <w:spacing w:val="-6"/>
                <w:sz w:val="14"/>
              </w:rPr>
              <w:t xml:space="preserve"> </w:t>
            </w:r>
            <w:r>
              <w:rPr>
                <w:color w:val="231F20"/>
                <w:sz w:val="14"/>
              </w:rPr>
              <w:t>задатим</w:t>
            </w:r>
            <w:r>
              <w:rPr>
                <w:color w:val="231F20"/>
                <w:spacing w:val="-5"/>
                <w:sz w:val="14"/>
              </w:rPr>
              <w:t xml:space="preserve"> </w:t>
            </w:r>
            <w:r>
              <w:rPr>
                <w:color w:val="231F20"/>
                <w:sz w:val="14"/>
              </w:rPr>
              <w:t>векторима</w:t>
            </w:r>
            <w:r>
              <w:rPr>
                <w:color w:val="231F20"/>
                <w:spacing w:val="-5"/>
                <w:sz w:val="14"/>
              </w:rPr>
              <w:t xml:space="preserve"> </w:t>
            </w:r>
            <w:r>
              <w:rPr>
                <w:color w:val="231F20"/>
                <w:sz w:val="14"/>
              </w:rPr>
              <w:t>у</w:t>
            </w:r>
            <w:r>
              <w:rPr>
                <w:color w:val="231F20"/>
                <w:spacing w:val="-5"/>
                <w:sz w:val="14"/>
              </w:rPr>
              <w:t xml:space="preserve"> </w:t>
            </w:r>
            <w:r>
              <w:rPr>
                <w:color w:val="231F20"/>
                <w:sz w:val="14"/>
              </w:rPr>
              <w:t>равни</w:t>
            </w:r>
            <w:r>
              <w:rPr>
                <w:color w:val="231F20"/>
                <w:spacing w:val="-5"/>
                <w:sz w:val="14"/>
              </w:rPr>
              <w:t xml:space="preserve"> </w:t>
            </w:r>
            <w:r>
              <w:rPr>
                <w:color w:val="231F20"/>
                <w:sz w:val="14"/>
              </w:rPr>
              <w:t>и</w:t>
            </w:r>
            <w:r>
              <w:rPr>
                <w:color w:val="231F20"/>
                <w:spacing w:val="-6"/>
                <w:sz w:val="14"/>
              </w:rPr>
              <w:t xml:space="preserve"> </w:t>
            </w:r>
            <w:r>
              <w:rPr>
                <w:color w:val="231F20"/>
                <w:sz w:val="14"/>
              </w:rPr>
              <w:t>простору.</w:t>
            </w:r>
          </w:p>
          <w:p w:rsidR="00041039" w:rsidRDefault="001B26CB">
            <w:pPr>
              <w:pStyle w:val="TableParagraph"/>
              <w:numPr>
                <w:ilvl w:val="0"/>
                <w:numId w:val="375"/>
              </w:numPr>
              <w:tabs>
                <w:tab w:val="left" w:pos="158"/>
              </w:tabs>
              <w:spacing w:line="155" w:lineRule="exact"/>
              <w:rPr>
                <w:sz w:val="14"/>
              </w:rPr>
            </w:pPr>
            <w:r>
              <w:rPr>
                <w:color w:val="231F20"/>
                <w:sz w:val="14"/>
              </w:rPr>
              <w:t>Линеарна зависност</w:t>
            </w:r>
            <w:r>
              <w:rPr>
                <w:color w:val="231F20"/>
                <w:spacing w:val="-1"/>
                <w:sz w:val="14"/>
              </w:rPr>
              <w:t xml:space="preserve"> </w:t>
            </w:r>
            <w:r>
              <w:rPr>
                <w:color w:val="231F20"/>
                <w:sz w:val="14"/>
              </w:rPr>
              <w:t>вектора.</w:t>
            </w:r>
          </w:p>
          <w:p w:rsidR="00041039" w:rsidRDefault="001B26CB">
            <w:pPr>
              <w:pStyle w:val="TableParagraph"/>
              <w:numPr>
                <w:ilvl w:val="0"/>
                <w:numId w:val="375"/>
              </w:numPr>
              <w:tabs>
                <w:tab w:val="left" w:pos="158"/>
              </w:tabs>
              <w:spacing w:line="160" w:lineRule="exact"/>
              <w:rPr>
                <w:sz w:val="14"/>
              </w:rPr>
            </w:pPr>
            <w:r>
              <w:rPr>
                <w:color w:val="231F20"/>
                <w:sz w:val="14"/>
              </w:rPr>
              <w:t>Скаларни производ</w:t>
            </w:r>
            <w:r>
              <w:rPr>
                <w:color w:val="231F20"/>
                <w:spacing w:val="-3"/>
                <w:sz w:val="14"/>
              </w:rPr>
              <w:t xml:space="preserve"> </w:t>
            </w:r>
            <w:r>
              <w:rPr>
                <w:color w:val="231F20"/>
                <w:sz w:val="14"/>
              </w:rPr>
              <w:t>вектора.</w:t>
            </w:r>
          </w:p>
          <w:p w:rsidR="00041039" w:rsidRDefault="001B26CB">
            <w:pPr>
              <w:pStyle w:val="TableParagraph"/>
              <w:numPr>
                <w:ilvl w:val="0"/>
                <w:numId w:val="375"/>
              </w:numPr>
              <w:tabs>
                <w:tab w:val="left" w:pos="158"/>
              </w:tabs>
              <w:spacing w:line="160" w:lineRule="exact"/>
              <w:rPr>
                <w:sz w:val="14"/>
              </w:rPr>
            </w:pPr>
            <w:r>
              <w:rPr>
                <w:color w:val="231F20"/>
                <w:sz w:val="14"/>
              </w:rPr>
              <w:t>Векторски производ</w:t>
            </w:r>
            <w:r>
              <w:rPr>
                <w:color w:val="231F20"/>
                <w:spacing w:val="-20"/>
                <w:sz w:val="14"/>
              </w:rPr>
              <w:t xml:space="preserve"> </w:t>
            </w:r>
            <w:r>
              <w:rPr>
                <w:color w:val="231F20"/>
                <w:sz w:val="14"/>
              </w:rPr>
              <w:t>вектора.</w:t>
            </w:r>
          </w:p>
          <w:p w:rsidR="00041039" w:rsidRDefault="001B26CB">
            <w:pPr>
              <w:pStyle w:val="TableParagraph"/>
              <w:numPr>
                <w:ilvl w:val="0"/>
                <w:numId w:val="375"/>
              </w:numPr>
              <w:tabs>
                <w:tab w:val="left" w:pos="158"/>
              </w:tabs>
              <w:spacing w:line="160" w:lineRule="exact"/>
              <w:rPr>
                <w:sz w:val="14"/>
              </w:rPr>
            </w:pPr>
            <w:r>
              <w:rPr>
                <w:color w:val="231F20"/>
                <w:sz w:val="14"/>
              </w:rPr>
              <w:t>Мешовити производ</w:t>
            </w:r>
            <w:r>
              <w:rPr>
                <w:color w:val="231F20"/>
                <w:spacing w:val="-18"/>
                <w:sz w:val="14"/>
              </w:rPr>
              <w:t xml:space="preserve"> </w:t>
            </w:r>
            <w:r>
              <w:rPr>
                <w:color w:val="231F20"/>
                <w:sz w:val="14"/>
              </w:rPr>
              <w:t>вектора.</w:t>
            </w:r>
          </w:p>
          <w:p w:rsidR="00041039" w:rsidRDefault="001B26CB">
            <w:pPr>
              <w:pStyle w:val="TableParagraph"/>
              <w:numPr>
                <w:ilvl w:val="0"/>
                <w:numId w:val="375"/>
              </w:numPr>
              <w:tabs>
                <w:tab w:val="left" w:pos="158"/>
              </w:tabs>
              <w:spacing w:line="166" w:lineRule="exact"/>
              <w:rPr>
                <w:sz w:val="14"/>
              </w:rPr>
            </w:pPr>
            <w:r>
              <w:rPr>
                <w:color w:val="231F20"/>
                <w:sz w:val="14"/>
              </w:rPr>
              <w:t>Примена мешовитог производа</w:t>
            </w:r>
            <w:r>
              <w:rPr>
                <w:color w:val="231F20"/>
                <w:spacing w:val="-8"/>
                <w:sz w:val="14"/>
              </w:rPr>
              <w:t xml:space="preserve"> </w:t>
            </w:r>
            <w:r>
              <w:rPr>
                <w:color w:val="231F20"/>
                <w:sz w:val="14"/>
              </w:rPr>
              <w:t>вектора.</w:t>
            </w:r>
          </w:p>
        </w:tc>
        <w:tc>
          <w:tcPr>
            <w:tcW w:w="2267" w:type="dxa"/>
            <w:vMerge/>
            <w:tcBorders>
              <w:top w:val="nil"/>
            </w:tcBorders>
          </w:tcPr>
          <w:p w:rsidR="00041039" w:rsidRDefault="00041039">
            <w:pPr>
              <w:rPr>
                <w:sz w:val="2"/>
                <w:szCs w:val="2"/>
              </w:rPr>
            </w:pPr>
          </w:p>
        </w:tc>
      </w:tr>
      <w:tr w:rsidR="00041039">
        <w:trPr>
          <w:trHeight w:val="4209"/>
        </w:trPr>
        <w:tc>
          <w:tcPr>
            <w:tcW w:w="1304" w:type="dxa"/>
          </w:tcPr>
          <w:p w:rsidR="00041039" w:rsidRDefault="001B26CB">
            <w:pPr>
              <w:pStyle w:val="TableParagraph"/>
              <w:spacing w:before="21"/>
              <w:ind w:left="57" w:right="226"/>
              <w:rPr>
                <w:sz w:val="14"/>
              </w:rPr>
            </w:pPr>
            <w:r>
              <w:rPr>
                <w:color w:val="231F20"/>
                <w:sz w:val="14"/>
              </w:rPr>
              <w:t>Аналитичка гео­ метрија у равни</w:t>
            </w:r>
          </w:p>
        </w:tc>
        <w:tc>
          <w:tcPr>
            <w:tcW w:w="1587" w:type="dxa"/>
          </w:tcPr>
          <w:p w:rsidR="00041039" w:rsidRDefault="001B26CB">
            <w:pPr>
              <w:pStyle w:val="TableParagraph"/>
              <w:numPr>
                <w:ilvl w:val="0"/>
                <w:numId w:val="374"/>
              </w:numPr>
              <w:tabs>
                <w:tab w:val="left" w:pos="157"/>
              </w:tabs>
              <w:spacing w:before="11"/>
              <w:ind w:right="80" w:hanging="99"/>
              <w:rPr>
                <w:sz w:val="14"/>
              </w:rPr>
            </w:pPr>
            <w:r>
              <w:rPr>
                <w:color w:val="231F20"/>
                <w:sz w:val="14"/>
              </w:rPr>
              <w:t>Стицање знања о ре­ шавању елементарних проблема са</w:t>
            </w:r>
            <w:r>
              <w:rPr>
                <w:color w:val="231F20"/>
                <w:spacing w:val="-3"/>
                <w:sz w:val="14"/>
              </w:rPr>
              <w:t xml:space="preserve"> </w:t>
            </w:r>
            <w:r>
              <w:rPr>
                <w:color w:val="231F20"/>
                <w:sz w:val="14"/>
              </w:rPr>
              <w:t>кривим</w:t>
            </w:r>
          </w:p>
          <w:p w:rsidR="00041039" w:rsidRDefault="001B26CB">
            <w:pPr>
              <w:pStyle w:val="TableParagraph"/>
              <w:spacing w:line="237" w:lineRule="auto"/>
              <w:ind w:right="168"/>
              <w:rPr>
                <w:sz w:val="14"/>
              </w:rPr>
            </w:pPr>
            <w:r>
              <w:rPr>
                <w:color w:val="231F20"/>
                <w:sz w:val="14"/>
              </w:rPr>
              <w:t>и правим линијама у координатној равни.</w:t>
            </w:r>
          </w:p>
        </w:tc>
        <w:tc>
          <w:tcPr>
            <w:tcW w:w="2551" w:type="dxa"/>
          </w:tcPr>
          <w:p w:rsidR="00041039" w:rsidRDefault="001B26CB">
            <w:pPr>
              <w:pStyle w:val="TableParagraph"/>
              <w:numPr>
                <w:ilvl w:val="0"/>
                <w:numId w:val="373"/>
              </w:numPr>
              <w:tabs>
                <w:tab w:val="left" w:pos="157"/>
              </w:tabs>
              <w:spacing w:before="11" w:line="166" w:lineRule="exact"/>
              <w:ind w:hanging="99"/>
              <w:rPr>
                <w:sz w:val="14"/>
              </w:rPr>
            </w:pPr>
            <w:r>
              <w:rPr>
                <w:color w:val="231F20"/>
                <w:sz w:val="14"/>
              </w:rPr>
              <w:t>одреди растојање између две</w:t>
            </w:r>
            <w:r>
              <w:rPr>
                <w:color w:val="231F20"/>
                <w:spacing w:val="-8"/>
                <w:sz w:val="14"/>
              </w:rPr>
              <w:t xml:space="preserve"> </w:t>
            </w:r>
            <w:r>
              <w:rPr>
                <w:color w:val="231F20"/>
                <w:sz w:val="14"/>
              </w:rPr>
              <w:t>тачке;</w:t>
            </w:r>
          </w:p>
          <w:p w:rsidR="00041039" w:rsidRDefault="001B26CB">
            <w:pPr>
              <w:pStyle w:val="TableParagraph"/>
              <w:numPr>
                <w:ilvl w:val="0"/>
                <w:numId w:val="373"/>
              </w:numPr>
              <w:tabs>
                <w:tab w:val="left" w:pos="157"/>
              </w:tabs>
              <w:spacing w:line="160" w:lineRule="exact"/>
              <w:ind w:hanging="99"/>
              <w:rPr>
                <w:sz w:val="14"/>
              </w:rPr>
            </w:pPr>
            <w:r>
              <w:rPr>
                <w:color w:val="231F20"/>
                <w:sz w:val="14"/>
              </w:rPr>
              <w:t>одреди тежиште</w:t>
            </w:r>
            <w:r>
              <w:rPr>
                <w:color w:val="231F20"/>
                <w:spacing w:val="-1"/>
                <w:sz w:val="14"/>
              </w:rPr>
              <w:t xml:space="preserve"> </w:t>
            </w:r>
            <w:r>
              <w:rPr>
                <w:color w:val="231F20"/>
                <w:spacing w:val="-3"/>
                <w:sz w:val="14"/>
              </w:rPr>
              <w:t>троугла;</w:t>
            </w:r>
          </w:p>
          <w:p w:rsidR="00041039" w:rsidRDefault="001B26CB">
            <w:pPr>
              <w:pStyle w:val="TableParagraph"/>
              <w:numPr>
                <w:ilvl w:val="0"/>
                <w:numId w:val="373"/>
              </w:numPr>
              <w:tabs>
                <w:tab w:val="left" w:pos="157"/>
              </w:tabs>
              <w:spacing w:line="160" w:lineRule="exact"/>
              <w:ind w:hanging="99"/>
              <w:rPr>
                <w:sz w:val="14"/>
              </w:rPr>
            </w:pPr>
            <w:r>
              <w:rPr>
                <w:color w:val="231F20"/>
                <w:sz w:val="14"/>
              </w:rPr>
              <w:t>одреди површину</w:t>
            </w:r>
            <w:r>
              <w:rPr>
                <w:color w:val="231F20"/>
                <w:spacing w:val="-2"/>
                <w:sz w:val="14"/>
              </w:rPr>
              <w:t xml:space="preserve"> </w:t>
            </w:r>
            <w:r>
              <w:rPr>
                <w:color w:val="231F20"/>
                <w:spacing w:val="-3"/>
                <w:sz w:val="14"/>
              </w:rPr>
              <w:t>троугла;</w:t>
            </w:r>
          </w:p>
          <w:p w:rsidR="00041039" w:rsidRDefault="001B26CB">
            <w:pPr>
              <w:pStyle w:val="TableParagraph"/>
              <w:numPr>
                <w:ilvl w:val="0"/>
                <w:numId w:val="373"/>
              </w:numPr>
              <w:tabs>
                <w:tab w:val="left" w:pos="157"/>
              </w:tabs>
              <w:spacing w:line="237" w:lineRule="auto"/>
              <w:ind w:right="255" w:hanging="99"/>
              <w:rPr>
                <w:sz w:val="14"/>
              </w:rPr>
            </w:pPr>
            <w:r>
              <w:rPr>
                <w:color w:val="231F20"/>
                <w:sz w:val="14"/>
              </w:rPr>
              <w:t>постави једначину праве из</w:t>
            </w:r>
            <w:r>
              <w:rPr>
                <w:color w:val="231F20"/>
                <w:spacing w:val="-19"/>
                <w:sz w:val="14"/>
              </w:rPr>
              <w:t xml:space="preserve"> </w:t>
            </w:r>
            <w:r>
              <w:rPr>
                <w:color w:val="231F20"/>
                <w:sz w:val="14"/>
              </w:rPr>
              <w:t>задатих услова;</w:t>
            </w:r>
          </w:p>
          <w:p w:rsidR="00041039" w:rsidRDefault="001B26CB">
            <w:pPr>
              <w:pStyle w:val="TableParagraph"/>
              <w:numPr>
                <w:ilvl w:val="0"/>
                <w:numId w:val="373"/>
              </w:numPr>
              <w:tabs>
                <w:tab w:val="left" w:pos="157"/>
              </w:tabs>
              <w:spacing w:line="160" w:lineRule="exact"/>
              <w:ind w:right="238" w:hanging="99"/>
              <w:rPr>
                <w:sz w:val="14"/>
              </w:rPr>
            </w:pPr>
            <w:r>
              <w:rPr>
                <w:color w:val="231F20"/>
                <w:sz w:val="14"/>
              </w:rPr>
              <w:t>одреди</w:t>
            </w:r>
            <w:r>
              <w:rPr>
                <w:color w:val="231F20"/>
                <w:spacing w:val="-6"/>
                <w:sz w:val="14"/>
              </w:rPr>
              <w:t xml:space="preserve"> </w:t>
            </w:r>
            <w:r>
              <w:rPr>
                <w:color w:val="231F20"/>
                <w:sz w:val="14"/>
              </w:rPr>
              <w:t>пресеке</w:t>
            </w:r>
            <w:r>
              <w:rPr>
                <w:color w:val="231F20"/>
                <w:spacing w:val="-6"/>
                <w:sz w:val="14"/>
              </w:rPr>
              <w:t xml:space="preserve"> </w:t>
            </w:r>
            <w:r>
              <w:rPr>
                <w:color w:val="231F20"/>
                <w:sz w:val="14"/>
              </w:rPr>
              <w:t>линија,</w:t>
            </w:r>
            <w:r>
              <w:rPr>
                <w:color w:val="231F20"/>
                <w:spacing w:val="-7"/>
                <w:sz w:val="14"/>
              </w:rPr>
              <w:t xml:space="preserve"> </w:t>
            </w:r>
            <w:r>
              <w:rPr>
                <w:color w:val="231F20"/>
                <w:sz w:val="14"/>
              </w:rPr>
              <w:t>као</w:t>
            </w:r>
            <w:r>
              <w:rPr>
                <w:color w:val="231F20"/>
                <w:spacing w:val="-6"/>
                <w:sz w:val="14"/>
              </w:rPr>
              <w:t xml:space="preserve"> </w:t>
            </w:r>
            <w:r>
              <w:rPr>
                <w:color w:val="231F20"/>
                <w:sz w:val="14"/>
              </w:rPr>
              <w:t>и</w:t>
            </w:r>
            <w:r>
              <w:rPr>
                <w:color w:val="231F20"/>
                <w:spacing w:val="-7"/>
                <w:sz w:val="14"/>
              </w:rPr>
              <w:t xml:space="preserve"> </w:t>
            </w:r>
            <w:r>
              <w:rPr>
                <w:color w:val="231F20"/>
                <w:sz w:val="14"/>
              </w:rPr>
              <w:t>углове пресека;</w:t>
            </w:r>
          </w:p>
          <w:p w:rsidR="00041039" w:rsidRDefault="001B26CB">
            <w:pPr>
              <w:pStyle w:val="TableParagraph"/>
              <w:numPr>
                <w:ilvl w:val="0"/>
                <w:numId w:val="373"/>
              </w:numPr>
              <w:tabs>
                <w:tab w:val="left" w:pos="157"/>
              </w:tabs>
              <w:spacing w:line="160" w:lineRule="exact"/>
              <w:ind w:right="177" w:hanging="99"/>
              <w:rPr>
                <w:sz w:val="14"/>
              </w:rPr>
            </w:pPr>
            <w:r>
              <w:rPr>
                <w:color w:val="231F20"/>
                <w:sz w:val="14"/>
              </w:rPr>
              <w:t>постави једначину криве другог</w:t>
            </w:r>
            <w:r>
              <w:rPr>
                <w:color w:val="231F20"/>
                <w:spacing w:val="-14"/>
                <w:sz w:val="14"/>
              </w:rPr>
              <w:t xml:space="preserve"> </w:t>
            </w:r>
            <w:r>
              <w:rPr>
                <w:color w:val="231F20"/>
                <w:sz w:val="14"/>
              </w:rPr>
              <w:t>реда из задатих</w:t>
            </w:r>
            <w:r>
              <w:rPr>
                <w:color w:val="231F20"/>
                <w:spacing w:val="-2"/>
                <w:sz w:val="14"/>
              </w:rPr>
              <w:t xml:space="preserve"> </w:t>
            </w:r>
            <w:r>
              <w:rPr>
                <w:color w:val="231F20"/>
                <w:sz w:val="14"/>
              </w:rPr>
              <w:t>услова;</w:t>
            </w:r>
          </w:p>
          <w:p w:rsidR="00041039" w:rsidRDefault="001B26CB">
            <w:pPr>
              <w:pStyle w:val="TableParagraph"/>
              <w:numPr>
                <w:ilvl w:val="0"/>
                <w:numId w:val="373"/>
              </w:numPr>
              <w:tabs>
                <w:tab w:val="left" w:pos="157"/>
              </w:tabs>
              <w:spacing w:line="153" w:lineRule="exact"/>
              <w:ind w:hanging="99"/>
              <w:rPr>
                <w:sz w:val="14"/>
              </w:rPr>
            </w:pPr>
            <w:r>
              <w:rPr>
                <w:color w:val="231F20"/>
                <w:sz w:val="14"/>
              </w:rPr>
              <w:t>постави тангенту на</w:t>
            </w:r>
            <w:r>
              <w:rPr>
                <w:color w:val="231F20"/>
                <w:spacing w:val="-2"/>
                <w:sz w:val="14"/>
              </w:rPr>
              <w:t xml:space="preserve"> </w:t>
            </w:r>
            <w:r>
              <w:rPr>
                <w:color w:val="231F20"/>
                <w:sz w:val="14"/>
              </w:rPr>
              <w:t>криву;</w:t>
            </w:r>
          </w:p>
          <w:p w:rsidR="00041039" w:rsidRDefault="001B26CB">
            <w:pPr>
              <w:pStyle w:val="TableParagraph"/>
              <w:numPr>
                <w:ilvl w:val="0"/>
                <w:numId w:val="373"/>
              </w:numPr>
              <w:tabs>
                <w:tab w:val="left" w:pos="157"/>
              </w:tabs>
              <w:spacing w:line="160" w:lineRule="exact"/>
              <w:ind w:hanging="99"/>
              <w:rPr>
                <w:sz w:val="14"/>
              </w:rPr>
            </w:pPr>
            <w:r>
              <w:rPr>
                <w:color w:val="231F20"/>
                <w:sz w:val="14"/>
              </w:rPr>
              <w:t>одреди угао између две</w:t>
            </w:r>
            <w:r>
              <w:rPr>
                <w:color w:val="231F20"/>
                <w:spacing w:val="-3"/>
                <w:sz w:val="14"/>
              </w:rPr>
              <w:t xml:space="preserve"> </w:t>
            </w:r>
            <w:r>
              <w:rPr>
                <w:color w:val="231F20"/>
                <w:sz w:val="14"/>
              </w:rPr>
              <w:t>криве;</w:t>
            </w:r>
          </w:p>
          <w:p w:rsidR="00041039" w:rsidRDefault="001B26CB">
            <w:pPr>
              <w:pStyle w:val="TableParagraph"/>
              <w:numPr>
                <w:ilvl w:val="0"/>
                <w:numId w:val="373"/>
              </w:numPr>
              <w:tabs>
                <w:tab w:val="left" w:pos="157"/>
              </w:tabs>
              <w:spacing w:line="237" w:lineRule="auto"/>
              <w:ind w:right="88" w:hanging="99"/>
              <w:rPr>
                <w:sz w:val="14"/>
              </w:rPr>
            </w:pPr>
            <w:r>
              <w:rPr>
                <w:color w:val="231F20"/>
                <w:sz w:val="14"/>
              </w:rPr>
              <w:t>решава и друге елементарне кон­ структивне</w:t>
            </w:r>
            <w:r>
              <w:rPr>
                <w:color w:val="231F20"/>
                <w:spacing w:val="-10"/>
                <w:sz w:val="14"/>
              </w:rPr>
              <w:t xml:space="preserve"> </w:t>
            </w:r>
            <w:r>
              <w:rPr>
                <w:color w:val="231F20"/>
                <w:sz w:val="14"/>
              </w:rPr>
              <w:t>задатке</w:t>
            </w:r>
            <w:r>
              <w:rPr>
                <w:color w:val="231F20"/>
                <w:spacing w:val="-10"/>
                <w:sz w:val="14"/>
              </w:rPr>
              <w:t xml:space="preserve"> </w:t>
            </w:r>
            <w:r>
              <w:rPr>
                <w:color w:val="231F20"/>
                <w:sz w:val="14"/>
              </w:rPr>
              <w:t>алатом</w:t>
            </w:r>
            <w:r>
              <w:rPr>
                <w:color w:val="231F20"/>
                <w:spacing w:val="-10"/>
                <w:sz w:val="14"/>
              </w:rPr>
              <w:t xml:space="preserve"> </w:t>
            </w:r>
            <w:r>
              <w:rPr>
                <w:color w:val="231F20"/>
                <w:sz w:val="14"/>
              </w:rPr>
              <w:t>аналитичке геометрије;</w:t>
            </w:r>
          </w:p>
          <w:p w:rsidR="00041039" w:rsidRDefault="001B26CB">
            <w:pPr>
              <w:pStyle w:val="TableParagraph"/>
              <w:numPr>
                <w:ilvl w:val="0"/>
                <w:numId w:val="373"/>
              </w:numPr>
              <w:tabs>
                <w:tab w:val="left" w:pos="157"/>
              </w:tabs>
              <w:spacing w:line="237" w:lineRule="auto"/>
              <w:ind w:right="230" w:hanging="99"/>
              <w:rPr>
                <w:sz w:val="14"/>
              </w:rPr>
            </w:pPr>
            <w:r>
              <w:rPr>
                <w:color w:val="231F20"/>
                <w:sz w:val="14"/>
              </w:rPr>
              <w:t>реши и дискутује систем</w:t>
            </w:r>
            <w:r>
              <w:rPr>
                <w:color w:val="231F20"/>
                <w:spacing w:val="-7"/>
                <w:sz w:val="14"/>
              </w:rPr>
              <w:t xml:space="preserve"> </w:t>
            </w:r>
            <w:r>
              <w:rPr>
                <w:color w:val="231F20"/>
                <w:sz w:val="14"/>
              </w:rPr>
              <w:t>линеарних једначина;</w:t>
            </w:r>
          </w:p>
        </w:tc>
        <w:tc>
          <w:tcPr>
            <w:tcW w:w="2834" w:type="dxa"/>
          </w:tcPr>
          <w:p w:rsidR="00041039" w:rsidRDefault="001B26CB">
            <w:pPr>
              <w:pStyle w:val="TableParagraph"/>
              <w:numPr>
                <w:ilvl w:val="0"/>
                <w:numId w:val="372"/>
              </w:numPr>
              <w:tabs>
                <w:tab w:val="left" w:pos="158"/>
              </w:tabs>
              <w:spacing w:before="11" w:line="166" w:lineRule="exact"/>
              <w:rPr>
                <w:sz w:val="14"/>
              </w:rPr>
            </w:pPr>
            <w:r>
              <w:rPr>
                <w:color w:val="231F20"/>
                <w:sz w:val="14"/>
              </w:rPr>
              <w:t>Растојање између две</w:t>
            </w:r>
            <w:r>
              <w:rPr>
                <w:color w:val="231F20"/>
                <w:spacing w:val="-2"/>
                <w:sz w:val="14"/>
              </w:rPr>
              <w:t xml:space="preserve"> </w:t>
            </w:r>
            <w:r>
              <w:rPr>
                <w:color w:val="231F20"/>
                <w:sz w:val="14"/>
              </w:rPr>
              <w:t>тачке.</w:t>
            </w:r>
          </w:p>
          <w:p w:rsidR="00041039" w:rsidRDefault="001B26CB">
            <w:pPr>
              <w:pStyle w:val="TableParagraph"/>
              <w:numPr>
                <w:ilvl w:val="0"/>
                <w:numId w:val="372"/>
              </w:numPr>
              <w:tabs>
                <w:tab w:val="left" w:pos="158"/>
              </w:tabs>
              <w:spacing w:line="160" w:lineRule="exact"/>
              <w:rPr>
                <w:sz w:val="14"/>
              </w:rPr>
            </w:pPr>
            <w:r>
              <w:rPr>
                <w:color w:val="231F20"/>
                <w:sz w:val="14"/>
              </w:rPr>
              <w:t>Подела дужи у датом</w:t>
            </w:r>
            <w:r>
              <w:rPr>
                <w:color w:val="231F20"/>
                <w:spacing w:val="-2"/>
                <w:sz w:val="14"/>
              </w:rPr>
              <w:t xml:space="preserve"> </w:t>
            </w:r>
            <w:r>
              <w:rPr>
                <w:color w:val="231F20"/>
                <w:spacing w:val="-3"/>
                <w:sz w:val="14"/>
              </w:rPr>
              <w:t>односу.</w:t>
            </w:r>
          </w:p>
          <w:p w:rsidR="00041039" w:rsidRDefault="001B26CB">
            <w:pPr>
              <w:pStyle w:val="TableParagraph"/>
              <w:numPr>
                <w:ilvl w:val="0"/>
                <w:numId w:val="372"/>
              </w:numPr>
              <w:tabs>
                <w:tab w:val="left" w:pos="158"/>
              </w:tabs>
              <w:spacing w:line="160" w:lineRule="exact"/>
              <w:rPr>
                <w:sz w:val="14"/>
              </w:rPr>
            </w:pPr>
            <w:r>
              <w:rPr>
                <w:color w:val="231F20"/>
                <w:sz w:val="14"/>
              </w:rPr>
              <w:t>Површина</w:t>
            </w:r>
            <w:r>
              <w:rPr>
                <w:color w:val="231F20"/>
                <w:spacing w:val="-2"/>
                <w:sz w:val="14"/>
              </w:rPr>
              <w:t xml:space="preserve"> </w:t>
            </w:r>
            <w:r>
              <w:rPr>
                <w:color w:val="231F20"/>
                <w:sz w:val="14"/>
              </w:rPr>
              <w:t>троугла.</w:t>
            </w:r>
          </w:p>
          <w:p w:rsidR="00041039" w:rsidRDefault="001B26CB">
            <w:pPr>
              <w:pStyle w:val="TableParagraph"/>
              <w:numPr>
                <w:ilvl w:val="0"/>
                <w:numId w:val="372"/>
              </w:numPr>
              <w:tabs>
                <w:tab w:val="left" w:pos="158"/>
              </w:tabs>
              <w:spacing w:line="160" w:lineRule="exact"/>
              <w:rPr>
                <w:sz w:val="14"/>
              </w:rPr>
            </w:pPr>
            <w:r>
              <w:rPr>
                <w:color w:val="231F20"/>
                <w:sz w:val="14"/>
              </w:rPr>
              <w:t>Једначине правих у</w:t>
            </w:r>
            <w:r>
              <w:rPr>
                <w:color w:val="231F20"/>
                <w:spacing w:val="-3"/>
                <w:sz w:val="14"/>
              </w:rPr>
              <w:t xml:space="preserve"> </w:t>
            </w:r>
            <w:r>
              <w:rPr>
                <w:color w:val="231F20"/>
                <w:sz w:val="14"/>
              </w:rPr>
              <w:t>равни.</w:t>
            </w:r>
          </w:p>
          <w:p w:rsidR="00041039" w:rsidRDefault="001B26CB">
            <w:pPr>
              <w:pStyle w:val="TableParagraph"/>
              <w:numPr>
                <w:ilvl w:val="0"/>
                <w:numId w:val="372"/>
              </w:numPr>
              <w:tabs>
                <w:tab w:val="left" w:pos="158"/>
              </w:tabs>
              <w:spacing w:line="237" w:lineRule="auto"/>
              <w:ind w:right="91"/>
              <w:rPr>
                <w:sz w:val="14"/>
              </w:rPr>
            </w:pPr>
            <w:r>
              <w:rPr>
                <w:color w:val="231F20"/>
                <w:sz w:val="14"/>
              </w:rPr>
              <w:t>Однос две праве, услов паралелности, услов нормалности, угао између две</w:t>
            </w:r>
            <w:r>
              <w:rPr>
                <w:color w:val="231F20"/>
                <w:spacing w:val="-12"/>
                <w:sz w:val="14"/>
              </w:rPr>
              <w:t xml:space="preserve"> </w:t>
            </w:r>
            <w:r>
              <w:rPr>
                <w:color w:val="231F20"/>
                <w:sz w:val="14"/>
              </w:rPr>
              <w:t>праве.</w:t>
            </w:r>
          </w:p>
          <w:p w:rsidR="00041039" w:rsidRDefault="001B26CB">
            <w:pPr>
              <w:pStyle w:val="TableParagraph"/>
              <w:numPr>
                <w:ilvl w:val="0"/>
                <w:numId w:val="372"/>
              </w:numPr>
              <w:tabs>
                <w:tab w:val="left" w:pos="158"/>
              </w:tabs>
              <w:spacing w:line="155" w:lineRule="exact"/>
              <w:rPr>
                <w:sz w:val="14"/>
              </w:rPr>
            </w:pPr>
            <w:r>
              <w:rPr>
                <w:color w:val="231F20"/>
                <w:sz w:val="14"/>
              </w:rPr>
              <w:t>Једначина</w:t>
            </w:r>
            <w:r>
              <w:rPr>
                <w:color w:val="231F20"/>
                <w:spacing w:val="-1"/>
                <w:sz w:val="14"/>
              </w:rPr>
              <w:t xml:space="preserve"> </w:t>
            </w:r>
            <w:r>
              <w:rPr>
                <w:color w:val="231F20"/>
                <w:sz w:val="14"/>
              </w:rPr>
              <w:t>круга.</w:t>
            </w:r>
          </w:p>
          <w:p w:rsidR="00041039" w:rsidRDefault="001B26CB">
            <w:pPr>
              <w:pStyle w:val="TableParagraph"/>
              <w:numPr>
                <w:ilvl w:val="0"/>
                <w:numId w:val="372"/>
              </w:numPr>
              <w:tabs>
                <w:tab w:val="left" w:pos="158"/>
              </w:tabs>
              <w:spacing w:line="237" w:lineRule="auto"/>
              <w:ind w:right="215"/>
              <w:rPr>
                <w:sz w:val="14"/>
              </w:rPr>
            </w:pPr>
            <w:r>
              <w:rPr>
                <w:color w:val="231F20"/>
                <w:sz w:val="14"/>
              </w:rPr>
              <w:t>Однос круга и праве, услов додира</w:t>
            </w:r>
            <w:r>
              <w:rPr>
                <w:color w:val="231F20"/>
                <w:spacing w:val="-15"/>
                <w:sz w:val="14"/>
              </w:rPr>
              <w:t xml:space="preserve"> </w:t>
            </w:r>
            <w:r>
              <w:rPr>
                <w:color w:val="231F20"/>
                <w:sz w:val="14"/>
              </w:rPr>
              <w:t>праве и</w:t>
            </w:r>
            <w:r>
              <w:rPr>
                <w:color w:val="231F20"/>
                <w:spacing w:val="-2"/>
                <w:sz w:val="14"/>
              </w:rPr>
              <w:t xml:space="preserve"> </w:t>
            </w:r>
            <w:r>
              <w:rPr>
                <w:color w:val="231F20"/>
                <w:sz w:val="14"/>
              </w:rPr>
              <w:t>круга.</w:t>
            </w:r>
          </w:p>
          <w:p w:rsidR="00041039" w:rsidRDefault="001B26CB">
            <w:pPr>
              <w:pStyle w:val="TableParagraph"/>
              <w:numPr>
                <w:ilvl w:val="0"/>
                <w:numId w:val="372"/>
              </w:numPr>
              <w:tabs>
                <w:tab w:val="left" w:pos="158"/>
              </w:tabs>
              <w:spacing w:line="155" w:lineRule="exact"/>
              <w:rPr>
                <w:sz w:val="14"/>
              </w:rPr>
            </w:pPr>
            <w:r>
              <w:rPr>
                <w:color w:val="231F20"/>
                <w:sz w:val="14"/>
              </w:rPr>
              <w:t>Однос два</w:t>
            </w:r>
            <w:r>
              <w:rPr>
                <w:color w:val="231F20"/>
                <w:spacing w:val="-1"/>
                <w:sz w:val="14"/>
              </w:rPr>
              <w:t xml:space="preserve"> </w:t>
            </w:r>
            <w:r>
              <w:rPr>
                <w:color w:val="231F20"/>
                <w:sz w:val="14"/>
              </w:rPr>
              <w:t>круга.</w:t>
            </w:r>
          </w:p>
          <w:p w:rsidR="00041039" w:rsidRDefault="001B26CB">
            <w:pPr>
              <w:pStyle w:val="TableParagraph"/>
              <w:numPr>
                <w:ilvl w:val="0"/>
                <w:numId w:val="372"/>
              </w:numPr>
              <w:tabs>
                <w:tab w:val="left" w:pos="158"/>
              </w:tabs>
              <w:spacing w:line="160" w:lineRule="exact"/>
              <w:rPr>
                <w:sz w:val="14"/>
              </w:rPr>
            </w:pPr>
            <w:r>
              <w:rPr>
                <w:color w:val="231F20"/>
                <w:sz w:val="14"/>
              </w:rPr>
              <w:t>Једначина</w:t>
            </w:r>
            <w:r>
              <w:rPr>
                <w:color w:val="231F20"/>
                <w:spacing w:val="-1"/>
                <w:sz w:val="14"/>
              </w:rPr>
              <w:t xml:space="preserve"> </w:t>
            </w:r>
            <w:r>
              <w:rPr>
                <w:color w:val="231F20"/>
                <w:sz w:val="14"/>
              </w:rPr>
              <w:t>елипсе.</w:t>
            </w:r>
          </w:p>
          <w:p w:rsidR="00041039" w:rsidRDefault="001B26CB">
            <w:pPr>
              <w:pStyle w:val="TableParagraph"/>
              <w:numPr>
                <w:ilvl w:val="0"/>
                <w:numId w:val="372"/>
              </w:numPr>
              <w:tabs>
                <w:tab w:val="left" w:pos="158"/>
              </w:tabs>
              <w:spacing w:line="160" w:lineRule="exact"/>
              <w:rPr>
                <w:sz w:val="14"/>
              </w:rPr>
            </w:pPr>
            <w:r>
              <w:rPr>
                <w:color w:val="231F20"/>
                <w:spacing w:val="-4"/>
                <w:sz w:val="14"/>
              </w:rPr>
              <w:t xml:space="preserve">Услов </w:t>
            </w:r>
            <w:r>
              <w:rPr>
                <w:color w:val="231F20"/>
                <w:sz w:val="14"/>
              </w:rPr>
              <w:t>додира праве и</w:t>
            </w:r>
            <w:r>
              <w:rPr>
                <w:color w:val="231F20"/>
                <w:spacing w:val="1"/>
                <w:sz w:val="14"/>
              </w:rPr>
              <w:t xml:space="preserve"> </w:t>
            </w:r>
            <w:r>
              <w:rPr>
                <w:color w:val="231F20"/>
                <w:sz w:val="14"/>
              </w:rPr>
              <w:t>елипсе.</w:t>
            </w:r>
          </w:p>
          <w:p w:rsidR="00041039" w:rsidRDefault="001B26CB">
            <w:pPr>
              <w:pStyle w:val="TableParagraph"/>
              <w:numPr>
                <w:ilvl w:val="0"/>
                <w:numId w:val="372"/>
              </w:numPr>
              <w:tabs>
                <w:tab w:val="left" w:pos="158"/>
              </w:tabs>
              <w:spacing w:line="160" w:lineRule="exact"/>
              <w:rPr>
                <w:sz w:val="14"/>
              </w:rPr>
            </w:pPr>
            <w:r>
              <w:rPr>
                <w:color w:val="231F20"/>
                <w:sz w:val="14"/>
              </w:rPr>
              <w:t>Једначина</w:t>
            </w:r>
            <w:r>
              <w:rPr>
                <w:color w:val="231F20"/>
                <w:spacing w:val="-1"/>
                <w:sz w:val="14"/>
              </w:rPr>
              <w:t xml:space="preserve"> </w:t>
            </w:r>
            <w:r>
              <w:rPr>
                <w:color w:val="231F20"/>
                <w:sz w:val="14"/>
              </w:rPr>
              <w:t>хиперболе.</w:t>
            </w:r>
          </w:p>
          <w:p w:rsidR="00041039" w:rsidRDefault="001B26CB">
            <w:pPr>
              <w:pStyle w:val="TableParagraph"/>
              <w:numPr>
                <w:ilvl w:val="0"/>
                <w:numId w:val="372"/>
              </w:numPr>
              <w:tabs>
                <w:tab w:val="left" w:pos="158"/>
              </w:tabs>
              <w:spacing w:line="160" w:lineRule="exact"/>
              <w:rPr>
                <w:sz w:val="14"/>
              </w:rPr>
            </w:pPr>
            <w:r>
              <w:rPr>
                <w:color w:val="231F20"/>
                <w:spacing w:val="-4"/>
                <w:sz w:val="14"/>
              </w:rPr>
              <w:t xml:space="preserve">Услов </w:t>
            </w:r>
            <w:r>
              <w:rPr>
                <w:color w:val="231F20"/>
                <w:sz w:val="14"/>
              </w:rPr>
              <w:t>додира праве и</w:t>
            </w:r>
            <w:r>
              <w:rPr>
                <w:color w:val="231F20"/>
                <w:sz w:val="14"/>
              </w:rPr>
              <w:t xml:space="preserve"> </w:t>
            </w:r>
            <w:r>
              <w:rPr>
                <w:color w:val="231F20"/>
                <w:sz w:val="14"/>
              </w:rPr>
              <w:t>хиперболе.</w:t>
            </w:r>
          </w:p>
          <w:p w:rsidR="00041039" w:rsidRDefault="001B26CB">
            <w:pPr>
              <w:pStyle w:val="TableParagraph"/>
              <w:numPr>
                <w:ilvl w:val="0"/>
                <w:numId w:val="372"/>
              </w:numPr>
              <w:tabs>
                <w:tab w:val="left" w:pos="158"/>
              </w:tabs>
              <w:spacing w:line="160" w:lineRule="exact"/>
              <w:rPr>
                <w:sz w:val="14"/>
              </w:rPr>
            </w:pPr>
            <w:r>
              <w:rPr>
                <w:color w:val="231F20"/>
                <w:sz w:val="14"/>
              </w:rPr>
              <w:t>Једначина</w:t>
            </w:r>
            <w:r>
              <w:rPr>
                <w:color w:val="231F20"/>
                <w:spacing w:val="-1"/>
                <w:sz w:val="14"/>
              </w:rPr>
              <w:t xml:space="preserve"> </w:t>
            </w:r>
            <w:r>
              <w:rPr>
                <w:color w:val="231F20"/>
                <w:sz w:val="14"/>
              </w:rPr>
              <w:t>параболе.</w:t>
            </w:r>
          </w:p>
          <w:p w:rsidR="00041039" w:rsidRDefault="001B26CB">
            <w:pPr>
              <w:pStyle w:val="TableParagraph"/>
              <w:numPr>
                <w:ilvl w:val="0"/>
                <w:numId w:val="372"/>
              </w:numPr>
              <w:tabs>
                <w:tab w:val="left" w:pos="158"/>
              </w:tabs>
              <w:spacing w:line="160" w:lineRule="exact"/>
              <w:rPr>
                <w:sz w:val="14"/>
              </w:rPr>
            </w:pPr>
            <w:r>
              <w:rPr>
                <w:color w:val="231F20"/>
                <w:spacing w:val="-4"/>
                <w:sz w:val="14"/>
              </w:rPr>
              <w:t xml:space="preserve">Услов </w:t>
            </w:r>
            <w:r>
              <w:rPr>
                <w:color w:val="231F20"/>
                <w:sz w:val="14"/>
              </w:rPr>
              <w:t>додира праве и параболе.</w:t>
            </w:r>
          </w:p>
          <w:p w:rsidR="00041039" w:rsidRDefault="001B26CB">
            <w:pPr>
              <w:pStyle w:val="TableParagraph"/>
              <w:numPr>
                <w:ilvl w:val="0"/>
                <w:numId w:val="372"/>
              </w:numPr>
              <w:tabs>
                <w:tab w:val="left" w:pos="158"/>
              </w:tabs>
              <w:spacing w:line="160" w:lineRule="exact"/>
              <w:rPr>
                <w:sz w:val="14"/>
              </w:rPr>
            </w:pPr>
            <w:r>
              <w:rPr>
                <w:color w:val="231F20"/>
                <w:spacing w:val="-4"/>
                <w:sz w:val="14"/>
              </w:rPr>
              <w:t xml:space="preserve">Угао </w:t>
            </w:r>
            <w:r>
              <w:rPr>
                <w:color w:val="231F20"/>
                <w:sz w:val="14"/>
              </w:rPr>
              <w:t>између две криве другог реда.</w:t>
            </w:r>
          </w:p>
          <w:p w:rsidR="00041039" w:rsidRDefault="001B26CB">
            <w:pPr>
              <w:pStyle w:val="TableParagraph"/>
              <w:numPr>
                <w:ilvl w:val="0"/>
                <w:numId w:val="372"/>
              </w:numPr>
              <w:tabs>
                <w:tab w:val="left" w:pos="158"/>
              </w:tabs>
              <w:spacing w:line="160" w:lineRule="exact"/>
              <w:rPr>
                <w:sz w:val="14"/>
              </w:rPr>
            </w:pPr>
            <w:r>
              <w:rPr>
                <w:color w:val="231F20"/>
                <w:sz w:val="14"/>
              </w:rPr>
              <w:t>Решавање система линеарних</w:t>
            </w:r>
            <w:r>
              <w:rPr>
                <w:color w:val="231F20"/>
                <w:spacing w:val="-5"/>
                <w:sz w:val="14"/>
              </w:rPr>
              <w:t xml:space="preserve"> </w:t>
            </w:r>
            <w:r>
              <w:rPr>
                <w:color w:val="231F20"/>
                <w:sz w:val="14"/>
              </w:rPr>
              <w:t>једначина.</w:t>
            </w:r>
          </w:p>
          <w:p w:rsidR="00041039" w:rsidRDefault="001B26CB">
            <w:pPr>
              <w:pStyle w:val="TableParagraph"/>
              <w:numPr>
                <w:ilvl w:val="0"/>
                <w:numId w:val="372"/>
              </w:numPr>
              <w:tabs>
                <w:tab w:val="left" w:pos="158"/>
              </w:tabs>
              <w:spacing w:line="160" w:lineRule="exact"/>
              <w:rPr>
                <w:sz w:val="14"/>
              </w:rPr>
            </w:pPr>
            <w:r>
              <w:rPr>
                <w:color w:val="231F20"/>
                <w:spacing w:val="-3"/>
                <w:sz w:val="14"/>
              </w:rPr>
              <w:t xml:space="preserve">Графичко </w:t>
            </w:r>
            <w:r>
              <w:rPr>
                <w:color w:val="231F20"/>
                <w:sz w:val="14"/>
              </w:rPr>
              <w:t>решавање система</w:t>
            </w:r>
            <w:r>
              <w:rPr>
                <w:color w:val="231F20"/>
                <w:sz w:val="14"/>
              </w:rPr>
              <w:t xml:space="preserve"> </w:t>
            </w:r>
            <w:r>
              <w:rPr>
                <w:color w:val="231F20"/>
                <w:sz w:val="14"/>
              </w:rPr>
              <w:t>једначина.</w:t>
            </w:r>
          </w:p>
          <w:p w:rsidR="00041039" w:rsidRDefault="001B26CB">
            <w:pPr>
              <w:pStyle w:val="TableParagraph"/>
              <w:numPr>
                <w:ilvl w:val="0"/>
                <w:numId w:val="372"/>
              </w:numPr>
              <w:tabs>
                <w:tab w:val="left" w:pos="158"/>
              </w:tabs>
              <w:spacing w:line="237" w:lineRule="auto"/>
              <w:ind w:right="132"/>
              <w:rPr>
                <w:sz w:val="14"/>
              </w:rPr>
            </w:pPr>
            <w:r>
              <w:rPr>
                <w:color w:val="231F20"/>
                <w:sz w:val="14"/>
              </w:rPr>
              <w:t>Решавање система линеарних</w:t>
            </w:r>
            <w:r>
              <w:rPr>
                <w:color w:val="231F20"/>
                <w:spacing w:val="-18"/>
                <w:sz w:val="14"/>
              </w:rPr>
              <w:t xml:space="preserve"> </w:t>
            </w:r>
            <w:r>
              <w:rPr>
                <w:color w:val="231F20"/>
                <w:sz w:val="14"/>
              </w:rPr>
              <w:t>неједначина са две</w:t>
            </w:r>
            <w:r>
              <w:rPr>
                <w:color w:val="231F20"/>
                <w:spacing w:val="-1"/>
                <w:sz w:val="14"/>
              </w:rPr>
              <w:t xml:space="preserve"> </w:t>
            </w:r>
            <w:r>
              <w:rPr>
                <w:color w:val="231F20"/>
                <w:sz w:val="14"/>
              </w:rPr>
              <w:t>непознате.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640"/>
        </w:trPr>
        <w:tc>
          <w:tcPr>
            <w:tcW w:w="1304" w:type="dxa"/>
          </w:tcPr>
          <w:p w:rsidR="00041039" w:rsidRDefault="001B26CB">
            <w:pPr>
              <w:pStyle w:val="TableParagraph"/>
              <w:spacing w:before="18"/>
              <w:ind w:left="56" w:right="37"/>
              <w:rPr>
                <w:sz w:val="14"/>
              </w:rPr>
            </w:pPr>
            <w:r>
              <w:rPr>
                <w:color w:val="231F20"/>
                <w:sz w:val="14"/>
              </w:rPr>
              <w:lastRenderedPageBreak/>
              <w:t>Математичка ин­ дукција. Низови</w:t>
            </w:r>
          </w:p>
        </w:tc>
        <w:tc>
          <w:tcPr>
            <w:tcW w:w="1587" w:type="dxa"/>
          </w:tcPr>
          <w:p w:rsidR="00041039" w:rsidRDefault="001B26CB">
            <w:pPr>
              <w:pStyle w:val="TableParagraph"/>
              <w:numPr>
                <w:ilvl w:val="0"/>
                <w:numId w:val="371"/>
              </w:numPr>
              <w:tabs>
                <w:tab w:val="left" w:pos="157"/>
              </w:tabs>
              <w:spacing w:before="8"/>
              <w:ind w:right="248"/>
              <w:rPr>
                <w:sz w:val="14"/>
              </w:rPr>
            </w:pPr>
            <w:r>
              <w:rPr>
                <w:color w:val="231F20"/>
                <w:sz w:val="14"/>
              </w:rPr>
              <w:t>Стицање основних знања о низовима</w:t>
            </w:r>
            <w:r>
              <w:rPr>
                <w:color w:val="231F20"/>
                <w:spacing w:val="-9"/>
                <w:sz w:val="14"/>
              </w:rPr>
              <w:t xml:space="preserve"> </w:t>
            </w:r>
            <w:r>
              <w:rPr>
                <w:color w:val="231F20"/>
                <w:sz w:val="14"/>
              </w:rPr>
              <w:t>и примена.</w:t>
            </w:r>
          </w:p>
        </w:tc>
        <w:tc>
          <w:tcPr>
            <w:tcW w:w="2551" w:type="dxa"/>
          </w:tcPr>
          <w:p w:rsidR="00041039" w:rsidRDefault="001B26CB">
            <w:pPr>
              <w:pStyle w:val="TableParagraph"/>
              <w:numPr>
                <w:ilvl w:val="0"/>
                <w:numId w:val="370"/>
              </w:numPr>
              <w:tabs>
                <w:tab w:val="left" w:pos="157"/>
              </w:tabs>
              <w:spacing w:before="8"/>
              <w:ind w:right="274" w:hanging="99"/>
              <w:rPr>
                <w:sz w:val="14"/>
              </w:rPr>
            </w:pPr>
            <w:r>
              <w:rPr>
                <w:color w:val="231F20"/>
                <w:sz w:val="14"/>
              </w:rPr>
              <w:t>изводи</w:t>
            </w:r>
            <w:r>
              <w:rPr>
                <w:color w:val="231F20"/>
                <w:spacing w:val="-11"/>
                <w:sz w:val="14"/>
              </w:rPr>
              <w:t xml:space="preserve"> </w:t>
            </w:r>
            <w:r>
              <w:rPr>
                <w:color w:val="231F20"/>
                <w:sz w:val="14"/>
              </w:rPr>
              <w:t>лакше</w:t>
            </w:r>
            <w:r>
              <w:rPr>
                <w:color w:val="231F20"/>
                <w:spacing w:val="-12"/>
                <w:sz w:val="14"/>
              </w:rPr>
              <w:t xml:space="preserve"> </w:t>
            </w:r>
            <w:r>
              <w:rPr>
                <w:color w:val="231F20"/>
                <w:sz w:val="14"/>
              </w:rPr>
              <w:t>доказе</w:t>
            </w:r>
            <w:r>
              <w:rPr>
                <w:color w:val="231F20"/>
                <w:spacing w:val="-11"/>
                <w:sz w:val="14"/>
              </w:rPr>
              <w:t xml:space="preserve"> </w:t>
            </w:r>
            <w:r>
              <w:rPr>
                <w:color w:val="231F20"/>
                <w:sz w:val="14"/>
              </w:rPr>
              <w:t>математичком индукцијом;</w:t>
            </w:r>
          </w:p>
          <w:p w:rsidR="00041039" w:rsidRDefault="001B26CB">
            <w:pPr>
              <w:pStyle w:val="TableParagraph"/>
              <w:numPr>
                <w:ilvl w:val="0"/>
                <w:numId w:val="370"/>
              </w:numPr>
              <w:tabs>
                <w:tab w:val="left" w:pos="157"/>
              </w:tabs>
              <w:spacing w:line="160" w:lineRule="exact"/>
              <w:ind w:right="271" w:hanging="99"/>
              <w:rPr>
                <w:sz w:val="14"/>
              </w:rPr>
            </w:pPr>
            <w:r>
              <w:rPr>
                <w:color w:val="231F20"/>
                <w:sz w:val="14"/>
              </w:rPr>
              <w:t>одреди аритметички низ из</w:t>
            </w:r>
            <w:r>
              <w:rPr>
                <w:color w:val="231F20"/>
                <w:spacing w:val="-20"/>
                <w:sz w:val="14"/>
              </w:rPr>
              <w:t xml:space="preserve"> </w:t>
            </w:r>
            <w:r>
              <w:rPr>
                <w:color w:val="231F20"/>
                <w:sz w:val="14"/>
              </w:rPr>
              <w:t>задатих услова;</w:t>
            </w:r>
          </w:p>
          <w:p w:rsidR="00041039" w:rsidRDefault="001B26CB">
            <w:pPr>
              <w:pStyle w:val="TableParagraph"/>
              <w:numPr>
                <w:ilvl w:val="0"/>
                <w:numId w:val="370"/>
              </w:numPr>
              <w:tabs>
                <w:tab w:val="left" w:pos="157"/>
              </w:tabs>
              <w:spacing w:line="160" w:lineRule="exact"/>
              <w:ind w:right="252" w:hanging="99"/>
              <w:rPr>
                <w:sz w:val="14"/>
              </w:rPr>
            </w:pPr>
            <w:r>
              <w:rPr>
                <w:color w:val="231F20"/>
                <w:sz w:val="14"/>
              </w:rPr>
              <w:t>одреди геометријски низ из</w:t>
            </w:r>
            <w:r>
              <w:rPr>
                <w:color w:val="231F20"/>
                <w:spacing w:val="-24"/>
                <w:sz w:val="14"/>
              </w:rPr>
              <w:t xml:space="preserve"> </w:t>
            </w:r>
            <w:r>
              <w:rPr>
                <w:color w:val="231F20"/>
                <w:sz w:val="14"/>
              </w:rPr>
              <w:t>задатих услова;</w:t>
            </w:r>
          </w:p>
          <w:p w:rsidR="00041039" w:rsidRDefault="001B26CB">
            <w:pPr>
              <w:pStyle w:val="TableParagraph"/>
              <w:numPr>
                <w:ilvl w:val="0"/>
                <w:numId w:val="370"/>
              </w:numPr>
              <w:tabs>
                <w:tab w:val="left" w:pos="157"/>
              </w:tabs>
              <w:spacing w:line="153" w:lineRule="exact"/>
              <w:ind w:hanging="99"/>
              <w:rPr>
                <w:sz w:val="14"/>
              </w:rPr>
            </w:pPr>
            <w:r>
              <w:rPr>
                <w:color w:val="231F20"/>
                <w:sz w:val="14"/>
              </w:rPr>
              <w:t>одреди суму геометријског</w:t>
            </w:r>
            <w:r>
              <w:rPr>
                <w:color w:val="231F20"/>
                <w:spacing w:val="-5"/>
                <w:sz w:val="14"/>
              </w:rPr>
              <w:t xml:space="preserve"> </w:t>
            </w:r>
            <w:r>
              <w:rPr>
                <w:color w:val="231F20"/>
                <w:sz w:val="14"/>
              </w:rPr>
              <w:t>реда;</w:t>
            </w:r>
          </w:p>
          <w:p w:rsidR="00041039" w:rsidRDefault="001B26CB">
            <w:pPr>
              <w:pStyle w:val="TableParagraph"/>
              <w:numPr>
                <w:ilvl w:val="0"/>
                <w:numId w:val="370"/>
              </w:numPr>
              <w:tabs>
                <w:tab w:val="left" w:pos="157"/>
              </w:tabs>
              <w:spacing w:line="237" w:lineRule="auto"/>
              <w:ind w:right="697" w:hanging="99"/>
              <w:rPr>
                <w:sz w:val="14"/>
              </w:rPr>
            </w:pPr>
            <w:r>
              <w:rPr>
                <w:color w:val="231F20"/>
                <w:sz w:val="14"/>
              </w:rPr>
              <w:t>примени геометријски ред</w:t>
            </w:r>
            <w:r>
              <w:rPr>
                <w:color w:val="231F20"/>
                <w:spacing w:val="-12"/>
                <w:sz w:val="14"/>
              </w:rPr>
              <w:t xml:space="preserve"> </w:t>
            </w:r>
            <w:r>
              <w:rPr>
                <w:color w:val="231F20"/>
                <w:sz w:val="14"/>
              </w:rPr>
              <w:t>у геометрији;</w:t>
            </w:r>
          </w:p>
          <w:p w:rsidR="00041039" w:rsidRDefault="001B26CB">
            <w:pPr>
              <w:pStyle w:val="TableParagraph"/>
              <w:numPr>
                <w:ilvl w:val="0"/>
                <w:numId w:val="370"/>
              </w:numPr>
              <w:tabs>
                <w:tab w:val="left" w:pos="157"/>
              </w:tabs>
              <w:spacing w:line="161" w:lineRule="exact"/>
              <w:ind w:hanging="99"/>
              <w:rPr>
                <w:sz w:val="14"/>
              </w:rPr>
            </w:pPr>
            <w:r>
              <w:rPr>
                <w:color w:val="231F20"/>
                <w:sz w:val="14"/>
              </w:rPr>
              <w:t>израчуна граничну вредност</w:t>
            </w:r>
            <w:r>
              <w:rPr>
                <w:color w:val="231F20"/>
                <w:spacing w:val="-6"/>
                <w:sz w:val="14"/>
              </w:rPr>
              <w:t xml:space="preserve"> </w:t>
            </w:r>
            <w:r>
              <w:rPr>
                <w:color w:val="231F20"/>
                <w:sz w:val="14"/>
              </w:rPr>
              <w:t>низа;</w:t>
            </w:r>
          </w:p>
        </w:tc>
        <w:tc>
          <w:tcPr>
            <w:tcW w:w="2834" w:type="dxa"/>
          </w:tcPr>
          <w:p w:rsidR="00041039" w:rsidRDefault="001B26CB">
            <w:pPr>
              <w:pStyle w:val="TableParagraph"/>
              <w:numPr>
                <w:ilvl w:val="0"/>
                <w:numId w:val="369"/>
              </w:numPr>
              <w:tabs>
                <w:tab w:val="left" w:pos="157"/>
              </w:tabs>
              <w:spacing w:before="8" w:line="166" w:lineRule="exact"/>
              <w:ind w:hanging="99"/>
              <w:rPr>
                <w:sz w:val="14"/>
              </w:rPr>
            </w:pPr>
            <w:r>
              <w:rPr>
                <w:color w:val="231F20"/>
                <w:sz w:val="14"/>
              </w:rPr>
              <w:t>Математичка</w:t>
            </w:r>
            <w:r>
              <w:rPr>
                <w:color w:val="231F20"/>
                <w:spacing w:val="-1"/>
                <w:sz w:val="14"/>
              </w:rPr>
              <w:t xml:space="preserve"> </w:t>
            </w:r>
            <w:r>
              <w:rPr>
                <w:color w:val="231F20"/>
                <w:sz w:val="14"/>
              </w:rPr>
              <w:t>индукција.</w:t>
            </w:r>
          </w:p>
          <w:p w:rsidR="00041039" w:rsidRDefault="001B26CB">
            <w:pPr>
              <w:pStyle w:val="TableParagraph"/>
              <w:numPr>
                <w:ilvl w:val="0"/>
                <w:numId w:val="369"/>
              </w:numPr>
              <w:tabs>
                <w:tab w:val="left" w:pos="157"/>
              </w:tabs>
              <w:spacing w:line="160" w:lineRule="exact"/>
              <w:ind w:hanging="99"/>
              <w:rPr>
                <w:sz w:val="14"/>
              </w:rPr>
            </w:pPr>
            <w:r>
              <w:rPr>
                <w:color w:val="231F20"/>
                <w:sz w:val="14"/>
              </w:rPr>
              <w:t>Дељивост, прости бројеви,</w:t>
            </w:r>
            <w:r>
              <w:rPr>
                <w:color w:val="231F20"/>
                <w:spacing w:val="-7"/>
                <w:sz w:val="14"/>
              </w:rPr>
              <w:t xml:space="preserve"> </w:t>
            </w:r>
            <w:r>
              <w:rPr>
                <w:color w:val="231F20"/>
                <w:sz w:val="14"/>
              </w:rPr>
              <w:t>конгруенције.</w:t>
            </w:r>
          </w:p>
          <w:p w:rsidR="00041039" w:rsidRDefault="001B26CB">
            <w:pPr>
              <w:pStyle w:val="TableParagraph"/>
              <w:numPr>
                <w:ilvl w:val="0"/>
                <w:numId w:val="369"/>
              </w:numPr>
              <w:tabs>
                <w:tab w:val="left" w:pos="157"/>
              </w:tabs>
              <w:spacing w:line="160" w:lineRule="exact"/>
              <w:ind w:hanging="99"/>
              <w:rPr>
                <w:sz w:val="14"/>
              </w:rPr>
            </w:pPr>
            <w:r>
              <w:rPr>
                <w:color w:val="231F20"/>
                <w:sz w:val="14"/>
              </w:rPr>
              <w:t>Аритметички</w:t>
            </w:r>
            <w:r>
              <w:rPr>
                <w:color w:val="231F20"/>
                <w:spacing w:val="-15"/>
                <w:sz w:val="14"/>
              </w:rPr>
              <w:t xml:space="preserve"> </w:t>
            </w:r>
            <w:r>
              <w:rPr>
                <w:color w:val="231F20"/>
                <w:sz w:val="14"/>
              </w:rPr>
              <w:t>низ.</w:t>
            </w:r>
          </w:p>
          <w:p w:rsidR="00041039" w:rsidRDefault="001B26CB">
            <w:pPr>
              <w:pStyle w:val="TableParagraph"/>
              <w:numPr>
                <w:ilvl w:val="0"/>
                <w:numId w:val="369"/>
              </w:numPr>
              <w:tabs>
                <w:tab w:val="left" w:pos="157"/>
              </w:tabs>
              <w:spacing w:line="160" w:lineRule="exact"/>
              <w:ind w:hanging="99"/>
              <w:rPr>
                <w:sz w:val="14"/>
              </w:rPr>
            </w:pPr>
            <w:r>
              <w:rPr>
                <w:color w:val="231F20"/>
                <w:sz w:val="14"/>
              </w:rPr>
              <w:t>Геометријски</w:t>
            </w:r>
            <w:r>
              <w:rPr>
                <w:color w:val="231F20"/>
                <w:spacing w:val="-17"/>
                <w:sz w:val="14"/>
              </w:rPr>
              <w:t xml:space="preserve"> </w:t>
            </w:r>
            <w:r>
              <w:rPr>
                <w:color w:val="231F20"/>
                <w:sz w:val="14"/>
              </w:rPr>
              <w:t>низ.</w:t>
            </w:r>
          </w:p>
          <w:p w:rsidR="00041039" w:rsidRDefault="001B26CB">
            <w:pPr>
              <w:pStyle w:val="TableParagraph"/>
              <w:numPr>
                <w:ilvl w:val="0"/>
                <w:numId w:val="369"/>
              </w:numPr>
              <w:tabs>
                <w:tab w:val="left" w:pos="157"/>
              </w:tabs>
              <w:spacing w:line="160" w:lineRule="exact"/>
              <w:ind w:hanging="99"/>
              <w:rPr>
                <w:sz w:val="14"/>
              </w:rPr>
            </w:pPr>
            <w:r>
              <w:rPr>
                <w:color w:val="231F20"/>
                <w:sz w:val="14"/>
              </w:rPr>
              <w:t>Геометријски</w:t>
            </w:r>
            <w:r>
              <w:rPr>
                <w:color w:val="231F20"/>
                <w:spacing w:val="-15"/>
                <w:sz w:val="14"/>
              </w:rPr>
              <w:t xml:space="preserve"> </w:t>
            </w:r>
            <w:r>
              <w:rPr>
                <w:color w:val="231F20"/>
                <w:sz w:val="14"/>
              </w:rPr>
              <w:t>ред.</w:t>
            </w:r>
          </w:p>
          <w:p w:rsidR="00041039" w:rsidRDefault="001B26CB">
            <w:pPr>
              <w:pStyle w:val="TableParagraph"/>
              <w:numPr>
                <w:ilvl w:val="0"/>
                <w:numId w:val="369"/>
              </w:numPr>
              <w:tabs>
                <w:tab w:val="left" w:pos="157"/>
              </w:tabs>
              <w:spacing w:line="160" w:lineRule="exact"/>
              <w:ind w:hanging="99"/>
              <w:rPr>
                <w:sz w:val="14"/>
              </w:rPr>
            </w:pPr>
            <w:r>
              <w:rPr>
                <w:color w:val="231F20"/>
                <w:sz w:val="14"/>
              </w:rPr>
              <w:t>Гранична вредност</w:t>
            </w:r>
            <w:r>
              <w:rPr>
                <w:color w:val="231F20"/>
                <w:spacing w:val="-1"/>
                <w:sz w:val="14"/>
              </w:rPr>
              <w:t xml:space="preserve"> </w:t>
            </w:r>
            <w:r>
              <w:rPr>
                <w:color w:val="231F20"/>
                <w:sz w:val="14"/>
              </w:rPr>
              <w:t>низа.</w:t>
            </w:r>
          </w:p>
          <w:p w:rsidR="00041039" w:rsidRDefault="001B26CB">
            <w:pPr>
              <w:pStyle w:val="TableParagraph"/>
              <w:numPr>
                <w:ilvl w:val="0"/>
                <w:numId w:val="369"/>
              </w:numPr>
              <w:tabs>
                <w:tab w:val="left" w:pos="157"/>
              </w:tabs>
              <w:spacing w:line="160" w:lineRule="exact"/>
              <w:ind w:hanging="99"/>
              <w:rPr>
                <w:sz w:val="14"/>
              </w:rPr>
            </w:pPr>
            <w:r>
              <w:rPr>
                <w:color w:val="231F20"/>
                <w:sz w:val="14"/>
              </w:rPr>
              <w:t>Дефиниција броја е.</w:t>
            </w:r>
          </w:p>
          <w:p w:rsidR="00041039" w:rsidRDefault="001B26CB">
            <w:pPr>
              <w:pStyle w:val="TableParagraph"/>
              <w:numPr>
                <w:ilvl w:val="0"/>
                <w:numId w:val="369"/>
              </w:numPr>
              <w:tabs>
                <w:tab w:val="left" w:pos="157"/>
              </w:tabs>
              <w:spacing w:line="166" w:lineRule="exact"/>
              <w:ind w:hanging="99"/>
              <w:rPr>
                <w:sz w:val="14"/>
              </w:rPr>
            </w:pPr>
            <w:r>
              <w:rPr>
                <w:color w:val="231F20"/>
                <w:sz w:val="14"/>
              </w:rPr>
              <w:t>Основне граничне</w:t>
            </w:r>
            <w:r>
              <w:rPr>
                <w:color w:val="231F20"/>
                <w:spacing w:val="-3"/>
                <w:sz w:val="14"/>
              </w:rPr>
              <w:t xml:space="preserve"> </w:t>
            </w:r>
            <w:r>
              <w:rPr>
                <w:color w:val="231F20"/>
                <w:sz w:val="14"/>
              </w:rPr>
              <w:t>вредности.</w:t>
            </w:r>
          </w:p>
        </w:tc>
        <w:tc>
          <w:tcPr>
            <w:tcW w:w="2267" w:type="dxa"/>
            <w:vMerge w:val="restart"/>
          </w:tcPr>
          <w:p w:rsidR="00041039" w:rsidRDefault="001B26CB">
            <w:pPr>
              <w:pStyle w:val="TableParagraph"/>
              <w:spacing w:before="18" w:line="155" w:lineRule="exact"/>
              <w:ind w:left="58"/>
              <w:rPr>
                <w:b/>
                <w:sz w:val="14"/>
              </w:rPr>
            </w:pPr>
            <w:r>
              <w:rPr>
                <w:b/>
                <w:color w:val="231F20"/>
                <w:sz w:val="14"/>
              </w:rPr>
              <w:t>Оквирни број часова по теми</w:t>
            </w:r>
          </w:p>
          <w:p w:rsidR="00041039" w:rsidRDefault="001B26CB">
            <w:pPr>
              <w:pStyle w:val="TableParagraph"/>
              <w:numPr>
                <w:ilvl w:val="0"/>
                <w:numId w:val="368"/>
              </w:numPr>
              <w:tabs>
                <w:tab w:val="left" w:pos="158"/>
              </w:tabs>
              <w:spacing w:line="160" w:lineRule="exact"/>
              <w:ind w:hanging="99"/>
              <w:rPr>
                <w:b/>
                <w:sz w:val="14"/>
              </w:rPr>
            </w:pPr>
            <w:r>
              <w:rPr>
                <w:color w:val="231F20"/>
                <w:sz w:val="14"/>
              </w:rPr>
              <w:t xml:space="preserve">Полиедри </w:t>
            </w:r>
            <w:r>
              <w:rPr>
                <w:b/>
                <w:color w:val="231F20"/>
                <w:sz w:val="14"/>
              </w:rPr>
              <w:t>(25</w:t>
            </w:r>
            <w:r>
              <w:rPr>
                <w:b/>
                <w:color w:val="231F20"/>
                <w:spacing w:val="-3"/>
                <w:sz w:val="14"/>
              </w:rPr>
              <w:t xml:space="preserve"> </w:t>
            </w:r>
            <w:r>
              <w:rPr>
                <w:b/>
                <w:color w:val="231F20"/>
                <w:sz w:val="14"/>
              </w:rPr>
              <w:t>часова)</w:t>
            </w:r>
          </w:p>
          <w:p w:rsidR="00041039" w:rsidRDefault="001B26CB">
            <w:pPr>
              <w:pStyle w:val="TableParagraph"/>
              <w:numPr>
                <w:ilvl w:val="0"/>
                <w:numId w:val="368"/>
              </w:numPr>
              <w:tabs>
                <w:tab w:val="left" w:pos="158"/>
              </w:tabs>
              <w:spacing w:line="160" w:lineRule="exact"/>
              <w:ind w:hanging="99"/>
              <w:rPr>
                <w:b/>
                <w:sz w:val="14"/>
              </w:rPr>
            </w:pPr>
            <w:r>
              <w:rPr>
                <w:color w:val="231F20"/>
                <w:sz w:val="14"/>
              </w:rPr>
              <w:t xml:space="preserve">Обртна тела </w:t>
            </w:r>
            <w:r>
              <w:rPr>
                <w:b/>
                <w:color w:val="231F20"/>
                <w:sz w:val="14"/>
              </w:rPr>
              <w:t>(20</w:t>
            </w:r>
            <w:r>
              <w:rPr>
                <w:b/>
                <w:color w:val="231F20"/>
                <w:spacing w:val="-3"/>
                <w:sz w:val="14"/>
              </w:rPr>
              <w:t xml:space="preserve"> </w:t>
            </w:r>
            <w:r>
              <w:rPr>
                <w:b/>
                <w:color w:val="231F20"/>
                <w:sz w:val="14"/>
              </w:rPr>
              <w:t>часова)</w:t>
            </w:r>
          </w:p>
          <w:p w:rsidR="00041039" w:rsidRDefault="001B26CB">
            <w:pPr>
              <w:pStyle w:val="TableParagraph"/>
              <w:numPr>
                <w:ilvl w:val="0"/>
                <w:numId w:val="368"/>
              </w:numPr>
              <w:tabs>
                <w:tab w:val="left" w:pos="158"/>
              </w:tabs>
              <w:spacing w:line="160" w:lineRule="exact"/>
              <w:ind w:hanging="99"/>
              <w:rPr>
                <w:b/>
                <w:sz w:val="14"/>
              </w:rPr>
            </w:pPr>
            <w:r>
              <w:rPr>
                <w:color w:val="231F20"/>
                <w:sz w:val="14"/>
              </w:rPr>
              <w:t xml:space="preserve">Вектори </w:t>
            </w:r>
            <w:r>
              <w:rPr>
                <w:b/>
                <w:color w:val="231F20"/>
                <w:sz w:val="14"/>
              </w:rPr>
              <w:t>(15</w:t>
            </w:r>
            <w:r>
              <w:rPr>
                <w:b/>
                <w:color w:val="231F20"/>
                <w:spacing w:val="-2"/>
                <w:sz w:val="14"/>
              </w:rPr>
              <w:t xml:space="preserve"> </w:t>
            </w:r>
            <w:r>
              <w:rPr>
                <w:b/>
                <w:color w:val="231F20"/>
                <w:sz w:val="14"/>
              </w:rPr>
              <w:t>часова)</w:t>
            </w:r>
          </w:p>
          <w:p w:rsidR="00041039" w:rsidRDefault="001B26CB">
            <w:pPr>
              <w:pStyle w:val="TableParagraph"/>
              <w:numPr>
                <w:ilvl w:val="0"/>
                <w:numId w:val="368"/>
              </w:numPr>
              <w:tabs>
                <w:tab w:val="left" w:pos="158"/>
              </w:tabs>
              <w:spacing w:line="165" w:lineRule="exact"/>
              <w:ind w:hanging="99"/>
              <w:rPr>
                <w:sz w:val="14"/>
              </w:rPr>
            </w:pPr>
            <w:r>
              <w:rPr>
                <w:color w:val="231F20"/>
                <w:sz w:val="14"/>
              </w:rPr>
              <w:t>Аналитичка геометрија у</w:t>
            </w:r>
            <w:r>
              <w:rPr>
                <w:color w:val="231F20"/>
                <w:spacing w:val="-5"/>
                <w:sz w:val="14"/>
              </w:rPr>
              <w:t xml:space="preserve"> </w:t>
            </w:r>
            <w:r>
              <w:rPr>
                <w:color w:val="231F20"/>
                <w:sz w:val="14"/>
              </w:rPr>
              <w:t>равни</w:t>
            </w:r>
          </w:p>
          <w:p w:rsidR="00041039" w:rsidRDefault="001B26CB">
            <w:pPr>
              <w:pStyle w:val="TableParagraph"/>
              <w:spacing w:line="155" w:lineRule="exact"/>
              <w:ind w:left="157"/>
              <w:rPr>
                <w:b/>
                <w:sz w:val="14"/>
              </w:rPr>
            </w:pPr>
            <w:r>
              <w:rPr>
                <w:b/>
                <w:color w:val="231F20"/>
                <w:sz w:val="14"/>
              </w:rPr>
              <w:t>(50 часова)</w:t>
            </w:r>
          </w:p>
          <w:p w:rsidR="00041039" w:rsidRDefault="001B26CB">
            <w:pPr>
              <w:pStyle w:val="TableParagraph"/>
              <w:numPr>
                <w:ilvl w:val="0"/>
                <w:numId w:val="368"/>
              </w:numPr>
              <w:tabs>
                <w:tab w:val="left" w:pos="158"/>
              </w:tabs>
              <w:spacing w:line="165" w:lineRule="exact"/>
              <w:ind w:hanging="99"/>
              <w:rPr>
                <w:sz w:val="14"/>
              </w:rPr>
            </w:pPr>
            <w:r>
              <w:rPr>
                <w:color w:val="231F20"/>
                <w:sz w:val="14"/>
              </w:rPr>
              <w:t>Математичка индукција.</w:t>
            </w:r>
            <w:r>
              <w:rPr>
                <w:color w:val="231F20"/>
                <w:spacing w:val="-9"/>
                <w:sz w:val="14"/>
              </w:rPr>
              <w:t xml:space="preserve"> </w:t>
            </w:r>
            <w:r>
              <w:rPr>
                <w:color w:val="231F20"/>
                <w:sz w:val="14"/>
              </w:rPr>
              <w:t>Низови</w:t>
            </w:r>
          </w:p>
          <w:p w:rsidR="00041039" w:rsidRDefault="001B26CB">
            <w:pPr>
              <w:pStyle w:val="TableParagraph"/>
              <w:spacing w:line="155" w:lineRule="exact"/>
              <w:ind w:left="157"/>
              <w:rPr>
                <w:b/>
                <w:sz w:val="14"/>
              </w:rPr>
            </w:pPr>
            <w:r>
              <w:rPr>
                <w:b/>
                <w:color w:val="231F20"/>
                <w:sz w:val="14"/>
              </w:rPr>
              <w:t>(38 часова)</w:t>
            </w:r>
          </w:p>
          <w:p w:rsidR="00041039" w:rsidRDefault="001B26CB">
            <w:pPr>
              <w:pStyle w:val="TableParagraph"/>
              <w:numPr>
                <w:ilvl w:val="0"/>
                <w:numId w:val="368"/>
              </w:numPr>
              <w:tabs>
                <w:tab w:val="left" w:pos="158"/>
              </w:tabs>
              <w:spacing w:line="165" w:lineRule="exact"/>
              <w:ind w:hanging="99"/>
              <w:rPr>
                <w:sz w:val="14"/>
              </w:rPr>
            </w:pPr>
            <w:r>
              <w:rPr>
                <w:color w:val="231F20"/>
                <w:sz w:val="14"/>
              </w:rPr>
              <w:t>Комплексни бројеви и</w:t>
            </w:r>
            <w:r>
              <w:rPr>
                <w:color w:val="231F20"/>
                <w:spacing w:val="-11"/>
                <w:sz w:val="14"/>
              </w:rPr>
              <w:t xml:space="preserve"> </w:t>
            </w:r>
            <w:r>
              <w:rPr>
                <w:color w:val="231F20"/>
                <w:sz w:val="14"/>
              </w:rPr>
              <w:t>полиноми</w:t>
            </w:r>
          </w:p>
          <w:p w:rsidR="00041039" w:rsidRDefault="001B26CB">
            <w:pPr>
              <w:pStyle w:val="TableParagraph"/>
              <w:spacing w:line="160" w:lineRule="exact"/>
              <w:ind w:left="157"/>
              <w:rPr>
                <w:b/>
                <w:sz w:val="14"/>
              </w:rPr>
            </w:pPr>
            <w:r>
              <w:rPr>
                <w:b/>
                <w:color w:val="231F20"/>
                <w:sz w:val="14"/>
              </w:rPr>
              <w:t>(15 часова)</w:t>
            </w:r>
          </w:p>
          <w:p w:rsidR="00041039" w:rsidRDefault="00041039">
            <w:pPr>
              <w:pStyle w:val="TableParagraph"/>
              <w:spacing w:before="9"/>
              <w:ind w:left="0"/>
              <w:rPr>
                <w:b/>
                <w:sz w:val="13"/>
              </w:rPr>
            </w:pPr>
          </w:p>
          <w:p w:rsidR="00041039" w:rsidRDefault="001B26CB">
            <w:pPr>
              <w:pStyle w:val="TableParagraph"/>
              <w:spacing w:before="1"/>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r w:rsidR="00041039">
        <w:trPr>
          <w:trHeight w:val="1320"/>
        </w:trPr>
        <w:tc>
          <w:tcPr>
            <w:tcW w:w="1304" w:type="dxa"/>
          </w:tcPr>
          <w:p w:rsidR="00041039" w:rsidRDefault="001B26CB">
            <w:pPr>
              <w:pStyle w:val="TableParagraph"/>
              <w:spacing w:before="18"/>
              <w:ind w:left="56" w:right="37"/>
              <w:rPr>
                <w:sz w:val="14"/>
              </w:rPr>
            </w:pPr>
            <w:r>
              <w:rPr>
                <w:color w:val="231F20"/>
                <w:sz w:val="14"/>
              </w:rPr>
              <w:t>Комплексни броје­ ви и полиноми</w:t>
            </w:r>
          </w:p>
        </w:tc>
        <w:tc>
          <w:tcPr>
            <w:tcW w:w="1587" w:type="dxa"/>
          </w:tcPr>
          <w:p w:rsidR="00041039" w:rsidRDefault="001B26CB">
            <w:pPr>
              <w:pStyle w:val="TableParagraph"/>
              <w:numPr>
                <w:ilvl w:val="0"/>
                <w:numId w:val="367"/>
              </w:numPr>
              <w:tabs>
                <w:tab w:val="left" w:pos="157"/>
              </w:tabs>
              <w:spacing w:before="8"/>
              <w:ind w:right="211"/>
              <w:rPr>
                <w:sz w:val="14"/>
              </w:rPr>
            </w:pPr>
            <w:r>
              <w:rPr>
                <w:color w:val="231F20"/>
                <w:sz w:val="14"/>
              </w:rPr>
              <w:t xml:space="preserve">Стицање знања о степеновању и </w:t>
            </w:r>
            <w:r>
              <w:rPr>
                <w:color w:val="231F20"/>
                <w:spacing w:val="-3"/>
                <w:sz w:val="14"/>
              </w:rPr>
              <w:t xml:space="preserve">ко­ </w:t>
            </w:r>
            <w:r>
              <w:rPr>
                <w:color w:val="231F20"/>
                <w:sz w:val="14"/>
              </w:rPr>
              <w:t>реновању</w:t>
            </w:r>
            <w:r>
              <w:rPr>
                <w:color w:val="231F20"/>
                <w:spacing w:val="-15"/>
                <w:sz w:val="14"/>
              </w:rPr>
              <w:t xml:space="preserve"> </w:t>
            </w:r>
            <w:r>
              <w:rPr>
                <w:color w:val="231F20"/>
                <w:sz w:val="14"/>
              </w:rPr>
              <w:t>комплекс­ них бројева и неке примене.</w:t>
            </w:r>
          </w:p>
        </w:tc>
        <w:tc>
          <w:tcPr>
            <w:tcW w:w="2551" w:type="dxa"/>
          </w:tcPr>
          <w:p w:rsidR="00041039" w:rsidRDefault="001B26CB">
            <w:pPr>
              <w:pStyle w:val="TableParagraph"/>
              <w:numPr>
                <w:ilvl w:val="0"/>
                <w:numId w:val="366"/>
              </w:numPr>
              <w:tabs>
                <w:tab w:val="left" w:pos="157"/>
              </w:tabs>
              <w:spacing w:before="8"/>
              <w:ind w:right="173" w:hanging="99"/>
              <w:rPr>
                <w:sz w:val="14"/>
              </w:rPr>
            </w:pPr>
            <w:r>
              <w:rPr>
                <w:color w:val="231F20"/>
                <w:sz w:val="14"/>
              </w:rPr>
              <w:t>одреди тригонометријски облик</w:t>
            </w:r>
            <w:r>
              <w:rPr>
                <w:color w:val="231F20"/>
                <w:spacing w:val="-17"/>
                <w:sz w:val="14"/>
              </w:rPr>
              <w:t xml:space="preserve"> </w:t>
            </w:r>
            <w:r>
              <w:rPr>
                <w:color w:val="231F20"/>
                <w:spacing w:val="-3"/>
                <w:sz w:val="14"/>
              </w:rPr>
              <w:t xml:space="preserve">ком­ </w:t>
            </w:r>
            <w:r>
              <w:rPr>
                <w:color w:val="231F20"/>
                <w:sz w:val="14"/>
              </w:rPr>
              <w:t>плексног броја</w:t>
            </w:r>
            <w:r>
              <w:rPr>
                <w:color w:val="231F20"/>
                <w:spacing w:val="-1"/>
                <w:sz w:val="14"/>
              </w:rPr>
              <w:t xml:space="preserve"> </w:t>
            </w:r>
            <w:r>
              <w:rPr>
                <w:color w:val="231F20"/>
                <w:sz w:val="14"/>
              </w:rPr>
              <w:t>;</w:t>
            </w:r>
          </w:p>
          <w:p w:rsidR="00041039" w:rsidRDefault="001B26CB">
            <w:pPr>
              <w:pStyle w:val="TableParagraph"/>
              <w:numPr>
                <w:ilvl w:val="0"/>
                <w:numId w:val="366"/>
              </w:numPr>
              <w:tabs>
                <w:tab w:val="left" w:pos="157"/>
              </w:tabs>
              <w:spacing w:before="1" w:line="160" w:lineRule="exact"/>
              <w:ind w:right="265" w:hanging="99"/>
              <w:rPr>
                <w:sz w:val="14"/>
              </w:rPr>
            </w:pPr>
            <w:r>
              <w:rPr>
                <w:color w:val="231F20"/>
                <w:sz w:val="14"/>
              </w:rPr>
              <w:t>одреди</w:t>
            </w:r>
            <w:r>
              <w:rPr>
                <w:color w:val="231F20"/>
                <w:spacing w:val="-8"/>
                <w:sz w:val="14"/>
              </w:rPr>
              <w:t xml:space="preserve"> </w:t>
            </w:r>
            <w:r>
              <w:rPr>
                <w:color w:val="231F20"/>
                <w:sz w:val="14"/>
              </w:rPr>
              <w:t>степен</w:t>
            </w:r>
            <w:r>
              <w:rPr>
                <w:color w:val="231F20"/>
                <w:spacing w:val="-8"/>
                <w:sz w:val="14"/>
              </w:rPr>
              <w:t xml:space="preserve"> </w:t>
            </w:r>
            <w:r>
              <w:rPr>
                <w:color w:val="231F20"/>
                <w:sz w:val="14"/>
              </w:rPr>
              <w:t>и</w:t>
            </w:r>
            <w:r>
              <w:rPr>
                <w:color w:val="231F20"/>
                <w:spacing w:val="-8"/>
                <w:sz w:val="14"/>
              </w:rPr>
              <w:t xml:space="preserve"> </w:t>
            </w:r>
            <w:r>
              <w:rPr>
                <w:color w:val="231F20"/>
                <w:sz w:val="14"/>
              </w:rPr>
              <w:t>корен</w:t>
            </w:r>
            <w:r>
              <w:rPr>
                <w:color w:val="231F20"/>
                <w:spacing w:val="-8"/>
                <w:sz w:val="14"/>
              </w:rPr>
              <w:t xml:space="preserve"> </w:t>
            </w:r>
            <w:r>
              <w:rPr>
                <w:color w:val="231F20"/>
                <w:sz w:val="14"/>
              </w:rPr>
              <w:t>комплексног броја у тригонометријском</w:t>
            </w:r>
            <w:r>
              <w:rPr>
                <w:color w:val="231F20"/>
                <w:spacing w:val="-20"/>
                <w:sz w:val="14"/>
              </w:rPr>
              <w:t xml:space="preserve"> </w:t>
            </w:r>
            <w:r>
              <w:rPr>
                <w:color w:val="231F20"/>
                <w:sz w:val="14"/>
              </w:rPr>
              <w:t>облику;</w:t>
            </w:r>
          </w:p>
          <w:p w:rsidR="00041039" w:rsidRDefault="001B26CB">
            <w:pPr>
              <w:pStyle w:val="TableParagraph"/>
              <w:numPr>
                <w:ilvl w:val="0"/>
                <w:numId w:val="366"/>
              </w:numPr>
              <w:tabs>
                <w:tab w:val="left" w:pos="157"/>
              </w:tabs>
              <w:spacing w:line="160" w:lineRule="exact"/>
              <w:ind w:right="62" w:hanging="99"/>
              <w:rPr>
                <w:sz w:val="14"/>
              </w:rPr>
            </w:pPr>
            <w:r>
              <w:rPr>
                <w:color w:val="231F20"/>
                <w:sz w:val="14"/>
              </w:rPr>
              <w:t xml:space="preserve">одреди </w:t>
            </w:r>
            <w:r>
              <w:rPr>
                <w:color w:val="231F20"/>
                <w:spacing w:val="-3"/>
                <w:sz w:val="14"/>
              </w:rPr>
              <w:t xml:space="preserve">нуле </w:t>
            </w:r>
            <w:r>
              <w:rPr>
                <w:color w:val="231F20"/>
                <w:sz w:val="14"/>
              </w:rPr>
              <w:t>полинома са</w:t>
            </w:r>
            <w:r>
              <w:rPr>
                <w:color w:val="231F20"/>
                <w:spacing w:val="-24"/>
                <w:sz w:val="14"/>
              </w:rPr>
              <w:t xml:space="preserve"> </w:t>
            </w:r>
            <w:r>
              <w:rPr>
                <w:color w:val="231F20"/>
                <w:sz w:val="14"/>
              </w:rPr>
              <w:t>комплексним коефицијентима;</w:t>
            </w:r>
          </w:p>
        </w:tc>
        <w:tc>
          <w:tcPr>
            <w:tcW w:w="2834" w:type="dxa"/>
          </w:tcPr>
          <w:p w:rsidR="00041039" w:rsidRDefault="001B26CB">
            <w:pPr>
              <w:pStyle w:val="TableParagraph"/>
              <w:numPr>
                <w:ilvl w:val="0"/>
                <w:numId w:val="365"/>
              </w:numPr>
              <w:tabs>
                <w:tab w:val="left" w:pos="157"/>
              </w:tabs>
              <w:spacing w:before="9"/>
              <w:ind w:right="397" w:hanging="99"/>
              <w:rPr>
                <w:sz w:val="14"/>
              </w:rPr>
            </w:pPr>
            <w:r>
              <w:rPr>
                <w:color w:val="231F20"/>
                <w:sz w:val="14"/>
              </w:rPr>
              <w:t>Тригонометријски</w:t>
            </w:r>
            <w:r>
              <w:rPr>
                <w:color w:val="231F20"/>
                <w:spacing w:val="-15"/>
                <w:sz w:val="14"/>
              </w:rPr>
              <w:t xml:space="preserve"> </w:t>
            </w:r>
            <w:r>
              <w:rPr>
                <w:color w:val="231F20"/>
                <w:sz w:val="14"/>
              </w:rPr>
              <w:t>облик</w:t>
            </w:r>
            <w:r>
              <w:rPr>
                <w:color w:val="231F20"/>
                <w:spacing w:val="-15"/>
                <w:sz w:val="14"/>
              </w:rPr>
              <w:t xml:space="preserve"> </w:t>
            </w:r>
            <w:r>
              <w:rPr>
                <w:color w:val="231F20"/>
                <w:sz w:val="14"/>
              </w:rPr>
              <w:t>комплексног броја.</w:t>
            </w:r>
          </w:p>
          <w:p w:rsidR="00041039" w:rsidRDefault="001B26CB">
            <w:pPr>
              <w:pStyle w:val="TableParagraph"/>
              <w:numPr>
                <w:ilvl w:val="0"/>
                <w:numId w:val="365"/>
              </w:numPr>
              <w:tabs>
                <w:tab w:val="left" w:pos="157"/>
              </w:tabs>
              <w:spacing w:line="153" w:lineRule="exact"/>
              <w:ind w:hanging="99"/>
              <w:rPr>
                <w:sz w:val="14"/>
              </w:rPr>
            </w:pPr>
            <w:r>
              <w:rPr>
                <w:color w:val="231F20"/>
                <w:sz w:val="14"/>
              </w:rPr>
              <w:t>Моаврова</w:t>
            </w:r>
            <w:r>
              <w:rPr>
                <w:color w:val="231F20"/>
                <w:spacing w:val="-1"/>
                <w:sz w:val="14"/>
              </w:rPr>
              <w:t xml:space="preserve"> </w:t>
            </w:r>
            <w:r>
              <w:rPr>
                <w:color w:val="231F20"/>
                <w:sz w:val="14"/>
              </w:rPr>
              <w:t>формула.</w:t>
            </w:r>
          </w:p>
          <w:p w:rsidR="00041039" w:rsidRDefault="001B26CB">
            <w:pPr>
              <w:pStyle w:val="TableParagraph"/>
              <w:numPr>
                <w:ilvl w:val="0"/>
                <w:numId w:val="365"/>
              </w:numPr>
              <w:tabs>
                <w:tab w:val="left" w:pos="157"/>
              </w:tabs>
              <w:spacing w:line="160" w:lineRule="exact"/>
              <w:ind w:hanging="99"/>
              <w:rPr>
                <w:sz w:val="14"/>
              </w:rPr>
            </w:pPr>
            <w:r>
              <w:rPr>
                <w:color w:val="231F20"/>
                <w:sz w:val="14"/>
              </w:rPr>
              <w:t>Корен комплексног</w:t>
            </w:r>
            <w:r>
              <w:rPr>
                <w:color w:val="231F20"/>
                <w:spacing w:val="-2"/>
                <w:sz w:val="14"/>
              </w:rPr>
              <w:t xml:space="preserve"> </w:t>
            </w:r>
            <w:r>
              <w:rPr>
                <w:color w:val="231F20"/>
                <w:sz w:val="14"/>
              </w:rPr>
              <w:t>броја.</w:t>
            </w:r>
          </w:p>
          <w:p w:rsidR="00041039" w:rsidRDefault="001B26CB">
            <w:pPr>
              <w:pStyle w:val="TableParagraph"/>
              <w:numPr>
                <w:ilvl w:val="0"/>
                <w:numId w:val="365"/>
              </w:numPr>
              <w:tabs>
                <w:tab w:val="left" w:pos="157"/>
              </w:tabs>
              <w:spacing w:line="160" w:lineRule="exact"/>
              <w:ind w:hanging="99"/>
              <w:rPr>
                <w:sz w:val="14"/>
              </w:rPr>
            </w:pPr>
            <w:r>
              <w:rPr>
                <w:color w:val="231F20"/>
                <w:sz w:val="14"/>
              </w:rPr>
              <w:t>Основни став</w:t>
            </w:r>
            <w:r>
              <w:rPr>
                <w:color w:val="231F20"/>
                <w:spacing w:val="-2"/>
                <w:sz w:val="14"/>
              </w:rPr>
              <w:t xml:space="preserve"> </w:t>
            </w:r>
            <w:r>
              <w:rPr>
                <w:color w:val="231F20"/>
                <w:sz w:val="14"/>
              </w:rPr>
              <w:t>алгебре.</w:t>
            </w:r>
          </w:p>
          <w:p w:rsidR="00041039" w:rsidRDefault="001B26CB">
            <w:pPr>
              <w:pStyle w:val="TableParagraph"/>
              <w:numPr>
                <w:ilvl w:val="0"/>
                <w:numId w:val="365"/>
              </w:numPr>
              <w:tabs>
                <w:tab w:val="left" w:pos="157"/>
              </w:tabs>
              <w:spacing w:line="160" w:lineRule="exact"/>
              <w:ind w:hanging="99"/>
              <w:rPr>
                <w:sz w:val="14"/>
              </w:rPr>
            </w:pPr>
            <w:r>
              <w:rPr>
                <w:color w:val="231F20"/>
                <w:sz w:val="14"/>
              </w:rPr>
              <w:t>Вијетове</w:t>
            </w:r>
            <w:r>
              <w:rPr>
                <w:color w:val="231F20"/>
                <w:spacing w:val="-1"/>
                <w:sz w:val="14"/>
              </w:rPr>
              <w:t xml:space="preserve"> </w:t>
            </w:r>
            <w:r>
              <w:rPr>
                <w:color w:val="231F20"/>
                <w:sz w:val="14"/>
              </w:rPr>
              <w:t>везе.</w:t>
            </w:r>
          </w:p>
          <w:p w:rsidR="00041039" w:rsidRDefault="001B26CB">
            <w:pPr>
              <w:pStyle w:val="TableParagraph"/>
              <w:numPr>
                <w:ilvl w:val="0"/>
                <w:numId w:val="365"/>
              </w:numPr>
              <w:tabs>
                <w:tab w:val="left" w:pos="157"/>
              </w:tabs>
              <w:spacing w:line="237" w:lineRule="auto"/>
              <w:ind w:right="279" w:hanging="99"/>
              <w:rPr>
                <w:sz w:val="14"/>
              </w:rPr>
            </w:pPr>
            <w:r>
              <w:rPr>
                <w:color w:val="231F20"/>
                <w:sz w:val="14"/>
              </w:rPr>
              <w:t>Решавање алгебарских једначина</w:t>
            </w:r>
            <w:r>
              <w:rPr>
                <w:color w:val="231F20"/>
                <w:spacing w:val="-18"/>
                <w:sz w:val="14"/>
              </w:rPr>
              <w:t xml:space="preserve"> </w:t>
            </w:r>
            <w:r>
              <w:rPr>
                <w:color w:val="231F20"/>
                <w:sz w:val="14"/>
              </w:rPr>
              <w:t>вишег реда.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6" w:line="314" w:lineRule="auto"/>
        <w:ind w:left="157" w:right="8288"/>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МАТЕМАТИКА </w:t>
      </w:r>
      <w:r>
        <w:rPr>
          <w:color w:val="231F20"/>
          <w:spacing w:val="-3"/>
          <w:sz w:val="14"/>
        </w:rPr>
        <w:t>Годишњи</w:t>
      </w:r>
      <w:r>
        <w:rPr>
          <w:color w:val="231F20"/>
          <w:sz w:val="14"/>
        </w:rPr>
        <w:t xml:space="preserve"> фонд:</w:t>
      </w:r>
      <w:r>
        <w:rPr>
          <w:color w:val="231F20"/>
          <w:sz w:val="14"/>
        </w:rPr>
        <w:tab/>
      </w:r>
      <w:r>
        <w:rPr>
          <w:b/>
          <w:color w:val="231F20"/>
          <w:sz w:val="14"/>
        </w:rPr>
        <w:t xml:space="preserve">128 часова </w:t>
      </w:r>
      <w:r>
        <w:rPr>
          <w:color w:val="231F20"/>
          <w:sz w:val="14"/>
        </w:rPr>
        <w:t>Разред:</w:t>
      </w:r>
      <w:r>
        <w:rPr>
          <w:color w:val="231F20"/>
          <w:sz w:val="14"/>
        </w:rPr>
        <w:tab/>
      </w:r>
      <w:r>
        <w:rPr>
          <w:b/>
          <w:color w:val="231F20"/>
          <w:sz w:val="14"/>
        </w:rPr>
        <w:t>четврти</w:t>
      </w:r>
    </w:p>
    <w:p w:rsidR="00041039" w:rsidRDefault="00041039">
      <w:pPr>
        <w:pStyle w:val="BodyText"/>
        <w:spacing w:before="2"/>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06"/>
        </w:trPr>
        <w:tc>
          <w:tcPr>
            <w:tcW w:w="1304" w:type="dxa"/>
          </w:tcPr>
          <w:p w:rsidR="00041039" w:rsidRDefault="001B26CB">
            <w:pPr>
              <w:pStyle w:val="TableParagraph"/>
              <w:spacing w:before="18"/>
              <w:ind w:left="56"/>
              <w:rPr>
                <w:sz w:val="14"/>
              </w:rPr>
            </w:pPr>
            <w:r>
              <w:rPr>
                <w:color w:val="231F20"/>
                <w:sz w:val="14"/>
              </w:rPr>
              <w:t>Функција</w:t>
            </w:r>
          </w:p>
        </w:tc>
        <w:tc>
          <w:tcPr>
            <w:tcW w:w="1587" w:type="dxa"/>
          </w:tcPr>
          <w:p w:rsidR="00041039" w:rsidRDefault="001B26CB">
            <w:pPr>
              <w:pStyle w:val="TableParagraph"/>
              <w:numPr>
                <w:ilvl w:val="0"/>
                <w:numId w:val="364"/>
              </w:numPr>
              <w:tabs>
                <w:tab w:val="left" w:pos="157"/>
              </w:tabs>
              <w:spacing w:before="11" w:line="235" w:lineRule="auto"/>
              <w:ind w:right="222"/>
              <w:rPr>
                <w:sz w:val="14"/>
              </w:rPr>
            </w:pPr>
            <w:r>
              <w:rPr>
                <w:color w:val="231F20"/>
                <w:sz w:val="14"/>
              </w:rPr>
              <w:t>Систематизација знања о</w:t>
            </w:r>
            <w:r>
              <w:rPr>
                <w:color w:val="231F20"/>
                <w:spacing w:val="-10"/>
                <w:sz w:val="14"/>
              </w:rPr>
              <w:t xml:space="preserve"> </w:t>
            </w:r>
            <w:r>
              <w:rPr>
                <w:color w:val="231F20"/>
                <w:sz w:val="14"/>
              </w:rPr>
              <w:t>функцијама датим аналитичким изразом.</w:t>
            </w:r>
          </w:p>
        </w:tc>
        <w:tc>
          <w:tcPr>
            <w:tcW w:w="2551" w:type="dxa"/>
          </w:tcPr>
          <w:p w:rsidR="00041039" w:rsidRDefault="001B26CB">
            <w:pPr>
              <w:pStyle w:val="TableParagraph"/>
              <w:numPr>
                <w:ilvl w:val="0"/>
                <w:numId w:val="363"/>
              </w:numPr>
              <w:tabs>
                <w:tab w:val="left" w:pos="157"/>
              </w:tabs>
              <w:spacing w:before="11" w:line="235" w:lineRule="auto"/>
              <w:ind w:right="301" w:hanging="99"/>
              <w:rPr>
                <w:sz w:val="14"/>
              </w:rPr>
            </w:pPr>
            <w:r>
              <w:rPr>
                <w:color w:val="231F20"/>
                <w:sz w:val="14"/>
              </w:rPr>
              <w:t>одреди</w:t>
            </w:r>
            <w:r>
              <w:rPr>
                <w:color w:val="231F20"/>
                <w:spacing w:val="-10"/>
                <w:sz w:val="14"/>
              </w:rPr>
              <w:t xml:space="preserve"> </w:t>
            </w:r>
            <w:r>
              <w:rPr>
                <w:color w:val="231F20"/>
                <w:sz w:val="14"/>
              </w:rPr>
              <w:t>домен,</w:t>
            </w:r>
            <w:r>
              <w:rPr>
                <w:color w:val="231F20"/>
                <w:spacing w:val="-10"/>
                <w:sz w:val="14"/>
              </w:rPr>
              <w:t xml:space="preserve"> </w:t>
            </w:r>
            <w:r>
              <w:rPr>
                <w:color w:val="231F20"/>
                <w:sz w:val="14"/>
              </w:rPr>
              <w:t>кодомен,</w:t>
            </w:r>
            <w:r>
              <w:rPr>
                <w:color w:val="231F20"/>
                <w:spacing w:val="-10"/>
                <w:sz w:val="14"/>
              </w:rPr>
              <w:t xml:space="preserve"> </w:t>
            </w:r>
            <w:r>
              <w:rPr>
                <w:color w:val="231F20"/>
                <w:sz w:val="14"/>
              </w:rPr>
              <w:t>нуле,</w:t>
            </w:r>
            <w:r>
              <w:rPr>
                <w:color w:val="231F20"/>
                <w:spacing w:val="-10"/>
                <w:sz w:val="14"/>
              </w:rPr>
              <w:t xml:space="preserve"> </w:t>
            </w:r>
            <w:r>
              <w:rPr>
                <w:color w:val="231F20"/>
                <w:sz w:val="14"/>
              </w:rPr>
              <w:t>знак, парност рационалне</w:t>
            </w:r>
            <w:r>
              <w:rPr>
                <w:color w:val="231F20"/>
                <w:spacing w:val="-3"/>
                <w:sz w:val="14"/>
              </w:rPr>
              <w:t xml:space="preserve"> </w:t>
            </w:r>
            <w:r>
              <w:rPr>
                <w:color w:val="231F20"/>
                <w:sz w:val="14"/>
              </w:rPr>
              <w:t>функције;</w:t>
            </w:r>
          </w:p>
          <w:p w:rsidR="00041039" w:rsidRDefault="001B26CB">
            <w:pPr>
              <w:pStyle w:val="TableParagraph"/>
              <w:numPr>
                <w:ilvl w:val="0"/>
                <w:numId w:val="363"/>
              </w:numPr>
              <w:tabs>
                <w:tab w:val="left" w:pos="157"/>
              </w:tabs>
              <w:spacing w:before="2" w:line="158" w:lineRule="exact"/>
              <w:ind w:right="182" w:hanging="99"/>
              <w:rPr>
                <w:sz w:val="14"/>
              </w:rPr>
            </w:pPr>
            <w:r>
              <w:rPr>
                <w:color w:val="231F20"/>
                <w:sz w:val="14"/>
              </w:rPr>
              <w:t>слаже пресликавања и решава</w:t>
            </w:r>
            <w:r>
              <w:rPr>
                <w:color w:val="231F20"/>
                <w:spacing w:val="-13"/>
                <w:sz w:val="14"/>
              </w:rPr>
              <w:t xml:space="preserve"> </w:t>
            </w:r>
            <w:r>
              <w:rPr>
                <w:color w:val="231F20"/>
                <w:sz w:val="14"/>
              </w:rPr>
              <w:t>лакше функционалне</w:t>
            </w:r>
            <w:r>
              <w:rPr>
                <w:color w:val="231F20"/>
                <w:spacing w:val="-2"/>
                <w:sz w:val="14"/>
              </w:rPr>
              <w:t xml:space="preserve"> </w:t>
            </w:r>
            <w:r>
              <w:rPr>
                <w:color w:val="231F20"/>
                <w:sz w:val="14"/>
              </w:rPr>
              <w:t>једначине;</w:t>
            </w:r>
          </w:p>
          <w:p w:rsidR="00041039" w:rsidRDefault="001B26CB">
            <w:pPr>
              <w:pStyle w:val="TableParagraph"/>
              <w:numPr>
                <w:ilvl w:val="0"/>
                <w:numId w:val="363"/>
              </w:numPr>
              <w:tabs>
                <w:tab w:val="left" w:pos="157"/>
              </w:tabs>
              <w:spacing w:line="151" w:lineRule="exact"/>
              <w:ind w:hanging="99"/>
              <w:rPr>
                <w:sz w:val="14"/>
              </w:rPr>
            </w:pPr>
            <w:r>
              <w:rPr>
                <w:color w:val="231F20"/>
                <w:sz w:val="14"/>
              </w:rPr>
              <w:t>израчуна лакше граничне</w:t>
            </w:r>
            <w:r>
              <w:rPr>
                <w:color w:val="231F20"/>
                <w:spacing w:val="-10"/>
                <w:sz w:val="14"/>
              </w:rPr>
              <w:t xml:space="preserve"> </w:t>
            </w:r>
            <w:r>
              <w:rPr>
                <w:color w:val="231F20"/>
                <w:sz w:val="14"/>
              </w:rPr>
              <w:t>вредности;</w:t>
            </w:r>
          </w:p>
          <w:p w:rsidR="00041039" w:rsidRDefault="001B26CB">
            <w:pPr>
              <w:pStyle w:val="TableParagraph"/>
              <w:numPr>
                <w:ilvl w:val="0"/>
                <w:numId w:val="363"/>
              </w:numPr>
              <w:tabs>
                <w:tab w:val="left" w:pos="157"/>
              </w:tabs>
              <w:spacing w:line="158" w:lineRule="exact"/>
              <w:ind w:hanging="99"/>
              <w:rPr>
                <w:sz w:val="14"/>
              </w:rPr>
            </w:pPr>
            <w:r>
              <w:rPr>
                <w:color w:val="231F20"/>
                <w:sz w:val="14"/>
              </w:rPr>
              <w:t>одреди асимптоте</w:t>
            </w:r>
            <w:r>
              <w:rPr>
                <w:color w:val="231F20"/>
                <w:spacing w:val="-2"/>
                <w:sz w:val="14"/>
              </w:rPr>
              <w:t xml:space="preserve"> </w:t>
            </w:r>
            <w:r>
              <w:rPr>
                <w:color w:val="231F20"/>
                <w:sz w:val="14"/>
              </w:rPr>
              <w:t>функције;</w:t>
            </w:r>
          </w:p>
          <w:p w:rsidR="00041039" w:rsidRDefault="001B26CB">
            <w:pPr>
              <w:pStyle w:val="TableParagraph"/>
              <w:numPr>
                <w:ilvl w:val="0"/>
                <w:numId w:val="363"/>
              </w:numPr>
              <w:tabs>
                <w:tab w:val="left" w:pos="157"/>
              </w:tabs>
              <w:spacing w:line="235" w:lineRule="auto"/>
              <w:ind w:right="100" w:hanging="99"/>
              <w:rPr>
                <w:sz w:val="14"/>
              </w:rPr>
            </w:pPr>
            <w:r>
              <w:rPr>
                <w:color w:val="231F20"/>
                <w:sz w:val="14"/>
              </w:rPr>
              <w:t>испита понашање функције у</w:t>
            </w:r>
            <w:r>
              <w:rPr>
                <w:color w:val="231F20"/>
                <w:spacing w:val="-26"/>
                <w:sz w:val="14"/>
              </w:rPr>
              <w:t xml:space="preserve"> </w:t>
            </w:r>
            <w:r>
              <w:rPr>
                <w:color w:val="231F20"/>
                <w:sz w:val="14"/>
              </w:rPr>
              <w:t>околини вертикалних</w:t>
            </w:r>
            <w:r>
              <w:rPr>
                <w:color w:val="231F20"/>
                <w:spacing w:val="-2"/>
                <w:sz w:val="14"/>
              </w:rPr>
              <w:t xml:space="preserve"> </w:t>
            </w:r>
            <w:r>
              <w:rPr>
                <w:color w:val="231F20"/>
                <w:sz w:val="14"/>
              </w:rPr>
              <w:t>асимптота;</w:t>
            </w:r>
          </w:p>
        </w:tc>
        <w:tc>
          <w:tcPr>
            <w:tcW w:w="2834" w:type="dxa"/>
          </w:tcPr>
          <w:p w:rsidR="00041039" w:rsidRDefault="001B26CB">
            <w:pPr>
              <w:pStyle w:val="TableParagraph"/>
              <w:numPr>
                <w:ilvl w:val="0"/>
                <w:numId w:val="362"/>
              </w:numPr>
              <w:tabs>
                <w:tab w:val="left" w:pos="157"/>
              </w:tabs>
              <w:spacing w:before="8" w:line="165" w:lineRule="exact"/>
              <w:ind w:hanging="99"/>
              <w:rPr>
                <w:sz w:val="14"/>
              </w:rPr>
            </w:pPr>
            <w:r>
              <w:rPr>
                <w:color w:val="231F20"/>
                <w:sz w:val="14"/>
              </w:rPr>
              <w:t>Домен, кодомен, нуле, знак,</w:t>
            </w:r>
            <w:r>
              <w:rPr>
                <w:color w:val="231F20"/>
                <w:spacing w:val="-13"/>
                <w:sz w:val="14"/>
              </w:rPr>
              <w:t xml:space="preserve"> </w:t>
            </w:r>
            <w:r>
              <w:rPr>
                <w:color w:val="231F20"/>
                <w:sz w:val="14"/>
              </w:rPr>
              <w:t>парност.</w:t>
            </w:r>
          </w:p>
          <w:p w:rsidR="00041039" w:rsidRDefault="001B26CB">
            <w:pPr>
              <w:pStyle w:val="TableParagraph"/>
              <w:numPr>
                <w:ilvl w:val="0"/>
                <w:numId w:val="362"/>
              </w:numPr>
              <w:tabs>
                <w:tab w:val="left" w:pos="157"/>
              </w:tabs>
              <w:spacing w:line="158" w:lineRule="exact"/>
              <w:ind w:hanging="99"/>
              <w:rPr>
                <w:sz w:val="14"/>
              </w:rPr>
            </w:pPr>
            <w:r>
              <w:rPr>
                <w:color w:val="231F20"/>
                <w:sz w:val="14"/>
              </w:rPr>
              <w:t>Инверзна</w:t>
            </w:r>
            <w:r>
              <w:rPr>
                <w:color w:val="231F20"/>
                <w:spacing w:val="-2"/>
                <w:sz w:val="14"/>
              </w:rPr>
              <w:t xml:space="preserve"> </w:t>
            </w:r>
            <w:r>
              <w:rPr>
                <w:color w:val="231F20"/>
                <w:sz w:val="14"/>
              </w:rPr>
              <w:t>функција.</w:t>
            </w:r>
          </w:p>
          <w:p w:rsidR="00041039" w:rsidRDefault="001B26CB">
            <w:pPr>
              <w:pStyle w:val="TableParagraph"/>
              <w:numPr>
                <w:ilvl w:val="0"/>
                <w:numId w:val="362"/>
              </w:numPr>
              <w:tabs>
                <w:tab w:val="left" w:pos="157"/>
              </w:tabs>
              <w:spacing w:line="158" w:lineRule="exact"/>
              <w:ind w:hanging="99"/>
              <w:rPr>
                <w:sz w:val="14"/>
              </w:rPr>
            </w:pPr>
            <w:r>
              <w:rPr>
                <w:color w:val="231F20"/>
                <w:sz w:val="14"/>
              </w:rPr>
              <w:t>Слагање</w:t>
            </w:r>
            <w:r>
              <w:rPr>
                <w:color w:val="231F20"/>
                <w:spacing w:val="-1"/>
                <w:sz w:val="14"/>
              </w:rPr>
              <w:t xml:space="preserve"> </w:t>
            </w:r>
            <w:r>
              <w:rPr>
                <w:color w:val="231F20"/>
                <w:sz w:val="14"/>
              </w:rPr>
              <w:t>пресликавања.</w:t>
            </w:r>
          </w:p>
          <w:p w:rsidR="00041039" w:rsidRDefault="001B26CB">
            <w:pPr>
              <w:pStyle w:val="TableParagraph"/>
              <w:numPr>
                <w:ilvl w:val="0"/>
                <w:numId w:val="362"/>
              </w:numPr>
              <w:tabs>
                <w:tab w:val="left" w:pos="157"/>
              </w:tabs>
              <w:spacing w:line="158" w:lineRule="exact"/>
              <w:ind w:hanging="99"/>
              <w:rPr>
                <w:sz w:val="14"/>
              </w:rPr>
            </w:pPr>
            <w:r>
              <w:rPr>
                <w:color w:val="231F20"/>
                <w:sz w:val="14"/>
              </w:rPr>
              <w:t>Функционалне</w:t>
            </w:r>
            <w:r>
              <w:rPr>
                <w:color w:val="231F20"/>
                <w:spacing w:val="-2"/>
                <w:sz w:val="14"/>
              </w:rPr>
              <w:t xml:space="preserve"> </w:t>
            </w:r>
            <w:r>
              <w:rPr>
                <w:color w:val="231F20"/>
                <w:sz w:val="14"/>
              </w:rPr>
              <w:t>једначине.</w:t>
            </w:r>
          </w:p>
          <w:p w:rsidR="00041039" w:rsidRDefault="001B26CB">
            <w:pPr>
              <w:pStyle w:val="TableParagraph"/>
              <w:numPr>
                <w:ilvl w:val="0"/>
                <w:numId w:val="362"/>
              </w:numPr>
              <w:tabs>
                <w:tab w:val="left" w:pos="157"/>
              </w:tabs>
              <w:spacing w:line="158" w:lineRule="exact"/>
              <w:ind w:hanging="99"/>
              <w:rPr>
                <w:sz w:val="14"/>
              </w:rPr>
            </w:pPr>
            <w:r>
              <w:rPr>
                <w:color w:val="231F20"/>
                <w:sz w:val="14"/>
              </w:rPr>
              <w:t>Гранична вредност</w:t>
            </w:r>
            <w:r>
              <w:rPr>
                <w:color w:val="231F20"/>
                <w:spacing w:val="-1"/>
                <w:sz w:val="14"/>
              </w:rPr>
              <w:t xml:space="preserve"> </w:t>
            </w:r>
            <w:r>
              <w:rPr>
                <w:color w:val="231F20"/>
                <w:sz w:val="14"/>
              </w:rPr>
              <w:t>функције.</w:t>
            </w:r>
          </w:p>
          <w:p w:rsidR="00041039" w:rsidRDefault="001B26CB">
            <w:pPr>
              <w:pStyle w:val="TableParagraph"/>
              <w:numPr>
                <w:ilvl w:val="0"/>
                <w:numId w:val="362"/>
              </w:numPr>
              <w:tabs>
                <w:tab w:val="left" w:pos="157"/>
              </w:tabs>
              <w:spacing w:line="165" w:lineRule="exact"/>
              <w:ind w:hanging="99"/>
              <w:rPr>
                <w:sz w:val="14"/>
              </w:rPr>
            </w:pPr>
            <w:r>
              <w:rPr>
                <w:color w:val="231F20"/>
                <w:sz w:val="14"/>
              </w:rPr>
              <w:t>Асимптоте</w:t>
            </w:r>
            <w:r>
              <w:rPr>
                <w:color w:val="231F20"/>
                <w:spacing w:val="-1"/>
                <w:sz w:val="14"/>
              </w:rPr>
              <w:t xml:space="preserve"> </w:t>
            </w:r>
            <w:r>
              <w:rPr>
                <w:color w:val="231F20"/>
                <w:sz w:val="14"/>
              </w:rPr>
              <w:t>функције.</w:t>
            </w:r>
          </w:p>
        </w:tc>
        <w:tc>
          <w:tcPr>
            <w:tcW w:w="2267" w:type="dxa"/>
            <w:vMerge w:val="restart"/>
          </w:tcPr>
          <w:p w:rsidR="00041039" w:rsidRDefault="001B26CB">
            <w:pPr>
              <w:pStyle w:val="TableParagraph"/>
              <w:numPr>
                <w:ilvl w:val="0"/>
                <w:numId w:val="361"/>
              </w:numPr>
              <w:tabs>
                <w:tab w:val="left" w:pos="158"/>
              </w:tabs>
              <w:spacing w:before="11" w:line="235"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7"/>
              <w:ind w:left="0"/>
              <w:rPr>
                <w:b/>
                <w:sz w:val="13"/>
              </w:rPr>
            </w:pPr>
          </w:p>
          <w:p w:rsidR="00041039" w:rsidRDefault="001B26CB">
            <w:pPr>
              <w:pStyle w:val="TableParagraph"/>
              <w:spacing w:line="160" w:lineRule="exact"/>
              <w:ind w:left="58"/>
              <w:rPr>
                <w:b/>
                <w:sz w:val="14"/>
              </w:rPr>
            </w:pPr>
            <w:r>
              <w:rPr>
                <w:b/>
                <w:color w:val="231F20"/>
                <w:sz w:val="14"/>
              </w:rPr>
              <w:t>Облици наставе</w:t>
            </w:r>
          </w:p>
          <w:p w:rsidR="00041039" w:rsidRDefault="001B26CB">
            <w:pPr>
              <w:pStyle w:val="TableParagraph"/>
              <w:spacing w:before="1" w:line="235"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361"/>
              </w:numPr>
              <w:tabs>
                <w:tab w:val="left" w:pos="158"/>
              </w:tabs>
              <w:spacing w:line="159" w:lineRule="exact"/>
              <w:ind w:hanging="99"/>
              <w:rPr>
                <w:b/>
                <w:sz w:val="14"/>
              </w:rPr>
            </w:pPr>
            <w:r>
              <w:rPr>
                <w:color w:val="231F20"/>
                <w:sz w:val="14"/>
              </w:rPr>
              <w:t xml:space="preserve">теоријска настава </w:t>
            </w:r>
            <w:r>
              <w:rPr>
                <w:b/>
                <w:color w:val="231F20"/>
                <w:sz w:val="14"/>
              </w:rPr>
              <w:t>(128</w:t>
            </w:r>
            <w:r>
              <w:rPr>
                <w:b/>
                <w:color w:val="231F20"/>
                <w:spacing w:val="-5"/>
                <w:sz w:val="14"/>
              </w:rPr>
              <w:t xml:space="preserve"> </w:t>
            </w:r>
            <w:r>
              <w:rPr>
                <w:b/>
                <w:color w:val="231F20"/>
                <w:sz w:val="14"/>
              </w:rPr>
              <w:t>часова)</w:t>
            </w:r>
          </w:p>
          <w:p w:rsidR="00041039" w:rsidRDefault="00041039">
            <w:pPr>
              <w:pStyle w:val="TableParagraph"/>
              <w:spacing w:before="5"/>
              <w:ind w:left="0"/>
              <w:rPr>
                <w:b/>
                <w:sz w:val="13"/>
              </w:rPr>
            </w:pPr>
          </w:p>
          <w:p w:rsidR="00041039" w:rsidRDefault="001B26CB">
            <w:pPr>
              <w:pStyle w:val="TableParagraph"/>
              <w:spacing w:line="160" w:lineRule="exact"/>
              <w:ind w:left="58"/>
              <w:rPr>
                <w:b/>
                <w:sz w:val="14"/>
              </w:rPr>
            </w:pPr>
            <w:r>
              <w:rPr>
                <w:b/>
                <w:color w:val="231F20"/>
                <w:sz w:val="14"/>
              </w:rPr>
              <w:t>Подела одељења на групе</w:t>
            </w:r>
          </w:p>
          <w:p w:rsidR="00041039" w:rsidRDefault="001B26CB">
            <w:pPr>
              <w:pStyle w:val="TableParagraph"/>
              <w:spacing w:line="160" w:lineRule="exact"/>
              <w:ind w:left="58"/>
              <w:rPr>
                <w:sz w:val="14"/>
              </w:rPr>
            </w:pPr>
            <w:r>
              <w:rPr>
                <w:color w:val="231F20"/>
                <w:sz w:val="14"/>
              </w:rPr>
              <w:t>Одељење се не дели на групе</w:t>
            </w:r>
            <w:r>
              <w:rPr>
                <w:color w:val="231F20"/>
                <w:sz w:val="14"/>
              </w:rPr>
              <w:t>.</w:t>
            </w:r>
          </w:p>
          <w:p w:rsidR="00041039" w:rsidRDefault="00041039">
            <w:pPr>
              <w:pStyle w:val="TableParagraph"/>
              <w:spacing w:before="6"/>
              <w:ind w:left="0"/>
              <w:rPr>
                <w:b/>
                <w:sz w:val="13"/>
              </w:rPr>
            </w:pPr>
          </w:p>
          <w:p w:rsidR="00041039" w:rsidRDefault="001B26CB">
            <w:pPr>
              <w:pStyle w:val="TableParagraph"/>
              <w:spacing w:line="154" w:lineRule="exact"/>
              <w:ind w:left="58"/>
              <w:rPr>
                <w:b/>
                <w:sz w:val="14"/>
              </w:rPr>
            </w:pPr>
            <w:r>
              <w:rPr>
                <w:b/>
                <w:color w:val="231F20"/>
                <w:sz w:val="14"/>
              </w:rPr>
              <w:t>Место реализације наставе</w:t>
            </w:r>
          </w:p>
          <w:p w:rsidR="00041039" w:rsidRDefault="001B26CB">
            <w:pPr>
              <w:pStyle w:val="TableParagraph"/>
              <w:numPr>
                <w:ilvl w:val="0"/>
                <w:numId w:val="361"/>
              </w:numPr>
              <w:tabs>
                <w:tab w:val="left" w:pos="158"/>
              </w:tabs>
              <w:spacing w:line="235"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4"/>
              <w:ind w:left="0"/>
              <w:rPr>
                <w:b/>
                <w:sz w:val="13"/>
              </w:rPr>
            </w:pPr>
          </w:p>
          <w:p w:rsidR="00041039" w:rsidRDefault="001B26CB">
            <w:pPr>
              <w:pStyle w:val="TableParagraph"/>
              <w:spacing w:before="1" w:line="235" w:lineRule="auto"/>
              <w:ind w:left="58" w:right="109"/>
              <w:rPr>
                <w:b/>
                <w:sz w:val="14"/>
              </w:rPr>
            </w:pPr>
            <w:r>
              <w:rPr>
                <w:b/>
                <w:color w:val="231F20"/>
                <w:sz w:val="14"/>
              </w:rPr>
              <w:t>Препоруке за реализацију наставе</w:t>
            </w:r>
          </w:p>
          <w:p w:rsidR="00041039" w:rsidRDefault="001B26CB">
            <w:pPr>
              <w:pStyle w:val="TableParagraph"/>
              <w:numPr>
                <w:ilvl w:val="0"/>
                <w:numId w:val="361"/>
              </w:numPr>
              <w:tabs>
                <w:tab w:val="left" w:pos="158"/>
              </w:tabs>
              <w:spacing w:before="2" w:line="158" w:lineRule="exact"/>
              <w:ind w:right="64" w:hanging="99"/>
              <w:rPr>
                <w:sz w:val="14"/>
              </w:rPr>
            </w:pPr>
            <w:r>
              <w:rPr>
                <w:color w:val="231F20"/>
                <w:sz w:val="14"/>
              </w:rPr>
              <w:t>образложити циљ предмета</w:t>
            </w:r>
            <w:r>
              <w:rPr>
                <w:color w:val="231F20"/>
                <w:spacing w:val="-16"/>
                <w:sz w:val="14"/>
              </w:rPr>
              <w:t xml:space="preserve"> </w:t>
            </w:r>
            <w:r>
              <w:rPr>
                <w:color w:val="231F20"/>
                <w:sz w:val="14"/>
              </w:rPr>
              <w:t>начин и критеријум</w:t>
            </w:r>
            <w:r>
              <w:rPr>
                <w:color w:val="231F20"/>
                <w:spacing w:val="-2"/>
                <w:sz w:val="14"/>
              </w:rPr>
              <w:t xml:space="preserve"> </w:t>
            </w:r>
            <w:r>
              <w:rPr>
                <w:color w:val="231F20"/>
                <w:sz w:val="14"/>
              </w:rPr>
              <w:t>оцењивања;</w:t>
            </w:r>
          </w:p>
          <w:p w:rsidR="00041039" w:rsidRDefault="001B26CB">
            <w:pPr>
              <w:pStyle w:val="TableParagraph"/>
              <w:numPr>
                <w:ilvl w:val="0"/>
                <w:numId w:val="361"/>
              </w:numPr>
              <w:tabs>
                <w:tab w:val="left" w:pos="158"/>
              </w:tabs>
              <w:spacing w:line="158"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361"/>
              </w:numPr>
              <w:tabs>
                <w:tab w:val="left" w:pos="158"/>
              </w:tabs>
              <w:spacing w:line="158" w:lineRule="exact"/>
              <w:ind w:right="476" w:hanging="99"/>
              <w:rPr>
                <w:sz w:val="14"/>
              </w:rPr>
            </w:pPr>
            <w:r>
              <w:rPr>
                <w:color w:val="231F20"/>
                <w:sz w:val="14"/>
              </w:rPr>
              <w:t>подстицати ученике на размишљање и самостално закључивање;</w:t>
            </w:r>
          </w:p>
          <w:p w:rsidR="00041039" w:rsidRDefault="001B26CB">
            <w:pPr>
              <w:pStyle w:val="TableParagraph"/>
              <w:numPr>
                <w:ilvl w:val="0"/>
                <w:numId w:val="361"/>
              </w:numPr>
              <w:tabs>
                <w:tab w:val="left" w:pos="158"/>
              </w:tabs>
              <w:spacing w:line="158"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361"/>
              </w:numPr>
              <w:tabs>
                <w:tab w:val="left" w:pos="158"/>
              </w:tabs>
              <w:spacing w:line="158" w:lineRule="exact"/>
              <w:ind w:right="309" w:hanging="99"/>
              <w:rPr>
                <w:sz w:val="14"/>
              </w:rPr>
            </w:pPr>
            <w:r>
              <w:rPr>
                <w:color w:val="231F20"/>
                <w:sz w:val="14"/>
              </w:rPr>
              <w:t>упућивати ученике на претраживање различитих извора и примену савремених технологија;</w:t>
            </w:r>
          </w:p>
          <w:p w:rsidR="00041039" w:rsidRDefault="001B26CB">
            <w:pPr>
              <w:pStyle w:val="TableParagraph"/>
              <w:numPr>
                <w:ilvl w:val="0"/>
                <w:numId w:val="360"/>
              </w:numPr>
              <w:tabs>
                <w:tab w:val="left" w:pos="143"/>
              </w:tabs>
              <w:spacing w:line="235" w:lineRule="auto"/>
              <w:ind w:right="227"/>
              <w:rPr>
                <w:sz w:val="14"/>
              </w:rPr>
            </w:pPr>
            <w:r>
              <w:rPr>
                <w:b/>
                <w:color w:val="231F20"/>
                <w:sz w:val="14"/>
              </w:rPr>
              <w:t xml:space="preserve">Функција: </w:t>
            </w:r>
            <w:r>
              <w:rPr>
                <w:color w:val="231F20"/>
                <w:sz w:val="14"/>
              </w:rPr>
              <w:t>допунити и систе­ матизоват</w:t>
            </w:r>
            <w:r>
              <w:rPr>
                <w:color w:val="231F20"/>
                <w:sz w:val="14"/>
              </w:rPr>
              <w:t>и знања о особинама функција; дати преглед</w:t>
            </w:r>
            <w:r>
              <w:rPr>
                <w:color w:val="231F20"/>
                <w:spacing w:val="-22"/>
                <w:sz w:val="14"/>
              </w:rPr>
              <w:t xml:space="preserve"> </w:t>
            </w:r>
            <w:r>
              <w:rPr>
                <w:color w:val="231F20"/>
                <w:sz w:val="14"/>
              </w:rPr>
              <w:t>елемен­ тарних функција;</w:t>
            </w:r>
            <w:r>
              <w:rPr>
                <w:color w:val="231F20"/>
                <w:spacing w:val="-4"/>
                <w:sz w:val="14"/>
              </w:rPr>
              <w:t xml:space="preserve"> </w:t>
            </w:r>
            <w:r>
              <w:rPr>
                <w:color w:val="231F20"/>
                <w:sz w:val="14"/>
              </w:rPr>
              <w:t>проширити</w:t>
            </w:r>
          </w:p>
          <w:p w:rsidR="00041039" w:rsidRDefault="001B26CB">
            <w:pPr>
              <w:pStyle w:val="TableParagraph"/>
              <w:spacing w:line="235" w:lineRule="auto"/>
              <w:ind w:left="142" w:right="310"/>
              <w:rPr>
                <w:sz w:val="14"/>
              </w:rPr>
            </w:pPr>
            <w:r>
              <w:rPr>
                <w:color w:val="231F20"/>
                <w:sz w:val="14"/>
              </w:rPr>
              <w:t>и допунити постојећа знања о граничним вредностима.</w:t>
            </w:r>
          </w:p>
          <w:p w:rsidR="00041039" w:rsidRDefault="001B26CB">
            <w:pPr>
              <w:pStyle w:val="TableParagraph"/>
              <w:numPr>
                <w:ilvl w:val="0"/>
                <w:numId w:val="360"/>
              </w:numPr>
              <w:tabs>
                <w:tab w:val="left" w:pos="143"/>
              </w:tabs>
              <w:spacing w:before="1" w:line="235" w:lineRule="auto"/>
              <w:ind w:right="72"/>
              <w:rPr>
                <w:sz w:val="14"/>
              </w:rPr>
            </w:pPr>
            <w:r>
              <w:rPr>
                <w:b/>
                <w:color w:val="231F20"/>
                <w:sz w:val="14"/>
              </w:rPr>
              <w:t xml:space="preserve">Извод функције: </w:t>
            </w:r>
            <w:r>
              <w:rPr>
                <w:color w:val="231F20"/>
                <w:sz w:val="14"/>
              </w:rPr>
              <w:t>дати бројне примене извода функције и задржати се на испитивању тока</w:t>
            </w:r>
            <w:r>
              <w:rPr>
                <w:color w:val="231F20"/>
                <w:spacing w:val="-22"/>
                <w:sz w:val="14"/>
              </w:rPr>
              <w:t xml:space="preserve"> </w:t>
            </w:r>
            <w:r>
              <w:rPr>
                <w:color w:val="231F20"/>
                <w:sz w:val="14"/>
              </w:rPr>
              <w:t>и цртању графика</w:t>
            </w:r>
            <w:r>
              <w:rPr>
                <w:color w:val="231F20"/>
                <w:spacing w:val="-2"/>
                <w:sz w:val="14"/>
              </w:rPr>
              <w:t xml:space="preserve"> </w:t>
            </w:r>
            <w:r>
              <w:rPr>
                <w:color w:val="231F20"/>
                <w:sz w:val="14"/>
              </w:rPr>
              <w:t>функције.</w:t>
            </w:r>
          </w:p>
          <w:p w:rsidR="00041039" w:rsidRDefault="001B26CB">
            <w:pPr>
              <w:pStyle w:val="TableParagraph"/>
              <w:numPr>
                <w:ilvl w:val="0"/>
                <w:numId w:val="360"/>
              </w:numPr>
              <w:tabs>
                <w:tab w:val="left" w:pos="143"/>
              </w:tabs>
              <w:spacing w:before="1" w:line="235" w:lineRule="auto"/>
              <w:ind w:right="122"/>
              <w:rPr>
                <w:sz w:val="14"/>
              </w:rPr>
            </w:pPr>
            <w:r>
              <w:rPr>
                <w:b/>
                <w:color w:val="231F20"/>
                <w:sz w:val="14"/>
              </w:rPr>
              <w:t xml:space="preserve">Интеграл: </w:t>
            </w:r>
            <w:r>
              <w:rPr>
                <w:color w:val="231F20"/>
                <w:sz w:val="14"/>
              </w:rPr>
              <w:t>након разних ти­ пова неодређеног интеграла и понављању кроз израчунавање одређеног интеграла, акценат је на бројним применама</w:t>
            </w:r>
            <w:r>
              <w:rPr>
                <w:color w:val="231F20"/>
                <w:spacing w:val="-14"/>
                <w:sz w:val="14"/>
              </w:rPr>
              <w:t xml:space="preserve"> </w:t>
            </w:r>
            <w:r>
              <w:rPr>
                <w:color w:val="231F20"/>
                <w:sz w:val="14"/>
              </w:rPr>
              <w:t>одређеног интеграла.</w:t>
            </w:r>
          </w:p>
          <w:p w:rsidR="00041039" w:rsidRDefault="001B26CB">
            <w:pPr>
              <w:pStyle w:val="TableParagraph"/>
              <w:numPr>
                <w:ilvl w:val="0"/>
                <w:numId w:val="360"/>
              </w:numPr>
              <w:tabs>
                <w:tab w:val="left" w:pos="143"/>
              </w:tabs>
              <w:spacing w:before="2" w:line="235" w:lineRule="auto"/>
              <w:ind w:right="437"/>
              <w:rPr>
                <w:sz w:val="14"/>
              </w:rPr>
            </w:pPr>
            <w:r>
              <w:rPr>
                <w:b/>
                <w:color w:val="231F20"/>
                <w:sz w:val="14"/>
              </w:rPr>
              <w:t xml:space="preserve">Комбинаторика: </w:t>
            </w:r>
            <w:r>
              <w:rPr>
                <w:color w:val="231F20"/>
                <w:sz w:val="14"/>
              </w:rPr>
              <w:t>настави­ ти употребу стечених</w:t>
            </w:r>
            <w:r>
              <w:rPr>
                <w:color w:val="231F20"/>
                <w:spacing w:val="-16"/>
                <w:sz w:val="14"/>
              </w:rPr>
              <w:t xml:space="preserve"> </w:t>
            </w:r>
            <w:r>
              <w:rPr>
                <w:color w:val="231F20"/>
                <w:sz w:val="14"/>
              </w:rPr>
              <w:t>знања о пребројавању</w:t>
            </w:r>
            <w:r>
              <w:rPr>
                <w:color w:val="231F20"/>
                <w:spacing w:val="-8"/>
                <w:sz w:val="14"/>
              </w:rPr>
              <w:t xml:space="preserve"> </w:t>
            </w:r>
            <w:r>
              <w:rPr>
                <w:color w:val="231F20"/>
                <w:sz w:val="14"/>
              </w:rPr>
              <w:t>додавањем</w:t>
            </w:r>
          </w:p>
          <w:p w:rsidR="00041039" w:rsidRDefault="001B26CB">
            <w:pPr>
              <w:pStyle w:val="TableParagraph"/>
              <w:spacing w:before="2" w:line="158" w:lineRule="exact"/>
              <w:ind w:left="142"/>
              <w:rPr>
                <w:sz w:val="14"/>
              </w:rPr>
            </w:pPr>
            <w:r>
              <w:rPr>
                <w:color w:val="231F20"/>
                <w:sz w:val="14"/>
              </w:rPr>
              <w:t>сложенијих примера и то, како ин</w:t>
            </w:r>
            <w:r>
              <w:rPr>
                <w:color w:val="231F20"/>
                <w:sz w:val="14"/>
              </w:rPr>
              <w:t>туитивно, тако и кроз формуле; користити и комбинаторне идентитете који проширују ово подручје.</w:t>
            </w:r>
          </w:p>
        </w:tc>
      </w:tr>
      <w:tr w:rsidR="00041039">
        <w:trPr>
          <w:trHeight w:val="1622"/>
        </w:trPr>
        <w:tc>
          <w:tcPr>
            <w:tcW w:w="1304" w:type="dxa"/>
          </w:tcPr>
          <w:p w:rsidR="00041039" w:rsidRDefault="001B26CB">
            <w:pPr>
              <w:pStyle w:val="TableParagraph"/>
              <w:spacing w:before="21"/>
              <w:ind w:left="56"/>
              <w:rPr>
                <w:sz w:val="14"/>
              </w:rPr>
            </w:pPr>
            <w:r>
              <w:rPr>
                <w:color w:val="231F20"/>
                <w:sz w:val="14"/>
              </w:rPr>
              <w:t>Извод функције</w:t>
            </w:r>
          </w:p>
        </w:tc>
        <w:tc>
          <w:tcPr>
            <w:tcW w:w="1587" w:type="dxa"/>
          </w:tcPr>
          <w:p w:rsidR="00041039" w:rsidRDefault="001B26CB">
            <w:pPr>
              <w:pStyle w:val="TableParagraph"/>
              <w:numPr>
                <w:ilvl w:val="0"/>
                <w:numId w:val="359"/>
              </w:numPr>
              <w:tabs>
                <w:tab w:val="left" w:pos="157"/>
              </w:tabs>
              <w:spacing w:before="14" w:line="235" w:lineRule="auto"/>
              <w:ind w:right="108"/>
              <w:rPr>
                <w:sz w:val="14"/>
              </w:rPr>
            </w:pPr>
            <w:r>
              <w:rPr>
                <w:color w:val="231F20"/>
                <w:sz w:val="14"/>
              </w:rPr>
              <w:t>Стицање знања о изводу функције и знања неопходних за испитивање и цртање графика једноставних функција.</w:t>
            </w:r>
          </w:p>
        </w:tc>
        <w:tc>
          <w:tcPr>
            <w:tcW w:w="2551" w:type="dxa"/>
          </w:tcPr>
          <w:p w:rsidR="00041039" w:rsidRDefault="001B26CB">
            <w:pPr>
              <w:pStyle w:val="TableParagraph"/>
              <w:numPr>
                <w:ilvl w:val="0"/>
                <w:numId w:val="358"/>
              </w:numPr>
              <w:tabs>
                <w:tab w:val="left" w:pos="157"/>
              </w:tabs>
              <w:spacing w:before="15" w:line="235" w:lineRule="auto"/>
              <w:ind w:right="242" w:hanging="99"/>
              <w:rPr>
                <w:sz w:val="14"/>
              </w:rPr>
            </w:pPr>
            <w:r>
              <w:rPr>
                <w:color w:val="231F20"/>
                <w:sz w:val="14"/>
              </w:rPr>
              <w:t>израчуна</w:t>
            </w:r>
            <w:r>
              <w:rPr>
                <w:color w:val="231F20"/>
                <w:spacing w:val="-9"/>
                <w:sz w:val="14"/>
              </w:rPr>
              <w:t xml:space="preserve"> </w:t>
            </w:r>
            <w:r>
              <w:rPr>
                <w:color w:val="231F20"/>
                <w:sz w:val="14"/>
              </w:rPr>
              <w:t>извод</w:t>
            </w:r>
            <w:r>
              <w:rPr>
                <w:color w:val="231F20"/>
                <w:spacing w:val="-9"/>
                <w:sz w:val="14"/>
              </w:rPr>
              <w:t xml:space="preserve"> </w:t>
            </w:r>
            <w:r>
              <w:rPr>
                <w:color w:val="231F20"/>
                <w:sz w:val="14"/>
              </w:rPr>
              <w:t>ма</w:t>
            </w:r>
            <w:r>
              <w:rPr>
                <w:color w:val="231F20"/>
                <w:spacing w:val="-9"/>
                <w:sz w:val="14"/>
              </w:rPr>
              <w:t xml:space="preserve"> </w:t>
            </w:r>
            <w:r>
              <w:rPr>
                <w:color w:val="231F20"/>
                <w:sz w:val="14"/>
              </w:rPr>
              <w:t>које</w:t>
            </w:r>
            <w:r>
              <w:rPr>
                <w:color w:val="231F20"/>
                <w:spacing w:val="-9"/>
                <w:sz w:val="14"/>
              </w:rPr>
              <w:t xml:space="preserve"> </w:t>
            </w:r>
            <w:r>
              <w:rPr>
                <w:color w:val="231F20"/>
                <w:sz w:val="14"/>
              </w:rPr>
              <w:t>комбинације елементарних функција применом правила за израчунавање</w:t>
            </w:r>
            <w:r>
              <w:rPr>
                <w:color w:val="231F20"/>
                <w:spacing w:val="-11"/>
                <w:sz w:val="14"/>
              </w:rPr>
              <w:t xml:space="preserve"> </w:t>
            </w:r>
            <w:r>
              <w:rPr>
                <w:color w:val="231F20"/>
                <w:sz w:val="14"/>
              </w:rPr>
              <w:t>извода;</w:t>
            </w:r>
          </w:p>
          <w:p w:rsidR="00041039" w:rsidRDefault="001B26CB">
            <w:pPr>
              <w:pStyle w:val="TableParagraph"/>
              <w:numPr>
                <w:ilvl w:val="0"/>
                <w:numId w:val="358"/>
              </w:numPr>
              <w:tabs>
                <w:tab w:val="left" w:pos="157"/>
              </w:tabs>
              <w:spacing w:line="153" w:lineRule="exact"/>
              <w:ind w:hanging="99"/>
              <w:rPr>
                <w:sz w:val="14"/>
              </w:rPr>
            </w:pPr>
            <w:r>
              <w:rPr>
                <w:color w:val="231F20"/>
                <w:sz w:val="14"/>
              </w:rPr>
              <w:t>израчуна извод вишег</w:t>
            </w:r>
            <w:r>
              <w:rPr>
                <w:color w:val="231F20"/>
                <w:spacing w:val="-4"/>
                <w:sz w:val="14"/>
              </w:rPr>
              <w:t xml:space="preserve"> </w:t>
            </w:r>
            <w:r>
              <w:rPr>
                <w:color w:val="231F20"/>
                <w:sz w:val="14"/>
              </w:rPr>
              <w:t>реда;</w:t>
            </w:r>
          </w:p>
          <w:p w:rsidR="00041039" w:rsidRDefault="001B26CB">
            <w:pPr>
              <w:pStyle w:val="TableParagraph"/>
              <w:numPr>
                <w:ilvl w:val="0"/>
                <w:numId w:val="358"/>
              </w:numPr>
              <w:tabs>
                <w:tab w:val="left" w:pos="157"/>
              </w:tabs>
              <w:spacing w:line="158" w:lineRule="exact"/>
              <w:ind w:hanging="99"/>
              <w:rPr>
                <w:sz w:val="14"/>
              </w:rPr>
            </w:pPr>
            <w:r>
              <w:rPr>
                <w:color w:val="231F20"/>
                <w:sz w:val="14"/>
              </w:rPr>
              <w:t>одреди екстремне вредности</w:t>
            </w:r>
            <w:r>
              <w:rPr>
                <w:color w:val="231F20"/>
                <w:spacing w:val="-10"/>
                <w:sz w:val="14"/>
              </w:rPr>
              <w:t xml:space="preserve"> </w:t>
            </w:r>
            <w:r>
              <w:rPr>
                <w:color w:val="231F20"/>
                <w:sz w:val="14"/>
              </w:rPr>
              <w:t>функције;</w:t>
            </w:r>
          </w:p>
          <w:p w:rsidR="00041039" w:rsidRDefault="001B26CB">
            <w:pPr>
              <w:pStyle w:val="TableParagraph"/>
              <w:numPr>
                <w:ilvl w:val="0"/>
                <w:numId w:val="358"/>
              </w:numPr>
              <w:tabs>
                <w:tab w:val="left" w:pos="157"/>
              </w:tabs>
              <w:spacing w:line="158" w:lineRule="exact"/>
              <w:ind w:hanging="99"/>
              <w:rPr>
                <w:sz w:val="14"/>
              </w:rPr>
            </w:pPr>
            <w:r>
              <w:rPr>
                <w:color w:val="231F20"/>
                <w:sz w:val="14"/>
              </w:rPr>
              <w:t>одреди конкавност</w:t>
            </w:r>
            <w:r>
              <w:rPr>
                <w:color w:val="231F20"/>
                <w:spacing w:val="-2"/>
                <w:sz w:val="14"/>
              </w:rPr>
              <w:t xml:space="preserve"> </w:t>
            </w:r>
            <w:r>
              <w:rPr>
                <w:color w:val="231F20"/>
                <w:sz w:val="14"/>
              </w:rPr>
              <w:t>функције;</w:t>
            </w:r>
          </w:p>
          <w:p w:rsidR="00041039" w:rsidRDefault="001B26CB">
            <w:pPr>
              <w:pStyle w:val="TableParagraph"/>
              <w:numPr>
                <w:ilvl w:val="0"/>
                <w:numId w:val="358"/>
              </w:numPr>
              <w:tabs>
                <w:tab w:val="left" w:pos="157"/>
              </w:tabs>
              <w:spacing w:line="235" w:lineRule="auto"/>
              <w:ind w:right="130" w:hanging="99"/>
              <w:rPr>
                <w:sz w:val="14"/>
              </w:rPr>
            </w:pPr>
            <w:r>
              <w:rPr>
                <w:color w:val="231F20"/>
                <w:sz w:val="14"/>
              </w:rPr>
              <w:t>израчуна сложеније граничне</w:t>
            </w:r>
            <w:r>
              <w:rPr>
                <w:color w:val="231F20"/>
                <w:spacing w:val="-24"/>
                <w:sz w:val="14"/>
              </w:rPr>
              <w:t xml:space="preserve"> </w:t>
            </w:r>
            <w:r>
              <w:rPr>
                <w:color w:val="231F20"/>
                <w:sz w:val="14"/>
              </w:rPr>
              <w:t>вредно­ сти применом Лопиталовог</w:t>
            </w:r>
            <w:r>
              <w:rPr>
                <w:color w:val="231F20"/>
                <w:spacing w:val="-13"/>
                <w:sz w:val="14"/>
              </w:rPr>
              <w:t xml:space="preserve"> </w:t>
            </w:r>
            <w:r>
              <w:rPr>
                <w:color w:val="231F20"/>
                <w:sz w:val="14"/>
              </w:rPr>
              <w:t>правила;</w:t>
            </w:r>
          </w:p>
          <w:p w:rsidR="00041039" w:rsidRDefault="001B26CB">
            <w:pPr>
              <w:pStyle w:val="TableParagraph"/>
              <w:numPr>
                <w:ilvl w:val="0"/>
                <w:numId w:val="358"/>
              </w:numPr>
              <w:tabs>
                <w:tab w:val="left" w:pos="157"/>
              </w:tabs>
              <w:spacing w:line="158" w:lineRule="exact"/>
              <w:ind w:right="214" w:hanging="99"/>
              <w:rPr>
                <w:sz w:val="14"/>
              </w:rPr>
            </w:pPr>
            <w:r>
              <w:rPr>
                <w:color w:val="231F20"/>
                <w:sz w:val="14"/>
              </w:rPr>
              <w:t>испита ток и скицир</w:t>
            </w:r>
            <w:r>
              <w:rPr>
                <w:color w:val="231F20"/>
                <w:sz w:val="14"/>
              </w:rPr>
              <w:t>а график рацио­ налне</w:t>
            </w:r>
            <w:r>
              <w:rPr>
                <w:color w:val="231F20"/>
                <w:spacing w:val="-2"/>
                <w:sz w:val="14"/>
              </w:rPr>
              <w:t xml:space="preserve"> </w:t>
            </w:r>
            <w:r>
              <w:rPr>
                <w:color w:val="231F20"/>
                <w:sz w:val="14"/>
              </w:rPr>
              <w:t>функције;</w:t>
            </w:r>
          </w:p>
        </w:tc>
        <w:tc>
          <w:tcPr>
            <w:tcW w:w="2834" w:type="dxa"/>
          </w:tcPr>
          <w:p w:rsidR="00041039" w:rsidRDefault="001B26CB">
            <w:pPr>
              <w:pStyle w:val="TableParagraph"/>
              <w:numPr>
                <w:ilvl w:val="0"/>
                <w:numId w:val="357"/>
              </w:numPr>
              <w:tabs>
                <w:tab w:val="left" w:pos="157"/>
              </w:tabs>
              <w:spacing w:before="12" w:line="165" w:lineRule="exact"/>
              <w:ind w:hanging="99"/>
              <w:rPr>
                <w:sz w:val="14"/>
              </w:rPr>
            </w:pPr>
            <w:r>
              <w:rPr>
                <w:color w:val="231F20"/>
                <w:sz w:val="14"/>
              </w:rPr>
              <w:t>Прираштај</w:t>
            </w:r>
            <w:r>
              <w:rPr>
                <w:color w:val="231F20"/>
                <w:spacing w:val="-1"/>
                <w:sz w:val="14"/>
              </w:rPr>
              <w:t xml:space="preserve"> </w:t>
            </w:r>
            <w:r>
              <w:rPr>
                <w:color w:val="231F20"/>
                <w:sz w:val="14"/>
              </w:rPr>
              <w:t>функције.</w:t>
            </w:r>
          </w:p>
          <w:p w:rsidR="00041039" w:rsidRDefault="001B26CB">
            <w:pPr>
              <w:pStyle w:val="TableParagraph"/>
              <w:numPr>
                <w:ilvl w:val="0"/>
                <w:numId w:val="357"/>
              </w:numPr>
              <w:tabs>
                <w:tab w:val="left" w:pos="157"/>
              </w:tabs>
              <w:spacing w:line="158" w:lineRule="exact"/>
              <w:ind w:hanging="99"/>
              <w:rPr>
                <w:sz w:val="14"/>
              </w:rPr>
            </w:pPr>
            <w:r>
              <w:rPr>
                <w:color w:val="231F20"/>
                <w:sz w:val="14"/>
              </w:rPr>
              <w:t>Извод</w:t>
            </w:r>
            <w:r>
              <w:rPr>
                <w:color w:val="231F20"/>
                <w:spacing w:val="-1"/>
                <w:sz w:val="14"/>
              </w:rPr>
              <w:t xml:space="preserve"> </w:t>
            </w:r>
            <w:r>
              <w:rPr>
                <w:color w:val="231F20"/>
                <w:sz w:val="14"/>
              </w:rPr>
              <w:t>функције.</w:t>
            </w:r>
          </w:p>
          <w:p w:rsidR="00041039" w:rsidRDefault="001B26CB">
            <w:pPr>
              <w:pStyle w:val="TableParagraph"/>
              <w:numPr>
                <w:ilvl w:val="0"/>
                <w:numId w:val="357"/>
              </w:numPr>
              <w:tabs>
                <w:tab w:val="left" w:pos="157"/>
              </w:tabs>
              <w:spacing w:line="158" w:lineRule="exact"/>
              <w:ind w:hanging="99"/>
              <w:rPr>
                <w:sz w:val="14"/>
              </w:rPr>
            </w:pPr>
            <w:r>
              <w:rPr>
                <w:color w:val="231F20"/>
                <w:sz w:val="14"/>
              </w:rPr>
              <w:t>Израчунавање извода</w:t>
            </w:r>
            <w:r>
              <w:rPr>
                <w:color w:val="231F20"/>
                <w:spacing w:val="-2"/>
                <w:sz w:val="14"/>
              </w:rPr>
              <w:t xml:space="preserve"> </w:t>
            </w:r>
            <w:r>
              <w:rPr>
                <w:color w:val="231F20"/>
                <w:sz w:val="14"/>
              </w:rPr>
              <w:t>функције.</w:t>
            </w:r>
          </w:p>
          <w:p w:rsidR="00041039" w:rsidRDefault="001B26CB">
            <w:pPr>
              <w:pStyle w:val="TableParagraph"/>
              <w:numPr>
                <w:ilvl w:val="0"/>
                <w:numId w:val="357"/>
              </w:numPr>
              <w:tabs>
                <w:tab w:val="left" w:pos="157"/>
              </w:tabs>
              <w:spacing w:line="235" w:lineRule="auto"/>
              <w:ind w:right="225" w:hanging="99"/>
              <w:rPr>
                <w:sz w:val="14"/>
              </w:rPr>
            </w:pPr>
            <w:r>
              <w:rPr>
                <w:color w:val="231F20"/>
                <w:sz w:val="14"/>
              </w:rPr>
              <w:t>Одређивање монотоности и</w:t>
            </w:r>
            <w:r>
              <w:rPr>
                <w:color w:val="231F20"/>
                <w:spacing w:val="-14"/>
                <w:sz w:val="14"/>
              </w:rPr>
              <w:t xml:space="preserve"> </w:t>
            </w:r>
            <w:r>
              <w:rPr>
                <w:color w:val="231F20"/>
                <w:sz w:val="14"/>
              </w:rPr>
              <w:t>конкавности функције.</w:t>
            </w:r>
          </w:p>
          <w:p w:rsidR="00041039" w:rsidRDefault="001B26CB">
            <w:pPr>
              <w:pStyle w:val="TableParagraph"/>
              <w:numPr>
                <w:ilvl w:val="0"/>
                <w:numId w:val="357"/>
              </w:numPr>
              <w:tabs>
                <w:tab w:val="left" w:pos="157"/>
              </w:tabs>
              <w:spacing w:line="152" w:lineRule="exact"/>
              <w:ind w:hanging="99"/>
              <w:rPr>
                <w:sz w:val="14"/>
              </w:rPr>
            </w:pPr>
            <w:r>
              <w:rPr>
                <w:color w:val="231F20"/>
                <w:sz w:val="14"/>
              </w:rPr>
              <w:t>Примене монотоности</w:t>
            </w:r>
            <w:r>
              <w:rPr>
                <w:color w:val="231F20"/>
                <w:spacing w:val="-2"/>
                <w:sz w:val="14"/>
              </w:rPr>
              <w:t xml:space="preserve"> </w:t>
            </w:r>
            <w:r>
              <w:rPr>
                <w:color w:val="231F20"/>
                <w:sz w:val="14"/>
              </w:rPr>
              <w:t>функције.</w:t>
            </w:r>
          </w:p>
          <w:p w:rsidR="00041039" w:rsidRDefault="001B26CB">
            <w:pPr>
              <w:pStyle w:val="TableParagraph"/>
              <w:numPr>
                <w:ilvl w:val="0"/>
                <w:numId w:val="357"/>
              </w:numPr>
              <w:tabs>
                <w:tab w:val="left" w:pos="157"/>
              </w:tabs>
              <w:spacing w:line="158" w:lineRule="exact"/>
              <w:ind w:hanging="99"/>
              <w:rPr>
                <w:sz w:val="14"/>
              </w:rPr>
            </w:pPr>
            <w:r>
              <w:rPr>
                <w:color w:val="231F20"/>
                <w:sz w:val="14"/>
              </w:rPr>
              <w:t>Лопиталово</w:t>
            </w:r>
            <w:r>
              <w:rPr>
                <w:color w:val="231F20"/>
                <w:spacing w:val="-1"/>
                <w:sz w:val="14"/>
              </w:rPr>
              <w:t xml:space="preserve"> </w:t>
            </w:r>
            <w:r>
              <w:rPr>
                <w:color w:val="231F20"/>
                <w:sz w:val="14"/>
              </w:rPr>
              <w:t>правило.</w:t>
            </w:r>
          </w:p>
          <w:p w:rsidR="00041039" w:rsidRDefault="001B26CB">
            <w:pPr>
              <w:pStyle w:val="TableParagraph"/>
              <w:numPr>
                <w:ilvl w:val="0"/>
                <w:numId w:val="357"/>
              </w:numPr>
              <w:tabs>
                <w:tab w:val="left" w:pos="157"/>
              </w:tabs>
              <w:spacing w:line="165" w:lineRule="exact"/>
              <w:ind w:hanging="99"/>
              <w:rPr>
                <w:sz w:val="14"/>
              </w:rPr>
            </w:pPr>
            <w:r>
              <w:rPr>
                <w:color w:val="231F20"/>
                <w:sz w:val="14"/>
              </w:rPr>
              <w:t>График</w:t>
            </w:r>
            <w:r>
              <w:rPr>
                <w:color w:val="231F20"/>
                <w:spacing w:val="-1"/>
                <w:sz w:val="14"/>
              </w:rPr>
              <w:t xml:space="preserve"> </w:t>
            </w:r>
            <w:r>
              <w:rPr>
                <w:color w:val="231F20"/>
                <w:sz w:val="14"/>
              </w:rPr>
              <w:t>функције.</w:t>
            </w:r>
          </w:p>
        </w:tc>
        <w:tc>
          <w:tcPr>
            <w:tcW w:w="2267" w:type="dxa"/>
            <w:vMerge/>
            <w:tcBorders>
              <w:top w:val="nil"/>
            </w:tcBorders>
          </w:tcPr>
          <w:p w:rsidR="00041039" w:rsidRDefault="00041039">
            <w:pPr>
              <w:rPr>
                <w:sz w:val="2"/>
                <w:szCs w:val="2"/>
              </w:rPr>
            </w:pPr>
          </w:p>
        </w:tc>
      </w:tr>
      <w:tr w:rsidR="00041039">
        <w:trPr>
          <w:trHeight w:val="3834"/>
        </w:trPr>
        <w:tc>
          <w:tcPr>
            <w:tcW w:w="1304" w:type="dxa"/>
          </w:tcPr>
          <w:p w:rsidR="00041039" w:rsidRDefault="001B26CB">
            <w:pPr>
              <w:pStyle w:val="TableParagraph"/>
              <w:spacing w:before="23"/>
              <w:ind w:left="56"/>
              <w:rPr>
                <w:sz w:val="14"/>
              </w:rPr>
            </w:pPr>
            <w:r>
              <w:rPr>
                <w:color w:val="231F20"/>
                <w:sz w:val="14"/>
              </w:rPr>
              <w:t>Интеграл</w:t>
            </w:r>
          </w:p>
        </w:tc>
        <w:tc>
          <w:tcPr>
            <w:tcW w:w="1587" w:type="dxa"/>
          </w:tcPr>
          <w:p w:rsidR="00041039" w:rsidRDefault="001B26CB">
            <w:pPr>
              <w:pStyle w:val="TableParagraph"/>
              <w:numPr>
                <w:ilvl w:val="0"/>
                <w:numId w:val="356"/>
              </w:numPr>
              <w:tabs>
                <w:tab w:val="left" w:pos="157"/>
              </w:tabs>
              <w:spacing w:before="15" w:line="235" w:lineRule="auto"/>
              <w:ind w:right="64"/>
              <w:jc w:val="both"/>
              <w:rPr>
                <w:sz w:val="14"/>
              </w:rPr>
            </w:pPr>
            <w:r>
              <w:rPr>
                <w:color w:val="231F20"/>
                <w:sz w:val="14"/>
              </w:rPr>
              <w:t>Оспособљавање за из­ рачунавање и</w:t>
            </w:r>
            <w:r>
              <w:rPr>
                <w:color w:val="231F20"/>
                <w:spacing w:val="-14"/>
                <w:sz w:val="14"/>
              </w:rPr>
              <w:t xml:space="preserve"> </w:t>
            </w:r>
            <w:r>
              <w:rPr>
                <w:color w:val="231F20"/>
                <w:sz w:val="14"/>
              </w:rPr>
              <w:t>примену интеграла.</w:t>
            </w:r>
          </w:p>
        </w:tc>
        <w:tc>
          <w:tcPr>
            <w:tcW w:w="2551" w:type="dxa"/>
          </w:tcPr>
          <w:p w:rsidR="00041039" w:rsidRDefault="001B26CB">
            <w:pPr>
              <w:pStyle w:val="TableParagraph"/>
              <w:numPr>
                <w:ilvl w:val="0"/>
                <w:numId w:val="355"/>
              </w:numPr>
              <w:tabs>
                <w:tab w:val="left" w:pos="157"/>
              </w:tabs>
              <w:spacing w:before="16" w:line="235" w:lineRule="auto"/>
              <w:ind w:right="137" w:hanging="99"/>
              <w:rPr>
                <w:sz w:val="14"/>
              </w:rPr>
            </w:pPr>
            <w:r>
              <w:rPr>
                <w:color w:val="231F20"/>
                <w:sz w:val="14"/>
              </w:rPr>
              <w:t>реши применом табличних</w:t>
            </w:r>
            <w:r>
              <w:rPr>
                <w:color w:val="231F20"/>
                <w:spacing w:val="-21"/>
                <w:sz w:val="14"/>
              </w:rPr>
              <w:t xml:space="preserve"> </w:t>
            </w:r>
            <w:r>
              <w:rPr>
                <w:color w:val="231F20"/>
                <w:sz w:val="14"/>
              </w:rPr>
              <w:t>интеграла и правила интеграције неодређене интеграле;</w:t>
            </w:r>
          </w:p>
          <w:p w:rsidR="00041039" w:rsidRDefault="001B26CB">
            <w:pPr>
              <w:pStyle w:val="TableParagraph"/>
              <w:numPr>
                <w:ilvl w:val="0"/>
                <w:numId w:val="355"/>
              </w:numPr>
              <w:tabs>
                <w:tab w:val="left" w:pos="157"/>
              </w:tabs>
              <w:spacing w:before="2" w:line="158" w:lineRule="exact"/>
              <w:ind w:right="79" w:hanging="99"/>
              <w:rPr>
                <w:sz w:val="14"/>
              </w:rPr>
            </w:pPr>
            <w:r>
              <w:rPr>
                <w:color w:val="231F20"/>
                <w:sz w:val="14"/>
              </w:rPr>
              <w:t>примени методу замене при</w:t>
            </w:r>
            <w:r>
              <w:rPr>
                <w:color w:val="231F20"/>
                <w:spacing w:val="-23"/>
                <w:sz w:val="14"/>
              </w:rPr>
              <w:t xml:space="preserve"> </w:t>
            </w:r>
            <w:r>
              <w:rPr>
                <w:color w:val="231F20"/>
                <w:sz w:val="14"/>
              </w:rPr>
              <w:t>решавању неодређеног</w:t>
            </w:r>
            <w:r>
              <w:rPr>
                <w:color w:val="231F20"/>
                <w:spacing w:val="-1"/>
                <w:sz w:val="14"/>
              </w:rPr>
              <w:t xml:space="preserve"> </w:t>
            </w:r>
            <w:r>
              <w:rPr>
                <w:color w:val="231F20"/>
                <w:sz w:val="14"/>
              </w:rPr>
              <w:t>интеграла;</w:t>
            </w:r>
          </w:p>
          <w:p w:rsidR="00041039" w:rsidRDefault="001B26CB">
            <w:pPr>
              <w:pStyle w:val="TableParagraph"/>
              <w:numPr>
                <w:ilvl w:val="0"/>
                <w:numId w:val="355"/>
              </w:numPr>
              <w:tabs>
                <w:tab w:val="left" w:pos="157"/>
              </w:tabs>
              <w:spacing w:line="158" w:lineRule="exact"/>
              <w:ind w:right="289" w:hanging="99"/>
              <w:rPr>
                <w:sz w:val="14"/>
              </w:rPr>
            </w:pPr>
            <w:r>
              <w:rPr>
                <w:color w:val="231F20"/>
                <w:sz w:val="14"/>
              </w:rPr>
              <w:t>реши једноставније интеграле пар­ цијалном</w:t>
            </w:r>
            <w:r>
              <w:rPr>
                <w:color w:val="231F20"/>
                <w:spacing w:val="-1"/>
                <w:sz w:val="14"/>
              </w:rPr>
              <w:t xml:space="preserve"> </w:t>
            </w:r>
            <w:r>
              <w:rPr>
                <w:color w:val="231F20"/>
                <w:sz w:val="14"/>
              </w:rPr>
              <w:t>интеграцијом;</w:t>
            </w:r>
          </w:p>
          <w:p w:rsidR="00041039" w:rsidRDefault="001B26CB">
            <w:pPr>
              <w:pStyle w:val="TableParagraph"/>
              <w:numPr>
                <w:ilvl w:val="0"/>
                <w:numId w:val="355"/>
              </w:numPr>
              <w:tabs>
                <w:tab w:val="left" w:pos="157"/>
              </w:tabs>
              <w:spacing w:line="158" w:lineRule="exact"/>
              <w:ind w:right="314" w:hanging="99"/>
              <w:rPr>
                <w:sz w:val="14"/>
              </w:rPr>
            </w:pPr>
            <w:r>
              <w:rPr>
                <w:color w:val="231F20"/>
                <w:sz w:val="14"/>
              </w:rPr>
              <w:t>реши интеграл ма које</w:t>
            </w:r>
            <w:r>
              <w:rPr>
                <w:color w:val="231F20"/>
                <w:spacing w:val="-16"/>
                <w:sz w:val="14"/>
              </w:rPr>
              <w:t xml:space="preserve"> </w:t>
            </w:r>
            <w:r>
              <w:rPr>
                <w:color w:val="231F20"/>
                <w:sz w:val="14"/>
              </w:rPr>
              <w:t>рационалне функције;</w:t>
            </w:r>
          </w:p>
          <w:p w:rsidR="00041039" w:rsidRDefault="001B26CB">
            <w:pPr>
              <w:pStyle w:val="TableParagraph"/>
              <w:numPr>
                <w:ilvl w:val="0"/>
                <w:numId w:val="355"/>
              </w:numPr>
              <w:tabs>
                <w:tab w:val="left" w:pos="157"/>
              </w:tabs>
              <w:spacing w:line="158" w:lineRule="exact"/>
              <w:ind w:right="119" w:hanging="99"/>
              <w:rPr>
                <w:sz w:val="14"/>
              </w:rPr>
            </w:pPr>
            <w:r>
              <w:rPr>
                <w:color w:val="231F20"/>
                <w:sz w:val="14"/>
              </w:rPr>
              <w:t>реши и друге једноставније</w:t>
            </w:r>
            <w:r>
              <w:rPr>
                <w:color w:val="231F20"/>
                <w:spacing w:val="-10"/>
                <w:sz w:val="14"/>
              </w:rPr>
              <w:t xml:space="preserve"> </w:t>
            </w:r>
            <w:r>
              <w:rPr>
                <w:color w:val="231F20"/>
                <w:sz w:val="14"/>
              </w:rPr>
              <w:t>неодређе­ не</w:t>
            </w:r>
            <w:r>
              <w:rPr>
                <w:color w:val="231F20"/>
                <w:spacing w:val="-2"/>
                <w:sz w:val="14"/>
              </w:rPr>
              <w:t xml:space="preserve"> </w:t>
            </w:r>
            <w:r>
              <w:rPr>
                <w:color w:val="231F20"/>
                <w:sz w:val="14"/>
              </w:rPr>
              <w:t>интеграле;</w:t>
            </w:r>
          </w:p>
          <w:p w:rsidR="00041039" w:rsidRDefault="001B26CB">
            <w:pPr>
              <w:pStyle w:val="TableParagraph"/>
              <w:numPr>
                <w:ilvl w:val="0"/>
                <w:numId w:val="355"/>
              </w:numPr>
              <w:tabs>
                <w:tab w:val="left" w:pos="157"/>
              </w:tabs>
              <w:spacing w:line="158" w:lineRule="exact"/>
              <w:ind w:right="193" w:hanging="99"/>
              <w:rPr>
                <w:sz w:val="14"/>
              </w:rPr>
            </w:pPr>
            <w:r>
              <w:rPr>
                <w:color w:val="231F20"/>
                <w:sz w:val="14"/>
              </w:rPr>
              <w:t>израчуна одређене интеграле</w:t>
            </w:r>
            <w:r>
              <w:rPr>
                <w:color w:val="231F20"/>
                <w:spacing w:val="-23"/>
                <w:sz w:val="14"/>
              </w:rPr>
              <w:t xml:space="preserve"> </w:t>
            </w:r>
            <w:r>
              <w:rPr>
                <w:color w:val="231F20"/>
                <w:sz w:val="14"/>
              </w:rPr>
              <w:t>приме­ ном Њутн­Лајбницове</w:t>
            </w:r>
            <w:r>
              <w:rPr>
                <w:color w:val="231F20"/>
                <w:spacing w:val="-6"/>
                <w:sz w:val="14"/>
              </w:rPr>
              <w:t xml:space="preserve"> </w:t>
            </w:r>
            <w:r>
              <w:rPr>
                <w:color w:val="231F20"/>
                <w:sz w:val="14"/>
              </w:rPr>
              <w:t>формуле;</w:t>
            </w:r>
          </w:p>
          <w:p w:rsidR="00041039" w:rsidRDefault="001B26CB">
            <w:pPr>
              <w:pStyle w:val="TableParagraph"/>
              <w:numPr>
                <w:ilvl w:val="0"/>
                <w:numId w:val="355"/>
              </w:numPr>
              <w:tabs>
                <w:tab w:val="left" w:pos="157"/>
              </w:tabs>
              <w:spacing w:line="158"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замене;</w:t>
            </w:r>
          </w:p>
          <w:p w:rsidR="00041039" w:rsidRDefault="001B26CB">
            <w:pPr>
              <w:pStyle w:val="TableParagraph"/>
              <w:numPr>
                <w:ilvl w:val="0"/>
                <w:numId w:val="355"/>
              </w:numPr>
              <w:tabs>
                <w:tab w:val="left" w:pos="157"/>
              </w:tabs>
              <w:spacing w:line="158"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парцијалне</w:t>
            </w:r>
            <w:r>
              <w:rPr>
                <w:color w:val="231F20"/>
                <w:spacing w:val="-2"/>
                <w:sz w:val="14"/>
              </w:rPr>
              <w:t xml:space="preserve"> </w:t>
            </w:r>
            <w:r>
              <w:rPr>
                <w:color w:val="231F20"/>
                <w:sz w:val="14"/>
              </w:rPr>
              <w:t>интеграције;</w:t>
            </w:r>
          </w:p>
          <w:p w:rsidR="00041039" w:rsidRDefault="001B26CB">
            <w:pPr>
              <w:pStyle w:val="TableParagraph"/>
              <w:numPr>
                <w:ilvl w:val="0"/>
                <w:numId w:val="355"/>
              </w:numPr>
              <w:tabs>
                <w:tab w:val="left" w:pos="157"/>
              </w:tabs>
              <w:spacing w:before="1" w:line="158" w:lineRule="exact"/>
              <w:ind w:right="107" w:hanging="99"/>
              <w:rPr>
                <w:sz w:val="14"/>
              </w:rPr>
            </w:pPr>
            <w:r>
              <w:rPr>
                <w:color w:val="231F20"/>
                <w:sz w:val="14"/>
              </w:rPr>
              <w:t>израчуна одређене интеграле</w:t>
            </w:r>
            <w:r>
              <w:rPr>
                <w:color w:val="231F20"/>
                <w:spacing w:val="-27"/>
                <w:sz w:val="14"/>
              </w:rPr>
              <w:t xml:space="preserve"> </w:t>
            </w:r>
            <w:r>
              <w:rPr>
                <w:color w:val="231F20"/>
                <w:sz w:val="14"/>
              </w:rPr>
              <w:t>методом интеграције рационалних</w:t>
            </w:r>
            <w:r>
              <w:rPr>
                <w:color w:val="231F20"/>
                <w:spacing w:val="-8"/>
                <w:sz w:val="14"/>
              </w:rPr>
              <w:t xml:space="preserve"> </w:t>
            </w:r>
            <w:r>
              <w:rPr>
                <w:color w:val="231F20"/>
                <w:sz w:val="14"/>
              </w:rPr>
              <w:t>функција;</w:t>
            </w:r>
          </w:p>
          <w:p w:rsidR="00041039" w:rsidRDefault="001B26CB">
            <w:pPr>
              <w:pStyle w:val="TableParagraph"/>
              <w:numPr>
                <w:ilvl w:val="0"/>
                <w:numId w:val="355"/>
              </w:numPr>
              <w:tabs>
                <w:tab w:val="left" w:pos="157"/>
              </w:tabs>
              <w:spacing w:line="158" w:lineRule="exact"/>
              <w:ind w:right="414" w:hanging="99"/>
              <w:rPr>
                <w:sz w:val="14"/>
              </w:rPr>
            </w:pPr>
            <w:r>
              <w:rPr>
                <w:color w:val="231F20"/>
                <w:sz w:val="14"/>
              </w:rPr>
              <w:t>одреди површину између</w:t>
            </w:r>
            <w:r>
              <w:rPr>
                <w:color w:val="231F20"/>
                <w:spacing w:val="-17"/>
                <w:sz w:val="14"/>
              </w:rPr>
              <w:t xml:space="preserve"> </w:t>
            </w:r>
            <w:r>
              <w:rPr>
                <w:color w:val="231F20"/>
                <w:sz w:val="14"/>
              </w:rPr>
              <w:t>кривих линија у</w:t>
            </w:r>
            <w:r>
              <w:rPr>
                <w:color w:val="231F20"/>
                <w:spacing w:val="-2"/>
                <w:sz w:val="14"/>
              </w:rPr>
              <w:t xml:space="preserve"> </w:t>
            </w:r>
            <w:r>
              <w:rPr>
                <w:color w:val="231F20"/>
                <w:sz w:val="14"/>
              </w:rPr>
              <w:t>равни;</w:t>
            </w:r>
          </w:p>
          <w:p w:rsidR="00041039" w:rsidRDefault="001B26CB">
            <w:pPr>
              <w:pStyle w:val="TableParagraph"/>
              <w:numPr>
                <w:ilvl w:val="0"/>
                <w:numId w:val="355"/>
              </w:numPr>
              <w:tabs>
                <w:tab w:val="left" w:pos="157"/>
              </w:tabs>
              <w:spacing w:line="151" w:lineRule="exact"/>
              <w:ind w:hanging="99"/>
              <w:rPr>
                <w:sz w:val="14"/>
              </w:rPr>
            </w:pPr>
            <w:r>
              <w:rPr>
                <w:color w:val="231F20"/>
                <w:sz w:val="14"/>
              </w:rPr>
              <w:t>израчуна дужину лука криве</w:t>
            </w:r>
            <w:r>
              <w:rPr>
                <w:color w:val="231F20"/>
                <w:spacing w:val="-10"/>
                <w:sz w:val="14"/>
              </w:rPr>
              <w:t xml:space="preserve"> </w:t>
            </w:r>
            <w:r>
              <w:rPr>
                <w:color w:val="231F20"/>
                <w:sz w:val="14"/>
              </w:rPr>
              <w:t>линије;</w:t>
            </w:r>
          </w:p>
          <w:p w:rsidR="00041039" w:rsidRDefault="001B26CB">
            <w:pPr>
              <w:pStyle w:val="TableParagraph"/>
              <w:numPr>
                <w:ilvl w:val="0"/>
                <w:numId w:val="355"/>
              </w:numPr>
              <w:tabs>
                <w:tab w:val="left" w:pos="157"/>
              </w:tabs>
              <w:spacing w:before="7" w:line="158" w:lineRule="exact"/>
              <w:ind w:right="169" w:hanging="99"/>
              <w:rPr>
                <w:sz w:val="14"/>
              </w:rPr>
            </w:pPr>
            <w:r>
              <w:rPr>
                <w:color w:val="231F20"/>
                <w:sz w:val="14"/>
              </w:rPr>
              <w:t>одреди запремину и површину рота­ ционог</w:t>
            </w:r>
            <w:r>
              <w:rPr>
                <w:color w:val="231F20"/>
                <w:spacing w:val="-2"/>
                <w:sz w:val="14"/>
              </w:rPr>
              <w:t xml:space="preserve"> </w:t>
            </w:r>
            <w:r>
              <w:rPr>
                <w:color w:val="231F20"/>
                <w:sz w:val="14"/>
              </w:rPr>
              <w:t>тела;</w:t>
            </w:r>
          </w:p>
        </w:tc>
        <w:tc>
          <w:tcPr>
            <w:tcW w:w="2834" w:type="dxa"/>
          </w:tcPr>
          <w:p w:rsidR="00041039" w:rsidRDefault="001B26CB">
            <w:pPr>
              <w:pStyle w:val="TableParagraph"/>
              <w:numPr>
                <w:ilvl w:val="0"/>
                <w:numId w:val="354"/>
              </w:numPr>
              <w:tabs>
                <w:tab w:val="left" w:pos="158"/>
              </w:tabs>
              <w:spacing w:before="17" w:line="235" w:lineRule="auto"/>
              <w:ind w:right="44"/>
              <w:rPr>
                <w:sz w:val="14"/>
              </w:rPr>
            </w:pPr>
            <w:r>
              <w:rPr>
                <w:color w:val="231F20"/>
                <w:sz w:val="14"/>
              </w:rPr>
              <w:t>Дефиниција примитивне функције,</w:t>
            </w:r>
            <w:r>
              <w:rPr>
                <w:color w:val="231F20"/>
                <w:spacing w:val="-16"/>
                <w:sz w:val="14"/>
              </w:rPr>
              <w:t xml:space="preserve"> </w:t>
            </w:r>
            <w:r>
              <w:rPr>
                <w:color w:val="231F20"/>
                <w:sz w:val="14"/>
              </w:rPr>
              <w:t>правила интеграције, таблица</w:t>
            </w:r>
            <w:r>
              <w:rPr>
                <w:color w:val="231F20"/>
                <w:spacing w:val="-5"/>
                <w:sz w:val="14"/>
              </w:rPr>
              <w:t xml:space="preserve"> </w:t>
            </w:r>
            <w:r>
              <w:rPr>
                <w:color w:val="231F20"/>
                <w:sz w:val="14"/>
              </w:rPr>
              <w:t>интеграла.</w:t>
            </w:r>
          </w:p>
          <w:p w:rsidR="00041039" w:rsidRDefault="001B26CB">
            <w:pPr>
              <w:pStyle w:val="TableParagraph"/>
              <w:numPr>
                <w:ilvl w:val="0"/>
                <w:numId w:val="354"/>
              </w:numPr>
              <w:tabs>
                <w:tab w:val="left" w:pos="158"/>
              </w:tabs>
              <w:spacing w:line="152" w:lineRule="exact"/>
              <w:rPr>
                <w:sz w:val="14"/>
              </w:rPr>
            </w:pPr>
            <w:r>
              <w:rPr>
                <w:color w:val="231F20"/>
                <w:sz w:val="14"/>
              </w:rPr>
              <w:t>Решавање</w:t>
            </w:r>
            <w:r>
              <w:rPr>
                <w:color w:val="231F20"/>
                <w:spacing w:val="-10"/>
                <w:sz w:val="14"/>
              </w:rPr>
              <w:t xml:space="preserve"> </w:t>
            </w:r>
            <w:r>
              <w:rPr>
                <w:color w:val="231F20"/>
                <w:sz w:val="14"/>
              </w:rPr>
              <w:t>интеграла</w:t>
            </w:r>
            <w:r>
              <w:rPr>
                <w:color w:val="231F20"/>
                <w:spacing w:val="-10"/>
                <w:sz w:val="14"/>
              </w:rPr>
              <w:t xml:space="preserve"> </w:t>
            </w:r>
            <w:r>
              <w:rPr>
                <w:color w:val="231F20"/>
                <w:sz w:val="14"/>
              </w:rPr>
              <w:t>методом</w:t>
            </w:r>
            <w:r>
              <w:rPr>
                <w:color w:val="231F20"/>
                <w:spacing w:val="-10"/>
                <w:sz w:val="14"/>
              </w:rPr>
              <w:t xml:space="preserve"> </w:t>
            </w:r>
            <w:r>
              <w:rPr>
                <w:color w:val="231F20"/>
                <w:sz w:val="14"/>
              </w:rPr>
              <w:t>замене.</w:t>
            </w:r>
          </w:p>
          <w:p w:rsidR="00041039" w:rsidRDefault="001B26CB">
            <w:pPr>
              <w:pStyle w:val="TableParagraph"/>
              <w:numPr>
                <w:ilvl w:val="0"/>
                <w:numId w:val="354"/>
              </w:numPr>
              <w:tabs>
                <w:tab w:val="left" w:pos="158"/>
              </w:tabs>
              <w:spacing w:line="235" w:lineRule="auto"/>
              <w:ind w:right="196"/>
              <w:rPr>
                <w:sz w:val="14"/>
              </w:rPr>
            </w:pPr>
            <w:r>
              <w:rPr>
                <w:color w:val="231F20"/>
                <w:sz w:val="14"/>
              </w:rPr>
              <w:t>Решавање интеграла методом</w:t>
            </w:r>
            <w:r>
              <w:rPr>
                <w:color w:val="231F20"/>
                <w:spacing w:val="-25"/>
                <w:sz w:val="14"/>
              </w:rPr>
              <w:t xml:space="preserve"> </w:t>
            </w:r>
            <w:r>
              <w:rPr>
                <w:color w:val="231F20"/>
                <w:sz w:val="14"/>
              </w:rPr>
              <w:t>парцијалне интеграције.</w:t>
            </w:r>
          </w:p>
          <w:p w:rsidR="00041039" w:rsidRDefault="001B26CB">
            <w:pPr>
              <w:pStyle w:val="TableParagraph"/>
              <w:numPr>
                <w:ilvl w:val="0"/>
                <w:numId w:val="354"/>
              </w:numPr>
              <w:tabs>
                <w:tab w:val="left" w:pos="158"/>
              </w:tabs>
              <w:spacing w:line="152" w:lineRule="exact"/>
              <w:rPr>
                <w:sz w:val="14"/>
              </w:rPr>
            </w:pPr>
            <w:r>
              <w:rPr>
                <w:color w:val="231F20"/>
                <w:sz w:val="14"/>
              </w:rPr>
              <w:t>Интеграција рационалних</w:t>
            </w:r>
            <w:r>
              <w:rPr>
                <w:color w:val="231F20"/>
                <w:spacing w:val="-4"/>
                <w:sz w:val="14"/>
              </w:rPr>
              <w:t xml:space="preserve"> </w:t>
            </w:r>
            <w:r>
              <w:rPr>
                <w:color w:val="231F20"/>
                <w:sz w:val="14"/>
              </w:rPr>
              <w:t>функција.</w:t>
            </w:r>
          </w:p>
          <w:p w:rsidR="00041039" w:rsidRDefault="001B26CB">
            <w:pPr>
              <w:pStyle w:val="TableParagraph"/>
              <w:numPr>
                <w:ilvl w:val="0"/>
                <w:numId w:val="354"/>
              </w:numPr>
              <w:tabs>
                <w:tab w:val="left" w:pos="158"/>
              </w:tabs>
              <w:spacing w:line="235" w:lineRule="auto"/>
              <w:ind w:right="90"/>
              <w:rPr>
                <w:sz w:val="14"/>
              </w:rPr>
            </w:pPr>
            <w:r>
              <w:rPr>
                <w:color w:val="231F20"/>
                <w:sz w:val="14"/>
              </w:rPr>
              <w:t>Израчунавање одређеног интеграла</w:t>
            </w:r>
            <w:r>
              <w:rPr>
                <w:color w:val="231F20"/>
                <w:spacing w:val="-21"/>
                <w:sz w:val="14"/>
              </w:rPr>
              <w:t xml:space="preserve"> </w:t>
            </w:r>
            <w:r>
              <w:rPr>
                <w:color w:val="231F20"/>
                <w:sz w:val="14"/>
              </w:rPr>
              <w:t>(Њутн­ Лајбницова формула, основне особине одређеног</w:t>
            </w:r>
            <w:r>
              <w:rPr>
                <w:color w:val="231F20"/>
                <w:spacing w:val="-1"/>
                <w:sz w:val="14"/>
              </w:rPr>
              <w:t xml:space="preserve"> </w:t>
            </w:r>
            <w:r>
              <w:rPr>
                <w:color w:val="231F20"/>
                <w:sz w:val="14"/>
              </w:rPr>
              <w:t>интеграла).</w:t>
            </w:r>
          </w:p>
          <w:p w:rsidR="00041039" w:rsidRDefault="001B26CB">
            <w:pPr>
              <w:pStyle w:val="TableParagraph"/>
              <w:numPr>
                <w:ilvl w:val="0"/>
                <w:numId w:val="354"/>
              </w:numPr>
              <w:tabs>
                <w:tab w:val="left" w:pos="158"/>
              </w:tabs>
              <w:spacing w:line="158" w:lineRule="exact"/>
              <w:ind w:right="119"/>
              <w:rPr>
                <w:sz w:val="14"/>
              </w:rPr>
            </w:pPr>
            <w:r>
              <w:rPr>
                <w:color w:val="231F20"/>
                <w:sz w:val="14"/>
              </w:rPr>
              <w:t>Интеграција одређеног интеграла</w:t>
            </w:r>
            <w:r>
              <w:rPr>
                <w:color w:val="231F20"/>
                <w:spacing w:val="-27"/>
                <w:sz w:val="14"/>
              </w:rPr>
              <w:t xml:space="preserve"> </w:t>
            </w:r>
            <w:r>
              <w:rPr>
                <w:color w:val="231F20"/>
                <w:sz w:val="14"/>
              </w:rPr>
              <w:t>методом замене.</w:t>
            </w:r>
          </w:p>
          <w:p w:rsidR="00041039" w:rsidRDefault="001B26CB">
            <w:pPr>
              <w:pStyle w:val="TableParagraph"/>
              <w:numPr>
                <w:ilvl w:val="0"/>
                <w:numId w:val="354"/>
              </w:numPr>
              <w:tabs>
                <w:tab w:val="left" w:pos="158"/>
              </w:tabs>
              <w:spacing w:line="151" w:lineRule="exact"/>
              <w:rPr>
                <w:sz w:val="14"/>
              </w:rPr>
            </w:pPr>
            <w:r>
              <w:rPr>
                <w:color w:val="231F20"/>
                <w:sz w:val="14"/>
              </w:rPr>
              <w:t>Метод парцијалне</w:t>
            </w:r>
            <w:r>
              <w:rPr>
                <w:color w:val="231F20"/>
                <w:spacing w:val="-4"/>
                <w:sz w:val="14"/>
              </w:rPr>
              <w:t xml:space="preserve"> </w:t>
            </w:r>
            <w:r>
              <w:rPr>
                <w:color w:val="231F20"/>
                <w:sz w:val="14"/>
              </w:rPr>
              <w:t>интеграције.</w:t>
            </w:r>
          </w:p>
          <w:p w:rsidR="00041039" w:rsidRDefault="001B26CB">
            <w:pPr>
              <w:pStyle w:val="TableParagraph"/>
              <w:numPr>
                <w:ilvl w:val="0"/>
                <w:numId w:val="354"/>
              </w:numPr>
              <w:tabs>
                <w:tab w:val="left" w:pos="158"/>
              </w:tabs>
              <w:spacing w:line="158" w:lineRule="exact"/>
              <w:rPr>
                <w:sz w:val="14"/>
              </w:rPr>
            </w:pPr>
            <w:r>
              <w:rPr>
                <w:color w:val="231F20"/>
                <w:sz w:val="14"/>
              </w:rPr>
              <w:t>Интеграција рационалних</w:t>
            </w:r>
            <w:r>
              <w:rPr>
                <w:color w:val="231F20"/>
                <w:spacing w:val="-4"/>
                <w:sz w:val="14"/>
              </w:rPr>
              <w:t xml:space="preserve"> </w:t>
            </w:r>
            <w:r>
              <w:rPr>
                <w:color w:val="231F20"/>
                <w:sz w:val="14"/>
              </w:rPr>
              <w:t>функција.</w:t>
            </w:r>
          </w:p>
          <w:p w:rsidR="00041039" w:rsidRDefault="001B26CB">
            <w:pPr>
              <w:pStyle w:val="TableParagraph"/>
              <w:numPr>
                <w:ilvl w:val="0"/>
                <w:numId w:val="354"/>
              </w:numPr>
              <w:tabs>
                <w:tab w:val="left" w:pos="158"/>
              </w:tabs>
              <w:spacing w:line="158" w:lineRule="exact"/>
              <w:rPr>
                <w:sz w:val="14"/>
              </w:rPr>
            </w:pPr>
            <w:r>
              <w:rPr>
                <w:color w:val="231F20"/>
                <w:sz w:val="14"/>
              </w:rPr>
              <w:t>Површина равне</w:t>
            </w:r>
            <w:r>
              <w:rPr>
                <w:color w:val="231F20"/>
                <w:spacing w:val="-2"/>
                <w:sz w:val="14"/>
              </w:rPr>
              <w:t xml:space="preserve"> </w:t>
            </w:r>
            <w:r>
              <w:rPr>
                <w:color w:val="231F20"/>
                <w:sz w:val="14"/>
              </w:rPr>
              <w:t>фигуре.</w:t>
            </w:r>
          </w:p>
          <w:p w:rsidR="00041039" w:rsidRDefault="001B26CB">
            <w:pPr>
              <w:pStyle w:val="TableParagraph"/>
              <w:numPr>
                <w:ilvl w:val="0"/>
                <w:numId w:val="354"/>
              </w:numPr>
              <w:tabs>
                <w:tab w:val="left" w:pos="158"/>
              </w:tabs>
              <w:spacing w:line="158" w:lineRule="exact"/>
              <w:rPr>
                <w:sz w:val="14"/>
              </w:rPr>
            </w:pPr>
            <w:r>
              <w:rPr>
                <w:color w:val="231F20"/>
                <w:sz w:val="14"/>
              </w:rPr>
              <w:t>Запремина ротационог</w:t>
            </w:r>
            <w:r>
              <w:rPr>
                <w:color w:val="231F20"/>
                <w:spacing w:val="-10"/>
                <w:sz w:val="14"/>
              </w:rPr>
              <w:t xml:space="preserve"> </w:t>
            </w:r>
            <w:r>
              <w:rPr>
                <w:color w:val="231F20"/>
                <w:sz w:val="14"/>
              </w:rPr>
              <w:t>тела.</w:t>
            </w:r>
          </w:p>
          <w:p w:rsidR="00041039" w:rsidRDefault="001B26CB">
            <w:pPr>
              <w:pStyle w:val="TableParagraph"/>
              <w:numPr>
                <w:ilvl w:val="0"/>
                <w:numId w:val="354"/>
              </w:numPr>
              <w:tabs>
                <w:tab w:val="left" w:pos="158"/>
              </w:tabs>
              <w:spacing w:line="158" w:lineRule="exact"/>
              <w:rPr>
                <w:sz w:val="14"/>
              </w:rPr>
            </w:pPr>
            <w:r>
              <w:rPr>
                <w:color w:val="231F20"/>
                <w:sz w:val="14"/>
              </w:rPr>
              <w:t>Површина ротационог</w:t>
            </w:r>
            <w:r>
              <w:rPr>
                <w:color w:val="231F20"/>
                <w:spacing w:val="-9"/>
                <w:sz w:val="14"/>
              </w:rPr>
              <w:t xml:space="preserve"> </w:t>
            </w:r>
            <w:r>
              <w:rPr>
                <w:color w:val="231F20"/>
                <w:sz w:val="14"/>
              </w:rPr>
              <w:t>тела.</w:t>
            </w:r>
          </w:p>
          <w:p w:rsidR="00041039" w:rsidRDefault="001B26CB">
            <w:pPr>
              <w:pStyle w:val="TableParagraph"/>
              <w:numPr>
                <w:ilvl w:val="0"/>
                <w:numId w:val="354"/>
              </w:numPr>
              <w:tabs>
                <w:tab w:val="left" w:pos="158"/>
              </w:tabs>
              <w:spacing w:line="165" w:lineRule="exact"/>
              <w:rPr>
                <w:sz w:val="14"/>
              </w:rPr>
            </w:pPr>
            <w:r>
              <w:rPr>
                <w:color w:val="231F20"/>
                <w:sz w:val="14"/>
              </w:rPr>
              <w:t>Дужина лука</w:t>
            </w:r>
            <w:r>
              <w:rPr>
                <w:color w:val="231F20"/>
                <w:spacing w:val="-1"/>
                <w:sz w:val="14"/>
              </w:rPr>
              <w:t xml:space="preserve"> </w:t>
            </w:r>
            <w:r>
              <w:rPr>
                <w:color w:val="231F20"/>
                <w:sz w:val="14"/>
              </w:rPr>
              <w:t>криве.</w:t>
            </w:r>
          </w:p>
        </w:tc>
        <w:tc>
          <w:tcPr>
            <w:tcW w:w="2267" w:type="dxa"/>
            <w:vMerge/>
            <w:tcBorders>
              <w:top w:val="nil"/>
            </w:tcBorders>
          </w:tcPr>
          <w:p w:rsidR="00041039" w:rsidRDefault="00041039">
            <w:pPr>
              <w:rPr>
                <w:sz w:val="2"/>
                <w:szCs w:val="2"/>
              </w:rPr>
            </w:pPr>
          </w:p>
        </w:tc>
      </w:tr>
      <w:tr w:rsidR="00041039">
        <w:trPr>
          <w:trHeight w:val="2255"/>
        </w:trPr>
        <w:tc>
          <w:tcPr>
            <w:tcW w:w="1304" w:type="dxa"/>
          </w:tcPr>
          <w:p w:rsidR="00041039" w:rsidRDefault="001B26CB">
            <w:pPr>
              <w:pStyle w:val="TableParagraph"/>
              <w:spacing w:before="25"/>
              <w:ind w:left="57"/>
              <w:rPr>
                <w:sz w:val="14"/>
              </w:rPr>
            </w:pPr>
            <w:r>
              <w:rPr>
                <w:color w:val="231F20"/>
                <w:sz w:val="14"/>
              </w:rPr>
              <w:t>Комбинаторика</w:t>
            </w:r>
          </w:p>
        </w:tc>
        <w:tc>
          <w:tcPr>
            <w:tcW w:w="1587" w:type="dxa"/>
          </w:tcPr>
          <w:p w:rsidR="00041039" w:rsidRDefault="001B26CB">
            <w:pPr>
              <w:pStyle w:val="TableParagraph"/>
              <w:numPr>
                <w:ilvl w:val="0"/>
                <w:numId w:val="353"/>
              </w:numPr>
              <w:tabs>
                <w:tab w:val="left" w:pos="157"/>
              </w:tabs>
              <w:spacing w:before="18" w:line="235" w:lineRule="auto"/>
              <w:ind w:right="105" w:hanging="99"/>
              <w:rPr>
                <w:sz w:val="14"/>
              </w:rPr>
            </w:pPr>
            <w:r>
              <w:rPr>
                <w:color w:val="231F20"/>
                <w:sz w:val="14"/>
              </w:rPr>
              <w:t>Стицање основних знања о начинима пребројавања</w:t>
            </w:r>
            <w:r>
              <w:rPr>
                <w:color w:val="231F20"/>
                <w:spacing w:val="-12"/>
                <w:sz w:val="14"/>
              </w:rPr>
              <w:t xml:space="preserve"> </w:t>
            </w:r>
            <w:r>
              <w:rPr>
                <w:color w:val="231F20"/>
                <w:sz w:val="14"/>
              </w:rPr>
              <w:t>скупова и примени биномног обрасца.</w:t>
            </w:r>
          </w:p>
        </w:tc>
        <w:tc>
          <w:tcPr>
            <w:tcW w:w="2551" w:type="dxa"/>
          </w:tcPr>
          <w:p w:rsidR="00041039" w:rsidRDefault="001B26CB">
            <w:pPr>
              <w:pStyle w:val="TableParagraph"/>
              <w:numPr>
                <w:ilvl w:val="0"/>
                <w:numId w:val="352"/>
              </w:numPr>
              <w:tabs>
                <w:tab w:val="left" w:pos="157"/>
              </w:tabs>
              <w:spacing w:before="18" w:line="235" w:lineRule="auto"/>
              <w:ind w:right="43" w:hanging="99"/>
              <w:rPr>
                <w:sz w:val="14"/>
              </w:rPr>
            </w:pPr>
            <w:r>
              <w:rPr>
                <w:color w:val="231F20"/>
                <w:sz w:val="14"/>
              </w:rPr>
              <w:t>решава елементарне задатке пребројавања применом правила збира и</w:t>
            </w:r>
            <w:r>
              <w:rPr>
                <w:color w:val="231F20"/>
                <w:spacing w:val="-6"/>
                <w:sz w:val="14"/>
              </w:rPr>
              <w:t xml:space="preserve"> </w:t>
            </w:r>
            <w:r>
              <w:rPr>
                <w:color w:val="231F20"/>
                <w:sz w:val="14"/>
              </w:rPr>
              <w:t>производа</w:t>
            </w:r>
            <w:r>
              <w:rPr>
                <w:color w:val="231F20"/>
                <w:spacing w:val="-6"/>
                <w:sz w:val="14"/>
              </w:rPr>
              <w:t xml:space="preserve"> </w:t>
            </w:r>
            <w:r>
              <w:rPr>
                <w:color w:val="231F20"/>
                <w:sz w:val="14"/>
              </w:rPr>
              <w:t>и</w:t>
            </w:r>
            <w:r>
              <w:rPr>
                <w:color w:val="231F20"/>
                <w:spacing w:val="-6"/>
                <w:sz w:val="14"/>
              </w:rPr>
              <w:t xml:space="preserve"> </w:t>
            </w:r>
            <w:r>
              <w:rPr>
                <w:color w:val="231F20"/>
                <w:sz w:val="14"/>
              </w:rPr>
              <w:t>формула</w:t>
            </w:r>
            <w:r>
              <w:rPr>
                <w:color w:val="231F20"/>
                <w:spacing w:val="-6"/>
                <w:sz w:val="14"/>
              </w:rPr>
              <w:t xml:space="preserve"> </w:t>
            </w:r>
            <w:r>
              <w:rPr>
                <w:color w:val="231F20"/>
                <w:sz w:val="14"/>
              </w:rPr>
              <w:t>за</w:t>
            </w:r>
            <w:r>
              <w:rPr>
                <w:color w:val="231F20"/>
                <w:spacing w:val="-6"/>
                <w:sz w:val="14"/>
              </w:rPr>
              <w:t xml:space="preserve"> </w:t>
            </w:r>
            <w:r>
              <w:rPr>
                <w:color w:val="231F20"/>
                <w:sz w:val="14"/>
              </w:rPr>
              <w:t>пермутације, варијације и</w:t>
            </w:r>
            <w:r>
              <w:rPr>
                <w:color w:val="231F20"/>
                <w:spacing w:val="-3"/>
                <w:sz w:val="14"/>
              </w:rPr>
              <w:t xml:space="preserve"> </w:t>
            </w:r>
            <w:r>
              <w:rPr>
                <w:color w:val="231F20"/>
                <w:sz w:val="14"/>
              </w:rPr>
              <w:t>комбинације;</w:t>
            </w:r>
          </w:p>
          <w:p w:rsidR="00041039" w:rsidRDefault="001B26CB">
            <w:pPr>
              <w:pStyle w:val="TableParagraph"/>
              <w:numPr>
                <w:ilvl w:val="0"/>
                <w:numId w:val="352"/>
              </w:numPr>
              <w:tabs>
                <w:tab w:val="left" w:pos="157"/>
              </w:tabs>
              <w:spacing w:before="3" w:line="158" w:lineRule="exact"/>
              <w:ind w:right="262" w:hanging="99"/>
              <w:rPr>
                <w:sz w:val="14"/>
              </w:rPr>
            </w:pPr>
            <w:r>
              <w:rPr>
                <w:color w:val="231F20"/>
                <w:sz w:val="14"/>
              </w:rPr>
              <w:t>одреди пермутације у</w:t>
            </w:r>
            <w:r>
              <w:rPr>
                <w:color w:val="231F20"/>
                <w:spacing w:val="-23"/>
                <w:sz w:val="14"/>
              </w:rPr>
              <w:t xml:space="preserve"> </w:t>
            </w:r>
            <w:r>
              <w:rPr>
                <w:color w:val="231F20"/>
                <w:sz w:val="14"/>
              </w:rPr>
              <w:t xml:space="preserve">лексикограф­ </w:t>
            </w:r>
            <w:r>
              <w:rPr>
                <w:color w:val="231F20"/>
                <w:spacing w:val="-3"/>
                <w:sz w:val="14"/>
              </w:rPr>
              <w:t>ском</w:t>
            </w:r>
            <w:r>
              <w:rPr>
                <w:color w:val="231F20"/>
                <w:spacing w:val="-1"/>
                <w:sz w:val="14"/>
              </w:rPr>
              <w:t xml:space="preserve"> </w:t>
            </w:r>
            <w:r>
              <w:rPr>
                <w:color w:val="231F20"/>
                <w:sz w:val="14"/>
              </w:rPr>
              <w:t>поретку;</w:t>
            </w:r>
          </w:p>
          <w:p w:rsidR="00041039" w:rsidRDefault="001B26CB">
            <w:pPr>
              <w:pStyle w:val="TableParagraph"/>
              <w:numPr>
                <w:ilvl w:val="0"/>
                <w:numId w:val="352"/>
              </w:numPr>
              <w:tabs>
                <w:tab w:val="left" w:pos="157"/>
              </w:tabs>
              <w:spacing w:line="157" w:lineRule="exact"/>
              <w:ind w:hanging="99"/>
              <w:rPr>
                <w:sz w:val="14"/>
              </w:rPr>
            </w:pPr>
            <w:r>
              <w:rPr>
                <w:color w:val="231F20"/>
                <w:sz w:val="14"/>
              </w:rPr>
              <w:t>примени биномни</w:t>
            </w:r>
            <w:r>
              <w:rPr>
                <w:color w:val="231F20"/>
                <w:spacing w:val="-2"/>
                <w:sz w:val="14"/>
              </w:rPr>
              <w:t xml:space="preserve"> </w:t>
            </w:r>
            <w:r>
              <w:rPr>
                <w:color w:val="231F20"/>
                <w:sz w:val="14"/>
              </w:rPr>
              <w:t>образац;</w:t>
            </w:r>
          </w:p>
        </w:tc>
        <w:tc>
          <w:tcPr>
            <w:tcW w:w="2834" w:type="dxa"/>
          </w:tcPr>
          <w:p w:rsidR="00041039" w:rsidRDefault="001B26CB">
            <w:pPr>
              <w:pStyle w:val="TableParagraph"/>
              <w:numPr>
                <w:ilvl w:val="0"/>
                <w:numId w:val="351"/>
              </w:numPr>
              <w:tabs>
                <w:tab w:val="left" w:pos="158"/>
              </w:tabs>
              <w:spacing w:before="19" w:line="235" w:lineRule="auto"/>
              <w:ind w:right="113"/>
              <w:rPr>
                <w:sz w:val="14"/>
              </w:rPr>
            </w:pPr>
            <w:r>
              <w:rPr>
                <w:color w:val="231F20"/>
                <w:sz w:val="14"/>
              </w:rPr>
              <w:t>Пермутације, варијације, комбинације</w:t>
            </w:r>
            <w:r>
              <w:rPr>
                <w:color w:val="231F20"/>
                <w:spacing w:val="-17"/>
                <w:sz w:val="14"/>
              </w:rPr>
              <w:t xml:space="preserve"> </w:t>
            </w:r>
            <w:r>
              <w:rPr>
                <w:color w:val="231F20"/>
                <w:sz w:val="14"/>
              </w:rPr>
              <w:t>(без понављања).</w:t>
            </w:r>
          </w:p>
          <w:p w:rsidR="00041039" w:rsidRDefault="001B26CB">
            <w:pPr>
              <w:pStyle w:val="TableParagraph"/>
              <w:numPr>
                <w:ilvl w:val="0"/>
                <w:numId w:val="351"/>
              </w:numPr>
              <w:tabs>
                <w:tab w:val="left" w:pos="158"/>
              </w:tabs>
              <w:spacing w:line="152" w:lineRule="exact"/>
              <w:rPr>
                <w:sz w:val="14"/>
              </w:rPr>
            </w:pPr>
            <w:r>
              <w:rPr>
                <w:color w:val="231F20"/>
                <w:sz w:val="14"/>
              </w:rPr>
              <w:t>Биномни</w:t>
            </w:r>
            <w:r>
              <w:rPr>
                <w:color w:val="231F20"/>
                <w:spacing w:val="-1"/>
                <w:sz w:val="14"/>
              </w:rPr>
              <w:t xml:space="preserve"> </w:t>
            </w:r>
            <w:r>
              <w:rPr>
                <w:color w:val="231F20"/>
                <w:sz w:val="14"/>
              </w:rPr>
              <w:t>образац.</w:t>
            </w:r>
          </w:p>
          <w:p w:rsidR="00041039" w:rsidRDefault="001B26CB">
            <w:pPr>
              <w:pStyle w:val="TableParagraph"/>
              <w:numPr>
                <w:ilvl w:val="0"/>
                <w:numId w:val="351"/>
              </w:numPr>
              <w:tabs>
                <w:tab w:val="left" w:pos="158"/>
              </w:tabs>
              <w:spacing w:line="165" w:lineRule="exact"/>
              <w:rPr>
                <w:sz w:val="14"/>
              </w:rPr>
            </w:pPr>
            <w:r>
              <w:rPr>
                <w:color w:val="231F20"/>
                <w:sz w:val="14"/>
              </w:rPr>
              <w:t>Комбинаторни</w:t>
            </w:r>
            <w:r>
              <w:rPr>
                <w:color w:val="231F20"/>
                <w:spacing w:val="-1"/>
                <w:sz w:val="14"/>
              </w:rPr>
              <w:t xml:space="preserve"> </w:t>
            </w:r>
            <w:r>
              <w:rPr>
                <w:color w:val="231F20"/>
                <w:sz w:val="14"/>
              </w:rPr>
              <w:t>идентитети.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992"/>
        </w:trPr>
        <w:tc>
          <w:tcPr>
            <w:tcW w:w="1304" w:type="dxa"/>
          </w:tcPr>
          <w:p w:rsidR="00041039" w:rsidRDefault="001B26CB">
            <w:pPr>
              <w:pStyle w:val="TableParagraph"/>
              <w:spacing w:before="20" w:line="235" w:lineRule="auto"/>
              <w:ind w:left="56" w:right="37"/>
              <w:rPr>
                <w:sz w:val="14"/>
              </w:rPr>
            </w:pPr>
            <w:r>
              <w:rPr>
                <w:color w:val="231F20"/>
                <w:sz w:val="14"/>
              </w:rPr>
              <w:lastRenderedPageBreak/>
              <w:t>Вероватноћа и статистика</w:t>
            </w:r>
          </w:p>
        </w:tc>
        <w:tc>
          <w:tcPr>
            <w:tcW w:w="1587" w:type="dxa"/>
          </w:tcPr>
          <w:p w:rsidR="00041039" w:rsidRDefault="001B26CB">
            <w:pPr>
              <w:pStyle w:val="TableParagraph"/>
              <w:numPr>
                <w:ilvl w:val="0"/>
                <w:numId w:val="350"/>
              </w:numPr>
              <w:tabs>
                <w:tab w:val="left" w:pos="157"/>
              </w:tabs>
              <w:spacing w:before="11" w:line="235" w:lineRule="auto"/>
              <w:ind w:right="134"/>
              <w:rPr>
                <w:sz w:val="14"/>
              </w:rPr>
            </w:pPr>
            <w:r>
              <w:rPr>
                <w:color w:val="231F20"/>
                <w:sz w:val="14"/>
              </w:rPr>
              <w:t>Стицање основних знања из</w:t>
            </w:r>
            <w:r>
              <w:rPr>
                <w:color w:val="231F20"/>
                <w:spacing w:val="-16"/>
                <w:sz w:val="14"/>
              </w:rPr>
              <w:t xml:space="preserve"> </w:t>
            </w:r>
            <w:r>
              <w:rPr>
                <w:color w:val="231F20"/>
                <w:sz w:val="14"/>
              </w:rPr>
              <w:t>вероватноће и статистичке обраде података.</w:t>
            </w:r>
          </w:p>
        </w:tc>
        <w:tc>
          <w:tcPr>
            <w:tcW w:w="2551" w:type="dxa"/>
          </w:tcPr>
          <w:p w:rsidR="00041039" w:rsidRDefault="001B26CB">
            <w:pPr>
              <w:pStyle w:val="TableParagraph"/>
              <w:numPr>
                <w:ilvl w:val="0"/>
                <w:numId w:val="349"/>
              </w:numPr>
              <w:tabs>
                <w:tab w:val="left" w:pos="157"/>
              </w:tabs>
              <w:spacing w:before="11" w:line="235" w:lineRule="auto"/>
              <w:ind w:right="224" w:hanging="99"/>
              <w:rPr>
                <w:sz w:val="14"/>
              </w:rPr>
            </w:pPr>
            <w:r>
              <w:rPr>
                <w:color w:val="231F20"/>
                <w:sz w:val="14"/>
              </w:rPr>
              <w:t>израчуна вероватноћу</w:t>
            </w:r>
            <w:r>
              <w:rPr>
                <w:color w:val="231F20"/>
                <w:spacing w:val="-17"/>
                <w:sz w:val="14"/>
              </w:rPr>
              <w:t xml:space="preserve"> </w:t>
            </w:r>
            <w:r>
              <w:rPr>
                <w:color w:val="231F20"/>
                <w:sz w:val="14"/>
              </w:rPr>
              <w:t>елементарног догађаја;</w:t>
            </w:r>
          </w:p>
          <w:p w:rsidR="00041039" w:rsidRDefault="001B26CB">
            <w:pPr>
              <w:pStyle w:val="TableParagraph"/>
              <w:numPr>
                <w:ilvl w:val="0"/>
                <w:numId w:val="349"/>
              </w:numPr>
              <w:tabs>
                <w:tab w:val="left" w:pos="157"/>
              </w:tabs>
              <w:spacing w:before="1" w:line="158" w:lineRule="exact"/>
              <w:ind w:right="69" w:hanging="99"/>
              <w:rPr>
                <w:sz w:val="14"/>
              </w:rPr>
            </w:pPr>
            <w:r>
              <w:rPr>
                <w:color w:val="231F20"/>
                <w:sz w:val="14"/>
              </w:rPr>
              <w:t>примењује основне формуле за израчунавање вероватноће</w:t>
            </w:r>
            <w:r>
              <w:rPr>
                <w:color w:val="231F20"/>
                <w:spacing w:val="-19"/>
                <w:sz w:val="14"/>
              </w:rPr>
              <w:t xml:space="preserve"> </w:t>
            </w:r>
            <w:r>
              <w:rPr>
                <w:color w:val="231F20"/>
                <w:sz w:val="14"/>
              </w:rPr>
              <w:t>дискретних догађаја;</w:t>
            </w:r>
          </w:p>
          <w:p w:rsidR="00041039" w:rsidRDefault="001B26CB">
            <w:pPr>
              <w:pStyle w:val="TableParagraph"/>
              <w:numPr>
                <w:ilvl w:val="0"/>
                <w:numId w:val="349"/>
              </w:numPr>
              <w:tabs>
                <w:tab w:val="left" w:pos="157"/>
              </w:tabs>
              <w:spacing w:before="1" w:line="158" w:lineRule="exact"/>
              <w:ind w:right="80" w:hanging="99"/>
              <w:rPr>
                <w:sz w:val="14"/>
              </w:rPr>
            </w:pPr>
            <w:r>
              <w:rPr>
                <w:color w:val="231F20"/>
                <w:sz w:val="14"/>
              </w:rPr>
              <w:t>одреди расподелу вероватноће случајне променљиве и израчуна</w:t>
            </w:r>
            <w:r>
              <w:rPr>
                <w:color w:val="231F20"/>
                <w:spacing w:val="-19"/>
                <w:sz w:val="14"/>
              </w:rPr>
              <w:t xml:space="preserve"> </w:t>
            </w:r>
            <w:r>
              <w:rPr>
                <w:color w:val="231F20"/>
                <w:sz w:val="14"/>
              </w:rPr>
              <w:t>њене параметре;</w:t>
            </w:r>
          </w:p>
        </w:tc>
        <w:tc>
          <w:tcPr>
            <w:tcW w:w="2834" w:type="dxa"/>
          </w:tcPr>
          <w:p w:rsidR="00041039" w:rsidRDefault="001B26CB">
            <w:pPr>
              <w:pStyle w:val="TableParagraph"/>
              <w:numPr>
                <w:ilvl w:val="0"/>
                <w:numId w:val="348"/>
              </w:numPr>
              <w:tabs>
                <w:tab w:val="left" w:pos="157"/>
              </w:tabs>
              <w:spacing w:before="8" w:line="165" w:lineRule="exact"/>
              <w:ind w:hanging="99"/>
              <w:rPr>
                <w:sz w:val="14"/>
              </w:rPr>
            </w:pPr>
            <w:r>
              <w:rPr>
                <w:color w:val="231F20"/>
                <w:sz w:val="14"/>
              </w:rPr>
              <w:t>Случајни догађаји.</w:t>
            </w:r>
          </w:p>
          <w:p w:rsidR="00041039" w:rsidRDefault="001B26CB">
            <w:pPr>
              <w:pStyle w:val="TableParagraph"/>
              <w:numPr>
                <w:ilvl w:val="0"/>
                <w:numId w:val="348"/>
              </w:numPr>
              <w:tabs>
                <w:tab w:val="left" w:pos="157"/>
              </w:tabs>
              <w:spacing w:line="158" w:lineRule="exact"/>
              <w:ind w:hanging="99"/>
              <w:rPr>
                <w:sz w:val="14"/>
              </w:rPr>
            </w:pPr>
            <w:r>
              <w:rPr>
                <w:color w:val="231F20"/>
                <w:sz w:val="14"/>
              </w:rPr>
              <w:t>Вероватноћа и</w:t>
            </w:r>
            <w:r>
              <w:rPr>
                <w:color w:val="231F20"/>
                <w:spacing w:val="-2"/>
                <w:sz w:val="14"/>
              </w:rPr>
              <w:t xml:space="preserve"> </w:t>
            </w:r>
            <w:r>
              <w:rPr>
                <w:color w:val="231F20"/>
                <w:sz w:val="14"/>
              </w:rPr>
              <w:t>особине.</w:t>
            </w:r>
          </w:p>
          <w:p w:rsidR="00041039" w:rsidRDefault="001B26CB">
            <w:pPr>
              <w:pStyle w:val="TableParagraph"/>
              <w:numPr>
                <w:ilvl w:val="0"/>
                <w:numId w:val="348"/>
              </w:numPr>
              <w:tabs>
                <w:tab w:val="left" w:pos="157"/>
              </w:tabs>
              <w:spacing w:line="158" w:lineRule="exact"/>
              <w:ind w:hanging="99"/>
              <w:rPr>
                <w:sz w:val="14"/>
              </w:rPr>
            </w:pPr>
            <w:r>
              <w:rPr>
                <w:color w:val="231F20"/>
                <w:spacing w:val="-3"/>
                <w:sz w:val="14"/>
              </w:rPr>
              <w:t xml:space="preserve">Условна </w:t>
            </w:r>
            <w:r>
              <w:rPr>
                <w:color w:val="231F20"/>
                <w:sz w:val="14"/>
              </w:rPr>
              <w:t>вероватноћа и Бајесова</w:t>
            </w:r>
            <w:r>
              <w:rPr>
                <w:color w:val="231F20"/>
                <w:spacing w:val="-8"/>
                <w:sz w:val="14"/>
              </w:rPr>
              <w:t xml:space="preserve"> </w:t>
            </w:r>
            <w:r>
              <w:rPr>
                <w:color w:val="231F20"/>
                <w:sz w:val="14"/>
              </w:rPr>
              <w:t>формула.</w:t>
            </w:r>
          </w:p>
          <w:p w:rsidR="00041039" w:rsidRDefault="001B26CB">
            <w:pPr>
              <w:pStyle w:val="TableParagraph"/>
              <w:numPr>
                <w:ilvl w:val="0"/>
                <w:numId w:val="348"/>
              </w:numPr>
              <w:tabs>
                <w:tab w:val="left" w:pos="157"/>
              </w:tabs>
              <w:spacing w:line="158" w:lineRule="exact"/>
              <w:ind w:hanging="99"/>
              <w:rPr>
                <w:sz w:val="14"/>
              </w:rPr>
            </w:pPr>
            <w:r>
              <w:rPr>
                <w:color w:val="231F20"/>
                <w:sz w:val="14"/>
              </w:rPr>
              <w:t>Бернулијева</w:t>
            </w:r>
            <w:r>
              <w:rPr>
                <w:color w:val="231F20"/>
                <w:spacing w:val="-1"/>
                <w:sz w:val="14"/>
              </w:rPr>
              <w:t xml:space="preserve"> </w:t>
            </w:r>
            <w:r>
              <w:rPr>
                <w:color w:val="231F20"/>
                <w:sz w:val="14"/>
              </w:rPr>
              <w:t>шема.</w:t>
            </w:r>
          </w:p>
          <w:p w:rsidR="00041039" w:rsidRDefault="001B26CB">
            <w:pPr>
              <w:pStyle w:val="TableParagraph"/>
              <w:numPr>
                <w:ilvl w:val="0"/>
                <w:numId w:val="348"/>
              </w:numPr>
              <w:tabs>
                <w:tab w:val="left" w:pos="157"/>
              </w:tabs>
              <w:spacing w:line="158" w:lineRule="exact"/>
              <w:ind w:hanging="99"/>
              <w:rPr>
                <w:sz w:val="14"/>
              </w:rPr>
            </w:pPr>
            <w:r>
              <w:rPr>
                <w:color w:val="231F20"/>
                <w:sz w:val="14"/>
              </w:rPr>
              <w:t>Случа</w:t>
            </w:r>
            <w:r>
              <w:rPr>
                <w:color w:val="231F20"/>
                <w:sz w:val="14"/>
              </w:rPr>
              <w:t>јне</w:t>
            </w:r>
            <w:r>
              <w:rPr>
                <w:color w:val="231F20"/>
                <w:spacing w:val="-1"/>
                <w:sz w:val="14"/>
              </w:rPr>
              <w:t xml:space="preserve"> </w:t>
            </w:r>
            <w:r>
              <w:rPr>
                <w:color w:val="231F20"/>
                <w:sz w:val="14"/>
              </w:rPr>
              <w:t>променљиве.</w:t>
            </w:r>
          </w:p>
          <w:p w:rsidR="00041039" w:rsidRDefault="001B26CB">
            <w:pPr>
              <w:pStyle w:val="TableParagraph"/>
              <w:numPr>
                <w:ilvl w:val="0"/>
                <w:numId w:val="348"/>
              </w:numPr>
              <w:tabs>
                <w:tab w:val="left" w:pos="157"/>
              </w:tabs>
              <w:spacing w:line="235" w:lineRule="auto"/>
              <w:ind w:right="531" w:hanging="99"/>
              <w:rPr>
                <w:sz w:val="14"/>
              </w:rPr>
            </w:pPr>
            <w:r>
              <w:rPr>
                <w:color w:val="231F20"/>
                <w:sz w:val="14"/>
              </w:rPr>
              <w:t>Расподела, математичко</w:t>
            </w:r>
            <w:r>
              <w:rPr>
                <w:color w:val="231F20"/>
                <w:spacing w:val="-29"/>
                <w:sz w:val="14"/>
              </w:rPr>
              <w:t xml:space="preserve"> </w:t>
            </w:r>
            <w:r>
              <w:rPr>
                <w:color w:val="231F20"/>
                <w:sz w:val="14"/>
              </w:rPr>
              <w:t>очекивање, дисперзија и</w:t>
            </w:r>
            <w:r>
              <w:rPr>
                <w:color w:val="231F20"/>
                <w:spacing w:val="-3"/>
                <w:sz w:val="14"/>
              </w:rPr>
              <w:t xml:space="preserve"> </w:t>
            </w:r>
            <w:r>
              <w:rPr>
                <w:color w:val="231F20"/>
                <w:sz w:val="14"/>
              </w:rPr>
              <w:t>одступање.</w:t>
            </w:r>
          </w:p>
          <w:p w:rsidR="00041039" w:rsidRDefault="001B26CB">
            <w:pPr>
              <w:pStyle w:val="TableParagraph"/>
              <w:numPr>
                <w:ilvl w:val="0"/>
                <w:numId w:val="348"/>
              </w:numPr>
              <w:tabs>
                <w:tab w:val="left" w:pos="157"/>
              </w:tabs>
              <w:spacing w:line="159" w:lineRule="exact"/>
              <w:ind w:hanging="99"/>
              <w:rPr>
                <w:sz w:val="14"/>
              </w:rPr>
            </w:pPr>
            <w:r>
              <w:rPr>
                <w:color w:val="231F20"/>
                <w:sz w:val="14"/>
              </w:rPr>
              <w:t>Основни појмови</w:t>
            </w:r>
            <w:r>
              <w:rPr>
                <w:color w:val="231F20"/>
                <w:spacing w:val="-4"/>
                <w:sz w:val="14"/>
              </w:rPr>
              <w:t xml:space="preserve"> </w:t>
            </w:r>
            <w:r>
              <w:rPr>
                <w:color w:val="231F20"/>
                <w:sz w:val="14"/>
              </w:rPr>
              <w:t>статистике.</w:t>
            </w:r>
          </w:p>
        </w:tc>
        <w:tc>
          <w:tcPr>
            <w:tcW w:w="2267" w:type="dxa"/>
          </w:tcPr>
          <w:p w:rsidR="00041039" w:rsidRDefault="001B26CB">
            <w:pPr>
              <w:pStyle w:val="TableParagraph"/>
              <w:numPr>
                <w:ilvl w:val="0"/>
                <w:numId w:val="347"/>
              </w:numPr>
              <w:tabs>
                <w:tab w:val="left" w:pos="143"/>
              </w:tabs>
              <w:spacing w:before="21" w:line="235" w:lineRule="auto"/>
              <w:ind w:right="66"/>
              <w:rPr>
                <w:sz w:val="14"/>
              </w:rPr>
            </w:pPr>
            <w:r>
              <w:rPr>
                <w:b/>
                <w:color w:val="231F20"/>
                <w:sz w:val="14"/>
              </w:rPr>
              <w:t xml:space="preserve">Вероватноћа и статистика: </w:t>
            </w:r>
            <w:r>
              <w:rPr>
                <w:color w:val="231F20"/>
                <w:sz w:val="14"/>
              </w:rPr>
              <w:t>дати основна знања о вероватноћи</w:t>
            </w:r>
            <w:r>
              <w:rPr>
                <w:color w:val="231F20"/>
                <w:spacing w:val="-12"/>
                <w:sz w:val="14"/>
              </w:rPr>
              <w:t xml:space="preserve"> </w:t>
            </w:r>
            <w:r>
              <w:rPr>
                <w:color w:val="231F20"/>
                <w:sz w:val="14"/>
              </w:rPr>
              <w:t>дис­ кретних догађаја; увести случајну променљиву и расподелу. Истаћи значај случајног узорка и ста­ тистичког</w:t>
            </w:r>
            <w:r>
              <w:rPr>
                <w:color w:val="231F20"/>
                <w:spacing w:val="-1"/>
                <w:sz w:val="14"/>
              </w:rPr>
              <w:t xml:space="preserve"> </w:t>
            </w:r>
            <w:r>
              <w:rPr>
                <w:color w:val="231F20"/>
                <w:sz w:val="14"/>
              </w:rPr>
              <w:t>експеримента.</w:t>
            </w:r>
          </w:p>
          <w:p w:rsidR="00041039" w:rsidRDefault="00041039">
            <w:pPr>
              <w:pStyle w:val="TableParagraph"/>
              <w:spacing w:before="8"/>
              <w:ind w:left="0"/>
              <w:rPr>
                <w:b/>
                <w:sz w:val="13"/>
              </w:rPr>
            </w:pPr>
          </w:p>
          <w:p w:rsidR="00041039" w:rsidRDefault="001B26CB">
            <w:pPr>
              <w:pStyle w:val="TableParagraph"/>
              <w:spacing w:line="160" w:lineRule="exact"/>
              <w:ind w:left="58"/>
              <w:rPr>
                <w:b/>
                <w:sz w:val="14"/>
              </w:rPr>
            </w:pPr>
            <w:r>
              <w:rPr>
                <w:b/>
                <w:color w:val="231F20"/>
                <w:sz w:val="14"/>
              </w:rPr>
              <w:t>Оцењивање</w:t>
            </w:r>
          </w:p>
          <w:p w:rsidR="00041039" w:rsidRDefault="001B26CB">
            <w:pPr>
              <w:pStyle w:val="TableParagraph"/>
              <w:spacing w:before="1" w:line="235"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346"/>
              </w:numPr>
              <w:tabs>
                <w:tab w:val="left" w:pos="158"/>
              </w:tabs>
              <w:spacing w:line="153"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346"/>
              </w:numPr>
              <w:tabs>
                <w:tab w:val="left" w:pos="158"/>
              </w:tabs>
              <w:spacing w:line="165"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5"/>
              <w:ind w:left="0"/>
              <w:rPr>
                <w:b/>
                <w:sz w:val="13"/>
              </w:rPr>
            </w:pPr>
          </w:p>
          <w:p w:rsidR="00041039" w:rsidRDefault="001B26CB">
            <w:pPr>
              <w:pStyle w:val="TableParagraph"/>
              <w:spacing w:line="154" w:lineRule="exact"/>
              <w:ind w:left="58"/>
              <w:rPr>
                <w:b/>
                <w:sz w:val="14"/>
              </w:rPr>
            </w:pPr>
            <w:r>
              <w:rPr>
                <w:b/>
                <w:color w:val="231F20"/>
                <w:sz w:val="14"/>
              </w:rPr>
              <w:t>Оквирни број часова по теми</w:t>
            </w:r>
          </w:p>
          <w:p w:rsidR="00041039" w:rsidRDefault="001B26CB">
            <w:pPr>
              <w:pStyle w:val="TableParagraph"/>
              <w:numPr>
                <w:ilvl w:val="0"/>
                <w:numId w:val="346"/>
              </w:numPr>
              <w:tabs>
                <w:tab w:val="left" w:pos="158"/>
              </w:tabs>
              <w:spacing w:line="158" w:lineRule="exact"/>
              <w:ind w:hanging="99"/>
              <w:rPr>
                <w:b/>
                <w:sz w:val="14"/>
              </w:rPr>
            </w:pPr>
            <w:r>
              <w:rPr>
                <w:color w:val="231F20"/>
                <w:sz w:val="14"/>
              </w:rPr>
              <w:t xml:space="preserve">Функције </w:t>
            </w:r>
            <w:r>
              <w:rPr>
                <w:b/>
                <w:color w:val="231F20"/>
                <w:sz w:val="14"/>
              </w:rPr>
              <w:t>(28</w:t>
            </w:r>
            <w:r>
              <w:rPr>
                <w:b/>
                <w:color w:val="231F20"/>
                <w:spacing w:val="-2"/>
                <w:sz w:val="14"/>
              </w:rPr>
              <w:t xml:space="preserve"> </w:t>
            </w:r>
            <w:r>
              <w:rPr>
                <w:b/>
                <w:color w:val="231F20"/>
                <w:sz w:val="14"/>
              </w:rPr>
              <w:t>часова)</w:t>
            </w:r>
          </w:p>
          <w:p w:rsidR="00041039" w:rsidRDefault="001B26CB">
            <w:pPr>
              <w:pStyle w:val="TableParagraph"/>
              <w:numPr>
                <w:ilvl w:val="0"/>
                <w:numId w:val="346"/>
              </w:numPr>
              <w:tabs>
                <w:tab w:val="left" w:pos="158"/>
              </w:tabs>
              <w:spacing w:line="158" w:lineRule="exact"/>
              <w:ind w:hanging="99"/>
              <w:rPr>
                <w:b/>
                <w:sz w:val="14"/>
              </w:rPr>
            </w:pPr>
            <w:r>
              <w:rPr>
                <w:color w:val="231F20"/>
                <w:sz w:val="14"/>
              </w:rPr>
              <w:t xml:space="preserve">Извод функције </w:t>
            </w:r>
            <w:r>
              <w:rPr>
                <w:b/>
                <w:color w:val="231F20"/>
                <w:sz w:val="14"/>
              </w:rPr>
              <w:t>(26</w:t>
            </w:r>
            <w:r>
              <w:rPr>
                <w:b/>
                <w:color w:val="231F20"/>
                <w:spacing w:val="-5"/>
                <w:sz w:val="14"/>
              </w:rPr>
              <w:t xml:space="preserve"> </w:t>
            </w:r>
            <w:r>
              <w:rPr>
                <w:b/>
                <w:color w:val="231F20"/>
                <w:sz w:val="14"/>
              </w:rPr>
              <w:t>часова)</w:t>
            </w:r>
          </w:p>
          <w:p w:rsidR="00041039" w:rsidRDefault="001B26CB">
            <w:pPr>
              <w:pStyle w:val="TableParagraph"/>
              <w:numPr>
                <w:ilvl w:val="0"/>
                <w:numId w:val="346"/>
              </w:numPr>
              <w:tabs>
                <w:tab w:val="left" w:pos="158"/>
              </w:tabs>
              <w:spacing w:line="158" w:lineRule="exact"/>
              <w:ind w:hanging="99"/>
              <w:rPr>
                <w:b/>
                <w:sz w:val="14"/>
              </w:rPr>
            </w:pPr>
            <w:r>
              <w:rPr>
                <w:color w:val="231F20"/>
                <w:sz w:val="14"/>
              </w:rPr>
              <w:t xml:space="preserve">Интеграл </w:t>
            </w:r>
            <w:r>
              <w:rPr>
                <w:b/>
                <w:color w:val="231F20"/>
                <w:sz w:val="14"/>
              </w:rPr>
              <w:t>(22</w:t>
            </w:r>
            <w:r>
              <w:rPr>
                <w:b/>
                <w:color w:val="231F20"/>
                <w:spacing w:val="-2"/>
                <w:sz w:val="14"/>
              </w:rPr>
              <w:t xml:space="preserve"> </w:t>
            </w:r>
            <w:r>
              <w:rPr>
                <w:b/>
                <w:color w:val="231F20"/>
                <w:sz w:val="14"/>
              </w:rPr>
              <w:t>часа)</w:t>
            </w:r>
          </w:p>
          <w:p w:rsidR="00041039" w:rsidRDefault="001B26CB">
            <w:pPr>
              <w:pStyle w:val="TableParagraph"/>
              <w:numPr>
                <w:ilvl w:val="0"/>
                <w:numId w:val="346"/>
              </w:numPr>
              <w:tabs>
                <w:tab w:val="left" w:pos="158"/>
              </w:tabs>
              <w:spacing w:line="158" w:lineRule="exact"/>
              <w:ind w:hanging="99"/>
              <w:rPr>
                <w:b/>
                <w:sz w:val="14"/>
              </w:rPr>
            </w:pPr>
            <w:r>
              <w:rPr>
                <w:color w:val="231F20"/>
                <w:sz w:val="14"/>
              </w:rPr>
              <w:t xml:space="preserve">Комбинаторика </w:t>
            </w:r>
            <w:r>
              <w:rPr>
                <w:b/>
                <w:color w:val="231F20"/>
                <w:sz w:val="14"/>
              </w:rPr>
              <w:t>(12</w:t>
            </w:r>
            <w:r>
              <w:rPr>
                <w:b/>
                <w:color w:val="231F20"/>
                <w:spacing w:val="-5"/>
                <w:sz w:val="14"/>
              </w:rPr>
              <w:t xml:space="preserve"> </w:t>
            </w:r>
            <w:r>
              <w:rPr>
                <w:b/>
                <w:color w:val="231F20"/>
                <w:sz w:val="14"/>
              </w:rPr>
              <w:t>часова)</w:t>
            </w:r>
          </w:p>
          <w:p w:rsidR="00041039" w:rsidRDefault="001B26CB">
            <w:pPr>
              <w:pStyle w:val="TableParagraph"/>
              <w:numPr>
                <w:ilvl w:val="0"/>
                <w:numId w:val="346"/>
              </w:numPr>
              <w:tabs>
                <w:tab w:val="left" w:pos="158"/>
              </w:tabs>
              <w:spacing w:line="235" w:lineRule="auto"/>
              <w:ind w:right="328" w:hanging="99"/>
              <w:rPr>
                <w:b/>
                <w:sz w:val="14"/>
              </w:rPr>
            </w:pPr>
            <w:r>
              <w:rPr>
                <w:color w:val="231F20"/>
                <w:sz w:val="14"/>
              </w:rPr>
              <w:t>Вероватноћа и статистика</w:t>
            </w:r>
            <w:r>
              <w:rPr>
                <w:color w:val="231F20"/>
                <w:spacing w:val="-16"/>
                <w:sz w:val="14"/>
              </w:rPr>
              <w:t xml:space="preserve"> </w:t>
            </w:r>
            <w:r>
              <w:rPr>
                <w:b/>
                <w:color w:val="231F20"/>
                <w:sz w:val="14"/>
              </w:rPr>
              <w:t>(28 часова)</w:t>
            </w:r>
          </w:p>
          <w:p w:rsidR="00041039" w:rsidRDefault="00041039">
            <w:pPr>
              <w:pStyle w:val="TableParagraph"/>
              <w:spacing w:before="5"/>
              <w:ind w:left="0"/>
              <w:rPr>
                <w:b/>
                <w:sz w:val="13"/>
              </w:rPr>
            </w:pPr>
          </w:p>
          <w:p w:rsidR="00041039" w:rsidRDefault="001B26CB">
            <w:pPr>
              <w:pStyle w:val="TableParagraph"/>
              <w:spacing w:line="235" w:lineRule="auto"/>
              <w:ind w:left="58" w:right="63"/>
              <w:rPr>
                <w:b/>
                <w:sz w:val="14"/>
              </w:rPr>
            </w:pPr>
            <w:r>
              <w:rPr>
                <w:color w:val="231F20"/>
                <w:sz w:val="14"/>
              </w:rPr>
              <w:t>У току школске године предвиђена су четири писмена задатка за која је, са исправкама, планиран</w:t>
            </w:r>
            <w:r>
              <w:rPr>
                <w:b/>
                <w:color w:val="231F20"/>
                <w:sz w:val="14"/>
              </w:rPr>
              <w:t>о 12 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539"/>
        </w:numPr>
        <w:tabs>
          <w:tab w:val="left" w:pos="633"/>
        </w:tabs>
      </w:pPr>
      <w:r>
        <w:rPr>
          <w:color w:val="231F20"/>
        </w:rPr>
        <w:t>Изабрана поглавља</w:t>
      </w:r>
      <w:r>
        <w:rPr>
          <w:color w:val="231F20"/>
          <w:spacing w:val="-3"/>
        </w:rPr>
        <w:t xml:space="preserve"> математике</w:t>
      </w:r>
    </w:p>
    <w:p w:rsidR="00041039" w:rsidRDefault="001B26CB">
      <w:pPr>
        <w:pStyle w:val="ListParagraph"/>
        <w:numPr>
          <w:ilvl w:val="0"/>
          <w:numId w:val="539"/>
        </w:numPr>
        <w:tabs>
          <w:tab w:val="left" w:pos="633"/>
        </w:tabs>
        <w:rPr>
          <w:sz w:val="18"/>
        </w:rPr>
      </w:pPr>
      <w:r>
        <w:rPr>
          <w:color w:val="231F20"/>
          <w:sz w:val="18"/>
        </w:rPr>
        <w:t>Физика</w:t>
      </w:r>
    </w:p>
    <w:p w:rsidR="00041039" w:rsidRDefault="001B26CB">
      <w:pPr>
        <w:pStyle w:val="ListParagraph"/>
        <w:numPr>
          <w:ilvl w:val="0"/>
          <w:numId w:val="539"/>
        </w:numPr>
        <w:tabs>
          <w:tab w:val="left" w:pos="633"/>
        </w:tabs>
        <w:rPr>
          <w:sz w:val="18"/>
        </w:rPr>
      </w:pPr>
      <w:r>
        <w:rPr>
          <w:color w:val="231F20"/>
          <w:spacing w:val="-3"/>
          <w:sz w:val="18"/>
        </w:rPr>
        <w:t xml:space="preserve">Техничко </w:t>
      </w:r>
      <w:r>
        <w:rPr>
          <w:color w:val="231F20"/>
          <w:sz w:val="18"/>
        </w:rPr>
        <w:t>цртање са нацртном</w:t>
      </w:r>
      <w:r>
        <w:rPr>
          <w:color w:val="231F20"/>
          <w:spacing w:val="1"/>
          <w:sz w:val="18"/>
        </w:rPr>
        <w:t xml:space="preserve"> </w:t>
      </w:r>
      <w:r>
        <w:rPr>
          <w:color w:val="231F20"/>
          <w:sz w:val="18"/>
        </w:rPr>
        <w:t>геометријом</w:t>
      </w:r>
    </w:p>
    <w:p w:rsidR="00041039" w:rsidRDefault="001B26CB">
      <w:pPr>
        <w:pStyle w:val="ListParagraph"/>
        <w:numPr>
          <w:ilvl w:val="0"/>
          <w:numId w:val="539"/>
        </w:numPr>
        <w:tabs>
          <w:tab w:val="left" w:pos="633"/>
        </w:tabs>
        <w:rPr>
          <w:sz w:val="18"/>
        </w:rPr>
      </w:pPr>
      <w:r>
        <w:rPr>
          <w:color w:val="231F20"/>
          <w:sz w:val="18"/>
        </w:rPr>
        <w:t>Рачунарство и</w:t>
      </w:r>
      <w:r>
        <w:rPr>
          <w:color w:val="231F20"/>
          <w:spacing w:val="-2"/>
          <w:sz w:val="18"/>
        </w:rPr>
        <w:t xml:space="preserve"> </w:t>
      </w:r>
      <w:r>
        <w:rPr>
          <w:color w:val="231F20"/>
          <w:sz w:val="18"/>
        </w:rPr>
        <w:t>информатика</w:t>
      </w:r>
    </w:p>
    <w:p w:rsidR="00041039" w:rsidRDefault="001B26CB">
      <w:pPr>
        <w:pStyle w:val="ListParagraph"/>
        <w:numPr>
          <w:ilvl w:val="0"/>
          <w:numId w:val="539"/>
        </w:numPr>
        <w:tabs>
          <w:tab w:val="left" w:pos="633"/>
        </w:tabs>
        <w:rPr>
          <w:sz w:val="18"/>
        </w:rPr>
      </w:pPr>
      <w:r>
        <w:rPr>
          <w:color w:val="231F20"/>
          <w:sz w:val="18"/>
        </w:rPr>
        <w:t>Рачунари</w:t>
      </w:r>
    </w:p>
    <w:p w:rsidR="00041039" w:rsidRDefault="001B26CB">
      <w:pPr>
        <w:pStyle w:val="ListParagraph"/>
        <w:numPr>
          <w:ilvl w:val="0"/>
          <w:numId w:val="539"/>
        </w:numPr>
        <w:tabs>
          <w:tab w:val="left" w:pos="633"/>
        </w:tabs>
        <w:spacing w:line="203" w:lineRule="exact"/>
        <w:rPr>
          <w:sz w:val="18"/>
        </w:rPr>
      </w:pPr>
      <w:r>
        <w:rPr>
          <w:color w:val="231F20"/>
          <w:sz w:val="18"/>
        </w:rPr>
        <w:t>Безбедност информационих</w:t>
      </w:r>
      <w:r>
        <w:rPr>
          <w:color w:val="231F20"/>
          <w:spacing w:val="-1"/>
          <w:sz w:val="18"/>
        </w:rPr>
        <w:t xml:space="preserve"> </w:t>
      </w:r>
      <w:r>
        <w:rPr>
          <w:color w:val="231F20"/>
          <w:sz w:val="18"/>
        </w:rPr>
        <w:t>система</w:t>
      </w:r>
    </w:p>
    <w:p w:rsidR="00041039" w:rsidRDefault="00041039">
      <w:pPr>
        <w:pStyle w:val="BodyText"/>
        <w:rPr>
          <w:sz w:val="23"/>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ИСТОРИЈА</w:t>
      </w:r>
    </w:p>
    <w:p w:rsidR="00041039" w:rsidRDefault="001B26CB">
      <w:pPr>
        <w:pStyle w:val="BodyText"/>
        <w:spacing w:before="49" w:line="161" w:lineRule="exact"/>
        <w:ind w:left="157"/>
      </w:pPr>
      <w:r>
        <w:rPr>
          <w:color w:val="231F20"/>
        </w:rPr>
        <w:t>Циљеви предмета: – Стицање хуманистичког образовања и развијање историјске свести;</w:t>
      </w:r>
    </w:p>
    <w:p w:rsidR="00041039" w:rsidRDefault="001B26CB">
      <w:pPr>
        <w:pStyle w:val="ListParagraph"/>
        <w:numPr>
          <w:ilvl w:val="1"/>
          <w:numId w:val="539"/>
        </w:numPr>
        <w:tabs>
          <w:tab w:val="left" w:pos="1566"/>
        </w:tabs>
        <w:spacing w:line="160" w:lineRule="exact"/>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7"/>
          <w:sz w:val="14"/>
        </w:rPr>
        <w:t xml:space="preserve"> </w:t>
      </w:r>
      <w:r>
        <w:rPr>
          <w:color w:val="231F20"/>
          <w:sz w:val="14"/>
        </w:rPr>
        <w:t>личности;</w:t>
      </w:r>
    </w:p>
    <w:p w:rsidR="00041039" w:rsidRDefault="001B26CB">
      <w:pPr>
        <w:pStyle w:val="ListParagraph"/>
        <w:numPr>
          <w:ilvl w:val="1"/>
          <w:numId w:val="539"/>
        </w:numPr>
        <w:tabs>
          <w:tab w:val="left" w:pos="1566"/>
        </w:tabs>
        <w:spacing w:line="160" w:lineRule="exact"/>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041039" w:rsidRDefault="001B26CB">
      <w:pPr>
        <w:pStyle w:val="ListParagraph"/>
        <w:numPr>
          <w:ilvl w:val="1"/>
          <w:numId w:val="539"/>
        </w:numPr>
        <w:tabs>
          <w:tab w:val="left" w:pos="1566"/>
        </w:tabs>
        <w:spacing w:line="240" w:lineRule="auto"/>
        <w:ind w:right="255"/>
        <w:rPr>
          <w:sz w:val="14"/>
        </w:rPr>
      </w:pPr>
      <w:r>
        <w:rPr>
          <w:color w:val="231F20"/>
          <w:sz w:val="14"/>
        </w:rPr>
        <w:t>Стицање</w:t>
      </w:r>
      <w:r>
        <w:rPr>
          <w:color w:val="231F20"/>
          <w:spacing w:val="-4"/>
          <w:sz w:val="14"/>
        </w:rPr>
        <w:t xml:space="preserve"> </w:t>
      </w:r>
      <w:r>
        <w:rPr>
          <w:color w:val="231F20"/>
          <w:sz w:val="14"/>
        </w:rPr>
        <w:t>и</w:t>
      </w:r>
      <w:r>
        <w:rPr>
          <w:color w:val="231F20"/>
          <w:spacing w:val="-5"/>
          <w:sz w:val="14"/>
        </w:rPr>
        <w:t xml:space="preserve"> </w:t>
      </w:r>
      <w:r>
        <w:rPr>
          <w:color w:val="231F20"/>
          <w:sz w:val="14"/>
        </w:rPr>
        <w:t>пр</w:t>
      </w:r>
      <w:r>
        <w:rPr>
          <w:color w:val="231F20"/>
          <w:sz w:val="14"/>
        </w:rPr>
        <w:t>оширивање</w:t>
      </w:r>
      <w:r>
        <w:rPr>
          <w:color w:val="231F20"/>
          <w:spacing w:val="-4"/>
          <w:sz w:val="14"/>
        </w:rPr>
        <w:t xml:space="preserve"> </w:t>
      </w:r>
      <w:r>
        <w:rPr>
          <w:color w:val="231F20"/>
          <w:sz w:val="14"/>
        </w:rPr>
        <w:t>знања,</w:t>
      </w:r>
      <w:r>
        <w:rPr>
          <w:color w:val="231F20"/>
          <w:spacing w:val="-5"/>
          <w:sz w:val="14"/>
        </w:rPr>
        <w:t xml:space="preserve"> </w:t>
      </w:r>
      <w:r>
        <w:rPr>
          <w:color w:val="231F20"/>
          <w:sz w:val="14"/>
        </w:rPr>
        <w:t>развијање</w:t>
      </w:r>
      <w:r>
        <w:rPr>
          <w:color w:val="231F20"/>
          <w:spacing w:val="-4"/>
          <w:sz w:val="14"/>
        </w:rPr>
        <w:t xml:space="preserve"> </w:t>
      </w:r>
      <w:r>
        <w:rPr>
          <w:color w:val="231F20"/>
          <w:sz w:val="14"/>
        </w:rPr>
        <w:t>вештина</w:t>
      </w:r>
      <w:r>
        <w:rPr>
          <w:color w:val="231F20"/>
          <w:spacing w:val="-4"/>
          <w:sz w:val="14"/>
        </w:rPr>
        <w:t xml:space="preserve"> </w:t>
      </w:r>
      <w:r>
        <w:rPr>
          <w:color w:val="231F20"/>
          <w:sz w:val="14"/>
        </w:rPr>
        <w:t>и</w:t>
      </w:r>
      <w:r>
        <w:rPr>
          <w:color w:val="231F20"/>
          <w:spacing w:val="-5"/>
          <w:sz w:val="14"/>
        </w:rPr>
        <w:t xml:space="preserve"> </w:t>
      </w:r>
      <w:r>
        <w:rPr>
          <w:color w:val="231F20"/>
          <w:sz w:val="14"/>
        </w:rPr>
        <w:t>формирање</w:t>
      </w:r>
      <w:r>
        <w:rPr>
          <w:color w:val="231F20"/>
          <w:spacing w:val="-4"/>
          <w:sz w:val="14"/>
        </w:rPr>
        <w:t xml:space="preserve"> </w:t>
      </w:r>
      <w:r>
        <w:rPr>
          <w:color w:val="231F20"/>
          <w:sz w:val="14"/>
        </w:rPr>
        <w:t>ставова</w:t>
      </w:r>
      <w:r>
        <w:rPr>
          <w:color w:val="231F20"/>
          <w:spacing w:val="-4"/>
          <w:sz w:val="14"/>
        </w:rPr>
        <w:t xml:space="preserve"> </w:t>
      </w:r>
      <w:r>
        <w:rPr>
          <w:color w:val="231F20"/>
          <w:sz w:val="14"/>
        </w:rPr>
        <w:t>неопходних</w:t>
      </w:r>
      <w:r>
        <w:rPr>
          <w:color w:val="231F20"/>
          <w:spacing w:val="-4"/>
          <w:sz w:val="14"/>
        </w:rPr>
        <w:t xml:space="preserve"> </w:t>
      </w:r>
      <w:r>
        <w:rPr>
          <w:color w:val="231F20"/>
          <w:sz w:val="14"/>
        </w:rPr>
        <w:t>за</w:t>
      </w:r>
      <w:r>
        <w:rPr>
          <w:color w:val="231F20"/>
          <w:spacing w:val="-5"/>
          <w:sz w:val="14"/>
        </w:rPr>
        <w:t xml:space="preserve"> </w:t>
      </w:r>
      <w:r>
        <w:rPr>
          <w:color w:val="231F20"/>
          <w:sz w:val="14"/>
        </w:rPr>
        <w:t>разумевање</w:t>
      </w:r>
      <w:r>
        <w:rPr>
          <w:color w:val="231F20"/>
          <w:spacing w:val="-4"/>
          <w:sz w:val="14"/>
        </w:rPr>
        <w:t xml:space="preserve"> </w:t>
      </w:r>
      <w:r>
        <w:rPr>
          <w:color w:val="231F20"/>
          <w:sz w:val="14"/>
        </w:rPr>
        <w:t>савременог</w:t>
      </w:r>
      <w:r>
        <w:rPr>
          <w:color w:val="231F20"/>
          <w:spacing w:val="-4"/>
          <w:sz w:val="14"/>
        </w:rPr>
        <w:t xml:space="preserve"> </w:t>
      </w:r>
      <w:r>
        <w:rPr>
          <w:color w:val="231F20"/>
          <w:sz w:val="14"/>
        </w:rPr>
        <w:t>света</w:t>
      </w:r>
      <w:r>
        <w:rPr>
          <w:color w:val="231F20"/>
          <w:spacing w:val="-4"/>
          <w:sz w:val="14"/>
        </w:rPr>
        <w:t xml:space="preserve"> </w:t>
      </w:r>
      <w:r>
        <w:rPr>
          <w:color w:val="231F20"/>
          <w:sz w:val="14"/>
        </w:rPr>
        <w:t>(у</w:t>
      </w:r>
      <w:r>
        <w:rPr>
          <w:color w:val="231F20"/>
          <w:spacing w:val="-4"/>
          <w:sz w:val="14"/>
        </w:rPr>
        <w:t xml:space="preserve"> </w:t>
      </w:r>
      <w:r>
        <w:rPr>
          <w:color w:val="231F20"/>
          <w:sz w:val="14"/>
        </w:rPr>
        <w:t>националном,</w:t>
      </w:r>
      <w:r>
        <w:rPr>
          <w:color w:val="231F20"/>
          <w:spacing w:val="-4"/>
          <w:sz w:val="14"/>
        </w:rPr>
        <w:t xml:space="preserve"> </w:t>
      </w:r>
      <w:r>
        <w:rPr>
          <w:color w:val="231F20"/>
          <w:sz w:val="14"/>
        </w:rPr>
        <w:t>регионалном. европском и глобалном</w:t>
      </w:r>
      <w:r>
        <w:rPr>
          <w:color w:val="231F20"/>
          <w:spacing w:val="-2"/>
          <w:sz w:val="14"/>
        </w:rPr>
        <w:t xml:space="preserve"> </w:t>
      </w:r>
      <w:r>
        <w:rPr>
          <w:color w:val="231F20"/>
          <w:sz w:val="14"/>
        </w:rPr>
        <w:t>оквиру);</w:t>
      </w:r>
    </w:p>
    <w:p w:rsidR="00041039" w:rsidRDefault="001B26CB">
      <w:pPr>
        <w:pStyle w:val="ListParagraph"/>
        <w:numPr>
          <w:ilvl w:val="1"/>
          <w:numId w:val="539"/>
        </w:numPr>
        <w:tabs>
          <w:tab w:val="left" w:pos="1566"/>
        </w:tabs>
        <w:spacing w:line="240" w:lineRule="auto"/>
        <w:ind w:right="459"/>
        <w:rPr>
          <w:sz w:val="14"/>
        </w:rPr>
      </w:pPr>
      <w:r>
        <w:rPr>
          <w:color w:val="231F20"/>
          <w:sz w:val="14"/>
        </w:rPr>
        <w:t>Унапређивање функционалних вештина и компетенција неопходних за живот у савременом друштву (истраживачких вештина, критичког и креа­ тивног</w:t>
      </w:r>
      <w:r>
        <w:rPr>
          <w:color w:val="231F20"/>
          <w:spacing w:val="-5"/>
          <w:sz w:val="14"/>
        </w:rPr>
        <w:t xml:space="preserve"> </w:t>
      </w:r>
      <w:r>
        <w:rPr>
          <w:color w:val="231F20"/>
          <w:sz w:val="14"/>
        </w:rPr>
        <w:t>мишљења,</w:t>
      </w:r>
      <w:r>
        <w:rPr>
          <w:color w:val="231F20"/>
          <w:spacing w:val="-5"/>
          <w:sz w:val="14"/>
        </w:rPr>
        <w:t xml:space="preserve"> </w:t>
      </w:r>
      <w:r>
        <w:rPr>
          <w:color w:val="231F20"/>
          <w:sz w:val="14"/>
        </w:rPr>
        <w:t>способности</w:t>
      </w:r>
      <w:r>
        <w:rPr>
          <w:color w:val="231F20"/>
          <w:spacing w:val="-5"/>
          <w:sz w:val="14"/>
        </w:rPr>
        <w:t xml:space="preserve"> </w:t>
      </w:r>
      <w:r>
        <w:rPr>
          <w:color w:val="231F20"/>
          <w:sz w:val="14"/>
        </w:rPr>
        <w:t>изражавања</w:t>
      </w:r>
      <w:r>
        <w:rPr>
          <w:color w:val="231F20"/>
          <w:spacing w:val="-5"/>
          <w:sz w:val="14"/>
        </w:rPr>
        <w:t xml:space="preserve"> </w:t>
      </w:r>
      <w:r>
        <w:rPr>
          <w:color w:val="231F20"/>
          <w:sz w:val="14"/>
        </w:rPr>
        <w:t>и</w:t>
      </w:r>
      <w:r>
        <w:rPr>
          <w:color w:val="231F20"/>
          <w:spacing w:val="-6"/>
          <w:sz w:val="14"/>
        </w:rPr>
        <w:t xml:space="preserve"> </w:t>
      </w:r>
      <w:r>
        <w:rPr>
          <w:color w:val="231F20"/>
          <w:sz w:val="14"/>
        </w:rPr>
        <w:t>образлагања</w:t>
      </w:r>
      <w:r>
        <w:rPr>
          <w:color w:val="231F20"/>
          <w:spacing w:val="-5"/>
          <w:sz w:val="14"/>
        </w:rPr>
        <w:t xml:space="preserve"> </w:t>
      </w:r>
      <w:r>
        <w:rPr>
          <w:color w:val="231F20"/>
          <w:sz w:val="14"/>
        </w:rPr>
        <w:t>сопствених</w:t>
      </w:r>
      <w:r>
        <w:rPr>
          <w:color w:val="231F20"/>
          <w:spacing w:val="-5"/>
          <w:sz w:val="14"/>
        </w:rPr>
        <w:t xml:space="preserve"> </w:t>
      </w:r>
      <w:r>
        <w:rPr>
          <w:color w:val="231F20"/>
          <w:sz w:val="14"/>
        </w:rPr>
        <w:t>ставова,</w:t>
      </w:r>
      <w:r>
        <w:rPr>
          <w:color w:val="231F20"/>
          <w:spacing w:val="-5"/>
          <w:sz w:val="14"/>
        </w:rPr>
        <w:t xml:space="preserve"> </w:t>
      </w:r>
      <w:r>
        <w:rPr>
          <w:color w:val="231F20"/>
          <w:sz w:val="14"/>
        </w:rPr>
        <w:t>разумевање</w:t>
      </w:r>
      <w:r>
        <w:rPr>
          <w:color w:val="231F20"/>
          <w:spacing w:val="-5"/>
          <w:sz w:val="14"/>
        </w:rPr>
        <w:t xml:space="preserve"> </w:t>
      </w:r>
      <w:r>
        <w:rPr>
          <w:color w:val="231F20"/>
          <w:sz w:val="14"/>
        </w:rPr>
        <w:t>мултикултуралности,</w:t>
      </w:r>
      <w:r>
        <w:rPr>
          <w:color w:val="231F20"/>
          <w:spacing w:val="-5"/>
          <w:sz w:val="14"/>
        </w:rPr>
        <w:t xml:space="preserve"> </w:t>
      </w:r>
      <w:r>
        <w:rPr>
          <w:color w:val="231F20"/>
          <w:sz w:val="14"/>
        </w:rPr>
        <w:t>развијање</w:t>
      </w:r>
      <w:r>
        <w:rPr>
          <w:color w:val="231F20"/>
          <w:spacing w:val="-5"/>
          <w:sz w:val="14"/>
        </w:rPr>
        <w:t xml:space="preserve"> </w:t>
      </w:r>
      <w:r>
        <w:rPr>
          <w:color w:val="231F20"/>
          <w:sz w:val="14"/>
        </w:rPr>
        <w:t>толеранци</w:t>
      </w:r>
      <w:r>
        <w:rPr>
          <w:color w:val="231F20"/>
          <w:sz w:val="14"/>
        </w:rPr>
        <w:t>је</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културе аргументованог</w:t>
      </w:r>
      <w:r>
        <w:rPr>
          <w:color w:val="231F20"/>
          <w:spacing w:val="-1"/>
          <w:sz w:val="14"/>
        </w:rPr>
        <w:t xml:space="preserve"> </w:t>
      </w:r>
      <w:r>
        <w:rPr>
          <w:color w:val="231F20"/>
          <w:sz w:val="14"/>
        </w:rPr>
        <w:t>дијалога);</w:t>
      </w:r>
    </w:p>
    <w:p w:rsidR="00041039" w:rsidRDefault="001B26CB">
      <w:pPr>
        <w:pStyle w:val="ListParagraph"/>
        <w:numPr>
          <w:ilvl w:val="1"/>
          <w:numId w:val="539"/>
        </w:numPr>
        <w:tabs>
          <w:tab w:val="left" w:pos="1566"/>
        </w:tabs>
        <w:spacing w:line="158" w:lineRule="exact"/>
        <w:rPr>
          <w:sz w:val="14"/>
        </w:rPr>
      </w:pPr>
      <w:r>
        <w:rPr>
          <w:color w:val="231F20"/>
          <w:sz w:val="14"/>
        </w:rPr>
        <w:t>Оспособљавање за ефикасно коришћење информационо ­ комуникационих</w:t>
      </w:r>
      <w:r>
        <w:rPr>
          <w:color w:val="231F20"/>
          <w:spacing w:val="-5"/>
          <w:sz w:val="14"/>
        </w:rPr>
        <w:t xml:space="preserve"> </w:t>
      </w:r>
      <w:r>
        <w:rPr>
          <w:color w:val="231F20"/>
          <w:sz w:val="14"/>
        </w:rPr>
        <w:t>технологија;</w:t>
      </w:r>
    </w:p>
    <w:p w:rsidR="00041039" w:rsidRDefault="001B26CB">
      <w:pPr>
        <w:pStyle w:val="ListParagraph"/>
        <w:numPr>
          <w:ilvl w:val="1"/>
          <w:numId w:val="539"/>
        </w:numPr>
        <w:tabs>
          <w:tab w:val="left" w:pos="1566"/>
        </w:tabs>
        <w:spacing w:line="161" w:lineRule="exact"/>
        <w:rPr>
          <w:sz w:val="14"/>
        </w:rPr>
      </w:pPr>
      <w:r>
        <w:rPr>
          <w:color w:val="231F20"/>
          <w:sz w:val="14"/>
        </w:rPr>
        <w:t>Развијање свести о потреби сталног усавршавања и свести о важности неговања културно ­ историјске</w:t>
      </w:r>
      <w:r>
        <w:rPr>
          <w:color w:val="231F20"/>
          <w:spacing w:val="-10"/>
          <w:sz w:val="14"/>
        </w:rPr>
        <w:t xml:space="preserve"> </w:t>
      </w:r>
      <w:r>
        <w:rPr>
          <w:color w:val="231F20"/>
          <w:sz w:val="14"/>
        </w:rPr>
        <w:t>баштине.</w:t>
      </w:r>
    </w:p>
    <w:p w:rsidR="00041039" w:rsidRDefault="001B26CB">
      <w:pPr>
        <w:tabs>
          <w:tab w:val="left" w:pos="1460"/>
        </w:tabs>
        <w:spacing w:before="47"/>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880"/>
        </w:trPr>
        <w:tc>
          <w:tcPr>
            <w:tcW w:w="1304" w:type="dxa"/>
          </w:tcPr>
          <w:p w:rsidR="00041039" w:rsidRDefault="001B26CB">
            <w:pPr>
              <w:pStyle w:val="TableParagraph"/>
              <w:spacing w:before="18"/>
              <w:ind w:left="56" w:right="37"/>
              <w:rPr>
                <w:sz w:val="14"/>
              </w:rPr>
            </w:pPr>
            <w:r>
              <w:rPr>
                <w:color w:val="231F20"/>
                <w:sz w:val="14"/>
              </w:rPr>
              <w:t>Српска држава и државност</w:t>
            </w:r>
          </w:p>
        </w:tc>
        <w:tc>
          <w:tcPr>
            <w:tcW w:w="1587" w:type="dxa"/>
          </w:tcPr>
          <w:p w:rsidR="00041039" w:rsidRDefault="001B26CB">
            <w:pPr>
              <w:pStyle w:val="TableParagraph"/>
              <w:numPr>
                <w:ilvl w:val="0"/>
                <w:numId w:val="345"/>
              </w:numPr>
              <w:tabs>
                <w:tab w:val="left" w:pos="157"/>
              </w:tabs>
              <w:spacing w:before="8"/>
              <w:ind w:right="72"/>
              <w:rPr>
                <w:sz w:val="14"/>
              </w:rPr>
            </w:pPr>
            <w:r>
              <w:rPr>
                <w:color w:val="231F20"/>
                <w:sz w:val="14"/>
              </w:rPr>
              <w:t>Проширивање знања о настанку модерне српске државе и најважнијим</w:t>
            </w:r>
            <w:r>
              <w:rPr>
                <w:color w:val="231F20"/>
                <w:spacing w:val="-12"/>
                <w:sz w:val="14"/>
              </w:rPr>
              <w:t xml:space="preserve"> </w:t>
            </w:r>
            <w:r>
              <w:rPr>
                <w:color w:val="231F20"/>
                <w:sz w:val="14"/>
              </w:rPr>
              <w:t>одликама српске</w:t>
            </w:r>
            <w:r>
              <w:rPr>
                <w:color w:val="231F20"/>
                <w:spacing w:val="-1"/>
                <w:sz w:val="14"/>
              </w:rPr>
              <w:t xml:space="preserve"> </w:t>
            </w:r>
            <w:r>
              <w:rPr>
                <w:color w:val="231F20"/>
                <w:sz w:val="14"/>
              </w:rPr>
              <w:t>државности.</w:t>
            </w:r>
          </w:p>
          <w:p w:rsidR="00041039" w:rsidRDefault="001B26CB">
            <w:pPr>
              <w:pStyle w:val="TableParagraph"/>
              <w:numPr>
                <w:ilvl w:val="0"/>
                <w:numId w:val="345"/>
              </w:numPr>
              <w:tabs>
                <w:tab w:val="left" w:pos="157"/>
              </w:tabs>
              <w:spacing w:line="155" w:lineRule="exact"/>
              <w:rPr>
                <w:sz w:val="14"/>
              </w:rPr>
            </w:pPr>
            <w:r>
              <w:rPr>
                <w:color w:val="231F20"/>
                <w:sz w:val="14"/>
              </w:rPr>
              <w:t>Развијање свести</w:t>
            </w:r>
            <w:r>
              <w:rPr>
                <w:color w:val="231F20"/>
                <w:spacing w:val="-3"/>
                <w:sz w:val="14"/>
              </w:rPr>
              <w:t xml:space="preserve"> </w:t>
            </w:r>
            <w:r>
              <w:rPr>
                <w:color w:val="231F20"/>
                <w:sz w:val="14"/>
              </w:rPr>
              <w:t>о</w:t>
            </w:r>
          </w:p>
          <w:p w:rsidR="00041039" w:rsidRDefault="001B26CB">
            <w:pPr>
              <w:pStyle w:val="TableParagraph"/>
              <w:ind w:right="15"/>
              <w:rPr>
                <w:sz w:val="14"/>
              </w:rPr>
            </w:pPr>
            <w:r>
              <w:rPr>
                <w:color w:val="231F20"/>
                <w:sz w:val="14"/>
              </w:rPr>
              <w:t>значају средњовековне државности за наста­ нак модерне српске државе.</w:t>
            </w:r>
          </w:p>
          <w:p w:rsidR="00041039" w:rsidRDefault="001B26CB">
            <w:pPr>
              <w:pStyle w:val="TableParagraph"/>
              <w:numPr>
                <w:ilvl w:val="0"/>
                <w:numId w:val="345"/>
              </w:numPr>
              <w:tabs>
                <w:tab w:val="left" w:pos="157"/>
              </w:tabs>
              <w:spacing w:line="157" w:lineRule="exact"/>
              <w:rPr>
                <w:sz w:val="14"/>
              </w:rPr>
            </w:pPr>
            <w:r>
              <w:rPr>
                <w:color w:val="231F20"/>
                <w:spacing w:val="-3"/>
                <w:sz w:val="14"/>
              </w:rPr>
              <w:t>Уочавање</w:t>
            </w:r>
            <w:r>
              <w:rPr>
                <w:color w:val="231F20"/>
                <w:sz w:val="14"/>
              </w:rPr>
              <w:t xml:space="preserve"> </w:t>
            </w:r>
            <w:r>
              <w:rPr>
                <w:color w:val="231F20"/>
                <w:spacing w:val="-3"/>
                <w:sz w:val="14"/>
              </w:rPr>
              <w:t>улоге</w:t>
            </w:r>
          </w:p>
          <w:p w:rsidR="00041039" w:rsidRDefault="001B26CB">
            <w:pPr>
              <w:pStyle w:val="TableParagraph"/>
              <w:ind w:right="108"/>
              <w:rPr>
                <w:sz w:val="14"/>
              </w:rPr>
            </w:pPr>
            <w:r>
              <w:rPr>
                <w:color w:val="231F20"/>
                <w:sz w:val="14"/>
              </w:rPr>
              <w:t>знаменитих личности у развоју српске државности.</w:t>
            </w:r>
          </w:p>
          <w:p w:rsidR="00041039" w:rsidRDefault="001B26CB">
            <w:pPr>
              <w:pStyle w:val="TableParagraph"/>
              <w:numPr>
                <w:ilvl w:val="0"/>
                <w:numId w:val="345"/>
              </w:numPr>
              <w:tabs>
                <w:tab w:val="left" w:pos="157"/>
              </w:tabs>
              <w:spacing w:line="158" w:lineRule="exact"/>
              <w:rPr>
                <w:sz w:val="14"/>
              </w:rPr>
            </w:pPr>
            <w:r>
              <w:rPr>
                <w:color w:val="231F20"/>
                <w:sz w:val="14"/>
              </w:rPr>
              <w:t>Разумевање</w:t>
            </w:r>
            <w:r>
              <w:rPr>
                <w:color w:val="231F20"/>
                <w:spacing w:val="-5"/>
                <w:sz w:val="14"/>
              </w:rPr>
              <w:t xml:space="preserve"> </w:t>
            </w:r>
            <w:r>
              <w:rPr>
                <w:color w:val="231F20"/>
                <w:sz w:val="14"/>
              </w:rPr>
              <w:t>најзначај­</w:t>
            </w:r>
          </w:p>
          <w:p w:rsidR="00041039" w:rsidRDefault="001B26CB">
            <w:pPr>
              <w:pStyle w:val="TableParagraph"/>
              <w:ind w:right="15"/>
              <w:rPr>
                <w:sz w:val="14"/>
              </w:rPr>
            </w:pPr>
            <w:r>
              <w:rPr>
                <w:color w:val="231F20"/>
                <w:sz w:val="14"/>
              </w:rPr>
              <w:t>нијих идеја модерног доба и њиховог ути­ цаја у процесу ства­ рања српске државе.</w:t>
            </w:r>
          </w:p>
          <w:p w:rsidR="00041039" w:rsidRDefault="001B26CB">
            <w:pPr>
              <w:pStyle w:val="TableParagraph"/>
              <w:numPr>
                <w:ilvl w:val="0"/>
                <w:numId w:val="345"/>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међуна­</w:t>
            </w:r>
          </w:p>
          <w:p w:rsidR="00041039" w:rsidRDefault="001B26CB">
            <w:pPr>
              <w:pStyle w:val="TableParagraph"/>
              <w:ind w:right="15"/>
              <w:rPr>
                <w:sz w:val="14"/>
              </w:rPr>
            </w:pPr>
            <w:r>
              <w:rPr>
                <w:color w:val="231F20"/>
                <w:sz w:val="14"/>
              </w:rPr>
              <w:t>родног контекста у коме настаје и постоји српска држава.</w:t>
            </w:r>
          </w:p>
        </w:tc>
        <w:tc>
          <w:tcPr>
            <w:tcW w:w="2551" w:type="dxa"/>
          </w:tcPr>
          <w:p w:rsidR="00041039" w:rsidRDefault="001B26CB">
            <w:pPr>
              <w:pStyle w:val="TableParagraph"/>
              <w:numPr>
                <w:ilvl w:val="0"/>
                <w:numId w:val="344"/>
              </w:numPr>
              <w:tabs>
                <w:tab w:val="left" w:pos="157"/>
              </w:tabs>
              <w:spacing w:before="8"/>
              <w:ind w:right="159" w:hanging="99"/>
              <w:rPr>
                <w:sz w:val="14"/>
              </w:rPr>
            </w:pPr>
            <w:r>
              <w:rPr>
                <w:color w:val="231F20"/>
                <w:sz w:val="14"/>
              </w:rPr>
              <w:t>препозна различите историјске садржаје (личности, догађаје, појаве и процесе) и доведе их увезу са</w:t>
            </w:r>
            <w:r>
              <w:rPr>
                <w:color w:val="231F20"/>
                <w:spacing w:val="-18"/>
                <w:sz w:val="14"/>
              </w:rPr>
              <w:t xml:space="preserve"> </w:t>
            </w:r>
            <w:r>
              <w:rPr>
                <w:color w:val="231F20"/>
                <w:sz w:val="14"/>
              </w:rPr>
              <w:t>одго­ варајућом временском одредницом и историјским</w:t>
            </w:r>
            <w:r>
              <w:rPr>
                <w:color w:val="231F20"/>
                <w:spacing w:val="-1"/>
                <w:sz w:val="14"/>
              </w:rPr>
              <w:t xml:space="preserve"> </w:t>
            </w:r>
            <w:r>
              <w:rPr>
                <w:color w:val="231F20"/>
                <w:sz w:val="14"/>
              </w:rPr>
              <w:t>периодом;</w:t>
            </w:r>
          </w:p>
          <w:p w:rsidR="00041039" w:rsidRDefault="001B26CB">
            <w:pPr>
              <w:pStyle w:val="TableParagraph"/>
              <w:numPr>
                <w:ilvl w:val="0"/>
                <w:numId w:val="344"/>
              </w:numPr>
              <w:tabs>
                <w:tab w:val="left" w:pos="157"/>
              </w:tabs>
              <w:spacing w:line="155" w:lineRule="exact"/>
              <w:ind w:hanging="99"/>
              <w:rPr>
                <w:sz w:val="14"/>
              </w:rPr>
            </w:pPr>
            <w:r>
              <w:rPr>
                <w:color w:val="231F20"/>
                <w:sz w:val="14"/>
              </w:rPr>
              <w:t>разликује периоде у којима је</w:t>
            </w:r>
            <w:r>
              <w:rPr>
                <w:color w:val="231F20"/>
                <w:spacing w:val="-13"/>
                <w:sz w:val="14"/>
              </w:rPr>
              <w:t xml:space="preserve"> </w:t>
            </w:r>
            <w:r>
              <w:rPr>
                <w:color w:val="231F20"/>
                <w:sz w:val="14"/>
              </w:rPr>
              <w:t>постоја­</w:t>
            </w:r>
          </w:p>
          <w:p w:rsidR="00041039" w:rsidRDefault="001B26CB">
            <w:pPr>
              <w:pStyle w:val="TableParagraph"/>
              <w:ind w:right="412"/>
              <w:rPr>
                <w:sz w:val="14"/>
              </w:rPr>
            </w:pPr>
            <w:r>
              <w:rPr>
                <w:color w:val="231F20"/>
                <w:sz w:val="14"/>
              </w:rPr>
              <w:t>ла, престала да постоји и поново настала српска држава;</w:t>
            </w:r>
          </w:p>
          <w:p w:rsidR="00041039" w:rsidRDefault="001B26CB">
            <w:pPr>
              <w:pStyle w:val="TableParagraph"/>
              <w:numPr>
                <w:ilvl w:val="0"/>
                <w:numId w:val="344"/>
              </w:numPr>
              <w:tabs>
                <w:tab w:val="left" w:pos="157"/>
              </w:tabs>
              <w:spacing w:line="160" w:lineRule="exact"/>
              <w:ind w:right="252" w:hanging="99"/>
              <w:rPr>
                <w:sz w:val="14"/>
              </w:rPr>
            </w:pPr>
            <w:r>
              <w:rPr>
                <w:color w:val="231F20"/>
                <w:sz w:val="14"/>
              </w:rPr>
              <w:t>наведе и упореди одлике српске</w:t>
            </w:r>
            <w:r>
              <w:rPr>
                <w:color w:val="231F20"/>
                <w:spacing w:val="-20"/>
                <w:sz w:val="14"/>
              </w:rPr>
              <w:t xml:space="preserve"> </w:t>
            </w:r>
            <w:r>
              <w:rPr>
                <w:color w:val="231F20"/>
                <w:sz w:val="14"/>
              </w:rPr>
              <w:t>др­ жавности у средњем и новом</w:t>
            </w:r>
            <w:r>
              <w:rPr>
                <w:color w:val="231F20"/>
                <w:spacing w:val="-9"/>
                <w:sz w:val="14"/>
              </w:rPr>
              <w:t xml:space="preserve"> </w:t>
            </w:r>
            <w:r>
              <w:rPr>
                <w:color w:val="231F20"/>
                <w:sz w:val="14"/>
              </w:rPr>
              <w:t>веку;</w:t>
            </w:r>
          </w:p>
          <w:p w:rsidR="00041039" w:rsidRDefault="001B26CB">
            <w:pPr>
              <w:pStyle w:val="TableParagraph"/>
              <w:numPr>
                <w:ilvl w:val="0"/>
                <w:numId w:val="344"/>
              </w:numPr>
              <w:tabs>
                <w:tab w:val="left" w:pos="157"/>
              </w:tabs>
              <w:spacing w:line="160" w:lineRule="exact"/>
              <w:ind w:right="359" w:hanging="99"/>
              <w:jc w:val="both"/>
              <w:rPr>
                <w:sz w:val="14"/>
              </w:rPr>
            </w:pPr>
            <w:r>
              <w:rPr>
                <w:color w:val="231F20"/>
                <w:sz w:val="14"/>
              </w:rPr>
              <w:t>уочи утицај европских револуци­ онарних збивања на развој</w:t>
            </w:r>
            <w:r>
              <w:rPr>
                <w:color w:val="231F20"/>
                <w:spacing w:val="-12"/>
                <w:sz w:val="14"/>
              </w:rPr>
              <w:t xml:space="preserve"> </w:t>
            </w:r>
            <w:r>
              <w:rPr>
                <w:color w:val="231F20"/>
                <w:sz w:val="14"/>
              </w:rPr>
              <w:t>српске националне и државне</w:t>
            </w:r>
            <w:r>
              <w:rPr>
                <w:color w:val="231F20"/>
                <w:spacing w:val="-6"/>
                <w:sz w:val="14"/>
              </w:rPr>
              <w:t xml:space="preserve"> </w:t>
            </w:r>
            <w:r>
              <w:rPr>
                <w:color w:val="231F20"/>
                <w:sz w:val="14"/>
              </w:rPr>
              <w:t>идеје;</w:t>
            </w:r>
          </w:p>
          <w:p w:rsidR="00041039" w:rsidRDefault="001B26CB">
            <w:pPr>
              <w:pStyle w:val="TableParagraph"/>
              <w:numPr>
                <w:ilvl w:val="0"/>
                <w:numId w:val="344"/>
              </w:numPr>
              <w:tabs>
                <w:tab w:val="left" w:pos="157"/>
              </w:tabs>
              <w:spacing w:line="160" w:lineRule="exact"/>
              <w:ind w:right="268" w:hanging="99"/>
              <w:rPr>
                <w:sz w:val="14"/>
              </w:rPr>
            </w:pPr>
            <w:r>
              <w:rPr>
                <w:color w:val="231F20"/>
                <w:sz w:val="14"/>
              </w:rPr>
              <w:t>објасни узроке и последице</w:t>
            </w:r>
            <w:r>
              <w:rPr>
                <w:color w:val="231F20"/>
                <w:spacing w:val="-9"/>
                <w:sz w:val="14"/>
              </w:rPr>
              <w:t xml:space="preserve"> </w:t>
            </w:r>
            <w:r>
              <w:rPr>
                <w:color w:val="231F20"/>
                <w:sz w:val="14"/>
              </w:rPr>
              <w:t>Српске револуције, ослободилачких</w:t>
            </w:r>
            <w:r>
              <w:rPr>
                <w:color w:val="231F20"/>
                <w:spacing w:val="-23"/>
                <w:sz w:val="14"/>
              </w:rPr>
              <w:t xml:space="preserve"> </w:t>
            </w:r>
            <w:r>
              <w:rPr>
                <w:color w:val="231F20"/>
                <w:sz w:val="14"/>
              </w:rPr>
              <w:t>ратова 1876 ­ 1878, Балканских ратова и Првог светског</w:t>
            </w:r>
            <w:r>
              <w:rPr>
                <w:color w:val="231F20"/>
                <w:spacing w:val="-2"/>
                <w:sz w:val="14"/>
              </w:rPr>
              <w:t xml:space="preserve"> </w:t>
            </w:r>
            <w:r>
              <w:rPr>
                <w:color w:val="231F20"/>
                <w:sz w:val="14"/>
              </w:rPr>
              <w:t>рата;</w:t>
            </w:r>
          </w:p>
          <w:p w:rsidR="00041039" w:rsidRDefault="001B26CB">
            <w:pPr>
              <w:pStyle w:val="TableParagraph"/>
              <w:numPr>
                <w:ilvl w:val="0"/>
                <w:numId w:val="344"/>
              </w:numPr>
              <w:tabs>
                <w:tab w:val="left" w:pos="157"/>
              </w:tabs>
              <w:spacing w:line="160" w:lineRule="exact"/>
              <w:ind w:right="248" w:hanging="99"/>
              <w:rPr>
                <w:sz w:val="14"/>
              </w:rPr>
            </w:pPr>
            <w:r>
              <w:rPr>
                <w:color w:val="231F20"/>
                <w:sz w:val="14"/>
              </w:rPr>
              <w:t>уочи</w:t>
            </w:r>
            <w:r>
              <w:rPr>
                <w:color w:val="231F20"/>
                <w:spacing w:val="-6"/>
                <w:sz w:val="14"/>
              </w:rPr>
              <w:t xml:space="preserve"> </w:t>
            </w:r>
            <w:r>
              <w:rPr>
                <w:color w:val="231F20"/>
                <w:sz w:val="14"/>
              </w:rPr>
              <w:t>и</w:t>
            </w:r>
            <w:r>
              <w:rPr>
                <w:color w:val="231F20"/>
                <w:spacing w:val="-7"/>
                <w:sz w:val="14"/>
              </w:rPr>
              <w:t xml:space="preserve"> </w:t>
            </w:r>
            <w:r>
              <w:rPr>
                <w:color w:val="231F20"/>
                <w:sz w:val="14"/>
              </w:rPr>
              <w:t>објасни</w:t>
            </w:r>
            <w:r>
              <w:rPr>
                <w:color w:val="231F20"/>
                <w:spacing w:val="-6"/>
                <w:sz w:val="14"/>
              </w:rPr>
              <w:t xml:space="preserve"> </w:t>
            </w:r>
            <w:r>
              <w:rPr>
                <w:color w:val="231F20"/>
                <w:sz w:val="14"/>
              </w:rPr>
              <w:t>на</w:t>
            </w:r>
            <w:r>
              <w:rPr>
                <w:color w:val="231F20"/>
                <w:spacing w:val="-7"/>
                <w:sz w:val="14"/>
              </w:rPr>
              <w:t xml:space="preserve"> </w:t>
            </w:r>
            <w:r>
              <w:rPr>
                <w:color w:val="231F20"/>
                <w:sz w:val="14"/>
              </w:rPr>
              <w:t>историјској</w:t>
            </w:r>
            <w:r>
              <w:rPr>
                <w:color w:val="231F20"/>
                <w:spacing w:val="-6"/>
                <w:sz w:val="14"/>
              </w:rPr>
              <w:t xml:space="preserve"> </w:t>
            </w:r>
            <w:r>
              <w:rPr>
                <w:color w:val="231F20"/>
                <w:sz w:val="14"/>
              </w:rPr>
              <w:t>карти промене граница српске</w:t>
            </w:r>
            <w:r>
              <w:rPr>
                <w:color w:val="231F20"/>
                <w:spacing w:val="-7"/>
                <w:sz w:val="14"/>
              </w:rPr>
              <w:t xml:space="preserve"> </w:t>
            </w:r>
            <w:r>
              <w:rPr>
                <w:color w:val="231F20"/>
                <w:sz w:val="14"/>
              </w:rPr>
              <w:t>државе;</w:t>
            </w:r>
          </w:p>
          <w:p w:rsidR="00041039" w:rsidRDefault="001B26CB">
            <w:pPr>
              <w:pStyle w:val="TableParagraph"/>
              <w:numPr>
                <w:ilvl w:val="0"/>
                <w:numId w:val="344"/>
              </w:numPr>
              <w:tabs>
                <w:tab w:val="left" w:pos="157"/>
              </w:tabs>
              <w:spacing w:before="1" w:line="160" w:lineRule="exact"/>
              <w:ind w:right="114" w:hanging="99"/>
              <w:rPr>
                <w:sz w:val="14"/>
              </w:rPr>
            </w:pPr>
            <w:r>
              <w:rPr>
                <w:color w:val="231F20"/>
                <w:sz w:val="14"/>
              </w:rPr>
              <w:t>лоцира места најважнијих битака</w:t>
            </w:r>
            <w:r>
              <w:rPr>
                <w:color w:val="231F20"/>
                <w:spacing w:val="-16"/>
                <w:sz w:val="14"/>
              </w:rPr>
              <w:t xml:space="preserve"> </w:t>
            </w:r>
            <w:r>
              <w:rPr>
                <w:color w:val="231F20"/>
                <w:sz w:val="14"/>
              </w:rPr>
              <w:t xml:space="preserve">које су вођене </w:t>
            </w:r>
            <w:r>
              <w:rPr>
                <w:color w:val="231F20"/>
                <w:spacing w:val="-3"/>
                <w:sz w:val="14"/>
              </w:rPr>
              <w:t xml:space="preserve">током </w:t>
            </w:r>
            <w:r>
              <w:rPr>
                <w:color w:val="231F20"/>
                <w:sz w:val="14"/>
              </w:rPr>
              <w:t>Српске револуц</w:t>
            </w:r>
            <w:r>
              <w:rPr>
                <w:color w:val="231F20"/>
                <w:sz w:val="14"/>
              </w:rPr>
              <w:t>ије, ослободилачких ратова 1876 ­ 1878. Балканских ратова и Првог светског рата;</w:t>
            </w:r>
          </w:p>
        </w:tc>
        <w:tc>
          <w:tcPr>
            <w:tcW w:w="2834" w:type="dxa"/>
          </w:tcPr>
          <w:p w:rsidR="00041039" w:rsidRDefault="001B26CB">
            <w:pPr>
              <w:pStyle w:val="TableParagraph"/>
              <w:numPr>
                <w:ilvl w:val="0"/>
                <w:numId w:val="343"/>
              </w:numPr>
              <w:tabs>
                <w:tab w:val="left" w:pos="157"/>
              </w:tabs>
              <w:spacing w:before="9" w:line="166" w:lineRule="exact"/>
              <w:ind w:hanging="99"/>
              <w:rPr>
                <w:sz w:val="14"/>
              </w:rPr>
            </w:pPr>
            <w:r>
              <w:rPr>
                <w:color w:val="231F20"/>
                <w:sz w:val="14"/>
              </w:rPr>
              <w:t xml:space="preserve">Српска државност у средњем </w:t>
            </w:r>
            <w:r>
              <w:rPr>
                <w:color w:val="231F20"/>
                <w:spacing w:val="-4"/>
                <w:sz w:val="14"/>
              </w:rPr>
              <w:t>веку.</w:t>
            </w:r>
          </w:p>
          <w:p w:rsidR="00041039" w:rsidRDefault="001B26CB">
            <w:pPr>
              <w:pStyle w:val="TableParagraph"/>
              <w:numPr>
                <w:ilvl w:val="0"/>
                <w:numId w:val="343"/>
              </w:numPr>
              <w:tabs>
                <w:tab w:val="left" w:pos="157"/>
              </w:tabs>
              <w:spacing w:line="237" w:lineRule="auto"/>
              <w:ind w:right="177" w:hanging="99"/>
              <w:rPr>
                <w:sz w:val="14"/>
              </w:rPr>
            </w:pPr>
            <w:r>
              <w:rPr>
                <w:color w:val="231F20"/>
                <w:sz w:val="14"/>
              </w:rPr>
              <w:t>Српски народ и његови суседи у</w:t>
            </w:r>
            <w:r>
              <w:rPr>
                <w:color w:val="231F20"/>
                <w:spacing w:val="-19"/>
                <w:sz w:val="14"/>
              </w:rPr>
              <w:t xml:space="preserve"> </w:t>
            </w:r>
            <w:r>
              <w:rPr>
                <w:color w:val="231F20"/>
                <w:sz w:val="14"/>
              </w:rPr>
              <w:t xml:space="preserve">средњем </w:t>
            </w:r>
            <w:r>
              <w:rPr>
                <w:color w:val="231F20"/>
                <w:spacing w:val="-4"/>
                <w:sz w:val="14"/>
              </w:rPr>
              <w:t>веку.</w:t>
            </w:r>
          </w:p>
          <w:p w:rsidR="00041039" w:rsidRDefault="001B26CB">
            <w:pPr>
              <w:pStyle w:val="TableParagraph"/>
              <w:numPr>
                <w:ilvl w:val="0"/>
                <w:numId w:val="343"/>
              </w:numPr>
              <w:tabs>
                <w:tab w:val="left" w:pos="157"/>
              </w:tabs>
              <w:spacing w:line="160" w:lineRule="exact"/>
              <w:ind w:right="51" w:hanging="99"/>
              <w:rPr>
                <w:sz w:val="14"/>
              </w:rPr>
            </w:pPr>
            <w:r>
              <w:rPr>
                <w:color w:val="231F20"/>
                <w:sz w:val="14"/>
              </w:rPr>
              <w:t>Положај</w:t>
            </w:r>
            <w:r>
              <w:rPr>
                <w:color w:val="231F20"/>
                <w:spacing w:val="-10"/>
                <w:sz w:val="14"/>
              </w:rPr>
              <w:t xml:space="preserve"> </w:t>
            </w:r>
            <w:r>
              <w:rPr>
                <w:color w:val="231F20"/>
                <w:sz w:val="14"/>
              </w:rPr>
              <w:t>Срба</w:t>
            </w:r>
            <w:r>
              <w:rPr>
                <w:color w:val="231F20"/>
                <w:spacing w:val="-10"/>
                <w:sz w:val="14"/>
              </w:rPr>
              <w:t xml:space="preserve"> </w:t>
            </w:r>
            <w:r>
              <w:rPr>
                <w:color w:val="231F20"/>
                <w:sz w:val="14"/>
              </w:rPr>
              <w:t>под</w:t>
            </w:r>
            <w:r>
              <w:rPr>
                <w:color w:val="231F20"/>
                <w:spacing w:val="-10"/>
                <w:sz w:val="14"/>
              </w:rPr>
              <w:t xml:space="preserve"> </w:t>
            </w:r>
            <w:r>
              <w:rPr>
                <w:color w:val="231F20"/>
                <w:sz w:val="14"/>
              </w:rPr>
              <w:t>османском,</w:t>
            </w:r>
            <w:r>
              <w:rPr>
                <w:color w:val="231F20"/>
                <w:spacing w:val="-10"/>
                <w:sz w:val="14"/>
              </w:rPr>
              <w:t xml:space="preserve"> </w:t>
            </w:r>
            <w:r>
              <w:rPr>
                <w:color w:val="231F20"/>
                <w:sz w:val="14"/>
              </w:rPr>
              <w:t>хабзбуршком и млетачком влашћу (ХVI ­ ХVIII</w:t>
            </w:r>
            <w:r>
              <w:rPr>
                <w:color w:val="231F20"/>
                <w:spacing w:val="-16"/>
                <w:sz w:val="14"/>
              </w:rPr>
              <w:t xml:space="preserve"> </w:t>
            </w:r>
            <w:r>
              <w:rPr>
                <w:color w:val="231F20"/>
                <w:sz w:val="14"/>
              </w:rPr>
              <w:t>век).</w:t>
            </w:r>
          </w:p>
          <w:p w:rsidR="00041039" w:rsidRDefault="001B26CB">
            <w:pPr>
              <w:pStyle w:val="TableParagraph"/>
              <w:numPr>
                <w:ilvl w:val="0"/>
                <w:numId w:val="343"/>
              </w:numPr>
              <w:tabs>
                <w:tab w:val="left" w:pos="157"/>
              </w:tabs>
              <w:spacing w:line="160" w:lineRule="exact"/>
              <w:ind w:right="345" w:hanging="99"/>
              <w:rPr>
                <w:sz w:val="14"/>
              </w:rPr>
            </w:pPr>
            <w:r>
              <w:rPr>
                <w:color w:val="231F20"/>
                <w:sz w:val="14"/>
              </w:rPr>
              <w:t>Српска револуција 1804 ­ 1835. и</w:t>
            </w:r>
            <w:r>
              <w:rPr>
                <w:color w:val="231F20"/>
                <w:spacing w:val="-16"/>
                <w:sz w:val="14"/>
              </w:rPr>
              <w:t xml:space="preserve"> </w:t>
            </w:r>
            <w:r>
              <w:rPr>
                <w:color w:val="231F20"/>
                <w:sz w:val="14"/>
              </w:rPr>
              <w:t>њено место у контексту европских</w:t>
            </w:r>
            <w:r>
              <w:rPr>
                <w:color w:val="231F20"/>
                <w:spacing w:val="-14"/>
                <w:sz w:val="14"/>
              </w:rPr>
              <w:t xml:space="preserve"> </w:t>
            </w:r>
            <w:r>
              <w:rPr>
                <w:color w:val="231F20"/>
                <w:sz w:val="14"/>
              </w:rPr>
              <w:t>збивања.</w:t>
            </w:r>
          </w:p>
          <w:p w:rsidR="00041039" w:rsidRDefault="001B26CB">
            <w:pPr>
              <w:pStyle w:val="TableParagraph"/>
              <w:numPr>
                <w:ilvl w:val="0"/>
                <w:numId w:val="343"/>
              </w:numPr>
              <w:tabs>
                <w:tab w:val="left" w:pos="157"/>
              </w:tabs>
              <w:spacing w:line="153" w:lineRule="exact"/>
              <w:ind w:hanging="99"/>
              <w:rPr>
                <w:sz w:val="14"/>
              </w:rPr>
            </w:pPr>
            <w:r>
              <w:rPr>
                <w:color w:val="231F20"/>
                <w:sz w:val="14"/>
              </w:rPr>
              <w:t>Развој државних</w:t>
            </w:r>
            <w:r>
              <w:rPr>
                <w:color w:val="231F20"/>
                <w:spacing w:val="-1"/>
                <w:sz w:val="14"/>
              </w:rPr>
              <w:t xml:space="preserve"> </w:t>
            </w:r>
            <w:r>
              <w:rPr>
                <w:color w:val="231F20"/>
                <w:sz w:val="14"/>
              </w:rPr>
              <w:t>институција.</w:t>
            </w:r>
          </w:p>
          <w:p w:rsidR="00041039" w:rsidRDefault="001B26CB">
            <w:pPr>
              <w:pStyle w:val="TableParagraph"/>
              <w:numPr>
                <w:ilvl w:val="0"/>
                <w:numId w:val="343"/>
              </w:numPr>
              <w:tabs>
                <w:tab w:val="left" w:pos="157"/>
              </w:tabs>
              <w:spacing w:line="160" w:lineRule="exact"/>
              <w:ind w:hanging="99"/>
              <w:rPr>
                <w:sz w:val="14"/>
              </w:rPr>
            </w:pPr>
            <w:r>
              <w:rPr>
                <w:color w:val="231F20"/>
                <w:sz w:val="14"/>
              </w:rPr>
              <w:t>Развој уставности.</w:t>
            </w:r>
          </w:p>
          <w:p w:rsidR="00041039" w:rsidRDefault="001B26CB">
            <w:pPr>
              <w:pStyle w:val="TableParagraph"/>
              <w:numPr>
                <w:ilvl w:val="0"/>
                <w:numId w:val="343"/>
              </w:numPr>
              <w:tabs>
                <w:tab w:val="left" w:pos="157"/>
              </w:tabs>
              <w:spacing w:line="237" w:lineRule="auto"/>
              <w:ind w:right="65" w:hanging="99"/>
              <w:rPr>
                <w:sz w:val="14"/>
              </w:rPr>
            </w:pPr>
            <w:r>
              <w:rPr>
                <w:color w:val="231F20"/>
                <w:spacing w:val="-4"/>
                <w:sz w:val="14"/>
              </w:rPr>
              <w:t xml:space="preserve">Улога </w:t>
            </w:r>
            <w:r>
              <w:rPr>
                <w:color w:val="231F20"/>
                <w:sz w:val="14"/>
              </w:rPr>
              <w:t>модерних династија (Карађорђевићи, Обреновићи, Петровићи) у развоју српске државности.</w:t>
            </w:r>
          </w:p>
          <w:p w:rsidR="00041039" w:rsidRDefault="001B26CB">
            <w:pPr>
              <w:pStyle w:val="TableParagraph"/>
              <w:numPr>
                <w:ilvl w:val="0"/>
                <w:numId w:val="343"/>
              </w:numPr>
              <w:tabs>
                <w:tab w:val="left" w:pos="157"/>
              </w:tabs>
              <w:spacing w:line="237" w:lineRule="auto"/>
              <w:ind w:right="135" w:hanging="99"/>
              <w:rPr>
                <w:sz w:val="14"/>
              </w:rPr>
            </w:pPr>
            <w:r>
              <w:rPr>
                <w:color w:val="231F20"/>
                <w:sz w:val="14"/>
              </w:rPr>
              <w:t xml:space="preserve">Ратови Србије и Црне </w:t>
            </w:r>
            <w:r>
              <w:rPr>
                <w:color w:val="231F20"/>
                <w:spacing w:val="-4"/>
                <w:sz w:val="14"/>
              </w:rPr>
              <w:t xml:space="preserve">Горе </w:t>
            </w:r>
            <w:r>
              <w:rPr>
                <w:color w:val="231F20"/>
                <w:sz w:val="14"/>
              </w:rPr>
              <w:t>за независност 1876 ­ 1878.</w:t>
            </w:r>
          </w:p>
          <w:p w:rsidR="00041039" w:rsidRDefault="001B26CB">
            <w:pPr>
              <w:pStyle w:val="TableParagraph"/>
              <w:numPr>
                <w:ilvl w:val="0"/>
                <w:numId w:val="343"/>
              </w:numPr>
              <w:tabs>
                <w:tab w:val="left" w:pos="157"/>
              </w:tabs>
              <w:spacing w:line="160" w:lineRule="exact"/>
              <w:ind w:right="86" w:hanging="99"/>
              <w:rPr>
                <w:sz w:val="14"/>
              </w:rPr>
            </w:pPr>
            <w:r>
              <w:rPr>
                <w:color w:val="231F20"/>
                <w:sz w:val="14"/>
              </w:rPr>
              <w:t>Формирање модерног политичког система и настанак странака (радикалне, либералне и</w:t>
            </w:r>
            <w:r>
              <w:rPr>
                <w:color w:val="231F20"/>
                <w:spacing w:val="-2"/>
                <w:sz w:val="14"/>
              </w:rPr>
              <w:t xml:space="preserve"> </w:t>
            </w:r>
            <w:r>
              <w:rPr>
                <w:color w:val="231F20"/>
                <w:sz w:val="14"/>
              </w:rPr>
              <w:t>напредњачке).</w:t>
            </w:r>
          </w:p>
          <w:p w:rsidR="00041039" w:rsidRDefault="001B26CB">
            <w:pPr>
              <w:pStyle w:val="TableParagraph"/>
              <w:numPr>
                <w:ilvl w:val="0"/>
                <w:numId w:val="343"/>
              </w:numPr>
              <w:tabs>
                <w:tab w:val="left" w:pos="157"/>
              </w:tabs>
              <w:spacing w:line="160" w:lineRule="exact"/>
              <w:ind w:right="146" w:hanging="99"/>
              <w:rPr>
                <w:sz w:val="14"/>
              </w:rPr>
            </w:pPr>
            <w:r>
              <w:rPr>
                <w:color w:val="231F20"/>
                <w:sz w:val="14"/>
              </w:rPr>
              <w:t>Положај</w:t>
            </w:r>
            <w:r>
              <w:rPr>
                <w:color w:val="231F20"/>
                <w:spacing w:val="-6"/>
                <w:sz w:val="14"/>
              </w:rPr>
              <w:t xml:space="preserve"> </w:t>
            </w:r>
            <w:r>
              <w:rPr>
                <w:color w:val="231F20"/>
                <w:sz w:val="14"/>
              </w:rPr>
              <w:t>Срба</w:t>
            </w:r>
            <w:r>
              <w:rPr>
                <w:color w:val="231F20"/>
                <w:spacing w:val="-6"/>
                <w:sz w:val="14"/>
              </w:rPr>
              <w:t xml:space="preserve"> </w:t>
            </w:r>
            <w:r>
              <w:rPr>
                <w:color w:val="231F20"/>
                <w:sz w:val="14"/>
              </w:rPr>
              <w:t>под</w:t>
            </w:r>
            <w:r>
              <w:rPr>
                <w:color w:val="231F20"/>
                <w:spacing w:val="-6"/>
                <w:sz w:val="14"/>
              </w:rPr>
              <w:t xml:space="preserve"> </w:t>
            </w:r>
            <w:r>
              <w:rPr>
                <w:color w:val="231F20"/>
                <w:sz w:val="14"/>
              </w:rPr>
              <w:t>османском</w:t>
            </w:r>
            <w:r>
              <w:rPr>
                <w:color w:val="231F20"/>
                <w:spacing w:val="-6"/>
                <w:sz w:val="14"/>
              </w:rPr>
              <w:t xml:space="preserve"> </w:t>
            </w:r>
            <w:r>
              <w:rPr>
                <w:color w:val="231F20"/>
                <w:sz w:val="14"/>
              </w:rPr>
              <w:t>и</w:t>
            </w:r>
            <w:r>
              <w:rPr>
                <w:color w:val="231F20"/>
                <w:spacing w:val="-7"/>
                <w:sz w:val="14"/>
              </w:rPr>
              <w:t xml:space="preserve"> </w:t>
            </w:r>
            <w:r>
              <w:rPr>
                <w:color w:val="231F20"/>
                <w:sz w:val="14"/>
              </w:rPr>
              <w:t xml:space="preserve">хабзбурш­ </w:t>
            </w:r>
            <w:r>
              <w:rPr>
                <w:color w:val="231F20"/>
                <w:spacing w:val="-4"/>
                <w:sz w:val="14"/>
              </w:rPr>
              <w:t xml:space="preserve">ком </w:t>
            </w:r>
            <w:r>
              <w:rPr>
                <w:color w:val="231F20"/>
                <w:sz w:val="14"/>
              </w:rPr>
              <w:t>влашћу у XIX и почетком XX</w:t>
            </w:r>
            <w:r>
              <w:rPr>
                <w:color w:val="231F20"/>
                <w:spacing w:val="-16"/>
                <w:sz w:val="14"/>
              </w:rPr>
              <w:t xml:space="preserve"> </w:t>
            </w:r>
            <w:r>
              <w:rPr>
                <w:color w:val="231F20"/>
                <w:sz w:val="14"/>
              </w:rPr>
              <w:t>века.</w:t>
            </w:r>
          </w:p>
        </w:tc>
        <w:tc>
          <w:tcPr>
            <w:tcW w:w="2267" w:type="dxa"/>
          </w:tcPr>
          <w:p w:rsidR="00041039" w:rsidRDefault="001B26CB">
            <w:pPr>
              <w:pStyle w:val="TableParagraph"/>
              <w:numPr>
                <w:ilvl w:val="0"/>
                <w:numId w:val="342"/>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 xml:space="preserve">исходима </w:t>
            </w:r>
            <w:r>
              <w:rPr>
                <w:color w:val="231F20"/>
                <w:sz w:val="14"/>
              </w:rPr>
              <w:t>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342"/>
              </w:numPr>
              <w:tabs>
                <w:tab w:val="left" w:pos="158"/>
              </w:tabs>
              <w:spacing w:line="160"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342"/>
              </w:numPr>
              <w:tabs>
                <w:tab w:val="left" w:pos="158"/>
              </w:tabs>
              <w:spacing w:line="237" w:lineRule="auto"/>
              <w:ind w:right="264" w:hanging="99"/>
              <w:jc w:val="both"/>
              <w:rPr>
                <w:sz w:val="14"/>
              </w:rPr>
            </w:pPr>
            <w:r>
              <w:rPr>
                <w:color w:val="231F20"/>
                <w:sz w:val="14"/>
              </w:rPr>
              <w:t>Теоријска настава се</w:t>
            </w:r>
            <w:r>
              <w:rPr>
                <w:color w:val="231F20"/>
                <w:spacing w:val="-14"/>
                <w:sz w:val="14"/>
              </w:rPr>
              <w:t xml:space="preserve"> </w:t>
            </w:r>
            <w:r>
              <w:rPr>
                <w:color w:val="231F20"/>
                <w:sz w:val="14"/>
              </w:rPr>
              <w:t>реализује у учионици или</w:t>
            </w:r>
            <w:r>
              <w:rPr>
                <w:color w:val="231F20"/>
                <w:spacing w:val="-12"/>
                <w:sz w:val="14"/>
              </w:rPr>
              <w:t xml:space="preserve"> </w:t>
            </w:r>
            <w:r>
              <w:rPr>
                <w:color w:val="231F20"/>
                <w:sz w:val="14"/>
              </w:rPr>
              <w:t xml:space="preserve">одговарајућем </w:t>
            </w:r>
            <w:r>
              <w:rPr>
                <w:color w:val="231F20"/>
                <w:spacing w:val="-3"/>
                <w:sz w:val="14"/>
              </w:rPr>
              <w:t>кабинету.</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342"/>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342"/>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tc>
      </w:tr>
    </w:tbl>
    <w:p w:rsidR="00041039" w:rsidRDefault="00041039">
      <w:pPr>
        <w:spacing w:line="166"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24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1B26CB">
            <w:pPr>
              <w:pStyle w:val="TableParagraph"/>
              <w:numPr>
                <w:ilvl w:val="0"/>
                <w:numId w:val="341"/>
              </w:numPr>
              <w:tabs>
                <w:tab w:val="left" w:pos="157"/>
              </w:tabs>
              <w:spacing w:before="8"/>
              <w:ind w:right="313" w:hanging="99"/>
              <w:rPr>
                <w:sz w:val="14"/>
              </w:rPr>
            </w:pPr>
            <w:r>
              <w:rPr>
                <w:color w:val="231F20"/>
                <w:sz w:val="14"/>
              </w:rPr>
              <w:t>опише улогу истакнутих личности у Српској револуцији, у</w:t>
            </w:r>
            <w:r>
              <w:rPr>
                <w:color w:val="231F20"/>
                <w:spacing w:val="-9"/>
                <w:sz w:val="14"/>
              </w:rPr>
              <w:t xml:space="preserve"> </w:t>
            </w:r>
            <w:r>
              <w:rPr>
                <w:color w:val="231F20"/>
                <w:sz w:val="14"/>
              </w:rPr>
              <w:t>развоју</w:t>
            </w:r>
          </w:p>
          <w:p w:rsidR="00041039" w:rsidRDefault="001B26CB">
            <w:pPr>
              <w:pStyle w:val="TableParagraph"/>
              <w:spacing w:line="237" w:lineRule="auto"/>
              <w:ind w:right="109"/>
              <w:rPr>
                <w:sz w:val="14"/>
              </w:rPr>
            </w:pPr>
            <w:r>
              <w:rPr>
                <w:color w:val="231F20"/>
                <w:sz w:val="14"/>
              </w:rPr>
              <w:t>државних институција и формирању модерног политичког система, у ослободилачким ратовима 1876 ­ 1878, Балканским ратовима и Првом светском рату;</w:t>
            </w:r>
          </w:p>
          <w:p w:rsidR="00041039" w:rsidRDefault="001B26CB">
            <w:pPr>
              <w:pStyle w:val="TableParagraph"/>
              <w:numPr>
                <w:ilvl w:val="0"/>
                <w:numId w:val="341"/>
              </w:numPr>
              <w:tabs>
                <w:tab w:val="left" w:pos="157"/>
              </w:tabs>
              <w:spacing w:line="237" w:lineRule="auto"/>
              <w:ind w:right="173" w:hanging="99"/>
              <w:rPr>
                <w:sz w:val="14"/>
              </w:rPr>
            </w:pPr>
            <w:r>
              <w:rPr>
                <w:color w:val="231F20"/>
                <w:sz w:val="14"/>
              </w:rPr>
              <w:t>изведе закључак о значају устав­ ности за развој модерног</w:t>
            </w:r>
            <w:r>
              <w:rPr>
                <w:color w:val="231F20"/>
                <w:spacing w:val="-20"/>
                <w:sz w:val="14"/>
              </w:rPr>
              <w:t xml:space="preserve"> </w:t>
            </w:r>
            <w:r>
              <w:rPr>
                <w:color w:val="231F20"/>
                <w:sz w:val="14"/>
              </w:rPr>
              <w:t>политичког система;</w:t>
            </w:r>
          </w:p>
        </w:tc>
        <w:tc>
          <w:tcPr>
            <w:tcW w:w="2834" w:type="dxa"/>
          </w:tcPr>
          <w:p w:rsidR="00041039" w:rsidRDefault="001B26CB">
            <w:pPr>
              <w:pStyle w:val="TableParagraph"/>
              <w:numPr>
                <w:ilvl w:val="0"/>
                <w:numId w:val="340"/>
              </w:numPr>
              <w:tabs>
                <w:tab w:val="left" w:pos="157"/>
              </w:tabs>
              <w:spacing w:before="8"/>
              <w:ind w:right="217" w:hanging="99"/>
              <w:rPr>
                <w:sz w:val="14"/>
              </w:rPr>
            </w:pPr>
            <w:r>
              <w:rPr>
                <w:color w:val="231F20"/>
                <w:sz w:val="14"/>
              </w:rPr>
              <w:t xml:space="preserve">Србија и Црна </w:t>
            </w:r>
            <w:r>
              <w:rPr>
                <w:color w:val="231F20"/>
                <w:spacing w:val="-4"/>
                <w:sz w:val="14"/>
              </w:rPr>
              <w:t xml:space="preserve">Гора </w:t>
            </w:r>
            <w:r>
              <w:rPr>
                <w:color w:val="231F20"/>
                <w:sz w:val="14"/>
              </w:rPr>
              <w:t>у Балканским ра</w:t>
            </w:r>
            <w:r>
              <w:rPr>
                <w:color w:val="231F20"/>
                <w:sz w:val="14"/>
              </w:rPr>
              <w:t xml:space="preserve">товима и Првом светском </w:t>
            </w:r>
            <w:r>
              <w:rPr>
                <w:color w:val="231F20"/>
                <w:spacing w:val="-4"/>
                <w:sz w:val="14"/>
              </w:rPr>
              <w:t xml:space="preserve">рату. </w:t>
            </w:r>
            <w:r>
              <w:rPr>
                <w:color w:val="231F20"/>
                <w:sz w:val="14"/>
              </w:rPr>
              <w:t>Најзначајније личности (вожд</w:t>
            </w:r>
            <w:r>
              <w:rPr>
                <w:color w:val="231F20"/>
                <w:spacing w:val="-17"/>
                <w:sz w:val="14"/>
              </w:rPr>
              <w:t xml:space="preserve"> </w:t>
            </w:r>
            <w:r>
              <w:rPr>
                <w:color w:val="231F20"/>
                <w:sz w:val="14"/>
              </w:rPr>
              <w:t xml:space="preserve">Карађорђе Петровић, кнез Милош Обреновић, прота Матеја Ненадовић, митрополит Стефан Стратимировић, Димитрије Давидовић, </w:t>
            </w:r>
            <w:r>
              <w:rPr>
                <w:color w:val="231F20"/>
                <w:spacing w:val="-4"/>
                <w:sz w:val="14"/>
              </w:rPr>
              <w:t xml:space="preserve">Тома </w:t>
            </w:r>
            <w:r>
              <w:rPr>
                <w:color w:val="231F20"/>
                <w:sz w:val="14"/>
              </w:rPr>
              <w:t>Вучић</w:t>
            </w:r>
            <w:r>
              <w:rPr>
                <w:color w:val="231F20"/>
                <w:spacing w:val="-1"/>
                <w:sz w:val="14"/>
              </w:rPr>
              <w:t xml:space="preserve"> </w:t>
            </w:r>
            <w:r>
              <w:rPr>
                <w:color w:val="231F20"/>
                <w:sz w:val="14"/>
              </w:rPr>
              <w:t>Перишић,</w:t>
            </w:r>
          </w:p>
          <w:p w:rsidR="00041039" w:rsidRDefault="001B26CB">
            <w:pPr>
              <w:pStyle w:val="TableParagraph"/>
              <w:spacing w:line="237" w:lineRule="auto"/>
              <w:ind w:right="169"/>
              <w:rPr>
                <w:sz w:val="14"/>
              </w:rPr>
            </w:pPr>
            <w:r>
              <w:rPr>
                <w:color w:val="231F20"/>
                <w:sz w:val="14"/>
              </w:rPr>
              <w:t>Илија Гарашанин, кнез Александар Карађорђевић, кнез Михаило Обреновић, Владимир Јовановић, Светозар Милетић. краљ Милан Обреновић, владика Петар</w:t>
            </w:r>
          </w:p>
          <w:p w:rsidR="00041039" w:rsidRDefault="001B26CB">
            <w:pPr>
              <w:pStyle w:val="TableParagraph"/>
              <w:ind w:right="84"/>
              <w:rPr>
                <w:sz w:val="14"/>
              </w:rPr>
            </w:pPr>
            <w:r>
              <w:rPr>
                <w:color w:val="231F20"/>
                <w:sz w:val="14"/>
              </w:rPr>
              <w:t>I Петровић, владика Петар II Петровић. књаз Данило Петровић, књаз Никола Петровић, Лука Вукаловић, Јован Ристић</w:t>
            </w:r>
            <w:r>
              <w:rPr>
                <w:color w:val="231F20"/>
                <w:sz w:val="14"/>
              </w:rPr>
              <w:t>, Стојан Новаковић, Никола Пашић, краљ Александар Обреновић, краљ Петар</w:t>
            </w:r>
          </w:p>
          <w:p w:rsidR="00041039" w:rsidRDefault="001B26CB">
            <w:pPr>
              <w:pStyle w:val="TableParagraph"/>
              <w:spacing w:line="237" w:lineRule="auto"/>
              <w:ind w:right="84"/>
              <w:rPr>
                <w:sz w:val="14"/>
              </w:rPr>
            </w:pPr>
            <w:r>
              <w:rPr>
                <w:color w:val="231F20"/>
                <w:sz w:val="14"/>
              </w:rPr>
              <w:t>I Карађорђевић, престолонаследник Александар Карађорђевић, Радомир Путник, Степа Степановић, Живојин Мишић, Петар Бојовић, Јанко Вукотић...).</w:t>
            </w:r>
          </w:p>
        </w:tc>
        <w:tc>
          <w:tcPr>
            <w:tcW w:w="2267" w:type="dxa"/>
            <w:vMerge w:val="restart"/>
          </w:tcPr>
          <w:p w:rsidR="00041039" w:rsidRDefault="001B26CB">
            <w:pPr>
              <w:pStyle w:val="TableParagraph"/>
              <w:spacing w:before="16" w:line="155" w:lineRule="exact"/>
              <w:ind w:left="57"/>
              <w:rPr>
                <w:b/>
                <w:sz w:val="14"/>
              </w:rPr>
            </w:pPr>
            <w:r>
              <w:rPr>
                <w:b/>
                <w:color w:val="231F20"/>
                <w:sz w:val="14"/>
              </w:rPr>
              <w:t>Оквирни број часова по темама</w:t>
            </w:r>
          </w:p>
          <w:p w:rsidR="00041039" w:rsidRDefault="001B26CB">
            <w:pPr>
              <w:pStyle w:val="TableParagraph"/>
              <w:numPr>
                <w:ilvl w:val="0"/>
                <w:numId w:val="339"/>
              </w:numPr>
              <w:tabs>
                <w:tab w:val="left" w:pos="158"/>
              </w:tabs>
              <w:spacing w:line="237" w:lineRule="auto"/>
              <w:ind w:right="202"/>
              <w:rPr>
                <w:b/>
                <w:sz w:val="14"/>
              </w:rPr>
            </w:pPr>
            <w:r>
              <w:rPr>
                <w:color w:val="231F20"/>
                <w:sz w:val="14"/>
              </w:rPr>
              <w:t>Српска држав</w:t>
            </w:r>
            <w:r>
              <w:rPr>
                <w:color w:val="231F20"/>
                <w:sz w:val="14"/>
              </w:rPr>
              <w:t xml:space="preserve">а и државност </w:t>
            </w:r>
            <w:r>
              <w:rPr>
                <w:b/>
                <w:color w:val="231F20"/>
                <w:sz w:val="14"/>
              </w:rPr>
              <w:t>(32 часа)</w:t>
            </w:r>
          </w:p>
          <w:p w:rsidR="00041039" w:rsidRDefault="001B26CB">
            <w:pPr>
              <w:pStyle w:val="TableParagraph"/>
              <w:numPr>
                <w:ilvl w:val="0"/>
                <w:numId w:val="339"/>
              </w:numPr>
              <w:tabs>
                <w:tab w:val="left" w:pos="158"/>
              </w:tabs>
              <w:spacing w:line="160" w:lineRule="exact"/>
              <w:ind w:right="262"/>
              <w:rPr>
                <w:b/>
                <w:sz w:val="14"/>
              </w:rPr>
            </w:pPr>
            <w:r>
              <w:rPr>
                <w:color w:val="231F20"/>
                <w:sz w:val="14"/>
              </w:rPr>
              <w:t>Српски народ у</w:t>
            </w:r>
            <w:r>
              <w:rPr>
                <w:color w:val="231F20"/>
                <w:spacing w:val="-17"/>
                <w:sz w:val="14"/>
              </w:rPr>
              <w:t xml:space="preserve"> </w:t>
            </w:r>
            <w:r>
              <w:rPr>
                <w:color w:val="231F20"/>
                <w:sz w:val="14"/>
              </w:rPr>
              <w:t xml:space="preserve">југословенској држави </w:t>
            </w:r>
            <w:r>
              <w:rPr>
                <w:b/>
                <w:color w:val="231F20"/>
                <w:sz w:val="14"/>
              </w:rPr>
              <w:t>(18</w:t>
            </w:r>
            <w:r>
              <w:rPr>
                <w:b/>
                <w:color w:val="231F20"/>
                <w:spacing w:val="-2"/>
                <w:sz w:val="14"/>
              </w:rPr>
              <w:t xml:space="preserve"> </w:t>
            </w:r>
            <w:r>
              <w:rPr>
                <w:b/>
                <w:color w:val="231F20"/>
                <w:sz w:val="14"/>
              </w:rPr>
              <w:t>часова)</w:t>
            </w:r>
          </w:p>
          <w:p w:rsidR="00041039" w:rsidRDefault="001B26CB">
            <w:pPr>
              <w:pStyle w:val="TableParagraph"/>
              <w:numPr>
                <w:ilvl w:val="0"/>
                <w:numId w:val="339"/>
              </w:numPr>
              <w:tabs>
                <w:tab w:val="left" w:pos="158"/>
              </w:tabs>
              <w:spacing w:line="160" w:lineRule="exact"/>
              <w:ind w:right="254"/>
              <w:rPr>
                <w:b/>
                <w:sz w:val="14"/>
              </w:rPr>
            </w:pPr>
            <w:r>
              <w:rPr>
                <w:color w:val="231F20"/>
                <w:sz w:val="14"/>
              </w:rPr>
              <w:t>Достигнућа српске културе</w:t>
            </w:r>
            <w:r>
              <w:rPr>
                <w:color w:val="231F20"/>
                <w:spacing w:val="-13"/>
                <w:sz w:val="14"/>
              </w:rPr>
              <w:t xml:space="preserve"> </w:t>
            </w:r>
            <w:r>
              <w:rPr>
                <w:b/>
                <w:color w:val="231F20"/>
                <w:spacing w:val="-3"/>
                <w:sz w:val="14"/>
              </w:rPr>
              <w:t xml:space="preserve">(11 </w:t>
            </w:r>
            <w:r>
              <w:rPr>
                <w:b/>
                <w:color w:val="231F20"/>
                <w:sz w:val="14"/>
              </w:rPr>
              <w:t>часова)</w:t>
            </w:r>
          </w:p>
          <w:p w:rsidR="00041039" w:rsidRDefault="001B26CB">
            <w:pPr>
              <w:pStyle w:val="TableParagraph"/>
              <w:numPr>
                <w:ilvl w:val="0"/>
                <w:numId w:val="339"/>
              </w:numPr>
              <w:tabs>
                <w:tab w:val="left" w:pos="158"/>
              </w:tabs>
              <w:spacing w:line="160" w:lineRule="exact"/>
              <w:ind w:right="57"/>
              <w:rPr>
                <w:b/>
                <w:sz w:val="14"/>
              </w:rPr>
            </w:pPr>
            <w:r>
              <w:rPr>
                <w:color w:val="231F20"/>
                <w:sz w:val="14"/>
              </w:rPr>
              <w:t>Српски народ и Србија у</w:t>
            </w:r>
            <w:r>
              <w:rPr>
                <w:color w:val="231F20"/>
                <w:spacing w:val="-9"/>
                <w:sz w:val="14"/>
              </w:rPr>
              <w:t xml:space="preserve"> </w:t>
            </w:r>
            <w:r>
              <w:rPr>
                <w:color w:val="231F20"/>
                <w:sz w:val="14"/>
              </w:rPr>
              <w:t xml:space="preserve">савреме­ ном свету </w:t>
            </w:r>
            <w:r>
              <w:rPr>
                <w:b/>
                <w:color w:val="231F20"/>
                <w:sz w:val="14"/>
              </w:rPr>
              <w:t>(9</w:t>
            </w:r>
            <w:r>
              <w:rPr>
                <w:b/>
                <w:color w:val="231F20"/>
                <w:spacing w:val="-3"/>
                <w:sz w:val="14"/>
              </w:rPr>
              <w:t xml:space="preserve"> </w:t>
            </w:r>
            <w:r>
              <w:rPr>
                <w:b/>
                <w:color w:val="231F20"/>
                <w:sz w:val="14"/>
              </w:rPr>
              <w:t>часова)</w:t>
            </w:r>
          </w:p>
          <w:p w:rsidR="00041039" w:rsidRDefault="00041039">
            <w:pPr>
              <w:pStyle w:val="TableParagraph"/>
              <w:spacing w:before="6"/>
              <w:ind w:left="0"/>
              <w:rPr>
                <w:b/>
                <w:sz w:val="13"/>
              </w:rPr>
            </w:pPr>
          </w:p>
          <w:p w:rsidR="00041039" w:rsidRDefault="001B26CB">
            <w:pPr>
              <w:pStyle w:val="TableParagraph"/>
              <w:ind w:left="57" w:right="157"/>
              <w:rPr>
                <w:b/>
                <w:sz w:val="14"/>
              </w:rPr>
            </w:pPr>
            <w:r>
              <w:rPr>
                <w:b/>
                <w:color w:val="231F20"/>
                <w:sz w:val="14"/>
              </w:rPr>
              <w:t>Препоруке за реализацију садр- жаја програма</w:t>
            </w:r>
          </w:p>
          <w:p w:rsidR="00041039" w:rsidRDefault="001B26CB">
            <w:pPr>
              <w:pStyle w:val="TableParagraph"/>
              <w:numPr>
                <w:ilvl w:val="0"/>
                <w:numId w:val="339"/>
              </w:numPr>
              <w:tabs>
                <w:tab w:val="left" w:pos="158"/>
              </w:tabs>
              <w:spacing w:before="1" w:line="160" w:lineRule="exact"/>
              <w:ind w:right="52"/>
              <w:rPr>
                <w:sz w:val="14"/>
              </w:rPr>
            </w:pPr>
            <w:r>
              <w:rPr>
                <w:color w:val="231F20"/>
                <w:sz w:val="14"/>
              </w:rPr>
              <w:t>структура програма конципирана је с циљем да помогне</w:t>
            </w:r>
            <w:r>
              <w:rPr>
                <w:color w:val="231F20"/>
                <w:spacing w:val="-13"/>
                <w:sz w:val="14"/>
              </w:rPr>
              <w:t xml:space="preserve"> </w:t>
            </w:r>
            <w:r>
              <w:rPr>
                <w:color w:val="231F20"/>
                <w:sz w:val="14"/>
              </w:rPr>
              <w:t>наставнику у планирању непосредног</w:t>
            </w:r>
            <w:r>
              <w:rPr>
                <w:color w:val="231F20"/>
                <w:spacing w:val="-5"/>
                <w:sz w:val="14"/>
              </w:rPr>
              <w:t xml:space="preserve"> </w:t>
            </w:r>
            <w:r>
              <w:rPr>
                <w:color w:val="231F20"/>
                <w:sz w:val="14"/>
              </w:rPr>
              <w:t>рада</w:t>
            </w:r>
          </w:p>
          <w:p w:rsidR="00041039" w:rsidRDefault="001B26CB">
            <w:pPr>
              <w:pStyle w:val="TableParagraph"/>
              <w:spacing w:line="237" w:lineRule="auto"/>
              <w:ind w:left="157"/>
              <w:rPr>
                <w:sz w:val="14"/>
              </w:rPr>
            </w:pPr>
            <w:r>
              <w:rPr>
                <w:color w:val="231F20"/>
                <w:sz w:val="14"/>
              </w:rPr>
              <w:t>са ученицима, олакшавајући му одређивање обима и дубине обра­ де појединих наставних садржаја;</w:t>
            </w:r>
          </w:p>
          <w:p w:rsidR="00041039" w:rsidRDefault="001B26CB">
            <w:pPr>
              <w:pStyle w:val="TableParagraph"/>
              <w:numPr>
                <w:ilvl w:val="0"/>
                <w:numId w:val="339"/>
              </w:numPr>
              <w:tabs>
                <w:tab w:val="left" w:pos="158"/>
              </w:tabs>
              <w:spacing w:line="237" w:lineRule="auto"/>
              <w:ind w:right="165"/>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треба да послуже да</w:t>
            </w:r>
            <w:r>
              <w:rPr>
                <w:color w:val="231F20"/>
                <w:spacing w:val="2"/>
                <w:sz w:val="14"/>
              </w:rPr>
              <w:t xml:space="preserve"> </w:t>
            </w:r>
            <w:r>
              <w:rPr>
                <w:color w:val="231F20"/>
                <w:sz w:val="14"/>
              </w:rPr>
              <w:t>нас­</w:t>
            </w:r>
          </w:p>
          <w:p w:rsidR="00041039" w:rsidRDefault="001B26CB">
            <w:pPr>
              <w:pStyle w:val="TableParagraph"/>
              <w:ind w:left="157"/>
              <w:rPr>
                <w:sz w:val="14"/>
              </w:rPr>
            </w:pPr>
            <w:r>
              <w:rPr>
                <w:color w:val="231F20"/>
                <w:sz w:val="14"/>
              </w:rPr>
              <w:t>тавни процес буде тако обликован да се наведени циљеви остваре;</w:t>
            </w:r>
          </w:p>
          <w:p w:rsidR="00041039" w:rsidRDefault="001B26CB">
            <w:pPr>
              <w:pStyle w:val="TableParagraph"/>
              <w:numPr>
                <w:ilvl w:val="0"/>
                <w:numId w:val="339"/>
              </w:numPr>
              <w:tabs>
                <w:tab w:val="left" w:pos="158"/>
              </w:tabs>
              <w:spacing w:line="160" w:lineRule="exact"/>
              <w:ind w:right="307"/>
              <w:rPr>
                <w:sz w:val="14"/>
              </w:rPr>
            </w:pPr>
            <w:r>
              <w:rPr>
                <w:color w:val="231F20"/>
                <w:sz w:val="14"/>
              </w:rPr>
              <w:t>садржаје треба</w:t>
            </w:r>
            <w:r>
              <w:rPr>
                <w:color w:val="231F20"/>
                <w:spacing w:val="-13"/>
                <w:sz w:val="14"/>
              </w:rPr>
              <w:t xml:space="preserve"> </w:t>
            </w:r>
            <w:r>
              <w:rPr>
                <w:color w:val="231F20"/>
                <w:sz w:val="14"/>
              </w:rPr>
              <w:t xml:space="preserve">прилагођавати ученицима, </w:t>
            </w:r>
            <w:r>
              <w:rPr>
                <w:color w:val="231F20"/>
                <w:spacing w:val="-3"/>
                <w:sz w:val="14"/>
              </w:rPr>
              <w:t xml:space="preserve">како </w:t>
            </w:r>
            <w:r>
              <w:rPr>
                <w:color w:val="231F20"/>
                <w:sz w:val="14"/>
              </w:rPr>
              <w:t>би најлакше и најбрже достигли наведене исходе;</w:t>
            </w:r>
          </w:p>
          <w:p w:rsidR="00041039" w:rsidRDefault="001B26CB">
            <w:pPr>
              <w:pStyle w:val="TableParagraph"/>
              <w:numPr>
                <w:ilvl w:val="0"/>
                <w:numId w:val="339"/>
              </w:numPr>
              <w:tabs>
                <w:tab w:val="left" w:pos="158"/>
              </w:tabs>
              <w:spacing w:line="160" w:lineRule="exact"/>
              <w:ind w:right="133"/>
              <w:rPr>
                <w:sz w:val="14"/>
              </w:rPr>
            </w:pPr>
            <w:r>
              <w:rPr>
                <w:color w:val="231F20"/>
                <w:sz w:val="14"/>
              </w:rPr>
              <w:t xml:space="preserve">наставник има слободу да сам одреди распоред и динамику активности за сваку </w:t>
            </w:r>
            <w:r>
              <w:rPr>
                <w:color w:val="231F20"/>
                <w:spacing w:val="-3"/>
                <w:sz w:val="14"/>
              </w:rPr>
              <w:t xml:space="preserve">тему. </w:t>
            </w:r>
            <w:r>
              <w:rPr>
                <w:color w:val="231F20"/>
                <w:sz w:val="14"/>
              </w:rPr>
              <w:t>уважа­ вајући циљеве</w:t>
            </w:r>
            <w:r>
              <w:rPr>
                <w:color w:val="231F20"/>
                <w:spacing w:val="-2"/>
                <w:sz w:val="14"/>
              </w:rPr>
              <w:t xml:space="preserve"> </w:t>
            </w:r>
            <w:r>
              <w:rPr>
                <w:color w:val="231F20"/>
                <w:sz w:val="14"/>
              </w:rPr>
              <w:t>предмета;</w:t>
            </w:r>
          </w:p>
          <w:p w:rsidR="00041039" w:rsidRDefault="001B26CB">
            <w:pPr>
              <w:pStyle w:val="TableParagraph"/>
              <w:numPr>
                <w:ilvl w:val="0"/>
                <w:numId w:val="339"/>
              </w:numPr>
              <w:tabs>
                <w:tab w:val="left" w:pos="158"/>
              </w:tabs>
              <w:spacing w:line="160" w:lineRule="exact"/>
              <w:ind w:right="139"/>
              <w:rPr>
                <w:sz w:val="14"/>
              </w:rPr>
            </w:pPr>
            <w:r>
              <w:rPr>
                <w:color w:val="231F20"/>
                <w:sz w:val="14"/>
              </w:rPr>
              <w:t>програм се може допунити</w:t>
            </w:r>
            <w:r>
              <w:rPr>
                <w:color w:val="231F20"/>
                <w:spacing w:val="-10"/>
                <w:sz w:val="14"/>
              </w:rPr>
              <w:t xml:space="preserve"> </w:t>
            </w:r>
            <w:r>
              <w:rPr>
                <w:color w:val="231F20"/>
                <w:sz w:val="14"/>
              </w:rPr>
              <w:t xml:space="preserve">садр­ жајима из прошлости завичаја, чиме се </w:t>
            </w:r>
            <w:r>
              <w:rPr>
                <w:color w:val="231F20"/>
                <w:spacing w:val="-5"/>
                <w:sz w:val="14"/>
              </w:rPr>
              <w:t xml:space="preserve">код </w:t>
            </w:r>
            <w:r>
              <w:rPr>
                <w:color w:val="231F20"/>
                <w:sz w:val="14"/>
              </w:rPr>
              <w:t>ученика постиже јаснија представа</w:t>
            </w:r>
            <w:r>
              <w:rPr>
                <w:color w:val="231F20"/>
                <w:spacing w:val="-6"/>
                <w:sz w:val="14"/>
              </w:rPr>
              <w:t xml:space="preserve"> </w:t>
            </w:r>
            <w:r>
              <w:rPr>
                <w:color w:val="231F20"/>
                <w:sz w:val="14"/>
              </w:rPr>
              <w:t>оисторијској</w:t>
            </w:r>
          </w:p>
          <w:p w:rsidR="00041039" w:rsidRDefault="001B26CB">
            <w:pPr>
              <w:pStyle w:val="TableParagraph"/>
              <w:spacing w:line="237" w:lineRule="auto"/>
              <w:ind w:left="157"/>
              <w:rPr>
                <w:sz w:val="14"/>
              </w:rPr>
            </w:pPr>
            <w:r>
              <w:rPr>
                <w:color w:val="231F20"/>
                <w:sz w:val="14"/>
              </w:rPr>
              <w:t>и културној баштини у њ</w:t>
            </w:r>
            <w:r>
              <w:rPr>
                <w:color w:val="231F20"/>
                <w:sz w:val="14"/>
              </w:rPr>
              <w:t>иховом крају (археолошка налазишта, музејске збирке);</w:t>
            </w:r>
          </w:p>
          <w:p w:rsidR="00041039" w:rsidRDefault="001B26CB">
            <w:pPr>
              <w:pStyle w:val="TableParagraph"/>
              <w:numPr>
                <w:ilvl w:val="0"/>
                <w:numId w:val="339"/>
              </w:numPr>
              <w:tabs>
                <w:tab w:val="left" w:pos="158"/>
              </w:tabs>
              <w:spacing w:line="237" w:lineRule="auto"/>
              <w:ind w:right="117"/>
              <w:rPr>
                <w:sz w:val="14"/>
              </w:rPr>
            </w:pPr>
            <w:r>
              <w:rPr>
                <w:color w:val="231F20"/>
                <w:sz w:val="14"/>
              </w:rPr>
              <w:t xml:space="preserve">у школама на наставном језику неке </w:t>
            </w:r>
            <w:r>
              <w:rPr>
                <w:color w:val="231F20"/>
                <w:spacing w:val="-3"/>
                <w:sz w:val="14"/>
              </w:rPr>
              <w:t xml:space="preserve">од </w:t>
            </w:r>
            <w:r>
              <w:rPr>
                <w:color w:val="231F20"/>
                <w:sz w:val="14"/>
              </w:rPr>
              <w:t>националних мањина могу се обрадитии проширени наставни садржаји из прошлости тог</w:t>
            </w:r>
            <w:r>
              <w:rPr>
                <w:color w:val="231F20"/>
                <w:spacing w:val="-1"/>
                <w:sz w:val="14"/>
              </w:rPr>
              <w:t xml:space="preserve"> </w:t>
            </w:r>
            <w:r>
              <w:rPr>
                <w:color w:val="231F20"/>
                <w:sz w:val="14"/>
              </w:rPr>
              <w:t>народа;</w:t>
            </w:r>
          </w:p>
          <w:p w:rsidR="00041039" w:rsidRDefault="001B26CB">
            <w:pPr>
              <w:pStyle w:val="TableParagraph"/>
              <w:numPr>
                <w:ilvl w:val="0"/>
                <w:numId w:val="339"/>
              </w:numPr>
              <w:tabs>
                <w:tab w:val="left" w:pos="158"/>
              </w:tabs>
              <w:spacing w:line="237" w:lineRule="auto"/>
              <w:ind w:right="127"/>
              <w:rPr>
                <w:sz w:val="14"/>
              </w:rPr>
            </w:pPr>
            <w:r>
              <w:rPr>
                <w:color w:val="231F20"/>
                <w:sz w:val="14"/>
              </w:rPr>
              <w:t>важно је искористити велике могућности које историја као наративни предмет пружа у под­ стицању ученичке радозналости, која је у основи сваког</w:t>
            </w:r>
            <w:r>
              <w:rPr>
                <w:color w:val="231F20"/>
                <w:spacing w:val="-10"/>
                <w:sz w:val="14"/>
              </w:rPr>
              <w:t xml:space="preserve"> </w:t>
            </w:r>
            <w:r>
              <w:rPr>
                <w:color w:val="231F20"/>
                <w:sz w:val="14"/>
              </w:rPr>
              <w:t>сазнања;</w:t>
            </w:r>
          </w:p>
          <w:p w:rsidR="00041039" w:rsidRDefault="001B26CB">
            <w:pPr>
              <w:pStyle w:val="TableParagraph"/>
              <w:numPr>
                <w:ilvl w:val="0"/>
                <w:numId w:val="339"/>
              </w:numPr>
              <w:tabs>
                <w:tab w:val="left" w:pos="158"/>
              </w:tabs>
              <w:spacing w:line="237" w:lineRule="auto"/>
              <w:ind w:right="66"/>
              <w:rPr>
                <w:sz w:val="14"/>
              </w:rPr>
            </w:pPr>
            <w:r>
              <w:rPr>
                <w:color w:val="231F20"/>
                <w:sz w:val="14"/>
              </w:rPr>
              <w:t xml:space="preserve">наставни садржаји треба да </w:t>
            </w:r>
            <w:r>
              <w:rPr>
                <w:color w:val="231F20"/>
                <w:spacing w:val="-4"/>
                <w:sz w:val="14"/>
              </w:rPr>
              <w:t xml:space="preserve">буду </w:t>
            </w:r>
            <w:r>
              <w:rPr>
                <w:color w:val="231F20"/>
                <w:sz w:val="14"/>
              </w:rPr>
              <w:t>представљени као „прича” богата информацијама и детаљима, не зато даби о</w:t>
            </w:r>
            <w:r>
              <w:rPr>
                <w:color w:val="231F20"/>
                <w:sz w:val="14"/>
              </w:rPr>
              <w:t>птеретили памћење ученика, већ даби им историјски догађаји, појаве и процеси били предочени јасно, детаљно, живо</w:t>
            </w:r>
            <w:r>
              <w:rPr>
                <w:color w:val="231F20"/>
                <w:spacing w:val="-8"/>
                <w:sz w:val="14"/>
              </w:rPr>
              <w:t xml:space="preserve"> </w:t>
            </w:r>
            <w:r>
              <w:rPr>
                <w:color w:val="231F20"/>
                <w:sz w:val="14"/>
              </w:rPr>
              <w:t>и динамично;</w:t>
            </w:r>
          </w:p>
          <w:p w:rsidR="00041039" w:rsidRDefault="001B26CB">
            <w:pPr>
              <w:pStyle w:val="TableParagraph"/>
              <w:numPr>
                <w:ilvl w:val="0"/>
                <w:numId w:val="339"/>
              </w:numPr>
              <w:tabs>
                <w:tab w:val="left" w:pos="158"/>
              </w:tabs>
              <w:spacing w:line="237" w:lineRule="auto"/>
              <w:ind w:right="71"/>
              <w:rPr>
                <w:sz w:val="14"/>
              </w:rPr>
            </w:pPr>
            <w:r>
              <w:rPr>
                <w:color w:val="231F20"/>
                <w:sz w:val="14"/>
              </w:rPr>
              <w:t xml:space="preserve">посебно место у настави историје имају питања, </w:t>
            </w:r>
            <w:r>
              <w:rPr>
                <w:color w:val="231F20"/>
                <w:spacing w:val="-3"/>
                <w:sz w:val="14"/>
              </w:rPr>
              <w:t xml:space="preserve">како </w:t>
            </w:r>
            <w:r>
              <w:rPr>
                <w:color w:val="231F20"/>
                <w:sz w:val="14"/>
              </w:rPr>
              <w:t xml:space="preserve">она која поставља наставник ученицима, тако и она која долазе </w:t>
            </w:r>
            <w:r>
              <w:rPr>
                <w:color w:val="231F20"/>
                <w:spacing w:val="-3"/>
                <w:sz w:val="14"/>
              </w:rPr>
              <w:t>од</w:t>
            </w:r>
            <w:r>
              <w:rPr>
                <w:color w:val="231F20"/>
                <w:spacing w:val="-23"/>
                <w:sz w:val="14"/>
              </w:rPr>
              <w:t xml:space="preserve"> </w:t>
            </w:r>
            <w:r>
              <w:rPr>
                <w:color w:val="231F20"/>
                <w:sz w:val="14"/>
              </w:rPr>
              <w:t>ученика, подс</w:t>
            </w:r>
            <w:r>
              <w:rPr>
                <w:color w:val="231F20"/>
                <w:sz w:val="14"/>
              </w:rPr>
              <w:t>такнута оним што су чули у учионици или што су сазнали ван ње користећи различите изворе информација, добро  осмишље­ на питања наставника имају подстицајну функцију за развој историјског мишљења и</w:t>
            </w:r>
            <w:r>
              <w:rPr>
                <w:color w:val="231F20"/>
                <w:spacing w:val="-16"/>
                <w:sz w:val="14"/>
              </w:rPr>
              <w:t xml:space="preserve"> </w:t>
            </w:r>
            <w:r>
              <w:rPr>
                <w:color w:val="231F20"/>
                <w:sz w:val="14"/>
              </w:rPr>
              <w:t>критичке свести, не само у фази утврђи­ вања и систематиза</w:t>
            </w:r>
            <w:r>
              <w:rPr>
                <w:color w:val="231F20"/>
                <w:sz w:val="14"/>
              </w:rPr>
              <w:t>ције градива, већ и у самој обради наставних садржаја;</w:t>
            </w:r>
          </w:p>
          <w:p w:rsidR="00041039" w:rsidRDefault="001B26CB">
            <w:pPr>
              <w:pStyle w:val="TableParagraph"/>
              <w:numPr>
                <w:ilvl w:val="0"/>
                <w:numId w:val="339"/>
              </w:numPr>
              <w:tabs>
                <w:tab w:val="left" w:pos="158"/>
              </w:tabs>
              <w:spacing w:line="237" w:lineRule="auto"/>
              <w:ind w:right="81"/>
              <w:rPr>
                <w:sz w:val="14"/>
              </w:rPr>
            </w:pPr>
            <w:r>
              <w:rPr>
                <w:color w:val="231F20"/>
                <w:sz w:val="14"/>
              </w:rPr>
              <w:t xml:space="preserve">у зависности </w:t>
            </w:r>
            <w:r>
              <w:rPr>
                <w:color w:val="231F20"/>
                <w:spacing w:val="-3"/>
                <w:sz w:val="14"/>
              </w:rPr>
              <w:t xml:space="preserve">од </w:t>
            </w:r>
            <w:r>
              <w:rPr>
                <w:color w:val="231F20"/>
                <w:sz w:val="14"/>
              </w:rPr>
              <w:t>циља који на­ ставник жели да оствари, питања могу имати различите функције, као што су: фокусирање пажње на неки садржај или аспект, подстицање поређења, трагање</w:t>
            </w:r>
            <w:r>
              <w:rPr>
                <w:color w:val="231F20"/>
                <w:spacing w:val="-14"/>
                <w:sz w:val="14"/>
              </w:rPr>
              <w:t xml:space="preserve"> </w:t>
            </w:r>
            <w:r>
              <w:rPr>
                <w:color w:val="231F20"/>
                <w:sz w:val="14"/>
              </w:rPr>
              <w:t>за појашњењем;</w:t>
            </w:r>
          </w:p>
          <w:p w:rsidR="00041039" w:rsidRDefault="001B26CB">
            <w:pPr>
              <w:pStyle w:val="TableParagraph"/>
              <w:numPr>
                <w:ilvl w:val="0"/>
                <w:numId w:val="339"/>
              </w:numPr>
              <w:tabs>
                <w:tab w:val="left" w:pos="158"/>
              </w:tabs>
              <w:spacing w:line="237" w:lineRule="auto"/>
              <w:ind w:right="148"/>
              <w:rPr>
                <w:sz w:val="14"/>
              </w:rPr>
            </w:pPr>
            <w:r>
              <w:rPr>
                <w:color w:val="231F20"/>
                <w:sz w:val="14"/>
              </w:rPr>
              <w:t>настава би требало да помогне ученицима у стварању што јасније представе не само о</w:t>
            </w:r>
            <w:r>
              <w:rPr>
                <w:color w:val="231F20"/>
                <w:spacing w:val="-10"/>
                <w:sz w:val="14"/>
              </w:rPr>
              <w:t xml:space="preserve"> </w:t>
            </w:r>
            <w:r>
              <w:rPr>
                <w:color w:val="231F20"/>
                <w:sz w:val="14"/>
              </w:rPr>
              <w:t>томе шта се десило, већ и зашто се то десило и какве су последице из тога</w:t>
            </w:r>
            <w:r>
              <w:rPr>
                <w:color w:val="231F20"/>
                <w:spacing w:val="-1"/>
                <w:sz w:val="14"/>
              </w:rPr>
              <w:t xml:space="preserve"> </w:t>
            </w:r>
            <w:r>
              <w:rPr>
                <w:color w:val="231F20"/>
                <w:sz w:val="14"/>
              </w:rPr>
              <w:t>проистекле;</w:t>
            </w:r>
          </w:p>
        </w:tc>
      </w:tr>
      <w:tr w:rsidR="00041039">
        <w:trPr>
          <w:trHeight w:val="10227"/>
        </w:trPr>
        <w:tc>
          <w:tcPr>
            <w:tcW w:w="1304" w:type="dxa"/>
          </w:tcPr>
          <w:p w:rsidR="00041039" w:rsidRDefault="001B26CB">
            <w:pPr>
              <w:pStyle w:val="TableParagraph"/>
              <w:spacing w:before="20"/>
              <w:ind w:left="56" w:right="37"/>
              <w:rPr>
                <w:sz w:val="14"/>
              </w:rPr>
            </w:pPr>
            <w:r>
              <w:rPr>
                <w:color w:val="231F20"/>
                <w:sz w:val="14"/>
              </w:rPr>
              <w:t>Српски народ у југословенској држави</w:t>
            </w:r>
          </w:p>
        </w:tc>
        <w:tc>
          <w:tcPr>
            <w:tcW w:w="1587" w:type="dxa"/>
          </w:tcPr>
          <w:p w:rsidR="00041039" w:rsidRDefault="001B26CB">
            <w:pPr>
              <w:pStyle w:val="TableParagraph"/>
              <w:numPr>
                <w:ilvl w:val="0"/>
                <w:numId w:val="338"/>
              </w:numPr>
              <w:tabs>
                <w:tab w:val="left" w:pos="157"/>
              </w:tabs>
              <w:spacing w:before="10"/>
              <w:ind w:right="84"/>
              <w:rPr>
                <w:sz w:val="14"/>
              </w:rPr>
            </w:pPr>
            <w:r>
              <w:rPr>
                <w:color w:val="231F20"/>
                <w:sz w:val="14"/>
              </w:rPr>
              <w:t>Проширивање знања о југословенској</w:t>
            </w:r>
            <w:r>
              <w:rPr>
                <w:color w:val="231F20"/>
                <w:spacing w:val="-14"/>
                <w:sz w:val="14"/>
              </w:rPr>
              <w:t xml:space="preserve"> </w:t>
            </w:r>
            <w:r>
              <w:rPr>
                <w:color w:val="231F20"/>
                <w:sz w:val="14"/>
              </w:rPr>
              <w:t>идеји и носиоцима идеје стварања југословен­ ске</w:t>
            </w:r>
            <w:r>
              <w:rPr>
                <w:color w:val="231F20"/>
                <w:spacing w:val="-1"/>
                <w:sz w:val="14"/>
              </w:rPr>
              <w:t xml:space="preserve"> </w:t>
            </w:r>
            <w:r>
              <w:rPr>
                <w:color w:val="231F20"/>
                <w:sz w:val="14"/>
              </w:rPr>
              <w:t>државе.</w:t>
            </w:r>
          </w:p>
          <w:p w:rsidR="00041039" w:rsidRDefault="001B26CB">
            <w:pPr>
              <w:pStyle w:val="TableParagraph"/>
              <w:numPr>
                <w:ilvl w:val="0"/>
                <w:numId w:val="338"/>
              </w:numPr>
              <w:tabs>
                <w:tab w:val="left" w:pos="157"/>
              </w:tabs>
              <w:spacing w:line="155" w:lineRule="exact"/>
              <w:rPr>
                <w:sz w:val="14"/>
              </w:rPr>
            </w:pPr>
            <w:r>
              <w:rPr>
                <w:color w:val="231F20"/>
                <w:sz w:val="14"/>
              </w:rPr>
              <w:t>Разумевање</w:t>
            </w:r>
            <w:r>
              <w:rPr>
                <w:color w:val="231F20"/>
                <w:spacing w:val="-2"/>
                <w:sz w:val="14"/>
              </w:rPr>
              <w:t xml:space="preserve"> </w:t>
            </w:r>
            <w:r>
              <w:rPr>
                <w:color w:val="231F20"/>
                <w:sz w:val="14"/>
              </w:rPr>
              <w:t>међуна­</w:t>
            </w:r>
          </w:p>
          <w:p w:rsidR="00041039" w:rsidRDefault="001B26CB">
            <w:pPr>
              <w:pStyle w:val="TableParagraph"/>
              <w:ind w:right="15"/>
              <w:rPr>
                <w:sz w:val="14"/>
              </w:rPr>
            </w:pPr>
            <w:r>
              <w:rPr>
                <w:color w:val="231F20"/>
                <w:sz w:val="14"/>
              </w:rPr>
              <w:t>родног контекста у коме настаје југосло­ венска држава.</w:t>
            </w:r>
          </w:p>
          <w:p w:rsidR="00041039" w:rsidRDefault="001B26CB">
            <w:pPr>
              <w:pStyle w:val="TableParagraph"/>
              <w:numPr>
                <w:ilvl w:val="0"/>
                <w:numId w:val="338"/>
              </w:numPr>
              <w:tabs>
                <w:tab w:val="left" w:pos="157"/>
              </w:tabs>
              <w:spacing w:line="158"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15"/>
              <w:rPr>
                <w:sz w:val="14"/>
              </w:rPr>
            </w:pPr>
            <w:r>
              <w:rPr>
                <w:color w:val="231F20"/>
                <w:sz w:val="14"/>
              </w:rPr>
              <w:t>одликама југословен­ ске државе.</w:t>
            </w:r>
          </w:p>
          <w:p w:rsidR="00041039" w:rsidRDefault="001B26CB">
            <w:pPr>
              <w:pStyle w:val="TableParagraph"/>
              <w:numPr>
                <w:ilvl w:val="0"/>
                <w:numId w:val="338"/>
              </w:numPr>
              <w:tabs>
                <w:tab w:val="left" w:pos="157"/>
              </w:tabs>
              <w:spacing w:line="160" w:lineRule="exact"/>
              <w:ind w:right="169"/>
              <w:rPr>
                <w:sz w:val="14"/>
              </w:rPr>
            </w:pPr>
            <w:r>
              <w:rPr>
                <w:color w:val="231F20"/>
                <w:sz w:val="14"/>
              </w:rPr>
              <w:t>Проширивање</w:t>
            </w:r>
            <w:r>
              <w:rPr>
                <w:color w:val="231F20"/>
                <w:spacing w:val="-10"/>
                <w:sz w:val="14"/>
              </w:rPr>
              <w:t xml:space="preserve"> </w:t>
            </w:r>
            <w:r>
              <w:rPr>
                <w:color w:val="231F20"/>
                <w:sz w:val="14"/>
              </w:rPr>
              <w:t>знања о положају српског народа у југословен­ ској</w:t>
            </w:r>
            <w:r>
              <w:rPr>
                <w:color w:val="231F20"/>
                <w:spacing w:val="-1"/>
                <w:sz w:val="14"/>
              </w:rPr>
              <w:t xml:space="preserve"> </w:t>
            </w:r>
            <w:r>
              <w:rPr>
                <w:color w:val="231F20"/>
                <w:sz w:val="14"/>
              </w:rPr>
              <w:t>држави.</w:t>
            </w:r>
          </w:p>
          <w:p w:rsidR="00041039" w:rsidRDefault="001B26CB">
            <w:pPr>
              <w:pStyle w:val="TableParagraph"/>
              <w:numPr>
                <w:ilvl w:val="0"/>
                <w:numId w:val="338"/>
              </w:numPr>
              <w:tabs>
                <w:tab w:val="left" w:pos="157"/>
              </w:tabs>
              <w:spacing w:line="160" w:lineRule="exact"/>
              <w:ind w:right="91"/>
              <w:rPr>
                <w:sz w:val="14"/>
              </w:rPr>
            </w:pPr>
            <w:r>
              <w:rPr>
                <w:color w:val="231F20"/>
                <w:spacing w:val="-3"/>
                <w:sz w:val="14"/>
              </w:rPr>
              <w:t xml:space="preserve">Уочавање улоге </w:t>
            </w:r>
            <w:r>
              <w:rPr>
                <w:color w:val="231F20"/>
                <w:sz w:val="14"/>
              </w:rPr>
              <w:t>знаменитих личности у политичком животу југословенске</w:t>
            </w:r>
            <w:r>
              <w:rPr>
                <w:color w:val="231F20"/>
                <w:spacing w:val="-7"/>
                <w:sz w:val="14"/>
              </w:rPr>
              <w:t xml:space="preserve"> </w:t>
            </w:r>
            <w:r>
              <w:rPr>
                <w:color w:val="231F20"/>
                <w:sz w:val="14"/>
              </w:rPr>
              <w:t>државе.</w:t>
            </w:r>
          </w:p>
          <w:p w:rsidR="00041039" w:rsidRDefault="001B26CB">
            <w:pPr>
              <w:pStyle w:val="TableParagraph"/>
              <w:numPr>
                <w:ilvl w:val="0"/>
                <w:numId w:val="338"/>
              </w:numPr>
              <w:tabs>
                <w:tab w:val="left" w:pos="157"/>
              </w:tabs>
              <w:spacing w:line="160" w:lineRule="exact"/>
              <w:ind w:right="91"/>
              <w:rPr>
                <w:sz w:val="14"/>
              </w:rPr>
            </w:pPr>
            <w:r>
              <w:rPr>
                <w:color w:val="231F20"/>
                <w:sz w:val="14"/>
              </w:rPr>
              <w:t>Сагледавање међу­ народног положаја југословенске</w:t>
            </w:r>
            <w:r>
              <w:rPr>
                <w:color w:val="231F20"/>
                <w:spacing w:val="-7"/>
                <w:sz w:val="14"/>
              </w:rPr>
              <w:t xml:space="preserve"> </w:t>
            </w:r>
            <w:r>
              <w:rPr>
                <w:color w:val="231F20"/>
                <w:sz w:val="14"/>
              </w:rPr>
              <w:t>државе.</w:t>
            </w:r>
          </w:p>
        </w:tc>
        <w:tc>
          <w:tcPr>
            <w:tcW w:w="2551" w:type="dxa"/>
          </w:tcPr>
          <w:p w:rsidR="00041039" w:rsidRDefault="001B26CB">
            <w:pPr>
              <w:pStyle w:val="TableParagraph"/>
              <w:numPr>
                <w:ilvl w:val="0"/>
                <w:numId w:val="337"/>
              </w:numPr>
              <w:tabs>
                <w:tab w:val="left" w:pos="157"/>
              </w:tabs>
              <w:spacing w:before="10"/>
              <w:ind w:right="68" w:hanging="99"/>
              <w:rPr>
                <w:sz w:val="14"/>
              </w:rPr>
            </w:pPr>
            <w:r>
              <w:rPr>
                <w:color w:val="231F20"/>
                <w:sz w:val="14"/>
              </w:rPr>
              <w:t>образложи најважније мотиве и</w:t>
            </w:r>
            <w:r>
              <w:rPr>
                <w:color w:val="231F20"/>
                <w:spacing w:val="-17"/>
                <w:sz w:val="14"/>
              </w:rPr>
              <w:t xml:space="preserve"> </w:t>
            </w:r>
            <w:r>
              <w:rPr>
                <w:color w:val="231F20"/>
                <w:sz w:val="14"/>
              </w:rPr>
              <w:t>узроке стварање југословенске</w:t>
            </w:r>
            <w:r>
              <w:rPr>
                <w:color w:val="231F20"/>
                <w:spacing w:val="-2"/>
                <w:sz w:val="14"/>
              </w:rPr>
              <w:t xml:space="preserve"> </w:t>
            </w:r>
            <w:r>
              <w:rPr>
                <w:color w:val="231F20"/>
                <w:sz w:val="14"/>
              </w:rPr>
              <w:t>државе;</w:t>
            </w:r>
          </w:p>
          <w:p w:rsidR="00041039" w:rsidRDefault="001B26CB">
            <w:pPr>
              <w:pStyle w:val="TableParagraph"/>
              <w:numPr>
                <w:ilvl w:val="0"/>
                <w:numId w:val="337"/>
              </w:numPr>
              <w:tabs>
                <w:tab w:val="left" w:pos="157"/>
              </w:tabs>
              <w:spacing w:before="1" w:line="160" w:lineRule="exact"/>
              <w:ind w:right="284" w:hanging="99"/>
              <w:rPr>
                <w:sz w:val="14"/>
              </w:rPr>
            </w:pPr>
            <w:r>
              <w:rPr>
                <w:color w:val="231F20"/>
                <w:sz w:val="14"/>
              </w:rPr>
              <w:t>уочи значај настанка</w:t>
            </w:r>
            <w:r>
              <w:rPr>
                <w:color w:val="231F20"/>
                <w:spacing w:val="-25"/>
                <w:sz w:val="14"/>
              </w:rPr>
              <w:t xml:space="preserve"> </w:t>
            </w:r>
            <w:r>
              <w:rPr>
                <w:color w:val="231F20"/>
                <w:sz w:val="14"/>
              </w:rPr>
              <w:t>југословенске државе за српски</w:t>
            </w:r>
            <w:r>
              <w:rPr>
                <w:color w:val="231F20"/>
                <w:spacing w:val="-3"/>
                <w:sz w:val="14"/>
              </w:rPr>
              <w:t xml:space="preserve"> </w:t>
            </w:r>
            <w:r>
              <w:rPr>
                <w:color w:val="231F20"/>
                <w:sz w:val="14"/>
              </w:rPr>
              <w:t>н</w:t>
            </w:r>
            <w:r>
              <w:rPr>
                <w:color w:val="231F20"/>
                <w:sz w:val="14"/>
              </w:rPr>
              <w:t>арод;</w:t>
            </w:r>
          </w:p>
          <w:p w:rsidR="00041039" w:rsidRDefault="001B26CB">
            <w:pPr>
              <w:pStyle w:val="TableParagraph"/>
              <w:numPr>
                <w:ilvl w:val="0"/>
                <w:numId w:val="337"/>
              </w:numPr>
              <w:tabs>
                <w:tab w:val="left" w:pos="157"/>
              </w:tabs>
              <w:spacing w:line="160" w:lineRule="exact"/>
              <w:ind w:right="43" w:hanging="99"/>
              <w:rPr>
                <w:sz w:val="14"/>
              </w:rPr>
            </w:pPr>
            <w:r>
              <w:rPr>
                <w:color w:val="231F20"/>
                <w:sz w:val="14"/>
              </w:rPr>
              <w:t>идентификује одлике југословенске државе као монархије и као</w:t>
            </w:r>
            <w:r>
              <w:rPr>
                <w:color w:val="231F20"/>
                <w:spacing w:val="-19"/>
                <w:sz w:val="14"/>
              </w:rPr>
              <w:t xml:space="preserve"> </w:t>
            </w:r>
            <w:r>
              <w:rPr>
                <w:color w:val="231F20"/>
                <w:sz w:val="14"/>
              </w:rPr>
              <w:t>републике;</w:t>
            </w:r>
          </w:p>
          <w:p w:rsidR="00041039" w:rsidRDefault="001B26CB">
            <w:pPr>
              <w:pStyle w:val="TableParagraph"/>
              <w:numPr>
                <w:ilvl w:val="0"/>
                <w:numId w:val="337"/>
              </w:numPr>
              <w:tabs>
                <w:tab w:val="left" w:pos="157"/>
              </w:tabs>
              <w:spacing w:line="160" w:lineRule="exact"/>
              <w:ind w:right="100" w:hanging="99"/>
              <w:rPr>
                <w:sz w:val="14"/>
              </w:rPr>
            </w:pPr>
            <w:r>
              <w:rPr>
                <w:color w:val="231F20"/>
                <w:sz w:val="14"/>
              </w:rPr>
              <w:t>разликује особености друштвено ­ политичких система који су</w:t>
            </w:r>
            <w:r>
              <w:rPr>
                <w:color w:val="231F20"/>
                <w:spacing w:val="-21"/>
                <w:sz w:val="14"/>
              </w:rPr>
              <w:t xml:space="preserve"> </w:t>
            </w:r>
            <w:r>
              <w:rPr>
                <w:color w:val="231F20"/>
                <w:sz w:val="14"/>
              </w:rPr>
              <w:t>постојали у југословенској</w:t>
            </w:r>
            <w:r>
              <w:rPr>
                <w:color w:val="231F20"/>
                <w:spacing w:val="-1"/>
                <w:sz w:val="14"/>
              </w:rPr>
              <w:t xml:space="preserve"> </w:t>
            </w:r>
            <w:r>
              <w:rPr>
                <w:color w:val="231F20"/>
                <w:sz w:val="14"/>
              </w:rPr>
              <w:t>држави;</w:t>
            </w:r>
          </w:p>
          <w:p w:rsidR="00041039" w:rsidRDefault="001B26CB">
            <w:pPr>
              <w:pStyle w:val="TableParagraph"/>
              <w:numPr>
                <w:ilvl w:val="0"/>
                <w:numId w:val="337"/>
              </w:numPr>
              <w:tabs>
                <w:tab w:val="left" w:pos="157"/>
              </w:tabs>
              <w:spacing w:line="160" w:lineRule="exact"/>
              <w:ind w:right="225" w:hanging="99"/>
              <w:rPr>
                <w:sz w:val="14"/>
              </w:rPr>
            </w:pPr>
            <w:r>
              <w:rPr>
                <w:color w:val="231F20"/>
                <w:sz w:val="14"/>
              </w:rPr>
              <w:t>уочи и разуме међународни</w:t>
            </w:r>
            <w:r>
              <w:rPr>
                <w:color w:val="231F20"/>
                <w:spacing w:val="-26"/>
                <w:sz w:val="14"/>
              </w:rPr>
              <w:t xml:space="preserve"> </w:t>
            </w:r>
            <w:r>
              <w:rPr>
                <w:color w:val="231F20"/>
                <w:sz w:val="14"/>
              </w:rPr>
              <w:t>положај југословенске</w:t>
            </w:r>
            <w:r>
              <w:rPr>
                <w:color w:val="231F20"/>
                <w:spacing w:val="-1"/>
                <w:sz w:val="14"/>
              </w:rPr>
              <w:t xml:space="preserve"> </w:t>
            </w:r>
            <w:r>
              <w:rPr>
                <w:color w:val="231F20"/>
                <w:sz w:val="14"/>
              </w:rPr>
              <w:t>државе;</w:t>
            </w:r>
          </w:p>
          <w:p w:rsidR="00041039" w:rsidRDefault="001B26CB">
            <w:pPr>
              <w:pStyle w:val="TableParagraph"/>
              <w:numPr>
                <w:ilvl w:val="0"/>
                <w:numId w:val="337"/>
              </w:numPr>
              <w:tabs>
                <w:tab w:val="left" w:pos="157"/>
              </w:tabs>
              <w:spacing w:line="160" w:lineRule="exact"/>
              <w:ind w:right="187" w:hanging="99"/>
              <w:rPr>
                <w:sz w:val="14"/>
              </w:rPr>
            </w:pPr>
            <w:r>
              <w:rPr>
                <w:color w:val="231F20"/>
                <w:sz w:val="14"/>
              </w:rPr>
              <w:t>образложи допринос југословенских антифашистичких покрета победи савезника у Другом светском</w:t>
            </w:r>
            <w:r>
              <w:rPr>
                <w:color w:val="231F20"/>
                <w:spacing w:val="-17"/>
                <w:sz w:val="14"/>
              </w:rPr>
              <w:t xml:space="preserve"> </w:t>
            </w:r>
            <w:r>
              <w:rPr>
                <w:color w:val="231F20"/>
                <w:sz w:val="14"/>
              </w:rPr>
              <w:t>рату;</w:t>
            </w:r>
          </w:p>
          <w:p w:rsidR="00041039" w:rsidRDefault="001B26CB">
            <w:pPr>
              <w:pStyle w:val="TableParagraph"/>
              <w:numPr>
                <w:ilvl w:val="0"/>
                <w:numId w:val="337"/>
              </w:numPr>
              <w:tabs>
                <w:tab w:val="left" w:pos="157"/>
              </w:tabs>
              <w:spacing w:line="160" w:lineRule="exact"/>
              <w:ind w:right="196" w:hanging="99"/>
              <w:rPr>
                <w:sz w:val="14"/>
              </w:rPr>
            </w:pPr>
            <w:r>
              <w:rPr>
                <w:color w:val="231F20"/>
                <w:sz w:val="14"/>
              </w:rPr>
              <w:t>именује најважније личности које</w:t>
            </w:r>
            <w:r>
              <w:rPr>
                <w:color w:val="231F20"/>
                <w:spacing w:val="-21"/>
                <w:sz w:val="14"/>
              </w:rPr>
              <w:t xml:space="preserve"> </w:t>
            </w:r>
            <w:r>
              <w:rPr>
                <w:color w:val="231F20"/>
                <w:sz w:val="14"/>
              </w:rPr>
              <w:t>су утицале на друштвено ­ политичка збивања у</w:t>
            </w:r>
            <w:r>
              <w:rPr>
                <w:color w:val="231F20"/>
                <w:spacing w:val="-1"/>
                <w:sz w:val="14"/>
              </w:rPr>
              <w:t xml:space="preserve"> </w:t>
            </w:r>
            <w:r>
              <w:rPr>
                <w:color w:val="231F20"/>
                <w:sz w:val="14"/>
              </w:rPr>
              <w:t>Југославији;</w:t>
            </w:r>
          </w:p>
        </w:tc>
        <w:tc>
          <w:tcPr>
            <w:tcW w:w="2834" w:type="dxa"/>
          </w:tcPr>
          <w:p w:rsidR="00041039" w:rsidRDefault="001B26CB">
            <w:pPr>
              <w:pStyle w:val="TableParagraph"/>
              <w:numPr>
                <w:ilvl w:val="0"/>
                <w:numId w:val="336"/>
              </w:numPr>
              <w:tabs>
                <w:tab w:val="left" w:pos="157"/>
              </w:tabs>
              <w:spacing w:before="11"/>
              <w:ind w:right="431" w:hanging="99"/>
              <w:rPr>
                <w:sz w:val="14"/>
              </w:rPr>
            </w:pPr>
            <w:r>
              <w:rPr>
                <w:color w:val="231F20"/>
                <w:sz w:val="14"/>
              </w:rPr>
              <w:t>Југословенска идеја и</w:t>
            </w:r>
            <w:r>
              <w:rPr>
                <w:color w:val="231F20"/>
                <w:spacing w:val="-20"/>
                <w:sz w:val="14"/>
              </w:rPr>
              <w:t xml:space="preserve"> </w:t>
            </w:r>
            <w:r>
              <w:rPr>
                <w:color w:val="231F20"/>
                <w:sz w:val="14"/>
              </w:rPr>
              <w:t>конституисање државе.</w:t>
            </w:r>
          </w:p>
          <w:p w:rsidR="00041039" w:rsidRDefault="001B26CB">
            <w:pPr>
              <w:pStyle w:val="TableParagraph"/>
              <w:numPr>
                <w:ilvl w:val="0"/>
                <w:numId w:val="336"/>
              </w:numPr>
              <w:tabs>
                <w:tab w:val="left" w:pos="157"/>
              </w:tabs>
              <w:spacing w:line="160" w:lineRule="exact"/>
              <w:ind w:right="121" w:hanging="99"/>
              <w:rPr>
                <w:sz w:val="14"/>
              </w:rPr>
            </w:pPr>
            <w:r>
              <w:rPr>
                <w:color w:val="231F20"/>
                <w:sz w:val="14"/>
              </w:rPr>
              <w:t>Одлике политичког сис</w:t>
            </w:r>
            <w:r>
              <w:rPr>
                <w:color w:val="231F20"/>
                <w:sz w:val="14"/>
              </w:rPr>
              <w:t>тема у југословенској краљевини (политичке борбе, Видовдански и Октроисани устав, лични режим краља Александра,</w:t>
            </w:r>
            <w:r>
              <w:rPr>
                <w:color w:val="231F20"/>
                <w:spacing w:val="-12"/>
                <w:sz w:val="14"/>
              </w:rPr>
              <w:t xml:space="preserve"> </w:t>
            </w:r>
            <w:r>
              <w:rPr>
                <w:color w:val="231F20"/>
                <w:sz w:val="14"/>
              </w:rPr>
              <w:t>стварање Бановине Хрватске и отварање српског питања).</w:t>
            </w:r>
          </w:p>
          <w:p w:rsidR="00041039" w:rsidRDefault="001B26CB">
            <w:pPr>
              <w:pStyle w:val="TableParagraph"/>
              <w:numPr>
                <w:ilvl w:val="0"/>
                <w:numId w:val="336"/>
              </w:numPr>
              <w:tabs>
                <w:tab w:val="left" w:pos="157"/>
              </w:tabs>
              <w:spacing w:line="160" w:lineRule="exact"/>
              <w:ind w:right="92" w:hanging="99"/>
              <w:rPr>
                <w:sz w:val="14"/>
              </w:rPr>
            </w:pPr>
            <w:r>
              <w:rPr>
                <w:color w:val="231F20"/>
                <w:sz w:val="14"/>
              </w:rPr>
              <w:t>Априлски рат и последице пораза,</w:t>
            </w:r>
            <w:r>
              <w:rPr>
                <w:color w:val="231F20"/>
                <w:spacing w:val="-20"/>
                <w:sz w:val="14"/>
              </w:rPr>
              <w:t xml:space="preserve"> </w:t>
            </w:r>
            <w:r>
              <w:rPr>
                <w:color w:val="231F20"/>
                <w:sz w:val="14"/>
              </w:rPr>
              <w:t>геноцид над Србима у</w:t>
            </w:r>
            <w:r>
              <w:rPr>
                <w:color w:val="231F20"/>
                <w:spacing w:val="-2"/>
                <w:sz w:val="14"/>
              </w:rPr>
              <w:t xml:space="preserve"> </w:t>
            </w:r>
            <w:r>
              <w:rPr>
                <w:color w:val="231F20"/>
                <w:sz w:val="14"/>
              </w:rPr>
              <w:t>НДХ.</w:t>
            </w:r>
          </w:p>
          <w:p w:rsidR="00041039" w:rsidRDefault="001B26CB">
            <w:pPr>
              <w:pStyle w:val="TableParagraph"/>
              <w:numPr>
                <w:ilvl w:val="0"/>
                <w:numId w:val="336"/>
              </w:numPr>
              <w:tabs>
                <w:tab w:val="left" w:pos="157"/>
              </w:tabs>
              <w:spacing w:line="153" w:lineRule="exact"/>
              <w:ind w:hanging="99"/>
              <w:rPr>
                <w:sz w:val="14"/>
              </w:rPr>
            </w:pPr>
            <w:r>
              <w:rPr>
                <w:color w:val="231F20"/>
                <w:sz w:val="14"/>
              </w:rPr>
              <w:t>Отпор, устанак и грађански</w:t>
            </w:r>
            <w:r>
              <w:rPr>
                <w:color w:val="231F20"/>
                <w:spacing w:val="-5"/>
                <w:sz w:val="14"/>
              </w:rPr>
              <w:t xml:space="preserve"> </w:t>
            </w:r>
            <w:r>
              <w:rPr>
                <w:color w:val="231F20"/>
                <w:spacing w:val="-4"/>
                <w:sz w:val="14"/>
              </w:rPr>
              <w:t>рат.</w:t>
            </w:r>
          </w:p>
          <w:p w:rsidR="00041039" w:rsidRDefault="001B26CB">
            <w:pPr>
              <w:pStyle w:val="TableParagraph"/>
              <w:numPr>
                <w:ilvl w:val="0"/>
                <w:numId w:val="336"/>
              </w:numPr>
              <w:tabs>
                <w:tab w:val="left" w:pos="157"/>
              </w:tabs>
              <w:spacing w:line="237" w:lineRule="auto"/>
              <w:ind w:right="56" w:hanging="99"/>
              <w:rPr>
                <w:sz w:val="14"/>
              </w:rPr>
            </w:pPr>
            <w:r>
              <w:rPr>
                <w:color w:val="231F20"/>
                <w:sz w:val="14"/>
              </w:rPr>
              <w:t>Биланс рата и допринос Југославије</w:t>
            </w:r>
            <w:r>
              <w:rPr>
                <w:color w:val="231F20"/>
                <w:spacing w:val="-15"/>
                <w:sz w:val="14"/>
              </w:rPr>
              <w:t xml:space="preserve"> </w:t>
            </w:r>
            <w:r>
              <w:rPr>
                <w:color w:val="231F20"/>
                <w:sz w:val="14"/>
              </w:rPr>
              <w:t>победи антифашистичке</w:t>
            </w:r>
            <w:r>
              <w:rPr>
                <w:color w:val="231F20"/>
                <w:spacing w:val="-1"/>
                <w:sz w:val="14"/>
              </w:rPr>
              <w:t xml:space="preserve"> </w:t>
            </w:r>
            <w:r>
              <w:rPr>
                <w:color w:val="231F20"/>
                <w:sz w:val="14"/>
              </w:rPr>
              <w:t>коалиције.</w:t>
            </w:r>
          </w:p>
          <w:p w:rsidR="00041039" w:rsidRDefault="001B26CB">
            <w:pPr>
              <w:pStyle w:val="TableParagraph"/>
              <w:numPr>
                <w:ilvl w:val="0"/>
                <w:numId w:val="336"/>
              </w:numPr>
              <w:tabs>
                <w:tab w:val="left" w:pos="157"/>
              </w:tabs>
              <w:spacing w:line="160" w:lineRule="exact"/>
              <w:ind w:right="187" w:hanging="99"/>
              <w:rPr>
                <w:sz w:val="14"/>
              </w:rPr>
            </w:pPr>
            <w:r>
              <w:rPr>
                <w:color w:val="231F20"/>
                <w:sz w:val="14"/>
              </w:rPr>
              <w:t>Проглашење</w:t>
            </w:r>
            <w:r>
              <w:rPr>
                <w:color w:val="231F20"/>
                <w:spacing w:val="-9"/>
                <w:sz w:val="14"/>
              </w:rPr>
              <w:t xml:space="preserve"> </w:t>
            </w:r>
            <w:r>
              <w:rPr>
                <w:color w:val="231F20"/>
                <w:sz w:val="14"/>
              </w:rPr>
              <w:t>републике</w:t>
            </w:r>
            <w:r>
              <w:rPr>
                <w:color w:val="231F20"/>
                <w:spacing w:val="-9"/>
                <w:sz w:val="14"/>
              </w:rPr>
              <w:t xml:space="preserve"> </w:t>
            </w:r>
            <w:r>
              <w:rPr>
                <w:color w:val="231F20"/>
                <w:sz w:val="14"/>
              </w:rPr>
              <w:t>и</w:t>
            </w:r>
            <w:r>
              <w:rPr>
                <w:color w:val="231F20"/>
                <w:spacing w:val="-9"/>
                <w:sz w:val="14"/>
              </w:rPr>
              <w:t xml:space="preserve"> </w:t>
            </w:r>
            <w:r>
              <w:rPr>
                <w:color w:val="231F20"/>
                <w:sz w:val="14"/>
              </w:rPr>
              <w:t>изградња</w:t>
            </w:r>
            <w:r>
              <w:rPr>
                <w:color w:val="231F20"/>
                <w:spacing w:val="-9"/>
                <w:sz w:val="14"/>
              </w:rPr>
              <w:t xml:space="preserve"> </w:t>
            </w:r>
            <w:r>
              <w:rPr>
                <w:color w:val="231F20"/>
                <w:sz w:val="14"/>
              </w:rPr>
              <w:t>новог државног и друштвеног</w:t>
            </w:r>
            <w:r>
              <w:rPr>
                <w:color w:val="231F20"/>
                <w:spacing w:val="-2"/>
                <w:sz w:val="14"/>
              </w:rPr>
              <w:t xml:space="preserve"> </w:t>
            </w:r>
            <w:r>
              <w:rPr>
                <w:color w:val="231F20"/>
                <w:sz w:val="14"/>
              </w:rPr>
              <w:t>уређења.</w:t>
            </w:r>
          </w:p>
          <w:p w:rsidR="00041039" w:rsidRDefault="001B26CB">
            <w:pPr>
              <w:pStyle w:val="TableParagraph"/>
              <w:numPr>
                <w:ilvl w:val="0"/>
                <w:numId w:val="336"/>
              </w:numPr>
              <w:tabs>
                <w:tab w:val="left" w:pos="157"/>
              </w:tabs>
              <w:spacing w:line="160" w:lineRule="exact"/>
              <w:ind w:right="323" w:hanging="99"/>
              <w:rPr>
                <w:sz w:val="14"/>
              </w:rPr>
            </w:pPr>
            <w:r>
              <w:rPr>
                <w:color w:val="231F20"/>
                <w:spacing w:val="-3"/>
                <w:sz w:val="14"/>
              </w:rPr>
              <w:t xml:space="preserve">Сукоб </w:t>
            </w:r>
            <w:r>
              <w:rPr>
                <w:color w:val="231F20"/>
                <w:sz w:val="14"/>
              </w:rPr>
              <w:t xml:space="preserve">Југославије и социјалистичких земаља резолуција Информбироа, </w:t>
            </w:r>
            <w:r>
              <w:rPr>
                <w:color w:val="231F20"/>
                <w:spacing w:val="-5"/>
                <w:sz w:val="14"/>
              </w:rPr>
              <w:t xml:space="preserve">Голи </w:t>
            </w:r>
            <w:r>
              <w:rPr>
                <w:color w:val="231F20"/>
                <w:sz w:val="14"/>
              </w:rPr>
              <w:t>оток.</w:t>
            </w:r>
          </w:p>
          <w:p w:rsidR="00041039" w:rsidRDefault="001B26CB">
            <w:pPr>
              <w:pStyle w:val="TableParagraph"/>
              <w:numPr>
                <w:ilvl w:val="0"/>
                <w:numId w:val="336"/>
              </w:numPr>
              <w:tabs>
                <w:tab w:val="left" w:pos="157"/>
              </w:tabs>
              <w:spacing w:line="153" w:lineRule="exact"/>
              <w:ind w:hanging="99"/>
              <w:rPr>
                <w:sz w:val="14"/>
              </w:rPr>
            </w:pPr>
            <w:r>
              <w:rPr>
                <w:color w:val="231F20"/>
                <w:sz w:val="14"/>
              </w:rPr>
              <w:t>Југославија између истока и</w:t>
            </w:r>
            <w:r>
              <w:rPr>
                <w:color w:val="231F20"/>
                <w:spacing w:val="-6"/>
                <w:sz w:val="14"/>
              </w:rPr>
              <w:t xml:space="preserve"> </w:t>
            </w:r>
            <w:r>
              <w:rPr>
                <w:color w:val="231F20"/>
                <w:sz w:val="14"/>
              </w:rPr>
              <w:t>запада.</w:t>
            </w:r>
          </w:p>
          <w:p w:rsidR="00041039" w:rsidRDefault="001B26CB">
            <w:pPr>
              <w:pStyle w:val="TableParagraph"/>
              <w:numPr>
                <w:ilvl w:val="0"/>
                <w:numId w:val="336"/>
              </w:numPr>
              <w:tabs>
                <w:tab w:val="left" w:pos="157"/>
              </w:tabs>
              <w:spacing w:line="237" w:lineRule="auto"/>
              <w:ind w:right="105" w:hanging="99"/>
              <w:rPr>
                <w:sz w:val="14"/>
              </w:rPr>
            </w:pPr>
            <w:r>
              <w:rPr>
                <w:color w:val="231F20"/>
                <w:sz w:val="14"/>
              </w:rPr>
              <w:t>Разбијање и распад Југославије ­ пораз Југославије</w:t>
            </w:r>
            <w:r>
              <w:rPr>
                <w:color w:val="231F20"/>
                <w:spacing w:val="-8"/>
                <w:sz w:val="14"/>
              </w:rPr>
              <w:t xml:space="preserve"> </w:t>
            </w:r>
            <w:r>
              <w:rPr>
                <w:color w:val="231F20"/>
                <w:sz w:val="14"/>
              </w:rPr>
              <w:t>као</w:t>
            </w:r>
            <w:r>
              <w:rPr>
                <w:color w:val="231F20"/>
                <w:spacing w:val="-8"/>
                <w:sz w:val="14"/>
              </w:rPr>
              <w:t xml:space="preserve"> </w:t>
            </w:r>
            <w:r>
              <w:rPr>
                <w:color w:val="231F20"/>
                <w:sz w:val="14"/>
              </w:rPr>
              <w:t>идеје,</w:t>
            </w:r>
            <w:r>
              <w:rPr>
                <w:color w:val="231F20"/>
                <w:spacing w:val="-8"/>
                <w:sz w:val="14"/>
              </w:rPr>
              <w:t xml:space="preserve"> </w:t>
            </w:r>
            <w:r>
              <w:rPr>
                <w:color w:val="231F20"/>
                <w:sz w:val="14"/>
              </w:rPr>
              <w:t>политичког</w:t>
            </w:r>
            <w:r>
              <w:rPr>
                <w:color w:val="231F20"/>
                <w:spacing w:val="-8"/>
                <w:sz w:val="14"/>
              </w:rPr>
              <w:t xml:space="preserve"> </w:t>
            </w:r>
            <w:r>
              <w:rPr>
                <w:color w:val="231F20"/>
                <w:sz w:val="14"/>
              </w:rPr>
              <w:t>пројекта и друштвеног система, велике силе и југословенска криза, ратови у Словенији, Хрватској, Босни и Херцеговини, на­ станак нових држава, сукоби на</w:t>
            </w:r>
            <w:r>
              <w:rPr>
                <w:color w:val="231F20"/>
                <w:spacing w:val="-13"/>
                <w:sz w:val="14"/>
              </w:rPr>
              <w:t xml:space="preserve"> </w:t>
            </w:r>
            <w:r>
              <w:rPr>
                <w:color w:val="231F20"/>
                <w:sz w:val="14"/>
              </w:rPr>
              <w:t>Косову</w:t>
            </w:r>
          </w:p>
          <w:p w:rsidR="00041039" w:rsidRDefault="001B26CB">
            <w:pPr>
              <w:pStyle w:val="TableParagraph"/>
              <w:ind w:right="84"/>
              <w:rPr>
                <w:sz w:val="14"/>
              </w:rPr>
            </w:pPr>
            <w:r>
              <w:rPr>
                <w:color w:val="231F20"/>
                <w:sz w:val="14"/>
              </w:rPr>
              <w:t>и Метохији и НАТО интервенција 1999., Косовско питање, раздвајање Србије и Црне Горе.</w:t>
            </w:r>
          </w:p>
          <w:p w:rsidR="00041039" w:rsidRDefault="001B26CB">
            <w:pPr>
              <w:pStyle w:val="TableParagraph"/>
              <w:numPr>
                <w:ilvl w:val="0"/>
                <w:numId w:val="336"/>
              </w:numPr>
              <w:tabs>
                <w:tab w:val="left" w:pos="157"/>
              </w:tabs>
              <w:spacing w:line="158" w:lineRule="exact"/>
              <w:ind w:hanging="99"/>
              <w:rPr>
                <w:sz w:val="14"/>
              </w:rPr>
            </w:pPr>
            <w:r>
              <w:rPr>
                <w:color w:val="231F20"/>
                <w:sz w:val="14"/>
              </w:rPr>
              <w:t>Најзначајније личности (краљ</w:t>
            </w:r>
            <w:r>
              <w:rPr>
                <w:color w:val="231F20"/>
                <w:spacing w:val="-9"/>
                <w:sz w:val="14"/>
              </w:rPr>
              <w:t xml:space="preserve"> </w:t>
            </w:r>
            <w:r>
              <w:rPr>
                <w:color w:val="231F20"/>
                <w:sz w:val="14"/>
              </w:rPr>
              <w:t>Александар</w:t>
            </w:r>
          </w:p>
          <w:p w:rsidR="00041039" w:rsidRDefault="001B26CB">
            <w:pPr>
              <w:pStyle w:val="TableParagraph"/>
              <w:numPr>
                <w:ilvl w:val="1"/>
                <w:numId w:val="336"/>
              </w:numPr>
              <w:tabs>
                <w:tab w:val="left" w:pos="239"/>
              </w:tabs>
              <w:ind w:right="255" w:firstLine="0"/>
              <w:rPr>
                <w:sz w:val="14"/>
              </w:rPr>
            </w:pPr>
            <w:r>
              <w:rPr>
                <w:color w:val="231F20"/>
                <w:sz w:val="14"/>
              </w:rPr>
              <w:t xml:space="preserve">Карађорђевић, </w:t>
            </w:r>
            <w:r>
              <w:rPr>
                <w:color w:val="231F20"/>
                <w:spacing w:val="-3"/>
                <w:sz w:val="14"/>
              </w:rPr>
              <w:t xml:space="preserve">Никола </w:t>
            </w:r>
            <w:r>
              <w:rPr>
                <w:color w:val="231F20"/>
                <w:sz w:val="14"/>
              </w:rPr>
              <w:t xml:space="preserve">Пашић, Стјепан Радић, Љуба Давидовић, Светозар Прибићевић, Антон Корошец, Милан Стојадиновић, </w:t>
            </w:r>
            <w:r>
              <w:rPr>
                <w:color w:val="231F20"/>
                <w:spacing w:val="-2"/>
                <w:sz w:val="14"/>
              </w:rPr>
              <w:t xml:space="preserve">Влатко </w:t>
            </w:r>
            <w:r>
              <w:rPr>
                <w:color w:val="231F20"/>
                <w:sz w:val="14"/>
              </w:rPr>
              <w:t>Мачек, к</w:t>
            </w:r>
            <w:r>
              <w:rPr>
                <w:color w:val="231F20"/>
                <w:sz w:val="14"/>
              </w:rPr>
              <w:t>нез Павле Карађорђевић, краљ</w:t>
            </w:r>
            <w:r>
              <w:rPr>
                <w:color w:val="231F20"/>
                <w:spacing w:val="-3"/>
                <w:sz w:val="14"/>
              </w:rPr>
              <w:t xml:space="preserve"> </w:t>
            </w:r>
            <w:r>
              <w:rPr>
                <w:color w:val="231F20"/>
                <w:sz w:val="14"/>
              </w:rPr>
              <w:t>Петар</w:t>
            </w:r>
          </w:p>
          <w:p w:rsidR="00041039" w:rsidRDefault="001B26CB">
            <w:pPr>
              <w:pStyle w:val="TableParagraph"/>
              <w:numPr>
                <w:ilvl w:val="1"/>
                <w:numId w:val="336"/>
              </w:numPr>
              <w:tabs>
                <w:tab w:val="left" w:pos="286"/>
              </w:tabs>
              <w:spacing w:line="237" w:lineRule="auto"/>
              <w:ind w:right="158" w:firstLine="0"/>
              <w:rPr>
                <w:sz w:val="14"/>
              </w:rPr>
            </w:pPr>
            <w:r>
              <w:rPr>
                <w:color w:val="231F20"/>
                <w:sz w:val="14"/>
              </w:rPr>
              <w:t>Карађорђевић, генерал Драгољуб Михаиловић, генерал Милан Недић,</w:t>
            </w:r>
            <w:r>
              <w:rPr>
                <w:color w:val="231F20"/>
                <w:spacing w:val="-17"/>
                <w:sz w:val="14"/>
              </w:rPr>
              <w:t xml:space="preserve"> </w:t>
            </w:r>
            <w:r>
              <w:rPr>
                <w:color w:val="231F20"/>
                <w:sz w:val="14"/>
              </w:rPr>
              <w:t>Анте Павелић, Јосип Броз Тито, Слободан Милошевић, Фрањо</w:t>
            </w:r>
            <w:r>
              <w:rPr>
                <w:color w:val="231F20"/>
                <w:spacing w:val="-4"/>
                <w:sz w:val="14"/>
              </w:rPr>
              <w:t xml:space="preserve"> </w:t>
            </w:r>
            <w:r>
              <w:rPr>
                <w:color w:val="231F20"/>
                <w:sz w:val="14"/>
              </w:rPr>
              <w:t>Туђман...).</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960"/>
        </w:trPr>
        <w:tc>
          <w:tcPr>
            <w:tcW w:w="1304" w:type="dxa"/>
          </w:tcPr>
          <w:p w:rsidR="00041039" w:rsidRDefault="001B26CB">
            <w:pPr>
              <w:pStyle w:val="TableParagraph"/>
              <w:spacing w:before="18"/>
              <w:ind w:left="56" w:right="85"/>
              <w:rPr>
                <w:sz w:val="14"/>
              </w:rPr>
            </w:pPr>
            <w:r>
              <w:rPr>
                <w:color w:val="231F20"/>
                <w:sz w:val="14"/>
              </w:rPr>
              <w:lastRenderedPageBreak/>
              <w:t>Достигнућа српске културе</w:t>
            </w:r>
          </w:p>
        </w:tc>
        <w:tc>
          <w:tcPr>
            <w:tcW w:w="1587" w:type="dxa"/>
          </w:tcPr>
          <w:p w:rsidR="00041039" w:rsidRDefault="001B26CB">
            <w:pPr>
              <w:pStyle w:val="TableParagraph"/>
              <w:numPr>
                <w:ilvl w:val="0"/>
                <w:numId w:val="335"/>
              </w:numPr>
              <w:tabs>
                <w:tab w:val="left" w:pos="157"/>
              </w:tabs>
              <w:spacing w:before="8"/>
              <w:ind w:right="324"/>
              <w:jc w:val="both"/>
              <w:rPr>
                <w:sz w:val="14"/>
              </w:rPr>
            </w:pPr>
            <w:r>
              <w:rPr>
                <w:color w:val="231F20"/>
                <w:sz w:val="14"/>
              </w:rPr>
              <w:t>Разумевање појма српског</w:t>
            </w:r>
            <w:r>
              <w:rPr>
                <w:color w:val="231F20"/>
                <w:spacing w:val="-18"/>
                <w:sz w:val="14"/>
              </w:rPr>
              <w:t xml:space="preserve"> </w:t>
            </w:r>
            <w:r>
              <w:rPr>
                <w:color w:val="231F20"/>
                <w:sz w:val="14"/>
              </w:rPr>
              <w:t>културног простора.</w:t>
            </w:r>
          </w:p>
          <w:p w:rsidR="00041039" w:rsidRDefault="001B26CB">
            <w:pPr>
              <w:pStyle w:val="TableParagraph"/>
              <w:numPr>
                <w:ilvl w:val="0"/>
                <w:numId w:val="335"/>
              </w:numPr>
              <w:tabs>
                <w:tab w:val="left" w:pos="157"/>
              </w:tabs>
              <w:spacing w:line="157" w:lineRule="exact"/>
              <w:rPr>
                <w:sz w:val="14"/>
              </w:rPr>
            </w:pPr>
            <w:r>
              <w:rPr>
                <w:color w:val="231F20"/>
                <w:sz w:val="14"/>
              </w:rPr>
              <w:t>Развијање</w:t>
            </w:r>
            <w:r>
              <w:rPr>
                <w:color w:val="231F20"/>
                <w:spacing w:val="-2"/>
                <w:sz w:val="14"/>
              </w:rPr>
              <w:t xml:space="preserve"> </w:t>
            </w:r>
            <w:r>
              <w:rPr>
                <w:color w:val="231F20"/>
                <w:sz w:val="14"/>
              </w:rPr>
              <w:t>свести</w:t>
            </w:r>
          </w:p>
          <w:p w:rsidR="00041039" w:rsidRDefault="001B26CB">
            <w:pPr>
              <w:pStyle w:val="TableParagraph"/>
              <w:numPr>
                <w:ilvl w:val="1"/>
                <w:numId w:val="335"/>
              </w:numPr>
              <w:tabs>
                <w:tab w:val="left" w:pos="262"/>
              </w:tabs>
              <w:ind w:right="173" w:firstLine="0"/>
              <w:rPr>
                <w:sz w:val="14"/>
              </w:rPr>
            </w:pPr>
            <w:r>
              <w:rPr>
                <w:color w:val="231F20"/>
                <w:sz w:val="14"/>
              </w:rPr>
              <w:t>вишевековном континуитету</w:t>
            </w:r>
            <w:r>
              <w:rPr>
                <w:color w:val="231F20"/>
                <w:spacing w:val="-13"/>
                <w:sz w:val="14"/>
              </w:rPr>
              <w:t xml:space="preserve"> </w:t>
            </w:r>
            <w:r>
              <w:rPr>
                <w:color w:val="231F20"/>
                <w:sz w:val="14"/>
              </w:rPr>
              <w:t>српске културе.</w:t>
            </w:r>
          </w:p>
          <w:p w:rsidR="00041039" w:rsidRDefault="001B26CB">
            <w:pPr>
              <w:pStyle w:val="TableParagraph"/>
              <w:numPr>
                <w:ilvl w:val="0"/>
                <w:numId w:val="335"/>
              </w:numPr>
              <w:tabs>
                <w:tab w:val="left" w:pos="157"/>
              </w:tabs>
              <w:spacing w:line="158" w:lineRule="exact"/>
              <w:rPr>
                <w:sz w:val="14"/>
              </w:rPr>
            </w:pPr>
            <w:r>
              <w:rPr>
                <w:color w:val="231F20"/>
                <w:sz w:val="14"/>
              </w:rPr>
              <w:t>Сагледавање</w:t>
            </w:r>
            <w:r>
              <w:rPr>
                <w:color w:val="231F20"/>
                <w:spacing w:val="-3"/>
                <w:sz w:val="14"/>
              </w:rPr>
              <w:t xml:space="preserve"> </w:t>
            </w:r>
            <w:r>
              <w:rPr>
                <w:color w:val="231F20"/>
                <w:sz w:val="14"/>
              </w:rPr>
              <w:t>српске</w:t>
            </w:r>
          </w:p>
          <w:p w:rsidR="00041039" w:rsidRDefault="001B26CB">
            <w:pPr>
              <w:pStyle w:val="TableParagraph"/>
              <w:ind w:right="15"/>
              <w:rPr>
                <w:sz w:val="14"/>
              </w:rPr>
            </w:pPr>
            <w:r>
              <w:rPr>
                <w:color w:val="231F20"/>
                <w:sz w:val="14"/>
              </w:rPr>
              <w:t>културе као дела европског културног наслеђа.</w:t>
            </w:r>
          </w:p>
          <w:p w:rsidR="00041039" w:rsidRDefault="001B26CB">
            <w:pPr>
              <w:pStyle w:val="TableParagraph"/>
              <w:numPr>
                <w:ilvl w:val="0"/>
                <w:numId w:val="335"/>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numPr>
                <w:ilvl w:val="1"/>
                <w:numId w:val="335"/>
              </w:numPr>
              <w:tabs>
                <w:tab w:val="left" w:pos="262"/>
              </w:tabs>
              <w:ind w:right="115" w:firstLine="0"/>
              <w:rPr>
                <w:sz w:val="14"/>
              </w:rPr>
            </w:pPr>
            <w:r>
              <w:rPr>
                <w:color w:val="231F20"/>
                <w:sz w:val="14"/>
              </w:rPr>
              <w:t>највишим</w:t>
            </w:r>
            <w:r>
              <w:rPr>
                <w:color w:val="231F20"/>
                <w:spacing w:val="-10"/>
                <w:sz w:val="14"/>
              </w:rPr>
              <w:t xml:space="preserve"> </w:t>
            </w:r>
            <w:r>
              <w:rPr>
                <w:color w:val="231F20"/>
                <w:sz w:val="14"/>
              </w:rPr>
              <w:t>дометима и представницима српске</w:t>
            </w:r>
            <w:r>
              <w:rPr>
                <w:color w:val="231F20"/>
                <w:spacing w:val="-2"/>
                <w:sz w:val="14"/>
              </w:rPr>
              <w:t xml:space="preserve"> </w:t>
            </w:r>
            <w:r>
              <w:rPr>
                <w:color w:val="231F20"/>
                <w:sz w:val="14"/>
              </w:rPr>
              <w:t>културе.</w:t>
            </w:r>
          </w:p>
          <w:p w:rsidR="00041039" w:rsidRDefault="001B26CB">
            <w:pPr>
              <w:pStyle w:val="TableParagraph"/>
              <w:numPr>
                <w:ilvl w:val="0"/>
                <w:numId w:val="335"/>
              </w:numPr>
              <w:tabs>
                <w:tab w:val="left" w:pos="157"/>
              </w:tabs>
              <w:spacing w:line="158" w:lineRule="exact"/>
              <w:rPr>
                <w:sz w:val="14"/>
              </w:rPr>
            </w:pPr>
            <w:r>
              <w:rPr>
                <w:color w:val="231F20"/>
                <w:sz w:val="14"/>
              </w:rPr>
              <w:t>Развијање</w:t>
            </w:r>
            <w:r>
              <w:rPr>
                <w:color w:val="231F20"/>
                <w:spacing w:val="-2"/>
                <w:sz w:val="14"/>
              </w:rPr>
              <w:t xml:space="preserve"> </w:t>
            </w:r>
            <w:r>
              <w:rPr>
                <w:color w:val="231F20"/>
                <w:sz w:val="14"/>
              </w:rPr>
              <w:t>свести</w:t>
            </w:r>
          </w:p>
          <w:p w:rsidR="00041039" w:rsidRDefault="001B26CB">
            <w:pPr>
              <w:pStyle w:val="TableParagraph"/>
              <w:ind w:right="152"/>
              <w:rPr>
                <w:sz w:val="14"/>
              </w:rPr>
            </w:pPr>
            <w:r>
              <w:rPr>
                <w:color w:val="231F20"/>
                <w:sz w:val="14"/>
              </w:rPr>
              <w:t>означају образовања за општи културни напредак.</w:t>
            </w:r>
          </w:p>
          <w:p w:rsidR="00041039" w:rsidRDefault="001B26CB">
            <w:pPr>
              <w:pStyle w:val="TableParagraph"/>
              <w:numPr>
                <w:ilvl w:val="0"/>
                <w:numId w:val="335"/>
              </w:numPr>
              <w:tabs>
                <w:tab w:val="left" w:pos="157"/>
              </w:tabs>
              <w:spacing w:line="158" w:lineRule="exact"/>
              <w:rPr>
                <w:sz w:val="14"/>
              </w:rPr>
            </w:pPr>
            <w:r>
              <w:rPr>
                <w:color w:val="231F20"/>
                <w:spacing w:val="-3"/>
                <w:sz w:val="14"/>
              </w:rPr>
              <w:t xml:space="preserve">Уочавање </w:t>
            </w:r>
            <w:r>
              <w:rPr>
                <w:color w:val="231F20"/>
                <w:sz w:val="14"/>
              </w:rPr>
              <w:t>промена</w:t>
            </w:r>
            <w:r>
              <w:rPr>
                <w:color w:val="231F20"/>
                <w:spacing w:val="1"/>
                <w:sz w:val="14"/>
              </w:rPr>
              <w:t xml:space="preserve"> </w:t>
            </w:r>
            <w:r>
              <w:rPr>
                <w:color w:val="231F20"/>
                <w:sz w:val="14"/>
              </w:rPr>
              <w:t>у</w:t>
            </w:r>
          </w:p>
          <w:p w:rsidR="00041039" w:rsidRDefault="001B26CB">
            <w:pPr>
              <w:pStyle w:val="TableParagraph"/>
              <w:ind w:right="15"/>
              <w:rPr>
                <w:sz w:val="14"/>
              </w:rPr>
            </w:pPr>
            <w:r>
              <w:rPr>
                <w:color w:val="231F20"/>
                <w:sz w:val="14"/>
              </w:rPr>
              <w:t>свакодневном животу код Срба кроз векове.</w:t>
            </w:r>
          </w:p>
        </w:tc>
        <w:tc>
          <w:tcPr>
            <w:tcW w:w="2551" w:type="dxa"/>
          </w:tcPr>
          <w:p w:rsidR="00041039" w:rsidRDefault="001B26CB">
            <w:pPr>
              <w:pStyle w:val="TableParagraph"/>
              <w:numPr>
                <w:ilvl w:val="0"/>
                <w:numId w:val="334"/>
              </w:numPr>
              <w:tabs>
                <w:tab w:val="left" w:pos="157"/>
              </w:tabs>
              <w:spacing w:before="8"/>
              <w:ind w:right="104" w:hanging="99"/>
              <w:rPr>
                <w:sz w:val="14"/>
              </w:rPr>
            </w:pPr>
            <w:r>
              <w:rPr>
                <w:color w:val="231F20"/>
                <w:sz w:val="14"/>
              </w:rPr>
              <w:t>разликује периоде у којима су</w:t>
            </w:r>
            <w:r>
              <w:rPr>
                <w:color w:val="231F20"/>
                <w:spacing w:val="-23"/>
                <w:sz w:val="14"/>
              </w:rPr>
              <w:t xml:space="preserve"> </w:t>
            </w:r>
            <w:r>
              <w:rPr>
                <w:color w:val="231F20"/>
                <w:sz w:val="14"/>
              </w:rPr>
              <w:t>настала најзначајнија дела српске</w:t>
            </w:r>
            <w:r>
              <w:rPr>
                <w:color w:val="231F20"/>
                <w:spacing w:val="-9"/>
                <w:sz w:val="14"/>
              </w:rPr>
              <w:t xml:space="preserve"> </w:t>
            </w:r>
            <w:r>
              <w:rPr>
                <w:color w:val="231F20"/>
                <w:sz w:val="14"/>
              </w:rPr>
              <w:t>културе;</w:t>
            </w:r>
          </w:p>
          <w:p w:rsidR="00041039" w:rsidRDefault="001B26CB">
            <w:pPr>
              <w:pStyle w:val="TableParagraph"/>
              <w:numPr>
                <w:ilvl w:val="0"/>
                <w:numId w:val="334"/>
              </w:numPr>
              <w:tabs>
                <w:tab w:val="left" w:pos="157"/>
              </w:tabs>
              <w:spacing w:line="160" w:lineRule="exact"/>
              <w:ind w:right="106" w:hanging="99"/>
              <w:rPr>
                <w:sz w:val="14"/>
              </w:rPr>
            </w:pPr>
            <w:r>
              <w:rPr>
                <w:color w:val="231F20"/>
                <w:sz w:val="14"/>
              </w:rPr>
              <w:t>упореди одлике српске културе</w:t>
            </w:r>
            <w:r>
              <w:rPr>
                <w:color w:val="231F20"/>
                <w:spacing w:val="-27"/>
                <w:sz w:val="14"/>
              </w:rPr>
              <w:t xml:space="preserve"> </w:t>
            </w:r>
            <w:r>
              <w:rPr>
                <w:color w:val="231F20"/>
                <w:sz w:val="14"/>
              </w:rPr>
              <w:t>разли­ читих</w:t>
            </w:r>
            <w:r>
              <w:rPr>
                <w:color w:val="231F20"/>
                <w:spacing w:val="-1"/>
                <w:sz w:val="14"/>
              </w:rPr>
              <w:t xml:space="preserve"> </w:t>
            </w:r>
            <w:r>
              <w:rPr>
                <w:color w:val="231F20"/>
                <w:sz w:val="14"/>
              </w:rPr>
              <w:t>периода;</w:t>
            </w:r>
          </w:p>
          <w:p w:rsidR="00041039" w:rsidRDefault="001B26CB">
            <w:pPr>
              <w:pStyle w:val="TableParagraph"/>
              <w:numPr>
                <w:ilvl w:val="0"/>
                <w:numId w:val="334"/>
              </w:numPr>
              <w:tabs>
                <w:tab w:val="left" w:pos="157"/>
              </w:tabs>
              <w:spacing w:line="160" w:lineRule="exact"/>
              <w:ind w:right="162" w:hanging="99"/>
              <w:rPr>
                <w:sz w:val="14"/>
              </w:rPr>
            </w:pPr>
            <w:r>
              <w:rPr>
                <w:color w:val="231F20"/>
                <w:sz w:val="14"/>
              </w:rPr>
              <w:t>објасни утицаје историјских</w:t>
            </w:r>
            <w:r>
              <w:rPr>
                <w:color w:val="231F20"/>
                <w:spacing w:val="-9"/>
                <w:sz w:val="14"/>
              </w:rPr>
              <w:t xml:space="preserve"> </w:t>
            </w:r>
            <w:r>
              <w:rPr>
                <w:color w:val="231F20"/>
                <w:sz w:val="14"/>
              </w:rPr>
              <w:t>збивања на културна</w:t>
            </w:r>
            <w:r>
              <w:rPr>
                <w:color w:val="231F20"/>
                <w:spacing w:val="-2"/>
                <w:sz w:val="14"/>
              </w:rPr>
              <w:t xml:space="preserve"> </w:t>
            </w:r>
            <w:r>
              <w:rPr>
                <w:color w:val="231F20"/>
                <w:sz w:val="14"/>
              </w:rPr>
              <w:t>кретања;</w:t>
            </w:r>
          </w:p>
          <w:p w:rsidR="00041039" w:rsidRDefault="001B26CB">
            <w:pPr>
              <w:pStyle w:val="TableParagraph"/>
              <w:numPr>
                <w:ilvl w:val="0"/>
                <w:numId w:val="334"/>
              </w:numPr>
              <w:tabs>
                <w:tab w:val="left" w:pos="157"/>
              </w:tabs>
              <w:spacing w:before="1" w:line="160" w:lineRule="exact"/>
              <w:ind w:right="256" w:hanging="99"/>
              <w:rPr>
                <w:sz w:val="14"/>
              </w:rPr>
            </w:pPr>
            <w:r>
              <w:rPr>
                <w:color w:val="231F20"/>
                <w:sz w:val="14"/>
              </w:rPr>
              <w:t>опише одлике свакодневног</w:t>
            </w:r>
            <w:r>
              <w:rPr>
                <w:color w:val="231F20"/>
                <w:spacing w:val="-25"/>
                <w:sz w:val="14"/>
              </w:rPr>
              <w:t xml:space="preserve"> </w:t>
            </w:r>
            <w:r>
              <w:rPr>
                <w:color w:val="231F20"/>
                <w:sz w:val="14"/>
              </w:rPr>
              <w:t xml:space="preserve">живота </w:t>
            </w:r>
            <w:r>
              <w:rPr>
                <w:color w:val="231F20"/>
                <w:spacing w:val="-5"/>
                <w:sz w:val="14"/>
              </w:rPr>
              <w:t xml:space="preserve">код </w:t>
            </w:r>
            <w:r>
              <w:rPr>
                <w:color w:val="231F20"/>
                <w:sz w:val="14"/>
              </w:rPr>
              <w:t>Срба у различитим епохама и областима;</w:t>
            </w:r>
          </w:p>
          <w:p w:rsidR="00041039" w:rsidRDefault="001B26CB">
            <w:pPr>
              <w:pStyle w:val="TableParagraph"/>
              <w:numPr>
                <w:ilvl w:val="0"/>
                <w:numId w:val="334"/>
              </w:numPr>
              <w:tabs>
                <w:tab w:val="left" w:pos="157"/>
              </w:tabs>
              <w:spacing w:line="160" w:lineRule="exact"/>
              <w:ind w:right="196" w:hanging="99"/>
              <w:rPr>
                <w:sz w:val="14"/>
              </w:rPr>
            </w:pPr>
            <w:r>
              <w:rPr>
                <w:color w:val="231F20"/>
                <w:sz w:val="14"/>
              </w:rPr>
              <w:t>именује најважније личности које</w:t>
            </w:r>
            <w:r>
              <w:rPr>
                <w:color w:val="231F20"/>
                <w:spacing w:val="-21"/>
                <w:sz w:val="14"/>
              </w:rPr>
              <w:t xml:space="preserve"> </w:t>
            </w:r>
            <w:r>
              <w:rPr>
                <w:color w:val="231F20"/>
                <w:sz w:val="14"/>
              </w:rPr>
              <w:t>су заслужне за развој српске</w:t>
            </w:r>
            <w:r>
              <w:rPr>
                <w:color w:val="231F20"/>
                <w:spacing w:val="-14"/>
                <w:sz w:val="14"/>
              </w:rPr>
              <w:t xml:space="preserve"> </w:t>
            </w:r>
            <w:r>
              <w:rPr>
                <w:color w:val="231F20"/>
                <w:sz w:val="14"/>
              </w:rPr>
              <w:t>културе;</w:t>
            </w:r>
          </w:p>
        </w:tc>
        <w:tc>
          <w:tcPr>
            <w:tcW w:w="2834" w:type="dxa"/>
          </w:tcPr>
          <w:p w:rsidR="00041039" w:rsidRDefault="001B26CB">
            <w:pPr>
              <w:pStyle w:val="TableParagraph"/>
              <w:numPr>
                <w:ilvl w:val="0"/>
                <w:numId w:val="333"/>
              </w:numPr>
              <w:tabs>
                <w:tab w:val="left" w:pos="157"/>
              </w:tabs>
              <w:spacing w:before="8"/>
              <w:ind w:right="527" w:hanging="99"/>
              <w:rPr>
                <w:sz w:val="14"/>
              </w:rPr>
            </w:pPr>
            <w:r>
              <w:rPr>
                <w:color w:val="231F20"/>
                <w:sz w:val="14"/>
              </w:rPr>
              <w:t>Средњовековна култура Срба</w:t>
            </w:r>
            <w:r>
              <w:rPr>
                <w:color w:val="231F20"/>
                <w:spacing w:val="-23"/>
                <w:sz w:val="14"/>
              </w:rPr>
              <w:t xml:space="preserve"> </w:t>
            </w:r>
            <w:r>
              <w:rPr>
                <w:color w:val="231F20"/>
                <w:sz w:val="14"/>
              </w:rPr>
              <w:t>(језик и писмо, верски карактер</w:t>
            </w:r>
            <w:r>
              <w:rPr>
                <w:color w:val="231F20"/>
                <w:spacing w:val="-17"/>
                <w:sz w:val="14"/>
              </w:rPr>
              <w:t xml:space="preserve"> </w:t>
            </w:r>
            <w:r>
              <w:rPr>
                <w:color w:val="231F20"/>
                <w:sz w:val="14"/>
              </w:rPr>
              <w:t>културе.</w:t>
            </w:r>
          </w:p>
          <w:p w:rsidR="00041039" w:rsidRDefault="001B26CB">
            <w:pPr>
              <w:pStyle w:val="TableParagraph"/>
              <w:spacing w:line="237" w:lineRule="auto"/>
              <w:ind w:right="280"/>
              <w:jc w:val="both"/>
              <w:rPr>
                <w:sz w:val="14"/>
              </w:rPr>
            </w:pPr>
            <w:r>
              <w:rPr>
                <w:color w:val="231F20"/>
                <w:sz w:val="14"/>
              </w:rPr>
              <w:t>Мирослављево јеванђеље, књижевност, најзначајније задужбине, правни</w:t>
            </w:r>
            <w:r>
              <w:rPr>
                <w:color w:val="231F20"/>
                <w:spacing w:val="-24"/>
                <w:sz w:val="14"/>
              </w:rPr>
              <w:t xml:space="preserve"> </w:t>
            </w:r>
            <w:r>
              <w:rPr>
                <w:color w:val="231F20"/>
                <w:sz w:val="14"/>
              </w:rPr>
              <w:t>споме­ ници).</w:t>
            </w:r>
          </w:p>
          <w:p w:rsidR="00041039" w:rsidRDefault="001B26CB">
            <w:pPr>
              <w:pStyle w:val="TableParagraph"/>
              <w:numPr>
                <w:ilvl w:val="0"/>
                <w:numId w:val="333"/>
              </w:numPr>
              <w:tabs>
                <w:tab w:val="left" w:pos="157"/>
              </w:tabs>
              <w:spacing w:line="237" w:lineRule="auto"/>
              <w:ind w:right="72" w:hanging="99"/>
              <w:rPr>
                <w:sz w:val="14"/>
              </w:rPr>
            </w:pPr>
            <w:r>
              <w:rPr>
                <w:color w:val="231F20"/>
                <w:sz w:val="14"/>
              </w:rPr>
              <w:t>Последице сеоба на српску културу</w:t>
            </w:r>
            <w:r>
              <w:rPr>
                <w:color w:val="231F20"/>
                <w:spacing w:val="-23"/>
                <w:sz w:val="14"/>
              </w:rPr>
              <w:t xml:space="preserve"> </w:t>
            </w:r>
            <w:r>
              <w:rPr>
                <w:color w:val="231F20"/>
                <w:sz w:val="14"/>
              </w:rPr>
              <w:t>(утицај западноевропских културних кретања на српску</w:t>
            </w:r>
            <w:r>
              <w:rPr>
                <w:color w:val="231F20"/>
                <w:spacing w:val="-1"/>
                <w:sz w:val="14"/>
              </w:rPr>
              <w:t xml:space="preserve"> </w:t>
            </w:r>
            <w:r>
              <w:rPr>
                <w:color w:val="231F20"/>
                <w:sz w:val="14"/>
              </w:rPr>
              <w:t>културу).</w:t>
            </w:r>
          </w:p>
          <w:p w:rsidR="00041039" w:rsidRDefault="001B26CB">
            <w:pPr>
              <w:pStyle w:val="TableParagraph"/>
              <w:numPr>
                <w:ilvl w:val="0"/>
                <w:numId w:val="333"/>
              </w:numPr>
              <w:tabs>
                <w:tab w:val="left" w:pos="157"/>
              </w:tabs>
              <w:spacing w:line="156" w:lineRule="exact"/>
              <w:ind w:hanging="99"/>
              <w:rPr>
                <w:sz w:val="14"/>
              </w:rPr>
            </w:pPr>
            <w:r>
              <w:rPr>
                <w:color w:val="231F20"/>
                <w:spacing w:val="-4"/>
                <w:sz w:val="14"/>
              </w:rPr>
              <w:t xml:space="preserve">Успон </w:t>
            </w:r>
            <w:r>
              <w:rPr>
                <w:color w:val="231F20"/>
                <w:sz w:val="14"/>
              </w:rPr>
              <w:t>грађанске</w:t>
            </w:r>
            <w:r>
              <w:rPr>
                <w:color w:val="231F20"/>
                <w:spacing w:val="2"/>
                <w:sz w:val="14"/>
              </w:rPr>
              <w:t xml:space="preserve"> </w:t>
            </w:r>
            <w:r>
              <w:rPr>
                <w:color w:val="231F20"/>
                <w:sz w:val="14"/>
              </w:rPr>
              <w:t>класе.</w:t>
            </w:r>
          </w:p>
          <w:p w:rsidR="00041039" w:rsidRDefault="001B26CB">
            <w:pPr>
              <w:pStyle w:val="TableParagraph"/>
              <w:numPr>
                <w:ilvl w:val="0"/>
                <w:numId w:val="333"/>
              </w:numPr>
              <w:tabs>
                <w:tab w:val="left" w:pos="157"/>
              </w:tabs>
              <w:spacing w:line="237" w:lineRule="auto"/>
              <w:ind w:right="351" w:hanging="99"/>
              <w:rPr>
                <w:sz w:val="14"/>
              </w:rPr>
            </w:pPr>
            <w:r>
              <w:rPr>
                <w:color w:val="231F20"/>
                <w:sz w:val="14"/>
              </w:rPr>
              <w:t>Свакодневни</w:t>
            </w:r>
            <w:r>
              <w:rPr>
                <w:color w:val="231F20"/>
                <w:spacing w:val="-8"/>
                <w:sz w:val="14"/>
              </w:rPr>
              <w:t xml:space="preserve"> </w:t>
            </w:r>
            <w:r>
              <w:rPr>
                <w:color w:val="231F20"/>
                <w:sz w:val="14"/>
              </w:rPr>
              <w:t>живот</w:t>
            </w:r>
            <w:r>
              <w:rPr>
                <w:color w:val="231F20"/>
                <w:spacing w:val="-8"/>
                <w:sz w:val="14"/>
              </w:rPr>
              <w:t xml:space="preserve"> </w:t>
            </w:r>
            <w:r>
              <w:rPr>
                <w:color w:val="231F20"/>
                <w:sz w:val="14"/>
              </w:rPr>
              <w:t>сеоског</w:t>
            </w:r>
            <w:r>
              <w:rPr>
                <w:color w:val="231F20"/>
                <w:spacing w:val="-8"/>
                <w:sz w:val="14"/>
              </w:rPr>
              <w:t xml:space="preserve"> </w:t>
            </w:r>
            <w:r>
              <w:rPr>
                <w:color w:val="231F20"/>
                <w:sz w:val="14"/>
              </w:rPr>
              <w:t>и</w:t>
            </w:r>
            <w:r>
              <w:rPr>
                <w:color w:val="231F20"/>
                <w:spacing w:val="-9"/>
                <w:sz w:val="14"/>
              </w:rPr>
              <w:t xml:space="preserve"> </w:t>
            </w:r>
            <w:r>
              <w:rPr>
                <w:color w:val="231F20"/>
                <w:sz w:val="14"/>
              </w:rPr>
              <w:t>градског становништва.</w:t>
            </w:r>
          </w:p>
          <w:p w:rsidR="00041039" w:rsidRDefault="001B26CB">
            <w:pPr>
              <w:pStyle w:val="TableParagraph"/>
              <w:numPr>
                <w:ilvl w:val="0"/>
                <w:numId w:val="333"/>
              </w:numPr>
              <w:tabs>
                <w:tab w:val="left" w:pos="157"/>
              </w:tabs>
              <w:spacing w:line="160" w:lineRule="exact"/>
              <w:ind w:right="82" w:hanging="99"/>
              <w:rPr>
                <w:sz w:val="14"/>
              </w:rPr>
            </w:pPr>
            <w:r>
              <w:rPr>
                <w:color w:val="231F20"/>
                <w:spacing w:val="-3"/>
                <w:sz w:val="14"/>
              </w:rPr>
              <w:t xml:space="preserve">Културна </w:t>
            </w:r>
            <w:r>
              <w:rPr>
                <w:color w:val="231F20"/>
                <w:sz w:val="14"/>
              </w:rPr>
              <w:t xml:space="preserve">и просветна политика ­ оснивање Велике </w:t>
            </w:r>
            <w:r>
              <w:rPr>
                <w:color w:val="231F20"/>
                <w:spacing w:val="-3"/>
                <w:sz w:val="14"/>
              </w:rPr>
              <w:t xml:space="preserve">школе, </w:t>
            </w:r>
            <w:r>
              <w:rPr>
                <w:color w:val="231F20"/>
                <w:sz w:val="14"/>
              </w:rPr>
              <w:t>Универзитета, Академије наука, Народног</w:t>
            </w:r>
            <w:r>
              <w:rPr>
                <w:color w:val="231F20"/>
                <w:spacing w:val="-2"/>
                <w:sz w:val="14"/>
              </w:rPr>
              <w:t xml:space="preserve"> </w:t>
            </w:r>
            <w:r>
              <w:rPr>
                <w:color w:val="231F20"/>
                <w:sz w:val="14"/>
              </w:rPr>
              <w:t>позоришта.</w:t>
            </w:r>
          </w:p>
          <w:p w:rsidR="00041039" w:rsidRDefault="001B26CB">
            <w:pPr>
              <w:pStyle w:val="TableParagraph"/>
              <w:numPr>
                <w:ilvl w:val="0"/>
                <w:numId w:val="333"/>
              </w:numPr>
              <w:tabs>
                <w:tab w:val="left" w:pos="157"/>
              </w:tabs>
              <w:spacing w:line="153" w:lineRule="exact"/>
              <w:ind w:hanging="99"/>
              <w:rPr>
                <w:sz w:val="14"/>
              </w:rPr>
            </w:pPr>
            <w:r>
              <w:rPr>
                <w:color w:val="231F20"/>
                <w:sz w:val="14"/>
              </w:rPr>
              <w:t>Европски културни</w:t>
            </w:r>
            <w:r>
              <w:rPr>
                <w:color w:val="231F20"/>
                <w:spacing w:val="-1"/>
                <w:sz w:val="14"/>
              </w:rPr>
              <w:t xml:space="preserve"> </w:t>
            </w:r>
            <w:r>
              <w:rPr>
                <w:color w:val="231F20"/>
                <w:sz w:val="14"/>
              </w:rPr>
              <w:t>утицаји.</w:t>
            </w:r>
          </w:p>
          <w:p w:rsidR="00041039" w:rsidRDefault="001B26CB">
            <w:pPr>
              <w:pStyle w:val="TableParagraph"/>
              <w:numPr>
                <w:ilvl w:val="0"/>
                <w:numId w:val="333"/>
              </w:numPr>
              <w:tabs>
                <w:tab w:val="left" w:pos="157"/>
              </w:tabs>
              <w:spacing w:line="237" w:lineRule="auto"/>
              <w:ind w:right="104" w:hanging="99"/>
              <w:rPr>
                <w:sz w:val="14"/>
              </w:rPr>
            </w:pPr>
            <w:r>
              <w:rPr>
                <w:color w:val="231F20"/>
                <w:sz w:val="14"/>
              </w:rPr>
              <w:t>Личности ­ Свети Сава, деспот Стефан Лазаревић, монахиња Јефимија, Доситеј Обрадовић, Вук Караџић, Сава Текелија, Петар II Петровић Његош, Паја</w:t>
            </w:r>
            <w:r>
              <w:rPr>
                <w:color w:val="231F20"/>
                <w:spacing w:val="-16"/>
                <w:sz w:val="14"/>
              </w:rPr>
              <w:t xml:space="preserve"> </w:t>
            </w:r>
            <w:r>
              <w:rPr>
                <w:color w:val="231F20"/>
                <w:sz w:val="14"/>
              </w:rPr>
              <w:t xml:space="preserve">Јовановић, </w:t>
            </w:r>
            <w:r>
              <w:rPr>
                <w:color w:val="231F20"/>
                <w:spacing w:val="-4"/>
                <w:sz w:val="14"/>
              </w:rPr>
              <w:t xml:space="preserve">Урош </w:t>
            </w:r>
            <w:r>
              <w:rPr>
                <w:color w:val="231F20"/>
                <w:sz w:val="14"/>
              </w:rPr>
              <w:t>Предић, Надежда Петровић, Лаза Костић...);</w:t>
            </w:r>
          </w:p>
          <w:p w:rsidR="00041039" w:rsidRDefault="001B26CB">
            <w:pPr>
              <w:pStyle w:val="TableParagraph"/>
              <w:numPr>
                <w:ilvl w:val="0"/>
                <w:numId w:val="333"/>
              </w:numPr>
              <w:tabs>
                <w:tab w:val="left" w:pos="157"/>
              </w:tabs>
              <w:spacing w:line="237" w:lineRule="auto"/>
              <w:ind w:right="75" w:hanging="99"/>
              <w:rPr>
                <w:sz w:val="14"/>
              </w:rPr>
            </w:pPr>
            <w:r>
              <w:rPr>
                <w:color w:val="231F20"/>
                <w:sz w:val="14"/>
              </w:rPr>
              <w:t>Српска култура као део југословенског културног прост</w:t>
            </w:r>
            <w:r>
              <w:rPr>
                <w:color w:val="231F20"/>
                <w:sz w:val="14"/>
              </w:rPr>
              <w:t xml:space="preserve">ора (културна сарадња и прожимања, наука, уметнички покрети, хуманитарне и спортске организације, популарна култура, личности ­ </w:t>
            </w:r>
            <w:r>
              <w:rPr>
                <w:color w:val="231F20"/>
                <w:spacing w:val="-3"/>
                <w:sz w:val="14"/>
              </w:rPr>
              <w:t xml:space="preserve">Никола </w:t>
            </w:r>
            <w:r>
              <w:rPr>
                <w:color w:val="231F20"/>
                <w:sz w:val="14"/>
              </w:rPr>
              <w:t>Тесла, Михајло Пупин, Михаило Петровић Алас,</w:t>
            </w:r>
            <w:r>
              <w:rPr>
                <w:color w:val="231F20"/>
                <w:spacing w:val="-8"/>
                <w:sz w:val="14"/>
              </w:rPr>
              <w:t xml:space="preserve"> </w:t>
            </w:r>
            <w:r>
              <w:rPr>
                <w:color w:val="231F20"/>
                <w:sz w:val="14"/>
              </w:rPr>
              <w:t>Јован</w:t>
            </w:r>
            <w:r>
              <w:rPr>
                <w:color w:val="231F20"/>
                <w:spacing w:val="-7"/>
                <w:sz w:val="14"/>
              </w:rPr>
              <w:t xml:space="preserve"> </w:t>
            </w:r>
            <w:r>
              <w:rPr>
                <w:color w:val="231F20"/>
                <w:sz w:val="14"/>
              </w:rPr>
              <w:t>Цвијић,</w:t>
            </w:r>
            <w:r>
              <w:rPr>
                <w:color w:val="231F20"/>
                <w:spacing w:val="-8"/>
                <w:sz w:val="14"/>
              </w:rPr>
              <w:t xml:space="preserve"> </w:t>
            </w:r>
            <w:r>
              <w:rPr>
                <w:color w:val="231F20"/>
                <w:sz w:val="14"/>
              </w:rPr>
              <w:t>Милутин</w:t>
            </w:r>
            <w:r>
              <w:rPr>
                <w:color w:val="231F20"/>
                <w:spacing w:val="-8"/>
                <w:sz w:val="14"/>
              </w:rPr>
              <w:t xml:space="preserve"> </w:t>
            </w:r>
            <w:r>
              <w:rPr>
                <w:color w:val="231F20"/>
                <w:sz w:val="14"/>
              </w:rPr>
              <w:t>Миланковић, Бранислав Нушић, Исидора Секулић, Јован Ду</w:t>
            </w:r>
            <w:r>
              <w:rPr>
                <w:color w:val="231F20"/>
                <w:sz w:val="14"/>
              </w:rPr>
              <w:t>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Ђосић, Александар Петровић, Александар Поповић, Емир Кустурица, Душан Ковачевић...).</w:t>
            </w:r>
          </w:p>
        </w:tc>
        <w:tc>
          <w:tcPr>
            <w:tcW w:w="2267" w:type="dxa"/>
            <w:vMerge w:val="restart"/>
          </w:tcPr>
          <w:p w:rsidR="00041039" w:rsidRDefault="001B26CB">
            <w:pPr>
              <w:pStyle w:val="TableParagraph"/>
              <w:numPr>
                <w:ilvl w:val="0"/>
                <w:numId w:val="332"/>
              </w:numPr>
              <w:tabs>
                <w:tab w:val="left" w:pos="158"/>
              </w:tabs>
              <w:spacing w:before="9"/>
              <w:ind w:right="72" w:hanging="99"/>
              <w:rPr>
                <w:sz w:val="14"/>
              </w:rPr>
            </w:pPr>
            <w:r>
              <w:rPr>
                <w:color w:val="231F20"/>
                <w:sz w:val="14"/>
              </w:rPr>
              <w:t>у настави треба што више користити различите облике организоване активности</w:t>
            </w:r>
            <w:r>
              <w:rPr>
                <w:color w:val="231F20"/>
                <w:spacing w:val="-5"/>
                <w:sz w:val="14"/>
              </w:rPr>
              <w:t xml:space="preserve"> </w:t>
            </w:r>
            <w:r>
              <w:rPr>
                <w:color w:val="231F20"/>
                <w:sz w:val="14"/>
              </w:rPr>
              <w:t xml:space="preserve">ученика (индивидуални рад, рад у </w:t>
            </w:r>
            <w:r>
              <w:rPr>
                <w:color w:val="231F20"/>
                <w:spacing w:val="-4"/>
                <w:sz w:val="14"/>
              </w:rPr>
              <w:t xml:space="preserve">пару, </w:t>
            </w:r>
            <w:r>
              <w:rPr>
                <w:color w:val="231F20"/>
                <w:sz w:val="14"/>
              </w:rPr>
              <w:t>рад у групи, радионице или домаћи</w:t>
            </w:r>
            <w:r>
              <w:rPr>
                <w:color w:val="231F20"/>
                <w:spacing w:val="-1"/>
                <w:sz w:val="14"/>
              </w:rPr>
              <w:t xml:space="preserve"> </w:t>
            </w:r>
            <w:r>
              <w:rPr>
                <w:color w:val="231F20"/>
                <w:sz w:val="14"/>
              </w:rPr>
              <w:t>задатак);</w:t>
            </w:r>
          </w:p>
          <w:p w:rsidR="00041039" w:rsidRDefault="001B26CB">
            <w:pPr>
              <w:pStyle w:val="TableParagraph"/>
              <w:numPr>
                <w:ilvl w:val="0"/>
                <w:numId w:val="332"/>
              </w:numPr>
              <w:tabs>
                <w:tab w:val="left" w:pos="158"/>
              </w:tabs>
              <w:spacing w:line="154" w:lineRule="exact"/>
              <w:ind w:hanging="99"/>
              <w:rPr>
                <w:sz w:val="14"/>
              </w:rPr>
            </w:pPr>
            <w:r>
              <w:rPr>
                <w:color w:val="231F20"/>
                <w:sz w:val="14"/>
              </w:rPr>
              <w:t>да би схватио догађаје из</w:t>
            </w:r>
            <w:r>
              <w:rPr>
                <w:color w:val="231F20"/>
                <w:spacing w:val="-15"/>
                <w:sz w:val="14"/>
              </w:rPr>
              <w:t xml:space="preserve"> </w:t>
            </w:r>
            <w:r>
              <w:rPr>
                <w:color w:val="231F20"/>
                <w:sz w:val="14"/>
              </w:rPr>
              <w:t>прошло­</w:t>
            </w:r>
          </w:p>
          <w:p w:rsidR="00041039" w:rsidRDefault="001B26CB">
            <w:pPr>
              <w:pStyle w:val="TableParagraph"/>
              <w:ind w:left="157" w:right="59"/>
              <w:rPr>
                <w:sz w:val="14"/>
              </w:rPr>
            </w:pPr>
            <w:r>
              <w:rPr>
                <w:color w:val="231F20"/>
                <w:sz w:val="14"/>
              </w:rPr>
              <w:t>сти, ученик треба да их „оживи у свом уму”, у чему велику помоћ</w:t>
            </w:r>
            <w:r>
              <w:rPr>
                <w:color w:val="231F20"/>
                <w:sz w:val="14"/>
              </w:rPr>
              <w:t xml:space="preserve"> може пружити употреба различи­ тих историјских текстова, карата и других извора историјских података (документарни и играни видео и дигитални материјали, музејски експонати, илустра­ ције), обилажење културно ­ историјских споменика и посете установама ку</w:t>
            </w:r>
            <w:r>
              <w:rPr>
                <w:color w:val="231F20"/>
                <w:sz w:val="14"/>
              </w:rPr>
              <w:t>лтуре;</w:t>
            </w:r>
          </w:p>
          <w:p w:rsidR="00041039" w:rsidRDefault="001B26CB">
            <w:pPr>
              <w:pStyle w:val="TableParagraph"/>
              <w:numPr>
                <w:ilvl w:val="0"/>
                <w:numId w:val="332"/>
              </w:numPr>
              <w:tabs>
                <w:tab w:val="left" w:pos="158"/>
              </w:tabs>
              <w:spacing w:line="150" w:lineRule="exact"/>
              <w:ind w:hanging="99"/>
              <w:rPr>
                <w:sz w:val="14"/>
              </w:rPr>
            </w:pPr>
            <w:r>
              <w:rPr>
                <w:color w:val="231F20"/>
                <w:sz w:val="14"/>
              </w:rPr>
              <w:t>треба искористити и</w:t>
            </w:r>
            <w:r>
              <w:rPr>
                <w:color w:val="231F20"/>
                <w:spacing w:val="-3"/>
                <w:sz w:val="14"/>
              </w:rPr>
              <w:t xml:space="preserve"> </w:t>
            </w:r>
            <w:r>
              <w:rPr>
                <w:color w:val="231F20"/>
                <w:sz w:val="14"/>
              </w:rPr>
              <w:t>утицај</w:t>
            </w:r>
          </w:p>
          <w:p w:rsidR="00041039" w:rsidRDefault="001B26CB">
            <w:pPr>
              <w:pStyle w:val="TableParagraph"/>
              <w:ind w:left="157"/>
              <w:rPr>
                <w:sz w:val="14"/>
              </w:rPr>
            </w:pPr>
            <w:r>
              <w:rPr>
                <w:color w:val="231F20"/>
                <w:sz w:val="14"/>
              </w:rPr>
              <w:t>наставе историје на развијање језичке и говорне културе (бесед­ ништва), јер историјски садржаји богате и оплемењују језички фонд ученика;</w:t>
            </w:r>
          </w:p>
          <w:p w:rsidR="00041039" w:rsidRDefault="001B26CB">
            <w:pPr>
              <w:pStyle w:val="TableParagraph"/>
              <w:numPr>
                <w:ilvl w:val="0"/>
                <w:numId w:val="332"/>
              </w:numPr>
              <w:tabs>
                <w:tab w:val="left" w:pos="158"/>
              </w:tabs>
              <w:spacing w:line="156" w:lineRule="exact"/>
              <w:ind w:hanging="99"/>
              <w:rPr>
                <w:sz w:val="14"/>
              </w:rPr>
            </w:pPr>
            <w:r>
              <w:rPr>
                <w:color w:val="231F20"/>
                <w:sz w:val="14"/>
              </w:rPr>
              <w:t>у раду са ученицима неопходно</w:t>
            </w:r>
            <w:r>
              <w:rPr>
                <w:color w:val="231F20"/>
                <w:spacing w:val="-11"/>
                <w:sz w:val="14"/>
              </w:rPr>
              <w:t xml:space="preserve"> </w:t>
            </w:r>
            <w:r>
              <w:rPr>
                <w:color w:val="231F20"/>
                <w:sz w:val="14"/>
              </w:rPr>
              <w:t>је</w:t>
            </w:r>
          </w:p>
          <w:p w:rsidR="00041039" w:rsidRDefault="001B26CB">
            <w:pPr>
              <w:pStyle w:val="TableParagraph"/>
              <w:ind w:left="157" w:right="65"/>
              <w:rPr>
                <w:sz w:val="14"/>
              </w:rPr>
            </w:pPr>
            <w:r>
              <w:rPr>
                <w:color w:val="231F20"/>
                <w:sz w:val="14"/>
              </w:rPr>
              <w:t>имати у виду интегративну функ­ цију историје, кој</w:t>
            </w:r>
            <w:r>
              <w:rPr>
                <w:color w:val="231F20"/>
                <w:sz w:val="14"/>
              </w:rPr>
              <w:t>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041039" w:rsidRDefault="001B26CB">
            <w:pPr>
              <w:pStyle w:val="TableParagraph"/>
              <w:numPr>
                <w:ilvl w:val="0"/>
                <w:numId w:val="332"/>
              </w:numPr>
              <w:tabs>
                <w:tab w:val="left" w:pos="158"/>
              </w:tabs>
              <w:spacing w:line="151" w:lineRule="exact"/>
              <w:ind w:hanging="99"/>
              <w:rPr>
                <w:sz w:val="14"/>
              </w:rPr>
            </w:pPr>
            <w:r>
              <w:rPr>
                <w:color w:val="231F20"/>
                <w:sz w:val="14"/>
              </w:rPr>
              <w:t>пожељно је избегавати</w:t>
            </w:r>
            <w:r>
              <w:rPr>
                <w:color w:val="231F20"/>
                <w:spacing w:val="-4"/>
                <w:sz w:val="14"/>
              </w:rPr>
              <w:t xml:space="preserve"> </w:t>
            </w:r>
            <w:r>
              <w:rPr>
                <w:color w:val="231F20"/>
                <w:sz w:val="14"/>
              </w:rPr>
              <w:t>фраг­</w:t>
            </w:r>
          </w:p>
          <w:p w:rsidR="00041039" w:rsidRDefault="001B26CB">
            <w:pPr>
              <w:pStyle w:val="TableParagraph"/>
              <w:ind w:left="157" w:right="105"/>
              <w:rPr>
                <w:sz w:val="14"/>
              </w:rPr>
            </w:pPr>
            <w:r>
              <w:rPr>
                <w:color w:val="231F20"/>
                <w:sz w:val="14"/>
              </w:rPr>
              <w:t>ментарно и изоловано учење историјских чињеница јер оно има најкраће трајање у памћењу и најслабији трансфер у стицању других знања и вештина;</w:t>
            </w:r>
          </w:p>
          <w:p w:rsidR="00041039" w:rsidRDefault="001B26CB">
            <w:pPr>
              <w:pStyle w:val="TableParagraph"/>
              <w:numPr>
                <w:ilvl w:val="0"/>
                <w:numId w:val="332"/>
              </w:numPr>
              <w:tabs>
                <w:tab w:val="left" w:pos="158"/>
              </w:tabs>
              <w:spacing w:line="156" w:lineRule="exact"/>
              <w:ind w:hanging="99"/>
              <w:rPr>
                <w:sz w:val="14"/>
              </w:rPr>
            </w:pPr>
            <w:r>
              <w:rPr>
                <w:color w:val="231F20"/>
                <w:sz w:val="14"/>
              </w:rPr>
              <w:t xml:space="preserve">у настави треба, кад </w:t>
            </w:r>
            <w:r>
              <w:rPr>
                <w:color w:val="231F20"/>
                <w:spacing w:val="-3"/>
                <w:sz w:val="14"/>
              </w:rPr>
              <w:t xml:space="preserve">год </w:t>
            </w:r>
            <w:r>
              <w:rPr>
                <w:color w:val="231F20"/>
                <w:sz w:val="14"/>
              </w:rPr>
              <w:t>је то</w:t>
            </w:r>
          </w:p>
          <w:p w:rsidR="00041039" w:rsidRDefault="001B26CB">
            <w:pPr>
              <w:pStyle w:val="TableParagraph"/>
              <w:ind w:left="157"/>
              <w:rPr>
                <w:sz w:val="14"/>
              </w:rPr>
            </w:pPr>
            <w:r>
              <w:rPr>
                <w:color w:val="231F20"/>
                <w:sz w:val="14"/>
              </w:rPr>
              <w:t>могуће, примењивати дидактички концепт мултиперспективности;</w:t>
            </w:r>
          </w:p>
          <w:p w:rsidR="00041039" w:rsidRDefault="001B26CB">
            <w:pPr>
              <w:pStyle w:val="TableParagraph"/>
              <w:numPr>
                <w:ilvl w:val="0"/>
                <w:numId w:val="332"/>
              </w:numPr>
              <w:tabs>
                <w:tab w:val="left" w:pos="158"/>
              </w:tabs>
              <w:spacing w:line="160" w:lineRule="exact"/>
              <w:ind w:right="208" w:hanging="99"/>
              <w:rPr>
                <w:sz w:val="14"/>
              </w:rPr>
            </w:pPr>
            <w:r>
              <w:rPr>
                <w:color w:val="231F20"/>
                <w:sz w:val="14"/>
              </w:rPr>
              <w:t>одређене теме, по могућности, треба реализовати са одгова­ рајућим садржајима из</w:t>
            </w:r>
            <w:r>
              <w:rPr>
                <w:color w:val="231F20"/>
                <w:spacing w:val="-8"/>
                <w:sz w:val="14"/>
              </w:rPr>
              <w:t xml:space="preserve"> </w:t>
            </w:r>
            <w:r>
              <w:rPr>
                <w:color w:val="231F20"/>
                <w:sz w:val="14"/>
              </w:rPr>
              <w:t>сродних предмета;</w:t>
            </w:r>
          </w:p>
          <w:p w:rsidR="00041039" w:rsidRDefault="001B26CB">
            <w:pPr>
              <w:pStyle w:val="TableParagraph"/>
              <w:numPr>
                <w:ilvl w:val="0"/>
                <w:numId w:val="332"/>
              </w:numPr>
              <w:tabs>
                <w:tab w:val="left" w:pos="158"/>
              </w:tabs>
              <w:spacing w:line="160" w:lineRule="exact"/>
              <w:ind w:right="111" w:hanging="99"/>
              <w:rPr>
                <w:sz w:val="14"/>
              </w:rPr>
            </w:pPr>
            <w:r>
              <w:rPr>
                <w:color w:val="231F20"/>
                <w:spacing w:val="-3"/>
                <w:sz w:val="14"/>
              </w:rPr>
              <w:t xml:space="preserve">током </w:t>
            </w:r>
            <w:r>
              <w:rPr>
                <w:color w:val="231F20"/>
                <w:sz w:val="14"/>
              </w:rPr>
              <w:t>рада са ученицима потреб­ но је стално правити поређења са савременим добом, чиме се</w:t>
            </w:r>
          </w:p>
          <w:p w:rsidR="00041039" w:rsidRDefault="001B26CB">
            <w:pPr>
              <w:pStyle w:val="TableParagraph"/>
              <w:spacing w:line="237" w:lineRule="auto"/>
              <w:ind w:left="157"/>
              <w:rPr>
                <w:sz w:val="14"/>
              </w:rPr>
            </w:pPr>
            <w:r>
              <w:rPr>
                <w:color w:val="231F20"/>
                <w:sz w:val="14"/>
              </w:rPr>
              <w:t>наглашава схватање континуитета у развоју друштва и богатство садр</w:t>
            </w:r>
            <w:r>
              <w:rPr>
                <w:color w:val="231F20"/>
                <w:sz w:val="14"/>
              </w:rPr>
              <w:t>жаја из прошлости;</w:t>
            </w:r>
          </w:p>
          <w:p w:rsidR="00041039" w:rsidRDefault="001B26CB">
            <w:pPr>
              <w:pStyle w:val="TableParagraph"/>
              <w:numPr>
                <w:ilvl w:val="0"/>
                <w:numId w:val="332"/>
              </w:numPr>
              <w:tabs>
                <w:tab w:val="left" w:pos="158"/>
              </w:tabs>
              <w:spacing w:line="237" w:lineRule="auto"/>
              <w:ind w:right="99" w:hanging="99"/>
              <w:rPr>
                <w:sz w:val="14"/>
              </w:rPr>
            </w:pPr>
            <w:r>
              <w:rPr>
                <w:color w:val="231F20"/>
                <w:sz w:val="14"/>
              </w:rPr>
              <w:t>задатак наставника је и да под­ стиче осамостаљивање  ученика у прикупљању и сређивању</w:t>
            </w:r>
            <w:r>
              <w:rPr>
                <w:color w:val="231F20"/>
                <w:spacing w:val="-12"/>
                <w:sz w:val="14"/>
              </w:rPr>
              <w:t xml:space="preserve"> </w:t>
            </w:r>
            <w:r>
              <w:rPr>
                <w:color w:val="231F20"/>
                <w:sz w:val="14"/>
              </w:rPr>
              <w:t>исто­ ријских података, да их</w:t>
            </w:r>
            <w:r>
              <w:rPr>
                <w:color w:val="231F20"/>
                <w:spacing w:val="-14"/>
                <w:sz w:val="14"/>
              </w:rPr>
              <w:t xml:space="preserve"> </w:t>
            </w:r>
            <w:r>
              <w:rPr>
                <w:color w:val="231F20"/>
                <w:sz w:val="14"/>
              </w:rPr>
              <w:t>усмерава</w:t>
            </w:r>
          </w:p>
          <w:p w:rsidR="00041039" w:rsidRDefault="001B26CB">
            <w:pPr>
              <w:pStyle w:val="TableParagraph"/>
              <w:ind w:left="157" w:right="32"/>
              <w:rPr>
                <w:sz w:val="14"/>
              </w:rPr>
            </w:pPr>
            <w:r>
              <w:rPr>
                <w:color w:val="231F20"/>
                <w:sz w:val="14"/>
              </w:rPr>
              <w:t>на различите изворе информација и подучава их како да се према њима критички односе, чиме</w:t>
            </w:r>
          </w:p>
          <w:p w:rsidR="00041039" w:rsidRDefault="001B26CB">
            <w:pPr>
              <w:pStyle w:val="TableParagraph"/>
              <w:spacing w:line="237" w:lineRule="auto"/>
              <w:ind w:left="157" w:right="276"/>
              <w:rPr>
                <w:sz w:val="14"/>
              </w:rPr>
            </w:pPr>
            <w:r>
              <w:rPr>
                <w:color w:val="231F20"/>
                <w:sz w:val="14"/>
              </w:rPr>
              <w:t>се негује истраживачки дух и занимање за науку и подстиче развој мишљења заснованог на провереним чињеницама и аргументима;</w:t>
            </w:r>
          </w:p>
          <w:p w:rsidR="00041039" w:rsidRDefault="001B26CB">
            <w:pPr>
              <w:pStyle w:val="TableParagraph"/>
              <w:numPr>
                <w:ilvl w:val="0"/>
                <w:numId w:val="332"/>
              </w:numPr>
              <w:tabs>
                <w:tab w:val="left" w:pos="158"/>
              </w:tabs>
              <w:spacing w:line="237" w:lineRule="auto"/>
              <w:ind w:right="61" w:hanging="99"/>
              <w:rPr>
                <w:sz w:val="14"/>
              </w:rPr>
            </w:pPr>
            <w:r>
              <w:rPr>
                <w:color w:val="231F20"/>
                <w:sz w:val="14"/>
              </w:rPr>
              <w:t>овај предмет пружа велике</w:t>
            </w:r>
            <w:r>
              <w:rPr>
                <w:color w:val="231F20"/>
                <w:spacing w:val="-16"/>
                <w:sz w:val="14"/>
              </w:rPr>
              <w:t xml:space="preserve"> </w:t>
            </w:r>
            <w:r>
              <w:rPr>
                <w:color w:val="231F20"/>
                <w:sz w:val="14"/>
              </w:rPr>
              <w:t>могућ­ ности за интеграцију</w:t>
            </w:r>
            <w:r>
              <w:rPr>
                <w:color w:val="231F20"/>
                <w:spacing w:val="-4"/>
                <w:sz w:val="14"/>
              </w:rPr>
              <w:t xml:space="preserve"> </w:t>
            </w:r>
            <w:r>
              <w:rPr>
                <w:color w:val="231F20"/>
                <w:spacing w:val="-3"/>
                <w:sz w:val="14"/>
              </w:rPr>
              <w:t>школског</w:t>
            </w:r>
          </w:p>
          <w:p w:rsidR="00041039" w:rsidRDefault="001B26CB">
            <w:pPr>
              <w:pStyle w:val="TableParagraph"/>
              <w:ind w:left="157" w:right="191"/>
              <w:jc w:val="both"/>
              <w:rPr>
                <w:sz w:val="14"/>
              </w:rPr>
            </w:pPr>
            <w:r>
              <w:rPr>
                <w:color w:val="231F20"/>
                <w:sz w:val="14"/>
              </w:rPr>
              <w:t>и ваншколског знања ученика, за излазак из оквира школских уџбеника и</w:t>
            </w:r>
            <w:r>
              <w:rPr>
                <w:color w:val="231F20"/>
                <w:sz w:val="14"/>
              </w:rPr>
              <w:t xml:space="preserve"> учионица, укључи­ вање родитеља и суграђана</w:t>
            </w:r>
            <w:r>
              <w:rPr>
                <w:color w:val="231F20"/>
                <w:spacing w:val="-18"/>
                <w:sz w:val="14"/>
              </w:rPr>
              <w:t xml:space="preserve"> </w:t>
            </w:r>
            <w:r>
              <w:rPr>
                <w:color w:val="231F20"/>
                <w:sz w:val="14"/>
              </w:rPr>
              <w:t>који</w:t>
            </w:r>
          </w:p>
          <w:p w:rsidR="00041039" w:rsidRDefault="001B26CB">
            <w:pPr>
              <w:pStyle w:val="TableParagraph"/>
              <w:spacing w:line="237" w:lineRule="auto"/>
              <w:ind w:left="157"/>
              <w:rPr>
                <w:sz w:val="14"/>
              </w:rPr>
            </w:pPr>
            <w:r>
              <w:rPr>
                <w:color w:val="231F20"/>
                <w:sz w:val="14"/>
              </w:rPr>
              <w:t>поседују знања, колекције, књиге, филмове и другу грађу која</w:t>
            </w:r>
          </w:p>
          <w:p w:rsidR="00041039" w:rsidRDefault="001B26CB">
            <w:pPr>
              <w:pStyle w:val="TableParagraph"/>
              <w:ind w:left="157"/>
              <w:rPr>
                <w:sz w:val="14"/>
              </w:rPr>
            </w:pPr>
            <w:r>
              <w:rPr>
                <w:color w:val="231F20"/>
                <w:sz w:val="14"/>
              </w:rPr>
              <w:t>може да помогне у реализацији програма;</w:t>
            </w:r>
          </w:p>
          <w:p w:rsidR="00041039" w:rsidRDefault="001B26CB">
            <w:pPr>
              <w:pStyle w:val="TableParagraph"/>
              <w:numPr>
                <w:ilvl w:val="0"/>
                <w:numId w:val="332"/>
              </w:numPr>
              <w:tabs>
                <w:tab w:val="left" w:pos="158"/>
              </w:tabs>
              <w:spacing w:line="160" w:lineRule="exact"/>
              <w:ind w:right="136" w:hanging="99"/>
              <w:rPr>
                <w:sz w:val="14"/>
              </w:rPr>
            </w:pPr>
            <w:r>
              <w:rPr>
                <w:color w:val="231F20"/>
                <w:sz w:val="14"/>
              </w:rPr>
              <w:t>наставник треба да тежи комби­ новању различитих метода рада (кратка предавања, гледање</w:t>
            </w:r>
            <w:r>
              <w:rPr>
                <w:color w:val="231F20"/>
                <w:spacing w:val="-22"/>
                <w:sz w:val="14"/>
              </w:rPr>
              <w:t xml:space="preserve"> </w:t>
            </w:r>
            <w:r>
              <w:rPr>
                <w:color w:val="231F20"/>
                <w:sz w:val="14"/>
              </w:rPr>
              <w:t>фил­ мова, читање књига, дискусије, анализа писаних извора, слика и фотографија...);</w:t>
            </w:r>
          </w:p>
        </w:tc>
      </w:tr>
      <w:tr w:rsidR="00041039">
        <w:trPr>
          <w:trHeight w:val="7190"/>
        </w:trPr>
        <w:tc>
          <w:tcPr>
            <w:tcW w:w="1304" w:type="dxa"/>
          </w:tcPr>
          <w:p w:rsidR="00041039" w:rsidRDefault="001B26CB">
            <w:pPr>
              <w:pStyle w:val="TableParagraph"/>
              <w:spacing w:before="21"/>
              <w:ind w:left="56" w:right="147"/>
              <w:rPr>
                <w:sz w:val="14"/>
              </w:rPr>
            </w:pPr>
            <w:r>
              <w:rPr>
                <w:color w:val="231F20"/>
                <w:sz w:val="14"/>
              </w:rPr>
              <w:t>Српски народ и Србија у савреме­ ном свету</w:t>
            </w:r>
          </w:p>
        </w:tc>
        <w:tc>
          <w:tcPr>
            <w:tcW w:w="1587" w:type="dxa"/>
          </w:tcPr>
          <w:p w:rsidR="00041039" w:rsidRDefault="001B26CB">
            <w:pPr>
              <w:pStyle w:val="TableParagraph"/>
              <w:numPr>
                <w:ilvl w:val="0"/>
                <w:numId w:val="331"/>
              </w:numPr>
              <w:tabs>
                <w:tab w:val="left" w:pos="157"/>
              </w:tabs>
              <w:spacing w:before="11"/>
              <w:ind w:right="155"/>
              <w:rPr>
                <w:sz w:val="14"/>
              </w:rPr>
            </w:pPr>
            <w:r>
              <w:rPr>
                <w:color w:val="231F20"/>
                <w:sz w:val="14"/>
              </w:rPr>
              <w:t>Разумевање поли­ тичких и</w:t>
            </w:r>
            <w:r>
              <w:rPr>
                <w:color w:val="231F20"/>
                <w:spacing w:val="-15"/>
                <w:sz w:val="14"/>
              </w:rPr>
              <w:t xml:space="preserve"> </w:t>
            </w:r>
            <w:r>
              <w:rPr>
                <w:color w:val="231F20"/>
                <w:sz w:val="14"/>
              </w:rPr>
              <w:t xml:space="preserve">економских односа у савременом </w:t>
            </w:r>
            <w:r>
              <w:rPr>
                <w:color w:val="231F20"/>
                <w:spacing w:val="-3"/>
                <w:sz w:val="14"/>
              </w:rPr>
              <w:t>свету.</w:t>
            </w:r>
          </w:p>
          <w:p w:rsidR="00041039" w:rsidRDefault="001B26CB">
            <w:pPr>
              <w:pStyle w:val="TableParagraph"/>
              <w:numPr>
                <w:ilvl w:val="0"/>
                <w:numId w:val="331"/>
              </w:numPr>
              <w:tabs>
                <w:tab w:val="left" w:pos="157"/>
              </w:tabs>
              <w:spacing w:line="156" w:lineRule="exact"/>
              <w:rPr>
                <w:sz w:val="14"/>
              </w:rPr>
            </w:pPr>
            <w:r>
              <w:rPr>
                <w:color w:val="231F20"/>
                <w:sz w:val="14"/>
              </w:rPr>
              <w:t>Сагледавање</w:t>
            </w:r>
            <w:r>
              <w:rPr>
                <w:color w:val="231F20"/>
                <w:spacing w:val="-2"/>
                <w:sz w:val="14"/>
              </w:rPr>
              <w:t xml:space="preserve"> </w:t>
            </w:r>
            <w:r>
              <w:rPr>
                <w:color w:val="231F20"/>
                <w:sz w:val="14"/>
              </w:rPr>
              <w:t>међу­</w:t>
            </w:r>
          </w:p>
          <w:p w:rsidR="00041039" w:rsidRDefault="001B26CB">
            <w:pPr>
              <w:pStyle w:val="TableParagraph"/>
              <w:ind w:right="15"/>
              <w:rPr>
                <w:sz w:val="14"/>
              </w:rPr>
            </w:pPr>
            <w:r>
              <w:rPr>
                <w:color w:val="231F20"/>
                <w:sz w:val="14"/>
              </w:rPr>
              <w:t>народног положаја Србије.</w:t>
            </w:r>
          </w:p>
          <w:p w:rsidR="00041039" w:rsidRDefault="001B26CB">
            <w:pPr>
              <w:pStyle w:val="TableParagraph"/>
              <w:numPr>
                <w:ilvl w:val="0"/>
                <w:numId w:val="331"/>
              </w:numPr>
              <w:tabs>
                <w:tab w:val="left" w:pos="157"/>
              </w:tabs>
              <w:spacing w:line="160" w:lineRule="exact"/>
              <w:ind w:right="169"/>
              <w:rPr>
                <w:sz w:val="14"/>
              </w:rPr>
            </w:pPr>
            <w:r>
              <w:rPr>
                <w:color w:val="231F20"/>
                <w:sz w:val="14"/>
              </w:rPr>
              <w:t>Проширивање</w:t>
            </w:r>
            <w:r>
              <w:rPr>
                <w:color w:val="231F20"/>
                <w:spacing w:val="-10"/>
                <w:sz w:val="14"/>
              </w:rPr>
              <w:t xml:space="preserve"> </w:t>
            </w:r>
            <w:r>
              <w:rPr>
                <w:color w:val="231F20"/>
                <w:sz w:val="14"/>
              </w:rPr>
              <w:t>знања о најзначајнијим међународним организацијама и чланству Србије у њима.</w:t>
            </w:r>
          </w:p>
          <w:p w:rsidR="00041039" w:rsidRDefault="001B26CB">
            <w:pPr>
              <w:pStyle w:val="TableParagraph"/>
              <w:numPr>
                <w:ilvl w:val="0"/>
                <w:numId w:val="331"/>
              </w:numPr>
              <w:tabs>
                <w:tab w:val="left" w:pos="157"/>
              </w:tabs>
              <w:spacing w:line="160" w:lineRule="exact"/>
              <w:ind w:right="89"/>
              <w:rPr>
                <w:sz w:val="14"/>
              </w:rPr>
            </w:pPr>
            <w:r>
              <w:rPr>
                <w:color w:val="231F20"/>
                <w:sz w:val="14"/>
              </w:rPr>
              <w:t>Проширивање знања о последицама</w:t>
            </w:r>
            <w:r>
              <w:rPr>
                <w:color w:val="231F20"/>
                <w:spacing w:val="-10"/>
                <w:sz w:val="14"/>
              </w:rPr>
              <w:t xml:space="preserve"> </w:t>
            </w:r>
            <w:r>
              <w:rPr>
                <w:color w:val="231F20"/>
                <w:sz w:val="14"/>
              </w:rPr>
              <w:t>научно</w:t>
            </w:r>
          </w:p>
          <w:p w:rsidR="00041039" w:rsidRDefault="001B26CB">
            <w:pPr>
              <w:pStyle w:val="TableParagraph"/>
              <w:spacing w:line="237" w:lineRule="auto"/>
              <w:ind w:right="15"/>
              <w:rPr>
                <w:sz w:val="14"/>
              </w:rPr>
            </w:pPr>
            <w:r>
              <w:rPr>
                <w:color w:val="231F20"/>
                <w:sz w:val="14"/>
              </w:rPr>
              <w:t>- технолошког развоја на живот савременог човека.</w:t>
            </w:r>
          </w:p>
        </w:tc>
        <w:tc>
          <w:tcPr>
            <w:tcW w:w="2551" w:type="dxa"/>
          </w:tcPr>
          <w:p w:rsidR="00041039" w:rsidRDefault="001B26CB">
            <w:pPr>
              <w:pStyle w:val="TableParagraph"/>
              <w:numPr>
                <w:ilvl w:val="0"/>
                <w:numId w:val="330"/>
              </w:numPr>
              <w:tabs>
                <w:tab w:val="left" w:pos="157"/>
              </w:tabs>
              <w:spacing w:before="11"/>
              <w:ind w:right="134" w:hanging="99"/>
              <w:rPr>
                <w:sz w:val="14"/>
              </w:rPr>
            </w:pPr>
            <w:r>
              <w:rPr>
                <w:color w:val="231F20"/>
                <w:sz w:val="14"/>
              </w:rPr>
              <w:t>идентификује најважније чиниоце у међународним политичким и</w:t>
            </w:r>
            <w:r>
              <w:rPr>
                <w:color w:val="231F20"/>
                <w:spacing w:val="-25"/>
                <w:sz w:val="14"/>
              </w:rPr>
              <w:t xml:space="preserve"> </w:t>
            </w:r>
            <w:r>
              <w:rPr>
                <w:color w:val="231F20"/>
                <w:sz w:val="14"/>
              </w:rPr>
              <w:t>економ­ ским</w:t>
            </w:r>
            <w:r>
              <w:rPr>
                <w:color w:val="231F20"/>
                <w:spacing w:val="-1"/>
                <w:sz w:val="14"/>
              </w:rPr>
              <w:t xml:space="preserve"> </w:t>
            </w:r>
            <w:r>
              <w:rPr>
                <w:color w:val="231F20"/>
                <w:sz w:val="14"/>
              </w:rPr>
              <w:t>односима;</w:t>
            </w:r>
          </w:p>
          <w:p w:rsidR="00041039" w:rsidRDefault="001B26CB">
            <w:pPr>
              <w:pStyle w:val="TableParagraph"/>
              <w:numPr>
                <w:ilvl w:val="0"/>
                <w:numId w:val="330"/>
              </w:numPr>
              <w:tabs>
                <w:tab w:val="left" w:pos="157"/>
              </w:tabs>
              <w:spacing w:line="157" w:lineRule="exact"/>
              <w:ind w:hanging="99"/>
              <w:rPr>
                <w:sz w:val="14"/>
              </w:rPr>
            </w:pPr>
            <w:r>
              <w:rPr>
                <w:color w:val="231F20"/>
                <w:sz w:val="14"/>
              </w:rPr>
              <w:t xml:space="preserve">разуме </w:t>
            </w:r>
            <w:r>
              <w:rPr>
                <w:color w:val="231F20"/>
                <w:sz w:val="14"/>
              </w:rPr>
              <w:t>место и улогу Србије у</w:t>
            </w:r>
            <w:r>
              <w:rPr>
                <w:color w:val="231F20"/>
                <w:spacing w:val="-10"/>
                <w:sz w:val="14"/>
              </w:rPr>
              <w:t xml:space="preserve"> </w:t>
            </w:r>
            <w:r>
              <w:rPr>
                <w:color w:val="231F20"/>
                <w:sz w:val="14"/>
              </w:rPr>
              <w:t>савре­</w:t>
            </w:r>
          </w:p>
          <w:p w:rsidR="00041039" w:rsidRDefault="001B26CB">
            <w:pPr>
              <w:pStyle w:val="TableParagraph"/>
              <w:spacing w:line="155" w:lineRule="exact"/>
              <w:rPr>
                <w:sz w:val="14"/>
              </w:rPr>
            </w:pPr>
            <w:r>
              <w:rPr>
                <w:color w:val="231F20"/>
                <w:sz w:val="14"/>
              </w:rPr>
              <w:t>меном свету;</w:t>
            </w:r>
          </w:p>
          <w:p w:rsidR="00041039" w:rsidRDefault="001B26CB">
            <w:pPr>
              <w:pStyle w:val="TableParagraph"/>
              <w:numPr>
                <w:ilvl w:val="0"/>
                <w:numId w:val="330"/>
              </w:numPr>
              <w:tabs>
                <w:tab w:val="left" w:pos="157"/>
              </w:tabs>
              <w:spacing w:line="237" w:lineRule="auto"/>
              <w:ind w:right="94" w:hanging="99"/>
              <w:rPr>
                <w:sz w:val="14"/>
              </w:rPr>
            </w:pPr>
            <w:r>
              <w:rPr>
                <w:color w:val="231F20"/>
                <w:sz w:val="14"/>
              </w:rPr>
              <w:t>утврди значај чланства Србије у</w:t>
            </w:r>
            <w:r>
              <w:rPr>
                <w:color w:val="231F20"/>
                <w:spacing w:val="-13"/>
                <w:sz w:val="14"/>
              </w:rPr>
              <w:t xml:space="preserve"> </w:t>
            </w:r>
            <w:r>
              <w:rPr>
                <w:color w:val="231F20"/>
                <w:sz w:val="14"/>
              </w:rPr>
              <w:t>међу­ народним</w:t>
            </w:r>
            <w:r>
              <w:rPr>
                <w:color w:val="231F20"/>
                <w:spacing w:val="-1"/>
                <w:sz w:val="14"/>
              </w:rPr>
              <w:t xml:space="preserve"> </w:t>
            </w:r>
            <w:r>
              <w:rPr>
                <w:color w:val="231F20"/>
                <w:sz w:val="14"/>
              </w:rPr>
              <w:t>организацијама;</w:t>
            </w:r>
          </w:p>
          <w:p w:rsidR="00041039" w:rsidRDefault="001B26CB">
            <w:pPr>
              <w:pStyle w:val="TableParagraph"/>
              <w:numPr>
                <w:ilvl w:val="0"/>
                <w:numId w:val="330"/>
              </w:numPr>
              <w:tabs>
                <w:tab w:val="left" w:pos="157"/>
              </w:tabs>
              <w:spacing w:line="160" w:lineRule="exact"/>
              <w:ind w:right="121" w:hanging="99"/>
              <w:rPr>
                <w:sz w:val="14"/>
              </w:rPr>
            </w:pPr>
            <w:r>
              <w:rPr>
                <w:color w:val="231F20"/>
                <w:sz w:val="14"/>
              </w:rPr>
              <w:t xml:space="preserve">објасни утицај савремених техничких достигнућа на повезивање </w:t>
            </w:r>
            <w:r>
              <w:rPr>
                <w:color w:val="231F20"/>
                <w:spacing w:val="-3"/>
                <w:sz w:val="14"/>
              </w:rPr>
              <w:t xml:space="preserve">људи </w:t>
            </w:r>
            <w:r>
              <w:rPr>
                <w:color w:val="231F20"/>
                <w:sz w:val="14"/>
              </w:rPr>
              <w:t>у свету;</w:t>
            </w:r>
          </w:p>
        </w:tc>
        <w:tc>
          <w:tcPr>
            <w:tcW w:w="2834" w:type="dxa"/>
          </w:tcPr>
          <w:p w:rsidR="00041039" w:rsidRDefault="001B26CB">
            <w:pPr>
              <w:pStyle w:val="TableParagraph"/>
              <w:numPr>
                <w:ilvl w:val="0"/>
                <w:numId w:val="329"/>
              </w:numPr>
              <w:tabs>
                <w:tab w:val="left" w:pos="157"/>
              </w:tabs>
              <w:spacing w:before="11"/>
              <w:ind w:right="170" w:hanging="99"/>
              <w:rPr>
                <w:sz w:val="14"/>
              </w:rPr>
            </w:pPr>
            <w:r>
              <w:rPr>
                <w:color w:val="231F20"/>
                <w:sz w:val="14"/>
              </w:rPr>
              <w:t>Најутицајније државе и организације у међународним политичким и</w:t>
            </w:r>
            <w:r>
              <w:rPr>
                <w:color w:val="231F20"/>
                <w:spacing w:val="-25"/>
                <w:sz w:val="14"/>
              </w:rPr>
              <w:t xml:space="preserve"> </w:t>
            </w:r>
            <w:r>
              <w:rPr>
                <w:color w:val="231F20"/>
                <w:sz w:val="14"/>
              </w:rPr>
              <w:t>економским односима.</w:t>
            </w:r>
          </w:p>
          <w:p w:rsidR="00041039" w:rsidRDefault="001B26CB">
            <w:pPr>
              <w:pStyle w:val="TableParagraph"/>
              <w:numPr>
                <w:ilvl w:val="0"/>
                <w:numId w:val="329"/>
              </w:numPr>
              <w:tabs>
                <w:tab w:val="left" w:pos="157"/>
              </w:tabs>
              <w:spacing w:line="157" w:lineRule="exact"/>
              <w:ind w:hanging="99"/>
              <w:rPr>
                <w:sz w:val="14"/>
              </w:rPr>
            </w:pPr>
            <w:r>
              <w:rPr>
                <w:color w:val="231F20"/>
                <w:spacing w:val="-4"/>
                <w:sz w:val="14"/>
              </w:rPr>
              <w:t xml:space="preserve">Улога </w:t>
            </w:r>
            <w:r>
              <w:rPr>
                <w:color w:val="231F20"/>
                <w:sz w:val="14"/>
              </w:rPr>
              <w:t>Организације уједињених нација</w:t>
            </w:r>
            <w:r>
              <w:rPr>
                <w:color w:val="231F20"/>
                <w:spacing w:val="-6"/>
                <w:sz w:val="14"/>
              </w:rPr>
              <w:t xml:space="preserve"> </w:t>
            </w:r>
            <w:r>
              <w:rPr>
                <w:color w:val="231F20"/>
                <w:sz w:val="14"/>
              </w:rPr>
              <w:t>у</w:t>
            </w:r>
          </w:p>
          <w:p w:rsidR="00041039" w:rsidRDefault="001B26CB">
            <w:pPr>
              <w:pStyle w:val="TableParagraph"/>
              <w:rPr>
                <w:sz w:val="14"/>
              </w:rPr>
            </w:pPr>
            <w:r>
              <w:rPr>
                <w:color w:val="231F20"/>
                <w:sz w:val="14"/>
              </w:rPr>
              <w:t>очувању мира у свету, борби против сиро­ маштва и заштити културних споменика.</w:t>
            </w:r>
          </w:p>
          <w:p w:rsidR="00041039" w:rsidRDefault="001B26CB">
            <w:pPr>
              <w:pStyle w:val="TableParagraph"/>
              <w:numPr>
                <w:ilvl w:val="0"/>
                <w:numId w:val="329"/>
              </w:numPr>
              <w:tabs>
                <w:tab w:val="left" w:pos="157"/>
              </w:tabs>
              <w:spacing w:line="154" w:lineRule="exact"/>
              <w:ind w:hanging="99"/>
              <w:rPr>
                <w:sz w:val="14"/>
              </w:rPr>
            </w:pPr>
            <w:r>
              <w:rPr>
                <w:color w:val="231F20"/>
                <w:sz w:val="14"/>
              </w:rPr>
              <w:t>Геополитички положај</w:t>
            </w:r>
            <w:r>
              <w:rPr>
                <w:color w:val="231F20"/>
                <w:spacing w:val="-4"/>
                <w:sz w:val="14"/>
              </w:rPr>
              <w:t xml:space="preserve"> </w:t>
            </w:r>
            <w:r>
              <w:rPr>
                <w:color w:val="231F20"/>
                <w:sz w:val="14"/>
              </w:rPr>
              <w:t>Србије.</w:t>
            </w:r>
          </w:p>
          <w:p w:rsidR="00041039" w:rsidRDefault="001B26CB">
            <w:pPr>
              <w:pStyle w:val="TableParagraph"/>
              <w:numPr>
                <w:ilvl w:val="0"/>
                <w:numId w:val="329"/>
              </w:numPr>
              <w:tabs>
                <w:tab w:val="left" w:pos="157"/>
              </w:tabs>
              <w:spacing w:line="237" w:lineRule="auto"/>
              <w:ind w:right="282" w:hanging="99"/>
              <w:jc w:val="both"/>
              <w:rPr>
                <w:sz w:val="14"/>
              </w:rPr>
            </w:pPr>
            <w:r>
              <w:rPr>
                <w:color w:val="231F20"/>
                <w:sz w:val="14"/>
              </w:rPr>
              <w:t>Чланство Србије у регионалним, европ­ ским и светским организацијама (Савет Европе, ОЕБС</w:t>
            </w:r>
            <w:r>
              <w:rPr>
                <w:color w:val="231F20"/>
                <w:sz w:val="14"/>
              </w:rPr>
              <w:t>,</w:t>
            </w:r>
            <w:r>
              <w:rPr>
                <w:color w:val="231F20"/>
                <w:spacing w:val="-1"/>
                <w:sz w:val="14"/>
              </w:rPr>
              <w:t xml:space="preserve"> </w:t>
            </w:r>
            <w:r>
              <w:rPr>
                <w:color w:val="231F20"/>
                <w:sz w:val="14"/>
              </w:rPr>
              <w:t>ОУН...).</w:t>
            </w:r>
          </w:p>
          <w:p w:rsidR="00041039" w:rsidRDefault="001B26CB">
            <w:pPr>
              <w:pStyle w:val="TableParagraph"/>
              <w:numPr>
                <w:ilvl w:val="0"/>
                <w:numId w:val="329"/>
              </w:numPr>
              <w:tabs>
                <w:tab w:val="left" w:pos="157"/>
              </w:tabs>
              <w:spacing w:line="237" w:lineRule="auto"/>
              <w:ind w:right="42" w:hanging="99"/>
              <w:rPr>
                <w:sz w:val="14"/>
              </w:rPr>
            </w:pPr>
            <w:r>
              <w:rPr>
                <w:color w:val="231F20"/>
                <w:sz w:val="14"/>
              </w:rPr>
              <w:t xml:space="preserve">Срби ван Србије (проблем избеглица, Црна </w:t>
            </w:r>
            <w:r>
              <w:rPr>
                <w:color w:val="231F20"/>
                <w:spacing w:val="-3"/>
                <w:sz w:val="14"/>
              </w:rPr>
              <w:t xml:space="preserve">Гора, </w:t>
            </w:r>
            <w:r>
              <w:rPr>
                <w:color w:val="231F20"/>
                <w:sz w:val="14"/>
              </w:rPr>
              <w:t>Република Српска, Срби у</w:t>
            </w:r>
            <w:r>
              <w:rPr>
                <w:color w:val="231F20"/>
                <w:spacing w:val="-16"/>
                <w:sz w:val="14"/>
              </w:rPr>
              <w:t xml:space="preserve"> </w:t>
            </w:r>
            <w:r>
              <w:rPr>
                <w:color w:val="231F20"/>
                <w:sz w:val="14"/>
              </w:rPr>
              <w:t>дијаспори).</w:t>
            </w:r>
          </w:p>
          <w:p w:rsidR="00041039" w:rsidRDefault="001B26CB">
            <w:pPr>
              <w:pStyle w:val="TableParagraph"/>
              <w:numPr>
                <w:ilvl w:val="0"/>
                <w:numId w:val="329"/>
              </w:numPr>
              <w:tabs>
                <w:tab w:val="left" w:pos="157"/>
              </w:tabs>
              <w:spacing w:line="160" w:lineRule="exact"/>
              <w:ind w:right="75" w:hanging="99"/>
              <w:rPr>
                <w:sz w:val="14"/>
              </w:rPr>
            </w:pPr>
            <w:r>
              <w:rPr>
                <w:color w:val="231F20"/>
                <w:sz w:val="14"/>
              </w:rPr>
              <w:t xml:space="preserve">Свет почетком XXI века ­ научни и технолошки развој. </w:t>
            </w:r>
            <w:r>
              <w:rPr>
                <w:color w:val="231F20"/>
                <w:spacing w:val="-2"/>
                <w:sz w:val="14"/>
              </w:rPr>
              <w:t xml:space="preserve">Интернет, </w:t>
            </w:r>
            <w:r>
              <w:rPr>
                <w:color w:val="231F20"/>
                <w:sz w:val="14"/>
              </w:rPr>
              <w:t>утицај медија</w:t>
            </w:r>
            <w:r>
              <w:rPr>
                <w:color w:val="231F20"/>
                <w:spacing w:val="-6"/>
                <w:sz w:val="14"/>
              </w:rPr>
              <w:t xml:space="preserve"> </w:t>
            </w:r>
            <w:r>
              <w:rPr>
                <w:color w:val="231F20"/>
                <w:sz w:val="14"/>
              </w:rPr>
              <w:t>на</w:t>
            </w:r>
            <w:r>
              <w:rPr>
                <w:color w:val="231F20"/>
                <w:spacing w:val="-7"/>
                <w:sz w:val="14"/>
              </w:rPr>
              <w:t xml:space="preserve"> </w:t>
            </w:r>
            <w:r>
              <w:rPr>
                <w:color w:val="231F20"/>
                <w:sz w:val="14"/>
              </w:rPr>
              <w:t>јавно</w:t>
            </w:r>
            <w:r>
              <w:rPr>
                <w:color w:val="231F20"/>
                <w:spacing w:val="-6"/>
                <w:sz w:val="14"/>
              </w:rPr>
              <w:t xml:space="preserve"> </w:t>
            </w:r>
            <w:r>
              <w:rPr>
                <w:color w:val="231F20"/>
                <w:sz w:val="14"/>
              </w:rPr>
              <w:t>мњење,</w:t>
            </w:r>
            <w:r>
              <w:rPr>
                <w:color w:val="231F20"/>
                <w:spacing w:val="-6"/>
                <w:sz w:val="14"/>
              </w:rPr>
              <w:t xml:space="preserve"> </w:t>
            </w:r>
            <w:r>
              <w:rPr>
                <w:color w:val="231F20"/>
                <w:sz w:val="14"/>
              </w:rPr>
              <w:t>популарна</w:t>
            </w:r>
            <w:r>
              <w:rPr>
                <w:color w:val="231F20"/>
                <w:spacing w:val="-7"/>
                <w:sz w:val="14"/>
              </w:rPr>
              <w:t xml:space="preserve"> </w:t>
            </w:r>
            <w:r>
              <w:rPr>
                <w:color w:val="231F20"/>
                <w:sz w:val="14"/>
              </w:rPr>
              <w:t>култура, глобализација, тероризам, еколошки про­ блеми...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640"/>
        </w:trPr>
        <w:tc>
          <w:tcPr>
            <w:tcW w:w="1304" w:type="dxa"/>
          </w:tcPr>
          <w:p w:rsidR="00041039" w:rsidRDefault="00041039">
            <w:pPr>
              <w:pStyle w:val="TableParagraph"/>
              <w:ind w:left="0"/>
              <w:rPr>
                <w:sz w:val="14"/>
              </w:rPr>
            </w:pPr>
          </w:p>
        </w:tc>
        <w:tc>
          <w:tcPr>
            <w:tcW w:w="1587" w:type="dxa"/>
          </w:tcPr>
          <w:p w:rsidR="00041039" w:rsidRDefault="00041039">
            <w:pPr>
              <w:pStyle w:val="TableParagraph"/>
              <w:ind w:left="0"/>
              <w:rPr>
                <w:sz w:val="14"/>
              </w:rPr>
            </w:pPr>
          </w:p>
        </w:tc>
        <w:tc>
          <w:tcPr>
            <w:tcW w:w="2551" w:type="dxa"/>
          </w:tcPr>
          <w:p w:rsidR="00041039" w:rsidRDefault="00041039">
            <w:pPr>
              <w:pStyle w:val="TableParagraph"/>
              <w:ind w:left="0"/>
              <w:rPr>
                <w:sz w:val="14"/>
              </w:rPr>
            </w:pPr>
          </w:p>
        </w:tc>
        <w:tc>
          <w:tcPr>
            <w:tcW w:w="2834" w:type="dxa"/>
          </w:tcPr>
          <w:p w:rsidR="00041039" w:rsidRDefault="00041039">
            <w:pPr>
              <w:pStyle w:val="TableParagraph"/>
              <w:ind w:left="0"/>
              <w:rPr>
                <w:sz w:val="14"/>
              </w:rPr>
            </w:pPr>
          </w:p>
        </w:tc>
        <w:tc>
          <w:tcPr>
            <w:tcW w:w="2267" w:type="dxa"/>
          </w:tcPr>
          <w:p w:rsidR="00041039" w:rsidRDefault="001B26CB">
            <w:pPr>
              <w:pStyle w:val="TableParagraph"/>
              <w:numPr>
                <w:ilvl w:val="0"/>
                <w:numId w:val="328"/>
              </w:numPr>
              <w:tabs>
                <w:tab w:val="left" w:pos="158"/>
              </w:tabs>
              <w:spacing w:before="8"/>
              <w:ind w:right="64"/>
              <w:rPr>
                <w:sz w:val="14"/>
              </w:rPr>
            </w:pPr>
            <w:r>
              <w:rPr>
                <w:color w:val="231F20"/>
                <w:sz w:val="14"/>
              </w:rPr>
              <w:t xml:space="preserve">у извођењу наставе самостално истраживање ученика је најваж­ није, без обзира на изабране методе рада, а наставникова је улога да организује </w:t>
            </w:r>
            <w:r>
              <w:rPr>
                <w:color w:val="231F20"/>
                <w:spacing w:val="-3"/>
                <w:sz w:val="14"/>
              </w:rPr>
              <w:t xml:space="preserve">наставу, </w:t>
            </w:r>
            <w:r>
              <w:rPr>
                <w:color w:val="231F20"/>
                <w:sz w:val="14"/>
              </w:rPr>
              <w:t>пру­ жи помоћ ученицима у раду (од давања информација до упући­ вања на изворе информација) и</w:t>
            </w:r>
            <w:r>
              <w:rPr>
                <w:color w:val="231F20"/>
                <w:spacing w:val="-15"/>
                <w:sz w:val="14"/>
              </w:rPr>
              <w:t xml:space="preserve"> </w:t>
            </w:r>
            <w:r>
              <w:rPr>
                <w:color w:val="231F20"/>
                <w:sz w:val="14"/>
              </w:rPr>
              <w:t>да подстиче интересовање ученика за</w:t>
            </w:r>
            <w:r>
              <w:rPr>
                <w:color w:val="231F20"/>
                <w:spacing w:val="-2"/>
                <w:sz w:val="14"/>
              </w:rPr>
              <w:t xml:space="preserve"> </w:t>
            </w:r>
            <w:r>
              <w:rPr>
                <w:color w:val="231F20"/>
                <w:sz w:val="14"/>
              </w:rPr>
              <w:t>предмет.</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539"/>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539"/>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0"/>
          <w:numId w:val="539"/>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539"/>
        </w:numPr>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numPr>
          <w:ilvl w:val="0"/>
          <w:numId w:val="539"/>
        </w:numPr>
        <w:tabs>
          <w:tab w:val="left" w:pos="633"/>
        </w:tabs>
        <w:rPr>
          <w:sz w:val="18"/>
        </w:rPr>
      </w:pPr>
      <w:r>
        <w:rPr>
          <w:color w:val="231F20"/>
          <w:sz w:val="18"/>
        </w:rPr>
        <w:t>Историја</w:t>
      </w:r>
      <w:r>
        <w:rPr>
          <w:color w:val="231F20"/>
          <w:spacing w:val="-1"/>
          <w:sz w:val="18"/>
        </w:rPr>
        <w:t xml:space="preserve"> </w:t>
      </w:r>
      <w:r>
        <w:rPr>
          <w:color w:val="231F20"/>
          <w:sz w:val="18"/>
        </w:rPr>
        <w:t>ваздухопловства</w:t>
      </w:r>
    </w:p>
    <w:p w:rsidR="00041039" w:rsidRDefault="001B26CB">
      <w:pPr>
        <w:pStyle w:val="ListParagraph"/>
        <w:numPr>
          <w:ilvl w:val="0"/>
          <w:numId w:val="539"/>
        </w:numPr>
        <w:tabs>
          <w:tab w:val="left" w:pos="633"/>
        </w:tabs>
        <w:spacing w:line="203" w:lineRule="exact"/>
        <w:rPr>
          <w:sz w:val="18"/>
        </w:rPr>
      </w:pPr>
      <w:r>
        <w:rPr>
          <w:color w:val="231F20"/>
          <w:sz w:val="18"/>
        </w:rPr>
        <w:t>Тероризам</w:t>
      </w:r>
    </w:p>
    <w:p w:rsidR="00041039" w:rsidRDefault="00041039">
      <w:pPr>
        <w:pStyle w:val="BodyText"/>
        <w:rPr>
          <w:sz w:val="23"/>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СОЦИОЛОГИЈА </w:t>
      </w:r>
      <w:r>
        <w:rPr>
          <w:b/>
          <w:color w:val="231F20"/>
          <w:spacing w:val="-4"/>
          <w:sz w:val="14"/>
        </w:rPr>
        <w:t>СА ПРАВИМА</w:t>
      </w:r>
      <w:r>
        <w:rPr>
          <w:b/>
          <w:color w:val="231F20"/>
          <w:spacing w:val="1"/>
          <w:sz w:val="14"/>
        </w:rPr>
        <w:t xml:space="preserve"> </w:t>
      </w:r>
      <w:r>
        <w:rPr>
          <w:b/>
          <w:color w:val="231F20"/>
          <w:spacing w:val="-4"/>
          <w:sz w:val="14"/>
        </w:rPr>
        <w:t>ГРАЂАНА</w:t>
      </w:r>
    </w:p>
    <w:p w:rsidR="00041039" w:rsidRDefault="001B26CB">
      <w:pPr>
        <w:pStyle w:val="BodyText"/>
        <w:spacing w:before="49" w:line="161" w:lineRule="exact"/>
        <w:ind w:left="157"/>
      </w:pPr>
      <w:r>
        <w:rPr>
          <w:color w:val="231F20"/>
        </w:rPr>
        <w:t>Циљеви предмета: – Оспособљава ученика за живот у друштву изложеном сталним променама и изазовима које доноси развој савременог друштва.</w:t>
      </w:r>
    </w:p>
    <w:p w:rsidR="00041039" w:rsidRDefault="001B26CB">
      <w:pPr>
        <w:pStyle w:val="ListParagraph"/>
        <w:numPr>
          <w:ilvl w:val="1"/>
          <w:numId w:val="539"/>
        </w:numPr>
        <w:tabs>
          <w:tab w:val="left" w:pos="1566"/>
        </w:tabs>
        <w:spacing w:line="160" w:lineRule="exact"/>
        <w:rPr>
          <w:sz w:val="14"/>
        </w:rPr>
      </w:pPr>
      <w:r>
        <w:rPr>
          <w:color w:val="231F20"/>
          <w:sz w:val="14"/>
        </w:rPr>
        <w:t xml:space="preserve">Развија способност </w:t>
      </w:r>
      <w:r>
        <w:rPr>
          <w:color w:val="231F20"/>
          <w:spacing w:val="-5"/>
          <w:sz w:val="14"/>
        </w:rPr>
        <w:t xml:space="preserve">код </w:t>
      </w:r>
      <w:r>
        <w:rPr>
          <w:color w:val="231F20"/>
          <w:sz w:val="14"/>
        </w:rPr>
        <w:t>ученика за улогу одговорног грађанина за живот у демократски уређеном и хуманом</w:t>
      </w:r>
      <w:r>
        <w:rPr>
          <w:color w:val="231F20"/>
          <w:spacing w:val="-11"/>
          <w:sz w:val="14"/>
        </w:rPr>
        <w:t xml:space="preserve"> </w:t>
      </w:r>
      <w:r>
        <w:rPr>
          <w:color w:val="231F20"/>
          <w:spacing w:val="-3"/>
          <w:sz w:val="14"/>
        </w:rPr>
        <w:t>друштву.</w:t>
      </w:r>
    </w:p>
    <w:p w:rsidR="00041039" w:rsidRDefault="001B26CB">
      <w:pPr>
        <w:pStyle w:val="ListParagraph"/>
        <w:numPr>
          <w:ilvl w:val="1"/>
          <w:numId w:val="539"/>
        </w:numPr>
        <w:tabs>
          <w:tab w:val="left" w:pos="1566"/>
        </w:tabs>
        <w:spacing w:line="161" w:lineRule="exact"/>
        <w:rPr>
          <w:sz w:val="14"/>
        </w:rPr>
      </w:pPr>
      <w:r>
        <w:rPr>
          <w:color w:val="231F20"/>
          <w:spacing w:val="-3"/>
          <w:sz w:val="14"/>
        </w:rPr>
        <w:t xml:space="preserve">Унапређује </w:t>
      </w:r>
      <w:r>
        <w:rPr>
          <w:color w:val="231F20"/>
          <w:sz w:val="14"/>
        </w:rPr>
        <w:t>ученичке способности за све облике комуникације дијалога и исказивања аргументованог</w:t>
      </w:r>
      <w:r>
        <w:rPr>
          <w:color w:val="231F20"/>
          <w:spacing w:val="-5"/>
          <w:sz w:val="14"/>
        </w:rPr>
        <w:t xml:space="preserve"> </w:t>
      </w:r>
      <w:r>
        <w:rPr>
          <w:color w:val="231F20"/>
          <w:sz w:val="14"/>
        </w:rPr>
        <w:t>става.</w:t>
      </w:r>
    </w:p>
    <w:p w:rsidR="00041039" w:rsidRDefault="00041039">
      <w:pPr>
        <w:spacing w:line="161" w:lineRule="exact"/>
        <w:rPr>
          <w:sz w:val="14"/>
        </w:rPr>
        <w:sectPr w:rsidR="00041039">
          <w:pgSz w:w="11910" w:h="15710"/>
          <w:pgMar w:top="160" w:right="540" w:bottom="280" w:left="580" w:header="720" w:footer="720" w:gutter="0"/>
          <w:cols w:space="720"/>
        </w:sectPr>
      </w:pPr>
    </w:p>
    <w:p w:rsidR="00041039" w:rsidRDefault="001B26CB">
      <w:pPr>
        <w:pStyle w:val="BodyText"/>
        <w:spacing w:before="50"/>
        <w:ind w:left="157" w:right="4"/>
      </w:pPr>
      <w:r>
        <w:rPr>
          <w:color w:val="231F20"/>
        </w:rPr>
        <w:t>Годишњи фонд часова:</w:t>
      </w:r>
    </w:p>
    <w:p w:rsidR="00041039" w:rsidRDefault="001B26CB">
      <w:pPr>
        <w:pStyle w:val="Heading3"/>
        <w:spacing w:before="47"/>
      </w:pPr>
      <w:r>
        <w:rPr>
          <w:b w:val="0"/>
        </w:rPr>
        <w:br w:type="column"/>
      </w:r>
      <w:r>
        <w:rPr>
          <w:color w:val="231F20"/>
        </w:rPr>
        <w:t>64 часа</w:t>
      </w:r>
    </w:p>
    <w:p w:rsidR="00041039" w:rsidRDefault="00041039">
      <w:pPr>
        <w:sectPr w:rsidR="00041039">
          <w:type w:val="continuous"/>
          <w:pgSz w:w="11910" w:h="15710"/>
          <w:pgMar w:top="1480" w:right="540" w:bottom="280" w:left="580" w:header="720" w:footer="720" w:gutter="0"/>
          <w:cols w:num="2" w:space="720" w:equalWidth="0">
            <w:col w:w="1104" w:space="200"/>
            <w:col w:w="9486"/>
          </w:cols>
        </w:sectPr>
      </w:pPr>
    </w:p>
    <w:p w:rsidR="00041039" w:rsidRDefault="001B26CB">
      <w:pPr>
        <w:tabs>
          <w:tab w:val="left" w:pos="1460"/>
        </w:tabs>
        <w:spacing w:before="48"/>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154" w:firstLine="725"/>
              <w:rPr>
                <w:b/>
                <w:sz w:val="14"/>
              </w:rPr>
            </w:pPr>
            <w:r>
              <w:rPr>
                <w:b/>
                <w:color w:val="231F20"/>
                <w:sz w:val="14"/>
              </w:rPr>
              <w:t>НАЧИН ОСТВАРИВАЊА ПРОГРАМ A</w:t>
            </w:r>
          </w:p>
        </w:tc>
      </w:tr>
      <w:tr w:rsidR="00041039">
        <w:trPr>
          <w:trHeight w:val="1960"/>
        </w:trPr>
        <w:tc>
          <w:tcPr>
            <w:tcW w:w="1304" w:type="dxa"/>
          </w:tcPr>
          <w:p w:rsidR="00041039" w:rsidRDefault="001B26CB">
            <w:pPr>
              <w:pStyle w:val="TableParagraph"/>
              <w:spacing w:before="18"/>
              <w:ind w:left="56" w:right="37"/>
              <w:rPr>
                <w:sz w:val="14"/>
              </w:rPr>
            </w:pPr>
            <w:r>
              <w:rPr>
                <w:color w:val="231F20"/>
                <w:sz w:val="14"/>
              </w:rPr>
              <w:t>Структура и орга­ низација друштва</w:t>
            </w:r>
          </w:p>
        </w:tc>
        <w:tc>
          <w:tcPr>
            <w:tcW w:w="1587" w:type="dxa"/>
          </w:tcPr>
          <w:p w:rsidR="00041039" w:rsidRDefault="001B26CB">
            <w:pPr>
              <w:pStyle w:val="TableParagraph"/>
              <w:numPr>
                <w:ilvl w:val="0"/>
                <w:numId w:val="327"/>
              </w:numPr>
              <w:tabs>
                <w:tab w:val="left" w:pos="157"/>
              </w:tabs>
              <w:spacing w:before="8"/>
              <w:ind w:right="95"/>
              <w:rPr>
                <w:sz w:val="14"/>
              </w:rPr>
            </w:pPr>
            <w:r>
              <w:rPr>
                <w:color w:val="231F20"/>
                <w:sz w:val="14"/>
              </w:rPr>
              <w:t>Упознавање са функ­ ционисањем,</w:t>
            </w:r>
            <w:r>
              <w:rPr>
                <w:color w:val="231F20"/>
                <w:spacing w:val="-7"/>
                <w:sz w:val="14"/>
              </w:rPr>
              <w:t xml:space="preserve"> </w:t>
            </w:r>
            <w:r>
              <w:rPr>
                <w:color w:val="231F20"/>
                <w:sz w:val="14"/>
              </w:rPr>
              <w:t>структу­ ром и организацијом друштва.</w:t>
            </w:r>
          </w:p>
        </w:tc>
        <w:tc>
          <w:tcPr>
            <w:tcW w:w="2551" w:type="dxa"/>
          </w:tcPr>
          <w:p w:rsidR="00041039" w:rsidRDefault="001B26CB">
            <w:pPr>
              <w:pStyle w:val="TableParagraph"/>
              <w:numPr>
                <w:ilvl w:val="0"/>
                <w:numId w:val="326"/>
              </w:numPr>
              <w:tabs>
                <w:tab w:val="left" w:pos="157"/>
              </w:tabs>
              <w:spacing w:before="8"/>
              <w:ind w:right="430" w:hanging="99"/>
              <w:rPr>
                <w:sz w:val="14"/>
              </w:rPr>
            </w:pPr>
            <w:r>
              <w:rPr>
                <w:color w:val="231F20"/>
                <w:sz w:val="14"/>
              </w:rPr>
              <w:t>схвати структуру и</w:t>
            </w:r>
            <w:r>
              <w:rPr>
                <w:color w:val="231F20"/>
                <w:spacing w:val="-16"/>
                <w:sz w:val="14"/>
              </w:rPr>
              <w:t xml:space="preserve"> </w:t>
            </w:r>
            <w:r>
              <w:rPr>
                <w:color w:val="231F20"/>
                <w:sz w:val="14"/>
              </w:rPr>
              <w:t>организацију друштва;</w:t>
            </w:r>
          </w:p>
          <w:p w:rsidR="00041039" w:rsidRDefault="001B26CB">
            <w:pPr>
              <w:pStyle w:val="TableParagraph"/>
              <w:numPr>
                <w:ilvl w:val="0"/>
                <w:numId w:val="326"/>
              </w:numPr>
              <w:tabs>
                <w:tab w:val="left" w:pos="157"/>
              </w:tabs>
              <w:spacing w:line="160" w:lineRule="exact"/>
              <w:ind w:right="109" w:hanging="99"/>
              <w:rPr>
                <w:sz w:val="14"/>
              </w:rPr>
            </w:pPr>
            <w:r>
              <w:rPr>
                <w:color w:val="231F20"/>
                <w:sz w:val="14"/>
              </w:rPr>
              <w:t>објасни улогу друштвених група с</w:t>
            </w:r>
            <w:r>
              <w:rPr>
                <w:color w:val="231F20"/>
                <w:spacing w:val="-19"/>
                <w:sz w:val="14"/>
              </w:rPr>
              <w:t xml:space="preserve"> </w:t>
            </w:r>
            <w:r>
              <w:rPr>
                <w:color w:val="231F20"/>
                <w:sz w:val="14"/>
              </w:rPr>
              <w:t>по­ себним освртом на брак и</w:t>
            </w:r>
            <w:r>
              <w:rPr>
                <w:color w:val="231F20"/>
                <w:spacing w:val="-11"/>
                <w:sz w:val="14"/>
              </w:rPr>
              <w:t xml:space="preserve"> </w:t>
            </w:r>
            <w:r>
              <w:rPr>
                <w:color w:val="231F20"/>
                <w:sz w:val="14"/>
              </w:rPr>
              <w:t>породицу;</w:t>
            </w:r>
          </w:p>
          <w:p w:rsidR="00041039" w:rsidRDefault="001B26CB">
            <w:pPr>
              <w:pStyle w:val="TableParagraph"/>
              <w:numPr>
                <w:ilvl w:val="0"/>
                <w:numId w:val="326"/>
              </w:numPr>
              <w:tabs>
                <w:tab w:val="left" w:pos="157"/>
              </w:tabs>
              <w:spacing w:line="153" w:lineRule="exact"/>
              <w:ind w:hanging="99"/>
              <w:rPr>
                <w:sz w:val="14"/>
              </w:rPr>
            </w:pPr>
            <w:r>
              <w:rPr>
                <w:color w:val="231F20"/>
                <w:sz w:val="14"/>
              </w:rPr>
              <w:t>схвати друштвену поделу</w:t>
            </w:r>
            <w:r>
              <w:rPr>
                <w:color w:val="231F20"/>
                <w:spacing w:val="-3"/>
                <w:sz w:val="14"/>
              </w:rPr>
              <w:t xml:space="preserve"> </w:t>
            </w:r>
            <w:r>
              <w:rPr>
                <w:color w:val="231F20"/>
                <w:sz w:val="14"/>
              </w:rPr>
              <w:t>рада;</w:t>
            </w:r>
          </w:p>
          <w:p w:rsidR="00041039" w:rsidRDefault="001B26CB">
            <w:pPr>
              <w:pStyle w:val="TableParagraph"/>
              <w:numPr>
                <w:ilvl w:val="0"/>
                <w:numId w:val="326"/>
              </w:numPr>
              <w:tabs>
                <w:tab w:val="left" w:pos="157"/>
              </w:tabs>
              <w:spacing w:line="237" w:lineRule="auto"/>
              <w:ind w:right="241" w:hanging="99"/>
              <w:rPr>
                <w:sz w:val="14"/>
              </w:rPr>
            </w:pPr>
            <w:r>
              <w:rPr>
                <w:color w:val="231F20"/>
                <w:sz w:val="14"/>
              </w:rPr>
              <w:t>објасни узроке друштвеног</w:t>
            </w:r>
            <w:r>
              <w:rPr>
                <w:color w:val="231F20"/>
                <w:spacing w:val="-7"/>
                <w:sz w:val="14"/>
              </w:rPr>
              <w:t xml:space="preserve"> </w:t>
            </w:r>
            <w:r>
              <w:rPr>
                <w:color w:val="231F20"/>
                <w:sz w:val="14"/>
              </w:rPr>
              <w:t>раслоја­ вања;</w:t>
            </w:r>
          </w:p>
          <w:p w:rsidR="00041039" w:rsidRDefault="001B26CB">
            <w:pPr>
              <w:pStyle w:val="TableParagraph"/>
              <w:numPr>
                <w:ilvl w:val="0"/>
                <w:numId w:val="326"/>
              </w:numPr>
              <w:tabs>
                <w:tab w:val="left" w:pos="157"/>
              </w:tabs>
              <w:spacing w:line="160" w:lineRule="exact"/>
              <w:ind w:right="173" w:hanging="99"/>
              <w:jc w:val="both"/>
              <w:rPr>
                <w:sz w:val="14"/>
              </w:rPr>
            </w:pPr>
            <w:r>
              <w:rPr>
                <w:color w:val="231F20"/>
                <w:sz w:val="14"/>
              </w:rPr>
              <w:t>наведе друштвене установе и</w:t>
            </w:r>
            <w:r>
              <w:rPr>
                <w:color w:val="231F20"/>
                <w:spacing w:val="-11"/>
                <w:sz w:val="14"/>
              </w:rPr>
              <w:t xml:space="preserve"> </w:t>
            </w:r>
            <w:r>
              <w:rPr>
                <w:color w:val="231F20"/>
                <w:sz w:val="14"/>
              </w:rPr>
              <w:t>друшт­ вене организације и направи</w:t>
            </w:r>
            <w:r>
              <w:rPr>
                <w:color w:val="231F20"/>
                <w:spacing w:val="-12"/>
                <w:sz w:val="14"/>
              </w:rPr>
              <w:t xml:space="preserve"> </w:t>
            </w:r>
            <w:r>
              <w:rPr>
                <w:color w:val="231F20"/>
                <w:sz w:val="14"/>
              </w:rPr>
              <w:t>разлику између</w:t>
            </w:r>
            <w:r>
              <w:rPr>
                <w:color w:val="231F20"/>
                <w:spacing w:val="-1"/>
                <w:sz w:val="14"/>
              </w:rPr>
              <w:t xml:space="preserve"> </w:t>
            </w:r>
            <w:r>
              <w:rPr>
                <w:color w:val="231F20"/>
                <w:sz w:val="14"/>
              </w:rPr>
              <w:t>њих;</w:t>
            </w:r>
          </w:p>
          <w:p w:rsidR="00041039" w:rsidRDefault="001B26CB">
            <w:pPr>
              <w:pStyle w:val="TableParagraph"/>
              <w:numPr>
                <w:ilvl w:val="0"/>
                <w:numId w:val="326"/>
              </w:numPr>
              <w:tabs>
                <w:tab w:val="left" w:pos="157"/>
              </w:tabs>
              <w:spacing w:line="160" w:lineRule="exact"/>
              <w:ind w:right="157" w:hanging="99"/>
              <w:rPr>
                <w:sz w:val="14"/>
              </w:rPr>
            </w:pPr>
            <w:r>
              <w:rPr>
                <w:color w:val="231F20"/>
                <w:sz w:val="14"/>
              </w:rPr>
              <w:t>разликује особености сеоског и град­ ског</w:t>
            </w:r>
            <w:r>
              <w:rPr>
                <w:color w:val="231F20"/>
                <w:spacing w:val="-1"/>
                <w:sz w:val="14"/>
              </w:rPr>
              <w:t xml:space="preserve"> </w:t>
            </w:r>
            <w:r>
              <w:rPr>
                <w:color w:val="231F20"/>
                <w:sz w:val="14"/>
              </w:rPr>
              <w:t>становништва;</w:t>
            </w:r>
          </w:p>
        </w:tc>
        <w:tc>
          <w:tcPr>
            <w:tcW w:w="2834" w:type="dxa"/>
          </w:tcPr>
          <w:p w:rsidR="00041039" w:rsidRDefault="001B26CB">
            <w:pPr>
              <w:pStyle w:val="TableParagraph"/>
              <w:numPr>
                <w:ilvl w:val="0"/>
                <w:numId w:val="325"/>
              </w:numPr>
              <w:tabs>
                <w:tab w:val="left" w:pos="142"/>
              </w:tabs>
              <w:spacing w:before="18" w:line="161" w:lineRule="exact"/>
              <w:rPr>
                <w:sz w:val="14"/>
              </w:rPr>
            </w:pPr>
            <w:r>
              <w:rPr>
                <w:color w:val="231F20"/>
                <w:sz w:val="14"/>
              </w:rPr>
              <w:t>Појам иелементи</w:t>
            </w:r>
            <w:r>
              <w:rPr>
                <w:color w:val="231F20"/>
                <w:spacing w:val="-3"/>
                <w:sz w:val="14"/>
              </w:rPr>
              <w:t xml:space="preserve"> </w:t>
            </w:r>
            <w:r>
              <w:rPr>
                <w:color w:val="231F20"/>
                <w:sz w:val="14"/>
              </w:rPr>
              <w:t>друштва.</w:t>
            </w:r>
          </w:p>
          <w:p w:rsidR="00041039" w:rsidRDefault="001B26CB">
            <w:pPr>
              <w:pStyle w:val="TableParagraph"/>
              <w:numPr>
                <w:ilvl w:val="0"/>
                <w:numId w:val="325"/>
              </w:numPr>
              <w:tabs>
                <w:tab w:val="left" w:pos="142"/>
              </w:tabs>
              <w:spacing w:line="160" w:lineRule="exact"/>
              <w:rPr>
                <w:sz w:val="14"/>
              </w:rPr>
            </w:pPr>
            <w:r>
              <w:rPr>
                <w:color w:val="231F20"/>
                <w:sz w:val="14"/>
              </w:rPr>
              <w:t>Друштвене</w:t>
            </w:r>
            <w:r>
              <w:rPr>
                <w:color w:val="231F20"/>
                <w:spacing w:val="-1"/>
                <w:sz w:val="14"/>
              </w:rPr>
              <w:t xml:space="preserve"> </w:t>
            </w:r>
            <w:r>
              <w:rPr>
                <w:color w:val="231F20"/>
                <w:sz w:val="14"/>
              </w:rPr>
              <w:t>групе.</w:t>
            </w:r>
          </w:p>
          <w:p w:rsidR="00041039" w:rsidRDefault="001B26CB">
            <w:pPr>
              <w:pStyle w:val="TableParagraph"/>
              <w:numPr>
                <w:ilvl w:val="0"/>
                <w:numId w:val="325"/>
              </w:numPr>
              <w:tabs>
                <w:tab w:val="left" w:pos="142"/>
              </w:tabs>
              <w:spacing w:line="160" w:lineRule="exact"/>
              <w:rPr>
                <w:sz w:val="14"/>
              </w:rPr>
            </w:pPr>
            <w:r>
              <w:rPr>
                <w:color w:val="231F20"/>
                <w:sz w:val="14"/>
              </w:rPr>
              <w:t>Брак и</w:t>
            </w:r>
            <w:r>
              <w:rPr>
                <w:color w:val="231F20"/>
                <w:spacing w:val="-3"/>
                <w:sz w:val="14"/>
              </w:rPr>
              <w:t xml:space="preserve"> </w:t>
            </w:r>
            <w:r>
              <w:rPr>
                <w:color w:val="231F20"/>
                <w:sz w:val="14"/>
              </w:rPr>
              <w:t>породица.</w:t>
            </w:r>
          </w:p>
          <w:p w:rsidR="00041039" w:rsidRDefault="001B26CB">
            <w:pPr>
              <w:pStyle w:val="TableParagraph"/>
              <w:numPr>
                <w:ilvl w:val="0"/>
                <w:numId w:val="325"/>
              </w:numPr>
              <w:tabs>
                <w:tab w:val="left" w:pos="142"/>
              </w:tabs>
              <w:spacing w:line="160" w:lineRule="exact"/>
              <w:rPr>
                <w:sz w:val="14"/>
              </w:rPr>
            </w:pPr>
            <w:r>
              <w:rPr>
                <w:color w:val="231F20"/>
                <w:sz w:val="14"/>
              </w:rPr>
              <w:t>Друштвена подела</w:t>
            </w:r>
            <w:r>
              <w:rPr>
                <w:color w:val="231F20"/>
                <w:spacing w:val="-10"/>
                <w:sz w:val="14"/>
              </w:rPr>
              <w:t xml:space="preserve"> </w:t>
            </w:r>
            <w:r>
              <w:rPr>
                <w:color w:val="231F20"/>
                <w:sz w:val="14"/>
              </w:rPr>
              <w:t>рада.</w:t>
            </w:r>
          </w:p>
          <w:p w:rsidR="00041039" w:rsidRDefault="001B26CB">
            <w:pPr>
              <w:pStyle w:val="TableParagraph"/>
              <w:numPr>
                <w:ilvl w:val="0"/>
                <w:numId w:val="325"/>
              </w:numPr>
              <w:tabs>
                <w:tab w:val="left" w:pos="142"/>
              </w:tabs>
              <w:spacing w:line="160" w:lineRule="exact"/>
              <w:rPr>
                <w:sz w:val="14"/>
              </w:rPr>
            </w:pPr>
            <w:r>
              <w:rPr>
                <w:color w:val="231F20"/>
                <w:sz w:val="14"/>
              </w:rPr>
              <w:t>Друштвено</w:t>
            </w:r>
            <w:r>
              <w:rPr>
                <w:color w:val="231F20"/>
                <w:spacing w:val="-6"/>
                <w:sz w:val="14"/>
              </w:rPr>
              <w:t xml:space="preserve"> </w:t>
            </w:r>
            <w:r>
              <w:rPr>
                <w:color w:val="231F20"/>
                <w:sz w:val="14"/>
              </w:rPr>
              <w:t>раслојавање.</w:t>
            </w:r>
          </w:p>
          <w:p w:rsidR="00041039" w:rsidRDefault="001B26CB">
            <w:pPr>
              <w:pStyle w:val="TableParagraph"/>
              <w:numPr>
                <w:ilvl w:val="0"/>
                <w:numId w:val="325"/>
              </w:numPr>
              <w:tabs>
                <w:tab w:val="left" w:pos="142"/>
              </w:tabs>
              <w:spacing w:line="160" w:lineRule="exact"/>
              <w:rPr>
                <w:sz w:val="14"/>
              </w:rPr>
            </w:pPr>
            <w:r>
              <w:rPr>
                <w:color w:val="231F20"/>
                <w:sz w:val="14"/>
              </w:rPr>
              <w:t>Друштвене установе и</w:t>
            </w:r>
            <w:r>
              <w:rPr>
                <w:color w:val="231F20"/>
                <w:spacing w:val="-2"/>
                <w:sz w:val="14"/>
              </w:rPr>
              <w:t xml:space="preserve"> </w:t>
            </w:r>
            <w:r>
              <w:rPr>
                <w:color w:val="231F20"/>
                <w:sz w:val="14"/>
              </w:rPr>
              <w:t>организације.</w:t>
            </w:r>
          </w:p>
          <w:p w:rsidR="00041039" w:rsidRDefault="001B26CB">
            <w:pPr>
              <w:pStyle w:val="TableParagraph"/>
              <w:numPr>
                <w:ilvl w:val="0"/>
                <w:numId w:val="325"/>
              </w:numPr>
              <w:tabs>
                <w:tab w:val="left" w:pos="142"/>
              </w:tabs>
              <w:spacing w:line="161" w:lineRule="exact"/>
              <w:rPr>
                <w:sz w:val="14"/>
              </w:rPr>
            </w:pPr>
            <w:r>
              <w:rPr>
                <w:color w:val="231F20"/>
                <w:sz w:val="14"/>
              </w:rPr>
              <w:t>Насеља и</w:t>
            </w:r>
            <w:r>
              <w:rPr>
                <w:color w:val="231F20"/>
                <w:spacing w:val="-2"/>
                <w:sz w:val="14"/>
              </w:rPr>
              <w:t xml:space="preserve"> </w:t>
            </w:r>
            <w:r>
              <w:rPr>
                <w:color w:val="231F20"/>
                <w:sz w:val="14"/>
              </w:rPr>
              <w:t>становништво.</w:t>
            </w:r>
          </w:p>
        </w:tc>
        <w:tc>
          <w:tcPr>
            <w:tcW w:w="2267" w:type="dxa"/>
            <w:vMerge w:val="restart"/>
          </w:tcPr>
          <w:p w:rsidR="00041039" w:rsidRDefault="001B26CB">
            <w:pPr>
              <w:pStyle w:val="TableParagraph"/>
              <w:numPr>
                <w:ilvl w:val="0"/>
                <w:numId w:val="324"/>
              </w:numPr>
              <w:tabs>
                <w:tab w:val="left" w:pos="158"/>
              </w:tabs>
              <w:spacing w:before="8"/>
              <w:ind w:right="50"/>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 учења, планом рада и начинима</w:t>
            </w:r>
            <w:r>
              <w:rPr>
                <w:color w:val="231F20"/>
                <w:spacing w:val="-1"/>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7"/>
              <w:rPr>
                <w:b/>
                <w:sz w:val="14"/>
              </w:rPr>
            </w:pPr>
            <w:r>
              <w:rPr>
                <w:b/>
                <w:color w:val="231F20"/>
                <w:sz w:val="14"/>
              </w:rPr>
              <w:t>Облици наставе</w:t>
            </w:r>
          </w:p>
          <w:p w:rsidR="00041039" w:rsidRDefault="001B26CB">
            <w:pPr>
              <w:pStyle w:val="TableParagraph"/>
              <w:ind w:left="57" w:right="110"/>
              <w:rPr>
                <w:sz w:val="14"/>
              </w:rPr>
            </w:pPr>
            <w:r>
              <w:rPr>
                <w:color w:val="231F20"/>
                <w:sz w:val="14"/>
              </w:rPr>
              <w:t>Предмет се реализује кроз следеће облике наставе:</w:t>
            </w:r>
          </w:p>
          <w:p w:rsidR="00041039" w:rsidRDefault="001B26CB">
            <w:pPr>
              <w:pStyle w:val="TableParagraph"/>
              <w:numPr>
                <w:ilvl w:val="0"/>
                <w:numId w:val="324"/>
              </w:numPr>
              <w:tabs>
                <w:tab w:val="left" w:pos="158"/>
              </w:tabs>
              <w:spacing w:line="160" w:lineRule="exact"/>
              <w:rPr>
                <w:b/>
                <w:sz w:val="14"/>
              </w:rPr>
            </w:pPr>
            <w:r>
              <w:rPr>
                <w:color w:val="231F20"/>
                <w:sz w:val="14"/>
              </w:rPr>
              <w:t xml:space="preserve">теоријска настава </w:t>
            </w:r>
            <w:r>
              <w:rPr>
                <w:b/>
                <w:color w:val="231F20"/>
                <w:sz w:val="14"/>
              </w:rPr>
              <w:t>(64</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7"/>
              <w:rPr>
                <w:b/>
                <w:sz w:val="14"/>
              </w:rPr>
            </w:pPr>
            <w:r>
              <w:rPr>
                <w:b/>
                <w:color w:val="231F20"/>
                <w:sz w:val="14"/>
              </w:rPr>
              <w:t>Подела одељења на групе</w:t>
            </w:r>
          </w:p>
          <w:p w:rsidR="00041039" w:rsidRDefault="001B26CB">
            <w:pPr>
              <w:pStyle w:val="TableParagraph"/>
              <w:spacing w:line="161" w:lineRule="exact"/>
              <w:ind w:left="57"/>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7"/>
              <w:rPr>
                <w:b/>
                <w:sz w:val="14"/>
              </w:rPr>
            </w:pPr>
            <w:r>
              <w:rPr>
                <w:b/>
                <w:color w:val="231F20"/>
                <w:sz w:val="14"/>
              </w:rPr>
              <w:t>Место реализације наставе</w:t>
            </w:r>
          </w:p>
          <w:p w:rsidR="00041039" w:rsidRDefault="001B26CB">
            <w:pPr>
              <w:pStyle w:val="TableParagraph"/>
              <w:numPr>
                <w:ilvl w:val="0"/>
                <w:numId w:val="324"/>
              </w:numPr>
              <w:tabs>
                <w:tab w:val="left" w:pos="158"/>
              </w:tabs>
              <w:spacing w:line="237" w:lineRule="auto"/>
              <w:ind w:right="15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7" w:right="109"/>
              <w:rPr>
                <w:b/>
                <w:sz w:val="14"/>
              </w:rPr>
            </w:pPr>
            <w:r>
              <w:rPr>
                <w:b/>
                <w:color w:val="231F20"/>
                <w:sz w:val="14"/>
              </w:rPr>
              <w:t>Препоруке за реализацију наставе</w:t>
            </w:r>
          </w:p>
          <w:p w:rsidR="00041039" w:rsidRDefault="001B26CB">
            <w:pPr>
              <w:pStyle w:val="TableParagraph"/>
              <w:numPr>
                <w:ilvl w:val="0"/>
                <w:numId w:val="324"/>
              </w:numPr>
              <w:tabs>
                <w:tab w:val="left" w:pos="158"/>
              </w:tabs>
              <w:spacing w:line="160" w:lineRule="exact"/>
              <w:ind w:right="42"/>
              <w:rPr>
                <w:sz w:val="14"/>
              </w:rPr>
            </w:pPr>
            <w:r>
              <w:rPr>
                <w:color w:val="231F20"/>
                <w:sz w:val="14"/>
              </w:rPr>
              <w:t>Користити актуелне примере из штампе и других медија</w:t>
            </w:r>
            <w:r>
              <w:rPr>
                <w:color w:val="231F20"/>
                <w:spacing w:val="-7"/>
                <w:sz w:val="14"/>
              </w:rPr>
              <w:t xml:space="preserve"> </w:t>
            </w:r>
            <w:r>
              <w:rPr>
                <w:color w:val="231F20"/>
                <w:sz w:val="14"/>
              </w:rPr>
              <w:t>релевант­ не за</w:t>
            </w:r>
            <w:r>
              <w:rPr>
                <w:color w:val="231F20"/>
                <w:spacing w:val="-3"/>
                <w:sz w:val="14"/>
              </w:rPr>
              <w:t xml:space="preserve"> </w:t>
            </w:r>
            <w:r>
              <w:rPr>
                <w:color w:val="231F20"/>
                <w:sz w:val="14"/>
              </w:rPr>
              <w:t>предмет.</w:t>
            </w:r>
          </w:p>
          <w:p w:rsidR="00041039" w:rsidRDefault="001B26CB">
            <w:pPr>
              <w:pStyle w:val="TableParagraph"/>
              <w:numPr>
                <w:ilvl w:val="0"/>
                <w:numId w:val="324"/>
              </w:numPr>
              <w:tabs>
                <w:tab w:val="left" w:pos="158"/>
              </w:tabs>
              <w:spacing w:line="160" w:lineRule="exact"/>
              <w:ind w:right="170"/>
              <w:rPr>
                <w:sz w:val="14"/>
              </w:rPr>
            </w:pPr>
            <w:r>
              <w:rPr>
                <w:color w:val="231F20"/>
                <w:sz w:val="14"/>
              </w:rPr>
              <w:t xml:space="preserve">Користити </w:t>
            </w:r>
            <w:r>
              <w:rPr>
                <w:color w:val="231F20"/>
                <w:spacing w:val="-4"/>
                <w:sz w:val="14"/>
              </w:rPr>
              <w:t xml:space="preserve">Устав </w:t>
            </w:r>
            <w:r>
              <w:rPr>
                <w:color w:val="231F20"/>
                <w:sz w:val="14"/>
              </w:rPr>
              <w:t xml:space="preserve">и релевантне законе у зависности </w:t>
            </w:r>
            <w:r>
              <w:rPr>
                <w:color w:val="231F20"/>
                <w:spacing w:val="-3"/>
                <w:sz w:val="14"/>
              </w:rPr>
              <w:t xml:space="preserve">од </w:t>
            </w:r>
            <w:r>
              <w:rPr>
                <w:color w:val="231F20"/>
                <w:sz w:val="14"/>
              </w:rPr>
              <w:t>садржаја који се</w:t>
            </w:r>
            <w:r>
              <w:rPr>
                <w:color w:val="231F20"/>
                <w:spacing w:val="-1"/>
                <w:sz w:val="14"/>
              </w:rPr>
              <w:t xml:space="preserve"> </w:t>
            </w:r>
            <w:r>
              <w:rPr>
                <w:color w:val="231F20"/>
                <w:sz w:val="14"/>
              </w:rPr>
              <w:t>обрађује.</w:t>
            </w:r>
          </w:p>
          <w:p w:rsidR="00041039" w:rsidRDefault="00041039">
            <w:pPr>
              <w:pStyle w:val="TableParagraph"/>
              <w:spacing w:before="8"/>
              <w:ind w:left="0"/>
              <w:rPr>
                <w:b/>
                <w:sz w:val="13"/>
              </w:rPr>
            </w:pPr>
          </w:p>
          <w:p w:rsidR="00041039" w:rsidRDefault="001B26CB">
            <w:pPr>
              <w:pStyle w:val="TableParagraph"/>
              <w:spacing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324"/>
              </w:numPr>
              <w:tabs>
                <w:tab w:val="left" w:pos="158"/>
              </w:tabs>
              <w:spacing w:line="154"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324"/>
              </w:numPr>
              <w:tabs>
                <w:tab w:val="left" w:pos="158"/>
              </w:tabs>
              <w:spacing w:line="166" w:lineRule="exact"/>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9"/>
              <w:ind w:left="0"/>
              <w:rPr>
                <w:b/>
                <w:sz w:val="13"/>
              </w:rPr>
            </w:pPr>
          </w:p>
          <w:p w:rsidR="00041039" w:rsidRDefault="001B26CB">
            <w:pPr>
              <w:pStyle w:val="TableParagraph"/>
              <w:spacing w:line="161" w:lineRule="exact"/>
              <w:ind w:left="57"/>
              <w:rPr>
                <w:b/>
                <w:sz w:val="14"/>
              </w:rPr>
            </w:pPr>
            <w:r>
              <w:rPr>
                <w:b/>
                <w:color w:val="231F20"/>
                <w:sz w:val="14"/>
              </w:rPr>
              <w:t>Оквирни бројчасова по темама</w:t>
            </w:r>
          </w:p>
          <w:p w:rsidR="00041039" w:rsidRDefault="001B26CB">
            <w:pPr>
              <w:pStyle w:val="TableParagraph"/>
              <w:numPr>
                <w:ilvl w:val="0"/>
                <w:numId w:val="323"/>
              </w:numPr>
              <w:tabs>
                <w:tab w:val="left" w:pos="142"/>
              </w:tabs>
              <w:ind w:right="110"/>
              <w:rPr>
                <w:b/>
                <w:sz w:val="14"/>
              </w:rPr>
            </w:pPr>
            <w:r>
              <w:rPr>
                <w:color w:val="231F20"/>
                <w:sz w:val="14"/>
              </w:rPr>
              <w:t>Структура и организација</w:t>
            </w:r>
            <w:r>
              <w:rPr>
                <w:color w:val="231F20"/>
                <w:spacing w:val="-10"/>
                <w:sz w:val="14"/>
              </w:rPr>
              <w:t xml:space="preserve"> </w:t>
            </w:r>
            <w:r>
              <w:rPr>
                <w:color w:val="231F20"/>
                <w:sz w:val="14"/>
              </w:rPr>
              <w:t>друшт­ ва</w:t>
            </w:r>
            <w:r>
              <w:rPr>
                <w:b/>
                <w:color w:val="231F20"/>
                <w:sz w:val="14"/>
              </w:rPr>
              <w:t>(15</w:t>
            </w:r>
            <w:r>
              <w:rPr>
                <w:b/>
                <w:color w:val="231F20"/>
                <w:spacing w:val="-1"/>
                <w:sz w:val="14"/>
              </w:rPr>
              <w:t xml:space="preserve"> </w:t>
            </w:r>
            <w:r>
              <w:rPr>
                <w:b/>
                <w:color w:val="231F20"/>
                <w:sz w:val="14"/>
              </w:rPr>
              <w:t>часова)</w:t>
            </w:r>
          </w:p>
          <w:p w:rsidR="00041039" w:rsidRDefault="001B26CB">
            <w:pPr>
              <w:pStyle w:val="TableParagraph"/>
              <w:numPr>
                <w:ilvl w:val="0"/>
                <w:numId w:val="323"/>
              </w:numPr>
              <w:tabs>
                <w:tab w:val="left" w:pos="142"/>
              </w:tabs>
              <w:spacing w:line="159" w:lineRule="exact"/>
              <w:rPr>
                <w:b/>
                <w:sz w:val="14"/>
              </w:rPr>
            </w:pPr>
            <w:r>
              <w:rPr>
                <w:color w:val="231F20"/>
                <w:sz w:val="14"/>
              </w:rPr>
              <w:t xml:space="preserve">Држава и политика </w:t>
            </w:r>
            <w:r>
              <w:rPr>
                <w:b/>
                <w:color w:val="231F20"/>
                <w:sz w:val="14"/>
              </w:rPr>
              <w:t>(17</w:t>
            </w:r>
            <w:r>
              <w:rPr>
                <w:b/>
                <w:color w:val="231F20"/>
                <w:spacing w:val="-10"/>
                <w:sz w:val="14"/>
              </w:rPr>
              <w:t xml:space="preserve"> </w:t>
            </w:r>
            <w:r>
              <w:rPr>
                <w:b/>
                <w:color w:val="231F20"/>
                <w:sz w:val="14"/>
              </w:rPr>
              <w:t>часова)</w:t>
            </w:r>
          </w:p>
          <w:p w:rsidR="00041039" w:rsidRDefault="001B26CB">
            <w:pPr>
              <w:pStyle w:val="TableParagraph"/>
              <w:numPr>
                <w:ilvl w:val="0"/>
                <w:numId w:val="323"/>
              </w:numPr>
              <w:tabs>
                <w:tab w:val="left" w:pos="142"/>
              </w:tabs>
              <w:spacing w:line="160" w:lineRule="exact"/>
              <w:rPr>
                <w:b/>
                <w:sz w:val="14"/>
              </w:rPr>
            </w:pPr>
            <w:r>
              <w:rPr>
                <w:color w:val="231F20"/>
                <w:spacing w:val="-4"/>
                <w:sz w:val="14"/>
              </w:rPr>
              <w:t xml:space="preserve">Устав </w:t>
            </w:r>
            <w:r>
              <w:rPr>
                <w:color w:val="231F20"/>
                <w:sz w:val="14"/>
              </w:rPr>
              <w:t xml:space="preserve">и правна држава </w:t>
            </w:r>
            <w:r>
              <w:rPr>
                <w:b/>
                <w:color w:val="231F20"/>
                <w:sz w:val="14"/>
              </w:rPr>
              <w:t>(6</w:t>
            </w:r>
            <w:r>
              <w:rPr>
                <w:b/>
                <w:color w:val="231F20"/>
                <w:spacing w:val="-4"/>
                <w:sz w:val="14"/>
              </w:rPr>
              <w:t xml:space="preserve"> </w:t>
            </w:r>
            <w:r>
              <w:rPr>
                <w:b/>
                <w:color w:val="231F20"/>
                <w:sz w:val="14"/>
              </w:rPr>
              <w:t>часова)</w:t>
            </w:r>
          </w:p>
          <w:p w:rsidR="00041039" w:rsidRDefault="001B26CB">
            <w:pPr>
              <w:pStyle w:val="TableParagraph"/>
              <w:numPr>
                <w:ilvl w:val="0"/>
                <w:numId w:val="323"/>
              </w:numPr>
              <w:tabs>
                <w:tab w:val="left" w:pos="142"/>
              </w:tabs>
              <w:ind w:right="530"/>
              <w:rPr>
                <w:b/>
                <w:sz w:val="14"/>
              </w:rPr>
            </w:pPr>
            <w:r>
              <w:rPr>
                <w:color w:val="231F20"/>
                <w:spacing w:val="-3"/>
                <w:sz w:val="14"/>
              </w:rPr>
              <w:t xml:space="preserve">Људска </w:t>
            </w:r>
            <w:r>
              <w:rPr>
                <w:color w:val="231F20"/>
                <w:sz w:val="14"/>
              </w:rPr>
              <w:t xml:space="preserve">права и слободе </w:t>
            </w:r>
            <w:r>
              <w:rPr>
                <w:b/>
                <w:color w:val="231F20"/>
                <w:sz w:val="14"/>
              </w:rPr>
              <w:t>(7 часова)</w:t>
            </w:r>
          </w:p>
          <w:p w:rsidR="00041039" w:rsidRDefault="001B26CB">
            <w:pPr>
              <w:pStyle w:val="TableParagraph"/>
              <w:numPr>
                <w:ilvl w:val="0"/>
                <w:numId w:val="323"/>
              </w:numPr>
              <w:tabs>
                <w:tab w:val="left" w:pos="142"/>
              </w:tabs>
              <w:spacing w:line="159" w:lineRule="exact"/>
              <w:rPr>
                <w:b/>
                <w:sz w:val="14"/>
              </w:rPr>
            </w:pPr>
            <w:r>
              <w:rPr>
                <w:color w:val="231F20"/>
                <w:spacing w:val="-3"/>
                <w:sz w:val="14"/>
              </w:rPr>
              <w:t xml:space="preserve">Култура </w:t>
            </w:r>
            <w:r>
              <w:rPr>
                <w:color w:val="231F20"/>
                <w:sz w:val="14"/>
              </w:rPr>
              <w:t xml:space="preserve">и друштво </w:t>
            </w:r>
            <w:r>
              <w:rPr>
                <w:b/>
                <w:color w:val="231F20"/>
                <w:sz w:val="14"/>
              </w:rPr>
              <w:t>(14</w:t>
            </w:r>
            <w:r>
              <w:rPr>
                <w:b/>
                <w:color w:val="231F20"/>
                <w:spacing w:val="-3"/>
                <w:sz w:val="14"/>
              </w:rPr>
              <w:t xml:space="preserve"> </w:t>
            </w:r>
            <w:r>
              <w:rPr>
                <w:b/>
                <w:color w:val="231F20"/>
                <w:sz w:val="14"/>
              </w:rPr>
              <w:t>часова)</w:t>
            </w:r>
          </w:p>
          <w:p w:rsidR="00041039" w:rsidRDefault="001B26CB">
            <w:pPr>
              <w:pStyle w:val="TableParagraph"/>
              <w:numPr>
                <w:ilvl w:val="0"/>
                <w:numId w:val="323"/>
              </w:numPr>
              <w:tabs>
                <w:tab w:val="left" w:pos="142"/>
              </w:tabs>
              <w:ind w:right="404"/>
              <w:rPr>
                <w:b/>
                <w:sz w:val="14"/>
              </w:rPr>
            </w:pPr>
            <w:r>
              <w:rPr>
                <w:color w:val="231F20"/>
                <w:sz w:val="14"/>
              </w:rPr>
              <w:t>Друштвене промене и</w:t>
            </w:r>
            <w:r>
              <w:rPr>
                <w:color w:val="231F20"/>
                <w:spacing w:val="-11"/>
                <w:sz w:val="14"/>
              </w:rPr>
              <w:t xml:space="preserve"> </w:t>
            </w:r>
            <w:r>
              <w:rPr>
                <w:color w:val="231F20"/>
                <w:sz w:val="14"/>
              </w:rPr>
              <w:t xml:space="preserve">развој друштва </w:t>
            </w:r>
            <w:r>
              <w:rPr>
                <w:b/>
                <w:color w:val="231F20"/>
                <w:sz w:val="14"/>
              </w:rPr>
              <w:t>(5</w:t>
            </w:r>
            <w:r>
              <w:rPr>
                <w:b/>
                <w:color w:val="231F20"/>
                <w:spacing w:val="-3"/>
                <w:sz w:val="14"/>
              </w:rPr>
              <w:t xml:space="preserve"> </w:t>
            </w:r>
            <w:r>
              <w:rPr>
                <w:b/>
                <w:color w:val="231F20"/>
                <w:sz w:val="14"/>
              </w:rPr>
              <w:t>часова)</w:t>
            </w:r>
          </w:p>
        </w:tc>
      </w:tr>
      <w:tr w:rsidR="00041039">
        <w:trPr>
          <w:trHeight w:val="2600"/>
        </w:trPr>
        <w:tc>
          <w:tcPr>
            <w:tcW w:w="1304" w:type="dxa"/>
          </w:tcPr>
          <w:p w:rsidR="00041039" w:rsidRDefault="001B26CB">
            <w:pPr>
              <w:pStyle w:val="TableParagraph"/>
              <w:spacing w:before="19"/>
              <w:ind w:left="34" w:right="65"/>
              <w:jc w:val="center"/>
              <w:rPr>
                <w:sz w:val="14"/>
              </w:rPr>
            </w:pPr>
            <w:r>
              <w:rPr>
                <w:color w:val="231F20"/>
                <w:sz w:val="14"/>
              </w:rPr>
              <w:t>Држава и политика</w:t>
            </w:r>
          </w:p>
        </w:tc>
        <w:tc>
          <w:tcPr>
            <w:tcW w:w="1587" w:type="dxa"/>
          </w:tcPr>
          <w:p w:rsidR="00041039" w:rsidRDefault="001B26CB">
            <w:pPr>
              <w:pStyle w:val="TableParagraph"/>
              <w:numPr>
                <w:ilvl w:val="0"/>
                <w:numId w:val="322"/>
              </w:numPr>
              <w:tabs>
                <w:tab w:val="left" w:pos="157"/>
              </w:tabs>
              <w:spacing w:before="9"/>
              <w:ind w:right="50"/>
              <w:rPr>
                <w:sz w:val="14"/>
              </w:rPr>
            </w:pPr>
            <w:r>
              <w:rPr>
                <w:color w:val="231F20"/>
                <w:sz w:val="14"/>
              </w:rPr>
              <w:t xml:space="preserve">Упознавање са по­ </w:t>
            </w:r>
            <w:r>
              <w:rPr>
                <w:color w:val="231F20"/>
                <w:spacing w:val="-3"/>
                <w:sz w:val="14"/>
              </w:rPr>
              <w:t xml:space="preserve">литиком </w:t>
            </w:r>
            <w:r>
              <w:rPr>
                <w:color w:val="231F20"/>
                <w:sz w:val="14"/>
              </w:rPr>
              <w:t>као вештином управљања</w:t>
            </w:r>
            <w:r>
              <w:rPr>
                <w:color w:val="231F20"/>
                <w:spacing w:val="-4"/>
                <w:sz w:val="14"/>
              </w:rPr>
              <w:t xml:space="preserve"> </w:t>
            </w:r>
            <w:r>
              <w:rPr>
                <w:color w:val="231F20"/>
                <w:sz w:val="14"/>
              </w:rPr>
              <w:t>друштвом.</w:t>
            </w:r>
          </w:p>
          <w:p w:rsidR="00041039" w:rsidRDefault="001B26CB">
            <w:pPr>
              <w:pStyle w:val="TableParagraph"/>
              <w:numPr>
                <w:ilvl w:val="0"/>
                <w:numId w:val="322"/>
              </w:numPr>
              <w:tabs>
                <w:tab w:val="left" w:pos="157"/>
              </w:tabs>
              <w:spacing w:line="157" w:lineRule="exact"/>
              <w:rPr>
                <w:sz w:val="14"/>
              </w:rPr>
            </w:pPr>
            <w:r>
              <w:rPr>
                <w:color w:val="231F20"/>
                <w:sz w:val="14"/>
              </w:rPr>
              <w:t>Оспособљавање за</w:t>
            </w:r>
            <w:r>
              <w:rPr>
                <w:color w:val="231F20"/>
                <w:spacing w:val="-3"/>
                <w:sz w:val="14"/>
              </w:rPr>
              <w:t xml:space="preserve"> </w:t>
            </w:r>
            <w:r>
              <w:rPr>
                <w:color w:val="231F20"/>
                <w:sz w:val="14"/>
              </w:rPr>
              <w:t>де­</w:t>
            </w:r>
          </w:p>
          <w:p w:rsidR="00041039" w:rsidRDefault="001B26CB">
            <w:pPr>
              <w:pStyle w:val="TableParagraph"/>
              <w:spacing w:line="155" w:lineRule="exact"/>
              <w:rPr>
                <w:sz w:val="14"/>
              </w:rPr>
            </w:pPr>
            <w:r>
              <w:rPr>
                <w:color w:val="231F20"/>
                <w:sz w:val="14"/>
              </w:rPr>
              <w:t>мократско мишљење.</w:t>
            </w:r>
          </w:p>
          <w:p w:rsidR="00041039" w:rsidRDefault="001B26CB">
            <w:pPr>
              <w:pStyle w:val="TableParagraph"/>
              <w:numPr>
                <w:ilvl w:val="0"/>
                <w:numId w:val="322"/>
              </w:numPr>
              <w:tabs>
                <w:tab w:val="left" w:pos="157"/>
              </w:tabs>
              <w:spacing w:line="237" w:lineRule="auto"/>
              <w:ind w:right="69"/>
              <w:rPr>
                <w:sz w:val="14"/>
              </w:rPr>
            </w:pPr>
            <w:r>
              <w:rPr>
                <w:color w:val="231F20"/>
                <w:sz w:val="14"/>
              </w:rPr>
              <w:t>Упознавање са функционисањем државних</w:t>
            </w:r>
            <w:r>
              <w:rPr>
                <w:color w:val="231F20"/>
                <w:spacing w:val="-6"/>
                <w:sz w:val="14"/>
              </w:rPr>
              <w:t xml:space="preserve"> </w:t>
            </w:r>
            <w:r>
              <w:rPr>
                <w:color w:val="231F20"/>
                <w:sz w:val="14"/>
              </w:rPr>
              <w:t>институција и органа</w:t>
            </w:r>
            <w:r>
              <w:rPr>
                <w:color w:val="231F20"/>
                <w:spacing w:val="-3"/>
                <w:sz w:val="14"/>
              </w:rPr>
              <w:t xml:space="preserve"> </w:t>
            </w:r>
            <w:r>
              <w:rPr>
                <w:color w:val="231F20"/>
                <w:sz w:val="14"/>
              </w:rPr>
              <w:t>власти.</w:t>
            </w:r>
          </w:p>
        </w:tc>
        <w:tc>
          <w:tcPr>
            <w:tcW w:w="2551" w:type="dxa"/>
          </w:tcPr>
          <w:p w:rsidR="00041039" w:rsidRDefault="001B26CB">
            <w:pPr>
              <w:pStyle w:val="TableParagraph"/>
              <w:numPr>
                <w:ilvl w:val="0"/>
                <w:numId w:val="321"/>
              </w:numPr>
              <w:tabs>
                <w:tab w:val="left" w:pos="157"/>
              </w:tabs>
              <w:spacing w:before="9" w:line="166" w:lineRule="exact"/>
              <w:ind w:hanging="99"/>
              <w:rPr>
                <w:sz w:val="14"/>
              </w:rPr>
            </w:pPr>
            <w:r>
              <w:rPr>
                <w:color w:val="231F20"/>
                <w:sz w:val="14"/>
              </w:rPr>
              <w:t>опише улогу политике у</w:t>
            </w:r>
            <w:r>
              <w:rPr>
                <w:color w:val="231F20"/>
                <w:spacing w:val="-10"/>
                <w:sz w:val="14"/>
              </w:rPr>
              <w:t xml:space="preserve"> </w:t>
            </w:r>
            <w:r>
              <w:rPr>
                <w:color w:val="231F20"/>
                <w:sz w:val="14"/>
              </w:rPr>
              <w:t>друштву;</w:t>
            </w:r>
          </w:p>
          <w:p w:rsidR="00041039" w:rsidRDefault="001B26CB">
            <w:pPr>
              <w:pStyle w:val="TableParagraph"/>
              <w:numPr>
                <w:ilvl w:val="0"/>
                <w:numId w:val="321"/>
              </w:numPr>
              <w:tabs>
                <w:tab w:val="left" w:pos="157"/>
              </w:tabs>
              <w:spacing w:line="237" w:lineRule="auto"/>
              <w:ind w:right="101" w:hanging="99"/>
              <w:rPr>
                <w:sz w:val="14"/>
              </w:rPr>
            </w:pPr>
            <w:r>
              <w:rPr>
                <w:color w:val="231F20"/>
                <w:sz w:val="14"/>
              </w:rPr>
              <w:t>објасни појам, развој и облике</w:t>
            </w:r>
            <w:r>
              <w:rPr>
                <w:color w:val="231F20"/>
                <w:spacing w:val="-20"/>
                <w:sz w:val="14"/>
              </w:rPr>
              <w:t xml:space="preserve"> </w:t>
            </w:r>
            <w:r>
              <w:rPr>
                <w:color w:val="231F20"/>
                <w:sz w:val="14"/>
              </w:rPr>
              <w:t>сувере­ ности и</w:t>
            </w:r>
            <w:r>
              <w:rPr>
                <w:color w:val="231F20"/>
                <w:spacing w:val="-2"/>
                <w:sz w:val="14"/>
              </w:rPr>
              <w:t xml:space="preserve"> </w:t>
            </w:r>
            <w:r>
              <w:rPr>
                <w:color w:val="231F20"/>
                <w:sz w:val="14"/>
              </w:rPr>
              <w:t>демократије;</w:t>
            </w:r>
          </w:p>
          <w:p w:rsidR="00041039" w:rsidRDefault="001B26CB">
            <w:pPr>
              <w:pStyle w:val="TableParagraph"/>
              <w:numPr>
                <w:ilvl w:val="0"/>
                <w:numId w:val="321"/>
              </w:numPr>
              <w:tabs>
                <w:tab w:val="left" w:pos="157"/>
              </w:tabs>
              <w:spacing w:line="160" w:lineRule="exact"/>
              <w:ind w:right="359" w:hanging="99"/>
              <w:rPr>
                <w:sz w:val="14"/>
              </w:rPr>
            </w:pPr>
            <w:r>
              <w:rPr>
                <w:color w:val="231F20"/>
                <w:sz w:val="14"/>
              </w:rPr>
              <w:t xml:space="preserve">разликује </w:t>
            </w:r>
            <w:r>
              <w:rPr>
                <w:color w:val="231F20"/>
                <w:spacing w:val="-3"/>
                <w:sz w:val="14"/>
              </w:rPr>
              <w:t xml:space="preserve">законодавну, </w:t>
            </w:r>
            <w:r>
              <w:rPr>
                <w:color w:val="231F20"/>
                <w:sz w:val="14"/>
              </w:rPr>
              <w:t xml:space="preserve">извршну и </w:t>
            </w:r>
            <w:r>
              <w:rPr>
                <w:color w:val="231F20"/>
                <w:spacing w:val="-3"/>
                <w:sz w:val="14"/>
              </w:rPr>
              <w:t>судску</w:t>
            </w:r>
            <w:r>
              <w:rPr>
                <w:color w:val="231F20"/>
                <w:spacing w:val="-1"/>
                <w:sz w:val="14"/>
              </w:rPr>
              <w:t xml:space="preserve"> </w:t>
            </w:r>
            <w:r>
              <w:rPr>
                <w:color w:val="231F20"/>
                <w:sz w:val="14"/>
              </w:rPr>
              <w:t>власт;</w:t>
            </w:r>
          </w:p>
          <w:p w:rsidR="00041039" w:rsidRDefault="001B26CB">
            <w:pPr>
              <w:pStyle w:val="TableParagraph"/>
              <w:numPr>
                <w:ilvl w:val="0"/>
                <w:numId w:val="321"/>
              </w:numPr>
              <w:tabs>
                <w:tab w:val="left" w:pos="157"/>
              </w:tabs>
              <w:spacing w:line="160" w:lineRule="exact"/>
              <w:ind w:right="218" w:hanging="99"/>
              <w:rPr>
                <w:sz w:val="14"/>
              </w:rPr>
            </w:pPr>
            <w:r>
              <w:rPr>
                <w:color w:val="231F20"/>
                <w:sz w:val="14"/>
              </w:rPr>
              <w:t>разликује</w:t>
            </w:r>
            <w:r>
              <w:rPr>
                <w:color w:val="231F20"/>
                <w:spacing w:val="-7"/>
                <w:sz w:val="14"/>
              </w:rPr>
              <w:t xml:space="preserve"> </w:t>
            </w:r>
            <w:r>
              <w:rPr>
                <w:color w:val="231F20"/>
                <w:sz w:val="14"/>
              </w:rPr>
              <w:t>удружења</w:t>
            </w:r>
            <w:r>
              <w:rPr>
                <w:color w:val="231F20"/>
                <w:spacing w:val="-7"/>
                <w:sz w:val="14"/>
              </w:rPr>
              <w:t xml:space="preserve"> </w:t>
            </w:r>
            <w:r>
              <w:rPr>
                <w:color w:val="231F20"/>
                <w:sz w:val="14"/>
              </w:rPr>
              <w:t>грађана</w:t>
            </w:r>
            <w:r>
              <w:rPr>
                <w:color w:val="231F20"/>
                <w:spacing w:val="-8"/>
                <w:sz w:val="14"/>
              </w:rPr>
              <w:t xml:space="preserve"> </w:t>
            </w:r>
            <w:r>
              <w:rPr>
                <w:color w:val="231F20"/>
                <w:sz w:val="14"/>
              </w:rPr>
              <w:t>и</w:t>
            </w:r>
            <w:r>
              <w:rPr>
                <w:color w:val="231F20"/>
                <w:spacing w:val="-8"/>
                <w:sz w:val="14"/>
              </w:rPr>
              <w:t xml:space="preserve"> </w:t>
            </w:r>
            <w:r>
              <w:rPr>
                <w:color w:val="231F20"/>
                <w:sz w:val="14"/>
              </w:rPr>
              <w:t>поли­ тичке</w:t>
            </w:r>
            <w:r>
              <w:rPr>
                <w:color w:val="231F20"/>
                <w:spacing w:val="-1"/>
                <w:sz w:val="14"/>
              </w:rPr>
              <w:t xml:space="preserve"> </w:t>
            </w:r>
            <w:r>
              <w:rPr>
                <w:color w:val="231F20"/>
                <w:sz w:val="14"/>
              </w:rPr>
              <w:t>партије;</w:t>
            </w:r>
          </w:p>
          <w:p w:rsidR="00041039" w:rsidRDefault="001B26CB">
            <w:pPr>
              <w:pStyle w:val="TableParagraph"/>
              <w:numPr>
                <w:ilvl w:val="0"/>
                <w:numId w:val="321"/>
              </w:numPr>
              <w:tabs>
                <w:tab w:val="left" w:pos="157"/>
              </w:tabs>
              <w:spacing w:line="160" w:lineRule="exact"/>
              <w:ind w:right="71" w:hanging="99"/>
              <w:rPr>
                <w:sz w:val="14"/>
              </w:rPr>
            </w:pPr>
            <w:r>
              <w:rPr>
                <w:color w:val="231F20"/>
                <w:sz w:val="14"/>
              </w:rPr>
              <w:t>препозна</w:t>
            </w:r>
            <w:r>
              <w:rPr>
                <w:color w:val="231F20"/>
                <w:spacing w:val="-27"/>
                <w:sz w:val="14"/>
              </w:rPr>
              <w:t xml:space="preserve"> </w:t>
            </w:r>
            <w:r>
              <w:rPr>
                <w:color w:val="231F20"/>
                <w:sz w:val="14"/>
              </w:rPr>
              <w:t xml:space="preserve">идеолошке разлике партија и поделу на </w:t>
            </w:r>
            <w:r>
              <w:rPr>
                <w:color w:val="231F20"/>
                <w:spacing w:val="-3"/>
                <w:sz w:val="14"/>
              </w:rPr>
              <w:t xml:space="preserve">левицу, </w:t>
            </w:r>
            <w:r>
              <w:rPr>
                <w:color w:val="231F20"/>
                <w:sz w:val="14"/>
              </w:rPr>
              <w:t>десницу и</w:t>
            </w:r>
            <w:r>
              <w:rPr>
                <w:color w:val="231F20"/>
                <w:spacing w:val="-2"/>
                <w:sz w:val="14"/>
              </w:rPr>
              <w:t xml:space="preserve"> </w:t>
            </w:r>
            <w:r>
              <w:rPr>
                <w:color w:val="231F20"/>
                <w:sz w:val="14"/>
              </w:rPr>
              <w:t>центар;</w:t>
            </w:r>
          </w:p>
          <w:p w:rsidR="00041039" w:rsidRDefault="001B26CB">
            <w:pPr>
              <w:pStyle w:val="TableParagraph"/>
              <w:numPr>
                <w:ilvl w:val="0"/>
                <w:numId w:val="321"/>
              </w:numPr>
              <w:tabs>
                <w:tab w:val="left" w:pos="157"/>
              </w:tabs>
              <w:spacing w:line="160" w:lineRule="exact"/>
              <w:ind w:right="317" w:hanging="99"/>
              <w:rPr>
                <w:sz w:val="14"/>
              </w:rPr>
            </w:pPr>
            <w:r>
              <w:rPr>
                <w:color w:val="231F20"/>
                <w:sz w:val="14"/>
              </w:rPr>
              <w:t>схвати изборни поступак и конституисање скупштинеи</w:t>
            </w:r>
            <w:r>
              <w:rPr>
                <w:color w:val="231F20"/>
                <w:spacing w:val="-17"/>
                <w:sz w:val="14"/>
              </w:rPr>
              <w:t xml:space="preserve"> </w:t>
            </w:r>
            <w:r>
              <w:rPr>
                <w:color w:val="231F20"/>
                <w:sz w:val="14"/>
              </w:rPr>
              <w:t>владе;</w:t>
            </w:r>
          </w:p>
          <w:p w:rsidR="00041039" w:rsidRDefault="001B26CB">
            <w:pPr>
              <w:pStyle w:val="TableParagraph"/>
              <w:numPr>
                <w:ilvl w:val="0"/>
                <w:numId w:val="321"/>
              </w:numPr>
              <w:tabs>
                <w:tab w:val="left" w:pos="157"/>
              </w:tabs>
              <w:spacing w:line="153" w:lineRule="exact"/>
              <w:ind w:hanging="99"/>
              <w:rPr>
                <w:sz w:val="14"/>
              </w:rPr>
            </w:pPr>
            <w:r>
              <w:rPr>
                <w:color w:val="231F20"/>
                <w:sz w:val="14"/>
              </w:rPr>
              <w:t>разликује државне органе</w:t>
            </w:r>
            <w:r>
              <w:rPr>
                <w:color w:val="231F20"/>
                <w:spacing w:val="-2"/>
                <w:sz w:val="14"/>
              </w:rPr>
              <w:t xml:space="preserve"> </w:t>
            </w:r>
            <w:r>
              <w:rPr>
                <w:color w:val="231F20"/>
                <w:sz w:val="14"/>
              </w:rPr>
              <w:t>власти</w:t>
            </w:r>
          </w:p>
          <w:p w:rsidR="00041039" w:rsidRDefault="001B26CB">
            <w:pPr>
              <w:pStyle w:val="TableParagraph"/>
              <w:numPr>
                <w:ilvl w:val="0"/>
                <w:numId w:val="321"/>
              </w:numPr>
              <w:tabs>
                <w:tab w:val="left" w:pos="157"/>
              </w:tabs>
              <w:spacing w:line="237" w:lineRule="auto"/>
              <w:ind w:right="480" w:hanging="99"/>
              <w:rPr>
                <w:sz w:val="14"/>
              </w:rPr>
            </w:pPr>
            <w:r>
              <w:rPr>
                <w:color w:val="231F20"/>
                <w:sz w:val="14"/>
              </w:rPr>
              <w:t>разликује аутономију и</w:t>
            </w:r>
            <w:r>
              <w:rPr>
                <w:color w:val="231F20"/>
                <w:spacing w:val="-21"/>
                <w:sz w:val="14"/>
              </w:rPr>
              <w:t xml:space="preserve"> </w:t>
            </w:r>
            <w:r>
              <w:rPr>
                <w:color w:val="231F20"/>
                <w:sz w:val="14"/>
              </w:rPr>
              <w:t>локалну самоуправу;</w:t>
            </w:r>
          </w:p>
          <w:p w:rsidR="00041039" w:rsidRDefault="001B26CB">
            <w:pPr>
              <w:pStyle w:val="TableParagraph"/>
              <w:numPr>
                <w:ilvl w:val="0"/>
                <w:numId w:val="321"/>
              </w:numPr>
              <w:tabs>
                <w:tab w:val="left" w:pos="157"/>
              </w:tabs>
              <w:spacing w:line="160" w:lineRule="exact"/>
              <w:ind w:right="138" w:hanging="99"/>
              <w:rPr>
                <w:sz w:val="14"/>
              </w:rPr>
            </w:pPr>
            <w:r>
              <w:rPr>
                <w:color w:val="231F20"/>
                <w:sz w:val="14"/>
              </w:rPr>
              <w:t>разуме функционисање</w:t>
            </w:r>
            <w:r>
              <w:rPr>
                <w:color w:val="231F20"/>
                <w:spacing w:val="-9"/>
                <w:sz w:val="14"/>
              </w:rPr>
              <w:t xml:space="preserve"> </w:t>
            </w:r>
            <w:r>
              <w:rPr>
                <w:color w:val="231F20"/>
                <w:sz w:val="14"/>
              </w:rPr>
              <w:t>локалнесамо­ управе;</w:t>
            </w:r>
          </w:p>
        </w:tc>
        <w:tc>
          <w:tcPr>
            <w:tcW w:w="2834" w:type="dxa"/>
          </w:tcPr>
          <w:p w:rsidR="00041039" w:rsidRDefault="001B26CB">
            <w:pPr>
              <w:pStyle w:val="TableParagraph"/>
              <w:numPr>
                <w:ilvl w:val="0"/>
                <w:numId w:val="320"/>
              </w:numPr>
              <w:tabs>
                <w:tab w:val="left" w:pos="142"/>
              </w:tabs>
              <w:spacing w:before="20" w:line="161" w:lineRule="exact"/>
              <w:rPr>
                <w:sz w:val="14"/>
              </w:rPr>
            </w:pPr>
            <w:r>
              <w:rPr>
                <w:color w:val="231F20"/>
                <w:sz w:val="14"/>
              </w:rPr>
              <w:t>Политика ­ вештина управљања</w:t>
            </w:r>
            <w:r>
              <w:rPr>
                <w:color w:val="231F20"/>
                <w:spacing w:val="-10"/>
                <w:sz w:val="14"/>
              </w:rPr>
              <w:t xml:space="preserve"> </w:t>
            </w:r>
            <w:r>
              <w:rPr>
                <w:color w:val="231F20"/>
                <w:sz w:val="14"/>
              </w:rPr>
              <w:t>друштвом.</w:t>
            </w:r>
          </w:p>
          <w:p w:rsidR="00041039" w:rsidRDefault="001B26CB">
            <w:pPr>
              <w:pStyle w:val="TableParagraph"/>
              <w:numPr>
                <w:ilvl w:val="0"/>
                <w:numId w:val="320"/>
              </w:numPr>
              <w:tabs>
                <w:tab w:val="left" w:pos="142"/>
              </w:tabs>
              <w:spacing w:line="160" w:lineRule="exact"/>
              <w:rPr>
                <w:sz w:val="14"/>
              </w:rPr>
            </w:pPr>
            <w:r>
              <w:rPr>
                <w:color w:val="231F20"/>
                <w:sz w:val="14"/>
              </w:rPr>
              <w:t>Појам и развој</w:t>
            </w:r>
            <w:r>
              <w:rPr>
                <w:color w:val="231F20"/>
                <w:spacing w:val="-3"/>
                <w:sz w:val="14"/>
              </w:rPr>
              <w:t xml:space="preserve"> </w:t>
            </w:r>
            <w:r>
              <w:rPr>
                <w:color w:val="231F20"/>
                <w:sz w:val="14"/>
              </w:rPr>
              <w:t>демократије.</w:t>
            </w:r>
          </w:p>
          <w:p w:rsidR="00041039" w:rsidRDefault="001B26CB">
            <w:pPr>
              <w:pStyle w:val="TableParagraph"/>
              <w:numPr>
                <w:ilvl w:val="0"/>
                <w:numId w:val="320"/>
              </w:numPr>
              <w:tabs>
                <w:tab w:val="left" w:pos="142"/>
              </w:tabs>
              <w:spacing w:line="160" w:lineRule="exact"/>
              <w:rPr>
                <w:sz w:val="14"/>
              </w:rPr>
            </w:pPr>
            <w:r>
              <w:rPr>
                <w:color w:val="231F20"/>
                <w:sz w:val="14"/>
              </w:rPr>
              <w:t>Конститутивни елементи</w:t>
            </w:r>
            <w:r>
              <w:rPr>
                <w:color w:val="231F20"/>
                <w:spacing w:val="-1"/>
                <w:sz w:val="14"/>
              </w:rPr>
              <w:t xml:space="preserve"> </w:t>
            </w:r>
            <w:r>
              <w:rPr>
                <w:color w:val="231F20"/>
                <w:sz w:val="14"/>
              </w:rPr>
              <w:t>државе.</w:t>
            </w:r>
          </w:p>
          <w:p w:rsidR="00041039" w:rsidRDefault="001B26CB">
            <w:pPr>
              <w:pStyle w:val="TableParagraph"/>
              <w:numPr>
                <w:ilvl w:val="0"/>
                <w:numId w:val="320"/>
              </w:numPr>
              <w:tabs>
                <w:tab w:val="left" w:pos="142"/>
              </w:tabs>
              <w:spacing w:line="160" w:lineRule="exact"/>
              <w:rPr>
                <w:sz w:val="14"/>
              </w:rPr>
            </w:pPr>
            <w:r>
              <w:rPr>
                <w:color w:val="231F20"/>
                <w:sz w:val="14"/>
              </w:rPr>
              <w:t>Подела</w:t>
            </w:r>
            <w:r>
              <w:rPr>
                <w:color w:val="231F20"/>
                <w:spacing w:val="-1"/>
                <w:sz w:val="14"/>
              </w:rPr>
              <w:t xml:space="preserve"> </w:t>
            </w:r>
            <w:r>
              <w:rPr>
                <w:color w:val="231F20"/>
                <w:sz w:val="14"/>
              </w:rPr>
              <w:t>власти.</w:t>
            </w:r>
          </w:p>
          <w:p w:rsidR="00041039" w:rsidRDefault="001B26CB">
            <w:pPr>
              <w:pStyle w:val="TableParagraph"/>
              <w:numPr>
                <w:ilvl w:val="0"/>
                <w:numId w:val="320"/>
              </w:numPr>
              <w:tabs>
                <w:tab w:val="left" w:pos="142"/>
              </w:tabs>
              <w:spacing w:line="160" w:lineRule="exact"/>
              <w:rPr>
                <w:sz w:val="14"/>
              </w:rPr>
            </w:pPr>
            <w:r>
              <w:rPr>
                <w:color w:val="231F20"/>
                <w:sz w:val="14"/>
              </w:rPr>
              <w:t>Организације</w:t>
            </w:r>
            <w:r>
              <w:rPr>
                <w:color w:val="231F20"/>
                <w:spacing w:val="-2"/>
                <w:sz w:val="14"/>
              </w:rPr>
              <w:t xml:space="preserve"> </w:t>
            </w:r>
            <w:r>
              <w:rPr>
                <w:color w:val="231F20"/>
                <w:sz w:val="14"/>
              </w:rPr>
              <w:t>грађана.</w:t>
            </w:r>
          </w:p>
          <w:p w:rsidR="00041039" w:rsidRDefault="001B26CB">
            <w:pPr>
              <w:pStyle w:val="TableParagraph"/>
              <w:numPr>
                <w:ilvl w:val="0"/>
                <w:numId w:val="320"/>
              </w:numPr>
              <w:tabs>
                <w:tab w:val="left" w:pos="142"/>
              </w:tabs>
              <w:spacing w:line="160" w:lineRule="exact"/>
              <w:rPr>
                <w:sz w:val="14"/>
              </w:rPr>
            </w:pPr>
            <w:r>
              <w:rPr>
                <w:color w:val="231F20"/>
                <w:sz w:val="14"/>
              </w:rPr>
              <w:t>Политичке</w:t>
            </w:r>
            <w:r>
              <w:rPr>
                <w:color w:val="231F20"/>
                <w:spacing w:val="-1"/>
                <w:sz w:val="14"/>
              </w:rPr>
              <w:t xml:space="preserve"> </w:t>
            </w:r>
            <w:r>
              <w:rPr>
                <w:color w:val="231F20"/>
                <w:sz w:val="14"/>
              </w:rPr>
              <w:t>партије.</w:t>
            </w:r>
          </w:p>
          <w:p w:rsidR="00041039" w:rsidRDefault="001B26CB">
            <w:pPr>
              <w:pStyle w:val="TableParagraph"/>
              <w:numPr>
                <w:ilvl w:val="0"/>
                <w:numId w:val="320"/>
              </w:numPr>
              <w:tabs>
                <w:tab w:val="left" w:pos="142"/>
              </w:tabs>
              <w:spacing w:line="160" w:lineRule="exact"/>
              <w:rPr>
                <w:sz w:val="14"/>
              </w:rPr>
            </w:pPr>
            <w:r>
              <w:rPr>
                <w:color w:val="231F20"/>
                <w:sz w:val="14"/>
              </w:rPr>
              <w:t>Избори.</w:t>
            </w:r>
          </w:p>
          <w:p w:rsidR="00041039" w:rsidRDefault="001B26CB">
            <w:pPr>
              <w:pStyle w:val="TableParagraph"/>
              <w:numPr>
                <w:ilvl w:val="0"/>
                <w:numId w:val="320"/>
              </w:numPr>
              <w:tabs>
                <w:tab w:val="left" w:pos="142"/>
              </w:tabs>
              <w:spacing w:line="160" w:lineRule="exact"/>
              <w:rPr>
                <w:sz w:val="14"/>
              </w:rPr>
            </w:pPr>
            <w:r>
              <w:rPr>
                <w:color w:val="231F20"/>
                <w:sz w:val="14"/>
              </w:rPr>
              <w:t>Скупштина.</w:t>
            </w:r>
          </w:p>
          <w:p w:rsidR="00041039" w:rsidRDefault="001B26CB">
            <w:pPr>
              <w:pStyle w:val="TableParagraph"/>
              <w:numPr>
                <w:ilvl w:val="0"/>
                <w:numId w:val="320"/>
              </w:numPr>
              <w:tabs>
                <w:tab w:val="left" w:pos="142"/>
              </w:tabs>
              <w:spacing w:line="160" w:lineRule="exact"/>
              <w:rPr>
                <w:sz w:val="14"/>
              </w:rPr>
            </w:pPr>
            <w:r>
              <w:rPr>
                <w:color w:val="231F20"/>
                <w:sz w:val="14"/>
              </w:rPr>
              <w:t>Државни органи</w:t>
            </w:r>
            <w:r>
              <w:rPr>
                <w:color w:val="231F20"/>
                <w:spacing w:val="-2"/>
                <w:sz w:val="14"/>
              </w:rPr>
              <w:t xml:space="preserve"> </w:t>
            </w:r>
            <w:r>
              <w:rPr>
                <w:color w:val="231F20"/>
                <w:sz w:val="14"/>
              </w:rPr>
              <w:t>власти.</w:t>
            </w:r>
          </w:p>
          <w:p w:rsidR="00041039" w:rsidRDefault="001B26CB">
            <w:pPr>
              <w:pStyle w:val="TableParagraph"/>
              <w:numPr>
                <w:ilvl w:val="0"/>
                <w:numId w:val="320"/>
              </w:numPr>
              <w:tabs>
                <w:tab w:val="left" w:pos="142"/>
              </w:tabs>
              <w:spacing w:line="160" w:lineRule="exact"/>
              <w:rPr>
                <w:sz w:val="14"/>
              </w:rPr>
            </w:pPr>
            <w:r>
              <w:rPr>
                <w:color w:val="231F20"/>
                <w:sz w:val="14"/>
              </w:rPr>
              <w:t>Аутономија.</w:t>
            </w:r>
          </w:p>
          <w:p w:rsidR="00041039" w:rsidRDefault="001B26CB">
            <w:pPr>
              <w:pStyle w:val="TableParagraph"/>
              <w:numPr>
                <w:ilvl w:val="0"/>
                <w:numId w:val="320"/>
              </w:numPr>
              <w:tabs>
                <w:tab w:val="left" w:pos="142"/>
              </w:tabs>
              <w:spacing w:line="161" w:lineRule="exact"/>
              <w:rPr>
                <w:sz w:val="14"/>
              </w:rPr>
            </w:pPr>
            <w:r>
              <w:rPr>
                <w:color w:val="231F20"/>
                <w:sz w:val="14"/>
              </w:rPr>
              <w:t>Локална</w:t>
            </w:r>
            <w:r>
              <w:rPr>
                <w:color w:val="231F20"/>
                <w:spacing w:val="-2"/>
                <w:sz w:val="14"/>
              </w:rPr>
              <w:t xml:space="preserve"> </w:t>
            </w:r>
            <w:r>
              <w:rPr>
                <w:color w:val="231F20"/>
                <w:sz w:val="14"/>
              </w:rPr>
              <w:t>самоуправа.</w:t>
            </w:r>
          </w:p>
        </w:tc>
        <w:tc>
          <w:tcPr>
            <w:tcW w:w="2267" w:type="dxa"/>
            <w:vMerge/>
            <w:tcBorders>
              <w:top w:val="nil"/>
            </w:tcBorders>
          </w:tcPr>
          <w:p w:rsidR="00041039" w:rsidRDefault="00041039">
            <w:pPr>
              <w:rPr>
                <w:sz w:val="2"/>
                <w:szCs w:val="2"/>
              </w:rPr>
            </w:pPr>
          </w:p>
        </w:tc>
      </w:tr>
      <w:tr w:rsidR="00041039">
        <w:trPr>
          <w:trHeight w:val="1800"/>
        </w:trPr>
        <w:tc>
          <w:tcPr>
            <w:tcW w:w="1304" w:type="dxa"/>
          </w:tcPr>
          <w:p w:rsidR="00041039" w:rsidRDefault="001B26CB">
            <w:pPr>
              <w:pStyle w:val="TableParagraph"/>
              <w:spacing w:before="20"/>
              <w:ind w:left="56" w:right="37"/>
              <w:rPr>
                <w:sz w:val="14"/>
              </w:rPr>
            </w:pPr>
            <w:r>
              <w:rPr>
                <w:color w:val="231F20"/>
                <w:sz w:val="14"/>
              </w:rPr>
              <w:t>Устав и правна држава</w:t>
            </w:r>
          </w:p>
        </w:tc>
        <w:tc>
          <w:tcPr>
            <w:tcW w:w="1587" w:type="dxa"/>
          </w:tcPr>
          <w:p w:rsidR="00041039" w:rsidRDefault="001B26CB">
            <w:pPr>
              <w:pStyle w:val="TableParagraph"/>
              <w:numPr>
                <w:ilvl w:val="0"/>
                <w:numId w:val="319"/>
              </w:numPr>
              <w:tabs>
                <w:tab w:val="left" w:pos="157"/>
              </w:tabs>
              <w:spacing w:before="10"/>
              <w:ind w:right="44"/>
              <w:rPr>
                <w:sz w:val="14"/>
              </w:rPr>
            </w:pPr>
            <w:r>
              <w:rPr>
                <w:color w:val="231F20"/>
                <w:sz w:val="14"/>
              </w:rPr>
              <w:t xml:space="preserve">Упознавање са </w:t>
            </w:r>
            <w:r>
              <w:rPr>
                <w:color w:val="231F20"/>
                <w:spacing w:val="-3"/>
                <w:sz w:val="14"/>
              </w:rPr>
              <w:t xml:space="preserve">Уставом </w:t>
            </w:r>
            <w:r>
              <w:rPr>
                <w:color w:val="231F20"/>
                <w:sz w:val="14"/>
              </w:rPr>
              <w:t>Републике Србије, његовим исто­ ријским претечама и правосудним</w:t>
            </w:r>
            <w:r>
              <w:rPr>
                <w:color w:val="231F20"/>
                <w:spacing w:val="-18"/>
                <w:sz w:val="14"/>
              </w:rPr>
              <w:t xml:space="preserve"> </w:t>
            </w:r>
            <w:r>
              <w:rPr>
                <w:color w:val="231F20"/>
                <w:sz w:val="14"/>
              </w:rPr>
              <w:t>системом Републике</w:t>
            </w:r>
            <w:r>
              <w:rPr>
                <w:color w:val="231F20"/>
                <w:spacing w:val="-2"/>
                <w:sz w:val="14"/>
              </w:rPr>
              <w:t xml:space="preserve"> </w:t>
            </w:r>
            <w:r>
              <w:rPr>
                <w:color w:val="231F20"/>
                <w:sz w:val="14"/>
              </w:rPr>
              <w:t>Србије.</w:t>
            </w:r>
          </w:p>
        </w:tc>
        <w:tc>
          <w:tcPr>
            <w:tcW w:w="2551" w:type="dxa"/>
          </w:tcPr>
          <w:p w:rsidR="00041039" w:rsidRDefault="001B26CB">
            <w:pPr>
              <w:pStyle w:val="TableParagraph"/>
              <w:numPr>
                <w:ilvl w:val="0"/>
                <w:numId w:val="318"/>
              </w:numPr>
              <w:tabs>
                <w:tab w:val="left" w:pos="157"/>
              </w:tabs>
              <w:spacing w:before="10"/>
              <w:ind w:right="369" w:hanging="99"/>
              <w:rPr>
                <w:sz w:val="14"/>
              </w:rPr>
            </w:pPr>
            <w:r>
              <w:rPr>
                <w:color w:val="231F20"/>
                <w:sz w:val="14"/>
              </w:rPr>
              <w:t>схвати значај устава као</w:t>
            </w:r>
            <w:r>
              <w:rPr>
                <w:color w:val="231F20"/>
                <w:spacing w:val="-26"/>
                <w:sz w:val="14"/>
              </w:rPr>
              <w:t xml:space="preserve"> </w:t>
            </w:r>
            <w:r>
              <w:rPr>
                <w:color w:val="231F20"/>
                <w:sz w:val="14"/>
              </w:rPr>
              <w:t>највишег правног</w:t>
            </w:r>
            <w:r>
              <w:rPr>
                <w:color w:val="231F20"/>
                <w:spacing w:val="-2"/>
                <w:sz w:val="14"/>
              </w:rPr>
              <w:t xml:space="preserve"> </w:t>
            </w:r>
            <w:r>
              <w:rPr>
                <w:color w:val="231F20"/>
                <w:sz w:val="14"/>
              </w:rPr>
              <w:t>акта;</w:t>
            </w:r>
          </w:p>
          <w:p w:rsidR="00041039" w:rsidRDefault="001B26CB">
            <w:pPr>
              <w:pStyle w:val="TableParagraph"/>
              <w:numPr>
                <w:ilvl w:val="0"/>
                <w:numId w:val="318"/>
              </w:numPr>
              <w:tabs>
                <w:tab w:val="left" w:pos="157"/>
              </w:tabs>
              <w:spacing w:line="153" w:lineRule="exact"/>
              <w:ind w:hanging="99"/>
              <w:rPr>
                <w:sz w:val="14"/>
              </w:rPr>
            </w:pPr>
            <w:r>
              <w:rPr>
                <w:color w:val="231F20"/>
                <w:sz w:val="14"/>
              </w:rPr>
              <w:t xml:space="preserve">разликује устав </w:t>
            </w:r>
            <w:r>
              <w:rPr>
                <w:color w:val="231F20"/>
                <w:spacing w:val="-3"/>
                <w:sz w:val="14"/>
              </w:rPr>
              <w:t>од</w:t>
            </w:r>
            <w:r>
              <w:rPr>
                <w:color w:val="231F20"/>
                <w:spacing w:val="-2"/>
                <w:sz w:val="14"/>
              </w:rPr>
              <w:t xml:space="preserve"> </w:t>
            </w:r>
            <w:r>
              <w:rPr>
                <w:color w:val="231F20"/>
                <w:sz w:val="14"/>
              </w:rPr>
              <w:t>закона;</w:t>
            </w:r>
          </w:p>
          <w:p w:rsidR="00041039" w:rsidRDefault="001B26CB">
            <w:pPr>
              <w:pStyle w:val="TableParagraph"/>
              <w:numPr>
                <w:ilvl w:val="0"/>
                <w:numId w:val="318"/>
              </w:numPr>
              <w:tabs>
                <w:tab w:val="left" w:pos="157"/>
              </w:tabs>
              <w:spacing w:line="237" w:lineRule="auto"/>
              <w:ind w:right="241" w:hanging="99"/>
              <w:rPr>
                <w:sz w:val="14"/>
              </w:rPr>
            </w:pPr>
            <w:r>
              <w:rPr>
                <w:color w:val="231F20"/>
                <w:sz w:val="14"/>
              </w:rPr>
              <w:t>направи преглед развоја</w:t>
            </w:r>
            <w:r>
              <w:rPr>
                <w:color w:val="231F20"/>
                <w:spacing w:val="-17"/>
                <w:sz w:val="14"/>
              </w:rPr>
              <w:t xml:space="preserve"> </w:t>
            </w:r>
            <w:r>
              <w:rPr>
                <w:color w:val="231F20"/>
                <w:sz w:val="14"/>
              </w:rPr>
              <w:t>уставности у Србији;</w:t>
            </w:r>
          </w:p>
          <w:p w:rsidR="00041039" w:rsidRDefault="001B26CB">
            <w:pPr>
              <w:pStyle w:val="TableParagraph"/>
              <w:numPr>
                <w:ilvl w:val="0"/>
                <w:numId w:val="318"/>
              </w:numPr>
              <w:tabs>
                <w:tab w:val="left" w:pos="157"/>
              </w:tabs>
              <w:spacing w:line="160" w:lineRule="exact"/>
              <w:ind w:right="144" w:hanging="99"/>
              <w:rPr>
                <w:sz w:val="14"/>
              </w:rPr>
            </w:pPr>
            <w:r>
              <w:rPr>
                <w:color w:val="231F20"/>
                <w:sz w:val="14"/>
              </w:rPr>
              <w:t>уочи</w:t>
            </w:r>
            <w:r>
              <w:rPr>
                <w:color w:val="231F20"/>
                <w:spacing w:val="-7"/>
                <w:sz w:val="14"/>
              </w:rPr>
              <w:t xml:space="preserve"> </w:t>
            </w:r>
            <w:r>
              <w:rPr>
                <w:color w:val="231F20"/>
                <w:sz w:val="14"/>
              </w:rPr>
              <w:t>значај</w:t>
            </w:r>
            <w:r>
              <w:rPr>
                <w:color w:val="231F20"/>
                <w:spacing w:val="-7"/>
                <w:sz w:val="14"/>
              </w:rPr>
              <w:t xml:space="preserve"> </w:t>
            </w:r>
            <w:r>
              <w:rPr>
                <w:color w:val="231F20"/>
                <w:sz w:val="14"/>
              </w:rPr>
              <w:t>владавине</w:t>
            </w:r>
            <w:r>
              <w:rPr>
                <w:color w:val="231F20"/>
                <w:spacing w:val="-8"/>
                <w:sz w:val="14"/>
              </w:rPr>
              <w:t xml:space="preserve"> </w:t>
            </w:r>
            <w:r>
              <w:rPr>
                <w:color w:val="231F20"/>
                <w:sz w:val="14"/>
              </w:rPr>
              <w:t>права</w:t>
            </w:r>
            <w:r>
              <w:rPr>
                <w:color w:val="231F20"/>
                <w:spacing w:val="-7"/>
                <w:sz w:val="14"/>
              </w:rPr>
              <w:t xml:space="preserve"> </w:t>
            </w:r>
            <w:r>
              <w:rPr>
                <w:color w:val="231F20"/>
                <w:sz w:val="14"/>
              </w:rPr>
              <w:t>и</w:t>
            </w:r>
            <w:r>
              <w:rPr>
                <w:color w:val="231F20"/>
                <w:spacing w:val="-8"/>
                <w:sz w:val="14"/>
              </w:rPr>
              <w:t xml:space="preserve"> </w:t>
            </w:r>
            <w:r>
              <w:rPr>
                <w:color w:val="231F20"/>
                <w:sz w:val="14"/>
              </w:rPr>
              <w:t>правне државе;</w:t>
            </w:r>
          </w:p>
          <w:p w:rsidR="00041039" w:rsidRDefault="001B26CB">
            <w:pPr>
              <w:pStyle w:val="TableParagraph"/>
              <w:numPr>
                <w:ilvl w:val="0"/>
                <w:numId w:val="318"/>
              </w:numPr>
              <w:tabs>
                <w:tab w:val="left" w:pos="157"/>
              </w:tabs>
              <w:spacing w:line="160" w:lineRule="exact"/>
              <w:ind w:right="79" w:hanging="99"/>
              <w:rPr>
                <w:sz w:val="14"/>
              </w:rPr>
            </w:pPr>
            <w:r>
              <w:rPr>
                <w:color w:val="231F20"/>
                <w:sz w:val="14"/>
              </w:rPr>
              <w:t xml:space="preserve">зна основне одредбе </w:t>
            </w:r>
            <w:r>
              <w:rPr>
                <w:color w:val="231F20"/>
                <w:spacing w:val="-4"/>
                <w:sz w:val="14"/>
              </w:rPr>
              <w:t>Устава</w:t>
            </w:r>
            <w:r>
              <w:rPr>
                <w:color w:val="231F20"/>
                <w:spacing w:val="-16"/>
                <w:sz w:val="14"/>
              </w:rPr>
              <w:t xml:space="preserve"> </w:t>
            </w:r>
            <w:r>
              <w:rPr>
                <w:color w:val="231F20"/>
                <w:sz w:val="14"/>
              </w:rPr>
              <w:t>Републике Србије;</w:t>
            </w:r>
          </w:p>
          <w:p w:rsidR="00041039" w:rsidRDefault="001B26CB">
            <w:pPr>
              <w:pStyle w:val="TableParagraph"/>
              <w:numPr>
                <w:ilvl w:val="0"/>
                <w:numId w:val="318"/>
              </w:numPr>
              <w:tabs>
                <w:tab w:val="left" w:pos="157"/>
              </w:tabs>
              <w:spacing w:line="160" w:lineRule="exact"/>
              <w:ind w:right="222" w:hanging="99"/>
              <w:rPr>
                <w:sz w:val="14"/>
              </w:rPr>
            </w:pPr>
            <w:r>
              <w:rPr>
                <w:color w:val="231F20"/>
                <w:sz w:val="14"/>
              </w:rPr>
              <w:t>схвати функционисање</w:t>
            </w:r>
            <w:r>
              <w:rPr>
                <w:color w:val="231F20"/>
                <w:spacing w:val="-21"/>
                <w:sz w:val="14"/>
              </w:rPr>
              <w:t xml:space="preserve"> </w:t>
            </w:r>
            <w:r>
              <w:rPr>
                <w:color w:val="231F20"/>
                <w:sz w:val="14"/>
              </w:rPr>
              <w:t>правосудног система Републике</w:t>
            </w:r>
            <w:r>
              <w:rPr>
                <w:color w:val="231F20"/>
                <w:spacing w:val="-2"/>
                <w:sz w:val="14"/>
              </w:rPr>
              <w:t xml:space="preserve"> </w:t>
            </w:r>
            <w:r>
              <w:rPr>
                <w:color w:val="231F20"/>
                <w:sz w:val="14"/>
              </w:rPr>
              <w:t>Србије;</w:t>
            </w:r>
          </w:p>
        </w:tc>
        <w:tc>
          <w:tcPr>
            <w:tcW w:w="2834" w:type="dxa"/>
          </w:tcPr>
          <w:p w:rsidR="00041039" w:rsidRDefault="001B26CB">
            <w:pPr>
              <w:pStyle w:val="TableParagraph"/>
              <w:numPr>
                <w:ilvl w:val="0"/>
                <w:numId w:val="317"/>
              </w:numPr>
              <w:tabs>
                <w:tab w:val="left" w:pos="142"/>
              </w:tabs>
              <w:spacing w:before="20" w:line="161" w:lineRule="exact"/>
              <w:rPr>
                <w:sz w:val="14"/>
              </w:rPr>
            </w:pPr>
            <w:r>
              <w:rPr>
                <w:color w:val="231F20"/>
                <w:sz w:val="14"/>
              </w:rPr>
              <w:t>Значење појма</w:t>
            </w:r>
            <w:r>
              <w:rPr>
                <w:color w:val="231F20"/>
                <w:spacing w:val="-1"/>
                <w:sz w:val="14"/>
              </w:rPr>
              <w:t xml:space="preserve"> </w:t>
            </w:r>
            <w:r>
              <w:rPr>
                <w:color w:val="231F20"/>
                <w:sz w:val="14"/>
              </w:rPr>
              <w:t>устав.</w:t>
            </w:r>
          </w:p>
          <w:p w:rsidR="00041039" w:rsidRDefault="001B26CB">
            <w:pPr>
              <w:pStyle w:val="TableParagraph"/>
              <w:numPr>
                <w:ilvl w:val="0"/>
                <w:numId w:val="317"/>
              </w:numPr>
              <w:tabs>
                <w:tab w:val="left" w:pos="142"/>
              </w:tabs>
              <w:spacing w:line="160" w:lineRule="exact"/>
              <w:rPr>
                <w:sz w:val="14"/>
              </w:rPr>
            </w:pPr>
            <w:r>
              <w:rPr>
                <w:color w:val="231F20"/>
                <w:sz w:val="14"/>
              </w:rPr>
              <w:t>Историјски развој</w:t>
            </w:r>
            <w:r>
              <w:rPr>
                <w:color w:val="231F20"/>
                <w:spacing w:val="-1"/>
                <w:sz w:val="14"/>
              </w:rPr>
              <w:t xml:space="preserve"> </w:t>
            </w:r>
            <w:r>
              <w:rPr>
                <w:color w:val="231F20"/>
                <w:sz w:val="14"/>
              </w:rPr>
              <w:t>уставности.</w:t>
            </w:r>
          </w:p>
          <w:p w:rsidR="00041039" w:rsidRDefault="001B26CB">
            <w:pPr>
              <w:pStyle w:val="TableParagraph"/>
              <w:numPr>
                <w:ilvl w:val="0"/>
                <w:numId w:val="317"/>
              </w:numPr>
              <w:tabs>
                <w:tab w:val="left" w:pos="142"/>
              </w:tabs>
              <w:spacing w:line="160" w:lineRule="exact"/>
              <w:rPr>
                <w:sz w:val="14"/>
              </w:rPr>
            </w:pPr>
            <w:r>
              <w:rPr>
                <w:color w:val="231F20"/>
                <w:sz w:val="14"/>
              </w:rPr>
              <w:t>Уставност и</w:t>
            </w:r>
            <w:r>
              <w:rPr>
                <w:color w:val="231F20"/>
                <w:spacing w:val="-3"/>
                <w:sz w:val="14"/>
              </w:rPr>
              <w:t xml:space="preserve"> </w:t>
            </w:r>
            <w:r>
              <w:rPr>
                <w:color w:val="231F20"/>
                <w:sz w:val="14"/>
              </w:rPr>
              <w:t>законитост.</w:t>
            </w:r>
          </w:p>
          <w:p w:rsidR="00041039" w:rsidRDefault="001B26CB">
            <w:pPr>
              <w:pStyle w:val="TableParagraph"/>
              <w:numPr>
                <w:ilvl w:val="0"/>
                <w:numId w:val="317"/>
              </w:numPr>
              <w:tabs>
                <w:tab w:val="left" w:pos="142"/>
              </w:tabs>
              <w:spacing w:line="160" w:lineRule="exact"/>
              <w:rPr>
                <w:sz w:val="14"/>
              </w:rPr>
            </w:pPr>
            <w:r>
              <w:rPr>
                <w:color w:val="231F20"/>
                <w:sz w:val="14"/>
              </w:rPr>
              <w:t>Владавина права ­ правна</w:t>
            </w:r>
            <w:r>
              <w:rPr>
                <w:color w:val="231F20"/>
                <w:spacing w:val="-4"/>
                <w:sz w:val="14"/>
              </w:rPr>
              <w:t xml:space="preserve"> </w:t>
            </w:r>
            <w:r>
              <w:rPr>
                <w:color w:val="231F20"/>
                <w:sz w:val="14"/>
              </w:rPr>
              <w:t>држава.</w:t>
            </w:r>
          </w:p>
          <w:p w:rsidR="00041039" w:rsidRDefault="001B26CB">
            <w:pPr>
              <w:pStyle w:val="TableParagraph"/>
              <w:numPr>
                <w:ilvl w:val="0"/>
                <w:numId w:val="317"/>
              </w:numPr>
              <w:tabs>
                <w:tab w:val="left" w:pos="142"/>
              </w:tabs>
              <w:spacing w:line="160" w:lineRule="exact"/>
              <w:rPr>
                <w:sz w:val="14"/>
              </w:rPr>
            </w:pPr>
            <w:r>
              <w:rPr>
                <w:color w:val="231F20"/>
                <w:spacing w:val="-4"/>
                <w:sz w:val="14"/>
              </w:rPr>
              <w:t xml:space="preserve">Устав </w:t>
            </w:r>
            <w:r>
              <w:rPr>
                <w:color w:val="231F20"/>
                <w:sz w:val="14"/>
              </w:rPr>
              <w:t>Републике</w:t>
            </w:r>
            <w:r>
              <w:rPr>
                <w:color w:val="231F20"/>
                <w:spacing w:val="2"/>
                <w:sz w:val="14"/>
              </w:rPr>
              <w:t xml:space="preserve"> </w:t>
            </w:r>
            <w:r>
              <w:rPr>
                <w:color w:val="231F20"/>
                <w:sz w:val="14"/>
              </w:rPr>
              <w:t>Србије.</w:t>
            </w:r>
          </w:p>
          <w:p w:rsidR="00041039" w:rsidRDefault="001B26CB">
            <w:pPr>
              <w:pStyle w:val="TableParagraph"/>
              <w:numPr>
                <w:ilvl w:val="0"/>
                <w:numId w:val="317"/>
              </w:numPr>
              <w:tabs>
                <w:tab w:val="left" w:pos="142"/>
              </w:tabs>
              <w:ind w:right="418"/>
              <w:rPr>
                <w:sz w:val="14"/>
              </w:rPr>
            </w:pPr>
            <w:r>
              <w:rPr>
                <w:color w:val="231F20"/>
                <w:sz w:val="14"/>
              </w:rPr>
              <w:t>Правосудни систем Републике</w:t>
            </w:r>
            <w:r>
              <w:rPr>
                <w:color w:val="231F20"/>
                <w:spacing w:val="-24"/>
                <w:sz w:val="14"/>
              </w:rPr>
              <w:t xml:space="preserve"> </w:t>
            </w:r>
            <w:r>
              <w:rPr>
                <w:color w:val="231F20"/>
                <w:sz w:val="14"/>
              </w:rPr>
              <w:t>Србије (судови и</w:t>
            </w:r>
            <w:r>
              <w:rPr>
                <w:color w:val="231F20"/>
                <w:spacing w:val="-3"/>
                <w:sz w:val="14"/>
              </w:rPr>
              <w:t xml:space="preserve"> </w:t>
            </w:r>
            <w:r>
              <w:rPr>
                <w:color w:val="231F20"/>
                <w:sz w:val="14"/>
              </w:rPr>
              <w:t>тужилаштва).</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20"/>
              <w:ind w:left="56" w:right="37"/>
              <w:rPr>
                <w:sz w:val="14"/>
              </w:rPr>
            </w:pPr>
            <w:r>
              <w:rPr>
                <w:color w:val="231F20"/>
                <w:sz w:val="14"/>
              </w:rPr>
              <w:t>Људска права и слободе</w:t>
            </w:r>
          </w:p>
        </w:tc>
        <w:tc>
          <w:tcPr>
            <w:tcW w:w="1587" w:type="dxa"/>
          </w:tcPr>
          <w:p w:rsidR="00041039" w:rsidRDefault="001B26CB">
            <w:pPr>
              <w:pStyle w:val="TableParagraph"/>
              <w:numPr>
                <w:ilvl w:val="0"/>
                <w:numId w:val="316"/>
              </w:numPr>
              <w:tabs>
                <w:tab w:val="left" w:pos="157"/>
              </w:tabs>
              <w:spacing w:before="10"/>
              <w:ind w:right="123"/>
              <w:rPr>
                <w:sz w:val="14"/>
              </w:rPr>
            </w:pPr>
            <w:r>
              <w:rPr>
                <w:color w:val="231F20"/>
                <w:sz w:val="14"/>
              </w:rPr>
              <w:t xml:space="preserve">Богаћење знања о људским правима и слободама и о </w:t>
            </w:r>
            <w:r>
              <w:rPr>
                <w:color w:val="231F20"/>
                <w:spacing w:val="-3"/>
                <w:sz w:val="14"/>
              </w:rPr>
              <w:t xml:space="preserve">улози </w:t>
            </w:r>
            <w:r>
              <w:rPr>
                <w:color w:val="231F20"/>
                <w:sz w:val="14"/>
              </w:rPr>
              <w:t>појединца у</w:t>
            </w:r>
            <w:r>
              <w:rPr>
                <w:color w:val="231F20"/>
                <w:spacing w:val="-8"/>
                <w:sz w:val="14"/>
              </w:rPr>
              <w:t xml:space="preserve"> </w:t>
            </w:r>
            <w:r>
              <w:rPr>
                <w:color w:val="231F20"/>
                <w:sz w:val="14"/>
              </w:rPr>
              <w:t xml:space="preserve">друштве­ ном и политичком </w:t>
            </w:r>
            <w:r>
              <w:rPr>
                <w:color w:val="231F20"/>
                <w:spacing w:val="-3"/>
                <w:sz w:val="14"/>
              </w:rPr>
              <w:t>животу.</w:t>
            </w:r>
          </w:p>
        </w:tc>
        <w:tc>
          <w:tcPr>
            <w:tcW w:w="2551" w:type="dxa"/>
          </w:tcPr>
          <w:p w:rsidR="00041039" w:rsidRDefault="001B26CB">
            <w:pPr>
              <w:pStyle w:val="TableParagraph"/>
              <w:numPr>
                <w:ilvl w:val="0"/>
                <w:numId w:val="315"/>
              </w:numPr>
              <w:tabs>
                <w:tab w:val="left" w:pos="157"/>
              </w:tabs>
              <w:spacing w:before="10"/>
              <w:ind w:right="166" w:hanging="99"/>
              <w:rPr>
                <w:sz w:val="14"/>
              </w:rPr>
            </w:pPr>
            <w:r>
              <w:rPr>
                <w:color w:val="231F20"/>
                <w:sz w:val="14"/>
              </w:rPr>
              <w:t xml:space="preserve">схвати </w:t>
            </w:r>
            <w:r>
              <w:rPr>
                <w:color w:val="231F20"/>
                <w:spacing w:val="-3"/>
                <w:sz w:val="14"/>
              </w:rPr>
              <w:t xml:space="preserve">људска </w:t>
            </w:r>
            <w:r>
              <w:rPr>
                <w:color w:val="231F20"/>
                <w:sz w:val="14"/>
              </w:rPr>
              <w:t>права и слободе и</w:t>
            </w:r>
            <w:r>
              <w:rPr>
                <w:color w:val="231F20"/>
                <w:spacing w:val="-14"/>
                <w:sz w:val="14"/>
              </w:rPr>
              <w:t xml:space="preserve"> </w:t>
            </w:r>
            <w:r>
              <w:rPr>
                <w:color w:val="231F20"/>
                <w:sz w:val="14"/>
              </w:rPr>
              <w:t>свој положај у</w:t>
            </w:r>
            <w:r>
              <w:rPr>
                <w:color w:val="231F20"/>
                <w:spacing w:val="-2"/>
                <w:sz w:val="14"/>
              </w:rPr>
              <w:t xml:space="preserve"> </w:t>
            </w:r>
            <w:r>
              <w:rPr>
                <w:color w:val="231F20"/>
                <w:sz w:val="14"/>
              </w:rPr>
              <w:t>друштву;</w:t>
            </w:r>
          </w:p>
          <w:p w:rsidR="00041039" w:rsidRDefault="001B26CB">
            <w:pPr>
              <w:pStyle w:val="TableParagraph"/>
              <w:numPr>
                <w:ilvl w:val="0"/>
                <w:numId w:val="315"/>
              </w:numPr>
              <w:tabs>
                <w:tab w:val="left" w:pos="157"/>
              </w:tabs>
              <w:spacing w:before="1" w:line="160" w:lineRule="exact"/>
              <w:ind w:right="309" w:hanging="99"/>
              <w:rPr>
                <w:sz w:val="14"/>
              </w:rPr>
            </w:pPr>
            <w:r>
              <w:rPr>
                <w:color w:val="231F20"/>
                <w:sz w:val="14"/>
              </w:rPr>
              <w:t>зна</w:t>
            </w:r>
            <w:r>
              <w:rPr>
                <w:color w:val="231F20"/>
                <w:spacing w:val="-5"/>
                <w:sz w:val="14"/>
              </w:rPr>
              <w:t xml:space="preserve"> </w:t>
            </w:r>
            <w:r>
              <w:rPr>
                <w:color w:val="231F20"/>
                <w:sz w:val="14"/>
              </w:rPr>
              <w:t>на</w:t>
            </w:r>
            <w:r>
              <w:rPr>
                <w:color w:val="231F20"/>
                <w:spacing w:val="-5"/>
                <w:sz w:val="14"/>
              </w:rPr>
              <w:t xml:space="preserve"> </w:t>
            </w:r>
            <w:r>
              <w:rPr>
                <w:color w:val="231F20"/>
                <w:sz w:val="14"/>
              </w:rPr>
              <w:t>који</w:t>
            </w:r>
            <w:r>
              <w:rPr>
                <w:color w:val="231F20"/>
                <w:spacing w:val="-4"/>
                <w:sz w:val="14"/>
              </w:rPr>
              <w:t xml:space="preserve"> </w:t>
            </w:r>
            <w:r>
              <w:rPr>
                <w:color w:val="231F20"/>
                <w:sz w:val="14"/>
              </w:rPr>
              <w:t>начин</w:t>
            </w:r>
            <w:r>
              <w:rPr>
                <w:color w:val="231F20"/>
                <w:spacing w:val="-4"/>
                <w:sz w:val="14"/>
              </w:rPr>
              <w:t xml:space="preserve"> </w:t>
            </w:r>
            <w:r>
              <w:rPr>
                <w:color w:val="231F20"/>
                <w:sz w:val="14"/>
              </w:rPr>
              <w:t>се</w:t>
            </w:r>
            <w:r>
              <w:rPr>
                <w:color w:val="231F20"/>
                <w:spacing w:val="-4"/>
                <w:sz w:val="14"/>
              </w:rPr>
              <w:t xml:space="preserve"> </w:t>
            </w:r>
            <w:r>
              <w:rPr>
                <w:color w:val="231F20"/>
                <w:sz w:val="14"/>
              </w:rPr>
              <w:t>штите</w:t>
            </w:r>
            <w:r>
              <w:rPr>
                <w:color w:val="231F20"/>
                <w:spacing w:val="-5"/>
                <w:sz w:val="14"/>
              </w:rPr>
              <w:t xml:space="preserve"> </w:t>
            </w:r>
            <w:r>
              <w:rPr>
                <w:color w:val="231F20"/>
                <w:sz w:val="14"/>
              </w:rPr>
              <w:t>права</w:t>
            </w:r>
            <w:r>
              <w:rPr>
                <w:color w:val="231F20"/>
                <w:spacing w:val="-4"/>
                <w:sz w:val="14"/>
              </w:rPr>
              <w:t xml:space="preserve"> </w:t>
            </w:r>
            <w:r>
              <w:rPr>
                <w:color w:val="231F20"/>
                <w:sz w:val="14"/>
              </w:rPr>
              <w:t>и слободе</w:t>
            </w:r>
            <w:r>
              <w:rPr>
                <w:color w:val="231F20"/>
                <w:spacing w:val="-1"/>
                <w:sz w:val="14"/>
              </w:rPr>
              <w:t xml:space="preserve"> </w:t>
            </w:r>
            <w:r>
              <w:rPr>
                <w:color w:val="231F20"/>
                <w:sz w:val="14"/>
              </w:rPr>
              <w:t>грађана;</w:t>
            </w:r>
          </w:p>
        </w:tc>
        <w:tc>
          <w:tcPr>
            <w:tcW w:w="2834" w:type="dxa"/>
          </w:tcPr>
          <w:p w:rsidR="00041039" w:rsidRDefault="001B26CB">
            <w:pPr>
              <w:pStyle w:val="TableParagraph"/>
              <w:numPr>
                <w:ilvl w:val="0"/>
                <w:numId w:val="314"/>
              </w:numPr>
              <w:tabs>
                <w:tab w:val="left" w:pos="142"/>
              </w:tabs>
              <w:spacing w:before="20" w:line="161" w:lineRule="exact"/>
              <w:rPr>
                <w:sz w:val="14"/>
              </w:rPr>
            </w:pPr>
            <w:r>
              <w:rPr>
                <w:color w:val="231F20"/>
                <w:sz w:val="14"/>
              </w:rPr>
              <w:t>Појам грађанина и његове обавезе и</w:t>
            </w:r>
            <w:r>
              <w:rPr>
                <w:color w:val="231F20"/>
                <w:spacing w:val="-19"/>
                <w:sz w:val="14"/>
              </w:rPr>
              <w:t xml:space="preserve"> </w:t>
            </w:r>
            <w:r>
              <w:rPr>
                <w:color w:val="231F20"/>
                <w:sz w:val="14"/>
              </w:rPr>
              <w:t>права.</w:t>
            </w:r>
          </w:p>
          <w:p w:rsidR="00041039" w:rsidRDefault="001B26CB">
            <w:pPr>
              <w:pStyle w:val="TableParagraph"/>
              <w:numPr>
                <w:ilvl w:val="0"/>
                <w:numId w:val="314"/>
              </w:numPr>
              <w:tabs>
                <w:tab w:val="left" w:pos="142"/>
              </w:tabs>
              <w:spacing w:line="160" w:lineRule="exact"/>
              <w:rPr>
                <w:sz w:val="14"/>
              </w:rPr>
            </w:pPr>
            <w:r>
              <w:rPr>
                <w:color w:val="231F20"/>
                <w:sz w:val="14"/>
              </w:rPr>
              <w:t>Лична права и слободе</w:t>
            </w:r>
            <w:r>
              <w:rPr>
                <w:color w:val="231F20"/>
                <w:spacing w:val="-6"/>
                <w:sz w:val="14"/>
              </w:rPr>
              <w:t xml:space="preserve"> </w:t>
            </w:r>
            <w:r>
              <w:rPr>
                <w:color w:val="231F20"/>
                <w:sz w:val="14"/>
              </w:rPr>
              <w:t>грађана.</w:t>
            </w:r>
          </w:p>
          <w:p w:rsidR="00041039" w:rsidRDefault="001B26CB">
            <w:pPr>
              <w:pStyle w:val="TableParagraph"/>
              <w:numPr>
                <w:ilvl w:val="0"/>
                <w:numId w:val="314"/>
              </w:numPr>
              <w:tabs>
                <w:tab w:val="left" w:pos="142"/>
              </w:tabs>
              <w:spacing w:line="160" w:lineRule="exact"/>
              <w:rPr>
                <w:sz w:val="14"/>
              </w:rPr>
            </w:pPr>
            <w:r>
              <w:rPr>
                <w:color w:val="231F20"/>
                <w:sz w:val="14"/>
              </w:rPr>
              <w:t>Политичка права и слободе</w:t>
            </w:r>
            <w:r>
              <w:rPr>
                <w:color w:val="231F20"/>
                <w:spacing w:val="-7"/>
                <w:sz w:val="14"/>
              </w:rPr>
              <w:t xml:space="preserve"> </w:t>
            </w:r>
            <w:r>
              <w:rPr>
                <w:color w:val="231F20"/>
                <w:sz w:val="14"/>
              </w:rPr>
              <w:t>грађана.</w:t>
            </w:r>
          </w:p>
          <w:p w:rsidR="00041039" w:rsidRDefault="001B26CB">
            <w:pPr>
              <w:pStyle w:val="TableParagraph"/>
              <w:numPr>
                <w:ilvl w:val="0"/>
                <w:numId w:val="314"/>
              </w:numPr>
              <w:tabs>
                <w:tab w:val="left" w:pos="142"/>
              </w:tabs>
              <w:spacing w:line="160" w:lineRule="exact"/>
              <w:rPr>
                <w:sz w:val="14"/>
              </w:rPr>
            </w:pPr>
            <w:r>
              <w:rPr>
                <w:color w:val="231F20"/>
                <w:sz w:val="14"/>
              </w:rPr>
              <w:t>Економска права и слободе</w:t>
            </w:r>
            <w:r>
              <w:rPr>
                <w:color w:val="231F20"/>
                <w:spacing w:val="-7"/>
                <w:sz w:val="14"/>
              </w:rPr>
              <w:t xml:space="preserve"> </w:t>
            </w:r>
            <w:r>
              <w:rPr>
                <w:color w:val="231F20"/>
                <w:sz w:val="14"/>
              </w:rPr>
              <w:t>грађана</w:t>
            </w:r>
          </w:p>
          <w:p w:rsidR="00041039" w:rsidRDefault="001B26CB">
            <w:pPr>
              <w:pStyle w:val="TableParagraph"/>
              <w:numPr>
                <w:ilvl w:val="0"/>
                <w:numId w:val="314"/>
              </w:numPr>
              <w:tabs>
                <w:tab w:val="left" w:pos="142"/>
              </w:tabs>
              <w:spacing w:line="160" w:lineRule="exact"/>
              <w:rPr>
                <w:sz w:val="14"/>
              </w:rPr>
            </w:pPr>
            <w:r>
              <w:rPr>
                <w:color w:val="231F20"/>
                <w:sz w:val="14"/>
              </w:rPr>
              <w:t>Породично</w:t>
            </w:r>
            <w:r>
              <w:rPr>
                <w:color w:val="231F20"/>
                <w:spacing w:val="-1"/>
                <w:sz w:val="14"/>
              </w:rPr>
              <w:t xml:space="preserve"> </w:t>
            </w:r>
            <w:r>
              <w:rPr>
                <w:color w:val="231F20"/>
                <w:sz w:val="14"/>
              </w:rPr>
              <w:t>право.</w:t>
            </w:r>
          </w:p>
          <w:p w:rsidR="00041039" w:rsidRDefault="001B26CB">
            <w:pPr>
              <w:pStyle w:val="TableParagraph"/>
              <w:numPr>
                <w:ilvl w:val="0"/>
                <w:numId w:val="314"/>
              </w:numPr>
              <w:tabs>
                <w:tab w:val="left" w:pos="142"/>
              </w:tabs>
              <w:spacing w:line="160" w:lineRule="exact"/>
              <w:rPr>
                <w:sz w:val="14"/>
              </w:rPr>
            </w:pPr>
            <w:r>
              <w:rPr>
                <w:color w:val="231F20"/>
                <w:sz w:val="14"/>
              </w:rPr>
              <w:t>Остала права и слободе</w:t>
            </w:r>
            <w:r>
              <w:rPr>
                <w:color w:val="231F20"/>
                <w:spacing w:val="-5"/>
                <w:sz w:val="14"/>
              </w:rPr>
              <w:t xml:space="preserve"> </w:t>
            </w:r>
            <w:r>
              <w:rPr>
                <w:color w:val="231F20"/>
                <w:sz w:val="14"/>
              </w:rPr>
              <w:t>грађана.</w:t>
            </w:r>
          </w:p>
          <w:p w:rsidR="00041039" w:rsidRDefault="001B26CB">
            <w:pPr>
              <w:pStyle w:val="TableParagraph"/>
              <w:numPr>
                <w:ilvl w:val="0"/>
                <w:numId w:val="314"/>
              </w:numPr>
              <w:tabs>
                <w:tab w:val="left" w:pos="142"/>
              </w:tabs>
              <w:spacing w:line="159" w:lineRule="exact"/>
              <w:rPr>
                <w:sz w:val="14"/>
              </w:rPr>
            </w:pPr>
            <w:r>
              <w:rPr>
                <w:color w:val="231F20"/>
                <w:sz w:val="14"/>
              </w:rPr>
              <w:t>Заштита права и слобода</w:t>
            </w:r>
            <w:r>
              <w:rPr>
                <w:color w:val="231F20"/>
                <w:spacing w:val="-4"/>
                <w:sz w:val="14"/>
              </w:rPr>
              <w:t xml:space="preserve"> </w:t>
            </w:r>
            <w:r>
              <w:rPr>
                <w:color w:val="231F20"/>
                <w:sz w:val="14"/>
              </w:rPr>
              <w:t>грађана.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type w:val="continuous"/>
          <w:pgSz w:w="11910" w:h="15710"/>
          <w:pgMar w:top="148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800"/>
        </w:trPr>
        <w:tc>
          <w:tcPr>
            <w:tcW w:w="1304" w:type="dxa"/>
          </w:tcPr>
          <w:p w:rsidR="00041039" w:rsidRDefault="001B26CB">
            <w:pPr>
              <w:pStyle w:val="TableParagraph"/>
              <w:spacing w:before="18"/>
              <w:ind w:left="56"/>
              <w:rPr>
                <w:sz w:val="14"/>
              </w:rPr>
            </w:pPr>
            <w:r>
              <w:rPr>
                <w:color w:val="231F20"/>
                <w:sz w:val="14"/>
              </w:rPr>
              <w:lastRenderedPageBreak/>
              <w:t>Култура и друштво</w:t>
            </w:r>
          </w:p>
        </w:tc>
        <w:tc>
          <w:tcPr>
            <w:tcW w:w="1587" w:type="dxa"/>
          </w:tcPr>
          <w:p w:rsidR="00041039" w:rsidRDefault="001B26CB">
            <w:pPr>
              <w:pStyle w:val="TableParagraph"/>
              <w:numPr>
                <w:ilvl w:val="0"/>
                <w:numId w:val="313"/>
              </w:numPr>
              <w:tabs>
                <w:tab w:val="left" w:pos="157"/>
              </w:tabs>
              <w:spacing w:before="8"/>
              <w:ind w:right="44"/>
              <w:rPr>
                <w:sz w:val="14"/>
              </w:rPr>
            </w:pPr>
            <w:r>
              <w:rPr>
                <w:color w:val="231F20"/>
                <w:sz w:val="14"/>
              </w:rPr>
              <w:t xml:space="preserve">Развијање знања о </w:t>
            </w:r>
            <w:r>
              <w:rPr>
                <w:color w:val="231F20"/>
                <w:spacing w:val="-3"/>
                <w:sz w:val="14"/>
              </w:rPr>
              <w:t xml:space="preserve">кул­ </w:t>
            </w:r>
            <w:r>
              <w:rPr>
                <w:color w:val="231F20"/>
                <w:sz w:val="14"/>
              </w:rPr>
              <w:t>турним</w:t>
            </w:r>
            <w:r>
              <w:rPr>
                <w:color w:val="231F20"/>
                <w:spacing w:val="-2"/>
                <w:sz w:val="14"/>
              </w:rPr>
              <w:t xml:space="preserve"> </w:t>
            </w:r>
            <w:r>
              <w:rPr>
                <w:color w:val="231F20"/>
                <w:sz w:val="14"/>
              </w:rPr>
              <w:t>тековинама.</w:t>
            </w:r>
          </w:p>
        </w:tc>
        <w:tc>
          <w:tcPr>
            <w:tcW w:w="2551" w:type="dxa"/>
          </w:tcPr>
          <w:p w:rsidR="00041039" w:rsidRDefault="001B26CB">
            <w:pPr>
              <w:pStyle w:val="TableParagraph"/>
              <w:numPr>
                <w:ilvl w:val="0"/>
                <w:numId w:val="312"/>
              </w:numPr>
              <w:tabs>
                <w:tab w:val="left" w:pos="157"/>
              </w:tabs>
              <w:spacing w:before="8"/>
              <w:ind w:right="380" w:hanging="99"/>
              <w:rPr>
                <w:sz w:val="14"/>
              </w:rPr>
            </w:pPr>
            <w:r>
              <w:rPr>
                <w:color w:val="231F20"/>
                <w:sz w:val="14"/>
              </w:rPr>
              <w:t>уочи разлику и сличности</w:t>
            </w:r>
            <w:r>
              <w:rPr>
                <w:color w:val="231F20"/>
                <w:spacing w:val="-11"/>
                <w:sz w:val="14"/>
              </w:rPr>
              <w:t xml:space="preserve"> </w:t>
            </w:r>
            <w:r>
              <w:rPr>
                <w:color w:val="231F20"/>
                <w:sz w:val="14"/>
              </w:rPr>
              <w:t>између културе и</w:t>
            </w:r>
            <w:r>
              <w:rPr>
                <w:color w:val="231F20"/>
                <w:spacing w:val="-4"/>
                <w:sz w:val="14"/>
              </w:rPr>
              <w:t xml:space="preserve"> </w:t>
            </w:r>
            <w:r>
              <w:rPr>
                <w:color w:val="231F20"/>
                <w:sz w:val="14"/>
              </w:rPr>
              <w:t>цивилизације;</w:t>
            </w:r>
          </w:p>
          <w:p w:rsidR="00041039" w:rsidRDefault="001B26CB">
            <w:pPr>
              <w:pStyle w:val="TableParagraph"/>
              <w:numPr>
                <w:ilvl w:val="0"/>
                <w:numId w:val="312"/>
              </w:numPr>
              <w:tabs>
                <w:tab w:val="left" w:pos="157"/>
              </w:tabs>
              <w:spacing w:line="160" w:lineRule="exact"/>
              <w:ind w:right="44" w:hanging="99"/>
              <w:rPr>
                <w:sz w:val="14"/>
              </w:rPr>
            </w:pPr>
            <w:r>
              <w:rPr>
                <w:color w:val="231F20"/>
                <w:sz w:val="14"/>
              </w:rPr>
              <w:t>схвати настанак религије и</w:t>
            </w:r>
            <w:r>
              <w:rPr>
                <w:color w:val="231F20"/>
                <w:spacing w:val="-23"/>
                <w:sz w:val="14"/>
              </w:rPr>
              <w:t xml:space="preserve"> </w:t>
            </w:r>
            <w:r>
              <w:rPr>
                <w:color w:val="231F20"/>
                <w:sz w:val="14"/>
              </w:rPr>
              <w:t>религијског мишљења;</w:t>
            </w:r>
          </w:p>
          <w:p w:rsidR="00041039" w:rsidRDefault="001B26CB">
            <w:pPr>
              <w:pStyle w:val="TableParagraph"/>
              <w:numPr>
                <w:ilvl w:val="0"/>
                <w:numId w:val="312"/>
              </w:numPr>
              <w:tabs>
                <w:tab w:val="left" w:pos="157"/>
              </w:tabs>
              <w:spacing w:line="160" w:lineRule="exact"/>
              <w:ind w:right="305" w:hanging="99"/>
              <w:rPr>
                <w:sz w:val="14"/>
              </w:rPr>
            </w:pPr>
            <w:r>
              <w:rPr>
                <w:color w:val="231F20"/>
                <w:sz w:val="14"/>
              </w:rPr>
              <w:t>идентификује монотеистичке религије и објасни специфичности хришћанства;</w:t>
            </w:r>
          </w:p>
          <w:p w:rsidR="00041039" w:rsidRDefault="001B26CB">
            <w:pPr>
              <w:pStyle w:val="TableParagraph"/>
              <w:numPr>
                <w:ilvl w:val="0"/>
                <w:numId w:val="312"/>
              </w:numPr>
              <w:tabs>
                <w:tab w:val="left" w:pos="157"/>
              </w:tabs>
              <w:spacing w:line="153" w:lineRule="exact"/>
              <w:ind w:hanging="99"/>
              <w:rPr>
                <w:sz w:val="14"/>
              </w:rPr>
            </w:pPr>
            <w:r>
              <w:rPr>
                <w:color w:val="231F20"/>
                <w:sz w:val="14"/>
              </w:rPr>
              <w:t>разликује обичај и</w:t>
            </w:r>
            <w:r>
              <w:rPr>
                <w:color w:val="231F20"/>
                <w:spacing w:val="-2"/>
                <w:sz w:val="14"/>
              </w:rPr>
              <w:t xml:space="preserve"> </w:t>
            </w:r>
            <w:r>
              <w:rPr>
                <w:color w:val="231F20"/>
                <w:sz w:val="14"/>
              </w:rPr>
              <w:t>морал;</w:t>
            </w:r>
          </w:p>
          <w:p w:rsidR="00041039" w:rsidRDefault="001B26CB">
            <w:pPr>
              <w:pStyle w:val="TableParagraph"/>
              <w:numPr>
                <w:ilvl w:val="0"/>
                <w:numId w:val="312"/>
              </w:numPr>
              <w:tabs>
                <w:tab w:val="left" w:pos="157"/>
              </w:tabs>
              <w:spacing w:line="237" w:lineRule="auto"/>
              <w:ind w:right="201" w:hanging="99"/>
              <w:rPr>
                <w:sz w:val="14"/>
              </w:rPr>
            </w:pPr>
            <w:r>
              <w:rPr>
                <w:color w:val="231F20"/>
                <w:sz w:val="14"/>
              </w:rPr>
              <w:t>схвати разлику између уметности, масовне</w:t>
            </w:r>
            <w:r>
              <w:rPr>
                <w:color w:val="231F20"/>
                <w:spacing w:val="-11"/>
                <w:sz w:val="14"/>
              </w:rPr>
              <w:t xml:space="preserve"> </w:t>
            </w:r>
            <w:r>
              <w:rPr>
                <w:color w:val="231F20"/>
                <w:sz w:val="14"/>
              </w:rPr>
              <w:t>културе,</w:t>
            </w:r>
            <w:r>
              <w:rPr>
                <w:color w:val="231F20"/>
                <w:spacing w:val="-11"/>
                <w:sz w:val="14"/>
              </w:rPr>
              <w:t xml:space="preserve"> </w:t>
            </w:r>
            <w:r>
              <w:rPr>
                <w:color w:val="231F20"/>
                <w:sz w:val="14"/>
              </w:rPr>
              <w:t>подкултуре,</w:t>
            </w:r>
            <w:r>
              <w:rPr>
                <w:color w:val="231F20"/>
                <w:spacing w:val="-11"/>
                <w:sz w:val="14"/>
              </w:rPr>
              <w:t xml:space="preserve"> </w:t>
            </w:r>
            <w:r>
              <w:rPr>
                <w:color w:val="231F20"/>
                <w:sz w:val="14"/>
              </w:rPr>
              <w:t>шунда и</w:t>
            </w:r>
            <w:r>
              <w:rPr>
                <w:color w:val="231F20"/>
                <w:spacing w:val="-1"/>
                <w:sz w:val="14"/>
              </w:rPr>
              <w:t xml:space="preserve"> </w:t>
            </w:r>
            <w:r>
              <w:rPr>
                <w:color w:val="231F20"/>
                <w:sz w:val="14"/>
              </w:rPr>
              <w:t>кича;</w:t>
            </w:r>
          </w:p>
        </w:tc>
        <w:tc>
          <w:tcPr>
            <w:tcW w:w="2834" w:type="dxa"/>
          </w:tcPr>
          <w:p w:rsidR="00041039" w:rsidRDefault="001B26CB">
            <w:pPr>
              <w:pStyle w:val="TableParagraph"/>
              <w:numPr>
                <w:ilvl w:val="0"/>
                <w:numId w:val="311"/>
              </w:numPr>
              <w:tabs>
                <w:tab w:val="left" w:pos="142"/>
              </w:tabs>
              <w:spacing w:before="18" w:line="161" w:lineRule="exact"/>
              <w:rPr>
                <w:sz w:val="14"/>
              </w:rPr>
            </w:pPr>
            <w:r>
              <w:rPr>
                <w:color w:val="231F20"/>
                <w:sz w:val="14"/>
              </w:rPr>
              <w:t>Појам културе и</w:t>
            </w:r>
            <w:r>
              <w:rPr>
                <w:color w:val="231F20"/>
                <w:spacing w:val="-6"/>
                <w:sz w:val="14"/>
              </w:rPr>
              <w:t xml:space="preserve"> </w:t>
            </w:r>
            <w:r>
              <w:rPr>
                <w:color w:val="231F20"/>
                <w:sz w:val="14"/>
              </w:rPr>
              <w:t>цивилизације.</w:t>
            </w:r>
          </w:p>
          <w:p w:rsidR="00041039" w:rsidRDefault="001B26CB">
            <w:pPr>
              <w:pStyle w:val="TableParagraph"/>
              <w:numPr>
                <w:ilvl w:val="0"/>
                <w:numId w:val="311"/>
              </w:numPr>
              <w:tabs>
                <w:tab w:val="left" w:pos="142"/>
              </w:tabs>
              <w:spacing w:line="160" w:lineRule="exact"/>
              <w:rPr>
                <w:sz w:val="14"/>
              </w:rPr>
            </w:pPr>
            <w:r>
              <w:rPr>
                <w:color w:val="231F20"/>
                <w:sz w:val="14"/>
              </w:rPr>
              <w:t>Религија.</w:t>
            </w:r>
          </w:p>
          <w:p w:rsidR="00041039" w:rsidRDefault="001B26CB">
            <w:pPr>
              <w:pStyle w:val="TableParagraph"/>
              <w:numPr>
                <w:ilvl w:val="0"/>
                <w:numId w:val="311"/>
              </w:numPr>
              <w:tabs>
                <w:tab w:val="left" w:pos="142"/>
              </w:tabs>
              <w:spacing w:line="160" w:lineRule="exact"/>
              <w:rPr>
                <w:sz w:val="14"/>
              </w:rPr>
            </w:pPr>
            <w:r>
              <w:rPr>
                <w:color w:val="231F20"/>
                <w:sz w:val="14"/>
              </w:rPr>
              <w:t>Настанак религијског</w:t>
            </w:r>
            <w:r>
              <w:rPr>
                <w:color w:val="231F20"/>
                <w:spacing w:val="-1"/>
                <w:sz w:val="14"/>
              </w:rPr>
              <w:t xml:space="preserve"> </w:t>
            </w:r>
            <w:r>
              <w:rPr>
                <w:color w:val="231F20"/>
                <w:sz w:val="14"/>
              </w:rPr>
              <w:t>мишљења.</w:t>
            </w:r>
          </w:p>
          <w:p w:rsidR="00041039" w:rsidRDefault="001B26CB">
            <w:pPr>
              <w:pStyle w:val="TableParagraph"/>
              <w:numPr>
                <w:ilvl w:val="0"/>
                <w:numId w:val="311"/>
              </w:numPr>
              <w:tabs>
                <w:tab w:val="left" w:pos="142"/>
              </w:tabs>
              <w:spacing w:line="160" w:lineRule="exact"/>
              <w:rPr>
                <w:sz w:val="14"/>
              </w:rPr>
            </w:pPr>
            <w:r>
              <w:rPr>
                <w:color w:val="231F20"/>
                <w:sz w:val="14"/>
              </w:rPr>
              <w:t>Монотеистич</w:t>
            </w:r>
            <w:r>
              <w:rPr>
                <w:color w:val="231F20"/>
                <w:sz w:val="14"/>
              </w:rPr>
              <w:t>ке</w:t>
            </w:r>
            <w:r>
              <w:rPr>
                <w:color w:val="231F20"/>
                <w:spacing w:val="-1"/>
                <w:sz w:val="14"/>
              </w:rPr>
              <w:t xml:space="preserve"> </w:t>
            </w:r>
            <w:r>
              <w:rPr>
                <w:color w:val="231F20"/>
                <w:sz w:val="14"/>
              </w:rPr>
              <w:t>религије.</w:t>
            </w:r>
          </w:p>
          <w:p w:rsidR="00041039" w:rsidRDefault="001B26CB">
            <w:pPr>
              <w:pStyle w:val="TableParagraph"/>
              <w:numPr>
                <w:ilvl w:val="0"/>
                <w:numId w:val="311"/>
              </w:numPr>
              <w:tabs>
                <w:tab w:val="left" w:pos="142"/>
              </w:tabs>
              <w:spacing w:line="160" w:lineRule="exact"/>
              <w:rPr>
                <w:sz w:val="14"/>
              </w:rPr>
            </w:pPr>
            <w:r>
              <w:rPr>
                <w:color w:val="231F20"/>
                <w:sz w:val="14"/>
              </w:rPr>
              <w:t>Хришћанство.</w:t>
            </w:r>
          </w:p>
          <w:p w:rsidR="00041039" w:rsidRDefault="001B26CB">
            <w:pPr>
              <w:pStyle w:val="TableParagraph"/>
              <w:numPr>
                <w:ilvl w:val="0"/>
                <w:numId w:val="311"/>
              </w:numPr>
              <w:tabs>
                <w:tab w:val="left" w:pos="142"/>
              </w:tabs>
              <w:spacing w:line="160" w:lineRule="exact"/>
              <w:rPr>
                <w:sz w:val="14"/>
              </w:rPr>
            </w:pPr>
            <w:r>
              <w:rPr>
                <w:color w:val="231F20"/>
                <w:sz w:val="14"/>
              </w:rPr>
              <w:t>Обичај и</w:t>
            </w:r>
            <w:r>
              <w:rPr>
                <w:color w:val="231F20"/>
                <w:spacing w:val="-3"/>
                <w:sz w:val="14"/>
              </w:rPr>
              <w:t xml:space="preserve"> </w:t>
            </w:r>
            <w:r>
              <w:rPr>
                <w:color w:val="231F20"/>
                <w:sz w:val="14"/>
              </w:rPr>
              <w:t>морал.</w:t>
            </w:r>
          </w:p>
          <w:p w:rsidR="00041039" w:rsidRDefault="001B26CB">
            <w:pPr>
              <w:pStyle w:val="TableParagraph"/>
              <w:numPr>
                <w:ilvl w:val="0"/>
                <w:numId w:val="311"/>
              </w:numPr>
              <w:tabs>
                <w:tab w:val="left" w:pos="142"/>
              </w:tabs>
              <w:spacing w:line="160" w:lineRule="exact"/>
              <w:rPr>
                <w:sz w:val="14"/>
              </w:rPr>
            </w:pPr>
            <w:r>
              <w:rPr>
                <w:color w:val="231F20"/>
                <w:spacing w:val="-3"/>
                <w:sz w:val="14"/>
              </w:rPr>
              <w:t>Уметност.</w:t>
            </w:r>
          </w:p>
          <w:p w:rsidR="00041039" w:rsidRDefault="001B26CB">
            <w:pPr>
              <w:pStyle w:val="TableParagraph"/>
              <w:numPr>
                <w:ilvl w:val="0"/>
                <w:numId w:val="311"/>
              </w:numPr>
              <w:tabs>
                <w:tab w:val="left" w:pos="142"/>
              </w:tabs>
              <w:spacing w:line="161" w:lineRule="exact"/>
              <w:rPr>
                <w:sz w:val="14"/>
              </w:rPr>
            </w:pPr>
            <w:r>
              <w:rPr>
                <w:color w:val="231F20"/>
                <w:sz w:val="14"/>
              </w:rPr>
              <w:t>Масовна</w:t>
            </w:r>
            <w:r>
              <w:rPr>
                <w:color w:val="231F20"/>
                <w:spacing w:val="-2"/>
                <w:sz w:val="14"/>
              </w:rPr>
              <w:t xml:space="preserve"> </w:t>
            </w:r>
            <w:r>
              <w:rPr>
                <w:color w:val="231F20"/>
                <w:sz w:val="14"/>
              </w:rPr>
              <w:t>култура.</w:t>
            </w:r>
          </w:p>
        </w:tc>
        <w:tc>
          <w:tcPr>
            <w:tcW w:w="2267" w:type="dxa"/>
            <w:vMerge w:val="restart"/>
          </w:tcPr>
          <w:p w:rsidR="00041039" w:rsidRDefault="00041039">
            <w:pPr>
              <w:pStyle w:val="TableParagraph"/>
              <w:ind w:left="0"/>
              <w:rPr>
                <w:sz w:val="14"/>
              </w:rPr>
            </w:pPr>
          </w:p>
        </w:tc>
      </w:tr>
      <w:tr w:rsidR="00041039">
        <w:trPr>
          <w:trHeight w:val="1640"/>
        </w:trPr>
        <w:tc>
          <w:tcPr>
            <w:tcW w:w="1304" w:type="dxa"/>
          </w:tcPr>
          <w:p w:rsidR="00041039" w:rsidRDefault="001B26CB">
            <w:pPr>
              <w:pStyle w:val="TableParagraph"/>
              <w:spacing w:before="18"/>
              <w:ind w:left="56" w:right="17"/>
              <w:rPr>
                <w:sz w:val="14"/>
              </w:rPr>
            </w:pPr>
            <w:r>
              <w:rPr>
                <w:color w:val="231F20"/>
                <w:sz w:val="14"/>
              </w:rPr>
              <w:t>Друштвене проме­ не и развој друштва</w:t>
            </w:r>
          </w:p>
        </w:tc>
        <w:tc>
          <w:tcPr>
            <w:tcW w:w="1587" w:type="dxa"/>
          </w:tcPr>
          <w:p w:rsidR="00041039" w:rsidRDefault="001B26CB">
            <w:pPr>
              <w:pStyle w:val="TableParagraph"/>
              <w:numPr>
                <w:ilvl w:val="0"/>
                <w:numId w:val="310"/>
              </w:numPr>
              <w:tabs>
                <w:tab w:val="left" w:pos="157"/>
              </w:tabs>
              <w:spacing w:before="8"/>
              <w:ind w:right="119"/>
              <w:rPr>
                <w:sz w:val="14"/>
              </w:rPr>
            </w:pPr>
            <w:r>
              <w:rPr>
                <w:color w:val="231F20"/>
                <w:sz w:val="14"/>
              </w:rPr>
              <w:t>Оспособљавање за живот у друштву изложеном сталним променама и</w:t>
            </w:r>
            <w:r>
              <w:rPr>
                <w:color w:val="231F20"/>
                <w:spacing w:val="-10"/>
                <w:sz w:val="14"/>
              </w:rPr>
              <w:t xml:space="preserve"> </w:t>
            </w:r>
            <w:r>
              <w:rPr>
                <w:color w:val="231F20"/>
                <w:sz w:val="14"/>
              </w:rPr>
              <w:t>изазови­ ма које доноси развој савременог</w:t>
            </w:r>
            <w:r>
              <w:rPr>
                <w:color w:val="231F20"/>
                <w:spacing w:val="-2"/>
                <w:sz w:val="14"/>
              </w:rPr>
              <w:t xml:space="preserve"> </w:t>
            </w:r>
            <w:r>
              <w:rPr>
                <w:color w:val="231F20"/>
                <w:sz w:val="14"/>
              </w:rPr>
              <w:t>друштва.</w:t>
            </w:r>
          </w:p>
          <w:p w:rsidR="00041039" w:rsidRDefault="001B26CB">
            <w:pPr>
              <w:pStyle w:val="TableParagraph"/>
              <w:numPr>
                <w:ilvl w:val="0"/>
                <w:numId w:val="310"/>
              </w:numPr>
              <w:tabs>
                <w:tab w:val="left" w:pos="157"/>
              </w:tabs>
              <w:spacing w:line="154"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80"/>
              <w:rPr>
                <w:sz w:val="14"/>
              </w:rPr>
            </w:pPr>
            <w:r>
              <w:rPr>
                <w:color w:val="231F20"/>
                <w:sz w:val="14"/>
              </w:rPr>
              <w:t>хоризонталној и вер­ тикалној покретљиво­ сти друштва.</w:t>
            </w:r>
          </w:p>
        </w:tc>
        <w:tc>
          <w:tcPr>
            <w:tcW w:w="2551" w:type="dxa"/>
          </w:tcPr>
          <w:p w:rsidR="00041039" w:rsidRDefault="001B26CB">
            <w:pPr>
              <w:pStyle w:val="TableParagraph"/>
              <w:numPr>
                <w:ilvl w:val="0"/>
                <w:numId w:val="309"/>
              </w:numPr>
              <w:tabs>
                <w:tab w:val="left" w:pos="157"/>
              </w:tabs>
              <w:spacing w:before="8" w:line="166" w:lineRule="exact"/>
              <w:ind w:hanging="99"/>
              <w:rPr>
                <w:sz w:val="14"/>
              </w:rPr>
            </w:pPr>
            <w:r>
              <w:rPr>
                <w:color w:val="231F20"/>
                <w:sz w:val="14"/>
              </w:rPr>
              <w:t>идентификује друштвене</w:t>
            </w:r>
            <w:r>
              <w:rPr>
                <w:color w:val="231F20"/>
                <w:spacing w:val="-4"/>
                <w:sz w:val="14"/>
              </w:rPr>
              <w:t xml:space="preserve"> </w:t>
            </w:r>
            <w:r>
              <w:rPr>
                <w:color w:val="231F20"/>
                <w:sz w:val="14"/>
              </w:rPr>
              <w:t>промене;</w:t>
            </w:r>
          </w:p>
          <w:p w:rsidR="00041039" w:rsidRDefault="001B26CB">
            <w:pPr>
              <w:pStyle w:val="TableParagraph"/>
              <w:numPr>
                <w:ilvl w:val="0"/>
                <w:numId w:val="309"/>
              </w:numPr>
              <w:tabs>
                <w:tab w:val="left" w:pos="157"/>
              </w:tabs>
              <w:spacing w:line="237" w:lineRule="auto"/>
              <w:ind w:right="155" w:hanging="99"/>
              <w:rPr>
                <w:sz w:val="14"/>
              </w:rPr>
            </w:pPr>
            <w:r>
              <w:rPr>
                <w:color w:val="231F20"/>
                <w:sz w:val="14"/>
              </w:rPr>
              <w:t>зна основне карактеристике</w:t>
            </w:r>
            <w:r>
              <w:rPr>
                <w:color w:val="231F20"/>
                <w:spacing w:val="-15"/>
                <w:sz w:val="14"/>
              </w:rPr>
              <w:t xml:space="preserve"> </w:t>
            </w:r>
            <w:r>
              <w:rPr>
                <w:color w:val="231F20"/>
                <w:sz w:val="14"/>
              </w:rPr>
              <w:t>хоризон­ талне и вертикалне</w:t>
            </w:r>
            <w:r>
              <w:rPr>
                <w:color w:val="231F20"/>
                <w:spacing w:val="-10"/>
                <w:sz w:val="14"/>
              </w:rPr>
              <w:t xml:space="preserve"> </w:t>
            </w:r>
            <w:r>
              <w:rPr>
                <w:color w:val="231F20"/>
                <w:sz w:val="14"/>
              </w:rPr>
              <w:t>покретљивости;</w:t>
            </w:r>
          </w:p>
          <w:p w:rsidR="00041039" w:rsidRDefault="001B26CB">
            <w:pPr>
              <w:pStyle w:val="TableParagraph"/>
              <w:numPr>
                <w:ilvl w:val="0"/>
                <w:numId w:val="309"/>
              </w:numPr>
              <w:tabs>
                <w:tab w:val="left" w:pos="157"/>
              </w:tabs>
              <w:spacing w:line="155" w:lineRule="exact"/>
              <w:ind w:hanging="99"/>
              <w:rPr>
                <w:sz w:val="14"/>
              </w:rPr>
            </w:pPr>
            <w:r>
              <w:rPr>
                <w:color w:val="231F20"/>
                <w:sz w:val="14"/>
              </w:rPr>
              <w:t>препозна друштвени</w:t>
            </w:r>
            <w:r>
              <w:rPr>
                <w:color w:val="231F20"/>
                <w:spacing w:val="-2"/>
                <w:sz w:val="14"/>
              </w:rPr>
              <w:t xml:space="preserve"> </w:t>
            </w:r>
            <w:r>
              <w:rPr>
                <w:color w:val="231F20"/>
                <w:sz w:val="14"/>
              </w:rPr>
              <w:t>развој;</w:t>
            </w:r>
          </w:p>
          <w:p w:rsidR="00041039" w:rsidRDefault="001B26CB">
            <w:pPr>
              <w:pStyle w:val="TableParagraph"/>
              <w:numPr>
                <w:ilvl w:val="0"/>
                <w:numId w:val="309"/>
              </w:numPr>
              <w:tabs>
                <w:tab w:val="left" w:pos="157"/>
              </w:tabs>
              <w:spacing w:line="237" w:lineRule="auto"/>
              <w:ind w:right="371" w:hanging="99"/>
              <w:rPr>
                <w:sz w:val="14"/>
              </w:rPr>
            </w:pPr>
            <w:r>
              <w:rPr>
                <w:color w:val="231F20"/>
                <w:sz w:val="14"/>
              </w:rPr>
              <w:t>формира став према савременим тенденцијама у развоју</w:t>
            </w:r>
            <w:r>
              <w:rPr>
                <w:color w:val="231F20"/>
                <w:spacing w:val="-15"/>
                <w:sz w:val="14"/>
              </w:rPr>
              <w:t xml:space="preserve"> </w:t>
            </w:r>
            <w:r>
              <w:rPr>
                <w:color w:val="231F20"/>
                <w:sz w:val="14"/>
              </w:rPr>
              <w:t>глобалног друштва;</w:t>
            </w:r>
          </w:p>
        </w:tc>
        <w:tc>
          <w:tcPr>
            <w:tcW w:w="2834" w:type="dxa"/>
          </w:tcPr>
          <w:p w:rsidR="00041039" w:rsidRDefault="001B26CB">
            <w:pPr>
              <w:pStyle w:val="TableParagraph"/>
              <w:numPr>
                <w:ilvl w:val="0"/>
                <w:numId w:val="308"/>
              </w:numPr>
              <w:tabs>
                <w:tab w:val="left" w:pos="157"/>
              </w:tabs>
              <w:spacing w:before="8" w:line="166" w:lineRule="exact"/>
              <w:ind w:hanging="99"/>
              <w:rPr>
                <w:sz w:val="14"/>
              </w:rPr>
            </w:pPr>
            <w:r>
              <w:rPr>
                <w:color w:val="231F20"/>
                <w:sz w:val="14"/>
              </w:rPr>
              <w:t>Појам и врсте друштвених</w:t>
            </w:r>
            <w:r>
              <w:rPr>
                <w:color w:val="231F20"/>
                <w:spacing w:val="-7"/>
                <w:sz w:val="14"/>
              </w:rPr>
              <w:t xml:space="preserve"> </w:t>
            </w:r>
            <w:r>
              <w:rPr>
                <w:color w:val="231F20"/>
                <w:sz w:val="14"/>
              </w:rPr>
              <w:t>промена.</w:t>
            </w:r>
          </w:p>
          <w:p w:rsidR="00041039" w:rsidRDefault="001B26CB">
            <w:pPr>
              <w:pStyle w:val="TableParagraph"/>
              <w:numPr>
                <w:ilvl w:val="0"/>
                <w:numId w:val="308"/>
              </w:numPr>
              <w:tabs>
                <w:tab w:val="left" w:pos="157"/>
              </w:tabs>
              <w:spacing w:line="160" w:lineRule="exact"/>
              <w:ind w:hanging="99"/>
              <w:rPr>
                <w:sz w:val="14"/>
              </w:rPr>
            </w:pPr>
            <w:r>
              <w:rPr>
                <w:color w:val="231F20"/>
                <w:sz w:val="14"/>
              </w:rPr>
              <w:t>Друштвена</w:t>
            </w:r>
            <w:r>
              <w:rPr>
                <w:color w:val="231F20"/>
                <w:spacing w:val="-1"/>
                <w:sz w:val="14"/>
              </w:rPr>
              <w:t xml:space="preserve"> </w:t>
            </w:r>
            <w:r>
              <w:rPr>
                <w:color w:val="231F20"/>
                <w:sz w:val="14"/>
              </w:rPr>
              <w:t>покретљивост.</w:t>
            </w:r>
          </w:p>
          <w:p w:rsidR="00041039" w:rsidRDefault="001B26CB">
            <w:pPr>
              <w:pStyle w:val="TableParagraph"/>
              <w:numPr>
                <w:ilvl w:val="0"/>
                <w:numId w:val="308"/>
              </w:numPr>
              <w:tabs>
                <w:tab w:val="left" w:pos="157"/>
              </w:tabs>
              <w:spacing w:line="166" w:lineRule="exact"/>
              <w:ind w:hanging="99"/>
              <w:rPr>
                <w:sz w:val="14"/>
              </w:rPr>
            </w:pPr>
            <w:r>
              <w:rPr>
                <w:color w:val="231F20"/>
                <w:sz w:val="14"/>
              </w:rPr>
              <w:t>Друштвени</w:t>
            </w:r>
            <w:r>
              <w:rPr>
                <w:color w:val="231F20"/>
                <w:spacing w:val="-1"/>
                <w:sz w:val="14"/>
              </w:rPr>
              <w:t xml:space="preserve"> </w:t>
            </w:r>
            <w:r>
              <w:rPr>
                <w:color w:val="231F20"/>
                <w:sz w:val="14"/>
              </w:rPr>
              <w:t>развој.</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Историја</w:t>
      </w:r>
    </w:p>
    <w:p w:rsidR="00041039" w:rsidRDefault="001B26CB">
      <w:pPr>
        <w:pStyle w:val="ListParagraph"/>
        <w:numPr>
          <w:ilvl w:val="0"/>
          <w:numId w:val="1"/>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1"/>
        </w:numPr>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numPr>
          <w:ilvl w:val="0"/>
          <w:numId w:val="1"/>
        </w:numPr>
        <w:tabs>
          <w:tab w:val="left" w:pos="633"/>
        </w:tabs>
        <w:spacing w:line="203" w:lineRule="exact"/>
        <w:rPr>
          <w:sz w:val="18"/>
        </w:rPr>
      </w:pPr>
      <w:r>
        <w:rPr>
          <w:color w:val="231F20"/>
          <w:sz w:val="18"/>
        </w:rPr>
        <w:t>Социјална</w:t>
      </w:r>
      <w:r>
        <w:rPr>
          <w:color w:val="231F20"/>
          <w:spacing w:val="-2"/>
          <w:sz w:val="18"/>
        </w:rPr>
        <w:t xml:space="preserve"> </w:t>
      </w:r>
      <w:r>
        <w:rPr>
          <w:color w:val="231F20"/>
          <w:sz w:val="18"/>
        </w:rPr>
        <w:t>патологија</w:t>
      </w:r>
    </w:p>
    <w:p w:rsidR="00041039" w:rsidRDefault="001B26CB">
      <w:pPr>
        <w:spacing w:before="163"/>
        <w:ind w:left="2815"/>
        <w:rPr>
          <w:b/>
          <w:sz w:val="18"/>
        </w:rPr>
      </w:pPr>
      <w:r>
        <w:rPr>
          <w:b/>
          <w:color w:val="231F20"/>
          <w:sz w:val="18"/>
        </w:rPr>
        <w:t>Б: ИЗБОРНИ ОБАВЕЗНИ ОПШТЕОБРАЗОВНИ ПРЕДМЕТИ</w:t>
      </w:r>
    </w:p>
    <w:p w:rsidR="00041039" w:rsidRDefault="00041039">
      <w:pPr>
        <w:pStyle w:val="BodyText"/>
        <w:rPr>
          <w:b/>
          <w:sz w:val="23"/>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pStyle w:val="BodyText"/>
        <w:spacing w:before="49"/>
        <w:ind w:left="1565" w:hanging="1409"/>
      </w:pPr>
      <w:r>
        <w:rPr>
          <w:color w:val="231F20"/>
        </w:rPr>
        <w:t>Циљеви предмета: – Стицање знања, развијање вештина, усвајање вредности и формирање ставова који су претпоставка за успешан, одговоран и ангажован живот у демократском друштву;</w:t>
      </w:r>
    </w:p>
    <w:p w:rsidR="00041039" w:rsidRDefault="001B26CB">
      <w:pPr>
        <w:pStyle w:val="ListParagraph"/>
        <w:numPr>
          <w:ilvl w:val="1"/>
          <w:numId w:val="1"/>
        </w:numPr>
        <w:tabs>
          <w:tab w:val="left" w:pos="1566"/>
        </w:tabs>
        <w:spacing w:line="159" w:lineRule="exact"/>
        <w:rPr>
          <w:sz w:val="14"/>
        </w:rPr>
      </w:pPr>
      <w:r>
        <w:rPr>
          <w:color w:val="231F20"/>
          <w:sz w:val="14"/>
        </w:rPr>
        <w:t>Оснаживање ученика за поштовање, одбрану и афирмацију вредности демократског</w:t>
      </w:r>
      <w:r>
        <w:rPr>
          <w:color w:val="231F20"/>
          <w:spacing w:val="-6"/>
          <w:sz w:val="14"/>
        </w:rPr>
        <w:t xml:space="preserve"> </w:t>
      </w:r>
      <w:r>
        <w:rPr>
          <w:color w:val="231F20"/>
          <w:sz w:val="14"/>
        </w:rPr>
        <w:t>д</w:t>
      </w:r>
      <w:r>
        <w:rPr>
          <w:color w:val="231F20"/>
          <w:sz w:val="14"/>
        </w:rPr>
        <w:t>руштва;</w:t>
      </w:r>
    </w:p>
    <w:p w:rsidR="00041039" w:rsidRDefault="001B26CB">
      <w:pPr>
        <w:pStyle w:val="ListParagraph"/>
        <w:numPr>
          <w:ilvl w:val="1"/>
          <w:numId w:val="1"/>
        </w:numPr>
        <w:tabs>
          <w:tab w:val="left" w:pos="1566"/>
        </w:tabs>
        <w:spacing w:line="161" w:lineRule="exact"/>
        <w:rPr>
          <w:sz w:val="14"/>
        </w:rPr>
      </w:pPr>
      <w:r>
        <w:rPr>
          <w:color w:val="231F20"/>
          <w:sz w:val="14"/>
        </w:rPr>
        <w:t xml:space="preserve">Јачање друштвене </w:t>
      </w:r>
      <w:r>
        <w:rPr>
          <w:color w:val="231F20"/>
          <w:spacing w:val="-3"/>
          <w:sz w:val="14"/>
        </w:rPr>
        <w:t xml:space="preserve">кохезије, </w:t>
      </w:r>
      <w:r>
        <w:rPr>
          <w:color w:val="231F20"/>
          <w:sz w:val="14"/>
        </w:rPr>
        <w:t>уважавање различитости и подршка сузбијању сваког облика дискриминације и</w:t>
      </w:r>
      <w:r>
        <w:rPr>
          <w:color w:val="231F20"/>
          <w:spacing w:val="-7"/>
          <w:sz w:val="14"/>
        </w:rPr>
        <w:t xml:space="preserve"> </w:t>
      </w:r>
      <w:r>
        <w:rPr>
          <w:color w:val="231F20"/>
          <w:sz w:val="14"/>
        </w:rPr>
        <w:t>насиља.</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0" w:right="430"/>
              <w:jc w:val="right"/>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960"/>
        </w:trPr>
        <w:tc>
          <w:tcPr>
            <w:tcW w:w="1304" w:type="dxa"/>
          </w:tcPr>
          <w:p w:rsidR="00041039" w:rsidRDefault="001B26CB">
            <w:pPr>
              <w:pStyle w:val="TableParagraph"/>
              <w:spacing w:before="18"/>
              <w:ind w:left="0" w:right="398"/>
              <w:jc w:val="right"/>
              <w:rPr>
                <w:sz w:val="14"/>
              </w:rPr>
            </w:pPr>
            <w:r>
              <w:rPr>
                <w:color w:val="231F20"/>
                <w:sz w:val="14"/>
              </w:rPr>
              <w:t>Ја, ми и други</w:t>
            </w:r>
          </w:p>
        </w:tc>
        <w:tc>
          <w:tcPr>
            <w:tcW w:w="1587" w:type="dxa"/>
          </w:tcPr>
          <w:p w:rsidR="00041039" w:rsidRDefault="001B26CB">
            <w:pPr>
              <w:pStyle w:val="TableParagraph"/>
              <w:numPr>
                <w:ilvl w:val="0"/>
                <w:numId w:val="307"/>
              </w:numPr>
              <w:tabs>
                <w:tab w:val="left" w:pos="157"/>
              </w:tabs>
              <w:spacing w:before="8"/>
              <w:ind w:right="120"/>
              <w:rPr>
                <w:sz w:val="14"/>
              </w:rPr>
            </w:pPr>
            <w:r>
              <w:rPr>
                <w:color w:val="231F20"/>
                <w:sz w:val="14"/>
              </w:rPr>
              <w:t>Подстицање ученика на међусобно упозна­ вање.</w:t>
            </w:r>
          </w:p>
          <w:p w:rsidR="00041039" w:rsidRDefault="001B26CB">
            <w:pPr>
              <w:pStyle w:val="TableParagraph"/>
              <w:numPr>
                <w:ilvl w:val="0"/>
                <w:numId w:val="307"/>
              </w:numPr>
              <w:tabs>
                <w:tab w:val="left" w:pos="157"/>
              </w:tabs>
              <w:spacing w:line="157" w:lineRule="exact"/>
              <w:rPr>
                <w:sz w:val="14"/>
              </w:rPr>
            </w:pPr>
            <w:r>
              <w:rPr>
                <w:color w:val="231F20"/>
                <w:sz w:val="14"/>
              </w:rPr>
              <w:t>Подстицање</w:t>
            </w:r>
            <w:r>
              <w:rPr>
                <w:color w:val="231F20"/>
                <w:spacing w:val="-2"/>
                <w:sz w:val="14"/>
              </w:rPr>
              <w:t xml:space="preserve"> </w:t>
            </w:r>
            <w:r>
              <w:rPr>
                <w:color w:val="231F20"/>
                <w:sz w:val="14"/>
              </w:rPr>
              <w:t>ученика</w:t>
            </w:r>
          </w:p>
          <w:p w:rsidR="00041039" w:rsidRDefault="001B26CB">
            <w:pPr>
              <w:pStyle w:val="TableParagraph"/>
              <w:ind w:right="246"/>
              <w:jc w:val="both"/>
              <w:rPr>
                <w:sz w:val="14"/>
              </w:rPr>
            </w:pPr>
            <w:r>
              <w:rPr>
                <w:color w:val="231F20"/>
                <w:sz w:val="14"/>
              </w:rPr>
              <w:t>да сагледају међу­ собне сличности и разлике и уваже</w:t>
            </w:r>
            <w:r>
              <w:rPr>
                <w:color w:val="231F20"/>
                <w:spacing w:val="-12"/>
                <w:sz w:val="14"/>
              </w:rPr>
              <w:t xml:space="preserve"> </w:t>
            </w:r>
            <w:r>
              <w:rPr>
                <w:color w:val="231F20"/>
                <w:sz w:val="14"/>
              </w:rPr>
              <w:t>их.</w:t>
            </w:r>
          </w:p>
          <w:p w:rsidR="00041039" w:rsidRDefault="001B26CB">
            <w:pPr>
              <w:pStyle w:val="TableParagraph"/>
              <w:numPr>
                <w:ilvl w:val="0"/>
                <w:numId w:val="307"/>
              </w:numPr>
              <w:tabs>
                <w:tab w:val="left" w:pos="157"/>
              </w:tabs>
              <w:spacing w:line="158" w:lineRule="exact"/>
              <w:rPr>
                <w:sz w:val="14"/>
              </w:rPr>
            </w:pPr>
            <w:r>
              <w:rPr>
                <w:color w:val="231F20"/>
                <w:sz w:val="14"/>
              </w:rPr>
              <w:t>Развој</w:t>
            </w:r>
            <w:r>
              <w:rPr>
                <w:color w:val="231F20"/>
                <w:spacing w:val="-17"/>
                <w:sz w:val="14"/>
              </w:rPr>
              <w:t xml:space="preserve"> </w:t>
            </w:r>
            <w:r>
              <w:rPr>
                <w:color w:val="231F20"/>
                <w:sz w:val="14"/>
              </w:rPr>
              <w:t>негативног</w:t>
            </w:r>
          </w:p>
          <w:p w:rsidR="00041039" w:rsidRDefault="001B26CB">
            <w:pPr>
              <w:pStyle w:val="TableParagraph"/>
              <w:ind w:right="15"/>
              <w:rPr>
                <w:sz w:val="14"/>
              </w:rPr>
            </w:pPr>
            <w:r>
              <w:rPr>
                <w:color w:val="231F20"/>
                <w:sz w:val="14"/>
              </w:rPr>
              <w:t>става према било ком облику дискримина­ ције.</w:t>
            </w:r>
          </w:p>
        </w:tc>
        <w:tc>
          <w:tcPr>
            <w:tcW w:w="2551" w:type="dxa"/>
          </w:tcPr>
          <w:p w:rsidR="00041039" w:rsidRDefault="001B26CB">
            <w:pPr>
              <w:pStyle w:val="TableParagraph"/>
              <w:numPr>
                <w:ilvl w:val="0"/>
                <w:numId w:val="306"/>
              </w:numPr>
              <w:tabs>
                <w:tab w:val="left" w:pos="157"/>
              </w:tabs>
              <w:spacing w:before="8"/>
              <w:ind w:right="101" w:hanging="99"/>
              <w:rPr>
                <w:sz w:val="14"/>
              </w:rPr>
            </w:pPr>
            <w:r>
              <w:rPr>
                <w:color w:val="231F20"/>
                <w:sz w:val="14"/>
              </w:rPr>
              <w:t>анализира своје особине и да их пред­ стави</w:t>
            </w:r>
            <w:r>
              <w:rPr>
                <w:color w:val="231F20"/>
                <w:spacing w:val="-1"/>
                <w:sz w:val="14"/>
              </w:rPr>
              <w:t xml:space="preserve"> </w:t>
            </w:r>
            <w:r>
              <w:rPr>
                <w:color w:val="231F20"/>
                <w:sz w:val="14"/>
              </w:rPr>
              <w:t>другима;</w:t>
            </w:r>
          </w:p>
          <w:p w:rsidR="00041039" w:rsidRDefault="001B26CB">
            <w:pPr>
              <w:pStyle w:val="TableParagraph"/>
              <w:numPr>
                <w:ilvl w:val="0"/>
                <w:numId w:val="306"/>
              </w:numPr>
              <w:tabs>
                <w:tab w:val="left" w:pos="157"/>
              </w:tabs>
              <w:spacing w:line="160" w:lineRule="exact"/>
              <w:ind w:right="391" w:hanging="99"/>
              <w:rPr>
                <w:sz w:val="14"/>
              </w:rPr>
            </w:pPr>
            <w:r>
              <w:rPr>
                <w:color w:val="231F20"/>
                <w:sz w:val="14"/>
              </w:rPr>
              <w:t>препозна, анализира сличности и разлике унутар</w:t>
            </w:r>
            <w:r>
              <w:rPr>
                <w:color w:val="231F20"/>
                <w:spacing w:val="-1"/>
                <w:sz w:val="14"/>
              </w:rPr>
              <w:t xml:space="preserve"> </w:t>
            </w:r>
            <w:r>
              <w:rPr>
                <w:color w:val="231F20"/>
                <w:sz w:val="14"/>
              </w:rPr>
              <w:t>групе;</w:t>
            </w:r>
          </w:p>
          <w:p w:rsidR="00041039" w:rsidRDefault="001B26CB">
            <w:pPr>
              <w:pStyle w:val="TableParagraph"/>
              <w:numPr>
                <w:ilvl w:val="0"/>
                <w:numId w:val="306"/>
              </w:numPr>
              <w:tabs>
                <w:tab w:val="left" w:pos="157"/>
              </w:tabs>
              <w:spacing w:line="160" w:lineRule="exact"/>
              <w:ind w:right="51" w:hanging="99"/>
              <w:rPr>
                <w:sz w:val="14"/>
              </w:rPr>
            </w:pPr>
            <w:r>
              <w:rPr>
                <w:color w:val="231F20"/>
                <w:sz w:val="14"/>
              </w:rPr>
              <w:t>прихвати</w:t>
            </w:r>
            <w:r>
              <w:rPr>
                <w:color w:val="231F20"/>
                <w:spacing w:val="-6"/>
                <w:sz w:val="14"/>
              </w:rPr>
              <w:t xml:space="preserve"> </w:t>
            </w:r>
            <w:r>
              <w:rPr>
                <w:color w:val="231F20"/>
                <w:sz w:val="14"/>
              </w:rPr>
              <w:t>друге</w:t>
            </w:r>
            <w:r>
              <w:rPr>
                <w:color w:val="231F20"/>
                <w:spacing w:val="-6"/>
                <w:sz w:val="14"/>
              </w:rPr>
              <w:t xml:space="preserve"> </w:t>
            </w:r>
            <w:r>
              <w:rPr>
                <w:color w:val="231F20"/>
                <w:sz w:val="14"/>
              </w:rPr>
              <w:t>ученике</w:t>
            </w:r>
            <w:r>
              <w:rPr>
                <w:color w:val="231F20"/>
                <w:spacing w:val="-6"/>
                <w:sz w:val="14"/>
              </w:rPr>
              <w:t xml:space="preserve"> </w:t>
            </w:r>
            <w:r>
              <w:rPr>
                <w:color w:val="231F20"/>
                <w:sz w:val="14"/>
              </w:rPr>
              <w:t>и</w:t>
            </w:r>
            <w:r>
              <w:rPr>
                <w:color w:val="231F20"/>
                <w:spacing w:val="-7"/>
                <w:sz w:val="14"/>
              </w:rPr>
              <w:t xml:space="preserve"> </w:t>
            </w:r>
            <w:r>
              <w:rPr>
                <w:color w:val="231F20"/>
                <w:sz w:val="14"/>
              </w:rPr>
              <w:t>уважи</w:t>
            </w:r>
            <w:r>
              <w:rPr>
                <w:color w:val="231F20"/>
                <w:spacing w:val="-6"/>
                <w:sz w:val="14"/>
              </w:rPr>
              <w:t xml:space="preserve"> </w:t>
            </w:r>
            <w:r>
              <w:rPr>
                <w:color w:val="231F20"/>
                <w:sz w:val="14"/>
              </w:rPr>
              <w:t xml:space="preserve">њихо­ </w:t>
            </w:r>
            <w:r>
              <w:rPr>
                <w:color w:val="231F20"/>
                <w:spacing w:val="-3"/>
                <w:sz w:val="14"/>
              </w:rPr>
              <w:t>ву</w:t>
            </w:r>
            <w:r>
              <w:rPr>
                <w:color w:val="231F20"/>
                <w:sz w:val="14"/>
              </w:rPr>
              <w:t xml:space="preserve"> различитост;</w:t>
            </w:r>
          </w:p>
          <w:p w:rsidR="00041039" w:rsidRDefault="001B26CB">
            <w:pPr>
              <w:pStyle w:val="TableParagraph"/>
              <w:numPr>
                <w:ilvl w:val="0"/>
                <w:numId w:val="306"/>
              </w:numPr>
              <w:tabs>
                <w:tab w:val="left" w:pos="157"/>
              </w:tabs>
              <w:spacing w:line="160" w:lineRule="exact"/>
              <w:ind w:right="303" w:hanging="99"/>
              <w:rPr>
                <w:sz w:val="14"/>
              </w:rPr>
            </w:pPr>
            <w:r>
              <w:rPr>
                <w:color w:val="231F20"/>
                <w:sz w:val="14"/>
              </w:rPr>
              <w:t>препозна предрасуде, стереотипе, дискриминацију, нетолеранцију</w:t>
            </w:r>
            <w:r>
              <w:rPr>
                <w:color w:val="231F20"/>
                <w:spacing w:val="-26"/>
                <w:sz w:val="14"/>
              </w:rPr>
              <w:t xml:space="preserve"> </w:t>
            </w:r>
            <w:r>
              <w:rPr>
                <w:color w:val="231F20"/>
                <w:sz w:val="14"/>
              </w:rPr>
              <w:t>по различитим основама;</w:t>
            </w:r>
          </w:p>
          <w:p w:rsidR="00041039" w:rsidRDefault="001B26CB">
            <w:pPr>
              <w:pStyle w:val="TableParagraph"/>
              <w:numPr>
                <w:ilvl w:val="0"/>
                <w:numId w:val="306"/>
              </w:numPr>
              <w:tabs>
                <w:tab w:val="left" w:pos="157"/>
              </w:tabs>
              <w:spacing w:line="160" w:lineRule="exact"/>
              <w:ind w:right="144" w:hanging="99"/>
              <w:rPr>
                <w:sz w:val="14"/>
              </w:rPr>
            </w:pPr>
            <w:r>
              <w:rPr>
                <w:color w:val="231F20"/>
                <w:sz w:val="14"/>
              </w:rPr>
              <w:t>сагледа могуће последице</w:t>
            </w:r>
            <w:r>
              <w:rPr>
                <w:color w:val="231F20"/>
                <w:spacing w:val="-19"/>
                <w:sz w:val="14"/>
              </w:rPr>
              <w:t xml:space="preserve"> </w:t>
            </w:r>
            <w:r>
              <w:rPr>
                <w:color w:val="231F20"/>
                <w:sz w:val="14"/>
              </w:rPr>
              <w:t>нетолеран­ ције, дискриминације, стереотипа, предрасуда и</w:t>
            </w:r>
            <w:r>
              <w:rPr>
                <w:color w:val="231F20"/>
                <w:spacing w:val="-3"/>
                <w:sz w:val="14"/>
              </w:rPr>
              <w:t xml:space="preserve"> </w:t>
            </w:r>
            <w:r>
              <w:rPr>
                <w:color w:val="231F20"/>
                <w:sz w:val="14"/>
              </w:rPr>
              <w:t>начине;</w:t>
            </w:r>
          </w:p>
        </w:tc>
        <w:tc>
          <w:tcPr>
            <w:tcW w:w="2834" w:type="dxa"/>
          </w:tcPr>
          <w:p w:rsidR="00041039" w:rsidRDefault="001B26CB">
            <w:pPr>
              <w:pStyle w:val="TableParagraph"/>
              <w:numPr>
                <w:ilvl w:val="0"/>
                <w:numId w:val="305"/>
              </w:numPr>
              <w:tabs>
                <w:tab w:val="left" w:pos="157"/>
              </w:tabs>
              <w:spacing w:before="8" w:line="166" w:lineRule="exact"/>
              <w:ind w:hanging="99"/>
              <w:rPr>
                <w:sz w:val="14"/>
              </w:rPr>
            </w:pPr>
            <w:r>
              <w:rPr>
                <w:color w:val="231F20"/>
                <w:sz w:val="14"/>
              </w:rPr>
              <w:t>Лични</w:t>
            </w:r>
            <w:r>
              <w:rPr>
                <w:color w:val="231F20"/>
                <w:spacing w:val="-2"/>
                <w:sz w:val="14"/>
              </w:rPr>
              <w:t xml:space="preserve"> </w:t>
            </w:r>
            <w:r>
              <w:rPr>
                <w:color w:val="231F20"/>
                <w:sz w:val="14"/>
              </w:rPr>
              <w:t>идентитет.</w:t>
            </w:r>
          </w:p>
          <w:p w:rsidR="00041039" w:rsidRDefault="001B26CB">
            <w:pPr>
              <w:pStyle w:val="TableParagraph"/>
              <w:numPr>
                <w:ilvl w:val="0"/>
                <w:numId w:val="305"/>
              </w:numPr>
              <w:tabs>
                <w:tab w:val="left" w:pos="157"/>
              </w:tabs>
              <w:spacing w:line="160" w:lineRule="exact"/>
              <w:ind w:hanging="99"/>
              <w:rPr>
                <w:sz w:val="14"/>
              </w:rPr>
            </w:pPr>
            <w:r>
              <w:rPr>
                <w:color w:val="231F20"/>
                <w:sz w:val="14"/>
              </w:rPr>
              <w:t>Откривање и уважавање</w:t>
            </w:r>
            <w:r>
              <w:rPr>
                <w:color w:val="231F20"/>
                <w:spacing w:val="-3"/>
                <w:sz w:val="14"/>
              </w:rPr>
              <w:t xml:space="preserve"> </w:t>
            </w:r>
            <w:r>
              <w:rPr>
                <w:color w:val="231F20"/>
                <w:sz w:val="14"/>
              </w:rPr>
              <w:t>разлика.</w:t>
            </w:r>
          </w:p>
          <w:p w:rsidR="00041039" w:rsidRDefault="001B26CB">
            <w:pPr>
              <w:pStyle w:val="TableParagraph"/>
              <w:numPr>
                <w:ilvl w:val="0"/>
                <w:numId w:val="305"/>
              </w:numPr>
              <w:tabs>
                <w:tab w:val="left" w:pos="157"/>
              </w:tabs>
              <w:spacing w:line="160" w:lineRule="exact"/>
              <w:ind w:hanging="99"/>
              <w:rPr>
                <w:sz w:val="14"/>
              </w:rPr>
            </w:pPr>
            <w:r>
              <w:rPr>
                <w:color w:val="231F20"/>
                <w:sz w:val="14"/>
              </w:rPr>
              <w:t>Групна</w:t>
            </w:r>
            <w:r>
              <w:rPr>
                <w:color w:val="231F20"/>
                <w:spacing w:val="-1"/>
                <w:sz w:val="14"/>
              </w:rPr>
              <w:t xml:space="preserve"> </w:t>
            </w:r>
            <w:r>
              <w:rPr>
                <w:color w:val="231F20"/>
                <w:sz w:val="14"/>
              </w:rPr>
              <w:t>припадност.</w:t>
            </w:r>
          </w:p>
          <w:p w:rsidR="00041039" w:rsidRDefault="001B26CB">
            <w:pPr>
              <w:pStyle w:val="TableParagraph"/>
              <w:numPr>
                <w:ilvl w:val="0"/>
                <w:numId w:val="305"/>
              </w:numPr>
              <w:tabs>
                <w:tab w:val="left" w:pos="157"/>
              </w:tabs>
              <w:spacing w:line="160" w:lineRule="exact"/>
              <w:ind w:hanging="99"/>
              <w:rPr>
                <w:sz w:val="14"/>
              </w:rPr>
            </w:pPr>
            <w:r>
              <w:rPr>
                <w:color w:val="231F20"/>
                <w:sz w:val="14"/>
              </w:rPr>
              <w:t>Стереотипи и</w:t>
            </w:r>
            <w:r>
              <w:rPr>
                <w:color w:val="231F20"/>
                <w:spacing w:val="-3"/>
                <w:sz w:val="14"/>
              </w:rPr>
              <w:t xml:space="preserve"> </w:t>
            </w:r>
            <w:r>
              <w:rPr>
                <w:color w:val="231F20"/>
                <w:sz w:val="14"/>
              </w:rPr>
              <w:t>предрасуде.</w:t>
            </w:r>
          </w:p>
          <w:p w:rsidR="00041039" w:rsidRDefault="001B26CB">
            <w:pPr>
              <w:pStyle w:val="TableParagraph"/>
              <w:numPr>
                <w:ilvl w:val="0"/>
                <w:numId w:val="305"/>
              </w:numPr>
              <w:tabs>
                <w:tab w:val="left" w:pos="157"/>
              </w:tabs>
              <w:spacing w:line="166" w:lineRule="exact"/>
              <w:ind w:hanging="99"/>
              <w:rPr>
                <w:sz w:val="14"/>
              </w:rPr>
            </w:pPr>
            <w:r>
              <w:rPr>
                <w:color w:val="231F20"/>
                <w:sz w:val="14"/>
              </w:rPr>
              <w:t>Толеранција и</w:t>
            </w:r>
            <w:r>
              <w:rPr>
                <w:color w:val="231F20"/>
                <w:spacing w:val="-4"/>
                <w:sz w:val="14"/>
              </w:rPr>
              <w:t xml:space="preserve"> </w:t>
            </w:r>
            <w:r>
              <w:rPr>
                <w:color w:val="231F20"/>
                <w:sz w:val="14"/>
              </w:rPr>
              <w:t>дискриминација.</w:t>
            </w:r>
          </w:p>
        </w:tc>
        <w:tc>
          <w:tcPr>
            <w:tcW w:w="2267" w:type="dxa"/>
            <w:vMerge w:val="restart"/>
          </w:tcPr>
          <w:p w:rsidR="00041039" w:rsidRDefault="001B26CB">
            <w:pPr>
              <w:pStyle w:val="TableParagraph"/>
              <w:numPr>
                <w:ilvl w:val="0"/>
                <w:numId w:val="304"/>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304"/>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304"/>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304"/>
              </w:numPr>
              <w:tabs>
                <w:tab w:val="left" w:pos="158"/>
              </w:tabs>
              <w:spacing w:line="160" w:lineRule="exact"/>
              <w:ind w:right="158" w:hanging="99"/>
              <w:rPr>
                <w:sz w:val="14"/>
              </w:rPr>
            </w:pPr>
            <w:r>
              <w:rPr>
                <w:color w:val="231F20"/>
                <w:sz w:val="14"/>
              </w:rPr>
              <w:t>Активности на првим часовима треба тако организовати да се обезбеди међусобно</w:t>
            </w:r>
            <w:r>
              <w:rPr>
                <w:color w:val="231F20"/>
                <w:spacing w:val="-8"/>
                <w:sz w:val="14"/>
              </w:rPr>
              <w:t xml:space="preserve"> </w:t>
            </w:r>
            <w:r>
              <w:rPr>
                <w:color w:val="231F20"/>
                <w:sz w:val="14"/>
              </w:rPr>
              <w:t>упознавање ученика, упознавање</w:t>
            </w:r>
            <w:r>
              <w:rPr>
                <w:color w:val="231F20"/>
                <w:spacing w:val="-3"/>
                <w:sz w:val="14"/>
              </w:rPr>
              <w:t xml:space="preserve"> </w:t>
            </w:r>
            <w:r>
              <w:rPr>
                <w:color w:val="231F20"/>
                <w:sz w:val="14"/>
              </w:rPr>
              <w:t>ученика</w:t>
            </w:r>
          </w:p>
          <w:p w:rsidR="00041039" w:rsidRDefault="001B26CB">
            <w:pPr>
              <w:pStyle w:val="TableParagraph"/>
              <w:spacing w:line="237" w:lineRule="auto"/>
              <w:ind w:left="157" w:right="77"/>
              <w:rPr>
                <w:sz w:val="14"/>
              </w:rPr>
            </w:pPr>
            <w:r>
              <w:rPr>
                <w:color w:val="231F20"/>
                <w:sz w:val="14"/>
              </w:rPr>
              <w:t xml:space="preserve">са циљевима и наставним садр­ жајима предмета, али и тако да наставник добије почетни увид у то са каквим знањима, ставовима и вештинама из области грађан­ ског васпитања група располаже с обзиром да нису сви ученици у основној </w:t>
            </w:r>
            <w:r>
              <w:rPr>
                <w:color w:val="231F20"/>
                <w:spacing w:val="-3"/>
                <w:sz w:val="14"/>
              </w:rPr>
              <w:t xml:space="preserve">школи </w:t>
            </w:r>
            <w:r>
              <w:rPr>
                <w:color w:val="231F20"/>
                <w:sz w:val="14"/>
              </w:rPr>
              <w:t>похађали наста</w:t>
            </w:r>
            <w:r>
              <w:rPr>
                <w:color w:val="231F20"/>
                <w:sz w:val="14"/>
              </w:rPr>
              <w:t>ву грађанског васпитања у истој мери.</w:t>
            </w:r>
          </w:p>
        </w:tc>
      </w:tr>
      <w:tr w:rsidR="00041039">
        <w:trPr>
          <w:trHeight w:val="3350"/>
        </w:trPr>
        <w:tc>
          <w:tcPr>
            <w:tcW w:w="1304" w:type="dxa"/>
          </w:tcPr>
          <w:p w:rsidR="00041039" w:rsidRDefault="001B26CB">
            <w:pPr>
              <w:pStyle w:val="TableParagraph"/>
              <w:spacing w:before="19"/>
              <w:ind w:left="56" w:right="37"/>
              <w:rPr>
                <w:sz w:val="14"/>
              </w:rPr>
            </w:pPr>
            <w:r>
              <w:rPr>
                <w:color w:val="231F20"/>
                <w:sz w:val="14"/>
              </w:rPr>
              <w:t>Комуникација у групи</w:t>
            </w:r>
          </w:p>
        </w:tc>
        <w:tc>
          <w:tcPr>
            <w:tcW w:w="1587" w:type="dxa"/>
          </w:tcPr>
          <w:p w:rsidR="00041039" w:rsidRDefault="001B26CB">
            <w:pPr>
              <w:pStyle w:val="TableParagraph"/>
              <w:numPr>
                <w:ilvl w:val="0"/>
                <w:numId w:val="303"/>
              </w:numPr>
              <w:tabs>
                <w:tab w:val="left" w:pos="157"/>
              </w:tabs>
              <w:spacing w:before="9"/>
              <w:ind w:right="129"/>
              <w:jc w:val="both"/>
              <w:rPr>
                <w:sz w:val="14"/>
              </w:rPr>
            </w:pPr>
            <w:r>
              <w:rPr>
                <w:color w:val="231F20"/>
                <w:sz w:val="14"/>
              </w:rPr>
              <w:t>Оспособљавање уче­ ника за</w:t>
            </w:r>
            <w:r>
              <w:rPr>
                <w:color w:val="231F20"/>
                <w:spacing w:val="-19"/>
                <w:sz w:val="14"/>
              </w:rPr>
              <w:t xml:space="preserve"> </w:t>
            </w:r>
            <w:r>
              <w:rPr>
                <w:color w:val="231F20"/>
                <w:sz w:val="14"/>
              </w:rPr>
              <w:t>комуникацију у</w:t>
            </w:r>
            <w:r>
              <w:rPr>
                <w:color w:val="231F20"/>
                <w:spacing w:val="-1"/>
                <w:sz w:val="14"/>
              </w:rPr>
              <w:t xml:space="preserve"> </w:t>
            </w:r>
            <w:r>
              <w:rPr>
                <w:color w:val="231F20"/>
                <w:sz w:val="14"/>
              </w:rPr>
              <w:t>групи.</w:t>
            </w:r>
          </w:p>
        </w:tc>
        <w:tc>
          <w:tcPr>
            <w:tcW w:w="2551" w:type="dxa"/>
          </w:tcPr>
          <w:p w:rsidR="00041039" w:rsidRDefault="001B26CB">
            <w:pPr>
              <w:pStyle w:val="TableParagraph"/>
              <w:numPr>
                <w:ilvl w:val="0"/>
                <w:numId w:val="302"/>
              </w:numPr>
              <w:tabs>
                <w:tab w:val="left" w:pos="157"/>
              </w:tabs>
              <w:spacing w:before="9"/>
              <w:ind w:right="120" w:hanging="99"/>
              <w:rPr>
                <w:sz w:val="14"/>
              </w:rPr>
            </w:pPr>
            <w:r>
              <w:rPr>
                <w:color w:val="231F20"/>
                <w:sz w:val="14"/>
              </w:rPr>
              <w:t>искаже, образложи и брани</w:t>
            </w:r>
            <w:r>
              <w:rPr>
                <w:color w:val="231F20"/>
                <w:spacing w:val="-12"/>
                <w:sz w:val="14"/>
              </w:rPr>
              <w:t xml:space="preserve"> </w:t>
            </w:r>
            <w:r>
              <w:rPr>
                <w:color w:val="231F20"/>
                <w:sz w:val="14"/>
              </w:rPr>
              <w:t>мишљење аргументима;</w:t>
            </w:r>
          </w:p>
          <w:p w:rsidR="00041039" w:rsidRDefault="001B26CB">
            <w:pPr>
              <w:pStyle w:val="TableParagraph"/>
              <w:numPr>
                <w:ilvl w:val="0"/>
                <w:numId w:val="302"/>
              </w:numPr>
              <w:tabs>
                <w:tab w:val="left" w:pos="157"/>
              </w:tabs>
              <w:spacing w:line="153" w:lineRule="exact"/>
              <w:ind w:hanging="99"/>
              <w:rPr>
                <w:sz w:val="14"/>
              </w:rPr>
            </w:pPr>
            <w:r>
              <w:rPr>
                <w:color w:val="231F20"/>
                <w:sz w:val="14"/>
              </w:rPr>
              <w:t>активно</w:t>
            </w:r>
            <w:r>
              <w:rPr>
                <w:color w:val="231F20"/>
                <w:spacing w:val="-6"/>
                <w:sz w:val="14"/>
              </w:rPr>
              <w:t xml:space="preserve"> </w:t>
            </w:r>
            <w:r>
              <w:rPr>
                <w:color w:val="231F20"/>
                <w:sz w:val="14"/>
              </w:rPr>
              <w:t>слуша;</w:t>
            </w:r>
          </w:p>
          <w:p w:rsidR="00041039" w:rsidRDefault="001B26CB">
            <w:pPr>
              <w:pStyle w:val="TableParagraph"/>
              <w:numPr>
                <w:ilvl w:val="0"/>
                <w:numId w:val="302"/>
              </w:numPr>
              <w:tabs>
                <w:tab w:val="left" w:pos="157"/>
              </w:tabs>
              <w:spacing w:line="237" w:lineRule="auto"/>
              <w:ind w:right="386" w:hanging="99"/>
              <w:rPr>
                <w:sz w:val="14"/>
              </w:rPr>
            </w:pPr>
            <w:r>
              <w:rPr>
                <w:color w:val="231F20"/>
                <w:sz w:val="14"/>
              </w:rPr>
              <w:t>дебатује и дискутује на не угрожавајући начин,</w:t>
            </w:r>
            <w:r>
              <w:rPr>
                <w:color w:val="231F20"/>
                <w:spacing w:val="-16"/>
                <w:sz w:val="14"/>
              </w:rPr>
              <w:t xml:space="preserve"> </w:t>
            </w:r>
            <w:r>
              <w:rPr>
                <w:color w:val="231F20"/>
                <w:sz w:val="14"/>
              </w:rPr>
              <w:t>уважавајући мишљење</w:t>
            </w:r>
            <w:r>
              <w:rPr>
                <w:color w:val="231F20"/>
                <w:spacing w:val="-1"/>
                <w:sz w:val="14"/>
              </w:rPr>
              <w:t xml:space="preserve"> </w:t>
            </w:r>
            <w:r>
              <w:rPr>
                <w:color w:val="231F20"/>
                <w:sz w:val="14"/>
              </w:rPr>
              <w:t>других;</w:t>
            </w:r>
          </w:p>
          <w:p w:rsidR="00041039" w:rsidRDefault="001B26CB">
            <w:pPr>
              <w:pStyle w:val="TableParagraph"/>
              <w:numPr>
                <w:ilvl w:val="0"/>
                <w:numId w:val="302"/>
              </w:numPr>
              <w:tabs>
                <w:tab w:val="left" w:pos="157"/>
              </w:tabs>
              <w:spacing w:line="237" w:lineRule="auto"/>
              <w:ind w:right="320" w:hanging="99"/>
              <w:rPr>
                <w:sz w:val="14"/>
              </w:rPr>
            </w:pPr>
            <w:r>
              <w:rPr>
                <w:color w:val="231F20"/>
                <w:sz w:val="14"/>
              </w:rPr>
              <w:t>објасни разлику између дијалога</w:t>
            </w:r>
            <w:r>
              <w:rPr>
                <w:color w:val="231F20"/>
                <w:spacing w:val="-9"/>
                <w:sz w:val="14"/>
              </w:rPr>
              <w:t xml:space="preserve"> </w:t>
            </w:r>
            <w:r>
              <w:rPr>
                <w:color w:val="231F20"/>
                <w:sz w:val="14"/>
              </w:rPr>
              <w:t>и дебате;</w:t>
            </w:r>
          </w:p>
          <w:p w:rsidR="00041039" w:rsidRDefault="001B26CB">
            <w:pPr>
              <w:pStyle w:val="TableParagraph"/>
              <w:numPr>
                <w:ilvl w:val="0"/>
                <w:numId w:val="302"/>
              </w:numPr>
              <w:tabs>
                <w:tab w:val="left" w:pos="157"/>
              </w:tabs>
              <w:spacing w:line="160" w:lineRule="exact"/>
              <w:ind w:right="148" w:hanging="99"/>
              <w:rPr>
                <w:sz w:val="14"/>
              </w:rPr>
            </w:pPr>
            <w:r>
              <w:rPr>
                <w:color w:val="231F20"/>
                <w:sz w:val="14"/>
              </w:rPr>
              <w:t>објасни разлоге и начине настанка гласина</w:t>
            </w:r>
            <w:r>
              <w:rPr>
                <w:color w:val="231F20"/>
                <w:spacing w:val="-14"/>
                <w:sz w:val="14"/>
              </w:rPr>
              <w:t xml:space="preserve"> </w:t>
            </w:r>
            <w:r>
              <w:rPr>
                <w:color w:val="231F20"/>
                <w:sz w:val="14"/>
              </w:rPr>
              <w:t>у</w:t>
            </w:r>
            <w:r>
              <w:rPr>
                <w:color w:val="231F20"/>
                <w:spacing w:val="-13"/>
                <w:sz w:val="14"/>
              </w:rPr>
              <w:t xml:space="preserve"> </w:t>
            </w:r>
            <w:r>
              <w:rPr>
                <w:color w:val="231F20"/>
                <w:sz w:val="14"/>
              </w:rPr>
              <w:t>свакодневној</w:t>
            </w:r>
            <w:r>
              <w:rPr>
                <w:color w:val="231F20"/>
                <w:spacing w:val="-13"/>
                <w:sz w:val="14"/>
              </w:rPr>
              <w:t xml:space="preserve"> </w:t>
            </w:r>
            <w:r>
              <w:rPr>
                <w:color w:val="231F20"/>
                <w:sz w:val="14"/>
              </w:rPr>
              <w:t>комуникацији и објасни последице које изазивају гласине;</w:t>
            </w:r>
          </w:p>
        </w:tc>
        <w:tc>
          <w:tcPr>
            <w:tcW w:w="2834" w:type="dxa"/>
          </w:tcPr>
          <w:p w:rsidR="00041039" w:rsidRDefault="001B26CB">
            <w:pPr>
              <w:pStyle w:val="TableParagraph"/>
              <w:numPr>
                <w:ilvl w:val="0"/>
                <w:numId w:val="301"/>
              </w:numPr>
              <w:tabs>
                <w:tab w:val="left" w:pos="157"/>
              </w:tabs>
              <w:spacing w:before="9" w:line="166" w:lineRule="exact"/>
              <w:ind w:hanging="99"/>
              <w:rPr>
                <w:sz w:val="14"/>
              </w:rPr>
            </w:pPr>
            <w:r>
              <w:rPr>
                <w:color w:val="231F20"/>
                <w:sz w:val="14"/>
              </w:rPr>
              <w:t>Самопоуздано</w:t>
            </w:r>
            <w:r>
              <w:rPr>
                <w:color w:val="231F20"/>
                <w:spacing w:val="-1"/>
                <w:sz w:val="14"/>
              </w:rPr>
              <w:t xml:space="preserve"> </w:t>
            </w:r>
            <w:r>
              <w:rPr>
                <w:color w:val="231F20"/>
                <w:sz w:val="14"/>
              </w:rPr>
              <w:t>реаговање.</w:t>
            </w:r>
          </w:p>
          <w:p w:rsidR="00041039" w:rsidRDefault="001B26CB">
            <w:pPr>
              <w:pStyle w:val="TableParagraph"/>
              <w:numPr>
                <w:ilvl w:val="0"/>
                <w:numId w:val="301"/>
              </w:numPr>
              <w:tabs>
                <w:tab w:val="left" w:pos="157"/>
              </w:tabs>
              <w:spacing w:line="160" w:lineRule="exact"/>
              <w:ind w:hanging="99"/>
              <w:rPr>
                <w:sz w:val="14"/>
              </w:rPr>
            </w:pPr>
            <w:r>
              <w:rPr>
                <w:color w:val="231F20"/>
                <w:spacing w:val="-3"/>
                <w:sz w:val="14"/>
              </w:rPr>
              <w:t>Гласине.</w:t>
            </w:r>
          </w:p>
          <w:p w:rsidR="00041039" w:rsidRDefault="001B26CB">
            <w:pPr>
              <w:pStyle w:val="TableParagraph"/>
              <w:numPr>
                <w:ilvl w:val="0"/>
                <w:numId w:val="301"/>
              </w:numPr>
              <w:tabs>
                <w:tab w:val="left" w:pos="157"/>
              </w:tabs>
              <w:spacing w:line="160" w:lineRule="exact"/>
              <w:ind w:hanging="99"/>
              <w:rPr>
                <w:sz w:val="14"/>
              </w:rPr>
            </w:pPr>
            <w:r>
              <w:rPr>
                <w:color w:val="231F20"/>
                <w:sz w:val="14"/>
              </w:rPr>
              <w:t>Неслушање, активно,</w:t>
            </w:r>
            <w:r>
              <w:rPr>
                <w:color w:val="231F20"/>
                <w:spacing w:val="-1"/>
                <w:sz w:val="14"/>
              </w:rPr>
              <w:t xml:space="preserve"> </w:t>
            </w:r>
            <w:r>
              <w:rPr>
                <w:color w:val="231F20"/>
                <w:sz w:val="14"/>
              </w:rPr>
              <w:t>слушање.</w:t>
            </w:r>
          </w:p>
          <w:p w:rsidR="00041039" w:rsidRDefault="001B26CB">
            <w:pPr>
              <w:pStyle w:val="TableParagraph"/>
              <w:numPr>
                <w:ilvl w:val="0"/>
                <w:numId w:val="301"/>
              </w:numPr>
              <w:tabs>
                <w:tab w:val="left" w:pos="157"/>
              </w:tabs>
              <w:spacing w:line="160" w:lineRule="exact"/>
              <w:ind w:hanging="99"/>
              <w:rPr>
                <w:sz w:val="14"/>
              </w:rPr>
            </w:pPr>
            <w:r>
              <w:rPr>
                <w:color w:val="231F20"/>
                <w:sz w:val="14"/>
              </w:rPr>
              <w:t>Неоптужујуће</w:t>
            </w:r>
            <w:r>
              <w:rPr>
                <w:color w:val="231F20"/>
                <w:spacing w:val="-1"/>
                <w:sz w:val="14"/>
              </w:rPr>
              <w:t xml:space="preserve"> </w:t>
            </w:r>
            <w:r>
              <w:rPr>
                <w:color w:val="231F20"/>
                <w:sz w:val="14"/>
              </w:rPr>
              <w:t>поруке.</w:t>
            </w:r>
          </w:p>
          <w:p w:rsidR="00041039" w:rsidRDefault="001B26CB">
            <w:pPr>
              <w:pStyle w:val="TableParagraph"/>
              <w:numPr>
                <w:ilvl w:val="0"/>
                <w:numId w:val="301"/>
              </w:numPr>
              <w:tabs>
                <w:tab w:val="left" w:pos="157"/>
              </w:tabs>
              <w:spacing w:line="160" w:lineRule="exact"/>
              <w:ind w:hanging="99"/>
              <w:rPr>
                <w:sz w:val="14"/>
              </w:rPr>
            </w:pPr>
            <w:r>
              <w:rPr>
                <w:color w:val="231F20"/>
                <w:sz w:val="14"/>
              </w:rPr>
              <w:t>Изражавање</w:t>
            </w:r>
            <w:r>
              <w:rPr>
                <w:color w:val="231F20"/>
                <w:spacing w:val="-1"/>
                <w:sz w:val="14"/>
              </w:rPr>
              <w:t xml:space="preserve"> </w:t>
            </w:r>
            <w:r>
              <w:rPr>
                <w:color w:val="231F20"/>
                <w:sz w:val="14"/>
              </w:rPr>
              <w:t>мишљења.</w:t>
            </w:r>
          </w:p>
          <w:p w:rsidR="00041039" w:rsidRDefault="001B26CB">
            <w:pPr>
              <w:pStyle w:val="TableParagraph"/>
              <w:numPr>
                <w:ilvl w:val="0"/>
                <w:numId w:val="301"/>
              </w:numPr>
              <w:tabs>
                <w:tab w:val="left" w:pos="157"/>
              </w:tabs>
              <w:spacing w:line="166" w:lineRule="exact"/>
              <w:ind w:hanging="99"/>
              <w:rPr>
                <w:sz w:val="14"/>
              </w:rPr>
            </w:pPr>
            <w:r>
              <w:rPr>
                <w:color w:val="231F20"/>
                <w:sz w:val="14"/>
              </w:rPr>
              <w:t>Вођење дебате и</w:t>
            </w:r>
            <w:r>
              <w:rPr>
                <w:color w:val="231F20"/>
                <w:spacing w:val="-2"/>
                <w:sz w:val="14"/>
              </w:rPr>
              <w:t xml:space="preserve"> </w:t>
            </w:r>
            <w:r>
              <w:rPr>
                <w:color w:val="231F20"/>
                <w:sz w:val="14"/>
              </w:rPr>
              <w:t>дијалога.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8200"/>
        </w:trPr>
        <w:tc>
          <w:tcPr>
            <w:tcW w:w="1304" w:type="dxa"/>
          </w:tcPr>
          <w:p w:rsidR="00041039" w:rsidRDefault="001B26CB">
            <w:pPr>
              <w:pStyle w:val="TableParagraph"/>
              <w:spacing w:before="18"/>
              <w:ind w:left="56" w:right="202"/>
              <w:rPr>
                <w:sz w:val="14"/>
              </w:rPr>
            </w:pPr>
            <w:r>
              <w:rPr>
                <w:color w:val="231F20"/>
                <w:sz w:val="14"/>
              </w:rPr>
              <w:lastRenderedPageBreak/>
              <w:t>Односи у групи / заједници</w:t>
            </w:r>
          </w:p>
        </w:tc>
        <w:tc>
          <w:tcPr>
            <w:tcW w:w="1587" w:type="dxa"/>
          </w:tcPr>
          <w:p w:rsidR="00041039" w:rsidRDefault="001B26CB">
            <w:pPr>
              <w:pStyle w:val="TableParagraph"/>
              <w:numPr>
                <w:ilvl w:val="0"/>
                <w:numId w:val="300"/>
              </w:numPr>
              <w:tabs>
                <w:tab w:val="left" w:pos="157"/>
              </w:tabs>
              <w:spacing w:before="8"/>
              <w:ind w:right="62"/>
              <w:rPr>
                <w:sz w:val="14"/>
              </w:rPr>
            </w:pPr>
            <w:r>
              <w:rPr>
                <w:color w:val="231F20"/>
                <w:sz w:val="14"/>
              </w:rPr>
              <w:t>Оспособљавање ученика за рад у</w:t>
            </w:r>
            <w:r>
              <w:rPr>
                <w:color w:val="231F20"/>
                <w:spacing w:val="-8"/>
                <w:sz w:val="14"/>
              </w:rPr>
              <w:t xml:space="preserve"> </w:t>
            </w:r>
            <w:r>
              <w:rPr>
                <w:color w:val="231F20"/>
                <w:sz w:val="14"/>
              </w:rPr>
              <w:t>групи</w:t>
            </w:r>
          </w:p>
          <w:p w:rsidR="00041039" w:rsidRDefault="001B26CB">
            <w:pPr>
              <w:pStyle w:val="TableParagraph"/>
              <w:spacing w:line="237" w:lineRule="auto"/>
              <w:ind w:right="250"/>
              <w:rPr>
                <w:sz w:val="14"/>
              </w:rPr>
            </w:pPr>
            <w:r>
              <w:rPr>
                <w:color w:val="231F20"/>
                <w:sz w:val="14"/>
              </w:rPr>
              <w:t>/ тиму и међусобну сарадњу.</w:t>
            </w:r>
          </w:p>
          <w:p w:rsidR="00041039" w:rsidRDefault="001B26CB">
            <w:pPr>
              <w:pStyle w:val="TableParagraph"/>
              <w:numPr>
                <w:ilvl w:val="0"/>
                <w:numId w:val="300"/>
              </w:numPr>
              <w:tabs>
                <w:tab w:val="left" w:pos="157"/>
              </w:tabs>
              <w:spacing w:line="237" w:lineRule="auto"/>
              <w:ind w:right="49"/>
              <w:rPr>
                <w:sz w:val="14"/>
              </w:rPr>
            </w:pPr>
            <w:r>
              <w:rPr>
                <w:color w:val="231F20"/>
                <w:sz w:val="14"/>
              </w:rPr>
              <w:t>Подстицање ученика да сукобе решавају на конструктиван начин</w:t>
            </w:r>
            <w:r>
              <w:rPr>
                <w:color w:val="231F20"/>
                <w:spacing w:val="-19"/>
                <w:sz w:val="14"/>
              </w:rPr>
              <w:t xml:space="preserve"> </w:t>
            </w:r>
            <w:r>
              <w:rPr>
                <w:color w:val="231F20"/>
                <w:sz w:val="14"/>
              </w:rPr>
              <w:t>и избегавају</w:t>
            </w:r>
            <w:r>
              <w:rPr>
                <w:color w:val="231F20"/>
                <w:spacing w:val="-2"/>
                <w:sz w:val="14"/>
              </w:rPr>
              <w:t xml:space="preserve"> </w:t>
            </w:r>
            <w:r>
              <w:rPr>
                <w:color w:val="231F20"/>
                <w:sz w:val="14"/>
              </w:rPr>
              <w:t>сукобе.</w:t>
            </w:r>
          </w:p>
          <w:p w:rsidR="00041039" w:rsidRDefault="001B26CB">
            <w:pPr>
              <w:pStyle w:val="TableParagraph"/>
              <w:numPr>
                <w:ilvl w:val="0"/>
                <w:numId w:val="300"/>
              </w:numPr>
              <w:tabs>
                <w:tab w:val="left" w:pos="157"/>
              </w:tabs>
              <w:spacing w:line="237" w:lineRule="auto"/>
              <w:ind w:right="61"/>
              <w:rPr>
                <w:sz w:val="14"/>
              </w:rPr>
            </w:pPr>
            <w:r>
              <w:rPr>
                <w:color w:val="231F20"/>
                <w:sz w:val="14"/>
              </w:rPr>
              <w:t>Оспособљавање ученика да препознају примере насиља у својој средини и пре­ узму одговорност за сопствено понашање</w:t>
            </w:r>
            <w:r>
              <w:rPr>
                <w:color w:val="231F20"/>
                <w:spacing w:val="-8"/>
                <w:sz w:val="14"/>
              </w:rPr>
              <w:t xml:space="preserve"> </w:t>
            </w:r>
            <w:r>
              <w:rPr>
                <w:color w:val="231F20"/>
                <w:sz w:val="14"/>
              </w:rPr>
              <w:t>у таквој</w:t>
            </w:r>
            <w:r>
              <w:rPr>
                <w:color w:val="231F20"/>
                <w:spacing w:val="-1"/>
                <w:sz w:val="14"/>
              </w:rPr>
              <w:t xml:space="preserve"> </w:t>
            </w:r>
            <w:r>
              <w:rPr>
                <w:color w:val="231F20"/>
                <w:sz w:val="14"/>
              </w:rPr>
              <w:t>ситуацији.</w:t>
            </w:r>
          </w:p>
        </w:tc>
        <w:tc>
          <w:tcPr>
            <w:tcW w:w="2551" w:type="dxa"/>
          </w:tcPr>
          <w:p w:rsidR="00041039" w:rsidRDefault="001B26CB">
            <w:pPr>
              <w:pStyle w:val="TableParagraph"/>
              <w:numPr>
                <w:ilvl w:val="0"/>
                <w:numId w:val="299"/>
              </w:numPr>
              <w:tabs>
                <w:tab w:val="left" w:pos="157"/>
              </w:tabs>
              <w:spacing w:before="8" w:line="166" w:lineRule="exact"/>
              <w:ind w:hanging="99"/>
              <w:rPr>
                <w:sz w:val="14"/>
              </w:rPr>
            </w:pPr>
            <w:r>
              <w:rPr>
                <w:color w:val="231F20"/>
                <w:sz w:val="14"/>
              </w:rPr>
              <w:t>ради у групи /</w:t>
            </w:r>
            <w:r>
              <w:rPr>
                <w:color w:val="231F20"/>
                <w:spacing w:val="-1"/>
                <w:sz w:val="14"/>
              </w:rPr>
              <w:t xml:space="preserve"> </w:t>
            </w:r>
            <w:r>
              <w:rPr>
                <w:color w:val="231F20"/>
                <w:sz w:val="14"/>
              </w:rPr>
              <w:t>тиму;</w:t>
            </w:r>
          </w:p>
          <w:p w:rsidR="00041039" w:rsidRDefault="001B26CB">
            <w:pPr>
              <w:pStyle w:val="TableParagraph"/>
              <w:numPr>
                <w:ilvl w:val="0"/>
                <w:numId w:val="299"/>
              </w:numPr>
              <w:tabs>
                <w:tab w:val="left" w:pos="157"/>
              </w:tabs>
              <w:spacing w:line="237" w:lineRule="auto"/>
              <w:ind w:right="87" w:hanging="99"/>
              <w:rPr>
                <w:sz w:val="14"/>
              </w:rPr>
            </w:pPr>
            <w:r>
              <w:rPr>
                <w:color w:val="231F20"/>
                <w:sz w:val="14"/>
              </w:rPr>
              <w:t>препозна предности групног /</w:t>
            </w:r>
            <w:r>
              <w:rPr>
                <w:color w:val="231F20"/>
                <w:spacing w:val="-18"/>
                <w:sz w:val="14"/>
              </w:rPr>
              <w:t xml:space="preserve"> </w:t>
            </w:r>
            <w:r>
              <w:rPr>
                <w:color w:val="231F20"/>
                <w:sz w:val="14"/>
              </w:rPr>
              <w:t>тимског рада;</w:t>
            </w:r>
          </w:p>
          <w:p w:rsidR="00041039" w:rsidRDefault="001B26CB">
            <w:pPr>
              <w:pStyle w:val="TableParagraph"/>
              <w:numPr>
                <w:ilvl w:val="0"/>
                <w:numId w:val="299"/>
              </w:numPr>
              <w:tabs>
                <w:tab w:val="left" w:pos="157"/>
              </w:tabs>
              <w:spacing w:line="155" w:lineRule="exact"/>
              <w:ind w:hanging="99"/>
              <w:rPr>
                <w:sz w:val="14"/>
              </w:rPr>
            </w:pPr>
            <w:r>
              <w:rPr>
                <w:color w:val="231F20"/>
                <w:sz w:val="14"/>
              </w:rPr>
              <w:t>учествује у доношењу групних</w:t>
            </w:r>
            <w:r>
              <w:rPr>
                <w:color w:val="231F20"/>
                <w:spacing w:val="-12"/>
                <w:sz w:val="14"/>
              </w:rPr>
              <w:t xml:space="preserve"> </w:t>
            </w:r>
            <w:r>
              <w:rPr>
                <w:color w:val="231F20"/>
                <w:sz w:val="14"/>
              </w:rPr>
              <w:t>одлука;</w:t>
            </w:r>
          </w:p>
          <w:p w:rsidR="00041039" w:rsidRDefault="001B26CB">
            <w:pPr>
              <w:pStyle w:val="TableParagraph"/>
              <w:numPr>
                <w:ilvl w:val="0"/>
                <w:numId w:val="299"/>
              </w:numPr>
              <w:tabs>
                <w:tab w:val="left" w:pos="157"/>
              </w:tabs>
              <w:spacing w:line="237" w:lineRule="auto"/>
              <w:ind w:right="438" w:hanging="99"/>
              <w:rPr>
                <w:sz w:val="14"/>
              </w:rPr>
            </w:pPr>
            <w:r>
              <w:rPr>
                <w:color w:val="231F20"/>
                <w:sz w:val="14"/>
              </w:rPr>
              <w:t>разликује могуће облике</w:t>
            </w:r>
            <w:r>
              <w:rPr>
                <w:color w:val="231F20"/>
                <w:spacing w:val="-12"/>
                <w:sz w:val="14"/>
              </w:rPr>
              <w:t xml:space="preserve"> </w:t>
            </w:r>
            <w:r>
              <w:rPr>
                <w:color w:val="231F20"/>
                <w:sz w:val="14"/>
              </w:rPr>
              <w:t>учешћа младих у друштвеном</w:t>
            </w:r>
            <w:r>
              <w:rPr>
                <w:color w:val="231F20"/>
                <w:spacing w:val="-6"/>
                <w:sz w:val="14"/>
              </w:rPr>
              <w:t xml:space="preserve"> </w:t>
            </w:r>
            <w:r>
              <w:rPr>
                <w:color w:val="231F20"/>
                <w:sz w:val="14"/>
              </w:rPr>
              <w:t>животу;</w:t>
            </w:r>
          </w:p>
          <w:p w:rsidR="00041039" w:rsidRDefault="001B26CB">
            <w:pPr>
              <w:pStyle w:val="TableParagraph"/>
              <w:numPr>
                <w:ilvl w:val="0"/>
                <w:numId w:val="299"/>
              </w:numPr>
              <w:tabs>
                <w:tab w:val="left" w:pos="157"/>
              </w:tabs>
              <w:spacing w:line="160" w:lineRule="exact"/>
              <w:ind w:right="69" w:hanging="99"/>
              <w:rPr>
                <w:sz w:val="14"/>
              </w:rPr>
            </w:pPr>
            <w:r>
              <w:rPr>
                <w:color w:val="231F20"/>
                <w:sz w:val="14"/>
              </w:rPr>
              <w:t>објасни потребу и важност</w:t>
            </w:r>
            <w:r>
              <w:rPr>
                <w:color w:val="231F20"/>
                <w:spacing w:val="-12"/>
                <w:sz w:val="14"/>
              </w:rPr>
              <w:t xml:space="preserve"> </w:t>
            </w:r>
            <w:r>
              <w:rPr>
                <w:color w:val="231F20"/>
                <w:sz w:val="14"/>
              </w:rPr>
              <w:t>партиципа­ ције младих у друштвеном</w:t>
            </w:r>
            <w:r>
              <w:rPr>
                <w:color w:val="231F20"/>
                <w:spacing w:val="-8"/>
                <w:sz w:val="14"/>
              </w:rPr>
              <w:t xml:space="preserve"> </w:t>
            </w:r>
            <w:r>
              <w:rPr>
                <w:color w:val="231F20"/>
                <w:sz w:val="14"/>
              </w:rPr>
              <w:t>животу;</w:t>
            </w:r>
          </w:p>
          <w:p w:rsidR="00041039" w:rsidRDefault="001B26CB">
            <w:pPr>
              <w:pStyle w:val="TableParagraph"/>
              <w:numPr>
                <w:ilvl w:val="0"/>
                <w:numId w:val="299"/>
              </w:numPr>
              <w:tabs>
                <w:tab w:val="left" w:pos="157"/>
              </w:tabs>
              <w:spacing w:line="160" w:lineRule="exact"/>
              <w:ind w:right="402" w:hanging="99"/>
              <w:rPr>
                <w:sz w:val="14"/>
              </w:rPr>
            </w:pPr>
            <w:r>
              <w:rPr>
                <w:color w:val="231F20"/>
                <w:sz w:val="14"/>
              </w:rPr>
              <w:t>објасни степене и облике</w:t>
            </w:r>
            <w:r>
              <w:rPr>
                <w:color w:val="231F20"/>
                <w:spacing w:val="-11"/>
                <w:sz w:val="14"/>
              </w:rPr>
              <w:t xml:space="preserve"> </w:t>
            </w:r>
            <w:r>
              <w:rPr>
                <w:color w:val="231F20"/>
                <w:sz w:val="14"/>
              </w:rPr>
              <w:t>учешћа младих у друштвеном</w:t>
            </w:r>
            <w:r>
              <w:rPr>
                <w:color w:val="231F20"/>
                <w:spacing w:val="-6"/>
                <w:sz w:val="14"/>
              </w:rPr>
              <w:t xml:space="preserve"> </w:t>
            </w:r>
            <w:r>
              <w:rPr>
                <w:color w:val="231F20"/>
                <w:sz w:val="14"/>
              </w:rPr>
              <w:t>животу;</w:t>
            </w:r>
          </w:p>
          <w:p w:rsidR="00041039" w:rsidRDefault="001B26CB">
            <w:pPr>
              <w:pStyle w:val="TableParagraph"/>
              <w:numPr>
                <w:ilvl w:val="0"/>
                <w:numId w:val="299"/>
              </w:numPr>
              <w:tabs>
                <w:tab w:val="left" w:pos="157"/>
              </w:tabs>
              <w:spacing w:line="160" w:lineRule="exact"/>
              <w:ind w:right="411" w:hanging="99"/>
              <w:rPr>
                <w:sz w:val="14"/>
              </w:rPr>
            </w:pPr>
            <w:r>
              <w:rPr>
                <w:color w:val="231F20"/>
                <w:sz w:val="14"/>
              </w:rPr>
              <w:t>објасни разлоге, ток и</w:t>
            </w:r>
            <w:r>
              <w:rPr>
                <w:color w:val="231F20"/>
                <w:spacing w:val="-5"/>
                <w:sz w:val="14"/>
              </w:rPr>
              <w:t xml:space="preserve"> </w:t>
            </w:r>
            <w:r>
              <w:rPr>
                <w:color w:val="231F20"/>
                <w:sz w:val="14"/>
              </w:rPr>
              <w:t>последице сукоба;</w:t>
            </w:r>
          </w:p>
          <w:p w:rsidR="00041039" w:rsidRDefault="001B26CB">
            <w:pPr>
              <w:pStyle w:val="TableParagraph"/>
              <w:numPr>
                <w:ilvl w:val="0"/>
                <w:numId w:val="299"/>
              </w:numPr>
              <w:tabs>
                <w:tab w:val="left" w:pos="157"/>
              </w:tabs>
              <w:spacing w:line="160" w:lineRule="exact"/>
              <w:ind w:right="418" w:hanging="99"/>
              <w:rPr>
                <w:sz w:val="14"/>
              </w:rPr>
            </w:pPr>
            <w:r>
              <w:rPr>
                <w:color w:val="231F20"/>
                <w:sz w:val="14"/>
              </w:rPr>
              <w:t>објасни ефекте конфликта на</w:t>
            </w:r>
            <w:r>
              <w:rPr>
                <w:color w:val="231F20"/>
                <w:spacing w:val="-20"/>
                <w:sz w:val="14"/>
              </w:rPr>
              <w:t xml:space="preserve"> </w:t>
            </w:r>
            <w:r>
              <w:rPr>
                <w:color w:val="231F20"/>
                <w:sz w:val="14"/>
              </w:rPr>
              <w:t>ток комуникације;</w:t>
            </w:r>
          </w:p>
          <w:p w:rsidR="00041039" w:rsidRDefault="001B26CB">
            <w:pPr>
              <w:pStyle w:val="TableParagraph"/>
              <w:numPr>
                <w:ilvl w:val="0"/>
                <w:numId w:val="299"/>
              </w:numPr>
              <w:tabs>
                <w:tab w:val="left" w:pos="157"/>
              </w:tabs>
              <w:spacing w:line="160" w:lineRule="exact"/>
              <w:ind w:right="107" w:hanging="99"/>
              <w:rPr>
                <w:sz w:val="14"/>
              </w:rPr>
            </w:pPr>
            <w:r>
              <w:rPr>
                <w:color w:val="231F20"/>
                <w:sz w:val="14"/>
              </w:rPr>
              <w:t>уочи</w:t>
            </w:r>
            <w:r>
              <w:rPr>
                <w:color w:val="231F20"/>
                <w:spacing w:val="-8"/>
                <w:sz w:val="14"/>
              </w:rPr>
              <w:t xml:space="preserve"> </w:t>
            </w:r>
            <w:r>
              <w:rPr>
                <w:color w:val="231F20"/>
                <w:sz w:val="14"/>
              </w:rPr>
              <w:t>факторе</w:t>
            </w:r>
            <w:r>
              <w:rPr>
                <w:color w:val="231F20"/>
                <w:spacing w:val="-8"/>
                <w:sz w:val="14"/>
              </w:rPr>
              <w:t xml:space="preserve"> </w:t>
            </w:r>
            <w:r>
              <w:rPr>
                <w:color w:val="231F20"/>
                <w:sz w:val="14"/>
              </w:rPr>
              <w:t>који</w:t>
            </w:r>
            <w:r>
              <w:rPr>
                <w:color w:val="231F20"/>
                <w:spacing w:val="-8"/>
                <w:sz w:val="14"/>
              </w:rPr>
              <w:t xml:space="preserve"> </w:t>
            </w:r>
            <w:r>
              <w:rPr>
                <w:color w:val="231F20"/>
                <w:sz w:val="14"/>
              </w:rPr>
              <w:t>одређују</w:t>
            </w:r>
            <w:r>
              <w:rPr>
                <w:color w:val="231F20"/>
                <w:spacing w:val="-8"/>
                <w:sz w:val="14"/>
              </w:rPr>
              <w:t xml:space="preserve"> </w:t>
            </w:r>
            <w:r>
              <w:rPr>
                <w:color w:val="231F20"/>
                <w:sz w:val="14"/>
              </w:rPr>
              <w:t>понашање у ситуацијама</w:t>
            </w:r>
            <w:r>
              <w:rPr>
                <w:color w:val="231F20"/>
                <w:spacing w:val="-2"/>
                <w:sz w:val="14"/>
              </w:rPr>
              <w:t xml:space="preserve"> </w:t>
            </w:r>
            <w:r>
              <w:rPr>
                <w:color w:val="231F20"/>
                <w:sz w:val="14"/>
              </w:rPr>
              <w:t>конфликта;</w:t>
            </w:r>
          </w:p>
          <w:p w:rsidR="00041039" w:rsidRDefault="001B26CB">
            <w:pPr>
              <w:pStyle w:val="TableParagraph"/>
              <w:numPr>
                <w:ilvl w:val="0"/>
                <w:numId w:val="299"/>
              </w:numPr>
              <w:tabs>
                <w:tab w:val="left" w:pos="157"/>
              </w:tabs>
              <w:spacing w:line="158" w:lineRule="exact"/>
              <w:ind w:hanging="99"/>
              <w:rPr>
                <w:sz w:val="14"/>
              </w:rPr>
            </w:pPr>
            <w:r>
              <w:rPr>
                <w:color w:val="231F20"/>
                <w:sz w:val="14"/>
              </w:rPr>
              <w:t>анализира сукоб из</w:t>
            </w:r>
            <w:r>
              <w:rPr>
                <w:color w:val="231F20"/>
                <w:spacing w:val="-5"/>
                <w:sz w:val="14"/>
              </w:rPr>
              <w:t xml:space="preserve"> </w:t>
            </w:r>
            <w:r>
              <w:rPr>
                <w:color w:val="231F20"/>
                <w:sz w:val="14"/>
              </w:rPr>
              <w:t>различитих</w:t>
            </w:r>
          </w:p>
          <w:p w:rsidR="00041039" w:rsidRDefault="001B26CB">
            <w:pPr>
              <w:pStyle w:val="TableParagraph"/>
              <w:rPr>
                <w:sz w:val="14"/>
              </w:rPr>
            </w:pPr>
            <w:r>
              <w:rPr>
                <w:color w:val="231F20"/>
                <w:sz w:val="14"/>
              </w:rPr>
              <w:t>улога, (препознаје потребе и страхове актера сукоба) и налази конструктивна решења прихватљива за обе стране у сукобу;</w:t>
            </w:r>
          </w:p>
          <w:p w:rsidR="00041039" w:rsidRDefault="001B26CB">
            <w:pPr>
              <w:pStyle w:val="TableParagraph"/>
              <w:numPr>
                <w:ilvl w:val="0"/>
                <w:numId w:val="299"/>
              </w:numPr>
              <w:tabs>
                <w:tab w:val="left" w:pos="157"/>
              </w:tabs>
              <w:spacing w:line="157" w:lineRule="exact"/>
              <w:ind w:hanging="99"/>
              <w:rPr>
                <w:sz w:val="14"/>
              </w:rPr>
            </w:pPr>
            <w:r>
              <w:rPr>
                <w:color w:val="231F20"/>
                <w:sz w:val="14"/>
              </w:rPr>
              <w:t>образложи предности</w:t>
            </w:r>
            <w:r>
              <w:rPr>
                <w:color w:val="231F20"/>
                <w:spacing w:val="-8"/>
                <w:sz w:val="14"/>
              </w:rPr>
              <w:t xml:space="preserve"> </w:t>
            </w:r>
            <w:r>
              <w:rPr>
                <w:color w:val="231F20"/>
                <w:sz w:val="14"/>
              </w:rPr>
              <w:t>конструктивног</w:t>
            </w:r>
          </w:p>
          <w:p w:rsidR="00041039" w:rsidRDefault="001B26CB">
            <w:pPr>
              <w:pStyle w:val="TableParagraph"/>
              <w:spacing w:line="155" w:lineRule="exact"/>
              <w:rPr>
                <w:sz w:val="14"/>
              </w:rPr>
            </w:pPr>
            <w:r>
              <w:rPr>
                <w:color w:val="231F20"/>
                <w:sz w:val="14"/>
              </w:rPr>
              <w:t>начина решавања сукоба;</w:t>
            </w:r>
          </w:p>
          <w:p w:rsidR="00041039" w:rsidRDefault="001B26CB">
            <w:pPr>
              <w:pStyle w:val="TableParagraph"/>
              <w:numPr>
                <w:ilvl w:val="0"/>
                <w:numId w:val="299"/>
              </w:numPr>
              <w:tabs>
                <w:tab w:val="left" w:pos="157"/>
              </w:tabs>
              <w:spacing w:line="160" w:lineRule="exact"/>
              <w:ind w:hanging="99"/>
              <w:rPr>
                <w:sz w:val="14"/>
              </w:rPr>
            </w:pPr>
            <w:r>
              <w:rPr>
                <w:color w:val="231F20"/>
                <w:sz w:val="14"/>
              </w:rPr>
              <w:t>објасни значај посредовања у</w:t>
            </w:r>
            <w:r>
              <w:rPr>
                <w:color w:val="231F20"/>
                <w:spacing w:val="-4"/>
                <w:sz w:val="14"/>
              </w:rPr>
              <w:t xml:space="preserve"> </w:t>
            </w:r>
            <w:r>
              <w:rPr>
                <w:color w:val="231F20"/>
                <w:spacing w:val="-3"/>
                <w:sz w:val="14"/>
              </w:rPr>
              <w:t>сукобу;</w:t>
            </w:r>
          </w:p>
          <w:p w:rsidR="00041039" w:rsidRDefault="001B26CB">
            <w:pPr>
              <w:pStyle w:val="TableParagraph"/>
              <w:numPr>
                <w:ilvl w:val="0"/>
                <w:numId w:val="299"/>
              </w:numPr>
              <w:tabs>
                <w:tab w:val="left" w:pos="157"/>
              </w:tabs>
              <w:spacing w:line="160" w:lineRule="exact"/>
              <w:ind w:hanging="99"/>
              <w:rPr>
                <w:sz w:val="14"/>
              </w:rPr>
            </w:pPr>
            <w:r>
              <w:rPr>
                <w:color w:val="231F20"/>
                <w:sz w:val="14"/>
              </w:rPr>
              <w:t>препозна и објасни врсте</w:t>
            </w:r>
            <w:r>
              <w:rPr>
                <w:color w:val="231F20"/>
                <w:spacing w:val="-8"/>
                <w:sz w:val="14"/>
              </w:rPr>
              <w:t xml:space="preserve"> </w:t>
            </w:r>
            <w:r>
              <w:rPr>
                <w:color w:val="231F20"/>
                <w:sz w:val="14"/>
              </w:rPr>
              <w:t>насиља;</w:t>
            </w:r>
          </w:p>
          <w:p w:rsidR="00041039" w:rsidRDefault="001B26CB">
            <w:pPr>
              <w:pStyle w:val="TableParagraph"/>
              <w:numPr>
                <w:ilvl w:val="0"/>
                <w:numId w:val="299"/>
              </w:numPr>
              <w:tabs>
                <w:tab w:val="left" w:pos="157"/>
              </w:tabs>
              <w:spacing w:line="237" w:lineRule="auto"/>
              <w:ind w:right="88" w:hanging="99"/>
              <w:rPr>
                <w:sz w:val="14"/>
              </w:rPr>
            </w:pPr>
            <w:r>
              <w:rPr>
                <w:color w:val="231F20"/>
                <w:sz w:val="14"/>
              </w:rPr>
              <w:t>идентификује и анализира узроке насиља у својој средини, међу</w:t>
            </w:r>
            <w:r>
              <w:rPr>
                <w:color w:val="231F20"/>
                <w:spacing w:val="-14"/>
                <w:sz w:val="14"/>
              </w:rPr>
              <w:t xml:space="preserve"> </w:t>
            </w:r>
            <w:r>
              <w:rPr>
                <w:color w:val="231F20"/>
                <w:sz w:val="14"/>
              </w:rPr>
              <w:t xml:space="preserve">вршња­ цима у </w:t>
            </w:r>
            <w:r>
              <w:rPr>
                <w:color w:val="231F20"/>
                <w:spacing w:val="-3"/>
                <w:sz w:val="14"/>
              </w:rPr>
              <w:t>школи;</w:t>
            </w:r>
          </w:p>
          <w:p w:rsidR="00041039" w:rsidRDefault="001B26CB">
            <w:pPr>
              <w:pStyle w:val="TableParagraph"/>
              <w:numPr>
                <w:ilvl w:val="0"/>
                <w:numId w:val="299"/>
              </w:numPr>
              <w:tabs>
                <w:tab w:val="left" w:pos="157"/>
              </w:tabs>
              <w:spacing w:line="237" w:lineRule="auto"/>
              <w:ind w:right="286" w:hanging="99"/>
              <w:rPr>
                <w:sz w:val="14"/>
              </w:rPr>
            </w:pPr>
            <w:r>
              <w:rPr>
                <w:color w:val="231F20"/>
                <w:sz w:val="14"/>
              </w:rPr>
              <w:t>идентификује и анализира могуће начине реаговања појединца у ситуацијама</w:t>
            </w:r>
            <w:r>
              <w:rPr>
                <w:color w:val="231F20"/>
                <w:spacing w:val="-9"/>
                <w:sz w:val="14"/>
              </w:rPr>
              <w:t xml:space="preserve"> </w:t>
            </w:r>
            <w:r>
              <w:rPr>
                <w:color w:val="231F20"/>
                <w:sz w:val="14"/>
              </w:rPr>
              <w:t>вршњачког</w:t>
            </w:r>
            <w:r>
              <w:rPr>
                <w:color w:val="231F20"/>
                <w:spacing w:val="-9"/>
                <w:sz w:val="14"/>
              </w:rPr>
              <w:t xml:space="preserve"> </w:t>
            </w:r>
            <w:r>
              <w:rPr>
                <w:color w:val="231F20"/>
                <w:sz w:val="14"/>
              </w:rPr>
              <w:t>насиља,</w:t>
            </w:r>
            <w:r>
              <w:rPr>
                <w:color w:val="231F20"/>
                <w:spacing w:val="-10"/>
                <w:sz w:val="14"/>
              </w:rPr>
              <w:t xml:space="preserve"> </w:t>
            </w:r>
            <w:r>
              <w:rPr>
                <w:color w:val="231F20"/>
                <w:sz w:val="14"/>
              </w:rPr>
              <w:t>из позиције жртве и</w:t>
            </w:r>
            <w:r>
              <w:rPr>
                <w:color w:val="231F20"/>
                <w:spacing w:val="-7"/>
                <w:sz w:val="14"/>
              </w:rPr>
              <w:t xml:space="preserve"> </w:t>
            </w:r>
            <w:r>
              <w:rPr>
                <w:color w:val="231F20"/>
                <w:sz w:val="14"/>
              </w:rPr>
              <w:t>посматрача;</w:t>
            </w:r>
          </w:p>
          <w:p w:rsidR="00041039" w:rsidRDefault="001B26CB">
            <w:pPr>
              <w:pStyle w:val="TableParagraph"/>
              <w:numPr>
                <w:ilvl w:val="0"/>
                <w:numId w:val="299"/>
              </w:numPr>
              <w:tabs>
                <w:tab w:val="left" w:pos="157"/>
              </w:tabs>
              <w:spacing w:line="237" w:lineRule="auto"/>
              <w:ind w:right="270" w:hanging="99"/>
              <w:rPr>
                <w:sz w:val="14"/>
              </w:rPr>
            </w:pPr>
            <w:r>
              <w:rPr>
                <w:color w:val="231F20"/>
                <w:sz w:val="14"/>
              </w:rPr>
              <w:t>прихвати одговорност за</w:t>
            </w:r>
            <w:r>
              <w:rPr>
                <w:color w:val="231F20"/>
                <w:spacing w:val="-19"/>
                <w:sz w:val="14"/>
              </w:rPr>
              <w:t xml:space="preserve"> </w:t>
            </w:r>
            <w:r>
              <w:rPr>
                <w:color w:val="231F20"/>
                <w:sz w:val="14"/>
              </w:rPr>
              <w:t>сопствено понашање;</w:t>
            </w:r>
          </w:p>
        </w:tc>
        <w:tc>
          <w:tcPr>
            <w:tcW w:w="2834" w:type="dxa"/>
          </w:tcPr>
          <w:p w:rsidR="00041039" w:rsidRDefault="001B26CB">
            <w:pPr>
              <w:pStyle w:val="TableParagraph"/>
              <w:numPr>
                <w:ilvl w:val="0"/>
                <w:numId w:val="298"/>
              </w:numPr>
              <w:tabs>
                <w:tab w:val="left" w:pos="157"/>
              </w:tabs>
              <w:spacing w:before="9" w:line="166" w:lineRule="exact"/>
              <w:ind w:hanging="99"/>
              <w:rPr>
                <w:sz w:val="14"/>
              </w:rPr>
            </w:pPr>
            <w:r>
              <w:rPr>
                <w:color w:val="231F20"/>
                <w:sz w:val="14"/>
              </w:rPr>
              <w:t>Сарадња.</w:t>
            </w:r>
          </w:p>
          <w:p w:rsidR="00041039" w:rsidRDefault="001B26CB">
            <w:pPr>
              <w:pStyle w:val="TableParagraph"/>
              <w:numPr>
                <w:ilvl w:val="0"/>
                <w:numId w:val="298"/>
              </w:numPr>
              <w:tabs>
                <w:tab w:val="left" w:pos="157"/>
              </w:tabs>
              <w:spacing w:line="160" w:lineRule="exact"/>
              <w:ind w:hanging="99"/>
              <w:rPr>
                <w:sz w:val="14"/>
              </w:rPr>
            </w:pPr>
            <w:r>
              <w:rPr>
                <w:color w:val="231F20"/>
                <w:sz w:val="14"/>
              </w:rPr>
              <w:t>Групни</w:t>
            </w:r>
            <w:r>
              <w:rPr>
                <w:color w:val="231F20"/>
                <w:spacing w:val="-1"/>
                <w:sz w:val="14"/>
              </w:rPr>
              <w:t xml:space="preserve"> </w:t>
            </w:r>
            <w:r>
              <w:rPr>
                <w:color w:val="231F20"/>
                <w:sz w:val="14"/>
              </w:rPr>
              <w:t>рад.</w:t>
            </w:r>
          </w:p>
          <w:p w:rsidR="00041039" w:rsidRDefault="001B26CB">
            <w:pPr>
              <w:pStyle w:val="TableParagraph"/>
              <w:numPr>
                <w:ilvl w:val="0"/>
                <w:numId w:val="298"/>
              </w:numPr>
              <w:tabs>
                <w:tab w:val="left" w:pos="157"/>
              </w:tabs>
              <w:spacing w:line="160" w:lineRule="exact"/>
              <w:ind w:hanging="99"/>
              <w:rPr>
                <w:sz w:val="14"/>
              </w:rPr>
            </w:pPr>
            <w:r>
              <w:rPr>
                <w:color w:val="231F20"/>
                <w:sz w:val="14"/>
              </w:rPr>
              <w:t>Групно</w:t>
            </w:r>
            <w:r>
              <w:rPr>
                <w:color w:val="231F20"/>
                <w:spacing w:val="-1"/>
                <w:sz w:val="14"/>
              </w:rPr>
              <w:t xml:space="preserve"> </w:t>
            </w:r>
            <w:r>
              <w:rPr>
                <w:color w:val="231F20"/>
                <w:sz w:val="14"/>
              </w:rPr>
              <w:t>одлучивање.</w:t>
            </w:r>
          </w:p>
          <w:p w:rsidR="00041039" w:rsidRDefault="001B26CB">
            <w:pPr>
              <w:pStyle w:val="TableParagraph"/>
              <w:numPr>
                <w:ilvl w:val="0"/>
                <w:numId w:val="298"/>
              </w:numPr>
              <w:tabs>
                <w:tab w:val="left" w:pos="157"/>
              </w:tabs>
              <w:spacing w:line="237" w:lineRule="auto"/>
              <w:ind w:right="314" w:hanging="99"/>
              <w:rPr>
                <w:sz w:val="14"/>
              </w:rPr>
            </w:pPr>
            <w:r>
              <w:rPr>
                <w:color w:val="231F20"/>
                <w:sz w:val="14"/>
              </w:rPr>
              <w:t>Учешће младих: „Лествица партиципа­ ције”.</w:t>
            </w:r>
          </w:p>
          <w:p w:rsidR="00041039" w:rsidRDefault="001B26CB">
            <w:pPr>
              <w:pStyle w:val="TableParagraph"/>
              <w:numPr>
                <w:ilvl w:val="0"/>
                <w:numId w:val="298"/>
              </w:numPr>
              <w:tabs>
                <w:tab w:val="left" w:pos="157"/>
              </w:tabs>
              <w:spacing w:line="155" w:lineRule="exact"/>
              <w:ind w:hanging="99"/>
              <w:rPr>
                <w:sz w:val="14"/>
              </w:rPr>
            </w:pPr>
            <w:r>
              <w:rPr>
                <w:color w:val="231F20"/>
                <w:sz w:val="14"/>
              </w:rPr>
              <w:t>Радити</w:t>
            </w:r>
            <w:r>
              <w:rPr>
                <w:color w:val="231F20"/>
                <w:spacing w:val="-11"/>
                <w:sz w:val="14"/>
              </w:rPr>
              <w:t xml:space="preserve"> </w:t>
            </w:r>
            <w:r>
              <w:rPr>
                <w:color w:val="231F20"/>
                <w:sz w:val="14"/>
              </w:rPr>
              <w:t>заједно.</w:t>
            </w:r>
          </w:p>
          <w:p w:rsidR="00041039" w:rsidRDefault="001B26CB">
            <w:pPr>
              <w:pStyle w:val="TableParagraph"/>
              <w:numPr>
                <w:ilvl w:val="0"/>
                <w:numId w:val="298"/>
              </w:numPr>
              <w:tabs>
                <w:tab w:val="left" w:pos="157"/>
              </w:tabs>
              <w:spacing w:line="160" w:lineRule="exact"/>
              <w:ind w:hanging="99"/>
              <w:rPr>
                <w:sz w:val="14"/>
              </w:rPr>
            </w:pPr>
            <w:r>
              <w:rPr>
                <w:color w:val="231F20"/>
                <w:sz w:val="14"/>
              </w:rPr>
              <w:t xml:space="preserve">Динамика и </w:t>
            </w:r>
            <w:r>
              <w:rPr>
                <w:color w:val="231F20"/>
                <w:spacing w:val="-3"/>
                <w:sz w:val="14"/>
              </w:rPr>
              <w:t xml:space="preserve">исходи </w:t>
            </w:r>
            <w:r>
              <w:rPr>
                <w:color w:val="231F20"/>
                <w:sz w:val="14"/>
              </w:rPr>
              <w:t>сукоба</w:t>
            </w:r>
          </w:p>
          <w:p w:rsidR="00041039" w:rsidRDefault="001B26CB">
            <w:pPr>
              <w:pStyle w:val="TableParagraph"/>
              <w:numPr>
                <w:ilvl w:val="0"/>
                <w:numId w:val="298"/>
              </w:numPr>
              <w:tabs>
                <w:tab w:val="left" w:pos="157"/>
              </w:tabs>
              <w:spacing w:line="160" w:lineRule="exact"/>
              <w:ind w:hanging="99"/>
              <w:rPr>
                <w:sz w:val="14"/>
              </w:rPr>
            </w:pPr>
            <w:r>
              <w:rPr>
                <w:color w:val="231F20"/>
                <w:sz w:val="14"/>
              </w:rPr>
              <w:t>Стилови поступања у</w:t>
            </w:r>
            <w:r>
              <w:rPr>
                <w:color w:val="231F20"/>
                <w:spacing w:val="-4"/>
                <w:sz w:val="14"/>
              </w:rPr>
              <w:t xml:space="preserve"> </w:t>
            </w:r>
            <w:r>
              <w:rPr>
                <w:color w:val="231F20"/>
                <w:sz w:val="14"/>
              </w:rPr>
              <w:t>конфликтима.</w:t>
            </w:r>
          </w:p>
          <w:p w:rsidR="00041039" w:rsidRDefault="001B26CB">
            <w:pPr>
              <w:pStyle w:val="TableParagraph"/>
              <w:numPr>
                <w:ilvl w:val="0"/>
                <w:numId w:val="298"/>
              </w:numPr>
              <w:tabs>
                <w:tab w:val="left" w:pos="157"/>
              </w:tabs>
              <w:spacing w:line="237" w:lineRule="auto"/>
              <w:ind w:right="422" w:hanging="99"/>
              <w:rPr>
                <w:sz w:val="14"/>
              </w:rPr>
            </w:pPr>
            <w:r>
              <w:rPr>
                <w:color w:val="231F20"/>
                <w:sz w:val="14"/>
              </w:rPr>
              <w:t>Сагледавање проблема из</w:t>
            </w:r>
            <w:r>
              <w:rPr>
                <w:color w:val="231F20"/>
                <w:spacing w:val="-23"/>
                <w:sz w:val="14"/>
              </w:rPr>
              <w:t xml:space="preserve"> </w:t>
            </w:r>
            <w:r>
              <w:rPr>
                <w:color w:val="231F20"/>
                <w:sz w:val="14"/>
              </w:rPr>
              <w:t>различитих углова.</w:t>
            </w:r>
          </w:p>
          <w:p w:rsidR="00041039" w:rsidRDefault="001B26CB">
            <w:pPr>
              <w:pStyle w:val="TableParagraph"/>
              <w:numPr>
                <w:ilvl w:val="0"/>
                <w:numId w:val="298"/>
              </w:numPr>
              <w:tabs>
                <w:tab w:val="left" w:pos="157"/>
              </w:tabs>
              <w:spacing w:line="155" w:lineRule="exact"/>
              <w:ind w:hanging="99"/>
              <w:rPr>
                <w:sz w:val="14"/>
              </w:rPr>
            </w:pPr>
            <w:r>
              <w:rPr>
                <w:color w:val="231F20"/>
                <w:sz w:val="14"/>
              </w:rPr>
              <w:t>Налажење</w:t>
            </w:r>
            <w:r>
              <w:rPr>
                <w:color w:val="231F20"/>
                <w:spacing w:val="-1"/>
                <w:sz w:val="14"/>
              </w:rPr>
              <w:t xml:space="preserve"> </w:t>
            </w:r>
            <w:r>
              <w:rPr>
                <w:color w:val="231F20"/>
                <w:sz w:val="14"/>
              </w:rPr>
              <w:t>решења.</w:t>
            </w:r>
          </w:p>
          <w:p w:rsidR="00041039" w:rsidRDefault="001B26CB">
            <w:pPr>
              <w:pStyle w:val="TableParagraph"/>
              <w:numPr>
                <w:ilvl w:val="0"/>
                <w:numId w:val="298"/>
              </w:numPr>
              <w:tabs>
                <w:tab w:val="left" w:pos="157"/>
              </w:tabs>
              <w:spacing w:line="160" w:lineRule="exact"/>
              <w:ind w:hanging="99"/>
              <w:rPr>
                <w:sz w:val="14"/>
              </w:rPr>
            </w:pPr>
            <w:r>
              <w:rPr>
                <w:color w:val="231F20"/>
                <w:sz w:val="14"/>
              </w:rPr>
              <w:t>Постизање</w:t>
            </w:r>
            <w:r>
              <w:rPr>
                <w:color w:val="231F20"/>
                <w:spacing w:val="-1"/>
                <w:sz w:val="14"/>
              </w:rPr>
              <w:t xml:space="preserve"> </w:t>
            </w:r>
            <w:r>
              <w:rPr>
                <w:color w:val="231F20"/>
                <w:sz w:val="14"/>
              </w:rPr>
              <w:t>договора.</w:t>
            </w:r>
          </w:p>
          <w:p w:rsidR="00041039" w:rsidRDefault="001B26CB">
            <w:pPr>
              <w:pStyle w:val="TableParagraph"/>
              <w:numPr>
                <w:ilvl w:val="0"/>
                <w:numId w:val="298"/>
              </w:numPr>
              <w:tabs>
                <w:tab w:val="left" w:pos="157"/>
              </w:tabs>
              <w:spacing w:line="160" w:lineRule="exact"/>
              <w:ind w:hanging="99"/>
              <w:rPr>
                <w:sz w:val="14"/>
              </w:rPr>
            </w:pPr>
            <w:r>
              <w:rPr>
                <w:color w:val="231F20"/>
                <w:sz w:val="14"/>
              </w:rPr>
              <w:t>Извини.</w:t>
            </w:r>
          </w:p>
          <w:p w:rsidR="00041039" w:rsidRDefault="001B26CB">
            <w:pPr>
              <w:pStyle w:val="TableParagraph"/>
              <w:numPr>
                <w:ilvl w:val="0"/>
                <w:numId w:val="298"/>
              </w:numPr>
              <w:tabs>
                <w:tab w:val="left" w:pos="157"/>
              </w:tabs>
              <w:spacing w:line="160" w:lineRule="exact"/>
              <w:ind w:hanging="99"/>
              <w:rPr>
                <w:sz w:val="14"/>
              </w:rPr>
            </w:pPr>
            <w:r>
              <w:rPr>
                <w:color w:val="231F20"/>
                <w:sz w:val="14"/>
              </w:rPr>
              <w:t>Посредовање.</w:t>
            </w:r>
          </w:p>
          <w:p w:rsidR="00041039" w:rsidRDefault="001B26CB">
            <w:pPr>
              <w:pStyle w:val="TableParagraph"/>
              <w:numPr>
                <w:ilvl w:val="0"/>
                <w:numId w:val="298"/>
              </w:numPr>
              <w:tabs>
                <w:tab w:val="left" w:pos="157"/>
              </w:tabs>
              <w:spacing w:line="160" w:lineRule="exact"/>
              <w:ind w:hanging="99"/>
              <w:rPr>
                <w:sz w:val="14"/>
              </w:rPr>
            </w:pPr>
            <w:r>
              <w:rPr>
                <w:color w:val="231F20"/>
                <w:sz w:val="14"/>
              </w:rPr>
              <w:t>Насиље у</w:t>
            </w:r>
            <w:r>
              <w:rPr>
                <w:color w:val="231F20"/>
                <w:spacing w:val="-20"/>
                <w:sz w:val="14"/>
              </w:rPr>
              <w:t xml:space="preserve"> </w:t>
            </w:r>
            <w:r>
              <w:rPr>
                <w:color w:val="231F20"/>
                <w:sz w:val="14"/>
              </w:rPr>
              <w:t>околини.</w:t>
            </w:r>
          </w:p>
          <w:p w:rsidR="00041039" w:rsidRDefault="001B26CB">
            <w:pPr>
              <w:pStyle w:val="TableParagraph"/>
              <w:numPr>
                <w:ilvl w:val="0"/>
                <w:numId w:val="298"/>
              </w:numPr>
              <w:tabs>
                <w:tab w:val="left" w:pos="157"/>
              </w:tabs>
              <w:spacing w:line="160" w:lineRule="exact"/>
              <w:ind w:hanging="99"/>
              <w:rPr>
                <w:sz w:val="14"/>
              </w:rPr>
            </w:pPr>
            <w:r>
              <w:rPr>
                <w:color w:val="231F20"/>
                <w:sz w:val="14"/>
              </w:rPr>
              <w:t>Вршњачко</w:t>
            </w:r>
            <w:r>
              <w:rPr>
                <w:color w:val="231F20"/>
                <w:spacing w:val="-21"/>
                <w:sz w:val="14"/>
              </w:rPr>
              <w:t xml:space="preserve"> </w:t>
            </w:r>
            <w:r>
              <w:rPr>
                <w:color w:val="231F20"/>
                <w:sz w:val="14"/>
              </w:rPr>
              <w:t>насиље.</w:t>
            </w:r>
          </w:p>
          <w:p w:rsidR="00041039" w:rsidRDefault="001B26CB">
            <w:pPr>
              <w:pStyle w:val="TableParagraph"/>
              <w:numPr>
                <w:ilvl w:val="0"/>
                <w:numId w:val="298"/>
              </w:numPr>
              <w:tabs>
                <w:tab w:val="left" w:pos="157"/>
              </w:tabs>
              <w:spacing w:line="160" w:lineRule="exact"/>
              <w:ind w:hanging="99"/>
              <w:rPr>
                <w:sz w:val="14"/>
              </w:rPr>
            </w:pPr>
            <w:r>
              <w:rPr>
                <w:color w:val="231F20"/>
                <w:sz w:val="14"/>
              </w:rPr>
              <w:t>Насиље у</w:t>
            </w:r>
            <w:r>
              <w:rPr>
                <w:color w:val="231F20"/>
                <w:spacing w:val="-1"/>
                <w:sz w:val="14"/>
              </w:rPr>
              <w:t xml:space="preserve"> </w:t>
            </w:r>
            <w:r>
              <w:rPr>
                <w:color w:val="231F20"/>
                <w:spacing w:val="-3"/>
                <w:sz w:val="14"/>
              </w:rPr>
              <w:t>школи.</w:t>
            </w:r>
          </w:p>
          <w:p w:rsidR="00041039" w:rsidRDefault="001B26CB">
            <w:pPr>
              <w:pStyle w:val="TableParagraph"/>
              <w:numPr>
                <w:ilvl w:val="0"/>
                <w:numId w:val="298"/>
              </w:numPr>
              <w:tabs>
                <w:tab w:val="left" w:pos="157"/>
              </w:tabs>
              <w:spacing w:line="166" w:lineRule="exact"/>
              <w:ind w:hanging="99"/>
              <w:rPr>
                <w:sz w:val="14"/>
              </w:rPr>
            </w:pPr>
            <w:r>
              <w:rPr>
                <w:color w:val="231F20"/>
                <w:sz w:val="14"/>
              </w:rPr>
              <w:t>Постизање</w:t>
            </w:r>
            <w:r>
              <w:rPr>
                <w:color w:val="231F20"/>
                <w:sz w:val="14"/>
              </w:rPr>
              <w:t xml:space="preserve"> </w:t>
            </w:r>
            <w:r>
              <w:rPr>
                <w:color w:val="231F20"/>
                <w:sz w:val="14"/>
              </w:rPr>
              <w:t>мира.</w:t>
            </w:r>
          </w:p>
        </w:tc>
        <w:tc>
          <w:tcPr>
            <w:tcW w:w="2267" w:type="dxa"/>
          </w:tcPr>
          <w:p w:rsidR="00041039" w:rsidRDefault="001B26CB">
            <w:pPr>
              <w:pStyle w:val="TableParagraph"/>
              <w:numPr>
                <w:ilvl w:val="0"/>
                <w:numId w:val="297"/>
              </w:numPr>
              <w:tabs>
                <w:tab w:val="left" w:pos="158"/>
              </w:tabs>
              <w:spacing w:before="9"/>
              <w:ind w:right="73" w:hanging="99"/>
              <w:rPr>
                <w:sz w:val="14"/>
              </w:rPr>
            </w:pPr>
            <w:r>
              <w:rPr>
                <w:color w:val="231F20"/>
                <w:sz w:val="14"/>
              </w:rPr>
              <w:t xml:space="preserve">Реализација програма треба да се одвија у складу са принципима активне, проблемске и истражи­ </w:t>
            </w:r>
            <w:r>
              <w:rPr>
                <w:color w:val="231F20"/>
                <w:spacing w:val="-3"/>
                <w:sz w:val="14"/>
              </w:rPr>
              <w:t xml:space="preserve">вачке </w:t>
            </w:r>
            <w:r>
              <w:rPr>
                <w:color w:val="231F20"/>
                <w:sz w:val="14"/>
              </w:rPr>
              <w:t>наставе са сталним рефле­ ксијама на одговарајуће појаве из друштвеног контекста</w:t>
            </w:r>
            <w:r>
              <w:rPr>
                <w:color w:val="231F20"/>
                <w:spacing w:val="-14"/>
                <w:sz w:val="14"/>
              </w:rPr>
              <w:t xml:space="preserve"> </w:t>
            </w:r>
            <w:r>
              <w:rPr>
                <w:color w:val="231F20"/>
                <w:sz w:val="14"/>
              </w:rPr>
              <w:t>прошлости и</w:t>
            </w:r>
            <w:r>
              <w:rPr>
                <w:color w:val="231F20"/>
                <w:spacing w:val="-1"/>
                <w:sz w:val="14"/>
              </w:rPr>
              <w:t xml:space="preserve"> </w:t>
            </w:r>
            <w:r>
              <w:rPr>
                <w:color w:val="231F20"/>
                <w:sz w:val="14"/>
              </w:rPr>
              <w:t>садашњости.</w:t>
            </w:r>
          </w:p>
          <w:p w:rsidR="00041039" w:rsidRDefault="001B26CB">
            <w:pPr>
              <w:pStyle w:val="TableParagraph"/>
              <w:numPr>
                <w:ilvl w:val="0"/>
                <w:numId w:val="297"/>
              </w:numPr>
              <w:tabs>
                <w:tab w:val="left" w:pos="158"/>
              </w:tabs>
              <w:spacing w:line="153" w:lineRule="exact"/>
              <w:ind w:hanging="99"/>
              <w:rPr>
                <w:sz w:val="14"/>
              </w:rPr>
            </w:pPr>
            <w:r>
              <w:rPr>
                <w:color w:val="231F20"/>
                <w:sz w:val="14"/>
              </w:rPr>
              <w:t>Квалитет наставе се</w:t>
            </w:r>
            <w:r>
              <w:rPr>
                <w:color w:val="231F20"/>
                <w:spacing w:val="-5"/>
                <w:sz w:val="14"/>
              </w:rPr>
              <w:t xml:space="preserve"> </w:t>
            </w:r>
            <w:r>
              <w:rPr>
                <w:color w:val="231F20"/>
                <w:sz w:val="14"/>
              </w:rPr>
              <w:t>обезбеђује</w:t>
            </w:r>
          </w:p>
          <w:p w:rsidR="00041039" w:rsidRDefault="001B26CB">
            <w:pPr>
              <w:pStyle w:val="TableParagraph"/>
              <w:ind w:left="157" w:right="143"/>
              <w:rPr>
                <w:sz w:val="14"/>
              </w:rPr>
            </w:pPr>
            <w:r>
              <w:rPr>
                <w:color w:val="231F20"/>
                <w:sz w:val="14"/>
              </w:rPr>
              <w:t>усаглашавањем садржаја са одговарајућим методичким ак­ тивностима и сталном разменом информација унутар групе.</w:t>
            </w:r>
          </w:p>
          <w:p w:rsidR="00041039" w:rsidRDefault="001B26CB">
            <w:pPr>
              <w:pStyle w:val="TableParagraph"/>
              <w:numPr>
                <w:ilvl w:val="0"/>
                <w:numId w:val="297"/>
              </w:numPr>
              <w:tabs>
                <w:tab w:val="left" w:pos="158"/>
              </w:tabs>
              <w:spacing w:line="157" w:lineRule="exact"/>
              <w:ind w:hanging="99"/>
              <w:rPr>
                <w:sz w:val="14"/>
              </w:rPr>
            </w:pPr>
            <w:r>
              <w:rPr>
                <w:color w:val="231F20"/>
                <w:sz w:val="14"/>
              </w:rPr>
              <w:t>Добар индикатор успешне</w:t>
            </w:r>
            <w:r>
              <w:rPr>
                <w:color w:val="231F20"/>
                <w:spacing w:val="-6"/>
                <w:sz w:val="14"/>
              </w:rPr>
              <w:t xml:space="preserve"> </w:t>
            </w:r>
            <w:r>
              <w:rPr>
                <w:color w:val="231F20"/>
                <w:sz w:val="14"/>
              </w:rPr>
              <w:t>на­</w:t>
            </w:r>
          </w:p>
          <w:p w:rsidR="00041039" w:rsidRDefault="001B26CB">
            <w:pPr>
              <w:pStyle w:val="TableParagraph"/>
              <w:ind w:left="157" w:right="179"/>
              <w:rPr>
                <w:sz w:val="14"/>
              </w:rPr>
            </w:pPr>
            <w:r>
              <w:rPr>
                <w:color w:val="231F20"/>
                <w:sz w:val="14"/>
              </w:rPr>
              <w:t>ставе је способност ученика да адекватно примењују стечена знања и вештине и да у пракси изражавају ставове и вреднос</w:t>
            </w:r>
            <w:r>
              <w:rPr>
                <w:color w:val="231F20"/>
                <w:sz w:val="14"/>
              </w:rPr>
              <w:t>ти демократског друштва.</w:t>
            </w:r>
          </w:p>
          <w:p w:rsidR="00041039" w:rsidRDefault="001B26CB">
            <w:pPr>
              <w:pStyle w:val="TableParagraph"/>
              <w:numPr>
                <w:ilvl w:val="0"/>
                <w:numId w:val="297"/>
              </w:numPr>
              <w:tabs>
                <w:tab w:val="left" w:pos="158"/>
              </w:tabs>
              <w:spacing w:line="156" w:lineRule="exact"/>
              <w:ind w:hanging="99"/>
              <w:rPr>
                <w:sz w:val="14"/>
              </w:rPr>
            </w:pPr>
            <w:r>
              <w:rPr>
                <w:color w:val="231F20"/>
                <w:sz w:val="14"/>
              </w:rPr>
              <w:t>Наставник треба да пружи</w:t>
            </w:r>
            <w:r>
              <w:rPr>
                <w:color w:val="231F20"/>
                <w:spacing w:val="-6"/>
                <w:sz w:val="14"/>
              </w:rPr>
              <w:t xml:space="preserve"> </w:t>
            </w:r>
            <w:r>
              <w:rPr>
                <w:color w:val="231F20"/>
                <w:sz w:val="14"/>
              </w:rPr>
              <w:t>неоп­</w:t>
            </w:r>
          </w:p>
          <w:p w:rsidR="00041039" w:rsidRDefault="001B26CB">
            <w:pPr>
              <w:pStyle w:val="TableParagraph"/>
              <w:ind w:left="157"/>
              <w:rPr>
                <w:sz w:val="14"/>
              </w:rPr>
            </w:pPr>
            <w:r>
              <w:rPr>
                <w:color w:val="231F20"/>
                <w:sz w:val="14"/>
              </w:rPr>
              <w:t>ходну помоћ и подршку ученици­ ма у припреми и реализацији ак­ тивности, а заједно са групом да обезбеди повратну информацију о њеној успешности.</w:t>
            </w:r>
          </w:p>
          <w:p w:rsidR="00041039" w:rsidRDefault="001B26CB">
            <w:pPr>
              <w:pStyle w:val="TableParagraph"/>
              <w:numPr>
                <w:ilvl w:val="0"/>
                <w:numId w:val="297"/>
              </w:numPr>
              <w:tabs>
                <w:tab w:val="left" w:pos="158"/>
              </w:tabs>
              <w:spacing w:line="156" w:lineRule="exact"/>
              <w:ind w:hanging="99"/>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 xml:space="preserve">наставник је извор знања, </w:t>
            </w:r>
            <w:r>
              <w:rPr>
                <w:color w:val="231F20"/>
                <w:sz w:val="14"/>
              </w:rPr>
              <w:t>органи­ затор и водитељ ученичких актив­ ности и особа која даје повратну информацију.</w:t>
            </w:r>
          </w:p>
          <w:p w:rsidR="00041039" w:rsidRDefault="001B26CB">
            <w:pPr>
              <w:pStyle w:val="TableParagraph"/>
              <w:numPr>
                <w:ilvl w:val="0"/>
                <w:numId w:val="297"/>
              </w:numPr>
              <w:tabs>
                <w:tab w:val="left" w:pos="158"/>
              </w:tabs>
              <w:spacing w:line="157" w:lineRule="exact"/>
              <w:ind w:hanging="99"/>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297"/>
              </w:numPr>
              <w:tabs>
                <w:tab w:val="left" w:pos="158"/>
              </w:tabs>
              <w:spacing w:line="237" w:lineRule="auto"/>
              <w:ind w:right="59"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p w:rsidR="00041039" w:rsidRDefault="00041039">
            <w:pPr>
              <w:pStyle w:val="TableParagraph"/>
              <w:spacing w:before="9"/>
              <w:ind w:left="0"/>
              <w:rPr>
                <w:b/>
                <w:sz w:val="12"/>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97"/>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297"/>
              </w:numPr>
              <w:tabs>
                <w:tab w:val="left" w:pos="158"/>
              </w:tabs>
              <w:spacing w:line="160" w:lineRule="exact"/>
              <w:ind w:hanging="99"/>
              <w:rPr>
                <w:b/>
                <w:sz w:val="14"/>
              </w:rPr>
            </w:pPr>
            <w:r>
              <w:rPr>
                <w:color w:val="231F20"/>
                <w:sz w:val="14"/>
              </w:rPr>
              <w:t xml:space="preserve">Ја, ми и други </w:t>
            </w:r>
            <w:r>
              <w:rPr>
                <w:b/>
                <w:color w:val="231F20"/>
                <w:sz w:val="14"/>
              </w:rPr>
              <w:t>(8</w:t>
            </w:r>
            <w:r>
              <w:rPr>
                <w:b/>
                <w:color w:val="231F20"/>
                <w:spacing w:val="-6"/>
                <w:sz w:val="14"/>
              </w:rPr>
              <w:t xml:space="preserve"> </w:t>
            </w:r>
            <w:r>
              <w:rPr>
                <w:b/>
                <w:color w:val="231F20"/>
                <w:sz w:val="14"/>
              </w:rPr>
              <w:t>часова)</w:t>
            </w:r>
          </w:p>
          <w:p w:rsidR="00041039" w:rsidRDefault="001B26CB">
            <w:pPr>
              <w:pStyle w:val="TableParagraph"/>
              <w:numPr>
                <w:ilvl w:val="0"/>
                <w:numId w:val="297"/>
              </w:numPr>
              <w:tabs>
                <w:tab w:val="left" w:pos="158"/>
              </w:tabs>
              <w:spacing w:line="160" w:lineRule="exact"/>
              <w:ind w:hanging="99"/>
              <w:rPr>
                <w:b/>
                <w:sz w:val="14"/>
              </w:rPr>
            </w:pPr>
            <w:r>
              <w:rPr>
                <w:color w:val="231F20"/>
                <w:sz w:val="14"/>
              </w:rPr>
              <w:t xml:space="preserve">Комуникација у групи </w:t>
            </w:r>
            <w:r>
              <w:rPr>
                <w:b/>
                <w:color w:val="231F20"/>
                <w:sz w:val="14"/>
              </w:rPr>
              <w:t>(8</w:t>
            </w:r>
            <w:r>
              <w:rPr>
                <w:b/>
                <w:color w:val="231F20"/>
                <w:spacing w:val="-14"/>
                <w:sz w:val="14"/>
              </w:rPr>
              <w:t xml:space="preserve"> </w:t>
            </w:r>
            <w:r>
              <w:rPr>
                <w:b/>
                <w:color w:val="231F20"/>
                <w:sz w:val="14"/>
              </w:rPr>
              <w:t>часова)</w:t>
            </w:r>
          </w:p>
          <w:p w:rsidR="00041039" w:rsidRDefault="001B26CB">
            <w:pPr>
              <w:pStyle w:val="TableParagraph"/>
              <w:numPr>
                <w:ilvl w:val="0"/>
                <w:numId w:val="297"/>
              </w:numPr>
              <w:tabs>
                <w:tab w:val="left" w:pos="158"/>
              </w:tabs>
              <w:spacing w:before="7" w:line="160" w:lineRule="exact"/>
              <w:ind w:right="342" w:hanging="99"/>
              <w:rPr>
                <w:b/>
                <w:sz w:val="14"/>
              </w:rPr>
            </w:pPr>
            <w:r>
              <w:rPr>
                <w:color w:val="231F20"/>
                <w:sz w:val="14"/>
              </w:rPr>
              <w:t>Односи у</w:t>
            </w:r>
            <w:r>
              <w:rPr>
                <w:color w:val="231F20"/>
                <w:spacing w:val="-4"/>
                <w:sz w:val="14"/>
              </w:rPr>
              <w:t xml:space="preserve"> </w:t>
            </w:r>
            <w:r>
              <w:rPr>
                <w:color w:val="231F20"/>
                <w:sz w:val="14"/>
              </w:rPr>
              <w:t>групи/заједници</w:t>
            </w:r>
            <w:r>
              <w:rPr>
                <w:b/>
                <w:color w:val="231F20"/>
                <w:sz w:val="14"/>
              </w:rPr>
              <w:t>(19 часова)</w:t>
            </w:r>
          </w:p>
        </w:tc>
      </w:tr>
    </w:tbl>
    <w:p w:rsidR="00041039" w:rsidRDefault="00041039">
      <w:pPr>
        <w:pStyle w:val="BodyText"/>
        <w:spacing w:before="9"/>
        <w:rPr>
          <w:b/>
          <w:sz w:val="18"/>
        </w:rPr>
      </w:pPr>
    </w:p>
    <w:p w:rsidR="00041039" w:rsidRDefault="001B26CB">
      <w:pPr>
        <w:tabs>
          <w:tab w:val="left" w:pos="1461"/>
        </w:tabs>
        <w:spacing w:before="95"/>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1"/>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1"/>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4100"/>
        </w:trPr>
        <w:tc>
          <w:tcPr>
            <w:tcW w:w="1304" w:type="dxa"/>
          </w:tcPr>
          <w:p w:rsidR="00041039" w:rsidRDefault="001B26CB">
            <w:pPr>
              <w:pStyle w:val="TableParagraph"/>
              <w:spacing w:before="22" w:line="232" w:lineRule="auto"/>
              <w:ind w:left="56" w:right="37"/>
              <w:rPr>
                <w:sz w:val="14"/>
              </w:rPr>
            </w:pPr>
            <w:r>
              <w:rPr>
                <w:color w:val="231F20"/>
                <w:sz w:val="14"/>
              </w:rPr>
              <w:t>Права и одговор­ ности</w:t>
            </w:r>
          </w:p>
        </w:tc>
        <w:tc>
          <w:tcPr>
            <w:tcW w:w="1587" w:type="dxa"/>
          </w:tcPr>
          <w:p w:rsidR="00041039" w:rsidRDefault="001B26CB">
            <w:pPr>
              <w:pStyle w:val="TableParagraph"/>
              <w:numPr>
                <w:ilvl w:val="0"/>
                <w:numId w:val="296"/>
              </w:numPr>
              <w:tabs>
                <w:tab w:val="left" w:pos="157"/>
              </w:tabs>
              <w:spacing w:before="12" w:line="232" w:lineRule="auto"/>
              <w:ind w:right="189"/>
              <w:rPr>
                <w:sz w:val="14"/>
              </w:rPr>
            </w:pPr>
            <w:r>
              <w:rPr>
                <w:color w:val="231F20"/>
                <w:sz w:val="14"/>
              </w:rPr>
              <w:t>Упознавање</w:t>
            </w:r>
            <w:r>
              <w:rPr>
                <w:color w:val="231F20"/>
                <w:spacing w:val="-19"/>
                <w:sz w:val="14"/>
              </w:rPr>
              <w:t xml:space="preserve"> </w:t>
            </w:r>
            <w:r>
              <w:rPr>
                <w:color w:val="231F20"/>
                <w:sz w:val="14"/>
              </w:rPr>
              <w:t>ученика са врстама права и природом (универ­ залност,</w:t>
            </w:r>
            <w:r>
              <w:rPr>
                <w:color w:val="231F20"/>
                <w:spacing w:val="-16"/>
                <w:sz w:val="14"/>
              </w:rPr>
              <w:t xml:space="preserve"> </w:t>
            </w:r>
            <w:r>
              <w:rPr>
                <w:color w:val="231F20"/>
                <w:sz w:val="14"/>
              </w:rPr>
              <w:t>целовитост, недељивост).</w:t>
            </w:r>
          </w:p>
          <w:p w:rsidR="00041039" w:rsidRDefault="001B26CB">
            <w:pPr>
              <w:pStyle w:val="TableParagraph"/>
              <w:numPr>
                <w:ilvl w:val="0"/>
                <w:numId w:val="296"/>
              </w:numPr>
              <w:tabs>
                <w:tab w:val="left" w:pos="157"/>
              </w:tabs>
              <w:spacing w:before="1" w:line="156" w:lineRule="exact"/>
              <w:ind w:right="60"/>
              <w:rPr>
                <w:sz w:val="14"/>
              </w:rPr>
            </w:pPr>
            <w:r>
              <w:rPr>
                <w:color w:val="231F20"/>
                <w:sz w:val="14"/>
              </w:rPr>
              <w:t>Упознавање ученика са начинима и</w:t>
            </w:r>
            <w:r>
              <w:rPr>
                <w:color w:val="231F20"/>
                <w:spacing w:val="-12"/>
                <w:sz w:val="14"/>
              </w:rPr>
              <w:t xml:space="preserve"> </w:t>
            </w:r>
            <w:r>
              <w:rPr>
                <w:color w:val="231F20"/>
                <w:sz w:val="14"/>
              </w:rPr>
              <w:t>механи­ змима заштите</w:t>
            </w:r>
            <w:r>
              <w:rPr>
                <w:color w:val="231F20"/>
                <w:spacing w:val="-8"/>
                <w:sz w:val="14"/>
              </w:rPr>
              <w:t xml:space="preserve"> </w:t>
            </w:r>
            <w:r>
              <w:rPr>
                <w:color w:val="231F20"/>
                <w:sz w:val="14"/>
              </w:rPr>
              <w:t>права.</w:t>
            </w:r>
          </w:p>
          <w:p w:rsidR="00041039" w:rsidRDefault="001B26CB">
            <w:pPr>
              <w:pStyle w:val="TableParagraph"/>
              <w:numPr>
                <w:ilvl w:val="0"/>
                <w:numId w:val="296"/>
              </w:numPr>
              <w:tabs>
                <w:tab w:val="left" w:pos="157"/>
              </w:tabs>
              <w:spacing w:line="156" w:lineRule="exact"/>
              <w:ind w:right="151"/>
              <w:rPr>
                <w:sz w:val="14"/>
              </w:rPr>
            </w:pPr>
            <w:r>
              <w:rPr>
                <w:color w:val="231F20"/>
                <w:sz w:val="14"/>
              </w:rPr>
              <w:t>Сагледавање значаја личног ангажовања</w:t>
            </w:r>
            <w:r>
              <w:rPr>
                <w:color w:val="231F20"/>
                <w:spacing w:val="-11"/>
                <w:sz w:val="14"/>
              </w:rPr>
              <w:t xml:space="preserve"> </w:t>
            </w:r>
            <w:r>
              <w:rPr>
                <w:color w:val="231F20"/>
                <w:sz w:val="14"/>
              </w:rPr>
              <w:t>у заштити сопствених права и права других људи.</w:t>
            </w:r>
          </w:p>
        </w:tc>
        <w:tc>
          <w:tcPr>
            <w:tcW w:w="2551" w:type="dxa"/>
          </w:tcPr>
          <w:p w:rsidR="00041039" w:rsidRDefault="001B26CB">
            <w:pPr>
              <w:pStyle w:val="TableParagraph"/>
              <w:numPr>
                <w:ilvl w:val="0"/>
                <w:numId w:val="295"/>
              </w:numPr>
              <w:tabs>
                <w:tab w:val="left" w:pos="157"/>
              </w:tabs>
              <w:spacing w:before="12" w:line="232" w:lineRule="auto"/>
              <w:ind w:right="299" w:hanging="99"/>
              <w:rPr>
                <w:sz w:val="14"/>
              </w:rPr>
            </w:pPr>
            <w:r>
              <w:rPr>
                <w:color w:val="231F20"/>
                <w:sz w:val="14"/>
              </w:rPr>
              <w:t>објасни значење и смисао</w:t>
            </w:r>
            <w:r>
              <w:rPr>
                <w:color w:val="231F20"/>
                <w:spacing w:val="-17"/>
                <w:sz w:val="14"/>
              </w:rPr>
              <w:t xml:space="preserve"> </w:t>
            </w:r>
            <w:r>
              <w:rPr>
                <w:color w:val="231F20"/>
                <w:sz w:val="14"/>
              </w:rPr>
              <w:t>људских права;</w:t>
            </w:r>
          </w:p>
          <w:p w:rsidR="00041039" w:rsidRDefault="001B26CB">
            <w:pPr>
              <w:pStyle w:val="TableParagraph"/>
              <w:numPr>
                <w:ilvl w:val="0"/>
                <w:numId w:val="295"/>
              </w:numPr>
              <w:tabs>
                <w:tab w:val="left" w:pos="157"/>
              </w:tabs>
              <w:spacing w:before="1" w:line="156" w:lineRule="exact"/>
              <w:ind w:right="74" w:hanging="99"/>
              <w:rPr>
                <w:sz w:val="14"/>
              </w:rPr>
            </w:pPr>
            <w:r>
              <w:rPr>
                <w:color w:val="231F20"/>
                <w:sz w:val="14"/>
              </w:rPr>
              <w:t>разликује врсте људских права</w:t>
            </w:r>
            <w:r>
              <w:rPr>
                <w:color w:val="231F20"/>
                <w:spacing w:val="-26"/>
                <w:sz w:val="14"/>
              </w:rPr>
              <w:t xml:space="preserve"> </w:t>
            </w:r>
            <w:r>
              <w:rPr>
                <w:color w:val="231F20"/>
                <w:sz w:val="14"/>
              </w:rPr>
              <w:t>(лична, политичка, социјалноекономска, културна, здравствена</w:t>
            </w:r>
            <w:r>
              <w:rPr>
                <w:color w:val="231F20"/>
                <w:spacing w:val="-3"/>
                <w:sz w:val="14"/>
              </w:rPr>
              <w:t xml:space="preserve"> </w:t>
            </w:r>
            <w:r>
              <w:rPr>
                <w:color w:val="231F20"/>
                <w:sz w:val="14"/>
              </w:rPr>
              <w:t>права);</w:t>
            </w:r>
          </w:p>
          <w:p w:rsidR="00041039" w:rsidRDefault="001B26CB">
            <w:pPr>
              <w:pStyle w:val="TableParagraph"/>
              <w:numPr>
                <w:ilvl w:val="0"/>
                <w:numId w:val="295"/>
              </w:numPr>
              <w:tabs>
                <w:tab w:val="left" w:pos="157"/>
              </w:tabs>
              <w:spacing w:line="156" w:lineRule="exact"/>
              <w:ind w:right="128" w:hanging="99"/>
              <w:rPr>
                <w:sz w:val="14"/>
              </w:rPr>
            </w:pPr>
            <w:r>
              <w:rPr>
                <w:color w:val="231F20"/>
                <w:sz w:val="14"/>
              </w:rPr>
              <w:t>анализира и објашњава однос пра</w:t>
            </w:r>
            <w:r>
              <w:rPr>
                <w:color w:val="231F20"/>
                <w:sz w:val="14"/>
              </w:rPr>
              <w:t>ва</w:t>
            </w:r>
            <w:r>
              <w:rPr>
                <w:color w:val="231F20"/>
                <w:spacing w:val="-14"/>
                <w:sz w:val="14"/>
              </w:rPr>
              <w:t xml:space="preserve"> </w:t>
            </w:r>
            <w:r>
              <w:rPr>
                <w:color w:val="231F20"/>
                <w:sz w:val="14"/>
              </w:rPr>
              <w:t>и одговорности;</w:t>
            </w:r>
          </w:p>
          <w:p w:rsidR="00041039" w:rsidRDefault="001B26CB">
            <w:pPr>
              <w:pStyle w:val="TableParagraph"/>
              <w:numPr>
                <w:ilvl w:val="0"/>
                <w:numId w:val="295"/>
              </w:numPr>
              <w:tabs>
                <w:tab w:val="left" w:pos="157"/>
              </w:tabs>
              <w:spacing w:line="156" w:lineRule="exact"/>
              <w:ind w:right="79" w:hanging="99"/>
              <w:rPr>
                <w:sz w:val="14"/>
              </w:rPr>
            </w:pPr>
            <w:r>
              <w:rPr>
                <w:color w:val="231F20"/>
                <w:sz w:val="14"/>
              </w:rPr>
              <w:t>објасни целовитост н узајамну повеза­ ност људских</w:t>
            </w:r>
            <w:r>
              <w:rPr>
                <w:color w:val="231F20"/>
                <w:spacing w:val="-1"/>
                <w:sz w:val="14"/>
              </w:rPr>
              <w:t xml:space="preserve"> </w:t>
            </w:r>
            <w:r>
              <w:rPr>
                <w:color w:val="231F20"/>
                <w:sz w:val="14"/>
              </w:rPr>
              <w:t>права;</w:t>
            </w:r>
          </w:p>
          <w:p w:rsidR="00041039" w:rsidRDefault="001B26CB">
            <w:pPr>
              <w:pStyle w:val="TableParagraph"/>
              <w:numPr>
                <w:ilvl w:val="0"/>
                <w:numId w:val="295"/>
              </w:numPr>
              <w:tabs>
                <w:tab w:val="left" w:pos="157"/>
              </w:tabs>
              <w:spacing w:line="156" w:lineRule="exact"/>
              <w:ind w:right="235" w:hanging="99"/>
              <w:rPr>
                <w:sz w:val="14"/>
              </w:rPr>
            </w:pPr>
            <w:r>
              <w:rPr>
                <w:color w:val="231F20"/>
                <w:sz w:val="14"/>
              </w:rPr>
              <w:t>објасни универзалност и развојност људских</w:t>
            </w:r>
            <w:r>
              <w:rPr>
                <w:color w:val="231F20"/>
                <w:spacing w:val="-1"/>
                <w:sz w:val="14"/>
              </w:rPr>
              <w:t xml:space="preserve"> </w:t>
            </w:r>
            <w:r>
              <w:rPr>
                <w:color w:val="231F20"/>
                <w:sz w:val="14"/>
              </w:rPr>
              <w:t>права;</w:t>
            </w:r>
          </w:p>
          <w:p w:rsidR="00041039" w:rsidRDefault="001B26CB">
            <w:pPr>
              <w:pStyle w:val="TableParagraph"/>
              <w:numPr>
                <w:ilvl w:val="0"/>
                <w:numId w:val="295"/>
              </w:numPr>
              <w:tabs>
                <w:tab w:val="left" w:pos="157"/>
              </w:tabs>
              <w:spacing w:line="156" w:lineRule="exact"/>
              <w:ind w:right="196" w:hanging="99"/>
              <w:rPr>
                <w:sz w:val="14"/>
              </w:rPr>
            </w:pPr>
            <w:r>
              <w:rPr>
                <w:color w:val="231F20"/>
                <w:sz w:val="14"/>
              </w:rPr>
              <w:t>објашњава потребу посебне</w:t>
            </w:r>
            <w:r>
              <w:rPr>
                <w:color w:val="231F20"/>
                <w:spacing w:val="-13"/>
                <w:sz w:val="14"/>
              </w:rPr>
              <w:t xml:space="preserve"> </w:t>
            </w:r>
            <w:r>
              <w:rPr>
                <w:color w:val="231F20"/>
                <w:sz w:val="14"/>
              </w:rPr>
              <w:t>заштите права</w:t>
            </w:r>
            <w:r>
              <w:rPr>
                <w:color w:val="231F20"/>
                <w:spacing w:val="-1"/>
                <w:sz w:val="14"/>
              </w:rPr>
              <w:t xml:space="preserve"> </w:t>
            </w:r>
            <w:r>
              <w:rPr>
                <w:color w:val="231F20"/>
                <w:sz w:val="14"/>
              </w:rPr>
              <w:t>детета;</w:t>
            </w:r>
          </w:p>
          <w:p w:rsidR="00041039" w:rsidRDefault="001B26CB">
            <w:pPr>
              <w:pStyle w:val="TableParagraph"/>
              <w:numPr>
                <w:ilvl w:val="0"/>
                <w:numId w:val="295"/>
              </w:numPr>
              <w:tabs>
                <w:tab w:val="left" w:pos="157"/>
              </w:tabs>
              <w:spacing w:line="156" w:lineRule="exact"/>
              <w:ind w:right="55" w:hanging="99"/>
              <w:rPr>
                <w:sz w:val="14"/>
              </w:rPr>
            </w:pPr>
            <w:r>
              <w:rPr>
                <w:color w:val="231F20"/>
                <w:sz w:val="14"/>
              </w:rPr>
              <w:t>проналази примере и показатеље остваривања и кршења људских</w:t>
            </w:r>
            <w:r>
              <w:rPr>
                <w:color w:val="231F20"/>
                <w:spacing w:val="-16"/>
                <w:sz w:val="14"/>
              </w:rPr>
              <w:t xml:space="preserve"> </w:t>
            </w:r>
            <w:r>
              <w:rPr>
                <w:color w:val="231F20"/>
                <w:sz w:val="14"/>
              </w:rPr>
              <w:t>права;</w:t>
            </w:r>
          </w:p>
          <w:p w:rsidR="00041039" w:rsidRDefault="001B26CB">
            <w:pPr>
              <w:pStyle w:val="TableParagraph"/>
              <w:numPr>
                <w:ilvl w:val="0"/>
                <w:numId w:val="295"/>
              </w:numPr>
              <w:tabs>
                <w:tab w:val="left" w:pos="156"/>
              </w:tabs>
              <w:spacing w:line="156" w:lineRule="exact"/>
              <w:ind w:left="155" w:right="59" w:hanging="98"/>
              <w:rPr>
                <w:sz w:val="14"/>
              </w:rPr>
            </w:pPr>
            <w:r>
              <w:rPr>
                <w:color w:val="231F20"/>
                <w:sz w:val="14"/>
              </w:rPr>
              <w:t>процени</w:t>
            </w:r>
            <w:r>
              <w:rPr>
                <w:color w:val="231F20"/>
                <w:spacing w:val="-11"/>
                <w:sz w:val="14"/>
              </w:rPr>
              <w:t xml:space="preserve"> </w:t>
            </w:r>
            <w:r>
              <w:rPr>
                <w:color w:val="231F20"/>
                <w:sz w:val="14"/>
              </w:rPr>
              <w:t>положај</w:t>
            </w:r>
            <w:r>
              <w:rPr>
                <w:color w:val="231F20"/>
                <w:spacing w:val="-11"/>
                <w:sz w:val="14"/>
              </w:rPr>
              <w:t xml:space="preserve"> </w:t>
            </w:r>
            <w:r>
              <w:rPr>
                <w:color w:val="231F20"/>
                <w:sz w:val="14"/>
              </w:rPr>
              <w:t>појединца</w:t>
            </w:r>
            <w:r>
              <w:rPr>
                <w:color w:val="231F20"/>
                <w:spacing w:val="-11"/>
                <w:sz w:val="14"/>
              </w:rPr>
              <w:t xml:space="preserve"> </w:t>
            </w:r>
            <w:r>
              <w:rPr>
                <w:color w:val="231F20"/>
                <w:sz w:val="14"/>
              </w:rPr>
              <w:t>и</w:t>
            </w:r>
            <w:r>
              <w:rPr>
                <w:color w:val="231F20"/>
                <w:spacing w:val="-11"/>
                <w:sz w:val="14"/>
              </w:rPr>
              <w:t xml:space="preserve"> </w:t>
            </w:r>
            <w:r>
              <w:rPr>
                <w:color w:val="231F20"/>
                <w:sz w:val="14"/>
              </w:rPr>
              <w:t xml:space="preserve">друштве­ них група са аспекта </w:t>
            </w:r>
            <w:r>
              <w:rPr>
                <w:color w:val="231F20"/>
                <w:spacing w:val="-3"/>
                <w:sz w:val="14"/>
              </w:rPr>
              <w:t>људских</w:t>
            </w:r>
            <w:r>
              <w:rPr>
                <w:color w:val="231F20"/>
                <w:spacing w:val="-18"/>
                <w:sz w:val="14"/>
              </w:rPr>
              <w:t xml:space="preserve"> </w:t>
            </w:r>
            <w:r>
              <w:rPr>
                <w:color w:val="231F20"/>
                <w:sz w:val="14"/>
              </w:rPr>
              <w:t>права;</w:t>
            </w:r>
          </w:p>
          <w:p w:rsidR="00041039" w:rsidRDefault="001B26CB">
            <w:pPr>
              <w:pStyle w:val="TableParagraph"/>
              <w:numPr>
                <w:ilvl w:val="0"/>
                <w:numId w:val="295"/>
              </w:numPr>
              <w:tabs>
                <w:tab w:val="left" w:pos="157"/>
              </w:tabs>
              <w:spacing w:line="156" w:lineRule="exact"/>
              <w:ind w:right="105" w:hanging="99"/>
              <w:rPr>
                <w:sz w:val="14"/>
              </w:rPr>
            </w:pPr>
            <w:r>
              <w:rPr>
                <w:color w:val="231F20"/>
                <w:sz w:val="14"/>
              </w:rPr>
              <w:t>објасни механизме и начине за</w:t>
            </w:r>
            <w:r>
              <w:rPr>
                <w:color w:val="231F20"/>
                <w:spacing w:val="-21"/>
                <w:sz w:val="14"/>
              </w:rPr>
              <w:t xml:space="preserve"> </w:t>
            </w:r>
            <w:r>
              <w:rPr>
                <w:color w:val="231F20"/>
                <w:sz w:val="14"/>
              </w:rPr>
              <w:t>зашти­ ту људских</w:t>
            </w:r>
            <w:r>
              <w:rPr>
                <w:color w:val="231F20"/>
                <w:spacing w:val="-1"/>
                <w:sz w:val="14"/>
              </w:rPr>
              <w:t xml:space="preserve"> </w:t>
            </w:r>
            <w:r>
              <w:rPr>
                <w:color w:val="231F20"/>
                <w:sz w:val="14"/>
              </w:rPr>
              <w:t>права;</w:t>
            </w:r>
          </w:p>
          <w:p w:rsidR="00041039" w:rsidRDefault="001B26CB">
            <w:pPr>
              <w:pStyle w:val="TableParagraph"/>
              <w:numPr>
                <w:ilvl w:val="0"/>
                <w:numId w:val="295"/>
              </w:numPr>
              <w:tabs>
                <w:tab w:val="left" w:pos="157"/>
              </w:tabs>
              <w:spacing w:line="156" w:lineRule="exact"/>
              <w:ind w:right="143" w:hanging="99"/>
              <w:rPr>
                <w:sz w:val="14"/>
              </w:rPr>
            </w:pPr>
            <w:r>
              <w:rPr>
                <w:color w:val="231F20"/>
                <w:sz w:val="14"/>
              </w:rPr>
              <w:t>анализира и тумачи основна међуна­ родна и домаћа документа из</w:t>
            </w:r>
            <w:r>
              <w:rPr>
                <w:color w:val="231F20"/>
                <w:spacing w:val="-24"/>
                <w:sz w:val="14"/>
              </w:rPr>
              <w:t xml:space="preserve"> </w:t>
            </w:r>
            <w:r>
              <w:rPr>
                <w:color w:val="231F20"/>
                <w:sz w:val="14"/>
              </w:rPr>
              <w:t>области људских</w:t>
            </w:r>
            <w:r>
              <w:rPr>
                <w:color w:val="231F20"/>
                <w:spacing w:val="-1"/>
                <w:sz w:val="14"/>
              </w:rPr>
              <w:t xml:space="preserve"> </w:t>
            </w:r>
            <w:r>
              <w:rPr>
                <w:color w:val="231F20"/>
                <w:sz w:val="14"/>
              </w:rPr>
              <w:t>права;</w:t>
            </w:r>
          </w:p>
          <w:p w:rsidR="00041039" w:rsidRDefault="001B26CB">
            <w:pPr>
              <w:pStyle w:val="TableParagraph"/>
              <w:numPr>
                <w:ilvl w:val="0"/>
                <w:numId w:val="295"/>
              </w:numPr>
              <w:tabs>
                <w:tab w:val="left" w:pos="150"/>
              </w:tabs>
              <w:spacing w:line="156" w:lineRule="exact"/>
              <w:ind w:left="149" w:right="44" w:hanging="92"/>
              <w:rPr>
                <w:sz w:val="14"/>
              </w:rPr>
            </w:pPr>
            <w:r>
              <w:rPr>
                <w:color w:val="231F20"/>
                <w:spacing w:val="-4"/>
                <w:sz w:val="14"/>
              </w:rPr>
              <w:t xml:space="preserve">објасни </w:t>
            </w:r>
            <w:r>
              <w:rPr>
                <w:color w:val="231F20"/>
                <w:spacing w:val="-5"/>
                <w:sz w:val="14"/>
              </w:rPr>
              <w:t xml:space="preserve">улогу најзначајнијих </w:t>
            </w:r>
            <w:r>
              <w:rPr>
                <w:color w:val="231F20"/>
                <w:spacing w:val="-4"/>
                <w:sz w:val="14"/>
              </w:rPr>
              <w:t xml:space="preserve">институција </w:t>
            </w:r>
            <w:r>
              <w:rPr>
                <w:color w:val="231F20"/>
                <w:sz w:val="14"/>
              </w:rPr>
              <w:t xml:space="preserve">и </w:t>
            </w:r>
            <w:r>
              <w:rPr>
                <w:color w:val="231F20"/>
                <w:spacing w:val="-4"/>
                <w:sz w:val="14"/>
              </w:rPr>
              <w:t>процеду</w:t>
            </w:r>
            <w:r>
              <w:rPr>
                <w:color w:val="231F20"/>
                <w:spacing w:val="-4"/>
                <w:sz w:val="14"/>
              </w:rPr>
              <w:t xml:space="preserve">ре заштите </w:t>
            </w:r>
            <w:r>
              <w:rPr>
                <w:color w:val="231F20"/>
                <w:spacing w:val="-5"/>
                <w:sz w:val="14"/>
              </w:rPr>
              <w:t>људских</w:t>
            </w:r>
            <w:r>
              <w:rPr>
                <w:color w:val="231F20"/>
                <w:spacing w:val="-18"/>
                <w:sz w:val="14"/>
              </w:rPr>
              <w:t xml:space="preserve"> </w:t>
            </w:r>
            <w:r>
              <w:rPr>
                <w:color w:val="231F20"/>
                <w:spacing w:val="-4"/>
                <w:sz w:val="14"/>
              </w:rPr>
              <w:t>права;</w:t>
            </w:r>
          </w:p>
          <w:p w:rsidR="00041039" w:rsidRDefault="001B26CB">
            <w:pPr>
              <w:pStyle w:val="TableParagraph"/>
              <w:numPr>
                <w:ilvl w:val="0"/>
                <w:numId w:val="295"/>
              </w:numPr>
              <w:tabs>
                <w:tab w:val="left" w:pos="157"/>
              </w:tabs>
              <w:spacing w:line="156" w:lineRule="exact"/>
              <w:ind w:right="342" w:hanging="99"/>
              <w:rPr>
                <w:sz w:val="14"/>
              </w:rPr>
            </w:pPr>
            <w:r>
              <w:rPr>
                <w:color w:val="231F20"/>
                <w:sz w:val="14"/>
              </w:rPr>
              <w:t>објасни улогу појединца и група</w:t>
            </w:r>
            <w:r>
              <w:rPr>
                <w:color w:val="231F20"/>
                <w:spacing w:val="-19"/>
                <w:sz w:val="14"/>
              </w:rPr>
              <w:t xml:space="preserve"> </w:t>
            </w:r>
            <w:r>
              <w:rPr>
                <w:color w:val="231F20"/>
                <w:sz w:val="14"/>
              </w:rPr>
              <w:t>у заштити људских</w:t>
            </w:r>
            <w:r>
              <w:rPr>
                <w:color w:val="231F20"/>
                <w:spacing w:val="-4"/>
                <w:sz w:val="14"/>
              </w:rPr>
              <w:t xml:space="preserve"> </w:t>
            </w:r>
            <w:r>
              <w:rPr>
                <w:color w:val="231F20"/>
                <w:sz w:val="14"/>
              </w:rPr>
              <w:t>права;</w:t>
            </w:r>
          </w:p>
        </w:tc>
        <w:tc>
          <w:tcPr>
            <w:tcW w:w="2834" w:type="dxa"/>
          </w:tcPr>
          <w:p w:rsidR="00041039" w:rsidRDefault="001B26CB">
            <w:pPr>
              <w:pStyle w:val="TableParagraph"/>
              <w:numPr>
                <w:ilvl w:val="0"/>
                <w:numId w:val="294"/>
              </w:numPr>
              <w:tabs>
                <w:tab w:val="left" w:pos="157"/>
              </w:tabs>
              <w:spacing w:before="6" w:line="164" w:lineRule="exact"/>
              <w:ind w:hanging="99"/>
              <w:rPr>
                <w:sz w:val="14"/>
              </w:rPr>
            </w:pPr>
            <w:r>
              <w:rPr>
                <w:color w:val="231F20"/>
                <w:sz w:val="14"/>
              </w:rPr>
              <w:t>Потребе и</w:t>
            </w:r>
            <w:r>
              <w:rPr>
                <w:color w:val="231F20"/>
                <w:spacing w:val="-10"/>
                <w:sz w:val="14"/>
              </w:rPr>
              <w:t xml:space="preserve"> </w:t>
            </w:r>
            <w:r>
              <w:rPr>
                <w:color w:val="231F20"/>
                <w:sz w:val="14"/>
              </w:rPr>
              <w:t>права.</w:t>
            </w:r>
          </w:p>
          <w:p w:rsidR="00041039" w:rsidRDefault="001B26CB">
            <w:pPr>
              <w:pStyle w:val="TableParagraph"/>
              <w:numPr>
                <w:ilvl w:val="0"/>
                <w:numId w:val="294"/>
              </w:numPr>
              <w:tabs>
                <w:tab w:val="left" w:pos="157"/>
              </w:tabs>
              <w:spacing w:line="156" w:lineRule="exact"/>
              <w:ind w:hanging="99"/>
              <w:rPr>
                <w:sz w:val="14"/>
              </w:rPr>
            </w:pPr>
            <w:r>
              <w:rPr>
                <w:color w:val="231F20"/>
                <w:sz w:val="14"/>
              </w:rPr>
              <w:t>Права и</w:t>
            </w:r>
            <w:r>
              <w:rPr>
                <w:color w:val="231F20"/>
                <w:spacing w:val="-14"/>
                <w:sz w:val="14"/>
              </w:rPr>
              <w:t xml:space="preserve"> </w:t>
            </w:r>
            <w:r>
              <w:rPr>
                <w:color w:val="231F20"/>
                <w:sz w:val="14"/>
              </w:rPr>
              <w:t>правила.</w:t>
            </w:r>
          </w:p>
          <w:p w:rsidR="00041039" w:rsidRDefault="001B26CB">
            <w:pPr>
              <w:pStyle w:val="TableParagraph"/>
              <w:numPr>
                <w:ilvl w:val="0"/>
                <w:numId w:val="294"/>
              </w:numPr>
              <w:tabs>
                <w:tab w:val="left" w:pos="157"/>
              </w:tabs>
              <w:spacing w:line="156" w:lineRule="exact"/>
              <w:ind w:hanging="99"/>
              <w:rPr>
                <w:sz w:val="14"/>
              </w:rPr>
            </w:pPr>
            <w:r>
              <w:rPr>
                <w:color w:val="231F20"/>
                <w:sz w:val="14"/>
              </w:rPr>
              <w:t>Права и</w:t>
            </w:r>
            <w:r>
              <w:rPr>
                <w:color w:val="231F20"/>
                <w:spacing w:val="-2"/>
                <w:sz w:val="14"/>
              </w:rPr>
              <w:t xml:space="preserve"> </w:t>
            </w:r>
            <w:r>
              <w:rPr>
                <w:color w:val="231F20"/>
                <w:sz w:val="14"/>
              </w:rPr>
              <w:t>закони.</w:t>
            </w:r>
          </w:p>
          <w:p w:rsidR="00041039" w:rsidRDefault="001B26CB">
            <w:pPr>
              <w:pStyle w:val="TableParagraph"/>
              <w:numPr>
                <w:ilvl w:val="0"/>
                <w:numId w:val="294"/>
              </w:numPr>
              <w:tabs>
                <w:tab w:val="left" w:pos="157"/>
              </w:tabs>
              <w:spacing w:line="156" w:lineRule="exact"/>
              <w:ind w:hanging="99"/>
              <w:rPr>
                <w:sz w:val="14"/>
              </w:rPr>
            </w:pPr>
            <w:r>
              <w:rPr>
                <w:color w:val="231F20"/>
                <w:sz w:val="14"/>
              </w:rPr>
              <w:t>Међународна документа о заштити</w:t>
            </w:r>
            <w:r>
              <w:rPr>
                <w:color w:val="231F20"/>
                <w:spacing w:val="-11"/>
                <w:sz w:val="14"/>
              </w:rPr>
              <w:t xml:space="preserve"> </w:t>
            </w:r>
            <w:r>
              <w:rPr>
                <w:color w:val="231F20"/>
                <w:sz w:val="14"/>
              </w:rPr>
              <w:t>права.</w:t>
            </w:r>
          </w:p>
          <w:p w:rsidR="00041039" w:rsidRDefault="001B26CB">
            <w:pPr>
              <w:pStyle w:val="TableParagraph"/>
              <w:numPr>
                <w:ilvl w:val="0"/>
                <w:numId w:val="294"/>
              </w:numPr>
              <w:tabs>
                <w:tab w:val="left" w:pos="157"/>
              </w:tabs>
              <w:spacing w:line="156" w:lineRule="exact"/>
              <w:ind w:hanging="99"/>
              <w:rPr>
                <w:sz w:val="14"/>
              </w:rPr>
            </w:pPr>
            <w:r>
              <w:rPr>
                <w:color w:val="231F20"/>
                <w:sz w:val="14"/>
              </w:rPr>
              <w:t>Права и</w:t>
            </w:r>
            <w:r>
              <w:rPr>
                <w:color w:val="231F20"/>
                <w:spacing w:val="-2"/>
                <w:sz w:val="14"/>
              </w:rPr>
              <w:t xml:space="preserve"> </w:t>
            </w:r>
            <w:r>
              <w:rPr>
                <w:color w:val="231F20"/>
                <w:sz w:val="14"/>
              </w:rPr>
              <w:t>вредности.</w:t>
            </w:r>
          </w:p>
          <w:p w:rsidR="00041039" w:rsidRDefault="001B26CB">
            <w:pPr>
              <w:pStyle w:val="TableParagraph"/>
              <w:numPr>
                <w:ilvl w:val="0"/>
                <w:numId w:val="294"/>
              </w:numPr>
              <w:tabs>
                <w:tab w:val="left" w:pos="157"/>
              </w:tabs>
              <w:spacing w:line="156" w:lineRule="exact"/>
              <w:ind w:hanging="99"/>
              <w:rPr>
                <w:sz w:val="14"/>
              </w:rPr>
            </w:pPr>
            <w:r>
              <w:rPr>
                <w:color w:val="231F20"/>
                <w:sz w:val="14"/>
              </w:rPr>
              <w:t>Врсте</w:t>
            </w:r>
            <w:r>
              <w:rPr>
                <w:color w:val="231F20"/>
                <w:spacing w:val="-1"/>
                <w:sz w:val="14"/>
              </w:rPr>
              <w:t xml:space="preserve"> </w:t>
            </w:r>
            <w:r>
              <w:rPr>
                <w:color w:val="231F20"/>
                <w:sz w:val="14"/>
              </w:rPr>
              <w:t>права.</w:t>
            </w:r>
          </w:p>
          <w:p w:rsidR="00041039" w:rsidRDefault="001B26CB">
            <w:pPr>
              <w:pStyle w:val="TableParagraph"/>
              <w:numPr>
                <w:ilvl w:val="0"/>
                <w:numId w:val="294"/>
              </w:numPr>
              <w:tabs>
                <w:tab w:val="left" w:pos="157"/>
              </w:tabs>
              <w:spacing w:line="156" w:lineRule="exact"/>
              <w:ind w:hanging="99"/>
              <w:rPr>
                <w:sz w:val="14"/>
              </w:rPr>
            </w:pPr>
            <w:r>
              <w:rPr>
                <w:color w:val="231F20"/>
                <w:sz w:val="14"/>
              </w:rPr>
              <w:t>Односи међу</w:t>
            </w:r>
            <w:r>
              <w:rPr>
                <w:color w:val="231F20"/>
                <w:spacing w:val="-1"/>
                <w:sz w:val="14"/>
              </w:rPr>
              <w:t xml:space="preserve"> </w:t>
            </w:r>
            <w:r>
              <w:rPr>
                <w:color w:val="231F20"/>
                <w:sz w:val="14"/>
              </w:rPr>
              <w:t>правима.</w:t>
            </w:r>
          </w:p>
          <w:p w:rsidR="00041039" w:rsidRDefault="001B26CB">
            <w:pPr>
              <w:pStyle w:val="TableParagraph"/>
              <w:numPr>
                <w:ilvl w:val="0"/>
                <w:numId w:val="294"/>
              </w:numPr>
              <w:tabs>
                <w:tab w:val="left" w:pos="157"/>
              </w:tabs>
              <w:spacing w:line="156" w:lineRule="exact"/>
              <w:ind w:hanging="99"/>
              <w:rPr>
                <w:sz w:val="14"/>
              </w:rPr>
            </w:pPr>
            <w:r>
              <w:rPr>
                <w:color w:val="231F20"/>
                <w:spacing w:val="-3"/>
                <w:sz w:val="14"/>
              </w:rPr>
              <w:t>Сукоб</w:t>
            </w:r>
            <w:r>
              <w:rPr>
                <w:color w:val="231F20"/>
                <w:spacing w:val="-1"/>
                <w:sz w:val="14"/>
              </w:rPr>
              <w:t xml:space="preserve"> </w:t>
            </w:r>
            <w:r>
              <w:rPr>
                <w:color w:val="231F20"/>
                <w:sz w:val="14"/>
              </w:rPr>
              <w:t>пpaвa.</w:t>
            </w:r>
          </w:p>
          <w:p w:rsidR="00041039" w:rsidRDefault="001B26CB">
            <w:pPr>
              <w:pStyle w:val="TableParagraph"/>
              <w:numPr>
                <w:ilvl w:val="0"/>
                <w:numId w:val="294"/>
              </w:numPr>
              <w:tabs>
                <w:tab w:val="left" w:pos="157"/>
              </w:tabs>
              <w:spacing w:line="156" w:lineRule="exact"/>
              <w:ind w:hanging="99"/>
              <w:rPr>
                <w:sz w:val="14"/>
              </w:rPr>
            </w:pPr>
            <w:r>
              <w:rPr>
                <w:color w:val="231F20"/>
                <w:sz w:val="14"/>
              </w:rPr>
              <w:t xml:space="preserve">Дечја и </w:t>
            </w:r>
            <w:r>
              <w:rPr>
                <w:color w:val="231F20"/>
                <w:spacing w:val="-3"/>
                <w:sz w:val="14"/>
              </w:rPr>
              <w:t>људска</w:t>
            </w:r>
            <w:r>
              <w:rPr>
                <w:color w:val="231F20"/>
                <w:spacing w:val="-2"/>
                <w:sz w:val="14"/>
              </w:rPr>
              <w:t xml:space="preserve"> </w:t>
            </w:r>
            <w:r>
              <w:rPr>
                <w:color w:val="231F20"/>
                <w:sz w:val="14"/>
              </w:rPr>
              <w:t>права.</w:t>
            </w:r>
          </w:p>
          <w:p w:rsidR="00041039" w:rsidRDefault="001B26CB">
            <w:pPr>
              <w:pStyle w:val="TableParagraph"/>
              <w:numPr>
                <w:ilvl w:val="0"/>
                <w:numId w:val="294"/>
              </w:numPr>
              <w:tabs>
                <w:tab w:val="left" w:pos="157"/>
              </w:tabs>
              <w:spacing w:line="232" w:lineRule="auto"/>
              <w:ind w:right="542" w:hanging="99"/>
              <w:rPr>
                <w:sz w:val="14"/>
              </w:rPr>
            </w:pPr>
            <w:r>
              <w:rPr>
                <w:color w:val="231F20"/>
                <w:sz w:val="14"/>
              </w:rPr>
              <w:t>Конвенције и заступљеност права</w:t>
            </w:r>
            <w:r>
              <w:rPr>
                <w:color w:val="231F20"/>
                <w:spacing w:val="-15"/>
                <w:sz w:val="14"/>
              </w:rPr>
              <w:t xml:space="preserve"> </w:t>
            </w:r>
            <w:r>
              <w:rPr>
                <w:color w:val="231F20"/>
                <w:sz w:val="14"/>
              </w:rPr>
              <w:t>у штампи.</w:t>
            </w:r>
          </w:p>
          <w:p w:rsidR="00041039" w:rsidRDefault="001B26CB">
            <w:pPr>
              <w:pStyle w:val="TableParagraph"/>
              <w:numPr>
                <w:ilvl w:val="0"/>
                <w:numId w:val="294"/>
              </w:numPr>
              <w:tabs>
                <w:tab w:val="left" w:pos="157"/>
              </w:tabs>
              <w:spacing w:line="149" w:lineRule="exact"/>
              <w:ind w:hanging="99"/>
              <w:rPr>
                <w:sz w:val="14"/>
              </w:rPr>
            </w:pPr>
            <w:r>
              <w:rPr>
                <w:color w:val="231F20"/>
                <w:sz w:val="14"/>
              </w:rPr>
              <w:t>Одговорност</w:t>
            </w:r>
            <w:r>
              <w:rPr>
                <w:color w:val="231F20"/>
                <w:spacing w:val="-1"/>
                <w:sz w:val="14"/>
              </w:rPr>
              <w:t xml:space="preserve"> </w:t>
            </w:r>
            <w:r>
              <w:rPr>
                <w:color w:val="231F20"/>
                <w:sz w:val="14"/>
              </w:rPr>
              <w:t>одраслих.</w:t>
            </w:r>
          </w:p>
          <w:p w:rsidR="00041039" w:rsidRDefault="001B26CB">
            <w:pPr>
              <w:pStyle w:val="TableParagraph"/>
              <w:numPr>
                <w:ilvl w:val="0"/>
                <w:numId w:val="294"/>
              </w:numPr>
              <w:tabs>
                <w:tab w:val="left" w:pos="157"/>
              </w:tabs>
              <w:spacing w:line="156" w:lineRule="exact"/>
              <w:ind w:hanging="99"/>
              <w:rPr>
                <w:sz w:val="14"/>
              </w:rPr>
            </w:pPr>
            <w:r>
              <w:rPr>
                <w:color w:val="231F20"/>
                <w:sz w:val="14"/>
              </w:rPr>
              <w:t>Одговорност</w:t>
            </w:r>
            <w:r>
              <w:rPr>
                <w:color w:val="231F20"/>
                <w:spacing w:val="-1"/>
                <w:sz w:val="14"/>
              </w:rPr>
              <w:t xml:space="preserve"> </w:t>
            </w:r>
            <w:r>
              <w:rPr>
                <w:color w:val="231F20"/>
                <w:sz w:val="14"/>
              </w:rPr>
              <w:t>деце.</w:t>
            </w:r>
          </w:p>
          <w:p w:rsidR="00041039" w:rsidRDefault="001B26CB">
            <w:pPr>
              <w:pStyle w:val="TableParagraph"/>
              <w:numPr>
                <w:ilvl w:val="0"/>
                <w:numId w:val="294"/>
              </w:numPr>
              <w:tabs>
                <w:tab w:val="left" w:pos="157"/>
              </w:tabs>
              <w:spacing w:line="156" w:lineRule="exact"/>
              <w:ind w:hanging="99"/>
              <w:rPr>
                <w:sz w:val="14"/>
              </w:rPr>
            </w:pPr>
            <w:r>
              <w:rPr>
                <w:color w:val="231F20"/>
                <w:sz w:val="14"/>
              </w:rPr>
              <w:t>Кршење права</w:t>
            </w:r>
            <w:r>
              <w:rPr>
                <w:color w:val="231F20"/>
                <w:spacing w:val="-4"/>
                <w:sz w:val="14"/>
              </w:rPr>
              <w:t xml:space="preserve"> </w:t>
            </w:r>
            <w:r>
              <w:rPr>
                <w:color w:val="231F20"/>
                <w:sz w:val="14"/>
              </w:rPr>
              <w:t>детета.</w:t>
            </w:r>
          </w:p>
          <w:p w:rsidR="00041039" w:rsidRDefault="001B26CB">
            <w:pPr>
              <w:pStyle w:val="TableParagraph"/>
              <w:numPr>
                <w:ilvl w:val="0"/>
                <w:numId w:val="294"/>
              </w:numPr>
              <w:tabs>
                <w:tab w:val="left" w:pos="157"/>
              </w:tabs>
              <w:spacing w:line="164" w:lineRule="exact"/>
              <w:ind w:hanging="99"/>
              <w:rPr>
                <w:sz w:val="14"/>
              </w:rPr>
            </w:pPr>
            <w:r>
              <w:rPr>
                <w:color w:val="231F20"/>
                <w:sz w:val="14"/>
              </w:rPr>
              <w:t>Заштита права</w:t>
            </w:r>
            <w:r>
              <w:rPr>
                <w:color w:val="231F20"/>
                <w:spacing w:val="-3"/>
                <w:sz w:val="14"/>
              </w:rPr>
              <w:t xml:space="preserve"> </w:t>
            </w:r>
            <w:r>
              <w:rPr>
                <w:color w:val="231F20"/>
                <w:sz w:val="14"/>
              </w:rPr>
              <w:t>детета.</w:t>
            </w:r>
          </w:p>
        </w:tc>
        <w:tc>
          <w:tcPr>
            <w:tcW w:w="2267" w:type="dxa"/>
          </w:tcPr>
          <w:p w:rsidR="00041039" w:rsidRDefault="001B26CB">
            <w:pPr>
              <w:pStyle w:val="TableParagraph"/>
              <w:numPr>
                <w:ilvl w:val="0"/>
                <w:numId w:val="293"/>
              </w:numPr>
              <w:tabs>
                <w:tab w:val="left" w:pos="158"/>
              </w:tabs>
              <w:spacing w:before="10" w:line="232"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1"/>
              <w:ind w:left="0"/>
              <w:rPr>
                <w:b/>
                <w:sz w:val="13"/>
              </w:rPr>
            </w:pPr>
          </w:p>
          <w:p w:rsidR="00041039" w:rsidRDefault="001B26CB">
            <w:pPr>
              <w:pStyle w:val="TableParagraph"/>
              <w:spacing w:before="1" w:line="158" w:lineRule="exact"/>
              <w:ind w:left="58"/>
              <w:rPr>
                <w:b/>
                <w:sz w:val="14"/>
              </w:rPr>
            </w:pPr>
            <w:r>
              <w:rPr>
                <w:b/>
                <w:color w:val="231F20"/>
                <w:sz w:val="14"/>
              </w:rPr>
              <w:t>Облици наставе</w:t>
            </w:r>
          </w:p>
          <w:p w:rsidR="00041039" w:rsidRDefault="001B26CB">
            <w:pPr>
              <w:pStyle w:val="TableParagraph"/>
              <w:spacing w:before="1" w:line="232"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93"/>
              </w:numPr>
              <w:tabs>
                <w:tab w:val="left" w:pos="158"/>
              </w:tabs>
              <w:spacing w:line="157"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1"/>
              <w:ind w:left="0"/>
              <w:rPr>
                <w:b/>
                <w:sz w:val="13"/>
              </w:rPr>
            </w:pPr>
          </w:p>
          <w:p w:rsidR="00041039" w:rsidRDefault="001B26CB">
            <w:pPr>
              <w:pStyle w:val="TableParagraph"/>
              <w:spacing w:line="158" w:lineRule="exact"/>
              <w:ind w:left="58"/>
              <w:rPr>
                <w:b/>
                <w:sz w:val="14"/>
              </w:rPr>
            </w:pPr>
            <w:r>
              <w:rPr>
                <w:b/>
                <w:color w:val="231F20"/>
                <w:sz w:val="14"/>
              </w:rPr>
              <w:t>Подела одељења на групе</w:t>
            </w:r>
          </w:p>
          <w:p w:rsidR="00041039" w:rsidRDefault="001B26CB">
            <w:pPr>
              <w:pStyle w:val="TableParagraph"/>
              <w:spacing w:line="158" w:lineRule="exact"/>
              <w:ind w:left="58"/>
              <w:rPr>
                <w:sz w:val="14"/>
              </w:rPr>
            </w:pPr>
            <w:r>
              <w:rPr>
                <w:color w:val="231F20"/>
                <w:sz w:val="14"/>
              </w:rPr>
              <w:t>Одељење се не дели на групе.</w:t>
            </w:r>
          </w:p>
          <w:p w:rsidR="00041039" w:rsidRDefault="00041039">
            <w:pPr>
              <w:pStyle w:val="TableParagraph"/>
              <w:spacing w:before="1"/>
              <w:ind w:left="0"/>
              <w:rPr>
                <w:b/>
                <w:sz w:val="13"/>
              </w:rPr>
            </w:pPr>
          </w:p>
          <w:p w:rsidR="00041039" w:rsidRDefault="001B26CB">
            <w:pPr>
              <w:pStyle w:val="TableParagraph"/>
              <w:spacing w:before="1" w:line="153" w:lineRule="exact"/>
              <w:ind w:left="58"/>
              <w:rPr>
                <w:b/>
                <w:sz w:val="14"/>
              </w:rPr>
            </w:pPr>
            <w:r>
              <w:rPr>
                <w:b/>
                <w:color w:val="231F20"/>
                <w:sz w:val="14"/>
              </w:rPr>
              <w:t>Место реализације наставе</w:t>
            </w:r>
          </w:p>
          <w:p w:rsidR="00041039" w:rsidRDefault="001B26CB">
            <w:pPr>
              <w:pStyle w:val="TableParagraph"/>
              <w:numPr>
                <w:ilvl w:val="0"/>
                <w:numId w:val="293"/>
              </w:numPr>
              <w:tabs>
                <w:tab w:val="left" w:pos="158"/>
              </w:tabs>
              <w:spacing w:line="232"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2"/>
              <w:ind w:left="0"/>
              <w:rPr>
                <w:b/>
                <w:sz w:val="13"/>
              </w:rPr>
            </w:pPr>
          </w:p>
          <w:p w:rsidR="00041039" w:rsidRDefault="001B26CB">
            <w:pPr>
              <w:pStyle w:val="TableParagraph"/>
              <w:spacing w:line="232" w:lineRule="auto"/>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293"/>
              </w:numPr>
              <w:tabs>
                <w:tab w:val="left" w:pos="158"/>
              </w:tabs>
              <w:spacing w:before="2" w:line="156" w:lineRule="exact"/>
              <w:ind w:right="260" w:hanging="99"/>
              <w:rPr>
                <w:sz w:val="14"/>
              </w:rPr>
            </w:pPr>
            <w:r>
              <w:rPr>
                <w:color w:val="231F20"/>
                <w:sz w:val="14"/>
              </w:rPr>
              <w:t>Реализација програма треба да се одвија у складу са принци­ пима активне, проблемске</w:t>
            </w:r>
            <w:r>
              <w:rPr>
                <w:color w:val="231F20"/>
                <w:spacing w:val="-10"/>
                <w:sz w:val="14"/>
              </w:rPr>
              <w:t xml:space="preserve"> </w:t>
            </w:r>
            <w:r>
              <w:rPr>
                <w:color w:val="231F20"/>
                <w:sz w:val="14"/>
              </w:rPr>
              <w:t>и</w:t>
            </w:r>
          </w:p>
          <w:p w:rsidR="00041039" w:rsidRDefault="001B26CB">
            <w:pPr>
              <w:pStyle w:val="TableParagraph"/>
              <w:spacing w:line="232" w:lineRule="auto"/>
              <w:ind w:left="157"/>
              <w:rPr>
                <w:sz w:val="14"/>
              </w:rPr>
            </w:pPr>
            <w:r>
              <w:rPr>
                <w:color w:val="231F20"/>
                <w:sz w:val="14"/>
              </w:rPr>
              <w:t>истраживачке наставе са сталним рефлексијама на одговарајуће појаве из друштвеног контекста прошлости и садашњости.</w:t>
            </w:r>
          </w:p>
        </w:tc>
      </w:tr>
    </w:tbl>
    <w:p w:rsidR="00041039" w:rsidRDefault="00041039">
      <w:pPr>
        <w:spacing w:line="232"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920"/>
        </w:trPr>
        <w:tc>
          <w:tcPr>
            <w:tcW w:w="1304" w:type="dxa"/>
          </w:tcPr>
          <w:p w:rsidR="00041039" w:rsidRDefault="001B26CB">
            <w:pPr>
              <w:pStyle w:val="TableParagraph"/>
              <w:spacing w:before="18"/>
              <w:ind w:left="56" w:right="242"/>
              <w:rPr>
                <w:sz w:val="14"/>
              </w:rPr>
            </w:pPr>
            <w:r>
              <w:rPr>
                <w:color w:val="231F20"/>
                <w:sz w:val="14"/>
              </w:rPr>
              <w:lastRenderedPageBreak/>
              <w:t>Планирање и извођење акције</w:t>
            </w:r>
          </w:p>
        </w:tc>
        <w:tc>
          <w:tcPr>
            <w:tcW w:w="1587" w:type="dxa"/>
          </w:tcPr>
          <w:p w:rsidR="00041039" w:rsidRDefault="001B26CB">
            <w:pPr>
              <w:pStyle w:val="TableParagraph"/>
              <w:numPr>
                <w:ilvl w:val="0"/>
                <w:numId w:val="292"/>
              </w:numPr>
              <w:tabs>
                <w:tab w:val="left" w:pos="157"/>
              </w:tabs>
              <w:spacing w:before="8"/>
              <w:ind w:right="96"/>
              <w:rPr>
                <w:sz w:val="14"/>
              </w:rPr>
            </w:pPr>
            <w:r>
              <w:rPr>
                <w:color w:val="231F20"/>
                <w:sz w:val="14"/>
              </w:rPr>
              <w:t>Подстицање ученика на</w:t>
            </w:r>
            <w:r>
              <w:rPr>
                <w:color w:val="231F20"/>
                <w:spacing w:val="-6"/>
                <w:sz w:val="14"/>
              </w:rPr>
              <w:t xml:space="preserve"> </w:t>
            </w:r>
            <w:r>
              <w:rPr>
                <w:color w:val="231F20"/>
                <w:sz w:val="14"/>
              </w:rPr>
              <w:t>активнупартиципа­ цију у животу</w:t>
            </w:r>
            <w:r>
              <w:rPr>
                <w:color w:val="231F20"/>
                <w:spacing w:val="-4"/>
                <w:sz w:val="14"/>
              </w:rPr>
              <w:t xml:space="preserve"> </w:t>
            </w:r>
            <w:r>
              <w:rPr>
                <w:color w:val="231F20"/>
                <w:spacing w:val="-3"/>
                <w:sz w:val="14"/>
              </w:rPr>
              <w:t>школе.</w:t>
            </w:r>
          </w:p>
          <w:p w:rsidR="00041039" w:rsidRDefault="001B26CB">
            <w:pPr>
              <w:pStyle w:val="TableParagraph"/>
              <w:numPr>
                <w:ilvl w:val="0"/>
                <w:numId w:val="292"/>
              </w:numPr>
              <w:tabs>
                <w:tab w:val="left" w:pos="157"/>
              </w:tabs>
              <w:spacing w:line="157" w:lineRule="exact"/>
              <w:rPr>
                <w:sz w:val="14"/>
              </w:rPr>
            </w:pPr>
            <w:r>
              <w:rPr>
                <w:color w:val="231F20"/>
                <w:sz w:val="14"/>
              </w:rPr>
              <w:t>Развијање</w:t>
            </w:r>
            <w:r>
              <w:rPr>
                <w:color w:val="231F20"/>
                <w:spacing w:val="-10"/>
                <w:sz w:val="14"/>
              </w:rPr>
              <w:t xml:space="preserve"> </w:t>
            </w:r>
            <w:r>
              <w:rPr>
                <w:color w:val="231F20"/>
                <w:sz w:val="14"/>
              </w:rPr>
              <w:t>вешти­</w:t>
            </w:r>
          </w:p>
          <w:p w:rsidR="00041039" w:rsidRDefault="001B26CB">
            <w:pPr>
              <w:pStyle w:val="TableParagraph"/>
              <w:spacing w:line="160" w:lineRule="exact"/>
              <w:rPr>
                <w:sz w:val="14"/>
              </w:rPr>
            </w:pPr>
            <w:r>
              <w:rPr>
                <w:color w:val="231F20"/>
                <w:sz w:val="14"/>
              </w:rPr>
              <w:t>напланирањаакција.</w:t>
            </w:r>
          </w:p>
        </w:tc>
        <w:tc>
          <w:tcPr>
            <w:tcW w:w="2551" w:type="dxa"/>
          </w:tcPr>
          <w:p w:rsidR="00041039" w:rsidRDefault="001B26CB">
            <w:pPr>
              <w:pStyle w:val="TableParagraph"/>
              <w:numPr>
                <w:ilvl w:val="0"/>
                <w:numId w:val="291"/>
              </w:numPr>
              <w:tabs>
                <w:tab w:val="left" w:pos="157"/>
              </w:tabs>
              <w:spacing w:before="8"/>
              <w:ind w:right="54" w:hanging="99"/>
              <w:rPr>
                <w:sz w:val="14"/>
              </w:rPr>
            </w:pPr>
            <w:r>
              <w:rPr>
                <w:color w:val="231F20"/>
                <w:sz w:val="14"/>
              </w:rPr>
              <w:t>идентификује проблеме у својој</w:t>
            </w:r>
            <w:r>
              <w:rPr>
                <w:color w:val="231F20"/>
                <w:spacing w:val="-25"/>
                <w:sz w:val="14"/>
              </w:rPr>
              <w:t xml:space="preserve"> </w:t>
            </w:r>
            <w:r>
              <w:rPr>
                <w:color w:val="231F20"/>
                <w:sz w:val="14"/>
              </w:rPr>
              <w:t>локал­ нојзаједници /</w:t>
            </w:r>
            <w:r>
              <w:rPr>
                <w:color w:val="231F20"/>
                <w:spacing w:val="-1"/>
                <w:sz w:val="14"/>
              </w:rPr>
              <w:t xml:space="preserve"> </w:t>
            </w:r>
            <w:r>
              <w:rPr>
                <w:color w:val="231F20"/>
                <w:spacing w:val="-3"/>
                <w:sz w:val="14"/>
              </w:rPr>
              <w:t>школи;</w:t>
            </w:r>
          </w:p>
          <w:p w:rsidR="00041039" w:rsidRDefault="001B26CB">
            <w:pPr>
              <w:pStyle w:val="TableParagraph"/>
              <w:numPr>
                <w:ilvl w:val="0"/>
                <w:numId w:val="291"/>
              </w:numPr>
              <w:tabs>
                <w:tab w:val="left" w:pos="157"/>
              </w:tabs>
              <w:spacing w:line="160" w:lineRule="exact"/>
              <w:ind w:right="80" w:hanging="99"/>
              <w:rPr>
                <w:sz w:val="14"/>
              </w:rPr>
            </w:pPr>
            <w:r>
              <w:rPr>
                <w:color w:val="231F20"/>
                <w:sz w:val="14"/>
              </w:rPr>
              <w:t>анализира изабране проблеме,</w:t>
            </w:r>
            <w:r>
              <w:rPr>
                <w:color w:val="231F20"/>
                <w:spacing w:val="-26"/>
                <w:sz w:val="14"/>
              </w:rPr>
              <w:t xml:space="preserve"> </w:t>
            </w:r>
            <w:r>
              <w:rPr>
                <w:color w:val="231F20"/>
                <w:sz w:val="14"/>
              </w:rPr>
              <w:t>изучава их;</w:t>
            </w:r>
          </w:p>
          <w:p w:rsidR="00041039" w:rsidRDefault="001B26CB">
            <w:pPr>
              <w:pStyle w:val="TableParagraph"/>
              <w:numPr>
                <w:ilvl w:val="0"/>
                <w:numId w:val="291"/>
              </w:numPr>
              <w:tabs>
                <w:tab w:val="left" w:pos="157"/>
              </w:tabs>
              <w:spacing w:line="160" w:lineRule="exact"/>
              <w:ind w:right="279" w:hanging="99"/>
              <w:rPr>
                <w:sz w:val="14"/>
              </w:rPr>
            </w:pPr>
            <w:r>
              <w:rPr>
                <w:color w:val="231F20"/>
                <w:sz w:val="14"/>
              </w:rPr>
              <w:t>предлаже активности и дискутује</w:t>
            </w:r>
            <w:r>
              <w:rPr>
                <w:color w:val="231F20"/>
                <w:spacing w:val="-10"/>
                <w:sz w:val="14"/>
              </w:rPr>
              <w:t xml:space="preserve"> </w:t>
            </w:r>
            <w:r>
              <w:rPr>
                <w:color w:val="231F20"/>
                <w:sz w:val="14"/>
              </w:rPr>
              <w:t>о њима са осталим члановима</w:t>
            </w:r>
            <w:r>
              <w:rPr>
                <w:color w:val="231F20"/>
                <w:spacing w:val="-2"/>
                <w:sz w:val="14"/>
              </w:rPr>
              <w:t xml:space="preserve"> </w:t>
            </w:r>
            <w:r>
              <w:rPr>
                <w:color w:val="231F20"/>
                <w:sz w:val="14"/>
              </w:rPr>
              <w:t>тима;</w:t>
            </w:r>
          </w:p>
          <w:p w:rsidR="00041039" w:rsidRDefault="001B26CB">
            <w:pPr>
              <w:pStyle w:val="TableParagraph"/>
              <w:numPr>
                <w:ilvl w:val="0"/>
                <w:numId w:val="291"/>
              </w:numPr>
              <w:tabs>
                <w:tab w:val="left" w:pos="157"/>
              </w:tabs>
              <w:spacing w:line="160" w:lineRule="exact"/>
              <w:ind w:right="209" w:hanging="99"/>
              <w:rPr>
                <w:sz w:val="14"/>
              </w:rPr>
            </w:pPr>
            <w:r>
              <w:rPr>
                <w:color w:val="231F20"/>
                <w:sz w:val="14"/>
              </w:rPr>
              <w:t>сарађује са члановима тима и учест­ вује у доношењу</w:t>
            </w:r>
            <w:r>
              <w:rPr>
                <w:color w:val="231F20"/>
                <w:spacing w:val="-2"/>
                <w:sz w:val="14"/>
              </w:rPr>
              <w:t xml:space="preserve"> </w:t>
            </w:r>
            <w:r>
              <w:rPr>
                <w:color w:val="231F20"/>
                <w:sz w:val="14"/>
              </w:rPr>
              <w:t>одлука;</w:t>
            </w:r>
          </w:p>
          <w:p w:rsidR="00041039" w:rsidRDefault="001B26CB">
            <w:pPr>
              <w:pStyle w:val="TableParagraph"/>
              <w:numPr>
                <w:ilvl w:val="0"/>
                <w:numId w:val="291"/>
              </w:numPr>
              <w:tabs>
                <w:tab w:val="left" w:pos="157"/>
              </w:tabs>
              <w:spacing w:line="153" w:lineRule="exact"/>
              <w:ind w:hanging="99"/>
              <w:rPr>
                <w:sz w:val="14"/>
              </w:rPr>
            </w:pPr>
            <w:r>
              <w:rPr>
                <w:color w:val="231F20"/>
                <w:sz w:val="14"/>
              </w:rPr>
              <w:t xml:space="preserve">формулише циљеве и </w:t>
            </w:r>
            <w:r>
              <w:rPr>
                <w:color w:val="231F20"/>
                <w:spacing w:val="-2"/>
                <w:sz w:val="14"/>
              </w:rPr>
              <w:t>кораке</w:t>
            </w:r>
            <w:r>
              <w:rPr>
                <w:color w:val="231F20"/>
                <w:spacing w:val="-9"/>
                <w:sz w:val="14"/>
              </w:rPr>
              <w:t xml:space="preserve"> </w:t>
            </w:r>
            <w:r>
              <w:rPr>
                <w:color w:val="231F20"/>
                <w:sz w:val="14"/>
              </w:rPr>
              <w:t>акције;</w:t>
            </w:r>
          </w:p>
          <w:p w:rsidR="00041039" w:rsidRDefault="001B26CB">
            <w:pPr>
              <w:pStyle w:val="TableParagraph"/>
              <w:numPr>
                <w:ilvl w:val="0"/>
                <w:numId w:val="291"/>
              </w:numPr>
              <w:tabs>
                <w:tab w:val="left" w:pos="157"/>
              </w:tabs>
              <w:spacing w:line="237" w:lineRule="auto"/>
              <w:ind w:right="464" w:hanging="99"/>
              <w:rPr>
                <w:sz w:val="14"/>
              </w:rPr>
            </w:pPr>
            <w:r>
              <w:rPr>
                <w:color w:val="231F20"/>
                <w:sz w:val="14"/>
              </w:rPr>
              <w:t>иницира активности, прати их</w:t>
            </w:r>
            <w:r>
              <w:rPr>
                <w:color w:val="231F20"/>
                <w:spacing w:val="-14"/>
                <w:sz w:val="14"/>
              </w:rPr>
              <w:t xml:space="preserve"> </w:t>
            </w:r>
            <w:r>
              <w:rPr>
                <w:color w:val="231F20"/>
                <w:sz w:val="14"/>
              </w:rPr>
              <w:t>и оцењује</w:t>
            </w:r>
            <w:r>
              <w:rPr>
                <w:color w:val="231F20"/>
                <w:spacing w:val="-1"/>
                <w:sz w:val="14"/>
              </w:rPr>
              <w:t xml:space="preserve"> </w:t>
            </w:r>
            <w:r>
              <w:rPr>
                <w:color w:val="231F20"/>
                <w:sz w:val="14"/>
              </w:rPr>
              <w:t>их;</w:t>
            </w:r>
          </w:p>
          <w:p w:rsidR="00041039" w:rsidRDefault="001B26CB">
            <w:pPr>
              <w:pStyle w:val="TableParagraph"/>
              <w:numPr>
                <w:ilvl w:val="0"/>
                <w:numId w:val="291"/>
              </w:numPr>
              <w:tabs>
                <w:tab w:val="left" w:pos="157"/>
              </w:tabs>
              <w:spacing w:line="160" w:lineRule="exact"/>
              <w:ind w:right="234" w:hanging="99"/>
              <w:rPr>
                <w:sz w:val="14"/>
              </w:rPr>
            </w:pPr>
            <w:r>
              <w:rPr>
                <w:color w:val="231F20"/>
                <w:sz w:val="14"/>
              </w:rPr>
              <w:t>представи путем јавне презентације нацрт акције и резултате</w:t>
            </w:r>
            <w:r>
              <w:rPr>
                <w:color w:val="231F20"/>
                <w:spacing w:val="-8"/>
                <w:sz w:val="14"/>
              </w:rPr>
              <w:t xml:space="preserve"> </w:t>
            </w:r>
            <w:r>
              <w:rPr>
                <w:color w:val="231F20"/>
                <w:sz w:val="14"/>
              </w:rPr>
              <w:t>акције;</w:t>
            </w:r>
          </w:p>
        </w:tc>
        <w:tc>
          <w:tcPr>
            <w:tcW w:w="2834" w:type="dxa"/>
          </w:tcPr>
          <w:p w:rsidR="00041039" w:rsidRDefault="001B26CB">
            <w:pPr>
              <w:pStyle w:val="TableParagraph"/>
              <w:numPr>
                <w:ilvl w:val="0"/>
                <w:numId w:val="290"/>
              </w:numPr>
              <w:tabs>
                <w:tab w:val="left" w:pos="142"/>
              </w:tabs>
              <w:spacing w:before="18" w:line="161" w:lineRule="exact"/>
              <w:rPr>
                <w:sz w:val="14"/>
              </w:rPr>
            </w:pPr>
            <w:r>
              <w:rPr>
                <w:color w:val="231F20"/>
                <w:sz w:val="14"/>
              </w:rPr>
              <w:t>Избор</w:t>
            </w:r>
            <w:r>
              <w:rPr>
                <w:color w:val="231F20"/>
                <w:spacing w:val="-2"/>
                <w:sz w:val="14"/>
              </w:rPr>
              <w:t xml:space="preserve"> </w:t>
            </w:r>
            <w:r>
              <w:rPr>
                <w:color w:val="231F20"/>
                <w:sz w:val="14"/>
              </w:rPr>
              <w:t>проблема.</w:t>
            </w:r>
          </w:p>
          <w:p w:rsidR="00041039" w:rsidRDefault="001B26CB">
            <w:pPr>
              <w:pStyle w:val="TableParagraph"/>
              <w:numPr>
                <w:ilvl w:val="0"/>
                <w:numId w:val="290"/>
              </w:numPr>
              <w:tabs>
                <w:tab w:val="left" w:pos="142"/>
              </w:tabs>
              <w:spacing w:line="160" w:lineRule="exact"/>
              <w:rPr>
                <w:sz w:val="14"/>
              </w:rPr>
            </w:pPr>
            <w:r>
              <w:rPr>
                <w:color w:val="231F20"/>
                <w:sz w:val="14"/>
              </w:rPr>
              <w:t>Идентификација могућих</w:t>
            </w:r>
            <w:r>
              <w:rPr>
                <w:color w:val="231F20"/>
                <w:spacing w:val="-1"/>
                <w:sz w:val="14"/>
              </w:rPr>
              <w:t xml:space="preserve"> </w:t>
            </w:r>
            <w:r>
              <w:rPr>
                <w:color w:val="231F20"/>
                <w:sz w:val="14"/>
              </w:rPr>
              <w:t>решења.</w:t>
            </w:r>
          </w:p>
          <w:p w:rsidR="00041039" w:rsidRDefault="001B26CB">
            <w:pPr>
              <w:pStyle w:val="TableParagraph"/>
              <w:numPr>
                <w:ilvl w:val="0"/>
                <w:numId w:val="290"/>
              </w:numPr>
              <w:tabs>
                <w:tab w:val="left" w:pos="142"/>
              </w:tabs>
              <w:spacing w:line="160" w:lineRule="exact"/>
              <w:rPr>
                <w:sz w:val="14"/>
              </w:rPr>
            </w:pPr>
            <w:r>
              <w:rPr>
                <w:color w:val="231F20"/>
                <w:sz w:val="14"/>
              </w:rPr>
              <w:t>Припрема нацрта</w:t>
            </w:r>
            <w:r>
              <w:rPr>
                <w:color w:val="231F20"/>
                <w:spacing w:val="-1"/>
                <w:sz w:val="14"/>
              </w:rPr>
              <w:t xml:space="preserve"> </w:t>
            </w:r>
            <w:r>
              <w:rPr>
                <w:color w:val="231F20"/>
                <w:sz w:val="14"/>
              </w:rPr>
              <w:t>акције.</w:t>
            </w:r>
          </w:p>
          <w:p w:rsidR="00041039" w:rsidRDefault="001B26CB">
            <w:pPr>
              <w:pStyle w:val="TableParagraph"/>
              <w:numPr>
                <w:ilvl w:val="0"/>
                <w:numId w:val="290"/>
              </w:numPr>
              <w:tabs>
                <w:tab w:val="left" w:pos="142"/>
              </w:tabs>
              <w:ind w:right="136"/>
              <w:rPr>
                <w:sz w:val="14"/>
              </w:rPr>
            </w:pPr>
            <w:r>
              <w:rPr>
                <w:color w:val="231F20"/>
                <w:sz w:val="14"/>
              </w:rPr>
              <w:t>Реализација акције (ван редовних часова</w:t>
            </w:r>
            <w:r>
              <w:rPr>
                <w:color w:val="231F20"/>
                <w:spacing w:val="-14"/>
                <w:sz w:val="14"/>
              </w:rPr>
              <w:t xml:space="preserve"> </w:t>
            </w:r>
            <w:r>
              <w:rPr>
                <w:color w:val="231F20"/>
                <w:sz w:val="14"/>
              </w:rPr>
              <w:t>и учионице).</w:t>
            </w:r>
          </w:p>
          <w:p w:rsidR="00041039" w:rsidRDefault="001B26CB">
            <w:pPr>
              <w:pStyle w:val="TableParagraph"/>
              <w:numPr>
                <w:ilvl w:val="0"/>
                <w:numId w:val="290"/>
              </w:numPr>
              <w:tabs>
                <w:tab w:val="left" w:pos="142"/>
              </w:tabs>
              <w:spacing w:line="159" w:lineRule="exact"/>
              <w:rPr>
                <w:sz w:val="14"/>
              </w:rPr>
            </w:pPr>
            <w:r>
              <w:rPr>
                <w:color w:val="231F20"/>
                <w:sz w:val="14"/>
              </w:rPr>
              <w:t>Анализа реализоване</w:t>
            </w:r>
            <w:r>
              <w:rPr>
                <w:color w:val="231F20"/>
                <w:spacing w:val="-2"/>
                <w:sz w:val="14"/>
              </w:rPr>
              <w:t xml:space="preserve"> </w:t>
            </w:r>
            <w:r>
              <w:rPr>
                <w:color w:val="231F20"/>
                <w:sz w:val="14"/>
              </w:rPr>
              <w:t>акције.</w:t>
            </w:r>
          </w:p>
          <w:p w:rsidR="00041039" w:rsidRDefault="001B26CB">
            <w:pPr>
              <w:pStyle w:val="TableParagraph"/>
              <w:numPr>
                <w:ilvl w:val="0"/>
                <w:numId w:val="290"/>
              </w:numPr>
              <w:tabs>
                <w:tab w:val="left" w:pos="142"/>
              </w:tabs>
              <w:spacing w:line="161" w:lineRule="exact"/>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267" w:type="dxa"/>
          </w:tcPr>
          <w:p w:rsidR="00041039" w:rsidRDefault="001B26CB">
            <w:pPr>
              <w:pStyle w:val="TableParagraph"/>
              <w:numPr>
                <w:ilvl w:val="0"/>
                <w:numId w:val="289"/>
              </w:numPr>
              <w:tabs>
                <w:tab w:val="left" w:pos="158"/>
              </w:tabs>
              <w:spacing w:before="8"/>
              <w:ind w:right="162"/>
              <w:rPr>
                <w:sz w:val="14"/>
              </w:rPr>
            </w:pPr>
            <w:r>
              <w:rPr>
                <w:color w:val="231F20"/>
                <w:sz w:val="14"/>
              </w:rPr>
              <w:t>Квали</w:t>
            </w:r>
            <w:r>
              <w:rPr>
                <w:color w:val="231F20"/>
                <w:sz w:val="14"/>
              </w:rPr>
              <w:t>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p w:rsidR="00041039" w:rsidRDefault="001B26CB">
            <w:pPr>
              <w:pStyle w:val="TableParagraph"/>
              <w:numPr>
                <w:ilvl w:val="0"/>
                <w:numId w:val="289"/>
              </w:numPr>
              <w:tabs>
                <w:tab w:val="left" w:pos="158"/>
              </w:tabs>
              <w:spacing w:line="155" w:lineRule="exact"/>
              <w:rPr>
                <w:sz w:val="14"/>
              </w:rPr>
            </w:pPr>
            <w:r>
              <w:rPr>
                <w:color w:val="231F20"/>
                <w:sz w:val="14"/>
              </w:rPr>
              <w:t>Добар индикатор успешне</w:t>
            </w:r>
            <w:r>
              <w:rPr>
                <w:color w:val="231F20"/>
                <w:spacing w:val="-6"/>
                <w:sz w:val="14"/>
              </w:rPr>
              <w:t xml:space="preserve"> </w:t>
            </w:r>
            <w:r>
              <w:rPr>
                <w:color w:val="231F20"/>
                <w:sz w:val="14"/>
              </w:rPr>
              <w:t>на­</w:t>
            </w:r>
          </w:p>
          <w:p w:rsidR="00041039" w:rsidRDefault="001B26CB">
            <w:pPr>
              <w:pStyle w:val="TableParagraph"/>
              <w:ind w:left="157" w:right="179"/>
              <w:rPr>
                <w:sz w:val="14"/>
              </w:rPr>
            </w:pPr>
            <w:r>
              <w:rPr>
                <w:color w:val="231F20"/>
                <w:sz w:val="14"/>
              </w:rPr>
              <w:t>ставе је способност ученика да адекватно примењују стечена знања и вештине и да у пракси изражавају ставове и вредности демократског друштва.</w:t>
            </w:r>
          </w:p>
          <w:p w:rsidR="00041039" w:rsidRDefault="001B26CB">
            <w:pPr>
              <w:pStyle w:val="TableParagraph"/>
              <w:numPr>
                <w:ilvl w:val="0"/>
                <w:numId w:val="289"/>
              </w:numPr>
              <w:tabs>
                <w:tab w:val="left" w:pos="158"/>
              </w:tabs>
              <w:spacing w:line="156" w:lineRule="exact"/>
              <w:rPr>
                <w:sz w:val="14"/>
              </w:rPr>
            </w:pPr>
            <w:r>
              <w:rPr>
                <w:color w:val="231F20"/>
                <w:sz w:val="14"/>
              </w:rPr>
              <w:t>Наставник треба да пружи</w:t>
            </w:r>
            <w:r>
              <w:rPr>
                <w:color w:val="231F20"/>
                <w:spacing w:val="-6"/>
                <w:sz w:val="14"/>
              </w:rPr>
              <w:t xml:space="preserve"> </w:t>
            </w:r>
            <w:r>
              <w:rPr>
                <w:color w:val="231F20"/>
                <w:sz w:val="14"/>
              </w:rPr>
              <w:t>неоп­</w:t>
            </w:r>
          </w:p>
          <w:p w:rsidR="00041039" w:rsidRDefault="001B26CB">
            <w:pPr>
              <w:pStyle w:val="TableParagraph"/>
              <w:ind w:left="157"/>
              <w:rPr>
                <w:sz w:val="14"/>
              </w:rPr>
            </w:pPr>
            <w:r>
              <w:rPr>
                <w:color w:val="231F20"/>
                <w:sz w:val="14"/>
              </w:rPr>
              <w:t>ходну помоћ и подршку ученици­ ма у припреми и реализацији ак­ тивности, а заједно са групом да обезбеди повратну информацију о њеној успешности.</w:t>
            </w:r>
          </w:p>
          <w:p w:rsidR="00041039" w:rsidRDefault="001B26CB">
            <w:pPr>
              <w:pStyle w:val="TableParagraph"/>
              <w:numPr>
                <w:ilvl w:val="0"/>
                <w:numId w:val="289"/>
              </w:numPr>
              <w:tabs>
                <w:tab w:val="left" w:pos="158"/>
              </w:tabs>
              <w:spacing w:line="156" w:lineRule="exact"/>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ученичких актив­ ности и особа к</w:t>
            </w:r>
            <w:r>
              <w:rPr>
                <w:color w:val="231F20"/>
                <w:sz w:val="14"/>
              </w:rPr>
              <w:t>оја даје повратну информацију.</w:t>
            </w:r>
          </w:p>
          <w:p w:rsidR="00041039" w:rsidRDefault="001B26CB">
            <w:pPr>
              <w:pStyle w:val="TableParagraph"/>
              <w:numPr>
                <w:ilvl w:val="0"/>
                <w:numId w:val="289"/>
              </w:numPr>
              <w:tabs>
                <w:tab w:val="left" w:pos="158"/>
              </w:tabs>
              <w:spacing w:line="157" w:lineRule="exact"/>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289"/>
              </w:numPr>
              <w:tabs>
                <w:tab w:val="left" w:pos="158"/>
              </w:tabs>
              <w:spacing w:line="237" w:lineRule="auto"/>
              <w:ind w:right="59"/>
              <w:rPr>
                <w:sz w:val="14"/>
              </w:rPr>
            </w:pPr>
            <w:r>
              <w:rPr>
                <w:color w:val="231F20"/>
                <w:sz w:val="14"/>
              </w:rPr>
              <w:t xml:space="preserve">За успешно реализовање наставе број ученика у групи не би тре­ бало </w:t>
            </w:r>
            <w:r>
              <w:rPr>
                <w:color w:val="231F20"/>
                <w:sz w:val="14"/>
              </w:rPr>
              <w:t xml:space="preserve">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p w:rsidR="00041039" w:rsidRDefault="00041039">
            <w:pPr>
              <w:pStyle w:val="TableParagraph"/>
              <w:spacing w:before="10"/>
              <w:ind w:left="0"/>
              <w:rPr>
                <w:b/>
                <w:sz w:val="12"/>
              </w:rPr>
            </w:pPr>
          </w:p>
          <w:p w:rsidR="00041039" w:rsidRDefault="001B26CB">
            <w:pPr>
              <w:pStyle w:val="TableParagraph"/>
              <w:spacing w:before="1" w:line="161" w:lineRule="exact"/>
              <w:ind w:left="57"/>
              <w:rPr>
                <w:b/>
                <w:sz w:val="14"/>
              </w:rPr>
            </w:pPr>
            <w:r>
              <w:rPr>
                <w:b/>
                <w:color w:val="231F20"/>
                <w:sz w:val="14"/>
              </w:rPr>
              <w:t>Оцењивање</w:t>
            </w:r>
          </w:p>
          <w:p w:rsidR="00041039" w:rsidRDefault="001B26CB">
            <w:pPr>
              <w:pStyle w:val="TableParagraph"/>
              <w:ind w:left="57"/>
              <w:rPr>
                <w:sz w:val="14"/>
              </w:rPr>
            </w:pPr>
            <w:r>
              <w:rPr>
                <w:color w:val="231F20"/>
                <w:sz w:val="14"/>
              </w:rPr>
              <w:t>Вредновање остварености исхода вршити кроз:</w:t>
            </w:r>
          </w:p>
          <w:p w:rsidR="00041039" w:rsidRDefault="001B26CB">
            <w:pPr>
              <w:pStyle w:val="TableParagraph"/>
              <w:numPr>
                <w:ilvl w:val="0"/>
                <w:numId w:val="289"/>
              </w:numPr>
              <w:tabs>
                <w:tab w:val="left" w:pos="158"/>
              </w:tabs>
              <w:spacing w:line="160" w:lineRule="exact"/>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7"/>
              <w:rPr>
                <w:b/>
                <w:sz w:val="14"/>
              </w:rPr>
            </w:pPr>
            <w:r>
              <w:rPr>
                <w:b/>
                <w:color w:val="231F20"/>
                <w:sz w:val="14"/>
              </w:rPr>
              <w:t>Оквирни број часова по темама</w:t>
            </w:r>
          </w:p>
          <w:p w:rsidR="00041039" w:rsidRDefault="001B26CB">
            <w:pPr>
              <w:pStyle w:val="TableParagraph"/>
              <w:numPr>
                <w:ilvl w:val="0"/>
                <w:numId w:val="289"/>
              </w:numPr>
              <w:tabs>
                <w:tab w:val="left" w:pos="158"/>
              </w:tabs>
              <w:spacing w:line="160" w:lineRule="exact"/>
              <w:rPr>
                <w:b/>
                <w:sz w:val="14"/>
              </w:rPr>
            </w:pPr>
            <w:r>
              <w:rPr>
                <w:color w:val="231F20"/>
                <w:sz w:val="14"/>
              </w:rPr>
              <w:t xml:space="preserve">Права и одговорности </w:t>
            </w:r>
            <w:r>
              <w:rPr>
                <w:b/>
                <w:color w:val="231F20"/>
                <w:sz w:val="14"/>
              </w:rPr>
              <w:t>(16</w:t>
            </w:r>
            <w:r>
              <w:rPr>
                <w:b/>
                <w:color w:val="231F20"/>
                <w:spacing w:val="-15"/>
                <w:sz w:val="14"/>
              </w:rPr>
              <w:t xml:space="preserve"> </w:t>
            </w:r>
            <w:r>
              <w:rPr>
                <w:b/>
                <w:color w:val="231F20"/>
                <w:sz w:val="14"/>
              </w:rPr>
              <w:t>часова)</w:t>
            </w:r>
          </w:p>
          <w:p w:rsidR="00041039" w:rsidRDefault="001B26CB">
            <w:pPr>
              <w:pStyle w:val="TableParagraph"/>
              <w:numPr>
                <w:ilvl w:val="0"/>
                <w:numId w:val="289"/>
              </w:numPr>
              <w:tabs>
                <w:tab w:val="left" w:pos="158"/>
              </w:tabs>
              <w:spacing w:line="237" w:lineRule="auto"/>
              <w:ind w:right="78"/>
              <w:rPr>
                <w:b/>
                <w:sz w:val="14"/>
              </w:rPr>
            </w:pPr>
            <w:r>
              <w:rPr>
                <w:color w:val="231F20"/>
                <w:sz w:val="14"/>
              </w:rPr>
              <w:t>Планирање и извођење акције</w:t>
            </w:r>
            <w:r>
              <w:rPr>
                <w:color w:val="231F20"/>
                <w:spacing w:val="-13"/>
                <w:sz w:val="14"/>
              </w:rPr>
              <w:t xml:space="preserve"> </w:t>
            </w:r>
            <w:r>
              <w:rPr>
                <w:b/>
                <w:color w:val="231F20"/>
                <w:sz w:val="14"/>
              </w:rPr>
              <w:t>(19 часова)</w:t>
            </w:r>
          </w:p>
        </w:tc>
      </w:tr>
    </w:tbl>
    <w:p w:rsidR="00041039" w:rsidRDefault="00041039">
      <w:pPr>
        <w:pStyle w:val="BodyText"/>
        <w:spacing w:before="7"/>
        <w:rPr>
          <w:b/>
          <w:sz w:val="18"/>
        </w:rPr>
      </w:pPr>
    </w:p>
    <w:p w:rsidR="00041039" w:rsidRDefault="001B26CB">
      <w:pPr>
        <w:tabs>
          <w:tab w:val="left" w:pos="1460"/>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120"/>
        </w:trPr>
        <w:tc>
          <w:tcPr>
            <w:tcW w:w="1304" w:type="dxa"/>
          </w:tcPr>
          <w:p w:rsidR="00041039" w:rsidRDefault="001B26CB">
            <w:pPr>
              <w:pStyle w:val="TableParagraph"/>
              <w:spacing w:before="18"/>
              <w:ind w:left="56" w:right="354"/>
              <w:rPr>
                <w:sz w:val="14"/>
              </w:rPr>
            </w:pPr>
            <w:r>
              <w:rPr>
                <w:color w:val="231F20"/>
                <w:sz w:val="14"/>
              </w:rPr>
              <w:t>Демократија и политика</w:t>
            </w:r>
          </w:p>
        </w:tc>
        <w:tc>
          <w:tcPr>
            <w:tcW w:w="1587" w:type="dxa"/>
          </w:tcPr>
          <w:p w:rsidR="00041039" w:rsidRDefault="001B26CB">
            <w:pPr>
              <w:pStyle w:val="TableParagraph"/>
              <w:numPr>
                <w:ilvl w:val="0"/>
                <w:numId w:val="288"/>
              </w:numPr>
              <w:tabs>
                <w:tab w:val="left" w:pos="157"/>
              </w:tabs>
              <w:spacing w:before="8"/>
              <w:ind w:right="152"/>
              <w:rPr>
                <w:sz w:val="14"/>
              </w:rPr>
            </w:pPr>
            <w:r>
              <w:rPr>
                <w:color w:val="231F20"/>
                <w:sz w:val="14"/>
              </w:rPr>
              <w:t>Разумевање појмова демократија,</w:t>
            </w:r>
            <w:r>
              <w:rPr>
                <w:color w:val="231F20"/>
                <w:spacing w:val="-12"/>
                <w:sz w:val="14"/>
              </w:rPr>
              <w:t xml:space="preserve"> </w:t>
            </w:r>
            <w:r>
              <w:rPr>
                <w:color w:val="231F20"/>
                <w:sz w:val="14"/>
              </w:rPr>
              <w:t xml:space="preserve">полити­ ка, </w:t>
            </w:r>
            <w:r>
              <w:rPr>
                <w:color w:val="231F20"/>
                <w:spacing w:val="-3"/>
                <w:sz w:val="14"/>
              </w:rPr>
              <w:t xml:space="preserve">власт, </w:t>
            </w:r>
            <w:r>
              <w:rPr>
                <w:color w:val="231F20"/>
                <w:sz w:val="14"/>
              </w:rPr>
              <w:t xml:space="preserve">грађански </w:t>
            </w:r>
            <w:r>
              <w:rPr>
                <w:color w:val="231F20"/>
                <w:spacing w:val="-3"/>
                <w:sz w:val="14"/>
              </w:rPr>
              <w:t>живот.</w:t>
            </w:r>
          </w:p>
          <w:p w:rsidR="00041039" w:rsidRDefault="001B26CB">
            <w:pPr>
              <w:pStyle w:val="TableParagraph"/>
              <w:numPr>
                <w:ilvl w:val="0"/>
                <w:numId w:val="288"/>
              </w:numPr>
              <w:tabs>
                <w:tab w:val="left" w:pos="157"/>
              </w:tabs>
              <w:spacing w:line="156" w:lineRule="exact"/>
              <w:rPr>
                <w:sz w:val="14"/>
              </w:rPr>
            </w:pPr>
            <w:r>
              <w:rPr>
                <w:color w:val="231F20"/>
                <w:sz w:val="14"/>
              </w:rPr>
              <w:t>Упознавање са</w:t>
            </w:r>
            <w:r>
              <w:rPr>
                <w:color w:val="231F20"/>
                <w:spacing w:val="-7"/>
                <w:sz w:val="14"/>
              </w:rPr>
              <w:t xml:space="preserve"> </w:t>
            </w:r>
            <w:r>
              <w:rPr>
                <w:color w:val="231F20"/>
                <w:sz w:val="14"/>
              </w:rPr>
              <w:t>меха­</w:t>
            </w:r>
          </w:p>
          <w:p w:rsidR="00041039" w:rsidRDefault="001B26CB">
            <w:pPr>
              <w:pStyle w:val="TableParagraph"/>
              <w:ind w:right="199"/>
              <w:rPr>
                <w:sz w:val="14"/>
              </w:rPr>
            </w:pPr>
            <w:r>
              <w:rPr>
                <w:color w:val="231F20"/>
                <w:sz w:val="14"/>
              </w:rPr>
              <w:t>низмима функцио­ нисања демократије и институцијама демократије.</w:t>
            </w:r>
          </w:p>
          <w:p w:rsidR="00041039" w:rsidRDefault="001B26CB">
            <w:pPr>
              <w:pStyle w:val="TableParagraph"/>
              <w:numPr>
                <w:ilvl w:val="0"/>
                <w:numId w:val="288"/>
              </w:numPr>
              <w:tabs>
                <w:tab w:val="left" w:pos="157"/>
              </w:tabs>
              <w:spacing w:line="157" w:lineRule="exact"/>
              <w:rPr>
                <w:sz w:val="14"/>
              </w:rPr>
            </w:pPr>
            <w:r>
              <w:rPr>
                <w:color w:val="231F20"/>
                <w:sz w:val="14"/>
              </w:rPr>
              <w:t>Сагледавање</w:t>
            </w:r>
            <w:r>
              <w:rPr>
                <w:color w:val="231F20"/>
                <w:spacing w:val="-3"/>
                <w:sz w:val="14"/>
              </w:rPr>
              <w:t xml:space="preserve"> </w:t>
            </w:r>
            <w:r>
              <w:rPr>
                <w:color w:val="231F20"/>
                <w:sz w:val="14"/>
              </w:rPr>
              <w:t>значаја</w:t>
            </w:r>
          </w:p>
          <w:p w:rsidR="00041039" w:rsidRDefault="001B26CB">
            <w:pPr>
              <w:pStyle w:val="TableParagraph"/>
              <w:ind w:right="179"/>
              <w:jc w:val="both"/>
              <w:rPr>
                <w:sz w:val="14"/>
              </w:rPr>
            </w:pPr>
            <w:r>
              <w:rPr>
                <w:color w:val="231F20"/>
                <w:sz w:val="14"/>
              </w:rPr>
              <w:t>и начина контроле и ограничења власти у демократији.</w:t>
            </w:r>
          </w:p>
        </w:tc>
        <w:tc>
          <w:tcPr>
            <w:tcW w:w="2551" w:type="dxa"/>
          </w:tcPr>
          <w:p w:rsidR="00041039" w:rsidRDefault="001B26CB">
            <w:pPr>
              <w:pStyle w:val="TableParagraph"/>
              <w:numPr>
                <w:ilvl w:val="0"/>
                <w:numId w:val="287"/>
              </w:numPr>
              <w:tabs>
                <w:tab w:val="left" w:pos="157"/>
              </w:tabs>
              <w:spacing w:before="8"/>
              <w:ind w:right="122" w:hanging="99"/>
              <w:rPr>
                <w:sz w:val="14"/>
              </w:rPr>
            </w:pPr>
            <w:r>
              <w:rPr>
                <w:color w:val="231F20"/>
                <w:sz w:val="14"/>
              </w:rPr>
              <w:t>објасни појмове демократија,</w:t>
            </w:r>
            <w:r>
              <w:rPr>
                <w:color w:val="231F20"/>
                <w:spacing w:val="-19"/>
                <w:sz w:val="14"/>
              </w:rPr>
              <w:t xml:space="preserve"> </w:t>
            </w:r>
            <w:r>
              <w:rPr>
                <w:color w:val="231F20"/>
                <w:sz w:val="14"/>
              </w:rPr>
              <w:t xml:space="preserve">полити­ ка, </w:t>
            </w:r>
            <w:r>
              <w:rPr>
                <w:color w:val="231F20"/>
                <w:spacing w:val="-3"/>
                <w:sz w:val="14"/>
              </w:rPr>
              <w:t xml:space="preserve">власт, </w:t>
            </w:r>
            <w:r>
              <w:rPr>
                <w:color w:val="231F20"/>
                <w:sz w:val="14"/>
              </w:rPr>
              <w:t>грађански живот;</w:t>
            </w:r>
          </w:p>
          <w:p w:rsidR="00041039" w:rsidRDefault="001B26CB">
            <w:pPr>
              <w:pStyle w:val="TableParagraph"/>
              <w:numPr>
                <w:ilvl w:val="0"/>
                <w:numId w:val="287"/>
              </w:numPr>
              <w:tabs>
                <w:tab w:val="left" w:pos="157"/>
              </w:tabs>
              <w:spacing w:line="160" w:lineRule="exact"/>
              <w:ind w:right="93" w:hanging="99"/>
              <w:rPr>
                <w:sz w:val="14"/>
              </w:rPr>
            </w:pPr>
            <w:r>
              <w:rPr>
                <w:color w:val="231F20"/>
                <w:sz w:val="14"/>
              </w:rPr>
              <w:t>наведе разлике између демократског</w:t>
            </w:r>
            <w:r>
              <w:rPr>
                <w:color w:val="231F20"/>
                <w:spacing w:val="-22"/>
                <w:sz w:val="14"/>
              </w:rPr>
              <w:t xml:space="preserve"> </w:t>
            </w:r>
            <w:r>
              <w:rPr>
                <w:color w:val="231F20"/>
                <w:sz w:val="14"/>
              </w:rPr>
              <w:t>и недемократског начина</w:t>
            </w:r>
            <w:r>
              <w:rPr>
                <w:color w:val="231F20"/>
                <w:spacing w:val="-10"/>
                <w:sz w:val="14"/>
              </w:rPr>
              <w:t xml:space="preserve"> </w:t>
            </w:r>
            <w:r>
              <w:rPr>
                <w:color w:val="231F20"/>
                <w:sz w:val="14"/>
              </w:rPr>
              <w:t>одлучивања;</w:t>
            </w:r>
          </w:p>
          <w:p w:rsidR="00041039" w:rsidRDefault="001B26CB">
            <w:pPr>
              <w:pStyle w:val="TableParagraph"/>
              <w:numPr>
                <w:ilvl w:val="0"/>
                <w:numId w:val="287"/>
              </w:numPr>
              <w:tabs>
                <w:tab w:val="left" w:pos="157"/>
              </w:tabs>
              <w:spacing w:line="160" w:lineRule="exact"/>
              <w:ind w:right="151" w:hanging="99"/>
              <w:rPr>
                <w:sz w:val="14"/>
              </w:rPr>
            </w:pPr>
            <w:r>
              <w:rPr>
                <w:color w:val="231F20"/>
                <w:sz w:val="14"/>
              </w:rPr>
              <w:t>објасни разлике између непосредне</w:t>
            </w:r>
            <w:r>
              <w:rPr>
                <w:color w:val="231F20"/>
                <w:spacing w:val="-9"/>
                <w:sz w:val="14"/>
              </w:rPr>
              <w:t xml:space="preserve"> </w:t>
            </w:r>
            <w:r>
              <w:rPr>
                <w:color w:val="231F20"/>
                <w:sz w:val="14"/>
              </w:rPr>
              <w:t>и посредне</w:t>
            </w:r>
            <w:r>
              <w:rPr>
                <w:color w:val="231F20"/>
                <w:spacing w:val="-1"/>
                <w:sz w:val="14"/>
              </w:rPr>
              <w:t xml:space="preserve"> </w:t>
            </w:r>
            <w:r>
              <w:rPr>
                <w:color w:val="231F20"/>
                <w:sz w:val="14"/>
              </w:rPr>
              <w:t>демократије;</w:t>
            </w:r>
          </w:p>
          <w:p w:rsidR="00041039" w:rsidRDefault="001B26CB">
            <w:pPr>
              <w:pStyle w:val="TableParagraph"/>
              <w:numPr>
                <w:ilvl w:val="0"/>
                <w:numId w:val="287"/>
              </w:numPr>
              <w:tabs>
                <w:tab w:val="left" w:pos="157"/>
              </w:tabs>
              <w:spacing w:line="160" w:lineRule="exact"/>
              <w:ind w:right="66" w:hanging="99"/>
              <w:rPr>
                <w:sz w:val="14"/>
              </w:rPr>
            </w:pPr>
            <w:r>
              <w:rPr>
                <w:color w:val="231F20"/>
                <w:sz w:val="14"/>
              </w:rPr>
              <w:t>анализира различите начине</w:t>
            </w:r>
            <w:r>
              <w:rPr>
                <w:color w:val="231F20"/>
                <w:spacing w:val="-11"/>
                <w:sz w:val="14"/>
              </w:rPr>
              <w:t xml:space="preserve"> </w:t>
            </w:r>
            <w:r>
              <w:rPr>
                <w:color w:val="231F20"/>
                <w:sz w:val="14"/>
              </w:rPr>
              <w:t>огранича­ вања</w:t>
            </w:r>
            <w:r>
              <w:rPr>
                <w:color w:val="231F20"/>
                <w:spacing w:val="-1"/>
                <w:sz w:val="14"/>
              </w:rPr>
              <w:t xml:space="preserve"> </w:t>
            </w:r>
            <w:r>
              <w:rPr>
                <w:color w:val="231F20"/>
                <w:sz w:val="14"/>
              </w:rPr>
              <w:t>власти;</w:t>
            </w:r>
          </w:p>
          <w:p w:rsidR="00041039" w:rsidRDefault="001B26CB">
            <w:pPr>
              <w:pStyle w:val="TableParagraph"/>
              <w:numPr>
                <w:ilvl w:val="0"/>
                <w:numId w:val="287"/>
              </w:numPr>
              <w:tabs>
                <w:tab w:val="left" w:pos="157"/>
              </w:tabs>
              <w:spacing w:before="1" w:line="160" w:lineRule="exact"/>
              <w:ind w:right="198" w:hanging="99"/>
              <w:rPr>
                <w:sz w:val="14"/>
              </w:rPr>
            </w:pPr>
            <w:r>
              <w:rPr>
                <w:color w:val="231F20"/>
                <w:sz w:val="14"/>
              </w:rPr>
              <w:t>разликује надлежности</w:t>
            </w:r>
            <w:r>
              <w:rPr>
                <w:color w:val="231F20"/>
                <w:spacing w:val="-18"/>
                <w:sz w:val="14"/>
              </w:rPr>
              <w:t xml:space="preserve"> </w:t>
            </w:r>
            <w:r>
              <w:rPr>
                <w:color w:val="231F20"/>
                <w:sz w:val="14"/>
              </w:rPr>
              <w:t xml:space="preserve">законодавне, извршне и </w:t>
            </w:r>
            <w:r>
              <w:rPr>
                <w:color w:val="231F20"/>
                <w:spacing w:val="-3"/>
                <w:sz w:val="14"/>
              </w:rPr>
              <w:t>судске</w:t>
            </w:r>
            <w:r>
              <w:rPr>
                <w:color w:val="231F20"/>
                <w:spacing w:val="-4"/>
                <w:sz w:val="14"/>
              </w:rPr>
              <w:t xml:space="preserve"> </w:t>
            </w:r>
            <w:r>
              <w:rPr>
                <w:color w:val="231F20"/>
                <w:sz w:val="14"/>
              </w:rPr>
              <w:t>власти;</w:t>
            </w:r>
          </w:p>
        </w:tc>
        <w:tc>
          <w:tcPr>
            <w:tcW w:w="2834" w:type="dxa"/>
          </w:tcPr>
          <w:p w:rsidR="00041039" w:rsidRDefault="001B26CB">
            <w:pPr>
              <w:pStyle w:val="TableParagraph"/>
              <w:numPr>
                <w:ilvl w:val="0"/>
                <w:numId w:val="286"/>
              </w:numPr>
              <w:tabs>
                <w:tab w:val="left" w:pos="157"/>
              </w:tabs>
              <w:spacing w:before="8" w:line="166" w:lineRule="exact"/>
              <w:ind w:hanging="99"/>
              <w:rPr>
                <w:sz w:val="14"/>
              </w:rPr>
            </w:pPr>
            <w:r>
              <w:rPr>
                <w:color w:val="231F20"/>
                <w:sz w:val="14"/>
              </w:rPr>
              <w:t>Демократија, политика и</w:t>
            </w:r>
            <w:r>
              <w:rPr>
                <w:color w:val="231F20"/>
                <w:spacing w:val="-3"/>
                <w:sz w:val="14"/>
              </w:rPr>
              <w:t xml:space="preserve"> власт.</w:t>
            </w:r>
          </w:p>
          <w:p w:rsidR="00041039" w:rsidRDefault="001B26CB">
            <w:pPr>
              <w:pStyle w:val="TableParagraph"/>
              <w:numPr>
                <w:ilvl w:val="0"/>
                <w:numId w:val="286"/>
              </w:numPr>
              <w:tabs>
                <w:tab w:val="left" w:pos="157"/>
              </w:tabs>
              <w:spacing w:line="160" w:lineRule="exact"/>
              <w:ind w:hanging="99"/>
              <w:rPr>
                <w:sz w:val="14"/>
              </w:rPr>
            </w:pPr>
            <w:r>
              <w:rPr>
                <w:color w:val="231F20"/>
                <w:sz w:val="14"/>
              </w:rPr>
              <w:t>Функционисања институције</w:t>
            </w:r>
            <w:r>
              <w:rPr>
                <w:color w:val="231F20"/>
                <w:spacing w:val="-7"/>
                <w:sz w:val="14"/>
              </w:rPr>
              <w:t xml:space="preserve"> </w:t>
            </w:r>
            <w:r>
              <w:rPr>
                <w:color w:val="231F20"/>
                <w:sz w:val="14"/>
              </w:rPr>
              <w:t>демократије.</w:t>
            </w:r>
          </w:p>
          <w:p w:rsidR="00041039" w:rsidRDefault="001B26CB">
            <w:pPr>
              <w:pStyle w:val="TableParagraph"/>
              <w:numPr>
                <w:ilvl w:val="0"/>
                <w:numId w:val="286"/>
              </w:numPr>
              <w:tabs>
                <w:tab w:val="left" w:pos="157"/>
              </w:tabs>
              <w:spacing w:line="237" w:lineRule="auto"/>
              <w:ind w:right="333" w:hanging="99"/>
              <w:rPr>
                <w:sz w:val="14"/>
              </w:rPr>
            </w:pPr>
            <w:r>
              <w:rPr>
                <w:color w:val="231F20"/>
                <w:sz w:val="14"/>
              </w:rPr>
              <w:t>Механизми и начини контроле и ограничења власти у демократском</w:t>
            </w:r>
            <w:r>
              <w:rPr>
                <w:color w:val="231F20"/>
                <w:spacing w:val="-22"/>
                <w:sz w:val="14"/>
              </w:rPr>
              <w:t xml:space="preserve"> </w:t>
            </w:r>
            <w:r>
              <w:rPr>
                <w:color w:val="231F20"/>
                <w:sz w:val="14"/>
              </w:rPr>
              <w:t xml:space="preserve">по­ </w:t>
            </w:r>
            <w:r>
              <w:rPr>
                <w:color w:val="231F20"/>
                <w:spacing w:val="-3"/>
                <w:sz w:val="14"/>
              </w:rPr>
              <w:t>ретку.</w:t>
            </w:r>
          </w:p>
        </w:tc>
        <w:tc>
          <w:tcPr>
            <w:tcW w:w="2267" w:type="dxa"/>
            <w:vMerge w:val="restart"/>
          </w:tcPr>
          <w:p w:rsidR="00041039" w:rsidRDefault="001B26CB">
            <w:pPr>
              <w:pStyle w:val="TableParagraph"/>
              <w:numPr>
                <w:ilvl w:val="0"/>
                <w:numId w:val="285"/>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85"/>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285"/>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285"/>
              </w:numPr>
              <w:tabs>
                <w:tab w:val="left" w:pos="158"/>
              </w:tabs>
              <w:spacing w:line="160" w:lineRule="exact"/>
              <w:ind w:right="260" w:hanging="99"/>
              <w:rPr>
                <w:sz w:val="14"/>
              </w:rPr>
            </w:pPr>
            <w:r>
              <w:rPr>
                <w:color w:val="231F20"/>
                <w:sz w:val="14"/>
              </w:rPr>
              <w:t>Реализација програма треба да се одвија у складу са принци­ пима активне, проблемске</w:t>
            </w:r>
            <w:r>
              <w:rPr>
                <w:color w:val="231F20"/>
                <w:spacing w:val="-10"/>
                <w:sz w:val="14"/>
              </w:rPr>
              <w:t xml:space="preserve"> </w:t>
            </w:r>
            <w:r>
              <w:rPr>
                <w:color w:val="231F20"/>
                <w:sz w:val="14"/>
              </w:rPr>
              <w:t>и</w:t>
            </w:r>
          </w:p>
          <w:p w:rsidR="00041039" w:rsidRDefault="001B26CB">
            <w:pPr>
              <w:pStyle w:val="TableParagraph"/>
              <w:spacing w:line="237" w:lineRule="auto"/>
              <w:ind w:left="157"/>
              <w:rPr>
                <w:sz w:val="14"/>
              </w:rPr>
            </w:pPr>
            <w:r>
              <w:rPr>
                <w:color w:val="231F20"/>
                <w:sz w:val="14"/>
              </w:rPr>
              <w:t>истраживачке наставе са сталним рефлексијама на одговарајуће појаве из друштвеног контекста прошлости и садашњости.</w:t>
            </w:r>
          </w:p>
          <w:p w:rsidR="00041039" w:rsidRDefault="001B26CB">
            <w:pPr>
              <w:pStyle w:val="TableParagraph"/>
              <w:numPr>
                <w:ilvl w:val="0"/>
                <w:numId w:val="285"/>
              </w:numPr>
              <w:tabs>
                <w:tab w:val="left" w:pos="158"/>
              </w:tabs>
              <w:spacing w:line="237" w:lineRule="auto"/>
              <w:ind w:right="162" w:hanging="99"/>
              <w:rPr>
                <w:sz w:val="14"/>
              </w:rPr>
            </w:pPr>
            <w:r>
              <w:rPr>
                <w:color w:val="231F20"/>
                <w:sz w:val="14"/>
              </w:rPr>
              <w:t>Квалитет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r>
              <w:rPr>
                <w:color w:val="231F20"/>
                <w:sz w:val="14"/>
              </w:rPr>
              <w:t>.</w:t>
            </w:r>
          </w:p>
        </w:tc>
      </w:tr>
      <w:tr w:rsidR="00041039">
        <w:trPr>
          <w:trHeight w:val="2870"/>
        </w:trPr>
        <w:tc>
          <w:tcPr>
            <w:tcW w:w="1304" w:type="dxa"/>
          </w:tcPr>
          <w:p w:rsidR="00041039" w:rsidRDefault="001B26CB">
            <w:pPr>
              <w:pStyle w:val="TableParagraph"/>
              <w:spacing w:before="19"/>
              <w:ind w:left="56" w:right="174"/>
              <w:rPr>
                <w:sz w:val="14"/>
              </w:rPr>
            </w:pPr>
            <w:r>
              <w:rPr>
                <w:color w:val="231F20"/>
                <w:sz w:val="14"/>
              </w:rPr>
              <w:t>Грађанин и друштво</w:t>
            </w:r>
          </w:p>
        </w:tc>
        <w:tc>
          <w:tcPr>
            <w:tcW w:w="1587" w:type="dxa"/>
          </w:tcPr>
          <w:p w:rsidR="00041039" w:rsidRDefault="001B26CB">
            <w:pPr>
              <w:pStyle w:val="TableParagraph"/>
              <w:numPr>
                <w:ilvl w:val="0"/>
                <w:numId w:val="284"/>
              </w:numPr>
              <w:tabs>
                <w:tab w:val="left" w:pos="157"/>
              </w:tabs>
              <w:spacing w:before="9"/>
              <w:ind w:right="183"/>
              <w:rPr>
                <w:sz w:val="14"/>
              </w:rPr>
            </w:pPr>
            <w:r>
              <w:rPr>
                <w:color w:val="231F20"/>
                <w:sz w:val="14"/>
              </w:rPr>
              <w:t xml:space="preserve">Сагледавање </w:t>
            </w:r>
            <w:r>
              <w:rPr>
                <w:color w:val="231F20"/>
                <w:spacing w:val="-3"/>
                <w:sz w:val="14"/>
              </w:rPr>
              <w:t xml:space="preserve">улоге </w:t>
            </w:r>
            <w:r>
              <w:rPr>
                <w:color w:val="231F20"/>
                <w:sz w:val="14"/>
              </w:rPr>
              <w:t>грађанина /</w:t>
            </w:r>
            <w:r>
              <w:rPr>
                <w:color w:val="231F20"/>
                <w:spacing w:val="-16"/>
                <w:sz w:val="14"/>
              </w:rPr>
              <w:t xml:space="preserve"> </w:t>
            </w:r>
            <w:r>
              <w:rPr>
                <w:color w:val="231F20"/>
                <w:sz w:val="14"/>
              </w:rPr>
              <w:t xml:space="preserve">грађанке у демократском </w:t>
            </w:r>
            <w:r>
              <w:rPr>
                <w:color w:val="231F20"/>
                <w:spacing w:val="-3"/>
                <w:sz w:val="14"/>
              </w:rPr>
              <w:t>друштву.</w:t>
            </w:r>
          </w:p>
          <w:p w:rsidR="00041039" w:rsidRDefault="001B26CB">
            <w:pPr>
              <w:pStyle w:val="TableParagraph"/>
              <w:numPr>
                <w:ilvl w:val="0"/>
                <w:numId w:val="284"/>
              </w:numPr>
              <w:tabs>
                <w:tab w:val="left" w:pos="157"/>
              </w:tabs>
              <w:spacing w:line="156" w:lineRule="exact"/>
              <w:rPr>
                <w:sz w:val="14"/>
              </w:rPr>
            </w:pPr>
            <w:r>
              <w:rPr>
                <w:color w:val="231F20"/>
                <w:sz w:val="14"/>
              </w:rPr>
              <w:t>Упознавање са</w:t>
            </w:r>
            <w:r>
              <w:rPr>
                <w:color w:val="231F20"/>
                <w:spacing w:val="-7"/>
                <w:sz w:val="14"/>
              </w:rPr>
              <w:t xml:space="preserve"> </w:t>
            </w:r>
            <w:r>
              <w:rPr>
                <w:color w:val="231F20"/>
                <w:sz w:val="14"/>
              </w:rPr>
              <w:t>радом</w:t>
            </w:r>
          </w:p>
          <w:p w:rsidR="00041039" w:rsidRDefault="001B26CB">
            <w:pPr>
              <w:pStyle w:val="TableParagraph"/>
              <w:spacing w:line="155" w:lineRule="exact"/>
              <w:rPr>
                <w:sz w:val="14"/>
              </w:rPr>
            </w:pPr>
            <w:r>
              <w:rPr>
                <w:color w:val="231F20"/>
                <w:sz w:val="14"/>
              </w:rPr>
              <w:t>локалне самоуправе.</w:t>
            </w:r>
          </w:p>
          <w:p w:rsidR="00041039" w:rsidRDefault="001B26CB">
            <w:pPr>
              <w:pStyle w:val="TableParagraph"/>
              <w:numPr>
                <w:ilvl w:val="0"/>
                <w:numId w:val="284"/>
              </w:numPr>
              <w:tabs>
                <w:tab w:val="left" w:pos="157"/>
              </w:tabs>
              <w:spacing w:line="237" w:lineRule="auto"/>
              <w:ind w:right="211"/>
              <w:rPr>
                <w:sz w:val="14"/>
              </w:rPr>
            </w:pPr>
            <w:r>
              <w:rPr>
                <w:color w:val="231F20"/>
                <w:sz w:val="14"/>
              </w:rPr>
              <w:t xml:space="preserve">Сагледавање </w:t>
            </w:r>
            <w:r>
              <w:rPr>
                <w:color w:val="231F20"/>
                <w:spacing w:val="-3"/>
                <w:sz w:val="14"/>
              </w:rPr>
              <w:t xml:space="preserve">улоге </w:t>
            </w:r>
            <w:r>
              <w:rPr>
                <w:color w:val="231F20"/>
                <w:sz w:val="14"/>
              </w:rPr>
              <w:t>и карактеристика цивилног друштва</w:t>
            </w:r>
            <w:r>
              <w:rPr>
                <w:color w:val="231F20"/>
                <w:spacing w:val="-11"/>
                <w:sz w:val="14"/>
              </w:rPr>
              <w:t xml:space="preserve"> </w:t>
            </w:r>
            <w:r>
              <w:rPr>
                <w:color w:val="231F20"/>
                <w:sz w:val="14"/>
              </w:rPr>
              <w:t>у демократији.</w:t>
            </w:r>
          </w:p>
          <w:p w:rsidR="00041039" w:rsidRDefault="001B26CB">
            <w:pPr>
              <w:pStyle w:val="TableParagraph"/>
              <w:numPr>
                <w:ilvl w:val="0"/>
                <w:numId w:val="284"/>
              </w:numPr>
              <w:tabs>
                <w:tab w:val="left" w:pos="157"/>
              </w:tabs>
              <w:spacing w:line="237" w:lineRule="auto"/>
              <w:ind w:right="105"/>
              <w:rPr>
                <w:sz w:val="14"/>
              </w:rPr>
            </w:pPr>
            <w:r>
              <w:rPr>
                <w:color w:val="231F20"/>
                <w:sz w:val="14"/>
              </w:rPr>
              <w:t>Сагледавање значаја и начина</w:t>
            </w:r>
            <w:r>
              <w:rPr>
                <w:color w:val="231F20"/>
                <w:spacing w:val="-8"/>
                <w:sz w:val="14"/>
              </w:rPr>
              <w:t xml:space="preserve"> </w:t>
            </w:r>
            <w:r>
              <w:rPr>
                <w:color w:val="231F20"/>
                <w:sz w:val="14"/>
              </w:rPr>
              <w:t>учествовања</w:t>
            </w:r>
          </w:p>
          <w:p w:rsidR="00041039" w:rsidRDefault="001B26CB">
            <w:pPr>
              <w:pStyle w:val="TableParagraph"/>
              <w:ind w:right="15"/>
              <w:rPr>
                <w:sz w:val="14"/>
              </w:rPr>
            </w:pPr>
            <w:r>
              <w:rPr>
                <w:color w:val="231F20"/>
                <w:sz w:val="14"/>
              </w:rPr>
              <w:t>грађанина / грађанке у политици.</w:t>
            </w:r>
          </w:p>
        </w:tc>
        <w:tc>
          <w:tcPr>
            <w:tcW w:w="2551" w:type="dxa"/>
          </w:tcPr>
          <w:p w:rsidR="00041039" w:rsidRDefault="001B26CB">
            <w:pPr>
              <w:pStyle w:val="TableParagraph"/>
              <w:numPr>
                <w:ilvl w:val="0"/>
                <w:numId w:val="283"/>
              </w:numPr>
              <w:tabs>
                <w:tab w:val="left" w:pos="157"/>
              </w:tabs>
              <w:spacing w:before="9"/>
              <w:ind w:right="352" w:hanging="99"/>
              <w:rPr>
                <w:sz w:val="14"/>
              </w:rPr>
            </w:pPr>
            <w:r>
              <w:rPr>
                <w:color w:val="231F20"/>
                <w:sz w:val="14"/>
              </w:rPr>
              <w:t>разуме политичко одређење</w:t>
            </w:r>
            <w:r>
              <w:rPr>
                <w:color w:val="231F20"/>
                <w:spacing w:val="-27"/>
                <w:sz w:val="14"/>
              </w:rPr>
              <w:t xml:space="preserve"> </w:t>
            </w:r>
            <w:r>
              <w:rPr>
                <w:color w:val="231F20"/>
                <w:sz w:val="14"/>
              </w:rPr>
              <w:t>појма грађанин /</w:t>
            </w:r>
            <w:r>
              <w:rPr>
                <w:color w:val="231F20"/>
                <w:spacing w:val="-3"/>
                <w:sz w:val="14"/>
              </w:rPr>
              <w:t xml:space="preserve"> </w:t>
            </w:r>
            <w:r>
              <w:rPr>
                <w:color w:val="231F20"/>
                <w:sz w:val="14"/>
              </w:rPr>
              <w:t>грађанка;</w:t>
            </w:r>
          </w:p>
          <w:p w:rsidR="00041039" w:rsidRDefault="001B26CB">
            <w:pPr>
              <w:pStyle w:val="TableParagraph"/>
              <w:numPr>
                <w:ilvl w:val="0"/>
                <w:numId w:val="283"/>
              </w:numPr>
              <w:tabs>
                <w:tab w:val="left" w:pos="157"/>
              </w:tabs>
              <w:spacing w:before="1" w:line="160" w:lineRule="exact"/>
              <w:ind w:right="353" w:hanging="99"/>
              <w:rPr>
                <w:sz w:val="14"/>
              </w:rPr>
            </w:pPr>
            <w:r>
              <w:rPr>
                <w:color w:val="231F20"/>
                <w:sz w:val="14"/>
              </w:rPr>
              <w:t>разуме</w:t>
            </w:r>
            <w:r>
              <w:rPr>
                <w:color w:val="231F20"/>
                <w:spacing w:val="-7"/>
                <w:sz w:val="14"/>
              </w:rPr>
              <w:t xml:space="preserve"> </w:t>
            </w:r>
            <w:r>
              <w:rPr>
                <w:color w:val="231F20"/>
                <w:sz w:val="14"/>
              </w:rPr>
              <w:t>значај</w:t>
            </w:r>
            <w:r>
              <w:rPr>
                <w:color w:val="231F20"/>
                <w:spacing w:val="-7"/>
                <w:sz w:val="14"/>
              </w:rPr>
              <w:t xml:space="preserve"> </w:t>
            </w:r>
            <w:r>
              <w:rPr>
                <w:color w:val="231F20"/>
                <w:sz w:val="14"/>
              </w:rPr>
              <w:t>поштовања</w:t>
            </w:r>
            <w:r>
              <w:rPr>
                <w:color w:val="231F20"/>
                <w:spacing w:val="-7"/>
                <w:sz w:val="14"/>
              </w:rPr>
              <w:t xml:space="preserve"> </w:t>
            </w:r>
            <w:r>
              <w:rPr>
                <w:color w:val="231F20"/>
                <w:sz w:val="14"/>
              </w:rPr>
              <w:t>закона</w:t>
            </w:r>
            <w:r>
              <w:rPr>
                <w:color w:val="231F20"/>
                <w:spacing w:val="-7"/>
                <w:sz w:val="14"/>
              </w:rPr>
              <w:t xml:space="preserve"> </w:t>
            </w:r>
            <w:r>
              <w:rPr>
                <w:color w:val="231F20"/>
                <w:sz w:val="14"/>
              </w:rPr>
              <w:t>у демократској</w:t>
            </w:r>
            <w:r>
              <w:rPr>
                <w:color w:val="231F20"/>
                <w:spacing w:val="-1"/>
                <w:sz w:val="14"/>
              </w:rPr>
              <w:t xml:space="preserve"> </w:t>
            </w:r>
            <w:r>
              <w:rPr>
                <w:color w:val="231F20"/>
                <w:sz w:val="14"/>
              </w:rPr>
              <w:t>држави;</w:t>
            </w:r>
          </w:p>
          <w:p w:rsidR="00041039" w:rsidRDefault="001B26CB">
            <w:pPr>
              <w:pStyle w:val="TableParagraph"/>
              <w:numPr>
                <w:ilvl w:val="0"/>
                <w:numId w:val="283"/>
              </w:numPr>
              <w:tabs>
                <w:tab w:val="left" w:pos="157"/>
              </w:tabs>
              <w:spacing w:line="160" w:lineRule="exact"/>
              <w:ind w:right="222" w:hanging="99"/>
              <w:rPr>
                <w:sz w:val="14"/>
              </w:rPr>
            </w:pPr>
            <w:r>
              <w:rPr>
                <w:color w:val="231F20"/>
                <w:sz w:val="14"/>
              </w:rPr>
              <w:t>објасни улогу локалне самоуправе</w:t>
            </w:r>
            <w:r>
              <w:rPr>
                <w:color w:val="231F20"/>
                <w:spacing w:val="-22"/>
                <w:sz w:val="14"/>
              </w:rPr>
              <w:t xml:space="preserve"> </w:t>
            </w:r>
            <w:r>
              <w:rPr>
                <w:color w:val="231F20"/>
                <w:sz w:val="14"/>
              </w:rPr>
              <w:t>и послове којима се она</w:t>
            </w:r>
            <w:r>
              <w:rPr>
                <w:color w:val="231F20"/>
                <w:spacing w:val="-2"/>
                <w:sz w:val="14"/>
              </w:rPr>
              <w:t xml:space="preserve"> </w:t>
            </w:r>
            <w:r>
              <w:rPr>
                <w:color w:val="231F20"/>
                <w:sz w:val="14"/>
              </w:rPr>
              <w:t>бави;</w:t>
            </w:r>
          </w:p>
          <w:p w:rsidR="00041039" w:rsidRDefault="001B26CB">
            <w:pPr>
              <w:pStyle w:val="TableParagraph"/>
              <w:numPr>
                <w:ilvl w:val="0"/>
                <w:numId w:val="283"/>
              </w:numPr>
              <w:tabs>
                <w:tab w:val="left" w:pos="157"/>
              </w:tabs>
              <w:spacing w:line="160" w:lineRule="exact"/>
              <w:ind w:right="55" w:hanging="99"/>
              <w:rPr>
                <w:sz w:val="14"/>
              </w:rPr>
            </w:pPr>
            <w:r>
              <w:rPr>
                <w:color w:val="231F20"/>
                <w:sz w:val="14"/>
              </w:rPr>
              <w:t>објасни карактеристике и улогу</w:t>
            </w:r>
            <w:r>
              <w:rPr>
                <w:color w:val="231F20"/>
                <w:spacing w:val="-23"/>
                <w:sz w:val="14"/>
              </w:rPr>
              <w:t xml:space="preserve"> </w:t>
            </w:r>
            <w:r>
              <w:rPr>
                <w:color w:val="231F20"/>
                <w:sz w:val="14"/>
              </w:rPr>
              <w:t>цивил­ ног</w:t>
            </w:r>
            <w:r>
              <w:rPr>
                <w:color w:val="231F20"/>
                <w:spacing w:val="-2"/>
                <w:sz w:val="14"/>
              </w:rPr>
              <w:t xml:space="preserve"> </w:t>
            </w:r>
            <w:r>
              <w:rPr>
                <w:color w:val="231F20"/>
                <w:sz w:val="14"/>
              </w:rPr>
              <w:t>друштва;</w:t>
            </w:r>
          </w:p>
          <w:p w:rsidR="00041039" w:rsidRDefault="001B26CB">
            <w:pPr>
              <w:pStyle w:val="TableParagraph"/>
              <w:numPr>
                <w:ilvl w:val="0"/>
                <w:numId w:val="283"/>
              </w:numPr>
              <w:tabs>
                <w:tab w:val="left" w:pos="157"/>
              </w:tabs>
              <w:spacing w:line="160" w:lineRule="exact"/>
              <w:ind w:right="131" w:hanging="99"/>
              <w:rPr>
                <w:sz w:val="14"/>
              </w:rPr>
            </w:pPr>
            <w:r>
              <w:rPr>
                <w:color w:val="231F20"/>
                <w:sz w:val="14"/>
              </w:rPr>
              <w:t xml:space="preserve">наведе могућности утицаја грађана на </w:t>
            </w:r>
            <w:r>
              <w:rPr>
                <w:color w:val="231F20"/>
                <w:spacing w:val="-3"/>
                <w:sz w:val="14"/>
              </w:rPr>
              <w:t xml:space="preserve">власт, </w:t>
            </w:r>
            <w:r>
              <w:rPr>
                <w:color w:val="231F20"/>
                <w:sz w:val="14"/>
              </w:rPr>
              <w:t xml:space="preserve">правни и политички систем (различите форме грађанског </w:t>
            </w:r>
            <w:r>
              <w:rPr>
                <w:color w:val="231F20"/>
                <w:spacing w:val="-3"/>
                <w:sz w:val="14"/>
              </w:rPr>
              <w:t xml:space="preserve">удру­ </w:t>
            </w:r>
            <w:r>
              <w:rPr>
                <w:color w:val="231F20"/>
                <w:sz w:val="14"/>
              </w:rPr>
              <w:t>живања, различите форме</w:t>
            </w:r>
            <w:r>
              <w:rPr>
                <w:color w:val="231F20"/>
                <w:spacing w:val="-14"/>
                <w:sz w:val="14"/>
              </w:rPr>
              <w:t xml:space="preserve"> </w:t>
            </w:r>
            <w:r>
              <w:rPr>
                <w:color w:val="231F20"/>
                <w:sz w:val="14"/>
              </w:rPr>
              <w:t>грађанских иницијатива и</w:t>
            </w:r>
            <w:r>
              <w:rPr>
                <w:color w:val="231F20"/>
                <w:spacing w:val="-2"/>
                <w:sz w:val="14"/>
              </w:rPr>
              <w:t xml:space="preserve"> </w:t>
            </w:r>
            <w:r>
              <w:rPr>
                <w:color w:val="231F20"/>
                <w:sz w:val="14"/>
              </w:rPr>
              <w:t>акција);</w:t>
            </w:r>
          </w:p>
          <w:p w:rsidR="00041039" w:rsidRDefault="001B26CB">
            <w:pPr>
              <w:pStyle w:val="TableParagraph"/>
              <w:numPr>
                <w:ilvl w:val="0"/>
                <w:numId w:val="283"/>
              </w:numPr>
              <w:tabs>
                <w:tab w:val="left" w:pos="157"/>
              </w:tabs>
              <w:spacing w:line="160" w:lineRule="exact"/>
              <w:ind w:right="198" w:hanging="99"/>
              <w:rPr>
                <w:sz w:val="14"/>
              </w:rPr>
            </w:pPr>
            <w:r>
              <w:rPr>
                <w:color w:val="231F20"/>
                <w:sz w:val="14"/>
              </w:rPr>
              <w:t>идентификује и анализира факторе који ометају / подстичу</w:t>
            </w:r>
            <w:r>
              <w:rPr>
                <w:color w:val="231F20"/>
                <w:spacing w:val="-18"/>
                <w:sz w:val="14"/>
              </w:rPr>
              <w:t xml:space="preserve"> </w:t>
            </w:r>
            <w:r>
              <w:rPr>
                <w:color w:val="231F20"/>
                <w:sz w:val="14"/>
              </w:rPr>
              <w:t>демократски развој</w:t>
            </w:r>
            <w:r>
              <w:rPr>
                <w:color w:val="231F20"/>
                <w:spacing w:val="-1"/>
                <w:sz w:val="14"/>
              </w:rPr>
              <w:t xml:space="preserve"> </w:t>
            </w:r>
            <w:r>
              <w:rPr>
                <w:color w:val="231F20"/>
                <w:sz w:val="14"/>
              </w:rPr>
              <w:t>друштва;</w:t>
            </w:r>
          </w:p>
        </w:tc>
        <w:tc>
          <w:tcPr>
            <w:tcW w:w="2834" w:type="dxa"/>
          </w:tcPr>
          <w:p w:rsidR="00041039" w:rsidRDefault="001B26CB">
            <w:pPr>
              <w:pStyle w:val="TableParagraph"/>
              <w:numPr>
                <w:ilvl w:val="0"/>
                <w:numId w:val="282"/>
              </w:numPr>
              <w:tabs>
                <w:tab w:val="left" w:pos="157"/>
              </w:tabs>
              <w:spacing w:before="10" w:line="166" w:lineRule="exact"/>
              <w:ind w:hanging="99"/>
              <w:rPr>
                <w:sz w:val="14"/>
              </w:rPr>
            </w:pPr>
            <w:r>
              <w:rPr>
                <w:color w:val="231F20"/>
                <w:sz w:val="14"/>
              </w:rPr>
              <w:t>Однос држ</w:t>
            </w:r>
            <w:r>
              <w:rPr>
                <w:color w:val="231F20"/>
                <w:sz w:val="14"/>
              </w:rPr>
              <w:t>аве и грађанског</w:t>
            </w:r>
            <w:r>
              <w:rPr>
                <w:color w:val="231F20"/>
                <w:spacing w:val="-6"/>
                <w:sz w:val="14"/>
              </w:rPr>
              <w:t xml:space="preserve"> </w:t>
            </w:r>
            <w:r>
              <w:rPr>
                <w:color w:val="231F20"/>
                <w:sz w:val="14"/>
              </w:rPr>
              <w:t>друштва.</w:t>
            </w:r>
          </w:p>
          <w:p w:rsidR="00041039" w:rsidRDefault="001B26CB">
            <w:pPr>
              <w:pStyle w:val="TableParagraph"/>
              <w:numPr>
                <w:ilvl w:val="0"/>
                <w:numId w:val="282"/>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грађанина.</w:t>
            </w:r>
          </w:p>
          <w:p w:rsidR="00041039" w:rsidRDefault="001B26CB">
            <w:pPr>
              <w:pStyle w:val="TableParagraph"/>
              <w:numPr>
                <w:ilvl w:val="0"/>
                <w:numId w:val="282"/>
              </w:numPr>
              <w:tabs>
                <w:tab w:val="left" w:pos="157"/>
              </w:tabs>
              <w:spacing w:line="237" w:lineRule="auto"/>
              <w:ind w:right="260" w:hanging="99"/>
              <w:rPr>
                <w:sz w:val="14"/>
              </w:rPr>
            </w:pPr>
            <w:r>
              <w:rPr>
                <w:color w:val="231F20"/>
                <w:sz w:val="14"/>
              </w:rPr>
              <w:t>Значај и начин учествовања грађанина</w:t>
            </w:r>
            <w:r>
              <w:rPr>
                <w:color w:val="231F20"/>
                <w:spacing w:val="-22"/>
                <w:sz w:val="14"/>
              </w:rPr>
              <w:t xml:space="preserve"> </w:t>
            </w:r>
            <w:r>
              <w:rPr>
                <w:color w:val="231F20"/>
                <w:sz w:val="14"/>
              </w:rPr>
              <w:t>у политици.</w:t>
            </w:r>
          </w:p>
          <w:p w:rsidR="00041039" w:rsidRDefault="001B26CB">
            <w:pPr>
              <w:pStyle w:val="TableParagraph"/>
              <w:numPr>
                <w:ilvl w:val="0"/>
                <w:numId w:val="282"/>
              </w:numPr>
              <w:tabs>
                <w:tab w:val="left" w:pos="157"/>
              </w:tabs>
              <w:spacing w:line="161" w:lineRule="exact"/>
              <w:ind w:hanging="99"/>
              <w:rPr>
                <w:sz w:val="14"/>
              </w:rPr>
            </w:pPr>
            <w:r>
              <w:rPr>
                <w:color w:val="231F20"/>
                <w:spacing w:val="-4"/>
                <w:sz w:val="14"/>
              </w:rPr>
              <w:t xml:space="preserve">Улога </w:t>
            </w:r>
            <w:r>
              <w:rPr>
                <w:color w:val="231F20"/>
                <w:sz w:val="14"/>
              </w:rPr>
              <w:t>грађана у остваривању</w:t>
            </w:r>
            <w:r>
              <w:rPr>
                <w:color w:val="231F20"/>
                <w:spacing w:val="-1"/>
                <w:sz w:val="14"/>
              </w:rPr>
              <w:t xml:space="preserve"> </w:t>
            </w:r>
            <w:r>
              <w:rPr>
                <w:color w:val="231F20"/>
                <w:sz w:val="14"/>
              </w:rPr>
              <w:t>права.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880"/>
        </w:trPr>
        <w:tc>
          <w:tcPr>
            <w:tcW w:w="1304" w:type="dxa"/>
          </w:tcPr>
          <w:p w:rsidR="00041039" w:rsidRDefault="001B26CB">
            <w:pPr>
              <w:pStyle w:val="TableParagraph"/>
              <w:spacing w:before="18"/>
              <w:ind w:left="56" w:right="37"/>
              <w:rPr>
                <w:sz w:val="14"/>
              </w:rPr>
            </w:pPr>
            <w:r>
              <w:rPr>
                <w:color w:val="231F20"/>
                <w:sz w:val="14"/>
              </w:rPr>
              <w:lastRenderedPageBreak/>
              <w:t>Грађанска и политичка права и право на грађанску иницијативу</w:t>
            </w:r>
          </w:p>
        </w:tc>
        <w:tc>
          <w:tcPr>
            <w:tcW w:w="1587" w:type="dxa"/>
          </w:tcPr>
          <w:p w:rsidR="00041039" w:rsidRDefault="001B26CB">
            <w:pPr>
              <w:pStyle w:val="TableParagraph"/>
              <w:numPr>
                <w:ilvl w:val="0"/>
                <w:numId w:val="281"/>
              </w:numPr>
              <w:tabs>
                <w:tab w:val="left" w:pos="157"/>
              </w:tabs>
              <w:spacing w:before="8"/>
              <w:ind w:right="191"/>
              <w:rPr>
                <w:sz w:val="14"/>
              </w:rPr>
            </w:pPr>
            <w:r>
              <w:rPr>
                <w:color w:val="231F20"/>
                <w:sz w:val="14"/>
              </w:rPr>
              <w:t>Упознавање уче­ ника са суштином грађанских права н правом на</w:t>
            </w:r>
            <w:r>
              <w:rPr>
                <w:color w:val="231F20"/>
                <w:spacing w:val="-16"/>
                <w:sz w:val="14"/>
              </w:rPr>
              <w:t xml:space="preserve"> </w:t>
            </w:r>
            <w:r>
              <w:rPr>
                <w:color w:val="231F20"/>
                <w:sz w:val="14"/>
              </w:rPr>
              <w:t xml:space="preserve">грађанску </w:t>
            </w:r>
            <w:r>
              <w:rPr>
                <w:color w:val="231F20"/>
                <w:spacing w:val="-3"/>
                <w:sz w:val="14"/>
              </w:rPr>
              <w:t>иницијативу.</w:t>
            </w:r>
          </w:p>
          <w:p w:rsidR="00041039" w:rsidRDefault="001B26CB">
            <w:pPr>
              <w:pStyle w:val="TableParagraph"/>
              <w:numPr>
                <w:ilvl w:val="0"/>
                <w:numId w:val="281"/>
              </w:numPr>
              <w:tabs>
                <w:tab w:val="left" w:pos="157"/>
              </w:tabs>
              <w:spacing w:line="155" w:lineRule="exact"/>
              <w:rPr>
                <w:sz w:val="14"/>
              </w:rPr>
            </w:pPr>
            <w:r>
              <w:rPr>
                <w:color w:val="231F20"/>
                <w:sz w:val="14"/>
              </w:rPr>
              <w:t>Сагледавање</w:t>
            </w:r>
            <w:r>
              <w:rPr>
                <w:color w:val="231F20"/>
                <w:spacing w:val="-1"/>
                <w:sz w:val="14"/>
              </w:rPr>
              <w:t xml:space="preserve"> </w:t>
            </w:r>
            <w:r>
              <w:rPr>
                <w:color w:val="231F20"/>
                <w:spacing w:val="-3"/>
                <w:sz w:val="14"/>
              </w:rPr>
              <w:t>улоге</w:t>
            </w:r>
          </w:p>
          <w:p w:rsidR="00041039" w:rsidRDefault="001B26CB">
            <w:pPr>
              <w:pStyle w:val="TableParagraph"/>
              <w:ind w:right="56"/>
              <w:jc w:val="both"/>
              <w:rPr>
                <w:sz w:val="14"/>
              </w:rPr>
            </w:pPr>
            <w:r>
              <w:rPr>
                <w:color w:val="231F20"/>
                <w:sz w:val="14"/>
              </w:rPr>
              <w:t>грађана у остваривању људских права у</w:t>
            </w:r>
            <w:r>
              <w:rPr>
                <w:color w:val="231F20"/>
                <w:spacing w:val="-15"/>
                <w:sz w:val="14"/>
              </w:rPr>
              <w:t xml:space="preserve"> </w:t>
            </w:r>
            <w:r>
              <w:rPr>
                <w:color w:val="231F20"/>
                <w:sz w:val="14"/>
              </w:rPr>
              <w:t>демо­ кратском</w:t>
            </w:r>
            <w:r>
              <w:rPr>
                <w:color w:val="231F20"/>
                <w:spacing w:val="-2"/>
                <w:sz w:val="14"/>
              </w:rPr>
              <w:t xml:space="preserve"> </w:t>
            </w:r>
            <w:r>
              <w:rPr>
                <w:color w:val="231F20"/>
                <w:spacing w:val="-3"/>
                <w:sz w:val="14"/>
              </w:rPr>
              <w:t>друштву.</w:t>
            </w:r>
          </w:p>
          <w:p w:rsidR="00041039" w:rsidRDefault="001B26CB">
            <w:pPr>
              <w:pStyle w:val="TableParagraph"/>
              <w:numPr>
                <w:ilvl w:val="0"/>
                <w:numId w:val="281"/>
              </w:numPr>
              <w:tabs>
                <w:tab w:val="left" w:pos="157"/>
              </w:tabs>
              <w:spacing w:line="158" w:lineRule="exact"/>
              <w:rPr>
                <w:sz w:val="14"/>
              </w:rPr>
            </w:pPr>
            <w:r>
              <w:rPr>
                <w:color w:val="231F20"/>
                <w:sz w:val="14"/>
              </w:rPr>
              <w:t>Сагледавање</w:t>
            </w:r>
            <w:r>
              <w:rPr>
                <w:color w:val="231F20"/>
                <w:spacing w:val="-2"/>
                <w:sz w:val="14"/>
              </w:rPr>
              <w:t xml:space="preserve"> </w:t>
            </w:r>
            <w:r>
              <w:rPr>
                <w:color w:val="231F20"/>
                <w:sz w:val="14"/>
              </w:rPr>
              <w:t>неоп­</w:t>
            </w:r>
          </w:p>
          <w:p w:rsidR="00041039" w:rsidRDefault="001B26CB">
            <w:pPr>
              <w:pStyle w:val="TableParagraph"/>
              <w:ind w:right="15"/>
              <w:rPr>
                <w:sz w:val="14"/>
              </w:rPr>
            </w:pPr>
            <w:r>
              <w:rPr>
                <w:color w:val="231F20"/>
                <w:sz w:val="14"/>
              </w:rPr>
              <w:t>ходности и начина активног учешћа грађана у демократ­ ском друштву.</w:t>
            </w:r>
          </w:p>
        </w:tc>
        <w:tc>
          <w:tcPr>
            <w:tcW w:w="2551" w:type="dxa"/>
          </w:tcPr>
          <w:p w:rsidR="00041039" w:rsidRDefault="001B26CB">
            <w:pPr>
              <w:pStyle w:val="TableParagraph"/>
              <w:numPr>
                <w:ilvl w:val="0"/>
                <w:numId w:val="280"/>
              </w:numPr>
              <w:tabs>
                <w:tab w:val="left" w:pos="157"/>
              </w:tabs>
              <w:spacing w:before="8" w:line="166" w:lineRule="exact"/>
              <w:ind w:hanging="99"/>
              <w:rPr>
                <w:sz w:val="14"/>
              </w:rPr>
            </w:pPr>
            <w:r>
              <w:rPr>
                <w:color w:val="231F20"/>
                <w:sz w:val="14"/>
              </w:rPr>
              <w:t>објас</w:t>
            </w:r>
            <w:r>
              <w:rPr>
                <w:color w:val="231F20"/>
                <w:sz w:val="14"/>
              </w:rPr>
              <w:t>ни појам људских</w:t>
            </w:r>
            <w:r>
              <w:rPr>
                <w:color w:val="231F20"/>
                <w:spacing w:val="-4"/>
                <w:sz w:val="14"/>
              </w:rPr>
              <w:t xml:space="preserve"> </w:t>
            </w:r>
            <w:r>
              <w:rPr>
                <w:color w:val="231F20"/>
                <w:sz w:val="14"/>
              </w:rPr>
              <w:t>права;</w:t>
            </w:r>
          </w:p>
          <w:p w:rsidR="00041039" w:rsidRDefault="001B26CB">
            <w:pPr>
              <w:pStyle w:val="TableParagraph"/>
              <w:numPr>
                <w:ilvl w:val="0"/>
                <w:numId w:val="280"/>
              </w:numPr>
              <w:tabs>
                <w:tab w:val="left" w:pos="157"/>
              </w:tabs>
              <w:spacing w:line="237" w:lineRule="auto"/>
              <w:ind w:right="117" w:hanging="99"/>
              <w:rPr>
                <w:sz w:val="14"/>
              </w:rPr>
            </w:pPr>
            <w:r>
              <w:rPr>
                <w:color w:val="231F20"/>
                <w:sz w:val="14"/>
              </w:rPr>
              <w:t>наведе врсте људских права и</w:t>
            </w:r>
            <w:r>
              <w:rPr>
                <w:color w:val="231F20"/>
                <w:spacing w:val="-24"/>
                <w:sz w:val="14"/>
              </w:rPr>
              <w:t xml:space="preserve"> </w:t>
            </w:r>
            <w:r>
              <w:rPr>
                <w:color w:val="231F20"/>
                <w:sz w:val="14"/>
              </w:rPr>
              <w:t>објасни њихов</w:t>
            </w:r>
            <w:r>
              <w:rPr>
                <w:color w:val="231F20"/>
                <w:spacing w:val="-1"/>
                <w:sz w:val="14"/>
              </w:rPr>
              <w:t xml:space="preserve"> </w:t>
            </w:r>
            <w:r>
              <w:rPr>
                <w:color w:val="231F20"/>
                <w:sz w:val="14"/>
              </w:rPr>
              <w:t>садржај;</w:t>
            </w:r>
          </w:p>
          <w:p w:rsidR="00041039" w:rsidRDefault="001B26CB">
            <w:pPr>
              <w:pStyle w:val="TableParagraph"/>
              <w:numPr>
                <w:ilvl w:val="0"/>
                <w:numId w:val="280"/>
              </w:numPr>
              <w:tabs>
                <w:tab w:val="left" w:pos="157"/>
              </w:tabs>
              <w:spacing w:line="160" w:lineRule="exact"/>
              <w:ind w:right="338" w:hanging="99"/>
              <w:rPr>
                <w:sz w:val="14"/>
              </w:rPr>
            </w:pPr>
            <w:r>
              <w:rPr>
                <w:color w:val="231F20"/>
                <w:sz w:val="14"/>
              </w:rPr>
              <w:t>анализира представљање</w:t>
            </w:r>
            <w:r>
              <w:rPr>
                <w:color w:val="231F20"/>
                <w:spacing w:val="-16"/>
                <w:sz w:val="14"/>
              </w:rPr>
              <w:t xml:space="preserve"> </w:t>
            </w:r>
            <w:r>
              <w:rPr>
                <w:color w:val="231F20"/>
                <w:sz w:val="14"/>
              </w:rPr>
              <w:t>људских права у актуелним</w:t>
            </w:r>
            <w:r>
              <w:rPr>
                <w:color w:val="231F20"/>
                <w:spacing w:val="-4"/>
                <w:sz w:val="14"/>
              </w:rPr>
              <w:t xml:space="preserve"> </w:t>
            </w:r>
            <w:r>
              <w:rPr>
                <w:color w:val="231F20"/>
                <w:sz w:val="14"/>
              </w:rPr>
              <w:t>медијима;</w:t>
            </w:r>
          </w:p>
          <w:p w:rsidR="00041039" w:rsidRDefault="001B26CB">
            <w:pPr>
              <w:pStyle w:val="TableParagraph"/>
              <w:numPr>
                <w:ilvl w:val="0"/>
                <w:numId w:val="280"/>
              </w:numPr>
              <w:tabs>
                <w:tab w:val="left" w:pos="157"/>
              </w:tabs>
              <w:spacing w:line="160" w:lineRule="exact"/>
              <w:ind w:right="177" w:hanging="99"/>
              <w:rPr>
                <w:sz w:val="14"/>
              </w:rPr>
            </w:pPr>
            <w:r>
              <w:rPr>
                <w:color w:val="231F20"/>
                <w:sz w:val="14"/>
              </w:rPr>
              <w:t>објасни улогу појединца у заштити</w:t>
            </w:r>
            <w:r>
              <w:rPr>
                <w:color w:val="231F20"/>
                <w:spacing w:val="-21"/>
                <w:sz w:val="14"/>
              </w:rPr>
              <w:t xml:space="preserve"> </w:t>
            </w:r>
            <w:r>
              <w:rPr>
                <w:color w:val="231F20"/>
                <w:sz w:val="14"/>
              </w:rPr>
              <w:t>и остваривању људских</w:t>
            </w:r>
            <w:r>
              <w:rPr>
                <w:color w:val="231F20"/>
                <w:spacing w:val="-2"/>
                <w:sz w:val="14"/>
              </w:rPr>
              <w:t xml:space="preserve"> </w:t>
            </w:r>
            <w:r>
              <w:rPr>
                <w:color w:val="231F20"/>
                <w:sz w:val="14"/>
              </w:rPr>
              <w:t>права;</w:t>
            </w:r>
          </w:p>
          <w:p w:rsidR="00041039" w:rsidRDefault="001B26CB">
            <w:pPr>
              <w:pStyle w:val="TableParagraph"/>
              <w:numPr>
                <w:ilvl w:val="0"/>
                <w:numId w:val="280"/>
              </w:numPr>
              <w:tabs>
                <w:tab w:val="left" w:pos="157"/>
              </w:tabs>
              <w:spacing w:line="153" w:lineRule="exact"/>
              <w:ind w:hanging="99"/>
              <w:rPr>
                <w:sz w:val="14"/>
              </w:rPr>
            </w:pPr>
            <w:r>
              <w:rPr>
                <w:color w:val="231F20"/>
                <w:sz w:val="14"/>
              </w:rPr>
              <w:t>објасни појам грађанске</w:t>
            </w:r>
            <w:r>
              <w:rPr>
                <w:color w:val="231F20"/>
                <w:spacing w:val="-12"/>
                <w:sz w:val="14"/>
              </w:rPr>
              <w:t xml:space="preserve"> </w:t>
            </w:r>
            <w:r>
              <w:rPr>
                <w:color w:val="231F20"/>
                <w:sz w:val="14"/>
              </w:rPr>
              <w:t>иницијативе;</w:t>
            </w:r>
          </w:p>
          <w:p w:rsidR="00041039" w:rsidRDefault="001B26CB">
            <w:pPr>
              <w:pStyle w:val="TableParagraph"/>
              <w:numPr>
                <w:ilvl w:val="0"/>
                <w:numId w:val="280"/>
              </w:numPr>
              <w:tabs>
                <w:tab w:val="left" w:pos="157"/>
              </w:tabs>
              <w:spacing w:line="237" w:lineRule="auto"/>
              <w:ind w:right="270" w:hanging="99"/>
              <w:rPr>
                <w:sz w:val="14"/>
              </w:rPr>
            </w:pPr>
            <w:r>
              <w:rPr>
                <w:color w:val="231F20"/>
                <w:sz w:val="14"/>
              </w:rPr>
              <w:t>наведе надлежности општине и по­ слове којима се она</w:t>
            </w:r>
            <w:r>
              <w:rPr>
                <w:color w:val="231F20"/>
                <w:spacing w:val="-2"/>
                <w:sz w:val="14"/>
              </w:rPr>
              <w:t xml:space="preserve"> </w:t>
            </w:r>
            <w:r>
              <w:rPr>
                <w:color w:val="231F20"/>
                <w:sz w:val="14"/>
              </w:rPr>
              <w:t>бави;</w:t>
            </w:r>
          </w:p>
          <w:p w:rsidR="00041039" w:rsidRDefault="001B26CB">
            <w:pPr>
              <w:pStyle w:val="TableParagraph"/>
              <w:numPr>
                <w:ilvl w:val="0"/>
                <w:numId w:val="280"/>
              </w:numPr>
              <w:tabs>
                <w:tab w:val="left" w:pos="157"/>
              </w:tabs>
              <w:spacing w:line="160" w:lineRule="exact"/>
              <w:ind w:right="251" w:hanging="99"/>
              <w:rPr>
                <w:sz w:val="14"/>
              </w:rPr>
            </w:pPr>
            <w:r>
              <w:rPr>
                <w:color w:val="231F20"/>
                <w:sz w:val="14"/>
              </w:rPr>
              <w:t xml:space="preserve">разликује формалну </w:t>
            </w:r>
            <w:r>
              <w:rPr>
                <w:color w:val="231F20"/>
                <w:spacing w:val="-3"/>
                <w:sz w:val="14"/>
              </w:rPr>
              <w:t xml:space="preserve">од </w:t>
            </w:r>
            <w:r>
              <w:rPr>
                <w:color w:val="231F20"/>
                <w:sz w:val="14"/>
              </w:rPr>
              <w:t>неформалне иницијативе;</w:t>
            </w:r>
          </w:p>
          <w:p w:rsidR="00041039" w:rsidRDefault="001B26CB">
            <w:pPr>
              <w:pStyle w:val="TableParagraph"/>
              <w:numPr>
                <w:ilvl w:val="0"/>
                <w:numId w:val="280"/>
              </w:numPr>
              <w:tabs>
                <w:tab w:val="left" w:pos="157"/>
              </w:tabs>
              <w:spacing w:line="160" w:lineRule="exact"/>
              <w:ind w:right="267" w:hanging="99"/>
              <w:rPr>
                <w:sz w:val="14"/>
              </w:rPr>
            </w:pPr>
            <w:r>
              <w:rPr>
                <w:color w:val="231F20"/>
                <w:sz w:val="14"/>
              </w:rPr>
              <w:t>наведе форму и садржај</w:t>
            </w:r>
            <w:r>
              <w:rPr>
                <w:color w:val="231F20"/>
                <w:spacing w:val="-14"/>
                <w:sz w:val="14"/>
              </w:rPr>
              <w:t xml:space="preserve"> </w:t>
            </w:r>
            <w:r>
              <w:rPr>
                <w:color w:val="231F20"/>
                <w:sz w:val="14"/>
              </w:rPr>
              <w:t>формалног предлога грађанске</w:t>
            </w:r>
            <w:r>
              <w:rPr>
                <w:color w:val="231F20"/>
                <w:spacing w:val="-8"/>
                <w:sz w:val="14"/>
              </w:rPr>
              <w:t xml:space="preserve"> </w:t>
            </w:r>
            <w:r>
              <w:rPr>
                <w:color w:val="231F20"/>
                <w:sz w:val="14"/>
              </w:rPr>
              <w:t>иницијативе;</w:t>
            </w:r>
          </w:p>
          <w:p w:rsidR="00041039" w:rsidRDefault="001B26CB">
            <w:pPr>
              <w:pStyle w:val="TableParagraph"/>
              <w:numPr>
                <w:ilvl w:val="0"/>
                <w:numId w:val="280"/>
              </w:numPr>
              <w:tabs>
                <w:tab w:val="left" w:pos="157"/>
              </w:tabs>
              <w:spacing w:line="160" w:lineRule="exact"/>
              <w:ind w:right="105" w:hanging="99"/>
              <w:rPr>
                <w:sz w:val="14"/>
              </w:rPr>
            </w:pPr>
            <w:r>
              <w:rPr>
                <w:color w:val="231F20"/>
                <w:sz w:val="14"/>
              </w:rPr>
              <w:t xml:space="preserve">наведе </w:t>
            </w:r>
            <w:r>
              <w:rPr>
                <w:color w:val="231F20"/>
                <w:spacing w:val="-3"/>
                <w:sz w:val="14"/>
              </w:rPr>
              <w:t xml:space="preserve">структуру, </w:t>
            </w:r>
            <w:r>
              <w:rPr>
                <w:color w:val="231F20"/>
                <w:sz w:val="14"/>
              </w:rPr>
              <w:t>функционисање, правила и процедуре рада</w:t>
            </w:r>
            <w:r>
              <w:rPr>
                <w:color w:val="231F20"/>
                <w:spacing w:val="-16"/>
                <w:sz w:val="14"/>
              </w:rPr>
              <w:t xml:space="preserve"> </w:t>
            </w:r>
            <w:r>
              <w:rPr>
                <w:color w:val="231F20"/>
                <w:sz w:val="14"/>
              </w:rPr>
              <w:t>скупштине;</w:t>
            </w:r>
          </w:p>
          <w:p w:rsidR="00041039" w:rsidRDefault="001B26CB">
            <w:pPr>
              <w:pStyle w:val="TableParagraph"/>
              <w:numPr>
                <w:ilvl w:val="0"/>
                <w:numId w:val="280"/>
              </w:numPr>
              <w:tabs>
                <w:tab w:val="left" w:pos="157"/>
              </w:tabs>
              <w:spacing w:line="160" w:lineRule="exact"/>
              <w:ind w:right="65" w:hanging="99"/>
              <w:rPr>
                <w:sz w:val="14"/>
              </w:rPr>
            </w:pPr>
            <w:r>
              <w:rPr>
                <w:color w:val="231F20"/>
                <w:sz w:val="14"/>
              </w:rPr>
              <w:t>изведе симулацију заседања скупшти­ не поштујући све процедуре у</w:t>
            </w:r>
            <w:r>
              <w:rPr>
                <w:color w:val="231F20"/>
                <w:spacing w:val="-16"/>
                <w:sz w:val="14"/>
              </w:rPr>
              <w:t xml:space="preserve"> </w:t>
            </w:r>
            <w:r>
              <w:rPr>
                <w:color w:val="231F20"/>
                <w:sz w:val="14"/>
              </w:rPr>
              <w:t>процесу доношења одлука на предлог</w:t>
            </w:r>
            <w:r>
              <w:rPr>
                <w:color w:val="231F20"/>
                <w:spacing w:val="-16"/>
                <w:sz w:val="14"/>
              </w:rPr>
              <w:t xml:space="preserve"> </w:t>
            </w:r>
            <w:r>
              <w:rPr>
                <w:color w:val="231F20"/>
                <w:sz w:val="14"/>
              </w:rPr>
              <w:t>грађана;</w:t>
            </w:r>
          </w:p>
          <w:p w:rsidR="00041039" w:rsidRDefault="001B26CB">
            <w:pPr>
              <w:pStyle w:val="TableParagraph"/>
              <w:numPr>
                <w:ilvl w:val="0"/>
                <w:numId w:val="280"/>
              </w:numPr>
              <w:tabs>
                <w:tab w:val="left" w:pos="157"/>
              </w:tabs>
              <w:spacing w:line="160" w:lineRule="exact"/>
              <w:ind w:right="58" w:hanging="99"/>
              <w:rPr>
                <w:sz w:val="14"/>
              </w:rPr>
            </w:pPr>
            <w:r>
              <w:rPr>
                <w:color w:val="231F20"/>
                <w:sz w:val="14"/>
              </w:rPr>
              <w:t>објасни појам, карактеристике, улогу</w:t>
            </w:r>
            <w:r>
              <w:rPr>
                <w:color w:val="231F20"/>
                <w:spacing w:val="-23"/>
                <w:sz w:val="14"/>
              </w:rPr>
              <w:t xml:space="preserve"> </w:t>
            </w:r>
            <w:r>
              <w:rPr>
                <w:color w:val="231F20"/>
                <w:sz w:val="14"/>
              </w:rPr>
              <w:t>и врсте удруживања</w:t>
            </w:r>
            <w:r>
              <w:rPr>
                <w:color w:val="231F20"/>
                <w:spacing w:val="-4"/>
                <w:sz w:val="14"/>
              </w:rPr>
              <w:t xml:space="preserve"> </w:t>
            </w:r>
            <w:r>
              <w:rPr>
                <w:color w:val="231F20"/>
                <w:sz w:val="14"/>
              </w:rPr>
              <w:t>грађана;</w:t>
            </w:r>
          </w:p>
          <w:p w:rsidR="00041039" w:rsidRDefault="001B26CB">
            <w:pPr>
              <w:pStyle w:val="TableParagraph"/>
              <w:numPr>
                <w:ilvl w:val="0"/>
                <w:numId w:val="280"/>
              </w:numPr>
              <w:tabs>
                <w:tab w:val="left" w:pos="157"/>
              </w:tabs>
              <w:spacing w:line="160" w:lineRule="exact"/>
              <w:ind w:right="95" w:hanging="99"/>
              <w:rPr>
                <w:sz w:val="14"/>
              </w:rPr>
            </w:pPr>
            <w:r>
              <w:rPr>
                <w:color w:val="231F20"/>
                <w:sz w:val="14"/>
              </w:rPr>
              <w:t>идентификује и анализира активности и акције удружења грађана у својој локалној</w:t>
            </w:r>
            <w:r>
              <w:rPr>
                <w:color w:val="231F20"/>
                <w:spacing w:val="-2"/>
                <w:sz w:val="14"/>
              </w:rPr>
              <w:t xml:space="preserve"> </w:t>
            </w:r>
            <w:r>
              <w:rPr>
                <w:color w:val="231F20"/>
                <w:sz w:val="14"/>
              </w:rPr>
              <w:t>за</w:t>
            </w:r>
            <w:r>
              <w:rPr>
                <w:color w:val="231F20"/>
                <w:sz w:val="14"/>
              </w:rPr>
              <w:t>једници;</w:t>
            </w:r>
          </w:p>
        </w:tc>
        <w:tc>
          <w:tcPr>
            <w:tcW w:w="2834" w:type="dxa"/>
          </w:tcPr>
          <w:p w:rsidR="00041039" w:rsidRDefault="001B26CB">
            <w:pPr>
              <w:pStyle w:val="TableParagraph"/>
              <w:numPr>
                <w:ilvl w:val="0"/>
                <w:numId w:val="279"/>
              </w:numPr>
              <w:tabs>
                <w:tab w:val="left" w:pos="157"/>
              </w:tabs>
              <w:spacing w:before="8" w:line="166" w:lineRule="exact"/>
              <w:ind w:hanging="99"/>
              <w:rPr>
                <w:sz w:val="14"/>
              </w:rPr>
            </w:pPr>
            <w:r>
              <w:rPr>
                <w:color w:val="231F20"/>
                <w:sz w:val="14"/>
              </w:rPr>
              <w:t>Право на грађанску</w:t>
            </w:r>
            <w:r>
              <w:rPr>
                <w:color w:val="231F20"/>
                <w:spacing w:val="-2"/>
                <w:sz w:val="14"/>
              </w:rPr>
              <w:t xml:space="preserve"> </w:t>
            </w:r>
            <w:r>
              <w:rPr>
                <w:color w:val="231F20"/>
                <w:spacing w:val="-3"/>
                <w:sz w:val="14"/>
              </w:rPr>
              <w:t>иницијативу.</w:t>
            </w:r>
          </w:p>
          <w:p w:rsidR="00041039" w:rsidRDefault="001B26CB">
            <w:pPr>
              <w:pStyle w:val="TableParagraph"/>
              <w:numPr>
                <w:ilvl w:val="0"/>
                <w:numId w:val="279"/>
              </w:numPr>
              <w:tabs>
                <w:tab w:val="left" w:pos="157"/>
              </w:tabs>
              <w:spacing w:line="237" w:lineRule="auto"/>
              <w:ind w:right="640" w:hanging="99"/>
              <w:rPr>
                <w:sz w:val="14"/>
              </w:rPr>
            </w:pPr>
            <w:r>
              <w:rPr>
                <w:color w:val="231F20"/>
                <w:sz w:val="14"/>
              </w:rPr>
              <w:t>Партиципација грађана у про­ цесу доношења одлука и право</w:t>
            </w:r>
            <w:r>
              <w:rPr>
                <w:color w:val="231F20"/>
                <w:spacing w:val="-14"/>
                <w:sz w:val="14"/>
              </w:rPr>
              <w:t xml:space="preserve"> </w:t>
            </w:r>
            <w:r>
              <w:rPr>
                <w:color w:val="231F20"/>
                <w:sz w:val="14"/>
              </w:rPr>
              <w:t>на самоорганизовање</w:t>
            </w:r>
            <w:r>
              <w:rPr>
                <w:color w:val="231F20"/>
                <w:spacing w:val="-1"/>
                <w:sz w:val="14"/>
              </w:rPr>
              <w:t xml:space="preserve"> </w:t>
            </w:r>
            <w:r>
              <w:rPr>
                <w:color w:val="231F20"/>
                <w:sz w:val="14"/>
              </w:rPr>
              <w:t>грађана.</w:t>
            </w:r>
          </w:p>
          <w:p w:rsidR="00041039" w:rsidRDefault="001B26CB">
            <w:pPr>
              <w:pStyle w:val="TableParagraph"/>
              <w:numPr>
                <w:ilvl w:val="0"/>
                <w:numId w:val="279"/>
              </w:numPr>
              <w:tabs>
                <w:tab w:val="left" w:pos="157"/>
              </w:tabs>
              <w:spacing w:line="162" w:lineRule="exact"/>
              <w:ind w:hanging="99"/>
              <w:rPr>
                <w:sz w:val="14"/>
              </w:rPr>
            </w:pPr>
            <w:r>
              <w:rPr>
                <w:color w:val="231F20"/>
                <w:spacing w:val="-4"/>
                <w:sz w:val="14"/>
              </w:rPr>
              <w:t xml:space="preserve">Улога </w:t>
            </w:r>
            <w:r>
              <w:rPr>
                <w:color w:val="231F20"/>
                <w:sz w:val="14"/>
              </w:rPr>
              <w:t>невладиних</w:t>
            </w:r>
            <w:r>
              <w:rPr>
                <w:color w:val="231F20"/>
                <w:sz w:val="14"/>
              </w:rPr>
              <w:t xml:space="preserve"> </w:t>
            </w:r>
            <w:r>
              <w:rPr>
                <w:color w:val="231F20"/>
                <w:sz w:val="14"/>
              </w:rPr>
              <w:t>организација.</w:t>
            </w:r>
          </w:p>
        </w:tc>
        <w:tc>
          <w:tcPr>
            <w:tcW w:w="2267" w:type="dxa"/>
            <w:vMerge w:val="restart"/>
          </w:tcPr>
          <w:p w:rsidR="00041039" w:rsidRDefault="001B26CB">
            <w:pPr>
              <w:pStyle w:val="TableParagraph"/>
              <w:numPr>
                <w:ilvl w:val="0"/>
                <w:numId w:val="278"/>
              </w:numPr>
              <w:tabs>
                <w:tab w:val="left" w:pos="158"/>
              </w:tabs>
              <w:spacing w:before="9"/>
              <w:ind w:right="196" w:hanging="99"/>
              <w:rPr>
                <w:sz w:val="14"/>
              </w:rPr>
            </w:pPr>
            <w:r>
              <w:rPr>
                <w:color w:val="231F20"/>
                <w:sz w:val="14"/>
              </w:rPr>
              <w:t>Добар индикатор успешне на­ ставе је способност ученика да адекватно примењују стечена знања и вештине и да у пракси изражавају ставове и вредности демократског</w:t>
            </w:r>
            <w:r>
              <w:rPr>
                <w:color w:val="231F20"/>
                <w:spacing w:val="-1"/>
                <w:sz w:val="14"/>
              </w:rPr>
              <w:t xml:space="preserve"> </w:t>
            </w:r>
            <w:r>
              <w:rPr>
                <w:color w:val="231F20"/>
                <w:sz w:val="14"/>
              </w:rPr>
              <w:t>друштва.</w:t>
            </w:r>
          </w:p>
          <w:p w:rsidR="00041039" w:rsidRDefault="001B26CB">
            <w:pPr>
              <w:pStyle w:val="TableParagraph"/>
              <w:numPr>
                <w:ilvl w:val="0"/>
                <w:numId w:val="278"/>
              </w:numPr>
              <w:tabs>
                <w:tab w:val="left" w:pos="158"/>
              </w:tabs>
              <w:spacing w:line="154" w:lineRule="exact"/>
              <w:ind w:hanging="99"/>
              <w:rPr>
                <w:sz w:val="14"/>
              </w:rPr>
            </w:pPr>
            <w:r>
              <w:rPr>
                <w:color w:val="231F20"/>
                <w:sz w:val="14"/>
              </w:rPr>
              <w:t>Наставник треба да пружи</w:t>
            </w:r>
            <w:r>
              <w:rPr>
                <w:color w:val="231F20"/>
                <w:spacing w:val="-6"/>
                <w:sz w:val="14"/>
              </w:rPr>
              <w:t xml:space="preserve"> </w:t>
            </w:r>
            <w:r>
              <w:rPr>
                <w:color w:val="231F20"/>
                <w:sz w:val="14"/>
              </w:rPr>
              <w:t>неоп­</w:t>
            </w:r>
          </w:p>
          <w:p w:rsidR="00041039" w:rsidRDefault="001B26CB">
            <w:pPr>
              <w:pStyle w:val="TableParagraph"/>
              <w:ind w:left="157"/>
              <w:rPr>
                <w:sz w:val="14"/>
              </w:rPr>
            </w:pPr>
            <w:r>
              <w:rPr>
                <w:color w:val="231F20"/>
                <w:sz w:val="14"/>
              </w:rPr>
              <w:t>ходну помоћ и подршку ученици­ ма у припреми и реализацији ак­ тивности, а заједно са групом да обезбеди повратну информацију о њеној успешности.</w:t>
            </w:r>
          </w:p>
          <w:p w:rsidR="00041039" w:rsidRDefault="001B26CB">
            <w:pPr>
              <w:pStyle w:val="TableParagraph"/>
              <w:numPr>
                <w:ilvl w:val="0"/>
                <w:numId w:val="278"/>
              </w:numPr>
              <w:tabs>
                <w:tab w:val="left" w:pos="158"/>
              </w:tabs>
              <w:spacing w:line="156" w:lineRule="exact"/>
              <w:ind w:hanging="99"/>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ученичких актив­ ности и особа к</w:t>
            </w:r>
            <w:r>
              <w:rPr>
                <w:color w:val="231F20"/>
                <w:sz w:val="14"/>
              </w:rPr>
              <w:t>оја даје повратну информацију.</w:t>
            </w:r>
          </w:p>
          <w:p w:rsidR="00041039" w:rsidRDefault="001B26CB">
            <w:pPr>
              <w:pStyle w:val="TableParagraph"/>
              <w:numPr>
                <w:ilvl w:val="0"/>
                <w:numId w:val="278"/>
              </w:numPr>
              <w:tabs>
                <w:tab w:val="left" w:pos="158"/>
              </w:tabs>
              <w:spacing w:line="157" w:lineRule="exact"/>
              <w:ind w:hanging="99"/>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278"/>
              </w:numPr>
              <w:tabs>
                <w:tab w:val="left" w:pos="158"/>
              </w:tabs>
              <w:spacing w:line="237" w:lineRule="auto"/>
              <w:ind w:right="59"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p w:rsidR="00041039" w:rsidRDefault="00041039">
            <w:pPr>
              <w:pStyle w:val="TableParagraph"/>
              <w:spacing w:before="10"/>
              <w:ind w:left="0"/>
              <w:rPr>
                <w:b/>
                <w:sz w:val="12"/>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78"/>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278"/>
              </w:numPr>
              <w:tabs>
                <w:tab w:val="left" w:pos="158"/>
              </w:tabs>
              <w:spacing w:line="237" w:lineRule="auto"/>
              <w:ind w:right="497" w:hanging="99"/>
              <w:rPr>
                <w:b/>
                <w:sz w:val="14"/>
              </w:rPr>
            </w:pPr>
            <w:r>
              <w:rPr>
                <w:color w:val="231F20"/>
                <w:sz w:val="14"/>
              </w:rPr>
              <w:t>Демократија и политика</w:t>
            </w:r>
            <w:r>
              <w:rPr>
                <w:color w:val="231F20"/>
                <w:spacing w:val="-16"/>
                <w:sz w:val="14"/>
              </w:rPr>
              <w:t xml:space="preserve"> </w:t>
            </w:r>
            <w:r>
              <w:rPr>
                <w:b/>
                <w:color w:val="231F20"/>
                <w:sz w:val="14"/>
              </w:rPr>
              <w:t>(5 часова)</w:t>
            </w:r>
          </w:p>
          <w:p w:rsidR="00041039" w:rsidRDefault="001B26CB">
            <w:pPr>
              <w:pStyle w:val="TableParagraph"/>
              <w:numPr>
                <w:ilvl w:val="0"/>
                <w:numId w:val="278"/>
              </w:numPr>
              <w:tabs>
                <w:tab w:val="left" w:pos="158"/>
              </w:tabs>
              <w:spacing w:line="155" w:lineRule="exact"/>
              <w:ind w:hanging="99"/>
              <w:rPr>
                <w:b/>
                <w:sz w:val="14"/>
              </w:rPr>
            </w:pPr>
            <w:r>
              <w:rPr>
                <w:color w:val="231F20"/>
                <w:sz w:val="14"/>
              </w:rPr>
              <w:t xml:space="preserve">Грађанин и друштво </w:t>
            </w:r>
            <w:r>
              <w:rPr>
                <w:b/>
                <w:color w:val="231F20"/>
                <w:spacing w:val="-3"/>
                <w:sz w:val="14"/>
              </w:rPr>
              <w:t>(11</w:t>
            </w:r>
            <w:r>
              <w:rPr>
                <w:b/>
                <w:color w:val="231F20"/>
                <w:spacing w:val="-11"/>
                <w:sz w:val="14"/>
              </w:rPr>
              <w:t xml:space="preserve"> </w:t>
            </w:r>
            <w:r>
              <w:rPr>
                <w:b/>
                <w:color w:val="231F20"/>
                <w:sz w:val="14"/>
              </w:rPr>
              <w:t>часова)</w:t>
            </w:r>
          </w:p>
          <w:p w:rsidR="00041039" w:rsidRDefault="001B26CB">
            <w:pPr>
              <w:pStyle w:val="TableParagraph"/>
              <w:numPr>
                <w:ilvl w:val="0"/>
                <w:numId w:val="278"/>
              </w:numPr>
              <w:tabs>
                <w:tab w:val="left" w:pos="158"/>
              </w:tabs>
              <w:spacing w:line="237" w:lineRule="auto"/>
              <w:ind w:right="181" w:hanging="99"/>
              <w:rPr>
                <w:b/>
                <w:sz w:val="14"/>
              </w:rPr>
            </w:pPr>
            <w:r>
              <w:rPr>
                <w:color w:val="231F20"/>
                <w:sz w:val="14"/>
              </w:rPr>
              <w:t>Грађанска и политичка права и право на грађанску</w:t>
            </w:r>
            <w:r>
              <w:rPr>
                <w:color w:val="231F20"/>
                <w:spacing w:val="-26"/>
                <w:sz w:val="14"/>
              </w:rPr>
              <w:t xml:space="preserve"> </w:t>
            </w:r>
            <w:r>
              <w:rPr>
                <w:color w:val="231F20"/>
                <w:sz w:val="14"/>
              </w:rPr>
              <w:t xml:space="preserve">иницијативу </w:t>
            </w:r>
            <w:r>
              <w:rPr>
                <w:b/>
                <w:color w:val="231F20"/>
                <w:sz w:val="14"/>
              </w:rPr>
              <w:t>(10</w:t>
            </w:r>
            <w:r>
              <w:rPr>
                <w:b/>
                <w:color w:val="231F20"/>
                <w:spacing w:val="-1"/>
                <w:sz w:val="14"/>
              </w:rPr>
              <w:t xml:space="preserve"> </w:t>
            </w:r>
            <w:r>
              <w:rPr>
                <w:b/>
                <w:color w:val="231F20"/>
                <w:sz w:val="14"/>
              </w:rPr>
              <w:t>часова)</w:t>
            </w:r>
          </w:p>
          <w:p w:rsidR="00041039" w:rsidRDefault="001B26CB">
            <w:pPr>
              <w:pStyle w:val="TableParagraph"/>
              <w:numPr>
                <w:ilvl w:val="0"/>
                <w:numId w:val="278"/>
              </w:numPr>
              <w:tabs>
                <w:tab w:val="left" w:pos="158"/>
              </w:tabs>
              <w:spacing w:line="237" w:lineRule="auto"/>
              <w:ind w:right="211" w:hanging="99"/>
              <w:rPr>
                <w:b/>
                <w:sz w:val="14"/>
              </w:rPr>
            </w:pPr>
            <w:r>
              <w:rPr>
                <w:color w:val="231F20"/>
                <w:sz w:val="14"/>
              </w:rPr>
              <w:t>Планирање конкретне акције</w:t>
            </w:r>
            <w:r>
              <w:rPr>
                <w:color w:val="231F20"/>
                <w:spacing w:val="-15"/>
                <w:sz w:val="14"/>
              </w:rPr>
              <w:t xml:space="preserve"> </w:t>
            </w:r>
            <w:r>
              <w:rPr>
                <w:b/>
                <w:color w:val="231F20"/>
                <w:sz w:val="14"/>
              </w:rPr>
              <w:t>(9 часова)</w:t>
            </w:r>
          </w:p>
        </w:tc>
      </w:tr>
      <w:tr w:rsidR="00041039">
        <w:trPr>
          <w:trHeight w:val="3029"/>
        </w:trPr>
        <w:tc>
          <w:tcPr>
            <w:tcW w:w="1304" w:type="dxa"/>
          </w:tcPr>
          <w:p w:rsidR="00041039" w:rsidRDefault="001B26CB">
            <w:pPr>
              <w:pStyle w:val="TableParagraph"/>
              <w:spacing w:before="19"/>
              <w:ind w:left="56" w:right="37"/>
              <w:rPr>
                <w:sz w:val="14"/>
              </w:rPr>
            </w:pPr>
            <w:r>
              <w:rPr>
                <w:color w:val="231F20"/>
                <w:sz w:val="14"/>
              </w:rPr>
              <w:t>Планирање кон­ кретне акције</w:t>
            </w:r>
          </w:p>
        </w:tc>
        <w:tc>
          <w:tcPr>
            <w:tcW w:w="1587" w:type="dxa"/>
          </w:tcPr>
          <w:p w:rsidR="00041039" w:rsidRDefault="001B26CB">
            <w:pPr>
              <w:pStyle w:val="TableParagraph"/>
              <w:numPr>
                <w:ilvl w:val="0"/>
                <w:numId w:val="277"/>
              </w:numPr>
              <w:tabs>
                <w:tab w:val="left" w:pos="157"/>
              </w:tabs>
              <w:spacing w:before="9"/>
              <w:ind w:right="79"/>
              <w:rPr>
                <w:sz w:val="14"/>
              </w:rPr>
            </w:pPr>
            <w:r>
              <w:rPr>
                <w:color w:val="231F20"/>
                <w:sz w:val="14"/>
              </w:rPr>
              <w:t>Подстицање и оспо­ собљавање ученика за планирање заједнич­ ких акција и</w:t>
            </w:r>
            <w:r>
              <w:rPr>
                <w:color w:val="231F20"/>
                <w:spacing w:val="-11"/>
                <w:sz w:val="14"/>
              </w:rPr>
              <w:t xml:space="preserve"> </w:t>
            </w:r>
            <w:r>
              <w:rPr>
                <w:color w:val="231F20"/>
                <w:sz w:val="14"/>
              </w:rPr>
              <w:t>пројеката у локалној</w:t>
            </w:r>
            <w:r>
              <w:rPr>
                <w:color w:val="231F20"/>
                <w:spacing w:val="-8"/>
                <w:sz w:val="14"/>
              </w:rPr>
              <w:t xml:space="preserve"> </w:t>
            </w:r>
            <w:r>
              <w:rPr>
                <w:color w:val="231F20"/>
                <w:sz w:val="14"/>
              </w:rPr>
              <w:t>заједници.</w:t>
            </w:r>
          </w:p>
        </w:tc>
        <w:tc>
          <w:tcPr>
            <w:tcW w:w="2551" w:type="dxa"/>
          </w:tcPr>
          <w:p w:rsidR="00041039" w:rsidRDefault="001B26CB">
            <w:pPr>
              <w:pStyle w:val="TableParagraph"/>
              <w:numPr>
                <w:ilvl w:val="0"/>
                <w:numId w:val="276"/>
              </w:numPr>
              <w:tabs>
                <w:tab w:val="left" w:pos="157"/>
              </w:tabs>
              <w:spacing w:before="10"/>
              <w:ind w:right="54" w:hanging="99"/>
              <w:rPr>
                <w:sz w:val="14"/>
              </w:rPr>
            </w:pPr>
            <w:r>
              <w:rPr>
                <w:color w:val="231F20"/>
                <w:sz w:val="14"/>
              </w:rPr>
              <w:t>идентификује проблеме у својој</w:t>
            </w:r>
            <w:r>
              <w:rPr>
                <w:color w:val="231F20"/>
                <w:spacing w:val="-25"/>
                <w:sz w:val="14"/>
              </w:rPr>
              <w:t xml:space="preserve"> </w:t>
            </w:r>
            <w:r>
              <w:rPr>
                <w:color w:val="231F20"/>
                <w:sz w:val="14"/>
              </w:rPr>
              <w:t>локал­ ној</w:t>
            </w:r>
            <w:r>
              <w:rPr>
                <w:color w:val="231F20"/>
                <w:spacing w:val="-2"/>
                <w:sz w:val="14"/>
              </w:rPr>
              <w:t xml:space="preserve"> </w:t>
            </w:r>
            <w:r>
              <w:rPr>
                <w:color w:val="231F20"/>
                <w:sz w:val="14"/>
              </w:rPr>
              <w:t>заједници;</w:t>
            </w:r>
          </w:p>
          <w:p w:rsidR="00041039" w:rsidRDefault="001B26CB">
            <w:pPr>
              <w:pStyle w:val="TableParagraph"/>
              <w:numPr>
                <w:ilvl w:val="0"/>
                <w:numId w:val="276"/>
              </w:numPr>
              <w:tabs>
                <w:tab w:val="left" w:pos="157"/>
              </w:tabs>
              <w:spacing w:line="160" w:lineRule="exact"/>
              <w:ind w:right="80" w:hanging="99"/>
              <w:rPr>
                <w:sz w:val="14"/>
              </w:rPr>
            </w:pPr>
            <w:r>
              <w:rPr>
                <w:color w:val="231F20"/>
                <w:sz w:val="14"/>
              </w:rPr>
              <w:t>анализира изабране проблеме,</w:t>
            </w:r>
            <w:r>
              <w:rPr>
                <w:color w:val="231F20"/>
                <w:spacing w:val="-26"/>
                <w:sz w:val="14"/>
              </w:rPr>
              <w:t xml:space="preserve"> </w:t>
            </w:r>
            <w:r>
              <w:rPr>
                <w:color w:val="231F20"/>
                <w:sz w:val="14"/>
              </w:rPr>
              <w:t>изучава их;</w:t>
            </w:r>
          </w:p>
          <w:p w:rsidR="00041039" w:rsidRDefault="001B26CB">
            <w:pPr>
              <w:pStyle w:val="TableParagraph"/>
              <w:numPr>
                <w:ilvl w:val="0"/>
                <w:numId w:val="276"/>
              </w:numPr>
              <w:tabs>
                <w:tab w:val="left" w:pos="157"/>
              </w:tabs>
              <w:spacing w:line="160" w:lineRule="exact"/>
              <w:ind w:right="279" w:hanging="99"/>
              <w:rPr>
                <w:sz w:val="14"/>
              </w:rPr>
            </w:pPr>
            <w:r>
              <w:rPr>
                <w:color w:val="231F20"/>
                <w:sz w:val="14"/>
              </w:rPr>
              <w:t>предлаже активности и дискутује</w:t>
            </w:r>
            <w:r>
              <w:rPr>
                <w:color w:val="231F20"/>
                <w:spacing w:val="-10"/>
                <w:sz w:val="14"/>
              </w:rPr>
              <w:t xml:space="preserve"> </w:t>
            </w:r>
            <w:r>
              <w:rPr>
                <w:color w:val="231F20"/>
                <w:sz w:val="14"/>
              </w:rPr>
              <w:t>о њима са осталим чланови</w:t>
            </w:r>
            <w:r>
              <w:rPr>
                <w:color w:val="231F20"/>
                <w:sz w:val="14"/>
              </w:rPr>
              <w:t>ма</w:t>
            </w:r>
            <w:r>
              <w:rPr>
                <w:color w:val="231F20"/>
                <w:spacing w:val="-2"/>
                <w:sz w:val="14"/>
              </w:rPr>
              <w:t xml:space="preserve"> </w:t>
            </w:r>
            <w:r>
              <w:rPr>
                <w:color w:val="231F20"/>
                <w:sz w:val="14"/>
              </w:rPr>
              <w:t>тима;</w:t>
            </w:r>
          </w:p>
          <w:p w:rsidR="00041039" w:rsidRDefault="001B26CB">
            <w:pPr>
              <w:pStyle w:val="TableParagraph"/>
              <w:numPr>
                <w:ilvl w:val="0"/>
                <w:numId w:val="276"/>
              </w:numPr>
              <w:tabs>
                <w:tab w:val="left" w:pos="157"/>
              </w:tabs>
              <w:spacing w:line="160" w:lineRule="exact"/>
              <w:ind w:right="209" w:hanging="99"/>
              <w:rPr>
                <w:sz w:val="14"/>
              </w:rPr>
            </w:pPr>
            <w:r>
              <w:rPr>
                <w:color w:val="231F20"/>
                <w:sz w:val="14"/>
              </w:rPr>
              <w:t>сарађује са члановима тима и учест­ вује у доношењу</w:t>
            </w:r>
            <w:r>
              <w:rPr>
                <w:color w:val="231F20"/>
                <w:spacing w:val="-2"/>
                <w:sz w:val="14"/>
              </w:rPr>
              <w:t xml:space="preserve"> </w:t>
            </w:r>
            <w:r>
              <w:rPr>
                <w:color w:val="231F20"/>
                <w:sz w:val="14"/>
              </w:rPr>
              <w:t>одлука;</w:t>
            </w:r>
          </w:p>
          <w:p w:rsidR="00041039" w:rsidRDefault="001B26CB">
            <w:pPr>
              <w:pStyle w:val="TableParagraph"/>
              <w:numPr>
                <w:ilvl w:val="0"/>
                <w:numId w:val="276"/>
              </w:numPr>
              <w:tabs>
                <w:tab w:val="left" w:pos="157"/>
              </w:tabs>
              <w:spacing w:line="153" w:lineRule="exact"/>
              <w:ind w:hanging="99"/>
              <w:rPr>
                <w:sz w:val="14"/>
              </w:rPr>
            </w:pPr>
            <w:r>
              <w:rPr>
                <w:color w:val="231F20"/>
                <w:sz w:val="14"/>
              </w:rPr>
              <w:t xml:space="preserve">формулише циљеве и </w:t>
            </w:r>
            <w:r>
              <w:rPr>
                <w:color w:val="231F20"/>
                <w:spacing w:val="-2"/>
                <w:sz w:val="14"/>
              </w:rPr>
              <w:t>кораке</w:t>
            </w:r>
            <w:r>
              <w:rPr>
                <w:color w:val="231F20"/>
                <w:spacing w:val="-9"/>
                <w:sz w:val="14"/>
              </w:rPr>
              <w:t xml:space="preserve"> </w:t>
            </w:r>
            <w:r>
              <w:rPr>
                <w:color w:val="231F20"/>
                <w:sz w:val="14"/>
              </w:rPr>
              <w:t>акције;</w:t>
            </w:r>
          </w:p>
          <w:p w:rsidR="00041039" w:rsidRDefault="001B26CB">
            <w:pPr>
              <w:pStyle w:val="TableParagraph"/>
              <w:numPr>
                <w:ilvl w:val="0"/>
                <w:numId w:val="276"/>
              </w:numPr>
              <w:tabs>
                <w:tab w:val="left" w:pos="157"/>
              </w:tabs>
              <w:spacing w:line="237" w:lineRule="auto"/>
              <w:ind w:right="464" w:hanging="99"/>
              <w:rPr>
                <w:sz w:val="14"/>
              </w:rPr>
            </w:pPr>
            <w:r>
              <w:rPr>
                <w:color w:val="231F20"/>
                <w:sz w:val="14"/>
              </w:rPr>
              <w:t>иницира активности, прати их</w:t>
            </w:r>
            <w:r>
              <w:rPr>
                <w:color w:val="231F20"/>
                <w:spacing w:val="-14"/>
                <w:sz w:val="14"/>
              </w:rPr>
              <w:t xml:space="preserve"> </w:t>
            </w:r>
            <w:r>
              <w:rPr>
                <w:color w:val="231F20"/>
                <w:sz w:val="14"/>
              </w:rPr>
              <w:t>и оцењује</w:t>
            </w:r>
          </w:p>
          <w:p w:rsidR="00041039" w:rsidRDefault="001B26CB">
            <w:pPr>
              <w:pStyle w:val="TableParagraph"/>
              <w:numPr>
                <w:ilvl w:val="0"/>
                <w:numId w:val="276"/>
              </w:numPr>
              <w:tabs>
                <w:tab w:val="left" w:pos="157"/>
              </w:tabs>
              <w:spacing w:line="160" w:lineRule="exact"/>
              <w:ind w:right="234" w:hanging="99"/>
              <w:rPr>
                <w:sz w:val="14"/>
              </w:rPr>
            </w:pPr>
            <w:r>
              <w:rPr>
                <w:color w:val="231F20"/>
                <w:sz w:val="14"/>
              </w:rPr>
              <w:t>представи путем јавне презентације нацрт акције и резултате</w:t>
            </w:r>
            <w:r>
              <w:rPr>
                <w:color w:val="231F20"/>
                <w:spacing w:val="-8"/>
                <w:sz w:val="14"/>
              </w:rPr>
              <w:t xml:space="preserve"> </w:t>
            </w:r>
            <w:r>
              <w:rPr>
                <w:color w:val="231F20"/>
                <w:sz w:val="14"/>
              </w:rPr>
              <w:t>акције;</w:t>
            </w:r>
          </w:p>
        </w:tc>
        <w:tc>
          <w:tcPr>
            <w:tcW w:w="2834" w:type="dxa"/>
          </w:tcPr>
          <w:p w:rsidR="00041039" w:rsidRDefault="001B26CB">
            <w:pPr>
              <w:pStyle w:val="TableParagraph"/>
              <w:numPr>
                <w:ilvl w:val="0"/>
                <w:numId w:val="275"/>
              </w:numPr>
              <w:tabs>
                <w:tab w:val="left" w:pos="157"/>
              </w:tabs>
              <w:spacing w:before="10" w:line="166" w:lineRule="exact"/>
              <w:ind w:hanging="99"/>
              <w:rPr>
                <w:sz w:val="14"/>
              </w:rPr>
            </w:pPr>
            <w:r>
              <w:rPr>
                <w:color w:val="231F20"/>
                <w:sz w:val="14"/>
              </w:rPr>
              <w:t>Избор</w:t>
            </w:r>
            <w:r>
              <w:rPr>
                <w:color w:val="231F20"/>
                <w:spacing w:val="-2"/>
                <w:sz w:val="14"/>
              </w:rPr>
              <w:t xml:space="preserve"> </w:t>
            </w:r>
            <w:r>
              <w:rPr>
                <w:color w:val="231F20"/>
                <w:sz w:val="14"/>
              </w:rPr>
              <w:t>проблема.</w:t>
            </w:r>
          </w:p>
          <w:p w:rsidR="00041039" w:rsidRDefault="001B26CB">
            <w:pPr>
              <w:pStyle w:val="TableParagraph"/>
              <w:numPr>
                <w:ilvl w:val="0"/>
                <w:numId w:val="275"/>
              </w:numPr>
              <w:tabs>
                <w:tab w:val="left" w:pos="157"/>
              </w:tabs>
              <w:spacing w:line="160" w:lineRule="exact"/>
              <w:ind w:hanging="99"/>
              <w:rPr>
                <w:sz w:val="14"/>
              </w:rPr>
            </w:pPr>
            <w:r>
              <w:rPr>
                <w:color w:val="231F20"/>
                <w:sz w:val="14"/>
              </w:rPr>
              <w:t>Идентификација могућих</w:t>
            </w:r>
            <w:r>
              <w:rPr>
                <w:color w:val="231F20"/>
                <w:spacing w:val="-2"/>
                <w:sz w:val="14"/>
              </w:rPr>
              <w:t xml:space="preserve"> </w:t>
            </w:r>
            <w:r>
              <w:rPr>
                <w:color w:val="231F20"/>
                <w:sz w:val="14"/>
              </w:rPr>
              <w:t>решења.</w:t>
            </w:r>
          </w:p>
          <w:p w:rsidR="00041039" w:rsidRDefault="001B26CB">
            <w:pPr>
              <w:pStyle w:val="TableParagraph"/>
              <w:numPr>
                <w:ilvl w:val="0"/>
                <w:numId w:val="275"/>
              </w:numPr>
              <w:tabs>
                <w:tab w:val="left" w:pos="157"/>
              </w:tabs>
              <w:spacing w:line="160" w:lineRule="exact"/>
              <w:ind w:hanging="99"/>
              <w:rPr>
                <w:sz w:val="14"/>
              </w:rPr>
            </w:pPr>
            <w:r>
              <w:rPr>
                <w:color w:val="231F20"/>
                <w:sz w:val="14"/>
              </w:rPr>
              <w:t>Припрема нацрта</w:t>
            </w:r>
            <w:r>
              <w:rPr>
                <w:color w:val="231F20"/>
                <w:spacing w:val="-1"/>
                <w:sz w:val="14"/>
              </w:rPr>
              <w:t xml:space="preserve"> </w:t>
            </w:r>
            <w:r>
              <w:rPr>
                <w:color w:val="231F20"/>
                <w:sz w:val="14"/>
              </w:rPr>
              <w:t>акције.</w:t>
            </w:r>
          </w:p>
          <w:p w:rsidR="00041039" w:rsidRDefault="001B26CB">
            <w:pPr>
              <w:pStyle w:val="TableParagraph"/>
              <w:numPr>
                <w:ilvl w:val="0"/>
                <w:numId w:val="275"/>
              </w:numPr>
              <w:tabs>
                <w:tab w:val="left" w:pos="157"/>
              </w:tabs>
              <w:spacing w:line="237" w:lineRule="auto"/>
              <w:ind w:right="120" w:hanging="99"/>
              <w:rPr>
                <w:sz w:val="14"/>
              </w:rPr>
            </w:pPr>
            <w:r>
              <w:rPr>
                <w:color w:val="231F20"/>
                <w:sz w:val="14"/>
              </w:rPr>
              <w:t>Реализација акције (ван редовних часова</w:t>
            </w:r>
            <w:r>
              <w:rPr>
                <w:color w:val="231F20"/>
                <w:spacing w:val="-13"/>
                <w:sz w:val="14"/>
              </w:rPr>
              <w:t xml:space="preserve"> </w:t>
            </w:r>
            <w:r>
              <w:rPr>
                <w:color w:val="231F20"/>
                <w:sz w:val="14"/>
              </w:rPr>
              <w:t>и учионице).</w:t>
            </w:r>
          </w:p>
          <w:p w:rsidR="00041039" w:rsidRDefault="001B26CB">
            <w:pPr>
              <w:pStyle w:val="TableParagraph"/>
              <w:numPr>
                <w:ilvl w:val="0"/>
                <w:numId w:val="275"/>
              </w:numPr>
              <w:tabs>
                <w:tab w:val="left" w:pos="157"/>
              </w:tabs>
              <w:spacing w:line="155" w:lineRule="exact"/>
              <w:ind w:hanging="99"/>
              <w:rPr>
                <w:sz w:val="14"/>
              </w:rPr>
            </w:pPr>
            <w:r>
              <w:rPr>
                <w:color w:val="231F20"/>
                <w:sz w:val="14"/>
              </w:rPr>
              <w:t>Анализа реализоване</w:t>
            </w:r>
            <w:r>
              <w:rPr>
                <w:color w:val="231F20"/>
                <w:spacing w:val="-2"/>
                <w:sz w:val="14"/>
              </w:rPr>
              <w:t xml:space="preserve"> </w:t>
            </w:r>
            <w:r>
              <w:rPr>
                <w:color w:val="231F20"/>
                <w:sz w:val="14"/>
              </w:rPr>
              <w:t>акције.</w:t>
            </w:r>
          </w:p>
          <w:p w:rsidR="00041039" w:rsidRDefault="001B26CB">
            <w:pPr>
              <w:pStyle w:val="TableParagraph"/>
              <w:numPr>
                <w:ilvl w:val="0"/>
                <w:numId w:val="275"/>
              </w:numPr>
              <w:tabs>
                <w:tab w:val="left" w:pos="157"/>
              </w:tabs>
              <w:spacing w:line="166" w:lineRule="exact"/>
              <w:ind w:hanging="99"/>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267" w:type="dxa"/>
            <w:vMerge/>
            <w:tcBorders>
              <w:top w:val="nil"/>
            </w:tcBorders>
          </w:tcPr>
          <w:p w:rsidR="00041039" w:rsidRDefault="00041039">
            <w:pPr>
              <w:rPr>
                <w:sz w:val="2"/>
                <w:szCs w:val="2"/>
              </w:rPr>
            </w:pPr>
          </w:p>
        </w:tc>
      </w:tr>
    </w:tbl>
    <w:p w:rsidR="00041039" w:rsidRDefault="00041039">
      <w:pPr>
        <w:pStyle w:val="BodyText"/>
        <w:spacing w:before="8"/>
        <w:rPr>
          <w:b/>
          <w:sz w:val="18"/>
        </w:rPr>
      </w:pPr>
    </w:p>
    <w:p w:rsidR="00041039" w:rsidRDefault="001B26CB">
      <w:pPr>
        <w:tabs>
          <w:tab w:val="left" w:pos="1461"/>
        </w:tabs>
        <w:spacing w:before="96"/>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041039" w:rsidRDefault="001B26CB">
      <w:pPr>
        <w:tabs>
          <w:tab w:val="left" w:pos="1461"/>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32 часа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5000"/>
        </w:trPr>
        <w:tc>
          <w:tcPr>
            <w:tcW w:w="1304" w:type="dxa"/>
          </w:tcPr>
          <w:p w:rsidR="00041039" w:rsidRDefault="001B26CB">
            <w:pPr>
              <w:pStyle w:val="TableParagraph"/>
              <w:spacing w:before="18"/>
              <w:ind w:left="34" w:right="116"/>
              <w:jc w:val="center"/>
              <w:rPr>
                <w:sz w:val="14"/>
              </w:rPr>
            </w:pPr>
            <w:r>
              <w:rPr>
                <w:color w:val="231F20"/>
                <w:sz w:val="14"/>
              </w:rPr>
              <w:t>Свет информација</w:t>
            </w:r>
          </w:p>
        </w:tc>
        <w:tc>
          <w:tcPr>
            <w:tcW w:w="1587" w:type="dxa"/>
          </w:tcPr>
          <w:p w:rsidR="00041039" w:rsidRDefault="001B26CB">
            <w:pPr>
              <w:pStyle w:val="TableParagraph"/>
              <w:numPr>
                <w:ilvl w:val="0"/>
                <w:numId w:val="274"/>
              </w:numPr>
              <w:tabs>
                <w:tab w:val="left" w:pos="157"/>
              </w:tabs>
              <w:spacing w:before="8"/>
              <w:ind w:right="76"/>
              <w:rPr>
                <w:sz w:val="14"/>
              </w:rPr>
            </w:pPr>
            <w:r>
              <w:rPr>
                <w:color w:val="231F20"/>
                <w:sz w:val="14"/>
              </w:rPr>
              <w:t xml:space="preserve">Упознавање са могућ­ ностима које </w:t>
            </w:r>
            <w:r>
              <w:rPr>
                <w:i/>
                <w:color w:val="231F20"/>
                <w:sz w:val="14"/>
              </w:rPr>
              <w:t>Закон о слободном приступу информацијама</w:t>
            </w:r>
            <w:r>
              <w:rPr>
                <w:i/>
                <w:color w:val="231F20"/>
                <w:spacing w:val="-17"/>
                <w:sz w:val="14"/>
              </w:rPr>
              <w:t xml:space="preserve"> </w:t>
            </w:r>
            <w:r>
              <w:rPr>
                <w:color w:val="231F20"/>
                <w:sz w:val="14"/>
              </w:rPr>
              <w:t xml:space="preserve">пружа у остваривању </w:t>
            </w:r>
            <w:r>
              <w:rPr>
                <w:color w:val="231F20"/>
                <w:spacing w:val="-3"/>
                <w:sz w:val="14"/>
              </w:rPr>
              <w:t xml:space="preserve">људ­ </w:t>
            </w:r>
            <w:r>
              <w:rPr>
                <w:color w:val="231F20"/>
                <w:sz w:val="14"/>
              </w:rPr>
              <w:t>ских права и</w:t>
            </w:r>
            <w:r>
              <w:rPr>
                <w:color w:val="231F20"/>
                <w:spacing w:val="-8"/>
                <w:sz w:val="14"/>
              </w:rPr>
              <w:t xml:space="preserve"> </w:t>
            </w:r>
            <w:r>
              <w:rPr>
                <w:color w:val="231F20"/>
                <w:sz w:val="14"/>
              </w:rPr>
              <w:t>слобода.</w:t>
            </w:r>
          </w:p>
          <w:p w:rsidR="00041039" w:rsidRDefault="001B26CB">
            <w:pPr>
              <w:pStyle w:val="TableParagraph"/>
              <w:numPr>
                <w:ilvl w:val="0"/>
                <w:numId w:val="274"/>
              </w:numPr>
              <w:tabs>
                <w:tab w:val="left" w:pos="157"/>
              </w:tabs>
              <w:spacing w:line="154" w:lineRule="exact"/>
              <w:rPr>
                <w:sz w:val="14"/>
              </w:rPr>
            </w:pPr>
            <w:r>
              <w:rPr>
                <w:color w:val="231F20"/>
                <w:sz w:val="14"/>
              </w:rPr>
              <w:t>Оспособљавање</w:t>
            </w:r>
          </w:p>
          <w:p w:rsidR="00041039" w:rsidRDefault="001B26CB">
            <w:pPr>
              <w:pStyle w:val="TableParagraph"/>
              <w:ind w:right="31"/>
              <w:rPr>
                <w:sz w:val="14"/>
              </w:rPr>
            </w:pPr>
            <w:r>
              <w:rPr>
                <w:color w:val="231F20"/>
                <w:sz w:val="14"/>
              </w:rPr>
              <w:t>ученика да самостално траже и долазе до информација од јавног значаја.</w:t>
            </w:r>
          </w:p>
          <w:p w:rsidR="00041039" w:rsidRDefault="001B26CB">
            <w:pPr>
              <w:pStyle w:val="TableParagraph"/>
              <w:numPr>
                <w:ilvl w:val="0"/>
                <w:numId w:val="274"/>
              </w:numPr>
              <w:tabs>
                <w:tab w:val="left" w:pos="157"/>
              </w:tabs>
              <w:spacing w:line="157" w:lineRule="exact"/>
              <w:rPr>
                <w:sz w:val="14"/>
              </w:rPr>
            </w:pPr>
            <w:r>
              <w:rPr>
                <w:color w:val="231F20"/>
                <w:sz w:val="14"/>
              </w:rPr>
              <w:t xml:space="preserve">Разумевање </w:t>
            </w:r>
            <w:r>
              <w:rPr>
                <w:color w:val="231F20"/>
                <w:spacing w:val="-3"/>
                <w:sz w:val="14"/>
              </w:rPr>
              <w:t>улоге</w:t>
            </w:r>
            <w:r>
              <w:rPr>
                <w:color w:val="231F20"/>
                <w:spacing w:val="-2"/>
                <w:sz w:val="14"/>
              </w:rPr>
              <w:t xml:space="preserve"> </w:t>
            </w:r>
            <w:r>
              <w:rPr>
                <w:color w:val="231F20"/>
                <w:sz w:val="14"/>
              </w:rPr>
              <w:t>и</w:t>
            </w:r>
          </w:p>
          <w:p w:rsidR="00041039" w:rsidRDefault="001B26CB">
            <w:pPr>
              <w:pStyle w:val="TableParagraph"/>
              <w:ind w:right="15"/>
              <w:rPr>
                <w:sz w:val="14"/>
              </w:rPr>
            </w:pPr>
            <w:r>
              <w:rPr>
                <w:color w:val="231F20"/>
                <w:sz w:val="14"/>
              </w:rPr>
              <w:t>значаја медија у савре­ меном друштву.</w:t>
            </w:r>
          </w:p>
          <w:p w:rsidR="00041039" w:rsidRDefault="001B26CB">
            <w:pPr>
              <w:pStyle w:val="TableParagraph"/>
              <w:numPr>
                <w:ilvl w:val="0"/>
                <w:numId w:val="274"/>
              </w:numPr>
              <w:tabs>
                <w:tab w:val="left" w:pos="157"/>
              </w:tabs>
              <w:spacing w:line="160" w:lineRule="exact"/>
              <w:ind w:right="124"/>
              <w:rPr>
                <w:sz w:val="14"/>
              </w:rPr>
            </w:pPr>
            <w:r>
              <w:rPr>
                <w:color w:val="231F20"/>
                <w:sz w:val="14"/>
              </w:rPr>
              <w:t>Развијање критичког односа према</w:t>
            </w:r>
            <w:r>
              <w:rPr>
                <w:color w:val="231F20"/>
                <w:spacing w:val="-7"/>
                <w:sz w:val="14"/>
              </w:rPr>
              <w:t xml:space="preserve"> </w:t>
            </w:r>
            <w:r>
              <w:rPr>
                <w:color w:val="231F20"/>
                <w:sz w:val="14"/>
              </w:rPr>
              <w:t xml:space="preserve">медији­ ма и информацијама добијеним </w:t>
            </w:r>
            <w:r>
              <w:rPr>
                <w:color w:val="231F20"/>
                <w:spacing w:val="-3"/>
                <w:sz w:val="14"/>
              </w:rPr>
              <w:t xml:space="preserve">преко </w:t>
            </w:r>
            <w:r>
              <w:rPr>
                <w:color w:val="231F20"/>
                <w:sz w:val="14"/>
              </w:rPr>
              <w:t>различитих</w:t>
            </w:r>
            <w:r>
              <w:rPr>
                <w:color w:val="231F20"/>
                <w:spacing w:val="-1"/>
                <w:sz w:val="14"/>
              </w:rPr>
              <w:t xml:space="preserve"> </w:t>
            </w:r>
            <w:r>
              <w:rPr>
                <w:color w:val="231F20"/>
                <w:sz w:val="14"/>
              </w:rPr>
              <w:t>медија.</w:t>
            </w:r>
          </w:p>
        </w:tc>
        <w:tc>
          <w:tcPr>
            <w:tcW w:w="2551" w:type="dxa"/>
          </w:tcPr>
          <w:p w:rsidR="00041039" w:rsidRDefault="001B26CB">
            <w:pPr>
              <w:pStyle w:val="TableParagraph"/>
              <w:numPr>
                <w:ilvl w:val="0"/>
                <w:numId w:val="273"/>
              </w:numPr>
              <w:tabs>
                <w:tab w:val="left" w:pos="157"/>
              </w:tabs>
              <w:spacing w:before="8"/>
              <w:ind w:right="310" w:hanging="99"/>
              <w:rPr>
                <w:sz w:val="14"/>
              </w:rPr>
            </w:pPr>
            <w:r>
              <w:rPr>
                <w:color w:val="231F20"/>
                <w:sz w:val="14"/>
              </w:rPr>
              <w:t>објасни значај постојања права на слободан приступ</w:t>
            </w:r>
            <w:r>
              <w:rPr>
                <w:color w:val="231F20"/>
                <w:spacing w:val="-17"/>
                <w:sz w:val="14"/>
              </w:rPr>
              <w:t xml:space="preserve"> </w:t>
            </w:r>
            <w:r>
              <w:rPr>
                <w:color w:val="231F20"/>
                <w:sz w:val="14"/>
              </w:rPr>
              <w:t>информацијама;</w:t>
            </w:r>
          </w:p>
          <w:p w:rsidR="00041039" w:rsidRDefault="001B26CB">
            <w:pPr>
              <w:pStyle w:val="TableParagraph"/>
              <w:numPr>
                <w:ilvl w:val="0"/>
                <w:numId w:val="273"/>
              </w:numPr>
              <w:tabs>
                <w:tab w:val="left" w:pos="157"/>
              </w:tabs>
              <w:spacing w:before="1" w:line="160" w:lineRule="exact"/>
              <w:ind w:right="86" w:hanging="99"/>
              <w:rPr>
                <w:sz w:val="14"/>
              </w:rPr>
            </w:pPr>
            <w:r>
              <w:rPr>
                <w:color w:val="231F20"/>
                <w:sz w:val="14"/>
              </w:rPr>
              <w:t xml:space="preserve">објасни појам јавне информације и идентификује информације које су </w:t>
            </w:r>
            <w:r>
              <w:rPr>
                <w:color w:val="231F20"/>
                <w:spacing w:val="-3"/>
                <w:sz w:val="14"/>
              </w:rPr>
              <w:t xml:space="preserve">од </w:t>
            </w:r>
            <w:r>
              <w:rPr>
                <w:color w:val="231F20"/>
                <w:sz w:val="14"/>
              </w:rPr>
              <w:t>јавног</w:t>
            </w:r>
            <w:r>
              <w:rPr>
                <w:color w:val="231F20"/>
                <w:spacing w:val="-5"/>
                <w:sz w:val="14"/>
              </w:rPr>
              <w:t xml:space="preserve"> </w:t>
            </w:r>
            <w:r>
              <w:rPr>
                <w:color w:val="231F20"/>
                <w:sz w:val="14"/>
              </w:rPr>
              <w:t>значаја</w:t>
            </w:r>
            <w:r>
              <w:rPr>
                <w:color w:val="231F20"/>
                <w:spacing w:val="-5"/>
                <w:sz w:val="14"/>
              </w:rPr>
              <w:t xml:space="preserve"> </w:t>
            </w:r>
            <w:r>
              <w:rPr>
                <w:color w:val="231F20"/>
                <w:sz w:val="14"/>
              </w:rPr>
              <w:t>и</w:t>
            </w:r>
            <w:r>
              <w:rPr>
                <w:color w:val="231F20"/>
                <w:spacing w:val="-6"/>
                <w:sz w:val="14"/>
              </w:rPr>
              <w:t xml:space="preserve"> </w:t>
            </w:r>
            <w:r>
              <w:rPr>
                <w:color w:val="231F20"/>
                <w:sz w:val="14"/>
              </w:rPr>
              <w:t>које</w:t>
            </w:r>
            <w:r>
              <w:rPr>
                <w:color w:val="231F20"/>
                <w:spacing w:val="-5"/>
                <w:sz w:val="14"/>
              </w:rPr>
              <w:t xml:space="preserve"> </w:t>
            </w:r>
            <w:r>
              <w:rPr>
                <w:color w:val="231F20"/>
                <w:sz w:val="14"/>
              </w:rPr>
              <w:t>грађанин</w:t>
            </w:r>
            <w:r>
              <w:rPr>
                <w:color w:val="231F20"/>
                <w:spacing w:val="-6"/>
                <w:sz w:val="14"/>
              </w:rPr>
              <w:t xml:space="preserve"> </w:t>
            </w:r>
            <w:r>
              <w:rPr>
                <w:color w:val="231F20"/>
                <w:sz w:val="14"/>
              </w:rPr>
              <w:t>може</w:t>
            </w:r>
            <w:r>
              <w:rPr>
                <w:color w:val="231F20"/>
                <w:spacing w:val="-5"/>
                <w:sz w:val="14"/>
              </w:rPr>
              <w:t xml:space="preserve"> </w:t>
            </w:r>
            <w:r>
              <w:rPr>
                <w:color w:val="231F20"/>
                <w:sz w:val="14"/>
              </w:rPr>
              <w:t>да добије по</w:t>
            </w:r>
            <w:r>
              <w:rPr>
                <w:color w:val="231F20"/>
                <w:spacing w:val="-2"/>
                <w:sz w:val="14"/>
              </w:rPr>
              <w:t xml:space="preserve"> </w:t>
            </w:r>
            <w:r>
              <w:rPr>
                <w:color w:val="231F20"/>
                <w:sz w:val="14"/>
              </w:rPr>
              <w:t>закону;</w:t>
            </w:r>
          </w:p>
          <w:p w:rsidR="00041039" w:rsidRDefault="001B26CB">
            <w:pPr>
              <w:pStyle w:val="TableParagraph"/>
              <w:numPr>
                <w:ilvl w:val="0"/>
                <w:numId w:val="273"/>
              </w:numPr>
              <w:tabs>
                <w:tab w:val="left" w:pos="157"/>
              </w:tabs>
              <w:spacing w:line="160" w:lineRule="exact"/>
              <w:ind w:right="76" w:hanging="99"/>
              <w:rPr>
                <w:sz w:val="14"/>
              </w:rPr>
            </w:pPr>
            <w:r>
              <w:rPr>
                <w:color w:val="231F20"/>
                <w:sz w:val="14"/>
              </w:rPr>
              <w:t xml:space="preserve">наведе основне одредбе </w:t>
            </w:r>
            <w:r>
              <w:rPr>
                <w:i/>
                <w:color w:val="231F20"/>
                <w:sz w:val="14"/>
              </w:rPr>
              <w:t>Закона о слободном</w:t>
            </w:r>
            <w:r>
              <w:rPr>
                <w:i/>
                <w:color w:val="231F20"/>
                <w:spacing w:val="-10"/>
                <w:sz w:val="14"/>
              </w:rPr>
              <w:t xml:space="preserve"> </w:t>
            </w:r>
            <w:r>
              <w:rPr>
                <w:i/>
                <w:color w:val="231F20"/>
                <w:sz w:val="14"/>
              </w:rPr>
              <w:t>приступу</w:t>
            </w:r>
            <w:r>
              <w:rPr>
                <w:i/>
                <w:color w:val="231F20"/>
                <w:spacing w:val="-10"/>
                <w:sz w:val="14"/>
              </w:rPr>
              <w:t xml:space="preserve"> </w:t>
            </w:r>
            <w:r>
              <w:rPr>
                <w:i/>
                <w:color w:val="231F20"/>
                <w:sz w:val="14"/>
              </w:rPr>
              <w:t>информацијама</w:t>
            </w:r>
            <w:r>
              <w:rPr>
                <w:i/>
                <w:color w:val="231F20"/>
                <w:spacing w:val="-10"/>
                <w:sz w:val="14"/>
              </w:rPr>
              <w:t xml:space="preserve"> </w:t>
            </w:r>
            <w:r>
              <w:rPr>
                <w:color w:val="231F20"/>
                <w:sz w:val="14"/>
              </w:rPr>
              <w:t>и објасни улогу</w:t>
            </w:r>
            <w:r>
              <w:rPr>
                <w:color w:val="231F20"/>
                <w:spacing w:val="-3"/>
                <w:sz w:val="14"/>
              </w:rPr>
              <w:t xml:space="preserve"> </w:t>
            </w:r>
            <w:r>
              <w:rPr>
                <w:color w:val="231F20"/>
                <w:sz w:val="14"/>
              </w:rPr>
              <w:t>повереника;</w:t>
            </w:r>
          </w:p>
          <w:p w:rsidR="00041039" w:rsidRDefault="001B26CB">
            <w:pPr>
              <w:pStyle w:val="TableParagraph"/>
              <w:numPr>
                <w:ilvl w:val="0"/>
                <w:numId w:val="273"/>
              </w:numPr>
              <w:tabs>
                <w:tab w:val="left" w:pos="157"/>
              </w:tabs>
              <w:spacing w:line="160" w:lineRule="exact"/>
              <w:ind w:right="127" w:hanging="99"/>
              <w:rPr>
                <w:sz w:val="14"/>
              </w:rPr>
            </w:pPr>
            <w:r>
              <w:rPr>
                <w:color w:val="231F20"/>
                <w:sz w:val="14"/>
              </w:rPr>
              <w:t>наведе процедуру подношења</w:t>
            </w:r>
            <w:r>
              <w:rPr>
                <w:color w:val="231F20"/>
                <w:spacing w:val="-24"/>
                <w:sz w:val="14"/>
              </w:rPr>
              <w:t xml:space="preserve"> </w:t>
            </w:r>
            <w:r>
              <w:rPr>
                <w:color w:val="231F20"/>
                <w:sz w:val="14"/>
              </w:rPr>
              <w:t>захтева за приступ информацијама одјавног значаја;</w:t>
            </w:r>
          </w:p>
          <w:p w:rsidR="00041039" w:rsidRDefault="001B26CB">
            <w:pPr>
              <w:pStyle w:val="TableParagraph"/>
              <w:numPr>
                <w:ilvl w:val="0"/>
                <w:numId w:val="273"/>
              </w:numPr>
              <w:tabs>
                <w:tab w:val="left" w:pos="157"/>
              </w:tabs>
              <w:spacing w:line="160" w:lineRule="exact"/>
              <w:ind w:right="108" w:hanging="99"/>
              <w:rPr>
                <w:sz w:val="14"/>
              </w:rPr>
            </w:pPr>
            <w:r>
              <w:rPr>
                <w:color w:val="231F20"/>
                <w:sz w:val="14"/>
              </w:rPr>
              <w:t>попуни образац и тражи</w:t>
            </w:r>
            <w:r>
              <w:rPr>
                <w:color w:val="231F20"/>
                <w:spacing w:val="-12"/>
                <w:sz w:val="14"/>
              </w:rPr>
              <w:t xml:space="preserve"> </w:t>
            </w:r>
            <w:r>
              <w:rPr>
                <w:color w:val="231F20"/>
                <w:sz w:val="14"/>
              </w:rPr>
              <w:t xml:space="preserve">информацију </w:t>
            </w:r>
            <w:r>
              <w:rPr>
                <w:color w:val="231F20"/>
                <w:spacing w:val="-3"/>
                <w:sz w:val="14"/>
              </w:rPr>
              <w:t xml:space="preserve">од </w:t>
            </w:r>
            <w:r>
              <w:rPr>
                <w:color w:val="231F20"/>
                <w:sz w:val="14"/>
              </w:rPr>
              <w:t>јавног</w:t>
            </w:r>
            <w:r>
              <w:rPr>
                <w:color w:val="231F20"/>
                <w:spacing w:val="1"/>
                <w:sz w:val="14"/>
              </w:rPr>
              <w:t xml:space="preserve"> </w:t>
            </w:r>
            <w:r>
              <w:rPr>
                <w:color w:val="231F20"/>
                <w:sz w:val="14"/>
              </w:rPr>
              <w:t>значаја;</w:t>
            </w:r>
          </w:p>
          <w:p w:rsidR="00041039" w:rsidRDefault="001B26CB">
            <w:pPr>
              <w:pStyle w:val="TableParagraph"/>
              <w:numPr>
                <w:ilvl w:val="0"/>
                <w:numId w:val="273"/>
              </w:numPr>
              <w:tabs>
                <w:tab w:val="left" w:pos="157"/>
              </w:tabs>
              <w:spacing w:line="160" w:lineRule="exact"/>
              <w:ind w:right="269" w:hanging="99"/>
              <w:rPr>
                <w:sz w:val="14"/>
              </w:rPr>
            </w:pPr>
            <w:r>
              <w:rPr>
                <w:color w:val="231F20"/>
                <w:sz w:val="14"/>
              </w:rPr>
              <w:t>анализира информације које</w:t>
            </w:r>
            <w:r>
              <w:rPr>
                <w:color w:val="231F20"/>
                <w:spacing w:val="-19"/>
                <w:sz w:val="14"/>
              </w:rPr>
              <w:t xml:space="preserve"> </w:t>
            </w:r>
            <w:r>
              <w:rPr>
                <w:color w:val="231F20"/>
                <w:sz w:val="14"/>
              </w:rPr>
              <w:t xml:space="preserve">добија </w:t>
            </w:r>
            <w:r>
              <w:rPr>
                <w:color w:val="231F20"/>
                <w:spacing w:val="-3"/>
                <w:sz w:val="14"/>
              </w:rPr>
              <w:t xml:space="preserve">преко </w:t>
            </w:r>
            <w:r>
              <w:rPr>
                <w:color w:val="231F20"/>
                <w:sz w:val="14"/>
              </w:rPr>
              <w:t>различитих</w:t>
            </w:r>
            <w:r>
              <w:rPr>
                <w:color w:val="231F20"/>
                <w:spacing w:val="2"/>
                <w:sz w:val="14"/>
              </w:rPr>
              <w:t xml:space="preserve"> </w:t>
            </w:r>
            <w:r>
              <w:rPr>
                <w:color w:val="231F20"/>
                <w:sz w:val="14"/>
              </w:rPr>
              <w:t>медија;</w:t>
            </w:r>
          </w:p>
          <w:p w:rsidR="00041039" w:rsidRDefault="001B26CB">
            <w:pPr>
              <w:pStyle w:val="TableParagraph"/>
              <w:numPr>
                <w:ilvl w:val="0"/>
                <w:numId w:val="273"/>
              </w:numPr>
              <w:tabs>
                <w:tab w:val="left" w:pos="157"/>
              </w:tabs>
              <w:spacing w:line="153" w:lineRule="exact"/>
              <w:ind w:hanging="99"/>
              <w:rPr>
                <w:sz w:val="14"/>
              </w:rPr>
            </w:pPr>
            <w:r>
              <w:rPr>
                <w:color w:val="231F20"/>
                <w:sz w:val="14"/>
              </w:rPr>
              <w:t>тражи, пронађе и даје</w:t>
            </w:r>
            <w:r>
              <w:rPr>
                <w:color w:val="231F20"/>
                <w:spacing w:val="-8"/>
                <w:sz w:val="14"/>
              </w:rPr>
              <w:t xml:space="preserve"> </w:t>
            </w:r>
            <w:r>
              <w:rPr>
                <w:color w:val="231F20"/>
                <w:sz w:val="14"/>
              </w:rPr>
              <w:t>информацију;</w:t>
            </w:r>
          </w:p>
          <w:p w:rsidR="00041039" w:rsidRDefault="001B26CB">
            <w:pPr>
              <w:pStyle w:val="TableParagraph"/>
              <w:numPr>
                <w:ilvl w:val="0"/>
                <w:numId w:val="273"/>
              </w:numPr>
              <w:tabs>
                <w:tab w:val="left" w:pos="157"/>
              </w:tabs>
              <w:spacing w:line="237" w:lineRule="auto"/>
              <w:ind w:right="414" w:hanging="99"/>
              <w:rPr>
                <w:sz w:val="14"/>
              </w:rPr>
            </w:pPr>
            <w:r>
              <w:rPr>
                <w:color w:val="231F20"/>
                <w:sz w:val="14"/>
              </w:rPr>
              <w:t>открива примере манипулације</w:t>
            </w:r>
            <w:r>
              <w:rPr>
                <w:color w:val="231F20"/>
                <w:spacing w:val="-22"/>
                <w:sz w:val="14"/>
              </w:rPr>
              <w:t xml:space="preserve"> </w:t>
            </w:r>
            <w:r>
              <w:rPr>
                <w:color w:val="231F20"/>
                <w:sz w:val="14"/>
              </w:rPr>
              <w:t>у медијима;</w:t>
            </w:r>
          </w:p>
          <w:p w:rsidR="00041039" w:rsidRDefault="001B26CB">
            <w:pPr>
              <w:pStyle w:val="TableParagraph"/>
              <w:numPr>
                <w:ilvl w:val="0"/>
                <w:numId w:val="273"/>
              </w:numPr>
              <w:tabs>
                <w:tab w:val="left" w:pos="157"/>
              </w:tabs>
              <w:spacing w:line="160" w:lineRule="exact"/>
              <w:ind w:right="183" w:hanging="99"/>
              <w:rPr>
                <w:sz w:val="14"/>
              </w:rPr>
            </w:pPr>
            <w:r>
              <w:rPr>
                <w:color w:val="231F20"/>
                <w:sz w:val="14"/>
              </w:rPr>
              <w:t>објасни значај објективности и</w:t>
            </w:r>
            <w:r>
              <w:rPr>
                <w:color w:val="231F20"/>
                <w:spacing w:val="-9"/>
                <w:sz w:val="14"/>
              </w:rPr>
              <w:t xml:space="preserve"> </w:t>
            </w:r>
            <w:r>
              <w:rPr>
                <w:color w:val="231F20"/>
                <w:sz w:val="14"/>
              </w:rPr>
              <w:t>веро­ достојности</w:t>
            </w:r>
            <w:r>
              <w:rPr>
                <w:color w:val="231F20"/>
                <w:spacing w:val="-1"/>
                <w:sz w:val="14"/>
              </w:rPr>
              <w:t xml:space="preserve"> </w:t>
            </w:r>
            <w:r>
              <w:rPr>
                <w:color w:val="231F20"/>
                <w:sz w:val="14"/>
              </w:rPr>
              <w:t>информација;</w:t>
            </w:r>
          </w:p>
        </w:tc>
        <w:tc>
          <w:tcPr>
            <w:tcW w:w="2834" w:type="dxa"/>
          </w:tcPr>
          <w:p w:rsidR="00041039" w:rsidRDefault="001B26CB">
            <w:pPr>
              <w:pStyle w:val="TableParagraph"/>
              <w:numPr>
                <w:ilvl w:val="0"/>
                <w:numId w:val="272"/>
              </w:numPr>
              <w:tabs>
                <w:tab w:val="left" w:pos="157"/>
              </w:tabs>
              <w:spacing w:before="9" w:line="166" w:lineRule="exact"/>
              <w:ind w:hanging="99"/>
              <w:rPr>
                <w:sz w:val="14"/>
              </w:rPr>
            </w:pPr>
            <w:r>
              <w:rPr>
                <w:color w:val="231F20"/>
                <w:sz w:val="14"/>
              </w:rPr>
              <w:t>Извори</w:t>
            </w:r>
            <w:r>
              <w:rPr>
                <w:color w:val="231F20"/>
                <w:spacing w:val="-1"/>
                <w:sz w:val="14"/>
              </w:rPr>
              <w:t xml:space="preserve"> </w:t>
            </w:r>
            <w:r>
              <w:rPr>
                <w:color w:val="231F20"/>
                <w:sz w:val="14"/>
              </w:rPr>
              <w:t>информација.</w:t>
            </w:r>
          </w:p>
          <w:p w:rsidR="00041039" w:rsidRDefault="001B26CB">
            <w:pPr>
              <w:pStyle w:val="TableParagraph"/>
              <w:numPr>
                <w:ilvl w:val="0"/>
                <w:numId w:val="272"/>
              </w:numPr>
              <w:tabs>
                <w:tab w:val="left" w:pos="157"/>
              </w:tabs>
              <w:spacing w:line="160" w:lineRule="exact"/>
              <w:ind w:hanging="99"/>
              <w:rPr>
                <w:sz w:val="14"/>
              </w:rPr>
            </w:pPr>
            <w:r>
              <w:rPr>
                <w:color w:val="231F20"/>
                <w:sz w:val="14"/>
              </w:rPr>
              <w:t>Појам јавне</w:t>
            </w:r>
            <w:r>
              <w:rPr>
                <w:color w:val="231F20"/>
                <w:spacing w:val="-2"/>
                <w:sz w:val="14"/>
              </w:rPr>
              <w:t xml:space="preserve"> </w:t>
            </w:r>
            <w:r>
              <w:rPr>
                <w:color w:val="231F20"/>
                <w:sz w:val="14"/>
              </w:rPr>
              <w:t>информације.</w:t>
            </w:r>
          </w:p>
          <w:p w:rsidR="00041039" w:rsidRDefault="001B26CB">
            <w:pPr>
              <w:pStyle w:val="TableParagraph"/>
              <w:numPr>
                <w:ilvl w:val="0"/>
                <w:numId w:val="272"/>
              </w:numPr>
              <w:tabs>
                <w:tab w:val="left" w:pos="157"/>
              </w:tabs>
              <w:spacing w:line="237" w:lineRule="auto"/>
              <w:ind w:right="73" w:hanging="99"/>
              <w:rPr>
                <w:sz w:val="14"/>
              </w:rPr>
            </w:pPr>
            <w:r>
              <w:rPr>
                <w:color w:val="231F20"/>
                <w:sz w:val="14"/>
              </w:rPr>
              <w:t>Приступ информацијама ­ основна</w:t>
            </w:r>
            <w:r>
              <w:rPr>
                <w:color w:val="231F20"/>
                <w:spacing w:val="-18"/>
                <w:sz w:val="14"/>
              </w:rPr>
              <w:t xml:space="preserve"> </w:t>
            </w:r>
            <w:r>
              <w:rPr>
                <w:color w:val="231F20"/>
                <w:sz w:val="14"/>
              </w:rPr>
              <w:t>правила и</w:t>
            </w:r>
            <w:r>
              <w:rPr>
                <w:color w:val="231F20"/>
                <w:spacing w:val="-1"/>
                <w:sz w:val="14"/>
              </w:rPr>
              <w:t xml:space="preserve"> </w:t>
            </w:r>
            <w:r>
              <w:rPr>
                <w:color w:val="231F20"/>
                <w:sz w:val="14"/>
              </w:rPr>
              <w:t>ограничења.</w:t>
            </w:r>
          </w:p>
          <w:p w:rsidR="00041039" w:rsidRDefault="001B26CB">
            <w:pPr>
              <w:pStyle w:val="TableParagraph"/>
              <w:numPr>
                <w:ilvl w:val="0"/>
                <w:numId w:val="272"/>
              </w:numPr>
              <w:tabs>
                <w:tab w:val="left" w:pos="157"/>
              </w:tabs>
              <w:spacing w:line="160" w:lineRule="exact"/>
              <w:ind w:right="317" w:hanging="99"/>
              <w:rPr>
                <w:sz w:val="14"/>
              </w:rPr>
            </w:pPr>
            <w:r>
              <w:rPr>
                <w:color w:val="231F20"/>
                <w:sz w:val="14"/>
              </w:rPr>
              <w:t xml:space="preserve">Заштита права на информисање ­ </w:t>
            </w:r>
            <w:r>
              <w:rPr>
                <w:color w:val="231F20"/>
                <w:spacing w:val="-3"/>
                <w:sz w:val="14"/>
              </w:rPr>
              <w:t xml:space="preserve">улога </w:t>
            </w:r>
            <w:r>
              <w:rPr>
                <w:color w:val="231F20"/>
                <w:sz w:val="14"/>
              </w:rPr>
              <w:t>повереника.</w:t>
            </w:r>
          </w:p>
          <w:p w:rsidR="00041039" w:rsidRDefault="001B26CB">
            <w:pPr>
              <w:pStyle w:val="TableParagraph"/>
              <w:numPr>
                <w:ilvl w:val="0"/>
                <w:numId w:val="272"/>
              </w:numPr>
              <w:tabs>
                <w:tab w:val="left" w:pos="157"/>
              </w:tabs>
              <w:spacing w:line="160" w:lineRule="exact"/>
              <w:ind w:right="147" w:hanging="99"/>
              <w:rPr>
                <w:sz w:val="14"/>
              </w:rPr>
            </w:pPr>
            <w:r>
              <w:rPr>
                <w:color w:val="231F20"/>
                <w:sz w:val="14"/>
              </w:rPr>
              <w:t>Процедура подношења захтева за</w:t>
            </w:r>
            <w:r>
              <w:rPr>
                <w:color w:val="231F20"/>
                <w:spacing w:val="-25"/>
                <w:sz w:val="14"/>
              </w:rPr>
              <w:t xml:space="preserve"> </w:t>
            </w:r>
            <w:r>
              <w:rPr>
                <w:color w:val="231F20"/>
                <w:sz w:val="14"/>
              </w:rPr>
              <w:t>приступ информацијама.</w:t>
            </w:r>
          </w:p>
          <w:p w:rsidR="00041039" w:rsidRDefault="001B26CB">
            <w:pPr>
              <w:pStyle w:val="TableParagraph"/>
              <w:numPr>
                <w:ilvl w:val="0"/>
                <w:numId w:val="272"/>
              </w:numPr>
              <w:tabs>
                <w:tab w:val="left" w:pos="157"/>
              </w:tabs>
              <w:spacing w:line="160" w:lineRule="exact"/>
              <w:ind w:right="249" w:hanging="99"/>
              <w:rPr>
                <w:sz w:val="14"/>
              </w:rPr>
            </w:pPr>
            <w:r>
              <w:rPr>
                <w:color w:val="231F20"/>
                <w:sz w:val="14"/>
              </w:rPr>
              <w:t>Медији као извор информација ­</w:t>
            </w:r>
            <w:r>
              <w:rPr>
                <w:color w:val="231F20"/>
                <w:spacing w:val="-19"/>
                <w:sz w:val="14"/>
              </w:rPr>
              <w:t xml:space="preserve"> </w:t>
            </w:r>
            <w:r>
              <w:rPr>
                <w:color w:val="231F20"/>
                <w:sz w:val="14"/>
              </w:rPr>
              <w:t>питање веродостојности.</w:t>
            </w:r>
          </w:p>
          <w:p w:rsidR="00041039" w:rsidRDefault="001B26CB">
            <w:pPr>
              <w:pStyle w:val="TableParagraph"/>
              <w:numPr>
                <w:ilvl w:val="0"/>
                <w:numId w:val="272"/>
              </w:numPr>
              <w:tabs>
                <w:tab w:val="left" w:pos="157"/>
              </w:tabs>
              <w:spacing w:line="153" w:lineRule="exact"/>
              <w:ind w:hanging="99"/>
              <w:rPr>
                <w:sz w:val="14"/>
              </w:rPr>
            </w:pPr>
            <w:r>
              <w:rPr>
                <w:color w:val="231F20"/>
                <w:sz w:val="14"/>
              </w:rPr>
              <w:t>Разумевање и тумачење медијских</w:t>
            </w:r>
            <w:r>
              <w:rPr>
                <w:color w:val="231F20"/>
                <w:spacing w:val="-14"/>
                <w:sz w:val="14"/>
              </w:rPr>
              <w:t xml:space="preserve"> </w:t>
            </w:r>
            <w:r>
              <w:rPr>
                <w:color w:val="231F20"/>
                <w:sz w:val="14"/>
              </w:rPr>
              <w:t>порука</w:t>
            </w:r>
          </w:p>
          <w:p w:rsidR="00041039" w:rsidRDefault="001B26CB">
            <w:pPr>
              <w:pStyle w:val="TableParagraph"/>
              <w:numPr>
                <w:ilvl w:val="0"/>
                <w:numId w:val="272"/>
              </w:numPr>
              <w:tabs>
                <w:tab w:val="left" w:pos="157"/>
              </w:tabs>
              <w:spacing w:line="160" w:lineRule="exact"/>
              <w:ind w:hanging="99"/>
              <w:rPr>
                <w:sz w:val="14"/>
              </w:rPr>
            </w:pPr>
            <w:r>
              <w:rPr>
                <w:color w:val="231F20"/>
                <w:sz w:val="14"/>
              </w:rPr>
              <w:t>Механизми медијске</w:t>
            </w:r>
            <w:r>
              <w:rPr>
                <w:color w:val="231F20"/>
                <w:spacing w:val="-4"/>
                <w:sz w:val="14"/>
              </w:rPr>
              <w:t xml:space="preserve"> </w:t>
            </w:r>
            <w:r>
              <w:rPr>
                <w:color w:val="231F20"/>
                <w:sz w:val="14"/>
              </w:rPr>
              <w:t>манипулације.</w:t>
            </w:r>
          </w:p>
          <w:p w:rsidR="00041039" w:rsidRDefault="001B26CB">
            <w:pPr>
              <w:pStyle w:val="TableParagraph"/>
              <w:numPr>
                <w:ilvl w:val="0"/>
                <w:numId w:val="272"/>
              </w:numPr>
              <w:tabs>
                <w:tab w:val="left" w:pos="157"/>
              </w:tabs>
              <w:spacing w:line="237" w:lineRule="auto"/>
              <w:ind w:right="318" w:hanging="99"/>
              <w:rPr>
                <w:sz w:val="14"/>
              </w:rPr>
            </w:pPr>
            <w:r>
              <w:rPr>
                <w:color w:val="231F20"/>
                <w:sz w:val="14"/>
              </w:rPr>
              <w:t>Утицај тачке гледишта на</w:t>
            </w:r>
            <w:r>
              <w:rPr>
                <w:color w:val="231F20"/>
                <w:spacing w:val="-23"/>
                <w:sz w:val="14"/>
              </w:rPr>
              <w:t xml:space="preserve"> </w:t>
            </w:r>
            <w:r>
              <w:rPr>
                <w:color w:val="231F20"/>
                <w:sz w:val="14"/>
              </w:rPr>
              <w:t>објективност информација.</w:t>
            </w:r>
          </w:p>
          <w:p w:rsidR="00041039" w:rsidRDefault="001B26CB">
            <w:pPr>
              <w:pStyle w:val="TableParagraph"/>
              <w:numPr>
                <w:ilvl w:val="0"/>
                <w:numId w:val="272"/>
              </w:numPr>
              <w:tabs>
                <w:tab w:val="left" w:pos="157"/>
              </w:tabs>
              <w:spacing w:line="160" w:lineRule="exact"/>
              <w:ind w:right="153" w:hanging="99"/>
              <w:rPr>
                <w:sz w:val="14"/>
              </w:rPr>
            </w:pPr>
            <w:r>
              <w:rPr>
                <w:color w:val="231F20"/>
                <w:sz w:val="14"/>
              </w:rPr>
              <w:t>Селекција информација: објективност</w:t>
            </w:r>
            <w:r>
              <w:rPr>
                <w:color w:val="231F20"/>
                <w:spacing w:val="-9"/>
                <w:sz w:val="14"/>
              </w:rPr>
              <w:t xml:space="preserve"> </w:t>
            </w:r>
            <w:r>
              <w:rPr>
                <w:color w:val="231F20"/>
                <w:sz w:val="14"/>
              </w:rPr>
              <w:t>као одговорност.</w:t>
            </w:r>
          </w:p>
        </w:tc>
        <w:tc>
          <w:tcPr>
            <w:tcW w:w="2267" w:type="dxa"/>
          </w:tcPr>
          <w:p w:rsidR="00041039" w:rsidRDefault="001B26CB">
            <w:pPr>
              <w:pStyle w:val="TableParagraph"/>
              <w:numPr>
                <w:ilvl w:val="0"/>
                <w:numId w:val="271"/>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71"/>
              </w:numPr>
              <w:tabs>
                <w:tab w:val="left" w:pos="158"/>
              </w:tabs>
              <w:spacing w:line="160" w:lineRule="exact"/>
              <w:ind w:hanging="99"/>
              <w:rPr>
                <w:b/>
                <w:sz w:val="14"/>
              </w:rPr>
            </w:pPr>
            <w:r>
              <w:rPr>
                <w:color w:val="231F20"/>
                <w:sz w:val="14"/>
              </w:rPr>
              <w:t xml:space="preserve">теоријска настава </w:t>
            </w:r>
            <w:r>
              <w:rPr>
                <w:b/>
                <w:color w:val="231F20"/>
                <w:sz w:val="14"/>
              </w:rPr>
              <w:t>(32</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271"/>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271"/>
              </w:numPr>
              <w:tabs>
                <w:tab w:val="left" w:pos="158"/>
              </w:tabs>
              <w:spacing w:before="1" w:line="160" w:lineRule="exact"/>
              <w:ind w:right="73" w:hanging="99"/>
              <w:rPr>
                <w:sz w:val="14"/>
              </w:rPr>
            </w:pPr>
            <w:r>
              <w:rPr>
                <w:color w:val="231F20"/>
                <w:sz w:val="14"/>
              </w:rPr>
              <w:t xml:space="preserve">Реализација програма треба да се одвија у складу са принципима активне, проблемске и истражи­ </w:t>
            </w:r>
            <w:r>
              <w:rPr>
                <w:color w:val="231F20"/>
                <w:spacing w:val="-3"/>
                <w:sz w:val="14"/>
              </w:rPr>
              <w:t xml:space="preserve">вачке </w:t>
            </w:r>
            <w:r>
              <w:rPr>
                <w:color w:val="231F20"/>
                <w:sz w:val="14"/>
              </w:rPr>
              <w:t>наставе са сталним рефле­ ксијама на одговарајуће појаве из друштвеног контекста</w:t>
            </w:r>
            <w:r>
              <w:rPr>
                <w:color w:val="231F20"/>
                <w:spacing w:val="-14"/>
                <w:sz w:val="14"/>
              </w:rPr>
              <w:t xml:space="preserve"> </w:t>
            </w:r>
            <w:r>
              <w:rPr>
                <w:color w:val="231F20"/>
                <w:sz w:val="14"/>
              </w:rPr>
              <w:t>прошлости и</w:t>
            </w:r>
            <w:r>
              <w:rPr>
                <w:color w:val="231F20"/>
                <w:spacing w:val="-1"/>
                <w:sz w:val="14"/>
              </w:rPr>
              <w:t xml:space="preserve"> </w:t>
            </w:r>
            <w:r>
              <w:rPr>
                <w:color w:val="231F20"/>
                <w:sz w:val="14"/>
              </w:rPr>
              <w:t>садашњости.</w:t>
            </w:r>
          </w:p>
          <w:p w:rsidR="00041039" w:rsidRDefault="001B26CB">
            <w:pPr>
              <w:pStyle w:val="TableParagraph"/>
              <w:numPr>
                <w:ilvl w:val="0"/>
                <w:numId w:val="271"/>
              </w:numPr>
              <w:tabs>
                <w:tab w:val="left" w:pos="158"/>
              </w:tabs>
              <w:spacing w:line="160" w:lineRule="exact"/>
              <w:ind w:right="162" w:hanging="99"/>
              <w:rPr>
                <w:sz w:val="14"/>
              </w:rPr>
            </w:pPr>
            <w:r>
              <w:rPr>
                <w:color w:val="231F20"/>
                <w:sz w:val="14"/>
              </w:rPr>
              <w:t>Квалитет наставе се обезбеђује усаглашавањем садржаја са одговарајућим методичким ак­ тивностима и сталном</w:t>
            </w:r>
            <w:r>
              <w:rPr>
                <w:color w:val="231F20"/>
                <w:spacing w:val="-8"/>
                <w:sz w:val="14"/>
              </w:rPr>
              <w:t xml:space="preserve"> </w:t>
            </w:r>
            <w:r>
              <w:rPr>
                <w:color w:val="231F20"/>
                <w:sz w:val="14"/>
              </w:rPr>
              <w:t>разменом информација унутар</w:t>
            </w:r>
            <w:r>
              <w:rPr>
                <w:color w:val="231F20"/>
                <w:spacing w:val="-2"/>
                <w:sz w:val="14"/>
              </w:rPr>
              <w:t xml:space="preserve"> </w:t>
            </w:r>
            <w:r>
              <w:rPr>
                <w:color w:val="231F20"/>
                <w:sz w:val="14"/>
              </w:rPr>
              <w:t>групе.</w:t>
            </w:r>
          </w:p>
        </w:tc>
      </w:tr>
    </w:tbl>
    <w:p w:rsidR="00041039" w:rsidRDefault="00041039">
      <w:pPr>
        <w:spacing w:line="160"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120"/>
        </w:trPr>
        <w:tc>
          <w:tcPr>
            <w:tcW w:w="1304" w:type="dxa"/>
          </w:tcPr>
          <w:p w:rsidR="00041039" w:rsidRDefault="001B26CB">
            <w:pPr>
              <w:pStyle w:val="TableParagraph"/>
              <w:spacing w:before="18"/>
              <w:ind w:left="56" w:right="83"/>
              <w:rPr>
                <w:sz w:val="14"/>
              </w:rPr>
            </w:pPr>
            <w:r>
              <w:rPr>
                <w:color w:val="231F20"/>
                <w:sz w:val="14"/>
              </w:rPr>
              <w:lastRenderedPageBreak/>
              <w:t>Свет професио­ налног образовања и рада</w:t>
            </w:r>
          </w:p>
        </w:tc>
        <w:tc>
          <w:tcPr>
            <w:tcW w:w="1587" w:type="dxa"/>
          </w:tcPr>
          <w:p w:rsidR="00041039" w:rsidRDefault="001B26CB">
            <w:pPr>
              <w:pStyle w:val="TableParagraph"/>
              <w:numPr>
                <w:ilvl w:val="0"/>
                <w:numId w:val="270"/>
              </w:numPr>
              <w:tabs>
                <w:tab w:val="left" w:pos="157"/>
              </w:tabs>
              <w:spacing w:before="8"/>
              <w:ind w:right="112"/>
              <w:rPr>
                <w:sz w:val="14"/>
              </w:rPr>
            </w:pPr>
            <w:r>
              <w:rPr>
                <w:color w:val="231F20"/>
                <w:sz w:val="14"/>
              </w:rPr>
              <w:t>Разумевање</w:t>
            </w:r>
            <w:r>
              <w:rPr>
                <w:color w:val="231F20"/>
                <w:spacing w:val="-7"/>
                <w:sz w:val="14"/>
              </w:rPr>
              <w:t xml:space="preserve"> </w:t>
            </w:r>
            <w:r>
              <w:rPr>
                <w:color w:val="231F20"/>
                <w:sz w:val="14"/>
              </w:rPr>
              <w:t>важности дефинисања профе­ сионалних циљева и пл</w:t>
            </w:r>
            <w:r>
              <w:rPr>
                <w:color w:val="231F20"/>
                <w:sz w:val="14"/>
              </w:rPr>
              <w:t>анирање</w:t>
            </w:r>
            <w:r>
              <w:rPr>
                <w:color w:val="231F20"/>
                <w:spacing w:val="-4"/>
                <w:sz w:val="14"/>
              </w:rPr>
              <w:t xml:space="preserve"> </w:t>
            </w:r>
            <w:r>
              <w:rPr>
                <w:color w:val="231F20"/>
                <w:sz w:val="14"/>
              </w:rPr>
              <w:t>каријере.</w:t>
            </w:r>
          </w:p>
          <w:p w:rsidR="00041039" w:rsidRDefault="001B26CB">
            <w:pPr>
              <w:pStyle w:val="TableParagraph"/>
              <w:numPr>
                <w:ilvl w:val="0"/>
                <w:numId w:val="270"/>
              </w:numPr>
              <w:tabs>
                <w:tab w:val="left" w:pos="157"/>
              </w:tabs>
              <w:spacing w:line="156" w:lineRule="exact"/>
              <w:rPr>
                <w:sz w:val="14"/>
              </w:rPr>
            </w:pPr>
            <w:r>
              <w:rPr>
                <w:color w:val="231F20"/>
                <w:sz w:val="14"/>
              </w:rPr>
              <w:t>Развијање</w:t>
            </w:r>
            <w:r>
              <w:rPr>
                <w:color w:val="231F20"/>
                <w:spacing w:val="-2"/>
                <w:sz w:val="14"/>
              </w:rPr>
              <w:t xml:space="preserve"> </w:t>
            </w:r>
            <w:r>
              <w:rPr>
                <w:color w:val="231F20"/>
                <w:sz w:val="14"/>
              </w:rPr>
              <w:t>вештине</w:t>
            </w:r>
          </w:p>
          <w:p w:rsidR="00041039" w:rsidRDefault="001B26CB">
            <w:pPr>
              <w:pStyle w:val="TableParagraph"/>
              <w:ind w:right="68"/>
              <w:rPr>
                <w:sz w:val="14"/>
              </w:rPr>
            </w:pPr>
            <w:r>
              <w:rPr>
                <w:color w:val="231F20"/>
                <w:sz w:val="14"/>
              </w:rPr>
              <w:t>тражења информација значајних за профе­ сионално образовање и укључивање у свет рада.</w:t>
            </w:r>
          </w:p>
          <w:p w:rsidR="00041039" w:rsidRDefault="001B26CB">
            <w:pPr>
              <w:pStyle w:val="TableParagraph"/>
              <w:numPr>
                <w:ilvl w:val="0"/>
                <w:numId w:val="270"/>
              </w:numPr>
              <w:tabs>
                <w:tab w:val="left" w:pos="157"/>
              </w:tabs>
              <w:spacing w:line="156" w:lineRule="exact"/>
              <w:rPr>
                <w:sz w:val="14"/>
              </w:rPr>
            </w:pPr>
            <w:r>
              <w:rPr>
                <w:color w:val="231F20"/>
                <w:sz w:val="14"/>
              </w:rPr>
              <w:t>Оснаживање</w:t>
            </w:r>
            <w:r>
              <w:rPr>
                <w:color w:val="231F20"/>
                <w:spacing w:val="-3"/>
                <w:sz w:val="14"/>
              </w:rPr>
              <w:t xml:space="preserve"> </w:t>
            </w:r>
            <w:r>
              <w:rPr>
                <w:color w:val="231F20"/>
                <w:sz w:val="14"/>
              </w:rPr>
              <w:t>ученика</w:t>
            </w:r>
          </w:p>
          <w:p w:rsidR="00041039" w:rsidRDefault="001B26CB">
            <w:pPr>
              <w:pStyle w:val="TableParagraph"/>
              <w:ind w:right="81"/>
              <w:rPr>
                <w:sz w:val="14"/>
              </w:rPr>
            </w:pPr>
            <w:r>
              <w:rPr>
                <w:color w:val="231F20"/>
                <w:sz w:val="14"/>
              </w:rPr>
              <w:t>да постављају циљеве личног развоја и планирају свој профе­ сионални развој.</w:t>
            </w:r>
          </w:p>
        </w:tc>
        <w:tc>
          <w:tcPr>
            <w:tcW w:w="2551" w:type="dxa"/>
          </w:tcPr>
          <w:p w:rsidR="00041039" w:rsidRDefault="001B26CB">
            <w:pPr>
              <w:pStyle w:val="TableParagraph"/>
              <w:numPr>
                <w:ilvl w:val="0"/>
                <w:numId w:val="269"/>
              </w:numPr>
              <w:tabs>
                <w:tab w:val="left" w:pos="157"/>
              </w:tabs>
              <w:spacing w:before="8"/>
              <w:ind w:right="163" w:hanging="99"/>
              <w:rPr>
                <w:sz w:val="14"/>
              </w:rPr>
            </w:pPr>
            <w:r>
              <w:rPr>
                <w:color w:val="231F20"/>
                <w:sz w:val="14"/>
              </w:rPr>
              <w:t>разуме значај поштовања социјално</w:t>
            </w:r>
            <w:r>
              <w:rPr>
                <w:color w:val="231F20"/>
                <w:spacing w:val="-21"/>
                <w:sz w:val="14"/>
              </w:rPr>
              <w:t xml:space="preserve"> </w:t>
            </w:r>
            <w:r>
              <w:rPr>
                <w:color w:val="231F20"/>
                <w:sz w:val="14"/>
              </w:rPr>
              <w:t>­ економских</w:t>
            </w:r>
            <w:r>
              <w:rPr>
                <w:color w:val="231F20"/>
                <w:spacing w:val="-1"/>
                <w:sz w:val="14"/>
              </w:rPr>
              <w:t xml:space="preserve"> </w:t>
            </w:r>
            <w:r>
              <w:rPr>
                <w:color w:val="231F20"/>
                <w:sz w:val="14"/>
              </w:rPr>
              <w:t>права;</w:t>
            </w:r>
          </w:p>
          <w:p w:rsidR="00041039" w:rsidRDefault="001B26CB">
            <w:pPr>
              <w:pStyle w:val="TableParagraph"/>
              <w:numPr>
                <w:ilvl w:val="0"/>
                <w:numId w:val="269"/>
              </w:numPr>
              <w:tabs>
                <w:tab w:val="left" w:pos="157"/>
              </w:tabs>
              <w:spacing w:line="160" w:lineRule="exact"/>
              <w:ind w:right="319" w:hanging="99"/>
              <w:rPr>
                <w:sz w:val="14"/>
              </w:rPr>
            </w:pPr>
            <w:r>
              <w:rPr>
                <w:color w:val="231F20"/>
                <w:sz w:val="14"/>
              </w:rPr>
              <w:t>поставља циљеве личног развоја и планира свој</w:t>
            </w:r>
            <w:r>
              <w:rPr>
                <w:color w:val="231F20"/>
                <w:spacing w:val="-2"/>
                <w:sz w:val="14"/>
              </w:rPr>
              <w:t xml:space="preserve"> </w:t>
            </w:r>
            <w:r>
              <w:rPr>
                <w:color w:val="231F20"/>
                <w:sz w:val="14"/>
              </w:rPr>
              <w:t>развој;</w:t>
            </w:r>
          </w:p>
          <w:p w:rsidR="00041039" w:rsidRDefault="001B26CB">
            <w:pPr>
              <w:pStyle w:val="TableParagraph"/>
              <w:numPr>
                <w:ilvl w:val="0"/>
                <w:numId w:val="269"/>
              </w:numPr>
              <w:tabs>
                <w:tab w:val="left" w:pos="157"/>
              </w:tabs>
              <w:spacing w:line="160" w:lineRule="exact"/>
              <w:ind w:right="211" w:hanging="99"/>
              <w:rPr>
                <w:sz w:val="14"/>
              </w:rPr>
            </w:pPr>
            <w:r>
              <w:rPr>
                <w:color w:val="231F20"/>
                <w:sz w:val="14"/>
              </w:rPr>
              <w:t>анализира сопствене способности, особине и вештине значајне за</w:t>
            </w:r>
            <w:r>
              <w:rPr>
                <w:color w:val="231F20"/>
                <w:spacing w:val="-9"/>
                <w:sz w:val="14"/>
              </w:rPr>
              <w:t xml:space="preserve"> </w:t>
            </w:r>
            <w:r>
              <w:rPr>
                <w:color w:val="231F20"/>
                <w:sz w:val="14"/>
              </w:rPr>
              <w:t>даљи професионални</w:t>
            </w:r>
            <w:r>
              <w:rPr>
                <w:color w:val="231F20"/>
                <w:spacing w:val="-2"/>
                <w:sz w:val="14"/>
              </w:rPr>
              <w:t xml:space="preserve"> </w:t>
            </w:r>
            <w:r>
              <w:rPr>
                <w:color w:val="231F20"/>
                <w:sz w:val="14"/>
              </w:rPr>
              <w:t>развој;</w:t>
            </w:r>
          </w:p>
          <w:p w:rsidR="00041039" w:rsidRDefault="001B26CB">
            <w:pPr>
              <w:pStyle w:val="TableParagraph"/>
              <w:numPr>
                <w:ilvl w:val="0"/>
                <w:numId w:val="269"/>
              </w:numPr>
              <w:tabs>
                <w:tab w:val="left" w:pos="157"/>
              </w:tabs>
              <w:spacing w:line="160" w:lineRule="exact"/>
              <w:ind w:right="160" w:hanging="99"/>
              <w:rPr>
                <w:sz w:val="14"/>
              </w:rPr>
            </w:pPr>
            <w:r>
              <w:rPr>
                <w:color w:val="231F20"/>
                <w:sz w:val="14"/>
              </w:rPr>
              <w:t>активно тражи информације</w:t>
            </w:r>
            <w:r>
              <w:rPr>
                <w:color w:val="231F20"/>
                <w:spacing w:val="-19"/>
                <w:sz w:val="14"/>
              </w:rPr>
              <w:t xml:space="preserve"> </w:t>
            </w:r>
            <w:r>
              <w:rPr>
                <w:color w:val="231F20"/>
                <w:sz w:val="14"/>
              </w:rPr>
              <w:t>значајне за даљи професионални</w:t>
            </w:r>
            <w:r>
              <w:rPr>
                <w:color w:val="231F20"/>
                <w:spacing w:val="-3"/>
                <w:sz w:val="14"/>
              </w:rPr>
              <w:t xml:space="preserve"> </w:t>
            </w:r>
            <w:r>
              <w:rPr>
                <w:color w:val="231F20"/>
                <w:sz w:val="14"/>
              </w:rPr>
              <w:t>развој;</w:t>
            </w:r>
          </w:p>
          <w:p w:rsidR="00041039" w:rsidRDefault="001B26CB">
            <w:pPr>
              <w:pStyle w:val="TableParagraph"/>
              <w:numPr>
                <w:ilvl w:val="0"/>
                <w:numId w:val="269"/>
              </w:numPr>
              <w:tabs>
                <w:tab w:val="left" w:pos="157"/>
              </w:tabs>
              <w:spacing w:line="153" w:lineRule="exact"/>
              <w:ind w:hanging="99"/>
              <w:rPr>
                <w:sz w:val="14"/>
              </w:rPr>
            </w:pPr>
            <w:r>
              <w:rPr>
                <w:color w:val="231F20"/>
                <w:sz w:val="14"/>
              </w:rPr>
              <w:t>напише личну радну</w:t>
            </w:r>
            <w:r>
              <w:rPr>
                <w:color w:val="231F20"/>
                <w:spacing w:val="-5"/>
                <w:sz w:val="14"/>
              </w:rPr>
              <w:t xml:space="preserve"> </w:t>
            </w:r>
            <w:r>
              <w:rPr>
                <w:color w:val="231F20"/>
                <w:sz w:val="14"/>
              </w:rPr>
              <w:t>биографију;</w:t>
            </w:r>
          </w:p>
          <w:p w:rsidR="00041039" w:rsidRDefault="001B26CB">
            <w:pPr>
              <w:pStyle w:val="TableParagraph"/>
              <w:numPr>
                <w:ilvl w:val="0"/>
                <w:numId w:val="269"/>
              </w:numPr>
              <w:tabs>
                <w:tab w:val="left" w:pos="157"/>
              </w:tabs>
              <w:spacing w:line="237" w:lineRule="auto"/>
              <w:ind w:right="102" w:hanging="99"/>
              <w:rPr>
                <w:sz w:val="14"/>
              </w:rPr>
            </w:pPr>
            <w:r>
              <w:rPr>
                <w:color w:val="231F20"/>
                <w:sz w:val="14"/>
              </w:rPr>
              <w:t>представи своје личне</w:t>
            </w:r>
            <w:r>
              <w:rPr>
                <w:color w:val="231F20"/>
                <w:spacing w:val="-17"/>
                <w:sz w:val="14"/>
              </w:rPr>
              <w:t xml:space="preserve"> </w:t>
            </w:r>
            <w:r>
              <w:rPr>
                <w:color w:val="231F20"/>
                <w:sz w:val="14"/>
              </w:rPr>
              <w:t>карактеристике приликом разговора са</w:t>
            </w:r>
            <w:r>
              <w:rPr>
                <w:color w:val="231F20"/>
                <w:spacing w:val="-13"/>
                <w:sz w:val="14"/>
              </w:rPr>
              <w:t xml:space="preserve"> </w:t>
            </w:r>
            <w:r>
              <w:rPr>
                <w:color w:val="231F20"/>
                <w:sz w:val="14"/>
              </w:rPr>
              <w:t>послодавцем;</w:t>
            </w:r>
          </w:p>
        </w:tc>
        <w:tc>
          <w:tcPr>
            <w:tcW w:w="2834" w:type="dxa"/>
          </w:tcPr>
          <w:p w:rsidR="00041039" w:rsidRDefault="001B26CB">
            <w:pPr>
              <w:pStyle w:val="TableParagraph"/>
              <w:numPr>
                <w:ilvl w:val="0"/>
                <w:numId w:val="268"/>
              </w:numPr>
              <w:tabs>
                <w:tab w:val="left" w:pos="157"/>
              </w:tabs>
              <w:spacing w:before="8" w:line="166" w:lineRule="exact"/>
              <w:ind w:hanging="99"/>
              <w:rPr>
                <w:sz w:val="14"/>
              </w:rPr>
            </w:pPr>
            <w:r>
              <w:rPr>
                <w:color w:val="231F20"/>
                <w:sz w:val="14"/>
              </w:rPr>
              <w:t>Планирање каријере и улазак у свет</w:t>
            </w:r>
            <w:r>
              <w:rPr>
                <w:color w:val="231F20"/>
                <w:spacing w:val="-14"/>
                <w:sz w:val="14"/>
              </w:rPr>
              <w:t xml:space="preserve"> </w:t>
            </w:r>
            <w:r>
              <w:rPr>
                <w:color w:val="231F20"/>
                <w:sz w:val="14"/>
              </w:rPr>
              <w:t>рада.</w:t>
            </w:r>
          </w:p>
          <w:p w:rsidR="00041039" w:rsidRDefault="001B26CB">
            <w:pPr>
              <w:pStyle w:val="TableParagraph"/>
              <w:numPr>
                <w:ilvl w:val="0"/>
                <w:numId w:val="268"/>
              </w:numPr>
              <w:tabs>
                <w:tab w:val="left" w:pos="157"/>
              </w:tabs>
              <w:spacing w:line="237" w:lineRule="auto"/>
              <w:ind w:right="161" w:hanging="99"/>
              <w:rPr>
                <w:sz w:val="14"/>
              </w:rPr>
            </w:pPr>
            <w:r>
              <w:rPr>
                <w:color w:val="231F20"/>
                <w:sz w:val="14"/>
              </w:rPr>
              <w:t xml:space="preserve">Самопроцена и вештина представљања личних карактеристика </w:t>
            </w:r>
            <w:r>
              <w:rPr>
                <w:color w:val="231F20"/>
                <w:spacing w:val="-3"/>
                <w:sz w:val="14"/>
              </w:rPr>
              <w:t xml:space="preserve">од </w:t>
            </w:r>
            <w:r>
              <w:rPr>
                <w:color w:val="231F20"/>
                <w:sz w:val="14"/>
              </w:rPr>
              <w:t>значаја за</w:t>
            </w:r>
            <w:r>
              <w:rPr>
                <w:color w:val="231F20"/>
                <w:spacing w:val="-19"/>
                <w:sz w:val="14"/>
              </w:rPr>
              <w:t xml:space="preserve"> </w:t>
            </w:r>
            <w:r>
              <w:rPr>
                <w:color w:val="231F20"/>
                <w:sz w:val="14"/>
              </w:rPr>
              <w:t>даље професионално образовање и</w:t>
            </w:r>
            <w:r>
              <w:rPr>
                <w:color w:val="231F20"/>
                <w:spacing w:val="-3"/>
                <w:sz w:val="14"/>
              </w:rPr>
              <w:t xml:space="preserve"> </w:t>
            </w:r>
            <w:r>
              <w:rPr>
                <w:color w:val="231F20"/>
                <w:sz w:val="14"/>
              </w:rPr>
              <w:t>рад.</w:t>
            </w:r>
          </w:p>
          <w:p w:rsidR="00041039" w:rsidRDefault="001B26CB">
            <w:pPr>
              <w:pStyle w:val="TableParagraph"/>
              <w:numPr>
                <w:ilvl w:val="0"/>
                <w:numId w:val="268"/>
              </w:numPr>
              <w:tabs>
                <w:tab w:val="left" w:pos="157"/>
              </w:tabs>
              <w:spacing w:line="156" w:lineRule="exact"/>
              <w:ind w:hanging="99"/>
              <w:rPr>
                <w:sz w:val="14"/>
              </w:rPr>
            </w:pPr>
            <w:r>
              <w:rPr>
                <w:color w:val="231F20"/>
                <w:sz w:val="14"/>
              </w:rPr>
              <w:t>Разговор са</w:t>
            </w:r>
            <w:r>
              <w:rPr>
                <w:color w:val="231F20"/>
                <w:spacing w:val="-1"/>
                <w:sz w:val="14"/>
              </w:rPr>
              <w:t xml:space="preserve"> </w:t>
            </w:r>
            <w:r>
              <w:rPr>
                <w:color w:val="231F20"/>
                <w:sz w:val="14"/>
              </w:rPr>
              <w:t>послодавцем</w:t>
            </w:r>
            <w:r>
              <w:rPr>
                <w:color w:val="231F20"/>
                <w:sz w:val="14"/>
              </w:rPr>
              <w:t>.</w:t>
            </w:r>
          </w:p>
          <w:p w:rsidR="00041039" w:rsidRDefault="001B26CB">
            <w:pPr>
              <w:pStyle w:val="TableParagraph"/>
              <w:numPr>
                <w:ilvl w:val="0"/>
                <w:numId w:val="268"/>
              </w:numPr>
              <w:tabs>
                <w:tab w:val="left" w:pos="157"/>
              </w:tabs>
              <w:spacing w:line="237" w:lineRule="auto"/>
              <w:ind w:right="103" w:hanging="99"/>
              <w:rPr>
                <w:sz w:val="14"/>
              </w:rPr>
            </w:pPr>
            <w:r>
              <w:rPr>
                <w:color w:val="231F20"/>
                <w:sz w:val="14"/>
              </w:rPr>
              <w:t>Тражење</w:t>
            </w:r>
            <w:r>
              <w:rPr>
                <w:color w:val="231F20"/>
                <w:spacing w:val="-7"/>
                <w:sz w:val="14"/>
              </w:rPr>
              <w:t xml:space="preserve"> </w:t>
            </w:r>
            <w:r>
              <w:rPr>
                <w:color w:val="231F20"/>
                <w:sz w:val="14"/>
              </w:rPr>
              <w:t>информација</w:t>
            </w:r>
            <w:r>
              <w:rPr>
                <w:color w:val="231F20"/>
                <w:spacing w:val="-7"/>
                <w:sz w:val="14"/>
              </w:rPr>
              <w:t xml:space="preserve"> </w:t>
            </w:r>
            <w:r>
              <w:rPr>
                <w:color w:val="231F20"/>
                <w:sz w:val="14"/>
              </w:rPr>
              <w:t>значајних</w:t>
            </w:r>
            <w:r>
              <w:rPr>
                <w:color w:val="231F20"/>
                <w:spacing w:val="-7"/>
                <w:sz w:val="14"/>
              </w:rPr>
              <w:t xml:space="preserve"> </w:t>
            </w:r>
            <w:r>
              <w:rPr>
                <w:color w:val="231F20"/>
                <w:sz w:val="14"/>
              </w:rPr>
              <w:t>за</w:t>
            </w:r>
            <w:r>
              <w:rPr>
                <w:color w:val="231F20"/>
                <w:spacing w:val="-8"/>
                <w:sz w:val="14"/>
              </w:rPr>
              <w:t xml:space="preserve"> </w:t>
            </w:r>
            <w:r>
              <w:rPr>
                <w:color w:val="231F20"/>
                <w:sz w:val="14"/>
              </w:rPr>
              <w:t>профе­ сионално образовање и тражење</w:t>
            </w:r>
            <w:r>
              <w:rPr>
                <w:color w:val="231F20"/>
                <w:spacing w:val="-4"/>
                <w:sz w:val="14"/>
              </w:rPr>
              <w:t xml:space="preserve"> </w:t>
            </w:r>
            <w:r>
              <w:rPr>
                <w:color w:val="231F20"/>
                <w:sz w:val="14"/>
              </w:rPr>
              <w:t>посла.</w:t>
            </w:r>
          </w:p>
        </w:tc>
        <w:tc>
          <w:tcPr>
            <w:tcW w:w="2267" w:type="dxa"/>
          </w:tcPr>
          <w:p w:rsidR="00041039" w:rsidRDefault="001B26CB">
            <w:pPr>
              <w:pStyle w:val="TableParagraph"/>
              <w:numPr>
                <w:ilvl w:val="0"/>
                <w:numId w:val="267"/>
              </w:numPr>
              <w:tabs>
                <w:tab w:val="left" w:pos="158"/>
              </w:tabs>
              <w:spacing w:before="8"/>
              <w:ind w:right="164" w:hanging="99"/>
              <w:rPr>
                <w:sz w:val="14"/>
              </w:rPr>
            </w:pPr>
            <w:r>
              <w:rPr>
                <w:color w:val="231F20"/>
                <w:sz w:val="14"/>
              </w:rPr>
              <w:t>Добар индикатор успешне наставе је способност ученика да адекватно примењују</w:t>
            </w:r>
            <w:r>
              <w:rPr>
                <w:color w:val="231F20"/>
                <w:spacing w:val="-19"/>
                <w:sz w:val="14"/>
              </w:rPr>
              <w:t xml:space="preserve"> </w:t>
            </w:r>
            <w:r>
              <w:rPr>
                <w:color w:val="231F20"/>
                <w:sz w:val="14"/>
              </w:rPr>
              <w:t>стечена знања и вештине и да у пракси изражавају ставове и вредности демократског</w:t>
            </w:r>
            <w:r>
              <w:rPr>
                <w:color w:val="231F20"/>
                <w:spacing w:val="-1"/>
                <w:sz w:val="14"/>
              </w:rPr>
              <w:t xml:space="preserve"> </w:t>
            </w:r>
            <w:r>
              <w:rPr>
                <w:color w:val="231F20"/>
                <w:sz w:val="14"/>
              </w:rPr>
              <w:t>друштва.</w:t>
            </w:r>
          </w:p>
          <w:p w:rsidR="00041039" w:rsidRDefault="001B26CB">
            <w:pPr>
              <w:pStyle w:val="TableParagraph"/>
              <w:numPr>
                <w:ilvl w:val="0"/>
                <w:numId w:val="267"/>
              </w:numPr>
              <w:tabs>
                <w:tab w:val="left" w:pos="158"/>
              </w:tabs>
              <w:spacing w:line="154" w:lineRule="exact"/>
              <w:ind w:hanging="99"/>
              <w:rPr>
                <w:sz w:val="14"/>
              </w:rPr>
            </w:pPr>
            <w:r>
              <w:rPr>
                <w:color w:val="231F20"/>
                <w:sz w:val="14"/>
              </w:rPr>
              <w:t>Наставник треба да</w:t>
            </w:r>
            <w:r>
              <w:rPr>
                <w:color w:val="231F20"/>
                <w:spacing w:val="-1"/>
                <w:sz w:val="14"/>
              </w:rPr>
              <w:t xml:space="preserve"> </w:t>
            </w:r>
            <w:r>
              <w:rPr>
                <w:color w:val="231F20"/>
                <w:sz w:val="14"/>
              </w:rPr>
              <w:t>пружи</w:t>
            </w:r>
          </w:p>
          <w:p w:rsidR="00041039" w:rsidRDefault="001B26CB">
            <w:pPr>
              <w:pStyle w:val="TableParagraph"/>
              <w:ind w:left="157" w:right="50"/>
              <w:rPr>
                <w:sz w:val="14"/>
              </w:rPr>
            </w:pPr>
            <w:r>
              <w:rPr>
                <w:color w:val="231F20"/>
                <w:sz w:val="14"/>
              </w:rPr>
              <w:t>неопходну помоћ и подршку уче­ ницима у припреми и реализацији активности, а заједно са групом да обезбеди повратну информа­ цију о њеној</w:t>
            </w:r>
            <w:r>
              <w:rPr>
                <w:color w:val="231F20"/>
                <w:spacing w:val="-3"/>
                <w:sz w:val="14"/>
              </w:rPr>
              <w:t xml:space="preserve"> </w:t>
            </w:r>
            <w:r>
              <w:rPr>
                <w:color w:val="231F20"/>
                <w:sz w:val="14"/>
              </w:rPr>
              <w:t>успешности.</w:t>
            </w:r>
          </w:p>
          <w:p w:rsidR="00041039" w:rsidRDefault="001B26CB">
            <w:pPr>
              <w:pStyle w:val="TableParagraph"/>
              <w:numPr>
                <w:ilvl w:val="0"/>
                <w:numId w:val="267"/>
              </w:numPr>
              <w:tabs>
                <w:tab w:val="left" w:pos="158"/>
              </w:tabs>
              <w:spacing w:line="156" w:lineRule="exact"/>
              <w:ind w:hanging="99"/>
              <w:rPr>
                <w:sz w:val="14"/>
              </w:rPr>
            </w:pPr>
            <w:r>
              <w:rPr>
                <w:color w:val="231F20"/>
                <w:sz w:val="14"/>
              </w:rPr>
              <w:t>У реализацији овог</w:t>
            </w:r>
            <w:r>
              <w:rPr>
                <w:color w:val="231F20"/>
                <w:spacing w:val="-4"/>
                <w:sz w:val="14"/>
              </w:rPr>
              <w:t xml:space="preserve"> </w:t>
            </w:r>
            <w:r>
              <w:rPr>
                <w:color w:val="231F20"/>
                <w:sz w:val="14"/>
              </w:rPr>
              <w:t>програма</w:t>
            </w:r>
          </w:p>
          <w:p w:rsidR="00041039" w:rsidRDefault="001B26CB">
            <w:pPr>
              <w:pStyle w:val="TableParagraph"/>
              <w:ind w:left="157"/>
              <w:rPr>
                <w:sz w:val="14"/>
              </w:rPr>
            </w:pPr>
            <w:r>
              <w:rPr>
                <w:color w:val="231F20"/>
                <w:sz w:val="14"/>
              </w:rPr>
              <w:t>наставник је извор знања, органи­ затор и водитељ уче</w:t>
            </w:r>
            <w:r>
              <w:rPr>
                <w:color w:val="231F20"/>
                <w:sz w:val="14"/>
              </w:rPr>
              <w:t>ничких актив­ ности и особа која даје повратну информацију.</w:t>
            </w:r>
          </w:p>
          <w:p w:rsidR="00041039" w:rsidRDefault="001B26CB">
            <w:pPr>
              <w:pStyle w:val="TableParagraph"/>
              <w:numPr>
                <w:ilvl w:val="0"/>
                <w:numId w:val="267"/>
              </w:numPr>
              <w:tabs>
                <w:tab w:val="left" w:pos="158"/>
              </w:tabs>
              <w:spacing w:line="157" w:lineRule="exact"/>
              <w:ind w:hanging="99"/>
              <w:rPr>
                <w:sz w:val="14"/>
              </w:rPr>
            </w:pPr>
            <w:r>
              <w:rPr>
                <w:color w:val="231F20"/>
                <w:sz w:val="14"/>
              </w:rPr>
              <w:t>Повратна информација је</w:t>
            </w:r>
            <w:r>
              <w:rPr>
                <w:color w:val="231F20"/>
                <w:spacing w:val="-4"/>
                <w:sz w:val="14"/>
              </w:rPr>
              <w:t xml:space="preserve"> </w:t>
            </w:r>
            <w:r>
              <w:rPr>
                <w:color w:val="231F20"/>
                <w:spacing w:val="-3"/>
                <w:sz w:val="14"/>
              </w:rPr>
              <w:t>од</w:t>
            </w:r>
          </w:p>
          <w:p w:rsidR="00041039" w:rsidRDefault="001B26CB">
            <w:pPr>
              <w:pStyle w:val="TableParagraph"/>
              <w:ind w:left="157" w:right="239"/>
              <w:rPr>
                <w:sz w:val="14"/>
              </w:rPr>
            </w:pPr>
            <w:r>
              <w:rPr>
                <w:color w:val="231F20"/>
                <w:sz w:val="14"/>
              </w:rPr>
              <w:t>великог значаја не само за процес стицања сазнања, већ и за подстицање самопоуздања,</w:t>
            </w:r>
          </w:p>
          <w:p w:rsidR="00041039" w:rsidRDefault="001B26CB">
            <w:pPr>
              <w:pStyle w:val="TableParagraph"/>
              <w:spacing w:line="237" w:lineRule="auto"/>
              <w:ind w:left="157"/>
              <w:rPr>
                <w:sz w:val="14"/>
              </w:rPr>
            </w:pPr>
            <w:r>
              <w:rPr>
                <w:color w:val="231F20"/>
                <w:sz w:val="14"/>
              </w:rPr>
              <w:t>учешћа у раду групе и мотивације за предмет.</w:t>
            </w:r>
          </w:p>
          <w:p w:rsidR="00041039" w:rsidRDefault="001B26CB">
            <w:pPr>
              <w:pStyle w:val="TableParagraph"/>
              <w:numPr>
                <w:ilvl w:val="0"/>
                <w:numId w:val="267"/>
              </w:numPr>
              <w:tabs>
                <w:tab w:val="left" w:pos="158"/>
              </w:tabs>
              <w:spacing w:line="237" w:lineRule="auto"/>
              <w:ind w:right="59" w:hanging="99"/>
              <w:rPr>
                <w:sz w:val="14"/>
              </w:rPr>
            </w:pPr>
            <w:r>
              <w:rPr>
                <w:color w:val="231F20"/>
                <w:sz w:val="14"/>
              </w:rPr>
              <w:t xml:space="preserve">За успешно реализовање наставе број ученика у групи не би тре­ бало да </w:t>
            </w:r>
            <w:r>
              <w:rPr>
                <w:color w:val="231F20"/>
                <w:spacing w:val="-4"/>
                <w:sz w:val="14"/>
              </w:rPr>
              <w:t xml:space="preserve">буде </w:t>
            </w:r>
            <w:r>
              <w:rPr>
                <w:color w:val="231F20"/>
                <w:sz w:val="14"/>
              </w:rPr>
              <w:t xml:space="preserve">већи </w:t>
            </w:r>
            <w:r>
              <w:rPr>
                <w:color w:val="231F20"/>
                <w:spacing w:val="-3"/>
                <w:sz w:val="14"/>
              </w:rPr>
              <w:t xml:space="preserve">од </w:t>
            </w:r>
            <w:r>
              <w:rPr>
                <w:color w:val="231F20"/>
                <w:sz w:val="14"/>
              </w:rPr>
              <w:t>25 ученика. Оптималан број ученика је 15 ­</w:t>
            </w:r>
            <w:r>
              <w:rPr>
                <w:color w:val="231F20"/>
                <w:spacing w:val="-12"/>
                <w:sz w:val="14"/>
              </w:rPr>
              <w:t xml:space="preserve"> </w:t>
            </w:r>
            <w:r>
              <w:rPr>
                <w:color w:val="231F20"/>
                <w:sz w:val="14"/>
              </w:rPr>
              <w:t>20 ученика.</w:t>
            </w:r>
          </w:p>
          <w:p w:rsidR="00041039" w:rsidRDefault="00041039">
            <w:pPr>
              <w:pStyle w:val="TableParagraph"/>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67"/>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267"/>
              </w:numPr>
              <w:tabs>
                <w:tab w:val="left" w:pos="158"/>
              </w:tabs>
              <w:spacing w:line="160" w:lineRule="exact"/>
              <w:ind w:hanging="99"/>
              <w:rPr>
                <w:b/>
                <w:sz w:val="14"/>
              </w:rPr>
            </w:pPr>
            <w:r>
              <w:rPr>
                <w:color w:val="231F20"/>
                <w:sz w:val="14"/>
              </w:rPr>
              <w:t>Све</w:t>
            </w:r>
            <w:r>
              <w:rPr>
                <w:color w:val="231F20"/>
                <w:sz w:val="14"/>
              </w:rPr>
              <w:t xml:space="preserve">т информација </w:t>
            </w:r>
            <w:r>
              <w:rPr>
                <w:b/>
                <w:color w:val="231F20"/>
                <w:sz w:val="14"/>
              </w:rPr>
              <w:t>(16</w:t>
            </w:r>
            <w:r>
              <w:rPr>
                <w:b/>
                <w:color w:val="231F20"/>
                <w:spacing w:val="-6"/>
                <w:sz w:val="14"/>
              </w:rPr>
              <w:t xml:space="preserve"> </w:t>
            </w:r>
            <w:r>
              <w:rPr>
                <w:b/>
                <w:color w:val="231F20"/>
                <w:sz w:val="14"/>
              </w:rPr>
              <w:t>часова)</w:t>
            </w:r>
          </w:p>
          <w:p w:rsidR="00041039" w:rsidRDefault="001B26CB">
            <w:pPr>
              <w:pStyle w:val="TableParagraph"/>
              <w:numPr>
                <w:ilvl w:val="0"/>
                <w:numId w:val="267"/>
              </w:numPr>
              <w:tabs>
                <w:tab w:val="left" w:pos="158"/>
              </w:tabs>
              <w:spacing w:line="237" w:lineRule="auto"/>
              <w:ind w:right="68" w:hanging="99"/>
              <w:rPr>
                <w:b/>
                <w:sz w:val="14"/>
              </w:rPr>
            </w:pPr>
            <w:r>
              <w:rPr>
                <w:color w:val="231F20"/>
                <w:sz w:val="14"/>
              </w:rPr>
              <w:t xml:space="preserve">Свет професионалног образовања и рада </w:t>
            </w:r>
            <w:r>
              <w:rPr>
                <w:b/>
                <w:color w:val="231F20"/>
                <w:sz w:val="14"/>
              </w:rPr>
              <w:t>(16</w:t>
            </w:r>
            <w:r>
              <w:rPr>
                <w:b/>
                <w:color w:val="231F20"/>
                <w:spacing w:val="-2"/>
                <w:sz w:val="14"/>
              </w:rPr>
              <w:t xml:space="preserve"> </w:t>
            </w:r>
            <w:r>
              <w:rPr>
                <w:b/>
                <w:color w:val="231F20"/>
                <w:sz w:val="14"/>
              </w:rPr>
              <w:t>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Историја</w:t>
      </w:r>
    </w:p>
    <w:p w:rsidR="00041039" w:rsidRDefault="001B26CB">
      <w:pPr>
        <w:pStyle w:val="ListParagraph"/>
        <w:numPr>
          <w:ilvl w:val="0"/>
          <w:numId w:val="1"/>
        </w:numPr>
        <w:tabs>
          <w:tab w:val="left" w:pos="633"/>
        </w:tabs>
        <w:spacing w:line="203" w:lineRule="exact"/>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041039">
      <w:pPr>
        <w:pStyle w:val="BodyText"/>
        <w:spacing w:before="11"/>
        <w:rPr>
          <w:sz w:val="22"/>
        </w:rPr>
      </w:pPr>
    </w:p>
    <w:p w:rsidR="00041039" w:rsidRDefault="001B26CB">
      <w:pPr>
        <w:tabs>
          <w:tab w:val="left" w:pos="1971"/>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971"/>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971"/>
        </w:tabs>
        <w:spacing w:before="49"/>
        <w:ind w:left="157"/>
        <w:rPr>
          <w:b/>
          <w:sz w:val="14"/>
        </w:rPr>
      </w:pPr>
      <w:r>
        <w:rPr>
          <w:color w:val="231F20"/>
          <w:sz w:val="14"/>
        </w:rPr>
        <w:t>Разред:</w:t>
      </w:r>
      <w:r>
        <w:rPr>
          <w:color w:val="231F20"/>
          <w:sz w:val="14"/>
        </w:rPr>
        <w:tab/>
      </w:r>
      <w:r>
        <w:rPr>
          <w:b/>
          <w:color w:val="231F20"/>
          <w:sz w:val="14"/>
        </w:rPr>
        <w:t>први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840"/>
        </w:trPr>
        <w:tc>
          <w:tcPr>
            <w:tcW w:w="1304" w:type="dxa"/>
          </w:tcPr>
          <w:p w:rsidR="00041039" w:rsidRDefault="001B26CB">
            <w:pPr>
              <w:pStyle w:val="TableParagraph"/>
              <w:spacing w:before="18"/>
              <w:ind w:left="56" w:right="37"/>
              <w:rPr>
                <w:sz w:val="14"/>
              </w:rPr>
            </w:pPr>
            <w:r>
              <w:rPr>
                <w:color w:val="231F20"/>
                <w:sz w:val="14"/>
              </w:rPr>
              <w:t>Хришћанство је црква (заједнички литургијски живот као израз вере у Бога)</w:t>
            </w:r>
          </w:p>
        </w:tc>
        <w:tc>
          <w:tcPr>
            <w:tcW w:w="1587" w:type="dxa"/>
          </w:tcPr>
          <w:p w:rsidR="00041039" w:rsidRDefault="001B26CB">
            <w:pPr>
              <w:pStyle w:val="TableParagraph"/>
              <w:numPr>
                <w:ilvl w:val="0"/>
                <w:numId w:val="266"/>
              </w:numPr>
              <w:tabs>
                <w:tab w:val="left" w:pos="157"/>
              </w:tabs>
              <w:spacing w:before="8"/>
              <w:ind w:right="44"/>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томе да је хришћанство црква тј. конкретна</w:t>
            </w:r>
            <w:r>
              <w:rPr>
                <w:color w:val="231F20"/>
                <w:spacing w:val="-19"/>
                <w:sz w:val="14"/>
              </w:rPr>
              <w:t xml:space="preserve"> </w:t>
            </w:r>
            <w:r>
              <w:rPr>
                <w:color w:val="231F20"/>
                <w:sz w:val="14"/>
              </w:rPr>
              <w:t>ли­ тургијска</w:t>
            </w:r>
            <w:r>
              <w:rPr>
                <w:color w:val="231F20"/>
                <w:spacing w:val="-2"/>
                <w:sz w:val="14"/>
              </w:rPr>
              <w:t xml:space="preserve"> </w:t>
            </w:r>
            <w:r>
              <w:rPr>
                <w:color w:val="231F20"/>
                <w:sz w:val="14"/>
              </w:rPr>
              <w:t>заједница.</w:t>
            </w:r>
          </w:p>
        </w:tc>
        <w:tc>
          <w:tcPr>
            <w:tcW w:w="2551" w:type="dxa"/>
          </w:tcPr>
          <w:p w:rsidR="00041039" w:rsidRDefault="001B26CB">
            <w:pPr>
              <w:pStyle w:val="TableParagraph"/>
              <w:numPr>
                <w:ilvl w:val="0"/>
                <w:numId w:val="265"/>
              </w:numPr>
              <w:tabs>
                <w:tab w:val="left" w:pos="157"/>
              </w:tabs>
              <w:spacing w:before="8"/>
              <w:ind w:right="240" w:hanging="99"/>
              <w:rPr>
                <w:sz w:val="14"/>
              </w:rPr>
            </w:pPr>
            <w:r>
              <w:rPr>
                <w:color w:val="231F20"/>
                <w:sz w:val="14"/>
              </w:rPr>
              <w:t>спознају да је хришћанство живот</w:t>
            </w:r>
            <w:r>
              <w:rPr>
                <w:color w:val="231F20"/>
                <w:spacing w:val="-5"/>
                <w:sz w:val="14"/>
              </w:rPr>
              <w:t xml:space="preserve"> </w:t>
            </w:r>
            <w:r>
              <w:rPr>
                <w:color w:val="231F20"/>
                <w:sz w:val="14"/>
              </w:rPr>
              <w:t>у литургијској</w:t>
            </w:r>
            <w:r>
              <w:rPr>
                <w:color w:val="231F20"/>
                <w:spacing w:val="-1"/>
                <w:sz w:val="14"/>
              </w:rPr>
              <w:t xml:space="preserve"> </w:t>
            </w:r>
            <w:r>
              <w:rPr>
                <w:color w:val="231F20"/>
                <w:sz w:val="14"/>
              </w:rPr>
              <w:t>заједници;</w:t>
            </w:r>
          </w:p>
        </w:tc>
        <w:tc>
          <w:tcPr>
            <w:tcW w:w="2834" w:type="dxa"/>
          </w:tcPr>
          <w:p w:rsidR="00041039" w:rsidRDefault="001B26CB">
            <w:pPr>
              <w:pStyle w:val="TableParagraph"/>
              <w:numPr>
                <w:ilvl w:val="0"/>
                <w:numId w:val="264"/>
              </w:numPr>
              <w:tabs>
                <w:tab w:val="left" w:pos="157"/>
              </w:tabs>
              <w:spacing w:before="8" w:line="166" w:lineRule="exact"/>
              <w:ind w:hanging="99"/>
              <w:rPr>
                <w:sz w:val="14"/>
              </w:rPr>
            </w:pPr>
            <w:r>
              <w:rPr>
                <w:color w:val="231F20"/>
                <w:sz w:val="14"/>
              </w:rPr>
              <w:t>Хришћанство ­ Црква као</w:t>
            </w:r>
            <w:r>
              <w:rPr>
                <w:color w:val="231F20"/>
                <w:spacing w:val="-5"/>
                <w:sz w:val="14"/>
              </w:rPr>
              <w:t xml:space="preserve"> </w:t>
            </w:r>
            <w:r>
              <w:rPr>
                <w:color w:val="231F20"/>
                <w:sz w:val="14"/>
              </w:rPr>
              <w:t>заједница.</w:t>
            </w:r>
          </w:p>
          <w:p w:rsidR="00041039" w:rsidRDefault="001B26CB">
            <w:pPr>
              <w:pStyle w:val="TableParagraph"/>
              <w:numPr>
                <w:ilvl w:val="0"/>
                <w:numId w:val="264"/>
              </w:numPr>
              <w:tabs>
                <w:tab w:val="left" w:pos="157"/>
              </w:tabs>
              <w:spacing w:line="160" w:lineRule="exact"/>
              <w:ind w:hanging="99"/>
              <w:rPr>
                <w:sz w:val="14"/>
              </w:rPr>
            </w:pPr>
            <w:r>
              <w:rPr>
                <w:color w:val="231F20"/>
                <w:sz w:val="14"/>
              </w:rPr>
              <w:t>Христос ­ Посредник између Бога и</w:t>
            </w:r>
            <w:r>
              <w:rPr>
                <w:color w:val="231F20"/>
                <w:spacing w:val="-8"/>
                <w:sz w:val="14"/>
              </w:rPr>
              <w:t xml:space="preserve"> </w:t>
            </w:r>
            <w:r>
              <w:rPr>
                <w:color w:val="231F20"/>
                <w:sz w:val="14"/>
              </w:rPr>
              <w:t>света.</w:t>
            </w:r>
          </w:p>
          <w:p w:rsidR="00041039" w:rsidRDefault="001B26CB">
            <w:pPr>
              <w:pStyle w:val="TableParagraph"/>
              <w:numPr>
                <w:ilvl w:val="0"/>
                <w:numId w:val="264"/>
              </w:numPr>
              <w:tabs>
                <w:tab w:val="left" w:pos="157"/>
              </w:tabs>
              <w:spacing w:line="166" w:lineRule="exact"/>
              <w:ind w:hanging="99"/>
              <w:rPr>
                <w:sz w:val="14"/>
              </w:rPr>
            </w:pPr>
            <w:r>
              <w:rPr>
                <w:color w:val="231F20"/>
                <w:sz w:val="14"/>
              </w:rPr>
              <w:t>Света Литургија ­ присутни</w:t>
            </w:r>
            <w:r>
              <w:rPr>
                <w:color w:val="231F20"/>
                <w:spacing w:val="-4"/>
                <w:sz w:val="14"/>
              </w:rPr>
              <w:t xml:space="preserve"> </w:t>
            </w:r>
            <w:r>
              <w:rPr>
                <w:color w:val="231F20"/>
                <w:sz w:val="14"/>
              </w:rPr>
              <w:t>Христос.</w:t>
            </w:r>
          </w:p>
        </w:tc>
        <w:tc>
          <w:tcPr>
            <w:tcW w:w="2267" w:type="dxa"/>
            <w:vMerge w:val="restart"/>
          </w:tcPr>
          <w:p w:rsidR="00041039" w:rsidRDefault="001B26CB">
            <w:pPr>
              <w:pStyle w:val="TableParagraph"/>
              <w:numPr>
                <w:ilvl w:val="0"/>
                <w:numId w:val="263"/>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63"/>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263"/>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63"/>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263"/>
              </w:numPr>
              <w:tabs>
                <w:tab w:val="left" w:pos="158"/>
              </w:tabs>
              <w:spacing w:line="237" w:lineRule="auto"/>
              <w:ind w:right="131" w:hanging="99"/>
              <w:rPr>
                <w:b/>
                <w:sz w:val="14"/>
              </w:rPr>
            </w:pPr>
            <w:r>
              <w:rPr>
                <w:color w:val="231F20"/>
                <w:sz w:val="14"/>
              </w:rPr>
              <w:t>Хришћанство је црква</w:t>
            </w:r>
            <w:r>
              <w:rPr>
                <w:color w:val="231F20"/>
                <w:spacing w:val="-15"/>
                <w:sz w:val="14"/>
              </w:rPr>
              <w:t xml:space="preserve"> </w:t>
            </w:r>
            <w:r>
              <w:rPr>
                <w:color w:val="231F20"/>
                <w:sz w:val="14"/>
              </w:rPr>
              <w:t xml:space="preserve">(заједнич­ ки литургијски живот као израз вере у Бога) </w:t>
            </w:r>
            <w:r>
              <w:rPr>
                <w:b/>
                <w:color w:val="231F20"/>
                <w:sz w:val="14"/>
              </w:rPr>
              <w:t>(5</w:t>
            </w:r>
            <w:r>
              <w:rPr>
                <w:b/>
                <w:color w:val="231F20"/>
                <w:spacing w:val="-4"/>
                <w:sz w:val="14"/>
              </w:rPr>
              <w:t xml:space="preserve"> </w:t>
            </w:r>
            <w:r>
              <w:rPr>
                <w:b/>
                <w:color w:val="231F20"/>
                <w:sz w:val="14"/>
              </w:rPr>
              <w:t>часова)</w:t>
            </w:r>
          </w:p>
          <w:p w:rsidR="00041039" w:rsidRDefault="001B26CB">
            <w:pPr>
              <w:pStyle w:val="TableParagraph"/>
              <w:numPr>
                <w:ilvl w:val="0"/>
                <w:numId w:val="263"/>
              </w:numPr>
              <w:tabs>
                <w:tab w:val="left" w:pos="158"/>
              </w:tabs>
              <w:spacing w:line="237" w:lineRule="auto"/>
              <w:ind w:right="242" w:hanging="99"/>
              <w:rPr>
                <w:b/>
                <w:sz w:val="14"/>
              </w:rPr>
            </w:pPr>
            <w:r>
              <w:rPr>
                <w:color w:val="231F20"/>
                <w:sz w:val="14"/>
              </w:rPr>
              <w:t>Појам о Богу у хришћанству</w:t>
            </w:r>
            <w:r>
              <w:rPr>
                <w:color w:val="231F20"/>
                <w:spacing w:val="-14"/>
                <w:sz w:val="14"/>
              </w:rPr>
              <w:t xml:space="preserve"> </w:t>
            </w:r>
            <w:r>
              <w:rPr>
                <w:b/>
                <w:color w:val="231F20"/>
                <w:sz w:val="14"/>
              </w:rPr>
              <w:t>(2 часа)</w:t>
            </w:r>
          </w:p>
        </w:tc>
      </w:tr>
      <w:tr w:rsidR="00041039">
        <w:trPr>
          <w:trHeight w:val="1000"/>
        </w:trPr>
        <w:tc>
          <w:tcPr>
            <w:tcW w:w="1304" w:type="dxa"/>
          </w:tcPr>
          <w:p w:rsidR="00041039" w:rsidRDefault="001B26CB">
            <w:pPr>
              <w:pStyle w:val="TableParagraph"/>
              <w:spacing w:before="19"/>
              <w:ind w:left="56" w:right="334"/>
              <w:rPr>
                <w:sz w:val="14"/>
              </w:rPr>
            </w:pPr>
            <w:r>
              <w:rPr>
                <w:color w:val="231F20"/>
                <w:sz w:val="14"/>
              </w:rPr>
              <w:t>Појам о Богу у Хришћанству</w:t>
            </w:r>
          </w:p>
        </w:tc>
        <w:tc>
          <w:tcPr>
            <w:tcW w:w="1587" w:type="dxa"/>
          </w:tcPr>
          <w:p w:rsidR="00041039" w:rsidRDefault="001B26CB">
            <w:pPr>
              <w:pStyle w:val="TableParagraph"/>
              <w:numPr>
                <w:ilvl w:val="0"/>
                <w:numId w:val="262"/>
              </w:numPr>
              <w:tabs>
                <w:tab w:val="left" w:pos="157"/>
              </w:tabs>
              <w:spacing w:before="9"/>
              <w:ind w:right="95"/>
              <w:rPr>
                <w:sz w:val="14"/>
              </w:rPr>
            </w:pPr>
            <w:r>
              <w:rPr>
                <w:color w:val="231F20"/>
                <w:sz w:val="14"/>
              </w:rPr>
              <w:t>Да се ученицима скрене пажња да је појам личности кључ­ ни појам без кога се хришћанство не може разумети.</w:t>
            </w:r>
          </w:p>
        </w:tc>
        <w:tc>
          <w:tcPr>
            <w:tcW w:w="2551" w:type="dxa"/>
          </w:tcPr>
          <w:p w:rsidR="00041039" w:rsidRDefault="001B26CB">
            <w:pPr>
              <w:pStyle w:val="TableParagraph"/>
              <w:numPr>
                <w:ilvl w:val="0"/>
                <w:numId w:val="261"/>
              </w:numPr>
              <w:tabs>
                <w:tab w:val="left" w:pos="157"/>
              </w:tabs>
              <w:spacing w:before="9"/>
              <w:ind w:right="350" w:hanging="99"/>
              <w:rPr>
                <w:sz w:val="14"/>
              </w:rPr>
            </w:pPr>
            <w:r>
              <w:rPr>
                <w:color w:val="231F20"/>
                <w:sz w:val="14"/>
              </w:rPr>
              <w:t>уоче да је појам личности</w:t>
            </w:r>
            <w:r>
              <w:rPr>
                <w:color w:val="231F20"/>
                <w:spacing w:val="-13"/>
                <w:sz w:val="14"/>
              </w:rPr>
              <w:t xml:space="preserve"> </w:t>
            </w:r>
            <w:r>
              <w:rPr>
                <w:color w:val="231F20"/>
                <w:sz w:val="14"/>
              </w:rPr>
              <w:t>кључни појам разумевања учења о Богу и људима;</w:t>
            </w:r>
          </w:p>
        </w:tc>
        <w:tc>
          <w:tcPr>
            <w:tcW w:w="2834" w:type="dxa"/>
          </w:tcPr>
          <w:p w:rsidR="00041039" w:rsidRDefault="001B26CB">
            <w:pPr>
              <w:pStyle w:val="TableParagraph"/>
              <w:numPr>
                <w:ilvl w:val="0"/>
                <w:numId w:val="260"/>
              </w:numPr>
              <w:tabs>
                <w:tab w:val="left" w:pos="157"/>
              </w:tabs>
              <w:spacing w:before="9" w:line="166" w:lineRule="exact"/>
              <w:ind w:hanging="99"/>
              <w:rPr>
                <w:sz w:val="14"/>
              </w:rPr>
            </w:pPr>
            <w:r>
              <w:rPr>
                <w:color w:val="231F20"/>
                <w:sz w:val="14"/>
              </w:rPr>
              <w:t>Вера и</w:t>
            </w:r>
            <w:r>
              <w:rPr>
                <w:color w:val="231F20"/>
                <w:spacing w:val="-2"/>
                <w:sz w:val="14"/>
              </w:rPr>
              <w:t xml:space="preserve"> </w:t>
            </w:r>
            <w:r>
              <w:rPr>
                <w:color w:val="231F20"/>
                <w:sz w:val="14"/>
              </w:rPr>
              <w:t>атеизам.</w:t>
            </w:r>
          </w:p>
          <w:p w:rsidR="00041039" w:rsidRDefault="001B26CB">
            <w:pPr>
              <w:pStyle w:val="TableParagraph"/>
              <w:numPr>
                <w:ilvl w:val="0"/>
                <w:numId w:val="260"/>
              </w:numPr>
              <w:tabs>
                <w:tab w:val="left" w:pos="157"/>
              </w:tabs>
              <w:spacing w:line="166" w:lineRule="exact"/>
              <w:ind w:hanging="99"/>
              <w:rPr>
                <w:sz w:val="14"/>
              </w:rPr>
            </w:pPr>
            <w:r>
              <w:rPr>
                <w:color w:val="231F20"/>
                <w:sz w:val="14"/>
              </w:rPr>
              <w:t>Проблем</w:t>
            </w:r>
            <w:r>
              <w:rPr>
                <w:color w:val="231F20"/>
                <w:spacing w:val="-2"/>
                <w:sz w:val="14"/>
              </w:rPr>
              <w:t xml:space="preserve"> </w:t>
            </w:r>
            <w:r>
              <w:rPr>
                <w:color w:val="231F20"/>
                <w:sz w:val="14"/>
              </w:rPr>
              <w:t>сазнања.</w:t>
            </w:r>
          </w:p>
        </w:tc>
        <w:tc>
          <w:tcPr>
            <w:tcW w:w="2267" w:type="dxa"/>
            <w:vMerge/>
            <w:tcBorders>
              <w:top w:val="nil"/>
            </w:tcBorders>
          </w:tcPr>
          <w:p w:rsidR="00041039" w:rsidRDefault="00041039">
            <w:pPr>
              <w:rPr>
                <w:sz w:val="2"/>
                <w:szCs w:val="2"/>
              </w:rPr>
            </w:pPr>
          </w:p>
        </w:tc>
      </w:tr>
      <w:tr w:rsidR="00041039">
        <w:trPr>
          <w:trHeight w:val="3139"/>
        </w:trPr>
        <w:tc>
          <w:tcPr>
            <w:tcW w:w="1304" w:type="dxa"/>
          </w:tcPr>
          <w:p w:rsidR="00041039" w:rsidRDefault="001B26CB">
            <w:pPr>
              <w:pStyle w:val="TableParagraph"/>
              <w:spacing w:before="19"/>
              <w:ind w:left="56" w:right="87"/>
              <w:rPr>
                <w:sz w:val="14"/>
              </w:rPr>
            </w:pPr>
            <w:r>
              <w:rPr>
                <w:color w:val="231F20"/>
                <w:sz w:val="14"/>
              </w:rPr>
              <w:t>Познање Бога кроз Христа у цркви</w:t>
            </w:r>
          </w:p>
        </w:tc>
        <w:tc>
          <w:tcPr>
            <w:tcW w:w="1587" w:type="dxa"/>
          </w:tcPr>
          <w:p w:rsidR="00041039" w:rsidRDefault="001B26CB">
            <w:pPr>
              <w:pStyle w:val="TableParagraph"/>
              <w:numPr>
                <w:ilvl w:val="0"/>
                <w:numId w:val="259"/>
              </w:numPr>
              <w:tabs>
                <w:tab w:val="left" w:pos="157"/>
              </w:tabs>
              <w:spacing w:before="9"/>
              <w:ind w:right="64"/>
              <w:rPr>
                <w:sz w:val="14"/>
              </w:rPr>
            </w:pPr>
            <w:r>
              <w:rPr>
                <w:color w:val="231F20"/>
                <w:sz w:val="14"/>
              </w:rPr>
              <w:t>Да је крштење као израз вере у Бога неопходан услов за сједињење са</w:t>
            </w:r>
            <w:r>
              <w:rPr>
                <w:color w:val="231F20"/>
                <w:spacing w:val="-9"/>
                <w:sz w:val="14"/>
              </w:rPr>
              <w:t xml:space="preserve"> </w:t>
            </w:r>
            <w:r>
              <w:rPr>
                <w:color w:val="231F20"/>
                <w:sz w:val="14"/>
              </w:rPr>
              <w:t>Христом и улазак у литургију, да се рукоположењем конституише литур­ гијска</w:t>
            </w:r>
            <w:r>
              <w:rPr>
                <w:color w:val="231F20"/>
                <w:spacing w:val="-2"/>
                <w:sz w:val="14"/>
              </w:rPr>
              <w:t xml:space="preserve"> </w:t>
            </w:r>
            <w:r>
              <w:rPr>
                <w:color w:val="231F20"/>
                <w:sz w:val="14"/>
              </w:rPr>
              <w:t>заједница.</w:t>
            </w:r>
          </w:p>
        </w:tc>
        <w:tc>
          <w:tcPr>
            <w:tcW w:w="2551" w:type="dxa"/>
          </w:tcPr>
          <w:p w:rsidR="00041039" w:rsidRDefault="001B26CB">
            <w:pPr>
              <w:pStyle w:val="TableParagraph"/>
              <w:numPr>
                <w:ilvl w:val="0"/>
                <w:numId w:val="258"/>
              </w:numPr>
              <w:tabs>
                <w:tab w:val="left" w:pos="157"/>
              </w:tabs>
              <w:spacing w:before="9"/>
              <w:ind w:right="116" w:hanging="99"/>
              <w:rPr>
                <w:sz w:val="14"/>
              </w:rPr>
            </w:pPr>
            <w:r>
              <w:rPr>
                <w:color w:val="231F20"/>
                <w:sz w:val="14"/>
              </w:rPr>
              <w:t>науче да је Бог личност и да се само у заједници личности</w:t>
            </w:r>
            <w:r>
              <w:rPr>
                <w:color w:val="231F20"/>
                <w:spacing w:val="-2"/>
                <w:sz w:val="14"/>
              </w:rPr>
              <w:t xml:space="preserve"> </w:t>
            </w:r>
            <w:r>
              <w:rPr>
                <w:color w:val="231F20"/>
                <w:sz w:val="14"/>
              </w:rPr>
              <w:t>открива;</w:t>
            </w:r>
          </w:p>
        </w:tc>
        <w:tc>
          <w:tcPr>
            <w:tcW w:w="2834" w:type="dxa"/>
          </w:tcPr>
          <w:p w:rsidR="00041039" w:rsidRDefault="001B26CB">
            <w:pPr>
              <w:pStyle w:val="TableParagraph"/>
              <w:numPr>
                <w:ilvl w:val="0"/>
                <w:numId w:val="257"/>
              </w:numPr>
              <w:tabs>
                <w:tab w:val="left" w:pos="158"/>
              </w:tabs>
              <w:spacing w:before="9" w:line="166" w:lineRule="exact"/>
              <w:rPr>
                <w:sz w:val="14"/>
              </w:rPr>
            </w:pPr>
            <w:r>
              <w:rPr>
                <w:color w:val="231F20"/>
                <w:sz w:val="14"/>
              </w:rPr>
              <w:t>Познање Бога кроз Исуса</w:t>
            </w:r>
            <w:r>
              <w:rPr>
                <w:color w:val="231F20"/>
                <w:spacing w:val="-5"/>
                <w:sz w:val="14"/>
              </w:rPr>
              <w:t xml:space="preserve"> </w:t>
            </w:r>
            <w:r>
              <w:rPr>
                <w:color w:val="231F20"/>
                <w:sz w:val="14"/>
              </w:rPr>
              <w:t>Христа.</w:t>
            </w:r>
          </w:p>
          <w:p w:rsidR="00041039" w:rsidRDefault="001B26CB">
            <w:pPr>
              <w:pStyle w:val="TableParagraph"/>
              <w:numPr>
                <w:ilvl w:val="0"/>
                <w:numId w:val="257"/>
              </w:numPr>
              <w:tabs>
                <w:tab w:val="left" w:pos="158"/>
              </w:tabs>
              <w:spacing w:line="166" w:lineRule="exact"/>
              <w:rPr>
                <w:sz w:val="14"/>
              </w:rPr>
            </w:pPr>
            <w:r>
              <w:rPr>
                <w:color w:val="231F20"/>
                <w:sz w:val="14"/>
              </w:rPr>
              <w:t>Литургијско ­ подвижничко искуство</w:t>
            </w:r>
            <w:r>
              <w:rPr>
                <w:color w:val="231F20"/>
                <w:spacing w:val="-17"/>
                <w:sz w:val="14"/>
              </w:rPr>
              <w:t xml:space="preserve"> </w:t>
            </w:r>
            <w:r>
              <w:rPr>
                <w:color w:val="231F20"/>
                <w:sz w:val="14"/>
              </w:rPr>
              <w:t>вере.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120"/>
        </w:trPr>
        <w:tc>
          <w:tcPr>
            <w:tcW w:w="1304" w:type="dxa"/>
          </w:tcPr>
          <w:p w:rsidR="00041039" w:rsidRDefault="001B26CB">
            <w:pPr>
              <w:pStyle w:val="TableParagraph"/>
              <w:spacing w:before="18"/>
              <w:ind w:left="56"/>
              <w:rPr>
                <w:sz w:val="14"/>
              </w:rPr>
            </w:pPr>
            <w:r>
              <w:rPr>
                <w:color w:val="231F20"/>
                <w:sz w:val="14"/>
              </w:rPr>
              <w:lastRenderedPageBreak/>
              <w:t>Крштење и руко­ положење као сје­ дињење са Христом у литургији</w:t>
            </w:r>
          </w:p>
        </w:tc>
        <w:tc>
          <w:tcPr>
            <w:tcW w:w="1587" w:type="dxa"/>
          </w:tcPr>
          <w:p w:rsidR="00041039" w:rsidRDefault="001B26CB">
            <w:pPr>
              <w:pStyle w:val="TableParagraph"/>
              <w:numPr>
                <w:ilvl w:val="0"/>
                <w:numId w:val="256"/>
              </w:numPr>
              <w:tabs>
                <w:tab w:val="left" w:pos="157"/>
              </w:tabs>
              <w:spacing w:before="8"/>
              <w:ind w:right="174"/>
              <w:rPr>
                <w:sz w:val="14"/>
              </w:rPr>
            </w:pPr>
            <w:r>
              <w:rPr>
                <w:color w:val="231F20"/>
                <w:sz w:val="14"/>
              </w:rPr>
              <w:t>Да ученици схвате да је Бог биће заједнице, с обзиром да је заједница три комплетне</w:t>
            </w:r>
            <w:r>
              <w:rPr>
                <w:color w:val="231F20"/>
                <w:spacing w:val="-12"/>
                <w:sz w:val="14"/>
              </w:rPr>
              <w:t xml:space="preserve"> </w:t>
            </w:r>
            <w:r>
              <w:rPr>
                <w:color w:val="231F20"/>
                <w:sz w:val="14"/>
              </w:rPr>
              <w:t>Личности</w:t>
            </w:r>
          </w:p>
          <w:p w:rsidR="00041039" w:rsidRDefault="001B26CB">
            <w:pPr>
              <w:pStyle w:val="TableParagraph"/>
              <w:numPr>
                <w:ilvl w:val="0"/>
                <w:numId w:val="256"/>
              </w:numPr>
              <w:tabs>
                <w:tab w:val="left" w:pos="157"/>
              </w:tabs>
              <w:spacing w:line="155" w:lineRule="exact"/>
              <w:rPr>
                <w:sz w:val="14"/>
              </w:rPr>
            </w:pPr>
            <w:r>
              <w:rPr>
                <w:color w:val="231F20"/>
                <w:sz w:val="14"/>
              </w:rPr>
              <w:t>Да ученици</w:t>
            </w:r>
            <w:r>
              <w:rPr>
                <w:color w:val="231F20"/>
                <w:spacing w:val="-12"/>
                <w:sz w:val="14"/>
              </w:rPr>
              <w:t xml:space="preserve"> </w:t>
            </w:r>
            <w:r>
              <w:rPr>
                <w:color w:val="231F20"/>
                <w:sz w:val="14"/>
              </w:rPr>
              <w:t>схвате</w:t>
            </w:r>
          </w:p>
          <w:p w:rsidR="00041039" w:rsidRDefault="001B26CB">
            <w:pPr>
              <w:pStyle w:val="TableParagraph"/>
              <w:ind w:right="71"/>
              <w:rPr>
                <w:sz w:val="14"/>
              </w:rPr>
            </w:pPr>
            <w:r>
              <w:rPr>
                <w:color w:val="231F20"/>
                <w:sz w:val="14"/>
              </w:rPr>
              <w:t>да је Црква икона Царства Божијег, које је права истина света.</w:t>
            </w:r>
          </w:p>
        </w:tc>
        <w:tc>
          <w:tcPr>
            <w:tcW w:w="2551" w:type="dxa"/>
          </w:tcPr>
          <w:p w:rsidR="00041039" w:rsidRDefault="001B26CB">
            <w:pPr>
              <w:pStyle w:val="TableParagraph"/>
              <w:numPr>
                <w:ilvl w:val="0"/>
                <w:numId w:val="255"/>
              </w:numPr>
              <w:tabs>
                <w:tab w:val="left" w:pos="157"/>
              </w:tabs>
              <w:spacing w:before="8"/>
              <w:ind w:right="145" w:hanging="99"/>
              <w:rPr>
                <w:sz w:val="14"/>
              </w:rPr>
            </w:pPr>
            <w:r>
              <w:rPr>
                <w:color w:val="231F20"/>
                <w:sz w:val="14"/>
              </w:rPr>
              <w:t>уоче</w:t>
            </w:r>
            <w:r>
              <w:rPr>
                <w:color w:val="231F20"/>
                <w:spacing w:val="-6"/>
                <w:sz w:val="14"/>
              </w:rPr>
              <w:t xml:space="preserve"> </w:t>
            </w:r>
            <w:r>
              <w:rPr>
                <w:color w:val="231F20"/>
                <w:sz w:val="14"/>
              </w:rPr>
              <w:t>да</w:t>
            </w:r>
            <w:r>
              <w:rPr>
                <w:color w:val="231F20"/>
                <w:spacing w:val="-6"/>
                <w:sz w:val="14"/>
              </w:rPr>
              <w:t xml:space="preserve"> </w:t>
            </w:r>
            <w:r>
              <w:rPr>
                <w:color w:val="231F20"/>
                <w:sz w:val="14"/>
              </w:rPr>
              <w:t>је</w:t>
            </w:r>
            <w:r>
              <w:rPr>
                <w:color w:val="231F20"/>
                <w:spacing w:val="-6"/>
                <w:sz w:val="14"/>
              </w:rPr>
              <w:t xml:space="preserve"> </w:t>
            </w:r>
            <w:r>
              <w:rPr>
                <w:color w:val="231F20"/>
                <w:sz w:val="14"/>
              </w:rPr>
              <w:t>подвиг</w:t>
            </w:r>
            <w:r>
              <w:rPr>
                <w:color w:val="231F20"/>
                <w:spacing w:val="-6"/>
                <w:sz w:val="14"/>
              </w:rPr>
              <w:t xml:space="preserve"> </w:t>
            </w:r>
            <w:r>
              <w:rPr>
                <w:color w:val="231F20"/>
                <w:sz w:val="14"/>
              </w:rPr>
              <w:t>неопходно</w:t>
            </w:r>
            <w:r>
              <w:rPr>
                <w:color w:val="231F20"/>
                <w:spacing w:val="-6"/>
                <w:sz w:val="14"/>
              </w:rPr>
              <w:t xml:space="preserve"> </w:t>
            </w:r>
            <w:r>
              <w:rPr>
                <w:color w:val="231F20"/>
                <w:sz w:val="14"/>
              </w:rPr>
              <w:t>средство за остваривање личне заједнице са Богом;</w:t>
            </w:r>
          </w:p>
          <w:p w:rsidR="00041039" w:rsidRDefault="001B26CB">
            <w:pPr>
              <w:pStyle w:val="TableParagraph"/>
              <w:numPr>
                <w:ilvl w:val="0"/>
                <w:numId w:val="255"/>
              </w:numPr>
              <w:tabs>
                <w:tab w:val="left" w:pos="157"/>
              </w:tabs>
              <w:spacing w:line="158" w:lineRule="exact"/>
              <w:ind w:hanging="99"/>
              <w:rPr>
                <w:sz w:val="14"/>
              </w:rPr>
            </w:pPr>
            <w:r>
              <w:rPr>
                <w:color w:val="231F20"/>
                <w:sz w:val="14"/>
              </w:rPr>
              <w:t>уоче да је Бог особа као што смо и</w:t>
            </w:r>
            <w:r>
              <w:rPr>
                <w:color w:val="231F20"/>
                <w:spacing w:val="-12"/>
                <w:sz w:val="14"/>
              </w:rPr>
              <w:t xml:space="preserve"> </w:t>
            </w:r>
            <w:r>
              <w:rPr>
                <w:color w:val="231F20"/>
                <w:sz w:val="14"/>
              </w:rPr>
              <w:t>ми;</w:t>
            </w:r>
          </w:p>
        </w:tc>
        <w:tc>
          <w:tcPr>
            <w:tcW w:w="2834" w:type="dxa"/>
          </w:tcPr>
          <w:p w:rsidR="00041039" w:rsidRDefault="001B26CB">
            <w:pPr>
              <w:pStyle w:val="TableParagraph"/>
              <w:numPr>
                <w:ilvl w:val="0"/>
                <w:numId w:val="254"/>
              </w:numPr>
              <w:tabs>
                <w:tab w:val="left" w:pos="157"/>
              </w:tabs>
              <w:spacing w:before="8"/>
              <w:ind w:right="258" w:hanging="99"/>
              <w:rPr>
                <w:sz w:val="14"/>
              </w:rPr>
            </w:pPr>
            <w:r>
              <w:rPr>
                <w:color w:val="231F20"/>
                <w:sz w:val="14"/>
              </w:rPr>
              <w:t>Лична заједница са Богом ­ основ вере</w:t>
            </w:r>
            <w:r>
              <w:rPr>
                <w:color w:val="231F20"/>
                <w:spacing w:val="-16"/>
                <w:sz w:val="14"/>
              </w:rPr>
              <w:t xml:space="preserve"> </w:t>
            </w:r>
            <w:r>
              <w:rPr>
                <w:color w:val="231F20"/>
                <w:sz w:val="14"/>
              </w:rPr>
              <w:t>у Бога.</w:t>
            </w:r>
          </w:p>
          <w:p w:rsidR="00041039" w:rsidRDefault="001B26CB">
            <w:pPr>
              <w:pStyle w:val="TableParagraph"/>
              <w:numPr>
                <w:ilvl w:val="0"/>
                <w:numId w:val="254"/>
              </w:numPr>
              <w:tabs>
                <w:tab w:val="left" w:pos="157"/>
              </w:tabs>
              <w:spacing w:line="153" w:lineRule="exact"/>
              <w:ind w:hanging="99"/>
              <w:rPr>
                <w:sz w:val="14"/>
              </w:rPr>
            </w:pPr>
            <w:r>
              <w:rPr>
                <w:color w:val="231F20"/>
                <w:sz w:val="14"/>
              </w:rPr>
              <w:t xml:space="preserve">Вера ­ знање ­ </w:t>
            </w:r>
            <w:r>
              <w:rPr>
                <w:color w:val="231F20"/>
                <w:spacing w:val="-3"/>
                <w:sz w:val="14"/>
              </w:rPr>
              <w:t>живот.</w:t>
            </w:r>
          </w:p>
          <w:p w:rsidR="00041039" w:rsidRDefault="001B26CB">
            <w:pPr>
              <w:pStyle w:val="TableParagraph"/>
              <w:numPr>
                <w:ilvl w:val="0"/>
                <w:numId w:val="254"/>
              </w:numPr>
              <w:tabs>
                <w:tab w:val="left" w:pos="157"/>
              </w:tabs>
              <w:spacing w:line="160" w:lineRule="exact"/>
              <w:ind w:hanging="99"/>
              <w:rPr>
                <w:sz w:val="14"/>
              </w:rPr>
            </w:pPr>
            <w:r>
              <w:rPr>
                <w:color w:val="231F20"/>
                <w:sz w:val="14"/>
              </w:rPr>
              <w:t>Бог као биће</w:t>
            </w:r>
            <w:r>
              <w:rPr>
                <w:color w:val="231F20"/>
                <w:spacing w:val="-2"/>
                <w:sz w:val="14"/>
              </w:rPr>
              <w:t xml:space="preserve"> </w:t>
            </w:r>
            <w:r>
              <w:rPr>
                <w:color w:val="231F20"/>
                <w:sz w:val="14"/>
              </w:rPr>
              <w:t>заједнице.</w:t>
            </w:r>
          </w:p>
          <w:p w:rsidR="00041039" w:rsidRDefault="001B26CB">
            <w:pPr>
              <w:pStyle w:val="TableParagraph"/>
              <w:numPr>
                <w:ilvl w:val="0"/>
                <w:numId w:val="254"/>
              </w:numPr>
              <w:tabs>
                <w:tab w:val="left" w:pos="157"/>
              </w:tabs>
              <w:spacing w:line="160" w:lineRule="exact"/>
              <w:ind w:hanging="99"/>
              <w:rPr>
                <w:sz w:val="14"/>
              </w:rPr>
            </w:pPr>
            <w:r>
              <w:rPr>
                <w:color w:val="231F20"/>
                <w:sz w:val="14"/>
              </w:rPr>
              <w:t>Бог као</w:t>
            </w:r>
            <w:r>
              <w:rPr>
                <w:color w:val="231F20"/>
                <w:spacing w:val="-2"/>
                <w:sz w:val="14"/>
              </w:rPr>
              <w:t xml:space="preserve"> </w:t>
            </w:r>
            <w:r>
              <w:rPr>
                <w:color w:val="231F20"/>
                <w:sz w:val="14"/>
              </w:rPr>
              <w:t>личност.</w:t>
            </w:r>
          </w:p>
          <w:p w:rsidR="00041039" w:rsidRDefault="001B26CB">
            <w:pPr>
              <w:pStyle w:val="TableParagraph"/>
              <w:numPr>
                <w:ilvl w:val="0"/>
                <w:numId w:val="254"/>
              </w:numPr>
              <w:tabs>
                <w:tab w:val="left" w:pos="157"/>
              </w:tabs>
              <w:spacing w:line="160" w:lineRule="exact"/>
              <w:ind w:hanging="99"/>
              <w:rPr>
                <w:sz w:val="14"/>
              </w:rPr>
            </w:pPr>
            <w:r>
              <w:rPr>
                <w:color w:val="231F20"/>
                <w:sz w:val="14"/>
              </w:rPr>
              <w:t>Личност или</w:t>
            </w:r>
            <w:r>
              <w:rPr>
                <w:color w:val="231F20"/>
                <w:spacing w:val="-2"/>
                <w:sz w:val="14"/>
              </w:rPr>
              <w:t xml:space="preserve"> </w:t>
            </w:r>
            <w:r>
              <w:rPr>
                <w:color w:val="231F20"/>
                <w:sz w:val="14"/>
              </w:rPr>
              <w:t>индивидуа?</w:t>
            </w:r>
          </w:p>
          <w:p w:rsidR="00041039" w:rsidRDefault="001B26CB">
            <w:pPr>
              <w:pStyle w:val="TableParagraph"/>
              <w:numPr>
                <w:ilvl w:val="0"/>
                <w:numId w:val="254"/>
              </w:numPr>
              <w:tabs>
                <w:tab w:val="left" w:pos="157"/>
              </w:tabs>
              <w:spacing w:line="160" w:lineRule="exact"/>
              <w:ind w:hanging="99"/>
              <w:rPr>
                <w:sz w:val="14"/>
              </w:rPr>
            </w:pPr>
            <w:r>
              <w:rPr>
                <w:color w:val="231F20"/>
                <w:sz w:val="14"/>
              </w:rPr>
              <w:t>Религија или</w:t>
            </w:r>
            <w:r>
              <w:rPr>
                <w:color w:val="231F20"/>
                <w:spacing w:val="-2"/>
                <w:sz w:val="14"/>
              </w:rPr>
              <w:t xml:space="preserve"> </w:t>
            </w:r>
            <w:r>
              <w:rPr>
                <w:color w:val="231F20"/>
                <w:sz w:val="14"/>
              </w:rPr>
              <w:t>црква?</w:t>
            </w:r>
          </w:p>
          <w:p w:rsidR="00041039" w:rsidRDefault="001B26CB">
            <w:pPr>
              <w:pStyle w:val="TableParagraph"/>
              <w:numPr>
                <w:ilvl w:val="0"/>
                <w:numId w:val="254"/>
              </w:numPr>
              <w:tabs>
                <w:tab w:val="left" w:pos="157"/>
              </w:tabs>
              <w:spacing w:line="160" w:lineRule="exact"/>
              <w:ind w:hanging="99"/>
              <w:rPr>
                <w:sz w:val="14"/>
              </w:rPr>
            </w:pPr>
            <w:r>
              <w:rPr>
                <w:color w:val="231F20"/>
                <w:sz w:val="14"/>
              </w:rPr>
              <w:t>Слобода у</w:t>
            </w:r>
            <w:r>
              <w:rPr>
                <w:color w:val="231F20"/>
                <w:spacing w:val="-1"/>
                <w:sz w:val="14"/>
              </w:rPr>
              <w:t xml:space="preserve"> </w:t>
            </w:r>
            <w:r>
              <w:rPr>
                <w:color w:val="231F20"/>
                <w:sz w:val="14"/>
              </w:rPr>
              <w:t>љубави.</w:t>
            </w:r>
          </w:p>
          <w:p w:rsidR="00041039" w:rsidRDefault="001B26CB">
            <w:pPr>
              <w:pStyle w:val="TableParagraph"/>
              <w:numPr>
                <w:ilvl w:val="0"/>
                <w:numId w:val="254"/>
              </w:numPr>
              <w:tabs>
                <w:tab w:val="left" w:pos="157"/>
              </w:tabs>
              <w:spacing w:line="237" w:lineRule="auto"/>
              <w:ind w:right="303" w:hanging="99"/>
              <w:rPr>
                <w:sz w:val="14"/>
              </w:rPr>
            </w:pPr>
            <w:r>
              <w:rPr>
                <w:color w:val="231F20"/>
                <w:sz w:val="14"/>
              </w:rPr>
              <w:t>Црква</w:t>
            </w:r>
            <w:r>
              <w:rPr>
                <w:color w:val="231F20"/>
                <w:spacing w:val="-6"/>
                <w:sz w:val="14"/>
              </w:rPr>
              <w:t xml:space="preserve"> </w:t>
            </w:r>
            <w:r>
              <w:rPr>
                <w:color w:val="231F20"/>
                <w:sz w:val="14"/>
              </w:rPr>
              <w:t>у</w:t>
            </w:r>
            <w:r>
              <w:rPr>
                <w:color w:val="231F20"/>
                <w:spacing w:val="-6"/>
                <w:sz w:val="14"/>
              </w:rPr>
              <w:t xml:space="preserve"> </w:t>
            </w:r>
            <w:r>
              <w:rPr>
                <w:color w:val="231F20"/>
                <w:sz w:val="14"/>
              </w:rPr>
              <w:t>свом</w:t>
            </w:r>
            <w:r>
              <w:rPr>
                <w:color w:val="231F20"/>
                <w:spacing w:val="-6"/>
                <w:sz w:val="14"/>
              </w:rPr>
              <w:t xml:space="preserve"> </w:t>
            </w:r>
            <w:r>
              <w:rPr>
                <w:color w:val="231F20"/>
                <w:sz w:val="14"/>
              </w:rPr>
              <w:t>есхатолошком</w:t>
            </w:r>
            <w:r>
              <w:rPr>
                <w:color w:val="231F20"/>
                <w:spacing w:val="-6"/>
                <w:sz w:val="14"/>
              </w:rPr>
              <w:t xml:space="preserve"> </w:t>
            </w:r>
            <w:r>
              <w:rPr>
                <w:color w:val="231F20"/>
                <w:sz w:val="14"/>
              </w:rPr>
              <w:t>стању</w:t>
            </w:r>
            <w:r>
              <w:rPr>
                <w:color w:val="231F20"/>
                <w:spacing w:val="-7"/>
                <w:sz w:val="14"/>
              </w:rPr>
              <w:t xml:space="preserve"> </w:t>
            </w:r>
            <w:r>
              <w:rPr>
                <w:color w:val="231F20"/>
                <w:sz w:val="14"/>
              </w:rPr>
              <w:t>­</w:t>
            </w:r>
            <w:r>
              <w:rPr>
                <w:color w:val="231F20"/>
                <w:spacing w:val="-6"/>
                <w:sz w:val="14"/>
              </w:rPr>
              <w:t xml:space="preserve"> </w:t>
            </w:r>
            <w:r>
              <w:rPr>
                <w:color w:val="231F20"/>
                <w:sz w:val="14"/>
              </w:rPr>
              <w:t>ис­ тински начин постојања</w:t>
            </w:r>
            <w:r>
              <w:rPr>
                <w:color w:val="231F20"/>
                <w:spacing w:val="-2"/>
                <w:sz w:val="14"/>
              </w:rPr>
              <w:t xml:space="preserve"> </w:t>
            </w:r>
            <w:r>
              <w:rPr>
                <w:color w:val="231F20"/>
                <w:sz w:val="14"/>
              </w:rPr>
              <w:t>света.</w:t>
            </w:r>
          </w:p>
          <w:p w:rsidR="00041039" w:rsidRDefault="001B26CB">
            <w:pPr>
              <w:pStyle w:val="TableParagraph"/>
              <w:numPr>
                <w:ilvl w:val="0"/>
                <w:numId w:val="254"/>
              </w:numPr>
              <w:tabs>
                <w:tab w:val="left" w:pos="157"/>
              </w:tabs>
              <w:spacing w:line="155" w:lineRule="exact"/>
              <w:ind w:hanging="99"/>
              <w:rPr>
                <w:sz w:val="14"/>
              </w:rPr>
            </w:pPr>
            <w:r>
              <w:rPr>
                <w:color w:val="231F20"/>
                <w:sz w:val="14"/>
              </w:rPr>
              <w:t>Егоизам или</w:t>
            </w:r>
            <w:r>
              <w:rPr>
                <w:color w:val="231F20"/>
                <w:spacing w:val="-2"/>
                <w:sz w:val="14"/>
              </w:rPr>
              <w:t xml:space="preserve"> </w:t>
            </w:r>
            <w:r>
              <w:rPr>
                <w:color w:val="231F20"/>
                <w:sz w:val="14"/>
              </w:rPr>
              <w:t>љубав?</w:t>
            </w:r>
          </w:p>
          <w:p w:rsidR="00041039" w:rsidRDefault="001B26CB">
            <w:pPr>
              <w:pStyle w:val="TableParagraph"/>
              <w:numPr>
                <w:ilvl w:val="0"/>
                <w:numId w:val="254"/>
              </w:numPr>
              <w:tabs>
                <w:tab w:val="left" w:pos="157"/>
              </w:tabs>
              <w:spacing w:line="160" w:lineRule="exact"/>
              <w:ind w:hanging="99"/>
              <w:rPr>
                <w:sz w:val="14"/>
              </w:rPr>
            </w:pPr>
            <w:r>
              <w:rPr>
                <w:color w:val="231F20"/>
                <w:sz w:val="14"/>
              </w:rPr>
              <w:t>Свет ­ дело воље</w:t>
            </w:r>
            <w:r>
              <w:rPr>
                <w:color w:val="231F20"/>
                <w:spacing w:val="-2"/>
                <w:sz w:val="14"/>
              </w:rPr>
              <w:t xml:space="preserve"> </w:t>
            </w:r>
            <w:r>
              <w:rPr>
                <w:color w:val="231F20"/>
                <w:sz w:val="14"/>
              </w:rPr>
              <w:t>Божије.</w:t>
            </w:r>
          </w:p>
          <w:p w:rsidR="00041039" w:rsidRDefault="001B26CB">
            <w:pPr>
              <w:pStyle w:val="TableParagraph"/>
              <w:numPr>
                <w:ilvl w:val="0"/>
                <w:numId w:val="254"/>
              </w:numPr>
              <w:tabs>
                <w:tab w:val="left" w:pos="157"/>
              </w:tabs>
              <w:spacing w:line="166" w:lineRule="exact"/>
              <w:ind w:hanging="99"/>
              <w:rPr>
                <w:sz w:val="14"/>
              </w:rPr>
            </w:pPr>
            <w:r>
              <w:rPr>
                <w:color w:val="231F20"/>
                <w:sz w:val="14"/>
              </w:rPr>
              <w:t>Слобода Божија и слобода</w:t>
            </w:r>
            <w:r>
              <w:rPr>
                <w:color w:val="231F20"/>
                <w:spacing w:val="-4"/>
                <w:sz w:val="14"/>
              </w:rPr>
              <w:t xml:space="preserve"> </w:t>
            </w:r>
            <w:r>
              <w:rPr>
                <w:color w:val="231F20"/>
                <w:sz w:val="14"/>
              </w:rPr>
              <w:t>света.</w:t>
            </w:r>
          </w:p>
        </w:tc>
        <w:tc>
          <w:tcPr>
            <w:tcW w:w="2267" w:type="dxa"/>
            <w:vMerge w:val="restart"/>
          </w:tcPr>
          <w:p w:rsidR="00041039" w:rsidRDefault="001B26CB">
            <w:pPr>
              <w:pStyle w:val="TableParagraph"/>
              <w:numPr>
                <w:ilvl w:val="0"/>
                <w:numId w:val="253"/>
              </w:numPr>
              <w:tabs>
                <w:tab w:val="left" w:pos="158"/>
              </w:tabs>
              <w:spacing w:before="8"/>
              <w:ind w:right="382" w:hanging="99"/>
              <w:rPr>
                <w:b/>
                <w:sz w:val="14"/>
              </w:rPr>
            </w:pPr>
            <w:r>
              <w:rPr>
                <w:color w:val="231F20"/>
                <w:sz w:val="14"/>
              </w:rPr>
              <w:t xml:space="preserve">Познање Бога кроз Христа­у цркви </w:t>
            </w:r>
            <w:r>
              <w:rPr>
                <w:b/>
                <w:color w:val="231F20"/>
                <w:sz w:val="14"/>
              </w:rPr>
              <w:t>(3</w:t>
            </w:r>
            <w:r>
              <w:rPr>
                <w:b/>
                <w:color w:val="231F20"/>
                <w:spacing w:val="-2"/>
                <w:sz w:val="14"/>
              </w:rPr>
              <w:t xml:space="preserve"> </w:t>
            </w:r>
            <w:r>
              <w:rPr>
                <w:b/>
                <w:color w:val="231F20"/>
                <w:sz w:val="14"/>
              </w:rPr>
              <w:t>часа)</w:t>
            </w:r>
          </w:p>
          <w:p w:rsidR="00041039" w:rsidRDefault="001B26CB">
            <w:pPr>
              <w:pStyle w:val="TableParagraph"/>
              <w:numPr>
                <w:ilvl w:val="0"/>
                <w:numId w:val="253"/>
              </w:numPr>
              <w:tabs>
                <w:tab w:val="left" w:pos="158"/>
              </w:tabs>
              <w:spacing w:line="160" w:lineRule="exact"/>
              <w:ind w:right="47" w:hanging="99"/>
              <w:rPr>
                <w:b/>
                <w:sz w:val="14"/>
              </w:rPr>
            </w:pPr>
            <w:r>
              <w:rPr>
                <w:color w:val="231F20"/>
                <w:sz w:val="14"/>
              </w:rPr>
              <w:t>Крштење и рукоположење као</w:t>
            </w:r>
            <w:r>
              <w:rPr>
                <w:color w:val="231F20"/>
                <w:spacing w:val="-23"/>
                <w:sz w:val="14"/>
              </w:rPr>
              <w:t xml:space="preserve"> </w:t>
            </w:r>
            <w:r>
              <w:rPr>
                <w:color w:val="231F20"/>
                <w:sz w:val="14"/>
              </w:rPr>
              <w:t xml:space="preserve">сје­ дињење са Христом у </w:t>
            </w:r>
            <w:r>
              <w:rPr>
                <w:color w:val="231F20"/>
                <w:sz w:val="14"/>
              </w:rPr>
              <w:t xml:space="preserve">литургији </w:t>
            </w:r>
            <w:r>
              <w:rPr>
                <w:b/>
                <w:color w:val="231F20"/>
                <w:sz w:val="14"/>
              </w:rPr>
              <w:t>(18</w:t>
            </w:r>
            <w:r>
              <w:rPr>
                <w:b/>
                <w:color w:val="231F20"/>
                <w:spacing w:val="-1"/>
                <w:sz w:val="14"/>
              </w:rPr>
              <w:t xml:space="preserve"> </w:t>
            </w:r>
            <w:r>
              <w:rPr>
                <w:b/>
                <w:color w:val="231F20"/>
                <w:sz w:val="14"/>
              </w:rPr>
              <w:t>часова)</w:t>
            </w:r>
          </w:p>
          <w:p w:rsidR="00041039" w:rsidRDefault="001B26CB">
            <w:pPr>
              <w:pStyle w:val="TableParagraph"/>
              <w:numPr>
                <w:ilvl w:val="0"/>
                <w:numId w:val="253"/>
              </w:numPr>
              <w:tabs>
                <w:tab w:val="left" w:pos="158"/>
              </w:tabs>
              <w:spacing w:line="160" w:lineRule="exact"/>
              <w:ind w:right="83" w:hanging="99"/>
              <w:rPr>
                <w:b/>
                <w:sz w:val="14"/>
              </w:rPr>
            </w:pPr>
            <w:r>
              <w:rPr>
                <w:color w:val="231F20"/>
                <w:sz w:val="14"/>
              </w:rPr>
              <w:t>Сликарство као израз човековог односа према Богу и свету који</w:t>
            </w:r>
            <w:r>
              <w:rPr>
                <w:color w:val="231F20"/>
                <w:spacing w:val="-22"/>
                <w:sz w:val="14"/>
              </w:rPr>
              <w:t xml:space="preserve"> </w:t>
            </w:r>
            <w:r>
              <w:rPr>
                <w:color w:val="231F20"/>
                <w:sz w:val="14"/>
              </w:rPr>
              <w:t xml:space="preserve">га окружује </w:t>
            </w:r>
            <w:r>
              <w:rPr>
                <w:b/>
                <w:color w:val="231F20"/>
                <w:sz w:val="14"/>
              </w:rPr>
              <w:t>(7</w:t>
            </w:r>
            <w:r>
              <w:rPr>
                <w:b/>
                <w:color w:val="231F20"/>
                <w:spacing w:val="-2"/>
                <w:sz w:val="14"/>
              </w:rPr>
              <w:t xml:space="preserve"> </w:t>
            </w:r>
            <w:r>
              <w:rPr>
                <w:b/>
                <w:color w:val="231F20"/>
                <w:sz w:val="14"/>
              </w:rPr>
              <w:t>часова)</w:t>
            </w:r>
          </w:p>
        </w:tc>
      </w:tr>
      <w:tr w:rsidR="00041039">
        <w:trPr>
          <w:trHeight w:val="1320"/>
        </w:trPr>
        <w:tc>
          <w:tcPr>
            <w:tcW w:w="1304" w:type="dxa"/>
          </w:tcPr>
          <w:p w:rsidR="00041039" w:rsidRDefault="001B26CB">
            <w:pPr>
              <w:pStyle w:val="TableParagraph"/>
              <w:spacing w:before="18"/>
              <w:ind w:left="56" w:right="101"/>
              <w:rPr>
                <w:sz w:val="14"/>
              </w:rPr>
            </w:pPr>
            <w:r>
              <w:rPr>
                <w:color w:val="231F20"/>
                <w:sz w:val="14"/>
              </w:rPr>
              <w:t>Сликарство као израз човековог односа према Богу и свету који га окружује</w:t>
            </w:r>
          </w:p>
        </w:tc>
        <w:tc>
          <w:tcPr>
            <w:tcW w:w="1587" w:type="dxa"/>
          </w:tcPr>
          <w:p w:rsidR="00041039" w:rsidRDefault="001B26CB">
            <w:pPr>
              <w:pStyle w:val="TableParagraph"/>
              <w:numPr>
                <w:ilvl w:val="0"/>
                <w:numId w:val="252"/>
              </w:numPr>
              <w:tabs>
                <w:tab w:val="left" w:pos="157"/>
              </w:tabs>
              <w:spacing w:before="8"/>
              <w:ind w:right="186"/>
              <w:rPr>
                <w:sz w:val="14"/>
              </w:rPr>
            </w:pPr>
            <w:r>
              <w:rPr>
                <w:color w:val="231F20"/>
                <w:sz w:val="14"/>
              </w:rPr>
              <w:t>Да се црквена уметност препознаје на основу тога што се слобода уметника изражава као</w:t>
            </w:r>
            <w:r>
              <w:rPr>
                <w:color w:val="231F20"/>
                <w:spacing w:val="-8"/>
                <w:sz w:val="14"/>
              </w:rPr>
              <w:t xml:space="preserve"> </w:t>
            </w:r>
            <w:r>
              <w:rPr>
                <w:color w:val="231F20"/>
                <w:sz w:val="14"/>
              </w:rPr>
              <w:t>љубав</w:t>
            </w:r>
          </w:p>
          <w:p w:rsidR="00041039" w:rsidRDefault="001B26CB">
            <w:pPr>
              <w:pStyle w:val="TableParagraph"/>
              <w:spacing w:line="237" w:lineRule="auto"/>
              <w:ind w:right="93"/>
              <w:jc w:val="both"/>
              <w:rPr>
                <w:sz w:val="14"/>
              </w:rPr>
            </w:pPr>
            <w:r>
              <w:rPr>
                <w:color w:val="231F20"/>
                <w:sz w:val="14"/>
              </w:rPr>
              <w:t>према Богу за</w:t>
            </w:r>
            <w:r>
              <w:rPr>
                <w:color w:val="231F20"/>
                <w:spacing w:val="-11"/>
                <w:sz w:val="14"/>
              </w:rPr>
              <w:t xml:space="preserve"> </w:t>
            </w:r>
            <w:r>
              <w:rPr>
                <w:color w:val="231F20"/>
                <w:sz w:val="14"/>
              </w:rPr>
              <w:t xml:space="preserve">разлику </w:t>
            </w:r>
            <w:r>
              <w:rPr>
                <w:color w:val="231F20"/>
                <w:spacing w:val="-3"/>
                <w:sz w:val="14"/>
              </w:rPr>
              <w:t xml:space="preserve">од </w:t>
            </w:r>
            <w:r>
              <w:rPr>
                <w:color w:val="231F20"/>
                <w:sz w:val="14"/>
              </w:rPr>
              <w:t>световне која тежи промени</w:t>
            </w:r>
            <w:r>
              <w:rPr>
                <w:color w:val="231F20"/>
                <w:spacing w:val="-1"/>
                <w:sz w:val="14"/>
              </w:rPr>
              <w:t xml:space="preserve"> </w:t>
            </w:r>
            <w:r>
              <w:rPr>
                <w:color w:val="231F20"/>
                <w:sz w:val="14"/>
              </w:rPr>
              <w:t>форме.</w:t>
            </w:r>
          </w:p>
        </w:tc>
        <w:tc>
          <w:tcPr>
            <w:tcW w:w="2551" w:type="dxa"/>
          </w:tcPr>
          <w:p w:rsidR="00041039" w:rsidRDefault="001B26CB">
            <w:pPr>
              <w:pStyle w:val="TableParagraph"/>
              <w:numPr>
                <w:ilvl w:val="0"/>
                <w:numId w:val="251"/>
              </w:numPr>
              <w:tabs>
                <w:tab w:val="left" w:pos="157"/>
              </w:tabs>
              <w:spacing w:before="9"/>
              <w:ind w:right="73" w:hanging="99"/>
              <w:rPr>
                <w:sz w:val="14"/>
              </w:rPr>
            </w:pPr>
            <w:r>
              <w:rPr>
                <w:color w:val="231F20"/>
                <w:sz w:val="14"/>
              </w:rPr>
              <w:t>уоче разлику између црквеног и</w:t>
            </w:r>
            <w:r>
              <w:rPr>
                <w:color w:val="231F20"/>
                <w:spacing w:val="-21"/>
                <w:sz w:val="14"/>
              </w:rPr>
              <w:t xml:space="preserve"> </w:t>
            </w:r>
            <w:r>
              <w:rPr>
                <w:color w:val="231F20"/>
                <w:sz w:val="14"/>
              </w:rPr>
              <w:t>свето­ вног</w:t>
            </w:r>
            <w:r>
              <w:rPr>
                <w:color w:val="231F20"/>
                <w:spacing w:val="-2"/>
                <w:sz w:val="14"/>
              </w:rPr>
              <w:t xml:space="preserve"> </w:t>
            </w:r>
            <w:r>
              <w:rPr>
                <w:color w:val="231F20"/>
                <w:sz w:val="14"/>
              </w:rPr>
              <w:t>сликарства;</w:t>
            </w:r>
          </w:p>
        </w:tc>
        <w:tc>
          <w:tcPr>
            <w:tcW w:w="2834" w:type="dxa"/>
          </w:tcPr>
          <w:p w:rsidR="00041039" w:rsidRDefault="001B26CB">
            <w:pPr>
              <w:pStyle w:val="TableParagraph"/>
              <w:numPr>
                <w:ilvl w:val="0"/>
                <w:numId w:val="250"/>
              </w:numPr>
              <w:tabs>
                <w:tab w:val="left" w:pos="157"/>
              </w:tabs>
              <w:spacing w:before="9" w:line="166" w:lineRule="exact"/>
              <w:ind w:hanging="99"/>
              <w:rPr>
                <w:sz w:val="14"/>
              </w:rPr>
            </w:pPr>
            <w:r>
              <w:rPr>
                <w:color w:val="231F20"/>
                <w:sz w:val="14"/>
              </w:rPr>
              <w:t>Истина света ­ царство</w:t>
            </w:r>
            <w:r>
              <w:rPr>
                <w:color w:val="231F20"/>
                <w:spacing w:val="-16"/>
                <w:sz w:val="14"/>
              </w:rPr>
              <w:t xml:space="preserve"> </w:t>
            </w:r>
            <w:r>
              <w:rPr>
                <w:color w:val="231F20"/>
                <w:sz w:val="14"/>
              </w:rPr>
              <w:t>божије.</w:t>
            </w:r>
          </w:p>
          <w:p w:rsidR="00041039" w:rsidRDefault="001B26CB">
            <w:pPr>
              <w:pStyle w:val="TableParagraph"/>
              <w:numPr>
                <w:ilvl w:val="0"/>
                <w:numId w:val="250"/>
              </w:numPr>
              <w:tabs>
                <w:tab w:val="left" w:pos="157"/>
              </w:tabs>
              <w:spacing w:line="237" w:lineRule="auto"/>
              <w:ind w:right="134" w:hanging="99"/>
              <w:rPr>
                <w:sz w:val="14"/>
              </w:rPr>
            </w:pPr>
            <w:r>
              <w:rPr>
                <w:color w:val="231F20"/>
                <w:sz w:val="14"/>
              </w:rPr>
              <w:t>Икона и истина ­ разлика између</w:t>
            </w:r>
            <w:r>
              <w:rPr>
                <w:color w:val="231F20"/>
                <w:spacing w:val="-24"/>
                <w:sz w:val="14"/>
              </w:rPr>
              <w:t xml:space="preserve"> </w:t>
            </w:r>
            <w:r>
              <w:rPr>
                <w:color w:val="231F20"/>
                <w:sz w:val="14"/>
              </w:rPr>
              <w:t>црквеног и световног</w:t>
            </w:r>
            <w:r>
              <w:rPr>
                <w:color w:val="231F20"/>
                <w:spacing w:val="-2"/>
                <w:sz w:val="14"/>
              </w:rPr>
              <w:t xml:space="preserve"> </w:t>
            </w:r>
            <w:r>
              <w:rPr>
                <w:color w:val="231F20"/>
                <w:sz w:val="14"/>
              </w:rPr>
              <w:t>сликарства.</w:t>
            </w:r>
          </w:p>
        </w:tc>
        <w:tc>
          <w:tcPr>
            <w:tcW w:w="2267" w:type="dxa"/>
            <w:vMerge/>
            <w:tcBorders>
              <w:top w:val="nil"/>
            </w:tcBorders>
          </w:tcPr>
          <w:p w:rsidR="00041039" w:rsidRDefault="00041039">
            <w:pPr>
              <w:rPr>
                <w:sz w:val="2"/>
                <w:szCs w:val="2"/>
              </w:rPr>
            </w:pPr>
          </w:p>
        </w:tc>
      </w:tr>
    </w:tbl>
    <w:p w:rsidR="00041039" w:rsidRDefault="00041039">
      <w:pPr>
        <w:pStyle w:val="BodyText"/>
        <w:spacing w:before="6"/>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други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736"/>
        </w:trPr>
        <w:tc>
          <w:tcPr>
            <w:tcW w:w="1304" w:type="dxa"/>
            <w:tcBorders>
              <w:bottom w:val="nil"/>
            </w:tcBorders>
          </w:tcPr>
          <w:p w:rsidR="00041039" w:rsidRDefault="001B26CB">
            <w:pPr>
              <w:pStyle w:val="TableParagraph"/>
              <w:spacing w:before="18"/>
              <w:ind w:left="56" w:right="17"/>
              <w:rPr>
                <w:sz w:val="14"/>
              </w:rPr>
            </w:pPr>
            <w:r>
              <w:rPr>
                <w:color w:val="231F20"/>
                <w:sz w:val="14"/>
              </w:rPr>
              <w:t>Света Тројица један Бог (Бог као биће заједнице слободе, љубави)</w:t>
            </w:r>
          </w:p>
        </w:tc>
        <w:tc>
          <w:tcPr>
            <w:tcW w:w="1587" w:type="dxa"/>
            <w:vMerge w:val="restart"/>
          </w:tcPr>
          <w:p w:rsidR="00041039" w:rsidRDefault="001B26CB">
            <w:pPr>
              <w:pStyle w:val="TableParagraph"/>
              <w:numPr>
                <w:ilvl w:val="0"/>
                <w:numId w:val="249"/>
              </w:numPr>
              <w:tabs>
                <w:tab w:val="left" w:pos="157"/>
              </w:tabs>
              <w:spacing w:before="8"/>
              <w:ind w:right="74"/>
              <w:rPr>
                <w:sz w:val="14"/>
              </w:rPr>
            </w:pPr>
            <w:r>
              <w:rPr>
                <w:color w:val="231F20"/>
                <w:sz w:val="14"/>
              </w:rPr>
              <w:t>Да ученици уоче да је Бог једна конкретна личност, биће</w:t>
            </w:r>
            <w:r>
              <w:rPr>
                <w:color w:val="231F20"/>
                <w:spacing w:val="-15"/>
                <w:sz w:val="14"/>
              </w:rPr>
              <w:t xml:space="preserve"> </w:t>
            </w:r>
            <w:r>
              <w:rPr>
                <w:color w:val="231F20"/>
                <w:sz w:val="14"/>
              </w:rPr>
              <w:t>заједни­ це, слободе и љубави са Сином и Светим Духом.</w:t>
            </w:r>
          </w:p>
        </w:tc>
        <w:tc>
          <w:tcPr>
            <w:tcW w:w="2551" w:type="dxa"/>
            <w:vMerge w:val="restart"/>
          </w:tcPr>
          <w:p w:rsidR="00041039" w:rsidRDefault="001B26CB">
            <w:pPr>
              <w:pStyle w:val="TableParagraph"/>
              <w:numPr>
                <w:ilvl w:val="0"/>
                <w:numId w:val="248"/>
              </w:numPr>
              <w:tabs>
                <w:tab w:val="left" w:pos="157"/>
              </w:tabs>
              <w:spacing w:before="8"/>
              <w:ind w:right="102" w:hanging="99"/>
              <w:rPr>
                <w:sz w:val="14"/>
              </w:rPr>
            </w:pPr>
            <w:r>
              <w:rPr>
                <w:color w:val="231F20"/>
                <w:sz w:val="14"/>
              </w:rPr>
              <w:t>правилно дефинише појмове као што су; личност, слобода, љубав на</w:t>
            </w:r>
            <w:r>
              <w:rPr>
                <w:color w:val="231F20"/>
                <w:spacing w:val="-27"/>
                <w:sz w:val="14"/>
              </w:rPr>
              <w:t xml:space="preserve"> </w:t>
            </w:r>
            <w:r>
              <w:rPr>
                <w:color w:val="231F20"/>
                <w:sz w:val="14"/>
              </w:rPr>
              <w:t>основу учења о Светој</w:t>
            </w:r>
            <w:r>
              <w:rPr>
                <w:color w:val="231F20"/>
                <w:spacing w:val="-2"/>
                <w:sz w:val="14"/>
              </w:rPr>
              <w:t xml:space="preserve"> </w:t>
            </w:r>
            <w:r>
              <w:rPr>
                <w:color w:val="231F20"/>
                <w:sz w:val="14"/>
              </w:rPr>
              <w:t>Тројици;</w:t>
            </w:r>
          </w:p>
        </w:tc>
        <w:tc>
          <w:tcPr>
            <w:tcW w:w="2834" w:type="dxa"/>
            <w:tcBorders>
              <w:bottom w:val="nil"/>
            </w:tcBorders>
          </w:tcPr>
          <w:p w:rsidR="00041039" w:rsidRDefault="001B26CB">
            <w:pPr>
              <w:pStyle w:val="TableParagraph"/>
              <w:numPr>
                <w:ilvl w:val="0"/>
                <w:numId w:val="247"/>
              </w:numPr>
              <w:tabs>
                <w:tab w:val="left" w:pos="157"/>
              </w:tabs>
              <w:spacing w:before="8"/>
              <w:ind w:hanging="99"/>
              <w:rPr>
                <w:sz w:val="14"/>
              </w:rPr>
            </w:pPr>
            <w:r>
              <w:rPr>
                <w:color w:val="231F20"/>
                <w:sz w:val="14"/>
              </w:rPr>
              <w:t>Вера у Бога у Старом</w:t>
            </w:r>
            <w:r>
              <w:rPr>
                <w:color w:val="231F20"/>
                <w:spacing w:val="-2"/>
                <w:sz w:val="14"/>
              </w:rPr>
              <w:t xml:space="preserve"> </w:t>
            </w:r>
            <w:r>
              <w:rPr>
                <w:color w:val="231F20"/>
                <w:spacing w:val="-3"/>
                <w:sz w:val="14"/>
              </w:rPr>
              <w:t>Завету.</w:t>
            </w:r>
          </w:p>
        </w:tc>
        <w:tc>
          <w:tcPr>
            <w:tcW w:w="2267" w:type="dxa"/>
            <w:tcBorders>
              <w:bottom w:val="nil"/>
            </w:tcBorders>
          </w:tcPr>
          <w:p w:rsidR="00041039" w:rsidRDefault="001B26CB">
            <w:pPr>
              <w:pStyle w:val="TableParagraph"/>
              <w:numPr>
                <w:ilvl w:val="0"/>
                <w:numId w:val="246"/>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tc>
      </w:tr>
      <w:tr w:rsidR="00041039">
        <w:trPr>
          <w:trHeight w:val="25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vMerge w:val="restart"/>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45"/>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tc>
      </w:tr>
      <w:tr w:rsidR="00041039">
        <w:trPr>
          <w:trHeight w:val="1006"/>
        </w:trPr>
        <w:tc>
          <w:tcPr>
            <w:tcW w:w="1304" w:type="dxa"/>
            <w:tcBorders>
              <w:bottom w:val="nil"/>
            </w:tcBorders>
          </w:tcPr>
          <w:p w:rsidR="00041039" w:rsidRDefault="001B26CB">
            <w:pPr>
              <w:pStyle w:val="TableParagraph"/>
              <w:spacing w:before="19"/>
              <w:ind w:left="56" w:right="115"/>
              <w:jc w:val="both"/>
              <w:rPr>
                <w:sz w:val="14"/>
              </w:rPr>
            </w:pPr>
            <w:r>
              <w:rPr>
                <w:color w:val="231F20"/>
                <w:sz w:val="14"/>
              </w:rPr>
              <w:t>Онтолошке после­ дице вере у Свету Тројицу као</w:t>
            </w:r>
            <w:r>
              <w:rPr>
                <w:color w:val="231F20"/>
                <w:spacing w:val="-11"/>
                <w:sz w:val="14"/>
              </w:rPr>
              <w:t xml:space="preserve"> </w:t>
            </w:r>
            <w:r>
              <w:rPr>
                <w:color w:val="231F20"/>
                <w:sz w:val="14"/>
              </w:rPr>
              <w:t>једног Бога</w:t>
            </w:r>
          </w:p>
        </w:tc>
        <w:tc>
          <w:tcPr>
            <w:tcW w:w="1587" w:type="dxa"/>
            <w:vMerge w:val="restart"/>
          </w:tcPr>
          <w:p w:rsidR="00041039" w:rsidRDefault="001B26CB">
            <w:pPr>
              <w:pStyle w:val="TableParagraph"/>
              <w:numPr>
                <w:ilvl w:val="0"/>
                <w:numId w:val="244"/>
              </w:numPr>
              <w:tabs>
                <w:tab w:val="left" w:pos="157"/>
              </w:tabs>
              <w:spacing w:before="9"/>
              <w:ind w:right="150"/>
              <w:rPr>
                <w:sz w:val="14"/>
              </w:rPr>
            </w:pPr>
            <w:r>
              <w:rPr>
                <w:color w:val="231F20"/>
                <w:sz w:val="14"/>
              </w:rPr>
              <w:t>Да се слобода</w:t>
            </w:r>
            <w:r>
              <w:rPr>
                <w:color w:val="231F20"/>
                <w:spacing w:val="-11"/>
                <w:sz w:val="14"/>
              </w:rPr>
              <w:t xml:space="preserve"> </w:t>
            </w:r>
            <w:r>
              <w:rPr>
                <w:color w:val="231F20"/>
                <w:sz w:val="14"/>
              </w:rPr>
              <w:t>лично­ сти у Богу изражава као љубав према другој</w:t>
            </w:r>
            <w:r>
              <w:rPr>
                <w:color w:val="231F20"/>
                <w:spacing w:val="-1"/>
                <w:sz w:val="14"/>
              </w:rPr>
              <w:t xml:space="preserve"> </w:t>
            </w:r>
            <w:r>
              <w:rPr>
                <w:color w:val="231F20"/>
                <w:sz w:val="14"/>
              </w:rPr>
              <w:t>личности.</w:t>
            </w:r>
          </w:p>
        </w:tc>
        <w:tc>
          <w:tcPr>
            <w:tcW w:w="2551" w:type="dxa"/>
            <w:vMerge w:val="restart"/>
          </w:tcPr>
          <w:p w:rsidR="00041039" w:rsidRDefault="001B26CB">
            <w:pPr>
              <w:pStyle w:val="TableParagraph"/>
              <w:numPr>
                <w:ilvl w:val="0"/>
                <w:numId w:val="243"/>
              </w:numPr>
              <w:tabs>
                <w:tab w:val="left" w:pos="157"/>
              </w:tabs>
              <w:spacing w:before="9"/>
              <w:ind w:right="132" w:hanging="99"/>
              <w:rPr>
                <w:sz w:val="14"/>
              </w:rPr>
            </w:pPr>
            <w:r>
              <w:rPr>
                <w:color w:val="231F20"/>
                <w:sz w:val="14"/>
              </w:rPr>
              <w:t>Ученици треба да запазе да је литур­ гија икона начина Божијег</w:t>
            </w:r>
            <w:r>
              <w:rPr>
                <w:color w:val="231F20"/>
                <w:spacing w:val="-23"/>
                <w:sz w:val="14"/>
              </w:rPr>
              <w:t xml:space="preserve"> </w:t>
            </w:r>
            <w:r>
              <w:rPr>
                <w:color w:val="231F20"/>
                <w:sz w:val="14"/>
              </w:rPr>
              <w:t>постојања;</w:t>
            </w:r>
          </w:p>
        </w:tc>
        <w:tc>
          <w:tcPr>
            <w:tcW w:w="2834" w:type="dxa"/>
            <w:vMerge w:val="restart"/>
          </w:tcPr>
          <w:p w:rsidR="00041039" w:rsidRDefault="001B26CB">
            <w:pPr>
              <w:pStyle w:val="TableParagraph"/>
              <w:numPr>
                <w:ilvl w:val="0"/>
                <w:numId w:val="242"/>
              </w:numPr>
              <w:tabs>
                <w:tab w:val="left" w:pos="157"/>
              </w:tabs>
              <w:spacing w:before="9"/>
              <w:ind w:right="43" w:hanging="99"/>
              <w:rPr>
                <w:sz w:val="14"/>
              </w:rPr>
            </w:pPr>
            <w:r>
              <w:rPr>
                <w:color w:val="231F20"/>
                <w:sz w:val="14"/>
              </w:rPr>
              <w:t>Један Бог је Отац ­ конкретна личност</w:t>
            </w:r>
            <w:r>
              <w:rPr>
                <w:color w:val="231F20"/>
                <w:spacing w:val="-21"/>
                <w:sz w:val="14"/>
              </w:rPr>
              <w:t xml:space="preserve"> </w:t>
            </w:r>
            <w:r>
              <w:rPr>
                <w:color w:val="231F20"/>
                <w:sz w:val="14"/>
              </w:rPr>
              <w:t>(биб­ лијска и Свето отачка</w:t>
            </w:r>
            <w:r>
              <w:rPr>
                <w:color w:val="231F20"/>
                <w:spacing w:val="-8"/>
                <w:sz w:val="14"/>
              </w:rPr>
              <w:t xml:space="preserve"> </w:t>
            </w:r>
            <w:r>
              <w:rPr>
                <w:color w:val="231F20"/>
                <w:sz w:val="14"/>
              </w:rPr>
              <w:t>сведочанства).</w:t>
            </w:r>
          </w:p>
          <w:p w:rsidR="00041039" w:rsidRDefault="001B26CB">
            <w:pPr>
              <w:pStyle w:val="TableParagraph"/>
              <w:numPr>
                <w:ilvl w:val="0"/>
                <w:numId w:val="242"/>
              </w:numPr>
              <w:tabs>
                <w:tab w:val="left" w:pos="157"/>
              </w:tabs>
              <w:spacing w:line="160" w:lineRule="exact"/>
              <w:ind w:right="226" w:hanging="99"/>
              <w:rPr>
                <w:sz w:val="14"/>
              </w:rPr>
            </w:pPr>
            <w:r>
              <w:rPr>
                <w:color w:val="231F20"/>
                <w:sz w:val="14"/>
              </w:rPr>
              <w:t>Исус Христос ­ Син Божији (библијска</w:t>
            </w:r>
            <w:r>
              <w:rPr>
                <w:color w:val="231F20"/>
                <w:spacing w:val="-21"/>
                <w:sz w:val="14"/>
              </w:rPr>
              <w:t xml:space="preserve"> </w:t>
            </w:r>
            <w:r>
              <w:rPr>
                <w:color w:val="231F20"/>
                <w:sz w:val="14"/>
              </w:rPr>
              <w:t>и Свето отачка</w:t>
            </w:r>
            <w:r>
              <w:rPr>
                <w:color w:val="231F20"/>
                <w:spacing w:val="-2"/>
                <w:sz w:val="14"/>
              </w:rPr>
              <w:t xml:space="preserve"> </w:t>
            </w:r>
            <w:r>
              <w:rPr>
                <w:color w:val="231F20"/>
                <w:sz w:val="14"/>
              </w:rPr>
              <w:t>сведочанства).</w:t>
            </w:r>
          </w:p>
          <w:p w:rsidR="00041039" w:rsidRDefault="001B26CB">
            <w:pPr>
              <w:pStyle w:val="TableParagraph"/>
              <w:numPr>
                <w:ilvl w:val="0"/>
                <w:numId w:val="242"/>
              </w:numPr>
              <w:tabs>
                <w:tab w:val="left" w:pos="157"/>
              </w:tabs>
              <w:spacing w:line="160" w:lineRule="exact"/>
              <w:ind w:right="46" w:hanging="99"/>
              <w:rPr>
                <w:sz w:val="14"/>
              </w:rPr>
            </w:pPr>
            <w:r>
              <w:rPr>
                <w:color w:val="231F20"/>
                <w:sz w:val="14"/>
              </w:rPr>
              <w:t>Свети Дух ­ треће лице Свете Тројице</w:t>
            </w:r>
            <w:r>
              <w:rPr>
                <w:color w:val="231F20"/>
                <w:spacing w:val="-14"/>
                <w:sz w:val="14"/>
              </w:rPr>
              <w:t xml:space="preserve"> </w:t>
            </w:r>
            <w:r>
              <w:rPr>
                <w:color w:val="231F20"/>
                <w:sz w:val="14"/>
              </w:rPr>
              <w:t>(биб­ лијска и Свето отачка</w:t>
            </w:r>
            <w:r>
              <w:rPr>
                <w:color w:val="231F20"/>
                <w:spacing w:val="-8"/>
                <w:sz w:val="14"/>
              </w:rPr>
              <w:t xml:space="preserve"> </w:t>
            </w:r>
            <w:r>
              <w:rPr>
                <w:color w:val="231F20"/>
                <w:sz w:val="14"/>
              </w:rPr>
              <w:t>сведочанства).</w:t>
            </w:r>
          </w:p>
          <w:p w:rsidR="00041039" w:rsidRDefault="001B26CB">
            <w:pPr>
              <w:pStyle w:val="TableParagraph"/>
              <w:numPr>
                <w:ilvl w:val="0"/>
                <w:numId w:val="242"/>
              </w:numPr>
              <w:tabs>
                <w:tab w:val="left" w:pos="157"/>
              </w:tabs>
              <w:spacing w:line="160" w:lineRule="exact"/>
              <w:ind w:right="138" w:hanging="99"/>
              <w:rPr>
                <w:sz w:val="14"/>
              </w:rPr>
            </w:pPr>
            <w:r>
              <w:rPr>
                <w:color w:val="231F20"/>
                <w:sz w:val="14"/>
              </w:rPr>
              <w:t>Тумачење</w:t>
            </w:r>
            <w:r>
              <w:rPr>
                <w:color w:val="231F20"/>
                <w:spacing w:val="-5"/>
                <w:sz w:val="14"/>
              </w:rPr>
              <w:t xml:space="preserve"> </w:t>
            </w:r>
            <w:r>
              <w:rPr>
                <w:color w:val="231F20"/>
                <w:sz w:val="14"/>
              </w:rPr>
              <w:t>вере</w:t>
            </w:r>
            <w:r>
              <w:rPr>
                <w:color w:val="231F20"/>
                <w:spacing w:val="-5"/>
                <w:sz w:val="14"/>
              </w:rPr>
              <w:t xml:space="preserve"> </w:t>
            </w:r>
            <w:r>
              <w:rPr>
                <w:color w:val="231F20"/>
                <w:sz w:val="14"/>
              </w:rPr>
              <w:t>у</w:t>
            </w:r>
            <w:r>
              <w:rPr>
                <w:color w:val="231F20"/>
                <w:spacing w:val="-5"/>
                <w:sz w:val="14"/>
              </w:rPr>
              <w:t xml:space="preserve"> </w:t>
            </w:r>
            <w:r>
              <w:rPr>
                <w:color w:val="231F20"/>
                <w:sz w:val="14"/>
              </w:rPr>
              <w:t>Свету</w:t>
            </w:r>
            <w:r>
              <w:rPr>
                <w:color w:val="231F20"/>
                <w:spacing w:val="-5"/>
                <w:sz w:val="14"/>
              </w:rPr>
              <w:t xml:space="preserve"> </w:t>
            </w:r>
            <w:r>
              <w:rPr>
                <w:color w:val="231F20"/>
                <w:sz w:val="14"/>
              </w:rPr>
              <w:t>Тројицу</w:t>
            </w:r>
            <w:r>
              <w:rPr>
                <w:color w:val="231F20"/>
                <w:spacing w:val="-5"/>
                <w:sz w:val="14"/>
              </w:rPr>
              <w:t xml:space="preserve"> </w:t>
            </w:r>
            <w:r>
              <w:rPr>
                <w:color w:val="231F20"/>
                <w:sz w:val="14"/>
              </w:rPr>
              <w:t>као</w:t>
            </w:r>
            <w:r>
              <w:rPr>
                <w:color w:val="231F20"/>
                <w:spacing w:val="-5"/>
                <w:sz w:val="14"/>
              </w:rPr>
              <w:t xml:space="preserve"> </w:t>
            </w:r>
            <w:r>
              <w:rPr>
                <w:color w:val="231F20"/>
                <w:sz w:val="14"/>
              </w:rPr>
              <w:t>једног Бога.</w:t>
            </w:r>
          </w:p>
        </w:tc>
        <w:tc>
          <w:tcPr>
            <w:tcW w:w="2267" w:type="dxa"/>
            <w:vMerge/>
            <w:tcBorders>
              <w:top w:val="nil"/>
              <w:bottom w:val="nil"/>
            </w:tcBorders>
          </w:tcPr>
          <w:p w:rsidR="00041039" w:rsidRDefault="00041039">
            <w:pPr>
              <w:rPr>
                <w:sz w:val="2"/>
                <w:szCs w:val="2"/>
              </w:rPr>
            </w:pPr>
          </w:p>
        </w:tc>
      </w:tr>
      <w:tr w:rsidR="00041039">
        <w:trPr>
          <w:trHeight w:val="30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71" w:line="155" w:lineRule="exact"/>
              <w:ind w:left="58"/>
              <w:rPr>
                <w:b/>
                <w:sz w:val="14"/>
              </w:rPr>
            </w:pPr>
            <w:r>
              <w:rPr>
                <w:b/>
                <w:color w:val="231F20"/>
                <w:sz w:val="14"/>
              </w:rPr>
              <w:t>Место реализације наставе</w:t>
            </w:r>
          </w:p>
          <w:p w:rsidR="00041039" w:rsidRDefault="001B26CB">
            <w:pPr>
              <w:pStyle w:val="TableParagraph"/>
              <w:numPr>
                <w:ilvl w:val="0"/>
                <w:numId w:val="241"/>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41"/>
              </w:numPr>
              <w:tabs>
                <w:tab w:val="left" w:pos="158"/>
              </w:tabs>
              <w:spacing w:line="160"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tc>
      </w:tr>
      <w:tr w:rsidR="00041039">
        <w:trPr>
          <w:trHeight w:val="1596"/>
        </w:trPr>
        <w:tc>
          <w:tcPr>
            <w:tcW w:w="1304" w:type="dxa"/>
            <w:tcBorders>
              <w:bottom w:val="nil"/>
            </w:tcBorders>
          </w:tcPr>
          <w:p w:rsidR="00041039" w:rsidRDefault="001B26CB">
            <w:pPr>
              <w:pStyle w:val="TableParagraph"/>
              <w:spacing w:before="19"/>
              <w:ind w:left="56" w:right="200"/>
              <w:rPr>
                <w:sz w:val="14"/>
              </w:rPr>
            </w:pPr>
            <w:r>
              <w:rPr>
                <w:color w:val="231F20"/>
                <w:sz w:val="14"/>
              </w:rPr>
              <w:t>Стварање света ни из чега (узрок постојања света јесте Бог као личност, Божија слобода)</w:t>
            </w:r>
          </w:p>
        </w:tc>
        <w:tc>
          <w:tcPr>
            <w:tcW w:w="1587" w:type="dxa"/>
            <w:vMerge w:val="restart"/>
          </w:tcPr>
          <w:p w:rsidR="00041039" w:rsidRDefault="001B26CB">
            <w:pPr>
              <w:pStyle w:val="TableParagraph"/>
              <w:numPr>
                <w:ilvl w:val="0"/>
                <w:numId w:val="240"/>
              </w:numPr>
              <w:tabs>
                <w:tab w:val="left" w:pos="157"/>
              </w:tabs>
              <w:spacing w:before="9"/>
              <w:ind w:right="253"/>
              <w:rPr>
                <w:sz w:val="14"/>
              </w:rPr>
            </w:pPr>
            <w:r>
              <w:rPr>
                <w:color w:val="231F20"/>
                <w:sz w:val="14"/>
              </w:rPr>
              <w:t>Да узрок постојања света јесте Бог као личност, Божија слобода.</w:t>
            </w:r>
          </w:p>
        </w:tc>
        <w:tc>
          <w:tcPr>
            <w:tcW w:w="2551" w:type="dxa"/>
            <w:vMerge w:val="restart"/>
          </w:tcPr>
          <w:p w:rsidR="00041039" w:rsidRDefault="001B26CB">
            <w:pPr>
              <w:pStyle w:val="TableParagraph"/>
              <w:numPr>
                <w:ilvl w:val="0"/>
                <w:numId w:val="239"/>
              </w:numPr>
              <w:tabs>
                <w:tab w:val="left" w:pos="157"/>
              </w:tabs>
              <w:spacing w:before="9"/>
              <w:ind w:right="67" w:hanging="99"/>
              <w:rPr>
                <w:sz w:val="14"/>
              </w:rPr>
            </w:pPr>
            <w:r>
              <w:rPr>
                <w:color w:val="231F20"/>
                <w:sz w:val="14"/>
              </w:rPr>
              <w:t xml:space="preserve">Треба да запазе да је Бог апсолутно слободан у свом постојању у односу на </w:t>
            </w:r>
            <w:r>
              <w:rPr>
                <w:color w:val="231F20"/>
                <w:spacing w:val="-3"/>
                <w:sz w:val="14"/>
              </w:rPr>
              <w:t xml:space="preserve">свет, </w:t>
            </w:r>
            <w:r>
              <w:rPr>
                <w:color w:val="231F20"/>
                <w:sz w:val="14"/>
              </w:rPr>
              <w:t xml:space="preserve">чије постојање зависи </w:t>
            </w:r>
            <w:r>
              <w:rPr>
                <w:color w:val="231F20"/>
                <w:spacing w:val="-3"/>
                <w:sz w:val="14"/>
              </w:rPr>
              <w:t>од</w:t>
            </w:r>
            <w:r>
              <w:rPr>
                <w:color w:val="231F20"/>
                <w:spacing w:val="-6"/>
                <w:sz w:val="14"/>
              </w:rPr>
              <w:t xml:space="preserve"> </w:t>
            </w:r>
            <w:r>
              <w:rPr>
                <w:color w:val="231F20"/>
                <w:sz w:val="14"/>
              </w:rPr>
              <w:t>Бога;</w:t>
            </w:r>
          </w:p>
        </w:tc>
        <w:tc>
          <w:tcPr>
            <w:tcW w:w="2834" w:type="dxa"/>
            <w:tcBorders>
              <w:bottom w:val="nil"/>
            </w:tcBorders>
          </w:tcPr>
          <w:p w:rsidR="00041039" w:rsidRDefault="001B26CB">
            <w:pPr>
              <w:pStyle w:val="TableParagraph"/>
              <w:numPr>
                <w:ilvl w:val="0"/>
                <w:numId w:val="238"/>
              </w:numPr>
              <w:tabs>
                <w:tab w:val="left" w:pos="158"/>
              </w:tabs>
              <w:spacing w:before="9" w:line="166" w:lineRule="exact"/>
              <w:rPr>
                <w:sz w:val="14"/>
              </w:rPr>
            </w:pPr>
            <w:r>
              <w:rPr>
                <w:color w:val="231F20"/>
                <w:sz w:val="14"/>
              </w:rPr>
              <w:t>Старојелинско, философско схватање</w:t>
            </w:r>
            <w:r>
              <w:rPr>
                <w:color w:val="231F20"/>
                <w:spacing w:val="-12"/>
                <w:sz w:val="14"/>
              </w:rPr>
              <w:t xml:space="preserve"> </w:t>
            </w:r>
            <w:r>
              <w:rPr>
                <w:color w:val="231F20"/>
                <w:sz w:val="14"/>
              </w:rPr>
              <w:t>бића.</w:t>
            </w:r>
          </w:p>
          <w:p w:rsidR="00041039" w:rsidRDefault="001B26CB">
            <w:pPr>
              <w:pStyle w:val="TableParagraph"/>
              <w:numPr>
                <w:ilvl w:val="0"/>
                <w:numId w:val="238"/>
              </w:numPr>
              <w:tabs>
                <w:tab w:val="left" w:pos="158"/>
              </w:tabs>
              <w:spacing w:line="166" w:lineRule="exact"/>
              <w:rPr>
                <w:sz w:val="14"/>
              </w:rPr>
            </w:pPr>
            <w:r>
              <w:rPr>
                <w:color w:val="231F20"/>
                <w:sz w:val="14"/>
              </w:rPr>
              <w:t>Јединство и</w:t>
            </w:r>
            <w:r>
              <w:rPr>
                <w:color w:val="231F20"/>
                <w:spacing w:val="-2"/>
                <w:sz w:val="14"/>
              </w:rPr>
              <w:t xml:space="preserve"> </w:t>
            </w:r>
            <w:r>
              <w:rPr>
                <w:color w:val="231F20"/>
                <w:sz w:val="14"/>
              </w:rPr>
              <w:t>мноштво.</w:t>
            </w:r>
          </w:p>
        </w:tc>
        <w:tc>
          <w:tcPr>
            <w:tcW w:w="2267" w:type="dxa"/>
            <w:vMerge/>
            <w:tcBorders>
              <w:top w:val="nil"/>
              <w:bottom w:val="nil"/>
            </w:tcBorders>
          </w:tcPr>
          <w:p w:rsidR="00041039" w:rsidRDefault="00041039">
            <w:pPr>
              <w:rPr>
                <w:sz w:val="2"/>
                <w:szCs w:val="2"/>
              </w:rPr>
            </w:pPr>
          </w:p>
        </w:tc>
      </w:tr>
      <w:tr w:rsidR="00041039">
        <w:trPr>
          <w:trHeight w:val="1692"/>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tcBorders>
              <w:top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237"/>
              </w:numPr>
              <w:tabs>
                <w:tab w:val="left" w:pos="158"/>
              </w:tabs>
              <w:spacing w:line="237" w:lineRule="auto"/>
              <w:ind w:right="137" w:hanging="99"/>
              <w:jc w:val="both"/>
              <w:rPr>
                <w:b/>
                <w:sz w:val="14"/>
              </w:rPr>
            </w:pPr>
            <w:r>
              <w:rPr>
                <w:color w:val="231F20"/>
                <w:sz w:val="14"/>
              </w:rPr>
              <w:t>Света Тројица један Бог (Бог</w:t>
            </w:r>
            <w:r>
              <w:rPr>
                <w:color w:val="231F20"/>
                <w:spacing w:val="-16"/>
                <w:sz w:val="14"/>
              </w:rPr>
              <w:t xml:space="preserve"> </w:t>
            </w:r>
            <w:r>
              <w:rPr>
                <w:color w:val="231F20"/>
                <w:sz w:val="14"/>
              </w:rPr>
              <w:t>као биће заједнице слободе,</w:t>
            </w:r>
            <w:r>
              <w:rPr>
                <w:color w:val="231F20"/>
                <w:spacing w:val="-12"/>
                <w:sz w:val="14"/>
              </w:rPr>
              <w:t xml:space="preserve"> </w:t>
            </w:r>
            <w:r>
              <w:rPr>
                <w:color w:val="231F20"/>
                <w:sz w:val="14"/>
              </w:rPr>
              <w:t xml:space="preserve">љубави) </w:t>
            </w:r>
            <w:r>
              <w:rPr>
                <w:b/>
                <w:color w:val="231F20"/>
                <w:sz w:val="14"/>
              </w:rPr>
              <w:t>(18</w:t>
            </w:r>
            <w:r>
              <w:rPr>
                <w:b/>
                <w:color w:val="231F20"/>
                <w:spacing w:val="-1"/>
                <w:sz w:val="14"/>
              </w:rPr>
              <w:t xml:space="preserve"> </w:t>
            </w:r>
            <w:r>
              <w:rPr>
                <w:b/>
                <w:color w:val="231F20"/>
                <w:sz w:val="14"/>
              </w:rPr>
              <w:t>часова)</w:t>
            </w:r>
          </w:p>
          <w:p w:rsidR="00041039" w:rsidRDefault="001B26CB">
            <w:pPr>
              <w:pStyle w:val="TableParagraph"/>
              <w:numPr>
                <w:ilvl w:val="0"/>
                <w:numId w:val="237"/>
              </w:numPr>
              <w:tabs>
                <w:tab w:val="left" w:pos="158"/>
              </w:tabs>
              <w:spacing w:line="237" w:lineRule="auto"/>
              <w:ind w:right="135" w:hanging="99"/>
              <w:rPr>
                <w:b/>
                <w:sz w:val="14"/>
              </w:rPr>
            </w:pPr>
            <w:r>
              <w:rPr>
                <w:color w:val="231F20"/>
                <w:sz w:val="14"/>
              </w:rPr>
              <w:t>Онтолошке последице вере у Свету Тројицу као једног Бога</w:t>
            </w:r>
            <w:r>
              <w:rPr>
                <w:color w:val="231F20"/>
                <w:spacing w:val="-18"/>
                <w:sz w:val="14"/>
              </w:rPr>
              <w:t xml:space="preserve"> </w:t>
            </w:r>
            <w:r>
              <w:rPr>
                <w:b/>
                <w:color w:val="231F20"/>
                <w:sz w:val="14"/>
              </w:rPr>
              <w:t>(9 часова)</w:t>
            </w:r>
          </w:p>
          <w:p w:rsidR="00041039" w:rsidRDefault="001B26CB">
            <w:pPr>
              <w:pStyle w:val="TableParagraph"/>
              <w:numPr>
                <w:ilvl w:val="0"/>
                <w:numId w:val="237"/>
              </w:numPr>
              <w:tabs>
                <w:tab w:val="left" w:pos="158"/>
              </w:tabs>
              <w:spacing w:line="237" w:lineRule="auto"/>
              <w:ind w:right="45" w:hanging="99"/>
              <w:rPr>
                <w:b/>
                <w:sz w:val="14"/>
              </w:rPr>
            </w:pPr>
            <w:r>
              <w:rPr>
                <w:color w:val="231F20"/>
                <w:sz w:val="14"/>
              </w:rPr>
              <w:t xml:space="preserve">Стварање света ни из чега (узрок постојања света јесте Бог као лич­ ност, Божија </w:t>
            </w:r>
            <w:r>
              <w:rPr>
                <w:color w:val="231F20"/>
                <w:sz w:val="14"/>
              </w:rPr>
              <w:t xml:space="preserve">слобода) </w:t>
            </w:r>
            <w:r>
              <w:rPr>
                <w:b/>
                <w:color w:val="231F20"/>
                <w:sz w:val="14"/>
              </w:rPr>
              <w:t>(8</w:t>
            </w:r>
            <w:r>
              <w:rPr>
                <w:b/>
                <w:color w:val="231F20"/>
                <w:spacing w:val="-16"/>
                <w:sz w:val="14"/>
              </w:rPr>
              <w:t xml:space="preserve"> </w:t>
            </w:r>
            <w:r>
              <w:rPr>
                <w:b/>
                <w:color w:val="231F20"/>
                <w:sz w:val="14"/>
              </w:rPr>
              <w:t>часова)</w:t>
            </w:r>
          </w:p>
        </w:tc>
      </w:tr>
    </w:tbl>
    <w:p w:rsidR="00041039" w:rsidRDefault="00041039">
      <w:pPr>
        <w:pStyle w:val="BodyText"/>
        <w:rPr>
          <w:b/>
          <w:sz w:val="16"/>
        </w:rPr>
      </w:pPr>
    </w:p>
    <w:p w:rsidR="00041039" w:rsidRDefault="001B26CB">
      <w:pPr>
        <w:tabs>
          <w:tab w:val="left" w:pos="1461"/>
        </w:tabs>
        <w:spacing w:before="120"/>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35</w:t>
      </w:r>
      <w:r>
        <w:rPr>
          <w:b/>
          <w:color w:val="231F20"/>
          <w:spacing w:val="-1"/>
          <w:sz w:val="14"/>
        </w:rPr>
        <w:t xml:space="preserve"> </w:t>
      </w:r>
      <w:r>
        <w:rPr>
          <w:b/>
          <w:color w:val="231F20"/>
          <w:sz w:val="14"/>
        </w:rPr>
        <w:t>часова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840"/>
        </w:trPr>
        <w:tc>
          <w:tcPr>
            <w:tcW w:w="1304" w:type="dxa"/>
          </w:tcPr>
          <w:p w:rsidR="00041039" w:rsidRDefault="001B26CB">
            <w:pPr>
              <w:pStyle w:val="TableParagraph"/>
              <w:spacing w:before="18" w:line="161" w:lineRule="exact"/>
              <w:ind w:left="56"/>
              <w:rPr>
                <w:sz w:val="14"/>
              </w:rPr>
            </w:pPr>
            <w:r>
              <w:rPr>
                <w:color w:val="231F20"/>
                <w:sz w:val="14"/>
              </w:rPr>
              <w:t>Тајна Христова</w:t>
            </w:r>
          </w:p>
          <w:p w:rsidR="00041039" w:rsidRDefault="001B26CB">
            <w:pPr>
              <w:pStyle w:val="TableParagraph"/>
              <w:ind w:left="56" w:right="194"/>
              <w:rPr>
                <w:sz w:val="14"/>
              </w:rPr>
            </w:pPr>
            <w:r>
              <w:rPr>
                <w:color w:val="231F20"/>
                <w:sz w:val="14"/>
              </w:rPr>
              <w:t>- јединство Бога и човека као циљ стварања света</w:t>
            </w:r>
          </w:p>
        </w:tc>
        <w:tc>
          <w:tcPr>
            <w:tcW w:w="1587" w:type="dxa"/>
          </w:tcPr>
          <w:p w:rsidR="00041039" w:rsidRDefault="001B26CB">
            <w:pPr>
              <w:pStyle w:val="TableParagraph"/>
              <w:numPr>
                <w:ilvl w:val="0"/>
                <w:numId w:val="236"/>
              </w:numPr>
              <w:tabs>
                <w:tab w:val="left" w:pos="157"/>
              </w:tabs>
              <w:spacing w:before="8"/>
              <w:ind w:right="84"/>
              <w:rPr>
                <w:sz w:val="14"/>
              </w:rPr>
            </w:pPr>
            <w:r>
              <w:rPr>
                <w:color w:val="231F20"/>
                <w:sz w:val="14"/>
              </w:rPr>
              <w:t>Христос је спаситељ јер је једино у</w:t>
            </w:r>
            <w:r>
              <w:rPr>
                <w:color w:val="231F20"/>
                <w:spacing w:val="-9"/>
                <w:sz w:val="14"/>
              </w:rPr>
              <w:t xml:space="preserve"> </w:t>
            </w:r>
            <w:r>
              <w:rPr>
                <w:color w:val="231F20"/>
                <w:sz w:val="14"/>
              </w:rPr>
              <w:t>његовој личности остварена заједница тварне природе са</w:t>
            </w:r>
            <w:r>
              <w:rPr>
                <w:color w:val="231F20"/>
                <w:spacing w:val="-4"/>
                <w:sz w:val="14"/>
              </w:rPr>
              <w:t xml:space="preserve"> </w:t>
            </w:r>
            <w:r>
              <w:rPr>
                <w:color w:val="231F20"/>
                <w:sz w:val="14"/>
              </w:rPr>
              <w:t>Богом.</w:t>
            </w:r>
          </w:p>
        </w:tc>
        <w:tc>
          <w:tcPr>
            <w:tcW w:w="2551" w:type="dxa"/>
          </w:tcPr>
          <w:p w:rsidR="00041039" w:rsidRDefault="001B26CB">
            <w:pPr>
              <w:pStyle w:val="TableParagraph"/>
              <w:numPr>
                <w:ilvl w:val="0"/>
                <w:numId w:val="235"/>
              </w:numPr>
              <w:tabs>
                <w:tab w:val="left" w:pos="157"/>
              </w:tabs>
              <w:spacing w:before="8"/>
              <w:ind w:right="448" w:hanging="99"/>
              <w:rPr>
                <w:sz w:val="14"/>
              </w:rPr>
            </w:pPr>
            <w:r>
              <w:rPr>
                <w:color w:val="231F20"/>
                <w:sz w:val="14"/>
              </w:rPr>
              <w:t>схвати да је Тајна Христова</w:t>
            </w:r>
            <w:r>
              <w:rPr>
                <w:color w:val="231F20"/>
                <w:spacing w:val="-23"/>
                <w:sz w:val="14"/>
              </w:rPr>
              <w:t xml:space="preserve"> </w:t>
            </w:r>
            <w:r>
              <w:rPr>
                <w:color w:val="231F20"/>
                <w:sz w:val="14"/>
              </w:rPr>
              <w:t>циљ стварања</w:t>
            </w:r>
            <w:r>
              <w:rPr>
                <w:color w:val="231F20"/>
                <w:spacing w:val="-1"/>
                <w:sz w:val="14"/>
              </w:rPr>
              <w:t xml:space="preserve"> </w:t>
            </w:r>
            <w:r>
              <w:rPr>
                <w:color w:val="231F20"/>
                <w:sz w:val="14"/>
              </w:rPr>
              <w:t>света;</w:t>
            </w:r>
          </w:p>
        </w:tc>
        <w:tc>
          <w:tcPr>
            <w:tcW w:w="2834" w:type="dxa"/>
          </w:tcPr>
          <w:p w:rsidR="00041039" w:rsidRDefault="001B26CB">
            <w:pPr>
              <w:pStyle w:val="TableParagraph"/>
              <w:numPr>
                <w:ilvl w:val="0"/>
                <w:numId w:val="234"/>
              </w:numPr>
              <w:tabs>
                <w:tab w:val="left" w:pos="157"/>
              </w:tabs>
              <w:spacing w:before="8"/>
              <w:ind w:right="205" w:hanging="99"/>
              <w:rPr>
                <w:sz w:val="14"/>
              </w:rPr>
            </w:pPr>
            <w:r>
              <w:rPr>
                <w:color w:val="231F20"/>
                <w:sz w:val="14"/>
              </w:rPr>
              <w:t>Тајна Христова ­ јединство Бога и</w:t>
            </w:r>
            <w:r>
              <w:rPr>
                <w:color w:val="231F20"/>
                <w:spacing w:val="-24"/>
                <w:sz w:val="14"/>
              </w:rPr>
              <w:t xml:space="preserve"> </w:t>
            </w:r>
            <w:r>
              <w:rPr>
                <w:color w:val="231F20"/>
                <w:sz w:val="14"/>
              </w:rPr>
              <w:t>човека као циљ стварања</w:t>
            </w:r>
            <w:r>
              <w:rPr>
                <w:color w:val="231F20"/>
                <w:spacing w:val="-2"/>
                <w:sz w:val="14"/>
              </w:rPr>
              <w:t xml:space="preserve"> </w:t>
            </w:r>
            <w:r>
              <w:rPr>
                <w:color w:val="231F20"/>
                <w:sz w:val="14"/>
              </w:rPr>
              <w:t>света.</w:t>
            </w:r>
          </w:p>
        </w:tc>
        <w:tc>
          <w:tcPr>
            <w:tcW w:w="2267" w:type="dxa"/>
          </w:tcPr>
          <w:p w:rsidR="00041039" w:rsidRDefault="001B26CB">
            <w:pPr>
              <w:pStyle w:val="TableParagraph"/>
              <w:numPr>
                <w:ilvl w:val="0"/>
                <w:numId w:val="233"/>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tc>
      </w:tr>
    </w:tbl>
    <w:p w:rsidR="00041039" w:rsidRDefault="00041039">
      <w:pPr>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80"/>
        </w:trPr>
        <w:tc>
          <w:tcPr>
            <w:tcW w:w="1304" w:type="dxa"/>
          </w:tcPr>
          <w:p w:rsidR="00041039" w:rsidRDefault="001B26CB">
            <w:pPr>
              <w:pStyle w:val="TableParagraph"/>
              <w:spacing w:before="18"/>
              <w:ind w:left="56" w:right="43"/>
              <w:rPr>
                <w:sz w:val="14"/>
              </w:rPr>
            </w:pPr>
            <w:r>
              <w:rPr>
                <w:color w:val="231F20"/>
                <w:sz w:val="14"/>
              </w:rPr>
              <w:lastRenderedPageBreak/>
              <w:t>Христово овап­ лоћење и страдање, смрт као последица греха првих људи</w:t>
            </w:r>
          </w:p>
        </w:tc>
        <w:tc>
          <w:tcPr>
            <w:tcW w:w="1587" w:type="dxa"/>
          </w:tcPr>
          <w:p w:rsidR="00041039" w:rsidRDefault="001B26CB">
            <w:pPr>
              <w:pStyle w:val="TableParagraph"/>
              <w:numPr>
                <w:ilvl w:val="0"/>
                <w:numId w:val="232"/>
              </w:numPr>
              <w:tabs>
                <w:tab w:val="left" w:pos="157"/>
              </w:tabs>
              <w:spacing w:before="8"/>
              <w:ind w:right="44"/>
              <w:rPr>
                <w:sz w:val="14"/>
              </w:rPr>
            </w:pPr>
            <w:r>
              <w:rPr>
                <w:color w:val="231F20"/>
                <w:spacing w:val="-3"/>
                <w:sz w:val="14"/>
              </w:rPr>
              <w:t xml:space="preserve">Указати </w:t>
            </w:r>
            <w:r>
              <w:rPr>
                <w:color w:val="231F20"/>
                <w:sz w:val="14"/>
              </w:rPr>
              <w:t>да је Христово страдање и смрт последица пр</w:t>
            </w:r>
            <w:r>
              <w:rPr>
                <w:color w:val="231F20"/>
                <w:sz w:val="14"/>
              </w:rPr>
              <w:t>вородног греха.</w:t>
            </w:r>
          </w:p>
        </w:tc>
        <w:tc>
          <w:tcPr>
            <w:tcW w:w="2551" w:type="dxa"/>
          </w:tcPr>
          <w:p w:rsidR="00041039" w:rsidRDefault="001B26CB">
            <w:pPr>
              <w:pStyle w:val="TableParagraph"/>
              <w:numPr>
                <w:ilvl w:val="0"/>
                <w:numId w:val="231"/>
              </w:numPr>
              <w:tabs>
                <w:tab w:val="left" w:pos="157"/>
              </w:tabs>
              <w:spacing w:before="8"/>
              <w:ind w:right="240" w:hanging="99"/>
              <w:jc w:val="both"/>
              <w:rPr>
                <w:sz w:val="14"/>
              </w:rPr>
            </w:pPr>
            <w:r>
              <w:rPr>
                <w:color w:val="231F20"/>
                <w:sz w:val="14"/>
              </w:rPr>
              <w:t xml:space="preserve">зна да је Првородни грех променио начин остваривања циља због </w:t>
            </w:r>
            <w:r>
              <w:rPr>
                <w:color w:val="231F20"/>
                <w:spacing w:val="-3"/>
                <w:sz w:val="14"/>
              </w:rPr>
              <w:t xml:space="preserve">ког </w:t>
            </w:r>
            <w:r>
              <w:rPr>
                <w:color w:val="231F20"/>
                <w:sz w:val="14"/>
              </w:rPr>
              <w:t>је свет створен али не и сам</w:t>
            </w:r>
            <w:r>
              <w:rPr>
                <w:color w:val="231F20"/>
                <w:spacing w:val="-6"/>
                <w:sz w:val="14"/>
              </w:rPr>
              <w:t xml:space="preserve"> </w:t>
            </w:r>
            <w:r>
              <w:rPr>
                <w:color w:val="231F20"/>
                <w:sz w:val="14"/>
              </w:rPr>
              <w:t>циљ;</w:t>
            </w:r>
          </w:p>
        </w:tc>
        <w:tc>
          <w:tcPr>
            <w:tcW w:w="2834" w:type="dxa"/>
          </w:tcPr>
          <w:p w:rsidR="00041039" w:rsidRDefault="001B26CB">
            <w:pPr>
              <w:pStyle w:val="TableParagraph"/>
              <w:numPr>
                <w:ilvl w:val="0"/>
                <w:numId w:val="230"/>
              </w:numPr>
              <w:tabs>
                <w:tab w:val="left" w:pos="157"/>
              </w:tabs>
              <w:spacing w:before="8"/>
              <w:ind w:right="71" w:hanging="99"/>
              <w:rPr>
                <w:sz w:val="14"/>
              </w:rPr>
            </w:pPr>
            <w:r>
              <w:rPr>
                <w:color w:val="231F20"/>
                <w:sz w:val="14"/>
              </w:rPr>
              <w:t>Христово оваплоћење и страдање, смрт</w:t>
            </w:r>
            <w:r>
              <w:rPr>
                <w:color w:val="231F20"/>
                <w:spacing w:val="-22"/>
                <w:sz w:val="14"/>
              </w:rPr>
              <w:t xml:space="preserve"> </w:t>
            </w:r>
            <w:r>
              <w:rPr>
                <w:color w:val="231F20"/>
                <w:sz w:val="14"/>
              </w:rPr>
              <w:t>као последица греха првих</w:t>
            </w:r>
            <w:r>
              <w:rPr>
                <w:color w:val="231F20"/>
                <w:spacing w:val="-4"/>
                <w:sz w:val="14"/>
              </w:rPr>
              <w:t xml:space="preserve"> </w:t>
            </w:r>
            <w:r>
              <w:rPr>
                <w:color w:val="231F20"/>
                <w:sz w:val="14"/>
              </w:rPr>
              <w:t>људи.</w:t>
            </w:r>
          </w:p>
        </w:tc>
        <w:tc>
          <w:tcPr>
            <w:tcW w:w="2267" w:type="dxa"/>
            <w:vMerge w:val="restart"/>
          </w:tcPr>
          <w:p w:rsidR="00041039" w:rsidRDefault="001B26CB">
            <w:pPr>
              <w:pStyle w:val="TableParagraph"/>
              <w:spacing w:before="16"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29"/>
              </w:numPr>
              <w:tabs>
                <w:tab w:val="left" w:pos="158"/>
              </w:tabs>
              <w:spacing w:line="160" w:lineRule="exact"/>
              <w:ind w:hanging="99"/>
              <w:rPr>
                <w:b/>
                <w:sz w:val="14"/>
              </w:rPr>
            </w:pPr>
            <w:r>
              <w:rPr>
                <w:color w:val="231F20"/>
                <w:sz w:val="14"/>
              </w:rPr>
              <w:t xml:space="preserve">теоријска настава </w:t>
            </w:r>
            <w:r>
              <w:rPr>
                <w:b/>
                <w:color w:val="231F20"/>
                <w:sz w:val="14"/>
              </w:rPr>
              <w:t>(35</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55" w:lineRule="exact"/>
              <w:ind w:left="58"/>
              <w:rPr>
                <w:b/>
                <w:sz w:val="14"/>
              </w:rPr>
            </w:pPr>
            <w:r>
              <w:rPr>
                <w:b/>
                <w:color w:val="231F20"/>
                <w:sz w:val="14"/>
              </w:rPr>
              <w:t>Место реализације наставе</w:t>
            </w:r>
          </w:p>
          <w:p w:rsidR="00041039" w:rsidRDefault="001B26CB">
            <w:pPr>
              <w:pStyle w:val="TableParagraph"/>
              <w:numPr>
                <w:ilvl w:val="0"/>
                <w:numId w:val="229"/>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5"/>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29"/>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229"/>
              </w:numPr>
              <w:tabs>
                <w:tab w:val="left" w:pos="158"/>
              </w:tabs>
              <w:spacing w:line="237" w:lineRule="auto"/>
              <w:ind w:right="141" w:hanging="99"/>
              <w:rPr>
                <w:b/>
                <w:sz w:val="14"/>
              </w:rPr>
            </w:pPr>
            <w:r>
              <w:rPr>
                <w:color w:val="231F20"/>
                <w:sz w:val="14"/>
              </w:rPr>
              <w:t>Тајна Христова­јединство Бога и човека као циљ стварања</w:t>
            </w:r>
            <w:r>
              <w:rPr>
                <w:color w:val="231F20"/>
                <w:spacing w:val="-13"/>
                <w:sz w:val="14"/>
              </w:rPr>
              <w:t xml:space="preserve"> </w:t>
            </w:r>
            <w:r>
              <w:rPr>
                <w:color w:val="231F20"/>
                <w:sz w:val="14"/>
              </w:rPr>
              <w:t xml:space="preserve">света </w:t>
            </w:r>
            <w:r>
              <w:rPr>
                <w:b/>
                <w:color w:val="231F20"/>
                <w:sz w:val="14"/>
              </w:rPr>
              <w:t>(3 часа)</w:t>
            </w:r>
          </w:p>
          <w:p w:rsidR="00041039" w:rsidRDefault="001B26CB">
            <w:pPr>
              <w:pStyle w:val="TableParagraph"/>
              <w:numPr>
                <w:ilvl w:val="0"/>
                <w:numId w:val="229"/>
              </w:numPr>
              <w:tabs>
                <w:tab w:val="left" w:pos="158"/>
              </w:tabs>
              <w:spacing w:line="237" w:lineRule="auto"/>
              <w:ind w:right="51" w:hanging="99"/>
              <w:rPr>
                <w:b/>
                <w:sz w:val="14"/>
              </w:rPr>
            </w:pPr>
            <w:r>
              <w:rPr>
                <w:color w:val="231F20"/>
                <w:sz w:val="14"/>
              </w:rPr>
              <w:t>Христово оваплоћење и</w:t>
            </w:r>
            <w:r>
              <w:rPr>
                <w:color w:val="231F20"/>
                <w:spacing w:val="-16"/>
                <w:sz w:val="14"/>
              </w:rPr>
              <w:t xml:space="preserve"> </w:t>
            </w:r>
            <w:r>
              <w:rPr>
                <w:color w:val="231F20"/>
                <w:sz w:val="14"/>
              </w:rPr>
              <w:t xml:space="preserve">страдање, смрт као последица греха првих </w:t>
            </w:r>
            <w:r>
              <w:rPr>
                <w:color w:val="231F20"/>
                <w:spacing w:val="-3"/>
                <w:sz w:val="14"/>
              </w:rPr>
              <w:t xml:space="preserve">људи </w:t>
            </w:r>
            <w:r>
              <w:rPr>
                <w:b/>
                <w:color w:val="231F20"/>
                <w:sz w:val="14"/>
              </w:rPr>
              <w:t>(3</w:t>
            </w:r>
            <w:r>
              <w:rPr>
                <w:b/>
                <w:color w:val="231F20"/>
                <w:spacing w:val="1"/>
                <w:sz w:val="14"/>
              </w:rPr>
              <w:t xml:space="preserve"> </w:t>
            </w:r>
            <w:r>
              <w:rPr>
                <w:b/>
                <w:color w:val="231F20"/>
                <w:sz w:val="14"/>
              </w:rPr>
              <w:t>часа)</w:t>
            </w:r>
          </w:p>
          <w:p w:rsidR="00041039" w:rsidRDefault="001B26CB">
            <w:pPr>
              <w:pStyle w:val="TableParagraph"/>
              <w:numPr>
                <w:ilvl w:val="0"/>
                <w:numId w:val="229"/>
              </w:numPr>
              <w:tabs>
                <w:tab w:val="left" w:pos="158"/>
              </w:tabs>
              <w:spacing w:line="237" w:lineRule="auto"/>
              <w:ind w:right="98" w:hanging="99"/>
              <w:rPr>
                <w:b/>
                <w:sz w:val="14"/>
              </w:rPr>
            </w:pPr>
            <w:r>
              <w:rPr>
                <w:color w:val="231F20"/>
                <w:sz w:val="14"/>
              </w:rPr>
              <w:t xml:space="preserve">Бог је васкрсао Христа из мртвих </w:t>
            </w:r>
            <w:r>
              <w:rPr>
                <w:color w:val="231F20"/>
                <w:spacing w:val="-3"/>
                <w:sz w:val="14"/>
              </w:rPr>
              <w:t xml:space="preserve">Духом </w:t>
            </w:r>
            <w:r>
              <w:rPr>
                <w:color w:val="231F20"/>
                <w:sz w:val="14"/>
              </w:rPr>
              <w:t xml:space="preserve">Светим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229"/>
              </w:numPr>
              <w:tabs>
                <w:tab w:val="left" w:pos="158"/>
              </w:tabs>
              <w:spacing w:line="160" w:lineRule="exact"/>
              <w:ind w:right="244" w:hanging="99"/>
              <w:rPr>
                <w:b/>
                <w:sz w:val="14"/>
              </w:rPr>
            </w:pPr>
            <w:r>
              <w:rPr>
                <w:color w:val="231F20"/>
                <w:sz w:val="14"/>
              </w:rPr>
              <w:t>Исус Христос као нови Адам</w:t>
            </w:r>
            <w:r>
              <w:rPr>
                <w:color w:val="231F20"/>
                <w:spacing w:val="-16"/>
                <w:sz w:val="14"/>
              </w:rPr>
              <w:t xml:space="preserve"> </w:t>
            </w:r>
            <w:r>
              <w:rPr>
                <w:color w:val="231F20"/>
                <w:sz w:val="14"/>
              </w:rPr>
              <w:t xml:space="preserve">и начелник све твари </w:t>
            </w:r>
            <w:r>
              <w:rPr>
                <w:b/>
                <w:color w:val="231F20"/>
                <w:sz w:val="14"/>
              </w:rPr>
              <w:t>(3</w:t>
            </w:r>
            <w:r>
              <w:rPr>
                <w:b/>
                <w:color w:val="231F20"/>
                <w:spacing w:val="-5"/>
                <w:sz w:val="14"/>
              </w:rPr>
              <w:t xml:space="preserve"> </w:t>
            </w:r>
            <w:r>
              <w:rPr>
                <w:b/>
                <w:color w:val="231F20"/>
                <w:sz w:val="14"/>
              </w:rPr>
              <w:t>часа)</w:t>
            </w:r>
          </w:p>
          <w:p w:rsidR="00041039" w:rsidRDefault="001B26CB">
            <w:pPr>
              <w:pStyle w:val="TableParagraph"/>
              <w:numPr>
                <w:ilvl w:val="0"/>
                <w:numId w:val="229"/>
              </w:numPr>
              <w:tabs>
                <w:tab w:val="left" w:pos="158"/>
              </w:tabs>
              <w:spacing w:line="160" w:lineRule="exact"/>
              <w:ind w:right="199" w:hanging="99"/>
              <w:rPr>
                <w:b/>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 xml:space="preserve">и створене природе са Христом </w:t>
            </w:r>
            <w:r>
              <w:rPr>
                <w:b/>
                <w:color w:val="231F20"/>
                <w:sz w:val="14"/>
              </w:rPr>
              <w:t>(6</w:t>
            </w:r>
            <w:r>
              <w:rPr>
                <w:b/>
                <w:color w:val="231F20"/>
                <w:spacing w:val="-2"/>
                <w:sz w:val="14"/>
              </w:rPr>
              <w:t xml:space="preserve"> </w:t>
            </w:r>
            <w:r>
              <w:rPr>
                <w:b/>
                <w:color w:val="231F20"/>
                <w:sz w:val="14"/>
              </w:rPr>
              <w:t>часова)</w:t>
            </w:r>
          </w:p>
          <w:p w:rsidR="00041039" w:rsidRDefault="001B26CB">
            <w:pPr>
              <w:pStyle w:val="TableParagraph"/>
              <w:numPr>
                <w:ilvl w:val="0"/>
                <w:numId w:val="229"/>
              </w:numPr>
              <w:tabs>
                <w:tab w:val="left" w:pos="158"/>
              </w:tabs>
              <w:spacing w:line="160" w:lineRule="exact"/>
              <w:ind w:right="106" w:hanging="99"/>
              <w:rPr>
                <w:b/>
                <w:sz w:val="14"/>
              </w:rPr>
            </w:pPr>
            <w:r>
              <w:rPr>
                <w:color w:val="231F20"/>
                <w:sz w:val="14"/>
              </w:rPr>
              <w:t>Литургија као икона истинског постојања света ­ Царства</w:t>
            </w:r>
            <w:r>
              <w:rPr>
                <w:color w:val="231F20"/>
                <w:spacing w:val="-11"/>
                <w:sz w:val="14"/>
              </w:rPr>
              <w:t xml:space="preserve"> </w:t>
            </w:r>
            <w:r>
              <w:rPr>
                <w:color w:val="231F20"/>
                <w:sz w:val="14"/>
              </w:rPr>
              <w:t xml:space="preserve">Божјег </w:t>
            </w:r>
            <w:r>
              <w:rPr>
                <w:b/>
                <w:color w:val="231F20"/>
                <w:sz w:val="14"/>
              </w:rPr>
              <w:t>(6</w:t>
            </w:r>
            <w:r>
              <w:rPr>
                <w:b/>
                <w:color w:val="231F20"/>
                <w:spacing w:val="-1"/>
                <w:sz w:val="14"/>
              </w:rPr>
              <w:t xml:space="preserve"> </w:t>
            </w:r>
            <w:r>
              <w:rPr>
                <w:b/>
                <w:color w:val="231F20"/>
                <w:sz w:val="14"/>
              </w:rPr>
              <w:t>часова)</w:t>
            </w:r>
          </w:p>
          <w:p w:rsidR="00041039" w:rsidRDefault="001B26CB">
            <w:pPr>
              <w:pStyle w:val="TableParagraph"/>
              <w:numPr>
                <w:ilvl w:val="0"/>
                <w:numId w:val="229"/>
              </w:numPr>
              <w:tabs>
                <w:tab w:val="left" w:pos="158"/>
              </w:tabs>
              <w:spacing w:line="153" w:lineRule="exact"/>
              <w:ind w:hanging="99"/>
              <w:rPr>
                <w:b/>
                <w:sz w:val="14"/>
              </w:rPr>
            </w:pPr>
            <w:r>
              <w:rPr>
                <w:color w:val="231F20"/>
                <w:sz w:val="14"/>
              </w:rPr>
              <w:t xml:space="preserve">Апостолско прејемство </w:t>
            </w:r>
            <w:r>
              <w:rPr>
                <w:b/>
                <w:color w:val="231F20"/>
                <w:sz w:val="14"/>
              </w:rPr>
              <w:t>(6</w:t>
            </w:r>
            <w:r>
              <w:rPr>
                <w:b/>
                <w:color w:val="231F20"/>
                <w:spacing w:val="-18"/>
                <w:sz w:val="14"/>
              </w:rPr>
              <w:t xml:space="preserve"> </w:t>
            </w:r>
            <w:r>
              <w:rPr>
                <w:b/>
                <w:color w:val="231F20"/>
                <w:sz w:val="14"/>
              </w:rPr>
              <w:t>часова)</w:t>
            </w:r>
          </w:p>
          <w:p w:rsidR="00041039" w:rsidRDefault="001B26CB">
            <w:pPr>
              <w:pStyle w:val="TableParagraph"/>
              <w:numPr>
                <w:ilvl w:val="0"/>
                <w:numId w:val="229"/>
              </w:numPr>
              <w:tabs>
                <w:tab w:val="left" w:pos="158"/>
              </w:tabs>
              <w:spacing w:line="237" w:lineRule="auto"/>
              <w:ind w:right="196" w:hanging="99"/>
              <w:rPr>
                <w:b/>
                <w:sz w:val="14"/>
              </w:rPr>
            </w:pPr>
            <w:r>
              <w:rPr>
                <w:color w:val="231F20"/>
                <w:sz w:val="14"/>
              </w:rPr>
              <w:t>Распеће и васкрсење Христово у православној иконографији</w:t>
            </w:r>
            <w:r>
              <w:rPr>
                <w:color w:val="231F20"/>
                <w:spacing w:val="-10"/>
                <w:sz w:val="14"/>
              </w:rPr>
              <w:t xml:space="preserve"> </w:t>
            </w:r>
            <w:r>
              <w:rPr>
                <w:b/>
                <w:color w:val="231F20"/>
                <w:sz w:val="14"/>
              </w:rPr>
              <w:t>(4 часа)</w:t>
            </w:r>
          </w:p>
        </w:tc>
      </w:tr>
      <w:tr w:rsidR="00041039">
        <w:trPr>
          <w:trHeight w:val="840"/>
        </w:trPr>
        <w:tc>
          <w:tcPr>
            <w:tcW w:w="1304" w:type="dxa"/>
          </w:tcPr>
          <w:p w:rsidR="00041039" w:rsidRDefault="001B26CB">
            <w:pPr>
              <w:pStyle w:val="TableParagraph"/>
              <w:spacing w:before="19"/>
              <w:ind w:left="56" w:right="155"/>
              <w:rPr>
                <w:sz w:val="14"/>
              </w:rPr>
            </w:pPr>
            <w:r>
              <w:rPr>
                <w:color w:val="231F20"/>
                <w:sz w:val="14"/>
              </w:rPr>
              <w:t>Бог је васкрсао Христа из мртвих Духом Светим</w:t>
            </w:r>
          </w:p>
        </w:tc>
        <w:tc>
          <w:tcPr>
            <w:tcW w:w="1587" w:type="dxa"/>
          </w:tcPr>
          <w:p w:rsidR="00041039" w:rsidRDefault="001B26CB">
            <w:pPr>
              <w:pStyle w:val="TableParagraph"/>
              <w:numPr>
                <w:ilvl w:val="0"/>
                <w:numId w:val="228"/>
              </w:numPr>
              <w:tabs>
                <w:tab w:val="left" w:pos="157"/>
              </w:tabs>
              <w:spacing w:before="9"/>
              <w:ind w:right="88"/>
              <w:rPr>
                <w:sz w:val="14"/>
              </w:rPr>
            </w:pPr>
            <w:r>
              <w:rPr>
                <w:color w:val="231F20"/>
                <w:spacing w:val="-3"/>
                <w:sz w:val="14"/>
              </w:rPr>
              <w:t xml:space="preserve">Указати </w:t>
            </w:r>
            <w:r>
              <w:rPr>
                <w:color w:val="231F20"/>
                <w:sz w:val="14"/>
              </w:rPr>
              <w:t xml:space="preserve">им да је Бог васкрсао Христоса из мртвих </w:t>
            </w:r>
            <w:r>
              <w:rPr>
                <w:color w:val="231F20"/>
                <w:spacing w:val="-3"/>
                <w:sz w:val="14"/>
              </w:rPr>
              <w:t xml:space="preserve">Духом </w:t>
            </w:r>
            <w:r>
              <w:rPr>
                <w:color w:val="231F20"/>
                <w:sz w:val="14"/>
              </w:rPr>
              <w:t>Светим који ствара и литур­ гијску</w:t>
            </w:r>
            <w:r>
              <w:rPr>
                <w:color w:val="231F20"/>
                <w:spacing w:val="-3"/>
                <w:sz w:val="14"/>
              </w:rPr>
              <w:t xml:space="preserve"> </w:t>
            </w:r>
            <w:r>
              <w:rPr>
                <w:color w:val="231F20"/>
                <w:sz w:val="14"/>
              </w:rPr>
              <w:t>заједницу.</w:t>
            </w:r>
          </w:p>
        </w:tc>
        <w:tc>
          <w:tcPr>
            <w:tcW w:w="2551" w:type="dxa"/>
          </w:tcPr>
          <w:p w:rsidR="00041039" w:rsidRDefault="001B26CB">
            <w:pPr>
              <w:pStyle w:val="TableParagraph"/>
              <w:numPr>
                <w:ilvl w:val="0"/>
                <w:numId w:val="227"/>
              </w:numPr>
              <w:tabs>
                <w:tab w:val="left" w:pos="157"/>
              </w:tabs>
              <w:spacing w:before="9"/>
              <w:ind w:right="45" w:hanging="99"/>
              <w:rPr>
                <w:sz w:val="14"/>
              </w:rPr>
            </w:pPr>
            <w:r>
              <w:rPr>
                <w:color w:val="231F20"/>
                <w:sz w:val="14"/>
              </w:rPr>
              <w:t>уочи да је превазилажење смрти за створену природу плод слободне</w:t>
            </w:r>
            <w:r>
              <w:rPr>
                <w:color w:val="231F20"/>
                <w:spacing w:val="-25"/>
                <w:sz w:val="14"/>
              </w:rPr>
              <w:t xml:space="preserve"> </w:t>
            </w:r>
            <w:r>
              <w:rPr>
                <w:color w:val="231F20"/>
                <w:sz w:val="14"/>
              </w:rPr>
              <w:t>зајед­ нице Бога и човека у</w:t>
            </w:r>
            <w:r>
              <w:rPr>
                <w:color w:val="231F20"/>
                <w:spacing w:val="-8"/>
                <w:sz w:val="14"/>
              </w:rPr>
              <w:t xml:space="preserve"> </w:t>
            </w:r>
            <w:r>
              <w:rPr>
                <w:color w:val="231F20"/>
                <w:sz w:val="14"/>
              </w:rPr>
              <w:t>Христосу;</w:t>
            </w:r>
          </w:p>
        </w:tc>
        <w:tc>
          <w:tcPr>
            <w:tcW w:w="2834" w:type="dxa"/>
          </w:tcPr>
          <w:p w:rsidR="00041039" w:rsidRDefault="001B26CB">
            <w:pPr>
              <w:pStyle w:val="TableParagraph"/>
              <w:numPr>
                <w:ilvl w:val="0"/>
                <w:numId w:val="226"/>
              </w:numPr>
              <w:tabs>
                <w:tab w:val="left" w:pos="157"/>
              </w:tabs>
              <w:spacing w:before="9"/>
              <w:ind w:right="245" w:hanging="99"/>
              <w:rPr>
                <w:sz w:val="14"/>
              </w:rPr>
            </w:pPr>
            <w:r>
              <w:rPr>
                <w:color w:val="231F20"/>
                <w:sz w:val="14"/>
              </w:rPr>
              <w:t xml:space="preserve">Бог је васкрсао Христа из мртвих </w:t>
            </w:r>
            <w:r>
              <w:rPr>
                <w:color w:val="231F20"/>
                <w:spacing w:val="-3"/>
                <w:sz w:val="14"/>
              </w:rPr>
              <w:t xml:space="preserve">Духом </w:t>
            </w:r>
            <w:r>
              <w:rPr>
                <w:color w:val="231F20"/>
                <w:sz w:val="14"/>
              </w:rPr>
              <w:t>Светим.</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6"/>
              <w:rPr>
                <w:sz w:val="14"/>
              </w:rPr>
            </w:pPr>
            <w:r>
              <w:rPr>
                <w:color w:val="231F20"/>
                <w:sz w:val="14"/>
              </w:rPr>
              <w:t>Исус Христос као нови Адам и начел­ ник све твари</w:t>
            </w:r>
          </w:p>
        </w:tc>
        <w:tc>
          <w:tcPr>
            <w:tcW w:w="1587" w:type="dxa"/>
          </w:tcPr>
          <w:p w:rsidR="00041039" w:rsidRDefault="001B26CB">
            <w:pPr>
              <w:pStyle w:val="TableParagraph"/>
              <w:numPr>
                <w:ilvl w:val="0"/>
                <w:numId w:val="225"/>
              </w:numPr>
              <w:tabs>
                <w:tab w:val="left" w:pos="157"/>
              </w:tabs>
              <w:spacing w:before="9"/>
              <w:ind w:right="85"/>
              <w:jc w:val="both"/>
              <w:rPr>
                <w:sz w:val="14"/>
              </w:rPr>
            </w:pPr>
            <w:r>
              <w:rPr>
                <w:color w:val="231F20"/>
                <w:sz w:val="14"/>
              </w:rPr>
              <w:t>Исус Христос је нови Адам и једино са њим се остварује заједница са</w:t>
            </w:r>
            <w:r>
              <w:rPr>
                <w:color w:val="231F20"/>
                <w:spacing w:val="-1"/>
                <w:sz w:val="14"/>
              </w:rPr>
              <w:t xml:space="preserve"> </w:t>
            </w:r>
            <w:r>
              <w:rPr>
                <w:color w:val="231F20"/>
                <w:sz w:val="14"/>
              </w:rPr>
              <w:t>Богом.</w:t>
            </w:r>
          </w:p>
        </w:tc>
        <w:tc>
          <w:tcPr>
            <w:tcW w:w="2551" w:type="dxa"/>
          </w:tcPr>
          <w:p w:rsidR="00041039" w:rsidRDefault="001B26CB">
            <w:pPr>
              <w:pStyle w:val="TableParagraph"/>
              <w:numPr>
                <w:ilvl w:val="0"/>
                <w:numId w:val="224"/>
              </w:numPr>
              <w:tabs>
                <w:tab w:val="left" w:pos="157"/>
              </w:tabs>
              <w:spacing w:before="9"/>
              <w:ind w:right="216" w:hanging="99"/>
              <w:rPr>
                <w:sz w:val="14"/>
              </w:rPr>
            </w:pPr>
            <w:r>
              <w:rPr>
                <w:color w:val="231F20"/>
                <w:sz w:val="14"/>
              </w:rPr>
              <w:t>схвати да се Тајна Христова</w:t>
            </w:r>
            <w:r>
              <w:rPr>
                <w:color w:val="231F20"/>
                <w:spacing w:val="-24"/>
                <w:sz w:val="14"/>
              </w:rPr>
              <w:t xml:space="preserve"> </w:t>
            </w:r>
            <w:r>
              <w:rPr>
                <w:color w:val="231F20"/>
                <w:sz w:val="14"/>
              </w:rPr>
              <w:t>поисто­ већује са</w:t>
            </w:r>
            <w:r>
              <w:rPr>
                <w:color w:val="231F20"/>
                <w:spacing w:val="-1"/>
                <w:sz w:val="14"/>
              </w:rPr>
              <w:t xml:space="preserve"> </w:t>
            </w:r>
            <w:r>
              <w:rPr>
                <w:color w:val="231F20"/>
                <w:sz w:val="14"/>
              </w:rPr>
              <w:t>литургијом;</w:t>
            </w:r>
          </w:p>
        </w:tc>
        <w:tc>
          <w:tcPr>
            <w:tcW w:w="2834" w:type="dxa"/>
          </w:tcPr>
          <w:p w:rsidR="00041039" w:rsidRDefault="001B26CB">
            <w:pPr>
              <w:pStyle w:val="TableParagraph"/>
              <w:numPr>
                <w:ilvl w:val="0"/>
                <w:numId w:val="223"/>
              </w:numPr>
              <w:tabs>
                <w:tab w:val="left" w:pos="158"/>
              </w:tabs>
              <w:spacing w:before="9"/>
              <w:ind w:right="224"/>
              <w:rPr>
                <w:sz w:val="14"/>
              </w:rPr>
            </w:pPr>
            <w:r>
              <w:rPr>
                <w:color w:val="231F20"/>
                <w:sz w:val="14"/>
              </w:rPr>
              <w:t>Исус Христос као нови Адам и</w:t>
            </w:r>
            <w:r>
              <w:rPr>
                <w:color w:val="231F20"/>
                <w:spacing w:val="-24"/>
                <w:sz w:val="14"/>
              </w:rPr>
              <w:t xml:space="preserve"> </w:t>
            </w:r>
            <w:r>
              <w:rPr>
                <w:color w:val="231F20"/>
                <w:sz w:val="14"/>
              </w:rPr>
              <w:t>начелник све</w:t>
            </w:r>
            <w:r>
              <w:rPr>
                <w:color w:val="231F20"/>
                <w:spacing w:val="-1"/>
                <w:sz w:val="14"/>
              </w:rPr>
              <w:t xml:space="preserve"> </w:t>
            </w:r>
            <w:r>
              <w:rPr>
                <w:color w:val="231F20"/>
                <w:sz w:val="14"/>
              </w:rPr>
              <w:t>твари.</w:t>
            </w:r>
          </w:p>
        </w:tc>
        <w:tc>
          <w:tcPr>
            <w:tcW w:w="2267" w:type="dxa"/>
            <w:vMerge/>
            <w:tcBorders>
              <w:top w:val="nil"/>
            </w:tcBorders>
          </w:tcPr>
          <w:p w:rsidR="00041039" w:rsidRDefault="00041039">
            <w:pPr>
              <w:rPr>
                <w:sz w:val="2"/>
                <w:szCs w:val="2"/>
              </w:rPr>
            </w:pPr>
          </w:p>
        </w:tc>
      </w:tr>
      <w:tr w:rsidR="00041039">
        <w:trPr>
          <w:trHeight w:val="840"/>
        </w:trPr>
        <w:tc>
          <w:tcPr>
            <w:tcW w:w="1304" w:type="dxa"/>
          </w:tcPr>
          <w:p w:rsidR="00041039" w:rsidRDefault="001B26CB">
            <w:pPr>
              <w:pStyle w:val="TableParagraph"/>
              <w:spacing w:before="19"/>
              <w:ind w:left="57" w:right="72"/>
              <w:rPr>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и створене</w:t>
            </w:r>
            <w:r>
              <w:rPr>
                <w:color w:val="231F20"/>
                <w:spacing w:val="-10"/>
                <w:sz w:val="14"/>
              </w:rPr>
              <w:t xml:space="preserve"> </w:t>
            </w:r>
            <w:r>
              <w:rPr>
                <w:color w:val="231F20"/>
                <w:sz w:val="14"/>
              </w:rPr>
              <w:t>природе са</w:t>
            </w:r>
            <w:r>
              <w:rPr>
                <w:color w:val="231F20"/>
                <w:spacing w:val="-1"/>
                <w:sz w:val="14"/>
              </w:rPr>
              <w:t xml:space="preserve"> </w:t>
            </w:r>
            <w:r>
              <w:rPr>
                <w:color w:val="231F20"/>
                <w:sz w:val="14"/>
              </w:rPr>
              <w:t>Христом</w:t>
            </w:r>
          </w:p>
        </w:tc>
        <w:tc>
          <w:tcPr>
            <w:tcW w:w="1587" w:type="dxa"/>
          </w:tcPr>
          <w:p w:rsidR="00041039" w:rsidRDefault="001B26CB">
            <w:pPr>
              <w:pStyle w:val="TableParagraph"/>
              <w:numPr>
                <w:ilvl w:val="0"/>
                <w:numId w:val="222"/>
              </w:numPr>
              <w:tabs>
                <w:tab w:val="left" w:pos="157"/>
              </w:tabs>
              <w:spacing w:before="9"/>
              <w:ind w:right="103" w:hanging="99"/>
              <w:rPr>
                <w:sz w:val="14"/>
              </w:rPr>
            </w:pPr>
            <w:r>
              <w:rPr>
                <w:color w:val="231F20"/>
                <w:sz w:val="14"/>
              </w:rPr>
              <w:t xml:space="preserve">Да </w:t>
            </w:r>
            <w:r>
              <w:rPr>
                <w:color w:val="231F20"/>
                <w:spacing w:val="-3"/>
                <w:sz w:val="14"/>
              </w:rPr>
              <w:t xml:space="preserve">људи </w:t>
            </w:r>
            <w:r>
              <w:rPr>
                <w:color w:val="231F20"/>
                <w:sz w:val="14"/>
              </w:rPr>
              <w:t>и створена природа могу да остваре заједницу са Христом</w:t>
            </w:r>
            <w:r>
              <w:rPr>
                <w:color w:val="231F20"/>
                <w:spacing w:val="-11"/>
                <w:sz w:val="14"/>
              </w:rPr>
              <w:t xml:space="preserve"> </w:t>
            </w:r>
            <w:r>
              <w:rPr>
                <w:color w:val="231F20"/>
                <w:sz w:val="14"/>
              </w:rPr>
              <w:t>посредством Духа</w:t>
            </w:r>
            <w:r>
              <w:rPr>
                <w:color w:val="231F20"/>
                <w:spacing w:val="-1"/>
                <w:sz w:val="14"/>
              </w:rPr>
              <w:t xml:space="preserve"> </w:t>
            </w:r>
            <w:r>
              <w:rPr>
                <w:color w:val="231F20"/>
                <w:spacing w:val="-3"/>
                <w:sz w:val="14"/>
              </w:rPr>
              <w:t>Светог.</w:t>
            </w:r>
          </w:p>
        </w:tc>
        <w:tc>
          <w:tcPr>
            <w:tcW w:w="2551" w:type="dxa"/>
          </w:tcPr>
          <w:p w:rsidR="00041039" w:rsidRDefault="001B26CB">
            <w:pPr>
              <w:pStyle w:val="TableParagraph"/>
              <w:numPr>
                <w:ilvl w:val="0"/>
                <w:numId w:val="221"/>
              </w:numPr>
              <w:tabs>
                <w:tab w:val="left" w:pos="157"/>
              </w:tabs>
              <w:spacing w:before="9"/>
              <w:ind w:right="114" w:hanging="99"/>
              <w:rPr>
                <w:sz w:val="14"/>
              </w:rPr>
            </w:pPr>
            <w:r>
              <w:rPr>
                <w:color w:val="231F20"/>
                <w:sz w:val="14"/>
              </w:rPr>
              <w:t>уочи да Дух Свети конституише цркву кроз крштење, миропомазање</w:t>
            </w:r>
            <w:r>
              <w:rPr>
                <w:color w:val="231F20"/>
                <w:spacing w:val="-12"/>
                <w:sz w:val="14"/>
              </w:rPr>
              <w:t xml:space="preserve"> </w:t>
            </w:r>
            <w:r>
              <w:rPr>
                <w:color w:val="231F20"/>
                <w:sz w:val="14"/>
              </w:rPr>
              <w:t>и рукоположење;</w:t>
            </w:r>
          </w:p>
        </w:tc>
        <w:tc>
          <w:tcPr>
            <w:tcW w:w="2834" w:type="dxa"/>
          </w:tcPr>
          <w:p w:rsidR="00041039" w:rsidRDefault="001B26CB">
            <w:pPr>
              <w:pStyle w:val="TableParagraph"/>
              <w:numPr>
                <w:ilvl w:val="0"/>
                <w:numId w:val="220"/>
              </w:numPr>
              <w:tabs>
                <w:tab w:val="left" w:pos="158"/>
              </w:tabs>
              <w:spacing w:before="9"/>
              <w:ind w:right="312"/>
              <w:rPr>
                <w:sz w:val="14"/>
              </w:rPr>
            </w:pPr>
            <w:r>
              <w:rPr>
                <w:color w:val="231F20"/>
                <w:spacing w:val="-4"/>
                <w:sz w:val="14"/>
              </w:rPr>
              <w:t xml:space="preserve">Улога </w:t>
            </w:r>
            <w:r>
              <w:rPr>
                <w:color w:val="231F20"/>
                <w:sz w:val="14"/>
              </w:rPr>
              <w:t xml:space="preserve">Духа Светог у сједињењу </w:t>
            </w:r>
            <w:r>
              <w:rPr>
                <w:color w:val="231F20"/>
                <w:spacing w:val="-3"/>
                <w:sz w:val="14"/>
              </w:rPr>
              <w:t xml:space="preserve">људи </w:t>
            </w:r>
            <w:r>
              <w:rPr>
                <w:color w:val="231F20"/>
                <w:sz w:val="14"/>
              </w:rPr>
              <w:t>и створене природе са</w:t>
            </w:r>
            <w:r>
              <w:rPr>
                <w:color w:val="231F20"/>
                <w:spacing w:val="-3"/>
                <w:sz w:val="14"/>
              </w:rPr>
              <w:t xml:space="preserve"> </w:t>
            </w:r>
            <w:r>
              <w:rPr>
                <w:color w:val="231F20"/>
                <w:sz w:val="14"/>
              </w:rPr>
              <w:t>Христом.</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ight="184"/>
              <w:rPr>
                <w:sz w:val="14"/>
              </w:rPr>
            </w:pPr>
            <w:r>
              <w:rPr>
                <w:color w:val="231F20"/>
                <w:sz w:val="14"/>
              </w:rPr>
              <w:t>Литургија као икона истинског постојања света ­ Царства Божјег</w:t>
            </w:r>
          </w:p>
        </w:tc>
        <w:tc>
          <w:tcPr>
            <w:tcW w:w="1587" w:type="dxa"/>
          </w:tcPr>
          <w:p w:rsidR="00041039" w:rsidRDefault="001B26CB">
            <w:pPr>
              <w:pStyle w:val="TableParagraph"/>
              <w:numPr>
                <w:ilvl w:val="0"/>
                <w:numId w:val="219"/>
              </w:numPr>
              <w:tabs>
                <w:tab w:val="left" w:pos="157"/>
              </w:tabs>
              <w:spacing w:before="9"/>
              <w:ind w:right="43" w:hanging="99"/>
              <w:rPr>
                <w:sz w:val="14"/>
              </w:rPr>
            </w:pPr>
            <w:r>
              <w:rPr>
                <w:color w:val="231F20"/>
                <w:spacing w:val="-3"/>
                <w:sz w:val="14"/>
              </w:rPr>
              <w:t xml:space="preserve">Указати </w:t>
            </w:r>
            <w:r>
              <w:rPr>
                <w:color w:val="231F20"/>
                <w:sz w:val="14"/>
              </w:rPr>
              <w:t>да постоји онтолошка разлика између иконе чији је прототип у</w:t>
            </w:r>
            <w:r>
              <w:rPr>
                <w:color w:val="231F20"/>
                <w:spacing w:val="-22"/>
                <w:sz w:val="14"/>
              </w:rPr>
              <w:t xml:space="preserve"> </w:t>
            </w:r>
            <w:r>
              <w:rPr>
                <w:color w:val="231F20"/>
                <w:sz w:val="14"/>
              </w:rPr>
              <w:t>будућности и слике која има про­ тотип у</w:t>
            </w:r>
            <w:r>
              <w:rPr>
                <w:color w:val="231F20"/>
                <w:spacing w:val="-3"/>
                <w:sz w:val="14"/>
              </w:rPr>
              <w:t xml:space="preserve"> </w:t>
            </w:r>
            <w:r>
              <w:rPr>
                <w:color w:val="231F20"/>
                <w:sz w:val="14"/>
              </w:rPr>
              <w:t>прошлости.</w:t>
            </w:r>
          </w:p>
        </w:tc>
        <w:tc>
          <w:tcPr>
            <w:tcW w:w="2551" w:type="dxa"/>
          </w:tcPr>
          <w:p w:rsidR="00041039" w:rsidRDefault="001B26CB">
            <w:pPr>
              <w:pStyle w:val="TableParagraph"/>
              <w:numPr>
                <w:ilvl w:val="0"/>
                <w:numId w:val="218"/>
              </w:numPr>
              <w:tabs>
                <w:tab w:val="left" w:pos="158"/>
              </w:tabs>
              <w:spacing w:before="9"/>
              <w:ind w:right="188"/>
              <w:rPr>
                <w:sz w:val="14"/>
              </w:rPr>
            </w:pPr>
            <w:r>
              <w:rPr>
                <w:color w:val="231F20"/>
                <w:sz w:val="14"/>
              </w:rPr>
              <w:t xml:space="preserve">уочи идентичност структуре </w:t>
            </w:r>
            <w:r>
              <w:rPr>
                <w:color w:val="231F20"/>
                <w:spacing w:val="-3"/>
                <w:sz w:val="14"/>
              </w:rPr>
              <w:t xml:space="preserve">будућег </w:t>
            </w:r>
            <w:r>
              <w:rPr>
                <w:color w:val="231F20"/>
                <w:sz w:val="14"/>
              </w:rPr>
              <w:t>Царства Божјег и</w:t>
            </w:r>
            <w:r>
              <w:rPr>
                <w:color w:val="231F20"/>
                <w:spacing w:val="-4"/>
                <w:sz w:val="14"/>
              </w:rPr>
              <w:t xml:space="preserve"> </w:t>
            </w:r>
            <w:r>
              <w:rPr>
                <w:color w:val="231F20"/>
                <w:sz w:val="14"/>
              </w:rPr>
              <w:t>литургије;</w:t>
            </w:r>
          </w:p>
        </w:tc>
        <w:tc>
          <w:tcPr>
            <w:tcW w:w="2834" w:type="dxa"/>
          </w:tcPr>
          <w:p w:rsidR="00041039" w:rsidRDefault="001B26CB">
            <w:pPr>
              <w:pStyle w:val="TableParagraph"/>
              <w:numPr>
                <w:ilvl w:val="0"/>
                <w:numId w:val="217"/>
              </w:numPr>
              <w:tabs>
                <w:tab w:val="left" w:pos="158"/>
              </w:tabs>
              <w:spacing w:before="9"/>
              <w:ind w:right="178"/>
              <w:rPr>
                <w:sz w:val="14"/>
              </w:rPr>
            </w:pPr>
            <w:r>
              <w:rPr>
                <w:color w:val="231F20"/>
                <w:sz w:val="14"/>
              </w:rPr>
              <w:t>Литургија</w:t>
            </w:r>
            <w:r>
              <w:rPr>
                <w:color w:val="231F20"/>
                <w:spacing w:val="-7"/>
                <w:sz w:val="14"/>
              </w:rPr>
              <w:t xml:space="preserve"> </w:t>
            </w:r>
            <w:r>
              <w:rPr>
                <w:color w:val="231F20"/>
                <w:sz w:val="14"/>
              </w:rPr>
              <w:t>као</w:t>
            </w:r>
            <w:r>
              <w:rPr>
                <w:color w:val="231F20"/>
                <w:spacing w:val="-7"/>
                <w:sz w:val="14"/>
              </w:rPr>
              <w:t xml:space="preserve"> </w:t>
            </w:r>
            <w:r>
              <w:rPr>
                <w:color w:val="231F20"/>
                <w:sz w:val="14"/>
              </w:rPr>
              <w:t>икона</w:t>
            </w:r>
            <w:r>
              <w:rPr>
                <w:color w:val="231F20"/>
                <w:spacing w:val="-7"/>
                <w:sz w:val="14"/>
              </w:rPr>
              <w:t xml:space="preserve"> </w:t>
            </w:r>
            <w:r>
              <w:rPr>
                <w:color w:val="231F20"/>
                <w:sz w:val="14"/>
              </w:rPr>
              <w:t>истинског</w:t>
            </w:r>
            <w:r>
              <w:rPr>
                <w:color w:val="231F20"/>
                <w:spacing w:val="-7"/>
                <w:sz w:val="14"/>
              </w:rPr>
              <w:t xml:space="preserve"> </w:t>
            </w:r>
            <w:r>
              <w:rPr>
                <w:color w:val="231F20"/>
                <w:sz w:val="14"/>
              </w:rPr>
              <w:t>постојања света ­ Царства</w:t>
            </w:r>
            <w:r>
              <w:rPr>
                <w:color w:val="231F20"/>
                <w:spacing w:val="-2"/>
                <w:sz w:val="14"/>
              </w:rPr>
              <w:t xml:space="preserve"> </w:t>
            </w:r>
            <w:r>
              <w:rPr>
                <w:color w:val="231F20"/>
                <w:spacing w:val="-3"/>
                <w:sz w:val="14"/>
              </w:rPr>
              <w:t>Божјег.</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Pr>
                <w:sz w:val="14"/>
              </w:rPr>
            </w:pPr>
            <w:r>
              <w:rPr>
                <w:color w:val="231F20"/>
                <w:sz w:val="14"/>
              </w:rPr>
              <w:t>Апостолско прејем­ ство</w:t>
            </w:r>
          </w:p>
        </w:tc>
        <w:tc>
          <w:tcPr>
            <w:tcW w:w="1587" w:type="dxa"/>
          </w:tcPr>
          <w:p w:rsidR="00041039" w:rsidRDefault="001B26CB">
            <w:pPr>
              <w:pStyle w:val="TableParagraph"/>
              <w:numPr>
                <w:ilvl w:val="0"/>
                <w:numId w:val="216"/>
              </w:numPr>
              <w:tabs>
                <w:tab w:val="left" w:pos="157"/>
              </w:tabs>
              <w:spacing w:before="11" w:line="237" w:lineRule="auto"/>
              <w:ind w:right="68" w:hanging="99"/>
              <w:rPr>
                <w:sz w:val="14"/>
              </w:rPr>
            </w:pPr>
            <w:r>
              <w:rPr>
                <w:color w:val="231F20"/>
                <w:spacing w:val="-3"/>
                <w:sz w:val="14"/>
              </w:rPr>
              <w:t xml:space="preserve">Указати </w:t>
            </w:r>
            <w:r>
              <w:rPr>
                <w:color w:val="231F20"/>
                <w:sz w:val="14"/>
              </w:rPr>
              <w:t>ученицима да апостолско</w:t>
            </w:r>
            <w:r>
              <w:rPr>
                <w:color w:val="231F20"/>
                <w:spacing w:val="-17"/>
                <w:sz w:val="14"/>
              </w:rPr>
              <w:t xml:space="preserve"> </w:t>
            </w:r>
            <w:r>
              <w:rPr>
                <w:color w:val="231F20"/>
                <w:sz w:val="14"/>
              </w:rPr>
              <w:t>прејемство подразумева да се црква установљује не на основу прошлости већ</w:t>
            </w:r>
            <w:r>
              <w:rPr>
                <w:color w:val="231F20"/>
                <w:spacing w:val="-2"/>
                <w:sz w:val="14"/>
              </w:rPr>
              <w:t xml:space="preserve"> </w:t>
            </w:r>
            <w:r>
              <w:rPr>
                <w:color w:val="231F20"/>
                <w:sz w:val="14"/>
              </w:rPr>
              <w:t>будућности.</w:t>
            </w:r>
          </w:p>
        </w:tc>
        <w:tc>
          <w:tcPr>
            <w:tcW w:w="2551" w:type="dxa"/>
          </w:tcPr>
          <w:p w:rsidR="00041039" w:rsidRDefault="001B26CB">
            <w:pPr>
              <w:pStyle w:val="TableParagraph"/>
              <w:numPr>
                <w:ilvl w:val="0"/>
                <w:numId w:val="215"/>
              </w:numPr>
              <w:tabs>
                <w:tab w:val="left" w:pos="158"/>
              </w:tabs>
              <w:spacing w:before="9"/>
              <w:ind w:right="55"/>
              <w:rPr>
                <w:sz w:val="14"/>
              </w:rPr>
            </w:pPr>
            <w:r>
              <w:rPr>
                <w:color w:val="231F20"/>
                <w:sz w:val="14"/>
              </w:rPr>
              <w:t>уочи</w:t>
            </w:r>
            <w:r>
              <w:rPr>
                <w:color w:val="231F20"/>
                <w:spacing w:val="-7"/>
                <w:sz w:val="14"/>
              </w:rPr>
              <w:t xml:space="preserve"> </w:t>
            </w:r>
            <w:r>
              <w:rPr>
                <w:color w:val="231F20"/>
                <w:sz w:val="14"/>
              </w:rPr>
              <w:t>да</w:t>
            </w:r>
            <w:r>
              <w:rPr>
                <w:color w:val="231F20"/>
                <w:spacing w:val="-7"/>
                <w:sz w:val="14"/>
              </w:rPr>
              <w:t xml:space="preserve"> </w:t>
            </w:r>
            <w:r>
              <w:rPr>
                <w:color w:val="231F20"/>
                <w:sz w:val="14"/>
              </w:rPr>
              <w:t>апостолско</w:t>
            </w:r>
            <w:r>
              <w:rPr>
                <w:color w:val="231F20"/>
                <w:spacing w:val="-7"/>
                <w:sz w:val="14"/>
              </w:rPr>
              <w:t xml:space="preserve"> </w:t>
            </w:r>
            <w:r>
              <w:rPr>
                <w:color w:val="231F20"/>
                <w:sz w:val="14"/>
              </w:rPr>
              <w:t>прејемство</w:t>
            </w:r>
            <w:r>
              <w:rPr>
                <w:color w:val="231F20"/>
                <w:spacing w:val="-7"/>
                <w:sz w:val="14"/>
              </w:rPr>
              <w:t xml:space="preserve"> </w:t>
            </w:r>
            <w:r>
              <w:rPr>
                <w:color w:val="231F20"/>
                <w:sz w:val="14"/>
              </w:rPr>
              <w:t xml:space="preserve">посред­ ством Духа Светог </w:t>
            </w:r>
            <w:r>
              <w:rPr>
                <w:color w:val="231F20"/>
                <w:spacing w:val="-3"/>
                <w:sz w:val="14"/>
              </w:rPr>
              <w:t xml:space="preserve">преко </w:t>
            </w:r>
            <w:r>
              <w:rPr>
                <w:color w:val="231F20"/>
                <w:sz w:val="14"/>
              </w:rPr>
              <w:t>литургије улази у</w:t>
            </w:r>
            <w:r>
              <w:rPr>
                <w:color w:val="231F20"/>
                <w:spacing w:val="-2"/>
                <w:sz w:val="14"/>
              </w:rPr>
              <w:t xml:space="preserve"> </w:t>
            </w:r>
            <w:r>
              <w:rPr>
                <w:color w:val="231F20"/>
                <w:sz w:val="14"/>
              </w:rPr>
              <w:t>историју;</w:t>
            </w:r>
          </w:p>
        </w:tc>
        <w:tc>
          <w:tcPr>
            <w:tcW w:w="2834" w:type="dxa"/>
          </w:tcPr>
          <w:p w:rsidR="00041039" w:rsidRDefault="001B26CB">
            <w:pPr>
              <w:pStyle w:val="TableParagraph"/>
              <w:numPr>
                <w:ilvl w:val="0"/>
                <w:numId w:val="214"/>
              </w:numPr>
              <w:tabs>
                <w:tab w:val="left" w:pos="158"/>
              </w:tabs>
              <w:spacing w:before="9"/>
              <w:ind w:hanging="99"/>
              <w:rPr>
                <w:sz w:val="14"/>
              </w:rPr>
            </w:pPr>
            <w:r>
              <w:rPr>
                <w:color w:val="231F20"/>
                <w:sz w:val="14"/>
              </w:rPr>
              <w:t>Апостолско</w:t>
            </w:r>
            <w:r>
              <w:rPr>
                <w:color w:val="231F20"/>
                <w:spacing w:val="-1"/>
                <w:sz w:val="14"/>
              </w:rPr>
              <w:t xml:space="preserve"> </w:t>
            </w:r>
            <w:r>
              <w:rPr>
                <w:color w:val="231F20"/>
                <w:sz w:val="14"/>
              </w:rPr>
              <w:t>прејемство.</w:t>
            </w:r>
          </w:p>
        </w:tc>
        <w:tc>
          <w:tcPr>
            <w:tcW w:w="2267" w:type="dxa"/>
            <w:vMerge/>
            <w:tcBorders>
              <w:top w:val="nil"/>
            </w:tcBorders>
          </w:tcPr>
          <w:p w:rsidR="00041039" w:rsidRDefault="00041039">
            <w:pPr>
              <w:rPr>
                <w:sz w:val="2"/>
                <w:szCs w:val="2"/>
              </w:rPr>
            </w:pPr>
          </w:p>
        </w:tc>
      </w:tr>
      <w:tr w:rsidR="00041039">
        <w:trPr>
          <w:trHeight w:val="1495"/>
        </w:trPr>
        <w:tc>
          <w:tcPr>
            <w:tcW w:w="1304" w:type="dxa"/>
          </w:tcPr>
          <w:p w:rsidR="00041039" w:rsidRDefault="001B26CB">
            <w:pPr>
              <w:pStyle w:val="TableParagraph"/>
              <w:spacing w:before="19"/>
              <w:ind w:left="57" w:right="245"/>
              <w:rPr>
                <w:sz w:val="14"/>
              </w:rPr>
            </w:pPr>
            <w:r>
              <w:rPr>
                <w:color w:val="231F20"/>
                <w:sz w:val="14"/>
              </w:rPr>
              <w:t>Распеће и</w:t>
            </w:r>
            <w:r>
              <w:rPr>
                <w:color w:val="231F20"/>
                <w:spacing w:val="-9"/>
                <w:sz w:val="14"/>
              </w:rPr>
              <w:t xml:space="preserve"> </w:t>
            </w:r>
            <w:r>
              <w:rPr>
                <w:color w:val="231F20"/>
                <w:sz w:val="14"/>
              </w:rPr>
              <w:t>васкр­ сење Христово у православној иконографији</w:t>
            </w:r>
          </w:p>
        </w:tc>
        <w:tc>
          <w:tcPr>
            <w:tcW w:w="1587" w:type="dxa"/>
          </w:tcPr>
          <w:p w:rsidR="00041039" w:rsidRDefault="001B26CB">
            <w:pPr>
              <w:pStyle w:val="TableParagraph"/>
              <w:numPr>
                <w:ilvl w:val="0"/>
                <w:numId w:val="213"/>
              </w:numPr>
              <w:tabs>
                <w:tab w:val="left" w:pos="157"/>
              </w:tabs>
              <w:spacing w:before="9"/>
              <w:ind w:right="107" w:hanging="99"/>
              <w:rPr>
                <w:sz w:val="14"/>
              </w:rPr>
            </w:pPr>
            <w:r>
              <w:rPr>
                <w:color w:val="231F20"/>
                <w:spacing w:val="-3"/>
                <w:sz w:val="14"/>
              </w:rPr>
              <w:t xml:space="preserve">Указати </w:t>
            </w:r>
            <w:r>
              <w:rPr>
                <w:color w:val="231F20"/>
                <w:sz w:val="14"/>
              </w:rPr>
              <w:t>ученицима да се на иконама</w:t>
            </w:r>
            <w:r>
              <w:rPr>
                <w:color w:val="231F20"/>
                <w:spacing w:val="-11"/>
                <w:sz w:val="14"/>
              </w:rPr>
              <w:t xml:space="preserve"> </w:t>
            </w:r>
            <w:r>
              <w:rPr>
                <w:color w:val="231F20"/>
                <w:sz w:val="14"/>
              </w:rPr>
              <w:t>ових догађаја види</w:t>
            </w:r>
            <w:r>
              <w:rPr>
                <w:color w:val="231F20"/>
                <w:spacing w:val="-3"/>
                <w:sz w:val="14"/>
              </w:rPr>
              <w:t xml:space="preserve"> </w:t>
            </w:r>
            <w:r>
              <w:rPr>
                <w:color w:val="231F20"/>
                <w:sz w:val="14"/>
              </w:rPr>
              <w:t>однос</w:t>
            </w:r>
          </w:p>
          <w:p w:rsidR="00041039" w:rsidRDefault="001B26CB">
            <w:pPr>
              <w:pStyle w:val="TableParagraph"/>
              <w:spacing w:line="237" w:lineRule="auto"/>
              <w:ind w:right="15"/>
              <w:rPr>
                <w:sz w:val="14"/>
              </w:rPr>
            </w:pPr>
            <w:r>
              <w:rPr>
                <w:color w:val="231F20"/>
                <w:sz w:val="14"/>
              </w:rPr>
              <w:t>у коме ови догађаји стоје са будућим Царством Божијим.</w:t>
            </w:r>
          </w:p>
        </w:tc>
        <w:tc>
          <w:tcPr>
            <w:tcW w:w="2551" w:type="dxa"/>
          </w:tcPr>
          <w:p w:rsidR="00041039" w:rsidRDefault="001B26CB">
            <w:pPr>
              <w:pStyle w:val="TableParagraph"/>
              <w:numPr>
                <w:ilvl w:val="0"/>
                <w:numId w:val="212"/>
              </w:numPr>
              <w:tabs>
                <w:tab w:val="left" w:pos="158"/>
              </w:tabs>
              <w:spacing w:before="10"/>
              <w:ind w:right="94"/>
              <w:rPr>
                <w:sz w:val="14"/>
              </w:rPr>
            </w:pPr>
            <w:r>
              <w:rPr>
                <w:color w:val="231F20"/>
                <w:sz w:val="14"/>
              </w:rPr>
              <w:t>запази разлику између иконографског приказивања распећа и васкрсења Христовог у православној и ренесанс­ ној</w:t>
            </w:r>
            <w:r>
              <w:rPr>
                <w:color w:val="231F20"/>
                <w:spacing w:val="-2"/>
                <w:sz w:val="14"/>
              </w:rPr>
              <w:t xml:space="preserve"> </w:t>
            </w:r>
            <w:r>
              <w:rPr>
                <w:color w:val="231F20"/>
                <w:sz w:val="14"/>
              </w:rPr>
              <w:t>традицији;</w:t>
            </w:r>
          </w:p>
        </w:tc>
        <w:tc>
          <w:tcPr>
            <w:tcW w:w="2834" w:type="dxa"/>
          </w:tcPr>
          <w:p w:rsidR="00041039" w:rsidRDefault="001B26CB">
            <w:pPr>
              <w:pStyle w:val="TableParagraph"/>
              <w:numPr>
                <w:ilvl w:val="0"/>
                <w:numId w:val="211"/>
              </w:numPr>
              <w:tabs>
                <w:tab w:val="left" w:pos="158"/>
              </w:tabs>
              <w:spacing w:before="10"/>
              <w:ind w:right="295" w:hanging="99"/>
              <w:rPr>
                <w:sz w:val="14"/>
              </w:rPr>
            </w:pPr>
            <w:r>
              <w:rPr>
                <w:color w:val="231F20"/>
                <w:sz w:val="14"/>
              </w:rPr>
              <w:t>Распеће и васкрсење Христово у</w:t>
            </w:r>
            <w:r>
              <w:rPr>
                <w:color w:val="231F20"/>
                <w:spacing w:val="-19"/>
                <w:sz w:val="14"/>
              </w:rPr>
              <w:t xml:space="preserve"> </w:t>
            </w:r>
            <w:r>
              <w:rPr>
                <w:color w:val="231F20"/>
                <w:sz w:val="14"/>
              </w:rPr>
              <w:t>право­ славној</w:t>
            </w:r>
            <w:r>
              <w:rPr>
                <w:color w:val="231F20"/>
                <w:spacing w:val="-1"/>
                <w:sz w:val="14"/>
              </w:rPr>
              <w:t xml:space="preserve"> </w:t>
            </w:r>
            <w:r>
              <w:rPr>
                <w:color w:val="231F20"/>
                <w:sz w:val="14"/>
              </w:rPr>
              <w:t>иконографији.</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ВЕРСКА </w:t>
      </w:r>
      <w:r>
        <w:rPr>
          <w:b/>
          <w:color w:val="231F20"/>
          <w:spacing w:val="-4"/>
          <w:sz w:val="14"/>
        </w:rPr>
        <w:t>НАСТАВА</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32 часа</w:t>
      </w:r>
    </w:p>
    <w:p w:rsidR="00041039" w:rsidRDefault="001B26CB">
      <w:pPr>
        <w:tabs>
          <w:tab w:val="left" w:pos="1461"/>
        </w:tabs>
        <w:spacing w:before="50"/>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5"/>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680"/>
        </w:trPr>
        <w:tc>
          <w:tcPr>
            <w:tcW w:w="1304" w:type="dxa"/>
          </w:tcPr>
          <w:p w:rsidR="00041039" w:rsidRDefault="001B26CB">
            <w:pPr>
              <w:pStyle w:val="TableParagraph"/>
              <w:spacing w:before="18"/>
              <w:ind w:left="56" w:right="37"/>
              <w:rPr>
                <w:sz w:val="14"/>
              </w:rPr>
            </w:pPr>
            <w:r>
              <w:rPr>
                <w:color w:val="231F20"/>
                <w:sz w:val="14"/>
              </w:rPr>
              <w:t>Хришћанско схва­ тање историје</w:t>
            </w:r>
          </w:p>
        </w:tc>
        <w:tc>
          <w:tcPr>
            <w:tcW w:w="1587" w:type="dxa"/>
          </w:tcPr>
          <w:p w:rsidR="00041039" w:rsidRDefault="001B26CB">
            <w:pPr>
              <w:pStyle w:val="TableParagraph"/>
              <w:numPr>
                <w:ilvl w:val="0"/>
                <w:numId w:val="210"/>
              </w:numPr>
              <w:tabs>
                <w:tab w:val="left" w:pos="157"/>
              </w:tabs>
              <w:spacing w:before="8"/>
              <w:ind w:right="75"/>
              <w:rPr>
                <w:sz w:val="14"/>
              </w:rPr>
            </w:pPr>
            <w:r>
              <w:rPr>
                <w:color w:val="231F20"/>
                <w:sz w:val="14"/>
              </w:rPr>
              <w:t>Да ученици увиде раз­ лику између циклич­ ног и праволинијског схватања</w:t>
            </w:r>
            <w:r>
              <w:rPr>
                <w:color w:val="231F20"/>
                <w:spacing w:val="-2"/>
                <w:sz w:val="14"/>
              </w:rPr>
              <w:t xml:space="preserve"> </w:t>
            </w:r>
            <w:r>
              <w:rPr>
                <w:color w:val="231F20"/>
                <w:sz w:val="14"/>
              </w:rPr>
              <w:t>времена.</w:t>
            </w:r>
          </w:p>
        </w:tc>
        <w:tc>
          <w:tcPr>
            <w:tcW w:w="2551" w:type="dxa"/>
          </w:tcPr>
          <w:p w:rsidR="00041039" w:rsidRDefault="001B26CB">
            <w:pPr>
              <w:pStyle w:val="TableParagraph"/>
              <w:numPr>
                <w:ilvl w:val="0"/>
                <w:numId w:val="209"/>
              </w:numPr>
              <w:tabs>
                <w:tab w:val="left" w:pos="157"/>
              </w:tabs>
              <w:spacing w:before="8"/>
              <w:ind w:right="44" w:hanging="99"/>
              <w:rPr>
                <w:sz w:val="14"/>
              </w:rPr>
            </w:pPr>
            <w:r>
              <w:rPr>
                <w:color w:val="231F20"/>
                <w:sz w:val="14"/>
              </w:rPr>
              <w:t>Да ученици ту разлику могу когнитив­ но</w:t>
            </w:r>
            <w:r>
              <w:rPr>
                <w:color w:val="231F20"/>
                <w:spacing w:val="-6"/>
                <w:sz w:val="14"/>
              </w:rPr>
              <w:t xml:space="preserve"> </w:t>
            </w:r>
            <w:r>
              <w:rPr>
                <w:color w:val="231F20"/>
                <w:sz w:val="14"/>
              </w:rPr>
              <w:t>да</w:t>
            </w:r>
            <w:r>
              <w:rPr>
                <w:color w:val="231F20"/>
                <w:spacing w:val="-6"/>
                <w:sz w:val="14"/>
              </w:rPr>
              <w:t xml:space="preserve"> </w:t>
            </w:r>
            <w:r>
              <w:rPr>
                <w:color w:val="231F20"/>
                <w:sz w:val="14"/>
              </w:rPr>
              <w:t>примене</w:t>
            </w:r>
            <w:r>
              <w:rPr>
                <w:color w:val="231F20"/>
                <w:spacing w:val="-6"/>
                <w:sz w:val="14"/>
              </w:rPr>
              <w:t xml:space="preserve"> </w:t>
            </w:r>
            <w:r>
              <w:rPr>
                <w:color w:val="231F20"/>
                <w:sz w:val="14"/>
              </w:rPr>
              <w:t>на</w:t>
            </w:r>
            <w:r>
              <w:rPr>
                <w:color w:val="231F20"/>
                <w:spacing w:val="-6"/>
                <w:sz w:val="14"/>
              </w:rPr>
              <w:t xml:space="preserve"> </w:t>
            </w:r>
            <w:r>
              <w:rPr>
                <w:color w:val="231F20"/>
                <w:sz w:val="14"/>
              </w:rPr>
              <w:t>схватање</w:t>
            </w:r>
            <w:r>
              <w:rPr>
                <w:color w:val="231F20"/>
                <w:spacing w:val="-6"/>
                <w:sz w:val="14"/>
              </w:rPr>
              <w:t xml:space="preserve"> </w:t>
            </w:r>
            <w:r>
              <w:rPr>
                <w:color w:val="231F20"/>
                <w:sz w:val="14"/>
              </w:rPr>
              <w:t>историјског тока времена као приближавања Царству</w:t>
            </w:r>
            <w:r>
              <w:rPr>
                <w:color w:val="231F20"/>
                <w:spacing w:val="-1"/>
                <w:sz w:val="14"/>
              </w:rPr>
              <w:t xml:space="preserve"> </w:t>
            </w:r>
            <w:r>
              <w:rPr>
                <w:color w:val="231F20"/>
                <w:sz w:val="14"/>
              </w:rPr>
              <w:t>Божијем;</w:t>
            </w:r>
          </w:p>
        </w:tc>
        <w:tc>
          <w:tcPr>
            <w:tcW w:w="2834" w:type="dxa"/>
          </w:tcPr>
          <w:p w:rsidR="00041039" w:rsidRDefault="001B26CB">
            <w:pPr>
              <w:pStyle w:val="TableParagraph"/>
              <w:numPr>
                <w:ilvl w:val="0"/>
                <w:numId w:val="208"/>
              </w:numPr>
              <w:tabs>
                <w:tab w:val="left" w:pos="157"/>
              </w:tabs>
              <w:spacing w:before="8"/>
              <w:ind w:hanging="99"/>
              <w:rPr>
                <w:sz w:val="14"/>
              </w:rPr>
            </w:pPr>
            <w:r>
              <w:rPr>
                <w:color w:val="231F20"/>
                <w:sz w:val="14"/>
              </w:rPr>
              <w:t>Хришћанско схватање</w:t>
            </w:r>
            <w:r>
              <w:rPr>
                <w:color w:val="231F20"/>
                <w:spacing w:val="-3"/>
                <w:sz w:val="14"/>
              </w:rPr>
              <w:t xml:space="preserve"> </w:t>
            </w:r>
            <w:r>
              <w:rPr>
                <w:color w:val="231F20"/>
                <w:sz w:val="14"/>
              </w:rPr>
              <w:t>историје.</w:t>
            </w:r>
          </w:p>
        </w:tc>
        <w:tc>
          <w:tcPr>
            <w:tcW w:w="2267" w:type="dxa"/>
            <w:vMerge w:val="restart"/>
          </w:tcPr>
          <w:p w:rsidR="00041039" w:rsidRDefault="001B26CB">
            <w:pPr>
              <w:pStyle w:val="TableParagraph"/>
              <w:numPr>
                <w:ilvl w:val="0"/>
                <w:numId w:val="207"/>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07"/>
              </w:numPr>
              <w:tabs>
                <w:tab w:val="left" w:pos="158"/>
              </w:tabs>
              <w:spacing w:line="160" w:lineRule="exact"/>
              <w:ind w:hanging="99"/>
              <w:rPr>
                <w:b/>
                <w:sz w:val="14"/>
              </w:rPr>
            </w:pPr>
            <w:r>
              <w:rPr>
                <w:color w:val="231F20"/>
                <w:sz w:val="14"/>
              </w:rPr>
              <w:t xml:space="preserve">теоријска настава </w:t>
            </w:r>
            <w:r>
              <w:rPr>
                <w:b/>
                <w:color w:val="231F20"/>
                <w:sz w:val="14"/>
              </w:rPr>
              <w:t>(32</w:t>
            </w:r>
            <w:r>
              <w:rPr>
                <w:b/>
                <w:color w:val="231F20"/>
                <w:spacing w:val="-2"/>
                <w:sz w:val="14"/>
              </w:rPr>
              <w:t xml:space="preserve"> </w:t>
            </w:r>
            <w:r>
              <w:rPr>
                <w:b/>
                <w:color w:val="231F20"/>
                <w:sz w:val="14"/>
              </w:rPr>
              <w:t>часа)</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55" w:lineRule="exact"/>
              <w:ind w:left="58"/>
              <w:rPr>
                <w:b/>
                <w:sz w:val="14"/>
              </w:rPr>
            </w:pPr>
            <w:r>
              <w:rPr>
                <w:b/>
                <w:color w:val="231F20"/>
                <w:sz w:val="14"/>
              </w:rPr>
              <w:t>Место реализације наставе</w:t>
            </w:r>
          </w:p>
          <w:p w:rsidR="00041039" w:rsidRDefault="001B26CB">
            <w:pPr>
              <w:pStyle w:val="TableParagraph"/>
              <w:numPr>
                <w:ilvl w:val="0"/>
                <w:numId w:val="207"/>
              </w:numPr>
              <w:tabs>
                <w:tab w:val="left" w:pos="158"/>
              </w:tabs>
              <w:spacing w:line="237" w:lineRule="auto"/>
              <w:ind w:right="159" w:hanging="9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041039" w:rsidRDefault="00041039">
            <w:pPr>
              <w:pStyle w:val="TableParagraph"/>
              <w:spacing w:before="6"/>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07"/>
              </w:numPr>
              <w:tabs>
                <w:tab w:val="left" w:pos="158"/>
              </w:tabs>
              <w:spacing w:line="160" w:lineRule="exact"/>
              <w:ind w:hanging="99"/>
              <w:rPr>
                <w:sz w:val="14"/>
              </w:rPr>
            </w:pPr>
            <w:r>
              <w:rPr>
                <w:color w:val="231F20"/>
                <w:sz w:val="14"/>
              </w:rPr>
              <w:t>праћење остварености</w:t>
            </w:r>
            <w:r>
              <w:rPr>
                <w:color w:val="231F20"/>
                <w:sz w:val="14"/>
              </w:rPr>
              <w:t xml:space="preserve"> </w:t>
            </w:r>
            <w:r>
              <w:rPr>
                <w:color w:val="231F20"/>
                <w:spacing w:val="-3"/>
                <w:sz w:val="14"/>
              </w:rPr>
              <w:t>исхода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207"/>
              </w:numPr>
              <w:tabs>
                <w:tab w:val="left" w:pos="158"/>
              </w:tabs>
              <w:spacing w:line="165" w:lineRule="exact"/>
              <w:ind w:hanging="99"/>
              <w:rPr>
                <w:sz w:val="14"/>
              </w:rPr>
            </w:pPr>
            <w:r>
              <w:rPr>
                <w:color w:val="231F20"/>
                <w:sz w:val="14"/>
              </w:rPr>
              <w:t>Хришћанско схватање</w:t>
            </w:r>
            <w:r>
              <w:rPr>
                <w:color w:val="231F20"/>
                <w:spacing w:val="-6"/>
                <w:sz w:val="14"/>
              </w:rPr>
              <w:t xml:space="preserve"> </w:t>
            </w:r>
            <w:r>
              <w:rPr>
                <w:color w:val="231F20"/>
                <w:sz w:val="14"/>
              </w:rPr>
              <w:t>историје</w:t>
            </w:r>
          </w:p>
          <w:p w:rsidR="00041039" w:rsidRDefault="001B26CB">
            <w:pPr>
              <w:pStyle w:val="TableParagraph"/>
              <w:spacing w:line="155" w:lineRule="exact"/>
              <w:ind w:left="157"/>
              <w:rPr>
                <w:b/>
                <w:sz w:val="14"/>
              </w:rPr>
            </w:pPr>
            <w:r>
              <w:rPr>
                <w:b/>
                <w:color w:val="231F20"/>
                <w:sz w:val="14"/>
              </w:rPr>
              <w:t>(5 часова)</w:t>
            </w:r>
          </w:p>
          <w:p w:rsidR="00041039" w:rsidRDefault="001B26CB">
            <w:pPr>
              <w:pStyle w:val="TableParagraph"/>
              <w:numPr>
                <w:ilvl w:val="0"/>
                <w:numId w:val="207"/>
              </w:numPr>
              <w:tabs>
                <w:tab w:val="left" w:pos="158"/>
              </w:tabs>
              <w:spacing w:line="237" w:lineRule="auto"/>
              <w:ind w:right="122" w:hanging="99"/>
              <w:rPr>
                <w:b/>
                <w:sz w:val="14"/>
              </w:rPr>
            </w:pPr>
            <w:r>
              <w:rPr>
                <w:color w:val="231F20"/>
                <w:sz w:val="14"/>
              </w:rPr>
              <w:t xml:space="preserve">Есхатон ­ </w:t>
            </w:r>
            <w:r>
              <w:rPr>
                <w:color w:val="231F20"/>
                <w:spacing w:val="-3"/>
                <w:sz w:val="14"/>
              </w:rPr>
              <w:t xml:space="preserve">будуће </w:t>
            </w:r>
            <w:r>
              <w:rPr>
                <w:color w:val="231F20"/>
                <w:sz w:val="14"/>
              </w:rPr>
              <w:t>Царство</w:t>
            </w:r>
            <w:r>
              <w:rPr>
                <w:color w:val="231F20"/>
                <w:spacing w:val="-16"/>
                <w:sz w:val="14"/>
              </w:rPr>
              <w:t xml:space="preserve"> </w:t>
            </w:r>
            <w:r>
              <w:rPr>
                <w:color w:val="231F20"/>
                <w:sz w:val="14"/>
              </w:rPr>
              <w:t xml:space="preserve">Божије као узрок Цркве и историје </w:t>
            </w:r>
            <w:r>
              <w:rPr>
                <w:b/>
                <w:color w:val="231F20"/>
                <w:sz w:val="14"/>
              </w:rPr>
              <w:t>(3 часа)</w:t>
            </w:r>
          </w:p>
        </w:tc>
      </w:tr>
      <w:tr w:rsidR="00041039">
        <w:trPr>
          <w:trHeight w:val="680"/>
        </w:trPr>
        <w:tc>
          <w:tcPr>
            <w:tcW w:w="1304" w:type="dxa"/>
          </w:tcPr>
          <w:p w:rsidR="00041039" w:rsidRDefault="001B26CB">
            <w:pPr>
              <w:pStyle w:val="TableParagraph"/>
              <w:spacing w:before="18"/>
              <w:ind w:left="56" w:right="137"/>
              <w:rPr>
                <w:sz w:val="14"/>
              </w:rPr>
            </w:pPr>
            <w:r>
              <w:rPr>
                <w:color w:val="231F20"/>
                <w:sz w:val="14"/>
              </w:rPr>
              <w:t>Есхатон ­ будуће Царство Божије као узрок Цркве и историје</w:t>
            </w:r>
          </w:p>
        </w:tc>
        <w:tc>
          <w:tcPr>
            <w:tcW w:w="1587" w:type="dxa"/>
          </w:tcPr>
          <w:p w:rsidR="00041039" w:rsidRDefault="001B26CB">
            <w:pPr>
              <w:pStyle w:val="TableParagraph"/>
              <w:numPr>
                <w:ilvl w:val="0"/>
                <w:numId w:val="206"/>
              </w:numPr>
              <w:tabs>
                <w:tab w:val="left" w:pos="157"/>
              </w:tabs>
              <w:spacing w:before="8"/>
              <w:ind w:right="201"/>
              <w:rPr>
                <w:sz w:val="14"/>
              </w:rPr>
            </w:pPr>
            <w:r>
              <w:rPr>
                <w:color w:val="231F20"/>
                <w:sz w:val="14"/>
              </w:rPr>
              <w:t xml:space="preserve">Да се </w:t>
            </w:r>
            <w:r>
              <w:rPr>
                <w:color w:val="231F20"/>
                <w:spacing w:val="-5"/>
                <w:sz w:val="14"/>
              </w:rPr>
              <w:t xml:space="preserve">код </w:t>
            </w:r>
            <w:r>
              <w:rPr>
                <w:color w:val="231F20"/>
                <w:sz w:val="14"/>
              </w:rPr>
              <w:t xml:space="preserve">ученика изгради свест о </w:t>
            </w:r>
            <w:r>
              <w:rPr>
                <w:color w:val="231F20"/>
                <w:spacing w:val="-3"/>
                <w:sz w:val="14"/>
              </w:rPr>
              <w:t xml:space="preserve">Есхатону, </w:t>
            </w:r>
            <w:r>
              <w:rPr>
                <w:color w:val="231F20"/>
                <w:sz w:val="14"/>
              </w:rPr>
              <w:t>као правој истини</w:t>
            </w:r>
            <w:r>
              <w:rPr>
                <w:color w:val="231F20"/>
                <w:spacing w:val="-2"/>
                <w:sz w:val="14"/>
              </w:rPr>
              <w:t xml:space="preserve"> </w:t>
            </w:r>
            <w:r>
              <w:rPr>
                <w:color w:val="231F20"/>
                <w:sz w:val="14"/>
              </w:rPr>
              <w:t>света.</w:t>
            </w:r>
          </w:p>
        </w:tc>
        <w:tc>
          <w:tcPr>
            <w:tcW w:w="2551" w:type="dxa"/>
          </w:tcPr>
          <w:p w:rsidR="00041039" w:rsidRDefault="001B26CB">
            <w:pPr>
              <w:pStyle w:val="TableParagraph"/>
              <w:numPr>
                <w:ilvl w:val="0"/>
                <w:numId w:val="205"/>
              </w:numPr>
              <w:tabs>
                <w:tab w:val="left" w:pos="157"/>
              </w:tabs>
              <w:spacing w:before="8"/>
              <w:ind w:right="152" w:hanging="99"/>
              <w:rPr>
                <w:sz w:val="14"/>
              </w:rPr>
            </w:pPr>
            <w:r>
              <w:rPr>
                <w:color w:val="231F20"/>
                <w:sz w:val="14"/>
              </w:rPr>
              <w:t>Да ученици схвате да је Есхатон</w:t>
            </w:r>
            <w:r>
              <w:rPr>
                <w:color w:val="231F20"/>
                <w:spacing w:val="-21"/>
                <w:sz w:val="14"/>
              </w:rPr>
              <w:t xml:space="preserve"> </w:t>
            </w:r>
            <w:r>
              <w:rPr>
                <w:color w:val="231F20"/>
                <w:sz w:val="14"/>
              </w:rPr>
              <w:t>сми­ сао, крај и испуњење</w:t>
            </w:r>
            <w:r>
              <w:rPr>
                <w:color w:val="231F20"/>
                <w:spacing w:val="-5"/>
                <w:sz w:val="14"/>
              </w:rPr>
              <w:t xml:space="preserve"> </w:t>
            </w:r>
            <w:r>
              <w:rPr>
                <w:color w:val="231F20"/>
                <w:sz w:val="14"/>
              </w:rPr>
              <w:t>историје;</w:t>
            </w:r>
          </w:p>
        </w:tc>
        <w:tc>
          <w:tcPr>
            <w:tcW w:w="2834" w:type="dxa"/>
          </w:tcPr>
          <w:p w:rsidR="00041039" w:rsidRDefault="001B26CB">
            <w:pPr>
              <w:pStyle w:val="TableParagraph"/>
              <w:numPr>
                <w:ilvl w:val="0"/>
                <w:numId w:val="204"/>
              </w:numPr>
              <w:tabs>
                <w:tab w:val="left" w:pos="157"/>
              </w:tabs>
              <w:spacing w:before="8"/>
              <w:ind w:right="88" w:hanging="99"/>
              <w:rPr>
                <w:sz w:val="14"/>
              </w:rPr>
            </w:pPr>
            <w:r>
              <w:rPr>
                <w:color w:val="231F20"/>
                <w:sz w:val="14"/>
              </w:rPr>
              <w:t xml:space="preserve">Есхатон ­ </w:t>
            </w:r>
            <w:r>
              <w:rPr>
                <w:color w:val="231F20"/>
                <w:spacing w:val="-3"/>
                <w:sz w:val="14"/>
              </w:rPr>
              <w:t xml:space="preserve">будуће </w:t>
            </w:r>
            <w:r>
              <w:rPr>
                <w:color w:val="231F20"/>
                <w:sz w:val="14"/>
              </w:rPr>
              <w:t>Царство Божије као</w:t>
            </w:r>
            <w:r>
              <w:rPr>
                <w:color w:val="231F20"/>
                <w:spacing w:val="-19"/>
                <w:sz w:val="14"/>
              </w:rPr>
              <w:t xml:space="preserve"> </w:t>
            </w:r>
            <w:r>
              <w:rPr>
                <w:color w:val="231F20"/>
                <w:sz w:val="14"/>
              </w:rPr>
              <w:t>узрок Цркве и</w:t>
            </w:r>
            <w:r>
              <w:rPr>
                <w:color w:val="231F20"/>
                <w:spacing w:val="-2"/>
                <w:sz w:val="14"/>
              </w:rPr>
              <w:t xml:space="preserve"> </w:t>
            </w:r>
            <w:r>
              <w:rPr>
                <w:color w:val="231F20"/>
                <w:sz w:val="14"/>
              </w:rPr>
              <w:t>историје.</w:t>
            </w:r>
          </w:p>
        </w:tc>
        <w:tc>
          <w:tcPr>
            <w:tcW w:w="2267" w:type="dxa"/>
            <w:vMerge/>
            <w:tcBorders>
              <w:top w:val="nil"/>
            </w:tcBorders>
          </w:tcPr>
          <w:p w:rsidR="00041039" w:rsidRDefault="00041039">
            <w:pPr>
              <w:rPr>
                <w:sz w:val="2"/>
                <w:szCs w:val="2"/>
              </w:rPr>
            </w:pPr>
          </w:p>
        </w:tc>
      </w:tr>
      <w:tr w:rsidR="00041039">
        <w:trPr>
          <w:trHeight w:val="1480"/>
        </w:trPr>
        <w:tc>
          <w:tcPr>
            <w:tcW w:w="1304" w:type="dxa"/>
          </w:tcPr>
          <w:p w:rsidR="00041039" w:rsidRDefault="001B26CB">
            <w:pPr>
              <w:pStyle w:val="TableParagraph"/>
              <w:spacing w:before="18"/>
              <w:ind w:left="56" w:right="182"/>
              <w:rPr>
                <w:sz w:val="14"/>
              </w:rPr>
            </w:pPr>
            <w:r>
              <w:rPr>
                <w:color w:val="231F20"/>
                <w:sz w:val="14"/>
              </w:rPr>
              <w:t>Смрт природе као разједињење, распадање и</w:t>
            </w:r>
            <w:r>
              <w:rPr>
                <w:color w:val="231F20"/>
                <w:spacing w:val="-3"/>
                <w:sz w:val="14"/>
              </w:rPr>
              <w:t xml:space="preserve"> </w:t>
            </w:r>
            <w:r>
              <w:rPr>
                <w:color w:val="231F20"/>
                <w:sz w:val="14"/>
              </w:rPr>
              <w:t>смрт личности</w:t>
            </w:r>
            <w:r>
              <w:rPr>
                <w:color w:val="231F20"/>
                <w:spacing w:val="-1"/>
                <w:sz w:val="14"/>
              </w:rPr>
              <w:t xml:space="preserve"> </w:t>
            </w:r>
            <w:r>
              <w:rPr>
                <w:color w:val="231F20"/>
                <w:sz w:val="14"/>
              </w:rPr>
              <w:t>као</w:t>
            </w:r>
          </w:p>
          <w:p w:rsidR="00041039" w:rsidRDefault="001B26CB">
            <w:pPr>
              <w:pStyle w:val="TableParagraph"/>
              <w:spacing w:line="237" w:lineRule="auto"/>
              <w:ind w:left="56" w:right="25"/>
              <w:rPr>
                <w:sz w:val="14"/>
              </w:rPr>
            </w:pPr>
            <w:r>
              <w:rPr>
                <w:color w:val="231F20"/>
                <w:sz w:val="14"/>
              </w:rPr>
              <w:t>прекид заједнице са личношћу за коју смо били везани, коју смо највише волели</w:t>
            </w:r>
          </w:p>
        </w:tc>
        <w:tc>
          <w:tcPr>
            <w:tcW w:w="1587" w:type="dxa"/>
          </w:tcPr>
          <w:p w:rsidR="00041039" w:rsidRDefault="001B26CB">
            <w:pPr>
              <w:pStyle w:val="TableParagraph"/>
              <w:numPr>
                <w:ilvl w:val="0"/>
                <w:numId w:val="203"/>
              </w:numPr>
              <w:tabs>
                <w:tab w:val="left" w:pos="157"/>
              </w:tabs>
              <w:spacing w:before="9"/>
              <w:ind w:right="44"/>
              <w:rPr>
                <w:sz w:val="14"/>
              </w:rPr>
            </w:pPr>
            <w:r>
              <w:rPr>
                <w:color w:val="231F20"/>
                <w:sz w:val="14"/>
              </w:rPr>
              <w:t xml:space="preserve">Да се </w:t>
            </w:r>
            <w:r>
              <w:rPr>
                <w:color w:val="231F20"/>
                <w:spacing w:val="-5"/>
                <w:sz w:val="14"/>
              </w:rPr>
              <w:t xml:space="preserve">код </w:t>
            </w:r>
            <w:r>
              <w:rPr>
                <w:color w:val="231F20"/>
                <w:sz w:val="14"/>
              </w:rPr>
              <w:t>ученика изгради свест да смрт није прекид постојања личности, већ прекид постојања свега</w:t>
            </w:r>
            <w:r>
              <w:rPr>
                <w:color w:val="231F20"/>
                <w:spacing w:val="-7"/>
                <w:sz w:val="14"/>
              </w:rPr>
              <w:t xml:space="preserve"> </w:t>
            </w:r>
            <w:r>
              <w:rPr>
                <w:color w:val="231F20"/>
                <w:sz w:val="14"/>
              </w:rPr>
              <w:t>другог за</w:t>
            </w:r>
            <w:r>
              <w:rPr>
                <w:color w:val="231F20"/>
                <w:spacing w:val="-2"/>
                <w:sz w:val="14"/>
              </w:rPr>
              <w:t xml:space="preserve"> </w:t>
            </w:r>
            <w:r>
              <w:rPr>
                <w:color w:val="231F20"/>
                <w:sz w:val="14"/>
              </w:rPr>
              <w:t>личност.</w:t>
            </w:r>
          </w:p>
        </w:tc>
        <w:tc>
          <w:tcPr>
            <w:tcW w:w="2551" w:type="dxa"/>
          </w:tcPr>
          <w:p w:rsidR="00041039" w:rsidRDefault="001B26CB">
            <w:pPr>
              <w:pStyle w:val="TableParagraph"/>
              <w:numPr>
                <w:ilvl w:val="0"/>
                <w:numId w:val="202"/>
              </w:numPr>
              <w:tabs>
                <w:tab w:val="left" w:pos="157"/>
              </w:tabs>
              <w:spacing w:before="9"/>
              <w:ind w:right="170" w:hanging="99"/>
              <w:rPr>
                <w:sz w:val="14"/>
              </w:rPr>
            </w:pPr>
            <w:r>
              <w:rPr>
                <w:color w:val="231F20"/>
                <w:sz w:val="14"/>
              </w:rPr>
              <w:t>Да ученици љубав према другом до­ живе као основни начин</w:t>
            </w:r>
            <w:r>
              <w:rPr>
                <w:color w:val="231F20"/>
                <w:spacing w:val="-9"/>
                <w:sz w:val="14"/>
              </w:rPr>
              <w:t xml:space="preserve"> </w:t>
            </w:r>
            <w:r>
              <w:rPr>
                <w:color w:val="231F20"/>
                <w:sz w:val="14"/>
              </w:rPr>
              <w:t>устројавања своје свести и здраве</w:t>
            </w:r>
            <w:r>
              <w:rPr>
                <w:color w:val="231F20"/>
                <w:spacing w:val="-3"/>
                <w:sz w:val="14"/>
              </w:rPr>
              <w:t xml:space="preserve"> </w:t>
            </w:r>
            <w:r>
              <w:rPr>
                <w:color w:val="231F20"/>
                <w:sz w:val="14"/>
              </w:rPr>
              <w:t>личности;</w:t>
            </w:r>
          </w:p>
        </w:tc>
        <w:tc>
          <w:tcPr>
            <w:tcW w:w="2834" w:type="dxa"/>
          </w:tcPr>
          <w:p w:rsidR="00041039" w:rsidRDefault="001B26CB">
            <w:pPr>
              <w:pStyle w:val="TableParagraph"/>
              <w:numPr>
                <w:ilvl w:val="0"/>
                <w:numId w:val="201"/>
              </w:numPr>
              <w:tabs>
                <w:tab w:val="left" w:pos="158"/>
              </w:tabs>
              <w:spacing w:before="9"/>
              <w:ind w:right="50"/>
              <w:rPr>
                <w:sz w:val="14"/>
              </w:rPr>
            </w:pPr>
            <w:r>
              <w:rPr>
                <w:color w:val="231F20"/>
                <w:sz w:val="14"/>
              </w:rPr>
              <w:t xml:space="preserve">Смрт природе као разједињење, распадање и смрт </w:t>
            </w:r>
            <w:r>
              <w:rPr>
                <w:color w:val="231F20"/>
                <w:sz w:val="14"/>
              </w:rPr>
              <w:t>личности као прекид заједнице са личношћу</w:t>
            </w:r>
            <w:r>
              <w:rPr>
                <w:color w:val="231F20"/>
                <w:spacing w:val="-5"/>
                <w:sz w:val="14"/>
              </w:rPr>
              <w:t xml:space="preserve"> </w:t>
            </w:r>
            <w:r>
              <w:rPr>
                <w:color w:val="231F20"/>
                <w:sz w:val="14"/>
              </w:rPr>
              <w:t>за</w:t>
            </w:r>
            <w:r>
              <w:rPr>
                <w:color w:val="231F20"/>
                <w:spacing w:val="-5"/>
                <w:sz w:val="14"/>
              </w:rPr>
              <w:t xml:space="preserve"> </w:t>
            </w:r>
            <w:r>
              <w:rPr>
                <w:color w:val="231F20"/>
                <w:sz w:val="14"/>
              </w:rPr>
              <w:t>коју</w:t>
            </w:r>
            <w:r>
              <w:rPr>
                <w:color w:val="231F20"/>
                <w:spacing w:val="-4"/>
                <w:sz w:val="14"/>
              </w:rPr>
              <w:t xml:space="preserve"> </w:t>
            </w:r>
            <w:r>
              <w:rPr>
                <w:color w:val="231F20"/>
                <w:sz w:val="14"/>
              </w:rPr>
              <w:t>смо</w:t>
            </w:r>
            <w:r>
              <w:rPr>
                <w:color w:val="231F20"/>
                <w:spacing w:val="-4"/>
                <w:sz w:val="14"/>
              </w:rPr>
              <w:t xml:space="preserve"> </w:t>
            </w:r>
            <w:r>
              <w:rPr>
                <w:color w:val="231F20"/>
                <w:sz w:val="14"/>
              </w:rPr>
              <w:t>били</w:t>
            </w:r>
            <w:r>
              <w:rPr>
                <w:color w:val="231F20"/>
                <w:spacing w:val="-4"/>
                <w:sz w:val="14"/>
              </w:rPr>
              <w:t xml:space="preserve"> </w:t>
            </w:r>
            <w:r>
              <w:rPr>
                <w:color w:val="231F20"/>
                <w:sz w:val="14"/>
              </w:rPr>
              <w:t>везани,</w:t>
            </w:r>
            <w:r>
              <w:rPr>
                <w:color w:val="231F20"/>
                <w:spacing w:val="-5"/>
                <w:sz w:val="14"/>
              </w:rPr>
              <w:t xml:space="preserve"> </w:t>
            </w:r>
            <w:r>
              <w:rPr>
                <w:color w:val="231F20"/>
                <w:sz w:val="14"/>
              </w:rPr>
              <w:t>коју</w:t>
            </w:r>
            <w:r>
              <w:rPr>
                <w:color w:val="231F20"/>
                <w:spacing w:val="-4"/>
                <w:sz w:val="14"/>
              </w:rPr>
              <w:t xml:space="preserve"> </w:t>
            </w:r>
            <w:r>
              <w:rPr>
                <w:color w:val="231F20"/>
                <w:sz w:val="14"/>
              </w:rPr>
              <w:t>смо највише</w:t>
            </w:r>
            <w:r>
              <w:rPr>
                <w:color w:val="231F20"/>
                <w:spacing w:val="-2"/>
                <w:sz w:val="14"/>
              </w:rPr>
              <w:t xml:space="preserve"> </w:t>
            </w:r>
            <w:r>
              <w:rPr>
                <w:color w:val="231F20"/>
                <w:sz w:val="14"/>
              </w:rPr>
              <w:t>волели.</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7" w:right="37"/>
              <w:rPr>
                <w:sz w:val="14"/>
              </w:rPr>
            </w:pPr>
            <w:r>
              <w:rPr>
                <w:color w:val="231F20"/>
                <w:sz w:val="14"/>
              </w:rPr>
              <w:t>Литургија нам открива и циљ због кога је Бог створио свет и људе</w:t>
            </w:r>
          </w:p>
        </w:tc>
        <w:tc>
          <w:tcPr>
            <w:tcW w:w="1587" w:type="dxa"/>
          </w:tcPr>
          <w:p w:rsidR="00041039" w:rsidRDefault="001B26CB">
            <w:pPr>
              <w:pStyle w:val="TableParagraph"/>
              <w:numPr>
                <w:ilvl w:val="0"/>
                <w:numId w:val="200"/>
              </w:numPr>
              <w:tabs>
                <w:tab w:val="left" w:pos="157"/>
              </w:tabs>
              <w:spacing w:before="9"/>
              <w:ind w:right="179" w:hanging="99"/>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Литургији као</w:t>
            </w:r>
            <w:r>
              <w:rPr>
                <w:color w:val="231F20"/>
                <w:spacing w:val="-15"/>
                <w:sz w:val="14"/>
              </w:rPr>
              <w:t xml:space="preserve"> </w:t>
            </w:r>
            <w:r>
              <w:rPr>
                <w:color w:val="231F20"/>
                <w:sz w:val="14"/>
              </w:rPr>
              <w:t>икони Царства</w:t>
            </w:r>
            <w:r>
              <w:rPr>
                <w:color w:val="231F20"/>
                <w:spacing w:val="-1"/>
                <w:sz w:val="14"/>
              </w:rPr>
              <w:t xml:space="preserve"> </w:t>
            </w:r>
            <w:r>
              <w:rPr>
                <w:color w:val="231F20"/>
                <w:spacing w:val="-3"/>
                <w:sz w:val="14"/>
              </w:rPr>
              <w:t>Божијег.</w:t>
            </w:r>
          </w:p>
        </w:tc>
        <w:tc>
          <w:tcPr>
            <w:tcW w:w="2551" w:type="dxa"/>
          </w:tcPr>
          <w:p w:rsidR="00041039" w:rsidRDefault="001B26CB">
            <w:pPr>
              <w:pStyle w:val="TableParagraph"/>
              <w:numPr>
                <w:ilvl w:val="0"/>
                <w:numId w:val="199"/>
              </w:numPr>
              <w:tabs>
                <w:tab w:val="left" w:pos="157"/>
              </w:tabs>
              <w:spacing w:before="9"/>
              <w:ind w:right="155" w:hanging="99"/>
              <w:rPr>
                <w:sz w:val="14"/>
              </w:rPr>
            </w:pPr>
            <w:r>
              <w:rPr>
                <w:color w:val="231F20"/>
                <w:sz w:val="14"/>
              </w:rPr>
              <w:t>Да ученици доживе Литургију као најнепосреднији начин</w:t>
            </w:r>
            <w:r>
              <w:rPr>
                <w:color w:val="231F20"/>
                <w:spacing w:val="-22"/>
                <w:sz w:val="14"/>
              </w:rPr>
              <w:t xml:space="preserve"> </w:t>
            </w:r>
            <w:r>
              <w:rPr>
                <w:color w:val="231F20"/>
                <w:sz w:val="14"/>
              </w:rPr>
              <w:t>комуникације са Богом и заједничарења са</w:t>
            </w:r>
            <w:r>
              <w:rPr>
                <w:color w:val="231F20"/>
                <w:spacing w:val="-14"/>
                <w:sz w:val="14"/>
              </w:rPr>
              <w:t xml:space="preserve"> </w:t>
            </w:r>
            <w:r>
              <w:rPr>
                <w:color w:val="231F20"/>
                <w:sz w:val="14"/>
              </w:rPr>
              <w:t>Богом;</w:t>
            </w:r>
          </w:p>
        </w:tc>
        <w:tc>
          <w:tcPr>
            <w:tcW w:w="2834" w:type="dxa"/>
          </w:tcPr>
          <w:p w:rsidR="00041039" w:rsidRDefault="001B26CB">
            <w:pPr>
              <w:pStyle w:val="TableParagraph"/>
              <w:numPr>
                <w:ilvl w:val="0"/>
                <w:numId w:val="198"/>
              </w:numPr>
              <w:tabs>
                <w:tab w:val="left" w:pos="158"/>
              </w:tabs>
              <w:spacing w:before="9"/>
              <w:ind w:right="191"/>
              <w:rPr>
                <w:sz w:val="14"/>
              </w:rPr>
            </w:pPr>
            <w:r>
              <w:rPr>
                <w:color w:val="231F20"/>
                <w:sz w:val="14"/>
              </w:rPr>
              <w:t>Литургија нам открива и циљ због</w:t>
            </w:r>
            <w:r>
              <w:rPr>
                <w:color w:val="231F20"/>
                <w:spacing w:val="-26"/>
                <w:sz w:val="14"/>
              </w:rPr>
              <w:t xml:space="preserve"> </w:t>
            </w:r>
            <w:r>
              <w:rPr>
                <w:color w:val="231F20"/>
                <w:sz w:val="14"/>
              </w:rPr>
              <w:t>кога је Бог створио свет и</w:t>
            </w:r>
            <w:r>
              <w:rPr>
                <w:color w:val="231F20"/>
                <w:spacing w:val="-4"/>
                <w:sz w:val="14"/>
              </w:rPr>
              <w:t xml:space="preserve"> </w:t>
            </w:r>
            <w:r>
              <w:rPr>
                <w:color w:val="231F20"/>
                <w:sz w:val="14"/>
              </w:rPr>
              <w:t>људе.</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19"/>
              <w:ind w:left="57" w:right="224"/>
              <w:rPr>
                <w:sz w:val="14"/>
              </w:rPr>
            </w:pPr>
            <w:r>
              <w:rPr>
                <w:color w:val="231F20"/>
                <w:sz w:val="14"/>
              </w:rPr>
              <w:t>Помесна и ва­ сељенска Црква, њихов однос</w:t>
            </w:r>
          </w:p>
        </w:tc>
        <w:tc>
          <w:tcPr>
            <w:tcW w:w="1587" w:type="dxa"/>
          </w:tcPr>
          <w:p w:rsidR="00041039" w:rsidRDefault="001B26CB">
            <w:pPr>
              <w:pStyle w:val="TableParagraph"/>
              <w:numPr>
                <w:ilvl w:val="0"/>
                <w:numId w:val="197"/>
              </w:numPr>
              <w:tabs>
                <w:tab w:val="left" w:pos="157"/>
              </w:tabs>
              <w:spacing w:before="9"/>
              <w:ind w:right="101" w:hanging="99"/>
              <w:rPr>
                <w:sz w:val="14"/>
              </w:rPr>
            </w:pPr>
            <w:r>
              <w:rPr>
                <w:color w:val="231F20"/>
                <w:sz w:val="14"/>
              </w:rPr>
              <w:t>Да ученици уоче раз­ лике између васељен­ ске и помесне цркве, као и начин на који помесне</w:t>
            </w:r>
            <w:r>
              <w:rPr>
                <w:color w:val="231F20"/>
                <w:spacing w:val="-10"/>
                <w:sz w:val="14"/>
              </w:rPr>
              <w:t xml:space="preserve"> </w:t>
            </w:r>
            <w:r>
              <w:rPr>
                <w:color w:val="231F20"/>
                <w:sz w:val="14"/>
              </w:rPr>
              <w:t>конституишу васељенску.</w:t>
            </w:r>
          </w:p>
        </w:tc>
        <w:tc>
          <w:tcPr>
            <w:tcW w:w="2551" w:type="dxa"/>
          </w:tcPr>
          <w:p w:rsidR="00041039" w:rsidRDefault="001B26CB">
            <w:pPr>
              <w:pStyle w:val="TableParagraph"/>
              <w:numPr>
                <w:ilvl w:val="0"/>
                <w:numId w:val="196"/>
              </w:numPr>
              <w:tabs>
                <w:tab w:val="left" w:pos="158"/>
              </w:tabs>
              <w:spacing w:before="9"/>
              <w:ind w:right="438"/>
              <w:rPr>
                <w:sz w:val="14"/>
              </w:rPr>
            </w:pPr>
            <w:r>
              <w:rPr>
                <w:color w:val="231F20"/>
                <w:sz w:val="14"/>
              </w:rPr>
              <w:t>Да ученици увиде</w:t>
            </w:r>
            <w:r>
              <w:rPr>
                <w:color w:val="231F20"/>
                <w:spacing w:val="-12"/>
                <w:sz w:val="14"/>
              </w:rPr>
              <w:t xml:space="preserve"> </w:t>
            </w:r>
            <w:r>
              <w:rPr>
                <w:color w:val="231F20"/>
                <w:sz w:val="14"/>
              </w:rPr>
              <w:t>евхаристијско јединство</w:t>
            </w:r>
            <w:r>
              <w:rPr>
                <w:color w:val="231F20"/>
                <w:spacing w:val="-1"/>
                <w:sz w:val="14"/>
              </w:rPr>
              <w:t xml:space="preserve"> </w:t>
            </w:r>
            <w:r>
              <w:rPr>
                <w:color w:val="231F20"/>
                <w:sz w:val="14"/>
              </w:rPr>
              <w:t>Цркве;</w:t>
            </w:r>
          </w:p>
        </w:tc>
        <w:tc>
          <w:tcPr>
            <w:tcW w:w="2834" w:type="dxa"/>
          </w:tcPr>
          <w:p w:rsidR="00041039" w:rsidRDefault="001B26CB">
            <w:pPr>
              <w:pStyle w:val="TableParagraph"/>
              <w:numPr>
                <w:ilvl w:val="0"/>
                <w:numId w:val="195"/>
              </w:numPr>
              <w:tabs>
                <w:tab w:val="left" w:pos="158"/>
              </w:tabs>
              <w:spacing w:before="9"/>
              <w:rPr>
                <w:sz w:val="14"/>
              </w:rPr>
            </w:pPr>
            <w:r>
              <w:rPr>
                <w:color w:val="231F20"/>
                <w:sz w:val="14"/>
              </w:rPr>
              <w:t>Помесна и васељенска Црква, њихов</w:t>
            </w:r>
            <w:r>
              <w:rPr>
                <w:color w:val="231F20"/>
                <w:spacing w:val="-16"/>
                <w:sz w:val="14"/>
              </w:rPr>
              <w:t xml:space="preserve"> </w:t>
            </w:r>
            <w:r>
              <w:rPr>
                <w:color w:val="231F20"/>
                <w:sz w:val="14"/>
              </w:rPr>
              <w:t>однос.</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19"/>
              <w:ind w:left="57" w:right="77"/>
              <w:rPr>
                <w:sz w:val="14"/>
              </w:rPr>
            </w:pPr>
            <w:r>
              <w:rPr>
                <w:color w:val="231F20"/>
                <w:sz w:val="14"/>
              </w:rPr>
              <w:t>Јединство Цркве (на помесном и ва­ сељенском нивоу)</w:t>
            </w:r>
          </w:p>
        </w:tc>
        <w:tc>
          <w:tcPr>
            <w:tcW w:w="1587" w:type="dxa"/>
          </w:tcPr>
          <w:p w:rsidR="00041039" w:rsidRDefault="001B26CB">
            <w:pPr>
              <w:pStyle w:val="TableParagraph"/>
              <w:numPr>
                <w:ilvl w:val="0"/>
                <w:numId w:val="194"/>
              </w:numPr>
              <w:tabs>
                <w:tab w:val="left" w:pos="157"/>
              </w:tabs>
              <w:spacing w:before="10" w:line="237" w:lineRule="auto"/>
              <w:ind w:right="97" w:hanging="99"/>
              <w:rPr>
                <w:sz w:val="14"/>
              </w:rPr>
            </w:pPr>
            <w:r>
              <w:rPr>
                <w:color w:val="231F20"/>
                <w:sz w:val="14"/>
              </w:rPr>
              <w:t>Да ученици схвате литургијски однос помесне и</w:t>
            </w:r>
            <w:r>
              <w:rPr>
                <w:color w:val="231F20"/>
                <w:spacing w:val="-7"/>
                <w:sz w:val="14"/>
              </w:rPr>
              <w:t xml:space="preserve"> </w:t>
            </w:r>
            <w:r>
              <w:rPr>
                <w:color w:val="231F20"/>
                <w:sz w:val="14"/>
              </w:rPr>
              <w:t>васељенске цркве.</w:t>
            </w:r>
          </w:p>
        </w:tc>
        <w:tc>
          <w:tcPr>
            <w:tcW w:w="2551" w:type="dxa"/>
          </w:tcPr>
          <w:p w:rsidR="00041039" w:rsidRDefault="001B26CB">
            <w:pPr>
              <w:pStyle w:val="TableParagraph"/>
              <w:numPr>
                <w:ilvl w:val="0"/>
                <w:numId w:val="193"/>
              </w:numPr>
              <w:tabs>
                <w:tab w:val="left" w:pos="158"/>
              </w:tabs>
              <w:spacing w:before="9"/>
              <w:ind w:right="239"/>
              <w:rPr>
                <w:sz w:val="14"/>
              </w:rPr>
            </w:pPr>
            <w:r>
              <w:rPr>
                <w:color w:val="231F20"/>
                <w:sz w:val="14"/>
              </w:rPr>
              <w:t>Да ученици уоче да је црква Једна</w:t>
            </w:r>
            <w:r>
              <w:rPr>
                <w:color w:val="231F20"/>
                <w:spacing w:val="-18"/>
                <w:sz w:val="14"/>
              </w:rPr>
              <w:t xml:space="preserve"> </w:t>
            </w:r>
            <w:r>
              <w:rPr>
                <w:color w:val="231F20"/>
                <w:sz w:val="14"/>
              </w:rPr>
              <w:t>и Васељенска;</w:t>
            </w:r>
          </w:p>
        </w:tc>
        <w:tc>
          <w:tcPr>
            <w:tcW w:w="2834" w:type="dxa"/>
          </w:tcPr>
          <w:p w:rsidR="00041039" w:rsidRDefault="001B26CB">
            <w:pPr>
              <w:pStyle w:val="TableParagraph"/>
              <w:numPr>
                <w:ilvl w:val="0"/>
                <w:numId w:val="192"/>
              </w:numPr>
              <w:tabs>
                <w:tab w:val="left" w:pos="158"/>
              </w:tabs>
              <w:spacing w:before="9"/>
              <w:ind w:right="142" w:hanging="99"/>
              <w:rPr>
                <w:sz w:val="14"/>
              </w:rPr>
            </w:pPr>
            <w:r>
              <w:rPr>
                <w:color w:val="231F20"/>
                <w:sz w:val="14"/>
              </w:rPr>
              <w:t>Јединство Цркве (на помесном и</w:t>
            </w:r>
            <w:r>
              <w:rPr>
                <w:color w:val="231F20"/>
                <w:spacing w:val="-15"/>
                <w:sz w:val="14"/>
              </w:rPr>
              <w:t xml:space="preserve"> </w:t>
            </w:r>
            <w:r>
              <w:rPr>
                <w:color w:val="231F20"/>
                <w:sz w:val="14"/>
              </w:rPr>
              <w:t xml:space="preserve">васељен­ </w:t>
            </w:r>
            <w:r>
              <w:rPr>
                <w:color w:val="231F20"/>
                <w:spacing w:val="-3"/>
                <w:sz w:val="14"/>
              </w:rPr>
              <w:t>ском</w:t>
            </w:r>
            <w:r>
              <w:rPr>
                <w:color w:val="231F20"/>
                <w:spacing w:val="-1"/>
                <w:sz w:val="14"/>
              </w:rPr>
              <w:t xml:space="preserve"> </w:t>
            </w:r>
            <w:r>
              <w:rPr>
                <w:color w:val="231F20"/>
                <w:sz w:val="14"/>
              </w:rPr>
              <w:t>нивоу).</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1000"/>
        </w:trPr>
        <w:tc>
          <w:tcPr>
            <w:tcW w:w="1304" w:type="dxa"/>
          </w:tcPr>
          <w:p w:rsidR="00041039" w:rsidRDefault="001B26CB">
            <w:pPr>
              <w:pStyle w:val="TableParagraph"/>
              <w:spacing w:before="18"/>
              <w:ind w:left="56" w:right="160"/>
              <w:rPr>
                <w:sz w:val="14"/>
              </w:rPr>
            </w:pPr>
            <w:r>
              <w:rPr>
                <w:color w:val="231F20"/>
                <w:sz w:val="14"/>
              </w:rPr>
              <w:lastRenderedPageBreak/>
              <w:t>Теологија право­ славне уметности</w:t>
            </w:r>
          </w:p>
        </w:tc>
        <w:tc>
          <w:tcPr>
            <w:tcW w:w="1587" w:type="dxa"/>
          </w:tcPr>
          <w:p w:rsidR="00041039" w:rsidRDefault="001B26CB">
            <w:pPr>
              <w:pStyle w:val="TableParagraph"/>
              <w:numPr>
                <w:ilvl w:val="0"/>
                <w:numId w:val="191"/>
              </w:numPr>
              <w:tabs>
                <w:tab w:val="left" w:pos="157"/>
              </w:tabs>
              <w:spacing w:before="8"/>
              <w:ind w:right="199"/>
              <w:rPr>
                <w:sz w:val="14"/>
              </w:rPr>
            </w:pPr>
            <w:r>
              <w:rPr>
                <w:color w:val="231F20"/>
                <w:sz w:val="14"/>
              </w:rPr>
              <w:t xml:space="preserve">Да се </w:t>
            </w:r>
            <w:r>
              <w:rPr>
                <w:color w:val="231F20"/>
                <w:spacing w:val="-5"/>
                <w:sz w:val="14"/>
              </w:rPr>
              <w:t xml:space="preserve">код </w:t>
            </w:r>
            <w:r>
              <w:rPr>
                <w:color w:val="231F20"/>
                <w:sz w:val="14"/>
              </w:rPr>
              <w:t>ученика изгради свест о надвремености и есхатоцентричности православне умет­ ности.</w:t>
            </w:r>
          </w:p>
        </w:tc>
        <w:tc>
          <w:tcPr>
            <w:tcW w:w="2551" w:type="dxa"/>
          </w:tcPr>
          <w:p w:rsidR="00041039" w:rsidRDefault="001B26CB">
            <w:pPr>
              <w:pStyle w:val="TableParagraph"/>
              <w:numPr>
                <w:ilvl w:val="0"/>
                <w:numId w:val="190"/>
              </w:numPr>
              <w:tabs>
                <w:tab w:val="left" w:pos="157"/>
              </w:tabs>
              <w:spacing w:before="8"/>
              <w:ind w:right="97" w:hanging="99"/>
              <w:rPr>
                <w:sz w:val="14"/>
              </w:rPr>
            </w:pPr>
            <w:r>
              <w:rPr>
                <w:color w:val="231F20"/>
                <w:sz w:val="14"/>
              </w:rPr>
              <w:t>Да ученици стечена знања могу да примене на конкретним примерима</w:t>
            </w:r>
            <w:r>
              <w:rPr>
                <w:color w:val="231F20"/>
                <w:spacing w:val="-24"/>
                <w:sz w:val="14"/>
              </w:rPr>
              <w:t xml:space="preserve"> </w:t>
            </w:r>
            <w:r>
              <w:rPr>
                <w:color w:val="231F20"/>
                <w:sz w:val="14"/>
              </w:rPr>
              <w:t>из православне уметности;</w:t>
            </w:r>
          </w:p>
        </w:tc>
        <w:tc>
          <w:tcPr>
            <w:tcW w:w="2834" w:type="dxa"/>
          </w:tcPr>
          <w:p w:rsidR="00041039" w:rsidRDefault="001B26CB">
            <w:pPr>
              <w:pStyle w:val="TableParagraph"/>
              <w:numPr>
                <w:ilvl w:val="0"/>
                <w:numId w:val="189"/>
              </w:numPr>
              <w:tabs>
                <w:tab w:val="left" w:pos="157"/>
              </w:tabs>
              <w:spacing w:before="8"/>
              <w:ind w:hanging="99"/>
              <w:rPr>
                <w:sz w:val="14"/>
              </w:rPr>
            </w:pPr>
            <w:r>
              <w:rPr>
                <w:color w:val="231F20"/>
                <w:sz w:val="14"/>
              </w:rPr>
              <w:t>Теологија православне</w:t>
            </w:r>
            <w:r>
              <w:rPr>
                <w:color w:val="231F20"/>
                <w:spacing w:val="-3"/>
                <w:sz w:val="14"/>
              </w:rPr>
              <w:t xml:space="preserve"> </w:t>
            </w:r>
            <w:r>
              <w:rPr>
                <w:color w:val="231F20"/>
                <w:sz w:val="14"/>
              </w:rPr>
              <w:t>уметности.</w:t>
            </w:r>
          </w:p>
        </w:tc>
        <w:tc>
          <w:tcPr>
            <w:tcW w:w="2267" w:type="dxa"/>
            <w:vMerge w:val="restart"/>
          </w:tcPr>
          <w:p w:rsidR="00041039" w:rsidRDefault="001B26CB">
            <w:pPr>
              <w:pStyle w:val="TableParagraph"/>
              <w:numPr>
                <w:ilvl w:val="0"/>
                <w:numId w:val="188"/>
              </w:numPr>
              <w:tabs>
                <w:tab w:val="left" w:pos="158"/>
              </w:tabs>
              <w:spacing w:before="8"/>
              <w:ind w:right="126" w:hanging="99"/>
              <w:rPr>
                <w:b/>
                <w:sz w:val="14"/>
              </w:rPr>
            </w:pPr>
            <w:r>
              <w:rPr>
                <w:color w:val="231F20"/>
                <w:sz w:val="14"/>
              </w:rPr>
              <w:t>Смрт природе као разједињење, распадање и смрт личности као прекид заједнице са личношћу за коју смо били везани, коју</w:t>
            </w:r>
            <w:r>
              <w:rPr>
                <w:color w:val="231F20"/>
                <w:spacing w:val="-22"/>
                <w:sz w:val="14"/>
              </w:rPr>
              <w:t xml:space="preserve"> </w:t>
            </w:r>
            <w:r>
              <w:rPr>
                <w:color w:val="231F20"/>
                <w:sz w:val="14"/>
              </w:rPr>
              <w:t xml:space="preserve">смо највише волели </w:t>
            </w:r>
            <w:r>
              <w:rPr>
                <w:b/>
                <w:color w:val="231F20"/>
                <w:sz w:val="14"/>
              </w:rPr>
              <w:t>(4</w:t>
            </w:r>
            <w:r>
              <w:rPr>
                <w:b/>
                <w:color w:val="231F20"/>
                <w:spacing w:val="-4"/>
                <w:sz w:val="14"/>
              </w:rPr>
              <w:t xml:space="preserve"> </w:t>
            </w:r>
            <w:r>
              <w:rPr>
                <w:b/>
                <w:color w:val="231F20"/>
                <w:sz w:val="14"/>
              </w:rPr>
              <w:t>часа)</w:t>
            </w:r>
          </w:p>
          <w:p w:rsidR="00041039" w:rsidRDefault="001B26CB">
            <w:pPr>
              <w:pStyle w:val="TableParagraph"/>
              <w:numPr>
                <w:ilvl w:val="0"/>
                <w:numId w:val="188"/>
              </w:numPr>
              <w:tabs>
                <w:tab w:val="left" w:pos="158"/>
              </w:tabs>
              <w:spacing w:line="155" w:lineRule="exact"/>
              <w:ind w:hanging="99"/>
              <w:rPr>
                <w:sz w:val="14"/>
              </w:rPr>
            </w:pPr>
            <w:r>
              <w:rPr>
                <w:color w:val="231F20"/>
                <w:sz w:val="14"/>
              </w:rPr>
              <w:t>Литургија нам открива и циљ</w:t>
            </w:r>
            <w:r>
              <w:rPr>
                <w:color w:val="231F20"/>
                <w:spacing w:val="-15"/>
                <w:sz w:val="14"/>
              </w:rPr>
              <w:t xml:space="preserve"> </w:t>
            </w:r>
            <w:r>
              <w:rPr>
                <w:color w:val="231F20"/>
                <w:sz w:val="14"/>
              </w:rPr>
              <w:t>због</w:t>
            </w:r>
          </w:p>
          <w:p w:rsidR="00041039" w:rsidRDefault="001B26CB">
            <w:pPr>
              <w:pStyle w:val="TableParagraph"/>
              <w:spacing w:line="160" w:lineRule="exact"/>
              <w:ind w:left="157"/>
              <w:rPr>
                <w:sz w:val="14"/>
              </w:rPr>
            </w:pPr>
            <w:r>
              <w:rPr>
                <w:color w:val="231F20"/>
                <w:sz w:val="14"/>
              </w:rPr>
              <w:t>кога је Бог створио свет и људе</w:t>
            </w:r>
          </w:p>
          <w:p w:rsidR="00041039" w:rsidRDefault="001B26CB">
            <w:pPr>
              <w:pStyle w:val="TableParagraph"/>
              <w:spacing w:line="155" w:lineRule="exact"/>
              <w:ind w:left="157"/>
              <w:rPr>
                <w:b/>
                <w:sz w:val="14"/>
              </w:rPr>
            </w:pPr>
            <w:r>
              <w:rPr>
                <w:b/>
                <w:color w:val="231F20"/>
                <w:sz w:val="14"/>
              </w:rPr>
              <w:t>(2 часа)</w:t>
            </w:r>
          </w:p>
          <w:p w:rsidR="00041039" w:rsidRDefault="001B26CB">
            <w:pPr>
              <w:pStyle w:val="TableParagraph"/>
              <w:numPr>
                <w:ilvl w:val="0"/>
                <w:numId w:val="188"/>
              </w:numPr>
              <w:tabs>
                <w:tab w:val="left" w:pos="158"/>
              </w:tabs>
              <w:spacing w:line="237" w:lineRule="auto"/>
              <w:ind w:right="313" w:hanging="99"/>
              <w:rPr>
                <w:b/>
                <w:sz w:val="14"/>
              </w:rPr>
            </w:pPr>
            <w:r>
              <w:rPr>
                <w:color w:val="231F20"/>
                <w:sz w:val="14"/>
              </w:rPr>
              <w:t>Помесна и васељенска</w:t>
            </w:r>
            <w:r>
              <w:rPr>
                <w:color w:val="231F20"/>
                <w:spacing w:val="-11"/>
                <w:sz w:val="14"/>
              </w:rPr>
              <w:t xml:space="preserve"> </w:t>
            </w:r>
            <w:r>
              <w:rPr>
                <w:color w:val="231F20"/>
                <w:sz w:val="14"/>
              </w:rPr>
              <w:t xml:space="preserve">Црква, њихов однос </w:t>
            </w:r>
            <w:r>
              <w:rPr>
                <w:b/>
                <w:color w:val="231F20"/>
                <w:sz w:val="14"/>
              </w:rPr>
              <w:t>(4</w:t>
            </w:r>
            <w:r>
              <w:rPr>
                <w:b/>
                <w:color w:val="231F20"/>
                <w:spacing w:val="-3"/>
                <w:sz w:val="14"/>
              </w:rPr>
              <w:t xml:space="preserve"> </w:t>
            </w:r>
            <w:r>
              <w:rPr>
                <w:b/>
                <w:color w:val="231F20"/>
                <w:sz w:val="14"/>
              </w:rPr>
              <w:t>часа)</w:t>
            </w:r>
          </w:p>
          <w:p w:rsidR="00041039" w:rsidRDefault="001B26CB">
            <w:pPr>
              <w:pStyle w:val="TableParagraph"/>
              <w:numPr>
                <w:ilvl w:val="0"/>
                <w:numId w:val="188"/>
              </w:numPr>
              <w:tabs>
                <w:tab w:val="left" w:pos="158"/>
              </w:tabs>
              <w:spacing w:line="160" w:lineRule="exact"/>
              <w:ind w:right="148" w:hanging="99"/>
              <w:rPr>
                <w:b/>
                <w:sz w:val="14"/>
              </w:rPr>
            </w:pPr>
            <w:r>
              <w:rPr>
                <w:color w:val="231F20"/>
                <w:sz w:val="14"/>
              </w:rPr>
              <w:t>Јединство Цркве (на помесном</w:t>
            </w:r>
            <w:r>
              <w:rPr>
                <w:color w:val="231F20"/>
                <w:spacing w:val="-13"/>
                <w:sz w:val="14"/>
              </w:rPr>
              <w:t xml:space="preserve"> </w:t>
            </w:r>
            <w:r>
              <w:rPr>
                <w:color w:val="231F20"/>
                <w:sz w:val="14"/>
              </w:rPr>
              <w:t xml:space="preserve">и васељенском нивоу) </w:t>
            </w:r>
            <w:r>
              <w:rPr>
                <w:b/>
                <w:color w:val="231F20"/>
                <w:sz w:val="14"/>
              </w:rPr>
              <w:t>(6</w:t>
            </w:r>
            <w:r>
              <w:rPr>
                <w:b/>
                <w:color w:val="231F20"/>
                <w:spacing w:val="-16"/>
                <w:sz w:val="14"/>
              </w:rPr>
              <w:t xml:space="preserve"> </w:t>
            </w:r>
            <w:r>
              <w:rPr>
                <w:b/>
                <w:color w:val="231F20"/>
                <w:sz w:val="14"/>
              </w:rPr>
              <w:t>часова)</w:t>
            </w:r>
          </w:p>
          <w:p w:rsidR="00041039" w:rsidRDefault="001B26CB">
            <w:pPr>
              <w:pStyle w:val="TableParagraph"/>
              <w:numPr>
                <w:ilvl w:val="0"/>
                <w:numId w:val="188"/>
              </w:numPr>
              <w:tabs>
                <w:tab w:val="left" w:pos="158"/>
              </w:tabs>
              <w:spacing w:line="158" w:lineRule="exact"/>
              <w:ind w:hanging="99"/>
              <w:rPr>
                <w:sz w:val="14"/>
              </w:rPr>
            </w:pPr>
            <w:r>
              <w:rPr>
                <w:color w:val="231F20"/>
                <w:sz w:val="14"/>
              </w:rPr>
              <w:t>Теологија православне</w:t>
            </w:r>
            <w:r>
              <w:rPr>
                <w:color w:val="231F20"/>
                <w:spacing w:val="-14"/>
                <w:sz w:val="14"/>
              </w:rPr>
              <w:t xml:space="preserve"> </w:t>
            </w:r>
            <w:r>
              <w:rPr>
                <w:color w:val="231F20"/>
                <w:sz w:val="14"/>
              </w:rPr>
              <w:t>уметности</w:t>
            </w:r>
          </w:p>
          <w:p w:rsidR="00041039" w:rsidRDefault="001B26CB">
            <w:pPr>
              <w:pStyle w:val="TableParagraph"/>
              <w:spacing w:line="155" w:lineRule="exact"/>
              <w:ind w:left="157"/>
              <w:rPr>
                <w:b/>
                <w:sz w:val="14"/>
              </w:rPr>
            </w:pPr>
            <w:r>
              <w:rPr>
                <w:b/>
                <w:color w:val="231F20"/>
                <w:sz w:val="14"/>
              </w:rPr>
              <w:t>(6 часова)</w:t>
            </w:r>
          </w:p>
          <w:p w:rsidR="00041039" w:rsidRDefault="001B26CB">
            <w:pPr>
              <w:pStyle w:val="TableParagraph"/>
              <w:numPr>
                <w:ilvl w:val="0"/>
                <w:numId w:val="188"/>
              </w:numPr>
              <w:tabs>
                <w:tab w:val="left" w:pos="158"/>
              </w:tabs>
              <w:spacing w:line="237" w:lineRule="auto"/>
              <w:ind w:right="296" w:hanging="99"/>
              <w:rPr>
                <w:b/>
                <w:sz w:val="14"/>
              </w:rPr>
            </w:pPr>
            <w:r>
              <w:rPr>
                <w:color w:val="231F20"/>
                <w:sz w:val="14"/>
              </w:rPr>
              <w:t>Црква и свет (њихов однос)</w:t>
            </w:r>
            <w:r>
              <w:rPr>
                <w:color w:val="231F20"/>
                <w:spacing w:val="-15"/>
                <w:sz w:val="14"/>
              </w:rPr>
              <w:t xml:space="preserve"> </w:t>
            </w:r>
            <w:r>
              <w:rPr>
                <w:b/>
                <w:color w:val="231F20"/>
                <w:sz w:val="14"/>
              </w:rPr>
              <w:t>(2 часа)</w:t>
            </w:r>
          </w:p>
        </w:tc>
      </w:tr>
      <w:tr w:rsidR="00041039">
        <w:trPr>
          <w:trHeight w:val="1590"/>
        </w:trPr>
        <w:tc>
          <w:tcPr>
            <w:tcW w:w="1304" w:type="dxa"/>
          </w:tcPr>
          <w:p w:rsidR="00041039" w:rsidRDefault="001B26CB">
            <w:pPr>
              <w:pStyle w:val="TableParagraph"/>
              <w:spacing w:before="18"/>
              <w:ind w:left="56" w:right="149"/>
              <w:rPr>
                <w:sz w:val="14"/>
              </w:rPr>
            </w:pPr>
            <w:r>
              <w:rPr>
                <w:color w:val="231F20"/>
                <w:sz w:val="14"/>
              </w:rPr>
              <w:t>Црква и свет (њи­ хов однос)</w:t>
            </w:r>
          </w:p>
        </w:tc>
        <w:tc>
          <w:tcPr>
            <w:tcW w:w="1587" w:type="dxa"/>
          </w:tcPr>
          <w:p w:rsidR="00041039" w:rsidRDefault="001B26CB">
            <w:pPr>
              <w:pStyle w:val="TableParagraph"/>
              <w:numPr>
                <w:ilvl w:val="0"/>
                <w:numId w:val="187"/>
              </w:numPr>
              <w:tabs>
                <w:tab w:val="left" w:pos="157"/>
              </w:tabs>
              <w:spacing w:before="8"/>
              <w:ind w:right="45"/>
              <w:rPr>
                <w:sz w:val="14"/>
              </w:rPr>
            </w:pPr>
            <w:r>
              <w:rPr>
                <w:color w:val="231F20"/>
                <w:sz w:val="14"/>
              </w:rPr>
              <w:t xml:space="preserve">Да се </w:t>
            </w:r>
            <w:r>
              <w:rPr>
                <w:color w:val="231F20"/>
                <w:spacing w:val="-5"/>
                <w:sz w:val="14"/>
              </w:rPr>
              <w:t xml:space="preserve">код </w:t>
            </w:r>
            <w:r>
              <w:rPr>
                <w:color w:val="231F20"/>
                <w:sz w:val="14"/>
              </w:rPr>
              <w:t>ученика из­ гради свест о</w:t>
            </w:r>
            <w:r>
              <w:rPr>
                <w:color w:val="231F20"/>
                <w:spacing w:val="-13"/>
                <w:sz w:val="14"/>
              </w:rPr>
              <w:t xml:space="preserve"> </w:t>
            </w:r>
            <w:r>
              <w:rPr>
                <w:color w:val="231F20"/>
                <w:sz w:val="14"/>
              </w:rPr>
              <w:t>Есхатону као правој истини света и Цркви као икони</w:t>
            </w:r>
            <w:r>
              <w:rPr>
                <w:color w:val="231F20"/>
                <w:spacing w:val="-2"/>
                <w:sz w:val="14"/>
              </w:rPr>
              <w:t xml:space="preserve"> </w:t>
            </w:r>
            <w:r>
              <w:rPr>
                <w:color w:val="231F20"/>
                <w:sz w:val="14"/>
              </w:rPr>
              <w:t>Есхатона.</w:t>
            </w:r>
          </w:p>
        </w:tc>
        <w:tc>
          <w:tcPr>
            <w:tcW w:w="2551" w:type="dxa"/>
          </w:tcPr>
          <w:p w:rsidR="00041039" w:rsidRDefault="001B26CB">
            <w:pPr>
              <w:pStyle w:val="TableParagraph"/>
              <w:numPr>
                <w:ilvl w:val="0"/>
                <w:numId w:val="186"/>
              </w:numPr>
              <w:tabs>
                <w:tab w:val="left" w:pos="157"/>
              </w:tabs>
              <w:spacing w:before="8"/>
              <w:ind w:right="64" w:hanging="99"/>
              <w:rPr>
                <w:sz w:val="14"/>
              </w:rPr>
            </w:pPr>
            <w:r>
              <w:rPr>
                <w:color w:val="231F20"/>
                <w:sz w:val="14"/>
              </w:rPr>
              <w:t>Ученици треба да спознају да је учествовање у животу Цркве</w:t>
            </w:r>
            <w:r>
              <w:rPr>
                <w:color w:val="231F20"/>
                <w:spacing w:val="-16"/>
                <w:sz w:val="14"/>
              </w:rPr>
              <w:t xml:space="preserve"> </w:t>
            </w:r>
            <w:r>
              <w:rPr>
                <w:color w:val="231F20"/>
                <w:sz w:val="14"/>
              </w:rPr>
              <w:t>истински начин постојања човека и</w:t>
            </w:r>
            <w:r>
              <w:rPr>
                <w:color w:val="231F20"/>
                <w:spacing w:val="-4"/>
                <w:sz w:val="14"/>
              </w:rPr>
              <w:t xml:space="preserve"> </w:t>
            </w:r>
            <w:r>
              <w:rPr>
                <w:color w:val="231F20"/>
                <w:sz w:val="14"/>
              </w:rPr>
              <w:t>света;</w:t>
            </w:r>
          </w:p>
        </w:tc>
        <w:tc>
          <w:tcPr>
            <w:tcW w:w="2834" w:type="dxa"/>
          </w:tcPr>
          <w:p w:rsidR="00041039" w:rsidRDefault="001B26CB">
            <w:pPr>
              <w:pStyle w:val="TableParagraph"/>
              <w:numPr>
                <w:ilvl w:val="0"/>
                <w:numId w:val="185"/>
              </w:numPr>
              <w:tabs>
                <w:tab w:val="left" w:pos="157"/>
              </w:tabs>
              <w:spacing w:before="8"/>
              <w:ind w:hanging="99"/>
              <w:rPr>
                <w:sz w:val="14"/>
              </w:rPr>
            </w:pPr>
            <w:r>
              <w:rPr>
                <w:color w:val="231F20"/>
                <w:sz w:val="14"/>
              </w:rPr>
              <w:t>Црква и свет (њихов</w:t>
            </w:r>
            <w:r>
              <w:rPr>
                <w:color w:val="231F20"/>
                <w:spacing w:val="-3"/>
                <w:sz w:val="14"/>
              </w:rPr>
              <w:t xml:space="preserve"> </w:t>
            </w:r>
            <w:r>
              <w:rPr>
                <w:color w:val="231F20"/>
                <w:sz w:val="14"/>
              </w:rPr>
              <w:t>однос).</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1"/>
        </w:numPr>
        <w:tabs>
          <w:tab w:val="left" w:pos="633"/>
        </w:tabs>
        <w:rPr>
          <w:sz w:val="18"/>
        </w:rPr>
      </w:pPr>
      <w:r>
        <w:rPr>
          <w:color w:val="231F20"/>
          <w:sz w:val="18"/>
        </w:rPr>
        <w:t>Историја</w:t>
      </w:r>
    </w:p>
    <w:p w:rsidR="00041039" w:rsidRDefault="001B26CB">
      <w:pPr>
        <w:pStyle w:val="ListParagraph"/>
        <w:numPr>
          <w:ilvl w:val="0"/>
          <w:numId w:val="1"/>
        </w:numPr>
        <w:tabs>
          <w:tab w:val="left" w:pos="633"/>
        </w:tabs>
        <w:spacing w:line="203" w:lineRule="exact"/>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spacing w:before="163"/>
        <w:ind w:left="3340"/>
        <w:rPr>
          <w:b/>
          <w:sz w:val="18"/>
        </w:rPr>
      </w:pPr>
      <w:r>
        <w:rPr>
          <w:b/>
          <w:color w:val="231F20"/>
          <w:sz w:val="18"/>
        </w:rPr>
        <w:t>Б: ИЗБОРНИ ОПШТЕОБРАЗОВНИ ПРЕДМЕТИ</w:t>
      </w:r>
    </w:p>
    <w:p w:rsidR="00041039" w:rsidRDefault="00041039">
      <w:pPr>
        <w:pStyle w:val="BodyText"/>
        <w:rPr>
          <w:b/>
          <w:sz w:val="23"/>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ИЗАБРАНА </w:t>
      </w:r>
      <w:r>
        <w:rPr>
          <w:b/>
          <w:color w:val="231F20"/>
          <w:spacing w:val="-4"/>
          <w:sz w:val="14"/>
        </w:rPr>
        <w:t>ПОГЛАВЉА</w:t>
      </w:r>
      <w:r>
        <w:rPr>
          <w:b/>
          <w:color w:val="231F20"/>
          <w:sz w:val="14"/>
        </w:rPr>
        <w:t xml:space="preserve"> </w:t>
      </w:r>
      <w:r>
        <w:rPr>
          <w:b/>
          <w:color w:val="231F20"/>
          <w:spacing w:val="-3"/>
          <w:sz w:val="14"/>
        </w:rPr>
        <w:t>МАТЕМАТИКЕ</w:t>
      </w:r>
    </w:p>
    <w:p w:rsidR="00041039" w:rsidRDefault="001B26CB">
      <w:pPr>
        <w:pStyle w:val="BodyText"/>
        <w:spacing w:before="49" w:line="161" w:lineRule="exact"/>
        <w:ind w:left="157"/>
      </w:pPr>
      <w:r>
        <w:rPr>
          <w:color w:val="231F20"/>
        </w:rPr>
        <w:t>Циљеви предмета: – Развијање логичког и апстрактног мишљења;</w:t>
      </w:r>
    </w:p>
    <w:p w:rsidR="00041039" w:rsidRDefault="001B26CB">
      <w:pPr>
        <w:pStyle w:val="ListParagraph"/>
        <w:numPr>
          <w:ilvl w:val="1"/>
          <w:numId w:val="1"/>
        </w:numPr>
        <w:tabs>
          <w:tab w:val="left" w:pos="1566"/>
        </w:tabs>
        <w:spacing w:line="160" w:lineRule="exact"/>
        <w:rPr>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041039" w:rsidRDefault="001B26CB">
      <w:pPr>
        <w:pStyle w:val="ListParagraph"/>
        <w:numPr>
          <w:ilvl w:val="1"/>
          <w:numId w:val="1"/>
        </w:numPr>
        <w:tabs>
          <w:tab w:val="left" w:pos="1566"/>
        </w:tabs>
        <w:spacing w:line="160" w:lineRule="exact"/>
        <w:rPr>
          <w:sz w:val="14"/>
        </w:rPr>
      </w:pP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математици тако и у осталим</w:t>
      </w:r>
      <w:r>
        <w:rPr>
          <w:color w:val="231F20"/>
          <w:spacing w:val="-6"/>
          <w:sz w:val="14"/>
        </w:rPr>
        <w:t xml:space="preserve"> </w:t>
      </w:r>
      <w:r>
        <w:rPr>
          <w:color w:val="231F20"/>
          <w:sz w:val="14"/>
        </w:rPr>
        <w:t>предметима;</w:t>
      </w:r>
    </w:p>
    <w:p w:rsidR="00041039" w:rsidRDefault="001B26CB">
      <w:pPr>
        <w:pStyle w:val="ListParagraph"/>
        <w:numPr>
          <w:ilvl w:val="1"/>
          <w:numId w:val="1"/>
        </w:numPr>
        <w:tabs>
          <w:tab w:val="left" w:pos="1566"/>
        </w:tabs>
        <w:spacing w:line="160" w:lineRule="exact"/>
        <w:rPr>
          <w:sz w:val="14"/>
        </w:rPr>
      </w:pPr>
      <w:r>
        <w:rPr>
          <w:color w:val="231F20"/>
          <w:sz w:val="14"/>
        </w:rPr>
        <w:t>Формирање основа за наставак</w:t>
      </w:r>
      <w:r>
        <w:rPr>
          <w:color w:val="231F20"/>
          <w:spacing w:val="-2"/>
          <w:sz w:val="14"/>
        </w:rPr>
        <w:t xml:space="preserve"> </w:t>
      </w:r>
      <w:r>
        <w:rPr>
          <w:color w:val="231F20"/>
          <w:sz w:val="14"/>
        </w:rPr>
        <w:t>образовања;</w:t>
      </w:r>
    </w:p>
    <w:p w:rsidR="00041039" w:rsidRDefault="001B26CB">
      <w:pPr>
        <w:pStyle w:val="ListParagraph"/>
        <w:numPr>
          <w:ilvl w:val="1"/>
          <w:numId w:val="1"/>
        </w:numPr>
        <w:tabs>
          <w:tab w:val="left" w:pos="1566"/>
        </w:tabs>
        <w:spacing w:line="160" w:lineRule="exact"/>
        <w:rPr>
          <w:sz w:val="14"/>
        </w:rPr>
      </w:pPr>
      <w:r>
        <w:rPr>
          <w:color w:val="231F20"/>
          <w:sz w:val="14"/>
        </w:rPr>
        <w:t>Формирање</w:t>
      </w:r>
      <w:r>
        <w:rPr>
          <w:color w:val="231F20"/>
          <w:spacing w:val="-2"/>
          <w:sz w:val="14"/>
        </w:rPr>
        <w:t xml:space="preserve"> </w:t>
      </w:r>
      <w:r>
        <w:rPr>
          <w:color w:val="231F20"/>
          <w:sz w:val="14"/>
        </w:rPr>
        <w:t>математичке</w:t>
      </w:r>
      <w:r>
        <w:rPr>
          <w:color w:val="231F20"/>
          <w:spacing w:val="-2"/>
          <w:sz w:val="14"/>
        </w:rPr>
        <w:t xml:space="preserve"> </w:t>
      </w:r>
      <w:r>
        <w:rPr>
          <w:color w:val="231F20"/>
          <w:sz w:val="14"/>
        </w:rPr>
        <w:t>култ</w:t>
      </w:r>
      <w:r>
        <w:rPr>
          <w:color w:val="231F20"/>
          <w:sz w:val="14"/>
        </w:rPr>
        <w:t>уре</w:t>
      </w:r>
      <w:r>
        <w:rPr>
          <w:color w:val="231F20"/>
          <w:spacing w:val="-2"/>
          <w:sz w:val="14"/>
        </w:rPr>
        <w:t xml:space="preserve"> </w:t>
      </w:r>
      <w:r>
        <w:rPr>
          <w:color w:val="231F20"/>
          <w:sz w:val="14"/>
        </w:rPr>
        <w:t>која</w:t>
      </w:r>
      <w:r>
        <w:rPr>
          <w:color w:val="231F20"/>
          <w:spacing w:val="-2"/>
          <w:sz w:val="14"/>
        </w:rPr>
        <w:t xml:space="preserve"> </w:t>
      </w:r>
      <w:r>
        <w:rPr>
          <w:color w:val="231F20"/>
          <w:sz w:val="14"/>
        </w:rPr>
        <w:t>подразумева</w:t>
      </w:r>
      <w:r>
        <w:rPr>
          <w:color w:val="231F20"/>
          <w:spacing w:val="-2"/>
          <w:sz w:val="14"/>
        </w:rPr>
        <w:t xml:space="preserve"> </w:t>
      </w:r>
      <w:r>
        <w:rPr>
          <w:color w:val="231F20"/>
          <w:sz w:val="14"/>
        </w:rPr>
        <w:t>свест</w:t>
      </w:r>
      <w:r>
        <w:rPr>
          <w:color w:val="231F20"/>
          <w:spacing w:val="-2"/>
          <w:sz w:val="14"/>
        </w:rPr>
        <w:t xml:space="preserve"> </w:t>
      </w:r>
      <w:r>
        <w:rPr>
          <w:color w:val="231F20"/>
          <w:sz w:val="14"/>
        </w:rPr>
        <w:t>о</w:t>
      </w:r>
      <w:r>
        <w:rPr>
          <w:color w:val="231F20"/>
          <w:spacing w:val="-2"/>
          <w:sz w:val="14"/>
        </w:rPr>
        <w:t xml:space="preserve"> </w:t>
      </w:r>
      <w:r>
        <w:rPr>
          <w:color w:val="231F20"/>
          <w:sz w:val="14"/>
        </w:rPr>
        <w:t>универзалности</w:t>
      </w:r>
      <w:r>
        <w:rPr>
          <w:color w:val="231F20"/>
          <w:spacing w:val="-2"/>
          <w:sz w:val="14"/>
        </w:rPr>
        <w:t xml:space="preserve"> </w:t>
      </w:r>
      <w:r>
        <w:rPr>
          <w:color w:val="231F20"/>
          <w:sz w:val="14"/>
        </w:rPr>
        <w:t>и</w:t>
      </w:r>
      <w:r>
        <w:rPr>
          <w:color w:val="231F20"/>
          <w:spacing w:val="-3"/>
          <w:sz w:val="14"/>
        </w:rPr>
        <w:t xml:space="preserve"> </w:t>
      </w:r>
      <w:r>
        <w:rPr>
          <w:color w:val="231F20"/>
          <w:sz w:val="14"/>
        </w:rPr>
        <w:t>примени</w:t>
      </w:r>
      <w:r>
        <w:rPr>
          <w:color w:val="231F20"/>
          <w:spacing w:val="-3"/>
          <w:sz w:val="14"/>
        </w:rPr>
        <w:t xml:space="preserve"> </w:t>
      </w:r>
      <w:r>
        <w:rPr>
          <w:color w:val="231F20"/>
          <w:sz w:val="14"/>
        </w:rPr>
        <w:t>математике</w:t>
      </w:r>
      <w:r>
        <w:rPr>
          <w:color w:val="231F20"/>
          <w:spacing w:val="-2"/>
          <w:sz w:val="14"/>
        </w:rPr>
        <w:t xml:space="preserve"> </w:t>
      </w:r>
      <w:r>
        <w:rPr>
          <w:color w:val="231F20"/>
          <w:sz w:val="14"/>
        </w:rPr>
        <w:t>и</w:t>
      </w:r>
      <w:r>
        <w:rPr>
          <w:color w:val="231F20"/>
          <w:spacing w:val="-3"/>
          <w:sz w:val="14"/>
        </w:rPr>
        <w:t xml:space="preserve"> </w:t>
      </w:r>
      <w:r>
        <w:rPr>
          <w:color w:val="231F20"/>
          <w:sz w:val="14"/>
        </w:rPr>
        <w:t>математичког</w:t>
      </w:r>
      <w:r>
        <w:rPr>
          <w:color w:val="231F20"/>
          <w:spacing w:val="-2"/>
          <w:sz w:val="14"/>
        </w:rPr>
        <w:t xml:space="preserve"> </w:t>
      </w:r>
      <w:r>
        <w:rPr>
          <w:color w:val="231F20"/>
          <w:sz w:val="14"/>
        </w:rPr>
        <w:t>начина</w:t>
      </w:r>
      <w:r>
        <w:rPr>
          <w:color w:val="231F20"/>
          <w:spacing w:val="-2"/>
          <w:sz w:val="14"/>
        </w:rPr>
        <w:t xml:space="preserve"> </w:t>
      </w:r>
      <w:r>
        <w:rPr>
          <w:color w:val="231F20"/>
          <w:sz w:val="14"/>
        </w:rPr>
        <w:t>мишљења;</w:t>
      </w:r>
    </w:p>
    <w:p w:rsidR="00041039" w:rsidRDefault="001B26CB">
      <w:pPr>
        <w:pStyle w:val="ListParagraph"/>
        <w:numPr>
          <w:ilvl w:val="1"/>
          <w:numId w:val="1"/>
        </w:numPr>
        <w:tabs>
          <w:tab w:val="left" w:pos="1566"/>
        </w:tabs>
        <w:spacing w:line="161" w:lineRule="exact"/>
        <w:rPr>
          <w:sz w:val="14"/>
        </w:rPr>
      </w:pPr>
      <w:r>
        <w:rPr>
          <w:color w:val="231F20"/>
          <w:sz w:val="14"/>
        </w:rPr>
        <w:t>Развијање систематичности, уредности, прецизности, темељности,</w:t>
      </w:r>
      <w:r>
        <w:rPr>
          <w:color w:val="231F20"/>
          <w:spacing w:val="-2"/>
          <w:sz w:val="14"/>
        </w:rPr>
        <w:t xml:space="preserve"> </w:t>
      </w:r>
      <w:r>
        <w:rPr>
          <w:color w:val="231F20"/>
          <w:sz w:val="14"/>
        </w:rPr>
        <w:t>истрајности.</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after="1"/>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736"/>
        </w:trPr>
        <w:tc>
          <w:tcPr>
            <w:tcW w:w="1304" w:type="dxa"/>
            <w:tcBorders>
              <w:bottom w:val="nil"/>
            </w:tcBorders>
          </w:tcPr>
          <w:p w:rsidR="00041039" w:rsidRDefault="001B26CB">
            <w:pPr>
              <w:pStyle w:val="TableParagraph"/>
              <w:spacing w:before="18"/>
              <w:ind w:left="56"/>
              <w:rPr>
                <w:sz w:val="14"/>
              </w:rPr>
            </w:pPr>
            <w:r>
              <w:rPr>
                <w:color w:val="231F20"/>
                <w:sz w:val="14"/>
              </w:rPr>
              <w:t>Полиноми</w:t>
            </w:r>
          </w:p>
        </w:tc>
        <w:tc>
          <w:tcPr>
            <w:tcW w:w="1587" w:type="dxa"/>
            <w:vMerge w:val="restart"/>
          </w:tcPr>
          <w:p w:rsidR="00041039" w:rsidRDefault="001B26CB">
            <w:pPr>
              <w:pStyle w:val="TableParagraph"/>
              <w:numPr>
                <w:ilvl w:val="0"/>
                <w:numId w:val="184"/>
              </w:numPr>
              <w:tabs>
                <w:tab w:val="left" w:pos="157"/>
              </w:tabs>
              <w:spacing w:before="8"/>
              <w:ind w:right="64"/>
              <w:rPr>
                <w:sz w:val="14"/>
              </w:rPr>
            </w:pPr>
            <w:r>
              <w:rPr>
                <w:color w:val="231F20"/>
                <w:sz w:val="14"/>
              </w:rPr>
              <w:t>Проширивање знања</w:t>
            </w:r>
            <w:r>
              <w:rPr>
                <w:color w:val="231F20"/>
                <w:spacing w:val="-12"/>
                <w:sz w:val="14"/>
              </w:rPr>
              <w:t xml:space="preserve"> </w:t>
            </w:r>
            <w:r>
              <w:rPr>
                <w:color w:val="231F20"/>
                <w:sz w:val="14"/>
              </w:rPr>
              <w:t>о полиномима.</w:t>
            </w:r>
          </w:p>
        </w:tc>
        <w:tc>
          <w:tcPr>
            <w:tcW w:w="2551" w:type="dxa"/>
            <w:vMerge w:val="restart"/>
          </w:tcPr>
          <w:p w:rsidR="00041039" w:rsidRDefault="001B26CB">
            <w:pPr>
              <w:pStyle w:val="TableParagraph"/>
              <w:numPr>
                <w:ilvl w:val="0"/>
                <w:numId w:val="183"/>
              </w:numPr>
              <w:tabs>
                <w:tab w:val="left" w:pos="157"/>
              </w:tabs>
              <w:spacing w:before="8"/>
              <w:ind w:right="202" w:hanging="99"/>
              <w:rPr>
                <w:sz w:val="14"/>
              </w:rPr>
            </w:pPr>
            <w:r>
              <w:rPr>
                <w:color w:val="231F20"/>
                <w:sz w:val="14"/>
              </w:rPr>
              <w:t>изврши операцију дељења два</w:t>
            </w:r>
            <w:r>
              <w:rPr>
                <w:color w:val="231F20"/>
                <w:spacing w:val="-13"/>
                <w:sz w:val="14"/>
              </w:rPr>
              <w:t xml:space="preserve"> </w:t>
            </w:r>
            <w:r>
              <w:rPr>
                <w:color w:val="231F20"/>
                <w:sz w:val="14"/>
              </w:rPr>
              <w:t>поли­ нома;</w:t>
            </w:r>
          </w:p>
          <w:p w:rsidR="00041039" w:rsidRDefault="001B26CB">
            <w:pPr>
              <w:pStyle w:val="TableParagraph"/>
              <w:numPr>
                <w:ilvl w:val="0"/>
                <w:numId w:val="183"/>
              </w:numPr>
              <w:tabs>
                <w:tab w:val="left" w:pos="157"/>
              </w:tabs>
              <w:spacing w:line="160" w:lineRule="exact"/>
              <w:ind w:right="177" w:hanging="99"/>
              <w:rPr>
                <w:sz w:val="14"/>
              </w:rPr>
            </w:pPr>
            <w:r>
              <w:rPr>
                <w:color w:val="231F20"/>
                <w:sz w:val="14"/>
              </w:rPr>
              <w:t>примени</w:t>
            </w:r>
            <w:r>
              <w:rPr>
                <w:color w:val="231F20"/>
                <w:spacing w:val="-8"/>
                <w:sz w:val="14"/>
              </w:rPr>
              <w:t xml:space="preserve"> </w:t>
            </w:r>
            <w:r>
              <w:rPr>
                <w:color w:val="231F20"/>
                <w:sz w:val="14"/>
              </w:rPr>
              <w:t>Безуову</w:t>
            </w:r>
            <w:r>
              <w:rPr>
                <w:color w:val="231F20"/>
                <w:spacing w:val="-7"/>
                <w:sz w:val="14"/>
              </w:rPr>
              <w:t xml:space="preserve"> </w:t>
            </w:r>
            <w:r>
              <w:rPr>
                <w:color w:val="231F20"/>
                <w:sz w:val="14"/>
              </w:rPr>
              <w:t>теорему</w:t>
            </w:r>
            <w:r>
              <w:rPr>
                <w:color w:val="231F20"/>
                <w:spacing w:val="-7"/>
                <w:sz w:val="14"/>
              </w:rPr>
              <w:t xml:space="preserve"> </w:t>
            </w:r>
            <w:r>
              <w:rPr>
                <w:color w:val="231F20"/>
                <w:sz w:val="14"/>
              </w:rPr>
              <w:t>на</w:t>
            </w:r>
            <w:r>
              <w:rPr>
                <w:color w:val="231F20"/>
                <w:spacing w:val="-8"/>
                <w:sz w:val="14"/>
              </w:rPr>
              <w:t xml:space="preserve"> </w:t>
            </w:r>
            <w:r>
              <w:rPr>
                <w:color w:val="231F20"/>
                <w:sz w:val="14"/>
              </w:rPr>
              <w:t>одређи­ вање остатка дељења</w:t>
            </w:r>
            <w:r>
              <w:rPr>
                <w:color w:val="231F20"/>
                <w:spacing w:val="-4"/>
                <w:sz w:val="14"/>
              </w:rPr>
              <w:t xml:space="preserve"> </w:t>
            </w:r>
            <w:r>
              <w:rPr>
                <w:color w:val="231F20"/>
                <w:sz w:val="14"/>
              </w:rPr>
              <w:t>полинома;</w:t>
            </w:r>
          </w:p>
          <w:p w:rsidR="00041039" w:rsidRDefault="001B26CB">
            <w:pPr>
              <w:pStyle w:val="TableParagraph"/>
              <w:numPr>
                <w:ilvl w:val="0"/>
                <w:numId w:val="183"/>
              </w:numPr>
              <w:tabs>
                <w:tab w:val="left" w:pos="157"/>
              </w:tabs>
              <w:spacing w:line="160" w:lineRule="exact"/>
              <w:ind w:right="105" w:hanging="99"/>
              <w:rPr>
                <w:sz w:val="14"/>
              </w:rPr>
            </w:pPr>
            <w:r>
              <w:rPr>
                <w:color w:val="231F20"/>
                <w:sz w:val="14"/>
              </w:rPr>
              <w:t>примени Безуову теорему на одређи­ вање непознатих коефицијената</w:t>
            </w:r>
            <w:r>
              <w:rPr>
                <w:color w:val="231F20"/>
                <w:spacing w:val="-25"/>
                <w:sz w:val="14"/>
              </w:rPr>
              <w:t xml:space="preserve"> </w:t>
            </w:r>
            <w:r>
              <w:rPr>
                <w:color w:val="231F20"/>
                <w:sz w:val="14"/>
              </w:rPr>
              <w:t>поли­ нома (ако је познат остатак</w:t>
            </w:r>
            <w:r>
              <w:rPr>
                <w:color w:val="231F20"/>
                <w:spacing w:val="-14"/>
                <w:sz w:val="14"/>
              </w:rPr>
              <w:t xml:space="preserve"> </w:t>
            </w:r>
            <w:r>
              <w:rPr>
                <w:color w:val="231F20"/>
                <w:sz w:val="14"/>
              </w:rPr>
              <w:t>дељења);</w:t>
            </w:r>
          </w:p>
        </w:tc>
        <w:tc>
          <w:tcPr>
            <w:tcW w:w="2834" w:type="dxa"/>
            <w:tcBorders>
              <w:bottom w:val="nil"/>
            </w:tcBorders>
          </w:tcPr>
          <w:p w:rsidR="00041039" w:rsidRDefault="001B26CB">
            <w:pPr>
              <w:pStyle w:val="TableParagraph"/>
              <w:numPr>
                <w:ilvl w:val="0"/>
                <w:numId w:val="182"/>
              </w:numPr>
              <w:tabs>
                <w:tab w:val="left" w:pos="157"/>
              </w:tabs>
              <w:spacing w:before="8" w:line="166" w:lineRule="exact"/>
              <w:ind w:hanging="99"/>
              <w:rPr>
                <w:sz w:val="14"/>
              </w:rPr>
            </w:pPr>
            <w:r>
              <w:rPr>
                <w:color w:val="231F20"/>
                <w:sz w:val="14"/>
              </w:rPr>
              <w:t>Дељење</w:t>
            </w:r>
            <w:r>
              <w:rPr>
                <w:color w:val="231F20"/>
                <w:spacing w:val="-1"/>
                <w:sz w:val="14"/>
              </w:rPr>
              <w:t xml:space="preserve"> </w:t>
            </w:r>
            <w:r>
              <w:rPr>
                <w:color w:val="231F20"/>
                <w:sz w:val="14"/>
              </w:rPr>
              <w:t>полинома.</w:t>
            </w:r>
          </w:p>
          <w:p w:rsidR="00041039" w:rsidRDefault="001B26CB">
            <w:pPr>
              <w:pStyle w:val="TableParagraph"/>
              <w:numPr>
                <w:ilvl w:val="0"/>
                <w:numId w:val="182"/>
              </w:numPr>
              <w:tabs>
                <w:tab w:val="left" w:pos="157"/>
              </w:tabs>
              <w:spacing w:line="166" w:lineRule="exact"/>
              <w:ind w:hanging="99"/>
              <w:rPr>
                <w:sz w:val="14"/>
              </w:rPr>
            </w:pPr>
            <w:r>
              <w:rPr>
                <w:color w:val="231F20"/>
                <w:sz w:val="14"/>
              </w:rPr>
              <w:t>Безуова</w:t>
            </w:r>
            <w:r>
              <w:rPr>
                <w:color w:val="231F20"/>
                <w:spacing w:val="-1"/>
                <w:sz w:val="14"/>
              </w:rPr>
              <w:t xml:space="preserve"> </w:t>
            </w:r>
            <w:r>
              <w:rPr>
                <w:color w:val="231F20"/>
                <w:sz w:val="14"/>
              </w:rPr>
              <w:t>теорема.</w:t>
            </w:r>
          </w:p>
        </w:tc>
        <w:tc>
          <w:tcPr>
            <w:tcW w:w="2267" w:type="dxa"/>
            <w:tcBorders>
              <w:bottom w:val="nil"/>
            </w:tcBorders>
          </w:tcPr>
          <w:p w:rsidR="00041039" w:rsidRDefault="001B26CB">
            <w:pPr>
              <w:pStyle w:val="TableParagraph"/>
              <w:numPr>
                <w:ilvl w:val="0"/>
                <w:numId w:val="181"/>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tc>
      </w:tr>
      <w:tr w:rsidR="00041039">
        <w:trPr>
          <w:trHeight w:val="41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tcBorders>
              <w:top w:val="nil"/>
            </w:tcBorders>
          </w:tcPr>
          <w:p w:rsidR="00041039" w:rsidRDefault="00041039">
            <w:pPr>
              <w:pStyle w:val="TableParagraph"/>
              <w:ind w:left="0"/>
              <w:rPr>
                <w:sz w:val="14"/>
              </w:rPr>
            </w:pPr>
          </w:p>
        </w:tc>
        <w:tc>
          <w:tcPr>
            <w:tcW w:w="2267" w:type="dxa"/>
            <w:vMerge w:val="restart"/>
            <w:tcBorders>
              <w:top w:val="nil"/>
              <w:bottom w:val="nil"/>
            </w:tcBorders>
          </w:tcPr>
          <w:p w:rsidR="00041039" w:rsidRDefault="001B26CB">
            <w:pPr>
              <w:pStyle w:val="TableParagraph"/>
              <w:spacing w:before="7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80"/>
              </w:numPr>
              <w:tabs>
                <w:tab w:val="left" w:pos="158"/>
              </w:tabs>
              <w:spacing w:line="160"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tc>
      </w:tr>
      <w:tr w:rsidR="00041039">
        <w:trPr>
          <w:trHeight w:val="680"/>
        </w:trPr>
        <w:tc>
          <w:tcPr>
            <w:tcW w:w="1304" w:type="dxa"/>
          </w:tcPr>
          <w:p w:rsidR="00041039" w:rsidRDefault="001B26CB">
            <w:pPr>
              <w:pStyle w:val="TableParagraph"/>
              <w:spacing w:before="19"/>
              <w:ind w:left="56" w:right="29"/>
              <w:rPr>
                <w:sz w:val="14"/>
              </w:rPr>
            </w:pPr>
            <w:r>
              <w:rPr>
                <w:color w:val="231F20"/>
                <w:sz w:val="14"/>
              </w:rPr>
              <w:t>Ирационалне једна­ чине и неједначине</w:t>
            </w:r>
          </w:p>
        </w:tc>
        <w:tc>
          <w:tcPr>
            <w:tcW w:w="1587" w:type="dxa"/>
          </w:tcPr>
          <w:p w:rsidR="00041039" w:rsidRDefault="001B26CB">
            <w:pPr>
              <w:pStyle w:val="TableParagraph"/>
              <w:numPr>
                <w:ilvl w:val="0"/>
                <w:numId w:val="179"/>
              </w:numPr>
              <w:tabs>
                <w:tab w:val="left" w:pos="157"/>
              </w:tabs>
              <w:spacing w:before="9"/>
              <w:ind w:right="48"/>
              <w:rPr>
                <w:sz w:val="14"/>
              </w:rPr>
            </w:pPr>
            <w:r>
              <w:rPr>
                <w:color w:val="231F20"/>
                <w:sz w:val="14"/>
              </w:rPr>
              <w:t>Стицање основних знања о ирационалним једначинама и</w:t>
            </w:r>
            <w:r>
              <w:rPr>
                <w:color w:val="231F20"/>
                <w:spacing w:val="-14"/>
                <w:sz w:val="14"/>
              </w:rPr>
              <w:t xml:space="preserve"> </w:t>
            </w:r>
            <w:r>
              <w:rPr>
                <w:color w:val="231F20"/>
                <w:sz w:val="14"/>
              </w:rPr>
              <w:t>неједна­ чинама.</w:t>
            </w:r>
          </w:p>
        </w:tc>
        <w:tc>
          <w:tcPr>
            <w:tcW w:w="2551" w:type="dxa"/>
          </w:tcPr>
          <w:p w:rsidR="00041039" w:rsidRDefault="001B26CB">
            <w:pPr>
              <w:pStyle w:val="TableParagraph"/>
              <w:numPr>
                <w:ilvl w:val="0"/>
                <w:numId w:val="178"/>
              </w:numPr>
              <w:tabs>
                <w:tab w:val="left" w:pos="157"/>
              </w:tabs>
              <w:spacing w:before="9"/>
              <w:ind w:right="402" w:hanging="99"/>
              <w:rPr>
                <w:sz w:val="14"/>
              </w:rPr>
            </w:pPr>
            <w:r>
              <w:rPr>
                <w:color w:val="231F20"/>
                <w:sz w:val="14"/>
              </w:rPr>
              <w:t>реши једноставније ирационалне једначине;</w:t>
            </w:r>
          </w:p>
          <w:p w:rsidR="00041039" w:rsidRDefault="001B26CB">
            <w:pPr>
              <w:pStyle w:val="TableParagraph"/>
              <w:numPr>
                <w:ilvl w:val="0"/>
                <w:numId w:val="178"/>
              </w:numPr>
              <w:tabs>
                <w:tab w:val="left" w:pos="157"/>
              </w:tabs>
              <w:spacing w:line="160" w:lineRule="exact"/>
              <w:ind w:right="402" w:hanging="99"/>
              <w:rPr>
                <w:sz w:val="14"/>
              </w:rPr>
            </w:pPr>
            <w:r>
              <w:rPr>
                <w:color w:val="231F20"/>
                <w:sz w:val="14"/>
              </w:rPr>
              <w:t>реши једноставније ирационалне неједначине;</w:t>
            </w:r>
          </w:p>
        </w:tc>
        <w:tc>
          <w:tcPr>
            <w:tcW w:w="2834" w:type="dxa"/>
          </w:tcPr>
          <w:p w:rsidR="00041039" w:rsidRDefault="001B26CB">
            <w:pPr>
              <w:pStyle w:val="TableParagraph"/>
              <w:numPr>
                <w:ilvl w:val="0"/>
                <w:numId w:val="177"/>
              </w:numPr>
              <w:tabs>
                <w:tab w:val="left" w:pos="157"/>
              </w:tabs>
              <w:spacing w:before="9" w:line="166" w:lineRule="exact"/>
              <w:ind w:hanging="99"/>
              <w:rPr>
                <w:sz w:val="14"/>
              </w:rPr>
            </w:pPr>
            <w:r>
              <w:rPr>
                <w:color w:val="231F20"/>
                <w:sz w:val="14"/>
              </w:rPr>
              <w:t>Ирационалне једначине (квадратни</w:t>
            </w:r>
            <w:r>
              <w:rPr>
                <w:color w:val="231F20"/>
                <w:spacing w:val="-16"/>
                <w:sz w:val="14"/>
              </w:rPr>
              <w:t xml:space="preserve"> </w:t>
            </w:r>
            <w:r>
              <w:rPr>
                <w:color w:val="231F20"/>
                <w:sz w:val="14"/>
              </w:rPr>
              <w:t>корен).</w:t>
            </w:r>
          </w:p>
          <w:p w:rsidR="00041039" w:rsidRDefault="001B26CB">
            <w:pPr>
              <w:pStyle w:val="TableParagraph"/>
              <w:numPr>
                <w:ilvl w:val="0"/>
                <w:numId w:val="177"/>
              </w:numPr>
              <w:tabs>
                <w:tab w:val="left" w:pos="157"/>
              </w:tabs>
              <w:spacing w:line="160" w:lineRule="exact"/>
              <w:ind w:hanging="99"/>
              <w:rPr>
                <w:sz w:val="14"/>
              </w:rPr>
            </w:pPr>
            <w:r>
              <w:rPr>
                <w:color w:val="231F20"/>
                <w:sz w:val="14"/>
              </w:rPr>
              <w:t>Ирационалне једначине (кубни</w:t>
            </w:r>
            <w:r>
              <w:rPr>
                <w:color w:val="231F20"/>
                <w:spacing w:val="-8"/>
                <w:sz w:val="14"/>
              </w:rPr>
              <w:t xml:space="preserve"> </w:t>
            </w:r>
            <w:r>
              <w:rPr>
                <w:color w:val="231F20"/>
                <w:sz w:val="14"/>
              </w:rPr>
              <w:t>корен).</w:t>
            </w:r>
          </w:p>
          <w:p w:rsidR="00041039" w:rsidRDefault="001B26CB">
            <w:pPr>
              <w:pStyle w:val="TableParagraph"/>
              <w:numPr>
                <w:ilvl w:val="0"/>
                <w:numId w:val="177"/>
              </w:numPr>
              <w:tabs>
                <w:tab w:val="left" w:pos="157"/>
              </w:tabs>
              <w:spacing w:line="166" w:lineRule="exact"/>
              <w:ind w:hanging="99"/>
              <w:rPr>
                <w:sz w:val="14"/>
              </w:rPr>
            </w:pPr>
            <w:r>
              <w:rPr>
                <w:color w:val="231F20"/>
                <w:sz w:val="14"/>
              </w:rPr>
              <w:t>Ирационалне</w:t>
            </w:r>
            <w:r>
              <w:rPr>
                <w:color w:val="231F20"/>
                <w:spacing w:val="-2"/>
                <w:sz w:val="14"/>
              </w:rPr>
              <w:t xml:space="preserve"> </w:t>
            </w:r>
            <w:r>
              <w:rPr>
                <w:color w:val="231F20"/>
                <w:sz w:val="14"/>
              </w:rPr>
              <w:t>неједначине.</w:t>
            </w:r>
          </w:p>
        </w:tc>
        <w:tc>
          <w:tcPr>
            <w:tcW w:w="2267" w:type="dxa"/>
            <w:vMerge/>
            <w:tcBorders>
              <w:top w:val="nil"/>
              <w:bottom w:val="nil"/>
            </w:tcBorders>
          </w:tcPr>
          <w:p w:rsidR="00041039" w:rsidRDefault="00041039">
            <w:pPr>
              <w:rPr>
                <w:sz w:val="2"/>
                <w:szCs w:val="2"/>
              </w:rPr>
            </w:pPr>
          </w:p>
        </w:tc>
      </w:tr>
      <w:tr w:rsidR="00041039">
        <w:trPr>
          <w:trHeight w:val="206"/>
        </w:trPr>
        <w:tc>
          <w:tcPr>
            <w:tcW w:w="1304" w:type="dxa"/>
            <w:tcBorders>
              <w:bottom w:val="nil"/>
            </w:tcBorders>
          </w:tcPr>
          <w:p w:rsidR="00041039" w:rsidRDefault="001B26CB">
            <w:pPr>
              <w:pStyle w:val="TableParagraph"/>
              <w:spacing w:before="19"/>
              <w:ind w:left="56"/>
              <w:rPr>
                <w:sz w:val="14"/>
              </w:rPr>
            </w:pPr>
            <w:r>
              <w:rPr>
                <w:color w:val="231F20"/>
                <w:sz w:val="14"/>
              </w:rPr>
              <w:t>Тригонометрија</w:t>
            </w:r>
          </w:p>
        </w:tc>
        <w:tc>
          <w:tcPr>
            <w:tcW w:w="1587" w:type="dxa"/>
            <w:vMerge w:val="restart"/>
          </w:tcPr>
          <w:p w:rsidR="00041039" w:rsidRDefault="001B26CB">
            <w:pPr>
              <w:pStyle w:val="TableParagraph"/>
              <w:numPr>
                <w:ilvl w:val="0"/>
                <w:numId w:val="176"/>
              </w:numPr>
              <w:tabs>
                <w:tab w:val="left" w:pos="157"/>
              </w:tabs>
              <w:spacing w:before="9"/>
              <w:ind w:right="148"/>
              <w:jc w:val="both"/>
              <w:rPr>
                <w:sz w:val="14"/>
              </w:rPr>
            </w:pPr>
            <w:r>
              <w:rPr>
                <w:color w:val="231F20"/>
                <w:sz w:val="14"/>
              </w:rPr>
              <w:t>Проширивање знања о</w:t>
            </w:r>
            <w:r>
              <w:rPr>
                <w:color w:val="231F20"/>
                <w:spacing w:val="-5"/>
                <w:sz w:val="14"/>
              </w:rPr>
              <w:t xml:space="preserve"> </w:t>
            </w:r>
            <w:r>
              <w:rPr>
                <w:color w:val="231F20"/>
                <w:sz w:val="14"/>
              </w:rPr>
              <w:t>тригонометријским функцијама.</w:t>
            </w:r>
          </w:p>
        </w:tc>
        <w:tc>
          <w:tcPr>
            <w:tcW w:w="2551" w:type="dxa"/>
            <w:vMerge w:val="restart"/>
          </w:tcPr>
          <w:p w:rsidR="00041039" w:rsidRDefault="001B26CB">
            <w:pPr>
              <w:pStyle w:val="TableParagraph"/>
              <w:numPr>
                <w:ilvl w:val="0"/>
                <w:numId w:val="175"/>
              </w:numPr>
              <w:tabs>
                <w:tab w:val="left" w:pos="157"/>
              </w:tabs>
              <w:spacing w:before="9"/>
              <w:ind w:right="108" w:hanging="99"/>
              <w:rPr>
                <w:sz w:val="14"/>
              </w:rPr>
            </w:pPr>
            <w:r>
              <w:rPr>
                <w:color w:val="231F20"/>
                <w:sz w:val="14"/>
              </w:rPr>
              <w:t>нацрта графике инверзних тригонометријских функција и</w:t>
            </w:r>
            <w:r>
              <w:rPr>
                <w:color w:val="231F20"/>
                <w:spacing w:val="-14"/>
                <w:sz w:val="14"/>
              </w:rPr>
              <w:t xml:space="preserve"> </w:t>
            </w:r>
            <w:r>
              <w:rPr>
                <w:color w:val="231F20"/>
                <w:sz w:val="14"/>
              </w:rPr>
              <w:t>наведе њихове основне</w:t>
            </w:r>
            <w:r>
              <w:rPr>
                <w:color w:val="231F20"/>
                <w:spacing w:val="-1"/>
                <w:sz w:val="14"/>
              </w:rPr>
              <w:t xml:space="preserve"> </w:t>
            </w:r>
            <w:r>
              <w:rPr>
                <w:color w:val="231F20"/>
                <w:sz w:val="14"/>
              </w:rPr>
              <w:t>особине;</w:t>
            </w:r>
          </w:p>
          <w:p w:rsidR="00041039" w:rsidRDefault="001B26CB">
            <w:pPr>
              <w:pStyle w:val="TableParagraph"/>
              <w:numPr>
                <w:ilvl w:val="0"/>
                <w:numId w:val="175"/>
              </w:numPr>
              <w:tabs>
                <w:tab w:val="left" w:pos="157"/>
              </w:tabs>
              <w:spacing w:line="157" w:lineRule="exact"/>
              <w:ind w:hanging="99"/>
              <w:rPr>
                <w:sz w:val="14"/>
              </w:rPr>
            </w:pPr>
            <w:r>
              <w:rPr>
                <w:color w:val="231F20"/>
                <w:sz w:val="14"/>
              </w:rPr>
              <w:t>упрости израз применом</w:t>
            </w:r>
            <w:r>
              <w:rPr>
                <w:color w:val="231F20"/>
                <w:spacing w:val="-6"/>
                <w:sz w:val="14"/>
              </w:rPr>
              <w:t xml:space="preserve"> </w:t>
            </w:r>
            <w:r>
              <w:rPr>
                <w:color w:val="231F20"/>
                <w:sz w:val="14"/>
              </w:rPr>
              <w:t>формула</w:t>
            </w:r>
          </w:p>
          <w:p w:rsidR="00041039" w:rsidRDefault="001B26CB">
            <w:pPr>
              <w:pStyle w:val="TableParagraph"/>
              <w:rPr>
                <w:sz w:val="14"/>
              </w:rPr>
            </w:pPr>
            <w:r>
              <w:rPr>
                <w:color w:val="231F20"/>
                <w:sz w:val="14"/>
              </w:rPr>
              <w:t>за претварање производа у збир и обрнуто;</w:t>
            </w:r>
          </w:p>
          <w:p w:rsidR="00041039" w:rsidRDefault="001B26CB">
            <w:pPr>
              <w:pStyle w:val="TableParagraph"/>
              <w:numPr>
                <w:ilvl w:val="0"/>
                <w:numId w:val="175"/>
              </w:numPr>
              <w:tabs>
                <w:tab w:val="left" w:pos="157"/>
              </w:tabs>
              <w:spacing w:line="160" w:lineRule="exact"/>
              <w:ind w:right="58" w:hanging="99"/>
              <w:rPr>
                <w:sz w:val="14"/>
              </w:rPr>
            </w:pPr>
            <w:r>
              <w:rPr>
                <w:color w:val="231F20"/>
                <w:sz w:val="14"/>
              </w:rPr>
              <w:t>докаже једноставније идентитете применом</w:t>
            </w:r>
            <w:r>
              <w:rPr>
                <w:color w:val="231F20"/>
                <w:spacing w:val="-7"/>
                <w:sz w:val="14"/>
              </w:rPr>
              <w:t xml:space="preserve"> </w:t>
            </w:r>
            <w:r>
              <w:rPr>
                <w:color w:val="231F20"/>
                <w:sz w:val="14"/>
              </w:rPr>
              <w:t>формула</w:t>
            </w:r>
            <w:r>
              <w:rPr>
                <w:color w:val="231F20"/>
                <w:spacing w:val="-8"/>
                <w:sz w:val="14"/>
              </w:rPr>
              <w:t xml:space="preserve"> </w:t>
            </w:r>
            <w:r>
              <w:rPr>
                <w:color w:val="231F20"/>
                <w:sz w:val="14"/>
              </w:rPr>
              <w:t>за</w:t>
            </w:r>
            <w:r>
              <w:rPr>
                <w:color w:val="231F20"/>
                <w:spacing w:val="-8"/>
                <w:sz w:val="14"/>
              </w:rPr>
              <w:t xml:space="preserve"> </w:t>
            </w:r>
            <w:r>
              <w:rPr>
                <w:color w:val="231F20"/>
                <w:sz w:val="14"/>
              </w:rPr>
              <w:t>претварање</w:t>
            </w:r>
            <w:r>
              <w:rPr>
                <w:color w:val="231F20"/>
                <w:spacing w:val="-7"/>
                <w:sz w:val="14"/>
              </w:rPr>
              <w:t xml:space="preserve"> </w:t>
            </w:r>
            <w:r>
              <w:rPr>
                <w:color w:val="231F20"/>
                <w:sz w:val="14"/>
              </w:rPr>
              <w:t>про­ извода у збир и</w:t>
            </w:r>
            <w:r>
              <w:rPr>
                <w:color w:val="231F20"/>
                <w:spacing w:val="-4"/>
                <w:sz w:val="14"/>
              </w:rPr>
              <w:t xml:space="preserve"> </w:t>
            </w:r>
            <w:r>
              <w:rPr>
                <w:color w:val="231F20"/>
                <w:sz w:val="14"/>
              </w:rPr>
              <w:t>обрнуто;</w:t>
            </w:r>
          </w:p>
          <w:p w:rsidR="00041039" w:rsidRDefault="001B26CB">
            <w:pPr>
              <w:pStyle w:val="TableParagraph"/>
              <w:numPr>
                <w:ilvl w:val="0"/>
                <w:numId w:val="175"/>
              </w:numPr>
              <w:tabs>
                <w:tab w:val="left" w:pos="157"/>
              </w:tabs>
              <w:spacing w:line="160" w:lineRule="exact"/>
              <w:ind w:right="314" w:hanging="99"/>
              <w:rPr>
                <w:sz w:val="14"/>
              </w:rPr>
            </w:pPr>
            <w:r>
              <w:rPr>
                <w:color w:val="231F20"/>
                <w:sz w:val="14"/>
              </w:rPr>
              <w:t xml:space="preserve">реши тригонометријску </w:t>
            </w:r>
            <w:r>
              <w:rPr>
                <w:color w:val="231F20"/>
                <w:spacing w:val="-3"/>
                <w:sz w:val="14"/>
              </w:rPr>
              <w:t xml:space="preserve">једначину, </w:t>
            </w:r>
            <w:r>
              <w:rPr>
                <w:color w:val="231F20"/>
                <w:sz w:val="14"/>
              </w:rPr>
              <w:t>односно</w:t>
            </w:r>
            <w:r>
              <w:rPr>
                <w:color w:val="231F20"/>
                <w:spacing w:val="-1"/>
                <w:sz w:val="14"/>
              </w:rPr>
              <w:t xml:space="preserve"> </w:t>
            </w:r>
            <w:r>
              <w:rPr>
                <w:color w:val="231F20"/>
                <w:sz w:val="14"/>
              </w:rPr>
              <w:t>неједначину;</w:t>
            </w:r>
          </w:p>
          <w:p w:rsidR="00041039" w:rsidRDefault="001B26CB">
            <w:pPr>
              <w:pStyle w:val="TableParagraph"/>
              <w:numPr>
                <w:ilvl w:val="0"/>
                <w:numId w:val="175"/>
              </w:numPr>
              <w:tabs>
                <w:tab w:val="left" w:pos="157"/>
              </w:tabs>
              <w:spacing w:line="160" w:lineRule="exact"/>
              <w:ind w:right="719" w:hanging="99"/>
              <w:rPr>
                <w:sz w:val="14"/>
              </w:rPr>
            </w:pPr>
            <w:r>
              <w:rPr>
                <w:color w:val="231F20"/>
                <w:sz w:val="14"/>
              </w:rPr>
              <w:t>претвори комплексан број</w:t>
            </w:r>
            <w:r>
              <w:rPr>
                <w:color w:val="231F20"/>
                <w:spacing w:val="-18"/>
                <w:sz w:val="14"/>
              </w:rPr>
              <w:t xml:space="preserve"> </w:t>
            </w:r>
            <w:r>
              <w:rPr>
                <w:color w:val="231F20"/>
                <w:sz w:val="14"/>
              </w:rPr>
              <w:t>у тригонометријски</w:t>
            </w:r>
            <w:r>
              <w:rPr>
                <w:color w:val="231F20"/>
                <w:spacing w:val="-3"/>
                <w:sz w:val="14"/>
              </w:rPr>
              <w:t xml:space="preserve"> </w:t>
            </w:r>
            <w:r>
              <w:rPr>
                <w:color w:val="231F20"/>
                <w:sz w:val="14"/>
              </w:rPr>
              <w:t>облик;</w:t>
            </w:r>
          </w:p>
          <w:p w:rsidR="00041039" w:rsidRDefault="001B26CB">
            <w:pPr>
              <w:pStyle w:val="TableParagraph"/>
              <w:numPr>
                <w:ilvl w:val="0"/>
                <w:numId w:val="175"/>
              </w:numPr>
              <w:tabs>
                <w:tab w:val="left" w:pos="157"/>
              </w:tabs>
              <w:spacing w:line="159" w:lineRule="exact"/>
              <w:ind w:hanging="99"/>
              <w:rPr>
                <w:sz w:val="14"/>
              </w:rPr>
            </w:pPr>
            <w:r>
              <w:rPr>
                <w:color w:val="231F20"/>
                <w:sz w:val="14"/>
              </w:rPr>
              <w:t>примени Моаврову</w:t>
            </w:r>
            <w:r>
              <w:rPr>
                <w:color w:val="231F20"/>
                <w:spacing w:val="-4"/>
                <w:sz w:val="14"/>
              </w:rPr>
              <w:t xml:space="preserve"> </w:t>
            </w:r>
            <w:r>
              <w:rPr>
                <w:color w:val="231F20"/>
                <w:sz w:val="14"/>
              </w:rPr>
              <w:t>формулу;</w:t>
            </w:r>
          </w:p>
        </w:tc>
        <w:tc>
          <w:tcPr>
            <w:tcW w:w="2834" w:type="dxa"/>
            <w:vMerge w:val="restart"/>
          </w:tcPr>
          <w:p w:rsidR="00041039" w:rsidRDefault="001B26CB">
            <w:pPr>
              <w:pStyle w:val="TableParagraph"/>
              <w:numPr>
                <w:ilvl w:val="0"/>
                <w:numId w:val="174"/>
              </w:numPr>
              <w:tabs>
                <w:tab w:val="left" w:pos="158"/>
              </w:tabs>
              <w:spacing w:before="9"/>
              <w:ind w:right="306"/>
              <w:rPr>
                <w:sz w:val="14"/>
              </w:rPr>
            </w:pPr>
            <w:r>
              <w:rPr>
                <w:color w:val="231F20"/>
                <w:sz w:val="14"/>
              </w:rPr>
              <w:t>Инверзне тригонометријске функције</w:t>
            </w:r>
            <w:r>
              <w:rPr>
                <w:color w:val="231F20"/>
                <w:spacing w:val="-17"/>
                <w:sz w:val="14"/>
              </w:rPr>
              <w:t xml:space="preserve"> </w:t>
            </w:r>
            <w:r>
              <w:rPr>
                <w:color w:val="231F20"/>
                <w:sz w:val="14"/>
              </w:rPr>
              <w:t>и њихови</w:t>
            </w:r>
            <w:r>
              <w:rPr>
                <w:color w:val="231F20"/>
                <w:spacing w:val="-1"/>
                <w:sz w:val="14"/>
              </w:rPr>
              <w:t xml:space="preserve"> </w:t>
            </w:r>
            <w:r>
              <w:rPr>
                <w:color w:val="231F20"/>
                <w:sz w:val="14"/>
              </w:rPr>
              <w:t>графици.</w:t>
            </w:r>
          </w:p>
          <w:p w:rsidR="00041039" w:rsidRDefault="001B26CB">
            <w:pPr>
              <w:pStyle w:val="TableParagraph"/>
              <w:numPr>
                <w:ilvl w:val="0"/>
                <w:numId w:val="174"/>
              </w:numPr>
              <w:tabs>
                <w:tab w:val="left" w:pos="158"/>
              </w:tabs>
              <w:spacing w:line="160" w:lineRule="exact"/>
              <w:ind w:right="122"/>
              <w:rPr>
                <w:sz w:val="14"/>
              </w:rPr>
            </w:pPr>
            <w:r>
              <w:rPr>
                <w:color w:val="231F20"/>
                <w:sz w:val="14"/>
              </w:rPr>
              <w:t>Претварање производа</w:t>
            </w:r>
            <w:r>
              <w:rPr>
                <w:color w:val="231F20"/>
                <w:spacing w:val="-19"/>
                <w:sz w:val="14"/>
              </w:rPr>
              <w:t xml:space="preserve"> </w:t>
            </w:r>
            <w:r>
              <w:rPr>
                <w:color w:val="231F20"/>
                <w:sz w:val="14"/>
              </w:rPr>
              <w:t>тригонометријских функција у збир тригонометријских функција.</w:t>
            </w:r>
          </w:p>
          <w:p w:rsidR="00041039" w:rsidRDefault="001B26CB">
            <w:pPr>
              <w:pStyle w:val="TableParagraph"/>
              <w:numPr>
                <w:ilvl w:val="0"/>
                <w:numId w:val="174"/>
              </w:numPr>
              <w:tabs>
                <w:tab w:val="left" w:pos="158"/>
              </w:tabs>
              <w:spacing w:line="160" w:lineRule="exact"/>
              <w:ind w:right="244"/>
              <w:rPr>
                <w:sz w:val="14"/>
              </w:rPr>
            </w:pPr>
            <w:r>
              <w:rPr>
                <w:color w:val="231F20"/>
                <w:sz w:val="14"/>
              </w:rPr>
              <w:t>Претварање збира тригонометријских функција у производ</w:t>
            </w:r>
            <w:r>
              <w:rPr>
                <w:color w:val="231F20"/>
                <w:spacing w:val="-18"/>
                <w:sz w:val="14"/>
              </w:rPr>
              <w:t xml:space="preserve"> </w:t>
            </w:r>
            <w:r>
              <w:rPr>
                <w:color w:val="231F20"/>
                <w:sz w:val="14"/>
              </w:rPr>
              <w:t>тригонометријских функција.</w:t>
            </w:r>
          </w:p>
          <w:p w:rsidR="00041039" w:rsidRDefault="001B26CB">
            <w:pPr>
              <w:pStyle w:val="TableParagraph"/>
              <w:numPr>
                <w:ilvl w:val="0"/>
                <w:numId w:val="174"/>
              </w:numPr>
              <w:tabs>
                <w:tab w:val="left" w:pos="158"/>
              </w:tabs>
              <w:spacing w:line="153" w:lineRule="exact"/>
              <w:rPr>
                <w:sz w:val="14"/>
              </w:rPr>
            </w:pPr>
            <w:r>
              <w:rPr>
                <w:color w:val="231F20"/>
                <w:sz w:val="14"/>
              </w:rPr>
              <w:t>Тригонометријске</w:t>
            </w:r>
            <w:r>
              <w:rPr>
                <w:color w:val="231F20"/>
                <w:spacing w:val="-1"/>
                <w:sz w:val="14"/>
              </w:rPr>
              <w:t xml:space="preserve"> </w:t>
            </w:r>
            <w:r>
              <w:rPr>
                <w:color w:val="231F20"/>
                <w:sz w:val="14"/>
              </w:rPr>
              <w:t>једначине.</w:t>
            </w:r>
          </w:p>
          <w:p w:rsidR="00041039" w:rsidRDefault="001B26CB">
            <w:pPr>
              <w:pStyle w:val="TableParagraph"/>
              <w:numPr>
                <w:ilvl w:val="0"/>
                <w:numId w:val="174"/>
              </w:numPr>
              <w:tabs>
                <w:tab w:val="left" w:pos="158"/>
              </w:tabs>
              <w:spacing w:line="160" w:lineRule="exact"/>
              <w:rPr>
                <w:sz w:val="14"/>
              </w:rPr>
            </w:pPr>
            <w:r>
              <w:rPr>
                <w:color w:val="231F20"/>
                <w:sz w:val="14"/>
              </w:rPr>
              <w:t>Тригонометријске</w:t>
            </w:r>
            <w:r>
              <w:rPr>
                <w:color w:val="231F20"/>
                <w:spacing w:val="-2"/>
                <w:sz w:val="14"/>
              </w:rPr>
              <w:t xml:space="preserve"> </w:t>
            </w:r>
            <w:r>
              <w:rPr>
                <w:color w:val="231F20"/>
                <w:sz w:val="14"/>
              </w:rPr>
              <w:t>неједначине.</w:t>
            </w:r>
          </w:p>
          <w:p w:rsidR="00041039" w:rsidRDefault="001B26CB">
            <w:pPr>
              <w:pStyle w:val="TableParagraph"/>
              <w:numPr>
                <w:ilvl w:val="0"/>
                <w:numId w:val="174"/>
              </w:numPr>
              <w:tabs>
                <w:tab w:val="left" w:pos="158"/>
              </w:tabs>
              <w:spacing w:line="237" w:lineRule="auto"/>
              <w:ind w:right="397"/>
              <w:rPr>
                <w:sz w:val="14"/>
              </w:rPr>
            </w:pPr>
            <w:r>
              <w:rPr>
                <w:color w:val="231F20"/>
                <w:sz w:val="14"/>
              </w:rPr>
              <w:t>Тригонометријски</w:t>
            </w:r>
            <w:r>
              <w:rPr>
                <w:color w:val="231F20"/>
                <w:spacing w:val="-15"/>
                <w:sz w:val="14"/>
              </w:rPr>
              <w:t xml:space="preserve"> </w:t>
            </w:r>
            <w:r>
              <w:rPr>
                <w:color w:val="231F20"/>
                <w:sz w:val="14"/>
              </w:rPr>
              <w:t>облик</w:t>
            </w:r>
            <w:r>
              <w:rPr>
                <w:color w:val="231F20"/>
                <w:spacing w:val="-16"/>
                <w:sz w:val="14"/>
              </w:rPr>
              <w:t xml:space="preserve"> </w:t>
            </w:r>
            <w:r>
              <w:rPr>
                <w:color w:val="231F20"/>
                <w:sz w:val="14"/>
              </w:rPr>
              <w:t>комплексног броја.</w:t>
            </w:r>
          </w:p>
          <w:p w:rsidR="00041039" w:rsidRDefault="001B26CB">
            <w:pPr>
              <w:pStyle w:val="TableParagraph"/>
              <w:numPr>
                <w:ilvl w:val="0"/>
                <w:numId w:val="174"/>
              </w:numPr>
              <w:tabs>
                <w:tab w:val="left" w:pos="158"/>
              </w:tabs>
              <w:spacing w:line="161" w:lineRule="exact"/>
              <w:rPr>
                <w:sz w:val="14"/>
              </w:rPr>
            </w:pPr>
            <w:r>
              <w:rPr>
                <w:color w:val="231F20"/>
                <w:sz w:val="14"/>
              </w:rPr>
              <w:t>Моаврова</w:t>
            </w:r>
            <w:r>
              <w:rPr>
                <w:color w:val="231F20"/>
                <w:spacing w:val="-1"/>
                <w:sz w:val="14"/>
              </w:rPr>
              <w:t xml:space="preserve"> </w:t>
            </w:r>
            <w:r>
              <w:rPr>
                <w:color w:val="231F20"/>
                <w:sz w:val="14"/>
              </w:rPr>
              <w:t>фо</w:t>
            </w:r>
            <w:r>
              <w:rPr>
                <w:color w:val="231F20"/>
                <w:sz w:val="14"/>
              </w:rPr>
              <w:t>рмула.</w:t>
            </w:r>
          </w:p>
        </w:tc>
        <w:tc>
          <w:tcPr>
            <w:tcW w:w="2267" w:type="dxa"/>
            <w:vMerge/>
            <w:tcBorders>
              <w:top w:val="nil"/>
              <w:bottom w:val="nil"/>
            </w:tcBorders>
          </w:tcPr>
          <w:p w:rsidR="00041039" w:rsidRDefault="00041039">
            <w:pPr>
              <w:rPr>
                <w:sz w:val="2"/>
                <w:szCs w:val="2"/>
              </w:rPr>
            </w:pPr>
          </w:p>
        </w:tc>
      </w:tr>
      <w:tr w:rsidR="00041039">
        <w:trPr>
          <w:trHeight w:val="739"/>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2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73"/>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73"/>
              </w:numPr>
              <w:tabs>
                <w:tab w:val="left" w:pos="158"/>
              </w:tabs>
              <w:spacing w:line="166" w:lineRule="exact"/>
              <w:ind w:hanging="99"/>
              <w:rPr>
                <w:sz w:val="14"/>
              </w:rPr>
            </w:pPr>
            <w:r>
              <w:rPr>
                <w:color w:val="231F20"/>
                <w:sz w:val="14"/>
              </w:rPr>
              <w:t>учионици</w:t>
            </w:r>
          </w:p>
        </w:tc>
      </w:tr>
      <w:tr w:rsidR="00041039">
        <w:trPr>
          <w:trHeight w:val="4093"/>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72"/>
              </w:numPr>
              <w:tabs>
                <w:tab w:val="left" w:pos="158"/>
              </w:tabs>
              <w:spacing w:before="1" w:line="160" w:lineRule="exact"/>
              <w:ind w:right="197" w:hanging="99"/>
              <w:rPr>
                <w:sz w:val="14"/>
              </w:rPr>
            </w:pPr>
            <w:r>
              <w:rPr>
                <w:color w:val="231F20"/>
                <w:sz w:val="14"/>
              </w:rPr>
              <w:t>образложити циљ предмета,</w:t>
            </w:r>
            <w:r>
              <w:rPr>
                <w:color w:val="231F20"/>
                <w:spacing w:val="-12"/>
                <w:sz w:val="14"/>
              </w:rPr>
              <w:t xml:space="preserve"> </w:t>
            </w:r>
            <w:r>
              <w:rPr>
                <w:color w:val="231F20"/>
                <w:sz w:val="14"/>
              </w:rPr>
              <w:t>на­ чин и критеријум</w:t>
            </w:r>
            <w:r>
              <w:rPr>
                <w:color w:val="231F20"/>
                <w:spacing w:val="-3"/>
                <w:sz w:val="14"/>
              </w:rPr>
              <w:t xml:space="preserve"> </w:t>
            </w:r>
            <w:r>
              <w:rPr>
                <w:color w:val="231F20"/>
                <w:sz w:val="14"/>
              </w:rPr>
              <w:t>оцењивања;</w:t>
            </w:r>
          </w:p>
          <w:p w:rsidR="00041039" w:rsidRDefault="001B26CB">
            <w:pPr>
              <w:pStyle w:val="TableParagraph"/>
              <w:numPr>
                <w:ilvl w:val="0"/>
                <w:numId w:val="172"/>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72"/>
              </w:numPr>
              <w:tabs>
                <w:tab w:val="left" w:pos="158"/>
              </w:tabs>
              <w:spacing w:line="160" w:lineRule="exact"/>
              <w:ind w:right="476" w:hanging="99"/>
              <w:rPr>
                <w:sz w:val="14"/>
              </w:rPr>
            </w:pPr>
            <w:r>
              <w:rPr>
                <w:color w:val="231F20"/>
                <w:sz w:val="14"/>
              </w:rPr>
              <w:t>подстицати ученике на размишљање и самостално закључивање;</w:t>
            </w:r>
          </w:p>
          <w:p w:rsidR="00041039" w:rsidRDefault="001B26CB">
            <w:pPr>
              <w:pStyle w:val="TableParagraph"/>
              <w:numPr>
                <w:ilvl w:val="0"/>
                <w:numId w:val="172"/>
              </w:numPr>
              <w:tabs>
                <w:tab w:val="left" w:pos="158"/>
              </w:tabs>
              <w:spacing w:line="160" w:lineRule="exact"/>
              <w:ind w:right="57" w:hanging="99"/>
              <w:rPr>
                <w:sz w:val="14"/>
              </w:rPr>
            </w:pPr>
            <w:r>
              <w:rPr>
                <w:color w:val="231F20"/>
                <w:sz w:val="14"/>
              </w:rPr>
              <w:t xml:space="preserve">примењивати разноврсне облике и методе рада, </w:t>
            </w:r>
            <w:r>
              <w:rPr>
                <w:color w:val="231F20"/>
                <w:spacing w:val="-3"/>
                <w:sz w:val="14"/>
              </w:rPr>
              <w:t xml:space="preserve">како </w:t>
            </w:r>
            <w:r>
              <w:rPr>
                <w:color w:val="231F20"/>
                <w:sz w:val="14"/>
              </w:rPr>
              <w:t>би се подстак­ ла активност</w:t>
            </w:r>
            <w:r>
              <w:rPr>
                <w:color w:val="231F20"/>
                <w:spacing w:val="-2"/>
                <w:sz w:val="14"/>
              </w:rPr>
              <w:t xml:space="preserve"> </w:t>
            </w:r>
            <w:r>
              <w:rPr>
                <w:color w:val="231F20"/>
                <w:sz w:val="14"/>
              </w:rPr>
              <w:t>ученика;</w:t>
            </w:r>
          </w:p>
          <w:p w:rsidR="00041039" w:rsidRDefault="001B26CB">
            <w:pPr>
              <w:pStyle w:val="TableParagraph"/>
              <w:numPr>
                <w:ilvl w:val="0"/>
                <w:numId w:val="172"/>
              </w:numPr>
              <w:tabs>
                <w:tab w:val="left" w:pos="158"/>
              </w:tabs>
              <w:spacing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72"/>
              </w:numPr>
              <w:tabs>
                <w:tab w:val="left" w:pos="158"/>
              </w:tabs>
              <w:spacing w:line="160" w:lineRule="exact"/>
              <w:ind w:right="309" w:hanging="99"/>
              <w:rPr>
                <w:sz w:val="14"/>
              </w:rPr>
            </w:pPr>
            <w:r>
              <w:rPr>
                <w:color w:val="231F20"/>
                <w:sz w:val="14"/>
              </w:rPr>
              <w:t>упућивати ученике на претраживање различитих извора и примену савремених технологија;</w:t>
            </w:r>
          </w:p>
          <w:p w:rsidR="00041039" w:rsidRDefault="001B26CB">
            <w:pPr>
              <w:pStyle w:val="TableParagraph"/>
              <w:numPr>
                <w:ilvl w:val="0"/>
                <w:numId w:val="171"/>
              </w:numPr>
              <w:tabs>
                <w:tab w:val="left" w:pos="143"/>
              </w:tabs>
              <w:spacing w:line="237" w:lineRule="auto"/>
              <w:ind w:right="296"/>
              <w:rPr>
                <w:sz w:val="14"/>
              </w:rPr>
            </w:pPr>
            <w:r>
              <w:rPr>
                <w:b/>
                <w:color w:val="231F20"/>
                <w:sz w:val="14"/>
              </w:rPr>
              <w:t xml:space="preserve">Ирационалне једначине и неједначине: </w:t>
            </w:r>
            <w:r>
              <w:rPr>
                <w:color w:val="231F20"/>
                <w:sz w:val="14"/>
              </w:rPr>
              <w:t>наглашавати</w:t>
            </w:r>
            <w:r>
              <w:rPr>
                <w:color w:val="231F20"/>
                <w:spacing w:val="-28"/>
                <w:sz w:val="14"/>
              </w:rPr>
              <w:t xml:space="preserve"> </w:t>
            </w:r>
            <w:r>
              <w:rPr>
                <w:color w:val="231F20"/>
                <w:sz w:val="14"/>
              </w:rPr>
              <w:t>не­ опходност постављања</w:t>
            </w:r>
            <w:r>
              <w:rPr>
                <w:color w:val="231F20"/>
                <w:spacing w:val="-7"/>
                <w:sz w:val="14"/>
              </w:rPr>
              <w:t xml:space="preserve"> </w:t>
            </w:r>
            <w:r>
              <w:rPr>
                <w:color w:val="231F20"/>
                <w:sz w:val="14"/>
              </w:rPr>
              <w:t>услова за дефинисаност.</w:t>
            </w:r>
            <w:r>
              <w:rPr>
                <w:color w:val="231F20"/>
                <w:spacing w:val="-16"/>
                <w:sz w:val="14"/>
              </w:rPr>
              <w:t xml:space="preserve"> </w:t>
            </w:r>
            <w:r>
              <w:rPr>
                <w:color w:val="231F20"/>
                <w:sz w:val="14"/>
              </w:rPr>
              <w:t>Неједначине обрадити на једноставнијим примерима.</w:t>
            </w:r>
          </w:p>
        </w:tc>
      </w:tr>
    </w:tbl>
    <w:p w:rsidR="00041039" w:rsidRDefault="00041039">
      <w:pPr>
        <w:spacing w:line="237" w:lineRule="auto"/>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480"/>
        </w:trPr>
        <w:tc>
          <w:tcPr>
            <w:tcW w:w="1304" w:type="dxa"/>
          </w:tcPr>
          <w:p w:rsidR="00041039" w:rsidRDefault="001B26CB">
            <w:pPr>
              <w:pStyle w:val="TableParagraph"/>
              <w:spacing w:before="18"/>
              <w:ind w:left="56"/>
              <w:rPr>
                <w:sz w:val="14"/>
              </w:rPr>
            </w:pPr>
            <w:r>
              <w:rPr>
                <w:color w:val="231F20"/>
                <w:sz w:val="14"/>
              </w:rPr>
              <w:lastRenderedPageBreak/>
              <w:t>Конусни</w:t>
            </w:r>
            <w:r>
              <w:rPr>
                <w:color w:val="231F20"/>
                <w:sz w:val="14"/>
              </w:rPr>
              <w:t xml:space="preserve"> пресеци</w:t>
            </w:r>
          </w:p>
        </w:tc>
        <w:tc>
          <w:tcPr>
            <w:tcW w:w="1587" w:type="dxa"/>
          </w:tcPr>
          <w:p w:rsidR="00041039" w:rsidRDefault="001B26CB">
            <w:pPr>
              <w:pStyle w:val="TableParagraph"/>
              <w:numPr>
                <w:ilvl w:val="0"/>
                <w:numId w:val="170"/>
              </w:numPr>
              <w:tabs>
                <w:tab w:val="left" w:pos="157"/>
              </w:tabs>
              <w:spacing w:before="8"/>
              <w:ind w:right="113"/>
              <w:rPr>
                <w:sz w:val="14"/>
              </w:rPr>
            </w:pPr>
            <w:r>
              <w:rPr>
                <w:color w:val="231F20"/>
                <w:sz w:val="14"/>
              </w:rPr>
              <w:t>Проширивање знања о аналитичкој</w:t>
            </w:r>
            <w:r>
              <w:rPr>
                <w:color w:val="231F20"/>
                <w:spacing w:val="-15"/>
                <w:sz w:val="14"/>
              </w:rPr>
              <w:t xml:space="preserve"> </w:t>
            </w:r>
            <w:r>
              <w:rPr>
                <w:color w:val="231F20"/>
                <w:sz w:val="14"/>
              </w:rPr>
              <w:t>геомет­ рији.</w:t>
            </w:r>
          </w:p>
        </w:tc>
        <w:tc>
          <w:tcPr>
            <w:tcW w:w="2551" w:type="dxa"/>
          </w:tcPr>
          <w:p w:rsidR="00041039" w:rsidRDefault="001B26CB">
            <w:pPr>
              <w:pStyle w:val="TableParagraph"/>
              <w:numPr>
                <w:ilvl w:val="0"/>
                <w:numId w:val="169"/>
              </w:numPr>
              <w:tabs>
                <w:tab w:val="left" w:pos="157"/>
              </w:tabs>
              <w:spacing w:before="8"/>
              <w:ind w:right="362" w:hanging="99"/>
              <w:rPr>
                <w:sz w:val="14"/>
              </w:rPr>
            </w:pPr>
            <w:r>
              <w:rPr>
                <w:color w:val="231F20"/>
                <w:sz w:val="14"/>
              </w:rPr>
              <w:t>наброји конусне пресеке и</w:t>
            </w:r>
            <w:r>
              <w:rPr>
                <w:color w:val="231F20"/>
                <w:spacing w:val="-19"/>
                <w:sz w:val="14"/>
              </w:rPr>
              <w:t xml:space="preserve"> </w:t>
            </w:r>
            <w:r>
              <w:rPr>
                <w:color w:val="231F20"/>
                <w:sz w:val="14"/>
              </w:rPr>
              <w:t>нацрта одговарајуће</w:t>
            </w:r>
            <w:r>
              <w:rPr>
                <w:color w:val="231F20"/>
                <w:spacing w:val="-1"/>
                <w:sz w:val="14"/>
              </w:rPr>
              <w:t xml:space="preserve"> </w:t>
            </w:r>
            <w:r>
              <w:rPr>
                <w:color w:val="231F20"/>
                <w:sz w:val="14"/>
              </w:rPr>
              <w:t>слике;</w:t>
            </w:r>
          </w:p>
          <w:p w:rsidR="00041039" w:rsidRDefault="001B26CB">
            <w:pPr>
              <w:pStyle w:val="TableParagraph"/>
              <w:numPr>
                <w:ilvl w:val="0"/>
                <w:numId w:val="169"/>
              </w:numPr>
              <w:tabs>
                <w:tab w:val="left" w:pos="157"/>
              </w:tabs>
              <w:spacing w:line="160" w:lineRule="exact"/>
              <w:ind w:right="430" w:hanging="99"/>
              <w:rPr>
                <w:sz w:val="14"/>
              </w:rPr>
            </w:pPr>
            <w:r>
              <w:rPr>
                <w:color w:val="231F20"/>
                <w:sz w:val="14"/>
              </w:rPr>
              <w:t>дефинише елипсу и наведе</w:t>
            </w:r>
            <w:r>
              <w:rPr>
                <w:color w:val="231F20"/>
                <w:spacing w:val="-11"/>
                <w:sz w:val="14"/>
              </w:rPr>
              <w:t xml:space="preserve"> </w:t>
            </w:r>
            <w:r>
              <w:rPr>
                <w:color w:val="231F20"/>
                <w:sz w:val="14"/>
              </w:rPr>
              <w:t>њену једначину;</w:t>
            </w:r>
          </w:p>
          <w:p w:rsidR="00041039" w:rsidRDefault="001B26CB">
            <w:pPr>
              <w:pStyle w:val="TableParagraph"/>
              <w:numPr>
                <w:ilvl w:val="0"/>
                <w:numId w:val="169"/>
              </w:numPr>
              <w:tabs>
                <w:tab w:val="left" w:pos="157"/>
              </w:tabs>
              <w:spacing w:line="160" w:lineRule="exact"/>
              <w:ind w:right="481" w:hanging="99"/>
              <w:rPr>
                <w:sz w:val="14"/>
              </w:rPr>
            </w:pPr>
            <w:r>
              <w:rPr>
                <w:color w:val="231F20"/>
                <w:sz w:val="14"/>
              </w:rPr>
              <w:t>одреди жиже, ексцентрицитет</w:t>
            </w:r>
            <w:r>
              <w:rPr>
                <w:color w:val="231F20"/>
                <w:spacing w:val="-12"/>
                <w:sz w:val="14"/>
              </w:rPr>
              <w:t xml:space="preserve"> </w:t>
            </w:r>
            <w:r>
              <w:rPr>
                <w:color w:val="231F20"/>
                <w:sz w:val="14"/>
              </w:rPr>
              <w:t>и директрисе елипсе;</w:t>
            </w:r>
          </w:p>
          <w:p w:rsidR="00041039" w:rsidRDefault="001B26CB">
            <w:pPr>
              <w:pStyle w:val="TableParagraph"/>
              <w:numPr>
                <w:ilvl w:val="0"/>
                <w:numId w:val="169"/>
              </w:numPr>
              <w:tabs>
                <w:tab w:val="left" w:pos="157"/>
              </w:tabs>
              <w:spacing w:line="160" w:lineRule="exact"/>
              <w:ind w:right="245" w:hanging="99"/>
              <w:rPr>
                <w:sz w:val="14"/>
              </w:rPr>
            </w:pPr>
            <w:r>
              <w:rPr>
                <w:color w:val="231F20"/>
                <w:sz w:val="14"/>
              </w:rPr>
              <w:t>одреди једначину елипсе из</w:t>
            </w:r>
            <w:r>
              <w:rPr>
                <w:color w:val="231F20"/>
                <w:spacing w:val="-24"/>
                <w:sz w:val="14"/>
              </w:rPr>
              <w:t xml:space="preserve"> </w:t>
            </w:r>
            <w:r>
              <w:rPr>
                <w:color w:val="231F20"/>
                <w:sz w:val="14"/>
              </w:rPr>
              <w:t>задатих услова;</w:t>
            </w:r>
          </w:p>
          <w:p w:rsidR="00041039" w:rsidRDefault="001B26CB">
            <w:pPr>
              <w:pStyle w:val="TableParagraph"/>
              <w:numPr>
                <w:ilvl w:val="0"/>
                <w:numId w:val="169"/>
              </w:numPr>
              <w:tabs>
                <w:tab w:val="left" w:pos="157"/>
              </w:tabs>
              <w:spacing w:line="160" w:lineRule="exact"/>
              <w:ind w:right="302" w:hanging="99"/>
              <w:rPr>
                <w:sz w:val="14"/>
              </w:rPr>
            </w:pPr>
            <w:r>
              <w:rPr>
                <w:color w:val="231F20"/>
                <w:sz w:val="14"/>
              </w:rPr>
              <w:t>испита међусобни положај праве</w:t>
            </w:r>
            <w:r>
              <w:rPr>
                <w:color w:val="231F20"/>
                <w:spacing w:val="-14"/>
                <w:sz w:val="14"/>
              </w:rPr>
              <w:t xml:space="preserve"> </w:t>
            </w:r>
            <w:r>
              <w:rPr>
                <w:color w:val="231F20"/>
                <w:sz w:val="14"/>
              </w:rPr>
              <w:t>и елипсе;</w:t>
            </w:r>
          </w:p>
          <w:p w:rsidR="00041039" w:rsidRDefault="001B26CB">
            <w:pPr>
              <w:pStyle w:val="TableParagraph"/>
              <w:numPr>
                <w:ilvl w:val="0"/>
                <w:numId w:val="169"/>
              </w:numPr>
              <w:tabs>
                <w:tab w:val="left" w:pos="157"/>
              </w:tabs>
              <w:spacing w:line="160" w:lineRule="exact"/>
              <w:ind w:right="182" w:hanging="99"/>
              <w:rPr>
                <w:sz w:val="14"/>
              </w:rPr>
            </w:pPr>
            <w:r>
              <w:rPr>
                <w:color w:val="231F20"/>
                <w:sz w:val="14"/>
              </w:rPr>
              <w:t>одреди једначину тангенте елипсе</w:t>
            </w:r>
            <w:r>
              <w:rPr>
                <w:color w:val="231F20"/>
                <w:spacing w:val="-17"/>
                <w:sz w:val="14"/>
              </w:rPr>
              <w:t xml:space="preserve"> </w:t>
            </w:r>
            <w:r>
              <w:rPr>
                <w:color w:val="231F20"/>
                <w:sz w:val="14"/>
              </w:rPr>
              <w:t>из задатих</w:t>
            </w:r>
            <w:r>
              <w:rPr>
                <w:color w:val="231F20"/>
                <w:spacing w:val="-1"/>
                <w:sz w:val="14"/>
              </w:rPr>
              <w:t xml:space="preserve"> </w:t>
            </w:r>
            <w:r>
              <w:rPr>
                <w:color w:val="231F20"/>
                <w:sz w:val="14"/>
              </w:rPr>
              <w:t>услова;</w:t>
            </w:r>
          </w:p>
          <w:p w:rsidR="00041039" w:rsidRDefault="001B26CB">
            <w:pPr>
              <w:pStyle w:val="TableParagraph"/>
              <w:numPr>
                <w:ilvl w:val="0"/>
                <w:numId w:val="169"/>
              </w:numPr>
              <w:tabs>
                <w:tab w:val="left" w:pos="157"/>
              </w:tabs>
              <w:spacing w:line="160" w:lineRule="exact"/>
              <w:ind w:right="211" w:hanging="99"/>
              <w:rPr>
                <w:sz w:val="14"/>
              </w:rPr>
            </w:pPr>
            <w:r>
              <w:rPr>
                <w:color w:val="231F20"/>
                <w:sz w:val="14"/>
              </w:rPr>
              <w:t>дефинише хиперболу и наведе</w:t>
            </w:r>
            <w:r>
              <w:rPr>
                <w:color w:val="231F20"/>
                <w:spacing w:val="-12"/>
                <w:sz w:val="14"/>
              </w:rPr>
              <w:t xml:space="preserve"> </w:t>
            </w:r>
            <w:r>
              <w:rPr>
                <w:color w:val="231F20"/>
                <w:sz w:val="14"/>
              </w:rPr>
              <w:t>њену једначину;</w:t>
            </w:r>
          </w:p>
          <w:p w:rsidR="00041039" w:rsidRDefault="001B26CB">
            <w:pPr>
              <w:pStyle w:val="TableParagraph"/>
              <w:numPr>
                <w:ilvl w:val="0"/>
                <w:numId w:val="169"/>
              </w:numPr>
              <w:tabs>
                <w:tab w:val="left" w:pos="157"/>
              </w:tabs>
              <w:spacing w:line="160" w:lineRule="exact"/>
              <w:ind w:right="481" w:hanging="99"/>
              <w:rPr>
                <w:sz w:val="14"/>
              </w:rPr>
            </w:pPr>
            <w:r>
              <w:rPr>
                <w:color w:val="231F20"/>
                <w:sz w:val="14"/>
              </w:rPr>
              <w:t>одреди жиже, ексцентрицитет</w:t>
            </w:r>
            <w:r>
              <w:rPr>
                <w:color w:val="231F20"/>
                <w:spacing w:val="-12"/>
                <w:sz w:val="14"/>
              </w:rPr>
              <w:t xml:space="preserve"> </w:t>
            </w:r>
            <w:r>
              <w:rPr>
                <w:color w:val="231F20"/>
                <w:sz w:val="14"/>
              </w:rPr>
              <w:t>и директрисе</w:t>
            </w:r>
            <w:r>
              <w:rPr>
                <w:color w:val="231F20"/>
                <w:spacing w:val="-1"/>
                <w:sz w:val="14"/>
              </w:rPr>
              <w:t xml:space="preserve"> </w:t>
            </w:r>
            <w:r>
              <w:rPr>
                <w:color w:val="231F20"/>
                <w:sz w:val="14"/>
              </w:rPr>
              <w:t>хиперболе;</w:t>
            </w:r>
          </w:p>
          <w:p w:rsidR="00041039" w:rsidRDefault="001B26CB">
            <w:pPr>
              <w:pStyle w:val="TableParagraph"/>
              <w:numPr>
                <w:ilvl w:val="0"/>
                <w:numId w:val="169"/>
              </w:numPr>
              <w:tabs>
                <w:tab w:val="left" w:pos="157"/>
              </w:tabs>
              <w:spacing w:line="160" w:lineRule="exact"/>
              <w:ind w:right="185" w:hanging="99"/>
              <w:rPr>
                <w:sz w:val="14"/>
              </w:rPr>
            </w:pPr>
            <w:r>
              <w:rPr>
                <w:color w:val="231F20"/>
                <w:sz w:val="14"/>
              </w:rPr>
              <w:t>одреди једначину хиперболе из</w:t>
            </w:r>
            <w:r>
              <w:rPr>
                <w:color w:val="231F20"/>
                <w:spacing w:val="-24"/>
                <w:sz w:val="14"/>
              </w:rPr>
              <w:t xml:space="preserve"> </w:t>
            </w:r>
            <w:r>
              <w:rPr>
                <w:color w:val="231F20"/>
                <w:sz w:val="14"/>
              </w:rPr>
              <w:t>зада­ тих</w:t>
            </w:r>
            <w:r>
              <w:rPr>
                <w:color w:val="231F20"/>
                <w:spacing w:val="-1"/>
                <w:sz w:val="14"/>
              </w:rPr>
              <w:t xml:space="preserve"> </w:t>
            </w:r>
            <w:r>
              <w:rPr>
                <w:color w:val="231F20"/>
                <w:sz w:val="14"/>
              </w:rPr>
              <w:t>услова;</w:t>
            </w:r>
          </w:p>
          <w:p w:rsidR="00041039" w:rsidRDefault="001B26CB">
            <w:pPr>
              <w:pStyle w:val="TableParagraph"/>
              <w:numPr>
                <w:ilvl w:val="0"/>
                <w:numId w:val="169"/>
              </w:numPr>
              <w:tabs>
                <w:tab w:val="left" w:pos="157"/>
              </w:tabs>
              <w:spacing w:line="160" w:lineRule="exact"/>
              <w:ind w:right="302" w:hanging="99"/>
              <w:rPr>
                <w:sz w:val="14"/>
              </w:rPr>
            </w:pPr>
            <w:r>
              <w:rPr>
                <w:color w:val="231F20"/>
                <w:sz w:val="14"/>
              </w:rPr>
              <w:t>испита међусобни положај праве</w:t>
            </w:r>
            <w:r>
              <w:rPr>
                <w:color w:val="231F20"/>
                <w:spacing w:val="-14"/>
                <w:sz w:val="14"/>
              </w:rPr>
              <w:t xml:space="preserve"> </w:t>
            </w:r>
            <w:r>
              <w:rPr>
                <w:color w:val="231F20"/>
                <w:sz w:val="14"/>
              </w:rPr>
              <w:t>и хиперболе;</w:t>
            </w:r>
          </w:p>
          <w:p w:rsidR="00041039" w:rsidRDefault="001B26CB">
            <w:pPr>
              <w:pStyle w:val="TableParagraph"/>
              <w:numPr>
                <w:ilvl w:val="0"/>
                <w:numId w:val="169"/>
              </w:numPr>
              <w:tabs>
                <w:tab w:val="left" w:pos="157"/>
              </w:tabs>
              <w:spacing w:line="160" w:lineRule="exact"/>
              <w:ind w:right="132" w:hanging="99"/>
              <w:rPr>
                <w:sz w:val="14"/>
              </w:rPr>
            </w:pPr>
            <w:r>
              <w:rPr>
                <w:color w:val="231F20"/>
                <w:sz w:val="14"/>
              </w:rPr>
              <w:t>одреди једначину тангенте</w:t>
            </w:r>
            <w:r>
              <w:rPr>
                <w:color w:val="231F20"/>
                <w:spacing w:val="-19"/>
                <w:sz w:val="14"/>
              </w:rPr>
              <w:t xml:space="preserve"> </w:t>
            </w:r>
            <w:r>
              <w:rPr>
                <w:color w:val="231F20"/>
                <w:sz w:val="14"/>
              </w:rPr>
              <w:t>хиперболе из задатих</w:t>
            </w:r>
            <w:r>
              <w:rPr>
                <w:color w:val="231F20"/>
                <w:spacing w:val="-2"/>
                <w:sz w:val="14"/>
              </w:rPr>
              <w:t xml:space="preserve"> </w:t>
            </w:r>
            <w:r>
              <w:rPr>
                <w:color w:val="231F20"/>
                <w:sz w:val="14"/>
              </w:rPr>
              <w:t>услова;</w:t>
            </w:r>
          </w:p>
          <w:p w:rsidR="00041039" w:rsidRDefault="001B26CB">
            <w:pPr>
              <w:pStyle w:val="TableParagraph"/>
              <w:numPr>
                <w:ilvl w:val="0"/>
                <w:numId w:val="169"/>
              </w:numPr>
              <w:tabs>
                <w:tab w:val="left" w:pos="157"/>
              </w:tabs>
              <w:spacing w:line="160" w:lineRule="exact"/>
              <w:ind w:right="637" w:hanging="99"/>
              <w:rPr>
                <w:sz w:val="14"/>
              </w:rPr>
            </w:pPr>
            <w:r>
              <w:rPr>
                <w:color w:val="231F20"/>
                <w:sz w:val="14"/>
              </w:rPr>
              <w:t>дефинише параболу и</w:t>
            </w:r>
            <w:r>
              <w:rPr>
                <w:color w:val="231F20"/>
                <w:spacing w:val="-13"/>
                <w:sz w:val="14"/>
              </w:rPr>
              <w:t xml:space="preserve"> </w:t>
            </w:r>
            <w:r>
              <w:rPr>
                <w:color w:val="231F20"/>
                <w:sz w:val="14"/>
              </w:rPr>
              <w:t>наведе једначину</w:t>
            </w:r>
            <w:r>
              <w:rPr>
                <w:color w:val="231F20"/>
                <w:spacing w:val="-2"/>
                <w:sz w:val="14"/>
              </w:rPr>
              <w:t xml:space="preserve"> </w:t>
            </w:r>
            <w:r>
              <w:rPr>
                <w:color w:val="231F20"/>
                <w:sz w:val="14"/>
              </w:rPr>
              <w:t>параболе;</w:t>
            </w:r>
          </w:p>
          <w:p w:rsidR="00041039" w:rsidRDefault="001B26CB">
            <w:pPr>
              <w:pStyle w:val="TableParagraph"/>
              <w:numPr>
                <w:ilvl w:val="0"/>
                <w:numId w:val="169"/>
              </w:numPr>
              <w:tabs>
                <w:tab w:val="left" w:pos="157"/>
              </w:tabs>
              <w:spacing w:line="160" w:lineRule="exact"/>
              <w:ind w:right="53" w:hanging="99"/>
              <w:rPr>
                <w:sz w:val="14"/>
              </w:rPr>
            </w:pPr>
            <w:r>
              <w:rPr>
                <w:color w:val="231F20"/>
                <w:sz w:val="14"/>
              </w:rPr>
              <w:t>одреди жиже, ексцентрицитет и</w:t>
            </w:r>
            <w:r>
              <w:rPr>
                <w:color w:val="231F20"/>
                <w:spacing w:val="-13"/>
                <w:sz w:val="14"/>
              </w:rPr>
              <w:t xml:space="preserve"> </w:t>
            </w:r>
            <w:r>
              <w:rPr>
                <w:color w:val="231F20"/>
                <w:sz w:val="14"/>
              </w:rPr>
              <w:t>дирек­ трису</w:t>
            </w:r>
            <w:r>
              <w:rPr>
                <w:color w:val="231F20"/>
                <w:spacing w:val="-1"/>
                <w:sz w:val="14"/>
              </w:rPr>
              <w:t xml:space="preserve"> </w:t>
            </w:r>
            <w:r>
              <w:rPr>
                <w:color w:val="231F20"/>
                <w:sz w:val="14"/>
              </w:rPr>
              <w:t>параболе;</w:t>
            </w:r>
          </w:p>
          <w:p w:rsidR="00041039" w:rsidRDefault="001B26CB">
            <w:pPr>
              <w:pStyle w:val="TableParagraph"/>
              <w:numPr>
                <w:ilvl w:val="0"/>
                <w:numId w:val="169"/>
              </w:numPr>
              <w:tabs>
                <w:tab w:val="left" w:pos="157"/>
              </w:tabs>
              <w:spacing w:line="160" w:lineRule="exact"/>
              <w:ind w:right="112" w:hanging="99"/>
              <w:rPr>
                <w:sz w:val="14"/>
              </w:rPr>
            </w:pPr>
            <w:r>
              <w:rPr>
                <w:color w:val="231F20"/>
                <w:sz w:val="14"/>
              </w:rPr>
              <w:t>одреди</w:t>
            </w:r>
            <w:r>
              <w:rPr>
                <w:color w:val="231F20"/>
                <w:spacing w:val="-8"/>
                <w:sz w:val="14"/>
              </w:rPr>
              <w:t xml:space="preserve"> </w:t>
            </w:r>
            <w:r>
              <w:rPr>
                <w:color w:val="231F20"/>
                <w:sz w:val="14"/>
              </w:rPr>
              <w:t>једначину</w:t>
            </w:r>
            <w:r>
              <w:rPr>
                <w:color w:val="231F20"/>
                <w:spacing w:val="-8"/>
                <w:sz w:val="14"/>
              </w:rPr>
              <w:t xml:space="preserve"> </w:t>
            </w:r>
            <w:r>
              <w:rPr>
                <w:color w:val="231F20"/>
                <w:sz w:val="14"/>
              </w:rPr>
              <w:t>параболе</w:t>
            </w:r>
            <w:r>
              <w:rPr>
                <w:color w:val="231F20"/>
                <w:spacing w:val="-9"/>
                <w:sz w:val="14"/>
              </w:rPr>
              <w:t xml:space="preserve"> </w:t>
            </w:r>
            <w:r>
              <w:rPr>
                <w:color w:val="231F20"/>
                <w:sz w:val="14"/>
              </w:rPr>
              <w:t>из</w:t>
            </w:r>
            <w:r>
              <w:rPr>
                <w:color w:val="231F20"/>
                <w:spacing w:val="-9"/>
                <w:sz w:val="14"/>
              </w:rPr>
              <w:t xml:space="preserve"> </w:t>
            </w:r>
            <w:r>
              <w:rPr>
                <w:color w:val="231F20"/>
                <w:sz w:val="14"/>
              </w:rPr>
              <w:t>задатих услова;</w:t>
            </w:r>
          </w:p>
          <w:p w:rsidR="00041039" w:rsidRDefault="001B26CB">
            <w:pPr>
              <w:pStyle w:val="TableParagraph"/>
              <w:numPr>
                <w:ilvl w:val="0"/>
                <w:numId w:val="169"/>
              </w:numPr>
              <w:tabs>
                <w:tab w:val="left" w:pos="157"/>
              </w:tabs>
              <w:spacing w:before="1" w:line="160" w:lineRule="exact"/>
              <w:ind w:right="302" w:hanging="99"/>
              <w:rPr>
                <w:sz w:val="14"/>
              </w:rPr>
            </w:pPr>
            <w:r>
              <w:rPr>
                <w:color w:val="231F20"/>
                <w:sz w:val="14"/>
              </w:rPr>
              <w:t>испита међусобни положај праве</w:t>
            </w:r>
            <w:r>
              <w:rPr>
                <w:color w:val="231F20"/>
                <w:spacing w:val="-14"/>
                <w:sz w:val="14"/>
              </w:rPr>
              <w:t xml:space="preserve"> </w:t>
            </w:r>
            <w:r>
              <w:rPr>
                <w:color w:val="231F20"/>
                <w:sz w:val="14"/>
              </w:rPr>
              <w:t>и параболе;</w:t>
            </w:r>
          </w:p>
          <w:p w:rsidR="00041039" w:rsidRDefault="001B26CB">
            <w:pPr>
              <w:pStyle w:val="TableParagraph"/>
              <w:numPr>
                <w:ilvl w:val="0"/>
                <w:numId w:val="169"/>
              </w:numPr>
              <w:tabs>
                <w:tab w:val="left" w:pos="157"/>
              </w:tabs>
              <w:spacing w:line="160" w:lineRule="exact"/>
              <w:ind w:right="49" w:hanging="99"/>
              <w:rPr>
                <w:sz w:val="14"/>
              </w:rPr>
            </w:pPr>
            <w:r>
              <w:rPr>
                <w:color w:val="231F20"/>
                <w:sz w:val="14"/>
              </w:rPr>
              <w:t>одреди једначину тангенте параболе</w:t>
            </w:r>
            <w:r>
              <w:rPr>
                <w:color w:val="231F20"/>
                <w:spacing w:val="-25"/>
                <w:sz w:val="14"/>
              </w:rPr>
              <w:t xml:space="preserve"> </w:t>
            </w:r>
            <w:r>
              <w:rPr>
                <w:color w:val="231F20"/>
                <w:sz w:val="14"/>
              </w:rPr>
              <w:t>из задатих</w:t>
            </w:r>
            <w:r>
              <w:rPr>
                <w:color w:val="231F20"/>
                <w:spacing w:val="-1"/>
                <w:sz w:val="14"/>
              </w:rPr>
              <w:t xml:space="preserve"> </w:t>
            </w:r>
            <w:r>
              <w:rPr>
                <w:color w:val="231F20"/>
                <w:sz w:val="14"/>
              </w:rPr>
              <w:t>услова;</w:t>
            </w:r>
          </w:p>
        </w:tc>
        <w:tc>
          <w:tcPr>
            <w:tcW w:w="2834" w:type="dxa"/>
          </w:tcPr>
          <w:p w:rsidR="00041039" w:rsidRDefault="001B26CB">
            <w:pPr>
              <w:pStyle w:val="TableParagraph"/>
              <w:numPr>
                <w:ilvl w:val="0"/>
                <w:numId w:val="168"/>
              </w:numPr>
              <w:tabs>
                <w:tab w:val="left" w:pos="157"/>
              </w:tabs>
              <w:spacing w:before="8" w:line="166" w:lineRule="exact"/>
              <w:ind w:hanging="99"/>
              <w:rPr>
                <w:sz w:val="14"/>
              </w:rPr>
            </w:pPr>
            <w:r>
              <w:rPr>
                <w:color w:val="231F20"/>
                <w:sz w:val="14"/>
              </w:rPr>
              <w:t>Конусна површ. Конусни</w:t>
            </w:r>
            <w:r>
              <w:rPr>
                <w:color w:val="231F20"/>
                <w:spacing w:val="-4"/>
                <w:sz w:val="14"/>
              </w:rPr>
              <w:t xml:space="preserve"> </w:t>
            </w:r>
            <w:r>
              <w:rPr>
                <w:color w:val="231F20"/>
                <w:sz w:val="14"/>
              </w:rPr>
              <w:t>пресеци.</w:t>
            </w:r>
          </w:p>
          <w:p w:rsidR="00041039" w:rsidRDefault="001B26CB">
            <w:pPr>
              <w:pStyle w:val="TableParagraph"/>
              <w:numPr>
                <w:ilvl w:val="0"/>
                <w:numId w:val="168"/>
              </w:numPr>
              <w:tabs>
                <w:tab w:val="left" w:pos="157"/>
              </w:tabs>
              <w:spacing w:line="160" w:lineRule="exact"/>
              <w:ind w:hanging="99"/>
              <w:rPr>
                <w:sz w:val="14"/>
              </w:rPr>
            </w:pPr>
            <w:r>
              <w:rPr>
                <w:color w:val="231F20"/>
                <w:sz w:val="14"/>
              </w:rPr>
              <w:t>Једначина</w:t>
            </w:r>
            <w:r>
              <w:rPr>
                <w:color w:val="231F20"/>
                <w:spacing w:val="-1"/>
                <w:sz w:val="14"/>
              </w:rPr>
              <w:t xml:space="preserve"> </w:t>
            </w:r>
            <w:r>
              <w:rPr>
                <w:color w:val="231F20"/>
                <w:sz w:val="14"/>
              </w:rPr>
              <w:t>елипсе.</w:t>
            </w:r>
          </w:p>
          <w:p w:rsidR="00041039" w:rsidRDefault="001B26CB">
            <w:pPr>
              <w:pStyle w:val="TableParagraph"/>
              <w:numPr>
                <w:ilvl w:val="0"/>
                <w:numId w:val="168"/>
              </w:numPr>
              <w:tabs>
                <w:tab w:val="left" w:pos="157"/>
              </w:tabs>
              <w:spacing w:line="237" w:lineRule="auto"/>
              <w:ind w:right="172" w:hanging="99"/>
              <w:rPr>
                <w:sz w:val="14"/>
              </w:rPr>
            </w:pPr>
            <w:r>
              <w:rPr>
                <w:color w:val="231F20"/>
                <w:sz w:val="14"/>
              </w:rPr>
              <w:t>Особине елипсе (жиже, ексцентрицитет</w:t>
            </w:r>
            <w:r>
              <w:rPr>
                <w:color w:val="231F20"/>
                <w:spacing w:val="-11"/>
                <w:sz w:val="14"/>
              </w:rPr>
              <w:t xml:space="preserve"> </w:t>
            </w:r>
            <w:r>
              <w:rPr>
                <w:color w:val="231F20"/>
                <w:sz w:val="14"/>
              </w:rPr>
              <w:t>и директрисе).</w:t>
            </w:r>
          </w:p>
          <w:p w:rsidR="00041039" w:rsidRDefault="001B26CB">
            <w:pPr>
              <w:pStyle w:val="TableParagraph"/>
              <w:numPr>
                <w:ilvl w:val="0"/>
                <w:numId w:val="168"/>
              </w:numPr>
              <w:tabs>
                <w:tab w:val="left" w:pos="157"/>
              </w:tabs>
              <w:spacing w:line="155" w:lineRule="exact"/>
              <w:ind w:hanging="99"/>
              <w:rPr>
                <w:sz w:val="14"/>
              </w:rPr>
            </w:pPr>
            <w:r>
              <w:rPr>
                <w:color w:val="231F20"/>
                <w:spacing w:val="-3"/>
                <w:sz w:val="14"/>
              </w:rPr>
              <w:t xml:space="preserve">Узајамни </w:t>
            </w:r>
            <w:r>
              <w:rPr>
                <w:color w:val="231F20"/>
                <w:sz w:val="14"/>
              </w:rPr>
              <w:t>положај праве и</w:t>
            </w:r>
            <w:r>
              <w:rPr>
                <w:color w:val="231F20"/>
                <w:spacing w:val="-1"/>
                <w:sz w:val="14"/>
              </w:rPr>
              <w:t xml:space="preserve"> </w:t>
            </w:r>
            <w:r>
              <w:rPr>
                <w:color w:val="231F20"/>
                <w:sz w:val="14"/>
              </w:rPr>
              <w:t>елипсе.</w:t>
            </w:r>
          </w:p>
          <w:p w:rsidR="00041039" w:rsidRDefault="001B26CB">
            <w:pPr>
              <w:pStyle w:val="TableParagraph"/>
              <w:numPr>
                <w:ilvl w:val="0"/>
                <w:numId w:val="168"/>
              </w:numPr>
              <w:tabs>
                <w:tab w:val="left" w:pos="157"/>
              </w:tabs>
              <w:spacing w:line="160" w:lineRule="exact"/>
              <w:ind w:hanging="99"/>
              <w:rPr>
                <w:sz w:val="14"/>
              </w:rPr>
            </w:pPr>
            <w:r>
              <w:rPr>
                <w:color w:val="231F20"/>
                <w:sz w:val="14"/>
              </w:rPr>
              <w:t>Једначина</w:t>
            </w:r>
            <w:r>
              <w:rPr>
                <w:color w:val="231F20"/>
                <w:spacing w:val="-1"/>
                <w:sz w:val="14"/>
              </w:rPr>
              <w:t xml:space="preserve"> </w:t>
            </w:r>
            <w:r>
              <w:rPr>
                <w:color w:val="231F20"/>
                <w:sz w:val="14"/>
              </w:rPr>
              <w:t>хиперболе.</w:t>
            </w:r>
          </w:p>
          <w:p w:rsidR="00041039" w:rsidRDefault="001B26CB">
            <w:pPr>
              <w:pStyle w:val="TableParagraph"/>
              <w:numPr>
                <w:ilvl w:val="0"/>
                <w:numId w:val="168"/>
              </w:numPr>
              <w:tabs>
                <w:tab w:val="left" w:pos="157"/>
              </w:tabs>
              <w:spacing w:line="237" w:lineRule="auto"/>
              <w:ind w:right="43" w:hanging="99"/>
              <w:rPr>
                <w:sz w:val="14"/>
              </w:rPr>
            </w:pPr>
            <w:r>
              <w:rPr>
                <w:color w:val="231F20"/>
                <w:sz w:val="14"/>
              </w:rPr>
              <w:t>Особине хиперболе (жиже,</w:t>
            </w:r>
            <w:r>
              <w:rPr>
                <w:color w:val="231F20"/>
                <w:spacing w:val="-25"/>
                <w:sz w:val="14"/>
              </w:rPr>
              <w:t xml:space="preserve"> </w:t>
            </w:r>
            <w:r>
              <w:rPr>
                <w:color w:val="231F20"/>
                <w:sz w:val="14"/>
              </w:rPr>
              <w:t>ексцентрицитет, полуосе и асимптоте,</w:t>
            </w:r>
            <w:r>
              <w:rPr>
                <w:color w:val="231F20"/>
                <w:spacing w:val="-3"/>
                <w:sz w:val="14"/>
              </w:rPr>
              <w:t xml:space="preserve"> </w:t>
            </w:r>
            <w:r>
              <w:rPr>
                <w:color w:val="231F20"/>
                <w:sz w:val="14"/>
              </w:rPr>
              <w:t>директрисе).</w:t>
            </w:r>
          </w:p>
          <w:p w:rsidR="00041039" w:rsidRDefault="001B26CB">
            <w:pPr>
              <w:pStyle w:val="TableParagraph"/>
              <w:numPr>
                <w:ilvl w:val="0"/>
                <w:numId w:val="168"/>
              </w:numPr>
              <w:tabs>
                <w:tab w:val="left" w:pos="157"/>
              </w:tabs>
              <w:spacing w:line="155" w:lineRule="exact"/>
              <w:ind w:hanging="99"/>
              <w:rPr>
                <w:sz w:val="14"/>
              </w:rPr>
            </w:pPr>
            <w:r>
              <w:rPr>
                <w:color w:val="231F20"/>
                <w:spacing w:val="-3"/>
                <w:sz w:val="14"/>
              </w:rPr>
              <w:t xml:space="preserve">Узајамни </w:t>
            </w:r>
            <w:r>
              <w:rPr>
                <w:color w:val="231F20"/>
                <w:sz w:val="14"/>
              </w:rPr>
              <w:t>положај праве и</w:t>
            </w:r>
            <w:r>
              <w:rPr>
                <w:color w:val="231F20"/>
                <w:spacing w:val="-2"/>
                <w:sz w:val="14"/>
              </w:rPr>
              <w:t xml:space="preserve"> </w:t>
            </w:r>
            <w:r>
              <w:rPr>
                <w:color w:val="231F20"/>
                <w:sz w:val="14"/>
              </w:rPr>
              <w:t>хиперболе.</w:t>
            </w:r>
          </w:p>
          <w:p w:rsidR="00041039" w:rsidRDefault="001B26CB">
            <w:pPr>
              <w:pStyle w:val="TableParagraph"/>
              <w:numPr>
                <w:ilvl w:val="0"/>
                <w:numId w:val="168"/>
              </w:numPr>
              <w:tabs>
                <w:tab w:val="left" w:pos="157"/>
              </w:tabs>
              <w:spacing w:line="160" w:lineRule="exact"/>
              <w:ind w:hanging="99"/>
              <w:rPr>
                <w:sz w:val="14"/>
              </w:rPr>
            </w:pPr>
            <w:r>
              <w:rPr>
                <w:color w:val="231F20"/>
                <w:sz w:val="14"/>
              </w:rPr>
              <w:t>Једначина</w:t>
            </w:r>
            <w:r>
              <w:rPr>
                <w:color w:val="231F20"/>
                <w:spacing w:val="-1"/>
                <w:sz w:val="14"/>
              </w:rPr>
              <w:t xml:space="preserve"> </w:t>
            </w:r>
            <w:r>
              <w:rPr>
                <w:color w:val="231F20"/>
                <w:sz w:val="14"/>
              </w:rPr>
              <w:t>параболе.</w:t>
            </w:r>
          </w:p>
          <w:p w:rsidR="00041039" w:rsidRDefault="001B26CB">
            <w:pPr>
              <w:pStyle w:val="TableParagraph"/>
              <w:numPr>
                <w:ilvl w:val="0"/>
                <w:numId w:val="168"/>
              </w:numPr>
              <w:tabs>
                <w:tab w:val="left" w:pos="157"/>
              </w:tabs>
              <w:spacing w:line="237" w:lineRule="auto"/>
              <w:ind w:right="366" w:hanging="99"/>
              <w:rPr>
                <w:sz w:val="14"/>
              </w:rPr>
            </w:pPr>
            <w:r>
              <w:rPr>
                <w:color w:val="231F20"/>
                <w:sz w:val="14"/>
              </w:rPr>
              <w:t>Особине параболе (жижа, параметар и директриса).</w:t>
            </w:r>
          </w:p>
          <w:p w:rsidR="00041039" w:rsidRDefault="001B26CB">
            <w:pPr>
              <w:pStyle w:val="TableParagraph"/>
              <w:numPr>
                <w:ilvl w:val="0"/>
                <w:numId w:val="168"/>
              </w:numPr>
              <w:tabs>
                <w:tab w:val="left" w:pos="157"/>
              </w:tabs>
              <w:spacing w:line="161" w:lineRule="exact"/>
              <w:ind w:hanging="99"/>
              <w:rPr>
                <w:sz w:val="14"/>
              </w:rPr>
            </w:pPr>
            <w:r>
              <w:rPr>
                <w:color w:val="231F20"/>
                <w:spacing w:val="-3"/>
                <w:sz w:val="14"/>
              </w:rPr>
              <w:t xml:space="preserve">Узајамни </w:t>
            </w:r>
            <w:r>
              <w:rPr>
                <w:color w:val="231F20"/>
                <w:sz w:val="14"/>
              </w:rPr>
              <w:t>положај праве и</w:t>
            </w:r>
            <w:r>
              <w:rPr>
                <w:color w:val="231F20"/>
                <w:spacing w:val="-3"/>
                <w:sz w:val="14"/>
              </w:rPr>
              <w:t xml:space="preserve"> </w:t>
            </w:r>
            <w:r>
              <w:rPr>
                <w:color w:val="231F20"/>
                <w:sz w:val="14"/>
              </w:rPr>
              <w:t>параболе.</w:t>
            </w:r>
          </w:p>
        </w:tc>
        <w:tc>
          <w:tcPr>
            <w:tcW w:w="2267" w:type="dxa"/>
          </w:tcPr>
          <w:p w:rsidR="00041039" w:rsidRDefault="001B26CB">
            <w:pPr>
              <w:pStyle w:val="TableParagraph"/>
              <w:numPr>
                <w:ilvl w:val="0"/>
                <w:numId w:val="167"/>
              </w:numPr>
              <w:tabs>
                <w:tab w:val="left" w:pos="143"/>
              </w:tabs>
              <w:spacing w:before="19"/>
              <w:ind w:right="95"/>
              <w:rPr>
                <w:sz w:val="14"/>
              </w:rPr>
            </w:pPr>
            <w:r>
              <w:rPr>
                <w:b/>
                <w:color w:val="231F20"/>
                <w:sz w:val="14"/>
              </w:rPr>
              <w:t xml:space="preserve">Тригонометрија: </w:t>
            </w:r>
            <w:r>
              <w:rPr>
                <w:color w:val="231F20"/>
                <w:sz w:val="14"/>
              </w:rPr>
              <w:t>доказати формуле за трансформацију производа тригонометријских функција у збир и обрнуто. При решавању тригонометријских једначина н неједначина</w:t>
            </w:r>
            <w:r>
              <w:rPr>
                <w:color w:val="231F20"/>
                <w:spacing w:val="-25"/>
                <w:sz w:val="14"/>
              </w:rPr>
              <w:t xml:space="preserve"> </w:t>
            </w:r>
            <w:r>
              <w:rPr>
                <w:color w:val="231F20"/>
                <w:sz w:val="14"/>
              </w:rPr>
              <w:t>инсисти­ рати на приказивању решења на тригонометријском</w:t>
            </w:r>
            <w:r>
              <w:rPr>
                <w:color w:val="231F20"/>
                <w:spacing w:val="-1"/>
                <w:sz w:val="14"/>
              </w:rPr>
              <w:t xml:space="preserve"> </w:t>
            </w:r>
            <w:r>
              <w:rPr>
                <w:color w:val="231F20"/>
                <w:spacing w:val="-3"/>
                <w:sz w:val="14"/>
              </w:rPr>
              <w:t>кругу.</w:t>
            </w:r>
          </w:p>
          <w:p w:rsidR="00041039" w:rsidRDefault="001B26CB">
            <w:pPr>
              <w:pStyle w:val="TableParagraph"/>
              <w:numPr>
                <w:ilvl w:val="0"/>
                <w:numId w:val="167"/>
              </w:numPr>
              <w:tabs>
                <w:tab w:val="left" w:pos="143"/>
              </w:tabs>
              <w:spacing w:line="237" w:lineRule="auto"/>
              <w:ind w:right="48"/>
              <w:rPr>
                <w:sz w:val="14"/>
              </w:rPr>
            </w:pPr>
            <w:r>
              <w:rPr>
                <w:b/>
                <w:color w:val="231F20"/>
                <w:sz w:val="14"/>
              </w:rPr>
              <w:t xml:space="preserve">Конусни пресеци: </w:t>
            </w:r>
            <w:r>
              <w:rPr>
                <w:color w:val="231F20"/>
                <w:sz w:val="14"/>
              </w:rPr>
              <w:t>на почетку теме обновити праву</w:t>
            </w:r>
            <w:r>
              <w:rPr>
                <w:color w:val="231F20"/>
                <w:sz w:val="14"/>
              </w:rPr>
              <w:t xml:space="preserve"> и кружницу. Обрадити и примере у којима се одређују једначине заједничких тангенти кривих, угао између</w:t>
            </w:r>
            <w:r>
              <w:rPr>
                <w:color w:val="231F20"/>
                <w:spacing w:val="-4"/>
                <w:sz w:val="14"/>
              </w:rPr>
              <w:t xml:space="preserve"> </w:t>
            </w:r>
            <w:r>
              <w:rPr>
                <w:color w:val="231F20"/>
                <w:sz w:val="14"/>
              </w:rPr>
              <w:t>кри­ вих и геометријско место тачака које испуњавају одређене</w:t>
            </w:r>
            <w:r>
              <w:rPr>
                <w:color w:val="231F20"/>
                <w:spacing w:val="-13"/>
                <w:sz w:val="14"/>
              </w:rPr>
              <w:t xml:space="preserve"> </w:t>
            </w:r>
            <w:r>
              <w:rPr>
                <w:color w:val="231F20"/>
                <w:sz w:val="14"/>
              </w:rPr>
              <w:t>услове.</w:t>
            </w:r>
          </w:p>
          <w:p w:rsidR="00041039" w:rsidRDefault="00041039">
            <w:pPr>
              <w:pStyle w:val="TableParagraph"/>
              <w:spacing w:before="7"/>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66"/>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66"/>
              </w:numPr>
              <w:tabs>
                <w:tab w:val="left" w:pos="158"/>
              </w:tabs>
              <w:spacing w:line="160" w:lineRule="exact"/>
              <w:ind w:hanging="99"/>
              <w:rPr>
                <w:sz w:val="14"/>
              </w:rPr>
            </w:pPr>
            <w:r>
              <w:rPr>
                <w:color w:val="231F20"/>
                <w:sz w:val="14"/>
              </w:rPr>
              <w:t>активност ученика на</w:t>
            </w:r>
            <w:r>
              <w:rPr>
                <w:color w:val="231F20"/>
                <w:spacing w:val="-2"/>
                <w:sz w:val="14"/>
              </w:rPr>
              <w:t xml:space="preserve"> </w:t>
            </w:r>
            <w:r>
              <w:rPr>
                <w:color w:val="231F20"/>
                <w:sz w:val="14"/>
              </w:rPr>
              <w:t>часу</w:t>
            </w:r>
          </w:p>
          <w:p w:rsidR="00041039" w:rsidRDefault="001B26CB">
            <w:pPr>
              <w:pStyle w:val="TableParagraph"/>
              <w:numPr>
                <w:ilvl w:val="0"/>
                <w:numId w:val="166"/>
              </w:numPr>
              <w:tabs>
                <w:tab w:val="left" w:pos="158"/>
              </w:tabs>
              <w:spacing w:line="160" w:lineRule="exact"/>
              <w:ind w:hanging="99"/>
              <w:rPr>
                <w:sz w:val="14"/>
              </w:rPr>
            </w:pPr>
            <w:r>
              <w:rPr>
                <w:color w:val="231F20"/>
                <w:sz w:val="14"/>
              </w:rPr>
              <w:t>усмену проверу</w:t>
            </w:r>
            <w:r>
              <w:rPr>
                <w:color w:val="231F20"/>
                <w:spacing w:val="-1"/>
                <w:sz w:val="14"/>
              </w:rPr>
              <w:t xml:space="preserve"> </w:t>
            </w:r>
            <w:r>
              <w:rPr>
                <w:color w:val="231F20"/>
                <w:sz w:val="14"/>
              </w:rPr>
              <w:t>знања</w:t>
            </w:r>
          </w:p>
          <w:p w:rsidR="00041039" w:rsidRDefault="001B26CB">
            <w:pPr>
              <w:pStyle w:val="TableParagraph"/>
              <w:numPr>
                <w:ilvl w:val="0"/>
                <w:numId w:val="166"/>
              </w:numPr>
              <w:tabs>
                <w:tab w:val="left" w:pos="158"/>
              </w:tabs>
              <w:spacing w:line="160" w:lineRule="exact"/>
              <w:ind w:hanging="99"/>
              <w:rPr>
                <w:sz w:val="14"/>
              </w:rPr>
            </w:pPr>
            <w:r>
              <w:rPr>
                <w:color w:val="231F20"/>
                <w:sz w:val="14"/>
              </w:rPr>
              <w:t>писмену провера</w:t>
            </w:r>
            <w:r>
              <w:rPr>
                <w:color w:val="231F20"/>
                <w:spacing w:val="-3"/>
                <w:sz w:val="14"/>
              </w:rPr>
              <w:t xml:space="preserve"> </w:t>
            </w:r>
            <w:r>
              <w:rPr>
                <w:color w:val="231F20"/>
                <w:sz w:val="14"/>
              </w:rPr>
              <w:t>знања</w:t>
            </w:r>
          </w:p>
          <w:p w:rsidR="00041039" w:rsidRDefault="001B26CB">
            <w:pPr>
              <w:pStyle w:val="TableParagraph"/>
              <w:numPr>
                <w:ilvl w:val="0"/>
                <w:numId w:val="166"/>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66"/>
              </w:numPr>
              <w:tabs>
                <w:tab w:val="left" w:pos="158"/>
              </w:tabs>
              <w:spacing w:line="160" w:lineRule="exact"/>
              <w:ind w:hanging="99"/>
              <w:rPr>
                <w:b/>
                <w:sz w:val="14"/>
              </w:rPr>
            </w:pPr>
            <w:r>
              <w:rPr>
                <w:color w:val="231F20"/>
                <w:sz w:val="14"/>
              </w:rPr>
              <w:t>Полиноми</w:t>
            </w:r>
            <w:r>
              <w:rPr>
                <w:b/>
                <w:color w:val="231F20"/>
                <w:sz w:val="14"/>
              </w:rPr>
              <w:t>(7</w:t>
            </w:r>
            <w:r>
              <w:rPr>
                <w:b/>
                <w:color w:val="231F20"/>
                <w:spacing w:val="-2"/>
                <w:sz w:val="14"/>
              </w:rPr>
              <w:t xml:space="preserve"> </w:t>
            </w:r>
            <w:r>
              <w:rPr>
                <w:b/>
                <w:color w:val="231F20"/>
                <w:sz w:val="14"/>
              </w:rPr>
              <w:t>часова)</w:t>
            </w:r>
          </w:p>
          <w:p w:rsidR="00041039" w:rsidRDefault="001B26CB">
            <w:pPr>
              <w:pStyle w:val="TableParagraph"/>
              <w:numPr>
                <w:ilvl w:val="0"/>
                <w:numId w:val="166"/>
              </w:numPr>
              <w:tabs>
                <w:tab w:val="left" w:pos="158"/>
              </w:tabs>
              <w:spacing w:line="237" w:lineRule="auto"/>
              <w:ind w:right="569" w:hanging="99"/>
              <w:rPr>
                <w:b/>
                <w:sz w:val="14"/>
              </w:rPr>
            </w:pPr>
            <w:r>
              <w:rPr>
                <w:color w:val="231F20"/>
                <w:sz w:val="14"/>
              </w:rPr>
              <w:t>Ирационалне једначине</w:t>
            </w:r>
            <w:r>
              <w:rPr>
                <w:color w:val="231F20"/>
                <w:spacing w:val="-15"/>
                <w:sz w:val="14"/>
              </w:rPr>
              <w:t xml:space="preserve"> </w:t>
            </w:r>
            <w:r>
              <w:rPr>
                <w:color w:val="231F20"/>
                <w:sz w:val="14"/>
              </w:rPr>
              <w:t xml:space="preserve">и неједначине </w:t>
            </w:r>
            <w:r>
              <w:rPr>
                <w:b/>
                <w:color w:val="231F20"/>
                <w:sz w:val="14"/>
              </w:rPr>
              <w:t>(12</w:t>
            </w:r>
            <w:r>
              <w:rPr>
                <w:b/>
                <w:color w:val="231F20"/>
                <w:spacing w:val="-9"/>
                <w:sz w:val="14"/>
              </w:rPr>
              <w:t xml:space="preserve"> </w:t>
            </w:r>
            <w:r>
              <w:rPr>
                <w:b/>
                <w:color w:val="231F20"/>
                <w:sz w:val="14"/>
              </w:rPr>
              <w:t>часова)</w:t>
            </w:r>
          </w:p>
          <w:p w:rsidR="00041039" w:rsidRDefault="001B26CB">
            <w:pPr>
              <w:pStyle w:val="TableParagraph"/>
              <w:numPr>
                <w:ilvl w:val="0"/>
                <w:numId w:val="166"/>
              </w:numPr>
              <w:tabs>
                <w:tab w:val="left" w:pos="158"/>
              </w:tabs>
              <w:spacing w:line="155" w:lineRule="exact"/>
              <w:ind w:hanging="99"/>
              <w:rPr>
                <w:b/>
                <w:sz w:val="14"/>
              </w:rPr>
            </w:pPr>
            <w:r>
              <w:rPr>
                <w:color w:val="231F20"/>
                <w:sz w:val="14"/>
              </w:rPr>
              <w:t>Тригонометрија</w:t>
            </w:r>
            <w:r>
              <w:rPr>
                <w:b/>
                <w:color w:val="231F20"/>
                <w:sz w:val="14"/>
              </w:rPr>
              <w:t>(21</w:t>
            </w:r>
            <w:r>
              <w:rPr>
                <w:b/>
                <w:color w:val="231F20"/>
                <w:spacing w:val="-2"/>
                <w:sz w:val="14"/>
              </w:rPr>
              <w:t xml:space="preserve"> </w:t>
            </w:r>
            <w:r>
              <w:rPr>
                <w:b/>
                <w:color w:val="231F20"/>
                <w:sz w:val="14"/>
              </w:rPr>
              <w:t>час)</w:t>
            </w:r>
          </w:p>
          <w:p w:rsidR="00041039" w:rsidRDefault="001B26CB">
            <w:pPr>
              <w:pStyle w:val="TableParagraph"/>
              <w:numPr>
                <w:ilvl w:val="0"/>
                <w:numId w:val="166"/>
              </w:numPr>
              <w:tabs>
                <w:tab w:val="left" w:pos="158"/>
              </w:tabs>
              <w:spacing w:line="166" w:lineRule="exact"/>
              <w:ind w:hanging="99"/>
              <w:rPr>
                <w:b/>
                <w:sz w:val="14"/>
              </w:rPr>
            </w:pPr>
            <w:r>
              <w:rPr>
                <w:color w:val="231F20"/>
                <w:sz w:val="14"/>
              </w:rPr>
              <w:t>Конусни пресеци</w:t>
            </w:r>
            <w:r>
              <w:rPr>
                <w:b/>
                <w:color w:val="231F20"/>
                <w:sz w:val="14"/>
              </w:rPr>
              <w:t>(22</w:t>
            </w:r>
            <w:r>
              <w:rPr>
                <w:b/>
                <w:color w:val="231F20"/>
                <w:spacing w:val="-2"/>
                <w:sz w:val="14"/>
              </w:rPr>
              <w:t xml:space="preserve"> </w:t>
            </w:r>
            <w:r>
              <w:rPr>
                <w:b/>
                <w:color w:val="231F20"/>
                <w:sz w:val="14"/>
              </w:rPr>
              <w:t>часа)</w:t>
            </w:r>
          </w:p>
          <w:p w:rsidR="00041039" w:rsidRDefault="00041039">
            <w:pPr>
              <w:pStyle w:val="TableParagraph"/>
              <w:spacing w:before="5"/>
              <w:ind w:left="0"/>
              <w:rPr>
                <w:b/>
                <w:sz w:val="13"/>
              </w:rPr>
            </w:pPr>
          </w:p>
          <w:p w:rsidR="00041039" w:rsidRDefault="001B26CB">
            <w:pPr>
              <w:pStyle w:val="TableParagraph"/>
              <w:spacing w:before="1" w:line="237" w:lineRule="auto"/>
              <w:ind w:left="58"/>
              <w:rPr>
                <w:b/>
                <w:sz w:val="14"/>
              </w:rPr>
            </w:pPr>
            <w:r>
              <w:rPr>
                <w:color w:val="231F20"/>
                <w:sz w:val="14"/>
              </w:rPr>
              <w:t>За реализацију 4 писмена задатка са исправкама планирано је 8 часова</w:t>
            </w:r>
            <w:r>
              <w:rPr>
                <w:b/>
                <w:color w:val="231F20"/>
                <w:sz w:val="14"/>
              </w:rPr>
              <w:t>.</w:t>
            </w:r>
          </w:p>
        </w:tc>
      </w:tr>
    </w:tbl>
    <w:p w:rsidR="00041039" w:rsidRDefault="00041039">
      <w:pPr>
        <w:pStyle w:val="BodyText"/>
        <w:spacing w:before="7"/>
        <w:rPr>
          <w:b/>
          <w:sz w:val="18"/>
        </w:rPr>
      </w:pPr>
    </w:p>
    <w:p w:rsidR="00041039" w:rsidRDefault="001B26CB">
      <w:pPr>
        <w:tabs>
          <w:tab w:val="left" w:pos="1461"/>
        </w:tabs>
        <w:spacing w:before="97"/>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ИЗАБРАНА </w:t>
      </w:r>
      <w:r>
        <w:rPr>
          <w:b/>
          <w:color w:val="231F20"/>
          <w:spacing w:val="-4"/>
          <w:sz w:val="14"/>
        </w:rPr>
        <w:t>ПОГЛАВЉА</w:t>
      </w:r>
      <w:r>
        <w:rPr>
          <w:b/>
          <w:color w:val="231F20"/>
          <w:sz w:val="14"/>
        </w:rPr>
        <w:t xml:space="preserve"> </w:t>
      </w:r>
      <w:r>
        <w:rPr>
          <w:b/>
          <w:color w:val="231F20"/>
          <w:spacing w:val="-3"/>
          <w:sz w:val="14"/>
        </w:rPr>
        <w:t>МАТЕМАТИКЕ</w:t>
      </w:r>
    </w:p>
    <w:p w:rsidR="00041039" w:rsidRDefault="001B26CB">
      <w:pPr>
        <w:tabs>
          <w:tab w:val="left" w:pos="1461"/>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64 часа</w:t>
      </w:r>
    </w:p>
    <w:p w:rsidR="00041039" w:rsidRDefault="001B26CB">
      <w:pPr>
        <w:tabs>
          <w:tab w:val="left" w:pos="1461"/>
        </w:tabs>
        <w:spacing w:before="49"/>
        <w:ind w:left="157"/>
        <w:rPr>
          <w:b/>
          <w:sz w:val="14"/>
        </w:rPr>
      </w:pPr>
      <w:r>
        <w:rPr>
          <w:color w:val="231F20"/>
          <w:sz w:val="14"/>
        </w:rPr>
        <w:t>Разред:</w:t>
      </w:r>
      <w:r>
        <w:rPr>
          <w:color w:val="231F20"/>
          <w:sz w:val="14"/>
        </w:rPr>
        <w:tab/>
      </w:r>
      <w:r>
        <w:rPr>
          <w:b/>
          <w:color w:val="231F20"/>
          <w:sz w:val="14"/>
        </w:rPr>
        <w:t>четврти</w:t>
      </w:r>
    </w:p>
    <w:p w:rsidR="00041039" w:rsidRDefault="00041039">
      <w:pPr>
        <w:pStyle w:val="BodyText"/>
        <w:spacing w:before="6"/>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1320"/>
        </w:trPr>
        <w:tc>
          <w:tcPr>
            <w:tcW w:w="1304" w:type="dxa"/>
          </w:tcPr>
          <w:p w:rsidR="00041039" w:rsidRDefault="001B26CB">
            <w:pPr>
              <w:pStyle w:val="TableParagraph"/>
              <w:spacing w:before="18"/>
              <w:ind w:left="56" w:right="18"/>
              <w:rPr>
                <w:sz w:val="14"/>
              </w:rPr>
            </w:pPr>
            <w:r>
              <w:rPr>
                <w:color w:val="231F20"/>
                <w:sz w:val="14"/>
              </w:rPr>
              <w:t>Експоненцијалне и логаритамске једна­ чине и неједначине</w:t>
            </w:r>
          </w:p>
        </w:tc>
        <w:tc>
          <w:tcPr>
            <w:tcW w:w="1587" w:type="dxa"/>
          </w:tcPr>
          <w:p w:rsidR="00041039" w:rsidRDefault="001B26CB">
            <w:pPr>
              <w:pStyle w:val="TableParagraph"/>
              <w:numPr>
                <w:ilvl w:val="0"/>
                <w:numId w:val="165"/>
              </w:numPr>
              <w:tabs>
                <w:tab w:val="left" w:pos="157"/>
              </w:tabs>
              <w:spacing w:before="8"/>
              <w:ind w:right="169"/>
              <w:rPr>
                <w:sz w:val="14"/>
              </w:rPr>
            </w:pPr>
            <w:r>
              <w:rPr>
                <w:color w:val="231F20"/>
                <w:sz w:val="14"/>
              </w:rPr>
              <w:t>Проширивање</w:t>
            </w:r>
            <w:r>
              <w:rPr>
                <w:color w:val="231F20"/>
                <w:spacing w:val="-10"/>
                <w:sz w:val="14"/>
              </w:rPr>
              <w:t xml:space="preserve"> </w:t>
            </w:r>
            <w:r>
              <w:rPr>
                <w:color w:val="231F20"/>
                <w:sz w:val="14"/>
              </w:rPr>
              <w:t>знања о експоненцијалним и логаритамским једначинама.</w:t>
            </w:r>
          </w:p>
          <w:p w:rsidR="00041039" w:rsidRDefault="001B26CB">
            <w:pPr>
              <w:pStyle w:val="TableParagraph"/>
              <w:numPr>
                <w:ilvl w:val="0"/>
                <w:numId w:val="165"/>
              </w:numPr>
              <w:tabs>
                <w:tab w:val="left" w:pos="157"/>
              </w:tabs>
              <w:spacing w:line="156"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100"/>
              <w:rPr>
                <w:sz w:val="14"/>
              </w:rPr>
            </w:pPr>
            <w:r>
              <w:rPr>
                <w:color w:val="231F20"/>
                <w:sz w:val="14"/>
              </w:rPr>
              <w:t>експоненцијалним и логаритамским нејед­ начинама.</w:t>
            </w:r>
          </w:p>
        </w:tc>
        <w:tc>
          <w:tcPr>
            <w:tcW w:w="2551" w:type="dxa"/>
          </w:tcPr>
          <w:p w:rsidR="00041039" w:rsidRDefault="001B26CB">
            <w:pPr>
              <w:pStyle w:val="TableParagraph"/>
              <w:numPr>
                <w:ilvl w:val="0"/>
                <w:numId w:val="164"/>
              </w:numPr>
              <w:tabs>
                <w:tab w:val="left" w:pos="157"/>
              </w:tabs>
              <w:spacing w:before="8" w:line="166" w:lineRule="exact"/>
              <w:ind w:hanging="99"/>
              <w:rPr>
                <w:sz w:val="14"/>
              </w:rPr>
            </w:pPr>
            <w:r>
              <w:rPr>
                <w:color w:val="231F20"/>
                <w:sz w:val="14"/>
              </w:rPr>
              <w:t>реши експоненцијалне</w:t>
            </w:r>
            <w:r>
              <w:rPr>
                <w:color w:val="231F20"/>
                <w:spacing w:val="-4"/>
                <w:sz w:val="14"/>
              </w:rPr>
              <w:t xml:space="preserve"> </w:t>
            </w:r>
            <w:r>
              <w:rPr>
                <w:color w:val="231F20"/>
                <w:sz w:val="14"/>
              </w:rPr>
              <w:t>једначине;</w:t>
            </w:r>
          </w:p>
          <w:p w:rsidR="00041039" w:rsidRDefault="001B26CB">
            <w:pPr>
              <w:pStyle w:val="TableParagraph"/>
              <w:numPr>
                <w:ilvl w:val="0"/>
                <w:numId w:val="164"/>
              </w:numPr>
              <w:tabs>
                <w:tab w:val="left" w:pos="157"/>
              </w:tabs>
              <w:spacing w:line="237" w:lineRule="auto"/>
              <w:ind w:right="169" w:hanging="99"/>
              <w:rPr>
                <w:sz w:val="14"/>
              </w:rPr>
            </w:pPr>
            <w:r>
              <w:rPr>
                <w:color w:val="231F20"/>
                <w:sz w:val="14"/>
              </w:rPr>
              <w:t>реши једноставније експоненцијалне неједначине;</w:t>
            </w:r>
          </w:p>
          <w:p w:rsidR="00041039" w:rsidRDefault="001B26CB">
            <w:pPr>
              <w:pStyle w:val="TableParagraph"/>
              <w:numPr>
                <w:ilvl w:val="0"/>
                <w:numId w:val="164"/>
              </w:numPr>
              <w:tabs>
                <w:tab w:val="left" w:pos="157"/>
              </w:tabs>
              <w:spacing w:line="155" w:lineRule="exact"/>
              <w:ind w:hanging="99"/>
              <w:rPr>
                <w:sz w:val="14"/>
              </w:rPr>
            </w:pPr>
            <w:r>
              <w:rPr>
                <w:color w:val="231F20"/>
                <w:sz w:val="14"/>
              </w:rPr>
              <w:t>реши логаритамске</w:t>
            </w:r>
            <w:r>
              <w:rPr>
                <w:color w:val="231F20"/>
                <w:spacing w:val="-2"/>
                <w:sz w:val="14"/>
              </w:rPr>
              <w:t xml:space="preserve"> </w:t>
            </w:r>
            <w:r>
              <w:rPr>
                <w:color w:val="231F20"/>
                <w:sz w:val="14"/>
              </w:rPr>
              <w:t>једначине;</w:t>
            </w:r>
          </w:p>
          <w:p w:rsidR="00041039" w:rsidRDefault="001B26CB">
            <w:pPr>
              <w:pStyle w:val="TableParagraph"/>
              <w:numPr>
                <w:ilvl w:val="0"/>
                <w:numId w:val="164"/>
              </w:numPr>
              <w:tabs>
                <w:tab w:val="left" w:pos="157"/>
              </w:tabs>
              <w:spacing w:line="237" w:lineRule="auto"/>
              <w:ind w:right="367" w:hanging="99"/>
              <w:rPr>
                <w:sz w:val="14"/>
              </w:rPr>
            </w:pPr>
            <w:r>
              <w:rPr>
                <w:color w:val="231F20"/>
                <w:sz w:val="14"/>
              </w:rPr>
              <w:t>реши једноставније логаритамске неједначине;</w:t>
            </w:r>
          </w:p>
        </w:tc>
        <w:tc>
          <w:tcPr>
            <w:tcW w:w="2834" w:type="dxa"/>
          </w:tcPr>
          <w:p w:rsidR="00041039" w:rsidRDefault="001B26CB">
            <w:pPr>
              <w:pStyle w:val="TableParagraph"/>
              <w:numPr>
                <w:ilvl w:val="0"/>
                <w:numId w:val="163"/>
              </w:numPr>
              <w:tabs>
                <w:tab w:val="left" w:pos="157"/>
              </w:tabs>
              <w:spacing w:before="8" w:line="166" w:lineRule="exact"/>
              <w:ind w:hanging="99"/>
              <w:rPr>
                <w:sz w:val="14"/>
              </w:rPr>
            </w:pPr>
            <w:r>
              <w:rPr>
                <w:color w:val="231F20"/>
                <w:sz w:val="14"/>
              </w:rPr>
              <w:t>Експоненцијалне</w:t>
            </w:r>
            <w:r>
              <w:rPr>
                <w:color w:val="231F20"/>
                <w:spacing w:val="-2"/>
                <w:sz w:val="14"/>
              </w:rPr>
              <w:t xml:space="preserve"> </w:t>
            </w:r>
            <w:r>
              <w:rPr>
                <w:color w:val="231F20"/>
                <w:sz w:val="14"/>
              </w:rPr>
              <w:t>једначине.</w:t>
            </w:r>
          </w:p>
          <w:p w:rsidR="00041039" w:rsidRDefault="001B26CB">
            <w:pPr>
              <w:pStyle w:val="TableParagraph"/>
              <w:numPr>
                <w:ilvl w:val="0"/>
                <w:numId w:val="163"/>
              </w:numPr>
              <w:tabs>
                <w:tab w:val="left" w:pos="157"/>
              </w:tabs>
              <w:spacing w:line="160" w:lineRule="exact"/>
              <w:ind w:hanging="99"/>
              <w:rPr>
                <w:sz w:val="14"/>
              </w:rPr>
            </w:pPr>
            <w:r>
              <w:rPr>
                <w:color w:val="231F20"/>
                <w:sz w:val="14"/>
              </w:rPr>
              <w:t>Експоненцијалне</w:t>
            </w:r>
            <w:r>
              <w:rPr>
                <w:color w:val="231F20"/>
                <w:spacing w:val="-2"/>
                <w:sz w:val="14"/>
              </w:rPr>
              <w:t xml:space="preserve"> </w:t>
            </w:r>
            <w:r>
              <w:rPr>
                <w:color w:val="231F20"/>
                <w:sz w:val="14"/>
              </w:rPr>
              <w:t>неједначине.</w:t>
            </w:r>
          </w:p>
          <w:p w:rsidR="00041039" w:rsidRDefault="001B26CB">
            <w:pPr>
              <w:pStyle w:val="TableParagraph"/>
              <w:numPr>
                <w:ilvl w:val="0"/>
                <w:numId w:val="163"/>
              </w:numPr>
              <w:tabs>
                <w:tab w:val="left" w:pos="157"/>
              </w:tabs>
              <w:spacing w:line="160" w:lineRule="exact"/>
              <w:ind w:hanging="99"/>
              <w:rPr>
                <w:sz w:val="14"/>
              </w:rPr>
            </w:pPr>
            <w:r>
              <w:rPr>
                <w:color w:val="231F20"/>
                <w:sz w:val="14"/>
              </w:rPr>
              <w:t>Логаритамске</w:t>
            </w:r>
            <w:r>
              <w:rPr>
                <w:color w:val="231F20"/>
                <w:spacing w:val="-1"/>
                <w:sz w:val="14"/>
              </w:rPr>
              <w:t xml:space="preserve"> </w:t>
            </w:r>
            <w:r>
              <w:rPr>
                <w:color w:val="231F20"/>
                <w:sz w:val="14"/>
              </w:rPr>
              <w:t>једначине.</w:t>
            </w:r>
          </w:p>
          <w:p w:rsidR="00041039" w:rsidRDefault="001B26CB">
            <w:pPr>
              <w:pStyle w:val="TableParagraph"/>
              <w:numPr>
                <w:ilvl w:val="0"/>
                <w:numId w:val="163"/>
              </w:numPr>
              <w:tabs>
                <w:tab w:val="left" w:pos="157"/>
              </w:tabs>
              <w:spacing w:line="166" w:lineRule="exact"/>
              <w:ind w:hanging="99"/>
              <w:rPr>
                <w:sz w:val="14"/>
              </w:rPr>
            </w:pPr>
            <w:r>
              <w:rPr>
                <w:color w:val="231F20"/>
                <w:sz w:val="14"/>
              </w:rPr>
              <w:t>Логаритамске</w:t>
            </w:r>
            <w:r>
              <w:rPr>
                <w:color w:val="231F20"/>
                <w:spacing w:val="-1"/>
                <w:sz w:val="14"/>
              </w:rPr>
              <w:t xml:space="preserve"> </w:t>
            </w:r>
            <w:r>
              <w:rPr>
                <w:color w:val="231F20"/>
                <w:sz w:val="14"/>
              </w:rPr>
              <w:t>неједначине.</w:t>
            </w:r>
          </w:p>
        </w:tc>
        <w:tc>
          <w:tcPr>
            <w:tcW w:w="2267" w:type="dxa"/>
            <w:vMerge w:val="restart"/>
          </w:tcPr>
          <w:p w:rsidR="00041039" w:rsidRDefault="001B26CB">
            <w:pPr>
              <w:pStyle w:val="TableParagraph"/>
              <w:numPr>
                <w:ilvl w:val="0"/>
                <w:numId w:val="162"/>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62"/>
              </w:numPr>
              <w:tabs>
                <w:tab w:val="left" w:pos="158"/>
              </w:tabs>
              <w:spacing w:line="160" w:lineRule="exact"/>
              <w:ind w:hanging="99"/>
              <w:rPr>
                <w:b/>
                <w:sz w:val="14"/>
              </w:rPr>
            </w:pPr>
            <w:r>
              <w:rPr>
                <w:color w:val="231F20"/>
                <w:sz w:val="14"/>
              </w:rPr>
              <w:t xml:space="preserve">теоријска настава </w:t>
            </w:r>
            <w:r>
              <w:rPr>
                <w:b/>
                <w:color w:val="231F20"/>
                <w:sz w:val="14"/>
              </w:rPr>
              <w:t>(64</w:t>
            </w:r>
            <w:r>
              <w:rPr>
                <w:b/>
                <w:color w:val="231F20"/>
                <w:spacing w:val="-2"/>
                <w:sz w:val="14"/>
              </w:rPr>
              <w:t xml:space="preserve"> </w:t>
            </w:r>
            <w:r>
              <w:rPr>
                <w:b/>
                <w:color w:val="231F20"/>
                <w:sz w:val="14"/>
              </w:rPr>
              <w:t>часа)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62"/>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62"/>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62"/>
              </w:numPr>
              <w:tabs>
                <w:tab w:val="left" w:pos="158"/>
              </w:tabs>
              <w:spacing w:line="160" w:lineRule="exact"/>
              <w:ind w:right="197" w:hanging="99"/>
              <w:rPr>
                <w:sz w:val="14"/>
              </w:rPr>
            </w:pPr>
            <w:r>
              <w:rPr>
                <w:color w:val="231F20"/>
                <w:sz w:val="14"/>
              </w:rPr>
              <w:t>образложити циљ предмета,</w:t>
            </w:r>
            <w:r>
              <w:rPr>
                <w:color w:val="231F20"/>
                <w:spacing w:val="-12"/>
                <w:sz w:val="14"/>
              </w:rPr>
              <w:t xml:space="preserve"> </w:t>
            </w:r>
            <w:r>
              <w:rPr>
                <w:color w:val="231F20"/>
                <w:sz w:val="14"/>
              </w:rPr>
              <w:t>на­ чин и критеријум</w:t>
            </w:r>
            <w:r>
              <w:rPr>
                <w:color w:val="231F20"/>
                <w:spacing w:val="-3"/>
                <w:sz w:val="14"/>
              </w:rPr>
              <w:t xml:space="preserve"> </w:t>
            </w:r>
            <w:r>
              <w:rPr>
                <w:color w:val="231F20"/>
                <w:sz w:val="14"/>
              </w:rPr>
              <w:t>оцењивања;</w:t>
            </w:r>
          </w:p>
          <w:p w:rsidR="00041039" w:rsidRDefault="001B26CB">
            <w:pPr>
              <w:pStyle w:val="TableParagraph"/>
              <w:numPr>
                <w:ilvl w:val="0"/>
                <w:numId w:val="162"/>
              </w:numPr>
              <w:tabs>
                <w:tab w:val="left" w:pos="158"/>
              </w:tabs>
              <w:spacing w:line="160" w:lineRule="exact"/>
              <w:ind w:right="45" w:hanging="99"/>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11"/>
                <w:sz w:val="14"/>
              </w:rPr>
              <w:t xml:space="preserve"> </w:t>
            </w:r>
            <w:r>
              <w:rPr>
                <w:color w:val="231F20"/>
                <w:sz w:val="14"/>
              </w:rPr>
              <w:t>ученика;</w:t>
            </w:r>
          </w:p>
          <w:p w:rsidR="00041039" w:rsidRDefault="001B26CB">
            <w:pPr>
              <w:pStyle w:val="TableParagraph"/>
              <w:numPr>
                <w:ilvl w:val="0"/>
                <w:numId w:val="162"/>
              </w:numPr>
              <w:tabs>
                <w:tab w:val="left" w:pos="158"/>
              </w:tabs>
              <w:spacing w:line="160" w:lineRule="exact"/>
              <w:ind w:right="476" w:hanging="99"/>
              <w:rPr>
                <w:sz w:val="14"/>
              </w:rPr>
            </w:pPr>
            <w:r>
              <w:rPr>
                <w:color w:val="231F20"/>
                <w:sz w:val="14"/>
              </w:rPr>
              <w:t>подстицати ученике на размишљање и самостално закључивање;</w:t>
            </w:r>
          </w:p>
          <w:p w:rsidR="00041039" w:rsidRDefault="001B26CB">
            <w:pPr>
              <w:pStyle w:val="TableParagraph"/>
              <w:numPr>
                <w:ilvl w:val="0"/>
                <w:numId w:val="162"/>
              </w:numPr>
              <w:tabs>
                <w:tab w:val="left" w:pos="158"/>
              </w:tabs>
              <w:spacing w:line="160" w:lineRule="exact"/>
              <w:ind w:right="57" w:hanging="99"/>
              <w:rPr>
                <w:sz w:val="14"/>
              </w:rPr>
            </w:pPr>
            <w:r>
              <w:rPr>
                <w:color w:val="231F20"/>
                <w:sz w:val="14"/>
              </w:rPr>
              <w:t xml:space="preserve">примењивати разноврсне облике и методе рада, </w:t>
            </w:r>
            <w:r>
              <w:rPr>
                <w:color w:val="231F20"/>
                <w:spacing w:val="-3"/>
                <w:sz w:val="14"/>
              </w:rPr>
              <w:t xml:space="preserve">како </w:t>
            </w:r>
            <w:r>
              <w:rPr>
                <w:color w:val="231F20"/>
                <w:sz w:val="14"/>
              </w:rPr>
              <w:t>би се подстак­ ла активност</w:t>
            </w:r>
            <w:r>
              <w:rPr>
                <w:color w:val="231F20"/>
                <w:spacing w:val="-2"/>
                <w:sz w:val="14"/>
              </w:rPr>
              <w:t xml:space="preserve"> </w:t>
            </w:r>
            <w:r>
              <w:rPr>
                <w:color w:val="231F20"/>
                <w:sz w:val="14"/>
              </w:rPr>
              <w:t>ученика;</w:t>
            </w:r>
          </w:p>
          <w:p w:rsidR="00041039" w:rsidRDefault="001B26CB">
            <w:pPr>
              <w:pStyle w:val="TableParagraph"/>
              <w:numPr>
                <w:ilvl w:val="0"/>
                <w:numId w:val="162"/>
              </w:numPr>
              <w:tabs>
                <w:tab w:val="left" w:pos="158"/>
              </w:tabs>
              <w:spacing w:before="1" w:line="160" w:lineRule="exact"/>
              <w:ind w:right="346" w:hanging="99"/>
              <w:jc w:val="both"/>
              <w:rPr>
                <w:sz w:val="14"/>
              </w:rPr>
            </w:pPr>
            <w:r>
              <w:rPr>
                <w:color w:val="231F20"/>
                <w:sz w:val="14"/>
              </w:rPr>
              <w:t>инсистирати на прецизности, тачности, систематичности и уредности у</w:t>
            </w:r>
            <w:r>
              <w:rPr>
                <w:color w:val="231F20"/>
                <w:spacing w:val="-1"/>
                <w:sz w:val="14"/>
              </w:rPr>
              <w:t xml:space="preserve"> </w:t>
            </w:r>
            <w:r>
              <w:rPr>
                <w:color w:val="231F20"/>
                <w:sz w:val="14"/>
              </w:rPr>
              <w:t>раду;</w:t>
            </w:r>
          </w:p>
          <w:p w:rsidR="00041039" w:rsidRDefault="001B26CB">
            <w:pPr>
              <w:pStyle w:val="TableParagraph"/>
              <w:numPr>
                <w:ilvl w:val="0"/>
                <w:numId w:val="162"/>
              </w:numPr>
              <w:tabs>
                <w:tab w:val="left" w:pos="158"/>
              </w:tabs>
              <w:spacing w:line="160" w:lineRule="exact"/>
              <w:ind w:right="309" w:hanging="99"/>
              <w:rPr>
                <w:sz w:val="14"/>
              </w:rPr>
            </w:pPr>
            <w:r>
              <w:rPr>
                <w:color w:val="231F20"/>
                <w:sz w:val="14"/>
              </w:rPr>
              <w:t>упућивати ученике на претраживање различитих извора и примену савремених технологија;</w:t>
            </w:r>
          </w:p>
        </w:tc>
      </w:tr>
      <w:tr w:rsidR="00041039">
        <w:trPr>
          <w:trHeight w:val="4630"/>
        </w:trPr>
        <w:tc>
          <w:tcPr>
            <w:tcW w:w="1304" w:type="dxa"/>
          </w:tcPr>
          <w:p w:rsidR="00041039" w:rsidRDefault="001B26CB">
            <w:pPr>
              <w:pStyle w:val="TableParagraph"/>
              <w:spacing w:before="19"/>
              <w:ind w:left="56"/>
              <w:rPr>
                <w:sz w:val="14"/>
              </w:rPr>
            </w:pPr>
            <w:r>
              <w:rPr>
                <w:color w:val="231F20"/>
                <w:sz w:val="14"/>
              </w:rPr>
              <w:t>Комбинаторика</w:t>
            </w:r>
          </w:p>
        </w:tc>
        <w:tc>
          <w:tcPr>
            <w:tcW w:w="1587" w:type="dxa"/>
          </w:tcPr>
          <w:p w:rsidR="00041039" w:rsidRDefault="001B26CB">
            <w:pPr>
              <w:pStyle w:val="TableParagraph"/>
              <w:numPr>
                <w:ilvl w:val="0"/>
                <w:numId w:val="161"/>
              </w:numPr>
              <w:tabs>
                <w:tab w:val="left" w:pos="157"/>
              </w:tabs>
              <w:spacing w:before="9"/>
              <w:ind w:right="190"/>
              <w:rPr>
                <w:sz w:val="14"/>
              </w:rPr>
            </w:pPr>
            <w:r>
              <w:rPr>
                <w:color w:val="231F20"/>
                <w:sz w:val="14"/>
              </w:rPr>
              <w:t>Стицање основних знања из</w:t>
            </w:r>
            <w:r>
              <w:rPr>
                <w:color w:val="231F20"/>
                <w:spacing w:val="-21"/>
                <w:sz w:val="14"/>
              </w:rPr>
              <w:t xml:space="preserve"> </w:t>
            </w:r>
            <w:r>
              <w:rPr>
                <w:color w:val="231F20"/>
                <w:sz w:val="14"/>
              </w:rPr>
              <w:t>комбинато­ рике.</w:t>
            </w:r>
          </w:p>
        </w:tc>
        <w:tc>
          <w:tcPr>
            <w:tcW w:w="2551" w:type="dxa"/>
          </w:tcPr>
          <w:p w:rsidR="00041039" w:rsidRDefault="001B26CB">
            <w:pPr>
              <w:pStyle w:val="TableParagraph"/>
              <w:numPr>
                <w:ilvl w:val="0"/>
                <w:numId w:val="160"/>
              </w:numPr>
              <w:tabs>
                <w:tab w:val="left" w:pos="157"/>
              </w:tabs>
              <w:spacing w:before="9"/>
              <w:ind w:right="338" w:hanging="99"/>
              <w:rPr>
                <w:sz w:val="14"/>
              </w:rPr>
            </w:pPr>
            <w:r>
              <w:rPr>
                <w:color w:val="231F20"/>
                <w:sz w:val="14"/>
              </w:rPr>
              <w:t>примени правило збира и правило производа;</w:t>
            </w:r>
          </w:p>
          <w:p w:rsidR="00041039" w:rsidRDefault="001B26CB">
            <w:pPr>
              <w:pStyle w:val="TableParagraph"/>
              <w:numPr>
                <w:ilvl w:val="0"/>
                <w:numId w:val="160"/>
              </w:numPr>
              <w:tabs>
                <w:tab w:val="left" w:pos="157"/>
              </w:tabs>
              <w:spacing w:line="153" w:lineRule="exact"/>
              <w:ind w:hanging="99"/>
              <w:rPr>
                <w:sz w:val="14"/>
              </w:rPr>
            </w:pPr>
            <w:r>
              <w:rPr>
                <w:color w:val="231F20"/>
                <w:sz w:val="14"/>
              </w:rPr>
              <w:t>одреди број пермутација датог</w:t>
            </w:r>
            <w:r>
              <w:rPr>
                <w:color w:val="231F20"/>
                <w:spacing w:val="-9"/>
                <w:sz w:val="14"/>
              </w:rPr>
              <w:t xml:space="preserve"> </w:t>
            </w:r>
            <w:r>
              <w:rPr>
                <w:color w:val="231F20"/>
                <w:sz w:val="14"/>
              </w:rPr>
              <w:t>скупа;</w:t>
            </w:r>
          </w:p>
          <w:p w:rsidR="00041039" w:rsidRDefault="001B26CB">
            <w:pPr>
              <w:pStyle w:val="TableParagraph"/>
              <w:numPr>
                <w:ilvl w:val="0"/>
                <w:numId w:val="160"/>
              </w:numPr>
              <w:tabs>
                <w:tab w:val="left" w:pos="157"/>
              </w:tabs>
              <w:spacing w:line="160" w:lineRule="exact"/>
              <w:ind w:hanging="99"/>
              <w:rPr>
                <w:sz w:val="14"/>
              </w:rPr>
            </w:pPr>
            <w:r>
              <w:rPr>
                <w:color w:val="231F20"/>
                <w:sz w:val="14"/>
              </w:rPr>
              <w:t>одреди број варијација датог</w:t>
            </w:r>
            <w:r>
              <w:rPr>
                <w:color w:val="231F20"/>
                <w:spacing w:val="-6"/>
                <w:sz w:val="14"/>
              </w:rPr>
              <w:t xml:space="preserve"> </w:t>
            </w:r>
            <w:r>
              <w:rPr>
                <w:color w:val="231F20"/>
                <w:sz w:val="14"/>
              </w:rPr>
              <w:t>скупа;</w:t>
            </w:r>
          </w:p>
          <w:p w:rsidR="00041039" w:rsidRDefault="001B26CB">
            <w:pPr>
              <w:pStyle w:val="TableParagraph"/>
              <w:numPr>
                <w:ilvl w:val="0"/>
                <w:numId w:val="160"/>
              </w:numPr>
              <w:tabs>
                <w:tab w:val="left" w:pos="157"/>
              </w:tabs>
              <w:spacing w:line="160" w:lineRule="exact"/>
              <w:ind w:hanging="99"/>
              <w:rPr>
                <w:sz w:val="14"/>
              </w:rPr>
            </w:pPr>
            <w:r>
              <w:rPr>
                <w:color w:val="231F20"/>
                <w:sz w:val="14"/>
              </w:rPr>
              <w:t>одреди број комбинација датог</w:t>
            </w:r>
            <w:r>
              <w:rPr>
                <w:color w:val="231F20"/>
                <w:spacing w:val="-13"/>
                <w:sz w:val="14"/>
              </w:rPr>
              <w:t xml:space="preserve"> </w:t>
            </w:r>
            <w:r>
              <w:rPr>
                <w:color w:val="231F20"/>
                <w:sz w:val="14"/>
              </w:rPr>
              <w:t>скупа;</w:t>
            </w:r>
          </w:p>
          <w:p w:rsidR="00041039" w:rsidRDefault="001B26CB">
            <w:pPr>
              <w:pStyle w:val="TableParagraph"/>
              <w:numPr>
                <w:ilvl w:val="0"/>
                <w:numId w:val="160"/>
              </w:numPr>
              <w:tabs>
                <w:tab w:val="left" w:pos="157"/>
              </w:tabs>
              <w:spacing w:line="237" w:lineRule="auto"/>
              <w:ind w:right="168" w:hanging="99"/>
              <w:rPr>
                <w:sz w:val="14"/>
              </w:rPr>
            </w:pPr>
            <w:r>
              <w:rPr>
                <w:color w:val="231F20"/>
                <w:sz w:val="14"/>
              </w:rPr>
              <w:t xml:space="preserve">напише пермутације (варијације, комбинације) датог скупа </w:t>
            </w:r>
            <w:r>
              <w:rPr>
                <w:color w:val="231F20"/>
                <w:spacing w:val="-3"/>
                <w:sz w:val="14"/>
              </w:rPr>
              <w:t>од</w:t>
            </w:r>
            <w:r>
              <w:rPr>
                <w:color w:val="231F20"/>
                <w:spacing w:val="-23"/>
                <w:sz w:val="14"/>
              </w:rPr>
              <w:t xml:space="preserve"> </w:t>
            </w:r>
            <w:r>
              <w:rPr>
                <w:color w:val="231F20"/>
                <w:sz w:val="14"/>
              </w:rPr>
              <w:t>највише четири члана;</w:t>
            </w:r>
          </w:p>
          <w:p w:rsidR="00041039" w:rsidRDefault="001B26CB">
            <w:pPr>
              <w:pStyle w:val="TableParagraph"/>
              <w:numPr>
                <w:ilvl w:val="0"/>
                <w:numId w:val="160"/>
              </w:numPr>
              <w:tabs>
                <w:tab w:val="left" w:pos="157"/>
              </w:tabs>
              <w:spacing w:line="237" w:lineRule="auto"/>
              <w:ind w:right="159" w:hanging="99"/>
              <w:rPr>
                <w:sz w:val="14"/>
              </w:rPr>
            </w:pPr>
            <w:r>
              <w:rPr>
                <w:color w:val="231F20"/>
                <w:sz w:val="14"/>
              </w:rPr>
              <w:t>одреди k ­ ти биномни коефицијент</w:t>
            </w:r>
            <w:r>
              <w:rPr>
                <w:color w:val="231F20"/>
                <w:spacing w:val="-18"/>
                <w:sz w:val="14"/>
              </w:rPr>
              <w:t xml:space="preserve"> </w:t>
            </w:r>
            <w:r>
              <w:rPr>
                <w:color w:val="231F20"/>
                <w:sz w:val="14"/>
              </w:rPr>
              <w:t>у развоју бинома на n ­ ти</w:t>
            </w:r>
            <w:r>
              <w:rPr>
                <w:color w:val="231F20"/>
                <w:spacing w:val="-5"/>
                <w:sz w:val="14"/>
              </w:rPr>
              <w:t xml:space="preserve"> </w:t>
            </w:r>
            <w:r>
              <w:rPr>
                <w:color w:val="231F20"/>
                <w:sz w:val="14"/>
              </w:rPr>
              <w:t>степен;</w:t>
            </w:r>
          </w:p>
          <w:p w:rsidR="00041039" w:rsidRDefault="001B26CB">
            <w:pPr>
              <w:pStyle w:val="TableParagraph"/>
              <w:numPr>
                <w:ilvl w:val="0"/>
                <w:numId w:val="160"/>
              </w:numPr>
              <w:tabs>
                <w:tab w:val="left" w:pos="157"/>
              </w:tabs>
              <w:spacing w:line="160" w:lineRule="exact"/>
              <w:ind w:right="128" w:hanging="99"/>
              <w:rPr>
                <w:sz w:val="14"/>
              </w:rPr>
            </w:pPr>
            <w:r>
              <w:rPr>
                <w:color w:val="231F20"/>
                <w:sz w:val="14"/>
              </w:rPr>
              <w:t>одреди непознати члан у развоју би­ нома на n ­ ти степен кој</w:t>
            </w:r>
            <w:r>
              <w:rPr>
                <w:color w:val="231F20"/>
                <w:sz w:val="14"/>
              </w:rPr>
              <w:t>и</w:t>
            </w:r>
            <w:r>
              <w:rPr>
                <w:color w:val="231F20"/>
                <w:spacing w:val="-22"/>
                <w:sz w:val="14"/>
              </w:rPr>
              <w:t xml:space="preserve"> </w:t>
            </w:r>
            <w:r>
              <w:rPr>
                <w:color w:val="231F20"/>
                <w:sz w:val="14"/>
              </w:rPr>
              <w:t>задовољава дате</w:t>
            </w:r>
            <w:r>
              <w:rPr>
                <w:color w:val="231F20"/>
                <w:spacing w:val="-1"/>
                <w:sz w:val="14"/>
              </w:rPr>
              <w:t xml:space="preserve"> </w:t>
            </w:r>
            <w:r>
              <w:rPr>
                <w:color w:val="231F20"/>
                <w:sz w:val="14"/>
              </w:rPr>
              <w:t>услове;</w:t>
            </w:r>
          </w:p>
        </w:tc>
        <w:tc>
          <w:tcPr>
            <w:tcW w:w="2834" w:type="dxa"/>
          </w:tcPr>
          <w:p w:rsidR="00041039" w:rsidRDefault="001B26CB">
            <w:pPr>
              <w:pStyle w:val="TableParagraph"/>
              <w:numPr>
                <w:ilvl w:val="0"/>
                <w:numId w:val="159"/>
              </w:numPr>
              <w:tabs>
                <w:tab w:val="left" w:pos="157"/>
              </w:tabs>
              <w:spacing w:before="9"/>
              <w:ind w:right="155" w:hanging="99"/>
              <w:rPr>
                <w:sz w:val="14"/>
              </w:rPr>
            </w:pPr>
            <w:r>
              <w:rPr>
                <w:color w:val="231F20"/>
                <w:sz w:val="14"/>
              </w:rPr>
              <w:t>Комбинаторика.</w:t>
            </w:r>
            <w:r>
              <w:rPr>
                <w:color w:val="231F20"/>
                <w:spacing w:val="-8"/>
                <w:sz w:val="14"/>
              </w:rPr>
              <w:t xml:space="preserve"> </w:t>
            </w:r>
            <w:r>
              <w:rPr>
                <w:color w:val="231F20"/>
                <w:sz w:val="14"/>
              </w:rPr>
              <w:t>Правило</w:t>
            </w:r>
            <w:r>
              <w:rPr>
                <w:color w:val="231F20"/>
                <w:spacing w:val="-9"/>
                <w:sz w:val="14"/>
              </w:rPr>
              <w:t xml:space="preserve"> </w:t>
            </w:r>
            <w:r>
              <w:rPr>
                <w:color w:val="231F20"/>
                <w:sz w:val="14"/>
              </w:rPr>
              <w:t>збира</w:t>
            </w:r>
            <w:r>
              <w:rPr>
                <w:color w:val="231F20"/>
                <w:spacing w:val="-9"/>
                <w:sz w:val="14"/>
              </w:rPr>
              <w:t xml:space="preserve"> </w:t>
            </w:r>
            <w:r>
              <w:rPr>
                <w:color w:val="231F20"/>
                <w:sz w:val="14"/>
              </w:rPr>
              <w:t>и</w:t>
            </w:r>
            <w:r>
              <w:rPr>
                <w:color w:val="231F20"/>
                <w:spacing w:val="-9"/>
                <w:sz w:val="14"/>
              </w:rPr>
              <w:t xml:space="preserve"> </w:t>
            </w:r>
            <w:r>
              <w:rPr>
                <w:color w:val="231F20"/>
                <w:sz w:val="14"/>
              </w:rPr>
              <w:t>правило производа.</w:t>
            </w:r>
          </w:p>
          <w:p w:rsidR="00041039" w:rsidRDefault="001B26CB">
            <w:pPr>
              <w:pStyle w:val="TableParagraph"/>
              <w:numPr>
                <w:ilvl w:val="0"/>
                <w:numId w:val="159"/>
              </w:numPr>
              <w:tabs>
                <w:tab w:val="left" w:pos="157"/>
              </w:tabs>
              <w:spacing w:line="153" w:lineRule="exact"/>
              <w:ind w:hanging="99"/>
              <w:rPr>
                <w:sz w:val="14"/>
              </w:rPr>
            </w:pPr>
            <w:r>
              <w:rPr>
                <w:color w:val="231F20"/>
                <w:sz w:val="14"/>
              </w:rPr>
              <w:t>Пермутације.</w:t>
            </w:r>
          </w:p>
          <w:p w:rsidR="00041039" w:rsidRDefault="001B26CB">
            <w:pPr>
              <w:pStyle w:val="TableParagraph"/>
              <w:numPr>
                <w:ilvl w:val="0"/>
                <w:numId w:val="159"/>
              </w:numPr>
              <w:tabs>
                <w:tab w:val="left" w:pos="157"/>
              </w:tabs>
              <w:spacing w:line="160" w:lineRule="exact"/>
              <w:ind w:hanging="99"/>
              <w:rPr>
                <w:sz w:val="14"/>
              </w:rPr>
            </w:pPr>
            <w:r>
              <w:rPr>
                <w:color w:val="231F20"/>
                <w:sz w:val="14"/>
              </w:rPr>
              <w:t>Варијације.</w:t>
            </w:r>
          </w:p>
          <w:p w:rsidR="00041039" w:rsidRDefault="001B26CB">
            <w:pPr>
              <w:pStyle w:val="TableParagraph"/>
              <w:numPr>
                <w:ilvl w:val="0"/>
                <w:numId w:val="159"/>
              </w:numPr>
              <w:tabs>
                <w:tab w:val="left" w:pos="157"/>
              </w:tabs>
              <w:spacing w:line="160" w:lineRule="exact"/>
              <w:ind w:hanging="99"/>
              <w:rPr>
                <w:sz w:val="14"/>
              </w:rPr>
            </w:pPr>
            <w:r>
              <w:rPr>
                <w:color w:val="231F20"/>
                <w:sz w:val="14"/>
              </w:rPr>
              <w:t>Комбинације.</w:t>
            </w:r>
          </w:p>
          <w:p w:rsidR="00041039" w:rsidRDefault="001B26CB">
            <w:pPr>
              <w:pStyle w:val="TableParagraph"/>
              <w:numPr>
                <w:ilvl w:val="0"/>
                <w:numId w:val="159"/>
              </w:numPr>
              <w:tabs>
                <w:tab w:val="left" w:pos="157"/>
              </w:tabs>
              <w:spacing w:line="166" w:lineRule="exact"/>
              <w:ind w:hanging="99"/>
              <w:rPr>
                <w:sz w:val="14"/>
              </w:rPr>
            </w:pPr>
            <w:r>
              <w:rPr>
                <w:color w:val="231F20"/>
                <w:sz w:val="14"/>
              </w:rPr>
              <w:t>Биномни</w:t>
            </w:r>
            <w:r>
              <w:rPr>
                <w:color w:val="231F20"/>
                <w:spacing w:val="-1"/>
                <w:sz w:val="14"/>
              </w:rPr>
              <w:t xml:space="preserve"> </w:t>
            </w:r>
            <w:r>
              <w:rPr>
                <w:color w:val="231F20"/>
                <w:sz w:val="14"/>
              </w:rPr>
              <w:t>образац.</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592"/>
        </w:trPr>
        <w:tc>
          <w:tcPr>
            <w:tcW w:w="1304" w:type="dxa"/>
            <w:tcBorders>
              <w:bottom w:val="nil"/>
            </w:tcBorders>
          </w:tcPr>
          <w:p w:rsidR="00041039" w:rsidRDefault="001B26CB">
            <w:pPr>
              <w:pStyle w:val="TableParagraph"/>
              <w:spacing w:before="26" w:line="225" w:lineRule="auto"/>
              <w:ind w:left="56" w:right="37"/>
              <w:rPr>
                <w:sz w:val="14"/>
              </w:rPr>
            </w:pPr>
            <w:r>
              <w:rPr>
                <w:color w:val="231F20"/>
                <w:sz w:val="14"/>
              </w:rPr>
              <w:lastRenderedPageBreak/>
              <w:t>Вероватноћа и статистика</w:t>
            </w:r>
          </w:p>
        </w:tc>
        <w:tc>
          <w:tcPr>
            <w:tcW w:w="1587" w:type="dxa"/>
            <w:vMerge w:val="restart"/>
          </w:tcPr>
          <w:p w:rsidR="00041039" w:rsidRDefault="001B26CB">
            <w:pPr>
              <w:pStyle w:val="TableParagraph"/>
              <w:numPr>
                <w:ilvl w:val="0"/>
                <w:numId w:val="158"/>
              </w:numPr>
              <w:tabs>
                <w:tab w:val="left" w:pos="157"/>
              </w:tabs>
              <w:spacing w:before="16" w:line="225" w:lineRule="auto"/>
              <w:ind w:right="134"/>
              <w:rPr>
                <w:sz w:val="14"/>
              </w:rPr>
            </w:pPr>
            <w:r>
              <w:rPr>
                <w:color w:val="231F20"/>
                <w:sz w:val="14"/>
              </w:rPr>
              <w:t>Стицање основних знања из</w:t>
            </w:r>
            <w:r>
              <w:rPr>
                <w:color w:val="231F20"/>
                <w:spacing w:val="-16"/>
                <w:sz w:val="14"/>
              </w:rPr>
              <w:t xml:space="preserve"> </w:t>
            </w:r>
            <w:r>
              <w:rPr>
                <w:color w:val="231F20"/>
                <w:sz w:val="14"/>
              </w:rPr>
              <w:t>вероватноће и</w:t>
            </w:r>
            <w:r>
              <w:rPr>
                <w:color w:val="231F20"/>
                <w:spacing w:val="-2"/>
                <w:sz w:val="14"/>
              </w:rPr>
              <w:t xml:space="preserve"> </w:t>
            </w:r>
            <w:r>
              <w:rPr>
                <w:color w:val="231F20"/>
                <w:sz w:val="14"/>
              </w:rPr>
              <w:t>статистике.</w:t>
            </w:r>
          </w:p>
        </w:tc>
        <w:tc>
          <w:tcPr>
            <w:tcW w:w="2551" w:type="dxa"/>
            <w:vMerge w:val="restart"/>
          </w:tcPr>
          <w:p w:rsidR="00041039" w:rsidRDefault="001B26CB">
            <w:pPr>
              <w:pStyle w:val="TableParagraph"/>
              <w:numPr>
                <w:ilvl w:val="0"/>
                <w:numId w:val="157"/>
              </w:numPr>
              <w:tabs>
                <w:tab w:val="left" w:pos="157"/>
              </w:tabs>
              <w:spacing w:before="8" w:line="162" w:lineRule="exact"/>
              <w:ind w:hanging="99"/>
              <w:rPr>
                <w:sz w:val="14"/>
              </w:rPr>
            </w:pPr>
            <w:r>
              <w:rPr>
                <w:color w:val="231F20"/>
                <w:sz w:val="14"/>
              </w:rPr>
              <w:t>уочи случајне</w:t>
            </w:r>
            <w:r>
              <w:rPr>
                <w:color w:val="231F20"/>
                <w:spacing w:val="-1"/>
                <w:sz w:val="14"/>
              </w:rPr>
              <w:t xml:space="preserve"> </w:t>
            </w:r>
            <w:r>
              <w:rPr>
                <w:color w:val="231F20"/>
                <w:sz w:val="14"/>
              </w:rPr>
              <w:t>догађаје;</w:t>
            </w:r>
          </w:p>
          <w:p w:rsidR="00041039" w:rsidRDefault="001B26CB">
            <w:pPr>
              <w:pStyle w:val="TableParagraph"/>
              <w:numPr>
                <w:ilvl w:val="0"/>
                <w:numId w:val="157"/>
              </w:numPr>
              <w:tabs>
                <w:tab w:val="left" w:pos="157"/>
              </w:tabs>
              <w:spacing w:line="225" w:lineRule="auto"/>
              <w:ind w:right="351" w:hanging="99"/>
              <w:rPr>
                <w:sz w:val="14"/>
              </w:rPr>
            </w:pPr>
            <w:r>
              <w:rPr>
                <w:color w:val="231F20"/>
                <w:sz w:val="14"/>
              </w:rPr>
              <w:t>препозна који су догађаји</w:t>
            </w:r>
            <w:r>
              <w:rPr>
                <w:color w:val="231F20"/>
                <w:spacing w:val="-16"/>
                <w:sz w:val="14"/>
              </w:rPr>
              <w:t xml:space="preserve"> </w:t>
            </w:r>
            <w:r>
              <w:rPr>
                <w:color w:val="231F20"/>
                <w:sz w:val="14"/>
              </w:rPr>
              <w:t>могући, повољни, сигурни,</w:t>
            </w:r>
            <w:r>
              <w:rPr>
                <w:color w:val="231F20"/>
                <w:spacing w:val="-3"/>
                <w:sz w:val="14"/>
              </w:rPr>
              <w:t xml:space="preserve"> </w:t>
            </w:r>
            <w:r>
              <w:rPr>
                <w:color w:val="231F20"/>
                <w:sz w:val="14"/>
              </w:rPr>
              <w:t>немогући;</w:t>
            </w:r>
          </w:p>
          <w:p w:rsidR="00041039" w:rsidRDefault="001B26CB">
            <w:pPr>
              <w:pStyle w:val="TableParagraph"/>
              <w:numPr>
                <w:ilvl w:val="0"/>
                <w:numId w:val="157"/>
              </w:numPr>
              <w:tabs>
                <w:tab w:val="left" w:pos="157"/>
              </w:tabs>
              <w:spacing w:line="225" w:lineRule="auto"/>
              <w:ind w:right="193" w:hanging="99"/>
              <w:rPr>
                <w:sz w:val="14"/>
              </w:rPr>
            </w:pPr>
            <w:r>
              <w:rPr>
                <w:color w:val="231F20"/>
                <w:sz w:val="14"/>
              </w:rPr>
              <w:t>израчуна вероватноћу догађаја (статистичка и класична</w:t>
            </w:r>
            <w:r>
              <w:rPr>
                <w:color w:val="231F20"/>
                <w:spacing w:val="-6"/>
                <w:sz w:val="14"/>
              </w:rPr>
              <w:t xml:space="preserve"> </w:t>
            </w:r>
            <w:r>
              <w:rPr>
                <w:color w:val="231F20"/>
                <w:sz w:val="14"/>
              </w:rPr>
              <w:t>дефиниција вероватноће);</w:t>
            </w:r>
          </w:p>
          <w:p w:rsidR="00041039" w:rsidRDefault="001B26CB">
            <w:pPr>
              <w:pStyle w:val="TableParagraph"/>
              <w:numPr>
                <w:ilvl w:val="0"/>
                <w:numId w:val="157"/>
              </w:numPr>
              <w:tabs>
                <w:tab w:val="left" w:pos="157"/>
              </w:tabs>
              <w:spacing w:line="225" w:lineRule="auto"/>
              <w:ind w:right="152" w:hanging="99"/>
              <w:rPr>
                <w:sz w:val="14"/>
              </w:rPr>
            </w:pPr>
            <w:r>
              <w:rPr>
                <w:color w:val="231F20"/>
                <w:sz w:val="14"/>
              </w:rPr>
              <w:t>одреди условну вероватноћу</w:t>
            </w:r>
            <w:r>
              <w:rPr>
                <w:color w:val="231F20"/>
                <w:spacing w:val="-17"/>
                <w:sz w:val="14"/>
              </w:rPr>
              <w:t xml:space="preserve"> </w:t>
            </w:r>
            <w:r>
              <w:rPr>
                <w:color w:val="231F20"/>
                <w:sz w:val="14"/>
              </w:rPr>
              <w:t>догађаја А у односу на догађај</w:t>
            </w:r>
            <w:r>
              <w:rPr>
                <w:color w:val="231F20"/>
                <w:spacing w:val="-3"/>
                <w:sz w:val="14"/>
              </w:rPr>
              <w:t xml:space="preserve"> </w:t>
            </w:r>
            <w:r>
              <w:rPr>
                <w:color w:val="231F20"/>
                <w:sz w:val="14"/>
              </w:rPr>
              <w:t>В;</w:t>
            </w:r>
          </w:p>
          <w:p w:rsidR="00041039" w:rsidRDefault="001B26CB">
            <w:pPr>
              <w:pStyle w:val="TableParagraph"/>
              <w:numPr>
                <w:ilvl w:val="0"/>
                <w:numId w:val="157"/>
              </w:numPr>
              <w:tabs>
                <w:tab w:val="left" w:pos="157"/>
              </w:tabs>
              <w:spacing w:line="225" w:lineRule="auto"/>
              <w:ind w:right="211" w:hanging="99"/>
              <w:rPr>
                <w:sz w:val="14"/>
              </w:rPr>
            </w:pPr>
            <w:r>
              <w:rPr>
                <w:color w:val="231F20"/>
                <w:sz w:val="14"/>
              </w:rPr>
              <w:t>објасни и примени формулу</w:t>
            </w:r>
            <w:r>
              <w:rPr>
                <w:color w:val="231F20"/>
                <w:spacing w:val="-22"/>
                <w:sz w:val="14"/>
              </w:rPr>
              <w:t xml:space="preserve"> </w:t>
            </w:r>
            <w:r>
              <w:rPr>
                <w:color w:val="231F20"/>
                <w:sz w:val="14"/>
              </w:rPr>
              <w:t>тоталне вероватноће;</w:t>
            </w:r>
          </w:p>
          <w:p w:rsidR="00041039" w:rsidRDefault="001B26CB">
            <w:pPr>
              <w:pStyle w:val="TableParagraph"/>
              <w:numPr>
                <w:ilvl w:val="0"/>
                <w:numId w:val="157"/>
              </w:numPr>
              <w:tabs>
                <w:tab w:val="left" w:pos="157"/>
              </w:tabs>
              <w:spacing w:line="145" w:lineRule="exact"/>
              <w:ind w:hanging="99"/>
              <w:rPr>
                <w:sz w:val="14"/>
              </w:rPr>
            </w:pPr>
            <w:r>
              <w:rPr>
                <w:color w:val="231F20"/>
                <w:sz w:val="14"/>
              </w:rPr>
              <w:t>објасни и примени Бајесову</w:t>
            </w:r>
            <w:r>
              <w:rPr>
                <w:color w:val="231F20"/>
                <w:spacing w:val="-14"/>
                <w:sz w:val="14"/>
              </w:rPr>
              <w:t xml:space="preserve"> </w:t>
            </w:r>
            <w:r>
              <w:rPr>
                <w:color w:val="231F20"/>
                <w:sz w:val="14"/>
              </w:rPr>
              <w:t>формулу;</w:t>
            </w:r>
          </w:p>
          <w:p w:rsidR="00041039" w:rsidRDefault="001B26CB">
            <w:pPr>
              <w:pStyle w:val="TableParagraph"/>
              <w:numPr>
                <w:ilvl w:val="0"/>
                <w:numId w:val="157"/>
              </w:numPr>
              <w:tabs>
                <w:tab w:val="left" w:pos="157"/>
              </w:tabs>
              <w:spacing w:line="152" w:lineRule="exact"/>
              <w:ind w:hanging="99"/>
              <w:rPr>
                <w:sz w:val="14"/>
              </w:rPr>
            </w:pPr>
            <w:r>
              <w:rPr>
                <w:color w:val="231F20"/>
                <w:sz w:val="14"/>
              </w:rPr>
              <w:t>наведе пример случајне</w:t>
            </w:r>
            <w:r>
              <w:rPr>
                <w:color w:val="231F20"/>
                <w:spacing w:val="-8"/>
                <w:sz w:val="14"/>
              </w:rPr>
              <w:t xml:space="preserve"> </w:t>
            </w:r>
            <w:r>
              <w:rPr>
                <w:color w:val="231F20"/>
                <w:sz w:val="14"/>
              </w:rPr>
              <w:t>променљиве;</w:t>
            </w:r>
          </w:p>
          <w:p w:rsidR="00041039" w:rsidRDefault="001B26CB">
            <w:pPr>
              <w:pStyle w:val="TableParagraph"/>
              <w:numPr>
                <w:ilvl w:val="0"/>
                <w:numId w:val="157"/>
              </w:numPr>
              <w:tabs>
                <w:tab w:val="left" w:pos="157"/>
              </w:tabs>
              <w:spacing w:line="152" w:lineRule="exact"/>
              <w:ind w:hanging="99"/>
              <w:rPr>
                <w:sz w:val="14"/>
              </w:rPr>
            </w:pPr>
            <w:r>
              <w:rPr>
                <w:color w:val="231F20"/>
                <w:sz w:val="14"/>
              </w:rPr>
              <w:t>примени биномну</w:t>
            </w:r>
            <w:r>
              <w:rPr>
                <w:color w:val="231F20"/>
                <w:spacing w:val="-3"/>
                <w:sz w:val="14"/>
              </w:rPr>
              <w:t xml:space="preserve"> </w:t>
            </w:r>
            <w:r>
              <w:rPr>
                <w:color w:val="231F20"/>
                <w:sz w:val="14"/>
              </w:rPr>
              <w:t>расподелу;</w:t>
            </w:r>
          </w:p>
          <w:p w:rsidR="00041039" w:rsidRDefault="001B26CB">
            <w:pPr>
              <w:pStyle w:val="TableParagraph"/>
              <w:numPr>
                <w:ilvl w:val="0"/>
                <w:numId w:val="157"/>
              </w:numPr>
              <w:tabs>
                <w:tab w:val="left" w:pos="157"/>
              </w:tabs>
              <w:spacing w:line="152" w:lineRule="exact"/>
              <w:ind w:hanging="99"/>
              <w:rPr>
                <w:sz w:val="14"/>
              </w:rPr>
            </w:pPr>
            <w:r>
              <w:rPr>
                <w:color w:val="231F20"/>
                <w:sz w:val="14"/>
              </w:rPr>
              <w:t>примени нормалну</w:t>
            </w:r>
            <w:r>
              <w:rPr>
                <w:color w:val="231F20"/>
                <w:spacing w:val="-4"/>
                <w:sz w:val="14"/>
              </w:rPr>
              <w:t xml:space="preserve"> </w:t>
            </w:r>
            <w:r>
              <w:rPr>
                <w:color w:val="231F20"/>
                <w:sz w:val="14"/>
              </w:rPr>
              <w:t>расподелу;</w:t>
            </w:r>
          </w:p>
          <w:p w:rsidR="00041039" w:rsidRDefault="001B26CB">
            <w:pPr>
              <w:pStyle w:val="TableParagraph"/>
              <w:numPr>
                <w:ilvl w:val="0"/>
                <w:numId w:val="157"/>
              </w:numPr>
              <w:tabs>
                <w:tab w:val="left" w:pos="153"/>
              </w:tabs>
              <w:spacing w:line="225" w:lineRule="auto"/>
              <w:ind w:left="152" w:right="55" w:hanging="95"/>
              <w:rPr>
                <w:sz w:val="14"/>
              </w:rPr>
            </w:pPr>
            <w:r>
              <w:rPr>
                <w:color w:val="231F20"/>
                <w:spacing w:val="-4"/>
                <w:sz w:val="14"/>
              </w:rPr>
              <w:t xml:space="preserve">израчуна нумеричке карактеристике </w:t>
            </w:r>
            <w:r>
              <w:rPr>
                <w:color w:val="231F20"/>
                <w:spacing w:val="-3"/>
                <w:sz w:val="14"/>
              </w:rPr>
              <w:t xml:space="preserve">случајних променљивих </w:t>
            </w:r>
            <w:r>
              <w:rPr>
                <w:color w:val="231F20"/>
                <w:spacing w:val="-4"/>
                <w:sz w:val="14"/>
              </w:rPr>
              <w:t xml:space="preserve">(математичко очекивање, дисперзију, </w:t>
            </w:r>
            <w:r>
              <w:rPr>
                <w:color w:val="231F20"/>
                <w:spacing w:val="-3"/>
                <w:sz w:val="14"/>
              </w:rPr>
              <w:t xml:space="preserve">медијану </w:t>
            </w:r>
            <w:r>
              <w:rPr>
                <w:color w:val="231F20"/>
                <w:sz w:val="14"/>
              </w:rPr>
              <w:t>и</w:t>
            </w:r>
            <w:r>
              <w:rPr>
                <w:color w:val="231F20"/>
                <w:spacing w:val="3"/>
                <w:sz w:val="14"/>
              </w:rPr>
              <w:t xml:space="preserve"> </w:t>
            </w:r>
            <w:r>
              <w:rPr>
                <w:color w:val="231F20"/>
                <w:spacing w:val="-4"/>
                <w:sz w:val="14"/>
              </w:rPr>
              <w:t>мод);</w:t>
            </w:r>
          </w:p>
          <w:p w:rsidR="00041039" w:rsidRDefault="001B26CB">
            <w:pPr>
              <w:pStyle w:val="TableParagraph"/>
              <w:numPr>
                <w:ilvl w:val="0"/>
                <w:numId w:val="157"/>
              </w:numPr>
              <w:tabs>
                <w:tab w:val="left" w:pos="157"/>
              </w:tabs>
              <w:spacing w:line="146" w:lineRule="exact"/>
              <w:ind w:hanging="99"/>
              <w:rPr>
                <w:sz w:val="14"/>
              </w:rPr>
            </w:pPr>
            <w:r>
              <w:rPr>
                <w:color w:val="231F20"/>
                <w:sz w:val="14"/>
              </w:rPr>
              <w:t>препозна основне појм</w:t>
            </w:r>
            <w:r>
              <w:rPr>
                <w:color w:val="231F20"/>
                <w:sz w:val="14"/>
              </w:rPr>
              <w:t>ове</w:t>
            </w:r>
            <w:r>
              <w:rPr>
                <w:color w:val="231F20"/>
                <w:spacing w:val="-10"/>
                <w:sz w:val="14"/>
              </w:rPr>
              <w:t xml:space="preserve"> </w:t>
            </w:r>
            <w:r>
              <w:rPr>
                <w:color w:val="231F20"/>
                <w:sz w:val="14"/>
              </w:rPr>
              <w:t>статистике;</w:t>
            </w:r>
          </w:p>
          <w:p w:rsidR="00041039" w:rsidRDefault="001B26CB">
            <w:pPr>
              <w:pStyle w:val="TableParagraph"/>
              <w:numPr>
                <w:ilvl w:val="0"/>
                <w:numId w:val="157"/>
              </w:numPr>
              <w:tabs>
                <w:tab w:val="left" w:pos="157"/>
              </w:tabs>
              <w:spacing w:line="225" w:lineRule="auto"/>
              <w:ind w:right="43" w:hanging="99"/>
              <w:rPr>
                <w:sz w:val="14"/>
              </w:rPr>
            </w:pPr>
            <w:r>
              <w:rPr>
                <w:color w:val="231F20"/>
                <w:sz w:val="14"/>
              </w:rPr>
              <w:t>формира статистичке табеле и на</w:t>
            </w:r>
            <w:r>
              <w:rPr>
                <w:color w:val="231F20"/>
                <w:spacing w:val="-14"/>
                <w:sz w:val="14"/>
              </w:rPr>
              <w:t xml:space="preserve"> </w:t>
            </w:r>
            <w:r>
              <w:rPr>
                <w:color w:val="231F20"/>
                <w:sz w:val="14"/>
              </w:rPr>
              <w:t xml:space="preserve">осно­ </w:t>
            </w:r>
            <w:r>
              <w:rPr>
                <w:color w:val="231F20"/>
                <w:spacing w:val="-3"/>
                <w:sz w:val="14"/>
              </w:rPr>
              <w:t xml:space="preserve">ву </w:t>
            </w:r>
            <w:r>
              <w:rPr>
                <w:color w:val="231F20"/>
                <w:sz w:val="14"/>
              </w:rPr>
              <w:t>њих графички приказује</w:t>
            </w:r>
            <w:r>
              <w:rPr>
                <w:color w:val="231F20"/>
                <w:spacing w:val="-12"/>
                <w:sz w:val="14"/>
              </w:rPr>
              <w:t xml:space="preserve"> </w:t>
            </w:r>
            <w:r>
              <w:rPr>
                <w:color w:val="231F20"/>
                <w:sz w:val="14"/>
              </w:rPr>
              <w:t>податке;</w:t>
            </w:r>
          </w:p>
          <w:p w:rsidR="00041039" w:rsidRDefault="001B26CB">
            <w:pPr>
              <w:pStyle w:val="TableParagraph"/>
              <w:numPr>
                <w:ilvl w:val="0"/>
                <w:numId w:val="157"/>
              </w:numPr>
              <w:tabs>
                <w:tab w:val="left" w:pos="157"/>
              </w:tabs>
              <w:spacing w:line="225" w:lineRule="auto"/>
              <w:ind w:right="47" w:hanging="99"/>
              <w:rPr>
                <w:sz w:val="14"/>
              </w:rPr>
            </w:pPr>
            <w:r>
              <w:rPr>
                <w:color w:val="231F20"/>
                <w:sz w:val="14"/>
              </w:rPr>
              <w:t>израчуна одређене карактеристике случајног узорка (аритметичку среди­ ну узорка, медијану узорка, мод</w:t>
            </w:r>
            <w:r>
              <w:rPr>
                <w:color w:val="231F20"/>
                <w:spacing w:val="-20"/>
                <w:sz w:val="14"/>
              </w:rPr>
              <w:t xml:space="preserve"> </w:t>
            </w:r>
            <w:r>
              <w:rPr>
                <w:color w:val="231F20"/>
                <w:sz w:val="14"/>
              </w:rPr>
              <w:t>узорка и дисперзију</w:t>
            </w:r>
            <w:r>
              <w:rPr>
                <w:color w:val="231F20"/>
                <w:spacing w:val="-3"/>
                <w:sz w:val="14"/>
              </w:rPr>
              <w:t xml:space="preserve"> </w:t>
            </w:r>
            <w:r>
              <w:rPr>
                <w:color w:val="231F20"/>
                <w:sz w:val="14"/>
              </w:rPr>
              <w:t>узорка);</w:t>
            </w:r>
          </w:p>
        </w:tc>
        <w:tc>
          <w:tcPr>
            <w:tcW w:w="2834" w:type="dxa"/>
            <w:vMerge w:val="restart"/>
          </w:tcPr>
          <w:p w:rsidR="00041039" w:rsidRDefault="001B26CB">
            <w:pPr>
              <w:pStyle w:val="TableParagraph"/>
              <w:numPr>
                <w:ilvl w:val="0"/>
                <w:numId w:val="156"/>
              </w:numPr>
              <w:tabs>
                <w:tab w:val="left" w:pos="157"/>
              </w:tabs>
              <w:spacing w:before="17" w:line="225" w:lineRule="auto"/>
              <w:ind w:right="125" w:hanging="99"/>
              <w:rPr>
                <w:sz w:val="14"/>
              </w:rPr>
            </w:pPr>
            <w:r>
              <w:rPr>
                <w:color w:val="231F20"/>
                <w:sz w:val="14"/>
              </w:rPr>
              <w:t>Случајни догађаји. Простор елементарних догађаја.</w:t>
            </w:r>
          </w:p>
          <w:p w:rsidR="00041039" w:rsidRDefault="001B26CB">
            <w:pPr>
              <w:pStyle w:val="TableParagraph"/>
              <w:numPr>
                <w:ilvl w:val="0"/>
                <w:numId w:val="156"/>
              </w:numPr>
              <w:tabs>
                <w:tab w:val="left" w:pos="157"/>
              </w:tabs>
              <w:spacing w:line="225" w:lineRule="auto"/>
              <w:ind w:right="493" w:hanging="99"/>
              <w:rPr>
                <w:sz w:val="14"/>
              </w:rPr>
            </w:pPr>
            <w:r>
              <w:rPr>
                <w:color w:val="231F20"/>
                <w:sz w:val="14"/>
              </w:rPr>
              <w:t>Статистичка и класична</w:t>
            </w:r>
            <w:r>
              <w:rPr>
                <w:color w:val="231F20"/>
                <w:spacing w:val="-8"/>
                <w:sz w:val="14"/>
              </w:rPr>
              <w:t xml:space="preserve"> </w:t>
            </w:r>
            <w:r>
              <w:rPr>
                <w:color w:val="231F20"/>
                <w:sz w:val="14"/>
              </w:rPr>
              <w:t>дефиниција вероватноће.</w:t>
            </w:r>
          </w:p>
          <w:p w:rsidR="00041039" w:rsidRDefault="001B26CB">
            <w:pPr>
              <w:pStyle w:val="TableParagraph"/>
              <w:numPr>
                <w:ilvl w:val="0"/>
                <w:numId w:val="156"/>
              </w:numPr>
              <w:tabs>
                <w:tab w:val="left" w:pos="157"/>
              </w:tabs>
              <w:spacing w:line="145" w:lineRule="exact"/>
              <w:ind w:hanging="99"/>
              <w:rPr>
                <w:sz w:val="14"/>
              </w:rPr>
            </w:pPr>
            <w:r>
              <w:rPr>
                <w:color w:val="231F20"/>
                <w:spacing w:val="-3"/>
                <w:sz w:val="14"/>
              </w:rPr>
              <w:t>Условна</w:t>
            </w:r>
            <w:r>
              <w:rPr>
                <w:color w:val="231F20"/>
                <w:spacing w:val="-1"/>
                <w:sz w:val="14"/>
              </w:rPr>
              <w:t xml:space="preserve"> </w:t>
            </w:r>
            <w:r>
              <w:rPr>
                <w:color w:val="231F20"/>
                <w:sz w:val="14"/>
              </w:rPr>
              <w:t>вероватноћа.</w:t>
            </w:r>
          </w:p>
          <w:p w:rsidR="00041039" w:rsidRDefault="001B26CB">
            <w:pPr>
              <w:pStyle w:val="TableParagraph"/>
              <w:numPr>
                <w:ilvl w:val="0"/>
                <w:numId w:val="156"/>
              </w:numPr>
              <w:tabs>
                <w:tab w:val="left" w:pos="157"/>
              </w:tabs>
              <w:spacing w:line="225" w:lineRule="auto"/>
              <w:ind w:right="297" w:hanging="99"/>
              <w:rPr>
                <w:sz w:val="14"/>
              </w:rPr>
            </w:pPr>
            <w:r>
              <w:rPr>
                <w:color w:val="231F20"/>
                <w:sz w:val="14"/>
              </w:rPr>
              <w:t>Формула</w:t>
            </w:r>
            <w:r>
              <w:rPr>
                <w:color w:val="231F20"/>
                <w:spacing w:val="-10"/>
                <w:sz w:val="14"/>
              </w:rPr>
              <w:t xml:space="preserve"> </w:t>
            </w:r>
            <w:r>
              <w:rPr>
                <w:color w:val="231F20"/>
                <w:sz w:val="14"/>
              </w:rPr>
              <w:t>тоталне</w:t>
            </w:r>
            <w:r>
              <w:rPr>
                <w:color w:val="231F20"/>
                <w:spacing w:val="-10"/>
                <w:sz w:val="14"/>
              </w:rPr>
              <w:t xml:space="preserve"> </w:t>
            </w:r>
            <w:r>
              <w:rPr>
                <w:color w:val="231F20"/>
                <w:sz w:val="14"/>
              </w:rPr>
              <w:t>вероватноће,</w:t>
            </w:r>
            <w:r>
              <w:rPr>
                <w:color w:val="231F20"/>
                <w:spacing w:val="-9"/>
                <w:sz w:val="14"/>
              </w:rPr>
              <w:t xml:space="preserve"> </w:t>
            </w:r>
            <w:r>
              <w:rPr>
                <w:color w:val="231F20"/>
                <w:sz w:val="14"/>
              </w:rPr>
              <w:t>Бајесова формула.</w:t>
            </w:r>
          </w:p>
          <w:p w:rsidR="00041039" w:rsidRDefault="001B26CB">
            <w:pPr>
              <w:pStyle w:val="TableParagraph"/>
              <w:numPr>
                <w:ilvl w:val="0"/>
                <w:numId w:val="156"/>
              </w:numPr>
              <w:tabs>
                <w:tab w:val="left" w:pos="157"/>
              </w:tabs>
              <w:spacing w:line="225" w:lineRule="auto"/>
              <w:ind w:right="99" w:hanging="99"/>
              <w:rPr>
                <w:sz w:val="14"/>
              </w:rPr>
            </w:pPr>
            <w:r>
              <w:rPr>
                <w:color w:val="231F20"/>
                <w:sz w:val="14"/>
              </w:rPr>
              <w:t>Случајне променљиве. Дискретне</w:t>
            </w:r>
            <w:r>
              <w:rPr>
                <w:color w:val="231F20"/>
                <w:spacing w:val="-14"/>
                <w:sz w:val="14"/>
              </w:rPr>
              <w:t xml:space="preserve"> </w:t>
            </w:r>
            <w:r>
              <w:rPr>
                <w:color w:val="231F20"/>
                <w:sz w:val="14"/>
              </w:rPr>
              <w:t>случајне променљиве и</w:t>
            </w:r>
            <w:r>
              <w:rPr>
                <w:color w:val="231F20"/>
                <w:spacing w:val="-3"/>
                <w:sz w:val="14"/>
              </w:rPr>
              <w:t xml:space="preserve"> </w:t>
            </w:r>
            <w:r>
              <w:rPr>
                <w:color w:val="231F20"/>
                <w:sz w:val="14"/>
              </w:rPr>
              <w:t>биномнарасподела.</w:t>
            </w:r>
          </w:p>
          <w:p w:rsidR="00041039" w:rsidRDefault="001B26CB">
            <w:pPr>
              <w:pStyle w:val="TableParagraph"/>
              <w:numPr>
                <w:ilvl w:val="0"/>
                <w:numId w:val="156"/>
              </w:numPr>
              <w:tabs>
                <w:tab w:val="left" w:pos="157"/>
              </w:tabs>
              <w:spacing w:line="225" w:lineRule="auto"/>
              <w:ind w:right="214" w:hanging="99"/>
              <w:rPr>
                <w:sz w:val="14"/>
              </w:rPr>
            </w:pPr>
            <w:r>
              <w:rPr>
                <w:color w:val="231F20"/>
                <w:sz w:val="14"/>
              </w:rPr>
              <w:t xml:space="preserve">Непрекидне случајне </w:t>
            </w:r>
            <w:r>
              <w:rPr>
                <w:color w:val="231F20"/>
                <w:sz w:val="14"/>
              </w:rPr>
              <w:t>променљиве и</w:t>
            </w:r>
            <w:r>
              <w:rPr>
                <w:color w:val="231F20"/>
                <w:spacing w:val="-19"/>
                <w:sz w:val="14"/>
              </w:rPr>
              <w:t xml:space="preserve"> </w:t>
            </w:r>
            <w:r>
              <w:rPr>
                <w:color w:val="231F20"/>
                <w:sz w:val="14"/>
              </w:rPr>
              <w:t>нор­ мална</w:t>
            </w:r>
            <w:r>
              <w:rPr>
                <w:color w:val="231F20"/>
                <w:spacing w:val="-2"/>
                <w:sz w:val="14"/>
              </w:rPr>
              <w:t xml:space="preserve"> </w:t>
            </w:r>
            <w:r>
              <w:rPr>
                <w:color w:val="231F20"/>
                <w:sz w:val="14"/>
              </w:rPr>
              <w:t>расподела.</w:t>
            </w:r>
          </w:p>
          <w:p w:rsidR="00041039" w:rsidRDefault="001B26CB">
            <w:pPr>
              <w:pStyle w:val="TableParagraph"/>
              <w:numPr>
                <w:ilvl w:val="0"/>
                <w:numId w:val="156"/>
              </w:numPr>
              <w:tabs>
                <w:tab w:val="left" w:pos="157"/>
              </w:tabs>
              <w:spacing w:line="225" w:lineRule="auto"/>
              <w:ind w:right="302" w:hanging="99"/>
              <w:rPr>
                <w:sz w:val="14"/>
              </w:rPr>
            </w:pPr>
            <w:r>
              <w:rPr>
                <w:color w:val="231F20"/>
                <w:sz w:val="14"/>
              </w:rPr>
              <w:t>Нумеричке карактеристике случајних променљивих (математичко</w:t>
            </w:r>
            <w:r>
              <w:rPr>
                <w:color w:val="231F20"/>
                <w:spacing w:val="-26"/>
                <w:sz w:val="14"/>
              </w:rPr>
              <w:t xml:space="preserve"> </w:t>
            </w:r>
            <w:r>
              <w:rPr>
                <w:color w:val="231F20"/>
                <w:sz w:val="14"/>
              </w:rPr>
              <w:t>очекивање, дисперзија, медијана,</w:t>
            </w:r>
            <w:r>
              <w:rPr>
                <w:color w:val="231F20"/>
                <w:spacing w:val="-2"/>
                <w:sz w:val="14"/>
              </w:rPr>
              <w:t xml:space="preserve"> </w:t>
            </w:r>
            <w:r>
              <w:rPr>
                <w:color w:val="231F20"/>
                <w:sz w:val="14"/>
              </w:rPr>
              <w:t>мод).</w:t>
            </w:r>
          </w:p>
          <w:p w:rsidR="00041039" w:rsidRDefault="001B26CB">
            <w:pPr>
              <w:pStyle w:val="TableParagraph"/>
              <w:numPr>
                <w:ilvl w:val="0"/>
                <w:numId w:val="156"/>
              </w:numPr>
              <w:tabs>
                <w:tab w:val="left" w:pos="157"/>
              </w:tabs>
              <w:spacing w:line="146" w:lineRule="exact"/>
              <w:ind w:hanging="99"/>
              <w:rPr>
                <w:sz w:val="14"/>
              </w:rPr>
            </w:pPr>
            <w:r>
              <w:rPr>
                <w:color w:val="231F20"/>
                <w:sz w:val="14"/>
              </w:rPr>
              <w:t>Статистика. Основни</w:t>
            </w:r>
            <w:r>
              <w:rPr>
                <w:color w:val="231F20"/>
                <w:spacing w:val="-3"/>
                <w:sz w:val="14"/>
              </w:rPr>
              <w:t xml:space="preserve"> </w:t>
            </w:r>
            <w:r>
              <w:rPr>
                <w:color w:val="231F20"/>
                <w:sz w:val="14"/>
              </w:rPr>
              <w:t>појмови.</w:t>
            </w:r>
          </w:p>
          <w:p w:rsidR="00041039" w:rsidRDefault="001B26CB">
            <w:pPr>
              <w:pStyle w:val="TableParagraph"/>
              <w:numPr>
                <w:ilvl w:val="0"/>
                <w:numId w:val="156"/>
              </w:numPr>
              <w:tabs>
                <w:tab w:val="left" w:pos="157"/>
              </w:tabs>
              <w:spacing w:line="225" w:lineRule="auto"/>
              <w:ind w:right="80" w:hanging="99"/>
              <w:rPr>
                <w:sz w:val="14"/>
              </w:rPr>
            </w:pPr>
            <w:r>
              <w:rPr>
                <w:color w:val="231F20"/>
                <w:sz w:val="14"/>
              </w:rPr>
              <w:t>Формирање статистичких табела и</w:t>
            </w:r>
            <w:r>
              <w:rPr>
                <w:color w:val="231F20"/>
                <w:spacing w:val="-22"/>
                <w:sz w:val="14"/>
              </w:rPr>
              <w:t xml:space="preserve"> </w:t>
            </w:r>
            <w:r>
              <w:rPr>
                <w:color w:val="231F20"/>
                <w:sz w:val="14"/>
              </w:rPr>
              <w:t xml:space="preserve">графич­ </w:t>
            </w:r>
            <w:r>
              <w:rPr>
                <w:color w:val="231F20"/>
                <w:spacing w:val="-4"/>
                <w:sz w:val="14"/>
              </w:rPr>
              <w:t xml:space="preserve">ко </w:t>
            </w:r>
            <w:r>
              <w:rPr>
                <w:color w:val="231F20"/>
                <w:sz w:val="14"/>
              </w:rPr>
              <w:t>приказивање</w:t>
            </w:r>
            <w:r>
              <w:rPr>
                <w:color w:val="231F20"/>
                <w:spacing w:val="1"/>
                <w:sz w:val="14"/>
              </w:rPr>
              <w:t xml:space="preserve"> </w:t>
            </w:r>
            <w:r>
              <w:rPr>
                <w:color w:val="231F20"/>
                <w:sz w:val="14"/>
              </w:rPr>
              <w:t>података.</w:t>
            </w:r>
          </w:p>
          <w:p w:rsidR="00041039" w:rsidRDefault="001B26CB">
            <w:pPr>
              <w:pStyle w:val="TableParagraph"/>
              <w:numPr>
                <w:ilvl w:val="0"/>
                <w:numId w:val="156"/>
              </w:numPr>
              <w:tabs>
                <w:tab w:val="left" w:pos="157"/>
              </w:tabs>
              <w:spacing w:line="225" w:lineRule="auto"/>
              <w:ind w:right="321" w:hanging="99"/>
              <w:rPr>
                <w:sz w:val="14"/>
              </w:rPr>
            </w:pPr>
            <w:r>
              <w:rPr>
                <w:color w:val="231F20"/>
                <w:sz w:val="14"/>
              </w:rPr>
              <w:t>Карактеристике емпиријске расподеле (аритметичка средина узорка,</w:t>
            </w:r>
            <w:r>
              <w:rPr>
                <w:color w:val="231F20"/>
                <w:spacing w:val="-11"/>
                <w:sz w:val="14"/>
              </w:rPr>
              <w:t xml:space="preserve"> </w:t>
            </w:r>
            <w:r>
              <w:rPr>
                <w:color w:val="231F20"/>
                <w:sz w:val="14"/>
              </w:rPr>
              <w:t>медијана узорка, мод узорка, дисперзија</w:t>
            </w:r>
            <w:r>
              <w:rPr>
                <w:color w:val="231F20"/>
                <w:spacing w:val="-19"/>
                <w:sz w:val="14"/>
              </w:rPr>
              <w:t xml:space="preserve"> </w:t>
            </w:r>
            <w:r>
              <w:rPr>
                <w:color w:val="231F20"/>
                <w:sz w:val="14"/>
              </w:rPr>
              <w:t>узорка).</w:t>
            </w:r>
          </w:p>
        </w:tc>
        <w:tc>
          <w:tcPr>
            <w:tcW w:w="2267" w:type="dxa"/>
            <w:tcBorders>
              <w:bottom w:val="nil"/>
            </w:tcBorders>
          </w:tcPr>
          <w:p w:rsidR="00041039" w:rsidRDefault="001B26CB">
            <w:pPr>
              <w:pStyle w:val="TableParagraph"/>
              <w:numPr>
                <w:ilvl w:val="0"/>
                <w:numId w:val="155"/>
              </w:numPr>
              <w:tabs>
                <w:tab w:val="left" w:pos="143"/>
              </w:tabs>
              <w:spacing w:before="25" w:line="225" w:lineRule="auto"/>
              <w:ind w:right="131"/>
              <w:rPr>
                <w:sz w:val="14"/>
              </w:rPr>
            </w:pPr>
            <w:r>
              <w:rPr>
                <w:b/>
                <w:color w:val="231F20"/>
                <w:sz w:val="14"/>
              </w:rPr>
              <w:t xml:space="preserve">Експоненцијалне и логаритам- ске једначине и неједначине: </w:t>
            </w:r>
            <w:r>
              <w:rPr>
                <w:color w:val="231F20"/>
                <w:sz w:val="14"/>
              </w:rPr>
              <w:t>наглашавати неопходност постављања услова за дефиниса­ ност. Неједначине обрадити на</w:t>
            </w:r>
            <w:r>
              <w:rPr>
                <w:color w:val="231F20"/>
                <w:sz w:val="14"/>
              </w:rPr>
              <w:t xml:space="preserve"> једноставнијим</w:t>
            </w:r>
            <w:r>
              <w:rPr>
                <w:color w:val="231F20"/>
                <w:spacing w:val="-1"/>
                <w:sz w:val="14"/>
              </w:rPr>
              <w:t xml:space="preserve"> </w:t>
            </w:r>
            <w:r>
              <w:rPr>
                <w:color w:val="231F20"/>
                <w:sz w:val="14"/>
              </w:rPr>
              <w:t>примерима.</w:t>
            </w:r>
          </w:p>
          <w:p w:rsidR="00041039" w:rsidRDefault="001B26CB">
            <w:pPr>
              <w:pStyle w:val="TableParagraph"/>
              <w:numPr>
                <w:ilvl w:val="0"/>
                <w:numId w:val="155"/>
              </w:numPr>
              <w:tabs>
                <w:tab w:val="left" w:pos="143"/>
              </w:tabs>
              <w:spacing w:before="4" w:line="225" w:lineRule="auto"/>
              <w:ind w:right="122"/>
              <w:rPr>
                <w:sz w:val="14"/>
              </w:rPr>
            </w:pPr>
            <w:r>
              <w:rPr>
                <w:b/>
                <w:color w:val="231F20"/>
                <w:sz w:val="14"/>
              </w:rPr>
              <w:t xml:space="preserve">Комбинаторика: </w:t>
            </w:r>
            <w:r>
              <w:rPr>
                <w:color w:val="231F20"/>
                <w:sz w:val="14"/>
              </w:rPr>
              <w:t>при решавању задатака пребројавања разма­ трати варијације, пермутације и комбинације са и без</w:t>
            </w:r>
            <w:r>
              <w:rPr>
                <w:color w:val="231F20"/>
                <w:spacing w:val="-21"/>
                <w:sz w:val="14"/>
              </w:rPr>
              <w:t xml:space="preserve"> </w:t>
            </w:r>
            <w:r>
              <w:rPr>
                <w:color w:val="231F20"/>
                <w:sz w:val="14"/>
              </w:rPr>
              <w:t>понављања. Користити што више</w:t>
            </w:r>
            <w:r>
              <w:rPr>
                <w:color w:val="231F20"/>
                <w:spacing w:val="-19"/>
                <w:sz w:val="14"/>
              </w:rPr>
              <w:t xml:space="preserve"> </w:t>
            </w:r>
            <w:r>
              <w:rPr>
                <w:color w:val="231F20"/>
                <w:sz w:val="14"/>
              </w:rPr>
              <w:t>конкретних примера из</w:t>
            </w:r>
            <w:r>
              <w:rPr>
                <w:color w:val="231F20"/>
                <w:spacing w:val="-3"/>
                <w:sz w:val="14"/>
              </w:rPr>
              <w:t xml:space="preserve"> </w:t>
            </w:r>
            <w:r>
              <w:rPr>
                <w:color w:val="231F20"/>
                <w:sz w:val="14"/>
              </w:rPr>
              <w:t>живота.</w:t>
            </w:r>
          </w:p>
          <w:p w:rsidR="00041039" w:rsidRDefault="001B26CB">
            <w:pPr>
              <w:pStyle w:val="TableParagraph"/>
              <w:numPr>
                <w:ilvl w:val="0"/>
                <w:numId w:val="155"/>
              </w:numPr>
              <w:tabs>
                <w:tab w:val="left" w:pos="143"/>
              </w:tabs>
              <w:spacing w:before="5" w:line="225" w:lineRule="auto"/>
              <w:ind w:right="105"/>
              <w:jc w:val="both"/>
              <w:rPr>
                <w:sz w:val="14"/>
              </w:rPr>
            </w:pPr>
            <w:r>
              <w:rPr>
                <w:b/>
                <w:color w:val="231F20"/>
                <w:sz w:val="14"/>
              </w:rPr>
              <w:t xml:space="preserve">Вероватноћа и статистика: </w:t>
            </w:r>
            <w:r>
              <w:rPr>
                <w:color w:val="231F20"/>
                <w:sz w:val="14"/>
              </w:rPr>
              <w:t>при обради новог градива користити што више конкретних примера</w:t>
            </w:r>
            <w:r>
              <w:rPr>
                <w:color w:val="231F20"/>
                <w:spacing w:val="-22"/>
                <w:sz w:val="14"/>
              </w:rPr>
              <w:t xml:space="preserve"> </w:t>
            </w:r>
            <w:r>
              <w:rPr>
                <w:color w:val="231F20"/>
                <w:sz w:val="14"/>
              </w:rPr>
              <w:t>из живота.</w:t>
            </w:r>
          </w:p>
          <w:p w:rsidR="00041039" w:rsidRDefault="001B26CB">
            <w:pPr>
              <w:pStyle w:val="TableParagraph"/>
              <w:numPr>
                <w:ilvl w:val="0"/>
                <w:numId w:val="155"/>
              </w:numPr>
              <w:tabs>
                <w:tab w:val="left" w:pos="137"/>
              </w:tabs>
              <w:spacing w:before="3" w:line="225" w:lineRule="auto"/>
              <w:ind w:left="136" w:right="275" w:hanging="78"/>
              <w:rPr>
                <w:sz w:val="14"/>
              </w:rPr>
            </w:pPr>
            <w:r>
              <w:rPr>
                <w:b/>
                <w:color w:val="231F20"/>
                <w:spacing w:val="-3"/>
                <w:sz w:val="14"/>
              </w:rPr>
              <w:t xml:space="preserve">Диференцијалне </w:t>
            </w:r>
            <w:r>
              <w:rPr>
                <w:b/>
                <w:color w:val="231F20"/>
                <w:spacing w:val="-4"/>
                <w:sz w:val="14"/>
              </w:rPr>
              <w:t xml:space="preserve">једначине: </w:t>
            </w:r>
            <w:r>
              <w:rPr>
                <w:color w:val="231F20"/>
                <w:spacing w:val="-4"/>
                <w:sz w:val="14"/>
              </w:rPr>
              <w:t xml:space="preserve">изабрати </w:t>
            </w:r>
            <w:r>
              <w:rPr>
                <w:color w:val="231F20"/>
                <w:spacing w:val="-3"/>
                <w:sz w:val="14"/>
              </w:rPr>
              <w:t>једноставније примере диференцијалних</w:t>
            </w:r>
            <w:r>
              <w:rPr>
                <w:color w:val="231F20"/>
                <w:spacing w:val="-5"/>
                <w:sz w:val="14"/>
              </w:rPr>
              <w:t xml:space="preserve"> </w:t>
            </w:r>
            <w:r>
              <w:rPr>
                <w:color w:val="231F20"/>
                <w:spacing w:val="-4"/>
                <w:sz w:val="14"/>
              </w:rPr>
              <w:t>једначина.</w:t>
            </w:r>
          </w:p>
          <w:p w:rsidR="00041039" w:rsidRDefault="001B26CB">
            <w:pPr>
              <w:pStyle w:val="TableParagraph"/>
              <w:spacing w:before="2" w:line="225" w:lineRule="auto"/>
              <w:ind w:left="136"/>
              <w:rPr>
                <w:sz w:val="14"/>
              </w:rPr>
            </w:pPr>
            <w:r>
              <w:rPr>
                <w:color w:val="231F20"/>
                <w:sz w:val="14"/>
              </w:rPr>
              <w:t xml:space="preserve">У </w:t>
            </w:r>
            <w:r>
              <w:rPr>
                <w:color w:val="231F20"/>
                <w:spacing w:val="-3"/>
                <w:sz w:val="14"/>
              </w:rPr>
              <w:t xml:space="preserve">делу теме </w:t>
            </w:r>
            <w:r>
              <w:rPr>
                <w:color w:val="231F20"/>
                <w:spacing w:val="-4"/>
                <w:sz w:val="14"/>
              </w:rPr>
              <w:t xml:space="preserve">који </w:t>
            </w:r>
            <w:r>
              <w:rPr>
                <w:color w:val="231F20"/>
                <w:sz w:val="14"/>
              </w:rPr>
              <w:t xml:space="preserve">се </w:t>
            </w:r>
            <w:r>
              <w:rPr>
                <w:color w:val="231F20"/>
                <w:spacing w:val="-3"/>
                <w:sz w:val="14"/>
              </w:rPr>
              <w:t xml:space="preserve">односи </w:t>
            </w:r>
            <w:r>
              <w:rPr>
                <w:color w:val="231F20"/>
                <w:sz w:val="14"/>
              </w:rPr>
              <w:t xml:space="preserve">на </w:t>
            </w:r>
            <w:r>
              <w:rPr>
                <w:color w:val="231F20"/>
                <w:spacing w:val="-3"/>
                <w:sz w:val="14"/>
              </w:rPr>
              <w:t xml:space="preserve">диференцијалне </w:t>
            </w:r>
            <w:r>
              <w:rPr>
                <w:color w:val="231F20"/>
                <w:spacing w:val="-4"/>
                <w:sz w:val="14"/>
              </w:rPr>
              <w:t xml:space="preserve">једначине другог </w:t>
            </w:r>
            <w:r>
              <w:rPr>
                <w:color w:val="231F20"/>
                <w:spacing w:val="-3"/>
                <w:sz w:val="14"/>
              </w:rPr>
              <w:t xml:space="preserve">реда обрадити </w:t>
            </w:r>
            <w:r>
              <w:rPr>
                <w:color w:val="231F20"/>
                <w:sz w:val="14"/>
              </w:rPr>
              <w:t xml:space="preserve">само </w:t>
            </w:r>
            <w:r>
              <w:rPr>
                <w:color w:val="231F20"/>
                <w:spacing w:val="-4"/>
                <w:sz w:val="14"/>
              </w:rPr>
              <w:t xml:space="preserve">једначине </w:t>
            </w:r>
            <w:r>
              <w:rPr>
                <w:color w:val="231F20"/>
                <w:spacing w:val="-3"/>
                <w:sz w:val="14"/>
              </w:rPr>
              <w:t xml:space="preserve">об­ лика </w:t>
            </w:r>
            <w:r>
              <w:rPr>
                <w:color w:val="231F20"/>
                <w:spacing w:val="-5"/>
                <w:sz w:val="14"/>
              </w:rPr>
              <w:t xml:space="preserve">y’’= </w:t>
            </w:r>
            <w:r>
              <w:rPr>
                <w:color w:val="231F20"/>
                <w:spacing w:val="-3"/>
                <w:sz w:val="14"/>
              </w:rPr>
              <w:t>f(x).</w:t>
            </w:r>
          </w:p>
        </w:tc>
      </w:tr>
      <w:tr w:rsidR="00041039">
        <w:trPr>
          <w:trHeight w:val="93"/>
        </w:trPr>
        <w:tc>
          <w:tcPr>
            <w:tcW w:w="1304" w:type="dxa"/>
            <w:tcBorders>
              <w:top w:val="nil"/>
            </w:tcBorders>
          </w:tcPr>
          <w:p w:rsidR="00041039" w:rsidRDefault="00041039">
            <w:pPr>
              <w:pStyle w:val="TableParagraph"/>
              <w:ind w:left="0"/>
              <w:rPr>
                <w:sz w:val="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vMerge w:val="restart"/>
            <w:tcBorders>
              <w:top w:val="nil"/>
              <w:bottom w:val="nil"/>
            </w:tcBorders>
          </w:tcPr>
          <w:p w:rsidR="00041039" w:rsidRDefault="001B26CB">
            <w:pPr>
              <w:pStyle w:val="TableParagraph"/>
              <w:spacing w:before="63" w:line="157" w:lineRule="exact"/>
              <w:ind w:left="58"/>
              <w:rPr>
                <w:b/>
                <w:sz w:val="14"/>
              </w:rPr>
            </w:pPr>
            <w:r>
              <w:rPr>
                <w:b/>
                <w:color w:val="231F20"/>
                <w:sz w:val="14"/>
              </w:rPr>
              <w:t>Оцењивање</w:t>
            </w:r>
          </w:p>
          <w:p w:rsidR="00041039" w:rsidRDefault="001B26CB">
            <w:pPr>
              <w:pStyle w:val="TableParagraph"/>
              <w:spacing w:before="4" w:line="225"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154"/>
              </w:numPr>
              <w:tabs>
                <w:tab w:val="left" w:pos="158"/>
              </w:tabs>
              <w:spacing w:line="145"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54"/>
              </w:numPr>
              <w:tabs>
                <w:tab w:val="left" w:pos="158"/>
              </w:tabs>
              <w:spacing w:line="152" w:lineRule="exact"/>
              <w:ind w:hanging="99"/>
              <w:rPr>
                <w:sz w:val="14"/>
              </w:rPr>
            </w:pPr>
            <w:r>
              <w:rPr>
                <w:color w:val="231F20"/>
                <w:sz w:val="14"/>
              </w:rPr>
              <w:t>активност ученика на</w:t>
            </w:r>
            <w:r>
              <w:rPr>
                <w:color w:val="231F20"/>
                <w:spacing w:val="-2"/>
                <w:sz w:val="14"/>
              </w:rPr>
              <w:t xml:space="preserve"> </w:t>
            </w:r>
            <w:r>
              <w:rPr>
                <w:color w:val="231F20"/>
                <w:sz w:val="14"/>
              </w:rPr>
              <w:t>часу</w:t>
            </w:r>
          </w:p>
          <w:p w:rsidR="00041039" w:rsidRDefault="001B26CB">
            <w:pPr>
              <w:pStyle w:val="TableParagraph"/>
              <w:numPr>
                <w:ilvl w:val="0"/>
                <w:numId w:val="154"/>
              </w:numPr>
              <w:tabs>
                <w:tab w:val="left" w:pos="158"/>
              </w:tabs>
              <w:spacing w:line="152" w:lineRule="exact"/>
              <w:ind w:hanging="99"/>
              <w:rPr>
                <w:sz w:val="14"/>
              </w:rPr>
            </w:pPr>
            <w:r>
              <w:rPr>
                <w:color w:val="231F20"/>
                <w:sz w:val="14"/>
              </w:rPr>
              <w:t>усмену проверу</w:t>
            </w:r>
            <w:r>
              <w:rPr>
                <w:color w:val="231F20"/>
                <w:spacing w:val="-1"/>
                <w:sz w:val="14"/>
              </w:rPr>
              <w:t xml:space="preserve"> </w:t>
            </w:r>
            <w:r>
              <w:rPr>
                <w:color w:val="231F20"/>
                <w:sz w:val="14"/>
              </w:rPr>
              <w:t>знања</w:t>
            </w:r>
          </w:p>
          <w:p w:rsidR="00041039" w:rsidRDefault="001B26CB">
            <w:pPr>
              <w:pStyle w:val="TableParagraph"/>
              <w:numPr>
                <w:ilvl w:val="0"/>
                <w:numId w:val="154"/>
              </w:numPr>
              <w:tabs>
                <w:tab w:val="left" w:pos="158"/>
              </w:tabs>
              <w:spacing w:line="152" w:lineRule="exact"/>
              <w:ind w:hanging="99"/>
              <w:rPr>
                <w:sz w:val="14"/>
              </w:rPr>
            </w:pPr>
            <w:r>
              <w:rPr>
                <w:color w:val="231F20"/>
                <w:sz w:val="14"/>
              </w:rPr>
              <w:t>писмену провера</w:t>
            </w:r>
            <w:r>
              <w:rPr>
                <w:color w:val="231F20"/>
                <w:spacing w:val="-3"/>
                <w:sz w:val="14"/>
              </w:rPr>
              <w:t xml:space="preserve"> </w:t>
            </w:r>
            <w:r>
              <w:rPr>
                <w:color w:val="231F20"/>
                <w:sz w:val="14"/>
              </w:rPr>
              <w:t>знања</w:t>
            </w:r>
          </w:p>
          <w:p w:rsidR="00041039" w:rsidRDefault="001B26CB">
            <w:pPr>
              <w:pStyle w:val="TableParagraph"/>
              <w:numPr>
                <w:ilvl w:val="0"/>
                <w:numId w:val="154"/>
              </w:numPr>
              <w:tabs>
                <w:tab w:val="left" w:pos="158"/>
              </w:tabs>
              <w:spacing w:line="162"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1241"/>
        </w:trPr>
        <w:tc>
          <w:tcPr>
            <w:tcW w:w="1304" w:type="dxa"/>
            <w:tcBorders>
              <w:bottom w:val="nil"/>
            </w:tcBorders>
          </w:tcPr>
          <w:p w:rsidR="00041039" w:rsidRDefault="001B26CB">
            <w:pPr>
              <w:pStyle w:val="TableParagraph"/>
              <w:spacing w:before="16" w:line="225" w:lineRule="auto"/>
              <w:ind w:left="56" w:right="229"/>
              <w:rPr>
                <w:sz w:val="14"/>
              </w:rPr>
            </w:pPr>
            <w:r>
              <w:rPr>
                <w:color w:val="231F20"/>
                <w:sz w:val="14"/>
              </w:rPr>
              <w:t>Диференцијалне једначине</w:t>
            </w:r>
          </w:p>
        </w:tc>
        <w:tc>
          <w:tcPr>
            <w:tcW w:w="1587" w:type="dxa"/>
            <w:vMerge w:val="restart"/>
          </w:tcPr>
          <w:p w:rsidR="00041039" w:rsidRDefault="001B26CB">
            <w:pPr>
              <w:pStyle w:val="TableParagraph"/>
              <w:numPr>
                <w:ilvl w:val="0"/>
                <w:numId w:val="153"/>
              </w:numPr>
              <w:tabs>
                <w:tab w:val="left" w:pos="157"/>
              </w:tabs>
              <w:spacing w:before="6" w:line="225" w:lineRule="auto"/>
              <w:ind w:right="48"/>
              <w:rPr>
                <w:sz w:val="14"/>
              </w:rPr>
            </w:pPr>
            <w:r>
              <w:rPr>
                <w:color w:val="231F20"/>
                <w:sz w:val="14"/>
              </w:rPr>
              <w:t>Стицање основних знања о диференцијал­ ним</w:t>
            </w:r>
            <w:r>
              <w:rPr>
                <w:color w:val="231F20"/>
                <w:spacing w:val="-3"/>
                <w:sz w:val="14"/>
              </w:rPr>
              <w:t xml:space="preserve"> </w:t>
            </w:r>
            <w:r>
              <w:rPr>
                <w:color w:val="231F20"/>
                <w:sz w:val="14"/>
              </w:rPr>
              <w:t>једначинама.</w:t>
            </w:r>
          </w:p>
        </w:tc>
        <w:tc>
          <w:tcPr>
            <w:tcW w:w="2551" w:type="dxa"/>
            <w:vMerge w:val="restart"/>
          </w:tcPr>
          <w:p w:rsidR="00041039" w:rsidRDefault="001B26CB">
            <w:pPr>
              <w:pStyle w:val="TableParagraph"/>
              <w:numPr>
                <w:ilvl w:val="0"/>
                <w:numId w:val="152"/>
              </w:numPr>
              <w:tabs>
                <w:tab w:val="left" w:pos="157"/>
              </w:tabs>
              <w:spacing w:before="6" w:line="225" w:lineRule="auto"/>
              <w:ind w:right="558" w:hanging="99"/>
              <w:rPr>
                <w:sz w:val="14"/>
              </w:rPr>
            </w:pPr>
            <w:r>
              <w:rPr>
                <w:color w:val="231F20"/>
                <w:sz w:val="14"/>
              </w:rPr>
              <w:t>објасни појам диференцијалне једначине;</w:t>
            </w:r>
          </w:p>
          <w:p w:rsidR="00041039" w:rsidRDefault="001B26CB">
            <w:pPr>
              <w:pStyle w:val="TableParagraph"/>
              <w:numPr>
                <w:ilvl w:val="0"/>
                <w:numId w:val="152"/>
              </w:numPr>
              <w:tabs>
                <w:tab w:val="left" w:pos="157"/>
              </w:tabs>
              <w:spacing w:line="225" w:lineRule="auto"/>
              <w:ind w:right="324" w:hanging="99"/>
              <w:rPr>
                <w:sz w:val="14"/>
              </w:rPr>
            </w:pPr>
            <w:r>
              <w:rPr>
                <w:color w:val="231F20"/>
                <w:sz w:val="14"/>
              </w:rPr>
              <w:t>препозна тип диференцијалне једначине и примени</w:t>
            </w:r>
            <w:r>
              <w:rPr>
                <w:color w:val="231F20"/>
                <w:spacing w:val="-24"/>
                <w:sz w:val="14"/>
              </w:rPr>
              <w:t xml:space="preserve"> </w:t>
            </w:r>
            <w:r>
              <w:rPr>
                <w:color w:val="231F20"/>
                <w:sz w:val="14"/>
              </w:rPr>
              <w:t>одговарајући начин</w:t>
            </w:r>
            <w:r>
              <w:rPr>
                <w:color w:val="231F20"/>
                <w:spacing w:val="-1"/>
                <w:sz w:val="14"/>
              </w:rPr>
              <w:t xml:space="preserve"> </w:t>
            </w:r>
            <w:r>
              <w:rPr>
                <w:color w:val="231F20"/>
                <w:sz w:val="14"/>
              </w:rPr>
              <w:t>решавања;</w:t>
            </w:r>
          </w:p>
          <w:p w:rsidR="00041039" w:rsidRDefault="001B26CB">
            <w:pPr>
              <w:pStyle w:val="TableParagraph"/>
              <w:numPr>
                <w:ilvl w:val="0"/>
                <w:numId w:val="152"/>
              </w:numPr>
              <w:tabs>
                <w:tab w:val="left" w:pos="157"/>
              </w:tabs>
              <w:spacing w:line="225" w:lineRule="auto"/>
              <w:ind w:right="119" w:hanging="99"/>
              <w:rPr>
                <w:sz w:val="14"/>
              </w:rPr>
            </w:pPr>
            <w:r>
              <w:rPr>
                <w:color w:val="231F20"/>
                <w:sz w:val="14"/>
              </w:rPr>
              <w:t>примени</w:t>
            </w:r>
            <w:r>
              <w:rPr>
                <w:color w:val="231F20"/>
                <w:spacing w:val="-6"/>
                <w:sz w:val="14"/>
              </w:rPr>
              <w:t xml:space="preserve"> </w:t>
            </w:r>
            <w:r>
              <w:rPr>
                <w:color w:val="231F20"/>
                <w:sz w:val="14"/>
              </w:rPr>
              <w:t>знања</w:t>
            </w:r>
            <w:r>
              <w:rPr>
                <w:color w:val="231F20"/>
                <w:spacing w:val="-6"/>
                <w:sz w:val="14"/>
              </w:rPr>
              <w:t xml:space="preserve"> </w:t>
            </w:r>
            <w:r>
              <w:rPr>
                <w:color w:val="231F20"/>
                <w:sz w:val="14"/>
              </w:rPr>
              <w:t>о</w:t>
            </w:r>
            <w:r>
              <w:rPr>
                <w:color w:val="231F20"/>
                <w:spacing w:val="-5"/>
                <w:sz w:val="14"/>
              </w:rPr>
              <w:t xml:space="preserve"> </w:t>
            </w:r>
            <w:r>
              <w:rPr>
                <w:color w:val="231F20"/>
                <w:sz w:val="14"/>
              </w:rPr>
              <w:t>изводима</w:t>
            </w:r>
            <w:r>
              <w:rPr>
                <w:color w:val="231F20"/>
                <w:spacing w:val="-5"/>
                <w:sz w:val="14"/>
              </w:rPr>
              <w:t xml:space="preserve"> </w:t>
            </w:r>
            <w:r>
              <w:rPr>
                <w:color w:val="231F20"/>
                <w:sz w:val="14"/>
              </w:rPr>
              <w:t>и</w:t>
            </w:r>
            <w:r>
              <w:rPr>
                <w:color w:val="231F20"/>
                <w:spacing w:val="-6"/>
                <w:sz w:val="14"/>
              </w:rPr>
              <w:t xml:space="preserve"> </w:t>
            </w:r>
            <w:r>
              <w:rPr>
                <w:color w:val="231F20"/>
                <w:sz w:val="14"/>
              </w:rPr>
              <w:t>интегра­ лима на решавање диференцијалних једначина;</w:t>
            </w:r>
          </w:p>
        </w:tc>
        <w:tc>
          <w:tcPr>
            <w:tcW w:w="2834" w:type="dxa"/>
            <w:vMerge w:val="restart"/>
          </w:tcPr>
          <w:p w:rsidR="00041039" w:rsidRDefault="001B26CB">
            <w:pPr>
              <w:pStyle w:val="TableParagraph"/>
              <w:numPr>
                <w:ilvl w:val="0"/>
                <w:numId w:val="151"/>
              </w:numPr>
              <w:tabs>
                <w:tab w:val="left" w:pos="157"/>
              </w:tabs>
              <w:spacing w:line="160" w:lineRule="exact"/>
              <w:ind w:hanging="99"/>
              <w:rPr>
                <w:sz w:val="14"/>
              </w:rPr>
            </w:pPr>
            <w:r>
              <w:rPr>
                <w:color w:val="231F20"/>
                <w:sz w:val="14"/>
              </w:rPr>
              <w:t>Појам диференцијалне</w:t>
            </w:r>
            <w:r>
              <w:rPr>
                <w:color w:val="231F20"/>
                <w:spacing w:val="-4"/>
                <w:sz w:val="14"/>
              </w:rPr>
              <w:t xml:space="preserve"> </w:t>
            </w:r>
            <w:r>
              <w:rPr>
                <w:color w:val="231F20"/>
                <w:sz w:val="14"/>
              </w:rPr>
              <w:t>једначине.</w:t>
            </w:r>
          </w:p>
          <w:p w:rsidR="00041039" w:rsidRDefault="001B26CB">
            <w:pPr>
              <w:pStyle w:val="TableParagraph"/>
              <w:numPr>
                <w:ilvl w:val="0"/>
                <w:numId w:val="151"/>
              </w:numPr>
              <w:tabs>
                <w:tab w:val="left" w:pos="157"/>
              </w:tabs>
              <w:spacing w:line="225" w:lineRule="auto"/>
              <w:ind w:right="235" w:hanging="99"/>
              <w:rPr>
                <w:sz w:val="14"/>
              </w:rPr>
            </w:pPr>
            <w:r>
              <w:rPr>
                <w:color w:val="231F20"/>
                <w:sz w:val="14"/>
              </w:rPr>
              <w:t>Диференцијална једначина која</w:t>
            </w:r>
            <w:r>
              <w:rPr>
                <w:color w:val="231F20"/>
                <w:spacing w:val="-23"/>
                <w:sz w:val="14"/>
              </w:rPr>
              <w:t xml:space="preserve"> </w:t>
            </w:r>
            <w:r>
              <w:rPr>
                <w:color w:val="231F20"/>
                <w:sz w:val="14"/>
              </w:rPr>
              <w:t>допушта раздвајање</w:t>
            </w:r>
            <w:r>
              <w:rPr>
                <w:color w:val="231F20"/>
                <w:spacing w:val="-1"/>
                <w:sz w:val="14"/>
              </w:rPr>
              <w:t xml:space="preserve"> </w:t>
            </w:r>
            <w:r>
              <w:rPr>
                <w:color w:val="231F20"/>
                <w:sz w:val="14"/>
              </w:rPr>
              <w:t>променљивих.</w:t>
            </w:r>
          </w:p>
          <w:p w:rsidR="00041039" w:rsidRDefault="001B26CB">
            <w:pPr>
              <w:pStyle w:val="TableParagraph"/>
              <w:numPr>
                <w:ilvl w:val="0"/>
                <w:numId w:val="151"/>
              </w:numPr>
              <w:tabs>
                <w:tab w:val="left" w:pos="157"/>
              </w:tabs>
              <w:spacing w:line="145" w:lineRule="exact"/>
              <w:ind w:hanging="99"/>
              <w:rPr>
                <w:sz w:val="14"/>
              </w:rPr>
            </w:pPr>
            <w:r>
              <w:rPr>
                <w:color w:val="231F20"/>
                <w:sz w:val="14"/>
              </w:rPr>
              <w:t>Хомогена диференцијална</w:t>
            </w:r>
            <w:r>
              <w:rPr>
                <w:color w:val="231F20"/>
                <w:spacing w:val="-24"/>
                <w:sz w:val="14"/>
              </w:rPr>
              <w:t xml:space="preserve"> </w:t>
            </w:r>
            <w:r>
              <w:rPr>
                <w:color w:val="231F20"/>
                <w:sz w:val="14"/>
              </w:rPr>
              <w:t>једначина.</w:t>
            </w:r>
          </w:p>
          <w:p w:rsidR="00041039" w:rsidRDefault="001B26CB">
            <w:pPr>
              <w:pStyle w:val="TableParagraph"/>
              <w:numPr>
                <w:ilvl w:val="0"/>
                <w:numId w:val="151"/>
              </w:numPr>
              <w:tabs>
                <w:tab w:val="left" w:pos="157"/>
              </w:tabs>
              <w:spacing w:line="152" w:lineRule="exact"/>
              <w:ind w:hanging="99"/>
              <w:rPr>
                <w:sz w:val="14"/>
              </w:rPr>
            </w:pPr>
            <w:r>
              <w:rPr>
                <w:color w:val="231F20"/>
                <w:sz w:val="14"/>
              </w:rPr>
              <w:t>Линеарна диференцијална</w:t>
            </w:r>
            <w:r>
              <w:rPr>
                <w:color w:val="231F20"/>
                <w:spacing w:val="-12"/>
                <w:sz w:val="14"/>
              </w:rPr>
              <w:t xml:space="preserve"> </w:t>
            </w:r>
            <w:r>
              <w:rPr>
                <w:color w:val="231F20"/>
                <w:sz w:val="14"/>
              </w:rPr>
              <w:t>једначина.</w:t>
            </w:r>
          </w:p>
          <w:p w:rsidR="00041039" w:rsidRDefault="001B26CB">
            <w:pPr>
              <w:pStyle w:val="TableParagraph"/>
              <w:numPr>
                <w:ilvl w:val="0"/>
                <w:numId w:val="151"/>
              </w:numPr>
              <w:tabs>
                <w:tab w:val="left" w:pos="157"/>
              </w:tabs>
              <w:spacing w:line="152" w:lineRule="exact"/>
              <w:ind w:hanging="99"/>
              <w:rPr>
                <w:sz w:val="14"/>
              </w:rPr>
            </w:pPr>
            <w:r>
              <w:rPr>
                <w:color w:val="231F20"/>
                <w:sz w:val="14"/>
              </w:rPr>
              <w:t>Бернулијева диференцијална</w:t>
            </w:r>
            <w:r>
              <w:rPr>
                <w:color w:val="231F20"/>
                <w:spacing w:val="-27"/>
                <w:sz w:val="14"/>
              </w:rPr>
              <w:t xml:space="preserve"> </w:t>
            </w:r>
            <w:r>
              <w:rPr>
                <w:color w:val="231F20"/>
                <w:sz w:val="14"/>
              </w:rPr>
              <w:t>једначина.</w:t>
            </w:r>
          </w:p>
          <w:p w:rsidR="00041039" w:rsidRDefault="001B26CB">
            <w:pPr>
              <w:pStyle w:val="TableParagraph"/>
              <w:numPr>
                <w:ilvl w:val="0"/>
                <w:numId w:val="151"/>
              </w:numPr>
              <w:tabs>
                <w:tab w:val="left" w:pos="157"/>
              </w:tabs>
              <w:spacing w:line="162" w:lineRule="exact"/>
              <w:ind w:hanging="99"/>
              <w:rPr>
                <w:sz w:val="14"/>
              </w:rPr>
            </w:pPr>
            <w:r>
              <w:rPr>
                <w:color w:val="231F20"/>
                <w:sz w:val="14"/>
              </w:rPr>
              <w:t>Диференцијална</w:t>
            </w:r>
            <w:r>
              <w:rPr>
                <w:color w:val="231F20"/>
                <w:spacing w:val="-10"/>
                <w:sz w:val="14"/>
              </w:rPr>
              <w:t xml:space="preserve"> </w:t>
            </w:r>
            <w:r>
              <w:rPr>
                <w:color w:val="231F20"/>
                <w:sz w:val="14"/>
              </w:rPr>
              <w:t>једначина</w:t>
            </w:r>
            <w:r>
              <w:rPr>
                <w:color w:val="231F20"/>
                <w:spacing w:val="-10"/>
                <w:sz w:val="14"/>
              </w:rPr>
              <w:t xml:space="preserve"> </w:t>
            </w:r>
            <w:r>
              <w:rPr>
                <w:color w:val="231F20"/>
                <w:sz w:val="14"/>
              </w:rPr>
              <w:t>другог</w:t>
            </w:r>
            <w:r>
              <w:rPr>
                <w:color w:val="231F20"/>
                <w:spacing w:val="-10"/>
                <w:sz w:val="14"/>
              </w:rPr>
              <w:t xml:space="preserve"> </w:t>
            </w:r>
            <w:r>
              <w:rPr>
                <w:color w:val="231F20"/>
                <w:sz w:val="14"/>
              </w:rPr>
              <w:t>реда.</w:t>
            </w:r>
          </w:p>
        </w:tc>
        <w:tc>
          <w:tcPr>
            <w:tcW w:w="2267" w:type="dxa"/>
            <w:vMerge/>
            <w:tcBorders>
              <w:top w:val="nil"/>
              <w:bottom w:val="nil"/>
            </w:tcBorders>
          </w:tcPr>
          <w:p w:rsidR="00041039" w:rsidRDefault="00041039">
            <w:pPr>
              <w:rPr>
                <w:sz w:val="2"/>
                <w:szCs w:val="2"/>
              </w:rPr>
            </w:pPr>
          </w:p>
        </w:tc>
      </w:tr>
      <w:tr w:rsidR="00041039">
        <w:trPr>
          <w:trHeight w:val="151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63" w:line="151" w:lineRule="exact"/>
              <w:ind w:left="58"/>
              <w:rPr>
                <w:b/>
                <w:sz w:val="14"/>
              </w:rPr>
            </w:pPr>
            <w:r>
              <w:rPr>
                <w:b/>
                <w:color w:val="231F20"/>
                <w:sz w:val="14"/>
              </w:rPr>
              <w:t>Оквирни број часова по темама</w:t>
            </w:r>
          </w:p>
          <w:p w:rsidR="00041039" w:rsidRDefault="001B26CB">
            <w:pPr>
              <w:pStyle w:val="TableParagraph"/>
              <w:numPr>
                <w:ilvl w:val="0"/>
                <w:numId w:val="150"/>
              </w:numPr>
              <w:tabs>
                <w:tab w:val="left" w:pos="158"/>
              </w:tabs>
              <w:spacing w:line="225" w:lineRule="auto"/>
              <w:ind w:right="244" w:hanging="99"/>
              <w:jc w:val="both"/>
              <w:rPr>
                <w:b/>
                <w:sz w:val="14"/>
              </w:rPr>
            </w:pPr>
            <w:r>
              <w:rPr>
                <w:color w:val="231F20"/>
                <w:sz w:val="14"/>
              </w:rPr>
              <w:t>Експоненцијалне и логаритам­ ске</w:t>
            </w:r>
            <w:r>
              <w:rPr>
                <w:color w:val="231F20"/>
                <w:spacing w:val="-10"/>
                <w:sz w:val="14"/>
              </w:rPr>
              <w:t xml:space="preserve"> </w:t>
            </w:r>
            <w:r>
              <w:rPr>
                <w:color w:val="231F20"/>
                <w:sz w:val="14"/>
              </w:rPr>
              <w:t>једначине</w:t>
            </w:r>
            <w:r>
              <w:rPr>
                <w:color w:val="231F20"/>
                <w:spacing w:val="-10"/>
                <w:sz w:val="14"/>
              </w:rPr>
              <w:t xml:space="preserve"> </w:t>
            </w:r>
            <w:r>
              <w:rPr>
                <w:color w:val="231F20"/>
                <w:sz w:val="14"/>
              </w:rPr>
              <w:t>и</w:t>
            </w:r>
            <w:r>
              <w:rPr>
                <w:color w:val="231F20"/>
                <w:spacing w:val="-11"/>
                <w:sz w:val="14"/>
              </w:rPr>
              <w:t xml:space="preserve"> </w:t>
            </w:r>
            <w:r>
              <w:rPr>
                <w:color w:val="231F20"/>
                <w:sz w:val="14"/>
              </w:rPr>
              <w:t>неједначине</w:t>
            </w:r>
            <w:r>
              <w:rPr>
                <w:b/>
                <w:color w:val="231F20"/>
                <w:sz w:val="14"/>
              </w:rPr>
              <w:t>(11 часова)</w:t>
            </w:r>
          </w:p>
          <w:p w:rsidR="00041039" w:rsidRDefault="001B26CB">
            <w:pPr>
              <w:pStyle w:val="TableParagraph"/>
              <w:numPr>
                <w:ilvl w:val="0"/>
                <w:numId w:val="150"/>
              </w:numPr>
              <w:tabs>
                <w:tab w:val="left" w:pos="158"/>
              </w:tabs>
              <w:spacing w:line="146" w:lineRule="exact"/>
              <w:ind w:hanging="99"/>
              <w:rPr>
                <w:b/>
                <w:sz w:val="14"/>
              </w:rPr>
            </w:pPr>
            <w:r>
              <w:rPr>
                <w:color w:val="231F20"/>
                <w:sz w:val="14"/>
              </w:rPr>
              <w:t>Комбинаторика</w:t>
            </w:r>
            <w:r>
              <w:rPr>
                <w:b/>
                <w:color w:val="231F20"/>
                <w:sz w:val="14"/>
              </w:rPr>
              <w:t>(13</w:t>
            </w:r>
            <w:r>
              <w:rPr>
                <w:b/>
                <w:color w:val="231F20"/>
                <w:spacing w:val="-3"/>
                <w:sz w:val="14"/>
              </w:rPr>
              <w:t xml:space="preserve"> </w:t>
            </w:r>
            <w:r>
              <w:rPr>
                <w:b/>
                <w:color w:val="231F20"/>
                <w:sz w:val="14"/>
              </w:rPr>
              <w:t>часова)</w:t>
            </w:r>
          </w:p>
          <w:p w:rsidR="00041039" w:rsidRDefault="001B26CB">
            <w:pPr>
              <w:pStyle w:val="TableParagraph"/>
              <w:numPr>
                <w:ilvl w:val="0"/>
                <w:numId w:val="150"/>
              </w:numPr>
              <w:tabs>
                <w:tab w:val="left" w:pos="158"/>
              </w:tabs>
              <w:spacing w:line="225" w:lineRule="auto"/>
              <w:ind w:right="363" w:hanging="99"/>
              <w:rPr>
                <w:b/>
                <w:sz w:val="14"/>
              </w:rPr>
            </w:pPr>
            <w:r>
              <w:rPr>
                <w:color w:val="231F20"/>
                <w:sz w:val="14"/>
              </w:rPr>
              <w:t>Вероватноћа и</w:t>
            </w:r>
            <w:r>
              <w:rPr>
                <w:color w:val="231F20"/>
                <w:spacing w:val="-15"/>
                <w:sz w:val="14"/>
              </w:rPr>
              <w:t xml:space="preserve"> </w:t>
            </w:r>
            <w:r>
              <w:rPr>
                <w:color w:val="231F20"/>
                <w:sz w:val="14"/>
              </w:rPr>
              <w:t>статистика</w:t>
            </w:r>
            <w:r>
              <w:rPr>
                <w:b/>
                <w:color w:val="231F20"/>
                <w:sz w:val="14"/>
              </w:rPr>
              <w:t>(20 часова)</w:t>
            </w:r>
          </w:p>
          <w:p w:rsidR="00041039" w:rsidRDefault="001B26CB">
            <w:pPr>
              <w:pStyle w:val="TableParagraph"/>
              <w:numPr>
                <w:ilvl w:val="0"/>
                <w:numId w:val="150"/>
              </w:numPr>
              <w:tabs>
                <w:tab w:val="left" w:pos="158"/>
              </w:tabs>
              <w:spacing w:line="225" w:lineRule="auto"/>
              <w:ind w:right="267" w:hanging="99"/>
              <w:rPr>
                <w:b/>
                <w:sz w:val="14"/>
              </w:rPr>
            </w:pPr>
            <w:r>
              <w:rPr>
                <w:color w:val="231F20"/>
                <w:sz w:val="14"/>
              </w:rPr>
              <w:t>Диференцијалне једначине</w:t>
            </w:r>
            <w:r>
              <w:rPr>
                <w:color w:val="231F20"/>
                <w:spacing w:val="-17"/>
                <w:sz w:val="14"/>
              </w:rPr>
              <w:t xml:space="preserve"> </w:t>
            </w:r>
            <w:r>
              <w:rPr>
                <w:b/>
                <w:color w:val="231F20"/>
                <w:sz w:val="14"/>
              </w:rPr>
              <w:t>(12 часова)</w:t>
            </w:r>
          </w:p>
        </w:tc>
      </w:tr>
      <w:tr w:rsidR="00041039">
        <w:trPr>
          <w:trHeight w:val="394"/>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line="225" w:lineRule="auto"/>
              <w:ind w:left="58"/>
              <w:rPr>
                <w:sz w:val="14"/>
              </w:rPr>
            </w:pPr>
            <w:r>
              <w:rPr>
                <w:color w:val="231F20"/>
                <w:sz w:val="14"/>
              </w:rPr>
              <w:t>За реализацију 4 писмена задатка са исправкама планирано је 8 часова.</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Математика</w:t>
      </w:r>
    </w:p>
    <w:p w:rsidR="00041039" w:rsidRDefault="001B26CB">
      <w:pPr>
        <w:pStyle w:val="ListParagraph"/>
        <w:numPr>
          <w:ilvl w:val="0"/>
          <w:numId w:val="1"/>
        </w:numPr>
        <w:tabs>
          <w:tab w:val="left" w:pos="633"/>
        </w:tabs>
        <w:spacing w:line="203" w:lineRule="exact"/>
        <w:rPr>
          <w:sz w:val="18"/>
        </w:rPr>
      </w:pPr>
      <w:r>
        <w:rPr>
          <w:color w:val="231F20"/>
          <w:sz w:val="18"/>
        </w:rPr>
        <w:t>Физика</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ИСТОРИЈА </w:t>
      </w:r>
      <w:r>
        <w:rPr>
          <w:b/>
          <w:color w:val="231F20"/>
          <w:spacing w:val="-3"/>
          <w:sz w:val="14"/>
        </w:rPr>
        <w:t>(ОДАБРАНЕ</w:t>
      </w:r>
      <w:r>
        <w:rPr>
          <w:b/>
          <w:color w:val="231F20"/>
          <w:spacing w:val="-2"/>
          <w:sz w:val="14"/>
        </w:rPr>
        <w:t xml:space="preserve"> </w:t>
      </w:r>
      <w:r>
        <w:rPr>
          <w:b/>
          <w:color w:val="231F20"/>
          <w:sz w:val="14"/>
        </w:rPr>
        <w:t>ТЕМЕ)</w:t>
      </w:r>
    </w:p>
    <w:p w:rsidR="00041039" w:rsidRDefault="001B26CB">
      <w:pPr>
        <w:pStyle w:val="BodyText"/>
        <w:spacing w:before="50" w:line="161" w:lineRule="exact"/>
        <w:ind w:left="157"/>
      </w:pPr>
      <w:r>
        <w:rPr>
          <w:color w:val="231F20"/>
        </w:rPr>
        <w:t>Циљеви предмета: – Стицање хуманистичког образовања и развијање историјске свести;</w:t>
      </w:r>
    </w:p>
    <w:p w:rsidR="00041039" w:rsidRDefault="001B26CB">
      <w:pPr>
        <w:pStyle w:val="ListParagraph"/>
        <w:numPr>
          <w:ilvl w:val="1"/>
          <w:numId w:val="1"/>
        </w:numPr>
        <w:tabs>
          <w:tab w:val="left" w:pos="1566"/>
        </w:tabs>
        <w:spacing w:line="160" w:lineRule="exact"/>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7"/>
          <w:sz w:val="14"/>
        </w:rPr>
        <w:t xml:space="preserve"> </w:t>
      </w:r>
      <w:r>
        <w:rPr>
          <w:color w:val="231F20"/>
          <w:sz w:val="14"/>
        </w:rPr>
        <w:t>личности;</w:t>
      </w:r>
    </w:p>
    <w:p w:rsidR="00041039" w:rsidRDefault="001B26CB">
      <w:pPr>
        <w:pStyle w:val="ListParagraph"/>
        <w:numPr>
          <w:ilvl w:val="1"/>
          <w:numId w:val="1"/>
        </w:numPr>
        <w:tabs>
          <w:tab w:val="left" w:pos="1566"/>
        </w:tabs>
        <w:spacing w:line="160" w:lineRule="exact"/>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041039" w:rsidRDefault="001B26CB">
      <w:pPr>
        <w:pStyle w:val="ListParagraph"/>
        <w:numPr>
          <w:ilvl w:val="1"/>
          <w:numId w:val="1"/>
        </w:numPr>
        <w:tabs>
          <w:tab w:val="left" w:pos="1566"/>
        </w:tabs>
        <w:spacing w:line="240" w:lineRule="auto"/>
        <w:ind w:right="255"/>
        <w:rPr>
          <w:sz w:val="14"/>
        </w:rPr>
      </w:pPr>
      <w:r>
        <w:rPr>
          <w:color w:val="231F20"/>
          <w:sz w:val="14"/>
        </w:rPr>
        <w:t>Стицање</w:t>
      </w:r>
      <w:r>
        <w:rPr>
          <w:color w:val="231F20"/>
          <w:spacing w:val="-4"/>
          <w:sz w:val="14"/>
        </w:rPr>
        <w:t xml:space="preserve"> </w:t>
      </w:r>
      <w:r>
        <w:rPr>
          <w:color w:val="231F20"/>
          <w:sz w:val="14"/>
        </w:rPr>
        <w:t>и</w:t>
      </w:r>
      <w:r>
        <w:rPr>
          <w:color w:val="231F20"/>
          <w:spacing w:val="-5"/>
          <w:sz w:val="14"/>
        </w:rPr>
        <w:t xml:space="preserve"> </w:t>
      </w:r>
      <w:r>
        <w:rPr>
          <w:color w:val="231F20"/>
          <w:sz w:val="14"/>
        </w:rPr>
        <w:t>проширивање</w:t>
      </w:r>
      <w:r>
        <w:rPr>
          <w:color w:val="231F20"/>
          <w:spacing w:val="-4"/>
          <w:sz w:val="14"/>
        </w:rPr>
        <w:t xml:space="preserve"> </w:t>
      </w:r>
      <w:r>
        <w:rPr>
          <w:color w:val="231F20"/>
          <w:sz w:val="14"/>
        </w:rPr>
        <w:t>знања,</w:t>
      </w:r>
      <w:r>
        <w:rPr>
          <w:color w:val="231F20"/>
          <w:spacing w:val="-5"/>
          <w:sz w:val="14"/>
        </w:rPr>
        <w:t xml:space="preserve"> </w:t>
      </w:r>
      <w:r>
        <w:rPr>
          <w:color w:val="231F20"/>
          <w:sz w:val="14"/>
        </w:rPr>
        <w:t>развијање</w:t>
      </w:r>
      <w:r>
        <w:rPr>
          <w:color w:val="231F20"/>
          <w:spacing w:val="-4"/>
          <w:sz w:val="14"/>
        </w:rPr>
        <w:t xml:space="preserve"> </w:t>
      </w:r>
      <w:r>
        <w:rPr>
          <w:color w:val="231F20"/>
          <w:sz w:val="14"/>
        </w:rPr>
        <w:t>вештина</w:t>
      </w:r>
      <w:r>
        <w:rPr>
          <w:color w:val="231F20"/>
          <w:spacing w:val="-4"/>
          <w:sz w:val="14"/>
        </w:rPr>
        <w:t xml:space="preserve"> </w:t>
      </w:r>
      <w:r>
        <w:rPr>
          <w:color w:val="231F20"/>
          <w:sz w:val="14"/>
        </w:rPr>
        <w:t>и</w:t>
      </w:r>
      <w:r>
        <w:rPr>
          <w:color w:val="231F20"/>
          <w:spacing w:val="-5"/>
          <w:sz w:val="14"/>
        </w:rPr>
        <w:t xml:space="preserve"> </w:t>
      </w:r>
      <w:r>
        <w:rPr>
          <w:color w:val="231F20"/>
          <w:sz w:val="14"/>
        </w:rPr>
        <w:t>формирање</w:t>
      </w:r>
      <w:r>
        <w:rPr>
          <w:color w:val="231F20"/>
          <w:spacing w:val="-4"/>
          <w:sz w:val="14"/>
        </w:rPr>
        <w:t xml:space="preserve"> </w:t>
      </w:r>
      <w:r>
        <w:rPr>
          <w:color w:val="231F20"/>
          <w:sz w:val="14"/>
        </w:rPr>
        <w:t>ставова</w:t>
      </w:r>
      <w:r>
        <w:rPr>
          <w:color w:val="231F20"/>
          <w:spacing w:val="-4"/>
          <w:sz w:val="14"/>
        </w:rPr>
        <w:t xml:space="preserve"> </w:t>
      </w:r>
      <w:r>
        <w:rPr>
          <w:color w:val="231F20"/>
          <w:sz w:val="14"/>
        </w:rPr>
        <w:t>неопходних</w:t>
      </w:r>
      <w:r>
        <w:rPr>
          <w:color w:val="231F20"/>
          <w:spacing w:val="-4"/>
          <w:sz w:val="14"/>
        </w:rPr>
        <w:t xml:space="preserve"> </w:t>
      </w:r>
      <w:r>
        <w:rPr>
          <w:color w:val="231F20"/>
          <w:sz w:val="14"/>
        </w:rPr>
        <w:t>за</w:t>
      </w:r>
      <w:r>
        <w:rPr>
          <w:color w:val="231F20"/>
          <w:spacing w:val="-5"/>
          <w:sz w:val="14"/>
        </w:rPr>
        <w:t xml:space="preserve"> </w:t>
      </w:r>
      <w:r>
        <w:rPr>
          <w:color w:val="231F20"/>
          <w:sz w:val="14"/>
        </w:rPr>
        <w:t>разумевање</w:t>
      </w:r>
      <w:r>
        <w:rPr>
          <w:color w:val="231F20"/>
          <w:spacing w:val="-4"/>
          <w:sz w:val="14"/>
        </w:rPr>
        <w:t xml:space="preserve"> </w:t>
      </w:r>
      <w:r>
        <w:rPr>
          <w:color w:val="231F20"/>
          <w:sz w:val="14"/>
        </w:rPr>
        <w:t>савременог</w:t>
      </w:r>
      <w:r>
        <w:rPr>
          <w:color w:val="231F20"/>
          <w:spacing w:val="-4"/>
          <w:sz w:val="14"/>
        </w:rPr>
        <w:t xml:space="preserve"> </w:t>
      </w:r>
      <w:r>
        <w:rPr>
          <w:color w:val="231F20"/>
          <w:sz w:val="14"/>
        </w:rPr>
        <w:t>света</w:t>
      </w:r>
      <w:r>
        <w:rPr>
          <w:color w:val="231F20"/>
          <w:spacing w:val="-4"/>
          <w:sz w:val="14"/>
        </w:rPr>
        <w:t xml:space="preserve"> </w:t>
      </w:r>
      <w:r>
        <w:rPr>
          <w:color w:val="231F20"/>
          <w:sz w:val="14"/>
        </w:rPr>
        <w:t>(у</w:t>
      </w:r>
      <w:r>
        <w:rPr>
          <w:color w:val="231F20"/>
          <w:spacing w:val="-4"/>
          <w:sz w:val="14"/>
        </w:rPr>
        <w:t xml:space="preserve"> </w:t>
      </w:r>
      <w:r>
        <w:rPr>
          <w:color w:val="231F20"/>
          <w:sz w:val="14"/>
        </w:rPr>
        <w:t>националном,</w:t>
      </w:r>
      <w:r>
        <w:rPr>
          <w:color w:val="231F20"/>
          <w:spacing w:val="-4"/>
          <w:sz w:val="14"/>
        </w:rPr>
        <w:t xml:space="preserve"> </w:t>
      </w:r>
      <w:r>
        <w:rPr>
          <w:color w:val="231F20"/>
          <w:sz w:val="14"/>
        </w:rPr>
        <w:t>регионалном, европском и глобалном</w:t>
      </w:r>
      <w:r>
        <w:rPr>
          <w:color w:val="231F20"/>
          <w:spacing w:val="-2"/>
          <w:sz w:val="14"/>
        </w:rPr>
        <w:t xml:space="preserve"> </w:t>
      </w:r>
      <w:r>
        <w:rPr>
          <w:color w:val="231F20"/>
          <w:sz w:val="14"/>
        </w:rPr>
        <w:t>оквиру);</w:t>
      </w:r>
    </w:p>
    <w:p w:rsidR="00041039" w:rsidRDefault="001B26CB">
      <w:pPr>
        <w:pStyle w:val="ListParagraph"/>
        <w:numPr>
          <w:ilvl w:val="1"/>
          <w:numId w:val="1"/>
        </w:numPr>
        <w:tabs>
          <w:tab w:val="left" w:pos="1566"/>
        </w:tabs>
        <w:spacing w:line="240" w:lineRule="auto"/>
        <w:ind w:right="459"/>
        <w:rPr>
          <w:sz w:val="14"/>
        </w:rPr>
      </w:pPr>
      <w:r>
        <w:rPr>
          <w:color w:val="231F20"/>
          <w:sz w:val="14"/>
        </w:rPr>
        <w:t>Унапређивање функционалних вештина и компетенција неопходних за живот у савременом друштву (истраживачких вештина, критичког и креа­ тивног</w:t>
      </w:r>
      <w:r>
        <w:rPr>
          <w:color w:val="231F20"/>
          <w:spacing w:val="-5"/>
          <w:sz w:val="14"/>
        </w:rPr>
        <w:t xml:space="preserve"> </w:t>
      </w:r>
      <w:r>
        <w:rPr>
          <w:color w:val="231F20"/>
          <w:sz w:val="14"/>
        </w:rPr>
        <w:t>мишљења,</w:t>
      </w:r>
      <w:r>
        <w:rPr>
          <w:color w:val="231F20"/>
          <w:spacing w:val="-5"/>
          <w:sz w:val="14"/>
        </w:rPr>
        <w:t xml:space="preserve"> </w:t>
      </w:r>
      <w:r>
        <w:rPr>
          <w:color w:val="231F20"/>
          <w:sz w:val="14"/>
        </w:rPr>
        <w:t>способности</w:t>
      </w:r>
      <w:r>
        <w:rPr>
          <w:color w:val="231F20"/>
          <w:spacing w:val="-5"/>
          <w:sz w:val="14"/>
        </w:rPr>
        <w:t xml:space="preserve"> </w:t>
      </w:r>
      <w:r>
        <w:rPr>
          <w:color w:val="231F20"/>
          <w:sz w:val="14"/>
        </w:rPr>
        <w:t>изражавања</w:t>
      </w:r>
      <w:r>
        <w:rPr>
          <w:color w:val="231F20"/>
          <w:spacing w:val="-5"/>
          <w:sz w:val="14"/>
        </w:rPr>
        <w:t xml:space="preserve"> </w:t>
      </w:r>
      <w:r>
        <w:rPr>
          <w:color w:val="231F20"/>
          <w:sz w:val="14"/>
        </w:rPr>
        <w:t>и</w:t>
      </w:r>
      <w:r>
        <w:rPr>
          <w:color w:val="231F20"/>
          <w:spacing w:val="-6"/>
          <w:sz w:val="14"/>
        </w:rPr>
        <w:t xml:space="preserve"> </w:t>
      </w:r>
      <w:r>
        <w:rPr>
          <w:color w:val="231F20"/>
          <w:sz w:val="14"/>
        </w:rPr>
        <w:t>образ</w:t>
      </w:r>
      <w:r>
        <w:rPr>
          <w:color w:val="231F20"/>
          <w:sz w:val="14"/>
        </w:rPr>
        <w:t>лагања</w:t>
      </w:r>
      <w:r>
        <w:rPr>
          <w:color w:val="231F20"/>
          <w:spacing w:val="-5"/>
          <w:sz w:val="14"/>
        </w:rPr>
        <w:t xml:space="preserve"> </w:t>
      </w:r>
      <w:r>
        <w:rPr>
          <w:color w:val="231F20"/>
          <w:sz w:val="14"/>
        </w:rPr>
        <w:t>сопствених</w:t>
      </w:r>
      <w:r>
        <w:rPr>
          <w:color w:val="231F20"/>
          <w:spacing w:val="-5"/>
          <w:sz w:val="14"/>
        </w:rPr>
        <w:t xml:space="preserve"> </w:t>
      </w:r>
      <w:r>
        <w:rPr>
          <w:color w:val="231F20"/>
          <w:sz w:val="14"/>
        </w:rPr>
        <w:t>ставова,</w:t>
      </w:r>
      <w:r>
        <w:rPr>
          <w:color w:val="231F20"/>
          <w:spacing w:val="-5"/>
          <w:sz w:val="14"/>
        </w:rPr>
        <w:t xml:space="preserve"> </w:t>
      </w:r>
      <w:r>
        <w:rPr>
          <w:color w:val="231F20"/>
          <w:sz w:val="14"/>
        </w:rPr>
        <w:t>разумевања</w:t>
      </w:r>
      <w:r>
        <w:rPr>
          <w:color w:val="231F20"/>
          <w:spacing w:val="-5"/>
          <w:sz w:val="14"/>
        </w:rPr>
        <w:t xml:space="preserve"> </w:t>
      </w:r>
      <w:r>
        <w:rPr>
          <w:color w:val="231F20"/>
          <w:sz w:val="14"/>
        </w:rPr>
        <w:t>мултикултуралности,</w:t>
      </w:r>
      <w:r>
        <w:rPr>
          <w:color w:val="231F20"/>
          <w:spacing w:val="-5"/>
          <w:sz w:val="14"/>
        </w:rPr>
        <w:t xml:space="preserve"> </w:t>
      </w:r>
      <w:r>
        <w:rPr>
          <w:color w:val="231F20"/>
          <w:sz w:val="14"/>
        </w:rPr>
        <w:t>развијање</w:t>
      </w:r>
      <w:r>
        <w:rPr>
          <w:color w:val="231F20"/>
          <w:spacing w:val="-5"/>
          <w:sz w:val="14"/>
        </w:rPr>
        <w:t xml:space="preserve"> </w:t>
      </w:r>
      <w:r>
        <w:rPr>
          <w:color w:val="231F20"/>
          <w:sz w:val="14"/>
        </w:rPr>
        <w:t>толеранције</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културе аргументованог</w:t>
      </w:r>
      <w:r>
        <w:rPr>
          <w:color w:val="231F20"/>
          <w:spacing w:val="-1"/>
          <w:sz w:val="14"/>
        </w:rPr>
        <w:t xml:space="preserve"> </w:t>
      </w:r>
      <w:r>
        <w:rPr>
          <w:color w:val="231F20"/>
          <w:sz w:val="14"/>
        </w:rPr>
        <w:t>дијалога);</w:t>
      </w:r>
    </w:p>
    <w:p w:rsidR="00041039" w:rsidRDefault="001B26CB">
      <w:pPr>
        <w:pStyle w:val="ListParagraph"/>
        <w:numPr>
          <w:ilvl w:val="1"/>
          <w:numId w:val="1"/>
        </w:numPr>
        <w:tabs>
          <w:tab w:val="left" w:pos="1566"/>
        </w:tabs>
        <w:spacing w:line="158" w:lineRule="exact"/>
        <w:rPr>
          <w:sz w:val="14"/>
        </w:rPr>
      </w:pPr>
      <w:r>
        <w:rPr>
          <w:color w:val="231F20"/>
          <w:sz w:val="14"/>
        </w:rPr>
        <w:t>Оспособљавање за ефикасно коришћење информационо ­ комуникационих</w:t>
      </w:r>
      <w:r>
        <w:rPr>
          <w:color w:val="231F20"/>
          <w:spacing w:val="-5"/>
          <w:sz w:val="14"/>
        </w:rPr>
        <w:t xml:space="preserve"> </w:t>
      </w:r>
      <w:r>
        <w:rPr>
          <w:color w:val="231F20"/>
          <w:sz w:val="14"/>
        </w:rPr>
        <w:t>технологија;</w:t>
      </w:r>
    </w:p>
    <w:p w:rsidR="00041039" w:rsidRDefault="001B26CB">
      <w:pPr>
        <w:pStyle w:val="ListParagraph"/>
        <w:numPr>
          <w:ilvl w:val="1"/>
          <w:numId w:val="1"/>
        </w:numPr>
        <w:tabs>
          <w:tab w:val="left" w:pos="1566"/>
        </w:tabs>
        <w:spacing w:line="161" w:lineRule="exact"/>
        <w:rPr>
          <w:sz w:val="14"/>
        </w:rPr>
      </w:pPr>
      <w:r>
        <w:rPr>
          <w:color w:val="231F20"/>
          <w:sz w:val="14"/>
        </w:rPr>
        <w:t>Развијање свести о потреби сталног усавршавања и свести о важ</w:t>
      </w:r>
      <w:r>
        <w:rPr>
          <w:color w:val="231F20"/>
          <w:sz w:val="14"/>
        </w:rPr>
        <w:t>ности неговања културно­историјске</w:t>
      </w:r>
      <w:r>
        <w:rPr>
          <w:color w:val="231F20"/>
          <w:spacing w:val="-9"/>
          <w:sz w:val="14"/>
        </w:rPr>
        <w:t xml:space="preserve"> </w:t>
      </w:r>
      <w:r>
        <w:rPr>
          <w:color w:val="231F20"/>
          <w:sz w:val="14"/>
        </w:rPr>
        <w:t>баштине.</w:t>
      </w:r>
    </w:p>
    <w:p w:rsidR="00041039" w:rsidRDefault="001B26CB">
      <w:pPr>
        <w:tabs>
          <w:tab w:val="left" w:pos="1460"/>
        </w:tabs>
        <w:spacing w:before="47"/>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3"/>
        <w:rPr>
          <w:b/>
          <w:sz w:val="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936"/>
        </w:trPr>
        <w:tc>
          <w:tcPr>
            <w:tcW w:w="1304" w:type="dxa"/>
          </w:tcPr>
          <w:p w:rsidR="00041039" w:rsidRDefault="001B26CB">
            <w:pPr>
              <w:pStyle w:val="TableParagraph"/>
              <w:spacing w:before="26" w:line="225" w:lineRule="auto"/>
              <w:ind w:left="56" w:right="143"/>
              <w:rPr>
                <w:sz w:val="14"/>
              </w:rPr>
            </w:pPr>
            <w:r>
              <w:rPr>
                <w:color w:val="231F20"/>
                <w:sz w:val="14"/>
              </w:rPr>
              <w:t>Село и град некад и сад</w:t>
            </w:r>
          </w:p>
        </w:tc>
        <w:tc>
          <w:tcPr>
            <w:tcW w:w="1587" w:type="dxa"/>
          </w:tcPr>
          <w:p w:rsidR="00041039" w:rsidRDefault="001B26CB">
            <w:pPr>
              <w:pStyle w:val="TableParagraph"/>
              <w:numPr>
                <w:ilvl w:val="0"/>
                <w:numId w:val="149"/>
              </w:numPr>
              <w:tabs>
                <w:tab w:val="left" w:pos="157"/>
              </w:tabs>
              <w:spacing w:before="16" w:line="225" w:lineRule="auto"/>
              <w:ind w:right="90"/>
              <w:rPr>
                <w:sz w:val="14"/>
              </w:rPr>
            </w:pPr>
            <w:r>
              <w:rPr>
                <w:color w:val="231F20"/>
                <w:sz w:val="14"/>
              </w:rPr>
              <w:t>Проширивање знања о променама у начину живота градског и сеоског</w:t>
            </w:r>
            <w:r>
              <w:rPr>
                <w:color w:val="231F20"/>
                <w:spacing w:val="-5"/>
                <w:sz w:val="14"/>
              </w:rPr>
              <w:t xml:space="preserve"> </w:t>
            </w:r>
            <w:r>
              <w:rPr>
                <w:color w:val="231F20"/>
                <w:sz w:val="14"/>
              </w:rPr>
              <w:t>становништва кроз</w:t>
            </w:r>
            <w:r>
              <w:rPr>
                <w:color w:val="231F20"/>
                <w:spacing w:val="-2"/>
                <w:sz w:val="14"/>
              </w:rPr>
              <w:t xml:space="preserve"> </w:t>
            </w:r>
            <w:r>
              <w:rPr>
                <w:color w:val="231F20"/>
                <w:sz w:val="14"/>
              </w:rPr>
              <w:t>историју.</w:t>
            </w:r>
          </w:p>
          <w:p w:rsidR="00041039" w:rsidRDefault="001B26CB">
            <w:pPr>
              <w:pStyle w:val="TableParagraph"/>
              <w:numPr>
                <w:ilvl w:val="0"/>
                <w:numId w:val="149"/>
              </w:numPr>
              <w:tabs>
                <w:tab w:val="left" w:pos="157"/>
              </w:tabs>
              <w:spacing w:line="225" w:lineRule="auto"/>
              <w:ind w:right="187"/>
              <w:rPr>
                <w:sz w:val="14"/>
              </w:rPr>
            </w:pPr>
            <w:r>
              <w:rPr>
                <w:color w:val="231F20"/>
                <w:spacing w:val="-3"/>
                <w:sz w:val="14"/>
              </w:rPr>
              <w:t xml:space="preserve">Уочавање </w:t>
            </w:r>
            <w:r>
              <w:rPr>
                <w:color w:val="231F20"/>
                <w:sz w:val="14"/>
              </w:rPr>
              <w:t>сличности и разлика у животу градског и сеоског становништва кроз историју.</w:t>
            </w:r>
          </w:p>
          <w:p w:rsidR="00041039" w:rsidRDefault="001B26CB">
            <w:pPr>
              <w:pStyle w:val="TableParagraph"/>
              <w:numPr>
                <w:ilvl w:val="0"/>
                <w:numId w:val="149"/>
              </w:numPr>
              <w:tabs>
                <w:tab w:val="left" w:pos="157"/>
              </w:tabs>
              <w:spacing w:line="225" w:lineRule="auto"/>
              <w:ind w:right="44"/>
              <w:rPr>
                <w:sz w:val="14"/>
              </w:rPr>
            </w:pPr>
            <w:r>
              <w:rPr>
                <w:color w:val="231F20"/>
                <w:sz w:val="14"/>
              </w:rPr>
              <w:t>Разумевање односа села и града у прошло­ сти и</w:t>
            </w:r>
            <w:r>
              <w:rPr>
                <w:color w:val="231F20"/>
                <w:spacing w:val="-1"/>
                <w:sz w:val="14"/>
              </w:rPr>
              <w:t xml:space="preserve"> </w:t>
            </w:r>
            <w:r>
              <w:rPr>
                <w:color w:val="231F20"/>
                <w:sz w:val="14"/>
              </w:rPr>
              <w:t>садашњости.</w:t>
            </w:r>
          </w:p>
          <w:p w:rsidR="00041039" w:rsidRDefault="001B26CB">
            <w:pPr>
              <w:pStyle w:val="TableParagraph"/>
              <w:numPr>
                <w:ilvl w:val="0"/>
                <w:numId w:val="149"/>
              </w:numPr>
              <w:tabs>
                <w:tab w:val="left" w:pos="157"/>
              </w:tabs>
              <w:spacing w:line="225" w:lineRule="auto"/>
              <w:ind w:right="122"/>
              <w:rPr>
                <w:sz w:val="14"/>
              </w:rPr>
            </w:pPr>
            <w:r>
              <w:rPr>
                <w:color w:val="231F20"/>
                <w:sz w:val="14"/>
              </w:rPr>
              <w:t>Стицање знања о миграцијама село ­ град као</w:t>
            </w:r>
            <w:r>
              <w:rPr>
                <w:color w:val="231F20"/>
                <w:spacing w:val="-13"/>
                <w:sz w:val="14"/>
              </w:rPr>
              <w:t xml:space="preserve"> </w:t>
            </w:r>
            <w:r>
              <w:rPr>
                <w:color w:val="231F20"/>
                <w:sz w:val="14"/>
              </w:rPr>
              <w:t xml:space="preserve">константним појавама у историји </w:t>
            </w:r>
            <w:r>
              <w:rPr>
                <w:color w:val="231F20"/>
                <w:spacing w:val="-3"/>
                <w:sz w:val="14"/>
              </w:rPr>
              <w:t>људског</w:t>
            </w:r>
            <w:r>
              <w:rPr>
                <w:color w:val="231F20"/>
                <w:spacing w:val="-1"/>
                <w:sz w:val="14"/>
              </w:rPr>
              <w:t xml:space="preserve"> </w:t>
            </w:r>
            <w:r>
              <w:rPr>
                <w:color w:val="231F20"/>
                <w:sz w:val="14"/>
              </w:rPr>
              <w:t>друштва.</w:t>
            </w:r>
          </w:p>
        </w:tc>
        <w:tc>
          <w:tcPr>
            <w:tcW w:w="2551" w:type="dxa"/>
          </w:tcPr>
          <w:p w:rsidR="00041039" w:rsidRDefault="001B26CB">
            <w:pPr>
              <w:pStyle w:val="TableParagraph"/>
              <w:numPr>
                <w:ilvl w:val="0"/>
                <w:numId w:val="148"/>
              </w:numPr>
              <w:tabs>
                <w:tab w:val="left" w:pos="157"/>
              </w:tabs>
              <w:spacing w:before="17" w:line="225" w:lineRule="auto"/>
              <w:ind w:right="300" w:hanging="99"/>
              <w:rPr>
                <w:sz w:val="14"/>
              </w:rPr>
            </w:pPr>
            <w:r>
              <w:rPr>
                <w:color w:val="231F20"/>
                <w:sz w:val="14"/>
              </w:rPr>
              <w:t>уочи основна обележја</w:t>
            </w:r>
            <w:r>
              <w:rPr>
                <w:color w:val="231F20"/>
                <w:spacing w:val="-7"/>
                <w:sz w:val="14"/>
              </w:rPr>
              <w:t xml:space="preserve"> </w:t>
            </w:r>
            <w:r>
              <w:rPr>
                <w:color w:val="231F20"/>
                <w:sz w:val="14"/>
              </w:rPr>
              <w:t xml:space="preserve">различитих типова насеља </w:t>
            </w:r>
            <w:r>
              <w:rPr>
                <w:color w:val="231F20"/>
                <w:spacing w:val="-3"/>
                <w:sz w:val="14"/>
              </w:rPr>
              <w:t xml:space="preserve">од </w:t>
            </w:r>
            <w:r>
              <w:rPr>
                <w:color w:val="231F20"/>
                <w:sz w:val="14"/>
              </w:rPr>
              <w:t>праисторије до савременог доба;</w:t>
            </w:r>
          </w:p>
          <w:p w:rsidR="00041039" w:rsidRDefault="001B26CB">
            <w:pPr>
              <w:pStyle w:val="TableParagraph"/>
              <w:numPr>
                <w:ilvl w:val="0"/>
                <w:numId w:val="148"/>
              </w:numPr>
              <w:tabs>
                <w:tab w:val="left" w:pos="157"/>
              </w:tabs>
              <w:spacing w:line="225" w:lineRule="auto"/>
              <w:ind w:right="270" w:hanging="99"/>
              <w:rPr>
                <w:sz w:val="14"/>
              </w:rPr>
            </w:pPr>
            <w:r>
              <w:rPr>
                <w:color w:val="231F20"/>
                <w:sz w:val="14"/>
              </w:rPr>
              <w:t>изведе закључак о значају</w:t>
            </w:r>
            <w:r>
              <w:rPr>
                <w:color w:val="231F20"/>
                <w:spacing w:val="-23"/>
                <w:sz w:val="14"/>
              </w:rPr>
              <w:t xml:space="preserve"> </w:t>
            </w:r>
            <w:r>
              <w:rPr>
                <w:color w:val="231F20"/>
                <w:sz w:val="14"/>
              </w:rPr>
              <w:t>настанка градова;</w:t>
            </w:r>
          </w:p>
          <w:p w:rsidR="00041039" w:rsidRDefault="001B26CB">
            <w:pPr>
              <w:pStyle w:val="TableParagraph"/>
              <w:numPr>
                <w:ilvl w:val="0"/>
                <w:numId w:val="148"/>
              </w:numPr>
              <w:tabs>
                <w:tab w:val="left" w:pos="157"/>
              </w:tabs>
              <w:spacing w:line="225" w:lineRule="auto"/>
              <w:ind w:right="125" w:hanging="99"/>
              <w:rPr>
                <w:sz w:val="14"/>
              </w:rPr>
            </w:pPr>
            <w:r>
              <w:rPr>
                <w:color w:val="231F20"/>
                <w:sz w:val="14"/>
              </w:rPr>
              <w:t>лоцира на историјској карти најзначајније античке,</w:t>
            </w:r>
            <w:r>
              <w:rPr>
                <w:color w:val="231F20"/>
                <w:spacing w:val="-23"/>
                <w:sz w:val="14"/>
              </w:rPr>
              <w:t xml:space="preserve"> </w:t>
            </w:r>
            <w:r>
              <w:rPr>
                <w:color w:val="231F20"/>
                <w:sz w:val="14"/>
              </w:rPr>
              <w:t xml:space="preserve">средњовековне и модерне градове у </w:t>
            </w:r>
            <w:r>
              <w:rPr>
                <w:color w:val="231F20"/>
                <w:spacing w:val="-3"/>
                <w:sz w:val="14"/>
              </w:rPr>
              <w:t xml:space="preserve">свету, </w:t>
            </w:r>
            <w:r>
              <w:rPr>
                <w:color w:val="231F20"/>
                <w:sz w:val="14"/>
              </w:rPr>
              <w:t>Европи и Србији;</w:t>
            </w:r>
          </w:p>
          <w:p w:rsidR="00041039" w:rsidRDefault="001B26CB">
            <w:pPr>
              <w:pStyle w:val="TableParagraph"/>
              <w:numPr>
                <w:ilvl w:val="0"/>
                <w:numId w:val="148"/>
              </w:numPr>
              <w:tabs>
                <w:tab w:val="left" w:pos="157"/>
              </w:tabs>
              <w:spacing w:line="225" w:lineRule="auto"/>
              <w:ind w:right="296" w:hanging="99"/>
              <w:rPr>
                <w:sz w:val="14"/>
              </w:rPr>
            </w:pPr>
            <w:r>
              <w:rPr>
                <w:color w:val="231F20"/>
                <w:sz w:val="14"/>
              </w:rPr>
              <w:t>опише начин живота у граду у</w:t>
            </w:r>
            <w:r>
              <w:rPr>
                <w:color w:val="231F20"/>
                <w:spacing w:val="-15"/>
                <w:sz w:val="14"/>
              </w:rPr>
              <w:t xml:space="preserve"> </w:t>
            </w:r>
            <w:r>
              <w:rPr>
                <w:color w:val="231F20"/>
                <w:sz w:val="14"/>
              </w:rPr>
              <w:t>раз­ личитим историјским периодима (на примеру Цариграда, Венеције, Фиренце, Париза, Лондона, Берлина, Њујорка, Москве</w:t>
            </w:r>
            <w:r>
              <w:rPr>
                <w:color w:val="231F20"/>
                <w:sz w:val="14"/>
              </w:rPr>
              <w:t>, Санкт Петербурга...);</w:t>
            </w:r>
          </w:p>
          <w:p w:rsidR="00041039" w:rsidRDefault="001B26CB">
            <w:pPr>
              <w:pStyle w:val="TableParagraph"/>
              <w:numPr>
                <w:ilvl w:val="0"/>
                <w:numId w:val="148"/>
              </w:numPr>
              <w:tabs>
                <w:tab w:val="left" w:pos="157"/>
              </w:tabs>
              <w:spacing w:line="225" w:lineRule="auto"/>
              <w:ind w:right="206" w:hanging="99"/>
              <w:rPr>
                <w:sz w:val="14"/>
              </w:rPr>
            </w:pPr>
            <w:r>
              <w:rPr>
                <w:color w:val="231F20"/>
                <w:sz w:val="14"/>
              </w:rPr>
              <w:t>опише начин живот у српским градовима у XIX и XX веку (на</w:t>
            </w:r>
            <w:r>
              <w:rPr>
                <w:color w:val="231F20"/>
                <w:spacing w:val="-23"/>
                <w:sz w:val="14"/>
              </w:rPr>
              <w:t xml:space="preserve"> </w:t>
            </w:r>
            <w:r>
              <w:rPr>
                <w:color w:val="231F20"/>
                <w:sz w:val="14"/>
              </w:rPr>
              <w:t>при­ меру Београда, Новог Сада, Ниша, Крагујевца...);</w:t>
            </w:r>
          </w:p>
        </w:tc>
        <w:tc>
          <w:tcPr>
            <w:tcW w:w="2834" w:type="dxa"/>
          </w:tcPr>
          <w:p w:rsidR="00041039" w:rsidRDefault="001B26CB">
            <w:pPr>
              <w:pStyle w:val="TableParagraph"/>
              <w:numPr>
                <w:ilvl w:val="0"/>
                <w:numId w:val="147"/>
              </w:numPr>
              <w:tabs>
                <w:tab w:val="left" w:pos="157"/>
              </w:tabs>
              <w:spacing w:before="18" w:line="225" w:lineRule="auto"/>
              <w:ind w:right="222" w:hanging="99"/>
              <w:rPr>
                <w:sz w:val="14"/>
              </w:rPr>
            </w:pPr>
            <w:r>
              <w:rPr>
                <w:color w:val="231F20"/>
                <w:sz w:val="14"/>
              </w:rPr>
              <w:t>Насеља у праисторији (примери Винче и Лепенског</w:t>
            </w:r>
            <w:r>
              <w:rPr>
                <w:color w:val="231F20"/>
                <w:spacing w:val="-1"/>
                <w:sz w:val="14"/>
              </w:rPr>
              <w:t xml:space="preserve"> </w:t>
            </w:r>
            <w:r>
              <w:rPr>
                <w:color w:val="231F20"/>
                <w:sz w:val="14"/>
              </w:rPr>
              <w:t>Вира).</w:t>
            </w:r>
          </w:p>
          <w:p w:rsidR="00041039" w:rsidRDefault="001B26CB">
            <w:pPr>
              <w:pStyle w:val="TableParagraph"/>
              <w:numPr>
                <w:ilvl w:val="0"/>
                <w:numId w:val="147"/>
              </w:numPr>
              <w:tabs>
                <w:tab w:val="left" w:pos="157"/>
              </w:tabs>
              <w:spacing w:line="225" w:lineRule="auto"/>
              <w:ind w:right="244" w:hanging="99"/>
              <w:rPr>
                <w:sz w:val="14"/>
              </w:rPr>
            </w:pPr>
            <w:r>
              <w:rPr>
                <w:color w:val="231F20"/>
                <w:sz w:val="14"/>
              </w:rPr>
              <w:t>Живот у античким градовима (примери Вавилона, грчких полиса,</w:t>
            </w:r>
            <w:r>
              <w:rPr>
                <w:color w:val="231F20"/>
                <w:spacing w:val="-14"/>
                <w:sz w:val="14"/>
              </w:rPr>
              <w:t xml:space="preserve"> </w:t>
            </w:r>
            <w:r>
              <w:rPr>
                <w:color w:val="231F20"/>
                <w:sz w:val="14"/>
              </w:rPr>
              <w:t>Александрије, Рима...),</w:t>
            </w:r>
          </w:p>
          <w:p w:rsidR="00041039" w:rsidRDefault="001B26CB">
            <w:pPr>
              <w:pStyle w:val="TableParagraph"/>
              <w:numPr>
                <w:ilvl w:val="0"/>
                <w:numId w:val="147"/>
              </w:numPr>
              <w:tabs>
                <w:tab w:val="left" w:pos="157"/>
              </w:tabs>
              <w:spacing w:line="225" w:lineRule="auto"/>
              <w:ind w:right="105" w:hanging="99"/>
              <w:rPr>
                <w:sz w:val="14"/>
              </w:rPr>
            </w:pPr>
            <w:r>
              <w:rPr>
                <w:color w:val="231F20"/>
                <w:sz w:val="14"/>
              </w:rPr>
              <w:t>Живот у средњовековним градовима и селима (примери Цариграда, Венеције, Фиренце, Париза, Лондона, Београда...; средњовековни замак ­ у миру и за време опсаде; положај зависног сељака ­ обавезе становништва, порез, присилни рад ­ изг</w:t>
            </w:r>
            <w:r>
              <w:rPr>
                <w:color w:val="231F20"/>
                <w:sz w:val="14"/>
              </w:rPr>
              <w:t>радња путева, насипа, утврђења...; становање ­ грађевински материјали, начин градње, разлика у начину</w:t>
            </w:r>
            <w:r>
              <w:rPr>
                <w:color w:val="231F20"/>
                <w:spacing w:val="-24"/>
                <w:sz w:val="14"/>
              </w:rPr>
              <w:t xml:space="preserve"> </w:t>
            </w:r>
            <w:r>
              <w:rPr>
                <w:color w:val="231F20"/>
                <w:sz w:val="14"/>
              </w:rPr>
              <w:t xml:space="preserve">становања између села и града и између богатих и сиромашних; хигијенски услови, опасност </w:t>
            </w:r>
            <w:r>
              <w:rPr>
                <w:color w:val="231F20"/>
                <w:spacing w:val="-3"/>
                <w:sz w:val="14"/>
              </w:rPr>
              <w:t>од</w:t>
            </w:r>
            <w:r>
              <w:rPr>
                <w:color w:val="231F20"/>
                <w:sz w:val="14"/>
              </w:rPr>
              <w:t xml:space="preserve"> епидемија...).</w:t>
            </w:r>
          </w:p>
        </w:tc>
        <w:tc>
          <w:tcPr>
            <w:tcW w:w="2267" w:type="dxa"/>
          </w:tcPr>
          <w:p w:rsidR="00041039" w:rsidRDefault="001B26CB">
            <w:pPr>
              <w:pStyle w:val="TableParagraph"/>
              <w:numPr>
                <w:ilvl w:val="0"/>
                <w:numId w:val="146"/>
              </w:numPr>
              <w:tabs>
                <w:tab w:val="left" w:pos="158"/>
              </w:tabs>
              <w:spacing w:before="18" w:line="225"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9"/>
              <w:ind w:left="0"/>
              <w:rPr>
                <w:b/>
                <w:sz w:val="12"/>
              </w:rPr>
            </w:pPr>
          </w:p>
          <w:p w:rsidR="00041039" w:rsidRDefault="001B26CB">
            <w:pPr>
              <w:pStyle w:val="TableParagraph"/>
              <w:spacing w:line="157" w:lineRule="exact"/>
              <w:ind w:left="58"/>
              <w:rPr>
                <w:b/>
                <w:sz w:val="14"/>
              </w:rPr>
            </w:pPr>
            <w:r>
              <w:rPr>
                <w:b/>
                <w:color w:val="231F20"/>
                <w:sz w:val="14"/>
              </w:rPr>
              <w:t>Облици наставе</w:t>
            </w:r>
          </w:p>
          <w:p w:rsidR="00041039" w:rsidRDefault="001B26CB">
            <w:pPr>
              <w:pStyle w:val="TableParagraph"/>
              <w:spacing w:before="3" w:line="225" w:lineRule="auto"/>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46"/>
              </w:numPr>
              <w:tabs>
                <w:tab w:val="left" w:pos="158"/>
              </w:tabs>
              <w:spacing w:line="225" w:lineRule="auto"/>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1B26CB">
            <w:pPr>
              <w:pStyle w:val="TableParagraph"/>
              <w:spacing w:before="137" w:line="157" w:lineRule="exact"/>
              <w:ind w:left="58"/>
              <w:rPr>
                <w:b/>
                <w:sz w:val="14"/>
              </w:rPr>
            </w:pPr>
            <w:r>
              <w:rPr>
                <w:b/>
                <w:color w:val="231F20"/>
                <w:sz w:val="14"/>
              </w:rPr>
              <w:t>Подела одељења на групе</w:t>
            </w:r>
          </w:p>
          <w:p w:rsidR="00041039" w:rsidRDefault="001B26CB">
            <w:pPr>
              <w:pStyle w:val="TableParagraph"/>
              <w:spacing w:line="157" w:lineRule="exact"/>
              <w:ind w:left="58"/>
              <w:rPr>
                <w:sz w:val="14"/>
              </w:rPr>
            </w:pPr>
            <w:r>
              <w:rPr>
                <w:color w:val="231F20"/>
                <w:sz w:val="14"/>
              </w:rPr>
              <w:t>Одељење се не дели на групе.</w:t>
            </w:r>
          </w:p>
          <w:p w:rsidR="00041039" w:rsidRDefault="001B26CB">
            <w:pPr>
              <w:pStyle w:val="TableParagraph"/>
              <w:spacing w:before="143" w:line="157" w:lineRule="exact"/>
              <w:ind w:left="58"/>
              <w:rPr>
                <w:b/>
                <w:sz w:val="14"/>
              </w:rPr>
            </w:pPr>
            <w:r>
              <w:rPr>
                <w:b/>
                <w:color w:val="231F20"/>
                <w:sz w:val="14"/>
              </w:rPr>
              <w:t>Место реализације наставе</w:t>
            </w:r>
          </w:p>
          <w:p w:rsidR="00041039" w:rsidRDefault="001B26CB">
            <w:pPr>
              <w:pStyle w:val="TableParagraph"/>
              <w:spacing w:line="147" w:lineRule="exact"/>
              <w:ind w:left="58"/>
              <w:rPr>
                <w:sz w:val="14"/>
              </w:rPr>
            </w:pPr>
            <w:r>
              <w:rPr>
                <w:color w:val="231F20"/>
                <w:sz w:val="14"/>
              </w:rPr>
              <w:t>Теоријска настава се реализује у:</w:t>
            </w:r>
          </w:p>
          <w:p w:rsidR="00041039" w:rsidRDefault="001B26CB">
            <w:pPr>
              <w:pStyle w:val="TableParagraph"/>
              <w:numPr>
                <w:ilvl w:val="0"/>
                <w:numId w:val="146"/>
              </w:numPr>
              <w:tabs>
                <w:tab w:val="left" w:pos="158"/>
              </w:tabs>
              <w:spacing w:line="152"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146"/>
              </w:numPr>
              <w:tabs>
                <w:tab w:val="left" w:pos="158"/>
              </w:tabs>
              <w:spacing w:line="162" w:lineRule="exact"/>
              <w:ind w:hanging="99"/>
              <w:rPr>
                <w:sz w:val="14"/>
              </w:rPr>
            </w:pPr>
            <w:r>
              <w:rPr>
                <w:color w:val="231F20"/>
                <w:sz w:val="14"/>
              </w:rPr>
              <w:t>учионици</w:t>
            </w:r>
          </w:p>
        </w:tc>
      </w:tr>
    </w:tbl>
    <w:p w:rsidR="00041039" w:rsidRDefault="00041039">
      <w:pPr>
        <w:spacing w:line="162"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960"/>
        </w:trPr>
        <w:tc>
          <w:tcPr>
            <w:tcW w:w="1304" w:type="dxa"/>
          </w:tcPr>
          <w:p w:rsidR="00041039" w:rsidRDefault="00041039">
            <w:pPr>
              <w:pStyle w:val="TableParagraph"/>
              <w:ind w:left="0"/>
              <w:rPr>
                <w:sz w:val="14"/>
              </w:rPr>
            </w:pPr>
          </w:p>
        </w:tc>
        <w:tc>
          <w:tcPr>
            <w:tcW w:w="1587" w:type="dxa"/>
          </w:tcPr>
          <w:p w:rsidR="00041039" w:rsidRDefault="001B26CB">
            <w:pPr>
              <w:pStyle w:val="TableParagraph"/>
              <w:numPr>
                <w:ilvl w:val="0"/>
                <w:numId w:val="145"/>
              </w:numPr>
              <w:tabs>
                <w:tab w:val="left" w:pos="157"/>
              </w:tabs>
              <w:spacing w:before="8"/>
              <w:ind w:right="109"/>
              <w:rPr>
                <w:sz w:val="14"/>
              </w:rPr>
            </w:pPr>
            <w:r>
              <w:rPr>
                <w:color w:val="231F20"/>
                <w:sz w:val="14"/>
              </w:rPr>
              <w:t>Проширивање знања о животу сеоског и градског</w:t>
            </w:r>
            <w:r>
              <w:rPr>
                <w:color w:val="231F20"/>
                <w:spacing w:val="-10"/>
                <w:sz w:val="14"/>
              </w:rPr>
              <w:t xml:space="preserve"> </w:t>
            </w:r>
            <w:r>
              <w:rPr>
                <w:color w:val="231F20"/>
                <w:sz w:val="14"/>
              </w:rPr>
              <w:t>становништ­ ва у Србији у ХIХ и XX</w:t>
            </w:r>
            <w:r>
              <w:rPr>
                <w:color w:val="231F20"/>
                <w:spacing w:val="-1"/>
                <w:sz w:val="14"/>
              </w:rPr>
              <w:t xml:space="preserve"> </w:t>
            </w:r>
            <w:r>
              <w:rPr>
                <w:color w:val="231F20"/>
                <w:spacing w:val="-4"/>
                <w:sz w:val="14"/>
              </w:rPr>
              <w:t>веку.</w:t>
            </w:r>
          </w:p>
        </w:tc>
        <w:tc>
          <w:tcPr>
            <w:tcW w:w="2551" w:type="dxa"/>
          </w:tcPr>
          <w:p w:rsidR="00041039" w:rsidRDefault="001B26CB">
            <w:pPr>
              <w:pStyle w:val="TableParagraph"/>
              <w:numPr>
                <w:ilvl w:val="0"/>
                <w:numId w:val="144"/>
              </w:numPr>
              <w:tabs>
                <w:tab w:val="left" w:pos="157"/>
              </w:tabs>
              <w:spacing w:before="8"/>
              <w:ind w:right="44" w:hanging="99"/>
              <w:rPr>
                <w:sz w:val="14"/>
              </w:rPr>
            </w:pPr>
            <w:r>
              <w:rPr>
                <w:color w:val="231F20"/>
                <w:sz w:val="14"/>
              </w:rPr>
              <w:t>опише начин живота у српским</w:t>
            </w:r>
            <w:r>
              <w:rPr>
                <w:color w:val="231F20"/>
                <w:spacing w:val="-9"/>
                <w:sz w:val="14"/>
              </w:rPr>
              <w:t xml:space="preserve"> </w:t>
            </w:r>
            <w:r>
              <w:rPr>
                <w:color w:val="231F20"/>
                <w:sz w:val="14"/>
              </w:rPr>
              <w:t>селима у XIX и XX</w:t>
            </w:r>
            <w:r>
              <w:rPr>
                <w:color w:val="231F20"/>
                <w:spacing w:val="-4"/>
                <w:sz w:val="14"/>
              </w:rPr>
              <w:t xml:space="preserve"> </w:t>
            </w:r>
            <w:r>
              <w:rPr>
                <w:color w:val="231F20"/>
                <w:sz w:val="14"/>
              </w:rPr>
              <w:t>веку;</w:t>
            </w:r>
          </w:p>
          <w:p w:rsidR="00041039" w:rsidRDefault="001B26CB">
            <w:pPr>
              <w:pStyle w:val="TableParagraph"/>
              <w:numPr>
                <w:ilvl w:val="0"/>
                <w:numId w:val="144"/>
              </w:numPr>
              <w:tabs>
                <w:tab w:val="left" w:pos="157"/>
              </w:tabs>
              <w:spacing w:line="160" w:lineRule="exact"/>
              <w:ind w:right="89" w:hanging="99"/>
              <w:rPr>
                <w:sz w:val="14"/>
              </w:rPr>
            </w:pPr>
            <w:r>
              <w:rPr>
                <w:color w:val="231F20"/>
                <w:sz w:val="14"/>
              </w:rPr>
              <w:t>уочи сличности и разлике у начину живота у српским градовима и</w:t>
            </w:r>
            <w:r>
              <w:rPr>
                <w:color w:val="231F20"/>
                <w:spacing w:val="-11"/>
                <w:sz w:val="14"/>
              </w:rPr>
              <w:t xml:space="preserve"> </w:t>
            </w:r>
            <w:r>
              <w:rPr>
                <w:color w:val="231F20"/>
                <w:sz w:val="14"/>
              </w:rPr>
              <w:t>селима у XIX и XX</w:t>
            </w:r>
            <w:r>
              <w:rPr>
                <w:color w:val="231F20"/>
                <w:spacing w:val="-4"/>
                <w:sz w:val="14"/>
              </w:rPr>
              <w:t xml:space="preserve"> </w:t>
            </w:r>
            <w:r>
              <w:rPr>
                <w:color w:val="231F20"/>
                <w:sz w:val="14"/>
              </w:rPr>
              <w:t>веку;</w:t>
            </w:r>
          </w:p>
          <w:p w:rsidR="00041039" w:rsidRDefault="001B26CB">
            <w:pPr>
              <w:pStyle w:val="TableParagraph"/>
              <w:numPr>
                <w:ilvl w:val="0"/>
                <w:numId w:val="144"/>
              </w:numPr>
              <w:tabs>
                <w:tab w:val="left" w:pos="157"/>
              </w:tabs>
              <w:spacing w:line="160" w:lineRule="exact"/>
              <w:ind w:right="358" w:hanging="99"/>
              <w:rPr>
                <w:sz w:val="14"/>
              </w:rPr>
            </w:pPr>
            <w:r>
              <w:rPr>
                <w:color w:val="231F20"/>
                <w:sz w:val="14"/>
              </w:rPr>
              <w:t>разуме значај и последице</w:t>
            </w:r>
            <w:r>
              <w:rPr>
                <w:color w:val="231F20"/>
                <w:spacing w:val="-15"/>
                <w:sz w:val="14"/>
              </w:rPr>
              <w:t xml:space="preserve"> </w:t>
            </w:r>
            <w:r>
              <w:rPr>
                <w:color w:val="231F20"/>
                <w:sz w:val="14"/>
              </w:rPr>
              <w:t>развоја модерних</w:t>
            </w:r>
            <w:r>
              <w:rPr>
                <w:color w:val="231F20"/>
                <w:spacing w:val="-1"/>
                <w:sz w:val="14"/>
              </w:rPr>
              <w:t xml:space="preserve"> </w:t>
            </w:r>
            <w:r>
              <w:rPr>
                <w:color w:val="231F20"/>
                <w:sz w:val="14"/>
              </w:rPr>
              <w:t>градова;</w:t>
            </w:r>
          </w:p>
          <w:p w:rsidR="00041039" w:rsidRDefault="001B26CB">
            <w:pPr>
              <w:pStyle w:val="TableParagraph"/>
              <w:numPr>
                <w:ilvl w:val="0"/>
                <w:numId w:val="144"/>
              </w:numPr>
              <w:tabs>
                <w:tab w:val="left" w:pos="157"/>
              </w:tabs>
              <w:spacing w:line="160" w:lineRule="exact"/>
              <w:ind w:right="297" w:hanging="99"/>
              <w:rPr>
                <w:sz w:val="14"/>
              </w:rPr>
            </w:pPr>
            <w:r>
              <w:rPr>
                <w:color w:val="231F20"/>
                <w:sz w:val="14"/>
              </w:rPr>
              <w:t>образложи најважније узроке и</w:t>
            </w:r>
            <w:r>
              <w:rPr>
                <w:color w:val="231F20"/>
                <w:spacing w:val="-16"/>
                <w:sz w:val="14"/>
              </w:rPr>
              <w:t xml:space="preserve"> </w:t>
            </w:r>
            <w:r>
              <w:rPr>
                <w:color w:val="231F20"/>
                <w:sz w:val="14"/>
              </w:rPr>
              <w:t>по­ следице миграција село ­</w:t>
            </w:r>
            <w:r>
              <w:rPr>
                <w:color w:val="231F20"/>
                <w:spacing w:val="-4"/>
                <w:sz w:val="14"/>
              </w:rPr>
              <w:t xml:space="preserve"> </w:t>
            </w:r>
            <w:r>
              <w:rPr>
                <w:color w:val="231F20"/>
                <w:sz w:val="14"/>
              </w:rPr>
              <w:t>град;</w:t>
            </w:r>
          </w:p>
          <w:p w:rsidR="00041039" w:rsidRDefault="001B26CB">
            <w:pPr>
              <w:pStyle w:val="TableParagraph"/>
              <w:numPr>
                <w:ilvl w:val="0"/>
                <w:numId w:val="144"/>
              </w:numPr>
              <w:tabs>
                <w:tab w:val="left" w:pos="157"/>
              </w:tabs>
              <w:spacing w:line="160" w:lineRule="exact"/>
              <w:ind w:right="314" w:hanging="99"/>
              <w:rPr>
                <w:sz w:val="14"/>
              </w:rPr>
            </w:pPr>
            <w:r>
              <w:rPr>
                <w:color w:val="231F20"/>
                <w:sz w:val="14"/>
              </w:rPr>
              <w:t>уочи разлике у начину становања између села и града кроз</w:t>
            </w:r>
            <w:r>
              <w:rPr>
                <w:color w:val="231F20"/>
                <w:spacing w:val="-14"/>
                <w:sz w:val="14"/>
              </w:rPr>
              <w:t xml:space="preserve"> </w:t>
            </w:r>
            <w:r>
              <w:rPr>
                <w:color w:val="231F20"/>
                <w:sz w:val="14"/>
              </w:rPr>
              <w:t>историју;</w:t>
            </w:r>
          </w:p>
          <w:p w:rsidR="00041039" w:rsidRDefault="001B26CB">
            <w:pPr>
              <w:pStyle w:val="TableParagraph"/>
              <w:numPr>
                <w:ilvl w:val="0"/>
                <w:numId w:val="144"/>
              </w:numPr>
              <w:tabs>
                <w:tab w:val="left" w:pos="157"/>
              </w:tabs>
              <w:spacing w:line="160" w:lineRule="exact"/>
              <w:ind w:right="46" w:hanging="99"/>
              <w:rPr>
                <w:sz w:val="14"/>
              </w:rPr>
            </w:pPr>
            <w:r>
              <w:rPr>
                <w:color w:val="231F20"/>
                <w:sz w:val="14"/>
              </w:rPr>
              <w:t>уочи разлике у начину становања између припадника различитих</w:t>
            </w:r>
            <w:r>
              <w:rPr>
                <w:color w:val="231F20"/>
                <w:spacing w:val="-15"/>
                <w:sz w:val="14"/>
              </w:rPr>
              <w:t xml:space="preserve"> </w:t>
            </w:r>
            <w:r>
              <w:rPr>
                <w:color w:val="231F20"/>
                <w:sz w:val="14"/>
              </w:rPr>
              <w:t>друшт­ вених слојева кроз</w:t>
            </w:r>
            <w:r>
              <w:rPr>
                <w:color w:val="231F20"/>
                <w:spacing w:val="-2"/>
                <w:sz w:val="14"/>
              </w:rPr>
              <w:t xml:space="preserve"> </w:t>
            </w:r>
            <w:r>
              <w:rPr>
                <w:color w:val="231F20"/>
                <w:sz w:val="14"/>
              </w:rPr>
              <w:t>историју;</w:t>
            </w:r>
          </w:p>
        </w:tc>
        <w:tc>
          <w:tcPr>
            <w:tcW w:w="2834" w:type="dxa"/>
          </w:tcPr>
          <w:p w:rsidR="00041039" w:rsidRDefault="001B26CB">
            <w:pPr>
              <w:pStyle w:val="TableParagraph"/>
              <w:numPr>
                <w:ilvl w:val="0"/>
                <w:numId w:val="143"/>
              </w:numPr>
              <w:tabs>
                <w:tab w:val="left" w:pos="157"/>
              </w:tabs>
              <w:spacing w:before="8"/>
              <w:ind w:right="146" w:hanging="99"/>
              <w:rPr>
                <w:sz w:val="14"/>
              </w:rPr>
            </w:pPr>
            <w:r>
              <w:rPr>
                <w:color w:val="231F20"/>
                <w:sz w:val="14"/>
              </w:rPr>
              <w:t>Живот у градовима и селима у новом веку и савременом добу (примери</w:t>
            </w:r>
            <w:r>
              <w:rPr>
                <w:color w:val="231F20"/>
                <w:spacing w:val="-25"/>
                <w:sz w:val="14"/>
              </w:rPr>
              <w:t xml:space="preserve"> </w:t>
            </w:r>
            <w:r>
              <w:rPr>
                <w:color w:val="231F20"/>
                <w:sz w:val="14"/>
              </w:rPr>
              <w:t>Париза,</w:t>
            </w:r>
          </w:p>
          <w:p w:rsidR="00041039" w:rsidRDefault="001B26CB">
            <w:pPr>
              <w:pStyle w:val="TableParagraph"/>
              <w:spacing w:line="237" w:lineRule="auto"/>
              <w:ind w:right="67"/>
              <w:rPr>
                <w:sz w:val="14"/>
              </w:rPr>
            </w:pPr>
            <w:r>
              <w:rPr>
                <w:color w:val="231F20"/>
                <w:sz w:val="14"/>
              </w:rPr>
              <w:t>Лондона, Берлина,</w:t>
            </w:r>
            <w:r>
              <w:rPr>
                <w:color w:val="231F20"/>
                <w:sz w:val="14"/>
              </w:rPr>
              <w:t xml:space="preserve"> Њујорка, Москве,</w:t>
            </w:r>
            <w:r>
              <w:rPr>
                <w:color w:val="231F20"/>
                <w:spacing w:val="-23"/>
                <w:sz w:val="14"/>
              </w:rPr>
              <w:t xml:space="preserve"> </w:t>
            </w:r>
            <w:r>
              <w:rPr>
                <w:color w:val="231F20"/>
                <w:sz w:val="14"/>
              </w:rPr>
              <w:t>Санкт Петербурга...; просторно и урбано пла­ 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 новање ­ грађевинск</w:t>
            </w:r>
            <w:r>
              <w:rPr>
                <w:color w:val="231F20"/>
                <w:sz w:val="14"/>
              </w:rPr>
              <w:t>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 них слојева, миграције; осветљење ­ гас и струја; грејање, употреба солар</w:t>
            </w:r>
            <w:r>
              <w:rPr>
                <w:color w:val="231F20"/>
                <w:sz w:val="14"/>
              </w:rPr>
              <w:t>не енергије, кућни апарати; оплемењивање стамбеног простора).</w:t>
            </w:r>
          </w:p>
          <w:p w:rsidR="00041039" w:rsidRDefault="001B26CB">
            <w:pPr>
              <w:pStyle w:val="TableParagraph"/>
              <w:numPr>
                <w:ilvl w:val="0"/>
                <w:numId w:val="143"/>
              </w:numPr>
              <w:tabs>
                <w:tab w:val="left" w:pos="157"/>
              </w:tabs>
              <w:ind w:right="100" w:hanging="99"/>
              <w:rPr>
                <w:sz w:val="14"/>
              </w:rPr>
            </w:pPr>
            <w:r>
              <w:rPr>
                <w:color w:val="231F20"/>
                <w:sz w:val="14"/>
              </w:rPr>
              <w:t>Живот у српским градовима и селима у XIX и XX веку (примери Београда, Новог Сада, Ниша, Крагујевца...; основни типови градских насеља ­ град, варош,</w:t>
            </w:r>
            <w:r>
              <w:rPr>
                <w:color w:val="231F20"/>
                <w:spacing w:val="-16"/>
                <w:sz w:val="14"/>
              </w:rPr>
              <w:t xml:space="preserve"> </w:t>
            </w:r>
            <w:r>
              <w:rPr>
                <w:color w:val="231F20"/>
                <w:sz w:val="14"/>
              </w:rPr>
              <w:t>варошица,</w:t>
            </w:r>
          </w:p>
          <w:p w:rsidR="00041039" w:rsidRDefault="001B26CB">
            <w:pPr>
              <w:pStyle w:val="TableParagraph"/>
              <w:spacing w:line="237" w:lineRule="auto"/>
              <w:ind w:right="198"/>
              <w:rPr>
                <w:sz w:val="14"/>
              </w:rPr>
            </w:pPr>
            <w:r>
              <w:rPr>
                <w:color w:val="231F20"/>
                <w:sz w:val="14"/>
              </w:rPr>
              <w:t>„дивља” насеља; оријентални и европски утицаји; електрификација, јавни градски превоз ­ фијакери, трамваји, тролејбуси и аутобуси; основни типови сеоских насеља, обележја земљорадње, вино­ градарства и сточарства; задруга,</w:t>
            </w:r>
            <w:r>
              <w:rPr>
                <w:color w:val="231F20"/>
                <w:spacing w:val="-13"/>
                <w:sz w:val="14"/>
              </w:rPr>
              <w:t xml:space="preserve"> </w:t>
            </w:r>
            <w:r>
              <w:rPr>
                <w:color w:val="231F20"/>
                <w:sz w:val="14"/>
              </w:rPr>
              <w:t>моба,</w:t>
            </w:r>
          </w:p>
          <w:p w:rsidR="00041039" w:rsidRDefault="001B26CB">
            <w:pPr>
              <w:pStyle w:val="TableParagraph"/>
              <w:rPr>
                <w:sz w:val="14"/>
              </w:rPr>
            </w:pPr>
            <w:r>
              <w:rPr>
                <w:color w:val="231F20"/>
                <w:sz w:val="14"/>
              </w:rPr>
              <w:t>позајмица; пољопривредна ор</w:t>
            </w:r>
            <w:r>
              <w:rPr>
                <w:color w:val="231F20"/>
                <w:sz w:val="14"/>
              </w:rPr>
              <w:t>уђа, млинови, ветрењаче; миграције село ­ град, разлике</w:t>
            </w:r>
          </w:p>
          <w:p w:rsidR="00041039" w:rsidRDefault="001B26CB">
            <w:pPr>
              <w:pStyle w:val="TableParagraph"/>
              <w:ind w:right="60"/>
              <w:rPr>
                <w:sz w:val="14"/>
              </w:rPr>
            </w:pPr>
            <w:r>
              <w:rPr>
                <w:color w:val="231F20"/>
                <w:sz w:val="14"/>
              </w:rPr>
              <w:t>у становању код Срба: дворци, градске куће, конаци, сеоске куће; дворови владара</w:t>
            </w:r>
          </w:p>
          <w:p w:rsidR="00041039" w:rsidRDefault="001B26CB">
            <w:pPr>
              <w:pStyle w:val="TableParagraph"/>
              <w:ind w:right="61"/>
              <w:rPr>
                <w:sz w:val="14"/>
              </w:rPr>
            </w:pPr>
            <w:r>
              <w:rPr>
                <w:color w:val="231F20"/>
                <w:sz w:val="14"/>
              </w:rPr>
              <w:t xml:space="preserve">- Милоша, Михаила, Милана и Александра Обреновића, кнеза Александра и краљева Петра и Александра Карађорђевића, Николе </w:t>
            </w:r>
            <w:r>
              <w:rPr>
                <w:color w:val="231F20"/>
                <w:sz w:val="14"/>
              </w:rPr>
              <w:t>Петровића, резиденције Јосипа Броза).</w:t>
            </w:r>
          </w:p>
        </w:tc>
        <w:tc>
          <w:tcPr>
            <w:tcW w:w="2267" w:type="dxa"/>
            <w:vMerge w:val="restart"/>
          </w:tcPr>
          <w:p w:rsidR="00041039" w:rsidRDefault="001B26CB">
            <w:pPr>
              <w:pStyle w:val="TableParagraph"/>
              <w:spacing w:before="17"/>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142"/>
              </w:numPr>
              <w:tabs>
                <w:tab w:val="left" w:pos="158"/>
              </w:tabs>
              <w:spacing w:line="160" w:lineRule="exact"/>
              <w:ind w:right="109" w:hanging="99"/>
              <w:rPr>
                <w:sz w:val="14"/>
              </w:rPr>
            </w:pPr>
            <w:r>
              <w:rPr>
                <w:color w:val="231F20"/>
                <w:sz w:val="14"/>
              </w:rPr>
              <w:t xml:space="preserve">задатак наставника је да на почетку </w:t>
            </w:r>
            <w:r>
              <w:rPr>
                <w:color w:val="231F20"/>
                <w:spacing w:val="-3"/>
                <w:sz w:val="14"/>
              </w:rPr>
              <w:t xml:space="preserve">школске </w:t>
            </w:r>
            <w:r>
              <w:rPr>
                <w:color w:val="231F20"/>
                <w:sz w:val="14"/>
              </w:rPr>
              <w:t xml:space="preserve">године </w:t>
            </w:r>
            <w:r>
              <w:rPr>
                <w:color w:val="231F20"/>
                <w:spacing w:val="-3"/>
                <w:sz w:val="14"/>
              </w:rPr>
              <w:t xml:space="preserve">од </w:t>
            </w:r>
            <w:r>
              <w:rPr>
                <w:color w:val="231F20"/>
                <w:sz w:val="14"/>
              </w:rPr>
              <w:t xml:space="preserve">два­ наест понуђених наставних тема, ученицима предложи шест, </w:t>
            </w:r>
            <w:r>
              <w:rPr>
                <w:color w:val="231F20"/>
                <w:spacing w:val="-3"/>
                <w:sz w:val="14"/>
              </w:rPr>
              <w:t xml:space="preserve">од </w:t>
            </w:r>
            <w:r>
              <w:rPr>
                <w:color w:val="231F20"/>
                <w:sz w:val="14"/>
              </w:rPr>
              <w:t>којих ће они, као група, у складу са својим склоностим</w:t>
            </w:r>
            <w:r>
              <w:rPr>
                <w:color w:val="231F20"/>
                <w:sz w:val="14"/>
              </w:rPr>
              <w:t>а, изабрати четири;</w:t>
            </w:r>
          </w:p>
          <w:p w:rsidR="00041039" w:rsidRDefault="001B26CB">
            <w:pPr>
              <w:pStyle w:val="TableParagraph"/>
              <w:numPr>
                <w:ilvl w:val="0"/>
                <w:numId w:val="142"/>
              </w:numPr>
              <w:tabs>
                <w:tab w:val="left" w:pos="158"/>
              </w:tabs>
              <w:spacing w:before="1" w:line="160" w:lineRule="exact"/>
              <w:ind w:right="64" w:hanging="99"/>
              <w:rPr>
                <w:sz w:val="14"/>
              </w:rPr>
            </w:pPr>
            <w:r>
              <w:rPr>
                <w:color w:val="231F20"/>
                <w:sz w:val="14"/>
              </w:rPr>
              <w:t>структура програма конципирана је с циљем да помогле</w:t>
            </w:r>
            <w:r>
              <w:rPr>
                <w:color w:val="231F20"/>
                <w:spacing w:val="-22"/>
                <w:sz w:val="14"/>
              </w:rPr>
              <w:t xml:space="preserve"> </w:t>
            </w:r>
            <w:r>
              <w:rPr>
                <w:color w:val="231F20"/>
                <w:sz w:val="14"/>
              </w:rPr>
              <w:t>наставнику у планирању непосредног</w:t>
            </w:r>
            <w:r>
              <w:rPr>
                <w:color w:val="231F20"/>
                <w:spacing w:val="-5"/>
                <w:sz w:val="14"/>
              </w:rPr>
              <w:t xml:space="preserve"> </w:t>
            </w:r>
            <w:r>
              <w:rPr>
                <w:color w:val="231F20"/>
                <w:sz w:val="14"/>
              </w:rPr>
              <w:t>рада</w:t>
            </w:r>
          </w:p>
          <w:p w:rsidR="00041039" w:rsidRDefault="001B26CB">
            <w:pPr>
              <w:pStyle w:val="TableParagraph"/>
              <w:spacing w:line="237" w:lineRule="auto"/>
              <w:ind w:left="157"/>
              <w:rPr>
                <w:sz w:val="14"/>
              </w:rPr>
            </w:pPr>
            <w:r>
              <w:rPr>
                <w:color w:val="231F20"/>
                <w:sz w:val="14"/>
              </w:rPr>
              <w:t>са ученицима, олакшавајући му одређивање обима и дубине обра­ де појединих наставних садржаја;</w:t>
            </w:r>
          </w:p>
          <w:p w:rsidR="00041039" w:rsidRDefault="001B26CB">
            <w:pPr>
              <w:pStyle w:val="TableParagraph"/>
              <w:numPr>
                <w:ilvl w:val="0"/>
                <w:numId w:val="142"/>
              </w:numPr>
              <w:tabs>
                <w:tab w:val="left" w:pos="158"/>
              </w:tabs>
              <w:spacing w:line="237" w:lineRule="auto"/>
              <w:ind w:right="163" w:hanging="99"/>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треба да послуже да</w:t>
            </w:r>
            <w:r>
              <w:rPr>
                <w:color w:val="231F20"/>
                <w:spacing w:val="2"/>
                <w:sz w:val="14"/>
              </w:rPr>
              <w:t xml:space="preserve"> </w:t>
            </w:r>
            <w:r>
              <w:rPr>
                <w:color w:val="231F20"/>
                <w:sz w:val="14"/>
              </w:rPr>
              <w:t>нас­</w:t>
            </w:r>
          </w:p>
          <w:p w:rsidR="00041039" w:rsidRDefault="001B26CB">
            <w:pPr>
              <w:pStyle w:val="TableParagraph"/>
              <w:ind w:left="157"/>
              <w:rPr>
                <w:sz w:val="14"/>
              </w:rPr>
            </w:pPr>
            <w:r>
              <w:rPr>
                <w:color w:val="231F20"/>
                <w:sz w:val="14"/>
              </w:rPr>
              <w:t>тавни процес буде тако обликован да се наведени циљеви остваре;</w:t>
            </w:r>
          </w:p>
          <w:p w:rsidR="00041039" w:rsidRDefault="001B26CB">
            <w:pPr>
              <w:pStyle w:val="TableParagraph"/>
              <w:numPr>
                <w:ilvl w:val="0"/>
                <w:numId w:val="142"/>
              </w:numPr>
              <w:tabs>
                <w:tab w:val="left" w:pos="158"/>
              </w:tabs>
              <w:spacing w:line="160" w:lineRule="exact"/>
              <w:ind w:right="307" w:hanging="99"/>
              <w:rPr>
                <w:sz w:val="14"/>
              </w:rPr>
            </w:pPr>
            <w:r>
              <w:rPr>
                <w:color w:val="231F20"/>
                <w:sz w:val="14"/>
              </w:rPr>
              <w:t>садржаје треба</w:t>
            </w:r>
            <w:r>
              <w:rPr>
                <w:color w:val="231F20"/>
                <w:spacing w:val="-13"/>
                <w:sz w:val="14"/>
              </w:rPr>
              <w:t xml:space="preserve"> </w:t>
            </w:r>
            <w:r>
              <w:rPr>
                <w:color w:val="231F20"/>
                <w:sz w:val="14"/>
              </w:rPr>
              <w:t xml:space="preserve">прилагођавати ученицима, </w:t>
            </w:r>
            <w:r>
              <w:rPr>
                <w:color w:val="231F20"/>
                <w:spacing w:val="-3"/>
                <w:sz w:val="14"/>
              </w:rPr>
              <w:t xml:space="preserve">како </w:t>
            </w:r>
            <w:r>
              <w:rPr>
                <w:color w:val="231F20"/>
                <w:sz w:val="14"/>
              </w:rPr>
              <w:t>би најлакше и најбрже достигли наведене исходе;</w:t>
            </w:r>
          </w:p>
          <w:p w:rsidR="00041039" w:rsidRDefault="001B26CB">
            <w:pPr>
              <w:pStyle w:val="TableParagraph"/>
              <w:numPr>
                <w:ilvl w:val="0"/>
                <w:numId w:val="142"/>
              </w:numPr>
              <w:tabs>
                <w:tab w:val="left" w:pos="158"/>
              </w:tabs>
              <w:spacing w:line="160" w:lineRule="exact"/>
              <w:ind w:right="133" w:hanging="99"/>
              <w:rPr>
                <w:sz w:val="14"/>
              </w:rPr>
            </w:pPr>
            <w:r>
              <w:rPr>
                <w:color w:val="231F20"/>
                <w:sz w:val="14"/>
              </w:rPr>
              <w:t>наставник има слободу да сам одреди распоред и динами</w:t>
            </w:r>
            <w:r>
              <w:rPr>
                <w:color w:val="231F20"/>
                <w:sz w:val="14"/>
              </w:rPr>
              <w:t xml:space="preserve">ку активности за сваку </w:t>
            </w:r>
            <w:r>
              <w:rPr>
                <w:color w:val="231F20"/>
                <w:spacing w:val="-3"/>
                <w:sz w:val="14"/>
              </w:rPr>
              <w:t xml:space="preserve">тему, </w:t>
            </w:r>
            <w:r>
              <w:rPr>
                <w:color w:val="231F20"/>
                <w:sz w:val="14"/>
              </w:rPr>
              <w:t>уважа­ вајући циљеве</w:t>
            </w:r>
            <w:r>
              <w:rPr>
                <w:color w:val="231F20"/>
                <w:spacing w:val="-2"/>
                <w:sz w:val="14"/>
              </w:rPr>
              <w:t xml:space="preserve"> </w:t>
            </w:r>
            <w:r>
              <w:rPr>
                <w:color w:val="231F20"/>
                <w:sz w:val="14"/>
              </w:rPr>
              <w:t>предмета;</w:t>
            </w:r>
          </w:p>
          <w:p w:rsidR="00041039" w:rsidRDefault="001B26CB">
            <w:pPr>
              <w:pStyle w:val="TableParagraph"/>
              <w:numPr>
                <w:ilvl w:val="0"/>
                <w:numId w:val="142"/>
              </w:numPr>
              <w:tabs>
                <w:tab w:val="left" w:pos="158"/>
              </w:tabs>
              <w:spacing w:line="160" w:lineRule="exact"/>
              <w:ind w:right="139" w:hanging="99"/>
              <w:rPr>
                <w:sz w:val="14"/>
              </w:rPr>
            </w:pPr>
            <w:r>
              <w:rPr>
                <w:color w:val="231F20"/>
                <w:sz w:val="14"/>
              </w:rPr>
              <w:t>програм се може допунити</w:t>
            </w:r>
            <w:r>
              <w:rPr>
                <w:color w:val="231F20"/>
                <w:spacing w:val="-10"/>
                <w:sz w:val="14"/>
              </w:rPr>
              <w:t xml:space="preserve"> </w:t>
            </w:r>
            <w:r>
              <w:rPr>
                <w:color w:val="231F20"/>
                <w:sz w:val="14"/>
              </w:rPr>
              <w:t xml:space="preserve">садр­ жајима из прошлости завичаја, чиме се </w:t>
            </w:r>
            <w:r>
              <w:rPr>
                <w:color w:val="231F20"/>
                <w:spacing w:val="-5"/>
                <w:sz w:val="14"/>
              </w:rPr>
              <w:t xml:space="preserve">код </w:t>
            </w:r>
            <w:r>
              <w:rPr>
                <w:color w:val="231F20"/>
                <w:sz w:val="14"/>
              </w:rPr>
              <w:t>ученика постиже јаснија представа о историјској и културној баштини у њиховом крају (археолошка налазишта, музејске</w:t>
            </w:r>
            <w:r>
              <w:rPr>
                <w:color w:val="231F20"/>
                <w:spacing w:val="-1"/>
                <w:sz w:val="14"/>
              </w:rPr>
              <w:t xml:space="preserve"> </w:t>
            </w:r>
            <w:r>
              <w:rPr>
                <w:color w:val="231F20"/>
                <w:sz w:val="14"/>
              </w:rPr>
              <w:t>збирке);</w:t>
            </w:r>
          </w:p>
          <w:p w:rsidR="00041039" w:rsidRDefault="001B26CB">
            <w:pPr>
              <w:pStyle w:val="TableParagraph"/>
              <w:numPr>
                <w:ilvl w:val="0"/>
                <w:numId w:val="142"/>
              </w:numPr>
              <w:tabs>
                <w:tab w:val="left" w:pos="158"/>
              </w:tabs>
              <w:spacing w:line="160" w:lineRule="exact"/>
              <w:ind w:right="117" w:hanging="99"/>
              <w:rPr>
                <w:sz w:val="14"/>
              </w:rPr>
            </w:pPr>
            <w:r>
              <w:rPr>
                <w:color w:val="231F20"/>
                <w:sz w:val="14"/>
              </w:rPr>
              <w:t xml:space="preserve">у школама на наставном језику неке </w:t>
            </w:r>
            <w:r>
              <w:rPr>
                <w:color w:val="231F20"/>
                <w:spacing w:val="-3"/>
                <w:sz w:val="14"/>
              </w:rPr>
              <w:t xml:space="preserve">од </w:t>
            </w:r>
            <w:r>
              <w:rPr>
                <w:color w:val="231F20"/>
                <w:sz w:val="14"/>
              </w:rPr>
              <w:t>националних мањина могу се обрадити и проширени наставни садржаји из прошлости тог</w:t>
            </w:r>
            <w:r>
              <w:rPr>
                <w:color w:val="231F20"/>
                <w:spacing w:val="-1"/>
                <w:sz w:val="14"/>
              </w:rPr>
              <w:t xml:space="preserve"> </w:t>
            </w:r>
            <w:r>
              <w:rPr>
                <w:color w:val="231F20"/>
                <w:sz w:val="14"/>
              </w:rPr>
              <w:t>народа;</w:t>
            </w:r>
          </w:p>
          <w:p w:rsidR="00041039" w:rsidRDefault="001B26CB">
            <w:pPr>
              <w:pStyle w:val="TableParagraph"/>
              <w:numPr>
                <w:ilvl w:val="0"/>
                <w:numId w:val="142"/>
              </w:numPr>
              <w:tabs>
                <w:tab w:val="left" w:pos="158"/>
              </w:tabs>
              <w:spacing w:line="160" w:lineRule="exact"/>
              <w:ind w:right="127" w:hanging="99"/>
              <w:rPr>
                <w:sz w:val="14"/>
              </w:rPr>
            </w:pPr>
            <w:r>
              <w:rPr>
                <w:color w:val="231F20"/>
                <w:sz w:val="14"/>
              </w:rPr>
              <w:t>важно је искористити велике могућности које историја као наративни предмет пружа у под­ стицању ученичке радозналости, која је у основи сваког</w:t>
            </w:r>
            <w:r>
              <w:rPr>
                <w:color w:val="231F20"/>
                <w:spacing w:val="-10"/>
                <w:sz w:val="14"/>
              </w:rPr>
              <w:t xml:space="preserve"> </w:t>
            </w:r>
            <w:r>
              <w:rPr>
                <w:color w:val="231F20"/>
                <w:sz w:val="14"/>
              </w:rPr>
              <w:t>сазнања;</w:t>
            </w:r>
          </w:p>
          <w:p w:rsidR="00041039" w:rsidRDefault="001B26CB">
            <w:pPr>
              <w:pStyle w:val="TableParagraph"/>
              <w:numPr>
                <w:ilvl w:val="0"/>
                <w:numId w:val="142"/>
              </w:numPr>
              <w:tabs>
                <w:tab w:val="left" w:pos="158"/>
              </w:tabs>
              <w:spacing w:line="160" w:lineRule="exact"/>
              <w:ind w:right="66" w:hanging="99"/>
              <w:rPr>
                <w:sz w:val="14"/>
              </w:rPr>
            </w:pPr>
            <w:r>
              <w:rPr>
                <w:color w:val="231F20"/>
                <w:sz w:val="14"/>
              </w:rPr>
              <w:t xml:space="preserve">наставни садржаји треба да </w:t>
            </w:r>
            <w:r>
              <w:rPr>
                <w:color w:val="231F20"/>
                <w:spacing w:val="-4"/>
                <w:sz w:val="14"/>
              </w:rPr>
              <w:t xml:space="preserve">буду </w:t>
            </w:r>
            <w:r>
              <w:rPr>
                <w:color w:val="231F20"/>
                <w:sz w:val="14"/>
              </w:rPr>
              <w:t xml:space="preserve">представљени као „прича” богата информацијама и детаљима, не зато да би </w:t>
            </w:r>
            <w:r>
              <w:rPr>
                <w:color w:val="231F20"/>
                <w:sz w:val="14"/>
              </w:rPr>
              <w:t>оптеретили памћење ученика, већ да би им историјски догађаји, појаве и процеси били предочени јасно, детаљно, живо</w:t>
            </w:r>
            <w:r>
              <w:rPr>
                <w:color w:val="231F20"/>
                <w:spacing w:val="-8"/>
                <w:sz w:val="14"/>
              </w:rPr>
              <w:t xml:space="preserve"> </w:t>
            </w:r>
            <w:r>
              <w:rPr>
                <w:color w:val="231F20"/>
                <w:sz w:val="14"/>
              </w:rPr>
              <w:t>и динамично;</w:t>
            </w:r>
          </w:p>
          <w:p w:rsidR="00041039" w:rsidRDefault="001B26CB">
            <w:pPr>
              <w:pStyle w:val="TableParagraph"/>
              <w:numPr>
                <w:ilvl w:val="0"/>
                <w:numId w:val="142"/>
              </w:numPr>
              <w:tabs>
                <w:tab w:val="left" w:pos="158"/>
              </w:tabs>
              <w:spacing w:line="160" w:lineRule="exact"/>
              <w:ind w:right="73" w:hanging="99"/>
              <w:rPr>
                <w:sz w:val="14"/>
              </w:rPr>
            </w:pPr>
            <w:r>
              <w:rPr>
                <w:color w:val="231F20"/>
                <w:sz w:val="14"/>
              </w:rPr>
              <w:t xml:space="preserve">посебно место у настави историје имају питања, </w:t>
            </w:r>
            <w:r>
              <w:rPr>
                <w:color w:val="231F20"/>
                <w:spacing w:val="-3"/>
                <w:sz w:val="14"/>
              </w:rPr>
              <w:t xml:space="preserve">како </w:t>
            </w:r>
            <w:r>
              <w:rPr>
                <w:color w:val="231F20"/>
                <w:sz w:val="14"/>
              </w:rPr>
              <w:t xml:space="preserve">она која поставља наставник ученицима, тако и она која долазе </w:t>
            </w:r>
            <w:r>
              <w:rPr>
                <w:color w:val="231F20"/>
                <w:spacing w:val="-3"/>
                <w:sz w:val="14"/>
              </w:rPr>
              <w:t>од</w:t>
            </w:r>
            <w:r>
              <w:rPr>
                <w:color w:val="231F20"/>
                <w:spacing w:val="-23"/>
                <w:sz w:val="14"/>
              </w:rPr>
              <w:t xml:space="preserve"> </w:t>
            </w:r>
            <w:r>
              <w:rPr>
                <w:color w:val="231F20"/>
                <w:sz w:val="14"/>
              </w:rPr>
              <w:t>ученика, по</w:t>
            </w:r>
            <w:r>
              <w:rPr>
                <w:color w:val="231F20"/>
                <w:sz w:val="14"/>
              </w:rPr>
              <w:t>дстакнута оним што су чули у учионици или што су сазнали ван ње користећи различите изворе информација;</w:t>
            </w:r>
          </w:p>
          <w:p w:rsidR="00041039" w:rsidRDefault="001B26CB">
            <w:pPr>
              <w:pStyle w:val="TableParagraph"/>
              <w:numPr>
                <w:ilvl w:val="0"/>
                <w:numId w:val="142"/>
              </w:numPr>
              <w:tabs>
                <w:tab w:val="left" w:pos="158"/>
              </w:tabs>
              <w:spacing w:line="160" w:lineRule="exact"/>
              <w:ind w:right="56" w:hanging="99"/>
              <w:rPr>
                <w:sz w:val="14"/>
              </w:rPr>
            </w:pPr>
            <w:r>
              <w:rPr>
                <w:color w:val="231F20"/>
                <w:sz w:val="14"/>
              </w:rPr>
              <w:t>добро осмишљена питања настав­ ника имају подстицајну функцију за развој историјског мишљења и критичке свести, не само у фази утврђивања и систематизац</w:t>
            </w:r>
            <w:r>
              <w:rPr>
                <w:color w:val="231F20"/>
                <w:sz w:val="14"/>
              </w:rPr>
              <w:t>ије градива, већ и у самој обради наставних</w:t>
            </w:r>
            <w:r>
              <w:rPr>
                <w:color w:val="231F20"/>
                <w:spacing w:val="-1"/>
                <w:sz w:val="14"/>
              </w:rPr>
              <w:t xml:space="preserve"> </w:t>
            </w:r>
            <w:r>
              <w:rPr>
                <w:color w:val="231F20"/>
                <w:sz w:val="14"/>
              </w:rPr>
              <w:t>садржаја;</w:t>
            </w:r>
          </w:p>
        </w:tc>
      </w:tr>
      <w:tr w:rsidR="00041039">
        <w:trPr>
          <w:trHeight w:val="4947"/>
        </w:trPr>
        <w:tc>
          <w:tcPr>
            <w:tcW w:w="1304" w:type="dxa"/>
          </w:tcPr>
          <w:p w:rsidR="00041039" w:rsidRDefault="001B26CB">
            <w:pPr>
              <w:pStyle w:val="TableParagraph"/>
              <w:spacing w:before="20"/>
              <w:ind w:left="56" w:right="27"/>
              <w:rPr>
                <w:sz w:val="14"/>
              </w:rPr>
            </w:pPr>
            <w:r>
              <w:rPr>
                <w:color w:val="231F20"/>
                <w:sz w:val="14"/>
              </w:rPr>
              <w:t>Култура одевања и исхране некад и сад</w:t>
            </w:r>
          </w:p>
        </w:tc>
        <w:tc>
          <w:tcPr>
            <w:tcW w:w="1587" w:type="dxa"/>
          </w:tcPr>
          <w:p w:rsidR="00041039" w:rsidRDefault="001B26CB">
            <w:pPr>
              <w:pStyle w:val="TableParagraph"/>
              <w:numPr>
                <w:ilvl w:val="0"/>
                <w:numId w:val="141"/>
              </w:numPr>
              <w:tabs>
                <w:tab w:val="left" w:pos="157"/>
              </w:tabs>
              <w:spacing w:before="10"/>
              <w:ind w:right="102"/>
              <w:rPr>
                <w:sz w:val="14"/>
              </w:rPr>
            </w:pPr>
            <w:r>
              <w:rPr>
                <w:color w:val="231F20"/>
                <w:sz w:val="14"/>
              </w:rPr>
              <w:t>Проширивање знања о променама у</w:t>
            </w:r>
            <w:r>
              <w:rPr>
                <w:color w:val="231F20"/>
                <w:spacing w:val="-13"/>
                <w:sz w:val="14"/>
              </w:rPr>
              <w:t xml:space="preserve"> </w:t>
            </w:r>
            <w:r>
              <w:rPr>
                <w:color w:val="231F20"/>
                <w:sz w:val="14"/>
              </w:rPr>
              <w:t>начину одевања и исхрани кроз</w:t>
            </w:r>
            <w:r>
              <w:rPr>
                <w:color w:val="231F20"/>
                <w:spacing w:val="-2"/>
                <w:sz w:val="14"/>
              </w:rPr>
              <w:t xml:space="preserve"> </w:t>
            </w:r>
            <w:r>
              <w:rPr>
                <w:color w:val="231F20"/>
                <w:sz w:val="14"/>
              </w:rPr>
              <w:t>историју.</w:t>
            </w:r>
          </w:p>
          <w:p w:rsidR="00041039" w:rsidRDefault="001B26CB">
            <w:pPr>
              <w:pStyle w:val="TableParagraph"/>
              <w:numPr>
                <w:ilvl w:val="0"/>
                <w:numId w:val="141"/>
              </w:numPr>
              <w:tabs>
                <w:tab w:val="left" w:pos="157"/>
              </w:tabs>
              <w:spacing w:line="156" w:lineRule="exact"/>
              <w:rPr>
                <w:sz w:val="14"/>
              </w:rPr>
            </w:pPr>
            <w:r>
              <w:rPr>
                <w:color w:val="231F20"/>
                <w:spacing w:val="-3"/>
                <w:sz w:val="14"/>
              </w:rPr>
              <w:t xml:space="preserve">Уочавање </w:t>
            </w:r>
            <w:r>
              <w:rPr>
                <w:color w:val="231F20"/>
                <w:sz w:val="14"/>
              </w:rPr>
              <w:t>промена</w:t>
            </w:r>
            <w:r>
              <w:rPr>
                <w:color w:val="231F20"/>
                <w:spacing w:val="1"/>
                <w:sz w:val="14"/>
              </w:rPr>
              <w:t xml:space="preserve"> </w:t>
            </w:r>
            <w:r>
              <w:rPr>
                <w:color w:val="231F20"/>
                <w:sz w:val="14"/>
              </w:rPr>
              <w:t>у</w:t>
            </w:r>
          </w:p>
          <w:p w:rsidR="00041039" w:rsidRDefault="001B26CB">
            <w:pPr>
              <w:pStyle w:val="TableParagraph"/>
              <w:ind w:right="15"/>
              <w:rPr>
                <w:sz w:val="14"/>
              </w:rPr>
            </w:pPr>
            <w:r>
              <w:rPr>
                <w:color w:val="231F20"/>
                <w:sz w:val="14"/>
              </w:rPr>
              <w:t>начину одевања код Срба кроз историју.</w:t>
            </w:r>
          </w:p>
          <w:p w:rsidR="00041039" w:rsidRDefault="001B26CB">
            <w:pPr>
              <w:pStyle w:val="TableParagraph"/>
              <w:numPr>
                <w:ilvl w:val="0"/>
                <w:numId w:val="141"/>
              </w:numPr>
              <w:tabs>
                <w:tab w:val="left" w:pos="157"/>
              </w:tabs>
              <w:spacing w:line="160" w:lineRule="exact"/>
              <w:ind w:right="69"/>
              <w:rPr>
                <w:sz w:val="14"/>
              </w:rPr>
            </w:pPr>
            <w:r>
              <w:rPr>
                <w:color w:val="231F20"/>
                <w:spacing w:val="-3"/>
                <w:sz w:val="14"/>
              </w:rPr>
              <w:t xml:space="preserve">Уочавање улоге </w:t>
            </w:r>
            <w:r>
              <w:rPr>
                <w:color w:val="231F20"/>
                <w:sz w:val="14"/>
              </w:rPr>
              <w:t>различитих културних утицаја на начин одевања и исхрану</w:t>
            </w:r>
            <w:r>
              <w:rPr>
                <w:color w:val="231F20"/>
                <w:spacing w:val="-9"/>
                <w:sz w:val="14"/>
              </w:rPr>
              <w:t xml:space="preserve"> </w:t>
            </w:r>
            <w:r>
              <w:rPr>
                <w:color w:val="231F20"/>
                <w:spacing w:val="-5"/>
                <w:sz w:val="14"/>
              </w:rPr>
              <w:t xml:space="preserve">код </w:t>
            </w:r>
            <w:r>
              <w:rPr>
                <w:color w:val="231F20"/>
                <w:sz w:val="14"/>
              </w:rPr>
              <w:t>Срба кроз</w:t>
            </w:r>
            <w:r>
              <w:rPr>
                <w:color w:val="231F20"/>
                <w:spacing w:val="-5"/>
                <w:sz w:val="14"/>
              </w:rPr>
              <w:t xml:space="preserve"> </w:t>
            </w:r>
            <w:r>
              <w:rPr>
                <w:color w:val="231F20"/>
                <w:sz w:val="14"/>
              </w:rPr>
              <w:t>историју.</w:t>
            </w:r>
          </w:p>
        </w:tc>
        <w:tc>
          <w:tcPr>
            <w:tcW w:w="2551" w:type="dxa"/>
          </w:tcPr>
          <w:p w:rsidR="00041039" w:rsidRDefault="001B26CB">
            <w:pPr>
              <w:pStyle w:val="TableParagraph"/>
              <w:numPr>
                <w:ilvl w:val="0"/>
                <w:numId w:val="140"/>
              </w:numPr>
              <w:tabs>
                <w:tab w:val="left" w:pos="157"/>
              </w:tabs>
              <w:spacing w:before="10"/>
              <w:ind w:right="241" w:hanging="99"/>
              <w:rPr>
                <w:sz w:val="14"/>
              </w:rPr>
            </w:pPr>
            <w:r>
              <w:rPr>
                <w:color w:val="231F20"/>
                <w:sz w:val="14"/>
              </w:rPr>
              <w:t>уочи основна обележја културе</w:t>
            </w:r>
            <w:r>
              <w:rPr>
                <w:color w:val="231F20"/>
                <w:spacing w:val="-24"/>
                <w:sz w:val="14"/>
              </w:rPr>
              <w:t xml:space="preserve"> </w:t>
            </w:r>
            <w:r>
              <w:rPr>
                <w:color w:val="231F20"/>
                <w:sz w:val="14"/>
              </w:rPr>
              <w:t xml:space="preserve">оде­ вања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140"/>
              </w:numPr>
              <w:tabs>
                <w:tab w:val="left" w:pos="157"/>
              </w:tabs>
              <w:spacing w:before="1" w:line="160" w:lineRule="exact"/>
              <w:ind w:right="64" w:hanging="99"/>
              <w:rPr>
                <w:sz w:val="14"/>
              </w:rPr>
            </w:pPr>
            <w:r>
              <w:rPr>
                <w:color w:val="231F20"/>
                <w:sz w:val="14"/>
              </w:rPr>
              <w:t xml:space="preserve">идентификује основна обележја </w:t>
            </w:r>
            <w:r>
              <w:rPr>
                <w:color w:val="231F20"/>
                <w:spacing w:val="-3"/>
                <w:sz w:val="14"/>
              </w:rPr>
              <w:t xml:space="preserve">култу­ </w:t>
            </w:r>
            <w:r>
              <w:rPr>
                <w:color w:val="231F20"/>
                <w:sz w:val="14"/>
              </w:rPr>
              <w:t xml:space="preserve">ре одевања </w:t>
            </w:r>
            <w:r>
              <w:rPr>
                <w:color w:val="231F20"/>
                <w:spacing w:val="-5"/>
                <w:sz w:val="14"/>
              </w:rPr>
              <w:t xml:space="preserve">код </w:t>
            </w:r>
            <w:r>
              <w:rPr>
                <w:color w:val="231F20"/>
                <w:sz w:val="14"/>
              </w:rPr>
              <w:t>Срба кроз историју;</w:t>
            </w:r>
          </w:p>
          <w:p w:rsidR="00041039" w:rsidRDefault="001B26CB">
            <w:pPr>
              <w:pStyle w:val="TableParagraph"/>
              <w:numPr>
                <w:ilvl w:val="0"/>
                <w:numId w:val="140"/>
              </w:numPr>
              <w:tabs>
                <w:tab w:val="left" w:pos="157"/>
              </w:tabs>
              <w:spacing w:line="160" w:lineRule="exact"/>
              <w:ind w:right="294" w:hanging="99"/>
              <w:rPr>
                <w:sz w:val="14"/>
              </w:rPr>
            </w:pPr>
            <w:r>
              <w:rPr>
                <w:color w:val="231F20"/>
                <w:sz w:val="14"/>
              </w:rPr>
              <w:t>наведе и упореди разлике у</w:t>
            </w:r>
            <w:r>
              <w:rPr>
                <w:color w:val="231F20"/>
                <w:spacing w:val="-19"/>
                <w:sz w:val="14"/>
              </w:rPr>
              <w:t xml:space="preserve"> </w:t>
            </w:r>
            <w:r>
              <w:rPr>
                <w:color w:val="231F20"/>
                <w:sz w:val="14"/>
              </w:rPr>
              <w:t>начину одевања између села и града кроз историју;</w:t>
            </w:r>
          </w:p>
          <w:p w:rsidR="00041039" w:rsidRDefault="001B26CB">
            <w:pPr>
              <w:pStyle w:val="TableParagraph"/>
              <w:numPr>
                <w:ilvl w:val="0"/>
                <w:numId w:val="140"/>
              </w:numPr>
              <w:tabs>
                <w:tab w:val="left" w:pos="157"/>
              </w:tabs>
              <w:spacing w:line="160" w:lineRule="exact"/>
              <w:ind w:right="141" w:hanging="99"/>
              <w:rPr>
                <w:sz w:val="14"/>
              </w:rPr>
            </w:pPr>
            <w:r>
              <w:rPr>
                <w:color w:val="231F20"/>
                <w:sz w:val="14"/>
              </w:rPr>
              <w:t>наведе и упореди разлике у начину одевања између припадника</w:t>
            </w:r>
            <w:r>
              <w:rPr>
                <w:color w:val="231F20"/>
                <w:spacing w:val="-19"/>
                <w:sz w:val="14"/>
              </w:rPr>
              <w:t xml:space="preserve"> </w:t>
            </w:r>
            <w:r>
              <w:rPr>
                <w:color w:val="231F20"/>
                <w:sz w:val="14"/>
              </w:rPr>
              <w:t>различи­ тих друштвених група кроз</w:t>
            </w:r>
            <w:r>
              <w:rPr>
                <w:color w:val="231F20"/>
                <w:spacing w:val="-12"/>
                <w:sz w:val="14"/>
              </w:rPr>
              <w:t xml:space="preserve"> </w:t>
            </w:r>
            <w:r>
              <w:rPr>
                <w:color w:val="231F20"/>
                <w:sz w:val="14"/>
              </w:rPr>
              <w:t>историју;</w:t>
            </w:r>
          </w:p>
          <w:p w:rsidR="00041039" w:rsidRDefault="001B26CB">
            <w:pPr>
              <w:pStyle w:val="TableParagraph"/>
              <w:numPr>
                <w:ilvl w:val="0"/>
                <w:numId w:val="140"/>
              </w:numPr>
              <w:tabs>
                <w:tab w:val="left" w:pos="157"/>
              </w:tabs>
              <w:spacing w:line="160" w:lineRule="exact"/>
              <w:ind w:right="91" w:hanging="99"/>
              <w:rPr>
                <w:sz w:val="14"/>
              </w:rPr>
            </w:pPr>
            <w:r>
              <w:rPr>
                <w:color w:val="231F20"/>
                <w:sz w:val="14"/>
              </w:rPr>
              <w:t>препозна и разуме утицаје</w:t>
            </w:r>
            <w:r>
              <w:rPr>
                <w:color w:val="231F20"/>
                <w:spacing w:val="-13"/>
                <w:sz w:val="14"/>
              </w:rPr>
              <w:t xml:space="preserve"> </w:t>
            </w:r>
            <w:r>
              <w:rPr>
                <w:color w:val="231F20"/>
                <w:sz w:val="14"/>
              </w:rPr>
              <w:t xml:space="preserve">различитих култура на начин одевања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40"/>
              </w:numPr>
              <w:tabs>
                <w:tab w:val="left" w:pos="157"/>
              </w:tabs>
              <w:spacing w:line="160" w:lineRule="exact"/>
              <w:ind w:right="91" w:hanging="99"/>
              <w:rPr>
                <w:sz w:val="14"/>
              </w:rPr>
            </w:pPr>
            <w:r>
              <w:rPr>
                <w:color w:val="231F20"/>
                <w:sz w:val="14"/>
              </w:rPr>
              <w:t>препозна и разу</w:t>
            </w:r>
            <w:r>
              <w:rPr>
                <w:color w:val="231F20"/>
                <w:sz w:val="14"/>
              </w:rPr>
              <w:t>ме утицаје</w:t>
            </w:r>
            <w:r>
              <w:rPr>
                <w:color w:val="231F20"/>
                <w:spacing w:val="-13"/>
                <w:sz w:val="14"/>
              </w:rPr>
              <w:t xml:space="preserve"> </w:t>
            </w:r>
            <w:r>
              <w:rPr>
                <w:color w:val="231F20"/>
                <w:sz w:val="14"/>
              </w:rPr>
              <w:t xml:space="preserve">различитих култура на начин исхране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40"/>
              </w:numPr>
              <w:tabs>
                <w:tab w:val="left" w:pos="157"/>
              </w:tabs>
              <w:spacing w:line="160" w:lineRule="exact"/>
              <w:ind w:right="286" w:hanging="99"/>
              <w:rPr>
                <w:sz w:val="14"/>
              </w:rPr>
            </w:pPr>
            <w:r>
              <w:rPr>
                <w:color w:val="231F20"/>
                <w:sz w:val="14"/>
              </w:rPr>
              <w:t>наведе и упореди карактеристике исхране у различитим</w:t>
            </w:r>
            <w:r>
              <w:rPr>
                <w:color w:val="231F20"/>
                <w:spacing w:val="-7"/>
                <w:sz w:val="14"/>
              </w:rPr>
              <w:t xml:space="preserve"> </w:t>
            </w:r>
            <w:r>
              <w:rPr>
                <w:color w:val="231F20"/>
                <w:sz w:val="14"/>
              </w:rPr>
              <w:t>историјским периодима;</w:t>
            </w:r>
          </w:p>
        </w:tc>
        <w:tc>
          <w:tcPr>
            <w:tcW w:w="2834" w:type="dxa"/>
          </w:tcPr>
          <w:p w:rsidR="00041039" w:rsidRDefault="001B26CB">
            <w:pPr>
              <w:pStyle w:val="TableParagraph"/>
              <w:numPr>
                <w:ilvl w:val="0"/>
                <w:numId w:val="139"/>
              </w:numPr>
              <w:tabs>
                <w:tab w:val="left" w:pos="157"/>
              </w:tabs>
              <w:spacing w:before="11"/>
              <w:ind w:right="206" w:hanging="99"/>
              <w:rPr>
                <w:sz w:val="14"/>
              </w:rPr>
            </w:pPr>
            <w:r>
              <w:rPr>
                <w:color w:val="231F20"/>
                <w:spacing w:val="-3"/>
                <w:sz w:val="14"/>
              </w:rPr>
              <w:t xml:space="preserve">Култура </w:t>
            </w:r>
            <w:r>
              <w:rPr>
                <w:color w:val="231F20"/>
                <w:sz w:val="14"/>
              </w:rPr>
              <w:t xml:space="preserve">одевања </w:t>
            </w:r>
            <w:r>
              <w:rPr>
                <w:color w:val="231F20"/>
                <w:spacing w:val="-3"/>
                <w:sz w:val="14"/>
              </w:rPr>
              <w:t xml:space="preserve">од </w:t>
            </w:r>
            <w:r>
              <w:rPr>
                <w:color w:val="231F20"/>
                <w:sz w:val="14"/>
              </w:rPr>
              <w:t>антике до данас (ма­ теријали, начин обраде и бојење,</w:t>
            </w:r>
            <w:r>
              <w:rPr>
                <w:color w:val="231F20"/>
                <w:spacing w:val="-14"/>
                <w:sz w:val="14"/>
              </w:rPr>
              <w:t xml:space="preserve"> </w:t>
            </w:r>
            <w:r>
              <w:rPr>
                <w:color w:val="231F20"/>
                <w:sz w:val="14"/>
              </w:rPr>
              <w:t xml:space="preserve">разлике у одевању </w:t>
            </w:r>
            <w:r>
              <w:rPr>
                <w:color w:val="231F20"/>
                <w:spacing w:val="-5"/>
                <w:sz w:val="14"/>
              </w:rPr>
              <w:t xml:space="preserve">код </w:t>
            </w:r>
            <w:r>
              <w:rPr>
                <w:color w:val="231F20"/>
                <w:sz w:val="14"/>
              </w:rPr>
              <w:t>припадника различитих друштвених група; појава</w:t>
            </w:r>
            <w:r>
              <w:rPr>
                <w:color w:val="231F20"/>
                <w:spacing w:val="-6"/>
                <w:sz w:val="14"/>
              </w:rPr>
              <w:t xml:space="preserve"> </w:t>
            </w:r>
            <w:r>
              <w:rPr>
                <w:color w:val="231F20"/>
                <w:sz w:val="14"/>
              </w:rPr>
              <w:t>вештачких</w:t>
            </w:r>
          </w:p>
          <w:p w:rsidR="00041039" w:rsidRDefault="001B26CB">
            <w:pPr>
              <w:pStyle w:val="TableParagraph"/>
              <w:spacing w:line="237" w:lineRule="auto"/>
              <w:rPr>
                <w:sz w:val="14"/>
              </w:rPr>
            </w:pPr>
            <w:r>
              <w:rPr>
                <w:color w:val="231F20"/>
                <w:sz w:val="14"/>
              </w:rPr>
              <w:t>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rsidR="00041039" w:rsidRDefault="001B26CB">
            <w:pPr>
              <w:pStyle w:val="TableParagraph"/>
              <w:numPr>
                <w:ilvl w:val="0"/>
                <w:numId w:val="139"/>
              </w:numPr>
              <w:tabs>
                <w:tab w:val="left" w:pos="157"/>
              </w:tabs>
              <w:spacing w:line="237" w:lineRule="auto"/>
              <w:ind w:right="65" w:hanging="99"/>
              <w:rPr>
                <w:sz w:val="14"/>
              </w:rPr>
            </w:pPr>
            <w:r>
              <w:rPr>
                <w:color w:val="231F20"/>
                <w:sz w:val="14"/>
              </w:rPr>
              <w:t xml:space="preserve">Одевање </w:t>
            </w:r>
            <w:r>
              <w:rPr>
                <w:color w:val="231F20"/>
                <w:spacing w:val="-5"/>
                <w:sz w:val="14"/>
              </w:rPr>
              <w:t xml:space="preserve">код </w:t>
            </w:r>
            <w:r>
              <w:rPr>
                <w:color w:val="231F20"/>
                <w:sz w:val="14"/>
              </w:rPr>
              <w:t xml:space="preserve">Срба кроз историју (мате­ ријали и тканине ­ кудеља, конопља, чоја, крзно, </w:t>
            </w:r>
            <w:r>
              <w:rPr>
                <w:color w:val="231F20"/>
                <w:spacing w:val="-3"/>
                <w:sz w:val="14"/>
              </w:rPr>
              <w:t xml:space="preserve">кожа, </w:t>
            </w:r>
            <w:r>
              <w:rPr>
                <w:color w:val="231F20"/>
                <w:sz w:val="14"/>
              </w:rPr>
              <w:t xml:space="preserve">лан, свила; разлика у одевању </w:t>
            </w:r>
            <w:r>
              <w:rPr>
                <w:color w:val="231F20"/>
                <w:spacing w:val="-5"/>
                <w:sz w:val="14"/>
              </w:rPr>
              <w:t xml:space="preserve">код </w:t>
            </w:r>
            <w:r>
              <w:rPr>
                <w:color w:val="231F20"/>
                <w:sz w:val="14"/>
              </w:rPr>
              <w:t xml:space="preserve">Срба у Хабзбуршком и Османском </w:t>
            </w:r>
            <w:r>
              <w:rPr>
                <w:color w:val="231F20"/>
                <w:spacing w:val="-3"/>
                <w:sz w:val="14"/>
              </w:rPr>
              <w:t xml:space="preserve">царству, </w:t>
            </w:r>
            <w:r>
              <w:rPr>
                <w:color w:val="231F20"/>
                <w:sz w:val="14"/>
              </w:rPr>
              <w:t xml:space="preserve">као и </w:t>
            </w:r>
            <w:r>
              <w:rPr>
                <w:color w:val="231F20"/>
                <w:spacing w:val="-5"/>
                <w:sz w:val="14"/>
              </w:rPr>
              <w:t xml:space="preserve">код </w:t>
            </w:r>
            <w:r>
              <w:rPr>
                <w:color w:val="231F20"/>
                <w:sz w:val="14"/>
              </w:rPr>
              <w:t>припадника различитих друштвених група; грађанско одело и европски узори у облачењу срп</w:t>
            </w:r>
            <w:r>
              <w:rPr>
                <w:color w:val="231F20"/>
                <w:sz w:val="14"/>
              </w:rPr>
              <w:t>ског</w:t>
            </w:r>
            <w:r>
              <w:rPr>
                <w:color w:val="231F20"/>
                <w:spacing w:val="-25"/>
                <w:sz w:val="14"/>
              </w:rPr>
              <w:t xml:space="preserve"> </w:t>
            </w:r>
            <w:r>
              <w:rPr>
                <w:color w:val="231F20"/>
                <w:sz w:val="14"/>
              </w:rPr>
              <w:t>грађан­ ског сталежа; униформе државних чинов­ ника, лекара, цариника, професора Лицеја и гимназија у обновљеној Србији; народна ношња, савремени начин</w:t>
            </w:r>
            <w:r>
              <w:rPr>
                <w:color w:val="231F20"/>
                <w:spacing w:val="-5"/>
                <w:sz w:val="14"/>
              </w:rPr>
              <w:t xml:space="preserve"> </w:t>
            </w:r>
            <w:r>
              <w:rPr>
                <w:color w:val="231F20"/>
                <w:sz w:val="14"/>
              </w:rPr>
              <w:t>одевања).</w:t>
            </w:r>
          </w:p>
          <w:p w:rsidR="00041039" w:rsidRDefault="001B26CB">
            <w:pPr>
              <w:pStyle w:val="TableParagraph"/>
              <w:numPr>
                <w:ilvl w:val="0"/>
                <w:numId w:val="139"/>
              </w:numPr>
              <w:tabs>
                <w:tab w:val="left" w:pos="157"/>
              </w:tabs>
              <w:spacing w:line="237" w:lineRule="auto"/>
              <w:ind w:right="342" w:hanging="99"/>
              <w:rPr>
                <w:sz w:val="14"/>
              </w:rPr>
            </w:pPr>
            <w:r>
              <w:rPr>
                <w:color w:val="231F20"/>
                <w:spacing w:val="-3"/>
                <w:sz w:val="14"/>
              </w:rPr>
              <w:t xml:space="preserve">Култура </w:t>
            </w:r>
            <w:r>
              <w:rPr>
                <w:color w:val="231F20"/>
                <w:sz w:val="14"/>
              </w:rPr>
              <w:t xml:space="preserve">исхране </w:t>
            </w:r>
            <w:r>
              <w:rPr>
                <w:color w:val="231F20"/>
                <w:spacing w:val="-3"/>
                <w:sz w:val="14"/>
              </w:rPr>
              <w:t xml:space="preserve">од </w:t>
            </w:r>
            <w:r>
              <w:rPr>
                <w:color w:val="231F20"/>
                <w:sz w:val="14"/>
              </w:rPr>
              <w:t>антике до данас (сакупљање и припремање</w:t>
            </w:r>
            <w:r>
              <w:rPr>
                <w:color w:val="231F20"/>
                <w:spacing w:val="-17"/>
                <w:sz w:val="14"/>
              </w:rPr>
              <w:t xml:space="preserve"> </w:t>
            </w:r>
            <w:r>
              <w:rPr>
                <w:color w:val="231F20"/>
                <w:sz w:val="14"/>
              </w:rPr>
              <w:t>намирница,</w:t>
            </w:r>
          </w:p>
          <w:p w:rsidR="00041039" w:rsidRDefault="001B26CB">
            <w:pPr>
              <w:pStyle w:val="TableParagraph"/>
              <w:ind w:right="13"/>
              <w:rPr>
                <w:sz w:val="14"/>
              </w:rPr>
            </w:pPr>
            <w:r>
              <w:rPr>
                <w:color w:val="231F20"/>
                <w:sz w:val="14"/>
              </w:rPr>
              <w:t>лов и риболов, начи</w:t>
            </w:r>
            <w:r>
              <w:rPr>
                <w:color w:val="231F20"/>
                <w:sz w:val="14"/>
              </w:rPr>
              <w:t>ни чувања хране, пиће, реконструкција могућег јеловника ­ двор, град, село; посни и мрсни циклуси; наци­ онална кухиња код Срба, утицаји других кухиња; конзумирање кафе и дувана, употреба источњачких зачина, понашање за столом, прибор за јело; кухињски апа</w:t>
            </w:r>
            <w:r>
              <w:rPr>
                <w:color w:val="231F20"/>
                <w:sz w:val="14"/>
              </w:rPr>
              <w:t>рати; ресторани „брзе хране”).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3560"/>
        </w:trPr>
        <w:tc>
          <w:tcPr>
            <w:tcW w:w="1304" w:type="dxa"/>
          </w:tcPr>
          <w:p w:rsidR="00041039" w:rsidRDefault="001B26CB">
            <w:pPr>
              <w:pStyle w:val="TableParagraph"/>
              <w:spacing w:before="18"/>
              <w:ind w:left="56" w:right="174"/>
              <w:rPr>
                <w:sz w:val="14"/>
              </w:rPr>
            </w:pPr>
            <w:r>
              <w:rPr>
                <w:color w:val="231F20"/>
                <w:sz w:val="14"/>
              </w:rPr>
              <w:lastRenderedPageBreak/>
              <w:t>Војска, оружје и рат некад и сад</w:t>
            </w:r>
          </w:p>
        </w:tc>
        <w:tc>
          <w:tcPr>
            <w:tcW w:w="1587" w:type="dxa"/>
          </w:tcPr>
          <w:p w:rsidR="00041039" w:rsidRDefault="001B26CB">
            <w:pPr>
              <w:pStyle w:val="TableParagraph"/>
              <w:numPr>
                <w:ilvl w:val="0"/>
                <w:numId w:val="138"/>
              </w:numPr>
              <w:tabs>
                <w:tab w:val="left" w:pos="157"/>
              </w:tabs>
              <w:spacing w:before="8"/>
              <w:ind w:right="115"/>
              <w:rPr>
                <w:sz w:val="14"/>
              </w:rPr>
            </w:pPr>
            <w:r>
              <w:rPr>
                <w:color w:val="231F20"/>
                <w:sz w:val="14"/>
              </w:rPr>
              <w:t>Проширивање знања о развоју војне тех­ нике и променама у начину ратовања</w:t>
            </w:r>
            <w:r>
              <w:rPr>
                <w:color w:val="231F20"/>
                <w:spacing w:val="-14"/>
                <w:sz w:val="14"/>
              </w:rPr>
              <w:t xml:space="preserve"> </w:t>
            </w:r>
            <w:r>
              <w:rPr>
                <w:color w:val="231F20"/>
                <w:sz w:val="14"/>
              </w:rPr>
              <w:t>кроз историју.</w:t>
            </w:r>
          </w:p>
          <w:p w:rsidR="00041039" w:rsidRDefault="001B26CB">
            <w:pPr>
              <w:pStyle w:val="TableParagraph"/>
              <w:numPr>
                <w:ilvl w:val="0"/>
                <w:numId w:val="138"/>
              </w:numPr>
              <w:tabs>
                <w:tab w:val="left" w:pos="157"/>
              </w:tabs>
              <w:spacing w:line="155"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121"/>
              <w:jc w:val="both"/>
              <w:rPr>
                <w:sz w:val="14"/>
              </w:rPr>
            </w:pPr>
            <w:r>
              <w:rPr>
                <w:color w:val="231F20"/>
                <w:sz w:val="14"/>
              </w:rPr>
              <w:t>развоју војске и</w:t>
            </w:r>
            <w:r>
              <w:rPr>
                <w:color w:val="231F20"/>
                <w:spacing w:val="-15"/>
                <w:sz w:val="14"/>
              </w:rPr>
              <w:t xml:space="preserve"> </w:t>
            </w:r>
            <w:r>
              <w:rPr>
                <w:color w:val="231F20"/>
                <w:sz w:val="14"/>
              </w:rPr>
              <w:t xml:space="preserve">начи­ ну ратовања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138"/>
              </w:numPr>
              <w:tabs>
                <w:tab w:val="left" w:pos="157"/>
              </w:tabs>
              <w:spacing w:line="158" w:lineRule="exact"/>
              <w:rPr>
                <w:sz w:val="14"/>
              </w:rPr>
            </w:pPr>
            <w:r>
              <w:rPr>
                <w:color w:val="231F20"/>
                <w:sz w:val="14"/>
              </w:rPr>
              <w:t>Развијање</w:t>
            </w:r>
            <w:r>
              <w:rPr>
                <w:color w:val="231F20"/>
                <w:spacing w:val="-4"/>
                <w:sz w:val="14"/>
              </w:rPr>
              <w:t xml:space="preserve"> </w:t>
            </w:r>
            <w:r>
              <w:rPr>
                <w:color w:val="231F20"/>
                <w:sz w:val="14"/>
              </w:rPr>
              <w:t>критичког</w:t>
            </w:r>
          </w:p>
          <w:p w:rsidR="00041039" w:rsidRDefault="001B26CB">
            <w:pPr>
              <w:pStyle w:val="TableParagraph"/>
              <w:spacing w:line="160" w:lineRule="exact"/>
              <w:rPr>
                <w:sz w:val="14"/>
              </w:rPr>
            </w:pPr>
            <w:r>
              <w:rPr>
                <w:color w:val="231F20"/>
                <w:sz w:val="14"/>
              </w:rPr>
              <w:t>става према рату.</w:t>
            </w:r>
          </w:p>
        </w:tc>
        <w:tc>
          <w:tcPr>
            <w:tcW w:w="2551" w:type="dxa"/>
          </w:tcPr>
          <w:p w:rsidR="00041039" w:rsidRDefault="001B26CB">
            <w:pPr>
              <w:pStyle w:val="TableParagraph"/>
              <w:numPr>
                <w:ilvl w:val="0"/>
                <w:numId w:val="137"/>
              </w:numPr>
              <w:tabs>
                <w:tab w:val="left" w:pos="157"/>
              </w:tabs>
              <w:spacing w:before="8"/>
              <w:ind w:right="143" w:hanging="99"/>
              <w:rPr>
                <w:sz w:val="14"/>
              </w:rPr>
            </w:pPr>
            <w:r>
              <w:rPr>
                <w:color w:val="231F20"/>
                <w:sz w:val="14"/>
              </w:rPr>
              <w:t>уочи основна обележја ратова и</w:t>
            </w:r>
            <w:r>
              <w:rPr>
                <w:color w:val="231F20"/>
                <w:spacing w:val="-18"/>
                <w:sz w:val="14"/>
              </w:rPr>
              <w:t xml:space="preserve"> </w:t>
            </w:r>
            <w:r>
              <w:rPr>
                <w:color w:val="231F20"/>
                <w:sz w:val="14"/>
              </w:rPr>
              <w:t xml:space="preserve">војне организације и технике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137"/>
              </w:numPr>
              <w:tabs>
                <w:tab w:val="left" w:pos="157"/>
              </w:tabs>
              <w:spacing w:line="157" w:lineRule="exact"/>
              <w:ind w:hanging="99"/>
              <w:rPr>
                <w:sz w:val="14"/>
              </w:rPr>
            </w:pPr>
            <w:r>
              <w:rPr>
                <w:color w:val="231F20"/>
                <w:sz w:val="14"/>
              </w:rPr>
              <w:t>разуме утицај научно ­</w:t>
            </w:r>
            <w:r>
              <w:rPr>
                <w:color w:val="231F20"/>
                <w:spacing w:val="-11"/>
                <w:sz w:val="14"/>
              </w:rPr>
              <w:t xml:space="preserve"> </w:t>
            </w:r>
            <w:r>
              <w:rPr>
                <w:color w:val="231F20"/>
                <w:sz w:val="14"/>
              </w:rPr>
              <w:t>технолошких</w:t>
            </w:r>
          </w:p>
          <w:p w:rsidR="00041039" w:rsidRDefault="001B26CB">
            <w:pPr>
              <w:pStyle w:val="TableParagraph"/>
              <w:rPr>
                <w:sz w:val="14"/>
              </w:rPr>
            </w:pPr>
            <w:r>
              <w:rPr>
                <w:color w:val="231F20"/>
                <w:sz w:val="14"/>
              </w:rPr>
              <w:t>достигнућа на промене у начину рато­ вања кроз историју;</w:t>
            </w:r>
          </w:p>
          <w:p w:rsidR="00041039" w:rsidRDefault="001B26CB">
            <w:pPr>
              <w:pStyle w:val="TableParagraph"/>
              <w:numPr>
                <w:ilvl w:val="0"/>
                <w:numId w:val="137"/>
              </w:numPr>
              <w:tabs>
                <w:tab w:val="left" w:pos="157"/>
              </w:tabs>
              <w:spacing w:line="160" w:lineRule="exact"/>
              <w:ind w:right="142" w:hanging="99"/>
              <w:rPr>
                <w:sz w:val="14"/>
              </w:rPr>
            </w:pPr>
            <w:r>
              <w:rPr>
                <w:color w:val="231F20"/>
                <w:sz w:val="14"/>
              </w:rPr>
              <w:t>уочи карактеристике развоја оружја</w:t>
            </w:r>
            <w:r>
              <w:rPr>
                <w:color w:val="231F20"/>
                <w:spacing w:val="-22"/>
                <w:sz w:val="14"/>
              </w:rPr>
              <w:t xml:space="preserve"> </w:t>
            </w:r>
            <w:r>
              <w:rPr>
                <w:color w:val="231F20"/>
                <w:sz w:val="14"/>
              </w:rPr>
              <w:t>и војне</w:t>
            </w:r>
            <w:r>
              <w:rPr>
                <w:color w:val="231F20"/>
                <w:spacing w:val="-1"/>
                <w:sz w:val="14"/>
              </w:rPr>
              <w:t xml:space="preserve"> </w:t>
            </w:r>
            <w:r>
              <w:rPr>
                <w:color w:val="231F20"/>
                <w:sz w:val="14"/>
              </w:rPr>
              <w:t>организације;</w:t>
            </w:r>
          </w:p>
          <w:p w:rsidR="00041039" w:rsidRDefault="001B26CB">
            <w:pPr>
              <w:pStyle w:val="TableParagraph"/>
              <w:numPr>
                <w:ilvl w:val="0"/>
                <w:numId w:val="137"/>
              </w:numPr>
              <w:tabs>
                <w:tab w:val="left" w:pos="157"/>
              </w:tabs>
              <w:spacing w:line="160" w:lineRule="exact"/>
              <w:ind w:right="64" w:hanging="99"/>
              <w:rPr>
                <w:sz w:val="14"/>
              </w:rPr>
            </w:pPr>
            <w:r>
              <w:rPr>
                <w:color w:val="231F20"/>
                <w:sz w:val="14"/>
              </w:rPr>
              <w:t>уочи основна обележја војне</w:t>
            </w:r>
            <w:r>
              <w:rPr>
                <w:color w:val="231F20"/>
                <w:spacing w:val="-9"/>
                <w:sz w:val="14"/>
              </w:rPr>
              <w:t xml:space="preserve"> </w:t>
            </w:r>
            <w:r>
              <w:rPr>
                <w:color w:val="231F20"/>
                <w:sz w:val="14"/>
              </w:rPr>
              <w:t xml:space="preserve">организа­ ције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37"/>
              </w:numPr>
              <w:tabs>
                <w:tab w:val="left" w:pos="157"/>
              </w:tabs>
              <w:spacing w:line="160" w:lineRule="exact"/>
              <w:ind w:right="55" w:hanging="99"/>
              <w:rPr>
                <w:sz w:val="14"/>
              </w:rPr>
            </w:pPr>
            <w:r>
              <w:rPr>
                <w:color w:val="231F20"/>
                <w:sz w:val="14"/>
              </w:rPr>
              <w:t>наведе и упореди карактеристике</w:t>
            </w:r>
            <w:r>
              <w:rPr>
                <w:color w:val="231F20"/>
                <w:spacing w:val="-22"/>
                <w:sz w:val="14"/>
              </w:rPr>
              <w:t xml:space="preserve"> </w:t>
            </w:r>
            <w:r>
              <w:rPr>
                <w:color w:val="231F20"/>
                <w:sz w:val="14"/>
              </w:rPr>
              <w:t>рато­ вања у различитим</w:t>
            </w:r>
            <w:r>
              <w:rPr>
                <w:color w:val="231F20"/>
                <w:spacing w:val="-3"/>
                <w:sz w:val="14"/>
              </w:rPr>
              <w:t xml:space="preserve"> </w:t>
            </w:r>
            <w:r>
              <w:rPr>
                <w:color w:val="231F20"/>
                <w:sz w:val="14"/>
              </w:rPr>
              <w:t>периодима;</w:t>
            </w:r>
          </w:p>
          <w:p w:rsidR="00041039" w:rsidRDefault="001B26CB">
            <w:pPr>
              <w:pStyle w:val="TableParagraph"/>
              <w:numPr>
                <w:ilvl w:val="0"/>
                <w:numId w:val="137"/>
              </w:numPr>
              <w:tabs>
                <w:tab w:val="left" w:pos="157"/>
              </w:tabs>
              <w:spacing w:line="160" w:lineRule="exact"/>
              <w:ind w:right="82" w:hanging="99"/>
              <w:rPr>
                <w:sz w:val="14"/>
              </w:rPr>
            </w:pPr>
            <w:r>
              <w:rPr>
                <w:color w:val="231F20"/>
                <w:sz w:val="14"/>
              </w:rPr>
              <w:t>разуме</w:t>
            </w:r>
            <w:r>
              <w:rPr>
                <w:color w:val="231F20"/>
                <w:spacing w:val="-7"/>
                <w:sz w:val="14"/>
              </w:rPr>
              <w:t xml:space="preserve"> </w:t>
            </w:r>
            <w:r>
              <w:rPr>
                <w:color w:val="231F20"/>
                <w:sz w:val="14"/>
              </w:rPr>
              <w:t>улогу</w:t>
            </w:r>
            <w:r>
              <w:rPr>
                <w:color w:val="231F20"/>
                <w:spacing w:val="-8"/>
                <w:sz w:val="14"/>
              </w:rPr>
              <w:t xml:space="preserve"> </w:t>
            </w:r>
            <w:r>
              <w:rPr>
                <w:color w:val="231F20"/>
                <w:sz w:val="14"/>
              </w:rPr>
              <w:t>појединца</w:t>
            </w:r>
            <w:r>
              <w:rPr>
                <w:color w:val="231F20"/>
                <w:spacing w:val="-7"/>
                <w:sz w:val="14"/>
              </w:rPr>
              <w:t xml:space="preserve"> </w:t>
            </w:r>
            <w:r>
              <w:rPr>
                <w:color w:val="231F20"/>
                <w:sz w:val="14"/>
              </w:rPr>
              <w:t>у</w:t>
            </w:r>
            <w:r>
              <w:rPr>
                <w:color w:val="231F20"/>
                <w:spacing w:val="-7"/>
                <w:sz w:val="14"/>
              </w:rPr>
              <w:t xml:space="preserve"> </w:t>
            </w:r>
            <w:r>
              <w:rPr>
                <w:color w:val="231F20"/>
                <w:sz w:val="14"/>
              </w:rPr>
              <w:t>рату</w:t>
            </w:r>
            <w:r>
              <w:rPr>
                <w:color w:val="231F20"/>
                <w:spacing w:val="-7"/>
                <w:sz w:val="14"/>
              </w:rPr>
              <w:t xml:space="preserve"> </w:t>
            </w:r>
            <w:r>
              <w:rPr>
                <w:color w:val="231F20"/>
                <w:sz w:val="14"/>
              </w:rPr>
              <w:t>(војско­ вођа, официра, регрута,</w:t>
            </w:r>
            <w:r>
              <w:rPr>
                <w:color w:val="231F20"/>
                <w:spacing w:val="-3"/>
                <w:sz w:val="14"/>
              </w:rPr>
              <w:t xml:space="preserve"> </w:t>
            </w:r>
            <w:r>
              <w:rPr>
                <w:color w:val="231F20"/>
                <w:sz w:val="14"/>
              </w:rPr>
              <w:t>цивила);</w:t>
            </w:r>
          </w:p>
          <w:p w:rsidR="00041039" w:rsidRDefault="001B26CB">
            <w:pPr>
              <w:pStyle w:val="TableParagraph"/>
              <w:numPr>
                <w:ilvl w:val="0"/>
                <w:numId w:val="137"/>
              </w:numPr>
              <w:tabs>
                <w:tab w:val="left" w:pos="157"/>
              </w:tabs>
              <w:spacing w:line="160" w:lineRule="exact"/>
              <w:ind w:right="135" w:hanging="99"/>
              <w:rPr>
                <w:sz w:val="14"/>
              </w:rPr>
            </w:pPr>
            <w:r>
              <w:rPr>
                <w:color w:val="231F20"/>
                <w:sz w:val="14"/>
              </w:rPr>
              <w:t>аргументовано дискутује о рату и</w:t>
            </w:r>
            <w:r>
              <w:rPr>
                <w:color w:val="231F20"/>
                <w:spacing w:val="-20"/>
                <w:sz w:val="14"/>
              </w:rPr>
              <w:t xml:space="preserve"> </w:t>
            </w:r>
            <w:r>
              <w:rPr>
                <w:color w:val="231F20"/>
                <w:sz w:val="14"/>
              </w:rPr>
              <w:t>ње­ говим последицама на живот</w:t>
            </w:r>
            <w:r>
              <w:rPr>
                <w:color w:val="231F20"/>
                <w:spacing w:val="-11"/>
                <w:sz w:val="14"/>
              </w:rPr>
              <w:t xml:space="preserve"> </w:t>
            </w:r>
            <w:r>
              <w:rPr>
                <w:color w:val="231F20"/>
                <w:sz w:val="14"/>
              </w:rPr>
              <w:t>људи.</w:t>
            </w:r>
          </w:p>
        </w:tc>
        <w:tc>
          <w:tcPr>
            <w:tcW w:w="2834" w:type="dxa"/>
          </w:tcPr>
          <w:p w:rsidR="00041039" w:rsidRDefault="001B26CB">
            <w:pPr>
              <w:pStyle w:val="TableParagraph"/>
              <w:numPr>
                <w:ilvl w:val="0"/>
                <w:numId w:val="136"/>
              </w:numPr>
              <w:tabs>
                <w:tab w:val="left" w:pos="157"/>
              </w:tabs>
              <w:spacing w:before="8"/>
              <w:ind w:right="45" w:hanging="99"/>
              <w:rPr>
                <w:sz w:val="14"/>
              </w:rPr>
            </w:pPr>
            <w:r>
              <w:rPr>
                <w:color w:val="231F20"/>
                <w:sz w:val="14"/>
              </w:rPr>
              <w:t>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w:t>
            </w:r>
            <w:r>
              <w:rPr>
                <w:color w:val="231F20"/>
                <w:sz w:val="14"/>
              </w:rPr>
              <w:t xml:space="preserve">ог оружја ­ </w:t>
            </w:r>
            <w:r>
              <w:rPr>
                <w:color w:val="231F20"/>
                <w:spacing w:val="-3"/>
                <w:sz w:val="14"/>
              </w:rPr>
              <w:t xml:space="preserve">од </w:t>
            </w:r>
            <w:r>
              <w:rPr>
                <w:color w:val="231F20"/>
                <w:sz w:val="14"/>
              </w:rPr>
              <w:t>примитивних пушака аркебуза и</w:t>
            </w:r>
            <w:r>
              <w:rPr>
                <w:color w:val="231F20"/>
                <w:spacing w:val="-25"/>
                <w:sz w:val="14"/>
              </w:rPr>
              <w:t xml:space="preserve"> </w:t>
            </w:r>
            <w:r>
              <w:rPr>
                <w:color w:val="231F20"/>
                <w:sz w:val="14"/>
              </w:rPr>
              <w:t xml:space="preserve">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w:t>
            </w:r>
            <w:r>
              <w:rPr>
                <w:color w:val="231F20"/>
                <w:sz w:val="14"/>
              </w:rPr>
              <w:t>међународне конвенције о правилима ратовања, највеће</w:t>
            </w:r>
            <w:r>
              <w:rPr>
                <w:color w:val="231F20"/>
                <w:spacing w:val="-2"/>
                <w:sz w:val="14"/>
              </w:rPr>
              <w:t xml:space="preserve"> </w:t>
            </w:r>
            <w:r>
              <w:rPr>
                <w:color w:val="231F20"/>
                <w:sz w:val="14"/>
              </w:rPr>
              <w:t>војсковође).</w:t>
            </w:r>
          </w:p>
          <w:p w:rsidR="00041039" w:rsidRDefault="001B26CB">
            <w:pPr>
              <w:pStyle w:val="TableParagraph"/>
              <w:numPr>
                <w:ilvl w:val="0"/>
                <w:numId w:val="136"/>
              </w:numPr>
              <w:tabs>
                <w:tab w:val="left" w:pos="157"/>
              </w:tabs>
              <w:spacing w:line="148" w:lineRule="exact"/>
              <w:ind w:hanging="99"/>
              <w:rPr>
                <w:sz w:val="14"/>
              </w:rPr>
            </w:pPr>
            <w:r>
              <w:rPr>
                <w:color w:val="231F20"/>
                <w:sz w:val="14"/>
              </w:rPr>
              <w:t xml:space="preserve">Војска </w:t>
            </w:r>
            <w:r>
              <w:rPr>
                <w:color w:val="231F20"/>
                <w:spacing w:val="-5"/>
                <w:sz w:val="14"/>
              </w:rPr>
              <w:t xml:space="preserve">код </w:t>
            </w:r>
            <w:r>
              <w:rPr>
                <w:color w:val="231F20"/>
                <w:sz w:val="14"/>
              </w:rPr>
              <w:t>Срба кроз историју</w:t>
            </w:r>
            <w:r>
              <w:rPr>
                <w:color w:val="231F20"/>
                <w:spacing w:val="1"/>
                <w:sz w:val="14"/>
              </w:rPr>
              <w:t xml:space="preserve"> </w:t>
            </w:r>
            <w:r>
              <w:rPr>
                <w:color w:val="231F20"/>
                <w:sz w:val="14"/>
              </w:rPr>
              <w:t>(српска</w:t>
            </w:r>
          </w:p>
          <w:p w:rsidR="00041039" w:rsidRDefault="001B26CB">
            <w:pPr>
              <w:pStyle w:val="TableParagraph"/>
              <w:ind w:right="396"/>
              <w:rPr>
                <w:sz w:val="14"/>
              </w:rPr>
            </w:pPr>
            <w:r>
              <w:rPr>
                <w:color w:val="231F20"/>
                <w:sz w:val="14"/>
              </w:rPr>
              <w:t>војска у средњем веку ­ опрема, на­ чин ратовања; Срби у аустријској и</w:t>
            </w:r>
          </w:p>
          <w:p w:rsidR="00041039" w:rsidRDefault="001B26CB">
            <w:pPr>
              <w:pStyle w:val="TableParagraph"/>
              <w:rPr>
                <w:sz w:val="14"/>
              </w:rPr>
            </w:pPr>
            <w:r>
              <w:rPr>
                <w:color w:val="231F20"/>
                <w:sz w:val="14"/>
              </w:rPr>
              <w:t>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w:t>
            </w:r>
          </w:p>
        </w:tc>
        <w:tc>
          <w:tcPr>
            <w:tcW w:w="2267" w:type="dxa"/>
            <w:vMerge w:val="restart"/>
          </w:tcPr>
          <w:p w:rsidR="00041039" w:rsidRDefault="001B26CB">
            <w:pPr>
              <w:pStyle w:val="TableParagraph"/>
              <w:numPr>
                <w:ilvl w:val="0"/>
                <w:numId w:val="135"/>
              </w:numPr>
              <w:tabs>
                <w:tab w:val="left" w:pos="158"/>
              </w:tabs>
              <w:spacing w:before="9"/>
              <w:ind w:right="81" w:hanging="99"/>
              <w:rPr>
                <w:sz w:val="14"/>
              </w:rPr>
            </w:pPr>
            <w:r>
              <w:rPr>
                <w:color w:val="231F20"/>
                <w:sz w:val="14"/>
              </w:rPr>
              <w:t xml:space="preserve">у зависности </w:t>
            </w:r>
            <w:r>
              <w:rPr>
                <w:color w:val="231F20"/>
                <w:spacing w:val="-3"/>
                <w:sz w:val="14"/>
              </w:rPr>
              <w:t xml:space="preserve">од </w:t>
            </w:r>
            <w:r>
              <w:rPr>
                <w:color w:val="231F20"/>
                <w:sz w:val="14"/>
              </w:rPr>
              <w:t>циља који на­ ставник жели да оствари, питања могу имати различите функције, као што су: фокусирање пажње на неки садржај или аспект, подстицање поређења, трагање</w:t>
            </w:r>
            <w:r>
              <w:rPr>
                <w:color w:val="231F20"/>
                <w:spacing w:val="-14"/>
                <w:sz w:val="14"/>
              </w:rPr>
              <w:t xml:space="preserve"> </w:t>
            </w:r>
            <w:r>
              <w:rPr>
                <w:color w:val="231F20"/>
                <w:sz w:val="14"/>
              </w:rPr>
              <w:t>за појашњењем;</w:t>
            </w:r>
          </w:p>
          <w:p w:rsidR="00041039" w:rsidRDefault="001B26CB">
            <w:pPr>
              <w:pStyle w:val="TableParagraph"/>
              <w:numPr>
                <w:ilvl w:val="0"/>
                <w:numId w:val="135"/>
              </w:numPr>
              <w:tabs>
                <w:tab w:val="left" w:pos="158"/>
              </w:tabs>
              <w:spacing w:line="153" w:lineRule="exact"/>
              <w:ind w:hanging="99"/>
              <w:rPr>
                <w:sz w:val="14"/>
              </w:rPr>
            </w:pPr>
            <w:r>
              <w:rPr>
                <w:color w:val="231F20"/>
                <w:sz w:val="14"/>
              </w:rPr>
              <w:t>настава би требало да</w:t>
            </w:r>
            <w:r>
              <w:rPr>
                <w:color w:val="231F20"/>
                <w:spacing w:val="-4"/>
                <w:sz w:val="14"/>
              </w:rPr>
              <w:t xml:space="preserve"> </w:t>
            </w:r>
            <w:r>
              <w:rPr>
                <w:color w:val="231F20"/>
                <w:sz w:val="14"/>
              </w:rPr>
              <w:t>помогне</w:t>
            </w:r>
          </w:p>
          <w:p w:rsidR="00041039" w:rsidRDefault="001B26CB">
            <w:pPr>
              <w:pStyle w:val="TableParagraph"/>
              <w:ind w:left="157" w:right="104"/>
              <w:rPr>
                <w:sz w:val="14"/>
              </w:rPr>
            </w:pPr>
            <w:r>
              <w:rPr>
                <w:color w:val="231F20"/>
                <w:sz w:val="14"/>
              </w:rPr>
              <w:t>ученицима у стварању што јасније представе не са</w:t>
            </w:r>
            <w:r>
              <w:rPr>
                <w:color w:val="231F20"/>
                <w:sz w:val="14"/>
              </w:rPr>
              <w:t>мо о томе шта се десило, већ и зашто се то десило и какве су последице из тога проистекле;</w:t>
            </w:r>
          </w:p>
          <w:p w:rsidR="00041039" w:rsidRDefault="001B26CB">
            <w:pPr>
              <w:pStyle w:val="TableParagraph"/>
              <w:numPr>
                <w:ilvl w:val="0"/>
                <w:numId w:val="135"/>
              </w:numPr>
              <w:tabs>
                <w:tab w:val="left" w:pos="158"/>
              </w:tabs>
              <w:spacing w:line="156" w:lineRule="exact"/>
              <w:ind w:hanging="99"/>
              <w:rPr>
                <w:sz w:val="14"/>
              </w:rPr>
            </w:pPr>
            <w:r>
              <w:rPr>
                <w:color w:val="231F20"/>
                <w:sz w:val="14"/>
              </w:rPr>
              <w:t>у настави треба што</w:t>
            </w:r>
            <w:r>
              <w:rPr>
                <w:color w:val="231F20"/>
                <w:spacing w:val="-2"/>
                <w:sz w:val="14"/>
              </w:rPr>
              <w:t xml:space="preserve"> </w:t>
            </w:r>
            <w:r>
              <w:rPr>
                <w:color w:val="231F20"/>
                <w:sz w:val="14"/>
              </w:rPr>
              <w:t>више</w:t>
            </w:r>
          </w:p>
          <w:p w:rsidR="00041039" w:rsidRDefault="001B26CB">
            <w:pPr>
              <w:pStyle w:val="TableParagraph"/>
              <w:ind w:left="157" w:right="51"/>
              <w:rPr>
                <w:sz w:val="14"/>
              </w:rPr>
            </w:pPr>
            <w:r>
              <w:rPr>
                <w:color w:val="231F20"/>
                <w:sz w:val="14"/>
              </w:rPr>
              <w:t>користити различите облике организоване активности ученика (индивидуални рад, рад у пару, рад у групи, радионице или домаћи задатак);</w:t>
            </w:r>
          </w:p>
          <w:p w:rsidR="00041039" w:rsidRDefault="001B26CB">
            <w:pPr>
              <w:pStyle w:val="TableParagraph"/>
              <w:numPr>
                <w:ilvl w:val="0"/>
                <w:numId w:val="135"/>
              </w:numPr>
              <w:tabs>
                <w:tab w:val="left" w:pos="158"/>
              </w:tabs>
              <w:spacing w:line="156" w:lineRule="exact"/>
              <w:ind w:hanging="99"/>
              <w:rPr>
                <w:sz w:val="14"/>
              </w:rPr>
            </w:pPr>
            <w:r>
              <w:rPr>
                <w:color w:val="231F20"/>
                <w:sz w:val="14"/>
              </w:rPr>
              <w:t xml:space="preserve">да би </w:t>
            </w:r>
            <w:r>
              <w:rPr>
                <w:color w:val="231F20"/>
                <w:sz w:val="14"/>
              </w:rPr>
              <w:t>схватио догађаје из</w:t>
            </w:r>
            <w:r>
              <w:rPr>
                <w:color w:val="231F20"/>
                <w:spacing w:val="-15"/>
                <w:sz w:val="14"/>
              </w:rPr>
              <w:t xml:space="preserve"> </w:t>
            </w:r>
            <w:r>
              <w:rPr>
                <w:color w:val="231F20"/>
                <w:sz w:val="14"/>
              </w:rPr>
              <w:t>прошло­</w:t>
            </w:r>
          </w:p>
          <w:p w:rsidR="00041039" w:rsidRDefault="001B26CB">
            <w:pPr>
              <w:pStyle w:val="TableParagraph"/>
              <w:ind w:left="157" w:right="59"/>
              <w:rPr>
                <w:sz w:val="14"/>
              </w:rPr>
            </w:pPr>
            <w:r>
              <w:rPr>
                <w:color w:val="231F20"/>
                <w:sz w:val="14"/>
              </w:rPr>
              <w:t>сти, ученик треба да их „оживи у свом уму”, у чему велику помоћ може пружити употреба различи­ тих историјских текстова, карата и других извора историјских података (документарни и играни видео и дигитални материјали, музејски е</w:t>
            </w:r>
            <w:r>
              <w:rPr>
                <w:color w:val="231F20"/>
                <w:sz w:val="14"/>
              </w:rPr>
              <w:t>кспонати, илустра­ ције), обилажење културно ­ историјских споменика и посете установама културе;</w:t>
            </w:r>
          </w:p>
          <w:p w:rsidR="00041039" w:rsidRDefault="001B26CB">
            <w:pPr>
              <w:pStyle w:val="TableParagraph"/>
              <w:numPr>
                <w:ilvl w:val="0"/>
                <w:numId w:val="135"/>
              </w:numPr>
              <w:tabs>
                <w:tab w:val="left" w:pos="158"/>
              </w:tabs>
              <w:spacing w:line="150" w:lineRule="exact"/>
              <w:ind w:hanging="99"/>
              <w:rPr>
                <w:sz w:val="14"/>
              </w:rPr>
            </w:pPr>
            <w:r>
              <w:rPr>
                <w:color w:val="231F20"/>
                <w:sz w:val="14"/>
              </w:rPr>
              <w:t>треба искористити и</w:t>
            </w:r>
            <w:r>
              <w:rPr>
                <w:color w:val="231F20"/>
                <w:spacing w:val="-3"/>
                <w:sz w:val="14"/>
              </w:rPr>
              <w:t xml:space="preserve"> </w:t>
            </w:r>
            <w:r>
              <w:rPr>
                <w:color w:val="231F20"/>
                <w:sz w:val="14"/>
              </w:rPr>
              <w:t>утицај</w:t>
            </w:r>
          </w:p>
          <w:p w:rsidR="00041039" w:rsidRDefault="001B26CB">
            <w:pPr>
              <w:pStyle w:val="TableParagraph"/>
              <w:ind w:left="157"/>
              <w:rPr>
                <w:sz w:val="14"/>
              </w:rPr>
            </w:pPr>
            <w:r>
              <w:rPr>
                <w:color w:val="231F20"/>
                <w:sz w:val="14"/>
              </w:rPr>
              <w:t>наставе историје на развијање језичке и говорне културе (бесед­ ништва), јер историјски садржаји богате и оплемењују језички фонд ученика;</w:t>
            </w:r>
          </w:p>
          <w:p w:rsidR="00041039" w:rsidRDefault="001B26CB">
            <w:pPr>
              <w:pStyle w:val="TableParagraph"/>
              <w:numPr>
                <w:ilvl w:val="0"/>
                <w:numId w:val="135"/>
              </w:numPr>
              <w:tabs>
                <w:tab w:val="left" w:pos="158"/>
              </w:tabs>
              <w:spacing w:line="156" w:lineRule="exact"/>
              <w:ind w:hanging="99"/>
              <w:rPr>
                <w:sz w:val="14"/>
              </w:rPr>
            </w:pPr>
            <w:r>
              <w:rPr>
                <w:color w:val="231F20"/>
                <w:sz w:val="14"/>
              </w:rPr>
              <w:t>у раду са ученицима неопходно</w:t>
            </w:r>
            <w:r>
              <w:rPr>
                <w:color w:val="231F20"/>
                <w:spacing w:val="-11"/>
                <w:sz w:val="14"/>
              </w:rPr>
              <w:t xml:space="preserve"> </w:t>
            </w:r>
            <w:r>
              <w:rPr>
                <w:color w:val="231F20"/>
                <w:sz w:val="14"/>
              </w:rPr>
              <w:t>је</w:t>
            </w:r>
          </w:p>
          <w:p w:rsidR="00041039" w:rsidRDefault="001B26CB">
            <w:pPr>
              <w:pStyle w:val="TableParagraph"/>
              <w:ind w:left="157" w:right="65"/>
              <w:rPr>
                <w:sz w:val="14"/>
              </w:rPr>
            </w:pPr>
            <w:r>
              <w:rPr>
                <w:color w:val="231F20"/>
                <w:sz w:val="14"/>
              </w:rPr>
              <w:t>имати у виду интегративну функ­ цију историје, која у образовном систему, где су зна</w:t>
            </w:r>
            <w:r>
              <w:rPr>
                <w:color w:val="231F20"/>
                <w:sz w:val="14"/>
              </w:rPr>
              <w:t>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041039" w:rsidRDefault="001B26CB">
            <w:pPr>
              <w:pStyle w:val="TableParagraph"/>
              <w:numPr>
                <w:ilvl w:val="0"/>
                <w:numId w:val="135"/>
              </w:numPr>
              <w:tabs>
                <w:tab w:val="left" w:pos="158"/>
              </w:tabs>
              <w:spacing w:line="151" w:lineRule="exact"/>
              <w:ind w:hanging="99"/>
              <w:rPr>
                <w:sz w:val="14"/>
              </w:rPr>
            </w:pPr>
            <w:r>
              <w:rPr>
                <w:color w:val="231F20"/>
                <w:sz w:val="14"/>
              </w:rPr>
              <w:t>пожељно је избегавати</w:t>
            </w:r>
            <w:r>
              <w:rPr>
                <w:color w:val="231F20"/>
                <w:spacing w:val="-4"/>
                <w:sz w:val="14"/>
              </w:rPr>
              <w:t xml:space="preserve"> </w:t>
            </w:r>
            <w:r>
              <w:rPr>
                <w:color w:val="231F20"/>
                <w:sz w:val="14"/>
              </w:rPr>
              <w:t>фраг­</w:t>
            </w:r>
          </w:p>
          <w:p w:rsidR="00041039" w:rsidRDefault="001B26CB">
            <w:pPr>
              <w:pStyle w:val="TableParagraph"/>
              <w:ind w:left="157" w:right="105"/>
              <w:rPr>
                <w:sz w:val="14"/>
              </w:rPr>
            </w:pPr>
            <w:r>
              <w:rPr>
                <w:color w:val="231F20"/>
                <w:sz w:val="14"/>
              </w:rPr>
              <w:t>ментарно и изоловано учење историјск</w:t>
            </w:r>
            <w:r>
              <w:rPr>
                <w:color w:val="231F20"/>
                <w:sz w:val="14"/>
              </w:rPr>
              <w:t>их чињеница јер оно има најкраће трајање у памћењу и најслабији трансфер у стицању других знања и вештина;</w:t>
            </w:r>
          </w:p>
          <w:p w:rsidR="00041039" w:rsidRDefault="001B26CB">
            <w:pPr>
              <w:pStyle w:val="TableParagraph"/>
              <w:numPr>
                <w:ilvl w:val="0"/>
                <w:numId w:val="135"/>
              </w:numPr>
              <w:tabs>
                <w:tab w:val="left" w:pos="158"/>
              </w:tabs>
              <w:spacing w:line="156" w:lineRule="exact"/>
              <w:ind w:hanging="99"/>
              <w:rPr>
                <w:sz w:val="14"/>
              </w:rPr>
            </w:pPr>
            <w:r>
              <w:rPr>
                <w:color w:val="231F20"/>
                <w:sz w:val="14"/>
              </w:rPr>
              <w:t xml:space="preserve">у настави треба, кад </w:t>
            </w:r>
            <w:r>
              <w:rPr>
                <w:color w:val="231F20"/>
                <w:spacing w:val="-3"/>
                <w:sz w:val="14"/>
              </w:rPr>
              <w:t xml:space="preserve">год </w:t>
            </w:r>
            <w:r>
              <w:rPr>
                <w:color w:val="231F20"/>
                <w:sz w:val="14"/>
              </w:rPr>
              <w:t>је то</w:t>
            </w:r>
          </w:p>
          <w:p w:rsidR="00041039" w:rsidRDefault="001B26CB">
            <w:pPr>
              <w:pStyle w:val="TableParagraph"/>
              <w:ind w:left="157"/>
              <w:rPr>
                <w:sz w:val="14"/>
              </w:rPr>
            </w:pPr>
            <w:r>
              <w:rPr>
                <w:color w:val="231F20"/>
                <w:sz w:val="14"/>
              </w:rPr>
              <w:t>могуће, примењивати дидактички концепт мултиперспективности;</w:t>
            </w:r>
          </w:p>
          <w:p w:rsidR="00041039" w:rsidRDefault="001B26CB">
            <w:pPr>
              <w:pStyle w:val="TableParagraph"/>
              <w:numPr>
                <w:ilvl w:val="0"/>
                <w:numId w:val="135"/>
              </w:numPr>
              <w:tabs>
                <w:tab w:val="left" w:pos="158"/>
              </w:tabs>
              <w:spacing w:line="160" w:lineRule="exact"/>
              <w:ind w:right="208" w:hanging="99"/>
              <w:rPr>
                <w:sz w:val="14"/>
              </w:rPr>
            </w:pPr>
            <w:r>
              <w:rPr>
                <w:color w:val="231F20"/>
                <w:sz w:val="14"/>
              </w:rPr>
              <w:t>одређене теме, по могућности, треба реализовати са одгова</w:t>
            </w:r>
            <w:r>
              <w:rPr>
                <w:color w:val="231F20"/>
                <w:sz w:val="14"/>
              </w:rPr>
              <w:t>­ рајућим садржајима из</w:t>
            </w:r>
            <w:r>
              <w:rPr>
                <w:color w:val="231F20"/>
                <w:spacing w:val="-8"/>
                <w:sz w:val="14"/>
              </w:rPr>
              <w:t xml:space="preserve"> </w:t>
            </w:r>
            <w:r>
              <w:rPr>
                <w:color w:val="231F20"/>
                <w:sz w:val="14"/>
              </w:rPr>
              <w:t>сродних предмета;</w:t>
            </w:r>
          </w:p>
          <w:p w:rsidR="00041039" w:rsidRDefault="001B26CB">
            <w:pPr>
              <w:pStyle w:val="TableParagraph"/>
              <w:numPr>
                <w:ilvl w:val="0"/>
                <w:numId w:val="135"/>
              </w:numPr>
              <w:tabs>
                <w:tab w:val="left" w:pos="158"/>
              </w:tabs>
              <w:spacing w:line="160" w:lineRule="exact"/>
              <w:ind w:right="111" w:hanging="99"/>
              <w:rPr>
                <w:sz w:val="14"/>
              </w:rPr>
            </w:pPr>
            <w:r>
              <w:rPr>
                <w:color w:val="231F20"/>
                <w:spacing w:val="-3"/>
                <w:sz w:val="14"/>
              </w:rPr>
              <w:t xml:space="preserve">током </w:t>
            </w:r>
            <w:r>
              <w:rPr>
                <w:color w:val="231F20"/>
                <w:sz w:val="14"/>
              </w:rPr>
              <w:t>рада са ученицима потреб­ но је стално правити поређења са савременим добом, чиме се</w:t>
            </w:r>
          </w:p>
          <w:p w:rsidR="00041039" w:rsidRDefault="001B26CB">
            <w:pPr>
              <w:pStyle w:val="TableParagraph"/>
              <w:spacing w:line="237" w:lineRule="auto"/>
              <w:ind w:left="157"/>
              <w:rPr>
                <w:sz w:val="14"/>
              </w:rPr>
            </w:pPr>
            <w:r>
              <w:rPr>
                <w:color w:val="231F20"/>
                <w:sz w:val="14"/>
              </w:rPr>
              <w:t>наглашава схватање континуитета у развоју друштва и богатство садржаја из прошлости;</w:t>
            </w:r>
          </w:p>
          <w:p w:rsidR="00041039" w:rsidRDefault="001B26CB">
            <w:pPr>
              <w:pStyle w:val="TableParagraph"/>
              <w:numPr>
                <w:ilvl w:val="0"/>
                <w:numId w:val="135"/>
              </w:numPr>
              <w:tabs>
                <w:tab w:val="left" w:pos="158"/>
              </w:tabs>
              <w:spacing w:line="237" w:lineRule="auto"/>
              <w:ind w:right="99" w:hanging="99"/>
              <w:rPr>
                <w:sz w:val="14"/>
              </w:rPr>
            </w:pPr>
            <w:r>
              <w:rPr>
                <w:color w:val="231F20"/>
                <w:sz w:val="14"/>
              </w:rPr>
              <w:t>задатак наставника је и да под­ стиче осамостаљивање  ученика у прикупљању и сређивању</w:t>
            </w:r>
            <w:r>
              <w:rPr>
                <w:color w:val="231F20"/>
                <w:spacing w:val="-12"/>
                <w:sz w:val="14"/>
              </w:rPr>
              <w:t xml:space="preserve"> </w:t>
            </w:r>
            <w:r>
              <w:rPr>
                <w:color w:val="231F20"/>
                <w:sz w:val="14"/>
              </w:rPr>
              <w:t>исто­ ријских података, да их</w:t>
            </w:r>
            <w:r>
              <w:rPr>
                <w:color w:val="231F20"/>
                <w:spacing w:val="-14"/>
                <w:sz w:val="14"/>
              </w:rPr>
              <w:t xml:space="preserve"> </w:t>
            </w:r>
            <w:r>
              <w:rPr>
                <w:color w:val="231F20"/>
                <w:sz w:val="14"/>
              </w:rPr>
              <w:t>усмерава</w:t>
            </w:r>
          </w:p>
          <w:p w:rsidR="00041039" w:rsidRDefault="001B26CB">
            <w:pPr>
              <w:pStyle w:val="TableParagraph"/>
              <w:ind w:left="157" w:right="32"/>
              <w:rPr>
                <w:sz w:val="14"/>
              </w:rPr>
            </w:pPr>
            <w:r>
              <w:rPr>
                <w:color w:val="231F20"/>
                <w:sz w:val="14"/>
              </w:rPr>
              <w:t>на различите изворе информација и подучава их како да се према њима критички односе, чиме</w:t>
            </w:r>
          </w:p>
          <w:p w:rsidR="00041039" w:rsidRDefault="001B26CB">
            <w:pPr>
              <w:pStyle w:val="TableParagraph"/>
              <w:spacing w:line="237" w:lineRule="auto"/>
              <w:ind w:left="157" w:right="276"/>
              <w:rPr>
                <w:sz w:val="14"/>
              </w:rPr>
            </w:pPr>
            <w:r>
              <w:rPr>
                <w:color w:val="231F20"/>
                <w:sz w:val="14"/>
              </w:rPr>
              <w:t>се негује истраживачки дух и занимање за</w:t>
            </w:r>
            <w:r>
              <w:rPr>
                <w:color w:val="231F20"/>
                <w:sz w:val="14"/>
              </w:rPr>
              <w:t xml:space="preserve"> науку и подстиче развој мишљења заснованог на провереним чињеницама и аргументима;</w:t>
            </w:r>
          </w:p>
        </w:tc>
      </w:tr>
      <w:tr w:rsidR="00041039">
        <w:trPr>
          <w:trHeight w:val="3476"/>
        </w:trPr>
        <w:tc>
          <w:tcPr>
            <w:tcW w:w="1304" w:type="dxa"/>
          </w:tcPr>
          <w:p w:rsidR="00041039" w:rsidRDefault="001B26CB">
            <w:pPr>
              <w:pStyle w:val="TableParagraph"/>
              <w:spacing w:before="24" w:line="232" w:lineRule="auto"/>
              <w:ind w:left="56" w:right="37"/>
              <w:rPr>
                <w:sz w:val="14"/>
              </w:rPr>
            </w:pPr>
            <w:r>
              <w:rPr>
                <w:color w:val="231F20"/>
                <w:sz w:val="14"/>
              </w:rPr>
              <w:t>Новац и банке кроз историју</w:t>
            </w:r>
          </w:p>
        </w:tc>
        <w:tc>
          <w:tcPr>
            <w:tcW w:w="1587" w:type="dxa"/>
          </w:tcPr>
          <w:p w:rsidR="00041039" w:rsidRDefault="001B26CB">
            <w:pPr>
              <w:pStyle w:val="TableParagraph"/>
              <w:numPr>
                <w:ilvl w:val="0"/>
                <w:numId w:val="134"/>
              </w:numPr>
              <w:tabs>
                <w:tab w:val="left" w:pos="157"/>
              </w:tabs>
              <w:spacing w:before="14" w:line="232" w:lineRule="auto"/>
              <w:ind w:right="53"/>
              <w:rPr>
                <w:sz w:val="14"/>
              </w:rPr>
            </w:pPr>
            <w:r>
              <w:rPr>
                <w:color w:val="231F20"/>
                <w:sz w:val="14"/>
              </w:rPr>
              <w:t>Проширивање знања о улози новца и банака</w:t>
            </w:r>
            <w:r>
              <w:rPr>
                <w:color w:val="231F20"/>
                <w:spacing w:val="-19"/>
                <w:sz w:val="14"/>
              </w:rPr>
              <w:t xml:space="preserve"> </w:t>
            </w:r>
            <w:r>
              <w:rPr>
                <w:color w:val="231F20"/>
                <w:sz w:val="14"/>
              </w:rPr>
              <w:t>у економским системи­ ма кроз</w:t>
            </w:r>
            <w:r>
              <w:rPr>
                <w:color w:val="231F20"/>
                <w:spacing w:val="-4"/>
                <w:sz w:val="14"/>
              </w:rPr>
              <w:t xml:space="preserve"> </w:t>
            </w:r>
            <w:r>
              <w:rPr>
                <w:color w:val="231F20"/>
                <w:sz w:val="14"/>
              </w:rPr>
              <w:t>историју.</w:t>
            </w:r>
          </w:p>
          <w:p w:rsidR="00041039" w:rsidRDefault="001B26CB">
            <w:pPr>
              <w:pStyle w:val="TableParagraph"/>
              <w:numPr>
                <w:ilvl w:val="0"/>
                <w:numId w:val="134"/>
              </w:numPr>
              <w:tabs>
                <w:tab w:val="left" w:pos="157"/>
              </w:tabs>
              <w:spacing w:before="1" w:line="156" w:lineRule="exact"/>
              <w:ind w:right="53"/>
              <w:rPr>
                <w:sz w:val="14"/>
              </w:rPr>
            </w:pPr>
            <w:r>
              <w:rPr>
                <w:color w:val="231F20"/>
                <w:spacing w:val="-3"/>
                <w:sz w:val="14"/>
              </w:rPr>
              <w:t xml:space="preserve">Усвајање </w:t>
            </w:r>
            <w:r>
              <w:rPr>
                <w:color w:val="231F20"/>
                <w:sz w:val="14"/>
              </w:rPr>
              <w:t>знања о улози новца и банака</w:t>
            </w:r>
            <w:r>
              <w:rPr>
                <w:color w:val="231F20"/>
                <w:spacing w:val="-19"/>
                <w:sz w:val="14"/>
              </w:rPr>
              <w:t xml:space="preserve"> </w:t>
            </w:r>
            <w:r>
              <w:rPr>
                <w:color w:val="231F20"/>
                <w:sz w:val="14"/>
              </w:rPr>
              <w:t>у свакодневном животу некад и</w:t>
            </w:r>
            <w:r>
              <w:rPr>
                <w:color w:val="231F20"/>
                <w:spacing w:val="-2"/>
                <w:sz w:val="14"/>
              </w:rPr>
              <w:t xml:space="preserve"> </w:t>
            </w:r>
            <w:r>
              <w:rPr>
                <w:color w:val="231F20"/>
                <w:sz w:val="14"/>
              </w:rPr>
              <w:t>сад.</w:t>
            </w:r>
          </w:p>
          <w:p w:rsidR="00041039" w:rsidRDefault="001B26CB">
            <w:pPr>
              <w:pStyle w:val="TableParagraph"/>
              <w:numPr>
                <w:ilvl w:val="0"/>
                <w:numId w:val="134"/>
              </w:numPr>
              <w:tabs>
                <w:tab w:val="left" w:pos="157"/>
              </w:tabs>
              <w:spacing w:line="156" w:lineRule="exact"/>
              <w:ind w:right="169"/>
              <w:rPr>
                <w:sz w:val="14"/>
              </w:rPr>
            </w:pPr>
            <w:r>
              <w:rPr>
                <w:color w:val="231F20"/>
                <w:sz w:val="14"/>
              </w:rPr>
              <w:t>Проширивање</w:t>
            </w:r>
            <w:r>
              <w:rPr>
                <w:color w:val="231F20"/>
                <w:spacing w:val="-10"/>
                <w:sz w:val="14"/>
              </w:rPr>
              <w:t xml:space="preserve"> </w:t>
            </w:r>
            <w:r>
              <w:rPr>
                <w:color w:val="231F20"/>
                <w:sz w:val="14"/>
              </w:rPr>
              <w:t>знања о историји новца</w:t>
            </w:r>
            <w:r>
              <w:rPr>
                <w:color w:val="231F20"/>
                <w:spacing w:val="-5"/>
                <w:sz w:val="14"/>
              </w:rPr>
              <w:t xml:space="preserve"> </w:t>
            </w:r>
            <w:r>
              <w:rPr>
                <w:color w:val="231F20"/>
                <w:sz w:val="14"/>
              </w:rPr>
              <w:t>и</w:t>
            </w:r>
          </w:p>
          <w:p w:rsidR="00041039" w:rsidRDefault="001B26CB">
            <w:pPr>
              <w:pStyle w:val="TableParagraph"/>
              <w:spacing w:line="232" w:lineRule="auto"/>
              <w:ind w:right="15"/>
              <w:rPr>
                <w:sz w:val="14"/>
              </w:rPr>
            </w:pPr>
            <w:r>
              <w:rPr>
                <w:color w:val="231F20"/>
                <w:sz w:val="14"/>
              </w:rPr>
              <w:t>развоју банкарства код Срба.</w:t>
            </w:r>
          </w:p>
        </w:tc>
        <w:tc>
          <w:tcPr>
            <w:tcW w:w="2551" w:type="dxa"/>
          </w:tcPr>
          <w:p w:rsidR="00041039" w:rsidRDefault="001B26CB">
            <w:pPr>
              <w:pStyle w:val="TableParagraph"/>
              <w:numPr>
                <w:ilvl w:val="0"/>
                <w:numId w:val="133"/>
              </w:numPr>
              <w:tabs>
                <w:tab w:val="left" w:pos="157"/>
              </w:tabs>
              <w:spacing w:before="14" w:line="232" w:lineRule="auto"/>
              <w:ind w:right="138" w:hanging="99"/>
              <w:rPr>
                <w:sz w:val="14"/>
              </w:rPr>
            </w:pPr>
            <w:r>
              <w:rPr>
                <w:color w:val="231F20"/>
                <w:sz w:val="14"/>
              </w:rPr>
              <w:t>уочи основне карактеристике и</w:t>
            </w:r>
            <w:r>
              <w:rPr>
                <w:color w:val="231F20"/>
                <w:spacing w:val="-18"/>
                <w:sz w:val="14"/>
              </w:rPr>
              <w:t xml:space="preserve"> </w:t>
            </w:r>
            <w:r>
              <w:rPr>
                <w:color w:val="231F20"/>
                <w:sz w:val="14"/>
              </w:rPr>
              <w:t xml:space="preserve">функ­ ције новца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133"/>
              </w:numPr>
              <w:tabs>
                <w:tab w:val="left" w:pos="157"/>
              </w:tabs>
              <w:spacing w:before="1" w:line="156" w:lineRule="exact"/>
              <w:ind w:right="353" w:hanging="99"/>
              <w:rPr>
                <w:sz w:val="14"/>
              </w:rPr>
            </w:pPr>
            <w:r>
              <w:rPr>
                <w:color w:val="231F20"/>
                <w:sz w:val="14"/>
              </w:rPr>
              <w:t>изведе</w:t>
            </w:r>
            <w:r>
              <w:rPr>
                <w:color w:val="231F20"/>
                <w:spacing w:val="-6"/>
                <w:sz w:val="14"/>
              </w:rPr>
              <w:t xml:space="preserve"> </w:t>
            </w:r>
            <w:r>
              <w:rPr>
                <w:color w:val="231F20"/>
                <w:sz w:val="14"/>
              </w:rPr>
              <w:t>закључак</w:t>
            </w:r>
            <w:r>
              <w:rPr>
                <w:color w:val="231F20"/>
                <w:spacing w:val="-7"/>
                <w:sz w:val="14"/>
              </w:rPr>
              <w:t xml:space="preserve"> </w:t>
            </w:r>
            <w:r>
              <w:rPr>
                <w:color w:val="231F20"/>
                <w:sz w:val="14"/>
              </w:rPr>
              <w:t>о</w:t>
            </w:r>
            <w:r>
              <w:rPr>
                <w:color w:val="231F20"/>
                <w:spacing w:val="-6"/>
                <w:sz w:val="14"/>
              </w:rPr>
              <w:t xml:space="preserve"> </w:t>
            </w:r>
            <w:r>
              <w:rPr>
                <w:color w:val="231F20"/>
                <w:sz w:val="14"/>
              </w:rPr>
              <w:t>улози</w:t>
            </w:r>
            <w:r>
              <w:rPr>
                <w:color w:val="231F20"/>
                <w:spacing w:val="-7"/>
                <w:sz w:val="14"/>
              </w:rPr>
              <w:t xml:space="preserve"> </w:t>
            </w:r>
            <w:r>
              <w:rPr>
                <w:color w:val="231F20"/>
                <w:sz w:val="14"/>
              </w:rPr>
              <w:t>и</w:t>
            </w:r>
            <w:r>
              <w:rPr>
                <w:color w:val="231F20"/>
                <w:spacing w:val="-7"/>
                <w:sz w:val="14"/>
              </w:rPr>
              <w:t xml:space="preserve"> </w:t>
            </w:r>
            <w:r>
              <w:rPr>
                <w:color w:val="231F20"/>
                <w:sz w:val="14"/>
              </w:rPr>
              <w:t>значају банака кроз</w:t>
            </w:r>
            <w:r>
              <w:rPr>
                <w:color w:val="231F20"/>
                <w:spacing w:val="-1"/>
                <w:sz w:val="14"/>
              </w:rPr>
              <w:t xml:space="preserve"> </w:t>
            </w:r>
            <w:r>
              <w:rPr>
                <w:color w:val="231F20"/>
                <w:sz w:val="14"/>
              </w:rPr>
              <w:t>историју;</w:t>
            </w:r>
          </w:p>
          <w:p w:rsidR="00041039" w:rsidRDefault="001B26CB">
            <w:pPr>
              <w:pStyle w:val="TableParagraph"/>
              <w:numPr>
                <w:ilvl w:val="0"/>
                <w:numId w:val="133"/>
              </w:numPr>
              <w:tabs>
                <w:tab w:val="left" w:pos="157"/>
              </w:tabs>
              <w:spacing w:line="156" w:lineRule="exact"/>
              <w:ind w:right="61" w:hanging="99"/>
              <w:rPr>
                <w:sz w:val="14"/>
              </w:rPr>
            </w:pPr>
            <w:r>
              <w:rPr>
                <w:color w:val="231F20"/>
                <w:sz w:val="14"/>
              </w:rPr>
              <w:t>уочи основна обележја историјата</w:t>
            </w:r>
            <w:r>
              <w:rPr>
                <w:color w:val="231F20"/>
                <w:spacing w:val="-14"/>
                <w:sz w:val="14"/>
              </w:rPr>
              <w:t xml:space="preserve"> </w:t>
            </w:r>
            <w:r>
              <w:rPr>
                <w:color w:val="231F20"/>
                <w:sz w:val="14"/>
              </w:rPr>
              <w:t>срп­ ског новца и банака кроз</w:t>
            </w:r>
            <w:r>
              <w:rPr>
                <w:color w:val="231F20"/>
                <w:spacing w:val="-11"/>
                <w:sz w:val="14"/>
              </w:rPr>
              <w:t xml:space="preserve"> </w:t>
            </w:r>
            <w:r>
              <w:rPr>
                <w:color w:val="231F20"/>
                <w:sz w:val="14"/>
              </w:rPr>
              <w:t>историју;</w:t>
            </w:r>
          </w:p>
          <w:p w:rsidR="00041039" w:rsidRDefault="001B26CB">
            <w:pPr>
              <w:pStyle w:val="TableParagraph"/>
              <w:numPr>
                <w:ilvl w:val="0"/>
                <w:numId w:val="133"/>
              </w:numPr>
              <w:tabs>
                <w:tab w:val="left" w:pos="157"/>
              </w:tabs>
              <w:spacing w:line="156" w:lineRule="exact"/>
              <w:ind w:right="371" w:hanging="99"/>
              <w:rPr>
                <w:sz w:val="14"/>
              </w:rPr>
            </w:pPr>
            <w:r>
              <w:rPr>
                <w:color w:val="231F20"/>
                <w:sz w:val="14"/>
              </w:rPr>
              <w:t>примени стечено знање о новцу</w:t>
            </w:r>
            <w:r>
              <w:rPr>
                <w:color w:val="231F20"/>
                <w:spacing w:val="-20"/>
                <w:sz w:val="14"/>
              </w:rPr>
              <w:t xml:space="preserve"> </w:t>
            </w:r>
            <w:r>
              <w:rPr>
                <w:color w:val="231F20"/>
                <w:sz w:val="14"/>
              </w:rPr>
              <w:t>и банкама у свакодневном</w:t>
            </w:r>
            <w:r>
              <w:rPr>
                <w:color w:val="231F20"/>
                <w:spacing w:val="-12"/>
                <w:sz w:val="14"/>
              </w:rPr>
              <w:t xml:space="preserve"> </w:t>
            </w:r>
            <w:r>
              <w:rPr>
                <w:color w:val="231F20"/>
                <w:spacing w:val="-3"/>
                <w:sz w:val="14"/>
              </w:rPr>
              <w:t>животу.</w:t>
            </w:r>
          </w:p>
        </w:tc>
        <w:tc>
          <w:tcPr>
            <w:tcW w:w="2834" w:type="dxa"/>
          </w:tcPr>
          <w:p w:rsidR="00041039" w:rsidRDefault="001B26CB">
            <w:pPr>
              <w:pStyle w:val="TableParagraph"/>
              <w:numPr>
                <w:ilvl w:val="0"/>
                <w:numId w:val="132"/>
              </w:numPr>
              <w:tabs>
                <w:tab w:val="left" w:pos="157"/>
              </w:tabs>
              <w:spacing w:before="14" w:line="232" w:lineRule="auto"/>
              <w:ind w:right="51" w:hanging="99"/>
              <w:rPr>
                <w:sz w:val="14"/>
              </w:rPr>
            </w:pPr>
            <w:r>
              <w:rPr>
                <w:color w:val="231F20"/>
                <w:sz w:val="14"/>
              </w:rPr>
              <w:t xml:space="preserve">Нумизматика (као </w:t>
            </w:r>
            <w:r>
              <w:rPr>
                <w:color w:val="231F20"/>
                <w:spacing w:val="-3"/>
                <w:sz w:val="14"/>
              </w:rPr>
              <w:t xml:space="preserve">наука </w:t>
            </w:r>
            <w:r>
              <w:rPr>
                <w:color w:val="231F20"/>
                <w:sz w:val="14"/>
              </w:rPr>
              <w:t>о постанку,</w:t>
            </w:r>
            <w:r>
              <w:rPr>
                <w:color w:val="231F20"/>
                <w:spacing w:val="-23"/>
                <w:sz w:val="14"/>
              </w:rPr>
              <w:t xml:space="preserve"> </w:t>
            </w:r>
            <w:r>
              <w:rPr>
                <w:color w:val="231F20"/>
                <w:sz w:val="14"/>
              </w:rPr>
              <w:t>развоју и употреби кованог</w:t>
            </w:r>
            <w:r>
              <w:rPr>
                <w:color w:val="231F20"/>
                <w:spacing w:val="-3"/>
                <w:sz w:val="14"/>
              </w:rPr>
              <w:t xml:space="preserve"> </w:t>
            </w:r>
            <w:r>
              <w:rPr>
                <w:color w:val="231F20"/>
                <w:sz w:val="14"/>
              </w:rPr>
              <w:t>новца).</w:t>
            </w:r>
          </w:p>
          <w:p w:rsidR="00041039" w:rsidRDefault="001B26CB">
            <w:pPr>
              <w:pStyle w:val="TableParagraph"/>
              <w:numPr>
                <w:ilvl w:val="0"/>
                <w:numId w:val="132"/>
              </w:numPr>
              <w:tabs>
                <w:tab w:val="left" w:pos="157"/>
              </w:tabs>
              <w:spacing w:before="1" w:line="156" w:lineRule="exact"/>
              <w:ind w:right="76" w:hanging="99"/>
              <w:rPr>
                <w:sz w:val="14"/>
              </w:rPr>
            </w:pPr>
            <w:r>
              <w:rPr>
                <w:color w:val="231F20"/>
                <w:sz w:val="14"/>
              </w:rPr>
              <w:t>Новац и банке у садашњости (новац као мера вреднос</w:t>
            </w:r>
            <w:r>
              <w:rPr>
                <w:color w:val="231F20"/>
                <w:sz w:val="14"/>
              </w:rPr>
              <w:t>ти, платежно средство и</w:t>
            </w:r>
            <w:r>
              <w:rPr>
                <w:color w:val="231F20"/>
                <w:spacing w:val="-16"/>
                <w:sz w:val="14"/>
              </w:rPr>
              <w:t xml:space="preserve"> </w:t>
            </w:r>
            <w:r>
              <w:rPr>
                <w:color w:val="231F20"/>
                <w:sz w:val="14"/>
              </w:rPr>
              <w:t xml:space="preserve">једно </w:t>
            </w:r>
            <w:r>
              <w:rPr>
                <w:color w:val="231F20"/>
                <w:spacing w:val="-3"/>
                <w:sz w:val="14"/>
              </w:rPr>
              <w:t xml:space="preserve">од </w:t>
            </w:r>
            <w:r>
              <w:rPr>
                <w:color w:val="231F20"/>
                <w:sz w:val="14"/>
              </w:rPr>
              <w:t>обележја самосталности државе; банка као предузеће које тргује новцем;</w:t>
            </w:r>
            <w:r>
              <w:rPr>
                <w:color w:val="231F20"/>
                <w:spacing w:val="-19"/>
                <w:sz w:val="14"/>
              </w:rPr>
              <w:t xml:space="preserve"> </w:t>
            </w:r>
            <w:r>
              <w:rPr>
                <w:color w:val="231F20"/>
                <w:sz w:val="14"/>
              </w:rPr>
              <w:t>појмови</w:t>
            </w:r>
          </w:p>
          <w:p w:rsidR="00041039" w:rsidRDefault="001B26CB">
            <w:pPr>
              <w:pStyle w:val="TableParagraph"/>
              <w:spacing w:line="232" w:lineRule="auto"/>
              <w:rPr>
                <w:sz w:val="14"/>
              </w:rPr>
            </w:pPr>
            <w:r>
              <w:rPr>
                <w:color w:val="231F20"/>
                <w:sz w:val="14"/>
              </w:rPr>
              <w:t>- штедња, трезор, кредит, камата, деоница, инфлација, дефлација; фалсификовања новца, новац у савременом потрошачком друштву...).</w:t>
            </w:r>
          </w:p>
          <w:p w:rsidR="00041039" w:rsidRDefault="001B26CB">
            <w:pPr>
              <w:pStyle w:val="TableParagraph"/>
              <w:numPr>
                <w:ilvl w:val="0"/>
                <w:numId w:val="132"/>
              </w:numPr>
              <w:tabs>
                <w:tab w:val="left" w:pos="157"/>
              </w:tabs>
              <w:spacing w:line="156" w:lineRule="exact"/>
              <w:ind w:right="139" w:hanging="99"/>
              <w:rPr>
                <w:sz w:val="14"/>
              </w:rPr>
            </w:pPr>
            <w:r>
              <w:rPr>
                <w:color w:val="231F20"/>
                <w:sz w:val="14"/>
              </w:rPr>
              <w:t xml:space="preserve">Новац и банке </w:t>
            </w:r>
            <w:r>
              <w:rPr>
                <w:color w:val="231F20"/>
                <w:sz w:val="14"/>
              </w:rPr>
              <w:t xml:space="preserve">у прошлости (историјат новца и банака ­ </w:t>
            </w:r>
            <w:r>
              <w:rPr>
                <w:color w:val="231F20"/>
                <w:spacing w:val="-3"/>
                <w:sz w:val="14"/>
              </w:rPr>
              <w:t xml:space="preserve">од </w:t>
            </w:r>
            <w:r>
              <w:rPr>
                <w:color w:val="231F20"/>
                <w:sz w:val="14"/>
              </w:rPr>
              <w:t xml:space="preserve">старог века до данас; материјали </w:t>
            </w:r>
            <w:r>
              <w:rPr>
                <w:color w:val="231F20"/>
                <w:spacing w:val="-3"/>
                <w:sz w:val="14"/>
              </w:rPr>
              <w:t xml:space="preserve">од </w:t>
            </w:r>
            <w:r>
              <w:rPr>
                <w:color w:val="231F20"/>
                <w:sz w:val="14"/>
              </w:rPr>
              <w:t>којих је израђиван новац, историјски феномен „кварења” новца; ликови</w:t>
            </w:r>
            <w:r>
              <w:rPr>
                <w:color w:val="231F20"/>
                <w:spacing w:val="-5"/>
                <w:sz w:val="14"/>
              </w:rPr>
              <w:t xml:space="preserve"> </w:t>
            </w:r>
            <w:r>
              <w:rPr>
                <w:color w:val="231F20"/>
                <w:sz w:val="14"/>
              </w:rPr>
              <w:t>и</w:t>
            </w:r>
            <w:r>
              <w:rPr>
                <w:color w:val="231F20"/>
                <w:spacing w:val="-6"/>
                <w:sz w:val="14"/>
              </w:rPr>
              <w:t xml:space="preserve"> </w:t>
            </w:r>
            <w:r>
              <w:rPr>
                <w:color w:val="231F20"/>
                <w:sz w:val="14"/>
              </w:rPr>
              <w:t>различити</w:t>
            </w:r>
            <w:r>
              <w:rPr>
                <w:color w:val="231F20"/>
                <w:spacing w:val="-5"/>
                <w:sz w:val="14"/>
              </w:rPr>
              <w:t xml:space="preserve"> </w:t>
            </w:r>
            <w:r>
              <w:rPr>
                <w:color w:val="231F20"/>
                <w:sz w:val="14"/>
              </w:rPr>
              <w:t>симболи</w:t>
            </w:r>
            <w:r>
              <w:rPr>
                <w:color w:val="231F20"/>
                <w:spacing w:val="-6"/>
                <w:sz w:val="14"/>
              </w:rPr>
              <w:t xml:space="preserve"> </w:t>
            </w:r>
            <w:r>
              <w:rPr>
                <w:color w:val="231F20"/>
                <w:sz w:val="14"/>
              </w:rPr>
              <w:t>на</w:t>
            </w:r>
            <w:r>
              <w:rPr>
                <w:color w:val="231F20"/>
                <w:spacing w:val="-6"/>
                <w:sz w:val="14"/>
              </w:rPr>
              <w:t xml:space="preserve"> </w:t>
            </w:r>
            <w:r>
              <w:rPr>
                <w:color w:val="231F20"/>
                <w:sz w:val="14"/>
              </w:rPr>
              <w:t>кованом</w:t>
            </w:r>
            <w:r>
              <w:rPr>
                <w:color w:val="231F20"/>
                <w:spacing w:val="-5"/>
                <w:sz w:val="14"/>
              </w:rPr>
              <w:t xml:space="preserve"> </w:t>
            </w:r>
            <w:r>
              <w:rPr>
                <w:color w:val="231F20"/>
                <w:sz w:val="14"/>
              </w:rPr>
              <w:t>и папирном</w:t>
            </w:r>
            <w:r>
              <w:rPr>
                <w:color w:val="231F20"/>
                <w:spacing w:val="-1"/>
                <w:sz w:val="14"/>
              </w:rPr>
              <w:t xml:space="preserve"> </w:t>
            </w:r>
            <w:r>
              <w:rPr>
                <w:color w:val="231F20"/>
                <w:sz w:val="14"/>
              </w:rPr>
              <w:t>новцу...).</w:t>
            </w:r>
          </w:p>
          <w:p w:rsidR="00041039" w:rsidRDefault="001B26CB">
            <w:pPr>
              <w:pStyle w:val="TableParagraph"/>
              <w:numPr>
                <w:ilvl w:val="0"/>
                <w:numId w:val="132"/>
              </w:numPr>
              <w:tabs>
                <w:tab w:val="left" w:pos="157"/>
              </w:tabs>
              <w:spacing w:line="153" w:lineRule="exact"/>
              <w:ind w:hanging="99"/>
              <w:rPr>
                <w:sz w:val="14"/>
              </w:rPr>
            </w:pPr>
            <w:r>
              <w:rPr>
                <w:color w:val="231F20"/>
                <w:sz w:val="14"/>
              </w:rPr>
              <w:t>Новац у Србији некад и сад</w:t>
            </w:r>
            <w:r>
              <w:rPr>
                <w:color w:val="231F20"/>
                <w:spacing w:val="-6"/>
                <w:sz w:val="14"/>
              </w:rPr>
              <w:t xml:space="preserve"> </w:t>
            </w:r>
            <w:r>
              <w:rPr>
                <w:color w:val="231F20"/>
                <w:sz w:val="14"/>
              </w:rPr>
              <w:t>(историјат</w:t>
            </w:r>
          </w:p>
          <w:p w:rsidR="00041039" w:rsidRDefault="001B26CB">
            <w:pPr>
              <w:pStyle w:val="TableParagraph"/>
              <w:spacing w:line="232" w:lineRule="auto"/>
              <w:ind w:right="66"/>
              <w:rPr>
                <w:sz w:val="14"/>
              </w:rPr>
            </w:pPr>
            <w:r>
              <w:rPr>
                <w:color w:val="231F20"/>
                <w:sz w:val="14"/>
              </w:rPr>
              <w:t xml:space="preserve">новца </w:t>
            </w:r>
            <w:r>
              <w:rPr>
                <w:color w:val="231F20"/>
                <w:spacing w:val="-3"/>
                <w:sz w:val="14"/>
              </w:rPr>
              <w:t xml:space="preserve">од </w:t>
            </w:r>
            <w:r>
              <w:rPr>
                <w:color w:val="231F20"/>
                <w:sz w:val="14"/>
              </w:rPr>
              <w:t>средњег века до данас; динар као званична валута модерне Србије; мотиви на новчаницама; настанак и развој</w:t>
            </w:r>
            <w:r>
              <w:rPr>
                <w:color w:val="231F20"/>
                <w:spacing w:val="-22"/>
                <w:sz w:val="14"/>
              </w:rPr>
              <w:t xml:space="preserve"> </w:t>
            </w:r>
            <w:r>
              <w:rPr>
                <w:color w:val="231F20"/>
                <w:sz w:val="14"/>
              </w:rPr>
              <w:t>Народне банке као прве финансијске институције у Србији).</w:t>
            </w:r>
          </w:p>
        </w:tc>
        <w:tc>
          <w:tcPr>
            <w:tcW w:w="2267" w:type="dxa"/>
            <w:vMerge/>
            <w:tcBorders>
              <w:top w:val="nil"/>
            </w:tcBorders>
          </w:tcPr>
          <w:p w:rsidR="00041039" w:rsidRDefault="00041039">
            <w:pPr>
              <w:rPr>
                <w:sz w:val="2"/>
                <w:szCs w:val="2"/>
              </w:rPr>
            </w:pPr>
          </w:p>
        </w:tc>
      </w:tr>
      <w:tr w:rsidR="00041039">
        <w:trPr>
          <w:trHeight w:val="3320"/>
        </w:trPr>
        <w:tc>
          <w:tcPr>
            <w:tcW w:w="1304" w:type="dxa"/>
          </w:tcPr>
          <w:p w:rsidR="00041039" w:rsidRDefault="001B26CB">
            <w:pPr>
              <w:pStyle w:val="TableParagraph"/>
              <w:spacing w:before="22" w:line="232" w:lineRule="auto"/>
              <w:ind w:left="56" w:right="364"/>
              <w:jc w:val="both"/>
              <w:rPr>
                <w:sz w:val="14"/>
              </w:rPr>
            </w:pPr>
            <w:r>
              <w:rPr>
                <w:color w:val="231F20"/>
                <w:sz w:val="14"/>
              </w:rPr>
              <w:t>Верски живот и обичаји кроз историју</w:t>
            </w:r>
          </w:p>
        </w:tc>
        <w:tc>
          <w:tcPr>
            <w:tcW w:w="1587" w:type="dxa"/>
          </w:tcPr>
          <w:p w:rsidR="00041039" w:rsidRDefault="001B26CB">
            <w:pPr>
              <w:pStyle w:val="TableParagraph"/>
              <w:numPr>
                <w:ilvl w:val="0"/>
                <w:numId w:val="131"/>
              </w:numPr>
              <w:tabs>
                <w:tab w:val="left" w:pos="157"/>
              </w:tabs>
              <w:spacing w:before="13" w:line="232" w:lineRule="auto"/>
              <w:ind w:right="108"/>
              <w:rPr>
                <w:sz w:val="14"/>
              </w:rPr>
            </w:pPr>
            <w:r>
              <w:rPr>
                <w:color w:val="231F20"/>
                <w:sz w:val="14"/>
              </w:rPr>
              <w:t>Проширивање знања о веровањима и оби­ чајима у прошлости и садашњости.</w:t>
            </w:r>
          </w:p>
          <w:p w:rsidR="00041039" w:rsidRDefault="001B26CB">
            <w:pPr>
              <w:pStyle w:val="TableParagraph"/>
              <w:numPr>
                <w:ilvl w:val="0"/>
                <w:numId w:val="131"/>
              </w:numPr>
              <w:tabs>
                <w:tab w:val="left" w:pos="157"/>
              </w:tabs>
              <w:spacing w:line="156" w:lineRule="exact"/>
              <w:ind w:right="115"/>
              <w:rPr>
                <w:sz w:val="14"/>
              </w:rPr>
            </w:pPr>
            <w:r>
              <w:rPr>
                <w:color w:val="231F20"/>
                <w:spacing w:val="-3"/>
                <w:sz w:val="14"/>
              </w:rPr>
              <w:t xml:space="preserve">Уочавање </w:t>
            </w:r>
            <w:r>
              <w:rPr>
                <w:color w:val="231F20"/>
                <w:sz w:val="14"/>
              </w:rPr>
              <w:t>прожимања веровања и културе кроз</w:t>
            </w:r>
            <w:r>
              <w:rPr>
                <w:color w:val="231F20"/>
                <w:spacing w:val="-2"/>
                <w:sz w:val="14"/>
              </w:rPr>
              <w:t xml:space="preserve"> </w:t>
            </w:r>
            <w:r>
              <w:rPr>
                <w:color w:val="231F20"/>
                <w:sz w:val="14"/>
              </w:rPr>
              <w:t>историју.</w:t>
            </w:r>
          </w:p>
          <w:p w:rsidR="00041039" w:rsidRDefault="001B26CB">
            <w:pPr>
              <w:pStyle w:val="TableParagraph"/>
              <w:numPr>
                <w:ilvl w:val="0"/>
                <w:numId w:val="131"/>
              </w:numPr>
              <w:tabs>
                <w:tab w:val="left" w:pos="157"/>
              </w:tabs>
              <w:spacing w:line="156" w:lineRule="exact"/>
              <w:ind w:right="69"/>
              <w:rPr>
                <w:sz w:val="14"/>
              </w:rPr>
            </w:pPr>
            <w:r>
              <w:rPr>
                <w:color w:val="231F20"/>
                <w:sz w:val="14"/>
              </w:rPr>
              <w:t>Сагледавање слич­ ности и разлика у ве­ ровањима и</w:t>
            </w:r>
            <w:r>
              <w:rPr>
                <w:color w:val="231F20"/>
                <w:spacing w:val="-5"/>
                <w:sz w:val="14"/>
              </w:rPr>
              <w:t xml:space="preserve"> </w:t>
            </w:r>
            <w:r>
              <w:rPr>
                <w:color w:val="231F20"/>
                <w:sz w:val="14"/>
              </w:rPr>
              <w:t>обичајима некад и</w:t>
            </w:r>
            <w:r>
              <w:rPr>
                <w:color w:val="231F20"/>
                <w:spacing w:val="-2"/>
                <w:sz w:val="14"/>
              </w:rPr>
              <w:t xml:space="preserve"> </w:t>
            </w:r>
            <w:r>
              <w:rPr>
                <w:color w:val="231F20"/>
                <w:sz w:val="14"/>
              </w:rPr>
              <w:t>сад.</w:t>
            </w:r>
          </w:p>
          <w:p w:rsidR="00041039" w:rsidRDefault="001B26CB">
            <w:pPr>
              <w:pStyle w:val="TableParagraph"/>
              <w:numPr>
                <w:ilvl w:val="0"/>
                <w:numId w:val="131"/>
              </w:numPr>
              <w:tabs>
                <w:tab w:val="left" w:pos="157"/>
              </w:tabs>
              <w:spacing w:line="156" w:lineRule="exact"/>
              <w:ind w:right="159"/>
              <w:jc w:val="both"/>
              <w:rPr>
                <w:sz w:val="14"/>
              </w:rPr>
            </w:pPr>
            <w:r>
              <w:rPr>
                <w:color w:val="231F20"/>
                <w:sz w:val="14"/>
              </w:rPr>
              <w:t xml:space="preserve">Проширивање знања о веровањима и оби­ чајима </w:t>
            </w:r>
            <w:r>
              <w:rPr>
                <w:color w:val="231F20"/>
                <w:spacing w:val="-5"/>
                <w:sz w:val="14"/>
              </w:rPr>
              <w:t xml:space="preserve">код </w:t>
            </w:r>
            <w:r>
              <w:rPr>
                <w:color w:val="231F20"/>
                <w:sz w:val="14"/>
              </w:rPr>
              <w:t>Срба кроз</w:t>
            </w:r>
            <w:r>
              <w:rPr>
                <w:color w:val="231F20"/>
                <w:sz w:val="14"/>
              </w:rPr>
              <w:t xml:space="preserve"> историју.</w:t>
            </w:r>
          </w:p>
        </w:tc>
        <w:tc>
          <w:tcPr>
            <w:tcW w:w="2551" w:type="dxa"/>
          </w:tcPr>
          <w:p w:rsidR="00041039" w:rsidRDefault="001B26CB">
            <w:pPr>
              <w:pStyle w:val="TableParagraph"/>
              <w:numPr>
                <w:ilvl w:val="0"/>
                <w:numId w:val="130"/>
              </w:numPr>
              <w:tabs>
                <w:tab w:val="left" w:pos="157"/>
              </w:tabs>
              <w:spacing w:before="12" w:line="232" w:lineRule="auto"/>
              <w:ind w:right="253" w:hanging="99"/>
              <w:rPr>
                <w:sz w:val="14"/>
              </w:rPr>
            </w:pPr>
            <w:r>
              <w:rPr>
                <w:color w:val="231F20"/>
                <w:sz w:val="14"/>
              </w:rPr>
              <w:t>уочи основна обележја веровања</w:t>
            </w:r>
            <w:r>
              <w:rPr>
                <w:color w:val="231F20"/>
                <w:spacing w:val="-9"/>
                <w:sz w:val="14"/>
              </w:rPr>
              <w:t xml:space="preserve"> </w:t>
            </w:r>
            <w:r>
              <w:rPr>
                <w:color w:val="231F20"/>
                <w:spacing w:val="-3"/>
                <w:sz w:val="14"/>
              </w:rPr>
              <w:t xml:space="preserve">од </w:t>
            </w:r>
            <w:r>
              <w:rPr>
                <w:color w:val="231F20"/>
                <w:sz w:val="14"/>
              </w:rPr>
              <w:t>праисторије до савременог</w:t>
            </w:r>
            <w:r>
              <w:rPr>
                <w:color w:val="231F20"/>
                <w:spacing w:val="-3"/>
                <w:sz w:val="14"/>
              </w:rPr>
              <w:t xml:space="preserve"> </w:t>
            </w:r>
            <w:r>
              <w:rPr>
                <w:color w:val="231F20"/>
                <w:sz w:val="14"/>
              </w:rPr>
              <w:t>доба;</w:t>
            </w:r>
          </w:p>
          <w:p w:rsidR="00041039" w:rsidRDefault="001B26CB">
            <w:pPr>
              <w:pStyle w:val="TableParagraph"/>
              <w:numPr>
                <w:ilvl w:val="0"/>
                <w:numId w:val="130"/>
              </w:numPr>
              <w:tabs>
                <w:tab w:val="left" w:pos="157"/>
              </w:tabs>
              <w:spacing w:before="1" w:line="156" w:lineRule="exact"/>
              <w:ind w:right="387" w:hanging="99"/>
              <w:jc w:val="both"/>
              <w:rPr>
                <w:sz w:val="14"/>
              </w:rPr>
            </w:pPr>
            <w:r>
              <w:rPr>
                <w:color w:val="231F20"/>
                <w:sz w:val="14"/>
              </w:rPr>
              <w:t>наведе и упореди</w:t>
            </w:r>
            <w:r>
              <w:rPr>
                <w:color w:val="231F20"/>
                <w:spacing w:val="-15"/>
                <w:sz w:val="14"/>
              </w:rPr>
              <w:t xml:space="preserve"> </w:t>
            </w:r>
            <w:r>
              <w:rPr>
                <w:color w:val="231F20"/>
                <w:sz w:val="14"/>
              </w:rPr>
              <w:t>карактеристике обичаја и веровања у</w:t>
            </w:r>
            <w:r>
              <w:rPr>
                <w:color w:val="231F20"/>
                <w:spacing w:val="-4"/>
                <w:sz w:val="14"/>
              </w:rPr>
              <w:t xml:space="preserve"> </w:t>
            </w:r>
            <w:r>
              <w:rPr>
                <w:color w:val="231F20"/>
                <w:sz w:val="14"/>
              </w:rPr>
              <w:t>различитим периодима;</w:t>
            </w:r>
          </w:p>
          <w:p w:rsidR="00041039" w:rsidRDefault="001B26CB">
            <w:pPr>
              <w:pStyle w:val="TableParagraph"/>
              <w:numPr>
                <w:ilvl w:val="0"/>
                <w:numId w:val="130"/>
              </w:numPr>
              <w:tabs>
                <w:tab w:val="left" w:pos="157"/>
              </w:tabs>
              <w:spacing w:line="156" w:lineRule="exact"/>
              <w:ind w:right="297" w:hanging="99"/>
              <w:rPr>
                <w:sz w:val="14"/>
              </w:rPr>
            </w:pPr>
            <w:r>
              <w:rPr>
                <w:color w:val="231F20"/>
                <w:sz w:val="14"/>
              </w:rPr>
              <w:t>идентификује сличности и</w:t>
            </w:r>
            <w:r>
              <w:rPr>
                <w:color w:val="231F20"/>
                <w:spacing w:val="-11"/>
                <w:sz w:val="14"/>
              </w:rPr>
              <w:t xml:space="preserve"> </w:t>
            </w:r>
            <w:r>
              <w:rPr>
                <w:color w:val="231F20"/>
                <w:sz w:val="14"/>
              </w:rPr>
              <w:t>разлике у обичајима различитих верских заједница;</w:t>
            </w:r>
          </w:p>
          <w:p w:rsidR="00041039" w:rsidRDefault="001B26CB">
            <w:pPr>
              <w:pStyle w:val="TableParagraph"/>
              <w:numPr>
                <w:ilvl w:val="0"/>
                <w:numId w:val="130"/>
              </w:numPr>
              <w:tabs>
                <w:tab w:val="left" w:pos="157"/>
              </w:tabs>
              <w:spacing w:line="156" w:lineRule="exact"/>
              <w:ind w:right="327" w:hanging="99"/>
              <w:rPr>
                <w:sz w:val="14"/>
              </w:rPr>
            </w:pPr>
            <w:r>
              <w:rPr>
                <w:color w:val="231F20"/>
                <w:sz w:val="14"/>
              </w:rPr>
              <w:t>уочи утицај веровања и обичаја</w:t>
            </w:r>
            <w:r>
              <w:rPr>
                <w:color w:val="231F20"/>
                <w:spacing w:val="-14"/>
                <w:sz w:val="14"/>
              </w:rPr>
              <w:t xml:space="preserve"> </w:t>
            </w:r>
            <w:r>
              <w:rPr>
                <w:color w:val="231F20"/>
                <w:sz w:val="14"/>
              </w:rPr>
              <w:t>на културно</w:t>
            </w:r>
            <w:r>
              <w:rPr>
                <w:color w:val="231F20"/>
                <w:spacing w:val="-1"/>
                <w:sz w:val="14"/>
              </w:rPr>
              <w:t xml:space="preserve"> </w:t>
            </w:r>
            <w:r>
              <w:rPr>
                <w:color w:val="231F20"/>
                <w:sz w:val="14"/>
              </w:rPr>
              <w:t>стваралаштво;</w:t>
            </w:r>
          </w:p>
          <w:p w:rsidR="00041039" w:rsidRDefault="001B26CB">
            <w:pPr>
              <w:pStyle w:val="TableParagraph"/>
              <w:numPr>
                <w:ilvl w:val="0"/>
                <w:numId w:val="130"/>
              </w:numPr>
              <w:tabs>
                <w:tab w:val="left" w:pos="157"/>
              </w:tabs>
              <w:spacing w:line="156" w:lineRule="exact"/>
              <w:ind w:right="245" w:hanging="99"/>
              <w:rPr>
                <w:sz w:val="14"/>
              </w:rPr>
            </w:pPr>
            <w:r>
              <w:rPr>
                <w:color w:val="231F20"/>
                <w:sz w:val="14"/>
              </w:rPr>
              <w:t>разуме утицај и повезаност верских институција и верског живота кроз историју;</w:t>
            </w:r>
          </w:p>
          <w:p w:rsidR="00041039" w:rsidRDefault="001B26CB">
            <w:pPr>
              <w:pStyle w:val="TableParagraph"/>
              <w:numPr>
                <w:ilvl w:val="0"/>
                <w:numId w:val="130"/>
              </w:numPr>
              <w:tabs>
                <w:tab w:val="left" w:pos="157"/>
              </w:tabs>
              <w:spacing w:line="156" w:lineRule="exact"/>
              <w:ind w:right="245" w:hanging="99"/>
              <w:rPr>
                <w:sz w:val="14"/>
              </w:rPr>
            </w:pPr>
            <w:r>
              <w:rPr>
                <w:color w:val="231F20"/>
                <w:sz w:val="14"/>
              </w:rPr>
              <w:t xml:space="preserve">разуме утицај и повезаност верских институција и верског живота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041039" w:rsidRDefault="001B26CB">
            <w:pPr>
              <w:pStyle w:val="TableParagraph"/>
              <w:numPr>
                <w:ilvl w:val="0"/>
                <w:numId w:val="130"/>
              </w:numPr>
              <w:tabs>
                <w:tab w:val="left" w:pos="157"/>
              </w:tabs>
              <w:spacing w:line="156" w:lineRule="exact"/>
              <w:ind w:right="309" w:hanging="99"/>
              <w:jc w:val="both"/>
              <w:rPr>
                <w:sz w:val="14"/>
              </w:rPr>
            </w:pPr>
            <w:r>
              <w:rPr>
                <w:color w:val="231F20"/>
                <w:sz w:val="14"/>
              </w:rPr>
              <w:t xml:space="preserve">препозна и разуме основне одлике верског живота и обичаја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tc>
        <w:tc>
          <w:tcPr>
            <w:tcW w:w="2834" w:type="dxa"/>
          </w:tcPr>
          <w:p w:rsidR="00041039" w:rsidRDefault="001B26CB">
            <w:pPr>
              <w:pStyle w:val="TableParagraph"/>
              <w:numPr>
                <w:ilvl w:val="0"/>
                <w:numId w:val="129"/>
              </w:numPr>
              <w:tabs>
                <w:tab w:val="left" w:pos="158"/>
              </w:tabs>
              <w:spacing w:before="11" w:line="232" w:lineRule="auto"/>
              <w:ind w:right="58"/>
              <w:rPr>
                <w:sz w:val="14"/>
              </w:rPr>
            </w:pPr>
            <w:r>
              <w:rPr>
                <w:color w:val="231F20"/>
                <w:sz w:val="14"/>
              </w:rPr>
              <w:t>Веровања у старом Египту и</w:t>
            </w:r>
            <w:r>
              <w:rPr>
                <w:color w:val="231F20"/>
                <w:spacing w:val="-7"/>
                <w:sz w:val="14"/>
              </w:rPr>
              <w:t xml:space="preserve"> </w:t>
            </w:r>
            <w:r>
              <w:rPr>
                <w:color w:val="231F20"/>
                <w:sz w:val="14"/>
              </w:rPr>
              <w:t xml:space="preserve">Месопотамији (загробни </w:t>
            </w:r>
            <w:r>
              <w:rPr>
                <w:color w:val="231F20"/>
                <w:spacing w:val="-3"/>
                <w:sz w:val="14"/>
              </w:rPr>
              <w:t xml:space="preserve">живот, </w:t>
            </w:r>
            <w:r>
              <w:rPr>
                <w:color w:val="231F20"/>
                <w:sz w:val="14"/>
              </w:rPr>
              <w:t>балсамовање, хороскопи, астрологија, обреди и ритуални предме­ ти...).</w:t>
            </w:r>
          </w:p>
          <w:p w:rsidR="00041039" w:rsidRDefault="001B26CB">
            <w:pPr>
              <w:pStyle w:val="TableParagraph"/>
              <w:numPr>
                <w:ilvl w:val="0"/>
                <w:numId w:val="129"/>
              </w:numPr>
              <w:tabs>
                <w:tab w:val="left" w:pos="158"/>
              </w:tabs>
              <w:spacing w:before="1" w:line="156" w:lineRule="exact"/>
              <w:ind w:right="253"/>
              <w:rPr>
                <w:sz w:val="14"/>
              </w:rPr>
            </w:pPr>
            <w:r>
              <w:rPr>
                <w:color w:val="231F20"/>
                <w:sz w:val="14"/>
              </w:rPr>
              <w:t xml:space="preserve">Веровања старих </w:t>
            </w:r>
            <w:r>
              <w:rPr>
                <w:color w:val="231F20"/>
                <w:spacing w:val="-3"/>
                <w:sz w:val="14"/>
              </w:rPr>
              <w:t xml:space="preserve">Грка </w:t>
            </w:r>
            <w:r>
              <w:rPr>
                <w:color w:val="231F20"/>
                <w:sz w:val="14"/>
              </w:rPr>
              <w:t xml:space="preserve">и Римљана (про­ рочишта, </w:t>
            </w:r>
            <w:r>
              <w:rPr>
                <w:color w:val="231F20"/>
                <w:sz w:val="14"/>
              </w:rPr>
              <w:t xml:space="preserve">загробни </w:t>
            </w:r>
            <w:r>
              <w:rPr>
                <w:color w:val="231F20"/>
                <w:spacing w:val="-3"/>
                <w:sz w:val="14"/>
              </w:rPr>
              <w:t xml:space="preserve">живот, </w:t>
            </w:r>
            <w:r>
              <w:rPr>
                <w:color w:val="231F20"/>
                <w:sz w:val="14"/>
              </w:rPr>
              <w:t>свештеници и свештенице, приношење жртве богови­ ма...).</w:t>
            </w:r>
          </w:p>
          <w:p w:rsidR="00041039" w:rsidRDefault="001B26CB">
            <w:pPr>
              <w:pStyle w:val="TableParagraph"/>
              <w:numPr>
                <w:ilvl w:val="0"/>
                <w:numId w:val="129"/>
              </w:numPr>
              <w:tabs>
                <w:tab w:val="left" w:pos="158"/>
              </w:tabs>
              <w:spacing w:line="148" w:lineRule="exact"/>
              <w:rPr>
                <w:sz w:val="14"/>
              </w:rPr>
            </w:pPr>
            <w:r>
              <w:rPr>
                <w:color w:val="231F20"/>
                <w:sz w:val="14"/>
              </w:rPr>
              <w:t>Религије Далеког</w:t>
            </w:r>
            <w:r>
              <w:rPr>
                <w:color w:val="231F20"/>
                <w:spacing w:val="-2"/>
                <w:sz w:val="14"/>
              </w:rPr>
              <w:t xml:space="preserve"> </w:t>
            </w:r>
            <w:r>
              <w:rPr>
                <w:color w:val="231F20"/>
                <w:sz w:val="14"/>
              </w:rPr>
              <w:t>истока.</w:t>
            </w:r>
          </w:p>
          <w:p w:rsidR="00041039" w:rsidRDefault="001B26CB">
            <w:pPr>
              <w:pStyle w:val="TableParagraph"/>
              <w:numPr>
                <w:ilvl w:val="0"/>
                <w:numId w:val="129"/>
              </w:numPr>
              <w:tabs>
                <w:tab w:val="left" w:pos="158"/>
              </w:tabs>
              <w:spacing w:line="232" w:lineRule="auto"/>
              <w:ind w:right="271"/>
              <w:rPr>
                <w:sz w:val="14"/>
              </w:rPr>
            </w:pPr>
            <w:r>
              <w:rPr>
                <w:color w:val="231F20"/>
                <w:sz w:val="14"/>
              </w:rPr>
              <w:t>Верски живот и обичаји у средњем</w:t>
            </w:r>
            <w:r>
              <w:rPr>
                <w:color w:val="231F20"/>
                <w:spacing w:val="-11"/>
                <w:sz w:val="14"/>
              </w:rPr>
              <w:t xml:space="preserve"> </w:t>
            </w:r>
            <w:r>
              <w:rPr>
                <w:color w:val="231F20"/>
                <w:sz w:val="14"/>
              </w:rPr>
              <w:t>веку (главне одлике хришћанства, ислама и јудаизма; обележја различитих вер­ ских конфесија ­ сличности и разлике</w:t>
            </w:r>
            <w:r>
              <w:rPr>
                <w:color w:val="231F20"/>
                <w:spacing w:val="-8"/>
                <w:sz w:val="14"/>
              </w:rPr>
              <w:t xml:space="preserve"> </w:t>
            </w:r>
            <w:r>
              <w:rPr>
                <w:color w:val="231F20"/>
                <w:sz w:val="14"/>
              </w:rPr>
              <w:t>у</w:t>
            </w:r>
          </w:p>
          <w:p w:rsidR="00041039" w:rsidRDefault="001B26CB">
            <w:pPr>
              <w:pStyle w:val="TableParagraph"/>
              <w:spacing w:line="232" w:lineRule="auto"/>
              <w:ind w:left="157"/>
              <w:rPr>
                <w:sz w:val="14"/>
              </w:rPr>
            </w:pPr>
            <w:r>
              <w:rPr>
                <w:color w:val="231F20"/>
                <w:sz w:val="14"/>
              </w:rPr>
              <w:t>веровањима и обичајима; обележавање вер­ ских празника, страхови средњовековног човека).</w:t>
            </w:r>
          </w:p>
          <w:p w:rsidR="00041039" w:rsidRDefault="001B26CB">
            <w:pPr>
              <w:pStyle w:val="TableParagraph"/>
              <w:numPr>
                <w:ilvl w:val="0"/>
                <w:numId w:val="129"/>
              </w:numPr>
              <w:tabs>
                <w:tab w:val="left" w:pos="158"/>
              </w:tabs>
              <w:spacing w:line="156" w:lineRule="exact"/>
              <w:ind w:right="389"/>
              <w:jc w:val="both"/>
              <w:rPr>
                <w:sz w:val="14"/>
              </w:rPr>
            </w:pPr>
            <w:r>
              <w:rPr>
                <w:color w:val="231F20"/>
                <w:sz w:val="14"/>
              </w:rPr>
              <w:t>Верски живот и обичаји у новом веку и савременом добу (верски</w:t>
            </w:r>
            <w:r>
              <w:rPr>
                <w:color w:val="231F20"/>
                <w:spacing w:val="-27"/>
                <w:sz w:val="14"/>
              </w:rPr>
              <w:t xml:space="preserve"> </w:t>
            </w:r>
            <w:r>
              <w:rPr>
                <w:color w:val="231F20"/>
                <w:sz w:val="14"/>
              </w:rPr>
              <w:t>идентитет, сличности и разлике између</w:t>
            </w:r>
            <w:r>
              <w:rPr>
                <w:color w:val="231F20"/>
                <w:spacing w:val="-21"/>
                <w:sz w:val="14"/>
              </w:rPr>
              <w:t xml:space="preserve"> </w:t>
            </w:r>
            <w:r>
              <w:rPr>
                <w:color w:val="231F20"/>
                <w:sz w:val="14"/>
              </w:rPr>
              <w:t>католика,</w:t>
            </w:r>
          </w:p>
          <w:p w:rsidR="00041039" w:rsidRDefault="001B26CB">
            <w:pPr>
              <w:pStyle w:val="TableParagraph"/>
              <w:spacing w:line="232" w:lineRule="auto"/>
              <w:ind w:left="157" w:right="232"/>
              <w:rPr>
                <w:sz w:val="14"/>
              </w:rPr>
            </w:pPr>
            <w:r>
              <w:rPr>
                <w:color w:val="231F20"/>
                <w:sz w:val="14"/>
              </w:rPr>
              <w:t>протестаната, православаца, муслимана, Јевреја; атеизам).</w:t>
            </w:r>
          </w:p>
        </w:tc>
        <w:tc>
          <w:tcPr>
            <w:tcW w:w="2267" w:type="dxa"/>
            <w:vMerge/>
            <w:tcBorders>
              <w:top w:val="nil"/>
            </w:tcBorders>
          </w:tcPr>
          <w:p w:rsidR="00041039" w:rsidRDefault="00041039">
            <w:pPr>
              <w:rPr>
                <w:sz w:val="2"/>
                <w:szCs w:val="2"/>
              </w:rPr>
            </w:pPr>
          </w:p>
        </w:tc>
      </w:tr>
      <w:tr w:rsidR="00041039">
        <w:trPr>
          <w:trHeight w:val="3476"/>
        </w:trPr>
        <w:tc>
          <w:tcPr>
            <w:tcW w:w="1304" w:type="dxa"/>
          </w:tcPr>
          <w:p w:rsidR="00041039" w:rsidRDefault="001B26CB">
            <w:pPr>
              <w:pStyle w:val="TableParagraph"/>
              <w:spacing w:before="20" w:line="232" w:lineRule="auto"/>
              <w:ind w:left="57" w:right="291"/>
              <w:rPr>
                <w:sz w:val="14"/>
              </w:rPr>
            </w:pPr>
            <w:r>
              <w:rPr>
                <w:color w:val="231F20"/>
                <w:sz w:val="14"/>
              </w:rPr>
              <w:t>Образовање и васпитање кроз историју</w:t>
            </w:r>
          </w:p>
        </w:tc>
        <w:tc>
          <w:tcPr>
            <w:tcW w:w="1587" w:type="dxa"/>
          </w:tcPr>
          <w:p w:rsidR="00041039" w:rsidRDefault="001B26CB">
            <w:pPr>
              <w:pStyle w:val="TableParagraph"/>
              <w:numPr>
                <w:ilvl w:val="0"/>
                <w:numId w:val="128"/>
              </w:numPr>
              <w:tabs>
                <w:tab w:val="left" w:pos="157"/>
              </w:tabs>
              <w:spacing w:before="10" w:line="232" w:lineRule="auto"/>
              <w:ind w:right="113" w:hanging="99"/>
              <w:rPr>
                <w:sz w:val="14"/>
              </w:rPr>
            </w:pPr>
            <w:r>
              <w:rPr>
                <w:color w:val="231F20"/>
                <w:sz w:val="14"/>
              </w:rPr>
              <w:t>Продубљивање</w:t>
            </w:r>
            <w:r>
              <w:rPr>
                <w:color w:val="231F20"/>
                <w:spacing w:val="-13"/>
                <w:sz w:val="14"/>
              </w:rPr>
              <w:t xml:space="preserve"> </w:t>
            </w:r>
            <w:r>
              <w:rPr>
                <w:color w:val="231F20"/>
                <w:sz w:val="14"/>
              </w:rPr>
              <w:t>знања о развоју образовања кроз</w:t>
            </w:r>
            <w:r>
              <w:rPr>
                <w:color w:val="231F20"/>
                <w:spacing w:val="-2"/>
                <w:sz w:val="14"/>
              </w:rPr>
              <w:t xml:space="preserve"> </w:t>
            </w:r>
            <w:r>
              <w:rPr>
                <w:color w:val="231F20"/>
                <w:sz w:val="14"/>
              </w:rPr>
              <w:t>историју.</w:t>
            </w:r>
          </w:p>
          <w:p w:rsidR="00041039" w:rsidRDefault="001B26CB">
            <w:pPr>
              <w:pStyle w:val="TableParagraph"/>
              <w:numPr>
                <w:ilvl w:val="0"/>
                <w:numId w:val="128"/>
              </w:numPr>
              <w:tabs>
                <w:tab w:val="left" w:pos="157"/>
              </w:tabs>
              <w:spacing w:before="1" w:line="156" w:lineRule="exact"/>
              <w:ind w:right="77" w:hanging="99"/>
              <w:rPr>
                <w:sz w:val="14"/>
              </w:rPr>
            </w:pPr>
            <w:r>
              <w:rPr>
                <w:color w:val="231F20"/>
                <w:spacing w:val="-3"/>
                <w:sz w:val="14"/>
              </w:rPr>
              <w:t xml:space="preserve">Уочавање </w:t>
            </w:r>
            <w:r>
              <w:rPr>
                <w:color w:val="231F20"/>
                <w:sz w:val="14"/>
              </w:rPr>
              <w:t>сличности и разлика у образовању и васпитању</w:t>
            </w:r>
            <w:r>
              <w:rPr>
                <w:color w:val="231F20"/>
                <w:spacing w:val="-3"/>
                <w:sz w:val="14"/>
              </w:rPr>
              <w:t xml:space="preserve"> </w:t>
            </w:r>
            <w:r>
              <w:rPr>
                <w:color w:val="231F20"/>
                <w:sz w:val="14"/>
              </w:rPr>
              <w:t>некад</w:t>
            </w:r>
          </w:p>
          <w:p w:rsidR="00041039" w:rsidRDefault="001B26CB">
            <w:pPr>
              <w:pStyle w:val="TableParagraph"/>
              <w:spacing w:line="147" w:lineRule="exact"/>
              <w:rPr>
                <w:sz w:val="14"/>
              </w:rPr>
            </w:pPr>
            <w:r>
              <w:rPr>
                <w:color w:val="231F20"/>
                <w:sz w:val="14"/>
              </w:rPr>
              <w:t>и сад.</w:t>
            </w:r>
          </w:p>
          <w:p w:rsidR="00041039" w:rsidRDefault="001B26CB">
            <w:pPr>
              <w:pStyle w:val="TableParagraph"/>
              <w:numPr>
                <w:ilvl w:val="0"/>
                <w:numId w:val="128"/>
              </w:numPr>
              <w:tabs>
                <w:tab w:val="left" w:pos="157"/>
              </w:tabs>
              <w:spacing w:line="232" w:lineRule="auto"/>
              <w:ind w:right="98" w:hanging="99"/>
              <w:rPr>
                <w:sz w:val="14"/>
              </w:rPr>
            </w:pPr>
            <w:r>
              <w:rPr>
                <w:color w:val="231F20"/>
                <w:sz w:val="14"/>
              </w:rPr>
              <w:t>Разумевање утицаја привредног развоја</w:t>
            </w:r>
            <w:r>
              <w:rPr>
                <w:color w:val="231F20"/>
                <w:spacing w:val="-9"/>
                <w:sz w:val="14"/>
              </w:rPr>
              <w:t xml:space="preserve"> </w:t>
            </w:r>
            <w:r>
              <w:rPr>
                <w:color w:val="231F20"/>
                <w:sz w:val="14"/>
              </w:rPr>
              <w:t>на квалитет</w:t>
            </w:r>
            <w:r>
              <w:rPr>
                <w:color w:val="231F20"/>
                <w:spacing w:val="-5"/>
                <w:sz w:val="14"/>
              </w:rPr>
              <w:t xml:space="preserve"> </w:t>
            </w:r>
            <w:r>
              <w:rPr>
                <w:color w:val="231F20"/>
                <w:sz w:val="14"/>
              </w:rPr>
              <w:t>образовања.</w:t>
            </w:r>
          </w:p>
          <w:p w:rsidR="00041039" w:rsidRDefault="001B26CB">
            <w:pPr>
              <w:pStyle w:val="TableParagraph"/>
              <w:numPr>
                <w:ilvl w:val="0"/>
                <w:numId w:val="128"/>
              </w:numPr>
              <w:tabs>
                <w:tab w:val="left" w:pos="157"/>
              </w:tabs>
              <w:spacing w:line="156" w:lineRule="exact"/>
              <w:ind w:right="113" w:hanging="99"/>
              <w:rPr>
                <w:sz w:val="14"/>
              </w:rPr>
            </w:pPr>
            <w:r>
              <w:rPr>
                <w:color w:val="231F20"/>
                <w:sz w:val="14"/>
              </w:rPr>
              <w:t>Продубљивање</w:t>
            </w:r>
            <w:r>
              <w:rPr>
                <w:color w:val="231F20"/>
                <w:spacing w:val="-13"/>
                <w:sz w:val="14"/>
              </w:rPr>
              <w:t xml:space="preserve"> </w:t>
            </w:r>
            <w:r>
              <w:rPr>
                <w:color w:val="231F20"/>
                <w:sz w:val="14"/>
              </w:rPr>
              <w:t xml:space="preserve">знања о развоју образо­ вања </w:t>
            </w:r>
            <w:r>
              <w:rPr>
                <w:color w:val="231F20"/>
                <w:spacing w:val="-5"/>
                <w:sz w:val="14"/>
              </w:rPr>
              <w:t xml:space="preserve">код </w:t>
            </w:r>
            <w:r>
              <w:rPr>
                <w:color w:val="231F20"/>
                <w:sz w:val="14"/>
              </w:rPr>
              <w:t>Срба кроз историју.</w:t>
            </w:r>
          </w:p>
        </w:tc>
        <w:tc>
          <w:tcPr>
            <w:tcW w:w="2551" w:type="dxa"/>
          </w:tcPr>
          <w:p w:rsidR="00041039" w:rsidRDefault="001B26CB">
            <w:pPr>
              <w:pStyle w:val="TableParagraph"/>
              <w:numPr>
                <w:ilvl w:val="0"/>
                <w:numId w:val="127"/>
              </w:numPr>
              <w:tabs>
                <w:tab w:val="left" w:pos="157"/>
              </w:tabs>
              <w:spacing w:before="10" w:line="232" w:lineRule="auto"/>
              <w:ind w:right="185" w:hanging="99"/>
              <w:rPr>
                <w:sz w:val="14"/>
              </w:rPr>
            </w:pPr>
            <w:r>
              <w:rPr>
                <w:color w:val="231F20"/>
                <w:sz w:val="14"/>
              </w:rPr>
              <w:t>уочи основна обележја образовања</w:t>
            </w:r>
            <w:r>
              <w:rPr>
                <w:color w:val="231F20"/>
                <w:spacing w:val="-10"/>
                <w:sz w:val="14"/>
              </w:rPr>
              <w:t xml:space="preserve"> </w:t>
            </w:r>
            <w:r>
              <w:rPr>
                <w:color w:val="231F20"/>
                <w:sz w:val="14"/>
              </w:rPr>
              <w:t xml:space="preserve">и васпитања </w:t>
            </w:r>
            <w:r>
              <w:rPr>
                <w:color w:val="231F20"/>
                <w:spacing w:val="-3"/>
                <w:sz w:val="14"/>
              </w:rPr>
              <w:t xml:space="preserve">од </w:t>
            </w:r>
            <w:r>
              <w:rPr>
                <w:color w:val="231F20"/>
                <w:sz w:val="14"/>
              </w:rPr>
              <w:t>антике до савременог доба;</w:t>
            </w:r>
          </w:p>
          <w:p w:rsidR="00041039" w:rsidRDefault="001B26CB">
            <w:pPr>
              <w:pStyle w:val="TableParagraph"/>
              <w:numPr>
                <w:ilvl w:val="0"/>
                <w:numId w:val="127"/>
              </w:numPr>
              <w:tabs>
                <w:tab w:val="left" w:pos="157"/>
              </w:tabs>
              <w:spacing w:before="1" w:line="156" w:lineRule="exact"/>
              <w:ind w:right="255" w:hanging="99"/>
              <w:rPr>
                <w:sz w:val="14"/>
              </w:rPr>
            </w:pPr>
            <w:r>
              <w:rPr>
                <w:color w:val="231F20"/>
                <w:sz w:val="14"/>
              </w:rPr>
              <w:t>опише развој система образовања</w:t>
            </w:r>
            <w:r>
              <w:rPr>
                <w:color w:val="231F20"/>
                <w:spacing w:val="-7"/>
                <w:sz w:val="14"/>
              </w:rPr>
              <w:t xml:space="preserve"> </w:t>
            </w:r>
            <w:r>
              <w:rPr>
                <w:color w:val="231F20"/>
                <w:sz w:val="14"/>
              </w:rPr>
              <w:t>и васпитања кроз</w:t>
            </w:r>
            <w:r>
              <w:rPr>
                <w:color w:val="231F20"/>
                <w:spacing w:val="-1"/>
                <w:sz w:val="14"/>
              </w:rPr>
              <w:t xml:space="preserve"> </w:t>
            </w:r>
            <w:r>
              <w:rPr>
                <w:color w:val="231F20"/>
                <w:sz w:val="14"/>
              </w:rPr>
              <w:t>историју;</w:t>
            </w:r>
          </w:p>
          <w:p w:rsidR="00041039" w:rsidRDefault="001B26CB">
            <w:pPr>
              <w:pStyle w:val="TableParagraph"/>
              <w:numPr>
                <w:ilvl w:val="0"/>
                <w:numId w:val="127"/>
              </w:numPr>
              <w:tabs>
                <w:tab w:val="left" w:pos="157"/>
              </w:tabs>
              <w:spacing w:line="156" w:lineRule="exact"/>
              <w:ind w:right="255" w:hanging="99"/>
              <w:rPr>
                <w:sz w:val="14"/>
              </w:rPr>
            </w:pPr>
            <w:r>
              <w:rPr>
                <w:color w:val="231F20"/>
                <w:sz w:val="14"/>
              </w:rPr>
              <w:t>опише развој система образовања</w:t>
            </w:r>
            <w:r>
              <w:rPr>
                <w:color w:val="231F20"/>
                <w:spacing w:val="-7"/>
                <w:sz w:val="14"/>
              </w:rPr>
              <w:t xml:space="preserve"> </w:t>
            </w:r>
            <w:r>
              <w:rPr>
                <w:color w:val="231F20"/>
                <w:sz w:val="14"/>
              </w:rPr>
              <w:t xml:space="preserve">и васпитања </w:t>
            </w:r>
            <w:r>
              <w:rPr>
                <w:color w:val="231F20"/>
                <w:spacing w:val="-5"/>
                <w:sz w:val="14"/>
              </w:rPr>
              <w:t xml:space="preserve">код </w:t>
            </w:r>
            <w:r>
              <w:rPr>
                <w:color w:val="231F20"/>
                <w:sz w:val="14"/>
              </w:rPr>
              <w:t>Срба кроз</w:t>
            </w:r>
            <w:r>
              <w:rPr>
                <w:color w:val="231F20"/>
                <w:sz w:val="14"/>
              </w:rPr>
              <w:t xml:space="preserve"> </w:t>
            </w:r>
            <w:r>
              <w:rPr>
                <w:color w:val="231F20"/>
                <w:sz w:val="14"/>
              </w:rPr>
              <w:t>историју;</w:t>
            </w:r>
          </w:p>
          <w:p w:rsidR="00041039" w:rsidRDefault="001B26CB">
            <w:pPr>
              <w:pStyle w:val="TableParagraph"/>
              <w:numPr>
                <w:ilvl w:val="0"/>
                <w:numId w:val="127"/>
              </w:numPr>
              <w:tabs>
                <w:tab w:val="left" w:pos="157"/>
              </w:tabs>
              <w:spacing w:line="156" w:lineRule="exact"/>
              <w:ind w:right="103" w:hanging="99"/>
              <w:rPr>
                <w:sz w:val="14"/>
              </w:rPr>
            </w:pPr>
            <w:r>
              <w:rPr>
                <w:color w:val="231F20"/>
                <w:sz w:val="14"/>
              </w:rPr>
              <w:t>у</w:t>
            </w:r>
            <w:r>
              <w:rPr>
                <w:color w:val="231F20"/>
                <w:sz w:val="14"/>
              </w:rPr>
              <w:t>пореди карактеристике образовања</w:t>
            </w:r>
            <w:r>
              <w:rPr>
                <w:color w:val="231F20"/>
                <w:spacing w:val="-14"/>
                <w:sz w:val="14"/>
              </w:rPr>
              <w:t xml:space="preserve"> </w:t>
            </w:r>
            <w:r>
              <w:rPr>
                <w:color w:val="231F20"/>
                <w:sz w:val="14"/>
              </w:rPr>
              <w:t>и васпитања у различитим</w:t>
            </w:r>
            <w:r>
              <w:rPr>
                <w:color w:val="231F20"/>
                <w:spacing w:val="-6"/>
                <w:sz w:val="14"/>
              </w:rPr>
              <w:t xml:space="preserve"> </w:t>
            </w:r>
            <w:r>
              <w:rPr>
                <w:color w:val="231F20"/>
                <w:sz w:val="14"/>
              </w:rPr>
              <w:t>периодима;</w:t>
            </w:r>
          </w:p>
          <w:p w:rsidR="00041039" w:rsidRDefault="001B26CB">
            <w:pPr>
              <w:pStyle w:val="TableParagraph"/>
              <w:numPr>
                <w:ilvl w:val="0"/>
                <w:numId w:val="127"/>
              </w:numPr>
              <w:tabs>
                <w:tab w:val="left" w:pos="157"/>
              </w:tabs>
              <w:spacing w:line="156" w:lineRule="exact"/>
              <w:ind w:right="109" w:hanging="99"/>
              <w:rPr>
                <w:sz w:val="14"/>
              </w:rPr>
            </w:pPr>
            <w:r>
              <w:rPr>
                <w:color w:val="231F20"/>
                <w:sz w:val="14"/>
              </w:rPr>
              <w:t>изведе закључак о значају</w:t>
            </w:r>
            <w:r>
              <w:rPr>
                <w:color w:val="231F20"/>
                <w:spacing w:val="-22"/>
                <w:sz w:val="14"/>
              </w:rPr>
              <w:t xml:space="preserve"> </w:t>
            </w:r>
            <w:r>
              <w:rPr>
                <w:color w:val="231F20"/>
                <w:sz w:val="14"/>
              </w:rPr>
              <w:t>образовања и васпитања у животу</w:t>
            </w:r>
            <w:r>
              <w:rPr>
                <w:color w:val="231F20"/>
                <w:spacing w:val="-5"/>
                <w:sz w:val="14"/>
              </w:rPr>
              <w:t xml:space="preserve"> </w:t>
            </w:r>
            <w:r>
              <w:rPr>
                <w:color w:val="231F20"/>
                <w:sz w:val="14"/>
              </w:rPr>
              <w:t>људи;</w:t>
            </w:r>
          </w:p>
          <w:p w:rsidR="00041039" w:rsidRDefault="001B26CB">
            <w:pPr>
              <w:pStyle w:val="TableParagraph"/>
              <w:numPr>
                <w:ilvl w:val="0"/>
                <w:numId w:val="127"/>
              </w:numPr>
              <w:tabs>
                <w:tab w:val="left" w:pos="157"/>
              </w:tabs>
              <w:spacing w:line="156" w:lineRule="exact"/>
              <w:ind w:right="90" w:hanging="99"/>
              <w:jc w:val="both"/>
              <w:rPr>
                <w:sz w:val="14"/>
              </w:rPr>
            </w:pPr>
            <w:r>
              <w:rPr>
                <w:color w:val="231F20"/>
                <w:sz w:val="14"/>
              </w:rPr>
              <w:t>препозна међусобну условљеност сте­ пена привредног развитка и квалитета образовања;</w:t>
            </w:r>
          </w:p>
        </w:tc>
        <w:tc>
          <w:tcPr>
            <w:tcW w:w="2834" w:type="dxa"/>
          </w:tcPr>
          <w:p w:rsidR="00041039" w:rsidRDefault="001B26CB">
            <w:pPr>
              <w:pStyle w:val="TableParagraph"/>
              <w:numPr>
                <w:ilvl w:val="0"/>
                <w:numId w:val="126"/>
              </w:numPr>
              <w:tabs>
                <w:tab w:val="left" w:pos="158"/>
              </w:tabs>
              <w:spacing w:before="9" w:line="232" w:lineRule="auto"/>
              <w:ind w:right="63"/>
              <w:rPr>
                <w:sz w:val="14"/>
              </w:rPr>
            </w:pPr>
            <w:r>
              <w:rPr>
                <w:color w:val="231F20"/>
                <w:sz w:val="14"/>
              </w:rPr>
              <w:t xml:space="preserve">Образовање и васпитање у старом веку (Египат, Месопотамија, стара </w:t>
            </w:r>
            <w:r>
              <w:rPr>
                <w:color w:val="231F20"/>
                <w:spacing w:val="-4"/>
                <w:sz w:val="14"/>
              </w:rPr>
              <w:t xml:space="preserve">Грчка </w:t>
            </w:r>
            <w:r>
              <w:rPr>
                <w:color w:val="231F20"/>
                <w:sz w:val="14"/>
              </w:rPr>
              <w:t>и</w:t>
            </w:r>
            <w:r>
              <w:rPr>
                <w:color w:val="231F20"/>
                <w:spacing w:val="-12"/>
                <w:sz w:val="14"/>
              </w:rPr>
              <w:t xml:space="preserve"> </w:t>
            </w:r>
            <w:r>
              <w:rPr>
                <w:color w:val="231F20"/>
                <w:sz w:val="14"/>
              </w:rPr>
              <w:t>Рим).</w:t>
            </w:r>
          </w:p>
          <w:p w:rsidR="00041039" w:rsidRDefault="001B26CB">
            <w:pPr>
              <w:pStyle w:val="TableParagraph"/>
              <w:numPr>
                <w:ilvl w:val="0"/>
                <w:numId w:val="126"/>
              </w:numPr>
              <w:tabs>
                <w:tab w:val="left" w:pos="158"/>
              </w:tabs>
              <w:spacing w:before="1" w:line="156" w:lineRule="exact"/>
              <w:ind w:right="54"/>
              <w:rPr>
                <w:sz w:val="14"/>
              </w:rPr>
            </w:pPr>
            <w:r>
              <w:rPr>
                <w:color w:val="231F20"/>
                <w:sz w:val="14"/>
              </w:rPr>
              <w:t xml:space="preserve">Образовање и васпитање у средњем веку (манастири као центри писмености и обра­ зовања; оснивање </w:t>
            </w:r>
            <w:r>
              <w:rPr>
                <w:color w:val="231F20"/>
                <w:spacing w:val="-3"/>
                <w:sz w:val="14"/>
              </w:rPr>
              <w:t xml:space="preserve">школа </w:t>
            </w:r>
            <w:r>
              <w:rPr>
                <w:color w:val="231F20"/>
                <w:sz w:val="14"/>
              </w:rPr>
              <w:t>и универзитета, утицај цркве на образовање и</w:t>
            </w:r>
            <w:r>
              <w:rPr>
                <w:color w:val="231F20"/>
                <w:spacing w:val="-11"/>
                <w:sz w:val="14"/>
              </w:rPr>
              <w:t xml:space="preserve"> </w:t>
            </w:r>
            <w:r>
              <w:rPr>
                <w:color w:val="231F20"/>
                <w:sz w:val="14"/>
              </w:rPr>
              <w:t>васпитање...).</w:t>
            </w:r>
          </w:p>
          <w:p w:rsidR="00041039" w:rsidRDefault="001B26CB">
            <w:pPr>
              <w:pStyle w:val="TableParagraph"/>
              <w:numPr>
                <w:ilvl w:val="0"/>
                <w:numId w:val="126"/>
              </w:numPr>
              <w:tabs>
                <w:tab w:val="left" w:pos="158"/>
              </w:tabs>
              <w:spacing w:line="156" w:lineRule="exact"/>
              <w:ind w:right="101"/>
              <w:rPr>
                <w:sz w:val="14"/>
              </w:rPr>
            </w:pPr>
            <w:r>
              <w:rPr>
                <w:color w:val="231F20"/>
                <w:sz w:val="14"/>
              </w:rPr>
              <w:t>Образовање и в</w:t>
            </w:r>
            <w:r>
              <w:rPr>
                <w:color w:val="231F20"/>
                <w:sz w:val="14"/>
              </w:rPr>
              <w:t>аспитање у новом веку и савременом добу (појава штампарства и ширење писмености, улога цркве и</w:t>
            </w:r>
            <w:r>
              <w:rPr>
                <w:color w:val="231F20"/>
                <w:spacing w:val="-24"/>
                <w:sz w:val="14"/>
              </w:rPr>
              <w:t xml:space="preserve"> </w:t>
            </w:r>
            <w:r>
              <w:rPr>
                <w:color w:val="231F20"/>
                <w:sz w:val="14"/>
              </w:rPr>
              <w:t>државе</w:t>
            </w:r>
          </w:p>
          <w:p w:rsidR="00041039" w:rsidRDefault="001B26CB">
            <w:pPr>
              <w:pStyle w:val="TableParagraph"/>
              <w:numPr>
                <w:ilvl w:val="1"/>
                <w:numId w:val="126"/>
              </w:numPr>
              <w:tabs>
                <w:tab w:val="left" w:pos="239"/>
              </w:tabs>
              <w:spacing w:line="232" w:lineRule="auto"/>
              <w:ind w:right="95" w:firstLine="0"/>
              <w:rPr>
                <w:sz w:val="14"/>
              </w:rPr>
            </w:pPr>
            <w:r>
              <w:rPr>
                <w:color w:val="231F20"/>
                <w:sz w:val="14"/>
              </w:rPr>
              <w:t>појава световног и обавезног</w:t>
            </w:r>
            <w:r>
              <w:rPr>
                <w:color w:val="231F20"/>
                <w:spacing w:val="-16"/>
                <w:sz w:val="14"/>
              </w:rPr>
              <w:t xml:space="preserve"> </w:t>
            </w:r>
            <w:r>
              <w:rPr>
                <w:color w:val="231F20"/>
                <w:sz w:val="14"/>
              </w:rPr>
              <w:t>образовања, школских уџбеника; положај</w:t>
            </w:r>
            <w:r>
              <w:rPr>
                <w:color w:val="231F20"/>
                <w:spacing w:val="-9"/>
                <w:sz w:val="14"/>
              </w:rPr>
              <w:t xml:space="preserve"> </w:t>
            </w:r>
            <w:r>
              <w:rPr>
                <w:color w:val="231F20"/>
                <w:sz w:val="14"/>
              </w:rPr>
              <w:t>ученика</w:t>
            </w:r>
          </w:p>
          <w:p w:rsidR="00041039" w:rsidRDefault="001B26CB">
            <w:pPr>
              <w:pStyle w:val="TableParagraph"/>
              <w:numPr>
                <w:ilvl w:val="1"/>
                <w:numId w:val="126"/>
              </w:numPr>
              <w:tabs>
                <w:tab w:val="left" w:pos="239"/>
              </w:tabs>
              <w:spacing w:line="232" w:lineRule="auto"/>
              <w:ind w:right="441" w:firstLine="0"/>
              <w:rPr>
                <w:sz w:val="14"/>
              </w:rPr>
            </w:pPr>
            <w:r>
              <w:rPr>
                <w:color w:val="231F20"/>
                <w:sz w:val="14"/>
              </w:rPr>
              <w:t>награђивање и кажњавање.</w:t>
            </w:r>
            <w:r>
              <w:rPr>
                <w:color w:val="231F20"/>
                <w:spacing w:val="-20"/>
                <w:sz w:val="14"/>
              </w:rPr>
              <w:t xml:space="preserve"> </w:t>
            </w:r>
            <w:r>
              <w:rPr>
                <w:color w:val="231F20"/>
                <w:sz w:val="14"/>
              </w:rPr>
              <w:t>одевање ученика...).</w:t>
            </w:r>
          </w:p>
          <w:p w:rsidR="00041039" w:rsidRDefault="001B26CB">
            <w:pPr>
              <w:pStyle w:val="TableParagraph"/>
              <w:numPr>
                <w:ilvl w:val="0"/>
                <w:numId w:val="126"/>
              </w:numPr>
              <w:tabs>
                <w:tab w:val="left" w:pos="158"/>
              </w:tabs>
              <w:spacing w:line="156" w:lineRule="exact"/>
              <w:ind w:right="52"/>
              <w:rPr>
                <w:sz w:val="14"/>
              </w:rPr>
            </w:pPr>
            <w:r>
              <w:rPr>
                <w:color w:val="231F20"/>
                <w:sz w:val="14"/>
              </w:rPr>
              <w:t xml:space="preserve">Образовање и васпитање </w:t>
            </w:r>
            <w:r>
              <w:rPr>
                <w:color w:val="231F20"/>
                <w:spacing w:val="-5"/>
                <w:sz w:val="14"/>
              </w:rPr>
              <w:t xml:space="preserve">код </w:t>
            </w:r>
            <w:r>
              <w:rPr>
                <w:color w:val="231F20"/>
                <w:sz w:val="14"/>
              </w:rPr>
              <w:t xml:space="preserve">Срба (мана­ стири као центри писмености и образо­ вања; значај Хиландара, просветитељски рад у устаничкој Србији, оснивање светов­ них </w:t>
            </w:r>
            <w:r>
              <w:rPr>
                <w:color w:val="231F20"/>
                <w:spacing w:val="-3"/>
                <w:sz w:val="14"/>
              </w:rPr>
              <w:t xml:space="preserve">школа, </w:t>
            </w:r>
            <w:r>
              <w:rPr>
                <w:color w:val="231F20"/>
                <w:sz w:val="14"/>
              </w:rPr>
              <w:t xml:space="preserve">оснивање Лицеја, Велике </w:t>
            </w:r>
            <w:r>
              <w:rPr>
                <w:color w:val="231F20"/>
                <w:spacing w:val="-3"/>
                <w:sz w:val="14"/>
              </w:rPr>
              <w:t xml:space="preserve">школе </w:t>
            </w:r>
            <w:r>
              <w:rPr>
                <w:color w:val="231F20"/>
                <w:sz w:val="14"/>
              </w:rPr>
              <w:t xml:space="preserve">и Београдског универзитета; један дан у </w:t>
            </w:r>
            <w:r>
              <w:rPr>
                <w:color w:val="231F20"/>
                <w:spacing w:val="-3"/>
                <w:sz w:val="14"/>
              </w:rPr>
              <w:t xml:space="preserve">школи, школска </w:t>
            </w:r>
            <w:r>
              <w:rPr>
                <w:color w:val="231F20"/>
                <w:sz w:val="14"/>
              </w:rPr>
              <w:t>слава, одевање ученика, школо</w:t>
            </w:r>
            <w:r>
              <w:rPr>
                <w:color w:val="231F20"/>
                <w:sz w:val="14"/>
              </w:rPr>
              <w:t>вање женске деце; стипендирање ученика).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760"/>
        </w:trPr>
        <w:tc>
          <w:tcPr>
            <w:tcW w:w="1304" w:type="dxa"/>
          </w:tcPr>
          <w:p w:rsidR="00041039" w:rsidRDefault="001B26CB">
            <w:pPr>
              <w:pStyle w:val="TableParagraph"/>
              <w:spacing w:before="18"/>
              <w:ind w:left="56"/>
              <w:rPr>
                <w:sz w:val="14"/>
              </w:rPr>
            </w:pPr>
            <w:r>
              <w:rPr>
                <w:color w:val="231F20"/>
                <w:sz w:val="14"/>
              </w:rPr>
              <w:lastRenderedPageBreak/>
              <w:t>Комуникације, путовања и туризам некад и сад</w:t>
            </w:r>
          </w:p>
        </w:tc>
        <w:tc>
          <w:tcPr>
            <w:tcW w:w="1587" w:type="dxa"/>
          </w:tcPr>
          <w:p w:rsidR="00041039" w:rsidRDefault="001B26CB">
            <w:pPr>
              <w:pStyle w:val="TableParagraph"/>
              <w:numPr>
                <w:ilvl w:val="0"/>
                <w:numId w:val="125"/>
              </w:numPr>
              <w:tabs>
                <w:tab w:val="left" w:pos="157"/>
              </w:tabs>
              <w:spacing w:before="8"/>
              <w:ind w:right="83"/>
              <w:rPr>
                <w:sz w:val="14"/>
              </w:rPr>
            </w:pPr>
            <w:r>
              <w:rPr>
                <w:color w:val="231F20"/>
                <w:spacing w:val="-3"/>
                <w:sz w:val="14"/>
              </w:rPr>
              <w:t xml:space="preserve">Уочавање </w:t>
            </w:r>
            <w:r>
              <w:rPr>
                <w:color w:val="231F20"/>
                <w:sz w:val="14"/>
              </w:rPr>
              <w:t xml:space="preserve">значаја </w:t>
            </w:r>
            <w:r>
              <w:rPr>
                <w:color w:val="231F20"/>
                <w:spacing w:val="-3"/>
                <w:sz w:val="14"/>
              </w:rPr>
              <w:t xml:space="preserve">ко­ </w:t>
            </w:r>
            <w:r>
              <w:rPr>
                <w:color w:val="231F20"/>
                <w:sz w:val="14"/>
              </w:rPr>
              <w:t>муникација и</w:t>
            </w:r>
            <w:r>
              <w:rPr>
                <w:color w:val="231F20"/>
                <w:spacing w:val="-12"/>
                <w:sz w:val="14"/>
              </w:rPr>
              <w:t xml:space="preserve"> </w:t>
            </w:r>
            <w:r>
              <w:rPr>
                <w:color w:val="231F20"/>
                <w:sz w:val="14"/>
              </w:rPr>
              <w:t>њиховог развоја у историји друштва.</w:t>
            </w:r>
          </w:p>
          <w:p w:rsidR="00041039" w:rsidRDefault="001B26CB">
            <w:pPr>
              <w:pStyle w:val="TableParagraph"/>
              <w:numPr>
                <w:ilvl w:val="0"/>
                <w:numId w:val="125"/>
              </w:numPr>
              <w:tabs>
                <w:tab w:val="left" w:pos="157"/>
              </w:tabs>
              <w:spacing w:line="156" w:lineRule="exact"/>
              <w:rPr>
                <w:sz w:val="14"/>
              </w:rPr>
            </w:pPr>
            <w:r>
              <w:rPr>
                <w:color w:val="231F20"/>
                <w:sz w:val="14"/>
              </w:rPr>
              <w:t>Разумевање</w:t>
            </w:r>
            <w:r>
              <w:rPr>
                <w:color w:val="231F20"/>
                <w:spacing w:val="-2"/>
                <w:sz w:val="14"/>
              </w:rPr>
              <w:t xml:space="preserve"> </w:t>
            </w:r>
            <w:r>
              <w:rPr>
                <w:color w:val="231F20"/>
                <w:sz w:val="14"/>
              </w:rPr>
              <w:t>утицаја</w:t>
            </w:r>
          </w:p>
          <w:p w:rsidR="00041039" w:rsidRDefault="001B26CB">
            <w:pPr>
              <w:pStyle w:val="TableParagraph"/>
              <w:ind w:right="15"/>
              <w:rPr>
                <w:sz w:val="14"/>
              </w:rPr>
            </w:pPr>
            <w:r>
              <w:rPr>
                <w:color w:val="231F20"/>
                <w:sz w:val="14"/>
              </w:rPr>
              <w:t>комуникација на упознавање и при­ ближавање држава, народа и њихових култура.</w:t>
            </w:r>
          </w:p>
        </w:tc>
        <w:tc>
          <w:tcPr>
            <w:tcW w:w="2551" w:type="dxa"/>
          </w:tcPr>
          <w:p w:rsidR="00041039" w:rsidRDefault="001B26CB">
            <w:pPr>
              <w:pStyle w:val="TableParagraph"/>
              <w:numPr>
                <w:ilvl w:val="0"/>
                <w:numId w:val="124"/>
              </w:numPr>
              <w:tabs>
                <w:tab w:val="left" w:pos="157"/>
              </w:tabs>
              <w:spacing w:before="8"/>
              <w:ind w:right="147" w:hanging="99"/>
              <w:rPr>
                <w:sz w:val="14"/>
              </w:rPr>
            </w:pPr>
            <w:r>
              <w:rPr>
                <w:color w:val="231F20"/>
                <w:sz w:val="14"/>
              </w:rPr>
              <w:t xml:space="preserve">опише развој комуникација </w:t>
            </w:r>
            <w:r>
              <w:rPr>
                <w:color w:val="231F20"/>
                <w:spacing w:val="-3"/>
                <w:sz w:val="14"/>
              </w:rPr>
              <w:t>од</w:t>
            </w:r>
            <w:r>
              <w:rPr>
                <w:color w:val="231F20"/>
                <w:spacing w:val="-20"/>
                <w:sz w:val="14"/>
              </w:rPr>
              <w:t xml:space="preserve"> </w:t>
            </w:r>
            <w:r>
              <w:rPr>
                <w:color w:val="231F20"/>
                <w:sz w:val="14"/>
              </w:rPr>
              <w:t>праис­ торије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124"/>
              </w:numPr>
              <w:tabs>
                <w:tab w:val="left" w:pos="157"/>
              </w:tabs>
              <w:spacing w:line="160" w:lineRule="exact"/>
              <w:ind w:right="134" w:hanging="99"/>
              <w:rPr>
                <w:sz w:val="14"/>
              </w:rPr>
            </w:pPr>
            <w:r>
              <w:rPr>
                <w:color w:val="231F20"/>
                <w:sz w:val="14"/>
              </w:rPr>
              <w:t xml:space="preserve">наведе и упореди карактеристике </w:t>
            </w:r>
            <w:r>
              <w:rPr>
                <w:color w:val="231F20"/>
                <w:spacing w:val="-3"/>
                <w:sz w:val="14"/>
              </w:rPr>
              <w:t xml:space="preserve">ко­ </w:t>
            </w:r>
            <w:r>
              <w:rPr>
                <w:color w:val="231F20"/>
                <w:sz w:val="14"/>
              </w:rPr>
              <w:t>муникације у различитим</w:t>
            </w:r>
            <w:r>
              <w:rPr>
                <w:color w:val="231F20"/>
                <w:spacing w:val="-12"/>
                <w:sz w:val="14"/>
              </w:rPr>
              <w:t xml:space="preserve"> </w:t>
            </w:r>
            <w:r>
              <w:rPr>
                <w:color w:val="231F20"/>
                <w:sz w:val="14"/>
              </w:rPr>
              <w:t>периодима;</w:t>
            </w:r>
          </w:p>
          <w:p w:rsidR="00041039" w:rsidRDefault="001B26CB">
            <w:pPr>
              <w:pStyle w:val="TableParagraph"/>
              <w:numPr>
                <w:ilvl w:val="0"/>
                <w:numId w:val="124"/>
              </w:numPr>
              <w:tabs>
                <w:tab w:val="left" w:pos="157"/>
              </w:tabs>
              <w:spacing w:line="160" w:lineRule="exact"/>
              <w:ind w:right="185" w:hanging="99"/>
              <w:rPr>
                <w:sz w:val="14"/>
              </w:rPr>
            </w:pPr>
            <w:r>
              <w:rPr>
                <w:color w:val="231F20"/>
                <w:sz w:val="14"/>
              </w:rPr>
              <w:t>изведе</w:t>
            </w:r>
            <w:r>
              <w:rPr>
                <w:color w:val="231F20"/>
                <w:spacing w:val="-8"/>
                <w:sz w:val="14"/>
              </w:rPr>
              <w:t xml:space="preserve"> </w:t>
            </w:r>
            <w:r>
              <w:rPr>
                <w:color w:val="231F20"/>
                <w:sz w:val="14"/>
              </w:rPr>
              <w:t>закључак</w:t>
            </w:r>
            <w:r>
              <w:rPr>
                <w:color w:val="231F20"/>
                <w:spacing w:val="-9"/>
                <w:sz w:val="14"/>
              </w:rPr>
              <w:t xml:space="preserve"> </w:t>
            </w:r>
            <w:r>
              <w:rPr>
                <w:color w:val="231F20"/>
                <w:sz w:val="14"/>
              </w:rPr>
              <w:t>о</w:t>
            </w:r>
            <w:r>
              <w:rPr>
                <w:color w:val="231F20"/>
                <w:spacing w:val="-8"/>
                <w:sz w:val="14"/>
              </w:rPr>
              <w:t xml:space="preserve"> </w:t>
            </w:r>
            <w:r>
              <w:rPr>
                <w:color w:val="231F20"/>
                <w:sz w:val="14"/>
              </w:rPr>
              <w:t>значају</w:t>
            </w:r>
            <w:r>
              <w:rPr>
                <w:color w:val="231F20"/>
                <w:spacing w:val="-8"/>
                <w:sz w:val="14"/>
              </w:rPr>
              <w:t xml:space="preserve"> </w:t>
            </w:r>
            <w:r>
              <w:rPr>
                <w:color w:val="231F20"/>
                <w:sz w:val="14"/>
              </w:rPr>
              <w:t>комуника­ ције у ж</w:t>
            </w:r>
            <w:r>
              <w:rPr>
                <w:color w:val="231F20"/>
                <w:sz w:val="14"/>
              </w:rPr>
              <w:t xml:space="preserve">ивоту </w:t>
            </w:r>
            <w:r>
              <w:rPr>
                <w:color w:val="231F20"/>
                <w:spacing w:val="-3"/>
                <w:sz w:val="14"/>
              </w:rPr>
              <w:t xml:space="preserve">људи </w:t>
            </w:r>
            <w:r>
              <w:rPr>
                <w:color w:val="231F20"/>
                <w:sz w:val="14"/>
              </w:rPr>
              <w:t>кроз</w:t>
            </w:r>
            <w:r>
              <w:rPr>
                <w:color w:val="231F20"/>
                <w:spacing w:val="-5"/>
                <w:sz w:val="14"/>
              </w:rPr>
              <w:t xml:space="preserve"> </w:t>
            </w:r>
            <w:r>
              <w:rPr>
                <w:color w:val="231F20"/>
                <w:sz w:val="14"/>
              </w:rPr>
              <w:t>историју;</w:t>
            </w:r>
          </w:p>
          <w:p w:rsidR="00041039" w:rsidRDefault="001B26CB">
            <w:pPr>
              <w:pStyle w:val="TableParagraph"/>
              <w:numPr>
                <w:ilvl w:val="0"/>
                <w:numId w:val="124"/>
              </w:numPr>
              <w:tabs>
                <w:tab w:val="left" w:pos="157"/>
              </w:tabs>
              <w:spacing w:line="160" w:lineRule="exact"/>
              <w:ind w:right="248" w:hanging="99"/>
              <w:rPr>
                <w:sz w:val="14"/>
              </w:rPr>
            </w:pPr>
            <w:r>
              <w:rPr>
                <w:color w:val="231F20"/>
                <w:sz w:val="14"/>
              </w:rPr>
              <w:t>разуме последице развоја</w:t>
            </w:r>
            <w:r>
              <w:rPr>
                <w:color w:val="231F20"/>
                <w:spacing w:val="-11"/>
                <w:sz w:val="14"/>
              </w:rPr>
              <w:t xml:space="preserve"> </w:t>
            </w:r>
            <w:r>
              <w:rPr>
                <w:color w:val="231F20"/>
                <w:sz w:val="14"/>
              </w:rPr>
              <w:t>модерних комуникација;</w:t>
            </w:r>
          </w:p>
          <w:p w:rsidR="00041039" w:rsidRDefault="001B26CB">
            <w:pPr>
              <w:pStyle w:val="TableParagraph"/>
              <w:numPr>
                <w:ilvl w:val="0"/>
                <w:numId w:val="124"/>
              </w:numPr>
              <w:tabs>
                <w:tab w:val="left" w:pos="157"/>
              </w:tabs>
              <w:spacing w:line="160" w:lineRule="exact"/>
              <w:ind w:right="288" w:hanging="99"/>
              <w:rPr>
                <w:sz w:val="14"/>
              </w:rPr>
            </w:pPr>
            <w:r>
              <w:rPr>
                <w:color w:val="231F20"/>
                <w:sz w:val="14"/>
              </w:rPr>
              <w:t>изведе закључак о утицају развоја комуникација</w:t>
            </w:r>
            <w:r>
              <w:rPr>
                <w:color w:val="231F20"/>
                <w:spacing w:val="-9"/>
                <w:sz w:val="14"/>
              </w:rPr>
              <w:t xml:space="preserve"> </w:t>
            </w:r>
            <w:r>
              <w:rPr>
                <w:color w:val="231F20"/>
                <w:sz w:val="14"/>
              </w:rPr>
              <w:t>на</w:t>
            </w:r>
            <w:r>
              <w:rPr>
                <w:color w:val="231F20"/>
                <w:spacing w:val="-10"/>
                <w:sz w:val="14"/>
              </w:rPr>
              <w:t xml:space="preserve"> </w:t>
            </w:r>
            <w:r>
              <w:rPr>
                <w:color w:val="231F20"/>
                <w:sz w:val="14"/>
              </w:rPr>
              <w:t>интеграцију</w:t>
            </w:r>
            <w:r>
              <w:rPr>
                <w:color w:val="231F20"/>
                <w:spacing w:val="-10"/>
                <w:sz w:val="14"/>
              </w:rPr>
              <w:t xml:space="preserve"> </w:t>
            </w:r>
            <w:r>
              <w:rPr>
                <w:color w:val="231F20"/>
                <w:sz w:val="14"/>
              </w:rPr>
              <w:t>сваке нације и</w:t>
            </w:r>
            <w:r>
              <w:rPr>
                <w:color w:val="231F20"/>
                <w:spacing w:val="-3"/>
                <w:sz w:val="14"/>
              </w:rPr>
              <w:t xml:space="preserve"> </w:t>
            </w:r>
            <w:r>
              <w:rPr>
                <w:color w:val="231F20"/>
                <w:sz w:val="14"/>
              </w:rPr>
              <w:t>друштва;</w:t>
            </w:r>
          </w:p>
          <w:p w:rsidR="00041039" w:rsidRDefault="001B26CB">
            <w:pPr>
              <w:pStyle w:val="TableParagraph"/>
              <w:numPr>
                <w:ilvl w:val="0"/>
                <w:numId w:val="124"/>
              </w:numPr>
              <w:tabs>
                <w:tab w:val="left" w:pos="157"/>
              </w:tabs>
              <w:spacing w:line="160" w:lineRule="exact"/>
              <w:ind w:right="80" w:hanging="99"/>
              <w:rPr>
                <w:sz w:val="14"/>
              </w:rPr>
            </w:pPr>
            <w:r>
              <w:rPr>
                <w:color w:val="231F20"/>
                <w:sz w:val="14"/>
              </w:rPr>
              <w:t>користи информације са историјске карте и повеже их са стеченим</w:t>
            </w:r>
            <w:r>
              <w:rPr>
                <w:color w:val="231F20"/>
                <w:spacing w:val="-22"/>
                <w:sz w:val="14"/>
              </w:rPr>
              <w:t xml:space="preserve"> </w:t>
            </w:r>
            <w:r>
              <w:rPr>
                <w:color w:val="231F20"/>
                <w:sz w:val="14"/>
              </w:rPr>
              <w:t>знањем о</w:t>
            </w:r>
            <w:r>
              <w:rPr>
                <w:color w:val="231F20"/>
                <w:spacing w:val="-1"/>
                <w:sz w:val="14"/>
              </w:rPr>
              <w:t xml:space="preserve"> </w:t>
            </w:r>
            <w:r>
              <w:rPr>
                <w:color w:val="231F20"/>
                <w:sz w:val="14"/>
              </w:rPr>
              <w:t>комуникацијама;</w:t>
            </w:r>
          </w:p>
          <w:p w:rsidR="00041039" w:rsidRDefault="001B26CB">
            <w:pPr>
              <w:pStyle w:val="TableParagraph"/>
              <w:numPr>
                <w:ilvl w:val="0"/>
                <w:numId w:val="124"/>
              </w:numPr>
              <w:tabs>
                <w:tab w:val="left" w:pos="157"/>
              </w:tabs>
              <w:spacing w:line="160" w:lineRule="exact"/>
              <w:ind w:right="150" w:hanging="99"/>
              <w:rPr>
                <w:sz w:val="14"/>
              </w:rPr>
            </w:pPr>
            <w:r>
              <w:rPr>
                <w:color w:val="231F20"/>
                <w:sz w:val="14"/>
              </w:rPr>
              <w:t>уочи</w:t>
            </w:r>
            <w:r>
              <w:rPr>
                <w:color w:val="231F20"/>
                <w:spacing w:val="-8"/>
                <w:sz w:val="14"/>
              </w:rPr>
              <w:t xml:space="preserve"> </w:t>
            </w:r>
            <w:r>
              <w:rPr>
                <w:color w:val="231F20"/>
                <w:sz w:val="14"/>
              </w:rPr>
              <w:t>утицај</w:t>
            </w:r>
            <w:r>
              <w:rPr>
                <w:color w:val="231F20"/>
                <w:spacing w:val="-8"/>
                <w:sz w:val="14"/>
              </w:rPr>
              <w:t xml:space="preserve"> </w:t>
            </w:r>
            <w:r>
              <w:rPr>
                <w:color w:val="231F20"/>
                <w:sz w:val="14"/>
              </w:rPr>
              <w:t>комуникација</w:t>
            </w:r>
            <w:r>
              <w:rPr>
                <w:color w:val="231F20"/>
                <w:spacing w:val="-8"/>
                <w:sz w:val="14"/>
              </w:rPr>
              <w:t xml:space="preserve"> </w:t>
            </w:r>
            <w:r>
              <w:rPr>
                <w:color w:val="231F20"/>
                <w:sz w:val="14"/>
              </w:rPr>
              <w:t>на</w:t>
            </w:r>
            <w:r>
              <w:rPr>
                <w:color w:val="231F20"/>
                <w:spacing w:val="-9"/>
                <w:sz w:val="14"/>
              </w:rPr>
              <w:t xml:space="preserve"> </w:t>
            </w:r>
            <w:r>
              <w:rPr>
                <w:color w:val="231F20"/>
                <w:sz w:val="14"/>
              </w:rPr>
              <w:t>прибли­ жавање држава, народа и њихових култура.</w:t>
            </w:r>
          </w:p>
        </w:tc>
        <w:tc>
          <w:tcPr>
            <w:tcW w:w="2834" w:type="dxa"/>
          </w:tcPr>
          <w:p w:rsidR="00041039" w:rsidRDefault="001B26CB">
            <w:pPr>
              <w:pStyle w:val="TableParagraph"/>
              <w:numPr>
                <w:ilvl w:val="0"/>
                <w:numId w:val="123"/>
              </w:numPr>
              <w:tabs>
                <w:tab w:val="left" w:pos="157"/>
              </w:tabs>
              <w:spacing w:before="8"/>
              <w:ind w:right="87" w:hanging="99"/>
              <w:rPr>
                <w:sz w:val="14"/>
              </w:rPr>
            </w:pPr>
            <w:r>
              <w:rPr>
                <w:color w:val="231F20"/>
                <w:sz w:val="14"/>
              </w:rPr>
              <w:t xml:space="preserve">Комуникације, путовања и туризам кроз историју (утицај трговине и војних </w:t>
            </w:r>
            <w:r>
              <w:rPr>
                <w:color w:val="231F20"/>
                <w:spacing w:val="-3"/>
                <w:sz w:val="14"/>
              </w:rPr>
              <w:t xml:space="preserve">похода </w:t>
            </w:r>
            <w:r>
              <w:rPr>
                <w:color w:val="231F20"/>
                <w:sz w:val="14"/>
              </w:rPr>
              <w:t xml:space="preserve">на развој комуникација; ходочашћа ­ света места, мисионари; значајни сајмови, развој </w:t>
            </w:r>
            <w:r>
              <w:rPr>
                <w:color w:val="231F20"/>
                <w:spacing w:val="-3"/>
                <w:sz w:val="14"/>
              </w:rPr>
              <w:t xml:space="preserve">поштанског, </w:t>
            </w:r>
            <w:r>
              <w:rPr>
                <w:color w:val="231F20"/>
                <w:sz w:val="14"/>
              </w:rPr>
              <w:t xml:space="preserve">телеграфског, </w:t>
            </w:r>
            <w:r>
              <w:rPr>
                <w:color w:val="231F20"/>
                <w:spacing w:val="-2"/>
                <w:sz w:val="14"/>
              </w:rPr>
              <w:t xml:space="preserve">телефонског, </w:t>
            </w:r>
            <w:r>
              <w:rPr>
                <w:color w:val="231F20"/>
                <w:spacing w:val="-3"/>
                <w:sz w:val="14"/>
              </w:rPr>
              <w:t xml:space="preserve">железничког, </w:t>
            </w:r>
            <w:r>
              <w:rPr>
                <w:color w:val="231F20"/>
                <w:sz w:val="14"/>
              </w:rPr>
              <w:t xml:space="preserve">аутомобилског и авионског саобраћаја; </w:t>
            </w:r>
            <w:r>
              <w:rPr>
                <w:color w:val="231F20"/>
                <w:spacing w:val="-3"/>
                <w:sz w:val="14"/>
              </w:rPr>
              <w:t xml:space="preserve">ауто </w:t>
            </w:r>
            <w:r>
              <w:rPr>
                <w:color w:val="231F20"/>
                <w:sz w:val="14"/>
              </w:rPr>
              <w:t xml:space="preserve">и авиоклубови, новине и новинарство, </w:t>
            </w:r>
            <w:r>
              <w:rPr>
                <w:color w:val="231F20"/>
                <w:spacing w:val="-2"/>
                <w:sz w:val="14"/>
              </w:rPr>
              <w:t xml:space="preserve">Интернет, </w:t>
            </w:r>
            <w:r>
              <w:rPr>
                <w:color w:val="231F20"/>
                <w:sz w:val="14"/>
              </w:rPr>
              <w:t>откривање нових дестинација, гостионице и хотели,</w:t>
            </w:r>
            <w:r>
              <w:rPr>
                <w:color w:val="231F20"/>
                <w:spacing w:val="-7"/>
                <w:sz w:val="14"/>
              </w:rPr>
              <w:t xml:space="preserve"> </w:t>
            </w:r>
            <w:r>
              <w:rPr>
                <w:color w:val="231F20"/>
                <w:sz w:val="14"/>
              </w:rPr>
              <w:t>бање).</w:t>
            </w:r>
          </w:p>
        </w:tc>
        <w:tc>
          <w:tcPr>
            <w:tcW w:w="2267" w:type="dxa"/>
            <w:vMerge w:val="restart"/>
          </w:tcPr>
          <w:p w:rsidR="00041039" w:rsidRDefault="001B26CB">
            <w:pPr>
              <w:pStyle w:val="TableParagraph"/>
              <w:numPr>
                <w:ilvl w:val="0"/>
                <w:numId w:val="122"/>
              </w:numPr>
              <w:tabs>
                <w:tab w:val="left" w:pos="158"/>
              </w:tabs>
              <w:spacing w:before="8"/>
              <w:ind w:right="61" w:hanging="99"/>
              <w:rPr>
                <w:sz w:val="14"/>
              </w:rPr>
            </w:pPr>
            <w:r>
              <w:rPr>
                <w:color w:val="231F20"/>
                <w:sz w:val="14"/>
              </w:rPr>
              <w:t>овај предмет пружа велике</w:t>
            </w:r>
            <w:r>
              <w:rPr>
                <w:color w:val="231F20"/>
                <w:spacing w:val="-16"/>
                <w:sz w:val="14"/>
              </w:rPr>
              <w:t xml:space="preserve"> </w:t>
            </w:r>
            <w:r>
              <w:rPr>
                <w:color w:val="231F20"/>
                <w:sz w:val="14"/>
              </w:rPr>
              <w:t>могућ­ ности за интеграцију</w:t>
            </w:r>
            <w:r>
              <w:rPr>
                <w:color w:val="231F20"/>
                <w:spacing w:val="-4"/>
                <w:sz w:val="14"/>
              </w:rPr>
              <w:t xml:space="preserve"> </w:t>
            </w:r>
            <w:r>
              <w:rPr>
                <w:color w:val="231F20"/>
                <w:spacing w:val="-3"/>
                <w:sz w:val="14"/>
              </w:rPr>
              <w:t>школског</w:t>
            </w:r>
          </w:p>
          <w:p w:rsidR="00041039" w:rsidRDefault="001B26CB">
            <w:pPr>
              <w:pStyle w:val="TableParagraph"/>
              <w:spacing w:line="237" w:lineRule="auto"/>
              <w:ind w:left="157" w:right="191"/>
              <w:jc w:val="both"/>
              <w:rPr>
                <w:sz w:val="14"/>
              </w:rPr>
            </w:pPr>
            <w:r>
              <w:rPr>
                <w:color w:val="231F20"/>
                <w:sz w:val="14"/>
              </w:rPr>
              <w:t>и ванш</w:t>
            </w:r>
            <w:r>
              <w:rPr>
                <w:color w:val="231F20"/>
                <w:sz w:val="14"/>
              </w:rPr>
              <w:t>колског знања ученика, за излазак из оквира школских уџбеника и учионица, укључи­ вање родитеља и суграђана</w:t>
            </w:r>
            <w:r>
              <w:rPr>
                <w:color w:val="231F20"/>
                <w:spacing w:val="-18"/>
                <w:sz w:val="14"/>
              </w:rPr>
              <w:t xml:space="preserve"> </w:t>
            </w:r>
            <w:r>
              <w:rPr>
                <w:color w:val="231F20"/>
                <w:sz w:val="14"/>
              </w:rPr>
              <w:t>који</w:t>
            </w:r>
          </w:p>
          <w:p w:rsidR="00041039" w:rsidRDefault="001B26CB">
            <w:pPr>
              <w:pStyle w:val="TableParagraph"/>
              <w:ind w:left="157"/>
              <w:rPr>
                <w:sz w:val="14"/>
              </w:rPr>
            </w:pPr>
            <w:r>
              <w:rPr>
                <w:color w:val="231F20"/>
                <w:sz w:val="14"/>
              </w:rPr>
              <w:t>поседују знања, колекције, књиге, филмове и другу грађу која</w:t>
            </w:r>
          </w:p>
          <w:p w:rsidR="00041039" w:rsidRDefault="001B26CB">
            <w:pPr>
              <w:pStyle w:val="TableParagraph"/>
              <w:ind w:left="157"/>
              <w:rPr>
                <w:sz w:val="14"/>
              </w:rPr>
            </w:pPr>
            <w:r>
              <w:rPr>
                <w:color w:val="231F20"/>
                <w:sz w:val="14"/>
              </w:rPr>
              <w:t>може да помогне у реализацији програма;</w:t>
            </w:r>
          </w:p>
          <w:p w:rsidR="00041039" w:rsidRDefault="001B26CB">
            <w:pPr>
              <w:pStyle w:val="TableParagraph"/>
              <w:numPr>
                <w:ilvl w:val="0"/>
                <w:numId w:val="122"/>
              </w:numPr>
              <w:tabs>
                <w:tab w:val="left" w:pos="158"/>
              </w:tabs>
              <w:spacing w:line="160" w:lineRule="exact"/>
              <w:ind w:right="136" w:hanging="99"/>
              <w:rPr>
                <w:sz w:val="14"/>
              </w:rPr>
            </w:pPr>
            <w:r>
              <w:rPr>
                <w:color w:val="231F20"/>
                <w:sz w:val="14"/>
              </w:rPr>
              <w:t>наставник треба да тежи комби­ новању различитих метода рада (кратка предавања, гледање</w:t>
            </w:r>
            <w:r>
              <w:rPr>
                <w:color w:val="231F20"/>
                <w:spacing w:val="-22"/>
                <w:sz w:val="14"/>
              </w:rPr>
              <w:t xml:space="preserve"> </w:t>
            </w:r>
            <w:r>
              <w:rPr>
                <w:color w:val="231F20"/>
                <w:sz w:val="14"/>
              </w:rPr>
              <w:t>фил­ мова, читање књига, дискусије, анализа писаних извора, слика и фотографија...);</w:t>
            </w:r>
          </w:p>
          <w:p w:rsidR="00041039" w:rsidRDefault="001B26CB">
            <w:pPr>
              <w:pStyle w:val="TableParagraph"/>
              <w:numPr>
                <w:ilvl w:val="0"/>
                <w:numId w:val="122"/>
              </w:numPr>
              <w:tabs>
                <w:tab w:val="left" w:pos="158"/>
              </w:tabs>
              <w:spacing w:line="160" w:lineRule="exact"/>
              <w:ind w:right="65" w:hanging="99"/>
              <w:rPr>
                <w:sz w:val="14"/>
              </w:rPr>
            </w:pPr>
            <w:r>
              <w:rPr>
                <w:color w:val="231F20"/>
                <w:sz w:val="14"/>
              </w:rPr>
              <w:t>у извођењу наставе самостално истраживање ученика је најваж­ није, без обзира на из</w:t>
            </w:r>
            <w:r>
              <w:rPr>
                <w:color w:val="231F20"/>
                <w:sz w:val="14"/>
              </w:rPr>
              <w:t xml:space="preserve">абране методе рада, а наставникова је улога да организује </w:t>
            </w:r>
            <w:r>
              <w:rPr>
                <w:color w:val="231F20"/>
                <w:spacing w:val="-3"/>
                <w:sz w:val="14"/>
              </w:rPr>
              <w:t xml:space="preserve">наставу, </w:t>
            </w:r>
            <w:r>
              <w:rPr>
                <w:color w:val="231F20"/>
                <w:sz w:val="14"/>
              </w:rPr>
              <w:t>пру­ жи помоћ ученицима у раду (од давања информација до упући­ вања на изворе информација) и</w:t>
            </w:r>
            <w:r>
              <w:rPr>
                <w:color w:val="231F20"/>
                <w:spacing w:val="-16"/>
                <w:sz w:val="14"/>
              </w:rPr>
              <w:t xml:space="preserve"> </w:t>
            </w:r>
            <w:r>
              <w:rPr>
                <w:color w:val="231F20"/>
                <w:sz w:val="14"/>
              </w:rPr>
              <w:t>да подстиче интересовање ученика за</w:t>
            </w:r>
            <w:r>
              <w:rPr>
                <w:color w:val="231F20"/>
                <w:spacing w:val="-2"/>
                <w:sz w:val="14"/>
              </w:rPr>
              <w:t xml:space="preserve"> </w:t>
            </w:r>
            <w:r>
              <w:rPr>
                <w:color w:val="231F20"/>
                <w:sz w:val="14"/>
              </w:rPr>
              <w:t>предмет;</w:t>
            </w:r>
          </w:p>
          <w:p w:rsidR="00041039" w:rsidRDefault="001B26CB">
            <w:pPr>
              <w:pStyle w:val="TableParagraph"/>
              <w:numPr>
                <w:ilvl w:val="0"/>
                <w:numId w:val="122"/>
              </w:numPr>
              <w:tabs>
                <w:tab w:val="left" w:pos="158"/>
              </w:tabs>
              <w:spacing w:line="160" w:lineRule="exact"/>
              <w:ind w:right="108" w:hanging="99"/>
              <w:rPr>
                <w:sz w:val="14"/>
              </w:rPr>
            </w:pPr>
            <w:r>
              <w:rPr>
                <w:color w:val="231F20"/>
                <w:sz w:val="14"/>
              </w:rPr>
              <w:t xml:space="preserve">у припреми и реализацији часова наставницима може </w:t>
            </w:r>
            <w:r>
              <w:rPr>
                <w:color w:val="231F20"/>
                <w:sz w:val="14"/>
              </w:rPr>
              <w:t>користити следећа</w:t>
            </w:r>
            <w:r>
              <w:rPr>
                <w:color w:val="231F20"/>
                <w:spacing w:val="-1"/>
                <w:sz w:val="14"/>
              </w:rPr>
              <w:t xml:space="preserve"> </w:t>
            </w:r>
            <w:r>
              <w:rPr>
                <w:color w:val="231F20"/>
                <w:sz w:val="14"/>
              </w:rPr>
              <w:t>литература:</w:t>
            </w:r>
          </w:p>
          <w:p w:rsidR="00041039" w:rsidRDefault="001B26CB">
            <w:pPr>
              <w:pStyle w:val="TableParagraph"/>
              <w:spacing w:line="237" w:lineRule="auto"/>
              <w:ind w:left="58"/>
              <w:rPr>
                <w:sz w:val="14"/>
              </w:rPr>
            </w:pPr>
            <w:r>
              <w:rPr>
                <w:color w:val="231F20"/>
                <w:sz w:val="14"/>
              </w:rPr>
              <w:t xml:space="preserve">Д. М. Ацовић, </w:t>
            </w:r>
            <w:r>
              <w:rPr>
                <w:i/>
                <w:color w:val="231F20"/>
                <w:sz w:val="14"/>
              </w:rPr>
              <w:t>Хералдика и Срби</w:t>
            </w:r>
            <w:r>
              <w:rPr>
                <w:color w:val="231F20"/>
                <w:sz w:val="14"/>
              </w:rPr>
              <w:t>, Београд 2008.</w:t>
            </w:r>
          </w:p>
          <w:p w:rsidR="00041039" w:rsidRDefault="001B26CB">
            <w:pPr>
              <w:pStyle w:val="TableParagraph"/>
              <w:ind w:left="58" w:right="88"/>
              <w:jc w:val="both"/>
              <w:rPr>
                <w:sz w:val="14"/>
              </w:rPr>
            </w:pPr>
            <w:r>
              <w:rPr>
                <w:color w:val="231F20"/>
                <w:sz w:val="14"/>
              </w:rPr>
              <w:t xml:space="preserve">Д. Бабац, </w:t>
            </w:r>
            <w:r>
              <w:rPr>
                <w:i/>
                <w:color w:val="231F20"/>
                <w:sz w:val="14"/>
              </w:rPr>
              <w:t>Специјалне јединице</w:t>
            </w:r>
            <w:r>
              <w:rPr>
                <w:i/>
                <w:color w:val="231F20"/>
                <w:spacing w:val="-9"/>
                <w:sz w:val="14"/>
              </w:rPr>
              <w:t xml:space="preserve"> </w:t>
            </w:r>
            <w:r>
              <w:rPr>
                <w:i/>
                <w:color w:val="231F20"/>
                <w:sz w:val="14"/>
              </w:rPr>
              <w:t>југо- словенске војске у Априлском</w:t>
            </w:r>
            <w:r>
              <w:rPr>
                <w:i/>
                <w:color w:val="231F20"/>
                <w:spacing w:val="-23"/>
                <w:sz w:val="14"/>
              </w:rPr>
              <w:t xml:space="preserve"> </w:t>
            </w:r>
            <w:r>
              <w:rPr>
                <w:i/>
                <w:color w:val="231F20"/>
                <w:sz w:val="14"/>
              </w:rPr>
              <w:t>рату</w:t>
            </w:r>
            <w:r>
              <w:rPr>
                <w:color w:val="231F20"/>
                <w:sz w:val="14"/>
              </w:rPr>
              <w:t>, Београд</w:t>
            </w:r>
            <w:r>
              <w:rPr>
                <w:color w:val="231F20"/>
                <w:spacing w:val="-2"/>
                <w:sz w:val="14"/>
              </w:rPr>
              <w:t xml:space="preserve"> </w:t>
            </w:r>
            <w:r>
              <w:rPr>
                <w:color w:val="231F20"/>
                <w:sz w:val="14"/>
              </w:rPr>
              <w:t>2006.</w:t>
            </w:r>
          </w:p>
          <w:p w:rsidR="00041039" w:rsidRDefault="001B26CB">
            <w:pPr>
              <w:pStyle w:val="TableParagraph"/>
              <w:spacing w:line="158" w:lineRule="exact"/>
              <w:ind w:left="58"/>
              <w:rPr>
                <w:sz w:val="14"/>
              </w:rPr>
            </w:pPr>
            <w:r>
              <w:rPr>
                <w:color w:val="231F20"/>
                <w:sz w:val="14"/>
              </w:rPr>
              <w:t>Д. Бабац, Ч. Васић, М. Марковић,</w:t>
            </w:r>
          </w:p>
          <w:p w:rsidR="00041039" w:rsidRDefault="001B26CB">
            <w:pPr>
              <w:pStyle w:val="TableParagraph"/>
              <w:spacing w:line="160" w:lineRule="exact"/>
              <w:ind w:left="58"/>
              <w:rPr>
                <w:sz w:val="14"/>
              </w:rPr>
            </w:pPr>
            <w:r>
              <w:rPr>
                <w:i/>
                <w:color w:val="231F20"/>
                <w:sz w:val="14"/>
              </w:rPr>
              <w:t xml:space="preserve">Црногорска војска </w:t>
            </w:r>
            <w:r>
              <w:rPr>
                <w:color w:val="231F20"/>
                <w:sz w:val="14"/>
              </w:rPr>
              <w:t>1896­1916,</w:t>
            </w:r>
          </w:p>
          <w:p w:rsidR="00041039" w:rsidRDefault="001B26CB">
            <w:pPr>
              <w:pStyle w:val="TableParagraph"/>
              <w:spacing w:line="160" w:lineRule="exact"/>
              <w:ind w:left="58"/>
              <w:rPr>
                <w:sz w:val="14"/>
              </w:rPr>
            </w:pPr>
            <w:r>
              <w:rPr>
                <w:color w:val="231F20"/>
                <w:sz w:val="14"/>
              </w:rPr>
              <w:t>Београд 2007.</w:t>
            </w:r>
          </w:p>
          <w:p w:rsidR="00041039" w:rsidRDefault="001B26CB">
            <w:pPr>
              <w:pStyle w:val="TableParagraph"/>
              <w:ind w:left="58"/>
              <w:rPr>
                <w:sz w:val="14"/>
              </w:rPr>
            </w:pPr>
            <w:r>
              <w:rPr>
                <w:color w:val="231F20"/>
                <w:sz w:val="14"/>
              </w:rPr>
              <w:t xml:space="preserve">Д. Бандић, </w:t>
            </w:r>
            <w:r>
              <w:rPr>
                <w:i/>
                <w:color w:val="231F20"/>
                <w:sz w:val="14"/>
              </w:rPr>
              <w:t>Народна религија Срба у 100 појмова</w:t>
            </w:r>
            <w:r>
              <w:rPr>
                <w:color w:val="231F20"/>
                <w:sz w:val="14"/>
              </w:rPr>
              <w:t>, Београд 2004.</w:t>
            </w:r>
          </w:p>
          <w:p w:rsidR="00041039" w:rsidRDefault="001B26CB">
            <w:pPr>
              <w:pStyle w:val="TableParagraph"/>
              <w:numPr>
                <w:ilvl w:val="0"/>
                <w:numId w:val="121"/>
              </w:numPr>
              <w:tabs>
                <w:tab w:val="left" w:pos="222"/>
              </w:tabs>
              <w:ind w:right="358" w:firstLine="0"/>
              <w:rPr>
                <w:sz w:val="14"/>
              </w:rPr>
            </w:pPr>
            <w:r>
              <w:rPr>
                <w:color w:val="231F20"/>
                <w:sz w:val="14"/>
              </w:rPr>
              <w:t xml:space="preserve">Бикић, </w:t>
            </w:r>
            <w:r>
              <w:rPr>
                <w:i/>
                <w:color w:val="231F20"/>
                <w:sz w:val="14"/>
              </w:rPr>
              <w:t>Средњовековно</w:t>
            </w:r>
            <w:r>
              <w:rPr>
                <w:i/>
                <w:color w:val="231F20"/>
                <w:spacing w:val="-19"/>
                <w:sz w:val="14"/>
              </w:rPr>
              <w:t xml:space="preserve"> </w:t>
            </w:r>
            <w:r>
              <w:rPr>
                <w:i/>
                <w:color w:val="231F20"/>
                <w:sz w:val="14"/>
              </w:rPr>
              <w:t>село</w:t>
            </w:r>
            <w:r>
              <w:rPr>
                <w:color w:val="231F20"/>
                <w:sz w:val="14"/>
              </w:rPr>
              <w:t>, Београд</w:t>
            </w:r>
            <w:r>
              <w:rPr>
                <w:color w:val="231F20"/>
                <w:spacing w:val="-2"/>
                <w:sz w:val="14"/>
              </w:rPr>
              <w:t xml:space="preserve"> </w:t>
            </w:r>
            <w:r>
              <w:rPr>
                <w:color w:val="231F20"/>
                <w:sz w:val="14"/>
              </w:rPr>
              <w:t>2007.</w:t>
            </w:r>
          </w:p>
          <w:p w:rsidR="00041039" w:rsidRDefault="001B26CB">
            <w:pPr>
              <w:pStyle w:val="TableParagraph"/>
              <w:ind w:left="58"/>
              <w:rPr>
                <w:sz w:val="14"/>
              </w:rPr>
            </w:pPr>
            <w:r>
              <w:rPr>
                <w:color w:val="231F20"/>
                <w:sz w:val="14"/>
              </w:rPr>
              <w:t xml:space="preserve">М. Благојевић, </w:t>
            </w:r>
            <w:r>
              <w:rPr>
                <w:i/>
                <w:color w:val="231F20"/>
                <w:sz w:val="14"/>
              </w:rPr>
              <w:t>Србија у доба Немањића</w:t>
            </w:r>
            <w:r>
              <w:rPr>
                <w:color w:val="231F20"/>
                <w:sz w:val="14"/>
              </w:rPr>
              <w:t>, Београд 1989.</w:t>
            </w:r>
          </w:p>
          <w:p w:rsidR="00041039" w:rsidRDefault="001B26CB">
            <w:pPr>
              <w:pStyle w:val="TableParagraph"/>
              <w:numPr>
                <w:ilvl w:val="0"/>
                <w:numId w:val="121"/>
              </w:numPr>
              <w:tabs>
                <w:tab w:val="left" w:pos="222"/>
              </w:tabs>
              <w:ind w:right="42" w:firstLine="0"/>
              <w:rPr>
                <w:sz w:val="14"/>
              </w:rPr>
            </w:pPr>
            <w:r>
              <w:rPr>
                <w:color w:val="231F20"/>
                <w:sz w:val="14"/>
              </w:rPr>
              <w:t xml:space="preserve">Бојанин, </w:t>
            </w:r>
            <w:r>
              <w:rPr>
                <w:i/>
                <w:color w:val="231F20"/>
                <w:sz w:val="14"/>
              </w:rPr>
              <w:t>Забаве и светковине у средњовековној Србији (од краја</w:t>
            </w:r>
            <w:r>
              <w:rPr>
                <w:i/>
                <w:color w:val="231F20"/>
                <w:spacing w:val="-16"/>
                <w:sz w:val="14"/>
              </w:rPr>
              <w:t xml:space="preserve"> </w:t>
            </w:r>
            <w:r>
              <w:rPr>
                <w:i/>
                <w:color w:val="231F20"/>
                <w:sz w:val="14"/>
              </w:rPr>
              <w:t>XII до крајаХV века)</w:t>
            </w:r>
            <w:r>
              <w:rPr>
                <w:color w:val="231F20"/>
                <w:sz w:val="14"/>
              </w:rPr>
              <w:t>, Београд</w:t>
            </w:r>
            <w:r>
              <w:rPr>
                <w:color w:val="231F20"/>
                <w:spacing w:val="-9"/>
                <w:sz w:val="14"/>
              </w:rPr>
              <w:t xml:space="preserve"> </w:t>
            </w:r>
            <w:r>
              <w:rPr>
                <w:color w:val="231F20"/>
                <w:sz w:val="14"/>
              </w:rPr>
              <w:t>2005.</w:t>
            </w:r>
          </w:p>
          <w:p w:rsidR="00041039" w:rsidRDefault="001B26CB">
            <w:pPr>
              <w:pStyle w:val="TableParagraph"/>
              <w:spacing w:line="237" w:lineRule="auto"/>
              <w:ind w:left="58"/>
              <w:rPr>
                <w:sz w:val="14"/>
              </w:rPr>
            </w:pPr>
            <w:r>
              <w:rPr>
                <w:color w:val="231F20"/>
                <w:sz w:val="14"/>
              </w:rPr>
              <w:t xml:space="preserve">Е. Бухари, </w:t>
            </w:r>
            <w:r>
              <w:rPr>
                <w:i/>
                <w:color w:val="231F20"/>
                <w:sz w:val="14"/>
              </w:rPr>
              <w:t>Н</w:t>
            </w:r>
            <w:r>
              <w:rPr>
                <w:i/>
                <w:color w:val="231F20"/>
                <w:sz w:val="14"/>
              </w:rPr>
              <w:t>аполеонова гардијска коњица</w:t>
            </w:r>
            <w:r>
              <w:rPr>
                <w:color w:val="231F20"/>
                <w:sz w:val="14"/>
              </w:rPr>
              <w:t>, Београд 2006.</w:t>
            </w:r>
          </w:p>
          <w:p w:rsidR="00041039" w:rsidRDefault="001B26CB">
            <w:pPr>
              <w:pStyle w:val="TableParagraph"/>
              <w:ind w:left="58"/>
              <w:rPr>
                <w:sz w:val="14"/>
              </w:rPr>
            </w:pPr>
            <w:r>
              <w:rPr>
                <w:color w:val="231F20"/>
                <w:sz w:val="14"/>
              </w:rPr>
              <w:t xml:space="preserve">А. Веселиновић, Р. Љушић, </w:t>
            </w:r>
            <w:r>
              <w:rPr>
                <w:i/>
                <w:color w:val="231F20"/>
                <w:sz w:val="14"/>
              </w:rPr>
              <w:t>Српске династије</w:t>
            </w:r>
            <w:r>
              <w:rPr>
                <w:color w:val="231F20"/>
                <w:sz w:val="14"/>
              </w:rPr>
              <w:t>, Нови Сад 2001.</w:t>
            </w:r>
          </w:p>
          <w:p w:rsidR="00041039" w:rsidRDefault="001B26CB">
            <w:pPr>
              <w:pStyle w:val="TableParagraph"/>
              <w:ind w:left="58" w:right="109"/>
              <w:rPr>
                <w:sz w:val="14"/>
              </w:rPr>
            </w:pPr>
            <w:r>
              <w:rPr>
                <w:color w:val="231F20"/>
                <w:sz w:val="14"/>
              </w:rPr>
              <w:t xml:space="preserve">П. Билар, </w:t>
            </w:r>
            <w:r>
              <w:rPr>
                <w:i/>
                <w:color w:val="231F20"/>
                <w:sz w:val="14"/>
              </w:rPr>
              <w:t>Злато и новац у повијести 1450 - 1920</w:t>
            </w:r>
            <w:r>
              <w:rPr>
                <w:color w:val="231F20"/>
                <w:sz w:val="14"/>
              </w:rPr>
              <w:t>, Београд</w:t>
            </w:r>
          </w:p>
          <w:p w:rsidR="00041039" w:rsidRDefault="001B26CB">
            <w:pPr>
              <w:pStyle w:val="TableParagraph"/>
              <w:spacing w:line="159" w:lineRule="exact"/>
              <w:ind w:left="58"/>
              <w:rPr>
                <w:sz w:val="14"/>
              </w:rPr>
            </w:pPr>
            <w:r>
              <w:rPr>
                <w:color w:val="231F20"/>
                <w:sz w:val="14"/>
              </w:rPr>
              <w:t>1990.</w:t>
            </w:r>
          </w:p>
          <w:p w:rsidR="00041039" w:rsidRDefault="001B26CB">
            <w:pPr>
              <w:pStyle w:val="TableParagraph"/>
              <w:ind w:left="58"/>
              <w:rPr>
                <w:i/>
                <w:sz w:val="14"/>
              </w:rPr>
            </w:pPr>
            <w:r>
              <w:rPr>
                <w:color w:val="231F20"/>
                <w:sz w:val="14"/>
              </w:rPr>
              <w:t xml:space="preserve">А. Вулетић, Ј. Мијаиловић, </w:t>
            </w:r>
            <w:r>
              <w:rPr>
                <w:i/>
                <w:color w:val="231F20"/>
                <w:sz w:val="14"/>
              </w:rPr>
              <w:t>Између посела и балова</w:t>
            </w:r>
            <w:r>
              <w:rPr>
                <w:color w:val="231F20"/>
                <w:sz w:val="14"/>
              </w:rPr>
              <w:t xml:space="preserve">. </w:t>
            </w:r>
            <w:r>
              <w:rPr>
                <w:i/>
                <w:color w:val="231F20"/>
                <w:sz w:val="14"/>
              </w:rPr>
              <w:t>Живот у Србији у</w:t>
            </w:r>
          </w:p>
          <w:p w:rsidR="00041039" w:rsidRDefault="001B26CB">
            <w:pPr>
              <w:pStyle w:val="TableParagraph"/>
              <w:spacing w:line="159" w:lineRule="exact"/>
              <w:ind w:left="58"/>
              <w:rPr>
                <w:sz w:val="14"/>
              </w:rPr>
            </w:pPr>
            <w:r>
              <w:rPr>
                <w:i/>
                <w:color w:val="231F20"/>
                <w:sz w:val="14"/>
              </w:rPr>
              <w:t>19. веку</w:t>
            </w:r>
            <w:r>
              <w:rPr>
                <w:color w:val="231F20"/>
                <w:sz w:val="14"/>
              </w:rPr>
              <w:t>, Београд 2005.</w:t>
            </w:r>
          </w:p>
          <w:p w:rsidR="00041039" w:rsidRDefault="001B26CB">
            <w:pPr>
              <w:pStyle w:val="TableParagraph"/>
              <w:ind w:left="58" w:right="75"/>
              <w:rPr>
                <w:sz w:val="14"/>
              </w:rPr>
            </w:pPr>
            <w:r>
              <w:rPr>
                <w:color w:val="231F20"/>
                <w:sz w:val="14"/>
              </w:rPr>
              <w:t xml:space="preserve">Р. Вучетић, </w:t>
            </w:r>
            <w:r>
              <w:rPr>
                <w:i/>
                <w:color w:val="231F20"/>
                <w:sz w:val="14"/>
              </w:rPr>
              <w:t>Престоница независне Србије (1878 - 1918)</w:t>
            </w:r>
            <w:r>
              <w:rPr>
                <w:color w:val="231F20"/>
                <w:sz w:val="14"/>
              </w:rPr>
              <w:t xml:space="preserve">, Београд 2008. К. Гравет, </w:t>
            </w:r>
            <w:r>
              <w:rPr>
                <w:i/>
                <w:color w:val="231F20"/>
                <w:sz w:val="14"/>
              </w:rPr>
              <w:t>Витезови</w:t>
            </w:r>
            <w:r>
              <w:rPr>
                <w:color w:val="231F20"/>
                <w:sz w:val="14"/>
              </w:rPr>
              <w:t xml:space="preserve">, Београд 2006. С. Димитријевић, </w:t>
            </w:r>
            <w:r>
              <w:rPr>
                <w:i/>
                <w:color w:val="231F20"/>
                <w:sz w:val="14"/>
              </w:rPr>
              <w:t>Средњовековни српски новац</w:t>
            </w:r>
            <w:r>
              <w:rPr>
                <w:color w:val="231F20"/>
                <w:sz w:val="14"/>
              </w:rPr>
              <w:t>, Београд 1997.</w:t>
            </w:r>
          </w:p>
          <w:p w:rsidR="00041039" w:rsidRDefault="001B26CB">
            <w:pPr>
              <w:pStyle w:val="TableParagraph"/>
              <w:spacing w:line="237" w:lineRule="auto"/>
              <w:ind w:left="58" w:right="55"/>
              <w:rPr>
                <w:sz w:val="14"/>
              </w:rPr>
            </w:pPr>
            <w:r>
              <w:rPr>
                <w:color w:val="231F20"/>
                <w:sz w:val="14"/>
              </w:rPr>
              <w:t xml:space="preserve">Љ. Димић, </w:t>
            </w:r>
            <w:r>
              <w:rPr>
                <w:i/>
                <w:color w:val="231F20"/>
                <w:sz w:val="14"/>
              </w:rPr>
              <w:t>Културна политика у Краљевини Југославији 1918 - 1941, I - III</w:t>
            </w:r>
            <w:r>
              <w:rPr>
                <w:color w:val="231F20"/>
                <w:sz w:val="14"/>
              </w:rPr>
              <w:t>, Београд 1996.</w:t>
            </w:r>
          </w:p>
          <w:p w:rsidR="00041039" w:rsidRDefault="001B26CB">
            <w:pPr>
              <w:pStyle w:val="TableParagraph"/>
              <w:ind w:left="58"/>
              <w:rPr>
                <w:sz w:val="14"/>
              </w:rPr>
            </w:pPr>
            <w:r>
              <w:rPr>
                <w:color w:val="231F20"/>
                <w:sz w:val="14"/>
              </w:rPr>
              <w:t xml:space="preserve">А. Ђуровић, </w:t>
            </w:r>
            <w:r>
              <w:rPr>
                <w:i/>
                <w:color w:val="231F20"/>
                <w:sz w:val="14"/>
              </w:rPr>
              <w:t>Модернизација образовања у Краљевини Србији 1905 - 1914</w:t>
            </w:r>
            <w:r>
              <w:rPr>
                <w:color w:val="231F20"/>
                <w:sz w:val="14"/>
              </w:rPr>
              <w:t>, Београд 2004.</w:t>
            </w:r>
          </w:p>
          <w:p w:rsidR="00041039" w:rsidRDefault="001B26CB">
            <w:pPr>
              <w:pStyle w:val="TableParagraph"/>
              <w:spacing w:line="237" w:lineRule="auto"/>
              <w:ind w:left="58" w:right="103"/>
              <w:rPr>
                <w:sz w:val="14"/>
              </w:rPr>
            </w:pPr>
            <w:r>
              <w:rPr>
                <w:i/>
                <w:color w:val="231F20"/>
                <w:sz w:val="14"/>
              </w:rPr>
              <w:t>Историја приватног живота, I-V</w:t>
            </w:r>
            <w:r>
              <w:rPr>
                <w:color w:val="231F20"/>
                <w:sz w:val="14"/>
              </w:rPr>
              <w:t>, приредили Ф. Аријес и Ж. Диби, Београд 2000 ­ 2004.</w:t>
            </w:r>
          </w:p>
          <w:p w:rsidR="00041039" w:rsidRDefault="001B26CB">
            <w:pPr>
              <w:pStyle w:val="TableParagraph"/>
              <w:ind w:left="58"/>
              <w:rPr>
                <w:sz w:val="14"/>
              </w:rPr>
            </w:pPr>
            <w:r>
              <w:rPr>
                <w:color w:val="231F20"/>
                <w:sz w:val="14"/>
              </w:rPr>
              <w:t xml:space="preserve">М. Јовановић ­ Стојимировић, </w:t>
            </w:r>
            <w:r>
              <w:rPr>
                <w:i/>
                <w:color w:val="231F20"/>
                <w:sz w:val="14"/>
              </w:rPr>
              <w:t>Силуете старог Београда</w:t>
            </w:r>
            <w:r>
              <w:rPr>
                <w:color w:val="231F20"/>
                <w:sz w:val="14"/>
              </w:rPr>
              <w:t>, Београд 2008.</w:t>
            </w:r>
          </w:p>
          <w:p w:rsidR="00041039" w:rsidRDefault="001B26CB">
            <w:pPr>
              <w:pStyle w:val="TableParagraph"/>
              <w:spacing w:line="237" w:lineRule="auto"/>
              <w:ind w:left="58" w:right="250"/>
              <w:rPr>
                <w:sz w:val="14"/>
              </w:rPr>
            </w:pPr>
            <w:r>
              <w:rPr>
                <w:color w:val="231F20"/>
                <w:sz w:val="14"/>
              </w:rPr>
              <w:t xml:space="preserve">Д. Косановић. </w:t>
            </w:r>
            <w:r>
              <w:rPr>
                <w:i/>
                <w:color w:val="231F20"/>
                <w:sz w:val="14"/>
              </w:rPr>
              <w:t xml:space="preserve">Почеци </w:t>
            </w:r>
            <w:r>
              <w:rPr>
                <w:i/>
                <w:color w:val="231F20"/>
                <w:sz w:val="14"/>
              </w:rPr>
              <w:t>кинематографије на тлу Југославије 1896 - 1918</w:t>
            </w:r>
            <w:r>
              <w:rPr>
                <w:color w:val="231F20"/>
                <w:sz w:val="14"/>
              </w:rPr>
              <w:t>, Београд</w:t>
            </w:r>
          </w:p>
          <w:p w:rsidR="00041039" w:rsidRDefault="001B26CB">
            <w:pPr>
              <w:pStyle w:val="TableParagraph"/>
              <w:spacing w:line="161" w:lineRule="exact"/>
              <w:ind w:left="58"/>
              <w:rPr>
                <w:sz w:val="14"/>
              </w:rPr>
            </w:pPr>
            <w:r>
              <w:rPr>
                <w:color w:val="231F20"/>
                <w:sz w:val="14"/>
              </w:rPr>
              <w:t>1985.</w:t>
            </w:r>
          </w:p>
          <w:p w:rsidR="00041039" w:rsidRDefault="001B26CB">
            <w:pPr>
              <w:pStyle w:val="TableParagraph"/>
              <w:ind w:left="58"/>
              <w:rPr>
                <w:sz w:val="14"/>
              </w:rPr>
            </w:pPr>
            <w:r>
              <w:rPr>
                <w:i/>
                <w:color w:val="231F20"/>
                <w:sz w:val="14"/>
              </w:rPr>
              <w:t>Лексикон српског средњег века</w:t>
            </w:r>
            <w:r>
              <w:rPr>
                <w:color w:val="231F20"/>
                <w:sz w:val="14"/>
              </w:rPr>
              <w:t>, приредили С. Ћирковић и Р. Михаљчић, Београд 1999.</w:t>
            </w:r>
          </w:p>
          <w:p w:rsidR="00041039" w:rsidRDefault="001B26CB">
            <w:pPr>
              <w:pStyle w:val="TableParagraph"/>
              <w:spacing w:line="237" w:lineRule="auto"/>
              <w:ind w:left="58" w:right="109"/>
              <w:rPr>
                <w:sz w:val="14"/>
              </w:rPr>
            </w:pPr>
            <w:r>
              <w:rPr>
                <w:color w:val="231F20"/>
                <w:sz w:val="14"/>
              </w:rPr>
              <w:t xml:space="preserve">П. Ј. Марковић, </w:t>
            </w:r>
            <w:r>
              <w:rPr>
                <w:i/>
                <w:color w:val="231F20"/>
                <w:sz w:val="14"/>
              </w:rPr>
              <w:t>Београд 1918 - 1941</w:t>
            </w:r>
            <w:r>
              <w:rPr>
                <w:color w:val="231F20"/>
                <w:sz w:val="14"/>
              </w:rPr>
              <w:t>, Београд 1992.</w:t>
            </w:r>
          </w:p>
          <w:p w:rsidR="00041039" w:rsidRDefault="001B26CB">
            <w:pPr>
              <w:pStyle w:val="TableParagraph"/>
              <w:ind w:left="58"/>
              <w:rPr>
                <w:sz w:val="14"/>
              </w:rPr>
            </w:pPr>
            <w:r>
              <w:rPr>
                <w:color w:val="231F20"/>
                <w:sz w:val="14"/>
              </w:rPr>
              <w:t xml:space="preserve">П. Ј. Марковић, </w:t>
            </w:r>
            <w:r>
              <w:rPr>
                <w:i/>
                <w:color w:val="231F20"/>
                <w:sz w:val="14"/>
              </w:rPr>
              <w:t>Београд између Истока и Запада 1948 - 1965</w:t>
            </w:r>
            <w:r>
              <w:rPr>
                <w:color w:val="231F20"/>
                <w:sz w:val="14"/>
              </w:rPr>
              <w:t>,</w:t>
            </w:r>
          </w:p>
          <w:p w:rsidR="00041039" w:rsidRDefault="001B26CB">
            <w:pPr>
              <w:pStyle w:val="TableParagraph"/>
              <w:spacing w:line="158" w:lineRule="exact"/>
              <w:ind w:left="58"/>
              <w:rPr>
                <w:sz w:val="14"/>
              </w:rPr>
            </w:pPr>
            <w:r>
              <w:rPr>
                <w:color w:val="231F20"/>
                <w:sz w:val="14"/>
              </w:rPr>
              <w:t>Б</w:t>
            </w:r>
            <w:r>
              <w:rPr>
                <w:color w:val="231F20"/>
                <w:sz w:val="14"/>
              </w:rPr>
              <w:t>еоград 1996.</w:t>
            </w:r>
          </w:p>
        </w:tc>
      </w:tr>
      <w:tr w:rsidR="00041039">
        <w:trPr>
          <w:trHeight w:val="4040"/>
        </w:trPr>
        <w:tc>
          <w:tcPr>
            <w:tcW w:w="1304" w:type="dxa"/>
          </w:tcPr>
          <w:p w:rsidR="00041039" w:rsidRDefault="001B26CB">
            <w:pPr>
              <w:pStyle w:val="TableParagraph"/>
              <w:spacing w:before="20"/>
              <w:ind w:left="56" w:right="58"/>
              <w:rPr>
                <w:sz w:val="14"/>
              </w:rPr>
            </w:pPr>
            <w:r>
              <w:rPr>
                <w:color w:val="231F20"/>
                <w:sz w:val="14"/>
              </w:rPr>
              <w:t>Друштвени и поро­ дични живот кроз историју</w:t>
            </w:r>
          </w:p>
        </w:tc>
        <w:tc>
          <w:tcPr>
            <w:tcW w:w="1587" w:type="dxa"/>
          </w:tcPr>
          <w:p w:rsidR="00041039" w:rsidRDefault="001B26CB">
            <w:pPr>
              <w:pStyle w:val="TableParagraph"/>
              <w:numPr>
                <w:ilvl w:val="0"/>
                <w:numId w:val="120"/>
              </w:numPr>
              <w:tabs>
                <w:tab w:val="left" w:pos="157"/>
              </w:tabs>
              <w:spacing w:before="10"/>
              <w:ind w:right="113"/>
              <w:jc w:val="both"/>
              <w:rPr>
                <w:sz w:val="14"/>
              </w:rPr>
            </w:pPr>
            <w:r>
              <w:rPr>
                <w:color w:val="231F20"/>
                <w:sz w:val="14"/>
              </w:rPr>
              <w:t>Продубљивање</w:t>
            </w:r>
            <w:r>
              <w:rPr>
                <w:color w:val="231F20"/>
                <w:spacing w:val="-13"/>
                <w:sz w:val="14"/>
              </w:rPr>
              <w:t xml:space="preserve"> </w:t>
            </w:r>
            <w:r>
              <w:rPr>
                <w:color w:val="231F20"/>
                <w:sz w:val="14"/>
              </w:rPr>
              <w:t>знања о развоју друштвеног и породичног живота кроз</w:t>
            </w:r>
            <w:r>
              <w:rPr>
                <w:color w:val="231F20"/>
                <w:spacing w:val="-2"/>
                <w:sz w:val="14"/>
              </w:rPr>
              <w:t xml:space="preserve"> </w:t>
            </w:r>
            <w:r>
              <w:rPr>
                <w:color w:val="231F20"/>
                <w:sz w:val="14"/>
              </w:rPr>
              <w:t>историју.</w:t>
            </w:r>
          </w:p>
          <w:p w:rsidR="00041039" w:rsidRDefault="001B26CB">
            <w:pPr>
              <w:pStyle w:val="TableParagraph"/>
              <w:numPr>
                <w:ilvl w:val="0"/>
                <w:numId w:val="120"/>
              </w:numPr>
              <w:tabs>
                <w:tab w:val="left" w:pos="157"/>
              </w:tabs>
              <w:spacing w:line="156" w:lineRule="exact"/>
              <w:rPr>
                <w:sz w:val="14"/>
              </w:rPr>
            </w:pPr>
            <w:r>
              <w:rPr>
                <w:color w:val="231F20"/>
                <w:spacing w:val="-3"/>
                <w:sz w:val="14"/>
              </w:rPr>
              <w:t xml:space="preserve">Уочавање </w:t>
            </w:r>
            <w:r>
              <w:rPr>
                <w:color w:val="231F20"/>
                <w:sz w:val="14"/>
              </w:rPr>
              <w:t>сличности</w:t>
            </w:r>
            <w:r>
              <w:rPr>
                <w:color w:val="231F20"/>
                <w:spacing w:val="5"/>
                <w:sz w:val="14"/>
              </w:rPr>
              <w:t xml:space="preserve"> </w:t>
            </w:r>
            <w:r>
              <w:rPr>
                <w:color w:val="231F20"/>
                <w:sz w:val="14"/>
              </w:rPr>
              <w:t>и</w:t>
            </w:r>
          </w:p>
          <w:p w:rsidR="00041039" w:rsidRDefault="001B26CB">
            <w:pPr>
              <w:pStyle w:val="TableParagraph"/>
              <w:ind w:right="81"/>
              <w:jc w:val="both"/>
              <w:rPr>
                <w:sz w:val="14"/>
              </w:rPr>
            </w:pPr>
            <w:r>
              <w:rPr>
                <w:color w:val="231F20"/>
                <w:sz w:val="14"/>
              </w:rPr>
              <w:t>разлика у</w:t>
            </w:r>
            <w:r>
              <w:rPr>
                <w:color w:val="231F20"/>
                <w:spacing w:val="-9"/>
                <w:sz w:val="14"/>
              </w:rPr>
              <w:t xml:space="preserve"> </w:t>
            </w:r>
            <w:r>
              <w:rPr>
                <w:color w:val="231F20"/>
                <w:sz w:val="14"/>
              </w:rPr>
              <w:t>друштвеном и породичном животу некад и</w:t>
            </w:r>
            <w:r>
              <w:rPr>
                <w:color w:val="231F20"/>
                <w:spacing w:val="-2"/>
                <w:sz w:val="14"/>
              </w:rPr>
              <w:t xml:space="preserve"> </w:t>
            </w:r>
            <w:r>
              <w:rPr>
                <w:color w:val="231F20"/>
                <w:sz w:val="14"/>
              </w:rPr>
              <w:t>сад.</w:t>
            </w:r>
          </w:p>
          <w:p w:rsidR="00041039" w:rsidRDefault="001B26CB">
            <w:pPr>
              <w:pStyle w:val="TableParagraph"/>
              <w:numPr>
                <w:ilvl w:val="0"/>
                <w:numId w:val="120"/>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друштвеном и по­ родичном животу код Срба кроз историју.</w:t>
            </w:r>
          </w:p>
        </w:tc>
        <w:tc>
          <w:tcPr>
            <w:tcW w:w="2551" w:type="dxa"/>
          </w:tcPr>
          <w:p w:rsidR="00041039" w:rsidRDefault="001B26CB">
            <w:pPr>
              <w:pStyle w:val="TableParagraph"/>
              <w:numPr>
                <w:ilvl w:val="0"/>
                <w:numId w:val="119"/>
              </w:numPr>
              <w:tabs>
                <w:tab w:val="left" w:pos="157"/>
              </w:tabs>
              <w:spacing w:before="10"/>
              <w:ind w:right="425" w:hanging="99"/>
              <w:rPr>
                <w:sz w:val="14"/>
              </w:rPr>
            </w:pPr>
            <w:r>
              <w:rPr>
                <w:color w:val="231F20"/>
                <w:sz w:val="14"/>
              </w:rPr>
              <w:t xml:space="preserve">идентификује основна обележја друштвеног живота </w:t>
            </w:r>
            <w:r>
              <w:rPr>
                <w:color w:val="231F20"/>
                <w:spacing w:val="-3"/>
                <w:sz w:val="14"/>
              </w:rPr>
              <w:t xml:space="preserve">од </w:t>
            </w:r>
            <w:r>
              <w:rPr>
                <w:color w:val="231F20"/>
                <w:sz w:val="14"/>
              </w:rPr>
              <w:t>антике</w:t>
            </w:r>
            <w:r>
              <w:rPr>
                <w:color w:val="231F20"/>
                <w:spacing w:val="-5"/>
                <w:sz w:val="14"/>
              </w:rPr>
              <w:t xml:space="preserve"> </w:t>
            </w:r>
            <w:r>
              <w:rPr>
                <w:color w:val="231F20"/>
                <w:sz w:val="14"/>
              </w:rPr>
              <w:t>до данас;</w:t>
            </w:r>
          </w:p>
          <w:p w:rsidR="00041039" w:rsidRDefault="001B26CB">
            <w:pPr>
              <w:pStyle w:val="TableParagraph"/>
              <w:numPr>
                <w:ilvl w:val="0"/>
                <w:numId w:val="119"/>
              </w:numPr>
              <w:tabs>
                <w:tab w:val="left" w:pos="157"/>
              </w:tabs>
              <w:spacing w:line="157" w:lineRule="exact"/>
              <w:ind w:hanging="99"/>
              <w:rPr>
                <w:sz w:val="14"/>
              </w:rPr>
            </w:pPr>
            <w:r>
              <w:rPr>
                <w:color w:val="231F20"/>
                <w:sz w:val="14"/>
              </w:rPr>
              <w:t>идентификује основна обележја</w:t>
            </w:r>
            <w:r>
              <w:rPr>
                <w:color w:val="231F20"/>
                <w:spacing w:val="-6"/>
                <w:sz w:val="14"/>
              </w:rPr>
              <w:t xml:space="preserve"> </w:t>
            </w:r>
            <w:r>
              <w:rPr>
                <w:color w:val="231F20"/>
                <w:sz w:val="14"/>
              </w:rPr>
              <w:t>поро­</w:t>
            </w:r>
          </w:p>
          <w:p w:rsidR="00041039" w:rsidRDefault="001B26CB">
            <w:pPr>
              <w:pStyle w:val="TableParagraph"/>
              <w:spacing w:line="155" w:lineRule="exact"/>
              <w:rPr>
                <w:sz w:val="14"/>
              </w:rPr>
            </w:pPr>
            <w:r>
              <w:rPr>
                <w:color w:val="231F20"/>
                <w:sz w:val="14"/>
              </w:rPr>
              <w:t>дичног живота од антике до данас;</w:t>
            </w:r>
          </w:p>
          <w:p w:rsidR="00041039" w:rsidRDefault="001B26CB">
            <w:pPr>
              <w:pStyle w:val="TableParagraph"/>
              <w:numPr>
                <w:ilvl w:val="0"/>
                <w:numId w:val="119"/>
              </w:numPr>
              <w:tabs>
                <w:tab w:val="left" w:pos="157"/>
              </w:tabs>
              <w:spacing w:line="237" w:lineRule="auto"/>
              <w:ind w:right="157" w:hanging="99"/>
              <w:rPr>
                <w:sz w:val="14"/>
              </w:rPr>
            </w:pPr>
            <w:r>
              <w:rPr>
                <w:color w:val="231F20"/>
                <w:sz w:val="14"/>
              </w:rPr>
              <w:t>наведе основна обележја</w:t>
            </w:r>
            <w:r>
              <w:rPr>
                <w:color w:val="231F20"/>
                <w:spacing w:val="-7"/>
                <w:sz w:val="14"/>
              </w:rPr>
              <w:t xml:space="preserve"> </w:t>
            </w:r>
            <w:r>
              <w:rPr>
                <w:color w:val="231F20"/>
                <w:sz w:val="14"/>
              </w:rPr>
              <w:t xml:space="preserve">друштвеног живота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119"/>
              </w:numPr>
              <w:tabs>
                <w:tab w:val="left" w:pos="157"/>
              </w:tabs>
              <w:spacing w:line="160" w:lineRule="exact"/>
              <w:ind w:right="165" w:hanging="99"/>
              <w:rPr>
                <w:sz w:val="14"/>
              </w:rPr>
            </w:pPr>
            <w:r>
              <w:rPr>
                <w:color w:val="231F20"/>
                <w:sz w:val="14"/>
              </w:rPr>
              <w:t>наведе основна обележја</w:t>
            </w:r>
            <w:r>
              <w:rPr>
                <w:color w:val="231F20"/>
                <w:spacing w:val="-11"/>
                <w:sz w:val="14"/>
              </w:rPr>
              <w:t xml:space="preserve"> </w:t>
            </w:r>
            <w:r>
              <w:rPr>
                <w:color w:val="231F20"/>
                <w:sz w:val="14"/>
              </w:rPr>
              <w:t xml:space="preserve">породичног живота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p w:rsidR="00041039" w:rsidRDefault="001B26CB">
            <w:pPr>
              <w:pStyle w:val="TableParagraph"/>
              <w:numPr>
                <w:ilvl w:val="0"/>
                <w:numId w:val="119"/>
              </w:numPr>
              <w:tabs>
                <w:tab w:val="left" w:pos="157"/>
              </w:tabs>
              <w:spacing w:line="160" w:lineRule="exact"/>
              <w:ind w:right="193" w:hanging="99"/>
              <w:rPr>
                <w:sz w:val="14"/>
              </w:rPr>
            </w:pPr>
            <w:r>
              <w:rPr>
                <w:color w:val="231F20"/>
                <w:sz w:val="14"/>
              </w:rPr>
              <w:t>упореди карактеристике</w:t>
            </w:r>
            <w:r>
              <w:rPr>
                <w:color w:val="231F20"/>
                <w:spacing w:val="-14"/>
                <w:sz w:val="14"/>
              </w:rPr>
              <w:t xml:space="preserve"> </w:t>
            </w:r>
            <w:r>
              <w:rPr>
                <w:color w:val="231F20"/>
                <w:sz w:val="14"/>
              </w:rPr>
              <w:t>друштвеног и породичног живота у различитим периодима;</w:t>
            </w:r>
          </w:p>
          <w:p w:rsidR="00041039" w:rsidRDefault="001B26CB">
            <w:pPr>
              <w:pStyle w:val="TableParagraph"/>
              <w:numPr>
                <w:ilvl w:val="0"/>
                <w:numId w:val="119"/>
              </w:numPr>
              <w:tabs>
                <w:tab w:val="left" w:pos="157"/>
              </w:tabs>
              <w:spacing w:line="160" w:lineRule="exact"/>
              <w:ind w:right="134" w:hanging="99"/>
              <w:rPr>
                <w:sz w:val="14"/>
              </w:rPr>
            </w:pPr>
            <w:r>
              <w:rPr>
                <w:color w:val="231F20"/>
                <w:sz w:val="14"/>
              </w:rPr>
              <w:t>уочи сличности и разлике у начину обележавања празника кроз</w:t>
            </w:r>
            <w:r>
              <w:rPr>
                <w:color w:val="231F20"/>
                <w:spacing w:val="-17"/>
                <w:sz w:val="14"/>
              </w:rPr>
              <w:t xml:space="preserve"> </w:t>
            </w:r>
            <w:r>
              <w:rPr>
                <w:color w:val="231F20"/>
                <w:sz w:val="14"/>
              </w:rPr>
              <w:t>историју;</w:t>
            </w:r>
          </w:p>
          <w:p w:rsidR="00041039" w:rsidRDefault="001B26CB">
            <w:pPr>
              <w:pStyle w:val="TableParagraph"/>
              <w:numPr>
                <w:ilvl w:val="0"/>
                <w:numId w:val="119"/>
              </w:numPr>
              <w:tabs>
                <w:tab w:val="left" w:pos="157"/>
              </w:tabs>
              <w:spacing w:line="160" w:lineRule="exact"/>
              <w:ind w:right="266" w:hanging="99"/>
              <w:rPr>
                <w:sz w:val="14"/>
              </w:rPr>
            </w:pPr>
            <w:r>
              <w:rPr>
                <w:color w:val="231F20"/>
                <w:sz w:val="14"/>
              </w:rPr>
              <w:t>истакне одлике друштвеног и по­ родичног живота данас у односу</w:t>
            </w:r>
            <w:r>
              <w:rPr>
                <w:color w:val="231F20"/>
                <w:spacing w:val="-13"/>
                <w:sz w:val="14"/>
              </w:rPr>
              <w:t xml:space="preserve"> </w:t>
            </w:r>
            <w:r>
              <w:rPr>
                <w:color w:val="231F20"/>
                <w:sz w:val="14"/>
              </w:rPr>
              <w:t>на раније</w:t>
            </w:r>
            <w:r>
              <w:rPr>
                <w:color w:val="231F20"/>
                <w:spacing w:val="-1"/>
                <w:sz w:val="14"/>
              </w:rPr>
              <w:t xml:space="preserve"> </w:t>
            </w:r>
            <w:r>
              <w:rPr>
                <w:color w:val="231F20"/>
                <w:sz w:val="14"/>
              </w:rPr>
              <w:t>епохе;</w:t>
            </w:r>
          </w:p>
        </w:tc>
        <w:tc>
          <w:tcPr>
            <w:tcW w:w="2834" w:type="dxa"/>
          </w:tcPr>
          <w:p w:rsidR="00041039" w:rsidRDefault="001B26CB">
            <w:pPr>
              <w:pStyle w:val="TableParagraph"/>
              <w:numPr>
                <w:ilvl w:val="0"/>
                <w:numId w:val="118"/>
              </w:numPr>
              <w:tabs>
                <w:tab w:val="left" w:pos="157"/>
              </w:tabs>
              <w:spacing w:before="11"/>
              <w:ind w:right="51" w:hanging="99"/>
              <w:rPr>
                <w:sz w:val="14"/>
              </w:rPr>
            </w:pPr>
            <w:r>
              <w:rPr>
                <w:color w:val="231F20"/>
                <w:sz w:val="14"/>
              </w:rPr>
              <w:t xml:space="preserve">Друштвени живот </w:t>
            </w:r>
            <w:r>
              <w:rPr>
                <w:color w:val="231F20"/>
                <w:spacing w:val="-3"/>
                <w:sz w:val="14"/>
              </w:rPr>
              <w:t xml:space="preserve">од </w:t>
            </w:r>
            <w:r>
              <w:rPr>
                <w:color w:val="231F20"/>
                <w:sz w:val="14"/>
              </w:rPr>
              <w:t>антике до данас</w:t>
            </w:r>
            <w:r>
              <w:rPr>
                <w:color w:val="231F20"/>
                <w:spacing w:val="-13"/>
                <w:sz w:val="14"/>
              </w:rPr>
              <w:t xml:space="preserve"> </w:t>
            </w:r>
            <w:r>
              <w:rPr>
                <w:color w:val="231F20"/>
                <w:sz w:val="14"/>
              </w:rPr>
              <w:t xml:space="preserve">(игре. гозбе, плес уз </w:t>
            </w:r>
            <w:r>
              <w:rPr>
                <w:color w:val="231F20"/>
                <w:spacing w:val="-3"/>
                <w:sz w:val="14"/>
              </w:rPr>
              <w:t xml:space="preserve">музику, </w:t>
            </w:r>
            <w:r>
              <w:rPr>
                <w:color w:val="231F20"/>
                <w:sz w:val="14"/>
              </w:rPr>
              <w:t>музички инстру­ менти, позориште, маскирање, трубадури, властеоске гозбе: жонглери, путујући свирачи и забављач</w:t>
            </w:r>
            <w:r>
              <w:rPr>
                <w:color w:val="231F20"/>
                <w:sz w:val="14"/>
              </w:rPr>
              <w:t>и; балови,</w:t>
            </w:r>
            <w:r>
              <w:rPr>
                <w:color w:val="231F20"/>
                <w:spacing w:val="-13"/>
                <w:sz w:val="14"/>
              </w:rPr>
              <w:t xml:space="preserve"> </w:t>
            </w:r>
            <w:r>
              <w:rPr>
                <w:color w:val="231F20"/>
                <w:sz w:val="14"/>
              </w:rPr>
              <w:t>позориште</w:t>
            </w:r>
          </w:p>
          <w:p w:rsidR="00041039" w:rsidRDefault="001B26CB">
            <w:pPr>
              <w:pStyle w:val="TableParagraph"/>
              <w:spacing w:line="237" w:lineRule="auto"/>
              <w:rPr>
                <w:sz w:val="14"/>
              </w:rPr>
            </w:pPr>
            <w:r>
              <w:rPr>
                <w:color w:val="231F20"/>
                <w:sz w:val="14"/>
              </w:rPr>
              <w:t>у доба Шекспира и Молијера, настанак опере, књижевне дружине и читалишта, концерти, биоскопи, игре на срећу, савре­ мена популарна музика).</w:t>
            </w:r>
          </w:p>
          <w:p w:rsidR="00041039" w:rsidRDefault="001B26CB">
            <w:pPr>
              <w:pStyle w:val="TableParagraph"/>
              <w:numPr>
                <w:ilvl w:val="0"/>
                <w:numId w:val="118"/>
              </w:numPr>
              <w:tabs>
                <w:tab w:val="left" w:pos="157"/>
              </w:tabs>
              <w:spacing w:line="237" w:lineRule="auto"/>
              <w:ind w:right="153" w:hanging="99"/>
              <w:rPr>
                <w:sz w:val="14"/>
              </w:rPr>
            </w:pPr>
            <w:r>
              <w:rPr>
                <w:color w:val="231F20"/>
                <w:sz w:val="14"/>
              </w:rPr>
              <w:t xml:space="preserve">Друштвени живот </w:t>
            </w:r>
            <w:r>
              <w:rPr>
                <w:color w:val="231F20"/>
                <w:spacing w:val="-5"/>
                <w:sz w:val="14"/>
              </w:rPr>
              <w:t xml:space="preserve">код </w:t>
            </w:r>
            <w:r>
              <w:rPr>
                <w:color w:val="231F20"/>
                <w:sz w:val="14"/>
              </w:rPr>
              <w:t>Срба кроз историју (основни празници и њихов значај;</w:t>
            </w:r>
            <w:r>
              <w:rPr>
                <w:color w:val="231F20"/>
                <w:spacing w:val="-21"/>
                <w:sz w:val="14"/>
              </w:rPr>
              <w:t xml:space="preserve"> </w:t>
            </w:r>
            <w:r>
              <w:rPr>
                <w:color w:val="231F20"/>
                <w:sz w:val="14"/>
              </w:rPr>
              <w:t>утицај политичких прил</w:t>
            </w:r>
            <w:r>
              <w:rPr>
                <w:color w:val="231F20"/>
                <w:sz w:val="14"/>
              </w:rPr>
              <w:t>ика на празнике и праз­ новања, радни и нерадни дани; различити облици друштвених активности на селу и у</w:t>
            </w:r>
            <w:r>
              <w:rPr>
                <w:color w:val="231F20"/>
                <w:spacing w:val="-1"/>
                <w:sz w:val="14"/>
              </w:rPr>
              <w:t xml:space="preserve"> </w:t>
            </w:r>
            <w:r>
              <w:rPr>
                <w:color w:val="231F20"/>
                <w:sz w:val="14"/>
              </w:rPr>
              <w:t>граду...).</w:t>
            </w:r>
          </w:p>
          <w:p w:rsidR="00041039" w:rsidRDefault="001B26CB">
            <w:pPr>
              <w:pStyle w:val="TableParagraph"/>
              <w:numPr>
                <w:ilvl w:val="0"/>
                <w:numId w:val="118"/>
              </w:numPr>
              <w:tabs>
                <w:tab w:val="left" w:pos="157"/>
              </w:tabs>
              <w:spacing w:line="237" w:lineRule="auto"/>
              <w:ind w:right="44" w:hanging="99"/>
              <w:rPr>
                <w:sz w:val="14"/>
              </w:rPr>
            </w:pPr>
            <w:r>
              <w:rPr>
                <w:color w:val="231F20"/>
                <w:sz w:val="14"/>
              </w:rPr>
              <w:t xml:space="preserve">Породични односи </w:t>
            </w:r>
            <w:r>
              <w:rPr>
                <w:color w:val="231F20"/>
                <w:spacing w:val="-3"/>
                <w:sz w:val="14"/>
              </w:rPr>
              <w:t xml:space="preserve">од </w:t>
            </w:r>
            <w:r>
              <w:rPr>
                <w:color w:val="231F20"/>
                <w:sz w:val="14"/>
              </w:rPr>
              <w:t>антике до данас (по­ ложај мушкарца, жене и детета, свадбени обичаји, однос према старијима,</w:t>
            </w:r>
            <w:r>
              <w:rPr>
                <w:color w:val="231F20"/>
                <w:spacing w:val="-13"/>
                <w:sz w:val="14"/>
              </w:rPr>
              <w:t xml:space="preserve"> </w:t>
            </w:r>
            <w:r>
              <w:rPr>
                <w:color w:val="231F20"/>
                <w:sz w:val="14"/>
              </w:rPr>
              <w:t xml:space="preserve">породични празници, традиционални и модерни </w:t>
            </w:r>
            <w:r>
              <w:rPr>
                <w:color w:val="231F20"/>
                <w:spacing w:val="-3"/>
                <w:sz w:val="14"/>
              </w:rPr>
              <w:t xml:space="preserve">погле­ </w:t>
            </w:r>
            <w:r>
              <w:rPr>
                <w:color w:val="231F20"/>
                <w:sz w:val="14"/>
              </w:rPr>
              <w:t>ди на породицу: промене у односима међу половима...).</w:t>
            </w:r>
          </w:p>
          <w:p w:rsidR="00041039" w:rsidRDefault="001B26CB">
            <w:pPr>
              <w:pStyle w:val="TableParagraph"/>
              <w:numPr>
                <w:ilvl w:val="0"/>
                <w:numId w:val="118"/>
              </w:numPr>
              <w:tabs>
                <w:tab w:val="left" w:pos="157"/>
              </w:tabs>
              <w:spacing w:line="160" w:lineRule="exact"/>
              <w:ind w:right="150" w:hanging="99"/>
              <w:rPr>
                <w:sz w:val="14"/>
              </w:rPr>
            </w:pPr>
            <w:r>
              <w:rPr>
                <w:color w:val="231F20"/>
                <w:sz w:val="14"/>
              </w:rPr>
              <w:t xml:space="preserve">Породични односи </w:t>
            </w:r>
            <w:r>
              <w:rPr>
                <w:color w:val="231F20"/>
                <w:spacing w:val="-5"/>
                <w:sz w:val="14"/>
              </w:rPr>
              <w:t xml:space="preserve">код </w:t>
            </w:r>
            <w:r>
              <w:rPr>
                <w:color w:val="231F20"/>
                <w:sz w:val="14"/>
              </w:rPr>
              <w:t>Срба кроз исто­ рију (положај мушкарца. жене и детета: свадбени обичаји, однос према</w:t>
            </w:r>
            <w:r>
              <w:rPr>
                <w:color w:val="231F20"/>
                <w:spacing w:val="-10"/>
                <w:sz w:val="14"/>
              </w:rPr>
              <w:t xml:space="preserve"> </w:t>
            </w:r>
            <w:r>
              <w:rPr>
                <w:color w:val="231F20"/>
                <w:sz w:val="14"/>
              </w:rPr>
              <w:t>старијима, породични празници ­ крсна</w:t>
            </w:r>
            <w:r>
              <w:rPr>
                <w:color w:val="231F20"/>
                <w:spacing w:val="-7"/>
                <w:sz w:val="14"/>
              </w:rPr>
              <w:t xml:space="preserve"> </w:t>
            </w:r>
            <w:r>
              <w:rPr>
                <w:color w:val="231F20"/>
                <w:sz w:val="14"/>
              </w:rPr>
              <w:t>слава...)</w:t>
            </w:r>
          </w:p>
        </w:tc>
        <w:tc>
          <w:tcPr>
            <w:tcW w:w="2267" w:type="dxa"/>
            <w:vMerge/>
            <w:tcBorders>
              <w:top w:val="nil"/>
            </w:tcBorders>
          </w:tcPr>
          <w:p w:rsidR="00041039" w:rsidRDefault="00041039">
            <w:pPr>
              <w:rPr>
                <w:sz w:val="2"/>
                <w:szCs w:val="2"/>
              </w:rPr>
            </w:pPr>
          </w:p>
        </w:tc>
      </w:tr>
      <w:tr w:rsidR="00041039">
        <w:trPr>
          <w:trHeight w:val="6819"/>
        </w:trPr>
        <w:tc>
          <w:tcPr>
            <w:tcW w:w="1304" w:type="dxa"/>
          </w:tcPr>
          <w:p w:rsidR="00041039" w:rsidRDefault="001B26CB">
            <w:pPr>
              <w:pStyle w:val="TableParagraph"/>
              <w:spacing w:before="21"/>
              <w:ind w:left="56"/>
              <w:rPr>
                <w:sz w:val="14"/>
              </w:rPr>
            </w:pPr>
            <w:r>
              <w:rPr>
                <w:color w:val="231F20"/>
                <w:sz w:val="14"/>
              </w:rPr>
              <w:t>Фотографија, филм, радио и телевизија кроз историју</w:t>
            </w:r>
          </w:p>
        </w:tc>
        <w:tc>
          <w:tcPr>
            <w:tcW w:w="1587" w:type="dxa"/>
          </w:tcPr>
          <w:p w:rsidR="00041039" w:rsidRDefault="001B26CB">
            <w:pPr>
              <w:pStyle w:val="TableParagraph"/>
              <w:numPr>
                <w:ilvl w:val="0"/>
                <w:numId w:val="117"/>
              </w:numPr>
              <w:tabs>
                <w:tab w:val="left" w:pos="157"/>
              </w:tabs>
              <w:spacing w:before="11"/>
              <w:ind w:right="67"/>
              <w:rPr>
                <w:sz w:val="14"/>
              </w:rPr>
            </w:pPr>
            <w:r>
              <w:rPr>
                <w:color w:val="231F20"/>
                <w:sz w:val="14"/>
              </w:rPr>
              <w:t>Проширивање знања о развоју</w:t>
            </w:r>
            <w:r>
              <w:rPr>
                <w:color w:val="231F20"/>
                <w:spacing w:val="-5"/>
                <w:sz w:val="14"/>
              </w:rPr>
              <w:t xml:space="preserve"> </w:t>
            </w:r>
            <w:r>
              <w:rPr>
                <w:color w:val="231F20"/>
                <w:sz w:val="14"/>
              </w:rPr>
              <w:t>фотографије, филма, радија и теле­ визије кроз</w:t>
            </w:r>
            <w:r>
              <w:rPr>
                <w:color w:val="231F20"/>
                <w:spacing w:val="-10"/>
                <w:sz w:val="14"/>
              </w:rPr>
              <w:t xml:space="preserve"> </w:t>
            </w:r>
            <w:r>
              <w:rPr>
                <w:color w:val="231F20"/>
                <w:sz w:val="14"/>
              </w:rPr>
              <w:t>историју.</w:t>
            </w:r>
          </w:p>
          <w:p w:rsidR="00041039" w:rsidRDefault="001B26CB">
            <w:pPr>
              <w:pStyle w:val="TableParagraph"/>
              <w:numPr>
                <w:ilvl w:val="0"/>
                <w:numId w:val="117"/>
              </w:numPr>
              <w:tabs>
                <w:tab w:val="left" w:pos="157"/>
              </w:tabs>
              <w:spacing w:line="156" w:lineRule="exact"/>
              <w:rPr>
                <w:sz w:val="14"/>
              </w:rPr>
            </w:pPr>
            <w:r>
              <w:rPr>
                <w:color w:val="231F20"/>
                <w:sz w:val="14"/>
              </w:rPr>
              <w:t>Разумевање</w:t>
            </w:r>
            <w:r>
              <w:rPr>
                <w:color w:val="231F20"/>
                <w:spacing w:val="-2"/>
                <w:sz w:val="14"/>
              </w:rPr>
              <w:t xml:space="preserve"> </w:t>
            </w:r>
            <w:r>
              <w:rPr>
                <w:color w:val="231F20"/>
                <w:sz w:val="14"/>
              </w:rPr>
              <w:t>утицаја</w:t>
            </w:r>
          </w:p>
          <w:p w:rsidR="00041039" w:rsidRDefault="001B26CB">
            <w:pPr>
              <w:pStyle w:val="TableParagraph"/>
              <w:ind w:right="15"/>
              <w:rPr>
                <w:sz w:val="14"/>
              </w:rPr>
            </w:pPr>
            <w:r>
              <w:rPr>
                <w:color w:val="231F20"/>
                <w:sz w:val="14"/>
              </w:rPr>
              <w:t>фотографије, филма, радија и телевизије на друштвени, политички и културни живот.</w:t>
            </w:r>
          </w:p>
          <w:p w:rsidR="00041039" w:rsidRDefault="001B26CB">
            <w:pPr>
              <w:pStyle w:val="TableParagraph"/>
              <w:numPr>
                <w:ilvl w:val="0"/>
                <w:numId w:val="117"/>
              </w:numPr>
              <w:tabs>
                <w:tab w:val="left" w:pos="157"/>
              </w:tabs>
              <w:spacing w:line="157"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фотографије, филма, радија и теле­ визије у Србији.</w:t>
            </w:r>
          </w:p>
          <w:p w:rsidR="00041039" w:rsidRDefault="001B26CB">
            <w:pPr>
              <w:pStyle w:val="TableParagraph"/>
              <w:numPr>
                <w:ilvl w:val="0"/>
                <w:numId w:val="117"/>
              </w:numPr>
              <w:tabs>
                <w:tab w:val="left" w:pos="157"/>
              </w:tabs>
              <w:spacing w:line="158" w:lineRule="exact"/>
              <w:rPr>
                <w:sz w:val="14"/>
              </w:rPr>
            </w:pPr>
            <w:r>
              <w:rPr>
                <w:color w:val="231F20"/>
                <w:spacing w:val="-3"/>
                <w:sz w:val="14"/>
              </w:rPr>
              <w:t>Уочавање</w:t>
            </w:r>
            <w:r>
              <w:rPr>
                <w:color w:val="231F20"/>
                <w:spacing w:val="-1"/>
                <w:sz w:val="14"/>
              </w:rPr>
              <w:t xml:space="preserve"> </w:t>
            </w:r>
            <w:r>
              <w:rPr>
                <w:color w:val="231F20"/>
                <w:sz w:val="14"/>
              </w:rPr>
              <w:t>значаја</w:t>
            </w:r>
          </w:p>
          <w:p w:rsidR="00041039" w:rsidRDefault="001B26CB">
            <w:pPr>
              <w:pStyle w:val="TableParagraph"/>
              <w:ind w:right="108"/>
              <w:rPr>
                <w:sz w:val="14"/>
              </w:rPr>
            </w:pPr>
            <w:r>
              <w:rPr>
                <w:color w:val="231F20"/>
                <w:sz w:val="14"/>
              </w:rPr>
              <w:t>фотографије, филма, радија и телевизије као историјских извора.</w:t>
            </w:r>
          </w:p>
        </w:tc>
        <w:tc>
          <w:tcPr>
            <w:tcW w:w="2551" w:type="dxa"/>
          </w:tcPr>
          <w:p w:rsidR="00041039" w:rsidRDefault="001B26CB">
            <w:pPr>
              <w:pStyle w:val="TableParagraph"/>
              <w:numPr>
                <w:ilvl w:val="0"/>
                <w:numId w:val="116"/>
              </w:numPr>
              <w:tabs>
                <w:tab w:val="left" w:pos="157"/>
              </w:tabs>
              <w:spacing w:before="11"/>
              <w:ind w:right="119" w:hanging="99"/>
              <w:rPr>
                <w:sz w:val="14"/>
              </w:rPr>
            </w:pPr>
            <w:r>
              <w:rPr>
                <w:color w:val="231F20"/>
                <w:sz w:val="14"/>
              </w:rPr>
              <w:t>уочи основна обележја развоја фо­ тографије, филма, радија и</w:t>
            </w:r>
            <w:r>
              <w:rPr>
                <w:color w:val="231F20"/>
                <w:spacing w:val="-13"/>
                <w:sz w:val="14"/>
              </w:rPr>
              <w:t xml:space="preserve"> </w:t>
            </w:r>
            <w:r>
              <w:rPr>
                <w:color w:val="231F20"/>
                <w:sz w:val="14"/>
              </w:rPr>
              <w:t>телевизије кроз</w:t>
            </w:r>
            <w:r>
              <w:rPr>
                <w:color w:val="231F20"/>
                <w:spacing w:val="-1"/>
                <w:sz w:val="14"/>
              </w:rPr>
              <w:t xml:space="preserve"> </w:t>
            </w:r>
            <w:r>
              <w:rPr>
                <w:color w:val="231F20"/>
                <w:sz w:val="14"/>
              </w:rPr>
              <w:t>историју;</w:t>
            </w:r>
          </w:p>
          <w:p w:rsidR="00041039" w:rsidRDefault="001B26CB">
            <w:pPr>
              <w:pStyle w:val="TableParagraph"/>
              <w:numPr>
                <w:ilvl w:val="0"/>
                <w:numId w:val="116"/>
              </w:numPr>
              <w:tabs>
                <w:tab w:val="left" w:pos="157"/>
              </w:tabs>
              <w:spacing w:line="157" w:lineRule="exact"/>
              <w:ind w:hanging="99"/>
              <w:rPr>
                <w:sz w:val="14"/>
              </w:rPr>
            </w:pPr>
            <w:r>
              <w:rPr>
                <w:color w:val="231F20"/>
                <w:sz w:val="14"/>
              </w:rPr>
              <w:t>изведе з</w:t>
            </w:r>
            <w:r>
              <w:rPr>
                <w:color w:val="231F20"/>
                <w:sz w:val="14"/>
              </w:rPr>
              <w:t>акључак о значају</w:t>
            </w:r>
            <w:r>
              <w:rPr>
                <w:color w:val="231F20"/>
                <w:spacing w:val="-25"/>
                <w:sz w:val="14"/>
              </w:rPr>
              <w:t xml:space="preserve"> </w:t>
            </w:r>
            <w:r>
              <w:rPr>
                <w:color w:val="231F20"/>
                <w:sz w:val="14"/>
              </w:rPr>
              <w:t>фотогра­</w:t>
            </w:r>
          </w:p>
          <w:p w:rsidR="00041039" w:rsidRDefault="001B26CB">
            <w:pPr>
              <w:pStyle w:val="TableParagraph"/>
              <w:rPr>
                <w:sz w:val="14"/>
              </w:rPr>
            </w:pPr>
            <w:r>
              <w:rPr>
                <w:color w:val="231F20"/>
                <w:sz w:val="14"/>
              </w:rPr>
              <w:t>фије, филма, радија и телевизије у животу појединца и читавог друштва;</w:t>
            </w:r>
          </w:p>
          <w:p w:rsidR="00041039" w:rsidRDefault="001B26CB">
            <w:pPr>
              <w:pStyle w:val="TableParagraph"/>
              <w:numPr>
                <w:ilvl w:val="0"/>
                <w:numId w:val="116"/>
              </w:numPr>
              <w:tabs>
                <w:tab w:val="left" w:pos="157"/>
              </w:tabs>
              <w:spacing w:line="160" w:lineRule="exact"/>
              <w:ind w:right="205" w:hanging="99"/>
              <w:rPr>
                <w:sz w:val="14"/>
              </w:rPr>
            </w:pPr>
            <w:r>
              <w:rPr>
                <w:color w:val="231F20"/>
                <w:sz w:val="14"/>
              </w:rPr>
              <w:t>изведе закључак о значају фотогра­ фије, филма, радија и телевизије</w:t>
            </w:r>
            <w:r>
              <w:rPr>
                <w:color w:val="231F20"/>
                <w:spacing w:val="-13"/>
                <w:sz w:val="14"/>
              </w:rPr>
              <w:t xml:space="preserve"> </w:t>
            </w:r>
            <w:r>
              <w:rPr>
                <w:color w:val="231F20"/>
                <w:sz w:val="14"/>
              </w:rPr>
              <w:t>као историјских</w:t>
            </w:r>
            <w:r>
              <w:rPr>
                <w:color w:val="231F20"/>
                <w:spacing w:val="-1"/>
                <w:sz w:val="14"/>
              </w:rPr>
              <w:t xml:space="preserve"> </w:t>
            </w:r>
            <w:r>
              <w:rPr>
                <w:color w:val="231F20"/>
                <w:sz w:val="14"/>
              </w:rPr>
              <w:t>извора;</w:t>
            </w:r>
          </w:p>
          <w:p w:rsidR="00041039" w:rsidRDefault="001B26CB">
            <w:pPr>
              <w:pStyle w:val="TableParagraph"/>
              <w:numPr>
                <w:ilvl w:val="0"/>
                <w:numId w:val="116"/>
              </w:numPr>
              <w:tabs>
                <w:tab w:val="left" w:pos="157"/>
              </w:tabs>
              <w:spacing w:line="160" w:lineRule="exact"/>
              <w:ind w:right="326" w:hanging="99"/>
              <w:rPr>
                <w:sz w:val="14"/>
              </w:rPr>
            </w:pPr>
            <w:r>
              <w:rPr>
                <w:color w:val="231F20"/>
                <w:sz w:val="14"/>
              </w:rPr>
              <w:t>опише развој фотографије,</w:t>
            </w:r>
            <w:r>
              <w:rPr>
                <w:color w:val="231F20"/>
                <w:spacing w:val="-7"/>
                <w:sz w:val="14"/>
              </w:rPr>
              <w:t xml:space="preserve"> </w:t>
            </w:r>
            <w:r>
              <w:rPr>
                <w:color w:val="231F20"/>
                <w:sz w:val="14"/>
              </w:rPr>
              <w:t>филма, радија и телевизије у</w:t>
            </w:r>
            <w:r>
              <w:rPr>
                <w:color w:val="231F20"/>
                <w:spacing w:val="-4"/>
                <w:sz w:val="14"/>
              </w:rPr>
              <w:t xml:space="preserve"> </w:t>
            </w:r>
            <w:r>
              <w:rPr>
                <w:color w:val="231F20"/>
                <w:sz w:val="14"/>
              </w:rPr>
              <w:t>Србији;</w:t>
            </w:r>
          </w:p>
          <w:p w:rsidR="00041039" w:rsidRDefault="001B26CB">
            <w:pPr>
              <w:pStyle w:val="TableParagraph"/>
              <w:numPr>
                <w:ilvl w:val="0"/>
                <w:numId w:val="116"/>
              </w:numPr>
              <w:tabs>
                <w:tab w:val="left" w:pos="157"/>
              </w:tabs>
              <w:spacing w:line="160" w:lineRule="exact"/>
              <w:ind w:right="46" w:hanging="99"/>
              <w:rPr>
                <w:sz w:val="14"/>
              </w:rPr>
            </w:pPr>
            <w:r>
              <w:rPr>
                <w:color w:val="231F20"/>
                <w:sz w:val="14"/>
              </w:rPr>
              <w:t>разуме последице развоја</w:t>
            </w:r>
            <w:r>
              <w:rPr>
                <w:color w:val="231F20"/>
                <w:spacing w:val="-10"/>
                <w:sz w:val="14"/>
              </w:rPr>
              <w:t xml:space="preserve"> </w:t>
            </w:r>
            <w:r>
              <w:rPr>
                <w:color w:val="231F20"/>
                <w:sz w:val="14"/>
              </w:rPr>
              <w:t>фотографије, филма, радија и</w:t>
            </w:r>
            <w:r>
              <w:rPr>
                <w:color w:val="231F20"/>
                <w:spacing w:val="-2"/>
                <w:sz w:val="14"/>
              </w:rPr>
              <w:t xml:space="preserve"> </w:t>
            </w:r>
            <w:r>
              <w:rPr>
                <w:color w:val="231F20"/>
                <w:sz w:val="14"/>
              </w:rPr>
              <w:t>телевизије;</w:t>
            </w:r>
          </w:p>
        </w:tc>
        <w:tc>
          <w:tcPr>
            <w:tcW w:w="2834" w:type="dxa"/>
          </w:tcPr>
          <w:p w:rsidR="00041039" w:rsidRDefault="001B26CB">
            <w:pPr>
              <w:pStyle w:val="TableParagraph"/>
              <w:numPr>
                <w:ilvl w:val="0"/>
                <w:numId w:val="115"/>
              </w:numPr>
              <w:tabs>
                <w:tab w:val="left" w:pos="158"/>
              </w:tabs>
              <w:spacing w:before="12"/>
              <w:ind w:right="133"/>
              <w:rPr>
                <w:sz w:val="14"/>
              </w:rPr>
            </w:pPr>
            <w:r>
              <w:rPr>
                <w:color w:val="231F20"/>
                <w:sz w:val="14"/>
              </w:rPr>
              <w:t>Значај фотографије, филма, радија и телевизије (као техничких достигнућа, начина уметничког изражавања,</w:t>
            </w:r>
            <w:r>
              <w:rPr>
                <w:color w:val="231F20"/>
                <w:spacing w:val="-25"/>
                <w:sz w:val="14"/>
              </w:rPr>
              <w:t xml:space="preserve"> </w:t>
            </w:r>
            <w:r>
              <w:rPr>
                <w:color w:val="231F20"/>
                <w:sz w:val="14"/>
              </w:rPr>
              <w:t>средстава масовне комуникације, сазнавања и образовања, и као историјских</w:t>
            </w:r>
            <w:r>
              <w:rPr>
                <w:color w:val="231F20"/>
                <w:spacing w:val="-7"/>
                <w:sz w:val="14"/>
              </w:rPr>
              <w:t xml:space="preserve"> </w:t>
            </w:r>
            <w:r>
              <w:rPr>
                <w:color w:val="231F20"/>
                <w:sz w:val="14"/>
              </w:rPr>
              <w:t>извора).</w:t>
            </w:r>
          </w:p>
          <w:p w:rsidR="00041039" w:rsidRDefault="001B26CB">
            <w:pPr>
              <w:pStyle w:val="TableParagraph"/>
              <w:numPr>
                <w:ilvl w:val="0"/>
                <w:numId w:val="115"/>
              </w:numPr>
              <w:tabs>
                <w:tab w:val="left" w:pos="158"/>
              </w:tabs>
              <w:spacing w:line="155" w:lineRule="exact"/>
              <w:rPr>
                <w:sz w:val="14"/>
              </w:rPr>
            </w:pPr>
            <w:r>
              <w:rPr>
                <w:color w:val="231F20"/>
                <w:sz w:val="14"/>
              </w:rPr>
              <w:t>Фот</w:t>
            </w:r>
            <w:r>
              <w:rPr>
                <w:color w:val="231F20"/>
                <w:sz w:val="14"/>
              </w:rPr>
              <w:t>ографија, филм, радио и</w:t>
            </w:r>
            <w:r>
              <w:rPr>
                <w:color w:val="231F20"/>
                <w:spacing w:val="-6"/>
                <w:sz w:val="14"/>
              </w:rPr>
              <w:t xml:space="preserve"> </w:t>
            </w:r>
            <w:r>
              <w:rPr>
                <w:color w:val="231F20"/>
                <w:sz w:val="14"/>
              </w:rPr>
              <w:t>телевизија</w:t>
            </w:r>
          </w:p>
          <w:p w:rsidR="00041039" w:rsidRDefault="001B26CB">
            <w:pPr>
              <w:pStyle w:val="TableParagraph"/>
              <w:ind w:left="157"/>
              <w:rPr>
                <w:sz w:val="14"/>
              </w:rPr>
            </w:pPr>
            <w:r>
              <w:rPr>
                <w:color w:val="231F20"/>
                <w:sz w:val="14"/>
              </w:rPr>
              <w:t>кроз историју (развој ­ оптичка сочива, дагеротипија, мокра плоча, фото ­ апарат, филмска трака, покретне слике, биоскоп, радио таласи; прва филмска пројекција, филм као извор информација о догађајима; филм као масовна за</w:t>
            </w:r>
            <w:r>
              <w:rPr>
                <w:color w:val="231F20"/>
                <w:sz w:val="14"/>
              </w:rPr>
              <w:t>бава и индустрија; почетак ере звучног филма, појава ани­ мираних филмова; појава колор филмова; филмски фестивали и награде; оснивање радио ­ станица, појава телевизије; пре­ власт телевизије над другим медијима</w:t>
            </w:r>
          </w:p>
          <w:p w:rsidR="00041039" w:rsidRDefault="001B26CB">
            <w:pPr>
              <w:pStyle w:val="TableParagraph"/>
              <w:spacing w:line="150" w:lineRule="exact"/>
              <w:ind w:left="157"/>
              <w:rPr>
                <w:sz w:val="14"/>
              </w:rPr>
            </w:pPr>
            <w:r>
              <w:rPr>
                <w:color w:val="231F20"/>
                <w:sz w:val="14"/>
              </w:rPr>
              <w:t>у другој половини XX века; примери</w:t>
            </w:r>
          </w:p>
          <w:p w:rsidR="00041039" w:rsidRDefault="001B26CB">
            <w:pPr>
              <w:pStyle w:val="TableParagraph"/>
              <w:ind w:left="157"/>
              <w:rPr>
                <w:sz w:val="14"/>
              </w:rPr>
            </w:pPr>
            <w:r>
              <w:rPr>
                <w:color w:val="231F20"/>
                <w:sz w:val="14"/>
              </w:rPr>
              <w:t>злоупотр</w:t>
            </w:r>
            <w:r>
              <w:rPr>
                <w:color w:val="231F20"/>
                <w:sz w:val="14"/>
              </w:rPr>
              <w:t>ебе фотографије, филма, радија и телевизијеp у XX веку).</w:t>
            </w:r>
          </w:p>
          <w:p w:rsidR="00041039" w:rsidRDefault="001B26CB">
            <w:pPr>
              <w:pStyle w:val="TableParagraph"/>
              <w:numPr>
                <w:ilvl w:val="0"/>
                <w:numId w:val="115"/>
              </w:numPr>
              <w:tabs>
                <w:tab w:val="left" w:pos="158"/>
              </w:tabs>
              <w:spacing w:line="160" w:lineRule="exact"/>
              <w:ind w:right="47"/>
              <w:rPr>
                <w:sz w:val="14"/>
              </w:rPr>
            </w:pPr>
            <w:r>
              <w:rPr>
                <w:color w:val="231F20"/>
                <w:sz w:val="14"/>
              </w:rPr>
              <w:t>Фотографија, филм, радио и телевизија у Србији некад и сад (делатност дворског</w:t>
            </w:r>
            <w:r>
              <w:rPr>
                <w:color w:val="231F20"/>
                <w:spacing w:val="-15"/>
                <w:sz w:val="14"/>
              </w:rPr>
              <w:t xml:space="preserve"> </w:t>
            </w:r>
            <w:r>
              <w:rPr>
                <w:color w:val="231F20"/>
                <w:sz w:val="14"/>
              </w:rPr>
              <w:t>фо­ тографа Анастаса Јовановића, породични фото ­ албуми, прва филмска пројекција у Србији 1896. први српски филмови и био­ скопи; почетак рада прве радио ­</w:t>
            </w:r>
            <w:r>
              <w:rPr>
                <w:color w:val="231F20"/>
                <w:spacing w:val="-8"/>
                <w:sz w:val="14"/>
              </w:rPr>
              <w:t xml:space="preserve"> </w:t>
            </w:r>
            <w:r>
              <w:rPr>
                <w:color w:val="231F20"/>
                <w:sz w:val="14"/>
              </w:rPr>
              <w:t>станице</w:t>
            </w:r>
          </w:p>
          <w:p w:rsidR="00041039" w:rsidRDefault="001B26CB">
            <w:pPr>
              <w:pStyle w:val="TableParagraph"/>
              <w:spacing w:line="237" w:lineRule="auto"/>
              <w:ind w:left="157"/>
              <w:rPr>
                <w:sz w:val="14"/>
              </w:rPr>
            </w:pPr>
            <w:r>
              <w:rPr>
                <w:color w:val="231F20"/>
                <w:sz w:val="14"/>
              </w:rPr>
              <w:t>- Радио Београда 1929. јавна демонстрација телевизије на сајму у Београду 1939. тајно праће</w:t>
            </w:r>
            <w:r>
              <w:rPr>
                <w:color w:val="231F20"/>
                <w:sz w:val="14"/>
              </w:rPr>
              <w:t>ње програма Радио Лондона за време окупације, оснивање Телевизије Београд 1958. кућни радио и ТВ апарати као показа­ тељи животног стандарда).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600"/>
        </w:trPr>
        <w:tc>
          <w:tcPr>
            <w:tcW w:w="1304" w:type="dxa"/>
          </w:tcPr>
          <w:p w:rsidR="00041039" w:rsidRDefault="001B26CB">
            <w:pPr>
              <w:pStyle w:val="TableParagraph"/>
              <w:spacing w:before="18"/>
              <w:ind w:left="56" w:right="360"/>
              <w:rPr>
                <w:sz w:val="14"/>
              </w:rPr>
            </w:pPr>
            <w:r>
              <w:rPr>
                <w:color w:val="231F20"/>
                <w:sz w:val="14"/>
              </w:rPr>
              <w:lastRenderedPageBreak/>
              <w:t>Брига о телу и здрављу кроз историју</w:t>
            </w:r>
          </w:p>
        </w:tc>
        <w:tc>
          <w:tcPr>
            <w:tcW w:w="1587" w:type="dxa"/>
          </w:tcPr>
          <w:p w:rsidR="00041039" w:rsidRDefault="001B26CB">
            <w:pPr>
              <w:pStyle w:val="TableParagraph"/>
              <w:numPr>
                <w:ilvl w:val="0"/>
                <w:numId w:val="114"/>
              </w:numPr>
              <w:tabs>
                <w:tab w:val="left" w:pos="157"/>
              </w:tabs>
              <w:spacing w:before="8"/>
              <w:ind w:right="83"/>
              <w:jc w:val="both"/>
              <w:rPr>
                <w:sz w:val="14"/>
              </w:rPr>
            </w:pPr>
            <w:r>
              <w:rPr>
                <w:color w:val="231F20"/>
                <w:sz w:val="14"/>
              </w:rPr>
              <w:t>Продубљивање знања о развоју здравствене културе кроз</w:t>
            </w:r>
            <w:r>
              <w:rPr>
                <w:color w:val="231F20"/>
                <w:spacing w:val="-28"/>
                <w:sz w:val="14"/>
              </w:rPr>
              <w:t xml:space="preserve"> </w:t>
            </w:r>
            <w:r>
              <w:rPr>
                <w:color w:val="231F20"/>
                <w:sz w:val="14"/>
              </w:rPr>
              <w:t>историју.</w:t>
            </w:r>
          </w:p>
          <w:p w:rsidR="00041039" w:rsidRDefault="001B26CB">
            <w:pPr>
              <w:pStyle w:val="TableParagraph"/>
              <w:numPr>
                <w:ilvl w:val="0"/>
                <w:numId w:val="114"/>
              </w:numPr>
              <w:tabs>
                <w:tab w:val="left" w:pos="157"/>
              </w:tabs>
              <w:spacing w:line="157" w:lineRule="exact"/>
              <w:rPr>
                <w:sz w:val="14"/>
              </w:rPr>
            </w:pPr>
            <w:r>
              <w:rPr>
                <w:color w:val="231F20"/>
                <w:spacing w:val="-3"/>
                <w:sz w:val="14"/>
              </w:rPr>
              <w:t xml:space="preserve">Уочавање </w:t>
            </w:r>
            <w:r>
              <w:rPr>
                <w:color w:val="231F20"/>
                <w:sz w:val="14"/>
              </w:rPr>
              <w:t>утицаја еко­</w:t>
            </w:r>
          </w:p>
          <w:p w:rsidR="00041039" w:rsidRDefault="001B26CB">
            <w:pPr>
              <w:pStyle w:val="TableParagraph"/>
              <w:ind w:right="15"/>
              <w:rPr>
                <w:sz w:val="14"/>
              </w:rPr>
            </w:pPr>
            <w:r>
              <w:rPr>
                <w:color w:val="231F20"/>
                <w:sz w:val="14"/>
              </w:rPr>
              <w:t>номског и културног развитка на степен здравствене културе.</w:t>
            </w:r>
          </w:p>
          <w:p w:rsidR="00041039" w:rsidRDefault="001B26CB">
            <w:pPr>
              <w:pStyle w:val="TableParagraph"/>
              <w:numPr>
                <w:ilvl w:val="0"/>
                <w:numId w:val="114"/>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здравствене културе код Срба.</w:t>
            </w:r>
          </w:p>
        </w:tc>
        <w:tc>
          <w:tcPr>
            <w:tcW w:w="2551" w:type="dxa"/>
          </w:tcPr>
          <w:p w:rsidR="00041039" w:rsidRDefault="001B26CB">
            <w:pPr>
              <w:pStyle w:val="TableParagraph"/>
              <w:numPr>
                <w:ilvl w:val="0"/>
                <w:numId w:val="113"/>
              </w:numPr>
              <w:tabs>
                <w:tab w:val="left" w:pos="157"/>
              </w:tabs>
              <w:spacing w:before="8"/>
              <w:ind w:right="94" w:hanging="99"/>
              <w:rPr>
                <w:sz w:val="14"/>
              </w:rPr>
            </w:pPr>
            <w:r>
              <w:rPr>
                <w:color w:val="231F20"/>
                <w:sz w:val="14"/>
              </w:rPr>
              <w:t>уочи основна обележја развоја</w:t>
            </w:r>
            <w:r>
              <w:rPr>
                <w:color w:val="231F20"/>
                <w:spacing w:val="-13"/>
                <w:sz w:val="14"/>
              </w:rPr>
              <w:t xml:space="preserve"> </w:t>
            </w:r>
            <w:r>
              <w:rPr>
                <w:color w:val="231F20"/>
                <w:sz w:val="14"/>
              </w:rPr>
              <w:t xml:space="preserve">здравс­ твене културе </w:t>
            </w:r>
            <w:r>
              <w:rPr>
                <w:color w:val="231F20"/>
                <w:spacing w:val="-3"/>
                <w:sz w:val="14"/>
              </w:rPr>
              <w:t xml:space="preserve">од </w:t>
            </w:r>
            <w:r>
              <w:rPr>
                <w:color w:val="231F20"/>
                <w:sz w:val="14"/>
              </w:rPr>
              <w:t>антике до</w:t>
            </w:r>
            <w:r>
              <w:rPr>
                <w:color w:val="231F20"/>
                <w:spacing w:val="-4"/>
                <w:sz w:val="14"/>
              </w:rPr>
              <w:t xml:space="preserve"> </w:t>
            </w:r>
            <w:r>
              <w:rPr>
                <w:color w:val="231F20"/>
                <w:sz w:val="14"/>
              </w:rPr>
              <w:t>данас;</w:t>
            </w:r>
          </w:p>
          <w:p w:rsidR="00041039" w:rsidRDefault="001B26CB">
            <w:pPr>
              <w:pStyle w:val="TableParagraph"/>
              <w:numPr>
                <w:ilvl w:val="0"/>
                <w:numId w:val="113"/>
              </w:numPr>
              <w:tabs>
                <w:tab w:val="left" w:pos="157"/>
              </w:tabs>
              <w:spacing w:line="160" w:lineRule="exact"/>
              <w:ind w:right="43" w:hanging="99"/>
              <w:rPr>
                <w:sz w:val="14"/>
              </w:rPr>
            </w:pPr>
            <w:r>
              <w:rPr>
                <w:color w:val="231F20"/>
                <w:sz w:val="14"/>
              </w:rPr>
              <w:t xml:space="preserve">уочи основна обележја развоја здрав­ ствене културе </w:t>
            </w:r>
            <w:r>
              <w:rPr>
                <w:color w:val="231F20"/>
                <w:spacing w:val="-5"/>
                <w:sz w:val="14"/>
              </w:rPr>
              <w:t xml:space="preserve">код </w:t>
            </w:r>
            <w:r>
              <w:rPr>
                <w:color w:val="231F20"/>
                <w:sz w:val="14"/>
              </w:rPr>
              <w:t>Срба кроз</w:t>
            </w:r>
            <w:r>
              <w:rPr>
                <w:color w:val="231F20"/>
                <w:spacing w:val="-16"/>
                <w:sz w:val="14"/>
              </w:rPr>
              <w:t xml:space="preserve"> </w:t>
            </w:r>
            <w:r>
              <w:rPr>
                <w:color w:val="231F20"/>
                <w:sz w:val="14"/>
              </w:rPr>
              <w:t>историју;</w:t>
            </w:r>
          </w:p>
          <w:p w:rsidR="00041039" w:rsidRDefault="001B26CB">
            <w:pPr>
              <w:pStyle w:val="TableParagraph"/>
              <w:numPr>
                <w:ilvl w:val="0"/>
                <w:numId w:val="113"/>
              </w:numPr>
              <w:tabs>
                <w:tab w:val="left" w:pos="157"/>
              </w:tabs>
              <w:spacing w:line="160" w:lineRule="exact"/>
              <w:ind w:right="269" w:hanging="99"/>
              <w:rPr>
                <w:sz w:val="14"/>
              </w:rPr>
            </w:pPr>
            <w:r>
              <w:rPr>
                <w:color w:val="231F20"/>
                <w:sz w:val="14"/>
              </w:rPr>
              <w:t>наведе и упореди различите</w:t>
            </w:r>
            <w:r>
              <w:rPr>
                <w:color w:val="231F20"/>
                <w:spacing w:val="-15"/>
                <w:sz w:val="14"/>
              </w:rPr>
              <w:t xml:space="preserve"> </w:t>
            </w:r>
            <w:r>
              <w:rPr>
                <w:color w:val="231F20"/>
                <w:sz w:val="14"/>
              </w:rPr>
              <w:t>методе лечења кроз</w:t>
            </w:r>
            <w:r>
              <w:rPr>
                <w:color w:val="231F20"/>
                <w:spacing w:val="-1"/>
                <w:sz w:val="14"/>
              </w:rPr>
              <w:t xml:space="preserve"> </w:t>
            </w:r>
            <w:r>
              <w:rPr>
                <w:color w:val="231F20"/>
                <w:sz w:val="14"/>
              </w:rPr>
              <w:t>историју;</w:t>
            </w:r>
          </w:p>
          <w:p w:rsidR="00041039" w:rsidRDefault="001B26CB">
            <w:pPr>
              <w:pStyle w:val="TableParagraph"/>
              <w:numPr>
                <w:ilvl w:val="0"/>
                <w:numId w:val="113"/>
              </w:numPr>
              <w:tabs>
                <w:tab w:val="left" w:pos="157"/>
              </w:tabs>
              <w:spacing w:line="160" w:lineRule="exact"/>
              <w:ind w:right="76" w:hanging="99"/>
              <w:rPr>
                <w:sz w:val="14"/>
              </w:rPr>
            </w:pPr>
            <w:r>
              <w:rPr>
                <w:color w:val="231F20"/>
                <w:sz w:val="14"/>
              </w:rPr>
              <w:t>разуме повезаност степена</w:t>
            </w:r>
            <w:r>
              <w:rPr>
                <w:color w:val="231F20"/>
                <w:spacing w:val="-24"/>
                <w:sz w:val="14"/>
              </w:rPr>
              <w:t xml:space="preserve"> </w:t>
            </w:r>
            <w:r>
              <w:rPr>
                <w:color w:val="231F20"/>
                <w:sz w:val="14"/>
              </w:rPr>
              <w:t>економског и културног развитка и здравствене културе;</w:t>
            </w:r>
          </w:p>
          <w:p w:rsidR="00041039" w:rsidRDefault="001B26CB">
            <w:pPr>
              <w:pStyle w:val="TableParagraph"/>
              <w:numPr>
                <w:ilvl w:val="0"/>
                <w:numId w:val="113"/>
              </w:numPr>
              <w:tabs>
                <w:tab w:val="left" w:pos="157"/>
              </w:tabs>
              <w:spacing w:line="160" w:lineRule="exact"/>
              <w:ind w:right="94" w:hanging="99"/>
              <w:rPr>
                <w:sz w:val="14"/>
              </w:rPr>
            </w:pPr>
            <w:r>
              <w:rPr>
                <w:color w:val="231F20"/>
                <w:sz w:val="14"/>
              </w:rPr>
              <w:t>разуме значај хуманитарних</w:t>
            </w:r>
            <w:r>
              <w:rPr>
                <w:color w:val="231F20"/>
                <w:spacing w:val="-20"/>
                <w:sz w:val="14"/>
              </w:rPr>
              <w:t xml:space="preserve"> </w:t>
            </w:r>
            <w:r>
              <w:rPr>
                <w:color w:val="231F20"/>
                <w:sz w:val="14"/>
              </w:rPr>
              <w:t>организа­ ција и њиховог</w:t>
            </w:r>
            <w:r>
              <w:rPr>
                <w:color w:val="231F20"/>
                <w:spacing w:val="-4"/>
                <w:sz w:val="14"/>
              </w:rPr>
              <w:t xml:space="preserve"> </w:t>
            </w:r>
            <w:r>
              <w:rPr>
                <w:color w:val="231F20"/>
                <w:sz w:val="14"/>
              </w:rPr>
              <w:t>деловања;</w:t>
            </w:r>
          </w:p>
        </w:tc>
        <w:tc>
          <w:tcPr>
            <w:tcW w:w="2834" w:type="dxa"/>
          </w:tcPr>
          <w:p w:rsidR="00041039" w:rsidRDefault="001B26CB">
            <w:pPr>
              <w:pStyle w:val="TableParagraph"/>
              <w:numPr>
                <w:ilvl w:val="0"/>
                <w:numId w:val="112"/>
              </w:numPr>
              <w:tabs>
                <w:tab w:val="left" w:pos="157"/>
              </w:tabs>
              <w:spacing w:before="8"/>
              <w:ind w:right="210" w:hanging="99"/>
              <w:rPr>
                <w:sz w:val="14"/>
              </w:rPr>
            </w:pPr>
            <w:r>
              <w:rPr>
                <w:color w:val="231F20"/>
                <w:sz w:val="14"/>
              </w:rPr>
              <w:t xml:space="preserve">Брига о телу и здрављу </w:t>
            </w:r>
            <w:r>
              <w:rPr>
                <w:color w:val="231F20"/>
                <w:spacing w:val="-3"/>
                <w:sz w:val="14"/>
              </w:rPr>
              <w:t xml:space="preserve">од </w:t>
            </w:r>
            <w:r>
              <w:rPr>
                <w:color w:val="231F20"/>
                <w:sz w:val="14"/>
              </w:rPr>
              <w:t>антике до данас (болести људи, хигијенски услови, епидемије, развој медицине,</w:t>
            </w:r>
            <w:r>
              <w:rPr>
                <w:color w:val="231F20"/>
                <w:spacing w:val="-5"/>
                <w:sz w:val="14"/>
              </w:rPr>
              <w:t xml:space="preserve"> </w:t>
            </w:r>
            <w:r>
              <w:rPr>
                <w:color w:val="231F20"/>
                <w:sz w:val="14"/>
              </w:rPr>
              <w:t>медицински инструменти, лекови и лековито</w:t>
            </w:r>
            <w:r>
              <w:rPr>
                <w:color w:val="231F20"/>
                <w:spacing w:val="-14"/>
                <w:sz w:val="14"/>
              </w:rPr>
              <w:t xml:space="preserve"> </w:t>
            </w:r>
            <w:r>
              <w:rPr>
                <w:color w:val="231F20"/>
                <w:sz w:val="14"/>
              </w:rPr>
              <w:t>биље,</w:t>
            </w:r>
          </w:p>
          <w:p w:rsidR="00041039" w:rsidRDefault="001B26CB">
            <w:pPr>
              <w:pStyle w:val="TableParagraph"/>
              <w:spacing w:line="237" w:lineRule="auto"/>
              <w:ind w:right="48"/>
              <w:rPr>
                <w:sz w:val="14"/>
              </w:rPr>
            </w:pPr>
            <w:r>
              <w:rPr>
                <w:color w:val="231F20"/>
                <w:sz w:val="14"/>
              </w:rPr>
              <w:t>здравствене установе ­ манастирске болни­ це, санаторијуми, стационар</w:t>
            </w:r>
            <w:r>
              <w:rPr>
                <w:color w:val="231F20"/>
                <w:sz w:val="14"/>
              </w:rPr>
              <w:t>и, домови</w:t>
            </w:r>
            <w:r>
              <w:rPr>
                <w:color w:val="231F20"/>
                <w:spacing w:val="-15"/>
                <w:sz w:val="14"/>
              </w:rPr>
              <w:t xml:space="preserve"> </w:t>
            </w:r>
            <w:r>
              <w:rPr>
                <w:color w:val="231F20"/>
                <w:sz w:val="14"/>
              </w:rPr>
              <w:t>здра­ вља, апотеке; начини здравствене заштите и превентиве, хуманитарне</w:t>
            </w:r>
            <w:r>
              <w:rPr>
                <w:color w:val="231F20"/>
                <w:spacing w:val="-8"/>
                <w:sz w:val="14"/>
              </w:rPr>
              <w:t xml:space="preserve"> </w:t>
            </w:r>
            <w:r>
              <w:rPr>
                <w:color w:val="231F20"/>
                <w:sz w:val="14"/>
              </w:rPr>
              <w:t>организације).</w:t>
            </w:r>
          </w:p>
          <w:p w:rsidR="00041039" w:rsidRDefault="001B26CB">
            <w:pPr>
              <w:pStyle w:val="TableParagraph"/>
              <w:numPr>
                <w:ilvl w:val="0"/>
                <w:numId w:val="112"/>
              </w:numPr>
              <w:tabs>
                <w:tab w:val="left" w:pos="157"/>
              </w:tabs>
              <w:spacing w:line="237" w:lineRule="auto"/>
              <w:ind w:right="55" w:hanging="99"/>
              <w:rPr>
                <w:sz w:val="14"/>
              </w:rPr>
            </w:pPr>
            <w:r>
              <w:rPr>
                <w:color w:val="231F20"/>
                <w:sz w:val="14"/>
              </w:rPr>
              <w:t xml:space="preserve">Брига о телу и здрављу </w:t>
            </w:r>
            <w:r>
              <w:rPr>
                <w:color w:val="231F20"/>
                <w:spacing w:val="-5"/>
                <w:sz w:val="14"/>
              </w:rPr>
              <w:t xml:space="preserve">код </w:t>
            </w:r>
            <w:r>
              <w:rPr>
                <w:color w:val="231F20"/>
                <w:sz w:val="14"/>
              </w:rPr>
              <w:t>Срба (утицај животних услова и хигијенских прилика на појаву болести; најчешће болести и епиде­ мије, народна медицина и надрилекар</w:t>
            </w:r>
            <w:r>
              <w:rPr>
                <w:color w:val="231F20"/>
                <w:sz w:val="14"/>
              </w:rPr>
              <w:t>ство, манастирске болнице; прве болнице и лекари, отварање болница у Србији у</w:t>
            </w:r>
            <w:r>
              <w:rPr>
                <w:color w:val="231F20"/>
                <w:spacing w:val="-20"/>
                <w:sz w:val="14"/>
              </w:rPr>
              <w:t xml:space="preserve"> </w:t>
            </w:r>
            <w:r>
              <w:rPr>
                <w:color w:val="231F20"/>
                <w:sz w:val="14"/>
              </w:rPr>
              <w:t>време кнеза Милоша, оснивање Медицинског факултета у</w:t>
            </w:r>
            <w:r>
              <w:rPr>
                <w:color w:val="231F20"/>
                <w:spacing w:val="-2"/>
                <w:sz w:val="14"/>
              </w:rPr>
              <w:t xml:space="preserve"> </w:t>
            </w:r>
            <w:r>
              <w:rPr>
                <w:color w:val="231F20"/>
                <w:sz w:val="14"/>
              </w:rPr>
              <w:t>Београду...).</w:t>
            </w:r>
          </w:p>
        </w:tc>
        <w:tc>
          <w:tcPr>
            <w:tcW w:w="2267" w:type="dxa"/>
            <w:vMerge w:val="restart"/>
            <w:tcBorders>
              <w:bottom w:val="nil"/>
            </w:tcBorders>
          </w:tcPr>
          <w:p w:rsidR="00041039" w:rsidRDefault="001B26CB">
            <w:pPr>
              <w:pStyle w:val="TableParagraph"/>
              <w:spacing w:before="18"/>
              <w:ind w:left="58" w:right="51"/>
              <w:rPr>
                <w:sz w:val="14"/>
              </w:rPr>
            </w:pPr>
            <w:r>
              <w:rPr>
                <w:color w:val="231F20"/>
                <w:sz w:val="14"/>
              </w:rPr>
              <w:t xml:space="preserve">П. Ј. Марковић, </w:t>
            </w:r>
            <w:r>
              <w:rPr>
                <w:i/>
                <w:color w:val="231F20"/>
                <w:sz w:val="14"/>
              </w:rPr>
              <w:t>Трајност и промена. Друштвена историја социјалистичке свакодневице у Југославији и Србији</w:t>
            </w:r>
            <w:r>
              <w:rPr>
                <w:color w:val="231F20"/>
                <w:sz w:val="14"/>
              </w:rPr>
              <w:t xml:space="preserve">, Београд 2007. М. Милићевић, </w:t>
            </w:r>
            <w:r>
              <w:rPr>
                <w:i/>
                <w:color w:val="231F20"/>
                <w:sz w:val="14"/>
              </w:rPr>
              <w:t>Грб Србије: развој кроз историју</w:t>
            </w:r>
            <w:r>
              <w:rPr>
                <w:color w:val="231F20"/>
                <w:sz w:val="14"/>
              </w:rPr>
              <w:t>, Београд 1995.</w:t>
            </w:r>
          </w:p>
          <w:p w:rsidR="00041039" w:rsidRDefault="001B26CB">
            <w:pPr>
              <w:pStyle w:val="TableParagraph"/>
              <w:spacing w:line="237" w:lineRule="auto"/>
              <w:ind w:left="58" w:right="104"/>
              <w:rPr>
                <w:sz w:val="14"/>
              </w:rPr>
            </w:pPr>
            <w:r>
              <w:rPr>
                <w:color w:val="231F20"/>
                <w:sz w:val="14"/>
              </w:rPr>
              <w:t xml:space="preserve">Ј. Миодраговић, </w:t>
            </w:r>
            <w:r>
              <w:rPr>
                <w:i/>
                <w:color w:val="231F20"/>
                <w:sz w:val="14"/>
              </w:rPr>
              <w:t>Народна педагогија у Срба или како наш народ подиже пород свој</w:t>
            </w:r>
            <w:r>
              <w:rPr>
                <w:color w:val="231F20"/>
                <w:sz w:val="14"/>
              </w:rPr>
              <w:t>, Београд 1914.</w:t>
            </w:r>
          </w:p>
          <w:p w:rsidR="00041039" w:rsidRDefault="001B26CB">
            <w:pPr>
              <w:pStyle w:val="TableParagraph"/>
              <w:ind w:left="58" w:right="25"/>
              <w:rPr>
                <w:sz w:val="14"/>
              </w:rPr>
            </w:pPr>
            <w:r>
              <w:rPr>
                <w:color w:val="231F20"/>
                <w:sz w:val="14"/>
              </w:rPr>
              <w:t xml:space="preserve">Д. Мрђеновић, А. Палавестра, Д. Спасић, </w:t>
            </w:r>
            <w:r>
              <w:rPr>
                <w:i/>
                <w:color w:val="231F20"/>
                <w:sz w:val="14"/>
              </w:rPr>
              <w:t xml:space="preserve">Родословне таблице и </w:t>
            </w:r>
            <w:r>
              <w:rPr>
                <w:i/>
                <w:color w:val="231F20"/>
                <w:sz w:val="14"/>
              </w:rPr>
              <w:t>грбови српских династија и власте- ле</w:t>
            </w:r>
            <w:r>
              <w:rPr>
                <w:color w:val="231F20"/>
                <w:sz w:val="14"/>
              </w:rPr>
              <w:t>, Београд 1987.</w:t>
            </w:r>
          </w:p>
          <w:p w:rsidR="00041039" w:rsidRDefault="001B26CB">
            <w:pPr>
              <w:pStyle w:val="TableParagraph"/>
              <w:spacing w:line="237" w:lineRule="auto"/>
              <w:ind w:left="58"/>
              <w:rPr>
                <w:sz w:val="14"/>
              </w:rPr>
            </w:pPr>
            <w:r>
              <w:rPr>
                <w:i/>
                <w:color w:val="231F20"/>
                <w:sz w:val="14"/>
              </w:rPr>
              <w:t>Образовање код Срба кроз векове</w:t>
            </w:r>
            <w:r>
              <w:rPr>
                <w:color w:val="231F20"/>
                <w:sz w:val="14"/>
              </w:rPr>
              <w:t>, Београд 2001.</w:t>
            </w:r>
          </w:p>
          <w:p w:rsidR="00041039" w:rsidRDefault="001B26CB">
            <w:pPr>
              <w:pStyle w:val="TableParagraph"/>
              <w:ind w:left="58"/>
              <w:rPr>
                <w:sz w:val="14"/>
              </w:rPr>
            </w:pPr>
            <w:r>
              <w:rPr>
                <w:color w:val="231F20"/>
                <w:sz w:val="14"/>
              </w:rPr>
              <w:t xml:space="preserve">Е. Пирсон, </w:t>
            </w:r>
            <w:r>
              <w:rPr>
                <w:i/>
                <w:color w:val="231F20"/>
                <w:sz w:val="14"/>
              </w:rPr>
              <w:t>Стара Грчка</w:t>
            </w:r>
            <w:r>
              <w:rPr>
                <w:color w:val="231F20"/>
                <w:sz w:val="14"/>
              </w:rPr>
              <w:t>, Београд 2006.</w:t>
            </w:r>
          </w:p>
          <w:p w:rsidR="00041039" w:rsidRDefault="001B26CB">
            <w:pPr>
              <w:pStyle w:val="TableParagraph"/>
              <w:ind w:left="58" w:right="31"/>
              <w:rPr>
                <w:sz w:val="14"/>
              </w:rPr>
            </w:pPr>
            <w:r>
              <w:rPr>
                <w:color w:val="231F20"/>
                <w:sz w:val="14"/>
              </w:rPr>
              <w:t xml:space="preserve">Р. Плат, </w:t>
            </w:r>
            <w:r>
              <w:rPr>
                <w:i/>
                <w:color w:val="231F20"/>
                <w:sz w:val="14"/>
              </w:rPr>
              <w:t>Свет филма</w:t>
            </w:r>
            <w:r>
              <w:rPr>
                <w:color w:val="231F20"/>
                <w:sz w:val="14"/>
              </w:rPr>
              <w:t xml:space="preserve">, Београд 2006. </w:t>
            </w:r>
            <w:r>
              <w:rPr>
                <w:i/>
                <w:color w:val="231F20"/>
                <w:sz w:val="14"/>
              </w:rPr>
              <w:t>Приватни живот у српским земљама средњег века</w:t>
            </w:r>
            <w:r>
              <w:rPr>
                <w:color w:val="231F20"/>
                <w:sz w:val="14"/>
              </w:rPr>
              <w:t xml:space="preserve">, приредиле С. Марјановић ­ Душанић и </w:t>
            </w:r>
            <w:r>
              <w:rPr>
                <w:color w:val="231F20"/>
                <w:sz w:val="14"/>
              </w:rPr>
              <w:t>Д. Поповић, Београд 2004.</w:t>
            </w:r>
          </w:p>
          <w:p w:rsidR="00041039" w:rsidRDefault="001B26CB">
            <w:pPr>
              <w:pStyle w:val="TableParagraph"/>
              <w:spacing w:line="237" w:lineRule="auto"/>
              <w:ind w:left="58"/>
              <w:rPr>
                <w:sz w:val="14"/>
              </w:rPr>
            </w:pPr>
            <w:r>
              <w:rPr>
                <w:i/>
                <w:color w:val="231F20"/>
                <w:sz w:val="14"/>
              </w:rPr>
              <w:t>Приватни живот у српским земљама у освит модерног доба</w:t>
            </w:r>
            <w:r>
              <w:rPr>
                <w:color w:val="231F20"/>
                <w:sz w:val="14"/>
              </w:rPr>
              <w:t xml:space="preserve">, приредио А. Фотић, Београд 2005. </w:t>
            </w:r>
            <w:r>
              <w:rPr>
                <w:i/>
                <w:color w:val="231F20"/>
                <w:sz w:val="14"/>
              </w:rPr>
              <w:t>Приватни живот код Срба у деветнаестом веку. Од краја осам- наестог века до Првог светског рата</w:t>
            </w:r>
            <w:r>
              <w:rPr>
                <w:color w:val="231F20"/>
                <w:sz w:val="14"/>
              </w:rPr>
              <w:t xml:space="preserve">, приредили А. Столић и Н. Макуљевић, Београд </w:t>
            </w:r>
            <w:r>
              <w:rPr>
                <w:color w:val="231F20"/>
                <w:sz w:val="14"/>
              </w:rPr>
              <w:t>2006.</w:t>
            </w:r>
          </w:p>
          <w:p w:rsidR="00041039" w:rsidRDefault="001B26CB">
            <w:pPr>
              <w:pStyle w:val="TableParagraph"/>
              <w:ind w:left="58"/>
              <w:rPr>
                <w:sz w:val="14"/>
              </w:rPr>
            </w:pPr>
            <w:r>
              <w:rPr>
                <w:i/>
                <w:color w:val="231F20"/>
                <w:sz w:val="14"/>
              </w:rPr>
              <w:t>Приватни живот код Срба у двадесетом веку</w:t>
            </w:r>
            <w:r>
              <w:rPr>
                <w:color w:val="231F20"/>
                <w:sz w:val="14"/>
              </w:rPr>
              <w:t>, приредио М. Ристовић, Београд 2007.</w:t>
            </w:r>
          </w:p>
          <w:p w:rsidR="00041039" w:rsidRDefault="001B26CB">
            <w:pPr>
              <w:pStyle w:val="TableParagraph"/>
              <w:spacing w:line="237" w:lineRule="auto"/>
              <w:ind w:left="58" w:right="61"/>
              <w:rPr>
                <w:sz w:val="14"/>
              </w:rPr>
            </w:pPr>
            <w:r>
              <w:rPr>
                <w:color w:val="231F20"/>
                <w:sz w:val="14"/>
              </w:rPr>
              <w:t xml:space="preserve">Р. Радић, </w:t>
            </w:r>
            <w:r>
              <w:rPr>
                <w:i/>
                <w:color w:val="231F20"/>
                <w:sz w:val="14"/>
              </w:rPr>
              <w:t>Страху позној Византији I-II</w:t>
            </w:r>
            <w:r>
              <w:rPr>
                <w:color w:val="231F20"/>
                <w:sz w:val="14"/>
              </w:rPr>
              <w:t>, Београд 2000.</w:t>
            </w:r>
          </w:p>
          <w:p w:rsidR="00041039" w:rsidRDefault="001B26CB">
            <w:pPr>
              <w:pStyle w:val="TableParagraph"/>
              <w:ind w:left="58"/>
              <w:rPr>
                <w:sz w:val="14"/>
              </w:rPr>
            </w:pPr>
            <w:r>
              <w:rPr>
                <w:color w:val="231F20"/>
                <w:sz w:val="14"/>
              </w:rPr>
              <w:t xml:space="preserve">Р. Радић, </w:t>
            </w:r>
            <w:r>
              <w:rPr>
                <w:i/>
                <w:color w:val="231F20"/>
                <w:sz w:val="14"/>
              </w:rPr>
              <w:t>Византија - пурпур и пергамент</w:t>
            </w:r>
            <w:r>
              <w:rPr>
                <w:color w:val="231F20"/>
                <w:sz w:val="14"/>
              </w:rPr>
              <w:t>, Београд 2006.</w:t>
            </w:r>
          </w:p>
          <w:p w:rsidR="00041039" w:rsidRDefault="001B26CB">
            <w:pPr>
              <w:pStyle w:val="TableParagraph"/>
              <w:ind w:left="58"/>
              <w:rPr>
                <w:sz w:val="14"/>
              </w:rPr>
            </w:pPr>
            <w:r>
              <w:rPr>
                <w:color w:val="231F20"/>
                <w:sz w:val="14"/>
              </w:rPr>
              <w:t xml:space="preserve">Р. Радић, </w:t>
            </w:r>
            <w:r>
              <w:rPr>
                <w:i/>
                <w:color w:val="231F20"/>
                <w:sz w:val="14"/>
              </w:rPr>
              <w:t>Цариград - приче са Босфора</w:t>
            </w:r>
            <w:r>
              <w:rPr>
                <w:color w:val="231F20"/>
                <w:sz w:val="14"/>
              </w:rPr>
              <w:t>, Београд 2007.</w:t>
            </w:r>
          </w:p>
          <w:p w:rsidR="00041039" w:rsidRDefault="001B26CB">
            <w:pPr>
              <w:pStyle w:val="TableParagraph"/>
              <w:ind w:left="58"/>
              <w:rPr>
                <w:sz w:val="14"/>
              </w:rPr>
            </w:pPr>
            <w:r>
              <w:rPr>
                <w:i/>
                <w:color w:val="231F20"/>
                <w:sz w:val="14"/>
              </w:rPr>
              <w:t>Службено</w:t>
            </w:r>
            <w:r>
              <w:rPr>
                <w:i/>
                <w:color w:val="231F20"/>
                <w:sz w:val="14"/>
              </w:rPr>
              <w:t xml:space="preserve"> одело у Србији у 19. и 20. веку</w:t>
            </w:r>
            <w:r>
              <w:rPr>
                <w:color w:val="231F20"/>
                <w:sz w:val="14"/>
              </w:rPr>
              <w:t>, Београд 2001.</w:t>
            </w:r>
          </w:p>
          <w:p w:rsidR="00041039" w:rsidRDefault="001B26CB">
            <w:pPr>
              <w:pStyle w:val="TableParagraph"/>
              <w:ind w:left="58"/>
              <w:rPr>
                <w:sz w:val="14"/>
              </w:rPr>
            </w:pPr>
            <w:r>
              <w:rPr>
                <w:color w:val="231F20"/>
                <w:sz w:val="14"/>
              </w:rPr>
              <w:t xml:space="preserve">Д. Стојановић, </w:t>
            </w:r>
            <w:r>
              <w:rPr>
                <w:i/>
                <w:color w:val="231F20"/>
                <w:sz w:val="14"/>
              </w:rPr>
              <w:t>Калдрма и асфалт. Урбанизација и европеизација Београда 1890 - 1914</w:t>
            </w:r>
            <w:r>
              <w:rPr>
                <w:color w:val="231F20"/>
                <w:sz w:val="14"/>
              </w:rPr>
              <w:t xml:space="preserve">, Београд 2008. Ж. Стојановић, </w:t>
            </w:r>
            <w:r>
              <w:rPr>
                <w:i/>
                <w:color w:val="231F20"/>
                <w:sz w:val="14"/>
              </w:rPr>
              <w:t>Папирни новац Србије и Југославије</w:t>
            </w:r>
            <w:r>
              <w:rPr>
                <w:color w:val="231F20"/>
                <w:sz w:val="14"/>
              </w:rPr>
              <w:t xml:space="preserve">, Београд 1996. Н. Томас, Д. Бабац, </w:t>
            </w:r>
            <w:r>
              <w:rPr>
                <w:i/>
                <w:color w:val="231F20"/>
                <w:sz w:val="14"/>
              </w:rPr>
              <w:t xml:space="preserve">Армије на Балкану 1914 - </w:t>
            </w:r>
            <w:r>
              <w:rPr>
                <w:i/>
                <w:color w:val="231F20"/>
                <w:sz w:val="14"/>
              </w:rPr>
              <w:t>1918</w:t>
            </w:r>
            <w:r>
              <w:rPr>
                <w:color w:val="231F20"/>
                <w:sz w:val="14"/>
              </w:rPr>
              <w:t xml:space="preserve">, Београд 2006, Џ. Харт, </w:t>
            </w:r>
            <w:r>
              <w:rPr>
                <w:i/>
                <w:color w:val="231F20"/>
                <w:sz w:val="14"/>
              </w:rPr>
              <w:t>Стари Египат</w:t>
            </w:r>
            <w:r>
              <w:rPr>
                <w:color w:val="231F20"/>
                <w:sz w:val="14"/>
              </w:rPr>
              <w:t>, Београд 2006.</w:t>
            </w:r>
          </w:p>
          <w:p w:rsidR="00041039" w:rsidRDefault="001B26CB">
            <w:pPr>
              <w:pStyle w:val="TableParagraph"/>
              <w:spacing w:line="237" w:lineRule="auto"/>
              <w:ind w:left="58"/>
              <w:rPr>
                <w:sz w:val="14"/>
              </w:rPr>
            </w:pPr>
            <w:r>
              <w:rPr>
                <w:color w:val="231F20"/>
                <w:sz w:val="14"/>
              </w:rPr>
              <w:t xml:space="preserve">Ф. Џајс, </w:t>
            </w:r>
            <w:r>
              <w:rPr>
                <w:i/>
                <w:color w:val="231F20"/>
                <w:sz w:val="14"/>
              </w:rPr>
              <w:t>Витезови кроз историју</w:t>
            </w:r>
            <w:r>
              <w:rPr>
                <w:color w:val="231F20"/>
                <w:sz w:val="14"/>
              </w:rPr>
              <w:t>, Београд 2003.</w:t>
            </w:r>
          </w:p>
          <w:p w:rsidR="00041039" w:rsidRDefault="001B26CB">
            <w:pPr>
              <w:pStyle w:val="TableParagraph"/>
              <w:ind w:left="58" w:right="109"/>
              <w:rPr>
                <w:sz w:val="14"/>
              </w:rPr>
            </w:pPr>
            <w:r>
              <w:rPr>
                <w:color w:val="231F20"/>
                <w:sz w:val="14"/>
              </w:rPr>
              <w:t xml:space="preserve">Ф. Џајс, Џ. Џајс, </w:t>
            </w:r>
            <w:r>
              <w:rPr>
                <w:i/>
                <w:color w:val="231F20"/>
                <w:sz w:val="14"/>
              </w:rPr>
              <w:t>Живот у средњовековном граду</w:t>
            </w:r>
            <w:r>
              <w:rPr>
                <w:color w:val="231F20"/>
                <w:sz w:val="14"/>
              </w:rPr>
              <w:t>, Београд 2004.</w:t>
            </w:r>
          </w:p>
          <w:p w:rsidR="00041039" w:rsidRDefault="001B26CB">
            <w:pPr>
              <w:pStyle w:val="TableParagraph"/>
              <w:spacing w:line="237" w:lineRule="auto"/>
              <w:ind w:left="58" w:right="109"/>
              <w:rPr>
                <w:sz w:val="14"/>
              </w:rPr>
            </w:pPr>
            <w:r>
              <w:rPr>
                <w:color w:val="231F20"/>
                <w:sz w:val="14"/>
              </w:rPr>
              <w:t xml:space="preserve">Ф. Џајс, Џ. Џајс, </w:t>
            </w:r>
            <w:r>
              <w:rPr>
                <w:i/>
                <w:color w:val="231F20"/>
                <w:sz w:val="14"/>
              </w:rPr>
              <w:t>Живот у средњовековном замку</w:t>
            </w:r>
            <w:r>
              <w:rPr>
                <w:color w:val="231F20"/>
                <w:sz w:val="14"/>
              </w:rPr>
              <w:t>, Београд 2005.</w:t>
            </w:r>
          </w:p>
          <w:p w:rsidR="00041039" w:rsidRDefault="001B26CB">
            <w:pPr>
              <w:pStyle w:val="TableParagraph"/>
              <w:ind w:left="58" w:right="60"/>
              <w:rPr>
                <w:sz w:val="14"/>
              </w:rPr>
            </w:pPr>
            <w:r>
              <w:rPr>
                <w:color w:val="231F20"/>
                <w:sz w:val="14"/>
              </w:rPr>
              <w:t xml:space="preserve">Ф. Џајс, Џ. Џајс, </w:t>
            </w:r>
            <w:r>
              <w:rPr>
                <w:i/>
                <w:color w:val="231F20"/>
                <w:sz w:val="14"/>
              </w:rPr>
              <w:t xml:space="preserve">Живот у </w:t>
            </w:r>
            <w:r>
              <w:rPr>
                <w:i/>
                <w:color w:val="231F20"/>
                <w:sz w:val="14"/>
              </w:rPr>
              <w:t>средњовековном</w:t>
            </w:r>
            <w:r>
              <w:rPr>
                <w:i/>
                <w:color w:val="231F20"/>
                <w:spacing w:val="-10"/>
                <w:sz w:val="14"/>
              </w:rPr>
              <w:t xml:space="preserve"> </w:t>
            </w:r>
            <w:r>
              <w:rPr>
                <w:i/>
                <w:color w:val="231F20"/>
                <w:sz w:val="14"/>
              </w:rPr>
              <w:t>селу</w:t>
            </w:r>
            <w:r>
              <w:rPr>
                <w:color w:val="231F20"/>
                <w:sz w:val="14"/>
              </w:rPr>
              <w:t>,</w:t>
            </w:r>
            <w:r>
              <w:rPr>
                <w:color w:val="231F20"/>
                <w:spacing w:val="-10"/>
                <w:sz w:val="14"/>
              </w:rPr>
              <w:t xml:space="preserve"> </w:t>
            </w:r>
            <w:r>
              <w:rPr>
                <w:color w:val="231F20"/>
                <w:sz w:val="14"/>
              </w:rPr>
              <w:t>Београд</w:t>
            </w:r>
            <w:r>
              <w:rPr>
                <w:color w:val="231F20"/>
                <w:spacing w:val="-10"/>
                <w:sz w:val="14"/>
              </w:rPr>
              <w:t xml:space="preserve"> </w:t>
            </w:r>
            <w:r>
              <w:rPr>
                <w:color w:val="231F20"/>
                <w:sz w:val="14"/>
              </w:rPr>
              <w:t xml:space="preserve">2006. С. Цејмс, </w:t>
            </w:r>
            <w:r>
              <w:rPr>
                <w:i/>
                <w:color w:val="231F20"/>
                <w:sz w:val="14"/>
              </w:rPr>
              <w:t>Стари Рим</w:t>
            </w:r>
            <w:r>
              <w:rPr>
                <w:color w:val="231F20"/>
                <w:sz w:val="14"/>
              </w:rPr>
              <w:t>, Београд 2006.</w:t>
            </w:r>
          </w:p>
        </w:tc>
      </w:tr>
      <w:tr w:rsidR="00041039">
        <w:trPr>
          <w:trHeight w:val="4040"/>
        </w:trPr>
        <w:tc>
          <w:tcPr>
            <w:tcW w:w="1304" w:type="dxa"/>
          </w:tcPr>
          <w:p w:rsidR="00041039" w:rsidRDefault="001B26CB">
            <w:pPr>
              <w:pStyle w:val="TableParagraph"/>
              <w:spacing w:before="20"/>
              <w:ind w:left="56" w:right="37"/>
              <w:rPr>
                <w:sz w:val="14"/>
              </w:rPr>
            </w:pPr>
            <w:r>
              <w:rPr>
                <w:color w:val="231F20"/>
                <w:sz w:val="14"/>
              </w:rPr>
              <w:t>Грбови и заставе некад и сад</w:t>
            </w:r>
          </w:p>
        </w:tc>
        <w:tc>
          <w:tcPr>
            <w:tcW w:w="1587" w:type="dxa"/>
          </w:tcPr>
          <w:p w:rsidR="00041039" w:rsidRDefault="001B26CB">
            <w:pPr>
              <w:pStyle w:val="TableParagraph"/>
              <w:numPr>
                <w:ilvl w:val="0"/>
                <w:numId w:val="111"/>
              </w:numPr>
              <w:tabs>
                <w:tab w:val="left" w:pos="157"/>
              </w:tabs>
              <w:spacing w:before="10"/>
              <w:ind w:right="113"/>
              <w:rPr>
                <w:sz w:val="14"/>
              </w:rPr>
            </w:pPr>
            <w:r>
              <w:rPr>
                <w:color w:val="231F20"/>
                <w:sz w:val="14"/>
              </w:rPr>
              <w:t>Продубљивање</w:t>
            </w:r>
            <w:r>
              <w:rPr>
                <w:color w:val="231F20"/>
                <w:spacing w:val="-13"/>
                <w:sz w:val="14"/>
              </w:rPr>
              <w:t xml:space="preserve"> </w:t>
            </w:r>
            <w:r>
              <w:rPr>
                <w:color w:val="231F20"/>
                <w:sz w:val="14"/>
              </w:rPr>
              <w:t>знања о развоју грбова и застава и њиховом значају у</w:t>
            </w:r>
            <w:r>
              <w:rPr>
                <w:color w:val="231F20"/>
                <w:spacing w:val="-4"/>
                <w:sz w:val="14"/>
              </w:rPr>
              <w:t xml:space="preserve"> </w:t>
            </w:r>
            <w:r>
              <w:rPr>
                <w:color w:val="231F20"/>
                <w:sz w:val="14"/>
              </w:rPr>
              <w:t>историји.</w:t>
            </w:r>
          </w:p>
          <w:p w:rsidR="00041039" w:rsidRDefault="001B26CB">
            <w:pPr>
              <w:pStyle w:val="TableParagraph"/>
              <w:numPr>
                <w:ilvl w:val="0"/>
                <w:numId w:val="111"/>
              </w:numPr>
              <w:tabs>
                <w:tab w:val="left" w:pos="157"/>
              </w:tabs>
              <w:spacing w:line="156" w:lineRule="exact"/>
              <w:rPr>
                <w:sz w:val="14"/>
              </w:rPr>
            </w:pPr>
            <w:r>
              <w:rPr>
                <w:color w:val="231F20"/>
                <w:sz w:val="14"/>
              </w:rPr>
              <w:t>Упознавање</w:t>
            </w:r>
            <w:r>
              <w:rPr>
                <w:color w:val="231F20"/>
                <w:spacing w:val="-2"/>
                <w:sz w:val="14"/>
              </w:rPr>
              <w:t xml:space="preserve"> </w:t>
            </w:r>
            <w:r>
              <w:rPr>
                <w:color w:val="231F20"/>
                <w:sz w:val="14"/>
              </w:rPr>
              <w:t>са</w:t>
            </w:r>
          </w:p>
          <w:p w:rsidR="00041039" w:rsidRDefault="001B26CB">
            <w:pPr>
              <w:pStyle w:val="TableParagraph"/>
              <w:ind w:right="20"/>
              <w:rPr>
                <w:sz w:val="14"/>
              </w:rPr>
            </w:pPr>
            <w:r>
              <w:rPr>
                <w:color w:val="231F20"/>
                <w:sz w:val="14"/>
              </w:rPr>
              <w:t>развојем, улогом и зна­ чајем грбова и застава у прошлости српског народа.</w:t>
            </w:r>
          </w:p>
        </w:tc>
        <w:tc>
          <w:tcPr>
            <w:tcW w:w="2551" w:type="dxa"/>
          </w:tcPr>
          <w:p w:rsidR="00041039" w:rsidRDefault="001B26CB">
            <w:pPr>
              <w:pStyle w:val="TableParagraph"/>
              <w:numPr>
                <w:ilvl w:val="0"/>
                <w:numId w:val="110"/>
              </w:numPr>
              <w:tabs>
                <w:tab w:val="left" w:pos="157"/>
              </w:tabs>
              <w:spacing w:before="10"/>
              <w:ind w:right="130" w:hanging="99"/>
              <w:rPr>
                <w:sz w:val="14"/>
              </w:rPr>
            </w:pPr>
            <w:r>
              <w:rPr>
                <w:color w:val="231F20"/>
                <w:sz w:val="14"/>
              </w:rPr>
              <w:t>уочи основна обележја развоја</w:t>
            </w:r>
            <w:r>
              <w:rPr>
                <w:color w:val="231F20"/>
                <w:spacing w:val="-14"/>
                <w:sz w:val="14"/>
              </w:rPr>
              <w:t xml:space="preserve"> </w:t>
            </w:r>
            <w:r>
              <w:rPr>
                <w:color w:val="231F20"/>
                <w:sz w:val="14"/>
              </w:rPr>
              <w:t>грбова и застава кроз</w:t>
            </w:r>
            <w:r>
              <w:rPr>
                <w:color w:val="231F20"/>
                <w:spacing w:val="-3"/>
                <w:sz w:val="14"/>
              </w:rPr>
              <w:t xml:space="preserve"> </w:t>
            </w:r>
            <w:r>
              <w:rPr>
                <w:color w:val="231F20"/>
                <w:sz w:val="14"/>
              </w:rPr>
              <w:t>историју;</w:t>
            </w:r>
          </w:p>
          <w:p w:rsidR="00041039" w:rsidRDefault="001B26CB">
            <w:pPr>
              <w:pStyle w:val="TableParagraph"/>
              <w:numPr>
                <w:ilvl w:val="0"/>
                <w:numId w:val="110"/>
              </w:numPr>
              <w:tabs>
                <w:tab w:val="left" w:pos="157"/>
              </w:tabs>
              <w:spacing w:line="160" w:lineRule="exact"/>
              <w:ind w:right="130" w:hanging="99"/>
              <w:rPr>
                <w:sz w:val="14"/>
              </w:rPr>
            </w:pPr>
            <w:r>
              <w:rPr>
                <w:color w:val="231F20"/>
                <w:sz w:val="14"/>
              </w:rPr>
              <w:t>уочи основна обележја развоја</w:t>
            </w:r>
            <w:r>
              <w:rPr>
                <w:color w:val="231F20"/>
                <w:spacing w:val="-14"/>
                <w:sz w:val="14"/>
              </w:rPr>
              <w:t xml:space="preserve"> </w:t>
            </w:r>
            <w:r>
              <w:rPr>
                <w:color w:val="231F20"/>
                <w:sz w:val="14"/>
              </w:rPr>
              <w:t xml:space="preserve">грбова и застава </w:t>
            </w:r>
            <w:r>
              <w:rPr>
                <w:color w:val="231F20"/>
                <w:spacing w:val="-5"/>
                <w:sz w:val="14"/>
              </w:rPr>
              <w:t xml:space="preserve">код </w:t>
            </w:r>
            <w:r>
              <w:rPr>
                <w:color w:val="231F20"/>
                <w:sz w:val="14"/>
              </w:rPr>
              <w:t>Срба кроз историју;</w:t>
            </w:r>
          </w:p>
          <w:p w:rsidR="00041039" w:rsidRDefault="001B26CB">
            <w:pPr>
              <w:pStyle w:val="TableParagraph"/>
              <w:numPr>
                <w:ilvl w:val="0"/>
                <w:numId w:val="110"/>
              </w:numPr>
              <w:tabs>
                <w:tab w:val="left" w:pos="157"/>
              </w:tabs>
              <w:spacing w:line="160" w:lineRule="exact"/>
              <w:ind w:right="292" w:hanging="99"/>
              <w:rPr>
                <w:sz w:val="14"/>
              </w:rPr>
            </w:pPr>
            <w:r>
              <w:rPr>
                <w:color w:val="231F20"/>
                <w:sz w:val="14"/>
              </w:rPr>
              <w:t>изведе закључак о значају грбова</w:t>
            </w:r>
            <w:r>
              <w:rPr>
                <w:color w:val="231F20"/>
                <w:spacing w:val="-25"/>
                <w:sz w:val="14"/>
              </w:rPr>
              <w:t xml:space="preserve"> </w:t>
            </w:r>
            <w:r>
              <w:rPr>
                <w:color w:val="231F20"/>
                <w:sz w:val="14"/>
              </w:rPr>
              <w:t>и застава кроз</w:t>
            </w:r>
            <w:r>
              <w:rPr>
                <w:color w:val="231F20"/>
                <w:spacing w:val="-1"/>
                <w:sz w:val="14"/>
              </w:rPr>
              <w:t xml:space="preserve"> </w:t>
            </w:r>
            <w:r>
              <w:rPr>
                <w:color w:val="231F20"/>
                <w:sz w:val="14"/>
              </w:rPr>
              <w:t>историју;</w:t>
            </w:r>
          </w:p>
          <w:p w:rsidR="00041039" w:rsidRDefault="001B26CB">
            <w:pPr>
              <w:pStyle w:val="TableParagraph"/>
              <w:numPr>
                <w:ilvl w:val="0"/>
                <w:numId w:val="110"/>
              </w:numPr>
              <w:tabs>
                <w:tab w:val="left" w:pos="157"/>
              </w:tabs>
              <w:spacing w:line="153" w:lineRule="exact"/>
              <w:ind w:hanging="99"/>
              <w:rPr>
                <w:sz w:val="14"/>
              </w:rPr>
            </w:pPr>
            <w:r>
              <w:rPr>
                <w:color w:val="231F20"/>
                <w:sz w:val="14"/>
              </w:rPr>
              <w:t>наведе најчешће хералдичке</w:t>
            </w:r>
            <w:r>
              <w:rPr>
                <w:color w:val="231F20"/>
                <w:spacing w:val="-13"/>
                <w:sz w:val="14"/>
              </w:rPr>
              <w:t xml:space="preserve"> </w:t>
            </w:r>
            <w:r>
              <w:rPr>
                <w:color w:val="231F20"/>
                <w:sz w:val="14"/>
              </w:rPr>
              <w:t>симболе;</w:t>
            </w:r>
          </w:p>
          <w:p w:rsidR="00041039" w:rsidRDefault="001B26CB">
            <w:pPr>
              <w:pStyle w:val="TableParagraph"/>
              <w:numPr>
                <w:ilvl w:val="0"/>
                <w:numId w:val="110"/>
              </w:numPr>
              <w:tabs>
                <w:tab w:val="left" w:pos="157"/>
              </w:tabs>
              <w:spacing w:line="237" w:lineRule="auto"/>
              <w:ind w:right="233" w:hanging="99"/>
              <w:rPr>
                <w:sz w:val="14"/>
              </w:rPr>
            </w:pPr>
            <w:r>
              <w:rPr>
                <w:color w:val="231F20"/>
                <w:sz w:val="14"/>
              </w:rPr>
              <w:t xml:space="preserve">опише </w:t>
            </w:r>
            <w:r>
              <w:rPr>
                <w:color w:val="231F20"/>
                <w:spacing w:val="-3"/>
                <w:sz w:val="14"/>
              </w:rPr>
              <w:t xml:space="preserve">изглед </w:t>
            </w:r>
            <w:r>
              <w:rPr>
                <w:color w:val="231F20"/>
                <w:sz w:val="14"/>
              </w:rPr>
              <w:t>и порекло савременог српског грба и</w:t>
            </w:r>
            <w:r>
              <w:rPr>
                <w:color w:val="231F20"/>
                <w:spacing w:val="-4"/>
                <w:sz w:val="14"/>
              </w:rPr>
              <w:t xml:space="preserve"> </w:t>
            </w:r>
            <w:r>
              <w:rPr>
                <w:color w:val="231F20"/>
                <w:sz w:val="14"/>
              </w:rPr>
              <w:t>заставе;</w:t>
            </w:r>
          </w:p>
        </w:tc>
        <w:tc>
          <w:tcPr>
            <w:tcW w:w="2834" w:type="dxa"/>
          </w:tcPr>
          <w:p w:rsidR="00041039" w:rsidRDefault="001B26CB">
            <w:pPr>
              <w:pStyle w:val="TableParagraph"/>
              <w:numPr>
                <w:ilvl w:val="0"/>
                <w:numId w:val="109"/>
              </w:numPr>
              <w:tabs>
                <w:tab w:val="left" w:pos="157"/>
              </w:tabs>
              <w:spacing w:before="10"/>
              <w:ind w:right="131" w:hanging="99"/>
              <w:rPr>
                <w:sz w:val="14"/>
              </w:rPr>
            </w:pPr>
            <w:r>
              <w:rPr>
                <w:color w:val="231F20"/>
                <w:spacing w:val="-4"/>
                <w:sz w:val="14"/>
              </w:rPr>
              <w:t xml:space="preserve">Улога </w:t>
            </w:r>
            <w:r>
              <w:rPr>
                <w:color w:val="231F20"/>
                <w:sz w:val="14"/>
              </w:rPr>
              <w:t>и значај грбова и застава (као симбола државе, нације, владара, војске, града, установе, предузећа, политичке организације, спортског друштва...;</w:t>
            </w:r>
            <w:r>
              <w:rPr>
                <w:color w:val="231F20"/>
                <w:spacing w:val="-17"/>
                <w:sz w:val="14"/>
              </w:rPr>
              <w:t xml:space="preserve"> </w:t>
            </w:r>
            <w:r>
              <w:rPr>
                <w:color w:val="231F20"/>
                <w:sz w:val="14"/>
              </w:rPr>
              <w:t xml:space="preserve">појава грбова у XII веку ­ породични грбови на штитовима као начин распознавања вите­ зова на турнирима и у ратним походима; грбови на заставама, </w:t>
            </w:r>
            <w:r>
              <w:rPr>
                <w:color w:val="231F20"/>
                <w:spacing w:val="-4"/>
                <w:sz w:val="14"/>
              </w:rPr>
              <w:t xml:space="preserve">новцу, </w:t>
            </w:r>
            <w:r>
              <w:rPr>
                <w:color w:val="231F20"/>
                <w:sz w:val="14"/>
              </w:rPr>
              <w:t>печатима, поштанским маркама, споменицима, шлемовима...; најчешћи хералдички симболи;</w:t>
            </w:r>
            <w:r>
              <w:rPr>
                <w:color w:val="231F20"/>
                <w:spacing w:val="-6"/>
                <w:sz w:val="14"/>
              </w:rPr>
              <w:t xml:space="preserve"> </w:t>
            </w:r>
            <w:r>
              <w:rPr>
                <w:color w:val="231F20"/>
                <w:sz w:val="14"/>
              </w:rPr>
              <w:t>појава</w:t>
            </w:r>
            <w:r>
              <w:rPr>
                <w:color w:val="231F20"/>
                <w:spacing w:val="-5"/>
                <w:sz w:val="14"/>
              </w:rPr>
              <w:t xml:space="preserve"> </w:t>
            </w:r>
            <w:r>
              <w:rPr>
                <w:color w:val="231F20"/>
                <w:sz w:val="14"/>
              </w:rPr>
              <w:t>првих</w:t>
            </w:r>
            <w:r>
              <w:rPr>
                <w:color w:val="231F20"/>
                <w:spacing w:val="-6"/>
                <w:sz w:val="14"/>
              </w:rPr>
              <w:t xml:space="preserve"> </w:t>
            </w:r>
            <w:r>
              <w:rPr>
                <w:color w:val="231F20"/>
                <w:sz w:val="14"/>
              </w:rPr>
              <w:t>застава</w:t>
            </w:r>
            <w:r>
              <w:rPr>
                <w:color w:val="231F20"/>
                <w:spacing w:val="-5"/>
                <w:sz w:val="14"/>
              </w:rPr>
              <w:t xml:space="preserve"> </w:t>
            </w:r>
            <w:r>
              <w:rPr>
                <w:color w:val="231F20"/>
                <w:sz w:val="14"/>
              </w:rPr>
              <w:t>­</w:t>
            </w:r>
            <w:r>
              <w:rPr>
                <w:color w:val="231F20"/>
                <w:spacing w:val="-5"/>
                <w:sz w:val="14"/>
              </w:rPr>
              <w:t xml:space="preserve"> </w:t>
            </w:r>
            <w:r>
              <w:rPr>
                <w:i/>
                <w:color w:val="231F20"/>
                <w:sz w:val="14"/>
              </w:rPr>
              <w:t>вексилум</w:t>
            </w:r>
            <w:r>
              <w:rPr>
                <w:i/>
                <w:color w:val="231F20"/>
                <w:spacing w:val="-5"/>
                <w:sz w:val="14"/>
              </w:rPr>
              <w:t xml:space="preserve"> </w:t>
            </w:r>
            <w:r>
              <w:rPr>
                <w:color w:val="231F20"/>
                <w:sz w:val="14"/>
              </w:rPr>
              <w:t xml:space="preserve">­ застава римских царева, </w:t>
            </w:r>
            <w:r>
              <w:rPr>
                <w:i/>
                <w:color w:val="231F20"/>
                <w:sz w:val="14"/>
              </w:rPr>
              <w:t xml:space="preserve">лабарум </w:t>
            </w:r>
            <w:r>
              <w:rPr>
                <w:color w:val="231F20"/>
                <w:sz w:val="14"/>
              </w:rPr>
              <w:t>­ застава Константина Великог; основни елементи застава).</w:t>
            </w:r>
          </w:p>
          <w:p w:rsidR="00041039" w:rsidRDefault="001B26CB">
            <w:pPr>
              <w:pStyle w:val="TableParagraph"/>
              <w:numPr>
                <w:ilvl w:val="0"/>
                <w:numId w:val="109"/>
              </w:numPr>
              <w:tabs>
                <w:tab w:val="left" w:pos="157"/>
              </w:tabs>
              <w:spacing w:line="147" w:lineRule="exact"/>
              <w:ind w:hanging="99"/>
              <w:rPr>
                <w:sz w:val="14"/>
              </w:rPr>
            </w:pPr>
            <w:r>
              <w:rPr>
                <w:color w:val="231F20"/>
                <w:sz w:val="14"/>
              </w:rPr>
              <w:t>Грбови и заставе у прошлости</w:t>
            </w:r>
            <w:r>
              <w:rPr>
                <w:color w:val="231F20"/>
                <w:spacing w:val="-23"/>
                <w:sz w:val="14"/>
              </w:rPr>
              <w:t xml:space="preserve"> </w:t>
            </w:r>
            <w:r>
              <w:rPr>
                <w:color w:val="231F20"/>
                <w:sz w:val="14"/>
              </w:rPr>
              <w:t>српског</w:t>
            </w:r>
          </w:p>
          <w:p w:rsidR="00041039" w:rsidRDefault="001B26CB">
            <w:pPr>
              <w:pStyle w:val="TableParagraph"/>
              <w:ind w:right="103"/>
              <w:rPr>
                <w:sz w:val="14"/>
              </w:rPr>
            </w:pPr>
            <w:r>
              <w:rPr>
                <w:color w:val="231F20"/>
                <w:sz w:val="14"/>
              </w:rPr>
              <w:t>народа (порекло савременог српског грба и заставе, значење четири оцила,</w:t>
            </w:r>
            <w:r>
              <w:rPr>
                <w:color w:val="231F20"/>
                <w:spacing w:val="-19"/>
                <w:sz w:val="14"/>
              </w:rPr>
              <w:t xml:space="preserve"> </w:t>
            </w:r>
            <w:r>
              <w:rPr>
                <w:color w:val="231F20"/>
                <w:sz w:val="14"/>
              </w:rPr>
              <w:t>најчешћи хералдички симболи на грбовима српских нововековних и средњовековних</w:t>
            </w:r>
            <w:r>
              <w:rPr>
                <w:color w:val="231F20"/>
                <w:spacing w:val="-11"/>
                <w:sz w:val="14"/>
              </w:rPr>
              <w:t xml:space="preserve"> </w:t>
            </w:r>
            <w:r>
              <w:rPr>
                <w:color w:val="231F20"/>
                <w:sz w:val="14"/>
              </w:rPr>
              <w:t>држава</w:t>
            </w:r>
          </w:p>
          <w:p w:rsidR="00041039" w:rsidRDefault="001B26CB">
            <w:pPr>
              <w:pStyle w:val="TableParagraph"/>
              <w:spacing w:line="237" w:lineRule="auto"/>
              <w:rPr>
                <w:sz w:val="14"/>
              </w:rPr>
            </w:pPr>
            <w:r>
              <w:rPr>
                <w:color w:val="231F20"/>
                <w:sz w:val="14"/>
              </w:rPr>
              <w:t>и династија и властелинских породица ­ двоглави бели орао Немањића, Лазаревића, Карађорђевића, Обреновића и Петровића</w:t>
            </w:r>
          </w:p>
          <w:p w:rsidR="00041039" w:rsidRDefault="001B26CB">
            <w:pPr>
              <w:pStyle w:val="TableParagraph"/>
              <w:numPr>
                <w:ilvl w:val="1"/>
                <w:numId w:val="109"/>
              </w:numPr>
              <w:tabs>
                <w:tab w:val="left" w:pos="239"/>
              </w:tabs>
              <w:spacing w:line="161" w:lineRule="exact"/>
              <w:ind w:firstLine="0"/>
              <w:rPr>
                <w:sz w:val="14"/>
              </w:rPr>
            </w:pPr>
            <w:r>
              <w:rPr>
                <w:color w:val="231F20"/>
                <w:sz w:val="14"/>
              </w:rPr>
              <w:t>Његоша, лав Бранковића и</w:t>
            </w:r>
            <w:r>
              <w:rPr>
                <w:color w:val="231F20"/>
                <w:spacing w:val="-8"/>
                <w:sz w:val="14"/>
              </w:rPr>
              <w:t xml:space="preserve"> </w:t>
            </w:r>
            <w:r>
              <w:rPr>
                <w:color w:val="231F20"/>
                <w:sz w:val="14"/>
              </w:rPr>
              <w:t>Петровића</w:t>
            </w:r>
          </w:p>
          <w:p w:rsidR="00041039" w:rsidRDefault="001B26CB">
            <w:pPr>
              <w:pStyle w:val="TableParagraph"/>
              <w:numPr>
                <w:ilvl w:val="1"/>
                <w:numId w:val="109"/>
              </w:numPr>
              <w:tabs>
                <w:tab w:val="left" w:pos="239"/>
              </w:tabs>
              <w:spacing w:line="160" w:lineRule="exact"/>
              <w:ind w:right="712" w:firstLine="0"/>
              <w:rPr>
                <w:sz w:val="14"/>
              </w:rPr>
            </w:pPr>
            <w:r>
              <w:rPr>
                <w:color w:val="231F20"/>
                <w:sz w:val="14"/>
              </w:rPr>
              <w:t>Његоша, вук Балшић</w:t>
            </w:r>
            <w:r>
              <w:rPr>
                <w:color w:val="231F20"/>
                <w:sz w:val="14"/>
              </w:rPr>
              <w:t>а,</w:t>
            </w:r>
            <w:r>
              <w:rPr>
                <w:color w:val="231F20"/>
                <w:spacing w:val="-20"/>
                <w:sz w:val="14"/>
              </w:rPr>
              <w:t xml:space="preserve"> </w:t>
            </w:r>
            <w:r>
              <w:rPr>
                <w:color w:val="231F20"/>
                <w:sz w:val="14"/>
              </w:rPr>
              <w:t>љиљани Котроманића...).</w:t>
            </w:r>
          </w:p>
        </w:tc>
        <w:tc>
          <w:tcPr>
            <w:tcW w:w="2267" w:type="dxa"/>
            <w:vMerge/>
            <w:tcBorders>
              <w:top w:val="nil"/>
              <w:bottom w:val="nil"/>
            </w:tcBorders>
          </w:tcPr>
          <w:p w:rsidR="00041039" w:rsidRDefault="00041039">
            <w:pPr>
              <w:rPr>
                <w:sz w:val="2"/>
                <w:szCs w:val="2"/>
              </w:rPr>
            </w:pPr>
          </w:p>
        </w:tc>
      </w:tr>
      <w:tr w:rsidR="00041039">
        <w:trPr>
          <w:trHeight w:val="3517"/>
        </w:trPr>
        <w:tc>
          <w:tcPr>
            <w:tcW w:w="1304" w:type="dxa"/>
            <w:tcBorders>
              <w:bottom w:val="nil"/>
            </w:tcBorders>
          </w:tcPr>
          <w:p w:rsidR="00041039" w:rsidRDefault="001B26CB">
            <w:pPr>
              <w:pStyle w:val="TableParagraph"/>
              <w:spacing w:before="21"/>
              <w:ind w:left="56"/>
              <w:rPr>
                <w:sz w:val="14"/>
              </w:rPr>
            </w:pPr>
            <w:r>
              <w:rPr>
                <w:color w:val="231F20"/>
                <w:sz w:val="14"/>
              </w:rPr>
              <w:t>Спорт некад и сад</w:t>
            </w:r>
          </w:p>
        </w:tc>
        <w:tc>
          <w:tcPr>
            <w:tcW w:w="1587" w:type="dxa"/>
            <w:vMerge w:val="restart"/>
          </w:tcPr>
          <w:p w:rsidR="00041039" w:rsidRDefault="001B26CB">
            <w:pPr>
              <w:pStyle w:val="TableParagraph"/>
              <w:numPr>
                <w:ilvl w:val="0"/>
                <w:numId w:val="108"/>
              </w:numPr>
              <w:tabs>
                <w:tab w:val="left" w:pos="157"/>
              </w:tabs>
              <w:spacing w:before="11"/>
              <w:ind w:right="113"/>
              <w:rPr>
                <w:sz w:val="14"/>
              </w:rPr>
            </w:pPr>
            <w:r>
              <w:rPr>
                <w:color w:val="231F20"/>
                <w:sz w:val="14"/>
              </w:rPr>
              <w:t>Проширивање знања о развоју спортског живота кроз</w:t>
            </w:r>
            <w:r>
              <w:rPr>
                <w:color w:val="231F20"/>
                <w:spacing w:val="-19"/>
                <w:sz w:val="14"/>
              </w:rPr>
              <w:t xml:space="preserve"> </w:t>
            </w:r>
            <w:r>
              <w:rPr>
                <w:color w:val="231F20"/>
                <w:sz w:val="14"/>
              </w:rPr>
              <w:t>историју.</w:t>
            </w:r>
          </w:p>
          <w:p w:rsidR="00041039" w:rsidRDefault="001B26CB">
            <w:pPr>
              <w:pStyle w:val="TableParagraph"/>
              <w:numPr>
                <w:ilvl w:val="0"/>
                <w:numId w:val="108"/>
              </w:numPr>
              <w:tabs>
                <w:tab w:val="left" w:pos="157"/>
              </w:tabs>
              <w:spacing w:line="157" w:lineRule="exact"/>
              <w:rPr>
                <w:sz w:val="14"/>
              </w:rPr>
            </w:pPr>
            <w:r>
              <w:rPr>
                <w:color w:val="231F20"/>
                <w:spacing w:val="-3"/>
                <w:sz w:val="14"/>
              </w:rPr>
              <w:t xml:space="preserve">Уочавање </w:t>
            </w:r>
            <w:r>
              <w:rPr>
                <w:color w:val="231F20"/>
                <w:sz w:val="14"/>
              </w:rPr>
              <w:t>сличности</w:t>
            </w:r>
            <w:r>
              <w:rPr>
                <w:color w:val="231F20"/>
                <w:spacing w:val="5"/>
                <w:sz w:val="14"/>
              </w:rPr>
              <w:t xml:space="preserve"> </w:t>
            </w:r>
            <w:r>
              <w:rPr>
                <w:color w:val="231F20"/>
                <w:sz w:val="14"/>
              </w:rPr>
              <w:t>и</w:t>
            </w:r>
          </w:p>
          <w:p w:rsidR="00041039" w:rsidRDefault="001B26CB">
            <w:pPr>
              <w:pStyle w:val="TableParagraph"/>
              <w:ind w:right="31"/>
              <w:rPr>
                <w:sz w:val="14"/>
              </w:rPr>
            </w:pPr>
            <w:r>
              <w:rPr>
                <w:color w:val="231F20"/>
                <w:sz w:val="14"/>
              </w:rPr>
              <w:t>разлика у спортским играма и надметањима некад и сад.</w:t>
            </w:r>
          </w:p>
          <w:p w:rsidR="00041039" w:rsidRDefault="001B26CB">
            <w:pPr>
              <w:pStyle w:val="TableParagraph"/>
              <w:numPr>
                <w:ilvl w:val="0"/>
                <w:numId w:val="108"/>
              </w:numPr>
              <w:tabs>
                <w:tab w:val="left" w:pos="157"/>
              </w:tabs>
              <w:spacing w:line="158" w:lineRule="exact"/>
              <w:rPr>
                <w:sz w:val="14"/>
              </w:rPr>
            </w:pPr>
            <w:r>
              <w:rPr>
                <w:color w:val="231F20"/>
                <w:sz w:val="14"/>
              </w:rPr>
              <w:t>Проширивање</w:t>
            </w:r>
            <w:r>
              <w:rPr>
                <w:color w:val="231F20"/>
                <w:spacing w:val="-3"/>
                <w:sz w:val="14"/>
              </w:rPr>
              <w:t xml:space="preserve"> </w:t>
            </w:r>
            <w:r>
              <w:rPr>
                <w:color w:val="231F20"/>
                <w:sz w:val="14"/>
              </w:rPr>
              <w:t>знања</w:t>
            </w:r>
          </w:p>
          <w:p w:rsidR="00041039" w:rsidRDefault="001B26CB">
            <w:pPr>
              <w:pStyle w:val="TableParagraph"/>
              <w:ind w:right="15"/>
              <w:rPr>
                <w:sz w:val="14"/>
              </w:rPr>
            </w:pPr>
            <w:r>
              <w:rPr>
                <w:color w:val="231F20"/>
                <w:sz w:val="14"/>
              </w:rPr>
              <w:t>o развоју спортског живота код Срба.</w:t>
            </w:r>
          </w:p>
        </w:tc>
        <w:tc>
          <w:tcPr>
            <w:tcW w:w="2551" w:type="dxa"/>
            <w:vMerge w:val="restart"/>
          </w:tcPr>
          <w:p w:rsidR="00041039" w:rsidRDefault="001B26CB">
            <w:pPr>
              <w:pStyle w:val="TableParagraph"/>
              <w:numPr>
                <w:ilvl w:val="0"/>
                <w:numId w:val="107"/>
              </w:numPr>
              <w:tabs>
                <w:tab w:val="left" w:pos="157"/>
              </w:tabs>
              <w:spacing w:before="11"/>
              <w:ind w:right="411" w:hanging="99"/>
              <w:rPr>
                <w:sz w:val="14"/>
              </w:rPr>
            </w:pPr>
            <w:r>
              <w:rPr>
                <w:color w:val="231F20"/>
                <w:sz w:val="14"/>
              </w:rPr>
              <w:t>уочи основна обележја спорта</w:t>
            </w:r>
            <w:r>
              <w:rPr>
                <w:color w:val="231F20"/>
                <w:spacing w:val="-7"/>
                <w:sz w:val="14"/>
              </w:rPr>
              <w:t xml:space="preserve">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041039" w:rsidRDefault="001B26CB">
            <w:pPr>
              <w:pStyle w:val="TableParagraph"/>
              <w:numPr>
                <w:ilvl w:val="0"/>
                <w:numId w:val="107"/>
              </w:numPr>
              <w:tabs>
                <w:tab w:val="left" w:pos="157"/>
              </w:tabs>
              <w:spacing w:line="160" w:lineRule="exact"/>
              <w:ind w:right="253" w:hanging="99"/>
              <w:rPr>
                <w:sz w:val="14"/>
              </w:rPr>
            </w:pPr>
            <w:r>
              <w:rPr>
                <w:color w:val="231F20"/>
                <w:sz w:val="14"/>
              </w:rPr>
              <w:t>разуме улогу и значај спорта у</w:t>
            </w:r>
            <w:r>
              <w:rPr>
                <w:color w:val="231F20"/>
                <w:spacing w:val="-23"/>
                <w:sz w:val="14"/>
              </w:rPr>
              <w:t xml:space="preserve"> </w:t>
            </w:r>
            <w:r>
              <w:rPr>
                <w:color w:val="231F20"/>
                <w:spacing w:val="-3"/>
                <w:sz w:val="14"/>
              </w:rPr>
              <w:t>људ­ ском</w:t>
            </w:r>
            <w:r>
              <w:rPr>
                <w:color w:val="231F20"/>
                <w:spacing w:val="-1"/>
                <w:sz w:val="14"/>
              </w:rPr>
              <w:t xml:space="preserve"> </w:t>
            </w:r>
            <w:r>
              <w:rPr>
                <w:color w:val="231F20"/>
                <w:sz w:val="14"/>
              </w:rPr>
              <w:t>друштву;</w:t>
            </w:r>
          </w:p>
          <w:p w:rsidR="00041039" w:rsidRDefault="001B26CB">
            <w:pPr>
              <w:pStyle w:val="TableParagraph"/>
              <w:numPr>
                <w:ilvl w:val="0"/>
                <w:numId w:val="107"/>
              </w:numPr>
              <w:tabs>
                <w:tab w:val="left" w:pos="157"/>
              </w:tabs>
              <w:spacing w:line="160" w:lineRule="exact"/>
              <w:ind w:right="63" w:hanging="99"/>
              <w:jc w:val="both"/>
              <w:rPr>
                <w:sz w:val="14"/>
              </w:rPr>
            </w:pPr>
            <w:r>
              <w:rPr>
                <w:color w:val="231F20"/>
                <w:sz w:val="14"/>
              </w:rPr>
              <w:t>именује и опише спортске</w:t>
            </w:r>
            <w:r>
              <w:rPr>
                <w:color w:val="231F20"/>
                <w:spacing w:val="-12"/>
                <w:sz w:val="14"/>
              </w:rPr>
              <w:t xml:space="preserve"> </w:t>
            </w:r>
            <w:r>
              <w:rPr>
                <w:color w:val="231F20"/>
                <w:sz w:val="14"/>
              </w:rPr>
              <w:t>дисциплине заступљене на античким</w:t>
            </w:r>
            <w:r>
              <w:rPr>
                <w:color w:val="231F20"/>
                <w:spacing w:val="-16"/>
                <w:sz w:val="14"/>
              </w:rPr>
              <w:t xml:space="preserve"> </w:t>
            </w:r>
            <w:r>
              <w:rPr>
                <w:color w:val="231F20"/>
                <w:sz w:val="14"/>
              </w:rPr>
              <w:t>Олимпијским играма;</w:t>
            </w:r>
          </w:p>
          <w:p w:rsidR="00041039" w:rsidRDefault="001B26CB">
            <w:pPr>
              <w:pStyle w:val="TableParagraph"/>
              <w:numPr>
                <w:ilvl w:val="0"/>
                <w:numId w:val="107"/>
              </w:numPr>
              <w:tabs>
                <w:tab w:val="left" w:pos="157"/>
              </w:tabs>
              <w:spacing w:line="160" w:lineRule="exact"/>
              <w:ind w:right="244" w:hanging="99"/>
              <w:rPr>
                <w:sz w:val="14"/>
              </w:rPr>
            </w:pPr>
            <w:r>
              <w:rPr>
                <w:color w:val="231F20"/>
                <w:sz w:val="14"/>
              </w:rPr>
              <w:t>наведе и упореди карактеристике спортских надметања у различитим пер</w:t>
            </w:r>
            <w:r>
              <w:rPr>
                <w:color w:val="231F20"/>
                <w:sz w:val="14"/>
              </w:rPr>
              <w:t>иодима;</w:t>
            </w:r>
          </w:p>
          <w:p w:rsidR="00041039" w:rsidRDefault="001B26CB">
            <w:pPr>
              <w:pStyle w:val="TableParagraph"/>
              <w:numPr>
                <w:ilvl w:val="0"/>
                <w:numId w:val="107"/>
              </w:numPr>
              <w:tabs>
                <w:tab w:val="left" w:pos="157"/>
              </w:tabs>
              <w:spacing w:line="160" w:lineRule="exact"/>
              <w:ind w:right="274" w:hanging="99"/>
              <w:rPr>
                <w:sz w:val="14"/>
              </w:rPr>
            </w:pPr>
            <w:r>
              <w:rPr>
                <w:color w:val="231F20"/>
                <w:sz w:val="14"/>
              </w:rPr>
              <w:t>опише развој спортског живота</w:t>
            </w:r>
            <w:r>
              <w:rPr>
                <w:color w:val="231F20"/>
                <w:spacing w:val="-11"/>
                <w:sz w:val="14"/>
              </w:rPr>
              <w:t xml:space="preserve"> </w:t>
            </w:r>
            <w:r>
              <w:rPr>
                <w:color w:val="231F20"/>
                <w:spacing w:val="-5"/>
                <w:sz w:val="14"/>
              </w:rPr>
              <w:t xml:space="preserve">код </w:t>
            </w:r>
            <w:r>
              <w:rPr>
                <w:color w:val="231F20"/>
                <w:sz w:val="14"/>
              </w:rPr>
              <w:t>Срба;</w:t>
            </w:r>
          </w:p>
        </w:tc>
        <w:tc>
          <w:tcPr>
            <w:tcW w:w="2834" w:type="dxa"/>
            <w:vMerge w:val="restart"/>
          </w:tcPr>
          <w:p w:rsidR="00041039" w:rsidRDefault="001B26CB">
            <w:pPr>
              <w:pStyle w:val="TableParagraph"/>
              <w:numPr>
                <w:ilvl w:val="0"/>
                <w:numId w:val="106"/>
              </w:numPr>
              <w:tabs>
                <w:tab w:val="left" w:pos="158"/>
              </w:tabs>
              <w:spacing w:before="11"/>
              <w:ind w:right="108"/>
              <w:rPr>
                <w:sz w:val="14"/>
              </w:rPr>
            </w:pPr>
            <w:r>
              <w:rPr>
                <w:color w:val="231F20"/>
                <w:spacing w:val="-4"/>
                <w:sz w:val="14"/>
              </w:rPr>
              <w:t xml:space="preserve">Улога </w:t>
            </w:r>
            <w:r>
              <w:rPr>
                <w:color w:val="231F20"/>
                <w:sz w:val="14"/>
              </w:rPr>
              <w:t xml:space="preserve">и значај спорта </w:t>
            </w:r>
            <w:r>
              <w:rPr>
                <w:color w:val="231F20"/>
                <w:spacing w:val="-3"/>
                <w:sz w:val="14"/>
              </w:rPr>
              <w:t xml:space="preserve">од </w:t>
            </w:r>
            <w:r>
              <w:rPr>
                <w:color w:val="231F20"/>
                <w:sz w:val="14"/>
              </w:rPr>
              <w:t>антике до савре­ меног доба (спорт као део бриге о</w:t>
            </w:r>
            <w:r>
              <w:rPr>
                <w:color w:val="231F20"/>
                <w:spacing w:val="-10"/>
                <w:sz w:val="14"/>
              </w:rPr>
              <w:t xml:space="preserve"> </w:t>
            </w:r>
            <w:r>
              <w:rPr>
                <w:color w:val="231F20"/>
                <w:sz w:val="14"/>
              </w:rPr>
              <w:t xml:space="preserve">здрављу и као забава; спорт и Олимпијске игре у античкој </w:t>
            </w:r>
            <w:r>
              <w:rPr>
                <w:color w:val="231F20"/>
                <w:spacing w:val="-4"/>
                <w:sz w:val="14"/>
              </w:rPr>
              <w:t xml:space="preserve">Грчкој </w:t>
            </w:r>
            <w:r>
              <w:rPr>
                <w:color w:val="231F20"/>
                <w:sz w:val="14"/>
              </w:rPr>
              <w:t>као основ спортских игара савременог доба; спортска надметања кроз и</w:t>
            </w:r>
            <w:r>
              <w:rPr>
                <w:color w:val="231F20"/>
                <w:sz w:val="14"/>
              </w:rPr>
              <w:t>сторију ­ најпопуларнији</w:t>
            </w:r>
            <w:r>
              <w:rPr>
                <w:color w:val="231F20"/>
                <w:spacing w:val="-18"/>
                <w:sz w:val="14"/>
              </w:rPr>
              <w:t xml:space="preserve"> </w:t>
            </w:r>
            <w:r>
              <w:rPr>
                <w:color w:val="231F20"/>
                <w:sz w:val="14"/>
              </w:rPr>
              <w:t>спортови,</w:t>
            </w:r>
          </w:p>
          <w:p w:rsidR="00041039" w:rsidRDefault="001B26CB">
            <w:pPr>
              <w:pStyle w:val="TableParagraph"/>
              <w:spacing w:line="237" w:lineRule="auto"/>
              <w:ind w:left="157" w:right="16"/>
              <w:rPr>
                <w:sz w:val="14"/>
              </w:rPr>
            </w:pPr>
            <w:r>
              <w:rPr>
                <w:color w:val="231F20"/>
                <w:sz w:val="14"/>
              </w:rPr>
              <w:t>аматерски и професионални спорт, модерне Олимпијске игре).</w:t>
            </w:r>
          </w:p>
          <w:p w:rsidR="00041039" w:rsidRDefault="001B26CB">
            <w:pPr>
              <w:pStyle w:val="TableParagraph"/>
              <w:numPr>
                <w:ilvl w:val="0"/>
                <w:numId w:val="106"/>
              </w:numPr>
              <w:tabs>
                <w:tab w:val="left" w:pos="158"/>
              </w:tabs>
              <w:spacing w:line="237" w:lineRule="auto"/>
              <w:ind w:right="198"/>
              <w:rPr>
                <w:sz w:val="14"/>
              </w:rPr>
            </w:pPr>
            <w:r>
              <w:rPr>
                <w:color w:val="231F20"/>
                <w:sz w:val="14"/>
              </w:rPr>
              <w:t xml:space="preserve">Спорт </w:t>
            </w:r>
            <w:r>
              <w:rPr>
                <w:color w:val="231F20"/>
                <w:spacing w:val="-5"/>
                <w:sz w:val="14"/>
              </w:rPr>
              <w:t xml:space="preserve">код </w:t>
            </w:r>
            <w:r>
              <w:rPr>
                <w:color w:val="231F20"/>
                <w:sz w:val="14"/>
              </w:rPr>
              <w:t>Срба кроз историју (народне и пастирске игре као прва спортска надме­ тања, прва спортска друштва, оснивање Српског олимпијског клуба 1910.</w:t>
            </w:r>
            <w:r>
              <w:rPr>
                <w:color w:val="231F20"/>
                <w:spacing w:val="-25"/>
                <w:sz w:val="14"/>
              </w:rPr>
              <w:t xml:space="preserve"> </w:t>
            </w:r>
            <w:r>
              <w:rPr>
                <w:color w:val="231F20"/>
                <w:sz w:val="14"/>
              </w:rPr>
              <w:t>учешће на међународним такмичењима и велики успеси, спортска друштва и клубови; савремени спорт и спортски</w:t>
            </w:r>
            <w:r>
              <w:rPr>
                <w:color w:val="231F20"/>
                <w:spacing w:val="-3"/>
                <w:sz w:val="14"/>
              </w:rPr>
              <w:t xml:space="preserve"> </w:t>
            </w:r>
            <w:r>
              <w:rPr>
                <w:color w:val="231F20"/>
                <w:sz w:val="14"/>
              </w:rPr>
              <w:t>живот).</w:t>
            </w:r>
          </w:p>
        </w:tc>
        <w:tc>
          <w:tcPr>
            <w:tcW w:w="2267" w:type="dxa"/>
            <w:vMerge/>
            <w:tcBorders>
              <w:top w:val="nil"/>
              <w:bottom w:val="nil"/>
            </w:tcBorders>
          </w:tcPr>
          <w:p w:rsidR="00041039" w:rsidRDefault="00041039">
            <w:pPr>
              <w:rPr>
                <w:sz w:val="2"/>
                <w:szCs w:val="2"/>
              </w:rPr>
            </w:pPr>
          </w:p>
        </w:tc>
      </w:tr>
      <w:tr w:rsidR="00041039">
        <w:trPr>
          <w:trHeight w:val="950"/>
        </w:trPr>
        <w:tc>
          <w:tcPr>
            <w:tcW w:w="1304" w:type="dxa"/>
            <w:tcBorders>
              <w:top w:val="nil"/>
              <w:bottom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bottom w:val="nil"/>
            </w:tcBorders>
          </w:tcPr>
          <w:p w:rsidR="00041039" w:rsidRDefault="001B26CB">
            <w:pPr>
              <w:pStyle w:val="TableParagraph"/>
              <w:spacing w:before="7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05"/>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05"/>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tc>
      </w:tr>
      <w:tr w:rsidR="00041039">
        <w:trPr>
          <w:trHeight w:val="891"/>
        </w:trPr>
        <w:tc>
          <w:tcPr>
            <w:tcW w:w="1304" w:type="dxa"/>
            <w:tcBorders>
              <w:top w:val="nil"/>
            </w:tcBorders>
          </w:tcPr>
          <w:p w:rsidR="00041039" w:rsidRDefault="00041039">
            <w:pPr>
              <w:pStyle w:val="TableParagraph"/>
              <w:ind w:left="0"/>
              <w:rPr>
                <w:sz w:val="14"/>
              </w:rPr>
            </w:pPr>
          </w:p>
        </w:tc>
        <w:tc>
          <w:tcPr>
            <w:tcW w:w="1587" w:type="dxa"/>
            <w:vMerge/>
            <w:tcBorders>
              <w:top w:val="nil"/>
            </w:tcBorders>
          </w:tcPr>
          <w:p w:rsidR="00041039" w:rsidRDefault="00041039">
            <w:pPr>
              <w:rPr>
                <w:sz w:val="2"/>
                <w:szCs w:val="2"/>
              </w:rPr>
            </w:pPr>
          </w:p>
        </w:tc>
        <w:tc>
          <w:tcPr>
            <w:tcW w:w="2551" w:type="dxa"/>
            <w:vMerge/>
            <w:tcBorders>
              <w:top w:val="nil"/>
            </w:tcBorders>
          </w:tcPr>
          <w:p w:rsidR="00041039" w:rsidRDefault="00041039">
            <w:pPr>
              <w:rPr>
                <w:sz w:val="2"/>
                <w:szCs w:val="2"/>
              </w:rPr>
            </w:pPr>
          </w:p>
        </w:tc>
        <w:tc>
          <w:tcPr>
            <w:tcW w:w="2834" w:type="dxa"/>
            <w:vMerge/>
            <w:tcBorders>
              <w:top w:val="nil"/>
            </w:tcBorders>
          </w:tcPr>
          <w:p w:rsidR="00041039" w:rsidRDefault="00041039">
            <w:pPr>
              <w:rPr>
                <w:sz w:val="2"/>
                <w:szCs w:val="2"/>
              </w:rPr>
            </w:pPr>
          </w:p>
        </w:tc>
        <w:tc>
          <w:tcPr>
            <w:tcW w:w="2267" w:type="dxa"/>
            <w:tcBorders>
              <w:top w:val="nil"/>
            </w:tcBorders>
          </w:tcPr>
          <w:p w:rsidR="00041039" w:rsidRDefault="001B26CB">
            <w:pPr>
              <w:pStyle w:val="TableParagraph"/>
              <w:spacing w:before="7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04"/>
              </w:numPr>
              <w:tabs>
                <w:tab w:val="left" w:pos="158"/>
              </w:tabs>
              <w:spacing w:line="237" w:lineRule="auto"/>
              <w:ind w:right="253" w:hanging="99"/>
              <w:rPr>
                <w:sz w:val="14"/>
              </w:rPr>
            </w:pPr>
            <w:r>
              <w:rPr>
                <w:color w:val="231F20"/>
                <w:sz w:val="14"/>
              </w:rPr>
              <w:t xml:space="preserve">Свакој </w:t>
            </w:r>
            <w:r>
              <w:rPr>
                <w:color w:val="231F20"/>
                <w:spacing w:val="-3"/>
                <w:sz w:val="14"/>
              </w:rPr>
              <w:t xml:space="preserve">од </w:t>
            </w:r>
            <w:r>
              <w:rPr>
                <w:color w:val="231F20"/>
                <w:sz w:val="14"/>
              </w:rPr>
              <w:t xml:space="preserve">четири теме које </w:t>
            </w:r>
            <w:r>
              <w:rPr>
                <w:color w:val="231F20"/>
                <w:spacing w:val="-4"/>
                <w:sz w:val="14"/>
              </w:rPr>
              <w:t xml:space="preserve">буду </w:t>
            </w:r>
            <w:r>
              <w:rPr>
                <w:color w:val="231F20"/>
                <w:sz w:val="14"/>
              </w:rPr>
              <w:t>изабране треба посветити четвртину часова предвиђених наставним</w:t>
            </w:r>
            <w:r>
              <w:rPr>
                <w:color w:val="231F20"/>
                <w:spacing w:val="-1"/>
                <w:sz w:val="14"/>
              </w:rPr>
              <w:t xml:space="preserve"> </w:t>
            </w:r>
            <w:r>
              <w:rPr>
                <w:color w:val="231F20"/>
                <w:sz w:val="14"/>
              </w:rPr>
              <w:t>планом.</w:t>
            </w: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1"/>
        </w:numPr>
        <w:tabs>
          <w:tab w:val="left" w:pos="633"/>
        </w:tabs>
        <w:rPr>
          <w:sz w:val="18"/>
        </w:rPr>
      </w:pPr>
      <w:r>
        <w:rPr>
          <w:color w:val="231F20"/>
          <w:sz w:val="18"/>
        </w:rPr>
        <w:t>Историја</w:t>
      </w:r>
    </w:p>
    <w:p w:rsidR="00041039" w:rsidRDefault="001B26CB">
      <w:pPr>
        <w:pStyle w:val="ListParagraph"/>
        <w:numPr>
          <w:ilvl w:val="0"/>
          <w:numId w:val="1"/>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0"/>
          <w:numId w:val="1"/>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1"/>
        </w:numPr>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numPr>
          <w:ilvl w:val="0"/>
          <w:numId w:val="1"/>
        </w:numPr>
        <w:tabs>
          <w:tab w:val="left" w:pos="633"/>
        </w:tabs>
        <w:rPr>
          <w:sz w:val="18"/>
        </w:rPr>
      </w:pPr>
      <w:r>
        <w:rPr>
          <w:color w:val="231F20"/>
          <w:sz w:val="18"/>
        </w:rPr>
        <w:t>Историја</w:t>
      </w:r>
      <w:r>
        <w:rPr>
          <w:color w:val="231F20"/>
          <w:spacing w:val="-1"/>
          <w:sz w:val="18"/>
        </w:rPr>
        <w:t xml:space="preserve"> </w:t>
      </w:r>
      <w:r>
        <w:rPr>
          <w:color w:val="231F20"/>
          <w:sz w:val="18"/>
        </w:rPr>
        <w:t>ваздухопловства</w:t>
      </w:r>
    </w:p>
    <w:p w:rsidR="00041039" w:rsidRDefault="001B26CB">
      <w:pPr>
        <w:pStyle w:val="ListParagraph"/>
        <w:numPr>
          <w:ilvl w:val="0"/>
          <w:numId w:val="1"/>
        </w:numPr>
        <w:tabs>
          <w:tab w:val="left" w:pos="633"/>
        </w:tabs>
        <w:spacing w:line="203" w:lineRule="exact"/>
        <w:rPr>
          <w:sz w:val="18"/>
        </w:rPr>
      </w:pPr>
      <w:r>
        <w:rPr>
          <w:color w:val="231F20"/>
          <w:sz w:val="18"/>
        </w:rPr>
        <w:t>Географија</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ПСИХОЛОГИЈА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50"/>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60"/>
        </w:trPr>
        <w:tc>
          <w:tcPr>
            <w:tcW w:w="1304" w:type="dxa"/>
          </w:tcPr>
          <w:p w:rsidR="00041039" w:rsidRDefault="001B26CB">
            <w:pPr>
              <w:pStyle w:val="TableParagraph"/>
              <w:spacing w:before="18"/>
              <w:ind w:left="56"/>
              <w:rPr>
                <w:sz w:val="14"/>
              </w:rPr>
            </w:pPr>
            <w:r>
              <w:rPr>
                <w:color w:val="231F20"/>
                <w:sz w:val="14"/>
              </w:rPr>
              <w:t>Увод</w:t>
            </w:r>
          </w:p>
        </w:tc>
        <w:tc>
          <w:tcPr>
            <w:tcW w:w="1587" w:type="dxa"/>
          </w:tcPr>
          <w:p w:rsidR="00041039" w:rsidRDefault="001B26CB">
            <w:pPr>
              <w:pStyle w:val="TableParagraph"/>
              <w:numPr>
                <w:ilvl w:val="0"/>
                <w:numId w:val="103"/>
              </w:numPr>
              <w:tabs>
                <w:tab w:val="left" w:pos="157"/>
              </w:tabs>
              <w:spacing w:before="8"/>
              <w:ind w:right="115"/>
              <w:rPr>
                <w:sz w:val="14"/>
              </w:rPr>
            </w:pPr>
            <w:r>
              <w:rPr>
                <w:color w:val="231F20"/>
                <w:sz w:val="14"/>
              </w:rPr>
              <w:t>Упознавање са</w:t>
            </w:r>
            <w:r>
              <w:rPr>
                <w:color w:val="231F20"/>
                <w:spacing w:val="-24"/>
                <w:sz w:val="14"/>
              </w:rPr>
              <w:t xml:space="preserve"> </w:t>
            </w:r>
            <w:r>
              <w:rPr>
                <w:color w:val="231F20"/>
                <w:sz w:val="14"/>
              </w:rPr>
              <w:t>психо­ логијом као</w:t>
            </w:r>
            <w:r>
              <w:rPr>
                <w:color w:val="231F20"/>
                <w:spacing w:val="-4"/>
                <w:sz w:val="14"/>
              </w:rPr>
              <w:t xml:space="preserve"> </w:t>
            </w:r>
            <w:r>
              <w:rPr>
                <w:color w:val="231F20"/>
                <w:spacing w:val="-3"/>
                <w:sz w:val="14"/>
              </w:rPr>
              <w:t>науком.</w:t>
            </w:r>
          </w:p>
        </w:tc>
        <w:tc>
          <w:tcPr>
            <w:tcW w:w="2551" w:type="dxa"/>
          </w:tcPr>
          <w:p w:rsidR="00041039" w:rsidRDefault="001B26CB">
            <w:pPr>
              <w:pStyle w:val="TableParagraph"/>
              <w:numPr>
                <w:ilvl w:val="0"/>
                <w:numId w:val="102"/>
              </w:numPr>
              <w:tabs>
                <w:tab w:val="left" w:pos="157"/>
              </w:tabs>
              <w:spacing w:before="8"/>
              <w:ind w:right="100" w:hanging="99"/>
              <w:rPr>
                <w:sz w:val="14"/>
              </w:rPr>
            </w:pPr>
            <w:r>
              <w:rPr>
                <w:color w:val="231F20"/>
                <w:sz w:val="14"/>
              </w:rPr>
              <w:t>објасни шта проучава психологија</w:t>
            </w:r>
            <w:r>
              <w:rPr>
                <w:color w:val="231F20"/>
                <w:spacing w:val="-27"/>
                <w:sz w:val="14"/>
              </w:rPr>
              <w:t xml:space="preserve"> </w:t>
            </w:r>
            <w:r>
              <w:rPr>
                <w:color w:val="231F20"/>
                <w:sz w:val="14"/>
              </w:rPr>
              <w:t>као наука;</w:t>
            </w:r>
          </w:p>
        </w:tc>
        <w:tc>
          <w:tcPr>
            <w:tcW w:w="2834" w:type="dxa"/>
          </w:tcPr>
          <w:p w:rsidR="00041039" w:rsidRDefault="001B26CB">
            <w:pPr>
              <w:pStyle w:val="TableParagraph"/>
              <w:numPr>
                <w:ilvl w:val="0"/>
                <w:numId w:val="101"/>
              </w:numPr>
              <w:tabs>
                <w:tab w:val="left" w:pos="157"/>
              </w:tabs>
              <w:spacing w:before="8"/>
              <w:ind w:hanging="99"/>
              <w:rPr>
                <w:sz w:val="14"/>
              </w:rPr>
            </w:pPr>
            <w:r>
              <w:rPr>
                <w:color w:val="231F20"/>
                <w:sz w:val="14"/>
              </w:rPr>
              <w:t>Психологија као</w:t>
            </w:r>
            <w:r>
              <w:rPr>
                <w:color w:val="231F20"/>
                <w:spacing w:val="-3"/>
                <w:sz w:val="14"/>
              </w:rPr>
              <w:t xml:space="preserve"> </w:t>
            </w:r>
            <w:r>
              <w:rPr>
                <w:color w:val="231F20"/>
                <w:sz w:val="14"/>
              </w:rPr>
              <w:t>наука.</w:t>
            </w:r>
          </w:p>
        </w:tc>
        <w:tc>
          <w:tcPr>
            <w:tcW w:w="2267" w:type="dxa"/>
            <w:vMerge w:val="restart"/>
          </w:tcPr>
          <w:p w:rsidR="00041039" w:rsidRDefault="001B26CB">
            <w:pPr>
              <w:pStyle w:val="TableParagraph"/>
              <w:numPr>
                <w:ilvl w:val="0"/>
                <w:numId w:val="100"/>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100"/>
              </w:numPr>
              <w:tabs>
                <w:tab w:val="left" w:pos="158"/>
              </w:tabs>
              <w:spacing w:line="160"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041039">
            <w:pPr>
              <w:pStyle w:val="TableParagraph"/>
              <w:spacing w:before="8"/>
              <w:ind w:left="0"/>
              <w:rPr>
                <w:b/>
                <w:sz w:val="13"/>
              </w:rPr>
            </w:pPr>
          </w:p>
          <w:p w:rsidR="00041039" w:rsidRDefault="001B26CB">
            <w:pPr>
              <w:pStyle w:val="TableParagraph"/>
              <w:spacing w:before="1"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100"/>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100"/>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100"/>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00"/>
              </w:numPr>
              <w:tabs>
                <w:tab w:val="left" w:pos="158"/>
              </w:tabs>
              <w:spacing w:line="160" w:lineRule="exact"/>
              <w:ind w:hanging="99"/>
              <w:rPr>
                <w:b/>
                <w:sz w:val="14"/>
              </w:rPr>
            </w:pPr>
            <w:r>
              <w:rPr>
                <w:color w:val="231F20"/>
                <w:spacing w:val="-6"/>
                <w:sz w:val="14"/>
              </w:rPr>
              <w:t xml:space="preserve">Увод </w:t>
            </w:r>
            <w:r>
              <w:rPr>
                <w:b/>
                <w:color w:val="231F20"/>
                <w:sz w:val="14"/>
              </w:rPr>
              <w:t>(2</w:t>
            </w:r>
            <w:r>
              <w:rPr>
                <w:b/>
                <w:color w:val="231F20"/>
                <w:spacing w:val="5"/>
                <w:sz w:val="14"/>
              </w:rPr>
              <w:t xml:space="preserve"> </w:t>
            </w:r>
            <w:r>
              <w:rPr>
                <w:b/>
                <w:color w:val="231F20"/>
                <w:sz w:val="14"/>
              </w:rPr>
              <w:t>часа)</w:t>
            </w:r>
          </w:p>
          <w:p w:rsidR="00041039" w:rsidRDefault="001B26CB">
            <w:pPr>
              <w:pStyle w:val="TableParagraph"/>
              <w:numPr>
                <w:ilvl w:val="0"/>
                <w:numId w:val="100"/>
              </w:numPr>
              <w:tabs>
                <w:tab w:val="left" w:pos="158"/>
              </w:tabs>
              <w:spacing w:line="160" w:lineRule="exact"/>
              <w:ind w:hanging="99"/>
              <w:rPr>
                <w:b/>
                <w:sz w:val="14"/>
              </w:rPr>
            </w:pPr>
            <w:r>
              <w:rPr>
                <w:color w:val="231F20"/>
                <w:sz w:val="14"/>
              </w:rPr>
              <w:t xml:space="preserve">Човек у друштву </w:t>
            </w:r>
            <w:r>
              <w:rPr>
                <w:b/>
                <w:color w:val="231F20"/>
                <w:sz w:val="14"/>
              </w:rPr>
              <w:t>(10</w:t>
            </w:r>
            <w:r>
              <w:rPr>
                <w:b/>
                <w:color w:val="231F20"/>
                <w:spacing w:val="-6"/>
                <w:sz w:val="14"/>
              </w:rPr>
              <w:t xml:space="preserve"> </w:t>
            </w:r>
            <w:r>
              <w:rPr>
                <w:b/>
                <w:color w:val="231F20"/>
                <w:sz w:val="14"/>
              </w:rPr>
              <w:t>часова)</w:t>
            </w:r>
          </w:p>
          <w:p w:rsidR="00041039" w:rsidRDefault="001B26CB">
            <w:pPr>
              <w:pStyle w:val="TableParagraph"/>
              <w:numPr>
                <w:ilvl w:val="0"/>
                <w:numId w:val="100"/>
              </w:numPr>
              <w:tabs>
                <w:tab w:val="left" w:pos="158"/>
              </w:tabs>
              <w:spacing w:line="160" w:lineRule="exact"/>
              <w:ind w:hanging="99"/>
              <w:rPr>
                <w:b/>
                <w:sz w:val="14"/>
              </w:rPr>
            </w:pPr>
            <w:r>
              <w:rPr>
                <w:color w:val="231F20"/>
                <w:sz w:val="14"/>
              </w:rPr>
              <w:t xml:space="preserve">Учење </w:t>
            </w:r>
            <w:r>
              <w:rPr>
                <w:b/>
                <w:color w:val="231F20"/>
                <w:sz w:val="14"/>
              </w:rPr>
              <w:t>(12</w:t>
            </w:r>
            <w:r>
              <w:rPr>
                <w:b/>
                <w:color w:val="231F20"/>
                <w:spacing w:val="-1"/>
                <w:sz w:val="14"/>
              </w:rPr>
              <w:t xml:space="preserve"> </w:t>
            </w:r>
            <w:r>
              <w:rPr>
                <w:b/>
                <w:color w:val="231F20"/>
                <w:sz w:val="14"/>
              </w:rPr>
              <w:t>часова)</w:t>
            </w:r>
          </w:p>
          <w:p w:rsidR="00041039" w:rsidRDefault="001B26CB">
            <w:pPr>
              <w:pStyle w:val="TableParagraph"/>
              <w:numPr>
                <w:ilvl w:val="0"/>
                <w:numId w:val="100"/>
              </w:numPr>
              <w:tabs>
                <w:tab w:val="left" w:pos="158"/>
              </w:tabs>
              <w:spacing w:line="160" w:lineRule="exact"/>
              <w:ind w:hanging="99"/>
              <w:rPr>
                <w:b/>
                <w:sz w:val="14"/>
              </w:rPr>
            </w:pPr>
            <w:r>
              <w:rPr>
                <w:color w:val="231F20"/>
                <w:sz w:val="14"/>
              </w:rPr>
              <w:t xml:space="preserve">Памћење </w:t>
            </w:r>
            <w:r>
              <w:rPr>
                <w:b/>
                <w:color w:val="231F20"/>
                <w:sz w:val="14"/>
              </w:rPr>
              <w:t>(4</w:t>
            </w:r>
            <w:r>
              <w:rPr>
                <w:b/>
                <w:color w:val="231F20"/>
                <w:spacing w:val="-1"/>
                <w:sz w:val="14"/>
              </w:rPr>
              <w:t xml:space="preserve"> </w:t>
            </w:r>
            <w:r>
              <w:rPr>
                <w:b/>
                <w:color w:val="231F20"/>
                <w:sz w:val="14"/>
              </w:rPr>
              <w:t>часа)</w:t>
            </w:r>
          </w:p>
          <w:p w:rsidR="00041039" w:rsidRDefault="001B26CB">
            <w:pPr>
              <w:pStyle w:val="TableParagraph"/>
              <w:numPr>
                <w:ilvl w:val="0"/>
                <w:numId w:val="100"/>
              </w:numPr>
              <w:tabs>
                <w:tab w:val="left" w:pos="158"/>
              </w:tabs>
              <w:spacing w:line="160" w:lineRule="exact"/>
              <w:ind w:hanging="99"/>
              <w:rPr>
                <w:b/>
                <w:sz w:val="14"/>
              </w:rPr>
            </w:pPr>
            <w:r>
              <w:rPr>
                <w:color w:val="231F20"/>
                <w:sz w:val="14"/>
              </w:rPr>
              <w:t xml:space="preserve">Адолесценција </w:t>
            </w:r>
            <w:r>
              <w:rPr>
                <w:b/>
                <w:color w:val="231F20"/>
                <w:sz w:val="14"/>
              </w:rPr>
              <w:t>(10</w:t>
            </w:r>
            <w:r>
              <w:rPr>
                <w:b/>
                <w:color w:val="231F20"/>
                <w:spacing w:val="-3"/>
                <w:sz w:val="14"/>
              </w:rPr>
              <w:t xml:space="preserve"> </w:t>
            </w:r>
            <w:r>
              <w:rPr>
                <w:b/>
                <w:color w:val="231F20"/>
                <w:sz w:val="14"/>
              </w:rPr>
              <w:t>часова)</w:t>
            </w:r>
          </w:p>
          <w:p w:rsidR="00041039" w:rsidRDefault="001B26CB">
            <w:pPr>
              <w:pStyle w:val="TableParagraph"/>
              <w:numPr>
                <w:ilvl w:val="0"/>
                <w:numId w:val="100"/>
              </w:numPr>
              <w:tabs>
                <w:tab w:val="left" w:pos="158"/>
              </w:tabs>
              <w:spacing w:line="237" w:lineRule="auto"/>
              <w:ind w:right="404" w:hanging="99"/>
              <w:rPr>
                <w:b/>
                <w:sz w:val="14"/>
              </w:rPr>
            </w:pPr>
            <w:r>
              <w:rPr>
                <w:color w:val="231F20"/>
                <w:sz w:val="14"/>
              </w:rPr>
              <w:t>Фрустрација и конфликти</w:t>
            </w:r>
            <w:r>
              <w:rPr>
                <w:color w:val="231F20"/>
                <w:spacing w:val="-19"/>
                <w:sz w:val="14"/>
              </w:rPr>
              <w:t xml:space="preserve"> </w:t>
            </w:r>
            <w:r>
              <w:rPr>
                <w:b/>
                <w:color w:val="231F20"/>
                <w:sz w:val="14"/>
              </w:rPr>
              <w:t>(7 часова)</w:t>
            </w:r>
          </w:p>
          <w:p w:rsidR="00041039" w:rsidRDefault="001B26CB">
            <w:pPr>
              <w:pStyle w:val="TableParagraph"/>
              <w:numPr>
                <w:ilvl w:val="0"/>
                <w:numId w:val="100"/>
              </w:numPr>
              <w:tabs>
                <w:tab w:val="left" w:pos="158"/>
              </w:tabs>
              <w:spacing w:line="155" w:lineRule="exact"/>
              <w:ind w:hanging="99"/>
              <w:rPr>
                <w:b/>
                <w:sz w:val="14"/>
              </w:rPr>
            </w:pPr>
            <w:r>
              <w:rPr>
                <w:color w:val="231F20"/>
                <w:sz w:val="14"/>
              </w:rPr>
              <w:t xml:space="preserve">Комуникација </w:t>
            </w:r>
            <w:r>
              <w:rPr>
                <w:b/>
                <w:color w:val="231F20"/>
                <w:spacing w:val="-3"/>
                <w:sz w:val="14"/>
              </w:rPr>
              <w:t>(11</w:t>
            </w:r>
            <w:r>
              <w:rPr>
                <w:b/>
                <w:color w:val="231F20"/>
                <w:spacing w:val="-4"/>
                <w:sz w:val="14"/>
              </w:rPr>
              <w:t xml:space="preserve"> </w:t>
            </w:r>
            <w:r>
              <w:rPr>
                <w:b/>
                <w:color w:val="231F20"/>
                <w:sz w:val="14"/>
              </w:rPr>
              <w:t>часова)</w:t>
            </w:r>
          </w:p>
          <w:p w:rsidR="00041039" w:rsidRDefault="001B26CB">
            <w:pPr>
              <w:pStyle w:val="TableParagraph"/>
              <w:numPr>
                <w:ilvl w:val="0"/>
                <w:numId w:val="100"/>
              </w:numPr>
              <w:tabs>
                <w:tab w:val="left" w:pos="158"/>
              </w:tabs>
              <w:spacing w:line="160" w:lineRule="exact"/>
              <w:ind w:hanging="99"/>
              <w:rPr>
                <w:b/>
                <w:sz w:val="14"/>
              </w:rPr>
            </w:pPr>
            <w:r>
              <w:rPr>
                <w:color w:val="231F20"/>
                <w:sz w:val="14"/>
              </w:rPr>
              <w:t xml:space="preserve">Стрес и траума </w:t>
            </w:r>
            <w:r>
              <w:rPr>
                <w:b/>
                <w:color w:val="231F20"/>
                <w:sz w:val="14"/>
              </w:rPr>
              <w:t>(4</w:t>
            </w:r>
            <w:r>
              <w:rPr>
                <w:b/>
                <w:color w:val="231F20"/>
                <w:spacing w:val="-3"/>
                <w:sz w:val="14"/>
              </w:rPr>
              <w:t xml:space="preserve"> </w:t>
            </w:r>
            <w:r>
              <w:rPr>
                <w:b/>
                <w:color w:val="231F20"/>
                <w:sz w:val="14"/>
              </w:rPr>
              <w:t>часа)</w:t>
            </w:r>
          </w:p>
          <w:p w:rsidR="00041039" w:rsidRDefault="001B26CB">
            <w:pPr>
              <w:pStyle w:val="TableParagraph"/>
              <w:numPr>
                <w:ilvl w:val="0"/>
                <w:numId w:val="100"/>
              </w:numPr>
              <w:tabs>
                <w:tab w:val="left" w:pos="158"/>
              </w:tabs>
              <w:spacing w:line="237" w:lineRule="auto"/>
              <w:ind w:right="501" w:hanging="99"/>
              <w:rPr>
                <w:b/>
                <w:sz w:val="14"/>
              </w:rPr>
            </w:pPr>
            <w:r>
              <w:rPr>
                <w:color w:val="231F20"/>
                <w:sz w:val="14"/>
              </w:rPr>
              <w:t>Психолошки проблеми</w:t>
            </w:r>
            <w:r>
              <w:rPr>
                <w:color w:val="231F20"/>
                <w:spacing w:val="-22"/>
                <w:sz w:val="14"/>
              </w:rPr>
              <w:t xml:space="preserve"> </w:t>
            </w:r>
            <w:r>
              <w:rPr>
                <w:b/>
                <w:color w:val="231F20"/>
                <w:sz w:val="14"/>
              </w:rPr>
              <w:t>(10 часова)</w:t>
            </w:r>
          </w:p>
        </w:tc>
      </w:tr>
      <w:tr w:rsidR="00041039">
        <w:trPr>
          <w:trHeight w:val="2280"/>
        </w:trPr>
        <w:tc>
          <w:tcPr>
            <w:tcW w:w="1304" w:type="dxa"/>
          </w:tcPr>
          <w:p w:rsidR="00041039" w:rsidRDefault="001B26CB">
            <w:pPr>
              <w:pStyle w:val="TableParagraph"/>
              <w:spacing w:before="19"/>
              <w:ind w:left="56"/>
              <w:rPr>
                <w:sz w:val="14"/>
              </w:rPr>
            </w:pPr>
            <w:r>
              <w:rPr>
                <w:color w:val="231F20"/>
                <w:sz w:val="14"/>
              </w:rPr>
              <w:t>Човек у друштву</w:t>
            </w:r>
          </w:p>
        </w:tc>
        <w:tc>
          <w:tcPr>
            <w:tcW w:w="1587" w:type="dxa"/>
          </w:tcPr>
          <w:p w:rsidR="00041039" w:rsidRDefault="001B26CB">
            <w:pPr>
              <w:pStyle w:val="TableParagraph"/>
              <w:numPr>
                <w:ilvl w:val="0"/>
                <w:numId w:val="99"/>
              </w:numPr>
              <w:tabs>
                <w:tab w:val="left" w:pos="157"/>
              </w:tabs>
              <w:spacing w:before="9"/>
              <w:ind w:right="80"/>
              <w:rPr>
                <w:sz w:val="14"/>
              </w:rPr>
            </w:pPr>
            <w:r>
              <w:rPr>
                <w:color w:val="231F20"/>
                <w:sz w:val="14"/>
              </w:rPr>
              <w:t>Упознавање са</w:t>
            </w:r>
            <w:r>
              <w:rPr>
                <w:color w:val="231F20"/>
                <w:spacing w:val="-22"/>
                <w:sz w:val="14"/>
              </w:rPr>
              <w:t xml:space="preserve"> </w:t>
            </w:r>
            <w:r>
              <w:rPr>
                <w:color w:val="231F20"/>
                <w:sz w:val="14"/>
              </w:rPr>
              <w:t>појмом социјализације и чиниоцима социјали­ зације.</w:t>
            </w:r>
          </w:p>
        </w:tc>
        <w:tc>
          <w:tcPr>
            <w:tcW w:w="2551" w:type="dxa"/>
          </w:tcPr>
          <w:p w:rsidR="00041039" w:rsidRDefault="001B26CB">
            <w:pPr>
              <w:pStyle w:val="TableParagraph"/>
              <w:numPr>
                <w:ilvl w:val="0"/>
                <w:numId w:val="98"/>
              </w:numPr>
              <w:tabs>
                <w:tab w:val="left" w:pos="157"/>
              </w:tabs>
              <w:spacing w:before="9" w:line="166" w:lineRule="exact"/>
              <w:ind w:hanging="99"/>
              <w:rPr>
                <w:sz w:val="14"/>
              </w:rPr>
            </w:pPr>
            <w:r>
              <w:rPr>
                <w:color w:val="231F20"/>
                <w:sz w:val="14"/>
              </w:rPr>
              <w:t>објасни шта је самоопажање;</w:t>
            </w:r>
          </w:p>
          <w:p w:rsidR="00041039" w:rsidRDefault="001B26CB">
            <w:pPr>
              <w:pStyle w:val="TableParagraph"/>
              <w:numPr>
                <w:ilvl w:val="0"/>
                <w:numId w:val="98"/>
              </w:numPr>
              <w:tabs>
                <w:tab w:val="left" w:pos="157"/>
              </w:tabs>
              <w:spacing w:line="237" w:lineRule="auto"/>
              <w:ind w:right="284" w:hanging="99"/>
              <w:rPr>
                <w:sz w:val="14"/>
              </w:rPr>
            </w:pPr>
            <w:r>
              <w:rPr>
                <w:color w:val="231F20"/>
                <w:sz w:val="14"/>
              </w:rPr>
              <w:t>објасни шта је прва импресија и до којих грешака доводи у опажању других особа;</w:t>
            </w:r>
          </w:p>
          <w:p w:rsidR="00041039" w:rsidRDefault="001B26CB">
            <w:pPr>
              <w:pStyle w:val="TableParagraph"/>
              <w:numPr>
                <w:ilvl w:val="0"/>
                <w:numId w:val="98"/>
              </w:numPr>
              <w:tabs>
                <w:tab w:val="left" w:pos="157"/>
              </w:tabs>
              <w:spacing w:line="156" w:lineRule="exact"/>
              <w:ind w:hanging="99"/>
              <w:rPr>
                <w:sz w:val="14"/>
              </w:rPr>
            </w:pPr>
            <w:r>
              <w:rPr>
                <w:color w:val="231F20"/>
                <w:sz w:val="14"/>
              </w:rPr>
              <w:t>објасни шта је</w:t>
            </w:r>
            <w:r>
              <w:rPr>
                <w:color w:val="231F20"/>
                <w:spacing w:val="-2"/>
                <w:sz w:val="14"/>
              </w:rPr>
              <w:t xml:space="preserve"> </w:t>
            </w:r>
            <w:r>
              <w:rPr>
                <w:color w:val="231F20"/>
                <w:sz w:val="14"/>
              </w:rPr>
              <w:t>социјализација;</w:t>
            </w:r>
          </w:p>
          <w:p w:rsidR="00041039" w:rsidRDefault="001B26CB">
            <w:pPr>
              <w:pStyle w:val="TableParagraph"/>
              <w:numPr>
                <w:ilvl w:val="0"/>
                <w:numId w:val="98"/>
              </w:numPr>
              <w:tabs>
                <w:tab w:val="left" w:pos="157"/>
              </w:tabs>
              <w:spacing w:line="237" w:lineRule="auto"/>
              <w:ind w:right="489" w:hanging="99"/>
              <w:rPr>
                <w:sz w:val="14"/>
              </w:rPr>
            </w:pPr>
            <w:r>
              <w:rPr>
                <w:color w:val="231F20"/>
                <w:sz w:val="14"/>
              </w:rPr>
              <w:t xml:space="preserve">објасни </w:t>
            </w:r>
            <w:r>
              <w:rPr>
                <w:color w:val="231F20"/>
                <w:spacing w:val="-3"/>
                <w:sz w:val="14"/>
              </w:rPr>
              <w:t xml:space="preserve">како </w:t>
            </w:r>
            <w:r>
              <w:rPr>
                <w:color w:val="231F20"/>
                <w:sz w:val="14"/>
              </w:rPr>
              <w:t>породица утиче на формирање и развој</w:t>
            </w:r>
            <w:r>
              <w:rPr>
                <w:color w:val="231F20"/>
                <w:spacing w:val="-4"/>
                <w:sz w:val="14"/>
              </w:rPr>
              <w:t xml:space="preserve"> </w:t>
            </w:r>
            <w:r>
              <w:rPr>
                <w:color w:val="231F20"/>
                <w:sz w:val="14"/>
              </w:rPr>
              <w:t>личности;</w:t>
            </w:r>
          </w:p>
          <w:p w:rsidR="00041039" w:rsidRDefault="001B26CB">
            <w:pPr>
              <w:pStyle w:val="TableParagraph"/>
              <w:numPr>
                <w:ilvl w:val="0"/>
                <w:numId w:val="98"/>
              </w:numPr>
              <w:tabs>
                <w:tab w:val="left" w:pos="157"/>
              </w:tabs>
              <w:spacing w:line="160" w:lineRule="exact"/>
              <w:ind w:right="288" w:hanging="99"/>
              <w:rPr>
                <w:sz w:val="14"/>
              </w:rPr>
            </w:pPr>
            <w:r>
              <w:rPr>
                <w:color w:val="231F20"/>
                <w:sz w:val="14"/>
              </w:rPr>
              <w:t xml:space="preserve">објасни </w:t>
            </w:r>
            <w:r>
              <w:rPr>
                <w:color w:val="231F20"/>
                <w:spacing w:val="-3"/>
                <w:sz w:val="14"/>
              </w:rPr>
              <w:t xml:space="preserve">како школа </w:t>
            </w:r>
            <w:r>
              <w:rPr>
                <w:color w:val="231F20"/>
                <w:sz w:val="14"/>
              </w:rPr>
              <w:t>утиче на развој личности;</w:t>
            </w:r>
          </w:p>
          <w:p w:rsidR="00041039" w:rsidRDefault="001B26CB">
            <w:pPr>
              <w:pStyle w:val="TableParagraph"/>
              <w:numPr>
                <w:ilvl w:val="0"/>
                <w:numId w:val="98"/>
              </w:numPr>
              <w:tabs>
                <w:tab w:val="left" w:pos="157"/>
              </w:tabs>
              <w:spacing w:line="160" w:lineRule="exact"/>
              <w:ind w:right="92" w:hanging="99"/>
              <w:rPr>
                <w:sz w:val="14"/>
              </w:rPr>
            </w:pPr>
            <w:r>
              <w:rPr>
                <w:color w:val="231F20"/>
                <w:sz w:val="14"/>
              </w:rPr>
              <w:t xml:space="preserve">објасни </w:t>
            </w:r>
            <w:r>
              <w:rPr>
                <w:color w:val="231F20"/>
                <w:spacing w:val="-3"/>
                <w:sz w:val="14"/>
              </w:rPr>
              <w:t xml:space="preserve">како </w:t>
            </w:r>
            <w:r>
              <w:rPr>
                <w:color w:val="231F20"/>
                <w:sz w:val="14"/>
              </w:rPr>
              <w:t>вршњаци утичу на развој личности;</w:t>
            </w:r>
          </w:p>
          <w:p w:rsidR="00041039" w:rsidRDefault="001B26CB">
            <w:pPr>
              <w:pStyle w:val="TableParagraph"/>
              <w:numPr>
                <w:ilvl w:val="0"/>
                <w:numId w:val="98"/>
              </w:numPr>
              <w:tabs>
                <w:tab w:val="left" w:pos="157"/>
              </w:tabs>
              <w:spacing w:line="160" w:lineRule="exact"/>
              <w:ind w:right="319" w:hanging="99"/>
              <w:rPr>
                <w:sz w:val="14"/>
              </w:rPr>
            </w:pPr>
            <w:r>
              <w:rPr>
                <w:color w:val="231F20"/>
                <w:sz w:val="14"/>
              </w:rPr>
              <w:t xml:space="preserve">објасни </w:t>
            </w:r>
            <w:r>
              <w:rPr>
                <w:color w:val="231F20"/>
                <w:spacing w:val="-3"/>
                <w:sz w:val="14"/>
              </w:rPr>
              <w:t xml:space="preserve">како </w:t>
            </w:r>
            <w:r>
              <w:rPr>
                <w:color w:val="231F20"/>
                <w:sz w:val="14"/>
              </w:rPr>
              <w:t>средства масовних комуникација утичу на развој</w:t>
            </w:r>
            <w:r>
              <w:rPr>
                <w:color w:val="231F20"/>
                <w:spacing w:val="-20"/>
                <w:sz w:val="14"/>
              </w:rPr>
              <w:t xml:space="preserve"> </w:t>
            </w:r>
            <w:r>
              <w:rPr>
                <w:color w:val="231F20"/>
                <w:sz w:val="14"/>
              </w:rPr>
              <w:t>лич­ ности;</w:t>
            </w:r>
          </w:p>
        </w:tc>
        <w:tc>
          <w:tcPr>
            <w:tcW w:w="2834" w:type="dxa"/>
          </w:tcPr>
          <w:p w:rsidR="00041039" w:rsidRDefault="001B26CB">
            <w:pPr>
              <w:pStyle w:val="TableParagraph"/>
              <w:numPr>
                <w:ilvl w:val="0"/>
                <w:numId w:val="97"/>
              </w:numPr>
              <w:tabs>
                <w:tab w:val="left" w:pos="157"/>
              </w:tabs>
              <w:spacing w:before="9" w:line="166" w:lineRule="exact"/>
              <w:ind w:hanging="99"/>
              <w:rPr>
                <w:sz w:val="14"/>
              </w:rPr>
            </w:pPr>
            <w:r>
              <w:rPr>
                <w:color w:val="231F20"/>
                <w:sz w:val="14"/>
              </w:rPr>
              <w:t>Самоопажање.</w:t>
            </w:r>
          </w:p>
          <w:p w:rsidR="00041039" w:rsidRDefault="001B26CB">
            <w:pPr>
              <w:pStyle w:val="TableParagraph"/>
              <w:numPr>
                <w:ilvl w:val="0"/>
                <w:numId w:val="97"/>
              </w:numPr>
              <w:tabs>
                <w:tab w:val="left" w:pos="157"/>
              </w:tabs>
              <w:spacing w:line="160" w:lineRule="exact"/>
              <w:ind w:hanging="99"/>
              <w:rPr>
                <w:sz w:val="14"/>
              </w:rPr>
            </w:pPr>
            <w:r>
              <w:rPr>
                <w:color w:val="231F20"/>
                <w:sz w:val="14"/>
              </w:rPr>
              <w:t>Прва</w:t>
            </w:r>
            <w:r>
              <w:rPr>
                <w:color w:val="231F20"/>
                <w:spacing w:val="-1"/>
                <w:sz w:val="14"/>
              </w:rPr>
              <w:t xml:space="preserve"> </w:t>
            </w:r>
            <w:r>
              <w:rPr>
                <w:color w:val="231F20"/>
                <w:sz w:val="14"/>
              </w:rPr>
              <w:t>импресија.</w:t>
            </w:r>
          </w:p>
          <w:p w:rsidR="00041039" w:rsidRDefault="001B26CB">
            <w:pPr>
              <w:pStyle w:val="TableParagraph"/>
              <w:numPr>
                <w:ilvl w:val="0"/>
                <w:numId w:val="97"/>
              </w:numPr>
              <w:tabs>
                <w:tab w:val="left" w:pos="157"/>
              </w:tabs>
              <w:spacing w:line="160" w:lineRule="exact"/>
              <w:ind w:hanging="99"/>
              <w:rPr>
                <w:sz w:val="14"/>
              </w:rPr>
            </w:pPr>
            <w:r>
              <w:rPr>
                <w:color w:val="231F20"/>
                <w:sz w:val="14"/>
              </w:rPr>
              <w:t>Појам</w:t>
            </w:r>
            <w:r>
              <w:rPr>
                <w:color w:val="231F20"/>
                <w:spacing w:val="-2"/>
                <w:sz w:val="14"/>
              </w:rPr>
              <w:t xml:space="preserve"> </w:t>
            </w:r>
            <w:r>
              <w:rPr>
                <w:color w:val="231F20"/>
                <w:sz w:val="14"/>
              </w:rPr>
              <w:t>социјализације.</w:t>
            </w:r>
          </w:p>
          <w:p w:rsidR="00041039" w:rsidRDefault="001B26CB">
            <w:pPr>
              <w:pStyle w:val="TableParagraph"/>
              <w:numPr>
                <w:ilvl w:val="0"/>
                <w:numId w:val="97"/>
              </w:numPr>
              <w:tabs>
                <w:tab w:val="left" w:pos="157"/>
              </w:tabs>
              <w:spacing w:line="160" w:lineRule="exact"/>
              <w:ind w:hanging="99"/>
              <w:rPr>
                <w:sz w:val="14"/>
              </w:rPr>
            </w:pPr>
            <w:r>
              <w:rPr>
                <w:color w:val="231F20"/>
                <w:sz w:val="14"/>
              </w:rPr>
              <w:t>Породица (односи у</w:t>
            </w:r>
            <w:r>
              <w:rPr>
                <w:color w:val="231F20"/>
                <w:spacing w:val="-3"/>
                <w:sz w:val="14"/>
              </w:rPr>
              <w:t xml:space="preserve"> </w:t>
            </w:r>
            <w:r>
              <w:rPr>
                <w:color w:val="231F20"/>
                <w:sz w:val="14"/>
              </w:rPr>
              <w:t>породици).</w:t>
            </w:r>
          </w:p>
          <w:p w:rsidR="00041039" w:rsidRDefault="001B26CB">
            <w:pPr>
              <w:pStyle w:val="TableParagraph"/>
              <w:numPr>
                <w:ilvl w:val="0"/>
                <w:numId w:val="97"/>
              </w:numPr>
              <w:tabs>
                <w:tab w:val="left" w:pos="157"/>
              </w:tabs>
              <w:spacing w:line="160" w:lineRule="exact"/>
              <w:ind w:hanging="99"/>
              <w:rPr>
                <w:sz w:val="14"/>
              </w:rPr>
            </w:pPr>
            <w:r>
              <w:rPr>
                <w:color w:val="231F20"/>
                <w:spacing w:val="-3"/>
                <w:sz w:val="14"/>
              </w:rPr>
              <w:t xml:space="preserve">Школа </w:t>
            </w:r>
            <w:r>
              <w:rPr>
                <w:color w:val="231F20"/>
                <w:sz w:val="14"/>
              </w:rPr>
              <w:t>­</w:t>
            </w:r>
            <w:r>
              <w:rPr>
                <w:color w:val="231F20"/>
                <w:spacing w:val="2"/>
                <w:sz w:val="14"/>
              </w:rPr>
              <w:t xml:space="preserve"> </w:t>
            </w:r>
            <w:r>
              <w:rPr>
                <w:color w:val="231F20"/>
                <w:sz w:val="14"/>
              </w:rPr>
              <w:t>обавезе.</w:t>
            </w:r>
          </w:p>
          <w:p w:rsidR="00041039" w:rsidRDefault="001B26CB">
            <w:pPr>
              <w:pStyle w:val="TableParagraph"/>
              <w:numPr>
                <w:ilvl w:val="0"/>
                <w:numId w:val="97"/>
              </w:numPr>
              <w:tabs>
                <w:tab w:val="left" w:pos="157"/>
              </w:tabs>
              <w:spacing w:line="160" w:lineRule="exact"/>
              <w:ind w:hanging="99"/>
              <w:rPr>
                <w:sz w:val="14"/>
              </w:rPr>
            </w:pPr>
            <w:r>
              <w:rPr>
                <w:color w:val="231F20"/>
                <w:sz w:val="14"/>
              </w:rPr>
              <w:t>Вршњаци.</w:t>
            </w:r>
          </w:p>
          <w:p w:rsidR="00041039" w:rsidRDefault="001B26CB">
            <w:pPr>
              <w:pStyle w:val="TableParagraph"/>
              <w:numPr>
                <w:ilvl w:val="0"/>
                <w:numId w:val="97"/>
              </w:numPr>
              <w:tabs>
                <w:tab w:val="left" w:pos="157"/>
              </w:tabs>
              <w:spacing w:line="166" w:lineRule="exact"/>
              <w:ind w:hanging="99"/>
              <w:rPr>
                <w:sz w:val="14"/>
              </w:rPr>
            </w:pPr>
            <w:r>
              <w:rPr>
                <w:color w:val="231F20"/>
                <w:sz w:val="14"/>
              </w:rPr>
              <w:t>Средства масовних</w:t>
            </w:r>
            <w:r>
              <w:rPr>
                <w:color w:val="231F20"/>
                <w:spacing w:val="-2"/>
                <w:sz w:val="14"/>
              </w:rPr>
              <w:t xml:space="preserve"> </w:t>
            </w:r>
            <w:r>
              <w:rPr>
                <w:color w:val="231F20"/>
                <w:sz w:val="14"/>
              </w:rPr>
              <w:t>комуникација.</w:t>
            </w:r>
          </w:p>
        </w:tc>
        <w:tc>
          <w:tcPr>
            <w:tcW w:w="2267" w:type="dxa"/>
            <w:vMerge/>
            <w:tcBorders>
              <w:top w:val="nil"/>
            </w:tcBorders>
          </w:tcPr>
          <w:p w:rsidR="00041039" w:rsidRDefault="00041039">
            <w:pPr>
              <w:rPr>
                <w:sz w:val="2"/>
                <w:szCs w:val="2"/>
              </w:rPr>
            </w:pPr>
          </w:p>
        </w:tc>
      </w:tr>
      <w:tr w:rsidR="00041039">
        <w:trPr>
          <w:trHeight w:val="1960"/>
        </w:trPr>
        <w:tc>
          <w:tcPr>
            <w:tcW w:w="1304" w:type="dxa"/>
          </w:tcPr>
          <w:p w:rsidR="00041039" w:rsidRDefault="001B26CB">
            <w:pPr>
              <w:pStyle w:val="TableParagraph"/>
              <w:spacing w:before="19"/>
              <w:ind w:left="56"/>
              <w:rPr>
                <w:sz w:val="14"/>
              </w:rPr>
            </w:pPr>
            <w:r>
              <w:rPr>
                <w:color w:val="231F20"/>
                <w:sz w:val="14"/>
              </w:rPr>
              <w:t>Учење</w:t>
            </w:r>
          </w:p>
        </w:tc>
        <w:tc>
          <w:tcPr>
            <w:tcW w:w="1587" w:type="dxa"/>
          </w:tcPr>
          <w:p w:rsidR="00041039" w:rsidRDefault="001B26CB">
            <w:pPr>
              <w:pStyle w:val="TableParagraph"/>
              <w:numPr>
                <w:ilvl w:val="0"/>
                <w:numId w:val="96"/>
              </w:numPr>
              <w:tabs>
                <w:tab w:val="left" w:pos="157"/>
              </w:tabs>
              <w:spacing w:before="9"/>
              <w:ind w:right="110"/>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1"/>
                <w:sz w:val="14"/>
              </w:rPr>
              <w:t xml:space="preserve"> </w:t>
            </w:r>
            <w:r>
              <w:rPr>
                <w:color w:val="231F20"/>
                <w:sz w:val="14"/>
              </w:rPr>
              <w:t>учења.</w:t>
            </w:r>
          </w:p>
        </w:tc>
        <w:tc>
          <w:tcPr>
            <w:tcW w:w="2551" w:type="dxa"/>
          </w:tcPr>
          <w:p w:rsidR="00041039" w:rsidRDefault="001B26CB">
            <w:pPr>
              <w:pStyle w:val="TableParagraph"/>
              <w:numPr>
                <w:ilvl w:val="0"/>
                <w:numId w:val="95"/>
              </w:numPr>
              <w:tabs>
                <w:tab w:val="left" w:pos="157"/>
              </w:tabs>
              <w:spacing w:before="9"/>
              <w:ind w:right="149" w:hanging="99"/>
              <w:rPr>
                <w:sz w:val="14"/>
              </w:rPr>
            </w:pPr>
            <w:r>
              <w:rPr>
                <w:color w:val="231F20"/>
                <w:sz w:val="14"/>
              </w:rPr>
              <w:t>објасни шта је учење и наведе које</w:t>
            </w:r>
            <w:r>
              <w:rPr>
                <w:color w:val="231F20"/>
                <w:spacing w:val="-16"/>
                <w:sz w:val="14"/>
              </w:rPr>
              <w:t xml:space="preserve"> </w:t>
            </w:r>
            <w:r>
              <w:rPr>
                <w:color w:val="231F20"/>
                <w:sz w:val="14"/>
              </w:rPr>
              <w:t>су врсте</w:t>
            </w:r>
            <w:r>
              <w:rPr>
                <w:color w:val="231F20"/>
                <w:spacing w:val="-2"/>
                <w:sz w:val="14"/>
              </w:rPr>
              <w:t xml:space="preserve"> </w:t>
            </w:r>
            <w:r>
              <w:rPr>
                <w:color w:val="231F20"/>
                <w:sz w:val="14"/>
              </w:rPr>
              <w:t>учења;</w:t>
            </w:r>
          </w:p>
          <w:p w:rsidR="00041039" w:rsidRDefault="001B26CB">
            <w:pPr>
              <w:pStyle w:val="TableParagraph"/>
              <w:numPr>
                <w:ilvl w:val="0"/>
                <w:numId w:val="95"/>
              </w:numPr>
              <w:tabs>
                <w:tab w:val="left" w:pos="157"/>
              </w:tabs>
              <w:spacing w:line="160" w:lineRule="exact"/>
              <w:ind w:right="160" w:hanging="99"/>
              <w:rPr>
                <w:sz w:val="14"/>
              </w:rPr>
            </w:pPr>
            <w:r>
              <w:rPr>
                <w:color w:val="231F20"/>
                <w:sz w:val="14"/>
              </w:rPr>
              <w:t>објасни шта је социјално учење и на­ веде које су врсте социјалног</w:t>
            </w:r>
            <w:r>
              <w:rPr>
                <w:color w:val="231F20"/>
                <w:spacing w:val="-17"/>
                <w:sz w:val="14"/>
              </w:rPr>
              <w:t xml:space="preserve"> </w:t>
            </w:r>
            <w:r>
              <w:rPr>
                <w:color w:val="231F20"/>
                <w:sz w:val="14"/>
              </w:rPr>
              <w:t>учења;</w:t>
            </w:r>
          </w:p>
          <w:p w:rsidR="00041039" w:rsidRDefault="001B26CB">
            <w:pPr>
              <w:pStyle w:val="TableParagraph"/>
              <w:numPr>
                <w:ilvl w:val="0"/>
                <w:numId w:val="95"/>
              </w:numPr>
              <w:tabs>
                <w:tab w:val="left" w:pos="157"/>
              </w:tabs>
              <w:spacing w:line="153" w:lineRule="exact"/>
              <w:ind w:hanging="99"/>
              <w:rPr>
                <w:sz w:val="14"/>
              </w:rPr>
            </w:pPr>
            <w:r>
              <w:rPr>
                <w:color w:val="231F20"/>
                <w:sz w:val="14"/>
              </w:rPr>
              <w:t>објасни шта је класично</w:t>
            </w:r>
            <w:r>
              <w:rPr>
                <w:color w:val="231F20"/>
                <w:spacing w:val="-2"/>
                <w:sz w:val="14"/>
              </w:rPr>
              <w:t xml:space="preserve"> </w:t>
            </w:r>
            <w:r>
              <w:rPr>
                <w:color w:val="231F20"/>
                <w:sz w:val="14"/>
              </w:rPr>
              <w:t>условљавање;</w:t>
            </w:r>
          </w:p>
          <w:p w:rsidR="00041039" w:rsidRDefault="001B26CB">
            <w:pPr>
              <w:pStyle w:val="TableParagraph"/>
              <w:numPr>
                <w:ilvl w:val="0"/>
                <w:numId w:val="95"/>
              </w:numPr>
              <w:tabs>
                <w:tab w:val="left" w:pos="157"/>
              </w:tabs>
              <w:spacing w:line="160" w:lineRule="exact"/>
              <w:ind w:hanging="99"/>
              <w:rPr>
                <w:sz w:val="14"/>
              </w:rPr>
            </w:pPr>
            <w:r>
              <w:rPr>
                <w:color w:val="231F20"/>
                <w:sz w:val="14"/>
              </w:rPr>
              <w:t>објасни шта је инструментално</w:t>
            </w:r>
            <w:r>
              <w:rPr>
                <w:color w:val="231F20"/>
                <w:spacing w:val="-5"/>
                <w:sz w:val="14"/>
              </w:rPr>
              <w:t xml:space="preserve"> </w:t>
            </w:r>
            <w:r>
              <w:rPr>
                <w:color w:val="231F20"/>
                <w:sz w:val="14"/>
              </w:rPr>
              <w:t>учење;</w:t>
            </w:r>
          </w:p>
          <w:p w:rsidR="00041039" w:rsidRDefault="001B26CB">
            <w:pPr>
              <w:pStyle w:val="TableParagraph"/>
              <w:numPr>
                <w:ilvl w:val="0"/>
                <w:numId w:val="95"/>
              </w:numPr>
              <w:tabs>
                <w:tab w:val="left" w:pos="157"/>
              </w:tabs>
              <w:spacing w:line="237" w:lineRule="auto"/>
              <w:ind w:right="151" w:hanging="99"/>
              <w:rPr>
                <w:sz w:val="14"/>
              </w:rPr>
            </w:pPr>
            <w:r>
              <w:rPr>
                <w:color w:val="231F20"/>
                <w:sz w:val="14"/>
              </w:rPr>
              <w:t>објасни шта је учење по моделу и</w:t>
            </w:r>
            <w:r>
              <w:rPr>
                <w:color w:val="231F20"/>
                <w:spacing w:val="-11"/>
                <w:sz w:val="14"/>
              </w:rPr>
              <w:t xml:space="preserve"> </w:t>
            </w:r>
            <w:r>
              <w:rPr>
                <w:color w:val="231F20"/>
                <w:sz w:val="14"/>
              </w:rPr>
              <w:t>на­ веде врсте тог</w:t>
            </w:r>
            <w:r>
              <w:rPr>
                <w:color w:val="231F20"/>
                <w:spacing w:val="-2"/>
                <w:sz w:val="14"/>
              </w:rPr>
              <w:t xml:space="preserve"> </w:t>
            </w:r>
            <w:r>
              <w:rPr>
                <w:color w:val="231F20"/>
                <w:sz w:val="14"/>
              </w:rPr>
              <w:t>учења;</w:t>
            </w:r>
          </w:p>
          <w:p w:rsidR="00041039" w:rsidRDefault="001B26CB">
            <w:pPr>
              <w:pStyle w:val="TableParagraph"/>
              <w:numPr>
                <w:ilvl w:val="0"/>
                <w:numId w:val="95"/>
              </w:numPr>
              <w:tabs>
                <w:tab w:val="left" w:pos="157"/>
              </w:tabs>
              <w:spacing w:line="155" w:lineRule="exact"/>
              <w:ind w:hanging="99"/>
              <w:rPr>
                <w:sz w:val="14"/>
              </w:rPr>
            </w:pPr>
            <w:r>
              <w:rPr>
                <w:color w:val="231F20"/>
                <w:sz w:val="14"/>
              </w:rPr>
              <w:t>објасни методе</w:t>
            </w:r>
            <w:r>
              <w:rPr>
                <w:color w:val="231F20"/>
                <w:spacing w:val="-7"/>
                <w:sz w:val="14"/>
              </w:rPr>
              <w:t xml:space="preserve"> </w:t>
            </w:r>
            <w:r>
              <w:rPr>
                <w:color w:val="231F20"/>
                <w:sz w:val="14"/>
              </w:rPr>
              <w:t>учења;</w:t>
            </w:r>
          </w:p>
          <w:p w:rsidR="00041039" w:rsidRDefault="001B26CB">
            <w:pPr>
              <w:pStyle w:val="TableParagraph"/>
              <w:numPr>
                <w:ilvl w:val="0"/>
                <w:numId w:val="95"/>
              </w:numPr>
              <w:tabs>
                <w:tab w:val="left" w:pos="157"/>
              </w:tabs>
              <w:spacing w:line="160" w:lineRule="exact"/>
              <w:ind w:hanging="99"/>
              <w:rPr>
                <w:sz w:val="14"/>
              </w:rPr>
            </w:pPr>
            <w:r>
              <w:rPr>
                <w:color w:val="231F20"/>
                <w:sz w:val="14"/>
              </w:rPr>
              <w:t>направи индивидуални план</w:t>
            </w:r>
            <w:r>
              <w:rPr>
                <w:color w:val="231F20"/>
                <w:spacing w:val="-9"/>
                <w:sz w:val="14"/>
              </w:rPr>
              <w:t xml:space="preserve"> </w:t>
            </w:r>
            <w:r>
              <w:rPr>
                <w:color w:val="231F20"/>
                <w:sz w:val="14"/>
              </w:rPr>
              <w:t>учења;</w:t>
            </w:r>
          </w:p>
          <w:p w:rsidR="00041039" w:rsidRDefault="001B26CB">
            <w:pPr>
              <w:pStyle w:val="TableParagraph"/>
              <w:numPr>
                <w:ilvl w:val="0"/>
                <w:numId w:val="95"/>
              </w:numPr>
              <w:tabs>
                <w:tab w:val="left" w:pos="157"/>
              </w:tabs>
              <w:spacing w:line="237" w:lineRule="auto"/>
              <w:ind w:right="52" w:hanging="99"/>
              <w:rPr>
                <w:sz w:val="14"/>
              </w:rPr>
            </w:pPr>
            <w:r>
              <w:rPr>
                <w:color w:val="231F20"/>
                <w:sz w:val="14"/>
              </w:rPr>
              <w:t>објасни процес доношења одлуке и</w:t>
            </w:r>
            <w:r>
              <w:rPr>
                <w:color w:val="231F20"/>
                <w:spacing w:val="-13"/>
                <w:sz w:val="14"/>
              </w:rPr>
              <w:t xml:space="preserve"> </w:t>
            </w:r>
            <w:r>
              <w:rPr>
                <w:color w:val="231F20"/>
                <w:sz w:val="14"/>
              </w:rPr>
              <w:t>на­ чин дефинисања и остварења</w:t>
            </w:r>
            <w:r>
              <w:rPr>
                <w:color w:val="231F20"/>
                <w:spacing w:val="-2"/>
                <w:sz w:val="14"/>
              </w:rPr>
              <w:t xml:space="preserve"> </w:t>
            </w:r>
            <w:r>
              <w:rPr>
                <w:color w:val="231F20"/>
                <w:sz w:val="14"/>
              </w:rPr>
              <w:t>циља;</w:t>
            </w:r>
          </w:p>
        </w:tc>
        <w:tc>
          <w:tcPr>
            <w:tcW w:w="2834" w:type="dxa"/>
          </w:tcPr>
          <w:p w:rsidR="00041039" w:rsidRDefault="001B26CB">
            <w:pPr>
              <w:pStyle w:val="TableParagraph"/>
              <w:numPr>
                <w:ilvl w:val="0"/>
                <w:numId w:val="94"/>
              </w:numPr>
              <w:tabs>
                <w:tab w:val="left" w:pos="158"/>
              </w:tabs>
              <w:spacing w:before="9" w:line="166" w:lineRule="exact"/>
              <w:rPr>
                <w:sz w:val="14"/>
              </w:rPr>
            </w:pPr>
            <w:r>
              <w:rPr>
                <w:color w:val="231F20"/>
                <w:sz w:val="14"/>
              </w:rPr>
              <w:t>Учење и врсте</w:t>
            </w:r>
            <w:r>
              <w:rPr>
                <w:color w:val="231F20"/>
                <w:spacing w:val="-3"/>
                <w:sz w:val="14"/>
              </w:rPr>
              <w:t xml:space="preserve"> </w:t>
            </w:r>
            <w:r>
              <w:rPr>
                <w:color w:val="231F20"/>
                <w:sz w:val="14"/>
              </w:rPr>
              <w:t>учења.</w:t>
            </w:r>
          </w:p>
          <w:p w:rsidR="00041039" w:rsidRDefault="001B26CB">
            <w:pPr>
              <w:pStyle w:val="TableParagraph"/>
              <w:numPr>
                <w:ilvl w:val="0"/>
                <w:numId w:val="94"/>
              </w:numPr>
              <w:tabs>
                <w:tab w:val="left" w:pos="158"/>
              </w:tabs>
              <w:spacing w:line="160" w:lineRule="exact"/>
              <w:rPr>
                <w:sz w:val="14"/>
              </w:rPr>
            </w:pPr>
            <w:r>
              <w:rPr>
                <w:color w:val="231F20"/>
                <w:sz w:val="14"/>
              </w:rPr>
              <w:t>Социјално учење и</w:t>
            </w:r>
            <w:r>
              <w:rPr>
                <w:color w:val="231F20"/>
                <w:spacing w:val="-3"/>
                <w:sz w:val="14"/>
              </w:rPr>
              <w:t xml:space="preserve"> </w:t>
            </w:r>
            <w:r>
              <w:rPr>
                <w:color w:val="231F20"/>
                <w:sz w:val="14"/>
              </w:rPr>
              <w:t>врсте.</w:t>
            </w:r>
          </w:p>
          <w:p w:rsidR="00041039" w:rsidRDefault="001B26CB">
            <w:pPr>
              <w:pStyle w:val="TableParagraph"/>
              <w:numPr>
                <w:ilvl w:val="0"/>
                <w:numId w:val="94"/>
              </w:numPr>
              <w:tabs>
                <w:tab w:val="left" w:pos="158"/>
              </w:tabs>
              <w:spacing w:line="160" w:lineRule="exact"/>
              <w:rPr>
                <w:sz w:val="14"/>
              </w:rPr>
            </w:pPr>
            <w:r>
              <w:rPr>
                <w:color w:val="231F20"/>
                <w:sz w:val="14"/>
              </w:rPr>
              <w:t>Класично</w:t>
            </w:r>
            <w:r>
              <w:rPr>
                <w:color w:val="231F20"/>
                <w:spacing w:val="-2"/>
                <w:sz w:val="14"/>
              </w:rPr>
              <w:t xml:space="preserve"> </w:t>
            </w:r>
            <w:r>
              <w:rPr>
                <w:color w:val="231F20"/>
                <w:sz w:val="14"/>
              </w:rPr>
              <w:t>условљавање.</w:t>
            </w:r>
          </w:p>
          <w:p w:rsidR="00041039" w:rsidRDefault="001B26CB">
            <w:pPr>
              <w:pStyle w:val="TableParagraph"/>
              <w:numPr>
                <w:ilvl w:val="0"/>
                <w:numId w:val="94"/>
              </w:numPr>
              <w:tabs>
                <w:tab w:val="left" w:pos="158"/>
              </w:tabs>
              <w:spacing w:line="160" w:lineRule="exact"/>
              <w:rPr>
                <w:sz w:val="14"/>
              </w:rPr>
            </w:pPr>
            <w:r>
              <w:rPr>
                <w:color w:val="231F20"/>
                <w:sz w:val="14"/>
              </w:rPr>
              <w:t>Инструментално</w:t>
            </w:r>
            <w:r>
              <w:rPr>
                <w:color w:val="231F20"/>
                <w:spacing w:val="-7"/>
                <w:sz w:val="14"/>
              </w:rPr>
              <w:t xml:space="preserve"> </w:t>
            </w:r>
            <w:r>
              <w:rPr>
                <w:color w:val="231F20"/>
                <w:sz w:val="14"/>
              </w:rPr>
              <w:t>учење.</w:t>
            </w:r>
          </w:p>
          <w:p w:rsidR="00041039" w:rsidRDefault="001B26CB">
            <w:pPr>
              <w:pStyle w:val="TableParagraph"/>
              <w:numPr>
                <w:ilvl w:val="0"/>
                <w:numId w:val="94"/>
              </w:numPr>
              <w:tabs>
                <w:tab w:val="left" w:pos="158"/>
              </w:tabs>
              <w:spacing w:line="160" w:lineRule="exact"/>
              <w:rPr>
                <w:sz w:val="14"/>
              </w:rPr>
            </w:pPr>
            <w:r>
              <w:rPr>
                <w:color w:val="231F20"/>
                <w:sz w:val="14"/>
              </w:rPr>
              <w:t>Учење по</w:t>
            </w:r>
            <w:r>
              <w:rPr>
                <w:color w:val="231F20"/>
                <w:spacing w:val="-2"/>
                <w:sz w:val="14"/>
              </w:rPr>
              <w:t xml:space="preserve"> </w:t>
            </w:r>
            <w:r>
              <w:rPr>
                <w:color w:val="231F20"/>
                <w:spacing w:val="-3"/>
                <w:sz w:val="14"/>
              </w:rPr>
              <w:t>моделу.</w:t>
            </w:r>
          </w:p>
          <w:p w:rsidR="00041039" w:rsidRDefault="001B26CB">
            <w:pPr>
              <w:pStyle w:val="TableParagraph"/>
              <w:numPr>
                <w:ilvl w:val="0"/>
                <w:numId w:val="94"/>
              </w:numPr>
              <w:tabs>
                <w:tab w:val="left" w:pos="158"/>
              </w:tabs>
              <w:spacing w:line="160" w:lineRule="exact"/>
              <w:rPr>
                <w:sz w:val="14"/>
              </w:rPr>
            </w:pPr>
            <w:r>
              <w:rPr>
                <w:color w:val="231F20"/>
                <w:sz w:val="14"/>
              </w:rPr>
              <w:t>Методе</w:t>
            </w:r>
            <w:r>
              <w:rPr>
                <w:color w:val="231F20"/>
                <w:spacing w:val="-1"/>
                <w:sz w:val="14"/>
              </w:rPr>
              <w:t xml:space="preserve"> </w:t>
            </w:r>
            <w:r>
              <w:rPr>
                <w:color w:val="231F20"/>
                <w:sz w:val="14"/>
              </w:rPr>
              <w:t>учења.</w:t>
            </w:r>
          </w:p>
          <w:p w:rsidR="00041039" w:rsidRDefault="001B26CB">
            <w:pPr>
              <w:pStyle w:val="TableParagraph"/>
              <w:numPr>
                <w:ilvl w:val="0"/>
                <w:numId w:val="94"/>
              </w:numPr>
              <w:tabs>
                <w:tab w:val="left" w:pos="158"/>
              </w:tabs>
              <w:spacing w:line="160" w:lineRule="exact"/>
              <w:rPr>
                <w:sz w:val="14"/>
              </w:rPr>
            </w:pPr>
            <w:r>
              <w:rPr>
                <w:color w:val="231F20"/>
                <w:sz w:val="14"/>
              </w:rPr>
              <w:t>План</w:t>
            </w:r>
            <w:r>
              <w:rPr>
                <w:color w:val="231F20"/>
                <w:spacing w:val="-2"/>
                <w:sz w:val="14"/>
              </w:rPr>
              <w:t xml:space="preserve"> </w:t>
            </w:r>
            <w:r>
              <w:rPr>
                <w:color w:val="231F20"/>
                <w:sz w:val="14"/>
              </w:rPr>
              <w:t>учења.</w:t>
            </w:r>
          </w:p>
          <w:p w:rsidR="00041039" w:rsidRDefault="001B26CB">
            <w:pPr>
              <w:pStyle w:val="TableParagraph"/>
              <w:numPr>
                <w:ilvl w:val="0"/>
                <w:numId w:val="94"/>
              </w:numPr>
              <w:tabs>
                <w:tab w:val="left" w:pos="158"/>
              </w:tabs>
              <w:spacing w:line="166" w:lineRule="exact"/>
              <w:rPr>
                <w:sz w:val="14"/>
              </w:rPr>
            </w:pPr>
            <w:r>
              <w:rPr>
                <w:color w:val="231F20"/>
                <w:sz w:val="14"/>
              </w:rPr>
              <w:t>Доношење одлука (остварење</w:t>
            </w:r>
            <w:r>
              <w:rPr>
                <w:color w:val="231F20"/>
                <w:spacing w:val="-5"/>
                <w:sz w:val="14"/>
              </w:rPr>
              <w:t xml:space="preserve"> </w:t>
            </w:r>
            <w:r>
              <w:rPr>
                <w:color w:val="231F20"/>
                <w:sz w:val="14"/>
              </w:rPr>
              <w:t>циља).</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19"/>
              <w:ind w:left="57"/>
              <w:rPr>
                <w:sz w:val="14"/>
              </w:rPr>
            </w:pPr>
            <w:r>
              <w:rPr>
                <w:color w:val="231F20"/>
                <w:sz w:val="14"/>
              </w:rPr>
              <w:t>Памћење</w:t>
            </w:r>
          </w:p>
        </w:tc>
        <w:tc>
          <w:tcPr>
            <w:tcW w:w="1587" w:type="dxa"/>
          </w:tcPr>
          <w:p w:rsidR="00041039" w:rsidRDefault="001B26CB">
            <w:pPr>
              <w:pStyle w:val="TableParagraph"/>
              <w:numPr>
                <w:ilvl w:val="0"/>
                <w:numId w:val="93"/>
              </w:numPr>
              <w:tabs>
                <w:tab w:val="left" w:pos="157"/>
              </w:tabs>
              <w:spacing w:before="9"/>
              <w:ind w:right="110" w:hanging="99"/>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1"/>
                <w:sz w:val="14"/>
              </w:rPr>
              <w:t xml:space="preserve"> </w:t>
            </w:r>
            <w:r>
              <w:rPr>
                <w:color w:val="231F20"/>
                <w:sz w:val="14"/>
              </w:rPr>
              <w:t>памћења.</w:t>
            </w:r>
          </w:p>
        </w:tc>
        <w:tc>
          <w:tcPr>
            <w:tcW w:w="2551" w:type="dxa"/>
          </w:tcPr>
          <w:p w:rsidR="00041039" w:rsidRDefault="001B26CB">
            <w:pPr>
              <w:pStyle w:val="TableParagraph"/>
              <w:numPr>
                <w:ilvl w:val="0"/>
                <w:numId w:val="92"/>
              </w:numPr>
              <w:tabs>
                <w:tab w:val="left" w:pos="157"/>
              </w:tabs>
              <w:spacing w:before="9" w:line="166" w:lineRule="exact"/>
              <w:ind w:hanging="99"/>
              <w:rPr>
                <w:sz w:val="14"/>
              </w:rPr>
            </w:pPr>
            <w:r>
              <w:rPr>
                <w:color w:val="231F20"/>
                <w:sz w:val="14"/>
              </w:rPr>
              <w:t>објасни шта је</w:t>
            </w:r>
            <w:r>
              <w:rPr>
                <w:color w:val="231F20"/>
                <w:spacing w:val="-1"/>
                <w:sz w:val="14"/>
              </w:rPr>
              <w:t xml:space="preserve"> </w:t>
            </w:r>
            <w:r>
              <w:rPr>
                <w:color w:val="231F20"/>
                <w:sz w:val="14"/>
              </w:rPr>
              <w:t>памћење;</w:t>
            </w:r>
          </w:p>
          <w:p w:rsidR="00041039" w:rsidRDefault="001B26CB">
            <w:pPr>
              <w:pStyle w:val="TableParagraph"/>
              <w:numPr>
                <w:ilvl w:val="0"/>
                <w:numId w:val="92"/>
              </w:numPr>
              <w:tabs>
                <w:tab w:val="left" w:pos="157"/>
              </w:tabs>
              <w:spacing w:line="237" w:lineRule="auto"/>
              <w:ind w:right="170" w:hanging="99"/>
              <w:rPr>
                <w:sz w:val="14"/>
              </w:rPr>
            </w:pPr>
            <w:r>
              <w:rPr>
                <w:color w:val="231F20"/>
                <w:sz w:val="14"/>
              </w:rPr>
              <w:t>објасни карактеристике сензорног, краткорочног</w:t>
            </w:r>
            <w:r>
              <w:rPr>
                <w:color w:val="231F20"/>
                <w:spacing w:val="-10"/>
                <w:sz w:val="14"/>
              </w:rPr>
              <w:t xml:space="preserve"> </w:t>
            </w:r>
            <w:r>
              <w:rPr>
                <w:color w:val="231F20"/>
                <w:sz w:val="14"/>
              </w:rPr>
              <w:t>и</w:t>
            </w:r>
            <w:r>
              <w:rPr>
                <w:color w:val="231F20"/>
                <w:spacing w:val="-11"/>
                <w:sz w:val="14"/>
              </w:rPr>
              <w:t xml:space="preserve"> </w:t>
            </w:r>
            <w:r>
              <w:rPr>
                <w:color w:val="231F20"/>
                <w:sz w:val="14"/>
              </w:rPr>
              <w:t>дугорочног</w:t>
            </w:r>
            <w:r>
              <w:rPr>
                <w:color w:val="231F20"/>
                <w:spacing w:val="-10"/>
                <w:sz w:val="14"/>
              </w:rPr>
              <w:t xml:space="preserve"> </w:t>
            </w:r>
            <w:r>
              <w:rPr>
                <w:color w:val="231F20"/>
                <w:sz w:val="14"/>
              </w:rPr>
              <w:t>памћења;</w:t>
            </w:r>
          </w:p>
          <w:p w:rsidR="00041039" w:rsidRDefault="001B26CB">
            <w:pPr>
              <w:pStyle w:val="TableParagraph"/>
              <w:numPr>
                <w:ilvl w:val="0"/>
                <w:numId w:val="92"/>
              </w:numPr>
              <w:tabs>
                <w:tab w:val="left" w:pos="157"/>
              </w:tabs>
              <w:spacing w:line="160" w:lineRule="exact"/>
              <w:ind w:right="334" w:hanging="99"/>
              <w:jc w:val="both"/>
              <w:rPr>
                <w:sz w:val="14"/>
              </w:rPr>
            </w:pPr>
            <w:r>
              <w:rPr>
                <w:color w:val="231F20"/>
                <w:sz w:val="14"/>
              </w:rPr>
              <w:t>објасни карактеристике</w:t>
            </w:r>
            <w:r>
              <w:rPr>
                <w:color w:val="231F20"/>
                <w:spacing w:val="-9"/>
                <w:sz w:val="14"/>
              </w:rPr>
              <w:t xml:space="preserve"> </w:t>
            </w:r>
            <w:r>
              <w:rPr>
                <w:color w:val="231F20"/>
                <w:sz w:val="14"/>
              </w:rPr>
              <w:t xml:space="preserve">семантич­ </w:t>
            </w:r>
            <w:r>
              <w:rPr>
                <w:color w:val="231F20"/>
                <w:spacing w:val="-6"/>
                <w:sz w:val="14"/>
              </w:rPr>
              <w:t xml:space="preserve">ког, </w:t>
            </w:r>
            <w:r>
              <w:rPr>
                <w:color w:val="231F20"/>
                <w:sz w:val="14"/>
              </w:rPr>
              <w:t>епизодичког и процедуралног памћења;</w:t>
            </w:r>
          </w:p>
          <w:p w:rsidR="00041039" w:rsidRDefault="001B26CB">
            <w:pPr>
              <w:pStyle w:val="TableParagraph"/>
              <w:numPr>
                <w:ilvl w:val="0"/>
                <w:numId w:val="92"/>
              </w:numPr>
              <w:tabs>
                <w:tab w:val="left" w:pos="157"/>
              </w:tabs>
              <w:spacing w:line="158" w:lineRule="exact"/>
              <w:ind w:hanging="99"/>
              <w:jc w:val="both"/>
              <w:rPr>
                <w:sz w:val="14"/>
              </w:rPr>
            </w:pPr>
            <w:r>
              <w:rPr>
                <w:color w:val="231F20"/>
                <w:sz w:val="14"/>
              </w:rPr>
              <w:t>наведе и објасни</w:t>
            </w:r>
            <w:r>
              <w:rPr>
                <w:color w:val="231F20"/>
                <w:spacing w:val="-4"/>
                <w:sz w:val="14"/>
              </w:rPr>
              <w:t xml:space="preserve"> </w:t>
            </w:r>
            <w:r>
              <w:rPr>
                <w:color w:val="231F20"/>
                <w:sz w:val="14"/>
              </w:rPr>
              <w:t>мнемотехнике;</w:t>
            </w:r>
          </w:p>
        </w:tc>
        <w:tc>
          <w:tcPr>
            <w:tcW w:w="2834" w:type="dxa"/>
          </w:tcPr>
          <w:p w:rsidR="00041039" w:rsidRDefault="001B26CB">
            <w:pPr>
              <w:pStyle w:val="TableParagraph"/>
              <w:numPr>
                <w:ilvl w:val="0"/>
                <w:numId w:val="91"/>
              </w:numPr>
              <w:tabs>
                <w:tab w:val="left" w:pos="158"/>
              </w:tabs>
              <w:spacing w:before="9" w:line="166" w:lineRule="exact"/>
              <w:rPr>
                <w:sz w:val="14"/>
              </w:rPr>
            </w:pPr>
            <w:r>
              <w:rPr>
                <w:color w:val="231F20"/>
                <w:sz w:val="14"/>
              </w:rPr>
              <w:t>Памћење.</w:t>
            </w:r>
          </w:p>
          <w:p w:rsidR="00041039" w:rsidRDefault="001B26CB">
            <w:pPr>
              <w:pStyle w:val="TableParagraph"/>
              <w:numPr>
                <w:ilvl w:val="0"/>
                <w:numId w:val="91"/>
              </w:numPr>
              <w:tabs>
                <w:tab w:val="left" w:pos="158"/>
              </w:tabs>
              <w:spacing w:line="237" w:lineRule="auto"/>
              <w:ind w:right="556"/>
              <w:rPr>
                <w:sz w:val="14"/>
              </w:rPr>
            </w:pPr>
            <w:r>
              <w:rPr>
                <w:color w:val="231F20"/>
                <w:sz w:val="14"/>
              </w:rPr>
              <w:t>Сензорно,краткорочно и</w:t>
            </w:r>
            <w:r>
              <w:rPr>
                <w:color w:val="231F20"/>
                <w:spacing w:val="-23"/>
                <w:sz w:val="14"/>
              </w:rPr>
              <w:t xml:space="preserve"> </w:t>
            </w:r>
            <w:r>
              <w:rPr>
                <w:color w:val="231F20"/>
                <w:sz w:val="14"/>
              </w:rPr>
              <w:t>дугорочно памћење.</w:t>
            </w:r>
          </w:p>
          <w:p w:rsidR="00041039" w:rsidRDefault="001B26CB">
            <w:pPr>
              <w:pStyle w:val="TableParagraph"/>
              <w:numPr>
                <w:ilvl w:val="0"/>
                <w:numId w:val="91"/>
              </w:numPr>
              <w:tabs>
                <w:tab w:val="left" w:pos="158"/>
              </w:tabs>
              <w:spacing w:line="160" w:lineRule="exact"/>
              <w:ind w:right="211"/>
              <w:rPr>
                <w:sz w:val="14"/>
              </w:rPr>
            </w:pPr>
            <w:r>
              <w:rPr>
                <w:color w:val="231F20"/>
                <w:sz w:val="14"/>
              </w:rPr>
              <w:t>Семантичко, епизодичко и</w:t>
            </w:r>
            <w:r>
              <w:rPr>
                <w:color w:val="231F20"/>
                <w:spacing w:val="-28"/>
                <w:sz w:val="14"/>
              </w:rPr>
              <w:t xml:space="preserve"> </w:t>
            </w:r>
            <w:r>
              <w:rPr>
                <w:color w:val="231F20"/>
                <w:sz w:val="14"/>
              </w:rPr>
              <w:t>процедурално памћење.</w:t>
            </w:r>
          </w:p>
          <w:p w:rsidR="00041039" w:rsidRDefault="001B26CB">
            <w:pPr>
              <w:pStyle w:val="TableParagraph"/>
              <w:numPr>
                <w:ilvl w:val="0"/>
                <w:numId w:val="91"/>
              </w:numPr>
              <w:tabs>
                <w:tab w:val="left" w:pos="158"/>
              </w:tabs>
              <w:spacing w:line="159" w:lineRule="exact"/>
              <w:rPr>
                <w:sz w:val="14"/>
              </w:rPr>
            </w:pPr>
            <w:r>
              <w:rPr>
                <w:color w:val="231F20"/>
                <w:sz w:val="14"/>
              </w:rPr>
              <w:t>Мнемотехнике.</w:t>
            </w:r>
          </w:p>
        </w:tc>
        <w:tc>
          <w:tcPr>
            <w:tcW w:w="2267" w:type="dxa"/>
            <w:vMerge/>
            <w:tcBorders>
              <w:top w:val="nil"/>
            </w:tcBorders>
          </w:tcPr>
          <w:p w:rsidR="00041039" w:rsidRDefault="00041039">
            <w:pPr>
              <w:rPr>
                <w:sz w:val="2"/>
                <w:szCs w:val="2"/>
              </w:rPr>
            </w:pPr>
          </w:p>
        </w:tc>
      </w:tr>
      <w:tr w:rsidR="00041039">
        <w:trPr>
          <w:trHeight w:val="2760"/>
        </w:trPr>
        <w:tc>
          <w:tcPr>
            <w:tcW w:w="1304" w:type="dxa"/>
          </w:tcPr>
          <w:p w:rsidR="00041039" w:rsidRDefault="001B26CB">
            <w:pPr>
              <w:pStyle w:val="TableParagraph"/>
              <w:spacing w:before="20"/>
              <w:ind w:left="57"/>
              <w:rPr>
                <w:sz w:val="14"/>
              </w:rPr>
            </w:pPr>
            <w:r>
              <w:rPr>
                <w:color w:val="231F20"/>
                <w:sz w:val="14"/>
              </w:rPr>
              <w:t>Адолесценција</w:t>
            </w:r>
          </w:p>
        </w:tc>
        <w:tc>
          <w:tcPr>
            <w:tcW w:w="1587" w:type="dxa"/>
          </w:tcPr>
          <w:p w:rsidR="00041039" w:rsidRDefault="001B26CB">
            <w:pPr>
              <w:pStyle w:val="TableParagraph"/>
              <w:numPr>
                <w:ilvl w:val="0"/>
                <w:numId w:val="90"/>
              </w:numPr>
              <w:tabs>
                <w:tab w:val="left" w:pos="157"/>
              </w:tabs>
              <w:spacing w:before="10"/>
              <w:ind w:right="124" w:hanging="99"/>
              <w:rPr>
                <w:sz w:val="14"/>
              </w:rPr>
            </w:pPr>
            <w:r>
              <w:rPr>
                <w:color w:val="231F20"/>
                <w:sz w:val="14"/>
              </w:rPr>
              <w:t>Упознавање са</w:t>
            </w:r>
            <w:r>
              <w:rPr>
                <w:color w:val="231F20"/>
                <w:spacing w:val="-16"/>
                <w:sz w:val="14"/>
              </w:rPr>
              <w:t xml:space="preserve"> </w:t>
            </w:r>
            <w:r>
              <w:rPr>
                <w:color w:val="231F20"/>
                <w:sz w:val="14"/>
              </w:rPr>
              <w:t>особе­ ностима адолесцен­ ције.</w:t>
            </w:r>
          </w:p>
        </w:tc>
        <w:tc>
          <w:tcPr>
            <w:tcW w:w="2551" w:type="dxa"/>
          </w:tcPr>
          <w:p w:rsidR="00041039" w:rsidRDefault="001B26CB">
            <w:pPr>
              <w:pStyle w:val="TableParagraph"/>
              <w:numPr>
                <w:ilvl w:val="0"/>
                <w:numId w:val="89"/>
              </w:numPr>
              <w:tabs>
                <w:tab w:val="left" w:pos="158"/>
              </w:tabs>
              <w:spacing w:before="10"/>
              <w:ind w:right="280"/>
              <w:rPr>
                <w:sz w:val="14"/>
              </w:rPr>
            </w:pPr>
            <w:r>
              <w:rPr>
                <w:color w:val="231F20"/>
                <w:sz w:val="14"/>
              </w:rPr>
              <w:t>објасни карактеристике</w:t>
            </w:r>
            <w:r>
              <w:rPr>
                <w:color w:val="231F20"/>
                <w:spacing w:val="-9"/>
                <w:sz w:val="14"/>
              </w:rPr>
              <w:t xml:space="preserve"> </w:t>
            </w:r>
            <w:r>
              <w:rPr>
                <w:color w:val="231F20"/>
                <w:sz w:val="14"/>
              </w:rPr>
              <w:t>адолесцен­ ције;</w:t>
            </w:r>
          </w:p>
          <w:p w:rsidR="00041039" w:rsidRDefault="001B26CB">
            <w:pPr>
              <w:pStyle w:val="TableParagraph"/>
              <w:numPr>
                <w:ilvl w:val="0"/>
                <w:numId w:val="89"/>
              </w:numPr>
              <w:tabs>
                <w:tab w:val="left" w:pos="158"/>
              </w:tabs>
              <w:spacing w:line="160" w:lineRule="exact"/>
              <w:ind w:right="289"/>
              <w:rPr>
                <w:sz w:val="14"/>
              </w:rPr>
            </w:pPr>
            <w:r>
              <w:rPr>
                <w:color w:val="231F20"/>
                <w:sz w:val="14"/>
              </w:rPr>
              <w:t>наведе</w:t>
            </w:r>
            <w:r>
              <w:rPr>
                <w:color w:val="231F20"/>
                <w:spacing w:val="-6"/>
                <w:sz w:val="14"/>
              </w:rPr>
              <w:t xml:space="preserve"> </w:t>
            </w:r>
            <w:r>
              <w:rPr>
                <w:color w:val="231F20"/>
                <w:sz w:val="14"/>
              </w:rPr>
              <w:t>које</w:t>
            </w:r>
            <w:r>
              <w:rPr>
                <w:color w:val="231F20"/>
                <w:spacing w:val="-6"/>
                <w:sz w:val="14"/>
              </w:rPr>
              <w:t xml:space="preserve"> </w:t>
            </w:r>
            <w:r>
              <w:rPr>
                <w:color w:val="231F20"/>
                <w:sz w:val="14"/>
              </w:rPr>
              <w:t>су</w:t>
            </w:r>
            <w:r>
              <w:rPr>
                <w:color w:val="231F20"/>
                <w:spacing w:val="-6"/>
                <w:sz w:val="14"/>
              </w:rPr>
              <w:t xml:space="preserve"> </w:t>
            </w:r>
            <w:r>
              <w:rPr>
                <w:color w:val="231F20"/>
                <w:sz w:val="14"/>
              </w:rPr>
              <w:t>биолошке</w:t>
            </w:r>
            <w:r>
              <w:rPr>
                <w:color w:val="231F20"/>
                <w:spacing w:val="-6"/>
                <w:sz w:val="14"/>
              </w:rPr>
              <w:t xml:space="preserve"> </w:t>
            </w:r>
            <w:r>
              <w:rPr>
                <w:color w:val="231F20"/>
                <w:sz w:val="14"/>
              </w:rPr>
              <w:t>промене</w:t>
            </w:r>
            <w:r>
              <w:rPr>
                <w:color w:val="231F20"/>
                <w:spacing w:val="-6"/>
                <w:sz w:val="14"/>
              </w:rPr>
              <w:t xml:space="preserve"> </w:t>
            </w:r>
            <w:r>
              <w:rPr>
                <w:color w:val="231F20"/>
                <w:sz w:val="14"/>
              </w:rPr>
              <w:t>у адолесценцији;</w:t>
            </w:r>
          </w:p>
          <w:p w:rsidR="00041039" w:rsidRDefault="001B26CB">
            <w:pPr>
              <w:pStyle w:val="TableParagraph"/>
              <w:numPr>
                <w:ilvl w:val="0"/>
                <w:numId w:val="89"/>
              </w:numPr>
              <w:tabs>
                <w:tab w:val="left" w:pos="158"/>
              </w:tabs>
              <w:spacing w:line="160" w:lineRule="exact"/>
              <w:ind w:right="186"/>
              <w:rPr>
                <w:sz w:val="14"/>
              </w:rPr>
            </w:pPr>
            <w:r>
              <w:rPr>
                <w:color w:val="231F20"/>
                <w:sz w:val="14"/>
              </w:rPr>
              <w:t>објасни шта је и који је значај ре­ продуктивног здравља, наведе</w:t>
            </w:r>
            <w:r>
              <w:rPr>
                <w:color w:val="231F20"/>
                <w:spacing w:val="-24"/>
                <w:sz w:val="14"/>
              </w:rPr>
              <w:t xml:space="preserve"> </w:t>
            </w:r>
            <w:r>
              <w:rPr>
                <w:color w:val="231F20"/>
                <w:sz w:val="14"/>
              </w:rPr>
              <w:t>полне болести и начине превенције</w:t>
            </w:r>
            <w:r>
              <w:rPr>
                <w:color w:val="231F20"/>
                <w:spacing w:val="-18"/>
                <w:sz w:val="14"/>
              </w:rPr>
              <w:t xml:space="preserve"> </w:t>
            </w:r>
            <w:r>
              <w:rPr>
                <w:color w:val="231F20"/>
                <w:sz w:val="14"/>
              </w:rPr>
              <w:t>полних болести;</w:t>
            </w:r>
          </w:p>
          <w:p w:rsidR="00041039" w:rsidRDefault="001B26CB">
            <w:pPr>
              <w:pStyle w:val="TableParagraph"/>
              <w:numPr>
                <w:ilvl w:val="0"/>
                <w:numId w:val="89"/>
              </w:numPr>
              <w:tabs>
                <w:tab w:val="left" w:pos="158"/>
              </w:tabs>
              <w:spacing w:line="153" w:lineRule="exact"/>
              <w:rPr>
                <w:sz w:val="14"/>
              </w:rPr>
            </w:pPr>
            <w:r>
              <w:rPr>
                <w:color w:val="231F20"/>
                <w:sz w:val="14"/>
              </w:rPr>
              <w:t>објасни методе</w:t>
            </w:r>
            <w:r>
              <w:rPr>
                <w:color w:val="231F20"/>
                <w:spacing w:val="-2"/>
                <w:sz w:val="14"/>
              </w:rPr>
              <w:t xml:space="preserve"> </w:t>
            </w:r>
            <w:r>
              <w:rPr>
                <w:color w:val="231F20"/>
                <w:sz w:val="14"/>
              </w:rPr>
              <w:t>контрацепције;</w:t>
            </w:r>
          </w:p>
          <w:p w:rsidR="00041039" w:rsidRDefault="001B26CB">
            <w:pPr>
              <w:pStyle w:val="TableParagraph"/>
              <w:numPr>
                <w:ilvl w:val="0"/>
                <w:numId w:val="89"/>
              </w:numPr>
              <w:tabs>
                <w:tab w:val="left" w:pos="158"/>
              </w:tabs>
              <w:spacing w:line="237" w:lineRule="auto"/>
              <w:ind w:right="456"/>
              <w:rPr>
                <w:sz w:val="14"/>
              </w:rPr>
            </w:pPr>
            <w:r>
              <w:rPr>
                <w:color w:val="231F20"/>
                <w:sz w:val="14"/>
              </w:rPr>
              <w:t>наведе које су промене у</w:t>
            </w:r>
            <w:r>
              <w:rPr>
                <w:color w:val="231F20"/>
                <w:spacing w:val="-26"/>
                <w:sz w:val="14"/>
              </w:rPr>
              <w:t xml:space="preserve"> </w:t>
            </w:r>
            <w:r>
              <w:rPr>
                <w:color w:val="231F20"/>
                <w:sz w:val="14"/>
              </w:rPr>
              <w:t>начину размишљања</w:t>
            </w:r>
            <w:r>
              <w:rPr>
                <w:color w:val="231F20"/>
                <w:spacing w:val="-1"/>
                <w:sz w:val="14"/>
              </w:rPr>
              <w:t xml:space="preserve"> </w:t>
            </w:r>
            <w:r>
              <w:rPr>
                <w:color w:val="231F20"/>
                <w:sz w:val="14"/>
              </w:rPr>
              <w:t>адолесцента;</w:t>
            </w:r>
          </w:p>
          <w:p w:rsidR="00041039" w:rsidRDefault="001B26CB">
            <w:pPr>
              <w:pStyle w:val="TableParagraph"/>
              <w:numPr>
                <w:ilvl w:val="0"/>
                <w:numId w:val="89"/>
              </w:numPr>
              <w:tabs>
                <w:tab w:val="left" w:pos="158"/>
              </w:tabs>
              <w:spacing w:line="160" w:lineRule="exact"/>
              <w:ind w:right="238"/>
              <w:rPr>
                <w:sz w:val="14"/>
              </w:rPr>
            </w:pPr>
            <w:r>
              <w:rPr>
                <w:color w:val="231F20"/>
                <w:sz w:val="14"/>
              </w:rPr>
              <w:t>наведе социјалне промене у</w:t>
            </w:r>
            <w:r>
              <w:rPr>
                <w:color w:val="231F20"/>
                <w:spacing w:val="-12"/>
                <w:sz w:val="14"/>
              </w:rPr>
              <w:t xml:space="preserve"> </w:t>
            </w:r>
            <w:r>
              <w:rPr>
                <w:color w:val="231F20"/>
                <w:sz w:val="14"/>
              </w:rPr>
              <w:t>адолес­ ценцији;</w:t>
            </w:r>
          </w:p>
          <w:p w:rsidR="00041039" w:rsidRDefault="001B26CB">
            <w:pPr>
              <w:pStyle w:val="TableParagraph"/>
              <w:numPr>
                <w:ilvl w:val="0"/>
                <w:numId w:val="89"/>
              </w:numPr>
              <w:tabs>
                <w:tab w:val="left" w:pos="158"/>
              </w:tabs>
              <w:spacing w:line="160" w:lineRule="exact"/>
              <w:ind w:right="496"/>
              <w:rPr>
                <w:sz w:val="14"/>
              </w:rPr>
            </w:pPr>
            <w:r>
              <w:rPr>
                <w:color w:val="231F20"/>
                <w:sz w:val="14"/>
              </w:rPr>
              <w:t>наведе које обавезе и права</w:t>
            </w:r>
            <w:r>
              <w:rPr>
                <w:color w:val="231F20"/>
                <w:spacing w:val="-22"/>
                <w:sz w:val="14"/>
              </w:rPr>
              <w:t xml:space="preserve"> </w:t>
            </w:r>
            <w:r>
              <w:rPr>
                <w:color w:val="231F20"/>
                <w:sz w:val="14"/>
              </w:rPr>
              <w:t>има адолесцент;</w:t>
            </w:r>
          </w:p>
          <w:p w:rsidR="00041039" w:rsidRDefault="001B26CB">
            <w:pPr>
              <w:pStyle w:val="TableParagraph"/>
              <w:numPr>
                <w:ilvl w:val="0"/>
                <w:numId w:val="89"/>
              </w:numPr>
              <w:tabs>
                <w:tab w:val="left" w:pos="158"/>
              </w:tabs>
              <w:spacing w:line="160" w:lineRule="exact"/>
              <w:ind w:right="373"/>
              <w:rPr>
                <w:sz w:val="14"/>
              </w:rPr>
            </w:pPr>
            <w:r>
              <w:rPr>
                <w:color w:val="231F20"/>
                <w:sz w:val="14"/>
              </w:rPr>
              <w:t xml:space="preserve">наведе правила сигурности </w:t>
            </w:r>
            <w:r>
              <w:rPr>
                <w:color w:val="231F20"/>
                <w:spacing w:val="-3"/>
                <w:sz w:val="14"/>
              </w:rPr>
              <w:t xml:space="preserve">током </w:t>
            </w:r>
            <w:r>
              <w:rPr>
                <w:color w:val="231F20"/>
                <w:sz w:val="14"/>
              </w:rPr>
              <w:t>излазака са</w:t>
            </w:r>
            <w:r>
              <w:rPr>
                <w:color w:val="231F20"/>
                <w:spacing w:val="-2"/>
                <w:sz w:val="14"/>
              </w:rPr>
              <w:t xml:space="preserve"> </w:t>
            </w:r>
            <w:r>
              <w:rPr>
                <w:color w:val="231F20"/>
                <w:sz w:val="14"/>
              </w:rPr>
              <w:t>вршњацима;</w:t>
            </w:r>
          </w:p>
        </w:tc>
        <w:tc>
          <w:tcPr>
            <w:tcW w:w="2834" w:type="dxa"/>
          </w:tcPr>
          <w:p w:rsidR="00041039" w:rsidRDefault="001B26CB">
            <w:pPr>
              <w:pStyle w:val="TableParagraph"/>
              <w:numPr>
                <w:ilvl w:val="0"/>
                <w:numId w:val="88"/>
              </w:numPr>
              <w:tabs>
                <w:tab w:val="left" w:pos="158"/>
              </w:tabs>
              <w:spacing w:before="10" w:line="166" w:lineRule="exact"/>
              <w:rPr>
                <w:sz w:val="14"/>
              </w:rPr>
            </w:pPr>
            <w:r>
              <w:rPr>
                <w:color w:val="231F20"/>
                <w:sz w:val="14"/>
              </w:rPr>
              <w:t>Адолесценција као развојни</w:t>
            </w:r>
            <w:r>
              <w:rPr>
                <w:color w:val="231F20"/>
                <w:spacing w:val="-15"/>
                <w:sz w:val="14"/>
              </w:rPr>
              <w:t xml:space="preserve"> </w:t>
            </w:r>
            <w:r>
              <w:rPr>
                <w:color w:val="231F20"/>
                <w:sz w:val="14"/>
              </w:rPr>
              <w:t>период.</w:t>
            </w:r>
          </w:p>
          <w:p w:rsidR="00041039" w:rsidRDefault="001B26CB">
            <w:pPr>
              <w:pStyle w:val="TableParagraph"/>
              <w:numPr>
                <w:ilvl w:val="0"/>
                <w:numId w:val="88"/>
              </w:numPr>
              <w:tabs>
                <w:tab w:val="left" w:pos="158"/>
              </w:tabs>
              <w:spacing w:line="160" w:lineRule="exact"/>
              <w:rPr>
                <w:sz w:val="14"/>
              </w:rPr>
            </w:pPr>
            <w:r>
              <w:rPr>
                <w:color w:val="231F20"/>
                <w:sz w:val="14"/>
              </w:rPr>
              <w:t>Биолошке промене у</w:t>
            </w:r>
            <w:r>
              <w:rPr>
                <w:color w:val="231F20"/>
                <w:spacing w:val="-16"/>
                <w:sz w:val="14"/>
              </w:rPr>
              <w:t xml:space="preserve"> </w:t>
            </w:r>
            <w:r>
              <w:rPr>
                <w:color w:val="231F20"/>
                <w:sz w:val="14"/>
              </w:rPr>
              <w:t>адолесценцији.</w:t>
            </w:r>
          </w:p>
          <w:p w:rsidR="00041039" w:rsidRDefault="001B26CB">
            <w:pPr>
              <w:pStyle w:val="TableParagraph"/>
              <w:numPr>
                <w:ilvl w:val="0"/>
                <w:numId w:val="88"/>
              </w:numPr>
              <w:tabs>
                <w:tab w:val="left" w:pos="158"/>
              </w:tabs>
              <w:spacing w:line="160" w:lineRule="exact"/>
              <w:rPr>
                <w:sz w:val="14"/>
              </w:rPr>
            </w:pPr>
            <w:r>
              <w:rPr>
                <w:color w:val="231F20"/>
                <w:sz w:val="14"/>
              </w:rPr>
              <w:t>Репродуктивно</w:t>
            </w:r>
            <w:r>
              <w:rPr>
                <w:color w:val="231F20"/>
                <w:spacing w:val="-1"/>
                <w:sz w:val="14"/>
              </w:rPr>
              <w:t xml:space="preserve"> </w:t>
            </w:r>
            <w:r>
              <w:rPr>
                <w:color w:val="231F20"/>
                <w:sz w:val="14"/>
              </w:rPr>
              <w:t>здравље.</w:t>
            </w:r>
          </w:p>
          <w:p w:rsidR="00041039" w:rsidRDefault="001B26CB">
            <w:pPr>
              <w:pStyle w:val="TableParagraph"/>
              <w:numPr>
                <w:ilvl w:val="0"/>
                <w:numId w:val="88"/>
              </w:numPr>
              <w:tabs>
                <w:tab w:val="left" w:pos="158"/>
              </w:tabs>
              <w:spacing w:line="160" w:lineRule="exact"/>
              <w:rPr>
                <w:sz w:val="14"/>
              </w:rPr>
            </w:pPr>
            <w:r>
              <w:rPr>
                <w:color w:val="231F20"/>
                <w:sz w:val="14"/>
              </w:rPr>
              <w:t>Контрацепција.</w:t>
            </w:r>
          </w:p>
          <w:p w:rsidR="00041039" w:rsidRDefault="001B26CB">
            <w:pPr>
              <w:pStyle w:val="TableParagraph"/>
              <w:numPr>
                <w:ilvl w:val="0"/>
                <w:numId w:val="88"/>
              </w:numPr>
              <w:tabs>
                <w:tab w:val="left" w:pos="158"/>
              </w:tabs>
              <w:spacing w:line="160" w:lineRule="exact"/>
              <w:rPr>
                <w:sz w:val="14"/>
              </w:rPr>
            </w:pPr>
            <w:r>
              <w:rPr>
                <w:color w:val="231F20"/>
                <w:sz w:val="14"/>
              </w:rPr>
              <w:t>Промене у начину</w:t>
            </w:r>
            <w:r>
              <w:rPr>
                <w:color w:val="231F20"/>
                <w:spacing w:val="-2"/>
                <w:sz w:val="14"/>
              </w:rPr>
              <w:t xml:space="preserve"> </w:t>
            </w:r>
            <w:r>
              <w:rPr>
                <w:color w:val="231F20"/>
                <w:sz w:val="14"/>
              </w:rPr>
              <w:t>размишљања.</w:t>
            </w:r>
          </w:p>
          <w:p w:rsidR="00041039" w:rsidRDefault="001B26CB">
            <w:pPr>
              <w:pStyle w:val="TableParagraph"/>
              <w:numPr>
                <w:ilvl w:val="0"/>
                <w:numId w:val="88"/>
              </w:numPr>
              <w:tabs>
                <w:tab w:val="left" w:pos="158"/>
              </w:tabs>
              <w:spacing w:line="160" w:lineRule="exact"/>
              <w:rPr>
                <w:sz w:val="14"/>
              </w:rPr>
            </w:pPr>
            <w:r>
              <w:rPr>
                <w:color w:val="231F20"/>
                <w:sz w:val="14"/>
              </w:rPr>
              <w:t>Социјалне</w:t>
            </w:r>
            <w:r>
              <w:rPr>
                <w:color w:val="231F20"/>
                <w:spacing w:val="-2"/>
                <w:sz w:val="14"/>
              </w:rPr>
              <w:t xml:space="preserve"> </w:t>
            </w:r>
            <w:r>
              <w:rPr>
                <w:color w:val="231F20"/>
                <w:sz w:val="14"/>
              </w:rPr>
              <w:t>промене.</w:t>
            </w:r>
          </w:p>
          <w:p w:rsidR="00041039" w:rsidRDefault="001B26CB">
            <w:pPr>
              <w:pStyle w:val="TableParagraph"/>
              <w:numPr>
                <w:ilvl w:val="0"/>
                <w:numId w:val="88"/>
              </w:numPr>
              <w:tabs>
                <w:tab w:val="left" w:pos="158"/>
              </w:tabs>
              <w:spacing w:line="160" w:lineRule="exact"/>
              <w:rPr>
                <w:sz w:val="14"/>
              </w:rPr>
            </w:pPr>
            <w:r>
              <w:rPr>
                <w:color w:val="231F20"/>
                <w:sz w:val="14"/>
              </w:rPr>
              <w:t>Обавезе и права</w:t>
            </w:r>
            <w:r>
              <w:rPr>
                <w:color w:val="231F20"/>
                <w:spacing w:val="-3"/>
                <w:sz w:val="14"/>
              </w:rPr>
              <w:t xml:space="preserve"> </w:t>
            </w:r>
            <w:r>
              <w:rPr>
                <w:color w:val="231F20"/>
                <w:sz w:val="14"/>
              </w:rPr>
              <w:t>детета.</w:t>
            </w:r>
          </w:p>
          <w:p w:rsidR="00041039" w:rsidRDefault="001B26CB">
            <w:pPr>
              <w:pStyle w:val="TableParagraph"/>
              <w:numPr>
                <w:ilvl w:val="0"/>
                <w:numId w:val="88"/>
              </w:numPr>
              <w:tabs>
                <w:tab w:val="left" w:pos="158"/>
              </w:tabs>
              <w:spacing w:line="166" w:lineRule="exact"/>
              <w:rPr>
                <w:sz w:val="14"/>
              </w:rPr>
            </w:pPr>
            <w:r>
              <w:rPr>
                <w:color w:val="231F20"/>
                <w:sz w:val="14"/>
              </w:rPr>
              <w:t>Изласци­правила</w:t>
            </w:r>
            <w:r>
              <w:rPr>
                <w:color w:val="231F20"/>
                <w:spacing w:val="-2"/>
                <w:sz w:val="14"/>
              </w:rPr>
              <w:t xml:space="preserve"> </w:t>
            </w:r>
            <w:r>
              <w:rPr>
                <w:color w:val="231F20"/>
                <w:sz w:val="14"/>
              </w:rPr>
              <w:t>сигурности.</w:t>
            </w:r>
          </w:p>
        </w:tc>
        <w:tc>
          <w:tcPr>
            <w:tcW w:w="2267" w:type="dxa"/>
            <w:vMerge/>
            <w:tcBorders>
              <w:top w:val="nil"/>
            </w:tcBorders>
          </w:tcPr>
          <w:p w:rsidR="00041039" w:rsidRDefault="00041039">
            <w:pPr>
              <w:rPr>
                <w:sz w:val="2"/>
                <w:szCs w:val="2"/>
              </w:rPr>
            </w:pPr>
          </w:p>
        </w:tc>
      </w:tr>
      <w:tr w:rsidR="00041039">
        <w:trPr>
          <w:trHeight w:val="1160"/>
        </w:trPr>
        <w:tc>
          <w:tcPr>
            <w:tcW w:w="1304" w:type="dxa"/>
          </w:tcPr>
          <w:p w:rsidR="00041039" w:rsidRDefault="001B26CB">
            <w:pPr>
              <w:pStyle w:val="TableParagraph"/>
              <w:spacing w:before="20"/>
              <w:ind w:left="57" w:right="350"/>
              <w:rPr>
                <w:sz w:val="14"/>
              </w:rPr>
            </w:pPr>
            <w:r>
              <w:rPr>
                <w:color w:val="231F20"/>
                <w:sz w:val="14"/>
              </w:rPr>
              <w:t>Фрустрације и конфликти</w:t>
            </w:r>
          </w:p>
        </w:tc>
        <w:tc>
          <w:tcPr>
            <w:tcW w:w="1587" w:type="dxa"/>
          </w:tcPr>
          <w:p w:rsidR="00041039" w:rsidRDefault="001B26CB">
            <w:pPr>
              <w:pStyle w:val="TableParagraph"/>
              <w:numPr>
                <w:ilvl w:val="0"/>
                <w:numId w:val="87"/>
              </w:numPr>
              <w:tabs>
                <w:tab w:val="left" w:pos="157"/>
              </w:tabs>
              <w:spacing w:before="10"/>
              <w:ind w:right="80" w:hanging="99"/>
              <w:rPr>
                <w:sz w:val="14"/>
              </w:rPr>
            </w:pPr>
            <w:r>
              <w:rPr>
                <w:color w:val="231F20"/>
                <w:sz w:val="14"/>
              </w:rPr>
              <w:t>Упознавање са</w:t>
            </w:r>
            <w:r>
              <w:rPr>
                <w:color w:val="231F20"/>
                <w:spacing w:val="-22"/>
                <w:sz w:val="14"/>
              </w:rPr>
              <w:t xml:space="preserve"> </w:t>
            </w:r>
            <w:r>
              <w:rPr>
                <w:color w:val="231F20"/>
                <w:sz w:val="14"/>
              </w:rPr>
              <w:t xml:space="preserve">појмом фрустрација и кон­ </w:t>
            </w:r>
            <w:r>
              <w:rPr>
                <w:color w:val="231F20"/>
                <w:spacing w:val="-4"/>
                <w:sz w:val="14"/>
              </w:rPr>
              <w:t>фликт.</w:t>
            </w:r>
          </w:p>
        </w:tc>
        <w:tc>
          <w:tcPr>
            <w:tcW w:w="2551" w:type="dxa"/>
          </w:tcPr>
          <w:p w:rsidR="00041039" w:rsidRDefault="001B26CB">
            <w:pPr>
              <w:pStyle w:val="TableParagraph"/>
              <w:numPr>
                <w:ilvl w:val="0"/>
                <w:numId w:val="86"/>
              </w:numPr>
              <w:tabs>
                <w:tab w:val="left" w:pos="158"/>
              </w:tabs>
              <w:spacing w:before="10" w:line="166" w:lineRule="exact"/>
              <w:rPr>
                <w:sz w:val="14"/>
              </w:rPr>
            </w:pPr>
            <w:r>
              <w:rPr>
                <w:color w:val="231F20"/>
                <w:sz w:val="14"/>
              </w:rPr>
              <w:t>објасни шта су</w:t>
            </w:r>
            <w:r>
              <w:rPr>
                <w:color w:val="231F20"/>
                <w:spacing w:val="-1"/>
                <w:sz w:val="14"/>
              </w:rPr>
              <w:t xml:space="preserve"> </w:t>
            </w:r>
            <w:r>
              <w:rPr>
                <w:color w:val="231F20"/>
                <w:sz w:val="14"/>
              </w:rPr>
              <w:t>фрустрације;</w:t>
            </w:r>
          </w:p>
          <w:p w:rsidR="00041039" w:rsidRDefault="001B26CB">
            <w:pPr>
              <w:pStyle w:val="TableParagraph"/>
              <w:numPr>
                <w:ilvl w:val="0"/>
                <w:numId w:val="86"/>
              </w:numPr>
              <w:tabs>
                <w:tab w:val="left" w:pos="158"/>
              </w:tabs>
              <w:spacing w:line="160" w:lineRule="exact"/>
              <w:rPr>
                <w:sz w:val="14"/>
              </w:rPr>
            </w:pPr>
            <w:r>
              <w:rPr>
                <w:color w:val="231F20"/>
                <w:sz w:val="14"/>
              </w:rPr>
              <w:t>објасни шта су</w:t>
            </w:r>
            <w:r>
              <w:rPr>
                <w:color w:val="231F20"/>
                <w:spacing w:val="-3"/>
                <w:sz w:val="14"/>
              </w:rPr>
              <w:t xml:space="preserve"> </w:t>
            </w:r>
            <w:r>
              <w:rPr>
                <w:color w:val="231F20"/>
                <w:sz w:val="14"/>
              </w:rPr>
              <w:t>конфликти;</w:t>
            </w:r>
          </w:p>
          <w:p w:rsidR="00041039" w:rsidRDefault="001B26CB">
            <w:pPr>
              <w:pStyle w:val="TableParagraph"/>
              <w:numPr>
                <w:ilvl w:val="0"/>
                <w:numId w:val="86"/>
              </w:numPr>
              <w:tabs>
                <w:tab w:val="left" w:pos="158"/>
              </w:tabs>
              <w:spacing w:line="160" w:lineRule="exact"/>
              <w:rPr>
                <w:sz w:val="14"/>
              </w:rPr>
            </w:pPr>
            <w:r>
              <w:rPr>
                <w:color w:val="231F20"/>
                <w:sz w:val="14"/>
              </w:rPr>
              <w:t>наведе врсте</w:t>
            </w:r>
            <w:r>
              <w:rPr>
                <w:color w:val="231F20"/>
                <w:spacing w:val="-4"/>
                <w:sz w:val="14"/>
              </w:rPr>
              <w:t xml:space="preserve"> </w:t>
            </w:r>
            <w:r>
              <w:rPr>
                <w:color w:val="231F20"/>
                <w:sz w:val="14"/>
              </w:rPr>
              <w:t>конфликата;</w:t>
            </w:r>
          </w:p>
          <w:p w:rsidR="00041039" w:rsidRDefault="001B26CB">
            <w:pPr>
              <w:pStyle w:val="TableParagraph"/>
              <w:numPr>
                <w:ilvl w:val="0"/>
                <w:numId w:val="86"/>
              </w:numPr>
              <w:tabs>
                <w:tab w:val="left" w:pos="158"/>
              </w:tabs>
              <w:spacing w:line="237" w:lineRule="auto"/>
              <w:ind w:right="157"/>
              <w:rPr>
                <w:sz w:val="14"/>
              </w:rPr>
            </w:pPr>
            <w:r>
              <w:rPr>
                <w:color w:val="231F20"/>
                <w:sz w:val="14"/>
              </w:rPr>
              <w:t>наведе и објасни реакције на фрустрације и конфликте</w:t>
            </w:r>
            <w:r>
              <w:rPr>
                <w:color w:val="231F20"/>
                <w:spacing w:val="-23"/>
                <w:sz w:val="14"/>
              </w:rPr>
              <w:t xml:space="preserve"> </w:t>
            </w:r>
            <w:r>
              <w:rPr>
                <w:color w:val="231F20"/>
                <w:sz w:val="14"/>
              </w:rPr>
              <w:t>(механизме одбране);</w:t>
            </w:r>
          </w:p>
          <w:p w:rsidR="00041039" w:rsidRDefault="001B26CB">
            <w:pPr>
              <w:pStyle w:val="TableParagraph"/>
              <w:numPr>
                <w:ilvl w:val="0"/>
                <w:numId w:val="86"/>
              </w:numPr>
              <w:tabs>
                <w:tab w:val="left" w:pos="158"/>
              </w:tabs>
              <w:spacing w:line="160" w:lineRule="exact"/>
              <w:rPr>
                <w:sz w:val="14"/>
              </w:rPr>
            </w:pPr>
            <w:r>
              <w:rPr>
                <w:color w:val="231F20"/>
                <w:sz w:val="14"/>
              </w:rPr>
              <w:t>објасни шта је</w:t>
            </w:r>
            <w:r>
              <w:rPr>
                <w:color w:val="231F20"/>
                <w:spacing w:val="-1"/>
                <w:sz w:val="14"/>
              </w:rPr>
              <w:t xml:space="preserve"> </w:t>
            </w:r>
            <w:r>
              <w:rPr>
                <w:color w:val="231F20"/>
                <w:sz w:val="14"/>
              </w:rPr>
              <w:t>медијација;</w:t>
            </w:r>
          </w:p>
        </w:tc>
        <w:tc>
          <w:tcPr>
            <w:tcW w:w="2834" w:type="dxa"/>
          </w:tcPr>
          <w:p w:rsidR="00041039" w:rsidRDefault="001B26CB">
            <w:pPr>
              <w:pStyle w:val="TableParagraph"/>
              <w:numPr>
                <w:ilvl w:val="0"/>
                <w:numId w:val="85"/>
              </w:numPr>
              <w:tabs>
                <w:tab w:val="left" w:pos="158"/>
              </w:tabs>
              <w:spacing w:before="10" w:line="166" w:lineRule="exact"/>
              <w:ind w:hanging="99"/>
              <w:rPr>
                <w:sz w:val="14"/>
              </w:rPr>
            </w:pPr>
            <w:r>
              <w:rPr>
                <w:color w:val="231F20"/>
                <w:sz w:val="14"/>
              </w:rPr>
              <w:t>Фрустрације.</w:t>
            </w:r>
          </w:p>
          <w:p w:rsidR="00041039" w:rsidRDefault="001B26CB">
            <w:pPr>
              <w:pStyle w:val="TableParagraph"/>
              <w:numPr>
                <w:ilvl w:val="0"/>
                <w:numId w:val="85"/>
              </w:numPr>
              <w:tabs>
                <w:tab w:val="left" w:pos="158"/>
              </w:tabs>
              <w:spacing w:line="160" w:lineRule="exact"/>
              <w:ind w:hanging="99"/>
              <w:rPr>
                <w:sz w:val="14"/>
              </w:rPr>
            </w:pPr>
            <w:r>
              <w:rPr>
                <w:color w:val="231F20"/>
                <w:sz w:val="14"/>
              </w:rPr>
              <w:t>Конфликти.</w:t>
            </w:r>
          </w:p>
          <w:p w:rsidR="00041039" w:rsidRDefault="001B26CB">
            <w:pPr>
              <w:pStyle w:val="TableParagraph"/>
              <w:numPr>
                <w:ilvl w:val="0"/>
                <w:numId w:val="85"/>
              </w:numPr>
              <w:tabs>
                <w:tab w:val="left" w:pos="158"/>
              </w:tabs>
              <w:spacing w:line="160" w:lineRule="exact"/>
              <w:ind w:hanging="99"/>
              <w:rPr>
                <w:sz w:val="14"/>
              </w:rPr>
            </w:pPr>
            <w:r>
              <w:rPr>
                <w:color w:val="231F20"/>
                <w:sz w:val="14"/>
              </w:rPr>
              <w:t>Врсте</w:t>
            </w:r>
            <w:r>
              <w:rPr>
                <w:color w:val="231F20"/>
                <w:spacing w:val="-1"/>
                <w:sz w:val="14"/>
              </w:rPr>
              <w:t xml:space="preserve"> </w:t>
            </w:r>
            <w:r>
              <w:rPr>
                <w:color w:val="231F20"/>
                <w:sz w:val="14"/>
              </w:rPr>
              <w:t>конфликата.</w:t>
            </w:r>
          </w:p>
          <w:p w:rsidR="00041039" w:rsidRDefault="001B26CB">
            <w:pPr>
              <w:pStyle w:val="TableParagraph"/>
              <w:numPr>
                <w:ilvl w:val="0"/>
                <w:numId w:val="85"/>
              </w:numPr>
              <w:tabs>
                <w:tab w:val="left" w:pos="158"/>
              </w:tabs>
              <w:spacing w:line="160" w:lineRule="exact"/>
              <w:ind w:hanging="99"/>
              <w:rPr>
                <w:sz w:val="14"/>
              </w:rPr>
            </w:pPr>
            <w:r>
              <w:rPr>
                <w:color w:val="231F20"/>
                <w:sz w:val="14"/>
              </w:rPr>
              <w:t>Реакција на фрустрације и</w:t>
            </w:r>
            <w:r>
              <w:rPr>
                <w:color w:val="231F20"/>
                <w:spacing w:val="-7"/>
                <w:sz w:val="14"/>
              </w:rPr>
              <w:t xml:space="preserve"> </w:t>
            </w:r>
            <w:r>
              <w:rPr>
                <w:color w:val="231F20"/>
                <w:sz w:val="14"/>
              </w:rPr>
              <w:t>конфликте.</w:t>
            </w:r>
          </w:p>
          <w:p w:rsidR="00041039" w:rsidRDefault="001B26CB">
            <w:pPr>
              <w:pStyle w:val="TableParagraph"/>
              <w:numPr>
                <w:ilvl w:val="0"/>
                <w:numId w:val="85"/>
              </w:numPr>
              <w:tabs>
                <w:tab w:val="left" w:pos="158"/>
              </w:tabs>
              <w:spacing w:line="166" w:lineRule="exact"/>
              <w:ind w:hanging="99"/>
              <w:rPr>
                <w:sz w:val="14"/>
              </w:rPr>
            </w:pPr>
            <w:r>
              <w:rPr>
                <w:color w:val="231F20"/>
                <w:sz w:val="14"/>
              </w:rPr>
              <w:t>Медијација.</w:t>
            </w:r>
          </w:p>
        </w:tc>
        <w:tc>
          <w:tcPr>
            <w:tcW w:w="2267" w:type="dxa"/>
            <w:vMerge/>
            <w:tcBorders>
              <w:top w:val="nil"/>
            </w:tcBorders>
          </w:tcPr>
          <w:p w:rsidR="00041039" w:rsidRDefault="00041039">
            <w:pPr>
              <w:rPr>
                <w:sz w:val="2"/>
                <w:szCs w:val="2"/>
              </w:rPr>
            </w:pPr>
          </w:p>
        </w:tc>
      </w:tr>
      <w:tr w:rsidR="00041039">
        <w:trPr>
          <w:trHeight w:val="2600"/>
        </w:trPr>
        <w:tc>
          <w:tcPr>
            <w:tcW w:w="1304" w:type="dxa"/>
          </w:tcPr>
          <w:p w:rsidR="00041039" w:rsidRDefault="001B26CB">
            <w:pPr>
              <w:pStyle w:val="TableParagraph"/>
              <w:spacing w:before="20"/>
              <w:ind w:left="57"/>
              <w:rPr>
                <w:sz w:val="14"/>
              </w:rPr>
            </w:pPr>
            <w:r>
              <w:rPr>
                <w:color w:val="231F20"/>
                <w:sz w:val="14"/>
              </w:rPr>
              <w:t>Комуникација</w:t>
            </w:r>
          </w:p>
        </w:tc>
        <w:tc>
          <w:tcPr>
            <w:tcW w:w="1587" w:type="dxa"/>
          </w:tcPr>
          <w:p w:rsidR="00041039" w:rsidRDefault="001B26CB">
            <w:pPr>
              <w:pStyle w:val="TableParagraph"/>
              <w:numPr>
                <w:ilvl w:val="0"/>
                <w:numId w:val="84"/>
              </w:numPr>
              <w:tabs>
                <w:tab w:val="left" w:pos="157"/>
              </w:tabs>
              <w:spacing w:before="10"/>
              <w:ind w:right="109" w:hanging="99"/>
              <w:rPr>
                <w:sz w:val="14"/>
              </w:rPr>
            </w:pPr>
            <w:r>
              <w:rPr>
                <w:color w:val="231F20"/>
                <w:sz w:val="14"/>
              </w:rPr>
              <w:t>Упознавање са</w:t>
            </w:r>
            <w:r>
              <w:rPr>
                <w:color w:val="231F20"/>
                <w:spacing w:val="-21"/>
                <w:sz w:val="14"/>
              </w:rPr>
              <w:t xml:space="preserve"> </w:t>
            </w:r>
            <w:r>
              <w:rPr>
                <w:color w:val="231F20"/>
                <w:sz w:val="14"/>
              </w:rPr>
              <w:t>проце­ сом</w:t>
            </w:r>
            <w:r>
              <w:rPr>
                <w:color w:val="231F20"/>
                <w:spacing w:val="-3"/>
                <w:sz w:val="14"/>
              </w:rPr>
              <w:t xml:space="preserve"> </w:t>
            </w:r>
            <w:r>
              <w:rPr>
                <w:color w:val="231F20"/>
                <w:sz w:val="14"/>
              </w:rPr>
              <w:t>комуникације.</w:t>
            </w:r>
          </w:p>
        </w:tc>
        <w:tc>
          <w:tcPr>
            <w:tcW w:w="2551" w:type="dxa"/>
          </w:tcPr>
          <w:p w:rsidR="00041039" w:rsidRDefault="001B26CB">
            <w:pPr>
              <w:pStyle w:val="TableParagraph"/>
              <w:numPr>
                <w:ilvl w:val="0"/>
                <w:numId w:val="83"/>
              </w:numPr>
              <w:tabs>
                <w:tab w:val="left" w:pos="158"/>
              </w:tabs>
              <w:spacing w:before="10" w:line="166" w:lineRule="exact"/>
              <w:rPr>
                <w:sz w:val="14"/>
              </w:rPr>
            </w:pPr>
            <w:r>
              <w:rPr>
                <w:color w:val="231F20"/>
                <w:sz w:val="14"/>
              </w:rPr>
              <w:t>објасни важност учења</w:t>
            </w:r>
            <w:r>
              <w:rPr>
                <w:color w:val="231F20"/>
                <w:spacing w:val="-7"/>
                <w:sz w:val="14"/>
              </w:rPr>
              <w:t xml:space="preserve"> </w:t>
            </w:r>
            <w:r>
              <w:rPr>
                <w:color w:val="231F20"/>
                <w:sz w:val="14"/>
              </w:rPr>
              <w:t>комуникације;</w:t>
            </w:r>
          </w:p>
          <w:p w:rsidR="00041039" w:rsidRDefault="001B26CB">
            <w:pPr>
              <w:pStyle w:val="TableParagraph"/>
              <w:numPr>
                <w:ilvl w:val="0"/>
                <w:numId w:val="83"/>
              </w:numPr>
              <w:tabs>
                <w:tab w:val="left" w:pos="158"/>
              </w:tabs>
              <w:spacing w:line="160" w:lineRule="exact"/>
              <w:rPr>
                <w:sz w:val="14"/>
              </w:rPr>
            </w:pPr>
            <w:r>
              <w:rPr>
                <w:color w:val="231F20"/>
                <w:sz w:val="14"/>
              </w:rPr>
              <w:t>објасни шта је говор</w:t>
            </w:r>
            <w:r>
              <w:rPr>
                <w:color w:val="231F20"/>
                <w:spacing w:val="-1"/>
                <w:sz w:val="14"/>
              </w:rPr>
              <w:t xml:space="preserve"> </w:t>
            </w:r>
            <w:r>
              <w:rPr>
                <w:color w:val="231F20"/>
                <w:sz w:val="14"/>
              </w:rPr>
              <w:t>тела;</w:t>
            </w:r>
          </w:p>
          <w:p w:rsidR="00041039" w:rsidRDefault="001B26CB">
            <w:pPr>
              <w:pStyle w:val="TableParagraph"/>
              <w:numPr>
                <w:ilvl w:val="0"/>
                <w:numId w:val="83"/>
              </w:numPr>
              <w:tabs>
                <w:tab w:val="left" w:pos="158"/>
              </w:tabs>
              <w:spacing w:line="237" w:lineRule="auto"/>
              <w:ind w:right="284"/>
              <w:rPr>
                <w:sz w:val="14"/>
              </w:rPr>
            </w:pPr>
            <w:r>
              <w:rPr>
                <w:color w:val="231F20"/>
                <w:sz w:val="14"/>
              </w:rPr>
              <w:t>наведе препреке успешне комуникације („опасне</w:t>
            </w:r>
            <w:r>
              <w:rPr>
                <w:color w:val="231F20"/>
                <w:spacing w:val="-21"/>
                <w:sz w:val="14"/>
              </w:rPr>
              <w:t xml:space="preserve"> </w:t>
            </w:r>
            <w:r>
              <w:rPr>
                <w:color w:val="231F20"/>
                <w:sz w:val="14"/>
              </w:rPr>
              <w:t>реченице”);</w:t>
            </w:r>
          </w:p>
          <w:p w:rsidR="00041039" w:rsidRDefault="001B26CB">
            <w:pPr>
              <w:pStyle w:val="TableParagraph"/>
              <w:numPr>
                <w:ilvl w:val="0"/>
                <w:numId w:val="83"/>
              </w:numPr>
              <w:tabs>
                <w:tab w:val="left" w:pos="158"/>
              </w:tabs>
              <w:spacing w:line="160" w:lineRule="exact"/>
              <w:ind w:right="49"/>
              <w:rPr>
                <w:sz w:val="14"/>
              </w:rPr>
            </w:pPr>
            <w:r>
              <w:rPr>
                <w:color w:val="231F20"/>
                <w:sz w:val="14"/>
              </w:rPr>
              <w:t>објасни шта су осећања, наведе</w:t>
            </w:r>
            <w:r>
              <w:rPr>
                <w:color w:val="231F20"/>
                <w:spacing w:val="-10"/>
                <w:sz w:val="14"/>
              </w:rPr>
              <w:t xml:space="preserve"> </w:t>
            </w:r>
            <w:r>
              <w:rPr>
                <w:color w:val="231F20"/>
                <w:sz w:val="14"/>
              </w:rPr>
              <w:t>начине поделе</w:t>
            </w:r>
            <w:r>
              <w:rPr>
                <w:color w:val="231F20"/>
                <w:spacing w:val="-1"/>
                <w:sz w:val="14"/>
              </w:rPr>
              <w:t xml:space="preserve"> </w:t>
            </w:r>
            <w:r>
              <w:rPr>
                <w:color w:val="231F20"/>
                <w:sz w:val="14"/>
              </w:rPr>
              <w:t>осећања;</w:t>
            </w:r>
          </w:p>
          <w:p w:rsidR="00041039" w:rsidRDefault="001B26CB">
            <w:pPr>
              <w:pStyle w:val="TableParagraph"/>
              <w:numPr>
                <w:ilvl w:val="0"/>
                <w:numId w:val="83"/>
              </w:numPr>
              <w:tabs>
                <w:tab w:val="left" w:pos="158"/>
              </w:tabs>
              <w:spacing w:line="153" w:lineRule="exact"/>
              <w:rPr>
                <w:sz w:val="14"/>
              </w:rPr>
            </w:pPr>
            <w:r>
              <w:rPr>
                <w:color w:val="231F20"/>
                <w:sz w:val="14"/>
              </w:rPr>
              <w:t>наведе и објасни основне</w:t>
            </w:r>
            <w:r>
              <w:rPr>
                <w:color w:val="231F20"/>
                <w:spacing w:val="-2"/>
                <w:sz w:val="14"/>
              </w:rPr>
              <w:t xml:space="preserve"> </w:t>
            </w:r>
            <w:r>
              <w:rPr>
                <w:color w:val="231F20"/>
                <w:sz w:val="14"/>
              </w:rPr>
              <w:t>емоције;</w:t>
            </w:r>
          </w:p>
          <w:p w:rsidR="00041039" w:rsidRDefault="001B26CB">
            <w:pPr>
              <w:pStyle w:val="TableParagraph"/>
              <w:numPr>
                <w:ilvl w:val="0"/>
                <w:numId w:val="83"/>
              </w:numPr>
              <w:tabs>
                <w:tab w:val="left" w:pos="158"/>
              </w:tabs>
              <w:spacing w:line="237" w:lineRule="auto"/>
              <w:ind w:right="188"/>
              <w:rPr>
                <w:sz w:val="14"/>
              </w:rPr>
            </w:pPr>
            <w:r>
              <w:rPr>
                <w:color w:val="231F20"/>
                <w:sz w:val="14"/>
              </w:rPr>
              <w:t>објасни шта су потребе и да их</w:t>
            </w:r>
            <w:r>
              <w:rPr>
                <w:color w:val="231F20"/>
                <w:spacing w:val="-9"/>
                <w:sz w:val="14"/>
              </w:rPr>
              <w:t xml:space="preserve"> </w:t>
            </w:r>
            <w:r>
              <w:rPr>
                <w:color w:val="231F20"/>
                <w:sz w:val="14"/>
              </w:rPr>
              <w:t xml:space="preserve">јасно разликује </w:t>
            </w:r>
            <w:r>
              <w:rPr>
                <w:color w:val="231F20"/>
                <w:spacing w:val="-3"/>
                <w:sz w:val="14"/>
              </w:rPr>
              <w:t>од</w:t>
            </w:r>
            <w:r>
              <w:rPr>
                <w:color w:val="231F20"/>
                <w:sz w:val="14"/>
              </w:rPr>
              <w:t xml:space="preserve"> осећања;</w:t>
            </w:r>
          </w:p>
          <w:p w:rsidR="00041039" w:rsidRDefault="001B26CB">
            <w:pPr>
              <w:pStyle w:val="TableParagraph"/>
              <w:numPr>
                <w:ilvl w:val="0"/>
                <w:numId w:val="83"/>
              </w:numPr>
              <w:tabs>
                <w:tab w:val="left" w:pos="158"/>
              </w:tabs>
              <w:spacing w:line="160" w:lineRule="exact"/>
              <w:ind w:right="862"/>
              <w:rPr>
                <w:sz w:val="14"/>
              </w:rPr>
            </w:pPr>
            <w:r>
              <w:rPr>
                <w:color w:val="231F20"/>
                <w:sz w:val="14"/>
              </w:rPr>
              <w:t>објасни шта је емпатија</w:t>
            </w:r>
            <w:r>
              <w:rPr>
                <w:color w:val="231F20"/>
                <w:spacing w:val="-7"/>
                <w:sz w:val="14"/>
              </w:rPr>
              <w:t xml:space="preserve"> </w:t>
            </w:r>
            <w:r>
              <w:rPr>
                <w:color w:val="231F20"/>
                <w:sz w:val="14"/>
              </w:rPr>
              <w:t>у комуникацији;</w:t>
            </w:r>
          </w:p>
          <w:p w:rsidR="00041039" w:rsidRDefault="001B26CB">
            <w:pPr>
              <w:pStyle w:val="TableParagraph"/>
              <w:numPr>
                <w:ilvl w:val="0"/>
                <w:numId w:val="83"/>
              </w:numPr>
              <w:tabs>
                <w:tab w:val="left" w:pos="158"/>
              </w:tabs>
              <w:spacing w:line="160" w:lineRule="exact"/>
              <w:ind w:right="213"/>
              <w:rPr>
                <w:sz w:val="14"/>
              </w:rPr>
            </w:pPr>
            <w:r>
              <w:rPr>
                <w:color w:val="231F20"/>
                <w:sz w:val="14"/>
              </w:rPr>
              <w:t xml:space="preserve">наведе шта су и </w:t>
            </w:r>
            <w:r>
              <w:rPr>
                <w:color w:val="231F20"/>
                <w:spacing w:val="-3"/>
                <w:sz w:val="14"/>
              </w:rPr>
              <w:t xml:space="preserve">како </w:t>
            </w:r>
            <w:r>
              <w:rPr>
                <w:color w:val="231F20"/>
                <w:sz w:val="14"/>
              </w:rPr>
              <w:t>се саопштавају потребе и</w:t>
            </w:r>
            <w:r>
              <w:rPr>
                <w:color w:val="231F20"/>
                <w:spacing w:val="-2"/>
                <w:sz w:val="14"/>
              </w:rPr>
              <w:t xml:space="preserve"> </w:t>
            </w:r>
            <w:r>
              <w:rPr>
                <w:color w:val="231F20"/>
                <w:sz w:val="14"/>
              </w:rPr>
              <w:t>жеље;</w:t>
            </w:r>
          </w:p>
          <w:p w:rsidR="00041039" w:rsidRDefault="001B26CB">
            <w:pPr>
              <w:pStyle w:val="TableParagraph"/>
              <w:numPr>
                <w:ilvl w:val="0"/>
                <w:numId w:val="83"/>
              </w:numPr>
              <w:tabs>
                <w:tab w:val="left" w:pos="158"/>
              </w:tabs>
              <w:spacing w:line="153" w:lineRule="exact"/>
              <w:rPr>
                <w:sz w:val="14"/>
              </w:rPr>
            </w:pPr>
            <w:r>
              <w:rPr>
                <w:color w:val="231F20"/>
                <w:sz w:val="14"/>
              </w:rPr>
              <w:t>примени „ја ­ поруке” на</w:t>
            </w:r>
            <w:r>
              <w:rPr>
                <w:color w:val="231F20"/>
                <w:spacing w:val="-14"/>
                <w:sz w:val="14"/>
              </w:rPr>
              <w:t xml:space="preserve"> </w:t>
            </w:r>
            <w:r>
              <w:rPr>
                <w:color w:val="231F20"/>
                <w:sz w:val="14"/>
              </w:rPr>
              <w:t>примерима;</w:t>
            </w:r>
          </w:p>
          <w:p w:rsidR="00041039" w:rsidRDefault="001B26CB">
            <w:pPr>
              <w:pStyle w:val="TableParagraph"/>
              <w:numPr>
                <w:ilvl w:val="0"/>
                <w:numId w:val="83"/>
              </w:numPr>
              <w:tabs>
                <w:tab w:val="left" w:pos="158"/>
              </w:tabs>
              <w:spacing w:before="3" w:line="160" w:lineRule="exact"/>
              <w:ind w:right="187"/>
              <w:rPr>
                <w:sz w:val="14"/>
              </w:rPr>
            </w:pPr>
            <w:r>
              <w:rPr>
                <w:color w:val="231F20"/>
                <w:sz w:val="14"/>
              </w:rPr>
              <w:t>наведе</w:t>
            </w:r>
            <w:r>
              <w:rPr>
                <w:color w:val="231F20"/>
                <w:spacing w:val="-8"/>
                <w:sz w:val="14"/>
              </w:rPr>
              <w:t xml:space="preserve"> </w:t>
            </w:r>
            <w:r>
              <w:rPr>
                <w:color w:val="231F20"/>
                <w:sz w:val="14"/>
              </w:rPr>
              <w:t>која</w:t>
            </w:r>
            <w:r>
              <w:rPr>
                <w:color w:val="231F20"/>
                <w:spacing w:val="-8"/>
                <w:sz w:val="14"/>
              </w:rPr>
              <w:t xml:space="preserve"> </w:t>
            </w:r>
            <w:r>
              <w:rPr>
                <w:color w:val="231F20"/>
                <w:sz w:val="14"/>
              </w:rPr>
              <w:t>су</w:t>
            </w:r>
            <w:r>
              <w:rPr>
                <w:color w:val="231F20"/>
                <w:spacing w:val="-8"/>
                <w:sz w:val="14"/>
              </w:rPr>
              <w:t xml:space="preserve"> </w:t>
            </w:r>
            <w:r>
              <w:rPr>
                <w:color w:val="231F20"/>
                <w:sz w:val="14"/>
              </w:rPr>
              <w:t>правила</w:t>
            </w:r>
            <w:r>
              <w:rPr>
                <w:color w:val="231F20"/>
                <w:spacing w:val="-9"/>
                <w:sz w:val="14"/>
              </w:rPr>
              <w:t xml:space="preserve"> </w:t>
            </w:r>
            <w:r>
              <w:rPr>
                <w:color w:val="231F20"/>
                <w:sz w:val="14"/>
              </w:rPr>
              <w:t>комуникације</w:t>
            </w:r>
            <w:r>
              <w:rPr>
                <w:color w:val="231F20"/>
                <w:sz w:val="14"/>
              </w:rPr>
              <w:t xml:space="preserve"> („чаробне</w:t>
            </w:r>
            <w:r>
              <w:rPr>
                <w:color w:val="231F20"/>
                <w:spacing w:val="-1"/>
                <w:sz w:val="14"/>
              </w:rPr>
              <w:t xml:space="preserve"> </w:t>
            </w:r>
            <w:r>
              <w:rPr>
                <w:color w:val="231F20"/>
                <w:sz w:val="14"/>
              </w:rPr>
              <w:t>речи”);</w:t>
            </w:r>
          </w:p>
        </w:tc>
        <w:tc>
          <w:tcPr>
            <w:tcW w:w="2834" w:type="dxa"/>
          </w:tcPr>
          <w:p w:rsidR="00041039" w:rsidRDefault="001B26CB">
            <w:pPr>
              <w:pStyle w:val="TableParagraph"/>
              <w:numPr>
                <w:ilvl w:val="0"/>
                <w:numId w:val="82"/>
              </w:numPr>
              <w:tabs>
                <w:tab w:val="left" w:pos="158"/>
              </w:tabs>
              <w:spacing w:before="10" w:line="166" w:lineRule="exact"/>
              <w:ind w:hanging="99"/>
              <w:rPr>
                <w:sz w:val="14"/>
              </w:rPr>
            </w:pPr>
            <w:r>
              <w:rPr>
                <w:color w:val="231F20"/>
                <w:sz w:val="14"/>
              </w:rPr>
              <w:t>Неопходност учења</w:t>
            </w:r>
            <w:r>
              <w:rPr>
                <w:color w:val="231F20"/>
                <w:spacing w:val="-3"/>
                <w:sz w:val="14"/>
              </w:rPr>
              <w:t xml:space="preserve"> </w:t>
            </w:r>
            <w:r>
              <w:rPr>
                <w:color w:val="231F20"/>
                <w:sz w:val="14"/>
              </w:rPr>
              <w:t>комуникације.</w:t>
            </w:r>
          </w:p>
          <w:p w:rsidR="00041039" w:rsidRDefault="001B26CB">
            <w:pPr>
              <w:pStyle w:val="TableParagraph"/>
              <w:numPr>
                <w:ilvl w:val="0"/>
                <w:numId w:val="82"/>
              </w:numPr>
              <w:tabs>
                <w:tab w:val="left" w:pos="158"/>
              </w:tabs>
              <w:spacing w:line="160" w:lineRule="exact"/>
              <w:ind w:hanging="99"/>
              <w:rPr>
                <w:sz w:val="14"/>
              </w:rPr>
            </w:pPr>
            <w:r>
              <w:rPr>
                <w:color w:val="231F20"/>
                <w:spacing w:val="-3"/>
                <w:sz w:val="14"/>
              </w:rPr>
              <w:t>Говор</w:t>
            </w:r>
            <w:r>
              <w:rPr>
                <w:color w:val="231F20"/>
                <w:sz w:val="14"/>
              </w:rPr>
              <w:t xml:space="preserve"> тела.</w:t>
            </w:r>
          </w:p>
          <w:p w:rsidR="00041039" w:rsidRDefault="001B26CB">
            <w:pPr>
              <w:pStyle w:val="TableParagraph"/>
              <w:numPr>
                <w:ilvl w:val="0"/>
                <w:numId w:val="82"/>
              </w:numPr>
              <w:tabs>
                <w:tab w:val="left" w:pos="158"/>
              </w:tabs>
              <w:spacing w:line="160" w:lineRule="exact"/>
              <w:ind w:hanging="99"/>
              <w:rPr>
                <w:sz w:val="14"/>
              </w:rPr>
            </w:pPr>
            <w:r>
              <w:rPr>
                <w:color w:val="231F20"/>
                <w:sz w:val="14"/>
              </w:rPr>
              <w:t>Препреке успешне</w:t>
            </w:r>
            <w:r>
              <w:rPr>
                <w:color w:val="231F20"/>
                <w:spacing w:val="-3"/>
                <w:sz w:val="14"/>
              </w:rPr>
              <w:t xml:space="preserve"> </w:t>
            </w:r>
            <w:r>
              <w:rPr>
                <w:color w:val="231F20"/>
                <w:sz w:val="14"/>
              </w:rPr>
              <w:t>комуникације.</w:t>
            </w:r>
          </w:p>
          <w:p w:rsidR="00041039" w:rsidRDefault="001B26CB">
            <w:pPr>
              <w:pStyle w:val="TableParagraph"/>
              <w:numPr>
                <w:ilvl w:val="0"/>
                <w:numId w:val="82"/>
              </w:numPr>
              <w:tabs>
                <w:tab w:val="left" w:pos="158"/>
              </w:tabs>
              <w:spacing w:line="160" w:lineRule="exact"/>
              <w:ind w:hanging="99"/>
              <w:rPr>
                <w:sz w:val="14"/>
              </w:rPr>
            </w:pPr>
            <w:r>
              <w:rPr>
                <w:color w:val="231F20"/>
                <w:sz w:val="14"/>
              </w:rPr>
              <w:t>Осећања.</w:t>
            </w:r>
          </w:p>
          <w:p w:rsidR="00041039" w:rsidRDefault="001B26CB">
            <w:pPr>
              <w:pStyle w:val="TableParagraph"/>
              <w:numPr>
                <w:ilvl w:val="0"/>
                <w:numId w:val="82"/>
              </w:numPr>
              <w:tabs>
                <w:tab w:val="left" w:pos="158"/>
              </w:tabs>
              <w:spacing w:line="160" w:lineRule="exact"/>
              <w:ind w:hanging="99"/>
              <w:rPr>
                <w:sz w:val="14"/>
              </w:rPr>
            </w:pPr>
            <w:r>
              <w:rPr>
                <w:color w:val="231F20"/>
                <w:sz w:val="14"/>
              </w:rPr>
              <w:t>Потребе.</w:t>
            </w:r>
          </w:p>
          <w:p w:rsidR="00041039" w:rsidRDefault="001B26CB">
            <w:pPr>
              <w:pStyle w:val="TableParagraph"/>
              <w:numPr>
                <w:ilvl w:val="0"/>
                <w:numId w:val="82"/>
              </w:numPr>
              <w:tabs>
                <w:tab w:val="left" w:pos="158"/>
              </w:tabs>
              <w:spacing w:line="160" w:lineRule="exact"/>
              <w:ind w:hanging="99"/>
              <w:rPr>
                <w:sz w:val="14"/>
              </w:rPr>
            </w:pPr>
            <w:r>
              <w:rPr>
                <w:color w:val="231F20"/>
                <w:sz w:val="14"/>
              </w:rPr>
              <w:t>Правила</w:t>
            </w:r>
            <w:r>
              <w:rPr>
                <w:color w:val="231F20"/>
                <w:spacing w:val="-2"/>
                <w:sz w:val="14"/>
              </w:rPr>
              <w:t xml:space="preserve"> </w:t>
            </w:r>
            <w:r>
              <w:rPr>
                <w:color w:val="231F20"/>
                <w:sz w:val="14"/>
              </w:rPr>
              <w:t>комуникације.</w:t>
            </w:r>
          </w:p>
          <w:p w:rsidR="00041039" w:rsidRDefault="001B26CB">
            <w:pPr>
              <w:pStyle w:val="TableParagraph"/>
              <w:numPr>
                <w:ilvl w:val="0"/>
                <w:numId w:val="82"/>
              </w:numPr>
              <w:tabs>
                <w:tab w:val="left" w:pos="158"/>
              </w:tabs>
              <w:spacing w:line="160" w:lineRule="exact"/>
              <w:ind w:hanging="99"/>
              <w:rPr>
                <w:sz w:val="14"/>
              </w:rPr>
            </w:pPr>
            <w:r>
              <w:rPr>
                <w:color w:val="231F20"/>
                <w:sz w:val="14"/>
              </w:rPr>
              <w:t>Активно</w:t>
            </w:r>
            <w:r>
              <w:rPr>
                <w:color w:val="231F20"/>
                <w:spacing w:val="-1"/>
                <w:sz w:val="14"/>
              </w:rPr>
              <w:t xml:space="preserve"> </w:t>
            </w:r>
            <w:r>
              <w:rPr>
                <w:color w:val="231F20"/>
                <w:sz w:val="14"/>
              </w:rPr>
              <w:t>слушање.</w:t>
            </w:r>
          </w:p>
          <w:p w:rsidR="00041039" w:rsidRDefault="001B26CB">
            <w:pPr>
              <w:pStyle w:val="TableParagraph"/>
              <w:numPr>
                <w:ilvl w:val="0"/>
                <w:numId w:val="82"/>
              </w:numPr>
              <w:tabs>
                <w:tab w:val="left" w:pos="158"/>
              </w:tabs>
              <w:spacing w:line="166" w:lineRule="exact"/>
              <w:ind w:hanging="99"/>
              <w:rPr>
                <w:sz w:val="14"/>
              </w:rPr>
            </w:pPr>
            <w:r>
              <w:rPr>
                <w:color w:val="231F20"/>
                <w:sz w:val="14"/>
              </w:rPr>
              <w:t>Активан говор (ја ­</w:t>
            </w:r>
            <w:r>
              <w:rPr>
                <w:color w:val="231F20"/>
                <w:spacing w:val="-4"/>
                <w:sz w:val="14"/>
              </w:rPr>
              <w:t xml:space="preserve"> </w:t>
            </w:r>
            <w:r>
              <w:rPr>
                <w:color w:val="231F20"/>
                <w:sz w:val="14"/>
              </w:rPr>
              <w:t>поруке).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2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680"/>
        </w:trPr>
        <w:tc>
          <w:tcPr>
            <w:tcW w:w="1304" w:type="dxa"/>
          </w:tcPr>
          <w:p w:rsidR="00041039" w:rsidRDefault="001B26CB">
            <w:pPr>
              <w:pStyle w:val="TableParagraph"/>
              <w:spacing w:before="18"/>
              <w:ind w:left="56"/>
              <w:rPr>
                <w:sz w:val="14"/>
              </w:rPr>
            </w:pPr>
            <w:r>
              <w:rPr>
                <w:color w:val="231F20"/>
                <w:sz w:val="14"/>
              </w:rPr>
              <w:lastRenderedPageBreak/>
              <w:t>Стрес и траума</w:t>
            </w:r>
          </w:p>
        </w:tc>
        <w:tc>
          <w:tcPr>
            <w:tcW w:w="1587" w:type="dxa"/>
          </w:tcPr>
          <w:p w:rsidR="00041039" w:rsidRDefault="001B26CB">
            <w:pPr>
              <w:pStyle w:val="TableParagraph"/>
              <w:numPr>
                <w:ilvl w:val="0"/>
                <w:numId w:val="81"/>
              </w:numPr>
              <w:tabs>
                <w:tab w:val="left" w:pos="157"/>
              </w:tabs>
              <w:spacing w:before="8"/>
              <w:ind w:right="80"/>
              <w:rPr>
                <w:sz w:val="14"/>
              </w:rPr>
            </w:pPr>
            <w:r>
              <w:rPr>
                <w:color w:val="231F20"/>
                <w:sz w:val="14"/>
              </w:rPr>
              <w:t>Упознавање са</w:t>
            </w:r>
            <w:r>
              <w:rPr>
                <w:color w:val="231F20"/>
                <w:spacing w:val="-22"/>
                <w:sz w:val="14"/>
              </w:rPr>
              <w:t xml:space="preserve"> </w:t>
            </w:r>
            <w:r>
              <w:rPr>
                <w:color w:val="231F20"/>
                <w:sz w:val="14"/>
              </w:rPr>
              <w:t>појмом стреса и трауме и са техникама превлада­ вања стреса.</w:t>
            </w:r>
          </w:p>
        </w:tc>
        <w:tc>
          <w:tcPr>
            <w:tcW w:w="2551" w:type="dxa"/>
          </w:tcPr>
          <w:p w:rsidR="00041039" w:rsidRDefault="001B26CB">
            <w:pPr>
              <w:pStyle w:val="TableParagraph"/>
              <w:numPr>
                <w:ilvl w:val="0"/>
                <w:numId w:val="80"/>
              </w:numPr>
              <w:tabs>
                <w:tab w:val="left" w:pos="157"/>
              </w:tabs>
              <w:spacing w:before="8" w:line="166" w:lineRule="exact"/>
              <w:ind w:hanging="99"/>
              <w:rPr>
                <w:sz w:val="14"/>
              </w:rPr>
            </w:pPr>
            <w:r>
              <w:rPr>
                <w:color w:val="231F20"/>
                <w:sz w:val="14"/>
              </w:rPr>
              <w:t>објасни шта је стрес и</w:t>
            </w:r>
            <w:r>
              <w:rPr>
                <w:color w:val="231F20"/>
                <w:spacing w:val="-3"/>
                <w:sz w:val="14"/>
              </w:rPr>
              <w:t xml:space="preserve"> </w:t>
            </w:r>
            <w:r>
              <w:rPr>
                <w:color w:val="231F20"/>
                <w:sz w:val="14"/>
              </w:rPr>
              <w:t>траума;</w:t>
            </w:r>
          </w:p>
          <w:p w:rsidR="00041039" w:rsidRDefault="001B26CB">
            <w:pPr>
              <w:pStyle w:val="TableParagraph"/>
              <w:numPr>
                <w:ilvl w:val="0"/>
                <w:numId w:val="80"/>
              </w:numPr>
              <w:tabs>
                <w:tab w:val="left" w:pos="157"/>
              </w:tabs>
              <w:spacing w:line="166" w:lineRule="exact"/>
              <w:ind w:hanging="99"/>
              <w:rPr>
                <w:sz w:val="14"/>
              </w:rPr>
            </w:pPr>
            <w:r>
              <w:rPr>
                <w:color w:val="231F20"/>
                <w:sz w:val="14"/>
              </w:rPr>
              <w:t>наведе технике превладавања</w:t>
            </w:r>
            <w:r>
              <w:rPr>
                <w:color w:val="231F20"/>
                <w:spacing w:val="-7"/>
                <w:sz w:val="14"/>
              </w:rPr>
              <w:t xml:space="preserve"> </w:t>
            </w:r>
            <w:r>
              <w:rPr>
                <w:color w:val="231F20"/>
                <w:sz w:val="14"/>
              </w:rPr>
              <w:t>стреса;</w:t>
            </w:r>
          </w:p>
        </w:tc>
        <w:tc>
          <w:tcPr>
            <w:tcW w:w="2834" w:type="dxa"/>
          </w:tcPr>
          <w:p w:rsidR="00041039" w:rsidRDefault="001B26CB">
            <w:pPr>
              <w:pStyle w:val="TableParagraph"/>
              <w:numPr>
                <w:ilvl w:val="0"/>
                <w:numId w:val="79"/>
              </w:numPr>
              <w:tabs>
                <w:tab w:val="left" w:pos="157"/>
              </w:tabs>
              <w:spacing w:before="8" w:line="166" w:lineRule="exact"/>
              <w:ind w:hanging="99"/>
              <w:rPr>
                <w:sz w:val="14"/>
              </w:rPr>
            </w:pPr>
            <w:r>
              <w:rPr>
                <w:color w:val="231F20"/>
                <w:sz w:val="14"/>
              </w:rPr>
              <w:t>Стрес и</w:t>
            </w:r>
            <w:r>
              <w:rPr>
                <w:color w:val="231F20"/>
                <w:spacing w:val="-2"/>
                <w:sz w:val="14"/>
              </w:rPr>
              <w:t xml:space="preserve"> </w:t>
            </w:r>
            <w:r>
              <w:rPr>
                <w:color w:val="231F20"/>
                <w:sz w:val="14"/>
              </w:rPr>
              <w:t>траума.</w:t>
            </w:r>
          </w:p>
          <w:p w:rsidR="00041039" w:rsidRDefault="001B26CB">
            <w:pPr>
              <w:pStyle w:val="TableParagraph"/>
              <w:numPr>
                <w:ilvl w:val="0"/>
                <w:numId w:val="79"/>
              </w:numPr>
              <w:tabs>
                <w:tab w:val="left" w:pos="157"/>
              </w:tabs>
              <w:spacing w:line="166" w:lineRule="exact"/>
              <w:ind w:hanging="99"/>
              <w:rPr>
                <w:sz w:val="14"/>
              </w:rPr>
            </w:pPr>
            <w:r>
              <w:rPr>
                <w:color w:val="231F20"/>
                <w:sz w:val="14"/>
              </w:rPr>
              <w:t>Технике превладавања</w:t>
            </w:r>
            <w:r>
              <w:rPr>
                <w:color w:val="231F20"/>
                <w:spacing w:val="-2"/>
                <w:sz w:val="14"/>
              </w:rPr>
              <w:t xml:space="preserve"> </w:t>
            </w:r>
            <w:r>
              <w:rPr>
                <w:color w:val="231F20"/>
                <w:sz w:val="14"/>
              </w:rPr>
              <w:t>стреса.</w:t>
            </w:r>
          </w:p>
        </w:tc>
        <w:tc>
          <w:tcPr>
            <w:tcW w:w="2267" w:type="dxa"/>
            <w:vMerge w:val="restart"/>
          </w:tcPr>
          <w:p w:rsidR="00041039" w:rsidRDefault="00041039">
            <w:pPr>
              <w:pStyle w:val="TableParagraph"/>
              <w:ind w:left="0"/>
              <w:rPr>
                <w:sz w:val="14"/>
              </w:rPr>
            </w:pPr>
          </w:p>
        </w:tc>
      </w:tr>
      <w:tr w:rsidR="00041039">
        <w:trPr>
          <w:trHeight w:val="2760"/>
        </w:trPr>
        <w:tc>
          <w:tcPr>
            <w:tcW w:w="1304" w:type="dxa"/>
          </w:tcPr>
          <w:p w:rsidR="00041039" w:rsidRDefault="001B26CB">
            <w:pPr>
              <w:pStyle w:val="TableParagraph"/>
              <w:spacing w:before="18"/>
              <w:ind w:left="56" w:right="37"/>
              <w:rPr>
                <w:sz w:val="14"/>
              </w:rPr>
            </w:pPr>
            <w:r>
              <w:rPr>
                <w:color w:val="231F20"/>
                <w:sz w:val="14"/>
              </w:rPr>
              <w:t>Психолошки проблеми</w:t>
            </w:r>
          </w:p>
        </w:tc>
        <w:tc>
          <w:tcPr>
            <w:tcW w:w="1587" w:type="dxa"/>
          </w:tcPr>
          <w:p w:rsidR="00041039" w:rsidRDefault="001B26CB">
            <w:pPr>
              <w:pStyle w:val="TableParagraph"/>
              <w:numPr>
                <w:ilvl w:val="0"/>
                <w:numId w:val="78"/>
              </w:numPr>
              <w:tabs>
                <w:tab w:val="left" w:pos="157"/>
              </w:tabs>
              <w:spacing w:before="8"/>
              <w:ind w:right="95"/>
              <w:rPr>
                <w:sz w:val="14"/>
              </w:rPr>
            </w:pPr>
            <w:r>
              <w:rPr>
                <w:color w:val="231F20"/>
                <w:sz w:val="14"/>
              </w:rPr>
              <w:t>Упознавање са најчешћим</w:t>
            </w:r>
            <w:r>
              <w:rPr>
                <w:color w:val="231F20"/>
                <w:spacing w:val="-16"/>
                <w:sz w:val="14"/>
              </w:rPr>
              <w:t xml:space="preserve"> </w:t>
            </w:r>
            <w:r>
              <w:rPr>
                <w:color w:val="231F20"/>
                <w:sz w:val="14"/>
              </w:rPr>
              <w:t xml:space="preserve">психолош­ ким проблемима у адолесценцији и </w:t>
            </w:r>
            <w:r>
              <w:rPr>
                <w:color w:val="231F20"/>
                <w:spacing w:val="-3"/>
                <w:sz w:val="14"/>
              </w:rPr>
              <w:t xml:space="preserve">како </w:t>
            </w:r>
            <w:r>
              <w:rPr>
                <w:color w:val="231F20"/>
                <w:sz w:val="14"/>
              </w:rPr>
              <w:t>их</w:t>
            </w:r>
            <w:r>
              <w:rPr>
                <w:color w:val="231F20"/>
                <w:spacing w:val="-2"/>
                <w:sz w:val="14"/>
              </w:rPr>
              <w:t xml:space="preserve"> </w:t>
            </w:r>
            <w:r>
              <w:rPr>
                <w:color w:val="231F20"/>
                <w:sz w:val="14"/>
              </w:rPr>
              <w:t>превазићи.</w:t>
            </w:r>
          </w:p>
        </w:tc>
        <w:tc>
          <w:tcPr>
            <w:tcW w:w="2551" w:type="dxa"/>
          </w:tcPr>
          <w:p w:rsidR="00041039" w:rsidRDefault="001B26CB">
            <w:pPr>
              <w:pStyle w:val="TableParagraph"/>
              <w:numPr>
                <w:ilvl w:val="0"/>
                <w:numId w:val="77"/>
              </w:numPr>
              <w:tabs>
                <w:tab w:val="left" w:pos="157"/>
              </w:tabs>
              <w:spacing w:before="8"/>
              <w:ind w:right="292" w:hanging="99"/>
              <w:rPr>
                <w:sz w:val="14"/>
              </w:rPr>
            </w:pPr>
            <w:r>
              <w:rPr>
                <w:color w:val="231F20"/>
                <w:sz w:val="14"/>
              </w:rPr>
              <w:t>објасни шта је и које су врсте</w:t>
            </w:r>
            <w:r>
              <w:rPr>
                <w:color w:val="231F20"/>
                <w:spacing w:val="-16"/>
                <w:sz w:val="14"/>
              </w:rPr>
              <w:t xml:space="preserve"> </w:t>
            </w:r>
            <w:r>
              <w:rPr>
                <w:color w:val="231F20"/>
                <w:sz w:val="14"/>
              </w:rPr>
              <w:t>агре­ сивности;</w:t>
            </w:r>
          </w:p>
          <w:p w:rsidR="00041039" w:rsidRDefault="001B26CB">
            <w:pPr>
              <w:pStyle w:val="TableParagraph"/>
              <w:numPr>
                <w:ilvl w:val="0"/>
                <w:numId w:val="77"/>
              </w:numPr>
              <w:tabs>
                <w:tab w:val="left" w:pos="157"/>
              </w:tabs>
              <w:spacing w:line="160" w:lineRule="exact"/>
              <w:ind w:right="135" w:hanging="99"/>
              <w:rPr>
                <w:sz w:val="14"/>
              </w:rPr>
            </w:pPr>
            <w:r>
              <w:rPr>
                <w:color w:val="231F20"/>
                <w:sz w:val="14"/>
              </w:rPr>
              <w:t>објасни који су узроци и последице депресије, као и механизме</w:t>
            </w:r>
            <w:r>
              <w:rPr>
                <w:color w:val="231F20"/>
                <w:spacing w:val="-16"/>
                <w:sz w:val="14"/>
              </w:rPr>
              <w:t xml:space="preserve"> </w:t>
            </w:r>
            <w:r>
              <w:rPr>
                <w:color w:val="231F20"/>
                <w:sz w:val="14"/>
              </w:rPr>
              <w:t>превлада­ вања депресије;</w:t>
            </w:r>
          </w:p>
          <w:p w:rsidR="00041039" w:rsidRDefault="001B26CB">
            <w:pPr>
              <w:pStyle w:val="TableParagraph"/>
              <w:numPr>
                <w:ilvl w:val="0"/>
                <w:numId w:val="77"/>
              </w:numPr>
              <w:tabs>
                <w:tab w:val="left" w:pos="157"/>
              </w:tabs>
              <w:spacing w:line="160" w:lineRule="exact"/>
              <w:ind w:right="247" w:hanging="99"/>
              <w:rPr>
                <w:sz w:val="14"/>
              </w:rPr>
            </w:pPr>
            <w:r>
              <w:rPr>
                <w:color w:val="231F20"/>
                <w:sz w:val="14"/>
              </w:rPr>
              <w:t>објасни шта је комплекс ниже</w:t>
            </w:r>
            <w:r>
              <w:rPr>
                <w:color w:val="231F20"/>
                <w:spacing w:val="-22"/>
                <w:sz w:val="14"/>
              </w:rPr>
              <w:t xml:space="preserve"> </w:t>
            </w:r>
            <w:r>
              <w:rPr>
                <w:color w:val="231F20"/>
                <w:sz w:val="14"/>
              </w:rPr>
              <w:t>вред­ ности и начине постизања самопо­ уздања;</w:t>
            </w:r>
          </w:p>
          <w:p w:rsidR="00041039" w:rsidRDefault="001B26CB">
            <w:pPr>
              <w:pStyle w:val="TableParagraph"/>
              <w:numPr>
                <w:ilvl w:val="0"/>
                <w:numId w:val="77"/>
              </w:numPr>
              <w:tabs>
                <w:tab w:val="left" w:pos="157"/>
              </w:tabs>
              <w:spacing w:line="160" w:lineRule="exact"/>
              <w:ind w:right="108" w:hanging="99"/>
              <w:rPr>
                <w:sz w:val="14"/>
              </w:rPr>
            </w:pPr>
            <w:r>
              <w:rPr>
                <w:color w:val="231F20"/>
                <w:sz w:val="14"/>
              </w:rPr>
              <w:t>наведе и објасни најчешће</w:t>
            </w:r>
            <w:r>
              <w:rPr>
                <w:color w:val="231F20"/>
                <w:spacing w:val="-21"/>
                <w:sz w:val="14"/>
              </w:rPr>
              <w:t xml:space="preserve"> </w:t>
            </w:r>
            <w:r>
              <w:rPr>
                <w:color w:val="231F20"/>
                <w:sz w:val="14"/>
              </w:rPr>
              <w:t>поремећаје исхране у</w:t>
            </w:r>
            <w:r>
              <w:rPr>
                <w:color w:val="231F20"/>
                <w:spacing w:val="-1"/>
                <w:sz w:val="14"/>
              </w:rPr>
              <w:t xml:space="preserve"> </w:t>
            </w:r>
            <w:r>
              <w:rPr>
                <w:color w:val="231F20"/>
                <w:sz w:val="14"/>
              </w:rPr>
              <w:t>адолесценцији;</w:t>
            </w:r>
          </w:p>
          <w:p w:rsidR="00041039" w:rsidRDefault="001B26CB">
            <w:pPr>
              <w:pStyle w:val="TableParagraph"/>
              <w:numPr>
                <w:ilvl w:val="0"/>
                <w:numId w:val="77"/>
              </w:numPr>
              <w:tabs>
                <w:tab w:val="left" w:pos="157"/>
              </w:tabs>
              <w:spacing w:line="153" w:lineRule="exact"/>
              <w:ind w:hanging="99"/>
              <w:rPr>
                <w:sz w:val="14"/>
              </w:rPr>
            </w:pPr>
            <w:r>
              <w:rPr>
                <w:color w:val="231F20"/>
                <w:sz w:val="14"/>
              </w:rPr>
              <w:t>објасни врсте зависности и</w:t>
            </w:r>
            <w:r>
              <w:rPr>
                <w:color w:val="231F20"/>
                <w:spacing w:val="-7"/>
                <w:sz w:val="14"/>
              </w:rPr>
              <w:t xml:space="preserve"> </w:t>
            </w:r>
            <w:r>
              <w:rPr>
                <w:color w:val="231F20"/>
                <w:sz w:val="14"/>
              </w:rPr>
              <w:t>последице;</w:t>
            </w:r>
          </w:p>
          <w:p w:rsidR="00041039" w:rsidRDefault="001B26CB">
            <w:pPr>
              <w:pStyle w:val="TableParagraph"/>
              <w:numPr>
                <w:ilvl w:val="0"/>
                <w:numId w:val="77"/>
              </w:numPr>
              <w:tabs>
                <w:tab w:val="left" w:pos="157"/>
              </w:tabs>
              <w:spacing w:line="237" w:lineRule="auto"/>
              <w:ind w:right="121" w:hanging="99"/>
              <w:rPr>
                <w:sz w:val="14"/>
              </w:rPr>
            </w:pPr>
            <w:r>
              <w:rPr>
                <w:color w:val="231F20"/>
                <w:sz w:val="14"/>
              </w:rPr>
              <w:t>наведе врсте злостављања, последице и стратегије</w:t>
            </w:r>
            <w:r>
              <w:rPr>
                <w:color w:val="231F20"/>
                <w:spacing w:val="-3"/>
                <w:sz w:val="14"/>
              </w:rPr>
              <w:t xml:space="preserve"> </w:t>
            </w:r>
            <w:r>
              <w:rPr>
                <w:color w:val="231F20"/>
                <w:sz w:val="14"/>
              </w:rPr>
              <w:t>суочавања;</w:t>
            </w:r>
          </w:p>
          <w:p w:rsidR="00041039" w:rsidRDefault="001B26CB">
            <w:pPr>
              <w:pStyle w:val="TableParagraph"/>
              <w:numPr>
                <w:ilvl w:val="0"/>
                <w:numId w:val="77"/>
              </w:numPr>
              <w:tabs>
                <w:tab w:val="left" w:pos="157"/>
              </w:tabs>
              <w:spacing w:line="160" w:lineRule="exact"/>
              <w:ind w:right="293" w:hanging="99"/>
              <w:rPr>
                <w:sz w:val="14"/>
              </w:rPr>
            </w:pPr>
            <w:r>
              <w:rPr>
                <w:color w:val="231F20"/>
                <w:sz w:val="14"/>
              </w:rPr>
              <w:t>наведе реакције на губитак</w:t>
            </w:r>
            <w:r>
              <w:rPr>
                <w:color w:val="231F20"/>
                <w:spacing w:val="-10"/>
                <w:sz w:val="14"/>
              </w:rPr>
              <w:t xml:space="preserve"> </w:t>
            </w:r>
            <w:r>
              <w:rPr>
                <w:color w:val="231F20"/>
                <w:sz w:val="14"/>
              </w:rPr>
              <w:t>вољене особе и стратегије</w:t>
            </w:r>
            <w:r>
              <w:rPr>
                <w:color w:val="231F20"/>
                <w:spacing w:val="-6"/>
                <w:sz w:val="14"/>
              </w:rPr>
              <w:t xml:space="preserve"> </w:t>
            </w:r>
            <w:r>
              <w:rPr>
                <w:color w:val="231F20"/>
                <w:sz w:val="14"/>
              </w:rPr>
              <w:t>суочавања;</w:t>
            </w:r>
          </w:p>
          <w:p w:rsidR="00041039" w:rsidRDefault="001B26CB">
            <w:pPr>
              <w:pStyle w:val="TableParagraph"/>
              <w:numPr>
                <w:ilvl w:val="0"/>
                <w:numId w:val="77"/>
              </w:numPr>
              <w:tabs>
                <w:tab w:val="left" w:pos="157"/>
              </w:tabs>
              <w:spacing w:line="160" w:lineRule="exact"/>
              <w:ind w:right="44" w:hanging="99"/>
              <w:rPr>
                <w:sz w:val="14"/>
              </w:rPr>
            </w:pPr>
            <w:r>
              <w:rPr>
                <w:color w:val="231F20"/>
                <w:sz w:val="14"/>
              </w:rPr>
              <w:t>наведе и објасни поремећаје</w:t>
            </w:r>
            <w:r>
              <w:rPr>
                <w:color w:val="231F20"/>
                <w:spacing w:val="-23"/>
                <w:sz w:val="14"/>
              </w:rPr>
              <w:t xml:space="preserve"> </w:t>
            </w:r>
            <w:r>
              <w:rPr>
                <w:color w:val="231F20"/>
                <w:sz w:val="14"/>
              </w:rPr>
              <w:t>понашања (лаж, крађа,</w:t>
            </w:r>
            <w:r>
              <w:rPr>
                <w:color w:val="231F20"/>
                <w:spacing w:val="-1"/>
                <w:sz w:val="14"/>
              </w:rPr>
              <w:t xml:space="preserve"> </w:t>
            </w:r>
            <w:r>
              <w:rPr>
                <w:color w:val="231F20"/>
                <w:sz w:val="14"/>
              </w:rPr>
              <w:t>деликвенција);</w:t>
            </w:r>
          </w:p>
        </w:tc>
        <w:tc>
          <w:tcPr>
            <w:tcW w:w="2834" w:type="dxa"/>
          </w:tcPr>
          <w:p w:rsidR="00041039" w:rsidRDefault="001B26CB">
            <w:pPr>
              <w:pStyle w:val="TableParagraph"/>
              <w:numPr>
                <w:ilvl w:val="0"/>
                <w:numId w:val="76"/>
              </w:numPr>
              <w:tabs>
                <w:tab w:val="left" w:pos="157"/>
              </w:tabs>
              <w:spacing w:before="8" w:line="166" w:lineRule="exact"/>
              <w:ind w:hanging="99"/>
              <w:rPr>
                <w:sz w:val="14"/>
              </w:rPr>
            </w:pPr>
            <w:r>
              <w:rPr>
                <w:color w:val="231F20"/>
                <w:sz w:val="14"/>
              </w:rPr>
              <w:t>Агресивност.</w:t>
            </w:r>
          </w:p>
          <w:p w:rsidR="00041039" w:rsidRDefault="001B26CB">
            <w:pPr>
              <w:pStyle w:val="TableParagraph"/>
              <w:numPr>
                <w:ilvl w:val="0"/>
                <w:numId w:val="76"/>
              </w:numPr>
              <w:tabs>
                <w:tab w:val="left" w:pos="157"/>
              </w:tabs>
              <w:spacing w:line="160" w:lineRule="exact"/>
              <w:ind w:hanging="99"/>
              <w:rPr>
                <w:sz w:val="14"/>
              </w:rPr>
            </w:pPr>
            <w:r>
              <w:rPr>
                <w:color w:val="231F20"/>
                <w:sz w:val="14"/>
              </w:rPr>
              <w:t>Депресија.</w:t>
            </w:r>
          </w:p>
          <w:p w:rsidR="00041039" w:rsidRDefault="001B26CB">
            <w:pPr>
              <w:pStyle w:val="TableParagraph"/>
              <w:numPr>
                <w:ilvl w:val="0"/>
                <w:numId w:val="76"/>
              </w:numPr>
              <w:tabs>
                <w:tab w:val="left" w:pos="157"/>
              </w:tabs>
              <w:spacing w:line="160" w:lineRule="exact"/>
              <w:ind w:hanging="99"/>
              <w:rPr>
                <w:sz w:val="14"/>
              </w:rPr>
            </w:pPr>
            <w:r>
              <w:rPr>
                <w:color w:val="231F20"/>
                <w:sz w:val="14"/>
              </w:rPr>
              <w:t>Комплекс ниже</w:t>
            </w:r>
            <w:r>
              <w:rPr>
                <w:color w:val="231F20"/>
                <w:spacing w:val="-2"/>
                <w:sz w:val="14"/>
              </w:rPr>
              <w:t xml:space="preserve"> </w:t>
            </w:r>
            <w:r>
              <w:rPr>
                <w:color w:val="231F20"/>
                <w:sz w:val="14"/>
              </w:rPr>
              <w:t>вредности.</w:t>
            </w:r>
          </w:p>
          <w:p w:rsidR="00041039" w:rsidRDefault="001B26CB">
            <w:pPr>
              <w:pStyle w:val="TableParagraph"/>
              <w:numPr>
                <w:ilvl w:val="0"/>
                <w:numId w:val="76"/>
              </w:numPr>
              <w:tabs>
                <w:tab w:val="left" w:pos="157"/>
              </w:tabs>
              <w:spacing w:line="160" w:lineRule="exact"/>
              <w:ind w:hanging="99"/>
              <w:rPr>
                <w:sz w:val="14"/>
              </w:rPr>
            </w:pPr>
            <w:r>
              <w:rPr>
                <w:color w:val="231F20"/>
                <w:sz w:val="14"/>
              </w:rPr>
              <w:t>Поремећаји</w:t>
            </w:r>
            <w:r>
              <w:rPr>
                <w:color w:val="231F20"/>
                <w:spacing w:val="-2"/>
                <w:sz w:val="14"/>
              </w:rPr>
              <w:t xml:space="preserve"> </w:t>
            </w:r>
            <w:r>
              <w:rPr>
                <w:color w:val="231F20"/>
                <w:sz w:val="14"/>
              </w:rPr>
              <w:t>исхране.</w:t>
            </w:r>
          </w:p>
          <w:p w:rsidR="00041039" w:rsidRDefault="001B26CB">
            <w:pPr>
              <w:pStyle w:val="TableParagraph"/>
              <w:numPr>
                <w:ilvl w:val="0"/>
                <w:numId w:val="76"/>
              </w:numPr>
              <w:tabs>
                <w:tab w:val="left" w:pos="157"/>
              </w:tabs>
              <w:spacing w:line="160" w:lineRule="exact"/>
              <w:ind w:hanging="99"/>
              <w:rPr>
                <w:sz w:val="14"/>
              </w:rPr>
            </w:pPr>
            <w:r>
              <w:rPr>
                <w:color w:val="231F20"/>
                <w:sz w:val="14"/>
              </w:rPr>
              <w:t>Зависност.</w:t>
            </w:r>
          </w:p>
          <w:p w:rsidR="00041039" w:rsidRDefault="001B26CB">
            <w:pPr>
              <w:pStyle w:val="TableParagraph"/>
              <w:numPr>
                <w:ilvl w:val="0"/>
                <w:numId w:val="76"/>
              </w:numPr>
              <w:tabs>
                <w:tab w:val="left" w:pos="157"/>
              </w:tabs>
              <w:spacing w:line="160" w:lineRule="exact"/>
              <w:ind w:hanging="99"/>
              <w:rPr>
                <w:sz w:val="14"/>
              </w:rPr>
            </w:pPr>
            <w:r>
              <w:rPr>
                <w:color w:val="231F20"/>
                <w:sz w:val="14"/>
              </w:rPr>
              <w:t>Злостављање.</w:t>
            </w:r>
          </w:p>
          <w:p w:rsidR="00041039" w:rsidRDefault="001B26CB">
            <w:pPr>
              <w:pStyle w:val="TableParagraph"/>
              <w:numPr>
                <w:ilvl w:val="0"/>
                <w:numId w:val="76"/>
              </w:numPr>
              <w:tabs>
                <w:tab w:val="left" w:pos="157"/>
              </w:tabs>
              <w:spacing w:line="160" w:lineRule="exact"/>
              <w:ind w:hanging="99"/>
              <w:rPr>
                <w:sz w:val="14"/>
              </w:rPr>
            </w:pPr>
            <w:r>
              <w:rPr>
                <w:color w:val="231F20"/>
                <w:sz w:val="14"/>
              </w:rPr>
              <w:t>Губитак вољене</w:t>
            </w:r>
            <w:r>
              <w:rPr>
                <w:color w:val="231F20"/>
                <w:spacing w:val="-8"/>
                <w:sz w:val="14"/>
              </w:rPr>
              <w:t xml:space="preserve"> </w:t>
            </w:r>
            <w:r>
              <w:rPr>
                <w:color w:val="231F20"/>
                <w:sz w:val="14"/>
              </w:rPr>
              <w:t>особе.</w:t>
            </w:r>
          </w:p>
          <w:p w:rsidR="00041039" w:rsidRDefault="001B26CB">
            <w:pPr>
              <w:pStyle w:val="TableParagraph"/>
              <w:numPr>
                <w:ilvl w:val="0"/>
                <w:numId w:val="76"/>
              </w:numPr>
              <w:tabs>
                <w:tab w:val="left" w:pos="157"/>
              </w:tabs>
              <w:spacing w:line="166" w:lineRule="exact"/>
              <w:ind w:hanging="99"/>
              <w:rPr>
                <w:sz w:val="14"/>
              </w:rPr>
            </w:pPr>
            <w:r>
              <w:rPr>
                <w:color w:val="231F20"/>
                <w:sz w:val="14"/>
              </w:rPr>
              <w:t>Поремећаји</w:t>
            </w:r>
            <w:r>
              <w:rPr>
                <w:color w:val="231F20"/>
                <w:spacing w:val="-19"/>
                <w:sz w:val="14"/>
              </w:rPr>
              <w:t xml:space="preserve"> </w:t>
            </w:r>
            <w:r>
              <w:rPr>
                <w:color w:val="231F20"/>
                <w:sz w:val="14"/>
              </w:rPr>
              <w:t>понашања.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Историја</w:t>
      </w:r>
    </w:p>
    <w:p w:rsidR="00041039" w:rsidRDefault="001B26CB">
      <w:pPr>
        <w:pStyle w:val="ListParagraph"/>
        <w:numPr>
          <w:ilvl w:val="0"/>
          <w:numId w:val="1"/>
        </w:numPr>
        <w:tabs>
          <w:tab w:val="left" w:pos="633"/>
        </w:tabs>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041039" w:rsidRDefault="001B26CB">
      <w:pPr>
        <w:pStyle w:val="ListParagraph"/>
        <w:numPr>
          <w:ilvl w:val="0"/>
          <w:numId w:val="1"/>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1"/>
        </w:numPr>
        <w:tabs>
          <w:tab w:val="left" w:pos="633"/>
        </w:tabs>
        <w:rPr>
          <w:sz w:val="18"/>
        </w:rPr>
      </w:pPr>
      <w:r>
        <w:rPr>
          <w:color w:val="231F20"/>
          <w:sz w:val="18"/>
        </w:rPr>
        <w:t>Верска</w:t>
      </w:r>
      <w:r>
        <w:rPr>
          <w:color w:val="231F20"/>
          <w:spacing w:val="-1"/>
          <w:sz w:val="18"/>
        </w:rPr>
        <w:t xml:space="preserve"> </w:t>
      </w:r>
      <w:r>
        <w:rPr>
          <w:color w:val="231F20"/>
          <w:sz w:val="18"/>
        </w:rPr>
        <w:t>настава</w:t>
      </w:r>
    </w:p>
    <w:p w:rsidR="00041039" w:rsidRDefault="001B26CB">
      <w:pPr>
        <w:pStyle w:val="ListParagraph"/>
        <w:numPr>
          <w:ilvl w:val="0"/>
          <w:numId w:val="1"/>
        </w:numPr>
        <w:tabs>
          <w:tab w:val="left" w:pos="633"/>
        </w:tabs>
        <w:rPr>
          <w:sz w:val="18"/>
        </w:rPr>
      </w:pPr>
      <w:r>
        <w:rPr>
          <w:color w:val="231F20"/>
          <w:sz w:val="18"/>
        </w:rPr>
        <w:t>Психологија са психологијом</w:t>
      </w:r>
      <w:r>
        <w:rPr>
          <w:color w:val="231F20"/>
          <w:spacing w:val="-2"/>
          <w:sz w:val="18"/>
        </w:rPr>
        <w:t xml:space="preserve"> </w:t>
      </w:r>
      <w:r>
        <w:rPr>
          <w:color w:val="231F20"/>
          <w:sz w:val="18"/>
        </w:rPr>
        <w:t>личности</w:t>
      </w:r>
    </w:p>
    <w:p w:rsidR="00041039" w:rsidRDefault="001B26CB">
      <w:pPr>
        <w:pStyle w:val="ListParagraph"/>
        <w:numPr>
          <w:ilvl w:val="0"/>
          <w:numId w:val="1"/>
        </w:numPr>
        <w:tabs>
          <w:tab w:val="left" w:pos="633"/>
        </w:tabs>
        <w:rPr>
          <w:sz w:val="18"/>
        </w:rPr>
      </w:pPr>
      <w:r>
        <w:rPr>
          <w:color w:val="231F20"/>
          <w:spacing w:val="-3"/>
          <w:sz w:val="18"/>
        </w:rPr>
        <w:t>Људски</w:t>
      </w:r>
      <w:r>
        <w:rPr>
          <w:color w:val="231F20"/>
          <w:spacing w:val="-1"/>
          <w:sz w:val="18"/>
        </w:rPr>
        <w:t xml:space="preserve"> </w:t>
      </w:r>
      <w:r>
        <w:rPr>
          <w:color w:val="231F20"/>
          <w:sz w:val="18"/>
        </w:rPr>
        <w:t>фактор</w:t>
      </w:r>
    </w:p>
    <w:p w:rsidR="00041039" w:rsidRDefault="001B26CB">
      <w:pPr>
        <w:pStyle w:val="ListParagraph"/>
        <w:numPr>
          <w:ilvl w:val="0"/>
          <w:numId w:val="1"/>
        </w:numPr>
        <w:tabs>
          <w:tab w:val="left" w:pos="633"/>
        </w:tabs>
        <w:rPr>
          <w:sz w:val="18"/>
        </w:rPr>
      </w:pPr>
      <w:r>
        <w:rPr>
          <w:color w:val="231F20"/>
          <w:sz w:val="18"/>
        </w:rPr>
        <w:t>Социјална</w:t>
      </w:r>
      <w:r>
        <w:rPr>
          <w:color w:val="231F20"/>
          <w:spacing w:val="-2"/>
          <w:sz w:val="18"/>
        </w:rPr>
        <w:t xml:space="preserve"> </w:t>
      </w:r>
      <w:r>
        <w:rPr>
          <w:color w:val="231F20"/>
          <w:sz w:val="18"/>
        </w:rPr>
        <w:t>патологија</w:t>
      </w:r>
    </w:p>
    <w:p w:rsidR="00041039" w:rsidRDefault="001B26CB">
      <w:pPr>
        <w:pStyle w:val="ListParagraph"/>
        <w:numPr>
          <w:ilvl w:val="0"/>
          <w:numId w:val="1"/>
        </w:numPr>
        <w:tabs>
          <w:tab w:val="left" w:pos="633"/>
        </w:tabs>
        <w:spacing w:line="203" w:lineRule="exact"/>
        <w:rPr>
          <w:sz w:val="18"/>
        </w:rPr>
      </w:pPr>
      <w:r>
        <w:rPr>
          <w:color w:val="231F20"/>
          <w:sz w:val="18"/>
        </w:rPr>
        <w:t>Криминалистичка</w:t>
      </w:r>
      <w:r>
        <w:rPr>
          <w:color w:val="231F20"/>
          <w:spacing w:val="-1"/>
          <w:sz w:val="18"/>
        </w:rPr>
        <w:t xml:space="preserve"> </w:t>
      </w:r>
      <w:r>
        <w:rPr>
          <w:color w:val="231F20"/>
          <w:sz w:val="18"/>
        </w:rPr>
        <w:t>психологија</w:t>
      </w:r>
    </w:p>
    <w:p w:rsidR="00041039" w:rsidRDefault="00041039">
      <w:pPr>
        <w:pStyle w:val="BodyText"/>
        <w:rPr>
          <w:sz w:val="23"/>
        </w:rPr>
      </w:pPr>
    </w:p>
    <w:p w:rsidR="00041039" w:rsidRDefault="001B26CB">
      <w:pPr>
        <w:tabs>
          <w:tab w:val="left" w:pos="1460"/>
        </w:tabs>
        <w:spacing w:line="314" w:lineRule="auto"/>
        <w:ind w:left="157" w:right="8707"/>
        <w:jc w:val="both"/>
        <w:rPr>
          <w:b/>
          <w:sz w:val="14"/>
        </w:rPr>
      </w:pPr>
      <w:r>
        <w:rPr>
          <w:color w:val="231F20"/>
          <w:sz w:val="14"/>
        </w:rPr>
        <w:t xml:space="preserve">Назив предмета: </w:t>
      </w:r>
      <w:r>
        <w:rPr>
          <w:b/>
          <w:color w:val="231F20"/>
          <w:sz w:val="14"/>
        </w:rPr>
        <w:t xml:space="preserve">ФИЗИКА </w:t>
      </w:r>
      <w:r>
        <w:rPr>
          <w:color w:val="231F20"/>
          <w:spacing w:val="-3"/>
          <w:sz w:val="14"/>
        </w:rPr>
        <w:t xml:space="preserve">Годишњи </w:t>
      </w:r>
      <w:r>
        <w:rPr>
          <w:color w:val="231F20"/>
          <w:sz w:val="14"/>
        </w:rPr>
        <w:t xml:space="preserve">фонд: </w:t>
      </w:r>
      <w:r>
        <w:rPr>
          <w:b/>
          <w:color w:val="231F20"/>
          <w:sz w:val="14"/>
        </w:rPr>
        <w:t xml:space="preserve">70 часова </w:t>
      </w:r>
      <w:r>
        <w:rPr>
          <w:color w:val="231F20"/>
          <w:sz w:val="14"/>
        </w:rPr>
        <w:t>Разред:</w:t>
      </w:r>
      <w:r>
        <w:rPr>
          <w:color w:val="231F20"/>
          <w:sz w:val="14"/>
        </w:rPr>
        <w:tab/>
      </w:r>
      <w:r>
        <w:rPr>
          <w:b/>
          <w:color w:val="231F20"/>
          <w:sz w:val="14"/>
        </w:rPr>
        <w:t>трећи</w:t>
      </w:r>
    </w:p>
    <w:p w:rsidR="00041039" w:rsidRDefault="00041039">
      <w:pPr>
        <w:pStyle w:val="BodyText"/>
        <w:spacing w:before="2"/>
        <w:rPr>
          <w:b/>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2760"/>
        </w:trPr>
        <w:tc>
          <w:tcPr>
            <w:tcW w:w="1304" w:type="dxa"/>
          </w:tcPr>
          <w:p w:rsidR="00041039" w:rsidRDefault="001B26CB">
            <w:pPr>
              <w:pStyle w:val="TableParagraph"/>
              <w:spacing w:before="18"/>
              <w:ind w:left="56"/>
              <w:rPr>
                <w:sz w:val="14"/>
              </w:rPr>
            </w:pPr>
            <w:r>
              <w:rPr>
                <w:color w:val="231F20"/>
                <w:sz w:val="14"/>
              </w:rPr>
              <w:t>Закони одржања</w:t>
            </w:r>
          </w:p>
        </w:tc>
        <w:tc>
          <w:tcPr>
            <w:tcW w:w="1587" w:type="dxa"/>
          </w:tcPr>
          <w:p w:rsidR="00041039" w:rsidRDefault="001B26CB">
            <w:pPr>
              <w:pStyle w:val="TableParagraph"/>
              <w:numPr>
                <w:ilvl w:val="0"/>
                <w:numId w:val="75"/>
              </w:numPr>
              <w:tabs>
                <w:tab w:val="left" w:pos="157"/>
              </w:tabs>
              <w:spacing w:before="8"/>
              <w:ind w:right="44"/>
              <w:rPr>
                <w:sz w:val="14"/>
              </w:rPr>
            </w:pPr>
            <w:r>
              <w:rPr>
                <w:color w:val="231F20"/>
                <w:sz w:val="14"/>
              </w:rPr>
              <w:t>Стицање представе о универзалности</w:t>
            </w:r>
            <w:r>
              <w:rPr>
                <w:color w:val="231F20"/>
                <w:spacing w:val="-7"/>
                <w:sz w:val="14"/>
              </w:rPr>
              <w:t xml:space="preserve"> </w:t>
            </w:r>
            <w:r>
              <w:rPr>
                <w:color w:val="231F20"/>
                <w:sz w:val="14"/>
              </w:rPr>
              <w:t>закона одржања и њиховом значају у природним наукама.</w:t>
            </w:r>
          </w:p>
        </w:tc>
        <w:tc>
          <w:tcPr>
            <w:tcW w:w="2551" w:type="dxa"/>
          </w:tcPr>
          <w:p w:rsidR="00041039" w:rsidRDefault="001B26CB">
            <w:pPr>
              <w:pStyle w:val="TableParagraph"/>
              <w:numPr>
                <w:ilvl w:val="0"/>
                <w:numId w:val="74"/>
              </w:numPr>
              <w:tabs>
                <w:tab w:val="left" w:pos="157"/>
              </w:tabs>
              <w:spacing w:before="8"/>
              <w:ind w:right="151" w:hanging="99"/>
              <w:rPr>
                <w:sz w:val="14"/>
              </w:rPr>
            </w:pPr>
            <w:r>
              <w:rPr>
                <w:color w:val="231F20"/>
                <w:sz w:val="14"/>
              </w:rPr>
              <w:t>формулише</w:t>
            </w:r>
            <w:r>
              <w:rPr>
                <w:color w:val="231F20"/>
                <w:spacing w:val="-11"/>
                <w:sz w:val="14"/>
              </w:rPr>
              <w:t xml:space="preserve"> </w:t>
            </w:r>
            <w:r>
              <w:rPr>
                <w:color w:val="231F20"/>
                <w:sz w:val="14"/>
              </w:rPr>
              <w:t>законе</w:t>
            </w:r>
            <w:r>
              <w:rPr>
                <w:color w:val="231F20"/>
                <w:spacing w:val="-10"/>
                <w:sz w:val="14"/>
              </w:rPr>
              <w:t xml:space="preserve"> </w:t>
            </w:r>
            <w:r>
              <w:rPr>
                <w:color w:val="231F20"/>
                <w:sz w:val="14"/>
              </w:rPr>
              <w:t>одржања</w:t>
            </w:r>
            <w:r>
              <w:rPr>
                <w:color w:val="231F20"/>
                <w:spacing w:val="-10"/>
                <w:sz w:val="14"/>
              </w:rPr>
              <w:t xml:space="preserve"> </w:t>
            </w:r>
            <w:r>
              <w:rPr>
                <w:color w:val="231F20"/>
                <w:sz w:val="14"/>
              </w:rPr>
              <w:t>импулса и механичке енергије и примењује их у објашњавању примера из</w:t>
            </w:r>
            <w:r>
              <w:rPr>
                <w:color w:val="231F20"/>
                <w:spacing w:val="-18"/>
                <w:sz w:val="14"/>
              </w:rPr>
              <w:t xml:space="preserve"> </w:t>
            </w:r>
            <w:r>
              <w:rPr>
                <w:color w:val="231F20"/>
                <w:sz w:val="14"/>
              </w:rPr>
              <w:t>праксе и решавању задатака (рачунских и експерименталних);</w:t>
            </w:r>
          </w:p>
          <w:p w:rsidR="00041039" w:rsidRDefault="001B26CB">
            <w:pPr>
              <w:pStyle w:val="TableParagraph"/>
              <w:numPr>
                <w:ilvl w:val="0"/>
                <w:numId w:val="74"/>
              </w:numPr>
              <w:tabs>
                <w:tab w:val="left" w:pos="157"/>
              </w:tabs>
              <w:spacing w:line="155" w:lineRule="exact"/>
              <w:ind w:hanging="99"/>
              <w:rPr>
                <w:sz w:val="14"/>
              </w:rPr>
            </w:pPr>
            <w:r>
              <w:rPr>
                <w:color w:val="231F20"/>
                <w:sz w:val="14"/>
              </w:rPr>
              <w:t>разуме универзалност закона</w:t>
            </w:r>
            <w:r>
              <w:rPr>
                <w:color w:val="231F20"/>
                <w:spacing w:val="-11"/>
                <w:sz w:val="14"/>
              </w:rPr>
              <w:t xml:space="preserve"> </w:t>
            </w:r>
            <w:r>
              <w:rPr>
                <w:color w:val="231F20"/>
                <w:sz w:val="14"/>
              </w:rPr>
              <w:t>одржања</w:t>
            </w:r>
          </w:p>
          <w:p w:rsidR="00041039" w:rsidRDefault="001B26CB">
            <w:pPr>
              <w:pStyle w:val="TableParagraph"/>
              <w:spacing w:line="160" w:lineRule="exact"/>
              <w:rPr>
                <w:sz w:val="14"/>
              </w:rPr>
            </w:pPr>
            <w:r>
              <w:rPr>
                <w:color w:val="231F20"/>
                <w:sz w:val="14"/>
              </w:rPr>
              <w:t>и њихов значај у природним наукама;</w:t>
            </w:r>
          </w:p>
        </w:tc>
        <w:tc>
          <w:tcPr>
            <w:tcW w:w="2834" w:type="dxa"/>
          </w:tcPr>
          <w:p w:rsidR="00041039" w:rsidRDefault="001B26CB">
            <w:pPr>
              <w:pStyle w:val="TableParagraph"/>
              <w:numPr>
                <w:ilvl w:val="0"/>
                <w:numId w:val="73"/>
              </w:numPr>
              <w:tabs>
                <w:tab w:val="left" w:pos="157"/>
              </w:tabs>
              <w:spacing w:before="8"/>
              <w:ind w:right="188" w:hanging="99"/>
              <w:rPr>
                <w:sz w:val="14"/>
              </w:rPr>
            </w:pPr>
            <w:r>
              <w:rPr>
                <w:color w:val="231F20"/>
                <w:spacing w:val="-5"/>
                <w:sz w:val="14"/>
              </w:rPr>
              <w:t xml:space="preserve">Увод. </w:t>
            </w:r>
            <w:r>
              <w:rPr>
                <w:color w:val="231F20"/>
                <w:sz w:val="14"/>
              </w:rPr>
              <w:t>Закон одржања импулса.</w:t>
            </w:r>
            <w:r>
              <w:rPr>
                <w:color w:val="231F20"/>
                <w:spacing w:val="-21"/>
                <w:sz w:val="14"/>
              </w:rPr>
              <w:t xml:space="preserve"> </w:t>
            </w:r>
            <w:r>
              <w:rPr>
                <w:color w:val="231F20"/>
                <w:sz w:val="14"/>
              </w:rPr>
              <w:t>Реактивно кр</w:t>
            </w:r>
            <w:r>
              <w:rPr>
                <w:color w:val="231F20"/>
                <w:sz w:val="14"/>
              </w:rPr>
              <w:t>етање. Центар масе и кретање центра масе.</w:t>
            </w:r>
          </w:p>
          <w:p w:rsidR="00041039" w:rsidRDefault="001B26CB">
            <w:pPr>
              <w:pStyle w:val="TableParagraph"/>
              <w:numPr>
                <w:ilvl w:val="0"/>
                <w:numId w:val="73"/>
              </w:numPr>
              <w:tabs>
                <w:tab w:val="left" w:pos="157"/>
              </w:tabs>
              <w:spacing w:line="152" w:lineRule="exact"/>
              <w:ind w:hanging="99"/>
              <w:rPr>
                <w:sz w:val="14"/>
              </w:rPr>
            </w:pPr>
            <w:r>
              <w:rPr>
                <w:color w:val="231F20"/>
                <w:sz w:val="14"/>
              </w:rPr>
              <w:t>Рад силе. Кинетичка енергија и рад.</w:t>
            </w:r>
            <w:r>
              <w:rPr>
                <w:color w:val="231F20"/>
                <w:spacing w:val="-6"/>
                <w:sz w:val="14"/>
              </w:rPr>
              <w:t xml:space="preserve"> </w:t>
            </w:r>
            <w:r>
              <w:rPr>
                <w:color w:val="231F20"/>
                <w:sz w:val="14"/>
              </w:rPr>
              <w:t>Снага.</w:t>
            </w:r>
          </w:p>
          <w:p w:rsidR="00041039" w:rsidRDefault="001B26CB">
            <w:pPr>
              <w:pStyle w:val="TableParagraph"/>
              <w:numPr>
                <w:ilvl w:val="0"/>
                <w:numId w:val="73"/>
              </w:numPr>
              <w:tabs>
                <w:tab w:val="left" w:pos="157"/>
              </w:tabs>
              <w:spacing w:line="237" w:lineRule="auto"/>
              <w:ind w:right="45" w:hanging="99"/>
              <w:rPr>
                <w:sz w:val="14"/>
              </w:rPr>
            </w:pPr>
            <w:r>
              <w:rPr>
                <w:color w:val="231F20"/>
                <w:sz w:val="14"/>
              </w:rPr>
              <w:t>Конзервативне силе. Потенцијална</w:t>
            </w:r>
            <w:r>
              <w:rPr>
                <w:color w:val="231F20"/>
                <w:spacing w:val="-20"/>
                <w:sz w:val="14"/>
              </w:rPr>
              <w:t xml:space="preserve"> </w:t>
            </w:r>
            <w:r>
              <w:rPr>
                <w:color w:val="231F20"/>
                <w:sz w:val="14"/>
              </w:rPr>
              <w:t>енергија гравитационе и еластичне</w:t>
            </w:r>
            <w:r>
              <w:rPr>
                <w:color w:val="231F20"/>
                <w:spacing w:val="-2"/>
                <w:sz w:val="14"/>
              </w:rPr>
              <w:t xml:space="preserve"> </w:t>
            </w:r>
            <w:r>
              <w:rPr>
                <w:color w:val="231F20"/>
                <w:sz w:val="14"/>
              </w:rPr>
              <w:t>силе.</w:t>
            </w:r>
          </w:p>
          <w:p w:rsidR="00041039" w:rsidRDefault="001B26CB">
            <w:pPr>
              <w:pStyle w:val="TableParagraph"/>
              <w:numPr>
                <w:ilvl w:val="0"/>
                <w:numId w:val="73"/>
              </w:numPr>
              <w:tabs>
                <w:tab w:val="left" w:pos="157"/>
              </w:tabs>
              <w:spacing w:line="160" w:lineRule="exact"/>
              <w:ind w:right="54" w:hanging="99"/>
              <w:rPr>
                <w:sz w:val="14"/>
              </w:rPr>
            </w:pPr>
            <w:r>
              <w:rPr>
                <w:color w:val="231F20"/>
                <w:sz w:val="14"/>
              </w:rPr>
              <w:t>Потенцијал гравитационог поља. Потенцијалне криве, потенцијална енергија и</w:t>
            </w:r>
            <w:r>
              <w:rPr>
                <w:color w:val="231F20"/>
                <w:spacing w:val="-1"/>
                <w:sz w:val="14"/>
              </w:rPr>
              <w:t xml:space="preserve"> </w:t>
            </w:r>
            <w:r>
              <w:rPr>
                <w:color w:val="231F20"/>
                <w:sz w:val="14"/>
              </w:rPr>
              <w:t>рад.</w:t>
            </w:r>
          </w:p>
          <w:p w:rsidR="00041039" w:rsidRDefault="001B26CB">
            <w:pPr>
              <w:pStyle w:val="TableParagraph"/>
              <w:numPr>
                <w:ilvl w:val="0"/>
                <w:numId w:val="73"/>
              </w:numPr>
              <w:tabs>
                <w:tab w:val="left" w:pos="157"/>
              </w:tabs>
              <w:spacing w:line="160" w:lineRule="exact"/>
              <w:ind w:right="189" w:hanging="99"/>
              <w:rPr>
                <w:sz w:val="14"/>
              </w:rPr>
            </w:pPr>
            <w:r>
              <w:rPr>
                <w:color w:val="231F20"/>
                <w:sz w:val="14"/>
              </w:rPr>
              <w:t xml:space="preserve">Рад, снага и кинетичка енергија </w:t>
            </w:r>
            <w:r>
              <w:rPr>
                <w:color w:val="231F20"/>
                <w:spacing w:val="-5"/>
                <w:sz w:val="14"/>
              </w:rPr>
              <w:t xml:space="preserve">код </w:t>
            </w:r>
            <w:r>
              <w:rPr>
                <w:color w:val="231F20"/>
                <w:sz w:val="14"/>
              </w:rPr>
              <w:t>рота­ ционог</w:t>
            </w:r>
            <w:r>
              <w:rPr>
                <w:color w:val="231F20"/>
                <w:spacing w:val="-2"/>
                <w:sz w:val="14"/>
              </w:rPr>
              <w:t xml:space="preserve"> </w:t>
            </w:r>
            <w:r>
              <w:rPr>
                <w:color w:val="231F20"/>
                <w:sz w:val="14"/>
              </w:rPr>
              <w:t>кретања.</w:t>
            </w:r>
          </w:p>
          <w:p w:rsidR="00041039" w:rsidRDefault="001B26CB">
            <w:pPr>
              <w:pStyle w:val="TableParagraph"/>
              <w:numPr>
                <w:ilvl w:val="0"/>
                <w:numId w:val="73"/>
              </w:numPr>
              <w:tabs>
                <w:tab w:val="left" w:pos="157"/>
              </w:tabs>
              <w:spacing w:line="160" w:lineRule="exact"/>
              <w:ind w:right="75" w:hanging="99"/>
              <w:rPr>
                <w:sz w:val="14"/>
              </w:rPr>
            </w:pPr>
            <w:r>
              <w:rPr>
                <w:color w:val="231F20"/>
                <w:sz w:val="14"/>
              </w:rPr>
              <w:t>Закон одржања механичке енергије</w:t>
            </w:r>
            <w:r>
              <w:rPr>
                <w:color w:val="231F20"/>
                <w:spacing w:val="-24"/>
                <w:sz w:val="14"/>
              </w:rPr>
              <w:t xml:space="preserve"> </w:t>
            </w:r>
            <w:r>
              <w:rPr>
                <w:color w:val="231F20"/>
                <w:sz w:val="14"/>
              </w:rPr>
              <w:t>(„мртва петља”, друга космичка</w:t>
            </w:r>
            <w:r>
              <w:rPr>
                <w:color w:val="231F20"/>
                <w:spacing w:val="-4"/>
                <w:sz w:val="14"/>
              </w:rPr>
              <w:t xml:space="preserve"> </w:t>
            </w:r>
            <w:r>
              <w:rPr>
                <w:color w:val="231F20"/>
                <w:sz w:val="14"/>
              </w:rPr>
              <w:t>брзина).</w:t>
            </w:r>
          </w:p>
          <w:p w:rsidR="00041039" w:rsidRDefault="001B26CB">
            <w:pPr>
              <w:pStyle w:val="TableParagraph"/>
              <w:numPr>
                <w:ilvl w:val="0"/>
                <w:numId w:val="73"/>
              </w:numPr>
              <w:tabs>
                <w:tab w:val="left" w:pos="157"/>
              </w:tabs>
              <w:spacing w:line="160" w:lineRule="exact"/>
              <w:ind w:right="137" w:hanging="99"/>
              <w:rPr>
                <w:sz w:val="14"/>
              </w:rPr>
            </w:pPr>
            <w:r>
              <w:rPr>
                <w:color w:val="231F20"/>
                <w:sz w:val="14"/>
              </w:rPr>
              <w:t>Судари. Описивање кретања помоћу</w:t>
            </w:r>
            <w:r>
              <w:rPr>
                <w:color w:val="231F20"/>
                <w:spacing w:val="-22"/>
                <w:sz w:val="14"/>
              </w:rPr>
              <w:t xml:space="preserve"> </w:t>
            </w:r>
            <w:r>
              <w:rPr>
                <w:color w:val="231F20"/>
                <w:sz w:val="14"/>
              </w:rPr>
              <w:t>енер­ гијских</w:t>
            </w:r>
            <w:r>
              <w:rPr>
                <w:color w:val="231F20"/>
                <w:spacing w:val="-2"/>
                <w:sz w:val="14"/>
              </w:rPr>
              <w:t xml:space="preserve"> </w:t>
            </w:r>
            <w:r>
              <w:rPr>
                <w:color w:val="231F20"/>
                <w:sz w:val="14"/>
              </w:rPr>
              <w:t>дијаграма.</w:t>
            </w:r>
          </w:p>
          <w:p w:rsidR="00041039" w:rsidRDefault="001B26CB">
            <w:pPr>
              <w:pStyle w:val="TableParagraph"/>
              <w:numPr>
                <w:ilvl w:val="0"/>
                <w:numId w:val="73"/>
              </w:numPr>
              <w:tabs>
                <w:tab w:val="left" w:pos="157"/>
              </w:tabs>
              <w:spacing w:line="160" w:lineRule="exact"/>
              <w:ind w:right="450" w:hanging="99"/>
              <w:rPr>
                <w:sz w:val="14"/>
              </w:rPr>
            </w:pPr>
            <w:r>
              <w:rPr>
                <w:color w:val="231F20"/>
                <w:sz w:val="14"/>
              </w:rPr>
              <w:t>Закон одржања момента импулса. Извођење Другог Кеплеровог</w:t>
            </w:r>
            <w:r>
              <w:rPr>
                <w:color w:val="231F20"/>
                <w:spacing w:val="-26"/>
                <w:sz w:val="14"/>
              </w:rPr>
              <w:t xml:space="preserve"> </w:t>
            </w:r>
            <w:r>
              <w:rPr>
                <w:color w:val="231F20"/>
                <w:sz w:val="14"/>
              </w:rPr>
              <w:t>закона.</w:t>
            </w:r>
          </w:p>
        </w:tc>
        <w:tc>
          <w:tcPr>
            <w:tcW w:w="2267" w:type="dxa"/>
            <w:vMerge w:val="restart"/>
          </w:tcPr>
          <w:p w:rsidR="00041039" w:rsidRDefault="001B26CB">
            <w:pPr>
              <w:pStyle w:val="TableParagraph"/>
              <w:numPr>
                <w:ilvl w:val="0"/>
                <w:numId w:val="72"/>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before="1"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72"/>
              </w:numPr>
              <w:tabs>
                <w:tab w:val="left" w:pos="158"/>
              </w:tabs>
              <w:spacing w:line="160" w:lineRule="exact"/>
              <w:ind w:right="177" w:hanging="99"/>
              <w:rPr>
                <w:b/>
                <w:sz w:val="14"/>
              </w:rPr>
            </w:pPr>
            <w:r>
              <w:rPr>
                <w:color w:val="231F20"/>
                <w:sz w:val="14"/>
              </w:rPr>
              <w:t xml:space="preserve">теоријска настава са демонстра­ ционим огледима </w:t>
            </w:r>
            <w:r>
              <w:rPr>
                <w:b/>
                <w:color w:val="231F20"/>
                <w:sz w:val="14"/>
              </w:rPr>
              <w:t>(62</w:t>
            </w:r>
            <w:r>
              <w:rPr>
                <w:b/>
                <w:color w:val="231F20"/>
                <w:spacing w:val="-5"/>
                <w:sz w:val="14"/>
              </w:rPr>
              <w:t xml:space="preserve"> </w:t>
            </w:r>
            <w:r>
              <w:rPr>
                <w:b/>
                <w:color w:val="231F20"/>
                <w:sz w:val="14"/>
              </w:rPr>
              <w:t>часа)</w:t>
            </w:r>
          </w:p>
          <w:p w:rsidR="00041039" w:rsidRDefault="001B26CB">
            <w:pPr>
              <w:pStyle w:val="TableParagraph"/>
              <w:numPr>
                <w:ilvl w:val="0"/>
                <w:numId w:val="72"/>
              </w:numPr>
              <w:tabs>
                <w:tab w:val="left" w:pos="158"/>
              </w:tabs>
              <w:spacing w:line="159" w:lineRule="exact"/>
              <w:ind w:hanging="99"/>
              <w:rPr>
                <w:b/>
                <w:sz w:val="14"/>
              </w:rPr>
            </w:pPr>
            <w:r>
              <w:rPr>
                <w:color w:val="231F20"/>
                <w:sz w:val="14"/>
              </w:rPr>
              <w:t xml:space="preserve">лабораторијске вежбе </w:t>
            </w:r>
            <w:r>
              <w:rPr>
                <w:b/>
                <w:color w:val="231F20"/>
                <w:sz w:val="14"/>
              </w:rPr>
              <w:t>(8</w:t>
            </w:r>
            <w:r>
              <w:rPr>
                <w:b/>
                <w:color w:val="231F20"/>
                <w:spacing w:val="-11"/>
                <w:sz w:val="14"/>
              </w:rPr>
              <w:t xml:space="preserve"> </w:t>
            </w:r>
            <w:r>
              <w:rPr>
                <w:b/>
                <w:color w:val="231F20"/>
                <w:sz w:val="14"/>
              </w:rPr>
              <w:t>часова)</w:t>
            </w:r>
          </w:p>
          <w:p w:rsidR="00041039" w:rsidRDefault="00041039">
            <w:pPr>
              <w:pStyle w:val="TableParagraph"/>
              <w:spacing w:before="9"/>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72"/>
              </w:numPr>
              <w:tabs>
                <w:tab w:val="left" w:pos="158"/>
              </w:tabs>
              <w:spacing w:line="160" w:lineRule="exact"/>
              <w:ind w:hanging="99"/>
              <w:rPr>
                <w:sz w:val="14"/>
              </w:rPr>
            </w:pPr>
            <w:r>
              <w:rPr>
                <w:color w:val="231F20"/>
                <w:sz w:val="14"/>
              </w:rPr>
              <w:t>учионици</w:t>
            </w:r>
          </w:p>
          <w:p w:rsidR="00041039" w:rsidRDefault="001B26CB">
            <w:pPr>
              <w:pStyle w:val="TableParagraph"/>
              <w:numPr>
                <w:ilvl w:val="0"/>
                <w:numId w:val="72"/>
              </w:numPr>
              <w:tabs>
                <w:tab w:val="left" w:pos="158"/>
              </w:tabs>
              <w:spacing w:line="166" w:lineRule="exact"/>
              <w:ind w:hanging="99"/>
              <w:rPr>
                <w:sz w:val="14"/>
              </w:rPr>
            </w:pPr>
            <w:r>
              <w:rPr>
                <w:color w:val="231F20"/>
                <w:sz w:val="14"/>
              </w:rPr>
              <w:t>кабинет за</w:t>
            </w:r>
            <w:r>
              <w:rPr>
                <w:color w:val="231F20"/>
                <w:spacing w:val="-2"/>
                <w:sz w:val="14"/>
              </w:rPr>
              <w:t xml:space="preserve"> </w:t>
            </w:r>
            <w:r>
              <w:rPr>
                <w:color w:val="231F20"/>
                <w:sz w:val="14"/>
              </w:rPr>
              <w:t>физику</w:t>
            </w:r>
          </w:p>
          <w:p w:rsidR="00041039" w:rsidRDefault="00041039">
            <w:pPr>
              <w:pStyle w:val="TableParagraph"/>
              <w:spacing w:before="8"/>
              <w:ind w:left="0"/>
              <w:rPr>
                <w:b/>
                <w:sz w:val="13"/>
              </w:rPr>
            </w:pPr>
          </w:p>
          <w:p w:rsidR="00041039" w:rsidRDefault="001B26CB">
            <w:pPr>
              <w:pStyle w:val="TableParagraph"/>
              <w:spacing w:before="1"/>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72"/>
              </w:numPr>
              <w:tabs>
                <w:tab w:val="left" w:pos="158"/>
              </w:tabs>
              <w:spacing w:line="160" w:lineRule="exact"/>
              <w:ind w:right="117" w:hanging="99"/>
              <w:rPr>
                <w:sz w:val="14"/>
              </w:rPr>
            </w:pPr>
            <w:r>
              <w:rPr>
                <w:color w:val="231F20"/>
                <w:sz w:val="14"/>
              </w:rPr>
              <w:t>користити сва доступна</w:t>
            </w:r>
            <w:r>
              <w:rPr>
                <w:color w:val="231F20"/>
                <w:spacing w:val="-11"/>
                <w:sz w:val="14"/>
              </w:rPr>
              <w:t xml:space="preserve"> </w:t>
            </w:r>
            <w:r>
              <w:rPr>
                <w:color w:val="231F20"/>
                <w:sz w:val="14"/>
              </w:rPr>
              <w:t>наставна средства;</w:t>
            </w:r>
          </w:p>
          <w:p w:rsidR="00041039" w:rsidRDefault="001B26CB">
            <w:pPr>
              <w:pStyle w:val="TableParagraph"/>
              <w:numPr>
                <w:ilvl w:val="0"/>
                <w:numId w:val="72"/>
              </w:numPr>
              <w:tabs>
                <w:tab w:val="left" w:pos="158"/>
              </w:tabs>
              <w:spacing w:line="160" w:lineRule="exact"/>
              <w:ind w:right="201" w:hanging="99"/>
              <w:rPr>
                <w:sz w:val="14"/>
              </w:rPr>
            </w:pPr>
            <w:r>
              <w:rPr>
                <w:color w:val="231F20"/>
                <w:sz w:val="14"/>
              </w:rPr>
              <w:t>користити мултимедијалне</w:t>
            </w:r>
            <w:r>
              <w:rPr>
                <w:color w:val="231F20"/>
                <w:spacing w:val="-23"/>
                <w:sz w:val="14"/>
              </w:rPr>
              <w:t xml:space="preserve"> </w:t>
            </w:r>
            <w:r>
              <w:rPr>
                <w:color w:val="231F20"/>
                <w:sz w:val="14"/>
              </w:rPr>
              <w:t>пре­ зентације;</w:t>
            </w:r>
          </w:p>
          <w:p w:rsidR="00041039" w:rsidRDefault="001B26CB">
            <w:pPr>
              <w:pStyle w:val="TableParagraph"/>
              <w:numPr>
                <w:ilvl w:val="0"/>
                <w:numId w:val="72"/>
              </w:numPr>
              <w:tabs>
                <w:tab w:val="left" w:pos="158"/>
              </w:tabs>
              <w:spacing w:line="160" w:lineRule="exact"/>
              <w:ind w:right="196" w:hanging="99"/>
              <w:rPr>
                <w:sz w:val="14"/>
              </w:rPr>
            </w:pPr>
            <w:r>
              <w:rPr>
                <w:color w:val="231F20"/>
                <w:sz w:val="14"/>
              </w:rPr>
              <w:t>упућивати ученике да користе интернет и стручну</w:t>
            </w:r>
            <w:r>
              <w:rPr>
                <w:color w:val="231F20"/>
                <w:spacing w:val="-22"/>
                <w:sz w:val="14"/>
              </w:rPr>
              <w:t xml:space="preserve"> </w:t>
            </w:r>
            <w:r>
              <w:rPr>
                <w:color w:val="231F20"/>
                <w:sz w:val="14"/>
              </w:rPr>
              <w:t>литературу;</w:t>
            </w:r>
          </w:p>
          <w:p w:rsidR="00041039" w:rsidRDefault="001B26CB">
            <w:pPr>
              <w:pStyle w:val="TableParagraph"/>
              <w:numPr>
                <w:ilvl w:val="0"/>
                <w:numId w:val="72"/>
              </w:numPr>
              <w:tabs>
                <w:tab w:val="left" w:pos="158"/>
              </w:tabs>
              <w:spacing w:before="1" w:line="160" w:lineRule="exact"/>
              <w:ind w:right="434" w:hanging="99"/>
              <w:rPr>
                <w:sz w:val="14"/>
              </w:rPr>
            </w:pPr>
            <w:r>
              <w:rPr>
                <w:color w:val="231F20"/>
                <w:sz w:val="14"/>
              </w:rPr>
              <w:t>подстицати ученике да</w:t>
            </w:r>
            <w:r>
              <w:rPr>
                <w:color w:val="231F20"/>
                <w:spacing w:val="-15"/>
                <w:sz w:val="14"/>
              </w:rPr>
              <w:t xml:space="preserve"> </w:t>
            </w:r>
            <w:r>
              <w:rPr>
                <w:color w:val="231F20"/>
                <w:sz w:val="14"/>
              </w:rPr>
              <w:t>раде рачунске</w:t>
            </w:r>
            <w:r>
              <w:rPr>
                <w:color w:val="231F20"/>
                <w:spacing w:val="-2"/>
                <w:sz w:val="14"/>
              </w:rPr>
              <w:t xml:space="preserve"> </w:t>
            </w:r>
            <w:r>
              <w:rPr>
                <w:color w:val="231F20"/>
                <w:sz w:val="14"/>
              </w:rPr>
              <w:t>задатке;</w:t>
            </w:r>
          </w:p>
          <w:p w:rsidR="00041039" w:rsidRDefault="001B26CB">
            <w:pPr>
              <w:pStyle w:val="TableParagraph"/>
              <w:numPr>
                <w:ilvl w:val="0"/>
                <w:numId w:val="72"/>
              </w:numPr>
              <w:tabs>
                <w:tab w:val="left" w:pos="158"/>
              </w:tabs>
              <w:spacing w:line="160" w:lineRule="exact"/>
              <w:ind w:right="235" w:hanging="99"/>
              <w:rPr>
                <w:sz w:val="14"/>
              </w:rPr>
            </w:pPr>
            <w:r>
              <w:rPr>
                <w:color w:val="231F20"/>
                <w:sz w:val="14"/>
              </w:rPr>
              <w:t>примењивати рад у паровима</w:t>
            </w:r>
            <w:r>
              <w:rPr>
                <w:color w:val="231F20"/>
                <w:spacing w:val="-19"/>
                <w:sz w:val="14"/>
              </w:rPr>
              <w:t xml:space="preserve"> </w:t>
            </w:r>
            <w:r>
              <w:rPr>
                <w:color w:val="231F20"/>
                <w:sz w:val="14"/>
              </w:rPr>
              <w:t>и рад у мањим</w:t>
            </w:r>
            <w:r>
              <w:rPr>
                <w:color w:val="231F20"/>
                <w:spacing w:val="-1"/>
                <w:sz w:val="14"/>
              </w:rPr>
              <w:t xml:space="preserve"> </w:t>
            </w:r>
            <w:r>
              <w:rPr>
                <w:color w:val="231F20"/>
                <w:sz w:val="14"/>
              </w:rPr>
              <w:t>групама;</w:t>
            </w:r>
          </w:p>
          <w:p w:rsidR="00041039" w:rsidRDefault="001B26CB">
            <w:pPr>
              <w:pStyle w:val="TableParagraph"/>
              <w:numPr>
                <w:ilvl w:val="0"/>
                <w:numId w:val="72"/>
              </w:numPr>
              <w:tabs>
                <w:tab w:val="left" w:pos="158"/>
              </w:tabs>
              <w:spacing w:line="160" w:lineRule="exact"/>
              <w:ind w:right="94" w:hanging="99"/>
              <w:rPr>
                <w:sz w:val="14"/>
              </w:rPr>
            </w:pPr>
            <w:r>
              <w:rPr>
                <w:color w:val="231F20"/>
                <w:sz w:val="14"/>
              </w:rPr>
              <w:t>мотивисати ученике да самостал­ но решавају проблеме користећи истраживачки приступ научном образовању;</w:t>
            </w:r>
          </w:p>
          <w:p w:rsidR="00041039" w:rsidRDefault="001B26CB">
            <w:pPr>
              <w:pStyle w:val="TableParagraph"/>
              <w:numPr>
                <w:ilvl w:val="0"/>
                <w:numId w:val="72"/>
              </w:numPr>
              <w:tabs>
                <w:tab w:val="left" w:pos="158"/>
              </w:tabs>
              <w:spacing w:line="160" w:lineRule="exact"/>
              <w:ind w:right="90" w:hanging="99"/>
              <w:jc w:val="both"/>
              <w:rPr>
                <w:sz w:val="14"/>
              </w:rPr>
            </w:pPr>
            <w:r>
              <w:rPr>
                <w:color w:val="231F20"/>
                <w:sz w:val="14"/>
              </w:rPr>
              <w:t>континуирано упућивати</w:t>
            </w:r>
            <w:r>
              <w:rPr>
                <w:color w:val="231F20"/>
                <w:spacing w:val="-18"/>
                <w:sz w:val="14"/>
              </w:rPr>
              <w:t xml:space="preserve"> </w:t>
            </w:r>
            <w:r>
              <w:rPr>
                <w:color w:val="231F20"/>
                <w:sz w:val="14"/>
              </w:rPr>
              <w:t xml:space="preserve">ученике на примену физике у </w:t>
            </w:r>
            <w:r>
              <w:rPr>
                <w:color w:val="231F20"/>
                <w:spacing w:val="-3"/>
                <w:sz w:val="14"/>
              </w:rPr>
              <w:t xml:space="preserve">будућем </w:t>
            </w:r>
            <w:r>
              <w:rPr>
                <w:color w:val="231F20"/>
                <w:sz w:val="14"/>
              </w:rPr>
              <w:t>по­ зиву</w:t>
            </w:r>
            <w:r>
              <w:rPr>
                <w:color w:val="231F20"/>
                <w:spacing w:val="-7"/>
                <w:sz w:val="14"/>
              </w:rPr>
              <w:t xml:space="preserve"> </w:t>
            </w:r>
            <w:r>
              <w:rPr>
                <w:color w:val="231F20"/>
                <w:sz w:val="14"/>
              </w:rPr>
              <w:t>и</w:t>
            </w:r>
            <w:r>
              <w:rPr>
                <w:color w:val="231F20"/>
                <w:spacing w:val="-8"/>
                <w:sz w:val="14"/>
              </w:rPr>
              <w:t xml:space="preserve"> </w:t>
            </w:r>
            <w:r>
              <w:rPr>
                <w:color w:val="231F20"/>
                <w:sz w:val="14"/>
              </w:rPr>
              <w:t>свакодневном</w:t>
            </w:r>
            <w:r>
              <w:rPr>
                <w:color w:val="231F20"/>
                <w:spacing w:val="-7"/>
                <w:sz w:val="14"/>
              </w:rPr>
              <w:t xml:space="preserve"> </w:t>
            </w:r>
            <w:r>
              <w:rPr>
                <w:color w:val="231F20"/>
                <w:sz w:val="14"/>
              </w:rPr>
              <w:t>животу</w:t>
            </w:r>
            <w:r>
              <w:rPr>
                <w:color w:val="231F20"/>
                <w:spacing w:val="-7"/>
                <w:sz w:val="14"/>
              </w:rPr>
              <w:t xml:space="preserve"> </w:t>
            </w:r>
            <w:r>
              <w:rPr>
                <w:color w:val="231F20"/>
                <w:sz w:val="14"/>
              </w:rPr>
              <w:t>кроз примере из</w:t>
            </w:r>
            <w:r>
              <w:rPr>
                <w:color w:val="231F20"/>
                <w:spacing w:val="-3"/>
                <w:sz w:val="14"/>
              </w:rPr>
              <w:t xml:space="preserve"> </w:t>
            </w:r>
            <w:r>
              <w:rPr>
                <w:color w:val="231F20"/>
                <w:sz w:val="14"/>
              </w:rPr>
              <w:t>праксе;</w:t>
            </w:r>
          </w:p>
        </w:tc>
      </w:tr>
      <w:tr w:rsidR="00041039">
        <w:trPr>
          <w:trHeight w:val="3720"/>
        </w:trPr>
        <w:tc>
          <w:tcPr>
            <w:tcW w:w="1304" w:type="dxa"/>
          </w:tcPr>
          <w:p w:rsidR="00041039" w:rsidRDefault="001B26CB">
            <w:pPr>
              <w:pStyle w:val="TableParagraph"/>
              <w:spacing w:before="19"/>
              <w:ind w:left="56"/>
              <w:rPr>
                <w:sz w:val="14"/>
              </w:rPr>
            </w:pPr>
            <w:r>
              <w:rPr>
                <w:color w:val="231F20"/>
                <w:sz w:val="14"/>
              </w:rPr>
              <w:t>Термодинамика</w:t>
            </w:r>
          </w:p>
        </w:tc>
        <w:tc>
          <w:tcPr>
            <w:tcW w:w="1587" w:type="dxa"/>
          </w:tcPr>
          <w:p w:rsidR="00041039" w:rsidRDefault="001B26CB">
            <w:pPr>
              <w:pStyle w:val="TableParagraph"/>
              <w:numPr>
                <w:ilvl w:val="0"/>
                <w:numId w:val="71"/>
              </w:numPr>
              <w:tabs>
                <w:tab w:val="left" w:pos="157"/>
              </w:tabs>
              <w:spacing w:before="9"/>
              <w:ind w:right="113"/>
              <w:rPr>
                <w:sz w:val="14"/>
              </w:rPr>
            </w:pPr>
            <w:r>
              <w:rPr>
                <w:color w:val="231F20"/>
                <w:sz w:val="14"/>
              </w:rPr>
              <w:t>Продубљивање</w:t>
            </w:r>
            <w:r>
              <w:rPr>
                <w:color w:val="231F20"/>
                <w:spacing w:val="-13"/>
                <w:sz w:val="14"/>
              </w:rPr>
              <w:t xml:space="preserve"> </w:t>
            </w:r>
            <w:r>
              <w:rPr>
                <w:color w:val="231F20"/>
                <w:sz w:val="14"/>
              </w:rPr>
              <w:t>знања о законима термо­ динамике и њиховој примени.</w:t>
            </w:r>
          </w:p>
        </w:tc>
        <w:tc>
          <w:tcPr>
            <w:tcW w:w="2551" w:type="dxa"/>
          </w:tcPr>
          <w:p w:rsidR="00041039" w:rsidRDefault="001B26CB">
            <w:pPr>
              <w:pStyle w:val="TableParagraph"/>
              <w:numPr>
                <w:ilvl w:val="0"/>
                <w:numId w:val="70"/>
              </w:numPr>
              <w:tabs>
                <w:tab w:val="left" w:pos="157"/>
              </w:tabs>
              <w:spacing w:before="9"/>
              <w:ind w:right="211" w:hanging="99"/>
              <w:rPr>
                <w:sz w:val="14"/>
              </w:rPr>
            </w:pPr>
            <w:r>
              <w:rPr>
                <w:color w:val="231F20"/>
                <w:sz w:val="14"/>
              </w:rPr>
              <w:t>формулише Први принцип</w:t>
            </w:r>
            <w:r>
              <w:rPr>
                <w:color w:val="231F20"/>
                <w:spacing w:val="-28"/>
                <w:sz w:val="14"/>
              </w:rPr>
              <w:t xml:space="preserve"> </w:t>
            </w:r>
            <w:r>
              <w:rPr>
                <w:color w:val="231F20"/>
                <w:sz w:val="14"/>
              </w:rPr>
              <w:t>термоди­ намике и у њему препознаје Закон одржања</w:t>
            </w:r>
            <w:r>
              <w:rPr>
                <w:color w:val="231F20"/>
                <w:spacing w:val="-1"/>
                <w:sz w:val="14"/>
              </w:rPr>
              <w:t xml:space="preserve"> </w:t>
            </w:r>
            <w:r>
              <w:rPr>
                <w:color w:val="231F20"/>
                <w:sz w:val="14"/>
              </w:rPr>
              <w:t>енергије;</w:t>
            </w:r>
          </w:p>
          <w:p w:rsidR="00041039" w:rsidRDefault="001B26CB">
            <w:pPr>
              <w:pStyle w:val="TableParagraph"/>
              <w:numPr>
                <w:ilvl w:val="0"/>
                <w:numId w:val="70"/>
              </w:numPr>
              <w:tabs>
                <w:tab w:val="left" w:pos="157"/>
              </w:tabs>
              <w:spacing w:line="157" w:lineRule="exact"/>
              <w:ind w:hanging="99"/>
              <w:rPr>
                <w:sz w:val="14"/>
              </w:rPr>
            </w:pPr>
            <w:r>
              <w:rPr>
                <w:color w:val="231F20"/>
                <w:sz w:val="14"/>
              </w:rPr>
              <w:t>анализира и примењује Први</w:t>
            </w:r>
            <w:r>
              <w:rPr>
                <w:color w:val="231F20"/>
                <w:spacing w:val="-10"/>
                <w:sz w:val="14"/>
              </w:rPr>
              <w:t xml:space="preserve"> </w:t>
            </w:r>
            <w:r>
              <w:rPr>
                <w:color w:val="231F20"/>
                <w:sz w:val="14"/>
              </w:rPr>
              <w:t>прин­</w:t>
            </w:r>
          </w:p>
          <w:p w:rsidR="00041039" w:rsidRDefault="001B26CB">
            <w:pPr>
              <w:pStyle w:val="TableParagraph"/>
              <w:ind w:right="105"/>
              <w:rPr>
                <w:sz w:val="14"/>
              </w:rPr>
            </w:pPr>
            <w:r>
              <w:rPr>
                <w:color w:val="231F20"/>
                <w:sz w:val="14"/>
              </w:rPr>
              <w:t>цип термодинамике (адијабатски и изопроцеси) и решава квалитативне и квантитативне задатке;</w:t>
            </w:r>
          </w:p>
          <w:p w:rsidR="00041039" w:rsidRDefault="001B26CB">
            <w:pPr>
              <w:pStyle w:val="TableParagraph"/>
              <w:numPr>
                <w:ilvl w:val="0"/>
                <w:numId w:val="70"/>
              </w:numPr>
              <w:tabs>
                <w:tab w:val="left" w:pos="157"/>
              </w:tabs>
              <w:spacing w:line="158" w:lineRule="exact"/>
              <w:ind w:hanging="99"/>
              <w:rPr>
                <w:sz w:val="14"/>
              </w:rPr>
            </w:pPr>
            <w:r>
              <w:rPr>
                <w:color w:val="231F20"/>
                <w:sz w:val="14"/>
              </w:rPr>
              <w:t>разликује повратне и</w:t>
            </w:r>
            <w:r>
              <w:rPr>
                <w:color w:val="231F20"/>
                <w:spacing w:val="-6"/>
                <w:sz w:val="14"/>
              </w:rPr>
              <w:t xml:space="preserve"> </w:t>
            </w:r>
            <w:r>
              <w:rPr>
                <w:color w:val="231F20"/>
                <w:sz w:val="14"/>
              </w:rPr>
              <w:t>неповратне</w:t>
            </w:r>
          </w:p>
          <w:p w:rsidR="00041039" w:rsidRDefault="001B26CB">
            <w:pPr>
              <w:pStyle w:val="TableParagraph"/>
              <w:rPr>
                <w:sz w:val="14"/>
              </w:rPr>
            </w:pPr>
            <w:r>
              <w:rPr>
                <w:color w:val="231F20"/>
                <w:sz w:val="14"/>
              </w:rPr>
              <w:t>процесе, формулише Други принцип термодинамике, објашњава његов статистички смисао, познаје појам ентропије као меру неуређености си</w:t>
            </w:r>
            <w:r>
              <w:rPr>
                <w:color w:val="231F20"/>
                <w:sz w:val="14"/>
              </w:rPr>
              <w:t>стема;</w:t>
            </w:r>
          </w:p>
          <w:p w:rsidR="00041039" w:rsidRDefault="001B26CB">
            <w:pPr>
              <w:pStyle w:val="TableParagraph"/>
              <w:numPr>
                <w:ilvl w:val="0"/>
                <w:numId w:val="70"/>
              </w:numPr>
              <w:tabs>
                <w:tab w:val="left" w:pos="157"/>
              </w:tabs>
              <w:spacing w:line="156" w:lineRule="exact"/>
              <w:ind w:hanging="99"/>
              <w:rPr>
                <w:sz w:val="14"/>
              </w:rPr>
            </w:pPr>
            <w:r>
              <w:rPr>
                <w:color w:val="231F20"/>
                <w:sz w:val="14"/>
              </w:rPr>
              <w:t>познаје основни принцип рада</w:t>
            </w:r>
            <w:r>
              <w:rPr>
                <w:color w:val="231F20"/>
                <w:spacing w:val="-10"/>
                <w:sz w:val="14"/>
              </w:rPr>
              <w:t xml:space="preserve"> </w:t>
            </w:r>
            <w:r>
              <w:rPr>
                <w:color w:val="231F20"/>
                <w:sz w:val="14"/>
              </w:rPr>
              <w:t>топлот­</w:t>
            </w:r>
          </w:p>
          <w:p w:rsidR="00041039" w:rsidRDefault="001B26CB">
            <w:pPr>
              <w:pStyle w:val="TableParagraph"/>
              <w:rPr>
                <w:sz w:val="14"/>
              </w:rPr>
            </w:pPr>
            <w:r>
              <w:rPr>
                <w:color w:val="231F20"/>
                <w:sz w:val="14"/>
              </w:rPr>
              <w:t>них машина, одређује коефицијент корисног дејства у термодинамичким циклусима;</w:t>
            </w:r>
          </w:p>
        </w:tc>
        <w:tc>
          <w:tcPr>
            <w:tcW w:w="2834" w:type="dxa"/>
          </w:tcPr>
          <w:p w:rsidR="00041039" w:rsidRDefault="001B26CB">
            <w:pPr>
              <w:pStyle w:val="TableParagraph"/>
              <w:numPr>
                <w:ilvl w:val="0"/>
                <w:numId w:val="69"/>
              </w:numPr>
              <w:tabs>
                <w:tab w:val="left" w:pos="157"/>
              </w:tabs>
              <w:spacing w:before="10"/>
              <w:ind w:right="116" w:hanging="99"/>
              <w:jc w:val="both"/>
              <w:rPr>
                <w:sz w:val="14"/>
              </w:rPr>
            </w:pPr>
            <w:r>
              <w:rPr>
                <w:color w:val="231F20"/>
                <w:sz w:val="14"/>
              </w:rPr>
              <w:t>Унутрашња енергија. Промена</w:t>
            </w:r>
            <w:r>
              <w:rPr>
                <w:color w:val="231F20"/>
                <w:spacing w:val="-17"/>
                <w:sz w:val="14"/>
              </w:rPr>
              <w:t xml:space="preserve"> </w:t>
            </w:r>
            <w:r>
              <w:rPr>
                <w:color w:val="231F20"/>
                <w:sz w:val="14"/>
              </w:rPr>
              <w:t>унутрашње енергије, рад, топлотна размена.</w:t>
            </w:r>
            <w:r>
              <w:rPr>
                <w:color w:val="231F20"/>
                <w:spacing w:val="-21"/>
                <w:sz w:val="14"/>
              </w:rPr>
              <w:t xml:space="preserve"> </w:t>
            </w:r>
            <w:r>
              <w:rPr>
                <w:color w:val="231F20"/>
                <w:sz w:val="14"/>
              </w:rPr>
              <w:t>Количина топлоте. Први принцип</w:t>
            </w:r>
            <w:r>
              <w:rPr>
                <w:color w:val="231F20"/>
                <w:spacing w:val="-12"/>
                <w:sz w:val="14"/>
              </w:rPr>
              <w:t xml:space="preserve"> </w:t>
            </w:r>
            <w:r>
              <w:rPr>
                <w:color w:val="231F20"/>
                <w:sz w:val="14"/>
              </w:rPr>
              <w:t>термодинамике.</w:t>
            </w:r>
          </w:p>
          <w:p w:rsidR="00041039" w:rsidRDefault="001B26CB">
            <w:pPr>
              <w:pStyle w:val="TableParagraph"/>
              <w:numPr>
                <w:ilvl w:val="0"/>
                <w:numId w:val="69"/>
              </w:numPr>
              <w:tabs>
                <w:tab w:val="left" w:pos="157"/>
              </w:tabs>
              <w:spacing w:line="157" w:lineRule="exact"/>
              <w:ind w:hanging="99"/>
              <w:rPr>
                <w:sz w:val="14"/>
              </w:rPr>
            </w:pPr>
            <w:r>
              <w:rPr>
                <w:color w:val="231F20"/>
                <w:sz w:val="14"/>
              </w:rPr>
              <w:t>Примена првог пр</w:t>
            </w:r>
            <w:r>
              <w:rPr>
                <w:color w:val="231F20"/>
                <w:sz w:val="14"/>
              </w:rPr>
              <w:t>инципа</w:t>
            </w:r>
            <w:r>
              <w:rPr>
                <w:color w:val="231F20"/>
                <w:spacing w:val="-11"/>
                <w:sz w:val="14"/>
              </w:rPr>
              <w:t xml:space="preserve"> </w:t>
            </w:r>
            <w:r>
              <w:rPr>
                <w:color w:val="231F20"/>
                <w:sz w:val="14"/>
              </w:rPr>
              <w:t>термодинамике</w:t>
            </w:r>
          </w:p>
          <w:p w:rsidR="00041039" w:rsidRDefault="001B26CB">
            <w:pPr>
              <w:pStyle w:val="TableParagraph"/>
              <w:spacing w:line="155" w:lineRule="exact"/>
              <w:rPr>
                <w:sz w:val="14"/>
              </w:rPr>
            </w:pPr>
            <w:r>
              <w:rPr>
                <w:color w:val="231F20"/>
                <w:sz w:val="14"/>
              </w:rPr>
              <w:t>на идеалан гас (изопроцеси).</w:t>
            </w:r>
          </w:p>
          <w:p w:rsidR="00041039" w:rsidRDefault="001B26CB">
            <w:pPr>
              <w:pStyle w:val="TableParagraph"/>
              <w:numPr>
                <w:ilvl w:val="0"/>
                <w:numId w:val="69"/>
              </w:numPr>
              <w:tabs>
                <w:tab w:val="left" w:pos="157"/>
              </w:tabs>
              <w:spacing w:line="237" w:lineRule="auto"/>
              <w:ind w:right="738" w:hanging="99"/>
              <w:rPr>
                <w:sz w:val="14"/>
              </w:rPr>
            </w:pPr>
            <w:r>
              <w:rPr>
                <w:color w:val="231F20"/>
                <w:sz w:val="14"/>
              </w:rPr>
              <w:t>Топлотна капацитивност</w:t>
            </w:r>
            <w:r>
              <w:rPr>
                <w:color w:val="231F20"/>
                <w:spacing w:val="-25"/>
                <w:sz w:val="14"/>
              </w:rPr>
              <w:t xml:space="preserve"> </w:t>
            </w:r>
            <w:r>
              <w:rPr>
                <w:color w:val="231F20"/>
                <w:sz w:val="14"/>
              </w:rPr>
              <w:t>гасова. Адијабатски</w:t>
            </w:r>
            <w:r>
              <w:rPr>
                <w:color w:val="231F20"/>
                <w:spacing w:val="-1"/>
                <w:sz w:val="14"/>
              </w:rPr>
              <w:t xml:space="preserve"> </w:t>
            </w:r>
            <w:r>
              <w:rPr>
                <w:color w:val="231F20"/>
                <w:sz w:val="14"/>
              </w:rPr>
              <w:t>процес.</w:t>
            </w:r>
          </w:p>
          <w:p w:rsidR="00041039" w:rsidRDefault="001B26CB">
            <w:pPr>
              <w:pStyle w:val="TableParagraph"/>
              <w:numPr>
                <w:ilvl w:val="0"/>
                <w:numId w:val="69"/>
              </w:numPr>
              <w:tabs>
                <w:tab w:val="left" w:pos="157"/>
              </w:tabs>
              <w:spacing w:line="160" w:lineRule="exact"/>
              <w:ind w:right="257" w:hanging="99"/>
              <w:rPr>
                <w:sz w:val="14"/>
              </w:rPr>
            </w:pPr>
            <w:r>
              <w:rPr>
                <w:color w:val="231F20"/>
                <w:sz w:val="14"/>
              </w:rPr>
              <w:t>Квазистатачки процеси. Реверзибилни</w:t>
            </w:r>
            <w:r>
              <w:rPr>
                <w:color w:val="231F20"/>
                <w:spacing w:val="-18"/>
                <w:sz w:val="14"/>
              </w:rPr>
              <w:t xml:space="preserve"> </w:t>
            </w:r>
            <w:r>
              <w:rPr>
                <w:color w:val="231F20"/>
                <w:sz w:val="14"/>
              </w:rPr>
              <w:t>и иреверзибилни</w:t>
            </w:r>
            <w:r>
              <w:rPr>
                <w:color w:val="231F20"/>
                <w:spacing w:val="-2"/>
                <w:sz w:val="14"/>
              </w:rPr>
              <w:t xml:space="preserve"> </w:t>
            </w:r>
            <w:r>
              <w:rPr>
                <w:color w:val="231F20"/>
                <w:sz w:val="14"/>
              </w:rPr>
              <w:t>процеси.</w:t>
            </w:r>
          </w:p>
          <w:p w:rsidR="00041039" w:rsidRDefault="001B26CB">
            <w:pPr>
              <w:pStyle w:val="TableParagraph"/>
              <w:numPr>
                <w:ilvl w:val="0"/>
                <w:numId w:val="69"/>
              </w:numPr>
              <w:tabs>
                <w:tab w:val="left" w:pos="157"/>
              </w:tabs>
              <w:spacing w:line="160" w:lineRule="exact"/>
              <w:ind w:right="856" w:hanging="99"/>
              <w:rPr>
                <w:sz w:val="14"/>
              </w:rPr>
            </w:pPr>
            <w:r>
              <w:rPr>
                <w:color w:val="231F20"/>
                <w:sz w:val="14"/>
              </w:rPr>
              <w:t>Неповратност и статистика. Термодинамичка</w:t>
            </w:r>
            <w:r>
              <w:rPr>
                <w:color w:val="231F20"/>
                <w:spacing w:val="-20"/>
                <w:sz w:val="14"/>
              </w:rPr>
              <w:t xml:space="preserve"> </w:t>
            </w:r>
            <w:r>
              <w:rPr>
                <w:color w:val="231F20"/>
                <w:sz w:val="14"/>
              </w:rPr>
              <w:t>вероватноћа.</w:t>
            </w:r>
          </w:p>
          <w:p w:rsidR="00041039" w:rsidRDefault="001B26CB">
            <w:pPr>
              <w:pStyle w:val="TableParagraph"/>
              <w:numPr>
                <w:ilvl w:val="0"/>
                <w:numId w:val="69"/>
              </w:numPr>
              <w:tabs>
                <w:tab w:val="left" w:pos="157"/>
              </w:tabs>
              <w:spacing w:line="153" w:lineRule="exact"/>
              <w:ind w:hanging="99"/>
              <w:rPr>
                <w:sz w:val="14"/>
              </w:rPr>
            </w:pPr>
            <w:r>
              <w:rPr>
                <w:color w:val="231F20"/>
                <w:sz w:val="14"/>
              </w:rPr>
              <w:t>Ентропија и њено статистичко</w:t>
            </w:r>
            <w:r>
              <w:rPr>
                <w:color w:val="231F20"/>
                <w:spacing w:val="-12"/>
                <w:sz w:val="14"/>
              </w:rPr>
              <w:t xml:space="preserve"> </w:t>
            </w:r>
            <w:r>
              <w:rPr>
                <w:color w:val="231F20"/>
                <w:sz w:val="14"/>
              </w:rPr>
              <w:t>тумачење.</w:t>
            </w:r>
          </w:p>
          <w:p w:rsidR="00041039" w:rsidRDefault="001B26CB">
            <w:pPr>
              <w:pStyle w:val="TableParagraph"/>
              <w:numPr>
                <w:ilvl w:val="0"/>
                <w:numId w:val="69"/>
              </w:numPr>
              <w:tabs>
                <w:tab w:val="left" w:pos="157"/>
              </w:tabs>
              <w:spacing w:line="237" w:lineRule="auto"/>
              <w:ind w:right="381" w:hanging="99"/>
              <w:rPr>
                <w:sz w:val="14"/>
              </w:rPr>
            </w:pPr>
            <w:r>
              <w:rPr>
                <w:color w:val="231F20"/>
                <w:sz w:val="14"/>
              </w:rPr>
              <w:t>Други принцип термодинамике. Статистички смисао Другог</w:t>
            </w:r>
            <w:r>
              <w:rPr>
                <w:color w:val="231F20"/>
                <w:spacing w:val="-22"/>
                <w:sz w:val="14"/>
              </w:rPr>
              <w:t xml:space="preserve"> </w:t>
            </w:r>
            <w:r>
              <w:rPr>
                <w:color w:val="231F20"/>
                <w:sz w:val="14"/>
              </w:rPr>
              <w:t>принципа термодинамике.</w:t>
            </w:r>
          </w:p>
          <w:p w:rsidR="00041039" w:rsidRDefault="001B26CB">
            <w:pPr>
              <w:pStyle w:val="TableParagraph"/>
              <w:numPr>
                <w:ilvl w:val="0"/>
                <w:numId w:val="69"/>
              </w:numPr>
              <w:tabs>
                <w:tab w:val="left" w:pos="157"/>
              </w:tabs>
              <w:spacing w:line="237" w:lineRule="auto"/>
              <w:ind w:right="172" w:hanging="99"/>
              <w:rPr>
                <w:sz w:val="14"/>
              </w:rPr>
            </w:pPr>
            <w:r>
              <w:rPr>
                <w:color w:val="231F20"/>
                <w:sz w:val="14"/>
              </w:rPr>
              <w:t>Топлотни мотори (принципи рада и енергетски биланс). Карноов циклус. Коефицијент</w:t>
            </w:r>
            <w:r>
              <w:rPr>
                <w:color w:val="231F20"/>
                <w:spacing w:val="-8"/>
                <w:sz w:val="14"/>
              </w:rPr>
              <w:t xml:space="preserve"> </w:t>
            </w:r>
            <w:r>
              <w:rPr>
                <w:color w:val="231F20"/>
                <w:sz w:val="14"/>
              </w:rPr>
              <w:t>корисног</w:t>
            </w:r>
            <w:r>
              <w:rPr>
                <w:color w:val="231F20"/>
                <w:spacing w:val="-8"/>
                <w:sz w:val="14"/>
              </w:rPr>
              <w:t xml:space="preserve"> </w:t>
            </w:r>
            <w:r>
              <w:rPr>
                <w:color w:val="231F20"/>
                <w:sz w:val="14"/>
              </w:rPr>
              <w:t>дејства.</w:t>
            </w:r>
            <w:r>
              <w:rPr>
                <w:color w:val="231F20"/>
                <w:spacing w:val="-8"/>
                <w:sz w:val="14"/>
              </w:rPr>
              <w:t xml:space="preserve"> </w:t>
            </w:r>
            <w:r>
              <w:rPr>
                <w:color w:val="231F20"/>
                <w:sz w:val="14"/>
              </w:rPr>
              <w:t>Уређаји</w:t>
            </w:r>
            <w:r>
              <w:rPr>
                <w:color w:val="231F20"/>
                <w:spacing w:val="-8"/>
                <w:sz w:val="14"/>
              </w:rPr>
              <w:t xml:space="preserve"> </w:t>
            </w:r>
            <w:r>
              <w:rPr>
                <w:color w:val="231F20"/>
                <w:sz w:val="14"/>
              </w:rPr>
              <w:t>за хлађење и топлотне</w:t>
            </w:r>
            <w:r>
              <w:rPr>
                <w:color w:val="231F20"/>
                <w:spacing w:val="-2"/>
                <w:sz w:val="14"/>
              </w:rPr>
              <w:t xml:space="preserve"> </w:t>
            </w:r>
            <w:r>
              <w:rPr>
                <w:color w:val="231F20"/>
                <w:sz w:val="14"/>
              </w:rPr>
              <w:t>пумпе.</w:t>
            </w:r>
          </w:p>
          <w:p w:rsidR="00041039" w:rsidRDefault="001B26CB">
            <w:pPr>
              <w:pStyle w:val="TableParagraph"/>
              <w:spacing w:line="155" w:lineRule="exact"/>
              <w:ind w:left="57"/>
              <w:rPr>
                <w:b/>
                <w:sz w:val="14"/>
              </w:rPr>
            </w:pPr>
            <w:r>
              <w:rPr>
                <w:b/>
                <w:color w:val="231F20"/>
                <w:sz w:val="14"/>
              </w:rPr>
              <w:t>Демонстрациони огледи:</w:t>
            </w:r>
          </w:p>
          <w:p w:rsidR="00041039" w:rsidRDefault="001B26CB">
            <w:pPr>
              <w:pStyle w:val="TableParagraph"/>
              <w:numPr>
                <w:ilvl w:val="0"/>
                <w:numId w:val="69"/>
              </w:numPr>
              <w:tabs>
                <w:tab w:val="left" w:pos="157"/>
              </w:tabs>
              <w:spacing w:line="237" w:lineRule="auto"/>
              <w:ind w:right="134" w:hanging="99"/>
              <w:rPr>
                <w:sz w:val="14"/>
              </w:rPr>
            </w:pPr>
            <w:r>
              <w:rPr>
                <w:color w:val="231F20"/>
                <w:sz w:val="14"/>
              </w:rPr>
              <w:t>Адијабатски процеси: компресија,</w:t>
            </w:r>
            <w:r>
              <w:rPr>
                <w:color w:val="231F20"/>
                <w:spacing w:val="-19"/>
                <w:sz w:val="14"/>
              </w:rPr>
              <w:t xml:space="preserve"> </w:t>
            </w:r>
            <w:r>
              <w:rPr>
                <w:color w:val="231F20"/>
                <w:sz w:val="14"/>
              </w:rPr>
              <w:t>експан­ зија.</w:t>
            </w:r>
          </w:p>
          <w:p w:rsidR="00041039" w:rsidRDefault="001B26CB">
            <w:pPr>
              <w:pStyle w:val="TableParagraph"/>
              <w:numPr>
                <w:ilvl w:val="0"/>
                <w:numId w:val="69"/>
              </w:numPr>
              <w:tabs>
                <w:tab w:val="left" w:pos="157"/>
              </w:tabs>
              <w:spacing w:line="160" w:lineRule="exact"/>
              <w:ind w:hanging="99"/>
              <w:rPr>
                <w:sz w:val="14"/>
              </w:rPr>
            </w:pPr>
            <w:r>
              <w:rPr>
                <w:color w:val="231F20"/>
                <w:sz w:val="14"/>
              </w:rPr>
              <w:t>Повратни и неповратни</w:t>
            </w:r>
            <w:r>
              <w:rPr>
                <w:color w:val="231F20"/>
                <w:spacing w:val="-4"/>
                <w:sz w:val="14"/>
              </w:rPr>
              <w:t xml:space="preserve"> </w:t>
            </w:r>
            <w:r>
              <w:rPr>
                <w:color w:val="231F20"/>
                <w:sz w:val="14"/>
              </w:rPr>
              <w:t>процеси.</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120"/>
        </w:trPr>
        <w:tc>
          <w:tcPr>
            <w:tcW w:w="1304" w:type="dxa"/>
          </w:tcPr>
          <w:p w:rsidR="00041039" w:rsidRDefault="001B26CB">
            <w:pPr>
              <w:pStyle w:val="TableParagraph"/>
              <w:spacing w:before="18"/>
              <w:ind w:left="56" w:right="37"/>
              <w:rPr>
                <w:sz w:val="14"/>
              </w:rPr>
            </w:pPr>
            <w:r>
              <w:rPr>
                <w:color w:val="231F20"/>
                <w:sz w:val="14"/>
              </w:rPr>
              <w:lastRenderedPageBreak/>
              <w:t>Релативистичка физика</w:t>
            </w:r>
          </w:p>
        </w:tc>
        <w:tc>
          <w:tcPr>
            <w:tcW w:w="1587" w:type="dxa"/>
          </w:tcPr>
          <w:p w:rsidR="00041039" w:rsidRDefault="001B26CB">
            <w:pPr>
              <w:pStyle w:val="TableParagraph"/>
              <w:numPr>
                <w:ilvl w:val="0"/>
                <w:numId w:val="68"/>
              </w:numPr>
              <w:tabs>
                <w:tab w:val="left" w:pos="157"/>
              </w:tabs>
              <w:spacing w:before="8"/>
              <w:ind w:right="65"/>
              <w:rPr>
                <w:sz w:val="14"/>
              </w:rPr>
            </w:pPr>
            <w:r>
              <w:rPr>
                <w:color w:val="231F20"/>
                <w:sz w:val="14"/>
              </w:rPr>
              <w:t>Стицање знања о</w:t>
            </w:r>
            <w:r>
              <w:rPr>
                <w:color w:val="231F20"/>
                <w:spacing w:val="-20"/>
                <w:sz w:val="14"/>
              </w:rPr>
              <w:t xml:space="preserve"> </w:t>
            </w:r>
            <w:r>
              <w:rPr>
                <w:color w:val="231F20"/>
                <w:sz w:val="14"/>
              </w:rPr>
              <w:t>зако­ нима релативистичке механике.</w:t>
            </w:r>
          </w:p>
        </w:tc>
        <w:tc>
          <w:tcPr>
            <w:tcW w:w="2551" w:type="dxa"/>
          </w:tcPr>
          <w:p w:rsidR="00041039" w:rsidRDefault="001B26CB">
            <w:pPr>
              <w:pStyle w:val="TableParagraph"/>
              <w:numPr>
                <w:ilvl w:val="0"/>
                <w:numId w:val="67"/>
              </w:numPr>
              <w:tabs>
                <w:tab w:val="left" w:pos="157"/>
              </w:tabs>
              <w:spacing w:before="8"/>
              <w:ind w:right="44" w:hanging="99"/>
              <w:rPr>
                <w:sz w:val="14"/>
              </w:rPr>
            </w:pPr>
            <w:r>
              <w:rPr>
                <w:color w:val="231F20"/>
                <w:sz w:val="14"/>
              </w:rPr>
              <w:t>формулише постулате специјалне теорије релативности и објашњава релативистичке ефекте брзине,</w:t>
            </w:r>
            <w:r>
              <w:rPr>
                <w:color w:val="231F20"/>
                <w:spacing w:val="-15"/>
                <w:sz w:val="14"/>
              </w:rPr>
              <w:t xml:space="preserve"> </w:t>
            </w:r>
            <w:r>
              <w:rPr>
                <w:color w:val="231F20"/>
                <w:sz w:val="14"/>
              </w:rPr>
              <w:t>дужине и</w:t>
            </w:r>
            <w:r>
              <w:rPr>
                <w:color w:val="231F20"/>
                <w:spacing w:val="-2"/>
                <w:sz w:val="14"/>
              </w:rPr>
              <w:t xml:space="preserve"> </w:t>
            </w:r>
            <w:r>
              <w:rPr>
                <w:color w:val="231F20"/>
                <w:sz w:val="14"/>
              </w:rPr>
              <w:t>времена;</w:t>
            </w:r>
          </w:p>
          <w:p w:rsidR="00041039" w:rsidRDefault="001B26CB">
            <w:pPr>
              <w:pStyle w:val="TableParagraph"/>
              <w:numPr>
                <w:ilvl w:val="0"/>
                <w:numId w:val="67"/>
              </w:numPr>
              <w:tabs>
                <w:tab w:val="left" w:pos="157"/>
              </w:tabs>
              <w:spacing w:line="156" w:lineRule="exact"/>
              <w:ind w:hanging="99"/>
              <w:rPr>
                <w:sz w:val="14"/>
              </w:rPr>
            </w:pPr>
            <w:r>
              <w:rPr>
                <w:color w:val="231F20"/>
                <w:sz w:val="14"/>
              </w:rPr>
              <w:t>зна везе између масе,</w:t>
            </w:r>
            <w:r>
              <w:rPr>
                <w:color w:val="231F20"/>
                <w:spacing w:val="-14"/>
                <w:sz w:val="14"/>
              </w:rPr>
              <w:t xml:space="preserve"> </w:t>
            </w:r>
            <w:r>
              <w:rPr>
                <w:color w:val="231F20"/>
                <w:sz w:val="14"/>
              </w:rPr>
              <w:t>релативистичког</w:t>
            </w:r>
          </w:p>
          <w:p w:rsidR="00041039" w:rsidRDefault="001B26CB">
            <w:pPr>
              <w:pStyle w:val="TableParagraph"/>
              <w:spacing w:line="160" w:lineRule="exact"/>
              <w:rPr>
                <w:sz w:val="14"/>
              </w:rPr>
            </w:pPr>
            <w:r>
              <w:rPr>
                <w:color w:val="231F20"/>
                <w:sz w:val="14"/>
              </w:rPr>
              <w:t>импулса и енергије;</w:t>
            </w:r>
          </w:p>
        </w:tc>
        <w:tc>
          <w:tcPr>
            <w:tcW w:w="2834" w:type="dxa"/>
          </w:tcPr>
          <w:p w:rsidR="00041039" w:rsidRDefault="001B26CB">
            <w:pPr>
              <w:pStyle w:val="TableParagraph"/>
              <w:numPr>
                <w:ilvl w:val="0"/>
                <w:numId w:val="66"/>
              </w:numPr>
              <w:tabs>
                <w:tab w:val="left" w:pos="157"/>
              </w:tabs>
              <w:spacing w:before="8"/>
              <w:ind w:right="146" w:hanging="99"/>
              <w:rPr>
                <w:sz w:val="14"/>
              </w:rPr>
            </w:pPr>
            <w:r>
              <w:rPr>
                <w:color w:val="231F20"/>
                <w:sz w:val="14"/>
              </w:rPr>
              <w:t>Основни постулати специјалне теорије релативности. Лоренцове</w:t>
            </w:r>
            <w:r>
              <w:rPr>
                <w:color w:val="231F20"/>
                <w:spacing w:val="-8"/>
                <w:sz w:val="14"/>
              </w:rPr>
              <w:t xml:space="preserve"> </w:t>
            </w:r>
            <w:r>
              <w:rPr>
                <w:color w:val="231F20"/>
                <w:sz w:val="14"/>
              </w:rPr>
              <w:t>трансформације координата.</w:t>
            </w:r>
          </w:p>
          <w:p w:rsidR="00041039" w:rsidRDefault="001B26CB">
            <w:pPr>
              <w:pStyle w:val="TableParagraph"/>
              <w:numPr>
                <w:ilvl w:val="0"/>
                <w:numId w:val="66"/>
              </w:numPr>
              <w:tabs>
                <w:tab w:val="left" w:pos="157"/>
              </w:tabs>
              <w:spacing w:line="152" w:lineRule="exact"/>
              <w:ind w:hanging="99"/>
              <w:rPr>
                <w:sz w:val="14"/>
              </w:rPr>
            </w:pPr>
            <w:r>
              <w:rPr>
                <w:color w:val="231F20"/>
                <w:sz w:val="14"/>
              </w:rPr>
              <w:t>Релативистички закон сабирања</w:t>
            </w:r>
            <w:r>
              <w:rPr>
                <w:color w:val="231F20"/>
                <w:spacing w:val="-8"/>
                <w:sz w:val="14"/>
              </w:rPr>
              <w:t xml:space="preserve"> </w:t>
            </w:r>
            <w:r>
              <w:rPr>
                <w:color w:val="231F20"/>
                <w:sz w:val="14"/>
              </w:rPr>
              <w:t>брзина.</w:t>
            </w:r>
          </w:p>
          <w:p w:rsidR="00041039" w:rsidRDefault="001B26CB">
            <w:pPr>
              <w:pStyle w:val="TableParagraph"/>
              <w:numPr>
                <w:ilvl w:val="0"/>
                <w:numId w:val="66"/>
              </w:numPr>
              <w:tabs>
                <w:tab w:val="left" w:pos="157"/>
              </w:tabs>
              <w:spacing w:line="237" w:lineRule="auto"/>
              <w:ind w:right="132" w:hanging="99"/>
              <w:rPr>
                <w:sz w:val="14"/>
              </w:rPr>
            </w:pPr>
            <w:r>
              <w:rPr>
                <w:color w:val="231F20"/>
                <w:sz w:val="14"/>
              </w:rPr>
              <w:t>Релативистички</w:t>
            </w:r>
            <w:r>
              <w:rPr>
                <w:color w:val="231F20"/>
                <w:spacing w:val="-7"/>
                <w:sz w:val="14"/>
              </w:rPr>
              <w:t xml:space="preserve"> </w:t>
            </w:r>
            <w:r>
              <w:rPr>
                <w:color w:val="231F20"/>
                <w:sz w:val="14"/>
              </w:rPr>
              <w:t>карактер</w:t>
            </w:r>
            <w:r>
              <w:rPr>
                <w:color w:val="231F20"/>
                <w:spacing w:val="-7"/>
                <w:sz w:val="14"/>
              </w:rPr>
              <w:t xml:space="preserve"> </w:t>
            </w:r>
            <w:r>
              <w:rPr>
                <w:color w:val="231F20"/>
                <w:sz w:val="14"/>
              </w:rPr>
              <w:t>времена</w:t>
            </w:r>
            <w:r>
              <w:rPr>
                <w:color w:val="231F20"/>
                <w:spacing w:val="-8"/>
                <w:sz w:val="14"/>
              </w:rPr>
              <w:t xml:space="preserve"> </w:t>
            </w:r>
            <w:r>
              <w:rPr>
                <w:color w:val="231F20"/>
                <w:sz w:val="14"/>
              </w:rPr>
              <w:t>и</w:t>
            </w:r>
            <w:r>
              <w:rPr>
                <w:color w:val="231F20"/>
                <w:spacing w:val="-8"/>
                <w:sz w:val="14"/>
              </w:rPr>
              <w:t xml:space="preserve"> </w:t>
            </w:r>
            <w:r>
              <w:rPr>
                <w:color w:val="231F20"/>
                <w:sz w:val="14"/>
              </w:rPr>
              <w:t>дужи­ не. Гранични карактер брзине</w:t>
            </w:r>
            <w:r>
              <w:rPr>
                <w:color w:val="231F20"/>
                <w:spacing w:val="-15"/>
                <w:sz w:val="14"/>
              </w:rPr>
              <w:t xml:space="preserve"> </w:t>
            </w:r>
            <w:r>
              <w:rPr>
                <w:color w:val="231F20"/>
                <w:sz w:val="14"/>
              </w:rPr>
              <w:t>светлости.</w:t>
            </w:r>
          </w:p>
          <w:p w:rsidR="00041039" w:rsidRDefault="001B26CB">
            <w:pPr>
              <w:pStyle w:val="TableParagraph"/>
              <w:numPr>
                <w:ilvl w:val="0"/>
                <w:numId w:val="66"/>
              </w:numPr>
              <w:tabs>
                <w:tab w:val="left" w:pos="157"/>
              </w:tabs>
              <w:spacing w:line="155" w:lineRule="exact"/>
              <w:ind w:hanging="99"/>
              <w:rPr>
                <w:sz w:val="14"/>
              </w:rPr>
            </w:pPr>
            <w:r>
              <w:rPr>
                <w:color w:val="231F20"/>
                <w:sz w:val="14"/>
              </w:rPr>
              <w:t>Инваријантност</w:t>
            </w:r>
            <w:r>
              <w:rPr>
                <w:color w:val="231F20"/>
                <w:spacing w:val="-1"/>
                <w:sz w:val="14"/>
              </w:rPr>
              <w:t xml:space="preserve"> </w:t>
            </w:r>
            <w:r>
              <w:rPr>
                <w:color w:val="231F20"/>
                <w:sz w:val="14"/>
              </w:rPr>
              <w:t>интервала.</w:t>
            </w:r>
          </w:p>
          <w:p w:rsidR="00041039" w:rsidRDefault="001B26CB">
            <w:pPr>
              <w:pStyle w:val="TableParagraph"/>
              <w:numPr>
                <w:ilvl w:val="0"/>
                <w:numId w:val="66"/>
              </w:numPr>
              <w:tabs>
                <w:tab w:val="left" w:pos="157"/>
              </w:tabs>
              <w:spacing w:line="237" w:lineRule="auto"/>
              <w:ind w:right="82" w:hanging="99"/>
              <w:rPr>
                <w:sz w:val="14"/>
              </w:rPr>
            </w:pPr>
            <w:r>
              <w:rPr>
                <w:color w:val="231F20"/>
                <w:sz w:val="14"/>
              </w:rPr>
              <w:t>Релативистички импулс и енергија. Везе између релативистичког импулса,</w:t>
            </w:r>
            <w:r>
              <w:rPr>
                <w:color w:val="231F20"/>
                <w:spacing w:val="-23"/>
                <w:sz w:val="14"/>
              </w:rPr>
              <w:t xml:space="preserve"> </w:t>
            </w:r>
            <w:r>
              <w:rPr>
                <w:color w:val="231F20"/>
                <w:sz w:val="14"/>
              </w:rPr>
              <w:t>кинетич­ ке енергије, енергије мировања и укупне енергије. Унутрашња енергија. Закон одржања масе и</w:t>
            </w:r>
            <w:r>
              <w:rPr>
                <w:color w:val="231F20"/>
                <w:spacing w:val="-2"/>
                <w:sz w:val="14"/>
              </w:rPr>
              <w:t xml:space="preserve"> </w:t>
            </w:r>
            <w:r>
              <w:rPr>
                <w:color w:val="231F20"/>
                <w:sz w:val="14"/>
              </w:rPr>
              <w:t>енергије.</w:t>
            </w:r>
          </w:p>
          <w:p w:rsidR="00041039" w:rsidRDefault="001B26CB">
            <w:pPr>
              <w:pStyle w:val="TableParagraph"/>
              <w:numPr>
                <w:ilvl w:val="0"/>
                <w:numId w:val="66"/>
              </w:numPr>
              <w:tabs>
                <w:tab w:val="left" w:pos="157"/>
              </w:tabs>
              <w:spacing w:line="163" w:lineRule="exact"/>
              <w:ind w:hanging="99"/>
              <w:rPr>
                <w:sz w:val="14"/>
              </w:rPr>
            </w:pPr>
            <w:r>
              <w:rPr>
                <w:color w:val="231F20"/>
                <w:sz w:val="14"/>
              </w:rPr>
              <w:t>Појам о општој теорији</w:t>
            </w:r>
            <w:r>
              <w:rPr>
                <w:color w:val="231F20"/>
                <w:spacing w:val="-5"/>
                <w:sz w:val="14"/>
              </w:rPr>
              <w:t xml:space="preserve"> </w:t>
            </w:r>
            <w:r>
              <w:rPr>
                <w:color w:val="231F20"/>
                <w:sz w:val="14"/>
              </w:rPr>
              <w:t>релативности.</w:t>
            </w:r>
          </w:p>
        </w:tc>
        <w:tc>
          <w:tcPr>
            <w:tcW w:w="2267" w:type="dxa"/>
            <w:vMerge w:val="restart"/>
          </w:tcPr>
          <w:p w:rsidR="00041039" w:rsidRDefault="001B26CB">
            <w:pPr>
              <w:pStyle w:val="TableParagraph"/>
              <w:spacing w:before="16"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65"/>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65"/>
              </w:numPr>
              <w:tabs>
                <w:tab w:val="left" w:pos="158"/>
              </w:tabs>
              <w:spacing w:line="166"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8"/>
              <w:ind w:left="0"/>
              <w:rPr>
                <w:b/>
                <w:sz w:val="13"/>
              </w:rPr>
            </w:pPr>
          </w:p>
          <w:p w:rsidR="00041039" w:rsidRDefault="001B26CB">
            <w:pPr>
              <w:pStyle w:val="TableParagraph"/>
              <w:spacing w:before="1" w:line="155" w:lineRule="exact"/>
              <w:ind w:left="58"/>
              <w:rPr>
                <w:b/>
                <w:sz w:val="14"/>
              </w:rPr>
            </w:pPr>
            <w:r>
              <w:rPr>
                <w:b/>
                <w:color w:val="231F20"/>
                <w:sz w:val="14"/>
              </w:rPr>
              <w:t>Оквирни број часова по темама</w:t>
            </w:r>
          </w:p>
          <w:p w:rsidR="00041039" w:rsidRDefault="001B26CB">
            <w:pPr>
              <w:pStyle w:val="TableParagraph"/>
              <w:numPr>
                <w:ilvl w:val="0"/>
                <w:numId w:val="65"/>
              </w:numPr>
              <w:tabs>
                <w:tab w:val="left" w:pos="158"/>
              </w:tabs>
              <w:spacing w:line="160" w:lineRule="exact"/>
              <w:ind w:hanging="99"/>
              <w:rPr>
                <w:b/>
                <w:sz w:val="14"/>
              </w:rPr>
            </w:pPr>
            <w:r>
              <w:rPr>
                <w:color w:val="231F20"/>
                <w:sz w:val="14"/>
              </w:rPr>
              <w:t xml:space="preserve">Закони одржања </w:t>
            </w:r>
            <w:r>
              <w:rPr>
                <w:b/>
                <w:color w:val="231F20"/>
                <w:sz w:val="14"/>
              </w:rPr>
              <w:t>(10</w:t>
            </w:r>
            <w:r>
              <w:rPr>
                <w:b/>
                <w:color w:val="231F20"/>
                <w:spacing w:val="-21"/>
                <w:sz w:val="14"/>
              </w:rPr>
              <w:t xml:space="preserve"> </w:t>
            </w:r>
            <w:r>
              <w:rPr>
                <w:b/>
                <w:color w:val="231F20"/>
                <w:sz w:val="14"/>
              </w:rPr>
              <w:t>часова)</w:t>
            </w:r>
          </w:p>
          <w:p w:rsidR="00041039" w:rsidRDefault="001B26CB">
            <w:pPr>
              <w:pStyle w:val="TableParagraph"/>
              <w:numPr>
                <w:ilvl w:val="0"/>
                <w:numId w:val="65"/>
              </w:numPr>
              <w:tabs>
                <w:tab w:val="left" w:pos="158"/>
              </w:tabs>
              <w:spacing w:line="160" w:lineRule="exact"/>
              <w:ind w:hanging="99"/>
              <w:rPr>
                <w:b/>
                <w:sz w:val="14"/>
              </w:rPr>
            </w:pPr>
            <w:r>
              <w:rPr>
                <w:color w:val="231F20"/>
                <w:sz w:val="14"/>
              </w:rPr>
              <w:t xml:space="preserve">Термодинамика </w:t>
            </w:r>
            <w:r>
              <w:rPr>
                <w:b/>
                <w:color w:val="231F20"/>
                <w:sz w:val="14"/>
              </w:rPr>
              <w:t>(12</w:t>
            </w:r>
            <w:r>
              <w:rPr>
                <w:b/>
                <w:color w:val="231F20"/>
                <w:spacing w:val="-25"/>
                <w:sz w:val="14"/>
              </w:rPr>
              <w:t xml:space="preserve"> </w:t>
            </w:r>
            <w:r>
              <w:rPr>
                <w:b/>
                <w:color w:val="231F20"/>
                <w:sz w:val="14"/>
              </w:rPr>
              <w:t>часова)</w:t>
            </w:r>
          </w:p>
          <w:p w:rsidR="00041039" w:rsidRDefault="001B26CB">
            <w:pPr>
              <w:pStyle w:val="TableParagraph"/>
              <w:numPr>
                <w:ilvl w:val="0"/>
                <w:numId w:val="65"/>
              </w:numPr>
              <w:tabs>
                <w:tab w:val="left" w:pos="158"/>
              </w:tabs>
              <w:spacing w:line="237" w:lineRule="auto"/>
              <w:ind w:right="476" w:hanging="99"/>
              <w:rPr>
                <w:b/>
                <w:sz w:val="14"/>
              </w:rPr>
            </w:pPr>
            <w:r>
              <w:rPr>
                <w:color w:val="231F20"/>
                <w:sz w:val="14"/>
              </w:rPr>
              <w:t>Релативистичка физика</w:t>
            </w:r>
            <w:r>
              <w:rPr>
                <w:color w:val="231F20"/>
                <w:spacing w:val="-12"/>
                <w:sz w:val="14"/>
              </w:rPr>
              <w:t xml:space="preserve"> </w:t>
            </w:r>
            <w:r>
              <w:rPr>
                <w:b/>
                <w:color w:val="231F20"/>
                <w:sz w:val="14"/>
              </w:rPr>
              <w:t>(10 часова)</w:t>
            </w:r>
          </w:p>
          <w:p w:rsidR="00041039" w:rsidRDefault="001B26CB">
            <w:pPr>
              <w:pStyle w:val="TableParagraph"/>
              <w:numPr>
                <w:ilvl w:val="0"/>
                <w:numId w:val="65"/>
              </w:numPr>
              <w:tabs>
                <w:tab w:val="left" w:pos="158"/>
              </w:tabs>
              <w:spacing w:line="155" w:lineRule="exact"/>
              <w:ind w:hanging="99"/>
              <w:rPr>
                <w:b/>
                <w:sz w:val="14"/>
              </w:rPr>
            </w:pPr>
            <w:r>
              <w:rPr>
                <w:color w:val="231F20"/>
                <w:sz w:val="14"/>
              </w:rPr>
              <w:t xml:space="preserve">Физика чврстог стања </w:t>
            </w:r>
            <w:r>
              <w:rPr>
                <w:b/>
                <w:color w:val="231F20"/>
                <w:sz w:val="14"/>
              </w:rPr>
              <w:t>(9</w:t>
            </w:r>
            <w:r>
              <w:rPr>
                <w:b/>
                <w:color w:val="231F20"/>
                <w:spacing w:val="-9"/>
                <w:sz w:val="14"/>
              </w:rPr>
              <w:t xml:space="preserve"> </w:t>
            </w:r>
            <w:r>
              <w:rPr>
                <w:b/>
                <w:color w:val="231F20"/>
                <w:sz w:val="14"/>
              </w:rPr>
              <w:t>часова)</w:t>
            </w:r>
          </w:p>
          <w:p w:rsidR="00041039" w:rsidRDefault="001B26CB">
            <w:pPr>
              <w:pStyle w:val="TableParagraph"/>
              <w:numPr>
                <w:ilvl w:val="0"/>
                <w:numId w:val="65"/>
              </w:numPr>
              <w:tabs>
                <w:tab w:val="left" w:pos="158"/>
              </w:tabs>
              <w:spacing w:line="237" w:lineRule="auto"/>
              <w:ind w:right="490" w:hanging="99"/>
              <w:rPr>
                <w:b/>
                <w:sz w:val="14"/>
              </w:rPr>
            </w:pPr>
            <w:r>
              <w:rPr>
                <w:color w:val="231F20"/>
                <w:sz w:val="14"/>
              </w:rPr>
              <w:t xml:space="preserve">Физика </w:t>
            </w:r>
            <w:r>
              <w:rPr>
                <w:color w:val="231F20"/>
                <w:spacing w:val="-3"/>
                <w:sz w:val="14"/>
              </w:rPr>
              <w:t xml:space="preserve">атомског </w:t>
            </w:r>
            <w:r>
              <w:rPr>
                <w:color w:val="231F20"/>
                <w:sz w:val="14"/>
              </w:rPr>
              <w:t xml:space="preserve">језгра </w:t>
            </w:r>
            <w:r>
              <w:rPr>
                <w:b/>
                <w:color w:val="231F20"/>
                <w:sz w:val="14"/>
              </w:rPr>
              <w:t>(16 часова)</w:t>
            </w:r>
          </w:p>
          <w:p w:rsidR="00041039" w:rsidRDefault="001B26CB">
            <w:pPr>
              <w:pStyle w:val="TableParagraph"/>
              <w:numPr>
                <w:ilvl w:val="0"/>
                <w:numId w:val="65"/>
              </w:numPr>
              <w:tabs>
                <w:tab w:val="left" w:pos="158"/>
              </w:tabs>
              <w:spacing w:line="160" w:lineRule="exact"/>
              <w:ind w:right="125" w:hanging="99"/>
              <w:rPr>
                <w:b/>
                <w:sz w:val="14"/>
              </w:rPr>
            </w:pPr>
            <w:r>
              <w:rPr>
                <w:color w:val="231F20"/>
                <w:sz w:val="14"/>
              </w:rPr>
              <w:t xml:space="preserve">Физика елементарних честица </w:t>
            </w:r>
            <w:r>
              <w:rPr>
                <w:b/>
                <w:color w:val="231F20"/>
                <w:sz w:val="14"/>
              </w:rPr>
              <w:t>(5 часова)</w:t>
            </w:r>
          </w:p>
          <w:p w:rsidR="00041039" w:rsidRDefault="001B26CB">
            <w:pPr>
              <w:pStyle w:val="TableParagraph"/>
              <w:numPr>
                <w:ilvl w:val="0"/>
                <w:numId w:val="65"/>
              </w:numPr>
              <w:tabs>
                <w:tab w:val="left" w:pos="158"/>
              </w:tabs>
              <w:spacing w:line="159" w:lineRule="exact"/>
              <w:ind w:hanging="99"/>
              <w:rPr>
                <w:b/>
                <w:sz w:val="14"/>
              </w:rPr>
            </w:pPr>
            <w:r>
              <w:rPr>
                <w:color w:val="231F20"/>
                <w:sz w:val="14"/>
              </w:rPr>
              <w:t xml:space="preserve">Лабораторијске вежбе </w:t>
            </w:r>
            <w:r>
              <w:rPr>
                <w:b/>
                <w:color w:val="231F20"/>
                <w:sz w:val="14"/>
              </w:rPr>
              <w:t>(8</w:t>
            </w:r>
            <w:r>
              <w:rPr>
                <w:b/>
                <w:color w:val="231F20"/>
                <w:spacing w:val="-13"/>
                <w:sz w:val="14"/>
              </w:rPr>
              <w:t xml:space="preserve"> </w:t>
            </w:r>
            <w:r>
              <w:rPr>
                <w:b/>
                <w:color w:val="231F20"/>
                <w:sz w:val="14"/>
              </w:rPr>
              <w:t>часова)</w:t>
            </w:r>
          </w:p>
        </w:tc>
      </w:tr>
      <w:tr w:rsidR="00041039">
        <w:trPr>
          <w:trHeight w:val="3240"/>
        </w:trPr>
        <w:tc>
          <w:tcPr>
            <w:tcW w:w="1304" w:type="dxa"/>
          </w:tcPr>
          <w:p w:rsidR="00041039" w:rsidRDefault="001B26CB">
            <w:pPr>
              <w:pStyle w:val="TableParagraph"/>
              <w:spacing w:before="19"/>
              <w:ind w:left="56" w:right="37"/>
              <w:rPr>
                <w:sz w:val="14"/>
              </w:rPr>
            </w:pPr>
            <w:r>
              <w:rPr>
                <w:color w:val="231F20"/>
                <w:sz w:val="14"/>
              </w:rPr>
              <w:t>Физика чврстог стања</w:t>
            </w:r>
          </w:p>
        </w:tc>
        <w:tc>
          <w:tcPr>
            <w:tcW w:w="1587" w:type="dxa"/>
          </w:tcPr>
          <w:p w:rsidR="00041039" w:rsidRDefault="001B26CB">
            <w:pPr>
              <w:pStyle w:val="TableParagraph"/>
              <w:numPr>
                <w:ilvl w:val="0"/>
                <w:numId w:val="64"/>
              </w:numPr>
              <w:tabs>
                <w:tab w:val="left" w:pos="157"/>
              </w:tabs>
              <w:spacing w:before="8"/>
              <w:ind w:right="151"/>
              <w:rPr>
                <w:sz w:val="14"/>
              </w:rPr>
            </w:pPr>
            <w:r>
              <w:rPr>
                <w:color w:val="231F20"/>
                <w:sz w:val="14"/>
              </w:rPr>
              <w:t>Упознавање са зако­ нима физике чврстог стања и њиховом применом у</w:t>
            </w:r>
            <w:r>
              <w:rPr>
                <w:color w:val="231F20"/>
                <w:spacing w:val="-10"/>
                <w:sz w:val="14"/>
              </w:rPr>
              <w:t xml:space="preserve"> </w:t>
            </w:r>
            <w:r>
              <w:rPr>
                <w:color w:val="231F20"/>
                <w:sz w:val="14"/>
              </w:rPr>
              <w:t>техници.</w:t>
            </w:r>
          </w:p>
        </w:tc>
        <w:tc>
          <w:tcPr>
            <w:tcW w:w="2551" w:type="dxa"/>
          </w:tcPr>
          <w:p w:rsidR="00041039" w:rsidRDefault="001B26CB">
            <w:pPr>
              <w:pStyle w:val="TableParagraph"/>
              <w:numPr>
                <w:ilvl w:val="0"/>
                <w:numId w:val="63"/>
              </w:numPr>
              <w:tabs>
                <w:tab w:val="left" w:pos="157"/>
              </w:tabs>
              <w:spacing w:before="8" w:line="166" w:lineRule="exact"/>
              <w:ind w:hanging="99"/>
              <w:rPr>
                <w:sz w:val="14"/>
              </w:rPr>
            </w:pPr>
            <w:r>
              <w:rPr>
                <w:color w:val="231F20"/>
                <w:sz w:val="14"/>
              </w:rPr>
              <w:t xml:space="preserve">објасни енергијске зоне </w:t>
            </w:r>
            <w:r>
              <w:rPr>
                <w:color w:val="231F20"/>
                <w:spacing w:val="-5"/>
                <w:sz w:val="14"/>
              </w:rPr>
              <w:t>код</w:t>
            </w:r>
            <w:r>
              <w:rPr>
                <w:color w:val="231F20"/>
                <w:spacing w:val="-2"/>
                <w:sz w:val="14"/>
              </w:rPr>
              <w:t xml:space="preserve"> </w:t>
            </w:r>
            <w:r>
              <w:rPr>
                <w:color w:val="231F20"/>
                <w:sz w:val="14"/>
              </w:rPr>
              <w:t>кристала</w:t>
            </w:r>
          </w:p>
          <w:p w:rsidR="00041039" w:rsidRDefault="001B26CB">
            <w:pPr>
              <w:pStyle w:val="TableParagraph"/>
              <w:numPr>
                <w:ilvl w:val="0"/>
                <w:numId w:val="63"/>
              </w:numPr>
              <w:tabs>
                <w:tab w:val="left" w:pos="157"/>
              </w:tabs>
              <w:spacing w:line="237" w:lineRule="auto"/>
              <w:ind w:right="188" w:hanging="99"/>
              <w:rPr>
                <w:sz w:val="14"/>
              </w:rPr>
            </w:pPr>
            <w:r>
              <w:rPr>
                <w:color w:val="231F20"/>
                <w:sz w:val="14"/>
              </w:rPr>
              <w:t>разликује класичну електричну проводљивост и</w:t>
            </w:r>
            <w:r>
              <w:rPr>
                <w:color w:val="231F20"/>
                <w:spacing w:val="-13"/>
                <w:sz w:val="14"/>
              </w:rPr>
              <w:t xml:space="preserve"> </w:t>
            </w:r>
            <w:r>
              <w:rPr>
                <w:color w:val="231F20"/>
                <w:sz w:val="14"/>
              </w:rPr>
              <w:t xml:space="preserve">суперпроводљивост </w:t>
            </w:r>
            <w:r>
              <w:rPr>
                <w:color w:val="231F20"/>
                <w:spacing w:val="-5"/>
                <w:sz w:val="14"/>
              </w:rPr>
              <w:t>код</w:t>
            </w:r>
            <w:r>
              <w:rPr>
                <w:color w:val="231F20"/>
                <w:sz w:val="14"/>
              </w:rPr>
              <w:t xml:space="preserve"> метала;</w:t>
            </w:r>
          </w:p>
          <w:p w:rsidR="00041039" w:rsidRDefault="001B26CB">
            <w:pPr>
              <w:pStyle w:val="TableParagraph"/>
              <w:numPr>
                <w:ilvl w:val="0"/>
                <w:numId w:val="63"/>
              </w:numPr>
              <w:tabs>
                <w:tab w:val="left" w:pos="157"/>
              </w:tabs>
              <w:spacing w:line="237" w:lineRule="auto"/>
              <w:ind w:right="69" w:hanging="99"/>
              <w:jc w:val="both"/>
              <w:rPr>
                <w:sz w:val="14"/>
              </w:rPr>
            </w:pPr>
            <w:r>
              <w:rPr>
                <w:color w:val="231F20"/>
                <w:sz w:val="14"/>
              </w:rPr>
              <w:t>описује својства сопствених и</w:t>
            </w:r>
            <w:r>
              <w:rPr>
                <w:color w:val="231F20"/>
                <w:spacing w:val="-8"/>
                <w:sz w:val="14"/>
              </w:rPr>
              <w:t xml:space="preserve"> </w:t>
            </w:r>
            <w:r>
              <w:rPr>
                <w:color w:val="231F20"/>
                <w:sz w:val="14"/>
              </w:rPr>
              <w:t xml:space="preserve">примес­ них полупроводника и познаје </w:t>
            </w:r>
            <w:r>
              <w:rPr>
                <w:color w:val="231F20"/>
                <w:spacing w:val="-3"/>
                <w:sz w:val="14"/>
              </w:rPr>
              <w:t xml:space="preserve">њихову </w:t>
            </w:r>
            <w:r>
              <w:rPr>
                <w:color w:val="231F20"/>
                <w:sz w:val="14"/>
              </w:rPr>
              <w:t>примену (исправљачи, галваномагнет­ ни и термоелектрични</w:t>
            </w:r>
            <w:r>
              <w:rPr>
                <w:color w:val="231F20"/>
                <w:spacing w:val="-4"/>
                <w:sz w:val="14"/>
              </w:rPr>
              <w:t xml:space="preserve"> </w:t>
            </w:r>
            <w:r>
              <w:rPr>
                <w:color w:val="231F20"/>
                <w:sz w:val="14"/>
              </w:rPr>
              <w:t>ефекти,...);</w:t>
            </w:r>
          </w:p>
          <w:p w:rsidR="00041039" w:rsidRDefault="001B26CB">
            <w:pPr>
              <w:pStyle w:val="TableParagraph"/>
              <w:numPr>
                <w:ilvl w:val="0"/>
                <w:numId w:val="63"/>
              </w:numPr>
              <w:tabs>
                <w:tab w:val="left" w:pos="157"/>
              </w:tabs>
              <w:spacing w:line="237" w:lineRule="auto"/>
              <w:ind w:right="104" w:hanging="99"/>
              <w:jc w:val="both"/>
              <w:rPr>
                <w:sz w:val="14"/>
              </w:rPr>
            </w:pPr>
            <w:r>
              <w:rPr>
                <w:color w:val="231F20"/>
                <w:sz w:val="14"/>
              </w:rPr>
              <w:t xml:space="preserve">изведе лабораторијску </w:t>
            </w:r>
            <w:r>
              <w:rPr>
                <w:color w:val="231F20"/>
                <w:spacing w:val="-4"/>
                <w:sz w:val="14"/>
              </w:rPr>
              <w:t xml:space="preserve">вежбу, </w:t>
            </w:r>
            <w:r>
              <w:rPr>
                <w:color w:val="231F20"/>
                <w:sz w:val="14"/>
              </w:rPr>
              <w:t>правил­ но и безбедно рукује наставним сред­ ствима, изврши потребне прорачуне</w:t>
            </w:r>
            <w:r>
              <w:rPr>
                <w:color w:val="231F20"/>
                <w:spacing w:val="-18"/>
                <w:sz w:val="14"/>
              </w:rPr>
              <w:t xml:space="preserve"> </w:t>
            </w:r>
            <w:r>
              <w:rPr>
                <w:color w:val="231F20"/>
                <w:sz w:val="14"/>
              </w:rPr>
              <w:t>и израчуна грешке при</w:t>
            </w:r>
            <w:r>
              <w:rPr>
                <w:color w:val="231F20"/>
                <w:spacing w:val="-5"/>
                <w:sz w:val="14"/>
              </w:rPr>
              <w:t xml:space="preserve"> </w:t>
            </w:r>
            <w:r>
              <w:rPr>
                <w:color w:val="231F20"/>
                <w:sz w:val="14"/>
              </w:rPr>
              <w:t>мерењу;</w:t>
            </w:r>
          </w:p>
        </w:tc>
        <w:tc>
          <w:tcPr>
            <w:tcW w:w="2834" w:type="dxa"/>
          </w:tcPr>
          <w:p w:rsidR="00041039" w:rsidRDefault="001B26CB">
            <w:pPr>
              <w:pStyle w:val="TableParagraph"/>
              <w:numPr>
                <w:ilvl w:val="0"/>
                <w:numId w:val="62"/>
              </w:numPr>
              <w:tabs>
                <w:tab w:val="left" w:pos="157"/>
              </w:tabs>
              <w:spacing w:before="9"/>
              <w:ind w:right="197" w:hanging="99"/>
              <w:rPr>
                <w:sz w:val="14"/>
              </w:rPr>
            </w:pPr>
            <w:r>
              <w:rPr>
                <w:color w:val="231F20"/>
                <w:sz w:val="14"/>
              </w:rPr>
              <w:t>Зонс</w:t>
            </w:r>
            <w:r>
              <w:rPr>
                <w:color w:val="231F20"/>
                <w:sz w:val="14"/>
              </w:rPr>
              <w:t>ка теорија кристала. Енергијске</w:t>
            </w:r>
            <w:r>
              <w:rPr>
                <w:color w:val="231F20"/>
                <w:spacing w:val="-14"/>
                <w:sz w:val="14"/>
              </w:rPr>
              <w:t xml:space="preserve"> </w:t>
            </w:r>
            <w:r>
              <w:rPr>
                <w:color w:val="231F20"/>
                <w:sz w:val="14"/>
              </w:rPr>
              <w:t xml:space="preserve">зоне у чврстом </w:t>
            </w:r>
            <w:r>
              <w:rPr>
                <w:color w:val="231F20"/>
                <w:spacing w:val="-3"/>
                <w:sz w:val="14"/>
              </w:rPr>
              <w:t xml:space="preserve">телу. </w:t>
            </w:r>
            <w:r>
              <w:rPr>
                <w:color w:val="231F20"/>
                <w:sz w:val="14"/>
              </w:rPr>
              <w:t>Зонски модели метала и диелектрика.</w:t>
            </w:r>
          </w:p>
          <w:p w:rsidR="00041039" w:rsidRDefault="001B26CB">
            <w:pPr>
              <w:pStyle w:val="TableParagraph"/>
              <w:numPr>
                <w:ilvl w:val="0"/>
                <w:numId w:val="62"/>
              </w:numPr>
              <w:tabs>
                <w:tab w:val="left" w:pos="157"/>
              </w:tabs>
              <w:spacing w:line="157" w:lineRule="exact"/>
              <w:ind w:hanging="99"/>
              <w:rPr>
                <w:sz w:val="14"/>
              </w:rPr>
            </w:pPr>
            <w:r>
              <w:rPr>
                <w:color w:val="231F20"/>
                <w:sz w:val="14"/>
              </w:rPr>
              <w:t>Расподела слободних електрона</w:t>
            </w:r>
            <w:r>
              <w:rPr>
                <w:color w:val="231F20"/>
                <w:spacing w:val="-3"/>
                <w:sz w:val="14"/>
              </w:rPr>
              <w:t xml:space="preserve"> </w:t>
            </w:r>
            <w:r>
              <w:rPr>
                <w:color w:val="231F20"/>
                <w:sz w:val="14"/>
              </w:rPr>
              <w:t>по</w:t>
            </w:r>
          </w:p>
          <w:p w:rsidR="00041039" w:rsidRDefault="001B26CB">
            <w:pPr>
              <w:pStyle w:val="TableParagraph"/>
              <w:rPr>
                <w:sz w:val="14"/>
              </w:rPr>
            </w:pPr>
            <w:r>
              <w:rPr>
                <w:color w:val="231F20"/>
                <w:sz w:val="14"/>
              </w:rPr>
              <w:t>енергијама у металу. Квантна теорија про­ водљивости метала. Суперпроводљивост.</w:t>
            </w:r>
          </w:p>
          <w:p w:rsidR="00041039" w:rsidRDefault="001B26CB">
            <w:pPr>
              <w:pStyle w:val="TableParagraph"/>
              <w:numPr>
                <w:ilvl w:val="0"/>
                <w:numId w:val="62"/>
              </w:numPr>
              <w:tabs>
                <w:tab w:val="left" w:pos="157"/>
              </w:tabs>
              <w:spacing w:line="160" w:lineRule="exact"/>
              <w:ind w:right="224" w:hanging="99"/>
              <w:rPr>
                <w:sz w:val="14"/>
              </w:rPr>
            </w:pPr>
            <w:r>
              <w:rPr>
                <w:color w:val="231F20"/>
                <w:sz w:val="14"/>
              </w:rPr>
              <w:t>Полупроводници. Сопствена и</w:t>
            </w:r>
            <w:r>
              <w:rPr>
                <w:color w:val="231F20"/>
                <w:spacing w:val="-15"/>
                <w:sz w:val="14"/>
              </w:rPr>
              <w:t xml:space="preserve"> </w:t>
            </w:r>
            <w:r>
              <w:rPr>
                <w:color w:val="231F20"/>
                <w:sz w:val="14"/>
              </w:rPr>
              <w:t>примесна проводљивост.</w:t>
            </w:r>
          </w:p>
          <w:p w:rsidR="00041039" w:rsidRDefault="001B26CB">
            <w:pPr>
              <w:pStyle w:val="TableParagraph"/>
              <w:numPr>
                <w:ilvl w:val="0"/>
                <w:numId w:val="62"/>
              </w:numPr>
              <w:tabs>
                <w:tab w:val="left" w:pos="157"/>
              </w:tabs>
              <w:spacing w:line="160" w:lineRule="exact"/>
              <w:ind w:right="104" w:hanging="99"/>
              <w:rPr>
                <w:sz w:val="14"/>
              </w:rPr>
            </w:pPr>
            <w:r>
              <w:rPr>
                <w:color w:val="231F20"/>
                <w:sz w:val="14"/>
              </w:rPr>
              <w:t>Полупроводници</w:t>
            </w:r>
            <w:r>
              <w:rPr>
                <w:color w:val="231F20"/>
                <w:spacing w:val="-4"/>
                <w:sz w:val="14"/>
              </w:rPr>
              <w:t xml:space="preserve"> </w:t>
            </w:r>
            <w:r>
              <w:rPr>
                <w:color w:val="231F20"/>
                <w:sz w:val="14"/>
              </w:rPr>
              <w:t>p</w:t>
            </w:r>
            <w:r>
              <w:rPr>
                <w:color w:val="231F20"/>
                <w:spacing w:val="-4"/>
                <w:sz w:val="14"/>
              </w:rPr>
              <w:t xml:space="preserve"> </w:t>
            </w:r>
            <w:r>
              <w:rPr>
                <w:color w:val="231F20"/>
                <w:sz w:val="14"/>
              </w:rPr>
              <w:t>и</w:t>
            </w:r>
            <w:r>
              <w:rPr>
                <w:color w:val="231F20"/>
                <w:spacing w:val="-5"/>
                <w:sz w:val="14"/>
              </w:rPr>
              <w:t xml:space="preserve"> </w:t>
            </w:r>
            <w:r>
              <w:rPr>
                <w:color w:val="231F20"/>
                <w:sz w:val="14"/>
              </w:rPr>
              <w:t>n</w:t>
            </w:r>
            <w:r>
              <w:rPr>
                <w:color w:val="231F20"/>
                <w:spacing w:val="-5"/>
                <w:sz w:val="14"/>
              </w:rPr>
              <w:t xml:space="preserve"> </w:t>
            </w:r>
            <w:r>
              <w:rPr>
                <w:color w:val="231F20"/>
                <w:sz w:val="14"/>
              </w:rPr>
              <w:t>­</w:t>
            </w:r>
            <w:r>
              <w:rPr>
                <w:color w:val="231F20"/>
                <w:spacing w:val="-4"/>
                <w:sz w:val="14"/>
              </w:rPr>
              <w:t xml:space="preserve"> </w:t>
            </w:r>
            <w:r>
              <w:rPr>
                <w:color w:val="231F20"/>
                <w:sz w:val="14"/>
              </w:rPr>
              <w:t>типа</w:t>
            </w:r>
            <w:r>
              <w:rPr>
                <w:color w:val="231F20"/>
                <w:spacing w:val="-4"/>
                <w:sz w:val="14"/>
              </w:rPr>
              <w:t xml:space="preserve"> </w:t>
            </w:r>
            <w:r>
              <w:rPr>
                <w:color w:val="231F20"/>
                <w:sz w:val="14"/>
              </w:rPr>
              <w:t>и</w:t>
            </w:r>
            <w:r>
              <w:rPr>
                <w:color w:val="231F20"/>
                <w:spacing w:val="-5"/>
                <w:sz w:val="14"/>
              </w:rPr>
              <w:t xml:space="preserve"> </w:t>
            </w:r>
            <w:r>
              <w:rPr>
                <w:color w:val="231F20"/>
                <w:sz w:val="14"/>
              </w:rPr>
              <w:t>полупрово­ днички p ­ n</w:t>
            </w:r>
            <w:r>
              <w:rPr>
                <w:color w:val="231F20"/>
                <w:spacing w:val="-1"/>
                <w:sz w:val="14"/>
              </w:rPr>
              <w:t xml:space="preserve"> </w:t>
            </w:r>
            <w:r>
              <w:rPr>
                <w:color w:val="231F20"/>
                <w:sz w:val="14"/>
              </w:rPr>
              <w:t>спој,</w:t>
            </w:r>
          </w:p>
          <w:p w:rsidR="00041039" w:rsidRDefault="001B26CB">
            <w:pPr>
              <w:pStyle w:val="TableParagraph"/>
              <w:numPr>
                <w:ilvl w:val="0"/>
                <w:numId w:val="62"/>
              </w:numPr>
              <w:tabs>
                <w:tab w:val="left" w:pos="157"/>
              </w:tabs>
              <w:spacing w:line="160" w:lineRule="exact"/>
              <w:ind w:right="294" w:hanging="99"/>
              <w:rPr>
                <w:sz w:val="14"/>
              </w:rPr>
            </w:pPr>
            <w:r>
              <w:rPr>
                <w:color w:val="231F20"/>
                <w:sz w:val="14"/>
              </w:rPr>
              <w:t>Полупроводиичке диоде, транзистори</w:t>
            </w:r>
            <w:r>
              <w:rPr>
                <w:color w:val="231F20"/>
                <w:spacing w:val="-22"/>
                <w:sz w:val="14"/>
              </w:rPr>
              <w:t xml:space="preserve"> </w:t>
            </w:r>
            <w:r>
              <w:rPr>
                <w:color w:val="231F20"/>
                <w:sz w:val="14"/>
              </w:rPr>
              <w:t>и фотоотпорници.</w:t>
            </w:r>
          </w:p>
          <w:p w:rsidR="00041039" w:rsidRDefault="001B26CB">
            <w:pPr>
              <w:pStyle w:val="TableParagraph"/>
              <w:spacing w:line="153" w:lineRule="exact"/>
              <w:ind w:left="57"/>
              <w:rPr>
                <w:b/>
                <w:sz w:val="14"/>
              </w:rPr>
            </w:pPr>
            <w:r>
              <w:rPr>
                <w:b/>
                <w:color w:val="231F20"/>
                <w:sz w:val="14"/>
              </w:rPr>
              <w:t>Демонстрациони огледи:</w:t>
            </w:r>
          </w:p>
          <w:p w:rsidR="00041039" w:rsidRDefault="001B26CB">
            <w:pPr>
              <w:pStyle w:val="TableParagraph"/>
              <w:numPr>
                <w:ilvl w:val="0"/>
                <w:numId w:val="62"/>
              </w:numPr>
              <w:tabs>
                <w:tab w:val="left" w:pos="157"/>
              </w:tabs>
              <w:spacing w:line="165" w:lineRule="exact"/>
              <w:ind w:hanging="99"/>
              <w:rPr>
                <w:sz w:val="14"/>
              </w:rPr>
            </w:pPr>
            <w:r>
              <w:rPr>
                <w:color w:val="231F20"/>
                <w:sz w:val="14"/>
              </w:rPr>
              <w:t>Диоде.</w:t>
            </w:r>
            <w:r>
              <w:rPr>
                <w:color w:val="231F20"/>
                <w:spacing w:val="-1"/>
                <w:sz w:val="14"/>
              </w:rPr>
              <w:t xml:space="preserve"> </w:t>
            </w:r>
            <w:r>
              <w:rPr>
                <w:color w:val="231F20"/>
                <w:sz w:val="14"/>
              </w:rPr>
              <w:t>Фотопроводници.</w:t>
            </w:r>
          </w:p>
          <w:p w:rsidR="00041039" w:rsidRDefault="001B26CB">
            <w:pPr>
              <w:pStyle w:val="TableParagraph"/>
              <w:spacing w:line="155" w:lineRule="exact"/>
              <w:ind w:left="57"/>
              <w:rPr>
                <w:b/>
                <w:sz w:val="14"/>
              </w:rPr>
            </w:pPr>
            <w:r>
              <w:rPr>
                <w:b/>
                <w:color w:val="231F20"/>
                <w:sz w:val="14"/>
              </w:rPr>
              <w:t>Лабораторијске вежбе:</w:t>
            </w:r>
          </w:p>
          <w:p w:rsidR="00041039" w:rsidRDefault="001B26CB">
            <w:pPr>
              <w:pStyle w:val="TableParagraph"/>
              <w:numPr>
                <w:ilvl w:val="0"/>
                <w:numId w:val="62"/>
              </w:numPr>
              <w:tabs>
                <w:tab w:val="left" w:pos="157"/>
              </w:tabs>
              <w:spacing w:line="160" w:lineRule="exact"/>
              <w:ind w:hanging="99"/>
              <w:rPr>
                <w:sz w:val="14"/>
              </w:rPr>
            </w:pPr>
            <w:r>
              <w:rPr>
                <w:color w:val="231F20"/>
                <w:sz w:val="14"/>
              </w:rPr>
              <w:t>Струјно ­ напонска карактеристика</w:t>
            </w:r>
            <w:r>
              <w:rPr>
                <w:color w:val="231F20"/>
                <w:spacing w:val="-12"/>
                <w:sz w:val="14"/>
              </w:rPr>
              <w:t xml:space="preserve"> </w:t>
            </w:r>
            <w:r>
              <w:rPr>
                <w:color w:val="231F20"/>
                <w:sz w:val="14"/>
              </w:rPr>
              <w:t>диоде.</w:t>
            </w:r>
          </w:p>
          <w:p w:rsidR="00041039" w:rsidRDefault="001B26CB">
            <w:pPr>
              <w:pStyle w:val="TableParagraph"/>
              <w:numPr>
                <w:ilvl w:val="0"/>
                <w:numId w:val="62"/>
              </w:numPr>
              <w:tabs>
                <w:tab w:val="left" w:pos="157"/>
              </w:tabs>
              <w:spacing w:line="237" w:lineRule="auto"/>
              <w:ind w:right="222" w:hanging="99"/>
              <w:rPr>
                <w:sz w:val="14"/>
              </w:rPr>
            </w:pPr>
            <w:r>
              <w:rPr>
                <w:color w:val="231F20"/>
                <w:sz w:val="14"/>
              </w:rPr>
              <w:t>Струјно ­ напонске карактеристике</w:t>
            </w:r>
            <w:r>
              <w:rPr>
                <w:color w:val="231F20"/>
                <w:spacing w:val="-21"/>
                <w:sz w:val="14"/>
              </w:rPr>
              <w:t xml:space="preserve"> </w:t>
            </w:r>
            <w:r>
              <w:rPr>
                <w:color w:val="231F20"/>
                <w:sz w:val="14"/>
              </w:rPr>
              <w:t>тран­ зистора.</w:t>
            </w:r>
          </w:p>
          <w:p w:rsidR="00041039" w:rsidRDefault="001B26CB">
            <w:pPr>
              <w:pStyle w:val="TableParagraph"/>
              <w:numPr>
                <w:ilvl w:val="0"/>
                <w:numId w:val="62"/>
              </w:numPr>
              <w:tabs>
                <w:tab w:val="left" w:pos="157"/>
              </w:tabs>
              <w:spacing w:line="160" w:lineRule="exact"/>
              <w:ind w:right="179" w:hanging="99"/>
              <w:rPr>
                <w:sz w:val="14"/>
              </w:rPr>
            </w:pPr>
            <w:r>
              <w:rPr>
                <w:color w:val="231F20"/>
                <w:sz w:val="14"/>
              </w:rPr>
              <w:t>Одређивање Планкове константе</w:t>
            </w:r>
            <w:r>
              <w:rPr>
                <w:color w:val="231F20"/>
                <w:spacing w:val="-25"/>
                <w:sz w:val="14"/>
              </w:rPr>
              <w:t xml:space="preserve"> </w:t>
            </w:r>
            <w:r>
              <w:rPr>
                <w:color w:val="231F20"/>
                <w:sz w:val="14"/>
              </w:rPr>
              <w:t>(помоћу LED</w:t>
            </w:r>
            <w:r>
              <w:rPr>
                <w:color w:val="231F20"/>
                <w:spacing w:val="-1"/>
                <w:sz w:val="14"/>
              </w:rPr>
              <w:t xml:space="preserve"> </w:t>
            </w:r>
            <w:r>
              <w:rPr>
                <w:color w:val="231F20"/>
                <w:sz w:val="14"/>
              </w:rPr>
              <w:t>диоде).</w:t>
            </w:r>
          </w:p>
        </w:tc>
        <w:tc>
          <w:tcPr>
            <w:tcW w:w="2267" w:type="dxa"/>
            <w:vMerge/>
            <w:tcBorders>
              <w:top w:val="nil"/>
            </w:tcBorders>
          </w:tcPr>
          <w:p w:rsidR="00041039" w:rsidRDefault="00041039">
            <w:pPr>
              <w:rPr>
                <w:sz w:val="2"/>
                <w:szCs w:val="2"/>
              </w:rPr>
            </w:pPr>
          </w:p>
        </w:tc>
      </w:tr>
      <w:tr w:rsidR="00041039">
        <w:trPr>
          <w:trHeight w:val="4840"/>
        </w:trPr>
        <w:tc>
          <w:tcPr>
            <w:tcW w:w="1304" w:type="dxa"/>
          </w:tcPr>
          <w:p w:rsidR="00041039" w:rsidRDefault="001B26CB">
            <w:pPr>
              <w:pStyle w:val="TableParagraph"/>
              <w:spacing w:before="19"/>
              <w:ind w:left="56" w:right="37"/>
              <w:rPr>
                <w:sz w:val="14"/>
              </w:rPr>
            </w:pPr>
            <w:r>
              <w:rPr>
                <w:color w:val="231F20"/>
                <w:sz w:val="14"/>
              </w:rPr>
              <w:t>Физика атомског језгра</w:t>
            </w:r>
          </w:p>
        </w:tc>
        <w:tc>
          <w:tcPr>
            <w:tcW w:w="1587" w:type="dxa"/>
          </w:tcPr>
          <w:p w:rsidR="00041039" w:rsidRDefault="001B26CB">
            <w:pPr>
              <w:pStyle w:val="TableParagraph"/>
              <w:numPr>
                <w:ilvl w:val="0"/>
                <w:numId w:val="61"/>
              </w:numPr>
              <w:tabs>
                <w:tab w:val="left" w:pos="157"/>
              </w:tabs>
              <w:spacing w:before="9"/>
              <w:ind w:right="113"/>
              <w:rPr>
                <w:sz w:val="14"/>
              </w:rPr>
            </w:pPr>
            <w:r>
              <w:rPr>
                <w:color w:val="231F20"/>
                <w:sz w:val="14"/>
              </w:rPr>
              <w:t>Продубљивање</w:t>
            </w:r>
            <w:r>
              <w:rPr>
                <w:color w:val="231F20"/>
                <w:spacing w:val="-13"/>
                <w:sz w:val="14"/>
              </w:rPr>
              <w:t xml:space="preserve"> </w:t>
            </w:r>
            <w:r>
              <w:rPr>
                <w:color w:val="231F20"/>
                <w:sz w:val="14"/>
              </w:rPr>
              <w:t xml:space="preserve">знања о физици </w:t>
            </w:r>
            <w:r>
              <w:rPr>
                <w:color w:val="231F20"/>
                <w:spacing w:val="-3"/>
                <w:sz w:val="14"/>
              </w:rPr>
              <w:t xml:space="preserve">атомског </w:t>
            </w:r>
            <w:r>
              <w:rPr>
                <w:color w:val="231F20"/>
                <w:sz w:val="14"/>
              </w:rPr>
              <w:t>језгра.</w:t>
            </w:r>
          </w:p>
          <w:p w:rsidR="00041039" w:rsidRDefault="001B26CB">
            <w:pPr>
              <w:pStyle w:val="TableParagraph"/>
              <w:numPr>
                <w:ilvl w:val="0"/>
                <w:numId w:val="61"/>
              </w:numPr>
              <w:tabs>
                <w:tab w:val="left" w:pos="157"/>
              </w:tabs>
              <w:spacing w:line="157" w:lineRule="exact"/>
              <w:rPr>
                <w:sz w:val="14"/>
              </w:rPr>
            </w:pPr>
            <w:r>
              <w:rPr>
                <w:color w:val="231F20"/>
                <w:sz w:val="14"/>
              </w:rPr>
              <w:t>Стицање знања</w:t>
            </w:r>
            <w:r>
              <w:rPr>
                <w:color w:val="231F20"/>
                <w:spacing w:val="-3"/>
                <w:sz w:val="14"/>
              </w:rPr>
              <w:t xml:space="preserve"> </w:t>
            </w:r>
            <w:r>
              <w:rPr>
                <w:color w:val="231F20"/>
                <w:sz w:val="14"/>
              </w:rPr>
              <w:t>о</w:t>
            </w:r>
          </w:p>
          <w:p w:rsidR="00041039" w:rsidRDefault="001B26CB">
            <w:pPr>
              <w:pStyle w:val="TableParagraph"/>
              <w:ind w:right="15"/>
              <w:rPr>
                <w:sz w:val="14"/>
              </w:rPr>
            </w:pPr>
            <w:r>
              <w:rPr>
                <w:color w:val="231F20"/>
                <w:sz w:val="14"/>
              </w:rPr>
              <w:t>природној и вештачкој радиоактивности, примени зрачења и мерама заштите.</w:t>
            </w:r>
          </w:p>
        </w:tc>
        <w:tc>
          <w:tcPr>
            <w:tcW w:w="2551" w:type="dxa"/>
          </w:tcPr>
          <w:p w:rsidR="00041039" w:rsidRDefault="001B26CB">
            <w:pPr>
              <w:pStyle w:val="TableParagraph"/>
              <w:numPr>
                <w:ilvl w:val="0"/>
                <w:numId w:val="60"/>
              </w:numPr>
              <w:tabs>
                <w:tab w:val="left" w:pos="157"/>
              </w:tabs>
              <w:spacing w:before="9"/>
              <w:ind w:right="300" w:hanging="99"/>
              <w:rPr>
                <w:sz w:val="14"/>
              </w:rPr>
            </w:pPr>
            <w:r>
              <w:rPr>
                <w:color w:val="231F20"/>
                <w:sz w:val="14"/>
              </w:rPr>
              <w:t>објасни модел и структуру језгра</w:t>
            </w:r>
            <w:r>
              <w:rPr>
                <w:color w:val="231F20"/>
                <w:spacing w:val="-16"/>
                <w:sz w:val="14"/>
              </w:rPr>
              <w:t xml:space="preserve"> </w:t>
            </w:r>
            <w:r>
              <w:rPr>
                <w:color w:val="231F20"/>
                <w:sz w:val="14"/>
              </w:rPr>
              <w:t>и својства нуклеарних</w:t>
            </w:r>
            <w:r>
              <w:rPr>
                <w:color w:val="231F20"/>
                <w:spacing w:val="-1"/>
                <w:sz w:val="14"/>
              </w:rPr>
              <w:t xml:space="preserve"> </w:t>
            </w:r>
            <w:r>
              <w:rPr>
                <w:color w:val="231F20"/>
                <w:sz w:val="14"/>
              </w:rPr>
              <w:t>сила;</w:t>
            </w:r>
          </w:p>
          <w:p w:rsidR="00041039" w:rsidRDefault="001B26CB">
            <w:pPr>
              <w:pStyle w:val="TableParagraph"/>
              <w:numPr>
                <w:ilvl w:val="0"/>
                <w:numId w:val="60"/>
              </w:numPr>
              <w:tabs>
                <w:tab w:val="left" w:pos="157"/>
              </w:tabs>
              <w:spacing w:before="1" w:line="160" w:lineRule="exact"/>
              <w:ind w:right="298" w:hanging="99"/>
              <w:rPr>
                <w:sz w:val="14"/>
              </w:rPr>
            </w:pPr>
            <w:r>
              <w:rPr>
                <w:color w:val="231F20"/>
                <w:sz w:val="14"/>
              </w:rPr>
              <w:t>разуме примену и опасности при­ родног и вештачког</w:t>
            </w:r>
            <w:r>
              <w:rPr>
                <w:color w:val="231F20"/>
                <w:spacing w:val="-25"/>
                <w:sz w:val="14"/>
              </w:rPr>
              <w:t xml:space="preserve"> </w:t>
            </w:r>
            <w:r>
              <w:rPr>
                <w:color w:val="231F20"/>
                <w:sz w:val="14"/>
              </w:rPr>
              <w:t>радиоактивног зрачења;</w:t>
            </w:r>
          </w:p>
          <w:p w:rsidR="00041039" w:rsidRDefault="001B26CB">
            <w:pPr>
              <w:pStyle w:val="TableParagraph"/>
              <w:numPr>
                <w:ilvl w:val="0"/>
                <w:numId w:val="60"/>
              </w:numPr>
              <w:tabs>
                <w:tab w:val="left" w:pos="157"/>
              </w:tabs>
              <w:spacing w:line="160" w:lineRule="exact"/>
              <w:ind w:right="153" w:hanging="99"/>
              <w:rPr>
                <w:sz w:val="14"/>
              </w:rPr>
            </w:pPr>
            <w:r>
              <w:rPr>
                <w:color w:val="231F20"/>
                <w:sz w:val="14"/>
              </w:rPr>
              <w:t>објашњава интеракцију радиоакти­ вног зрачења са материјалима и</w:t>
            </w:r>
            <w:r>
              <w:rPr>
                <w:color w:val="231F20"/>
                <w:spacing w:val="-18"/>
                <w:sz w:val="14"/>
              </w:rPr>
              <w:t xml:space="preserve"> </w:t>
            </w:r>
            <w:r>
              <w:rPr>
                <w:color w:val="231F20"/>
                <w:sz w:val="14"/>
              </w:rPr>
              <w:t>мери интензитет</w:t>
            </w:r>
            <w:r>
              <w:rPr>
                <w:color w:val="231F20"/>
                <w:spacing w:val="-2"/>
                <w:sz w:val="14"/>
              </w:rPr>
              <w:t xml:space="preserve"> </w:t>
            </w:r>
            <w:r>
              <w:rPr>
                <w:color w:val="231F20"/>
                <w:sz w:val="14"/>
              </w:rPr>
              <w:t>зрачења;</w:t>
            </w:r>
          </w:p>
          <w:p w:rsidR="00041039" w:rsidRDefault="001B26CB">
            <w:pPr>
              <w:pStyle w:val="TableParagraph"/>
              <w:numPr>
                <w:ilvl w:val="0"/>
                <w:numId w:val="60"/>
              </w:numPr>
              <w:tabs>
                <w:tab w:val="left" w:pos="157"/>
              </w:tabs>
              <w:spacing w:line="160" w:lineRule="exact"/>
              <w:ind w:right="165" w:hanging="99"/>
              <w:rPr>
                <w:sz w:val="14"/>
              </w:rPr>
            </w:pPr>
            <w:r>
              <w:rPr>
                <w:color w:val="231F20"/>
                <w:sz w:val="14"/>
              </w:rPr>
              <w:t xml:space="preserve">придржава мера заштите </w:t>
            </w:r>
            <w:r>
              <w:rPr>
                <w:color w:val="231F20"/>
                <w:spacing w:val="-3"/>
                <w:sz w:val="14"/>
              </w:rPr>
              <w:t xml:space="preserve">од </w:t>
            </w:r>
            <w:r>
              <w:rPr>
                <w:color w:val="231F20"/>
                <w:sz w:val="14"/>
              </w:rPr>
              <w:t>радиоак­ тивног</w:t>
            </w:r>
            <w:r>
              <w:rPr>
                <w:color w:val="231F20"/>
                <w:spacing w:val="-1"/>
                <w:sz w:val="14"/>
              </w:rPr>
              <w:t xml:space="preserve"> </w:t>
            </w:r>
            <w:r>
              <w:rPr>
                <w:color w:val="231F20"/>
                <w:sz w:val="14"/>
              </w:rPr>
              <w:t>зрачења;</w:t>
            </w:r>
          </w:p>
          <w:p w:rsidR="00041039" w:rsidRDefault="001B26CB">
            <w:pPr>
              <w:pStyle w:val="TableParagraph"/>
              <w:numPr>
                <w:ilvl w:val="0"/>
                <w:numId w:val="60"/>
              </w:numPr>
              <w:tabs>
                <w:tab w:val="left" w:pos="157"/>
              </w:tabs>
              <w:spacing w:line="160" w:lineRule="exact"/>
              <w:ind w:right="167" w:hanging="99"/>
              <w:jc w:val="both"/>
              <w:rPr>
                <w:sz w:val="14"/>
              </w:rPr>
            </w:pPr>
            <w:r>
              <w:rPr>
                <w:color w:val="231F20"/>
                <w:sz w:val="14"/>
              </w:rPr>
              <w:t>наводи и објашњава добијање и при­ мену изотопа (енергетика,</w:t>
            </w:r>
            <w:r>
              <w:rPr>
                <w:color w:val="231F20"/>
                <w:spacing w:val="-13"/>
                <w:sz w:val="14"/>
              </w:rPr>
              <w:t xml:space="preserve"> </w:t>
            </w:r>
            <w:r>
              <w:rPr>
                <w:color w:val="231F20"/>
                <w:sz w:val="14"/>
              </w:rPr>
              <w:t>медицина, археологија,</w:t>
            </w:r>
            <w:r>
              <w:rPr>
                <w:color w:val="231F20"/>
                <w:spacing w:val="-2"/>
                <w:sz w:val="14"/>
              </w:rPr>
              <w:t xml:space="preserve"> </w:t>
            </w:r>
            <w:r>
              <w:rPr>
                <w:color w:val="231F20"/>
                <w:sz w:val="14"/>
              </w:rPr>
              <w:t>форензика...);</w:t>
            </w:r>
          </w:p>
          <w:p w:rsidR="00041039" w:rsidRDefault="001B26CB">
            <w:pPr>
              <w:pStyle w:val="TableParagraph"/>
              <w:numPr>
                <w:ilvl w:val="0"/>
                <w:numId w:val="60"/>
              </w:numPr>
              <w:tabs>
                <w:tab w:val="left" w:pos="157"/>
              </w:tabs>
              <w:spacing w:line="160" w:lineRule="exact"/>
              <w:ind w:right="103" w:hanging="99"/>
              <w:jc w:val="both"/>
              <w:rPr>
                <w:sz w:val="14"/>
              </w:rPr>
            </w:pPr>
            <w:r>
              <w:rPr>
                <w:color w:val="231F20"/>
                <w:sz w:val="14"/>
              </w:rPr>
              <w:t xml:space="preserve">изведе лабораторијску </w:t>
            </w:r>
            <w:r>
              <w:rPr>
                <w:color w:val="231F20"/>
                <w:spacing w:val="-4"/>
                <w:sz w:val="14"/>
              </w:rPr>
              <w:t xml:space="preserve">вежбу, </w:t>
            </w:r>
            <w:r>
              <w:rPr>
                <w:color w:val="231F20"/>
                <w:sz w:val="14"/>
              </w:rPr>
              <w:t>правил­ но и безбедно рукује наставним сред­ ствима, изврши потребне прорачуне</w:t>
            </w:r>
            <w:r>
              <w:rPr>
                <w:color w:val="231F20"/>
                <w:spacing w:val="-18"/>
                <w:sz w:val="14"/>
              </w:rPr>
              <w:t xml:space="preserve"> </w:t>
            </w:r>
            <w:r>
              <w:rPr>
                <w:color w:val="231F20"/>
                <w:sz w:val="14"/>
              </w:rPr>
              <w:t>и израчуна грешке при</w:t>
            </w:r>
            <w:r>
              <w:rPr>
                <w:color w:val="231F20"/>
                <w:spacing w:val="-5"/>
                <w:sz w:val="14"/>
              </w:rPr>
              <w:t xml:space="preserve"> </w:t>
            </w:r>
            <w:r>
              <w:rPr>
                <w:color w:val="231F20"/>
                <w:sz w:val="14"/>
              </w:rPr>
              <w:t>мерењу;</w:t>
            </w:r>
          </w:p>
        </w:tc>
        <w:tc>
          <w:tcPr>
            <w:tcW w:w="2834" w:type="dxa"/>
          </w:tcPr>
          <w:p w:rsidR="00041039" w:rsidRDefault="001B26CB">
            <w:pPr>
              <w:pStyle w:val="TableParagraph"/>
              <w:numPr>
                <w:ilvl w:val="0"/>
                <w:numId w:val="59"/>
              </w:numPr>
              <w:tabs>
                <w:tab w:val="left" w:pos="158"/>
              </w:tabs>
              <w:spacing w:before="10"/>
              <w:ind w:right="229"/>
              <w:rPr>
                <w:sz w:val="14"/>
              </w:rPr>
            </w:pPr>
            <w:r>
              <w:rPr>
                <w:color w:val="231F20"/>
                <w:sz w:val="14"/>
              </w:rPr>
              <w:t>Структура језгра. К</w:t>
            </w:r>
            <w:r>
              <w:rPr>
                <w:color w:val="231F20"/>
                <w:sz w:val="14"/>
              </w:rPr>
              <w:t>арактеристике</w:t>
            </w:r>
            <w:r>
              <w:rPr>
                <w:color w:val="231F20"/>
                <w:spacing w:val="-21"/>
                <w:sz w:val="14"/>
              </w:rPr>
              <w:t xml:space="preserve"> </w:t>
            </w:r>
            <w:r>
              <w:rPr>
                <w:color w:val="231F20"/>
                <w:sz w:val="14"/>
              </w:rPr>
              <w:t>језгра. Дефект масе и енергија везе. Нуклеарне силе. Модели</w:t>
            </w:r>
            <w:r>
              <w:rPr>
                <w:color w:val="231F20"/>
                <w:spacing w:val="-1"/>
                <w:sz w:val="14"/>
              </w:rPr>
              <w:t xml:space="preserve"> </w:t>
            </w:r>
            <w:r>
              <w:rPr>
                <w:color w:val="231F20"/>
                <w:sz w:val="14"/>
              </w:rPr>
              <w:t>језгра.</w:t>
            </w:r>
          </w:p>
          <w:p w:rsidR="00041039" w:rsidRDefault="001B26CB">
            <w:pPr>
              <w:pStyle w:val="TableParagraph"/>
              <w:numPr>
                <w:ilvl w:val="0"/>
                <w:numId w:val="59"/>
              </w:numPr>
              <w:tabs>
                <w:tab w:val="left" w:pos="158"/>
              </w:tabs>
              <w:spacing w:line="157" w:lineRule="exact"/>
              <w:rPr>
                <w:sz w:val="14"/>
              </w:rPr>
            </w:pPr>
            <w:r>
              <w:rPr>
                <w:color w:val="231F20"/>
                <w:sz w:val="14"/>
              </w:rPr>
              <w:t>Природна радиоактивност. Алфа, бета</w:t>
            </w:r>
            <w:r>
              <w:rPr>
                <w:color w:val="231F20"/>
                <w:spacing w:val="-9"/>
                <w:sz w:val="14"/>
              </w:rPr>
              <w:t xml:space="preserve"> </w:t>
            </w:r>
            <w:r>
              <w:rPr>
                <w:color w:val="231F20"/>
                <w:sz w:val="14"/>
              </w:rPr>
              <w:t>и</w:t>
            </w:r>
          </w:p>
          <w:p w:rsidR="00041039" w:rsidRDefault="001B26CB">
            <w:pPr>
              <w:pStyle w:val="TableParagraph"/>
              <w:spacing w:line="155" w:lineRule="exact"/>
              <w:ind w:left="157"/>
              <w:rPr>
                <w:sz w:val="14"/>
              </w:rPr>
            </w:pPr>
            <w:r>
              <w:rPr>
                <w:color w:val="231F20"/>
                <w:sz w:val="14"/>
              </w:rPr>
              <w:t>гама распад.</w:t>
            </w:r>
          </w:p>
          <w:p w:rsidR="00041039" w:rsidRDefault="001B26CB">
            <w:pPr>
              <w:pStyle w:val="TableParagraph"/>
              <w:numPr>
                <w:ilvl w:val="0"/>
                <w:numId w:val="59"/>
              </w:numPr>
              <w:tabs>
                <w:tab w:val="left" w:pos="158"/>
              </w:tabs>
              <w:spacing w:line="237" w:lineRule="auto"/>
              <w:ind w:right="199"/>
              <w:rPr>
                <w:sz w:val="14"/>
              </w:rPr>
            </w:pPr>
            <w:r>
              <w:rPr>
                <w:color w:val="231F20"/>
                <w:sz w:val="14"/>
              </w:rPr>
              <w:t>Закон радиоактивног распада.</w:t>
            </w:r>
            <w:r>
              <w:rPr>
                <w:color w:val="231F20"/>
                <w:spacing w:val="-14"/>
                <w:sz w:val="14"/>
              </w:rPr>
              <w:t xml:space="preserve"> </w:t>
            </w:r>
            <w:r>
              <w:rPr>
                <w:color w:val="231F20"/>
                <w:sz w:val="14"/>
              </w:rPr>
              <w:t>Активност радиоактивног</w:t>
            </w:r>
            <w:r>
              <w:rPr>
                <w:color w:val="231F20"/>
                <w:spacing w:val="-1"/>
                <w:sz w:val="14"/>
              </w:rPr>
              <w:t xml:space="preserve"> </w:t>
            </w:r>
            <w:r>
              <w:rPr>
                <w:color w:val="231F20"/>
                <w:sz w:val="14"/>
              </w:rPr>
              <w:t>извора.</w:t>
            </w:r>
          </w:p>
          <w:p w:rsidR="00041039" w:rsidRDefault="001B26CB">
            <w:pPr>
              <w:pStyle w:val="TableParagraph"/>
              <w:numPr>
                <w:ilvl w:val="0"/>
                <w:numId w:val="59"/>
              </w:numPr>
              <w:tabs>
                <w:tab w:val="left" w:pos="158"/>
              </w:tabs>
              <w:spacing w:line="160" w:lineRule="exact"/>
              <w:ind w:right="417"/>
              <w:rPr>
                <w:sz w:val="14"/>
              </w:rPr>
            </w:pPr>
            <w:r>
              <w:rPr>
                <w:color w:val="231F20"/>
                <w:sz w:val="14"/>
              </w:rPr>
              <w:t>Радиоактивни низови и</w:t>
            </w:r>
            <w:r>
              <w:rPr>
                <w:color w:val="231F20"/>
                <w:spacing w:val="-20"/>
                <w:sz w:val="14"/>
              </w:rPr>
              <w:t xml:space="preserve"> </w:t>
            </w:r>
            <w:r>
              <w:rPr>
                <w:color w:val="231F20"/>
                <w:sz w:val="14"/>
              </w:rPr>
              <w:t>радиоактивна равнотежа</w:t>
            </w:r>
          </w:p>
          <w:p w:rsidR="00041039" w:rsidRDefault="001B26CB">
            <w:pPr>
              <w:pStyle w:val="TableParagraph"/>
              <w:numPr>
                <w:ilvl w:val="0"/>
                <w:numId w:val="59"/>
              </w:numPr>
              <w:tabs>
                <w:tab w:val="left" w:pos="158"/>
              </w:tabs>
              <w:spacing w:line="160" w:lineRule="exact"/>
              <w:ind w:right="472"/>
              <w:jc w:val="both"/>
              <w:rPr>
                <w:sz w:val="14"/>
              </w:rPr>
            </w:pPr>
            <w:r>
              <w:rPr>
                <w:color w:val="231F20"/>
                <w:sz w:val="14"/>
              </w:rPr>
              <w:t>Интеракција радиоактивног зрачења са супстанцијом. Детекција</w:t>
            </w:r>
            <w:r>
              <w:rPr>
                <w:color w:val="231F20"/>
                <w:spacing w:val="-10"/>
                <w:sz w:val="14"/>
              </w:rPr>
              <w:t xml:space="preserve"> </w:t>
            </w:r>
            <w:r>
              <w:rPr>
                <w:color w:val="231F20"/>
                <w:sz w:val="14"/>
              </w:rPr>
              <w:t xml:space="preserve">зрачења. Дозиметрија и заштита </w:t>
            </w:r>
            <w:r>
              <w:rPr>
                <w:color w:val="231F20"/>
                <w:spacing w:val="-3"/>
                <w:sz w:val="14"/>
              </w:rPr>
              <w:t>од</w:t>
            </w:r>
            <w:r>
              <w:rPr>
                <w:color w:val="231F20"/>
                <w:spacing w:val="-9"/>
                <w:sz w:val="14"/>
              </w:rPr>
              <w:t xml:space="preserve"> </w:t>
            </w:r>
            <w:r>
              <w:rPr>
                <w:color w:val="231F20"/>
                <w:sz w:val="14"/>
              </w:rPr>
              <w:t>зрачења</w:t>
            </w:r>
          </w:p>
          <w:p w:rsidR="00041039" w:rsidRDefault="001B26CB">
            <w:pPr>
              <w:pStyle w:val="TableParagraph"/>
              <w:numPr>
                <w:ilvl w:val="0"/>
                <w:numId w:val="59"/>
              </w:numPr>
              <w:tabs>
                <w:tab w:val="left" w:pos="158"/>
              </w:tabs>
              <w:spacing w:line="160" w:lineRule="exact"/>
              <w:ind w:right="108"/>
              <w:rPr>
                <w:sz w:val="14"/>
              </w:rPr>
            </w:pPr>
            <w:r>
              <w:rPr>
                <w:color w:val="231F20"/>
                <w:sz w:val="14"/>
              </w:rPr>
              <w:t>Вештачка радиоактивност. Општа</w:t>
            </w:r>
            <w:r>
              <w:rPr>
                <w:color w:val="231F20"/>
                <w:spacing w:val="-21"/>
                <w:sz w:val="14"/>
              </w:rPr>
              <w:t xml:space="preserve"> </w:t>
            </w:r>
            <w:r>
              <w:rPr>
                <w:color w:val="231F20"/>
                <w:sz w:val="14"/>
              </w:rPr>
              <w:t xml:space="preserve">својства нуклеарних реакција. Примери реакција (откриће протона и неутрона, интеракције неутрона са језгром, трансурански </w:t>
            </w:r>
            <w:r>
              <w:rPr>
                <w:color w:val="231F20"/>
                <w:sz w:val="14"/>
              </w:rPr>
              <w:t>еле­ менти).</w:t>
            </w:r>
          </w:p>
          <w:p w:rsidR="00041039" w:rsidRDefault="001B26CB">
            <w:pPr>
              <w:pStyle w:val="TableParagraph"/>
              <w:numPr>
                <w:ilvl w:val="0"/>
                <w:numId w:val="59"/>
              </w:numPr>
              <w:tabs>
                <w:tab w:val="left" w:pos="158"/>
              </w:tabs>
              <w:spacing w:line="153" w:lineRule="exact"/>
              <w:rPr>
                <w:sz w:val="14"/>
              </w:rPr>
            </w:pPr>
            <w:r>
              <w:rPr>
                <w:color w:val="231F20"/>
                <w:sz w:val="14"/>
              </w:rPr>
              <w:t>Акцелератори</w:t>
            </w:r>
            <w:r>
              <w:rPr>
                <w:color w:val="231F20"/>
                <w:spacing w:val="-10"/>
                <w:sz w:val="14"/>
              </w:rPr>
              <w:t xml:space="preserve"> </w:t>
            </w:r>
            <w:r>
              <w:rPr>
                <w:color w:val="231F20"/>
                <w:sz w:val="14"/>
              </w:rPr>
              <w:t>честица.</w:t>
            </w:r>
          </w:p>
          <w:p w:rsidR="00041039" w:rsidRDefault="001B26CB">
            <w:pPr>
              <w:pStyle w:val="TableParagraph"/>
              <w:numPr>
                <w:ilvl w:val="0"/>
                <w:numId w:val="59"/>
              </w:numPr>
              <w:tabs>
                <w:tab w:val="left" w:pos="158"/>
              </w:tabs>
              <w:spacing w:line="237" w:lineRule="auto"/>
              <w:ind w:right="118"/>
              <w:rPr>
                <w:sz w:val="14"/>
              </w:rPr>
            </w:pPr>
            <w:r>
              <w:rPr>
                <w:color w:val="231F20"/>
                <w:sz w:val="14"/>
              </w:rPr>
              <w:t>Нуклеарна енергетика. Фисија.</w:t>
            </w:r>
            <w:r>
              <w:rPr>
                <w:color w:val="231F20"/>
                <w:spacing w:val="-16"/>
                <w:sz w:val="14"/>
              </w:rPr>
              <w:t xml:space="preserve"> </w:t>
            </w:r>
            <w:r>
              <w:rPr>
                <w:color w:val="231F20"/>
                <w:sz w:val="14"/>
              </w:rPr>
              <w:t>Нуклеарни реактори.</w:t>
            </w:r>
          </w:p>
          <w:p w:rsidR="00041039" w:rsidRDefault="001B26CB">
            <w:pPr>
              <w:pStyle w:val="TableParagraph"/>
              <w:numPr>
                <w:ilvl w:val="0"/>
                <w:numId w:val="59"/>
              </w:numPr>
              <w:tabs>
                <w:tab w:val="left" w:pos="158"/>
              </w:tabs>
              <w:spacing w:line="160" w:lineRule="exact"/>
              <w:ind w:right="80"/>
              <w:rPr>
                <w:sz w:val="14"/>
              </w:rPr>
            </w:pPr>
            <w:r>
              <w:rPr>
                <w:color w:val="231F20"/>
                <w:sz w:val="14"/>
              </w:rPr>
              <w:t>Реакције фузије на звездама.</w:t>
            </w:r>
            <w:r>
              <w:rPr>
                <w:color w:val="231F20"/>
                <w:spacing w:val="-18"/>
                <w:sz w:val="14"/>
              </w:rPr>
              <w:t xml:space="preserve"> </w:t>
            </w:r>
            <w:r>
              <w:rPr>
                <w:color w:val="231F20"/>
                <w:sz w:val="14"/>
              </w:rPr>
              <w:t>Конфинирање плазме.</w:t>
            </w:r>
          </w:p>
          <w:p w:rsidR="00041039" w:rsidRDefault="001B26CB">
            <w:pPr>
              <w:pStyle w:val="TableParagraph"/>
              <w:numPr>
                <w:ilvl w:val="0"/>
                <w:numId w:val="59"/>
              </w:numPr>
              <w:tabs>
                <w:tab w:val="left" w:pos="158"/>
              </w:tabs>
              <w:spacing w:line="158" w:lineRule="exact"/>
              <w:rPr>
                <w:sz w:val="14"/>
              </w:rPr>
            </w:pPr>
            <w:r>
              <w:rPr>
                <w:color w:val="231F20"/>
                <w:sz w:val="14"/>
              </w:rPr>
              <w:t>Нуклеарне и термонуклеарне</w:t>
            </w:r>
            <w:r>
              <w:rPr>
                <w:color w:val="231F20"/>
                <w:spacing w:val="-3"/>
                <w:sz w:val="14"/>
              </w:rPr>
              <w:t xml:space="preserve"> </w:t>
            </w:r>
            <w:r>
              <w:rPr>
                <w:color w:val="231F20"/>
                <w:sz w:val="14"/>
              </w:rPr>
              <w:t>бомбе.</w:t>
            </w:r>
          </w:p>
          <w:p w:rsidR="00041039" w:rsidRDefault="001B26CB">
            <w:pPr>
              <w:pStyle w:val="TableParagraph"/>
              <w:spacing w:line="155" w:lineRule="exact"/>
              <w:ind w:left="57"/>
              <w:rPr>
                <w:b/>
                <w:sz w:val="14"/>
              </w:rPr>
            </w:pPr>
            <w:r>
              <w:rPr>
                <w:b/>
                <w:color w:val="231F20"/>
                <w:sz w:val="14"/>
              </w:rPr>
              <w:t>Демонстрациони оглед:</w:t>
            </w:r>
          </w:p>
          <w:p w:rsidR="00041039" w:rsidRDefault="001B26CB">
            <w:pPr>
              <w:pStyle w:val="TableParagraph"/>
              <w:numPr>
                <w:ilvl w:val="0"/>
                <w:numId w:val="59"/>
              </w:numPr>
              <w:tabs>
                <w:tab w:val="left" w:pos="158"/>
              </w:tabs>
              <w:spacing w:line="165" w:lineRule="exact"/>
              <w:rPr>
                <w:sz w:val="14"/>
              </w:rPr>
            </w:pPr>
            <w:r>
              <w:rPr>
                <w:color w:val="231F20"/>
                <w:sz w:val="14"/>
              </w:rPr>
              <w:t>Детекција радиоактивног</w:t>
            </w:r>
            <w:r>
              <w:rPr>
                <w:color w:val="231F20"/>
                <w:spacing w:val="-2"/>
                <w:sz w:val="14"/>
              </w:rPr>
              <w:t xml:space="preserve"> </w:t>
            </w:r>
            <w:r>
              <w:rPr>
                <w:color w:val="231F20"/>
                <w:sz w:val="14"/>
              </w:rPr>
              <w:t>зрачења.</w:t>
            </w:r>
          </w:p>
          <w:p w:rsidR="00041039" w:rsidRDefault="001B26CB">
            <w:pPr>
              <w:pStyle w:val="TableParagraph"/>
              <w:spacing w:line="155" w:lineRule="exact"/>
              <w:ind w:left="57"/>
              <w:rPr>
                <w:b/>
                <w:sz w:val="14"/>
              </w:rPr>
            </w:pPr>
            <w:r>
              <w:rPr>
                <w:b/>
                <w:color w:val="231F20"/>
                <w:sz w:val="14"/>
              </w:rPr>
              <w:t>Лабораторијске вежбе:</w:t>
            </w:r>
          </w:p>
          <w:p w:rsidR="00041039" w:rsidRDefault="001B26CB">
            <w:pPr>
              <w:pStyle w:val="TableParagraph"/>
              <w:numPr>
                <w:ilvl w:val="0"/>
                <w:numId w:val="59"/>
              </w:numPr>
              <w:tabs>
                <w:tab w:val="left" w:pos="158"/>
              </w:tabs>
              <w:spacing w:line="160" w:lineRule="exact"/>
              <w:rPr>
                <w:sz w:val="14"/>
              </w:rPr>
            </w:pPr>
            <w:r>
              <w:rPr>
                <w:color w:val="231F20"/>
                <w:sz w:val="14"/>
              </w:rPr>
              <w:t>Мерење</w:t>
            </w:r>
            <w:r>
              <w:rPr>
                <w:color w:val="231F20"/>
                <w:spacing w:val="-1"/>
                <w:sz w:val="14"/>
              </w:rPr>
              <w:t xml:space="preserve"> </w:t>
            </w:r>
            <w:r>
              <w:rPr>
                <w:color w:val="231F20"/>
                <w:sz w:val="14"/>
              </w:rPr>
              <w:t>активности.</w:t>
            </w:r>
          </w:p>
          <w:p w:rsidR="00041039" w:rsidRDefault="001B26CB">
            <w:pPr>
              <w:pStyle w:val="TableParagraph"/>
              <w:numPr>
                <w:ilvl w:val="0"/>
                <w:numId w:val="59"/>
              </w:numPr>
              <w:tabs>
                <w:tab w:val="left" w:pos="158"/>
              </w:tabs>
              <w:spacing w:line="160" w:lineRule="exact"/>
              <w:rPr>
                <w:sz w:val="14"/>
              </w:rPr>
            </w:pPr>
            <w:r>
              <w:rPr>
                <w:color w:val="231F20"/>
                <w:sz w:val="14"/>
              </w:rPr>
              <w:t>Детекција радиоактивног</w:t>
            </w:r>
            <w:r>
              <w:rPr>
                <w:color w:val="231F20"/>
                <w:spacing w:val="-2"/>
                <w:sz w:val="14"/>
              </w:rPr>
              <w:t xml:space="preserve"> </w:t>
            </w:r>
            <w:r>
              <w:rPr>
                <w:color w:val="231F20"/>
                <w:sz w:val="14"/>
              </w:rPr>
              <w:t>зрачења.</w:t>
            </w:r>
          </w:p>
          <w:p w:rsidR="00041039" w:rsidRDefault="001B26CB">
            <w:pPr>
              <w:pStyle w:val="TableParagraph"/>
              <w:numPr>
                <w:ilvl w:val="0"/>
                <w:numId w:val="59"/>
              </w:numPr>
              <w:tabs>
                <w:tab w:val="left" w:pos="158"/>
              </w:tabs>
              <w:spacing w:before="3" w:line="160" w:lineRule="exact"/>
              <w:ind w:right="390"/>
              <w:rPr>
                <w:sz w:val="14"/>
              </w:rPr>
            </w:pPr>
            <w:r>
              <w:rPr>
                <w:color w:val="231F20"/>
                <w:sz w:val="14"/>
              </w:rPr>
              <w:t>Опадање интензитета гама зрачења</w:t>
            </w:r>
            <w:r>
              <w:rPr>
                <w:color w:val="231F20"/>
                <w:spacing w:val="-21"/>
                <w:sz w:val="14"/>
              </w:rPr>
              <w:t xml:space="preserve"> </w:t>
            </w:r>
            <w:r>
              <w:rPr>
                <w:color w:val="231F20"/>
                <w:sz w:val="14"/>
              </w:rPr>
              <w:t xml:space="preserve">са повећавањем удаљености </w:t>
            </w:r>
            <w:r>
              <w:rPr>
                <w:color w:val="231F20"/>
                <w:spacing w:val="-3"/>
                <w:sz w:val="14"/>
              </w:rPr>
              <w:t>од</w:t>
            </w:r>
            <w:r>
              <w:rPr>
                <w:color w:val="231F20"/>
                <w:spacing w:val="-7"/>
                <w:sz w:val="14"/>
              </w:rPr>
              <w:t xml:space="preserve"> </w:t>
            </w:r>
            <w:r>
              <w:rPr>
                <w:color w:val="231F20"/>
                <w:sz w:val="14"/>
              </w:rPr>
              <w:t>извора.</w:t>
            </w:r>
          </w:p>
        </w:tc>
        <w:tc>
          <w:tcPr>
            <w:tcW w:w="2267" w:type="dxa"/>
            <w:vMerge/>
            <w:tcBorders>
              <w:top w:val="nil"/>
            </w:tcBorders>
          </w:tcPr>
          <w:p w:rsidR="00041039" w:rsidRDefault="00041039">
            <w:pPr>
              <w:rPr>
                <w:sz w:val="2"/>
                <w:szCs w:val="2"/>
              </w:rPr>
            </w:pPr>
          </w:p>
        </w:tc>
      </w:tr>
      <w:tr w:rsidR="00041039">
        <w:trPr>
          <w:trHeight w:val="680"/>
        </w:trPr>
        <w:tc>
          <w:tcPr>
            <w:tcW w:w="1304" w:type="dxa"/>
          </w:tcPr>
          <w:p w:rsidR="00041039" w:rsidRDefault="001B26CB">
            <w:pPr>
              <w:pStyle w:val="TableParagraph"/>
              <w:spacing w:before="20"/>
              <w:ind w:left="57" w:right="76"/>
              <w:rPr>
                <w:sz w:val="14"/>
              </w:rPr>
            </w:pPr>
            <w:r>
              <w:rPr>
                <w:color w:val="231F20"/>
                <w:sz w:val="14"/>
              </w:rPr>
              <w:t>Физика елементар­ них честица</w:t>
            </w:r>
          </w:p>
        </w:tc>
        <w:tc>
          <w:tcPr>
            <w:tcW w:w="1587" w:type="dxa"/>
          </w:tcPr>
          <w:p w:rsidR="00041039" w:rsidRDefault="001B26CB">
            <w:pPr>
              <w:pStyle w:val="TableParagraph"/>
              <w:numPr>
                <w:ilvl w:val="0"/>
                <w:numId w:val="58"/>
              </w:numPr>
              <w:tabs>
                <w:tab w:val="left" w:pos="157"/>
              </w:tabs>
              <w:spacing w:before="10"/>
              <w:ind w:right="169" w:hanging="99"/>
              <w:rPr>
                <w:sz w:val="14"/>
              </w:rPr>
            </w:pPr>
            <w:r>
              <w:rPr>
                <w:color w:val="231F20"/>
                <w:sz w:val="14"/>
              </w:rPr>
              <w:t>Проширивање</w:t>
            </w:r>
            <w:r>
              <w:rPr>
                <w:color w:val="231F20"/>
                <w:spacing w:val="-10"/>
                <w:sz w:val="14"/>
              </w:rPr>
              <w:t xml:space="preserve"> </w:t>
            </w:r>
            <w:r>
              <w:rPr>
                <w:color w:val="231F20"/>
                <w:sz w:val="14"/>
              </w:rPr>
              <w:t>знања о елементарним честицама.</w:t>
            </w:r>
          </w:p>
        </w:tc>
        <w:tc>
          <w:tcPr>
            <w:tcW w:w="2551" w:type="dxa"/>
          </w:tcPr>
          <w:p w:rsidR="00041039" w:rsidRDefault="001B26CB">
            <w:pPr>
              <w:pStyle w:val="TableParagraph"/>
              <w:numPr>
                <w:ilvl w:val="0"/>
                <w:numId w:val="57"/>
              </w:numPr>
              <w:tabs>
                <w:tab w:val="left" w:pos="157"/>
              </w:tabs>
              <w:spacing w:before="11" w:line="237" w:lineRule="auto"/>
              <w:ind w:right="112" w:hanging="99"/>
              <w:rPr>
                <w:sz w:val="14"/>
              </w:rPr>
            </w:pPr>
            <w:r>
              <w:rPr>
                <w:color w:val="231F20"/>
                <w:sz w:val="14"/>
              </w:rPr>
              <w:t>Изврши класификацију елементарних честица и наведе основне каракте­ ристике и значај експеримената у ЦЕРН ­</w:t>
            </w:r>
            <w:r>
              <w:rPr>
                <w:color w:val="231F20"/>
                <w:spacing w:val="-1"/>
                <w:sz w:val="14"/>
              </w:rPr>
              <w:t xml:space="preserve"> </w:t>
            </w:r>
            <w:r>
              <w:rPr>
                <w:color w:val="231F20"/>
                <w:sz w:val="14"/>
              </w:rPr>
              <w:t>у;</w:t>
            </w:r>
          </w:p>
        </w:tc>
        <w:tc>
          <w:tcPr>
            <w:tcW w:w="2834" w:type="dxa"/>
          </w:tcPr>
          <w:p w:rsidR="00041039" w:rsidRDefault="001B26CB">
            <w:pPr>
              <w:pStyle w:val="TableParagraph"/>
              <w:numPr>
                <w:ilvl w:val="0"/>
                <w:numId w:val="56"/>
              </w:numPr>
              <w:tabs>
                <w:tab w:val="left" w:pos="158"/>
              </w:tabs>
              <w:spacing w:before="10"/>
              <w:ind w:right="345"/>
              <w:rPr>
                <w:sz w:val="14"/>
              </w:rPr>
            </w:pPr>
            <w:r>
              <w:rPr>
                <w:color w:val="231F20"/>
                <w:sz w:val="14"/>
              </w:rPr>
              <w:t>Класификација елементарних честица. Основне интеракције између честица. Честице и античестице.</w:t>
            </w:r>
            <w:r>
              <w:rPr>
                <w:color w:val="231F20"/>
                <w:spacing w:val="-3"/>
                <w:sz w:val="14"/>
              </w:rPr>
              <w:t xml:space="preserve"> </w:t>
            </w:r>
            <w:r>
              <w:rPr>
                <w:color w:val="231F20"/>
                <w:sz w:val="14"/>
              </w:rPr>
              <w:t>Кваркови.</w:t>
            </w:r>
          </w:p>
          <w:p w:rsidR="00041039" w:rsidRDefault="001B26CB">
            <w:pPr>
              <w:pStyle w:val="TableParagraph"/>
              <w:numPr>
                <w:ilvl w:val="0"/>
                <w:numId w:val="56"/>
              </w:numPr>
              <w:tabs>
                <w:tab w:val="left" w:pos="158"/>
              </w:tabs>
              <w:spacing w:line="157" w:lineRule="exact"/>
              <w:rPr>
                <w:sz w:val="14"/>
              </w:rPr>
            </w:pPr>
            <w:r>
              <w:rPr>
                <w:color w:val="231F20"/>
                <w:sz w:val="14"/>
              </w:rPr>
              <w:t>Космичко</w:t>
            </w:r>
            <w:r>
              <w:rPr>
                <w:color w:val="231F20"/>
                <w:spacing w:val="-1"/>
                <w:sz w:val="14"/>
              </w:rPr>
              <w:t xml:space="preserve"> </w:t>
            </w:r>
            <w:r>
              <w:rPr>
                <w:color w:val="231F20"/>
                <w:sz w:val="14"/>
              </w:rPr>
              <w:t>зрачење.</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Математика</w:t>
      </w:r>
    </w:p>
    <w:p w:rsidR="00041039" w:rsidRDefault="001B26CB">
      <w:pPr>
        <w:pStyle w:val="ListParagraph"/>
        <w:numPr>
          <w:ilvl w:val="0"/>
          <w:numId w:val="1"/>
        </w:numPr>
        <w:tabs>
          <w:tab w:val="left" w:pos="633"/>
        </w:tabs>
        <w:rPr>
          <w:sz w:val="18"/>
        </w:rPr>
      </w:pPr>
      <w:r>
        <w:rPr>
          <w:color w:val="231F20"/>
          <w:sz w:val="18"/>
        </w:rPr>
        <w:t>Опасне</w:t>
      </w:r>
      <w:r>
        <w:rPr>
          <w:color w:val="231F20"/>
          <w:spacing w:val="-2"/>
          <w:sz w:val="18"/>
        </w:rPr>
        <w:t xml:space="preserve"> </w:t>
      </w:r>
      <w:r>
        <w:rPr>
          <w:color w:val="231F20"/>
          <w:sz w:val="18"/>
        </w:rPr>
        <w:t>материје</w:t>
      </w:r>
    </w:p>
    <w:p w:rsidR="00041039" w:rsidRDefault="001B26CB">
      <w:pPr>
        <w:pStyle w:val="ListParagraph"/>
        <w:numPr>
          <w:ilvl w:val="0"/>
          <w:numId w:val="1"/>
        </w:numPr>
        <w:tabs>
          <w:tab w:val="left" w:pos="633"/>
        </w:tabs>
        <w:spacing w:line="203" w:lineRule="exact"/>
        <w:rPr>
          <w:sz w:val="18"/>
        </w:rPr>
      </w:pPr>
      <w:r>
        <w:rPr>
          <w:color w:val="231F20"/>
          <w:sz w:val="18"/>
        </w:rPr>
        <w:t>Електронски</w:t>
      </w:r>
      <w:r>
        <w:rPr>
          <w:color w:val="231F20"/>
          <w:spacing w:val="-1"/>
          <w:sz w:val="18"/>
        </w:rPr>
        <w:t xml:space="preserve"> </w:t>
      </w:r>
      <w:r>
        <w:rPr>
          <w:color w:val="231F20"/>
          <w:sz w:val="18"/>
        </w:rPr>
        <w:t>уређаји</w:t>
      </w:r>
    </w:p>
    <w:p w:rsidR="00041039" w:rsidRDefault="00041039">
      <w:pPr>
        <w:spacing w:line="203" w:lineRule="exact"/>
        <w:rPr>
          <w:sz w:val="18"/>
        </w:rPr>
        <w:sectPr w:rsidR="00041039">
          <w:pgSz w:w="11910" w:h="15710"/>
          <w:pgMar w:top="160" w:right="540" w:bottom="280" w:left="580" w:header="720" w:footer="720" w:gutter="0"/>
          <w:cols w:space="720"/>
        </w:sectPr>
      </w:pPr>
    </w:p>
    <w:p w:rsidR="00041039" w:rsidRDefault="001B26CB">
      <w:pPr>
        <w:tabs>
          <w:tab w:val="left" w:pos="1460"/>
        </w:tabs>
        <w:spacing w:before="69"/>
        <w:ind w:left="15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БИОЛОГИЈА </w:t>
      </w:r>
      <w:r>
        <w:rPr>
          <w:b/>
          <w:color w:val="231F20"/>
          <w:spacing w:val="-3"/>
          <w:sz w:val="14"/>
        </w:rPr>
        <w:t>(ОДАБРАНЕ</w:t>
      </w:r>
      <w:r>
        <w:rPr>
          <w:b/>
          <w:color w:val="231F20"/>
          <w:spacing w:val="-1"/>
          <w:sz w:val="14"/>
        </w:rPr>
        <w:t xml:space="preserve"> </w:t>
      </w:r>
      <w:r>
        <w:rPr>
          <w:b/>
          <w:color w:val="231F20"/>
          <w:sz w:val="14"/>
        </w:rPr>
        <w:t>ТЕМЕ)</w:t>
      </w:r>
    </w:p>
    <w:p w:rsidR="00041039" w:rsidRDefault="001B26CB">
      <w:pPr>
        <w:pStyle w:val="BodyText"/>
        <w:spacing w:before="49" w:line="161" w:lineRule="exact"/>
        <w:ind w:left="157"/>
      </w:pPr>
      <w:r>
        <w:rPr>
          <w:color w:val="231F20"/>
        </w:rPr>
        <w:t>Циљеви предмета: – Проширивање знања о нивоима организације биолошких система, грађи и функцији ћелије, току и значају ћелијских деоба;</w:t>
      </w:r>
    </w:p>
    <w:p w:rsidR="00041039" w:rsidRDefault="001B26CB">
      <w:pPr>
        <w:pStyle w:val="ListParagraph"/>
        <w:numPr>
          <w:ilvl w:val="1"/>
          <w:numId w:val="1"/>
        </w:numPr>
        <w:tabs>
          <w:tab w:val="left" w:pos="1566"/>
        </w:tabs>
        <w:spacing w:line="160" w:lineRule="exact"/>
        <w:rPr>
          <w:sz w:val="14"/>
        </w:rPr>
      </w:pPr>
      <w:r>
        <w:rPr>
          <w:color w:val="231F20"/>
          <w:sz w:val="14"/>
        </w:rPr>
        <w:t xml:space="preserve">Разумевање физиолошких процеса у </w:t>
      </w:r>
      <w:r>
        <w:rPr>
          <w:color w:val="231F20"/>
          <w:spacing w:val="-3"/>
          <w:sz w:val="14"/>
        </w:rPr>
        <w:t>људском</w:t>
      </w:r>
      <w:r>
        <w:rPr>
          <w:color w:val="231F20"/>
          <w:spacing w:val="-2"/>
          <w:sz w:val="14"/>
        </w:rPr>
        <w:t xml:space="preserve"> </w:t>
      </w:r>
      <w:r>
        <w:rPr>
          <w:color w:val="231F20"/>
          <w:sz w:val="14"/>
        </w:rPr>
        <w:t>организму;</w:t>
      </w:r>
    </w:p>
    <w:p w:rsidR="00041039" w:rsidRDefault="001B26CB">
      <w:pPr>
        <w:pStyle w:val="ListParagraph"/>
        <w:numPr>
          <w:ilvl w:val="1"/>
          <w:numId w:val="1"/>
        </w:numPr>
        <w:tabs>
          <w:tab w:val="left" w:pos="1566"/>
        </w:tabs>
        <w:spacing w:line="160" w:lineRule="exact"/>
        <w:rPr>
          <w:sz w:val="14"/>
        </w:rPr>
      </w:pPr>
      <w:r>
        <w:rPr>
          <w:color w:val="231F20"/>
          <w:sz w:val="14"/>
        </w:rPr>
        <w:t>Упознавање са основним фазама развића</w:t>
      </w:r>
      <w:r>
        <w:rPr>
          <w:color w:val="231F20"/>
          <w:spacing w:val="-1"/>
          <w:sz w:val="14"/>
        </w:rPr>
        <w:t xml:space="preserve"> </w:t>
      </w:r>
      <w:r>
        <w:rPr>
          <w:color w:val="231F20"/>
          <w:sz w:val="14"/>
        </w:rPr>
        <w:t>човека;</w:t>
      </w:r>
    </w:p>
    <w:p w:rsidR="00041039" w:rsidRDefault="001B26CB">
      <w:pPr>
        <w:pStyle w:val="ListParagraph"/>
        <w:numPr>
          <w:ilvl w:val="1"/>
          <w:numId w:val="1"/>
        </w:numPr>
        <w:tabs>
          <w:tab w:val="left" w:pos="1566"/>
        </w:tabs>
        <w:spacing w:line="160" w:lineRule="exact"/>
        <w:rPr>
          <w:sz w:val="14"/>
        </w:rPr>
      </w:pPr>
      <w:r>
        <w:rPr>
          <w:color w:val="231F20"/>
          <w:sz w:val="14"/>
        </w:rPr>
        <w:t>Разумевање основних пр</w:t>
      </w:r>
      <w:r>
        <w:rPr>
          <w:color w:val="231F20"/>
          <w:sz w:val="14"/>
        </w:rPr>
        <w:t>инципа наслеђивања</w:t>
      </w:r>
      <w:r>
        <w:rPr>
          <w:color w:val="231F20"/>
          <w:spacing w:val="-2"/>
          <w:sz w:val="14"/>
        </w:rPr>
        <w:t xml:space="preserve"> </w:t>
      </w:r>
      <w:r>
        <w:rPr>
          <w:color w:val="231F20"/>
          <w:sz w:val="14"/>
        </w:rPr>
        <w:t>особина;</w:t>
      </w:r>
    </w:p>
    <w:p w:rsidR="00041039" w:rsidRDefault="001B26CB">
      <w:pPr>
        <w:pStyle w:val="ListParagraph"/>
        <w:numPr>
          <w:ilvl w:val="1"/>
          <w:numId w:val="1"/>
        </w:numPr>
        <w:tabs>
          <w:tab w:val="left" w:pos="1566"/>
        </w:tabs>
        <w:spacing w:line="161" w:lineRule="exact"/>
        <w:rPr>
          <w:sz w:val="14"/>
        </w:rPr>
      </w:pPr>
      <w:r>
        <w:rPr>
          <w:color w:val="231F20"/>
          <w:sz w:val="14"/>
        </w:rPr>
        <w:t xml:space="preserve">Разумевање проблема везаних за период одрастања и облике ризичног понашања и схватање </w:t>
      </w:r>
      <w:r>
        <w:rPr>
          <w:color w:val="231F20"/>
          <w:spacing w:val="-3"/>
          <w:sz w:val="14"/>
        </w:rPr>
        <w:t xml:space="preserve">улоге </w:t>
      </w:r>
      <w:r>
        <w:rPr>
          <w:color w:val="231F20"/>
          <w:sz w:val="14"/>
        </w:rPr>
        <w:t>и значаја</w:t>
      </w:r>
      <w:r>
        <w:rPr>
          <w:color w:val="231F20"/>
          <w:spacing w:val="-17"/>
          <w:sz w:val="14"/>
        </w:rPr>
        <w:t xml:space="preserve"> </w:t>
      </w:r>
      <w:r>
        <w:rPr>
          <w:color w:val="231F20"/>
          <w:sz w:val="14"/>
        </w:rPr>
        <w:t>породице.</w:t>
      </w:r>
    </w:p>
    <w:p w:rsidR="00041039" w:rsidRDefault="001B26CB">
      <w:pPr>
        <w:tabs>
          <w:tab w:val="left" w:pos="1460"/>
        </w:tabs>
        <w:spacing w:before="50"/>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3560"/>
        </w:trPr>
        <w:tc>
          <w:tcPr>
            <w:tcW w:w="1304" w:type="dxa"/>
          </w:tcPr>
          <w:p w:rsidR="00041039" w:rsidRDefault="001B26CB">
            <w:pPr>
              <w:pStyle w:val="TableParagraph"/>
              <w:spacing w:before="18"/>
              <w:ind w:left="56"/>
              <w:rPr>
                <w:sz w:val="14"/>
              </w:rPr>
            </w:pPr>
            <w:r>
              <w:rPr>
                <w:color w:val="231F20"/>
                <w:sz w:val="14"/>
              </w:rPr>
              <w:t>Биологија ћелије</w:t>
            </w:r>
          </w:p>
        </w:tc>
        <w:tc>
          <w:tcPr>
            <w:tcW w:w="1587" w:type="dxa"/>
          </w:tcPr>
          <w:p w:rsidR="00041039" w:rsidRDefault="001B26CB">
            <w:pPr>
              <w:pStyle w:val="TableParagraph"/>
              <w:numPr>
                <w:ilvl w:val="0"/>
                <w:numId w:val="55"/>
              </w:numPr>
              <w:tabs>
                <w:tab w:val="left" w:pos="157"/>
              </w:tabs>
              <w:spacing w:before="8"/>
              <w:ind w:right="92"/>
              <w:rPr>
                <w:sz w:val="14"/>
              </w:rPr>
            </w:pPr>
            <w:r>
              <w:rPr>
                <w:color w:val="231F20"/>
                <w:sz w:val="14"/>
              </w:rPr>
              <w:t>Упознавање са предметом и значајем цитологије као</w:t>
            </w:r>
            <w:r>
              <w:rPr>
                <w:color w:val="231F20"/>
                <w:spacing w:val="-21"/>
                <w:sz w:val="14"/>
              </w:rPr>
              <w:t xml:space="preserve"> </w:t>
            </w:r>
            <w:r>
              <w:rPr>
                <w:color w:val="231F20"/>
                <w:sz w:val="14"/>
              </w:rPr>
              <w:t>научне дисциплине.</w:t>
            </w:r>
          </w:p>
          <w:p w:rsidR="00041039" w:rsidRDefault="001B26CB">
            <w:pPr>
              <w:pStyle w:val="TableParagraph"/>
              <w:numPr>
                <w:ilvl w:val="0"/>
                <w:numId w:val="55"/>
              </w:numPr>
              <w:tabs>
                <w:tab w:val="left" w:pos="157"/>
              </w:tabs>
              <w:spacing w:line="156" w:lineRule="exact"/>
              <w:rPr>
                <w:sz w:val="14"/>
              </w:rPr>
            </w:pPr>
            <w:r>
              <w:rPr>
                <w:color w:val="231F20"/>
                <w:sz w:val="14"/>
              </w:rPr>
              <w:t>Проширивање знања</w:t>
            </w:r>
            <w:r>
              <w:rPr>
                <w:color w:val="231F20"/>
                <w:spacing w:val="-8"/>
                <w:sz w:val="14"/>
              </w:rPr>
              <w:t xml:space="preserve"> </w:t>
            </w:r>
            <w:r>
              <w:rPr>
                <w:color w:val="231F20"/>
                <w:sz w:val="14"/>
              </w:rPr>
              <w:t>о</w:t>
            </w:r>
          </w:p>
          <w:p w:rsidR="00041039" w:rsidRDefault="001B26CB">
            <w:pPr>
              <w:pStyle w:val="TableParagraph"/>
              <w:ind w:right="33"/>
              <w:rPr>
                <w:sz w:val="14"/>
              </w:rPr>
            </w:pPr>
            <w:r>
              <w:rPr>
                <w:color w:val="231F20"/>
                <w:sz w:val="14"/>
              </w:rPr>
              <w:t>особинама живих бића и нивоима органи­ зације биолошких система.</w:t>
            </w:r>
          </w:p>
          <w:p w:rsidR="00041039" w:rsidRDefault="001B26CB">
            <w:pPr>
              <w:pStyle w:val="TableParagraph"/>
              <w:numPr>
                <w:ilvl w:val="0"/>
                <w:numId w:val="55"/>
              </w:numPr>
              <w:tabs>
                <w:tab w:val="left" w:pos="157"/>
              </w:tabs>
              <w:spacing w:line="157" w:lineRule="exact"/>
              <w:rPr>
                <w:sz w:val="14"/>
              </w:rPr>
            </w:pPr>
            <w:r>
              <w:rPr>
                <w:color w:val="231F20"/>
                <w:sz w:val="14"/>
              </w:rPr>
              <w:t>Упознавање</w:t>
            </w:r>
            <w:r>
              <w:rPr>
                <w:color w:val="231F20"/>
                <w:spacing w:val="-2"/>
                <w:sz w:val="14"/>
              </w:rPr>
              <w:t xml:space="preserve"> </w:t>
            </w:r>
            <w:r>
              <w:rPr>
                <w:color w:val="231F20"/>
                <w:sz w:val="14"/>
              </w:rPr>
              <w:t>са</w:t>
            </w:r>
          </w:p>
          <w:p w:rsidR="00041039" w:rsidRDefault="001B26CB">
            <w:pPr>
              <w:pStyle w:val="TableParagraph"/>
              <w:ind w:right="15"/>
              <w:rPr>
                <w:sz w:val="14"/>
              </w:rPr>
            </w:pPr>
            <w:r>
              <w:rPr>
                <w:color w:val="231F20"/>
                <w:sz w:val="14"/>
              </w:rPr>
              <w:t>хемијским саставом ћелије, грађом и функцијом.</w:t>
            </w:r>
          </w:p>
          <w:p w:rsidR="00041039" w:rsidRDefault="001B26CB">
            <w:pPr>
              <w:pStyle w:val="TableParagraph"/>
              <w:numPr>
                <w:ilvl w:val="0"/>
                <w:numId w:val="55"/>
              </w:numPr>
              <w:tabs>
                <w:tab w:val="left" w:pos="157"/>
              </w:tabs>
              <w:spacing w:line="158" w:lineRule="exact"/>
              <w:rPr>
                <w:sz w:val="14"/>
              </w:rPr>
            </w:pPr>
            <w:r>
              <w:rPr>
                <w:color w:val="231F20"/>
                <w:sz w:val="14"/>
              </w:rPr>
              <w:t>Схватање значаја</w:t>
            </w:r>
            <w:r>
              <w:rPr>
                <w:color w:val="231F20"/>
                <w:spacing w:val="-6"/>
                <w:sz w:val="14"/>
              </w:rPr>
              <w:t xml:space="preserve"> </w:t>
            </w:r>
            <w:r>
              <w:rPr>
                <w:color w:val="231F20"/>
                <w:sz w:val="14"/>
              </w:rPr>
              <w:t>(фо­</w:t>
            </w:r>
          </w:p>
          <w:p w:rsidR="00041039" w:rsidRDefault="001B26CB">
            <w:pPr>
              <w:pStyle w:val="TableParagraph"/>
              <w:ind w:right="15"/>
              <w:rPr>
                <w:sz w:val="14"/>
              </w:rPr>
            </w:pPr>
            <w:r>
              <w:rPr>
                <w:color w:val="231F20"/>
                <w:sz w:val="14"/>
              </w:rPr>
              <w:t>тосинтезе и ћелијског дисања).</w:t>
            </w:r>
          </w:p>
          <w:p w:rsidR="00041039" w:rsidRDefault="001B26CB">
            <w:pPr>
              <w:pStyle w:val="TableParagraph"/>
              <w:numPr>
                <w:ilvl w:val="0"/>
                <w:numId w:val="55"/>
              </w:numPr>
              <w:tabs>
                <w:tab w:val="left" w:pos="157"/>
              </w:tabs>
              <w:spacing w:line="160" w:lineRule="exact"/>
              <w:ind w:right="201"/>
              <w:rPr>
                <w:sz w:val="14"/>
              </w:rPr>
            </w:pPr>
            <w:r>
              <w:rPr>
                <w:color w:val="231F20"/>
                <w:sz w:val="14"/>
              </w:rPr>
              <w:t>Разумевање</w:t>
            </w:r>
            <w:r>
              <w:rPr>
                <w:color w:val="231F20"/>
                <w:spacing w:val="-7"/>
                <w:sz w:val="14"/>
              </w:rPr>
              <w:t xml:space="preserve"> </w:t>
            </w:r>
            <w:r>
              <w:rPr>
                <w:color w:val="231F20"/>
                <w:sz w:val="14"/>
              </w:rPr>
              <w:t xml:space="preserve">процеса који се одигравају </w:t>
            </w:r>
            <w:r>
              <w:rPr>
                <w:color w:val="231F20"/>
                <w:spacing w:val="-3"/>
                <w:sz w:val="14"/>
              </w:rPr>
              <w:t xml:space="preserve">током </w:t>
            </w:r>
            <w:r>
              <w:rPr>
                <w:color w:val="231F20"/>
                <w:sz w:val="14"/>
              </w:rPr>
              <w:t>ћелијског циклуса.</w:t>
            </w:r>
          </w:p>
          <w:p w:rsidR="00041039" w:rsidRDefault="001B26CB">
            <w:pPr>
              <w:pStyle w:val="TableParagraph"/>
              <w:numPr>
                <w:ilvl w:val="0"/>
                <w:numId w:val="55"/>
              </w:numPr>
              <w:tabs>
                <w:tab w:val="left" w:pos="157"/>
              </w:tabs>
              <w:spacing w:line="160" w:lineRule="exact"/>
              <w:ind w:right="44"/>
              <w:rPr>
                <w:sz w:val="14"/>
              </w:rPr>
            </w:pPr>
            <w:r>
              <w:rPr>
                <w:color w:val="231F20"/>
                <w:sz w:val="14"/>
              </w:rPr>
              <w:t>Разумевање тока и</w:t>
            </w:r>
            <w:r>
              <w:rPr>
                <w:color w:val="231F20"/>
                <w:spacing w:val="-20"/>
                <w:sz w:val="14"/>
              </w:rPr>
              <w:t xml:space="preserve"> </w:t>
            </w:r>
            <w:r>
              <w:rPr>
                <w:color w:val="231F20"/>
                <w:sz w:val="14"/>
              </w:rPr>
              <w:t>зна­ чаја ћелијских деоба.</w:t>
            </w:r>
          </w:p>
        </w:tc>
        <w:tc>
          <w:tcPr>
            <w:tcW w:w="2551" w:type="dxa"/>
          </w:tcPr>
          <w:p w:rsidR="00041039" w:rsidRDefault="001B26CB">
            <w:pPr>
              <w:pStyle w:val="TableParagraph"/>
              <w:numPr>
                <w:ilvl w:val="0"/>
                <w:numId w:val="54"/>
              </w:numPr>
              <w:tabs>
                <w:tab w:val="left" w:pos="157"/>
              </w:tabs>
              <w:spacing w:before="8"/>
              <w:ind w:right="501" w:hanging="99"/>
              <w:rPr>
                <w:sz w:val="14"/>
              </w:rPr>
            </w:pPr>
            <w:r>
              <w:rPr>
                <w:color w:val="231F20"/>
                <w:sz w:val="14"/>
              </w:rPr>
              <w:t>дефинише предмет</w:t>
            </w:r>
            <w:r>
              <w:rPr>
                <w:color w:val="231F20"/>
                <w:spacing w:val="-12"/>
                <w:sz w:val="14"/>
              </w:rPr>
              <w:t xml:space="preserve"> </w:t>
            </w:r>
            <w:r>
              <w:rPr>
                <w:color w:val="231F20"/>
                <w:sz w:val="14"/>
              </w:rPr>
              <w:t>проучавања цитологије;</w:t>
            </w:r>
          </w:p>
          <w:p w:rsidR="00041039" w:rsidRDefault="001B26CB">
            <w:pPr>
              <w:pStyle w:val="TableParagraph"/>
              <w:numPr>
                <w:ilvl w:val="0"/>
                <w:numId w:val="54"/>
              </w:numPr>
              <w:tabs>
                <w:tab w:val="left" w:pos="157"/>
              </w:tabs>
              <w:spacing w:before="1" w:line="160" w:lineRule="exact"/>
              <w:ind w:right="310" w:hanging="99"/>
              <w:rPr>
                <w:sz w:val="14"/>
              </w:rPr>
            </w:pPr>
            <w:r>
              <w:rPr>
                <w:color w:val="231F20"/>
                <w:sz w:val="14"/>
              </w:rPr>
              <w:t xml:space="preserve">наведе </w:t>
            </w:r>
            <w:r>
              <w:rPr>
                <w:color w:val="231F20"/>
                <w:spacing w:val="-2"/>
                <w:sz w:val="14"/>
              </w:rPr>
              <w:t xml:space="preserve">главне </w:t>
            </w:r>
            <w:r>
              <w:rPr>
                <w:color w:val="231F20"/>
                <w:sz w:val="14"/>
              </w:rPr>
              <w:t>особине живих бића и нивое организације биолошких система;</w:t>
            </w:r>
          </w:p>
          <w:p w:rsidR="00041039" w:rsidRDefault="001B26CB">
            <w:pPr>
              <w:pStyle w:val="TableParagraph"/>
              <w:numPr>
                <w:ilvl w:val="0"/>
                <w:numId w:val="54"/>
              </w:numPr>
              <w:tabs>
                <w:tab w:val="left" w:pos="157"/>
              </w:tabs>
              <w:spacing w:line="153" w:lineRule="exact"/>
              <w:ind w:hanging="99"/>
              <w:rPr>
                <w:sz w:val="14"/>
              </w:rPr>
            </w:pPr>
            <w:r>
              <w:rPr>
                <w:color w:val="231F20"/>
                <w:sz w:val="14"/>
              </w:rPr>
              <w:t>објасни хемијску структуру</w:t>
            </w:r>
            <w:r>
              <w:rPr>
                <w:color w:val="231F20"/>
                <w:spacing w:val="-4"/>
                <w:sz w:val="14"/>
              </w:rPr>
              <w:t xml:space="preserve"> </w:t>
            </w:r>
            <w:r>
              <w:rPr>
                <w:color w:val="231F20"/>
                <w:sz w:val="14"/>
              </w:rPr>
              <w:t>ћелије;</w:t>
            </w:r>
          </w:p>
          <w:p w:rsidR="00041039" w:rsidRDefault="001B26CB">
            <w:pPr>
              <w:pStyle w:val="TableParagraph"/>
              <w:numPr>
                <w:ilvl w:val="0"/>
                <w:numId w:val="54"/>
              </w:numPr>
              <w:tabs>
                <w:tab w:val="left" w:pos="157"/>
              </w:tabs>
              <w:spacing w:line="160" w:lineRule="exact"/>
              <w:ind w:hanging="99"/>
              <w:rPr>
                <w:sz w:val="14"/>
              </w:rPr>
            </w:pPr>
            <w:r>
              <w:rPr>
                <w:color w:val="231F20"/>
                <w:sz w:val="14"/>
              </w:rPr>
              <w:t>објасни функцију ћелијских</w:t>
            </w:r>
            <w:r>
              <w:rPr>
                <w:color w:val="231F20"/>
                <w:spacing w:val="-2"/>
                <w:sz w:val="14"/>
              </w:rPr>
              <w:t xml:space="preserve"> </w:t>
            </w:r>
            <w:r>
              <w:rPr>
                <w:color w:val="231F20"/>
                <w:sz w:val="14"/>
              </w:rPr>
              <w:t>органела;</w:t>
            </w:r>
          </w:p>
          <w:p w:rsidR="00041039" w:rsidRDefault="001B26CB">
            <w:pPr>
              <w:pStyle w:val="TableParagraph"/>
              <w:numPr>
                <w:ilvl w:val="0"/>
                <w:numId w:val="54"/>
              </w:numPr>
              <w:tabs>
                <w:tab w:val="left" w:pos="157"/>
              </w:tabs>
              <w:spacing w:line="237" w:lineRule="auto"/>
              <w:ind w:right="452" w:hanging="99"/>
              <w:rPr>
                <w:sz w:val="14"/>
              </w:rPr>
            </w:pPr>
            <w:r>
              <w:rPr>
                <w:color w:val="231F20"/>
                <w:sz w:val="14"/>
              </w:rPr>
              <w:t>објасни разлике између биљ</w:t>
            </w:r>
            <w:r>
              <w:rPr>
                <w:color w:val="231F20"/>
                <w:sz w:val="14"/>
              </w:rPr>
              <w:t>не</w:t>
            </w:r>
            <w:r>
              <w:rPr>
                <w:color w:val="231F20"/>
                <w:spacing w:val="-7"/>
                <w:sz w:val="14"/>
              </w:rPr>
              <w:t xml:space="preserve"> </w:t>
            </w:r>
            <w:r>
              <w:rPr>
                <w:color w:val="231F20"/>
                <w:sz w:val="14"/>
              </w:rPr>
              <w:t>и животињске</w:t>
            </w:r>
            <w:r>
              <w:rPr>
                <w:color w:val="231F20"/>
                <w:spacing w:val="-1"/>
                <w:sz w:val="14"/>
              </w:rPr>
              <w:t xml:space="preserve"> </w:t>
            </w:r>
            <w:r>
              <w:rPr>
                <w:color w:val="231F20"/>
                <w:sz w:val="14"/>
              </w:rPr>
              <w:t>ћелије;</w:t>
            </w:r>
          </w:p>
          <w:p w:rsidR="00041039" w:rsidRDefault="001B26CB">
            <w:pPr>
              <w:pStyle w:val="TableParagraph"/>
              <w:numPr>
                <w:ilvl w:val="0"/>
                <w:numId w:val="54"/>
              </w:numPr>
              <w:tabs>
                <w:tab w:val="left" w:pos="157"/>
              </w:tabs>
              <w:spacing w:line="160" w:lineRule="exact"/>
              <w:ind w:right="269" w:hanging="99"/>
              <w:rPr>
                <w:sz w:val="14"/>
              </w:rPr>
            </w:pPr>
            <w:r>
              <w:rPr>
                <w:color w:val="231F20"/>
                <w:sz w:val="14"/>
              </w:rPr>
              <w:t>објасни ток и значај кључних</w:t>
            </w:r>
            <w:r>
              <w:rPr>
                <w:color w:val="231F20"/>
                <w:spacing w:val="-10"/>
                <w:sz w:val="14"/>
              </w:rPr>
              <w:t xml:space="preserve"> </w:t>
            </w:r>
            <w:r>
              <w:rPr>
                <w:color w:val="231F20"/>
                <w:sz w:val="14"/>
              </w:rPr>
              <w:t>мета­ боличких процеса: фотосинтезе и ћелијског</w:t>
            </w:r>
            <w:r>
              <w:rPr>
                <w:color w:val="231F20"/>
                <w:spacing w:val="-1"/>
                <w:sz w:val="14"/>
              </w:rPr>
              <w:t xml:space="preserve"> </w:t>
            </w:r>
            <w:r>
              <w:rPr>
                <w:color w:val="231F20"/>
                <w:sz w:val="14"/>
              </w:rPr>
              <w:t>дисања;</w:t>
            </w:r>
          </w:p>
          <w:p w:rsidR="00041039" w:rsidRDefault="001B26CB">
            <w:pPr>
              <w:pStyle w:val="TableParagraph"/>
              <w:numPr>
                <w:ilvl w:val="0"/>
                <w:numId w:val="54"/>
              </w:numPr>
              <w:tabs>
                <w:tab w:val="left" w:pos="157"/>
              </w:tabs>
              <w:spacing w:line="153" w:lineRule="exact"/>
              <w:ind w:hanging="99"/>
              <w:rPr>
                <w:sz w:val="14"/>
              </w:rPr>
            </w:pPr>
            <w:r>
              <w:rPr>
                <w:color w:val="231F20"/>
                <w:sz w:val="14"/>
              </w:rPr>
              <w:t>објасни фазе ћелијског</w:t>
            </w:r>
            <w:r>
              <w:rPr>
                <w:color w:val="231F20"/>
                <w:spacing w:val="-3"/>
                <w:sz w:val="14"/>
              </w:rPr>
              <w:t xml:space="preserve"> </w:t>
            </w:r>
            <w:r>
              <w:rPr>
                <w:color w:val="231F20"/>
                <w:sz w:val="14"/>
              </w:rPr>
              <w:t>циклуса;</w:t>
            </w:r>
          </w:p>
          <w:p w:rsidR="00041039" w:rsidRDefault="001B26CB">
            <w:pPr>
              <w:pStyle w:val="TableParagraph"/>
              <w:numPr>
                <w:ilvl w:val="0"/>
                <w:numId w:val="54"/>
              </w:numPr>
              <w:tabs>
                <w:tab w:val="left" w:pos="157"/>
              </w:tabs>
              <w:spacing w:line="166" w:lineRule="exact"/>
              <w:ind w:hanging="99"/>
              <w:rPr>
                <w:sz w:val="14"/>
              </w:rPr>
            </w:pPr>
            <w:r>
              <w:rPr>
                <w:color w:val="231F20"/>
                <w:sz w:val="14"/>
              </w:rPr>
              <w:t>објасни ток и значај митозе и</w:t>
            </w:r>
            <w:r>
              <w:rPr>
                <w:color w:val="231F20"/>
                <w:spacing w:val="-9"/>
                <w:sz w:val="14"/>
              </w:rPr>
              <w:t xml:space="preserve"> </w:t>
            </w:r>
            <w:r>
              <w:rPr>
                <w:color w:val="231F20"/>
                <w:sz w:val="14"/>
              </w:rPr>
              <w:t>мејозе;</w:t>
            </w:r>
          </w:p>
        </w:tc>
        <w:tc>
          <w:tcPr>
            <w:tcW w:w="2834" w:type="dxa"/>
          </w:tcPr>
          <w:p w:rsidR="00041039" w:rsidRDefault="001B26CB">
            <w:pPr>
              <w:pStyle w:val="TableParagraph"/>
              <w:numPr>
                <w:ilvl w:val="0"/>
                <w:numId w:val="53"/>
              </w:numPr>
              <w:tabs>
                <w:tab w:val="left" w:pos="157"/>
              </w:tabs>
              <w:spacing w:before="9"/>
              <w:ind w:right="416" w:hanging="99"/>
              <w:rPr>
                <w:sz w:val="14"/>
              </w:rPr>
            </w:pPr>
            <w:r>
              <w:rPr>
                <w:color w:val="231F20"/>
                <w:sz w:val="14"/>
              </w:rPr>
              <w:t>Цитологија као научна дисциплина биологије која проучава</w:t>
            </w:r>
            <w:r>
              <w:rPr>
                <w:color w:val="231F20"/>
                <w:spacing w:val="-24"/>
                <w:sz w:val="14"/>
              </w:rPr>
              <w:t xml:space="preserve"> </w:t>
            </w:r>
            <w:r>
              <w:rPr>
                <w:color w:val="231F20"/>
                <w:sz w:val="14"/>
              </w:rPr>
              <w:t>организацију ћелије.</w:t>
            </w:r>
          </w:p>
          <w:p w:rsidR="00041039" w:rsidRDefault="001B26CB">
            <w:pPr>
              <w:pStyle w:val="TableParagraph"/>
              <w:numPr>
                <w:ilvl w:val="0"/>
                <w:numId w:val="53"/>
              </w:numPr>
              <w:tabs>
                <w:tab w:val="left" w:pos="157"/>
              </w:tabs>
              <w:spacing w:line="152" w:lineRule="exact"/>
              <w:ind w:hanging="99"/>
              <w:rPr>
                <w:sz w:val="14"/>
              </w:rPr>
            </w:pPr>
            <w:r>
              <w:rPr>
                <w:color w:val="231F20"/>
                <w:sz w:val="14"/>
              </w:rPr>
              <w:t>Основне карактеристике живих</w:t>
            </w:r>
            <w:r>
              <w:rPr>
                <w:color w:val="231F20"/>
                <w:spacing w:val="-4"/>
                <w:sz w:val="14"/>
              </w:rPr>
              <w:t xml:space="preserve"> </w:t>
            </w:r>
            <w:r>
              <w:rPr>
                <w:color w:val="231F20"/>
                <w:sz w:val="14"/>
              </w:rPr>
              <w:t>бића.</w:t>
            </w:r>
          </w:p>
          <w:p w:rsidR="00041039" w:rsidRDefault="001B26CB">
            <w:pPr>
              <w:pStyle w:val="TableParagraph"/>
              <w:numPr>
                <w:ilvl w:val="0"/>
                <w:numId w:val="53"/>
              </w:numPr>
              <w:tabs>
                <w:tab w:val="left" w:pos="157"/>
              </w:tabs>
              <w:spacing w:line="160" w:lineRule="exact"/>
              <w:ind w:hanging="99"/>
              <w:rPr>
                <w:sz w:val="14"/>
              </w:rPr>
            </w:pPr>
            <w:r>
              <w:rPr>
                <w:color w:val="231F20"/>
                <w:sz w:val="14"/>
              </w:rPr>
              <w:t>Нивои организације биолошких</w:t>
            </w:r>
            <w:r>
              <w:rPr>
                <w:color w:val="231F20"/>
                <w:spacing w:val="-5"/>
                <w:sz w:val="14"/>
              </w:rPr>
              <w:t xml:space="preserve"> </w:t>
            </w:r>
            <w:r>
              <w:rPr>
                <w:color w:val="231F20"/>
                <w:sz w:val="14"/>
              </w:rPr>
              <w:t>система.</w:t>
            </w:r>
          </w:p>
          <w:p w:rsidR="00041039" w:rsidRDefault="001B26CB">
            <w:pPr>
              <w:pStyle w:val="TableParagraph"/>
              <w:numPr>
                <w:ilvl w:val="0"/>
                <w:numId w:val="53"/>
              </w:numPr>
              <w:tabs>
                <w:tab w:val="left" w:pos="157"/>
              </w:tabs>
              <w:spacing w:line="160" w:lineRule="exact"/>
              <w:ind w:hanging="99"/>
              <w:rPr>
                <w:sz w:val="14"/>
              </w:rPr>
            </w:pPr>
            <w:r>
              <w:rPr>
                <w:color w:val="231F20"/>
                <w:sz w:val="14"/>
              </w:rPr>
              <w:t>Грађа ћелије и ћелијских</w:t>
            </w:r>
            <w:r>
              <w:rPr>
                <w:color w:val="231F20"/>
                <w:spacing w:val="-3"/>
                <w:sz w:val="14"/>
              </w:rPr>
              <w:t xml:space="preserve"> </w:t>
            </w:r>
            <w:r>
              <w:rPr>
                <w:color w:val="231F20"/>
                <w:sz w:val="14"/>
              </w:rPr>
              <w:t>органела.</w:t>
            </w:r>
          </w:p>
          <w:p w:rsidR="00041039" w:rsidRDefault="001B26CB">
            <w:pPr>
              <w:pStyle w:val="TableParagraph"/>
              <w:numPr>
                <w:ilvl w:val="0"/>
                <w:numId w:val="53"/>
              </w:numPr>
              <w:tabs>
                <w:tab w:val="left" w:pos="157"/>
              </w:tabs>
              <w:spacing w:line="160" w:lineRule="exact"/>
              <w:ind w:hanging="99"/>
              <w:rPr>
                <w:sz w:val="14"/>
              </w:rPr>
            </w:pPr>
            <w:r>
              <w:rPr>
                <w:color w:val="231F20"/>
                <w:sz w:val="14"/>
              </w:rPr>
              <w:t>Биљна и животињска</w:t>
            </w:r>
            <w:r>
              <w:rPr>
                <w:color w:val="231F20"/>
                <w:spacing w:val="-3"/>
                <w:sz w:val="14"/>
              </w:rPr>
              <w:t xml:space="preserve"> </w:t>
            </w:r>
            <w:r>
              <w:rPr>
                <w:color w:val="231F20"/>
                <w:sz w:val="14"/>
              </w:rPr>
              <w:t>ћелија.</w:t>
            </w:r>
          </w:p>
          <w:p w:rsidR="00041039" w:rsidRDefault="001B26CB">
            <w:pPr>
              <w:pStyle w:val="TableParagraph"/>
              <w:numPr>
                <w:ilvl w:val="0"/>
                <w:numId w:val="53"/>
              </w:numPr>
              <w:tabs>
                <w:tab w:val="left" w:pos="157"/>
              </w:tabs>
              <w:spacing w:line="166" w:lineRule="exact"/>
              <w:ind w:hanging="99"/>
              <w:rPr>
                <w:sz w:val="14"/>
              </w:rPr>
            </w:pPr>
            <w:r>
              <w:rPr>
                <w:color w:val="231F20"/>
                <w:sz w:val="14"/>
              </w:rPr>
              <w:t>Ћелијски циклус и ћелијске</w:t>
            </w:r>
            <w:r>
              <w:rPr>
                <w:color w:val="231F20"/>
                <w:spacing w:val="-7"/>
                <w:sz w:val="14"/>
              </w:rPr>
              <w:t xml:space="preserve"> </w:t>
            </w:r>
            <w:r>
              <w:rPr>
                <w:color w:val="231F20"/>
                <w:sz w:val="14"/>
              </w:rPr>
              <w:t>деобе.</w:t>
            </w:r>
          </w:p>
        </w:tc>
        <w:tc>
          <w:tcPr>
            <w:tcW w:w="2267" w:type="dxa"/>
            <w:vMerge w:val="restart"/>
          </w:tcPr>
          <w:p w:rsidR="00041039" w:rsidRDefault="001B26CB">
            <w:pPr>
              <w:pStyle w:val="TableParagraph"/>
              <w:numPr>
                <w:ilvl w:val="0"/>
                <w:numId w:val="52"/>
              </w:numPr>
              <w:tabs>
                <w:tab w:val="left" w:pos="158"/>
              </w:tabs>
              <w:spacing w:before="9"/>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52"/>
              </w:numPr>
              <w:tabs>
                <w:tab w:val="left" w:pos="158"/>
              </w:tabs>
              <w:spacing w:line="160" w:lineRule="exact"/>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9"/>
              <w:ind w:left="0"/>
              <w:rPr>
                <w:b/>
                <w:sz w:val="13"/>
              </w:rPr>
            </w:pPr>
          </w:p>
          <w:p w:rsidR="00041039" w:rsidRDefault="001B26CB">
            <w:pPr>
              <w:pStyle w:val="TableParagraph"/>
              <w:spacing w:before="1"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52"/>
              </w:numPr>
              <w:tabs>
                <w:tab w:val="left" w:pos="158"/>
              </w:tabs>
              <w:spacing w:line="160" w:lineRule="exact"/>
              <w:ind w:hanging="99"/>
              <w:rPr>
                <w:sz w:val="14"/>
              </w:rPr>
            </w:pPr>
            <w:r>
              <w:rPr>
                <w:color w:val="231F20"/>
                <w:sz w:val="14"/>
              </w:rPr>
              <w:t>одговарајућем</w:t>
            </w:r>
            <w:r>
              <w:rPr>
                <w:color w:val="231F20"/>
                <w:spacing w:val="-1"/>
                <w:sz w:val="14"/>
              </w:rPr>
              <w:t xml:space="preserve"> </w:t>
            </w:r>
            <w:r>
              <w:rPr>
                <w:color w:val="231F20"/>
                <w:sz w:val="14"/>
              </w:rPr>
              <w:t>кабинету</w:t>
            </w:r>
          </w:p>
          <w:p w:rsidR="00041039" w:rsidRDefault="001B26CB">
            <w:pPr>
              <w:pStyle w:val="TableParagraph"/>
              <w:numPr>
                <w:ilvl w:val="0"/>
                <w:numId w:val="52"/>
              </w:numPr>
              <w:tabs>
                <w:tab w:val="left" w:pos="158"/>
              </w:tabs>
              <w:spacing w:line="160" w:lineRule="exact"/>
              <w:ind w:hanging="99"/>
              <w:rPr>
                <w:sz w:val="14"/>
              </w:rPr>
            </w:pPr>
            <w:r>
              <w:rPr>
                <w:color w:val="231F20"/>
                <w:sz w:val="14"/>
              </w:rPr>
              <w:t>учионици</w:t>
            </w:r>
          </w:p>
          <w:p w:rsidR="00041039" w:rsidRDefault="001B26CB">
            <w:pPr>
              <w:pStyle w:val="TableParagraph"/>
              <w:numPr>
                <w:ilvl w:val="0"/>
                <w:numId w:val="52"/>
              </w:numPr>
              <w:tabs>
                <w:tab w:val="left" w:pos="158"/>
              </w:tabs>
              <w:spacing w:line="160" w:lineRule="exact"/>
              <w:ind w:hanging="99"/>
              <w:rPr>
                <w:sz w:val="14"/>
              </w:rPr>
            </w:pPr>
            <w:r>
              <w:rPr>
                <w:color w:val="231F20"/>
                <w:sz w:val="14"/>
              </w:rPr>
              <w:t>биолошкој</w:t>
            </w:r>
            <w:r>
              <w:rPr>
                <w:color w:val="231F20"/>
                <w:spacing w:val="-1"/>
                <w:sz w:val="14"/>
              </w:rPr>
              <w:t xml:space="preserve"> </w:t>
            </w:r>
            <w:r>
              <w:rPr>
                <w:color w:val="231F20"/>
                <w:sz w:val="14"/>
              </w:rPr>
              <w:t>радионици</w:t>
            </w:r>
          </w:p>
          <w:p w:rsidR="00041039" w:rsidRDefault="001B26CB">
            <w:pPr>
              <w:pStyle w:val="TableParagraph"/>
              <w:numPr>
                <w:ilvl w:val="0"/>
                <w:numId w:val="52"/>
              </w:numPr>
              <w:tabs>
                <w:tab w:val="left" w:pos="158"/>
              </w:tabs>
              <w:spacing w:line="237" w:lineRule="auto"/>
              <w:ind w:right="191" w:hanging="99"/>
              <w:rPr>
                <w:sz w:val="14"/>
              </w:rPr>
            </w:pPr>
            <w:r>
              <w:rPr>
                <w:color w:val="231F20"/>
                <w:sz w:val="14"/>
              </w:rPr>
              <w:t>адекватном објекту изван</w:t>
            </w:r>
            <w:r>
              <w:rPr>
                <w:color w:val="231F20"/>
                <w:spacing w:val="-14"/>
                <w:sz w:val="14"/>
              </w:rPr>
              <w:t xml:space="preserve"> </w:t>
            </w:r>
            <w:r>
              <w:rPr>
                <w:color w:val="231F20"/>
                <w:spacing w:val="-3"/>
                <w:sz w:val="14"/>
              </w:rPr>
              <w:t xml:space="preserve">школ­ </w:t>
            </w:r>
            <w:r>
              <w:rPr>
                <w:color w:val="231F20"/>
                <w:sz w:val="14"/>
              </w:rPr>
              <w:t>ског</w:t>
            </w:r>
            <w:r>
              <w:rPr>
                <w:color w:val="231F20"/>
                <w:spacing w:val="-1"/>
                <w:sz w:val="14"/>
              </w:rPr>
              <w:t xml:space="preserve"> </w:t>
            </w:r>
            <w:r>
              <w:rPr>
                <w:color w:val="231F20"/>
                <w:sz w:val="14"/>
              </w:rPr>
              <w:t>комплекса</w:t>
            </w:r>
          </w:p>
          <w:p w:rsidR="00041039" w:rsidRDefault="00041039">
            <w:pPr>
              <w:pStyle w:val="TableParagraph"/>
              <w:spacing w:before="5"/>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52"/>
              </w:numPr>
              <w:tabs>
                <w:tab w:val="left" w:pos="158"/>
              </w:tabs>
              <w:spacing w:before="1" w:line="160" w:lineRule="exact"/>
              <w:ind w:right="317" w:hanging="99"/>
              <w:rPr>
                <w:sz w:val="14"/>
              </w:rPr>
            </w:pPr>
            <w:r>
              <w:rPr>
                <w:color w:val="231F20"/>
                <w:sz w:val="14"/>
              </w:rPr>
              <w:t>поштовање свих</w:t>
            </w:r>
            <w:r>
              <w:rPr>
                <w:color w:val="231F20"/>
                <w:spacing w:val="-13"/>
                <w:sz w:val="14"/>
              </w:rPr>
              <w:t xml:space="preserve"> </w:t>
            </w:r>
            <w:r>
              <w:rPr>
                <w:color w:val="231F20"/>
                <w:sz w:val="14"/>
              </w:rPr>
              <w:t>дидактичких принципа;</w:t>
            </w:r>
          </w:p>
          <w:p w:rsidR="00041039" w:rsidRDefault="001B26CB">
            <w:pPr>
              <w:pStyle w:val="TableParagraph"/>
              <w:numPr>
                <w:ilvl w:val="0"/>
                <w:numId w:val="52"/>
              </w:numPr>
              <w:tabs>
                <w:tab w:val="left" w:pos="158"/>
              </w:tabs>
              <w:spacing w:line="160" w:lineRule="exact"/>
              <w:ind w:right="155" w:hanging="99"/>
              <w:jc w:val="both"/>
              <w:rPr>
                <w:sz w:val="14"/>
              </w:rPr>
            </w:pPr>
            <w:r>
              <w:rPr>
                <w:color w:val="231F20"/>
                <w:sz w:val="14"/>
              </w:rPr>
              <w:t>примена природних наставних­ средстава, реализација теренске наставе, реализација биолошких наставних</w:t>
            </w:r>
            <w:r>
              <w:rPr>
                <w:color w:val="231F20"/>
                <w:spacing w:val="-1"/>
                <w:sz w:val="14"/>
              </w:rPr>
              <w:t xml:space="preserve"> </w:t>
            </w:r>
            <w:r>
              <w:rPr>
                <w:color w:val="231F20"/>
                <w:sz w:val="14"/>
              </w:rPr>
              <w:t>екскурзија;</w:t>
            </w:r>
          </w:p>
          <w:p w:rsidR="00041039" w:rsidRDefault="001B26CB">
            <w:pPr>
              <w:pStyle w:val="TableParagraph"/>
              <w:numPr>
                <w:ilvl w:val="0"/>
                <w:numId w:val="52"/>
              </w:numPr>
              <w:tabs>
                <w:tab w:val="left" w:pos="158"/>
              </w:tabs>
              <w:spacing w:line="160" w:lineRule="exact"/>
              <w:ind w:right="213" w:hanging="99"/>
              <w:rPr>
                <w:sz w:val="14"/>
              </w:rPr>
            </w:pPr>
            <w:r>
              <w:rPr>
                <w:color w:val="231F20"/>
                <w:sz w:val="14"/>
              </w:rPr>
              <w:t>комбиновање различитих ди­ дактичких модела</w:t>
            </w:r>
            <w:r>
              <w:rPr>
                <w:color w:val="231F20"/>
                <w:spacing w:val="-20"/>
                <w:sz w:val="14"/>
              </w:rPr>
              <w:t xml:space="preserve"> </w:t>
            </w:r>
            <w:r>
              <w:rPr>
                <w:color w:val="231F20"/>
                <w:sz w:val="14"/>
              </w:rPr>
              <w:t>(проблемска, тимска настава</w:t>
            </w:r>
            <w:r>
              <w:rPr>
                <w:color w:val="231F20"/>
                <w:spacing w:val="-4"/>
                <w:sz w:val="14"/>
              </w:rPr>
              <w:t xml:space="preserve"> </w:t>
            </w:r>
            <w:r>
              <w:rPr>
                <w:color w:val="231F20"/>
                <w:sz w:val="14"/>
              </w:rPr>
              <w:t>биологије);</w:t>
            </w:r>
          </w:p>
          <w:p w:rsidR="00041039" w:rsidRDefault="001B26CB">
            <w:pPr>
              <w:pStyle w:val="TableParagraph"/>
              <w:numPr>
                <w:ilvl w:val="0"/>
                <w:numId w:val="52"/>
              </w:numPr>
              <w:tabs>
                <w:tab w:val="left" w:pos="158"/>
              </w:tabs>
              <w:spacing w:line="160" w:lineRule="exact"/>
              <w:ind w:right="81" w:hanging="99"/>
              <w:rPr>
                <w:sz w:val="14"/>
              </w:rPr>
            </w:pPr>
            <w:r>
              <w:rPr>
                <w:color w:val="231F20"/>
                <w:sz w:val="14"/>
              </w:rPr>
              <w:t>реализација самосталних ученич­ ких радова (есеји, презент</w:t>
            </w:r>
            <w:r>
              <w:rPr>
                <w:color w:val="231F20"/>
                <w:sz w:val="14"/>
              </w:rPr>
              <w:t>ације, реферати, пројекти,</w:t>
            </w:r>
            <w:r>
              <w:rPr>
                <w:color w:val="231F20"/>
                <w:spacing w:val="-3"/>
                <w:sz w:val="14"/>
              </w:rPr>
              <w:t xml:space="preserve"> </w:t>
            </w:r>
            <w:r>
              <w:rPr>
                <w:color w:val="231F20"/>
                <w:sz w:val="14"/>
              </w:rPr>
              <w:t>дебате).</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52"/>
              </w:numPr>
              <w:tabs>
                <w:tab w:val="left" w:pos="158"/>
              </w:tabs>
              <w:spacing w:line="154"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52"/>
              </w:numPr>
              <w:tabs>
                <w:tab w:val="left" w:pos="158"/>
              </w:tabs>
              <w:spacing w:line="160"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1B26CB">
            <w:pPr>
              <w:pStyle w:val="TableParagraph"/>
              <w:numPr>
                <w:ilvl w:val="0"/>
                <w:numId w:val="52"/>
              </w:numPr>
              <w:tabs>
                <w:tab w:val="left" w:pos="158"/>
              </w:tabs>
              <w:spacing w:line="160" w:lineRule="exact"/>
              <w:ind w:hanging="99"/>
              <w:rPr>
                <w:sz w:val="14"/>
              </w:rPr>
            </w:pPr>
            <w:r>
              <w:rPr>
                <w:color w:val="231F20"/>
                <w:sz w:val="14"/>
              </w:rPr>
              <w:t>усмене</w:t>
            </w:r>
            <w:r>
              <w:rPr>
                <w:color w:val="231F20"/>
                <w:spacing w:val="-1"/>
                <w:sz w:val="14"/>
              </w:rPr>
              <w:t xml:space="preserve"> </w:t>
            </w:r>
            <w:r>
              <w:rPr>
                <w:color w:val="231F20"/>
                <w:sz w:val="14"/>
              </w:rPr>
              <w:t>провере</w:t>
            </w:r>
          </w:p>
          <w:p w:rsidR="00041039" w:rsidRDefault="001B26CB">
            <w:pPr>
              <w:pStyle w:val="TableParagraph"/>
              <w:numPr>
                <w:ilvl w:val="0"/>
                <w:numId w:val="52"/>
              </w:numPr>
              <w:tabs>
                <w:tab w:val="left" w:pos="158"/>
              </w:tabs>
              <w:spacing w:line="160" w:lineRule="exact"/>
              <w:ind w:hanging="99"/>
              <w:rPr>
                <w:sz w:val="14"/>
              </w:rPr>
            </w:pPr>
            <w:r>
              <w:rPr>
                <w:color w:val="231F20"/>
                <w:sz w:val="14"/>
              </w:rPr>
              <w:t>израде презентација и</w:t>
            </w:r>
            <w:r>
              <w:rPr>
                <w:color w:val="231F20"/>
                <w:spacing w:val="-9"/>
                <w:sz w:val="14"/>
              </w:rPr>
              <w:t xml:space="preserve"> </w:t>
            </w:r>
            <w:r>
              <w:rPr>
                <w:color w:val="231F20"/>
                <w:sz w:val="14"/>
              </w:rPr>
              <w:t>пројеката</w:t>
            </w:r>
          </w:p>
          <w:p w:rsidR="00041039" w:rsidRDefault="001B26CB">
            <w:pPr>
              <w:pStyle w:val="TableParagraph"/>
              <w:numPr>
                <w:ilvl w:val="0"/>
                <w:numId w:val="52"/>
              </w:numPr>
              <w:tabs>
                <w:tab w:val="left" w:pos="158"/>
              </w:tabs>
              <w:spacing w:line="237" w:lineRule="auto"/>
              <w:ind w:right="740" w:hanging="99"/>
              <w:rPr>
                <w:sz w:val="14"/>
              </w:rPr>
            </w:pPr>
            <w:r>
              <w:rPr>
                <w:color w:val="231F20"/>
                <w:sz w:val="14"/>
              </w:rPr>
              <w:t>организовања дебата</w:t>
            </w:r>
            <w:r>
              <w:rPr>
                <w:color w:val="231F20"/>
                <w:spacing w:val="-6"/>
                <w:sz w:val="14"/>
              </w:rPr>
              <w:t xml:space="preserve"> </w:t>
            </w:r>
            <w:r>
              <w:rPr>
                <w:color w:val="231F20"/>
                <w:sz w:val="14"/>
              </w:rPr>
              <w:t>и учествовања у</w:t>
            </w:r>
            <w:r>
              <w:rPr>
                <w:color w:val="231F20"/>
                <w:spacing w:val="-1"/>
                <w:sz w:val="14"/>
              </w:rPr>
              <w:t xml:space="preserve"> </w:t>
            </w:r>
            <w:r>
              <w:rPr>
                <w:color w:val="231F20"/>
                <w:sz w:val="14"/>
              </w:rPr>
              <w:t>њима</w:t>
            </w:r>
          </w:p>
          <w:p w:rsidR="00041039" w:rsidRDefault="00041039">
            <w:pPr>
              <w:pStyle w:val="TableParagraph"/>
              <w:spacing w:before="5"/>
              <w:ind w:left="0"/>
              <w:rPr>
                <w:b/>
                <w:sz w:val="13"/>
              </w:rPr>
            </w:pPr>
          </w:p>
          <w:p w:rsidR="00041039" w:rsidRDefault="001B26CB">
            <w:pPr>
              <w:pStyle w:val="TableParagraph"/>
              <w:spacing w:line="155" w:lineRule="exact"/>
              <w:ind w:left="58"/>
              <w:rPr>
                <w:b/>
                <w:sz w:val="14"/>
              </w:rPr>
            </w:pPr>
            <w:r>
              <w:rPr>
                <w:b/>
                <w:color w:val="231F20"/>
                <w:sz w:val="14"/>
              </w:rPr>
              <w:t>Оквирни број часова по темама</w:t>
            </w:r>
          </w:p>
          <w:p w:rsidR="00041039" w:rsidRDefault="001B26CB">
            <w:pPr>
              <w:pStyle w:val="TableParagraph"/>
              <w:numPr>
                <w:ilvl w:val="0"/>
                <w:numId w:val="52"/>
              </w:numPr>
              <w:tabs>
                <w:tab w:val="left" w:pos="158"/>
              </w:tabs>
              <w:spacing w:line="160" w:lineRule="exact"/>
              <w:ind w:hanging="99"/>
              <w:rPr>
                <w:b/>
                <w:sz w:val="14"/>
              </w:rPr>
            </w:pPr>
            <w:r>
              <w:rPr>
                <w:color w:val="231F20"/>
                <w:sz w:val="14"/>
              </w:rPr>
              <w:t xml:space="preserve">Биологија ћелије </w:t>
            </w:r>
            <w:r>
              <w:rPr>
                <w:b/>
                <w:color w:val="231F20"/>
                <w:sz w:val="14"/>
              </w:rPr>
              <w:t>(7 или 6</w:t>
            </w:r>
            <w:r>
              <w:rPr>
                <w:b/>
                <w:color w:val="231F20"/>
                <w:spacing w:val="-15"/>
                <w:sz w:val="14"/>
              </w:rPr>
              <w:t xml:space="preserve"> </w:t>
            </w:r>
            <w:r>
              <w:rPr>
                <w:b/>
                <w:color w:val="231F20"/>
                <w:sz w:val="14"/>
              </w:rPr>
              <w:t>часова)</w:t>
            </w:r>
          </w:p>
          <w:p w:rsidR="00041039" w:rsidRDefault="001B26CB">
            <w:pPr>
              <w:pStyle w:val="TableParagraph"/>
              <w:numPr>
                <w:ilvl w:val="0"/>
                <w:numId w:val="52"/>
              </w:numPr>
              <w:tabs>
                <w:tab w:val="left" w:pos="158"/>
              </w:tabs>
              <w:spacing w:line="237" w:lineRule="auto"/>
              <w:ind w:right="223" w:hanging="99"/>
              <w:rPr>
                <w:b/>
                <w:sz w:val="14"/>
              </w:rPr>
            </w:pPr>
            <w:r>
              <w:rPr>
                <w:color w:val="231F20"/>
                <w:sz w:val="14"/>
              </w:rPr>
              <w:t>Основи физиологије човека</w:t>
            </w:r>
            <w:r>
              <w:rPr>
                <w:color w:val="231F20"/>
                <w:spacing w:val="-16"/>
                <w:sz w:val="14"/>
              </w:rPr>
              <w:t xml:space="preserve"> </w:t>
            </w:r>
            <w:r>
              <w:rPr>
                <w:b/>
                <w:color w:val="231F20"/>
                <w:sz w:val="14"/>
              </w:rPr>
              <w:t>(30 или 25</w:t>
            </w:r>
            <w:r>
              <w:rPr>
                <w:b/>
                <w:color w:val="231F20"/>
                <w:spacing w:val="-2"/>
                <w:sz w:val="14"/>
              </w:rPr>
              <w:t xml:space="preserve"> </w:t>
            </w:r>
            <w:r>
              <w:rPr>
                <w:b/>
                <w:color w:val="231F20"/>
                <w:sz w:val="14"/>
              </w:rPr>
              <w:t>часова)</w:t>
            </w:r>
          </w:p>
          <w:p w:rsidR="00041039" w:rsidRDefault="001B26CB">
            <w:pPr>
              <w:pStyle w:val="TableParagraph"/>
              <w:numPr>
                <w:ilvl w:val="0"/>
                <w:numId w:val="52"/>
              </w:numPr>
              <w:tabs>
                <w:tab w:val="left" w:pos="158"/>
              </w:tabs>
              <w:spacing w:line="160" w:lineRule="exact"/>
              <w:ind w:right="352" w:hanging="99"/>
              <w:rPr>
                <w:b/>
                <w:sz w:val="14"/>
              </w:rPr>
            </w:pPr>
            <w:r>
              <w:rPr>
                <w:color w:val="231F20"/>
                <w:sz w:val="14"/>
              </w:rPr>
              <w:t>Биологија развића човека</w:t>
            </w:r>
            <w:r>
              <w:rPr>
                <w:color w:val="231F20"/>
                <w:spacing w:val="-13"/>
                <w:sz w:val="14"/>
              </w:rPr>
              <w:t xml:space="preserve"> </w:t>
            </w:r>
            <w:r>
              <w:rPr>
                <w:b/>
                <w:color w:val="231F20"/>
                <w:sz w:val="14"/>
              </w:rPr>
              <w:t>(12 часова)</w:t>
            </w:r>
          </w:p>
          <w:p w:rsidR="00041039" w:rsidRDefault="001B26CB">
            <w:pPr>
              <w:pStyle w:val="TableParagraph"/>
              <w:numPr>
                <w:ilvl w:val="0"/>
                <w:numId w:val="52"/>
              </w:numPr>
              <w:tabs>
                <w:tab w:val="left" w:pos="158"/>
              </w:tabs>
              <w:spacing w:line="158" w:lineRule="exact"/>
              <w:ind w:hanging="99"/>
              <w:rPr>
                <w:sz w:val="14"/>
              </w:rPr>
            </w:pPr>
            <w:r>
              <w:rPr>
                <w:color w:val="231F20"/>
                <w:sz w:val="14"/>
              </w:rPr>
              <w:t>Наслеђивање биолошких</w:t>
            </w:r>
            <w:r>
              <w:rPr>
                <w:color w:val="231F20"/>
                <w:spacing w:val="-7"/>
                <w:sz w:val="14"/>
              </w:rPr>
              <w:t xml:space="preserve"> </w:t>
            </w:r>
            <w:r>
              <w:rPr>
                <w:color w:val="231F20"/>
                <w:sz w:val="14"/>
              </w:rPr>
              <w:t>особина</w:t>
            </w:r>
          </w:p>
          <w:p w:rsidR="00041039" w:rsidRDefault="001B26CB">
            <w:pPr>
              <w:pStyle w:val="TableParagraph"/>
              <w:spacing w:line="155" w:lineRule="exact"/>
              <w:ind w:left="157"/>
              <w:rPr>
                <w:b/>
                <w:sz w:val="14"/>
              </w:rPr>
            </w:pPr>
            <w:r>
              <w:rPr>
                <w:b/>
                <w:color w:val="231F20"/>
                <w:sz w:val="14"/>
              </w:rPr>
              <w:t>(12 часова)</w:t>
            </w:r>
          </w:p>
          <w:p w:rsidR="00041039" w:rsidRDefault="001B26CB">
            <w:pPr>
              <w:pStyle w:val="TableParagraph"/>
              <w:numPr>
                <w:ilvl w:val="0"/>
                <w:numId w:val="52"/>
              </w:numPr>
              <w:tabs>
                <w:tab w:val="left" w:pos="158"/>
              </w:tabs>
              <w:spacing w:line="165" w:lineRule="exact"/>
              <w:ind w:hanging="99"/>
              <w:rPr>
                <w:sz w:val="14"/>
              </w:rPr>
            </w:pPr>
            <w:r>
              <w:rPr>
                <w:color w:val="231F20"/>
                <w:sz w:val="14"/>
              </w:rPr>
              <w:t>Полно и репродуктивно</w:t>
            </w:r>
            <w:r>
              <w:rPr>
                <w:color w:val="231F20"/>
                <w:spacing w:val="-10"/>
                <w:sz w:val="14"/>
              </w:rPr>
              <w:t xml:space="preserve"> </w:t>
            </w:r>
            <w:r>
              <w:rPr>
                <w:color w:val="231F20"/>
                <w:sz w:val="14"/>
              </w:rPr>
              <w:t>здравље</w:t>
            </w:r>
          </w:p>
          <w:p w:rsidR="00041039" w:rsidRDefault="001B26CB">
            <w:pPr>
              <w:pStyle w:val="TableParagraph"/>
              <w:spacing w:line="160" w:lineRule="exact"/>
              <w:ind w:left="157"/>
              <w:rPr>
                <w:b/>
                <w:sz w:val="14"/>
              </w:rPr>
            </w:pPr>
            <w:r>
              <w:rPr>
                <w:b/>
                <w:color w:val="231F20"/>
                <w:sz w:val="14"/>
              </w:rPr>
              <w:t>(9 часова)</w:t>
            </w:r>
          </w:p>
        </w:tc>
      </w:tr>
      <w:tr w:rsidR="00041039">
        <w:trPr>
          <w:trHeight w:val="2920"/>
        </w:trPr>
        <w:tc>
          <w:tcPr>
            <w:tcW w:w="1304" w:type="dxa"/>
          </w:tcPr>
          <w:p w:rsidR="00041039" w:rsidRDefault="001B26CB">
            <w:pPr>
              <w:pStyle w:val="TableParagraph"/>
              <w:spacing w:before="20"/>
              <w:ind w:left="56" w:right="181"/>
              <w:rPr>
                <w:sz w:val="14"/>
              </w:rPr>
            </w:pPr>
            <w:r>
              <w:rPr>
                <w:color w:val="231F20"/>
                <w:sz w:val="14"/>
              </w:rPr>
              <w:t>Основи физиоло­ гије човека</w:t>
            </w:r>
          </w:p>
        </w:tc>
        <w:tc>
          <w:tcPr>
            <w:tcW w:w="1587" w:type="dxa"/>
          </w:tcPr>
          <w:p w:rsidR="00041039" w:rsidRDefault="001B26CB">
            <w:pPr>
              <w:pStyle w:val="TableParagraph"/>
              <w:numPr>
                <w:ilvl w:val="0"/>
                <w:numId w:val="51"/>
              </w:numPr>
              <w:tabs>
                <w:tab w:val="left" w:pos="157"/>
              </w:tabs>
              <w:spacing w:before="10"/>
              <w:ind w:right="228"/>
              <w:rPr>
                <w:sz w:val="14"/>
              </w:rPr>
            </w:pPr>
            <w:r>
              <w:rPr>
                <w:color w:val="231F20"/>
                <w:sz w:val="14"/>
              </w:rPr>
              <w:t xml:space="preserve">Разумевање физио­ лошких процеса у </w:t>
            </w:r>
            <w:r>
              <w:rPr>
                <w:color w:val="231F20"/>
                <w:spacing w:val="-3"/>
                <w:sz w:val="14"/>
              </w:rPr>
              <w:t>људском</w:t>
            </w:r>
            <w:r>
              <w:rPr>
                <w:color w:val="231F20"/>
                <w:spacing w:val="-14"/>
                <w:sz w:val="14"/>
              </w:rPr>
              <w:t xml:space="preserve"> </w:t>
            </w:r>
            <w:r>
              <w:rPr>
                <w:color w:val="231F20"/>
                <w:sz w:val="14"/>
              </w:rPr>
              <w:t>организму.</w:t>
            </w:r>
          </w:p>
        </w:tc>
        <w:tc>
          <w:tcPr>
            <w:tcW w:w="2551" w:type="dxa"/>
          </w:tcPr>
          <w:p w:rsidR="00041039" w:rsidRDefault="001B26CB">
            <w:pPr>
              <w:pStyle w:val="TableParagraph"/>
              <w:numPr>
                <w:ilvl w:val="0"/>
                <w:numId w:val="50"/>
              </w:numPr>
              <w:tabs>
                <w:tab w:val="left" w:pos="157"/>
              </w:tabs>
              <w:spacing w:before="10"/>
              <w:ind w:right="290" w:hanging="99"/>
              <w:rPr>
                <w:sz w:val="14"/>
              </w:rPr>
            </w:pPr>
            <w:r>
              <w:rPr>
                <w:color w:val="231F20"/>
                <w:sz w:val="14"/>
              </w:rPr>
              <w:t>објасни настанак и пренос нервног импулса;</w:t>
            </w:r>
          </w:p>
          <w:p w:rsidR="00041039" w:rsidRDefault="001B26CB">
            <w:pPr>
              <w:pStyle w:val="TableParagraph"/>
              <w:numPr>
                <w:ilvl w:val="0"/>
                <w:numId w:val="50"/>
              </w:numPr>
              <w:tabs>
                <w:tab w:val="left" w:pos="157"/>
              </w:tabs>
              <w:spacing w:line="153" w:lineRule="exact"/>
              <w:ind w:hanging="99"/>
              <w:rPr>
                <w:sz w:val="14"/>
              </w:rPr>
            </w:pPr>
            <w:r>
              <w:rPr>
                <w:color w:val="231F20"/>
                <w:sz w:val="14"/>
              </w:rPr>
              <w:t>илуструје прост рефлексни</w:t>
            </w:r>
            <w:r>
              <w:rPr>
                <w:color w:val="231F20"/>
                <w:spacing w:val="-17"/>
                <w:sz w:val="14"/>
              </w:rPr>
              <w:t xml:space="preserve"> </w:t>
            </w:r>
            <w:r>
              <w:rPr>
                <w:color w:val="231F20"/>
                <w:sz w:val="14"/>
              </w:rPr>
              <w:t>лук;</w:t>
            </w:r>
          </w:p>
          <w:p w:rsidR="00041039" w:rsidRDefault="001B26CB">
            <w:pPr>
              <w:pStyle w:val="TableParagraph"/>
              <w:numPr>
                <w:ilvl w:val="0"/>
                <w:numId w:val="50"/>
              </w:numPr>
              <w:tabs>
                <w:tab w:val="left" w:pos="157"/>
              </w:tabs>
              <w:spacing w:line="160" w:lineRule="exact"/>
              <w:ind w:hanging="99"/>
              <w:rPr>
                <w:sz w:val="14"/>
              </w:rPr>
            </w:pPr>
            <w:r>
              <w:rPr>
                <w:color w:val="231F20"/>
                <w:sz w:val="14"/>
              </w:rPr>
              <w:t>објасни улогу нервног</w:t>
            </w:r>
            <w:r>
              <w:rPr>
                <w:color w:val="231F20"/>
                <w:spacing w:val="-19"/>
                <w:sz w:val="14"/>
              </w:rPr>
              <w:t xml:space="preserve"> </w:t>
            </w:r>
            <w:r>
              <w:rPr>
                <w:color w:val="231F20"/>
                <w:sz w:val="14"/>
              </w:rPr>
              <w:t>система;</w:t>
            </w:r>
          </w:p>
          <w:p w:rsidR="00041039" w:rsidRDefault="001B26CB">
            <w:pPr>
              <w:pStyle w:val="TableParagraph"/>
              <w:numPr>
                <w:ilvl w:val="0"/>
                <w:numId w:val="50"/>
              </w:numPr>
              <w:tabs>
                <w:tab w:val="left" w:pos="157"/>
              </w:tabs>
              <w:spacing w:line="160" w:lineRule="exact"/>
              <w:ind w:hanging="99"/>
              <w:rPr>
                <w:sz w:val="14"/>
              </w:rPr>
            </w:pPr>
            <w:r>
              <w:rPr>
                <w:color w:val="231F20"/>
                <w:sz w:val="14"/>
              </w:rPr>
              <w:t>објасни мишићну</w:t>
            </w:r>
            <w:r>
              <w:rPr>
                <w:color w:val="231F20"/>
                <w:spacing w:val="-9"/>
                <w:sz w:val="14"/>
              </w:rPr>
              <w:t xml:space="preserve"> </w:t>
            </w:r>
            <w:r>
              <w:rPr>
                <w:color w:val="231F20"/>
                <w:sz w:val="14"/>
              </w:rPr>
              <w:t>контракцију;</w:t>
            </w:r>
          </w:p>
          <w:p w:rsidR="00041039" w:rsidRDefault="001B26CB">
            <w:pPr>
              <w:pStyle w:val="TableParagraph"/>
              <w:numPr>
                <w:ilvl w:val="0"/>
                <w:numId w:val="50"/>
              </w:numPr>
              <w:tabs>
                <w:tab w:val="left" w:pos="157"/>
              </w:tabs>
              <w:spacing w:line="160" w:lineRule="exact"/>
              <w:ind w:hanging="99"/>
              <w:rPr>
                <w:sz w:val="14"/>
              </w:rPr>
            </w:pPr>
            <w:r>
              <w:rPr>
                <w:color w:val="231F20"/>
                <w:sz w:val="14"/>
              </w:rPr>
              <w:t>објасни улогу чулних</w:t>
            </w:r>
            <w:r>
              <w:rPr>
                <w:color w:val="231F20"/>
                <w:spacing w:val="-5"/>
                <w:sz w:val="14"/>
              </w:rPr>
              <w:t xml:space="preserve"> </w:t>
            </w:r>
            <w:r>
              <w:rPr>
                <w:color w:val="231F20"/>
                <w:sz w:val="14"/>
              </w:rPr>
              <w:t>органа;</w:t>
            </w:r>
          </w:p>
          <w:p w:rsidR="00041039" w:rsidRDefault="001B26CB">
            <w:pPr>
              <w:pStyle w:val="TableParagraph"/>
              <w:numPr>
                <w:ilvl w:val="0"/>
                <w:numId w:val="50"/>
              </w:numPr>
              <w:tabs>
                <w:tab w:val="left" w:pos="157"/>
              </w:tabs>
              <w:spacing w:line="237" w:lineRule="auto"/>
              <w:ind w:right="104" w:hanging="99"/>
              <w:rPr>
                <w:sz w:val="14"/>
              </w:rPr>
            </w:pPr>
            <w:r>
              <w:rPr>
                <w:color w:val="231F20"/>
                <w:sz w:val="14"/>
              </w:rPr>
              <w:t>дефинише позицију и улогу жлезда</w:t>
            </w:r>
            <w:r>
              <w:rPr>
                <w:color w:val="231F20"/>
                <w:spacing w:val="-19"/>
                <w:sz w:val="14"/>
              </w:rPr>
              <w:t xml:space="preserve"> </w:t>
            </w:r>
            <w:r>
              <w:rPr>
                <w:color w:val="231F20"/>
                <w:sz w:val="14"/>
              </w:rPr>
              <w:t>са унутрашњим</w:t>
            </w:r>
            <w:r>
              <w:rPr>
                <w:color w:val="231F20"/>
                <w:spacing w:val="-1"/>
                <w:sz w:val="14"/>
              </w:rPr>
              <w:t xml:space="preserve"> </w:t>
            </w:r>
            <w:r>
              <w:rPr>
                <w:color w:val="231F20"/>
                <w:sz w:val="14"/>
              </w:rPr>
              <w:t>лучењем;</w:t>
            </w:r>
          </w:p>
          <w:p w:rsidR="00041039" w:rsidRDefault="001B26CB">
            <w:pPr>
              <w:pStyle w:val="TableParagraph"/>
              <w:numPr>
                <w:ilvl w:val="0"/>
                <w:numId w:val="50"/>
              </w:numPr>
              <w:tabs>
                <w:tab w:val="left" w:pos="157"/>
              </w:tabs>
              <w:spacing w:line="155" w:lineRule="exact"/>
              <w:ind w:hanging="99"/>
              <w:rPr>
                <w:sz w:val="14"/>
              </w:rPr>
            </w:pPr>
            <w:r>
              <w:rPr>
                <w:color w:val="231F20"/>
                <w:sz w:val="14"/>
              </w:rPr>
              <w:t>објасни састав и улогу крви и</w:t>
            </w:r>
            <w:r>
              <w:rPr>
                <w:color w:val="231F20"/>
                <w:spacing w:val="-11"/>
                <w:sz w:val="14"/>
              </w:rPr>
              <w:t xml:space="preserve"> </w:t>
            </w:r>
            <w:r>
              <w:rPr>
                <w:color w:val="231F20"/>
                <w:sz w:val="14"/>
              </w:rPr>
              <w:t>лимфе;</w:t>
            </w:r>
          </w:p>
          <w:p w:rsidR="00041039" w:rsidRDefault="001B26CB">
            <w:pPr>
              <w:pStyle w:val="TableParagraph"/>
              <w:numPr>
                <w:ilvl w:val="0"/>
                <w:numId w:val="50"/>
              </w:numPr>
              <w:tabs>
                <w:tab w:val="left" w:pos="157"/>
              </w:tabs>
              <w:spacing w:line="237" w:lineRule="auto"/>
              <w:ind w:right="114" w:hanging="99"/>
              <w:rPr>
                <w:sz w:val="14"/>
              </w:rPr>
            </w:pPr>
            <w:r>
              <w:rPr>
                <w:color w:val="231F20"/>
                <w:sz w:val="14"/>
              </w:rPr>
              <w:t xml:space="preserve">објасни грађу и улогу срца и крвних </w:t>
            </w:r>
            <w:r>
              <w:rPr>
                <w:color w:val="231F20"/>
                <w:spacing w:val="-3"/>
                <w:sz w:val="14"/>
              </w:rPr>
              <w:t xml:space="preserve">судова </w:t>
            </w:r>
            <w:r>
              <w:rPr>
                <w:color w:val="231F20"/>
                <w:sz w:val="14"/>
              </w:rPr>
              <w:t>и неурохормоналну</w:t>
            </w:r>
            <w:r>
              <w:rPr>
                <w:color w:val="231F20"/>
                <w:spacing w:val="-22"/>
                <w:sz w:val="14"/>
              </w:rPr>
              <w:t xml:space="preserve"> </w:t>
            </w:r>
            <w:r>
              <w:rPr>
                <w:color w:val="231F20"/>
                <w:sz w:val="14"/>
              </w:rPr>
              <w:t>регулацију срчаног</w:t>
            </w:r>
            <w:r>
              <w:rPr>
                <w:color w:val="231F20"/>
                <w:spacing w:val="-1"/>
                <w:sz w:val="14"/>
              </w:rPr>
              <w:t xml:space="preserve"> </w:t>
            </w:r>
            <w:r>
              <w:rPr>
                <w:color w:val="231F20"/>
                <w:sz w:val="14"/>
              </w:rPr>
              <w:t>рада;</w:t>
            </w:r>
          </w:p>
          <w:p w:rsidR="00041039" w:rsidRDefault="001B26CB">
            <w:pPr>
              <w:pStyle w:val="TableParagraph"/>
              <w:numPr>
                <w:ilvl w:val="0"/>
                <w:numId w:val="50"/>
              </w:numPr>
              <w:tabs>
                <w:tab w:val="left" w:pos="157"/>
              </w:tabs>
              <w:spacing w:line="237" w:lineRule="auto"/>
              <w:ind w:right="136" w:hanging="99"/>
              <w:rPr>
                <w:sz w:val="14"/>
              </w:rPr>
            </w:pPr>
            <w:r>
              <w:rPr>
                <w:color w:val="231F20"/>
                <w:sz w:val="14"/>
              </w:rPr>
              <w:t>објасни размену гасова у плућима и ткивима и нервну регулацију</w:t>
            </w:r>
            <w:r>
              <w:rPr>
                <w:color w:val="231F20"/>
                <w:spacing w:val="-19"/>
                <w:sz w:val="14"/>
              </w:rPr>
              <w:t xml:space="preserve"> </w:t>
            </w:r>
            <w:r>
              <w:rPr>
                <w:color w:val="231F20"/>
                <w:sz w:val="14"/>
              </w:rPr>
              <w:t>дисања;</w:t>
            </w:r>
          </w:p>
          <w:p w:rsidR="00041039" w:rsidRDefault="001B26CB">
            <w:pPr>
              <w:pStyle w:val="TableParagraph"/>
              <w:numPr>
                <w:ilvl w:val="0"/>
                <w:numId w:val="50"/>
              </w:numPr>
              <w:tabs>
                <w:tab w:val="left" w:pos="157"/>
              </w:tabs>
              <w:spacing w:line="160" w:lineRule="exact"/>
              <w:ind w:hanging="99"/>
              <w:rPr>
                <w:sz w:val="14"/>
              </w:rPr>
            </w:pPr>
            <w:r>
              <w:rPr>
                <w:color w:val="231F20"/>
                <w:sz w:val="14"/>
              </w:rPr>
              <w:t>објасни варење, ресорпцију хране</w:t>
            </w:r>
          </w:p>
          <w:p w:rsidR="00041039" w:rsidRDefault="001B26CB">
            <w:pPr>
              <w:pStyle w:val="TableParagraph"/>
              <w:spacing w:line="155" w:lineRule="exact"/>
              <w:rPr>
                <w:sz w:val="14"/>
              </w:rPr>
            </w:pPr>
            <w:r>
              <w:rPr>
                <w:color w:val="231F20"/>
                <w:sz w:val="14"/>
              </w:rPr>
              <w:t>и неур</w:t>
            </w:r>
            <w:r>
              <w:rPr>
                <w:color w:val="231F20"/>
                <w:sz w:val="14"/>
              </w:rPr>
              <w:t>охормоналну регулацију варења;</w:t>
            </w:r>
          </w:p>
          <w:p w:rsidR="00041039" w:rsidRDefault="001B26CB">
            <w:pPr>
              <w:pStyle w:val="TableParagraph"/>
              <w:numPr>
                <w:ilvl w:val="0"/>
                <w:numId w:val="50"/>
              </w:numPr>
              <w:tabs>
                <w:tab w:val="left" w:pos="157"/>
              </w:tabs>
              <w:spacing w:line="160" w:lineRule="exact"/>
              <w:ind w:hanging="99"/>
              <w:rPr>
                <w:sz w:val="14"/>
              </w:rPr>
            </w:pPr>
            <w:r>
              <w:rPr>
                <w:color w:val="231F20"/>
                <w:sz w:val="14"/>
              </w:rPr>
              <w:t>објасни улогу екскреторних</w:t>
            </w:r>
            <w:r>
              <w:rPr>
                <w:color w:val="231F20"/>
                <w:spacing w:val="-6"/>
                <w:sz w:val="14"/>
              </w:rPr>
              <w:t xml:space="preserve"> </w:t>
            </w:r>
            <w:r>
              <w:rPr>
                <w:color w:val="231F20"/>
                <w:sz w:val="14"/>
              </w:rPr>
              <w:t>органа;</w:t>
            </w:r>
          </w:p>
          <w:p w:rsidR="00041039" w:rsidRDefault="001B26CB">
            <w:pPr>
              <w:pStyle w:val="TableParagraph"/>
              <w:numPr>
                <w:ilvl w:val="0"/>
                <w:numId w:val="50"/>
              </w:numPr>
              <w:tabs>
                <w:tab w:val="left" w:pos="157"/>
              </w:tabs>
              <w:spacing w:line="164" w:lineRule="exact"/>
              <w:ind w:hanging="99"/>
              <w:rPr>
                <w:sz w:val="14"/>
              </w:rPr>
            </w:pPr>
            <w:r>
              <w:rPr>
                <w:color w:val="231F20"/>
                <w:sz w:val="14"/>
              </w:rPr>
              <w:t>објасни улогу органа за</w:t>
            </w:r>
            <w:r>
              <w:rPr>
                <w:color w:val="231F20"/>
                <w:spacing w:val="-19"/>
                <w:sz w:val="14"/>
              </w:rPr>
              <w:t xml:space="preserve"> </w:t>
            </w:r>
            <w:r>
              <w:rPr>
                <w:color w:val="231F20"/>
                <w:sz w:val="14"/>
              </w:rPr>
              <w:t>размножавање;</w:t>
            </w:r>
          </w:p>
        </w:tc>
        <w:tc>
          <w:tcPr>
            <w:tcW w:w="2834" w:type="dxa"/>
          </w:tcPr>
          <w:p w:rsidR="00041039" w:rsidRDefault="001B26CB">
            <w:pPr>
              <w:pStyle w:val="TableParagraph"/>
              <w:numPr>
                <w:ilvl w:val="0"/>
                <w:numId w:val="49"/>
              </w:numPr>
              <w:tabs>
                <w:tab w:val="left" w:pos="157"/>
              </w:tabs>
              <w:spacing w:before="10" w:line="166" w:lineRule="exact"/>
              <w:ind w:hanging="99"/>
              <w:rPr>
                <w:sz w:val="14"/>
              </w:rPr>
            </w:pPr>
            <w:r>
              <w:rPr>
                <w:color w:val="231F20"/>
                <w:sz w:val="14"/>
              </w:rPr>
              <w:t>Нервни</w:t>
            </w:r>
            <w:r>
              <w:rPr>
                <w:color w:val="231F20"/>
                <w:spacing w:val="-2"/>
                <w:sz w:val="14"/>
              </w:rPr>
              <w:t xml:space="preserve"> </w:t>
            </w:r>
            <w:r>
              <w:rPr>
                <w:color w:val="231F20"/>
                <w:sz w:val="14"/>
              </w:rPr>
              <w:t>систем.</w:t>
            </w:r>
          </w:p>
          <w:p w:rsidR="00041039" w:rsidRDefault="001B26CB">
            <w:pPr>
              <w:pStyle w:val="TableParagraph"/>
              <w:numPr>
                <w:ilvl w:val="0"/>
                <w:numId w:val="49"/>
              </w:numPr>
              <w:tabs>
                <w:tab w:val="left" w:pos="157"/>
              </w:tabs>
              <w:spacing w:line="160" w:lineRule="exact"/>
              <w:ind w:hanging="99"/>
              <w:rPr>
                <w:sz w:val="14"/>
              </w:rPr>
            </w:pPr>
            <w:r>
              <w:rPr>
                <w:color w:val="231F20"/>
                <w:sz w:val="14"/>
              </w:rPr>
              <w:t>Чула.</w:t>
            </w:r>
          </w:p>
          <w:p w:rsidR="00041039" w:rsidRDefault="001B26CB">
            <w:pPr>
              <w:pStyle w:val="TableParagraph"/>
              <w:numPr>
                <w:ilvl w:val="0"/>
                <w:numId w:val="49"/>
              </w:numPr>
              <w:tabs>
                <w:tab w:val="left" w:pos="157"/>
              </w:tabs>
              <w:spacing w:line="160" w:lineRule="exact"/>
              <w:ind w:hanging="99"/>
              <w:rPr>
                <w:sz w:val="14"/>
              </w:rPr>
            </w:pPr>
            <w:r>
              <w:rPr>
                <w:color w:val="231F20"/>
                <w:sz w:val="14"/>
              </w:rPr>
              <w:t>Мишићно ­ скелетни систем</w:t>
            </w:r>
            <w:r>
              <w:rPr>
                <w:color w:val="231F20"/>
                <w:spacing w:val="-3"/>
                <w:sz w:val="14"/>
              </w:rPr>
              <w:t xml:space="preserve"> </w:t>
            </w:r>
            <w:r>
              <w:rPr>
                <w:color w:val="231F20"/>
                <w:sz w:val="14"/>
              </w:rPr>
              <w:t>органа.</w:t>
            </w:r>
          </w:p>
          <w:p w:rsidR="00041039" w:rsidRDefault="001B26CB">
            <w:pPr>
              <w:pStyle w:val="TableParagraph"/>
              <w:numPr>
                <w:ilvl w:val="0"/>
                <w:numId w:val="49"/>
              </w:numPr>
              <w:tabs>
                <w:tab w:val="left" w:pos="157"/>
              </w:tabs>
              <w:spacing w:line="160" w:lineRule="exact"/>
              <w:ind w:hanging="99"/>
              <w:rPr>
                <w:sz w:val="14"/>
              </w:rPr>
            </w:pPr>
            <w:r>
              <w:rPr>
                <w:color w:val="231F20"/>
                <w:sz w:val="14"/>
              </w:rPr>
              <w:t>Ендокрине жлезде ­ хуморална</w:t>
            </w:r>
            <w:r>
              <w:rPr>
                <w:color w:val="231F20"/>
                <w:spacing w:val="-16"/>
                <w:sz w:val="14"/>
              </w:rPr>
              <w:t xml:space="preserve"> </w:t>
            </w:r>
            <w:r>
              <w:rPr>
                <w:color w:val="231F20"/>
                <w:sz w:val="14"/>
              </w:rPr>
              <w:t>регулација.</w:t>
            </w:r>
          </w:p>
          <w:p w:rsidR="00041039" w:rsidRDefault="001B26CB">
            <w:pPr>
              <w:pStyle w:val="TableParagraph"/>
              <w:numPr>
                <w:ilvl w:val="0"/>
                <w:numId w:val="49"/>
              </w:numPr>
              <w:tabs>
                <w:tab w:val="left" w:pos="157"/>
              </w:tabs>
              <w:spacing w:line="160" w:lineRule="exact"/>
              <w:ind w:hanging="99"/>
              <w:rPr>
                <w:sz w:val="14"/>
              </w:rPr>
            </w:pPr>
            <w:r>
              <w:rPr>
                <w:color w:val="231F20"/>
                <w:sz w:val="14"/>
              </w:rPr>
              <w:t>Систем органа за</w:t>
            </w:r>
            <w:r>
              <w:rPr>
                <w:color w:val="231F20"/>
                <w:spacing w:val="-4"/>
                <w:sz w:val="14"/>
              </w:rPr>
              <w:t xml:space="preserve"> </w:t>
            </w:r>
            <w:r>
              <w:rPr>
                <w:color w:val="231F20"/>
                <w:sz w:val="14"/>
              </w:rPr>
              <w:t>варење.</w:t>
            </w:r>
          </w:p>
          <w:p w:rsidR="00041039" w:rsidRDefault="001B26CB">
            <w:pPr>
              <w:pStyle w:val="TableParagraph"/>
              <w:numPr>
                <w:ilvl w:val="0"/>
                <w:numId w:val="49"/>
              </w:numPr>
              <w:tabs>
                <w:tab w:val="left" w:pos="157"/>
              </w:tabs>
              <w:spacing w:line="160" w:lineRule="exact"/>
              <w:ind w:hanging="99"/>
              <w:rPr>
                <w:sz w:val="14"/>
              </w:rPr>
            </w:pPr>
            <w:r>
              <w:rPr>
                <w:color w:val="231F20"/>
                <w:sz w:val="14"/>
              </w:rPr>
              <w:t>Систем органа за</w:t>
            </w:r>
            <w:r>
              <w:rPr>
                <w:color w:val="231F20"/>
                <w:spacing w:val="-1"/>
                <w:sz w:val="14"/>
              </w:rPr>
              <w:t xml:space="preserve"> </w:t>
            </w:r>
            <w:r>
              <w:rPr>
                <w:color w:val="231F20"/>
                <w:sz w:val="14"/>
              </w:rPr>
              <w:t>дисање.</w:t>
            </w:r>
          </w:p>
          <w:p w:rsidR="00041039" w:rsidRDefault="001B26CB">
            <w:pPr>
              <w:pStyle w:val="TableParagraph"/>
              <w:numPr>
                <w:ilvl w:val="0"/>
                <w:numId w:val="49"/>
              </w:numPr>
              <w:tabs>
                <w:tab w:val="left" w:pos="157"/>
              </w:tabs>
              <w:spacing w:line="160" w:lineRule="exact"/>
              <w:ind w:hanging="99"/>
              <w:rPr>
                <w:sz w:val="14"/>
              </w:rPr>
            </w:pPr>
            <w:r>
              <w:rPr>
                <w:color w:val="231F20"/>
                <w:sz w:val="14"/>
              </w:rPr>
              <w:t>Систем за циркулацију телесних</w:t>
            </w:r>
            <w:r>
              <w:rPr>
                <w:color w:val="231F20"/>
                <w:spacing w:val="-11"/>
                <w:sz w:val="14"/>
              </w:rPr>
              <w:t xml:space="preserve"> </w:t>
            </w:r>
            <w:r>
              <w:rPr>
                <w:color w:val="231F20"/>
                <w:sz w:val="14"/>
              </w:rPr>
              <w:t>течности.</w:t>
            </w:r>
          </w:p>
          <w:p w:rsidR="00041039" w:rsidRDefault="001B26CB">
            <w:pPr>
              <w:pStyle w:val="TableParagraph"/>
              <w:numPr>
                <w:ilvl w:val="0"/>
                <w:numId w:val="49"/>
              </w:numPr>
              <w:tabs>
                <w:tab w:val="left" w:pos="157"/>
              </w:tabs>
              <w:spacing w:line="237" w:lineRule="auto"/>
              <w:ind w:right="287" w:hanging="99"/>
              <w:rPr>
                <w:sz w:val="14"/>
              </w:rPr>
            </w:pPr>
            <w:r>
              <w:rPr>
                <w:color w:val="231F20"/>
                <w:sz w:val="14"/>
              </w:rPr>
              <w:t>Систем органа за излучивање и</w:t>
            </w:r>
            <w:r>
              <w:rPr>
                <w:color w:val="231F20"/>
                <w:spacing w:val="-13"/>
                <w:sz w:val="14"/>
              </w:rPr>
              <w:t xml:space="preserve"> </w:t>
            </w:r>
            <w:r>
              <w:rPr>
                <w:color w:val="231F20"/>
                <w:sz w:val="14"/>
              </w:rPr>
              <w:t>размно­ жавање.</w:t>
            </w:r>
          </w:p>
        </w:tc>
        <w:tc>
          <w:tcPr>
            <w:tcW w:w="2267" w:type="dxa"/>
            <w:vMerge/>
            <w:tcBorders>
              <w:top w:val="nil"/>
            </w:tcBorders>
          </w:tcPr>
          <w:p w:rsidR="00041039" w:rsidRDefault="00041039">
            <w:pPr>
              <w:rPr>
                <w:sz w:val="2"/>
                <w:szCs w:val="2"/>
              </w:rPr>
            </w:pPr>
          </w:p>
        </w:tc>
      </w:tr>
      <w:tr w:rsidR="00041039">
        <w:trPr>
          <w:trHeight w:val="1480"/>
        </w:trPr>
        <w:tc>
          <w:tcPr>
            <w:tcW w:w="1304" w:type="dxa"/>
          </w:tcPr>
          <w:p w:rsidR="00041039" w:rsidRDefault="001B26CB">
            <w:pPr>
              <w:pStyle w:val="TableParagraph"/>
              <w:spacing w:before="20"/>
              <w:ind w:left="56" w:right="123"/>
              <w:rPr>
                <w:sz w:val="14"/>
              </w:rPr>
            </w:pPr>
            <w:r>
              <w:rPr>
                <w:color w:val="231F20"/>
                <w:sz w:val="14"/>
              </w:rPr>
              <w:t>Биологија развића човека</w:t>
            </w:r>
          </w:p>
        </w:tc>
        <w:tc>
          <w:tcPr>
            <w:tcW w:w="1587" w:type="dxa"/>
          </w:tcPr>
          <w:p w:rsidR="00041039" w:rsidRDefault="001B26CB">
            <w:pPr>
              <w:pStyle w:val="TableParagraph"/>
              <w:numPr>
                <w:ilvl w:val="0"/>
                <w:numId w:val="48"/>
              </w:numPr>
              <w:tabs>
                <w:tab w:val="left" w:pos="157"/>
              </w:tabs>
              <w:spacing w:before="10"/>
              <w:ind w:right="115"/>
              <w:rPr>
                <w:sz w:val="14"/>
              </w:rPr>
            </w:pPr>
            <w:r>
              <w:rPr>
                <w:color w:val="231F20"/>
                <w:sz w:val="14"/>
              </w:rPr>
              <w:t>Упознавање са</w:t>
            </w:r>
            <w:r>
              <w:rPr>
                <w:color w:val="231F20"/>
                <w:spacing w:val="-14"/>
                <w:sz w:val="14"/>
              </w:rPr>
              <w:t xml:space="preserve"> </w:t>
            </w:r>
            <w:r>
              <w:rPr>
                <w:color w:val="231F20"/>
                <w:sz w:val="14"/>
              </w:rPr>
              <w:t>основ­ ним фазама развића човека.</w:t>
            </w:r>
          </w:p>
          <w:p w:rsidR="00041039" w:rsidRDefault="001B26CB">
            <w:pPr>
              <w:pStyle w:val="TableParagraph"/>
              <w:numPr>
                <w:ilvl w:val="0"/>
                <w:numId w:val="48"/>
              </w:numPr>
              <w:tabs>
                <w:tab w:val="left" w:pos="157"/>
              </w:tabs>
              <w:spacing w:line="157" w:lineRule="exact"/>
              <w:rPr>
                <w:sz w:val="14"/>
              </w:rPr>
            </w:pPr>
            <w:r>
              <w:rPr>
                <w:color w:val="231F20"/>
                <w:sz w:val="14"/>
              </w:rPr>
              <w:t>Разумевање</w:t>
            </w:r>
            <w:r>
              <w:rPr>
                <w:color w:val="231F20"/>
                <w:spacing w:val="-2"/>
                <w:sz w:val="14"/>
              </w:rPr>
              <w:t xml:space="preserve"> </w:t>
            </w:r>
            <w:r>
              <w:rPr>
                <w:color w:val="231F20"/>
                <w:sz w:val="14"/>
              </w:rPr>
              <w:t>процеса</w:t>
            </w:r>
          </w:p>
          <w:p w:rsidR="00041039" w:rsidRDefault="001B26CB">
            <w:pPr>
              <w:pStyle w:val="TableParagraph"/>
              <w:spacing w:line="160" w:lineRule="exact"/>
              <w:rPr>
                <w:sz w:val="14"/>
              </w:rPr>
            </w:pPr>
            <w:r>
              <w:rPr>
                <w:color w:val="231F20"/>
                <w:sz w:val="14"/>
              </w:rPr>
              <w:t>полног сазревања.</w:t>
            </w:r>
          </w:p>
        </w:tc>
        <w:tc>
          <w:tcPr>
            <w:tcW w:w="2551" w:type="dxa"/>
          </w:tcPr>
          <w:p w:rsidR="00041039" w:rsidRDefault="001B26CB">
            <w:pPr>
              <w:pStyle w:val="TableParagraph"/>
              <w:numPr>
                <w:ilvl w:val="0"/>
                <w:numId w:val="47"/>
              </w:numPr>
              <w:tabs>
                <w:tab w:val="left" w:pos="157"/>
              </w:tabs>
              <w:spacing w:before="10"/>
              <w:ind w:right="349" w:hanging="99"/>
              <w:rPr>
                <w:sz w:val="14"/>
              </w:rPr>
            </w:pPr>
            <w:r>
              <w:rPr>
                <w:color w:val="231F20"/>
                <w:sz w:val="14"/>
              </w:rPr>
              <w:t>објасни процесе сперматогенезе</w:t>
            </w:r>
            <w:r>
              <w:rPr>
                <w:color w:val="231F20"/>
                <w:spacing w:val="-12"/>
                <w:sz w:val="14"/>
              </w:rPr>
              <w:t xml:space="preserve"> </w:t>
            </w:r>
            <w:r>
              <w:rPr>
                <w:color w:val="231F20"/>
                <w:sz w:val="14"/>
              </w:rPr>
              <w:t>и оогенезе;</w:t>
            </w:r>
          </w:p>
          <w:p w:rsidR="00041039" w:rsidRDefault="001B26CB">
            <w:pPr>
              <w:pStyle w:val="TableParagraph"/>
              <w:numPr>
                <w:ilvl w:val="0"/>
                <w:numId w:val="47"/>
              </w:numPr>
              <w:tabs>
                <w:tab w:val="left" w:pos="157"/>
              </w:tabs>
              <w:spacing w:line="153" w:lineRule="exact"/>
              <w:ind w:hanging="99"/>
              <w:rPr>
                <w:sz w:val="14"/>
              </w:rPr>
            </w:pPr>
            <w:r>
              <w:rPr>
                <w:color w:val="231F20"/>
                <w:sz w:val="14"/>
              </w:rPr>
              <w:t>опише процес</w:t>
            </w:r>
            <w:r>
              <w:rPr>
                <w:color w:val="231F20"/>
                <w:spacing w:val="-1"/>
                <w:sz w:val="14"/>
              </w:rPr>
              <w:t xml:space="preserve"> </w:t>
            </w:r>
            <w:r>
              <w:rPr>
                <w:color w:val="231F20"/>
                <w:sz w:val="14"/>
              </w:rPr>
              <w:t>оплођења;</w:t>
            </w:r>
          </w:p>
          <w:p w:rsidR="00041039" w:rsidRDefault="001B26CB">
            <w:pPr>
              <w:pStyle w:val="TableParagraph"/>
              <w:numPr>
                <w:ilvl w:val="0"/>
                <w:numId w:val="47"/>
              </w:numPr>
              <w:tabs>
                <w:tab w:val="left" w:pos="157"/>
              </w:tabs>
              <w:spacing w:line="160" w:lineRule="exact"/>
              <w:ind w:hanging="99"/>
              <w:rPr>
                <w:sz w:val="14"/>
              </w:rPr>
            </w:pPr>
            <w:r>
              <w:rPr>
                <w:color w:val="231F20"/>
                <w:sz w:val="14"/>
              </w:rPr>
              <w:t>наведе фазе интраутеричног</w:t>
            </w:r>
            <w:r>
              <w:rPr>
                <w:color w:val="231F20"/>
                <w:spacing w:val="-6"/>
                <w:sz w:val="14"/>
              </w:rPr>
              <w:t xml:space="preserve"> </w:t>
            </w:r>
            <w:r>
              <w:rPr>
                <w:color w:val="231F20"/>
                <w:sz w:val="14"/>
              </w:rPr>
              <w:t>развића;</w:t>
            </w:r>
          </w:p>
          <w:p w:rsidR="00041039" w:rsidRDefault="001B26CB">
            <w:pPr>
              <w:pStyle w:val="TableParagraph"/>
              <w:numPr>
                <w:ilvl w:val="0"/>
                <w:numId w:val="47"/>
              </w:numPr>
              <w:tabs>
                <w:tab w:val="left" w:pos="157"/>
              </w:tabs>
              <w:spacing w:line="237" w:lineRule="auto"/>
              <w:ind w:right="355" w:hanging="99"/>
              <w:rPr>
                <w:sz w:val="14"/>
              </w:rPr>
            </w:pPr>
            <w:r>
              <w:rPr>
                <w:color w:val="231F20"/>
                <w:sz w:val="14"/>
              </w:rPr>
              <w:t>објасни настанак ткива и</w:t>
            </w:r>
            <w:r>
              <w:rPr>
                <w:color w:val="231F20"/>
                <w:spacing w:val="-13"/>
                <w:sz w:val="14"/>
              </w:rPr>
              <w:t xml:space="preserve"> </w:t>
            </w:r>
            <w:r>
              <w:rPr>
                <w:color w:val="231F20"/>
                <w:sz w:val="14"/>
              </w:rPr>
              <w:t>зачетака органа;</w:t>
            </w:r>
          </w:p>
          <w:p w:rsidR="00041039" w:rsidRDefault="001B26CB">
            <w:pPr>
              <w:pStyle w:val="TableParagraph"/>
              <w:numPr>
                <w:ilvl w:val="0"/>
                <w:numId w:val="47"/>
              </w:numPr>
              <w:tabs>
                <w:tab w:val="left" w:pos="157"/>
              </w:tabs>
              <w:spacing w:line="160" w:lineRule="exact"/>
              <w:ind w:right="48" w:hanging="99"/>
              <w:rPr>
                <w:sz w:val="14"/>
              </w:rPr>
            </w:pPr>
            <w:r>
              <w:rPr>
                <w:color w:val="231F20"/>
                <w:sz w:val="14"/>
              </w:rPr>
              <w:t>опише промене које се догађају у</w:t>
            </w:r>
            <w:r>
              <w:rPr>
                <w:color w:val="231F20"/>
                <w:spacing w:val="-13"/>
                <w:sz w:val="14"/>
              </w:rPr>
              <w:t xml:space="preserve"> </w:t>
            </w:r>
            <w:r>
              <w:rPr>
                <w:color w:val="231F20"/>
                <w:sz w:val="14"/>
              </w:rPr>
              <w:t xml:space="preserve">орга­ низму </w:t>
            </w:r>
            <w:r>
              <w:rPr>
                <w:color w:val="231F20"/>
                <w:spacing w:val="-3"/>
                <w:sz w:val="14"/>
              </w:rPr>
              <w:t xml:space="preserve">од </w:t>
            </w:r>
            <w:r>
              <w:rPr>
                <w:color w:val="231F20"/>
                <w:sz w:val="14"/>
              </w:rPr>
              <w:t>рођења до</w:t>
            </w:r>
            <w:r>
              <w:rPr>
                <w:color w:val="231F20"/>
                <w:sz w:val="14"/>
              </w:rPr>
              <w:t xml:space="preserve"> </w:t>
            </w:r>
            <w:r>
              <w:rPr>
                <w:color w:val="231F20"/>
                <w:sz w:val="14"/>
              </w:rPr>
              <w:t>пубертета;</w:t>
            </w:r>
          </w:p>
          <w:p w:rsidR="00041039" w:rsidRDefault="001B26CB">
            <w:pPr>
              <w:pStyle w:val="TableParagraph"/>
              <w:numPr>
                <w:ilvl w:val="0"/>
                <w:numId w:val="47"/>
              </w:numPr>
              <w:tabs>
                <w:tab w:val="left" w:pos="157"/>
              </w:tabs>
              <w:spacing w:line="157" w:lineRule="exact"/>
              <w:ind w:hanging="99"/>
              <w:rPr>
                <w:sz w:val="14"/>
              </w:rPr>
            </w:pPr>
            <w:r>
              <w:rPr>
                <w:color w:val="231F20"/>
                <w:sz w:val="14"/>
              </w:rPr>
              <w:t>објасни полно</w:t>
            </w:r>
            <w:r>
              <w:rPr>
                <w:color w:val="231F20"/>
                <w:spacing w:val="-2"/>
                <w:sz w:val="14"/>
              </w:rPr>
              <w:t xml:space="preserve"> </w:t>
            </w:r>
            <w:r>
              <w:rPr>
                <w:color w:val="231F20"/>
                <w:sz w:val="14"/>
              </w:rPr>
              <w:t>сазревање;</w:t>
            </w:r>
          </w:p>
        </w:tc>
        <w:tc>
          <w:tcPr>
            <w:tcW w:w="2834" w:type="dxa"/>
          </w:tcPr>
          <w:p w:rsidR="00041039" w:rsidRDefault="001B26CB">
            <w:pPr>
              <w:pStyle w:val="TableParagraph"/>
              <w:numPr>
                <w:ilvl w:val="0"/>
                <w:numId w:val="46"/>
              </w:numPr>
              <w:tabs>
                <w:tab w:val="left" w:pos="158"/>
              </w:tabs>
              <w:spacing w:before="10" w:line="166" w:lineRule="exact"/>
              <w:rPr>
                <w:sz w:val="14"/>
              </w:rPr>
            </w:pPr>
            <w:r>
              <w:rPr>
                <w:color w:val="231F20"/>
                <w:sz w:val="14"/>
              </w:rPr>
              <w:t>Стварање и сазревање полних</w:t>
            </w:r>
            <w:r>
              <w:rPr>
                <w:color w:val="231F20"/>
                <w:spacing w:val="-5"/>
                <w:sz w:val="14"/>
              </w:rPr>
              <w:t xml:space="preserve"> </w:t>
            </w:r>
            <w:r>
              <w:rPr>
                <w:color w:val="231F20"/>
                <w:sz w:val="14"/>
              </w:rPr>
              <w:t>ћелија.</w:t>
            </w:r>
          </w:p>
          <w:p w:rsidR="00041039" w:rsidRDefault="001B26CB">
            <w:pPr>
              <w:pStyle w:val="TableParagraph"/>
              <w:numPr>
                <w:ilvl w:val="0"/>
                <w:numId w:val="46"/>
              </w:numPr>
              <w:tabs>
                <w:tab w:val="left" w:pos="158"/>
              </w:tabs>
              <w:spacing w:line="160" w:lineRule="exact"/>
              <w:rPr>
                <w:sz w:val="14"/>
              </w:rPr>
            </w:pPr>
            <w:r>
              <w:rPr>
                <w:color w:val="231F20"/>
                <w:sz w:val="14"/>
              </w:rPr>
              <w:t>Оплођење.</w:t>
            </w:r>
          </w:p>
          <w:p w:rsidR="00041039" w:rsidRDefault="001B26CB">
            <w:pPr>
              <w:pStyle w:val="TableParagraph"/>
              <w:numPr>
                <w:ilvl w:val="0"/>
                <w:numId w:val="46"/>
              </w:numPr>
              <w:tabs>
                <w:tab w:val="left" w:pos="158"/>
              </w:tabs>
              <w:spacing w:line="160" w:lineRule="exact"/>
              <w:rPr>
                <w:sz w:val="14"/>
              </w:rPr>
            </w:pPr>
            <w:r>
              <w:rPr>
                <w:color w:val="231F20"/>
                <w:sz w:val="14"/>
              </w:rPr>
              <w:t>Интраутерично</w:t>
            </w:r>
            <w:r>
              <w:rPr>
                <w:color w:val="231F20"/>
                <w:spacing w:val="-1"/>
                <w:sz w:val="14"/>
              </w:rPr>
              <w:t xml:space="preserve"> </w:t>
            </w:r>
            <w:r>
              <w:rPr>
                <w:color w:val="231F20"/>
                <w:sz w:val="14"/>
              </w:rPr>
              <w:t>развиће.</w:t>
            </w:r>
          </w:p>
          <w:p w:rsidR="00041039" w:rsidRDefault="001B26CB">
            <w:pPr>
              <w:pStyle w:val="TableParagraph"/>
              <w:numPr>
                <w:ilvl w:val="0"/>
                <w:numId w:val="46"/>
              </w:numPr>
              <w:tabs>
                <w:tab w:val="left" w:pos="158"/>
              </w:tabs>
              <w:spacing w:line="160" w:lineRule="exact"/>
              <w:rPr>
                <w:sz w:val="14"/>
              </w:rPr>
            </w:pPr>
            <w:r>
              <w:rPr>
                <w:color w:val="231F20"/>
                <w:sz w:val="14"/>
              </w:rPr>
              <w:t>Рађање и</w:t>
            </w:r>
            <w:r>
              <w:rPr>
                <w:color w:val="231F20"/>
                <w:spacing w:val="-3"/>
                <w:sz w:val="14"/>
              </w:rPr>
              <w:t xml:space="preserve"> </w:t>
            </w:r>
            <w:r>
              <w:rPr>
                <w:color w:val="231F20"/>
                <w:sz w:val="14"/>
              </w:rPr>
              <w:t>детињство.</w:t>
            </w:r>
          </w:p>
          <w:p w:rsidR="00041039" w:rsidRDefault="001B26CB">
            <w:pPr>
              <w:pStyle w:val="TableParagraph"/>
              <w:numPr>
                <w:ilvl w:val="0"/>
                <w:numId w:val="46"/>
              </w:numPr>
              <w:tabs>
                <w:tab w:val="left" w:pos="158"/>
              </w:tabs>
              <w:spacing w:line="166" w:lineRule="exact"/>
              <w:rPr>
                <w:sz w:val="14"/>
              </w:rPr>
            </w:pPr>
            <w:r>
              <w:rPr>
                <w:color w:val="231F20"/>
                <w:sz w:val="14"/>
              </w:rPr>
              <w:t>Полно</w:t>
            </w:r>
            <w:r>
              <w:rPr>
                <w:color w:val="231F20"/>
                <w:spacing w:val="-2"/>
                <w:sz w:val="14"/>
              </w:rPr>
              <w:t xml:space="preserve"> </w:t>
            </w:r>
            <w:r>
              <w:rPr>
                <w:color w:val="231F20"/>
                <w:sz w:val="14"/>
              </w:rPr>
              <w:t>сазревање.</w:t>
            </w:r>
          </w:p>
        </w:tc>
        <w:tc>
          <w:tcPr>
            <w:tcW w:w="2267" w:type="dxa"/>
            <w:vMerge/>
            <w:tcBorders>
              <w:top w:val="nil"/>
            </w:tcBorders>
          </w:tcPr>
          <w:p w:rsidR="00041039" w:rsidRDefault="00041039">
            <w:pPr>
              <w:rPr>
                <w:sz w:val="2"/>
                <w:szCs w:val="2"/>
              </w:rPr>
            </w:pPr>
          </w:p>
        </w:tc>
      </w:tr>
      <w:tr w:rsidR="00041039">
        <w:trPr>
          <w:trHeight w:val="1640"/>
        </w:trPr>
        <w:tc>
          <w:tcPr>
            <w:tcW w:w="1304" w:type="dxa"/>
          </w:tcPr>
          <w:p w:rsidR="00041039" w:rsidRDefault="001B26CB">
            <w:pPr>
              <w:pStyle w:val="TableParagraph"/>
              <w:spacing w:before="21"/>
              <w:ind w:left="57" w:right="127"/>
              <w:rPr>
                <w:sz w:val="14"/>
              </w:rPr>
            </w:pPr>
            <w:r>
              <w:rPr>
                <w:color w:val="231F20"/>
                <w:sz w:val="14"/>
              </w:rPr>
              <w:t>Наслеђивање био­ лошких особина</w:t>
            </w:r>
          </w:p>
        </w:tc>
        <w:tc>
          <w:tcPr>
            <w:tcW w:w="1587" w:type="dxa"/>
          </w:tcPr>
          <w:p w:rsidR="00041039" w:rsidRDefault="001B26CB">
            <w:pPr>
              <w:pStyle w:val="TableParagraph"/>
              <w:numPr>
                <w:ilvl w:val="0"/>
                <w:numId w:val="45"/>
              </w:numPr>
              <w:tabs>
                <w:tab w:val="left" w:pos="157"/>
              </w:tabs>
              <w:spacing w:before="11"/>
              <w:ind w:right="115" w:hanging="99"/>
              <w:rPr>
                <w:sz w:val="14"/>
              </w:rPr>
            </w:pPr>
            <w:r>
              <w:rPr>
                <w:color w:val="231F20"/>
                <w:sz w:val="14"/>
              </w:rPr>
              <w:t>Разумевање</w:t>
            </w:r>
            <w:r>
              <w:rPr>
                <w:color w:val="231F20"/>
                <w:spacing w:val="-6"/>
                <w:sz w:val="14"/>
              </w:rPr>
              <w:t xml:space="preserve"> </w:t>
            </w:r>
            <w:r>
              <w:rPr>
                <w:color w:val="231F20"/>
                <w:sz w:val="14"/>
              </w:rPr>
              <w:t>основних принципа наслеђи­ вања особина.</w:t>
            </w:r>
          </w:p>
        </w:tc>
        <w:tc>
          <w:tcPr>
            <w:tcW w:w="2551" w:type="dxa"/>
          </w:tcPr>
          <w:p w:rsidR="00041039" w:rsidRDefault="001B26CB">
            <w:pPr>
              <w:pStyle w:val="TableParagraph"/>
              <w:numPr>
                <w:ilvl w:val="0"/>
                <w:numId w:val="44"/>
              </w:numPr>
              <w:tabs>
                <w:tab w:val="left" w:pos="157"/>
              </w:tabs>
              <w:spacing w:before="11" w:line="166" w:lineRule="exact"/>
              <w:ind w:hanging="99"/>
              <w:rPr>
                <w:sz w:val="14"/>
              </w:rPr>
            </w:pPr>
            <w:r>
              <w:rPr>
                <w:color w:val="231F20"/>
                <w:sz w:val="14"/>
              </w:rPr>
              <w:t>упореди ДНК, хроматин,</w:t>
            </w:r>
            <w:r>
              <w:rPr>
                <w:color w:val="231F20"/>
                <w:spacing w:val="-8"/>
                <w:sz w:val="14"/>
              </w:rPr>
              <w:t xml:space="preserve"> </w:t>
            </w:r>
            <w:r>
              <w:rPr>
                <w:color w:val="231F20"/>
                <w:sz w:val="14"/>
              </w:rPr>
              <w:t>хромозом;</w:t>
            </w:r>
          </w:p>
          <w:p w:rsidR="00041039" w:rsidRDefault="001B26CB">
            <w:pPr>
              <w:pStyle w:val="TableParagraph"/>
              <w:numPr>
                <w:ilvl w:val="0"/>
                <w:numId w:val="44"/>
              </w:numPr>
              <w:tabs>
                <w:tab w:val="left" w:pos="157"/>
              </w:tabs>
              <w:spacing w:line="237" w:lineRule="auto"/>
              <w:ind w:right="538" w:hanging="99"/>
              <w:rPr>
                <w:sz w:val="14"/>
              </w:rPr>
            </w:pPr>
            <w:r>
              <w:rPr>
                <w:color w:val="231F20"/>
                <w:sz w:val="14"/>
              </w:rPr>
              <w:t>дефинише ген, геном,</w:t>
            </w:r>
            <w:r>
              <w:rPr>
                <w:color w:val="231F20"/>
                <w:spacing w:val="-13"/>
                <w:sz w:val="14"/>
              </w:rPr>
              <w:t xml:space="preserve"> </w:t>
            </w:r>
            <w:r>
              <w:rPr>
                <w:color w:val="231F20"/>
                <w:sz w:val="14"/>
              </w:rPr>
              <w:t>генотип, фенотип;</w:t>
            </w:r>
          </w:p>
          <w:p w:rsidR="00041039" w:rsidRDefault="001B26CB">
            <w:pPr>
              <w:pStyle w:val="TableParagraph"/>
              <w:numPr>
                <w:ilvl w:val="0"/>
                <w:numId w:val="44"/>
              </w:numPr>
              <w:tabs>
                <w:tab w:val="left" w:pos="157"/>
              </w:tabs>
              <w:spacing w:line="160" w:lineRule="exact"/>
              <w:ind w:right="95" w:hanging="99"/>
              <w:rPr>
                <w:sz w:val="14"/>
              </w:rPr>
            </w:pPr>
            <w:r>
              <w:rPr>
                <w:color w:val="231F20"/>
                <w:sz w:val="14"/>
              </w:rPr>
              <w:t>објасни основна правила наслеђивања особина (Менделова</w:t>
            </w:r>
            <w:r>
              <w:rPr>
                <w:color w:val="231F20"/>
                <w:spacing w:val="-2"/>
                <w:sz w:val="14"/>
              </w:rPr>
              <w:t xml:space="preserve"> </w:t>
            </w:r>
            <w:r>
              <w:rPr>
                <w:color w:val="231F20"/>
                <w:sz w:val="14"/>
              </w:rPr>
              <w:t>правила);</w:t>
            </w:r>
          </w:p>
          <w:p w:rsidR="00041039" w:rsidRDefault="001B26CB">
            <w:pPr>
              <w:pStyle w:val="TableParagraph"/>
              <w:numPr>
                <w:ilvl w:val="0"/>
                <w:numId w:val="44"/>
              </w:numPr>
              <w:tabs>
                <w:tab w:val="left" w:pos="157"/>
              </w:tabs>
              <w:spacing w:line="153" w:lineRule="exact"/>
              <w:ind w:hanging="99"/>
              <w:rPr>
                <w:sz w:val="14"/>
              </w:rPr>
            </w:pPr>
            <w:r>
              <w:rPr>
                <w:color w:val="231F20"/>
                <w:sz w:val="14"/>
              </w:rPr>
              <w:t>објасни типове наслеђивања</w:t>
            </w:r>
            <w:r>
              <w:rPr>
                <w:color w:val="231F20"/>
                <w:spacing w:val="-7"/>
                <w:sz w:val="14"/>
              </w:rPr>
              <w:t xml:space="preserve"> </w:t>
            </w:r>
            <w:r>
              <w:rPr>
                <w:color w:val="231F20"/>
                <w:sz w:val="14"/>
              </w:rPr>
              <w:t>особина;</w:t>
            </w:r>
          </w:p>
          <w:p w:rsidR="00041039" w:rsidRDefault="001B26CB">
            <w:pPr>
              <w:pStyle w:val="TableParagraph"/>
              <w:numPr>
                <w:ilvl w:val="0"/>
                <w:numId w:val="44"/>
              </w:numPr>
              <w:tabs>
                <w:tab w:val="left" w:pos="157"/>
              </w:tabs>
              <w:spacing w:line="160" w:lineRule="exact"/>
              <w:ind w:hanging="99"/>
              <w:rPr>
                <w:sz w:val="14"/>
              </w:rPr>
            </w:pPr>
            <w:r>
              <w:rPr>
                <w:color w:val="231F20"/>
                <w:sz w:val="14"/>
              </w:rPr>
              <w:t>објасни врсте и узроке</w:t>
            </w:r>
            <w:r>
              <w:rPr>
                <w:color w:val="231F20"/>
                <w:spacing w:val="-4"/>
                <w:sz w:val="14"/>
              </w:rPr>
              <w:t xml:space="preserve"> </w:t>
            </w:r>
            <w:r>
              <w:rPr>
                <w:color w:val="231F20"/>
                <w:sz w:val="14"/>
              </w:rPr>
              <w:t>мутација;</w:t>
            </w:r>
          </w:p>
          <w:p w:rsidR="00041039" w:rsidRDefault="001B26CB">
            <w:pPr>
              <w:pStyle w:val="TableParagraph"/>
              <w:numPr>
                <w:ilvl w:val="0"/>
                <w:numId w:val="44"/>
              </w:numPr>
              <w:tabs>
                <w:tab w:val="left" w:pos="157"/>
              </w:tabs>
              <w:spacing w:line="237" w:lineRule="auto"/>
              <w:ind w:right="364" w:hanging="99"/>
              <w:rPr>
                <w:sz w:val="14"/>
              </w:rPr>
            </w:pPr>
            <w:r>
              <w:rPr>
                <w:color w:val="231F20"/>
                <w:sz w:val="14"/>
              </w:rPr>
              <w:t>наведе наследне болести човека</w:t>
            </w:r>
            <w:r>
              <w:rPr>
                <w:color w:val="231F20"/>
                <w:spacing w:val="-14"/>
                <w:sz w:val="14"/>
              </w:rPr>
              <w:t xml:space="preserve"> </w:t>
            </w:r>
            <w:r>
              <w:rPr>
                <w:color w:val="231F20"/>
                <w:sz w:val="14"/>
              </w:rPr>
              <w:t>и њихове</w:t>
            </w:r>
            <w:r>
              <w:rPr>
                <w:color w:val="231F20"/>
                <w:spacing w:val="-1"/>
                <w:sz w:val="14"/>
              </w:rPr>
              <w:t xml:space="preserve"> </w:t>
            </w:r>
            <w:r>
              <w:rPr>
                <w:color w:val="231F20"/>
                <w:sz w:val="14"/>
              </w:rPr>
              <w:t>узроке;</w:t>
            </w:r>
          </w:p>
        </w:tc>
        <w:tc>
          <w:tcPr>
            <w:tcW w:w="2834" w:type="dxa"/>
          </w:tcPr>
          <w:p w:rsidR="00041039" w:rsidRDefault="001B26CB">
            <w:pPr>
              <w:pStyle w:val="TableParagraph"/>
              <w:numPr>
                <w:ilvl w:val="0"/>
                <w:numId w:val="43"/>
              </w:numPr>
              <w:tabs>
                <w:tab w:val="left" w:pos="158"/>
              </w:tabs>
              <w:spacing w:before="11" w:line="166" w:lineRule="exact"/>
              <w:rPr>
                <w:sz w:val="14"/>
              </w:rPr>
            </w:pPr>
            <w:r>
              <w:rPr>
                <w:color w:val="231F20"/>
                <w:sz w:val="14"/>
              </w:rPr>
              <w:t>Генетика</w:t>
            </w:r>
            <w:r>
              <w:rPr>
                <w:color w:val="231F20"/>
                <w:spacing w:val="-1"/>
                <w:sz w:val="14"/>
              </w:rPr>
              <w:t xml:space="preserve"> </w:t>
            </w:r>
            <w:r>
              <w:rPr>
                <w:color w:val="231F20"/>
                <w:sz w:val="14"/>
              </w:rPr>
              <w:t>човека.</w:t>
            </w:r>
          </w:p>
          <w:p w:rsidR="00041039" w:rsidRDefault="001B26CB">
            <w:pPr>
              <w:pStyle w:val="TableParagraph"/>
              <w:numPr>
                <w:ilvl w:val="0"/>
                <w:numId w:val="43"/>
              </w:numPr>
              <w:tabs>
                <w:tab w:val="left" w:pos="158"/>
              </w:tabs>
              <w:spacing w:line="160" w:lineRule="exact"/>
              <w:rPr>
                <w:sz w:val="14"/>
              </w:rPr>
            </w:pPr>
            <w:r>
              <w:rPr>
                <w:color w:val="231F20"/>
                <w:sz w:val="14"/>
              </w:rPr>
              <w:t>Појам и функције</w:t>
            </w:r>
            <w:r>
              <w:rPr>
                <w:color w:val="231F20"/>
                <w:spacing w:val="-3"/>
                <w:sz w:val="14"/>
              </w:rPr>
              <w:t xml:space="preserve"> </w:t>
            </w:r>
            <w:r>
              <w:rPr>
                <w:color w:val="231F20"/>
                <w:sz w:val="14"/>
              </w:rPr>
              <w:t>гена.</w:t>
            </w:r>
          </w:p>
          <w:p w:rsidR="00041039" w:rsidRDefault="001B26CB">
            <w:pPr>
              <w:pStyle w:val="TableParagraph"/>
              <w:numPr>
                <w:ilvl w:val="0"/>
                <w:numId w:val="43"/>
              </w:numPr>
              <w:tabs>
                <w:tab w:val="left" w:pos="158"/>
              </w:tabs>
              <w:spacing w:line="237" w:lineRule="auto"/>
              <w:ind w:right="405"/>
              <w:rPr>
                <w:sz w:val="14"/>
              </w:rPr>
            </w:pPr>
            <w:r>
              <w:rPr>
                <w:color w:val="231F20"/>
                <w:sz w:val="14"/>
              </w:rPr>
              <w:t xml:space="preserve">Наслеђивање и варирање особина </w:t>
            </w:r>
            <w:r>
              <w:rPr>
                <w:color w:val="231F20"/>
                <w:spacing w:val="-5"/>
                <w:sz w:val="14"/>
              </w:rPr>
              <w:t xml:space="preserve">код </w:t>
            </w:r>
            <w:r>
              <w:rPr>
                <w:color w:val="231F20"/>
                <w:sz w:val="14"/>
              </w:rPr>
              <w:t>човека.</w:t>
            </w:r>
          </w:p>
          <w:p w:rsidR="00041039" w:rsidRDefault="001B26CB">
            <w:pPr>
              <w:pStyle w:val="TableParagraph"/>
              <w:numPr>
                <w:ilvl w:val="0"/>
                <w:numId w:val="43"/>
              </w:numPr>
              <w:tabs>
                <w:tab w:val="left" w:pos="158"/>
              </w:tabs>
              <w:spacing w:line="155" w:lineRule="exact"/>
              <w:rPr>
                <w:sz w:val="14"/>
              </w:rPr>
            </w:pPr>
            <w:r>
              <w:rPr>
                <w:color w:val="231F20"/>
                <w:sz w:val="14"/>
              </w:rPr>
              <w:t>Наследне</w:t>
            </w:r>
            <w:r>
              <w:rPr>
                <w:color w:val="231F20"/>
                <w:spacing w:val="-1"/>
                <w:sz w:val="14"/>
              </w:rPr>
              <w:t xml:space="preserve"> </w:t>
            </w:r>
            <w:r>
              <w:rPr>
                <w:color w:val="231F20"/>
                <w:sz w:val="14"/>
              </w:rPr>
              <w:t>болести.</w:t>
            </w:r>
          </w:p>
          <w:p w:rsidR="00041039" w:rsidRDefault="001B26CB">
            <w:pPr>
              <w:pStyle w:val="TableParagraph"/>
              <w:numPr>
                <w:ilvl w:val="0"/>
                <w:numId w:val="43"/>
              </w:numPr>
              <w:tabs>
                <w:tab w:val="left" w:pos="158"/>
              </w:tabs>
              <w:spacing w:line="237" w:lineRule="auto"/>
              <w:ind w:right="206"/>
              <w:rPr>
                <w:sz w:val="14"/>
              </w:rPr>
            </w:pPr>
            <w:r>
              <w:rPr>
                <w:color w:val="231F20"/>
                <w:sz w:val="14"/>
              </w:rPr>
              <w:t>Праћење особина на основу родословног стабла.</w:t>
            </w:r>
          </w:p>
          <w:p w:rsidR="00041039" w:rsidRDefault="001B26CB">
            <w:pPr>
              <w:pStyle w:val="TableParagraph"/>
              <w:numPr>
                <w:ilvl w:val="0"/>
                <w:numId w:val="43"/>
              </w:numPr>
              <w:tabs>
                <w:tab w:val="left" w:pos="158"/>
              </w:tabs>
              <w:spacing w:line="160" w:lineRule="exact"/>
              <w:ind w:right="261"/>
              <w:rPr>
                <w:sz w:val="14"/>
              </w:rPr>
            </w:pPr>
            <w:r>
              <w:rPr>
                <w:color w:val="231F20"/>
                <w:sz w:val="14"/>
              </w:rPr>
              <w:t>Генетичка условљеност човековог</w:t>
            </w:r>
            <w:r>
              <w:rPr>
                <w:color w:val="231F20"/>
                <w:spacing w:val="-24"/>
                <w:sz w:val="14"/>
              </w:rPr>
              <w:t xml:space="preserve"> </w:t>
            </w:r>
            <w:r>
              <w:rPr>
                <w:color w:val="231F20"/>
                <w:sz w:val="14"/>
              </w:rPr>
              <w:t>пона­ шања.</w:t>
            </w:r>
          </w:p>
          <w:p w:rsidR="00041039" w:rsidRDefault="001B26CB">
            <w:pPr>
              <w:pStyle w:val="TableParagraph"/>
              <w:numPr>
                <w:ilvl w:val="0"/>
                <w:numId w:val="43"/>
              </w:numPr>
              <w:tabs>
                <w:tab w:val="left" w:pos="158"/>
              </w:tabs>
              <w:spacing w:line="157" w:lineRule="exact"/>
              <w:rPr>
                <w:sz w:val="14"/>
              </w:rPr>
            </w:pPr>
            <w:r>
              <w:rPr>
                <w:color w:val="231F20"/>
                <w:spacing w:val="-3"/>
                <w:sz w:val="14"/>
              </w:rPr>
              <w:t xml:space="preserve">Генетичко </w:t>
            </w:r>
            <w:r>
              <w:rPr>
                <w:color w:val="231F20"/>
                <w:sz w:val="14"/>
              </w:rPr>
              <w:t>саветовање и</w:t>
            </w:r>
            <w:r>
              <w:rPr>
                <w:color w:val="231F20"/>
                <w:spacing w:val="2"/>
                <w:sz w:val="14"/>
              </w:rPr>
              <w:t xml:space="preserve"> </w:t>
            </w:r>
            <w:r>
              <w:rPr>
                <w:color w:val="231F20"/>
                <w:sz w:val="14"/>
              </w:rPr>
              <w:t>тестирање.</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20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120"/>
        </w:trPr>
        <w:tc>
          <w:tcPr>
            <w:tcW w:w="1304" w:type="dxa"/>
          </w:tcPr>
          <w:p w:rsidR="00041039" w:rsidRDefault="001B26CB">
            <w:pPr>
              <w:pStyle w:val="TableParagraph"/>
              <w:spacing w:before="18"/>
              <w:ind w:left="56" w:right="37"/>
              <w:rPr>
                <w:sz w:val="14"/>
              </w:rPr>
            </w:pPr>
            <w:r>
              <w:rPr>
                <w:color w:val="231F20"/>
                <w:sz w:val="14"/>
              </w:rPr>
              <w:lastRenderedPageBreak/>
              <w:t>Полно и репродук­ тивно здравље</w:t>
            </w:r>
          </w:p>
        </w:tc>
        <w:tc>
          <w:tcPr>
            <w:tcW w:w="1587" w:type="dxa"/>
          </w:tcPr>
          <w:p w:rsidR="00041039" w:rsidRDefault="001B26CB">
            <w:pPr>
              <w:pStyle w:val="TableParagraph"/>
              <w:numPr>
                <w:ilvl w:val="0"/>
                <w:numId w:val="42"/>
              </w:numPr>
              <w:tabs>
                <w:tab w:val="left" w:pos="157"/>
              </w:tabs>
              <w:spacing w:before="8"/>
              <w:ind w:right="118"/>
              <w:rPr>
                <w:sz w:val="14"/>
              </w:rPr>
            </w:pPr>
            <w:r>
              <w:rPr>
                <w:color w:val="231F20"/>
                <w:sz w:val="14"/>
              </w:rPr>
              <w:t>Разумевање</w:t>
            </w:r>
            <w:r>
              <w:rPr>
                <w:color w:val="231F20"/>
                <w:spacing w:val="-15"/>
                <w:sz w:val="14"/>
              </w:rPr>
              <w:t xml:space="preserve"> </w:t>
            </w:r>
            <w:r>
              <w:rPr>
                <w:color w:val="231F20"/>
                <w:sz w:val="14"/>
              </w:rPr>
              <w:t>проблема везаних за период одрастања.</w:t>
            </w:r>
          </w:p>
          <w:p w:rsidR="00041039" w:rsidRDefault="001B26CB">
            <w:pPr>
              <w:pStyle w:val="TableParagraph"/>
              <w:numPr>
                <w:ilvl w:val="0"/>
                <w:numId w:val="42"/>
              </w:numPr>
              <w:tabs>
                <w:tab w:val="left" w:pos="157"/>
              </w:tabs>
              <w:spacing w:line="157" w:lineRule="exact"/>
              <w:rPr>
                <w:sz w:val="14"/>
              </w:rPr>
            </w:pPr>
            <w:r>
              <w:rPr>
                <w:color w:val="231F20"/>
                <w:sz w:val="14"/>
              </w:rPr>
              <w:t xml:space="preserve">Схватања </w:t>
            </w:r>
            <w:r>
              <w:rPr>
                <w:color w:val="231F20"/>
                <w:spacing w:val="-3"/>
                <w:sz w:val="14"/>
              </w:rPr>
              <w:t>улоге</w:t>
            </w:r>
            <w:r>
              <w:rPr>
                <w:color w:val="231F20"/>
                <w:spacing w:val="-1"/>
                <w:sz w:val="14"/>
              </w:rPr>
              <w:t xml:space="preserve"> </w:t>
            </w:r>
            <w:r>
              <w:rPr>
                <w:color w:val="231F20"/>
                <w:sz w:val="14"/>
              </w:rPr>
              <w:t>и</w:t>
            </w:r>
          </w:p>
          <w:p w:rsidR="00041039" w:rsidRDefault="001B26CB">
            <w:pPr>
              <w:pStyle w:val="TableParagraph"/>
              <w:spacing w:line="155" w:lineRule="exact"/>
              <w:rPr>
                <w:sz w:val="14"/>
              </w:rPr>
            </w:pPr>
            <w:r>
              <w:rPr>
                <w:color w:val="231F20"/>
                <w:sz w:val="14"/>
              </w:rPr>
              <w:t>значаја породице.</w:t>
            </w:r>
          </w:p>
          <w:p w:rsidR="00041039" w:rsidRDefault="001B26CB">
            <w:pPr>
              <w:pStyle w:val="TableParagraph"/>
              <w:numPr>
                <w:ilvl w:val="0"/>
                <w:numId w:val="42"/>
              </w:numPr>
              <w:tabs>
                <w:tab w:val="left" w:pos="157"/>
              </w:tabs>
              <w:spacing w:line="237" w:lineRule="auto"/>
              <w:ind w:right="118"/>
              <w:rPr>
                <w:sz w:val="14"/>
              </w:rPr>
            </w:pPr>
            <w:r>
              <w:rPr>
                <w:color w:val="231F20"/>
                <w:sz w:val="14"/>
              </w:rPr>
              <w:t>Разумевање</w:t>
            </w:r>
            <w:r>
              <w:rPr>
                <w:color w:val="231F20"/>
                <w:spacing w:val="-15"/>
                <w:sz w:val="14"/>
              </w:rPr>
              <w:t xml:space="preserve"> </w:t>
            </w:r>
            <w:r>
              <w:rPr>
                <w:color w:val="231F20"/>
                <w:sz w:val="14"/>
              </w:rPr>
              <w:t>проблема повезаних са ризич­ ним</w:t>
            </w:r>
            <w:r>
              <w:rPr>
                <w:color w:val="231F20"/>
                <w:spacing w:val="-3"/>
                <w:sz w:val="14"/>
              </w:rPr>
              <w:t xml:space="preserve"> </w:t>
            </w:r>
            <w:r>
              <w:rPr>
                <w:color w:val="231F20"/>
                <w:sz w:val="14"/>
              </w:rPr>
              <w:t>понашањем.</w:t>
            </w:r>
          </w:p>
        </w:tc>
        <w:tc>
          <w:tcPr>
            <w:tcW w:w="2551" w:type="dxa"/>
          </w:tcPr>
          <w:p w:rsidR="00041039" w:rsidRDefault="001B26CB">
            <w:pPr>
              <w:pStyle w:val="TableParagraph"/>
              <w:numPr>
                <w:ilvl w:val="0"/>
                <w:numId w:val="41"/>
              </w:numPr>
              <w:tabs>
                <w:tab w:val="left" w:pos="157"/>
              </w:tabs>
              <w:spacing w:before="8"/>
              <w:ind w:right="212" w:hanging="99"/>
              <w:rPr>
                <w:sz w:val="14"/>
              </w:rPr>
            </w:pPr>
            <w:r>
              <w:rPr>
                <w:color w:val="231F20"/>
                <w:sz w:val="14"/>
              </w:rPr>
              <w:t>препозна</w:t>
            </w:r>
            <w:r>
              <w:rPr>
                <w:color w:val="231F20"/>
                <w:spacing w:val="-8"/>
                <w:sz w:val="14"/>
              </w:rPr>
              <w:t xml:space="preserve"> </w:t>
            </w:r>
            <w:r>
              <w:rPr>
                <w:color w:val="231F20"/>
                <w:sz w:val="14"/>
              </w:rPr>
              <w:t>проблеме</w:t>
            </w:r>
            <w:r>
              <w:rPr>
                <w:color w:val="231F20"/>
                <w:spacing w:val="-8"/>
                <w:sz w:val="14"/>
              </w:rPr>
              <w:t xml:space="preserve"> </w:t>
            </w:r>
            <w:r>
              <w:rPr>
                <w:color w:val="231F20"/>
                <w:sz w:val="14"/>
              </w:rPr>
              <w:t>везане</w:t>
            </w:r>
            <w:r>
              <w:rPr>
                <w:color w:val="231F20"/>
                <w:spacing w:val="-8"/>
                <w:sz w:val="14"/>
              </w:rPr>
              <w:t xml:space="preserve"> </w:t>
            </w:r>
            <w:r>
              <w:rPr>
                <w:color w:val="231F20"/>
                <w:sz w:val="14"/>
              </w:rPr>
              <w:t>за</w:t>
            </w:r>
            <w:r>
              <w:rPr>
                <w:color w:val="231F20"/>
                <w:spacing w:val="-8"/>
                <w:sz w:val="14"/>
              </w:rPr>
              <w:t xml:space="preserve"> </w:t>
            </w:r>
            <w:r>
              <w:rPr>
                <w:color w:val="231F20"/>
                <w:sz w:val="14"/>
              </w:rPr>
              <w:t>период одрастања;</w:t>
            </w:r>
          </w:p>
          <w:p w:rsidR="00041039" w:rsidRDefault="001B26CB">
            <w:pPr>
              <w:pStyle w:val="TableParagraph"/>
              <w:numPr>
                <w:ilvl w:val="0"/>
                <w:numId w:val="41"/>
              </w:numPr>
              <w:tabs>
                <w:tab w:val="left" w:pos="157"/>
              </w:tabs>
              <w:spacing w:line="153" w:lineRule="exact"/>
              <w:ind w:hanging="99"/>
              <w:rPr>
                <w:sz w:val="14"/>
              </w:rPr>
            </w:pPr>
            <w:r>
              <w:rPr>
                <w:color w:val="231F20"/>
                <w:sz w:val="14"/>
              </w:rPr>
              <w:t>објасни значај</w:t>
            </w:r>
            <w:r>
              <w:rPr>
                <w:color w:val="231F20"/>
                <w:spacing w:val="-2"/>
                <w:sz w:val="14"/>
              </w:rPr>
              <w:t xml:space="preserve"> </w:t>
            </w:r>
            <w:r>
              <w:rPr>
                <w:color w:val="231F20"/>
                <w:sz w:val="14"/>
              </w:rPr>
              <w:t>породице;</w:t>
            </w:r>
          </w:p>
          <w:p w:rsidR="00041039" w:rsidRDefault="001B26CB">
            <w:pPr>
              <w:pStyle w:val="TableParagraph"/>
              <w:numPr>
                <w:ilvl w:val="0"/>
                <w:numId w:val="41"/>
              </w:numPr>
              <w:tabs>
                <w:tab w:val="left" w:pos="157"/>
              </w:tabs>
              <w:spacing w:line="160" w:lineRule="exact"/>
              <w:ind w:hanging="99"/>
              <w:rPr>
                <w:sz w:val="14"/>
              </w:rPr>
            </w:pPr>
            <w:r>
              <w:rPr>
                <w:color w:val="231F20"/>
                <w:sz w:val="14"/>
              </w:rPr>
              <w:t>опише биолошку функцију</w:t>
            </w:r>
            <w:r>
              <w:rPr>
                <w:color w:val="231F20"/>
                <w:spacing w:val="-9"/>
                <w:sz w:val="14"/>
              </w:rPr>
              <w:t xml:space="preserve"> </w:t>
            </w:r>
            <w:r>
              <w:rPr>
                <w:color w:val="231F20"/>
                <w:sz w:val="14"/>
              </w:rPr>
              <w:t>породице;</w:t>
            </w:r>
          </w:p>
          <w:p w:rsidR="00041039" w:rsidRDefault="001B26CB">
            <w:pPr>
              <w:pStyle w:val="TableParagraph"/>
              <w:numPr>
                <w:ilvl w:val="0"/>
                <w:numId w:val="41"/>
              </w:numPr>
              <w:tabs>
                <w:tab w:val="left" w:pos="157"/>
              </w:tabs>
              <w:spacing w:line="237" w:lineRule="auto"/>
              <w:ind w:right="276" w:hanging="99"/>
              <w:rPr>
                <w:sz w:val="14"/>
              </w:rPr>
            </w:pPr>
            <w:r>
              <w:rPr>
                <w:color w:val="231F20"/>
                <w:sz w:val="14"/>
              </w:rPr>
              <w:t>дефинише појам „планирање поро­ дице”;</w:t>
            </w:r>
          </w:p>
          <w:p w:rsidR="00041039" w:rsidRDefault="001B26CB">
            <w:pPr>
              <w:pStyle w:val="TableParagraph"/>
              <w:numPr>
                <w:ilvl w:val="0"/>
                <w:numId w:val="41"/>
              </w:numPr>
              <w:tabs>
                <w:tab w:val="left" w:pos="157"/>
              </w:tabs>
              <w:spacing w:line="160" w:lineRule="exact"/>
              <w:ind w:right="220" w:hanging="99"/>
              <w:rPr>
                <w:sz w:val="14"/>
              </w:rPr>
            </w:pPr>
            <w:r>
              <w:rPr>
                <w:color w:val="231F20"/>
                <w:sz w:val="14"/>
              </w:rPr>
              <w:t xml:space="preserve">наведе облике заштите </w:t>
            </w:r>
            <w:r>
              <w:rPr>
                <w:color w:val="231F20"/>
                <w:spacing w:val="-3"/>
                <w:sz w:val="14"/>
              </w:rPr>
              <w:t>од</w:t>
            </w:r>
            <w:r>
              <w:rPr>
                <w:color w:val="231F20"/>
                <w:spacing w:val="-23"/>
                <w:sz w:val="14"/>
              </w:rPr>
              <w:t xml:space="preserve"> </w:t>
            </w:r>
            <w:r>
              <w:rPr>
                <w:color w:val="231F20"/>
                <w:sz w:val="14"/>
              </w:rPr>
              <w:t>нежељене трудноће;</w:t>
            </w:r>
          </w:p>
          <w:p w:rsidR="00041039" w:rsidRDefault="001B26CB">
            <w:pPr>
              <w:pStyle w:val="TableParagraph"/>
              <w:numPr>
                <w:ilvl w:val="0"/>
                <w:numId w:val="41"/>
              </w:numPr>
              <w:tabs>
                <w:tab w:val="left" w:pos="157"/>
              </w:tabs>
              <w:spacing w:line="160" w:lineRule="exact"/>
              <w:ind w:right="65" w:hanging="99"/>
              <w:rPr>
                <w:sz w:val="14"/>
              </w:rPr>
            </w:pPr>
            <w:r>
              <w:rPr>
                <w:color w:val="231F20"/>
                <w:sz w:val="14"/>
              </w:rPr>
              <w:t>објасни штетност абортуса по здравље жене;</w:t>
            </w:r>
          </w:p>
          <w:p w:rsidR="00041039" w:rsidRDefault="001B26CB">
            <w:pPr>
              <w:pStyle w:val="TableParagraph"/>
              <w:numPr>
                <w:ilvl w:val="0"/>
                <w:numId w:val="41"/>
              </w:numPr>
              <w:tabs>
                <w:tab w:val="left" w:pos="157"/>
              </w:tabs>
              <w:spacing w:line="160" w:lineRule="exact"/>
              <w:ind w:right="168" w:hanging="99"/>
              <w:rPr>
                <w:sz w:val="14"/>
              </w:rPr>
            </w:pPr>
            <w:r>
              <w:rPr>
                <w:color w:val="231F20"/>
                <w:sz w:val="14"/>
              </w:rPr>
              <w:t>наведе облике ризичног понашања, најчешће полно преносиве болести и болести</w:t>
            </w:r>
            <w:r>
              <w:rPr>
                <w:color w:val="231F20"/>
                <w:spacing w:val="-1"/>
                <w:sz w:val="14"/>
              </w:rPr>
              <w:t xml:space="preserve"> </w:t>
            </w:r>
            <w:r>
              <w:rPr>
                <w:color w:val="231F20"/>
                <w:sz w:val="14"/>
              </w:rPr>
              <w:t>зависности;</w:t>
            </w:r>
          </w:p>
        </w:tc>
        <w:tc>
          <w:tcPr>
            <w:tcW w:w="2834" w:type="dxa"/>
          </w:tcPr>
          <w:p w:rsidR="00041039" w:rsidRDefault="001B26CB">
            <w:pPr>
              <w:pStyle w:val="TableParagraph"/>
              <w:numPr>
                <w:ilvl w:val="0"/>
                <w:numId w:val="40"/>
              </w:numPr>
              <w:tabs>
                <w:tab w:val="left" w:pos="157"/>
              </w:tabs>
              <w:spacing w:before="8" w:line="166" w:lineRule="exact"/>
              <w:ind w:hanging="99"/>
              <w:rPr>
                <w:sz w:val="14"/>
              </w:rPr>
            </w:pPr>
            <w:r>
              <w:rPr>
                <w:color w:val="231F20"/>
                <w:sz w:val="14"/>
              </w:rPr>
              <w:t>Појам и дефиниција</w:t>
            </w:r>
            <w:r>
              <w:rPr>
                <w:color w:val="231F20"/>
                <w:spacing w:val="-3"/>
                <w:sz w:val="14"/>
              </w:rPr>
              <w:t xml:space="preserve"> </w:t>
            </w:r>
            <w:r>
              <w:rPr>
                <w:color w:val="231F20"/>
                <w:sz w:val="14"/>
              </w:rPr>
              <w:t>здравља.</w:t>
            </w:r>
          </w:p>
          <w:p w:rsidR="00041039" w:rsidRDefault="001B26CB">
            <w:pPr>
              <w:pStyle w:val="TableParagraph"/>
              <w:numPr>
                <w:ilvl w:val="0"/>
                <w:numId w:val="40"/>
              </w:numPr>
              <w:tabs>
                <w:tab w:val="left" w:pos="157"/>
              </w:tabs>
              <w:spacing w:line="160" w:lineRule="exact"/>
              <w:ind w:hanging="99"/>
              <w:rPr>
                <w:sz w:val="14"/>
              </w:rPr>
            </w:pPr>
            <w:r>
              <w:rPr>
                <w:color w:val="231F20"/>
                <w:sz w:val="14"/>
              </w:rPr>
              <w:t>Проблеми везани за период</w:t>
            </w:r>
            <w:r>
              <w:rPr>
                <w:color w:val="231F20"/>
                <w:spacing w:val="-16"/>
                <w:sz w:val="14"/>
              </w:rPr>
              <w:t xml:space="preserve"> </w:t>
            </w:r>
            <w:r>
              <w:rPr>
                <w:color w:val="231F20"/>
                <w:sz w:val="14"/>
              </w:rPr>
              <w:t>адолесценције.</w:t>
            </w:r>
          </w:p>
          <w:p w:rsidR="00041039" w:rsidRDefault="001B26CB">
            <w:pPr>
              <w:pStyle w:val="TableParagraph"/>
              <w:numPr>
                <w:ilvl w:val="0"/>
                <w:numId w:val="40"/>
              </w:numPr>
              <w:tabs>
                <w:tab w:val="left" w:pos="157"/>
              </w:tabs>
              <w:spacing w:line="160" w:lineRule="exact"/>
              <w:ind w:hanging="99"/>
              <w:rPr>
                <w:sz w:val="14"/>
              </w:rPr>
            </w:pPr>
            <w:r>
              <w:rPr>
                <w:color w:val="231F20"/>
                <w:sz w:val="14"/>
              </w:rPr>
              <w:t>Планирање</w:t>
            </w:r>
            <w:r>
              <w:rPr>
                <w:color w:val="231F20"/>
                <w:spacing w:val="-2"/>
                <w:sz w:val="14"/>
              </w:rPr>
              <w:t xml:space="preserve"> </w:t>
            </w:r>
            <w:r>
              <w:rPr>
                <w:color w:val="231F20"/>
                <w:sz w:val="14"/>
              </w:rPr>
              <w:t>породице.</w:t>
            </w:r>
          </w:p>
          <w:p w:rsidR="00041039" w:rsidRDefault="001B26CB">
            <w:pPr>
              <w:pStyle w:val="TableParagraph"/>
              <w:numPr>
                <w:ilvl w:val="0"/>
                <w:numId w:val="40"/>
              </w:numPr>
              <w:tabs>
                <w:tab w:val="left" w:pos="157"/>
              </w:tabs>
              <w:spacing w:line="160" w:lineRule="exact"/>
              <w:ind w:hanging="99"/>
              <w:rPr>
                <w:sz w:val="14"/>
              </w:rPr>
            </w:pPr>
            <w:r>
              <w:rPr>
                <w:color w:val="231F20"/>
                <w:sz w:val="14"/>
              </w:rPr>
              <w:t xml:space="preserve">Заштита </w:t>
            </w:r>
            <w:r>
              <w:rPr>
                <w:color w:val="231F20"/>
                <w:spacing w:val="-3"/>
                <w:sz w:val="14"/>
              </w:rPr>
              <w:t xml:space="preserve">од </w:t>
            </w:r>
            <w:r>
              <w:rPr>
                <w:color w:val="231F20"/>
                <w:sz w:val="14"/>
              </w:rPr>
              <w:t>полних</w:t>
            </w:r>
            <w:r>
              <w:rPr>
                <w:color w:val="231F20"/>
                <w:sz w:val="14"/>
              </w:rPr>
              <w:t xml:space="preserve"> </w:t>
            </w:r>
            <w:r>
              <w:rPr>
                <w:color w:val="231F20"/>
                <w:sz w:val="14"/>
              </w:rPr>
              <w:t>болести.</w:t>
            </w:r>
          </w:p>
          <w:p w:rsidR="00041039" w:rsidRDefault="001B26CB">
            <w:pPr>
              <w:pStyle w:val="TableParagraph"/>
              <w:numPr>
                <w:ilvl w:val="0"/>
                <w:numId w:val="40"/>
              </w:numPr>
              <w:tabs>
                <w:tab w:val="left" w:pos="157"/>
              </w:tabs>
              <w:spacing w:line="166" w:lineRule="exact"/>
              <w:ind w:hanging="99"/>
              <w:rPr>
                <w:sz w:val="14"/>
              </w:rPr>
            </w:pPr>
            <w:r>
              <w:rPr>
                <w:color w:val="231F20"/>
                <w:sz w:val="14"/>
              </w:rPr>
              <w:t>Болести</w:t>
            </w:r>
            <w:r>
              <w:rPr>
                <w:color w:val="231F20"/>
                <w:spacing w:val="-1"/>
                <w:sz w:val="14"/>
              </w:rPr>
              <w:t xml:space="preserve"> </w:t>
            </w:r>
            <w:r>
              <w:rPr>
                <w:color w:val="231F20"/>
                <w:sz w:val="14"/>
              </w:rPr>
              <w:t>зависности.</w:t>
            </w:r>
          </w:p>
        </w:tc>
        <w:tc>
          <w:tcPr>
            <w:tcW w:w="2267" w:type="dxa"/>
          </w:tcPr>
          <w:p w:rsidR="00041039" w:rsidRDefault="00041039">
            <w:pPr>
              <w:pStyle w:val="TableParagraph"/>
              <w:ind w:left="0"/>
              <w:rPr>
                <w:sz w:val="14"/>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Екологија и заштита животне</w:t>
      </w:r>
      <w:r>
        <w:rPr>
          <w:color w:val="231F20"/>
          <w:spacing w:val="-3"/>
        </w:rPr>
        <w:t xml:space="preserve"> </w:t>
      </w:r>
      <w:r>
        <w:rPr>
          <w:color w:val="231F20"/>
        </w:rPr>
        <w:t>средине</w:t>
      </w:r>
    </w:p>
    <w:p w:rsidR="00041039" w:rsidRDefault="001B26CB">
      <w:pPr>
        <w:pStyle w:val="ListParagraph"/>
        <w:numPr>
          <w:ilvl w:val="0"/>
          <w:numId w:val="1"/>
        </w:numPr>
        <w:tabs>
          <w:tab w:val="left" w:pos="633"/>
        </w:tabs>
        <w:spacing w:line="203" w:lineRule="exact"/>
        <w:rPr>
          <w:sz w:val="18"/>
        </w:rPr>
      </w:pPr>
      <w:r>
        <w:rPr>
          <w:color w:val="231F20"/>
          <w:sz w:val="18"/>
        </w:rPr>
        <w:t>Прва</w:t>
      </w:r>
      <w:r>
        <w:rPr>
          <w:color w:val="231F20"/>
          <w:spacing w:val="-1"/>
          <w:sz w:val="18"/>
        </w:rPr>
        <w:t xml:space="preserve"> </w:t>
      </w:r>
      <w:r>
        <w:rPr>
          <w:color w:val="231F20"/>
          <w:sz w:val="18"/>
        </w:rPr>
        <w:t>помоћ</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МУЗИЧКА</w:t>
      </w:r>
      <w:r>
        <w:rPr>
          <w:b/>
          <w:color w:val="231F20"/>
          <w:spacing w:val="-1"/>
          <w:sz w:val="14"/>
        </w:rPr>
        <w:t xml:space="preserve"> </w:t>
      </w:r>
      <w:r>
        <w:rPr>
          <w:b/>
          <w:color w:val="231F20"/>
          <w:spacing w:val="-7"/>
          <w:sz w:val="14"/>
        </w:rPr>
        <w:t>КУЛТУРА</w:t>
      </w:r>
    </w:p>
    <w:p w:rsidR="00041039" w:rsidRDefault="001B26CB">
      <w:pPr>
        <w:pStyle w:val="BodyText"/>
        <w:spacing w:before="50" w:line="161" w:lineRule="exact"/>
        <w:ind w:left="157"/>
      </w:pPr>
      <w:r>
        <w:rPr>
          <w:color w:val="231F20"/>
        </w:rPr>
        <w:t>Циљеви предмета: – Оспособљавање ученика за разликовање обележја стилова различитих музичких жанрова;</w:t>
      </w:r>
    </w:p>
    <w:p w:rsidR="00041039" w:rsidRDefault="001B26CB">
      <w:pPr>
        <w:pStyle w:val="ListParagraph"/>
        <w:numPr>
          <w:ilvl w:val="1"/>
          <w:numId w:val="1"/>
        </w:numPr>
        <w:tabs>
          <w:tab w:val="left" w:pos="1566"/>
        </w:tabs>
        <w:spacing w:line="160" w:lineRule="exact"/>
        <w:rPr>
          <w:sz w:val="14"/>
        </w:rPr>
      </w:pPr>
      <w:r>
        <w:rPr>
          <w:color w:val="231F20"/>
          <w:sz w:val="14"/>
        </w:rPr>
        <w:t>Развијање свести о значају и улози музичке уметности кроз развој цивилизације и</w:t>
      </w:r>
      <w:r>
        <w:rPr>
          <w:color w:val="231F20"/>
          <w:spacing w:val="-10"/>
          <w:sz w:val="14"/>
        </w:rPr>
        <w:t xml:space="preserve"> </w:t>
      </w:r>
      <w:r>
        <w:rPr>
          <w:color w:val="231F20"/>
          <w:sz w:val="14"/>
        </w:rPr>
        <w:t>друштва;</w:t>
      </w:r>
    </w:p>
    <w:p w:rsidR="00041039" w:rsidRDefault="001B26CB">
      <w:pPr>
        <w:pStyle w:val="ListParagraph"/>
        <w:numPr>
          <w:ilvl w:val="1"/>
          <w:numId w:val="1"/>
        </w:numPr>
        <w:tabs>
          <w:tab w:val="left" w:pos="1566"/>
        </w:tabs>
        <w:spacing w:line="160" w:lineRule="exact"/>
        <w:rPr>
          <w:sz w:val="14"/>
        </w:rPr>
      </w:pPr>
      <w:r>
        <w:rPr>
          <w:color w:val="231F20"/>
          <w:sz w:val="14"/>
        </w:rPr>
        <w:t>Оспособљавање ученика за уочавање разлика и сличности између наше и других традиција и култура у домену</w:t>
      </w:r>
      <w:r>
        <w:rPr>
          <w:color w:val="231F20"/>
          <w:spacing w:val="-14"/>
          <w:sz w:val="14"/>
        </w:rPr>
        <w:t xml:space="preserve"> </w:t>
      </w:r>
      <w:r>
        <w:rPr>
          <w:color w:val="231F20"/>
          <w:sz w:val="14"/>
        </w:rPr>
        <w:t>музике;</w:t>
      </w:r>
    </w:p>
    <w:p w:rsidR="00041039" w:rsidRDefault="001B26CB">
      <w:pPr>
        <w:pStyle w:val="ListParagraph"/>
        <w:numPr>
          <w:ilvl w:val="1"/>
          <w:numId w:val="1"/>
        </w:numPr>
        <w:tabs>
          <w:tab w:val="left" w:pos="1566"/>
        </w:tabs>
        <w:spacing w:line="160" w:lineRule="exact"/>
        <w:rPr>
          <w:sz w:val="14"/>
        </w:rPr>
      </w:pPr>
      <w:r>
        <w:rPr>
          <w:color w:val="231F20"/>
          <w:sz w:val="14"/>
        </w:rPr>
        <w:t xml:space="preserve">Унапређивање естетских критеријума </w:t>
      </w:r>
      <w:r>
        <w:rPr>
          <w:color w:val="231F20"/>
          <w:spacing w:val="-5"/>
          <w:sz w:val="14"/>
        </w:rPr>
        <w:t>код</w:t>
      </w:r>
      <w:r>
        <w:rPr>
          <w:color w:val="231F20"/>
          <w:spacing w:val="-1"/>
          <w:sz w:val="14"/>
        </w:rPr>
        <w:t xml:space="preserve"> </w:t>
      </w:r>
      <w:r>
        <w:rPr>
          <w:color w:val="231F20"/>
          <w:sz w:val="14"/>
        </w:rPr>
        <w:t>ученика;</w:t>
      </w:r>
    </w:p>
    <w:p w:rsidR="00041039" w:rsidRDefault="001B26CB">
      <w:pPr>
        <w:pStyle w:val="ListParagraph"/>
        <w:numPr>
          <w:ilvl w:val="1"/>
          <w:numId w:val="1"/>
        </w:numPr>
        <w:tabs>
          <w:tab w:val="left" w:pos="1566"/>
        </w:tabs>
        <w:spacing w:line="240" w:lineRule="auto"/>
        <w:ind w:right="289"/>
        <w:rPr>
          <w:sz w:val="14"/>
        </w:rPr>
      </w:pPr>
      <w:r>
        <w:rPr>
          <w:color w:val="231F20"/>
          <w:sz w:val="14"/>
        </w:rPr>
        <w:t>Развија</w:t>
      </w:r>
      <w:r>
        <w:rPr>
          <w:color w:val="231F20"/>
          <w:sz w:val="14"/>
        </w:rPr>
        <w:t>ње</w:t>
      </w:r>
      <w:r>
        <w:rPr>
          <w:color w:val="231F20"/>
          <w:spacing w:val="-5"/>
          <w:sz w:val="14"/>
        </w:rPr>
        <w:t xml:space="preserve"> </w:t>
      </w:r>
      <w:r>
        <w:rPr>
          <w:color w:val="231F20"/>
          <w:sz w:val="14"/>
        </w:rPr>
        <w:t>навика</w:t>
      </w:r>
      <w:r>
        <w:rPr>
          <w:color w:val="231F20"/>
          <w:spacing w:val="-4"/>
          <w:sz w:val="14"/>
        </w:rPr>
        <w:t xml:space="preserve"> </w:t>
      </w:r>
      <w:r>
        <w:rPr>
          <w:color w:val="231F20"/>
          <w:spacing w:val="-5"/>
          <w:sz w:val="14"/>
        </w:rPr>
        <w:t>код</w:t>
      </w:r>
      <w:r>
        <w:rPr>
          <w:color w:val="231F20"/>
          <w:spacing w:val="-4"/>
          <w:sz w:val="14"/>
        </w:rPr>
        <w:t xml:space="preserve"> </w:t>
      </w:r>
      <w:r>
        <w:rPr>
          <w:color w:val="231F20"/>
          <w:sz w:val="14"/>
        </w:rPr>
        <w:t>ученика</w:t>
      </w:r>
      <w:r>
        <w:rPr>
          <w:color w:val="231F20"/>
          <w:spacing w:val="-4"/>
          <w:sz w:val="14"/>
        </w:rPr>
        <w:t xml:space="preserve"> </w:t>
      </w:r>
      <w:r>
        <w:rPr>
          <w:color w:val="231F20"/>
          <w:sz w:val="14"/>
        </w:rPr>
        <w:t>за</w:t>
      </w:r>
      <w:r>
        <w:rPr>
          <w:color w:val="231F20"/>
          <w:spacing w:val="-5"/>
          <w:sz w:val="14"/>
        </w:rPr>
        <w:t xml:space="preserve"> </w:t>
      </w:r>
      <w:r>
        <w:rPr>
          <w:color w:val="231F20"/>
          <w:sz w:val="14"/>
        </w:rPr>
        <w:t>праћење</w:t>
      </w:r>
      <w:r>
        <w:rPr>
          <w:color w:val="231F20"/>
          <w:spacing w:val="-5"/>
          <w:sz w:val="14"/>
        </w:rPr>
        <w:t xml:space="preserve"> </w:t>
      </w:r>
      <w:r>
        <w:rPr>
          <w:color w:val="231F20"/>
          <w:sz w:val="14"/>
        </w:rPr>
        <w:t>културно</w:t>
      </w:r>
      <w:r>
        <w:rPr>
          <w:color w:val="231F20"/>
          <w:spacing w:val="-4"/>
          <w:sz w:val="14"/>
        </w:rPr>
        <w:t xml:space="preserve"> </w:t>
      </w:r>
      <w:r>
        <w:rPr>
          <w:color w:val="231F20"/>
          <w:sz w:val="14"/>
        </w:rPr>
        <w:t>­</w:t>
      </w:r>
      <w:r>
        <w:rPr>
          <w:color w:val="231F20"/>
          <w:spacing w:val="-4"/>
          <w:sz w:val="14"/>
        </w:rPr>
        <w:t xml:space="preserve"> </w:t>
      </w:r>
      <w:r>
        <w:rPr>
          <w:color w:val="231F20"/>
          <w:sz w:val="14"/>
        </w:rPr>
        <w:t>уметничких</w:t>
      </w:r>
      <w:r>
        <w:rPr>
          <w:color w:val="231F20"/>
          <w:spacing w:val="-4"/>
          <w:sz w:val="14"/>
        </w:rPr>
        <w:t xml:space="preserve"> </w:t>
      </w:r>
      <w:r>
        <w:rPr>
          <w:color w:val="231F20"/>
          <w:sz w:val="14"/>
        </w:rPr>
        <w:t>манифестација</w:t>
      </w:r>
      <w:r>
        <w:rPr>
          <w:color w:val="231F20"/>
          <w:spacing w:val="-4"/>
          <w:sz w:val="14"/>
        </w:rPr>
        <w:t xml:space="preserve"> </w:t>
      </w:r>
      <w:r>
        <w:rPr>
          <w:color w:val="231F20"/>
          <w:sz w:val="14"/>
        </w:rPr>
        <w:t>у</w:t>
      </w:r>
      <w:r>
        <w:rPr>
          <w:color w:val="231F20"/>
          <w:spacing w:val="-4"/>
          <w:sz w:val="14"/>
        </w:rPr>
        <w:t xml:space="preserve"> </w:t>
      </w:r>
      <w:r>
        <w:rPr>
          <w:color w:val="231F20"/>
          <w:sz w:val="14"/>
        </w:rPr>
        <w:t>локалној</w:t>
      </w:r>
      <w:r>
        <w:rPr>
          <w:color w:val="231F20"/>
          <w:spacing w:val="-5"/>
          <w:sz w:val="14"/>
        </w:rPr>
        <w:t xml:space="preserve"> </w:t>
      </w:r>
      <w:r>
        <w:rPr>
          <w:color w:val="231F20"/>
          <w:sz w:val="14"/>
        </w:rPr>
        <w:t>средини</w:t>
      </w:r>
      <w:r>
        <w:rPr>
          <w:color w:val="231F20"/>
          <w:spacing w:val="-4"/>
          <w:sz w:val="14"/>
        </w:rPr>
        <w:t xml:space="preserve"> </w:t>
      </w:r>
      <w:r>
        <w:rPr>
          <w:color w:val="231F20"/>
          <w:sz w:val="14"/>
        </w:rPr>
        <w:t>и</w:t>
      </w:r>
      <w:r>
        <w:rPr>
          <w:color w:val="231F20"/>
          <w:spacing w:val="-5"/>
          <w:sz w:val="14"/>
        </w:rPr>
        <w:t xml:space="preserve"> </w:t>
      </w:r>
      <w:r>
        <w:rPr>
          <w:color w:val="231F20"/>
          <w:sz w:val="14"/>
        </w:rPr>
        <w:t>путем</w:t>
      </w:r>
      <w:r>
        <w:rPr>
          <w:color w:val="231F20"/>
          <w:spacing w:val="-5"/>
          <w:sz w:val="14"/>
        </w:rPr>
        <w:t xml:space="preserve"> </w:t>
      </w:r>
      <w:r>
        <w:rPr>
          <w:color w:val="231F20"/>
          <w:sz w:val="14"/>
        </w:rPr>
        <w:t>електронских</w:t>
      </w:r>
      <w:r>
        <w:rPr>
          <w:color w:val="231F20"/>
          <w:spacing w:val="-4"/>
          <w:sz w:val="14"/>
        </w:rPr>
        <w:t xml:space="preserve"> </w:t>
      </w:r>
      <w:r>
        <w:rPr>
          <w:color w:val="231F20"/>
          <w:sz w:val="14"/>
        </w:rPr>
        <w:t>медија</w:t>
      </w:r>
      <w:r>
        <w:rPr>
          <w:color w:val="231F20"/>
          <w:spacing w:val="-4"/>
          <w:sz w:val="14"/>
        </w:rPr>
        <w:t xml:space="preserve"> </w:t>
      </w:r>
      <w:r>
        <w:rPr>
          <w:color w:val="231F20"/>
          <w:sz w:val="14"/>
        </w:rPr>
        <w:t>(концерти,</w:t>
      </w:r>
      <w:r>
        <w:rPr>
          <w:color w:val="231F20"/>
          <w:spacing w:val="-4"/>
          <w:sz w:val="14"/>
        </w:rPr>
        <w:t xml:space="preserve"> </w:t>
      </w:r>
      <w:r>
        <w:rPr>
          <w:color w:val="231F20"/>
          <w:sz w:val="14"/>
        </w:rPr>
        <w:t>телеви­ зија, филм,</w:t>
      </w:r>
      <w:r>
        <w:rPr>
          <w:color w:val="231F20"/>
          <w:spacing w:val="-2"/>
          <w:sz w:val="14"/>
        </w:rPr>
        <w:t xml:space="preserve"> </w:t>
      </w:r>
      <w:r>
        <w:rPr>
          <w:color w:val="231F20"/>
          <w:sz w:val="14"/>
        </w:rPr>
        <w:t>Интернет);</w:t>
      </w:r>
    </w:p>
    <w:p w:rsidR="00041039" w:rsidRDefault="001B26CB">
      <w:pPr>
        <w:pStyle w:val="ListParagraph"/>
        <w:numPr>
          <w:ilvl w:val="1"/>
          <w:numId w:val="1"/>
        </w:numPr>
        <w:tabs>
          <w:tab w:val="left" w:pos="1566"/>
        </w:tabs>
        <w:spacing w:line="159" w:lineRule="exact"/>
        <w:rPr>
          <w:sz w:val="14"/>
        </w:rPr>
      </w:pPr>
      <w:r>
        <w:rPr>
          <w:color w:val="231F20"/>
          <w:sz w:val="14"/>
        </w:rPr>
        <w:t>Оспособљавање ученика за самостално истраживање стручне литературе, архиве, медијатеке,</w:t>
      </w:r>
      <w:r>
        <w:rPr>
          <w:color w:val="231F20"/>
          <w:spacing w:val="-6"/>
          <w:sz w:val="14"/>
        </w:rPr>
        <w:t xml:space="preserve"> </w:t>
      </w:r>
      <w:r>
        <w:rPr>
          <w:color w:val="231F20"/>
          <w:sz w:val="14"/>
        </w:rPr>
        <w:t>интернета;</w:t>
      </w:r>
    </w:p>
    <w:p w:rsidR="00041039" w:rsidRDefault="001B26CB">
      <w:pPr>
        <w:pStyle w:val="ListParagraph"/>
        <w:numPr>
          <w:ilvl w:val="1"/>
          <w:numId w:val="1"/>
        </w:numPr>
        <w:tabs>
          <w:tab w:val="left" w:pos="1566"/>
        </w:tabs>
        <w:spacing w:line="161" w:lineRule="exact"/>
        <w:rPr>
          <w:b/>
          <w:sz w:val="14"/>
        </w:rPr>
      </w:pPr>
      <w:r>
        <w:rPr>
          <w:color w:val="231F20"/>
          <w:sz w:val="14"/>
        </w:rPr>
        <w:t>Подстицање уметничког развоја и усавршавања у складу са индивидуалним интересовањима и</w:t>
      </w:r>
      <w:r>
        <w:rPr>
          <w:color w:val="231F20"/>
          <w:spacing w:val="-7"/>
          <w:sz w:val="14"/>
        </w:rPr>
        <w:t xml:space="preserve"> </w:t>
      </w:r>
      <w:r>
        <w:rPr>
          <w:color w:val="231F20"/>
          <w:sz w:val="14"/>
        </w:rPr>
        <w:t>способностима</w:t>
      </w:r>
      <w:r>
        <w:rPr>
          <w:b/>
          <w:color w:val="231F20"/>
          <w:sz w:val="14"/>
        </w:rPr>
        <w:t>.</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w:t>
      </w:r>
    </w:p>
    <w:p w:rsidR="00041039" w:rsidRDefault="00041039">
      <w:pPr>
        <w:pStyle w:val="BodyText"/>
        <w:spacing w:before="7"/>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34" w:right="25"/>
              <w:jc w:val="center"/>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4782"/>
        </w:trPr>
        <w:tc>
          <w:tcPr>
            <w:tcW w:w="1304" w:type="dxa"/>
          </w:tcPr>
          <w:p w:rsidR="00041039" w:rsidRDefault="001B26CB">
            <w:pPr>
              <w:pStyle w:val="TableParagraph"/>
              <w:spacing w:before="20" w:line="235" w:lineRule="auto"/>
              <w:ind w:left="56" w:right="172"/>
              <w:rPr>
                <w:sz w:val="14"/>
              </w:rPr>
            </w:pPr>
            <w:r>
              <w:rPr>
                <w:color w:val="231F20"/>
                <w:sz w:val="14"/>
              </w:rPr>
              <w:t>Класична музика (општа музичка анализа и теорија кроз слушање музике)</w:t>
            </w:r>
          </w:p>
        </w:tc>
        <w:tc>
          <w:tcPr>
            <w:tcW w:w="1587" w:type="dxa"/>
          </w:tcPr>
          <w:p w:rsidR="00041039" w:rsidRDefault="001B26CB">
            <w:pPr>
              <w:pStyle w:val="TableParagraph"/>
              <w:numPr>
                <w:ilvl w:val="0"/>
                <w:numId w:val="39"/>
              </w:numPr>
              <w:tabs>
                <w:tab w:val="left" w:pos="157"/>
              </w:tabs>
              <w:spacing w:before="11" w:line="235" w:lineRule="auto"/>
              <w:ind w:right="165"/>
              <w:jc w:val="both"/>
              <w:rPr>
                <w:sz w:val="14"/>
              </w:rPr>
            </w:pPr>
            <w:r>
              <w:rPr>
                <w:color w:val="231F20"/>
                <w:sz w:val="14"/>
              </w:rPr>
              <w:t xml:space="preserve">Оспособљавање уче­ ника за разликовање музичких стилова </w:t>
            </w:r>
            <w:r>
              <w:rPr>
                <w:color w:val="231F20"/>
                <w:spacing w:val="-3"/>
                <w:sz w:val="14"/>
              </w:rPr>
              <w:t xml:space="preserve">од </w:t>
            </w:r>
            <w:r>
              <w:rPr>
                <w:color w:val="231F20"/>
                <w:sz w:val="14"/>
              </w:rPr>
              <w:t>првобитне заједнице до XXI</w:t>
            </w:r>
            <w:r>
              <w:rPr>
                <w:color w:val="231F20"/>
                <w:spacing w:val="-2"/>
                <w:sz w:val="14"/>
              </w:rPr>
              <w:t xml:space="preserve"> </w:t>
            </w:r>
            <w:r>
              <w:rPr>
                <w:color w:val="231F20"/>
                <w:sz w:val="14"/>
              </w:rPr>
              <w:t>века.</w:t>
            </w:r>
          </w:p>
          <w:p w:rsidR="00041039" w:rsidRDefault="001B26CB">
            <w:pPr>
              <w:pStyle w:val="TableParagraph"/>
              <w:numPr>
                <w:ilvl w:val="0"/>
                <w:numId w:val="39"/>
              </w:numPr>
              <w:tabs>
                <w:tab w:val="left" w:pos="157"/>
              </w:tabs>
              <w:spacing w:before="3" w:line="158" w:lineRule="exact"/>
              <w:ind w:right="221"/>
              <w:jc w:val="both"/>
              <w:rPr>
                <w:sz w:val="14"/>
              </w:rPr>
            </w:pPr>
            <w:r>
              <w:rPr>
                <w:color w:val="231F20"/>
                <w:sz w:val="14"/>
              </w:rPr>
              <w:t>Развијање навика за слушање</w:t>
            </w:r>
            <w:r>
              <w:rPr>
                <w:color w:val="231F20"/>
                <w:spacing w:val="-6"/>
                <w:sz w:val="14"/>
              </w:rPr>
              <w:t xml:space="preserve"> </w:t>
            </w:r>
            <w:r>
              <w:rPr>
                <w:color w:val="231F20"/>
                <w:sz w:val="14"/>
              </w:rPr>
              <w:t>уметничке музике.</w:t>
            </w:r>
          </w:p>
          <w:p w:rsidR="00041039" w:rsidRDefault="001B26CB">
            <w:pPr>
              <w:pStyle w:val="TableParagraph"/>
              <w:numPr>
                <w:ilvl w:val="0"/>
                <w:numId w:val="39"/>
              </w:numPr>
              <w:tabs>
                <w:tab w:val="left" w:pos="157"/>
              </w:tabs>
              <w:spacing w:line="158" w:lineRule="exact"/>
              <w:ind w:right="152"/>
              <w:rPr>
                <w:sz w:val="14"/>
              </w:rPr>
            </w:pPr>
            <w:r>
              <w:rPr>
                <w:color w:val="231F20"/>
                <w:sz w:val="14"/>
              </w:rPr>
              <w:t>Оспособљавање уочавања разлика</w:t>
            </w:r>
            <w:r>
              <w:rPr>
                <w:color w:val="231F20"/>
                <w:spacing w:val="-14"/>
                <w:sz w:val="14"/>
              </w:rPr>
              <w:t xml:space="preserve"> </w:t>
            </w:r>
            <w:r>
              <w:rPr>
                <w:color w:val="231F20"/>
                <w:sz w:val="14"/>
              </w:rPr>
              <w:t>ка­ рактера</w:t>
            </w:r>
            <w:r>
              <w:rPr>
                <w:color w:val="231F20"/>
                <w:spacing w:val="-14"/>
                <w:sz w:val="14"/>
              </w:rPr>
              <w:t xml:space="preserve"> </w:t>
            </w:r>
            <w:r>
              <w:rPr>
                <w:color w:val="231F20"/>
                <w:sz w:val="14"/>
              </w:rPr>
              <w:t>композиција.</w:t>
            </w:r>
          </w:p>
          <w:p w:rsidR="00041039" w:rsidRDefault="001B26CB">
            <w:pPr>
              <w:pStyle w:val="TableParagraph"/>
              <w:numPr>
                <w:ilvl w:val="0"/>
                <w:numId w:val="39"/>
              </w:numPr>
              <w:tabs>
                <w:tab w:val="left" w:pos="157"/>
              </w:tabs>
              <w:spacing w:line="158" w:lineRule="exact"/>
              <w:ind w:right="72"/>
              <w:rPr>
                <w:sz w:val="14"/>
              </w:rPr>
            </w:pPr>
            <w:r>
              <w:rPr>
                <w:color w:val="231F20"/>
                <w:sz w:val="14"/>
              </w:rPr>
              <w:t xml:space="preserve">Формирање музичког укуса и адекватног музичког експре­ сивног доживљаја музичког дела при­ </w:t>
            </w:r>
            <w:r>
              <w:rPr>
                <w:color w:val="231F20"/>
                <w:spacing w:val="-3"/>
                <w:sz w:val="14"/>
              </w:rPr>
              <w:t xml:space="preserve">ликом </w:t>
            </w:r>
            <w:r>
              <w:rPr>
                <w:color w:val="231F20"/>
                <w:sz w:val="14"/>
              </w:rPr>
              <w:t xml:space="preserve">слушања </w:t>
            </w:r>
            <w:r>
              <w:rPr>
                <w:color w:val="231F20"/>
                <w:spacing w:val="-3"/>
                <w:sz w:val="14"/>
              </w:rPr>
              <w:t xml:space="preserve">(аудио </w:t>
            </w:r>
            <w:r>
              <w:rPr>
                <w:color w:val="231F20"/>
                <w:sz w:val="14"/>
              </w:rPr>
              <w:t>апаратима и уживо на концертима).</w:t>
            </w:r>
          </w:p>
        </w:tc>
        <w:tc>
          <w:tcPr>
            <w:tcW w:w="2551" w:type="dxa"/>
          </w:tcPr>
          <w:p w:rsidR="00041039" w:rsidRDefault="001B26CB">
            <w:pPr>
              <w:pStyle w:val="TableParagraph"/>
              <w:numPr>
                <w:ilvl w:val="0"/>
                <w:numId w:val="38"/>
              </w:numPr>
              <w:tabs>
                <w:tab w:val="left" w:pos="157"/>
              </w:tabs>
              <w:spacing w:before="12" w:line="235" w:lineRule="auto"/>
              <w:ind w:right="79" w:hanging="99"/>
              <w:jc w:val="both"/>
              <w:rPr>
                <w:sz w:val="14"/>
              </w:rPr>
            </w:pPr>
            <w:r>
              <w:rPr>
                <w:color w:val="231F20"/>
                <w:sz w:val="14"/>
              </w:rPr>
              <w:t>препознаје и разликује одлике</w:t>
            </w:r>
            <w:r>
              <w:rPr>
                <w:color w:val="231F20"/>
                <w:spacing w:val="-22"/>
                <w:sz w:val="14"/>
              </w:rPr>
              <w:t xml:space="preserve"> </w:t>
            </w:r>
            <w:r>
              <w:rPr>
                <w:color w:val="231F20"/>
                <w:sz w:val="14"/>
              </w:rPr>
              <w:t xml:space="preserve">стилова у музичком изражавању </w:t>
            </w:r>
            <w:r>
              <w:rPr>
                <w:color w:val="231F20"/>
                <w:spacing w:val="-3"/>
                <w:sz w:val="14"/>
              </w:rPr>
              <w:t xml:space="preserve">од </w:t>
            </w:r>
            <w:r>
              <w:rPr>
                <w:color w:val="231F20"/>
                <w:sz w:val="14"/>
              </w:rPr>
              <w:t>првобитне заједнице до</w:t>
            </w:r>
            <w:r>
              <w:rPr>
                <w:color w:val="231F20"/>
                <w:spacing w:val="-1"/>
                <w:sz w:val="14"/>
              </w:rPr>
              <w:t xml:space="preserve"> </w:t>
            </w:r>
            <w:r>
              <w:rPr>
                <w:color w:val="231F20"/>
                <w:sz w:val="14"/>
              </w:rPr>
              <w:t>данас;</w:t>
            </w:r>
          </w:p>
          <w:p w:rsidR="00041039" w:rsidRDefault="001B26CB">
            <w:pPr>
              <w:pStyle w:val="TableParagraph"/>
              <w:numPr>
                <w:ilvl w:val="0"/>
                <w:numId w:val="38"/>
              </w:numPr>
              <w:tabs>
                <w:tab w:val="left" w:pos="157"/>
              </w:tabs>
              <w:spacing w:before="2" w:line="158" w:lineRule="exact"/>
              <w:ind w:right="186" w:hanging="99"/>
              <w:rPr>
                <w:sz w:val="14"/>
              </w:rPr>
            </w:pPr>
            <w:r>
              <w:rPr>
                <w:color w:val="231F20"/>
                <w:sz w:val="14"/>
              </w:rPr>
              <w:t>испољава потребу за свакодневним слушањем музике и на основу тога формира трајно интересовање према музици</w:t>
            </w:r>
            <w:r>
              <w:rPr>
                <w:color w:val="231F20"/>
                <w:spacing w:val="-1"/>
                <w:sz w:val="14"/>
              </w:rPr>
              <w:t xml:space="preserve"> </w:t>
            </w:r>
            <w:r>
              <w:rPr>
                <w:color w:val="231F20"/>
                <w:sz w:val="14"/>
              </w:rPr>
              <w:t>уопште;</w:t>
            </w:r>
          </w:p>
          <w:p w:rsidR="00041039" w:rsidRDefault="001B26CB">
            <w:pPr>
              <w:pStyle w:val="TableParagraph"/>
              <w:numPr>
                <w:ilvl w:val="0"/>
                <w:numId w:val="38"/>
              </w:numPr>
              <w:tabs>
                <w:tab w:val="left" w:pos="157"/>
              </w:tabs>
              <w:spacing w:line="158" w:lineRule="exact"/>
              <w:ind w:right="50" w:hanging="99"/>
              <w:rPr>
                <w:sz w:val="14"/>
              </w:rPr>
            </w:pPr>
            <w:r>
              <w:rPr>
                <w:color w:val="231F20"/>
                <w:sz w:val="14"/>
              </w:rPr>
              <w:t>препознаје одслушане композиције уз познавање</w:t>
            </w:r>
            <w:r>
              <w:rPr>
                <w:color w:val="231F20"/>
                <w:spacing w:val="-6"/>
                <w:sz w:val="14"/>
              </w:rPr>
              <w:t xml:space="preserve"> </w:t>
            </w:r>
            <w:r>
              <w:rPr>
                <w:color w:val="231F20"/>
                <w:sz w:val="14"/>
              </w:rPr>
              <w:t>њихових</w:t>
            </w:r>
            <w:r>
              <w:rPr>
                <w:color w:val="231F20"/>
                <w:spacing w:val="-6"/>
                <w:sz w:val="14"/>
              </w:rPr>
              <w:t xml:space="preserve"> </w:t>
            </w:r>
            <w:r>
              <w:rPr>
                <w:color w:val="231F20"/>
                <w:sz w:val="14"/>
              </w:rPr>
              <w:t>аутора</w:t>
            </w:r>
            <w:r>
              <w:rPr>
                <w:color w:val="231F20"/>
                <w:spacing w:val="-6"/>
                <w:sz w:val="14"/>
              </w:rPr>
              <w:t xml:space="preserve"> </w:t>
            </w:r>
            <w:r>
              <w:rPr>
                <w:color w:val="231F20"/>
                <w:sz w:val="14"/>
              </w:rPr>
              <w:t>као</w:t>
            </w:r>
            <w:r>
              <w:rPr>
                <w:color w:val="231F20"/>
                <w:spacing w:val="-6"/>
                <w:sz w:val="14"/>
              </w:rPr>
              <w:t xml:space="preserve"> </w:t>
            </w:r>
            <w:r>
              <w:rPr>
                <w:color w:val="231F20"/>
                <w:sz w:val="14"/>
              </w:rPr>
              <w:t>и</w:t>
            </w:r>
            <w:r>
              <w:rPr>
                <w:color w:val="231F20"/>
                <w:spacing w:val="-7"/>
                <w:sz w:val="14"/>
              </w:rPr>
              <w:t xml:space="preserve"> </w:t>
            </w:r>
            <w:r>
              <w:rPr>
                <w:color w:val="231F20"/>
                <w:sz w:val="14"/>
              </w:rPr>
              <w:t>време настанка;</w:t>
            </w:r>
          </w:p>
          <w:p w:rsidR="00041039" w:rsidRDefault="001B26CB">
            <w:pPr>
              <w:pStyle w:val="TableParagraph"/>
              <w:numPr>
                <w:ilvl w:val="0"/>
                <w:numId w:val="38"/>
              </w:numPr>
              <w:tabs>
                <w:tab w:val="left" w:pos="157"/>
              </w:tabs>
              <w:spacing w:before="1" w:line="158" w:lineRule="exact"/>
              <w:ind w:right="233" w:hanging="99"/>
              <w:rPr>
                <w:sz w:val="14"/>
              </w:rPr>
            </w:pPr>
            <w:r>
              <w:rPr>
                <w:color w:val="231F20"/>
                <w:sz w:val="14"/>
              </w:rPr>
              <w:t>експресивно, аутономно</w:t>
            </w:r>
            <w:r>
              <w:rPr>
                <w:color w:val="231F20"/>
                <w:spacing w:val="-19"/>
                <w:sz w:val="14"/>
              </w:rPr>
              <w:t xml:space="preserve"> </w:t>
            </w:r>
            <w:r>
              <w:rPr>
                <w:color w:val="231F20"/>
                <w:sz w:val="14"/>
              </w:rPr>
              <w:t>доживљава карактер одслушане</w:t>
            </w:r>
            <w:r>
              <w:rPr>
                <w:color w:val="231F20"/>
                <w:spacing w:val="-8"/>
                <w:sz w:val="14"/>
              </w:rPr>
              <w:t xml:space="preserve"> </w:t>
            </w:r>
            <w:r>
              <w:rPr>
                <w:color w:val="231F20"/>
                <w:sz w:val="14"/>
              </w:rPr>
              <w:t>композиције;</w:t>
            </w:r>
          </w:p>
          <w:p w:rsidR="00041039" w:rsidRDefault="001B26CB">
            <w:pPr>
              <w:pStyle w:val="TableParagraph"/>
              <w:numPr>
                <w:ilvl w:val="0"/>
                <w:numId w:val="38"/>
              </w:numPr>
              <w:tabs>
                <w:tab w:val="left" w:pos="157"/>
              </w:tabs>
              <w:spacing w:line="158" w:lineRule="exact"/>
              <w:ind w:right="158" w:hanging="99"/>
              <w:rPr>
                <w:sz w:val="14"/>
              </w:rPr>
            </w:pPr>
            <w:r>
              <w:rPr>
                <w:color w:val="231F20"/>
                <w:sz w:val="14"/>
              </w:rPr>
              <w:t>поседује адекватан музички укус, самоиницијативно посећује</w:t>
            </w:r>
            <w:r>
              <w:rPr>
                <w:color w:val="231F20"/>
                <w:spacing w:val="-14"/>
                <w:sz w:val="14"/>
              </w:rPr>
              <w:t xml:space="preserve"> </w:t>
            </w:r>
            <w:r>
              <w:rPr>
                <w:color w:val="231F20"/>
                <w:sz w:val="14"/>
              </w:rPr>
              <w:t>концерте и друге музичке манифестације у локалној</w:t>
            </w:r>
            <w:r>
              <w:rPr>
                <w:color w:val="231F20"/>
                <w:spacing w:val="-2"/>
                <w:sz w:val="14"/>
              </w:rPr>
              <w:t xml:space="preserve"> </w:t>
            </w:r>
            <w:r>
              <w:rPr>
                <w:color w:val="231F20"/>
                <w:sz w:val="14"/>
              </w:rPr>
              <w:t>заједници;</w:t>
            </w:r>
          </w:p>
        </w:tc>
        <w:tc>
          <w:tcPr>
            <w:tcW w:w="2834" w:type="dxa"/>
          </w:tcPr>
          <w:p w:rsidR="00041039" w:rsidRDefault="001B26CB">
            <w:pPr>
              <w:pStyle w:val="TableParagraph"/>
              <w:numPr>
                <w:ilvl w:val="0"/>
                <w:numId w:val="37"/>
              </w:numPr>
              <w:tabs>
                <w:tab w:val="left" w:pos="157"/>
              </w:tabs>
              <w:spacing w:before="13" w:line="235" w:lineRule="auto"/>
              <w:ind w:right="67" w:hanging="99"/>
              <w:rPr>
                <w:sz w:val="14"/>
              </w:rPr>
            </w:pPr>
            <w:r>
              <w:rPr>
                <w:color w:val="231F20"/>
                <w:sz w:val="14"/>
              </w:rPr>
              <w:t xml:space="preserve">Значај музике у животу и друштву: првобитна заједница, </w:t>
            </w:r>
            <w:r>
              <w:rPr>
                <w:color w:val="231F20"/>
                <w:sz w:val="14"/>
              </w:rPr>
              <w:t>стари век и развој музике у средњем веку (духовна и</w:t>
            </w:r>
            <w:r>
              <w:rPr>
                <w:color w:val="231F20"/>
                <w:spacing w:val="-20"/>
                <w:sz w:val="14"/>
              </w:rPr>
              <w:t xml:space="preserve"> </w:t>
            </w:r>
            <w:r>
              <w:rPr>
                <w:color w:val="231F20"/>
                <w:sz w:val="14"/>
              </w:rPr>
              <w:t>световна музика).</w:t>
            </w:r>
          </w:p>
          <w:p w:rsidR="00041039" w:rsidRDefault="001B26CB">
            <w:pPr>
              <w:pStyle w:val="TableParagraph"/>
              <w:numPr>
                <w:ilvl w:val="0"/>
                <w:numId w:val="37"/>
              </w:numPr>
              <w:tabs>
                <w:tab w:val="left" w:pos="157"/>
              </w:tabs>
              <w:spacing w:before="2" w:line="158" w:lineRule="exact"/>
              <w:ind w:right="146" w:hanging="99"/>
              <w:rPr>
                <w:sz w:val="14"/>
              </w:rPr>
            </w:pPr>
            <w:r>
              <w:rPr>
                <w:color w:val="231F20"/>
                <w:sz w:val="14"/>
              </w:rPr>
              <w:t>Грегоријански</w:t>
            </w:r>
            <w:r>
              <w:rPr>
                <w:color w:val="231F20"/>
                <w:spacing w:val="-11"/>
                <w:sz w:val="14"/>
              </w:rPr>
              <w:t xml:space="preserve"> </w:t>
            </w:r>
            <w:r>
              <w:rPr>
                <w:color w:val="231F20"/>
                <w:sz w:val="14"/>
              </w:rPr>
              <w:t>корал,</w:t>
            </w:r>
            <w:r>
              <w:rPr>
                <w:color w:val="231F20"/>
                <w:spacing w:val="-11"/>
                <w:sz w:val="14"/>
              </w:rPr>
              <w:t xml:space="preserve"> </w:t>
            </w:r>
            <w:r>
              <w:rPr>
                <w:color w:val="231F20"/>
                <w:sz w:val="14"/>
              </w:rPr>
              <w:t>Византијско</w:t>
            </w:r>
            <w:r>
              <w:rPr>
                <w:color w:val="231F20"/>
                <w:spacing w:val="-11"/>
                <w:sz w:val="14"/>
              </w:rPr>
              <w:t xml:space="preserve"> </w:t>
            </w:r>
            <w:r>
              <w:rPr>
                <w:color w:val="231F20"/>
                <w:sz w:val="14"/>
              </w:rPr>
              <w:t>певање, Кир Стефан Србин: Ниња</w:t>
            </w:r>
            <w:r>
              <w:rPr>
                <w:color w:val="231F20"/>
                <w:spacing w:val="-2"/>
                <w:sz w:val="14"/>
              </w:rPr>
              <w:t xml:space="preserve"> </w:t>
            </w:r>
            <w:r>
              <w:rPr>
                <w:color w:val="231F20"/>
                <w:sz w:val="14"/>
              </w:rPr>
              <w:t>сили.</w:t>
            </w:r>
          </w:p>
          <w:p w:rsidR="00041039" w:rsidRDefault="001B26CB">
            <w:pPr>
              <w:pStyle w:val="TableParagraph"/>
              <w:spacing w:line="150" w:lineRule="exact"/>
              <w:ind w:left="57"/>
              <w:rPr>
                <w:b/>
                <w:sz w:val="14"/>
              </w:rPr>
            </w:pPr>
            <w:r>
              <w:rPr>
                <w:b/>
                <w:color w:val="231F20"/>
                <w:sz w:val="14"/>
              </w:rPr>
              <w:t>Ренесанса и барок:</w:t>
            </w:r>
          </w:p>
          <w:p w:rsidR="00041039" w:rsidRDefault="001B26CB">
            <w:pPr>
              <w:pStyle w:val="TableParagraph"/>
              <w:numPr>
                <w:ilvl w:val="0"/>
                <w:numId w:val="37"/>
              </w:numPr>
              <w:tabs>
                <w:tab w:val="left" w:pos="157"/>
              </w:tabs>
              <w:spacing w:line="235" w:lineRule="auto"/>
              <w:ind w:right="258" w:hanging="99"/>
              <w:rPr>
                <w:i/>
                <w:sz w:val="14"/>
              </w:rPr>
            </w:pPr>
            <w:r>
              <w:rPr>
                <w:color w:val="231F20"/>
                <w:sz w:val="14"/>
              </w:rPr>
              <w:t xml:space="preserve">Палестрина Л.: </w:t>
            </w:r>
            <w:r>
              <w:rPr>
                <w:i/>
                <w:color w:val="231F20"/>
                <w:sz w:val="14"/>
              </w:rPr>
              <w:t>Огни белта</w:t>
            </w:r>
            <w:r>
              <w:rPr>
                <w:color w:val="231F20"/>
                <w:sz w:val="14"/>
              </w:rPr>
              <w:t xml:space="preserve">, Вивалди А.: </w:t>
            </w:r>
            <w:r>
              <w:rPr>
                <w:i/>
                <w:color w:val="231F20"/>
                <w:sz w:val="14"/>
              </w:rPr>
              <w:t>4 годишња доба</w:t>
            </w:r>
            <w:r>
              <w:rPr>
                <w:color w:val="231F20"/>
                <w:sz w:val="14"/>
              </w:rPr>
              <w:t xml:space="preserve">, Хендл </w:t>
            </w:r>
            <w:r>
              <w:rPr>
                <w:color w:val="231F20"/>
                <w:spacing w:val="-4"/>
                <w:sz w:val="14"/>
              </w:rPr>
              <w:t xml:space="preserve">Г.Ф.: </w:t>
            </w:r>
            <w:r>
              <w:rPr>
                <w:i/>
                <w:color w:val="231F20"/>
                <w:sz w:val="14"/>
              </w:rPr>
              <w:t>Месија (Алелуја)</w:t>
            </w:r>
            <w:r>
              <w:rPr>
                <w:color w:val="231F20"/>
                <w:sz w:val="14"/>
              </w:rPr>
              <w:t xml:space="preserve">, Бах Ј.С.: </w:t>
            </w:r>
            <w:r>
              <w:rPr>
                <w:i/>
                <w:color w:val="231F20"/>
                <w:sz w:val="14"/>
              </w:rPr>
              <w:t>Токата и фуга</w:t>
            </w:r>
            <w:r>
              <w:rPr>
                <w:i/>
                <w:color w:val="231F20"/>
                <w:spacing w:val="-24"/>
                <w:sz w:val="14"/>
              </w:rPr>
              <w:t xml:space="preserve"> </w:t>
            </w:r>
            <w:r>
              <w:rPr>
                <w:i/>
                <w:color w:val="231F20"/>
                <w:sz w:val="14"/>
              </w:rPr>
              <w:t>d-mol</w:t>
            </w:r>
            <w:r>
              <w:rPr>
                <w:color w:val="231F20"/>
                <w:sz w:val="14"/>
              </w:rPr>
              <w:t xml:space="preserve">, </w:t>
            </w:r>
            <w:r>
              <w:rPr>
                <w:i/>
                <w:color w:val="231F20"/>
                <w:sz w:val="14"/>
              </w:rPr>
              <w:t>Брандебуршки копцерт бр. З G -</w:t>
            </w:r>
            <w:r>
              <w:rPr>
                <w:i/>
                <w:color w:val="231F20"/>
                <w:spacing w:val="-8"/>
                <w:sz w:val="14"/>
              </w:rPr>
              <w:t xml:space="preserve"> </w:t>
            </w:r>
            <w:r>
              <w:rPr>
                <w:i/>
                <w:color w:val="231F20"/>
                <w:spacing w:val="-4"/>
                <w:sz w:val="14"/>
              </w:rPr>
              <w:t>dur.</w:t>
            </w:r>
          </w:p>
          <w:p w:rsidR="00041039" w:rsidRDefault="001B26CB">
            <w:pPr>
              <w:pStyle w:val="TableParagraph"/>
              <w:spacing w:line="153" w:lineRule="exact"/>
              <w:ind w:left="57"/>
              <w:rPr>
                <w:b/>
                <w:sz w:val="14"/>
              </w:rPr>
            </w:pPr>
            <w:r>
              <w:rPr>
                <w:b/>
                <w:color w:val="231F20"/>
                <w:sz w:val="14"/>
              </w:rPr>
              <w:t>Класицизам:</w:t>
            </w:r>
          </w:p>
          <w:p w:rsidR="00041039" w:rsidRDefault="001B26CB">
            <w:pPr>
              <w:pStyle w:val="TableParagraph"/>
              <w:numPr>
                <w:ilvl w:val="0"/>
                <w:numId w:val="37"/>
              </w:numPr>
              <w:tabs>
                <w:tab w:val="left" w:pos="157"/>
              </w:tabs>
              <w:spacing w:line="235" w:lineRule="auto"/>
              <w:ind w:right="334" w:hanging="99"/>
              <w:rPr>
                <w:sz w:val="14"/>
              </w:rPr>
            </w:pPr>
            <w:r>
              <w:rPr>
                <w:color w:val="231F20"/>
                <w:sz w:val="14"/>
              </w:rPr>
              <w:t xml:space="preserve">Хајдн Ј.: </w:t>
            </w:r>
            <w:r>
              <w:rPr>
                <w:i/>
                <w:color w:val="231F20"/>
                <w:sz w:val="14"/>
              </w:rPr>
              <w:t>Симфонија изненађења бр</w:t>
            </w:r>
            <w:r>
              <w:rPr>
                <w:i/>
                <w:color w:val="231F20"/>
                <w:spacing w:val="-9"/>
                <w:sz w:val="14"/>
              </w:rPr>
              <w:t xml:space="preserve"> </w:t>
            </w:r>
            <w:r>
              <w:rPr>
                <w:i/>
                <w:color w:val="231F20"/>
                <w:sz w:val="14"/>
              </w:rPr>
              <w:t>94. G -</w:t>
            </w:r>
            <w:r>
              <w:rPr>
                <w:i/>
                <w:color w:val="231F20"/>
                <w:spacing w:val="-1"/>
                <w:sz w:val="14"/>
              </w:rPr>
              <w:t xml:space="preserve"> </w:t>
            </w:r>
            <w:r>
              <w:rPr>
                <w:i/>
                <w:color w:val="231F20"/>
                <w:sz w:val="14"/>
              </w:rPr>
              <w:t>dur</w:t>
            </w:r>
            <w:r>
              <w:rPr>
                <w:color w:val="231F20"/>
                <w:sz w:val="14"/>
              </w:rPr>
              <w:t>.</w:t>
            </w:r>
          </w:p>
          <w:p w:rsidR="00041039" w:rsidRDefault="001B26CB">
            <w:pPr>
              <w:pStyle w:val="TableParagraph"/>
              <w:numPr>
                <w:ilvl w:val="0"/>
                <w:numId w:val="37"/>
              </w:numPr>
              <w:tabs>
                <w:tab w:val="left" w:pos="157"/>
              </w:tabs>
              <w:spacing w:line="158" w:lineRule="exact"/>
              <w:ind w:right="49" w:hanging="99"/>
              <w:rPr>
                <w:i/>
                <w:sz w:val="14"/>
              </w:rPr>
            </w:pPr>
            <w:r>
              <w:rPr>
                <w:color w:val="231F20"/>
                <w:sz w:val="14"/>
              </w:rPr>
              <w:t xml:space="preserve">Моцарт В.А.: </w:t>
            </w:r>
            <w:r>
              <w:rPr>
                <w:i/>
                <w:color w:val="231F20"/>
                <w:sz w:val="14"/>
              </w:rPr>
              <w:t>Симфонија бр. 40. G - dur</w:t>
            </w:r>
            <w:r>
              <w:rPr>
                <w:color w:val="231F20"/>
                <w:sz w:val="14"/>
              </w:rPr>
              <w:t xml:space="preserve">, </w:t>
            </w:r>
            <w:r>
              <w:rPr>
                <w:i/>
                <w:color w:val="231F20"/>
                <w:sz w:val="14"/>
              </w:rPr>
              <w:t>Реквијем,</w:t>
            </w:r>
            <w:r>
              <w:rPr>
                <w:i/>
                <w:color w:val="231F20"/>
                <w:spacing w:val="-8"/>
                <w:sz w:val="14"/>
              </w:rPr>
              <w:t xml:space="preserve"> </w:t>
            </w:r>
            <w:r>
              <w:rPr>
                <w:i/>
                <w:color w:val="231F20"/>
                <w:sz w:val="14"/>
              </w:rPr>
              <w:t>Мала</w:t>
            </w:r>
            <w:r>
              <w:rPr>
                <w:i/>
                <w:color w:val="231F20"/>
                <w:spacing w:val="-7"/>
                <w:sz w:val="14"/>
              </w:rPr>
              <w:t xml:space="preserve"> </w:t>
            </w:r>
            <w:r>
              <w:rPr>
                <w:i/>
                <w:color w:val="231F20"/>
                <w:sz w:val="14"/>
              </w:rPr>
              <w:t>ноћна</w:t>
            </w:r>
            <w:r>
              <w:rPr>
                <w:i/>
                <w:color w:val="231F20"/>
                <w:spacing w:val="-8"/>
                <w:sz w:val="14"/>
              </w:rPr>
              <w:t xml:space="preserve"> </w:t>
            </w:r>
            <w:r>
              <w:rPr>
                <w:i/>
                <w:color w:val="231F20"/>
                <w:sz w:val="14"/>
              </w:rPr>
              <w:t>музика,</w:t>
            </w:r>
            <w:r>
              <w:rPr>
                <w:i/>
                <w:color w:val="231F20"/>
                <w:spacing w:val="-7"/>
                <w:sz w:val="14"/>
              </w:rPr>
              <w:t xml:space="preserve"> </w:t>
            </w:r>
            <w:r>
              <w:rPr>
                <w:i/>
                <w:color w:val="231F20"/>
                <w:sz w:val="14"/>
              </w:rPr>
              <w:t>Турски</w:t>
            </w:r>
            <w:r>
              <w:rPr>
                <w:i/>
                <w:color w:val="231F20"/>
                <w:spacing w:val="-7"/>
                <w:sz w:val="14"/>
              </w:rPr>
              <w:t xml:space="preserve"> </w:t>
            </w:r>
            <w:r>
              <w:rPr>
                <w:i/>
                <w:color w:val="231F20"/>
                <w:sz w:val="14"/>
              </w:rPr>
              <w:t>марш</w:t>
            </w:r>
            <w:r>
              <w:rPr>
                <w:color w:val="231F20"/>
                <w:sz w:val="14"/>
              </w:rPr>
              <w:t xml:space="preserve">, Бетовен Л.В.: </w:t>
            </w:r>
            <w:r>
              <w:rPr>
                <w:i/>
                <w:color w:val="231F20"/>
                <w:sz w:val="14"/>
              </w:rPr>
              <w:t>5. и 9. симфонија, За Елизу, Месечева</w:t>
            </w:r>
            <w:r>
              <w:rPr>
                <w:i/>
                <w:color w:val="231F20"/>
                <w:spacing w:val="-1"/>
                <w:sz w:val="14"/>
              </w:rPr>
              <w:t xml:space="preserve"> </w:t>
            </w:r>
            <w:r>
              <w:rPr>
                <w:i/>
                <w:color w:val="231F20"/>
                <w:sz w:val="14"/>
              </w:rPr>
              <w:t>соната</w:t>
            </w:r>
            <w:r>
              <w:rPr>
                <w:i/>
                <w:color w:val="231F20"/>
                <w:sz w:val="14"/>
              </w:rPr>
              <w:t>.</w:t>
            </w:r>
          </w:p>
          <w:p w:rsidR="00041039" w:rsidRDefault="001B26CB">
            <w:pPr>
              <w:pStyle w:val="TableParagraph"/>
              <w:spacing w:line="150" w:lineRule="exact"/>
              <w:ind w:left="57"/>
              <w:rPr>
                <w:b/>
                <w:sz w:val="14"/>
              </w:rPr>
            </w:pPr>
            <w:r>
              <w:rPr>
                <w:b/>
                <w:color w:val="231F20"/>
                <w:sz w:val="14"/>
              </w:rPr>
              <w:t>Романтизам:</w:t>
            </w:r>
          </w:p>
          <w:p w:rsidR="00041039" w:rsidRDefault="001B26CB">
            <w:pPr>
              <w:pStyle w:val="TableParagraph"/>
              <w:numPr>
                <w:ilvl w:val="0"/>
                <w:numId w:val="37"/>
              </w:numPr>
              <w:tabs>
                <w:tab w:val="left" w:pos="157"/>
              </w:tabs>
              <w:spacing w:line="235" w:lineRule="auto"/>
              <w:ind w:right="91" w:hanging="99"/>
              <w:rPr>
                <w:i/>
                <w:sz w:val="14"/>
              </w:rPr>
            </w:pPr>
            <w:r>
              <w:rPr>
                <w:color w:val="231F20"/>
                <w:sz w:val="14"/>
              </w:rPr>
              <w:t xml:space="preserve">Менделсон Ф.: </w:t>
            </w:r>
            <w:r>
              <w:rPr>
                <w:i/>
                <w:color w:val="231F20"/>
                <w:sz w:val="14"/>
              </w:rPr>
              <w:t>Свадбени марш</w:t>
            </w:r>
            <w:r>
              <w:rPr>
                <w:color w:val="231F20"/>
                <w:sz w:val="14"/>
              </w:rPr>
              <w:t>, Шопен</w:t>
            </w:r>
            <w:r>
              <w:rPr>
                <w:color w:val="231F20"/>
                <w:spacing w:val="-13"/>
                <w:sz w:val="14"/>
              </w:rPr>
              <w:t xml:space="preserve"> </w:t>
            </w:r>
            <w:r>
              <w:rPr>
                <w:color w:val="231F20"/>
                <w:sz w:val="14"/>
              </w:rPr>
              <w:t xml:space="preserve">Ф.: </w:t>
            </w:r>
            <w:r>
              <w:rPr>
                <w:i/>
                <w:color w:val="231F20"/>
                <w:sz w:val="14"/>
              </w:rPr>
              <w:t>Валцер des - dur</w:t>
            </w:r>
            <w:r>
              <w:rPr>
                <w:color w:val="231F20"/>
                <w:sz w:val="14"/>
              </w:rPr>
              <w:t xml:space="preserve">, Брамс Ј.: </w:t>
            </w:r>
            <w:r>
              <w:rPr>
                <w:i/>
                <w:color w:val="231F20"/>
                <w:sz w:val="14"/>
              </w:rPr>
              <w:t>Мађарске игре по избору</w:t>
            </w:r>
            <w:r>
              <w:rPr>
                <w:color w:val="231F20"/>
                <w:sz w:val="14"/>
              </w:rPr>
              <w:t xml:space="preserve">, Сметана Б.: </w:t>
            </w:r>
            <w:r>
              <w:rPr>
                <w:i/>
                <w:color w:val="231F20"/>
                <w:sz w:val="14"/>
              </w:rPr>
              <w:t>Влтава</w:t>
            </w:r>
            <w:r>
              <w:rPr>
                <w:color w:val="231F20"/>
                <w:sz w:val="14"/>
              </w:rPr>
              <w:t xml:space="preserve">, Дворжак А.: </w:t>
            </w:r>
            <w:r>
              <w:rPr>
                <w:i/>
                <w:color w:val="231F20"/>
                <w:sz w:val="14"/>
              </w:rPr>
              <w:t>Симфонија из новог</w:t>
            </w:r>
            <w:r>
              <w:rPr>
                <w:i/>
                <w:color w:val="231F20"/>
                <w:spacing w:val="-3"/>
                <w:sz w:val="14"/>
              </w:rPr>
              <w:t xml:space="preserve"> </w:t>
            </w:r>
            <w:r>
              <w:rPr>
                <w:i/>
                <w:color w:val="231F20"/>
                <w:sz w:val="14"/>
              </w:rPr>
              <w:t>света.</w:t>
            </w:r>
          </w:p>
          <w:p w:rsidR="00041039" w:rsidRDefault="001B26CB">
            <w:pPr>
              <w:pStyle w:val="TableParagraph"/>
              <w:spacing w:line="153" w:lineRule="exact"/>
              <w:ind w:left="57"/>
              <w:rPr>
                <w:b/>
                <w:sz w:val="14"/>
              </w:rPr>
            </w:pPr>
            <w:r>
              <w:rPr>
                <w:b/>
                <w:color w:val="231F20"/>
                <w:sz w:val="14"/>
              </w:rPr>
              <w:t>Импресионизам</w:t>
            </w:r>
          </w:p>
          <w:p w:rsidR="00041039" w:rsidRDefault="001B26CB">
            <w:pPr>
              <w:pStyle w:val="TableParagraph"/>
              <w:numPr>
                <w:ilvl w:val="0"/>
                <w:numId w:val="37"/>
              </w:numPr>
              <w:tabs>
                <w:tab w:val="left" w:pos="157"/>
              </w:tabs>
              <w:spacing w:line="235" w:lineRule="auto"/>
              <w:ind w:right="71" w:hanging="99"/>
              <w:rPr>
                <w:i/>
                <w:sz w:val="14"/>
              </w:rPr>
            </w:pPr>
            <w:r>
              <w:rPr>
                <w:color w:val="231F20"/>
                <w:sz w:val="14"/>
              </w:rPr>
              <w:t xml:space="preserve">Дебиси К.: </w:t>
            </w:r>
            <w:r>
              <w:rPr>
                <w:i/>
                <w:color w:val="231F20"/>
                <w:sz w:val="14"/>
              </w:rPr>
              <w:t>Прелид за поподне једног</w:t>
            </w:r>
            <w:r>
              <w:rPr>
                <w:i/>
                <w:color w:val="231F20"/>
                <w:spacing w:val="-18"/>
                <w:sz w:val="14"/>
              </w:rPr>
              <w:t xml:space="preserve"> </w:t>
            </w:r>
            <w:r>
              <w:rPr>
                <w:i/>
                <w:color w:val="231F20"/>
                <w:sz w:val="14"/>
              </w:rPr>
              <w:t>пауна</w:t>
            </w:r>
            <w:r>
              <w:rPr>
                <w:color w:val="231F20"/>
                <w:sz w:val="14"/>
              </w:rPr>
              <w:t>, Равел М.:</w:t>
            </w:r>
            <w:r>
              <w:rPr>
                <w:color w:val="231F20"/>
                <w:spacing w:val="-2"/>
                <w:sz w:val="14"/>
              </w:rPr>
              <w:t xml:space="preserve"> </w:t>
            </w:r>
            <w:r>
              <w:rPr>
                <w:i/>
                <w:color w:val="231F20"/>
                <w:sz w:val="14"/>
              </w:rPr>
              <w:t>Болеро.</w:t>
            </w:r>
          </w:p>
          <w:p w:rsidR="00041039" w:rsidRDefault="001B26CB">
            <w:pPr>
              <w:pStyle w:val="TableParagraph"/>
              <w:spacing w:line="152" w:lineRule="exact"/>
              <w:ind w:left="57"/>
              <w:rPr>
                <w:b/>
                <w:sz w:val="14"/>
              </w:rPr>
            </w:pPr>
            <w:r>
              <w:rPr>
                <w:b/>
                <w:color w:val="231F20"/>
                <w:sz w:val="14"/>
              </w:rPr>
              <w:t>Музика XX века</w:t>
            </w:r>
          </w:p>
          <w:p w:rsidR="00041039" w:rsidRDefault="001B26CB">
            <w:pPr>
              <w:pStyle w:val="TableParagraph"/>
              <w:numPr>
                <w:ilvl w:val="0"/>
                <w:numId w:val="37"/>
              </w:numPr>
              <w:tabs>
                <w:tab w:val="left" w:pos="157"/>
              </w:tabs>
              <w:spacing w:line="158" w:lineRule="exact"/>
              <w:ind w:right="306" w:hanging="99"/>
              <w:rPr>
                <w:sz w:val="14"/>
              </w:rPr>
            </w:pPr>
            <w:r>
              <w:rPr>
                <w:color w:val="231F20"/>
                <w:sz w:val="14"/>
              </w:rPr>
              <w:t xml:space="preserve">Шостакович: </w:t>
            </w:r>
            <w:r>
              <w:rPr>
                <w:i/>
                <w:color w:val="231F20"/>
                <w:sz w:val="14"/>
              </w:rPr>
              <w:t>Камерна симфонија</w:t>
            </w:r>
            <w:r>
              <w:rPr>
                <w:color w:val="231F20"/>
                <w:sz w:val="14"/>
              </w:rPr>
              <w:t xml:space="preserve">, Прокофјев С.: </w:t>
            </w:r>
            <w:r>
              <w:rPr>
                <w:i/>
                <w:color w:val="231F20"/>
                <w:spacing w:val="-3"/>
                <w:sz w:val="14"/>
              </w:rPr>
              <w:t xml:space="preserve">Ромео </w:t>
            </w:r>
            <w:r>
              <w:rPr>
                <w:i/>
                <w:color w:val="231F20"/>
                <w:sz w:val="14"/>
              </w:rPr>
              <w:t>и Јулија</w:t>
            </w:r>
            <w:r>
              <w:rPr>
                <w:color w:val="231F20"/>
                <w:sz w:val="14"/>
              </w:rPr>
              <w:t xml:space="preserve">, </w:t>
            </w:r>
            <w:r>
              <w:rPr>
                <w:color w:val="231F20"/>
                <w:spacing w:val="-3"/>
                <w:sz w:val="14"/>
              </w:rPr>
              <w:t xml:space="preserve">Шенберг, </w:t>
            </w:r>
            <w:r>
              <w:rPr>
                <w:color w:val="231F20"/>
                <w:sz w:val="14"/>
              </w:rPr>
              <w:t>Стравински,</w:t>
            </w:r>
            <w:r>
              <w:rPr>
                <w:color w:val="231F20"/>
                <w:spacing w:val="-1"/>
                <w:sz w:val="14"/>
              </w:rPr>
              <w:t xml:space="preserve"> </w:t>
            </w:r>
            <w:r>
              <w:rPr>
                <w:color w:val="231F20"/>
                <w:sz w:val="14"/>
              </w:rPr>
              <w:t>Вебер.</w:t>
            </w:r>
          </w:p>
        </w:tc>
        <w:tc>
          <w:tcPr>
            <w:tcW w:w="2267" w:type="dxa"/>
            <w:vMerge w:val="restart"/>
          </w:tcPr>
          <w:p w:rsidR="00041039" w:rsidRDefault="001B26CB">
            <w:pPr>
              <w:pStyle w:val="TableParagraph"/>
              <w:numPr>
                <w:ilvl w:val="0"/>
                <w:numId w:val="36"/>
              </w:numPr>
              <w:tabs>
                <w:tab w:val="left" w:pos="158"/>
              </w:tabs>
              <w:spacing w:before="15" w:line="235" w:lineRule="auto"/>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0" w:lineRule="exact"/>
              <w:ind w:left="58"/>
              <w:rPr>
                <w:b/>
                <w:sz w:val="14"/>
              </w:rPr>
            </w:pPr>
            <w:r>
              <w:rPr>
                <w:b/>
                <w:color w:val="231F20"/>
                <w:sz w:val="14"/>
              </w:rPr>
              <w:t>Облици наставе</w:t>
            </w:r>
          </w:p>
          <w:p w:rsidR="00041039" w:rsidRDefault="001B26CB">
            <w:pPr>
              <w:pStyle w:val="TableParagraph"/>
              <w:spacing w:before="1" w:line="235" w:lineRule="auto"/>
              <w:ind w:left="58" w:right="109"/>
              <w:rPr>
                <w:sz w:val="14"/>
              </w:rPr>
            </w:pPr>
            <w:r>
              <w:rPr>
                <w:color w:val="231F20"/>
                <w:sz w:val="14"/>
              </w:rPr>
              <w:t>Предмет се реализује кроз следеће обли</w:t>
            </w:r>
            <w:r>
              <w:rPr>
                <w:color w:val="231F20"/>
                <w:sz w:val="14"/>
              </w:rPr>
              <w:t>ке наставе:</w:t>
            </w:r>
          </w:p>
          <w:p w:rsidR="00041039" w:rsidRDefault="001B26CB">
            <w:pPr>
              <w:pStyle w:val="TableParagraph"/>
              <w:numPr>
                <w:ilvl w:val="0"/>
                <w:numId w:val="36"/>
              </w:numPr>
              <w:tabs>
                <w:tab w:val="left" w:pos="158"/>
              </w:tabs>
              <w:spacing w:line="159" w:lineRule="exact"/>
              <w:ind w:hanging="99"/>
              <w:rPr>
                <w:b/>
                <w:sz w:val="14"/>
              </w:rPr>
            </w:pPr>
            <w:r>
              <w:rPr>
                <w:color w:val="231F20"/>
                <w:sz w:val="14"/>
              </w:rPr>
              <w:t xml:space="preserve">теоријска настава </w:t>
            </w:r>
            <w:r>
              <w:rPr>
                <w:b/>
                <w:color w:val="231F20"/>
                <w:sz w:val="14"/>
              </w:rPr>
              <w:t>(70</w:t>
            </w:r>
            <w:r>
              <w:rPr>
                <w:b/>
                <w:color w:val="231F20"/>
                <w:spacing w:val="-4"/>
                <w:sz w:val="14"/>
              </w:rPr>
              <w:t xml:space="preserve"> </w:t>
            </w:r>
            <w:r>
              <w:rPr>
                <w:b/>
                <w:color w:val="231F20"/>
                <w:sz w:val="14"/>
              </w:rPr>
              <w:t>часова)</w:t>
            </w:r>
          </w:p>
          <w:p w:rsidR="00041039" w:rsidRDefault="00041039">
            <w:pPr>
              <w:pStyle w:val="TableParagraph"/>
              <w:spacing w:before="5"/>
              <w:ind w:left="0"/>
              <w:rPr>
                <w:b/>
                <w:sz w:val="13"/>
              </w:rPr>
            </w:pPr>
          </w:p>
          <w:p w:rsidR="00041039" w:rsidRDefault="001B26CB">
            <w:pPr>
              <w:pStyle w:val="TableParagraph"/>
              <w:spacing w:line="160" w:lineRule="exact"/>
              <w:ind w:left="58"/>
              <w:rPr>
                <w:b/>
                <w:sz w:val="14"/>
              </w:rPr>
            </w:pPr>
            <w:r>
              <w:rPr>
                <w:b/>
                <w:color w:val="231F20"/>
                <w:sz w:val="14"/>
              </w:rPr>
              <w:t>Подела одељења на групе</w:t>
            </w:r>
          </w:p>
          <w:p w:rsidR="00041039" w:rsidRDefault="001B26CB">
            <w:pPr>
              <w:pStyle w:val="TableParagraph"/>
              <w:spacing w:line="160" w:lineRule="exact"/>
              <w:ind w:left="58"/>
              <w:rPr>
                <w:sz w:val="14"/>
              </w:rPr>
            </w:pPr>
            <w:r>
              <w:rPr>
                <w:color w:val="231F20"/>
                <w:sz w:val="14"/>
              </w:rPr>
              <w:t>Одељење се не дели на групе.</w:t>
            </w:r>
          </w:p>
          <w:p w:rsidR="00041039" w:rsidRDefault="00041039">
            <w:pPr>
              <w:pStyle w:val="TableParagraph"/>
              <w:spacing w:before="6"/>
              <w:ind w:left="0"/>
              <w:rPr>
                <w:b/>
                <w:sz w:val="13"/>
              </w:rPr>
            </w:pPr>
          </w:p>
          <w:p w:rsidR="00041039" w:rsidRDefault="001B26CB">
            <w:pPr>
              <w:pStyle w:val="TableParagraph"/>
              <w:spacing w:line="160" w:lineRule="exact"/>
              <w:ind w:left="58"/>
              <w:rPr>
                <w:b/>
                <w:sz w:val="14"/>
              </w:rPr>
            </w:pPr>
            <w:r>
              <w:rPr>
                <w:b/>
                <w:color w:val="231F20"/>
                <w:sz w:val="14"/>
              </w:rPr>
              <w:t>Место реализације наставе</w:t>
            </w:r>
          </w:p>
          <w:p w:rsidR="00041039" w:rsidRDefault="001B26CB">
            <w:pPr>
              <w:pStyle w:val="TableParagraph"/>
              <w:spacing w:line="153" w:lineRule="exact"/>
              <w:ind w:left="58"/>
              <w:rPr>
                <w:sz w:val="14"/>
              </w:rPr>
            </w:pPr>
            <w:r>
              <w:rPr>
                <w:color w:val="231F20"/>
                <w:sz w:val="14"/>
              </w:rPr>
              <w:t>Теоријска настава се реализује у:</w:t>
            </w:r>
          </w:p>
          <w:p w:rsidR="00041039" w:rsidRDefault="001B26CB">
            <w:pPr>
              <w:pStyle w:val="TableParagraph"/>
              <w:numPr>
                <w:ilvl w:val="0"/>
                <w:numId w:val="36"/>
              </w:numPr>
              <w:tabs>
                <w:tab w:val="left" w:pos="158"/>
              </w:tabs>
              <w:spacing w:line="165" w:lineRule="exact"/>
              <w:ind w:hanging="99"/>
              <w:rPr>
                <w:sz w:val="14"/>
              </w:rPr>
            </w:pPr>
            <w:r>
              <w:rPr>
                <w:color w:val="231F20"/>
                <w:sz w:val="14"/>
              </w:rPr>
              <w:t>учионици</w:t>
            </w:r>
          </w:p>
          <w:p w:rsidR="00041039" w:rsidRDefault="00041039">
            <w:pPr>
              <w:pStyle w:val="TableParagraph"/>
              <w:spacing w:before="7"/>
              <w:ind w:left="0"/>
              <w:rPr>
                <w:b/>
                <w:sz w:val="13"/>
              </w:rPr>
            </w:pPr>
          </w:p>
          <w:p w:rsidR="00041039" w:rsidRDefault="001B26CB">
            <w:pPr>
              <w:pStyle w:val="TableParagraph"/>
              <w:spacing w:line="235" w:lineRule="auto"/>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36"/>
              </w:numPr>
              <w:tabs>
                <w:tab w:val="left" w:pos="158"/>
              </w:tabs>
              <w:spacing w:before="3" w:line="158" w:lineRule="exact"/>
              <w:ind w:right="117" w:hanging="99"/>
              <w:rPr>
                <w:sz w:val="14"/>
              </w:rPr>
            </w:pPr>
            <w:r>
              <w:rPr>
                <w:color w:val="231F20"/>
                <w:sz w:val="14"/>
              </w:rPr>
              <w:t>користити сва доступна</w:t>
            </w:r>
            <w:r>
              <w:rPr>
                <w:color w:val="231F20"/>
                <w:spacing w:val="-11"/>
                <w:sz w:val="14"/>
              </w:rPr>
              <w:t xml:space="preserve"> </w:t>
            </w:r>
            <w:r>
              <w:rPr>
                <w:color w:val="231F20"/>
                <w:sz w:val="14"/>
              </w:rPr>
              <w:t>наставна средства;</w:t>
            </w:r>
          </w:p>
          <w:p w:rsidR="00041039" w:rsidRDefault="001B26CB">
            <w:pPr>
              <w:pStyle w:val="TableParagraph"/>
              <w:numPr>
                <w:ilvl w:val="0"/>
                <w:numId w:val="36"/>
              </w:numPr>
              <w:tabs>
                <w:tab w:val="left" w:pos="158"/>
              </w:tabs>
              <w:spacing w:line="158" w:lineRule="exact"/>
              <w:ind w:right="201" w:hanging="99"/>
              <w:rPr>
                <w:sz w:val="14"/>
              </w:rPr>
            </w:pPr>
            <w:r>
              <w:rPr>
                <w:color w:val="231F20"/>
                <w:sz w:val="14"/>
              </w:rPr>
              <w:t>користити мултимедијалне</w:t>
            </w:r>
            <w:r>
              <w:rPr>
                <w:color w:val="231F20"/>
                <w:spacing w:val="-23"/>
                <w:sz w:val="14"/>
              </w:rPr>
              <w:t xml:space="preserve"> </w:t>
            </w:r>
            <w:r>
              <w:rPr>
                <w:color w:val="231F20"/>
                <w:sz w:val="14"/>
              </w:rPr>
              <w:t>пре­ зентације;</w:t>
            </w:r>
          </w:p>
          <w:p w:rsidR="00041039" w:rsidRDefault="001B26CB">
            <w:pPr>
              <w:pStyle w:val="TableParagraph"/>
              <w:numPr>
                <w:ilvl w:val="0"/>
                <w:numId w:val="36"/>
              </w:numPr>
              <w:tabs>
                <w:tab w:val="left" w:pos="158"/>
              </w:tabs>
              <w:spacing w:line="158" w:lineRule="exact"/>
              <w:ind w:right="170" w:hanging="99"/>
              <w:rPr>
                <w:sz w:val="14"/>
              </w:rPr>
            </w:pPr>
            <w:r>
              <w:rPr>
                <w:color w:val="231F20"/>
                <w:sz w:val="14"/>
              </w:rPr>
              <w:t>упућивати ученике да користе Интернет и стручну</w:t>
            </w:r>
            <w:r>
              <w:rPr>
                <w:color w:val="231F20"/>
                <w:spacing w:val="-22"/>
                <w:sz w:val="14"/>
              </w:rPr>
              <w:t xml:space="preserve"> </w:t>
            </w:r>
            <w:r>
              <w:rPr>
                <w:color w:val="231F20"/>
                <w:sz w:val="14"/>
              </w:rPr>
              <w:t>литературу;</w:t>
            </w:r>
          </w:p>
          <w:p w:rsidR="00041039" w:rsidRDefault="001B26CB">
            <w:pPr>
              <w:pStyle w:val="TableParagraph"/>
              <w:numPr>
                <w:ilvl w:val="0"/>
                <w:numId w:val="36"/>
              </w:numPr>
              <w:tabs>
                <w:tab w:val="left" w:pos="158"/>
              </w:tabs>
              <w:spacing w:line="158" w:lineRule="exact"/>
              <w:ind w:right="124" w:hanging="99"/>
              <w:rPr>
                <w:sz w:val="14"/>
              </w:rPr>
            </w:pPr>
            <w:r>
              <w:rPr>
                <w:color w:val="231F20"/>
                <w:sz w:val="14"/>
              </w:rPr>
              <w:t>примењивати индивидуални</w:t>
            </w:r>
            <w:r>
              <w:rPr>
                <w:color w:val="231F20"/>
                <w:spacing w:val="-20"/>
                <w:sz w:val="14"/>
              </w:rPr>
              <w:t xml:space="preserve"> </w:t>
            </w:r>
            <w:r>
              <w:rPr>
                <w:color w:val="231F20"/>
                <w:sz w:val="14"/>
              </w:rPr>
              <w:t>рад, рад у паровима и рад у мањим групама;</w:t>
            </w:r>
          </w:p>
          <w:p w:rsidR="00041039" w:rsidRDefault="001B26CB">
            <w:pPr>
              <w:pStyle w:val="TableParagraph"/>
              <w:numPr>
                <w:ilvl w:val="0"/>
                <w:numId w:val="36"/>
              </w:numPr>
              <w:tabs>
                <w:tab w:val="left" w:pos="158"/>
              </w:tabs>
              <w:spacing w:line="158" w:lineRule="exact"/>
              <w:ind w:right="89" w:hanging="99"/>
              <w:rPr>
                <w:sz w:val="14"/>
              </w:rPr>
            </w:pPr>
            <w:r>
              <w:rPr>
                <w:color w:val="231F20"/>
                <w:sz w:val="14"/>
              </w:rPr>
              <w:t>континуирано упућивати</w:t>
            </w:r>
            <w:r>
              <w:rPr>
                <w:color w:val="231F20"/>
                <w:spacing w:val="-18"/>
                <w:sz w:val="14"/>
              </w:rPr>
              <w:t xml:space="preserve"> </w:t>
            </w:r>
            <w:r>
              <w:rPr>
                <w:color w:val="231F20"/>
                <w:sz w:val="14"/>
              </w:rPr>
              <w:t>ученике на присуство музике у</w:t>
            </w:r>
            <w:r>
              <w:rPr>
                <w:color w:val="231F20"/>
                <w:spacing w:val="-26"/>
                <w:sz w:val="14"/>
              </w:rPr>
              <w:t xml:space="preserve"> </w:t>
            </w:r>
            <w:r>
              <w:rPr>
                <w:color w:val="231F20"/>
                <w:sz w:val="14"/>
              </w:rPr>
              <w:t xml:space="preserve">свакоднев­ ном </w:t>
            </w:r>
            <w:r>
              <w:rPr>
                <w:color w:val="231F20"/>
                <w:spacing w:val="-3"/>
                <w:sz w:val="14"/>
              </w:rPr>
              <w:t xml:space="preserve">животу, </w:t>
            </w:r>
            <w:r>
              <w:rPr>
                <w:color w:val="231F20"/>
                <w:sz w:val="14"/>
              </w:rPr>
              <w:t>примену у п</w:t>
            </w:r>
            <w:r>
              <w:rPr>
                <w:color w:val="231F20"/>
                <w:sz w:val="14"/>
              </w:rPr>
              <w:t>ракси и другим наставним</w:t>
            </w:r>
            <w:r>
              <w:rPr>
                <w:color w:val="231F20"/>
                <w:spacing w:val="-4"/>
                <w:sz w:val="14"/>
              </w:rPr>
              <w:t xml:space="preserve"> </w:t>
            </w:r>
            <w:r>
              <w:rPr>
                <w:color w:val="231F20"/>
                <w:sz w:val="14"/>
              </w:rPr>
              <w:t>предметима;</w:t>
            </w:r>
          </w:p>
          <w:p w:rsidR="00041039" w:rsidRDefault="00041039">
            <w:pPr>
              <w:pStyle w:val="TableParagraph"/>
              <w:spacing w:before="4"/>
              <w:ind w:left="0"/>
              <w:rPr>
                <w:b/>
                <w:sz w:val="13"/>
              </w:rPr>
            </w:pPr>
          </w:p>
          <w:p w:rsidR="00041039" w:rsidRDefault="001B26CB">
            <w:pPr>
              <w:pStyle w:val="TableParagraph"/>
              <w:spacing w:before="1" w:line="160" w:lineRule="exact"/>
              <w:ind w:left="58"/>
              <w:rPr>
                <w:b/>
                <w:sz w:val="14"/>
              </w:rPr>
            </w:pPr>
            <w:r>
              <w:rPr>
                <w:b/>
                <w:color w:val="231F20"/>
                <w:sz w:val="14"/>
              </w:rPr>
              <w:t>Оцењивање</w:t>
            </w:r>
          </w:p>
          <w:p w:rsidR="00041039" w:rsidRDefault="001B26CB">
            <w:pPr>
              <w:pStyle w:val="TableParagraph"/>
              <w:spacing w:before="1" w:line="235" w:lineRule="auto"/>
              <w:ind w:left="58"/>
              <w:rPr>
                <w:sz w:val="14"/>
              </w:rPr>
            </w:pPr>
            <w:r>
              <w:rPr>
                <w:color w:val="231F20"/>
                <w:sz w:val="14"/>
              </w:rPr>
              <w:t>Вредновање остварености исхода вршити кроз:</w:t>
            </w:r>
          </w:p>
          <w:p w:rsidR="00041039" w:rsidRDefault="001B26CB">
            <w:pPr>
              <w:pStyle w:val="TableParagraph"/>
              <w:numPr>
                <w:ilvl w:val="0"/>
                <w:numId w:val="36"/>
              </w:numPr>
              <w:tabs>
                <w:tab w:val="left" w:pos="158"/>
              </w:tabs>
              <w:spacing w:line="153" w:lineRule="exact"/>
              <w:ind w:hanging="99"/>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041039" w:rsidRDefault="001B26CB">
            <w:pPr>
              <w:pStyle w:val="TableParagraph"/>
              <w:numPr>
                <w:ilvl w:val="0"/>
                <w:numId w:val="36"/>
              </w:numPr>
              <w:tabs>
                <w:tab w:val="left" w:pos="158"/>
              </w:tabs>
              <w:spacing w:line="165" w:lineRule="exact"/>
              <w:ind w:hanging="99"/>
              <w:rPr>
                <w:sz w:val="14"/>
              </w:rPr>
            </w:pPr>
            <w:r>
              <w:rPr>
                <w:color w:val="231F20"/>
                <w:sz w:val="14"/>
              </w:rPr>
              <w:t>тестове</w:t>
            </w:r>
            <w:r>
              <w:rPr>
                <w:color w:val="231F20"/>
                <w:spacing w:val="-1"/>
                <w:sz w:val="14"/>
              </w:rPr>
              <w:t xml:space="preserve"> </w:t>
            </w:r>
            <w:r>
              <w:rPr>
                <w:color w:val="231F20"/>
                <w:sz w:val="14"/>
              </w:rPr>
              <w:t>знања</w:t>
            </w:r>
          </w:p>
          <w:p w:rsidR="00041039" w:rsidRDefault="00041039">
            <w:pPr>
              <w:pStyle w:val="TableParagraph"/>
              <w:spacing w:before="5"/>
              <w:ind w:left="0"/>
              <w:rPr>
                <w:b/>
                <w:sz w:val="13"/>
              </w:rPr>
            </w:pPr>
          </w:p>
          <w:p w:rsidR="00041039" w:rsidRDefault="001B26CB">
            <w:pPr>
              <w:pStyle w:val="TableParagraph"/>
              <w:spacing w:line="154" w:lineRule="exact"/>
              <w:ind w:left="58"/>
              <w:rPr>
                <w:b/>
                <w:sz w:val="14"/>
              </w:rPr>
            </w:pPr>
            <w:r>
              <w:rPr>
                <w:b/>
                <w:color w:val="231F20"/>
                <w:sz w:val="14"/>
              </w:rPr>
              <w:t>Оквирни број часова по темама</w:t>
            </w:r>
          </w:p>
          <w:p w:rsidR="00041039" w:rsidRDefault="001B26CB">
            <w:pPr>
              <w:pStyle w:val="TableParagraph"/>
              <w:numPr>
                <w:ilvl w:val="0"/>
                <w:numId w:val="36"/>
              </w:numPr>
              <w:tabs>
                <w:tab w:val="left" w:pos="158"/>
              </w:tabs>
              <w:spacing w:line="158" w:lineRule="exact"/>
              <w:ind w:hanging="99"/>
              <w:rPr>
                <w:b/>
                <w:sz w:val="14"/>
              </w:rPr>
            </w:pPr>
            <w:r>
              <w:rPr>
                <w:color w:val="231F20"/>
                <w:sz w:val="14"/>
              </w:rPr>
              <w:t xml:space="preserve">Класична музика </w:t>
            </w:r>
            <w:r>
              <w:rPr>
                <w:b/>
                <w:color w:val="231F20"/>
                <w:sz w:val="14"/>
              </w:rPr>
              <w:t>(16</w:t>
            </w:r>
            <w:r>
              <w:rPr>
                <w:b/>
                <w:color w:val="231F20"/>
                <w:spacing w:val="-11"/>
                <w:sz w:val="14"/>
              </w:rPr>
              <w:t xml:space="preserve"> </w:t>
            </w:r>
            <w:r>
              <w:rPr>
                <w:b/>
                <w:color w:val="231F20"/>
                <w:sz w:val="14"/>
              </w:rPr>
              <w:t>часова)</w:t>
            </w:r>
          </w:p>
          <w:p w:rsidR="00041039" w:rsidRDefault="001B26CB">
            <w:pPr>
              <w:pStyle w:val="TableParagraph"/>
              <w:numPr>
                <w:ilvl w:val="0"/>
                <w:numId w:val="36"/>
              </w:numPr>
              <w:tabs>
                <w:tab w:val="left" w:pos="158"/>
              </w:tabs>
              <w:spacing w:line="163" w:lineRule="exact"/>
              <w:ind w:hanging="99"/>
              <w:rPr>
                <w:sz w:val="14"/>
              </w:rPr>
            </w:pPr>
            <w:r>
              <w:rPr>
                <w:color w:val="231F20"/>
                <w:sz w:val="14"/>
              </w:rPr>
              <w:t>Опера и балет; Оперета и</w:t>
            </w:r>
            <w:r>
              <w:rPr>
                <w:color w:val="231F20"/>
                <w:spacing w:val="-11"/>
                <w:sz w:val="14"/>
              </w:rPr>
              <w:t xml:space="preserve"> </w:t>
            </w:r>
            <w:r>
              <w:rPr>
                <w:color w:val="231F20"/>
                <w:sz w:val="14"/>
              </w:rPr>
              <w:t>мјузикл</w:t>
            </w:r>
          </w:p>
          <w:p w:rsidR="00041039" w:rsidRDefault="001B26CB">
            <w:pPr>
              <w:pStyle w:val="TableParagraph"/>
              <w:spacing w:line="153" w:lineRule="exact"/>
              <w:ind w:left="157"/>
              <w:rPr>
                <w:b/>
                <w:sz w:val="14"/>
              </w:rPr>
            </w:pPr>
            <w:r>
              <w:rPr>
                <w:b/>
                <w:color w:val="231F20"/>
                <w:sz w:val="14"/>
              </w:rPr>
              <w:t>(10 часова)</w:t>
            </w:r>
          </w:p>
          <w:p w:rsidR="00041039" w:rsidRDefault="001B26CB">
            <w:pPr>
              <w:pStyle w:val="TableParagraph"/>
              <w:numPr>
                <w:ilvl w:val="0"/>
                <w:numId w:val="36"/>
              </w:numPr>
              <w:tabs>
                <w:tab w:val="left" w:pos="158"/>
              </w:tabs>
              <w:spacing w:line="235" w:lineRule="auto"/>
              <w:ind w:right="500" w:hanging="99"/>
              <w:rPr>
                <w:b/>
                <w:sz w:val="14"/>
              </w:rPr>
            </w:pPr>
            <w:r>
              <w:rPr>
                <w:color w:val="231F20"/>
                <w:sz w:val="14"/>
              </w:rPr>
              <w:t>Традиционална музика</w:t>
            </w:r>
            <w:r>
              <w:rPr>
                <w:color w:val="231F20"/>
                <w:spacing w:val="-10"/>
                <w:sz w:val="14"/>
              </w:rPr>
              <w:t xml:space="preserve"> </w:t>
            </w:r>
            <w:r>
              <w:rPr>
                <w:b/>
                <w:color w:val="231F20"/>
                <w:sz w:val="14"/>
              </w:rPr>
              <w:t>(12 часова)</w:t>
            </w:r>
          </w:p>
          <w:p w:rsidR="00041039" w:rsidRDefault="001B26CB">
            <w:pPr>
              <w:pStyle w:val="TableParagraph"/>
              <w:numPr>
                <w:ilvl w:val="0"/>
                <w:numId w:val="36"/>
              </w:numPr>
              <w:tabs>
                <w:tab w:val="left" w:pos="158"/>
              </w:tabs>
              <w:spacing w:line="152" w:lineRule="exact"/>
              <w:ind w:hanging="99"/>
              <w:rPr>
                <w:b/>
                <w:sz w:val="14"/>
              </w:rPr>
            </w:pPr>
            <w:r>
              <w:rPr>
                <w:color w:val="231F20"/>
                <w:sz w:val="14"/>
              </w:rPr>
              <w:t xml:space="preserve">Џез и блуз музика </w:t>
            </w:r>
            <w:r>
              <w:rPr>
                <w:b/>
                <w:color w:val="231F20"/>
                <w:sz w:val="14"/>
              </w:rPr>
              <w:t>(12</w:t>
            </w:r>
            <w:r>
              <w:rPr>
                <w:b/>
                <w:color w:val="231F20"/>
                <w:spacing w:val="-10"/>
                <w:sz w:val="14"/>
              </w:rPr>
              <w:t xml:space="preserve"> </w:t>
            </w:r>
            <w:r>
              <w:rPr>
                <w:b/>
                <w:color w:val="231F20"/>
                <w:sz w:val="14"/>
              </w:rPr>
              <w:t>часова)</w:t>
            </w:r>
          </w:p>
          <w:p w:rsidR="00041039" w:rsidRDefault="001B26CB">
            <w:pPr>
              <w:pStyle w:val="TableParagraph"/>
              <w:numPr>
                <w:ilvl w:val="0"/>
                <w:numId w:val="36"/>
              </w:numPr>
              <w:tabs>
                <w:tab w:val="left" w:pos="158"/>
              </w:tabs>
              <w:spacing w:line="235" w:lineRule="auto"/>
              <w:ind w:right="420" w:hanging="99"/>
              <w:rPr>
                <w:b/>
                <w:sz w:val="14"/>
              </w:rPr>
            </w:pPr>
            <w:r>
              <w:rPr>
                <w:color w:val="231F20"/>
                <w:sz w:val="14"/>
              </w:rPr>
              <w:t>Филм и филмска музика</w:t>
            </w:r>
            <w:r>
              <w:rPr>
                <w:color w:val="231F20"/>
                <w:spacing w:val="-11"/>
                <w:sz w:val="14"/>
              </w:rPr>
              <w:t xml:space="preserve"> </w:t>
            </w:r>
            <w:r>
              <w:rPr>
                <w:b/>
                <w:color w:val="231F20"/>
                <w:sz w:val="14"/>
              </w:rPr>
              <w:t>(10 часова)</w:t>
            </w:r>
          </w:p>
          <w:p w:rsidR="00041039" w:rsidRDefault="001B26CB">
            <w:pPr>
              <w:pStyle w:val="TableParagraph"/>
              <w:numPr>
                <w:ilvl w:val="0"/>
                <w:numId w:val="36"/>
              </w:numPr>
              <w:tabs>
                <w:tab w:val="left" w:pos="158"/>
              </w:tabs>
              <w:spacing w:line="154" w:lineRule="exact"/>
              <w:ind w:hanging="99"/>
              <w:rPr>
                <w:b/>
                <w:sz w:val="14"/>
              </w:rPr>
            </w:pPr>
            <w:r>
              <w:rPr>
                <w:color w:val="231F20"/>
                <w:spacing w:val="-3"/>
                <w:sz w:val="14"/>
              </w:rPr>
              <w:t xml:space="preserve">Хорско </w:t>
            </w:r>
            <w:r>
              <w:rPr>
                <w:color w:val="231F20"/>
                <w:sz w:val="14"/>
              </w:rPr>
              <w:t xml:space="preserve">певање </w:t>
            </w:r>
            <w:r>
              <w:rPr>
                <w:b/>
                <w:color w:val="231F20"/>
                <w:sz w:val="14"/>
              </w:rPr>
              <w:t>(10 часова)</w:t>
            </w:r>
          </w:p>
        </w:tc>
      </w:tr>
      <w:tr w:rsidR="00041039">
        <w:trPr>
          <w:trHeight w:val="2991"/>
        </w:trPr>
        <w:tc>
          <w:tcPr>
            <w:tcW w:w="1304" w:type="dxa"/>
          </w:tcPr>
          <w:p w:rsidR="00041039" w:rsidRDefault="001B26CB">
            <w:pPr>
              <w:pStyle w:val="TableParagraph"/>
              <w:spacing w:before="26" w:line="235" w:lineRule="auto"/>
              <w:ind w:left="56" w:right="113"/>
              <w:rPr>
                <w:sz w:val="14"/>
              </w:rPr>
            </w:pPr>
            <w:r>
              <w:rPr>
                <w:color w:val="231F20"/>
                <w:sz w:val="14"/>
              </w:rPr>
              <w:t>Опера и балет Опeрeта и мјузикл</w:t>
            </w:r>
          </w:p>
        </w:tc>
        <w:tc>
          <w:tcPr>
            <w:tcW w:w="1587" w:type="dxa"/>
          </w:tcPr>
          <w:p w:rsidR="00041039" w:rsidRDefault="001B26CB">
            <w:pPr>
              <w:pStyle w:val="TableParagraph"/>
              <w:numPr>
                <w:ilvl w:val="0"/>
                <w:numId w:val="35"/>
              </w:numPr>
              <w:tabs>
                <w:tab w:val="left" w:pos="157"/>
              </w:tabs>
              <w:spacing w:before="17" w:line="235" w:lineRule="auto"/>
              <w:ind w:right="102"/>
              <w:rPr>
                <w:sz w:val="14"/>
              </w:rPr>
            </w:pPr>
            <w:r>
              <w:rPr>
                <w:color w:val="231F20"/>
                <w:sz w:val="14"/>
              </w:rPr>
              <w:t>Значај корелације из­ међу текста,</w:t>
            </w:r>
            <w:r>
              <w:rPr>
                <w:color w:val="231F20"/>
                <w:spacing w:val="-11"/>
                <w:sz w:val="14"/>
              </w:rPr>
              <w:t xml:space="preserve"> </w:t>
            </w:r>
            <w:r>
              <w:rPr>
                <w:color w:val="231F20"/>
                <w:sz w:val="14"/>
              </w:rPr>
              <w:t>музичког и сценског</w:t>
            </w:r>
            <w:r>
              <w:rPr>
                <w:color w:val="231F20"/>
                <w:spacing w:val="-7"/>
                <w:sz w:val="14"/>
              </w:rPr>
              <w:t xml:space="preserve"> </w:t>
            </w:r>
            <w:r>
              <w:rPr>
                <w:color w:val="231F20"/>
                <w:sz w:val="14"/>
              </w:rPr>
              <w:t>извођења.</w:t>
            </w:r>
          </w:p>
          <w:p w:rsidR="00041039" w:rsidRDefault="001B26CB">
            <w:pPr>
              <w:pStyle w:val="TableParagraph"/>
              <w:numPr>
                <w:ilvl w:val="0"/>
                <w:numId w:val="35"/>
              </w:numPr>
              <w:tabs>
                <w:tab w:val="left" w:pos="157"/>
              </w:tabs>
              <w:spacing w:before="2" w:line="158" w:lineRule="exact"/>
              <w:ind w:right="113"/>
              <w:rPr>
                <w:sz w:val="14"/>
              </w:rPr>
            </w:pPr>
            <w:r>
              <w:rPr>
                <w:color w:val="231F20"/>
                <w:sz w:val="14"/>
              </w:rPr>
              <w:t>Оспособљавање уче­ ника за препознавање и разликовање</w:t>
            </w:r>
            <w:r>
              <w:rPr>
                <w:color w:val="231F20"/>
                <w:spacing w:val="-11"/>
                <w:sz w:val="14"/>
              </w:rPr>
              <w:t xml:space="preserve"> </w:t>
            </w:r>
            <w:r>
              <w:rPr>
                <w:color w:val="231F20"/>
                <w:sz w:val="14"/>
              </w:rPr>
              <w:t>разних видова опере кроз историју.</w:t>
            </w:r>
          </w:p>
        </w:tc>
        <w:tc>
          <w:tcPr>
            <w:tcW w:w="2551" w:type="dxa"/>
          </w:tcPr>
          <w:p w:rsidR="00041039" w:rsidRDefault="001B26CB">
            <w:pPr>
              <w:pStyle w:val="TableParagraph"/>
              <w:numPr>
                <w:ilvl w:val="0"/>
                <w:numId w:val="34"/>
              </w:numPr>
              <w:tabs>
                <w:tab w:val="left" w:pos="157"/>
              </w:tabs>
              <w:spacing w:before="17" w:line="235" w:lineRule="auto"/>
              <w:ind w:right="163" w:hanging="99"/>
              <w:rPr>
                <w:sz w:val="14"/>
              </w:rPr>
            </w:pPr>
            <w:r>
              <w:rPr>
                <w:color w:val="231F20"/>
                <w:sz w:val="14"/>
              </w:rPr>
              <w:t>разуме међусобну повезаност</w:t>
            </w:r>
            <w:r>
              <w:rPr>
                <w:color w:val="231F20"/>
                <w:spacing w:val="-9"/>
                <w:sz w:val="14"/>
              </w:rPr>
              <w:t xml:space="preserve"> </w:t>
            </w:r>
            <w:r>
              <w:rPr>
                <w:color w:val="231F20"/>
                <w:sz w:val="14"/>
              </w:rPr>
              <w:t>текста, музике и</w:t>
            </w:r>
            <w:r>
              <w:rPr>
                <w:color w:val="231F20"/>
                <w:spacing w:val="-2"/>
                <w:sz w:val="14"/>
              </w:rPr>
              <w:t xml:space="preserve"> </w:t>
            </w:r>
            <w:r>
              <w:rPr>
                <w:color w:val="231F20"/>
                <w:sz w:val="14"/>
              </w:rPr>
              <w:t>покрета.</w:t>
            </w:r>
          </w:p>
          <w:p w:rsidR="00041039" w:rsidRDefault="001B26CB">
            <w:pPr>
              <w:pStyle w:val="TableParagraph"/>
              <w:numPr>
                <w:ilvl w:val="0"/>
                <w:numId w:val="34"/>
              </w:numPr>
              <w:tabs>
                <w:tab w:val="left" w:pos="157"/>
              </w:tabs>
              <w:spacing w:before="2" w:line="158" w:lineRule="exact"/>
              <w:ind w:right="96" w:hanging="99"/>
              <w:rPr>
                <w:sz w:val="14"/>
              </w:rPr>
            </w:pPr>
            <w:r>
              <w:rPr>
                <w:color w:val="231F20"/>
                <w:sz w:val="14"/>
              </w:rPr>
              <w:t>разликује музичко сценска дела</w:t>
            </w:r>
            <w:r>
              <w:rPr>
                <w:color w:val="231F20"/>
                <w:spacing w:val="-17"/>
                <w:sz w:val="14"/>
              </w:rPr>
              <w:t xml:space="preserve"> </w:t>
            </w:r>
            <w:r>
              <w:rPr>
                <w:color w:val="231F20"/>
                <w:sz w:val="14"/>
              </w:rPr>
              <w:t>према периоду</w:t>
            </w:r>
            <w:r>
              <w:rPr>
                <w:color w:val="231F20"/>
                <w:spacing w:val="-1"/>
                <w:sz w:val="14"/>
              </w:rPr>
              <w:t xml:space="preserve"> </w:t>
            </w:r>
            <w:r>
              <w:rPr>
                <w:color w:val="231F20"/>
                <w:sz w:val="14"/>
              </w:rPr>
              <w:t>настанка.</w:t>
            </w:r>
          </w:p>
          <w:p w:rsidR="00041039" w:rsidRDefault="001B26CB">
            <w:pPr>
              <w:pStyle w:val="TableParagraph"/>
              <w:numPr>
                <w:ilvl w:val="0"/>
                <w:numId w:val="34"/>
              </w:numPr>
              <w:tabs>
                <w:tab w:val="left" w:pos="157"/>
              </w:tabs>
              <w:spacing w:line="158" w:lineRule="exact"/>
              <w:ind w:right="59" w:hanging="99"/>
              <w:rPr>
                <w:sz w:val="14"/>
              </w:rPr>
            </w:pPr>
            <w:r>
              <w:rPr>
                <w:color w:val="231F20"/>
                <w:sz w:val="14"/>
              </w:rPr>
              <w:t xml:space="preserve">препознаје историјско културни ам­ бијент у </w:t>
            </w:r>
            <w:r>
              <w:rPr>
                <w:color w:val="231F20"/>
                <w:spacing w:val="-3"/>
                <w:sz w:val="14"/>
              </w:rPr>
              <w:t xml:space="preserve">коме </w:t>
            </w:r>
            <w:r>
              <w:rPr>
                <w:color w:val="231F20"/>
                <w:sz w:val="14"/>
              </w:rPr>
              <w:t>су настала поједина</w:t>
            </w:r>
            <w:r>
              <w:rPr>
                <w:color w:val="231F20"/>
                <w:spacing w:val="-6"/>
                <w:sz w:val="14"/>
              </w:rPr>
              <w:t xml:space="preserve"> </w:t>
            </w:r>
            <w:r>
              <w:rPr>
                <w:color w:val="231F20"/>
                <w:sz w:val="14"/>
              </w:rPr>
              <w:t>дела</w:t>
            </w:r>
          </w:p>
        </w:tc>
        <w:tc>
          <w:tcPr>
            <w:tcW w:w="2834" w:type="dxa"/>
          </w:tcPr>
          <w:p w:rsidR="00041039" w:rsidRDefault="001B26CB">
            <w:pPr>
              <w:pStyle w:val="TableParagraph"/>
              <w:spacing w:before="22" w:line="154" w:lineRule="exact"/>
              <w:ind w:left="57"/>
              <w:rPr>
                <w:b/>
                <w:sz w:val="14"/>
              </w:rPr>
            </w:pPr>
            <w:r>
              <w:rPr>
                <w:b/>
                <w:color w:val="231F20"/>
                <w:sz w:val="14"/>
              </w:rPr>
              <w:t>Опере:</w:t>
            </w:r>
          </w:p>
          <w:p w:rsidR="00041039" w:rsidRDefault="001B26CB">
            <w:pPr>
              <w:pStyle w:val="TableParagraph"/>
              <w:numPr>
                <w:ilvl w:val="0"/>
                <w:numId w:val="33"/>
              </w:numPr>
              <w:tabs>
                <w:tab w:val="left" w:pos="157"/>
              </w:tabs>
              <w:spacing w:line="235" w:lineRule="auto"/>
              <w:ind w:right="211" w:hanging="99"/>
              <w:rPr>
                <w:sz w:val="14"/>
              </w:rPr>
            </w:pPr>
            <w:r>
              <w:rPr>
                <w:color w:val="231F20"/>
                <w:sz w:val="14"/>
              </w:rPr>
              <w:t xml:space="preserve">Бизе Ж.: </w:t>
            </w:r>
            <w:r>
              <w:rPr>
                <w:i/>
                <w:color w:val="231F20"/>
                <w:sz w:val="14"/>
              </w:rPr>
              <w:t>Кармен</w:t>
            </w:r>
            <w:r>
              <w:rPr>
                <w:color w:val="231F20"/>
                <w:sz w:val="14"/>
              </w:rPr>
              <w:t xml:space="preserve">, Верди Ђ.: </w:t>
            </w:r>
            <w:r>
              <w:rPr>
                <w:i/>
                <w:color w:val="231F20"/>
                <w:sz w:val="14"/>
              </w:rPr>
              <w:t>Трубадур</w:t>
            </w:r>
            <w:r>
              <w:rPr>
                <w:color w:val="231F20"/>
                <w:sz w:val="14"/>
              </w:rPr>
              <w:t xml:space="preserve">, Росини Ђ.: </w:t>
            </w:r>
            <w:r>
              <w:rPr>
                <w:i/>
                <w:color w:val="231F20"/>
                <w:sz w:val="14"/>
              </w:rPr>
              <w:t>Севиљски берберин</w:t>
            </w:r>
            <w:r>
              <w:rPr>
                <w:color w:val="231F20"/>
                <w:sz w:val="14"/>
              </w:rPr>
              <w:t xml:space="preserve">, Пучини: </w:t>
            </w:r>
            <w:r>
              <w:rPr>
                <w:i/>
                <w:color w:val="231F20"/>
                <w:sz w:val="14"/>
              </w:rPr>
              <w:t>Тоска,</w:t>
            </w:r>
            <w:r>
              <w:rPr>
                <w:i/>
                <w:color w:val="231F20"/>
                <w:spacing w:val="-1"/>
                <w:sz w:val="14"/>
              </w:rPr>
              <w:t xml:space="preserve"> </w:t>
            </w:r>
            <w:r>
              <w:rPr>
                <w:i/>
                <w:color w:val="231F20"/>
                <w:sz w:val="14"/>
              </w:rPr>
              <w:t>Боеми</w:t>
            </w:r>
            <w:r>
              <w:rPr>
                <w:color w:val="231F20"/>
                <w:sz w:val="14"/>
              </w:rPr>
              <w:t>.</w:t>
            </w:r>
          </w:p>
          <w:p w:rsidR="00041039" w:rsidRDefault="001B26CB">
            <w:pPr>
              <w:pStyle w:val="TableParagraph"/>
              <w:spacing w:line="152" w:lineRule="exact"/>
              <w:ind w:left="57"/>
              <w:rPr>
                <w:b/>
                <w:sz w:val="14"/>
              </w:rPr>
            </w:pPr>
            <w:r>
              <w:rPr>
                <w:b/>
                <w:color w:val="231F20"/>
                <w:sz w:val="14"/>
              </w:rPr>
              <w:t>Балети:</w:t>
            </w:r>
          </w:p>
          <w:p w:rsidR="00041039" w:rsidRDefault="001B26CB">
            <w:pPr>
              <w:pStyle w:val="TableParagraph"/>
              <w:numPr>
                <w:ilvl w:val="0"/>
                <w:numId w:val="33"/>
              </w:numPr>
              <w:tabs>
                <w:tab w:val="left" w:pos="157"/>
              </w:tabs>
              <w:spacing w:line="235" w:lineRule="auto"/>
              <w:ind w:right="106" w:hanging="99"/>
              <w:rPr>
                <w:i/>
                <w:sz w:val="14"/>
              </w:rPr>
            </w:pPr>
            <w:r>
              <w:rPr>
                <w:color w:val="231F20"/>
                <w:sz w:val="14"/>
              </w:rPr>
              <w:t>Чајковски</w:t>
            </w:r>
            <w:r>
              <w:rPr>
                <w:color w:val="231F20"/>
                <w:spacing w:val="-8"/>
                <w:sz w:val="14"/>
              </w:rPr>
              <w:t xml:space="preserve"> </w:t>
            </w:r>
            <w:r>
              <w:rPr>
                <w:color w:val="231F20"/>
                <w:sz w:val="14"/>
              </w:rPr>
              <w:t>П.И.:</w:t>
            </w:r>
            <w:r>
              <w:rPr>
                <w:color w:val="231F20"/>
                <w:spacing w:val="-9"/>
                <w:sz w:val="14"/>
              </w:rPr>
              <w:t xml:space="preserve"> </w:t>
            </w:r>
            <w:r>
              <w:rPr>
                <w:i/>
                <w:color w:val="231F20"/>
                <w:sz w:val="14"/>
              </w:rPr>
              <w:t>Лабудово</w:t>
            </w:r>
            <w:r>
              <w:rPr>
                <w:i/>
                <w:color w:val="231F20"/>
                <w:spacing w:val="-8"/>
                <w:sz w:val="14"/>
              </w:rPr>
              <w:t xml:space="preserve"> </w:t>
            </w:r>
            <w:r>
              <w:rPr>
                <w:i/>
                <w:color w:val="231F20"/>
                <w:sz w:val="14"/>
              </w:rPr>
              <w:t>језеро</w:t>
            </w:r>
            <w:r>
              <w:rPr>
                <w:color w:val="231F20"/>
                <w:sz w:val="14"/>
              </w:rPr>
              <w:t>,</w:t>
            </w:r>
            <w:r>
              <w:rPr>
                <w:color w:val="231F20"/>
                <w:spacing w:val="-8"/>
                <w:sz w:val="14"/>
              </w:rPr>
              <w:t xml:space="preserve"> </w:t>
            </w:r>
            <w:r>
              <w:rPr>
                <w:i/>
                <w:color w:val="231F20"/>
                <w:sz w:val="14"/>
              </w:rPr>
              <w:t>Успавана лепотица</w:t>
            </w:r>
            <w:r>
              <w:rPr>
                <w:color w:val="231F20"/>
                <w:sz w:val="14"/>
              </w:rPr>
              <w:t xml:space="preserve">, Прокофјев С.: </w:t>
            </w:r>
            <w:r>
              <w:rPr>
                <w:i/>
                <w:color w:val="231F20"/>
                <w:spacing w:val="-3"/>
                <w:sz w:val="14"/>
              </w:rPr>
              <w:t xml:space="preserve">Ромео </w:t>
            </w:r>
            <w:r>
              <w:rPr>
                <w:i/>
                <w:color w:val="231F20"/>
                <w:sz w:val="14"/>
              </w:rPr>
              <w:t>и</w:t>
            </w:r>
            <w:r>
              <w:rPr>
                <w:i/>
                <w:color w:val="231F20"/>
                <w:spacing w:val="-6"/>
                <w:sz w:val="14"/>
              </w:rPr>
              <w:t xml:space="preserve"> </w:t>
            </w:r>
            <w:r>
              <w:rPr>
                <w:i/>
                <w:color w:val="231F20"/>
                <w:sz w:val="14"/>
              </w:rPr>
              <w:t>Јулија.</w:t>
            </w:r>
          </w:p>
          <w:p w:rsidR="00041039" w:rsidRDefault="001B26CB">
            <w:pPr>
              <w:pStyle w:val="TableParagraph"/>
              <w:spacing w:line="152" w:lineRule="exact"/>
              <w:ind w:left="57"/>
              <w:rPr>
                <w:b/>
                <w:sz w:val="14"/>
              </w:rPr>
            </w:pPr>
            <w:r>
              <w:rPr>
                <w:b/>
                <w:color w:val="231F20"/>
                <w:sz w:val="14"/>
              </w:rPr>
              <w:t>Оперете:</w:t>
            </w:r>
          </w:p>
          <w:p w:rsidR="00041039" w:rsidRDefault="001B26CB">
            <w:pPr>
              <w:pStyle w:val="TableParagraph"/>
              <w:numPr>
                <w:ilvl w:val="0"/>
                <w:numId w:val="33"/>
              </w:numPr>
              <w:tabs>
                <w:tab w:val="left" w:pos="157"/>
              </w:tabs>
              <w:spacing w:line="163" w:lineRule="exact"/>
              <w:ind w:hanging="99"/>
              <w:rPr>
                <w:i/>
                <w:sz w:val="14"/>
              </w:rPr>
            </w:pPr>
            <w:r>
              <w:rPr>
                <w:color w:val="231F20"/>
                <w:sz w:val="14"/>
              </w:rPr>
              <w:t xml:space="preserve">Штраус Ј.: </w:t>
            </w:r>
            <w:r>
              <w:rPr>
                <w:i/>
                <w:color w:val="231F20"/>
                <w:sz w:val="14"/>
              </w:rPr>
              <w:t>Слепи</w:t>
            </w:r>
            <w:r>
              <w:rPr>
                <w:i/>
                <w:color w:val="231F20"/>
                <w:spacing w:val="-2"/>
                <w:sz w:val="14"/>
              </w:rPr>
              <w:t xml:space="preserve"> </w:t>
            </w:r>
            <w:r>
              <w:rPr>
                <w:i/>
                <w:color w:val="231F20"/>
                <w:sz w:val="14"/>
              </w:rPr>
              <w:t>миш.</w:t>
            </w:r>
          </w:p>
          <w:p w:rsidR="00041039" w:rsidRDefault="001B26CB">
            <w:pPr>
              <w:pStyle w:val="TableParagraph"/>
              <w:spacing w:line="153" w:lineRule="exact"/>
              <w:ind w:left="57"/>
              <w:rPr>
                <w:b/>
                <w:sz w:val="14"/>
              </w:rPr>
            </w:pPr>
            <w:r>
              <w:rPr>
                <w:b/>
                <w:color w:val="231F20"/>
                <w:sz w:val="14"/>
              </w:rPr>
              <w:t>Мјузикли:</w:t>
            </w:r>
          </w:p>
          <w:p w:rsidR="00041039" w:rsidRDefault="001B26CB">
            <w:pPr>
              <w:pStyle w:val="TableParagraph"/>
              <w:numPr>
                <w:ilvl w:val="0"/>
                <w:numId w:val="33"/>
              </w:numPr>
              <w:tabs>
                <w:tab w:val="left" w:pos="157"/>
              </w:tabs>
              <w:spacing w:line="235" w:lineRule="auto"/>
              <w:ind w:right="417" w:hanging="99"/>
              <w:rPr>
                <w:sz w:val="14"/>
              </w:rPr>
            </w:pPr>
            <w:r>
              <w:rPr>
                <w:color w:val="231F20"/>
                <w:sz w:val="14"/>
              </w:rPr>
              <w:t>Цигани лете у небо, Коса, Мама</w:t>
            </w:r>
            <w:r>
              <w:rPr>
                <w:color w:val="231F20"/>
                <w:spacing w:val="-24"/>
                <w:sz w:val="14"/>
              </w:rPr>
              <w:t xml:space="preserve"> </w:t>
            </w:r>
            <w:r>
              <w:rPr>
                <w:color w:val="231F20"/>
                <w:sz w:val="14"/>
              </w:rPr>
              <w:t>Миа, Чикаго...</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120"/>
        </w:trPr>
        <w:tc>
          <w:tcPr>
            <w:tcW w:w="1304" w:type="dxa"/>
          </w:tcPr>
          <w:p w:rsidR="00041039" w:rsidRDefault="001B26CB">
            <w:pPr>
              <w:pStyle w:val="TableParagraph"/>
              <w:spacing w:before="18"/>
              <w:ind w:left="56" w:right="210"/>
              <w:rPr>
                <w:sz w:val="14"/>
              </w:rPr>
            </w:pPr>
            <w:r>
              <w:rPr>
                <w:color w:val="231F20"/>
                <w:sz w:val="14"/>
              </w:rPr>
              <w:lastRenderedPageBreak/>
              <w:t>Традиционална музика (народне песме, игре, пле­ сови).</w:t>
            </w:r>
          </w:p>
        </w:tc>
        <w:tc>
          <w:tcPr>
            <w:tcW w:w="1587" w:type="dxa"/>
          </w:tcPr>
          <w:p w:rsidR="00041039" w:rsidRDefault="001B26CB">
            <w:pPr>
              <w:pStyle w:val="TableParagraph"/>
              <w:numPr>
                <w:ilvl w:val="0"/>
                <w:numId w:val="32"/>
              </w:numPr>
              <w:tabs>
                <w:tab w:val="left" w:pos="157"/>
              </w:tabs>
              <w:spacing w:before="8"/>
              <w:ind w:right="59"/>
              <w:rPr>
                <w:sz w:val="14"/>
              </w:rPr>
            </w:pPr>
            <w:r>
              <w:rPr>
                <w:color w:val="231F20"/>
                <w:sz w:val="14"/>
              </w:rPr>
              <w:t>Оспособљавање уче­ ника за препознавање и разликовање</w:t>
            </w:r>
            <w:r>
              <w:rPr>
                <w:color w:val="231F20"/>
                <w:spacing w:val="-21"/>
                <w:sz w:val="14"/>
              </w:rPr>
              <w:t xml:space="preserve"> </w:t>
            </w:r>
            <w:r>
              <w:rPr>
                <w:color w:val="231F20"/>
                <w:sz w:val="14"/>
              </w:rPr>
              <w:t xml:space="preserve">културе и традиције </w:t>
            </w:r>
            <w:r>
              <w:rPr>
                <w:color w:val="231F20"/>
                <w:spacing w:val="-3"/>
                <w:sz w:val="14"/>
              </w:rPr>
              <w:t xml:space="preserve">како </w:t>
            </w:r>
            <w:r>
              <w:rPr>
                <w:color w:val="231F20"/>
                <w:sz w:val="14"/>
              </w:rPr>
              <w:t>свог тако и других</w:t>
            </w:r>
            <w:r>
              <w:rPr>
                <w:color w:val="231F20"/>
                <w:spacing w:val="-11"/>
                <w:sz w:val="14"/>
              </w:rPr>
              <w:t xml:space="preserve"> </w:t>
            </w:r>
            <w:r>
              <w:rPr>
                <w:color w:val="231F20"/>
                <w:sz w:val="14"/>
              </w:rPr>
              <w:t>народа.</w:t>
            </w:r>
          </w:p>
          <w:p w:rsidR="00041039" w:rsidRDefault="001B26CB">
            <w:pPr>
              <w:pStyle w:val="TableParagraph"/>
              <w:numPr>
                <w:ilvl w:val="0"/>
                <w:numId w:val="32"/>
              </w:numPr>
              <w:tabs>
                <w:tab w:val="left" w:pos="157"/>
              </w:tabs>
              <w:spacing w:line="155" w:lineRule="exact"/>
              <w:rPr>
                <w:sz w:val="14"/>
              </w:rPr>
            </w:pPr>
            <w:r>
              <w:rPr>
                <w:color w:val="231F20"/>
                <w:sz w:val="14"/>
              </w:rPr>
              <w:t>Развијање</w:t>
            </w:r>
            <w:r>
              <w:rPr>
                <w:color w:val="231F20"/>
                <w:spacing w:val="-2"/>
                <w:sz w:val="14"/>
              </w:rPr>
              <w:t xml:space="preserve"> </w:t>
            </w:r>
            <w:r>
              <w:rPr>
                <w:color w:val="231F20"/>
                <w:sz w:val="14"/>
              </w:rPr>
              <w:t>естетских</w:t>
            </w:r>
          </w:p>
          <w:p w:rsidR="00041039" w:rsidRDefault="001B26CB">
            <w:pPr>
              <w:pStyle w:val="TableParagraph"/>
              <w:ind w:right="15"/>
              <w:rPr>
                <w:sz w:val="14"/>
              </w:rPr>
            </w:pPr>
            <w:r>
              <w:rPr>
                <w:color w:val="231F20"/>
                <w:sz w:val="14"/>
              </w:rPr>
              <w:t>критеријума код ученика.</w:t>
            </w:r>
          </w:p>
          <w:p w:rsidR="00041039" w:rsidRDefault="001B26CB">
            <w:pPr>
              <w:pStyle w:val="TableParagraph"/>
              <w:numPr>
                <w:ilvl w:val="0"/>
                <w:numId w:val="32"/>
              </w:numPr>
              <w:tabs>
                <w:tab w:val="left" w:pos="157"/>
              </w:tabs>
              <w:spacing w:line="160" w:lineRule="exact"/>
              <w:ind w:right="151"/>
              <w:rPr>
                <w:sz w:val="14"/>
              </w:rPr>
            </w:pPr>
            <w:r>
              <w:rPr>
                <w:color w:val="231F20"/>
                <w:sz w:val="14"/>
              </w:rPr>
              <w:t>Развијање способно­ сти уочавања</w:t>
            </w:r>
            <w:r>
              <w:rPr>
                <w:color w:val="231F20"/>
                <w:spacing w:val="-10"/>
                <w:sz w:val="14"/>
              </w:rPr>
              <w:t xml:space="preserve"> </w:t>
            </w:r>
            <w:r>
              <w:rPr>
                <w:color w:val="231F20"/>
                <w:sz w:val="14"/>
              </w:rPr>
              <w:t>утицаја народног стваралаш­ тва на уметничко стваралаштво.</w:t>
            </w:r>
          </w:p>
        </w:tc>
        <w:tc>
          <w:tcPr>
            <w:tcW w:w="2551" w:type="dxa"/>
          </w:tcPr>
          <w:p w:rsidR="00041039" w:rsidRDefault="001B26CB">
            <w:pPr>
              <w:pStyle w:val="TableParagraph"/>
              <w:numPr>
                <w:ilvl w:val="0"/>
                <w:numId w:val="31"/>
              </w:numPr>
              <w:tabs>
                <w:tab w:val="left" w:pos="157"/>
              </w:tabs>
              <w:spacing w:before="8"/>
              <w:ind w:right="53" w:hanging="99"/>
              <w:rPr>
                <w:sz w:val="14"/>
              </w:rPr>
            </w:pPr>
            <w:r>
              <w:rPr>
                <w:color w:val="231F20"/>
                <w:sz w:val="14"/>
              </w:rPr>
              <w:t>препознаје естетске вредности у култури свог и народа других земаља уочавањем карактеристичних</w:t>
            </w:r>
            <w:r>
              <w:rPr>
                <w:color w:val="231F20"/>
                <w:spacing w:val="-22"/>
                <w:sz w:val="14"/>
              </w:rPr>
              <w:t xml:space="preserve"> </w:t>
            </w:r>
            <w:r>
              <w:rPr>
                <w:color w:val="231F20"/>
                <w:sz w:val="14"/>
              </w:rPr>
              <w:t>обележја музике светске народне</w:t>
            </w:r>
            <w:r>
              <w:rPr>
                <w:color w:val="231F20"/>
                <w:spacing w:val="-4"/>
                <w:sz w:val="14"/>
              </w:rPr>
              <w:t xml:space="preserve"> </w:t>
            </w:r>
            <w:r>
              <w:rPr>
                <w:color w:val="231F20"/>
                <w:sz w:val="14"/>
              </w:rPr>
              <w:t>баштине;</w:t>
            </w:r>
          </w:p>
          <w:p w:rsidR="00041039" w:rsidRDefault="001B26CB">
            <w:pPr>
              <w:pStyle w:val="TableParagraph"/>
              <w:numPr>
                <w:ilvl w:val="0"/>
                <w:numId w:val="31"/>
              </w:numPr>
              <w:tabs>
                <w:tab w:val="left" w:pos="157"/>
              </w:tabs>
              <w:spacing w:line="156" w:lineRule="exact"/>
              <w:ind w:hanging="99"/>
              <w:rPr>
                <w:sz w:val="14"/>
              </w:rPr>
            </w:pPr>
            <w:r>
              <w:rPr>
                <w:color w:val="231F20"/>
                <w:sz w:val="14"/>
              </w:rPr>
              <w:t>сагледава и вреднује утицај</w:t>
            </w:r>
            <w:r>
              <w:rPr>
                <w:color w:val="231F20"/>
                <w:spacing w:val="-12"/>
                <w:sz w:val="14"/>
              </w:rPr>
              <w:t xml:space="preserve"> </w:t>
            </w:r>
            <w:r>
              <w:rPr>
                <w:color w:val="231F20"/>
                <w:sz w:val="14"/>
              </w:rPr>
              <w:t>народног</w:t>
            </w:r>
          </w:p>
          <w:p w:rsidR="00041039" w:rsidRDefault="001B26CB">
            <w:pPr>
              <w:pStyle w:val="TableParagraph"/>
              <w:rPr>
                <w:sz w:val="14"/>
              </w:rPr>
            </w:pPr>
            <w:r>
              <w:rPr>
                <w:color w:val="231F20"/>
                <w:sz w:val="14"/>
              </w:rPr>
              <w:t>стваралаштва на уметничко ствара­ лаштво;</w:t>
            </w:r>
          </w:p>
        </w:tc>
        <w:tc>
          <w:tcPr>
            <w:tcW w:w="2834" w:type="dxa"/>
          </w:tcPr>
          <w:p w:rsidR="00041039" w:rsidRDefault="001B26CB">
            <w:pPr>
              <w:pStyle w:val="TableParagraph"/>
              <w:numPr>
                <w:ilvl w:val="0"/>
                <w:numId w:val="30"/>
              </w:numPr>
              <w:tabs>
                <w:tab w:val="left" w:pos="157"/>
              </w:tabs>
              <w:spacing w:before="8"/>
              <w:ind w:right="79" w:hanging="99"/>
              <w:rPr>
                <w:sz w:val="14"/>
              </w:rPr>
            </w:pPr>
            <w:r>
              <w:rPr>
                <w:color w:val="231F20"/>
                <w:sz w:val="14"/>
              </w:rPr>
              <w:t>Изворно певање традиционалних композиција са нашег и суседних</w:t>
            </w:r>
            <w:r>
              <w:rPr>
                <w:color w:val="231F20"/>
                <w:spacing w:val="-25"/>
                <w:sz w:val="14"/>
              </w:rPr>
              <w:t xml:space="preserve"> </w:t>
            </w:r>
            <w:r>
              <w:rPr>
                <w:color w:val="231F20"/>
                <w:sz w:val="14"/>
              </w:rPr>
              <w:t xml:space="preserve">подручја. </w:t>
            </w:r>
            <w:r>
              <w:rPr>
                <w:color w:val="231F20"/>
                <w:spacing w:val="-3"/>
                <w:sz w:val="14"/>
              </w:rPr>
              <w:t xml:space="preserve">Кола </w:t>
            </w:r>
            <w:r>
              <w:rPr>
                <w:color w:val="231F20"/>
                <w:sz w:val="14"/>
              </w:rPr>
              <w:t>и народне игре Србије и суседних земаља.</w:t>
            </w:r>
          </w:p>
          <w:p w:rsidR="00041039" w:rsidRDefault="001B26CB">
            <w:pPr>
              <w:pStyle w:val="TableParagraph"/>
              <w:spacing w:line="156" w:lineRule="exact"/>
              <w:ind w:left="57"/>
              <w:rPr>
                <w:sz w:val="14"/>
              </w:rPr>
            </w:pPr>
            <w:r>
              <w:rPr>
                <w:color w:val="231F20"/>
                <w:sz w:val="14"/>
              </w:rPr>
              <w:t xml:space="preserve">Мокрањац Ст. Ст.: </w:t>
            </w:r>
            <w:r>
              <w:rPr>
                <w:i/>
                <w:color w:val="231F20"/>
                <w:sz w:val="14"/>
              </w:rPr>
              <w:t>Руковети</w:t>
            </w:r>
            <w:r>
              <w:rPr>
                <w:color w:val="231F20"/>
                <w:sz w:val="14"/>
              </w:rPr>
              <w:t>, Тајчевић М.:</w:t>
            </w:r>
          </w:p>
          <w:p w:rsidR="00041039" w:rsidRDefault="001B26CB">
            <w:pPr>
              <w:pStyle w:val="TableParagraph"/>
              <w:spacing w:line="155" w:lineRule="exact"/>
              <w:ind w:left="57"/>
              <w:rPr>
                <w:i/>
                <w:sz w:val="14"/>
              </w:rPr>
            </w:pPr>
            <w:r>
              <w:rPr>
                <w:i/>
                <w:color w:val="231F20"/>
                <w:sz w:val="14"/>
              </w:rPr>
              <w:t>Охридска легенда.</w:t>
            </w:r>
          </w:p>
          <w:p w:rsidR="00041039" w:rsidRDefault="001B26CB">
            <w:pPr>
              <w:pStyle w:val="TableParagraph"/>
              <w:numPr>
                <w:ilvl w:val="0"/>
                <w:numId w:val="30"/>
              </w:numPr>
              <w:tabs>
                <w:tab w:val="left" w:pos="157"/>
              </w:tabs>
              <w:spacing w:line="237" w:lineRule="auto"/>
              <w:ind w:right="309" w:hanging="99"/>
              <w:rPr>
                <w:sz w:val="14"/>
              </w:rPr>
            </w:pPr>
            <w:r>
              <w:rPr>
                <w:color w:val="231F20"/>
                <w:sz w:val="14"/>
              </w:rPr>
              <w:t xml:space="preserve">Народна музика интегрисана у </w:t>
            </w:r>
            <w:r>
              <w:rPr>
                <w:color w:val="231F20"/>
                <w:spacing w:val="-3"/>
                <w:sz w:val="14"/>
              </w:rPr>
              <w:t xml:space="preserve">забавну, </w:t>
            </w:r>
            <w:r>
              <w:rPr>
                <w:color w:val="231F20"/>
                <w:sz w:val="14"/>
              </w:rPr>
              <w:t>електронску, џез и разне алтернативне правце.</w:t>
            </w:r>
          </w:p>
          <w:p w:rsidR="00041039" w:rsidRDefault="001B26CB">
            <w:pPr>
              <w:pStyle w:val="TableParagraph"/>
              <w:numPr>
                <w:ilvl w:val="0"/>
                <w:numId w:val="30"/>
              </w:numPr>
              <w:tabs>
                <w:tab w:val="left" w:pos="157"/>
              </w:tabs>
              <w:spacing w:line="237" w:lineRule="auto"/>
              <w:ind w:right="243" w:hanging="99"/>
              <w:rPr>
                <w:sz w:val="14"/>
              </w:rPr>
            </w:pPr>
            <w:r>
              <w:rPr>
                <w:color w:val="231F20"/>
                <w:sz w:val="14"/>
              </w:rPr>
              <w:t>Извођачи: Биљана Крстић, састав Балканика, Слободан Тркуља,</w:t>
            </w:r>
            <w:r>
              <w:rPr>
                <w:color w:val="231F20"/>
                <w:spacing w:val="-18"/>
                <w:sz w:val="14"/>
              </w:rPr>
              <w:t xml:space="preserve"> </w:t>
            </w:r>
            <w:r>
              <w:rPr>
                <w:color w:val="231F20"/>
                <w:sz w:val="14"/>
              </w:rPr>
              <w:t>Василиса, Кирил</w:t>
            </w:r>
            <w:r>
              <w:rPr>
                <w:color w:val="231F20"/>
                <w:spacing w:val="-1"/>
                <w:sz w:val="14"/>
              </w:rPr>
              <w:t xml:space="preserve"> </w:t>
            </w:r>
            <w:r>
              <w:rPr>
                <w:color w:val="231F20"/>
                <w:sz w:val="14"/>
              </w:rPr>
              <w:t>Џајковски...</w:t>
            </w:r>
          </w:p>
        </w:tc>
        <w:tc>
          <w:tcPr>
            <w:tcW w:w="2267" w:type="dxa"/>
            <w:vMerge w:val="restart"/>
          </w:tcPr>
          <w:p w:rsidR="00041039" w:rsidRDefault="00041039">
            <w:pPr>
              <w:pStyle w:val="TableParagraph"/>
              <w:ind w:left="0"/>
              <w:rPr>
                <w:sz w:val="14"/>
              </w:rPr>
            </w:pPr>
          </w:p>
        </w:tc>
      </w:tr>
      <w:tr w:rsidR="00041039">
        <w:trPr>
          <w:trHeight w:val="1960"/>
        </w:trPr>
        <w:tc>
          <w:tcPr>
            <w:tcW w:w="1304" w:type="dxa"/>
          </w:tcPr>
          <w:p w:rsidR="00041039" w:rsidRDefault="001B26CB">
            <w:pPr>
              <w:pStyle w:val="TableParagraph"/>
              <w:spacing w:before="18"/>
              <w:ind w:left="56" w:right="37"/>
              <w:rPr>
                <w:sz w:val="14"/>
              </w:rPr>
            </w:pPr>
            <w:r>
              <w:rPr>
                <w:color w:val="231F20"/>
                <w:sz w:val="14"/>
              </w:rPr>
              <w:t>Џез и блуз музика Филм и филмска музика</w:t>
            </w:r>
          </w:p>
        </w:tc>
        <w:tc>
          <w:tcPr>
            <w:tcW w:w="1587" w:type="dxa"/>
          </w:tcPr>
          <w:p w:rsidR="00041039" w:rsidRDefault="001B26CB">
            <w:pPr>
              <w:pStyle w:val="TableParagraph"/>
              <w:numPr>
                <w:ilvl w:val="0"/>
                <w:numId w:val="29"/>
              </w:numPr>
              <w:tabs>
                <w:tab w:val="left" w:pos="157"/>
              </w:tabs>
              <w:spacing w:before="8"/>
              <w:ind w:right="63"/>
              <w:rPr>
                <w:sz w:val="14"/>
              </w:rPr>
            </w:pPr>
            <w:r>
              <w:rPr>
                <w:color w:val="231F20"/>
                <w:sz w:val="14"/>
              </w:rPr>
              <w:t>Способност препозна­ вања критеријума који се односе на ритмичку строгост и импро­ визовање мелодије као карактеристика одређене врсте музике (џез,</w:t>
            </w:r>
            <w:r>
              <w:rPr>
                <w:color w:val="231F20"/>
                <w:spacing w:val="-2"/>
                <w:sz w:val="14"/>
              </w:rPr>
              <w:t xml:space="preserve"> </w:t>
            </w:r>
            <w:r>
              <w:rPr>
                <w:color w:val="231F20"/>
                <w:sz w:val="14"/>
              </w:rPr>
              <w:t>блуз).</w:t>
            </w:r>
          </w:p>
          <w:p w:rsidR="00041039" w:rsidRDefault="001B26CB">
            <w:pPr>
              <w:pStyle w:val="TableParagraph"/>
              <w:numPr>
                <w:ilvl w:val="0"/>
                <w:numId w:val="29"/>
              </w:numPr>
              <w:tabs>
                <w:tab w:val="left" w:pos="157"/>
              </w:tabs>
              <w:spacing w:line="153" w:lineRule="exact"/>
              <w:rPr>
                <w:sz w:val="14"/>
              </w:rPr>
            </w:pPr>
            <w:r>
              <w:rPr>
                <w:color w:val="231F20"/>
                <w:sz w:val="14"/>
              </w:rPr>
              <w:t>Способности</w:t>
            </w:r>
            <w:r>
              <w:rPr>
                <w:color w:val="231F20"/>
                <w:spacing w:val="-1"/>
                <w:sz w:val="14"/>
              </w:rPr>
              <w:t xml:space="preserve"> </w:t>
            </w:r>
            <w:r>
              <w:rPr>
                <w:color w:val="231F20"/>
                <w:sz w:val="14"/>
              </w:rPr>
              <w:t>разлико­</w:t>
            </w:r>
          </w:p>
          <w:p w:rsidR="00041039" w:rsidRDefault="001B26CB">
            <w:pPr>
              <w:pStyle w:val="TableParagraph"/>
              <w:ind w:right="20"/>
              <w:rPr>
                <w:sz w:val="14"/>
              </w:rPr>
            </w:pPr>
            <w:r>
              <w:rPr>
                <w:color w:val="231F20"/>
                <w:sz w:val="14"/>
              </w:rPr>
              <w:t>вања боје звука разли­ читих инструмената као и њихових састава.</w:t>
            </w:r>
          </w:p>
        </w:tc>
        <w:tc>
          <w:tcPr>
            <w:tcW w:w="2551" w:type="dxa"/>
          </w:tcPr>
          <w:p w:rsidR="00041039" w:rsidRDefault="001B26CB">
            <w:pPr>
              <w:pStyle w:val="TableParagraph"/>
              <w:numPr>
                <w:ilvl w:val="0"/>
                <w:numId w:val="28"/>
              </w:numPr>
              <w:tabs>
                <w:tab w:val="left" w:pos="157"/>
              </w:tabs>
              <w:spacing w:before="9"/>
              <w:ind w:right="163" w:hanging="99"/>
              <w:rPr>
                <w:sz w:val="14"/>
              </w:rPr>
            </w:pPr>
            <w:r>
              <w:rPr>
                <w:color w:val="231F20"/>
                <w:sz w:val="14"/>
              </w:rPr>
              <w:t>препознаје крит</w:t>
            </w:r>
            <w:r>
              <w:rPr>
                <w:color w:val="231F20"/>
                <w:sz w:val="14"/>
              </w:rPr>
              <w:t>еријуме који се од­ носе на начине настајања</w:t>
            </w:r>
            <w:r>
              <w:rPr>
                <w:color w:val="231F20"/>
                <w:spacing w:val="-20"/>
                <w:sz w:val="14"/>
              </w:rPr>
              <w:t xml:space="preserve"> </w:t>
            </w:r>
            <w:r>
              <w:rPr>
                <w:color w:val="231F20"/>
                <w:sz w:val="14"/>
              </w:rPr>
              <w:t>мелодијско ритмичких образаца различитих музичких</w:t>
            </w:r>
            <w:r>
              <w:rPr>
                <w:color w:val="231F20"/>
                <w:spacing w:val="-1"/>
                <w:sz w:val="14"/>
              </w:rPr>
              <w:t xml:space="preserve"> </w:t>
            </w:r>
            <w:r>
              <w:rPr>
                <w:color w:val="231F20"/>
                <w:sz w:val="14"/>
              </w:rPr>
              <w:t>жанрова;</w:t>
            </w:r>
          </w:p>
          <w:p w:rsidR="00041039" w:rsidRDefault="001B26CB">
            <w:pPr>
              <w:pStyle w:val="TableParagraph"/>
              <w:numPr>
                <w:ilvl w:val="0"/>
                <w:numId w:val="28"/>
              </w:numPr>
              <w:tabs>
                <w:tab w:val="left" w:pos="157"/>
              </w:tabs>
              <w:spacing w:line="156" w:lineRule="exact"/>
              <w:ind w:hanging="99"/>
              <w:rPr>
                <w:sz w:val="14"/>
              </w:rPr>
            </w:pPr>
            <w:r>
              <w:rPr>
                <w:color w:val="231F20"/>
                <w:sz w:val="14"/>
              </w:rPr>
              <w:t>разликује боју звука</w:t>
            </w:r>
            <w:r>
              <w:rPr>
                <w:color w:val="231F20"/>
                <w:spacing w:val="-3"/>
                <w:sz w:val="14"/>
              </w:rPr>
              <w:t xml:space="preserve"> </w:t>
            </w:r>
            <w:r>
              <w:rPr>
                <w:color w:val="231F20"/>
                <w:sz w:val="14"/>
              </w:rPr>
              <w:t>различитих</w:t>
            </w:r>
          </w:p>
          <w:p w:rsidR="00041039" w:rsidRDefault="001B26CB">
            <w:pPr>
              <w:pStyle w:val="TableParagraph"/>
              <w:rPr>
                <w:sz w:val="14"/>
              </w:rPr>
            </w:pPr>
            <w:r>
              <w:rPr>
                <w:color w:val="231F20"/>
                <w:sz w:val="14"/>
              </w:rPr>
              <w:t>инструмената, као и њихов визуелни изглед;</w:t>
            </w:r>
          </w:p>
          <w:p w:rsidR="00041039" w:rsidRDefault="001B26CB">
            <w:pPr>
              <w:pStyle w:val="TableParagraph"/>
              <w:numPr>
                <w:ilvl w:val="0"/>
                <w:numId w:val="28"/>
              </w:numPr>
              <w:tabs>
                <w:tab w:val="left" w:pos="157"/>
              </w:tabs>
              <w:spacing w:line="160" w:lineRule="exact"/>
              <w:ind w:right="44" w:hanging="99"/>
              <w:rPr>
                <w:sz w:val="14"/>
              </w:rPr>
            </w:pPr>
            <w:r>
              <w:rPr>
                <w:color w:val="231F20"/>
                <w:sz w:val="14"/>
              </w:rPr>
              <w:t xml:space="preserve">разликује саставе извођача (соло </w:t>
            </w:r>
            <w:r>
              <w:rPr>
                <w:color w:val="231F20"/>
                <w:spacing w:val="-3"/>
                <w:sz w:val="14"/>
              </w:rPr>
              <w:t xml:space="preserve">глас </w:t>
            </w:r>
            <w:r>
              <w:rPr>
                <w:color w:val="231F20"/>
                <w:sz w:val="14"/>
              </w:rPr>
              <w:t>– хор, соло инструмент ­ камерни</w:t>
            </w:r>
            <w:r>
              <w:rPr>
                <w:color w:val="231F20"/>
                <w:spacing w:val="-15"/>
                <w:sz w:val="14"/>
              </w:rPr>
              <w:t xml:space="preserve"> </w:t>
            </w:r>
            <w:r>
              <w:rPr>
                <w:color w:val="231F20"/>
                <w:sz w:val="14"/>
              </w:rPr>
              <w:t>састав</w:t>
            </w:r>
          </w:p>
          <w:p w:rsidR="00041039" w:rsidRDefault="001B26CB">
            <w:pPr>
              <w:pStyle w:val="TableParagraph"/>
              <w:spacing w:line="158" w:lineRule="exact"/>
              <w:rPr>
                <w:sz w:val="14"/>
              </w:rPr>
            </w:pPr>
            <w:r>
              <w:rPr>
                <w:color w:val="231F20"/>
                <w:sz w:val="14"/>
              </w:rPr>
              <w:t>- оркестар);</w:t>
            </w:r>
          </w:p>
        </w:tc>
        <w:tc>
          <w:tcPr>
            <w:tcW w:w="2834" w:type="dxa"/>
          </w:tcPr>
          <w:p w:rsidR="00041039" w:rsidRDefault="001B26CB">
            <w:pPr>
              <w:pStyle w:val="TableParagraph"/>
              <w:spacing w:before="17" w:line="155" w:lineRule="exact"/>
              <w:ind w:left="57"/>
              <w:rPr>
                <w:b/>
                <w:sz w:val="14"/>
              </w:rPr>
            </w:pPr>
            <w:r>
              <w:rPr>
                <w:b/>
                <w:color w:val="231F20"/>
                <w:sz w:val="14"/>
              </w:rPr>
              <w:t>Џез и блуз:</w:t>
            </w:r>
          </w:p>
          <w:p w:rsidR="00041039" w:rsidRDefault="001B26CB">
            <w:pPr>
              <w:pStyle w:val="TableParagraph"/>
              <w:numPr>
                <w:ilvl w:val="0"/>
                <w:numId w:val="27"/>
              </w:numPr>
              <w:tabs>
                <w:tab w:val="left" w:pos="157"/>
              </w:tabs>
              <w:spacing w:line="237" w:lineRule="auto"/>
              <w:ind w:right="299" w:hanging="99"/>
              <w:rPr>
                <w:sz w:val="14"/>
              </w:rPr>
            </w:pPr>
            <w:r>
              <w:rPr>
                <w:color w:val="231F20"/>
                <w:sz w:val="14"/>
              </w:rPr>
              <w:t>Луис Армстронг, Мајлс Дејвис, Били Холидеј, Џон Колтрејн, Чарли Паркер, Јован Маљоковић, Шабан</w:t>
            </w:r>
            <w:r>
              <w:rPr>
                <w:color w:val="231F20"/>
                <w:spacing w:val="-24"/>
                <w:sz w:val="14"/>
              </w:rPr>
              <w:t xml:space="preserve"> </w:t>
            </w:r>
            <w:r>
              <w:rPr>
                <w:color w:val="231F20"/>
                <w:sz w:val="14"/>
              </w:rPr>
              <w:t>Бајрамовић...</w:t>
            </w:r>
          </w:p>
          <w:p w:rsidR="00041039" w:rsidRDefault="001B26CB">
            <w:pPr>
              <w:pStyle w:val="TableParagraph"/>
              <w:spacing w:line="155" w:lineRule="exact"/>
              <w:ind w:left="57"/>
              <w:rPr>
                <w:b/>
                <w:sz w:val="14"/>
              </w:rPr>
            </w:pPr>
            <w:r>
              <w:rPr>
                <w:b/>
                <w:color w:val="231F20"/>
                <w:sz w:val="14"/>
              </w:rPr>
              <w:t>Филм:</w:t>
            </w:r>
          </w:p>
          <w:p w:rsidR="00041039" w:rsidRDefault="001B26CB">
            <w:pPr>
              <w:pStyle w:val="TableParagraph"/>
              <w:numPr>
                <w:ilvl w:val="0"/>
                <w:numId w:val="27"/>
              </w:numPr>
              <w:tabs>
                <w:tab w:val="left" w:pos="157"/>
              </w:tabs>
              <w:spacing w:line="165" w:lineRule="exact"/>
              <w:ind w:hanging="99"/>
              <w:rPr>
                <w:sz w:val="14"/>
              </w:rPr>
            </w:pPr>
            <w:r>
              <w:rPr>
                <w:color w:val="231F20"/>
                <w:spacing w:val="-3"/>
                <w:sz w:val="14"/>
              </w:rPr>
              <w:t>Моцарт.</w:t>
            </w:r>
          </w:p>
          <w:p w:rsidR="00041039" w:rsidRDefault="001B26CB">
            <w:pPr>
              <w:pStyle w:val="TableParagraph"/>
              <w:spacing w:line="155" w:lineRule="exact"/>
              <w:ind w:left="57"/>
              <w:rPr>
                <w:b/>
                <w:sz w:val="14"/>
              </w:rPr>
            </w:pPr>
            <w:r>
              <w:rPr>
                <w:b/>
                <w:color w:val="231F20"/>
                <w:sz w:val="14"/>
              </w:rPr>
              <w:t>Филмска музика:</w:t>
            </w:r>
          </w:p>
          <w:p w:rsidR="00041039" w:rsidRDefault="001B26CB">
            <w:pPr>
              <w:pStyle w:val="TableParagraph"/>
              <w:numPr>
                <w:ilvl w:val="0"/>
                <w:numId w:val="27"/>
              </w:numPr>
              <w:tabs>
                <w:tab w:val="left" w:pos="157"/>
              </w:tabs>
              <w:spacing w:line="237" w:lineRule="auto"/>
              <w:ind w:right="146" w:hanging="99"/>
              <w:rPr>
                <w:sz w:val="14"/>
              </w:rPr>
            </w:pPr>
            <w:r>
              <w:rPr>
                <w:color w:val="231F20"/>
                <w:sz w:val="14"/>
              </w:rPr>
              <w:t>Е. Мориконе: музика из филмова:</w:t>
            </w:r>
            <w:r>
              <w:rPr>
                <w:color w:val="231F20"/>
                <w:spacing w:val="-26"/>
                <w:sz w:val="14"/>
              </w:rPr>
              <w:t xml:space="preserve"> </w:t>
            </w:r>
            <w:r>
              <w:rPr>
                <w:i/>
                <w:color w:val="231F20"/>
                <w:sz w:val="14"/>
              </w:rPr>
              <w:t>Амелија Пулен, Титаник, Ватрене улице,</w:t>
            </w:r>
            <w:r>
              <w:rPr>
                <w:i/>
                <w:color w:val="231F20"/>
                <w:spacing w:val="-7"/>
                <w:sz w:val="14"/>
              </w:rPr>
              <w:t xml:space="preserve"> </w:t>
            </w:r>
            <w:r>
              <w:rPr>
                <w:i/>
                <w:color w:val="231F20"/>
                <w:sz w:val="14"/>
              </w:rPr>
              <w:t>Клавир</w:t>
            </w:r>
            <w:r>
              <w:rPr>
                <w:color w:val="231F20"/>
                <w:sz w:val="14"/>
              </w:rPr>
              <w:t>...</w:t>
            </w:r>
          </w:p>
        </w:tc>
        <w:tc>
          <w:tcPr>
            <w:tcW w:w="2267" w:type="dxa"/>
            <w:vMerge/>
            <w:tcBorders>
              <w:top w:val="nil"/>
            </w:tcBorders>
          </w:tcPr>
          <w:p w:rsidR="00041039" w:rsidRDefault="00041039">
            <w:pPr>
              <w:rPr>
                <w:sz w:val="2"/>
                <w:szCs w:val="2"/>
              </w:rPr>
            </w:pPr>
          </w:p>
        </w:tc>
      </w:tr>
      <w:tr w:rsidR="00041039">
        <w:trPr>
          <w:trHeight w:val="520"/>
        </w:trPr>
        <w:tc>
          <w:tcPr>
            <w:tcW w:w="1304" w:type="dxa"/>
          </w:tcPr>
          <w:p w:rsidR="00041039" w:rsidRDefault="001B26CB">
            <w:pPr>
              <w:pStyle w:val="TableParagraph"/>
              <w:spacing w:before="19"/>
              <w:ind w:left="56"/>
              <w:rPr>
                <w:sz w:val="14"/>
              </w:rPr>
            </w:pPr>
            <w:r>
              <w:rPr>
                <w:color w:val="231F20"/>
                <w:sz w:val="14"/>
              </w:rPr>
              <w:t>Хорско певање</w:t>
            </w:r>
          </w:p>
        </w:tc>
        <w:tc>
          <w:tcPr>
            <w:tcW w:w="1587" w:type="dxa"/>
          </w:tcPr>
          <w:p w:rsidR="00041039" w:rsidRDefault="001B26CB">
            <w:pPr>
              <w:pStyle w:val="TableParagraph"/>
              <w:numPr>
                <w:ilvl w:val="0"/>
                <w:numId w:val="26"/>
              </w:numPr>
              <w:tabs>
                <w:tab w:val="left" w:pos="157"/>
              </w:tabs>
              <w:spacing w:before="9"/>
              <w:ind w:right="111"/>
              <w:rPr>
                <w:sz w:val="14"/>
              </w:rPr>
            </w:pPr>
            <w:r>
              <w:rPr>
                <w:color w:val="231F20"/>
                <w:sz w:val="14"/>
              </w:rPr>
              <w:t>Оспособљавање ученика за</w:t>
            </w:r>
            <w:r>
              <w:rPr>
                <w:color w:val="231F20"/>
                <w:spacing w:val="-16"/>
                <w:sz w:val="14"/>
              </w:rPr>
              <w:t xml:space="preserve"> </w:t>
            </w:r>
            <w:r>
              <w:rPr>
                <w:color w:val="231F20"/>
                <w:sz w:val="14"/>
              </w:rPr>
              <w:t>заједничко извођење.</w:t>
            </w:r>
          </w:p>
        </w:tc>
        <w:tc>
          <w:tcPr>
            <w:tcW w:w="2551" w:type="dxa"/>
          </w:tcPr>
          <w:p w:rsidR="00041039" w:rsidRDefault="001B26CB">
            <w:pPr>
              <w:pStyle w:val="TableParagraph"/>
              <w:numPr>
                <w:ilvl w:val="0"/>
                <w:numId w:val="25"/>
              </w:numPr>
              <w:tabs>
                <w:tab w:val="left" w:pos="157"/>
              </w:tabs>
              <w:spacing w:before="9"/>
              <w:ind w:right="78" w:hanging="99"/>
              <w:rPr>
                <w:sz w:val="14"/>
              </w:rPr>
            </w:pPr>
            <w:r>
              <w:rPr>
                <w:color w:val="231F20"/>
                <w:sz w:val="14"/>
              </w:rPr>
              <w:t>препознаје и реализује елементе</w:t>
            </w:r>
            <w:r>
              <w:rPr>
                <w:color w:val="231F20"/>
                <w:spacing w:val="-17"/>
                <w:sz w:val="14"/>
              </w:rPr>
              <w:t xml:space="preserve"> </w:t>
            </w:r>
            <w:r>
              <w:rPr>
                <w:color w:val="231F20"/>
                <w:sz w:val="14"/>
              </w:rPr>
              <w:t>зајед­ ничког</w:t>
            </w:r>
            <w:r>
              <w:rPr>
                <w:color w:val="231F20"/>
                <w:spacing w:val="-1"/>
                <w:sz w:val="14"/>
              </w:rPr>
              <w:t xml:space="preserve"> </w:t>
            </w:r>
            <w:r>
              <w:rPr>
                <w:color w:val="231F20"/>
                <w:sz w:val="14"/>
              </w:rPr>
              <w:t>музицирања;</w:t>
            </w:r>
          </w:p>
        </w:tc>
        <w:tc>
          <w:tcPr>
            <w:tcW w:w="2834" w:type="dxa"/>
          </w:tcPr>
          <w:p w:rsidR="00041039" w:rsidRDefault="001B26CB">
            <w:pPr>
              <w:pStyle w:val="TableParagraph"/>
              <w:numPr>
                <w:ilvl w:val="0"/>
                <w:numId w:val="24"/>
              </w:numPr>
              <w:tabs>
                <w:tab w:val="left" w:pos="158"/>
              </w:tabs>
              <w:spacing w:before="9"/>
              <w:ind w:right="101"/>
              <w:rPr>
                <w:sz w:val="14"/>
              </w:rPr>
            </w:pPr>
            <w:r>
              <w:rPr>
                <w:color w:val="231F20"/>
                <w:sz w:val="14"/>
              </w:rPr>
              <w:t>Слободан избор композиција према</w:t>
            </w:r>
            <w:r>
              <w:rPr>
                <w:color w:val="231F20"/>
                <w:spacing w:val="-23"/>
                <w:sz w:val="14"/>
              </w:rPr>
              <w:t xml:space="preserve"> </w:t>
            </w:r>
            <w:r>
              <w:rPr>
                <w:color w:val="231F20"/>
                <w:sz w:val="14"/>
              </w:rPr>
              <w:t>могућ­ ностима</w:t>
            </w:r>
            <w:r>
              <w:rPr>
                <w:color w:val="231F20"/>
                <w:spacing w:val="-1"/>
                <w:sz w:val="14"/>
              </w:rPr>
              <w:t xml:space="preserve"> </w:t>
            </w:r>
            <w:r>
              <w:rPr>
                <w:color w:val="231F20"/>
                <w:sz w:val="14"/>
              </w:rPr>
              <w:t>извођача.</w:t>
            </w:r>
          </w:p>
        </w:tc>
        <w:tc>
          <w:tcPr>
            <w:tcW w:w="2267" w:type="dxa"/>
            <w:vMerge/>
            <w:tcBorders>
              <w:top w:val="nil"/>
            </w:tcBorders>
          </w:tcPr>
          <w:p w:rsidR="00041039" w:rsidRDefault="00041039">
            <w:pPr>
              <w:rPr>
                <w:sz w:val="2"/>
                <w:szCs w:val="2"/>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Српски језик и</w:t>
      </w:r>
      <w:r>
        <w:rPr>
          <w:color w:val="231F20"/>
          <w:spacing w:val="-2"/>
        </w:rPr>
        <w:t xml:space="preserve"> </w:t>
      </w:r>
      <w:r>
        <w:rPr>
          <w:color w:val="231F20"/>
        </w:rPr>
        <w:t>књижевност</w:t>
      </w:r>
    </w:p>
    <w:p w:rsidR="00041039" w:rsidRDefault="001B26CB">
      <w:pPr>
        <w:pStyle w:val="ListParagraph"/>
        <w:numPr>
          <w:ilvl w:val="0"/>
          <w:numId w:val="1"/>
        </w:numPr>
        <w:tabs>
          <w:tab w:val="left" w:pos="633"/>
        </w:tabs>
        <w:rPr>
          <w:sz w:val="18"/>
        </w:rPr>
      </w:pPr>
      <w:r>
        <w:rPr>
          <w:color w:val="231F20"/>
          <w:sz w:val="18"/>
        </w:rPr>
        <w:t>Историја</w:t>
      </w:r>
    </w:p>
    <w:p w:rsidR="00041039" w:rsidRDefault="001B26CB">
      <w:pPr>
        <w:pStyle w:val="ListParagraph"/>
        <w:numPr>
          <w:ilvl w:val="0"/>
          <w:numId w:val="1"/>
        </w:numPr>
        <w:tabs>
          <w:tab w:val="left" w:pos="633"/>
        </w:tabs>
        <w:spacing w:line="203" w:lineRule="exact"/>
        <w:rPr>
          <w:sz w:val="18"/>
        </w:rPr>
      </w:pPr>
      <w:r>
        <w:rPr>
          <w:color w:val="231F20"/>
          <w:spacing w:val="-3"/>
          <w:sz w:val="18"/>
        </w:rPr>
        <w:t>Физичко</w:t>
      </w:r>
      <w:r>
        <w:rPr>
          <w:color w:val="231F20"/>
          <w:sz w:val="18"/>
        </w:rPr>
        <w:t xml:space="preserve"> васпитање</w:t>
      </w:r>
    </w:p>
    <w:p w:rsidR="00041039" w:rsidRDefault="00041039">
      <w:pPr>
        <w:pStyle w:val="BodyText"/>
        <w:spacing w:before="11"/>
        <w:rPr>
          <w:sz w:val="22"/>
        </w:rPr>
      </w:pPr>
    </w:p>
    <w:p w:rsidR="00041039" w:rsidRDefault="001B26CB">
      <w:pPr>
        <w:tabs>
          <w:tab w:val="left" w:pos="1460"/>
        </w:tabs>
        <w:ind w:left="15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ЛОГИКА </w:t>
      </w:r>
      <w:r>
        <w:rPr>
          <w:b/>
          <w:color w:val="231F20"/>
          <w:spacing w:val="-4"/>
          <w:sz w:val="14"/>
        </w:rPr>
        <w:t>СА</w:t>
      </w:r>
      <w:r>
        <w:rPr>
          <w:b/>
          <w:color w:val="231F20"/>
          <w:spacing w:val="-2"/>
          <w:sz w:val="14"/>
        </w:rPr>
        <w:t xml:space="preserve"> </w:t>
      </w:r>
      <w:r>
        <w:rPr>
          <w:b/>
          <w:color w:val="231F20"/>
          <w:sz w:val="14"/>
        </w:rPr>
        <w:t>ЕТИКОМ</w:t>
      </w:r>
    </w:p>
    <w:p w:rsidR="00041039" w:rsidRDefault="001B26CB">
      <w:pPr>
        <w:pStyle w:val="BodyText"/>
        <w:spacing w:before="50" w:line="161" w:lineRule="exact"/>
        <w:ind w:left="157"/>
      </w:pPr>
      <w:r>
        <w:rPr>
          <w:color w:val="231F20"/>
        </w:rPr>
        <w:t>Циљеви предмета: – Стицање основних знањао логици и етици и схватање значаја тих знања за јасно размишљање и развој личности;</w:t>
      </w:r>
    </w:p>
    <w:p w:rsidR="00041039" w:rsidRDefault="001B26CB">
      <w:pPr>
        <w:pStyle w:val="ListParagraph"/>
        <w:numPr>
          <w:ilvl w:val="1"/>
          <w:numId w:val="1"/>
        </w:numPr>
        <w:tabs>
          <w:tab w:val="left" w:pos="1566"/>
        </w:tabs>
        <w:spacing w:line="160" w:lineRule="exact"/>
        <w:rPr>
          <w:sz w:val="14"/>
        </w:rPr>
      </w:pPr>
      <w:r>
        <w:rPr>
          <w:color w:val="231F20"/>
          <w:sz w:val="14"/>
        </w:rPr>
        <w:t xml:space="preserve">Упознавање са елементима и законима логике и разумевање </w:t>
      </w:r>
      <w:r>
        <w:rPr>
          <w:color w:val="231F20"/>
          <w:spacing w:val="-3"/>
          <w:sz w:val="14"/>
        </w:rPr>
        <w:t xml:space="preserve">улоге </w:t>
      </w:r>
      <w:r>
        <w:rPr>
          <w:color w:val="231F20"/>
          <w:sz w:val="14"/>
        </w:rPr>
        <w:t>коју логика има у науци и свакодневном</w:t>
      </w:r>
      <w:r>
        <w:rPr>
          <w:color w:val="231F20"/>
          <w:spacing w:val="-18"/>
          <w:sz w:val="14"/>
        </w:rPr>
        <w:t xml:space="preserve"> </w:t>
      </w:r>
      <w:r>
        <w:rPr>
          <w:color w:val="231F20"/>
          <w:sz w:val="14"/>
        </w:rPr>
        <w:t>животу;</w:t>
      </w:r>
    </w:p>
    <w:p w:rsidR="00041039" w:rsidRDefault="001B26CB">
      <w:pPr>
        <w:pStyle w:val="ListParagraph"/>
        <w:numPr>
          <w:ilvl w:val="1"/>
          <w:numId w:val="1"/>
        </w:numPr>
        <w:tabs>
          <w:tab w:val="left" w:pos="1566"/>
        </w:tabs>
        <w:spacing w:line="160" w:lineRule="exact"/>
        <w:rPr>
          <w:sz w:val="14"/>
        </w:rPr>
      </w:pPr>
      <w:r>
        <w:rPr>
          <w:color w:val="231F20"/>
          <w:sz w:val="14"/>
        </w:rPr>
        <w:t>Разумевање појмова који се јављају у етичким расправама и развијање сензибилитета за етичка питања савременог</w:t>
      </w:r>
      <w:r>
        <w:rPr>
          <w:color w:val="231F20"/>
          <w:spacing w:val="-10"/>
          <w:sz w:val="14"/>
        </w:rPr>
        <w:t xml:space="preserve"> </w:t>
      </w:r>
      <w:r>
        <w:rPr>
          <w:color w:val="231F20"/>
          <w:sz w:val="14"/>
        </w:rPr>
        <w:t>друштва;</w:t>
      </w:r>
    </w:p>
    <w:p w:rsidR="00041039" w:rsidRDefault="001B26CB">
      <w:pPr>
        <w:pStyle w:val="ListParagraph"/>
        <w:numPr>
          <w:ilvl w:val="1"/>
          <w:numId w:val="1"/>
        </w:numPr>
        <w:tabs>
          <w:tab w:val="left" w:pos="1566"/>
        </w:tabs>
        <w:spacing w:line="161" w:lineRule="exact"/>
        <w:rPr>
          <w:sz w:val="14"/>
        </w:rPr>
      </w:pPr>
      <w:r>
        <w:rPr>
          <w:color w:val="231F20"/>
          <w:sz w:val="14"/>
        </w:rPr>
        <w:t>Оспособљавање ученика за самостално, критичко размишљање и формирање ставова о друштвеним</w:t>
      </w:r>
      <w:r>
        <w:rPr>
          <w:color w:val="231F20"/>
          <w:spacing w:val="-8"/>
          <w:sz w:val="14"/>
        </w:rPr>
        <w:t xml:space="preserve"> </w:t>
      </w:r>
      <w:r>
        <w:rPr>
          <w:color w:val="231F20"/>
          <w:sz w:val="14"/>
        </w:rPr>
        <w:t>проблемима.</w:t>
      </w:r>
    </w:p>
    <w:p w:rsidR="00041039" w:rsidRDefault="001B26CB">
      <w:pPr>
        <w:tabs>
          <w:tab w:val="left" w:pos="1460"/>
        </w:tabs>
        <w:spacing w:before="49"/>
        <w:ind w:left="15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64</w:t>
      </w:r>
      <w:r>
        <w:rPr>
          <w:b/>
          <w:color w:val="231F20"/>
          <w:spacing w:val="-2"/>
          <w:sz w:val="14"/>
        </w:rPr>
        <w:t xml:space="preserve"> </w:t>
      </w:r>
      <w:r>
        <w:rPr>
          <w:b/>
          <w:color w:val="231F20"/>
          <w:sz w:val="14"/>
        </w:rPr>
        <w:t>часа</w:t>
      </w:r>
    </w:p>
    <w:p w:rsidR="00041039" w:rsidRDefault="001B26CB">
      <w:pPr>
        <w:tabs>
          <w:tab w:val="left" w:pos="1460"/>
        </w:tabs>
        <w:spacing w:before="49"/>
        <w:ind w:left="157"/>
        <w:rPr>
          <w:b/>
          <w:sz w:val="14"/>
        </w:rPr>
      </w:pPr>
      <w:r>
        <w:rPr>
          <w:color w:val="231F20"/>
          <w:sz w:val="14"/>
        </w:rPr>
        <w:t>Разред:</w:t>
      </w:r>
      <w:r>
        <w:rPr>
          <w:color w:val="231F20"/>
          <w:sz w:val="14"/>
        </w:rPr>
        <w:tab/>
      </w:r>
      <w:r>
        <w:rPr>
          <w:b/>
          <w:color w:val="231F20"/>
          <w:sz w:val="14"/>
        </w:rPr>
        <w:t>трећи или</w:t>
      </w:r>
      <w:r>
        <w:rPr>
          <w:b/>
          <w:color w:val="231F20"/>
          <w:spacing w:val="-2"/>
          <w:sz w:val="14"/>
        </w:rPr>
        <w:t xml:space="preserve"> </w:t>
      </w:r>
      <w:r>
        <w:rPr>
          <w:b/>
          <w:color w:val="231F20"/>
          <w:sz w:val="14"/>
        </w:rPr>
        <w:t>четврти</w:t>
      </w:r>
    </w:p>
    <w:p w:rsidR="00041039" w:rsidRDefault="00041039">
      <w:pPr>
        <w:pStyle w:val="BodyText"/>
        <w:spacing w:before="8"/>
        <w:rPr>
          <w:b/>
          <w:sz w:val="2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518"/>
        </w:trPr>
        <w:tc>
          <w:tcPr>
            <w:tcW w:w="1304" w:type="dxa"/>
            <w:shd w:val="clear" w:color="auto" w:fill="E6E7E8"/>
          </w:tcPr>
          <w:p w:rsidR="00041039" w:rsidRDefault="00041039">
            <w:pPr>
              <w:pStyle w:val="TableParagraph"/>
              <w:spacing w:before="3"/>
              <w:ind w:left="0"/>
              <w:rPr>
                <w:b/>
                <w:sz w:val="15"/>
              </w:rPr>
            </w:pPr>
          </w:p>
          <w:p w:rsidR="00041039" w:rsidRDefault="001B26CB">
            <w:pPr>
              <w:pStyle w:val="TableParagraph"/>
              <w:ind w:left="0" w:right="430"/>
              <w:jc w:val="right"/>
              <w:rPr>
                <w:b/>
                <w:sz w:val="14"/>
              </w:rPr>
            </w:pPr>
            <w:r>
              <w:rPr>
                <w:b/>
                <w:color w:val="231F20"/>
                <w:sz w:val="14"/>
              </w:rPr>
              <w:t>ТЕМА</w:t>
            </w:r>
          </w:p>
        </w:tc>
        <w:tc>
          <w:tcPr>
            <w:tcW w:w="1587" w:type="dxa"/>
            <w:shd w:val="clear" w:color="auto" w:fill="E6E7E8"/>
          </w:tcPr>
          <w:p w:rsidR="00041039" w:rsidRDefault="00041039">
            <w:pPr>
              <w:pStyle w:val="TableParagraph"/>
              <w:spacing w:before="3"/>
              <w:ind w:left="0"/>
              <w:rPr>
                <w:b/>
                <w:sz w:val="15"/>
              </w:rPr>
            </w:pPr>
          </w:p>
          <w:p w:rsidR="00041039" w:rsidRDefault="001B26CB">
            <w:pPr>
              <w:pStyle w:val="TableParagraph"/>
              <w:ind w:left="594" w:right="584"/>
              <w:jc w:val="center"/>
              <w:rPr>
                <w:b/>
                <w:sz w:val="14"/>
              </w:rPr>
            </w:pPr>
            <w:r>
              <w:rPr>
                <w:b/>
                <w:color w:val="231F20"/>
                <w:sz w:val="14"/>
              </w:rPr>
              <w:t>ЦИЉ</w:t>
            </w:r>
          </w:p>
        </w:tc>
        <w:tc>
          <w:tcPr>
            <w:tcW w:w="2551" w:type="dxa"/>
            <w:shd w:val="clear" w:color="auto" w:fill="E6E7E8"/>
          </w:tcPr>
          <w:p w:rsidR="00041039" w:rsidRDefault="001B26CB">
            <w:pPr>
              <w:pStyle w:val="TableParagraph"/>
              <w:spacing w:before="15" w:line="161" w:lineRule="exact"/>
              <w:ind w:left="182" w:right="172"/>
              <w:jc w:val="center"/>
              <w:rPr>
                <w:b/>
                <w:sz w:val="14"/>
              </w:rPr>
            </w:pPr>
            <w:r>
              <w:rPr>
                <w:b/>
                <w:color w:val="231F20"/>
                <w:sz w:val="14"/>
              </w:rPr>
              <w:t>ИСХОДИ</w:t>
            </w:r>
          </w:p>
          <w:p w:rsidR="00041039" w:rsidRDefault="001B26CB">
            <w:pPr>
              <w:pStyle w:val="TableParagraph"/>
              <w:ind w:left="185" w:right="172"/>
              <w:jc w:val="center"/>
              <w:rPr>
                <w:sz w:val="14"/>
              </w:rPr>
            </w:pPr>
            <w:r>
              <w:rPr>
                <w:color w:val="231F20"/>
                <w:sz w:val="14"/>
              </w:rPr>
              <w:t>По завршетку теме ученик ће бити у стању да:</w:t>
            </w:r>
          </w:p>
        </w:tc>
        <w:tc>
          <w:tcPr>
            <w:tcW w:w="2834" w:type="dxa"/>
            <w:shd w:val="clear" w:color="auto" w:fill="E6E7E8"/>
          </w:tcPr>
          <w:p w:rsidR="00041039" w:rsidRDefault="001B26CB">
            <w:pPr>
              <w:pStyle w:val="TableParagraph"/>
              <w:spacing w:before="96"/>
              <w:ind w:left="1091" w:hanging="765"/>
              <w:rPr>
                <w:b/>
                <w:sz w:val="14"/>
              </w:rPr>
            </w:pPr>
            <w:r>
              <w:rPr>
                <w:b/>
                <w:color w:val="231F20"/>
                <w:sz w:val="14"/>
              </w:rPr>
              <w:t>ПРЕПОРУЧЕНИ САДРЖАЈИ ПО ТЕМАМА</w:t>
            </w:r>
          </w:p>
        </w:tc>
        <w:tc>
          <w:tcPr>
            <w:tcW w:w="2267" w:type="dxa"/>
            <w:shd w:val="clear" w:color="auto" w:fill="E6E7E8"/>
          </w:tcPr>
          <w:p w:rsidR="00041039" w:rsidRDefault="001B26CB">
            <w:pPr>
              <w:pStyle w:val="TableParagraph"/>
              <w:spacing w:before="96"/>
              <w:ind w:left="738" w:hanging="432"/>
              <w:rPr>
                <w:b/>
                <w:sz w:val="14"/>
              </w:rPr>
            </w:pPr>
            <w:r>
              <w:rPr>
                <w:b/>
                <w:color w:val="231F20"/>
                <w:sz w:val="14"/>
              </w:rPr>
              <w:t>НАЧИН ОСТВАРИВАЊА ПРОГРАМА</w:t>
            </w:r>
          </w:p>
        </w:tc>
      </w:tr>
      <w:tr w:rsidR="00041039">
        <w:trPr>
          <w:trHeight w:val="5320"/>
        </w:trPr>
        <w:tc>
          <w:tcPr>
            <w:tcW w:w="1304" w:type="dxa"/>
          </w:tcPr>
          <w:p w:rsidR="00041039" w:rsidRDefault="001B26CB">
            <w:pPr>
              <w:pStyle w:val="TableParagraph"/>
              <w:spacing w:before="18"/>
              <w:ind w:left="0" w:right="401"/>
              <w:jc w:val="right"/>
              <w:rPr>
                <w:sz w:val="14"/>
              </w:rPr>
            </w:pPr>
            <w:r>
              <w:rPr>
                <w:color w:val="231F20"/>
                <w:sz w:val="14"/>
              </w:rPr>
              <w:t>Увод у логику</w:t>
            </w:r>
          </w:p>
        </w:tc>
        <w:tc>
          <w:tcPr>
            <w:tcW w:w="1587" w:type="dxa"/>
          </w:tcPr>
          <w:p w:rsidR="00041039" w:rsidRDefault="001B26CB">
            <w:pPr>
              <w:pStyle w:val="TableParagraph"/>
              <w:numPr>
                <w:ilvl w:val="0"/>
                <w:numId w:val="23"/>
              </w:numPr>
              <w:tabs>
                <w:tab w:val="left" w:pos="157"/>
              </w:tabs>
              <w:spacing w:before="8"/>
              <w:ind w:right="287"/>
              <w:rPr>
                <w:sz w:val="14"/>
              </w:rPr>
            </w:pPr>
            <w:r>
              <w:rPr>
                <w:color w:val="231F20"/>
                <w:spacing w:val="-3"/>
                <w:sz w:val="14"/>
              </w:rPr>
              <w:t xml:space="preserve">Увођење </w:t>
            </w:r>
            <w:r>
              <w:rPr>
                <w:color w:val="231F20"/>
                <w:sz w:val="14"/>
              </w:rPr>
              <w:t>ученика у предмет</w:t>
            </w:r>
            <w:r>
              <w:rPr>
                <w:color w:val="231F20"/>
                <w:spacing w:val="-2"/>
                <w:sz w:val="14"/>
              </w:rPr>
              <w:t xml:space="preserve"> </w:t>
            </w:r>
            <w:r>
              <w:rPr>
                <w:color w:val="231F20"/>
                <w:sz w:val="14"/>
              </w:rPr>
              <w:t>логике.</w:t>
            </w:r>
          </w:p>
        </w:tc>
        <w:tc>
          <w:tcPr>
            <w:tcW w:w="2551" w:type="dxa"/>
          </w:tcPr>
          <w:p w:rsidR="00041039" w:rsidRDefault="001B26CB">
            <w:pPr>
              <w:pStyle w:val="TableParagraph"/>
              <w:numPr>
                <w:ilvl w:val="0"/>
                <w:numId w:val="22"/>
              </w:numPr>
              <w:tabs>
                <w:tab w:val="left" w:pos="157"/>
              </w:tabs>
              <w:spacing w:before="8"/>
              <w:ind w:right="60" w:hanging="99"/>
              <w:rPr>
                <w:sz w:val="14"/>
              </w:rPr>
            </w:pPr>
            <w:r>
              <w:rPr>
                <w:color w:val="231F20"/>
                <w:sz w:val="14"/>
              </w:rPr>
              <w:t>препозна и сам већ користи логику</w:t>
            </w:r>
            <w:r>
              <w:rPr>
                <w:color w:val="231F20"/>
                <w:spacing w:val="-24"/>
                <w:sz w:val="14"/>
              </w:rPr>
              <w:t xml:space="preserve"> </w:t>
            </w:r>
            <w:r>
              <w:rPr>
                <w:color w:val="231F20"/>
                <w:sz w:val="14"/>
              </w:rPr>
              <w:t>као и</w:t>
            </w:r>
            <w:r>
              <w:rPr>
                <w:color w:val="231F20"/>
                <w:spacing w:val="-2"/>
                <w:sz w:val="14"/>
              </w:rPr>
              <w:t xml:space="preserve"> </w:t>
            </w:r>
            <w:r>
              <w:rPr>
                <w:color w:val="231F20"/>
                <w:sz w:val="14"/>
              </w:rPr>
              <w:t>граматику;</w:t>
            </w:r>
          </w:p>
          <w:p w:rsidR="00041039" w:rsidRDefault="001B26CB">
            <w:pPr>
              <w:pStyle w:val="TableParagraph"/>
              <w:numPr>
                <w:ilvl w:val="0"/>
                <w:numId w:val="22"/>
              </w:numPr>
              <w:tabs>
                <w:tab w:val="left" w:pos="157"/>
              </w:tabs>
              <w:spacing w:line="160" w:lineRule="exact"/>
              <w:ind w:right="52" w:hanging="99"/>
              <w:rPr>
                <w:sz w:val="14"/>
              </w:rPr>
            </w:pPr>
            <w:r>
              <w:rPr>
                <w:color w:val="231F20"/>
                <w:sz w:val="14"/>
              </w:rPr>
              <w:t xml:space="preserve">разликује мишљење </w:t>
            </w:r>
            <w:r>
              <w:rPr>
                <w:color w:val="231F20"/>
                <w:spacing w:val="-3"/>
                <w:sz w:val="14"/>
              </w:rPr>
              <w:t xml:space="preserve">од </w:t>
            </w:r>
            <w:r>
              <w:rPr>
                <w:color w:val="231F20"/>
                <w:sz w:val="14"/>
              </w:rPr>
              <w:t>маште, надања, опажања и наводи примере из свако­ дневног</w:t>
            </w:r>
            <w:r>
              <w:rPr>
                <w:color w:val="231F20"/>
                <w:spacing w:val="-1"/>
                <w:sz w:val="14"/>
              </w:rPr>
              <w:t xml:space="preserve"> </w:t>
            </w:r>
            <w:r>
              <w:rPr>
                <w:color w:val="231F20"/>
                <w:sz w:val="14"/>
              </w:rPr>
              <w:t>живота;</w:t>
            </w:r>
          </w:p>
          <w:p w:rsidR="00041039" w:rsidRDefault="001B26CB">
            <w:pPr>
              <w:pStyle w:val="TableParagraph"/>
              <w:numPr>
                <w:ilvl w:val="0"/>
                <w:numId w:val="22"/>
              </w:numPr>
              <w:tabs>
                <w:tab w:val="left" w:pos="157"/>
              </w:tabs>
              <w:spacing w:line="160" w:lineRule="exact"/>
              <w:ind w:right="198" w:hanging="99"/>
              <w:rPr>
                <w:sz w:val="14"/>
              </w:rPr>
            </w:pPr>
            <w:r>
              <w:rPr>
                <w:color w:val="231F20"/>
                <w:sz w:val="14"/>
              </w:rPr>
              <w:t>искаже дефиницију логике, разуме</w:t>
            </w:r>
            <w:r>
              <w:rPr>
                <w:color w:val="231F20"/>
                <w:spacing w:val="-18"/>
                <w:sz w:val="14"/>
              </w:rPr>
              <w:t xml:space="preserve"> </w:t>
            </w:r>
            <w:r>
              <w:rPr>
                <w:color w:val="231F20"/>
                <w:sz w:val="14"/>
              </w:rPr>
              <w:t>и опише у чему се састоји формални карактер</w:t>
            </w:r>
            <w:r>
              <w:rPr>
                <w:color w:val="231F20"/>
                <w:spacing w:val="-1"/>
                <w:sz w:val="14"/>
              </w:rPr>
              <w:t xml:space="preserve"> </w:t>
            </w:r>
            <w:r>
              <w:rPr>
                <w:color w:val="231F20"/>
                <w:sz w:val="14"/>
              </w:rPr>
              <w:t>логике;</w:t>
            </w:r>
          </w:p>
          <w:p w:rsidR="00041039" w:rsidRDefault="001B26CB">
            <w:pPr>
              <w:pStyle w:val="TableParagraph"/>
              <w:numPr>
                <w:ilvl w:val="0"/>
                <w:numId w:val="22"/>
              </w:numPr>
              <w:tabs>
                <w:tab w:val="left" w:pos="157"/>
              </w:tabs>
              <w:spacing w:line="160" w:lineRule="exact"/>
              <w:ind w:right="88" w:hanging="99"/>
              <w:jc w:val="both"/>
              <w:rPr>
                <w:sz w:val="14"/>
              </w:rPr>
            </w:pPr>
            <w:r>
              <w:rPr>
                <w:color w:val="231F20"/>
                <w:sz w:val="14"/>
              </w:rPr>
              <w:t>разликује принципе мишљења, навед</w:t>
            </w:r>
            <w:r>
              <w:rPr>
                <w:color w:val="231F20"/>
                <w:sz w:val="14"/>
              </w:rPr>
              <w:t>е примере за основне логичке принципе и симболички их</w:t>
            </w:r>
            <w:r>
              <w:rPr>
                <w:color w:val="231F20"/>
                <w:spacing w:val="-6"/>
                <w:sz w:val="14"/>
              </w:rPr>
              <w:t xml:space="preserve"> </w:t>
            </w:r>
            <w:r>
              <w:rPr>
                <w:color w:val="231F20"/>
                <w:sz w:val="14"/>
              </w:rPr>
              <w:t>приказује;</w:t>
            </w:r>
          </w:p>
        </w:tc>
        <w:tc>
          <w:tcPr>
            <w:tcW w:w="2834" w:type="dxa"/>
          </w:tcPr>
          <w:p w:rsidR="00041039" w:rsidRDefault="001B26CB">
            <w:pPr>
              <w:pStyle w:val="TableParagraph"/>
              <w:numPr>
                <w:ilvl w:val="0"/>
                <w:numId w:val="21"/>
              </w:numPr>
              <w:tabs>
                <w:tab w:val="left" w:pos="157"/>
              </w:tabs>
              <w:spacing w:before="8" w:line="166" w:lineRule="exact"/>
              <w:ind w:hanging="99"/>
              <w:rPr>
                <w:sz w:val="14"/>
              </w:rPr>
            </w:pPr>
            <w:r>
              <w:rPr>
                <w:color w:val="231F20"/>
                <w:sz w:val="14"/>
              </w:rPr>
              <w:t>Појам и подела</w:t>
            </w:r>
            <w:r>
              <w:rPr>
                <w:color w:val="231F20"/>
                <w:spacing w:val="-4"/>
                <w:sz w:val="14"/>
              </w:rPr>
              <w:t xml:space="preserve"> </w:t>
            </w:r>
            <w:r>
              <w:rPr>
                <w:color w:val="231F20"/>
                <w:sz w:val="14"/>
              </w:rPr>
              <w:t>логике.</w:t>
            </w:r>
          </w:p>
          <w:p w:rsidR="00041039" w:rsidRDefault="001B26CB">
            <w:pPr>
              <w:pStyle w:val="TableParagraph"/>
              <w:numPr>
                <w:ilvl w:val="0"/>
                <w:numId w:val="21"/>
              </w:numPr>
              <w:tabs>
                <w:tab w:val="left" w:pos="157"/>
              </w:tabs>
              <w:spacing w:line="160" w:lineRule="exact"/>
              <w:ind w:hanging="99"/>
              <w:rPr>
                <w:sz w:val="14"/>
              </w:rPr>
            </w:pPr>
            <w:r>
              <w:rPr>
                <w:color w:val="231F20"/>
                <w:sz w:val="14"/>
              </w:rPr>
              <w:t xml:space="preserve">Логика као </w:t>
            </w:r>
            <w:r>
              <w:rPr>
                <w:color w:val="231F20"/>
                <w:spacing w:val="-3"/>
                <w:sz w:val="14"/>
              </w:rPr>
              <w:t xml:space="preserve">наука </w:t>
            </w:r>
            <w:r>
              <w:rPr>
                <w:color w:val="231F20"/>
                <w:sz w:val="14"/>
              </w:rPr>
              <w:t>о форми мишљења.</w:t>
            </w:r>
          </w:p>
          <w:p w:rsidR="00041039" w:rsidRDefault="001B26CB">
            <w:pPr>
              <w:pStyle w:val="TableParagraph"/>
              <w:numPr>
                <w:ilvl w:val="0"/>
                <w:numId w:val="21"/>
              </w:numPr>
              <w:tabs>
                <w:tab w:val="left" w:pos="157"/>
              </w:tabs>
              <w:spacing w:line="237" w:lineRule="auto"/>
              <w:ind w:right="62" w:hanging="99"/>
              <w:rPr>
                <w:sz w:val="14"/>
              </w:rPr>
            </w:pPr>
            <w:r>
              <w:rPr>
                <w:color w:val="231F20"/>
                <w:sz w:val="14"/>
              </w:rPr>
              <w:t>Основни</w:t>
            </w:r>
            <w:r>
              <w:rPr>
                <w:color w:val="231F20"/>
                <w:spacing w:val="-8"/>
                <w:sz w:val="14"/>
              </w:rPr>
              <w:t xml:space="preserve"> </w:t>
            </w:r>
            <w:r>
              <w:rPr>
                <w:color w:val="231F20"/>
                <w:sz w:val="14"/>
              </w:rPr>
              <w:t>логички</w:t>
            </w:r>
            <w:r>
              <w:rPr>
                <w:color w:val="231F20"/>
                <w:spacing w:val="-8"/>
                <w:sz w:val="14"/>
              </w:rPr>
              <w:t xml:space="preserve"> </w:t>
            </w:r>
            <w:r>
              <w:rPr>
                <w:color w:val="231F20"/>
                <w:sz w:val="14"/>
              </w:rPr>
              <w:t>принципи</w:t>
            </w:r>
            <w:r>
              <w:rPr>
                <w:color w:val="231F20"/>
                <w:spacing w:val="-8"/>
                <w:sz w:val="14"/>
              </w:rPr>
              <w:t xml:space="preserve"> </w:t>
            </w:r>
            <w:r>
              <w:rPr>
                <w:color w:val="231F20"/>
                <w:sz w:val="14"/>
              </w:rPr>
              <w:t>(идентитет,</w:t>
            </w:r>
            <w:r>
              <w:rPr>
                <w:color w:val="231F20"/>
                <w:spacing w:val="-7"/>
                <w:sz w:val="14"/>
              </w:rPr>
              <w:t xml:space="preserve"> </w:t>
            </w:r>
            <w:r>
              <w:rPr>
                <w:color w:val="231F20"/>
                <w:sz w:val="14"/>
              </w:rPr>
              <w:t>не­ противуречност и искључење</w:t>
            </w:r>
            <w:r>
              <w:rPr>
                <w:color w:val="231F20"/>
                <w:spacing w:val="-6"/>
                <w:sz w:val="14"/>
              </w:rPr>
              <w:t xml:space="preserve"> </w:t>
            </w:r>
            <w:r>
              <w:rPr>
                <w:color w:val="231F20"/>
                <w:sz w:val="14"/>
              </w:rPr>
              <w:t>трећег)</w:t>
            </w:r>
          </w:p>
        </w:tc>
        <w:tc>
          <w:tcPr>
            <w:tcW w:w="2267" w:type="dxa"/>
          </w:tcPr>
          <w:p w:rsidR="00041039" w:rsidRDefault="001B26CB">
            <w:pPr>
              <w:pStyle w:val="TableParagraph"/>
              <w:numPr>
                <w:ilvl w:val="0"/>
                <w:numId w:val="20"/>
              </w:numPr>
              <w:tabs>
                <w:tab w:val="left" w:pos="158"/>
              </w:tabs>
              <w:spacing w:before="8"/>
              <w:ind w:right="50" w:hanging="99"/>
              <w:rPr>
                <w:sz w:val="14"/>
              </w:rPr>
            </w:pPr>
            <w:r>
              <w:rPr>
                <w:color w:val="231F20"/>
                <w:sz w:val="14"/>
              </w:rPr>
              <w:t>На почетку теме ученике упознати са циљевима и</w:t>
            </w:r>
            <w:r>
              <w:rPr>
                <w:color w:val="231F20"/>
                <w:spacing w:val="-25"/>
                <w:sz w:val="14"/>
              </w:rPr>
              <w:t xml:space="preserve"> </w:t>
            </w:r>
            <w:r>
              <w:rPr>
                <w:color w:val="231F20"/>
                <w:sz w:val="14"/>
              </w:rPr>
              <w:t>исходима наставе односно учења, планом рада и начинима</w:t>
            </w:r>
            <w:r>
              <w:rPr>
                <w:color w:val="231F20"/>
                <w:spacing w:val="-4"/>
                <w:sz w:val="14"/>
              </w:rPr>
              <w:t xml:space="preserve"> </w:t>
            </w:r>
            <w:r>
              <w:rPr>
                <w:color w:val="231F20"/>
                <w:sz w:val="14"/>
              </w:rPr>
              <w:t>оцењивања.</w:t>
            </w:r>
          </w:p>
          <w:p w:rsidR="00041039" w:rsidRDefault="00041039">
            <w:pPr>
              <w:pStyle w:val="TableParagraph"/>
              <w:spacing w:before="6"/>
              <w:ind w:left="0"/>
              <w:rPr>
                <w:b/>
                <w:sz w:val="13"/>
              </w:rPr>
            </w:pPr>
          </w:p>
          <w:p w:rsidR="00041039" w:rsidRDefault="001B26CB">
            <w:pPr>
              <w:pStyle w:val="TableParagraph"/>
              <w:spacing w:line="161" w:lineRule="exact"/>
              <w:ind w:left="58"/>
              <w:rPr>
                <w:b/>
                <w:sz w:val="14"/>
              </w:rPr>
            </w:pPr>
            <w:r>
              <w:rPr>
                <w:b/>
                <w:color w:val="231F20"/>
                <w:sz w:val="14"/>
              </w:rPr>
              <w:t>Облици наставе</w:t>
            </w:r>
          </w:p>
          <w:p w:rsidR="00041039" w:rsidRDefault="001B26CB">
            <w:pPr>
              <w:pStyle w:val="TableParagraph"/>
              <w:ind w:left="58" w:right="109"/>
              <w:rPr>
                <w:sz w:val="14"/>
              </w:rPr>
            </w:pPr>
            <w:r>
              <w:rPr>
                <w:color w:val="231F20"/>
                <w:sz w:val="14"/>
              </w:rPr>
              <w:t>Предмет се реализује кроз следеће облике наставе:</w:t>
            </w:r>
          </w:p>
          <w:p w:rsidR="00041039" w:rsidRDefault="001B26CB">
            <w:pPr>
              <w:pStyle w:val="TableParagraph"/>
              <w:numPr>
                <w:ilvl w:val="0"/>
                <w:numId w:val="20"/>
              </w:numPr>
              <w:tabs>
                <w:tab w:val="left" w:pos="158"/>
              </w:tabs>
              <w:spacing w:line="160" w:lineRule="exact"/>
              <w:ind w:right="373" w:hanging="99"/>
              <w:rPr>
                <w:b/>
                <w:sz w:val="14"/>
              </w:rPr>
            </w:pPr>
            <w:r>
              <w:rPr>
                <w:color w:val="231F20"/>
                <w:sz w:val="14"/>
              </w:rPr>
              <w:t xml:space="preserve">теоријска настава </w:t>
            </w:r>
            <w:r>
              <w:rPr>
                <w:b/>
                <w:color w:val="231F20"/>
                <w:sz w:val="14"/>
              </w:rPr>
              <w:t>(70 или</w:t>
            </w:r>
            <w:r>
              <w:rPr>
                <w:b/>
                <w:color w:val="231F20"/>
                <w:spacing w:val="-10"/>
                <w:sz w:val="14"/>
              </w:rPr>
              <w:t xml:space="preserve"> </w:t>
            </w:r>
            <w:r>
              <w:rPr>
                <w:b/>
                <w:color w:val="231F20"/>
                <w:sz w:val="14"/>
              </w:rPr>
              <w:t>64 часа)</w:t>
            </w:r>
          </w:p>
          <w:p w:rsidR="00041039" w:rsidRDefault="00041039">
            <w:pPr>
              <w:pStyle w:val="TableParagraph"/>
              <w:spacing w:before="8"/>
              <w:ind w:left="0"/>
              <w:rPr>
                <w:b/>
                <w:sz w:val="13"/>
              </w:rPr>
            </w:pPr>
          </w:p>
          <w:p w:rsidR="00041039" w:rsidRDefault="001B26CB">
            <w:pPr>
              <w:pStyle w:val="TableParagraph"/>
              <w:spacing w:line="161" w:lineRule="exact"/>
              <w:ind w:left="58"/>
              <w:rPr>
                <w:b/>
                <w:sz w:val="14"/>
              </w:rPr>
            </w:pPr>
            <w:r>
              <w:rPr>
                <w:b/>
                <w:color w:val="231F20"/>
                <w:sz w:val="14"/>
              </w:rPr>
              <w:t>Подела одељења на групе</w:t>
            </w:r>
          </w:p>
          <w:p w:rsidR="00041039" w:rsidRDefault="001B26CB">
            <w:pPr>
              <w:pStyle w:val="TableParagraph"/>
              <w:spacing w:line="161" w:lineRule="exact"/>
              <w:ind w:left="58"/>
              <w:rPr>
                <w:sz w:val="14"/>
              </w:rPr>
            </w:pPr>
            <w:r>
              <w:rPr>
                <w:color w:val="231F20"/>
                <w:sz w:val="14"/>
              </w:rPr>
              <w:t>Одељење се не дели на групе.</w:t>
            </w:r>
          </w:p>
          <w:p w:rsidR="00041039" w:rsidRDefault="00041039">
            <w:pPr>
              <w:pStyle w:val="TableParagraph"/>
              <w:spacing w:before="10"/>
              <w:ind w:left="0"/>
              <w:rPr>
                <w:b/>
                <w:sz w:val="13"/>
              </w:rPr>
            </w:pPr>
          </w:p>
          <w:p w:rsidR="00041039" w:rsidRDefault="001B26CB">
            <w:pPr>
              <w:pStyle w:val="TableParagraph"/>
              <w:spacing w:line="161" w:lineRule="exact"/>
              <w:ind w:left="58"/>
              <w:rPr>
                <w:b/>
                <w:sz w:val="14"/>
              </w:rPr>
            </w:pPr>
            <w:r>
              <w:rPr>
                <w:b/>
                <w:color w:val="231F20"/>
                <w:sz w:val="14"/>
              </w:rPr>
              <w:t>Место реализације наставе</w:t>
            </w:r>
          </w:p>
          <w:p w:rsidR="00041039" w:rsidRDefault="001B26CB">
            <w:pPr>
              <w:pStyle w:val="TableParagraph"/>
              <w:spacing w:line="155" w:lineRule="exact"/>
              <w:ind w:left="58"/>
              <w:rPr>
                <w:sz w:val="14"/>
              </w:rPr>
            </w:pPr>
            <w:r>
              <w:rPr>
                <w:color w:val="231F20"/>
                <w:sz w:val="14"/>
              </w:rPr>
              <w:t>Теоријска настава се реализује у:</w:t>
            </w:r>
          </w:p>
          <w:p w:rsidR="00041039" w:rsidRDefault="001B26CB">
            <w:pPr>
              <w:pStyle w:val="TableParagraph"/>
              <w:numPr>
                <w:ilvl w:val="0"/>
                <w:numId w:val="20"/>
              </w:numPr>
              <w:tabs>
                <w:tab w:val="left" w:pos="158"/>
              </w:tabs>
              <w:spacing w:line="166" w:lineRule="exact"/>
              <w:ind w:hanging="99"/>
              <w:rPr>
                <w:sz w:val="14"/>
              </w:rPr>
            </w:pPr>
            <w:r>
              <w:rPr>
                <w:color w:val="231F20"/>
                <w:sz w:val="14"/>
              </w:rPr>
              <w:t>учионици</w:t>
            </w:r>
          </w:p>
          <w:p w:rsidR="00041039" w:rsidRDefault="00041039">
            <w:pPr>
              <w:pStyle w:val="TableParagraph"/>
              <w:spacing w:before="9"/>
              <w:ind w:left="0"/>
              <w:rPr>
                <w:b/>
                <w:sz w:val="13"/>
              </w:rPr>
            </w:pPr>
          </w:p>
          <w:p w:rsidR="00041039" w:rsidRDefault="001B26CB">
            <w:pPr>
              <w:pStyle w:val="TableParagraph"/>
              <w:ind w:left="58"/>
              <w:rPr>
                <w:b/>
                <w:sz w:val="14"/>
              </w:rPr>
            </w:pPr>
            <w:r>
              <w:rPr>
                <w:b/>
                <w:color w:val="231F20"/>
                <w:sz w:val="14"/>
              </w:rPr>
              <w:t>Препоруке за реализацију садр- жаја програма</w:t>
            </w:r>
          </w:p>
          <w:p w:rsidR="00041039" w:rsidRDefault="001B26CB">
            <w:pPr>
              <w:pStyle w:val="TableParagraph"/>
              <w:numPr>
                <w:ilvl w:val="0"/>
                <w:numId w:val="20"/>
              </w:numPr>
              <w:tabs>
                <w:tab w:val="left" w:pos="158"/>
              </w:tabs>
              <w:spacing w:before="1" w:line="160" w:lineRule="exact"/>
              <w:ind w:right="140" w:hanging="99"/>
              <w:rPr>
                <w:sz w:val="14"/>
              </w:rPr>
            </w:pPr>
            <w:r>
              <w:rPr>
                <w:color w:val="231F20"/>
                <w:sz w:val="14"/>
              </w:rPr>
              <w:t>дијалог са ученицима, самостал­ ни рад, организовање</w:t>
            </w:r>
            <w:r>
              <w:rPr>
                <w:color w:val="231F20"/>
                <w:spacing w:val="-4"/>
                <w:sz w:val="14"/>
              </w:rPr>
              <w:t xml:space="preserve"> </w:t>
            </w:r>
            <w:r>
              <w:rPr>
                <w:color w:val="231F20"/>
                <w:sz w:val="14"/>
              </w:rPr>
              <w:t>дебате;</w:t>
            </w:r>
          </w:p>
          <w:p w:rsidR="00041039" w:rsidRDefault="001B26CB">
            <w:pPr>
              <w:pStyle w:val="TableParagraph"/>
              <w:numPr>
                <w:ilvl w:val="0"/>
                <w:numId w:val="20"/>
              </w:numPr>
              <w:tabs>
                <w:tab w:val="left" w:pos="158"/>
              </w:tabs>
              <w:spacing w:line="160" w:lineRule="exact"/>
              <w:ind w:right="224" w:hanging="99"/>
              <w:rPr>
                <w:sz w:val="14"/>
              </w:rPr>
            </w:pPr>
            <w:r>
              <w:rPr>
                <w:color w:val="231F20"/>
                <w:sz w:val="14"/>
              </w:rPr>
              <w:t>користити актуелне примере</w:t>
            </w:r>
            <w:r>
              <w:rPr>
                <w:color w:val="231F20"/>
                <w:spacing w:val="-21"/>
                <w:sz w:val="14"/>
              </w:rPr>
              <w:t xml:space="preserve"> </w:t>
            </w:r>
            <w:r>
              <w:rPr>
                <w:color w:val="231F20"/>
                <w:sz w:val="14"/>
              </w:rPr>
              <w:t>из штампе и других</w:t>
            </w:r>
            <w:r>
              <w:rPr>
                <w:color w:val="231F20"/>
                <w:spacing w:val="-2"/>
                <w:sz w:val="14"/>
              </w:rPr>
              <w:t xml:space="preserve"> </w:t>
            </w:r>
            <w:r>
              <w:rPr>
                <w:color w:val="231F20"/>
                <w:sz w:val="14"/>
              </w:rPr>
              <w:t>медија;</w:t>
            </w:r>
          </w:p>
          <w:p w:rsidR="00041039" w:rsidRDefault="001B26CB">
            <w:pPr>
              <w:pStyle w:val="TableParagraph"/>
              <w:numPr>
                <w:ilvl w:val="0"/>
                <w:numId w:val="20"/>
              </w:numPr>
              <w:tabs>
                <w:tab w:val="left" w:pos="158"/>
              </w:tabs>
              <w:spacing w:line="160" w:lineRule="exact"/>
              <w:ind w:right="389" w:hanging="99"/>
              <w:rPr>
                <w:sz w:val="14"/>
              </w:rPr>
            </w:pPr>
            <w:r>
              <w:rPr>
                <w:color w:val="231F20"/>
                <w:sz w:val="14"/>
              </w:rPr>
              <w:t>користити актуелне</w:t>
            </w:r>
            <w:r>
              <w:rPr>
                <w:color w:val="231F20"/>
                <w:spacing w:val="-18"/>
                <w:sz w:val="14"/>
              </w:rPr>
              <w:t xml:space="preserve"> </w:t>
            </w:r>
            <w:r>
              <w:rPr>
                <w:color w:val="231F20"/>
                <w:sz w:val="14"/>
              </w:rPr>
              <w:t>примере везане за струку</w:t>
            </w:r>
            <w:r>
              <w:rPr>
                <w:color w:val="231F20"/>
                <w:spacing w:val="-6"/>
                <w:sz w:val="14"/>
              </w:rPr>
              <w:t xml:space="preserve"> </w:t>
            </w:r>
            <w:r>
              <w:rPr>
                <w:color w:val="231F20"/>
                <w:sz w:val="14"/>
              </w:rPr>
              <w:t>ученика;</w:t>
            </w:r>
          </w:p>
          <w:p w:rsidR="00041039" w:rsidRDefault="00041039">
            <w:pPr>
              <w:pStyle w:val="TableParagraph"/>
              <w:spacing w:before="7"/>
              <w:ind w:left="0"/>
              <w:rPr>
                <w:b/>
                <w:sz w:val="13"/>
              </w:rPr>
            </w:pPr>
          </w:p>
          <w:p w:rsidR="00041039" w:rsidRDefault="001B26CB">
            <w:pPr>
              <w:pStyle w:val="TableParagraph"/>
              <w:spacing w:before="1" w:line="161" w:lineRule="exact"/>
              <w:ind w:left="58"/>
              <w:rPr>
                <w:b/>
                <w:sz w:val="14"/>
              </w:rPr>
            </w:pPr>
            <w:r>
              <w:rPr>
                <w:b/>
                <w:color w:val="231F20"/>
                <w:sz w:val="14"/>
              </w:rPr>
              <w:t>Оцењивање</w:t>
            </w:r>
          </w:p>
          <w:p w:rsidR="00041039" w:rsidRDefault="001B26CB">
            <w:pPr>
              <w:pStyle w:val="TableParagraph"/>
              <w:ind w:left="58"/>
              <w:rPr>
                <w:sz w:val="14"/>
              </w:rPr>
            </w:pPr>
            <w:r>
              <w:rPr>
                <w:color w:val="231F20"/>
                <w:sz w:val="14"/>
              </w:rPr>
              <w:t>Вредновање остварености исхода вршити кроз:</w:t>
            </w:r>
          </w:p>
          <w:p w:rsidR="00041039" w:rsidRDefault="001B26CB">
            <w:pPr>
              <w:pStyle w:val="TableParagraph"/>
              <w:numPr>
                <w:ilvl w:val="0"/>
                <w:numId w:val="20"/>
              </w:numPr>
              <w:tabs>
                <w:tab w:val="left" w:pos="158"/>
              </w:tabs>
              <w:spacing w:line="160" w:lineRule="exact"/>
              <w:ind w:right="246" w:hanging="99"/>
              <w:rPr>
                <w:sz w:val="14"/>
              </w:rPr>
            </w:pPr>
            <w:r>
              <w:rPr>
                <w:color w:val="231F20"/>
                <w:sz w:val="14"/>
              </w:rPr>
              <w:t>опажања наставника ­</w:t>
            </w:r>
            <w:r>
              <w:rPr>
                <w:color w:val="231F20"/>
                <w:spacing w:val="-12"/>
                <w:sz w:val="14"/>
              </w:rPr>
              <w:t xml:space="preserve"> </w:t>
            </w:r>
            <w:r>
              <w:rPr>
                <w:color w:val="231F20"/>
                <w:sz w:val="14"/>
              </w:rPr>
              <w:t>праћење рада на</w:t>
            </w:r>
            <w:r>
              <w:rPr>
                <w:color w:val="231F20"/>
                <w:spacing w:val="-2"/>
                <w:sz w:val="14"/>
              </w:rPr>
              <w:t xml:space="preserve"> </w:t>
            </w:r>
            <w:r>
              <w:rPr>
                <w:color w:val="231F20"/>
                <w:sz w:val="14"/>
              </w:rPr>
              <w:t>часу</w:t>
            </w:r>
          </w:p>
          <w:p w:rsidR="00041039" w:rsidRDefault="001B26CB">
            <w:pPr>
              <w:pStyle w:val="TableParagraph"/>
              <w:numPr>
                <w:ilvl w:val="0"/>
                <w:numId w:val="20"/>
              </w:numPr>
              <w:tabs>
                <w:tab w:val="left" w:pos="158"/>
              </w:tabs>
              <w:spacing w:line="159" w:lineRule="exact"/>
              <w:ind w:hanging="99"/>
              <w:rPr>
                <w:sz w:val="14"/>
              </w:rPr>
            </w:pPr>
            <w:r>
              <w:rPr>
                <w:color w:val="231F20"/>
                <w:sz w:val="14"/>
              </w:rPr>
              <w:t>питања ­</w:t>
            </w:r>
            <w:r>
              <w:rPr>
                <w:color w:val="231F20"/>
                <w:spacing w:val="-12"/>
                <w:sz w:val="14"/>
              </w:rPr>
              <w:t xml:space="preserve"> </w:t>
            </w:r>
            <w:r>
              <w:rPr>
                <w:color w:val="231F20"/>
                <w:sz w:val="14"/>
              </w:rPr>
              <w:t>одговори</w:t>
            </w:r>
          </w:p>
        </w:tc>
      </w:tr>
    </w:tbl>
    <w:p w:rsidR="00041039" w:rsidRDefault="00041039">
      <w:pPr>
        <w:spacing w:line="159" w:lineRule="exact"/>
        <w:rPr>
          <w:sz w:val="14"/>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7720"/>
        </w:trPr>
        <w:tc>
          <w:tcPr>
            <w:tcW w:w="1304" w:type="dxa"/>
          </w:tcPr>
          <w:p w:rsidR="00041039" w:rsidRDefault="001B26CB">
            <w:pPr>
              <w:pStyle w:val="TableParagraph"/>
              <w:spacing w:before="18"/>
              <w:ind w:left="56" w:right="154"/>
              <w:jc w:val="both"/>
              <w:rPr>
                <w:sz w:val="14"/>
              </w:rPr>
            </w:pPr>
            <w:r>
              <w:rPr>
                <w:color w:val="231F20"/>
                <w:sz w:val="14"/>
              </w:rPr>
              <w:lastRenderedPageBreak/>
              <w:t>Формална</w:t>
            </w:r>
            <w:r>
              <w:rPr>
                <w:color w:val="231F20"/>
                <w:spacing w:val="-11"/>
                <w:sz w:val="14"/>
              </w:rPr>
              <w:t xml:space="preserve"> </w:t>
            </w:r>
            <w:r>
              <w:rPr>
                <w:color w:val="231F20"/>
                <w:sz w:val="14"/>
              </w:rPr>
              <w:t xml:space="preserve">логика: појам, </w:t>
            </w:r>
            <w:r>
              <w:rPr>
                <w:color w:val="231F20"/>
                <w:spacing w:val="-3"/>
                <w:sz w:val="14"/>
              </w:rPr>
              <w:t xml:space="preserve">суд, </w:t>
            </w:r>
            <w:r>
              <w:rPr>
                <w:color w:val="231F20"/>
                <w:sz w:val="14"/>
              </w:rPr>
              <w:t>закљу­ чак</w:t>
            </w:r>
          </w:p>
        </w:tc>
        <w:tc>
          <w:tcPr>
            <w:tcW w:w="1587" w:type="dxa"/>
          </w:tcPr>
          <w:p w:rsidR="00041039" w:rsidRDefault="001B26CB">
            <w:pPr>
              <w:pStyle w:val="TableParagraph"/>
              <w:numPr>
                <w:ilvl w:val="0"/>
                <w:numId w:val="19"/>
              </w:numPr>
              <w:tabs>
                <w:tab w:val="left" w:pos="157"/>
              </w:tabs>
              <w:spacing w:before="8"/>
              <w:ind w:right="50"/>
              <w:rPr>
                <w:sz w:val="14"/>
              </w:rPr>
            </w:pPr>
            <w:r>
              <w:rPr>
                <w:color w:val="231F20"/>
                <w:sz w:val="14"/>
              </w:rPr>
              <w:t>Развој сазнања о појму и односима међу појмовима.</w:t>
            </w:r>
          </w:p>
          <w:p w:rsidR="00041039" w:rsidRDefault="001B26CB">
            <w:pPr>
              <w:pStyle w:val="TableParagraph"/>
              <w:numPr>
                <w:ilvl w:val="0"/>
                <w:numId w:val="19"/>
              </w:numPr>
              <w:tabs>
                <w:tab w:val="left" w:pos="157"/>
              </w:tabs>
              <w:spacing w:line="157" w:lineRule="exact"/>
              <w:rPr>
                <w:sz w:val="14"/>
              </w:rPr>
            </w:pPr>
            <w:r>
              <w:rPr>
                <w:color w:val="231F20"/>
                <w:sz w:val="14"/>
              </w:rPr>
              <w:t>Упознавање</w:t>
            </w:r>
            <w:r>
              <w:rPr>
                <w:color w:val="231F20"/>
                <w:spacing w:val="-4"/>
                <w:sz w:val="14"/>
              </w:rPr>
              <w:t xml:space="preserve"> </w:t>
            </w:r>
            <w:r>
              <w:rPr>
                <w:color w:val="231F20"/>
                <w:sz w:val="14"/>
              </w:rPr>
              <w:t>ученика</w:t>
            </w:r>
          </w:p>
          <w:p w:rsidR="00041039" w:rsidRDefault="001B26CB">
            <w:pPr>
              <w:pStyle w:val="TableParagraph"/>
              <w:ind w:right="14"/>
              <w:rPr>
                <w:sz w:val="14"/>
              </w:rPr>
            </w:pPr>
            <w:r>
              <w:rPr>
                <w:color w:val="231F20"/>
                <w:sz w:val="14"/>
              </w:rPr>
              <w:t>са структуром суда, врстама судова и одно­ сима између судова.</w:t>
            </w:r>
          </w:p>
          <w:p w:rsidR="00041039" w:rsidRDefault="001B26CB">
            <w:pPr>
              <w:pStyle w:val="TableParagraph"/>
              <w:numPr>
                <w:ilvl w:val="0"/>
                <w:numId w:val="19"/>
              </w:numPr>
              <w:tabs>
                <w:tab w:val="left" w:pos="157"/>
              </w:tabs>
              <w:spacing w:line="158" w:lineRule="exact"/>
              <w:rPr>
                <w:sz w:val="14"/>
              </w:rPr>
            </w:pPr>
            <w:r>
              <w:rPr>
                <w:color w:val="231F20"/>
                <w:sz w:val="14"/>
              </w:rPr>
              <w:t>Оспособљавање</w:t>
            </w:r>
          </w:p>
          <w:p w:rsidR="00041039" w:rsidRDefault="001B26CB">
            <w:pPr>
              <w:pStyle w:val="TableParagraph"/>
              <w:ind w:right="15"/>
              <w:rPr>
                <w:sz w:val="14"/>
              </w:rPr>
            </w:pPr>
            <w:r>
              <w:rPr>
                <w:color w:val="231F20"/>
                <w:sz w:val="14"/>
              </w:rPr>
              <w:t>ученика за логичко закључивање.</w:t>
            </w:r>
          </w:p>
        </w:tc>
        <w:tc>
          <w:tcPr>
            <w:tcW w:w="2551" w:type="dxa"/>
          </w:tcPr>
          <w:p w:rsidR="00041039" w:rsidRDefault="001B26CB">
            <w:pPr>
              <w:pStyle w:val="TableParagraph"/>
              <w:numPr>
                <w:ilvl w:val="0"/>
                <w:numId w:val="18"/>
              </w:numPr>
              <w:tabs>
                <w:tab w:val="left" w:pos="157"/>
              </w:tabs>
              <w:spacing w:before="8"/>
              <w:ind w:right="104" w:hanging="99"/>
              <w:rPr>
                <w:sz w:val="14"/>
              </w:rPr>
            </w:pPr>
            <w:r>
              <w:rPr>
                <w:color w:val="231F20"/>
                <w:sz w:val="14"/>
              </w:rPr>
              <w:t>увиди разлику између појма,</w:t>
            </w:r>
            <w:r>
              <w:rPr>
                <w:color w:val="231F20"/>
                <w:spacing w:val="-13"/>
                <w:sz w:val="14"/>
              </w:rPr>
              <w:t xml:space="preserve"> </w:t>
            </w:r>
            <w:r>
              <w:rPr>
                <w:color w:val="231F20"/>
                <w:sz w:val="14"/>
              </w:rPr>
              <w:t>термина, опажаја, предмета,</w:t>
            </w:r>
            <w:r>
              <w:rPr>
                <w:color w:val="231F20"/>
                <w:spacing w:val="-1"/>
                <w:sz w:val="14"/>
              </w:rPr>
              <w:t xml:space="preserve"> </w:t>
            </w:r>
            <w:r>
              <w:rPr>
                <w:color w:val="231F20"/>
                <w:sz w:val="14"/>
              </w:rPr>
              <w:t>представе;</w:t>
            </w:r>
          </w:p>
          <w:p w:rsidR="00041039" w:rsidRDefault="001B26CB">
            <w:pPr>
              <w:pStyle w:val="TableParagraph"/>
              <w:numPr>
                <w:ilvl w:val="0"/>
                <w:numId w:val="18"/>
              </w:numPr>
              <w:tabs>
                <w:tab w:val="left" w:pos="157"/>
              </w:tabs>
              <w:spacing w:line="160" w:lineRule="exact"/>
              <w:ind w:right="98" w:hanging="99"/>
              <w:rPr>
                <w:sz w:val="14"/>
              </w:rPr>
            </w:pPr>
            <w:r>
              <w:rPr>
                <w:color w:val="231F20"/>
                <w:sz w:val="14"/>
              </w:rPr>
              <w:t>разликује обим и садржај појма, увиђа однос између обима и садржаја, наводи пример за обим и садржај и дефинише обим и садржај</w:t>
            </w:r>
            <w:r>
              <w:rPr>
                <w:color w:val="231F20"/>
                <w:spacing w:val="-2"/>
                <w:sz w:val="14"/>
              </w:rPr>
              <w:t xml:space="preserve"> </w:t>
            </w:r>
            <w:r>
              <w:rPr>
                <w:color w:val="231F20"/>
                <w:sz w:val="14"/>
              </w:rPr>
              <w:t>појма;</w:t>
            </w:r>
          </w:p>
          <w:p w:rsidR="00041039" w:rsidRDefault="001B26CB">
            <w:pPr>
              <w:pStyle w:val="TableParagraph"/>
              <w:numPr>
                <w:ilvl w:val="0"/>
                <w:numId w:val="18"/>
              </w:numPr>
              <w:tabs>
                <w:tab w:val="left" w:pos="157"/>
              </w:tabs>
              <w:spacing w:line="160" w:lineRule="exact"/>
              <w:ind w:right="105" w:hanging="99"/>
              <w:rPr>
                <w:sz w:val="14"/>
              </w:rPr>
            </w:pPr>
            <w:r>
              <w:rPr>
                <w:color w:val="231F20"/>
                <w:sz w:val="14"/>
              </w:rPr>
              <w:t>препознаје и именује појмове,</w:t>
            </w:r>
            <w:r>
              <w:rPr>
                <w:color w:val="231F20"/>
                <w:spacing w:val="-26"/>
                <w:sz w:val="14"/>
              </w:rPr>
              <w:t xml:space="preserve"> </w:t>
            </w:r>
            <w:r>
              <w:rPr>
                <w:color w:val="231F20"/>
                <w:sz w:val="14"/>
              </w:rPr>
              <w:t>набраја их, уочава разлику између појединач­ них и општих</w:t>
            </w:r>
            <w:r>
              <w:rPr>
                <w:color w:val="231F20"/>
                <w:spacing w:val="-3"/>
                <w:sz w:val="14"/>
              </w:rPr>
              <w:t xml:space="preserve"> </w:t>
            </w:r>
            <w:r>
              <w:rPr>
                <w:color w:val="231F20"/>
                <w:sz w:val="14"/>
              </w:rPr>
              <w:t>појмова;</w:t>
            </w:r>
          </w:p>
          <w:p w:rsidR="00041039" w:rsidRDefault="001B26CB">
            <w:pPr>
              <w:pStyle w:val="TableParagraph"/>
              <w:numPr>
                <w:ilvl w:val="0"/>
                <w:numId w:val="18"/>
              </w:numPr>
              <w:tabs>
                <w:tab w:val="left" w:pos="157"/>
              </w:tabs>
              <w:spacing w:line="160" w:lineRule="exact"/>
              <w:ind w:right="275" w:hanging="99"/>
              <w:jc w:val="both"/>
              <w:rPr>
                <w:sz w:val="14"/>
              </w:rPr>
            </w:pPr>
            <w:r>
              <w:rPr>
                <w:color w:val="231F20"/>
                <w:sz w:val="14"/>
              </w:rPr>
              <w:t>препознаје односе међу појмовима и именује их (субординација,</w:t>
            </w:r>
            <w:r>
              <w:rPr>
                <w:color w:val="231F20"/>
                <w:spacing w:val="-22"/>
                <w:sz w:val="14"/>
              </w:rPr>
              <w:t xml:space="preserve"> </w:t>
            </w:r>
            <w:r>
              <w:rPr>
                <w:color w:val="231F20"/>
                <w:sz w:val="14"/>
              </w:rPr>
              <w:t>коор­ динација, контрарност) и</w:t>
            </w:r>
            <w:r>
              <w:rPr>
                <w:color w:val="231F20"/>
                <w:spacing w:val="-12"/>
                <w:sz w:val="14"/>
              </w:rPr>
              <w:t xml:space="preserve"> </w:t>
            </w:r>
            <w:r>
              <w:rPr>
                <w:color w:val="231F20"/>
                <w:sz w:val="14"/>
              </w:rPr>
              <w:t>графички приказује односе међу</w:t>
            </w:r>
            <w:r>
              <w:rPr>
                <w:color w:val="231F20"/>
                <w:spacing w:val="-12"/>
                <w:sz w:val="14"/>
              </w:rPr>
              <w:t xml:space="preserve"> </w:t>
            </w:r>
            <w:r>
              <w:rPr>
                <w:color w:val="231F20"/>
                <w:sz w:val="14"/>
              </w:rPr>
              <w:t>појмовима;</w:t>
            </w:r>
          </w:p>
          <w:p w:rsidR="00041039" w:rsidRDefault="001B26CB">
            <w:pPr>
              <w:pStyle w:val="TableParagraph"/>
              <w:numPr>
                <w:ilvl w:val="0"/>
                <w:numId w:val="18"/>
              </w:numPr>
              <w:tabs>
                <w:tab w:val="left" w:pos="157"/>
              </w:tabs>
              <w:spacing w:line="153" w:lineRule="exact"/>
              <w:ind w:hanging="99"/>
              <w:rPr>
                <w:sz w:val="14"/>
              </w:rPr>
            </w:pPr>
            <w:r>
              <w:rPr>
                <w:color w:val="231F20"/>
                <w:sz w:val="14"/>
              </w:rPr>
              <w:t>наведе делове</w:t>
            </w:r>
            <w:r>
              <w:rPr>
                <w:color w:val="231F20"/>
                <w:spacing w:val="-1"/>
                <w:sz w:val="14"/>
              </w:rPr>
              <w:t xml:space="preserve"> </w:t>
            </w:r>
            <w:r>
              <w:rPr>
                <w:color w:val="231F20"/>
                <w:sz w:val="14"/>
              </w:rPr>
              <w:t>дефиниције;</w:t>
            </w:r>
          </w:p>
          <w:p w:rsidR="00041039" w:rsidRDefault="001B26CB">
            <w:pPr>
              <w:pStyle w:val="TableParagraph"/>
              <w:numPr>
                <w:ilvl w:val="0"/>
                <w:numId w:val="18"/>
              </w:numPr>
              <w:tabs>
                <w:tab w:val="left" w:pos="157"/>
              </w:tabs>
              <w:spacing w:line="237" w:lineRule="auto"/>
              <w:ind w:right="375" w:hanging="99"/>
              <w:rPr>
                <w:sz w:val="14"/>
              </w:rPr>
            </w:pPr>
            <w:r>
              <w:rPr>
                <w:color w:val="231F20"/>
                <w:sz w:val="14"/>
              </w:rPr>
              <w:t>даје примере дефиниције из своје струке;</w:t>
            </w:r>
          </w:p>
          <w:p w:rsidR="00041039" w:rsidRDefault="001B26CB">
            <w:pPr>
              <w:pStyle w:val="TableParagraph"/>
              <w:numPr>
                <w:ilvl w:val="0"/>
                <w:numId w:val="18"/>
              </w:numPr>
              <w:tabs>
                <w:tab w:val="left" w:pos="157"/>
              </w:tabs>
              <w:spacing w:line="160" w:lineRule="exact"/>
              <w:ind w:right="495" w:hanging="99"/>
              <w:rPr>
                <w:sz w:val="14"/>
              </w:rPr>
            </w:pPr>
            <w:r>
              <w:rPr>
                <w:color w:val="231F20"/>
                <w:sz w:val="14"/>
              </w:rPr>
              <w:t>разликује прешироку и</w:t>
            </w:r>
            <w:r>
              <w:rPr>
                <w:color w:val="231F20"/>
                <w:spacing w:val="-19"/>
                <w:sz w:val="14"/>
              </w:rPr>
              <w:t xml:space="preserve"> </w:t>
            </w:r>
            <w:r>
              <w:rPr>
                <w:color w:val="231F20"/>
                <w:sz w:val="14"/>
              </w:rPr>
              <w:t>преуску дефиницију;</w:t>
            </w:r>
          </w:p>
          <w:p w:rsidR="00041039" w:rsidRDefault="001B26CB">
            <w:pPr>
              <w:pStyle w:val="TableParagraph"/>
              <w:numPr>
                <w:ilvl w:val="0"/>
                <w:numId w:val="18"/>
              </w:numPr>
              <w:tabs>
                <w:tab w:val="left" w:pos="157"/>
              </w:tabs>
              <w:spacing w:line="160" w:lineRule="exact"/>
              <w:ind w:right="144" w:hanging="99"/>
              <w:rPr>
                <w:sz w:val="14"/>
              </w:rPr>
            </w:pPr>
            <w:r>
              <w:rPr>
                <w:color w:val="231F20"/>
                <w:sz w:val="14"/>
              </w:rPr>
              <w:t xml:space="preserve">разликује чланове деобе </w:t>
            </w:r>
            <w:r>
              <w:rPr>
                <w:color w:val="231F20"/>
                <w:spacing w:val="-3"/>
                <w:sz w:val="14"/>
              </w:rPr>
              <w:t xml:space="preserve">од </w:t>
            </w:r>
            <w:r>
              <w:rPr>
                <w:color w:val="231F20"/>
                <w:sz w:val="14"/>
              </w:rPr>
              <w:t>принципа деобе;</w:t>
            </w:r>
          </w:p>
          <w:p w:rsidR="00041039" w:rsidRDefault="001B26CB">
            <w:pPr>
              <w:pStyle w:val="TableParagraph"/>
              <w:numPr>
                <w:ilvl w:val="0"/>
                <w:numId w:val="18"/>
              </w:numPr>
              <w:tabs>
                <w:tab w:val="left" w:pos="157"/>
              </w:tabs>
              <w:spacing w:line="160" w:lineRule="exact"/>
              <w:ind w:right="260" w:hanging="99"/>
              <w:rPr>
                <w:sz w:val="14"/>
              </w:rPr>
            </w:pPr>
            <w:r>
              <w:rPr>
                <w:color w:val="231F20"/>
                <w:sz w:val="14"/>
              </w:rPr>
              <w:t>увиђа значај принципа деобе,</w:t>
            </w:r>
            <w:r>
              <w:rPr>
                <w:color w:val="231F20"/>
                <w:spacing w:val="-16"/>
                <w:sz w:val="14"/>
              </w:rPr>
              <w:t xml:space="preserve"> </w:t>
            </w:r>
            <w:r>
              <w:rPr>
                <w:color w:val="231F20"/>
                <w:sz w:val="14"/>
              </w:rPr>
              <w:t>само­ стално изводи једну</w:t>
            </w:r>
            <w:r>
              <w:rPr>
                <w:color w:val="231F20"/>
                <w:spacing w:val="-4"/>
                <w:sz w:val="14"/>
              </w:rPr>
              <w:t xml:space="preserve"> </w:t>
            </w:r>
            <w:r>
              <w:rPr>
                <w:color w:val="231F20"/>
                <w:sz w:val="14"/>
              </w:rPr>
              <w:t>деобу;</w:t>
            </w:r>
          </w:p>
          <w:p w:rsidR="00041039" w:rsidRDefault="001B26CB">
            <w:pPr>
              <w:pStyle w:val="TableParagraph"/>
              <w:numPr>
                <w:ilvl w:val="0"/>
                <w:numId w:val="18"/>
              </w:numPr>
              <w:tabs>
                <w:tab w:val="left" w:pos="157"/>
              </w:tabs>
              <w:spacing w:line="160" w:lineRule="exact"/>
              <w:ind w:right="170" w:hanging="99"/>
              <w:rPr>
                <w:sz w:val="14"/>
              </w:rPr>
            </w:pPr>
            <w:r>
              <w:rPr>
                <w:color w:val="231F20"/>
                <w:sz w:val="14"/>
              </w:rPr>
              <w:t xml:space="preserve">разликује субјекат и предикат </w:t>
            </w:r>
            <w:r>
              <w:rPr>
                <w:color w:val="231F20"/>
                <w:spacing w:val="-3"/>
                <w:sz w:val="14"/>
              </w:rPr>
              <w:t xml:space="preserve">суда </w:t>
            </w:r>
            <w:r>
              <w:rPr>
                <w:color w:val="231F20"/>
                <w:sz w:val="14"/>
              </w:rPr>
              <w:t xml:space="preserve">и увиђа значај </w:t>
            </w:r>
            <w:r>
              <w:rPr>
                <w:color w:val="231F20"/>
                <w:spacing w:val="-3"/>
                <w:sz w:val="14"/>
              </w:rPr>
              <w:t xml:space="preserve">копуле </w:t>
            </w:r>
            <w:r>
              <w:rPr>
                <w:color w:val="231F20"/>
                <w:sz w:val="14"/>
              </w:rPr>
              <w:t>за квалитет</w:t>
            </w:r>
            <w:r>
              <w:rPr>
                <w:color w:val="231F20"/>
                <w:spacing w:val="-8"/>
                <w:sz w:val="14"/>
              </w:rPr>
              <w:t xml:space="preserve"> </w:t>
            </w:r>
            <w:r>
              <w:rPr>
                <w:color w:val="231F20"/>
                <w:spacing w:val="-3"/>
                <w:sz w:val="14"/>
              </w:rPr>
              <w:t>суда;</w:t>
            </w:r>
          </w:p>
          <w:p w:rsidR="00041039" w:rsidRDefault="001B26CB">
            <w:pPr>
              <w:pStyle w:val="TableParagraph"/>
              <w:numPr>
                <w:ilvl w:val="0"/>
                <w:numId w:val="18"/>
              </w:numPr>
              <w:tabs>
                <w:tab w:val="left" w:pos="157"/>
              </w:tabs>
              <w:spacing w:line="160" w:lineRule="exact"/>
              <w:ind w:right="196" w:hanging="99"/>
              <w:rPr>
                <w:sz w:val="14"/>
              </w:rPr>
            </w:pPr>
            <w:r>
              <w:rPr>
                <w:color w:val="231F20"/>
                <w:sz w:val="14"/>
              </w:rPr>
              <w:t xml:space="preserve">препознаје форму сложеног </w:t>
            </w:r>
            <w:r>
              <w:rPr>
                <w:color w:val="231F20"/>
                <w:spacing w:val="-3"/>
                <w:sz w:val="14"/>
              </w:rPr>
              <w:t xml:space="preserve">суда, </w:t>
            </w:r>
            <w:r>
              <w:rPr>
                <w:color w:val="231F20"/>
                <w:sz w:val="14"/>
              </w:rPr>
              <w:t>разликује и именује логичке</w:t>
            </w:r>
            <w:r>
              <w:rPr>
                <w:color w:val="231F20"/>
                <w:spacing w:val="-23"/>
                <w:sz w:val="14"/>
              </w:rPr>
              <w:t xml:space="preserve"> </w:t>
            </w:r>
            <w:r>
              <w:rPr>
                <w:color w:val="231F20"/>
                <w:sz w:val="14"/>
              </w:rPr>
              <w:t>везнике (негациј</w:t>
            </w:r>
            <w:r>
              <w:rPr>
                <w:color w:val="231F20"/>
                <w:sz w:val="14"/>
              </w:rPr>
              <w:t>а. конјункција, дисјункција, ампликација и еквиваленција) и на­ води</w:t>
            </w:r>
            <w:r>
              <w:rPr>
                <w:color w:val="231F20"/>
                <w:spacing w:val="-1"/>
                <w:sz w:val="14"/>
              </w:rPr>
              <w:t xml:space="preserve"> </w:t>
            </w:r>
            <w:r>
              <w:rPr>
                <w:color w:val="231F20"/>
                <w:sz w:val="14"/>
              </w:rPr>
              <w:t>примере;</w:t>
            </w:r>
          </w:p>
          <w:p w:rsidR="00041039" w:rsidRDefault="001B26CB">
            <w:pPr>
              <w:pStyle w:val="TableParagraph"/>
              <w:numPr>
                <w:ilvl w:val="0"/>
                <w:numId w:val="18"/>
              </w:numPr>
              <w:tabs>
                <w:tab w:val="left" w:pos="157"/>
              </w:tabs>
              <w:spacing w:line="160" w:lineRule="exact"/>
              <w:ind w:right="193" w:hanging="99"/>
              <w:jc w:val="both"/>
              <w:rPr>
                <w:sz w:val="14"/>
              </w:rPr>
            </w:pPr>
            <w:r>
              <w:rPr>
                <w:color w:val="231F20"/>
                <w:sz w:val="14"/>
              </w:rPr>
              <w:t xml:space="preserve">разликује квантитет и квалитет </w:t>
            </w:r>
            <w:r>
              <w:rPr>
                <w:color w:val="231F20"/>
                <w:spacing w:val="-3"/>
                <w:sz w:val="14"/>
              </w:rPr>
              <w:t xml:space="preserve">суда, </w:t>
            </w:r>
            <w:r>
              <w:rPr>
                <w:color w:val="231F20"/>
                <w:sz w:val="14"/>
              </w:rPr>
              <w:t xml:space="preserve">препознаје форму a, e, i, о </w:t>
            </w:r>
            <w:r>
              <w:rPr>
                <w:color w:val="231F20"/>
                <w:spacing w:val="-3"/>
                <w:sz w:val="14"/>
              </w:rPr>
              <w:t xml:space="preserve">суда </w:t>
            </w:r>
            <w:r>
              <w:rPr>
                <w:color w:val="231F20"/>
                <w:sz w:val="14"/>
              </w:rPr>
              <w:t>и на­ води</w:t>
            </w:r>
            <w:r>
              <w:rPr>
                <w:color w:val="231F20"/>
                <w:spacing w:val="-1"/>
                <w:sz w:val="14"/>
              </w:rPr>
              <w:t xml:space="preserve"> </w:t>
            </w:r>
            <w:r>
              <w:rPr>
                <w:color w:val="231F20"/>
                <w:sz w:val="14"/>
              </w:rPr>
              <w:t>примере;</w:t>
            </w:r>
          </w:p>
          <w:p w:rsidR="00041039" w:rsidRDefault="001B26CB">
            <w:pPr>
              <w:pStyle w:val="TableParagraph"/>
              <w:numPr>
                <w:ilvl w:val="0"/>
                <w:numId w:val="18"/>
              </w:numPr>
              <w:tabs>
                <w:tab w:val="left" w:pos="157"/>
              </w:tabs>
              <w:spacing w:line="153" w:lineRule="exact"/>
              <w:ind w:hanging="99"/>
              <w:rPr>
                <w:sz w:val="14"/>
              </w:rPr>
            </w:pPr>
            <w:r>
              <w:rPr>
                <w:color w:val="231F20"/>
                <w:sz w:val="14"/>
              </w:rPr>
              <w:t>именује односе међу</w:t>
            </w:r>
            <w:r>
              <w:rPr>
                <w:color w:val="231F20"/>
                <w:spacing w:val="-5"/>
                <w:sz w:val="14"/>
              </w:rPr>
              <w:t xml:space="preserve"> </w:t>
            </w:r>
            <w:r>
              <w:rPr>
                <w:color w:val="231F20"/>
                <w:sz w:val="14"/>
              </w:rPr>
              <w:t>судовима;</w:t>
            </w:r>
          </w:p>
          <w:p w:rsidR="00041039" w:rsidRDefault="001B26CB">
            <w:pPr>
              <w:pStyle w:val="TableParagraph"/>
              <w:numPr>
                <w:ilvl w:val="0"/>
                <w:numId w:val="18"/>
              </w:numPr>
              <w:tabs>
                <w:tab w:val="left" w:pos="157"/>
              </w:tabs>
              <w:spacing w:line="237" w:lineRule="auto"/>
              <w:ind w:right="205" w:hanging="99"/>
              <w:jc w:val="both"/>
              <w:rPr>
                <w:sz w:val="14"/>
              </w:rPr>
            </w:pPr>
            <w:r>
              <w:rPr>
                <w:color w:val="231F20"/>
                <w:sz w:val="14"/>
              </w:rPr>
              <w:t>препознаје индуктивно, дедуктивно и закључивање по аналогији на при­ мерима из свакодневног</w:t>
            </w:r>
            <w:r>
              <w:rPr>
                <w:color w:val="231F20"/>
                <w:spacing w:val="-7"/>
                <w:sz w:val="14"/>
              </w:rPr>
              <w:t xml:space="preserve"> </w:t>
            </w:r>
            <w:r>
              <w:rPr>
                <w:color w:val="231F20"/>
                <w:sz w:val="14"/>
              </w:rPr>
              <w:t>живота;</w:t>
            </w:r>
          </w:p>
          <w:p w:rsidR="00041039" w:rsidRDefault="001B26CB">
            <w:pPr>
              <w:pStyle w:val="TableParagraph"/>
              <w:numPr>
                <w:ilvl w:val="0"/>
                <w:numId w:val="18"/>
              </w:numPr>
              <w:tabs>
                <w:tab w:val="left" w:pos="157"/>
              </w:tabs>
              <w:spacing w:line="237" w:lineRule="auto"/>
              <w:ind w:right="344" w:hanging="99"/>
              <w:rPr>
                <w:sz w:val="14"/>
              </w:rPr>
            </w:pPr>
            <w:r>
              <w:rPr>
                <w:color w:val="231F20"/>
                <w:sz w:val="14"/>
              </w:rPr>
              <w:t>увиђа да и сам користи наведене форме закључивања, именује их</w:t>
            </w:r>
            <w:r>
              <w:rPr>
                <w:color w:val="231F20"/>
                <w:spacing w:val="-19"/>
                <w:sz w:val="14"/>
              </w:rPr>
              <w:t xml:space="preserve"> </w:t>
            </w:r>
            <w:r>
              <w:rPr>
                <w:color w:val="231F20"/>
                <w:sz w:val="14"/>
              </w:rPr>
              <w:t>и разликује;</w:t>
            </w:r>
          </w:p>
          <w:p w:rsidR="00041039" w:rsidRDefault="001B26CB">
            <w:pPr>
              <w:pStyle w:val="TableParagraph"/>
              <w:numPr>
                <w:ilvl w:val="0"/>
                <w:numId w:val="18"/>
              </w:numPr>
              <w:tabs>
                <w:tab w:val="left" w:pos="157"/>
              </w:tabs>
              <w:spacing w:line="237" w:lineRule="auto"/>
              <w:ind w:right="210" w:hanging="99"/>
              <w:rPr>
                <w:sz w:val="14"/>
              </w:rPr>
            </w:pPr>
            <w:r>
              <w:rPr>
                <w:color w:val="231F20"/>
                <w:sz w:val="14"/>
              </w:rPr>
              <w:t>демонстрира конверзију и</w:t>
            </w:r>
            <w:r>
              <w:rPr>
                <w:color w:val="231F20"/>
                <w:spacing w:val="-15"/>
                <w:sz w:val="14"/>
              </w:rPr>
              <w:t xml:space="preserve"> </w:t>
            </w:r>
            <w:r>
              <w:rPr>
                <w:color w:val="231F20"/>
                <w:sz w:val="14"/>
              </w:rPr>
              <w:t>обверзију на</w:t>
            </w:r>
            <w:r>
              <w:rPr>
                <w:color w:val="231F20"/>
                <w:spacing w:val="-2"/>
                <w:sz w:val="14"/>
              </w:rPr>
              <w:t xml:space="preserve"> </w:t>
            </w:r>
            <w:r>
              <w:rPr>
                <w:color w:val="231F20"/>
                <w:sz w:val="14"/>
              </w:rPr>
              <w:t>примерима;</w:t>
            </w:r>
          </w:p>
          <w:p w:rsidR="00041039" w:rsidRDefault="001B26CB">
            <w:pPr>
              <w:pStyle w:val="TableParagraph"/>
              <w:numPr>
                <w:ilvl w:val="0"/>
                <w:numId w:val="18"/>
              </w:numPr>
              <w:tabs>
                <w:tab w:val="left" w:pos="157"/>
              </w:tabs>
              <w:spacing w:line="160" w:lineRule="exact"/>
              <w:ind w:right="478" w:hanging="99"/>
              <w:rPr>
                <w:sz w:val="14"/>
              </w:rPr>
            </w:pPr>
            <w:r>
              <w:rPr>
                <w:color w:val="231F20"/>
                <w:sz w:val="14"/>
              </w:rPr>
              <w:t>наведе и објасни четири</w:t>
            </w:r>
            <w:r>
              <w:rPr>
                <w:color w:val="231F20"/>
                <w:spacing w:val="-6"/>
                <w:sz w:val="14"/>
              </w:rPr>
              <w:t xml:space="preserve"> </w:t>
            </w:r>
            <w:r>
              <w:rPr>
                <w:color w:val="231F20"/>
                <w:sz w:val="14"/>
              </w:rPr>
              <w:t>фигуре с</w:t>
            </w:r>
            <w:r>
              <w:rPr>
                <w:color w:val="231F20"/>
                <w:sz w:val="14"/>
              </w:rPr>
              <w:t>илогизма;</w:t>
            </w:r>
          </w:p>
          <w:p w:rsidR="00041039" w:rsidRDefault="001B26CB">
            <w:pPr>
              <w:pStyle w:val="TableParagraph"/>
              <w:numPr>
                <w:ilvl w:val="0"/>
                <w:numId w:val="18"/>
              </w:numPr>
              <w:tabs>
                <w:tab w:val="left" w:pos="157"/>
              </w:tabs>
              <w:spacing w:line="153" w:lineRule="exact"/>
              <w:ind w:hanging="99"/>
              <w:rPr>
                <w:sz w:val="14"/>
              </w:rPr>
            </w:pPr>
            <w:r>
              <w:rPr>
                <w:color w:val="231F20"/>
                <w:sz w:val="14"/>
              </w:rPr>
              <w:t>изводи задате модусе</w:t>
            </w:r>
            <w:r>
              <w:rPr>
                <w:color w:val="231F20"/>
                <w:spacing w:val="-5"/>
                <w:sz w:val="14"/>
              </w:rPr>
              <w:t xml:space="preserve"> </w:t>
            </w:r>
            <w:r>
              <w:rPr>
                <w:color w:val="231F20"/>
                <w:sz w:val="14"/>
              </w:rPr>
              <w:t>силогизма;</w:t>
            </w:r>
          </w:p>
          <w:p w:rsidR="00041039" w:rsidRDefault="001B26CB">
            <w:pPr>
              <w:pStyle w:val="TableParagraph"/>
              <w:numPr>
                <w:ilvl w:val="0"/>
                <w:numId w:val="18"/>
              </w:numPr>
              <w:tabs>
                <w:tab w:val="left" w:pos="157"/>
              </w:tabs>
              <w:spacing w:line="237" w:lineRule="auto"/>
              <w:ind w:right="367" w:hanging="99"/>
              <w:rPr>
                <w:sz w:val="14"/>
              </w:rPr>
            </w:pPr>
            <w:r>
              <w:rPr>
                <w:color w:val="231F20"/>
                <w:sz w:val="14"/>
              </w:rPr>
              <w:t>излаже примере за хипотетички</w:t>
            </w:r>
            <w:r>
              <w:rPr>
                <w:color w:val="231F20"/>
                <w:spacing w:val="-21"/>
                <w:sz w:val="14"/>
              </w:rPr>
              <w:t xml:space="preserve"> </w:t>
            </w:r>
            <w:r>
              <w:rPr>
                <w:color w:val="231F20"/>
                <w:sz w:val="14"/>
              </w:rPr>
              <w:t>и дисјунктивни</w:t>
            </w:r>
            <w:r>
              <w:rPr>
                <w:color w:val="231F20"/>
                <w:spacing w:val="-1"/>
                <w:sz w:val="14"/>
              </w:rPr>
              <w:t xml:space="preserve"> </w:t>
            </w:r>
            <w:r>
              <w:rPr>
                <w:color w:val="231F20"/>
                <w:sz w:val="14"/>
              </w:rPr>
              <w:t>силогизам;</w:t>
            </w:r>
          </w:p>
          <w:p w:rsidR="00041039" w:rsidRDefault="001B26CB">
            <w:pPr>
              <w:pStyle w:val="TableParagraph"/>
              <w:numPr>
                <w:ilvl w:val="0"/>
                <w:numId w:val="18"/>
              </w:numPr>
              <w:tabs>
                <w:tab w:val="left" w:pos="157"/>
              </w:tabs>
              <w:spacing w:line="160" w:lineRule="exact"/>
              <w:ind w:right="84" w:hanging="99"/>
              <w:rPr>
                <w:sz w:val="14"/>
              </w:rPr>
            </w:pPr>
            <w:r>
              <w:rPr>
                <w:color w:val="231F20"/>
                <w:sz w:val="14"/>
              </w:rPr>
              <w:t>повезује форме закључивања у</w:t>
            </w:r>
            <w:r>
              <w:rPr>
                <w:color w:val="231F20"/>
                <w:spacing w:val="-23"/>
                <w:sz w:val="14"/>
              </w:rPr>
              <w:t xml:space="preserve"> </w:t>
            </w:r>
            <w:r>
              <w:rPr>
                <w:color w:val="231F20"/>
                <w:sz w:val="14"/>
              </w:rPr>
              <w:t>облику доказа;</w:t>
            </w:r>
          </w:p>
        </w:tc>
        <w:tc>
          <w:tcPr>
            <w:tcW w:w="2834" w:type="dxa"/>
          </w:tcPr>
          <w:p w:rsidR="00041039" w:rsidRDefault="001B26CB">
            <w:pPr>
              <w:pStyle w:val="TableParagraph"/>
              <w:numPr>
                <w:ilvl w:val="0"/>
                <w:numId w:val="17"/>
              </w:numPr>
              <w:tabs>
                <w:tab w:val="left" w:pos="157"/>
              </w:tabs>
              <w:spacing w:before="9"/>
              <w:ind w:right="140" w:hanging="99"/>
              <w:rPr>
                <w:sz w:val="14"/>
              </w:rPr>
            </w:pPr>
            <w:r>
              <w:rPr>
                <w:color w:val="231F20"/>
                <w:sz w:val="14"/>
              </w:rPr>
              <w:t>Разлика између појма, ствари и</w:t>
            </w:r>
            <w:r>
              <w:rPr>
                <w:color w:val="231F20"/>
                <w:spacing w:val="-21"/>
                <w:sz w:val="14"/>
              </w:rPr>
              <w:t xml:space="preserve"> </w:t>
            </w:r>
            <w:r>
              <w:rPr>
                <w:color w:val="231F20"/>
                <w:sz w:val="14"/>
              </w:rPr>
              <w:t>представе. Врсте</w:t>
            </w:r>
            <w:r>
              <w:rPr>
                <w:color w:val="231F20"/>
                <w:spacing w:val="-1"/>
                <w:sz w:val="14"/>
              </w:rPr>
              <w:t xml:space="preserve"> </w:t>
            </w:r>
            <w:r>
              <w:rPr>
                <w:color w:val="231F20"/>
                <w:sz w:val="14"/>
              </w:rPr>
              <w:t>појмова.</w:t>
            </w:r>
          </w:p>
          <w:p w:rsidR="00041039" w:rsidRDefault="001B26CB">
            <w:pPr>
              <w:pStyle w:val="TableParagraph"/>
              <w:numPr>
                <w:ilvl w:val="0"/>
                <w:numId w:val="17"/>
              </w:numPr>
              <w:tabs>
                <w:tab w:val="left" w:pos="157"/>
              </w:tabs>
              <w:spacing w:line="153" w:lineRule="exact"/>
              <w:ind w:hanging="99"/>
              <w:rPr>
                <w:sz w:val="14"/>
              </w:rPr>
            </w:pPr>
            <w:r>
              <w:rPr>
                <w:color w:val="231F20"/>
                <w:sz w:val="14"/>
              </w:rPr>
              <w:t>Обим и садржај</w:t>
            </w:r>
            <w:r>
              <w:rPr>
                <w:color w:val="231F20"/>
                <w:spacing w:val="-3"/>
                <w:sz w:val="14"/>
              </w:rPr>
              <w:t xml:space="preserve"> </w:t>
            </w:r>
            <w:r>
              <w:rPr>
                <w:color w:val="231F20"/>
                <w:sz w:val="14"/>
              </w:rPr>
              <w:t>појма.</w:t>
            </w:r>
          </w:p>
          <w:p w:rsidR="00041039" w:rsidRDefault="001B26CB">
            <w:pPr>
              <w:pStyle w:val="TableParagraph"/>
              <w:numPr>
                <w:ilvl w:val="0"/>
                <w:numId w:val="17"/>
              </w:numPr>
              <w:tabs>
                <w:tab w:val="left" w:pos="157"/>
              </w:tabs>
              <w:spacing w:line="160" w:lineRule="exact"/>
              <w:ind w:hanging="99"/>
              <w:rPr>
                <w:sz w:val="14"/>
              </w:rPr>
            </w:pPr>
            <w:r>
              <w:rPr>
                <w:color w:val="231F20"/>
                <w:sz w:val="14"/>
              </w:rPr>
              <w:t>Односи међу</w:t>
            </w:r>
            <w:r>
              <w:rPr>
                <w:color w:val="231F20"/>
                <w:spacing w:val="-1"/>
                <w:sz w:val="14"/>
              </w:rPr>
              <w:t xml:space="preserve"> </w:t>
            </w:r>
            <w:r>
              <w:rPr>
                <w:color w:val="231F20"/>
                <w:sz w:val="14"/>
              </w:rPr>
              <w:t>појмовима.</w:t>
            </w:r>
          </w:p>
          <w:p w:rsidR="00041039" w:rsidRDefault="001B26CB">
            <w:pPr>
              <w:pStyle w:val="TableParagraph"/>
              <w:numPr>
                <w:ilvl w:val="0"/>
                <w:numId w:val="17"/>
              </w:numPr>
              <w:tabs>
                <w:tab w:val="left" w:pos="157"/>
              </w:tabs>
              <w:spacing w:line="160" w:lineRule="exact"/>
              <w:ind w:hanging="99"/>
              <w:rPr>
                <w:sz w:val="14"/>
              </w:rPr>
            </w:pPr>
            <w:r>
              <w:rPr>
                <w:color w:val="231F20"/>
                <w:sz w:val="14"/>
              </w:rPr>
              <w:t>Дефиниција и</w:t>
            </w:r>
            <w:r>
              <w:rPr>
                <w:color w:val="231F20"/>
                <w:spacing w:val="-1"/>
                <w:sz w:val="14"/>
              </w:rPr>
              <w:t xml:space="preserve"> </w:t>
            </w:r>
            <w:r>
              <w:rPr>
                <w:color w:val="231F20"/>
                <w:sz w:val="14"/>
              </w:rPr>
              <w:t>деоба.</w:t>
            </w:r>
          </w:p>
          <w:p w:rsidR="00041039" w:rsidRDefault="001B26CB">
            <w:pPr>
              <w:pStyle w:val="TableParagraph"/>
              <w:numPr>
                <w:ilvl w:val="0"/>
                <w:numId w:val="17"/>
              </w:numPr>
              <w:tabs>
                <w:tab w:val="left" w:pos="157"/>
              </w:tabs>
              <w:spacing w:line="160" w:lineRule="exact"/>
              <w:ind w:hanging="99"/>
              <w:rPr>
                <w:sz w:val="14"/>
              </w:rPr>
            </w:pPr>
            <w:r>
              <w:rPr>
                <w:color w:val="231F20"/>
                <w:spacing w:val="-5"/>
                <w:sz w:val="14"/>
              </w:rPr>
              <w:t xml:space="preserve">Суд </w:t>
            </w:r>
            <w:r>
              <w:rPr>
                <w:color w:val="231F20"/>
                <w:sz w:val="14"/>
              </w:rPr>
              <w:t>и врсте</w:t>
            </w:r>
            <w:r>
              <w:rPr>
                <w:color w:val="231F20"/>
                <w:spacing w:val="1"/>
                <w:sz w:val="14"/>
              </w:rPr>
              <w:t xml:space="preserve"> </w:t>
            </w:r>
            <w:r>
              <w:rPr>
                <w:color w:val="231F20"/>
                <w:sz w:val="14"/>
              </w:rPr>
              <w:t>судова.</w:t>
            </w:r>
          </w:p>
          <w:p w:rsidR="00041039" w:rsidRDefault="001B26CB">
            <w:pPr>
              <w:pStyle w:val="TableParagraph"/>
              <w:numPr>
                <w:ilvl w:val="0"/>
                <w:numId w:val="17"/>
              </w:numPr>
              <w:tabs>
                <w:tab w:val="left" w:pos="157"/>
              </w:tabs>
              <w:spacing w:line="237" w:lineRule="auto"/>
              <w:ind w:right="429" w:hanging="99"/>
              <w:rPr>
                <w:sz w:val="14"/>
              </w:rPr>
            </w:pPr>
            <w:r>
              <w:rPr>
                <w:color w:val="231F20"/>
                <w:sz w:val="14"/>
              </w:rPr>
              <w:t xml:space="preserve">Истиносна вредност сложених </w:t>
            </w:r>
            <w:r>
              <w:rPr>
                <w:color w:val="231F20"/>
                <w:spacing w:val="-3"/>
                <w:sz w:val="14"/>
              </w:rPr>
              <w:t xml:space="preserve">судо­ </w:t>
            </w:r>
            <w:r>
              <w:rPr>
                <w:color w:val="231F20"/>
                <w:sz w:val="14"/>
              </w:rPr>
              <w:t>ва (негација, конјукција,</w:t>
            </w:r>
            <w:r>
              <w:rPr>
                <w:color w:val="231F20"/>
                <w:spacing w:val="-17"/>
                <w:sz w:val="14"/>
              </w:rPr>
              <w:t xml:space="preserve"> </w:t>
            </w:r>
            <w:r>
              <w:rPr>
                <w:color w:val="231F20"/>
                <w:sz w:val="14"/>
              </w:rPr>
              <w:t>дисјункција, импликација и</w:t>
            </w:r>
            <w:r>
              <w:rPr>
                <w:color w:val="231F20"/>
                <w:spacing w:val="-4"/>
                <w:sz w:val="14"/>
              </w:rPr>
              <w:t xml:space="preserve"> </w:t>
            </w:r>
            <w:r>
              <w:rPr>
                <w:color w:val="231F20"/>
                <w:sz w:val="14"/>
              </w:rPr>
              <w:t>еквиваленција).</w:t>
            </w:r>
          </w:p>
          <w:p w:rsidR="00041039" w:rsidRDefault="001B26CB">
            <w:pPr>
              <w:pStyle w:val="TableParagraph"/>
              <w:numPr>
                <w:ilvl w:val="0"/>
                <w:numId w:val="17"/>
              </w:numPr>
              <w:tabs>
                <w:tab w:val="left" w:pos="157"/>
              </w:tabs>
              <w:spacing w:line="237" w:lineRule="auto"/>
              <w:ind w:right="967" w:hanging="99"/>
              <w:rPr>
                <w:sz w:val="14"/>
              </w:rPr>
            </w:pPr>
            <w:r>
              <w:rPr>
                <w:color w:val="231F20"/>
                <w:sz w:val="14"/>
              </w:rPr>
              <w:t>Комбинована подела</w:t>
            </w:r>
            <w:r>
              <w:rPr>
                <w:color w:val="231F20"/>
                <w:spacing w:val="-29"/>
                <w:sz w:val="14"/>
              </w:rPr>
              <w:t xml:space="preserve"> </w:t>
            </w:r>
            <w:r>
              <w:rPr>
                <w:color w:val="231F20"/>
                <w:sz w:val="14"/>
              </w:rPr>
              <w:t>судова, расподељеност</w:t>
            </w:r>
            <w:r>
              <w:rPr>
                <w:color w:val="231F20"/>
                <w:spacing w:val="-1"/>
                <w:sz w:val="14"/>
              </w:rPr>
              <w:t xml:space="preserve"> </w:t>
            </w:r>
            <w:r>
              <w:rPr>
                <w:color w:val="231F20"/>
                <w:sz w:val="14"/>
              </w:rPr>
              <w:t>појма.</w:t>
            </w:r>
          </w:p>
          <w:p w:rsidR="00041039" w:rsidRDefault="001B26CB">
            <w:pPr>
              <w:pStyle w:val="TableParagraph"/>
              <w:numPr>
                <w:ilvl w:val="0"/>
                <w:numId w:val="17"/>
              </w:numPr>
              <w:tabs>
                <w:tab w:val="left" w:pos="157"/>
              </w:tabs>
              <w:spacing w:line="155" w:lineRule="exact"/>
              <w:ind w:hanging="99"/>
              <w:rPr>
                <w:sz w:val="14"/>
              </w:rPr>
            </w:pPr>
            <w:r>
              <w:rPr>
                <w:color w:val="231F20"/>
                <w:sz w:val="14"/>
              </w:rPr>
              <w:t>Односи међу судовима (логички</w:t>
            </w:r>
            <w:r>
              <w:rPr>
                <w:color w:val="231F20"/>
                <w:spacing w:val="-11"/>
                <w:sz w:val="14"/>
              </w:rPr>
              <w:t xml:space="preserve"> </w:t>
            </w:r>
            <w:r>
              <w:rPr>
                <w:color w:val="231F20"/>
                <w:sz w:val="14"/>
              </w:rPr>
              <w:t>квадрат).</w:t>
            </w:r>
          </w:p>
          <w:p w:rsidR="00041039" w:rsidRDefault="001B26CB">
            <w:pPr>
              <w:pStyle w:val="TableParagraph"/>
              <w:numPr>
                <w:ilvl w:val="0"/>
                <w:numId w:val="17"/>
              </w:numPr>
              <w:tabs>
                <w:tab w:val="left" w:pos="157"/>
              </w:tabs>
              <w:spacing w:line="160" w:lineRule="exact"/>
              <w:ind w:hanging="99"/>
              <w:rPr>
                <w:sz w:val="14"/>
              </w:rPr>
            </w:pPr>
            <w:r>
              <w:rPr>
                <w:color w:val="231F20"/>
                <w:sz w:val="14"/>
              </w:rPr>
              <w:t>Врсте</w:t>
            </w:r>
            <w:r>
              <w:rPr>
                <w:color w:val="231F20"/>
                <w:spacing w:val="-1"/>
                <w:sz w:val="14"/>
              </w:rPr>
              <w:t xml:space="preserve"> </w:t>
            </w:r>
            <w:r>
              <w:rPr>
                <w:color w:val="231F20"/>
                <w:sz w:val="14"/>
              </w:rPr>
              <w:t>закључивања.</w:t>
            </w:r>
          </w:p>
          <w:p w:rsidR="00041039" w:rsidRDefault="001B26CB">
            <w:pPr>
              <w:pStyle w:val="TableParagraph"/>
              <w:numPr>
                <w:ilvl w:val="0"/>
                <w:numId w:val="17"/>
              </w:numPr>
              <w:tabs>
                <w:tab w:val="left" w:pos="157"/>
              </w:tabs>
              <w:spacing w:line="237" w:lineRule="auto"/>
              <w:ind w:right="329" w:hanging="99"/>
              <w:rPr>
                <w:sz w:val="14"/>
              </w:rPr>
            </w:pPr>
            <w:r>
              <w:rPr>
                <w:color w:val="231F20"/>
                <w:sz w:val="14"/>
              </w:rPr>
              <w:t>Непосредно закључивање ­</w:t>
            </w:r>
            <w:r>
              <w:rPr>
                <w:color w:val="231F20"/>
                <w:spacing w:val="-21"/>
                <w:sz w:val="14"/>
              </w:rPr>
              <w:t xml:space="preserve"> </w:t>
            </w:r>
            <w:r>
              <w:rPr>
                <w:color w:val="231F20"/>
                <w:sz w:val="14"/>
              </w:rPr>
              <w:t>конверзија, обверзија, логички</w:t>
            </w:r>
            <w:r>
              <w:rPr>
                <w:color w:val="231F20"/>
                <w:spacing w:val="-3"/>
                <w:sz w:val="14"/>
              </w:rPr>
              <w:t xml:space="preserve"> квадрат.</w:t>
            </w:r>
          </w:p>
          <w:p w:rsidR="00041039" w:rsidRDefault="001B26CB">
            <w:pPr>
              <w:pStyle w:val="TableParagraph"/>
              <w:numPr>
                <w:ilvl w:val="0"/>
                <w:numId w:val="17"/>
              </w:numPr>
              <w:tabs>
                <w:tab w:val="left" w:pos="157"/>
              </w:tabs>
              <w:spacing w:line="160" w:lineRule="exact"/>
              <w:ind w:right="493" w:hanging="99"/>
              <w:rPr>
                <w:sz w:val="14"/>
              </w:rPr>
            </w:pPr>
            <w:r>
              <w:rPr>
                <w:color w:val="231F20"/>
                <w:sz w:val="14"/>
              </w:rPr>
              <w:t>Посредно закључивање ­ индукција, аналогија и</w:t>
            </w:r>
            <w:r>
              <w:rPr>
                <w:color w:val="231F20"/>
                <w:spacing w:val="-3"/>
                <w:sz w:val="14"/>
              </w:rPr>
              <w:t xml:space="preserve"> </w:t>
            </w:r>
            <w:r>
              <w:rPr>
                <w:color w:val="231F20"/>
                <w:sz w:val="14"/>
              </w:rPr>
              <w:t>дедукција.</w:t>
            </w:r>
          </w:p>
          <w:p w:rsidR="00041039" w:rsidRDefault="001B26CB">
            <w:pPr>
              <w:pStyle w:val="TableParagraph"/>
              <w:numPr>
                <w:ilvl w:val="0"/>
                <w:numId w:val="17"/>
              </w:numPr>
              <w:tabs>
                <w:tab w:val="left" w:pos="157"/>
              </w:tabs>
              <w:spacing w:line="160" w:lineRule="exact"/>
              <w:ind w:right="259" w:hanging="99"/>
              <w:rPr>
                <w:sz w:val="14"/>
              </w:rPr>
            </w:pPr>
            <w:r>
              <w:rPr>
                <w:color w:val="231F20"/>
                <w:sz w:val="14"/>
              </w:rPr>
              <w:t>Фигуре</w:t>
            </w:r>
            <w:r>
              <w:rPr>
                <w:color w:val="231F20"/>
                <w:spacing w:val="-11"/>
                <w:sz w:val="14"/>
              </w:rPr>
              <w:t xml:space="preserve"> </w:t>
            </w:r>
            <w:r>
              <w:rPr>
                <w:color w:val="231F20"/>
                <w:sz w:val="14"/>
              </w:rPr>
              <w:t>категоричког</w:t>
            </w:r>
            <w:r>
              <w:rPr>
                <w:color w:val="231F20"/>
                <w:spacing w:val="-10"/>
                <w:sz w:val="14"/>
              </w:rPr>
              <w:t xml:space="preserve"> </w:t>
            </w:r>
            <w:r>
              <w:rPr>
                <w:color w:val="231F20"/>
                <w:sz w:val="14"/>
              </w:rPr>
              <w:t>силогизма,</w:t>
            </w:r>
            <w:r>
              <w:rPr>
                <w:color w:val="231F20"/>
                <w:spacing w:val="-10"/>
                <w:sz w:val="14"/>
              </w:rPr>
              <w:t xml:space="preserve"> </w:t>
            </w:r>
            <w:r>
              <w:rPr>
                <w:color w:val="231F20"/>
                <w:sz w:val="14"/>
              </w:rPr>
              <w:t>модуси категоричког</w:t>
            </w:r>
            <w:r>
              <w:rPr>
                <w:color w:val="231F20"/>
                <w:spacing w:val="-1"/>
                <w:sz w:val="14"/>
              </w:rPr>
              <w:t xml:space="preserve"> </w:t>
            </w:r>
            <w:r>
              <w:rPr>
                <w:color w:val="231F20"/>
                <w:sz w:val="14"/>
              </w:rPr>
              <w:t>силогизма.</w:t>
            </w:r>
          </w:p>
          <w:p w:rsidR="00041039" w:rsidRDefault="001B26CB">
            <w:pPr>
              <w:pStyle w:val="TableParagraph"/>
              <w:numPr>
                <w:ilvl w:val="0"/>
                <w:numId w:val="17"/>
              </w:numPr>
              <w:tabs>
                <w:tab w:val="left" w:pos="157"/>
              </w:tabs>
              <w:spacing w:line="153" w:lineRule="exact"/>
              <w:ind w:hanging="99"/>
              <w:rPr>
                <w:sz w:val="14"/>
              </w:rPr>
            </w:pPr>
            <w:r>
              <w:rPr>
                <w:color w:val="231F20"/>
                <w:sz w:val="14"/>
              </w:rPr>
              <w:t>Хипотетички и дисјунктивни</w:t>
            </w:r>
            <w:r>
              <w:rPr>
                <w:color w:val="231F20"/>
                <w:spacing w:val="-7"/>
                <w:sz w:val="14"/>
              </w:rPr>
              <w:t xml:space="preserve"> </w:t>
            </w:r>
            <w:r>
              <w:rPr>
                <w:color w:val="231F20"/>
                <w:sz w:val="14"/>
              </w:rPr>
              <w:t>силогизам.</w:t>
            </w:r>
          </w:p>
          <w:p w:rsidR="00041039" w:rsidRDefault="001B26CB">
            <w:pPr>
              <w:pStyle w:val="TableParagraph"/>
              <w:numPr>
                <w:ilvl w:val="0"/>
                <w:numId w:val="17"/>
              </w:numPr>
              <w:tabs>
                <w:tab w:val="left" w:pos="157"/>
              </w:tabs>
              <w:spacing w:line="160" w:lineRule="exact"/>
              <w:ind w:hanging="99"/>
              <w:rPr>
                <w:sz w:val="14"/>
              </w:rPr>
            </w:pPr>
            <w:r>
              <w:rPr>
                <w:color w:val="231F20"/>
                <w:sz w:val="14"/>
              </w:rPr>
              <w:t>Доказ.</w:t>
            </w:r>
          </w:p>
          <w:p w:rsidR="00041039" w:rsidRDefault="001B26CB">
            <w:pPr>
              <w:pStyle w:val="TableParagraph"/>
              <w:numPr>
                <w:ilvl w:val="0"/>
                <w:numId w:val="17"/>
              </w:numPr>
              <w:tabs>
                <w:tab w:val="left" w:pos="157"/>
              </w:tabs>
              <w:spacing w:line="237" w:lineRule="auto"/>
              <w:ind w:right="438" w:hanging="99"/>
              <w:rPr>
                <w:sz w:val="14"/>
              </w:rPr>
            </w:pPr>
            <w:r>
              <w:rPr>
                <w:color w:val="231F20"/>
                <w:sz w:val="14"/>
              </w:rPr>
              <w:t>Примери индуктивног и</w:t>
            </w:r>
            <w:r>
              <w:rPr>
                <w:color w:val="231F20"/>
                <w:spacing w:val="-24"/>
                <w:sz w:val="14"/>
              </w:rPr>
              <w:t xml:space="preserve"> </w:t>
            </w:r>
            <w:r>
              <w:rPr>
                <w:color w:val="231F20"/>
                <w:sz w:val="14"/>
              </w:rPr>
              <w:t>дедуктивног закључивања у</w:t>
            </w:r>
            <w:r>
              <w:rPr>
                <w:color w:val="231F20"/>
                <w:spacing w:val="-2"/>
                <w:sz w:val="14"/>
              </w:rPr>
              <w:t xml:space="preserve"> </w:t>
            </w:r>
            <w:r>
              <w:rPr>
                <w:color w:val="231F20"/>
                <w:sz w:val="14"/>
              </w:rPr>
              <w:t>наукама.</w:t>
            </w:r>
          </w:p>
        </w:tc>
        <w:tc>
          <w:tcPr>
            <w:tcW w:w="2267" w:type="dxa"/>
            <w:vMerge w:val="restart"/>
          </w:tcPr>
          <w:p w:rsidR="00041039" w:rsidRDefault="001B26CB">
            <w:pPr>
              <w:pStyle w:val="TableParagraph"/>
              <w:spacing w:before="17" w:line="155" w:lineRule="exact"/>
              <w:ind w:left="58"/>
              <w:rPr>
                <w:b/>
                <w:sz w:val="14"/>
              </w:rPr>
            </w:pPr>
            <w:r>
              <w:rPr>
                <w:b/>
                <w:color w:val="231F20"/>
                <w:sz w:val="14"/>
              </w:rPr>
              <w:t>Оквирни број часова по темама</w:t>
            </w:r>
          </w:p>
          <w:p w:rsidR="00041039" w:rsidRDefault="001B26CB">
            <w:pPr>
              <w:pStyle w:val="TableParagraph"/>
              <w:numPr>
                <w:ilvl w:val="0"/>
                <w:numId w:val="16"/>
              </w:numPr>
              <w:tabs>
                <w:tab w:val="left" w:pos="158"/>
              </w:tabs>
              <w:spacing w:line="160" w:lineRule="exact"/>
              <w:ind w:hanging="99"/>
              <w:rPr>
                <w:b/>
                <w:sz w:val="14"/>
              </w:rPr>
            </w:pPr>
            <w:r>
              <w:rPr>
                <w:color w:val="231F20"/>
                <w:spacing w:val="-6"/>
                <w:sz w:val="14"/>
              </w:rPr>
              <w:t xml:space="preserve">Увод </w:t>
            </w:r>
            <w:r>
              <w:rPr>
                <w:color w:val="231F20"/>
                <w:sz w:val="14"/>
              </w:rPr>
              <w:t xml:space="preserve">у логику </w:t>
            </w:r>
            <w:r>
              <w:rPr>
                <w:b/>
                <w:color w:val="231F20"/>
                <w:sz w:val="14"/>
              </w:rPr>
              <w:t>(3 или 2</w:t>
            </w:r>
            <w:r>
              <w:rPr>
                <w:b/>
                <w:color w:val="231F20"/>
                <w:sz w:val="14"/>
              </w:rPr>
              <w:t xml:space="preserve"> </w:t>
            </w:r>
            <w:r>
              <w:rPr>
                <w:b/>
                <w:color w:val="231F20"/>
                <w:sz w:val="14"/>
              </w:rPr>
              <w:t>часа)</w:t>
            </w:r>
          </w:p>
          <w:p w:rsidR="00041039" w:rsidRDefault="001B26CB">
            <w:pPr>
              <w:pStyle w:val="TableParagraph"/>
              <w:numPr>
                <w:ilvl w:val="0"/>
                <w:numId w:val="16"/>
              </w:numPr>
              <w:tabs>
                <w:tab w:val="left" w:pos="158"/>
              </w:tabs>
              <w:spacing w:line="237" w:lineRule="auto"/>
              <w:ind w:right="349" w:hanging="99"/>
              <w:rPr>
                <w:b/>
                <w:sz w:val="14"/>
              </w:rPr>
            </w:pPr>
            <w:r>
              <w:rPr>
                <w:color w:val="231F20"/>
                <w:sz w:val="14"/>
              </w:rPr>
              <w:t>Формална логика: појам,</w:t>
            </w:r>
            <w:r>
              <w:rPr>
                <w:color w:val="231F20"/>
                <w:spacing w:val="-17"/>
                <w:sz w:val="14"/>
              </w:rPr>
              <w:t xml:space="preserve"> </w:t>
            </w:r>
            <w:r>
              <w:rPr>
                <w:color w:val="231F20"/>
                <w:spacing w:val="-3"/>
                <w:sz w:val="14"/>
              </w:rPr>
              <w:t xml:space="preserve">суд, </w:t>
            </w:r>
            <w:r>
              <w:rPr>
                <w:color w:val="231F20"/>
                <w:sz w:val="14"/>
              </w:rPr>
              <w:t xml:space="preserve">закључак </w:t>
            </w:r>
            <w:r>
              <w:rPr>
                <w:b/>
                <w:color w:val="231F20"/>
                <w:sz w:val="14"/>
              </w:rPr>
              <w:t>(8+8+11</w:t>
            </w:r>
            <w:r>
              <w:rPr>
                <w:b/>
                <w:color w:val="231F20"/>
                <w:spacing w:val="-7"/>
                <w:sz w:val="14"/>
              </w:rPr>
              <w:t xml:space="preserve"> </w:t>
            </w:r>
            <w:r>
              <w:rPr>
                <w:b/>
                <w:color w:val="231F20"/>
                <w:sz w:val="14"/>
              </w:rPr>
              <w:t>часова)</w:t>
            </w:r>
          </w:p>
          <w:p w:rsidR="00041039" w:rsidRDefault="001B26CB">
            <w:pPr>
              <w:pStyle w:val="TableParagraph"/>
              <w:numPr>
                <w:ilvl w:val="0"/>
                <w:numId w:val="16"/>
              </w:numPr>
              <w:tabs>
                <w:tab w:val="left" w:pos="158"/>
              </w:tabs>
              <w:spacing w:line="155" w:lineRule="exact"/>
              <w:ind w:hanging="99"/>
              <w:rPr>
                <w:b/>
                <w:sz w:val="14"/>
              </w:rPr>
            </w:pPr>
            <w:r>
              <w:rPr>
                <w:color w:val="231F20"/>
                <w:sz w:val="14"/>
              </w:rPr>
              <w:t xml:space="preserve">Логичке грешке </w:t>
            </w:r>
            <w:r>
              <w:rPr>
                <w:b/>
                <w:color w:val="231F20"/>
                <w:sz w:val="14"/>
              </w:rPr>
              <w:t>(6 или 5</w:t>
            </w:r>
            <w:r>
              <w:rPr>
                <w:b/>
                <w:color w:val="231F20"/>
                <w:spacing w:val="-26"/>
                <w:sz w:val="14"/>
              </w:rPr>
              <w:t xml:space="preserve"> </w:t>
            </w:r>
            <w:r>
              <w:rPr>
                <w:b/>
                <w:color w:val="231F20"/>
                <w:sz w:val="14"/>
              </w:rPr>
              <w:t>часова)</w:t>
            </w:r>
          </w:p>
          <w:p w:rsidR="00041039" w:rsidRDefault="001B26CB">
            <w:pPr>
              <w:pStyle w:val="TableParagraph"/>
              <w:numPr>
                <w:ilvl w:val="0"/>
                <w:numId w:val="16"/>
              </w:numPr>
              <w:tabs>
                <w:tab w:val="left" w:pos="158"/>
              </w:tabs>
              <w:spacing w:line="160" w:lineRule="exact"/>
              <w:ind w:hanging="99"/>
              <w:rPr>
                <w:b/>
                <w:sz w:val="14"/>
              </w:rPr>
            </w:pPr>
            <w:r>
              <w:rPr>
                <w:color w:val="231F20"/>
                <w:sz w:val="14"/>
              </w:rPr>
              <w:t xml:space="preserve">Појам и значај етике </w:t>
            </w:r>
            <w:r>
              <w:rPr>
                <w:b/>
                <w:color w:val="231F20"/>
                <w:sz w:val="14"/>
              </w:rPr>
              <w:t>(4</w:t>
            </w:r>
            <w:r>
              <w:rPr>
                <w:b/>
                <w:color w:val="231F20"/>
                <w:spacing w:val="-7"/>
                <w:sz w:val="14"/>
              </w:rPr>
              <w:t xml:space="preserve"> </w:t>
            </w:r>
            <w:r>
              <w:rPr>
                <w:b/>
                <w:color w:val="231F20"/>
                <w:sz w:val="14"/>
              </w:rPr>
              <w:t>часа)</w:t>
            </w:r>
          </w:p>
          <w:p w:rsidR="00041039" w:rsidRDefault="001B26CB">
            <w:pPr>
              <w:pStyle w:val="TableParagraph"/>
              <w:numPr>
                <w:ilvl w:val="0"/>
                <w:numId w:val="16"/>
              </w:numPr>
              <w:tabs>
                <w:tab w:val="left" w:pos="158"/>
              </w:tabs>
              <w:spacing w:line="237" w:lineRule="auto"/>
              <w:ind w:right="48" w:hanging="99"/>
              <w:rPr>
                <w:b/>
                <w:sz w:val="14"/>
              </w:rPr>
            </w:pPr>
            <w:r>
              <w:rPr>
                <w:color w:val="231F20"/>
                <w:sz w:val="14"/>
              </w:rPr>
              <w:t>Лични,</w:t>
            </w:r>
            <w:r>
              <w:rPr>
                <w:color w:val="231F20"/>
                <w:spacing w:val="-9"/>
                <w:sz w:val="14"/>
              </w:rPr>
              <w:t xml:space="preserve"> </w:t>
            </w:r>
            <w:r>
              <w:rPr>
                <w:color w:val="231F20"/>
                <w:sz w:val="14"/>
              </w:rPr>
              <w:t>идентитет,</w:t>
            </w:r>
            <w:r>
              <w:rPr>
                <w:color w:val="231F20"/>
                <w:spacing w:val="-9"/>
                <w:sz w:val="14"/>
              </w:rPr>
              <w:t xml:space="preserve"> </w:t>
            </w:r>
            <w:r>
              <w:rPr>
                <w:color w:val="231F20"/>
                <w:sz w:val="14"/>
              </w:rPr>
              <w:t>слобода</w:t>
            </w:r>
            <w:r>
              <w:rPr>
                <w:color w:val="231F20"/>
                <w:spacing w:val="-9"/>
                <w:sz w:val="14"/>
              </w:rPr>
              <w:t xml:space="preserve"> </w:t>
            </w:r>
            <w:r>
              <w:rPr>
                <w:color w:val="231F20"/>
                <w:sz w:val="14"/>
              </w:rPr>
              <w:t>и</w:t>
            </w:r>
            <w:r>
              <w:rPr>
                <w:color w:val="231F20"/>
                <w:spacing w:val="-9"/>
                <w:sz w:val="14"/>
              </w:rPr>
              <w:t xml:space="preserve"> </w:t>
            </w:r>
            <w:r>
              <w:rPr>
                <w:color w:val="231F20"/>
                <w:sz w:val="14"/>
              </w:rPr>
              <w:t xml:space="preserve">одго­ ворност </w:t>
            </w:r>
            <w:r>
              <w:rPr>
                <w:b/>
                <w:color w:val="231F20"/>
                <w:sz w:val="14"/>
              </w:rPr>
              <w:t>(14 или 12</w:t>
            </w:r>
            <w:r>
              <w:rPr>
                <w:b/>
                <w:color w:val="231F20"/>
                <w:spacing w:val="-5"/>
                <w:sz w:val="14"/>
              </w:rPr>
              <w:t xml:space="preserve"> </w:t>
            </w:r>
            <w:r>
              <w:rPr>
                <w:b/>
                <w:color w:val="231F20"/>
                <w:sz w:val="14"/>
              </w:rPr>
              <w:t>часова)</w:t>
            </w:r>
          </w:p>
          <w:p w:rsidR="00041039" w:rsidRDefault="001B26CB">
            <w:pPr>
              <w:pStyle w:val="TableParagraph"/>
              <w:numPr>
                <w:ilvl w:val="0"/>
                <w:numId w:val="16"/>
              </w:numPr>
              <w:tabs>
                <w:tab w:val="left" w:pos="158"/>
              </w:tabs>
              <w:spacing w:line="160" w:lineRule="exact"/>
              <w:ind w:right="298" w:hanging="99"/>
              <w:rPr>
                <w:b/>
                <w:sz w:val="14"/>
              </w:rPr>
            </w:pPr>
            <w:r>
              <w:rPr>
                <w:color w:val="231F20"/>
                <w:sz w:val="14"/>
              </w:rPr>
              <w:t>Основне етичке норме и</w:t>
            </w:r>
            <w:r>
              <w:rPr>
                <w:color w:val="231F20"/>
                <w:spacing w:val="-19"/>
                <w:sz w:val="14"/>
              </w:rPr>
              <w:t xml:space="preserve"> </w:t>
            </w:r>
            <w:r>
              <w:rPr>
                <w:color w:val="231F20"/>
                <w:sz w:val="14"/>
              </w:rPr>
              <w:t xml:space="preserve">вред­ ности </w:t>
            </w:r>
            <w:r>
              <w:rPr>
                <w:b/>
                <w:color w:val="231F20"/>
                <w:sz w:val="14"/>
              </w:rPr>
              <w:t>(16 или 14</w:t>
            </w:r>
            <w:r>
              <w:rPr>
                <w:b/>
                <w:color w:val="231F20"/>
                <w:spacing w:val="-5"/>
                <w:sz w:val="14"/>
              </w:rPr>
              <w:t xml:space="preserve"> </w:t>
            </w:r>
            <w:r>
              <w:rPr>
                <w:b/>
                <w:color w:val="231F20"/>
                <w:sz w:val="14"/>
              </w:rPr>
              <w:t>часова)</w:t>
            </w:r>
          </w:p>
        </w:tc>
      </w:tr>
      <w:tr w:rsidR="00041039">
        <w:trPr>
          <w:trHeight w:val="1316"/>
        </w:trPr>
        <w:tc>
          <w:tcPr>
            <w:tcW w:w="1304" w:type="dxa"/>
          </w:tcPr>
          <w:p w:rsidR="00041039" w:rsidRDefault="001B26CB">
            <w:pPr>
              <w:pStyle w:val="TableParagraph"/>
              <w:spacing w:before="16"/>
              <w:ind w:left="56"/>
              <w:rPr>
                <w:sz w:val="14"/>
              </w:rPr>
            </w:pPr>
            <w:r>
              <w:rPr>
                <w:color w:val="231F20"/>
                <w:sz w:val="14"/>
              </w:rPr>
              <w:t>Логичке грешке</w:t>
            </w:r>
          </w:p>
        </w:tc>
        <w:tc>
          <w:tcPr>
            <w:tcW w:w="1587" w:type="dxa"/>
          </w:tcPr>
          <w:p w:rsidR="00041039" w:rsidRDefault="001B26CB">
            <w:pPr>
              <w:pStyle w:val="TableParagraph"/>
              <w:numPr>
                <w:ilvl w:val="0"/>
                <w:numId w:val="15"/>
              </w:numPr>
              <w:tabs>
                <w:tab w:val="left" w:pos="157"/>
              </w:tabs>
              <w:spacing w:before="6"/>
              <w:ind w:right="136"/>
              <w:rPr>
                <w:sz w:val="14"/>
              </w:rPr>
            </w:pPr>
            <w:r>
              <w:rPr>
                <w:color w:val="231F20"/>
                <w:sz w:val="14"/>
              </w:rPr>
              <w:t>Оспособљавање ученика за уочавање грешака у</w:t>
            </w:r>
            <w:r>
              <w:rPr>
                <w:color w:val="231F20"/>
                <w:spacing w:val="-8"/>
                <w:sz w:val="14"/>
              </w:rPr>
              <w:t xml:space="preserve"> </w:t>
            </w:r>
            <w:r>
              <w:rPr>
                <w:color w:val="231F20"/>
                <w:sz w:val="14"/>
              </w:rPr>
              <w:t>аргумента­ цији, закључивању и доказивању.</w:t>
            </w:r>
          </w:p>
        </w:tc>
        <w:tc>
          <w:tcPr>
            <w:tcW w:w="2551" w:type="dxa"/>
          </w:tcPr>
          <w:p w:rsidR="00041039" w:rsidRDefault="001B26CB">
            <w:pPr>
              <w:pStyle w:val="TableParagraph"/>
              <w:numPr>
                <w:ilvl w:val="0"/>
                <w:numId w:val="14"/>
              </w:numPr>
              <w:tabs>
                <w:tab w:val="left" w:pos="157"/>
              </w:tabs>
              <w:spacing w:before="6"/>
              <w:ind w:right="58" w:hanging="99"/>
              <w:rPr>
                <w:sz w:val="14"/>
              </w:rPr>
            </w:pPr>
            <w:r>
              <w:rPr>
                <w:color w:val="231F20"/>
                <w:sz w:val="14"/>
              </w:rPr>
              <w:t xml:space="preserve">разликује случајне </w:t>
            </w:r>
            <w:r>
              <w:rPr>
                <w:color w:val="231F20"/>
                <w:spacing w:val="-3"/>
                <w:sz w:val="14"/>
              </w:rPr>
              <w:t xml:space="preserve">од </w:t>
            </w:r>
            <w:r>
              <w:rPr>
                <w:color w:val="231F20"/>
                <w:sz w:val="14"/>
              </w:rPr>
              <w:t>намерних логич­ ких</w:t>
            </w:r>
            <w:r>
              <w:rPr>
                <w:color w:val="231F20"/>
                <w:spacing w:val="-1"/>
                <w:sz w:val="14"/>
              </w:rPr>
              <w:t xml:space="preserve"> </w:t>
            </w:r>
            <w:r>
              <w:rPr>
                <w:color w:val="231F20"/>
                <w:sz w:val="14"/>
              </w:rPr>
              <w:t>грешака;</w:t>
            </w:r>
          </w:p>
          <w:p w:rsidR="00041039" w:rsidRDefault="001B26CB">
            <w:pPr>
              <w:pStyle w:val="TableParagraph"/>
              <w:numPr>
                <w:ilvl w:val="0"/>
                <w:numId w:val="14"/>
              </w:numPr>
              <w:tabs>
                <w:tab w:val="left" w:pos="157"/>
              </w:tabs>
              <w:spacing w:line="153" w:lineRule="exact"/>
              <w:ind w:hanging="99"/>
              <w:rPr>
                <w:sz w:val="14"/>
              </w:rPr>
            </w:pPr>
            <w:r>
              <w:rPr>
                <w:color w:val="231F20"/>
                <w:sz w:val="14"/>
              </w:rPr>
              <w:t>примењује форме закључка и</w:t>
            </w:r>
            <w:r>
              <w:rPr>
                <w:color w:val="231F20"/>
                <w:spacing w:val="-12"/>
                <w:sz w:val="14"/>
              </w:rPr>
              <w:t xml:space="preserve"> </w:t>
            </w:r>
            <w:r>
              <w:rPr>
                <w:color w:val="231F20"/>
                <w:sz w:val="14"/>
              </w:rPr>
              <w:t>доказа;</w:t>
            </w:r>
          </w:p>
          <w:p w:rsidR="00041039" w:rsidRDefault="001B26CB">
            <w:pPr>
              <w:pStyle w:val="TableParagraph"/>
              <w:numPr>
                <w:ilvl w:val="0"/>
                <w:numId w:val="14"/>
              </w:numPr>
              <w:tabs>
                <w:tab w:val="left" w:pos="157"/>
              </w:tabs>
              <w:spacing w:line="237" w:lineRule="auto"/>
              <w:ind w:right="118" w:hanging="99"/>
              <w:rPr>
                <w:sz w:val="14"/>
              </w:rPr>
            </w:pPr>
            <w:r>
              <w:rPr>
                <w:color w:val="231F20"/>
                <w:sz w:val="14"/>
              </w:rPr>
              <w:t>препознаје</w:t>
            </w:r>
            <w:r>
              <w:rPr>
                <w:color w:val="231F20"/>
                <w:spacing w:val="-8"/>
                <w:sz w:val="14"/>
              </w:rPr>
              <w:t xml:space="preserve"> </w:t>
            </w:r>
            <w:r>
              <w:rPr>
                <w:color w:val="231F20"/>
                <w:sz w:val="14"/>
              </w:rPr>
              <w:t>и</w:t>
            </w:r>
            <w:r>
              <w:rPr>
                <w:color w:val="231F20"/>
                <w:spacing w:val="-8"/>
                <w:sz w:val="14"/>
              </w:rPr>
              <w:t xml:space="preserve"> </w:t>
            </w:r>
            <w:r>
              <w:rPr>
                <w:color w:val="231F20"/>
                <w:sz w:val="14"/>
              </w:rPr>
              <w:t>именује</w:t>
            </w:r>
            <w:r>
              <w:rPr>
                <w:color w:val="231F20"/>
                <w:spacing w:val="-8"/>
                <w:sz w:val="14"/>
              </w:rPr>
              <w:t xml:space="preserve"> </w:t>
            </w:r>
            <w:r>
              <w:rPr>
                <w:color w:val="231F20"/>
                <w:sz w:val="14"/>
              </w:rPr>
              <w:t>логичке</w:t>
            </w:r>
            <w:r>
              <w:rPr>
                <w:color w:val="231F20"/>
                <w:spacing w:val="-7"/>
                <w:sz w:val="14"/>
              </w:rPr>
              <w:t xml:space="preserve"> </w:t>
            </w:r>
            <w:r>
              <w:rPr>
                <w:color w:val="231F20"/>
                <w:sz w:val="14"/>
              </w:rPr>
              <w:t>грешке: увођење четвртог појма у силогизам, нерасподељен појам, замена теза, argumentum ad hominem, post hoc ergo propter hoc;</w:t>
            </w:r>
          </w:p>
        </w:tc>
        <w:tc>
          <w:tcPr>
            <w:tcW w:w="2834" w:type="dxa"/>
          </w:tcPr>
          <w:p w:rsidR="00041039" w:rsidRDefault="001B26CB">
            <w:pPr>
              <w:pStyle w:val="TableParagraph"/>
              <w:numPr>
                <w:ilvl w:val="0"/>
                <w:numId w:val="13"/>
              </w:numPr>
              <w:tabs>
                <w:tab w:val="left" w:pos="157"/>
              </w:tabs>
              <w:spacing w:before="6" w:line="166" w:lineRule="exact"/>
              <w:ind w:hanging="99"/>
              <w:rPr>
                <w:sz w:val="14"/>
              </w:rPr>
            </w:pPr>
            <w:r>
              <w:rPr>
                <w:color w:val="231F20"/>
                <w:sz w:val="14"/>
              </w:rPr>
              <w:t>Паралогизми и</w:t>
            </w:r>
            <w:r>
              <w:rPr>
                <w:color w:val="231F20"/>
                <w:spacing w:val="-2"/>
                <w:sz w:val="14"/>
              </w:rPr>
              <w:t xml:space="preserve"> </w:t>
            </w:r>
            <w:r>
              <w:rPr>
                <w:color w:val="231F20"/>
                <w:sz w:val="14"/>
              </w:rPr>
              <w:t>софизми.</w:t>
            </w:r>
          </w:p>
          <w:p w:rsidR="00041039" w:rsidRDefault="001B26CB">
            <w:pPr>
              <w:pStyle w:val="TableParagraph"/>
              <w:numPr>
                <w:ilvl w:val="0"/>
                <w:numId w:val="13"/>
              </w:numPr>
              <w:tabs>
                <w:tab w:val="left" w:pos="157"/>
              </w:tabs>
              <w:spacing w:line="160"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pacing w:val="-3"/>
                <w:sz w:val="14"/>
              </w:rPr>
              <w:t>закључку.</w:t>
            </w:r>
          </w:p>
          <w:p w:rsidR="00041039" w:rsidRDefault="001B26CB">
            <w:pPr>
              <w:pStyle w:val="TableParagraph"/>
              <w:numPr>
                <w:ilvl w:val="0"/>
                <w:numId w:val="13"/>
              </w:numPr>
              <w:tabs>
                <w:tab w:val="left" w:pos="157"/>
              </w:tabs>
              <w:spacing w:line="160"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pacing w:val="-3"/>
                <w:sz w:val="14"/>
              </w:rPr>
              <w:t>доказу.</w:t>
            </w:r>
          </w:p>
          <w:p w:rsidR="00041039" w:rsidRDefault="001B26CB">
            <w:pPr>
              <w:pStyle w:val="TableParagraph"/>
              <w:numPr>
                <w:ilvl w:val="0"/>
                <w:numId w:val="13"/>
              </w:numPr>
              <w:tabs>
                <w:tab w:val="left" w:pos="157"/>
              </w:tabs>
              <w:spacing w:line="166" w:lineRule="exact"/>
              <w:ind w:hanging="99"/>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z w:val="14"/>
              </w:rPr>
              <w:t>аргументацији.</w:t>
            </w:r>
          </w:p>
        </w:tc>
        <w:tc>
          <w:tcPr>
            <w:tcW w:w="2267" w:type="dxa"/>
            <w:vMerge/>
            <w:tcBorders>
              <w:top w:val="nil"/>
            </w:tcBorders>
          </w:tcPr>
          <w:p w:rsidR="00041039" w:rsidRDefault="00041039">
            <w:pPr>
              <w:rPr>
                <w:sz w:val="2"/>
                <w:szCs w:val="2"/>
              </w:rPr>
            </w:pPr>
          </w:p>
        </w:tc>
      </w:tr>
      <w:tr w:rsidR="00041039">
        <w:trPr>
          <w:trHeight w:val="1000"/>
        </w:trPr>
        <w:tc>
          <w:tcPr>
            <w:tcW w:w="1304" w:type="dxa"/>
          </w:tcPr>
          <w:p w:rsidR="00041039" w:rsidRDefault="001B26CB">
            <w:pPr>
              <w:pStyle w:val="TableParagraph"/>
              <w:spacing w:before="20"/>
              <w:ind w:left="56" w:right="174"/>
              <w:rPr>
                <w:sz w:val="14"/>
              </w:rPr>
            </w:pPr>
            <w:r>
              <w:rPr>
                <w:color w:val="231F20"/>
                <w:sz w:val="14"/>
              </w:rPr>
              <w:t>Појам и значај етике</w:t>
            </w:r>
          </w:p>
        </w:tc>
        <w:tc>
          <w:tcPr>
            <w:tcW w:w="1587" w:type="dxa"/>
          </w:tcPr>
          <w:p w:rsidR="00041039" w:rsidRDefault="001B26CB">
            <w:pPr>
              <w:pStyle w:val="TableParagraph"/>
              <w:numPr>
                <w:ilvl w:val="0"/>
                <w:numId w:val="12"/>
              </w:numPr>
              <w:tabs>
                <w:tab w:val="left" w:pos="157"/>
              </w:tabs>
              <w:spacing w:before="10"/>
              <w:ind w:right="50"/>
              <w:rPr>
                <w:sz w:val="14"/>
              </w:rPr>
            </w:pPr>
            <w:r>
              <w:rPr>
                <w:color w:val="231F20"/>
                <w:sz w:val="14"/>
              </w:rPr>
              <w:t xml:space="preserve">Развој сазнања о појму и предмету етике, зна­ чају моралних норми за живот појединца у </w:t>
            </w:r>
            <w:r>
              <w:rPr>
                <w:color w:val="231F20"/>
                <w:spacing w:val="-3"/>
                <w:sz w:val="14"/>
              </w:rPr>
              <w:t>друштву.</w:t>
            </w:r>
          </w:p>
        </w:tc>
        <w:tc>
          <w:tcPr>
            <w:tcW w:w="2551" w:type="dxa"/>
          </w:tcPr>
          <w:p w:rsidR="00041039" w:rsidRDefault="001B26CB">
            <w:pPr>
              <w:pStyle w:val="TableParagraph"/>
              <w:numPr>
                <w:ilvl w:val="0"/>
                <w:numId w:val="11"/>
              </w:numPr>
              <w:tabs>
                <w:tab w:val="left" w:pos="157"/>
              </w:tabs>
              <w:spacing w:before="10"/>
              <w:ind w:right="50" w:hanging="99"/>
              <w:jc w:val="both"/>
              <w:rPr>
                <w:sz w:val="14"/>
              </w:rPr>
            </w:pPr>
            <w:r>
              <w:rPr>
                <w:color w:val="231F20"/>
                <w:sz w:val="14"/>
              </w:rPr>
              <w:t>набраја правила (норме) из</w:t>
            </w:r>
            <w:r>
              <w:rPr>
                <w:color w:val="231F20"/>
                <w:spacing w:val="-17"/>
                <w:sz w:val="14"/>
              </w:rPr>
              <w:t xml:space="preserve"> </w:t>
            </w:r>
            <w:r>
              <w:rPr>
                <w:color w:val="231F20"/>
                <w:sz w:val="14"/>
              </w:rPr>
              <w:t>различитих сфера</w:t>
            </w:r>
            <w:r>
              <w:rPr>
                <w:color w:val="231F20"/>
                <w:spacing w:val="-1"/>
                <w:sz w:val="14"/>
              </w:rPr>
              <w:t xml:space="preserve"> </w:t>
            </w:r>
            <w:r>
              <w:rPr>
                <w:color w:val="231F20"/>
                <w:sz w:val="14"/>
              </w:rPr>
              <w:t>живота;</w:t>
            </w:r>
          </w:p>
          <w:p w:rsidR="00041039" w:rsidRDefault="001B26CB">
            <w:pPr>
              <w:pStyle w:val="TableParagraph"/>
              <w:numPr>
                <w:ilvl w:val="0"/>
                <w:numId w:val="11"/>
              </w:numPr>
              <w:tabs>
                <w:tab w:val="left" w:pos="157"/>
              </w:tabs>
              <w:spacing w:line="160" w:lineRule="exact"/>
              <w:ind w:right="71" w:hanging="99"/>
              <w:jc w:val="both"/>
              <w:rPr>
                <w:sz w:val="14"/>
              </w:rPr>
            </w:pPr>
            <w:r>
              <w:rPr>
                <w:color w:val="231F20"/>
                <w:sz w:val="14"/>
              </w:rPr>
              <w:t>издваја правила која слободно</w:t>
            </w:r>
            <w:r>
              <w:rPr>
                <w:color w:val="231F20"/>
                <w:spacing w:val="-27"/>
                <w:sz w:val="14"/>
              </w:rPr>
              <w:t xml:space="preserve"> </w:t>
            </w:r>
            <w:r>
              <w:rPr>
                <w:color w:val="231F20"/>
                <w:sz w:val="14"/>
              </w:rPr>
              <w:t xml:space="preserve">прихва­ тамо и разликује их </w:t>
            </w:r>
            <w:r>
              <w:rPr>
                <w:color w:val="231F20"/>
                <w:spacing w:val="-3"/>
                <w:sz w:val="14"/>
              </w:rPr>
              <w:t xml:space="preserve">од </w:t>
            </w:r>
            <w:r>
              <w:rPr>
                <w:color w:val="231F20"/>
                <w:sz w:val="14"/>
              </w:rPr>
              <w:t>оних која</w:t>
            </w:r>
            <w:r>
              <w:rPr>
                <w:color w:val="231F20"/>
                <w:spacing w:val="-10"/>
                <w:sz w:val="14"/>
              </w:rPr>
              <w:t xml:space="preserve"> </w:t>
            </w:r>
            <w:r>
              <w:rPr>
                <w:color w:val="231F20"/>
                <w:sz w:val="14"/>
              </w:rPr>
              <w:t>имају спољашње</w:t>
            </w:r>
            <w:r>
              <w:rPr>
                <w:color w:val="231F20"/>
                <w:spacing w:val="-1"/>
                <w:sz w:val="14"/>
              </w:rPr>
              <w:t xml:space="preserve"> </w:t>
            </w:r>
            <w:r>
              <w:rPr>
                <w:color w:val="231F20"/>
                <w:sz w:val="14"/>
              </w:rPr>
              <w:t>порекло;</w:t>
            </w:r>
          </w:p>
          <w:p w:rsidR="00041039" w:rsidRDefault="001B26CB">
            <w:pPr>
              <w:pStyle w:val="TableParagraph"/>
              <w:numPr>
                <w:ilvl w:val="0"/>
                <w:numId w:val="11"/>
              </w:numPr>
              <w:tabs>
                <w:tab w:val="left" w:pos="157"/>
              </w:tabs>
              <w:spacing w:line="157" w:lineRule="exact"/>
              <w:ind w:hanging="99"/>
              <w:jc w:val="both"/>
              <w:rPr>
                <w:sz w:val="14"/>
              </w:rPr>
            </w:pPr>
            <w:r>
              <w:rPr>
                <w:color w:val="231F20"/>
                <w:sz w:val="14"/>
              </w:rPr>
              <w:t>дефинише предмет</w:t>
            </w:r>
            <w:r>
              <w:rPr>
                <w:color w:val="231F20"/>
                <w:spacing w:val="-1"/>
                <w:sz w:val="14"/>
              </w:rPr>
              <w:t xml:space="preserve"> </w:t>
            </w:r>
            <w:r>
              <w:rPr>
                <w:color w:val="231F20"/>
                <w:sz w:val="14"/>
              </w:rPr>
              <w:t>етике;</w:t>
            </w:r>
          </w:p>
        </w:tc>
        <w:tc>
          <w:tcPr>
            <w:tcW w:w="2834" w:type="dxa"/>
          </w:tcPr>
          <w:p w:rsidR="00041039" w:rsidRDefault="001B26CB">
            <w:pPr>
              <w:pStyle w:val="TableParagraph"/>
              <w:numPr>
                <w:ilvl w:val="0"/>
                <w:numId w:val="10"/>
              </w:numPr>
              <w:tabs>
                <w:tab w:val="left" w:pos="158"/>
              </w:tabs>
              <w:spacing w:before="10" w:line="166" w:lineRule="exact"/>
              <w:rPr>
                <w:sz w:val="14"/>
              </w:rPr>
            </w:pPr>
            <w:r>
              <w:rPr>
                <w:color w:val="231F20"/>
                <w:sz w:val="14"/>
              </w:rPr>
              <w:t>Настанак и предмет</w:t>
            </w:r>
            <w:r>
              <w:rPr>
                <w:color w:val="231F20"/>
                <w:spacing w:val="-2"/>
                <w:sz w:val="14"/>
              </w:rPr>
              <w:t xml:space="preserve"> </w:t>
            </w:r>
            <w:r>
              <w:rPr>
                <w:color w:val="231F20"/>
                <w:sz w:val="14"/>
              </w:rPr>
              <w:t>етике.</w:t>
            </w:r>
          </w:p>
          <w:p w:rsidR="00041039" w:rsidRDefault="001B26CB">
            <w:pPr>
              <w:pStyle w:val="TableParagraph"/>
              <w:numPr>
                <w:ilvl w:val="0"/>
                <w:numId w:val="10"/>
              </w:numPr>
              <w:tabs>
                <w:tab w:val="left" w:pos="158"/>
              </w:tabs>
              <w:spacing w:line="160" w:lineRule="exact"/>
              <w:rPr>
                <w:sz w:val="14"/>
              </w:rPr>
            </w:pPr>
            <w:r>
              <w:rPr>
                <w:color w:val="231F20"/>
                <w:sz w:val="14"/>
              </w:rPr>
              <w:t>Појам норме и појам</w:t>
            </w:r>
            <w:r>
              <w:rPr>
                <w:color w:val="231F20"/>
                <w:spacing w:val="-5"/>
                <w:sz w:val="14"/>
              </w:rPr>
              <w:t xml:space="preserve"> </w:t>
            </w:r>
            <w:r>
              <w:rPr>
                <w:color w:val="231F20"/>
                <w:sz w:val="14"/>
              </w:rPr>
              <w:t>морала.</w:t>
            </w:r>
          </w:p>
          <w:p w:rsidR="00041039" w:rsidRDefault="001B26CB">
            <w:pPr>
              <w:pStyle w:val="TableParagraph"/>
              <w:numPr>
                <w:ilvl w:val="0"/>
                <w:numId w:val="10"/>
              </w:numPr>
              <w:tabs>
                <w:tab w:val="left" w:pos="158"/>
              </w:tabs>
              <w:spacing w:line="237" w:lineRule="auto"/>
              <w:ind w:right="429"/>
              <w:rPr>
                <w:sz w:val="14"/>
              </w:rPr>
            </w:pPr>
            <w:r>
              <w:rPr>
                <w:color w:val="231F20"/>
                <w:sz w:val="14"/>
              </w:rPr>
              <w:t>Разлика између обичајних, правних</w:t>
            </w:r>
            <w:r>
              <w:rPr>
                <w:color w:val="231F20"/>
                <w:spacing w:val="-17"/>
                <w:sz w:val="14"/>
              </w:rPr>
              <w:t xml:space="preserve"> </w:t>
            </w:r>
            <w:r>
              <w:rPr>
                <w:color w:val="231F20"/>
                <w:sz w:val="14"/>
              </w:rPr>
              <w:t>и етичких</w:t>
            </w:r>
            <w:r>
              <w:rPr>
                <w:color w:val="231F20"/>
                <w:spacing w:val="-1"/>
                <w:sz w:val="14"/>
              </w:rPr>
              <w:t xml:space="preserve"> </w:t>
            </w:r>
            <w:r>
              <w:rPr>
                <w:color w:val="231F20"/>
                <w:sz w:val="14"/>
              </w:rPr>
              <w:t>норми.</w:t>
            </w:r>
          </w:p>
        </w:tc>
        <w:tc>
          <w:tcPr>
            <w:tcW w:w="2267" w:type="dxa"/>
            <w:vMerge/>
            <w:tcBorders>
              <w:top w:val="nil"/>
            </w:tcBorders>
          </w:tcPr>
          <w:p w:rsidR="00041039" w:rsidRDefault="00041039">
            <w:pPr>
              <w:rPr>
                <w:sz w:val="2"/>
                <w:szCs w:val="2"/>
              </w:rPr>
            </w:pPr>
          </w:p>
        </w:tc>
      </w:tr>
      <w:tr w:rsidR="00041039">
        <w:trPr>
          <w:trHeight w:val="2600"/>
        </w:trPr>
        <w:tc>
          <w:tcPr>
            <w:tcW w:w="1304" w:type="dxa"/>
          </w:tcPr>
          <w:p w:rsidR="00041039" w:rsidRDefault="001B26CB">
            <w:pPr>
              <w:pStyle w:val="TableParagraph"/>
              <w:spacing w:before="20"/>
              <w:ind w:left="57" w:right="37"/>
              <w:rPr>
                <w:sz w:val="14"/>
              </w:rPr>
            </w:pPr>
            <w:r>
              <w:rPr>
                <w:color w:val="231F20"/>
                <w:sz w:val="14"/>
              </w:rPr>
              <w:t>Лични, идентитет, слобода и одговор­ ност</w:t>
            </w:r>
          </w:p>
        </w:tc>
        <w:tc>
          <w:tcPr>
            <w:tcW w:w="1587" w:type="dxa"/>
          </w:tcPr>
          <w:p w:rsidR="00041039" w:rsidRDefault="001B26CB">
            <w:pPr>
              <w:pStyle w:val="TableParagraph"/>
              <w:numPr>
                <w:ilvl w:val="0"/>
                <w:numId w:val="9"/>
              </w:numPr>
              <w:tabs>
                <w:tab w:val="left" w:pos="157"/>
              </w:tabs>
              <w:spacing w:before="10"/>
              <w:ind w:right="88" w:hanging="99"/>
              <w:rPr>
                <w:sz w:val="14"/>
              </w:rPr>
            </w:pPr>
            <w:r>
              <w:rPr>
                <w:color w:val="231F20"/>
                <w:sz w:val="14"/>
              </w:rPr>
              <w:t xml:space="preserve">Развој сазнања о </w:t>
            </w:r>
            <w:r>
              <w:rPr>
                <w:color w:val="231F20"/>
                <w:spacing w:val="-3"/>
                <w:sz w:val="14"/>
              </w:rPr>
              <w:t xml:space="preserve">идентитету, </w:t>
            </w:r>
            <w:r>
              <w:rPr>
                <w:color w:val="231F20"/>
                <w:sz w:val="14"/>
              </w:rPr>
              <w:t xml:space="preserve">форми­ рању идентитета и о флуидности иденти­ тета </w:t>
            </w:r>
            <w:r>
              <w:rPr>
                <w:color w:val="231F20"/>
                <w:spacing w:val="-3"/>
                <w:sz w:val="14"/>
              </w:rPr>
              <w:t xml:space="preserve">преко </w:t>
            </w:r>
            <w:r>
              <w:rPr>
                <w:color w:val="231F20"/>
                <w:sz w:val="14"/>
              </w:rPr>
              <w:t>социјалних улога.</w:t>
            </w:r>
          </w:p>
          <w:p w:rsidR="00041039" w:rsidRDefault="001B26CB">
            <w:pPr>
              <w:pStyle w:val="TableParagraph"/>
              <w:numPr>
                <w:ilvl w:val="0"/>
                <w:numId w:val="9"/>
              </w:numPr>
              <w:tabs>
                <w:tab w:val="left" w:pos="157"/>
              </w:tabs>
              <w:spacing w:line="154" w:lineRule="exact"/>
              <w:ind w:hanging="99"/>
              <w:rPr>
                <w:sz w:val="14"/>
              </w:rPr>
            </w:pPr>
            <w:r>
              <w:rPr>
                <w:color w:val="231F20"/>
                <w:sz w:val="14"/>
              </w:rPr>
              <w:t>Развој способности</w:t>
            </w:r>
          </w:p>
          <w:p w:rsidR="00041039" w:rsidRDefault="001B26CB">
            <w:pPr>
              <w:pStyle w:val="TableParagraph"/>
              <w:ind w:right="33"/>
              <w:rPr>
                <w:sz w:val="14"/>
              </w:rPr>
            </w:pPr>
            <w:r>
              <w:rPr>
                <w:color w:val="231F20"/>
                <w:sz w:val="14"/>
              </w:rPr>
              <w:t>идентификовања раз­ ликовања појмова пол и род и утицај културе на формирање појмова пола и рода (разлике у културама).</w:t>
            </w:r>
          </w:p>
          <w:p w:rsidR="00041039" w:rsidRDefault="001B26CB">
            <w:pPr>
              <w:pStyle w:val="TableParagraph"/>
              <w:numPr>
                <w:ilvl w:val="0"/>
                <w:numId w:val="9"/>
              </w:numPr>
              <w:tabs>
                <w:tab w:val="left" w:pos="157"/>
              </w:tabs>
              <w:spacing w:line="155" w:lineRule="exact"/>
              <w:ind w:hanging="99"/>
              <w:rPr>
                <w:sz w:val="14"/>
              </w:rPr>
            </w:pPr>
            <w:r>
              <w:rPr>
                <w:color w:val="231F20"/>
                <w:sz w:val="14"/>
              </w:rPr>
              <w:t>Формирање става</w:t>
            </w:r>
            <w:r>
              <w:rPr>
                <w:color w:val="231F20"/>
                <w:spacing w:val="-2"/>
                <w:sz w:val="14"/>
              </w:rPr>
              <w:t xml:space="preserve"> </w:t>
            </w:r>
            <w:r>
              <w:rPr>
                <w:color w:val="231F20"/>
                <w:sz w:val="14"/>
              </w:rPr>
              <w:t>о</w:t>
            </w:r>
          </w:p>
          <w:p w:rsidR="00041039" w:rsidRDefault="001B26CB">
            <w:pPr>
              <w:pStyle w:val="TableParagraph"/>
              <w:spacing w:before="1" w:line="160" w:lineRule="exact"/>
              <w:ind w:right="15"/>
              <w:rPr>
                <w:sz w:val="14"/>
              </w:rPr>
            </w:pPr>
            <w:r>
              <w:rPr>
                <w:color w:val="231F20"/>
                <w:sz w:val="14"/>
              </w:rPr>
              <w:t>улози медија у креи­ рању идентитета.</w:t>
            </w:r>
          </w:p>
        </w:tc>
        <w:tc>
          <w:tcPr>
            <w:tcW w:w="2551" w:type="dxa"/>
          </w:tcPr>
          <w:p w:rsidR="00041039" w:rsidRDefault="001B26CB">
            <w:pPr>
              <w:pStyle w:val="TableParagraph"/>
              <w:numPr>
                <w:ilvl w:val="0"/>
                <w:numId w:val="8"/>
              </w:numPr>
              <w:tabs>
                <w:tab w:val="left" w:pos="157"/>
              </w:tabs>
              <w:spacing w:before="10"/>
              <w:ind w:right="77" w:hanging="99"/>
              <w:rPr>
                <w:sz w:val="14"/>
              </w:rPr>
            </w:pPr>
            <w:r>
              <w:rPr>
                <w:color w:val="231F20"/>
                <w:sz w:val="14"/>
              </w:rPr>
              <w:t xml:space="preserve">набраја </w:t>
            </w:r>
            <w:r>
              <w:rPr>
                <w:color w:val="231F20"/>
                <w:spacing w:val="-3"/>
                <w:sz w:val="14"/>
              </w:rPr>
              <w:t xml:space="preserve">како </w:t>
            </w:r>
            <w:r>
              <w:rPr>
                <w:color w:val="231F20"/>
                <w:sz w:val="14"/>
              </w:rPr>
              <w:t>се све манифестује лични идентитет;</w:t>
            </w:r>
          </w:p>
          <w:p w:rsidR="00041039" w:rsidRDefault="001B26CB">
            <w:pPr>
              <w:pStyle w:val="TableParagraph"/>
              <w:numPr>
                <w:ilvl w:val="0"/>
                <w:numId w:val="8"/>
              </w:numPr>
              <w:tabs>
                <w:tab w:val="left" w:pos="157"/>
              </w:tabs>
              <w:spacing w:before="1" w:line="160" w:lineRule="exact"/>
              <w:ind w:right="44" w:hanging="99"/>
              <w:rPr>
                <w:sz w:val="14"/>
              </w:rPr>
            </w:pPr>
            <w:r>
              <w:rPr>
                <w:color w:val="231F20"/>
                <w:sz w:val="14"/>
              </w:rPr>
              <w:t>разликује утицаје који формирају лични</w:t>
            </w:r>
            <w:r>
              <w:rPr>
                <w:color w:val="231F20"/>
                <w:spacing w:val="-6"/>
                <w:sz w:val="14"/>
              </w:rPr>
              <w:t xml:space="preserve"> </w:t>
            </w:r>
            <w:r>
              <w:rPr>
                <w:color w:val="231F20"/>
                <w:sz w:val="14"/>
              </w:rPr>
              <w:t>идентитет</w:t>
            </w:r>
            <w:r>
              <w:rPr>
                <w:color w:val="231F20"/>
                <w:spacing w:val="-6"/>
                <w:sz w:val="14"/>
              </w:rPr>
              <w:t xml:space="preserve"> </w:t>
            </w:r>
            <w:r>
              <w:rPr>
                <w:color w:val="231F20"/>
                <w:sz w:val="14"/>
              </w:rPr>
              <w:t>(разликује</w:t>
            </w:r>
            <w:r>
              <w:rPr>
                <w:color w:val="231F20"/>
                <w:spacing w:val="-6"/>
                <w:sz w:val="14"/>
              </w:rPr>
              <w:t xml:space="preserve"> </w:t>
            </w:r>
            <w:r>
              <w:rPr>
                <w:color w:val="231F20"/>
                <w:sz w:val="14"/>
              </w:rPr>
              <w:t>род</w:t>
            </w:r>
            <w:r>
              <w:rPr>
                <w:color w:val="231F20"/>
                <w:spacing w:val="-6"/>
                <w:sz w:val="14"/>
              </w:rPr>
              <w:t xml:space="preserve"> </w:t>
            </w:r>
            <w:r>
              <w:rPr>
                <w:color w:val="231F20"/>
                <w:sz w:val="14"/>
              </w:rPr>
              <w:t>и</w:t>
            </w:r>
            <w:r>
              <w:rPr>
                <w:color w:val="231F20"/>
                <w:spacing w:val="-6"/>
                <w:sz w:val="14"/>
              </w:rPr>
              <w:t xml:space="preserve"> </w:t>
            </w:r>
            <w:r>
              <w:rPr>
                <w:color w:val="231F20"/>
                <w:sz w:val="14"/>
              </w:rPr>
              <w:t>пол);</w:t>
            </w:r>
          </w:p>
          <w:p w:rsidR="00041039" w:rsidRDefault="001B26CB">
            <w:pPr>
              <w:pStyle w:val="TableParagraph"/>
              <w:numPr>
                <w:ilvl w:val="0"/>
                <w:numId w:val="8"/>
              </w:numPr>
              <w:tabs>
                <w:tab w:val="left" w:pos="157"/>
              </w:tabs>
              <w:spacing w:line="160" w:lineRule="exact"/>
              <w:ind w:right="208" w:hanging="99"/>
              <w:rPr>
                <w:sz w:val="14"/>
              </w:rPr>
            </w:pPr>
            <w:r>
              <w:rPr>
                <w:color w:val="231F20"/>
                <w:sz w:val="14"/>
              </w:rPr>
              <w:t xml:space="preserve">увиђа </w:t>
            </w:r>
            <w:r>
              <w:rPr>
                <w:color w:val="231F20"/>
                <w:spacing w:val="-3"/>
                <w:sz w:val="14"/>
              </w:rPr>
              <w:t xml:space="preserve">колика </w:t>
            </w:r>
            <w:r>
              <w:rPr>
                <w:color w:val="231F20"/>
                <w:sz w:val="14"/>
              </w:rPr>
              <w:t>је моћ визуелног иден­ титета;</w:t>
            </w:r>
          </w:p>
          <w:p w:rsidR="00041039" w:rsidRDefault="001B26CB">
            <w:pPr>
              <w:pStyle w:val="TableParagraph"/>
              <w:numPr>
                <w:ilvl w:val="0"/>
                <w:numId w:val="8"/>
              </w:numPr>
              <w:tabs>
                <w:tab w:val="left" w:pos="157"/>
              </w:tabs>
              <w:spacing w:line="160" w:lineRule="exact"/>
              <w:ind w:right="110" w:hanging="99"/>
              <w:rPr>
                <w:sz w:val="14"/>
              </w:rPr>
            </w:pPr>
            <w:r>
              <w:rPr>
                <w:color w:val="231F20"/>
                <w:sz w:val="14"/>
              </w:rPr>
              <w:t>препознаје утицај медија на</w:t>
            </w:r>
            <w:r>
              <w:rPr>
                <w:color w:val="231F20"/>
                <w:spacing w:val="-13"/>
                <w:sz w:val="14"/>
              </w:rPr>
              <w:t xml:space="preserve"> </w:t>
            </w:r>
            <w:r>
              <w:rPr>
                <w:color w:val="231F20"/>
                <w:sz w:val="14"/>
              </w:rPr>
              <w:t>креирање визуелног</w:t>
            </w:r>
            <w:r>
              <w:rPr>
                <w:color w:val="231F20"/>
                <w:spacing w:val="-1"/>
                <w:sz w:val="14"/>
              </w:rPr>
              <w:t xml:space="preserve"> </w:t>
            </w:r>
            <w:r>
              <w:rPr>
                <w:color w:val="231F20"/>
                <w:sz w:val="14"/>
              </w:rPr>
              <w:t>идентитета;</w:t>
            </w:r>
          </w:p>
          <w:p w:rsidR="00041039" w:rsidRDefault="001B26CB">
            <w:pPr>
              <w:pStyle w:val="TableParagraph"/>
              <w:numPr>
                <w:ilvl w:val="0"/>
                <w:numId w:val="8"/>
              </w:numPr>
              <w:tabs>
                <w:tab w:val="left" w:pos="157"/>
              </w:tabs>
              <w:spacing w:line="160" w:lineRule="exact"/>
              <w:ind w:right="94" w:hanging="99"/>
              <w:rPr>
                <w:sz w:val="14"/>
              </w:rPr>
            </w:pPr>
            <w:r>
              <w:rPr>
                <w:color w:val="231F20"/>
                <w:sz w:val="14"/>
              </w:rPr>
              <w:t>уочава разлику између модних и</w:t>
            </w:r>
            <w:r>
              <w:rPr>
                <w:color w:val="231F20"/>
                <w:spacing w:val="-21"/>
                <w:sz w:val="14"/>
              </w:rPr>
              <w:t xml:space="preserve"> </w:t>
            </w:r>
            <w:r>
              <w:rPr>
                <w:color w:val="231F20"/>
                <w:sz w:val="14"/>
              </w:rPr>
              <w:t>етич­ ких</w:t>
            </w:r>
            <w:r>
              <w:rPr>
                <w:color w:val="231F20"/>
                <w:spacing w:val="-1"/>
                <w:sz w:val="14"/>
              </w:rPr>
              <w:t xml:space="preserve"> </w:t>
            </w:r>
            <w:r>
              <w:rPr>
                <w:color w:val="231F20"/>
                <w:sz w:val="14"/>
              </w:rPr>
              <w:t>императива;</w:t>
            </w:r>
          </w:p>
          <w:p w:rsidR="00041039" w:rsidRDefault="001B26CB">
            <w:pPr>
              <w:pStyle w:val="TableParagraph"/>
              <w:numPr>
                <w:ilvl w:val="0"/>
                <w:numId w:val="8"/>
              </w:numPr>
              <w:tabs>
                <w:tab w:val="left" w:pos="157"/>
              </w:tabs>
              <w:spacing w:line="160" w:lineRule="exact"/>
              <w:ind w:right="209" w:hanging="99"/>
              <w:rPr>
                <w:sz w:val="14"/>
              </w:rPr>
            </w:pPr>
            <w:r>
              <w:rPr>
                <w:color w:val="231F20"/>
                <w:sz w:val="14"/>
              </w:rPr>
              <w:t>супротставља медијски наметнуте животне идеале и етичке</w:t>
            </w:r>
            <w:r>
              <w:rPr>
                <w:color w:val="231F20"/>
                <w:spacing w:val="-12"/>
                <w:sz w:val="14"/>
              </w:rPr>
              <w:t xml:space="preserve"> </w:t>
            </w:r>
            <w:r>
              <w:rPr>
                <w:color w:val="231F20"/>
                <w:sz w:val="14"/>
              </w:rPr>
              <w:t>вредности;</w:t>
            </w:r>
          </w:p>
        </w:tc>
        <w:tc>
          <w:tcPr>
            <w:tcW w:w="2834" w:type="dxa"/>
          </w:tcPr>
          <w:p w:rsidR="00041039" w:rsidRDefault="001B26CB">
            <w:pPr>
              <w:pStyle w:val="TableParagraph"/>
              <w:numPr>
                <w:ilvl w:val="0"/>
                <w:numId w:val="7"/>
              </w:numPr>
              <w:tabs>
                <w:tab w:val="left" w:pos="158"/>
              </w:tabs>
              <w:spacing w:before="11"/>
              <w:ind w:right="152"/>
              <w:rPr>
                <w:sz w:val="14"/>
              </w:rPr>
            </w:pPr>
            <w:r>
              <w:rPr>
                <w:color w:val="231F20"/>
                <w:spacing w:val="-4"/>
                <w:sz w:val="14"/>
              </w:rPr>
              <w:t xml:space="preserve">Улога </w:t>
            </w:r>
            <w:r>
              <w:rPr>
                <w:color w:val="231F20"/>
                <w:sz w:val="14"/>
              </w:rPr>
              <w:t>визуелног идентитета у формирању личног идентитета ­ међусобни</w:t>
            </w:r>
            <w:r>
              <w:rPr>
                <w:color w:val="231F20"/>
                <w:spacing w:val="-8"/>
                <w:sz w:val="14"/>
              </w:rPr>
              <w:t xml:space="preserve"> </w:t>
            </w:r>
            <w:r>
              <w:rPr>
                <w:color w:val="231F20"/>
                <w:sz w:val="14"/>
              </w:rPr>
              <w:t>утицаји.</w:t>
            </w:r>
          </w:p>
          <w:p w:rsidR="00041039" w:rsidRDefault="001B26CB">
            <w:pPr>
              <w:pStyle w:val="TableParagraph"/>
              <w:numPr>
                <w:ilvl w:val="0"/>
                <w:numId w:val="7"/>
              </w:numPr>
              <w:tabs>
                <w:tab w:val="left" w:pos="158"/>
              </w:tabs>
              <w:spacing w:line="153" w:lineRule="exact"/>
              <w:rPr>
                <w:sz w:val="14"/>
              </w:rPr>
            </w:pPr>
            <w:r>
              <w:rPr>
                <w:color w:val="231F20"/>
                <w:sz w:val="14"/>
              </w:rPr>
              <w:t>Појмови пола и</w:t>
            </w:r>
            <w:r>
              <w:rPr>
                <w:color w:val="231F20"/>
                <w:spacing w:val="-4"/>
                <w:sz w:val="14"/>
              </w:rPr>
              <w:t xml:space="preserve"> </w:t>
            </w:r>
            <w:r>
              <w:rPr>
                <w:color w:val="231F20"/>
                <w:sz w:val="14"/>
              </w:rPr>
              <w:t>рода.</w:t>
            </w:r>
          </w:p>
          <w:p w:rsidR="00041039" w:rsidRDefault="001B26CB">
            <w:pPr>
              <w:pStyle w:val="TableParagraph"/>
              <w:numPr>
                <w:ilvl w:val="0"/>
                <w:numId w:val="7"/>
              </w:numPr>
              <w:tabs>
                <w:tab w:val="left" w:pos="158"/>
              </w:tabs>
              <w:spacing w:line="237" w:lineRule="auto"/>
              <w:ind w:right="184"/>
              <w:rPr>
                <w:sz w:val="14"/>
              </w:rPr>
            </w:pPr>
            <w:r>
              <w:rPr>
                <w:color w:val="231F20"/>
                <w:sz w:val="14"/>
              </w:rPr>
              <w:t>Утицај медија на релативизацију</w:t>
            </w:r>
            <w:r>
              <w:rPr>
                <w:color w:val="231F20"/>
                <w:spacing w:val="-20"/>
                <w:sz w:val="14"/>
              </w:rPr>
              <w:t xml:space="preserve"> </w:t>
            </w:r>
            <w:r>
              <w:rPr>
                <w:color w:val="231F20"/>
                <w:sz w:val="14"/>
              </w:rPr>
              <w:t>етичких вредности.</w:t>
            </w:r>
          </w:p>
          <w:p w:rsidR="00041039" w:rsidRDefault="001B26CB">
            <w:pPr>
              <w:pStyle w:val="TableParagraph"/>
              <w:numPr>
                <w:ilvl w:val="0"/>
                <w:numId w:val="7"/>
              </w:numPr>
              <w:tabs>
                <w:tab w:val="left" w:pos="158"/>
              </w:tabs>
              <w:spacing w:line="155" w:lineRule="exact"/>
              <w:rPr>
                <w:sz w:val="14"/>
              </w:rPr>
            </w:pPr>
            <w:r>
              <w:rPr>
                <w:color w:val="231F20"/>
                <w:sz w:val="14"/>
              </w:rPr>
              <w:t>Естетски и етички</w:t>
            </w:r>
            <w:r>
              <w:rPr>
                <w:color w:val="231F20"/>
                <w:spacing w:val="-2"/>
                <w:sz w:val="14"/>
              </w:rPr>
              <w:t xml:space="preserve"> </w:t>
            </w:r>
            <w:r>
              <w:rPr>
                <w:color w:val="231F20"/>
                <w:sz w:val="14"/>
              </w:rPr>
              <w:t>идеал.</w:t>
            </w:r>
          </w:p>
          <w:p w:rsidR="00041039" w:rsidRDefault="001B26CB">
            <w:pPr>
              <w:pStyle w:val="TableParagraph"/>
              <w:numPr>
                <w:ilvl w:val="0"/>
                <w:numId w:val="7"/>
              </w:numPr>
              <w:tabs>
                <w:tab w:val="left" w:pos="158"/>
              </w:tabs>
              <w:spacing w:line="160" w:lineRule="exact"/>
              <w:rPr>
                <w:sz w:val="14"/>
              </w:rPr>
            </w:pPr>
            <w:r>
              <w:rPr>
                <w:color w:val="231F20"/>
                <w:sz w:val="14"/>
              </w:rPr>
              <w:t>Тело и интервенције на</w:t>
            </w:r>
            <w:r>
              <w:rPr>
                <w:color w:val="231F20"/>
                <w:spacing w:val="-4"/>
                <w:sz w:val="14"/>
              </w:rPr>
              <w:t xml:space="preserve"> </w:t>
            </w:r>
            <w:r>
              <w:rPr>
                <w:color w:val="231F20"/>
                <w:sz w:val="14"/>
              </w:rPr>
              <w:t>телу</w:t>
            </w:r>
          </w:p>
          <w:p w:rsidR="00041039" w:rsidRDefault="001B26CB">
            <w:pPr>
              <w:pStyle w:val="TableParagraph"/>
              <w:numPr>
                <w:ilvl w:val="0"/>
                <w:numId w:val="7"/>
              </w:numPr>
              <w:tabs>
                <w:tab w:val="left" w:pos="158"/>
              </w:tabs>
              <w:spacing w:line="166" w:lineRule="exact"/>
              <w:rPr>
                <w:sz w:val="14"/>
              </w:rPr>
            </w:pPr>
            <w:r>
              <w:rPr>
                <w:color w:val="231F20"/>
                <w:sz w:val="14"/>
              </w:rPr>
              <w:t>Сајбер идентитет, морал и слобода</w:t>
            </w:r>
            <w:r>
              <w:rPr>
                <w:color w:val="231F20"/>
                <w:spacing w:val="-20"/>
                <w:sz w:val="14"/>
              </w:rPr>
              <w:t xml:space="preserve"> </w:t>
            </w:r>
            <w:r>
              <w:rPr>
                <w:color w:val="231F20"/>
                <w:sz w:val="14"/>
              </w:rPr>
              <w:t>избора.</w:t>
            </w:r>
          </w:p>
        </w:tc>
        <w:tc>
          <w:tcPr>
            <w:tcW w:w="2267" w:type="dxa"/>
            <w:vMerge/>
            <w:tcBorders>
              <w:top w:val="nil"/>
            </w:tcBorders>
          </w:tcPr>
          <w:p w:rsidR="00041039" w:rsidRDefault="00041039">
            <w:pPr>
              <w:rPr>
                <w:sz w:val="2"/>
                <w:szCs w:val="2"/>
              </w:rPr>
            </w:pPr>
          </w:p>
        </w:tc>
      </w:tr>
    </w:tbl>
    <w:p w:rsidR="00041039" w:rsidRDefault="00041039">
      <w:pPr>
        <w:rPr>
          <w:sz w:val="2"/>
          <w:szCs w:val="2"/>
        </w:rPr>
        <w:sectPr w:rsidR="00041039">
          <w:pgSz w:w="11910" w:h="15710"/>
          <w:pgMar w:top="160" w:right="5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4"/>
        <w:gridCol w:w="1587"/>
        <w:gridCol w:w="2551"/>
        <w:gridCol w:w="2834"/>
        <w:gridCol w:w="2267"/>
      </w:tblGrid>
      <w:tr w:rsidR="00041039">
        <w:trPr>
          <w:trHeight w:val="2280"/>
        </w:trPr>
        <w:tc>
          <w:tcPr>
            <w:tcW w:w="1304" w:type="dxa"/>
          </w:tcPr>
          <w:p w:rsidR="00041039" w:rsidRDefault="001B26CB">
            <w:pPr>
              <w:pStyle w:val="TableParagraph"/>
              <w:spacing w:before="18"/>
              <w:ind w:left="56" w:right="94"/>
              <w:rPr>
                <w:sz w:val="14"/>
              </w:rPr>
            </w:pPr>
            <w:r>
              <w:rPr>
                <w:color w:val="231F20"/>
                <w:sz w:val="14"/>
              </w:rPr>
              <w:lastRenderedPageBreak/>
              <w:t>Основне етичке норме и вредности</w:t>
            </w:r>
          </w:p>
        </w:tc>
        <w:tc>
          <w:tcPr>
            <w:tcW w:w="1587" w:type="dxa"/>
          </w:tcPr>
          <w:p w:rsidR="00041039" w:rsidRDefault="001B26CB">
            <w:pPr>
              <w:pStyle w:val="TableParagraph"/>
              <w:numPr>
                <w:ilvl w:val="0"/>
                <w:numId w:val="6"/>
              </w:numPr>
              <w:tabs>
                <w:tab w:val="left" w:pos="157"/>
              </w:tabs>
              <w:spacing w:before="8"/>
              <w:ind w:right="78"/>
              <w:rPr>
                <w:sz w:val="14"/>
              </w:rPr>
            </w:pPr>
            <w:r>
              <w:rPr>
                <w:color w:val="231F20"/>
                <w:sz w:val="14"/>
              </w:rPr>
              <w:t>Упознавање ученика са основним етичким нормама и вредности­ ма и развијање</w:t>
            </w:r>
            <w:r>
              <w:rPr>
                <w:color w:val="231F20"/>
                <w:spacing w:val="-8"/>
                <w:sz w:val="14"/>
              </w:rPr>
              <w:t xml:space="preserve"> </w:t>
            </w:r>
            <w:r>
              <w:rPr>
                <w:color w:val="231F20"/>
                <w:sz w:val="14"/>
              </w:rPr>
              <w:t>личног вредносног</w:t>
            </w:r>
            <w:r>
              <w:rPr>
                <w:color w:val="231F20"/>
                <w:spacing w:val="-1"/>
                <w:sz w:val="14"/>
              </w:rPr>
              <w:t xml:space="preserve"> </w:t>
            </w:r>
            <w:r>
              <w:rPr>
                <w:color w:val="231F20"/>
                <w:sz w:val="14"/>
              </w:rPr>
              <w:t>система.</w:t>
            </w:r>
          </w:p>
        </w:tc>
        <w:tc>
          <w:tcPr>
            <w:tcW w:w="2551" w:type="dxa"/>
          </w:tcPr>
          <w:p w:rsidR="00041039" w:rsidRDefault="001B26CB">
            <w:pPr>
              <w:pStyle w:val="TableParagraph"/>
              <w:numPr>
                <w:ilvl w:val="0"/>
                <w:numId w:val="5"/>
              </w:numPr>
              <w:tabs>
                <w:tab w:val="left" w:pos="157"/>
              </w:tabs>
              <w:spacing w:before="8" w:line="166" w:lineRule="exact"/>
              <w:ind w:hanging="99"/>
              <w:rPr>
                <w:sz w:val="14"/>
              </w:rPr>
            </w:pPr>
            <w:r>
              <w:rPr>
                <w:color w:val="231F20"/>
                <w:sz w:val="14"/>
              </w:rPr>
              <w:t xml:space="preserve">препознаје важније </w:t>
            </w:r>
            <w:r>
              <w:rPr>
                <w:color w:val="231F20"/>
                <w:spacing w:val="-3"/>
                <w:sz w:val="14"/>
              </w:rPr>
              <w:t>људске</w:t>
            </w:r>
            <w:r>
              <w:rPr>
                <w:color w:val="231F20"/>
                <w:spacing w:val="-9"/>
                <w:sz w:val="14"/>
              </w:rPr>
              <w:t xml:space="preserve"> </w:t>
            </w:r>
            <w:r>
              <w:rPr>
                <w:color w:val="231F20"/>
                <w:sz w:val="14"/>
              </w:rPr>
              <w:t>вредности;</w:t>
            </w:r>
          </w:p>
          <w:p w:rsidR="00041039" w:rsidRDefault="001B26CB">
            <w:pPr>
              <w:pStyle w:val="TableParagraph"/>
              <w:numPr>
                <w:ilvl w:val="0"/>
                <w:numId w:val="5"/>
              </w:numPr>
              <w:tabs>
                <w:tab w:val="left" w:pos="157"/>
              </w:tabs>
              <w:spacing w:line="237" w:lineRule="auto"/>
              <w:ind w:right="171" w:hanging="99"/>
              <w:rPr>
                <w:sz w:val="14"/>
              </w:rPr>
            </w:pPr>
            <w:r>
              <w:rPr>
                <w:color w:val="231F20"/>
                <w:sz w:val="14"/>
              </w:rPr>
              <w:t xml:space="preserve">разликује слободне </w:t>
            </w:r>
            <w:r>
              <w:rPr>
                <w:color w:val="231F20"/>
                <w:spacing w:val="-3"/>
                <w:sz w:val="14"/>
              </w:rPr>
              <w:t xml:space="preserve">од </w:t>
            </w:r>
            <w:r>
              <w:rPr>
                <w:color w:val="231F20"/>
                <w:sz w:val="14"/>
              </w:rPr>
              <w:t>самовољних и наметнутих</w:t>
            </w:r>
            <w:r>
              <w:rPr>
                <w:color w:val="231F20"/>
                <w:spacing w:val="-2"/>
                <w:sz w:val="14"/>
              </w:rPr>
              <w:t xml:space="preserve"> </w:t>
            </w:r>
            <w:r>
              <w:rPr>
                <w:color w:val="231F20"/>
                <w:sz w:val="14"/>
              </w:rPr>
              <w:t>поступака;</w:t>
            </w:r>
          </w:p>
          <w:p w:rsidR="00041039" w:rsidRDefault="001B26CB">
            <w:pPr>
              <w:pStyle w:val="TableParagraph"/>
              <w:numPr>
                <w:ilvl w:val="0"/>
                <w:numId w:val="5"/>
              </w:numPr>
              <w:tabs>
                <w:tab w:val="left" w:pos="157"/>
              </w:tabs>
              <w:spacing w:line="160" w:lineRule="exact"/>
              <w:ind w:right="185" w:hanging="99"/>
              <w:rPr>
                <w:sz w:val="14"/>
              </w:rPr>
            </w:pPr>
            <w:r>
              <w:rPr>
                <w:color w:val="231F20"/>
                <w:sz w:val="14"/>
              </w:rPr>
              <w:t>схвата постојање слободе избора</w:t>
            </w:r>
            <w:r>
              <w:rPr>
                <w:color w:val="231F20"/>
                <w:spacing w:val="-20"/>
                <w:sz w:val="14"/>
              </w:rPr>
              <w:t xml:space="preserve"> </w:t>
            </w:r>
            <w:r>
              <w:rPr>
                <w:color w:val="231F20"/>
                <w:sz w:val="14"/>
              </w:rPr>
              <w:t>као услова моралног</w:t>
            </w:r>
            <w:r>
              <w:rPr>
                <w:color w:val="231F20"/>
                <w:spacing w:val="-2"/>
                <w:sz w:val="14"/>
              </w:rPr>
              <w:t xml:space="preserve"> </w:t>
            </w:r>
            <w:r>
              <w:rPr>
                <w:color w:val="231F20"/>
                <w:sz w:val="14"/>
              </w:rPr>
              <w:t>поступања;</w:t>
            </w:r>
          </w:p>
          <w:p w:rsidR="00041039" w:rsidRDefault="001B26CB">
            <w:pPr>
              <w:pStyle w:val="TableParagraph"/>
              <w:numPr>
                <w:ilvl w:val="0"/>
                <w:numId w:val="5"/>
              </w:numPr>
              <w:tabs>
                <w:tab w:val="left" w:pos="157"/>
              </w:tabs>
              <w:spacing w:line="160" w:lineRule="exact"/>
              <w:ind w:right="144" w:hanging="99"/>
              <w:rPr>
                <w:sz w:val="14"/>
              </w:rPr>
            </w:pPr>
            <w:r>
              <w:rPr>
                <w:color w:val="231F20"/>
                <w:sz w:val="14"/>
              </w:rPr>
              <w:t>разуме везу између избора и</w:t>
            </w:r>
            <w:r>
              <w:rPr>
                <w:color w:val="231F20"/>
                <w:spacing w:val="-27"/>
                <w:sz w:val="14"/>
              </w:rPr>
              <w:t xml:space="preserve"> </w:t>
            </w:r>
            <w:r>
              <w:rPr>
                <w:color w:val="231F20"/>
                <w:sz w:val="14"/>
              </w:rPr>
              <w:t>одговор­ ности;</w:t>
            </w:r>
          </w:p>
          <w:p w:rsidR="00041039" w:rsidRDefault="001B26CB">
            <w:pPr>
              <w:pStyle w:val="TableParagraph"/>
              <w:numPr>
                <w:ilvl w:val="0"/>
                <w:numId w:val="5"/>
              </w:numPr>
              <w:tabs>
                <w:tab w:val="left" w:pos="157"/>
              </w:tabs>
              <w:spacing w:line="160" w:lineRule="exact"/>
              <w:ind w:right="273" w:hanging="99"/>
              <w:rPr>
                <w:sz w:val="14"/>
              </w:rPr>
            </w:pPr>
            <w:r>
              <w:rPr>
                <w:color w:val="231F20"/>
                <w:sz w:val="14"/>
              </w:rPr>
              <w:t>упоређује одговорне и</w:t>
            </w:r>
            <w:r>
              <w:rPr>
                <w:color w:val="231F20"/>
                <w:spacing w:val="-22"/>
                <w:sz w:val="14"/>
              </w:rPr>
              <w:t xml:space="preserve"> </w:t>
            </w:r>
            <w:r>
              <w:rPr>
                <w:color w:val="231F20"/>
                <w:sz w:val="14"/>
              </w:rPr>
              <w:t>неодговорне поступке;</w:t>
            </w:r>
          </w:p>
          <w:p w:rsidR="00041039" w:rsidRDefault="001B26CB">
            <w:pPr>
              <w:pStyle w:val="TableParagraph"/>
              <w:numPr>
                <w:ilvl w:val="0"/>
                <w:numId w:val="5"/>
              </w:numPr>
              <w:tabs>
                <w:tab w:val="left" w:pos="157"/>
              </w:tabs>
              <w:spacing w:line="160" w:lineRule="exact"/>
              <w:ind w:right="306" w:hanging="99"/>
              <w:jc w:val="both"/>
              <w:rPr>
                <w:sz w:val="14"/>
              </w:rPr>
            </w:pPr>
            <w:r>
              <w:rPr>
                <w:color w:val="231F20"/>
                <w:sz w:val="14"/>
              </w:rPr>
              <w:t>може да расправља о томе да ли је извор морала у нама или изван</w:t>
            </w:r>
            <w:r>
              <w:rPr>
                <w:color w:val="231F20"/>
                <w:spacing w:val="-16"/>
                <w:sz w:val="14"/>
              </w:rPr>
              <w:t xml:space="preserve"> </w:t>
            </w:r>
            <w:r>
              <w:rPr>
                <w:color w:val="231F20"/>
                <w:sz w:val="14"/>
              </w:rPr>
              <w:t>нас (аутономна и хетерономна</w:t>
            </w:r>
            <w:r>
              <w:rPr>
                <w:color w:val="231F20"/>
                <w:spacing w:val="-16"/>
                <w:sz w:val="14"/>
              </w:rPr>
              <w:t xml:space="preserve"> </w:t>
            </w:r>
            <w:r>
              <w:rPr>
                <w:color w:val="231F20"/>
                <w:sz w:val="14"/>
              </w:rPr>
              <w:t>етика);</w:t>
            </w:r>
          </w:p>
          <w:p w:rsidR="00041039" w:rsidRDefault="001B26CB">
            <w:pPr>
              <w:pStyle w:val="TableParagraph"/>
              <w:numPr>
                <w:ilvl w:val="0"/>
                <w:numId w:val="5"/>
              </w:numPr>
              <w:tabs>
                <w:tab w:val="left" w:pos="157"/>
              </w:tabs>
              <w:spacing w:line="160" w:lineRule="exact"/>
              <w:ind w:right="134" w:hanging="99"/>
              <w:rPr>
                <w:sz w:val="14"/>
              </w:rPr>
            </w:pPr>
            <w:r>
              <w:rPr>
                <w:color w:val="231F20"/>
                <w:sz w:val="14"/>
              </w:rPr>
              <w:t>увиђа разлику између основних етич­ ких</w:t>
            </w:r>
            <w:r>
              <w:rPr>
                <w:color w:val="231F20"/>
                <w:spacing w:val="-1"/>
                <w:sz w:val="14"/>
              </w:rPr>
              <w:t xml:space="preserve"> </w:t>
            </w:r>
            <w:r>
              <w:rPr>
                <w:color w:val="231F20"/>
                <w:sz w:val="14"/>
              </w:rPr>
              <w:t>праваца;</w:t>
            </w:r>
          </w:p>
        </w:tc>
        <w:tc>
          <w:tcPr>
            <w:tcW w:w="2834" w:type="dxa"/>
          </w:tcPr>
          <w:p w:rsidR="00041039" w:rsidRDefault="001B26CB">
            <w:pPr>
              <w:pStyle w:val="TableParagraph"/>
              <w:numPr>
                <w:ilvl w:val="0"/>
                <w:numId w:val="4"/>
              </w:numPr>
              <w:tabs>
                <w:tab w:val="left" w:pos="157"/>
              </w:tabs>
              <w:spacing w:before="8" w:line="166" w:lineRule="exact"/>
              <w:ind w:hanging="99"/>
              <w:rPr>
                <w:sz w:val="14"/>
              </w:rPr>
            </w:pPr>
            <w:r>
              <w:rPr>
                <w:color w:val="231F20"/>
                <w:sz w:val="14"/>
              </w:rPr>
              <w:t>Пријатељство.</w:t>
            </w:r>
          </w:p>
          <w:p w:rsidR="00041039" w:rsidRDefault="001B26CB">
            <w:pPr>
              <w:pStyle w:val="TableParagraph"/>
              <w:numPr>
                <w:ilvl w:val="0"/>
                <w:numId w:val="4"/>
              </w:numPr>
              <w:tabs>
                <w:tab w:val="left" w:pos="157"/>
              </w:tabs>
              <w:spacing w:line="160" w:lineRule="exact"/>
              <w:ind w:hanging="99"/>
              <w:rPr>
                <w:sz w:val="14"/>
              </w:rPr>
            </w:pPr>
            <w:r>
              <w:rPr>
                <w:color w:val="231F20"/>
                <w:sz w:val="14"/>
              </w:rPr>
              <w:t>Верност.</w:t>
            </w:r>
          </w:p>
          <w:p w:rsidR="00041039" w:rsidRDefault="001B26CB">
            <w:pPr>
              <w:pStyle w:val="TableParagraph"/>
              <w:numPr>
                <w:ilvl w:val="0"/>
                <w:numId w:val="4"/>
              </w:numPr>
              <w:tabs>
                <w:tab w:val="left" w:pos="157"/>
              </w:tabs>
              <w:spacing w:line="160" w:lineRule="exact"/>
              <w:ind w:hanging="99"/>
              <w:rPr>
                <w:sz w:val="14"/>
              </w:rPr>
            </w:pPr>
            <w:r>
              <w:rPr>
                <w:color w:val="231F20"/>
                <w:sz w:val="14"/>
              </w:rPr>
              <w:t>Породица.</w:t>
            </w:r>
          </w:p>
          <w:p w:rsidR="00041039" w:rsidRDefault="001B26CB">
            <w:pPr>
              <w:pStyle w:val="TableParagraph"/>
              <w:numPr>
                <w:ilvl w:val="0"/>
                <w:numId w:val="4"/>
              </w:numPr>
              <w:tabs>
                <w:tab w:val="left" w:pos="157"/>
              </w:tabs>
              <w:spacing w:line="160" w:lineRule="exact"/>
              <w:ind w:hanging="99"/>
              <w:rPr>
                <w:sz w:val="14"/>
              </w:rPr>
            </w:pPr>
            <w:r>
              <w:rPr>
                <w:color w:val="231F20"/>
                <w:sz w:val="14"/>
              </w:rPr>
              <w:t>Љубав.</w:t>
            </w:r>
          </w:p>
          <w:p w:rsidR="00041039" w:rsidRDefault="001B26CB">
            <w:pPr>
              <w:pStyle w:val="TableParagraph"/>
              <w:numPr>
                <w:ilvl w:val="0"/>
                <w:numId w:val="4"/>
              </w:numPr>
              <w:tabs>
                <w:tab w:val="left" w:pos="157"/>
              </w:tabs>
              <w:spacing w:line="160" w:lineRule="exact"/>
              <w:ind w:hanging="99"/>
              <w:rPr>
                <w:sz w:val="14"/>
              </w:rPr>
            </w:pPr>
            <w:r>
              <w:rPr>
                <w:color w:val="231F20"/>
                <w:sz w:val="14"/>
              </w:rPr>
              <w:t>Морално</w:t>
            </w:r>
            <w:r>
              <w:rPr>
                <w:color w:val="231F20"/>
                <w:spacing w:val="-2"/>
                <w:sz w:val="14"/>
              </w:rPr>
              <w:t xml:space="preserve"> </w:t>
            </w:r>
            <w:r>
              <w:rPr>
                <w:color w:val="231F20"/>
                <w:sz w:val="14"/>
              </w:rPr>
              <w:t>добро.</w:t>
            </w:r>
          </w:p>
          <w:p w:rsidR="00041039" w:rsidRDefault="001B26CB">
            <w:pPr>
              <w:pStyle w:val="TableParagraph"/>
              <w:numPr>
                <w:ilvl w:val="0"/>
                <w:numId w:val="4"/>
              </w:numPr>
              <w:tabs>
                <w:tab w:val="left" w:pos="157"/>
              </w:tabs>
              <w:spacing w:line="160" w:lineRule="exact"/>
              <w:ind w:hanging="99"/>
              <w:rPr>
                <w:sz w:val="14"/>
              </w:rPr>
            </w:pPr>
            <w:r>
              <w:rPr>
                <w:color w:val="231F20"/>
                <w:sz w:val="14"/>
              </w:rPr>
              <w:t>Донација</w:t>
            </w:r>
            <w:r>
              <w:rPr>
                <w:color w:val="231F20"/>
                <w:spacing w:val="-2"/>
                <w:sz w:val="14"/>
              </w:rPr>
              <w:t xml:space="preserve"> </w:t>
            </w:r>
            <w:r>
              <w:rPr>
                <w:color w:val="231F20"/>
                <w:sz w:val="14"/>
              </w:rPr>
              <w:t>органа.</w:t>
            </w:r>
          </w:p>
          <w:p w:rsidR="00041039" w:rsidRDefault="001B26CB">
            <w:pPr>
              <w:pStyle w:val="TableParagraph"/>
              <w:numPr>
                <w:ilvl w:val="0"/>
                <w:numId w:val="4"/>
              </w:numPr>
              <w:tabs>
                <w:tab w:val="left" w:pos="157"/>
              </w:tabs>
              <w:spacing w:line="160" w:lineRule="exact"/>
              <w:ind w:hanging="99"/>
              <w:rPr>
                <w:sz w:val="14"/>
              </w:rPr>
            </w:pPr>
            <w:r>
              <w:rPr>
                <w:color w:val="231F20"/>
                <w:sz w:val="14"/>
              </w:rPr>
              <w:t>Сурогат</w:t>
            </w:r>
            <w:r>
              <w:rPr>
                <w:color w:val="231F20"/>
                <w:spacing w:val="-1"/>
                <w:sz w:val="14"/>
              </w:rPr>
              <w:t xml:space="preserve"> </w:t>
            </w:r>
            <w:r>
              <w:rPr>
                <w:color w:val="231F20"/>
                <w:sz w:val="14"/>
              </w:rPr>
              <w:t>мајка.</w:t>
            </w:r>
          </w:p>
          <w:p w:rsidR="00041039" w:rsidRDefault="001B26CB">
            <w:pPr>
              <w:pStyle w:val="TableParagraph"/>
              <w:numPr>
                <w:ilvl w:val="0"/>
                <w:numId w:val="4"/>
              </w:numPr>
              <w:tabs>
                <w:tab w:val="left" w:pos="157"/>
              </w:tabs>
              <w:spacing w:line="166" w:lineRule="exact"/>
              <w:ind w:hanging="99"/>
              <w:rPr>
                <w:sz w:val="14"/>
              </w:rPr>
            </w:pPr>
            <w:r>
              <w:rPr>
                <w:color w:val="231F20"/>
                <w:sz w:val="14"/>
              </w:rPr>
              <w:t>Клонирање.</w:t>
            </w:r>
          </w:p>
        </w:tc>
        <w:tc>
          <w:tcPr>
            <w:tcW w:w="2267" w:type="dxa"/>
          </w:tcPr>
          <w:p w:rsidR="00041039" w:rsidRDefault="00041039">
            <w:pPr>
              <w:pStyle w:val="TableParagraph"/>
              <w:ind w:left="0"/>
              <w:rPr>
                <w:sz w:val="14"/>
              </w:rPr>
            </w:pPr>
          </w:p>
        </w:tc>
      </w:tr>
    </w:tbl>
    <w:p w:rsidR="00041039" w:rsidRDefault="00041039">
      <w:pPr>
        <w:pStyle w:val="BodyText"/>
        <w:spacing w:before="7"/>
        <w:rPr>
          <w:b/>
          <w:sz w:val="12"/>
        </w:rPr>
      </w:pPr>
    </w:p>
    <w:p w:rsidR="00041039" w:rsidRDefault="001B26CB">
      <w:pPr>
        <w:pStyle w:val="Heading1"/>
      </w:pPr>
      <w:r>
        <w:rPr>
          <w:color w:val="231F20"/>
        </w:rPr>
        <w:t>КОРЕЛАЦИЈА СА ДРУГИМ ПРЕДМЕТИМА</w:t>
      </w:r>
    </w:p>
    <w:p w:rsidR="00041039" w:rsidRDefault="001B26CB">
      <w:pPr>
        <w:pStyle w:val="Heading2"/>
        <w:numPr>
          <w:ilvl w:val="0"/>
          <w:numId w:val="1"/>
        </w:numPr>
        <w:tabs>
          <w:tab w:val="left" w:pos="633"/>
        </w:tabs>
      </w:pPr>
      <w:r>
        <w:rPr>
          <w:color w:val="231F20"/>
        </w:rPr>
        <w:t>Историја</w:t>
      </w:r>
    </w:p>
    <w:p w:rsidR="00041039" w:rsidRDefault="001B26CB">
      <w:pPr>
        <w:pStyle w:val="ListParagraph"/>
        <w:numPr>
          <w:ilvl w:val="0"/>
          <w:numId w:val="1"/>
        </w:numPr>
        <w:tabs>
          <w:tab w:val="left" w:pos="633"/>
        </w:tabs>
        <w:rPr>
          <w:sz w:val="18"/>
        </w:rPr>
      </w:pPr>
      <w:r>
        <w:rPr>
          <w:color w:val="231F20"/>
          <w:spacing w:val="-3"/>
          <w:sz w:val="18"/>
        </w:rPr>
        <w:t>Грађанско</w:t>
      </w:r>
      <w:r>
        <w:rPr>
          <w:color w:val="231F20"/>
          <w:sz w:val="18"/>
        </w:rPr>
        <w:t xml:space="preserve"> васпитање</w:t>
      </w:r>
    </w:p>
    <w:p w:rsidR="00041039" w:rsidRDefault="001B26CB">
      <w:pPr>
        <w:pStyle w:val="ListParagraph"/>
        <w:numPr>
          <w:ilvl w:val="0"/>
          <w:numId w:val="1"/>
        </w:numPr>
        <w:tabs>
          <w:tab w:val="left" w:pos="633"/>
        </w:tabs>
        <w:spacing w:line="203" w:lineRule="exact"/>
        <w:rPr>
          <w:sz w:val="18"/>
        </w:rPr>
      </w:pPr>
      <w:r>
        <w:rPr>
          <w:color w:val="231F20"/>
          <w:sz w:val="18"/>
        </w:rPr>
        <w:t>Верска</w:t>
      </w:r>
      <w:r>
        <w:rPr>
          <w:color w:val="231F20"/>
          <w:spacing w:val="-1"/>
          <w:sz w:val="18"/>
        </w:rPr>
        <w:t xml:space="preserve"> </w:t>
      </w:r>
      <w:r>
        <w:rPr>
          <w:color w:val="231F20"/>
          <w:sz w:val="18"/>
        </w:rPr>
        <w:t>настава</w:t>
      </w:r>
    </w:p>
    <w:sectPr w:rsidR="00041039">
      <w:pgSz w:w="11910" w:h="15710"/>
      <w:pgMar w:top="160" w:right="540" w:bottom="280" w:left="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A94" w:rsidRDefault="00FA3A94" w:rsidP="00FA3A94">
      <w:r>
        <w:separator/>
      </w:r>
    </w:p>
  </w:endnote>
  <w:endnote w:type="continuationSeparator" w:id="0">
    <w:p w:rsidR="00FA3A94" w:rsidRDefault="00FA3A94" w:rsidP="00FA3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79037"/>
      <w:docPartObj>
        <w:docPartGallery w:val="Page Numbers (Bottom of Page)"/>
        <w:docPartUnique/>
      </w:docPartObj>
    </w:sdtPr>
    <w:sdtEndPr>
      <w:rPr>
        <w:noProof/>
      </w:rPr>
    </w:sdtEndPr>
    <w:sdtContent>
      <w:p w:rsidR="00FA3A94" w:rsidRDefault="00FA3A94">
        <w:pPr>
          <w:pStyle w:val="Footer"/>
          <w:jc w:val="center"/>
        </w:pPr>
        <w:r>
          <w:fldChar w:fldCharType="begin"/>
        </w:r>
        <w:r>
          <w:instrText xml:space="preserve"> PAGE   \* MERGEFORMAT </w:instrText>
        </w:r>
        <w:r>
          <w:fldChar w:fldCharType="separate"/>
        </w:r>
        <w:r w:rsidR="001B26CB">
          <w:rPr>
            <w:noProof/>
          </w:rPr>
          <w:t>21</w:t>
        </w:r>
        <w:r>
          <w:rPr>
            <w:noProof/>
          </w:rPr>
          <w:fldChar w:fldCharType="end"/>
        </w:r>
      </w:p>
    </w:sdtContent>
  </w:sdt>
  <w:p w:rsidR="00FA3A94" w:rsidRDefault="00FA3A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A94" w:rsidRDefault="00FA3A94" w:rsidP="00FA3A94">
      <w:r>
        <w:separator/>
      </w:r>
    </w:p>
  </w:footnote>
  <w:footnote w:type="continuationSeparator" w:id="0">
    <w:p w:rsidR="00FA3A94" w:rsidRDefault="00FA3A94" w:rsidP="00FA3A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314C"/>
    <w:multiLevelType w:val="hybridMultilevel"/>
    <w:tmpl w:val="BBC2A982"/>
    <w:lvl w:ilvl="0" w:tplc="70ACF5B8">
      <w:numFmt w:val="bullet"/>
      <w:lvlText w:val=""/>
      <w:lvlJc w:val="left"/>
      <w:pPr>
        <w:ind w:left="156" w:hanging="100"/>
      </w:pPr>
      <w:rPr>
        <w:rFonts w:ascii="Symbol" w:eastAsia="Symbol" w:hAnsi="Symbol" w:cs="Symbol" w:hint="default"/>
        <w:color w:val="231F20"/>
        <w:w w:val="100"/>
        <w:sz w:val="14"/>
        <w:szCs w:val="14"/>
      </w:rPr>
    </w:lvl>
    <w:lvl w:ilvl="1" w:tplc="5E38F8D6">
      <w:numFmt w:val="bullet"/>
      <w:lvlText w:val="•"/>
      <w:lvlJc w:val="left"/>
      <w:pPr>
        <w:ind w:left="301" w:hanging="100"/>
      </w:pPr>
      <w:rPr>
        <w:rFonts w:hint="default"/>
      </w:rPr>
    </w:lvl>
    <w:lvl w:ilvl="2" w:tplc="EA4AAFF8">
      <w:numFmt w:val="bullet"/>
      <w:lvlText w:val="•"/>
      <w:lvlJc w:val="left"/>
      <w:pPr>
        <w:ind w:left="443" w:hanging="100"/>
      </w:pPr>
      <w:rPr>
        <w:rFonts w:hint="default"/>
      </w:rPr>
    </w:lvl>
    <w:lvl w:ilvl="3" w:tplc="286AC010">
      <w:numFmt w:val="bullet"/>
      <w:lvlText w:val="•"/>
      <w:lvlJc w:val="left"/>
      <w:pPr>
        <w:ind w:left="585" w:hanging="100"/>
      </w:pPr>
      <w:rPr>
        <w:rFonts w:hint="default"/>
      </w:rPr>
    </w:lvl>
    <w:lvl w:ilvl="4" w:tplc="C93ECC4C">
      <w:numFmt w:val="bullet"/>
      <w:lvlText w:val="•"/>
      <w:lvlJc w:val="left"/>
      <w:pPr>
        <w:ind w:left="726" w:hanging="100"/>
      </w:pPr>
      <w:rPr>
        <w:rFonts w:hint="default"/>
      </w:rPr>
    </w:lvl>
    <w:lvl w:ilvl="5" w:tplc="115A0BBC">
      <w:numFmt w:val="bullet"/>
      <w:lvlText w:val="•"/>
      <w:lvlJc w:val="left"/>
      <w:pPr>
        <w:ind w:left="868" w:hanging="100"/>
      </w:pPr>
      <w:rPr>
        <w:rFonts w:hint="default"/>
      </w:rPr>
    </w:lvl>
    <w:lvl w:ilvl="6" w:tplc="70B0B124">
      <w:numFmt w:val="bullet"/>
      <w:lvlText w:val="•"/>
      <w:lvlJc w:val="left"/>
      <w:pPr>
        <w:ind w:left="1010" w:hanging="100"/>
      </w:pPr>
      <w:rPr>
        <w:rFonts w:hint="default"/>
      </w:rPr>
    </w:lvl>
    <w:lvl w:ilvl="7" w:tplc="691CD3AC">
      <w:numFmt w:val="bullet"/>
      <w:lvlText w:val="•"/>
      <w:lvlJc w:val="left"/>
      <w:pPr>
        <w:ind w:left="1151" w:hanging="100"/>
      </w:pPr>
      <w:rPr>
        <w:rFonts w:hint="default"/>
      </w:rPr>
    </w:lvl>
    <w:lvl w:ilvl="8" w:tplc="EACE98BA">
      <w:numFmt w:val="bullet"/>
      <w:lvlText w:val="•"/>
      <w:lvlJc w:val="left"/>
      <w:pPr>
        <w:ind w:left="1293" w:hanging="100"/>
      </w:pPr>
      <w:rPr>
        <w:rFonts w:hint="default"/>
      </w:rPr>
    </w:lvl>
  </w:abstractNum>
  <w:abstractNum w:abstractNumId="1" w15:restartNumberingAfterBreak="0">
    <w:nsid w:val="007D7899"/>
    <w:multiLevelType w:val="hybridMultilevel"/>
    <w:tmpl w:val="C6867D36"/>
    <w:lvl w:ilvl="0" w:tplc="121E7D6E">
      <w:numFmt w:val="bullet"/>
      <w:lvlText w:val=""/>
      <w:lvlJc w:val="left"/>
      <w:pPr>
        <w:ind w:left="156" w:hanging="100"/>
      </w:pPr>
      <w:rPr>
        <w:rFonts w:ascii="Symbol" w:eastAsia="Symbol" w:hAnsi="Symbol" w:cs="Symbol" w:hint="default"/>
        <w:color w:val="231F20"/>
        <w:w w:val="100"/>
        <w:sz w:val="14"/>
        <w:szCs w:val="14"/>
      </w:rPr>
    </w:lvl>
    <w:lvl w:ilvl="1" w:tplc="4E047530">
      <w:numFmt w:val="bullet"/>
      <w:lvlText w:val="•"/>
      <w:lvlJc w:val="left"/>
      <w:pPr>
        <w:ind w:left="426" w:hanging="100"/>
      </w:pPr>
      <w:rPr>
        <w:rFonts w:hint="default"/>
      </w:rPr>
    </w:lvl>
    <w:lvl w:ilvl="2" w:tplc="0F48938E">
      <w:numFmt w:val="bullet"/>
      <w:lvlText w:val="•"/>
      <w:lvlJc w:val="left"/>
      <w:pPr>
        <w:ind w:left="692" w:hanging="100"/>
      </w:pPr>
      <w:rPr>
        <w:rFonts w:hint="default"/>
      </w:rPr>
    </w:lvl>
    <w:lvl w:ilvl="3" w:tplc="354643F6">
      <w:numFmt w:val="bullet"/>
      <w:lvlText w:val="•"/>
      <w:lvlJc w:val="left"/>
      <w:pPr>
        <w:ind w:left="959" w:hanging="100"/>
      </w:pPr>
      <w:rPr>
        <w:rFonts w:hint="default"/>
      </w:rPr>
    </w:lvl>
    <w:lvl w:ilvl="4" w:tplc="82324550">
      <w:numFmt w:val="bullet"/>
      <w:lvlText w:val="•"/>
      <w:lvlJc w:val="left"/>
      <w:pPr>
        <w:ind w:left="1225" w:hanging="100"/>
      </w:pPr>
      <w:rPr>
        <w:rFonts w:hint="default"/>
      </w:rPr>
    </w:lvl>
    <w:lvl w:ilvl="5" w:tplc="787834D2">
      <w:numFmt w:val="bullet"/>
      <w:lvlText w:val="•"/>
      <w:lvlJc w:val="left"/>
      <w:pPr>
        <w:ind w:left="1492" w:hanging="100"/>
      </w:pPr>
      <w:rPr>
        <w:rFonts w:hint="default"/>
      </w:rPr>
    </w:lvl>
    <w:lvl w:ilvl="6" w:tplc="A8960684">
      <w:numFmt w:val="bullet"/>
      <w:lvlText w:val="•"/>
      <w:lvlJc w:val="left"/>
      <w:pPr>
        <w:ind w:left="1758" w:hanging="100"/>
      </w:pPr>
      <w:rPr>
        <w:rFonts w:hint="default"/>
      </w:rPr>
    </w:lvl>
    <w:lvl w:ilvl="7" w:tplc="60645444">
      <w:numFmt w:val="bullet"/>
      <w:lvlText w:val="•"/>
      <w:lvlJc w:val="left"/>
      <w:pPr>
        <w:ind w:left="2024" w:hanging="100"/>
      </w:pPr>
      <w:rPr>
        <w:rFonts w:hint="default"/>
      </w:rPr>
    </w:lvl>
    <w:lvl w:ilvl="8" w:tplc="294478B0">
      <w:numFmt w:val="bullet"/>
      <w:lvlText w:val="•"/>
      <w:lvlJc w:val="left"/>
      <w:pPr>
        <w:ind w:left="2291" w:hanging="100"/>
      </w:pPr>
      <w:rPr>
        <w:rFonts w:hint="default"/>
      </w:rPr>
    </w:lvl>
  </w:abstractNum>
  <w:abstractNum w:abstractNumId="2" w15:restartNumberingAfterBreak="0">
    <w:nsid w:val="008A5208"/>
    <w:multiLevelType w:val="hybridMultilevel"/>
    <w:tmpl w:val="89423CF2"/>
    <w:lvl w:ilvl="0" w:tplc="7AD6F71C">
      <w:numFmt w:val="bullet"/>
      <w:lvlText w:val=""/>
      <w:lvlJc w:val="left"/>
      <w:pPr>
        <w:ind w:left="156" w:hanging="100"/>
      </w:pPr>
      <w:rPr>
        <w:rFonts w:ascii="Symbol" w:eastAsia="Symbol" w:hAnsi="Symbol" w:cs="Symbol" w:hint="default"/>
        <w:color w:val="231F20"/>
        <w:w w:val="100"/>
        <w:sz w:val="14"/>
        <w:szCs w:val="14"/>
      </w:rPr>
    </w:lvl>
    <w:lvl w:ilvl="1" w:tplc="AE28B216">
      <w:numFmt w:val="bullet"/>
      <w:lvlText w:val="•"/>
      <w:lvlJc w:val="left"/>
      <w:pPr>
        <w:ind w:left="301" w:hanging="100"/>
      </w:pPr>
      <w:rPr>
        <w:rFonts w:hint="default"/>
      </w:rPr>
    </w:lvl>
    <w:lvl w:ilvl="2" w:tplc="9E2A3B40">
      <w:numFmt w:val="bullet"/>
      <w:lvlText w:val="•"/>
      <w:lvlJc w:val="left"/>
      <w:pPr>
        <w:ind w:left="443" w:hanging="100"/>
      </w:pPr>
      <w:rPr>
        <w:rFonts w:hint="default"/>
      </w:rPr>
    </w:lvl>
    <w:lvl w:ilvl="3" w:tplc="903489AC">
      <w:numFmt w:val="bullet"/>
      <w:lvlText w:val="•"/>
      <w:lvlJc w:val="left"/>
      <w:pPr>
        <w:ind w:left="585" w:hanging="100"/>
      </w:pPr>
      <w:rPr>
        <w:rFonts w:hint="default"/>
      </w:rPr>
    </w:lvl>
    <w:lvl w:ilvl="4" w:tplc="F000B0B8">
      <w:numFmt w:val="bullet"/>
      <w:lvlText w:val="•"/>
      <w:lvlJc w:val="left"/>
      <w:pPr>
        <w:ind w:left="726" w:hanging="100"/>
      </w:pPr>
      <w:rPr>
        <w:rFonts w:hint="default"/>
      </w:rPr>
    </w:lvl>
    <w:lvl w:ilvl="5" w:tplc="FF9A5030">
      <w:numFmt w:val="bullet"/>
      <w:lvlText w:val="•"/>
      <w:lvlJc w:val="left"/>
      <w:pPr>
        <w:ind w:left="868" w:hanging="100"/>
      </w:pPr>
      <w:rPr>
        <w:rFonts w:hint="default"/>
      </w:rPr>
    </w:lvl>
    <w:lvl w:ilvl="6" w:tplc="D5F80C9C">
      <w:numFmt w:val="bullet"/>
      <w:lvlText w:val="•"/>
      <w:lvlJc w:val="left"/>
      <w:pPr>
        <w:ind w:left="1010" w:hanging="100"/>
      </w:pPr>
      <w:rPr>
        <w:rFonts w:hint="default"/>
      </w:rPr>
    </w:lvl>
    <w:lvl w:ilvl="7" w:tplc="0AA22BE8">
      <w:numFmt w:val="bullet"/>
      <w:lvlText w:val="•"/>
      <w:lvlJc w:val="left"/>
      <w:pPr>
        <w:ind w:left="1151" w:hanging="100"/>
      </w:pPr>
      <w:rPr>
        <w:rFonts w:hint="default"/>
      </w:rPr>
    </w:lvl>
    <w:lvl w:ilvl="8" w:tplc="F0325DD6">
      <w:numFmt w:val="bullet"/>
      <w:lvlText w:val="•"/>
      <w:lvlJc w:val="left"/>
      <w:pPr>
        <w:ind w:left="1293" w:hanging="100"/>
      </w:pPr>
      <w:rPr>
        <w:rFonts w:hint="default"/>
      </w:rPr>
    </w:lvl>
  </w:abstractNum>
  <w:abstractNum w:abstractNumId="3" w15:restartNumberingAfterBreak="0">
    <w:nsid w:val="008F1BFE"/>
    <w:multiLevelType w:val="hybridMultilevel"/>
    <w:tmpl w:val="3608486E"/>
    <w:lvl w:ilvl="0" w:tplc="FD0ECA32">
      <w:numFmt w:val="bullet"/>
      <w:lvlText w:val=""/>
      <w:lvlJc w:val="left"/>
      <w:pPr>
        <w:ind w:left="156" w:hanging="100"/>
      </w:pPr>
      <w:rPr>
        <w:rFonts w:ascii="Symbol" w:eastAsia="Symbol" w:hAnsi="Symbol" w:cs="Symbol" w:hint="default"/>
        <w:color w:val="231F20"/>
        <w:w w:val="100"/>
        <w:sz w:val="14"/>
        <w:szCs w:val="14"/>
      </w:rPr>
    </w:lvl>
    <w:lvl w:ilvl="1" w:tplc="8BDA927A">
      <w:numFmt w:val="bullet"/>
      <w:lvlText w:val="•"/>
      <w:lvlJc w:val="left"/>
      <w:pPr>
        <w:ind w:left="398" w:hanging="100"/>
      </w:pPr>
      <w:rPr>
        <w:rFonts w:hint="default"/>
      </w:rPr>
    </w:lvl>
    <w:lvl w:ilvl="2" w:tplc="D752DF8C">
      <w:numFmt w:val="bullet"/>
      <w:lvlText w:val="•"/>
      <w:lvlJc w:val="left"/>
      <w:pPr>
        <w:ind w:left="636" w:hanging="100"/>
      </w:pPr>
      <w:rPr>
        <w:rFonts w:hint="default"/>
      </w:rPr>
    </w:lvl>
    <w:lvl w:ilvl="3" w:tplc="A664C2EC">
      <w:numFmt w:val="bullet"/>
      <w:lvlText w:val="•"/>
      <w:lvlJc w:val="left"/>
      <w:pPr>
        <w:ind w:left="874" w:hanging="100"/>
      </w:pPr>
      <w:rPr>
        <w:rFonts w:hint="default"/>
      </w:rPr>
    </w:lvl>
    <w:lvl w:ilvl="4" w:tplc="7E24924C">
      <w:numFmt w:val="bullet"/>
      <w:lvlText w:val="•"/>
      <w:lvlJc w:val="left"/>
      <w:pPr>
        <w:ind w:left="1112" w:hanging="100"/>
      </w:pPr>
      <w:rPr>
        <w:rFonts w:hint="default"/>
      </w:rPr>
    </w:lvl>
    <w:lvl w:ilvl="5" w:tplc="12F6EC4C">
      <w:numFmt w:val="bullet"/>
      <w:lvlText w:val="•"/>
      <w:lvlJc w:val="left"/>
      <w:pPr>
        <w:ind w:left="1350" w:hanging="100"/>
      </w:pPr>
      <w:rPr>
        <w:rFonts w:hint="default"/>
      </w:rPr>
    </w:lvl>
    <w:lvl w:ilvl="6" w:tplc="CBF06BAC">
      <w:numFmt w:val="bullet"/>
      <w:lvlText w:val="•"/>
      <w:lvlJc w:val="left"/>
      <w:pPr>
        <w:ind w:left="1588" w:hanging="100"/>
      </w:pPr>
      <w:rPr>
        <w:rFonts w:hint="default"/>
      </w:rPr>
    </w:lvl>
    <w:lvl w:ilvl="7" w:tplc="1F8A38EC">
      <w:numFmt w:val="bullet"/>
      <w:lvlText w:val="•"/>
      <w:lvlJc w:val="left"/>
      <w:pPr>
        <w:ind w:left="1826" w:hanging="100"/>
      </w:pPr>
      <w:rPr>
        <w:rFonts w:hint="default"/>
      </w:rPr>
    </w:lvl>
    <w:lvl w:ilvl="8" w:tplc="1C60CDFC">
      <w:numFmt w:val="bullet"/>
      <w:lvlText w:val="•"/>
      <w:lvlJc w:val="left"/>
      <w:pPr>
        <w:ind w:left="2064" w:hanging="100"/>
      </w:pPr>
      <w:rPr>
        <w:rFonts w:hint="default"/>
      </w:rPr>
    </w:lvl>
  </w:abstractNum>
  <w:abstractNum w:abstractNumId="4" w15:restartNumberingAfterBreak="0">
    <w:nsid w:val="009216A6"/>
    <w:multiLevelType w:val="hybridMultilevel"/>
    <w:tmpl w:val="45A2EA6A"/>
    <w:lvl w:ilvl="0" w:tplc="667071AA">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F7FAD990">
      <w:numFmt w:val="bullet"/>
      <w:lvlText w:val="•"/>
      <w:lvlJc w:val="left"/>
      <w:pPr>
        <w:ind w:left="426" w:hanging="105"/>
      </w:pPr>
      <w:rPr>
        <w:rFonts w:hint="default"/>
      </w:rPr>
    </w:lvl>
    <w:lvl w:ilvl="2" w:tplc="050C2018">
      <w:numFmt w:val="bullet"/>
      <w:lvlText w:val="•"/>
      <w:lvlJc w:val="left"/>
      <w:pPr>
        <w:ind w:left="692" w:hanging="105"/>
      </w:pPr>
      <w:rPr>
        <w:rFonts w:hint="default"/>
      </w:rPr>
    </w:lvl>
    <w:lvl w:ilvl="3" w:tplc="B51A159A">
      <w:numFmt w:val="bullet"/>
      <w:lvlText w:val="•"/>
      <w:lvlJc w:val="left"/>
      <w:pPr>
        <w:ind w:left="959" w:hanging="105"/>
      </w:pPr>
      <w:rPr>
        <w:rFonts w:hint="default"/>
      </w:rPr>
    </w:lvl>
    <w:lvl w:ilvl="4" w:tplc="370630FA">
      <w:numFmt w:val="bullet"/>
      <w:lvlText w:val="•"/>
      <w:lvlJc w:val="left"/>
      <w:pPr>
        <w:ind w:left="1225" w:hanging="105"/>
      </w:pPr>
      <w:rPr>
        <w:rFonts w:hint="default"/>
      </w:rPr>
    </w:lvl>
    <w:lvl w:ilvl="5" w:tplc="2E98DCDE">
      <w:numFmt w:val="bullet"/>
      <w:lvlText w:val="•"/>
      <w:lvlJc w:val="left"/>
      <w:pPr>
        <w:ind w:left="1492" w:hanging="105"/>
      </w:pPr>
      <w:rPr>
        <w:rFonts w:hint="default"/>
      </w:rPr>
    </w:lvl>
    <w:lvl w:ilvl="6" w:tplc="EB362C72">
      <w:numFmt w:val="bullet"/>
      <w:lvlText w:val="•"/>
      <w:lvlJc w:val="left"/>
      <w:pPr>
        <w:ind w:left="1758" w:hanging="105"/>
      </w:pPr>
      <w:rPr>
        <w:rFonts w:hint="default"/>
      </w:rPr>
    </w:lvl>
    <w:lvl w:ilvl="7" w:tplc="6D0CE5FA">
      <w:numFmt w:val="bullet"/>
      <w:lvlText w:val="•"/>
      <w:lvlJc w:val="left"/>
      <w:pPr>
        <w:ind w:left="2024" w:hanging="105"/>
      </w:pPr>
      <w:rPr>
        <w:rFonts w:hint="default"/>
      </w:rPr>
    </w:lvl>
    <w:lvl w:ilvl="8" w:tplc="3E34AF8A">
      <w:numFmt w:val="bullet"/>
      <w:lvlText w:val="•"/>
      <w:lvlJc w:val="left"/>
      <w:pPr>
        <w:ind w:left="2291" w:hanging="105"/>
      </w:pPr>
      <w:rPr>
        <w:rFonts w:hint="default"/>
      </w:rPr>
    </w:lvl>
  </w:abstractNum>
  <w:abstractNum w:abstractNumId="5" w15:restartNumberingAfterBreak="0">
    <w:nsid w:val="00A1558A"/>
    <w:multiLevelType w:val="hybridMultilevel"/>
    <w:tmpl w:val="AB2C3E6C"/>
    <w:lvl w:ilvl="0" w:tplc="3B6C0BE2">
      <w:numFmt w:val="bullet"/>
      <w:lvlText w:val=""/>
      <w:lvlJc w:val="left"/>
      <w:pPr>
        <w:ind w:left="156" w:hanging="100"/>
      </w:pPr>
      <w:rPr>
        <w:rFonts w:ascii="Symbol" w:eastAsia="Symbol" w:hAnsi="Symbol" w:cs="Symbol" w:hint="default"/>
        <w:color w:val="231F20"/>
        <w:w w:val="100"/>
        <w:sz w:val="14"/>
        <w:szCs w:val="14"/>
      </w:rPr>
    </w:lvl>
    <w:lvl w:ilvl="1" w:tplc="17D48A70">
      <w:numFmt w:val="bullet"/>
      <w:lvlText w:val="•"/>
      <w:lvlJc w:val="left"/>
      <w:pPr>
        <w:ind w:left="398" w:hanging="100"/>
      </w:pPr>
      <w:rPr>
        <w:rFonts w:hint="default"/>
      </w:rPr>
    </w:lvl>
    <w:lvl w:ilvl="2" w:tplc="8256ADB2">
      <w:numFmt w:val="bullet"/>
      <w:lvlText w:val="•"/>
      <w:lvlJc w:val="left"/>
      <w:pPr>
        <w:ind w:left="636" w:hanging="100"/>
      </w:pPr>
      <w:rPr>
        <w:rFonts w:hint="default"/>
      </w:rPr>
    </w:lvl>
    <w:lvl w:ilvl="3" w:tplc="161EFB72">
      <w:numFmt w:val="bullet"/>
      <w:lvlText w:val="•"/>
      <w:lvlJc w:val="left"/>
      <w:pPr>
        <w:ind w:left="874" w:hanging="100"/>
      </w:pPr>
      <w:rPr>
        <w:rFonts w:hint="default"/>
      </w:rPr>
    </w:lvl>
    <w:lvl w:ilvl="4" w:tplc="11D2F2C0">
      <w:numFmt w:val="bullet"/>
      <w:lvlText w:val="•"/>
      <w:lvlJc w:val="left"/>
      <w:pPr>
        <w:ind w:left="1112" w:hanging="100"/>
      </w:pPr>
      <w:rPr>
        <w:rFonts w:hint="default"/>
      </w:rPr>
    </w:lvl>
    <w:lvl w:ilvl="5" w:tplc="617090B0">
      <w:numFmt w:val="bullet"/>
      <w:lvlText w:val="•"/>
      <w:lvlJc w:val="left"/>
      <w:pPr>
        <w:ind w:left="1350" w:hanging="100"/>
      </w:pPr>
      <w:rPr>
        <w:rFonts w:hint="default"/>
      </w:rPr>
    </w:lvl>
    <w:lvl w:ilvl="6" w:tplc="24146262">
      <w:numFmt w:val="bullet"/>
      <w:lvlText w:val="•"/>
      <w:lvlJc w:val="left"/>
      <w:pPr>
        <w:ind w:left="1588" w:hanging="100"/>
      </w:pPr>
      <w:rPr>
        <w:rFonts w:hint="default"/>
      </w:rPr>
    </w:lvl>
    <w:lvl w:ilvl="7" w:tplc="CFF6B36E">
      <w:numFmt w:val="bullet"/>
      <w:lvlText w:val="•"/>
      <w:lvlJc w:val="left"/>
      <w:pPr>
        <w:ind w:left="1826" w:hanging="100"/>
      </w:pPr>
      <w:rPr>
        <w:rFonts w:hint="default"/>
      </w:rPr>
    </w:lvl>
    <w:lvl w:ilvl="8" w:tplc="FD16E7D2">
      <w:numFmt w:val="bullet"/>
      <w:lvlText w:val="•"/>
      <w:lvlJc w:val="left"/>
      <w:pPr>
        <w:ind w:left="2064" w:hanging="100"/>
      </w:pPr>
      <w:rPr>
        <w:rFonts w:hint="default"/>
      </w:rPr>
    </w:lvl>
  </w:abstractNum>
  <w:abstractNum w:abstractNumId="6" w15:restartNumberingAfterBreak="0">
    <w:nsid w:val="00B37E83"/>
    <w:multiLevelType w:val="hybridMultilevel"/>
    <w:tmpl w:val="85523816"/>
    <w:lvl w:ilvl="0" w:tplc="26C6D3C2">
      <w:numFmt w:val="bullet"/>
      <w:lvlText w:val=""/>
      <w:lvlJc w:val="left"/>
      <w:pPr>
        <w:ind w:left="157" w:hanging="100"/>
      </w:pPr>
      <w:rPr>
        <w:rFonts w:ascii="Symbol" w:eastAsia="Symbol" w:hAnsi="Symbol" w:cs="Symbol" w:hint="default"/>
        <w:color w:val="231F20"/>
        <w:w w:val="100"/>
        <w:sz w:val="14"/>
        <w:szCs w:val="14"/>
      </w:rPr>
    </w:lvl>
    <w:lvl w:ilvl="1" w:tplc="3F5E6FCA">
      <w:numFmt w:val="bullet"/>
      <w:lvlText w:val="•"/>
      <w:lvlJc w:val="left"/>
      <w:pPr>
        <w:ind w:left="369" w:hanging="100"/>
      </w:pPr>
      <w:rPr>
        <w:rFonts w:hint="default"/>
      </w:rPr>
    </w:lvl>
    <w:lvl w:ilvl="2" w:tplc="2A381DCC">
      <w:numFmt w:val="bullet"/>
      <w:lvlText w:val="•"/>
      <w:lvlJc w:val="left"/>
      <w:pPr>
        <w:ind w:left="579" w:hanging="100"/>
      </w:pPr>
      <w:rPr>
        <w:rFonts w:hint="default"/>
      </w:rPr>
    </w:lvl>
    <w:lvl w:ilvl="3" w:tplc="94C6D74A">
      <w:numFmt w:val="bullet"/>
      <w:lvlText w:val="•"/>
      <w:lvlJc w:val="left"/>
      <w:pPr>
        <w:ind w:left="789" w:hanging="100"/>
      </w:pPr>
      <w:rPr>
        <w:rFonts w:hint="default"/>
      </w:rPr>
    </w:lvl>
    <w:lvl w:ilvl="4" w:tplc="C5BEA7EE">
      <w:numFmt w:val="bullet"/>
      <w:lvlText w:val="•"/>
      <w:lvlJc w:val="left"/>
      <w:pPr>
        <w:ind w:left="998" w:hanging="100"/>
      </w:pPr>
      <w:rPr>
        <w:rFonts w:hint="default"/>
      </w:rPr>
    </w:lvl>
    <w:lvl w:ilvl="5" w:tplc="FD50A2BC">
      <w:numFmt w:val="bullet"/>
      <w:lvlText w:val="•"/>
      <w:lvlJc w:val="left"/>
      <w:pPr>
        <w:ind w:left="1208" w:hanging="100"/>
      </w:pPr>
      <w:rPr>
        <w:rFonts w:hint="default"/>
      </w:rPr>
    </w:lvl>
    <w:lvl w:ilvl="6" w:tplc="738AECB2">
      <w:numFmt w:val="bullet"/>
      <w:lvlText w:val="•"/>
      <w:lvlJc w:val="left"/>
      <w:pPr>
        <w:ind w:left="1418" w:hanging="100"/>
      </w:pPr>
      <w:rPr>
        <w:rFonts w:hint="default"/>
      </w:rPr>
    </w:lvl>
    <w:lvl w:ilvl="7" w:tplc="03AC1B80">
      <w:numFmt w:val="bullet"/>
      <w:lvlText w:val="•"/>
      <w:lvlJc w:val="left"/>
      <w:pPr>
        <w:ind w:left="1627" w:hanging="100"/>
      </w:pPr>
      <w:rPr>
        <w:rFonts w:hint="default"/>
      </w:rPr>
    </w:lvl>
    <w:lvl w:ilvl="8" w:tplc="58646BCA">
      <w:numFmt w:val="bullet"/>
      <w:lvlText w:val="•"/>
      <w:lvlJc w:val="left"/>
      <w:pPr>
        <w:ind w:left="1837" w:hanging="100"/>
      </w:pPr>
      <w:rPr>
        <w:rFonts w:hint="default"/>
      </w:rPr>
    </w:lvl>
  </w:abstractNum>
  <w:abstractNum w:abstractNumId="7" w15:restartNumberingAfterBreak="0">
    <w:nsid w:val="00B83C08"/>
    <w:multiLevelType w:val="hybridMultilevel"/>
    <w:tmpl w:val="98661EBE"/>
    <w:lvl w:ilvl="0" w:tplc="E7A2F0DE">
      <w:numFmt w:val="bullet"/>
      <w:lvlText w:val=""/>
      <w:lvlJc w:val="left"/>
      <w:pPr>
        <w:ind w:left="156" w:hanging="100"/>
      </w:pPr>
      <w:rPr>
        <w:rFonts w:ascii="Symbol" w:eastAsia="Symbol" w:hAnsi="Symbol" w:cs="Symbol" w:hint="default"/>
        <w:color w:val="231F20"/>
        <w:w w:val="100"/>
        <w:sz w:val="14"/>
        <w:szCs w:val="14"/>
      </w:rPr>
    </w:lvl>
    <w:lvl w:ilvl="1" w:tplc="3E246C54">
      <w:numFmt w:val="bullet"/>
      <w:lvlText w:val="•"/>
      <w:lvlJc w:val="left"/>
      <w:pPr>
        <w:ind w:left="398" w:hanging="100"/>
      </w:pPr>
      <w:rPr>
        <w:rFonts w:hint="default"/>
      </w:rPr>
    </w:lvl>
    <w:lvl w:ilvl="2" w:tplc="326CE1AE">
      <w:numFmt w:val="bullet"/>
      <w:lvlText w:val="•"/>
      <w:lvlJc w:val="left"/>
      <w:pPr>
        <w:ind w:left="636" w:hanging="100"/>
      </w:pPr>
      <w:rPr>
        <w:rFonts w:hint="default"/>
      </w:rPr>
    </w:lvl>
    <w:lvl w:ilvl="3" w:tplc="6CB010E2">
      <w:numFmt w:val="bullet"/>
      <w:lvlText w:val="•"/>
      <w:lvlJc w:val="left"/>
      <w:pPr>
        <w:ind w:left="874" w:hanging="100"/>
      </w:pPr>
      <w:rPr>
        <w:rFonts w:hint="default"/>
      </w:rPr>
    </w:lvl>
    <w:lvl w:ilvl="4" w:tplc="27E0009C">
      <w:numFmt w:val="bullet"/>
      <w:lvlText w:val="•"/>
      <w:lvlJc w:val="left"/>
      <w:pPr>
        <w:ind w:left="1112" w:hanging="100"/>
      </w:pPr>
      <w:rPr>
        <w:rFonts w:hint="default"/>
      </w:rPr>
    </w:lvl>
    <w:lvl w:ilvl="5" w:tplc="B1801FC4">
      <w:numFmt w:val="bullet"/>
      <w:lvlText w:val="•"/>
      <w:lvlJc w:val="left"/>
      <w:pPr>
        <w:ind w:left="1350" w:hanging="100"/>
      </w:pPr>
      <w:rPr>
        <w:rFonts w:hint="default"/>
      </w:rPr>
    </w:lvl>
    <w:lvl w:ilvl="6" w:tplc="1BCA687A">
      <w:numFmt w:val="bullet"/>
      <w:lvlText w:val="•"/>
      <w:lvlJc w:val="left"/>
      <w:pPr>
        <w:ind w:left="1588" w:hanging="100"/>
      </w:pPr>
      <w:rPr>
        <w:rFonts w:hint="default"/>
      </w:rPr>
    </w:lvl>
    <w:lvl w:ilvl="7" w:tplc="8CA89A2E">
      <w:numFmt w:val="bullet"/>
      <w:lvlText w:val="•"/>
      <w:lvlJc w:val="left"/>
      <w:pPr>
        <w:ind w:left="1826" w:hanging="100"/>
      </w:pPr>
      <w:rPr>
        <w:rFonts w:hint="default"/>
      </w:rPr>
    </w:lvl>
    <w:lvl w:ilvl="8" w:tplc="45B806B2">
      <w:numFmt w:val="bullet"/>
      <w:lvlText w:val="•"/>
      <w:lvlJc w:val="left"/>
      <w:pPr>
        <w:ind w:left="2064" w:hanging="100"/>
      </w:pPr>
      <w:rPr>
        <w:rFonts w:hint="default"/>
      </w:rPr>
    </w:lvl>
  </w:abstractNum>
  <w:abstractNum w:abstractNumId="8" w15:restartNumberingAfterBreak="0">
    <w:nsid w:val="00C94050"/>
    <w:multiLevelType w:val="hybridMultilevel"/>
    <w:tmpl w:val="FB4C2B2E"/>
    <w:lvl w:ilvl="0" w:tplc="DE8414A8">
      <w:numFmt w:val="bullet"/>
      <w:lvlText w:val=""/>
      <w:lvlJc w:val="left"/>
      <w:pPr>
        <w:ind w:left="157" w:hanging="100"/>
      </w:pPr>
      <w:rPr>
        <w:rFonts w:ascii="Symbol" w:eastAsia="Symbol" w:hAnsi="Symbol" w:cs="Symbol" w:hint="default"/>
        <w:color w:val="231F20"/>
        <w:w w:val="100"/>
        <w:sz w:val="14"/>
        <w:szCs w:val="14"/>
      </w:rPr>
    </w:lvl>
    <w:lvl w:ilvl="1" w:tplc="C2466F4E">
      <w:numFmt w:val="bullet"/>
      <w:lvlText w:val="•"/>
      <w:lvlJc w:val="left"/>
      <w:pPr>
        <w:ind w:left="369" w:hanging="100"/>
      </w:pPr>
      <w:rPr>
        <w:rFonts w:hint="default"/>
      </w:rPr>
    </w:lvl>
    <w:lvl w:ilvl="2" w:tplc="61C06CBE">
      <w:numFmt w:val="bullet"/>
      <w:lvlText w:val="•"/>
      <w:lvlJc w:val="left"/>
      <w:pPr>
        <w:ind w:left="579" w:hanging="100"/>
      </w:pPr>
      <w:rPr>
        <w:rFonts w:hint="default"/>
      </w:rPr>
    </w:lvl>
    <w:lvl w:ilvl="3" w:tplc="1610BD48">
      <w:numFmt w:val="bullet"/>
      <w:lvlText w:val="•"/>
      <w:lvlJc w:val="left"/>
      <w:pPr>
        <w:ind w:left="789" w:hanging="100"/>
      </w:pPr>
      <w:rPr>
        <w:rFonts w:hint="default"/>
      </w:rPr>
    </w:lvl>
    <w:lvl w:ilvl="4" w:tplc="E28E00A4">
      <w:numFmt w:val="bullet"/>
      <w:lvlText w:val="•"/>
      <w:lvlJc w:val="left"/>
      <w:pPr>
        <w:ind w:left="998" w:hanging="100"/>
      </w:pPr>
      <w:rPr>
        <w:rFonts w:hint="default"/>
      </w:rPr>
    </w:lvl>
    <w:lvl w:ilvl="5" w:tplc="F40AA782">
      <w:numFmt w:val="bullet"/>
      <w:lvlText w:val="•"/>
      <w:lvlJc w:val="left"/>
      <w:pPr>
        <w:ind w:left="1208" w:hanging="100"/>
      </w:pPr>
      <w:rPr>
        <w:rFonts w:hint="default"/>
      </w:rPr>
    </w:lvl>
    <w:lvl w:ilvl="6" w:tplc="AA527BE6">
      <w:numFmt w:val="bullet"/>
      <w:lvlText w:val="•"/>
      <w:lvlJc w:val="left"/>
      <w:pPr>
        <w:ind w:left="1418" w:hanging="100"/>
      </w:pPr>
      <w:rPr>
        <w:rFonts w:hint="default"/>
      </w:rPr>
    </w:lvl>
    <w:lvl w:ilvl="7" w:tplc="A5460B42">
      <w:numFmt w:val="bullet"/>
      <w:lvlText w:val="•"/>
      <w:lvlJc w:val="left"/>
      <w:pPr>
        <w:ind w:left="1627" w:hanging="100"/>
      </w:pPr>
      <w:rPr>
        <w:rFonts w:hint="default"/>
      </w:rPr>
    </w:lvl>
    <w:lvl w:ilvl="8" w:tplc="268AF156">
      <w:numFmt w:val="bullet"/>
      <w:lvlText w:val="•"/>
      <w:lvlJc w:val="left"/>
      <w:pPr>
        <w:ind w:left="1837" w:hanging="100"/>
      </w:pPr>
      <w:rPr>
        <w:rFonts w:hint="default"/>
      </w:rPr>
    </w:lvl>
  </w:abstractNum>
  <w:abstractNum w:abstractNumId="9" w15:restartNumberingAfterBreak="0">
    <w:nsid w:val="00D2250F"/>
    <w:multiLevelType w:val="hybridMultilevel"/>
    <w:tmpl w:val="C8CA7A04"/>
    <w:lvl w:ilvl="0" w:tplc="86AAACA0">
      <w:numFmt w:val="bullet"/>
      <w:lvlText w:val="–"/>
      <w:lvlJc w:val="left"/>
      <w:pPr>
        <w:ind w:left="162" w:hanging="105"/>
      </w:pPr>
      <w:rPr>
        <w:rFonts w:ascii="Times New Roman" w:eastAsia="Times New Roman" w:hAnsi="Times New Roman" w:cs="Times New Roman" w:hint="default"/>
        <w:color w:val="231F20"/>
        <w:spacing w:val="-2"/>
        <w:w w:val="100"/>
        <w:sz w:val="14"/>
        <w:szCs w:val="14"/>
      </w:rPr>
    </w:lvl>
    <w:lvl w:ilvl="1" w:tplc="299E199C">
      <w:numFmt w:val="bullet"/>
      <w:lvlText w:val="•"/>
      <w:lvlJc w:val="left"/>
      <w:pPr>
        <w:ind w:left="426" w:hanging="105"/>
      </w:pPr>
      <w:rPr>
        <w:rFonts w:hint="default"/>
      </w:rPr>
    </w:lvl>
    <w:lvl w:ilvl="2" w:tplc="F3C2EC68">
      <w:numFmt w:val="bullet"/>
      <w:lvlText w:val="•"/>
      <w:lvlJc w:val="left"/>
      <w:pPr>
        <w:ind w:left="692" w:hanging="105"/>
      </w:pPr>
      <w:rPr>
        <w:rFonts w:hint="default"/>
      </w:rPr>
    </w:lvl>
    <w:lvl w:ilvl="3" w:tplc="EDD0DDEA">
      <w:numFmt w:val="bullet"/>
      <w:lvlText w:val="•"/>
      <w:lvlJc w:val="left"/>
      <w:pPr>
        <w:ind w:left="959" w:hanging="105"/>
      </w:pPr>
      <w:rPr>
        <w:rFonts w:hint="default"/>
      </w:rPr>
    </w:lvl>
    <w:lvl w:ilvl="4" w:tplc="E2289944">
      <w:numFmt w:val="bullet"/>
      <w:lvlText w:val="•"/>
      <w:lvlJc w:val="left"/>
      <w:pPr>
        <w:ind w:left="1225" w:hanging="105"/>
      </w:pPr>
      <w:rPr>
        <w:rFonts w:hint="default"/>
      </w:rPr>
    </w:lvl>
    <w:lvl w:ilvl="5" w:tplc="5E1A9F08">
      <w:numFmt w:val="bullet"/>
      <w:lvlText w:val="•"/>
      <w:lvlJc w:val="left"/>
      <w:pPr>
        <w:ind w:left="1492" w:hanging="105"/>
      </w:pPr>
      <w:rPr>
        <w:rFonts w:hint="default"/>
      </w:rPr>
    </w:lvl>
    <w:lvl w:ilvl="6" w:tplc="685C30A4">
      <w:numFmt w:val="bullet"/>
      <w:lvlText w:val="•"/>
      <w:lvlJc w:val="left"/>
      <w:pPr>
        <w:ind w:left="1758" w:hanging="105"/>
      </w:pPr>
      <w:rPr>
        <w:rFonts w:hint="default"/>
      </w:rPr>
    </w:lvl>
    <w:lvl w:ilvl="7" w:tplc="5B007C6E">
      <w:numFmt w:val="bullet"/>
      <w:lvlText w:val="•"/>
      <w:lvlJc w:val="left"/>
      <w:pPr>
        <w:ind w:left="2024" w:hanging="105"/>
      </w:pPr>
      <w:rPr>
        <w:rFonts w:hint="default"/>
      </w:rPr>
    </w:lvl>
    <w:lvl w:ilvl="8" w:tplc="1DD02ABA">
      <w:numFmt w:val="bullet"/>
      <w:lvlText w:val="•"/>
      <w:lvlJc w:val="left"/>
      <w:pPr>
        <w:ind w:left="2291" w:hanging="105"/>
      </w:pPr>
      <w:rPr>
        <w:rFonts w:hint="default"/>
      </w:rPr>
    </w:lvl>
  </w:abstractNum>
  <w:abstractNum w:abstractNumId="10" w15:restartNumberingAfterBreak="0">
    <w:nsid w:val="00D46D2A"/>
    <w:multiLevelType w:val="hybridMultilevel"/>
    <w:tmpl w:val="81B47804"/>
    <w:lvl w:ilvl="0" w:tplc="D2160CC0">
      <w:numFmt w:val="bullet"/>
      <w:lvlText w:val=""/>
      <w:lvlJc w:val="left"/>
      <w:pPr>
        <w:ind w:left="156" w:hanging="100"/>
      </w:pPr>
      <w:rPr>
        <w:rFonts w:ascii="Symbol" w:eastAsia="Symbol" w:hAnsi="Symbol" w:cs="Symbol" w:hint="default"/>
        <w:color w:val="231F20"/>
        <w:w w:val="100"/>
        <w:sz w:val="14"/>
        <w:szCs w:val="14"/>
      </w:rPr>
    </w:lvl>
    <w:lvl w:ilvl="1" w:tplc="86BC813C">
      <w:numFmt w:val="bullet"/>
      <w:lvlText w:val="•"/>
      <w:lvlJc w:val="left"/>
      <w:pPr>
        <w:ind w:left="426" w:hanging="100"/>
      </w:pPr>
      <w:rPr>
        <w:rFonts w:hint="default"/>
      </w:rPr>
    </w:lvl>
    <w:lvl w:ilvl="2" w:tplc="70EA3C58">
      <w:numFmt w:val="bullet"/>
      <w:lvlText w:val="•"/>
      <w:lvlJc w:val="left"/>
      <w:pPr>
        <w:ind w:left="692" w:hanging="100"/>
      </w:pPr>
      <w:rPr>
        <w:rFonts w:hint="default"/>
      </w:rPr>
    </w:lvl>
    <w:lvl w:ilvl="3" w:tplc="8DF6C178">
      <w:numFmt w:val="bullet"/>
      <w:lvlText w:val="•"/>
      <w:lvlJc w:val="left"/>
      <w:pPr>
        <w:ind w:left="959" w:hanging="100"/>
      </w:pPr>
      <w:rPr>
        <w:rFonts w:hint="default"/>
      </w:rPr>
    </w:lvl>
    <w:lvl w:ilvl="4" w:tplc="AAAAE7D8">
      <w:numFmt w:val="bullet"/>
      <w:lvlText w:val="•"/>
      <w:lvlJc w:val="left"/>
      <w:pPr>
        <w:ind w:left="1225" w:hanging="100"/>
      </w:pPr>
      <w:rPr>
        <w:rFonts w:hint="default"/>
      </w:rPr>
    </w:lvl>
    <w:lvl w:ilvl="5" w:tplc="FF70EEE4">
      <w:numFmt w:val="bullet"/>
      <w:lvlText w:val="•"/>
      <w:lvlJc w:val="left"/>
      <w:pPr>
        <w:ind w:left="1492" w:hanging="100"/>
      </w:pPr>
      <w:rPr>
        <w:rFonts w:hint="default"/>
      </w:rPr>
    </w:lvl>
    <w:lvl w:ilvl="6" w:tplc="416AD1FC">
      <w:numFmt w:val="bullet"/>
      <w:lvlText w:val="•"/>
      <w:lvlJc w:val="left"/>
      <w:pPr>
        <w:ind w:left="1758" w:hanging="100"/>
      </w:pPr>
      <w:rPr>
        <w:rFonts w:hint="default"/>
      </w:rPr>
    </w:lvl>
    <w:lvl w:ilvl="7" w:tplc="3F88B7C0">
      <w:numFmt w:val="bullet"/>
      <w:lvlText w:val="•"/>
      <w:lvlJc w:val="left"/>
      <w:pPr>
        <w:ind w:left="2024" w:hanging="100"/>
      </w:pPr>
      <w:rPr>
        <w:rFonts w:hint="default"/>
      </w:rPr>
    </w:lvl>
    <w:lvl w:ilvl="8" w:tplc="D3C83170">
      <w:numFmt w:val="bullet"/>
      <w:lvlText w:val="•"/>
      <w:lvlJc w:val="left"/>
      <w:pPr>
        <w:ind w:left="2291" w:hanging="100"/>
      </w:pPr>
      <w:rPr>
        <w:rFonts w:hint="default"/>
      </w:rPr>
    </w:lvl>
  </w:abstractNum>
  <w:abstractNum w:abstractNumId="11" w15:restartNumberingAfterBreak="0">
    <w:nsid w:val="00E4462D"/>
    <w:multiLevelType w:val="hybridMultilevel"/>
    <w:tmpl w:val="CBE49EB6"/>
    <w:lvl w:ilvl="0" w:tplc="2F287BCE">
      <w:numFmt w:val="bullet"/>
      <w:lvlText w:val=""/>
      <w:lvlJc w:val="left"/>
      <w:pPr>
        <w:ind w:left="157" w:hanging="100"/>
      </w:pPr>
      <w:rPr>
        <w:rFonts w:ascii="Symbol" w:eastAsia="Symbol" w:hAnsi="Symbol" w:cs="Symbol" w:hint="default"/>
        <w:color w:val="231F20"/>
        <w:w w:val="100"/>
        <w:sz w:val="14"/>
        <w:szCs w:val="14"/>
      </w:rPr>
    </w:lvl>
    <w:lvl w:ilvl="1" w:tplc="FA9490EC">
      <w:numFmt w:val="bullet"/>
      <w:lvlText w:val="•"/>
      <w:lvlJc w:val="left"/>
      <w:pPr>
        <w:ind w:left="426" w:hanging="100"/>
      </w:pPr>
      <w:rPr>
        <w:rFonts w:hint="default"/>
      </w:rPr>
    </w:lvl>
    <w:lvl w:ilvl="2" w:tplc="1032C886">
      <w:numFmt w:val="bullet"/>
      <w:lvlText w:val="•"/>
      <w:lvlJc w:val="left"/>
      <w:pPr>
        <w:ind w:left="692" w:hanging="100"/>
      </w:pPr>
      <w:rPr>
        <w:rFonts w:hint="default"/>
      </w:rPr>
    </w:lvl>
    <w:lvl w:ilvl="3" w:tplc="4928E1CE">
      <w:numFmt w:val="bullet"/>
      <w:lvlText w:val="•"/>
      <w:lvlJc w:val="left"/>
      <w:pPr>
        <w:ind w:left="959" w:hanging="100"/>
      </w:pPr>
      <w:rPr>
        <w:rFonts w:hint="default"/>
      </w:rPr>
    </w:lvl>
    <w:lvl w:ilvl="4" w:tplc="26B411AC">
      <w:numFmt w:val="bullet"/>
      <w:lvlText w:val="•"/>
      <w:lvlJc w:val="left"/>
      <w:pPr>
        <w:ind w:left="1225" w:hanging="100"/>
      </w:pPr>
      <w:rPr>
        <w:rFonts w:hint="default"/>
      </w:rPr>
    </w:lvl>
    <w:lvl w:ilvl="5" w:tplc="6B8EB398">
      <w:numFmt w:val="bullet"/>
      <w:lvlText w:val="•"/>
      <w:lvlJc w:val="left"/>
      <w:pPr>
        <w:ind w:left="1492" w:hanging="100"/>
      </w:pPr>
      <w:rPr>
        <w:rFonts w:hint="default"/>
      </w:rPr>
    </w:lvl>
    <w:lvl w:ilvl="6" w:tplc="628E3FAA">
      <w:numFmt w:val="bullet"/>
      <w:lvlText w:val="•"/>
      <w:lvlJc w:val="left"/>
      <w:pPr>
        <w:ind w:left="1758" w:hanging="100"/>
      </w:pPr>
      <w:rPr>
        <w:rFonts w:hint="default"/>
      </w:rPr>
    </w:lvl>
    <w:lvl w:ilvl="7" w:tplc="B03EACC0">
      <w:numFmt w:val="bullet"/>
      <w:lvlText w:val="•"/>
      <w:lvlJc w:val="left"/>
      <w:pPr>
        <w:ind w:left="2024" w:hanging="100"/>
      </w:pPr>
      <w:rPr>
        <w:rFonts w:hint="default"/>
      </w:rPr>
    </w:lvl>
    <w:lvl w:ilvl="8" w:tplc="D15E79A0">
      <w:numFmt w:val="bullet"/>
      <w:lvlText w:val="•"/>
      <w:lvlJc w:val="left"/>
      <w:pPr>
        <w:ind w:left="2291" w:hanging="100"/>
      </w:pPr>
      <w:rPr>
        <w:rFonts w:hint="default"/>
      </w:rPr>
    </w:lvl>
  </w:abstractNum>
  <w:abstractNum w:abstractNumId="12" w15:restartNumberingAfterBreak="0">
    <w:nsid w:val="00EF7FB5"/>
    <w:multiLevelType w:val="hybridMultilevel"/>
    <w:tmpl w:val="2206AA80"/>
    <w:lvl w:ilvl="0" w:tplc="893AD98C">
      <w:numFmt w:val="bullet"/>
      <w:lvlText w:val=""/>
      <w:lvlJc w:val="left"/>
      <w:pPr>
        <w:ind w:left="157" w:hanging="100"/>
      </w:pPr>
      <w:rPr>
        <w:rFonts w:ascii="Symbol" w:eastAsia="Symbol" w:hAnsi="Symbol" w:cs="Symbol" w:hint="default"/>
        <w:color w:val="231F20"/>
        <w:w w:val="100"/>
        <w:sz w:val="14"/>
        <w:szCs w:val="14"/>
      </w:rPr>
    </w:lvl>
    <w:lvl w:ilvl="1" w:tplc="52D89C22">
      <w:numFmt w:val="bullet"/>
      <w:lvlText w:val="•"/>
      <w:lvlJc w:val="left"/>
      <w:pPr>
        <w:ind w:left="369" w:hanging="100"/>
      </w:pPr>
      <w:rPr>
        <w:rFonts w:hint="default"/>
      </w:rPr>
    </w:lvl>
    <w:lvl w:ilvl="2" w:tplc="3A68F746">
      <w:numFmt w:val="bullet"/>
      <w:lvlText w:val="•"/>
      <w:lvlJc w:val="left"/>
      <w:pPr>
        <w:ind w:left="579" w:hanging="100"/>
      </w:pPr>
      <w:rPr>
        <w:rFonts w:hint="default"/>
      </w:rPr>
    </w:lvl>
    <w:lvl w:ilvl="3" w:tplc="EE908CF8">
      <w:numFmt w:val="bullet"/>
      <w:lvlText w:val="•"/>
      <w:lvlJc w:val="left"/>
      <w:pPr>
        <w:ind w:left="789" w:hanging="100"/>
      </w:pPr>
      <w:rPr>
        <w:rFonts w:hint="default"/>
      </w:rPr>
    </w:lvl>
    <w:lvl w:ilvl="4" w:tplc="6E66BE76">
      <w:numFmt w:val="bullet"/>
      <w:lvlText w:val="•"/>
      <w:lvlJc w:val="left"/>
      <w:pPr>
        <w:ind w:left="998" w:hanging="100"/>
      </w:pPr>
      <w:rPr>
        <w:rFonts w:hint="default"/>
      </w:rPr>
    </w:lvl>
    <w:lvl w:ilvl="5" w:tplc="6EC05274">
      <w:numFmt w:val="bullet"/>
      <w:lvlText w:val="•"/>
      <w:lvlJc w:val="left"/>
      <w:pPr>
        <w:ind w:left="1208" w:hanging="100"/>
      </w:pPr>
      <w:rPr>
        <w:rFonts w:hint="default"/>
      </w:rPr>
    </w:lvl>
    <w:lvl w:ilvl="6" w:tplc="B6AEC002">
      <w:numFmt w:val="bullet"/>
      <w:lvlText w:val="•"/>
      <w:lvlJc w:val="left"/>
      <w:pPr>
        <w:ind w:left="1418" w:hanging="100"/>
      </w:pPr>
      <w:rPr>
        <w:rFonts w:hint="default"/>
      </w:rPr>
    </w:lvl>
    <w:lvl w:ilvl="7" w:tplc="BA84CF00">
      <w:numFmt w:val="bullet"/>
      <w:lvlText w:val="•"/>
      <w:lvlJc w:val="left"/>
      <w:pPr>
        <w:ind w:left="1627" w:hanging="100"/>
      </w:pPr>
      <w:rPr>
        <w:rFonts w:hint="default"/>
      </w:rPr>
    </w:lvl>
    <w:lvl w:ilvl="8" w:tplc="C50CE5F0">
      <w:numFmt w:val="bullet"/>
      <w:lvlText w:val="•"/>
      <w:lvlJc w:val="left"/>
      <w:pPr>
        <w:ind w:left="1837" w:hanging="100"/>
      </w:pPr>
      <w:rPr>
        <w:rFonts w:hint="default"/>
      </w:rPr>
    </w:lvl>
  </w:abstractNum>
  <w:abstractNum w:abstractNumId="13" w15:restartNumberingAfterBreak="0">
    <w:nsid w:val="013758E5"/>
    <w:multiLevelType w:val="hybridMultilevel"/>
    <w:tmpl w:val="39002A48"/>
    <w:lvl w:ilvl="0" w:tplc="5B5418F8">
      <w:numFmt w:val="bullet"/>
      <w:lvlText w:val=""/>
      <w:lvlJc w:val="left"/>
      <w:pPr>
        <w:ind w:left="157" w:hanging="100"/>
      </w:pPr>
      <w:rPr>
        <w:rFonts w:ascii="Symbol" w:eastAsia="Symbol" w:hAnsi="Symbol" w:cs="Symbol" w:hint="default"/>
        <w:color w:val="231F20"/>
        <w:w w:val="100"/>
        <w:sz w:val="14"/>
        <w:szCs w:val="14"/>
      </w:rPr>
    </w:lvl>
    <w:lvl w:ilvl="1" w:tplc="3F9A8236">
      <w:numFmt w:val="bullet"/>
      <w:lvlText w:val="•"/>
      <w:lvlJc w:val="left"/>
      <w:pPr>
        <w:ind w:left="369" w:hanging="100"/>
      </w:pPr>
      <w:rPr>
        <w:rFonts w:hint="default"/>
      </w:rPr>
    </w:lvl>
    <w:lvl w:ilvl="2" w:tplc="B01EF206">
      <w:numFmt w:val="bullet"/>
      <w:lvlText w:val="•"/>
      <w:lvlJc w:val="left"/>
      <w:pPr>
        <w:ind w:left="579" w:hanging="100"/>
      </w:pPr>
      <w:rPr>
        <w:rFonts w:hint="default"/>
      </w:rPr>
    </w:lvl>
    <w:lvl w:ilvl="3" w:tplc="66D0BABA">
      <w:numFmt w:val="bullet"/>
      <w:lvlText w:val="•"/>
      <w:lvlJc w:val="left"/>
      <w:pPr>
        <w:ind w:left="789" w:hanging="100"/>
      </w:pPr>
      <w:rPr>
        <w:rFonts w:hint="default"/>
      </w:rPr>
    </w:lvl>
    <w:lvl w:ilvl="4" w:tplc="E33ADD84">
      <w:numFmt w:val="bullet"/>
      <w:lvlText w:val="•"/>
      <w:lvlJc w:val="left"/>
      <w:pPr>
        <w:ind w:left="998" w:hanging="100"/>
      </w:pPr>
      <w:rPr>
        <w:rFonts w:hint="default"/>
      </w:rPr>
    </w:lvl>
    <w:lvl w:ilvl="5" w:tplc="D5CED052">
      <w:numFmt w:val="bullet"/>
      <w:lvlText w:val="•"/>
      <w:lvlJc w:val="left"/>
      <w:pPr>
        <w:ind w:left="1208" w:hanging="100"/>
      </w:pPr>
      <w:rPr>
        <w:rFonts w:hint="default"/>
      </w:rPr>
    </w:lvl>
    <w:lvl w:ilvl="6" w:tplc="6B727848">
      <w:numFmt w:val="bullet"/>
      <w:lvlText w:val="•"/>
      <w:lvlJc w:val="left"/>
      <w:pPr>
        <w:ind w:left="1418" w:hanging="100"/>
      </w:pPr>
      <w:rPr>
        <w:rFonts w:hint="default"/>
      </w:rPr>
    </w:lvl>
    <w:lvl w:ilvl="7" w:tplc="DF2AD79E">
      <w:numFmt w:val="bullet"/>
      <w:lvlText w:val="•"/>
      <w:lvlJc w:val="left"/>
      <w:pPr>
        <w:ind w:left="1627" w:hanging="100"/>
      </w:pPr>
      <w:rPr>
        <w:rFonts w:hint="default"/>
      </w:rPr>
    </w:lvl>
    <w:lvl w:ilvl="8" w:tplc="668EC288">
      <w:numFmt w:val="bullet"/>
      <w:lvlText w:val="•"/>
      <w:lvlJc w:val="left"/>
      <w:pPr>
        <w:ind w:left="1837" w:hanging="100"/>
      </w:pPr>
      <w:rPr>
        <w:rFonts w:hint="default"/>
      </w:rPr>
    </w:lvl>
  </w:abstractNum>
  <w:abstractNum w:abstractNumId="14" w15:restartNumberingAfterBreak="0">
    <w:nsid w:val="015A033F"/>
    <w:multiLevelType w:val="hybridMultilevel"/>
    <w:tmpl w:val="82543548"/>
    <w:lvl w:ilvl="0" w:tplc="795A0424">
      <w:numFmt w:val="bullet"/>
      <w:lvlText w:val=""/>
      <w:lvlJc w:val="left"/>
      <w:pPr>
        <w:ind w:left="157" w:hanging="100"/>
      </w:pPr>
      <w:rPr>
        <w:rFonts w:ascii="Symbol" w:eastAsia="Symbol" w:hAnsi="Symbol" w:cs="Symbol" w:hint="default"/>
        <w:color w:val="231F20"/>
        <w:w w:val="100"/>
        <w:sz w:val="14"/>
        <w:szCs w:val="14"/>
      </w:rPr>
    </w:lvl>
    <w:lvl w:ilvl="1" w:tplc="2D08FF80">
      <w:numFmt w:val="bullet"/>
      <w:lvlText w:val="•"/>
      <w:lvlJc w:val="left"/>
      <w:pPr>
        <w:ind w:left="369" w:hanging="100"/>
      </w:pPr>
      <w:rPr>
        <w:rFonts w:hint="default"/>
      </w:rPr>
    </w:lvl>
    <w:lvl w:ilvl="2" w:tplc="76F2929C">
      <w:numFmt w:val="bullet"/>
      <w:lvlText w:val="•"/>
      <w:lvlJc w:val="left"/>
      <w:pPr>
        <w:ind w:left="579" w:hanging="100"/>
      </w:pPr>
      <w:rPr>
        <w:rFonts w:hint="default"/>
      </w:rPr>
    </w:lvl>
    <w:lvl w:ilvl="3" w:tplc="F02C668E">
      <w:numFmt w:val="bullet"/>
      <w:lvlText w:val="•"/>
      <w:lvlJc w:val="left"/>
      <w:pPr>
        <w:ind w:left="789" w:hanging="100"/>
      </w:pPr>
      <w:rPr>
        <w:rFonts w:hint="default"/>
      </w:rPr>
    </w:lvl>
    <w:lvl w:ilvl="4" w:tplc="DFDEC766">
      <w:numFmt w:val="bullet"/>
      <w:lvlText w:val="•"/>
      <w:lvlJc w:val="left"/>
      <w:pPr>
        <w:ind w:left="998" w:hanging="100"/>
      </w:pPr>
      <w:rPr>
        <w:rFonts w:hint="default"/>
      </w:rPr>
    </w:lvl>
    <w:lvl w:ilvl="5" w:tplc="1F0A4EB0">
      <w:numFmt w:val="bullet"/>
      <w:lvlText w:val="•"/>
      <w:lvlJc w:val="left"/>
      <w:pPr>
        <w:ind w:left="1208" w:hanging="100"/>
      </w:pPr>
      <w:rPr>
        <w:rFonts w:hint="default"/>
      </w:rPr>
    </w:lvl>
    <w:lvl w:ilvl="6" w:tplc="4B2C68EE">
      <w:numFmt w:val="bullet"/>
      <w:lvlText w:val="•"/>
      <w:lvlJc w:val="left"/>
      <w:pPr>
        <w:ind w:left="1418" w:hanging="100"/>
      </w:pPr>
      <w:rPr>
        <w:rFonts w:hint="default"/>
      </w:rPr>
    </w:lvl>
    <w:lvl w:ilvl="7" w:tplc="104451F6">
      <w:numFmt w:val="bullet"/>
      <w:lvlText w:val="•"/>
      <w:lvlJc w:val="left"/>
      <w:pPr>
        <w:ind w:left="1627" w:hanging="100"/>
      </w:pPr>
      <w:rPr>
        <w:rFonts w:hint="default"/>
      </w:rPr>
    </w:lvl>
    <w:lvl w:ilvl="8" w:tplc="D7EC3214">
      <w:numFmt w:val="bullet"/>
      <w:lvlText w:val="•"/>
      <w:lvlJc w:val="left"/>
      <w:pPr>
        <w:ind w:left="1837" w:hanging="100"/>
      </w:pPr>
      <w:rPr>
        <w:rFonts w:hint="default"/>
      </w:rPr>
    </w:lvl>
  </w:abstractNum>
  <w:abstractNum w:abstractNumId="15" w15:restartNumberingAfterBreak="0">
    <w:nsid w:val="015E2CB4"/>
    <w:multiLevelType w:val="hybridMultilevel"/>
    <w:tmpl w:val="562E91B0"/>
    <w:lvl w:ilvl="0" w:tplc="AD88EFC2">
      <w:numFmt w:val="bullet"/>
      <w:lvlText w:val=""/>
      <w:lvlJc w:val="left"/>
      <w:pPr>
        <w:ind w:left="157" w:hanging="100"/>
      </w:pPr>
      <w:rPr>
        <w:rFonts w:ascii="Symbol" w:eastAsia="Symbol" w:hAnsi="Symbol" w:cs="Symbol" w:hint="default"/>
        <w:color w:val="231F20"/>
        <w:w w:val="100"/>
        <w:sz w:val="14"/>
        <w:szCs w:val="14"/>
      </w:rPr>
    </w:lvl>
    <w:lvl w:ilvl="1" w:tplc="7D1040FE">
      <w:numFmt w:val="bullet"/>
      <w:lvlText w:val="•"/>
      <w:lvlJc w:val="left"/>
      <w:pPr>
        <w:ind w:left="426" w:hanging="100"/>
      </w:pPr>
      <w:rPr>
        <w:rFonts w:hint="default"/>
      </w:rPr>
    </w:lvl>
    <w:lvl w:ilvl="2" w:tplc="C3228C68">
      <w:numFmt w:val="bullet"/>
      <w:lvlText w:val="•"/>
      <w:lvlJc w:val="left"/>
      <w:pPr>
        <w:ind w:left="692" w:hanging="100"/>
      </w:pPr>
      <w:rPr>
        <w:rFonts w:hint="default"/>
      </w:rPr>
    </w:lvl>
    <w:lvl w:ilvl="3" w:tplc="E990F348">
      <w:numFmt w:val="bullet"/>
      <w:lvlText w:val="•"/>
      <w:lvlJc w:val="left"/>
      <w:pPr>
        <w:ind w:left="959" w:hanging="100"/>
      </w:pPr>
      <w:rPr>
        <w:rFonts w:hint="default"/>
      </w:rPr>
    </w:lvl>
    <w:lvl w:ilvl="4" w:tplc="C05E7108">
      <w:numFmt w:val="bullet"/>
      <w:lvlText w:val="•"/>
      <w:lvlJc w:val="left"/>
      <w:pPr>
        <w:ind w:left="1225" w:hanging="100"/>
      </w:pPr>
      <w:rPr>
        <w:rFonts w:hint="default"/>
      </w:rPr>
    </w:lvl>
    <w:lvl w:ilvl="5" w:tplc="C028496C">
      <w:numFmt w:val="bullet"/>
      <w:lvlText w:val="•"/>
      <w:lvlJc w:val="left"/>
      <w:pPr>
        <w:ind w:left="1492" w:hanging="100"/>
      </w:pPr>
      <w:rPr>
        <w:rFonts w:hint="default"/>
      </w:rPr>
    </w:lvl>
    <w:lvl w:ilvl="6" w:tplc="09B4BBD6">
      <w:numFmt w:val="bullet"/>
      <w:lvlText w:val="•"/>
      <w:lvlJc w:val="left"/>
      <w:pPr>
        <w:ind w:left="1758" w:hanging="100"/>
      </w:pPr>
      <w:rPr>
        <w:rFonts w:hint="default"/>
      </w:rPr>
    </w:lvl>
    <w:lvl w:ilvl="7" w:tplc="8474DEEA">
      <w:numFmt w:val="bullet"/>
      <w:lvlText w:val="•"/>
      <w:lvlJc w:val="left"/>
      <w:pPr>
        <w:ind w:left="2024" w:hanging="100"/>
      </w:pPr>
      <w:rPr>
        <w:rFonts w:hint="default"/>
      </w:rPr>
    </w:lvl>
    <w:lvl w:ilvl="8" w:tplc="53F4193A">
      <w:numFmt w:val="bullet"/>
      <w:lvlText w:val="•"/>
      <w:lvlJc w:val="left"/>
      <w:pPr>
        <w:ind w:left="2291" w:hanging="100"/>
      </w:pPr>
      <w:rPr>
        <w:rFonts w:hint="default"/>
      </w:rPr>
    </w:lvl>
  </w:abstractNum>
  <w:abstractNum w:abstractNumId="16" w15:restartNumberingAfterBreak="0">
    <w:nsid w:val="01706664"/>
    <w:multiLevelType w:val="hybridMultilevel"/>
    <w:tmpl w:val="B52CD9E4"/>
    <w:lvl w:ilvl="0" w:tplc="7E3E865E">
      <w:numFmt w:val="bullet"/>
      <w:lvlText w:val=""/>
      <w:lvlJc w:val="left"/>
      <w:pPr>
        <w:ind w:left="157" w:hanging="100"/>
      </w:pPr>
      <w:rPr>
        <w:rFonts w:ascii="Symbol" w:eastAsia="Symbol" w:hAnsi="Symbol" w:cs="Symbol" w:hint="default"/>
        <w:color w:val="231F20"/>
        <w:w w:val="100"/>
        <w:sz w:val="14"/>
        <w:szCs w:val="14"/>
      </w:rPr>
    </w:lvl>
    <w:lvl w:ilvl="1" w:tplc="5978D92A">
      <w:numFmt w:val="bullet"/>
      <w:lvlText w:val="•"/>
      <w:lvlJc w:val="left"/>
      <w:pPr>
        <w:ind w:left="369" w:hanging="100"/>
      </w:pPr>
      <w:rPr>
        <w:rFonts w:hint="default"/>
      </w:rPr>
    </w:lvl>
    <w:lvl w:ilvl="2" w:tplc="9F5E64B4">
      <w:numFmt w:val="bullet"/>
      <w:lvlText w:val="•"/>
      <w:lvlJc w:val="left"/>
      <w:pPr>
        <w:ind w:left="579" w:hanging="100"/>
      </w:pPr>
      <w:rPr>
        <w:rFonts w:hint="default"/>
      </w:rPr>
    </w:lvl>
    <w:lvl w:ilvl="3" w:tplc="B4884DD0">
      <w:numFmt w:val="bullet"/>
      <w:lvlText w:val="•"/>
      <w:lvlJc w:val="left"/>
      <w:pPr>
        <w:ind w:left="789" w:hanging="100"/>
      </w:pPr>
      <w:rPr>
        <w:rFonts w:hint="default"/>
      </w:rPr>
    </w:lvl>
    <w:lvl w:ilvl="4" w:tplc="99166B52">
      <w:numFmt w:val="bullet"/>
      <w:lvlText w:val="•"/>
      <w:lvlJc w:val="left"/>
      <w:pPr>
        <w:ind w:left="998" w:hanging="100"/>
      </w:pPr>
      <w:rPr>
        <w:rFonts w:hint="default"/>
      </w:rPr>
    </w:lvl>
    <w:lvl w:ilvl="5" w:tplc="A3348DF4">
      <w:numFmt w:val="bullet"/>
      <w:lvlText w:val="•"/>
      <w:lvlJc w:val="left"/>
      <w:pPr>
        <w:ind w:left="1208" w:hanging="100"/>
      </w:pPr>
      <w:rPr>
        <w:rFonts w:hint="default"/>
      </w:rPr>
    </w:lvl>
    <w:lvl w:ilvl="6" w:tplc="5BE02FC2">
      <w:numFmt w:val="bullet"/>
      <w:lvlText w:val="•"/>
      <w:lvlJc w:val="left"/>
      <w:pPr>
        <w:ind w:left="1418" w:hanging="100"/>
      </w:pPr>
      <w:rPr>
        <w:rFonts w:hint="default"/>
      </w:rPr>
    </w:lvl>
    <w:lvl w:ilvl="7" w:tplc="73DE862C">
      <w:numFmt w:val="bullet"/>
      <w:lvlText w:val="•"/>
      <w:lvlJc w:val="left"/>
      <w:pPr>
        <w:ind w:left="1627" w:hanging="100"/>
      </w:pPr>
      <w:rPr>
        <w:rFonts w:hint="default"/>
      </w:rPr>
    </w:lvl>
    <w:lvl w:ilvl="8" w:tplc="CEDED5BE">
      <w:numFmt w:val="bullet"/>
      <w:lvlText w:val="•"/>
      <w:lvlJc w:val="left"/>
      <w:pPr>
        <w:ind w:left="1837" w:hanging="100"/>
      </w:pPr>
      <w:rPr>
        <w:rFonts w:hint="default"/>
      </w:rPr>
    </w:lvl>
  </w:abstractNum>
  <w:abstractNum w:abstractNumId="17" w15:restartNumberingAfterBreak="0">
    <w:nsid w:val="017B6809"/>
    <w:multiLevelType w:val="hybridMultilevel"/>
    <w:tmpl w:val="DDBABB4A"/>
    <w:lvl w:ilvl="0" w:tplc="BC26980E">
      <w:numFmt w:val="bullet"/>
      <w:lvlText w:val=""/>
      <w:lvlJc w:val="left"/>
      <w:pPr>
        <w:ind w:left="156" w:hanging="100"/>
      </w:pPr>
      <w:rPr>
        <w:rFonts w:ascii="Symbol" w:eastAsia="Symbol" w:hAnsi="Symbol" w:cs="Symbol" w:hint="default"/>
        <w:color w:val="231F20"/>
        <w:w w:val="100"/>
        <w:sz w:val="14"/>
        <w:szCs w:val="14"/>
      </w:rPr>
    </w:lvl>
    <w:lvl w:ilvl="1" w:tplc="DFEC06AA">
      <w:numFmt w:val="bullet"/>
      <w:lvlText w:val="•"/>
      <w:lvlJc w:val="left"/>
      <w:pPr>
        <w:ind w:left="398" w:hanging="100"/>
      </w:pPr>
      <w:rPr>
        <w:rFonts w:hint="default"/>
      </w:rPr>
    </w:lvl>
    <w:lvl w:ilvl="2" w:tplc="16D08AA4">
      <w:numFmt w:val="bullet"/>
      <w:lvlText w:val="•"/>
      <w:lvlJc w:val="left"/>
      <w:pPr>
        <w:ind w:left="636" w:hanging="100"/>
      </w:pPr>
      <w:rPr>
        <w:rFonts w:hint="default"/>
      </w:rPr>
    </w:lvl>
    <w:lvl w:ilvl="3" w:tplc="43266AA0">
      <w:numFmt w:val="bullet"/>
      <w:lvlText w:val="•"/>
      <w:lvlJc w:val="left"/>
      <w:pPr>
        <w:ind w:left="874" w:hanging="100"/>
      </w:pPr>
      <w:rPr>
        <w:rFonts w:hint="default"/>
      </w:rPr>
    </w:lvl>
    <w:lvl w:ilvl="4" w:tplc="095C5FFC">
      <w:numFmt w:val="bullet"/>
      <w:lvlText w:val="•"/>
      <w:lvlJc w:val="left"/>
      <w:pPr>
        <w:ind w:left="1112" w:hanging="100"/>
      </w:pPr>
      <w:rPr>
        <w:rFonts w:hint="default"/>
      </w:rPr>
    </w:lvl>
    <w:lvl w:ilvl="5" w:tplc="A0A6874C">
      <w:numFmt w:val="bullet"/>
      <w:lvlText w:val="•"/>
      <w:lvlJc w:val="left"/>
      <w:pPr>
        <w:ind w:left="1350" w:hanging="100"/>
      </w:pPr>
      <w:rPr>
        <w:rFonts w:hint="default"/>
      </w:rPr>
    </w:lvl>
    <w:lvl w:ilvl="6" w:tplc="D716086C">
      <w:numFmt w:val="bullet"/>
      <w:lvlText w:val="•"/>
      <w:lvlJc w:val="left"/>
      <w:pPr>
        <w:ind w:left="1588" w:hanging="100"/>
      </w:pPr>
      <w:rPr>
        <w:rFonts w:hint="default"/>
      </w:rPr>
    </w:lvl>
    <w:lvl w:ilvl="7" w:tplc="98904182">
      <w:numFmt w:val="bullet"/>
      <w:lvlText w:val="•"/>
      <w:lvlJc w:val="left"/>
      <w:pPr>
        <w:ind w:left="1826" w:hanging="100"/>
      </w:pPr>
      <w:rPr>
        <w:rFonts w:hint="default"/>
      </w:rPr>
    </w:lvl>
    <w:lvl w:ilvl="8" w:tplc="A1884C5A">
      <w:numFmt w:val="bullet"/>
      <w:lvlText w:val="•"/>
      <w:lvlJc w:val="left"/>
      <w:pPr>
        <w:ind w:left="2064" w:hanging="100"/>
      </w:pPr>
      <w:rPr>
        <w:rFonts w:hint="default"/>
      </w:rPr>
    </w:lvl>
  </w:abstractNum>
  <w:abstractNum w:abstractNumId="18" w15:restartNumberingAfterBreak="0">
    <w:nsid w:val="017D4270"/>
    <w:multiLevelType w:val="hybridMultilevel"/>
    <w:tmpl w:val="06AE9A38"/>
    <w:lvl w:ilvl="0" w:tplc="DE40F1F6">
      <w:numFmt w:val="bullet"/>
      <w:lvlText w:val=""/>
      <w:lvlJc w:val="left"/>
      <w:pPr>
        <w:ind w:left="156" w:hanging="100"/>
      </w:pPr>
      <w:rPr>
        <w:rFonts w:ascii="Symbol" w:eastAsia="Symbol" w:hAnsi="Symbol" w:cs="Symbol" w:hint="default"/>
        <w:color w:val="231F20"/>
        <w:w w:val="100"/>
        <w:sz w:val="14"/>
        <w:szCs w:val="14"/>
      </w:rPr>
    </w:lvl>
    <w:lvl w:ilvl="1" w:tplc="1C927A10">
      <w:numFmt w:val="bullet"/>
      <w:lvlText w:val="•"/>
      <w:lvlJc w:val="left"/>
      <w:pPr>
        <w:ind w:left="426" w:hanging="100"/>
      </w:pPr>
      <w:rPr>
        <w:rFonts w:hint="default"/>
      </w:rPr>
    </w:lvl>
    <w:lvl w:ilvl="2" w:tplc="5C8A6D2C">
      <w:numFmt w:val="bullet"/>
      <w:lvlText w:val="•"/>
      <w:lvlJc w:val="left"/>
      <w:pPr>
        <w:ind w:left="692" w:hanging="100"/>
      </w:pPr>
      <w:rPr>
        <w:rFonts w:hint="default"/>
      </w:rPr>
    </w:lvl>
    <w:lvl w:ilvl="3" w:tplc="8CEA9070">
      <w:numFmt w:val="bullet"/>
      <w:lvlText w:val="•"/>
      <w:lvlJc w:val="left"/>
      <w:pPr>
        <w:ind w:left="959" w:hanging="100"/>
      </w:pPr>
      <w:rPr>
        <w:rFonts w:hint="default"/>
      </w:rPr>
    </w:lvl>
    <w:lvl w:ilvl="4" w:tplc="AF60946E">
      <w:numFmt w:val="bullet"/>
      <w:lvlText w:val="•"/>
      <w:lvlJc w:val="left"/>
      <w:pPr>
        <w:ind w:left="1225" w:hanging="100"/>
      </w:pPr>
      <w:rPr>
        <w:rFonts w:hint="default"/>
      </w:rPr>
    </w:lvl>
    <w:lvl w:ilvl="5" w:tplc="BBB8F098">
      <w:numFmt w:val="bullet"/>
      <w:lvlText w:val="•"/>
      <w:lvlJc w:val="left"/>
      <w:pPr>
        <w:ind w:left="1492" w:hanging="100"/>
      </w:pPr>
      <w:rPr>
        <w:rFonts w:hint="default"/>
      </w:rPr>
    </w:lvl>
    <w:lvl w:ilvl="6" w:tplc="8C622412">
      <w:numFmt w:val="bullet"/>
      <w:lvlText w:val="•"/>
      <w:lvlJc w:val="left"/>
      <w:pPr>
        <w:ind w:left="1758" w:hanging="100"/>
      </w:pPr>
      <w:rPr>
        <w:rFonts w:hint="default"/>
      </w:rPr>
    </w:lvl>
    <w:lvl w:ilvl="7" w:tplc="5224BFE2">
      <w:numFmt w:val="bullet"/>
      <w:lvlText w:val="•"/>
      <w:lvlJc w:val="left"/>
      <w:pPr>
        <w:ind w:left="2024" w:hanging="100"/>
      </w:pPr>
      <w:rPr>
        <w:rFonts w:hint="default"/>
      </w:rPr>
    </w:lvl>
    <w:lvl w:ilvl="8" w:tplc="E2F45E0A">
      <w:numFmt w:val="bullet"/>
      <w:lvlText w:val="•"/>
      <w:lvlJc w:val="left"/>
      <w:pPr>
        <w:ind w:left="2291" w:hanging="100"/>
      </w:pPr>
      <w:rPr>
        <w:rFonts w:hint="default"/>
      </w:rPr>
    </w:lvl>
  </w:abstractNum>
  <w:abstractNum w:abstractNumId="19" w15:restartNumberingAfterBreak="0">
    <w:nsid w:val="01862413"/>
    <w:multiLevelType w:val="hybridMultilevel"/>
    <w:tmpl w:val="344813F0"/>
    <w:lvl w:ilvl="0" w:tplc="559237FE">
      <w:numFmt w:val="bullet"/>
      <w:lvlText w:val=""/>
      <w:lvlJc w:val="left"/>
      <w:pPr>
        <w:ind w:left="156" w:hanging="100"/>
      </w:pPr>
      <w:rPr>
        <w:rFonts w:ascii="Symbol" w:eastAsia="Symbol" w:hAnsi="Symbol" w:cs="Symbol" w:hint="default"/>
        <w:color w:val="231F20"/>
        <w:w w:val="100"/>
        <w:sz w:val="14"/>
        <w:szCs w:val="14"/>
      </w:rPr>
    </w:lvl>
    <w:lvl w:ilvl="1" w:tplc="939E8ED0">
      <w:numFmt w:val="bullet"/>
      <w:lvlText w:val="•"/>
      <w:lvlJc w:val="left"/>
      <w:pPr>
        <w:ind w:left="301" w:hanging="100"/>
      </w:pPr>
      <w:rPr>
        <w:rFonts w:hint="default"/>
      </w:rPr>
    </w:lvl>
    <w:lvl w:ilvl="2" w:tplc="4AF86E2A">
      <w:numFmt w:val="bullet"/>
      <w:lvlText w:val="•"/>
      <w:lvlJc w:val="left"/>
      <w:pPr>
        <w:ind w:left="443" w:hanging="100"/>
      </w:pPr>
      <w:rPr>
        <w:rFonts w:hint="default"/>
      </w:rPr>
    </w:lvl>
    <w:lvl w:ilvl="3" w:tplc="ADE0EC06">
      <w:numFmt w:val="bullet"/>
      <w:lvlText w:val="•"/>
      <w:lvlJc w:val="left"/>
      <w:pPr>
        <w:ind w:left="585" w:hanging="100"/>
      </w:pPr>
      <w:rPr>
        <w:rFonts w:hint="default"/>
      </w:rPr>
    </w:lvl>
    <w:lvl w:ilvl="4" w:tplc="284C5680">
      <w:numFmt w:val="bullet"/>
      <w:lvlText w:val="•"/>
      <w:lvlJc w:val="left"/>
      <w:pPr>
        <w:ind w:left="726" w:hanging="100"/>
      </w:pPr>
      <w:rPr>
        <w:rFonts w:hint="default"/>
      </w:rPr>
    </w:lvl>
    <w:lvl w:ilvl="5" w:tplc="D4F2C55A">
      <w:numFmt w:val="bullet"/>
      <w:lvlText w:val="•"/>
      <w:lvlJc w:val="left"/>
      <w:pPr>
        <w:ind w:left="868" w:hanging="100"/>
      </w:pPr>
      <w:rPr>
        <w:rFonts w:hint="default"/>
      </w:rPr>
    </w:lvl>
    <w:lvl w:ilvl="6" w:tplc="A900E992">
      <w:numFmt w:val="bullet"/>
      <w:lvlText w:val="•"/>
      <w:lvlJc w:val="left"/>
      <w:pPr>
        <w:ind w:left="1010" w:hanging="100"/>
      </w:pPr>
      <w:rPr>
        <w:rFonts w:hint="default"/>
      </w:rPr>
    </w:lvl>
    <w:lvl w:ilvl="7" w:tplc="3CF84494">
      <w:numFmt w:val="bullet"/>
      <w:lvlText w:val="•"/>
      <w:lvlJc w:val="left"/>
      <w:pPr>
        <w:ind w:left="1151" w:hanging="100"/>
      </w:pPr>
      <w:rPr>
        <w:rFonts w:hint="default"/>
      </w:rPr>
    </w:lvl>
    <w:lvl w:ilvl="8" w:tplc="404E6950">
      <w:numFmt w:val="bullet"/>
      <w:lvlText w:val="•"/>
      <w:lvlJc w:val="left"/>
      <w:pPr>
        <w:ind w:left="1293" w:hanging="100"/>
      </w:pPr>
      <w:rPr>
        <w:rFonts w:hint="default"/>
      </w:rPr>
    </w:lvl>
  </w:abstractNum>
  <w:abstractNum w:abstractNumId="20" w15:restartNumberingAfterBreak="0">
    <w:nsid w:val="0193076C"/>
    <w:multiLevelType w:val="hybridMultilevel"/>
    <w:tmpl w:val="F15275AA"/>
    <w:lvl w:ilvl="0" w:tplc="8BF0E054">
      <w:numFmt w:val="bullet"/>
      <w:lvlText w:val=""/>
      <w:lvlJc w:val="left"/>
      <w:pPr>
        <w:ind w:left="157" w:hanging="100"/>
      </w:pPr>
      <w:rPr>
        <w:rFonts w:ascii="Symbol" w:eastAsia="Symbol" w:hAnsi="Symbol" w:cs="Symbol" w:hint="default"/>
        <w:color w:val="231F20"/>
        <w:w w:val="100"/>
        <w:sz w:val="14"/>
        <w:szCs w:val="14"/>
      </w:rPr>
    </w:lvl>
    <w:lvl w:ilvl="1" w:tplc="A2A8AE7C">
      <w:numFmt w:val="bullet"/>
      <w:lvlText w:val="•"/>
      <w:lvlJc w:val="left"/>
      <w:pPr>
        <w:ind w:left="426" w:hanging="100"/>
      </w:pPr>
      <w:rPr>
        <w:rFonts w:hint="default"/>
      </w:rPr>
    </w:lvl>
    <w:lvl w:ilvl="2" w:tplc="7438E944">
      <w:numFmt w:val="bullet"/>
      <w:lvlText w:val="•"/>
      <w:lvlJc w:val="left"/>
      <w:pPr>
        <w:ind w:left="692" w:hanging="100"/>
      </w:pPr>
      <w:rPr>
        <w:rFonts w:hint="default"/>
      </w:rPr>
    </w:lvl>
    <w:lvl w:ilvl="3" w:tplc="5F62CC9C">
      <w:numFmt w:val="bullet"/>
      <w:lvlText w:val="•"/>
      <w:lvlJc w:val="left"/>
      <w:pPr>
        <w:ind w:left="959" w:hanging="100"/>
      </w:pPr>
      <w:rPr>
        <w:rFonts w:hint="default"/>
      </w:rPr>
    </w:lvl>
    <w:lvl w:ilvl="4" w:tplc="02C0CBC2">
      <w:numFmt w:val="bullet"/>
      <w:lvlText w:val="•"/>
      <w:lvlJc w:val="left"/>
      <w:pPr>
        <w:ind w:left="1225" w:hanging="100"/>
      </w:pPr>
      <w:rPr>
        <w:rFonts w:hint="default"/>
      </w:rPr>
    </w:lvl>
    <w:lvl w:ilvl="5" w:tplc="6602E132">
      <w:numFmt w:val="bullet"/>
      <w:lvlText w:val="•"/>
      <w:lvlJc w:val="left"/>
      <w:pPr>
        <w:ind w:left="1492" w:hanging="100"/>
      </w:pPr>
      <w:rPr>
        <w:rFonts w:hint="default"/>
      </w:rPr>
    </w:lvl>
    <w:lvl w:ilvl="6" w:tplc="ED7C4DFC">
      <w:numFmt w:val="bullet"/>
      <w:lvlText w:val="•"/>
      <w:lvlJc w:val="left"/>
      <w:pPr>
        <w:ind w:left="1758" w:hanging="100"/>
      </w:pPr>
      <w:rPr>
        <w:rFonts w:hint="default"/>
      </w:rPr>
    </w:lvl>
    <w:lvl w:ilvl="7" w:tplc="3836CB48">
      <w:numFmt w:val="bullet"/>
      <w:lvlText w:val="•"/>
      <w:lvlJc w:val="left"/>
      <w:pPr>
        <w:ind w:left="2024" w:hanging="100"/>
      </w:pPr>
      <w:rPr>
        <w:rFonts w:hint="default"/>
      </w:rPr>
    </w:lvl>
    <w:lvl w:ilvl="8" w:tplc="32C076BA">
      <w:numFmt w:val="bullet"/>
      <w:lvlText w:val="•"/>
      <w:lvlJc w:val="left"/>
      <w:pPr>
        <w:ind w:left="2291" w:hanging="100"/>
      </w:pPr>
      <w:rPr>
        <w:rFonts w:hint="default"/>
      </w:rPr>
    </w:lvl>
  </w:abstractNum>
  <w:abstractNum w:abstractNumId="21" w15:restartNumberingAfterBreak="0">
    <w:nsid w:val="01A1310C"/>
    <w:multiLevelType w:val="hybridMultilevel"/>
    <w:tmpl w:val="B2CE3FBC"/>
    <w:lvl w:ilvl="0" w:tplc="5F14024C">
      <w:numFmt w:val="bullet"/>
      <w:lvlText w:val=""/>
      <w:lvlJc w:val="left"/>
      <w:pPr>
        <w:ind w:left="156" w:hanging="100"/>
      </w:pPr>
      <w:rPr>
        <w:rFonts w:ascii="Symbol" w:eastAsia="Symbol" w:hAnsi="Symbol" w:cs="Symbol" w:hint="default"/>
        <w:color w:val="231F20"/>
        <w:w w:val="100"/>
        <w:sz w:val="14"/>
        <w:szCs w:val="14"/>
      </w:rPr>
    </w:lvl>
    <w:lvl w:ilvl="1" w:tplc="8B90BD74">
      <w:numFmt w:val="bullet"/>
      <w:lvlText w:val="•"/>
      <w:lvlJc w:val="left"/>
      <w:pPr>
        <w:ind w:left="301" w:hanging="100"/>
      </w:pPr>
      <w:rPr>
        <w:rFonts w:hint="default"/>
      </w:rPr>
    </w:lvl>
    <w:lvl w:ilvl="2" w:tplc="C67C2886">
      <w:numFmt w:val="bullet"/>
      <w:lvlText w:val="•"/>
      <w:lvlJc w:val="left"/>
      <w:pPr>
        <w:ind w:left="443" w:hanging="100"/>
      </w:pPr>
      <w:rPr>
        <w:rFonts w:hint="default"/>
      </w:rPr>
    </w:lvl>
    <w:lvl w:ilvl="3" w:tplc="0CE054B4">
      <w:numFmt w:val="bullet"/>
      <w:lvlText w:val="•"/>
      <w:lvlJc w:val="left"/>
      <w:pPr>
        <w:ind w:left="585" w:hanging="100"/>
      </w:pPr>
      <w:rPr>
        <w:rFonts w:hint="default"/>
      </w:rPr>
    </w:lvl>
    <w:lvl w:ilvl="4" w:tplc="13B6A2A6">
      <w:numFmt w:val="bullet"/>
      <w:lvlText w:val="•"/>
      <w:lvlJc w:val="left"/>
      <w:pPr>
        <w:ind w:left="726" w:hanging="100"/>
      </w:pPr>
      <w:rPr>
        <w:rFonts w:hint="default"/>
      </w:rPr>
    </w:lvl>
    <w:lvl w:ilvl="5" w:tplc="2FE6E372">
      <w:numFmt w:val="bullet"/>
      <w:lvlText w:val="•"/>
      <w:lvlJc w:val="left"/>
      <w:pPr>
        <w:ind w:left="868" w:hanging="100"/>
      </w:pPr>
      <w:rPr>
        <w:rFonts w:hint="default"/>
      </w:rPr>
    </w:lvl>
    <w:lvl w:ilvl="6" w:tplc="2F2AC906">
      <w:numFmt w:val="bullet"/>
      <w:lvlText w:val="•"/>
      <w:lvlJc w:val="left"/>
      <w:pPr>
        <w:ind w:left="1010" w:hanging="100"/>
      </w:pPr>
      <w:rPr>
        <w:rFonts w:hint="default"/>
      </w:rPr>
    </w:lvl>
    <w:lvl w:ilvl="7" w:tplc="953CA6FA">
      <w:numFmt w:val="bullet"/>
      <w:lvlText w:val="•"/>
      <w:lvlJc w:val="left"/>
      <w:pPr>
        <w:ind w:left="1151" w:hanging="100"/>
      </w:pPr>
      <w:rPr>
        <w:rFonts w:hint="default"/>
      </w:rPr>
    </w:lvl>
    <w:lvl w:ilvl="8" w:tplc="5498D102">
      <w:numFmt w:val="bullet"/>
      <w:lvlText w:val="•"/>
      <w:lvlJc w:val="left"/>
      <w:pPr>
        <w:ind w:left="1293" w:hanging="100"/>
      </w:pPr>
      <w:rPr>
        <w:rFonts w:hint="default"/>
      </w:rPr>
    </w:lvl>
  </w:abstractNum>
  <w:abstractNum w:abstractNumId="22" w15:restartNumberingAfterBreak="0">
    <w:nsid w:val="01B07AEF"/>
    <w:multiLevelType w:val="hybridMultilevel"/>
    <w:tmpl w:val="0A083D7E"/>
    <w:lvl w:ilvl="0" w:tplc="5CEC410E">
      <w:numFmt w:val="bullet"/>
      <w:lvlText w:val=""/>
      <w:lvlJc w:val="left"/>
      <w:pPr>
        <w:ind w:left="156" w:hanging="100"/>
      </w:pPr>
      <w:rPr>
        <w:rFonts w:ascii="Symbol" w:eastAsia="Symbol" w:hAnsi="Symbol" w:cs="Symbol" w:hint="default"/>
        <w:color w:val="231F20"/>
        <w:w w:val="100"/>
        <w:sz w:val="14"/>
        <w:szCs w:val="14"/>
      </w:rPr>
    </w:lvl>
    <w:lvl w:ilvl="1" w:tplc="21B21D28">
      <w:numFmt w:val="bullet"/>
      <w:lvlText w:val="•"/>
      <w:lvlJc w:val="left"/>
      <w:pPr>
        <w:ind w:left="426" w:hanging="100"/>
      </w:pPr>
      <w:rPr>
        <w:rFonts w:hint="default"/>
      </w:rPr>
    </w:lvl>
    <w:lvl w:ilvl="2" w:tplc="E520ADB6">
      <w:numFmt w:val="bullet"/>
      <w:lvlText w:val="•"/>
      <w:lvlJc w:val="left"/>
      <w:pPr>
        <w:ind w:left="692" w:hanging="100"/>
      </w:pPr>
      <w:rPr>
        <w:rFonts w:hint="default"/>
      </w:rPr>
    </w:lvl>
    <w:lvl w:ilvl="3" w:tplc="BA167220">
      <w:numFmt w:val="bullet"/>
      <w:lvlText w:val="•"/>
      <w:lvlJc w:val="left"/>
      <w:pPr>
        <w:ind w:left="959" w:hanging="100"/>
      </w:pPr>
      <w:rPr>
        <w:rFonts w:hint="default"/>
      </w:rPr>
    </w:lvl>
    <w:lvl w:ilvl="4" w:tplc="C5A26514">
      <w:numFmt w:val="bullet"/>
      <w:lvlText w:val="•"/>
      <w:lvlJc w:val="left"/>
      <w:pPr>
        <w:ind w:left="1225" w:hanging="100"/>
      </w:pPr>
      <w:rPr>
        <w:rFonts w:hint="default"/>
      </w:rPr>
    </w:lvl>
    <w:lvl w:ilvl="5" w:tplc="18247EC8">
      <w:numFmt w:val="bullet"/>
      <w:lvlText w:val="•"/>
      <w:lvlJc w:val="left"/>
      <w:pPr>
        <w:ind w:left="1492" w:hanging="100"/>
      </w:pPr>
      <w:rPr>
        <w:rFonts w:hint="default"/>
      </w:rPr>
    </w:lvl>
    <w:lvl w:ilvl="6" w:tplc="33581744">
      <w:numFmt w:val="bullet"/>
      <w:lvlText w:val="•"/>
      <w:lvlJc w:val="left"/>
      <w:pPr>
        <w:ind w:left="1758" w:hanging="100"/>
      </w:pPr>
      <w:rPr>
        <w:rFonts w:hint="default"/>
      </w:rPr>
    </w:lvl>
    <w:lvl w:ilvl="7" w:tplc="0BD8CAEC">
      <w:numFmt w:val="bullet"/>
      <w:lvlText w:val="•"/>
      <w:lvlJc w:val="left"/>
      <w:pPr>
        <w:ind w:left="2024" w:hanging="100"/>
      </w:pPr>
      <w:rPr>
        <w:rFonts w:hint="default"/>
      </w:rPr>
    </w:lvl>
    <w:lvl w:ilvl="8" w:tplc="4AFE59E2">
      <w:numFmt w:val="bullet"/>
      <w:lvlText w:val="•"/>
      <w:lvlJc w:val="left"/>
      <w:pPr>
        <w:ind w:left="2291" w:hanging="100"/>
      </w:pPr>
      <w:rPr>
        <w:rFonts w:hint="default"/>
      </w:rPr>
    </w:lvl>
  </w:abstractNum>
  <w:abstractNum w:abstractNumId="23" w15:restartNumberingAfterBreak="0">
    <w:nsid w:val="01C635A9"/>
    <w:multiLevelType w:val="hybridMultilevel"/>
    <w:tmpl w:val="C92E88AE"/>
    <w:lvl w:ilvl="0" w:tplc="EEDC1C52">
      <w:numFmt w:val="bullet"/>
      <w:lvlText w:val=""/>
      <w:lvlJc w:val="left"/>
      <w:pPr>
        <w:ind w:left="157" w:hanging="100"/>
      </w:pPr>
      <w:rPr>
        <w:rFonts w:ascii="Symbol" w:eastAsia="Symbol" w:hAnsi="Symbol" w:cs="Symbol" w:hint="default"/>
        <w:color w:val="231F20"/>
        <w:w w:val="100"/>
        <w:sz w:val="14"/>
        <w:szCs w:val="14"/>
      </w:rPr>
    </w:lvl>
    <w:lvl w:ilvl="1" w:tplc="F9CC925C">
      <w:numFmt w:val="bullet"/>
      <w:lvlText w:val="•"/>
      <w:lvlJc w:val="left"/>
      <w:pPr>
        <w:ind w:left="369" w:hanging="100"/>
      </w:pPr>
      <w:rPr>
        <w:rFonts w:hint="default"/>
      </w:rPr>
    </w:lvl>
    <w:lvl w:ilvl="2" w:tplc="5BC4DF04">
      <w:numFmt w:val="bullet"/>
      <w:lvlText w:val="•"/>
      <w:lvlJc w:val="left"/>
      <w:pPr>
        <w:ind w:left="579" w:hanging="100"/>
      </w:pPr>
      <w:rPr>
        <w:rFonts w:hint="default"/>
      </w:rPr>
    </w:lvl>
    <w:lvl w:ilvl="3" w:tplc="31A2830A">
      <w:numFmt w:val="bullet"/>
      <w:lvlText w:val="•"/>
      <w:lvlJc w:val="left"/>
      <w:pPr>
        <w:ind w:left="789" w:hanging="100"/>
      </w:pPr>
      <w:rPr>
        <w:rFonts w:hint="default"/>
      </w:rPr>
    </w:lvl>
    <w:lvl w:ilvl="4" w:tplc="AA02B184">
      <w:numFmt w:val="bullet"/>
      <w:lvlText w:val="•"/>
      <w:lvlJc w:val="left"/>
      <w:pPr>
        <w:ind w:left="998" w:hanging="100"/>
      </w:pPr>
      <w:rPr>
        <w:rFonts w:hint="default"/>
      </w:rPr>
    </w:lvl>
    <w:lvl w:ilvl="5" w:tplc="8EEC9FEA">
      <w:numFmt w:val="bullet"/>
      <w:lvlText w:val="•"/>
      <w:lvlJc w:val="left"/>
      <w:pPr>
        <w:ind w:left="1208" w:hanging="100"/>
      </w:pPr>
      <w:rPr>
        <w:rFonts w:hint="default"/>
      </w:rPr>
    </w:lvl>
    <w:lvl w:ilvl="6" w:tplc="72768E0A">
      <w:numFmt w:val="bullet"/>
      <w:lvlText w:val="•"/>
      <w:lvlJc w:val="left"/>
      <w:pPr>
        <w:ind w:left="1418" w:hanging="100"/>
      </w:pPr>
      <w:rPr>
        <w:rFonts w:hint="default"/>
      </w:rPr>
    </w:lvl>
    <w:lvl w:ilvl="7" w:tplc="949475A6">
      <w:numFmt w:val="bullet"/>
      <w:lvlText w:val="•"/>
      <w:lvlJc w:val="left"/>
      <w:pPr>
        <w:ind w:left="1627" w:hanging="100"/>
      </w:pPr>
      <w:rPr>
        <w:rFonts w:hint="default"/>
      </w:rPr>
    </w:lvl>
    <w:lvl w:ilvl="8" w:tplc="FBBA98CC">
      <w:numFmt w:val="bullet"/>
      <w:lvlText w:val="•"/>
      <w:lvlJc w:val="left"/>
      <w:pPr>
        <w:ind w:left="1837" w:hanging="100"/>
      </w:pPr>
      <w:rPr>
        <w:rFonts w:hint="default"/>
      </w:rPr>
    </w:lvl>
  </w:abstractNum>
  <w:abstractNum w:abstractNumId="24" w15:restartNumberingAfterBreak="0">
    <w:nsid w:val="01CE6F44"/>
    <w:multiLevelType w:val="hybridMultilevel"/>
    <w:tmpl w:val="C73A7B48"/>
    <w:lvl w:ilvl="0" w:tplc="E5EC262E">
      <w:numFmt w:val="bullet"/>
      <w:lvlText w:val=""/>
      <w:lvlJc w:val="left"/>
      <w:pPr>
        <w:ind w:left="156" w:hanging="100"/>
      </w:pPr>
      <w:rPr>
        <w:rFonts w:ascii="Symbol" w:eastAsia="Symbol" w:hAnsi="Symbol" w:cs="Symbol" w:hint="default"/>
        <w:color w:val="231F20"/>
        <w:w w:val="100"/>
        <w:sz w:val="14"/>
        <w:szCs w:val="14"/>
      </w:rPr>
    </w:lvl>
    <w:lvl w:ilvl="1" w:tplc="3634C316">
      <w:numFmt w:val="bullet"/>
      <w:lvlText w:val="•"/>
      <w:lvlJc w:val="left"/>
      <w:pPr>
        <w:ind w:left="426" w:hanging="100"/>
      </w:pPr>
      <w:rPr>
        <w:rFonts w:hint="default"/>
      </w:rPr>
    </w:lvl>
    <w:lvl w:ilvl="2" w:tplc="ACCEF150">
      <w:numFmt w:val="bullet"/>
      <w:lvlText w:val="•"/>
      <w:lvlJc w:val="left"/>
      <w:pPr>
        <w:ind w:left="692" w:hanging="100"/>
      </w:pPr>
      <w:rPr>
        <w:rFonts w:hint="default"/>
      </w:rPr>
    </w:lvl>
    <w:lvl w:ilvl="3" w:tplc="18C6A2F4">
      <w:numFmt w:val="bullet"/>
      <w:lvlText w:val="•"/>
      <w:lvlJc w:val="left"/>
      <w:pPr>
        <w:ind w:left="959" w:hanging="100"/>
      </w:pPr>
      <w:rPr>
        <w:rFonts w:hint="default"/>
      </w:rPr>
    </w:lvl>
    <w:lvl w:ilvl="4" w:tplc="D4683884">
      <w:numFmt w:val="bullet"/>
      <w:lvlText w:val="•"/>
      <w:lvlJc w:val="left"/>
      <w:pPr>
        <w:ind w:left="1225" w:hanging="100"/>
      </w:pPr>
      <w:rPr>
        <w:rFonts w:hint="default"/>
      </w:rPr>
    </w:lvl>
    <w:lvl w:ilvl="5" w:tplc="9954DBE8">
      <w:numFmt w:val="bullet"/>
      <w:lvlText w:val="•"/>
      <w:lvlJc w:val="left"/>
      <w:pPr>
        <w:ind w:left="1492" w:hanging="100"/>
      </w:pPr>
      <w:rPr>
        <w:rFonts w:hint="default"/>
      </w:rPr>
    </w:lvl>
    <w:lvl w:ilvl="6" w:tplc="0B200F44">
      <w:numFmt w:val="bullet"/>
      <w:lvlText w:val="•"/>
      <w:lvlJc w:val="left"/>
      <w:pPr>
        <w:ind w:left="1758" w:hanging="100"/>
      </w:pPr>
      <w:rPr>
        <w:rFonts w:hint="default"/>
      </w:rPr>
    </w:lvl>
    <w:lvl w:ilvl="7" w:tplc="17BA7B9C">
      <w:numFmt w:val="bullet"/>
      <w:lvlText w:val="•"/>
      <w:lvlJc w:val="left"/>
      <w:pPr>
        <w:ind w:left="2024" w:hanging="100"/>
      </w:pPr>
      <w:rPr>
        <w:rFonts w:hint="default"/>
      </w:rPr>
    </w:lvl>
    <w:lvl w:ilvl="8" w:tplc="7F88EDE8">
      <w:numFmt w:val="bullet"/>
      <w:lvlText w:val="•"/>
      <w:lvlJc w:val="left"/>
      <w:pPr>
        <w:ind w:left="2291" w:hanging="100"/>
      </w:pPr>
      <w:rPr>
        <w:rFonts w:hint="default"/>
      </w:rPr>
    </w:lvl>
  </w:abstractNum>
  <w:abstractNum w:abstractNumId="25" w15:restartNumberingAfterBreak="0">
    <w:nsid w:val="01D864E9"/>
    <w:multiLevelType w:val="hybridMultilevel"/>
    <w:tmpl w:val="F070AF1C"/>
    <w:lvl w:ilvl="0" w:tplc="6F64CAAC">
      <w:numFmt w:val="bullet"/>
      <w:lvlText w:val=""/>
      <w:lvlJc w:val="left"/>
      <w:pPr>
        <w:ind w:left="156" w:hanging="100"/>
      </w:pPr>
      <w:rPr>
        <w:rFonts w:ascii="Symbol" w:eastAsia="Symbol" w:hAnsi="Symbol" w:cs="Symbol" w:hint="default"/>
        <w:color w:val="231F20"/>
        <w:w w:val="100"/>
        <w:sz w:val="14"/>
        <w:szCs w:val="14"/>
      </w:rPr>
    </w:lvl>
    <w:lvl w:ilvl="1" w:tplc="B1F47C86">
      <w:numFmt w:val="bullet"/>
      <w:lvlText w:val="•"/>
      <w:lvlJc w:val="left"/>
      <w:pPr>
        <w:ind w:left="301" w:hanging="100"/>
      </w:pPr>
      <w:rPr>
        <w:rFonts w:hint="default"/>
      </w:rPr>
    </w:lvl>
    <w:lvl w:ilvl="2" w:tplc="C2EC5B02">
      <w:numFmt w:val="bullet"/>
      <w:lvlText w:val="•"/>
      <w:lvlJc w:val="left"/>
      <w:pPr>
        <w:ind w:left="443" w:hanging="100"/>
      </w:pPr>
      <w:rPr>
        <w:rFonts w:hint="default"/>
      </w:rPr>
    </w:lvl>
    <w:lvl w:ilvl="3" w:tplc="C3A8BF3E">
      <w:numFmt w:val="bullet"/>
      <w:lvlText w:val="•"/>
      <w:lvlJc w:val="left"/>
      <w:pPr>
        <w:ind w:left="585" w:hanging="100"/>
      </w:pPr>
      <w:rPr>
        <w:rFonts w:hint="default"/>
      </w:rPr>
    </w:lvl>
    <w:lvl w:ilvl="4" w:tplc="2E108FAC">
      <w:numFmt w:val="bullet"/>
      <w:lvlText w:val="•"/>
      <w:lvlJc w:val="left"/>
      <w:pPr>
        <w:ind w:left="726" w:hanging="100"/>
      </w:pPr>
      <w:rPr>
        <w:rFonts w:hint="default"/>
      </w:rPr>
    </w:lvl>
    <w:lvl w:ilvl="5" w:tplc="5E10228C">
      <w:numFmt w:val="bullet"/>
      <w:lvlText w:val="•"/>
      <w:lvlJc w:val="left"/>
      <w:pPr>
        <w:ind w:left="868" w:hanging="100"/>
      </w:pPr>
      <w:rPr>
        <w:rFonts w:hint="default"/>
      </w:rPr>
    </w:lvl>
    <w:lvl w:ilvl="6" w:tplc="A8D20194">
      <w:numFmt w:val="bullet"/>
      <w:lvlText w:val="•"/>
      <w:lvlJc w:val="left"/>
      <w:pPr>
        <w:ind w:left="1010" w:hanging="100"/>
      </w:pPr>
      <w:rPr>
        <w:rFonts w:hint="default"/>
      </w:rPr>
    </w:lvl>
    <w:lvl w:ilvl="7" w:tplc="CDB4F2E8">
      <w:numFmt w:val="bullet"/>
      <w:lvlText w:val="•"/>
      <w:lvlJc w:val="left"/>
      <w:pPr>
        <w:ind w:left="1151" w:hanging="100"/>
      </w:pPr>
      <w:rPr>
        <w:rFonts w:hint="default"/>
      </w:rPr>
    </w:lvl>
    <w:lvl w:ilvl="8" w:tplc="747E7074">
      <w:numFmt w:val="bullet"/>
      <w:lvlText w:val="•"/>
      <w:lvlJc w:val="left"/>
      <w:pPr>
        <w:ind w:left="1293" w:hanging="100"/>
      </w:pPr>
      <w:rPr>
        <w:rFonts w:hint="default"/>
      </w:rPr>
    </w:lvl>
  </w:abstractNum>
  <w:abstractNum w:abstractNumId="26" w15:restartNumberingAfterBreak="0">
    <w:nsid w:val="01DA426D"/>
    <w:multiLevelType w:val="hybridMultilevel"/>
    <w:tmpl w:val="313EA5D4"/>
    <w:lvl w:ilvl="0" w:tplc="67361734">
      <w:numFmt w:val="bullet"/>
      <w:lvlText w:val="–"/>
      <w:lvlJc w:val="left"/>
      <w:pPr>
        <w:ind w:left="497" w:hanging="135"/>
      </w:pPr>
      <w:rPr>
        <w:rFonts w:ascii="Times New Roman" w:eastAsia="Times New Roman" w:hAnsi="Times New Roman" w:cs="Times New Roman" w:hint="default"/>
        <w:color w:val="231F20"/>
        <w:spacing w:val="-8"/>
        <w:w w:val="100"/>
        <w:sz w:val="18"/>
        <w:szCs w:val="18"/>
      </w:rPr>
    </w:lvl>
    <w:lvl w:ilvl="1" w:tplc="9216CC0A">
      <w:numFmt w:val="bullet"/>
      <w:lvlText w:val="•"/>
      <w:lvlJc w:val="left"/>
      <w:pPr>
        <w:ind w:left="1528" w:hanging="135"/>
      </w:pPr>
      <w:rPr>
        <w:rFonts w:hint="default"/>
      </w:rPr>
    </w:lvl>
    <w:lvl w:ilvl="2" w:tplc="28A23F5C">
      <w:numFmt w:val="bullet"/>
      <w:lvlText w:val="•"/>
      <w:lvlJc w:val="left"/>
      <w:pPr>
        <w:ind w:left="2557" w:hanging="135"/>
      </w:pPr>
      <w:rPr>
        <w:rFonts w:hint="default"/>
      </w:rPr>
    </w:lvl>
    <w:lvl w:ilvl="3" w:tplc="0CF43556">
      <w:numFmt w:val="bullet"/>
      <w:lvlText w:val="•"/>
      <w:lvlJc w:val="left"/>
      <w:pPr>
        <w:ind w:left="3585" w:hanging="135"/>
      </w:pPr>
      <w:rPr>
        <w:rFonts w:hint="default"/>
      </w:rPr>
    </w:lvl>
    <w:lvl w:ilvl="4" w:tplc="859C194E">
      <w:numFmt w:val="bullet"/>
      <w:lvlText w:val="•"/>
      <w:lvlJc w:val="left"/>
      <w:pPr>
        <w:ind w:left="4614" w:hanging="135"/>
      </w:pPr>
      <w:rPr>
        <w:rFonts w:hint="default"/>
      </w:rPr>
    </w:lvl>
    <w:lvl w:ilvl="5" w:tplc="43489580">
      <w:numFmt w:val="bullet"/>
      <w:lvlText w:val="•"/>
      <w:lvlJc w:val="left"/>
      <w:pPr>
        <w:ind w:left="5642" w:hanging="135"/>
      </w:pPr>
      <w:rPr>
        <w:rFonts w:hint="default"/>
      </w:rPr>
    </w:lvl>
    <w:lvl w:ilvl="6" w:tplc="BC0C88A2">
      <w:numFmt w:val="bullet"/>
      <w:lvlText w:val="•"/>
      <w:lvlJc w:val="left"/>
      <w:pPr>
        <w:ind w:left="6671" w:hanging="135"/>
      </w:pPr>
      <w:rPr>
        <w:rFonts w:hint="default"/>
      </w:rPr>
    </w:lvl>
    <w:lvl w:ilvl="7" w:tplc="4BF8D1C4">
      <w:numFmt w:val="bullet"/>
      <w:lvlText w:val="•"/>
      <w:lvlJc w:val="left"/>
      <w:pPr>
        <w:ind w:left="7699" w:hanging="135"/>
      </w:pPr>
      <w:rPr>
        <w:rFonts w:hint="default"/>
      </w:rPr>
    </w:lvl>
    <w:lvl w:ilvl="8" w:tplc="08A26C80">
      <w:numFmt w:val="bullet"/>
      <w:lvlText w:val="•"/>
      <w:lvlJc w:val="left"/>
      <w:pPr>
        <w:ind w:left="8728" w:hanging="135"/>
      </w:pPr>
      <w:rPr>
        <w:rFonts w:hint="default"/>
      </w:rPr>
    </w:lvl>
  </w:abstractNum>
  <w:abstractNum w:abstractNumId="27" w15:restartNumberingAfterBreak="0">
    <w:nsid w:val="01DD1FD6"/>
    <w:multiLevelType w:val="hybridMultilevel"/>
    <w:tmpl w:val="289A09A4"/>
    <w:lvl w:ilvl="0" w:tplc="4C0A8F18">
      <w:numFmt w:val="bullet"/>
      <w:lvlText w:val=""/>
      <w:lvlJc w:val="left"/>
      <w:pPr>
        <w:ind w:left="156" w:hanging="100"/>
      </w:pPr>
      <w:rPr>
        <w:rFonts w:ascii="Symbol" w:eastAsia="Symbol" w:hAnsi="Symbol" w:cs="Symbol" w:hint="default"/>
        <w:color w:val="231F20"/>
        <w:w w:val="100"/>
        <w:sz w:val="14"/>
        <w:szCs w:val="14"/>
      </w:rPr>
    </w:lvl>
    <w:lvl w:ilvl="1" w:tplc="F2F06720">
      <w:numFmt w:val="bullet"/>
      <w:lvlText w:val="•"/>
      <w:lvlJc w:val="left"/>
      <w:pPr>
        <w:ind w:left="301" w:hanging="100"/>
      </w:pPr>
      <w:rPr>
        <w:rFonts w:hint="default"/>
      </w:rPr>
    </w:lvl>
    <w:lvl w:ilvl="2" w:tplc="9B78C316">
      <w:numFmt w:val="bullet"/>
      <w:lvlText w:val="•"/>
      <w:lvlJc w:val="left"/>
      <w:pPr>
        <w:ind w:left="443" w:hanging="100"/>
      </w:pPr>
      <w:rPr>
        <w:rFonts w:hint="default"/>
      </w:rPr>
    </w:lvl>
    <w:lvl w:ilvl="3" w:tplc="B82AC03A">
      <w:numFmt w:val="bullet"/>
      <w:lvlText w:val="•"/>
      <w:lvlJc w:val="left"/>
      <w:pPr>
        <w:ind w:left="585" w:hanging="100"/>
      </w:pPr>
      <w:rPr>
        <w:rFonts w:hint="default"/>
      </w:rPr>
    </w:lvl>
    <w:lvl w:ilvl="4" w:tplc="004CC418">
      <w:numFmt w:val="bullet"/>
      <w:lvlText w:val="•"/>
      <w:lvlJc w:val="left"/>
      <w:pPr>
        <w:ind w:left="726" w:hanging="100"/>
      </w:pPr>
      <w:rPr>
        <w:rFonts w:hint="default"/>
      </w:rPr>
    </w:lvl>
    <w:lvl w:ilvl="5" w:tplc="89700B84">
      <w:numFmt w:val="bullet"/>
      <w:lvlText w:val="•"/>
      <w:lvlJc w:val="left"/>
      <w:pPr>
        <w:ind w:left="868" w:hanging="100"/>
      </w:pPr>
      <w:rPr>
        <w:rFonts w:hint="default"/>
      </w:rPr>
    </w:lvl>
    <w:lvl w:ilvl="6" w:tplc="1E108C10">
      <w:numFmt w:val="bullet"/>
      <w:lvlText w:val="•"/>
      <w:lvlJc w:val="left"/>
      <w:pPr>
        <w:ind w:left="1010" w:hanging="100"/>
      </w:pPr>
      <w:rPr>
        <w:rFonts w:hint="default"/>
      </w:rPr>
    </w:lvl>
    <w:lvl w:ilvl="7" w:tplc="B59CCD4C">
      <w:numFmt w:val="bullet"/>
      <w:lvlText w:val="•"/>
      <w:lvlJc w:val="left"/>
      <w:pPr>
        <w:ind w:left="1151" w:hanging="100"/>
      </w:pPr>
      <w:rPr>
        <w:rFonts w:hint="default"/>
      </w:rPr>
    </w:lvl>
    <w:lvl w:ilvl="8" w:tplc="75363828">
      <w:numFmt w:val="bullet"/>
      <w:lvlText w:val="•"/>
      <w:lvlJc w:val="left"/>
      <w:pPr>
        <w:ind w:left="1293" w:hanging="100"/>
      </w:pPr>
      <w:rPr>
        <w:rFonts w:hint="default"/>
      </w:rPr>
    </w:lvl>
  </w:abstractNum>
  <w:abstractNum w:abstractNumId="28" w15:restartNumberingAfterBreak="0">
    <w:nsid w:val="01E0243E"/>
    <w:multiLevelType w:val="hybridMultilevel"/>
    <w:tmpl w:val="3350CA64"/>
    <w:lvl w:ilvl="0" w:tplc="FCFE581E">
      <w:numFmt w:val="bullet"/>
      <w:lvlText w:val=""/>
      <w:lvlJc w:val="left"/>
      <w:pPr>
        <w:ind w:left="156" w:hanging="100"/>
      </w:pPr>
      <w:rPr>
        <w:rFonts w:ascii="Symbol" w:eastAsia="Symbol" w:hAnsi="Symbol" w:cs="Symbol" w:hint="default"/>
        <w:color w:val="231F20"/>
        <w:w w:val="100"/>
        <w:sz w:val="14"/>
        <w:szCs w:val="14"/>
      </w:rPr>
    </w:lvl>
    <w:lvl w:ilvl="1" w:tplc="CA5E3592">
      <w:numFmt w:val="bullet"/>
      <w:lvlText w:val="•"/>
      <w:lvlJc w:val="left"/>
      <w:pPr>
        <w:ind w:left="426" w:hanging="100"/>
      </w:pPr>
      <w:rPr>
        <w:rFonts w:hint="default"/>
      </w:rPr>
    </w:lvl>
    <w:lvl w:ilvl="2" w:tplc="82825094">
      <w:numFmt w:val="bullet"/>
      <w:lvlText w:val="•"/>
      <w:lvlJc w:val="left"/>
      <w:pPr>
        <w:ind w:left="692" w:hanging="100"/>
      </w:pPr>
      <w:rPr>
        <w:rFonts w:hint="default"/>
      </w:rPr>
    </w:lvl>
    <w:lvl w:ilvl="3" w:tplc="C18A6820">
      <w:numFmt w:val="bullet"/>
      <w:lvlText w:val="•"/>
      <w:lvlJc w:val="left"/>
      <w:pPr>
        <w:ind w:left="959" w:hanging="100"/>
      </w:pPr>
      <w:rPr>
        <w:rFonts w:hint="default"/>
      </w:rPr>
    </w:lvl>
    <w:lvl w:ilvl="4" w:tplc="12D270CA">
      <w:numFmt w:val="bullet"/>
      <w:lvlText w:val="•"/>
      <w:lvlJc w:val="left"/>
      <w:pPr>
        <w:ind w:left="1225" w:hanging="100"/>
      </w:pPr>
      <w:rPr>
        <w:rFonts w:hint="default"/>
      </w:rPr>
    </w:lvl>
    <w:lvl w:ilvl="5" w:tplc="86260810">
      <w:numFmt w:val="bullet"/>
      <w:lvlText w:val="•"/>
      <w:lvlJc w:val="left"/>
      <w:pPr>
        <w:ind w:left="1492" w:hanging="100"/>
      </w:pPr>
      <w:rPr>
        <w:rFonts w:hint="default"/>
      </w:rPr>
    </w:lvl>
    <w:lvl w:ilvl="6" w:tplc="C696113E">
      <w:numFmt w:val="bullet"/>
      <w:lvlText w:val="•"/>
      <w:lvlJc w:val="left"/>
      <w:pPr>
        <w:ind w:left="1758" w:hanging="100"/>
      </w:pPr>
      <w:rPr>
        <w:rFonts w:hint="default"/>
      </w:rPr>
    </w:lvl>
    <w:lvl w:ilvl="7" w:tplc="B85878CA">
      <w:numFmt w:val="bullet"/>
      <w:lvlText w:val="•"/>
      <w:lvlJc w:val="left"/>
      <w:pPr>
        <w:ind w:left="2024" w:hanging="100"/>
      </w:pPr>
      <w:rPr>
        <w:rFonts w:hint="default"/>
      </w:rPr>
    </w:lvl>
    <w:lvl w:ilvl="8" w:tplc="4B34854E">
      <w:numFmt w:val="bullet"/>
      <w:lvlText w:val="•"/>
      <w:lvlJc w:val="left"/>
      <w:pPr>
        <w:ind w:left="2291" w:hanging="100"/>
      </w:pPr>
      <w:rPr>
        <w:rFonts w:hint="default"/>
      </w:rPr>
    </w:lvl>
  </w:abstractNum>
  <w:abstractNum w:abstractNumId="29" w15:restartNumberingAfterBreak="0">
    <w:nsid w:val="01F07C9B"/>
    <w:multiLevelType w:val="hybridMultilevel"/>
    <w:tmpl w:val="12E420E4"/>
    <w:lvl w:ilvl="0" w:tplc="104A355A">
      <w:numFmt w:val="bullet"/>
      <w:lvlText w:val=""/>
      <w:lvlJc w:val="left"/>
      <w:pPr>
        <w:ind w:left="156" w:hanging="100"/>
      </w:pPr>
      <w:rPr>
        <w:rFonts w:ascii="Symbol" w:eastAsia="Symbol" w:hAnsi="Symbol" w:cs="Symbol" w:hint="default"/>
        <w:color w:val="231F20"/>
        <w:w w:val="100"/>
        <w:sz w:val="14"/>
        <w:szCs w:val="14"/>
      </w:rPr>
    </w:lvl>
    <w:lvl w:ilvl="1" w:tplc="37868F6A">
      <w:numFmt w:val="bullet"/>
      <w:lvlText w:val="•"/>
      <w:lvlJc w:val="left"/>
      <w:pPr>
        <w:ind w:left="426" w:hanging="100"/>
      </w:pPr>
      <w:rPr>
        <w:rFonts w:hint="default"/>
      </w:rPr>
    </w:lvl>
    <w:lvl w:ilvl="2" w:tplc="65FAB052">
      <w:numFmt w:val="bullet"/>
      <w:lvlText w:val="•"/>
      <w:lvlJc w:val="left"/>
      <w:pPr>
        <w:ind w:left="692" w:hanging="100"/>
      </w:pPr>
      <w:rPr>
        <w:rFonts w:hint="default"/>
      </w:rPr>
    </w:lvl>
    <w:lvl w:ilvl="3" w:tplc="ACFCBBE8">
      <w:numFmt w:val="bullet"/>
      <w:lvlText w:val="•"/>
      <w:lvlJc w:val="left"/>
      <w:pPr>
        <w:ind w:left="959" w:hanging="100"/>
      </w:pPr>
      <w:rPr>
        <w:rFonts w:hint="default"/>
      </w:rPr>
    </w:lvl>
    <w:lvl w:ilvl="4" w:tplc="3F9C9092">
      <w:numFmt w:val="bullet"/>
      <w:lvlText w:val="•"/>
      <w:lvlJc w:val="left"/>
      <w:pPr>
        <w:ind w:left="1225" w:hanging="100"/>
      </w:pPr>
      <w:rPr>
        <w:rFonts w:hint="default"/>
      </w:rPr>
    </w:lvl>
    <w:lvl w:ilvl="5" w:tplc="D3AAA10E">
      <w:numFmt w:val="bullet"/>
      <w:lvlText w:val="•"/>
      <w:lvlJc w:val="left"/>
      <w:pPr>
        <w:ind w:left="1492" w:hanging="100"/>
      </w:pPr>
      <w:rPr>
        <w:rFonts w:hint="default"/>
      </w:rPr>
    </w:lvl>
    <w:lvl w:ilvl="6" w:tplc="1A442B92">
      <w:numFmt w:val="bullet"/>
      <w:lvlText w:val="•"/>
      <w:lvlJc w:val="left"/>
      <w:pPr>
        <w:ind w:left="1758" w:hanging="100"/>
      </w:pPr>
      <w:rPr>
        <w:rFonts w:hint="default"/>
      </w:rPr>
    </w:lvl>
    <w:lvl w:ilvl="7" w:tplc="F1E0E074">
      <w:numFmt w:val="bullet"/>
      <w:lvlText w:val="•"/>
      <w:lvlJc w:val="left"/>
      <w:pPr>
        <w:ind w:left="2024" w:hanging="100"/>
      </w:pPr>
      <w:rPr>
        <w:rFonts w:hint="default"/>
      </w:rPr>
    </w:lvl>
    <w:lvl w:ilvl="8" w:tplc="3BA81A22">
      <w:numFmt w:val="bullet"/>
      <w:lvlText w:val="•"/>
      <w:lvlJc w:val="left"/>
      <w:pPr>
        <w:ind w:left="2291" w:hanging="100"/>
      </w:pPr>
      <w:rPr>
        <w:rFonts w:hint="default"/>
      </w:rPr>
    </w:lvl>
  </w:abstractNum>
  <w:abstractNum w:abstractNumId="30" w15:restartNumberingAfterBreak="0">
    <w:nsid w:val="01F1268C"/>
    <w:multiLevelType w:val="hybridMultilevel"/>
    <w:tmpl w:val="EC949640"/>
    <w:lvl w:ilvl="0" w:tplc="BD02A2AE">
      <w:numFmt w:val="bullet"/>
      <w:lvlText w:val=""/>
      <w:lvlJc w:val="left"/>
      <w:pPr>
        <w:ind w:left="157" w:hanging="100"/>
      </w:pPr>
      <w:rPr>
        <w:rFonts w:ascii="Symbol" w:eastAsia="Symbol" w:hAnsi="Symbol" w:cs="Symbol" w:hint="default"/>
        <w:color w:val="231F20"/>
        <w:w w:val="100"/>
        <w:sz w:val="14"/>
        <w:szCs w:val="14"/>
      </w:rPr>
    </w:lvl>
    <w:lvl w:ilvl="1" w:tplc="7C400CC8">
      <w:numFmt w:val="bullet"/>
      <w:lvlText w:val="•"/>
      <w:lvlJc w:val="left"/>
      <w:pPr>
        <w:ind w:left="426" w:hanging="100"/>
      </w:pPr>
      <w:rPr>
        <w:rFonts w:hint="default"/>
      </w:rPr>
    </w:lvl>
    <w:lvl w:ilvl="2" w:tplc="AF3628E0">
      <w:numFmt w:val="bullet"/>
      <w:lvlText w:val="•"/>
      <w:lvlJc w:val="left"/>
      <w:pPr>
        <w:ind w:left="692" w:hanging="100"/>
      </w:pPr>
      <w:rPr>
        <w:rFonts w:hint="default"/>
      </w:rPr>
    </w:lvl>
    <w:lvl w:ilvl="3" w:tplc="9BD81B5A">
      <w:numFmt w:val="bullet"/>
      <w:lvlText w:val="•"/>
      <w:lvlJc w:val="left"/>
      <w:pPr>
        <w:ind w:left="959" w:hanging="100"/>
      </w:pPr>
      <w:rPr>
        <w:rFonts w:hint="default"/>
      </w:rPr>
    </w:lvl>
    <w:lvl w:ilvl="4" w:tplc="CECCF65C">
      <w:numFmt w:val="bullet"/>
      <w:lvlText w:val="•"/>
      <w:lvlJc w:val="left"/>
      <w:pPr>
        <w:ind w:left="1225" w:hanging="100"/>
      </w:pPr>
      <w:rPr>
        <w:rFonts w:hint="default"/>
      </w:rPr>
    </w:lvl>
    <w:lvl w:ilvl="5" w:tplc="BB1CDBC8">
      <w:numFmt w:val="bullet"/>
      <w:lvlText w:val="•"/>
      <w:lvlJc w:val="left"/>
      <w:pPr>
        <w:ind w:left="1492" w:hanging="100"/>
      </w:pPr>
      <w:rPr>
        <w:rFonts w:hint="default"/>
      </w:rPr>
    </w:lvl>
    <w:lvl w:ilvl="6" w:tplc="3EFA4DBA">
      <w:numFmt w:val="bullet"/>
      <w:lvlText w:val="•"/>
      <w:lvlJc w:val="left"/>
      <w:pPr>
        <w:ind w:left="1758" w:hanging="100"/>
      </w:pPr>
      <w:rPr>
        <w:rFonts w:hint="default"/>
      </w:rPr>
    </w:lvl>
    <w:lvl w:ilvl="7" w:tplc="556C9D20">
      <w:numFmt w:val="bullet"/>
      <w:lvlText w:val="•"/>
      <w:lvlJc w:val="left"/>
      <w:pPr>
        <w:ind w:left="2024" w:hanging="100"/>
      </w:pPr>
      <w:rPr>
        <w:rFonts w:hint="default"/>
      </w:rPr>
    </w:lvl>
    <w:lvl w:ilvl="8" w:tplc="3E4442D6">
      <w:numFmt w:val="bullet"/>
      <w:lvlText w:val="•"/>
      <w:lvlJc w:val="left"/>
      <w:pPr>
        <w:ind w:left="2291" w:hanging="100"/>
      </w:pPr>
      <w:rPr>
        <w:rFonts w:hint="default"/>
      </w:rPr>
    </w:lvl>
  </w:abstractNum>
  <w:abstractNum w:abstractNumId="31" w15:restartNumberingAfterBreak="0">
    <w:nsid w:val="01FC5E7D"/>
    <w:multiLevelType w:val="hybridMultilevel"/>
    <w:tmpl w:val="7BD8A968"/>
    <w:lvl w:ilvl="0" w:tplc="81FE7504">
      <w:numFmt w:val="bullet"/>
      <w:lvlText w:val=""/>
      <w:lvlJc w:val="left"/>
      <w:pPr>
        <w:ind w:left="156" w:hanging="100"/>
      </w:pPr>
      <w:rPr>
        <w:rFonts w:ascii="Symbol" w:eastAsia="Symbol" w:hAnsi="Symbol" w:cs="Symbol" w:hint="default"/>
        <w:color w:val="231F20"/>
        <w:w w:val="100"/>
        <w:sz w:val="14"/>
        <w:szCs w:val="14"/>
      </w:rPr>
    </w:lvl>
    <w:lvl w:ilvl="1" w:tplc="AFE69C18">
      <w:numFmt w:val="bullet"/>
      <w:lvlText w:val="•"/>
      <w:lvlJc w:val="left"/>
      <w:pPr>
        <w:ind w:left="454" w:hanging="100"/>
      </w:pPr>
      <w:rPr>
        <w:rFonts w:hint="default"/>
      </w:rPr>
    </w:lvl>
    <w:lvl w:ilvl="2" w:tplc="C83AD7D8">
      <w:numFmt w:val="bullet"/>
      <w:lvlText w:val="•"/>
      <w:lvlJc w:val="left"/>
      <w:pPr>
        <w:ind w:left="749" w:hanging="100"/>
      </w:pPr>
      <w:rPr>
        <w:rFonts w:hint="default"/>
      </w:rPr>
    </w:lvl>
    <w:lvl w:ilvl="3" w:tplc="01626460">
      <w:numFmt w:val="bullet"/>
      <w:lvlText w:val="•"/>
      <w:lvlJc w:val="left"/>
      <w:pPr>
        <w:ind w:left="1044" w:hanging="100"/>
      </w:pPr>
      <w:rPr>
        <w:rFonts w:hint="default"/>
      </w:rPr>
    </w:lvl>
    <w:lvl w:ilvl="4" w:tplc="4B8A6BCA">
      <w:numFmt w:val="bullet"/>
      <w:lvlText w:val="•"/>
      <w:lvlJc w:val="left"/>
      <w:pPr>
        <w:ind w:left="1339" w:hanging="100"/>
      </w:pPr>
      <w:rPr>
        <w:rFonts w:hint="default"/>
      </w:rPr>
    </w:lvl>
    <w:lvl w:ilvl="5" w:tplc="90708020">
      <w:numFmt w:val="bullet"/>
      <w:lvlText w:val="•"/>
      <w:lvlJc w:val="left"/>
      <w:pPr>
        <w:ind w:left="1634" w:hanging="100"/>
      </w:pPr>
      <w:rPr>
        <w:rFonts w:hint="default"/>
      </w:rPr>
    </w:lvl>
    <w:lvl w:ilvl="6" w:tplc="B8B45B2A">
      <w:numFmt w:val="bullet"/>
      <w:lvlText w:val="•"/>
      <w:lvlJc w:val="left"/>
      <w:pPr>
        <w:ind w:left="1928" w:hanging="100"/>
      </w:pPr>
      <w:rPr>
        <w:rFonts w:hint="default"/>
      </w:rPr>
    </w:lvl>
    <w:lvl w:ilvl="7" w:tplc="AF284512">
      <w:numFmt w:val="bullet"/>
      <w:lvlText w:val="•"/>
      <w:lvlJc w:val="left"/>
      <w:pPr>
        <w:ind w:left="2223" w:hanging="100"/>
      </w:pPr>
      <w:rPr>
        <w:rFonts w:hint="default"/>
      </w:rPr>
    </w:lvl>
    <w:lvl w:ilvl="8" w:tplc="53346C70">
      <w:numFmt w:val="bullet"/>
      <w:lvlText w:val="•"/>
      <w:lvlJc w:val="left"/>
      <w:pPr>
        <w:ind w:left="2518" w:hanging="100"/>
      </w:pPr>
      <w:rPr>
        <w:rFonts w:hint="default"/>
      </w:rPr>
    </w:lvl>
  </w:abstractNum>
  <w:abstractNum w:abstractNumId="32" w15:restartNumberingAfterBreak="0">
    <w:nsid w:val="02077513"/>
    <w:multiLevelType w:val="hybridMultilevel"/>
    <w:tmpl w:val="621A1EAC"/>
    <w:lvl w:ilvl="0" w:tplc="0AE0B364">
      <w:numFmt w:val="bullet"/>
      <w:lvlText w:val=""/>
      <w:lvlJc w:val="left"/>
      <w:pPr>
        <w:ind w:left="156" w:hanging="100"/>
      </w:pPr>
      <w:rPr>
        <w:rFonts w:ascii="Symbol" w:eastAsia="Symbol" w:hAnsi="Symbol" w:cs="Symbol" w:hint="default"/>
        <w:color w:val="231F20"/>
        <w:w w:val="100"/>
        <w:sz w:val="14"/>
        <w:szCs w:val="14"/>
      </w:rPr>
    </w:lvl>
    <w:lvl w:ilvl="1" w:tplc="7BF4E6DC">
      <w:numFmt w:val="bullet"/>
      <w:lvlText w:val="•"/>
      <w:lvlJc w:val="left"/>
      <w:pPr>
        <w:ind w:left="398" w:hanging="100"/>
      </w:pPr>
      <w:rPr>
        <w:rFonts w:hint="default"/>
      </w:rPr>
    </w:lvl>
    <w:lvl w:ilvl="2" w:tplc="496AC3A8">
      <w:numFmt w:val="bullet"/>
      <w:lvlText w:val="•"/>
      <w:lvlJc w:val="left"/>
      <w:pPr>
        <w:ind w:left="636" w:hanging="100"/>
      </w:pPr>
      <w:rPr>
        <w:rFonts w:hint="default"/>
      </w:rPr>
    </w:lvl>
    <w:lvl w:ilvl="3" w:tplc="8C1EC480">
      <w:numFmt w:val="bullet"/>
      <w:lvlText w:val="•"/>
      <w:lvlJc w:val="left"/>
      <w:pPr>
        <w:ind w:left="874" w:hanging="100"/>
      </w:pPr>
      <w:rPr>
        <w:rFonts w:hint="default"/>
      </w:rPr>
    </w:lvl>
    <w:lvl w:ilvl="4" w:tplc="E41EF49E">
      <w:numFmt w:val="bullet"/>
      <w:lvlText w:val="•"/>
      <w:lvlJc w:val="left"/>
      <w:pPr>
        <w:ind w:left="1112" w:hanging="100"/>
      </w:pPr>
      <w:rPr>
        <w:rFonts w:hint="default"/>
      </w:rPr>
    </w:lvl>
    <w:lvl w:ilvl="5" w:tplc="01F438B0">
      <w:numFmt w:val="bullet"/>
      <w:lvlText w:val="•"/>
      <w:lvlJc w:val="left"/>
      <w:pPr>
        <w:ind w:left="1350" w:hanging="100"/>
      </w:pPr>
      <w:rPr>
        <w:rFonts w:hint="default"/>
      </w:rPr>
    </w:lvl>
    <w:lvl w:ilvl="6" w:tplc="0C1021A6">
      <w:numFmt w:val="bullet"/>
      <w:lvlText w:val="•"/>
      <w:lvlJc w:val="left"/>
      <w:pPr>
        <w:ind w:left="1588" w:hanging="100"/>
      </w:pPr>
      <w:rPr>
        <w:rFonts w:hint="default"/>
      </w:rPr>
    </w:lvl>
    <w:lvl w:ilvl="7" w:tplc="2DCA12FE">
      <w:numFmt w:val="bullet"/>
      <w:lvlText w:val="•"/>
      <w:lvlJc w:val="left"/>
      <w:pPr>
        <w:ind w:left="1826" w:hanging="100"/>
      </w:pPr>
      <w:rPr>
        <w:rFonts w:hint="default"/>
      </w:rPr>
    </w:lvl>
    <w:lvl w:ilvl="8" w:tplc="19DEBC84">
      <w:numFmt w:val="bullet"/>
      <w:lvlText w:val="•"/>
      <w:lvlJc w:val="left"/>
      <w:pPr>
        <w:ind w:left="2064" w:hanging="100"/>
      </w:pPr>
      <w:rPr>
        <w:rFonts w:hint="default"/>
      </w:rPr>
    </w:lvl>
  </w:abstractNum>
  <w:abstractNum w:abstractNumId="33" w15:restartNumberingAfterBreak="0">
    <w:nsid w:val="020E7B19"/>
    <w:multiLevelType w:val="hybridMultilevel"/>
    <w:tmpl w:val="6C043140"/>
    <w:lvl w:ilvl="0" w:tplc="E6BE874E">
      <w:numFmt w:val="bullet"/>
      <w:lvlText w:val=""/>
      <w:lvlJc w:val="left"/>
      <w:pPr>
        <w:ind w:left="156" w:hanging="100"/>
      </w:pPr>
      <w:rPr>
        <w:rFonts w:ascii="Symbol" w:eastAsia="Symbol" w:hAnsi="Symbol" w:cs="Symbol" w:hint="default"/>
        <w:color w:val="231F20"/>
        <w:w w:val="100"/>
        <w:sz w:val="14"/>
        <w:szCs w:val="14"/>
      </w:rPr>
    </w:lvl>
    <w:lvl w:ilvl="1" w:tplc="2DCEA212">
      <w:numFmt w:val="bullet"/>
      <w:lvlText w:val="•"/>
      <w:lvlJc w:val="left"/>
      <w:pPr>
        <w:ind w:left="398" w:hanging="100"/>
      </w:pPr>
      <w:rPr>
        <w:rFonts w:hint="default"/>
      </w:rPr>
    </w:lvl>
    <w:lvl w:ilvl="2" w:tplc="098C8EF8">
      <w:numFmt w:val="bullet"/>
      <w:lvlText w:val="•"/>
      <w:lvlJc w:val="left"/>
      <w:pPr>
        <w:ind w:left="636" w:hanging="100"/>
      </w:pPr>
      <w:rPr>
        <w:rFonts w:hint="default"/>
      </w:rPr>
    </w:lvl>
    <w:lvl w:ilvl="3" w:tplc="3C864FEA">
      <w:numFmt w:val="bullet"/>
      <w:lvlText w:val="•"/>
      <w:lvlJc w:val="left"/>
      <w:pPr>
        <w:ind w:left="874" w:hanging="100"/>
      </w:pPr>
      <w:rPr>
        <w:rFonts w:hint="default"/>
      </w:rPr>
    </w:lvl>
    <w:lvl w:ilvl="4" w:tplc="2D56A2CE">
      <w:numFmt w:val="bullet"/>
      <w:lvlText w:val="•"/>
      <w:lvlJc w:val="left"/>
      <w:pPr>
        <w:ind w:left="1112" w:hanging="100"/>
      </w:pPr>
      <w:rPr>
        <w:rFonts w:hint="default"/>
      </w:rPr>
    </w:lvl>
    <w:lvl w:ilvl="5" w:tplc="2272B72C">
      <w:numFmt w:val="bullet"/>
      <w:lvlText w:val="•"/>
      <w:lvlJc w:val="left"/>
      <w:pPr>
        <w:ind w:left="1350" w:hanging="100"/>
      </w:pPr>
      <w:rPr>
        <w:rFonts w:hint="default"/>
      </w:rPr>
    </w:lvl>
    <w:lvl w:ilvl="6" w:tplc="9426FC70">
      <w:numFmt w:val="bullet"/>
      <w:lvlText w:val="•"/>
      <w:lvlJc w:val="left"/>
      <w:pPr>
        <w:ind w:left="1588" w:hanging="100"/>
      </w:pPr>
      <w:rPr>
        <w:rFonts w:hint="default"/>
      </w:rPr>
    </w:lvl>
    <w:lvl w:ilvl="7" w:tplc="F91E85C4">
      <w:numFmt w:val="bullet"/>
      <w:lvlText w:val="•"/>
      <w:lvlJc w:val="left"/>
      <w:pPr>
        <w:ind w:left="1826" w:hanging="100"/>
      </w:pPr>
      <w:rPr>
        <w:rFonts w:hint="default"/>
      </w:rPr>
    </w:lvl>
    <w:lvl w:ilvl="8" w:tplc="23224E9E">
      <w:numFmt w:val="bullet"/>
      <w:lvlText w:val="•"/>
      <w:lvlJc w:val="left"/>
      <w:pPr>
        <w:ind w:left="2064" w:hanging="100"/>
      </w:pPr>
      <w:rPr>
        <w:rFonts w:hint="default"/>
      </w:rPr>
    </w:lvl>
  </w:abstractNum>
  <w:abstractNum w:abstractNumId="34" w15:restartNumberingAfterBreak="0">
    <w:nsid w:val="02122958"/>
    <w:multiLevelType w:val="hybridMultilevel"/>
    <w:tmpl w:val="9B58EB02"/>
    <w:lvl w:ilvl="0" w:tplc="6E820B2C">
      <w:numFmt w:val="bullet"/>
      <w:lvlText w:val=""/>
      <w:lvlJc w:val="left"/>
      <w:pPr>
        <w:ind w:left="156" w:hanging="100"/>
      </w:pPr>
      <w:rPr>
        <w:rFonts w:ascii="Symbol" w:eastAsia="Symbol" w:hAnsi="Symbol" w:cs="Symbol" w:hint="default"/>
        <w:color w:val="231F20"/>
        <w:w w:val="100"/>
        <w:sz w:val="14"/>
        <w:szCs w:val="14"/>
      </w:rPr>
    </w:lvl>
    <w:lvl w:ilvl="1" w:tplc="FC9A286C">
      <w:numFmt w:val="bullet"/>
      <w:lvlText w:val="•"/>
      <w:lvlJc w:val="left"/>
      <w:pPr>
        <w:ind w:left="301" w:hanging="100"/>
      </w:pPr>
      <w:rPr>
        <w:rFonts w:hint="default"/>
      </w:rPr>
    </w:lvl>
    <w:lvl w:ilvl="2" w:tplc="1DC42834">
      <w:numFmt w:val="bullet"/>
      <w:lvlText w:val="•"/>
      <w:lvlJc w:val="left"/>
      <w:pPr>
        <w:ind w:left="443" w:hanging="100"/>
      </w:pPr>
      <w:rPr>
        <w:rFonts w:hint="default"/>
      </w:rPr>
    </w:lvl>
    <w:lvl w:ilvl="3" w:tplc="D17E8CB8">
      <w:numFmt w:val="bullet"/>
      <w:lvlText w:val="•"/>
      <w:lvlJc w:val="left"/>
      <w:pPr>
        <w:ind w:left="585" w:hanging="100"/>
      </w:pPr>
      <w:rPr>
        <w:rFonts w:hint="default"/>
      </w:rPr>
    </w:lvl>
    <w:lvl w:ilvl="4" w:tplc="F70E7FE0">
      <w:numFmt w:val="bullet"/>
      <w:lvlText w:val="•"/>
      <w:lvlJc w:val="left"/>
      <w:pPr>
        <w:ind w:left="726" w:hanging="100"/>
      </w:pPr>
      <w:rPr>
        <w:rFonts w:hint="default"/>
      </w:rPr>
    </w:lvl>
    <w:lvl w:ilvl="5" w:tplc="4AB80578">
      <w:numFmt w:val="bullet"/>
      <w:lvlText w:val="•"/>
      <w:lvlJc w:val="left"/>
      <w:pPr>
        <w:ind w:left="868" w:hanging="100"/>
      </w:pPr>
      <w:rPr>
        <w:rFonts w:hint="default"/>
      </w:rPr>
    </w:lvl>
    <w:lvl w:ilvl="6" w:tplc="05C8046A">
      <w:numFmt w:val="bullet"/>
      <w:lvlText w:val="•"/>
      <w:lvlJc w:val="left"/>
      <w:pPr>
        <w:ind w:left="1010" w:hanging="100"/>
      </w:pPr>
      <w:rPr>
        <w:rFonts w:hint="default"/>
      </w:rPr>
    </w:lvl>
    <w:lvl w:ilvl="7" w:tplc="B230879C">
      <w:numFmt w:val="bullet"/>
      <w:lvlText w:val="•"/>
      <w:lvlJc w:val="left"/>
      <w:pPr>
        <w:ind w:left="1151" w:hanging="100"/>
      </w:pPr>
      <w:rPr>
        <w:rFonts w:hint="default"/>
      </w:rPr>
    </w:lvl>
    <w:lvl w:ilvl="8" w:tplc="E4182B90">
      <w:numFmt w:val="bullet"/>
      <w:lvlText w:val="•"/>
      <w:lvlJc w:val="left"/>
      <w:pPr>
        <w:ind w:left="1293" w:hanging="100"/>
      </w:pPr>
      <w:rPr>
        <w:rFonts w:hint="default"/>
      </w:rPr>
    </w:lvl>
  </w:abstractNum>
  <w:abstractNum w:abstractNumId="35" w15:restartNumberingAfterBreak="0">
    <w:nsid w:val="02180DB6"/>
    <w:multiLevelType w:val="hybridMultilevel"/>
    <w:tmpl w:val="7E6EB03E"/>
    <w:lvl w:ilvl="0" w:tplc="BB5E8224">
      <w:numFmt w:val="bullet"/>
      <w:lvlText w:val=""/>
      <w:lvlJc w:val="left"/>
      <w:pPr>
        <w:ind w:left="156" w:hanging="100"/>
      </w:pPr>
      <w:rPr>
        <w:rFonts w:ascii="Symbol" w:eastAsia="Symbol" w:hAnsi="Symbol" w:cs="Symbol" w:hint="default"/>
        <w:color w:val="231F20"/>
        <w:w w:val="100"/>
        <w:sz w:val="14"/>
        <w:szCs w:val="14"/>
      </w:rPr>
    </w:lvl>
    <w:lvl w:ilvl="1" w:tplc="2F02ABBC">
      <w:numFmt w:val="bullet"/>
      <w:lvlText w:val="•"/>
      <w:lvlJc w:val="left"/>
      <w:pPr>
        <w:ind w:left="301" w:hanging="100"/>
      </w:pPr>
      <w:rPr>
        <w:rFonts w:hint="default"/>
      </w:rPr>
    </w:lvl>
    <w:lvl w:ilvl="2" w:tplc="D7C40502">
      <w:numFmt w:val="bullet"/>
      <w:lvlText w:val="•"/>
      <w:lvlJc w:val="left"/>
      <w:pPr>
        <w:ind w:left="443" w:hanging="100"/>
      </w:pPr>
      <w:rPr>
        <w:rFonts w:hint="default"/>
      </w:rPr>
    </w:lvl>
    <w:lvl w:ilvl="3" w:tplc="59E657D0">
      <w:numFmt w:val="bullet"/>
      <w:lvlText w:val="•"/>
      <w:lvlJc w:val="left"/>
      <w:pPr>
        <w:ind w:left="585" w:hanging="100"/>
      </w:pPr>
      <w:rPr>
        <w:rFonts w:hint="default"/>
      </w:rPr>
    </w:lvl>
    <w:lvl w:ilvl="4" w:tplc="2A9AD490">
      <w:numFmt w:val="bullet"/>
      <w:lvlText w:val="•"/>
      <w:lvlJc w:val="left"/>
      <w:pPr>
        <w:ind w:left="726" w:hanging="100"/>
      </w:pPr>
      <w:rPr>
        <w:rFonts w:hint="default"/>
      </w:rPr>
    </w:lvl>
    <w:lvl w:ilvl="5" w:tplc="41CCA4C8">
      <w:numFmt w:val="bullet"/>
      <w:lvlText w:val="•"/>
      <w:lvlJc w:val="left"/>
      <w:pPr>
        <w:ind w:left="868" w:hanging="100"/>
      </w:pPr>
      <w:rPr>
        <w:rFonts w:hint="default"/>
      </w:rPr>
    </w:lvl>
    <w:lvl w:ilvl="6" w:tplc="15D61494">
      <w:numFmt w:val="bullet"/>
      <w:lvlText w:val="•"/>
      <w:lvlJc w:val="left"/>
      <w:pPr>
        <w:ind w:left="1010" w:hanging="100"/>
      </w:pPr>
      <w:rPr>
        <w:rFonts w:hint="default"/>
      </w:rPr>
    </w:lvl>
    <w:lvl w:ilvl="7" w:tplc="BC906514">
      <w:numFmt w:val="bullet"/>
      <w:lvlText w:val="•"/>
      <w:lvlJc w:val="left"/>
      <w:pPr>
        <w:ind w:left="1151" w:hanging="100"/>
      </w:pPr>
      <w:rPr>
        <w:rFonts w:hint="default"/>
      </w:rPr>
    </w:lvl>
    <w:lvl w:ilvl="8" w:tplc="4A9A7D74">
      <w:numFmt w:val="bullet"/>
      <w:lvlText w:val="•"/>
      <w:lvlJc w:val="left"/>
      <w:pPr>
        <w:ind w:left="1293" w:hanging="100"/>
      </w:pPr>
      <w:rPr>
        <w:rFonts w:hint="default"/>
      </w:rPr>
    </w:lvl>
  </w:abstractNum>
  <w:abstractNum w:abstractNumId="36" w15:restartNumberingAfterBreak="0">
    <w:nsid w:val="021E573F"/>
    <w:multiLevelType w:val="hybridMultilevel"/>
    <w:tmpl w:val="8CB441EA"/>
    <w:lvl w:ilvl="0" w:tplc="291685FE">
      <w:numFmt w:val="bullet"/>
      <w:lvlText w:val=""/>
      <w:lvlJc w:val="left"/>
      <w:pPr>
        <w:ind w:left="156" w:hanging="100"/>
      </w:pPr>
      <w:rPr>
        <w:rFonts w:ascii="Symbol" w:eastAsia="Symbol" w:hAnsi="Symbol" w:cs="Symbol" w:hint="default"/>
        <w:color w:val="231F20"/>
        <w:w w:val="100"/>
        <w:sz w:val="14"/>
        <w:szCs w:val="14"/>
      </w:rPr>
    </w:lvl>
    <w:lvl w:ilvl="1" w:tplc="D8F83450">
      <w:numFmt w:val="bullet"/>
      <w:lvlText w:val="•"/>
      <w:lvlJc w:val="left"/>
      <w:pPr>
        <w:ind w:left="398" w:hanging="100"/>
      </w:pPr>
      <w:rPr>
        <w:rFonts w:hint="default"/>
      </w:rPr>
    </w:lvl>
    <w:lvl w:ilvl="2" w:tplc="43F6925A">
      <w:numFmt w:val="bullet"/>
      <w:lvlText w:val="•"/>
      <w:lvlJc w:val="left"/>
      <w:pPr>
        <w:ind w:left="636" w:hanging="100"/>
      </w:pPr>
      <w:rPr>
        <w:rFonts w:hint="default"/>
      </w:rPr>
    </w:lvl>
    <w:lvl w:ilvl="3" w:tplc="FEA6D356">
      <w:numFmt w:val="bullet"/>
      <w:lvlText w:val="•"/>
      <w:lvlJc w:val="left"/>
      <w:pPr>
        <w:ind w:left="874" w:hanging="100"/>
      </w:pPr>
      <w:rPr>
        <w:rFonts w:hint="default"/>
      </w:rPr>
    </w:lvl>
    <w:lvl w:ilvl="4" w:tplc="21FE8D5C">
      <w:numFmt w:val="bullet"/>
      <w:lvlText w:val="•"/>
      <w:lvlJc w:val="left"/>
      <w:pPr>
        <w:ind w:left="1112" w:hanging="100"/>
      </w:pPr>
      <w:rPr>
        <w:rFonts w:hint="default"/>
      </w:rPr>
    </w:lvl>
    <w:lvl w:ilvl="5" w:tplc="971CB150">
      <w:numFmt w:val="bullet"/>
      <w:lvlText w:val="•"/>
      <w:lvlJc w:val="left"/>
      <w:pPr>
        <w:ind w:left="1350" w:hanging="100"/>
      </w:pPr>
      <w:rPr>
        <w:rFonts w:hint="default"/>
      </w:rPr>
    </w:lvl>
    <w:lvl w:ilvl="6" w:tplc="BAA03780">
      <w:numFmt w:val="bullet"/>
      <w:lvlText w:val="•"/>
      <w:lvlJc w:val="left"/>
      <w:pPr>
        <w:ind w:left="1588" w:hanging="100"/>
      </w:pPr>
      <w:rPr>
        <w:rFonts w:hint="default"/>
      </w:rPr>
    </w:lvl>
    <w:lvl w:ilvl="7" w:tplc="7A963974">
      <w:numFmt w:val="bullet"/>
      <w:lvlText w:val="•"/>
      <w:lvlJc w:val="left"/>
      <w:pPr>
        <w:ind w:left="1826" w:hanging="100"/>
      </w:pPr>
      <w:rPr>
        <w:rFonts w:hint="default"/>
      </w:rPr>
    </w:lvl>
    <w:lvl w:ilvl="8" w:tplc="76BC95F4">
      <w:numFmt w:val="bullet"/>
      <w:lvlText w:val="•"/>
      <w:lvlJc w:val="left"/>
      <w:pPr>
        <w:ind w:left="2064" w:hanging="100"/>
      </w:pPr>
      <w:rPr>
        <w:rFonts w:hint="default"/>
      </w:rPr>
    </w:lvl>
  </w:abstractNum>
  <w:abstractNum w:abstractNumId="37" w15:restartNumberingAfterBreak="0">
    <w:nsid w:val="02233581"/>
    <w:multiLevelType w:val="hybridMultilevel"/>
    <w:tmpl w:val="C28855DA"/>
    <w:lvl w:ilvl="0" w:tplc="FF4CAE84">
      <w:numFmt w:val="bullet"/>
      <w:lvlText w:val=""/>
      <w:lvlJc w:val="left"/>
      <w:pPr>
        <w:ind w:left="156" w:hanging="100"/>
      </w:pPr>
      <w:rPr>
        <w:rFonts w:ascii="Symbol" w:eastAsia="Symbol" w:hAnsi="Symbol" w:cs="Symbol" w:hint="default"/>
        <w:color w:val="231F20"/>
        <w:w w:val="100"/>
        <w:sz w:val="14"/>
        <w:szCs w:val="14"/>
      </w:rPr>
    </w:lvl>
    <w:lvl w:ilvl="1" w:tplc="9C1AFD26">
      <w:numFmt w:val="bullet"/>
      <w:lvlText w:val="•"/>
      <w:lvlJc w:val="left"/>
      <w:pPr>
        <w:ind w:left="398" w:hanging="100"/>
      </w:pPr>
      <w:rPr>
        <w:rFonts w:hint="default"/>
      </w:rPr>
    </w:lvl>
    <w:lvl w:ilvl="2" w:tplc="25662C3E">
      <w:numFmt w:val="bullet"/>
      <w:lvlText w:val="•"/>
      <w:lvlJc w:val="left"/>
      <w:pPr>
        <w:ind w:left="636" w:hanging="100"/>
      </w:pPr>
      <w:rPr>
        <w:rFonts w:hint="default"/>
      </w:rPr>
    </w:lvl>
    <w:lvl w:ilvl="3" w:tplc="BF860BFC">
      <w:numFmt w:val="bullet"/>
      <w:lvlText w:val="•"/>
      <w:lvlJc w:val="left"/>
      <w:pPr>
        <w:ind w:left="874" w:hanging="100"/>
      </w:pPr>
      <w:rPr>
        <w:rFonts w:hint="default"/>
      </w:rPr>
    </w:lvl>
    <w:lvl w:ilvl="4" w:tplc="05C007A8">
      <w:numFmt w:val="bullet"/>
      <w:lvlText w:val="•"/>
      <w:lvlJc w:val="left"/>
      <w:pPr>
        <w:ind w:left="1112" w:hanging="100"/>
      </w:pPr>
      <w:rPr>
        <w:rFonts w:hint="default"/>
      </w:rPr>
    </w:lvl>
    <w:lvl w:ilvl="5" w:tplc="34C6FC42">
      <w:numFmt w:val="bullet"/>
      <w:lvlText w:val="•"/>
      <w:lvlJc w:val="left"/>
      <w:pPr>
        <w:ind w:left="1350" w:hanging="100"/>
      </w:pPr>
      <w:rPr>
        <w:rFonts w:hint="default"/>
      </w:rPr>
    </w:lvl>
    <w:lvl w:ilvl="6" w:tplc="38765FA6">
      <w:numFmt w:val="bullet"/>
      <w:lvlText w:val="•"/>
      <w:lvlJc w:val="left"/>
      <w:pPr>
        <w:ind w:left="1588" w:hanging="100"/>
      </w:pPr>
      <w:rPr>
        <w:rFonts w:hint="default"/>
      </w:rPr>
    </w:lvl>
    <w:lvl w:ilvl="7" w:tplc="C34CBBAE">
      <w:numFmt w:val="bullet"/>
      <w:lvlText w:val="•"/>
      <w:lvlJc w:val="left"/>
      <w:pPr>
        <w:ind w:left="1826" w:hanging="100"/>
      </w:pPr>
      <w:rPr>
        <w:rFonts w:hint="default"/>
      </w:rPr>
    </w:lvl>
    <w:lvl w:ilvl="8" w:tplc="72F49B92">
      <w:numFmt w:val="bullet"/>
      <w:lvlText w:val="•"/>
      <w:lvlJc w:val="left"/>
      <w:pPr>
        <w:ind w:left="2064" w:hanging="100"/>
      </w:pPr>
      <w:rPr>
        <w:rFonts w:hint="default"/>
      </w:rPr>
    </w:lvl>
  </w:abstractNum>
  <w:abstractNum w:abstractNumId="38" w15:restartNumberingAfterBreak="0">
    <w:nsid w:val="02337D24"/>
    <w:multiLevelType w:val="hybridMultilevel"/>
    <w:tmpl w:val="6936AB0C"/>
    <w:lvl w:ilvl="0" w:tplc="94D885E8">
      <w:numFmt w:val="bullet"/>
      <w:lvlText w:val=""/>
      <w:lvlJc w:val="left"/>
      <w:pPr>
        <w:ind w:left="156" w:hanging="100"/>
      </w:pPr>
      <w:rPr>
        <w:rFonts w:ascii="Symbol" w:eastAsia="Symbol" w:hAnsi="Symbol" w:cs="Symbol" w:hint="default"/>
        <w:color w:val="231F20"/>
        <w:w w:val="100"/>
        <w:sz w:val="14"/>
        <w:szCs w:val="14"/>
      </w:rPr>
    </w:lvl>
    <w:lvl w:ilvl="1" w:tplc="979227B2">
      <w:numFmt w:val="bullet"/>
      <w:lvlText w:val="•"/>
      <w:lvlJc w:val="left"/>
      <w:pPr>
        <w:ind w:left="454" w:hanging="100"/>
      </w:pPr>
      <w:rPr>
        <w:rFonts w:hint="default"/>
      </w:rPr>
    </w:lvl>
    <w:lvl w:ilvl="2" w:tplc="5106CE78">
      <w:numFmt w:val="bullet"/>
      <w:lvlText w:val="•"/>
      <w:lvlJc w:val="left"/>
      <w:pPr>
        <w:ind w:left="749" w:hanging="100"/>
      </w:pPr>
      <w:rPr>
        <w:rFonts w:hint="default"/>
      </w:rPr>
    </w:lvl>
    <w:lvl w:ilvl="3" w:tplc="5B24D5FE">
      <w:numFmt w:val="bullet"/>
      <w:lvlText w:val="•"/>
      <w:lvlJc w:val="left"/>
      <w:pPr>
        <w:ind w:left="1044" w:hanging="100"/>
      </w:pPr>
      <w:rPr>
        <w:rFonts w:hint="default"/>
      </w:rPr>
    </w:lvl>
    <w:lvl w:ilvl="4" w:tplc="FF4EE990">
      <w:numFmt w:val="bullet"/>
      <w:lvlText w:val="•"/>
      <w:lvlJc w:val="left"/>
      <w:pPr>
        <w:ind w:left="1339" w:hanging="100"/>
      </w:pPr>
      <w:rPr>
        <w:rFonts w:hint="default"/>
      </w:rPr>
    </w:lvl>
    <w:lvl w:ilvl="5" w:tplc="BC08EE04">
      <w:numFmt w:val="bullet"/>
      <w:lvlText w:val="•"/>
      <w:lvlJc w:val="left"/>
      <w:pPr>
        <w:ind w:left="1634" w:hanging="100"/>
      </w:pPr>
      <w:rPr>
        <w:rFonts w:hint="default"/>
      </w:rPr>
    </w:lvl>
    <w:lvl w:ilvl="6" w:tplc="B8366E44">
      <w:numFmt w:val="bullet"/>
      <w:lvlText w:val="•"/>
      <w:lvlJc w:val="left"/>
      <w:pPr>
        <w:ind w:left="1928" w:hanging="100"/>
      </w:pPr>
      <w:rPr>
        <w:rFonts w:hint="default"/>
      </w:rPr>
    </w:lvl>
    <w:lvl w:ilvl="7" w:tplc="C82271A6">
      <w:numFmt w:val="bullet"/>
      <w:lvlText w:val="•"/>
      <w:lvlJc w:val="left"/>
      <w:pPr>
        <w:ind w:left="2223" w:hanging="100"/>
      </w:pPr>
      <w:rPr>
        <w:rFonts w:hint="default"/>
      </w:rPr>
    </w:lvl>
    <w:lvl w:ilvl="8" w:tplc="5C64E076">
      <w:numFmt w:val="bullet"/>
      <w:lvlText w:val="•"/>
      <w:lvlJc w:val="left"/>
      <w:pPr>
        <w:ind w:left="2518" w:hanging="100"/>
      </w:pPr>
      <w:rPr>
        <w:rFonts w:hint="default"/>
      </w:rPr>
    </w:lvl>
  </w:abstractNum>
  <w:abstractNum w:abstractNumId="39" w15:restartNumberingAfterBreak="0">
    <w:nsid w:val="02430292"/>
    <w:multiLevelType w:val="hybridMultilevel"/>
    <w:tmpl w:val="B30662FA"/>
    <w:lvl w:ilvl="0" w:tplc="A28AFE14">
      <w:numFmt w:val="bullet"/>
      <w:lvlText w:val=""/>
      <w:lvlJc w:val="left"/>
      <w:pPr>
        <w:ind w:left="156" w:hanging="100"/>
      </w:pPr>
      <w:rPr>
        <w:rFonts w:ascii="Symbol" w:eastAsia="Symbol" w:hAnsi="Symbol" w:cs="Symbol" w:hint="default"/>
        <w:color w:val="231F20"/>
        <w:w w:val="100"/>
        <w:sz w:val="14"/>
        <w:szCs w:val="14"/>
      </w:rPr>
    </w:lvl>
    <w:lvl w:ilvl="1" w:tplc="DF707700">
      <w:numFmt w:val="bullet"/>
      <w:lvlText w:val="•"/>
      <w:lvlJc w:val="left"/>
      <w:pPr>
        <w:ind w:left="426" w:hanging="100"/>
      </w:pPr>
      <w:rPr>
        <w:rFonts w:hint="default"/>
      </w:rPr>
    </w:lvl>
    <w:lvl w:ilvl="2" w:tplc="D6F2BB86">
      <w:numFmt w:val="bullet"/>
      <w:lvlText w:val="•"/>
      <w:lvlJc w:val="left"/>
      <w:pPr>
        <w:ind w:left="692" w:hanging="100"/>
      </w:pPr>
      <w:rPr>
        <w:rFonts w:hint="default"/>
      </w:rPr>
    </w:lvl>
    <w:lvl w:ilvl="3" w:tplc="B2F4B0AC">
      <w:numFmt w:val="bullet"/>
      <w:lvlText w:val="•"/>
      <w:lvlJc w:val="left"/>
      <w:pPr>
        <w:ind w:left="959" w:hanging="100"/>
      </w:pPr>
      <w:rPr>
        <w:rFonts w:hint="default"/>
      </w:rPr>
    </w:lvl>
    <w:lvl w:ilvl="4" w:tplc="5EAED6FE">
      <w:numFmt w:val="bullet"/>
      <w:lvlText w:val="•"/>
      <w:lvlJc w:val="left"/>
      <w:pPr>
        <w:ind w:left="1225" w:hanging="100"/>
      </w:pPr>
      <w:rPr>
        <w:rFonts w:hint="default"/>
      </w:rPr>
    </w:lvl>
    <w:lvl w:ilvl="5" w:tplc="585E8A68">
      <w:numFmt w:val="bullet"/>
      <w:lvlText w:val="•"/>
      <w:lvlJc w:val="left"/>
      <w:pPr>
        <w:ind w:left="1492" w:hanging="100"/>
      </w:pPr>
      <w:rPr>
        <w:rFonts w:hint="default"/>
      </w:rPr>
    </w:lvl>
    <w:lvl w:ilvl="6" w:tplc="2FCE36AA">
      <w:numFmt w:val="bullet"/>
      <w:lvlText w:val="•"/>
      <w:lvlJc w:val="left"/>
      <w:pPr>
        <w:ind w:left="1758" w:hanging="100"/>
      </w:pPr>
      <w:rPr>
        <w:rFonts w:hint="default"/>
      </w:rPr>
    </w:lvl>
    <w:lvl w:ilvl="7" w:tplc="71006EEA">
      <w:numFmt w:val="bullet"/>
      <w:lvlText w:val="•"/>
      <w:lvlJc w:val="left"/>
      <w:pPr>
        <w:ind w:left="2024" w:hanging="100"/>
      </w:pPr>
      <w:rPr>
        <w:rFonts w:hint="default"/>
      </w:rPr>
    </w:lvl>
    <w:lvl w:ilvl="8" w:tplc="87EE159A">
      <w:numFmt w:val="bullet"/>
      <w:lvlText w:val="•"/>
      <w:lvlJc w:val="left"/>
      <w:pPr>
        <w:ind w:left="2291" w:hanging="100"/>
      </w:pPr>
      <w:rPr>
        <w:rFonts w:hint="default"/>
      </w:rPr>
    </w:lvl>
  </w:abstractNum>
  <w:abstractNum w:abstractNumId="40" w15:restartNumberingAfterBreak="0">
    <w:nsid w:val="024965DF"/>
    <w:multiLevelType w:val="hybridMultilevel"/>
    <w:tmpl w:val="E75EAAB6"/>
    <w:lvl w:ilvl="0" w:tplc="A864865E">
      <w:numFmt w:val="bullet"/>
      <w:lvlText w:val=""/>
      <w:lvlJc w:val="left"/>
      <w:pPr>
        <w:ind w:left="156" w:hanging="100"/>
      </w:pPr>
      <w:rPr>
        <w:rFonts w:ascii="Symbol" w:eastAsia="Symbol" w:hAnsi="Symbol" w:cs="Symbol" w:hint="default"/>
        <w:color w:val="231F20"/>
        <w:w w:val="100"/>
        <w:sz w:val="14"/>
        <w:szCs w:val="14"/>
      </w:rPr>
    </w:lvl>
    <w:lvl w:ilvl="1" w:tplc="63FAEBA4">
      <w:numFmt w:val="bullet"/>
      <w:lvlText w:val="•"/>
      <w:lvlJc w:val="left"/>
      <w:pPr>
        <w:ind w:left="398" w:hanging="100"/>
      </w:pPr>
      <w:rPr>
        <w:rFonts w:hint="default"/>
      </w:rPr>
    </w:lvl>
    <w:lvl w:ilvl="2" w:tplc="A3CA18A0">
      <w:numFmt w:val="bullet"/>
      <w:lvlText w:val="•"/>
      <w:lvlJc w:val="left"/>
      <w:pPr>
        <w:ind w:left="636" w:hanging="100"/>
      </w:pPr>
      <w:rPr>
        <w:rFonts w:hint="default"/>
      </w:rPr>
    </w:lvl>
    <w:lvl w:ilvl="3" w:tplc="01A43086">
      <w:numFmt w:val="bullet"/>
      <w:lvlText w:val="•"/>
      <w:lvlJc w:val="left"/>
      <w:pPr>
        <w:ind w:left="874" w:hanging="100"/>
      </w:pPr>
      <w:rPr>
        <w:rFonts w:hint="default"/>
      </w:rPr>
    </w:lvl>
    <w:lvl w:ilvl="4" w:tplc="0F72E15A">
      <w:numFmt w:val="bullet"/>
      <w:lvlText w:val="•"/>
      <w:lvlJc w:val="left"/>
      <w:pPr>
        <w:ind w:left="1112" w:hanging="100"/>
      </w:pPr>
      <w:rPr>
        <w:rFonts w:hint="default"/>
      </w:rPr>
    </w:lvl>
    <w:lvl w:ilvl="5" w:tplc="DA42C44E">
      <w:numFmt w:val="bullet"/>
      <w:lvlText w:val="•"/>
      <w:lvlJc w:val="left"/>
      <w:pPr>
        <w:ind w:left="1350" w:hanging="100"/>
      </w:pPr>
      <w:rPr>
        <w:rFonts w:hint="default"/>
      </w:rPr>
    </w:lvl>
    <w:lvl w:ilvl="6" w:tplc="9D70808E">
      <w:numFmt w:val="bullet"/>
      <w:lvlText w:val="•"/>
      <w:lvlJc w:val="left"/>
      <w:pPr>
        <w:ind w:left="1588" w:hanging="100"/>
      </w:pPr>
      <w:rPr>
        <w:rFonts w:hint="default"/>
      </w:rPr>
    </w:lvl>
    <w:lvl w:ilvl="7" w:tplc="566CCDFE">
      <w:numFmt w:val="bullet"/>
      <w:lvlText w:val="•"/>
      <w:lvlJc w:val="left"/>
      <w:pPr>
        <w:ind w:left="1826" w:hanging="100"/>
      </w:pPr>
      <w:rPr>
        <w:rFonts w:hint="default"/>
      </w:rPr>
    </w:lvl>
    <w:lvl w:ilvl="8" w:tplc="22FC7ECE">
      <w:numFmt w:val="bullet"/>
      <w:lvlText w:val="•"/>
      <w:lvlJc w:val="left"/>
      <w:pPr>
        <w:ind w:left="2064" w:hanging="100"/>
      </w:pPr>
      <w:rPr>
        <w:rFonts w:hint="default"/>
      </w:rPr>
    </w:lvl>
  </w:abstractNum>
  <w:abstractNum w:abstractNumId="41" w15:restartNumberingAfterBreak="0">
    <w:nsid w:val="027026B0"/>
    <w:multiLevelType w:val="hybridMultilevel"/>
    <w:tmpl w:val="BB066FB6"/>
    <w:lvl w:ilvl="0" w:tplc="20DA9CA8">
      <w:numFmt w:val="bullet"/>
      <w:lvlText w:val=""/>
      <w:lvlJc w:val="left"/>
      <w:pPr>
        <w:ind w:left="156" w:hanging="100"/>
      </w:pPr>
      <w:rPr>
        <w:rFonts w:ascii="Symbol" w:eastAsia="Symbol" w:hAnsi="Symbol" w:cs="Symbol" w:hint="default"/>
        <w:color w:val="231F20"/>
        <w:w w:val="100"/>
        <w:sz w:val="14"/>
        <w:szCs w:val="14"/>
      </w:rPr>
    </w:lvl>
    <w:lvl w:ilvl="1" w:tplc="57CED98C">
      <w:numFmt w:val="bullet"/>
      <w:lvlText w:val="•"/>
      <w:lvlJc w:val="left"/>
      <w:pPr>
        <w:ind w:left="426" w:hanging="100"/>
      </w:pPr>
      <w:rPr>
        <w:rFonts w:hint="default"/>
      </w:rPr>
    </w:lvl>
    <w:lvl w:ilvl="2" w:tplc="59D6DC20">
      <w:numFmt w:val="bullet"/>
      <w:lvlText w:val="•"/>
      <w:lvlJc w:val="left"/>
      <w:pPr>
        <w:ind w:left="692" w:hanging="100"/>
      </w:pPr>
      <w:rPr>
        <w:rFonts w:hint="default"/>
      </w:rPr>
    </w:lvl>
    <w:lvl w:ilvl="3" w:tplc="4FD02F14">
      <w:numFmt w:val="bullet"/>
      <w:lvlText w:val="•"/>
      <w:lvlJc w:val="left"/>
      <w:pPr>
        <w:ind w:left="959" w:hanging="100"/>
      </w:pPr>
      <w:rPr>
        <w:rFonts w:hint="default"/>
      </w:rPr>
    </w:lvl>
    <w:lvl w:ilvl="4" w:tplc="5D502678">
      <w:numFmt w:val="bullet"/>
      <w:lvlText w:val="•"/>
      <w:lvlJc w:val="left"/>
      <w:pPr>
        <w:ind w:left="1225" w:hanging="100"/>
      </w:pPr>
      <w:rPr>
        <w:rFonts w:hint="default"/>
      </w:rPr>
    </w:lvl>
    <w:lvl w:ilvl="5" w:tplc="442EF994">
      <w:numFmt w:val="bullet"/>
      <w:lvlText w:val="•"/>
      <w:lvlJc w:val="left"/>
      <w:pPr>
        <w:ind w:left="1492" w:hanging="100"/>
      </w:pPr>
      <w:rPr>
        <w:rFonts w:hint="default"/>
      </w:rPr>
    </w:lvl>
    <w:lvl w:ilvl="6" w:tplc="6E86727C">
      <w:numFmt w:val="bullet"/>
      <w:lvlText w:val="•"/>
      <w:lvlJc w:val="left"/>
      <w:pPr>
        <w:ind w:left="1758" w:hanging="100"/>
      </w:pPr>
      <w:rPr>
        <w:rFonts w:hint="default"/>
      </w:rPr>
    </w:lvl>
    <w:lvl w:ilvl="7" w:tplc="57FA9840">
      <w:numFmt w:val="bullet"/>
      <w:lvlText w:val="•"/>
      <w:lvlJc w:val="left"/>
      <w:pPr>
        <w:ind w:left="2024" w:hanging="100"/>
      </w:pPr>
      <w:rPr>
        <w:rFonts w:hint="default"/>
      </w:rPr>
    </w:lvl>
    <w:lvl w:ilvl="8" w:tplc="4DBEF8B6">
      <w:numFmt w:val="bullet"/>
      <w:lvlText w:val="•"/>
      <w:lvlJc w:val="left"/>
      <w:pPr>
        <w:ind w:left="2291" w:hanging="100"/>
      </w:pPr>
      <w:rPr>
        <w:rFonts w:hint="default"/>
      </w:rPr>
    </w:lvl>
  </w:abstractNum>
  <w:abstractNum w:abstractNumId="42" w15:restartNumberingAfterBreak="0">
    <w:nsid w:val="027D2D14"/>
    <w:multiLevelType w:val="hybridMultilevel"/>
    <w:tmpl w:val="3A06525A"/>
    <w:lvl w:ilvl="0" w:tplc="D28022CA">
      <w:numFmt w:val="bullet"/>
      <w:lvlText w:val=""/>
      <w:lvlJc w:val="left"/>
      <w:pPr>
        <w:ind w:left="156" w:hanging="100"/>
      </w:pPr>
      <w:rPr>
        <w:rFonts w:ascii="Symbol" w:eastAsia="Symbol" w:hAnsi="Symbol" w:cs="Symbol" w:hint="default"/>
        <w:color w:val="231F20"/>
        <w:w w:val="100"/>
        <w:sz w:val="14"/>
        <w:szCs w:val="14"/>
      </w:rPr>
    </w:lvl>
    <w:lvl w:ilvl="1" w:tplc="E53E3856">
      <w:numFmt w:val="bullet"/>
      <w:lvlText w:val="•"/>
      <w:lvlJc w:val="left"/>
      <w:pPr>
        <w:ind w:left="301" w:hanging="100"/>
      </w:pPr>
      <w:rPr>
        <w:rFonts w:hint="default"/>
      </w:rPr>
    </w:lvl>
    <w:lvl w:ilvl="2" w:tplc="8E1AF4F8">
      <w:numFmt w:val="bullet"/>
      <w:lvlText w:val="•"/>
      <w:lvlJc w:val="left"/>
      <w:pPr>
        <w:ind w:left="443" w:hanging="100"/>
      </w:pPr>
      <w:rPr>
        <w:rFonts w:hint="default"/>
      </w:rPr>
    </w:lvl>
    <w:lvl w:ilvl="3" w:tplc="73FE6450">
      <w:numFmt w:val="bullet"/>
      <w:lvlText w:val="•"/>
      <w:lvlJc w:val="left"/>
      <w:pPr>
        <w:ind w:left="585" w:hanging="100"/>
      </w:pPr>
      <w:rPr>
        <w:rFonts w:hint="default"/>
      </w:rPr>
    </w:lvl>
    <w:lvl w:ilvl="4" w:tplc="E07CAFAE">
      <w:numFmt w:val="bullet"/>
      <w:lvlText w:val="•"/>
      <w:lvlJc w:val="left"/>
      <w:pPr>
        <w:ind w:left="726" w:hanging="100"/>
      </w:pPr>
      <w:rPr>
        <w:rFonts w:hint="default"/>
      </w:rPr>
    </w:lvl>
    <w:lvl w:ilvl="5" w:tplc="25581EDA">
      <w:numFmt w:val="bullet"/>
      <w:lvlText w:val="•"/>
      <w:lvlJc w:val="left"/>
      <w:pPr>
        <w:ind w:left="868" w:hanging="100"/>
      </w:pPr>
      <w:rPr>
        <w:rFonts w:hint="default"/>
      </w:rPr>
    </w:lvl>
    <w:lvl w:ilvl="6" w:tplc="F8AEF584">
      <w:numFmt w:val="bullet"/>
      <w:lvlText w:val="•"/>
      <w:lvlJc w:val="left"/>
      <w:pPr>
        <w:ind w:left="1010" w:hanging="100"/>
      </w:pPr>
      <w:rPr>
        <w:rFonts w:hint="default"/>
      </w:rPr>
    </w:lvl>
    <w:lvl w:ilvl="7" w:tplc="5FE8C49C">
      <w:numFmt w:val="bullet"/>
      <w:lvlText w:val="•"/>
      <w:lvlJc w:val="left"/>
      <w:pPr>
        <w:ind w:left="1151" w:hanging="100"/>
      </w:pPr>
      <w:rPr>
        <w:rFonts w:hint="default"/>
      </w:rPr>
    </w:lvl>
    <w:lvl w:ilvl="8" w:tplc="321A6366">
      <w:numFmt w:val="bullet"/>
      <w:lvlText w:val="•"/>
      <w:lvlJc w:val="left"/>
      <w:pPr>
        <w:ind w:left="1293" w:hanging="100"/>
      </w:pPr>
      <w:rPr>
        <w:rFonts w:hint="default"/>
      </w:rPr>
    </w:lvl>
  </w:abstractNum>
  <w:abstractNum w:abstractNumId="43" w15:restartNumberingAfterBreak="0">
    <w:nsid w:val="02BA3D98"/>
    <w:multiLevelType w:val="hybridMultilevel"/>
    <w:tmpl w:val="434E768E"/>
    <w:lvl w:ilvl="0" w:tplc="9C18F0BE">
      <w:numFmt w:val="bullet"/>
      <w:lvlText w:val=""/>
      <w:lvlJc w:val="left"/>
      <w:pPr>
        <w:ind w:left="157" w:hanging="100"/>
      </w:pPr>
      <w:rPr>
        <w:rFonts w:ascii="Symbol" w:eastAsia="Symbol" w:hAnsi="Symbol" w:cs="Symbol" w:hint="default"/>
        <w:color w:val="231F20"/>
        <w:w w:val="100"/>
        <w:sz w:val="14"/>
        <w:szCs w:val="14"/>
      </w:rPr>
    </w:lvl>
    <w:lvl w:ilvl="1" w:tplc="33E06DC6">
      <w:numFmt w:val="bullet"/>
      <w:lvlText w:val="•"/>
      <w:lvlJc w:val="left"/>
      <w:pPr>
        <w:ind w:left="369" w:hanging="100"/>
      </w:pPr>
      <w:rPr>
        <w:rFonts w:hint="default"/>
      </w:rPr>
    </w:lvl>
    <w:lvl w:ilvl="2" w:tplc="DFAA26D6">
      <w:numFmt w:val="bullet"/>
      <w:lvlText w:val="•"/>
      <w:lvlJc w:val="left"/>
      <w:pPr>
        <w:ind w:left="579" w:hanging="100"/>
      </w:pPr>
      <w:rPr>
        <w:rFonts w:hint="default"/>
      </w:rPr>
    </w:lvl>
    <w:lvl w:ilvl="3" w:tplc="4296CD94">
      <w:numFmt w:val="bullet"/>
      <w:lvlText w:val="•"/>
      <w:lvlJc w:val="left"/>
      <w:pPr>
        <w:ind w:left="789" w:hanging="100"/>
      </w:pPr>
      <w:rPr>
        <w:rFonts w:hint="default"/>
      </w:rPr>
    </w:lvl>
    <w:lvl w:ilvl="4" w:tplc="6700E41A">
      <w:numFmt w:val="bullet"/>
      <w:lvlText w:val="•"/>
      <w:lvlJc w:val="left"/>
      <w:pPr>
        <w:ind w:left="998" w:hanging="100"/>
      </w:pPr>
      <w:rPr>
        <w:rFonts w:hint="default"/>
      </w:rPr>
    </w:lvl>
    <w:lvl w:ilvl="5" w:tplc="51EE6B64">
      <w:numFmt w:val="bullet"/>
      <w:lvlText w:val="•"/>
      <w:lvlJc w:val="left"/>
      <w:pPr>
        <w:ind w:left="1208" w:hanging="100"/>
      </w:pPr>
      <w:rPr>
        <w:rFonts w:hint="default"/>
      </w:rPr>
    </w:lvl>
    <w:lvl w:ilvl="6" w:tplc="49AA9492">
      <w:numFmt w:val="bullet"/>
      <w:lvlText w:val="•"/>
      <w:lvlJc w:val="left"/>
      <w:pPr>
        <w:ind w:left="1418" w:hanging="100"/>
      </w:pPr>
      <w:rPr>
        <w:rFonts w:hint="default"/>
      </w:rPr>
    </w:lvl>
    <w:lvl w:ilvl="7" w:tplc="3118E958">
      <w:numFmt w:val="bullet"/>
      <w:lvlText w:val="•"/>
      <w:lvlJc w:val="left"/>
      <w:pPr>
        <w:ind w:left="1627" w:hanging="100"/>
      </w:pPr>
      <w:rPr>
        <w:rFonts w:hint="default"/>
      </w:rPr>
    </w:lvl>
    <w:lvl w:ilvl="8" w:tplc="854E88E0">
      <w:numFmt w:val="bullet"/>
      <w:lvlText w:val="•"/>
      <w:lvlJc w:val="left"/>
      <w:pPr>
        <w:ind w:left="1837" w:hanging="100"/>
      </w:pPr>
      <w:rPr>
        <w:rFonts w:hint="default"/>
      </w:rPr>
    </w:lvl>
  </w:abstractNum>
  <w:abstractNum w:abstractNumId="44" w15:restartNumberingAfterBreak="0">
    <w:nsid w:val="02C61569"/>
    <w:multiLevelType w:val="hybridMultilevel"/>
    <w:tmpl w:val="33A4821E"/>
    <w:lvl w:ilvl="0" w:tplc="56660EBE">
      <w:numFmt w:val="bullet"/>
      <w:lvlText w:val=""/>
      <w:lvlJc w:val="left"/>
      <w:pPr>
        <w:ind w:left="157" w:hanging="100"/>
      </w:pPr>
      <w:rPr>
        <w:rFonts w:ascii="Symbol" w:eastAsia="Symbol" w:hAnsi="Symbol" w:cs="Symbol" w:hint="default"/>
        <w:color w:val="231F20"/>
        <w:w w:val="100"/>
        <w:sz w:val="14"/>
        <w:szCs w:val="14"/>
      </w:rPr>
    </w:lvl>
    <w:lvl w:ilvl="1" w:tplc="D6BA3550">
      <w:numFmt w:val="bullet"/>
      <w:lvlText w:val="•"/>
      <w:lvlJc w:val="left"/>
      <w:pPr>
        <w:ind w:left="398" w:hanging="100"/>
      </w:pPr>
      <w:rPr>
        <w:rFonts w:hint="default"/>
      </w:rPr>
    </w:lvl>
    <w:lvl w:ilvl="2" w:tplc="9A7021B0">
      <w:numFmt w:val="bullet"/>
      <w:lvlText w:val="•"/>
      <w:lvlJc w:val="left"/>
      <w:pPr>
        <w:ind w:left="636" w:hanging="100"/>
      </w:pPr>
      <w:rPr>
        <w:rFonts w:hint="default"/>
      </w:rPr>
    </w:lvl>
    <w:lvl w:ilvl="3" w:tplc="AECA068E">
      <w:numFmt w:val="bullet"/>
      <w:lvlText w:val="•"/>
      <w:lvlJc w:val="left"/>
      <w:pPr>
        <w:ind w:left="874" w:hanging="100"/>
      </w:pPr>
      <w:rPr>
        <w:rFonts w:hint="default"/>
      </w:rPr>
    </w:lvl>
    <w:lvl w:ilvl="4" w:tplc="BC160816">
      <w:numFmt w:val="bullet"/>
      <w:lvlText w:val="•"/>
      <w:lvlJc w:val="left"/>
      <w:pPr>
        <w:ind w:left="1112" w:hanging="100"/>
      </w:pPr>
      <w:rPr>
        <w:rFonts w:hint="default"/>
      </w:rPr>
    </w:lvl>
    <w:lvl w:ilvl="5" w:tplc="8C288390">
      <w:numFmt w:val="bullet"/>
      <w:lvlText w:val="•"/>
      <w:lvlJc w:val="left"/>
      <w:pPr>
        <w:ind w:left="1350" w:hanging="100"/>
      </w:pPr>
      <w:rPr>
        <w:rFonts w:hint="default"/>
      </w:rPr>
    </w:lvl>
    <w:lvl w:ilvl="6" w:tplc="B2F27D20">
      <w:numFmt w:val="bullet"/>
      <w:lvlText w:val="•"/>
      <w:lvlJc w:val="left"/>
      <w:pPr>
        <w:ind w:left="1588" w:hanging="100"/>
      </w:pPr>
      <w:rPr>
        <w:rFonts w:hint="default"/>
      </w:rPr>
    </w:lvl>
    <w:lvl w:ilvl="7" w:tplc="CA522F5C">
      <w:numFmt w:val="bullet"/>
      <w:lvlText w:val="•"/>
      <w:lvlJc w:val="left"/>
      <w:pPr>
        <w:ind w:left="1826" w:hanging="100"/>
      </w:pPr>
      <w:rPr>
        <w:rFonts w:hint="default"/>
      </w:rPr>
    </w:lvl>
    <w:lvl w:ilvl="8" w:tplc="364EC4BE">
      <w:numFmt w:val="bullet"/>
      <w:lvlText w:val="•"/>
      <w:lvlJc w:val="left"/>
      <w:pPr>
        <w:ind w:left="2064" w:hanging="100"/>
      </w:pPr>
      <w:rPr>
        <w:rFonts w:hint="default"/>
      </w:rPr>
    </w:lvl>
  </w:abstractNum>
  <w:abstractNum w:abstractNumId="45" w15:restartNumberingAfterBreak="0">
    <w:nsid w:val="02D2533C"/>
    <w:multiLevelType w:val="hybridMultilevel"/>
    <w:tmpl w:val="C688E4D0"/>
    <w:lvl w:ilvl="0" w:tplc="9C04C9B0">
      <w:numFmt w:val="bullet"/>
      <w:lvlText w:val=""/>
      <w:lvlJc w:val="left"/>
      <w:pPr>
        <w:ind w:left="156" w:hanging="100"/>
      </w:pPr>
      <w:rPr>
        <w:rFonts w:ascii="Symbol" w:eastAsia="Symbol" w:hAnsi="Symbol" w:cs="Symbol" w:hint="default"/>
        <w:color w:val="231F20"/>
        <w:w w:val="100"/>
        <w:sz w:val="14"/>
        <w:szCs w:val="14"/>
      </w:rPr>
    </w:lvl>
    <w:lvl w:ilvl="1" w:tplc="DB8AD1CC">
      <w:numFmt w:val="bullet"/>
      <w:lvlText w:val="•"/>
      <w:lvlJc w:val="left"/>
      <w:pPr>
        <w:ind w:left="398" w:hanging="100"/>
      </w:pPr>
      <w:rPr>
        <w:rFonts w:hint="default"/>
      </w:rPr>
    </w:lvl>
    <w:lvl w:ilvl="2" w:tplc="053E9404">
      <w:numFmt w:val="bullet"/>
      <w:lvlText w:val="•"/>
      <w:lvlJc w:val="left"/>
      <w:pPr>
        <w:ind w:left="636" w:hanging="100"/>
      </w:pPr>
      <w:rPr>
        <w:rFonts w:hint="default"/>
      </w:rPr>
    </w:lvl>
    <w:lvl w:ilvl="3" w:tplc="E20EB31E">
      <w:numFmt w:val="bullet"/>
      <w:lvlText w:val="•"/>
      <w:lvlJc w:val="left"/>
      <w:pPr>
        <w:ind w:left="874" w:hanging="100"/>
      </w:pPr>
      <w:rPr>
        <w:rFonts w:hint="default"/>
      </w:rPr>
    </w:lvl>
    <w:lvl w:ilvl="4" w:tplc="07D85DF6">
      <w:numFmt w:val="bullet"/>
      <w:lvlText w:val="•"/>
      <w:lvlJc w:val="left"/>
      <w:pPr>
        <w:ind w:left="1112" w:hanging="100"/>
      </w:pPr>
      <w:rPr>
        <w:rFonts w:hint="default"/>
      </w:rPr>
    </w:lvl>
    <w:lvl w:ilvl="5" w:tplc="15C21B7A">
      <w:numFmt w:val="bullet"/>
      <w:lvlText w:val="•"/>
      <w:lvlJc w:val="left"/>
      <w:pPr>
        <w:ind w:left="1350" w:hanging="100"/>
      </w:pPr>
      <w:rPr>
        <w:rFonts w:hint="default"/>
      </w:rPr>
    </w:lvl>
    <w:lvl w:ilvl="6" w:tplc="9B6AA512">
      <w:numFmt w:val="bullet"/>
      <w:lvlText w:val="•"/>
      <w:lvlJc w:val="left"/>
      <w:pPr>
        <w:ind w:left="1588" w:hanging="100"/>
      </w:pPr>
      <w:rPr>
        <w:rFonts w:hint="default"/>
      </w:rPr>
    </w:lvl>
    <w:lvl w:ilvl="7" w:tplc="55D67888">
      <w:numFmt w:val="bullet"/>
      <w:lvlText w:val="•"/>
      <w:lvlJc w:val="left"/>
      <w:pPr>
        <w:ind w:left="1826" w:hanging="100"/>
      </w:pPr>
      <w:rPr>
        <w:rFonts w:hint="default"/>
      </w:rPr>
    </w:lvl>
    <w:lvl w:ilvl="8" w:tplc="9CA4DF96">
      <w:numFmt w:val="bullet"/>
      <w:lvlText w:val="•"/>
      <w:lvlJc w:val="left"/>
      <w:pPr>
        <w:ind w:left="2064" w:hanging="100"/>
      </w:pPr>
      <w:rPr>
        <w:rFonts w:hint="default"/>
      </w:rPr>
    </w:lvl>
  </w:abstractNum>
  <w:abstractNum w:abstractNumId="46" w15:restartNumberingAfterBreak="0">
    <w:nsid w:val="02E11952"/>
    <w:multiLevelType w:val="hybridMultilevel"/>
    <w:tmpl w:val="3788DCCC"/>
    <w:lvl w:ilvl="0" w:tplc="3B6607A6">
      <w:numFmt w:val="bullet"/>
      <w:lvlText w:val=""/>
      <w:lvlJc w:val="left"/>
      <w:pPr>
        <w:ind w:left="156" w:hanging="100"/>
      </w:pPr>
      <w:rPr>
        <w:rFonts w:ascii="Symbol" w:eastAsia="Symbol" w:hAnsi="Symbol" w:cs="Symbol" w:hint="default"/>
        <w:color w:val="231F20"/>
        <w:w w:val="100"/>
        <w:sz w:val="14"/>
        <w:szCs w:val="14"/>
      </w:rPr>
    </w:lvl>
    <w:lvl w:ilvl="1" w:tplc="B7C21EA8">
      <w:numFmt w:val="bullet"/>
      <w:lvlText w:val="•"/>
      <w:lvlJc w:val="left"/>
      <w:pPr>
        <w:ind w:left="426" w:hanging="100"/>
      </w:pPr>
      <w:rPr>
        <w:rFonts w:hint="default"/>
      </w:rPr>
    </w:lvl>
    <w:lvl w:ilvl="2" w:tplc="9EC68416">
      <w:numFmt w:val="bullet"/>
      <w:lvlText w:val="•"/>
      <w:lvlJc w:val="left"/>
      <w:pPr>
        <w:ind w:left="692" w:hanging="100"/>
      </w:pPr>
      <w:rPr>
        <w:rFonts w:hint="default"/>
      </w:rPr>
    </w:lvl>
    <w:lvl w:ilvl="3" w:tplc="D7FEBC3E">
      <w:numFmt w:val="bullet"/>
      <w:lvlText w:val="•"/>
      <w:lvlJc w:val="left"/>
      <w:pPr>
        <w:ind w:left="959" w:hanging="100"/>
      </w:pPr>
      <w:rPr>
        <w:rFonts w:hint="default"/>
      </w:rPr>
    </w:lvl>
    <w:lvl w:ilvl="4" w:tplc="2C3EAF4E">
      <w:numFmt w:val="bullet"/>
      <w:lvlText w:val="•"/>
      <w:lvlJc w:val="left"/>
      <w:pPr>
        <w:ind w:left="1225" w:hanging="100"/>
      </w:pPr>
      <w:rPr>
        <w:rFonts w:hint="default"/>
      </w:rPr>
    </w:lvl>
    <w:lvl w:ilvl="5" w:tplc="B434BC00">
      <w:numFmt w:val="bullet"/>
      <w:lvlText w:val="•"/>
      <w:lvlJc w:val="left"/>
      <w:pPr>
        <w:ind w:left="1492" w:hanging="100"/>
      </w:pPr>
      <w:rPr>
        <w:rFonts w:hint="default"/>
      </w:rPr>
    </w:lvl>
    <w:lvl w:ilvl="6" w:tplc="DF985E48">
      <w:numFmt w:val="bullet"/>
      <w:lvlText w:val="•"/>
      <w:lvlJc w:val="left"/>
      <w:pPr>
        <w:ind w:left="1758" w:hanging="100"/>
      </w:pPr>
      <w:rPr>
        <w:rFonts w:hint="default"/>
      </w:rPr>
    </w:lvl>
    <w:lvl w:ilvl="7" w:tplc="60CE24E4">
      <w:numFmt w:val="bullet"/>
      <w:lvlText w:val="•"/>
      <w:lvlJc w:val="left"/>
      <w:pPr>
        <w:ind w:left="2024" w:hanging="100"/>
      </w:pPr>
      <w:rPr>
        <w:rFonts w:hint="default"/>
      </w:rPr>
    </w:lvl>
    <w:lvl w:ilvl="8" w:tplc="BBE60E5A">
      <w:numFmt w:val="bullet"/>
      <w:lvlText w:val="•"/>
      <w:lvlJc w:val="left"/>
      <w:pPr>
        <w:ind w:left="2291" w:hanging="100"/>
      </w:pPr>
      <w:rPr>
        <w:rFonts w:hint="default"/>
      </w:rPr>
    </w:lvl>
  </w:abstractNum>
  <w:abstractNum w:abstractNumId="47" w15:restartNumberingAfterBreak="0">
    <w:nsid w:val="02F3512C"/>
    <w:multiLevelType w:val="hybridMultilevel"/>
    <w:tmpl w:val="769C995A"/>
    <w:lvl w:ilvl="0" w:tplc="95F663FC">
      <w:numFmt w:val="bullet"/>
      <w:lvlText w:val=""/>
      <w:lvlJc w:val="left"/>
      <w:pPr>
        <w:ind w:left="157" w:hanging="100"/>
      </w:pPr>
      <w:rPr>
        <w:rFonts w:ascii="Symbol" w:eastAsia="Symbol" w:hAnsi="Symbol" w:cs="Symbol" w:hint="default"/>
        <w:color w:val="231F20"/>
        <w:w w:val="100"/>
        <w:sz w:val="14"/>
        <w:szCs w:val="14"/>
      </w:rPr>
    </w:lvl>
    <w:lvl w:ilvl="1" w:tplc="3A5A175E">
      <w:numFmt w:val="bullet"/>
      <w:lvlText w:val="•"/>
      <w:lvlJc w:val="left"/>
      <w:pPr>
        <w:ind w:left="426" w:hanging="100"/>
      </w:pPr>
      <w:rPr>
        <w:rFonts w:hint="default"/>
      </w:rPr>
    </w:lvl>
    <w:lvl w:ilvl="2" w:tplc="CAF6CCEA">
      <w:numFmt w:val="bullet"/>
      <w:lvlText w:val="•"/>
      <w:lvlJc w:val="left"/>
      <w:pPr>
        <w:ind w:left="692" w:hanging="100"/>
      </w:pPr>
      <w:rPr>
        <w:rFonts w:hint="default"/>
      </w:rPr>
    </w:lvl>
    <w:lvl w:ilvl="3" w:tplc="DF7877CC">
      <w:numFmt w:val="bullet"/>
      <w:lvlText w:val="•"/>
      <w:lvlJc w:val="left"/>
      <w:pPr>
        <w:ind w:left="959" w:hanging="100"/>
      </w:pPr>
      <w:rPr>
        <w:rFonts w:hint="default"/>
      </w:rPr>
    </w:lvl>
    <w:lvl w:ilvl="4" w:tplc="4CD8910C">
      <w:numFmt w:val="bullet"/>
      <w:lvlText w:val="•"/>
      <w:lvlJc w:val="left"/>
      <w:pPr>
        <w:ind w:left="1225" w:hanging="100"/>
      </w:pPr>
      <w:rPr>
        <w:rFonts w:hint="default"/>
      </w:rPr>
    </w:lvl>
    <w:lvl w:ilvl="5" w:tplc="F750524C">
      <w:numFmt w:val="bullet"/>
      <w:lvlText w:val="•"/>
      <w:lvlJc w:val="left"/>
      <w:pPr>
        <w:ind w:left="1492" w:hanging="100"/>
      </w:pPr>
      <w:rPr>
        <w:rFonts w:hint="default"/>
      </w:rPr>
    </w:lvl>
    <w:lvl w:ilvl="6" w:tplc="BA803FC0">
      <w:numFmt w:val="bullet"/>
      <w:lvlText w:val="•"/>
      <w:lvlJc w:val="left"/>
      <w:pPr>
        <w:ind w:left="1758" w:hanging="100"/>
      </w:pPr>
      <w:rPr>
        <w:rFonts w:hint="default"/>
      </w:rPr>
    </w:lvl>
    <w:lvl w:ilvl="7" w:tplc="FC68D0FE">
      <w:numFmt w:val="bullet"/>
      <w:lvlText w:val="•"/>
      <w:lvlJc w:val="left"/>
      <w:pPr>
        <w:ind w:left="2024" w:hanging="100"/>
      </w:pPr>
      <w:rPr>
        <w:rFonts w:hint="default"/>
      </w:rPr>
    </w:lvl>
    <w:lvl w:ilvl="8" w:tplc="58A41C0E">
      <w:numFmt w:val="bullet"/>
      <w:lvlText w:val="•"/>
      <w:lvlJc w:val="left"/>
      <w:pPr>
        <w:ind w:left="2291" w:hanging="100"/>
      </w:pPr>
      <w:rPr>
        <w:rFonts w:hint="default"/>
      </w:rPr>
    </w:lvl>
  </w:abstractNum>
  <w:abstractNum w:abstractNumId="48" w15:restartNumberingAfterBreak="0">
    <w:nsid w:val="02F81A32"/>
    <w:multiLevelType w:val="hybridMultilevel"/>
    <w:tmpl w:val="4AEA48EA"/>
    <w:lvl w:ilvl="0" w:tplc="B248197A">
      <w:numFmt w:val="bullet"/>
      <w:lvlText w:val=""/>
      <w:lvlJc w:val="left"/>
      <w:pPr>
        <w:ind w:left="157" w:hanging="100"/>
      </w:pPr>
      <w:rPr>
        <w:rFonts w:ascii="Symbol" w:eastAsia="Symbol" w:hAnsi="Symbol" w:cs="Symbol" w:hint="default"/>
        <w:color w:val="231F20"/>
        <w:w w:val="100"/>
        <w:sz w:val="14"/>
        <w:szCs w:val="14"/>
      </w:rPr>
    </w:lvl>
    <w:lvl w:ilvl="1" w:tplc="E06057E6">
      <w:numFmt w:val="bullet"/>
      <w:lvlText w:val="•"/>
      <w:lvlJc w:val="left"/>
      <w:pPr>
        <w:ind w:left="369" w:hanging="100"/>
      </w:pPr>
      <w:rPr>
        <w:rFonts w:hint="default"/>
      </w:rPr>
    </w:lvl>
    <w:lvl w:ilvl="2" w:tplc="A2B0C5EA">
      <w:numFmt w:val="bullet"/>
      <w:lvlText w:val="•"/>
      <w:lvlJc w:val="left"/>
      <w:pPr>
        <w:ind w:left="579" w:hanging="100"/>
      </w:pPr>
      <w:rPr>
        <w:rFonts w:hint="default"/>
      </w:rPr>
    </w:lvl>
    <w:lvl w:ilvl="3" w:tplc="1654D9C6">
      <w:numFmt w:val="bullet"/>
      <w:lvlText w:val="•"/>
      <w:lvlJc w:val="left"/>
      <w:pPr>
        <w:ind w:left="789" w:hanging="100"/>
      </w:pPr>
      <w:rPr>
        <w:rFonts w:hint="default"/>
      </w:rPr>
    </w:lvl>
    <w:lvl w:ilvl="4" w:tplc="3912F472">
      <w:numFmt w:val="bullet"/>
      <w:lvlText w:val="•"/>
      <w:lvlJc w:val="left"/>
      <w:pPr>
        <w:ind w:left="998" w:hanging="100"/>
      </w:pPr>
      <w:rPr>
        <w:rFonts w:hint="default"/>
      </w:rPr>
    </w:lvl>
    <w:lvl w:ilvl="5" w:tplc="602864CC">
      <w:numFmt w:val="bullet"/>
      <w:lvlText w:val="•"/>
      <w:lvlJc w:val="left"/>
      <w:pPr>
        <w:ind w:left="1208" w:hanging="100"/>
      </w:pPr>
      <w:rPr>
        <w:rFonts w:hint="default"/>
      </w:rPr>
    </w:lvl>
    <w:lvl w:ilvl="6" w:tplc="45380B86">
      <w:numFmt w:val="bullet"/>
      <w:lvlText w:val="•"/>
      <w:lvlJc w:val="left"/>
      <w:pPr>
        <w:ind w:left="1418" w:hanging="100"/>
      </w:pPr>
      <w:rPr>
        <w:rFonts w:hint="default"/>
      </w:rPr>
    </w:lvl>
    <w:lvl w:ilvl="7" w:tplc="62E08870">
      <w:numFmt w:val="bullet"/>
      <w:lvlText w:val="•"/>
      <w:lvlJc w:val="left"/>
      <w:pPr>
        <w:ind w:left="1627" w:hanging="100"/>
      </w:pPr>
      <w:rPr>
        <w:rFonts w:hint="default"/>
      </w:rPr>
    </w:lvl>
    <w:lvl w:ilvl="8" w:tplc="C3F2C270">
      <w:numFmt w:val="bullet"/>
      <w:lvlText w:val="•"/>
      <w:lvlJc w:val="left"/>
      <w:pPr>
        <w:ind w:left="1837" w:hanging="100"/>
      </w:pPr>
      <w:rPr>
        <w:rFonts w:hint="default"/>
      </w:rPr>
    </w:lvl>
  </w:abstractNum>
  <w:abstractNum w:abstractNumId="49" w15:restartNumberingAfterBreak="0">
    <w:nsid w:val="03004AA2"/>
    <w:multiLevelType w:val="hybridMultilevel"/>
    <w:tmpl w:val="E2E02E3E"/>
    <w:lvl w:ilvl="0" w:tplc="4D844154">
      <w:numFmt w:val="bullet"/>
      <w:lvlText w:val=""/>
      <w:lvlJc w:val="left"/>
      <w:pPr>
        <w:ind w:left="156" w:hanging="100"/>
      </w:pPr>
      <w:rPr>
        <w:rFonts w:ascii="Symbol" w:eastAsia="Symbol" w:hAnsi="Symbol" w:cs="Symbol" w:hint="default"/>
        <w:color w:val="231F20"/>
        <w:w w:val="100"/>
        <w:sz w:val="14"/>
        <w:szCs w:val="14"/>
      </w:rPr>
    </w:lvl>
    <w:lvl w:ilvl="1" w:tplc="A52034D4">
      <w:numFmt w:val="bullet"/>
      <w:lvlText w:val="•"/>
      <w:lvlJc w:val="left"/>
      <w:pPr>
        <w:ind w:left="301" w:hanging="100"/>
      </w:pPr>
      <w:rPr>
        <w:rFonts w:hint="default"/>
      </w:rPr>
    </w:lvl>
    <w:lvl w:ilvl="2" w:tplc="297E3026">
      <w:numFmt w:val="bullet"/>
      <w:lvlText w:val="•"/>
      <w:lvlJc w:val="left"/>
      <w:pPr>
        <w:ind w:left="443" w:hanging="100"/>
      </w:pPr>
      <w:rPr>
        <w:rFonts w:hint="default"/>
      </w:rPr>
    </w:lvl>
    <w:lvl w:ilvl="3" w:tplc="7D082DB6">
      <w:numFmt w:val="bullet"/>
      <w:lvlText w:val="•"/>
      <w:lvlJc w:val="left"/>
      <w:pPr>
        <w:ind w:left="585" w:hanging="100"/>
      </w:pPr>
      <w:rPr>
        <w:rFonts w:hint="default"/>
      </w:rPr>
    </w:lvl>
    <w:lvl w:ilvl="4" w:tplc="17FA1B56">
      <w:numFmt w:val="bullet"/>
      <w:lvlText w:val="•"/>
      <w:lvlJc w:val="left"/>
      <w:pPr>
        <w:ind w:left="726" w:hanging="100"/>
      </w:pPr>
      <w:rPr>
        <w:rFonts w:hint="default"/>
      </w:rPr>
    </w:lvl>
    <w:lvl w:ilvl="5" w:tplc="123E19BC">
      <w:numFmt w:val="bullet"/>
      <w:lvlText w:val="•"/>
      <w:lvlJc w:val="left"/>
      <w:pPr>
        <w:ind w:left="868" w:hanging="100"/>
      </w:pPr>
      <w:rPr>
        <w:rFonts w:hint="default"/>
      </w:rPr>
    </w:lvl>
    <w:lvl w:ilvl="6" w:tplc="9E860002">
      <w:numFmt w:val="bullet"/>
      <w:lvlText w:val="•"/>
      <w:lvlJc w:val="left"/>
      <w:pPr>
        <w:ind w:left="1010" w:hanging="100"/>
      </w:pPr>
      <w:rPr>
        <w:rFonts w:hint="default"/>
      </w:rPr>
    </w:lvl>
    <w:lvl w:ilvl="7" w:tplc="ACB66988">
      <w:numFmt w:val="bullet"/>
      <w:lvlText w:val="•"/>
      <w:lvlJc w:val="left"/>
      <w:pPr>
        <w:ind w:left="1151" w:hanging="100"/>
      </w:pPr>
      <w:rPr>
        <w:rFonts w:hint="default"/>
      </w:rPr>
    </w:lvl>
    <w:lvl w:ilvl="8" w:tplc="1CA085F0">
      <w:numFmt w:val="bullet"/>
      <w:lvlText w:val="•"/>
      <w:lvlJc w:val="left"/>
      <w:pPr>
        <w:ind w:left="1293" w:hanging="100"/>
      </w:pPr>
      <w:rPr>
        <w:rFonts w:hint="default"/>
      </w:rPr>
    </w:lvl>
  </w:abstractNum>
  <w:abstractNum w:abstractNumId="50" w15:restartNumberingAfterBreak="0">
    <w:nsid w:val="031E55E3"/>
    <w:multiLevelType w:val="hybridMultilevel"/>
    <w:tmpl w:val="5A3E69CE"/>
    <w:lvl w:ilvl="0" w:tplc="65BC33D2">
      <w:numFmt w:val="bullet"/>
      <w:lvlText w:val=""/>
      <w:lvlJc w:val="left"/>
      <w:pPr>
        <w:ind w:left="157" w:hanging="100"/>
      </w:pPr>
      <w:rPr>
        <w:rFonts w:ascii="Symbol" w:eastAsia="Symbol" w:hAnsi="Symbol" w:cs="Symbol" w:hint="default"/>
        <w:color w:val="231F20"/>
        <w:w w:val="100"/>
        <w:sz w:val="14"/>
        <w:szCs w:val="14"/>
      </w:rPr>
    </w:lvl>
    <w:lvl w:ilvl="1" w:tplc="88245928">
      <w:numFmt w:val="bullet"/>
      <w:lvlText w:val="•"/>
      <w:lvlJc w:val="left"/>
      <w:pPr>
        <w:ind w:left="369" w:hanging="100"/>
      </w:pPr>
      <w:rPr>
        <w:rFonts w:hint="default"/>
      </w:rPr>
    </w:lvl>
    <w:lvl w:ilvl="2" w:tplc="C7DE4320">
      <w:numFmt w:val="bullet"/>
      <w:lvlText w:val="•"/>
      <w:lvlJc w:val="left"/>
      <w:pPr>
        <w:ind w:left="579" w:hanging="100"/>
      </w:pPr>
      <w:rPr>
        <w:rFonts w:hint="default"/>
      </w:rPr>
    </w:lvl>
    <w:lvl w:ilvl="3" w:tplc="B014A206">
      <w:numFmt w:val="bullet"/>
      <w:lvlText w:val="•"/>
      <w:lvlJc w:val="left"/>
      <w:pPr>
        <w:ind w:left="789" w:hanging="100"/>
      </w:pPr>
      <w:rPr>
        <w:rFonts w:hint="default"/>
      </w:rPr>
    </w:lvl>
    <w:lvl w:ilvl="4" w:tplc="35F43D62">
      <w:numFmt w:val="bullet"/>
      <w:lvlText w:val="•"/>
      <w:lvlJc w:val="left"/>
      <w:pPr>
        <w:ind w:left="998" w:hanging="100"/>
      </w:pPr>
      <w:rPr>
        <w:rFonts w:hint="default"/>
      </w:rPr>
    </w:lvl>
    <w:lvl w:ilvl="5" w:tplc="420C4B04">
      <w:numFmt w:val="bullet"/>
      <w:lvlText w:val="•"/>
      <w:lvlJc w:val="left"/>
      <w:pPr>
        <w:ind w:left="1208" w:hanging="100"/>
      </w:pPr>
      <w:rPr>
        <w:rFonts w:hint="default"/>
      </w:rPr>
    </w:lvl>
    <w:lvl w:ilvl="6" w:tplc="3356E592">
      <w:numFmt w:val="bullet"/>
      <w:lvlText w:val="•"/>
      <w:lvlJc w:val="left"/>
      <w:pPr>
        <w:ind w:left="1418" w:hanging="100"/>
      </w:pPr>
      <w:rPr>
        <w:rFonts w:hint="default"/>
      </w:rPr>
    </w:lvl>
    <w:lvl w:ilvl="7" w:tplc="CA221B66">
      <w:numFmt w:val="bullet"/>
      <w:lvlText w:val="•"/>
      <w:lvlJc w:val="left"/>
      <w:pPr>
        <w:ind w:left="1627" w:hanging="100"/>
      </w:pPr>
      <w:rPr>
        <w:rFonts w:hint="default"/>
      </w:rPr>
    </w:lvl>
    <w:lvl w:ilvl="8" w:tplc="87622488">
      <w:numFmt w:val="bullet"/>
      <w:lvlText w:val="•"/>
      <w:lvlJc w:val="left"/>
      <w:pPr>
        <w:ind w:left="1837" w:hanging="100"/>
      </w:pPr>
      <w:rPr>
        <w:rFonts w:hint="default"/>
      </w:rPr>
    </w:lvl>
  </w:abstractNum>
  <w:abstractNum w:abstractNumId="51" w15:restartNumberingAfterBreak="0">
    <w:nsid w:val="032F4148"/>
    <w:multiLevelType w:val="hybridMultilevel"/>
    <w:tmpl w:val="46464B84"/>
    <w:lvl w:ilvl="0" w:tplc="6C709E5E">
      <w:numFmt w:val="bullet"/>
      <w:lvlText w:val=""/>
      <w:lvlJc w:val="left"/>
      <w:pPr>
        <w:ind w:left="156" w:hanging="100"/>
      </w:pPr>
      <w:rPr>
        <w:rFonts w:ascii="Symbol" w:eastAsia="Symbol" w:hAnsi="Symbol" w:cs="Symbol" w:hint="default"/>
        <w:color w:val="231F20"/>
        <w:w w:val="100"/>
        <w:sz w:val="14"/>
        <w:szCs w:val="14"/>
      </w:rPr>
    </w:lvl>
    <w:lvl w:ilvl="1" w:tplc="0594445E">
      <w:numFmt w:val="bullet"/>
      <w:lvlText w:val="•"/>
      <w:lvlJc w:val="left"/>
      <w:pPr>
        <w:ind w:left="301" w:hanging="100"/>
      </w:pPr>
      <w:rPr>
        <w:rFonts w:hint="default"/>
      </w:rPr>
    </w:lvl>
    <w:lvl w:ilvl="2" w:tplc="20B63000">
      <w:numFmt w:val="bullet"/>
      <w:lvlText w:val="•"/>
      <w:lvlJc w:val="left"/>
      <w:pPr>
        <w:ind w:left="443" w:hanging="100"/>
      </w:pPr>
      <w:rPr>
        <w:rFonts w:hint="default"/>
      </w:rPr>
    </w:lvl>
    <w:lvl w:ilvl="3" w:tplc="FC2E201E">
      <w:numFmt w:val="bullet"/>
      <w:lvlText w:val="•"/>
      <w:lvlJc w:val="left"/>
      <w:pPr>
        <w:ind w:left="585" w:hanging="100"/>
      </w:pPr>
      <w:rPr>
        <w:rFonts w:hint="default"/>
      </w:rPr>
    </w:lvl>
    <w:lvl w:ilvl="4" w:tplc="AABC7368">
      <w:numFmt w:val="bullet"/>
      <w:lvlText w:val="•"/>
      <w:lvlJc w:val="left"/>
      <w:pPr>
        <w:ind w:left="726" w:hanging="100"/>
      </w:pPr>
      <w:rPr>
        <w:rFonts w:hint="default"/>
      </w:rPr>
    </w:lvl>
    <w:lvl w:ilvl="5" w:tplc="CD688C46">
      <w:numFmt w:val="bullet"/>
      <w:lvlText w:val="•"/>
      <w:lvlJc w:val="left"/>
      <w:pPr>
        <w:ind w:left="868" w:hanging="100"/>
      </w:pPr>
      <w:rPr>
        <w:rFonts w:hint="default"/>
      </w:rPr>
    </w:lvl>
    <w:lvl w:ilvl="6" w:tplc="F53EF8E0">
      <w:numFmt w:val="bullet"/>
      <w:lvlText w:val="•"/>
      <w:lvlJc w:val="left"/>
      <w:pPr>
        <w:ind w:left="1010" w:hanging="100"/>
      </w:pPr>
      <w:rPr>
        <w:rFonts w:hint="default"/>
      </w:rPr>
    </w:lvl>
    <w:lvl w:ilvl="7" w:tplc="61AC96F4">
      <w:numFmt w:val="bullet"/>
      <w:lvlText w:val="•"/>
      <w:lvlJc w:val="left"/>
      <w:pPr>
        <w:ind w:left="1151" w:hanging="100"/>
      </w:pPr>
      <w:rPr>
        <w:rFonts w:hint="default"/>
      </w:rPr>
    </w:lvl>
    <w:lvl w:ilvl="8" w:tplc="822C707C">
      <w:numFmt w:val="bullet"/>
      <w:lvlText w:val="•"/>
      <w:lvlJc w:val="left"/>
      <w:pPr>
        <w:ind w:left="1293" w:hanging="100"/>
      </w:pPr>
      <w:rPr>
        <w:rFonts w:hint="default"/>
      </w:rPr>
    </w:lvl>
  </w:abstractNum>
  <w:abstractNum w:abstractNumId="52" w15:restartNumberingAfterBreak="0">
    <w:nsid w:val="033F3423"/>
    <w:multiLevelType w:val="hybridMultilevel"/>
    <w:tmpl w:val="BBF06796"/>
    <w:lvl w:ilvl="0" w:tplc="8742624C">
      <w:numFmt w:val="bullet"/>
      <w:lvlText w:val=""/>
      <w:lvlJc w:val="left"/>
      <w:pPr>
        <w:ind w:left="156" w:hanging="100"/>
      </w:pPr>
      <w:rPr>
        <w:rFonts w:ascii="Symbol" w:eastAsia="Symbol" w:hAnsi="Symbol" w:cs="Symbol" w:hint="default"/>
        <w:color w:val="231F20"/>
        <w:w w:val="100"/>
        <w:sz w:val="14"/>
        <w:szCs w:val="14"/>
      </w:rPr>
    </w:lvl>
    <w:lvl w:ilvl="1" w:tplc="670CBEAC">
      <w:numFmt w:val="bullet"/>
      <w:lvlText w:val="•"/>
      <w:lvlJc w:val="left"/>
      <w:pPr>
        <w:ind w:left="273" w:hanging="100"/>
      </w:pPr>
      <w:rPr>
        <w:rFonts w:hint="default"/>
      </w:rPr>
    </w:lvl>
    <w:lvl w:ilvl="2" w:tplc="6DA8345C">
      <w:numFmt w:val="bullet"/>
      <w:lvlText w:val="•"/>
      <w:lvlJc w:val="left"/>
      <w:pPr>
        <w:ind w:left="386" w:hanging="100"/>
      </w:pPr>
      <w:rPr>
        <w:rFonts w:hint="default"/>
      </w:rPr>
    </w:lvl>
    <w:lvl w:ilvl="3" w:tplc="06986B6C">
      <w:numFmt w:val="bullet"/>
      <w:lvlText w:val="•"/>
      <w:lvlJc w:val="left"/>
      <w:pPr>
        <w:ind w:left="500" w:hanging="100"/>
      </w:pPr>
      <w:rPr>
        <w:rFonts w:hint="default"/>
      </w:rPr>
    </w:lvl>
    <w:lvl w:ilvl="4" w:tplc="81ECCBCE">
      <w:numFmt w:val="bullet"/>
      <w:lvlText w:val="•"/>
      <w:lvlJc w:val="left"/>
      <w:pPr>
        <w:ind w:left="613" w:hanging="100"/>
      </w:pPr>
      <w:rPr>
        <w:rFonts w:hint="default"/>
      </w:rPr>
    </w:lvl>
    <w:lvl w:ilvl="5" w:tplc="21702286">
      <w:numFmt w:val="bullet"/>
      <w:lvlText w:val="•"/>
      <w:lvlJc w:val="left"/>
      <w:pPr>
        <w:ind w:left="727" w:hanging="100"/>
      </w:pPr>
      <w:rPr>
        <w:rFonts w:hint="default"/>
      </w:rPr>
    </w:lvl>
    <w:lvl w:ilvl="6" w:tplc="FA8A089E">
      <w:numFmt w:val="bullet"/>
      <w:lvlText w:val="•"/>
      <w:lvlJc w:val="left"/>
      <w:pPr>
        <w:ind w:left="840" w:hanging="100"/>
      </w:pPr>
      <w:rPr>
        <w:rFonts w:hint="default"/>
      </w:rPr>
    </w:lvl>
    <w:lvl w:ilvl="7" w:tplc="F28A53AE">
      <w:numFmt w:val="bullet"/>
      <w:lvlText w:val="•"/>
      <w:lvlJc w:val="left"/>
      <w:pPr>
        <w:ind w:left="953" w:hanging="100"/>
      </w:pPr>
      <w:rPr>
        <w:rFonts w:hint="default"/>
      </w:rPr>
    </w:lvl>
    <w:lvl w:ilvl="8" w:tplc="D4FA3702">
      <w:numFmt w:val="bullet"/>
      <w:lvlText w:val="•"/>
      <w:lvlJc w:val="left"/>
      <w:pPr>
        <w:ind w:left="1067" w:hanging="100"/>
      </w:pPr>
      <w:rPr>
        <w:rFonts w:hint="default"/>
      </w:rPr>
    </w:lvl>
  </w:abstractNum>
  <w:abstractNum w:abstractNumId="53" w15:restartNumberingAfterBreak="0">
    <w:nsid w:val="034E6F97"/>
    <w:multiLevelType w:val="hybridMultilevel"/>
    <w:tmpl w:val="79BC8BA0"/>
    <w:lvl w:ilvl="0" w:tplc="03041C32">
      <w:numFmt w:val="bullet"/>
      <w:lvlText w:val=""/>
      <w:lvlJc w:val="left"/>
      <w:pPr>
        <w:ind w:left="156" w:hanging="100"/>
      </w:pPr>
      <w:rPr>
        <w:rFonts w:ascii="Symbol" w:eastAsia="Symbol" w:hAnsi="Symbol" w:cs="Symbol" w:hint="default"/>
        <w:color w:val="231F20"/>
        <w:w w:val="100"/>
        <w:sz w:val="14"/>
        <w:szCs w:val="14"/>
      </w:rPr>
    </w:lvl>
    <w:lvl w:ilvl="1" w:tplc="2B8E2EBE">
      <w:numFmt w:val="bullet"/>
      <w:lvlText w:val="•"/>
      <w:lvlJc w:val="left"/>
      <w:pPr>
        <w:ind w:left="301" w:hanging="100"/>
      </w:pPr>
      <w:rPr>
        <w:rFonts w:hint="default"/>
      </w:rPr>
    </w:lvl>
    <w:lvl w:ilvl="2" w:tplc="8864EF56">
      <w:numFmt w:val="bullet"/>
      <w:lvlText w:val="•"/>
      <w:lvlJc w:val="left"/>
      <w:pPr>
        <w:ind w:left="443" w:hanging="100"/>
      </w:pPr>
      <w:rPr>
        <w:rFonts w:hint="default"/>
      </w:rPr>
    </w:lvl>
    <w:lvl w:ilvl="3" w:tplc="38DCD96A">
      <w:numFmt w:val="bullet"/>
      <w:lvlText w:val="•"/>
      <w:lvlJc w:val="left"/>
      <w:pPr>
        <w:ind w:left="585" w:hanging="100"/>
      </w:pPr>
      <w:rPr>
        <w:rFonts w:hint="default"/>
      </w:rPr>
    </w:lvl>
    <w:lvl w:ilvl="4" w:tplc="5DF2814A">
      <w:numFmt w:val="bullet"/>
      <w:lvlText w:val="•"/>
      <w:lvlJc w:val="left"/>
      <w:pPr>
        <w:ind w:left="726" w:hanging="100"/>
      </w:pPr>
      <w:rPr>
        <w:rFonts w:hint="default"/>
      </w:rPr>
    </w:lvl>
    <w:lvl w:ilvl="5" w:tplc="6396ED46">
      <w:numFmt w:val="bullet"/>
      <w:lvlText w:val="•"/>
      <w:lvlJc w:val="left"/>
      <w:pPr>
        <w:ind w:left="868" w:hanging="100"/>
      </w:pPr>
      <w:rPr>
        <w:rFonts w:hint="default"/>
      </w:rPr>
    </w:lvl>
    <w:lvl w:ilvl="6" w:tplc="387652A8">
      <w:numFmt w:val="bullet"/>
      <w:lvlText w:val="•"/>
      <w:lvlJc w:val="left"/>
      <w:pPr>
        <w:ind w:left="1010" w:hanging="100"/>
      </w:pPr>
      <w:rPr>
        <w:rFonts w:hint="default"/>
      </w:rPr>
    </w:lvl>
    <w:lvl w:ilvl="7" w:tplc="49E07AC0">
      <w:numFmt w:val="bullet"/>
      <w:lvlText w:val="•"/>
      <w:lvlJc w:val="left"/>
      <w:pPr>
        <w:ind w:left="1151" w:hanging="100"/>
      </w:pPr>
      <w:rPr>
        <w:rFonts w:hint="default"/>
      </w:rPr>
    </w:lvl>
    <w:lvl w:ilvl="8" w:tplc="AE8489D2">
      <w:numFmt w:val="bullet"/>
      <w:lvlText w:val="•"/>
      <w:lvlJc w:val="left"/>
      <w:pPr>
        <w:ind w:left="1293" w:hanging="100"/>
      </w:pPr>
      <w:rPr>
        <w:rFonts w:hint="default"/>
      </w:rPr>
    </w:lvl>
  </w:abstractNum>
  <w:abstractNum w:abstractNumId="54" w15:restartNumberingAfterBreak="0">
    <w:nsid w:val="03545435"/>
    <w:multiLevelType w:val="hybridMultilevel"/>
    <w:tmpl w:val="9B243812"/>
    <w:lvl w:ilvl="0" w:tplc="9BEC4D2C">
      <w:numFmt w:val="bullet"/>
      <w:lvlText w:val=""/>
      <w:lvlJc w:val="left"/>
      <w:pPr>
        <w:ind w:left="156" w:hanging="100"/>
      </w:pPr>
      <w:rPr>
        <w:rFonts w:ascii="Symbol" w:eastAsia="Symbol" w:hAnsi="Symbol" w:cs="Symbol" w:hint="default"/>
        <w:color w:val="231F20"/>
        <w:w w:val="100"/>
        <w:sz w:val="14"/>
        <w:szCs w:val="14"/>
      </w:rPr>
    </w:lvl>
    <w:lvl w:ilvl="1" w:tplc="DF5C65D4">
      <w:numFmt w:val="bullet"/>
      <w:lvlText w:val="•"/>
      <w:lvlJc w:val="left"/>
      <w:pPr>
        <w:ind w:left="301" w:hanging="100"/>
      </w:pPr>
      <w:rPr>
        <w:rFonts w:hint="default"/>
      </w:rPr>
    </w:lvl>
    <w:lvl w:ilvl="2" w:tplc="FF76DD40">
      <w:numFmt w:val="bullet"/>
      <w:lvlText w:val="•"/>
      <w:lvlJc w:val="left"/>
      <w:pPr>
        <w:ind w:left="443" w:hanging="100"/>
      </w:pPr>
      <w:rPr>
        <w:rFonts w:hint="default"/>
      </w:rPr>
    </w:lvl>
    <w:lvl w:ilvl="3" w:tplc="9E9EA62E">
      <w:numFmt w:val="bullet"/>
      <w:lvlText w:val="•"/>
      <w:lvlJc w:val="left"/>
      <w:pPr>
        <w:ind w:left="585" w:hanging="100"/>
      </w:pPr>
      <w:rPr>
        <w:rFonts w:hint="default"/>
      </w:rPr>
    </w:lvl>
    <w:lvl w:ilvl="4" w:tplc="C63EBD88">
      <w:numFmt w:val="bullet"/>
      <w:lvlText w:val="•"/>
      <w:lvlJc w:val="left"/>
      <w:pPr>
        <w:ind w:left="726" w:hanging="100"/>
      </w:pPr>
      <w:rPr>
        <w:rFonts w:hint="default"/>
      </w:rPr>
    </w:lvl>
    <w:lvl w:ilvl="5" w:tplc="A3104D20">
      <w:numFmt w:val="bullet"/>
      <w:lvlText w:val="•"/>
      <w:lvlJc w:val="left"/>
      <w:pPr>
        <w:ind w:left="868" w:hanging="100"/>
      </w:pPr>
      <w:rPr>
        <w:rFonts w:hint="default"/>
      </w:rPr>
    </w:lvl>
    <w:lvl w:ilvl="6" w:tplc="38B038C6">
      <w:numFmt w:val="bullet"/>
      <w:lvlText w:val="•"/>
      <w:lvlJc w:val="left"/>
      <w:pPr>
        <w:ind w:left="1010" w:hanging="100"/>
      </w:pPr>
      <w:rPr>
        <w:rFonts w:hint="default"/>
      </w:rPr>
    </w:lvl>
    <w:lvl w:ilvl="7" w:tplc="9526512A">
      <w:numFmt w:val="bullet"/>
      <w:lvlText w:val="•"/>
      <w:lvlJc w:val="left"/>
      <w:pPr>
        <w:ind w:left="1151" w:hanging="100"/>
      </w:pPr>
      <w:rPr>
        <w:rFonts w:hint="default"/>
      </w:rPr>
    </w:lvl>
    <w:lvl w:ilvl="8" w:tplc="1AC697C4">
      <w:numFmt w:val="bullet"/>
      <w:lvlText w:val="•"/>
      <w:lvlJc w:val="left"/>
      <w:pPr>
        <w:ind w:left="1293" w:hanging="100"/>
      </w:pPr>
      <w:rPr>
        <w:rFonts w:hint="default"/>
      </w:rPr>
    </w:lvl>
  </w:abstractNum>
  <w:abstractNum w:abstractNumId="55" w15:restartNumberingAfterBreak="0">
    <w:nsid w:val="03602C5C"/>
    <w:multiLevelType w:val="hybridMultilevel"/>
    <w:tmpl w:val="25EEA594"/>
    <w:lvl w:ilvl="0" w:tplc="ABBCD256">
      <w:numFmt w:val="bullet"/>
      <w:lvlText w:val=""/>
      <w:lvlJc w:val="left"/>
      <w:pPr>
        <w:ind w:left="156" w:hanging="100"/>
      </w:pPr>
      <w:rPr>
        <w:rFonts w:ascii="Symbol" w:eastAsia="Symbol" w:hAnsi="Symbol" w:cs="Symbol" w:hint="default"/>
        <w:color w:val="231F20"/>
        <w:w w:val="100"/>
        <w:sz w:val="14"/>
        <w:szCs w:val="14"/>
      </w:rPr>
    </w:lvl>
    <w:lvl w:ilvl="1" w:tplc="A2A40D5A">
      <w:numFmt w:val="bullet"/>
      <w:lvlText w:val="•"/>
      <w:lvlJc w:val="left"/>
      <w:pPr>
        <w:ind w:left="426" w:hanging="100"/>
      </w:pPr>
      <w:rPr>
        <w:rFonts w:hint="default"/>
      </w:rPr>
    </w:lvl>
    <w:lvl w:ilvl="2" w:tplc="8662031A">
      <w:numFmt w:val="bullet"/>
      <w:lvlText w:val="•"/>
      <w:lvlJc w:val="left"/>
      <w:pPr>
        <w:ind w:left="692" w:hanging="100"/>
      </w:pPr>
      <w:rPr>
        <w:rFonts w:hint="default"/>
      </w:rPr>
    </w:lvl>
    <w:lvl w:ilvl="3" w:tplc="52C00C86">
      <w:numFmt w:val="bullet"/>
      <w:lvlText w:val="•"/>
      <w:lvlJc w:val="left"/>
      <w:pPr>
        <w:ind w:left="959" w:hanging="100"/>
      </w:pPr>
      <w:rPr>
        <w:rFonts w:hint="default"/>
      </w:rPr>
    </w:lvl>
    <w:lvl w:ilvl="4" w:tplc="AE184910">
      <w:numFmt w:val="bullet"/>
      <w:lvlText w:val="•"/>
      <w:lvlJc w:val="left"/>
      <w:pPr>
        <w:ind w:left="1225" w:hanging="100"/>
      </w:pPr>
      <w:rPr>
        <w:rFonts w:hint="default"/>
      </w:rPr>
    </w:lvl>
    <w:lvl w:ilvl="5" w:tplc="7F8A7898">
      <w:numFmt w:val="bullet"/>
      <w:lvlText w:val="•"/>
      <w:lvlJc w:val="left"/>
      <w:pPr>
        <w:ind w:left="1492" w:hanging="100"/>
      </w:pPr>
      <w:rPr>
        <w:rFonts w:hint="default"/>
      </w:rPr>
    </w:lvl>
    <w:lvl w:ilvl="6" w:tplc="F006DC86">
      <w:numFmt w:val="bullet"/>
      <w:lvlText w:val="•"/>
      <w:lvlJc w:val="left"/>
      <w:pPr>
        <w:ind w:left="1758" w:hanging="100"/>
      </w:pPr>
      <w:rPr>
        <w:rFonts w:hint="default"/>
      </w:rPr>
    </w:lvl>
    <w:lvl w:ilvl="7" w:tplc="B83A0430">
      <w:numFmt w:val="bullet"/>
      <w:lvlText w:val="•"/>
      <w:lvlJc w:val="left"/>
      <w:pPr>
        <w:ind w:left="2024" w:hanging="100"/>
      </w:pPr>
      <w:rPr>
        <w:rFonts w:hint="default"/>
      </w:rPr>
    </w:lvl>
    <w:lvl w:ilvl="8" w:tplc="1876ED7E">
      <w:numFmt w:val="bullet"/>
      <w:lvlText w:val="•"/>
      <w:lvlJc w:val="left"/>
      <w:pPr>
        <w:ind w:left="2291" w:hanging="100"/>
      </w:pPr>
      <w:rPr>
        <w:rFonts w:hint="default"/>
      </w:rPr>
    </w:lvl>
  </w:abstractNum>
  <w:abstractNum w:abstractNumId="56" w15:restartNumberingAfterBreak="0">
    <w:nsid w:val="03684992"/>
    <w:multiLevelType w:val="hybridMultilevel"/>
    <w:tmpl w:val="65B0AB42"/>
    <w:lvl w:ilvl="0" w:tplc="84563B86">
      <w:numFmt w:val="bullet"/>
      <w:lvlText w:val=""/>
      <w:lvlJc w:val="left"/>
      <w:pPr>
        <w:ind w:left="156" w:hanging="100"/>
      </w:pPr>
      <w:rPr>
        <w:rFonts w:ascii="Symbol" w:eastAsia="Symbol" w:hAnsi="Symbol" w:cs="Symbol" w:hint="default"/>
        <w:color w:val="231F20"/>
        <w:w w:val="100"/>
        <w:sz w:val="14"/>
        <w:szCs w:val="14"/>
      </w:rPr>
    </w:lvl>
    <w:lvl w:ilvl="1" w:tplc="DB3C0FC4">
      <w:numFmt w:val="bullet"/>
      <w:lvlText w:val="•"/>
      <w:lvlJc w:val="left"/>
      <w:pPr>
        <w:ind w:left="398" w:hanging="100"/>
      </w:pPr>
      <w:rPr>
        <w:rFonts w:hint="default"/>
      </w:rPr>
    </w:lvl>
    <w:lvl w:ilvl="2" w:tplc="1F12415C">
      <w:numFmt w:val="bullet"/>
      <w:lvlText w:val="•"/>
      <w:lvlJc w:val="left"/>
      <w:pPr>
        <w:ind w:left="636" w:hanging="100"/>
      </w:pPr>
      <w:rPr>
        <w:rFonts w:hint="default"/>
      </w:rPr>
    </w:lvl>
    <w:lvl w:ilvl="3" w:tplc="B55E6664">
      <w:numFmt w:val="bullet"/>
      <w:lvlText w:val="•"/>
      <w:lvlJc w:val="left"/>
      <w:pPr>
        <w:ind w:left="874" w:hanging="100"/>
      </w:pPr>
      <w:rPr>
        <w:rFonts w:hint="default"/>
      </w:rPr>
    </w:lvl>
    <w:lvl w:ilvl="4" w:tplc="625E4F2E">
      <w:numFmt w:val="bullet"/>
      <w:lvlText w:val="•"/>
      <w:lvlJc w:val="left"/>
      <w:pPr>
        <w:ind w:left="1112" w:hanging="100"/>
      </w:pPr>
      <w:rPr>
        <w:rFonts w:hint="default"/>
      </w:rPr>
    </w:lvl>
    <w:lvl w:ilvl="5" w:tplc="098ED9C2">
      <w:numFmt w:val="bullet"/>
      <w:lvlText w:val="•"/>
      <w:lvlJc w:val="left"/>
      <w:pPr>
        <w:ind w:left="1350" w:hanging="100"/>
      </w:pPr>
      <w:rPr>
        <w:rFonts w:hint="default"/>
      </w:rPr>
    </w:lvl>
    <w:lvl w:ilvl="6" w:tplc="8990D7DE">
      <w:numFmt w:val="bullet"/>
      <w:lvlText w:val="•"/>
      <w:lvlJc w:val="left"/>
      <w:pPr>
        <w:ind w:left="1588" w:hanging="100"/>
      </w:pPr>
      <w:rPr>
        <w:rFonts w:hint="default"/>
      </w:rPr>
    </w:lvl>
    <w:lvl w:ilvl="7" w:tplc="E474C932">
      <w:numFmt w:val="bullet"/>
      <w:lvlText w:val="•"/>
      <w:lvlJc w:val="left"/>
      <w:pPr>
        <w:ind w:left="1826" w:hanging="100"/>
      </w:pPr>
      <w:rPr>
        <w:rFonts w:hint="default"/>
      </w:rPr>
    </w:lvl>
    <w:lvl w:ilvl="8" w:tplc="3D36B074">
      <w:numFmt w:val="bullet"/>
      <w:lvlText w:val="•"/>
      <w:lvlJc w:val="left"/>
      <w:pPr>
        <w:ind w:left="2064" w:hanging="100"/>
      </w:pPr>
      <w:rPr>
        <w:rFonts w:hint="default"/>
      </w:rPr>
    </w:lvl>
  </w:abstractNum>
  <w:abstractNum w:abstractNumId="57" w15:restartNumberingAfterBreak="0">
    <w:nsid w:val="037D6F64"/>
    <w:multiLevelType w:val="hybridMultilevel"/>
    <w:tmpl w:val="28DCC5B0"/>
    <w:lvl w:ilvl="0" w:tplc="80E2CB86">
      <w:numFmt w:val="bullet"/>
      <w:lvlText w:val=""/>
      <w:lvlJc w:val="left"/>
      <w:pPr>
        <w:ind w:left="157" w:hanging="100"/>
      </w:pPr>
      <w:rPr>
        <w:rFonts w:ascii="Symbol" w:eastAsia="Symbol" w:hAnsi="Symbol" w:cs="Symbol" w:hint="default"/>
        <w:color w:val="231F20"/>
        <w:w w:val="100"/>
        <w:sz w:val="14"/>
        <w:szCs w:val="14"/>
      </w:rPr>
    </w:lvl>
    <w:lvl w:ilvl="1" w:tplc="46F0E542">
      <w:numFmt w:val="bullet"/>
      <w:lvlText w:val="•"/>
      <w:lvlJc w:val="left"/>
      <w:pPr>
        <w:ind w:left="426" w:hanging="100"/>
      </w:pPr>
      <w:rPr>
        <w:rFonts w:hint="default"/>
      </w:rPr>
    </w:lvl>
    <w:lvl w:ilvl="2" w:tplc="96723846">
      <w:numFmt w:val="bullet"/>
      <w:lvlText w:val="•"/>
      <w:lvlJc w:val="left"/>
      <w:pPr>
        <w:ind w:left="692" w:hanging="100"/>
      </w:pPr>
      <w:rPr>
        <w:rFonts w:hint="default"/>
      </w:rPr>
    </w:lvl>
    <w:lvl w:ilvl="3" w:tplc="240AF9BE">
      <w:numFmt w:val="bullet"/>
      <w:lvlText w:val="•"/>
      <w:lvlJc w:val="left"/>
      <w:pPr>
        <w:ind w:left="959" w:hanging="100"/>
      </w:pPr>
      <w:rPr>
        <w:rFonts w:hint="default"/>
      </w:rPr>
    </w:lvl>
    <w:lvl w:ilvl="4" w:tplc="A7586ACE">
      <w:numFmt w:val="bullet"/>
      <w:lvlText w:val="•"/>
      <w:lvlJc w:val="left"/>
      <w:pPr>
        <w:ind w:left="1225" w:hanging="100"/>
      </w:pPr>
      <w:rPr>
        <w:rFonts w:hint="default"/>
      </w:rPr>
    </w:lvl>
    <w:lvl w:ilvl="5" w:tplc="EF4CD3BA">
      <w:numFmt w:val="bullet"/>
      <w:lvlText w:val="•"/>
      <w:lvlJc w:val="left"/>
      <w:pPr>
        <w:ind w:left="1492" w:hanging="100"/>
      </w:pPr>
      <w:rPr>
        <w:rFonts w:hint="default"/>
      </w:rPr>
    </w:lvl>
    <w:lvl w:ilvl="6" w:tplc="291A230C">
      <w:numFmt w:val="bullet"/>
      <w:lvlText w:val="•"/>
      <w:lvlJc w:val="left"/>
      <w:pPr>
        <w:ind w:left="1758" w:hanging="100"/>
      </w:pPr>
      <w:rPr>
        <w:rFonts w:hint="default"/>
      </w:rPr>
    </w:lvl>
    <w:lvl w:ilvl="7" w:tplc="DFA423A6">
      <w:numFmt w:val="bullet"/>
      <w:lvlText w:val="•"/>
      <w:lvlJc w:val="left"/>
      <w:pPr>
        <w:ind w:left="2024" w:hanging="100"/>
      </w:pPr>
      <w:rPr>
        <w:rFonts w:hint="default"/>
      </w:rPr>
    </w:lvl>
    <w:lvl w:ilvl="8" w:tplc="DE120822">
      <w:numFmt w:val="bullet"/>
      <w:lvlText w:val="•"/>
      <w:lvlJc w:val="left"/>
      <w:pPr>
        <w:ind w:left="2291" w:hanging="100"/>
      </w:pPr>
      <w:rPr>
        <w:rFonts w:hint="default"/>
      </w:rPr>
    </w:lvl>
  </w:abstractNum>
  <w:abstractNum w:abstractNumId="58" w15:restartNumberingAfterBreak="0">
    <w:nsid w:val="037F5A6E"/>
    <w:multiLevelType w:val="hybridMultilevel"/>
    <w:tmpl w:val="CF769D7A"/>
    <w:lvl w:ilvl="0" w:tplc="F176D71C">
      <w:numFmt w:val="bullet"/>
      <w:lvlText w:val=""/>
      <w:lvlJc w:val="left"/>
      <w:pPr>
        <w:ind w:left="156" w:hanging="100"/>
      </w:pPr>
      <w:rPr>
        <w:rFonts w:ascii="Symbol" w:eastAsia="Symbol" w:hAnsi="Symbol" w:cs="Symbol" w:hint="default"/>
        <w:color w:val="231F20"/>
        <w:w w:val="100"/>
        <w:sz w:val="14"/>
        <w:szCs w:val="14"/>
      </w:rPr>
    </w:lvl>
    <w:lvl w:ilvl="1" w:tplc="DBBC5240">
      <w:numFmt w:val="bullet"/>
      <w:lvlText w:val="•"/>
      <w:lvlJc w:val="left"/>
      <w:pPr>
        <w:ind w:left="301" w:hanging="100"/>
      </w:pPr>
      <w:rPr>
        <w:rFonts w:hint="default"/>
      </w:rPr>
    </w:lvl>
    <w:lvl w:ilvl="2" w:tplc="BCE42808">
      <w:numFmt w:val="bullet"/>
      <w:lvlText w:val="•"/>
      <w:lvlJc w:val="left"/>
      <w:pPr>
        <w:ind w:left="443" w:hanging="100"/>
      </w:pPr>
      <w:rPr>
        <w:rFonts w:hint="default"/>
      </w:rPr>
    </w:lvl>
    <w:lvl w:ilvl="3" w:tplc="38D23582">
      <w:numFmt w:val="bullet"/>
      <w:lvlText w:val="•"/>
      <w:lvlJc w:val="left"/>
      <w:pPr>
        <w:ind w:left="585" w:hanging="100"/>
      </w:pPr>
      <w:rPr>
        <w:rFonts w:hint="default"/>
      </w:rPr>
    </w:lvl>
    <w:lvl w:ilvl="4" w:tplc="1528E702">
      <w:numFmt w:val="bullet"/>
      <w:lvlText w:val="•"/>
      <w:lvlJc w:val="left"/>
      <w:pPr>
        <w:ind w:left="726" w:hanging="100"/>
      </w:pPr>
      <w:rPr>
        <w:rFonts w:hint="default"/>
      </w:rPr>
    </w:lvl>
    <w:lvl w:ilvl="5" w:tplc="F2E86178">
      <w:numFmt w:val="bullet"/>
      <w:lvlText w:val="•"/>
      <w:lvlJc w:val="left"/>
      <w:pPr>
        <w:ind w:left="868" w:hanging="100"/>
      </w:pPr>
      <w:rPr>
        <w:rFonts w:hint="default"/>
      </w:rPr>
    </w:lvl>
    <w:lvl w:ilvl="6" w:tplc="B73047E8">
      <w:numFmt w:val="bullet"/>
      <w:lvlText w:val="•"/>
      <w:lvlJc w:val="left"/>
      <w:pPr>
        <w:ind w:left="1010" w:hanging="100"/>
      </w:pPr>
      <w:rPr>
        <w:rFonts w:hint="default"/>
      </w:rPr>
    </w:lvl>
    <w:lvl w:ilvl="7" w:tplc="F1420406">
      <w:numFmt w:val="bullet"/>
      <w:lvlText w:val="•"/>
      <w:lvlJc w:val="left"/>
      <w:pPr>
        <w:ind w:left="1151" w:hanging="100"/>
      </w:pPr>
      <w:rPr>
        <w:rFonts w:hint="default"/>
      </w:rPr>
    </w:lvl>
    <w:lvl w:ilvl="8" w:tplc="D020E8DC">
      <w:numFmt w:val="bullet"/>
      <w:lvlText w:val="•"/>
      <w:lvlJc w:val="left"/>
      <w:pPr>
        <w:ind w:left="1293" w:hanging="100"/>
      </w:pPr>
      <w:rPr>
        <w:rFonts w:hint="default"/>
      </w:rPr>
    </w:lvl>
  </w:abstractNum>
  <w:abstractNum w:abstractNumId="59" w15:restartNumberingAfterBreak="0">
    <w:nsid w:val="03865769"/>
    <w:multiLevelType w:val="hybridMultilevel"/>
    <w:tmpl w:val="574C96BE"/>
    <w:lvl w:ilvl="0" w:tplc="942E524A">
      <w:numFmt w:val="bullet"/>
      <w:lvlText w:val=""/>
      <w:lvlJc w:val="left"/>
      <w:pPr>
        <w:ind w:left="156" w:hanging="100"/>
      </w:pPr>
      <w:rPr>
        <w:rFonts w:ascii="Symbol" w:eastAsia="Symbol" w:hAnsi="Symbol" w:cs="Symbol" w:hint="default"/>
        <w:color w:val="231F20"/>
        <w:w w:val="100"/>
        <w:sz w:val="14"/>
        <w:szCs w:val="14"/>
      </w:rPr>
    </w:lvl>
    <w:lvl w:ilvl="1" w:tplc="6674D736">
      <w:numFmt w:val="bullet"/>
      <w:lvlText w:val="•"/>
      <w:lvlJc w:val="left"/>
      <w:pPr>
        <w:ind w:left="301" w:hanging="100"/>
      </w:pPr>
      <w:rPr>
        <w:rFonts w:hint="default"/>
      </w:rPr>
    </w:lvl>
    <w:lvl w:ilvl="2" w:tplc="BA2EE5B4">
      <w:numFmt w:val="bullet"/>
      <w:lvlText w:val="•"/>
      <w:lvlJc w:val="left"/>
      <w:pPr>
        <w:ind w:left="443" w:hanging="100"/>
      </w:pPr>
      <w:rPr>
        <w:rFonts w:hint="default"/>
      </w:rPr>
    </w:lvl>
    <w:lvl w:ilvl="3" w:tplc="D3FAB8F4">
      <w:numFmt w:val="bullet"/>
      <w:lvlText w:val="•"/>
      <w:lvlJc w:val="left"/>
      <w:pPr>
        <w:ind w:left="585" w:hanging="100"/>
      </w:pPr>
      <w:rPr>
        <w:rFonts w:hint="default"/>
      </w:rPr>
    </w:lvl>
    <w:lvl w:ilvl="4" w:tplc="02B2B33C">
      <w:numFmt w:val="bullet"/>
      <w:lvlText w:val="•"/>
      <w:lvlJc w:val="left"/>
      <w:pPr>
        <w:ind w:left="726" w:hanging="100"/>
      </w:pPr>
      <w:rPr>
        <w:rFonts w:hint="default"/>
      </w:rPr>
    </w:lvl>
    <w:lvl w:ilvl="5" w:tplc="7BF87D64">
      <w:numFmt w:val="bullet"/>
      <w:lvlText w:val="•"/>
      <w:lvlJc w:val="left"/>
      <w:pPr>
        <w:ind w:left="868" w:hanging="100"/>
      </w:pPr>
      <w:rPr>
        <w:rFonts w:hint="default"/>
      </w:rPr>
    </w:lvl>
    <w:lvl w:ilvl="6" w:tplc="FA74C53E">
      <w:numFmt w:val="bullet"/>
      <w:lvlText w:val="•"/>
      <w:lvlJc w:val="left"/>
      <w:pPr>
        <w:ind w:left="1010" w:hanging="100"/>
      </w:pPr>
      <w:rPr>
        <w:rFonts w:hint="default"/>
      </w:rPr>
    </w:lvl>
    <w:lvl w:ilvl="7" w:tplc="742E6EFC">
      <w:numFmt w:val="bullet"/>
      <w:lvlText w:val="•"/>
      <w:lvlJc w:val="left"/>
      <w:pPr>
        <w:ind w:left="1151" w:hanging="100"/>
      </w:pPr>
      <w:rPr>
        <w:rFonts w:hint="default"/>
      </w:rPr>
    </w:lvl>
    <w:lvl w:ilvl="8" w:tplc="1D8CCAB2">
      <w:numFmt w:val="bullet"/>
      <w:lvlText w:val="•"/>
      <w:lvlJc w:val="left"/>
      <w:pPr>
        <w:ind w:left="1293" w:hanging="100"/>
      </w:pPr>
      <w:rPr>
        <w:rFonts w:hint="default"/>
      </w:rPr>
    </w:lvl>
  </w:abstractNum>
  <w:abstractNum w:abstractNumId="60" w15:restartNumberingAfterBreak="0">
    <w:nsid w:val="03AD44A5"/>
    <w:multiLevelType w:val="hybridMultilevel"/>
    <w:tmpl w:val="5D502290"/>
    <w:lvl w:ilvl="0" w:tplc="5A48EC7C">
      <w:numFmt w:val="bullet"/>
      <w:lvlText w:val=""/>
      <w:lvlJc w:val="left"/>
      <w:pPr>
        <w:ind w:left="157" w:hanging="100"/>
      </w:pPr>
      <w:rPr>
        <w:rFonts w:ascii="Symbol" w:eastAsia="Symbol" w:hAnsi="Symbol" w:cs="Symbol" w:hint="default"/>
        <w:color w:val="231F20"/>
        <w:w w:val="100"/>
        <w:sz w:val="14"/>
        <w:szCs w:val="14"/>
      </w:rPr>
    </w:lvl>
    <w:lvl w:ilvl="1" w:tplc="EC0A0196">
      <w:numFmt w:val="bullet"/>
      <w:lvlText w:val="•"/>
      <w:lvlJc w:val="left"/>
      <w:pPr>
        <w:ind w:left="426" w:hanging="100"/>
      </w:pPr>
      <w:rPr>
        <w:rFonts w:hint="default"/>
      </w:rPr>
    </w:lvl>
    <w:lvl w:ilvl="2" w:tplc="2A426CB0">
      <w:numFmt w:val="bullet"/>
      <w:lvlText w:val="•"/>
      <w:lvlJc w:val="left"/>
      <w:pPr>
        <w:ind w:left="692" w:hanging="100"/>
      </w:pPr>
      <w:rPr>
        <w:rFonts w:hint="default"/>
      </w:rPr>
    </w:lvl>
    <w:lvl w:ilvl="3" w:tplc="238AC050">
      <w:numFmt w:val="bullet"/>
      <w:lvlText w:val="•"/>
      <w:lvlJc w:val="left"/>
      <w:pPr>
        <w:ind w:left="959" w:hanging="100"/>
      </w:pPr>
      <w:rPr>
        <w:rFonts w:hint="default"/>
      </w:rPr>
    </w:lvl>
    <w:lvl w:ilvl="4" w:tplc="2D547A6E">
      <w:numFmt w:val="bullet"/>
      <w:lvlText w:val="•"/>
      <w:lvlJc w:val="left"/>
      <w:pPr>
        <w:ind w:left="1225" w:hanging="100"/>
      </w:pPr>
      <w:rPr>
        <w:rFonts w:hint="default"/>
      </w:rPr>
    </w:lvl>
    <w:lvl w:ilvl="5" w:tplc="5DCCF602">
      <w:numFmt w:val="bullet"/>
      <w:lvlText w:val="•"/>
      <w:lvlJc w:val="left"/>
      <w:pPr>
        <w:ind w:left="1492" w:hanging="100"/>
      </w:pPr>
      <w:rPr>
        <w:rFonts w:hint="default"/>
      </w:rPr>
    </w:lvl>
    <w:lvl w:ilvl="6" w:tplc="6BEC9E5A">
      <w:numFmt w:val="bullet"/>
      <w:lvlText w:val="•"/>
      <w:lvlJc w:val="left"/>
      <w:pPr>
        <w:ind w:left="1758" w:hanging="100"/>
      </w:pPr>
      <w:rPr>
        <w:rFonts w:hint="default"/>
      </w:rPr>
    </w:lvl>
    <w:lvl w:ilvl="7" w:tplc="668EB764">
      <w:numFmt w:val="bullet"/>
      <w:lvlText w:val="•"/>
      <w:lvlJc w:val="left"/>
      <w:pPr>
        <w:ind w:left="2024" w:hanging="100"/>
      </w:pPr>
      <w:rPr>
        <w:rFonts w:hint="default"/>
      </w:rPr>
    </w:lvl>
    <w:lvl w:ilvl="8" w:tplc="F4420EC2">
      <w:numFmt w:val="bullet"/>
      <w:lvlText w:val="•"/>
      <w:lvlJc w:val="left"/>
      <w:pPr>
        <w:ind w:left="2291" w:hanging="100"/>
      </w:pPr>
      <w:rPr>
        <w:rFonts w:hint="default"/>
      </w:rPr>
    </w:lvl>
  </w:abstractNum>
  <w:abstractNum w:abstractNumId="61" w15:restartNumberingAfterBreak="0">
    <w:nsid w:val="03B308AD"/>
    <w:multiLevelType w:val="hybridMultilevel"/>
    <w:tmpl w:val="F740DA52"/>
    <w:lvl w:ilvl="0" w:tplc="04D020D0">
      <w:numFmt w:val="bullet"/>
      <w:lvlText w:val=""/>
      <w:lvlJc w:val="left"/>
      <w:pPr>
        <w:ind w:left="156" w:hanging="100"/>
      </w:pPr>
      <w:rPr>
        <w:rFonts w:ascii="Symbol" w:eastAsia="Symbol" w:hAnsi="Symbol" w:cs="Symbol" w:hint="default"/>
        <w:color w:val="231F20"/>
        <w:w w:val="100"/>
        <w:sz w:val="14"/>
        <w:szCs w:val="14"/>
      </w:rPr>
    </w:lvl>
    <w:lvl w:ilvl="1" w:tplc="3800DE00">
      <w:numFmt w:val="bullet"/>
      <w:lvlText w:val="•"/>
      <w:lvlJc w:val="left"/>
      <w:pPr>
        <w:ind w:left="398" w:hanging="100"/>
      </w:pPr>
      <w:rPr>
        <w:rFonts w:hint="default"/>
      </w:rPr>
    </w:lvl>
    <w:lvl w:ilvl="2" w:tplc="3AAEB02A">
      <w:numFmt w:val="bullet"/>
      <w:lvlText w:val="•"/>
      <w:lvlJc w:val="left"/>
      <w:pPr>
        <w:ind w:left="636" w:hanging="100"/>
      </w:pPr>
      <w:rPr>
        <w:rFonts w:hint="default"/>
      </w:rPr>
    </w:lvl>
    <w:lvl w:ilvl="3" w:tplc="D578F864">
      <w:numFmt w:val="bullet"/>
      <w:lvlText w:val="•"/>
      <w:lvlJc w:val="left"/>
      <w:pPr>
        <w:ind w:left="874" w:hanging="100"/>
      </w:pPr>
      <w:rPr>
        <w:rFonts w:hint="default"/>
      </w:rPr>
    </w:lvl>
    <w:lvl w:ilvl="4" w:tplc="9AAE9D3C">
      <w:numFmt w:val="bullet"/>
      <w:lvlText w:val="•"/>
      <w:lvlJc w:val="left"/>
      <w:pPr>
        <w:ind w:left="1112" w:hanging="100"/>
      </w:pPr>
      <w:rPr>
        <w:rFonts w:hint="default"/>
      </w:rPr>
    </w:lvl>
    <w:lvl w:ilvl="5" w:tplc="A5507B84">
      <w:numFmt w:val="bullet"/>
      <w:lvlText w:val="•"/>
      <w:lvlJc w:val="left"/>
      <w:pPr>
        <w:ind w:left="1350" w:hanging="100"/>
      </w:pPr>
      <w:rPr>
        <w:rFonts w:hint="default"/>
      </w:rPr>
    </w:lvl>
    <w:lvl w:ilvl="6" w:tplc="EDE863F4">
      <w:numFmt w:val="bullet"/>
      <w:lvlText w:val="•"/>
      <w:lvlJc w:val="left"/>
      <w:pPr>
        <w:ind w:left="1588" w:hanging="100"/>
      </w:pPr>
      <w:rPr>
        <w:rFonts w:hint="default"/>
      </w:rPr>
    </w:lvl>
    <w:lvl w:ilvl="7" w:tplc="18E68242">
      <w:numFmt w:val="bullet"/>
      <w:lvlText w:val="•"/>
      <w:lvlJc w:val="left"/>
      <w:pPr>
        <w:ind w:left="1826" w:hanging="100"/>
      </w:pPr>
      <w:rPr>
        <w:rFonts w:hint="default"/>
      </w:rPr>
    </w:lvl>
    <w:lvl w:ilvl="8" w:tplc="7EBC6E28">
      <w:numFmt w:val="bullet"/>
      <w:lvlText w:val="•"/>
      <w:lvlJc w:val="left"/>
      <w:pPr>
        <w:ind w:left="2064" w:hanging="100"/>
      </w:pPr>
      <w:rPr>
        <w:rFonts w:hint="default"/>
      </w:rPr>
    </w:lvl>
  </w:abstractNum>
  <w:abstractNum w:abstractNumId="62" w15:restartNumberingAfterBreak="0">
    <w:nsid w:val="03E51C69"/>
    <w:multiLevelType w:val="hybridMultilevel"/>
    <w:tmpl w:val="29A2A3B6"/>
    <w:lvl w:ilvl="0" w:tplc="F9B08D74">
      <w:numFmt w:val="bullet"/>
      <w:lvlText w:val=""/>
      <w:lvlJc w:val="left"/>
      <w:pPr>
        <w:ind w:left="156" w:hanging="100"/>
      </w:pPr>
      <w:rPr>
        <w:rFonts w:ascii="Symbol" w:eastAsia="Symbol" w:hAnsi="Symbol" w:cs="Symbol" w:hint="default"/>
        <w:color w:val="231F20"/>
        <w:w w:val="100"/>
        <w:sz w:val="14"/>
        <w:szCs w:val="14"/>
      </w:rPr>
    </w:lvl>
    <w:lvl w:ilvl="1" w:tplc="070CB2EA">
      <w:numFmt w:val="bullet"/>
      <w:lvlText w:val="•"/>
      <w:lvlJc w:val="left"/>
      <w:pPr>
        <w:ind w:left="398" w:hanging="100"/>
      </w:pPr>
      <w:rPr>
        <w:rFonts w:hint="default"/>
      </w:rPr>
    </w:lvl>
    <w:lvl w:ilvl="2" w:tplc="3198E65E">
      <w:numFmt w:val="bullet"/>
      <w:lvlText w:val="•"/>
      <w:lvlJc w:val="left"/>
      <w:pPr>
        <w:ind w:left="636" w:hanging="100"/>
      </w:pPr>
      <w:rPr>
        <w:rFonts w:hint="default"/>
      </w:rPr>
    </w:lvl>
    <w:lvl w:ilvl="3" w:tplc="4316F096">
      <w:numFmt w:val="bullet"/>
      <w:lvlText w:val="•"/>
      <w:lvlJc w:val="left"/>
      <w:pPr>
        <w:ind w:left="874" w:hanging="100"/>
      </w:pPr>
      <w:rPr>
        <w:rFonts w:hint="default"/>
      </w:rPr>
    </w:lvl>
    <w:lvl w:ilvl="4" w:tplc="50182E58">
      <w:numFmt w:val="bullet"/>
      <w:lvlText w:val="•"/>
      <w:lvlJc w:val="left"/>
      <w:pPr>
        <w:ind w:left="1112" w:hanging="100"/>
      </w:pPr>
      <w:rPr>
        <w:rFonts w:hint="default"/>
      </w:rPr>
    </w:lvl>
    <w:lvl w:ilvl="5" w:tplc="6C2EC28C">
      <w:numFmt w:val="bullet"/>
      <w:lvlText w:val="•"/>
      <w:lvlJc w:val="left"/>
      <w:pPr>
        <w:ind w:left="1350" w:hanging="100"/>
      </w:pPr>
      <w:rPr>
        <w:rFonts w:hint="default"/>
      </w:rPr>
    </w:lvl>
    <w:lvl w:ilvl="6" w:tplc="F4785AB4">
      <w:numFmt w:val="bullet"/>
      <w:lvlText w:val="•"/>
      <w:lvlJc w:val="left"/>
      <w:pPr>
        <w:ind w:left="1588" w:hanging="100"/>
      </w:pPr>
      <w:rPr>
        <w:rFonts w:hint="default"/>
      </w:rPr>
    </w:lvl>
    <w:lvl w:ilvl="7" w:tplc="0FF8F958">
      <w:numFmt w:val="bullet"/>
      <w:lvlText w:val="•"/>
      <w:lvlJc w:val="left"/>
      <w:pPr>
        <w:ind w:left="1826" w:hanging="100"/>
      </w:pPr>
      <w:rPr>
        <w:rFonts w:hint="default"/>
      </w:rPr>
    </w:lvl>
    <w:lvl w:ilvl="8" w:tplc="3F749D58">
      <w:numFmt w:val="bullet"/>
      <w:lvlText w:val="•"/>
      <w:lvlJc w:val="left"/>
      <w:pPr>
        <w:ind w:left="2064" w:hanging="100"/>
      </w:pPr>
      <w:rPr>
        <w:rFonts w:hint="default"/>
      </w:rPr>
    </w:lvl>
  </w:abstractNum>
  <w:abstractNum w:abstractNumId="63" w15:restartNumberingAfterBreak="0">
    <w:nsid w:val="04030B53"/>
    <w:multiLevelType w:val="hybridMultilevel"/>
    <w:tmpl w:val="1F2AEEFE"/>
    <w:lvl w:ilvl="0" w:tplc="35D47F2E">
      <w:numFmt w:val="bullet"/>
      <w:lvlText w:val=""/>
      <w:lvlJc w:val="left"/>
      <w:pPr>
        <w:ind w:left="157" w:hanging="100"/>
      </w:pPr>
      <w:rPr>
        <w:rFonts w:ascii="Symbol" w:eastAsia="Symbol" w:hAnsi="Symbol" w:cs="Symbol" w:hint="default"/>
        <w:color w:val="231F20"/>
        <w:w w:val="100"/>
        <w:sz w:val="14"/>
        <w:szCs w:val="14"/>
      </w:rPr>
    </w:lvl>
    <w:lvl w:ilvl="1" w:tplc="967EEFF2">
      <w:numFmt w:val="bullet"/>
      <w:lvlText w:val="•"/>
      <w:lvlJc w:val="left"/>
      <w:pPr>
        <w:ind w:left="426" w:hanging="100"/>
      </w:pPr>
      <w:rPr>
        <w:rFonts w:hint="default"/>
      </w:rPr>
    </w:lvl>
    <w:lvl w:ilvl="2" w:tplc="9508E958">
      <w:numFmt w:val="bullet"/>
      <w:lvlText w:val="•"/>
      <w:lvlJc w:val="left"/>
      <w:pPr>
        <w:ind w:left="692" w:hanging="100"/>
      </w:pPr>
      <w:rPr>
        <w:rFonts w:hint="default"/>
      </w:rPr>
    </w:lvl>
    <w:lvl w:ilvl="3" w:tplc="60DC7684">
      <w:numFmt w:val="bullet"/>
      <w:lvlText w:val="•"/>
      <w:lvlJc w:val="left"/>
      <w:pPr>
        <w:ind w:left="959" w:hanging="100"/>
      </w:pPr>
      <w:rPr>
        <w:rFonts w:hint="default"/>
      </w:rPr>
    </w:lvl>
    <w:lvl w:ilvl="4" w:tplc="144E5D14">
      <w:numFmt w:val="bullet"/>
      <w:lvlText w:val="•"/>
      <w:lvlJc w:val="left"/>
      <w:pPr>
        <w:ind w:left="1225" w:hanging="100"/>
      </w:pPr>
      <w:rPr>
        <w:rFonts w:hint="default"/>
      </w:rPr>
    </w:lvl>
    <w:lvl w:ilvl="5" w:tplc="1F8A37BA">
      <w:numFmt w:val="bullet"/>
      <w:lvlText w:val="•"/>
      <w:lvlJc w:val="left"/>
      <w:pPr>
        <w:ind w:left="1492" w:hanging="100"/>
      </w:pPr>
      <w:rPr>
        <w:rFonts w:hint="default"/>
      </w:rPr>
    </w:lvl>
    <w:lvl w:ilvl="6" w:tplc="3A264E92">
      <w:numFmt w:val="bullet"/>
      <w:lvlText w:val="•"/>
      <w:lvlJc w:val="left"/>
      <w:pPr>
        <w:ind w:left="1758" w:hanging="100"/>
      </w:pPr>
      <w:rPr>
        <w:rFonts w:hint="default"/>
      </w:rPr>
    </w:lvl>
    <w:lvl w:ilvl="7" w:tplc="BBB46A00">
      <w:numFmt w:val="bullet"/>
      <w:lvlText w:val="•"/>
      <w:lvlJc w:val="left"/>
      <w:pPr>
        <w:ind w:left="2024" w:hanging="100"/>
      </w:pPr>
      <w:rPr>
        <w:rFonts w:hint="default"/>
      </w:rPr>
    </w:lvl>
    <w:lvl w:ilvl="8" w:tplc="EC4A6496">
      <w:numFmt w:val="bullet"/>
      <w:lvlText w:val="•"/>
      <w:lvlJc w:val="left"/>
      <w:pPr>
        <w:ind w:left="2291" w:hanging="100"/>
      </w:pPr>
      <w:rPr>
        <w:rFonts w:hint="default"/>
      </w:rPr>
    </w:lvl>
  </w:abstractNum>
  <w:abstractNum w:abstractNumId="64" w15:restartNumberingAfterBreak="0">
    <w:nsid w:val="04316F00"/>
    <w:multiLevelType w:val="hybridMultilevel"/>
    <w:tmpl w:val="285E0B90"/>
    <w:lvl w:ilvl="0" w:tplc="CF56BA40">
      <w:numFmt w:val="bullet"/>
      <w:lvlText w:val=""/>
      <w:lvlJc w:val="left"/>
      <w:pPr>
        <w:ind w:left="156" w:hanging="100"/>
      </w:pPr>
      <w:rPr>
        <w:rFonts w:ascii="Symbol" w:eastAsia="Symbol" w:hAnsi="Symbol" w:cs="Symbol" w:hint="default"/>
        <w:color w:val="231F20"/>
        <w:w w:val="100"/>
        <w:sz w:val="14"/>
        <w:szCs w:val="14"/>
      </w:rPr>
    </w:lvl>
    <w:lvl w:ilvl="1" w:tplc="CF6C0E72">
      <w:numFmt w:val="bullet"/>
      <w:lvlText w:val="•"/>
      <w:lvlJc w:val="left"/>
      <w:pPr>
        <w:ind w:left="398" w:hanging="100"/>
      </w:pPr>
      <w:rPr>
        <w:rFonts w:hint="default"/>
      </w:rPr>
    </w:lvl>
    <w:lvl w:ilvl="2" w:tplc="A8B6CA56">
      <w:numFmt w:val="bullet"/>
      <w:lvlText w:val="•"/>
      <w:lvlJc w:val="left"/>
      <w:pPr>
        <w:ind w:left="636" w:hanging="100"/>
      </w:pPr>
      <w:rPr>
        <w:rFonts w:hint="default"/>
      </w:rPr>
    </w:lvl>
    <w:lvl w:ilvl="3" w:tplc="D4BA69C6">
      <w:numFmt w:val="bullet"/>
      <w:lvlText w:val="•"/>
      <w:lvlJc w:val="left"/>
      <w:pPr>
        <w:ind w:left="874" w:hanging="100"/>
      </w:pPr>
      <w:rPr>
        <w:rFonts w:hint="default"/>
      </w:rPr>
    </w:lvl>
    <w:lvl w:ilvl="4" w:tplc="3306EF78">
      <w:numFmt w:val="bullet"/>
      <w:lvlText w:val="•"/>
      <w:lvlJc w:val="left"/>
      <w:pPr>
        <w:ind w:left="1112" w:hanging="100"/>
      </w:pPr>
      <w:rPr>
        <w:rFonts w:hint="default"/>
      </w:rPr>
    </w:lvl>
    <w:lvl w:ilvl="5" w:tplc="737E28D6">
      <w:numFmt w:val="bullet"/>
      <w:lvlText w:val="•"/>
      <w:lvlJc w:val="left"/>
      <w:pPr>
        <w:ind w:left="1350" w:hanging="100"/>
      </w:pPr>
      <w:rPr>
        <w:rFonts w:hint="default"/>
      </w:rPr>
    </w:lvl>
    <w:lvl w:ilvl="6" w:tplc="E3AAA6EA">
      <w:numFmt w:val="bullet"/>
      <w:lvlText w:val="•"/>
      <w:lvlJc w:val="left"/>
      <w:pPr>
        <w:ind w:left="1588" w:hanging="100"/>
      </w:pPr>
      <w:rPr>
        <w:rFonts w:hint="default"/>
      </w:rPr>
    </w:lvl>
    <w:lvl w:ilvl="7" w:tplc="E25C8004">
      <w:numFmt w:val="bullet"/>
      <w:lvlText w:val="•"/>
      <w:lvlJc w:val="left"/>
      <w:pPr>
        <w:ind w:left="1826" w:hanging="100"/>
      </w:pPr>
      <w:rPr>
        <w:rFonts w:hint="default"/>
      </w:rPr>
    </w:lvl>
    <w:lvl w:ilvl="8" w:tplc="BC244434">
      <w:numFmt w:val="bullet"/>
      <w:lvlText w:val="•"/>
      <w:lvlJc w:val="left"/>
      <w:pPr>
        <w:ind w:left="2064" w:hanging="100"/>
      </w:pPr>
      <w:rPr>
        <w:rFonts w:hint="default"/>
      </w:rPr>
    </w:lvl>
  </w:abstractNum>
  <w:abstractNum w:abstractNumId="65" w15:restartNumberingAfterBreak="0">
    <w:nsid w:val="04387C13"/>
    <w:multiLevelType w:val="hybridMultilevel"/>
    <w:tmpl w:val="4B36E392"/>
    <w:lvl w:ilvl="0" w:tplc="F1224E38">
      <w:numFmt w:val="bullet"/>
      <w:lvlText w:val=""/>
      <w:lvlJc w:val="left"/>
      <w:pPr>
        <w:ind w:left="157" w:hanging="100"/>
      </w:pPr>
      <w:rPr>
        <w:rFonts w:ascii="Symbol" w:eastAsia="Symbol" w:hAnsi="Symbol" w:cs="Symbol" w:hint="default"/>
        <w:color w:val="231F20"/>
        <w:w w:val="100"/>
        <w:sz w:val="14"/>
        <w:szCs w:val="14"/>
      </w:rPr>
    </w:lvl>
    <w:lvl w:ilvl="1" w:tplc="1C2E5A9C">
      <w:numFmt w:val="bullet"/>
      <w:lvlText w:val="•"/>
      <w:lvlJc w:val="left"/>
      <w:pPr>
        <w:ind w:left="426" w:hanging="100"/>
      </w:pPr>
      <w:rPr>
        <w:rFonts w:hint="default"/>
      </w:rPr>
    </w:lvl>
    <w:lvl w:ilvl="2" w:tplc="98FEB8C2">
      <w:numFmt w:val="bullet"/>
      <w:lvlText w:val="•"/>
      <w:lvlJc w:val="left"/>
      <w:pPr>
        <w:ind w:left="692" w:hanging="100"/>
      </w:pPr>
      <w:rPr>
        <w:rFonts w:hint="default"/>
      </w:rPr>
    </w:lvl>
    <w:lvl w:ilvl="3" w:tplc="95EAB3B0">
      <w:numFmt w:val="bullet"/>
      <w:lvlText w:val="•"/>
      <w:lvlJc w:val="left"/>
      <w:pPr>
        <w:ind w:left="959" w:hanging="100"/>
      </w:pPr>
      <w:rPr>
        <w:rFonts w:hint="default"/>
      </w:rPr>
    </w:lvl>
    <w:lvl w:ilvl="4" w:tplc="1E9CA688">
      <w:numFmt w:val="bullet"/>
      <w:lvlText w:val="•"/>
      <w:lvlJc w:val="left"/>
      <w:pPr>
        <w:ind w:left="1225" w:hanging="100"/>
      </w:pPr>
      <w:rPr>
        <w:rFonts w:hint="default"/>
      </w:rPr>
    </w:lvl>
    <w:lvl w:ilvl="5" w:tplc="488EE430">
      <w:numFmt w:val="bullet"/>
      <w:lvlText w:val="•"/>
      <w:lvlJc w:val="left"/>
      <w:pPr>
        <w:ind w:left="1492" w:hanging="100"/>
      </w:pPr>
      <w:rPr>
        <w:rFonts w:hint="default"/>
      </w:rPr>
    </w:lvl>
    <w:lvl w:ilvl="6" w:tplc="8B2E0BA2">
      <w:numFmt w:val="bullet"/>
      <w:lvlText w:val="•"/>
      <w:lvlJc w:val="left"/>
      <w:pPr>
        <w:ind w:left="1758" w:hanging="100"/>
      </w:pPr>
      <w:rPr>
        <w:rFonts w:hint="default"/>
      </w:rPr>
    </w:lvl>
    <w:lvl w:ilvl="7" w:tplc="C9288E0A">
      <w:numFmt w:val="bullet"/>
      <w:lvlText w:val="•"/>
      <w:lvlJc w:val="left"/>
      <w:pPr>
        <w:ind w:left="2024" w:hanging="100"/>
      </w:pPr>
      <w:rPr>
        <w:rFonts w:hint="default"/>
      </w:rPr>
    </w:lvl>
    <w:lvl w:ilvl="8" w:tplc="AFB8926E">
      <w:numFmt w:val="bullet"/>
      <w:lvlText w:val="•"/>
      <w:lvlJc w:val="left"/>
      <w:pPr>
        <w:ind w:left="2291" w:hanging="100"/>
      </w:pPr>
      <w:rPr>
        <w:rFonts w:hint="default"/>
      </w:rPr>
    </w:lvl>
  </w:abstractNum>
  <w:abstractNum w:abstractNumId="66" w15:restartNumberingAfterBreak="0">
    <w:nsid w:val="044B54B4"/>
    <w:multiLevelType w:val="hybridMultilevel"/>
    <w:tmpl w:val="6AE0939A"/>
    <w:lvl w:ilvl="0" w:tplc="24AAEBA0">
      <w:numFmt w:val="bullet"/>
      <w:lvlText w:val=""/>
      <w:lvlJc w:val="left"/>
      <w:pPr>
        <w:ind w:left="157" w:hanging="100"/>
      </w:pPr>
      <w:rPr>
        <w:rFonts w:ascii="Symbol" w:eastAsia="Symbol" w:hAnsi="Symbol" w:cs="Symbol" w:hint="default"/>
        <w:color w:val="231F20"/>
        <w:w w:val="100"/>
        <w:sz w:val="14"/>
        <w:szCs w:val="14"/>
      </w:rPr>
    </w:lvl>
    <w:lvl w:ilvl="1" w:tplc="E2BCC2D4">
      <w:numFmt w:val="bullet"/>
      <w:lvlText w:val="•"/>
      <w:lvlJc w:val="left"/>
      <w:pPr>
        <w:ind w:left="426" w:hanging="100"/>
      </w:pPr>
      <w:rPr>
        <w:rFonts w:hint="default"/>
      </w:rPr>
    </w:lvl>
    <w:lvl w:ilvl="2" w:tplc="C11256B4">
      <w:numFmt w:val="bullet"/>
      <w:lvlText w:val="•"/>
      <w:lvlJc w:val="left"/>
      <w:pPr>
        <w:ind w:left="692" w:hanging="100"/>
      </w:pPr>
      <w:rPr>
        <w:rFonts w:hint="default"/>
      </w:rPr>
    </w:lvl>
    <w:lvl w:ilvl="3" w:tplc="C6B20E6E">
      <w:numFmt w:val="bullet"/>
      <w:lvlText w:val="•"/>
      <w:lvlJc w:val="left"/>
      <w:pPr>
        <w:ind w:left="959" w:hanging="100"/>
      </w:pPr>
      <w:rPr>
        <w:rFonts w:hint="default"/>
      </w:rPr>
    </w:lvl>
    <w:lvl w:ilvl="4" w:tplc="CCC06C56">
      <w:numFmt w:val="bullet"/>
      <w:lvlText w:val="•"/>
      <w:lvlJc w:val="left"/>
      <w:pPr>
        <w:ind w:left="1225" w:hanging="100"/>
      </w:pPr>
      <w:rPr>
        <w:rFonts w:hint="default"/>
      </w:rPr>
    </w:lvl>
    <w:lvl w:ilvl="5" w:tplc="AAE2419E">
      <w:numFmt w:val="bullet"/>
      <w:lvlText w:val="•"/>
      <w:lvlJc w:val="left"/>
      <w:pPr>
        <w:ind w:left="1492" w:hanging="100"/>
      </w:pPr>
      <w:rPr>
        <w:rFonts w:hint="default"/>
      </w:rPr>
    </w:lvl>
    <w:lvl w:ilvl="6" w:tplc="CF080FF8">
      <w:numFmt w:val="bullet"/>
      <w:lvlText w:val="•"/>
      <w:lvlJc w:val="left"/>
      <w:pPr>
        <w:ind w:left="1758" w:hanging="100"/>
      </w:pPr>
      <w:rPr>
        <w:rFonts w:hint="default"/>
      </w:rPr>
    </w:lvl>
    <w:lvl w:ilvl="7" w:tplc="1084ED7E">
      <w:numFmt w:val="bullet"/>
      <w:lvlText w:val="•"/>
      <w:lvlJc w:val="left"/>
      <w:pPr>
        <w:ind w:left="2024" w:hanging="100"/>
      </w:pPr>
      <w:rPr>
        <w:rFonts w:hint="default"/>
      </w:rPr>
    </w:lvl>
    <w:lvl w:ilvl="8" w:tplc="BC5EE0B8">
      <w:numFmt w:val="bullet"/>
      <w:lvlText w:val="•"/>
      <w:lvlJc w:val="left"/>
      <w:pPr>
        <w:ind w:left="2291" w:hanging="100"/>
      </w:pPr>
      <w:rPr>
        <w:rFonts w:hint="default"/>
      </w:rPr>
    </w:lvl>
  </w:abstractNum>
  <w:abstractNum w:abstractNumId="67" w15:restartNumberingAfterBreak="0">
    <w:nsid w:val="047112BB"/>
    <w:multiLevelType w:val="hybridMultilevel"/>
    <w:tmpl w:val="846EEFD0"/>
    <w:lvl w:ilvl="0" w:tplc="7E48FAE0">
      <w:numFmt w:val="bullet"/>
      <w:lvlText w:val=""/>
      <w:lvlJc w:val="left"/>
      <w:pPr>
        <w:ind w:left="156" w:hanging="100"/>
      </w:pPr>
      <w:rPr>
        <w:rFonts w:ascii="Symbol" w:eastAsia="Symbol" w:hAnsi="Symbol" w:cs="Symbol" w:hint="default"/>
        <w:color w:val="231F20"/>
        <w:w w:val="100"/>
        <w:sz w:val="14"/>
        <w:szCs w:val="14"/>
      </w:rPr>
    </w:lvl>
    <w:lvl w:ilvl="1" w:tplc="162E63EC">
      <w:numFmt w:val="bullet"/>
      <w:lvlText w:val="•"/>
      <w:lvlJc w:val="left"/>
      <w:pPr>
        <w:ind w:left="398" w:hanging="100"/>
      </w:pPr>
      <w:rPr>
        <w:rFonts w:hint="default"/>
      </w:rPr>
    </w:lvl>
    <w:lvl w:ilvl="2" w:tplc="D48CBA1C">
      <w:numFmt w:val="bullet"/>
      <w:lvlText w:val="•"/>
      <w:lvlJc w:val="left"/>
      <w:pPr>
        <w:ind w:left="636" w:hanging="100"/>
      </w:pPr>
      <w:rPr>
        <w:rFonts w:hint="default"/>
      </w:rPr>
    </w:lvl>
    <w:lvl w:ilvl="3" w:tplc="453461B4">
      <w:numFmt w:val="bullet"/>
      <w:lvlText w:val="•"/>
      <w:lvlJc w:val="left"/>
      <w:pPr>
        <w:ind w:left="874" w:hanging="100"/>
      </w:pPr>
      <w:rPr>
        <w:rFonts w:hint="default"/>
      </w:rPr>
    </w:lvl>
    <w:lvl w:ilvl="4" w:tplc="A02AF74A">
      <w:numFmt w:val="bullet"/>
      <w:lvlText w:val="•"/>
      <w:lvlJc w:val="left"/>
      <w:pPr>
        <w:ind w:left="1112" w:hanging="100"/>
      </w:pPr>
      <w:rPr>
        <w:rFonts w:hint="default"/>
      </w:rPr>
    </w:lvl>
    <w:lvl w:ilvl="5" w:tplc="808E6B3C">
      <w:numFmt w:val="bullet"/>
      <w:lvlText w:val="•"/>
      <w:lvlJc w:val="left"/>
      <w:pPr>
        <w:ind w:left="1350" w:hanging="100"/>
      </w:pPr>
      <w:rPr>
        <w:rFonts w:hint="default"/>
      </w:rPr>
    </w:lvl>
    <w:lvl w:ilvl="6" w:tplc="71DA406A">
      <w:numFmt w:val="bullet"/>
      <w:lvlText w:val="•"/>
      <w:lvlJc w:val="left"/>
      <w:pPr>
        <w:ind w:left="1588" w:hanging="100"/>
      </w:pPr>
      <w:rPr>
        <w:rFonts w:hint="default"/>
      </w:rPr>
    </w:lvl>
    <w:lvl w:ilvl="7" w:tplc="B05405B6">
      <w:numFmt w:val="bullet"/>
      <w:lvlText w:val="•"/>
      <w:lvlJc w:val="left"/>
      <w:pPr>
        <w:ind w:left="1826" w:hanging="100"/>
      </w:pPr>
      <w:rPr>
        <w:rFonts w:hint="default"/>
      </w:rPr>
    </w:lvl>
    <w:lvl w:ilvl="8" w:tplc="69763556">
      <w:numFmt w:val="bullet"/>
      <w:lvlText w:val="•"/>
      <w:lvlJc w:val="left"/>
      <w:pPr>
        <w:ind w:left="2064" w:hanging="100"/>
      </w:pPr>
      <w:rPr>
        <w:rFonts w:hint="default"/>
      </w:rPr>
    </w:lvl>
  </w:abstractNum>
  <w:abstractNum w:abstractNumId="68" w15:restartNumberingAfterBreak="0">
    <w:nsid w:val="04782BE0"/>
    <w:multiLevelType w:val="hybridMultilevel"/>
    <w:tmpl w:val="D998411E"/>
    <w:lvl w:ilvl="0" w:tplc="73F03A0E">
      <w:numFmt w:val="bullet"/>
      <w:lvlText w:val=""/>
      <w:lvlJc w:val="left"/>
      <w:pPr>
        <w:ind w:left="156" w:hanging="100"/>
      </w:pPr>
      <w:rPr>
        <w:rFonts w:ascii="Symbol" w:eastAsia="Symbol" w:hAnsi="Symbol" w:cs="Symbol" w:hint="default"/>
        <w:color w:val="231F20"/>
        <w:w w:val="100"/>
        <w:sz w:val="14"/>
        <w:szCs w:val="14"/>
      </w:rPr>
    </w:lvl>
    <w:lvl w:ilvl="1" w:tplc="79B8E7F6">
      <w:numFmt w:val="bullet"/>
      <w:lvlText w:val="•"/>
      <w:lvlJc w:val="left"/>
      <w:pPr>
        <w:ind w:left="426" w:hanging="100"/>
      </w:pPr>
      <w:rPr>
        <w:rFonts w:hint="default"/>
      </w:rPr>
    </w:lvl>
    <w:lvl w:ilvl="2" w:tplc="87F690EE">
      <w:numFmt w:val="bullet"/>
      <w:lvlText w:val="•"/>
      <w:lvlJc w:val="left"/>
      <w:pPr>
        <w:ind w:left="692" w:hanging="100"/>
      </w:pPr>
      <w:rPr>
        <w:rFonts w:hint="default"/>
      </w:rPr>
    </w:lvl>
    <w:lvl w:ilvl="3" w:tplc="69D8F464">
      <w:numFmt w:val="bullet"/>
      <w:lvlText w:val="•"/>
      <w:lvlJc w:val="left"/>
      <w:pPr>
        <w:ind w:left="959" w:hanging="100"/>
      </w:pPr>
      <w:rPr>
        <w:rFonts w:hint="default"/>
      </w:rPr>
    </w:lvl>
    <w:lvl w:ilvl="4" w:tplc="697C3FA0">
      <w:numFmt w:val="bullet"/>
      <w:lvlText w:val="•"/>
      <w:lvlJc w:val="left"/>
      <w:pPr>
        <w:ind w:left="1225" w:hanging="100"/>
      </w:pPr>
      <w:rPr>
        <w:rFonts w:hint="default"/>
      </w:rPr>
    </w:lvl>
    <w:lvl w:ilvl="5" w:tplc="4FD656D4">
      <w:numFmt w:val="bullet"/>
      <w:lvlText w:val="•"/>
      <w:lvlJc w:val="left"/>
      <w:pPr>
        <w:ind w:left="1492" w:hanging="100"/>
      </w:pPr>
      <w:rPr>
        <w:rFonts w:hint="default"/>
      </w:rPr>
    </w:lvl>
    <w:lvl w:ilvl="6" w:tplc="5790C9D6">
      <w:numFmt w:val="bullet"/>
      <w:lvlText w:val="•"/>
      <w:lvlJc w:val="left"/>
      <w:pPr>
        <w:ind w:left="1758" w:hanging="100"/>
      </w:pPr>
      <w:rPr>
        <w:rFonts w:hint="default"/>
      </w:rPr>
    </w:lvl>
    <w:lvl w:ilvl="7" w:tplc="9B7A127A">
      <w:numFmt w:val="bullet"/>
      <w:lvlText w:val="•"/>
      <w:lvlJc w:val="left"/>
      <w:pPr>
        <w:ind w:left="2024" w:hanging="100"/>
      </w:pPr>
      <w:rPr>
        <w:rFonts w:hint="default"/>
      </w:rPr>
    </w:lvl>
    <w:lvl w:ilvl="8" w:tplc="31F8487A">
      <w:numFmt w:val="bullet"/>
      <w:lvlText w:val="•"/>
      <w:lvlJc w:val="left"/>
      <w:pPr>
        <w:ind w:left="2291" w:hanging="100"/>
      </w:pPr>
      <w:rPr>
        <w:rFonts w:hint="default"/>
      </w:rPr>
    </w:lvl>
  </w:abstractNum>
  <w:abstractNum w:abstractNumId="69" w15:restartNumberingAfterBreak="0">
    <w:nsid w:val="048C11E3"/>
    <w:multiLevelType w:val="hybridMultilevel"/>
    <w:tmpl w:val="AC26C992"/>
    <w:lvl w:ilvl="0" w:tplc="9438A438">
      <w:numFmt w:val="bullet"/>
      <w:lvlText w:val=""/>
      <w:lvlJc w:val="left"/>
      <w:pPr>
        <w:ind w:left="156" w:hanging="100"/>
      </w:pPr>
      <w:rPr>
        <w:rFonts w:ascii="Symbol" w:eastAsia="Symbol" w:hAnsi="Symbol" w:cs="Symbol" w:hint="default"/>
        <w:color w:val="231F20"/>
        <w:w w:val="100"/>
        <w:sz w:val="14"/>
        <w:szCs w:val="14"/>
      </w:rPr>
    </w:lvl>
    <w:lvl w:ilvl="1" w:tplc="7ACA2630">
      <w:numFmt w:val="bullet"/>
      <w:lvlText w:val="•"/>
      <w:lvlJc w:val="left"/>
      <w:pPr>
        <w:ind w:left="454" w:hanging="100"/>
      </w:pPr>
      <w:rPr>
        <w:rFonts w:hint="default"/>
      </w:rPr>
    </w:lvl>
    <w:lvl w:ilvl="2" w:tplc="5762BC34">
      <w:numFmt w:val="bullet"/>
      <w:lvlText w:val="•"/>
      <w:lvlJc w:val="left"/>
      <w:pPr>
        <w:ind w:left="749" w:hanging="100"/>
      </w:pPr>
      <w:rPr>
        <w:rFonts w:hint="default"/>
      </w:rPr>
    </w:lvl>
    <w:lvl w:ilvl="3" w:tplc="ADDAFDB0">
      <w:numFmt w:val="bullet"/>
      <w:lvlText w:val="•"/>
      <w:lvlJc w:val="left"/>
      <w:pPr>
        <w:ind w:left="1044" w:hanging="100"/>
      </w:pPr>
      <w:rPr>
        <w:rFonts w:hint="default"/>
      </w:rPr>
    </w:lvl>
    <w:lvl w:ilvl="4" w:tplc="152A2FCA">
      <w:numFmt w:val="bullet"/>
      <w:lvlText w:val="•"/>
      <w:lvlJc w:val="left"/>
      <w:pPr>
        <w:ind w:left="1339" w:hanging="100"/>
      </w:pPr>
      <w:rPr>
        <w:rFonts w:hint="default"/>
      </w:rPr>
    </w:lvl>
    <w:lvl w:ilvl="5" w:tplc="E1B6BFD2">
      <w:numFmt w:val="bullet"/>
      <w:lvlText w:val="•"/>
      <w:lvlJc w:val="left"/>
      <w:pPr>
        <w:ind w:left="1634" w:hanging="100"/>
      </w:pPr>
      <w:rPr>
        <w:rFonts w:hint="default"/>
      </w:rPr>
    </w:lvl>
    <w:lvl w:ilvl="6" w:tplc="6C0C96B6">
      <w:numFmt w:val="bullet"/>
      <w:lvlText w:val="•"/>
      <w:lvlJc w:val="left"/>
      <w:pPr>
        <w:ind w:left="1928" w:hanging="100"/>
      </w:pPr>
      <w:rPr>
        <w:rFonts w:hint="default"/>
      </w:rPr>
    </w:lvl>
    <w:lvl w:ilvl="7" w:tplc="67C20E26">
      <w:numFmt w:val="bullet"/>
      <w:lvlText w:val="•"/>
      <w:lvlJc w:val="left"/>
      <w:pPr>
        <w:ind w:left="2223" w:hanging="100"/>
      </w:pPr>
      <w:rPr>
        <w:rFonts w:hint="default"/>
      </w:rPr>
    </w:lvl>
    <w:lvl w:ilvl="8" w:tplc="1C36CD84">
      <w:numFmt w:val="bullet"/>
      <w:lvlText w:val="•"/>
      <w:lvlJc w:val="left"/>
      <w:pPr>
        <w:ind w:left="2518" w:hanging="100"/>
      </w:pPr>
      <w:rPr>
        <w:rFonts w:hint="default"/>
      </w:rPr>
    </w:lvl>
  </w:abstractNum>
  <w:abstractNum w:abstractNumId="70" w15:restartNumberingAfterBreak="0">
    <w:nsid w:val="04A733C8"/>
    <w:multiLevelType w:val="hybridMultilevel"/>
    <w:tmpl w:val="77F4602E"/>
    <w:lvl w:ilvl="0" w:tplc="2F762F5C">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698A6718">
      <w:numFmt w:val="bullet"/>
      <w:lvlText w:val="•"/>
      <w:lvlJc w:val="left"/>
      <w:pPr>
        <w:ind w:left="426" w:hanging="105"/>
      </w:pPr>
      <w:rPr>
        <w:rFonts w:hint="default"/>
      </w:rPr>
    </w:lvl>
    <w:lvl w:ilvl="2" w:tplc="A2947934">
      <w:numFmt w:val="bullet"/>
      <w:lvlText w:val="•"/>
      <w:lvlJc w:val="left"/>
      <w:pPr>
        <w:ind w:left="692" w:hanging="105"/>
      </w:pPr>
      <w:rPr>
        <w:rFonts w:hint="default"/>
      </w:rPr>
    </w:lvl>
    <w:lvl w:ilvl="3" w:tplc="4EBC097E">
      <w:numFmt w:val="bullet"/>
      <w:lvlText w:val="•"/>
      <w:lvlJc w:val="left"/>
      <w:pPr>
        <w:ind w:left="959" w:hanging="105"/>
      </w:pPr>
      <w:rPr>
        <w:rFonts w:hint="default"/>
      </w:rPr>
    </w:lvl>
    <w:lvl w:ilvl="4" w:tplc="932C69A2">
      <w:numFmt w:val="bullet"/>
      <w:lvlText w:val="•"/>
      <w:lvlJc w:val="left"/>
      <w:pPr>
        <w:ind w:left="1225" w:hanging="105"/>
      </w:pPr>
      <w:rPr>
        <w:rFonts w:hint="default"/>
      </w:rPr>
    </w:lvl>
    <w:lvl w:ilvl="5" w:tplc="EFAE9E54">
      <w:numFmt w:val="bullet"/>
      <w:lvlText w:val="•"/>
      <w:lvlJc w:val="left"/>
      <w:pPr>
        <w:ind w:left="1492" w:hanging="105"/>
      </w:pPr>
      <w:rPr>
        <w:rFonts w:hint="default"/>
      </w:rPr>
    </w:lvl>
    <w:lvl w:ilvl="6" w:tplc="6CF8E222">
      <w:numFmt w:val="bullet"/>
      <w:lvlText w:val="•"/>
      <w:lvlJc w:val="left"/>
      <w:pPr>
        <w:ind w:left="1758" w:hanging="105"/>
      </w:pPr>
      <w:rPr>
        <w:rFonts w:hint="default"/>
      </w:rPr>
    </w:lvl>
    <w:lvl w:ilvl="7" w:tplc="BB588F9C">
      <w:numFmt w:val="bullet"/>
      <w:lvlText w:val="•"/>
      <w:lvlJc w:val="left"/>
      <w:pPr>
        <w:ind w:left="2024" w:hanging="105"/>
      </w:pPr>
      <w:rPr>
        <w:rFonts w:hint="default"/>
      </w:rPr>
    </w:lvl>
    <w:lvl w:ilvl="8" w:tplc="C23ABDFE">
      <w:numFmt w:val="bullet"/>
      <w:lvlText w:val="•"/>
      <w:lvlJc w:val="left"/>
      <w:pPr>
        <w:ind w:left="2291" w:hanging="105"/>
      </w:pPr>
      <w:rPr>
        <w:rFonts w:hint="default"/>
      </w:rPr>
    </w:lvl>
  </w:abstractNum>
  <w:abstractNum w:abstractNumId="71" w15:restartNumberingAfterBreak="0">
    <w:nsid w:val="04B0157C"/>
    <w:multiLevelType w:val="hybridMultilevel"/>
    <w:tmpl w:val="D04C77B8"/>
    <w:lvl w:ilvl="0" w:tplc="5166207E">
      <w:numFmt w:val="bullet"/>
      <w:lvlText w:val=""/>
      <w:lvlJc w:val="left"/>
      <w:pPr>
        <w:ind w:left="156" w:hanging="100"/>
      </w:pPr>
      <w:rPr>
        <w:rFonts w:ascii="Symbol" w:eastAsia="Symbol" w:hAnsi="Symbol" w:cs="Symbol" w:hint="default"/>
        <w:color w:val="231F20"/>
        <w:w w:val="100"/>
        <w:sz w:val="14"/>
        <w:szCs w:val="14"/>
      </w:rPr>
    </w:lvl>
    <w:lvl w:ilvl="1" w:tplc="FE4AEFE4">
      <w:numFmt w:val="bullet"/>
      <w:lvlText w:val="•"/>
      <w:lvlJc w:val="left"/>
      <w:pPr>
        <w:ind w:left="398" w:hanging="100"/>
      </w:pPr>
      <w:rPr>
        <w:rFonts w:hint="default"/>
      </w:rPr>
    </w:lvl>
    <w:lvl w:ilvl="2" w:tplc="C3ECC7D6">
      <w:numFmt w:val="bullet"/>
      <w:lvlText w:val="•"/>
      <w:lvlJc w:val="left"/>
      <w:pPr>
        <w:ind w:left="636" w:hanging="100"/>
      </w:pPr>
      <w:rPr>
        <w:rFonts w:hint="default"/>
      </w:rPr>
    </w:lvl>
    <w:lvl w:ilvl="3" w:tplc="EF006C2C">
      <w:numFmt w:val="bullet"/>
      <w:lvlText w:val="•"/>
      <w:lvlJc w:val="left"/>
      <w:pPr>
        <w:ind w:left="874" w:hanging="100"/>
      </w:pPr>
      <w:rPr>
        <w:rFonts w:hint="default"/>
      </w:rPr>
    </w:lvl>
    <w:lvl w:ilvl="4" w:tplc="63B80CAC">
      <w:numFmt w:val="bullet"/>
      <w:lvlText w:val="•"/>
      <w:lvlJc w:val="left"/>
      <w:pPr>
        <w:ind w:left="1112" w:hanging="100"/>
      </w:pPr>
      <w:rPr>
        <w:rFonts w:hint="default"/>
      </w:rPr>
    </w:lvl>
    <w:lvl w:ilvl="5" w:tplc="95625CA2">
      <w:numFmt w:val="bullet"/>
      <w:lvlText w:val="•"/>
      <w:lvlJc w:val="left"/>
      <w:pPr>
        <w:ind w:left="1350" w:hanging="100"/>
      </w:pPr>
      <w:rPr>
        <w:rFonts w:hint="default"/>
      </w:rPr>
    </w:lvl>
    <w:lvl w:ilvl="6" w:tplc="3476E144">
      <w:numFmt w:val="bullet"/>
      <w:lvlText w:val="•"/>
      <w:lvlJc w:val="left"/>
      <w:pPr>
        <w:ind w:left="1588" w:hanging="100"/>
      </w:pPr>
      <w:rPr>
        <w:rFonts w:hint="default"/>
      </w:rPr>
    </w:lvl>
    <w:lvl w:ilvl="7" w:tplc="76007752">
      <w:numFmt w:val="bullet"/>
      <w:lvlText w:val="•"/>
      <w:lvlJc w:val="left"/>
      <w:pPr>
        <w:ind w:left="1826" w:hanging="100"/>
      </w:pPr>
      <w:rPr>
        <w:rFonts w:hint="default"/>
      </w:rPr>
    </w:lvl>
    <w:lvl w:ilvl="8" w:tplc="EF64687C">
      <w:numFmt w:val="bullet"/>
      <w:lvlText w:val="•"/>
      <w:lvlJc w:val="left"/>
      <w:pPr>
        <w:ind w:left="2064" w:hanging="100"/>
      </w:pPr>
      <w:rPr>
        <w:rFonts w:hint="default"/>
      </w:rPr>
    </w:lvl>
  </w:abstractNum>
  <w:abstractNum w:abstractNumId="72" w15:restartNumberingAfterBreak="0">
    <w:nsid w:val="04B37E69"/>
    <w:multiLevelType w:val="hybridMultilevel"/>
    <w:tmpl w:val="927297B6"/>
    <w:lvl w:ilvl="0" w:tplc="C4FA4388">
      <w:numFmt w:val="bullet"/>
      <w:lvlText w:val=""/>
      <w:lvlJc w:val="left"/>
      <w:pPr>
        <w:ind w:left="157" w:hanging="100"/>
      </w:pPr>
      <w:rPr>
        <w:rFonts w:ascii="Symbol" w:eastAsia="Symbol" w:hAnsi="Symbol" w:cs="Symbol" w:hint="default"/>
        <w:color w:val="231F20"/>
        <w:w w:val="100"/>
        <w:sz w:val="14"/>
        <w:szCs w:val="14"/>
      </w:rPr>
    </w:lvl>
    <w:lvl w:ilvl="1" w:tplc="3C18C932">
      <w:numFmt w:val="bullet"/>
      <w:lvlText w:val="•"/>
      <w:lvlJc w:val="left"/>
      <w:pPr>
        <w:ind w:left="398" w:hanging="100"/>
      </w:pPr>
      <w:rPr>
        <w:rFonts w:hint="default"/>
      </w:rPr>
    </w:lvl>
    <w:lvl w:ilvl="2" w:tplc="32DEC110">
      <w:numFmt w:val="bullet"/>
      <w:lvlText w:val="•"/>
      <w:lvlJc w:val="left"/>
      <w:pPr>
        <w:ind w:left="636" w:hanging="100"/>
      </w:pPr>
      <w:rPr>
        <w:rFonts w:hint="default"/>
      </w:rPr>
    </w:lvl>
    <w:lvl w:ilvl="3" w:tplc="2ABE2E20">
      <w:numFmt w:val="bullet"/>
      <w:lvlText w:val="•"/>
      <w:lvlJc w:val="left"/>
      <w:pPr>
        <w:ind w:left="874" w:hanging="100"/>
      </w:pPr>
      <w:rPr>
        <w:rFonts w:hint="default"/>
      </w:rPr>
    </w:lvl>
    <w:lvl w:ilvl="4" w:tplc="F9FE0BFA">
      <w:numFmt w:val="bullet"/>
      <w:lvlText w:val="•"/>
      <w:lvlJc w:val="left"/>
      <w:pPr>
        <w:ind w:left="1112" w:hanging="100"/>
      </w:pPr>
      <w:rPr>
        <w:rFonts w:hint="default"/>
      </w:rPr>
    </w:lvl>
    <w:lvl w:ilvl="5" w:tplc="FB1E2FCA">
      <w:numFmt w:val="bullet"/>
      <w:lvlText w:val="•"/>
      <w:lvlJc w:val="left"/>
      <w:pPr>
        <w:ind w:left="1350" w:hanging="100"/>
      </w:pPr>
      <w:rPr>
        <w:rFonts w:hint="default"/>
      </w:rPr>
    </w:lvl>
    <w:lvl w:ilvl="6" w:tplc="A128E658">
      <w:numFmt w:val="bullet"/>
      <w:lvlText w:val="•"/>
      <w:lvlJc w:val="left"/>
      <w:pPr>
        <w:ind w:left="1588" w:hanging="100"/>
      </w:pPr>
      <w:rPr>
        <w:rFonts w:hint="default"/>
      </w:rPr>
    </w:lvl>
    <w:lvl w:ilvl="7" w:tplc="7E04FCAC">
      <w:numFmt w:val="bullet"/>
      <w:lvlText w:val="•"/>
      <w:lvlJc w:val="left"/>
      <w:pPr>
        <w:ind w:left="1826" w:hanging="100"/>
      </w:pPr>
      <w:rPr>
        <w:rFonts w:hint="default"/>
      </w:rPr>
    </w:lvl>
    <w:lvl w:ilvl="8" w:tplc="06B8FFA0">
      <w:numFmt w:val="bullet"/>
      <w:lvlText w:val="•"/>
      <w:lvlJc w:val="left"/>
      <w:pPr>
        <w:ind w:left="2064" w:hanging="100"/>
      </w:pPr>
      <w:rPr>
        <w:rFonts w:hint="default"/>
      </w:rPr>
    </w:lvl>
  </w:abstractNum>
  <w:abstractNum w:abstractNumId="73" w15:restartNumberingAfterBreak="0">
    <w:nsid w:val="04C76D98"/>
    <w:multiLevelType w:val="hybridMultilevel"/>
    <w:tmpl w:val="67CEC0A6"/>
    <w:lvl w:ilvl="0" w:tplc="13FAD1F2">
      <w:numFmt w:val="bullet"/>
      <w:lvlText w:val=""/>
      <w:lvlJc w:val="left"/>
      <w:pPr>
        <w:ind w:left="156" w:hanging="100"/>
      </w:pPr>
      <w:rPr>
        <w:rFonts w:ascii="Symbol" w:eastAsia="Symbol" w:hAnsi="Symbol" w:cs="Symbol" w:hint="default"/>
        <w:color w:val="231F20"/>
        <w:w w:val="100"/>
        <w:sz w:val="14"/>
        <w:szCs w:val="14"/>
      </w:rPr>
    </w:lvl>
    <w:lvl w:ilvl="1" w:tplc="C8B449AE">
      <w:numFmt w:val="bullet"/>
      <w:lvlText w:val="•"/>
      <w:lvlJc w:val="left"/>
      <w:pPr>
        <w:ind w:left="398" w:hanging="100"/>
      </w:pPr>
      <w:rPr>
        <w:rFonts w:hint="default"/>
      </w:rPr>
    </w:lvl>
    <w:lvl w:ilvl="2" w:tplc="FA509CB4">
      <w:numFmt w:val="bullet"/>
      <w:lvlText w:val="•"/>
      <w:lvlJc w:val="left"/>
      <w:pPr>
        <w:ind w:left="636" w:hanging="100"/>
      </w:pPr>
      <w:rPr>
        <w:rFonts w:hint="default"/>
      </w:rPr>
    </w:lvl>
    <w:lvl w:ilvl="3" w:tplc="5058CAB4">
      <w:numFmt w:val="bullet"/>
      <w:lvlText w:val="•"/>
      <w:lvlJc w:val="left"/>
      <w:pPr>
        <w:ind w:left="874" w:hanging="100"/>
      </w:pPr>
      <w:rPr>
        <w:rFonts w:hint="default"/>
      </w:rPr>
    </w:lvl>
    <w:lvl w:ilvl="4" w:tplc="17846D6E">
      <w:numFmt w:val="bullet"/>
      <w:lvlText w:val="•"/>
      <w:lvlJc w:val="left"/>
      <w:pPr>
        <w:ind w:left="1112" w:hanging="100"/>
      </w:pPr>
      <w:rPr>
        <w:rFonts w:hint="default"/>
      </w:rPr>
    </w:lvl>
    <w:lvl w:ilvl="5" w:tplc="A77CD708">
      <w:numFmt w:val="bullet"/>
      <w:lvlText w:val="•"/>
      <w:lvlJc w:val="left"/>
      <w:pPr>
        <w:ind w:left="1350" w:hanging="100"/>
      </w:pPr>
      <w:rPr>
        <w:rFonts w:hint="default"/>
      </w:rPr>
    </w:lvl>
    <w:lvl w:ilvl="6" w:tplc="DCE6069C">
      <w:numFmt w:val="bullet"/>
      <w:lvlText w:val="•"/>
      <w:lvlJc w:val="left"/>
      <w:pPr>
        <w:ind w:left="1588" w:hanging="100"/>
      </w:pPr>
      <w:rPr>
        <w:rFonts w:hint="default"/>
      </w:rPr>
    </w:lvl>
    <w:lvl w:ilvl="7" w:tplc="0130C654">
      <w:numFmt w:val="bullet"/>
      <w:lvlText w:val="•"/>
      <w:lvlJc w:val="left"/>
      <w:pPr>
        <w:ind w:left="1826" w:hanging="100"/>
      </w:pPr>
      <w:rPr>
        <w:rFonts w:hint="default"/>
      </w:rPr>
    </w:lvl>
    <w:lvl w:ilvl="8" w:tplc="29EA57EA">
      <w:numFmt w:val="bullet"/>
      <w:lvlText w:val="•"/>
      <w:lvlJc w:val="left"/>
      <w:pPr>
        <w:ind w:left="2064" w:hanging="100"/>
      </w:pPr>
      <w:rPr>
        <w:rFonts w:hint="default"/>
      </w:rPr>
    </w:lvl>
  </w:abstractNum>
  <w:abstractNum w:abstractNumId="74" w15:restartNumberingAfterBreak="0">
    <w:nsid w:val="04CB1988"/>
    <w:multiLevelType w:val="hybridMultilevel"/>
    <w:tmpl w:val="529C9CE4"/>
    <w:lvl w:ilvl="0" w:tplc="8486B2E4">
      <w:numFmt w:val="bullet"/>
      <w:lvlText w:val=""/>
      <w:lvlJc w:val="left"/>
      <w:pPr>
        <w:ind w:left="156" w:hanging="100"/>
      </w:pPr>
      <w:rPr>
        <w:rFonts w:ascii="Symbol" w:eastAsia="Symbol" w:hAnsi="Symbol" w:cs="Symbol" w:hint="default"/>
        <w:color w:val="231F20"/>
        <w:w w:val="100"/>
        <w:sz w:val="14"/>
        <w:szCs w:val="14"/>
      </w:rPr>
    </w:lvl>
    <w:lvl w:ilvl="1" w:tplc="41C0C024">
      <w:numFmt w:val="bullet"/>
      <w:lvlText w:val="•"/>
      <w:lvlJc w:val="left"/>
      <w:pPr>
        <w:ind w:left="301" w:hanging="100"/>
      </w:pPr>
      <w:rPr>
        <w:rFonts w:hint="default"/>
      </w:rPr>
    </w:lvl>
    <w:lvl w:ilvl="2" w:tplc="C818FDA0">
      <w:numFmt w:val="bullet"/>
      <w:lvlText w:val="•"/>
      <w:lvlJc w:val="left"/>
      <w:pPr>
        <w:ind w:left="443" w:hanging="100"/>
      </w:pPr>
      <w:rPr>
        <w:rFonts w:hint="default"/>
      </w:rPr>
    </w:lvl>
    <w:lvl w:ilvl="3" w:tplc="778EF756">
      <w:numFmt w:val="bullet"/>
      <w:lvlText w:val="•"/>
      <w:lvlJc w:val="left"/>
      <w:pPr>
        <w:ind w:left="585" w:hanging="100"/>
      </w:pPr>
      <w:rPr>
        <w:rFonts w:hint="default"/>
      </w:rPr>
    </w:lvl>
    <w:lvl w:ilvl="4" w:tplc="23D89D80">
      <w:numFmt w:val="bullet"/>
      <w:lvlText w:val="•"/>
      <w:lvlJc w:val="left"/>
      <w:pPr>
        <w:ind w:left="726" w:hanging="100"/>
      </w:pPr>
      <w:rPr>
        <w:rFonts w:hint="default"/>
      </w:rPr>
    </w:lvl>
    <w:lvl w:ilvl="5" w:tplc="A0C42476">
      <w:numFmt w:val="bullet"/>
      <w:lvlText w:val="•"/>
      <w:lvlJc w:val="left"/>
      <w:pPr>
        <w:ind w:left="868" w:hanging="100"/>
      </w:pPr>
      <w:rPr>
        <w:rFonts w:hint="default"/>
      </w:rPr>
    </w:lvl>
    <w:lvl w:ilvl="6" w:tplc="2E36135A">
      <w:numFmt w:val="bullet"/>
      <w:lvlText w:val="•"/>
      <w:lvlJc w:val="left"/>
      <w:pPr>
        <w:ind w:left="1010" w:hanging="100"/>
      </w:pPr>
      <w:rPr>
        <w:rFonts w:hint="default"/>
      </w:rPr>
    </w:lvl>
    <w:lvl w:ilvl="7" w:tplc="BE7889E0">
      <w:numFmt w:val="bullet"/>
      <w:lvlText w:val="•"/>
      <w:lvlJc w:val="left"/>
      <w:pPr>
        <w:ind w:left="1151" w:hanging="100"/>
      </w:pPr>
      <w:rPr>
        <w:rFonts w:hint="default"/>
      </w:rPr>
    </w:lvl>
    <w:lvl w:ilvl="8" w:tplc="B7FAA5B2">
      <w:numFmt w:val="bullet"/>
      <w:lvlText w:val="•"/>
      <w:lvlJc w:val="left"/>
      <w:pPr>
        <w:ind w:left="1293" w:hanging="100"/>
      </w:pPr>
      <w:rPr>
        <w:rFonts w:hint="default"/>
      </w:rPr>
    </w:lvl>
  </w:abstractNum>
  <w:abstractNum w:abstractNumId="75" w15:restartNumberingAfterBreak="0">
    <w:nsid w:val="04F439AD"/>
    <w:multiLevelType w:val="hybridMultilevel"/>
    <w:tmpl w:val="AEB879CC"/>
    <w:lvl w:ilvl="0" w:tplc="103654E6">
      <w:numFmt w:val="bullet"/>
      <w:lvlText w:val=""/>
      <w:lvlJc w:val="left"/>
      <w:pPr>
        <w:ind w:left="157" w:hanging="100"/>
      </w:pPr>
      <w:rPr>
        <w:rFonts w:ascii="Symbol" w:eastAsia="Symbol" w:hAnsi="Symbol" w:cs="Symbol" w:hint="default"/>
        <w:color w:val="231F20"/>
        <w:w w:val="100"/>
        <w:sz w:val="14"/>
        <w:szCs w:val="14"/>
      </w:rPr>
    </w:lvl>
    <w:lvl w:ilvl="1" w:tplc="9342B7B8">
      <w:numFmt w:val="bullet"/>
      <w:lvlText w:val="•"/>
      <w:lvlJc w:val="left"/>
      <w:pPr>
        <w:ind w:left="398" w:hanging="100"/>
      </w:pPr>
      <w:rPr>
        <w:rFonts w:hint="default"/>
      </w:rPr>
    </w:lvl>
    <w:lvl w:ilvl="2" w:tplc="9C1A0280">
      <w:numFmt w:val="bullet"/>
      <w:lvlText w:val="•"/>
      <w:lvlJc w:val="left"/>
      <w:pPr>
        <w:ind w:left="636" w:hanging="100"/>
      </w:pPr>
      <w:rPr>
        <w:rFonts w:hint="default"/>
      </w:rPr>
    </w:lvl>
    <w:lvl w:ilvl="3" w:tplc="474CA4E4">
      <w:numFmt w:val="bullet"/>
      <w:lvlText w:val="•"/>
      <w:lvlJc w:val="left"/>
      <w:pPr>
        <w:ind w:left="874" w:hanging="100"/>
      </w:pPr>
      <w:rPr>
        <w:rFonts w:hint="default"/>
      </w:rPr>
    </w:lvl>
    <w:lvl w:ilvl="4" w:tplc="6E7ACA7E">
      <w:numFmt w:val="bullet"/>
      <w:lvlText w:val="•"/>
      <w:lvlJc w:val="left"/>
      <w:pPr>
        <w:ind w:left="1112" w:hanging="100"/>
      </w:pPr>
      <w:rPr>
        <w:rFonts w:hint="default"/>
      </w:rPr>
    </w:lvl>
    <w:lvl w:ilvl="5" w:tplc="B97441A2">
      <w:numFmt w:val="bullet"/>
      <w:lvlText w:val="•"/>
      <w:lvlJc w:val="left"/>
      <w:pPr>
        <w:ind w:left="1350" w:hanging="100"/>
      </w:pPr>
      <w:rPr>
        <w:rFonts w:hint="default"/>
      </w:rPr>
    </w:lvl>
    <w:lvl w:ilvl="6" w:tplc="47923540">
      <w:numFmt w:val="bullet"/>
      <w:lvlText w:val="•"/>
      <w:lvlJc w:val="left"/>
      <w:pPr>
        <w:ind w:left="1588" w:hanging="100"/>
      </w:pPr>
      <w:rPr>
        <w:rFonts w:hint="default"/>
      </w:rPr>
    </w:lvl>
    <w:lvl w:ilvl="7" w:tplc="6714CEAC">
      <w:numFmt w:val="bullet"/>
      <w:lvlText w:val="•"/>
      <w:lvlJc w:val="left"/>
      <w:pPr>
        <w:ind w:left="1826" w:hanging="100"/>
      </w:pPr>
      <w:rPr>
        <w:rFonts w:hint="default"/>
      </w:rPr>
    </w:lvl>
    <w:lvl w:ilvl="8" w:tplc="546ACA1A">
      <w:numFmt w:val="bullet"/>
      <w:lvlText w:val="•"/>
      <w:lvlJc w:val="left"/>
      <w:pPr>
        <w:ind w:left="2064" w:hanging="100"/>
      </w:pPr>
      <w:rPr>
        <w:rFonts w:hint="default"/>
      </w:rPr>
    </w:lvl>
  </w:abstractNum>
  <w:abstractNum w:abstractNumId="76" w15:restartNumberingAfterBreak="0">
    <w:nsid w:val="05000A3F"/>
    <w:multiLevelType w:val="hybridMultilevel"/>
    <w:tmpl w:val="8E7CB034"/>
    <w:lvl w:ilvl="0" w:tplc="3AC635BC">
      <w:numFmt w:val="bullet"/>
      <w:lvlText w:val=""/>
      <w:lvlJc w:val="left"/>
      <w:pPr>
        <w:ind w:left="156" w:hanging="100"/>
      </w:pPr>
      <w:rPr>
        <w:rFonts w:ascii="Symbol" w:eastAsia="Symbol" w:hAnsi="Symbol" w:cs="Symbol" w:hint="default"/>
        <w:color w:val="231F20"/>
        <w:w w:val="100"/>
        <w:sz w:val="14"/>
        <w:szCs w:val="14"/>
      </w:rPr>
    </w:lvl>
    <w:lvl w:ilvl="1" w:tplc="D9DC8A94">
      <w:numFmt w:val="bullet"/>
      <w:lvlText w:val="•"/>
      <w:lvlJc w:val="left"/>
      <w:pPr>
        <w:ind w:left="301" w:hanging="100"/>
      </w:pPr>
      <w:rPr>
        <w:rFonts w:hint="default"/>
      </w:rPr>
    </w:lvl>
    <w:lvl w:ilvl="2" w:tplc="E7AEA118">
      <w:numFmt w:val="bullet"/>
      <w:lvlText w:val="•"/>
      <w:lvlJc w:val="left"/>
      <w:pPr>
        <w:ind w:left="443" w:hanging="100"/>
      </w:pPr>
      <w:rPr>
        <w:rFonts w:hint="default"/>
      </w:rPr>
    </w:lvl>
    <w:lvl w:ilvl="3" w:tplc="9508DD04">
      <w:numFmt w:val="bullet"/>
      <w:lvlText w:val="•"/>
      <w:lvlJc w:val="left"/>
      <w:pPr>
        <w:ind w:left="585" w:hanging="100"/>
      </w:pPr>
      <w:rPr>
        <w:rFonts w:hint="default"/>
      </w:rPr>
    </w:lvl>
    <w:lvl w:ilvl="4" w:tplc="87485B8E">
      <w:numFmt w:val="bullet"/>
      <w:lvlText w:val="•"/>
      <w:lvlJc w:val="left"/>
      <w:pPr>
        <w:ind w:left="726" w:hanging="100"/>
      </w:pPr>
      <w:rPr>
        <w:rFonts w:hint="default"/>
      </w:rPr>
    </w:lvl>
    <w:lvl w:ilvl="5" w:tplc="DB54C068">
      <w:numFmt w:val="bullet"/>
      <w:lvlText w:val="•"/>
      <w:lvlJc w:val="left"/>
      <w:pPr>
        <w:ind w:left="868" w:hanging="100"/>
      </w:pPr>
      <w:rPr>
        <w:rFonts w:hint="default"/>
      </w:rPr>
    </w:lvl>
    <w:lvl w:ilvl="6" w:tplc="F392BB58">
      <w:numFmt w:val="bullet"/>
      <w:lvlText w:val="•"/>
      <w:lvlJc w:val="left"/>
      <w:pPr>
        <w:ind w:left="1010" w:hanging="100"/>
      </w:pPr>
      <w:rPr>
        <w:rFonts w:hint="default"/>
      </w:rPr>
    </w:lvl>
    <w:lvl w:ilvl="7" w:tplc="D04C6A52">
      <w:numFmt w:val="bullet"/>
      <w:lvlText w:val="•"/>
      <w:lvlJc w:val="left"/>
      <w:pPr>
        <w:ind w:left="1151" w:hanging="100"/>
      </w:pPr>
      <w:rPr>
        <w:rFonts w:hint="default"/>
      </w:rPr>
    </w:lvl>
    <w:lvl w:ilvl="8" w:tplc="5150C436">
      <w:numFmt w:val="bullet"/>
      <w:lvlText w:val="•"/>
      <w:lvlJc w:val="left"/>
      <w:pPr>
        <w:ind w:left="1293" w:hanging="100"/>
      </w:pPr>
      <w:rPr>
        <w:rFonts w:hint="default"/>
      </w:rPr>
    </w:lvl>
  </w:abstractNum>
  <w:abstractNum w:abstractNumId="77" w15:restartNumberingAfterBreak="0">
    <w:nsid w:val="05025C5B"/>
    <w:multiLevelType w:val="hybridMultilevel"/>
    <w:tmpl w:val="9D48412C"/>
    <w:lvl w:ilvl="0" w:tplc="BF387BC6">
      <w:numFmt w:val="bullet"/>
      <w:lvlText w:val=""/>
      <w:lvlJc w:val="left"/>
      <w:pPr>
        <w:ind w:left="156" w:hanging="100"/>
      </w:pPr>
      <w:rPr>
        <w:rFonts w:ascii="Symbol" w:eastAsia="Symbol" w:hAnsi="Symbol" w:cs="Symbol" w:hint="default"/>
        <w:color w:val="231F20"/>
        <w:w w:val="100"/>
        <w:sz w:val="14"/>
        <w:szCs w:val="14"/>
      </w:rPr>
    </w:lvl>
    <w:lvl w:ilvl="1" w:tplc="B97E9850">
      <w:numFmt w:val="bullet"/>
      <w:lvlText w:val="•"/>
      <w:lvlJc w:val="left"/>
      <w:pPr>
        <w:ind w:left="301" w:hanging="100"/>
      </w:pPr>
      <w:rPr>
        <w:rFonts w:hint="default"/>
      </w:rPr>
    </w:lvl>
    <w:lvl w:ilvl="2" w:tplc="A3A0DAD2">
      <w:numFmt w:val="bullet"/>
      <w:lvlText w:val="•"/>
      <w:lvlJc w:val="left"/>
      <w:pPr>
        <w:ind w:left="443" w:hanging="100"/>
      </w:pPr>
      <w:rPr>
        <w:rFonts w:hint="default"/>
      </w:rPr>
    </w:lvl>
    <w:lvl w:ilvl="3" w:tplc="6634541C">
      <w:numFmt w:val="bullet"/>
      <w:lvlText w:val="•"/>
      <w:lvlJc w:val="left"/>
      <w:pPr>
        <w:ind w:left="585" w:hanging="100"/>
      </w:pPr>
      <w:rPr>
        <w:rFonts w:hint="default"/>
      </w:rPr>
    </w:lvl>
    <w:lvl w:ilvl="4" w:tplc="0F9AF1C8">
      <w:numFmt w:val="bullet"/>
      <w:lvlText w:val="•"/>
      <w:lvlJc w:val="left"/>
      <w:pPr>
        <w:ind w:left="726" w:hanging="100"/>
      </w:pPr>
      <w:rPr>
        <w:rFonts w:hint="default"/>
      </w:rPr>
    </w:lvl>
    <w:lvl w:ilvl="5" w:tplc="49BC09F8">
      <w:numFmt w:val="bullet"/>
      <w:lvlText w:val="•"/>
      <w:lvlJc w:val="left"/>
      <w:pPr>
        <w:ind w:left="868" w:hanging="100"/>
      </w:pPr>
      <w:rPr>
        <w:rFonts w:hint="default"/>
      </w:rPr>
    </w:lvl>
    <w:lvl w:ilvl="6" w:tplc="C78CE082">
      <w:numFmt w:val="bullet"/>
      <w:lvlText w:val="•"/>
      <w:lvlJc w:val="left"/>
      <w:pPr>
        <w:ind w:left="1010" w:hanging="100"/>
      </w:pPr>
      <w:rPr>
        <w:rFonts w:hint="default"/>
      </w:rPr>
    </w:lvl>
    <w:lvl w:ilvl="7" w:tplc="9976B2CA">
      <w:numFmt w:val="bullet"/>
      <w:lvlText w:val="•"/>
      <w:lvlJc w:val="left"/>
      <w:pPr>
        <w:ind w:left="1151" w:hanging="100"/>
      </w:pPr>
      <w:rPr>
        <w:rFonts w:hint="default"/>
      </w:rPr>
    </w:lvl>
    <w:lvl w:ilvl="8" w:tplc="84B46164">
      <w:numFmt w:val="bullet"/>
      <w:lvlText w:val="•"/>
      <w:lvlJc w:val="left"/>
      <w:pPr>
        <w:ind w:left="1293" w:hanging="100"/>
      </w:pPr>
      <w:rPr>
        <w:rFonts w:hint="default"/>
      </w:rPr>
    </w:lvl>
  </w:abstractNum>
  <w:abstractNum w:abstractNumId="78" w15:restartNumberingAfterBreak="0">
    <w:nsid w:val="051D63A6"/>
    <w:multiLevelType w:val="hybridMultilevel"/>
    <w:tmpl w:val="5D62E136"/>
    <w:lvl w:ilvl="0" w:tplc="9132935C">
      <w:numFmt w:val="bullet"/>
      <w:lvlText w:val=""/>
      <w:lvlJc w:val="left"/>
      <w:pPr>
        <w:ind w:left="156" w:hanging="100"/>
      </w:pPr>
      <w:rPr>
        <w:rFonts w:ascii="Symbol" w:eastAsia="Symbol" w:hAnsi="Symbol" w:cs="Symbol" w:hint="default"/>
        <w:color w:val="231F20"/>
        <w:w w:val="100"/>
        <w:sz w:val="14"/>
        <w:szCs w:val="14"/>
      </w:rPr>
    </w:lvl>
    <w:lvl w:ilvl="1" w:tplc="9A9A6ACA">
      <w:numFmt w:val="bullet"/>
      <w:lvlText w:val="•"/>
      <w:lvlJc w:val="left"/>
      <w:pPr>
        <w:ind w:left="426" w:hanging="100"/>
      </w:pPr>
      <w:rPr>
        <w:rFonts w:hint="default"/>
      </w:rPr>
    </w:lvl>
    <w:lvl w:ilvl="2" w:tplc="467C5348">
      <w:numFmt w:val="bullet"/>
      <w:lvlText w:val="•"/>
      <w:lvlJc w:val="left"/>
      <w:pPr>
        <w:ind w:left="692" w:hanging="100"/>
      </w:pPr>
      <w:rPr>
        <w:rFonts w:hint="default"/>
      </w:rPr>
    </w:lvl>
    <w:lvl w:ilvl="3" w:tplc="701C79AC">
      <w:numFmt w:val="bullet"/>
      <w:lvlText w:val="•"/>
      <w:lvlJc w:val="left"/>
      <w:pPr>
        <w:ind w:left="959" w:hanging="100"/>
      </w:pPr>
      <w:rPr>
        <w:rFonts w:hint="default"/>
      </w:rPr>
    </w:lvl>
    <w:lvl w:ilvl="4" w:tplc="35E61C1C">
      <w:numFmt w:val="bullet"/>
      <w:lvlText w:val="•"/>
      <w:lvlJc w:val="left"/>
      <w:pPr>
        <w:ind w:left="1225" w:hanging="100"/>
      </w:pPr>
      <w:rPr>
        <w:rFonts w:hint="default"/>
      </w:rPr>
    </w:lvl>
    <w:lvl w:ilvl="5" w:tplc="C33EA1B0">
      <w:numFmt w:val="bullet"/>
      <w:lvlText w:val="•"/>
      <w:lvlJc w:val="left"/>
      <w:pPr>
        <w:ind w:left="1492" w:hanging="100"/>
      </w:pPr>
      <w:rPr>
        <w:rFonts w:hint="default"/>
      </w:rPr>
    </w:lvl>
    <w:lvl w:ilvl="6" w:tplc="6A54ABB6">
      <w:numFmt w:val="bullet"/>
      <w:lvlText w:val="•"/>
      <w:lvlJc w:val="left"/>
      <w:pPr>
        <w:ind w:left="1758" w:hanging="100"/>
      </w:pPr>
      <w:rPr>
        <w:rFonts w:hint="default"/>
      </w:rPr>
    </w:lvl>
    <w:lvl w:ilvl="7" w:tplc="15CEE76A">
      <w:numFmt w:val="bullet"/>
      <w:lvlText w:val="•"/>
      <w:lvlJc w:val="left"/>
      <w:pPr>
        <w:ind w:left="2024" w:hanging="100"/>
      </w:pPr>
      <w:rPr>
        <w:rFonts w:hint="default"/>
      </w:rPr>
    </w:lvl>
    <w:lvl w:ilvl="8" w:tplc="65FAB7CC">
      <w:numFmt w:val="bullet"/>
      <w:lvlText w:val="•"/>
      <w:lvlJc w:val="left"/>
      <w:pPr>
        <w:ind w:left="2291" w:hanging="100"/>
      </w:pPr>
      <w:rPr>
        <w:rFonts w:hint="default"/>
      </w:rPr>
    </w:lvl>
  </w:abstractNum>
  <w:abstractNum w:abstractNumId="79" w15:restartNumberingAfterBreak="0">
    <w:nsid w:val="052A4252"/>
    <w:multiLevelType w:val="hybridMultilevel"/>
    <w:tmpl w:val="E674B54C"/>
    <w:lvl w:ilvl="0" w:tplc="981855FE">
      <w:numFmt w:val="bullet"/>
      <w:lvlText w:val=""/>
      <w:lvlJc w:val="left"/>
      <w:pPr>
        <w:ind w:left="156" w:hanging="100"/>
      </w:pPr>
      <w:rPr>
        <w:rFonts w:ascii="Symbol" w:eastAsia="Symbol" w:hAnsi="Symbol" w:cs="Symbol" w:hint="default"/>
        <w:color w:val="231F20"/>
        <w:w w:val="100"/>
        <w:sz w:val="14"/>
        <w:szCs w:val="14"/>
      </w:rPr>
    </w:lvl>
    <w:lvl w:ilvl="1" w:tplc="5C0CAD16">
      <w:numFmt w:val="bullet"/>
      <w:lvlText w:val="•"/>
      <w:lvlJc w:val="left"/>
      <w:pPr>
        <w:ind w:left="301" w:hanging="100"/>
      </w:pPr>
      <w:rPr>
        <w:rFonts w:hint="default"/>
      </w:rPr>
    </w:lvl>
    <w:lvl w:ilvl="2" w:tplc="BE542CEA">
      <w:numFmt w:val="bullet"/>
      <w:lvlText w:val="•"/>
      <w:lvlJc w:val="left"/>
      <w:pPr>
        <w:ind w:left="443" w:hanging="100"/>
      </w:pPr>
      <w:rPr>
        <w:rFonts w:hint="default"/>
      </w:rPr>
    </w:lvl>
    <w:lvl w:ilvl="3" w:tplc="68A038AA">
      <w:numFmt w:val="bullet"/>
      <w:lvlText w:val="•"/>
      <w:lvlJc w:val="left"/>
      <w:pPr>
        <w:ind w:left="585" w:hanging="100"/>
      </w:pPr>
      <w:rPr>
        <w:rFonts w:hint="default"/>
      </w:rPr>
    </w:lvl>
    <w:lvl w:ilvl="4" w:tplc="62ACB800">
      <w:numFmt w:val="bullet"/>
      <w:lvlText w:val="•"/>
      <w:lvlJc w:val="left"/>
      <w:pPr>
        <w:ind w:left="726" w:hanging="100"/>
      </w:pPr>
      <w:rPr>
        <w:rFonts w:hint="default"/>
      </w:rPr>
    </w:lvl>
    <w:lvl w:ilvl="5" w:tplc="52805DF2">
      <w:numFmt w:val="bullet"/>
      <w:lvlText w:val="•"/>
      <w:lvlJc w:val="left"/>
      <w:pPr>
        <w:ind w:left="868" w:hanging="100"/>
      </w:pPr>
      <w:rPr>
        <w:rFonts w:hint="default"/>
      </w:rPr>
    </w:lvl>
    <w:lvl w:ilvl="6" w:tplc="9FBEDB3E">
      <w:numFmt w:val="bullet"/>
      <w:lvlText w:val="•"/>
      <w:lvlJc w:val="left"/>
      <w:pPr>
        <w:ind w:left="1010" w:hanging="100"/>
      </w:pPr>
      <w:rPr>
        <w:rFonts w:hint="default"/>
      </w:rPr>
    </w:lvl>
    <w:lvl w:ilvl="7" w:tplc="556A3EB8">
      <w:numFmt w:val="bullet"/>
      <w:lvlText w:val="•"/>
      <w:lvlJc w:val="left"/>
      <w:pPr>
        <w:ind w:left="1151" w:hanging="100"/>
      </w:pPr>
      <w:rPr>
        <w:rFonts w:hint="default"/>
      </w:rPr>
    </w:lvl>
    <w:lvl w:ilvl="8" w:tplc="9B105DAC">
      <w:numFmt w:val="bullet"/>
      <w:lvlText w:val="•"/>
      <w:lvlJc w:val="left"/>
      <w:pPr>
        <w:ind w:left="1293" w:hanging="100"/>
      </w:pPr>
      <w:rPr>
        <w:rFonts w:hint="default"/>
      </w:rPr>
    </w:lvl>
  </w:abstractNum>
  <w:abstractNum w:abstractNumId="80" w15:restartNumberingAfterBreak="0">
    <w:nsid w:val="052F7BFD"/>
    <w:multiLevelType w:val="hybridMultilevel"/>
    <w:tmpl w:val="B7D27BF4"/>
    <w:lvl w:ilvl="0" w:tplc="D5C43A24">
      <w:numFmt w:val="bullet"/>
      <w:lvlText w:val=""/>
      <w:lvlJc w:val="left"/>
      <w:pPr>
        <w:ind w:left="156" w:hanging="100"/>
      </w:pPr>
      <w:rPr>
        <w:rFonts w:ascii="Symbol" w:eastAsia="Symbol" w:hAnsi="Symbol" w:cs="Symbol" w:hint="default"/>
        <w:color w:val="231F20"/>
        <w:w w:val="100"/>
        <w:sz w:val="14"/>
        <w:szCs w:val="14"/>
      </w:rPr>
    </w:lvl>
    <w:lvl w:ilvl="1" w:tplc="C09EE55A">
      <w:numFmt w:val="bullet"/>
      <w:lvlText w:val="•"/>
      <w:lvlJc w:val="left"/>
      <w:pPr>
        <w:ind w:left="301" w:hanging="100"/>
      </w:pPr>
      <w:rPr>
        <w:rFonts w:hint="default"/>
      </w:rPr>
    </w:lvl>
    <w:lvl w:ilvl="2" w:tplc="721C01FC">
      <w:numFmt w:val="bullet"/>
      <w:lvlText w:val="•"/>
      <w:lvlJc w:val="left"/>
      <w:pPr>
        <w:ind w:left="443" w:hanging="100"/>
      </w:pPr>
      <w:rPr>
        <w:rFonts w:hint="default"/>
      </w:rPr>
    </w:lvl>
    <w:lvl w:ilvl="3" w:tplc="818A20B6">
      <w:numFmt w:val="bullet"/>
      <w:lvlText w:val="•"/>
      <w:lvlJc w:val="left"/>
      <w:pPr>
        <w:ind w:left="585" w:hanging="100"/>
      </w:pPr>
      <w:rPr>
        <w:rFonts w:hint="default"/>
      </w:rPr>
    </w:lvl>
    <w:lvl w:ilvl="4" w:tplc="4C3891A8">
      <w:numFmt w:val="bullet"/>
      <w:lvlText w:val="•"/>
      <w:lvlJc w:val="left"/>
      <w:pPr>
        <w:ind w:left="726" w:hanging="100"/>
      </w:pPr>
      <w:rPr>
        <w:rFonts w:hint="default"/>
      </w:rPr>
    </w:lvl>
    <w:lvl w:ilvl="5" w:tplc="86B67CB0">
      <w:numFmt w:val="bullet"/>
      <w:lvlText w:val="•"/>
      <w:lvlJc w:val="left"/>
      <w:pPr>
        <w:ind w:left="868" w:hanging="100"/>
      </w:pPr>
      <w:rPr>
        <w:rFonts w:hint="default"/>
      </w:rPr>
    </w:lvl>
    <w:lvl w:ilvl="6" w:tplc="E34C7D20">
      <w:numFmt w:val="bullet"/>
      <w:lvlText w:val="•"/>
      <w:lvlJc w:val="left"/>
      <w:pPr>
        <w:ind w:left="1010" w:hanging="100"/>
      </w:pPr>
      <w:rPr>
        <w:rFonts w:hint="default"/>
      </w:rPr>
    </w:lvl>
    <w:lvl w:ilvl="7" w:tplc="B276DABC">
      <w:numFmt w:val="bullet"/>
      <w:lvlText w:val="•"/>
      <w:lvlJc w:val="left"/>
      <w:pPr>
        <w:ind w:left="1151" w:hanging="100"/>
      </w:pPr>
      <w:rPr>
        <w:rFonts w:hint="default"/>
      </w:rPr>
    </w:lvl>
    <w:lvl w:ilvl="8" w:tplc="F99C92AA">
      <w:numFmt w:val="bullet"/>
      <w:lvlText w:val="•"/>
      <w:lvlJc w:val="left"/>
      <w:pPr>
        <w:ind w:left="1293" w:hanging="100"/>
      </w:pPr>
      <w:rPr>
        <w:rFonts w:hint="default"/>
      </w:rPr>
    </w:lvl>
  </w:abstractNum>
  <w:abstractNum w:abstractNumId="81" w15:restartNumberingAfterBreak="0">
    <w:nsid w:val="05345E79"/>
    <w:multiLevelType w:val="hybridMultilevel"/>
    <w:tmpl w:val="0F28D91A"/>
    <w:lvl w:ilvl="0" w:tplc="45740556">
      <w:numFmt w:val="bullet"/>
      <w:lvlText w:val=""/>
      <w:lvlJc w:val="left"/>
      <w:pPr>
        <w:ind w:left="156" w:hanging="100"/>
      </w:pPr>
      <w:rPr>
        <w:rFonts w:ascii="Symbol" w:eastAsia="Symbol" w:hAnsi="Symbol" w:cs="Symbol" w:hint="default"/>
        <w:color w:val="231F20"/>
        <w:w w:val="100"/>
        <w:sz w:val="14"/>
        <w:szCs w:val="14"/>
      </w:rPr>
    </w:lvl>
    <w:lvl w:ilvl="1" w:tplc="148225C6">
      <w:numFmt w:val="bullet"/>
      <w:lvlText w:val="•"/>
      <w:lvlJc w:val="left"/>
      <w:pPr>
        <w:ind w:left="301" w:hanging="100"/>
      </w:pPr>
      <w:rPr>
        <w:rFonts w:hint="default"/>
      </w:rPr>
    </w:lvl>
    <w:lvl w:ilvl="2" w:tplc="9C0274F2">
      <w:numFmt w:val="bullet"/>
      <w:lvlText w:val="•"/>
      <w:lvlJc w:val="left"/>
      <w:pPr>
        <w:ind w:left="443" w:hanging="100"/>
      </w:pPr>
      <w:rPr>
        <w:rFonts w:hint="default"/>
      </w:rPr>
    </w:lvl>
    <w:lvl w:ilvl="3" w:tplc="F6885F16">
      <w:numFmt w:val="bullet"/>
      <w:lvlText w:val="•"/>
      <w:lvlJc w:val="left"/>
      <w:pPr>
        <w:ind w:left="585" w:hanging="100"/>
      </w:pPr>
      <w:rPr>
        <w:rFonts w:hint="default"/>
      </w:rPr>
    </w:lvl>
    <w:lvl w:ilvl="4" w:tplc="586481C6">
      <w:numFmt w:val="bullet"/>
      <w:lvlText w:val="•"/>
      <w:lvlJc w:val="left"/>
      <w:pPr>
        <w:ind w:left="726" w:hanging="100"/>
      </w:pPr>
      <w:rPr>
        <w:rFonts w:hint="default"/>
      </w:rPr>
    </w:lvl>
    <w:lvl w:ilvl="5" w:tplc="1256DBD0">
      <w:numFmt w:val="bullet"/>
      <w:lvlText w:val="•"/>
      <w:lvlJc w:val="left"/>
      <w:pPr>
        <w:ind w:left="868" w:hanging="100"/>
      </w:pPr>
      <w:rPr>
        <w:rFonts w:hint="default"/>
      </w:rPr>
    </w:lvl>
    <w:lvl w:ilvl="6" w:tplc="7B169AF0">
      <w:numFmt w:val="bullet"/>
      <w:lvlText w:val="•"/>
      <w:lvlJc w:val="left"/>
      <w:pPr>
        <w:ind w:left="1010" w:hanging="100"/>
      </w:pPr>
      <w:rPr>
        <w:rFonts w:hint="default"/>
      </w:rPr>
    </w:lvl>
    <w:lvl w:ilvl="7" w:tplc="95F8DA10">
      <w:numFmt w:val="bullet"/>
      <w:lvlText w:val="•"/>
      <w:lvlJc w:val="left"/>
      <w:pPr>
        <w:ind w:left="1151" w:hanging="100"/>
      </w:pPr>
      <w:rPr>
        <w:rFonts w:hint="default"/>
      </w:rPr>
    </w:lvl>
    <w:lvl w:ilvl="8" w:tplc="4C06D188">
      <w:numFmt w:val="bullet"/>
      <w:lvlText w:val="•"/>
      <w:lvlJc w:val="left"/>
      <w:pPr>
        <w:ind w:left="1293" w:hanging="100"/>
      </w:pPr>
      <w:rPr>
        <w:rFonts w:hint="default"/>
      </w:rPr>
    </w:lvl>
  </w:abstractNum>
  <w:abstractNum w:abstractNumId="82" w15:restartNumberingAfterBreak="0">
    <w:nsid w:val="055F4751"/>
    <w:multiLevelType w:val="hybridMultilevel"/>
    <w:tmpl w:val="72208F12"/>
    <w:lvl w:ilvl="0" w:tplc="31643B58">
      <w:numFmt w:val="bullet"/>
      <w:lvlText w:val=""/>
      <w:lvlJc w:val="left"/>
      <w:pPr>
        <w:ind w:left="157" w:hanging="100"/>
      </w:pPr>
      <w:rPr>
        <w:rFonts w:ascii="Symbol" w:eastAsia="Symbol" w:hAnsi="Symbol" w:cs="Symbol" w:hint="default"/>
        <w:color w:val="231F20"/>
        <w:w w:val="100"/>
        <w:sz w:val="14"/>
        <w:szCs w:val="14"/>
      </w:rPr>
    </w:lvl>
    <w:lvl w:ilvl="1" w:tplc="17767688">
      <w:numFmt w:val="bullet"/>
      <w:lvlText w:val="•"/>
      <w:lvlJc w:val="left"/>
      <w:pPr>
        <w:ind w:left="369" w:hanging="100"/>
      </w:pPr>
      <w:rPr>
        <w:rFonts w:hint="default"/>
      </w:rPr>
    </w:lvl>
    <w:lvl w:ilvl="2" w:tplc="AF362AA2">
      <w:numFmt w:val="bullet"/>
      <w:lvlText w:val="•"/>
      <w:lvlJc w:val="left"/>
      <w:pPr>
        <w:ind w:left="579" w:hanging="100"/>
      </w:pPr>
      <w:rPr>
        <w:rFonts w:hint="default"/>
      </w:rPr>
    </w:lvl>
    <w:lvl w:ilvl="3" w:tplc="DB9EC510">
      <w:numFmt w:val="bullet"/>
      <w:lvlText w:val="•"/>
      <w:lvlJc w:val="left"/>
      <w:pPr>
        <w:ind w:left="789" w:hanging="100"/>
      </w:pPr>
      <w:rPr>
        <w:rFonts w:hint="default"/>
      </w:rPr>
    </w:lvl>
    <w:lvl w:ilvl="4" w:tplc="9C6EC0B6">
      <w:numFmt w:val="bullet"/>
      <w:lvlText w:val="•"/>
      <w:lvlJc w:val="left"/>
      <w:pPr>
        <w:ind w:left="998" w:hanging="100"/>
      </w:pPr>
      <w:rPr>
        <w:rFonts w:hint="default"/>
      </w:rPr>
    </w:lvl>
    <w:lvl w:ilvl="5" w:tplc="B2169AD4">
      <w:numFmt w:val="bullet"/>
      <w:lvlText w:val="•"/>
      <w:lvlJc w:val="left"/>
      <w:pPr>
        <w:ind w:left="1208" w:hanging="100"/>
      </w:pPr>
      <w:rPr>
        <w:rFonts w:hint="default"/>
      </w:rPr>
    </w:lvl>
    <w:lvl w:ilvl="6" w:tplc="28FEEBC6">
      <w:numFmt w:val="bullet"/>
      <w:lvlText w:val="•"/>
      <w:lvlJc w:val="left"/>
      <w:pPr>
        <w:ind w:left="1418" w:hanging="100"/>
      </w:pPr>
      <w:rPr>
        <w:rFonts w:hint="default"/>
      </w:rPr>
    </w:lvl>
    <w:lvl w:ilvl="7" w:tplc="AE3838DE">
      <w:numFmt w:val="bullet"/>
      <w:lvlText w:val="•"/>
      <w:lvlJc w:val="left"/>
      <w:pPr>
        <w:ind w:left="1627" w:hanging="100"/>
      </w:pPr>
      <w:rPr>
        <w:rFonts w:hint="default"/>
      </w:rPr>
    </w:lvl>
    <w:lvl w:ilvl="8" w:tplc="1FBCF064">
      <w:numFmt w:val="bullet"/>
      <w:lvlText w:val="•"/>
      <w:lvlJc w:val="left"/>
      <w:pPr>
        <w:ind w:left="1837" w:hanging="100"/>
      </w:pPr>
      <w:rPr>
        <w:rFonts w:hint="default"/>
      </w:rPr>
    </w:lvl>
  </w:abstractNum>
  <w:abstractNum w:abstractNumId="83" w15:restartNumberingAfterBreak="0">
    <w:nsid w:val="056C3F79"/>
    <w:multiLevelType w:val="hybridMultilevel"/>
    <w:tmpl w:val="91087954"/>
    <w:lvl w:ilvl="0" w:tplc="12B85976">
      <w:numFmt w:val="bullet"/>
      <w:lvlText w:val=""/>
      <w:lvlJc w:val="left"/>
      <w:pPr>
        <w:ind w:left="156" w:hanging="100"/>
      </w:pPr>
      <w:rPr>
        <w:rFonts w:ascii="Symbol" w:eastAsia="Symbol" w:hAnsi="Symbol" w:cs="Symbol" w:hint="default"/>
        <w:color w:val="231F20"/>
        <w:w w:val="100"/>
        <w:sz w:val="14"/>
        <w:szCs w:val="14"/>
      </w:rPr>
    </w:lvl>
    <w:lvl w:ilvl="1" w:tplc="7FB01448">
      <w:numFmt w:val="bullet"/>
      <w:lvlText w:val="•"/>
      <w:lvlJc w:val="left"/>
      <w:pPr>
        <w:ind w:left="301" w:hanging="100"/>
      </w:pPr>
      <w:rPr>
        <w:rFonts w:hint="default"/>
      </w:rPr>
    </w:lvl>
    <w:lvl w:ilvl="2" w:tplc="6CC42B9E">
      <w:numFmt w:val="bullet"/>
      <w:lvlText w:val="•"/>
      <w:lvlJc w:val="left"/>
      <w:pPr>
        <w:ind w:left="443" w:hanging="100"/>
      </w:pPr>
      <w:rPr>
        <w:rFonts w:hint="default"/>
      </w:rPr>
    </w:lvl>
    <w:lvl w:ilvl="3" w:tplc="BF86EFB0">
      <w:numFmt w:val="bullet"/>
      <w:lvlText w:val="•"/>
      <w:lvlJc w:val="left"/>
      <w:pPr>
        <w:ind w:left="585" w:hanging="100"/>
      </w:pPr>
      <w:rPr>
        <w:rFonts w:hint="default"/>
      </w:rPr>
    </w:lvl>
    <w:lvl w:ilvl="4" w:tplc="E624837A">
      <w:numFmt w:val="bullet"/>
      <w:lvlText w:val="•"/>
      <w:lvlJc w:val="left"/>
      <w:pPr>
        <w:ind w:left="726" w:hanging="100"/>
      </w:pPr>
      <w:rPr>
        <w:rFonts w:hint="default"/>
      </w:rPr>
    </w:lvl>
    <w:lvl w:ilvl="5" w:tplc="72EC472A">
      <w:numFmt w:val="bullet"/>
      <w:lvlText w:val="•"/>
      <w:lvlJc w:val="left"/>
      <w:pPr>
        <w:ind w:left="868" w:hanging="100"/>
      </w:pPr>
      <w:rPr>
        <w:rFonts w:hint="default"/>
      </w:rPr>
    </w:lvl>
    <w:lvl w:ilvl="6" w:tplc="AC5A72CC">
      <w:numFmt w:val="bullet"/>
      <w:lvlText w:val="•"/>
      <w:lvlJc w:val="left"/>
      <w:pPr>
        <w:ind w:left="1010" w:hanging="100"/>
      </w:pPr>
      <w:rPr>
        <w:rFonts w:hint="default"/>
      </w:rPr>
    </w:lvl>
    <w:lvl w:ilvl="7" w:tplc="5AC494F6">
      <w:numFmt w:val="bullet"/>
      <w:lvlText w:val="•"/>
      <w:lvlJc w:val="left"/>
      <w:pPr>
        <w:ind w:left="1151" w:hanging="100"/>
      </w:pPr>
      <w:rPr>
        <w:rFonts w:hint="default"/>
      </w:rPr>
    </w:lvl>
    <w:lvl w:ilvl="8" w:tplc="0F08E340">
      <w:numFmt w:val="bullet"/>
      <w:lvlText w:val="•"/>
      <w:lvlJc w:val="left"/>
      <w:pPr>
        <w:ind w:left="1293" w:hanging="100"/>
      </w:pPr>
      <w:rPr>
        <w:rFonts w:hint="default"/>
      </w:rPr>
    </w:lvl>
  </w:abstractNum>
  <w:abstractNum w:abstractNumId="84" w15:restartNumberingAfterBreak="0">
    <w:nsid w:val="05757A3D"/>
    <w:multiLevelType w:val="hybridMultilevel"/>
    <w:tmpl w:val="91CE07AC"/>
    <w:lvl w:ilvl="0" w:tplc="C35C12AA">
      <w:numFmt w:val="bullet"/>
      <w:lvlText w:val=""/>
      <w:lvlJc w:val="left"/>
      <w:pPr>
        <w:ind w:left="157" w:hanging="100"/>
      </w:pPr>
      <w:rPr>
        <w:rFonts w:ascii="Symbol" w:eastAsia="Symbol" w:hAnsi="Symbol" w:cs="Symbol" w:hint="default"/>
        <w:color w:val="231F20"/>
        <w:w w:val="100"/>
        <w:sz w:val="14"/>
        <w:szCs w:val="14"/>
      </w:rPr>
    </w:lvl>
    <w:lvl w:ilvl="1" w:tplc="8A02D2B0">
      <w:numFmt w:val="bullet"/>
      <w:lvlText w:val="•"/>
      <w:lvlJc w:val="left"/>
      <w:pPr>
        <w:ind w:left="369" w:hanging="100"/>
      </w:pPr>
      <w:rPr>
        <w:rFonts w:hint="default"/>
      </w:rPr>
    </w:lvl>
    <w:lvl w:ilvl="2" w:tplc="6400EDF6">
      <w:numFmt w:val="bullet"/>
      <w:lvlText w:val="•"/>
      <w:lvlJc w:val="left"/>
      <w:pPr>
        <w:ind w:left="579" w:hanging="100"/>
      </w:pPr>
      <w:rPr>
        <w:rFonts w:hint="default"/>
      </w:rPr>
    </w:lvl>
    <w:lvl w:ilvl="3" w:tplc="9C0C1C36">
      <w:numFmt w:val="bullet"/>
      <w:lvlText w:val="•"/>
      <w:lvlJc w:val="left"/>
      <w:pPr>
        <w:ind w:left="789" w:hanging="100"/>
      </w:pPr>
      <w:rPr>
        <w:rFonts w:hint="default"/>
      </w:rPr>
    </w:lvl>
    <w:lvl w:ilvl="4" w:tplc="CE704218">
      <w:numFmt w:val="bullet"/>
      <w:lvlText w:val="•"/>
      <w:lvlJc w:val="left"/>
      <w:pPr>
        <w:ind w:left="998" w:hanging="100"/>
      </w:pPr>
      <w:rPr>
        <w:rFonts w:hint="default"/>
      </w:rPr>
    </w:lvl>
    <w:lvl w:ilvl="5" w:tplc="F5C06C36">
      <w:numFmt w:val="bullet"/>
      <w:lvlText w:val="•"/>
      <w:lvlJc w:val="left"/>
      <w:pPr>
        <w:ind w:left="1208" w:hanging="100"/>
      </w:pPr>
      <w:rPr>
        <w:rFonts w:hint="default"/>
      </w:rPr>
    </w:lvl>
    <w:lvl w:ilvl="6" w:tplc="C5D61FB0">
      <w:numFmt w:val="bullet"/>
      <w:lvlText w:val="•"/>
      <w:lvlJc w:val="left"/>
      <w:pPr>
        <w:ind w:left="1418" w:hanging="100"/>
      </w:pPr>
      <w:rPr>
        <w:rFonts w:hint="default"/>
      </w:rPr>
    </w:lvl>
    <w:lvl w:ilvl="7" w:tplc="249E2E22">
      <w:numFmt w:val="bullet"/>
      <w:lvlText w:val="•"/>
      <w:lvlJc w:val="left"/>
      <w:pPr>
        <w:ind w:left="1627" w:hanging="100"/>
      </w:pPr>
      <w:rPr>
        <w:rFonts w:hint="default"/>
      </w:rPr>
    </w:lvl>
    <w:lvl w:ilvl="8" w:tplc="1FB271B0">
      <w:numFmt w:val="bullet"/>
      <w:lvlText w:val="•"/>
      <w:lvlJc w:val="left"/>
      <w:pPr>
        <w:ind w:left="1837" w:hanging="100"/>
      </w:pPr>
      <w:rPr>
        <w:rFonts w:hint="default"/>
      </w:rPr>
    </w:lvl>
  </w:abstractNum>
  <w:abstractNum w:abstractNumId="85" w15:restartNumberingAfterBreak="0">
    <w:nsid w:val="058850CE"/>
    <w:multiLevelType w:val="hybridMultilevel"/>
    <w:tmpl w:val="65DAC906"/>
    <w:lvl w:ilvl="0" w:tplc="86EC702E">
      <w:numFmt w:val="bullet"/>
      <w:lvlText w:val=""/>
      <w:lvlJc w:val="left"/>
      <w:pPr>
        <w:ind w:left="156" w:hanging="100"/>
      </w:pPr>
      <w:rPr>
        <w:rFonts w:ascii="Symbol" w:eastAsia="Symbol" w:hAnsi="Symbol" w:cs="Symbol" w:hint="default"/>
        <w:color w:val="231F20"/>
        <w:w w:val="100"/>
        <w:sz w:val="14"/>
        <w:szCs w:val="14"/>
      </w:rPr>
    </w:lvl>
    <w:lvl w:ilvl="1" w:tplc="34027B52">
      <w:numFmt w:val="bullet"/>
      <w:lvlText w:val="•"/>
      <w:lvlJc w:val="left"/>
      <w:pPr>
        <w:ind w:left="398" w:hanging="100"/>
      </w:pPr>
      <w:rPr>
        <w:rFonts w:hint="default"/>
      </w:rPr>
    </w:lvl>
    <w:lvl w:ilvl="2" w:tplc="985C9D84">
      <w:numFmt w:val="bullet"/>
      <w:lvlText w:val="•"/>
      <w:lvlJc w:val="left"/>
      <w:pPr>
        <w:ind w:left="636" w:hanging="100"/>
      </w:pPr>
      <w:rPr>
        <w:rFonts w:hint="default"/>
      </w:rPr>
    </w:lvl>
    <w:lvl w:ilvl="3" w:tplc="4AB2DF68">
      <w:numFmt w:val="bullet"/>
      <w:lvlText w:val="•"/>
      <w:lvlJc w:val="left"/>
      <w:pPr>
        <w:ind w:left="874" w:hanging="100"/>
      </w:pPr>
      <w:rPr>
        <w:rFonts w:hint="default"/>
      </w:rPr>
    </w:lvl>
    <w:lvl w:ilvl="4" w:tplc="49525878">
      <w:numFmt w:val="bullet"/>
      <w:lvlText w:val="•"/>
      <w:lvlJc w:val="left"/>
      <w:pPr>
        <w:ind w:left="1112" w:hanging="100"/>
      </w:pPr>
      <w:rPr>
        <w:rFonts w:hint="default"/>
      </w:rPr>
    </w:lvl>
    <w:lvl w:ilvl="5" w:tplc="7160E388">
      <w:numFmt w:val="bullet"/>
      <w:lvlText w:val="•"/>
      <w:lvlJc w:val="left"/>
      <w:pPr>
        <w:ind w:left="1350" w:hanging="100"/>
      </w:pPr>
      <w:rPr>
        <w:rFonts w:hint="default"/>
      </w:rPr>
    </w:lvl>
    <w:lvl w:ilvl="6" w:tplc="75C48376">
      <w:numFmt w:val="bullet"/>
      <w:lvlText w:val="•"/>
      <w:lvlJc w:val="left"/>
      <w:pPr>
        <w:ind w:left="1588" w:hanging="100"/>
      </w:pPr>
      <w:rPr>
        <w:rFonts w:hint="default"/>
      </w:rPr>
    </w:lvl>
    <w:lvl w:ilvl="7" w:tplc="A6546B6C">
      <w:numFmt w:val="bullet"/>
      <w:lvlText w:val="•"/>
      <w:lvlJc w:val="left"/>
      <w:pPr>
        <w:ind w:left="1826" w:hanging="100"/>
      </w:pPr>
      <w:rPr>
        <w:rFonts w:hint="default"/>
      </w:rPr>
    </w:lvl>
    <w:lvl w:ilvl="8" w:tplc="96AE3D86">
      <w:numFmt w:val="bullet"/>
      <w:lvlText w:val="•"/>
      <w:lvlJc w:val="left"/>
      <w:pPr>
        <w:ind w:left="2064" w:hanging="100"/>
      </w:pPr>
      <w:rPr>
        <w:rFonts w:hint="default"/>
      </w:rPr>
    </w:lvl>
  </w:abstractNum>
  <w:abstractNum w:abstractNumId="86" w15:restartNumberingAfterBreak="0">
    <w:nsid w:val="058E5402"/>
    <w:multiLevelType w:val="hybridMultilevel"/>
    <w:tmpl w:val="4166750A"/>
    <w:lvl w:ilvl="0" w:tplc="6CBA8B2C">
      <w:numFmt w:val="bullet"/>
      <w:lvlText w:val=""/>
      <w:lvlJc w:val="left"/>
      <w:pPr>
        <w:ind w:left="157" w:hanging="100"/>
      </w:pPr>
      <w:rPr>
        <w:rFonts w:ascii="Symbol" w:eastAsia="Symbol" w:hAnsi="Symbol" w:cs="Symbol" w:hint="default"/>
        <w:color w:val="231F20"/>
        <w:w w:val="100"/>
        <w:sz w:val="14"/>
        <w:szCs w:val="14"/>
      </w:rPr>
    </w:lvl>
    <w:lvl w:ilvl="1" w:tplc="7A661F40">
      <w:numFmt w:val="bullet"/>
      <w:lvlText w:val="•"/>
      <w:lvlJc w:val="left"/>
      <w:pPr>
        <w:ind w:left="426" w:hanging="100"/>
      </w:pPr>
      <w:rPr>
        <w:rFonts w:hint="default"/>
      </w:rPr>
    </w:lvl>
    <w:lvl w:ilvl="2" w:tplc="33824D40">
      <w:numFmt w:val="bullet"/>
      <w:lvlText w:val="•"/>
      <w:lvlJc w:val="left"/>
      <w:pPr>
        <w:ind w:left="692" w:hanging="100"/>
      </w:pPr>
      <w:rPr>
        <w:rFonts w:hint="default"/>
      </w:rPr>
    </w:lvl>
    <w:lvl w:ilvl="3" w:tplc="292E205A">
      <w:numFmt w:val="bullet"/>
      <w:lvlText w:val="•"/>
      <w:lvlJc w:val="left"/>
      <w:pPr>
        <w:ind w:left="959" w:hanging="100"/>
      </w:pPr>
      <w:rPr>
        <w:rFonts w:hint="default"/>
      </w:rPr>
    </w:lvl>
    <w:lvl w:ilvl="4" w:tplc="98FEDF48">
      <w:numFmt w:val="bullet"/>
      <w:lvlText w:val="•"/>
      <w:lvlJc w:val="left"/>
      <w:pPr>
        <w:ind w:left="1225" w:hanging="100"/>
      </w:pPr>
      <w:rPr>
        <w:rFonts w:hint="default"/>
      </w:rPr>
    </w:lvl>
    <w:lvl w:ilvl="5" w:tplc="4F34D354">
      <w:numFmt w:val="bullet"/>
      <w:lvlText w:val="•"/>
      <w:lvlJc w:val="left"/>
      <w:pPr>
        <w:ind w:left="1492" w:hanging="100"/>
      </w:pPr>
      <w:rPr>
        <w:rFonts w:hint="default"/>
      </w:rPr>
    </w:lvl>
    <w:lvl w:ilvl="6" w:tplc="B74EDDF0">
      <w:numFmt w:val="bullet"/>
      <w:lvlText w:val="•"/>
      <w:lvlJc w:val="left"/>
      <w:pPr>
        <w:ind w:left="1758" w:hanging="100"/>
      </w:pPr>
      <w:rPr>
        <w:rFonts w:hint="default"/>
      </w:rPr>
    </w:lvl>
    <w:lvl w:ilvl="7" w:tplc="BC6270F6">
      <w:numFmt w:val="bullet"/>
      <w:lvlText w:val="•"/>
      <w:lvlJc w:val="left"/>
      <w:pPr>
        <w:ind w:left="2024" w:hanging="100"/>
      </w:pPr>
      <w:rPr>
        <w:rFonts w:hint="default"/>
      </w:rPr>
    </w:lvl>
    <w:lvl w:ilvl="8" w:tplc="318AEAF8">
      <w:numFmt w:val="bullet"/>
      <w:lvlText w:val="•"/>
      <w:lvlJc w:val="left"/>
      <w:pPr>
        <w:ind w:left="2291" w:hanging="100"/>
      </w:pPr>
      <w:rPr>
        <w:rFonts w:hint="default"/>
      </w:rPr>
    </w:lvl>
  </w:abstractNum>
  <w:abstractNum w:abstractNumId="87" w15:restartNumberingAfterBreak="0">
    <w:nsid w:val="05913040"/>
    <w:multiLevelType w:val="hybridMultilevel"/>
    <w:tmpl w:val="61A8CEBE"/>
    <w:lvl w:ilvl="0" w:tplc="EBBE78DC">
      <w:numFmt w:val="bullet"/>
      <w:lvlText w:val=""/>
      <w:lvlJc w:val="left"/>
      <w:pPr>
        <w:ind w:left="156" w:hanging="100"/>
      </w:pPr>
      <w:rPr>
        <w:rFonts w:ascii="Symbol" w:eastAsia="Symbol" w:hAnsi="Symbol" w:cs="Symbol" w:hint="default"/>
        <w:color w:val="231F20"/>
        <w:w w:val="100"/>
        <w:sz w:val="14"/>
        <w:szCs w:val="14"/>
      </w:rPr>
    </w:lvl>
    <w:lvl w:ilvl="1" w:tplc="0094A6DA">
      <w:numFmt w:val="bullet"/>
      <w:lvlText w:val="•"/>
      <w:lvlJc w:val="left"/>
      <w:pPr>
        <w:ind w:left="454" w:hanging="100"/>
      </w:pPr>
      <w:rPr>
        <w:rFonts w:hint="default"/>
      </w:rPr>
    </w:lvl>
    <w:lvl w:ilvl="2" w:tplc="6A722B5E">
      <w:numFmt w:val="bullet"/>
      <w:lvlText w:val="•"/>
      <w:lvlJc w:val="left"/>
      <w:pPr>
        <w:ind w:left="749" w:hanging="100"/>
      </w:pPr>
      <w:rPr>
        <w:rFonts w:hint="default"/>
      </w:rPr>
    </w:lvl>
    <w:lvl w:ilvl="3" w:tplc="286AB244">
      <w:numFmt w:val="bullet"/>
      <w:lvlText w:val="•"/>
      <w:lvlJc w:val="left"/>
      <w:pPr>
        <w:ind w:left="1044" w:hanging="100"/>
      </w:pPr>
      <w:rPr>
        <w:rFonts w:hint="default"/>
      </w:rPr>
    </w:lvl>
    <w:lvl w:ilvl="4" w:tplc="55B8CB8E">
      <w:numFmt w:val="bullet"/>
      <w:lvlText w:val="•"/>
      <w:lvlJc w:val="left"/>
      <w:pPr>
        <w:ind w:left="1339" w:hanging="100"/>
      </w:pPr>
      <w:rPr>
        <w:rFonts w:hint="default"/>
      </w:rPr>
    </w:lvl>
    <w:lvl w:ilvl="5" w:tplc="913AFC0E">
      <w:numFmt w:val="bullet"/>
      <w:lvlText w:val="•"/>
      <w:lvlJc w:val="left"/>
      <w:pPr>
        <w:ind w:left="1634" w:hanging="100"/>
      </w:pPr>
      <w:rPr>
        <w:rFonts w:hint="default"/>
      </w:rPr>
    </w:lvl>
    <w:lvl w:ilvl="6" w:tplc="3D6EFEF8">
      <w:numFmt w:val="bullet"/>
      <w:lvlText w:val="•"/>
      <w:lvlJc w:val="left"/>
      <w:pPr>
        <w:ind w:left="1928" w:hanging="100"/>
      </w:pPr>
      <w:rPr>
        <w:rFonts w:hint="default"/>
      </w:rPr>
    </w:lvl>
    <w:lvl w:ilvl="7" w:tplc="FF82AECA">
      <w:numFmt w:val="bullet"/>
      <w:lvlText w:val="•"/>
      <w:lvlJc w:val="left"/>
      <w:pPr>
        <w:ind w:left="2223" w:hanging="100"/>
      </w:pPr>
      <w:rPr>
        <w:rFonts w:hint="default"/>
      </w:rPr>
    </w:lvl>
    <w:lvl w:ilvl="8" w:tplc="F48EAC1E">
      <w:numFmt w:val="bullet"/>
      <w:lvlText w:val="•"/>
      <w:lvlJc w:val="left"/>
      <w:pPr>
        <w:ind w:left="2518" w:hanging="100"/>
      </w:pPr>
      <w:rPr>
        <w:rFonts w:hint="default"/>
      </w:rPr>
    </w:lvl>
  </w:abstractNum>
  <w:abstractNum w:abstractNumId="88" w15:restartNumberingAfterBreak="0">
    <w:nsid w:val="05941BA5"/>
    <w:multiLevelType w:val="hybridMultilevel"/>
    <w:tmpl w:val="70C00660"/>
    <w:lvl w:ilvl="0" w:tplc="D6ECA9C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BA584908">
      <w:numFmt w:val="bullet"/>
      <w:lvlText w:val="•"/>
      <w:lvlJc w:val="left"/>
      <w:pPr>
        <w:ind w:left="351" w:hanging="84"/>
      </w:pPr>
      <w:rPr>
        <w:rFonts w:hint="default"/>
      </w:rPr>
    </w:lvl>
    <w:lvl w:ilvl="2" w:tplc="427286A2">
      <w:numFmt w:val="bullet"/>
      <w:lvlText w:val="•"/>
      <w:lvlJc w:val="left"/>
      <w:pPr>
        <w:ind w:left="563" w:hanging="84"/>
      </w:pPr>
      <w:rPr>
        <w:rFonts w:hint="default"/>
      </w:rPr>
    </w:lvl>
    <w:lvl w:ilvl="3" w:tplc="91CA9BD2">
      <w:numFmt w:val="bullet"/>
      <w:lvlText w:val="•"/>
      <w:lvlJc w:val="left"/>
      <w:pPr>
        <w:ind w:left="775" w:hanging="84"/>
      </w:pPr>
      <w:rPr>
        <w:rFonts w:hint="default"/>
      </w:rPr>
    </w:lvl>
    <w:lvl w:ilvl="4" w:tplc="5CAA5388">
      <w:numFmt w:val="bullet"/>
      <w:lvlText w:val="•"/>
      <w:lvlJc w:val="left"/>
      <w:pPr>
        <w:ind w:left="986" w:hanging="84"/>
      </w:pPr>
      <w:rPr>
        <w:rFonts w:hint="default"/>
      </w:rPr>
    </w:lvl>
    <w:lvl w:ilvl="5" w:tplc="12B611CE">
      <w:numFmt w:val="bullet"/>
      <w:lvlText w:val="•"/>
      <w:lvlJc w:val="left"/>
      <w:pPr>
        <w:ind w:left="1198" w:hanging="84"/>
      </w:pPr>
      <w:rPr>
        <w:rFonts w:hint="default"/>
      </w:rPr>
    </w:lvl>
    <w:lvl w:ilvl="6" w:tplc="6E063FEE">
      <w:numFmt w:val="bullet"/>
      <w:lvlText w:val="•"/>
      <w:lvlJc w:val="left"/>
      <w:pPr>
        <w:ind w:left="1410" w:hanging="84"/>
      </w:pPr>
      <w:rPr>
        <w:rFonts w:hint="default"/>
      </w:rPr>
    </w:lvl>
    <w:lvl w:ilvl="7" w:tplc="ED52EA08">
      <w:numFmt w:val="bullet"/>
      <w:lvlText w:val="•"/>
      <w:lvlJc w:val="left"/>
      <w:pPr>
        <w:ind w:left="1621" w:hanging="84"/>
      </w:pPr>
      <w:rPr>
        <w:rFonts w:hint="default"/>
      </w:rPr>
    </w:lvl>
    <w:lvl w:ilvl="8" w:tplc="F85A3402">
      <w:numFmt w:val="bullet"/>
      <w:lvlText w:val="•"/>
      <w:lvlJc w:val="left"/>
      <w:pPr>
        <w:ind w:left="1833" w:hanging="84"/>
      </w:pPr>
      <w:rPr>
        <w:rFonts w:hint="default"/>
      </w:rPr>
    </w:lvl>
  </w:abstractNum>
  <w:abstractNum w:abstractNumId="89" w15:restartNumberingAfterBreak="0">
    <w:nsid w:val="059A1411"/>
    <w:multiLevelType w:val="hybridMultilevel"/>
    <w:tmpl w:val="E4D0C590"/>
    <w:lvl w:ilvl="0" w:tplc="C49C4880">
      <w:numFmt w:val="bullet"/>
      <w:lvlText w:val=""/>
      <w:lvlJc w:val="left"/>
      <w:pPr>
        <w:ind w:left="156" w:hanging="100"/>
      </w:pPr>
      <w:rPr>
        <w:rFonts w:ascii="Symbol" w:eastAsia="Symbol" w:hAnsi="Symbol" w:cs="Symbol" w:hint="default"/>
        <w:color w:val="231F20"/>
        <w:w w:val="100"/>
        <w:sz w:val="14"/>
        <w:szCs w:val="14"/>
      </w:rPr>
    </w:lvl>
    <w:lvl w:ilvl="1" w:tplc="ED127E4E">
      <w:numFmt w:val="bullet"/>
      <w:lvlText w:val="•"/>
      <w:lvlJc w:val="left"/>
      <w:pPr>
        <w:ind w:left="301" w:hanging="100"/>
      </w:pPr>
      <w:rPr>
        <w:rFonts w:hint="default"/>
      </w:rPr>
    </w:lvl>
    <w:lvl w:ilvl="2" w:tplc="F6B655B4">
      <w:numFmt w:val="bullet"/>
      <w:lvlText w:val="•"/>
      <w:lvlJc w:val="left"/>
      <w:pPr>
        <w:ind w:left="443" w:hanging="100"/>
      </w:pPr>
      <w:rPr>
        <w:rFonts w:hint="default"/>
      </w:rPr>
    </w:lvl>
    <w:lvl w:ilvl="3" w:tplc="7406AD04">
      <w:numFmt w:val="bullet"/>
      <w:lvlText w:val="•"/>
      <w:lvlJc w:val="left"/>
      <w:pPr>
        <w:ind w:left="585" w:hanging="100"/>
      </w:pPr>
      <w:rPr>
        <w:rFonts w:hint="default"/>
      </w:rPr>
    </w:lvl>
    <w:lvl w:ilvl="4" w:tplc="F43AE210">
      <w:numFmt w:val="bullet"/>
      <w:lvlText w:val="•"/>
      <w:lvlJc w:val="left"/>
      <w:pPr>
        <w:ind w:left="726" w:hanging="100"/>
      </w:pPr>
      <w:rPr>
        <w:rFonts w:hint="default"/>
      </w:rPr>
    </w:lvl>
    <w:lvl w:ilvl="5" w:tplc="22A80B84">
      <w:numFmt w:val="bullet"/>
      <w:lvlText w:val="•"/>
      <w:lvlJc w:val="left"/>
      <w:pPr>
        <w:ind w:left="868" w:hanging="100"/>
      </w:pPr>
      <w:rPr>
        <w:rFonts w:hint="default"/>
      </w:rPr>
    </w:lvl>
    <w:lvl w:ilvl="6" w:tplc="0E04FE1E">
      <w:numFmt w:val="bullet"/>
      <w:lvlText w:val="•"/>
      <w:lvlJc w:val="left"/>
      <w:pPr>
        <w:ind w:left="1010" w:hanging="100"/>
      </w:pPr>
      <w:rPr>
        <w:rFonts w:hint="default"/>
      </w:rPr>
    </w:lvl>
    <w:lvl w:ilvl="7" w:tplc="71DC93FE">
      <w:numFmt w:val="bullet"/>
      <w:lvlText w:val="•"/>
      <w:lvlJc w:val="left"/>
      <w:pPr>
        <w:ind w:left="1151" w:hanging="100"/>
      </w:pPr>
      <w:rPr>
        <w:rFonts w:hint="default"/>
      </w:rPr>
    </w:lvl>
    <w:lvl w:ilvl="8" w:tplc="E2962CE0">
      <w:numFmt w:val="bullet"/>
      <w:lvlText w:val="•"/>
      <w:lvlJc w:val="left"/>
      <w:pPr>
        <w:ind w:left="1293" w:hanging="100"/>
      </w:pPr>
      <w:rPr>
        <w:rFonts w:hint="default"/>
      </w:rPr>
    </w:lvl>
  </w:abstractNum>
  <w:abstractNum w:abstractNumId="90" w15:restartNumberingAfterBreak="0">
    <w:nsid w:val="05A832C4"/>
    <w:multiLevelType w:val="hybridMultilevel"/>
    <w:tmpl w:val="AFE69FFE"/>
    <w:lvl w:ilvl="0" w:tplc="614E451C">
      <w:numFmt w:val="bullet"/>
      <w:lvlText w:val=""/>
      <w:lvlJc w:val="left"/>
      <w:pPr>
        <w:ind w:left="157" w:hanging="100"/>
      </w:pPr>
      <w:rPr>
        <w:rFonts w:ascii="Symbol" w:eastAsia="Symbol" w:hAnsi="Symbol" w:cs="Symbol" w:hint="default"/>
        <w:color w:val="231F20"/>
        <w:w w:val="100"/>
        <w:sz w:val="14"/>
        <w:szCs w:val="14"/>
      </w:rPr>
    </w:lvl>
    <w:lvl w:ilvl="1" w:tplc="C82276E0">
      <w:numFmt w:val="bullet"/>
      <w:lvlText w:val="•"/>
      <w:lvlJc w:val="left"/>
      <w:pPr>
        <w:ind w:left="369" w:hanging="100"/>
      </w:pPr>
      <w:rPr>
        <w:rFonts w:hint="default"/>
      </w:rPr>
    </w:lvl>
    <w:lvl w:ilvl="2" w:tplc="CDEA2CD2">
      <w:numFmt w:val="bullet"/>
      <w:lvlText w:val="•"/>
      <w:lvlJc w:val="left"/>
      <w:pPr>
        <w:ind w:left="579" w:hanging="100"/>
      </w:pPr>
      <w:rPr>
        <w:rFonts w:hint="default"/>
      </w:rPr>
    </w:lvl>
    <w:lvl w:ilvl="3" w:tplc="03CE6598">
      <w:numFmt w:val="bullet"/>
      <w:lvlText w:val="•"/>
      <w:lvlJc w:val="left"/>
      <w:pPr>
        <w:ind w:left="789" w:hanging="100"/>
      </w:pPr>
      <w:rPr>
        <w:rFonts w:hint="default"/>
      </w:rPr>
    </w:lvl>
    <w:lvl w:ilvl="4" w:tplc="EBA49CBE">
      <w:numFmt w:val="bullet"/>
      <w:lvlText w:val="•"/>
      <w:lvlJc w:val="left"/>
      <w:pPr>
        <w:ind w:left="998" w:hanging="100"/>
      </w:pPr>
      <w:rPr>
        <w:rFonts w:hint="default"/>
      </w:rPr>
    </w:lvl>
    <w:lvl w:ilvl="5" w:tplc="A830BBB8">
      <w:numFmt w:val="bullet"/>
      <w:lvlText w:val="•"/>
      <w:lvlJc w:val="left"/>
      <w:pPr>
        <w:ind w:left="1208" w:hanging="100"/>
      </w:pPr>
      <w:rPr>
        <w:rFonts w:hint="default"/>
      </w:rPr>
    </w:lvl>
    <w:lvl w:ilvl="6" w:tplc="38EC4486">
      <w:numFmt w:val="bullet"/>
      <w:lvlText w:val="•"/>
      <w:lvlJc w:val="left"/>
      <w:pPr>
        <w:ind w:left="1418" w:hanging="100"/>
      </w:pPr>
      <w:rPr>
        <w:rFonts w:hint="default"/>
      </w:rPr>
    </w:lvl>
    <w:lvl w:ilvl="7" w:tplc="44ACF6E8">
      <w:numFmt w:val="bullet"/>
      <w:lvlText w:val="•"/>
      <w:lvlJc w:val="left"/>
      <w:pPr>
        <w:ind w:left="1627" w:hanging="100"/>
      </w:pPr>
      <w:rPr>
        <w:rFonts w:hint="default"/>
      </w:rPr>
    </w:lvl>
    <w:lvl w:ilvl="8" w:tplc="E0B041D0">
      <w:numFmt w:val="bullet"/>
      <w:lvlText w:val="•"/>
      <w:lvlJc w:val="left"/>
      <w:pPr>
        <w:ind w:left="1837" w:hanging="100"/>
      </w:pPr>
      <w:rPr>
        <w:rFonts w:hint="default"/>
      </w:rPr>
    </w:lvl>
  </w:abstractNum>
  <w:abstractNum w:abstractNumId="91" w15:restartNumberingAfterBreak="0">
    <w:nsid w:val="05AB2125"/>
    <w:multiLevelType w:val="hybridMultilevel"/>
    <w:tmpl w:val="7F322268"/>
    <w:lvl w:ilvl="0" w:tplc="4D1A2FFC">
      <w:numFmt w:val="bullet"/>
      <w:lvlText w:val=""/>
      <w:lvlJc w:val="left"/>
      <w:pPr>
        <w:ind w:left="156" w:hanging="100"/>
      </w:pPr>
      <w:rPr>
        <w:rFonts w:ascii="Symbol" w:eastAsia="Symbol" w:hAnsi="Symbol" w:cs="Symbol" w:hint="default"/>
        <w:color w:val="231F20"/>
        <w:w w:val="100"/>
        <w:sz w:val="14"/>
        <w:szCs w:val="14"/>
      </w:rPr>
    </w:lvl>
    <w:lvl w:ilvl="1" w:tplc="295AACA0">
      <w:numFmt w:val="bullet"/>
      <w:lvlText w:val="•"/>
      <w:lvlJc w:val="left"/>
      <w:pPr>
        <w:ind w:left="301" w:hanging="100"/>
      </w:pPr>
      <w:rPr>
        <w:rFonts w:hint="default"/>
      </w:rPr>
    </w:lvl>
    <w:lvl w:ilvl="2" w:tplc="1C6CAB10">
      <w:numFmt w:val="bullet"/>
      <w:lvlText w:val="•"/>
      <w:lvlJc w:val="left"/>
      <w:pPr>
        <w:ind w:left="443" w:hanging="100"/>
      </w:pPr>
      <w:rPr>
        <w:rFonts w:hint="default"/>
      </w:rPr>
    </w:lvl>
    <w:lvl w:ilvl="3" w:tplc="2592D5B0">
      <w:numFmt w:val="bullet"/>
      <w:lvlText w:val="•"/>
      <w:lvlJc w:val="left"/>
      <w:pPr>
        <w:ind w:left="585" w:hanging="100"/>
      </w:pPr>
      <w:rPr>
        <w:rFonts w:hint="default"/>
      </w:rPr>
    </w:lvl>
    <w:lvl w:ilvl="4" w:tplc="79DC57FE">
      <w:numFmt w:val="bullet"/>
      <w:lvlText w:val="•"/>
      <w:lvlJc w:val="left"/>
      <w:pPr>
        <w:ind w:left="726" w:hanging="100"/>
      </w:pPr>
      <w:rPr>
        <w:rFonts w:hint="default"/>
      </w:rPr>
    </w:lvl>
    <w:lvl w:ilvl="5" w:tplc="0818DCAE">
      <w:numFmt w:val="bullet"/>
      <w:lvlText w:val="•"/>
      <w:lvlJc w:val="left"/>
      <w:pPr>
        <w:ind w:left="868" w:hanging="100"/>
      </w:pPr>
      <w:rPr>
        <w:rFonts w:hint="default"/>
      </w:rPr>
    </w:lvl>
    <w:lvl w:ilvl="6" w:tplc="9D2298F8">
      <w:numFmt w:val="bullet"/>
      <w:lvlText w:val="•"/>
      <w:lvlJc w:val="left"/>
      <w:pPr>
        <w:ind w:left="1010" w:hanging="100"/>
      </w:pPr>
      <w:rPr>
        <w:rFonts w:hint="default"/>
      </w:rPr>
    </w:lvl>
    <w:lvl w:ilvl="7" w:tplc="D2AA74AA">
      <w:numFmt w:val="bullet"/>
      <w:lvlText w:val="•"/>
      <w:lvlJc w:val="left"/>
      <w:pPr>
        <w:ind w:left="1151" w:hanging="100"/>
      </w:pPr>
      <w:rPr>
        <w:rFonts w:hint="default"/>
      </w:rPr>
    </w:lvl>
    <w:lvl w:ilvl="8" w:tplc="03E8537A">
      <w:numFmt w:val="bullet"/>
      <w:lvlText w:val="•"/>
      <w:lvlJc w:val="left"/>
      <w:pPr>
        <w:ind w:left="1293" w:hanging="100"/>
      </w:pPr>
      <w:rPr>
        <w:rFonts w:hint="default"/>
      </w:rPr>
    </w:lvl>
  </w:abstractNum>
  <w:abstractNum w:abstractNumId="92" w15:restartNumberingAfterBreak="0">
    <w:nsid w:val="05AD6C62"/>
    <w:multiLevelType w:val="hybridMultilevel"/>
    <w:tmpl w:val="5C7C75D2"/>
    <w:lvl w:ilvl="0" w:tplc="84F64144">
      <w:numFmt w:val="bullet"/>
      <w:lvlText w:val=""/>
      <w:lvlJc w:val="left"/>
      <w:pPr>
        <w:ind w:left="156" w:hanging="100"/>
      </w:pPr>
      <w:rPr>
        <w:rFonts w:ascii="Symbol" w:eastAsia="Symbol" w:hAnsi="Symbol" w:cs="Symbol" w:hint="default"/>
        <w:color w:val="231F20"/>
        <w:w w:val="100"/>
        <w:sz w:val="14"/>
        <w:szCs w:val="14"/>
      </w:rPr>
    </w:lvl>
    <w:lvl w:ilvl="1" w:tplc="5908E6D6">
      <w:numFmt w:val="bullet"/>
      <w:lvlText w:val="•"/>
      <w:lvlJc w:val="left"/>
      <w:pPr>
        <w:ind w:left="301" w:hanging="100"/>
      </w:pPr>
      <w:rPr>
        <w:rFonts w:hint="default"/>
      </w:rPr>
    </w:lvl>
    <w:lvl w:ilvl="2" w:tplc="30DCEBCC">
      <w:numFmt w:val="bullet"/>
      <w:lvlText w:val="•"/>
      <w:lvlJc w:val="left"/>
      <w:pPr>
        <w:ind w:left="443" w:hanging="100"/>
      </w:pPr>
      <w:rPr>
        <w:rFonts w:hint="default"/>
      </w:rPr>
    </w:lvl>
    <w:lvl w:ilvl="3" w:tplc="7EECC1E2">
      <w:numFmt w:val="bullet"/>
      <w:lvlText w:val="•"/>
      <w:lvlJc w:val="left"/>
      <w:pPr>
        <w:ind w:left="585" w:hanging="100"/>
      </w:pPr>
      <w:rPr>
        <w:rFonts w:hint="default"/>
      </w:rPr>
    </w:lvl>
    <w:lvl w:ilvl="4" w:tplc="894CC464">
      <w:numFmt w:val="bullet"/>
      <w:lvlText w:val="•"/>
      <w:lvlJc w:val="left"/>
      <w:pPr>
        <w:ind w:left="726" w:hanging="100"/>
      </w:pPr>
      <w:rPr>
        <w:rFonts w:hint="default"/>
      </w:rPr>
    </w:lvl>
    <w:lvl w:ilvl="5" w:tplc="BCE899E0">
      <w:numFmt w:val="bullet"/>
      <w:lvlText w:val="•"/>
      <w:lvlJc w:val="left"/>
      <w:pPr>
        <w:ind w:left="868" w:hanging="100"/>
      </w:pPr>
      <w:rPr>
        <w:rFonts w:hint="default"/>
      </w:rPr>
    </w:lvl>
    <w:lvl w:ilvl="6" w:tplc="D4B828B2">
      <w:numFmt w:val="bullet"/>
      <w:lvlText w:val="•"/>
      <w:lvlJc w:val="left"/>
      <w:pPr>
        <w:ind w:left="1010" w:hanging="100"/>
      </w:pPr>
      <w:rPr>
        <w:rFonts w:hint="default"/>
      </w:rPr>
    </w:lvl>
    <w:lvl w:ilvl="7" w:tplc="87EA8186">
      <w:numFmt w:val="bullet"/>
      <w:lvlText w:val="•"/>
      <w:lvlJc w:val="left"/>
      <w:pPr>
        <w:ind w:left="1151" w:hanging="100"/>
      </w:pPr>
      <w:rPr>
        <w:rFonts w:hint="default"/>
      </w:rPr>
    </w:lvl>
    <w:lvl w:ilvl="8" w:tplc="86585AA6">
      <w:numFmt w:val="bullet"/>
      <w:lvlText w:val="•"/>
      <w:lvlJc w:val="left"/>
      <w:pPr>
        <w:ind w:left="1293" w:hanging="100"/>
      </w:pPr>
      <w:rPr>
        <w:rFonts w:hint="default"/>
      </w:rPr>
    </w:lvl>
  </w:abstractNum>
  <w:abstractNum w:abstractNumId="93" w15:restartNumberingAfterBreak="0">
    <w:nsid w:val="05C61CCF"/>
    <w:multiLevelType w:val="hybridMultilevel"/>
    <w:tmpl w:val="DFB810A2"/>
    <w:lvl w:ilvl="0" w:tplc="6C684C52">
      <w:numFmt w:val="bullet"/>
      <w:lvlText w:val=""/>
      <w:lvlJc w:val="left"/>
      <w:pPr>
        <w:ind w:left="156" w:hanging="100"/>
      </w:pPr>
      <w:rPr>
        <w:rFonts w:ascii="Symbol" w:eastAsia="Symbol" w:hAnsi="Symbol" w:cs="Symbol" w:hint="default"/>
        <w:color w:val="231F20"/>
        <w:w w:val="100"/>
        <w:sz w:val="14"/>
        <w:szCs w:val="14"/>
      </w:rPr>
    </w:lvl>
    <w:lvl w:ilvl="1" w:tplc="3FA64364">
      <w:numFmt w:val="bullet"/>
      <w:lvlText w:val="•"/>
      <w:lvlJc w:val="left"/>
      <w:pPr>
        <w:ind w:left="398" w:hanging="100"/>
      </w:pPr>
      <w:rPr>
        <w:rFonts w:hint="default"/>
      </w:rPr>
    </w:lvl>
    <w:lvl w:ilvl="2" w:tplc="DB5A9F54">
      <w:numFmt w:val="bullet"/>
      <w:lvlText w:val="•"/>
      <w:lvlJc w:val="left"/>
      <w:pPr>
        <w:ind w:left="636" w:hanging="100"/>
      </w:pPr>
      <w:rPr>
        <w:rFonts w:hint="default"/>
      </w:rPr>
    </w:lvl>
    <w:lvl w:ilvl="3" w:tplc="0088D752">
      <w:numFmt w:val="bullet"/>
      <w:lvlText w:val="•"/>
      <w:lvlJc w:val="left"/>
      <w:pPr>
        <w:ind w:left="874" w:hanging="100"/>
      </w:pPr>
      <w:rPr>
        <w:rFonts w:hint="default"/>
      </w:rPr>
    </w:lvl>
    <w:lvl w:ilvl="4" w:tplc="DD662CCE">
      <w:numFmt w:val="bullet"/>
      <w:lvlText w:val="•"/>
      <w:lvlJc w:val="left"/>
      <w:pPr>
        <w:ind w:left="1112" w:hanging="100"/>
      </w:pPr>
      <w:rPr>
        <w:rFonts w:hint="default"/>
      </w:rPr>
    </w:lvl>
    <w:lvl w:ilvl="5" w:tplc="24A8BDDA">
      <w:numFmt w:val="bullet"/>
      <w:lvlText w:val="•"/>
      <w:lvlJc w:val="left"/>
      <w:pPr>
        <w:ind w:left="1350" w:hanging="100"/>
      </w:pPr>
      <w:rPr>
        <w:rFonts w:hint="default"/>
      </w:rPr>
    </w:lvl>
    <w:lvl w:ilvl="6" w:tplc="CC404CAA">
      <w:numFmt w:val="bullet"/>
      <w:lvlText w:val="•"/>
      <w:lvlJc w:val="left"/>
      <w:pPr>
        <w:ind w:left="1588" w:hanging="100"/>
      </w:pPr>
      <w:rPr>
        <w:rFonts w:hint="default"/>
      </w:rPr>
    </w:lvl>
    <w:lvl w:ilvl="7" w:tplc="743C7C80">
      <w:numFmt w:val="bullet"/>
      <w:lvlText w:val="•"/>
      <w:lvlJc w:val="left"/>
      <w:pPr>
        <w:ind w:left="1826" w:hanging="100"/>
      </w:pPr>
      <w:rPr>
        <w:rFonts w:hint="default"/>
      </w:rPr>
    </w:lvl>
    <w:lvl w:ilvl="8" w:tplc="9E4C3340">
      <w:numFmt w:val="bullet"/>
      <w:lvlText w:val="•"/>
      <w:lvlJc w:val="left"/>
      <w:pPr>
        <w:ind w:left="2064" w:hanging="100"/>
      </w:pPr>
      <w:rPr>
        <w:rFonts w:hint="default"/>
      </w:rPr>
    </w:lvl>
  </w:abstractNum>
  <w:abstractNum w:abstractNumId="94" w15:restartNumberingAfterBreak="0">
    <w:nsid w:val="05CA5438"/>
    <w:multiLevelType w:val="hybridMultilevel"/>
    <w:tmpl w:val="7354E4C4"/>
    <w:lvl w:ilvl="0" w:tplc="DF020674">
      <w:numFmt w:val="bullet"/>
      <w:lvlText w:val=""/>
      <w:lvlJc w:val="left"/>
      <w:pPr>
        <w:ind w:left="156" w:hanging="100"/>
      </w:pPr>
      <w:rPr>
        <w:rFonts w:ascii="Symbol" w:eastAsia="Symbol" w:hAnsi="Symbol" w:cs="Symbol" w:hint="default"/>
        <w:color w:val="231F20"/>
        <w:w w:val="100"/>
        <w:sz w:val="14"/>
        <w:szCs w:val="14"/>
      </w:rPr>
    </w:lvl>
    <w:lvl w:ilvl="1" w:tplc="F620AC5E">
      <w:numFmt w:val="bullet"/>
      <w:lvlText w:val="•"/>
      <w:lvlJc w:val="left"/>
      <w:pPr>
        <w:ind w:left="301" w:hanging="100"/>
      </w:pPr>
      <w:rPr>
        <w:rFonts w:hint="default"/>
      </w:rPr>
    </w:lvl>
    <w:lvl w:ilvl="2" w:tplc="16004C42">
      <w:numFmt w:val="bullet"/>
      <w:lvlText w:val="•"/>
      <w:lvlJc w:val="left"/>
      <w:pPr>
        <w:ind w:left="443" w:hanging="100"/>
      </w:pPr>
      <w:rPr>
        <w:rFonts w:hint="default"/>
      </w:rPr>
    </w:lvl>
    <w:lvl w:ilvl="3" w:tplc="0008A620">
      <w:numFmt w:val="bullet"/>
      <w:lvlText w:val="•"/>
      <w:lvlJc w:val="left"/>
      <w:pPr>
        <w:ind w:left="585" w:hanging="100"/>
      </w:pPr>
      <w:rPr>
        <w:rFonts w:hint="default"/>
      </w:rPr>
    </w:lvl>
    <w:lvl w:ilvl="4" w:tplc="86AC0D94">
      <w:numFmt w:val="bullet"/>
      <w:lvlText w:val="•"/>
      <w:lvlJc w:val="left"/>
      <w:pPr>
        <w:ind w:left="726" w:hanging="100"/>
      </w:pPr>
      <w:rPr>
        <w:rFonts w:hint="default"/>
      </w:rPr>
    </w:lvl>
    <w:lvl w:ilvl="5" w:tplc="6ABC1FD0">
      <w:numFmt w:val="bullet"/>
      <w:lvlText w:val="•"/>
      <w:lvlJc w:val="left"/>
      <w:pPr>
        <w:ind w:left="868" w:hanging="100"/>
      </w:pPr>
      <w:rPr>
        <w:rFonts w:hint="default"/>
      </w:rPr>
    </w:lvl>
    <w:lvl w:ilvl="6" w:tplc="EA28B1C4">
      <w:numFmt w:val="bullet"/>
      <w:lvlText w:val="•"/>
      <w:lvlJc w:val="left"/>
      <w:pPr>
        <w:ind w:left="1010" w:hanging="100"/>
      </w:pPr>
      <w:rPr>
        <w:rFonts w:hint="default"/>
      </w:rPr>
    </w:lvl>
    <w:lvl w:ilvl="7" w:tplc="5492F1DC">
      <w:numFmt w:val="bullet"/>
      <w:lvlText w:val="•"/>
      <w:lvlJc w:val="left"/>
      <w:pPr>
        <w:ind w:left="1151" w:hanging="100"/>
      </w:pPr>
      <w:rPr>
        <w:rFonts w:hint="default"/>
      </w:rPr>
    </w:lvl>
    <w:lvl w:ilvl="8" w:tplc="1B445E10">
      <w:numFmt w:val="bullet"/>
      <w:lvlText w:val="•"/>
      <w:lvlJc w:val="left"/>
      <w:pPr>
        <w:ind w:left="1293" w:hanging="100"/>
      </w:pPr>
      <w:rPr>
        <w:rFonts w:hint="default"/>
      </w:rPr>
    </w:lvl>
  </w:abstractNum>
  <w:abstractNum w:abstractNumId="95" w15:restartNumberingAfterBreak="0">
    <w:nsid w:val="05E83DB8"/>
    <w:multiLevelType w:val="hybridMultilevel"/>
    <w:tmpl w:val="1996DEAC"/>
    <w:lvl w:ilvl="0" w:tplc="F078C4B8">
      <w:numFmt w:val="bullet"/>
      <w:lvlText w:val=""/>
      <w:lvlJc w:val="left"/>
      <w:pPr>
        <w:ind w:left="156" w:hanging="100"/>
      </w:pPr>
      <w:rPr>
        <w:rFonts w:ascii="Symbol" w:eastAsia="Symbol" w:hAnsi="Symbol" w:cs="Symbol" w:hint="default"/>
        <w:color w:val="231F20"/>
        <w:w w:val="100"/>
        <w:sz w:val="14"/>
        <w:szCs w:val="14"/>
      </w:rPr>
    </w:lvl>
    <w:lvl w:ilvl="1" w:tplc="44EC6E72">
      <w:numFmt w:val="bullet"/>
      <w:lvlText w:val="•"/>
      <w:lvlJc w:val="left"/>
      <w:pPr>
        <w:ind w:left="301" w:hanging="100"/>
      </w:pPr>
      <w:rPr>
        <w:rFonts w:hint="default"/>
      </w:rPr>
    </w:lvl>
    <w:lvl w:ilvl="2" w:tplc="99B09552">
      <w:numFmt w:val="bullet"/>
      <w:lvlText w:val="•"/>
      <w:lvlJc w:val="left"/>
      <w:pPr>
        <w:ind w:left="443" w:hanging="100"/>
      </w:pPr>
      <w:rPr>
        <w:rFonts w:hint="default"/>
      </w:rPr>
    </w:lvl>
    <w:lvl w:ilvl="3" w:tplc="0B70095A">
      <w:numFmt w:val="bullet"/>
      <w:lvlText w:val="•"/>
      <w:lvlJc w:val="left"/>
      <w:pPr>
        <w:ind w:left="585" w:hanging="100"/>
      </w:pPr>
      <w:rPr>
        <w:rFonts w:hint="default"/>
      </w:rPr>
    </w:lvl>
    <w:lvl w:ilvl="4" w:tplc="2FB0F652">
      <w:numFmt w:val="bullet"/>
      <w:lvlText w:val="•"/>
      <w:lvlJc w:val="left"/>
      <w:pPr>
        <w:ind w:left="726" w:hanging="100"/>
      </w:pPr>
      <w:rPr>
        <w:rFonts w:hint="default"/>
      </w:rPr>
    </w:lvl>
    <w:lvl w:ilvl="5" w:tplc="45C03B52">
      <w:numFmt w:val="bullet"/>
      <w:lvlText w:val="•"/>
      <w:lvlJc w:val="left"/>
      <w:pPr>
        <w:ind w:left="868" w:hanging="100"/>
      </w:pPr>
      <w:rPr>
        <w:rFonts w:hint="default"/>
      </w:rPr>
    </w:lvl>
    <w:lvl w:ilvl="6" w:tplc="49E08D5E">
      <w:numFmt w:val="bullet"/>
      <w:lvlText w:val="•"/>
      <w:lvlJc w:val="left"/>
      <w:pPr>
        <w:ind w:left="1010" w:hanging="100"/>
      </w:pPr>
      <w:rPr>
        <w:rFonts w:hint="default"/>
      </w:rPr>
    </w:lvl>
    <w:lvl w:ilvl="7" w:tplc="EBC8FC2A">
      <w:numFmt w:val="bullet"/>
      <w:lvlText w:val="•"/>
      <w:lvlJc w:val="left"/>
      <w:pPr>
        <w:ind w:left="1151" w:hanging="100"/>
      </w:pPr>
      <w:rPr>
        <w:rFonts w:hint="default"/>
      </w:rPr>
    </w:lvl>
    <w:lvl w:ilvl="8" w:tplc="5D448056">
      <w:numFmt w:val="bullet"/>
      <w:lvlText w:val="•"/>
      <w:lvlJc w:val="left"/>
      <w:pPr>
        <w:ind w:left="1293" w:hanging="100"/>
      </w:pPr>
      <w:rPr>
        <w:rFonts w:hint="default"/>
      </w:rPr>
    </w:lvl>
  </w:abstractNum>
  <w:abstractNum w:abstractNumId="96" w15:restartNumberingAfterBreak="0">
    <w:nsid w:val="05F1287A"/>
    <w:multiLevelType w:val="hybridMultilevel"/>
    <w:tmpl w:val="00ECCF0E"/>
    <w:lvl w:ilvl="0" w:tplc="D9042A0C">
      <w:numFmt w:val="bullet"/>
      <w:lvlText w:val=""/>
      <w:lvlJc w:val="left"/>
      <w:pPr>
        <w:ind w:left="156" w:hanging="100"/>
      </w:pPr>
      <w:rPr>
        <w:rFonts w:ascii="Symbol" w:eastAsia="Symbol" w:hAnsi="Symbol" w:cs="Symbol" w:hint="default"/>
        <w:color w:val="231F20"/>
        <w:w w:val="100"/>
        <w:sz w:val="14"/>
        <w:szCs w:val="14"/>
      </w:rPr>
    </w:lvl>
    <w:lvl w:ilvl="1" w:tplc="533EF064">
      <w:numFmt w:val="bullet"/>
      <w:lvlText w:val="•"/>
      <w:lvlJc w:val="left"/>
      <w:pPr>
        <w:ind w:left="398" w:hanging="100"/>
      </w:pPr>
      <w:rPr>
        <w:rFonts w:hint="default"/>
      </w:rPr>
    </w:lvl>
    <w:lvl w:ilvl="2" w:tplc="E0723070">
      <w:numFmt w:val="bullet"/>
      <w:lvlText w:val="•"/>
      <w:lvlJc w:val="left"/>
      <w:pPr>
        <w:ind w:left="636" w:hanging="100"/>
      </w:pPr>
      <w:rPr>
        <w:rFonts w:hint="default"/>
      </w:rPr>
    </w:lvl>
    <w:lvl w:ilvl="3" w:tplc="873816EC">
      <w:numFmt w:val="bullet"/>
      <w:lvlText w:val="•"/>
      <w:lvlJc w:val="left"/>
      <w:pPr>
        <w:ind w:left="874" w:hanging="100"/>
      </w:pPr>
      <w:rPr>
        <w:rFonts w:hint="default"/>
      </w:rPr>
    </w:lvl>
    <w:lvl w:ilvl="4" w:tplc="D4C8B152">
      <w:numFmt w:val="bullet"/>
      <w:lvlText w:val="•"/>
      <w:lvlJc w:val="left"/>
      <w:pPr>
        <w:ind w:left="1112" w:hanging="100"/>
      </w:pPr>
      <w:rPr>
        <w:rFonts w:hint="default"/>
      </w:rPr>
    </w:lvl>
    <w:lvl w:ilvl="5" w:tplc="3D0AF8E0">
      <w:numFmt w:val="bullet"/>
      <w:lvlText w:val="•"/>
      <w:lvlJc w:val="left"/>
      <w:pPr>
        <w:ind w:left="1350" w:hanging="100"/>
      </w:pPr>
      <w:rPr>
        <w:rFonts w:hint="default"/>
      </w:rPr>
    </w:lvl>
    <w:lvl w:ilvl="6" w:tplc="6E50904A">
      <w:numFmt w:val="bullet"/>
      <w:lvlText w:val="•"/>
      <w:lvlJc w:val="left"/>
      <w:pPr>
        <w:ind w:left="1588" w:hanging="100"/>
      </w:pPr>
      <w:rPr>
        <w:rFonts w:hint="default"/>
      </w:rPr>
    </w:lvl>
    <w:lvl w:ilvl="7" w:tplc="F6CECF4E">
      <w:numFmt w:val="bullet"/>
      <w:lvlText w:val="•"/>
      <w:lvlJc w:val="left"/>
      <w:pPr>
        <w:ind w:left="1826" w:hanging="100"/>
      </w:pPr>
      <w:rPr>
        <w:rFonts w:hint="default"/>
      </w:rPr>
    </w:lvl>
    <w:lvl w:ilvl="8" w:tplc="7108ABB4">
      <w:numFmt w:val="bullet"/>
      <w:lvlText w:val="•"/>
      <w:lvlJc w:val="left"/>
      <w:pPr>
        <w:ind w:left="2064" w:hanging="100"/>
      </w:pPr>
      <w:rPr>
        <w:rFonts w:hint="default"/>
      </w:rPr>
    </w:lvl>
  </w:abstractNum>
  <w:abstractNum w:abstractNumId="97" w15:restartNumberingAfterBreak="0">
    <w:nsid w:val="05F52CCC"/>
    <w:multiLevelType w:val="hybridMultilevel"/>
    <w:tmpl w:val="82346386"/>
    <w:lvl w:ilvl="0" w:tplc="8120330C">
      <w:numFmt w:val="bullet"/>
      <w:lvlText w:val=""/>
      <w:lvlJc w:val="left"/>
      <w:pPr>
        <w:ind w:left="156" w:hanging="100"/>
      </w:pPr>
      <w:rPr>
        <w:rFonts w:ascii="Symbol" w:eastAsia="Symbol" w:hAnsi="Symbol" w:cs="Symbol" w:hint="default"/>
        <w:color w:val="231F20"/>
        <w:w w:val="100"/>
        <w:sz w:val="14"/>
        <w:szCs w:val="14"/>
      </w:rPr>
    </w:lvl>
    <w:lvl w:ilvl="1" w:tplc="CA5A905A">
      <w:numFmt w:val="bullet"/>
      <w:lvlText w:val="•"/>
      <w:lvlJc w:val="left"/>
      <w:pPr>
        <w:ind w:left="301" w:hanging="100"/>
      </w:pPr>
      <w:rPr>
        <w:rFonts w:hint="default"/>
      </w:rPr>
    </w:lvl>
    <w:lvl w:ilvl="2" w:tplc="4CEC8C3A">
      <w:numFmt w:val="bullet"/>
      <w:lvlText w:val="•"/>
      <w:lvlJc w:val="left"/>
      <w:pPr>
        <w:ind w:left="443" w:hanging="100"/>
      </w:pPr>
      <w:rPr>
        <w:rFonts w:hint="default"/>
      </w:rPr>
    </w:lvl>
    <w:lvl w:ilvl="3" w:tplc="2634ECDE">
      <w:numFmt w:val="bullet"/>
      <w:lvlText w:val="•"/>
      <w:lvlJc w:val="left"/>
      <w:pPr>
        <w:ind w:left="585" w:hanging="100"/>
      </w:pPr>
      <w:rPr>
        <w:rFonts w:hint="default"/>
      </w:rPr>
    </w:lvl>
    <w:lvl w:ilvl="4" w:tplc="817AAFDC">
      <w:numFmt w:val="bullet"/>
      <w:lvlText w:val="•"/>
      <w:lvlJc w:val="left"/>
      <w:pPr>
        <w:ind w:left="726" w:hanging="100"/>
      </w:pPr>
      <w:rPr>
        <w:rFonts w:hint="default"/>
      </w:rPr>
    </w:lvl>
    <w:lvl w:ilvl="5" w:tplc="12FEE098">
      <w:numFmt w:val="bullet"/>
      <w:lvlText w:val="•"/>
      <w:lvlJc w:val="left"/>
      <w:pPr>
        <w:ind w:left="868" w:hanging="100"/>
      </w:pPr>
      <w:rPr>
        <w:rFonts w:hint="default"/>
      </w:rPr>
    </w:lvl>
    <w:lvl w:ilvl="6" w:tplc="E20A2CA2">
      <w:numFmt w:val="bullet"/>
      <w:lvlText w:val="•"/>
      <w:lvlJc w:val="left"/>
      <w:pPr>
        <w:ind w:left="1010" w:hanging="100"/>
      </w:pPr>
      <w:rPr>
        <w:rFonts w:hint="default"/>
      </w:rPr>
    </w:lvl>
    <w:lvl w:ilvl="7" w:tplc="ADDA0FAA">
      <w:numFmt w:val="bullet"/>
      <w:lvlText w:val="•"/>
      <w:lvlJc w:val="left"/>
      <w:pPr>
        <w:ind w:left="1151" w:hanging="100"/>
      </w:pPr>
      <w:rPr>
        <w:rFonts w:hint="default"/>
      </w:rPr>
    </w:lvl>
    <w:lvl w:ilvl="8" w:tplc="6DE6749A">
      <w:numFmt w:val="bullet"/>
      <w:lvlText w:val="•"/>
      <w:lvlJc w:val="left"/>
      <w:pPr>
        <w:ind w:left="1293" w:hanging="100"/>
      </w:pPr>
      <w:rPr>
        <w:rFonts w:hint="default"/>
      </w:rPr>
    </w:lvl>
  </w:abstractNum>
  <w:abstractNum w:abstractNumId="98" w15:restartNumberingAfterBreak="0">
    <w:nsid w:val="06173D8B"/>
    <w:multiLevelType w:val="hybridMultilevel"/>
    <w:tmpl w:val="97342E2E"/>
    <w:lvl w:ilvl="0" w:tplc="1DEC6C0A">
      <w:numFmt w:val="bullet"/>
      <w:lvlText w:val=""/>
      <w:lvlJc w:val="left"/>
      <w:pPr>
        <w:ind w:left="156" w:hanging="100"/>
      </w:pPr>
      <w:rPr>
        <w:rFonts w:ascii="Symbol" w:eastAsia="Symbol" w:hAnsi="Symbol" w:cs="Symbol" w:hint="default"/>
        <w:color w:val="231F20"/>
        <w:w w:val="100"/>
        <w:sz w:val="14"/>
        <w:szCs w:val="14"/>
      </w:rPr>
    </w:lvl>
    <w:lvl w:ilvl="1" w:tplc="3F02BAE6">
      <w:numFmt w:val="bullet"/>
      <w:lvlText w:val="•"/>
      <w:lvlJc w:val="left"/>
      <w:pPr>
        <w:ind w:left="301" w:hanging="100"/>
      </w:pPr>
      <w:rPr>
        <w:rFonts w:hint="default"/>
      </w:rPr>
    </w:lvl>
    <w:lvl w:ilvl="2" w:tplc="A97A2FB4">
      <w:numFmt w:val="bullet"/>
      <w:lvlText w:val="•"/>
      <w:lvlJc w:val="left"/>
      <w:pPr>
        <w:ind w:left="443" w:hanging="100"/>
      </w:pPr>
      <w:rPr>
        <w:rFonts w:hint="default"/>
      </w:rPr>
    </w:lvl>
    <w:lvl w:ilvl="3" w:tplc="6BF05430">
      <w:numFmt w:val="bullet"/>
      <w:lvlText w:val="•"/>
      <w:lvlJc w:val="left"/>
      <w:pPr>
        <w:ind w:left="585" w:hanging="100"/>
      </w:pPr>
      <w:rPr>
        <w:rFonts w:hint="default"/>
      </w:rPr>
    </w:lvl>
    <w:lvl w:ilvl="4" w:tplc="18D2AA3A">
      <w:numFmt w:val="bullet"/>
      <w:lvlText w:val="•"/>
      <w:lvlJc w:val="left"/>
      <w:pPr>
        <w:ind w:left="726" w:hanging="100"/>
      </w:pPr>
      <w:rPr>
        <w:rFonts w:hint="default"/>
      </w:rPr>
    </w:lvl>
    <w:lvl w:ilvl="5" w:tplc="F36C1F6C">
      <w:numFmt w:val="bullet"/>
      <w:lvlText w:val="•"/>
      <w:lvlJc w:val="left"/>
      <w:pPr>
        <w:ind w:left="868" w:hanging="100"/>
      </w:pPr>
      <w:rPr>
        <w:rFonts w:hint="default"/>
      </w:rPr>
    </w:lvl>
    <w:lvl w:ilvl="6" w:tplc="DB4EBEAE">
      <w:numFmt w:val="bullet"/>
      <w:lvlText w:val="•"/>
      <w:lvlJc w:val="left"/>
      <w:pPr>
        <w:ind w:left="1010" w:hanging="100"/>
      </w:pPr>
      <w:rPr>
        <w:rFonts w:hint="default"/>
      </w:rPr>
    </w:lvl>
    <w:lvl w:ilvl="7" w:tplc="C7E2C476">
      <w:numFmt w:val="bullet"/>
      <w:lvlText w:val="•"/>
      <w:lvlJc w:val="left"/>
      <w:pPr>
        <w:ind w:left="1151" w:hanging="100"/>
      </w:pPr>
      <w:rPr>
        <w:rFonts w:hint="default"/>
      </w:rPr>
    </w:lvl>
    <w:lvl w:ilvl="8" w:tplc="8FD0C30E">
      <w:numFmt w:val="bullet"/>
      <w:lvlText w:val="•"/>
      <w:lvlJc w:val="left"/>
      <w:pPr>
        <w:ind w:left="1293" w:hanging="100"/>
      </w:pPr>
      <w:rPr>
        <w:rFonts w:hint="default"/>
      </w:rPr>
    </w:lvl>
  </w:abstractNum>
  <w:abstractNum w:abstractNumId="99" w15:restartNumberingAfterBreak="0">
    <w:nsid w:val="0618703F"/>
    <w:multiLevelType w:val="hybridMultilevel"/>
    <w:tmpl w:val="E384F3D6"/>
    <w:lvl w:ilvl="0" w:tplc="0B58A714">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1386809C">
      <w:numFmt w:val="bullet"/>
      <w:lvlText w:val="•"/>
      <w:lvlJc w:val="left"/>
      <w:pPr>
        <w:ind w:left="1636" w:hanging="116"/>
      </w:pPr>
      <w:rPr>
        <w:rFonts w:hint="default"/>
      </w:rPr>
    </w:lvl>
    <w:lvl w:ilvl="2" w:tplc="6EC8520A">
      <w:numFmt w:val="bullet"/>
      <w:lvlText w:val="•"/>
      <w:lvlJc w:val="left"/>
      <w:pPr>
        <w:ind w:left="2653" w:hanging="116"/>
      </w:pPr>
      <w:rPr>
        <w:rFonts w:hint="default"/>
      </w:rPr>
    </w:lvl>
    <w:lvl w:ilvl="3" w:tplc="D69011CA">
      <w:numFmt w:val="bullet"/>
      <w:lvlText w:val="•"/>
      <w:lvlJc w:val="left"/>
      <w:pPr>
        <w:ind w:left="3669" w:hanging="116"/>
      </w:pPr>
      <w:rPr>
        <w:rFonts w:hint="default"/>
      </w:rPr>
    </w:lvl>
    <w:lvl w:ilvl="4" w:tplc="C9E4E91A">
      <w:numFmt w:val="bullet"/>
      <w:lvlText w:val="•"/>
      <w:lvlJc w:val="left"/>
      <w:pPr>
        <w:ind w:left="4686" w:hanging="116"/>
      </w:pPr>
      <w:rPr>
        <w:rFonts w:hint="default"/>
      </w:rPr>
    </w:lvl>
    <w:lvl w:ilvl="5" w:tplc="37ECA900">
      <w:numFmt w:val="bullet"/>
      <w:lvlText w:val="•"/>
      <w:lvlJc w:val="left"/>
      <w:pPr>
        <w:ind w:left="5702" w:hanging="116"/>
      </w:pPr>
      <w:rPr>
        <w:rFonts w:hint="default"/>
      </w:rPr>
    </w:lvl>
    <w:lvl w:ilvl="6" w:tplc="D9B46BC4">
      <w:numFmt w:val="bullet"/>
      <w:lvlText w:val="•"/>
      <w:lvlJc w:val="left"/>
      <w:pPr>
        <w:ind w:left="6719" w:hanging="116"/>
      </w:pPr>
      <w:rPr>
        <w:rFonts w:hint="default"/>
      </w:rPr>
    </w:lvl>
    <w:lvl w:ilvl="7" w:tplc="C21AF022">
      <w:numFmt w:val="bullet"/>
      <w:lvlText w:val="•"/>
      <w:lvlJc w:val="left"/>
      <w:pPr>
        <w:ind w:left="7735" w:hanging="116"/>
      </w:pPr>
      <w:rPr>
        <w:rFonts w:hint="default"/>
      </w:rPr>
    </w:lvl>
    <w:lvl w:ilvl="8" w:tplc="0D6C6000">
      <w:numFmt w:val="bullet"/>
      <w:lvlText w:val="•"/>
      <w:lvlJc w:val="left"/>
      <w:pPr>
        <w:ind w:left="8752" w:hanging="116"/>
      </w:pPr>
      <w:rPr>
        <w:rFonts w:hint="default"/>
      </w:rPr>
    </w:lvl>
  </w:abstractNum>
  <w:abstractNum w:abstractNumId="100" w15:restartNumberingAfterBreak="0">
    <w:nsid w:val="062146C5"/>
    <w:multiLevelType w:val="hybridMultilevel"/>
    <w:tmpl w:val="89D2E6EE"/>
    <w:lvl w:ilvl="0" w:tplc="E3EA2F82">
      <w:numFmt w:val="bullet"/>
      <w:lvlText w:val=""/>
      <w:lvlJc w:val="left"/>
      <w:pPr>
        <w:ind w:left="156" w:hanging="100"/>
      </w:pPr>
      <w:rPr>
        <w:rFonts w:ascii="Symbol" w:eastAsia="Symbol" w:hAnsi="Symbol" w:cs="Symbol" w:hint="default"/>
        <w:color w:val="231F20"/>
        <w:w w:val="100"/>
        <w:sz w:val="14"/>
        <w:szCs w:val="14"/>
      </w:rPr>
    </w:lvl>
    <w:lvl w:ilvl="1" w:tplc="FEB8804A">
      <w:numFmt w:val="bullet"/>
      <w:lvlText w:val="•"/>
      <w:lvlJc w:val="left"/>
      <w:pPr>
        <w:ind w:left="426" w:hanging="100"/>
      </w:pPr>
      <w:rPr>
        <w:rFonts w:hint="default"/>
      </w:rPr>
    </w:lvl>
    <w:lvl w:ilvl="2" w:tplc="3E129180">
      <w:numFmt w:val="bullet"/>
      <w:lvlText w:val="•"/>
      <w:lvlJc w:val="left"/>
      <w:pPr>
        <w:ind w:left="692" w:hanging="100"/>
      </w:pPr>
      <w:rPr>
        <w:rFonts w:hint="default"/>
      </w:rPr>
    </w:lvl>
    <w:lvl w:ilvl="3" w:tplc="61E05454">
      <w:numFmt w:val="bullet"/>
      <w:lvlText w:val="•"/>
      <w:lvlJc w:val="left"/>
      <w:pPr>
        <w:ind w:left="959" w:hanging="100"/>
      </w:pPr>
      <w:rPr>
        <w:rFonts w:hint="default"/>
      </w:rPr>
    </w:lvl>
    <w:lvl w:ilvl="4" w:tplc="9A9E1C76">
      <w:numFmt w:val="bullet"/>
      <w:lvlText w:val="•"/>
      <w:lvlJc w:val="left"/>
      <w:pPr>
        <w:ind w:left="1225" w:hanging="100"/>
      </w:pPr>
      <w:rPr>
        <w:rFonts w:hint="default"/>
      </w:rPr>
    </w:lvl>
    <w:lvl w:ilvl="5" w:tplc="55286176">
      <w:numFmt w:val="bullet"/>
      <w:lvlText w:val="•"/>
      <w:lvlJc w:val="left"/>
      <w:pPr>
        <w:ind w:left="1492" w:hanging="100"/>
      </w:pPr>
      <w:rPr>
        <w:rFonts w:hint="default"/>
      </w:rPr>
    </w:lvl>
    <w:lvl w:ilvl="6" w:tplc="555C1F86">
      <w:numFmt w:val="bullet"/>
      <w:lvlText w:val="•"/>
      <w:lvlJc w:val="left"/>
      <w:pPr>
        <w:ind w:left="1758" w:hanging="100"/>
      </w:pPr>
      <w:rPr>
        <w:rFonts w:hint="default"/>
      </w:rPr>
    </w:lvl>
    <w:lvl w:ilvl="7" w:tplc="BBB0C0CA">
      <w:numFmt w:val="bullet"/>
      <w:lvlText w:val="•"/>
      <w:lvlJc w:val="left"/>
      <w:pPr>
        <w:ind w:left="2024" w:hanging="100"/>
      </w:pPr>
      <w:rPr>
        <w:rFonts w:hint="default"/>
      </w:rPr>
    </w:lvl>
    <w:lvl w:ilvl="8" w:tplc="8D962180">
      <w:numFmt w:val="bullet"/>
      <w:lvlText w:val="•"/>
      <w:lvlJc w:val="left"/>
      <w:pPr>
        <w:ind w:left="2291" w:hanging="100"/>
      </w:pPr>
      <w:rPr>
        <w:rFonts w:hint="default"/>
      </w:rPr>
    </w:lvl>
  </w:abstractNum>
  <w:abstractNum w:abstractNumId="101" w15:restartNumberingAfterBreak="0">
    <w:nsid w:val="06226A66"/>
    <w:multiLevelType w:val="hybridMultilevel"/>
    <w:tmpl w:val="0E645E0E"/>
    <w:lvl w:ilvl="0" w:tplc="993E6BAC">
      <w:numFmt w:val="bullet"/>
      <w:lvlText w:val=""/>
      <w:lvlJc w:val="left"/>
      <w:pPr>
        <w:ind w:left="156" w:hanging="100"/>
      </w:pPr>
      <w:rPr>
        <w:rFonts w:ascii="Symbol" w:eastAsia="Symbol" w:hAnsi="Symbol" w:cs="Symbol" w:hint="default"/>
        <w:color w:val="231F20"/>
        <w:w w:val="100"/>
        <w:sz w:val="14"/>
        <w:szCs w:val="14"/>
      </w:rPr>
    </w:lvl>
    <w:lvl w:ilvl="1" w:tplc="3850DAE6">
      <w:numFmt w:val="bullet"/>
      <w:lvlText w:val="•"/>
      <w:lvlJc w:val="left"/>
      <w:pPr>
        <w:ind w:left="398" w:hanging="100"/>
      </w:pPr>
      <w:rPr>
        <w:rFonts w:hint="default"/>
      </w:rPr>
    </w:lvl>
    <w:lvl w:ilvl="2" w:tplc="646E2BDE">
      <w:numFmt w:val="bullet"/>
      <w:lvlText w:val="•"/>
      <w:lvlJc w:val="left"/>
      <w:pPr>
        <w:ind w:left="636" w:hanging="100"/>
      </w:pPr>
      <w:rPr>
        <w:rFonts w:hint="default"/>
      </w:rPr>
    </w:lvl>
    <w:lvl w:ilvl="3" w:tplc="6456AE10">
      <w:numFmt w:val="bullet"/>
      <w:lvlText w:val="•"/>
      <w:lvlJc w:val="left"/>
      <w:pPr>
        <w:ind w:left="874" w:hanging="100"/>
      </w:pPr>
      <w:rPr>
        <w:rFonts w:hint="default"/>
      </w:rPr>
    </w:lvl>
    <w:lvl w:ilvl="4" w:tplc="07F83808">
      <w:numFmt w:val="bullet"/>
      <w:lvlText w:val="•"/>
      <w:lvlJc w:val="left"/>
      <w:pPr>
        <w:ind w:left="1112" w:hanging="100"/>
      </w:pPr>
      <w:rPr>
        <w:rFonts w:hint="default"/>
      </w:rPr>
    </w:lvl>
    <w:lvl w:ilvl="5" w:tplc="15388C56">
      <w:numFmt w:val="bullet"/>
      <w:lvlText w:val="•"/>
      <w:lvlJc w:val="left"/>
      <w:pPr>
        <w:ind w:left="1350" w:hanging="100"/>
      </w:pPr>
      <w:rPr>
        <w:rFonts w:hint="default"/>
      </w:rPr>
    </w:lvl>
    <w:lvl w:ilvl="6" w:tplc="61DEDB80">
      <w:numFmt w:val="bullet"/>
      <w:lvlText w:val="•"/>
      <w:lvlJc w:val="left"/>
      <w:pPr>
        <w:ind w:left="1588" w:hanging="100"/>
      </w:pPr>
      <w:rPr>
        <w:rFonts w:hint="default"/>
      </w:rPr>
    </w:lvl>
    <w:lvl w:ilvl="7" w:tplc="375075E4">
      <w:numFmt w:val="bullet"/>
      <w:lvlText w:val="•"/>
      <w:lvlJc w:val="left"/>
      <w:pPr>
        <w:ind w:left="1826" w:hanging="100"/>
      </w:pPr>
      <w:rPr>
        <w:rFonts w:hint="default"/>
      </w:rPr>
    </w:lvl>
    <w:lvl w:ilvl="8" w:tplc="4F2017F4">
      <w:numFmt w:val="bullet"/>
      <w:lvlText w:val="•"/>
      <w:lvlJc w:val="left"/>
      <w:pPr>
        <w:ind w:left="2064" w:hanging="100"/>
      </w:pPr>
      <w:rPr>
        <w:rFonts w:hint="default"/>
      </w:rPr>
    </w:lvl>
  </w:abstractNum>
  <w:abstractNum w:abstractNumId="102" w15:restartNumberingAfterBreak="0">
    <w:nsid w:val="06230F24"/>
    <w:multiLevelType w:val="hybridMultilevel"/>
    <w:tmpl w:val="0D221F2C"/>
    <w:lvl w:ilvl="0" w:tplc="2FE4B126">
      <w:numFmt w:val="bullet"/>
      <w:lvlText w:val=""/>
      <w:lvlJc w:val="left"/>
      <w:pPr>
        <w:ind w:left="157" w:hanging="100"/>
      </w:pPr>
      <w:rPr>
        <w:rFonts w:ascii="Symbol" w:eastAsia="Symbol" w:hAnsi="Symbol" w:cs="Symbol" w:hint="default"/>
        <w:color w:val="231F20"/>
        <w:w w:val="100"/>
        <w:sz w:val="14"/>
        <w:szCs w:val="14"/>
      </w:rPr>
    </w:lvl>
    <w:lvl w:ilvl="1" w:tplc="95A69A28">
      <w:numFmt w:val="bullet"/>
      <w:lvlText w:val="•"/>
      <w:lvlJc w:val="left"/>
      <w:pPr>
        <w:ind w:left="369" w:hanging="100"/>
      </w:pPr>
      <w:rPr>
        <w:rFonts w:hint="default"/>
      </w:rPr>
    </w:lvl>
    <w:lvl w:ilvl="2" w:tplc="616CFF1E">
      <w:numFmt w:val="bullet"/>
      <w:lvlText w:val="•"/>
      <w:lvlJc w:val="left"/>
      <w:pPr>
        <w:ind w:left="579" w:hanging="100"/>
      </w:pPr>
      <w:rPr>
        <w:rFonts w:hint="default"/>
      </w:rPr>
    </w:lvl>
    <w:lvl w:ilvl="3" w:tplc="CDD28A80">
      <w:numFmt w:val="bullet"/>
      <w:lvlText w:val="•"/>
      <w:lvlJc w:val="left"/>
      <w:pPr>
        <w:ind w:left="789" w:hanging="100"/>
      </w:pPr>
      <w:rPr>
        <w:rFonts w:hint="default"/>
      </w:rPr>
    </w:lvl>
    <w:lvl w:ilvl="4" w:tplc="FB6E2E66">
      <w:numFmt w:val="bullet"/>
      <w:lvlText w:val="•"/>
      <w:lvlJc w:val="left"/>
      <w:pPr>
        <w:ind w:left="998" w:hanging="100"/>
      </w:pPr>
      <w:rPr>
        <w:rFonts w:hint="default"/>
      </w:rPr>
    </w:lvl>
    <w:lvl w:ilvl="5" w:tplc="7F1E2A36">
      <w:numFmt w:val="bullet"/>
      <w:lvlText w:val="•"/>
      <w:lvlJc w:val="left"/>
      <w:pPr>
        <w:ind w:left="1208" w:hanging="100"/>
      </w:pPr>
      <w:rPr>
        <w:rFonts w:hint="default"/>
      </w:rPr>
    </w:lvl>
    <w:lvl w:ilvl="6" w:tplc="DDA46602">
      <w:numFmt w:val="bullet"/>
      <w:lvlText w:val="•"/>
      <w:lvlJc w:val="left"/>
      <w:pPr>
        <w:ind w:left="1418" w:hanging="100"/>
      </w:pPr>
      <w:rPr>
        <w:rFonts w:hint="default"/>
      </w:rPr>
    </w:lvl>
    <w:lvl w:ilvl="7" w:tplc="C388EBAE">
      <w:numFmt w:val="bullet"/>
      <w:lvlText w:val="•"/>
      <w:lvlJc w:val="left"/>
      <w:pPr>
        <w:ind w:left="1627" w:hanging="100"/>
      </w:pPr>
      <w:rPr>
        <w:rFonts w:hint="default"/>
      </w:rPr>
    </w:lvl>
    <w:lvl w:ilvl="8" w:tplc="22163098">
      <w:numFmt w:val="bullet"/>
      <w:lvlText w:val="•"/>
      <w:lvlJc w:val="left"/>
      <w:pPr>
        <w:ind w:left="1837" w:hanging="100"/>
      </w:pPr>
      <w:rPr>
        <w:rFonts w:hint="default"/>
      </w:rPr>
    </w:lvl>
  </w:abstractNum>
  <w:abstractNum w:abstractNumId="103" w15:restartNumberingAfterBreak="0">
    <w:nsid w:val="063021BE"/>
    <w:multiLevelType w:val="hybridMultilevel"/>
    <w:tmpl w:val="610A2FD0"/>
    <w:lvl w:ilvl="0" w:tplc="860AC4D2">
      <w:numFmt w:val="bullet"/>
      <w:lvlText w:val=""/>
      <w:lvlJc w:val="left"/>
      <w:pPr>
        <w:ind w:left="156" w:hanging="100"/>
      </w:pPr>
      <w:rPr>
        <w:rFonts w:ascii="Symbol" w:eastAsia="Symbol" w:hAnsi="Symbol" w:cs="Symbol" w:hint="default"/>
        <w:color w:val="231F20"/>
        <w:w w:val="100"/>
        <w:sz w:val="14"/>
        <w:szCs w:val="14"/>
      </w:rPr>
    </w:lvl>
    <w:lvl w:ilvl="1" w:tplc="20EEC49E">
      <w:numFmt w:val="bullet"/>
      <w:lvlText w:val="•"/>
      <w:lvlJc w:val="left"/>
      <w:pPr>
        <w:ind w:left="426" w:hanging="100"/>
      </w:pPr>
      <w:rPr>
        <w:rFonts w:hint="default"/>
      </w:rPr>
    </w:lvl>
    <w:lvl w:ilvl="2" w:tplc="769477DC">
      <w:numFmt w:val="bullet"/>
      <w:lvlText w:val="•"/>
      <w:lvlJc w:val="left"/>
      <w:pPr>
        <w:ind w:left="692" w:hanging="100"/>
      </w:pPr>
      <w:rPr>
        <w:rFonts w:hint="default"/>
      </w:rPr>
    </w:lvl>
    <w:lvl w:ilvl="3" w:tplc="9214AF6A">
      <w:numFmt w:val="bullet"/>
      <w:lvlText w:val="•"/>
      <w:lvlJc w:val="left"/>
      <w:pPr>
        <w:ind w:left="959" w:hanging="100"/>
      </w:pPr>
      <w:rPr>
        <w:rFonts w:hint="default"/>
      </w:rPr>
    </w:lvl>
    <w:lvl w:ilvl="4" w:tplc="0A801074">
      <w:numFmt w:val="bullet"/>
      <w:lvlText w:val="•"/>
      <w:lvlJc w:val="left"/>
      <w:pPr>
        <w:ind w:left="1225" w:hanging="100"/>
      </w:pPr>
      <w:rPr>
        <w:rFonts w:hint="default"/>
      </w:rPr>
    </w:lvl>
    <w:lvl w:ilvl="5" w:tplc="8AEC00D4">
      <w:numFmt w:val="bullet"/>
      <w:lvlText w:val="•"/>
      <w:lvlJc w:val="left"/>
      <w:pPr>
        <w:ind w:left="1492" w:hanging="100"/>
      </w:pPr>
      <w:rPr>
        <w:rFonts w:hint="default"/>
      </w:rPr>
    </w:lvl>
    <w:lvl w:ilvl="6" w:tplc="4680F61E">
      <w:numFmt w:val="bullet"/>
      <w:lvlText w:val="•"/>
      <w:lvlJc w:val="left"/>
      <w:pPr>
        <w:ind w:left="1758" w:hanging="100"/>
      </w:pPr>
      <w:rPr>
        <w:rFonts w:hint="default"/>
      </w:rPr>
    </w:lvl>
    <w:lvl w:ilvl="7" w:tplc="6DE8FBF2">
      <w:numFmt w:val="bullet"/>
      <w:lvlText w:val="•"/>
      <w:lvlJc w:val="left"/>
      <w:pPr>
        <w:ind w:left="2024" w:hanging="100"/>
      </w:pPr>
      <w:rPr>
        <w:rFonts w:hint="default"/>
      </w:rPr>
    </w:lvl>
    <w:lvl w:ilvl="8" w:tplc="00A28A08">
      <w:numFmt w:val="bullet"/>
      <w:lvlText w:val="•"/>
      <w:lvlJc w:val="left"/>
      <w:pPr>
        <w:ind w:left="2291" w:hanging="100"/>
      </w:pPr>
      <w:rPr>
        <w:rFonts w:hint="default"/>
      </w:rPr>
    </w:lvl>
  </w:abstractNum>
  <w:abstractNum w:abstractNumId="104" w15:restartNumberingAfterBreak="0">
    <w:nsid w:val="063561DD"/>
    <w:multiLevelType w:val="hybridMultilevel"/>
    <w:tmpl w:val="5E5E90FC"/>
    <w:lvl w:ilvl="0" w:tplc="7A7C52BE">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CC64BABC">
      <w:numFmt w:val="bullet"/>
      <w:lvlText w:val="•"/>
      <w:lvlJc w:val="left"/>
      <w:pPr>
        <w:ind w:left="426" w:hanging="105"/>
      </w:pPr>
      <w:rPr>
        <w:rFonts w:hint="default"/>
      </w:rPr>
    </w:lvl>
    <w:lvl w:ilvl="2" w:tplc="4C1C4A98">
      <w:numFmt w:val="bullet"/>
      <w:lvlText w:val="•"/>
      <w:lvlJc w:val="left"/>
      <w:pPr>
        <w:ind w:left="692" w:hanging="105"/>
      </w:pPr>
      <w:rPr>
        <w:rFonts w:hint="default"/>
      </w:rPr>
    </w:lvl>
    <w:lvl w:ilvl="3" w:tplc="11B0D9BC">
      <w:numFmt w:val="bullet"/>
      <w:lvlText w:val="•"/>
      <w:lvlJc w:val="left"/>
      <w:pPr>
        <w:ind w:left="959" w:hanging="105"/>
      </w:pPr>
      <w:rPr>
        <w:rFonts w:hint="default"/>
      </w:rPr>
    </w:lvl>
    <w:lvl w:ilvl="4" w:tplc="BC8824D6">
      <w:numFmt w:val="bullet"/>
      <w:lvlText w:val="•"/>
      <w:lvlJc w:val="left"/>
      <w:pPr>
        <w:ind w:left="1225" w:hanging="105"/>
      </w:pPr>
      <w:rPr>
        <w:rFonts w:hint="default"/>
      </w:rPr>
    </w:lvl>
    <w:lvl w:ilvl="5" w:tplc="7550155E">
      <w:numFmt w:val="bullet"/>
      <w:lvlText w:val="•"/>
      <w:lvlJc w:val="left"/>
      <w:pPr>
        <w:ind w:left="1492" w:hanging="105"/>
      </w:pPr>
      <w:rPr>
        <w:rFonts w:hint="default"/>
      </w:rPr>
    </w:lvl>
    <w:lvl w:ilvl="6" w:tplc="04C20950">
      <w:numFmt w:val="bullet"/>
      <w:lvlText w:val="•"/>
      <w:lvlJc w:val="left"/>
      <w:pPr>
        <w:ind w:left="1758" w:hanging="105"/>
      </w:pPr>
      <w:rPr>
        <w:rFonts w:hint="default"/>
      </w:rPr>
    </w:lvl>
    <w:lvl w:ilvl="7" w:tplc="B1103DD4">
      <w:numFmt w:val="bullet"/>
      <w:lvlText w:val="•"/>
      <w:lvlJc w:val="left"/>
      <w:pPr>
        <w:ind w:left="2024" w:hanging="105"/>
      </w:pPr>
      <w:rPr>
        <w:rFonts w:hint="default"/>
      </w:rPr>
    </w:lvl>
    <w:lvl w:ilvl="8" w:tplc="49FC9FE4">
      <w:numFmt w:val="bullet"/>
      <w:lvlText w:val="•"/>
      <w:lvlJc w:val="left"/>
      <w:pPr>
        <w:ind w:left="2291" w:hanging="105"/>
      </w:pPr>
      <w:rPr>
        <w:rFonts w:hint="default"/>
      </w:rPr>
    </w:lvl>
  </w:abstractNum>
  <w:abstractNum w:abstractNumId="105" w15:restartNumberingAfterBreak="0">
    <w:nsid w:val="064A7E42"/>
    <w:multiLevelType w:val="hybridMultilevel"/>
    <w:tmpl w:val="FC04D05A"/>
    <w:lvl w:ilvl="0" w:tplc="AD94B626">
      <w:numFmt w:val="bullet"/>
      <w:lvlText w:val=""/>
      <w:lvlJc w:val="left"/>
      <w:pPr>
        <w:ind w:left="157" w:hanging="100"/>
      </w:pPr>
      <w:rPr>
        <w:rFonts w:ascii="Symbol" w:eastAsia="Symbol" w:hAnsi="Symbol" w:cs="Symbol" w:hint="default"/>
        <w:color w:val="231F20"/>
        <w:w w:val="100"/>
        <w:sz w:val="14"/>
        <w:szCs w:val="14"/>
      </w:rPr>
    </w:lvl>
    <w:lvl w:ilvl="1" w:tplc="777C45F0">
      <w:numFmt w:val="bullet"/>
      <w:lvlText w:val="•"/>
      <w:lvlJc w:val="left"/>
      <w:pPr>
        <w:ind w:left="426" w:hanging="100"/>
      </w:pPr>
      <w:rPr>
        <w:rFonts w:hint="default"/>
      </w:rPr>
    </w:lvl>
    <w:lvl w:ilvl="2" w:tplc="83F01DFE">
      <w:numFmt w:val="bullet"/>
      <w:lvlText w:val="•"/>
      <w:lvlJc w:val="left"/>
      <w:pPr>
        <w:ind w:left="692" w:hanging="100"/>
      </w:pPr>
      <w:rPr>
        <w:rFonts w:hint="default"/>
      </w:rPr>
    </w:lvl>
    <w:lvl w:ilvl="3" w:tplc="E9F63F9A">
      <w:numFmt w:val="bullet"/>
      <w:lvlText w:val="•"/>
      <w:lvlJc w:val="left"/>
      <w:pPr>
        <w:ind w:left="959" w:hanging="100"/>
      </w:pPr>
      <w:rPr>
        <w:rFonts w:hint="default"/>
      </w:rPr>
    </w:lvl>
    <w:lvl w:ilvl="4" w:tplc="676ADA96">
      <w:numFmt w:val="bullet"/>
      <w:lvlText w:val="•"/>
      <w:lvlJc w:val="left"/>
      <w:pPr>
        <w:ind w:left="1225" w:hanging="100"/>
      </w:pPr>
      <w:rPr>
        <w:rFonts w:hint="default"/>
      </w:rPr>
    </w:lvl>
    <w:lvl w:ilvl="5" w:tplc="421E0218">
      <w:numFmt w:val="bullet"/>
      <w:lvlText w:val="•"/>
      <w:lvlJc w:val="left"/>
      <w:pPr>
        <w:ind w:left="1492" w:hanging="100"/>
      </w:pPr>
      <w:rPr>
        <w:rFonts w:hint="default"/>
      </w:rPr>
    </w:lvl>
    <w:lvl w:ilvl="6" w:tplc="9BEE8F34">
      <w:numFmt w:val="bullet"/>
      <w:lvlText w:val="•"/>
      <w:lvlJc w:val="left"/>
      <w:pPr>
        <w:ind w:left="1758" w:hanging="100"/>
      </w:pPr>
      <w:rPr>
        <w:rFonts w:hint="default"/>
      </w:rPr>
    </w:lvl>
    <w:lvl w:ilvl="7" w:tplc="44AE339E">
      <w:numFmt w:val="bullet"/>
      <w:lvlText w:val="•"/>
      <w:lvlJc w:val="left"/>
      <w:pPr>
        <w:ind w:left="2024" w:hanging="100"/>
      </w:pPr>
      <w:rPr>
        <w:rFonts w:hint="default"/>
      </w:rPr>
    </w:lvl>
    <w:lvl w:ilvl="8" w:tplc="82661D68">
      <w:numFmt w:val="bullet"/>
      <w:lvlText w:val="•"/>
      <w:lvlJc w:val="left"/>
      <w:pPr>
        <w:ind w:left="2291" w:hanging="100"/>
      </w:pPr>
      <w:rPr>
        <w:rFonts w:hint="default"/>
      </w:rPr>
    </w:lvl>
  </w:abstractNum>
  <w:abstractNum w:abstractNumId="106" w15:restartNumberingAfterBreak="0">
    <w:nsid w:val="06533D8D"/>
    <w:multiLevelType w:val="hybridMultilevel"/>
    <w:tmpl w:val="05FA9092"/>
    <w:lvl w:ilvl="0" w:tplc="C10A3D58">
      <w:numFmt w:val="bullet"/>
      <w:lvlText w:val=""/>
      <w:lvlJc w:val="left"/>
      <w:pPr>
        <w:ind w:left="157" w:hanging="100"/>
      </w:pPr>
      <w:rPr>
        <w:rFonts w:ascii="Symbol" w:eastAsia="Symbol" w:hAnsi="Symbol" w:cs="Symbol" w:hint="default"/>
        <w:color w:val="231F20"/>
        <w:w w:val="100"/>
        <w:sz w:val="14"/>
        <w:szCs w:val="14"/>
      </w:rPr>
    </w:lvl>
    <w:lvl w:ilvl="1" w:tplc="C1080708">
      <w:numFmt w:val="bullet"/>
      <w:lvlText w:val="•"/>
      <w:lvlJc w:val="left"/>
      <w:pPr>
        <w:ind w:left="369" w:hanging="100"/>
      </w:pPr>
      <w:rPr>
        <w:rFonts w:hint="default"/>
      </w:rPr>
    </w:lvl>
    <w:lvl w:ilvl="2" w:tplc="04EAD1BA">
      <w:numFmt w:val="bullet"/>
      <w:lvlText w:val="•"/>
      <w:lvlJc w:val="left"/>
      <w:pPr>
        <w:ind w:left="579" w:hanging="100"/>
      </w:pPr>
      <w:rPr>
        <w:rFonts w:hint="default"/>
      </w:rPr>
    </w:lvl>
    <w:lvl w:ilvl="3" w:tplc="533C8E3A">
      <w:numFmt w:val="bullet"/>
      <w:lvlText w:val="•"/>
      <w:lvlJc w:val="left"/>
      <w:pPr>
        <w:ind w:left="789" w:hanging="100"/>
      </w:pPr>
      <w:rPr>
        <w:rFonts w:hint="default"/>
      </w:rPr>
    </w:lvl>
    <w:lvl w:ilvl="4" w:tplc="BD2CE13E">
      <w:numFmt w:val="bullet"/>
      <w:lvlText w:val="•"/>
      <w:lvlJc w:val="left"/>
      <w:pPr>
        <w:ind w:left="998" w:hanging="100"/>
      </w:pPr>
      <w:rPr>
        <w:rFonts w:hint="default"/>
      </w:rPr>
    </w:lvl>
    <w:lvl w:ilvl="5" w:tplc="B066B88A">
      <w:numFmt w:val="bullet"/>
      <w:lvlText w:val="•"/>
      <w:lvlJc w:val="left"/>
      <w:pPr>
        <w:ind w:left="1208" w:hanging="100"/>
      </w:pPr>
      <w:rPr>
        <w:rFonts w:hint="default"/>
      </w:rPr>
    </w:lvl>
    <w:lvl w:ilvl="6" w:tplc="F4FC157E">
      <w:numFmt w:val="bullet"/>
      <w:lvlText w:val="•"/>
      <w:lvlJc w:val="left"/>
      <w:pPr>
        <w:ind w:left="1418" w:hanging="100"/>
      </w:pPr>
      <w:rPr>
        <w:rFonts w:hint="default"/>
      </w:rPr>
    </w:lvl>
    <w:lvl w:ilvl="7" w:tplc="D87813E2">
      <w:numFmt w:val="bullet"/>
      <w:lvlText w:val="•"/>
      <w:lvlJc w:val="left"/>
      <w:pPr>
        <w:ind w:left="1627" w:hanging="100"/>
      </w:pPr>
      <w:rPr>
        <w:rFonts w:hint="default"/>
      </w:rPr>
    </w:lvl>
    <w:lvl w:ilvl="8" w:tplc="4BAEAAC4">
      <w:numFmt w:val="bullet"/>
      <w:lvlText w:val="•"/>
      <w:lvlJc w:val="left"/>
      <w:pPr>
        <w:ind w:left="1837" w:hanging="100"/>
      </w:pPr>
      <w:rPr>
        <w:rFonts w:hint="default"/>
      </w:rPr>
    </w:lvl>
  </w:abstractNum>
  <w:abstractNum w:abstractNumId="107" w15:restartNumberingAfterBreak="0">
    <w:nsid w:val="0674308C"/>
    <w:multiLevelType w:val="hybridMultilevel"/>
    <w:tmpl w:val="2A7071EE"/>
    <w:lvl w:ilvl="0" w:tplc="5A50390A">
      <w:numFmt w:val="bullet"/>
      <w:lvlText w:val=""/>
      <w:lvlJc w:val="left"/>
      <w:pPr>
        <w:ind w:left="156" w:hanging="100"/>
      </w:pPr>
      <w:rPr>
        <w:rFonts w:ascii="Symbol" w:eastAsia="Symbol" w:hAnsi="Symbol" w:cs="Symbol" w:hint="default"/>
        <w:color w:val="231F20"/>
        <w:w w:val="100"/>
        <w:sz w:val="14"/>
        <w:szCs w:val="14"/>
      </w:rPr>
    </w:lvl>
    <w:lvl w:ilvl="1" w:tplc="C58C2E12">
      <w:numFmt w:val="bullet"/>
      <w:lvlText w:val="•"/>
      <w:lvlJc w:val="left"/>
      <w:pPr>
        <w:ind w:left="301" w:hanging="100"/>
      </w:pPr>
      <w:rPr>
        <w:rFonts w:hint="default"/>
      </w:rPr>
    </w:lvl>
    <w:lvl w:ilvl="2" w:tplc="C206FF46">
      <w:numFmt w:val="bullet"/>
      <w:lvlText w:val="•"/>
      <w:lvlJc w:val="left"/>
      <w:pPr>
        <w:ind w:left="443" w:hanging="100"/>
      </w:pPr>
      <w:rPr>
        <w:rFonts w:hint="default"/>
      </w:rPr>
    </w:lvl>
    <w:lvl w:ilvl="3" w:tplc="B3FA25D2">
      <w:numFmt w:val="bullet"/>
      <w:lvlText w:val="•"/>
      <w:lvlJc w:val="left"/>
      <w:pPr>
        <w:ind w:left="585" w:hanging="100"/>
      </w:pPr>
      <w:rPr>
        <w:rFonts w:hint="default"/>
      </w:rPr>
    </w:lvl>
    <w:lvl w:ilvl="4" w:tplc="2C82C2F6">
      <w:numFmt w:val="bullet"/>
      <w:lvlText w:val="•"/>
      <w:lvlJc w:val="left"/>
      <w:pPr>
        <w:ind w:left="726" w:hanging="100"/>
      </w:pPr>
      <w:rPr>
        <w:rFonts w:hint="default"/>
      </w:rPr>
    </w:lvl>
    <w:lvl w:ilvl="5" w:tplc="DE669916">
      <w:numFmt w:val="bullet"/>
      <w:lvlText w:val="•"/>
      <w:lvlJc w:val="left"/>
      <w:pPr>
        <w:ind w:left="868" w:hanging="100"/>
      </w:pPr>
      <w:rPr>
        <w:rFonts w:hint="default"/>
      </w:rPr>
    </w:lvl>
    <w:lvl w:ilvl="6" w:tplc="67382D0A">
      <w:numFmt w:val="bullet"/>
      <w:lvlText w:val="•"/>
      <w:lvlJc w:val="left"/>
      <w:pPr>
        <w:ind w:left="1010" w:hanging="100"/>
      </w:pPr>
      <w:rPr>
        <w:rFonts w:hint="default"/>
      </w:rPr>
    </w:lvl>
    <w:lvl w:ilvl="7" w:tplc="680AD4C4">
      <w:numFmt w:val="bullet"/>
      <w:lvlText w:val="•"/>
      <w:lvlJc w:val="left"/>
      <w:pPr>
        <w:ind w:left="1151" w:hanging="100"/>
      </w:pPr>
      <w:rPr>
        <w:rFonts w:hint="default"/>
      </w:rPr>
    </w:lvl>
    <w:lvl w:ilvl="8" w:tplc="239690F6">
      <w:numFmt w:val="bullet"/>
      <w:lvlText w:val="•"/>
      <w:lvlJc w:val="left"/>
      <w:pPr>
        <w:ind w:left="1293" w:hanging="100"/>
      </w:pPr>
      <w:rPr>
        <w:rFonts w:hint="default"/>
      </w:rPr>
    </w:lvl>
  </w:abstractNum>
  <w:abstractNum w:abstractNumId="108" w15:restartNumberingAfterBreak="0">
    <w:nsid w:val="06772BD7"/>
    <w:multiLevelType w:val="hybridMultilevel"/>
    <w:tmpl w:val="0D8AA742"/>
    <w:lvl w:ilvl="0" w:tplc="0338F58E">
      <w:numFmt w:val="bullet"/>
      <w:lvlText w:val=""/>
      <w:lvlJc w:val="left"/>
      <w:pPr>
        <w:ind w:left="157" w:hanging="100"/>
      </w:pPr>
      <w:rPr>
        <w:rFonts w:ascii="Symbol" w:eastAsia="Symbol" w:hAnsi="Symbol" w:cs="Symbol" w:hint="default"/>
        <w:color w:val="231F20"/>
        <w:w w:val="100"/>
        <w:sz w:val="14"/>
        <w:szCs w:val="14"/>
      </w:rPr>
    </w:lvl>
    <w:lvl w:ilvl="1" w:tplc="0602C170">
      <w:numFmt w:val="bullet"/>
      <w:lvlText w:val="•"/>
      <w:lvlJc w:val="left"/>
      <w:pPr>
        <w:ind w:left="426" w:hanging="100"/>
      </w:pPr>
      <w:rPr>
        <w:rFonts w:hint="default"/>
      </w:rPr>
    </w:lvl>
    <w:lvl w:ilvl="2" w:tplc="81064F28">
      <w:numFmt w:val="bullet"/>
      <w:lvlText w:val="•"/>
      <w:lvlJc w:val="left"/>
      <w:pPr>
        <w:ind w:left="692" w:hanging="100"/>
      </w:pPr>
      <w:rPr>
        <w:rFonts w:hint="default"/>
      </w:rPr>
    </w:lvl>
    <w:lvl w:ilvl="3" w:tplc="439409CE">
      <w:numFmt w:val="bullet"/>
      <w:lvlText w:val="•"/>
      <w:lvlJc w:val="left"/>
      <w:pPr>
        <w:ind w:left="959" w:hanging="100"/>
      </w:pPr>
      <w:rPr>
        <w:rFonts w:hint="default"/>
      </w:rPr>
    </w:lvl>
    <w:lvl w:ilvl="4" w:tplc="74A681C4">
      <w:numFmt w:val="bullet"/>
      <w:lvlText w:val="•"/>
      <w:lvlJc w:val="left"/>
      <w:pPr>
        <w:ind w:left="1225" w:hanging="100"/>
      </w:pPr>
      <w:rPr>
        <w:rFonts w:hint="default"/>
      </w:rPr>
    </w:lvl>
    <w:lvl w:ilvl="5" w:tplc="D84C6DF0">
      <w:numFmt w:val="bullet"/>
      <w:lvlText w:val="•"/>
      <w:lvlJc w:val="left"/>
      <w:pPr>
        <w:ind w:left="1492" w:hanging="100"/>
      </w:pPr>
      <w:rPr>
        <w:rFonts w:hint="default"/>
      </w:rPr>
    </w:lvl>
    <w:lvl w:ilvl="6" w:tplc="0CD0E610">
      <w:numFmt w:val="bullet"/>
      <w:lvlText w:val="•"/>
      <w:lvlJc w:val="left"/>
      <w:pPr>
        <w:ind w:left="1758" w:hanging="100"/>
      </w:pPr>
      <w:rPr>
        <w:rFonts w:hint="default"/>
      </w:rPr>
    </w:lvl>
    <w:lvl w:ilvl="7" w:tplc="81B21754">
      <w:numFmt w:val="bullet"/>
      <w:lvlText w:val="•"/>
      <w:lvlJc w:val="left"/>
      <w:pPr>
        <w:ind w:left="2024" w:hanging="100"/>
      </w:pPr>
      <w:rPr>
        <w:rFonts w:hint="default"/>
      </w:rPr>
    </w:lvl>
    <w:lvl w:ilvl="8" w:tplc="300EF63A">
      <w:numFmt w:val="bullet"/>
      <w:lvlText w:val="•"/>
      <w:lvlJc w:val="left"/>
      <w:pPr>
        <w:ind w:left="2291" w:hanging="100"/>
      </w:pPr>
      <w:rPr>
        <w:rFonts w:hint="default"/>
      </w:rPr>
    </w:lvl>
  </w:abstractNum>
  <w:abstractNum w:abstractNumId="109" w15:restartNumberingAfterBreak="0">
    <w:nsid w:val="06825143"/>
    <w:multiLevelType w:val="hybridMultilevel"/>
    <w:tmpl w:val="8BA6FC3A"/>
    <w:lvl w:ilvl="0" w:tplc="BF769A3A">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293E7D2A">
      <w:numFmt w:val="bullet"/>
      <w:lvlText w:val="•"/>
      <w:lvlJc w:val="left"/>
      <w:pPr>
        <w:ind w:left="369" w:hanging="105"/>
      </w:pPr>
      <w:rPr>
        <w:rFonts w:hint="default"/>
      </w:rPr>
    </w:lvl>
    <w:lvl w:ilvl="2" w:tplc="5C129838">
      <w:numFmt w:val="bullet"/>
      <w:lvlText w:val="•"/>
      <w:lvlJc w:val="left"/>
      <w:pPr>
        <w:ind w:left="579" w:hanging="105"/>
      </w:pPr>
      <w:rPr>
        <w:rFonts w:hint="default"/>
      </w:rPr>
    </w:lvl>
    <w:lvl w:ilvl="3" w:tplc="27461F5C">
      <w:numFmt w:val="bullet"/>
      <w:lvlText w:val="•"/>
      <w:lvlJc w:val="left"/>
      <w:pPr>
        <w:ind w:left="789" w:hanging="105"/>
      </w:pPr>
      <w:rPr>
        <w:rFonts w:hint="default"/>
      </w:rPr>
    </w:lvl>
    <w:lvl w:ilvl="4" w:tplc="8946E8B0">
      <w:numFmt w:val="bullet"/>
      <w:lvlText w:val="•"/>
      <w:lvlJc w:val="left"/>
      <w:pPr>
        <w:ind w:left="998" w:hanging="105"/>
      </w:pPr>
      <w:rPr>
        <w:rFonts w:hint="default"/>
      </w:rPr>
    </w:lvl>
    <w:lvl w:ilvl="5" w:tplc="6C0EB3CA">
      <w:numFmt w:val="bullet"/>
      <w:lvlText w:val="•"/>
      <w:lvlJc w:val="left"/>
      <w:pPr>
        <w:ind w:left="1208" w:hanging="105"/>
      </w:pPr>
      <w:rPr>
        <w:rFonts w:hint="default"/>
      </w:rPr>
    </w:lvl>
    <w:lvl w:ilvl="6" w:tplc="0388E524">
      <w:numFmt w:val="bullet"/>
      <w:lvlText w:val="•"/>
      <w:lvlJc w:val="left"/>
      <w:pPr>
        <w:ind w:left="1418" w:hanging="105"/>
      </w:pPr>
      <w:rPr>
        <w:rFonts w:hint="default"/>
      </w:rPr>
    </w:lvl>
    <w:lvl w:ilvl="7" w:tplc="1A4AF640">
      <w:numFmt w:val="bullet"/>
      <w:lvlText w:val="•"/>
      <w:lvlJc w:val="left"/>
      <w:pPr>
        <w:ind w:left="1627" w:hanging="105"/>
      </w:pPr>
      <w:rPr>
        <w:rFonts w:hint="default"/>
      </w:rPr>
    </w:lvl>
    <w:lvl w:ilvl="8" w:tplc="91A83FBE">
      <w:numFmt w:val="bullet"/>
      <w:lvlText w:val="•"/>
      <w:lvlJc w:val="left"/>
      <w:pPr>
        <w:ind w:left="1837" w:hanging="105"/>
      </w:pPr>
      <w:rPr>
        <w:rFonts w:hint="default"/>
      </w:rPr>
    </w:lvl>
  </w:abstractNum>
  <w:abstractNum w:abstractNumId="110" w15:restartNumberingAfterBreak="0">
    <w:nsid w:val="06895927"/>
    <w:multiLevelType w:val="hybridMultilevel"/>
    <w:tmpl w:val="EB1C3C44"/>
    <w:lvl w:ilvl="0" w:tplc="8F32F45A">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A42223D6">
      <w:numFmt w:val="bullet"/>
      <w:lvlText w:val="•"/>
      <w:lvlJc w:val="left"/>
      <w:pPr>
        <w:ind w:left="408" w:hanging="84"/>
      </w:pPr>
      <w:rPr>
        <w:rFonts w:hint="default"/>
      </w:rPr>
    </w:lvl>
    <w:lvl w:ilvl="2" w:tplc="4CAE3292">
      <w:numFmt w:val="bullet"/>
      <w:lvlText w:val="•"/>
      <w:lvlJc w:val="left"/>
      <w:pPr>
        <w:ind w:left="676" w:hanging="84"/>
      </w:pPr>
      <w:rPr>
        <w:rFonts w:hint="default"/>
      </w:rPr>
    </w:lvl>
    <w:lvl w:ilvl="3" w:tplc="607AC166">
      <w:numFmt w:val="bullet"/>
      <w:lvlText w:val="•"/>
      <w:lvlJc w:val="left"/>
      <w:pPr>
        <w:ind w:left="945" w:hanging="84"/>
      </w:pPr>
      <w:rPr>
        <w:rFonts w:hint="default"/>
      </w:rPr>
    </w:lvl>
    <w:lvl w:ilvl="4" w:tplc="D91212A2">
      <w:numFmt w:val="bullet"/>
      <w:lvlText w:val="•"/>
      <w:lvlJc w:val="left"/>
      <w:pPr>
        <w:ind w:left="1213" w:hanging="84"/>
      </w:pPr>
      <w:rPr>
        <w:rFonts w:hint="default"/>
      </w:rPr>
    </w:lvl>
    <w:lvl w:ilvl="5" w:tplc="1966AEA2">
      <w:numFmt w:val="bullet"/>
      <w:lvlText w:val="•"/>
      <w:lvlJc w:val="left"/>
      <w:pPr>
        <w:ind w:left="1482" w:hanging="84"/>
      </w:pPr>
      <w:rPr>
        <w:rFonts w:hint="default"/>
      </w:rPr>
    </w:lvl>
    <w:lvl w:ilvl="6" w:tplc="E80E0238">
      <w:numFmt w:val="bullet"/>
      <w:lvlText w:val="•"/>
      <w:lvlJc w:val="left"/>
      <w:pPr>
        <w:ind w:left="1750" w:hanging="84"/>
      </w:pPr>
      <w:rPr>
        <w:rFonts w:hint="default"/>
      </w:rPr>
    </w:lvl>
    <w:lvl w:ilvl="7" w:tplc="5D444ECE">
      <w:numFmt w:val="bullet"/>
      <w:lvlText w:val="•"/>
      <w:lvlJc w:val="left"/>
      <w:pPr>
        <w:ind w:left="2018" w:hanging="84"/>
      </w:pPr>
      <w:rPr>
        <w:rFonts w:hint="default"/>
      </w:rPr>
    </w:lvl>
    <w:lvl w:ilvl="8" w:tplc="CC1CEBA2">
      <w:numFmt w:val="bullet"/>
      <w:lvlText w:val="•"/>
      <w:lvlJc w:val="left"/>
      <w:pPr>
        <w:ind w:left="2287" w:hanging="84"/>
      </w:pPr>
      <w:rPr>
        <w:rFonts w:hint="default"/>
      </w:rPr>
    </w:lvl>
  </w:abstractNum>
  <w:abstractNum w:abstractNumId="111" w15:restartNumberingAfterBreak="0">
    <w:nsid w:val="06AE7E61"/>
    <w:multiLevelType w:val="hybridMultilevel"/>
    <w:tmpl w:val="588EC64C"/>
    <w:lvl w:ilvl="0" w:tplc="F5D6ADC8">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6E566B1A">
      <w:numFmt w:val="bullet"/>
      <w:lvlText w:val="•"/>
      <w:lvlJc w:val="left"/>
      <w:pPr>
        <w:ind w:left="408" w:hanging="84"/>
      </w:pPr>
      <w:rPr>
        <w:rFonts w:hint="default"/>
      </w:rPr>
    </w:lvl>
    <w:lvl w:ilvl="2" w:tplc="1F626976">
      <w:numFmt w:val="bullet"/>
      <w:lvlText w:val="•"/>
      <w:lvlJc w:val="left"/>
      <w:pPr>
        <w:ind w:left="676" w:hanging="84"/>
      </w:pPr>
      <w:rPr>
        <w:rFonts w:hint="default"/>
      </w:rPr>
    </w:lvl>
    <w:lvl w:ilvl="3" w:tplc="5D724160">
      <w:numFmt w:val="bullet"/>
      <w:lvlText w:val="•"/>
      <w:lvlJc w:val="left"/>
      <w:pPr>
        <w:ind w:left="945" w:hanging="84"/>
      </w:pPr>
      <w:rPr>
        <w:rFonts w:hint="default"/>
      </w:rPr>
    </w:lvl>
    <w:lvl w:ilvl="4" w:tplc="89E0FA96">
      <w:numFmt w:val="bullet"/>
      <w:lvlText w:val="•"/>
      <w:lvlJc w:val="left"/>
      <w:pPr>
        <w:ind w:left="1213" w:hanging="84"/>
      </w:pPr>
      <w:rPr>
        <w:rFonts w:hint="default"/>
      </w:rPr>
    </w:lvl>
    <w:lvl w:ilvl="5" w:tplc="DC821340">
      <w:numFmt w:val="bullet"/>
      <w:lvlText w:val="•"/>
      <w:lvlJc w:val="left"/>
      <w:pPr>
        <w:ind w:left="1482" w:hanging="84"/>
      </w:pPr>
      <w:rPr>
        <w:rFonts w:hint="default"/>
      </w:rPr>
    </w:lvl>
    <w:lvl w:ilvl="6" w:tplc="EC609C48">
      <w:numFmt w:val="bullet"/>
      <w:lvlText w:val="•"/>
      <w:lvlJc w:val="left"/>
      <w:pPr>
        <w:ind w:left="1750" w:hanging="84"/>
      </w:pPr>
      <w:rPr>
        <w:rFonts w:hint="default"/>
      </w:rPr>
    </w:lvl>
    <w:lvl w:ilvl="7" w:tplc="04348FDA">
      <w:numFmt w:val="bullet"/>
      <w:lvlText w:val="•"/>
      <w:lvlJc w:val="left"/>
      <w:pPr>
        <w:ind w:left="2018" w:hanging="84"/>
      </w:pPr>
      <w:rPr>
        <w:rFonts w:hint="default"/>
      </w:rPr>
    </w:lvl>
    <w:lvl w:ilvl="8" w:tplc="45C87674">
      <w:numFmt w:val="bullet"/>
      <w:lvlText w:val="•"/>
      <w:lvlJc w:val="left"/>
      <w:pPr>
        <w:ind w:left="2287" w:hanging="84"/>
      </w:pPr>
      <w:rPr>
        <w:rFonts w:hint="default"/>
      </w:rPr>
    </w:lvl>
  </w:abstractNum>
  <w:abstractNum w:abstractNumId="112" w15:restartNumberingAfterBreak="0">
    <w:nsid w:val="06B50106"/>
    <w:multiLevelType w:val="hybridMultilevel"/>
    <w:tmpl w:val="C1E04028"/>
    <w:lvl w:ilvl="0" w:tplc="960E180A">
      <w:numFmt w:val="bullet"/>
      <w:lvlText w:val=""/>
      <w:lvlJc w:val="left"/>
      <w:pPr>
        <w:ind w:left="157" w:hanging="100"/>
      </w:pPr>
      <w:rPr>
        <w:rFonts w:ascii="Symbol" w:eastAsia="Symbol" w:hAnsi="Symbol" w:cs="Symbol" w:hint="default"/>
        <w:color w:val="231F20"/>
        <w:w w:val="100"/>
        <w:sz w:val="14"/>
        <w:szCs w:val="14"/>
      </w:rPr>
    </w:lvl>
    <w:lvl w:ilvl="1" w:tplc="A6F6C64C">
      <w:numFmt w:val="bullet"/>
      <w:lvlText w:val="•"/>
      <w:lvlJc w:val="left"/>
      <w:pPr>
        <w:ind w:left="369" w:hanging="100"/>
      </w:pPr>
      <w:rPr>
        <w:rFonts w:hint="default"/>
      </w:rPr>
    </w:lvl>
    <w:lvl w:ilvl="2" w:tplc="C562C5B6">
      <w:numFmt w:val="bullet"/>
      <w:lvlText w:val="•"/>
      <w:lvlJc w:val="left"/>
      <w:pPr>
        <w:ind w:left="579" w:hanging="100"/>
      </w:pPr>
      <w:rPr>
        <w:rFonts w:hint="default"/>
      </w:rPr>
    </w:lvl>
    <w:lvl w:ilvl="3" w:tplc="565C9BA2">
      <w:numFmt w:val="bullet"/>
      <w:lvlText w:val="•"/>
      <w:lvlJc w:val="left"/>
      <w:pPr>
        <w:ind w:left="789" w:hanging="100"/>
      </w:pPr>
      <w:rPr>
        <w:rFonts w:hint="default"/>
      </w:rPr>
    </w:lvl>
    <w:lvl w:ilvl="4" w:tplc="46E64298">
      <w:numFmt w:val="bullet"/>
      <w:lvlText w:val="•"/>
      <w:lvlJc w:val="left"/>
      <w:pPr>
        <w:ind w:left="998" w:hanging="100"/>
      </w:pPr>
      <w:rPr>
        <w:rFonts w:hint="default"/>
      </w:rPr>
    </w:lvl>
    <w:lvl w:ilvl="5" w:tplc="13FCFC0E">
      <w:numFmt w:val="bullet"/>
      <w:lvlText w:val="•"/>
      <w:lvlJc w:val="left"/>
      <w:pPr>
        <w:ind w:left="1208" w:hanging="100"/>
      </w:pPr>
      <w:rPr>
        <w:rFonts w:hint="default"/>
      </w:rPr>
    </w:lvl>
    <w:lvl w:ilvl="6" w:tplc="5D2E0246">
      <w:numFmt w:val="bullet"/>
      <w:lvlText w:val="•"/>
      <w:lvlJc w:val="left"/>
      <w:pPr>
        <w:ind w:left="1418" w:hanging="100"/>
      </w:pPr>
      <w:rPr>
        <w:rFonts w:hint="default"/>
      </w:rPr>
    </w:lvl>
    <w:lvl w:ilvl="7" w:tplc="7E305A38">
      <w:numFmt w:val="bullet"/>
      <w:lvlText w:val="•"/>
      <w:lvlJc w:val="left"/>
      <w:pPr>
        <w:ind w:left="1627" w:hanging="100"/>
      </w:pPr>
      <w:rPr>
        <w:rFonts w:hint="default"/>
      </w:rPr>
    </w:lvl>
    <w:lvl w:ilvl="8" w:tplc="6BF4DDDC">
      <w:numFmt w:val="bullet"/>
      <w:lvlText w:val="•"/>
      <w:lvlJc w:val="left"/>
      <w:pPr>
        <w:ind w:left="1837" w:hanging="100"/>
      </w:pPr>
      <w:rPr>
        <w:rFonts w:hint="default"/>
      </w:rPr>
    </w:lvl>
  </w:abstractNum>
  <w:abstractNum w:abstractNumId="113" w15:restartNumberingAfterBreak="0">
    <w:nsid w:val="06CB5565"/>
    <w:multiLevelType w:val="hybridMultilevel"/>
    <w:tmpl w:val="86AE5054"/>
    <w:lvl w:ilvl="0" w:tplc="03C4B53E">
      <w:numFmt w:val="bullet"/>
      <w:lvlText w:val=""/>
      <w:lvlJc w:val="left"/>
      <w:pPr>
        <w:ind w:left="156" w:hanging="100"/>
      </w:pPr>
      <w:rPr>
        <w:rFonts w:ascii="Symbol" w:eastAsia="Symbol" w:hAnsi="Symbol" w:cs="Symbol" w:hint="default"/>
        <w:color w:val="231F20"/>
        <w:w w:val="100"/>
        <w:sz w:val="14"/>
        <w:szCs w:val="14"/>
      </w:rPr>
    </w:lvl>
    <w:lvl w:ilvl="1" w:tplc="8A72988E">
      <w:numFmt w:val="bullet"/>
      <w:lvlText w:val="•"/>
      <w:lvlJc w:val="left"/>
      <w:pPr>
        <w:ind w:left="398" w:hanging="100"/>
      </w:pPr>
      <w:rPr>
        <w:rFonts w:hint="default"/>
      </w:rPr>
    </w:lvl>
    <w:lvl w:ilvl="2" w:tplc="01080BCC">
      <w:numFmt w:val="bullet"/>
      <w:lvlText w:val="•"/>
      <w:lvlJc w:val="left"/>
      <w:pPr>
        <w:ind w:left="636" w:hanging="100"/>
      </w:pPr>
      <w:rPr>
        <w:rFonts w:hint="default"/>
      </w:rPr>
    </w:lvl>
    <w:lvl w:ilvl="3" w:tplc="FA88D44E">
      <w:numFmt w:val="bullet"/>
      <w:lvlText w:val="•"/>
      <w:lvlJc w:val="left"/>
      <w:pPr>
        <w:ind w:left="874" w:hanging="100"/>
      </w:pPr>
      <w:rPr>
        <w:rFonts w:hint="default"/>
      </w:rPr>
    </w:lvl>
    <w:lvl w:ilvl="4" w:tplc="3C4C8FCA">
      <w:numFmt w:val="bullet"/>
      <w:lvlText w:val="•"/>
      <w:lvlJc w:val="left"/>
      <w:pPr>
        <w:ind w:left="1112" w:hanging="100"/>
      </w:pPr>
      <w:rPr>
        <w:rFonts w:hint="default"/>
      </w:rPr>
    </w:lvl>
    <w:lvl w:ilvl="5" w:tplc="DCBEFE98">
      <w:numFmt w:val="bullet"/>
      <w:lvlText w:val="•"/>
      <w:lvlJc w:val="left"/>
      <w:pPr>
        <w:ind w:left="1350" w:hanging="100"/>
      </w:pPr>
      <w:rPr>
        <w:rFonts w:hint="default"/>
      </w:rPr>
    </w:lvl>
    <w:lvl w:ilvl="6" w:tplc="D5548096">
      <w:numFmt w:val="bullet"/>
      <w:lvlText w:val="•"/>
      <w:lvlJc w:val="left"/>
      <w:pPr>
        <w:ind w:left="1588" w:hanging="100"/>
      </w:pPr>
      <w:rPr>
        <w:rFonts w:hint="default"/>
      </w:rPr>
    </w:lvl>
    <w:lvl w:ilvl="7" w:tplc="602CF8AA">
      <w:numFmt w:val="bullet"/>
      <w:lvlText w:val="•"/>
      <w:lvlJc w:val="left"/>
      <w:pPr>
        <w:ind w:left="1826" w:hanging="100"/>
      </w:pPr>
      <w:rPr>
        <w:rFonts w:hint="default"/>
      </w:rPr>
    </w:lvl>
    <w:lvl w:ilvl="8" w:tplc="4E02FEB4">
      <w:numFmt w:val="bullet"/>
      <w:lvlText w:val="•"/>
      <w:lvlJc w:val="left"/>
      <w:pPr>
        <w:ind w:left="2064" w:hanging="100"/>
      </w:pPr>
      <w:rPr>
        <w:rFonts w:hint="default"/>
      </w:rPr>
    </w:lvl>
  </w:abstractNum>
  <w:abstractNum w:abstractNumId="114" w15:restartNumberingAfterBreak="0">
    <w:nsid w:val="06DC64E6"/>
    <w:multiLevelType w:val="hybridMultilevel"/>
    <w:tmpl w:val="420E8324"/>
    <w:lvl w:ilvl="0" w:tplc="67BE3E8A">
      <w:numFmt w:val="bullet"/>
      <w:lvlText w:val=""/>
      <w:lvlJc w:val="left"/>
      <w:pPr>
        <w:ind w:left="156" w:hanging="100"/>
      </w:pPr>
      <w:rPr>
        <w:rFonts w:ascii="Symbol" w:eastAsia="Symbol" w:hAnsi="Symbol" w:cs="Symbol" w:hint="default"/>
        <w:color w:val="231F20"/>
        <w:w w:val="100"/>
        <w:sz w:val="14"/>
        <w:szCs w:val="14"/>
      </w:rPr>
    </w:lvl>
    <w:lvl w:ilvl="1" w:tplc="90300F5E">
      <w:numFmt w:val="bullet"/>
      <w:lvlText w:val="•"/>
      <w:lvlJc w:val="left"/>
      <w:pPr>
        <w:ind w:left="301" w:hanging="100"/>
      </w:pPr>
      <w:rPr>
        <w:rFonts w:hint="default"/>
      </w:rPr>
    </w:lvl>
    <w:lvl w:ilvl="2" w:tplc="EF5430C2">
      <w:numFmt w:val="bullet"/>
      <w:lvlText w:val="•"/>
      <w:lvlJc w:val="left"/>
      <w:pPr>
        <w:ind w:left="443" w:hanging="100"/>
      </w:pPr>
      <w:rPr>
        <w:rFonts w:hint="default"/>
      </w:rPr>
    </w:lvl>
    <w:lvl w:ilvl="3" w:tplc="C7BC1F06">
      <w:numFmt w:val="bullet"/>
      <w:lvlText w:val="•"/>
      <w:lvlJc w:val="left"/>
      <w:pPr>
        <w:ind w:left="585" w:hanging="100"/>
      </w:pPr>
      <w:rPr>
        <w:rFonts w:hint="default"/>
      </w:rPr>
    </w:lvl>
    <w:lvl w:ilvl="4" w:tplc="A278601E">
      <w:numFmt w:val="bullet"/>
      <w:lvlText w:val="•"/>
      <w:lvlJc w:val="left"/>
      <w:pPr>
        <w:ind w:left="726" w:hanging="100"/>
      </w:pPr>
      <w:rPr>
        <w:rFonts w:hint="default"/>
      </w:rPr>
    </w:lvl>
    <w:lvl w:ilvl="5" w:tplc="ED86BB50">
      <w:numFmt w:val="bullet"/>
      <w:lvlText w:val="•"/>
      <w:lvlJc w:val="left"/>
      <w:pPr>
        <w:ind w:left="868" w:hanging="100"/>
      </w:pPr>
      <w:rPr>
        <w:rFonts w:hint="default"/>
      </w:rPr>
    </w:lvl>
    <w:lvl w:ilvl="6" w:tplc="79AE888A">
      <w:numFmt w:val="bullet"/>
      <w:lvlText w:val="•"/>
      <w:lvlJc w:val="left"/>
      <w:pPr>
        <w:ind w:left="1010" w:hanging="100"/>
      </w:pPr>
      <w:rPr>
        <w:rFonts w:hint="default"/>
      </w:rPr>
    </w:lvl>
    <w:lvl w:ilvl="7" w:tplc="8CF28416">
      <w:numFmt w:val="bullet"/>
      <w:lvlText w:val="•"/>
      <w:lvlJc w:val="left"/>
      <w:pPr>
        <w:ind w:left="1151" w:hanging="100"/>
      </w:pPr>
      <w:rPr>
        <w:rFonts w:hint="default"/>
      </w:rPr>
    </w:lvl>
    <w:lvl w:ilvl="8" w:tplc="E20A5ED0">
      <w:numFmt w:val="bullet"/>
      <w:lvlText w:val="•"/>
      <w:lvlJc w:val="left"/>
      <w:pPr>
        <w:ind w:left="1293" w:hanging="100"/>
      </w:pPr>
      <w:rPr>
        <w:rFonts w:hint="default"/>
      </w:rPr>
    </w:lvl>
  </w:abstractNum>
  <w:abstractNum w:abstractNumId="115" w15:restartNumberingAfterBreak="0">
    <w:nsid w:val="06E358B0"/>
    <w:multiLevelType w:val="hybridMultilevel"/>
    <w:tmpl w:val="430C96A4"/>
    <w:lvl w:ilvl="0" w:tplc="A410ADBE">
      <w:numFmt w:val="bullet"/>
      <w:lvlText w:val=""/>
      <w:lvlJc w:val="left"/>
      <w:pPr>
        <w:ind w:left="156" w:hanging="100"/>
      </w:pPr>
      <w:rPr>
        <w:rFonts w:ascii="Symbol" w:eastAsia="Symbol" w:hAnsi="Symbol" w:cs="Symbol" w:hint="default"/>
        <w:color w:val="231F20"/>
        <w:w w:val="100"/>
        <w:sz w:val="14"/>
        <w:szCs w:val="14"/>
      </w:rPr>
    </w:lvl>
    <w:lvl w:ilvl="1" w:tplc="F292715A">
      <w:numFmt w:val="bullet"/>
      <w:lvlText w:val="•"/>
      <w:lvlJc w:val="left"/>
      <w:pPr>
        <w:ind w:left="301" w:hanging="100"/>
      </w:pPr>
      <w:rPr>
        <w:rFonts w:hint="default"/>
      </w:rPr>
    </w:lvl>
    <w:lvl w:ilvl="2" w:tplc="F1D665F0">
      <w:numFmt w:val="bullet"/>
      <w:lvlText w:val="•"/>
      <w:lvlJc w:val="left"/>
      <w:pPr>
        <w:ind w:left="443" w:hanging="100"/>
      </w:pPr>
      <w:rPr>
        <w:rFonts w:hint="default"/>
      </w:rPr>
    </w:lvl>
    <w:lvl w:ilvl="3" w:tplc="45C4DDF8">
      <w:numFmt w:val="bullet"/>
      <w:lvlText w:val="•"/>
      <w:lvlJc w:val="left"/>
      <w:pPr>
        <w:ind w:left="585" w:hanging="100"/>
      </w:pPr>
      <w:rPr>
        <w:rFonts w:hint="default"/>
      </w:rPr>
    </w:lvl>
    <w:lvl w:ilvl="4" w:tplc="F9F24B6E">
      <w:numFmt w:val="bullet"/>
      <w:lvlText w:val="•"/>
      <w:lvlJc w:val="left"/>
      <w:pPr>
        <w:ind w:left="726" w:hanging="100"/>
      </w:pPr>
      <w:rPr>
        <w:rFonts w:hint="default"/>
      </w:rPr>
    </w:lvl>
    <w:lvl w:ilvl="5" w:tplc="35D8239C">
      <w:numFmt w:val="bullet"/>
      <w:lvlText w:val="•"/>
      <w:lvlJc w:val="left"/>
      <w:pPr>
        <w:ind w:left="868" w:hanging="100"/>
      </w:pPr>
      <w:rPr>
        <w:rFonts w:hint="default"/>
      </w:rPr>
    </w:lvl>
    <w:lvl w:ilvl="6" w:tplc="6FE05448">
      <w:numFmt w:val="bullet"/>
      <w:lvlText w:val="•"/>
      <w:lvlJc w:val="left"/>
      <w:pPr>
        <w:ind w:left="1010" w:hanging="100"/>
      </w:pPr>
      <w:rPr>
        <w:rFonts w:hint="default"/>
      </w:rPr>
    </w:lvl>
    <w:lvl w:ilvl="7" w:tplc="9E907DA4">
      <w:numFmt w:val="bullet"/>
      <w:lvlText w:val="•"/>
      <w:lvlJc w:val="left"/>
      <w:pPr>
        <w:ind w:left="1151" w:hanging="100"/>
      </w:pPr>
      <w:rPr>
        <w:rFonts w:hint="default"/>
      </w:rPr>
    </w:lvl>
    <w:lvl w:ilvl="8" w:tplc="8EAE4EE4">
      <w:numFmt w:val="bullet"/>
      <w:lvlText w:val="•"/>
      <w:lvlJc w:val="left"/>
      <w:pPr>
        <w:ind w:left="1293" w:hanging="100"/>
      </w:pPr>
      <w:rPr>
        <w:rFonts w:hint="default"/>
      </w:rPr>
    </w:lvl>
  </w:abstractNum>
  <w:abstractNum w:abstractNumId="116" w15:restartNumberingAfterBreak="0">
    <w:nsid w:val="06E3662A"/>
    <w:multiLevelType w:val="hybridMultilevel"/>
    <w:tmpl w:val="5A98CD80"/>
    <w:lvl w:ilvl="0" w:tplc="21BEE0AC">
      <w:numFmt w:val="bullet"/>
      <w:lvlText w:val=""/>
      <w:lvlJc w:val="left"/>
      <w:pPr>
        <w:ind w:left="156" w:hanging="100"/>
      </w:pPr>
      <w:rPr>
        <w:rFonts w:ascii="Symbol" w:eastAsia="Symbol" w:hAnsi="Symbol" w:cs="Symbol" w:hint="default"/>
        <w:color w:val="231F20"/>
        <w:w w:val="100"/>
        <w:sz w:val="14"/>
        <w:szCs w:val="14"/>
      </w:rPr>
    </w:lvl>
    <w:lvl w:ilvl="1" w:tplc="D374C6F8">
      <w:numFmt w:val="bullet"/>
      <w:lvlText w:val="•"/>
      <w:lvlJc w:val="left"/>
      <w:pPr>
        <w:ind w:left="398" w:hanging="100"/>
      </w:pPr>
      <w:rPr>
        <w:rFonts w:hint="default"/>
      </w:rPr>
    </w:lvl>
    <w:lvl w:ilvl="2" w:tplc="C46AD1D8">
      <w:numFmt w:val="bullet"/>
      <w:lvlText w:val="•"/>
      <w:lvlJc w:val="left"/>
      <w:pPr>
        <w:ind w:left="636" w:hanging="100"/>
      </w:pPr>
      <w:rPr>
        <w:rFonts w:hint="default"/>
      </w:rPr>
    </w:lvl>
    <w:lvl w:ilvl="3" w:tplc="CCB6E8A4">
      <w:numFmt w:val="bullet"/>
      <w:lvlText w:val="•"/>
      <w:lvlJc w:val="left"/>
      <w:pPr>
        <w:ind w:left="874" w:hanging="100"/>
      </w:pPr>
      <w:rPr>
        <w:rFonts w:hint="default"/>
      </w:rPr>
    </w:lvl>
    <w:lvl w:ilvl="4" w:tplc="62ACB4E4">
      <w:numFmt w:val="bullet"/>
      <w:lvlText w:val="•"/>
      <w:lvlJc w:val="left"/>
      <w:pPr>
        <w:ind w:left="1112" w:hanging="100"/>
      </w:pPr>
      <w:rPr>
        <w:rFonts w:hint="default"/>
      </w:rPr>
    </w:lvl>
    <w:lvl w:ilvl="5" w:tplc="1E2AB1BE">
      <w:numFmt w:val="bullet"/>
      <w:lvlText w:val="•"/>
      <w:lvlJc w:val="left"/>
      <w:pPr>
        <w:ind w:left="1350" w:hanging="100"/>
      </w:pPr>
      <w:rPr>
        <w:rFonts w:hint="default"/>
      </w:rPr>
    </w:lvl>
    <w:lvl w:ilvl="6" w:tplc="355C5D34">
      <w:numFmt w:val="bullet"/>
      <w:lvlText w:val="•"/>
      <w:lvlJc w:val="left"/>
      <w:pPr>
        <w:ind w:left="1588" w:hanging="100"/>
      </w:pPr>
      <w:rPr>
        <w:rFonts w:hint="default"/>
      </w:rPr>
    </w:lvl>
    <w:lvl w:ilvl="7" w:tplc="2620EF48">
      <w:numFmt w:val="bullet"/>
      <w:lvlText w:val="•"/>
      <w:lvlJc w:val="left"/>
      <w:pPr>
        <w:ind w:left="1826" w:hanging="100"/>
      </w:pPr>
      <w:rPr>
        <w:rFonts w:hint="default"/>
      </w:rPr>
    </w:lvl>
    <w:lvl w:ilvl="8" w:tplc="62584132">
      <w:numFmt w:val="bullet"/>
      <w:lvlText w:val="•"/>
      <w:lvlJc w:val="left"/>
      <w:pPr>
        <w:ind w:left="2064" w:hanging="100"/>
      </w:pPr>
      <w:rPr>
        <w:rFonts w:hint="default"/>
      </w:rPr>
    </w:lvl>
  </w:abstractNum>
  <w:abstractNum w:abstractNumId="117" w15:restartNumberingAfterBreak="0">
    <w:nsid w:val="06F104F6"/>
    <w:multiLevelType w:val="hybridMultilevel"/>
    <w:tmpl w:val="EB640C26"/>
    <w:lvl w:ilvl="0" w:tplc="5764EF74">
      <w:numFmt w:val="bullet"/>
      <w:lvlText w:val=""/>
      <w:lvlJc w:val="left"/>
      <w:pPr>
        <w:ind w:left="157" w:hanging="100"/>
      </w:pPr>
      <w:rPr>
        <w:rFonts w:ascii="Symbol" w:eastAsia="Symbol" w:hAnsi="Symbol" w:cs="Symbol" w:hint="default"/>
        <w:color w:val="231F20"/>
        <w:w w:val="100"/>
        <w:sz w:val="14"/>
        <w:szCs w:val="14"/>
      </w:rPr>
    </w:lvl>
    <w:lvl w:ilvl="1" w:tplc="B546F040">
      <w:numFmt w:val="bullet"/>
      <w:lvlText w:val="•"/>
      <w:lvlJc w:val="left"/>
      <w:pPr>
        <w:ind w:left="369" w:hanging="100"/>
      </w:pPr>
      <w:rPr>
        <w:rFonts w:hint="default"/>
      </w:rPr>
    </w:lvl>
    <w:lvl w:ilvl="2" w:tplc="87506FD6">
      <w:numFmt w:val="bullet"/>
      <w:lvlText w:val="•"/>
      <w:lvlJc w:val="left"/>
      <w:pPr>
        <w:ind w:left="579" w:hanging="100"/>
      </w:pPr>
      <w:rPr>
        <w:rFonts w:hint="default"/>
      </w:rPr>
    </w:lvl>
    <w:lvl w:ilvl="3" w:tplc="D5E40776">
      <w:numFmt w:val="bullet"/>
      <w:lvlText w:val="•"/>
      <w:lvlJc w:val="left"/>
      <w:pPr>
        <w:ind w:left="789" w:hanging="100"/>
      </w:pPr>
      <w:rPr>
        <w:rFonts w:hint="default"/>
      </w:rPr>
    </w:lvl>
    <w:lvl w:ilvl="4" w:tplc="77B86A02">
      <w:numFmt w:val="bullet"/>
      <w:lvlText w:val="•"/>
      <w:lvlJc w:val="left"/>
      <w:pPr>
        <w:ind w:left="998" w:hanging="100"/>
      </w:pPr>
      <w:rPr>
        <w:rFonts w:hint="default"/>
      </w:rPr>
    </w:lvl>
    <w:lvl w:ilvl="5" w:tplc="484C1396">
      <w:numFmt w:val="bullet"/>
      <w:lvlText w:val="•"/>
      <w:lvlJc w:val="left"/>
      <w:pPr>
        <w:ind w:left="1208" w:hanging="100"/>
      </w:pPr>
      <w:rPr>
        <w:rFonts w:hint="default"/>
      </w:rPr>
    </w:lvl>
    <w:lvl w:ilvl="6" w:tplc="C3BC9E32">
      <w:numFmt w:val="bullet"/>
      <w:lvlText w:val="•"/>
      <w:lvlJc w:val="left"/>
      <w:pPr>
        <w:ind w:left="1418" w:hanging="100"/>
      </w:pPr>
      <w:rPr>
        <w:rFonts w:hint="default"/>
      </w:rPr>
    </w:lvl>
    <w:lvl w:ilvl="7" w:tplc="51A4593E">
      <w:numFmt w:val="bullet"/>
      <w:lvlText w:val="•"/>
      <w:lvlJc w:val="left"/>
      <w:pPr>
        <w:ind w:left="1627" w:hanging="100"/>
      </w:pPr>
      <w:rPr>
        <w:rFonts w:hint="default"/>
      </w:rPr>
    </w:lvl>
    <w:lvl w:ilvl="8" w:tplc="20D86D86">
      <w:numFmt w:val="bullet"/>
      <w:lvlText w:val="•"/>
      <w:lvlJc w:val="left"/>
      <w:pPr>
        <w:ind w:left="1837" w:hanging="100"/>
      </w:pPr>
      <w:rPr>
        <w:rFonts w:hint="default"/>
      </w:rPr>
    </w:lvl>
  </w:abstractNum>
  <w:abstractNum w:abstractNumId="118" w15:restartNumberingAfterBreak="0">
    <w:nsid w:val="06FE015B"/>
    <w:multiLevelType w:val="hybridMultilevel"/>
    <w:tmpl w:val="57247916"/>
    <w:lvl w:ilvl="0" w:tplc="E19A80DC">
      <w:numFmt w:val="bullet"/>
      <w:lvlText w:val=""/>
      <w:lvlJc w:val="left"/>
      <w:pPr>
        <w:ind w:left="156" w:hanging="100"/>
      </w:pPr>
      <w:rPr>
        <w:rFonts w:ascii="Symbol" w:eastAsia="Symbol" w:hAnsi="Symbol" w:cs="Symbol" w:hint="default"/>
        <w:color w:val="231F20"/>
        <w:w w:val="100"/>
        <w:sz w:val="14"/>
        <w:szCs w:val="14"/>
      </w:rPr>
    </w:lvl>
    <w:lvl w:ilvl="1" w:tplc="FFC82C4C">
      <w:numFmt w:val="bullet"/>
      <w:lvlText w:val="•"/>
      <w:lvlJc w:val="left"/>
      <w:pPr>
        <w:ind w:left="301" w:hanging="100"/>
      </w:pPr>
      <w:rPr>
        <w:rFonts w:hint="default"/>
      </w:rPr>
    </w:lvl>
    <w:lvl w:ilvl="2" w:tplc="E51C2A76">
      <w:numFmt w:val="bullet"/>
      <w:lvlText w:val="•"/>
      <w:lvlJc w:val="left"/>
      <w:pPr>
        <w:ind w:left="443" w:hanging="100"/>
      </w:pPr>
      <w:rPr>
        <w:rFonts w:hint="default"/>
      </w:rPr>
    </w:lvl>
    <w:lvl w:ilvl="3" w:tplc="51A6C704">
      <w:numFmt w:val="bullet"/>
      <w:lvlText w:val="•"/>
      <w:lvlJc w:val="left"/>
      <w:pPr>
        <w:ind w:left="585" w:hanging="100"/>
      </w:pPr>
      <w:rPr>
        <w:rFonts w:hint="default"/>
      </w:rPr>
    </w:lvl>
    <w:lvl w:ilvl="4" w:tplc="65B2CFE8">
      <w:numFmt w:val="bullet"/>
      <w:lvlText w:val="•"/>
      <w:lvlJc w:val="left"/>
      <w:pPr>
        <w:ind w:left="726" w:hanging="100"/>
      </w:pPr>
      <w:rPr>
        <w:rFonts w:hint="default"/>
      </w:rPr>
    </w:lvl>
    <w:lvl w:ilvl="5" w:tplc="97C84D72">
      <w:numFmt w:val="bullet"/>
      <w:lvlText w:val="•"/>
      <w:lvlJc w:val="left"/>
      <w:pPr>
        <w:ind w:left="868" w:hanging="100"/>
      </w:pPr>
      <w:rPr>
        <w:rFonts w:hint="default"/>
      </w:rPr>
    </w:lvl>
    <w:lvl w:ilvl="6" w:tplc="A52AE884">
      <w:numFmt w:val="bullet"/>
      <w:lvlText w:val="•"/>
      <w:lvlJc w:val="left"/>
      <w:pPr>
        <w:ind w:left="1010" w:hanging="100"/>
      </w:pPr>
      <w:rPr>
        <w:rFonts w:hint="default"/>
      </w:rPr>
    </w:lvl>
    <w:lvl w:ilvl="7" w:tplc="8C620AC8">
      <w:numFmt w:val="bullet"/>
      <w:lvlText w:val="•"/>
      <w:lvlJc w:val="left"/>
      <w:pPr>
        <w:ind w:left="1151" w:hanging="100"/>
      </w:pPr>
      <w:rPr>
        <w:rFonts w:hint="default"/>
      </w:rPr>
    </w:lvl>
    <w:lvl w:ilvl="8" w:tplc="FBAA39F4">
      <w:numFmt w:val="bullet"/>
      <w:lvlText w:val="•"/>
      <w:lvlJc w:val="left"/>
      <w:pPr>
        <w:ind w:left="1293" w:hanging="100"/>
      </w:pPr>
      <w:rPr>
        <w:rFonts w:hint="default"/>
      </w:rPr>
    </w:lvl>
  </w:abstractNum>
  <w:abstractNum w:abstractNumId="119" w15:restartNumberingAfterBreak="0">
    <w:nsid w:val="07062D3A"/>
    <w:multiLevelType w:val="hybridMultilevel"/>
    <w:tmpl w:val="6F5812E2"/>
    <w:lvl w:ilvl="0" w:tplc="DEB0C1E8">
      <w:numFmt w:val="bullet"/>
      <w:lvlText w:val=""/>
      <w:lvlJc w:val="left"/>
      <w:pPr>
        <w:ind w:left="156" w:hanging="100"/>
      </w:pPr>
      <w:rPr>
        <w:rFonts w:ascii="Symbol" w:eastAsia="Symbol" w:hAnsi="Symbol" w:cs="Symbol" w:hint="default"/>
        <w:color w:val="231F20"/>
        <w:w w:val="100"/>
        <w:sz w:val="14"/>
        <w:szCs w:val="14"/>
      </w:rPr>
    </w:lvl>
    <w:lvl w:ilvl="1" w:tplc="63067B58">
      <w:numFmt w:val="bullet"/>
      <w:lvlText w:val="•"/>
      <w:lvlJc w:val="left"/>
      <w:pPr>
        <w:ind w:left="398" w:hanging="100"/>
      </w:pPr>
      <w:rPr>
        <w:rFonts w:hint="default"/>
      </w:rPr>
    </w:lvl>
    <w:lvl w:ilvl="2" w:tplc="49A46582">
      <w:numFmt w:val="bullet"/>
      <w:lvlText w:val="•"/>
      <w:lvlJc w:val="left"/>
      <w:pPr>
        <w:ind w:left="636" w:hanging="100"/>
      </w:pPr>
      <w:rPr>
        <w:rFonts w:hint="default"/>
      </w:rPr>
    </w:lvl>
    <w:lvl w:ilvl="3" w:tplc="B8C4C836">
      <w:numFmt w:val="bullet"/>
      <w:lvlText w:val="•"/>
      <w:lvlJc w:val="left"/>
      <w:pPr>
        <w:ind w:left="874" w:hanging="100"/>
      </w:pPr>
      <w:rPr>
        <w:rFonts w:hint="default"/>
      </w:rPr>
    </w:lvl>
    <w:lvl w:ilvl="4" w:tplc="4E601A16">
      <w:numFmt w:val="bullet"/>
      <w:lvlText w:val="•"/>
      <w:lvlJc w:val="left"/>
      <w:pPr>
        <w:ind w:left="1112" w:hanging="100"/>
      </w:pPr>
      <w:rPr>
        <w:rFonts w:hint="default"/>
      </w:rPr>
    </w:lvl>
    <w:lvl w:ilvl="5" w:tplc="3154C534">
      <w:numFmt w:val="bullet"/>
      <w:lvlText w:val="•"/>
      <w:lvlJc w:val="left"/>
      <w:pPr>
        <w:ind w:left="1350" w:hanging="100"/>
      </w:pPr>
      <w:rPr>
        <w:rFonts w:hint="default"/>
      </w:rPr>
    </w:lvl>
    <w:lvl w:ilvl="6" w:tplc="CDE8C4DC">
      <w:numFmt w:val="bullet"/>
      <w:lvlText w:val="•"/>
      <w:lvlJc w:val="left"/>
      <w:pPr>
        <w:ind w:left="1588" w:hanging="100"/>
      </w:pPr>
      <w:rPr>
        <w:rFonts w:hint="default"/>
      </w:rPr>
    </w:lvl>
    <w:lvl w:ilvl="7" w:tplc="CB425CAC">
      <w:numFmt w:val="bullet"/>
      <w:lvlText w:val="•"/>
      <w:lvlJc w:val="left"/>
      <w:pPr>
        <w:ind w:left="1826" w:hanging="100"/>
      </w:pPr>
      <w:rPr>
        <w:rFonts w:hint="default"/>
      </w:rPr>
    </w:lvl>
    <w:lvl w:ilvl="8" w:tplc="8E9C63CE">
      <w:numFmt w:val="bullet"/>
      <w:lvlText w:val="•"/>
      <w:lvlJc w:val="left"/>
      <w:pPr>
        <w:ind w:left="2064" w:hanging="100"/>
      </w:pPr>
      <w:rPr>
        <w:rFonts w:hint="default"/>
      </w:rPr>
    </w:lvl>
  </w:abstractNum>
  <w:abstractNum w:abstractNumId="120" w15:restartNumberingAfterBreak="0">
    <w:nsid w:val="070E5BFA"/>
    <w:multiLevelType w:val="hybridMultilevel"/>
    <w:tmpl w:val="8E861956"/>
    <w:lvl w:ilvl="0" w:tplc="4230796C">
      <w:numFmt w:val="bullet"/>
      <w:lvlText w:val=""/>
      <w:lvlJc w:val="left"/>
      <w:pPr>
        <w:ind w:left="157" w:hanging="100"/>
      </w:pPr>
      <w:rPr>
        <w:rFonts w:ascii="Symbol" w:eastAsia="Symbol" w:hAnsi="Symbol" w:cs="Symbol" w:hint="default"/>
        <w:color w:val="231F20"/>
        <w:w w:val="100"/>
        <w:sz w:val="14"/>
        <w:szCs w:val="14"/>
      </w:rPr>
    </w:lvl>
    <w:lvl w:ilvl="1" w:tplc="9782EBC2">
      <w:numFmt w:val="bullet"/>
      <w:lvlText w:val="•"/>
      <w:lvlJc w:val="left"/>
      <w:pPr>
        <w:ind w:left="426" w:hanging="100"/>
      </w:pPr>
      <w:rPr>
        <w:rFonts w:hint="default"/>
      </w:rPr>
    </w:lvl>
    <w:lvl w:ilvl="2" w:tplc="14BA6CD4">
      <w:numFmt w:val="bullet"/>
      <w:lvlText w:val="•"/>
      <w:lvlJc w:val="left"/>
      <w:pPr>
        <w:ind w:left="692" w:hanging="100"/>
      </w:pPr>
      <w:rPr>
        <w:rFonts w:hint="default"/>
      </w:rPr>
    </w:lvl>
    <w:lvl w:ilvl="3" w:tplc="616E5086">
      <w:numFmt w:val="bullet"/>
      <w:lvlText w:val="•"/>
      <w:lvlJc w:val="left"/>
      <w:pPr>
        <w:ind w:left="959" w:hanging="100"/>
      </w:pPr>
      <w:rPr>
        <w:rFonts w:hint="default"/>
      </w:rPr>
    </w:lvl>
    <w:lvl w:ilvl="4" w:tplc="98847D96">
      <w:numFmt w:val="bullet"/>
      <w:lvlText w:val="•"/>
      <w:lvlJc w:val="left"/>
      <w:pPr>
        <w:ind w:left="1225" w:hanging="100"/>
      </w:pPr>
      <w:rPr>
        <w:rFonts w:hint="default"/>
      </w:rPr>
    </w:lvl>
    <w:lvl w:ilvl="5" w:tplc="7E5E7C54">
      <w:numFmt w:val="bullet"/>
      <w:lvlText w:val="•"/>
      <w:lvlJc w:val="left"/>
      <w:pPr>
        <w:ind w:left="1492" w:hanging="100"/>
      </w:pPr>
      <w:rPr>
        <w:rFonts w:hint="default"/>
      </w:rPr>
    </w:lvl>
    <w:lvl w:ilvl="6" w:tplc="FE0CA502">
      <w:numFmt w:val="bullet"/>
      <w:lvlText w:val="•"/>
      <w:lvlJc w:val="left"/>
      <w:pPr>
        <w:ind w:left="1758" w:hanging="100"/>
      </w:pPr>
      <w:rPr>
        <w:rFonts w:hint="default"/>
      </w:rPr>
    </w:lvl>
    <w:lvl w:ilvl="7" w:tplc="B9D0151C">
      <w:numFmt w:val="bullet"/>
      <w:lvlText w:val="•"/>
      <w:lvlJc w:val="left"/>
      <w:pPr>
        <w:ind w:left="2024" w:hanging="100"/>
      </w:pPr>
      <w:rPr>
        <w:rFonts w:hint="default"/>
      </w:rPr>
    </w:lvl>
    <w:lvl w:ilvl="8" w:tplc="33A6B472">
      <w:numFmt w:val="bullet"/>
      <w:lvlText w:val="•"/>
      <w:lvlJc w:val="left"/>
      <w:pPr>
        <w:ind w:left="2291" w:hanging="100"/>
      </w:pPr>
      <w:rPr>
        <w:rFonts w:hint="default"/>
      </w:rPr>
    </w:lvl>
  </w:abstractNum>
  <w:abstractNum w:abstractNumId="121" w15:restartNumberingAfterBreak="0">
    <w:nsid w:val="07142B4C"/>
    <w:multiLevelType w:val="hybridMultilevel"/>
    <w:tmpl w:val="8B7E0500"/>
    <w:lvl w:ilvl="0" w:tplc="181AF804">
      <w:numFmt w:val="bullet"/>
      <w:lvlText w:val=""/>
      <w:lvlJc w:val="left"/>
      <w:pPr>
        <w:ind w:left="156" w:hanging="100"/>
      </w:pPr>
      <w:rPr>
        <w:rFonts w:ascii="Symbol" w:eastAsia="Symbol" w:hAnsi="Symbol" w:cs="Symbol" w:hint="default"/>
        <w:color w:val="231F20"/>
        <w:w w:val="100"/>
        <w:sz w:val="14"/>
        <w:szCs w:val="14"/>
      </w:rPr>
    </w:lvl>
    <w:lvl w:ilvl="1" w:tplc="3650FFF0">
      <w:numFmt w:val="bullet"/>
      <w:lvlText w:val="•"/>
      <w:lvlJc w:val="left"/>
      <w:pPr>
        <w:ind w:left="301" w:hanging="100"/>
      </w:pPr>
      <w:rPr>
        <w:rFonts w:hint="default"/>
      </w:rPr>
    </w:lvl>
    <w:lvl w:ilvl="2" w:tplc="5BC03FE8">
      <w:numFmt w:val="bullet"/>
      <w:lvlText w:val="•"/>
      <w:lvlJc w:val="left"/>
      <w:pPr>
        <w:ind w:left="443" w:hanging="100"/>
      </w:pPr>
      <w:rPr>
        <w:rFonts w:hint="default"/>
      </w:rPr>
    </w:lvl>
    <w:lvl w:ilvl="3" w:tplc="2E143CF0">
      <w:numFmt w:val="bullet"/>
      <w:lvlText w:val="•"/>
      <w:lvlJc w:val="left"/>
      <w:pPr>
        <w:ind w:left="585" w:hanging="100"/>
      </w:pPr>
      <w:rPr>
        <w:rFonts w:hint="default"/>
      </w:rPr>
    </w:lvl>
    <w:lvl w:ilvl="4" w:tplc="4D761F5A">
      <w:numFmt w:val="bullet"/>
      <w:lvlText w:val="•"/>
      <w:lvlJc w:val="left"/>
      <w:pPr>
        <w:ind w:left="726" w:hanging="100"/>
      </w:pPr>
      <w:rPr>
        <w:rFonts w:hint="default"/>
      </w:rPr>
    </w:lvl>
    <w:lvl w:ilvl="5" w:tplc="00CE3C18">
      <w:numFmt w:val="bullet"/>
      <w:lvlText w:val="•"/>
      <w:lvlJc w:val="left"/>
      <w:pPr>
        <w:ind w:left="868" w:hanging="100"/>
      </w:pPr>
      <w:rPr>
        <w:rFonts w:hint="default"/>
      </w:rPr>
    </w:lvl>
    <w:lvl w:ilvl="6" w:tplc="BBC6189C">
      <w:numFmt w:val="bullet"/>
      <w:lvlText w:val="•"/>
      <w:lvlJc w:val="left"/>
      <w:pPr>
        <w:ind w:left="1010" w:hanging="100"/>
      </w:pPr>
      <w:rPr>
        <w:rFonts w:hint="default"/>
      </w:rPr>
    </w:lvl>
    <w:lvl w:ilvl="7" w:tplc="5D02A9B0">
      <w:numFmt w:val="bullet"/>
      <w:lvlText w:val="•"/>
      <w:lvlJc w:val="left"/>
      <w:pPr>
        <w:ind w:left="1151" w:hanging="100"/>
      </w:pPr>
      <w:rPr>
        <w:rFonts w:hint="default"/>
      </w:rPr>
    </w:lvl>
    <w:lvl w:ilvl="8" w:tplc="3D3EBE04">
      <w:numFmt w:val="bullet"/>
      <w:lvlText w:val="•"/>
      <w:lvlJc w:val="left"/>
      <w:pPr>
        <w:ind w:left="1293" w:hanging="100"/>
      </w:pPr>
      <w:rPr>
        <w:rFonts w:hint="default"/>
      </w:rPr>
    </w:lvl>
  </w:abstractNum>
  <w:abstractNum w:abstractNumId="122" w15:restartNumberingAfterBreak="0">
    <w:nsid w:val="0719708B"/>
    <w:multiLevelType w:val="hybridMultilevel"/>
    <w:tmpl w:val="996EA2FE"/>
    <w:lvl w:ilvl="0" w:tplc="58D66A7C">
      <w:numFmt w:val="bullet"/>
      <w:lvlText w:val=""/>
      <w:lvlJc w:val="left"/>
      <w:pPr>
        <w:ind w:left="156" w:hanging="100"/>
      </w:pPr>
      <w:rPr>
        <w:rFonts w:ascii="Symbol" w:eastAsia="Symbol" w:hAnsi="Symbol" w:cs="Symbol" w:hint="default"/>
        <w:color w:val="231F20"/>
        <w:w w:val="100"/>
        <w:sz w:val="14"/>
        <w:szCs w:val="14"/>
      </w:rPr>
    </w:lvl>
    <w:lvl w:ilvl="1" w:tplc="744E571E">
      <w:numFmt w:val="bullet"/>
      <w:lvlText w:val="•"/>
      <w:lvlJc w:val="left"/>
      <w:pPr>
        <w:ind w:left="426" w:hanging="100"/>
      </w:pPr>
      <w:rPr>
        <w:rFonts w:hint="default"/>
      </w:rPr>
    </w:lvl>
    <w:lvl w:ilvl="2" w:tplc="7C0ECC8C">
      <w:numFmt w:val="bullet"/>
      <w:lvlText w:val="•"/>
      <w:lvlJc w:val="left"/>
      <w:pPr>
        <w:ind w:left="692" w:hanging="100"/>
      </w:pPr>
      <w:rPr>
        <w:rFonts w:hint="default"/>
      </w:rPr>
    </w:lvl>
    <w:lvl w:ilvl="3" w:tplc="B0B24040">
      <w:numFmt w:val="bullet"/>
      <w:lvlText w:val="•"/>
      <w:lvlJc w:val="left"/>
      <w:pPr>
        <w:ind w:left="959" w:hanging="100"/>
      </w:pPr>
      <w:rPr>
        <w:rFonts w:hint="default"/>
      </w:rPr>
    </w:lvl>
    <w:lvl w:ilvl="4" w:tplc="57AA8B82">
      <w:numFmt w:val="bullet"/>
      <w:lvlText w:val="•"/>
      <w:lvlJc w:val="left"/>
      <w:pPr>
        <w:ind w:left="1225" w:hanging="100"/>
      </w:pPr>
      <w:rPr>
        <w:rFonts w:hint="default"/>
      </w:rPr>
    </w:lvl>
    <w:lvl w:ilvl="5" w:tplc="85F20A5A">
      <w:numFmt w:val="bullet"/>
      <w:lvlText w:val="•"/>
      <w:lvlJc w:val="left"/>
      <w:pPr>
        <w:ind w:left="1492" w:hanging="100"/>
      </w:pPr>
      <w:rPr>
        <w:rFonts w:hint="default"/>
      </w:rPr>
    </w:lvl>
    <w:lvl w:ilvl="6" w:tplc="71FAF83C">
      <w:numFmt w:val="bullet"/>
      <w:lvlText w:val="•"/>
      <w:lvlJc w:val="left"/>
      <w:pPr>
        <w:ind w:left="1758" w:hanging="100"/>
      </w:pPr>
      <w:rPr>
        <w:rFonts w:hint="default"/>
      </w:rPr>
    </w:lvl>
    <w:lvl w:ilvl="7" w:tplc="D1A66850">
      <w:numFmt w:val="bullet"/>
      <w:lvlText w:val="•"/>
      <w:lvlJc w:val="left"/>
      <w:pPr>
        <w:ind w:left="2024" w:hanging="100"/>
      </w:pPr>
      <w:rPr>
        <w:rFonts w:hint="default"/>
      </w:rPr>
    </w:lvl>
    <w:lvl w:ilvl="8" w:tplc="558AF51E">
      <w:numFmt w:val="bullet"/>
      <w:lvlText w:val="•"/>
      <w:lvlJc w:val="left"/>
      <w:pPr>
        <w:ind w:left="2291" w:hanging="100"/>
      </w:pPr>
      <w:rPr>
        <w:rFonts w:hint="default"/>
      </w:rPr>
    </w:lvl>
  </w:abstractNum>
  <w:abstractNum w:abstractNumId="123" w15:restartNumberingAfterBreak="0">
    <w:nsid w:val="07341272"/>
    <w:multiLevelType w:val="hybridMultilevel"/>
    <w:tmpl w:val="93D00684"/>
    <w:lvl w:ilvl="0" w:tplc="64965BC2">
      <w:numFmt w:val="bullet"/>
      <w:lvlText w:val=""/>
      <w:lvlJc w:val="left"/>
      <w:pPr>
        <w:ind w:left="157" w:hanging="100"/>
      </w:pPr>
      <w:rPr>
        <w:rFonts w:ascii="Symbol" w:eastAsia="Symbol" w:hAnsi="Symbol" w:cs="Symbol" w:hint="default"/>
        <w:color w:val="231F20"/>
        <w:w w:val="100"/>
        <w:sz w:val="14"/>
        <w:szCs w:val="14"/>
      </w:rPr>
    </w:lvl>
    <w:lvl w:ilvl="1" w:tplc="7C02EB24">
      <w:numFmt w:val="bullet"/>
      <w:lvlText w:val="•"/>
      <w:lvlJc w:val="left"/>
      <w:pPr>
        <w:ind w:left="398" w:hanging="100"/>
      </w:pPr>
      <w:rPr>
        <w:rFonts w:hint="default"/>
      </w:rPr>
    </w:lvl>
    <w:lvl w:ilvl="2" w:tplc="7E2033D0">
      <w:numFmt w:val="bullet"/>
      <w:lvlText w:val="•"/>
      <w:lvlJc w:val="left"/>
      <w:pPr>
        <w:ind w:left="636" w:hanging="100"/>
      </w:pPr>
      <w:rPr>
        <w:rFonts w:hint="default"/>
      </w:rPr>
    </w:lvl>
    <w:lvl w:ilvl="3" w:tplc="3CCEF9DA">
      <w:numFmt w:val="bullet"/>
      <w:lvlText w:val="•"/>
      <w:lvlJc w:val="left"/>
      <w:pPr>
        <w:ind w:left="874" w:hanging="100"/>
      </w:pPr>
      <w:rPr>
        <w:rFonts w:hint="default"/>
      </w:rPr>
    </w:lvl>
    <w:lvl w:ilvl="4" w:tplc="C6205AFC">
      <w:numFmt w:val="bullet"/>
      <w:lvlText w:val="•"/>
      <w:lvlJc w:val="left"/>
      <w:pPr>
        <w:ind w:left="1112" w:hanging="100"/>
      </w:pPr>
      <w:rPr>
        <w:rFonts w:hint="default"/>
      </w:rPr>
    </w:lvl>
    <w:lvl w:ilvl="5" w:tplc="CC86E7EE">
      <w:numFmt w:val="bullet"/>
      <w:lvlText w:val="•"/>
      <w:lvlJc w:val="left"/>
      <w:pPr>
        <w:ind w:left="1350" w:hanging="100"/>
      </w:pPr>
      <w:rPr>
        <w:rFonts w:hint="default"/>
      </w:rPr>
    </w:lvl>
    <w:lvl w:ilvl="6" w:tplc="32B0EF2A">
      <w:numFmt w:val="bullet"/>
      <w:lvlText w:val="•"/>
      <w:lvlJc w:val="left"/>
      <w:pPr>
        <w:ind w:left="1588" w:hanging="100"/>
      </w:pPr>
      <w:rPr>
        <w:rFonts w:hint="default"/>
      </w:rPr>
    </w:lvl>
    <w:lvl w:ilvl="7" w:tplc="DDA251A6">
      <w:numFmt w:val="bullet"/>
      <w:lvlText w:val="•"/>
      <w:lvlJc w:val="left"/>
      <w:pPr>
        <w:ind w:left="1826" w:hanging="100"/>
      </w:pPr>
      <w:rPr>
        <w:rFonts w:hint="default"/>
      </w:rPr>
    </w:lvl>
    <w:lvl w:ilvl="8" w:tplc="DA42A34E">
      <w:numFmt w:val="bullet"/>
      <w:lvlText w:val="•"/>
      <w:lvlJc w:val="left"/>
      <w:pPr>
        <w:ind w:left="2064" w:hanging="100"/>
      </w:pPr>
      <w:rPr>
        <w:rFonts w:hint="default"/>
      </w:rPr>
    </w:lvl>
  </w:abstractNum>
  <w:abstractNum w:abstractNumId="124" w15:restartNumberingAfterBreak="0">
    <w:nsid w:val="07712198"/>
    <w:multiLevelType w:val="hybridMultilevel"/>
    <w:tmpl w:val="0AD62654"/>
    <w:lvl w:ilvl="0" w:tplc="E21AB9CC">
      <w:numFmt w:val="bullet"/>
      <w:lvlText w:val=""/>
      <w:lvlJc w:val="left"/>
      <w:pPr>
        <w:ind w:left="157" w:hanging="100"/>
      </w:pPr>
      <w:rPr>
        <w:rFonts w:ascii="Symbol" w:eastAsia="Symbol" w:hAnsi="Symbol" w:cs="Symbol" w:hint="default"/>
        <w:color w:val="231F20"/>
        <w:w w:val="100"/>
        <w:sz w:val="14"/>
        <w:szCs w:val="14"/>
      </w:rPr>
    </w:lvl>
    <w:lvl w:ilvl="1" w:tplc="5F745EBA">
      <w:numFmt w:val="bullet"/>
      <w:lvlText w:val="•"/>
      <w:lvlJc w:val="left"/>
      <w:pPr>
        <w:ind w:left="369" w:hanging="100"/>
      </w:pPr>
      <w:rPr>
        <w:rFonts w:hint="default"/>
      </w:rPr>
    </w:lvl>
    <w:lvl w:ilvl="2" w:tplc="71A6669C">
      <w:numFmt w:val="bullet"/>
      <w:lvlText w:val="•"/>
      <w:lvlJc w:val="left"/>
      <w:pPr>
        <w:ind w:left="579" w:hanging="100"/>
      </w:pPr>
      <w:rPr>
        <w:rFonts w:hint="default"/>
      </w:rPr>
    </w:lvl>
    <w:lvl w:ilvl="3" w:tplc="ED9AC9AC">
      <w:numFmt w:val="bullet"/>
      <w:lvlText w:val="•"/>
      <w:lvlJc w:val="left"/>
      <w:pPr>
        <w:ind w:left="789" w:hanging="100"/>
      </w:pPr>
      <w:rPr>
        <w:rFonts w:hint="default"/>
      </w:rPr>
    </w:lvl>
    <w:lvl w:ilvl="4" w:tplc="541E959E">
      <w:numFmt w:val="bullet"/>
      <w:lvlText w:val="•"/>
      <w:lvlJc w:val="left"/>
      <w:pPr>
        <w:ind w:left="998" w:hanging="100"/>
      </w:pPr>
      <w:rPr>
        <w:rFonts w:hint="default"/>
      </w:rPr>
    </w:lvl>
    <w:lvl w:ilvl="5" w:tplc="5A06FF54">
      <w:numFmt w:val="bullet"/>
      <w:lvlText w:val="•"/>
      <w:lvlJc w:val="left"/>
      <w:pPr>
        <w:ind w:left="1208" w:hanging="100"/>
      </w:pPr>
      <w:rPr>
        <w:rFonts w:hint="default"/>
      </w:rPr>
    </w:lvl>
    <w:lvl w:ilvl="6" w:tplc="F8D6B46A">
      <w:numFmt w:val="bullet"/>
      <w:lvlText w:val="•"/>
      <w:lvlJc w:val="left"/>
      <w:pPr>
        <w:ind w:left="1418" w:hanging="100"/>
      </w:pPr>
      <w:rPr>
        <w:rFonts w:hint="default"/>
      </w:rPr>
    </w:lvl>
    <w:lvl w:ilvl="7" w:tplc="BC3262B8">
      <w:numFmt w:val="bullet"/>
      <w:lvlText w:val="•"/>
      <w:lvlJc w:val="left"/>
      <w:pPr>
        <w:ind w:left="1627" w:hanging="100"/>
      </w:pPr>
      <w:rPr>
        <w:rFonts w:hint="default"/>
      </w:rPr>
    </w:lvl>
    <w:lvl w:ilvl="8" w:tplc="B15C97C4">
      <w:numFmt w:val="bullet"/>
      <w:lvlText w:val="•"/>
      <w:lvlJc w:val="left"/>
      <w:pPr>
        <w:ind w:left="1837" w:hanging="100"/>
      </w:pPr>
      <w:rPr>
        <w:rFonts w:hint="default"/>
      </w:rPr>
    </w:lvl>
  </w:abstractNum>
  <w:abstractNum w:abstractNumId="125" w15:restartNumberingAfterBreak="0">
    <w:nsid w:val="07AB5C86"/>
    <w:multiLevelType w:val="hybridMultilevel"/>
    <w:tmpl w:val="B6928090"/>
    <w:lvl w:ilvl="0" w:tplc="BB5C5CDC">
      <w:numFmt w:val="bullet"/>
      <w:lvlText w:val=""/>
      <w:lvlJc w:val="left"/>
      <w:pPr>
        <w:ind w:left="156" w:hanging="100"/>
      </w:pPr>
      <w:rPr>
        <w:rFonts w:ascii="Symbol" w:eastAsia="Symbol" w:hAnsi="Symbol" w:cs="Symbol" w:hint="default"/>
        <w:color w:val="231F20"/>
        <w:w w:val="100"/>
        <w:sz w:val="14"/>
        <w:szCs w:val="14"/>
      </w:rPr>
    </w:lvl>
    <w:lvl w:ilvl="1" w:tplc="CD26B5BE">
      <w:numFmt w:val="bullet"/>
      <w:lvlText w:val="•"/>
      <w:lvlJc w:val="left"/>
      <w:pPr>
        <w:ind w:left="398" w:hanging="100"/>
      </w:pPr>
      <w:rPr>
        <w:rFonts w:hint="default"/>
      </w:rPr>
    </w:lvl>
    <w:lvl w:ilvl="2" w:tplc="ACCEF3DE">
      <w:numFmt w:val="bullet"/>
      <w:lvlText w:val="•"/>
      <w:lvlJc w:val="left"/>
      <w:pPr>
        <w:ind w:left="636" w:hanging="100"/>
      </w:pPr>
      <w:rPr>
        <w:rFonts w:hint="default"/>
      </w:rPr>
    </w:lvl>
    <w:lvl w:ilvl="3" w:tplc="27EA91A0">
      <w:numFmt w:val="bullet"/>
      <w:lvlText w:val="•"/>
      <w:lvlJc w:val="left"/>
      <w:pPr>
        <w:ind w:left="874" w:hanging="100"/>
      </w:pPr>
      <w:rPr>
        <w:rFonts w:hint="default"/>
      </w:rPr>
    </w:lvl>
    <w:lvl w:ilvl="4" w:tplc="55287582">
      <w:numFmt w:val="bullet"/>
      <w:lvlText w:val="•"/>
      <w:lvlJc w:val="left"/>
      <w:pPr>
        <w:ind w:left="1112" w:hanging="100"/>
      </w:pPr>
      <w:rPr>
        <w:rFonts w:hint="default"/>
      </w:rPr>
    </w:lvl>
    <w:lvl w:ilvl="5" w:tplc="98206C3A">
      <w:numFmt w:val="bullet"/>
      <w:lvlText w:val="•"/>
      <w:lvlJc w:val="left"/>
      <w:pPr>
        <w:ind w:left="1350" w:hanging="100"/>
      </w:pPr>
      <w:rPr>
        <w:rFonts w:hint="default"/>
      </w:rPr>
    </w:lvl>
    <w:lvl w:ilvl="6" w:tplc="7A12A03A">
      <w:numFmt w:val="bullet"/>
      <w:lvlText w:val="•"/>
      <w:lvlJc w:val="left"/>
      <w:pPr>
        <w:ind w:left="1588" w:hanging="100"/>
      </w:pPr>
      <w:rPr>
        <w:rFonts w:hint="default"/>
      </w:rPr>
    </w:lvl>
    <w:lvl w:ilvl="7" w:tplc="63BED902">
      <w:numFmt w:val="bullet"/>
      <w:lvlText w:val="•"/>
      <w:lvlJc w:val="left"/>
      <w:pPr>
        <w:ind w:left="1826" w:hanging="100"/>
      </w:pPr>
      <w:rPr>
        <w:rFonts w:hint="default"/>
      </w:rPr>
    </w:lvl>
    <w:lvl w:ilvl="8" w:tplc="A66E6E50">
      <w:numFmt w:val="bullet"/>
      <w:lvlText w:val="•"/>
      <w:lvlJc w:val="left"/>
      <w:pPr>
        <w:ind w:left="2064" w:hanging="100"/>
      </w:pPr>
      <w:rPr>
        <w:rFonts w:hint="default"/>
      </w:rPr>
    </w:lvl>
  </w:abstractNum>
  <w:abstractNum w:abstractNumId="126" w15:restartNumberingAfterBreak="0">
    <w:nsid w:val="07AF6BFB"/>
    <w:multiLevelType w:val="hybridMultilevel"/>
    <w:tmpl w:val="8EC0E80E"/>
    <w:lvl w:ilvl="0" w:tplc="EE18B9D8">
      <w:numFmt w:val="bullet"/>
      <w:lvlText w:val=""/>
      <w:lvlJc w:val="left"/>
      <w:pPr>
        <w:ind w:left="156" w:hanging="100"/>
      </w:pPr>
      <w:rPr>
        <w:rFonts w:ascii="Symbol" w:eastAsia="Symbol" w:hAnsi="Symbol" w:cs="Symbol" w:hint="default"/>
        <w:color w:val="231F20"/>
        <w:w w:val="100"/>
        <w:sz w:val="14"/>
        <w:szCs w:val="14"/>
      </w:rPr>
    </w:lvl>
    <w:lvl w:ilvl="1" w:tplc="2090B500">
      <w:numFmt w:val="bullet"/>
      <w:lvlText w:val="•"/>
      <w:lvlJc w:val="left"/>
      <w:pPr>
        <w:ind w:left="426" w:hanging="100"/>
      </w:pPr>
      <w:rPr>
        <w:rFonts w:hint="default"/>
      </w:rPr>
    </w:lvl>
    <w:lvl w:ilvl="2" w:tplc="686A35E0">
      <w:numFmt w:val="bullet"/>
      <w:lvlText w:val="•"/>
      <w:lvlJc w:val="left"/>
      <w:pPr>
        <w:ind w:left="692" w:hanging="100"/>
      </w:pPr>
      <w:rPr>
        <w:rFonts w:hint="default"/>
      </w:rPr>
    </w:lvl>
    <w:lvl w:ilvl="3" w:tplc="5D86653C">
      <w:numFmt w:val="bullet"/>
      <w:lvlText w:val="•"/>
      <w:lvlJc w:val="left"/>
      <w:pPr>
        <w:ind w:left="959" w:hanging="100"/>
      </w:pPr>
      <w:rPr>
        <w:rFonts w:hint="default"/>
      </w:rPr>
    </w:lvl>
    <w:lvl w:ilvl="4" w:tplc="12943948">
      <w:numFmt w:val="bullet"/>
      <w:lvlText w:val="•"/>
      <w:lvlJc w:val="left"/>
      <w:pPr>
        <w:ind w:left="1225" w:hanging="100"/>
      </w:pPr>
      <w:rPr>
        <w:rFonts w:hint="default"/>
      </w:rPr>
    </w:lvl>
    <w:lvl w:ilvl="5" w:tplc="F07444C8">
      <w:numFmt w:val="bullet"/>
      <w:lvlText w:val="•"/>
      <w:lvlJc w:val="left"/>
      <w:pPr>
        <w:ind w:left="1492" w:hanging="100"/>
      </w:pPr>
      <w:rPr>
        <w:rFonts w:hint="default"/>
      </w:rPr>
    </w:lvl>
    <w:lvl w:ilvl="6" w:tplc="04E07EF4">
      <w:numFmt w:val="bullet"/>
      <w:lvlText w:val="•"/>
      <w:lvlJc w:val="left"/>
      <w:pPr>
        <w:ind w:left="1758" w:hanging="100"/>
      </w:pPr>
      <w:rPr>
        <w:rFonts w:hint="default"/>
      </w:rPr>
    </w:lvl>
    <w:lvl w:ilvl="7" w:tplc="C0647158">
      <w:numFmt w:val="bullet"/>
      <w:lvlText w:val="•"/>
      <w:lvlJc w:val="left"/>
      <w:pPr>
        <w:ind w:left="2024" w:hanging="100"/>
      </w:pPr>
      <w:rPr>
        <w:rFonts w:hint="default"/>
      </w:rPr>
    </w:lvl>
    <w:lvl w:ilvl="8" w:tplc="C30E7468">
      <w:numFmt w:val="bullet"/>
      <w:lvlText w:val="•"/>
      <w:lvlJc w:val="left"/>
      <w:pPr>
        <w:ind w:left="2291" w:hanging="100"/>
      </w:pPr>
      <w:rPr>
        <w:rFonts w:hint="default"/>
      </w:rPr>
    </w:lvl>
  </w:abstractNum>
  <w:abstractNum w:abstractNumId="127" w15:restartNumberingAfterBreak="0">
    <w:nsid w:val="07F03728"/>
    <w:multiLevelType w:val="hybridMultilevel"/>
    <w:tmpl w:val="7494B302"/>
    <w:lvl w:ilvl="0" w:tplc="F21E2114">
      <w:numFmt w:val="bullet"/>
      <w:lvlText w:val=""/>
      <w:lvlJc w:val="left"/>
      <w:pPr>
        <w:ind w:left="156" w:hanging="100"/>
      </w:pPr>
      <w:rPr>
        <w:rFonts w:ascii="Symbol" w:eastAsia="Symbol" w:hAnsi="Symbol" w:cs="Symbol" w:hint="default"/>
        <w:color w:val="231F20"/>
        <w:w w:val="100"/>
        <w:sz w:val="14"/>
        <w:szCs w:val="14"/>
      </w:rPr>
    </w:lvl>
    <w:lvl w:ilvl="1" w:tplc="7580517A">
      <w:numFmt w:val="bullet"/>
      <w:lvlText w:val="-"/>
      <w:lvlJc w:val="left"/>
      <w:pPr>
        <w:ind w:left="156" w:hanging="82"/>
      </w:pPr>
      <w:rPr>
        <w:rFonts w:ascii="Times New Roman" w:eastAsia="Times New Roman" w:hAnsi="Times New Roman" w:cs="Times New Roman" w:hint="default"/>
        <w:color w:val="231F20"/>
        <w:spacing w:val="-8"/>
        <w:w w:val="100"/>
        <w:sz w:val="14"/>
        <w:szCs w:val="14"/>
      </w:rPr>
    </w:lvl>
    <w:lvl w:ilvl="2" w:tplc="21C4B682">
      <w:numFmt w:val="bullet"/>
      <w:lvlText w:val="•"/>
      <w:lvlJc w:val="left"/>
      <w:pPr>
        <w:ind w:left="692" w:hanging="82"/>
      </w:pPr>
      <w:rPr>
        <w:rFonts w:hint="default"/>
      </w:rPr>
    </w:lvl>
    <w:lvl w:ilvl="3" w:tplc="44503B14">
      <w:numFmt w:val="bullet"/>
      <w:lvlText w:val="•"/>
      <w:lvlJc w:val="left"/>
      <w:pPr>
        <w:ind w:left="959" w:hanging="82"/>
      </w:pPr>
      <w:rPr>
        <w:rFonts w:hint="default"/>
      </w:rPr>
    </w:lvl>
    <w:lvl w:ilvl="4" w:tplc="FE361DE2">
      <w:numFmt w:val="bullet"/>
      <w:lvlText w:val="•"/>
      <w:lvlJc w:val="left"/>
      <w:pPr>
        <w:ind w:left="1225" w:hanging="82"/>
      </w:pPr>
      <w:rPr>
        <w:rFonts w:hint="default"/>
      </w:rPr>
    </w:lvl>
    <w:lvl w:ilvl="5" w:tplc="DB3C0546">
      <w:numFmt w:val="bullet"/>
      <w:lvlText w:val="•"/>
      <w:lvlJc w:val="left"/>
      <w:pPr>
        <w:ind w:left="1492" w:hanging="82"/>
      </w:pPr>
      <w:rPr>
        <w:rFonts w:hint="default"/>
      </w:rPr>
    </w:lvl>
    <w:lvl w:ilvl="6" w:tplc="BB868248">
      <w:numFmt w:val="bullet"/>
      <w:lvlText w:val="•"/>
      <w:lvlJc w:val="left"/>
      <w:pPr>
        <w:ind w:left="1758" w:hanging="82"/>
      </w:pPr>
      <w:rPr>
        <w:rFonts w:hint="default"/>
      </w:rPr>
    </w:lvl>
    <w:lvl w:ilvl="7" w:tplc="96608B80">
      <w:numFmt w:val="bullet"/>
      <w:lvlText w:val="•"/>
      <w:lvlJc w:val="left"/>
      <w:pPr>
        <w:ind w:left="2024" w:hanging="82"/>
      </w:pPr>
      <w:rPr>
        <w:rFonts w:hint="default"/>
      </w:rPr>
    </w:lvl>
    <w:lvl w:ilvl="8" w:tplc="15EAFC1E">
      <w:numFmt w:val="bullet"/>
      <w:lvlText w:val="•"/>
      <w:lvlJc w:val="left"/>
      <w:pPr>
        <w:ind w:left="2291" w:hanging="82"/>
      </w:pPr>
      <w:rPr>
        <w:rFonts w:hint="default"/>
      </w:rPr>
    </w:lvl>
  </w:abstractNum>
  <w:abstractNum w:abstractNumId="128" w15:restartNumberingAfterBreak="0">
    <w:nsid w:val="08130205"/>
    <w:multiLevelType w:val="hybridMultilevel"/>
    <w:tmpl w:val="73AAA6D4"/>
    <w:lvl w:ilvl="0" w:tplc="C12C68F4">
      <w:numFmt w:val="bullet"/>
      <w:lvlText w:val=""/>
      <w:lvlJc w:val="left"/>
      <w:pPr>
        <w:ind w:left="156" w:hanging="100"/>
      </w:pPr>
      <w:rPr>
        <w:rFonts w:ascii="Symbol" w:eastAsia="Symbol" w:hAnsi="Symbol" w:cs="Symbol" w:hint="default"/>
        <w:color w:val="231F20"/>
        <w:w w:val="100"/>
        <w:sz w:val="14"/>
        <w:szCs w:val="14"/>
      </w:rPr>
    </w:lvl>
    <w:lvl w:ilvl="1" w:tplc="D4A69958">
      <w:numFmt w:val="bullet"/>
      <w:lvlText w:val="•"/>
      <w:lvlJc w:val="left"/>
      <w:pPr>
        <w:ind w:left="426" w:hanging="100"/>
      </w:pPr>
      <w:rPr>
        <w:rFonts w:hint="default"/>
      </w:rPr>
    </w:lvl>
    <w:lvl w:ilvl="2" w:tplc="38884672">
      <w:numFmt w:val="bullet"/>
      <w:lvlText w:val="•"/>
      <w:lvlJc w:val="left"/>
      <w:pPr>
        <w:ind w:left="692" w:hanging="100"/>
      </w:pPr>
      <w:rPr>
        <w:rFonts w:hint="default"/>
      </w:rPr>
    </w:lvl>
    <w:lvl w:ilvl="3" w:tplc="1990EEDA">
      <w:numFmt w:val="bullet"/>
      <w:lvlText w:val="•"/>
      <w:lvlJc w:val="left"/>
      <w:pPr>
        <w:ind w:left="959" w:hanging="100"/>
      </w:pPr>
      <w:rPr>
        <w:rFonts w:hint="default"/>
      </w:rPr>
    </w:lvl>
    <w:lvl w:ilvl="4" w:tplc="D444E64C">
      <w:numFmt w:val="bullet"/>
      <w:lvlText w:val="•"/>
      <w:lvlJc w:val="left"/>
      <w:pPr>
        <w:ind w:left="1225" w:hanging="100"/>
      </w:pPr>
      <w:rPr>
        <w:rFonts w:hint="default"/>
      </w:rPr>
    </w:lvl>
    <w:lvl w:ilvl="5" w:tplc="8C820344">
      <w:numFmt w:val="bullet"/>
      <w:lvlText w:val="•"/>
      <w:lvlJc w:val="left"/>
      <w:pPr>
        <w:ind w:left="1492" w:hanging="100"/>
      </w:pPr>
      <w:rPr>
        <w:rFonts w:hint="default"/>
      </w:rPr>
    </w:lvl>
    <w:lvl w:ilvl="6" w:tplc="BAB2CA82">
      <w:numFmt w:val="bullet"/>
      <w:lvlText w:val="•"/>
      <w:lvlJc w:val="left"/>
      <w:pPr>
        <w:ind w:left="1758" w:hanging="100"/>
      </w:pPr>
      <w:rPr>
        <w:rFonts w:hint="default"/>
      </w:rPr>
    </w:lvl>
    <w:lvl w:ilvl="7" w:tplc="7ED88F88">
      <w:numFmt w:val="bullet"/>
      <w:lvlText w:val="•"/>
      <w:lvlJc w:val="left"/>
      <w:pPr>
        <w:ind w:left="2024" w:hanging="100"/>
      </w:pPr>
      <w:rPr>
        <w:rFonts w:hint="default"/>
      </w:rPr>
    </w:lvl>
    <w:lvl w:ilvl="8" w:tplc="D90C59C8">
      <w:numFmt w:val="bullet"/>
      <w:lvlText w:val="•"/>
      <w:lvlJc w:val="left"/>
      <w:pPr>
        <w:ind w:left="2291" w:hanging="100"/>
      </w:pPr>
      <w:rPr>
        <w:rFonts w:hint="default"/>
      </w:rPr>
    </w:lvl>
  </w:abstractNum>
  <w:abstractNum w:abstractNumId="129" w15:restartNumberingAfterBreak="0">
    <w:nsid w:val="08183CA1"/>
    <w:multiLevelType w:val="hybridMultilevel"/>
    <w:tmpl w:val="71C8843C"/>
    <w:lvl w:ilvl="0" w:tplc="9B8CE5D0">
      <w:numFmt w:val="bullet"/>
      <w:lvlText w:val=""/>
      <w:lvlJc w:val="left"/>
      <w:pPr>
        <w:ind w:left="156" w:hanging="100"/>
      </w:pPr>
      <w:rPr>
        <w:rFonts w:ascii="Symbol" w:eastAsia="Symbol" w:hAnsi="Symbol" w:cs="Symbol" w:hint="default"/>
        <w:color w:val="231F20"/>
        <w:w w:val="100"/>
        <w:sz w:val="14"/>
        <w:szCs w:val="14"/>
      </w:rPr>
    </w:lvl>
    <w:lvl w:ilvl="1" w:tplc="D8B2C334">
      <w:numFmt w:val="bullet"/>
      <w:lvlText w:val="•"/>
      <w:lvlJc w:val="left"/>
      <w:pPr>
        <w:ind w:left="426" w:hanging="100"/>
      </w:pPr>
      <w:rPr>
        <w:rFonts w:hint="default"/>
      </w:rPr>
    </w:lvl>
    <w:lvl w:ilvl="2" w:tplc="59C450FA">
      <w:numFmt w:val="bullet"/>
      <w:lvlText w:val="•"/>
      <w:lvlJc w:val="left"/>
      <w:pPr>
        <w:ind w:left="692" w:hanging="100"/>
      </w:pPr>
      <w:rPr>
        <w:rFonts w:hint="default"/>
      </w:rPr>
    </w:lvl>
    <w:lvl w:ilvl="3" w:tplc="0D166D44">
      <w:numFmt w:val="bullet"/>
      <w:lvlText w:val="•"/>
      <w:lvlJc w:val="left"/>
      <w:pPr>
        <w:ind w:left="959" w:hanging="100"/>
      </w:pPr>
      <w:rPr>
        <w:rFonts w:hint="default"/>
      </w:rPr>
    </w:lvl>
    <w:lvl w:ilvl="4" w:tplc="5010FF90">
      <w:numFmt w:val="bullet"/>
      <w:lvlText w:val="•"/>
      <w:lvlJc w:val="left"/>
      <w:pPr>
        <w:ind w:left="1225" w:hanging="100"/>
      </w:pPr>
      <w:rPr>
        <w:rFonts w:hint="default"/>
      </w:rPr>
    </w:lvl>
    <w:lvl w:ilvl="5" w:tplc="D388AE6A">
      <w:numFmt w:val="bullet"/>
      <w:lvlText w:val="•"/>
      <w:lvlJc w:val="left"/>
      <w:pPr>
        <w:ind w:left="1492" w:hanging="100"/>
      </w:pPr>
      <w:rPr>
        <w:rFonts w:hint="default"/>
      </w:rPr>
    </w:lvl>
    <w:lvl w:ilvl="6" w:tplc="A3D4A82A">
      <w:numFmt w:val="bullet"/>
      <w:lvlText w:val="•"/>
      <w:lvlJc w:val="left"/>
      <w:pPr>
        <w:ind w:left="1758" w:hanging="100"/>
      </w:pPr>
      <w:rPr>
        <w:rFonts w:hint="default"/>
      </w:rPr>
    </w:lvl>
    <w:lvl w:ilvl="7" w:tplc="F6B4E2F0">
      <w:numFmt w:val="bullet"/>
      <w:lvlText w:val="•"/>
      <w:lvlJc w:val="left"/>
      <w:pPr>
        <w:ind w:left="2024" w:hanging="100"/>
      </w:pPr>
      <w:rPr>
        <w:rFonts w:hint="default"/>
      </w:rPr>
    </w:lvl>
    <w:lvl w:ilvl="8" w:tplc="96B40318">
      <w:numFmt w:val="bullet"/>
      <w:lvlText w:val="•"/>
      <w:lvlJc w:val="left"/>
      <w:pPr>
        <w:ind w:left="2291" w:hanging="100"/>
      </w:pPr>
      <w:rPr>
        <w:rFonts w:hint="default"/>
      </w:rPr>
    </w:lvl>
  </w:abstractNum>
  <w:abstractNum w:abstractNumId="130" w15:restartNumberingAfterBreak="0">
    <w:nsid w:val="081B30B8"/>
    <w:multiLevelType w:val="hybridMultilevel"/>
    <w:tmpl w:val="900A38C4"/>
    <w:lvl w:ilvl="0" w:tplc="06BA674E">
      <w:numFmt w:val="bullet"/>
      <w:lvlText w:val=""/>
      <w:lvlJc w:val="left"/>
      <w:pPr>
        <w:ind w:left="156" w:hanging="100"/>
      </w:pPr>
      <w:rPr>
        <w:rFonts w:ascii="Symbol" w:eastAsia="Symbol" w:hAnsi="Symbol" w:cs="Symbol" w:hint="default"/>
        <w:color w:val="231F20"/>
        <w:w w:val="100"/>
        <w:sz w:val="14"/>
        <w:szCs w:val="14"/>
      </w:rPr>
    </w:lvl>
    <w:lvl w:ilvl="1" w:tplc="AB623A64">
      <w:numFmt w:val="bullet"/>
      <w:lvlText w:val="•"/>
      <w:lvlJc w:val="left"/>
      <w:pPr>
        <w:ind w:left="301" w:hanging="100"/>
      </w:pPr>
      <w:rPr>
        <w:rFonts w:hint="default"/>
      </w:rPr>
    </w:lvl>
    <w:lvl w:ilvl="2" w:tplc="6C66F870">
      <w:numFmt w:val="bullet"/>
      <w:lvlText w:val="•"/>
      <w:lvlJc w:val="left"/>
      <w:pPr>
        <w:ind w:left="443" w:hanging="100"/>
      </w:pPr>
      <w:rPr>
        <w:rFonts w:hint="default"/>
      </w:rPr>
    </w:lvl>
    <w:lvl w:ilvl="3" w:tplc="79ECB310">
      <w:numFmt w:val="bullet"/>
      <w:lvlText w:val="•"/>
      <w:lvlJc w:val="left"/>
      <w:pPr>
        <w:ind w:left="585" w:hanging="100"/>
      </w:pPr>
      <w:rPr>
        <w:rFonts w:hint="default"/>
      </w:rPr>
    </w:lvl>
    <w:lvl w:ilvl="4" w:tplc="16A63B1E">
      <w:numFmt w:val="bullet"/>
      <w:lvlText w:val="•"/>
      <w:lvlJc w:val="left"/>
      <w:pPr>
        <w:ind w:left="726" w:hanging="100"/>
      </w:pPr>
      <w:rPr>
        <w:rFonts w:hint="default"/>
      </w:rPr>
    </w:lvl>
    <w:lvl w:ilvl="5" w:tplc="6E9836AC">
      <w:numFmt w:val="bullet"/>
      <w:lvlText w:val="•"/>
      <w:lvlJc w:val="left"/>
      <w:pPr>
        <w:ind w:left="868" w:hanging="100"/>
      </w:pPr>
      <w:rPr>
        <w:rFonts w:hint="default"/>
      </w:rPr>
    </w:lvl>
    <w:lvl w:ilvl="6" w:tplc="F44A7A3E">
      <w:numFmt w:val="bullet"/>
      <w:lvlText w:val="•"/>
      <w:lvlJc w:val="left"/>
      <w:pPr>
        <w:ind w:left="1010" w:hanging="100"/>
      </w:pPr>
      <w:rPr>
        <w:rFonts w:hint="default"/>
      </w:rPr>
    </w:lvl>
    <w:lvl w:ilvl="7" w:tplc="3432F0FA">
      <w:numFmt w:val="bullet"/>
      <w:lvlText w:val="•"/>
      <w:lvlJc w:val="left"/>
      <w:pPr>
        <w:ind w:left="1151" w:hanging="100"/>
      </w:pPr>
      <w:rPr>
        <w:rFonts w:hint="default"/>
      </w:rPr>
    </w:lvl>
    <w:lvl w:ilvl="8" w:tplc="6F94DE22">
      <w:numFmt w:val="bullet"/>
      <w:lvlText w:val="•"/>
      <w:lvlJc w:val="left"/>
      <w:pPr>
        <w:ind w:left="1293" w:hanging="100"/>
      </w:pPr>
      <w:rPr>
        <w:rFonts w:hint="default"/>
      </w:rPr>
    </w:lvl>
  </w:abstractNum>
  <w:abstractNum w:abstractNumId="131" w15:restartNumberingAfterBreak="0">
    <w:nsid w:val="082349F8"/>
    <w:multiLevelType w:val="hybridMultilevel"/>
    <w:tmpl w:val="DF5A128E"/>
    <w:lvl w:ilvl="0" w:tplc="1436A228">
      <w:numFmt w:val="bullet"/>
      <w:lvlText w:val=""/>
      <w:lvlJc w:val="left"/>
      <w:pPr>
        <w:ind w:left="156" w:hanging="100"/>
      </w:pPr>
      <w:rPr>
        <w:rFonts w:ascii="Symbol" w:eastAsia="Symbol" w:hAnsi="Symbol" w:cs="Symbol" w:hint="default"/>
        <w:color w:val="231F20"/>
        <w:w w:val="100"/>
        <w:sz w:val="14"/>
        <w:szCs w:val="14"/>
      </w:rPr>
    </w:lvl>
    <w:lvl w:ilvl="1" w:tplc="593E00FE">
      <w:numFmt w:val="bullet"/>
      <w:lvlText w:val="•"/>
      <w:lvlJc w:val="left"/>
      <w:pPr>
        <w:ind w:left="398" w:hanging="100"/>
      </w:pPr>
      <w:rPr>
        <w:rFonts w:hint="default"/>
      </w:rPr>
    </w:lvl>
    <w:lvl w:ilvl="2" w:tplc="76DA2A7E">
      <w:numFmt w:val="bullet"/>
      <w:lvlText w:val="•"/>
      <w:lvlJc w:val="left"/>
      <w:pPr>
        <w:ind w:left="636" w:hanging="100"/>
      </w:pPr>
      <w:rPr>
        <w:rFonts w:hint="default"/>
      </w:rPr>
    </w:lvl>
    <w:lvl w:ilvl="3" w:tplc="7898F220">
      <w:numFmt w:val="bullet"/>
      <w:lvlText w:val="•"/>
      <w:lvlJc w:val="left"/>
      <w:pPr>
        <w:ind w:left="874" w:hanging="100"/>
      </w:pPr>
      <w:rPr>
        <w:rFonts w:hint="default"/>
      </w:rPr>
    </w:lvl>
    <w:lvl w:ilvl="4" w:tplc="619AB60E">
      <w:numFmt w:val="bullet"/>
      <w:lvlText w:val="•"/>
      <w:lvlJc w:val="left"/>
      <w:pPr>
        <w:ind w:left="1112" w:hanging="100"/>
      </w:pPr>
      <w:rPr>
        <w:rFonts w:hint="default"/>
      </w:rPr>
    </w:lvl>
    <w:lvl w:ilvl="5" w:tplc="C292D482">
      <w:numFmt w:val="bullet"/>
      <w:lvlText w:val="•"/>
      <w:lvlJc w:val="left"/>
      <w:pPr>
        <w:ind w:left="1350" w:hanging="100"/>
      </w:pPr>
      <w:rPr>
        <w:rFonts w:hint="default"/>
      </w:rPr>
    </w:lvl>
    <w:lvl w:ilvl="6" w:tplc="40EAAACA">
      <w:numFmt w:val="bullet"/>
      <w:lvlText w:val="•"/>
      <w:lvlJc w:val="left"/>
      <w:pPr>
        <w:ind w:left="1588" w:hanging="100"/>
      </w:pPr>
      <w:rPr>
        <w:rFonts w:hint="default"/>
      </w:rPr>
    </w:lvl>
    <w:lvl w:ilvl="7" w:tplc="A346206A">
      <w:numFmt w:val="bullet"/>
      <w:lvlText w:val="•"/>
      <w:lvlJc w:val="left"/>
      <w:pPr>
        <w:ind w:left="1826" w:hanging="100"/>
      </w:pPr>
      <w:rPr>
        <w:rFonts w:hint="default"/>
      </w:rPr>
    </w:lvl>
    <w:lvl w:ilvl="8" w:tplc="07D6F0D4">
      <w:numFmt w:val="bullet"/>
      <w:lvlText w:val="•"/>
      <w:lvlJc w:val="left"/>
      <w:pPr>
        <w:ind w:left="2064" w:hanging="100"/>
      </w:pPr>
      <w:rPr>
        <w:rFonts w:hint="default"/>
      </w:rPr>
    </w:lvl>
  </w:abstractNum>
  <w:abstractNum w:abstractNumId="132" w15:restartNumberingAfterBreak="0">
    <w:nsid w:val="08293B31"/>
    <w:multiLevelType w:val="hybridMultilevel"/>
    <w:tmpl w:val="ED465870"/>
    <w:lvl w:ilvl="0" w:tplc="2C10F14E">
      <w:numFmt w:val="bullet"/>
      <w:lvlText w:val=""/>
      <w:lvlJc w:val="left"/>
      <w:pPr>
        <w:ind w:left="156" w:hanging="100"/>
      </w:pPr>
      <w:rPr>
        <w:rFonts w:ascii="Symbol" w:eastAsia="Symbol" w:hAnsi="Symbol" w:cs="Symbol" w:hint="default"/>
        <w:color w:val="231F20"/>
        <w:w w:val="100"/>
        <w:sz w:val="14"/>
        <w:szCs w:val="14"/>
      </w:rPr>
    </w:lvl>
    <w:lvl w:ilvl="1" w:tplc="C334531E">
      <w:numFmt w:val="bullet"/>
      <w:lvlText w:val="•"/>
      <w:lvlJc w:val="left"/>
      <w:pPr>
        <w:ind w:left="398" w:hanging="100"/>
      </w:pPr>
      <w:rPr>
        <w:rFonts w:hint="default"/>
      </w:rPr>
    </w:lvl>
    <w:lvl w:ilvl="2" w:tplc="369C8C18">
      <w:numFmt w:val="bullet"/>
      <w:lvlText w:val="•"/>
      <w:lvlJc w:val="left"/>
      <w:pPr>
        <w:ind w:left="636" w:hanging="100"/>
      </w:pPr>
      <w:rPr>
        <w:rFonts w:hint="default"/>
      </w:rPr>
    </w:lvl>
    <w:lvl w:ilvl="3" w:tplc="18829EB2">
      <w:numFmt w:val="bullet"/>
      <w:lvlText w:val="•"/>
      <w:lvlJc w:val="left"/>
      <w:pPr>
        <w:ind w:left="874" w:hanging="100"/>
      </w:pPr>
      <w:rPr>
        <w:rFonts w:hint="default"/>
      </w:rPr>
    </w:lvl>
    <w:lvl w:ilvl="4" w:tplc="9A508564">
      <w:numFmt w:val="bullet"/>
      <w:lvlText w:val="•"/>
      <w:lvlJc w:val="left"/>
      <w:pPr>
        <w:ind w:left="1112" w:hanging="100"/>
      </w:pPr>
      <w:rPr>
        <w:rFonts w:hint="default"/>
      </w:rPr>
    </w:lvl>
    <w:lvl w:ilvl="5" w:tplc="C73E3EEE">
      <w:numFmt w:val="bullet"/>
      <w:lvlText w:val="•"/>
      <w:lvlJc w:val="left"/>
      <w:pPr>
        <w:ind w:left="1350" w:hanging="100"/>
      </w:pPr>
      <w:rPr>
        <w:rFonts w:hint="default"/>
      </w:rPr>
    </w:lvl>
    <w:lvl w:ilvl="6" w:tplc="8D463B54">
      <w:numFmt w:val="bullet"/>
      <w:lvlText w:val="•"/>
      <w:lvlJc w:val="left"/>
      <w:pPr>
        <w:ind w:left="1588" w:hanging="100"/>
      </w:pPr>
      <w:rPr>
        <w:rFonts w:hint="default"/>
      </w:rPr>
    </w:lvl>
    <w:lvl w:ilvl="7" w:tplc="5AF4A090">
      <w:numFmt w:val="bullet"/>
      <w:lvlText w:val="•"/>
      <w:lvlJc w:val="left"/>
      <w:pPr>
        <w:ind w:left="1826" w:hanging="100"/>
      </w:pPr>
      <w:rPr>
        <w:rFonts w:hint="default"/>
      </w:rPr>
    </w:lvl>
    <w:lvl w:ilvl="8" w:tplc="53E268A0">
      <w:numFmt w:val="bullet"/>
      <w:lvlText w:val="•"/>
      <w:lvlJc w:val="left"/>
      <w:pPr>
        <w:ind w:left="2064" w:hanging="100"/>
      </w:pPr>
      <w:rPr>
        <w:rFonts w:hint="default"/>
      </w:rPr>
    </w:lvl>
  </w:abstractNum>
  <w:abstractNum w:abstractNumId="133" w15:restartNumberingAfterBreak="0">
    <w:nsid w:val="082B042F"/>
    <w:multiLevelType w:val="hybridMultilevel"/>
    <w:tmpl w:val="5762B230"/>
    <w:lvl w:ilvl="0" w:tplc="63E82F2E">
      <w:numFmt w:val="bullet"/>
      <w:lvlText w:val=""/>
      <w:lvlJc w:val="left"/>
      <w:pPr>
        <w:ind w:left="156" w:hanging="100"/>
      </w:pPr>
      <w:rPr>
        <w:rFonts w:ascii="Symbol" w:eastAsia="Symbol" w:hAnsi="Symbol" w:cs="Symbol" w:hint="default"/>
        <w:color w:val="231F20"/>
        <w:w w:val="100"/>
        <w:sz w:val="14"/>
        <w:szCs w:val="14"/>
      </w:rPr>
    </w:lvl>
    <w:lvl w:ilvl="1" w:tplc="8842DE88">
      <w:numFmt w:val="bullet"/>
      <w:lvlText w:val="•"/>
      <w:lvlJc w:val="left"/>
      <w:pPr>
        <w:ind w:left="398" w:hanging="100"/>
      </w:pPr>
      <w:rPr>
        <w:rFonts w:hint="default"/>
      </w:rPr>
    </w:lvl>
    <w:lvl w:ilvl="2" w:tplc="B532E7B4">
      <w:numFmt w:val="bullet"/>
      <w:lvlText w:val="•"/>
      <w:lvlJc w:val="left"/>
      <w:pPr>
        <w:ind w:left="636" w:hanging="100"/>
      </w:pPr>
      <w:rPr>
        <w:rFonts w:hint="default"/>
      </w:rPr>
    </w:lvl>
    <w:lvl w:ilvl="3" w:tplc="871A8986">
      <w:numFmt w:val="bullet"/>
      <w:lvlText w:val="•"/>
      <w:lvlJc w:val="left"/>
      <w:pPr>
        <w:ind w:left="874" w:hanging="100"/>
      </w:pPr>
      <w:rPr>
        <w:rFonts w:hint="default"/>
      </w:rPr>
    </w:lvl>
    <w:lvl w:ilvl="4" w:tplc="476681EE">
      <w:numFmt w:val="bullet"/>
      <w:lvlText w:val="•"/>
      <w:lvlJc w:val="left"/>
      <w:pPr>
        <w:ind w:left="1112" w:hanging="100"/>
      </w:pPr>
      <w:rPr>
        <w:rFonts w:hint="default"/>
      </w:rPr>
    </w:lvl>
    <w:lvl w:ilvl="5" w:tplc="ED50B82E">
      <w:numFmt w:val="bullet"/>
      <w:lvlText w:val="•"/>
      <w:lvlJc w:val="left"/>
      <w:pPr>
        <w:ind w:left="1350" w:hanging="100"/>
      </w:pPr>
      <w:rPr>
        <w:rFonts w:hint="default"/>
      </w:rPr>
    </w:lvl>
    <w:lvl w:ilvl="6" w:tplc="54969880">
      <w:numFmt w:val="bullet"/>
      <w:lvlText w:val="•"/>
      <w:lvlJc w:val="left"/>
      <w:pPr>
        <w:ind w:left="1588" w:hanging="100"/>
      </w:pPr>
      <w:rPr>
        <w:rFonts w:hint="default"/>
      </w:rPr>
    </w:lvl>
    <w:lvl w:ilvl="7" w:tplc="1248B568">
      <w:numFmt w:val="bullet"/>
      <w:lvlText w:val="•"/>
      <w:lvlJc w:val="left"/>
      <w:pPr>
        <w:ind w:left="1826" w:hanging="100"/>
      </w:pPr>
      <w:rPr>
        <w:rFonts w:hint="default"/>
      </w:rPr>
    </w:lvl>
    <w:lvl w:ilvl="8" w:tplc="C47A0422">
      <w:numFmt w:val="bullet"/>
      <w:lvlText w:val="•"/>
      <w:lvlJc w:val="left"/>
      <w:pPr>
        <w:ind w:left="2064" w:hanging="100"/>
      </w:pPr>
      <w:rPr>
        <w:rFonts w:hint="default"/>
      </w:rPr>
    </w:lvl>
  </w:abstractNum>
  <w:abstractNum w:abstractNumId="134" w15:restartNumberingAfterBreak="0">
    <w:nsid w:val="082C344D"/>
    <w:multiLevelType w:val="hybridMultilevel"/>
    <w:tmpl w:val="78CC8B74"/>
    <w:lvl w:ilvl="0" w:tplc="62028050">
      <w:numFmt w:val="bullet"/>
      <w:lvlText w:val=""/>
      <w:lvlJc w:val="left"/>
      <w:pPr>
        <w:ind w:left="157" w:hanging="100"/>
      </w:pPr>
      <w:rPr>
        <w:rFonts w:ascii="Symbol" w:eastAsia="Symbol" w:hAnsi="Symbol" w:cs="Symbol" w:hint="default"/>
        <w:color w:val="231F20"/>
        <w:w w:val="100"/>
        <w:sz w:val="14"/>
        <w:szCs w:val="14"/>
      </w:rPr>
    </w:lvl>
    <w:lvl w:ilvl="1" w:tplc="FDEE44CE">
      <w:numFmt w:val="bullet"/>
      <w:lvlText w:val="•"/>
      <w:lvlJc w:val="left"/>
      <w:pPr>
        <w:ind w:left="426" w:hanging="100"/>
      </w:pPr>
      <w:rPr>
        <w:rFonts w:hint="default"/>
      </w:rPr>
    </w:lvl>
    <w:lvl w:ilvl="2" w:tplc="2440F336">
      <w:numFmt w:val="bullet"/>
      <w:lvlText w:val="•"/>
      <w:lvlJc w:val="left"/>
      <w:pPr>
        <w:ind w:left="692" w:hanging="100"/>
      </w:pPr>
      <w:rPr>
        <w:rFonts w:hint="default"/>
      </w:rPr>
    </w:lvl>
    <w:lvl w:ilvl="3" w:tplc="09EC1088">
      <w:numFmt w:val="bullet"/>
      <w:lvlText w:val="•"/>
      <w:lvlJc w:val="left"/>
      <w:pPr>
        <w:ind w:left="959" w:hanging="100"/>
      </w:pPr>
      <w:rPr>
        <w:rFonts w:hint="default"/>
      </w:rPr>
    </w:lvl>
    <w:lvl w:ilvl="4" w:tplc="8C368334">
      <w:numFmt w:val="bullet"/>
      <w:lvlText w:val="•"/>
      <w:lvlJc w:val="left"/>
      <w:pPr>
        <w:ind w:left="1225" w:hanging="100"/>
      </w:pPr>
      <w:rPr>
        <w:rFonts w:hint="default"/>
      </w:rPr>
    </w:lvl>
    <w:lvl w:ilvl="5" w:tplc="0AFA6040">
      <w:numFmt w:val="bullet"/>
      <w:lvlText w:val="•"/>
      <w:lvlJc w:val="left"/>
      <w:pPr>
        <w:ind w:left="1492" w:hanging="100"/>
      </w:pPr>
      <w:rPr>
        <w:rFonts w:hint="default"/>
      </w:rPr>
    </w:lvl>
    <w:lvl w:ilvl="6" w:tplc="CBF4DF40">
      <w:numFmt w:val="bullet"/>
      <w:lvlText w:val="•"/>
      <w:lvlJc w:val="left"/>
      <w:pPr>
        <w:ind w:left="1758" w:hanging="100"/>
      </w:pPr>
      <w:rPr>
        <w:rFonts w:hint="default"/>
      </w:rPr>
    </w:lvl>
    <w:lvl w:ilvl="7" w:tplc="1D1E5D44">
      <w:numFmt w:val="bullet"/>
      <w:lvlText w:val="•"/>
      <w:lvlJc w:val="left"/>
      <w:pPr>
        <w:ind w:left="2024" w:hanging="100"/>
      </w:pPr>
      <w:rPr>
        <w:rFonts w:hint="default"/>
      </w:rPr>
    </w:lvl>
    <w:lvl w:ilvl="8" w:tplc="885E0F56">
      <w:numFmt w:val="bullet"/>
      <w:lvlText w:val="•"/>
      <w:lvlJc w:val="left"/>
      <w:pPr>
        <w:ind w:left="2291" w:hanging="100"/>
      </w:pPr>
      <w:rPr>
        <w:rFonts w:hint="default"/>
      </w:rPr>
    </w:lvl>
  </w:abstractNum>
  <w:abstractNum w:abstractNumId="135" w15:restartNumberingAfterBreak="0">
    <w:nsid w:val="083E689F"/>
    <w:multiLevelType w:val="hybridMultilevel"/>
    <w:tmpl w:val="F43E7E38"/>
    <w:lvl w:ilvl="0" w:tplc="D15EAB14">
      <w:numFmt w:val="bullet"/>
      <w:lvlText w:val=""/>
      <w:lvlJc w:val="left"/>
      <w:pPr>
        <w:ind w:left="157" w:hanging="100"/>
      </w:pPr>
      <w:rPr>
        <w:rFonts w:ascii="Symbol" w:eastAsia="Symbol" w:hAnsi="Symbol" w:cs="Symbol" w:hint="default"/>
        <w:color w:val="231F20"/>
        <w:w w:val="100"/>
        <w:sz w:val="14"/>
        <w:szCs w:val="14"/>
      </w:rPr>
    </w:lvl>
    <w:lvl w:ilvl="1" w:tplc="C8A84DE2">
      <w:numFmt w:val="bullet"/>
      <w:lvlText w:val="•"/>
      <w:lvlJc w:val="left"/>
      <w:pPr>
        <w:ind w:left="426" w:hanging="100"/>
      </w:pPr>
      <w:rPr>
        <w:rFonts w:hint="default"/>
      </w:rPr>
    </w:lvl>
    <w:lvl w:ilvl="2" w:tplc="2D80D902">
      <w:numFmt w:val="bullet"/>
      <w:lvlText w:val="•"/>
      <w:lvlJc w:val="left"/>
      <w:pPr>
        <w:ind w:left="692" w:hanging="100"/>
      </w:pPr>
      <w:rPr>
        <w:rFonts w:hint="default"/>
      </w:rPr>
    </w:lvl>
    <w:lvl w:ilvl="3" w:tplc="B6509020">
      <w:numFmt w:val="bullet"/>
      <w:lvlText w:val="•"/>
      <w:lvlJc w:val="left"/>
      <w:pPr>
        <w:ind w:left="959" w:hanging="100"/>
      </w:pPr>
      <w:rPr>
        <w:rFonts w:hint="default"/>
      </w:rPr>
    </w:lvl>
    <w:lvl w:ilvl="4" w:tplc="B2562E3A">
      <w:numFmt w:val="bullet"/>
      <w:lvlText w:val="•"/>
      <w:lvlJc w:val="left"/>
      <w:pPr>
        <w:ind w:left="1225" w:hanging="100"/>
      </w:pPr>
      <w:rPr>
        <w:rFonts w:hint="default"/>
      </w:rPr>
    </w:lvl>
    <w:lvl w:ilvl="5" w:tplc="E42862B2">
      <w:numFmt w:val="bullet"/>
      <w:lvlText w:val="•"/>
      <w:lvlJc w:val="left"/>
      <w:pPr>
        <w:ind w:left="1492" w:hanging="100"/>
      </w:pPr>
      <w:rPr>
        <w:rFonts w:hint="default"/>
      </w:rPr>
    </w:lvl>
    <w:lvl w:ilvl="6" w:tplc="E1E6CF76">
      <w:numFmt w:val="bullet"/>
      <w:lvlText w:val="•"/>
      <w:lvlJc w:val="left"/>
      <w:pPr>
        <w:ind w:left="1758" w:hanging="100"/>
      </w:pPr>
      <w:rPr>
        <w:rFonts w:hint="default"/>
      </w:rPr>
    </w:lvl>
    <w:lvl w:ilvl="7" w:tplc="6B447390">
      <w:numFmt w:val="bullet"/>
      <w:lvlText w:val="•"/>
      <w:lvlJc w:val="left"/>
      <w:pPr>
        <w:ind w:left="2024" w:hanging="100"/>
      </w:pPr>
      <w:rPr>
        <w:rFonts w:hint="default"/>
      </w:rPr>
    </w:lvl>
    <w:lvl w:ilvl="8" w:tplc="B968820A">
      <w:numFmt w:val="bullet"/>
      <w:lvlText w:val="•"/>
      <w:lvlJc w:val="left"/>
      <w:pPr>
        <w:ind w:left="2291" w:hanging="100"/>
      </w:pPr>
      <w:rPr>
        <w:rFonts w:hint="default"/>
      </w:rPr>
    </w:lvl>
  </w:abstractNum>
  <w:abstractNum w:abstractNumId="136" w15:restartNumberingAfterBreak="0">
    <w:nsid w:val="08943DE7"/>
    <w:multiLevelType w:val="hybridMultilevel"/>
    <w:tmpl w:val="1110E904"/>
    <w:lvl w:ilvl="0" w:tplc="F070821E">
      <w:numFmt w:val="bullet"/>
      <w:lvlText w:val=""/>
      <w:lvlJc w:val="left"/>
      <w:pPr>
        <w:ind w:left="156" w:hanging="100"/>
      </w:pPr>
      <w:rPr>
        <w:rFonts w:ascii="Symbol" w:eastAsia="Symbol" w:hAnsi="Symbol" w:cs="Symbol" w:hint="default"/>
        <w:color w:val="231F20"/>
        <w:w w:val="100"/>
        <w:sz w:val="14"/>
        <w:szCs w:val="14"/>
      </w:rPr>
    </w:lvl>
    <w:lvl w:ilvl="1" w:tplc="45C06892">
      <w:numFmt w:val="bullet"/>
      <w:lvlText w:val="•"/>
      <w:lvlJc w:val="left"/>
      <w:pPr>
        <w:ind w:left="398" w:hanging="100"/>
      </w:pPr>
      <w:rPr>
        <w:rFonts w:hint="default"/>
      </w:rPr>
    </w:lvl>
    <w:lvl w:ilvl="2" w:tplc="0CFC7DA8">
      <w:numFmt w:val="bullet"/>
      <w:lvlText w:val="•"/>
      <w:lvlJc w:val="left"/>
      <w:pPr>
        <w:ind w:left="636" w:hanging="100"/>
      </w:pPr>
      <w:rPr>
        <w:rFonts w:hint="default"/>
      </w:rPr>
    </w:lvl>
    <w:lvl w:ilvl="3" w:tplc="0B38AC5E">
      <w:numFmt w:val="bullet"/>
      <w:lvlText w:val="•"/>
      <w:lvlJc w:val="left"/>
      <w:pPr>
        <w:ind w:left="874" w:hanging="100"/>
      </w:pPr>
      <w:rPr>
        <w:rFonts w:hint="default"/>
      </w:rPr>
    </w:lvl>
    <w:lvl w:ilvl="4" w:tplc="03B46FE6">
      <w:numFmt w:val="bullet"/>
      <w:lvlText w:val="•"/>
      <w:lvlJc w:val="left"/>
      <w:pPr>
        <w:ind w:left="1112" w:hanging="100"/>
      </w:pPr>
      <w:rPr>
        <w:rFonts w:hint="default"/>
      </w:rPr>
    </w:lvl>
    <w:lvl w:ilvl="5" w:tplc="2F3806D6">
      <w:numFmt w:val="bullet"/>
      <w:lvlText w:val="•"/>
      <w:lvlJc w:val="left"/>
      <w:pPr>
        <w:ind w:left="1350" w:hanging="100"/>
      </w:pPr>
      <w:rPr>
        <w:rFonts w:hint="default"/>
      </w:rPr>
    </w:lvl>
    <w:lvl w:ilvl="6" w:tplc="89C4ACDE">
      <w:numFmt w:val="bullet"/>
      <w:lvlText w:val="•"/>
      <w:lvlJc w:val="left"/>
      <w:pPr>
        <w:ind w:left="1588" w:hanging="100"/>
      </w:pPr>
      <w:rPr>
        <w:rFonts w:hint="default"/>
      </w:rPr>
    </w:lvl>
    <w:lvl w:ilvl="7" w:tplc="3762FAD0">
      <w:numFmt w:val="bullet"/>
      <w:lvlText w:val="•"/>
      <w:lvlJc w:val="left"/>
      <w:pPr>
        <w:ind w:left="1826" w:hanging="100"/>
      </w:pPr>
      <w:rPr>
        <w:rFonts w:hint="default"/>
      </w:rPr>
    </w:lvl>
    <w:lvl w:ilvl="8" w:tplc="7FB495B0">
      <w:numFmt w:val="bullet"/>
      <w:lvlText w:val="•"/>
      <w:lvlJc w:val="left"/>
      <w:pPr>
        <w:ind w:left="2064" w:hanging="100"/>
      </w:pPr>
      <w:rPr>
        <w:rFonts w:hint="default"/>
      </w:rPr>
    </w:lvl>
  </w:abstractNum>
  <w:abstractNum w:abstractNumId="137" w15:restartNumberingAfterBreak="0">
    <w:nsid w:val="089600DA"/>
    <w:multiLevelType w:val="hybridMultilevel"/>
    <w:tmpl w:val="C57CA22A"/>
    <w:lvl w:ilvl="0" w:tplc="AA2497E4">
      <w:numFmt w:val="bullet"/>
      <w:lvlText w:val=""/>
      <w:lvlJc w:val="left"/>
      <w:pPr>
        <w:ind w:left="156" w:hanging="100"/>
      </w:pPr>
      <w:rPr>
        <w:rFonts w:ascii="Symbol" w:eastAsia="Symbol" w:hAnsi="Symbol" w:cs="Symbol" w:hint="default"/>
        <w:color w:val="231F20"/>
        <w:w w:val="100"/>
        <w:sz w:val="14"/>
        <w:szCs w:val="14"/>
      </w:rPr>
    </w:lvl>
    <w:lvl w:ilvl="1" w:tplc="90B876F8">
      <w:numFmt w:val="bullet"/>
      <w:lvlText w:val="•"/>
      <w:lvlJc w:val="left"/>
      <w:pPr>
        <w:ind w:left="301" w:hanging="100"/>
      </w:pPr>
      <w:rPr>
        <w:rFonts w:hint="default"/>
      </w:rPr>
    </w:lvl>
    <w:lvl w:ilvl="2" w:tplc="794E2C54">
      <w:numFmt w:val="bullet"/>
      <w:lvlText w:val="•"/>
      <w:lvlJc w:val="left"/>
      <w:pPr>
        <w:ind w:left="443" w:hanging="100"/>
      </w:pPr>
      <w:rPr>
        <w:rFonts w:hint="default"/>
      </w:rPr>
    </w:lvl>
    <w:lvl w:ilvl="3" w:tplc="21CE3A4A">
      <w:numFmt w:val="bullet"/>
      <w:lvlText w:val="•"/>
      <w:lvlJc w:val="left"/>
      <w:pPr>
        <w:ind w:left="585" w:hanging="100"/>
      </w:pPr>
      <w:rPr>
        <w:rFonts w:hint="default"/>
      </w:rPr>
    </w:lvl>
    <w:lvl w:ilvl="4" w:tplc="97F2B05A">
      <w:numFmt w:val="bullet"/>
      <w:lvlText w:val="•"/>
      <w:lvlJc w:val="left"/>
      <w:pPr>
        <w:ind w:left="726" w:hanging="100"/>
      </w:pPr>
      <w:rPr>
        <w:rFonts w:hint="default"/>
      </w:rPr>
    </w:lvl>
    <w:lvl w:ilvl="5" w:tplc="F55C7512">
      <w:numFmt w:val="bullet"/>
      <w:lvlText w:val="•"/>
      <w:lvlJc w:val="left"/>
      <w:pPr>
        <w:ind w:left="868" w:hanging="100"/>
      </w:pPr>
      <w:rPr>
        <w:rFonts w:hint="default"/>
      </w:rPr>
    </w:lvl>
    <w:lvl w:ilvl="6" w:tplc="C396EC9E">
      <w:numFmt w:val="bullet"/>
      <w:lvlText w:val="•"/>
      <w:lvlJc w:val="left"/>
      <w:pPr>
        <w:ind w:left="1010" w:hanging="100"/>
      </w:pPr>
      <w:rPr>
        <w:rFonts w:hint="default"/>
      </w:rPr>
    </w:lvl>
    <w:lvl w:ilvl="7" w:tplc="E8D8623E">
      <w:numFmt w:val="bullet"/>
      <w:lvlText w:val="•"/>
      <w:lvlJc w:val="left"/>
      <w:pPr>
        <w:ind w:left="1151" w:hanging="100"/>
      </w:pPr>
      <w:rPr>
        <w:rFonts w:hint="default"/>
      </w:rPr>
    </w:lvl>
    <w:lvl w:ilvl="8" w:tplc="51407BE6">
      <w:numFmt w:val="bullet"/>
      <w:lvlText w:val="•"/>
      <w:lvlJc w:val="left"/>
      <w:pPr>
        <w:ind w:left="1293" w:hanging="100"/>
      </w:pPr>
      <w:rPr>
        <w:rFonts w:hint="default"/>
      </w:rPr>
    </w:lvl>
  </w:abstractNum>
  <w:abstractNum w:abstractNumId="138" w15:restartNumberingAfterBreak="0">
    <w:nsid w:val="08997405"/>
    <w:multiLevelType w:val="hybridMultilevel"/>
    <w:tmpl w:val="73BEBACC"/>
    <w:lvl w:ilvl="0" w:tplc="C64C08CA">
      <w:numFmt w:val="bullet"/>
      <w:lvlText w:val=""/>
      <w:lvlJc w:val="left"/>
      <w:pPr>
        <w:ind w:left="157" w:hanging="100"/>
      </w:pPr>
      <w:rPr>
        <w:rFonts w:ascii="Symbol" w:eastAsia="Symbol" w:hAnsi="Symbol" w:cs="Symbol" w:hint="default"/>
        <w:color w:val="231F20"/>
        <w:w w:val="100"/>
        <w:sz w:val="14"/>
        <w:szCs w:val="14"/>
      </w:rPr>
    </w:lvl>
    <w:lvl w:ilvl="1" w:tplc="71FA118C">
      <w:numFmt w:val="bullet"/>
      <w:lvlText w:val="•"/>
      <w:lvlJc w:val="left"/>
      <w:pPr>
        <w:ind w:left="369" w:hanging="100"/>
      </w:pPr>
      <w:rPr>
        <w:rFonts w:hint="default"/>
      </w:rPr>
    </w:lvl>
    <w:lvl w:ilvl="2" w:tplc="749E47EA">
      <w:numFmt w:val="bullet"/>
      <w:lvlText w:val="•"/>
      <w:lvlJc w:val="left"/>
      <w:pPr>
        <w:ind w:left="579" w:hanging="100"/>
      </w:pPr>
      <w:rPr>
        <w:rFonts w:hint="default"/>
      </w:rPr>
    </w:lvl>
    <w:lvl w:ilvl="3" w:tplc="5756D8B6">
      <w:numFmt w:val="bullet"/>
      <w:lvlText w:val="•"/>
      <w:lvlJc w:val="left"/>
      <w:pPr>
        <w:ind w:left="789" w:hanging="100"/>
      </w:pPr>
      <w:rPr>
        <w:rFonts w:hint="default"/>
      </w:rPr>
    </w:lvl>
    <w:lvl w:ilvl="4" w:tplc="70E474AA">
      <w:numFmt w:val="bullet"/>
      <w:lvlText w:val="•"/>
      <w:lvlJc w:val="left"/>
      <w:pPr>
        <w:ind w:left="998" w:hanging="100"/>
      </w:pPr>
      <w:rPr>
        <w:rFonts w:hint="default"/>
      </w:rPr>
    </w:lvl>
    <w:lvl w:ilvl="5" w:tplc="FEF0C6B6">
      <w:numFmt w:val="bullet"/>
      <w:lvlText w:val="•"/>
      <w:lvlJc w:val="left"/>
      <w:pPr>
        <w:ind w:left="1208" w:hanging="100"/>
      </w:pPr>
      <w:rPr>
        <w:rFonts w:hint="default"/>
      </w:rPr>
    </w:lvl>
    <w:lvl w:ilvl="6" w:tplc="EE642BC0">
      <w:numFmt w:val="bullet"/>
      <w:lvlText w:val="•"/>
      <w:lvlJc w:val="left"/>
      <w:pPr>
        <w:ind w:left="1418" w:hanging="100"/>
      </w:pPr>
      <w:rPr>
        <w:rFonts w:hint="default"/>
      </w:rPr>
    </w:lvl>
    <w:lvl w:ilvl="7" w:tplc="E918BE6A">
      <w:numFmt w:val="bullet"/>
      <w:lvlText w:val="•"/>
      <w:lvlJc w:val="left"/>
      <w:pPr>
        <w:ind w:left="1627" w:hanging="100"/>
      </w:pPr>
      <w:rPr>
        <w:rFonts w:hint="default"/>
      </w:rPr>
    </w:lvl>
    <w:lvl w:ilvl="8" w:tplc="98B60F62">
      <w:numFmt w:val="bullet"/>
      <w:lvlText w:val="•"/>
      <w:lvlJc w:val="left"/>
      <w:pPr>
        <w:ind w:left="1837" w:hanging="100"/>
      </w:pPr>
      <w:rPr>
        <w:rFonts w:hint="default"/>
      </w:rPr>
    </w:lvl>
  </w:abstractNum>
  <w:abstractNum w:abstractNumId="139" w15:restartNumberingAfterBreak="0">
    <w:nsid w:val="08C3639F"/>
    <w:multiLevelType w:val="hybridMultilevel"/>
    <w:tmpl w:val="3E7A38A6"/>
    <w:lvl w:ilvl="0" w:tplc="B7BAEB8E">
      <w:numFmt w:val="bullet"/>
      <w:lvlText w:val=""/>
      <w:lvlJc w:val="left"/>
      <w:pPr>
        <w:ind w:left="157" w:hanging="100"/>
      </w:pPr>
      <w:rPr>
        <w:rFonts w:ascii="Symbol" w:eastAsia="Symbol" w:hAnsi="Symbol" w:cs="Symbol" w:hint="default"/>
        <w:color w:val="231F20"/>
        <w:w w:val="100"/>
        <w:sz w:val="14"/>
        <w:szCs w:val="14"/>
      </w:rPr>
    </w:lvl>
    <w:lvl w:ilvl="1" w:tplc="3AD8B912">
      <w:numFmt w:val="bullet"/>
      <w:lvlText w:val="•"/>
      <w:lvlJc w:val="left"/>
      <w:pPr>
        <w:ind w:left="369" w:hanging="100"/>
      </w:pPr>
      <w:rPr>
        <w:rFonts w:hint="default"/>
      </w:rPr>
    </w:lvl>
    <w:lvl w:ilvl="2" w:tplc="87345EF0">
      <w:numFmt w:val="bullet"/>
      <w:lvlText w:val="•"/>
      <w:lvlJc w:val="left"/>
      <w:pPr>
        <w:ind w:left="579" w:hanging="100"/>
      </w:pPr>
      <w:rPr>
        <w:rFonts w:hint="default"/>
      </w:rPr>
    </w:lvl>
    <w:lvl w:ilvl="3" w:tplc="8AC41518">
      <w:numFmt w:val="bullet"/>
      <w:lvlText w:val="•"/>
      <w:lvlJc w:val="left"/>
      <w:pPr>
        <w:ind w:left="789" w:hanging="100"/>
      </w:pPr>
      <w:rPr>
        <w:rFonts w:hint="default"/>
      </w:rPr>
    </w:lvl>
    <w:lvl w:ilvl="4" w:tplc="9CB69D86">
      <w:numFmt w:val="bullet"/>
      <w:lvlText w:val="•"/>
      <w:lvlJc w:val="left"/>
      <w:pPr>
        <w:ind w:left="998" w:hanging="100"/>
      </w:pPr>
      <w:rPr>
        <w:rFonts w:hint="default"/>
      </w:rPr>
    </w:lvl>
    <w:lvl w:ilvl="5" w:tplc="C9240BD2">
      <w:numFmt w:val="bullet"/>
      <w:lvlText w:val="•"/>
      <w:lvlJc w:val="left"/>
      <w:pPr>
        <w:ind w:left="1208" w:hanging="100"/>
      </w:pPr>
      <w:rPr>
        <w:rFonts w:hint="default"/>
      </w:rPr>
    </w:lvl>
    <w:lvl w:ilvl="6" w:tplc="BA06265A">
      <w:numFmt w:val="bullet"/>
      <w:lvlText w:val="•"/>
      <w:lvlJc w:val="left"/>
      <w:pPr>
        <w:ind w:left="1418" w:hanging="100"/>
      </w:pPr>
      <w:rPr>
        <w:rFonts w:hint="default"/>
      </w:rPr>
    </w:lvl>
    <w:lvl w:ilvl="7" w:tplc="AF003C48">
      <w:numFmt w:val="bullet"/>
      <w:lvlText w:val="•"/>
      <w:lvlJc w:val="left"/>
      <w:pPr>
        <w:ind w:left="1627" w:hanging="100"/>
      </w:pPr>
      <w:rPr>
        <w:rFonts w:hint="default"/>
      </w:rPr>
    </w:lvl>
    <w:lvl w:ilvl="8" w:tplc="0E46DEEA">
      <w:numFmt w:val="bullet"/>
      <w:lvlText w:val="•"/>
      <w:lvlJc w:val="left"/>
      <w:pPr>
        <w:ind w:left="1837" w:hanging="100"/>
      </w:pPr>
      <w:rPr>
        <w:rFonts w:hint="default"/>
      </w:rPr>
    </w:lvl>
  </w:abstractNum>
  <w:abstractNum w:abstractNumId="140" w15:restartNumberingAfterBreak="0">
    <w:nsid w:val="08C932D5"/>
    <w:multiLevelType w:val="hybridMultilevel"/>
    <w:tmpl w:val="A594CD62"/>
    <w:lvl w:ilvl="0" w:tplc="CBC85D66">
      <w:numFmt w:val="bullet"/>
      <w:lvlText w:val=""/>
      <w:lvlJc w:val="left"/>
      <w:pPr>
        <w:ind w:left="156" w:hanging="100"/>
      </w:pPr>
      <w:rPr>
        <w:rFonts w:ascii="Symbol" w:eastAsia="Symbol" w:hAnsi="Symbol" w:cs="Symbol" w:hint="default"/>
        <w:color w:val="231F20"/>
        <w:w w:val="100"/>
        <w:sz w:val="14"/>
        <w:szCs w:val="14"/>
      </w:rPr>
    </w:lvl>
    <w:lvl w:ilvl="1" w:tplc="8BA6D842">
      <w:numFmt w:val="bullet"/>
      <w:lvlText w:val="•"/>
      <w:lvlJc w:val="left"/>
      <w:pPr>
        <w:ind w:left="426" w:hanging="100"/>
      </w:pPr>
      <w:rPr>
        <w:rFonts w:hint="default"/>
      </w:rPr>
    </w:lvl>
    <w:lvl w:ilvl="2" w:tplc="E7426D00">
      <w:numFmt w:val="bullet"/>
      <w:lvlText w:val="•"/>
      <w:lvlJc w:val="left"/>
      <w:pPr>
        <w:ind w:left="692" w:hanging="100"/>
      </w:pPr>
      <w:rPr>
        <w:rFonts w:hint="default"/>
      </w:rPr>
    </w:lvl>
    <w:lvl w:ilvl="3" w:tplc="387C4D8E">
      <w:numFmt w:val="bullet"/>
      <w:lvlText w:val="•"/>
      <w:lvlJc w:val="left"/>
      <w:pPr>
        <w:ind w:left="959" w:hanging="100"/>
      </w:pPr>
      <w:rPr>
        <w:rFonts w:hint="default"/>
      </w:rPr>
    </w:lvl>
    <w:lvl w:ilvl="4" w:tplc="AD0073DC">
      <w:numFmt w:val="bullet"/>
      <w:lvlText w:val="•"/>
      <w:lvlJc w:val="left"/>
      <w:pPr>
        <w:ind w:left="1225" w:hanging="100"/>
      </w:pPr>
      <w:rPr>
        <w:rFonts w:hint="default"/>
      </w:rPr>
    </w:lvl>
    <w:lvl w:ilvl="5" w:tplc="3FF40140">
      <w:numFmt w:val="bullet"/>
      <w:lvlText w:val="•"/>
      <w:lvlJc w:val="left"/>
      <w:pPr>
        <w:ind w:left="1492" w:hanging="100"/>
      </w:pPr>
      <w:rPr>
        <w:rFonts w:hint="default"/>
      </w:rPr>
    </w:lvl>
    <w:lvl w:ilvl="6" w:tplc="33CECDEC">
      <w:numFmt w:val="bullet"/>
      <w:lvlText w:val="•"/>
      <w:lvlJc w:val="left"/>
      <w:pPr>
        <w:ind w:left="1758" w:hanging="100"/>
      </w:pPr>
      <w:rPr>
        <w:rFonts w:hint="default"/>
      </w:rPr>
    </w:lvl>
    <w:lvl w:ilvl="7" w:tplc="6F56D7A8">
      <w:numFmt w:val="bullet"/>
      <w:lvlText w:val="•"/>
      <w:lvlJc w:val="left"/>
      <w:pPr>
        <w:ind w:left="2024" w:hanging="100"/>
      </w:pPr>
      <w:rPr>
        <w:rFonts w:hint="default"/>
      </w:rPr>
    </w:lvl>
    <w:lvl w:ilvl="8" w:tplc="D74E7174">
      <w:numFmt w:val="bullet"/>
      <w:lvlText w:val="•"/>
      <w:lvlJc w:val="left"/>
      <w:pPr>
        <w:ind w:left="2291" w:hanging="100"/>
      </w:pPr>
      <w:rPr>
        <w:rFonts w:hint="default"/>
      </w:rPr>
    </w:lvl>
  </w:abstractNum>
  <w:abstractNum w:abstractNumId="141" w15:restartNumberingAfterBreak="0">
    <w:nsid w:val="08D45FDC"/>
    <w:multiLevelType w:val="hybridMultilevel"/>
    <w:tmpl w:val="880E0428"/>
    <w:lvl w:ilvl="0" w:tplc="D0A4C972">
      <w:numFmt w:val="bullet"/>
      <w:lvlText w:val=""/>
      <w:lvlJc w:val="left"/>
      <w:pPr>
        <w:ind w:left="157" w:hanging="100"/>
      </w:pPr>
      <w:rPr>
        <w:rFonts w:ascii="Symbol" w:eastAsia="Symbol" w:hAnsi="Symbol" w:cs="Symbol" w:hint="default"/>
        <w:color w:val="231F20"/>
        <w:w w:val="100"/>
        <w:sz w:val="14"/>
        <w:szCs w:val="14"/>
      </w:rPr>
    </w:lvl>
    <w:lvl w:ilvl="1" w:tplc="A8DA6612">
      <w:numFmt w:val="bullet"/>
      <w:lvlText w:val="•"/>
      <w:lvlJc w:val="left"/>
      <w:pPr>
        <w:ind w:left="369" w:hanging="100"/>
      </w:pPr>
      <w:rPr>
        <w:rFonts w:hint="default"/>
      </w:rPr>
    </w:lvl>
    <w:lvl w:ilvl="2" w:tplc="54C43F9A">
      <w:numFmt w:val="bullet"/>
      <w:lvlText w:val="•"/>
      <w:lvlJc w:val="left"/>
      <w:pPr>
        <w:ind w:left="579" w:hanging="100"/>
      </w:pPr>
      <w:rPr>
        <w:rFonts w:hint="default"/>
      </w:rPr>
    </w:lvl>
    <w:lvl w:ilvl="3" w:tplc="76AC1452">
      <w:numFmt w:val="bullet"/>
      <w:lvlText w:val="•"/>
      <w:lvlJc w:val="left"/>
      <w:pPr>
        <w:ind w:left="789" w:hanging="100"/>
      </w:pPr>
      <w:rPr>
        <w:rFonts w:hint="default"/>
      </w:rPr>
    </w:lvl>
    <w:lvl w:ilvl="4" w:tplc="D9B0D5D4">
      <w:numFmt w:val="bullet"/>
      <w:lvlText w:val="•"/>
      <w:lvlJc w:val="left"/>
      <w:pPr>
        <w:ind w:left="998" w:hanging="100"/>
      </w:pPr>
      <w:rPr>
        <w:rFonts w:hint="default"/>
      </w:rPr>
    </w:lvl>
    <w:lvl w:ilvl="5" w:tplc="B6EAB6E0">
      <w:numFmt w:val="bullet"/>
      <w:lvlText w:val="•"/>
      <w:lvlJc w:val="left"/>
      <w:pPr>
        <w:ind w:left="1208" w:hanging="100"/>
      </w:pPr>
      <w:rPr>
        <w:rFonts w:hint="default"/>
      </w:rPr>
    </w:lvl>
    <w:lvl w:ilvl="6" w:tplc="45D8D994">
      <w:numFmt w:val="bullet"/>
      <w:lvlText w:val="•"/>
      <w:lvlJc w:val="left"/>
      <w:pPr>
        <w:ind w:left="1418" w:hanging="100"/>
      </w:pPr>
      <w:rPr>
        <w:rFonts w:hint="default"/>
      </w:rPr>
    </w:lvl>
    <w:lvl w:ilvl="7" w:tplc="A57646AC">
      <w:numFmt w:val="bullet"/>
      <w:lvlText w:val="•"/>
      <w:lvlJc w:val="left"/>
      <w:pPr>
        <w:ind w:left="1627" w:hanging="100"/>
      </w:pPr>
      <w:rPr>
        <w:rFonts w:hint="default"/>
      </w:rPr>
    </w:lvl>
    <w:lvl w:ilvl="8" w:tplc="99F60F2A">
      <w:numFmt w:val="bullet"/>
      <w:lvlText w:val="•"/>
      <w:lvlJc w:val="left"/>
      <w:pPr>
        <w:ind w:left="1837" w:hanging="100"/>
      </w:pPr>
      <w:rPr>
        <w:rFonts w:hint="default"/>
      </w:rPr>
    </w:lvl>
  </w:abstractNum>
  <w:abstractNum w:abstractNumId="142" w15:restartNumberingAfterBreak="0">
    <w:nsid w:val="09151934"/>
    <w:multiLevelType w:val="hybridMultilevel"/>
    <w:tmpl w:val="0A188E3E"/>
    <w:lvl w:ilvl="0" w:tplc="70D89020">
      <w:numFmt w:val="bullet"/>
      <w:lvlText w:val=""/>
      <w:lvlJc w:val="left"/>
      <w:pPr>
        <w:ind w:left="157" w:hanging="100"/>
      </w:pPr>
      <w:rPr>
        <w:rFonts w:ascii="Symbol" w:eastAsia="Symbol" w:hAnsi="Symbol" w:cs="Symbol" w:hint="default"/>
        <w:color w:val="231F20"/>
        <w:w w:val="100"/>
        <w:sz w:val="14"/>
        <w:szCs w:val="14"/>
      </w:rPr>
    </w:lvl>
    <w:lvl w:ilvl="1" w:tplc="B12C96FA">
      <w:numFmt w:val="bullet"/>
      <w:lvlText w:val="•"/>
      <w:lvlJc w:val="left"/>
      <w:pPr>
        <w:ind w:left="398" w:hanging="100"/>
      </w:pPr>
      <w:rPr>
        <w:rFonts w:hint="default"/>
      </w:rPr>
    </w:lvl>
    <w:lvl w:ilvl="2" w:tplc="8836E9EC">
      <w:numFmt w:val="bullet"/>
      <w:lvlText w:val="•"/>
      <w:lvlJc w:val="left"/>
      <w:pPr>
        <w:ind w:left="636" w:hanging="100"/>
      </w:pPr>
      <w:rPr>
        <w:rFonts w:hint="default"/>
      </w:rPr>
    </w:lvl>
    <w:lvl w:ilvl="3" w:tplc="81FAB93C">
      <w:numFmt w:val="bullet"/>
      <w:lvlText w:val="•"/>
      <w:lvlJc w:val="left"/>
      <w:pPr>
        <w:ind w:left="874" w:hanging="100"/>
      </w:pPr>
      <w:rPr>
        <w:rFonts w:hint="default"/>
      </w:rPr>
    </w:lvl>
    <w:lvl w:ilvl="4" w:tplc="C186DA32">
      <w:numFmt w:val="bullet"/>
      <w:lvlText w:val="•"/>
      <w:lvlJc w:val="left"/>
      <w:pPr>
        <w:ind w:left="1112" w:hanging="100"/>
      </w:pPr>
      <w:rPr>
        <w:rFonts w:hint="default"/>
      </w:rPr>
    </w:lvl>
    <w:lvl w:ilvl="5" w:tplc="5746A464">
      <w:numFmt w:val="bullet"/>
      <w:lvlText w:val="•"/>
      <w:lvlJc w:val="left"/>
      <w:pPr>
        <w:ind w:left="1350" w:hanging="100"/>
      </w:pPr>
      <w:rPr>
        <w:rFonts w:hint="default"/>
      </w:rPr>
    </w:lvl>
    <w:lvl w:ilvl="6" w:tplc="15C44104">
      <w:numFmt w:val="bullet"/>
      <w:lvlText w:val="•"/>
      <w:lvlJc w:val="left"/>
      <w:pPr>
        <w:ind w:left="1588" w:hanging="100"/>
      </w:pPr>
      <w:rPr>
        <w:rFonts w:hint="default"/>
      </w:rPr>
    </w:lvl>
    <w:lvl w:ilvl="7" w:tplc="9404EAAA">
      <w:numFmt w:val="bullet"/>
      <w:lvlText w:val="•"/>
      <w:lvlJc w:val="left"/>
      <w:pPr>
        <w:ind w:left="1826" w:hanging="100"/>
      </w:pPr>
      <w:rPr>
        <w:rFonts w:hint="default"/>
      </w:rPr>
    </w:lvl>
    <w:lvl w:ilvl="8" w:tplc="0090F05A">
      <w:numFmt w:val="bullet"/>
      <w:lvlText w:val="•"/>
      <w:lvlJc w:val="left"/>
      <w:pPr>
        <w:ind w:left="2064" w:hanging="100"/>
      </w:pPr>
      <w:rPr>
        <w:rFonts w:hint="default"/>
      </w:rPr>
    </w:lvl>
  </w:abstractNum>
  <w:abstractNum w:abstractNumId="143" w15:restartNumberingAfterBreak="0">
    <w:nsid w:val="09176DF9"/>
    <w:multiLevelType w:val="hybridMultilevel"/>
    <w:tmpl w:val="56FA4B96"/>
    <w:lvl w:ilvl="0" w:tplc="4472231C">
      <w:numFmt w:val="bullet"/>
      <w:lvlText w:val=""/>
      <w:lvlJc w:val="left"/>
      <w:pPr>
        <w:ind w:left="156" w:hanging="100"/>
      </w:pPr>
      <w:rPr>
        <w:rFonts w:ascii="Symbol" w:eastAsia="Symbol" w:hAnsi="Symbol" w:cs="Symbol" w:hint="default"/>
        <w:color w:val="231F20"/>
        <w:w w:val="100"/>
        <w:sz w:val="14"/>
        <w:szCs w:val="14"/>
      </w:rPr>
    </w:lvl>
    <w:lvl w:ilvl="1" w:tplc="6478B936">
      <w:numFmt w:val="bullet"/>
      <w:lvlText w:val="•"/>
      <w:lvlJc w:val="left"/>
      <w:pPr>
        <w:ind w:left="398" w:hanging="100"/>
      </w:pPr>
      <w:rPr>
        <w:rFonts w:hint="default"/>
      </w:rPr>
    </w:lvl>
    <w:lvl w:ilvl="2" w:tplc="DDE2C4AE">
      <w:numFmt w:val="bullet"/>
      <w:lvlText w:val="•"/>
      <w:lvlJc w:val="left"/>
      <w:pPr>
        <w:ind w:left="636" w:hanging="100"/>
      </w:pPr>
      <w:rPr>
        <w:rFonts w:hint="default"/>
      </w:rPr>
    </w:lvl>
    <w:lvl w:ilvl="3" w:tplc="DECA89FE">
      <w:numFmt w:val="bullet"/>
      <w:lvlText w:val="•"/>
      <w:lvlJc w:val="left"/>
      <w:pPr>
        <w:ind w:left="874" w:hanging="100"/>
      </w:pPr>
      <w:rPr>
        <w:rFonts w:hint="default"/>
      </w:rPr>
    </w:lvl>
    <w:lvl w:ilvl="4" w:tplc="6CAC6B32">
      <w:numFmt w:val="bullet"/>
      <w:lvlText w:val="•"/>
      <w:lvlJc w:val="left"/>
      <w:pPr>
        <w:ind w:left="1112" w:hanging="100"/>
      </w:pPr>
      <w:rPr>
        <w:rFonts w:hint="default"/>
      </w:rPr>
    </w:lvl>
    <w:lvl w:ilvl="5" w:tplc="DA80143C">
      <w:numFmt w:val="bullet"/>
      <w:lvlText w:val="•"/>
      <w:lvlJc w:val="left"/>
      <w:pPr>
        <w:ind w:left="1350" w:hanging="100"/>
      </w:pPr>
      <w:rPr>
        <w:rFonts w:hint="default"/>
      </w:rPr>
    </w:lvl>
    <w:lvl w:ilvl="6" w:tplc="BDCE3F2A">
      <w:numFmt w:val="bullet"/>
      <w:lvlText w:val="•"/>
      <w:lvlJc w:val="left"/>
      <w:pPr>
        <w:ind w:left="1588" w:hanging="100"/>
      </w:pPr>
      <w:rPr>
        <w:rFonts w:hint="default"/>
      </w:rPr>
    </w:lvl>
    <w:lvl w:ilvl="7" w:tplc="B10CB50A">
      <w:numFmt w:val="bullet"/>
      <w:lvlText w:val="•"/>
      <w:lvlJc w:val="left"/>
      <w:pPr>
        <w:ind w:left="1826" w:hanging="100"/>
      </w:pPr>
      <w:rPr>
        <w:rFonts w:hint="default"/>
      </w:rPr>
    </w:lvl>
    <w:lvl w:ilvl="8" w:tplc="D362DA60">
      <w:numFmt w:val="bullet"/>
      <w:lvlText w:val="•"/>
      <w:lvlJc w:val="left"/>
      <w:pPr>
        <w:ind w:left="2064" w:hanging="100"/>
      </w:pPr>
      <w:rPr>
        <w:rFonts w:hint="default"/>
      </w:rPr>
    </w:lvl>
  </w:abstractNum>
  <w:abstractNum w:abstractNumId="144" w15:restartNumberingAfterBreak="0">
    <w:nsid w:val="09344DA8"/>
    <w:multiLevelType w:val="hybridMultilevel"/>
    <w:tmpl w:val="DA0A31D0"/>
    <w:lvl w:ilvl="0" w:tplc="6E08C2BC">
      <w:numFmt w:val="bullet"/>
      <w:lvlText w:val=""/>
      <w:lvlJc w:val="left"/>
      <w:pPr>
        <w:ind w:left="157" w:hanging="100"/>
      </w:pPr>
      <w:rPr>
        <w:rFonts w:ascii="Symbol" w:eastAsia="Symbol" w:hAnsi="Symbol" w:cs="Symbol" w:hint="default"/>
        <w:color w:val="231F20"/>
        <w:w w:val="100"/>
        <w:sz w:val="14"/>
        <w:szCs w:val="14"/>
      </w:rPr>
    </w:lvl>
    <w:lvl w:ilvl="1" w:tplc="41C488C8">
      <w:numFmt w:val="bullet"/>
      <w:lvlText w:val="•"/>
      <w:lvlJc w:val="left"/>
      <w:pPr>
        <w:ind w:left="369" w:hanging="100"/>
      </w:pPr>
      <w:rPr>
        <w:rFonts w:hint="default"/>
      </w:rPr>
    </w:lvl>
    <w:lvl w:ilvl="2" w:tplc="ED4E726A">
      <w:numFmt w:val="bullet"/>
      <w:lvlText w:val="•"/>
      <w:lvlJc w:val="left"/>
      <w:pPr>
        <w:ind w:left="579" w:hanging="100"/>
      </w:pPr>
      <w:rPr>
        <w:rFonts w:hint="default"/>
      </w:rPr>
    </w:lvl>
    <w:lvl w:ilvl="3" w:tplc="A52624BA">
      <w:numFmt w:val="bullet"/>
      <w:lvlText w:val="•"/>
      <w:lvlJc w:val="left"/>
      <w:pPr>
        <w:ind w:left="789" w:hanging="100"/>
      </w:pPr>
      <w:rPr>
        <w:rFonts w:hint="default"/>
      </w:rPr>
    </w:lvl>
    <w:lvl w:ilvl="4" w:tplc="65A84276">
      <w:numFmt w:val="bullet"/>
      <w:lvlText w:val="•"/>
      <w:lvlJc w:val="left"/>
      <w:pPr>
        <w:ind w:left="998" w:hanging="100"/>
      </w:pPr>
      <w:rPr>
        <w:rFonts w:hint="default"/>
      </w:rPr>
    </w:lvl>
    <w:lvl w:ilvl="5" w:tplc="0F323A80">
      <w:numFmt w:val="bullet"/>
      <w:lvlText w:val="•"/>
      <w:lvlJc w:val="left"/>
      <w:pPr>
        <w:ind w:left="1208" w:hanging="100"/>
      </w:pPr>
      <w:rPr>
        <w:rFonts w:hint="default"/>
      </w:rPr>
    </w:lvl>
    <w:lvl w:ilvl="6" w:tplc="A57AAB7A">
      <w:numFmt w:val="bullet"/>
      <w:lvlText w:val="•"/>
      <w:lvlJc w:val="left"/>
      <w:pPr>
        <w:ind w:left="1418" w:hanging="100"/>
      </w:pPr>
      <w:rPr>
        <w:rFonts w:hint="default"/>
      </w:rPr>
    </w:lvl>
    <w:lvl w:ilvl="7" w:tplc="ED323DD4">
      <w:numFmt w:val="bullet"/>
      <w:lvlText w:val="•"/>
      <w:lvlJc w:val="left"/>
      <w:pPr>
        <w:ind w:left="1627" w:hanging="100"/>
      </w:pPr>
      <w:rPr>
        <w:rFonts w:hint="default"/>
      </w:rPr>
    </w:lvl>
    <w:lvl w:ilvl="8" w:tplc="461049EA">
      <w:numFmt w:val="bullet"/>
      <w:lvlText w:val="•"/>
      <w:lvlJc w:val="left"/>
      <w:pPr>
        <w:ind w:left="1837" w:hanging="100"/>
      </w:pPr>
      <w:rPr>
        <w:rFonts w:hint="default"/>
      </w:rPr>
    </w:lvl>
  </w:abstractNum>
  <w:abstractNum w:abstractNumId="145" w15:restartNumberingAfterBreak="0">
    <w:nsid w:val="09361021"/>
    <w:multiLevelType w:val="hybridMultilevel"/>
    <w:tmpl w:val="011C0520"/>
    <w:lvl w:ilvl="0" w:tplc="D6B6BDAA">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97A05BF6">
      <w:numFmt w:val="bullet"/>
      <w:lvlText w:val="•"/>
      <w:lvlJc w:val="left"/>
      <w:pPr>
        <w:ind w:left="1528" w:hanging="180"/>
      </w:pPr>
      <w:rPr>
        <w:rFonts w:hint="default"/>
      </w:rPr>
    </w:lvl>
    <w:lvl w:ilvl="2" w:tplc="7AB60CE8">
      <w:numFmt w:val="bullet"/>
      <w:lvlText w:val="•"/>
      <w:lvlJc w:val="left"/>
      <w:pPr>
        <w:ind w:left="2557" w:hanging="180"/>
      </w:pPr>
      <w:rPr>
        <w:rFonts w:hint="default"/>
      </w:rPr>
    </w:lvl>
    <w:lvl w:ilvl="3" w:tplc="967A5560">
      <w:numFmt w:val="bullet"/>
      <w:lvlText w:val="•"/>
      <w:lvlJc w:val="left"/>
      <w:pPr>
        <w:ind w:left="3585" w:hanging="180"/>
      </w:pPr>
      <w:rPr>
        <w:rFonts w:hint="default"/>
      </w:rPr>
    </w:lvl>
    <w:lvl w:ilvl="4" w:tplc="CA3ACF68">
      <w:numFmt w:val="bullet"/>
      <w:lvlText w:val="•"/>
      <w:lvlJc w:val="left"/>
      <w:pPr>
        <w:ind w:left="4614" w:hanging="180"/>
      </w:pPr>
      <w:rPr>
        <w:rFonts w:hint="default"/>
      </w:rPr>
    </w:lvl>
    <w:lvl w:ilvl="5" w:tplc="6BC2734C">
      <w:numFmt w:val="bullet"/>
      <w:lvlText w:val="•"/>
      <w:lvlJc w:val="left"/>
      <w:pPr>
        <w:ind w:left="5642" w:hanging="180"/>
      </w:pPr>
      <w:rPr>
        <w:rFonts w:hint="default"/>
      </w:rPr>
    </w:lvl>
    <w:lvl w:ilvl="6" w:tplc="CF14D468">
      <w:numFmt w:val="bullet"/>
      <w:lvlText w:val="•"/>
      <w:lvlJc w:val="left"/>
      <w:pPr>
        <w:ind w:left="6671" w:hanging="180"/>
      </w:pPr>
      <w:rPr>
        <w:rFonts w:hint="default"/>
      </w:rPr>
    </w:lvl>
    <w:lvl w:ilvl="7" w:tplc="59B4D8BE">
      <w:numFmt w:val="bullet"/>
      <w:lvlText w:val="•"/>
      <w:lvlJc w:val="left"/>
      <w:pPr>
        <w:ind w:left="7699" w:hanging="180"/>
      </w:pPr>
      <w:rPr>
        <w:rFonts w:hint="default"/>
      </w:rPr>
    </w:lvl>
    <w:lvl w:ilvl="8" w:tplc="6ECABD98">
      <w:numFmt w:val="bullet"/>
      <w:lvlText w:val="•"/>
      <w:lvlJc w:val="left"/>
      <w:pPr>
        <w:ind w:left="8728" w:hanging="180"/>
      </w:pPr>
      <w:rPr>
        <w:rFonts w:hint="default"/>
      </w:rPr>
    </w:lvl>
  </w:abstractNum>
  <w:abstractNum w:abstractNumId="146" w15:restartNumberingAfterBreak="0">
    <w:nsid w:val="093A2534"/>
    <w:multiLevelType w:val="hybridMultilevel"/>
    <w:tmpl w:val="F5D47AE2"/>
    <w:lvl w:ilvl="0" w:tplc="9B8A8C78">
      <w:numFmt w:val="bullet"/>
      <w:lvlText w:val=""/>
      <w:lvlJc w:val="left"/>
      <w:pPr>
        <w:ind w:left="156" w:hanging="100"/>
      </w:pPr>
      <w:rPr>
        <w:rFonts w:ascii="Symbol" w:eastAsia="Symbol" w:hAnsi="Symbol" w:cs="Symbol" w:hint="default"/>
        <w:color w:val="231F20"/>
        <w:w w:val="100"/>
        <w:sz w:val="14"/>
        <w:szCs w:val="14"/>
      </w:rPr>
    </w:lvl>
    <w:lvl w:ilvl="1" w:tplc="7FA667E2">
      <w:numFmt w:val="bullet"/>
      <w:lvlText w:val="•"/>
      <w:lvlJc w:val="left"/>
      <w:pPr>
        <w:ind w:left="301" w:hanging="100"/>
      </w:pPr>
      <w:rPr>
        <w:rFonts w:hint="default"/>
      </w:rPr>
    </w:lvl>
    <w:lvl w:ilvl="2" w:tplc="DB3AD3E0">
      <w:numFmt w:val="bullet"/>
      <w:lvlText w:val="•"/>
      <w:lvlJc w:val="left"/>
      <w:pPr>
        <w:ind w:left="443" w:hanging="100"/>
      </w:pPr>
      <w:rPr>
        <w:rFonts w:hint="default"/>
      </w:rPr>
    </w:lvl>
    <w:lvl w:ilvl="3" w:tplc="F530D19A">
      <w:numFmt w:val="bullet"/>
      <w:lvlText w:val="•"/>
      <w:lvlJc w:val="left"/>
      <w:pPr>
        <w:ind w:left="585" w:hanging="100"/>
      </w:pPr>
      <w:rPr>
        <w:rFonts w:hint="default"/>
      </w:rPr>
    </w:lvl>
    <w:lvl w:ilvl="4" w:tplc="A36025A0">
      <w:numFmt w:val="bullet"/>
      <w:lvlText w:val="•"/>
      <w:lvlJc w:val="left"/>
      <w:pPr>
        <w:ind w:left="726" w:hanging="100"/>
      </w:pPr>
      <w:rPr>
        <w:rFonts w:hint="default"/>
      </w:rPr>
    </w:lvl>
    <w:lvl w:ilvl="5" w:tplc="F0A0C8F0">
      <w:numFmt w:val="bullet"/>
      <w:lvlText w:val="•"/>
      <w:lvlJc w:val="left"/>
      <w:pPr>
        <w:ind w:left="868" w:hanging="100"/>
      </w:pPr>
      <w:rPr>
        <w:rFonts w:hint="default"/>
      </w:rPr>
    </w:lvl>
    <w:lvl w:ilvl="6" w:tplc="5900B232">
      <w:numFmt w:val="bullet"/>
      <w:lvlText w:val="•"/>
      <w:lvlJc w:val="left"/>
      <w:pPr>
        <w:ind w:left="1010" w:hanging="100"/>
      </w:pPr>
      <w:rPr>
        <w:rFonts w:hint="default"/>
      </w:rPr>
    </w:lvl>
    <w:lvl w:ilvl="7" w:tplc="DF041C46">
      <w:numFmt w:val="bullet"/>
      <w:lvlText w:val="•"/>
      <w:lvlJc w:val="left"/>
      <w:pPr>
        <w:ind w:left="1151" w:hanging="100"/>
      </w:pPr>
      <w:rPr>
        <w:rFonts w:hint="default"/>
      </w:rPr>
    </w:lvl>
    <w:lvl w:ilvl="8" w:tplc="1D082100">
      <w:numFmt w:val="bullet"/>
      <w:lvlText w:val="•"/>
      <w:lvlJc w:val="left"/>
      <w:pPr>
        <w:ind w:left="1293" w:hanging="100"/>
      </w:pPr>
      <w:rPr>
        <w:rFonts w:hint="default"/>
      </w:rPr>
    </w:lvl>
  </w:abstractNum>
  <w:abstractNum w:abstractNumId="147" w15:restartNumberingAfterBreak="0">
    <w:nsid w:val="094F4EF9"/>
    <w:multiLevelType w:val="hybridMultilevel"/>
    <w:tmpl w:val="DA349CD2"/>
    <w:lvl w:ilvl="0" w:tplc="9D7892A2">
      <w:numFmt w:val="bullet"/>
      <w:lvlText w:val=""/>
      <w:lvlJc w:val="left"/>
      <w:pPr>
        <w:ind w:left="156" w:hanging="100"/>
      </w:pPr>
      <w:rPr>
        <w:rFonts w:ascii="Symbol" w:eastAsia="Symbol" w:hAnsi="Symbol" w:cs="Symbol" w:hint="default"/>
        <w:color w:val="231F20"/>
        <w:w w:val="100"/>
        <w:sz w:val="14"/>
        <w:szCs w:val="14"/>
      </w:rPr>
    </w:lvl>
    <w:lvl w:ilvl="1" w:tplc="BFA0128C">
      <w:numFmt w:val="bullet"/>
      <w:lvlText w:val="•"/>
      <w:lvlJc w:val="left"/>
      <w:pPr>
        <w:ind w:left="273" w:hanging="100"/>
      </w:pPr>
      <w:rPr>
        <w:rFonts w:hint="default"/>
      </w:rPr>
    </w:lvl>
    <w:lvl w:ilvl="2" w:tplc="EB2E084E">
      <w:numFmt w:val="bullet"/>
      <w:lvlText w:val="•"/>
      <w:lvlJc w:val="left"/>
      <w:pPr>
        <w:ind w:left="386" w:hanging="100"/>
      </w:pPr>
      <w:rPr>
        <w:rFonts w:hint="default"/>
      </w:rPr>
    </w:lvl>
    <w:lvl w:ilvl="3" w:tplc="F9B8CACE">
      <w:numFmt w:val="bullet"/>
      <w:lvlText w:val="•"/>
      <w:lvlJc w:val="left"/>
      <w:pPr>
        <w:ind w:left="500" w:hanging="100"/>
      </w:pPr>
      <w:rPr>
        <w:rFonts w:hint="default"/>
      </w:rPr>
    </w:lvl>
    <w:lvl w:ilvl="4" w:tplc="BE487490">
      <w:numFmt w:val="bullet"/>
      <w:lvlText w:val="•"/>
      <w:lvlJc w:val="left"/>
      <w:pPr>
        <w:ind w:left="613" w:hanging="100"/>
      </w:pPr>
      <w:rPr>
        <w:rFonts w:hint="default"/>
      </w:rPr>
    </w:lvl>
    <w:lvl w:ilvl="5" w:tplc="5562F43C">
      <w:numFmt w:val="bullet"/>
      <w:lvlText w:val="•"/>
      <w:lvlJc w:val="left"/>
      <w:pPr>
        <w:ind w:left="727" w:hanging="100"/>
      </w:pPr>
      <w:rPr>
        <w:rFonts w:hint="default"/>
      </w:rPr>
    </w:lvl>
    <w:lvl w:ilvl="6" w:tplc="5BDED034">
      <w:numFmt w:val="bullet"/>
      <w:lvlText w:val="•"/>
      <w:lvlJc w:val="left"/>
      <w:pPr>
        <w:ind w:left="840" w:hanging="100"/>
      </w:pPr>
      <w:rPr>
        <w:rFonts w:hint="default"/>
      </w:rPr>
    </w:lvl>
    <w:lvl w:ilvl="7" w:tplc="DEE0FA3E">
      <w:numFmt w:val="bullet"/>
      <w:lvlText w:val="•"/>
      <w:lvlJc w:val="left"/>
      <w:pPr>
        <w:ind w:left="953" w:hanging="100"/>
      </w:pPr>
      <w:rPr>
        <w:rFonts w:hint="default"/>
      </w:rPr>
    </w:lvl>
    <w:lvl w:ilvl="8" w:tplc="CF326042">
      <w:numFmt w:val="bullet"/>
      <w:lvlText w:val="•"/>
      <w:lvlJc w:val="left"/>
      <w:pPr>
        <w:ind w:left="1067" w:hanging="100"/>
      </w:pPr>
      <w:rPr>
        <w:rFonts w:hint="default"/>
      </w:rPr>
    </w:lvl>
  </w:abstractNum>
  <w:abstractNum w:abstractNumId="148" w15:restartNumberingAfterBreak="0">
    <w:nsid w:val="09775D38"/>
    <w:multiLevelType w:val="hybridMultilevel"/>
    <w:tmpl w:val="F2A4108A"/>
    <w:lvl w:ilvl="0" w:tplc="FBC459D0">
      <w:numFmt w:val="bullet"/>
      <w:lvlText w:val=""/>
      <w:lvlJc w:val="left"/>
      <w:pPr>
        <w:ind w:left="156" w:hanging="100"/>
      </w:pPr>
      <w:rPr>
        <w:rFonts w:ascii="Symbol" w:eastAsia="Symbol" w:hAnsi="Symbol" w:cs="Symbol" w:hint="default"/>
        <w:color w:val="231F20"/>
        <w:w w:val="100"/>
        <w:sz w:val="14"/>
        <w:szCs w:val="14"/>
      </w:rPr>
    </w:lvl>
    <w:lvl w:ilvl="1" w:tplc="062E4EBE">
      <w:numFmt w:val="bullet"/>
      <w:lvlText w:val="•"/>
      <w:lvlJc w:val="left"/>
      <w:pPr>
        <w:ind w:left="398" w:hanging="100"/>
      </w:pPr>
      <w:rPr>
        <w:rFonts w:hint="default"/>
      </w:rPr>
    </w:lvl>
    <w:lvl w:ilvl="2" w:tplc="426EC53E">
      <w:numFmt w:val="bullet"/>
      <w:lvlText w:val="•"/>
      <w:lvlJc w:val="left"/>
      <w:pPr>
        <w:ind w:left="636" w:hanging="100"/>
      </w:pPr>
      <w:rPr>
        <w:rFonts w:hint="default"/>
      </w:rPr>
    </w:lvl>
    <w:lvl w:ilvl="3" w:tplc="84C6071A">
      <w:numFmt w:val="bullet"/>
      <w:lvlText w:val="•"/>
      <w:lvlJc w:val="left"/>
      <w:pPr>
        <w:ind w:left="874" w:hanging="100"/>
      </w:pPr>
      <w:rPr>
        <w:rFonts w:hint="default"/>
      </w:rPr>
    </w:lvl>
    <w:lvl w:ilvl="4" w:tplc="B50AEE6C">
      <w:numFmt w:val="bullet"/>
      <w:lvlText w:val="•"/>
      <w:lvlJc w:val="left"/>
      <w:pPr>
        <w:ind w:left="1112" w:hanging="100"/>
      </w:pPr>
      <w:rPr>
        <w:rFonts w:hint="default"/>
      </w:rPr>
    </w:lvl>
    <w:lvl w:ilvl="5" w:tplc="2DBCE298">
      <w:numFmt w:val="bullet"/>
      <w:lvlText w:val="•"/>
      <w:lvlJc w:val="left"/>
      <w:pPr>
        <w:ind w:left="1350" w:hanging="100"/>
      </w:pPr>
      <w:rPr>
        <w:rFonts w:hint="default"/>
      </w:rPr>
    </w:lvl>
    <w:lvl w:ilvl="6" w:tplc="79D41C7C">
      <w:numFmt w:val="bullet"/>
      <w:lvlText w:val="•"/>
      <w:lvlJc w:val="left"/>
      <w:pPr>
        <w:ind w:left="1588" w:hanging="100"/>
      </w:pPr>
      <w:rPr>
        <w:rFonts w:hint="default"/>
      </w:rPr>
    </w:lvl>
    <w:lvl w:ilvl="7" w:tplc="2A321F78">
      <w:numFmt w:val="bullet"/>
      <w:lvlText w:val="•"/>
      <w:lvlJc w:val="left"/>
      <w:pPr>
        <w:ind w:left="1826" w:hanging="100"/>
      </w:pPr>
      <w:rPr>
        <w:rFonts w:hint="default"/>
      </w:rPr>
    </w:lvl>
    <w:lvl w:ilvl="8" w:tplc="A7225F66">
      <w:numFmt w:val="bullet"/>
      <w:lvlText w:val="•"/>
      <w:lvlJc w:val="left"/>
      <w:pPr>
        <w:ind w:left="2064" w:hanging="100"/>
      </w:pPr>
      <w:rPr>
        <w:rFonts w:hint="default"/>
      </w:rPr>
    </w:lvl>
  </w:abstractNum>
  <w:abstractNum w:abstractNumId="149" w15:restartNumberingAfterBreak="0">
    <w:nsid w:val="097B6B96"/>
    <w:multiLevelType w:val="hybridMultilevel"/>
    <w:tmpl w:val="43207030"/>
    <w:lvl w:ilvl="0" w:tplc="7B6A23D4">
      <w:numFmt w:val="bullet"/>
      <w:lvlText w:val=""/>
      <w:lvlJc w:val="left"/>
      <w:pPr>
        <w:ind w:left="156" w:hanging="100"/>
      </w:pPr>
      <w:rPr>
        <w:rFonts w:ascii="Symbol" w:eastAsia="Symbol" w:hAnsi="Symbol" w:cs="Symbol" w:hint="default"/>
        <w:color w:val="231F20"/>
        <w:w w:val="100"/>
        <w:sz w:val="14"/>
        <w:szCs w:val="14"/>
      </w:rPr>
    </w:lvl>
    <w:lvl w:ilvl="1" w:tplc="01D6EB7A">
      <w:numFmt w:val="bullet"/>
      <w:lvlText w:val="•"/>
      <w:lvlJc w:val="left"/>
      <w:pPr>
        <w:ind w:left="426" w:hanging="100"/>
      </w:pPr>
      <w:rPr>
        <w:rFonts w:hint="default"/>
      </w:rPr>
    </w:lvl>
    <w:lvl w:ilvl="2" w:tplc="446C6B94">
      <w:numFmt w:val="bullet"/>
      <w:lvlText w:val="•"/>
      <w:lvlJc w:val="left"/>
      <w:pPr>
        <w:ind w:left="692" w:hanging="100"/>
      </w:pPr>
      <w:rPr>
        <w:rFonts w:hint="default"/>
      </w:rPr>
    </w:lvl>
    <w:lvl w:ilvl="3" w:tplc="AF12F860">
      <w:numFmt w:val="bullet"/>
      <w:lvlText w:val="•"/>
      <w:lvlJc w:val="left"/>
      <w:pPr>
        <w:ind w:left="959" w:hanging="100"/>
      </w:pPr>
      <w:rPr>
        <w:rFonts w:hint="default"/>
      </w:rPr>
    </w:lvl>
    <w:lvl w:ilvl="4" w:tplc="1C20644A">
      <w:numFmt w:val="bullet"/>
      <w:lvlText w:val="•"/>
      <w:lvlJc w:val="left"/>
      <w:pPr>
        <w:ind w:left="1225" w:hanging="100"/>
      </w:pPr>
      <w:rPr>
        <w:rFonts w:hint="default"/>
      </w:rPr>
    </w:lvl>
    <w:lvl w:ilvl="5" w:tplc="D95660F2">
      <w:numFmt w:val="bullet"/>
      <w:lvlText w:val="•"/>
      <w:lvlJc w:val="left"/>
      <w:pPr>
        <w:ind w:left="1492" w:hanging="100"/>
      </w:pPr>
      <w:rPr>
        <w:rFonts w:hint="default"/>
      </w:rPr>
    </w:lvl>
    <w:lvl w:ilvl="6" w:tplc="84A2D314">
      <w:numFmt w:val="bullet"/>
      <w:lvlText w:val="•"/>
      <w:lvlJc w:val="left"/>
      <w:pPr>
        <w:ind w:left="1758" w:hanging="100"/>
      </w:pPr>
      <w:rPr>
        <w:rFonts w:hint="default"/>
      </w:rPr>
    </w:lvl>
    <w:lvl w:ilvl="7" w:tplc="1DA6ED82">
      <w:numFmt w:val="bullet"/>
      <w:lvlText w:val="•"/>
      <w:lvlJc w:val="left"/>
      <w:pPr>
        <w:ind w:left="2024" w:hanging="100"/>
      </w:pPr>
      <w:rPr>
        <w:rFonts w:hint="default"/>
      </w:rPr>
    </w:lvl>
    <w:lvl w:ilvl="8" w:tplc="125EF07C">
      <w:numFmt w:val="bullet"/>
      <w:lvlText w:val="•"/>
      <w:lvlJc w:val="left"/>
      <w:pPr>
        <w:ind w:left="2291" w:hanging="100"/>
      </w:pPr>
      <w:rPr>
        <w:rFonts w:hint="default"/>
      </w:rPr>
    </w:lvl>
  </w:abstractNum>
  <w:abstractNum w:abstractNumId="150" w15:restartNumberingAfterBreak="0">
    <w:nsid w:val="098C702B"/>
    <w:multiLevelType w:val="hybridMultilevel"/>
    <w:tmpl w:val="EB1C5248"/>
    <w:lvl w:ilvl="0" w:tplc="2D64D804">
      <w:numFmt w:val="bullet"/>
      <w:lvlText w:val=""/>
      <w:lvlJc w:val="left"/>
      <w:pPr>
        <w:ind w:left="156" w:hanging="100"/>
      </w:pPr>
      <w:rPr>
        <w:rFonts w:ascii="Symbol" w:eastAsia="Symbol" w:hAnsi="Symbol" w:cs="Symbol" w:hint="default"/>
        <w:color w:val="231F20"/>
        <w:w w:val="100"/>
        <w:sz w:val="14"/>
        <w:szCs w:val="14"/>
      </w:rPr>
    </w:lvl>
    <w:lvl w:ilvl="1" w:tplc="B9800C18">
      <w:numFmt w:val="bullet"/>
      <w:lvlText w:val="•"/>
      <w:lvlJc w:val="left"/>
      <w:pPr>
        <w:ind w:left="301" w:hanging="100"/>
      </w:pPr>
      <w:rPr>
        <w:rFonts w:hint="default"/>
      </w:rPr>
    </w:lvl>
    <w:lvl w:ilvl="2" w:tplc="6F8CB266">
      <w:numFmt w:val="bullet"/>
      <w:lvlText w:val="•"/>
      <w:lvlJc w:val="left"/>
      <w:pPr>
        <w:ind w:left="443" w:hanging="100"/>
      </w:pPr>
      <w:rPr>
        <w:rFonts w:hint="default"/>
      </w:rPr>
    </w:lvl>
    <w:lvl w:ilvl="3" w:tplc="A4D8898E">
      <w:numFmt w:val="bullet"/>
      <w:lvlText w:val="•"/>
      <w:lvlJc w:val="left"/>
      <w:pPr>
        <w:ind w:left="585" w:hanging="100"/>
      </w:pPr>
      <w:rPr>
        <w:rFonts w:hint="default"/>
      </w:rPr>
    </w:lvl>
    <w:lvl w:ilvl="4" w:tplc="83C23746">
      <w:numFmt w:val="bullet"/>
      <w:lvlText w:val="•"/>
      <w:lvlJc w:val="left"/>
      <w:pPr>
        <w:ind w:left="726" w:hanging="100"/>
      </w:pPr>
      <w:rPr>
        <w:rFonts w:hint="default"/>
      </w:rPr>
    </w:lvl>
    <w:lvl w:ilvl="5" w:tplc="F7681AA2">
      <w:numFmt w:val="bullet"/>
      <w:lvlText w:val="•"/>
      <w:lvlJc w:val="left"/>
      <w:pPr>
        <w:ind w:left="868" w:hanging="100"/>
      </w:pPr>
      <w:rPr>
        <w:rFonts w:hint="default"/>
      </w:rPr>
    </w:lvl>
    <w:lvl w:ilvl="6" w:tplc="41CA5032">
      <w:numFmt w:val="bullet"/>
      <w:lvlText w:val="•"/>
      <w:lvlJc w:val="left"/>
      <w:pPr>
        <w:ind w:left="1010" w:hanging="100"/>
      </w:pPr>
      <w:rPr>
        <w:rFonts w:hint="default"/>
      </w:rPr>
    </w:lvl>
    <w:lvl w:ilvl="7" w:tplc="1B0C082A">
      <w:numFmt w:val="bullet"/>
      <w:lvlText w:val="•"/>
      <w:lvlJc w:val="left"/>
      <w:pPr>
        <w:ind w:left="1151" w:hanging="100"/>
      </w:pPr>
      <w:rPr>
        <w:rFonts w:hint="default"/>
      </w:rPr>
    </w:lvl>
    <w:lvl w:ilvl="8" w:tplc="7E8E7116">
      <w:numFmt w:val="bullet"/>
      <w:lvlText w:val="•"/>
      <w:lvlJc w:val="left"/>
      <w:pPr>
        <w:ind w:left="1293" w:hanging="100"/>
      </w:pPr>
      <w:rPr>
        <w:rFonts w:hint="default"/>
      </w:rPr>
    </w:lvl>
  </w:abstractNum>
  <w:abstractNum w:abstractNumId="151" w15:restartNumberingAfterBreak="0">
    <w:nsid w:val="09971BA9"/>
    <w:multiLevelType w:val="hybridMultilevel"/>
    <w:tmpl w:val="C114B766"/>
    <w:lvl w:ilvl="0" w:tplc="338C0E4A">
      <w:numFmt w:val="bullet"/>
      <w:lvlText w:val=""/>
      <w:lvlJc w:val="left"/>
      <w:pPr>
        <w:ind w:left="156" w:hanging="100"/>
      </w:pPr>
      <w:rPr>
        <w:rFonts w:ascii="Symbol" w:eastAsia="Symbol" w:hAnsi="Symbol" w:cs="Symbol" w:hint="default"/>
        <w:color w:val="231F20"/>
        <w:w w:val="100"/>
        <w:sz w:val="14"/>
        <w:szCs w:val="14"/>
      </w:rPr>
    </w:lvl>
    <w:lvl w:ilvl="1" w:tplc="B068F542">
      <w:numFmt w:val="bullet"/>
      <w:lvlText w:val="•"/>
      <w:lvlJc w:val="left"/>
      <w:pPr>
        <w:ind w:left="426" w:hanging="100"/>
      </w:pPr>
      <w:rPr>
        <w:rFonts w:hint="default"/>
      </w:rPr>
    </w:lvl>
    <w:lvl w:ilvl="2" w:tplc="649C4102">
      <w:numFmt w:val="bullet"/>
      <w:lvlText w:val="•"/>
      <w:lvlJc w:val="left"/>
      <w:pPr>
        <w:ind w:left="692" w:hanging="100"/>
      </w:pPr>
      <w:rPr>
        <w:rFonts w:hint="default"/>
      </w:rPr>
    </w:lvl>
    <w:lvl w:ilvl="3" w:tplc="4E44E59A">
      <w:numFmt w:val="bullet"/>
      <w:lvlText w:val="•"/>
      <w:lvlJc w:val="left"/>
      <w:pPr>
        <w:ind w:left="959" w:hanging="100"/>
      </w:pPr>
      <w:rPr>
        <w:rFonts w:hint="default"/>
      </w:rPr>
    </w:lvl>
    <w:lvl w:ilvl="4" w:tplc="EE6AE486">
      <w:numFmt w:val="bullet"/>
      <w:lvlText w:val="•"/>
      <w:lvlJc w:val="left"/>
      <w:pPr>
        <w:ind w:left="1225" w:hanging="100"/>
      </w:pPr>
      <w:rPr>
        <w:rFonts w:hint="default"/>
      </w:rPr>
    </w:lvl>
    <w:lvl w:ilvl="5" w:tplc="A7829728">
      <w:numFmt w:val="bullet"/>
      <w:lvlText w:val="•"/>
      <w:lvlJc w:val="left"/>
      <w:pPr>
        <w:ind w:left="1492" w:hanging="100"/>
      </w:pPr>
      <w:rPr>
        <w:rFonts w:hint="default"/>
      </w:rPr>
    </w:lvl>
    <w:lvl w:ilvl="6" w:tplc="6786FA20">
      <w:numFmt w:val="bullet"/>
      <w:lvlText w:val="•"/>
      <w:lvlJc w:val="left"/>
      <w:pPr>
        <w:ind w:left="1758" w:hanging="100"/>
      </w:pPr>
      <w:rPr>
        <w:rFonts w:hint="default"/>
      </w:rPr>
    </w:lvl>
    <w:lvl w:ilvl="7" w:tplc="33DAC3D8">
      <w:numFmt w:val="bullet"/>
      <w:lvlText w:val="•"/>
      <w:lvlJc w:val="left"/>
      <w:pPr>
        <w:ind w:left="2024" w:hanging="100"/>
      </w:pPr>
      <w:rPr>
        <w:rFonts w:hint="default"/>
      </w:rPr>
    </w:lvl>
    <w:lvl w:ilvl="8" w:tplc="CDEA418E">
      <w:numFmt w:val="bullet"/>
      <w:lvlText w:val="•"/>
      <w:lvlJc w:val="left"/>
      <w:pPr>
        <w:ind w:left="2291" w:hanging="100"/>
      </w:pPr>
      <w:rPr>
        <w:rFonts w:hint="default"/>
      </w:rPr>
    </w:lvl>
  </w:abstractNum>
  <w:abstractNum w:abstractNumId="152" w15:restartNumberingAfterBreak="0">
    <w:nsid w:val="09997651"/>
    <w:multiLevelType w:val="hybridMultilevel"/>
    <w:tmpl w:val="80B2B9A8"/>
    <w:lvl w:ilvl="0" w:tplc="FF3092AC">
      <w:numFmt w:val="bullet"/>
      <w:lvlText w:val=""/>
      <w:lvlJc w:val="left"/>
      <w:pPr>
        <w:ind w:left="157" w:hanging="100"/>
      </w:pPr>
      <w:rPr>
        <w:rFonts w:ascii="Symbol" w:eastAsia="Symbol" w:hAnsi="Symbol" w:cs="Symbol" w:hint="default"/>
        <w:color w:val="231F20"/>
        <w:w w:val="100"/>
        <w:sz w:val="14"/>
        <w:szCs w:val="14"/>
      </w:rPr>
    </w:lvl>
    <w:lvl w:ilvl="1" w:tplc="7F1E32C6">
      <w:numFmt w:val="bullet"/>
      <w:lvlText w:val="•"/>
      <w:lvlJc w:val="left"/>
      <w:pPr>
        <w:ind w:left="426" w:hanging="100"/>
      </w:pPr>
      <w:rPr>
        <w:rFonts w:hint="default"/>
      </w:rPr>
    </w:lvl>
    <w:lvl w:ilvl="2" w:tplc="6568D428">
      <w:numFmt w:val="bullet"/>
      <w:lvlText w:val="•"/>
      <w:lvlJc w:val="left"/>
      <w:pPr>
        <w:ind w:left="692" w:hanging="100"/>
      </w:pPr>
      <w:rPr>
        <w:rFonts w:hint="default"/>
      </w:rPr>
    </w:lvl>
    <w:lvl w:ilvl="3" w:tplc="9988767C">
      <w:numFmt w:val="bullet"/>
      <w:lvlText w:val="•"/>
      <w:lvlJc w:val="left"/>
      <w:pPr>
        <w:ind w:left="959" w:hanging="100"/>
      </w:pPr>
      <w:rPr>
        <w:rFonts w:hint="default"/>
      </w:rPr>
    </w:lvl>
    <w:lvl w:ilvl="4" w:tplc="0394A186">
      <w:numFmt w:val="bullet"/>
      <w:lvlText w:val="•"/>
      <w:lvlJc w:val="left"/>
      <w:pPr>
        <w:ind w:left="1225" w:hanging="100"/>
      </w:pPr>
      <w:rPr>
        <w:rFonts w:hint="default"/>
      </w:rPr>
    </w:lvl>
    <w:lvl w:ilvl="5" w:tplc="08CCB414">
      <w:numFmt w:val="bullet"/>
      <w:lvlText w:val="•"/>
      <w:lvlJc w:val="left"/>
      <w:pPr>
        <w:ind w:left="1492" w:hanging="100"/>
      </w:pPr>
      <w:rPr>
        <w:rFonts w:hint="default"/>
      </w:rPr>
    </w:lvl>
    <w:lvl w:ilvl="6" w:tplc="F04086B8">
      <w:numFmt w:val="bullet"/>
      <w:lvlText w:val="•"/>
      <w:lvlJc w:val="left"/>
      <w:pPr>
        <w:ind w:left="1758" w:hanging="100"/>
      </w:pPr>
      <w:rPr>
        <w:rFonts w:hint="default"/>
      </w:rPr>
    </w:lvl>
    <w:lvl w:ilvl="7" w:tplc="B87033F0">
      <w:numFmt w:val="bullet"/>
      <w:lvlText w:val="•"/>
      <w:lvlJc w:val="left"/>
      <w:pPr>
        <w:ind w:left="2024" w:hanging="100"/>
      </w:pPr>
      <w:rPr>
        <w:rFonts w:hint="default"/>
      </w:rPr>
    </w:lvl>
    <w:lvl w:ilvl="8" w:tplc="C75CBEDE">
      <w:numFmt w:val="bullet"/>
      <w:lvlText w:val="•"/>
      <w:lvlJc w:val="left"/>
      <w:pPr>
        <w:ind w:left="2291" w:hanging="100"/>
      </w:pPr>
      <w:rPr>
        <w:rFonts w:hint="default"/>
      </w:rPr>
    </w:lvl>
  </w:abstractNum>
  <w:abstractNum w:abstractNumId="153" w15:restartNumberingAfterBreak="0">
    <w:nsid w:val="09B052A9"/>
    <w:multiLevelType w:val="hybridMultilevel"/>
    <w:tmpl w:val="C84EF8F8"/>
    <w:lvl w:ilvl="0" w:tplc="F90C00F2">
      <w:numFmt w:val="bullet"/>
      <w:lvlText w:val=""/>
      <w:lvlJc w:val="left"/>
      <w:pPr>
        <w:ind w:left="156" w:hanging="100"/>
      </w:pPr>
      <w:rPr>
        <w:rFonts w:ascii="Symbol" w:eastAsia="Symbol" w:hAnsi="Symbol" w:cs="Symbol" w:hint="default"/>
        <w:color w:val="231F20"/>
        <w:w w:val="100"/>
        <w:sz w:val="14"/>
        <w:szCs w:val="14"/>
      </w:rPr>
    </w:lvl>
    <w:lvl w:ilvl="1" w:tplc="7E2E29FC">
      <w:numFmt w:val="bullet"/>
      <w:lvlText w:val="•"/>
      <w:lvlJc w:val="left"/>
      <w:pPr>
        <w:ind w:left="301" w:hanging="100"/>
      </w:pPr>
      <w:rPr>
        <w:rFonts w:hint="default"/>
      </w:rPr>
    </w:lvl>
    <w:lvl w:ilvl="2" w:tplc="2C3A258E">
      <w:numFmt w:val="bullet"/>
      <w:lvlText w:val="•"/>
      <w:lvlJc w:val="left"/>
      <w:pPr>
        <w:ind w:left="443" w:hanging="100"/>
      </w:pPr>
      <w:rPr>
        <w:rFonts w:hint="default"/>
      </w:rPr>
    </w:lvl>
    <w:lvl w:ilvl="3" w:tplc="1D907BC6">
      <w:numFmt w:val="bullet"/>
      <w:lvlText w:val="•"/>
      <w:lvlJc w:val="left"/>
      <w:pPr>
        <w:ind w:left="585" w:hanging="100"/>
      </w:pPr>
      <w:rPr>
        <w:rFonts w:hint="default"/>
      </w:rPr>
    </w:lvl>
    <w:lvl w:ilvl="4" w:tplc="E6062D64">
      <w:numFmt w:val="bullet"/>
      <w:lvlText w:val="•"/>
      <w:lvlJc w:val="left"/>
      <w:pPr>
        <w:ind w:left="726" w:hanging="100"/>
      </w:pPr>
      <w:rPr>
        <w:rFonts w:hint="default"/>
      </w:rPr>
    </w:lvl>
    <w:lvl w:ilvl="5" w:tplc="C002919C">
      <w:numFmt w:val="bullet"/>
      <w:lvlText w:val="•"/>
      <w:lvlJc w:val="left"/>
      <w:pPr>
        <w:ind w:left="868" w:hanging="100"/>
      </w:pPr>
      <w:rPr>
        <w:rFonts w:hint="default"/>
      </w:rPr>
    </w:lvl>
    <w:lvl w:ilvl="6" w:tplc="75083258">
      <w:numFmt w:val="bullet"/>
      <w:lvlText w:val="•"/>
      <w:lvlJc w:val="left"/>
      <w:pPr>
        <w:ind w:left="1010" w:hanging="100"/>
      </w:pPr>
      <w:rPr>
        <w:rFonts w:hint="default"/>
      </w:rPr>
    </w:lvl>
    <w:lvl w:ilvl="7" w:tplc="E34EED40">
      <w:numFmt w:val="bullet"/>
      <w:lvlText w:val="•"/>
      <w:lvlJc w:val="left"/>
      <w:pPr>
        <w:ind w:left="1151" w:hanging="100"/>
      </w:pPr>
      <w:rPr>
        <w:rFonts w:hint="default"/>
      </w:rPr>
    </w:lvl>
    <w:lvl w:ilvl="8" w:tplc="76146A46">
      <w:numFmt w:val="bullet"/>
      <w:lvlText w:val="•"/>
      <w:lvlJc w:val="left"/>
      <w:pPr>
        <w:ind w:left="1293" w:hanging="100"/>
      </w:pPr>
      <w:rPr>
        <w:rFonts w:hint="default"/>
      </w:rPr>
    </w:lvl>
  </w:abstractNum>
  <w:abstractNum w:abstractNumId="154" w15:restartNumberingAfterBreak="0">
    <w:nsid w:val="09BD3BB0"/>
    <w:multiLevelType w:val="hybridMultilevel"/>
    <w:tmpl w:val="1E26FC78"/>
    <w:lvl w:ilvl="0" w:tplc="37BC91FA">
      <w:numFmt w:val="bullet"/>
      <w:lvlText w:val=""/>
      <w:lvlJc w:val="left"/>
      <w:pPr>
        <w:ind w:left="156" w:hanging="100"/>
      </w:pPr>
      <w:rPr>
        <w:rFonts w:ascii="Symbol" w:eastAsia="Symbol" w:hAnsi="Symbol" w:cs="Symbol" w:hint="default"/>
        <w:color w:val="231F20"/>
        <w:w w:val="100"/>
        <w:sz w:val="14"/>
        <w:szCs w:val="14"/>
      </w:rPr>
    </w:lvl>
    <w:lvl w:ilvl="1" w:tplc="A91AEAA6">
      <w:numFmt w:val="bullet"/>
      <w:lvlText w:val="•"/>
      <w:lvlJc w:val="left"/>
      <w:pPr>
        <w:ind w:left="301" w:hanging="100"/>
      </w:pPr>
      <w:rPr>
        <w:rFonts w:hint="default"/>
      </w:rPr>
    </w:lvl>
    <w:lvl w:ilvl="2" w:tplc="82EC0566">
      <w:numFmt w:val="bullet"/>
      <w:lvlText w:val="•"/>
      <w:lvlJc w:val="left"/>
      <w:pPr>
        <w:ind w:left="443" w:hanging="100"/>
      </w:pPr>
      <w:rPr>
        <w:rFonts w:hint="default"/>
      </w:rPr>
    </w:lvl>
    <w:lvl w:ilvl="3" w:tplc="9E3AC636">
      <w:numFmt w:val="bullet"/>
      <w:lvlText w:val="•"/>
      <w:lvlJc w:val="left"/>
      <w:pPr>
        <w:ind w:left="585" w:hanging="100"/>
      </w:pPr>
      <w:rPr>
        <w:rFonts w:hint="default"/>
      </w:rPr>
    </w:lvl>
    <w:lvl w:ilvl="4" w:tplc="B9D21E80">
      <w:numFmt w:val="bullet"/>
      <w:lvlText w:val="•"/>
      <w:lvlJc w:val="left"/>
      <w:pPr>
        <w:ind w:left="726" w:hanging="100"/>
      </w:pPr>
      <w:rPr>
        <w:rFonts w:hint="default"/>
      </w:rPr>
    </w:lvl>
    <w:lvl w:ilvl="5" w:tplc="96C2F7FC">
      <w:numFmt w:val="bullet"/>
      <w:lvlText w:val="•"/>
      <w:lvlJc w:val="left"/>
      <w:pPr>
        <w:ind w:left="868" w:hanging="100"/>
      </w:pPr>
      <w:rPr>
        <w:rFonts w:hint="default"/>
      </w:rPr>
    </w:lvl>
    <w:lvl w:ilvl="6" w:tplc="1478A6A2">
      <w:numFmt w:val="bullet"/>
      <w:lvlText w:val="•"/>
      <w:lvlJc w:val="left"/>
      <w:pPr>
        <w:ind w:left="1010" w:hanging="100"/>
      </w:pPr>
      <w:rPr>
        <w:rFonts w:hint="default"/>
      </w:rPr>
    </w:lvl>
    <w:lvl w:ilvl="7" w:tplc="FF16AF96">
      <w:numFmt w:val="bullet"/>
      <w:lvlText w:val="•"/>
      <w:lvlJc w:val="left"/>
      <w:pPr>
        <w:ind w:left="1151" w:hanging="100"/>
      </w:pPr>
      <w:rPr>
        <w:rFonts w:hint="default"/>
      </w:rPr>
    </w:lvl>
    <w:lvl w:ilvl="8" w:tplc="BAEEBC2C">
      <w:numFmt w:val="bullet"/>
      <w:lvlText w:val="•"/>
      <w:lvlJc w:val="left"/>
      <w:pPr>
        <w:ind w:left="1293" w:hanging="100"/>
      </w:pPr>
      <w:rPr>
        <w:rFonts w:hint="default"/>
      </w:rPr>
    </w:lvl>
  </w:abstractNum>
  <w:abstractNum w:abstractNumId="155" w15:restartNumberingAfterBreak="0">
    <w:nsid w:val="09BF185F"/>
    <w:multiLevelType w:val="hybridMultilevel"/>
    <w:tmpl w:val="59D0FAE6"/>
    <w:lvl w:ilvl="0" w:tplc="D7F43A9C">
      <w:numFmt w:val="bullet"/>
      <w:lvlText w:val=""/>
      <w:lvlJc w:val="left"/>
      <w:pPr>
        <w:ind w:left="157" w:hanging="100"/>
      </w:pPr>
      <w:rPr>
        <w:rFonts w:ascii="Symbol" w:eastAsia="Symbol" w:hAnsi="Symbol" w:cs="Symbol" w:hint="default"/>
        <w:color w:val="231F20"/>
        <w:w w:val="100"/>
        <w:sz w:val="14"/>
        <w:szCs w:val="14"/>
      </w:rPr>
    </w:lvl>
    <w:lvl w:ilvl="1" w:tplc="EEF4C9B6">
      <w:numFmt w:val="bullet"/>
      <w:lvlText w:val="•"/>
      <w:lvlJc w:val="left"/>
      <w:pPr>
        <w:ind w:left="398" w:hanging="100"/>
      </w:pPr>
      <w:rPr>
        <w:rFonts w:hint="default"/>
      </w:rPr>
    </w:lvl>
    <w:lvl w:ilvl="2" w:tplc="E6EA4F2E">
      <w:numFmt w:val="bullet"/>
      <w:lvlText w:val="•"/>
      <w:lvlJc w:val="left"/>
      <w:pPr>
        <w:ind w:left="636" w:hanging="100"/>
      </w:pPr>
      <w:rPr>
        <w:rFonts w:hint="default"/>
      </w:rPr>
    </w:lvl>
    <w:lvl w:ilvl="3" w:tplc="FABEF818">
      <w:numFmt w:val="bullet"/>
      <w:lvlText w:val="•"/>
      <w:lvlJc w:val="left"/>
      <w:pPr>
        <w:ind w:left="874" w:hanging="100"/>
      </w:pPr>
      <w:rPr>
        <w:rFonts w:hint="default"/>
      </w:rPr>
    </w:lvl>
    <w:lvl w:ilvl="4" w:tplc="45C064C8">
      <w:numFmt w:val="bullet"/>
      <w:lvlText w:val="•"/>
      <w:lvlJc w:val="left"/>
      <w:pPr>
        <w:ind w:left="1112" w:hanging="100"/>
      </w:pPr>
      <w:rPr>
        <w:rFonts w:hint="default"/>
      </w:rPr>
    </w:lvl>
    <w:lvl w:ilvl="5" w:tplc="D488F740">
      <w:numFmt w:val="bullet"/>
      <w:lvlText w:val="•"/>
      <w:lvlJc w:val="left"/>
      <w:pPr>
        <w:ind w:left="1350" w:hanging="100"/>
      </w:pPr>
      <w:rPr>
        <w:rFonts w:hint="default"/>
      </w:rPr>
    </w:lvl>
    <w:lvl w:ilvl="6" w:tplc="0950A618">
      <w:numFmt w:val="bullet"/>
      <w:lvlText w:val="•"/>
      <w:lvlJc w:val="left"/>
      <w:pPr>
        <w:ind w:left="1588" w:hanging="100"/>
      </w:pPr>
      <w:rPr>
        <w:rFonts w:hint="default"/>
      </w:rPr>
    </w:lvl>
    <w:lvl w:ilvl="7" w:tplc="8C0C29F8">
      <w:numFmt w:val="bullet"/>
      <w:lvlText w:val="•"/>
      <w:lvlJc w:val="left"/>
      <w:pPr>
        <w:ind w:left="1826" w:hanging="100"/>
      </w:pPr>
      <w:rPr>
        <w:rFonts w:hint="default"/>
      </w:rPr>
    </w:lvl>
    <w:lvl w:ilvl="8" w:tplc="6EECBDF4">
      <w:numFmt w:val="bullet"/>
      <w:lvlText w:val="•"/>
      <w:lvlJc w:val="left"/>
      <w:pPr>
        <w:ind w:left="2064" w:hanging="100"/>
      </w:pPr>
      <w:rPr>
        <w:rFonts w:hint="default"/>
      </w:rPr>
    </w:lvl>
  </w:abstractNum>
  <w:abstractNum w:abstractNumId="156" w15:restartNumberingAfterBreak="0">
    <w:nsid w:val="09C21AE9"/>
    <w:multiLevelType w:val="hybridMultilevel"/>
    <w:tmpl w:val="17A21A8A"/>
    <w:lvl w:ilvl="0" w:tplc="872E7A7A">
      <w:numFmt w:val="bullet"/>
      <w:lvlText w:val=""/>
      <w:lvlJc w:val="left"/>
      <w:pPr>
        <w:ind w:left="157" w:hanging="100"/>
      </w:pPr>
      <w:rPr>
        <w:rFonts w:ascii="Symbol" w:eastAsia="Symbol" w:hAnsi="Symbol" w:cs="Symbol" w:hint="default"/>
        <w:color w:val="231F20"/>
        <w:w w:val="100"/>
        <w:sz w:val="14"/>
        <w:szCs w:val="14"/>
      </w:rPr>
    </w:lvl>
    <w:lvl w:ilvl="1" w:tplc="2E364820">
      <w:numFmt w:val="bullet"/>
      <w:lvlText w:val="•"/>
      <w:lvlJc w:val="left"/>
      <w:pPr>
        <w:ind w:left="426" w:hanging="100"/>
      </w:pPr>
      <w:rPr>
        <w:rFonts w:hint="default"/>
      </w:rPr>
    </w:lvl>
    <w:lvl w:ilvl="2" w:tplc="800CB0F2">
      <w:numFmt w:val="bullet"/>
      <w:lvlText w:val="•"/>
      <w:lvlJc w:val="left"/>
      <w:pPr>
        <w:ind w:left="692" w:hanging="100"/>
      </w:pPr>
      <w:rPr>
        <w:rFonts w:hint="default"/>
      </w:rPr>
    </w:lvl>
    <w:lvl w:ilvl="3" w:tplc="D6F03744">
      <w:numFmt w:val="bullet"/>
      <w:lvlText w:val="•"/>
      <w:lvlJc w:val="left"/>
      <w:pPr>
        <w:ind w:left="959" w:hanging="100"/>
      </w:pPr>
      <w:rPr>
        <w:rFonts w:hint="default"/>
      </w:rPr>
    </w:lvl>
    <w:lvl w:ilvl="4" w:tplc="BE02FAB4">
      <w:numFmt w:val="bullet"/>
      <w:lvlText w:val="•"/>
      <w:lvlJc w:val="left"/>
      <w:pPr>
        <w:ind w:left="1225" w:hanging="100"/>
      </w:pPr>
      <w:rPr>
        <w:rFonts w:hint="default"/>
      </w:rPr>
    </w:lvl>
    <w:lvl w:ilvl="5" w:tplc="7C927866">
      <w:numFmt w:val="bullet"/>
      <w:lvlText w:val="•"/>
      <w:lvlJc w:val="left"/>
      <w:pPr>
        <w:ind w:left="1492" w:hanging="100"/>
      </w:pPr>
      <w:rPr>
        <w:rFonts w:hint="default"/>
      </w:rPr>
    </w:lvl>
    <w:lvl w:ilvl="6" w:tplc="59826C9C">
      <w:numFmt w:val="bullet"/>
      <w:lvlText w:val="•"/>
      <w:lvlJc w:val="left"/>
      <w:pPr>
        <w:ind w:left="1758" w:hanging="100"/>
      </w:pPr>
      <w:rPr>
        <w:rFonts w:hint="default"/>
      </w:rPr>
    </w:lvl>
    <w:lvl w:ilvl="7" w:tplc="23FE3B22">
      <w:numFmt w:val="bullet"/>
      <w:lvlText w:val="•"/>
      <w:lvlJc w:val="left"/>
      <w:pPr>
        <w:ind w:left="2024" w:hanging="100"/>
      </w:pPr>
      <w:rPr>
        <w:rFonts w:hint="default"/>
      </w:rPr>
    </w:lvl>
    <w:lvl w:ilvl="8" w:tplc="15C68D3C">
      <w:numFmt w:val="bullet"/>
      <w:lvlText w:val="•"/>
      <w:lvlJc w:val="left"/>
      <w:pPr>
        <w:ind w:left="2291" w:hanging="100"/>
      </w:pPr>
      <w:rPr>
        <w:rFonts w:hint="default"/>
      </w:rPr>
    </w:lvl>
  </w:abstractNum>
  <w:abstractNum w:abstractNumId="157" w15:restartNumberingAfterBreak="0">
    <w:nsid w:val="09CA2F72"/>
    <w:multiLevelType w:val="hybridMultilevel"/>
    <w:tmpl w:val="C0AAEE7A"/>
    <w:lvl w:ilvl="0" w:tplc="488C9866">
      <w:numFmt w:val="bullet"/>
      <w:lvlText w:val=""/>
      <w:lvlJc w:val="left"/>
      <w:pPr>
        <w:ind w:left="156" w:hanging="100"/>
      </w:pPr>
      <w:rPr>
        <w:rFonts w:ascii="Symbol" w:eastAsia="Symbol" w:hAnsi="Symbol" w:cs="Symbol" w:hint="default"/>
        <w:color w:val="231F20"/>
        <w:w w:val="100"/>
        <w:sz w:val="14"/>
        <w:szCs w:val="14"/>
      </w:rPr>
    </w:lvl>
    <w:lvl w:ilvl="1" w:tplc="F40CFF86">
      <w:numFmt w:val="bullet"/>
      <w:lvlText w:val="•"/>
      <w:lvlJc w:val="left"/>
      <w:pPr>
        <w:ind w:left="426" w:hanging="100"/>
      </w:pPr>
      <w:rPr>
        <w:rFonts w:hint="default"/>
      </w:rPr>
    </w:lvl>
    <w:lvl w:ilvl="2" w:tplc="79ECCB1C">
      <w:numFmt w:val="bullet"/>
      <w:lvlText w:val="•"/>
      <w:lvlJc w:val="left"/>
      <w:pPr>
        <w:ind w:left="692" w:hanging="100"/>
      </w:pPr>
      <w:rPr>
        <w:rFonts w:hint="default"/>
      </w:rPr>
    </w:lvl>
    <w:lvl w:ilvl="3" w:tplc="97E83246">
      <w:numFmt w:val="bullet"/>
      <w:lvlText w:val="•"/>
      <w:lvlJc w:val="left"/>
      <w:pPr>
        <w:ind w:left="959" w:hanging="100"/>
      </w:pPr>
      <w:rPr>
        <w:rFonts w:hint="default"/>
      </w:rPr>
    </w:lvl>
    <w:lvl w:ilvl="4" w:tplc="EEB08A0C">
      <w:numFmt w:val="bullet"/>
      <w:lvlText w:val="•"/>
      <w:lvlJc w:val="left"/>
      <w:pPr>
        <w:ind w:left="1225" w:hanging="100"/>
      </w:pPr>
      <w:rPr>
        <w:rFonts w:hint="default"/>
      </w:rPr>
    </w:lvl>
    <w:lvl w:ilvl="5" w:tplc="53D47FA4">
      <w:numFmt w:val="bullet"/>
      <w:lvlText w:val="•"/>
      <w:lvlJc w:val="left"/>
      <w:pPr>
        <w:ind w:left="1492" w:hanging="100"/>
      </w:pPr>
      <w:rPr>
        <w:rFonts w:hint="default"/>
      </w:rPr>
    </w:lvl>
    <w:lvl w:ilvl="6" w:tplc="16D4049C">
      <w:numFmt w:val="bullet"/>
      <w:lvlText w:val="•"/>
      <w:lvlJc w:val="left"/>
      <w:pPr>
        <w:ind w:left="1758" w:hanging="100"/>
      </w:pPr>
      <w:rPr>
        <w:rFonts w:hint="default"/>
      </w:rPr>
    </w:lvl>
    <w:lvl w:ilvl="7" w:tplc="132E3094">
      <w:numFmt w:val="bullet"/>
      <w:lvlText w:val="•"/>
      <w:lvlJc w:val="left"/>
      <w:pPr>
        <w:ind w:left="2024" w:hanging="100"/>
      </w:pPr>
      <w:rPr>
        <w:rFonts w:hint="default"/>
      </w:rPr>
    </w:lvl>
    <w:lvl w:ilvl="8" w:tplc="04F46DCA">
      <w:numFmt w:val="bullet"/>
      <w:lvlText w:val="•"/>
      <w:lvlJc w:val="left"/>
      <w:pPr>
        <w:ind w:left="2291" w:hanging="100"/>
      </w:pPr>
      <w:rPr>
        <w:rFonts w:hint="default"/>
      </w:rPr>
    </w:lvl>
  </w:abstractNum>
  <w:abstractNum w:abstractNumId="158" w15:restartNumberingAfterBreak="0">
    <w:nsid w:val="09CD3D7E"/>
    <w:multiLevelType w:val="hybridMultilevel"/>
    <w:tmpl w:val="AA5C377A"/>
    <w:lvl w:ilvl="0" w:tplc="B08434B8">
      <w:numFmt w:val="bullet"/>
      <w:lvlText w:val=""/>
      <w:lvlJc w:val="left"/>
      <w:pPr>
        <w:ind w:left="156" w:hanging="100"/>
      </w:pPr>
      <w:rPr>
        <w:rFonts w:ascii="Symbol" w:eastAsia="Symbol" w:hAnsi="Symbol" w:cs="Symbol" w:hint="default"/>
        <w:color w:val="231F20"/>
        <w:w w:val="100"/>
        <w:sz w:val="14"/>
        <w:szCs w:val="14"/>
      </w:rPr>
    </w:lvl>
    <w:lvl w:ilvl="1" w:tplc="FDD0C0E0">
      <w:numFmt w:val="bullet"/>
      <w:lvlText w:val="•"/>
      <w:lvlJc w:val="left"/>
      <w:pPr>
        <w:ind w:left="273" w:hanging="100"/>
      </w:pPr>
      <w:rPr>
        <w:rFonts w:hint="default"/>
      </w:rPr>
    </w:lvl>
    <w:lvl w:ilvl="2" w:tplc="080E7564">
      <w:numFmt w:val="bullet"/>
      <w:lvlText w:val="•"/>
      <w:lvlJc w:val="left"/>
      <w:pPr>
        <w:ind w:left="386" w:hanging="100"/>
      </w:pPr>
      <w:rPr>
        <w:rFonts w:hint="default"/>
      </w:rPr>
    </w:lvl>
    <w:lvl w:ilvl="3" w:tplc="EF762C04">
      <w:numFmt w:val="bullet"/>
      <w:lvlText w:val="•"/>
      <w:lvlJc w:val="left"/>
      <w:pPr>
        <w:ind w:left="500" w:hanging="100"/>
      </w:pPr>
      <w:rPr>
        <w:rFonts w:hint="default"/>
      </w:rPr>
    </w:lvl>
    <w:lvl w:ilvl="4" w:tplc="DB38ABEE">
      <w:numFmt w:val="bullet"/>
      <w:lvlText w:val="•"/>
      <w:lvlJc w:val="left"/>
      <w:pPr>
        <w:ind w:left="613" w:hanging="100"/>
      </w:pPr>
      <w:rPr>
        <w:rFonts w:hint="default"/>
      </w:rPr>
    </w:lvl>
    <w:lvl w:ilvl="5" w:tplc="770095C2">
      <w:numFmt w:val="bullet"/>
      <w:lvlText w:val="•"/>
      <w:lvlJc w:val="left"/>
      <w:pPr>
        <w:ind w:left="727" w:hanging="100"/>
      </w:pPr>
      <w:rPr>
        <w:rFonts w:hint="default"/>
      </w:rPr>
    </w:lvl>
    <w:lvl w:ilvl="6" w:tplc="A4C83896">
      <w:numFmt w:val="bullet"/>
      <w:lvlText w:val="•"/>
      <w:lvlJc w:val="left"/>
      <w:pPr>
        <w:ind w:left="840" w:hanging="100"/>
      </w:pPr>
      <w:rPr>
        <w:rFonts w:hint="default"/>
      </w:rPr>
    </w:lvl>
    <w:lvl w:ilvl="7" w:tplc="5E7E6B74">
      <w:numFmt w:val="bullet"/>
      <w:lvlText w:val="•"/>
      <w:lvlJc w:val="left"/>
      <w:pPr>
        <w:ind w:left="953" w:hanging="100"/>
      </w:pPr>
      <w:rPr>
        <w:rFonts w:hint="default"/>
      </w:rPr>
    </w:lvl>
    <w:lvl w:ilvl="8" w:tplc="B23C2718">
      <w:numFmt w:val="bullet"/>
      <w:lvlText w:val="•"/>
      <w:lvlJc w:val="left"/>
      <w:pPr>
        <w:ind w:left="1067" w:hanging="100"/>
      </w:pPr>
      <w:rPr>
        <w:rFonts w:hint="default"/>
      </w:rPr>
    </w:lvl>
  </w:abstractNum>
  <w:abstractNum w:abstractNumId="159" w15:restartNumberingAfterBreak="0">
    <w:nsid w:val="09D0341C"/>
    <w:multiLevelType w:val="hybridMultilevel"/>
    <w:tmpl w:val="A566D6D0"/>
    <w:lvl w:ilvl="0" w:tplc="815E8630">
      <w:numFmt w:val="bullet"/>
      <w:lvlText w:val=""/>
      <w:lvlJc w:val="left"/>
      <w:pPr>
        <w:ind w:left="156" w:hanging="100"/>
      </w:pPr>
      <w:rPr>
        <w:rFonts w:ascii="Symbol" w:eastAsia="Symbol" w:hAnsi="Symbol" w:cs="Symbol" w:hint="default"/>
        <w:color w:val="231F20"/>
        <w:w w:val="100"/>
        <w:sz w:val="14"/>
        <w:szCs w:val="14"/>
      </w:rPr>
    </w:lvl>
    <w:lvl w:ilvl="1" w:tplc="4D287450">
      <w:numFmt w:val="bullet"/>
      <w:lvlText w:val="•"/>
      <w:lvlJc w:val="left"/>
      <w:pPr>
        <w:ind w:left="398" w:hanging="100"/>
      </w:pPr>
      <w:rPr>
        <w:rFonts w:hint="default"/>
      </w:rPr>
    </w:lvl>
    <w:lvl w:ilvl="2" w:tplc="B9E880D8">
      <w:numFmt w:val="bullet"/>
      <w:lvlText w:val="•"/>
      <w:lvlJc w:val="left"/>
      <w:pPr>
        <w:ind w:left="636" w:hanging="100"/>
      </w:pPr>
      <w:rPr>
        <w:rFonts w:hint="default"/>
      </w:rPr>
    </w:lvl>
    <w:lvl w:ilvl="3" w:tplc="7856F790">
      <w:numFmt w:val="bullet"/>
      <w:lvlText w:val="•"/>
      <w:lvlJc w:val="left"/>
      <w:pPr>
        <w:ind w:left="874" w:hanging="100"/>
      </w:pPr>
      <w:rPr>
        <w:rFonts w:hint="default"/>
      </w:rPr>
    </w:lvl>
    <w:lvl w:ilvl="4" w:tplc="E150670A">
      <w:numFmt w:val="bullet"/>
      <w:lvlText w:val="•"/>
      <w:lvlJc w:val="left"/>
      <w:pPr>
        <w:ind w:left="1112" w:hanging="100"/>
      </w:pPr>
      <w:rPr>
        <w:rFonts w:hint="default"/>
      </w:rPr>
    </w:lvl>
    <w:lvl w:ilvl="5" w:tplc="68227748">
      <w:numFmt w:val="bullet"/>
      <w:lvlText w:val="•"/>
      <w:lvlJc w:val="left"/>
      <w:pPr>
        <w:ind w:left="1350" w:hanging="100"/>
      </w:pPr>
      <w:rPr>
        <w:rFonts w:hint="default"/>
      </w:rPr>
    </w:lvl>
    <w:lvl w:ilvl="6" w:tplc="8CD66A2C">
      <w:numFmt w:val="bullet"/>
      <w:lvlText w:val="•"/>
      <w:lvlJc w:val="left"/>
      <w:pPr>
        <w:ind w:left="1588" w:hanging="100"/>
      </w:pPr>
      <w:rPr>
        <w:rFonts w:hint="default"/>
      </w:rPr>
    </w:lvl>
    <w:lvl w:ilvl="7" w:tplc="71A8D59A">
      <w:numFmt w:val="bullet"/>
      <w:lvlText w:val="•"/>
      <w:lvlJc w:val="left"/>
      <w:pPr>
        <w:ind w:left="1826" w:hanging="100"/>
      </w:pPr>
      <w:rPr>
        <w:rFonts w:hint="default"/>
      </w:rPr>
    </w:lvl>
    <w:lvl w:ilvl="8" w:tplc="2FA2DED0">
      <w:numFmt w:val="bullet"/>
      <w:lvlText w:val="•"/>
      <w:lvlJc w:val="left"/>
      <w:pPr>
        <w:ind w:left="2064" w:hanging="100"/>
      </w:pPr>
      <w:rPr>
        <w:rFonts w:hint="default"/>
      </w:rPr>
    </w:lvl>
  </w:abstractNum>
  <w:abstractNum w:abstractNumId="160" w15:restartNumberingAfterBreak="0">
    <w:nsid w:val="09D97F13"/>
    <w:multiLevelType w:val="hybridMultilevel"/>
    <w:tmpl w:val="9D3451C2"/>
    <w:lvl w:ilvl="0" w:tplc="13202372">
      <w:numFmt w:val="bullet"/>
      <w:lvlText w:val=""/>
      <w:lvlJc w:val="left"/>
      <w:pPr>
        <w:ind w:left="156" w:hanging="100"/>
      </w:pPr>
      <w:rPr>
        <w:rFonts w:ascii="Symbol" w:eastAsia="Symbol" w:hAnsi="Symbol" w:cs="Symbol" w:hint="default"/>
        <w:color w:val="231F20"/>
        <w:w w:val="100"/>
        <w:sz w:val="14"/>
        <w:szCs w:val="14"/>
      </w:rPr>
    </w:lvl>
    <w:lvl w:ilvl="1" w:tplc="56D24380">
      <w:numFmt w:val="bullet"/>
      <w:lvlText w:val="•"/>
      <w:lvlJc w:val="left"/>
      <w:pPr>
        <w:ind w:left="273" w:hanging="100"/>
      </w:pPr>
      <w:rPr>
        <w:rFonts w:hint="default"/>
      </w:rPr>
    </w:lvl>
    <w:lvl w:ilvl="2" w:tplc="0D223BB2">
      <w:numFmt w:val="bullet"/>
      <w:lvlText w:val="•"/>
      <w:lvlJc w:val="left"/>
      <w:pPr>
        <w:ind w:left="386" w:hanging="100"/>
      </w:pPr>
      <w:rPr>
        <w:rFonts w:hint="default"/>
      </w:rPr>
    </w:lvl>
    <w:lvl w:ilvl="3" w:tplc="6ABC2356">
      <w:numFmt w:val="bullet"/>
      <w:lvlText w:val="•"/>
      <w:lvlJc w:val="left"/>
      <w:pPr>
        <w:ind w:left="500" w:hanging="100"/>
      </w:pPr>
      <w:rPr>
        <w:rFonts w:hint="default"/>
      </w:rPr>
    </w:lvl>
    <w:lvl w:ilvl="4" w:tplc="2034C35C">
      <w:numFmt w:val="bullet"/>
      <w:lvlText w:val="•"/>
      <w:lvlJc w:val="left"/>
      <w:pPr>
        <w:ind w:left="613" w:hanging="100"/>
      </w:pPr>
      <w:rPr>
        <w:rFonts w:hint="default"/>
      </w:rPr>
    </w:lvl>
    <w:lvl w:ilvl="5" w:tplc="508A516A">
      <w:numFmt w:val="bullet"/>
      <w:lvlText w:val="•"/>
      <w:lvlJc w:val="left"/>
      <w:pPr>
        <w:ind w:left="727" w:hanging="100"/>
      </w:pPr>
      <w:rPr>
        <w:rFonts w:hint="default"/>
      </w:rPr>
    </w:lvl>
    <w:lvl w:ilvl="6" w:tplc="AF8E81B2">
      <w:numFmt w:val="bullet"/>
      <w:lvlText w:val="•"/>
      <w:lvlJc w:val="left"/>
      <w:pPr>
        <w:ind w:left="840" w:hanging="100"/>
      </w:pPr>
      <w:rPr>
        <w:rFonts w:hint="default"/>
      </w:rPr>
    </w:lvl>
    <w:lvl w:ilvl="7" w:tplc="EC02B934">
      <w:numFmt w:val="bullet"/>
      <w:lvlText w:val="•"/>
      <w:lvlJc w:val="left"/>
      <w:pPr>
        <w:ind w:left="953" w:hanging="100"/>
      </w:pPr>
      <w:rPr>
        <w:rFonts w:hint="default"/>
      </w:rPr>
    </w:lvl>
    <w:lvl w:ilvl="8" w:tplc="B65EB5C8">
      <w:numFmt w:val="bullet"/>
      <w:lvlText w:val="•"/>
      <w:lvlJc w:val="left"/>
      <w:pPr>
        <w:ind w:left="1067" w:hanging="100"/>
      </w:pPr>
      <w:rPr>
        <w:rFonts w:hint="default"/>
      </w:rPr>
    </w:lvl>
  </w:abstractNum>
  <w:abstractNum w:abstractNumId="161" w15:restartNumberingAfterBreak="0">
    <w:nsid w:val="09DC70D0"/>
    <w:multiLevelType w:val="hybridMultilevel"/>
    <w:tmpl w:val="673AB326"/>
    <w:lvl w:ilvl="0" w:tplc="35069740">
      <w:numFmt w:val="bullet"/>
      <w:lvlText w:val=""/>
      <w:lvlJc w:val="left"/>
      <w:pPr>
        <w:ind w:left="156" w:hanging="100"/>
      </w:pPr>
      <w:rPr>
        <w:rFonts w:ascii="Symbol" w:eastAsia="Symbol" w:hAnsi="Symbol" w:cs="Symbol" w:hint="default"/>
        <w:color w:val="231F20"/>
        <w:w w:val="100"/>
        <w:sz w:val="14"/>
        <w:szCs w:val="14"/>
      </w:rPr>
    </w:lvl>
    <w:lvl w:ilvl="1" w:tplc="D85CBC60">
      <w:numFmt w:val="bullet"/>
      <w:lvlText w:val="•"/>
      <w:lvlJc w:val="left"/>
      <w:pPr>
        <w:ind w:left="398" w:hanging="100"/>
      </w:pPr>
      <w:rPr>
        <w:rFonts w:hint="default"/>
      </w:rPr>
    </w:lvl>
    <w:lvl w:ilvl="2" w:tplc="67382AC6">
      <w:numFmt w:val="bullet"/>
      <w:lvlText w:val="•"/>
      <w:lvlJc w:val="left"/>
      <w:pPr>
        <w:ind w:left="636" w:hanging="100"/>
      </w:pPr>
      <w:rPr>
        <w:rFonts w:hint="default"/>
      </w:rPr>
    </w:lvl>
    <w:lvl w:ilvl="3" w:tplc="33C69560">
      <w:numFmt w:val="bullet"/>
      <w:lvlText w:val="•"/>
      <w:lvlJc w:val="left"/>
      <w:pPr>
        <w:ind w:left="874" w:hanging="100"/>
      </w:pPr>
      <w:rPr>
        <w:rFonts w:hint="default"/>
      </w:rPr>
    </w:lvl>
    <w:lvl w:ilvl="4" w:tplc="05861EC6">
      <w:numFmt w:val="bullet"/>
      <w:lvlText w:val="•"/>
      <w:lvlJc w:val="left"/>
      <w:pPr>
        <w:ind w:left="1112" w:hanging="100"/>
      </w:pPr>
      <w:rPr>
        <w:rFonts w:hint="default"/>
      </w:rPr>
    </w:lvl>
    <w:lvl w:ilvl="5" w:tplc="D522F37C">
      <w:numFmt w:val="bullet"/>
      <w:lvlText w:val="•"/>
      <w:lvlJc w:val="left"/>
      <w:pPr>
        <w:ind w:left="1350" w:hanging="100"/>
      </w:pPr>
      <w:rPr>
        <w:rFonts w:hint="default"/>
      </w:rPr>
    </w:lvl>
    <w:lvl w:ilvl="6" w:tplc="7FB4AD18">
      <w:numFmt w:val="bullet"/>
      <w:lvlText w:val="•"/>
      <w:lvlJc w:val="left"/>
      <w:pPr>
        <w:ind w:left="1588" w:hanging="100"/>
      </w:pPr>
      <w:rPr>
        <w:rFonts w:hint="default"/>
      </w:rPr>
    </w:lvl>
    <w:lvl w:ilvl="7" w:tplc="201A0B48">
      <w:numFmt w:val="bullet"/>
      <w:lvlText w:val="•"/>
      <w:lvlJc w:val="left"/>
      <w:pPr>
        <w:ind w:left="1826" w:hanging="100"/>
      </w:pPr>
      <w:rPr>
        <w:rFonts w:hint="default"/>
      </w:rPr>
    </w:lvl>
    <w:lvl w:ilvl="8" w:tplc="272C1C20">
      <w:numFmt w:val="bullet"/>
      <w:lvlText w:val="•"/>
      <w:lvlJc w:val="left"/>
      <w:pPr>
        <w:ind w:left="2064" w:hanging="100"/>
      </w:pPr>
      <w:rPr>
        <w:rFonts w:hint="default"/>
      </w:rPr>
    </w:lvl>
  </w:abstractNum>
  <w:abstractNum w:abstractNumId="162" w15:restartNumberingAfterBreak="0">
    <w:nsid w:val="09E24F97"/>
    <w:multiLevelType w:val="hybridMultilevel"/>
    <w:tmpl w:val="2E4A1CA2"/>
    <w:lvl w:ilvl="0" w:tplc="FA1EF7B6">
      <w:numFmt w:val="bullet"/>
      <w:lvlText w:val=""/>
      <w:lvlJc w:val="left"/>
      <w:pPr>
        <w:ind w:left="156" w:hanging="100"/>
      </w:pPr>
      <w:rPr>
        <w:rFonts w:ascii="Symbol" w:eastAsia="Symbol" w:hAnsi="Symbol" w:cs="Symbol" w:hint="default"/>
        <w:color w:val="231F20"/>
        <w:w w:val="100"/>
        <w:sz w:val="14"/>
        <w:szCs w:val="14"/>
      </w:rPr>
    </w:lvl>
    <w:lvl w:ilvl="1" w:tplc="CDBAE83E">
      <w:numFmt w:val="bullet"/>
      <w:lvlText w:val="•"/>
      <w:lvlJc w:val="left"/>
      <w:pPr>
        <w:ind w:left="398" w:hanging="100"/>
      </w:pPr>
      <w:rPr>
        <w:rFonts w:hint="default"/>
      </w:rPr>
    </w:lvl>
    <w:lvl w:ilvl="2" w:tplc="2C3C49A8">
      <w:numFmt w:val="bullet"/>
      <w:lvlText w:val="•"/>
      <w:lvlJc w:val="left"/>
      <w:pPr>
        <w:ind w:left="636" w:hanging="100"/>
      </w:pPr>
      <w:rPr>
        <w:rFonts w:hint="default"/>
      </w:rPr>
    </w:lvl>
    <w:lvl w:ilvl="3" w:tplc="1F44E490">
      <w:numFmt w:val="bullet"/>
      <w:lvlText w:val="•"/>
      <w:lvlJc w:val="left"/>
      <w:pPr>
        <w:ind w:left="874" w:hanging="100"/>
      </w:pPr>
      <w:rPr>
        <w:rFonts w:hint="default"/>
      </w:rPr>
    </w:lvl>
    <w:lvl w:ilvl="4" w:tplc="16A29D4A">
      <w:numFmt w:val="bullet"/>
      <w:lvlText w:val="•"/>
      <w:lvlJc w:val="left"/>
      <w:pPr>
        <w:ind w:left="1112" w:hanging="100"/>
      </w:pPr>
      <w:rPr>
        <w:rFonts w:hint="default"/>
      </w:rPr>
    </w:lvl>
    <w:lvl w:ilvl="5" w:tplc="D0AE544E">
      <w:numFmt w:val="bullet"/>
      <w:lvlText w:val="•"/>
      <w:lvlJc w:val="left"/>
      <w:pPr>
        <w:ind w:left="1350" w:hanging="100"/>
      </w:pPr>
      <w:rPr>
        <w:rFonts w:hint="default"/>
      </w:rPr>
    </w:lvl>
    <w:lvl w:ilvl="6" w:tplc="C79C4EE8">
      <w:numFmt w:val="bullet"/>
      <w:lvlText w:val="•"/>
      <w:lvlJc w:val="left"/>
      <w:pPr>
        <w:ind w:left="1588" w:hanging="100"/>
      </w:pPr>
      <w:rPr>
        <w:rFonts w:hint="default"/>
      </w:rPr>
    </w:lvl>
    <w:lvl w:ilvl="7" w:tplc="8EBAE7A4">
      <w:numFmt w:val="bullet"/>
      <w:lvlText w:val="•"/>
      <w:lvlJc w:val="left"/>
      <w:pPr>
        <w:ind w:left="1826" w:hanging="100"/>
      </w:pPr>
      <w:rPr>
        <w:rFonts w:hint="default"/>
      </w:rPr>
    </w:lvl>
    <w:lvl w:ilvl="8" w:tplc="239EF0F6">
      <w:numFmt w:val="bullet"/>
      <w:lvlText w:val="•"/>
      <w:lvlJc w:val="left"/>
      <w:pPr>
        <w:ind w:left="2064" w:hanging="100"/>
      </w:pPr>
      <w:rPr>
        <w:rFonts w:hint="default"/>
      </w:rPr>
    </w:lvl>
  </w:abstractNum>
  <w:abstractNum w:abstractNumId="163" w15:restartNumberingAfterBreak="0">
    <w:nsid w:val="09E96304"/>
    <w:multiLevelType w:val="hybridMultilevel"/>
    <w:tmpl w:val="C360BCEE"/>
    <w:lvl w:ilvl="0" w:tplc="A75ACADC">
      <w:numFmt w:val="bullet"/>
      <w:lvlText w:val=""/>
      <w:lvlJc w:val="left"/>
      <w:pPr>
        <w:ind w:left="156" w:hanging="100"/>
      </w:pPr>
      <w:rPr>
        <w:rFonts w:ascii="Symbol" w:eastAsia="Symbol" w:hAnsi="Symbol" w:cs="Symbol" w:hint="default"/>
        <w:color w:val="231F20"/>
        <w:w w:val="100"/>
        <w:sz w:val="14"/>
        <w:szCs w:val="14"/>
      </w:rPr>
    </w:lvl>
    <w:lvl w:ilvl="1" w:tplc="FE908BA8">
      <w:numFmt w:val="bullet"/>
      <w:lvlText w:val="•"/>
      <w:lvlJc w:val="left"/>
      <w:pPr>
        <w:ind w:left="301" w:hanging="100"/>
      </w:pPr>
      <w:rPr>
        <w:rFonts w:hint="default"/>
      </w:rPr>
    </w:lvl>
    <w:lvl w:ilvl="2" w:tplc="40B2722A">
      <w:numFmt w:val="bullet"/>
      <w:lvlText w:val="•"/>
      <w:lvlJc w:val="left"/>
      <w:pPr>
        <w:ind w:left="443" w:hanging="100"/>
      </w:pPr>
      <w:rPr>
        <w:rFonts w:hint="default"/>
      </w:rPr>
    </w:lvl>
    <w:lvl w:ilvl="3" w:tplc="552E274E">
      <w:numFmt w:val="bullet"/>
      <w:lvlText w:val="•"/>
      <w:lvlJc w:val="left"/>
      <w:pPr>
        <w:ind w:left="585" w:hanging="100"/>
      </w:pPr>
      <w:rPr>
        <w:rFonts w:hint="default"/>
      </w:rPr>
    </w:lvl>
    <w:lvl w:ilvl="4" w:tplc="4D1CB040">
      <w:numFmt w:val="bullet"/>
      <w:lvlText w:val="•"/>
      <w:lvlJc w:val="left"/>
      <w:pPr>
        <w:ind w:left="726" w:hanging="100"/>
      </w:pPr>
      <w:rPr>
        <w:rFonts w:hint="default"/>
      </w:rPr>
    </w:lvl>
    <w:lvl w:ilvl="5" w:tplc="182E0174">
      <w:numFmt w:val="bullet"/>
      <w:lvlText w:val="•"/>
      <w:lvlJc w:val="left"/>
      <w:pPr>
        <w:ind w:left="868" w:hanging="100"/>
      </w:pPr>
      <w:rPr>
        <w:rFonts w:hint="default"/>
      </w:rPr>
    </w:lvl>
    <w:lvl w:ilvl="6" w:tplc="13529662">
      <w:numFmt w:val="bullet"/>
      <w:lvlText w:val="•"/>
      <w:lvlJc w:val="left"/>
      <w:pPr>
        <w:ind w:left="1010" w:hanging="100"/>
      </w:pPr>
      <w:rPr>
        <w:rFonts w:hint="default"/>
      </w:rPr>
    </w:lvl>
    <w:lvl w:ilvl="7" w:tplc="D3E475E6">
      <w:numFmt w:val="bullet"/>
      <w:lvlText w:val="•"/>
      <w:lvlJc w:val="left"/>
      <w:pPr>
        <w:ind w:left="1151" w:hanging="100"/>
      </w:pPr>
      <w:rPr>
        <w:rFonts w:hint="default"/>
      </w:rPr>
    </w:lvl>
    <w:lvl w:ilvl="8" w:tplc="746247C8">
      <w:numFmt w:val="bullet"/>
      <w:lvlText w:val="•"/>
      <w:lvlJc w:val="left"/>
      <w:pPr>
        <w:ind w:left="1293" w:hanging="100"/>
      </w:pPr>
      <w:rPr>
        <w:rFonts w:hint="default"/>
      </w:rPr>
    </w:lvl>
  </w:abstractNum>
  <w:abstractNum w:abstractNumId="164" w15:restartNumberingAfterBreak="0">
    <w:nsid w:val="0A156E22"/>
    <w:multiLevelType w:val="hybridMultilevel"/>
    <w:tmpl w:val="DF0C75D4"/>
    <w:lvl w:ilvl="0" w:tplc="A1F82B84">
      <w:numFmt w:val="bullet"/>
      <w:lvlText w:val=""/>
      <w:lvlJc w:val="left"/>
      <w:pPr>
        <w:ind w:left="156" w:hanging="100"/>
      </w:pPr>
      <w:rPr>
        <w:rFonts w:ascii="Symbol" w:eastAsia="Symbol" w:hAnsi="Symbol" w:cs="Symbol" w:hint="default"/>
        <w:color w:val="231F20"/>
        <w:w w:val="100"/>
        <w:sz w:val="14"/>
        <w:szCs w:val="14"/>
      </w:rPr>
    </w:lvl>
    <w:lvl w:ilvl="1" w:tplc="F58CC342">
      <w:numFmt w:val="bullet"/>
      <w:lvlText w:val="•"/>
      <w:lvlJc w:val="left"/>
      <w:pPr>
        <w:ind w:left="426" w:hanging="100"/>
      </w:pPr>
      <w:rPr>
        <w:rFonts w:hint="default"/>
      </w:rPr>
    </w:lvl>
    <w:lvl w:ilvl="2" w:tplc="63CAC6A4">
      <w:numFmt w:val="bullet"/>
      <w:lvlText w:val="•"/>
      <w:lvlJc w:val="left"/>
      <w:pPr>
        <w:ind w:left="692" w:hanging="100"/>
      </w:pPr>
      <w:rPr>
        <w:rFonts w:hint="default"/>
      </w:rPr>
    </w:lvl>
    <w:lvl w:ilvl="3" w:tplc="FF0E4F10">
      <w:numFmt w:val="bullet"/>
      <w:lvlText w:val="•"/>
      <w:lvlJc w:val="left"/>
      <w:pPr>
        <w:ind w:left="959" w:hanging="100"/>
      </w:pPr>
      <w:rPr>
        <w:rFonts w:hint="default"/>
      </w:rPr>
    </w:lvl>
    <w:lvl w:ilvl="4" w:tplc="7B6EC8F0">
      <w:numFmt w:val="bullet"/>
      <w:lvlText w:val="•"/>
      <w:lvlJc w:val="left"/>
      <w:pPr>
        <w:ind w:left="1225" w:hanging="100"/>
      </w:pPr>
      <w:rPr>
        <w:rFonts w:hint="default"/>
      </w:rPr>
    </w:lvl>
    <w:lvl w:ilvl="5" w:tplc="26342224">
      <w:numFmt w:val="bullet"/>
      <w:lvlText w:val="•"/>
      <w:lvlJc w:val="left"/>
      <w:pPr>
        <w:ind w:left="1492" w:hanging="100"/>
      </w:pPr>
      <w:rPr>
        <w:rFonts w:hint="default"/>
      </w:rPr>
    </w:lvl>
    <w:lvl w:ilvl="6" w:tplc="3712F5DA">
      <w:numFmt w:val="bullet"/>
      <w:lvlText w:val="•"/>
      <w:lvlJc w:val="left"/>
      <w:pPr>
        <w:ind w:left="1758" w:hanging="100"/>
      </w:pPr>
      <w:rPr>
        <w:rFonts w:hint="default"/>
      </w:rPr>
    </w:lvl>
    <w:lvl w:ilvl="7" w:tplc="3B2ED22C">
      <w:numFmt w:val="bullet"/>
      <w:lvlText w:val="•"/>
      <w:lvlJc w:val="left"/>
      <w:pPr>
        <w:ind w:left="2024" w:hanging="100"/>
      </w:pPr>
      <w:rPr>
        <w:rFonts w:hint="default"/>
      </w:rPr>
    </w:lvl>
    <w:lvl w:ilvl="8" w:tplc="6B726958">
      <w:numFmt w:val="bullet"/>
      <w:lvlText w:val="•"/>
      <w:lvlJc w:val="left"/>
      <w:pPr>
        <w:ind w:left="2291" w:hanging="100"/>
      </w:pPr>
      <w:rPr>
        <w:rFonts w:hint="default"/>
      </w:rPr>
    </w:lvl>
  </w:abstractNum>
  <w:abstractNum w:abstractNumId="165" w15:restartNumberingAfterBreak="0">
    <w:nsid w:val="0A3C5A8D"/>
    <w:multiLevelType w:val="hybridMultilevel"/>
    <w:tmpl w:val="33A24ED0"/>
    <w:lvl w:ilvl="0" w:tplc="D51E996A">
      <w:numFmt w:val="bullet"/>
      <w:lvlText w:val=""/>
      <w:lvlJc w:val="left"/>
      <w:pPr>
        <w:ind w:left="156" w:hanging="100"/>
      </w:pPr>
      <w:rPr>
        <w:rFonts w:ascii="Symbol" w:eastAsia="Symbol" w:hAnsi="Symbol" w:cs="Symbol" w:hint="default"/>
        <w:color w:val="231F20"/>
        <w:w w:val="100"/>
        <w:sz w:val="14"/>
        <w:szCs w:val="14"/>
      </w:rPr>
    </w:lvl>
    <w:lvl w:ilvl="1" w:tplc="22EC3B0E">
      <w:numFmt w:val="bullet"/>
      <w:lvlText w:val="•"/>
      <w:lvlJc w:val="left"/>
      <w:pPr>
        <w:ind w:left="301" w:hanging="100"/>
      </w:pPr>
      <w:rPr>
        <w:rFonts w:hint="default"/>
      </w:rPr>
    </w:lvl>
    <w:lvl w:ilvl="2" w:tplc="07746E30">
      <w:numFmt w:val="bullet"/>
      <w:lvlText w:val="•"/>
      <w:lvlJc w:val="left"/>
      <w:pPr>
        <w:ind w:left="443" w:hanging="100"/>
      </w:pPr>
      <w:rPr>
        <w:rFonts w:hint="default"/>
      </w:rPr>
    </w:lvl>
    <w:lvl w:ilvl="3" w:tplc="A3F20206">
      <w:numFmt w:val="bullet"/>
      <w:lvlText w:val="•"/>
      <w:lvlJc w:val="left"/>
      <w:pPr>
        <w:ind w:left="585" w:hanging="100"/>
      </w:pPr>
      <w:rPr>
        <w:rFonts w:hint="default"/>
      </w:rPr>
    </w:lvl>
    <w:lvl w:ilvl="4" w:tplc="E92020F8">
      <w:numFmt w:val="bullet"/>
      <w:lvlText w:val="•"/>
      <w:lvlJc w:val="left"/>
      <w:pPr>
        <w:ind w:left="726" w:hanging="100"/>
      </w:pPr>
      <w:rPr>
        <w:rFonts w:hint="default"/>
      </w:rPr>
    </w:lvl>
    <w:lvl w:ilvl="5" w:tplc="3114482A">
      <w:numFmt w:val="bullet"/>
      <w:lvlText w:val="•"/>
      <w:lvlJc w:val="left"/>
      <w:pPr>
        <w:ind w:left="868" w:hanging="100"/>
      </w:pPr>
      <w:rPr>
        <w:rFonts w:hint="default"/>
      </w:rPr>
    </w:lvl>
    <w:lvl w:ilvl="6" w:tplc="E2207562">
      <w:numFmt w:val="bullet"/>
      <w:lvlText w:val="•"/>
      <w:lvlJc w:val="left"/>
      <w:pPr>
        <w:ind w:left="1010" w:hanging="100"/>
      </w:pPr>
      <w:rPr>
        <w:rFonts w:hint="default"/>
      </w:rPr>
    </w:lvl>
    <w:lvl w:ilvl="7" w:tplc="8E222410">
      <w:numFmt w:val="bullet"/>
      <w:lvlText w:val="•"/>
      <w:lvlJc w:val="left"/>
      <w:pPr>
        <w:ind w:left="1151" w:hanging="100"/>
      </w:pPr>
      <w:rPr>
        <w:rFonts w:hint="default"/>
      </w:rPr>
    </w:lvl>
    <w:lvl w:ilvl="8" w:tplc="DCAC693E">
      <w:numFmt w:val="bullet"/>
      <w:lvlText w:val="•"/>
      <w:lvlJc w:val="left"/>
      <w:pPr>
        <w:ind w:left="1293" w:hanging="100"/>
      </w:pPr>
      <w:rPr>
        <w:rFonts w:hint="default"/>
      </w:rPr>
    </w:lvl>
  </w:abstractNum>
  <w:abstractNum w:abstractNumId="166" w15:restartNumberingAfterBreak="0">
    <w:nsid w:val="0A52264C"/>
    <w:multiLevelType w:val="hybridMultilevel"/>
    <w:tmpl w:val="C3540B60"/>
    <w:lvl w:ilvl="0" w:tplc="D954F3FE">
      <w:numFmt w:val="bullet"/>
      <w:lvlText w:val=""/>
      <w:lvlJc w:val="left"/>
      <w:pPr>
        <w:ind w:left="156" w:hanging="100"/>
      </w:pPr>
      <w:rPr>
        <w:rFonts w:ascii="Symbol" w:eastAsia="Symbol" w:hAnsi="Symbol" w:cs="Symbol" w:hint="default"/>
        <w:color w:val="231F20"/>
        <w:w w:val="100"/>
        <w:sz w:val="14"/>
        <w:szCs w:val="14"/>
      </w:rPr>
    </w:lvl>
    <w:lvl w:ilvl="1" w:tplc="1826B0F0">
      <w:numFmt w:val="bullet"/>
      <w:lvlText w:val="•"/>
      <w:lvlJc w:val="left"/>
      <w:pPr>
        <w:ind w:left="398" w:hanging="100"/>
      </w:pPr>
      <w:rPr>
        <w:rFonts w:hint="default"/>
      </w:rPr>
    </w:lvl>
    <w:lvl w:ilvl="2" w:tplc="606EB340">
      <w:numFmt w:val="bullet"/>
      <w:lvlText w:val="•"/>
      <w:lvlJc w:val="left"/>
      <w:pPr>
        <w:ind w:left="636" w:hanging="100"/>
      </w:pPr>
      <w:rPr>
        <w:rFonts w:hint="default"/>
      </w:rPr>
    </w:lvl>
    <w:lvl w:ilvl="3" w:tplc="371E0562">
      <w:numFmt w:val="bullet"/>
      <w:lvlText w:val="•"/>
      <w:lvlJc w:val="left"/>
      <w:pPr>
        <w:ind w:left="874" w:hanging="100"/>
      </w:pPr>
      <w:rPr>
        <w:rFonts w:hint="default"/>
      </w:rPr>
    </w:lvl>
    <w:lvl w:ilvl="4" w:tplc="B9548044">
      <w:numFmt w:val="bullet"/>
      <w:lvlText w:val="•"/>
      <w:lvlJc w:val="left"/>
      <w:pPr>
        <w:ind w:left="1112" w:hanging="100"/>
      </w:pPr>
      <w:rPr>
        <w:rFonts w:hint="default"/>
      </w:rPr>
    </w:lvl>
    <w:lvl w:ilvl="5" w:tplc="30069B48">
      <w:numFmt w:val="bullet"/>
      <w:lvlText w:val="•"/>
      <w:lvlJc w:val="left"/>
      <w:pPr>
        <w:ind w:left="1350" w:hanging="100"/>
      </w:pPr>
      <w:rPr>
        <w:rFonts w:hint="default"/>
      </w:rPr>
    </w:lvl>
    <w:lvl w:ilvl="6" w:tplc="889641CE">
      <w:numFmt w:val="bullet"/>
      <w:lvlText w:val="•"/>
      <w:lvlJc w:val="left"/>
      <w:pPr>
        <w:ind w:left="1588" w:hanging="100"/>
      </w:pPr>
      <w:rPr>
        <w:rFonts w:hint="default"/>
      </w:rPr>
    </w:lvl>
    <w:lvl w:ilvl="7" w:tplc="DE96E522">
      <w:numFmt w:val="bullet"/>
      <w:lvlText w:val="•"/>
      <w:lvlJc w:val="left"/>
      <w:pPr>
        <w:ind w:left="1826" w:hanging="100"/>
      </w:pPr>
      <w:rPr>
        <w:rFonts w:hint="default"/>
      </w:rPr>
    </w:lvl>
    <w:lvl w:ilvl="8" w:tplc="E67CB04E">
      <w:numFmt w:val="bullet"/>
      <w:lvlText w:val="•"/>
      <w:lvlJc w:val="left"/>
      <w:pPr>
        <w:ind w:left="2064" w:hanging="100"/>
      </w:pPr>
      <w:rPr>
        <w:rFonts w:hint="default"/>
      </w:rPr>
    </w:lvl>
  </w:abstractNum>
  <w:abstractNum w:abstractNumId="167" w15:restartNumberingAfterBreak="0">
    <w:nsid w:val="0A6864D4"/>
    <w:multiLevelType w:val="hybridMultilevel"/>
    <w:tmpl w:val="E8F485FE"/>
    <w:lvl w:ilvl="0" w:tplc="ED2C4DEC">
      <w:numFmt w:val="bullet"/>
      <w:lvlText w:val=""/>
      <w:lvlJc w:val="left"/>
      <w:pPr>
        <w:ind w:left="157" w:hanging="100"/>
      </w:pPr>
      <w:rPr>
        <w:rFonts w:ascii="Symbol" w:eastAsia="Symbol" w:hAnsi="Symbol" w:cs="Symbol" w:hint="default"/>
        <w:color w:val="231F20"/>
        <w:w w:val="100"/>
        <w:sz w:val="14"/>
        <w:szCs w:val="14"/>
      </w:rPr>
    </w:lvl>
    <w:lvl w:ilvl="1" w:tplc="E6807496">
      <w:numFmt w:val="bullet"/>
      <w:lvlText w:val="•"/>
      <w:lvlJc w:val="left"/>
      <w:pPr>
        <w:ind w:left="369" w:hanging="100"/>
      </w:pPr>
      <w:rPr>
        <w:rFonts w:hint="default"/>
      </w:rPr>
    </w:lvl>
    <w:lvl w:ilvl="2" w:tplc="1CBE2840">
      <w:numFmt w:val="bullet"/>
      <w:lvlText w:val="•"/>
      <w:lvlJc w:val="left"/>
      <w:pPr>
        <w:ind w:left="579" w:hanging="100"/>
      </w:pPr>
      <w:rPr>
        <w:rFonts w:hint="default"/>
      </w:rPr>
    </w:lvl>
    <w:lvl w:ilvl="3" w:tplc="6D38673C">
      <w:numFmt w:val="bullet"/>
      <w:lvlText w:val="•"/>
      <w:lvlJc w:val="left"/>
      <w:pPr>
        <w:ind w:left="789" w:hanging="100"/>
      </w:pPr>
      <w:rPr>
        <w:rFonts w:hint="default"/>
      </w:rPr>
    </w:lvl>
    <w:lvl w:ilvl="4" w:tplc="014282C2">
      <w:numFmt w:val="bullet"/>
      <w:lvlText w:val="•"/>
      <w:lvlJc w:val="left"/>
      <w:pPr>
        <w:ind w:left="998" w:hanging="100"/>
      </w:pPr>
      <w:rPr>
        <w:rFonts w:hint="default"/>
      </w:rPr>
    </w:lvl>
    <w:lvl w:ilvl="5" w:tplc="AE3A8806">
      <w:numFmt w:val="bullet"/>
      <w:lvlText w:val="•"/>
      <w:lvlJc w:val="left"/>
      <w:pPr>
        <w:ind w:left="1208" w:hanging="100"/>
      </w:pPr>
      <w:rPr>
        <w:rFonts w:hint="default"/>
      </w:rPr>
    </w:lvl>
    <w:lvl w:ilvl="6" w:tplc="ED3A7828">
      <w:numFmt w:val="bullet"/>
      <w:lvlText w:val="•"/>
      <w:lvlJc w:val="left"/>
      <w:pPr>
        <w:ind w:left="1418" w:hanging="100"/>
      </w:pPr>
      <w:rPr>
        <w:rFonts w:hint="default"/>
      </w:rPr>
    </w:lvl>
    <w:lvl w:ilvl="7" w:tplc="18DC112A">
      <w:numFmt w:val="bullet"/>
      <w:lvlText w:val="•"/>
      <w:lvlJc w:val="left"/>
      <w:pPr>
        <w:ind w:left="1627" w:hanging="100"/>
      </w:pPr>
      <w:rPr>
        <w:rFonts w:hint="default"/>
      </w:rPr>
    </w:lvl>
    <w:lvl w:ilvl="8" w:tplc="B67E8AEE">
      <w:numFmt w:val="bullet"/>
      <w:lvlText w:val="•"/>
      <w:lvlJc w:val="left"/>
      <w:pPr>
        <w:ind w:left="1837" w:hanging="100"/>
      </w:pPr>
      <w:rPr>
        <w:rFonts w:hint="default"/>
      </w:rPr>
    </w:lvl>
  </w:abstractNum>
  <w:abstractNum w:abstractNumId="168" w15:restartNumberingAfterBreak="0">
    <w:nsid w:val="0A742639"/>
    <w:multiLevelType w:val="hybridMultilevel"/>
    <w:tmpl w:val="0584ED76"/>
    <w:lvl w:ilvl="0" w:tplc="494AEC6C">
      <w:numFmt w:val="bullet"/>
      <w:lvlText w:val=""/>
      <w:lvlJc w:val="left"/>
      <w:pPr>
        <w:ind w:left="156" w:hanging="100"/>
      </w:pPr>
      <w:rPr>
        <w:rFonts w:ascii="Symbol" w:eastAsia="Symbol" w:hAnsi="Symbol" w:cs="Symbol" w:hint="default"/>
        <w:color w:val="231F20"/>
        <w:w w:val="100"/>
        <w:sz w:val="14"/>
        <w:szCs w:val="14"/>
      </w:rPr>
    </w:lvl>
    <w:lvl w:ilvl="1" w:tplc="8DB00176">
      <w:numFmt w:val="bullet"/>
      <w:lvlText w:val="•"/>
      <w:lvlJc w:val="left"/>
      <w:pPr>
        <w:ind w:left="426" w:hanging="100"/>
      </w:pPr>
      <w:rPr>
        <w:rFonts w:hint="default"/>
      </w:rPr>
    </w:lvl>
    <w:lvl w:ilvl="2" w:tplc="6A34D9FA">
      <w:numFmt w:val="bullet"/>
      <w:lvlText w:val="•"/>
      <w:lvlJc w:val="left"/>
      <w:pPr>
        <w:ind w:left="692" w:hanging="100"/>
      </w:pPr>
      <w:rPr>
        <w:rFonts w:hint="default"/>
      </w:rPr>
    </w:lvl>
    <w:lvl w:ilvl="3" w:tplc="EDB61B8E">
      <w:numFmt w:val="bullet"/>
      <w:lvlText w:val="•"/>
      <w:lvlJc w:val="left"/>
      <w:pPr>
        <w:ind w:left="959" w:hanging="100"/>
      </w:pPr>
      <w:rPr>
        <w:rFonts w:hint="default"/>
      </w:rPr>
    </w:lvl>
    <w:lvl w:ilvl="4" w:tplc="8402BA46">
      <w:numFmt w:val="bullet"/>
      <w:lvlText w:val="•"/>
      <w:lvlJc w:val="left"/>
      <w:pPr>
        <w:ind w:left="1225" w:hanging="100"/>
      </w:pPr>
      <w:rPr>
        <w:rFonts w:hint="default"/>
      </w:rPr>
    </w:lvl>
    <w:lvl w:ilvl="5" w:tplc="84A647CE">
      <w:numFmt w:val="bullet"/>
      <w:lvlText w:val="•"/>
      <w:lvlJc w:val="left"/>
      <w:pPr>
        <w:ind w:left="1492" w:hanging="100"/>
      </w:pPr>
      <w:rPr>
        <w:rFonts w:hint="default"/>
      </w:rPr>
    </w:lvl>
    <w:lvl w:ilvl="6" w:tplc="39585E88">
      <w:numFmt w:val="bullet"/>
      <w:lvlText w:val="•"/>
      <w:lvlJc w:val="left"/>
      <w:pPr>
        <w:ind w:left="1758" w:hanging="100"/>
      </w:pPr>
      <w:rPr>
        <w:rFonts w:hint="default"/>
      </w:rPr>
    </w:lvl>
    <w:lvl w:ilvl="7" w:tplc="FB3E3FD0">
      <w:numFmt w:val="bullet"/>
      <w:lvlText w:val="•"/>
      <w:lvlJc w:val="left"/>
      <w:pPr>
        <w:ind w:left="2024" w:hanging="100"/>
      </w:pPr>
      <w:rPr>
        <w:rFonts w:hint="default"/>
      </w:rPr>
    </w:lvl>
    <w:lvl w:ilvl="8" w:tplc="5C0214A8">
      <w:numFmt w:val="bullet"/>
      <w:lvlText w:val="•"/>
      <w:lvlJc w:val="left"/>
      <w:pPr>
        <w:ind w:left="2291" w:hanging="100"/>
      </w:pPr>
      <w:rPr>
        <w:rFonts w:hint="default"/>
      </w:rPr>
    </w:lvl>
  </w:abstractNum>
  <w:abstractNum w:abstractNumId="169" w15:restartNumberingAfterBreak="0">
    <w:nsid w:val="0A784548"/>
    <w:multiLevelType w:val="hybridMultilevel"/>
    <w:tmpl w:val="581A4AD2"/>
    <w:lvl w:ilvl="0" w:tplc="B6BE29D0">
      <w:numFmt w:val="bullet"/>
      <w:lvlText w:val=""/>
      <w:lvlJc w:val="left"/>
      <w:pPr>
        <w:ind w:left="156" w:hanging="100"/>
      </w:pPr>
      <w:rPr>
        <w:rFonts w:ascii="Symbol" w:eastAsia="Symbol" w:hAnsi="Symbol" w:cs="Symbol" w:hint="default"/>
        <w:color w:val="231F20"/>
        <w:w w:val="100"/>
        <w:sz w:val="14"/>
        <w:szCs w:val="14"/>
      </w:rPr>
    </w:lvl>
    <w:lvl w:ilvl="1" w:tplc="75FA77F4">
      <w:numFmt w:val="bullet"/>
      <w:lvlText w:val="•"/>
      <w:lvlJc w:val="left"/>
      <w:pPr>
        <w:ind w:left="398" w:hanging="100"/>
      </w:pPr>
      <w:rPr>
        <w:rFonts w:hint="default"/>
      </w:rPr>
    </w:lvl>
    <w:lvl w:ilvl="2" w:tplc="53D0B774">
      <w:numFmt w:val="bullet"/>
      <w:lvlText w:val="•"/>
      <w:lvlJc w:val="left"/>
      <w:pPr>
        <w:ind w:left="636" w:hanging="100"/>
      </w:pPr>
      <w:rPr>
        <w:rFonts w:hint="default"/>
      </w:rPr>
    </w:lvl>
    <w:lvl w:ilvl="3" w:tplc="84BCB25C">
      <w:numFmt w:val="bullet"/>
      <w:lvlText w:val="•"/>
      <w:lvlJc w:val="left"/>
      <w:pPr>
        <w:ind w:left="874" w:hanging="100"/>
      </w:pPr>
      <w:rPr>
        <w:rFonts w:hint="default"/>
      </w:rPr>
    </w:lvl>
    <w:lvl w:ilvl="4" w:tplc="0A328600">
      <w:numFmt w:val="bullet"/>
      <w:lvlText w:val="•"/>
      <w:lvlJc w:val="left"/>
      <w:pPr>
        <w:ind w:left="1112" w:hanging="100"/>
      </w:pPr>
      <w:rPr>
        <w:rFonts w:hint="default"/>
      </w:rPr>
    </w:lvl>
    <w:lvl w:ilvl="5" w:tplc="366AE12A">
      <w:numFmt w:val="bullet"/>
      <w:lvlText w:val="•"/>
      <w:lvlJc w:val="left"/>
      <w:pPr>
        <w:ind w:left="1350" w:hanging="100"/>
      </w:pPr>
      <w:rPr>
        <w:rFonts w:hint="default"/>
      </w:rPr>
    </w:lvl>
    <w:lvl w:ilvl="6" w:tplc="A3882BC0">
      <w:numFmt w:val="bullet"/>
      <w:lvlText w:val="•"/>
      <w:lvlJc w:val="left"/>
      <w:pPr>
        <w:ind w:left="1588" w:hanging="100"/>
      </w:pPr>
      <w:rPr>
        <w:rFonts w:hint="default"/>
      </w:rPr>
    </w:lvl>
    <w:lvl w:ilvl="7" w:tplc="B7B65400">
      <w:numFmt w:val="bullet"/>
      <w:lvlText w:val="•"/>
      <w:lvlJc w:val="left"/>
      <w:pPr>
        <w:ind w:left="1826" w:hanging="100"/>
      </w:pPr>
      <w:rPr>
        <w:rFonts w:hint="default"/>
      </w:rPr>
    </w:lvl>
    <w:lvl w:ilvl="8" w:tplc="1FAC4BAC">
      <w:numFmt w:val="bullet"/>
      <w:lvlText w:val="•"/>
      <w:lvlJc w:val="left"/>
      <w:pPr>
        <w:ind w:left="2064" w:hanging="100"/>
      </w:pPr>
      <w:rPr>
        <w:rFonts w:hint="default"/>
      </w:rPr>
    </w:lvl>
  </w:abstractNum>
  <w:abstractNum w:abstractNumId="170" w15:restartNumberingAfterBreak="0">
    <w:nsid w:val="0A7C68E1"/>
    <w:multiLevelType w:val="hybridMultilevel"/>
    <w:tmpl w:val="8F1EE8BC"/>
    <w:lvl w:ilvl="0" w:tplc="15BE7E38">
      <w:numFmt w:val="bullet"/>
      <w:lvlText w:val=""/>
      <w:lvlJc w:val="left"/>
      <w:pPr>
        <w:ind w:left="156" w:hanging="100"/>
      </w:pPr>
      <w:rPr>
        <w:rFonts w:ascii="Symbol" w:eastAsia="Symbol" w:hAnsi="Symbol" w:cs="Symbol" w:hint="default"/>
        <w:color w:val="231F20"/>
        <w:w w:val="100"/>
        <w:sz w:val="14"/>
        <w:szCs w:val="14"/>
      </w:rPr>
    </w:lvl>
    <w:lvl w:ilvl="1" w:tplc="AF24789A">
      <w:numFmt w:val="bullet"/>
      <w:lvlText w:val="•"/>
      <w:lvlJc w:val="left"/>
      <w:pPr>
        <w:ind w:left="301" w:hanging="100"/>
      </w:pPr>
      <w:rPr>
        <w:rFonts w:hint="default"/>
      </w:rPr>
    </w:lvl>
    <w:lvl w:ilvl="2" w:tplc="376A68D8">
      <w:numFmt w:val="bullet"/>
      <w:lvlText w:val="•"/>
      <w:lvlJc w:val="left"/>
      <w:pPr>
        <w:ind w:left="443" w:hanging="100"/>
      </w:pPr>
      <w:rPr>
        <w:rFonts w:hint="default"/>
      </w:rPr>
    </w:lvl>
    <w:lvl w:ilvl="3" w:tplc="8C1A3F40">
      <w:numFmt w:val="bullet"/>
      <w:lvlText w:val="•"/>
      <w:lvlJc w:val="left"/>
      <w:pPr>
        <w:ind w:left="585" w:hanging="100"/>
      </w:pPr>
      <w:rPr>
        <w:rFonts w:hint="default"/>
      </w:rPr>
    </w:lvl>
    <w:lvl w:ilvl="4" w:tplc="E3B2A83A">
      <w:numFmt w:val="bullet"/>
      <w:lvlText w:val="•"/>
      <w:lvlJc w:val="left"/>
      <w:pPr>
        <w:ind w:left="726" w:hanging="100"/>
      </w:pPr>
      <w:rPr>
        <w:rFonts w:hint="default"/>
      </w:rPr>
    </w:lvl>
    <w:lvl w:ilvl="5" w:tplc="3A7AA374">
      <w:numFmt w:val="bullet"/>
      <w:lvlText w:val="•"/>
      <w:lvlJc w:val="left"/>
      <w:pPr>
        <w:ind w:left="868" w:hanging="100"/>
      </w:pPr>
      <w:rPr>
        <w:rFonts w:hint="default"/>
      </w:rPr>
    </w:lvl>
    <w:lvl w:ilvl="6" w:tplc="34306D7A">
      <w:numFmt w:val="bullet"/>
      <w:lvlText w:val="•"/>
      <w:lvlJc w:val="left"/>
      <w:pPr>
        <w:ind w:left="1010" w:hanging="100"/>
      </w:pPr>
      <w:rPr>
        <w:rFonts w:hint="default"/>
      </w:rPr>
    </w:lvl>
    <w:lvl w:ilvl="7" w:tplc="6534D974">
      <w:numFmt w:val="bullet"/>
      <w:lvlText w:val="•"/>
      <w:lvlJc w:val="left"/>
      <w:pPr>
        <w:ind w:left="1151" w:hanging="100"/>
      </w:pPr>
      <w:rPr>
        <w:rFonts w:hint="default"/>
      </w:rPr>
    </w:lvl>
    <w:lvl w:ilvl="8" w:tplc="CA80443A">
      <w:numFmt w:val="bullet"/>
      <w:lvlText w:val="•"/>
      <w:lvlJc w:val="left"/>
      <w:pPr>
        <w:ind w:left="1293" w:hanging="100"/>
      </w:pPr>
      <w:rPr>
        <w:rFonts w:hint="default"/>
      </w:rPr>
    </w:lvl>
  </w:abstractNum>
  <w:abstractNum w:abstractNumId="171" w15:restartNumberingAfterBreak="0">
    <w:nsid w:val="0A7D1AD1"/>
    <w:multiLevelType w:val="hybridMultilevel"/>
    <w:tmpl w:val="E8CEBE5C"/>
    <w:lvl w:ilvl="0" w:tplc="88DA95CC">
      <w:numFmt w:val="bullet"/>
      <w:lvlText w:val=""/>
      <w:lvlJc w:val="left"/>
      <w:pPr>
        <w:ind w:left="156" w:hanging="100"/>
      </w:pPr>
      <w:rPr>
        <w:rFonts w:ascii="Symbol" w:eastAsia="Symbol" w:hAnsi="Symbol" w:cs="Symbol" w:hint="default"/>
        <w:color w:val="231F20"/>
        <w:w w:val="100"/>
        <w:sz w:val="14"/>
        <w:szCs w:val="14"/>
      </w:rPr>
    </w:lvl>
    <w:lvl w:ilvl="1" w:tplc="2F1232E4">
      <w:numFmt w:val="bullet"/>
      <w:lvlText w:val="•"/>
      <w:lvlJc w:val="left"/>
      <w:pPr>
        <w:ind w:left="301" w:hanging="100"/>
      </w:pPr>
      <w:rPr>
        <w:rFonts w:hint="default"/>
      </w:rPr>
    </w:lvl>
    <w:lvl w:ilvl="2" w:tplc="9FA055AE">
      <w:numFmt w:val="bullet"/>
      <w:lvlText w:val="•"/>
      <w:lvlJc w:val="left"/>
      <w:pPr>
        <w:ind w:left="443" w:hanging="100"/>
      </w:pPr>
      <w:rPr>
        <w:rFonts w:hint="default"/>
      </w:rPr>
    </w:lvl>
    <w:lvl w:ilvl="3" w:tplc="62D02004">
      <w:numFmt w:val="bullet"/>
      <w:lvlText w:val="•"/>
      <w:lvlJc w:val="left"/>
      <w:pPr>
        <w:ind w:left="585" w:hanging="100"/>
      </w:pPr>
      <w:rPr>
        <w:rFonts w:hint="default"/>
      </w:rPr>
    </w:lvl>
    <w:lvl w:ilvl="4" w:tplc="A12EFCB4">
      <w:numFmt w:val="bullet"/>
      <w:lvlText w:val="•"/>
      <w:lvlJc w:val="left"/>
      <w:pPr>
        <w:ind w:left="726" w:hanging="100"/>
      </w:pPr>
      <w:rPr>
        <w:rFonts w:hint="default"/>
      </w:rPr>
    </w:lvl>
    <w:lvl w:ilvl="5" w:tplc="47305FF0">
      <w:numFmt w:val="bullet"/>
      <w:lvlText w:val="•"/>
      <w:lvlJc w:val="left"/>
      <w:pPr>
        <w:ind w:left="868" w:hanging="100"/>
      </w:pPr>
      <w:rPr>
        <w:rFonts w:hint="default"/>
      </w:rPr>
    </w:lvl>
    <w:lvl w:ilvl="6" w:tplc="EF288942">
      <w:numFmt w:val="bullet"/>
      <w:lvlText w:val="•"/>
      <w:lvlJc w:val="left"/>
      <w:pPr>
        <w:ind w:left="1010" w:hanging="100"/>
      </w:pPr>
      <w:rPr>
        <w:rFonts w:hint="default"/>
      </w:rPr>
    </w:lvl>
    <w:lvl w:ilvl="7" w:tplc="51323AB6">
      <w:numFmt w:val="bullet"/>
      <w:lvlText w:val="•"/>
      <w:lvlJc w:val="left"/>
      <w:pPr>
        <w:ind w:left="1151" w:hanging="100"/>
      </w:pPr>
      <w:rPr>
        <w:rFonts w:hint="default"/>
      </w:rPr>
    </w:lvl>
    <w:lvl w:ilvl="8" w:tplc="D5500CBE">
      <w:numFmt w:val="bullet"/>
      <w:lvlText w:val="•"/>
      <w:lvlJc w:val="left"/>
      <w:pPr>
        <w:ind w:left="1293" w:hanging="100"/>
      </w:pPr>
      <w:rPr>
        <w:rFonts w:hint="default"/>
      </w:rPr>
    </w:lvl>
  </w:abstractNum>
  <w:abstractNum w:abstractNumId="172" w15:restartNumberingAfterBreak="0">
    <w:nsid w:val="0A812D51"/>
    <w:multiLevelType w:val="hybridMultilevel"/>
    <w:tmpl w:val="80CEEE42"/>
    <w:lvl w:ilvl="0" w:tplc="EE18A05E">
      <w:numFmt w:val="bullet"/>
      <w:lvlText w:val=""/>
      <w:lvlJc w:val="left"/>
      <w:pPr>
        <w:ind w:left="156" w:hanging="100"/>
      </w:pPr>
      <w:rPr>
        <w:rFonts w:ascii="Symbol" w:eastAsia="Symbol" w:hAnsi="Symbol" w:cs="Symbol" w:hint="default"/>
        <w:color w:val="231F20"/>
        <w:w w:val="100"/>
        <w:sz w:val="14"/>
        <w:szCs w:val="14"/>
      </w:rPr>
    </w:lvl>
    <w:lvl w:ilvl="1" w:tplc="E342EEE2">
      <w:numFmt w:val="bullet"/>
      <w:lvlText w:val="•"/>
      <w:lvlJc w:val="left"/>
      <w:pPr>
        <w:ind w:left="301" w:hanging="100"/>
      </w:pPr>
      <w:rPr>
        <w:rFonts w:hint="default"/>
      </w:rPr>
    </w:lvl>
    <w:lvl w:ilvl="2" w:tplc="F6D2941C">
      <w:numFmt w:val="bullet"/>
      <w:lvlText w:val="•"/>
      <w:lvlJc w:val="left"/>
      <w:pPr>
        <w:ind w:left="443" w:hanging="100"/>
      </w:pPr>
      <w:rPr>
        <w:rFonts w:hint="default"/>
      </w:rPr>
    </w:lvl>
    <w:lvl w:ilvl="3" w:tplc="A2F6368A">
      <w:numFmt w:val="bullet"/>
      <w:lvlText w:val="•"/>
      <w:lvlJc w:val="left"/>
      <w:pPr>
        <w:ind w:left="585" w:hanging="100"/>
      </w:pPr>
      <w:rPr>
        <w:rFonts w:hint="default"/>
      </w:rPr>
    </w:lvl>
    <w:lvl w:ilvl="4" w:tplc="DA50D9F0">
      <w:numFmt w:val="bullet"/>
      <w:lvlText w:val="•"/>
      <w:lvlJc w:val="left"/>
      <w:pPr>
        <w:ind w:left="726" w:hanging="100"/>
      </w:pPr>
      <w:rPr>
        <w:rFonts w:hint="default"/>
      </w:rPr>
    </w:lvl>
    <w:lvl w:ilvl="5" w:tplc="6AFCAFDC">
      <w:numFmt w:val="bullet"/>
      <w:lvlText w:val="•"/>
      <w:lvlJc w:val="left"/>
      <w:pPr>
        <w:ind w:left="868" w:hanging="100"/>
      </w:pPr>
      <w:rPr>
        <w:rFonts w:hint="default"/>
      </w:rPr>
    </w:lvl>
    <w:lvl w:ilvl="6" w:tplc="2A881F86">
      <w:numFmt w:val="bullet"/>
      <w:lvlText w:val="•"/>
      <w:lvlJc w:val="left"/>
      <w:pPr>
        <w:ind w:left="1010" w:hanging="100"/>
      </w:pPr>
      <w:rPr>
        <w:rFonts w:hint="default"/>
      </w:rPr>
    </w:lvl>
    <w:lvl w:ilvl="7" w:tplc="BB80C3EE">
      <w:numFmt w:val="bullet"/>
      <w:lvlText w:val="•"/>
      <w:lvlJc w:val="left"/>
      <w:pPr>
        <w:ind w:left="1151" w:hanging="100"/>
      </w:pPr>
      <w:rPr>
        <w:rFonts w:hint="default"/>
      </w:rPr>
    </w:lvl>
    <w:lvl w:ilvl="8" w:tplc="25C0A82E">
      <w:numFmt w:val="bullet"/>
      <w:lvlText w:val="•"/>
      <w:lvlJc w:val="left"/>
      <w:pPr>
        <w:ind w:left="1293" w:hanging="100"/>
      </w:pPr>
      <w:rPr>
        <w:rFonts w:hint="default"/>
      </w:rPr>
    </w:lvl>
  </w:abstractNum>
  <w:abstractNum w:abstractNumId="173" w15:restartNumberingAfterBreak="0">
    <w:nsid w:val="0A830671"/>
    <w:multiLevelType w:val="hybridMultilevel"/>
    <w:tmpl w:val="9B14F60E"/>
    <w:lvl w:ilvl="0" w:tplc="19FAD3B2">
      <w:numFmt w:val="bullet"/>
      <w:lvlText w:val=""/>
      <w:lvlJc w:val="left"/>
      <w:pPr>
        <w:ind w:left="156" w:hanging="100"/>
      </w:pPr>
      <w:rPr>
        <w:rFonts w:ascii="Symbol" w:eastAsia="Symbol" w:hAnsi="Symbol" w:cs="Symbol" w:hint="default"/>
        <w:color w:val="231F20"/>
        <w:w w:val="100"/>
        <w:sz w:val="14"/>
        <w:szCs w:val="14"/>
      </w:rPr>
    </w:lvl>
    <w:lvl w:ilvl="1" w:tplc="DE6450DA">
      <w:numFmt w:val="bullet"/>
      <w:lvlText w:val="•"/>
      <w:lvlJc w:val="left"/>
      <w:pPr>
        <w:ind w:left="301" w:hanging="100"/>
      </w:pPr>
      <w:rPr>
        <w:rFonts w:hint="default"/>
      </w:rPr>
    </w:lvl>
    <w:lvl w:ilvl="2" w:tplc="41AA7814">
      <w:numFmt w:val="bullet"/>
      <w:lvlText w:val="•"/>
      <w:lvlJc w:val="left"/>
      <w:pPr>
        <w:ind w:left="443" w:hanging="100"/>
      </w:pPr>
      <w:rPr>
        <w:rFonts w:hint="default"/>
      </w:rPr>
    </w:lvl>
    <w:lvl w:ilvl="3" w:tplc="1FF8EA0A">
      <w:numFmt w:val="bullet"/>
      <w:lvlText w:val="•"/>
      <w:lvlJc w:val="left"/>
      <w:pPr>
        <w:ind w:left="585" w:hanging="100"/>
      </w:pPr>
      <w:rPr>
        <w:rFonts w:hint="default"/>
      </w:rPr>
    </w:lvl>
    <w:lvl w:ilvl="4" w:tplc="303A8D02">
      <w:numFmt w:val="bullet"/>
      <w:lvlText w:val="•"/>
      <w:lvlJc w:val="left"/>
      <w:pPr>
        <w:ind w:left="726" w:hanging="100"/>
      </w:pPr>
      <w:rPr>
        <w:rFonts w:hint="default"/>
      </w:rPr>
    </w:lvl>
    <w:lvl w:ilvl="5" w:tplc="EBDE48DE">
      <w:numFmt w:val="bullet"/>
      <w:lvlText w:val="•"/>
      <w:lvlJc w:val="left"/>
      <w:pPr>
        <w:ind w:left="868" w:hanging="100"/>
      </w:pPr>
      <w:rPr>
        <w:rFonts w:hint="default"/>
      </w:rPr>
    </w:lvl>
    <w:lvl w:ilvl="6" w:tplc="BD0E79D4">
      <w:numFmt w:val="bullet"/>
      <w:lvlText w:val="•"/>
      <w:lvlJc w:val="left"/>
      <w:pPr>
        <w:ind w:left="1010" w:hanging="100"/>
      </w:pPr>
      <w:rPr>
        <w:rFonts w:hint="default"/>
      </w:rPr>
    </w:lvl>
    <w:lvl w:ilvl="7" w:tplc="51907AE2">
      <w:numFmt w:val="bullet"/>
      <w:lvlText w:val="•"/>
      <w:lvlJc w:val="left"/>
      <w:pPr>
        <w:ind w:left="1151" w:hanging="100"/>
      </w:pPr>
      <w:rPr>
        <w:rFonts w:hint="default"/>
      </w:rPr>
    </w:lvl>
    <w:lvl w:ilvl="8" w:tplc="8CFAF5DA">
      <w:numFmt w:val="bullet"/>
      <w:lvlText w:val="•"/>
      <w:lvlJc w:val="left"/>
      <w:pPr>
        <w:ind w:left="1293" w:hanging="100"/>
      </w:pPr>
      <w:rPr>
        <w:rFonts w:hint="default"/>
      </w:rPr>
    </w:lvl>
  </w:abstractNum>
  <w:abstractNum w:abstractNumId="174" w15:restartNumberingAfterBreak="0">
    <w:nsid w:val="0A836915"/>
    <w:multiLevelType w:val="hybridMultilevel"/>
    <w:tmpl w:val="3BE8A292"/>
    <w:lvl w:ilvl="0" w:tplc="65329C38">
      <w:numFmt w:val="bullet"/>
      <w:lvlText w:val=""/>
      <w:lvlJc w:val="left"/>
      <w:pPr>
        <w:ind w:left="157" w:hanging="100"/>
      </w:pPr>
      <w:rPr>
        <w:rFonts w:ascii="Symbol" w:eastAsia="Symbol" w:hAnsi="Symbol" w:cs="Symbol" w:hint="default"/>
        <w:color w:val="231F20"/>
        <w:w w:val="100"/>
        <w:sz w:val="14"/>
        <w:szCs w:val="14"/>
      </w:rPr>
    </w:lvl>
    <w:lvl w:ilvl="1" w:tplc="AD5410D0">
      <w:numFmt w:val="bullet"/>
      <w:lvlText w:val="•"/>
      <w:lvlJc w:val="left"/>
      <w:pPr>
        <w:ind w:left="369" w:hanging="100"/>
      </w:pPr>
      <w:rPr>
        <w:rFonts w:hint="default"/>
      </w:rPr>
    </w:lvl>
    <w:lvl w:ilvl="2" w:tplc="7A1628A0">
      <w:numFmt w:val="bullet"/>
      <w:lvlText w:val="•"/>
      <w:lvlJc w:val="left"/>
      <w:pPr>
        <w:ind w:left="579" w:hanging="100"/>
      </w:pPr>
      <w:rPr>
        <w:rFonts w:hint="default"/>
      </w:rPr>
    </w:lvl>
    <w:lvl w:ilvl="3" w:tplc="FA2CF53C">
      <w:numFmt w:val="bullet"/>
      <w:lvlText w:val="•"/>
      <w:lvlJc w:val="left"/>
      <w:pPr>
        <w:ind w:left="789" w:hanging="100"/>
      </w:pPr>
      <w:rPr>
        <w:rFonts w:hint="default"/>
      </w:rPr>
    </w:lvl>
    <w:lvl w:ilvl="4" w:tplc="A3D00B5C">
      <w:numFmt w:val="bullet"/>
      <w:lvlText w:val="•"/>
      <w:lvlJc w:val="left"/>
      <w:pPr>
        <w:ind w:left="998" w:hanging="100"/>
      </w:pPr>
      <w:rPr>
        <w:rFonts w:hint="default"/>
      </w:rPr>
    </w:lvl>
    <w:lvl w:ilvl="5" w:tplc="2AD45284">
      <w:numFmt w:val="bullet"/>
      <w:lvlText w:val="•"/>
      <w:lvlJc w:val="left"/>
      <w:pPr>
        <w:ind w:left="1208" w:hanging="100"/>
      </w:pPr>
      <w:rPr>
        <w:rFonts w:hint="default"/>
      </w:rPr>
    </w:lvl>
    <w:lvl w:ilvl="6" w:tplc="F8EAE650">
      <w:numFmt w:val="bullet"/>
      <w:lvlText w:val="•"/>
      <w:lvlJc w:val="left"/>
      <w:pPr>
        <w:ind w:left="1418" w:hanging="100"/>
      </w:pPr>
      <w:rPr>
        <w:rFonts w:hint="default"/>
      </w:rPr>
    </w:lvl>
    <w:lvl w:ilvl="7" w:tplc="39BC3066">
      <w:numFmt w:val="bullet"/>
      <w:lvlText w:val="•"/>
      <w:lvlJc w:val="left"/>
      <w:pPr>
        <w:ind w:left="1627" w:hanging="100"/>
      </w:pPr>
      <w:rPr>
        <w:rFonts w:hint="default"/>
      </w:rPr>
    </w:lvl>
    <w:lvl w:ilvl="8" w:tplc="29D8A82E">
      <w:numFmt w:val="bullet"/>
      <w:lvlText w:val="•"/>
      <w:lvlJc w:val="left"/>
      <w:pPr>
        <w:ind w:left="1837" w:hanging="100"/>
      </w:pPr>
      <w:rPr>
        <w:rFonts w:hint="default"/>
      </w:rPr>
    </w:lvl>
  </w:abstractNum>
  <w:abstractNum w:abstractNumId="175" w15:restartNumberingAfterBreak="0">
    <w:nsid w:val="0AA641A3"/>
    <w:multiLevelType w:val="hybridMultilevel"/>
    <w:tmpl w:val="BAD88014"/>
    <w:lvl w:ilvl="0" w:tplc="FD868AF2">
      <w:numFmt w:val="bullet"/>
      <w:lvlText w:val=""/>
      <w:lvlJc w:val="left"/>
      <w:pPr>
        <w:ind w:left="156" w:hanging="100"/>
      </w:pPr>
      <w:rPr>
        <w:rFonts w:ascii="Symbol" w:eastAsia="Symbol" w:hAnsi="Symbol" w:cs="Symbol" w:hint="default"/>
        <w:color w:val="231F20"/>
        <w:w w:val="100"/>
        <w:sz w:val="14"/>
        <w:szCs w:val="14"/>
      </w:rPr>
    </w:lvl>
    <w:lvl w:ilvl="1" w:tplc="044A0ADC">
      <w:numFmt w:val="bullet"/>
      <w:lvlText w:val="•"/>
      <w:lvlJc w:val="left"/>
      <w:pPr>
        <w:ind w:left="398" w:hanging="100"/>
      </w:pPr>
      <w:rPr>
        <w:rFonts w:hint="default"/>
      </w:rPr>
    </w:lvl>
    <w:lvl w:ilvl="2" w:tplc="FD649E44">
      <w:numFmt w:val="bullet"/>
      <w:lvlText w:val="•"/>
      <w:lvlJc w:val="left"/>
      <w:pPr>
        <w:ind w:left="636" w:hanging="100"/>
      </w:pPr>
      <w:rPr>
        <w:rFonts w:hint="default"/>
      </w:rPr>
    </w:lvl>
    <w:lvl w:ilvl="3" w:tplc="25627E66">
      <w:numFmt w:val="bullet"/>
      <w:lvlText w:val="•"/>
      <w:lvlJc w:val="left"/>
      <w:pPr>
        <w:ind w:left="874" w:hanging="100"/>
      </w:pPr>
      <w:rPr>
        <w:rFonts w:hint="default"/>
      </w:rPr>
    </w:lvl>
    <w:lvl w:ilvl="4" w:tplc="890AE852">
      <w:numFmt w:val="bullet"/>
      <w:lvlText w:val="•"/>
      <w:lvlJc w:val="left"/>
      <w:pPr>
        <w:ind w:left="1112" w:hanging="100"/>
      </w:pPr>
      <w:rPr>
        <w:rFonts w:hint="default"/>
      </w:rPr>
    </w:lvl>
    <w:lvl w:ilvl="5" w:tplc="25D01302">
      <w:numFmt w:val="bullet"/>
      <w:lvlText w:val="•"/>
      <w:lvlJc w:val="left"/>
      <w:pPr>
        <w:ind w:left="1350" w:hanging="100"/>
      </w:pPr>
      <w:rPr>
        <w:rFonts w:hint="default"/>
      </w:rPr>
    </w:lvl>
    <w:lvl w:ilvl="6" w:tplc="7D000948">
      <w:numFmt w:val="bullet"/>
      <w:lvlText w:val="•"/>
      <w:lvlJc w:val="left"/>
      <w:pPr>
        <w:ind w:left="1588" w:hanging="100"/>
      </w:pPr>
      <w:rPr>
        <w:rFonts w:hint="default"/>
      </w:rPr>
    </w:lvl>
    <w:lvl w:ilvl="7" w:tplc="7F5080B4">
      <w:numFmt w:val="bullet"/>
      <w:lvlText w:val="•"/>
      <w:lvlJc w:val="left"/>
      <w:pPr>
        <w:ind w:left="1826" w:hanging="100"/>
      </w:pPr>
      <w:rPr>
        <w:rFonts w:hint="default"/>
      </w:rPr>
    </w:lvl>
    <w:lvl w:ilvl="8" w:tplc="E2185686">
      <w:numFmt w:val="bullet"/>
      <w:lvlText w:val="•"/>
      <w:lvlJc w:val="left"/>
      <w:pPr>
        <w:ind w:left="2064" w:hanging="100"/>
      </w:pPr>
      <w:rPr>
        <w:rFonts w:hint="default"/>
      </w:rPr>
    </w:lvl>
  </w:abstractNum>
  <w:abstractNum w:abstractNumId="176" w15:restartNumberingAfterBreak="0">
    <w:nsid w:val="0AB160E7"/>
    <w:multiLevelType w:val="hybridMultilevel"/>
    <w:tmpl w:val="7F2EA50A"/>
    <w:lvl w:ilvl="0" w:tplc="FD08C2CE">
      <w:numFmt w:val="bullet"/>
      <w:lvlText w:val=""/>
      <w:lvlJc w:val="left"/>
      <w:pPr>
        <w:ind w:left="156" w:hanging="100"/>
      </w:pPr>
      <w:rPr>
        <w:rFonts w:ascii="Symbol" w:eastAsia="Symbol" w:hAnsi="Symbol" w:cs="Symbol" w:hint="default"/>
        <w:color w:val="231F20"/>
        <w:w w:val="100"/>
        <w:sz w:val="14"/>
        <w:szCs w:val="14"/>
      </w:rPr>
    </w:lvl>
    <w:lvl w:ilvl="1" w:tplc="ED6033E6">
      <w:numFmt w:val="bullet"/>
      <w:lvlText w:val="•"/>
      <w:lvlJc w:val="left"/>
      <w:pPr>
        <w:ind w:left="301" w:hanging="100"/>
      </w:pPr>
      <w:rPr>
        <w:rFonts w:hint="default"/>
      </w:rPr>
    </w:lvl>
    <w:lvl w:ilvl="2" w:tplc="7688E514">
      <w:numFmt w:val="bullet"/>
      <w:lvlText w:val="•"/>
      <w:lvlJc w:val="left"/>
      <w:pPr>
        <w:ind w:left="443" w:hanging="100"/>
      </w:pPr>
      <w:rPr>
        <w:rFonts w:hint="default"/>
      </w:rPr>
    </w:lvl>
    <w:lvl w:ilvl="3" w:tplc="B3E26C22">
      <w:numFmt w:val="bullet"/>
      <w:lvlText w:val="•"/>
      <w:lvlJc w:val="left"/>
      <w:pPr>
        <w:ind w:left="585" w:hanging="100"/>
      </w:pPr>
      <w:rPr>
        <w:rFonts w:hint="default"/>
      </w:rPr>
    </w:lvl>
    <w:lvl w:ilvl="4" w:tplc="C1742B64">
      <w:numFmt w:val="bullet"/>
      <w:lvlText w:val="•"/>
      <w:lvlJc w:val="left"/>
      <w:pPr>
        <w:ind w:left="726" w:hanging="100"/>
      </w:pPr>
      <w:rPr>
        <w:rFonts w:hint="default"/>
      </w:rPr>
    </w:lvl>
    <w:lvl w:ilvl="5" w:tplc="EA3468E4">
      <w:numFmt w:val="bullet"/>
      <w:lvlText w:val="•"/>
      <w:lvlJc w:val="left"/>
      <w:pPr>
        <w:ind w:left="868" w:hanging="100"/>
      </w:pPr>
      <w:rPr>
        <w:rFonts w:hint="default"/>
      </w:rPr>
    </w:lvl>
    <w:lvl w:ilvl="6" w:tplc="8DC2EFE4">
      <w:numFmt w:val="bullet"/>
      <w:lvlText w:val="•"/>
      <w:lvlJc w:val="left"/>
      <w:pPr>
        <w:ind w:left="1010" w:hanging="100"/>
      </w:pPr>
      <w:rPr>
        <w:rFonts w:hint="default"/>
      </w:rPr>
    </w:lvl>
    <w:lvl w:ilvl="7" w:tplc="8EE43B08">
      <w:numFmt w:val="bullet"/>
      <w:lvlText w:val="•"/>
      <w:lvlJc w:val="left"/>
      <w:pPr>
        <w:ind w:left="1151" w:hanging="100"/>
      </w:pPr>
      <w:rPr>
        <w:rFonts w:hint="default"/>
      </w:rPr>
    </w:lvl>
    <w:lvl w:ilvl="8" w:tplc="16BC9624">
      <w:numFmt w:val="bullet"/>
      <w:lvlText w:val="•"/>
      <w:lvlJc w:val="left"/>
      <w:pPr>
        <w:ind w:left="1293" w:hanging="100"/>
      </w:pPr>
      <w:rPr>
        <w:rFonts w:hint="default"/>
      </w:rPr>
    </w:lvl>
  </w:abstractNum>
  <w:abstractNum w:abstractNumId="177" w15:restartNumberingAfterBreak="0">
    <w:nsid w:val="0AB85B89"/>
    <w:multiLevelType w:val="hybridMultilevel"/>
    <w:tmpl w:val="9C3299C4"/>
    <w:lvl w:ilvl="0" w:tplc="6AB03BA2">
      <w:numFmt w:val="bullet"/>
      <w:lvlText w:val=""/>
      <w:lvlJc w:val="left"/>
      <w:pPr>
        <w:ind w:left="156" w:hanging="100"/>
      </w:pPr>
      <w:rPr>
        <w:rFonts w:ascii="Symbol" w:eastAsia="Symbol" w:hAnsi="Symbol" w:cs="Symbol" w:hint="default"/>
        <w:color w:val="231F20"/>
        <w:w w:val="100"/>
        <w:sz w:val="14"/>
        <w:szCs w:val="14"/>
      </w:rPr>
    </w:lvl>
    <w:lvl w:ilvl="1" w:tplc="1CA6562E">
      <w:numFmt w:val="bullet"/>
      <w:lvlText w:val="•"/>
      <w:lvlJc w:val="left"/>
      <w:pPr>
        <w:ind w:left="398" w:hanging="100"/>
      </w:pPr>
      <w:rPr>
        <w:rFonts w:hint="default"/>
      </w:rPr>
    </w:lvl>
    <w:lvl w:ilvl="2" w:tplc="822C6CD4">
      <w:numFmt w:val="bullet"/>
      <w:lvlText w:val="•"/>
      <w:lvlJc w:val="left"/>
      <w:pPr>
        <w:ind w:left="636" w:hanging="100"/>
      </w:pPr>
      <w:rPr>
        <w:rFonts w:hint="default"/>
      </w:rPr>
    </w:lvl>
    <w:lvl w:ilvl="3" w:tplc="9170E50C">
      <w:numFmt w:val="bullet"/>
      <w:lvlText w:val="•"/>
      <w:lvlJc w:val="left"/>
      <w:pPr>
        <w:ind w:left="874" w:hanging="100"/>
      </w:pPr>
      <w:rPr>
        <w:rFonts w:hint="default"/>
      </w:rPr>
    </w:lvl>
    <w:lvl w:ilvl="4" w:tplc="874E1A40">
      <w:numFmt w:val="bullet"/>
      <w:lvlText w:val="•"/>
      <w:lvlJc w:val="left"/>
      <w:pPr>
        <w:ind w:left="1112" w:hanging="100"/>
      </w:pPr>
      <w:rPr>
        <w:rFonts w:hint="default"/>
      </w:rPr>
    </w:lvl>
    <w:lvl w:ilvl="5" w:tplc="90EA04B2">
      <w:numFmt w:val="bullet"/>
      <w:lvlText w:val="•"/>
      <w:lvlJc w:val="left"/>
      <w:pPr>
        <w:ind w:left="1350" w:hanging="100"/>
      </w:pPr>
      <w:rPr>
        <w:rFonts w:hint="default"/>
      </w:rPr>
    </w:lvl>
    <w:lvl w:ilvl="6" w:tplc="8736A468">
      <w:numFmt w:val="bullet"/>
      <w:lvlText w:val="•"/>
      <w:lvlJc w:val="left"/>
      <w:pPr>
        <w:ind w:left="1588" w:hanging="100"/>
      </w:pPr>
      <w:rPr>
        <w:rFonts w:hint="default"/>
      </w:rPr>
    </w:lvl>
    <w:lvl w:ilvl="7" w:tplc="DD8E2172">
      <w:numFmt w:val="bullet"/>
      <w:lvlText w:val="•"/>
      <w:lvlJc w:val="left"/>
      <w:pPr>
        <w:ind w:left="1826" w:hanging="100"/>
      </w:pPr>
      <w:rPr>
        <w:rFonts w:hint="default"/>
      </w:rPr>
    </w:lvl>
    <w:lvl w:ilvl="8" w:tplc="58AAF39C">
      <w:numFmt w:val="bullet"/>
      <w:lvlText w:val="•"/>
      <w:lvlJc w:val="left"/>
      <w:pPr>
        <w:ind w:left="2064" w:hanging="100"/>
      </w:pPr>
      <w:rPr>
        <w:rFonts w:hint="default"/>
      </w:rPr>
    </w:lvl>
  </w:abstractNum>
  <w:abstractNum w:abstractNumId="178" w15:restartNumberingAfterBreak="0">
    <w:nsid w:val="0ABD34C5"/>
    <w:multiLevelType w:val="hybridMultilevel"/>
    <w:tmpl w:val="2CC28B3E"/>
    <w:lvl w:ilvl="0" w:tplc="333630C2">
      <w:numFmt w:val="bullet"/>
      <w:lvlText w:val=""/>
      <w:lvlJc w:val="left"/>
      <w:pPr>
        <w:ind w:left="156" w:hanging="100"/>
      </w:pPr>
      <w:rPr>
        <w:rFonts w:ascii="Symbol" w:eastAsia="Symbol" w:hAnsi="Symbol" w:cs="Symbol" w:hint="default"/>
        <w:color w:val="231F20"/>
        <w:w w:val="100"/>
        <w:sz w:val="14"/>
        <w:szCs w:val="14"/>
      </w:rPr>
    </w:lvl>
    <w:lvl w:ilvl="1" w:tplc="CF3A7C2C">
      <w:numFmt w:val="bullet"/>
      <w:lvlText w:val="•"/>
      <w:lvlJc w:val="left"/>
      <w:pPr>
        <w:ind w:left="398" w:hanging="100"/>
      </w:pPr>
      <w:rPr>
        <w:rFonts w:hint="default"/>
      </w:rPr>
    </w:lvl>
    <w:lvl w:ilvl="2" w:tplc="26A28E82">
      <w:numFmt w:val="bullet"/>
      <w:lvlText w:val="•"/>
      <w:lvlJc w:val="left"/>
      <w:pPr>
        <w:ind w:left="636" w:hanging="100"/>
      </w:pPr>
      <w:rPr>
        <w:rFonts w:hint="default"/>
      </w:rPr>
    </w:lvl>
    <w:lvl w:ilvl="3" w:tplc="8402D236">
      <w:numFmt w:val="bullet"/>
      <w:lvlText w:val="•"/>
      <w:lvlJc w:val="left"/>
      <w:pPr>
        <w:ind w:left="874" w:hanging="100"/>
      </w:pPr>
      <w:rPr>
        <w:rFonts w:hint="default"/>
      </w:rPr>
    </w:lvl>
    <w:lvl w:ilvl="4" w:tplc="0AE8BD52">
      <w:numFmt w:val="bullet"/>
      <w:lvlText w:val="•"/>
      <w:lvlJc w:val="left"/>
      <w:pPr>
        <w:ind w:left="1112" w:hanging="100"/>
      </w:pPr>
      <w:rPr>
        <w:rFonts w:hint="default"/>
      </w:rPr>
    </w:lvl>
    <w:lvl w:ilvl="5" w:tplc="8C62F7AA">
      <w:numFmt w:val="bullet"/>
      <w:lvlText w:val="•"/>
      <w:lvlJc w:val="left"/>
      <w:pPr>
        <w:ind w:left="1350" w:hanging="100"/>
      </w:pPr>
      <w:rPr>
        <w:rFonts w:hint="default"/>
      </w:rPr>
    </w:lvl>
    <w:lvl w:ilvl="6" w:tplc="BF220918">
      <w:numFmt w:val="bullet"/>
      <w:lvlText w:val="•"/>
      <w:lvlJc w:val="left"/>
      <w:pPr>
        <w:ind w:left="1588" w:hanging="100"/>
      </w:pPr>
      <w:rPr>
        <w:rFonts w:hint="default"/>
      </w:rPr>
    </w:lvl>
    <w:lvl w:ilvl="7" w:tplc="2D265A0A">
      <w:numFmt w:val="bullet"/>
      <w:lvlText w:val="•"/>
      <w:lvlJc w:val="left"/>
      <w:pPr>
        <w:ind w:left="1826" w:hanging="100"/>
      </w:pPr>
      <w:rPr>
        <w:rFonts w:hint="default"/>
      </w:rPr>
    </w:lvl>
    <w:lvl w:ilvl="8" w:tplc="8DC0A670">
      <w:numFmt w:val="bullet"/>
      <w:lvlText w:val="•"/>
      <w:lvlJc w:val="left"/>
      <w:pPr>
        <w:ind w:left="2064" w:hanging="100"/>
      </w:pPr>
      <w:rPr>
        <w:rFonts w:hint="default"/>
      </w:rPr>
    </w:lvl>
  </w:abstractNum>
  <w:abstractNum w:abstractNumId="179" w15:restartNumberingAfterBreak="0">
    <w:nsid w:val="0AC31351"/>
    <w:multiLevelType w:val="hybridMultilevel"/>
    <w:tmpl w:val="6590C58E"/>
    <w:lvl w:ilvl="0" w:tplc="6B20043C">
      <w:numFmt w:val="bullet"/>
      <w:lvlText w:val=""/>
      <w:lvlJc w:val="left"/>
      <w:pPr>
        <w:ind w:left="157" w:hanging="100"/>
      </w:pPr>
      <w:rPr>
        <w:rFonts w:ascii="Symbol" w:eastAsia="Symbol" w:hAnsi="Symbol" w:cs="Symbol" w:hint="default"/>
        <w:color w:val="231F20"/>
        <w:w w:val="100"/>
        <w:sz w:val="14"/>
        <w:szCs w:val="14"/>
      </w:rPr>
    </w:lvl>
    <w:lvl w:ilvl="1" w:tplc="D4F67D24">
      <w:numFmt w:val="bullet"/>
      <w:lvlText w:val="•"/>
      <w:lvlJc w:val="left"/>
      <w:pPr>
        <w:ind w:left="426" w:hanging="100"/>
      </w:pPr>
      <w:rPr>
        <w:rFonts w:hint="default"/>
      </w:rPr>
    </w:lvl>
    <w:lvl w:ilvl="2" w:tplc="66BC9756">
      <w:numFmt w:val="bullet"/>
      <w:lvlText w:val="•"/>
      <w:lvlJc w:val="left"/>
      <w:pPr>
        <w:ind w:left="692" w:hanging="100"/>
      </w:pPr>
      <w:rPr>
        <w:rFonts w:hint="default"/>
      </w:rPr>
    </w:lvl>
    <w:lvl w:ilvl="3" w:tplc="4EF0E06E">
      <w:numFmt w:val="bullet"/>
      <w:lvlText w:val="•"/>
      <w:lvlJc w:val="left"/>
      <w:pPr>
        <w:ind w:left="959" w:hanging="100"/>
      </w:pPr>
      <w:rPr>
        <w:rFonts w:hint="default"/>
      </w:rPr>
    </w:lvl>
    <w:lvl w:ilvl="4" w:tplc="85327504">
      <w:numFmt w:val="bullet"/>
      <w:lvlText w:val="•"/>
      <w:lvlJc w:val="left"/>
      <w:pPr>
        <w:ind w:left="1225" w:hanging="100"/>
      </w:pPr>
      <w:rPr>
        <w:rFonts w:hint="default"/>
      </w:rPr>
    </w:lvl>
    <w:lvl w:ilvl="5" w:tplc="75744AC8">
      <w:numFmt w:val="bullet"/>
      <w:lvlText w:val="•"/>
      <w:lvlJc w:val="left"/>
      <w:pPr>
        <w:ind w:left="1492" w:hanging="100"/>
      </w:pPr>
      <w:rPr>
        <w:rFonts w:hint="default"/>
      </w:rPr>
    </w:lvl>
    <w:lvl w:ilvl="6" w:tplc="4A1A4D10">
      <w:numFmt w:val="bullet"/>
      <w:lvlText w:val="•"/>
      <w:lvlJc w:val="left"/>
      <w:pPr>
        <w:ind w:left="1758" w:hanging="100"/>
      </w:pPr>
      <w:rPr>
        <w:rFonts w:hint="default"/>
      </w:rPr>
    </w:lvl>
    <w:lvl w:ilvl="7" w:tplc="D974B190">
      <w:numFmt w:val="bullet"/>
      <w:lvlText w:val="•"/>
      <w:lvlJc w:val="left"/>
      <w:pPr>
        <w:ind w:left="2024" w:hanging="100"/>
      </w:pPr>
      <w:rPr>
        <w:rFonts w:hint="default"/>
      </w:rPr>
    </w:lvl>
    <w:lvl w:ilvl="8" w:tplc="8DDCA9BA">
      <w:numFmt w:val="bullet"/>
      <w:lvlText w:val="•"/>
      <w:lvlJc w:val="left"/>
      <w:pPr>
        <w:ind w:left="2291" w:hanging="100"/>
      </w:pPr>
      <w:rPr>
        <w:rFonts w:hint="default"/>
      </w:rPr>
    </w:lvl>
  </w:abstractNum>
  <w:abstractNum w:abstractNumId="180" w15:restartNumberingAfterBreak="0">
    <w:nsid w:val="0ACC6710"/>
    <w:multiLevelType w:val="hybridMultilevel"/>
    <w:tmpl w:val="5E0A1370"/>
    <w:lvl w:ilvl="0" w:tplc="F314D9BE">
      <w:numFmt w:val="bullet"/>
      <w:lvlText w:val=""/>
      <w:lvlJc w:val="left"/>
      <w:pPr>
        <w:ind w:left="157" w:hanging="100"/>
      </w:pPr>
      <w:rPr>
        <w:rFonts w:ascii="Symbol" w:eastAsia="Symbol" w:hAnsi="Symbol" w:cs="Symbol" w:hint="default"/>
        <w:color w:val="231F20"/>
        <w:w w:val="100"/>
        <w:sz w:val="14"/>
        <w:szCs w:val="14"/>
      </w:rPr>
    </w:lvl>
    <w:lvl w:ilvl="1" w:tplc="F4D63726">
      <w:numFmt w:val="bullet"/>
      <w:lvlText w:val="•"/>
      <w:lvlJc w:val="left"/>
      <w:pPr>
        <w:ind w:left="426" w:hanging="100"/>
      </w:pPr>
      <w:rPr>
        <w:rFonts w:hint="default"/>
      </w:rPr>
    </w:lvl>
    <w:lvl w:ilvl="2" w:tplc="0816AFBC">
      <w:numFmt w:val="bullet"/>
      <w:lvlText w:val="•"/>
      <w:lvlJc w:val="left"/>
      <w:pPr>
        <w:ind w:left="692" w:hanging="100"/>
      </w:pPr>
      <w:rPr>
        <w:rFonts w:hint="default"/>
      </w:rPr>
    </w:lvl>
    <w:lvl w:ilvl="3" w:tplc="6B1EBF86">
      <w:numFmt w:val="bullet"/>
      <w:lvlText w:val="•"/>
      <w:lvlJc w:val="left"/>
      <w:pPr>
        <w:ind w:left="959" w:hanging="100"/>
      </w:pPr>
      <w:rPr>
        <w:rFonts w:hint="default"/>
      </w:rPr>
    </w:lvl>
    <w:lvl w:ilvl="4" w:tplc="277ABB16">
      <w:numFmt w:val="bullet"/>
      <w:lvlText w:val="•"/>
      <w:lvlJc w:val="left"/>
      <w:pPr>
        <w:ind w:left="1225" w:hanging="100"/>
      </w:pPr>
      <w:rPr>
        <w:rFonts w:hint="default"/>
      </w:rPr>
    </w:lvl>
    <w:lvl w:ilvl="5" w:tplc="DB72439C">
      <w:numFmt w:val="bullet"/>
      <w:lvlText w:val="•"/>
      <w:lvlJc w:val="left"/>
      <w:pPr>
        <w:ind w:left="1492" w:hanging="100"/>
      </w:pPr>
      <w:rPr>
        <w:rFonts w:hint="default"/>
      </w:rPr>
    </w:lvl>
    <w:lvl w:ilvl="6" w:tplc="3C5C224A">
      <w:numFmt w:val="bullet"/>
      <w:lvlText w:val="•"/>
      <w:lvlJc w:val="left"/>
      <w:pPr>
        <w:ind w:left="1758" w:hanging="100"/>
      </w:pPr>
      <w:rPr>
        <w:rFonts w:hint="default"/>
      </w:rPr>
    </w:lvl>
    <w:lvl w:ilvl="7" w:tplc="C3AE7B78">
      <w:numFmt w:val="bullet"/>
      <w:lvlText w:val="•"/>
      <w:lvlJc w:val="left"/>
      <w:pPr>
        <w:ind w:left="2024" w:hanging="100"/>
      </w:pPr>
      <w:rPr>
        <w:rFonts w:hint="default"/>
      </w:rPr>
    </w:lvl>
    <w:lvl w:ilvl="8" w:tplc="3F2A86D4">
      <w:numFmt w:val="bullet"/>
      <w:lvlText w:val="•"/>
      <w:lvlJc w:val="left"/>
      <w:pPr>
        <w:ind w:left="2291" w:hanging="100"/>
      </w:pPr>
      <w:rPr>
        <w:rFonts w:hint="default"/>
      </w:rPr>
    </w:lvl>
  </w:abstractNum>
  <w:abstractNum w:abstractNumId="181" w15:restartNumberingAfterBreak="0">
    <w:nsid w:val="0B0A3DA1"/>
    <w:multiLevelType w:val="hybridMultilevel"/>
    <w:tmpl w:val="3552FFB6"/>
    <w:lvl w:ilvl="0" w:tplc="8B585478">
      <w:numFmt w:val="bullet"/>
      <w:lvlText w:val=""/>
      <w:lvlJc w:val="left"/>
      <w:pPr>
        <w:ind w:left="156" w:hanging="100"/>
      </w:pPr>
      <w:rPr>
        <w:rFonts w:ascii="Symbol" w:eastAsia="Symbol" w:hAnsi="Symbol" w:cs="Symbol" w:hint="default"/>
        <w:color w:val="231F20"/>
        <w:w w:val="100"/>
        <w:sz w:val="14"/>
        <w:szCs w:val="14"/>
      </w:rPr>
    </w:lvl>
    <w:lvl w:ilvl="1" w:tplc="FF201752">
      <w:numFmt w:val="bullet"/>
      <w:lvlText w:val="•"/>
      <w:lvlJc w:val="left"/>
      <w:pPr>
        <w:ind w:left="471" w:hanging="100"/>
      </w:pPr>
      <w:rPr>
        <w:rFonts w:hint="default"/>
      </w:rPr>
    </w:lvl>
    <w:lvl w:ilvl="2" w:tplc="038E9872">
      <w:numFmt w:val="bullet"/>
      <w:lvlText w:val="•"/>
      <w:lvlJc w:val="left"/>
      <w:pPr>
        <w:ind w:left="783" w:hanging="100"/>
      </w:pPr>
      <w:rPr>
        <w:rFonts w:hint="default"/>
      </w:rPr>
    </w:lvl>
    <w:lvl w:ilvl="3" w:tplc="F47CCE7C">
      <w:numFmt w:val="bullet"/>
      <w:lvlText w:val="•"/>
      <w:lvlJc w:val="left"/>
      <w:pPr>
        <w:ind w:left="1095" w:hanging="100"/>
      </w:pPr>
      <w:rPr>
        <w:rFonts w:hint="default"/>
      </w:rPr>
    </w:lvl>
    <w:lvl w:ilvl="4" w:tplc="FA9484EC">
      <w:numFmt w:val="bullet"/>
      <w:lvlText w:val="•"/>
      <w:lvlJc w:val="left"/>
      <w:pPr>
        <w:ind w:left="1407" w:hanging="100"/>
      </w:pPr>
      <w:rPr>
        <w:rFonts w:hint="default"/>
      </w:rPr>
    </w:lvl>
    <w:lvl w:ilvl="5" w:tplc="B7189C86">
      <w:numFmt w:val="bullet"/>
      <w:lvlText w:val="•"/>
      <w:lvlJc w:val="left"/>
      <w:pPr>
        <w:ind w:left="1719" w:hanging="100"/>
      </w:pPr>
      <w:rPr>
        <w:rFonts w:hint="default"/>
      </w:rPr>
    </w:lvl>
    <w:lvl w:ilvl="6" w:tplc="535A14CA">
      <w:numFmt w:val="bullet"/>
      <w:lvlText w:val="•"/>
      <w:lvlJc w:val="left"/>
      <w:pPr>
        <w:ind w:left="2030" w:hanging="100"/>
      </w:pPr>
      <w:rPr>
        <w:rFonts w:hint="default"/>
      </w:rPr>
    </w:lvl>
    <w:lvl w:ilvl="7" w:tplc="F6804996">
      <w:numFmt w:val="bullet"/>
      <w:lvlText w:val="•"/>
      <w:lvlJc w:val="left"/>
      <w:pPr>
        <w:ind w:left="2342" w:hanging="100"/>
      </w:pPr>
      <w:rPr>
        <w:rFonts w:hint="default"/>
      </w:rPr>
    </w:lvl>
    <w:lvl w:ilvl="8" w:tplc="64F21510">
      <w:numFmt w:val="bullet"/>
      <w:lvlText w:val="•"/>
      <w:lvlJc w:val="left"/>
      <w:pPr>
        <w:ind w:left="2654" w:hanging="100"/>
      </w:pPr>
      <w:rPr>
        <w:rFonts w:hint="default"/>
      </w:rPr>
    </w:lvl>
  </w:abstractNum>
  <w:abstractNum w:abstractNumId="182" w15:restartNumberingAfterBreak="0">
    <w:nsid w:val="0B1D177E"/>
    <w:multiLevelType w:val="hybridMultilevel"/>
    <w:tmpl w:val="C1264936"/>
    <w:lvl w:ilvl="0" w:tplc="13AE4EF4">
      <w:numFmt w:val="bullet"/>
      <w:lvlText w:val=""/>
      <w:lvlJc w:val="left"/>
      <w:pPr>
        <w:ind w:left="157" w:hanging="100"/>
      </w:pPr>
      <w:rPr>
        <w:rFonts w:ascii="Symbol" w:eastAsia="Symbol" w:hAnsi="Symbol" w:cs="Symbol" w:hint="default"/>
        <w:color w:val="231F20"/>
        <w:w w:val="100"/>
        <w:sz w:val="14"/>
        <w:szCs w:val="14"/>
      </w:rPr>
    </w:lvl>
    <w:lvl w:ilvl="1" w:tplc="6B2E3C88">
      <w:numFmt w:val="bullet"/>
      <w:lvlText w:val="•"/>
      <w:lvlJc w:val="left"/>
      <w:pPr>
        <w:ind w:left="398" w:hanging="100"/>
      </w:pPr>
      <w:rPr>
        <w:rFonts w:hint="default"/>
      </w:rPr>
    </w:lvl>
    <w:lvl w:ilvl="2" w:tplc="92FE83BE">
      <w:numFmt w:val="bullet"/>
      <w:lvlText w:val="•"/>
      <w:lvlJc w:val="left"/>
      <w:pPr>
        <w:ind w:left="636" w:hanging="100"/>
      </w:pPr>
      <w:rPr>
        <w:rFonts w:hint="default"/>
      </w:rPr>
    </w:lvl>
    <w:lvl w:ilvl="3" w:tplc="9B1AC34E">
      <w:numFmt w:val="bullet"/>
      <w:lvlText w:val="•"/>
      <w:lvlJc w:val="left"/>
      <w:pPr>
        <w:ind w:left="874" w:hanging="100"/>
      </w:pPr>
      <w:rPr>
        <w:rFonts w:hint="default"/>
      </w:rPr>
    </w:lvl>
    <w:lvl w:ilvl="4" w:tplc="077A32CE">
      <w:numFmt w:val="bullet"/>
      <w:lvlText w:val="•"/>
      <w:lvlJc w:val="left"/>
      <w:pPr>
        <w:ind w:left="1112" w:hanging="100"/>
      </w:pPr>
      <w:rPr>
        <w:rFonts w:hint="default"/>
      </w:rPr>
    </w:lvl>
    <w:lvl w:ilvl="5" w:tplc="9904CD36">
      <w:numFmt w:val="bullet"/>
      <w:lvlText w:val="•"/>
      <w:lvlJc w:val="left"/>
      <w:pPr>
        <w:ind w:left="1350" w:hanging="100"/>
      </w:pPr>
      <w:rPr>
        <w:rFonts w:hint="default"/>
      </w:rPr>
    </w:lvl>
    <w:lvl w:ilvl="6" w:tplc="15EEA9A8">
      <w:numFmt w:val="bullet"/>
      <w:lvlText w:val="•"/>
      <w:lvlJc w:val="left"/>
      <w:pPr>
        <w:ind w:left="1588" w:hanging="100"/>
      </w:pPr>
      <w:rPr>
        <w:rFonts w:hint="default"/>
      </w:rPr>
    </w:lvl>
    <w:lvl w:ilvl="7" w:tplc="1C16EACA">
      <w:numFmt w:val="bullet"/>
      <w:lvlText w:val="•"/>
      <w:lvlJc w:val="left"/>
      <w:pPr>
        <w:ind w:left="1826" w:hanging="100"/>
      </w:pPr>
      <w:rPr>
        <w:rFonts w:hint="default"/>
      </w:rPr>
    </w:lvl>
    <w:lvl w:ilvl="8" w:tplc="000AB90E">
      <w:numFmt w:val="bullet"/>
      <w:lvlText w:val="•"/>
      <w:lvlJc w:val="left"/>
      <w:pPr>
        <w:ind w:left="2064" w:hanging="100"/>
      </w:pPr>
      <w:rPr>
        <w:rFonts w:hint="default"/>
      </w:rPr>
    </w:lvl>
  </w:abstractNum>
  <w:abstractNum w:abstractNumId="183" w15:restartNumberingAfterBreak="0">
    <w:nsid w:val="0B27109A"/>
    <w:multiLevelType w:val="hybridMultilevel"/>
    <w:tmpl w:val="25F2F83E"/>
    <w:lvl w:ilvl="0" w:tplc="07E09F32">
      <w:numFmt w:val="bullet"/>
      <w:lvlText w:val=""/>
      <w:lvlJc w:val="left"/>
      <w:pPr>
        <w:ind w:left="156" w:hanging="100"/>
      </w:pPr>
      <w:rPr>
        <w:rFonts w:ascii="Symbol" w:eastAsia="Symbol" w:hAnsi="Symbol" w:cs="Symbol" w:hint="default"/>
        <w:color w:val="231F20"/>
        <w:w w:val="100"/>
        <w:sz w:val="14"/>
        <w:szCs w:val="14"/>
      </w:rPr>
    </w:lvl>
    <w:lvl w:ilvl="1" w:tplc="DE00514C">
      <w:numFmt w:val="bullet"/>
      <w:lvlText w:val="•"/>
      <w:lvlJc w:val="left"/>
      <w:pPr>
        <w:ind w:left="398" w:hanging="100"/>
      </w:pPr>
      <w:rPr>
        <w:rFonts w:hint="default"/>
      </w:rPr>
    </w:lvl>
    <w:lvl w:ilvl="2" w:tplc="679A03E4">
      <w:numFmt w:val="bullet"/>
      <w:lvlText w:val="•"/>
      <w:lvlJc w:val="left"/>
      <w:pPr>
        <w:ind w:left="636" w:hanging="100"/>
      </w:pPr>
      <w:rPr>
        <w:rFonts w:hint="default"/>
      </w:rPr>
    </w:lvl>
    <w:lvl w:ilvl="3" w:tplc="B4F0D414">
      <w:numFmt w:val="bullet"/>
      <w:lvlText w:val="•"/>
      <w:lvlJc w:val="left"/>
      <w:pPr>
        <w:ind w:left="874" w:hanging="100"/>
      </w:pPr>
      <w:rPr>
        <w:rFonts w:hint="default"/>
      </w:rPr>
    </w:lvl>
    <w:lvl w:ilvl="4" w:tplc="9E1636F4">
      <w:numFmt w:val="bullet"/>
      <w:lvlText w:val="•"/>
      <w:lvlJc w:val="left"/>
      <w:pPr>
        <w:ind w:left="1112" w:hanging="100"/>
      </w:pPr>
      <w:rPr>
        <w:rFonts w:hint="default"/>
      </w:rPr>
    </w:lvl>
    <w:lvl w:ilvl="5" w:tplc="BF6E7EA0">
      <w:numFmt w:val="bullet"/>
      <w:lvlText w:val="•"/>
      <w:lvlJc w:val="left"/>
      <w:pPr>
        <w:ind w:left="1350" w:hanging="100"/>
      </w:pPr>
      <w:rPr>
        <w:rFonts w:hint="default"/>
      </w:rPr>
    </w:lvl>
    <w:lvl w:ilvl="6" w:tplc="1D50FC34">
      <w:numFmt w:val="bullet"/>
      <w:lvlText w:val="•"/>
      <w:lvlJc w:val="left"/>
      <w:pPr>
        <w:ind w:left="1588" w:hanging="100"/>
      </w:pPr>
      <w:rPr>
        <w:rFonts w:hint="default"/>
      </w:rPr>
    </w:lvl>
    <w:lvl w:ilvl="7" w:tplc="F7D2EDCC">
      <w:numFmt w:val="bullet"/>
      <w:lvlText w:val="•"/>
      <w:lvlJc w:val="left"/>
      <w:pPr>
        <w:ind w:left="1826" w:hanging="100"/>
      </w:pPr>
      <w:rPr>
        <w:rFonts w:hint="default"/>
      </w:rPr>
    </w:lvl>
    <w:lvl w:ilvl="8" w:tplc="54467934">
      <w:numFmt w:val="bullet"/>
      <w:lvlText w:val="•"/>
      <w:lvlJc w:val="left"/>
      <w:pPr>
        <w:ind w:left="2064" w:hanging="100"/>
      </w:pPr>
      <w:rPr>
        <w:rFonts w:hint="default"/>
      </w:rPr>
    </w:lvl>
  </w:abstractNum>
  <w:abstractNum w:abstractNumId="184" w15:restartNumberingAfterBreak="0">
    <w:nsid w:val="0B296468"/>
    <w:multiLevelType w:val="hybridMultilevel"/>
    <w:tmpl w:val="71705738"/>
    <w:lvl w:ilvl="0" w:tplc="8D4C17E4">
      <w:numFmt w:val="bullet"/>
      <w:lvlText w:val=""/>
      <w:lvlJc w:val="left"/>
      <w:pPr>
        <w:ind w:left="156" w:hanging="100"/>
      </w:pPr>
      <w:rPr>
        <w:rFonts w:ascii="Symbol" w:eastAsia="Symbol" w:hAnsi="Symbol" w:cs="Symbol" w:hint="default"/>
        <w:color w:val="231F20"/>
        <w:w w:val="100"/>
        <w:sz w:val="14"/>
        <w:szCs w:val="14"/>
      </w:rPr>
    </w:lvl>
    <w:lvl w:ilvl="1" w:tplc="EB0CCA20">
      <w:numFmt w:val="bullet"/>
      <w:lvlText w:val="•"/>
      <w:lvlJc w:val="left"/>
      <w:pPr>
        <w:ind w:left="398" w:hanging="100"/>
      </w:pPr>
      <w:rPr>
        <w:rFonts w:hint="default"/>
      </w:rPr>
    </w:lvl>
    <w:lvl w:ilvl="2" w:tplc="A93270CE">
      <w:numFmt w:val="bullet"/>
      <w:lvlText w:val="•"/>
      <w:lvlJc w:val="left"/>
      <w:pPr>
        <w:ind w:left="636" w:hanging="100"/>
      </w:pPr>
      <w:rPr>
        <w:rFonts w:hint="default"/>
      </w:rPr>
    </w:lvl>
    <w:lvl w:ilvl="3" w:tplc="05A03B28">
      <w:numFmt w:val="bullet"/>
      <w:lvlText w:val="•"/>
      <w:lvlJc w:val="left"/>
      <w:pPr>
        <w:ind w:left="874" w:hanging="100"/>
      </w:pPr>
      <w:rPr>
        <w:rFonts w:hint="default"/>
      </w:rPr>
    </w:lvl>
    <w:lvl w:ilvl="4" w:tplc="CF3CDA18">
      <w:numFmt w:val="bullet"/>
      <w:lvlText w:val="•"/>
      <w:lvlJc w:val="left"/>
      <w:pPr>
        <w:ind w:left="1112" w:hanging="100"/>
      </w:pPr>
      <w:rPr>
        <w:rFonts w:hint="default"/>
      </w:rPr>
    </w:lvl>
    <w:lvl w:ilvl="5" w:tplc="7A2419E2">
      <w:numFmt w:val="bullet"/>
      <w:lvlText w:val="•"/>
      <w:lvlJc w:val="left"/>
      <w:pPr>
        <w:ind w:left="1350" w:hanging="100"/>
      </w:pPr>
      <w:rPr>
        <w:rFonts w:hint="default"/>
      </w:rPr>
    </w:lvl>
    <w:lvl w:ilvl="6" w:tplc="62DAD51C">
      <w:numFmt w:val="bullet"/>
      <w:lvlText w:val="•"/>
      <w:lvlJc w:val="left"/>
      <w:pPr>
        <w:ind w:left="1588" w:hanging="100"/>
      </w:pPr>
      <w:rPr>
        <w:rFonts w:hint="default"/>
      </w:rPr>
    </w:lvl>
    <w:lvl w:ilvl="7" w:tplc="1D825AFE">
      <w:numFmt w:val="bullet"/>
      <w:lvlText w:val="•"/>
      <w:lvlJc w:val="left"/>
      <w:pPr>
        <w:ind w:left="1826" w:hanging="100"/>
      </w:pPr>
      <w:rPr>
        <w:rFonts w:hint="default"/>
      </w:rPr>
    </w:lvl>
    <w:lvl w:ilvl="8" w:tplc="2438E738">
      <w:numFmt w:val="bullet"/>
      <w:lvlText w:val="•"/>
      <w:lvlJc w:val="left"/>
      <w:pPr>
        <w:ind w:left="2064" w:hanging="100"/>
      </w:pPr>
      <w:rPr>
        <w:rFonts w:hint="default"/>
      </w:rPr>
    </w:lvl>
  </w:abstractNum>
  <w:abstractNum w:abstractNumId="185" w15:restartNumberingAfterBreak="0">
    <w:nsid w:val="0B2A6CA5"/>
    <w:multiLevelType w:val="hybridMultilevel"/>
    <w:tmpl w:val="9B3A804A"/>
    <w:lvl w:ilvl="0" w:tplc="3488B642">
      <w:numFmt w:val="bullet"/>
      <w:lvlText w:val=""/>
      <w:lvlJc w:val="left"/>
      <w:pPr>
        <w:ind w:left="156" w:hanging="100"/>
      </w:pPr>
      <w:rPr>
        <w:rFonts w:ascii="Symbol" w:eastAsia="Symbol" w:hAnsi="Symbol" w:cs="Symbol" w:hint="default"/>
        <w:color w:val="231F20"/>
        <w:w w:val="100"/>
        <w:sz w:val="14"/>
        <w:szCs w:val="14"/>
      </w:rPr>
    </w:lvl>
    <w:lvl w:ilvl="1" w:tplc="B0D8DDA8">
      <w:numFmt w:val="bullet"/>
      <w:lvlText w:val="•"/>
      <w:lvlJc w:val="left"/>
      <w:pPr>
        <w:ind w:left="273" w:hanging="100"/>
      </w:pPr>
      <w:rPr>
        <w:rFonts w:hint="default"/>
      </w:rPr>
    </w:lvl>
    <w:lvl w:ilvl="2" w:tplc="22E64DF8">
      <w:numFmt w:val="bullet"/>
      <w:lvlText w:val="•"/>
      <w:lvlJc w:val="left"/>
      <w:pPr>
        <w:ind w:left="386" w:hanging="100"/>
      </w:pPr>
      <w:rPr>
        <w:rFonts w:hint="default"/>
      </w:rPr>
    </w:lvl>
    <w:lvl w:ilvl="3" w:tplc="85601CB2">
      <w:numFmt w:val="bullet"/>
      <w:lvlText w:val="•"/>
      <w:lvlJc w:val="left"/>
      <w:pPr>
        <w:ind w:left="500" w:hanging="100"/>
      </w:pPr>
      <w:rPr>
        <w:rFonts w:hint="default"/>
      </w:rPr>
    </w:lvl>
    <w:lvl w:ilvl="4" w:tplc="3C482694">
      <w:numFmt w:val="bullet"/>
      <w:lvlText w:val="•"/>
      <w:lvlJc w:val="left"/>
      <w:pPr>
        <w:ind w:left="613" w:hanging="100"/>
      </w:pPr>
      <w:rPr>
        <w:rFonts w:hint="default"/>
      </w:rPr>
    </w:lvl>
    <w:lvl w:ilvl="5" w:tplc="4972EB68">
      <w:numFmt w:val="bullet"/>
      <w:lvlText w:val="•"/>
      <w:lvlJc w:val="left"/>
      <w:pPr>
        <w:ind w:left="727" w:hanging="100"/>
      </w:pPr>
      <w:rPr>
        <w:rFonts w:hint="default"/>
      </w:rPr>
    </w:lvl>
    <w:lvl w:ilvl="6" w:tplc="7DA8226E">
      <w:numFmt w:val="bullet"/>
      <w:lvlText w:val="•"/>
      <w:lvlJc w:val="left"/>
      <w:pPr>
        <w:ind w:left="840" w:hanging="100"/>
      </w:pPr>
      <w:rPr>
        <w:rFonts w:hint="default"/>
      </w:rPr>
    </w:lvl>
    <w:lvl w:ilvl="7" w:tplc="3C18F5F4">
      <w:numFmt w:val="bullet"/>
      <w:lvlText w:val="•"/>
      <w:lvlJc w:val="left"/>
      <w:pPr>
        <w:ind w:left="953" w:hanging="100"/>
      </w:pPr>
      <w:rPr>
        <w:rFonts w:hint="default"/>
      </w:rPr>
    </w:lvl>
    <w:lvl w:ilvl="8" w:tplc="4F6AF7C0">
      <w:numFmt w:val="bullet"/>
      <w:lvlText w:val="•"/>
      <w:lvlJc w:val="left"/>
      <w:pPr>
        <w:ind w:left="1067" w:hanging="100"/>
      </w:pPr>
      <w:rPr>
        <w:rFonts w:hint="default"/>
      </w:rPr>
    </w:lvl>
  </w:abstractNum>
  <w:abstractNum w:abstractNumId="186" w15:restartNumberingAfterBreak="0">
    <w:nsid w:val="0B3774D0"/>
    <w:multiLevelType w:val="hybridMultilevel"/>
    <w:tmpl w:val="35EE4278"/>
    <w:lvl w:ilvl="0" w:tplc="65725662">
      <w:numFmt w:val="bullet"/>
      <w:lvlText w:val=""/>
      <w:lvlJc w:val="left"/>
      <w:pPr>
        <w:ind w:left="156" w:hanging="100"/>
      </w:pPr>
      <w:rPr>
        <w:rFonts w:ascii="Symbol" w:eastAsia="Symbol" w:hAnsi="Symbol" w:cs="Symbol" w:hint="default"/>
        <w:color w:val="231F20"/>
        <w:w w:val="100"/>
        <w:sz w:val="14"/>
        <w:szCs w:val="14"/>
      </w:rPr>
    </w:lvl>
    <w:lvl w:ilvl="1" w:tplc="4312555C">
      <w:numFmt w:val="bullet"/>
      <w:lvlText w:val="•"/>
      <w:lvlJc w:val="left"/>
      <w:pPr>
        <w:ind w:left="454" w:hanging="100"/>
      </w:pPr>
      <w:rPr>
        <w:rFonts w:hint="default"/>
      </w:rPr>
    </w:lvl>
    <w:lvl w:ilvl="2" w:tplc="FD847C28">
      <w:numFmt w:val="bullet"/>
      <w:lvlText w:val="•"/>
      <w:lvlJc w:val="left"/>
      <w:pPr>
        <w:ind w:left="749" w:hanging="100"/>
      </w:pPr>
      <w:rPr>
        <w:rFonts w:hint="default"/>
      </w:rPr>
    </w:lvl>
    <w:lvl w:ilvl="3" w:tplc="8AAA37AC">
      <w:numFmt w:val="bullet"/>
      <w:lvlText w:val="•"/>
      <w:lvlJc w:val="left"/>
      <w:pPr>
        <w:ind w:left="1044" w:hanging="100"/>
      </w:pPr>
      <w:rPr>
        <w:rFonts w:hint="default"/>
      </w:rPr>
    </w:lvl>
    <w:lvl w:ilvl="4" w:tplc="0DE8B858">
      <w:numFmt w:val="bullet"/>
      <w:lvlText w:val="•"/>
      <w:lvlJc w:val="left"/>
      <w:pPr>
        <w:ind w:left="1339" w:hanging="100"/>
      </w:pPr>
      <w:rPr>
        <w:rFonts w:hint="default"/>
      </w:rPr>
    </w:lvl>
    <w:lvl w:ilvl="5" w:tplc="B77A32F0">
      <w:numFmt w:val="bullet"/>
      <w:lvlText w:val="•"/>
      <w:lvlJc w:val="left"/>
      <w:pPr>
        <w:ind w:left="1634" w:hanging="100"/>
      </w:pPr>
      <w:rPr>
        <w:rFonts w:hint="default"/>
      </w:rPr>
    </w:lvl>
    <w:lvl w:ilvl="6" w:tplc="72465EFC">
      <w:numFmt w:val="bullet"/>
      <w:lvlText w:val="•"/>
      <w:lvlJc w:val="left"/>
      <w:pPr>
        <w:ind w:left="1928" w:hanging="100"/>
      </w:pPr>
      <w:rPr>
        <w:rFonts w:hint="default"/>
      </w:rPr>
    </w:lvl>
    <w:lvl w:ilvl="7" w:tplc="839215CE">
      <w:numFmt w:val="bullet"/>
      <w:lvlText w:val="•"/>
      <w:lvlJc w:val="left"/>
      <w:pPr>
        <w:ind w:left="2223" w:hanging="100"/>
      </w:pPr>
      <w:rPr>
        <w:rFonts w:hint="default"/>
      </w:rPr>
    </w:lvl>
    <w:lvl w:ilvl="8" w:tplc="CD02478C">
      <w:numFmt w:val="bullet"/>
      <w:lvlText w:val="•"/>
      <w:lvlJc w:val="left"/>
      <w:pPr>
        <w:ind w:left="2518" w:hanging="100"/>
      </w:pPr>
      <w:rPr>
        <w:rFonts w:hint="default"/>
      </w:rPr>
    </w:lvl>
  </w:abstractNum>
  <w:abstractNum w:abstractNumId="187" w15:restartNumberingAfterBreak="0">
    <w:nsid w:val="0B433565"/>
    <w:multiLevelType w:val="hybridMultilevel"/>
    <w:tmpl w:val="2B92D828"/>
    <w:lvl w:ilvl="0" w:tplc="1BF62F2C">
      <w:numFmt w:val="bullet"/>
      <w:lvlText w:val=""/>
      <w:lvlJc w:val="left"/>
      <w:pPr>
        <w:ind w:left="157" w:hanging="100"/>
      </w:pPr>
      <w:rPr>
        <w:rFonts w:ascii="Symbol" w:eastAsia="Symbol" w:hAnsi="Symbol" w:cs="Symbol" w:hint="default"/>
        <w:color w:val="231F20"/>
        <w:w w:val="100"/>
        <w:sz w:val="14"/>
        <w:szCs w:val="14"/>
      </w:rPr>
    </w:lvl>
    <w:lvl w:ilvl="1" w:tplc="03F2B7E0">
      <w:numFmt w:val="bullet"/>
      <w:lvlText w:val="•"/>
      <w:lvlJc w:val="left"/>
      <w:pPr>
        <w:ind w:left="426" w:hanging="100"/>
      </w:pPr>
      <w:rPr>
        <w:rFonts w:hint="default"/>
      </w:rPr>
    </w:lvl>
    <w:lvl w:ilvl="2" w:tplc="B3706374">
      <w:numFmt w:val="bullet"/>
      <w:lvlText w:val="•"/>
      <w:lvlJc w:val="left"/>
      <w:pPr>
        <w:ind w:left="692" w:hanging="100"/>
      </w:pPr>
      <w:rPr>
        <w:rFonts w:hint="default"/>
      </w:rPr>
    </w:lvl>
    <w:lvl w:ilvl="3" w:tplc="F34E7C60">
      <w:numFmt w:val="bullet"/>
      <w:lvlText w:val="•"/>
      <w:lvlJc w:val="left"/>
      <w:pPr>
        <w:ind w:left="959" w:hanging="100"/>
      </w:pPr>
      <w:rPr>
        <w:rFonts w:hint="default"/>
      </w:rPr>
    </w:lvl>
    <w:lvl w:ilvl="4" w:tplc="F4AE72A8">
      <w:numFmt w:val="bullet"/>
      <w:lvlText w:val="•"/>
      <w:lvlJc w:val="left"/>
      <w:pPr>
        <w:ind w:left="1225" w:hanging="100"/>
      </w:pPr>
      <w:rPr>
        <w:rFonts w:hint="default"/>
      </w:rPr>
    </w:lvl>
    <w:lvl w:ilvl="5" w:tplc="F42CEAB0">
      <w:numFmt w:val="bullet"/>
      <w:lvlText w:val="•"/>
      <w:lvlJc w:val="left"/>
      <w:pPr>
        <w:ind w:left="1492" w:hanging="100"/>
      </w:pPr>
      <w:rPr>
        <w:rFonts w:hint="default"/>
      </w:rPr>
    </w:lvl>
    <w:lvl w:ilvl="6" w:tplc="EC841226">
      <w:numFmt w:val="bullet"/>
      <w:lvlText w:val="•"/>
      <w:lvlJc w:val="left"/>
      <w:pPr>
        <w:ind w:left="1758" w:hanging="100"/>
      </w:pPr>
      <w:rPr>
        <w:rFonts w:hint="default"/>
      </w:rPr>
    </w:lvl>
    <w:lvl w:ilvl="7" w:tplc="BA52914E">
      <w:numFmt w:val="bullet"/>
      <w:lvlText w:val="•"/>
      <w:lvlJc w:val="left"/>
      <w:pPr>
        <w:ind w:left="2024" w:hanging="100"/>
      </w:pPr>
      <w:rPr>
        <w:rFonts w:hint="default"/>
      </w:rPr>
    </w:lvl>
    <w:lvl w:ilvl="8" w:tplc="DFD6D1FA">
      <w:numFmt w:val="bullet"/>
      <w:lvlText w:val="•"/>
      <w:lvlJc w:val="left"/>
      <w:pPr>
        <w:ind w:left="2291" w:hanging="100"/>
      </w:pPr>
      <w:rPr>
        <w:rFonts w:hint="default"/>
      </w:rPr>
    </w:lvl>
  </w:abstractNum>
  <w:abstractNum w:abstractNumId="188" w15:restartNumberingAfterBreak="0">
    <w:nsid w:val="0B515A17"/>
    <w:multiLevelType w:val="hybridMultilevel"/>
    <w:tmpl w:val="BD887CD2"/>
    <w:lvl w:ilvl="0" w:tplc="0E10C8AC">
      <w:numFmt w:val="bullet"/>
      <w:lvlText w:val=""/>
      <w:lvlJc w:val="left"/>
      <w:pPr>
        <w:ind w:left="156" w:hanging="100"/>
      </w:pPr>
      <w:rPr>
        <w:rFonts w:ascii="Symbol" w:eastAsia="Symbol" w:hAnsi="Symbol" w:cs="Symbol" w:hint="default"/>
        <w:color w:val="231F20"/>
        <w:w w:val="100"/>
        <w:sz w:val="14"/>
        <w:szCs w:val="14"/>
      </w:rPr>
    </w:lvl>
    <w:lvl w:ilvl="1" w:tplc="1CB84842">
      <w:numFmt w:val="bullet"/>
      <w:lvlText w:val="•"/>
      <w:lvlJc w:val="left"/>
      <w:pPr>
        <w:ind w:left="398" w:hanging="100"/>
      </w:pPr>
      <w:rPr>
        <w:rFonts w:hint="default"/>
      </w:rPr>
    </w:lvl>
    <w:lvl w:ilvl="2" w:tplc="7A5CA494">
      <w:numFmt w:val="bullet"/>
      <w:lvlText w:val="•"/>
      <w:lvlJc w:val="left"/>
      <w:pPr>
        <w:ind w:left="636" w:hanging="100"/>
      </w:pPr>
      <w:rPr>
        <w:rFonts w:hint="default"/>
      </w:rPr>
    </w:lvl>
    <w:lvl w:ilvl="3" w:tplc="485A3A64">
      <w:numFmt w:val="bullet"/>
      <w:lvlText w:val="•"/>
      <w:lvlJc w:val="left"/>
      <w:pPr>
        <w:ind w:left="874" w:hanging="100"/>
      </w:pPr>
      <w:rPr>
        <w:rFonts w:hint="default"/>
      </w:rPr>
    </w:lvl>
    <w:lvl w:ilvl="4" w:tplc="61DCB1C2">
      <w:numFmt w:val="bullet"/>
      <w:lvlText w:val="•"/>
      <w:lvlJc w:val="left"/>
      <w:pPr>
        <w:ind w:left="1112" w:hanging="100"/>
      </w:pPr>
      <w:rPr>
        <w:rFonts w:hint="default"/>
      </w:rPr>
    </w:lvl>
    <w:lvl w:ilvl="5" w:tplc="E7D460EE">
      <w:numFmt w:val="bullet"/>
      <w:lvlText w:val="•"/>
      <w:lvlJc w:val="left"/>
      <w:pPr>
        <w:ind w:left="1350" w:hanging="100"/>
      </w:pPr>
      <w:rPr>
        <w:rFonts w:hint="default"/>
      </w:rPr>
    </w:lvl>
    <w:lvl w:ilvl="6" w:tplc="1C58C416">
      <w:numFmt w:val="bullet"/>
      <w:lvlText w:val="•"/>
      <w:lvlJc w:val="left"/>
      <w:pPr>
        <w:ind w:left="1588" w:hanging="100"/>
      </w:pPr>
      <w:rPr>
        <w:rFonts w:hint="default"/>
      </w:rPr>
    </w:lvl>
    <w:lvl w:ilvl="7" w:tplc="3BF0CE86">
      <w:numFmt w:val="bullet"/>
      <w:lvlText w:val="•"/>
      <w:lvlJc w:val="left"/>
      <w:pPr>
        <w:ind w:left="1826" w:hanging="100"/>
      </w:pPr>
      <w:rPr>
        <w:rFonts w:hint="default"/>
      </w:rPr>
    </w:lvl>
    <w:lvl w:ilvl="8" w:tplc="A5925C96">
      <w:numFmt w:val="bullet"/>
      <w:lvlText w:val="•"/>
      <w:lvlJc w:val="left"/>
      <w:pPr>
        <w:ind w:left="2064" w:hanging="100"/>
      </w:pPr>
      <w:rPr>
        <w:rFonts w:hint="default"/>
      </w:rPr>
    </w:lvl>
  </w:abstractNum>
  <w:abstractNum w:abstractNumId="189" w15:restartNumberingAfterBreak="0">
    <w:nsid w:val="0B654456"/>
    <w:multiLevelType w:val="hybridMultilevel"/>
    <w:tmpl w:val="A0C08920"/>
    <w:lvl w:ilvl="0" w:tplc="3156309C">
      <w:numFmt w:val="bullet"/>
      <w:lvlText w:val=""/>
      <w:lvlJc w:val="left"/>
      <w:pPr>
        <w:ind w:left="156" w:hanging="100"/>
      </w:pPr>
      <w:rPr>
        <w:rFonts w:ascii="Symbol" w:eastAsia="Symbol" w:hAnsi="Symbol" w:cs="Symbol" w:hint="default"/>
        <w:color w:val="231F20"/>
        <w:w w:val="100"/>
        <w:sz w:val="14"/>
        <w:szCs w:val="14"/>
      </w:rPr>
    </w:lvl>
    <w:lvl w:ilvl="1" w:tplc="4AAC19F6">
      <w:numFmt w:val="bullet"/>
      <w:lvlText w:val="•"/>
      <w:lvlJc w:val="left"/>
      <w:pPr>
        <w:ind w:left="301" w:hanging="100"/>
      </w:pPr>
      <w:rPr>
        <w:rFonts w:hint="default"/>
      </w:rPr>
    </w:lvl>
    <w:lvl w:ilvl="2" w:tplc="3DB6BDCE">
      <w:numFmt w:val="bullet"/>
      <w:lvlText w:val="•"/>
      <w:lvlJc w:val="left"/>
      <w:pPr>
        <w:ind w:left="443" w:hanging="100"/>
      </w:pPr>
      <w:rPr>
        <w:rFonts w:hint="default"/>
      </w:rPr>
    </w:lvl>
    <w:lvl w:ilvl="3" w:tplc="2D709CA0">
      <w:numFmt w:val="bullet"/>
      <w:lvlText w:val="•"/>
      <w:lvlJc w:val="left"/>
      <w:pPr>
        <w:ind w:left="585" w:hanging="100"/>
      </w:pPr>
      <w:rPr>
        <w:rFonts w:hint="default"/>
      </w:rPr>
    </w:lvl>
    <w:lvl w:ilvl="4" w:tplc="1862D860">
      <w:numFmt w:val="bullet"/>
      <w:lvlText w:val="•"/>
      <w:lvlJc w:val="left"/>
      <w:pPr>
        <w:ind w:left="726" w:hanging="100"/>
      </w:pPr>
      <w:rPr>
        <w:rFonts w:hint="default"/>
      </w:rPr>
    </w:lvl>
    <w:lvl w:ilvl="5" w:tplc="5E008E5E">
      <w:numFmt w:val="bullet"/>
      <w:lvlText w:val="•"/>
      <w:lvlJc w:val="left"/>
      <w:pPr>
        <w:ind w:left="868" w:hanging="100"/>
      </w:pPr>
      <w:rPr>
        <w:rFonts w:hint="default"/>
      </w:rPr>
    </w:lvl>
    <w:lvl w:ilvl="6" w:tplc="56D8F406">
      <w:numFmt w:val="bullet"/>
      <w:lvlText w:val="•"/>
      <w:lvlJc w:val="left"/>
      <w:pPr>
        <w:ind w:left="1010" w:hanging="100"/>
      </w:pPr>
      <w:rPr>
        <w:rFonts w:hint="default"/>
      </w:rPr>
    </w:lvl>
    <w:lvl w:ilvl="7" w:tplc="1EBA4A66">
      <w:numFmt w:val="bullet"/>
      <w:lvlText w:val="•"/>
      <w:lvlJc w:val="left"/>
      <w:pPr>
        <w:ind w:left="1151" w:hanging="100"/>
      </w:pPr>
      <w:rPr>
        <w:rFonts w:hint="default"/>
      </w:rPr>
    </w:lvl>
    <w:lvl w:ilvl="8" w:tplc="BA1AE7A0">
      <w:numFmt w:val="bullet"/>
      <w:lvlText w:val="•"/>
      <w:lvlJc w:val="left"/>
      <w:pPr>
        <w:ind w:left="1293" w:hanging="100"/>
      </w:pPr>
      <w:rPr>
        <w:rFonts w:hint="default"/>
      </w:rPr>
    </w:lvl>
  </w:abstractNum>
  <w:abstractNum w:abstractNumId="190" w15:restartNumberingAfterBreak="0">
    <w:nsid w:val="0B753FB2"/>
    <w:multiLevelType w:val="hybridMultilevel"/>
    <w:tmpl w:val="A240E760"/>
    <w:lvl w:ilvl="0" w:tplc="F4061B3C">
      <w:numFmt w:val="bullet"/>
      <w:lvlText w:val=""/>
      <w:lvlJc w:val="left"/>
      <w:pPr>
        <w:ind w:left="157" w:hanging="100"/>
      </w:pPr>
      <w:rPr>
        <w:rFonts w:ascii="Symbol" w:eastAsia="Symbol" w:hAnsi="Symbol" w:cs="Symbol" w:hint="default"/>
        <w:color w:val="231F20"/>
        <w:w w:val="100"/>
        <w:sz w:val="14"/>
        <w:szCs w:val="14"/>
      </w:rPr>
    </w:lvl>
    <w:lvl w:ilvl="1" w:tplc="56B01C36">
      <w:numFmt w:val="bullet"/>
      <w:lvlText w:val="•"/>
      <w:lvlJc w:val="left"/>
      <w:pPr>
        <w:ind w:left="369" w:hanging="100"/>
      </w:pPr>
      <w:rPr>
        <w:rFonts w:hint="default"/>
      </w:rPr>
    </w:lvl>
    <w:lvl w:ilvl="2" w:tplc="9B6E72F6">
      <w:numFmt w:val="bullet"/>
      <w:lvlText w:val="•"/>
      <w:lvlJc w:val="left"/>
      <w:pPr>
        <w:ind w:left="579" w:hanging="100"/>
      </w:pPr>
      <w:rPr>
        <w:rFonts w:hint="default"/>
      </w:rPr>
    </w:lvl>
    <w:lvl w:ilvl="3" w:tplc="C10A1A3E">
      <w:numFmt w:val="bullet"/>
      <w:lvlText w:val="•"/>
      <w:lvlJc w:val="left"/>
      <w:pPr>
        <w:ind w:left="789" w:hanging="100"/>
      </w:pPr>
      <w:rPr>
        <w:rFonts w:hint="default"/>
      </w:rPr>
    </w:lvl>
    <w:lvl w:ilvl="4" w:tplc="FBE2A2AA">
      <w:numFmt w:val="bullet"/>
      <w:lvlText w:val="•"/>
      <w:lvlJc w:val="left"/>
      <w:pPr>
        <w:ind w:left="998" w:hanging="100"/>
      </w:pPr>
      <w:rPr>
        <w:rFonts w:hint="default"/>
      </w:rPr>
    </w:lvl>
    <w:lvl w:ilvl="5" w:tplc="E2EAC4B4">
      <w:numFmt w:val="bullet"/>
      <w:lvlText w:val="•"/>
      <w:lvlJc w:val="left"/>
      <w:pPr>
        <w:ind w:left="1208" w:hanging="100"/>
      </w:pPr>
      <w:rPr>
        <w:rFonts w:hint="default"/>
      </w:rPr>
    </w:lvl>
    <w:lvl w:ilvl="6" w:tplc="C3844F08">
      <w:numFmt w:val="bullet"/>
      <w:lvlText w:val="•"/>
      <w:lvlJc w:val="left"/>
      <w:pPr>
        <w:ind w:left="1418" w:hanging="100"/>
      </w:pPr>
      <w:rPr>
        <w:rFonts w:hint="default"/>
      </w:rPr>
    </w:lvl>
    <w:lvl w:ilvl="7" w:tplc="4EACA984">
      <w:numFmt w:val="bullet"/>
      <w:lvlText w:val="•"/>
      <w:lvlJc w:val="left"/>
      <w:pPr>
        <w:ind w:left="1627" w:hanging="100"/>
      </w:pPr>
      <w:rPr>
        <w:rFonts w:hint="default"/>
      </w:rPr>
    </w:lvl>
    <w:lvl w:ilvl="8" w:tplc="C8E6CC52">
      <w:numFmt w:val="bullet"/>
      <w:lvlText w:val="•"/>
      <w:lvlJc w:val="left"/>
      <w:pPr>
        <w:ind w:left="1837" w:hanging="100"/>
      </w:pPr>
      <w:rPr>
        <w:rFonts w:hint="default"/>
      </w:rPr>
    </w:lvl>
  </w:abstractNum>
  <w:abstractNum w:abstractNumId="191" w15:restartNumberingAfterBreak="0">
    <w:nsid w:val="0B806438"/>
    <w:multiLevelType w:val="hybridMultilevel"/>
    <w:tmpl w:val="12187D30"/>
    <w:lvl w:ilvl="0" w:tplc="39F27A76">
      <w:numFmt w:val="bullet"/>
      <w:lvlText w:val=""/>
      <w:lvlJc w:val="left"/>
      <w:pPr>
        <w:ind w:left="156" w:hanging="100"/>
      </w:pPr>
      <w:rPr>
        <w:rFonts w:ascii="Symbol" w:eastAsia="Symbol" w:hAnsi="Symbol" w:cs="Symbol" w:hint="default"/>
        <w:color w:val="231F20"/>
        <w:w w:val="100"/>
        <w:sz w:val="14"/>
        <w:szCs w:val="14"/>
      </w:rPr>
    </w:lvl>
    <w:lvl w:ilvl="1" w:tplc="69BEFD14">
      <w:numFmt w:val="bullet"/>
      <w:lvlText w:val="•"/>
      <w:lvlJc w:val="left"/>
      <w:pPr>
        <w:ind w:left="301" w:hanging="100"/>
      </w:pPr>
      <w:rPr>
        <w:rFonts w:hint="default"/>
      </w:rPr>
    </w:lvl>
    <w:lvl w:ilvl="2" w:tplc="70AE3A0A">
      <w:numFmt w:val="bullet"/>
      <w:lvlText w:val="•"/>
      <w:lvlJc w:val="left"/>
      <w:pPr>
        <w:ind w:left="443" w:hanging="100"/>
      </w:pPr>
      <w:rPr>
        <w:rFonts w:hint="default"/>
      </w:rPr>
    </w:lvl>
    <w:lvl w:ilvl="3" w:tplc="E9E0DD84">
      <w:numFmt w:val="bullet"/>
      <w:lvlText w:val="•"/>
      <w:lvlJc w:val="left"/>
      <w:pPr>
        <w:ind w:left="585" w:hanging="100"/>
      </w:pPr>
      <w:rPr>
        <w:rFonts w:hint="default"/>
      </w:rPr>
    </w:lvl>
    <w:lvl w:ilvl="4" w:tplc="C1709CF6">
      <w:numFmt w:val="bullet"/>
      <w:lvlText w:val="•"/>
      <w:lvlJc w:val="left"/>
      <w:pPr>
        <w:ind w:left="726" w:hanging="100"/>
      </w:pPr>
      <w:rPr>
        <w:rFonts w:hint="default"/>
      </w:rPr>
    </w:lvl>
    <w:lvl w:ilvl="5" w:tplc="F84AB002">
      <w:numFmt w:val="bullet"/>
      <w:lvlText w:val="•"/>
      <w:lvlJc w:val="left"/>
      <w:pPr>
        <w:ind w:left="868" w:hanging="100"/>
      </w:pPr>
      <w:rPr>
        <w:rFonts w:hint="default"/>
      </w:rPr>
    </w:lvl>
    <w:lvl w:ilvl="6" w:tplc="F058E71E">
      <w:numFmt w:val="bullet"/>
      <w:lvlText w:val="•"/>
      <w:lvlJc w:val="left"/>
      <w:pPr>
        <w:ind w:left="1010" w:hanging="100"/>
      </w:pPr>
      <w:rPr>
        <w:rFonts w:hint="default"/>
      </w:rPr>
    </w:lvl>
    <w:lvl w:ilvl="7" w:tplc="0F269568">
      <w:numFmt w:val="bullet"/>
      <w:lvlText w:val="•"/>
      <w:lvlJc w:val="left"/>
      <w:pPr>
        <w:ind w:left="1151" w:hanging="100"/>
      </w:pPr>
      <w:rPr>
        <w:rFonts w:hint="default"/>
      </w:rPr>
    </w:lvl>
    <w:lvl w:ilvl="8" w:tplc="64B04366">
      <w:numFmt w:val="bullet"/>
      <w:lvlText w:val="•"/>
      <w:lvlJc w:val="left"/>
      <w:pPr>
        <w:ind w:left="1293" w:hanging="100"/>
      </w:pPr>
      <w:rPr>
        <w:rFonts w:hint="default"/>
      </w:rPr>
    </w:lvl>
  </w:abstractNum>
  <w:abstractNum w:abstractNumId="192" w15:restartNumberingAfterBreak="0">
    <w:nsid w:val="0B877DE9"/>
    <w:multiLevelType w:val="hybridMultilevel"/>
    <w:tmpl w:val="4658F172"/>
    <w:lvl w:ilvl="0" w:tplc="345887CC">
      <w:numFmt w:val="bullet"/>
      <w:lvlText w:val=""/>
      <w:lvlJc w:val="left"/>
      <w:pPr>
        <w:ind w:left="156" w:hanging="100"/>
      </w:pPr>
      <w:rPr>
        <w:rFonts w:ascii="Symbol" w:eastAsia="Symbol" w:hAnsi="Symbol" w:cs="Symbol" w:hint="default"/>
        <w:color w:val="231F20"/>
        <w:w w:val="100"/>
        <w:sz w:val="14"/>
        <w:szCs w:val="14"/>
      </w:rPr>
    </w:lvl>
    <w:lvl w:ilvl="1" w:tplc="465A4212">
      <w:numFmt w:val="bullet"/>
      <w:lvlText w:val="•"/>
      <w:lvlJc w:val="left"/>
      <w:pPr>
        <w:ind w:left="426" w:hanging="100"/>
      </w:pPr>
      <w:rPr>
        <w:rFonts w:hint="default"/>
      </w:rPr>
    </w:lvl>
    <w:lvl w:ilvl="2" w:tplc="F760BE04">
      <w:numFmt w:val="bullet"/>
      <w:lvlText w:val="•"/>
      <w:lvlJc w:val="left"/>
      <w:pPr>
        <w:ind w:left="692" w:hanging="100"/>
      </w:pPr>
      <w:rPr>
        <w:rFonts w:hint="default"/>
      </w:rPr>
    </w:lvl>
    <w:lvl w:ilvl="3" w:tplc="3A1EE6F2">
      <w:numFmt w:val="bullet"/>
      <w:lvlText w:val="•"/>
      <w:lvlJc w:val="left"/>
      <w:pPr>
        <w:ind w:left="959" w:hanging="100"/>
      </w:pPr>
      <w:rPr>
        <w:rFonts w:hint="default"/>
      </w:rPr>
    </w:lvl>
    <w:lvl w:ilvl="4" w:tplc="72128CBA">
      <w:numFmt w:val="bullet"/>
      <w:lvlText w:val="•"/>
      <w:lvlJc w:val="left"/>
      <w:pPr>
        <w:ind w:left="1225" w:hanging="100"/>
      </w:pPr>
      <w:rPr>
        <w:rFonts w:hint="default"/>
      </w:rPr>
    </w:lvl>
    <w:lvl w:ilvl="5" w:tplc="4B6E1CAC">
      <w:numFmt w:val="bullet"/>
      <w:lvlText w:val="•"/>
      <w:lvlJc w:val="left"/>
      <w:pPr>
        <w:ind w:left="1492" w:hanging="100"/>
      </w:pPr>
      <w:rPr>
        <w:rFonts w:hint="default"/>
      </w:rPr>
    </w:lvl>
    <w:lvl w:ilvl="6" w:tplc="78E09CE8">
      <w:numFmt w:val="bullet"/>
      <w:lvlText w:val="•"/>
      <w:lvlJc w:val="left"/>
      <w:pPr>
        <w:ind w:left="1758" w:hanging="100"/>
      </w:pPr>
      <w:rPr>
        <w:rFonts w:hint="default"/>
      </w:rPr>
    </w:lvl>
    <w:lvl w:ilvl="7" w:tplc="0A465E52">
      <w:numFmt w:val="bullet"/>
      <w:lvlText w:val="•"/>
      <w:lvlJc w:val="left"/>
      <w:pPr>
        <w:ind w:left="2024" w:hanging="100"/>
      </w:pPr>
      <w:rPr>
        <w:rFonts w:hint="default"/>
      </w:rPr>
    </w:lvl>
    <w:lvl w:ilvl="8" w:tplc="DCA8CCA4">
      <w:numFmt w:val="bullet"/>
      <w:lvlText w:val="•"/>
      <w:lvlJc w:val="left"/>
      <w:pPr>
        <w:ind w:left="2291" w:hanging="100"/>
      </w:pPr>
      <w:rPr>
        <w:rFonts w:hint="default"/>
      </w:rPr>
    </w:lvl>
  </w:abstractNum>
  <w:abstractNum w:abstractNumId="193" w15:restartNumberingAfterBreak="0">
    <w:nsid w:val="0B9A34C7"/>
    <w:multiLevelType w:val="hybridMultilevel"/>
    <w:tmpl w:val="E556D352"/>
    <w:lvl w:ilvl="0" w:tplc="A8904ADE">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AFD29F3C">
      <w:numFmt w:val="bullet"/>
      <w:lvlText w:val="•"/>
      <w:lvlJc w:val="left"/>
      <w:pPr>
        <w:ind w:left="426" w:hanging="105"/>
      </w:pPr>
      <w:rPr>
        <w:rFonts w:hint="default"/>
      </w:rPr>
    </w:lvl>
    <w:lvl w:ilvl="2" w:tplc="431E4E8C">
      <w:numFmt w:val="bullet"/>
      <w:lvlText w:val="•"/>
      <w:lvlJc w:val="left"/>
      <w:pPr>
        <w:ind w:left="692" w:hanging="105"/>
      </w:pPr>
      <w:rPr>
        <w:rFonts w:hint="default"/>
      </w:rPr>
    </w:lvl>
    <w:lvl w:ilvl="3" w:tplc="D7EE52E2">
      <w:numFmt w:val="bullet"/>
      <w:lvlText w:val="•"/>
      <w:lvlJc w:val="left"/>
      <w:pPr>
        <w:ind w:left="959" w:hanging="105"/>
      </w:pPr>
      <w:rPr>
        <w:rFonts w:hint="default"/>
      </w:rPr>
    </w:lvl>
    <w:lvl w:ilvl="4" w:tplc="25C8D3D0">
      <w:numFmt w:val="bullet"/>
      <w:lvlText w:val="•"/>
      <w:lvlJc w:val="left"/>
      <w:pPr>
        <w:ind w:left="1225" w:hanging="105"/>
      </w:pPr>
      <w:rPr>
        <w:rFonts w:hint="default"/>
      </w:rPr>
    </w:lvl>
    <w:lvl w:ilvl="5" w:tplc="4B9E4318">
      <w:numFmt w:val="bullet"/>
      <w:lvlText w:val="•"/>
      <w:lvlJc w:val="left"/>
      <w:pPr>
        <w:ind w:left="1492" w:hanging="105"/>
      </w:pPr>
      <w:rPr>
        <w:rFonts w:hint="default"/>
      </w:rPr>
    </w:lvl>
    <w:lvl w:ilvl="6" w:tplc="67022126">
      <w:numFmt w:val="bullet"/>
      <w:lvlText w:val="•"/>
      <w:lvlJc w:val="left"/>
      <w:pPr>
        <w:ind w:left="1758" w:hanging="105"/>
      </w:pPr>
      <w:rPr>
        <w:rFonts w:hint="default"/>
      </w:rPr>
    </w:lvl>
    <w:lvl w:ilvl="7" w:tplc="F858DCFC">
      <w:numFmt w:val="bullet"/>
      <w:lvlText w:val="•"/>
      <w:lvlJc w:val="left"/>
      <w:pPr>
        <w:ind w:left="2024" w:hanging="105"/>
      </w:pPr>
      <w:rPr>
        <w:rFonts w:hint="default"/>
      </w:rPr>
    </w:lvl>
    <w:lvl w:ilvl="8" w:tplc="54FCC018">
      <w:numFmt w:val="bullet"/>
      <w:lvlText w:val="•"/>
      <w:lvlJc w:val="left"/>
      <w:pPr>
        <w:ind w:left="2291" w:hanging="105"/>
      </w:pPr>
      <w:rPr>
        <w:rFonts w:hint="default"/>
      </w:rPr>
    </w:lvl>
  </w:abstractNum>
  <w:abstractNum w:abstractNumId="194" w15:restartNumberingAfterBreak="0">
    <w:nsid w:val="0BAA2919"/>
    <w:multiLevelType w:val="hybridMultilevel"/>
    <w:tmpl w:val="DBACE892"/>
    <w:lvl w:ilvl="0" w:tplc="AD78653A">
      <w:numFmt w:val="bullet"/>
      <w:lvlText w:val=""/>
      <w:lvlJc w:val="left"/>
      <w:pPr>
        <w:ind w:left="157" w:hanging="100"/>
      </w:pPr>
      <w:rPr>
        <w:rFonts w:ascii="Symbol" w:eastAsia="Symbol" w:hAnsi="Symbol" w:cs="Symbol" w:hint="default"/>
        <w:color w:val="231F20"/>
        <w:w w:val="100"/>
        <w:sz w:val="14"/>
        <w:szCs w:val="14"/>
      </w:rPr>
    </w:lvl>
    <w:lvl w:ilvl="1" w:tplc="D18436F0">
      <w:numFmt w:val="bullet"/>
      <w:lvlText w:val="•"/>
      <w:lvlJc w:val="left"/>
      <w:pPr>
        <w:ind w:left="369" w:hanging="100"/>
      </w:pPr>
      <w:rPr>
        <w:rFonts w:hint="default"/>
      </w:rPr>
    </w:lvl>
    <w:lvl w:ilvl="2" w:tplc="DC90FA0C">
      <w:numFmt w:val="bullet"/>
      <w:lvlText w:val="•"/>
      <w:lvlJc w:val="left"/>
      <w:pPr>
        <w:ind w:left="579" w:hanging="100"/>
      </w:pPr>
      <w:rPr>
        <w:rFonts w:hint="default"/>
      </w:rPr>
    </w:lvl>
    <w:lvl w:ilvl="3" w:tplc="5DD63D70">
      <w:numFmt w:val="bullet"/>
      <w:lvlText w:val="•"/>
      <w:lvlJc w:val="left"/>
      <w:pPr>
        <w:ind w:left="789" w:hanging="100"/>
      </w:pPr>
      <w:rPr>
        <w:rFonts w:hint="default"/>
      </w:rPr>
    </w:lvl>
    <w:lvl w:ilvl="4" w:tplc="847CE90E">
      <w:numFmt w:val="bullet"/>
      <w:lvlText w:val="•"/>
      <w:lvlJc w:val="left"/>
      <w:pPr>
        <w:ind w:left="998" w:hanging="100"/>
      </w:pPr>
      <w:rPr>
        <w:rFonts w:hint="default"/>
      </w:rPr>
    </w:lvl>
    <w:lvl w:ilvl="5" w:tplc="5C92BEA6">
      <w:numFmt w:val="bullet"/>
      <w:lvlText w:val="•"/>
      <w:lvlJc w:val="left"/>
      <w:pPr>
        <w:ind w:left="1208" w:hanging="100"/>
      </w:pPr>
      <w:rPr>
        <w:rFonts w:hint="default"/>
      </w:rPr>
    </w:lvl>
    <w:lvl w:ilvl="6" w:tplc="991EB57A">
      <w:numFmt w:val="bullet"/>
      <w:lvlText w:val="•"/>
      <w:lvlJc w:val="left"/>
      <w:pPr>
        <w:ind w:left="1418" w:hanging="100"/>
      </w:pPr>
      <w:rPr>
        <w:rFonts w:hint="default"/>
      </w:rPr>
    </w:lvl>
    <w:lvl w:ilvl="7" w:tplc="9FD66516">
      <w:numFmt w:val="bullet"/>
      <w:lvlText w:val="•"/>
      <w:lvlJc w:val="left"/>
      <w:pPr>
        <w:ind w:left="1627" w:hanging="100"/>
      </w:pPr>
      <w:rPr>
        <w:rFonts w:hint="default"/>
      </w:rPr>
    </w:lvl>
    <w:lvl w:ilvl="8" w:tplc="7BF0292E">
      <w:numFmt w:val="bullet"/>
      <w:lvlText w:val="•"/>
      <w:lvlJc w:val="left"/>
      <w:pPr>
        <w:ind w:left="1837" w:hanging="100"/>
      </w:pPr>
      <w:rPr>
        <w:rFonts w:hint="default"/>
      </w:rPr>
    </w:lvl>
  </w:abstractNum>
  <w:abstractNum w:abstractNumId="195" w15:restartNumberingAfterBreak="0">
    <w:nsid w:val="0BBB4275"/>
    <w:multiLevelType w:val="hybridMultilevel"/>
    <w:tmpl w:val="813A0770"/>
    <w:lvl w:ilvl="0" w:tplc="BCEE8438">
      <w:numFmt w:val="bullet"/>
      <w:lvlText w:val=""/>
      <w:lvlJc w:val="left"/>
      <w:pPr>
        <w:ind w:left="156" w:hanging="100"/>
      </w:pPr>
      <w:rPr>
        <w:rFonts w:ascii="Symbol" w:eastAsia="Symbol" w:hAnsi="Symbol" w:cs="Symbol" w:hint="default"/>
        <w:color w:val="231F20"/>
        <w:w w:val="100"/>
        <w:sz w:val="14"/>
        <w:szCs w:val="14"/>
      </w:rPr>
    </w:lvl>
    <w:lvl w:ilvl="1" w:tplc="F9E211A4">
      <w:numFmt w:val="bullet"/>
      <w:lvlText w:val="•"/>
      <w:lvlJc w:val="left"/>
      <w:pPr>
        <w:ind w:left="301" w:hanging="100"/>
      </w:pPr>
      <w:rPr>
        <w:rFonts w:hint="default"/>
      </w:rPr>
    </w:lvl>
    <w:lvl w:ilvl="2" w:tplc="1F6AA1C4">
      <w:numFmt w:val="bullet"/>
      <w:lvlText w:val="•"/>
      <w:lvlJc w:val="left"/>
      <w:pPr>
        <w:ind w:left="443" w:hanging="100"/>
      </w:pPr>
      <w:rPr>
        <w:rFonts w:hint="default"/>
      </w:rPr>
    </w:lvl>
    <w:lvl w:ilvl="3" w:tplc="6DFAA4DE">
      <w:numFmt w:val="bullet"/>
      <w:lvlText w:val="•"/>
      <w:lvlJc w:val="left"/>
      <w:pPr>
        <w:ind w:left="585" w:hanging="100"/>
      </w:pPr>
      <w:rPr>
        <w:rFonts w:hint="default"/>
      </w:rPr>
    </w:lvl>
    <w:lvl w:ilvl="4" w:tplc="53A2EA50">
      <w:numFmt w:val="bullet"/>
      <w:lvlText w:val="•"/>
      <w:lvlJc w:val="left"/>
      <w:pPr>
        <w:ind w:left="726" w:hanging="100"/>
      </w:pPr>
      <w:rPr>
        <w:rFonts w:hint="default"/>
      </w:rPr>
    </w:lvl>
    <w:lvl w:ilvl="5" w:tplc="7C740988">
      <w:numFmt w:val="bullet"/>
      <w:lvlText w:val="•"/>
      <w:lvlJc w:val="left"/>
      <w:pPr>
        <w:ind w:left="868" w:hanging="100"/>
      </w:pPr>
      <w:rPr>
        <w:rFonts w:hint="default"/>
      </w:rPr>
    </w:lvl>
    <w:lvl w:ilvl="6" w:tplc="F9724198">
      <w:numFmt w:val="bullet"/>
      <w:lvlText w:val="•"/>
      <w:lvlJc w:val="left"/>
      <w:pPr>
        <w:ind w:left="1010" w:hanging="100"/>
      </w:pPr>
      <w:rPr>
        <w:rFonts w:hint="default"/>
      </w:rPr>
    </w:lvl>
    <w:lvl w:ilvl="7" w:tplc="C07CCD1E">
      <w:numFmt w:val="bullet"/>
      <w:lvlText w:val="•"/>
      <w:lvlJc w:val="left"/>
      <w:pPr>
        <w:ind w:left="1151" w:hanging="100"/>
      </w:pPr>
      <w:rPr>
        <w:rFonts w:hint="default"/>
      </w:rPr>
    </w:lvl>
    <w:lvl w:ilvl="8" w:tplc="8594251E">
      <w:numFmt w:val="bullet"/>
      <w:lvlText w:val="•"/>
      <w:lvlJc w:val="left"/>
      <w:pPr>
        <w:ind w:left="1293" w:hanging="100"/>
      </w:pPr>
      <w:rPr>
        <w:rFonts w:hint="default"/>
      </w:rPr>
    </w:lvl>
  </w:abstractNum>
  <w:abstractNum w:abstractNumId="196" w15:restartNumberingAfterBreak="0">
    <w:nsid w:val="0BC95B25"/>
    <w:multiLevelType w:val="hybridMultilevel"/>
    <w:tmpl w:val="AF944A4E"/>
    <w:lvl w:ilvl="0" w:tplc="EE8E79F6">
      <w:numFmt w:val="bullet"/>
      <w:lvlText w:val="–"/>
      <w:lvlJc w:val="left"/>
      <w:pPr>
        <w:ind w:left="162" w:hanging="105"/>
      </w:pPr>
      <w:rPr>
        <w:rFonts w:ascii="Times New Roman" w:eastAsia="Times New Roman" w:hAnsi="Times New Roman" w:cs="Times New Roman" w:hint="default"/>
        <w:color w:val="231F20"/>
        <w:spacing w:val="-14"/>
        <w:w w:val="100"/>
        <w:sz w:val="14"/>
        <w:szCs w:val="14"/>
      </w:rPr>
    </w:lvl>
    <w:lvl w:ilvl="1" w:tplc="6560A748">
      <w:numFmt w:val="bullet"/>
      <w:lvlText w:val="•"/>
      <w:lvlJc w:val="left"/>
      <w:pPr>
        <w:ind w:left="426" w:hanging="105"/>
      </w:pPr>
      <w:rPr>
        <w:rFonts w:hint="default"/>
      </w:rPr>
    </w:lvl>
    <w:lvl w:ilvl="2" w:tplc="1C9CF2C8">
      <w:numFmt w:val="bullet"/>
      <w:lvlText w:val="•"/>
      <w:lvlJc w:val="left"/>
      <w:pPr>
        <w:ind w:left="692" w:hanging="105"/>
      </w:pPr>
      <w:rPr>
        <w:rFonts w:hint="default"/>
      </w:rPr>
    </w:lvl>
    <w:lvl w:ilvl="3" w:tplc="7DC695C4">
      <w:numFmt w:val="bullet"/>
      <w:lvlText w:val="•"/>
      <w:lvlJc w:val="left"/>
      <w:pPr>
        <w:ind w:left="959" w:hanging="105"/>
      </w:pPr>
      <w:rPr>
        <w:rFonts w:hint="default"/>
      </w:rPr>
    </w:lvl>
    <w:lvl w:ilvl="4" w:tplc="F4A0615A">
      <w:numFmt w:val="bullet"/>
      <w:lvlText w:val="•"/>
      <w:lvlJc w:val="left"/>
      <w:pPr>
        <w:ind w:left="1225" w:hanging="105"/>
      </w:pPr>
      <w:rPr>
        <w:rFonts w:hint="default"/>
      </w:rPr>
    </w:lvl>
    <w:lvl w:ilvl="5" w:tplc="5368523C">
      <w:numFmt w:val="bullet"/>
      <w:lvlText w:val="•"/>
      <w:lvlJc w:val="left"/>
      <w:pPr>
        <w:ind w:left="1492" w:hanging="105"/>
      </w:pPr>
      <w:rPr>
        <w:rFonts w:hint="default"/>
      </w:rPr>
    </w:lvl>
    <w:lvl w:ilvl="6" w:tplc="398C28F2">
      <w:numFmt w:val="bullet"/>
      <w:lvlText w:val="•"/>
      <w:lvlJc w:val="left"/>
      <w:pPr>
        <w:ind w:left="1758" w:hanging="105"/>
      </w:pPr>
      <w:rPr>
        <w:rFonts w:hint="default"/>
      </w:rPr>
    </w:lvl>
    <w:lvl w:ilvl="7" w:tplc="327AF25A">
      <w:numFmt w:val="bullet"/>
      <w:lvlText w:val="•"/>
      <w:lvlJc w:val="left"/>
      <w:pPr>
        <w:ind w:left="2024" w:hanging="105"/>
      </w:pPr>
      <w:rPr>
        <w:rFonts w:hint="default"/>
      </w:rPr>
    </w:lvl>
    <w:lvl w:ilvl="8" w:tplc="2AC8801C">
      <w:numFmt w:val="bullet"/>
      <w:lvlText w:val="•"/>
      <w:lvlJc w:val="left"/>
      <w:pPr>
        <w:ind w:left="2291" w:hanging="105"/>
      </w:pPr>
      <w:rPr>
        <w:rFonts w:hint="default"/>
      </w:rPr>
    </w:lvl>
  </w:abstractNum>
  <w:abstractNum w:abstractNumId="197" w15:restartNumberingAfterBreak="0">
    <w:nsid w:val="0BCB2BFE"/>
    <w:multiLevelType w:val="hybridMultilevel"/>
    <w:tmpl w:val="CFD83A90"/>
    <w:lvl w:ilvl="0" w:tplc="1898087A">
      <w:numFmt w:val="bullet"/>
      <w:lvlText w:val=""/>
      <w:lvlJc w:val="left"/>
      <w:pPr>
        <w:ind w:left="156" w:hanging="100"/>
      </w:pPr>
      <w:rPr>
        <w:rFonts w:ascii="Symbol" w:eastAsia="Symbol" w:hAnsi="Symbol" w:cs="Symbol" w:hint="default"/>
        <w:color w:val="231F20"/>
        <w:w w:val="100"/>
        <w:sz w:val="14"/>
        <w:szCs w:val="14"/>
      </w:rPr>
    </w:lvl>
    <w:lvl w:ilvl="1" w:tplc="A1E44032">
      <w:numFmt w:val="bullet"/>
      <w:lvlText w:val="•"/>
      <w:lvlJc w:val="left"/>
      <w:pPr>
        <w:ind w:left="426" w:hanging="100"/>
      </w:pPr>
      <w:rPr>
        <w:rFonts w:hint="default"/>
      </w:rPr>
    </w:lvl>
    <w:lvl w:ilvl="2" w:tplc="0784CB14">
      <w:numFmt w:val="bullet"/>
      <w:lvlText w:val="•"/>
      <w:lvlJc w:val="left"/>
      <w:pPr>
        <w:ind w:left="692" w:hanging="100"/>
      </w:pPr>
      <w:rPr>
        <w:rFonts w:hint="default"/>
      </w:rPr>
    </w:lvl>
    <w:lvl w:ilvl="3" w:tplc="4C98F892">
      <w:numFmt w:val="bullet"/>
      <w:lvlText w:val="•"/>
      <w:lvlJc w:val="left"/>
      <w:pPr>
        <w:ind w:left="959" w:hanging="100"/>
      </w:pPr>
      <w:rPr>
        <w:rFonts w:hint="default"/>
      </w:rPr>
    </w:lvl>
    <w:lvl w:ilvl="4" w:tplc="9CD66B8A">
      <w:numFmt w:val="bullet"/>
      <w:lvlText w:val="•"/>
      <w:lvlJc w:val="left"/>
      <w:pPr>
        <w:ind w:left="1225" w:hanging="100"/>
      </w:pPr>
      <w:rPr>
        <w:rFonts w:hint="default"/>
      </w:rPr>
    </w:lvl>
    <w:lvl w:ilvl="5" w:tplc="F0E04CC6">
      <w:numFmt w:val="bullet"/>
      <w:lvlText w:val="•"/>
      <w:lvlJc w:val="left"/>
      <w:pPr>
        <w:ind w:left="1492" w:hanging="100"/>
      </w:pPr>
      <w:rPr>
        <w:rFonts w:hint="default"/>
      </w:rPr>
    </w:lvl>
    <w:lvl w:ilvl="6" w:tplc="A88EF7F6">
      <w:numFmt w:val="bullet"/>
      <w:lvlText w:val="•"/>
      <w:lvlJc w:val="left"/>
      <w:pPr>
        <w:ind w:left="1758" w:hanging="100"/>
      </w:pPr>
      <w:rPr>
        <w:rFonts w:hint="default"/>
      </w:rPr>
    </w:lvl>
    <w:lvl w:ilvl="7" w:tplc="2A80E2BE">
      <w:numFmt w:val="bullet"/>
      <w:lvlText w:val="•"/>
      <w:lvlJc w:val="left"/>
      <w:pPr>
        <w:ind w:left="2024" w:hanging="100"/>
      </w:pPr>
      <w:rPr>
        <w:rFonts w:hint="default"/>
      </w:rPr>
    </w:lvl>
    <w:lvl w:ilvl="8" w:tplc="3EEAE060">
      <w:numFmt w:val="bullet"/>
      <w:lvlText w:val="•"/>
      <w:lvlJc w:val="left"/>
      <w:pPr>
        <w:ind w:left="2291" w:hanging="100"/>
      </w:pPr>
      <w:rPr>
        <w:rFonts w:hint="default"/>
      </w:rPr>
    </w:lvl>
  </w:abstractNum>
  <w:abstractNum w:abstractNumId="198" w15:restartNumberingAfterBreak="0">
    <w:nsid w:val="0BE04542"/>
    <w:multiLevelType w:val="hybridMultilevel"/>
    <w:tmpl w:val="87F8AFB6"/>
    <w:lvl w:ilvl="0" w:tplc="776253C4">
      <w:numFmt w:val="bullet"/>
      <w:lvlText w:val=""/>
      <w:lvlJc w:val="left"/>
      <w:pPr>
        <w:ind w:left="156" w:hanging="100"/>
      </w:pPr>
      <w:rPr>
        <w:rFonts w:ascii="Symbol" w:eastAsia="Symbol" w:hAnsi="Symbol" w:cs="Symbol" w:hint="default"/>
        <w:color w:val="231F20"/>
        <w:w w:val="100"/>
        <w:sz w:val="14"/>
        <w:szCs w:val="14"/>
      </w:rPr>
    </w:lvl>
    <w:lvl w:ilvl="1" w:tplc="1DA0DB38">
      <w:numFmt w:val="bullet"/>
      <w:lvlText w:val="•"/>
      <w:lvlJc w:val="left"/>
      <w:pPr>
        <w:ind w:left="398" w:hanging="100"/>
      </w:pPr>
      <w:rPr>
        <w:rFonts w:hint="default"/>
      </w:rPr>
    </w:lvl>
    <w:lvl w:ilvl="2" w:tplc="92E282B8">
      <w:numFmt w:val="bullet"/>
      <w:lvlText w:val="•"/>
      <w:lvlJc w:val="left"/>
      <w:pPr>
        <w:ind w:left="636" w:hanging="100"/>
      </w:pPr>
      <w:rPr>
        <w:rFonts w:hint="default"/>
      </w:rPr>
    </w:lvl>
    <w:lvl w:ilvl="3" w:tplc="6824BDC0">
      <w:numFmt w:val="bullet"/>
      <w:lvlText w:val="•"/>
      <w:lvlJc w:val="left"/>
      <w:pPr>
        <w:ind w:left="874" w:hanging="100"/>
      </w:pPr>
      <w:rPr>
        <w:rFonts w:hint="default"/>
      </w:rPr>
    </w:lvl>
    <w:lvl w:ilvl="4" w:tplc="E8968876">
      <w:numFmt w:val="bullet"/>
      <w:lvlText w:val="•"/>
      <w:lvlJc w:val="left"/>
      <w:pPr>
        <w:ind w:left="1112" w:hanging="100"/>
      </w:pPr>
      <w:rPr>
        <w:rFonts w:hint="default"/>
      </w:rPr>
    </w:lvl>
    <w:lvl w:ilvl="5" w:tplc="8FDEB322">
      <w:numFmt w:val="bullet"/>
      <w:lvlText w:val="•"/>
      <w:lvlJc w:val="left"/>
      <w:pPr>
        <w:ind w:left="1350" w:hanging="100"/>
      </w:pPr>
      <w:rPr>
        <w:rFonts w:hint="default"/>
      </w:rPr>
    </w:lvl>
    <w:lvl w:ilvl="6" w:tplc="96FA6094">
      <w:numFmt w:val="bullet"/>
      <w:lvlText w:val="•"/>
      <w:lvlJc w:val="left"/>
      <w:pPr>
        <w:ind w:left="1588" w:hanging="100"/>
      </w:pPr>
      <w:rPr>
        <w:rFonts w:hint="default"/>
      </w:rPr>
    </w:lvl>
    <w:lvl w:ilvl="7" w:tplc="7C1A7AEE">
      <w:numFmt w:val="bullet"/>
      <w:lvlText w:val="•"/>
      <w:lvlJc w:val="left"/>
      <w:pPr>
        <w:ind w:left="1826" w:hanging="100"/>
      </w:pPr>
      <w:rPr>
        <w:rFonts w:hint="default"/>
      </w:rPr>
    </w:lvl>
    <w:lvl w:ilvl="8" w:tplc="8106403A">
      <w:numFmt w:val="bullet"/>
      <w:lvlText w:val="•"/>
      <w:lvlJc w:val="left"/>
      <w:pPr>
        <w:ind w:left="2064" w:hanging="100"/>
      </w:pPr>
      <w:rPr>
        <w:rFonts w:hint="default"/>
      </w:rPr>
    </w:lvl>
  </w:abstractNum>
  <w:abstractNum w:abstractNumId="199" w15:restartNumberingAfterBreak="0">
    <w:nsid w:val="0BE92A23"/>
    <w:multiLevelType w:val="hybridMultilevel"/>
    <w:tmpl w:val="9452AC40"/>
    <w:lvl w:ilvl="0" w:tplc="826A8AE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F9FAB0F4">
      <w:numFmt w:val="bullet"/>
      <w:lvlText w:val="•"/>
      <w:lvlJc w:val="left"/>
      <w:pPr>
        <w:ind w:left="408" w:hanging="84"/>
      </w:pPr>
      <w:rPr>
        <w:rFonts w:hint="default"/>
      </w:rPr>
    </w:lvl>
    <w:lvl w:ilvl="2" w:tplc="1AC09B32">
      <w:numFmt w:val="bullet"/>
      <w:lvlText w:val="•"/>
      <w:lvlJc w:val="left"/>
      <w:pPr>
        <w:ind w:left="676" w:hanging="84"/>
      </w:pPr>
      <w:rPr>
        <w:rFonts w:hint="default"/>
      </w:rPr>
    </w:lvl>
    <w:lvl w:ilvl="3" w:tplc="6CE27194">
      <w:numFmt w:val="bullet"/>
      <w:lvlText w:val="•"/>
      <w:lvlJc w:val="left"/>
      <w:pPr>
        <w:ind w:left="945" w:hanging="84"/>
      </w:pPr>
      <w:rPr>
        <w:rFonts w:hint="default"/>
      </w:rPr>
    </w:lvl>
    <w:lvl w:ilvl="4" w:tplc="C7A8EE10">
      <w:numFmt w:val="bullet"/>
      <w:lvlText w:val="•"/>
      <w:lvlJc w:val="left"/>
      <w:pPr>
        <w:ind w:left="1213" w:hanging="84"/>
      </w:pPr>
      <w:rPr>
        <w:rFonts w:hint="default"/>
      </w:rPr>
    </w:lvl>
    <w:lvl w:ilvl="5" w:tplc="9F46C256">
      <w:numFmt w:val="bullet"/>
      <w:lvlText w:val="•"/>
      <w:lvlJc w:val="left"/>
      <w:pPr>
        <w:ind w:left="1482" w:hanging="84"/>
      </w:pPr>
      <w:rPr>
        <w:rFonts w:hint="default"/>
      </w:rPr>
    </w:lvl>
    <w:lvl w:ilvl="6" w:tplc="F3209F12">
      <w:numFmt w:val="bullet"/>
      <w:lvlText w:val="•"/>
      <w:lvlJc w:val="left"/>
      <w:pPr>
        <w:ind w:left="1750" w:hanging="84"/>
      </w:pPr>
      <w:rPr>
        <w:rFonts w:hint="default"/>
      </w:rPr>
    </w:lvl>
    <w:lvl w:ilvl="7" w:tplc="25D6FEF4">
      <w:numFmt w:val="bullet"/>
      <w:lvlText w:val="•"/>
      <w:lvlJc w:val="left"/>
      <w:pPr>
        <w:ind w:left="2018" w:hanging="84"/>
      </w:pPr>
      <w:rPr>
        <w:rFonts w:hint="default"/>
      </w:rPr>
    </w:lvl>
    <w:lvl w:ilvl="8" w:tplc="A5A06B62">
      <w:numFmt w:val="bullet"/>
      <w:lvlText w:val="•"/>
      <w:lvlJc w:val="left"/>
      <w:pPr>
        <w:ind w:left="2287" w:hanging="84"/>
      </w:pPr>
      <w:rPr>
        <w:rFonts w:hint="default"/>
      </w:rPr>
    </w:lvl>
  </w:abstractNum>
  <w:abstractNum w:abstractNumId="200" w15:restartNumberingAfterBreak="0">
    <w:nsid w:val="0BFE3C4F"/>
    <w:multiLevelType w:val="hybridMultilevel"/>
    <w:tmpl w:val="BA9C85A6"/>
    <w:lvl w:ilvl="0" w:tplc="B898410A">
      <w:numFmt w:val="bullet"/>
      <w:lvlText w:val=""/>
      <w:lvlJc w:val="left"/>
      <w:pPr>
        <w:ind w:left="156" w:hanging="100"/>
      </w:pPr>
      <w:rPr>
        <w:rFonts w:ascii="Symbol" w:eastAsia="Symbol" w:hAnsi="Symbol" w:cs="Symbol" w:hint="default"/>
        <w:color w:val="231F20"/>
        <w:w w:val="100"/>
        <w:sz w:val="14"/>
        <w:szCs w:val="14"/>
      </w:rPr>
    </w:lvl>
    <w:lvl w:ilvl="1" w:tplc="7ABA9C96">
      <w:numFmt w:val="bullet"/>
      <w:lvlText w:val="•"/>
      <w:lvlJc w:val="left"/>
      <w:pPr>
        <w:ind w:left="398" w:hanging="100"/>
      </w:pPr>
      <w:rPr>
        <w:rFonts w:hint="default"/>
      </w:rPr>
    </w:lvl>
    <w:lvl w:ilvl="2" w:tplc="9090693C">
      <w:numFmt w:val="bullet"/>
      <w:lvlText w:val="•"/>
      <w:lvlJc w:val="left"/>
      <w:pPr>
        <w:ind w:left="636" w:hanging="100"/>
      </w:pPr>
      <w:rPr>
        <w:rFonts w:hint="default"/>
      </w:rPr>
    </w:lvl>
    <w:lvl w:ilvl="3" w:tplc="9D7887AE">
      <w:numFmt w:val="bullet"/>
      <w:lvlText w:val="•"/>
      <w:lvlJc w:val="left"/>
      <w:pPr>
        <w:ind w:left="874" w:hanging="100"/>
      </w:pPr>
      <w:rPr>
        <w:rFonts w:hint="default"/>
      </w:rPr>
    </w:lvl>
    <w:lvl w:ilvl="4" w:tplc="9CD06F66">
      <w:numFmt w:val="bullet"/>
      <w:lvlText w:val="•"/>
      <w:lvlJc w:val="left"/>
      <w:pPr>
        <w:ind w:left="1112" w:hanging="100"/>
      </w:pPr>
      <w:rPr>
        <w:rFonts w:hint="default"/>
      </w:rPr>
    </w:lvl>
    <w:lvl w:ilvl="5" w:tplc="22EACEBA">
      <w:numFmt w:val="bullet"/>
      <w:lvlText w:val="•"/>
      <w:lvlJc w:val="left"/>
      <w:pPr>
        <w:ind w:left="1350" w:hanging="100"/>
      </w:pPr>
      <w:rPr>
        <w:rFonts w:hint="default"/>
      </w:rPr>
    </w:lvl>
    <w:lvl w:ilvl="6" w:tplc="66449C92">
      <w:numFmt w:val="bullet"/>
      <w:lvlText w:val="•"/>
      <w:lvlJc w:val="left"/>
      <w:pPr>
        <w:ind w:left="1588" w:hanging="100"/>
      </w:pPr>
      <w:rPr>
        <w:rFonts w:hint="default"/>
      </w:rPr>
    </w:lvl>
    <w:lvl w:ilvl="7" w:tplc="FE92CD1E">
      <w:numFmt w:val="bullet"/>
      <w:lvlText w:val="•"/>
      <w:lvlJc w:val="left"/>
      <w:pPr>
        <w:ind w:left="1826" w:hanging="100"/>
      </w:pPr>
      <w:rPr>
        <w:rFonts w:hint="default"/>
      </w:rPr>
    </w:lvl>
    <w:lvl w:ilvl="8" w:tplc="A6A0EE20">
      <w:numFmt w:val="bullet"/>
      <w:lvlText w:val="•"/>
      <w:lvlJc w:val="left"/>
      <w:pPr>
        <w:ind w:left="2064" w:hanging="100"/>
      </w:pPr>
      <w:rPr>
        <w:rFonts w:hint="default"/>
      </w:rPr>
    </w:lvl>
  </w:abstractNum>
  <w:abstractNum w:abstractNumId="201" w15:restartNumberingAfterBreak="0">
    <w:nsid w:val="0C110A6C"/>
    <w:multiLevelType w:val="hybridMultilevel"/>
    <w:tmpl w:val="0C5EEE62"/>
    <w:lvl w:ilvl="0" w:tplc="AD1C8FA4">
      <w:numFmt w:val="bullet"/>
      <w:lvlText w:val=""/>
      <w:lvlJc w:val="left"/>
      <w:pPr>
        <w:ind w:left="157" w:hanging="100"/>
      </w:pPr>
      <w:rPr>
        <w:rFonts w:ascii="Symbol" w:eastAsia="Symbol" w:hAnsi="Symbol" w:cs="Symbol" w:hint="default"/>
        <w:color w:val="231F20"/>
        <w:w w:val="100"/>
        <w:sz w:val="14"/>
        <w:szCs w:val="14"/>
      </w:rPr>
    </w:lvl>
    <w:lvl w:ilvl="1" w:tplc="1166BF2E">
      <w:numFmt w:val="bullet"/>
      <w:lvlText w:val="•"/>
      <w:lvlJc w:val="left"/>
      <w:pPr>
        <w:ind w:left="369" w:hanging="100"/>
      </w:pPr>
      <w:rPr>
        <w:rFonts w:hint="default"/>
      </w:rPr>
    </w:lvl>
    <w:lvl w:ilvl="2" w:tplc="D378564E">
      <w:numFmt w:val="bullet"/>
      <w:lvlText w:val="•"/>
      <w:lvlJc w:val="left"/>
      <w:pPr>
        <w:ind w:left="579" w:hanging="100"/>
      </w:pPr>
      <w:rPr>
        <w:rFonts w:hint="default"/>
      </w:rPr>
    </w:lvl>
    <w:lvl w:ilvl="3" w:tplc="3F40F9C2">
      <w:numFmt w:val="bullet"/>
      <w:lvlText w:val="•"/>
      <w:lvlJc w:val="left"/>
      <w:pPr>
        <w:ind w:left="789" w:hanging="100"/>
      </w:pPr>
      <w:rPr>
        <w:rFonts w:hint="default"/>
      </w:rPr>
    </w:lvl>
    <w:lvl w:ilvl="4" w:tplc="2E642B68">
      <w:numFmt w:val="bullet"/>
      <w:lvlText w:val="•"/>
      <w:lvlJc w:val="left"/>
      <w:pPr>
        <w:ind w:left="998" w:hanging="100"/>
      </w:pPr>
      <w:rPr>
        <w:rFonts w:hint="default"/>
      </w:rPr>
    </w:lvl>
    <w:lvl w:ilvl="5" w:tplc="999673F4">
      <w:numFmt w:val="bullet"/>
      <w:lvlText w:val="•"/>
      <w:lvlJc w:val="left"/>
      <w:pPr>
        <w:ind w:left="1208" w:hanging="100"/>
      </w:pPr>
      <w:rPr>
        <w:rFonts w:hint="default"/>
      </w:rPr>
    </w:lvl>
    <w:lvl w:ilvl="6" w:tplc="E968D05A">
      <w:numFmt w:val="bullet"/>
      <w:lvlText w:val="•"/>
      <w:lvlJc w:val="left"/>
      <w:pPr>
        <w:ind w:left="1418" w:hanging="100"/>
      </w:pPr>
      <w:rPr>
        <w:rFonts w:hint="default"/>
      </w:rPr>
    </w:lvl>
    <w:lvl w:ilvl="7" w:tplc="C80E66A0">
      <w:numFmt w:val="bullet"/>
      <w:lvlText w:val="•"/>
      <w:lvlJc w:val="left"/>
      <w:pPr>
        <w:ind w:left="1627" w:hanging="100"/>
      </w:pPr>
      <w:rPr>
        <w:rFonts w:hint="default"/>
      </w:rPr>
    </w:lvl>
    <w:lvl w:ilvl="8" w:tplc="7BE47016">
      <w:numFmt w:val="bullet"/>
      <w:lvlText w:val="•"/>
      <w:lvlJc w:val="left"/>
      <w:pPr>
        <w:ind w:left="1837" w:hanging="100"/>
      </w:pPr>
      <w:rPr>
        <w:rFonts w:hint="default"/>
      </w:rPr>
    </w:lvl>
  </w:abstractNum>
  <w:abstractNum w:abstractNumId="202" w15:restartNumberingAfterBreak="0">
    <w:nsid w:val="0C147F76"/>
    <w:multiLevelType w:val="hybridMultilevel"/>
    <w:tmpl w:val="27065FF0"/>
    <w:lvl w:ilvl="0" w:tplc="F17E10A6">
      <w:numFmt w:val="bullet"/>
      <w:lvlText w:val=""/>
      <w:lvlJc w:val="left"/>
      <w:pPr>
        <w:ind w:left="156" w:hanging="100"/>
      </w:pPr>
      <w:rPr>
        <w:rFonts w:ascii="Symbol" w:eastAsia="Symbol" w:hAnsi="Symbol" w:cs="Symbol" w:hint="default"/>
        <w:color w:val="231F20"/>
        <w:w w:val="100"/>
        <w:sz w:val="14"/>
        <w:szCs w:val="14"/>
      </w:rPr>
    </w:lvl>
    <w:lvl w:ilvl="1" w:tplc="F2682804">
      <w:numFmt w:val="bullet"/>
      <w:lvlText w:val="•"/>
      <w:lvlJc w:val="left"/>
      <w:pPr>
        <w:ind w:left="454" w:hanging="100"/>
      </w:pPr>
      <w:rPr>
        <w:rFonts w:hint="default"/>
      </w:rPr>
    </w:lvl>
    <w:lvl w:ilvl="2" w:tplc="8AB0F342">
      <w:numFmt w:val="bullet"/>
      <w:lvlText w:val="•"/>
      <w:lvlJc w:val="left"/>
      <w:pPr>
        <w:ind w:left="749" w:hanging="100"/>
      </w:pPr>
      <w:rPr>
        <w:rFonts w:hint="default"/>
      </w:rPr>
    </w:lvl>
    <w:lvl w:ilvl="3" w:tplc="B8A28C78">
      <w:numFmt w:val="bullet"/>
      <w:lvlText w:val="•"/>
      <w:lvlJc w:val="left"/>
      <w:pPr>
        <w:ind w:left="1044" w:hanging="100"/>
      </w:pPr>
      <w:rPr>
        <w:rFonts w:hint="default"/>
      </w:rPr>
    </w:lvl>
    <w:lvl w:ilvl="4" w:tplc="77EC1F6C">
      <w:numFmt w:val="bullet"/>
      <w:lvlText w:val="•"/>
      <w:lvlJc w:val="left"/>
      <w:pPr>
        <w:ind w:left="1339" w:hanging="100"/>
      </w:pPr>
      <w:rPr>
        <w:rFonts w:hint="default"/>
      </w:rPr>
    </w:lvl>
    <w:lvl w:ilvl="5" w:tplc="E6FCD91A">
      <w:numFmt w:val="bullet"/>
      <w:lvlText w:val="•"/>
      <w:lvlJc w:val="left"/>
      <w:pPr>
        <w:ind w:left="1634" w:hanging="100"/>
      </w:pPr>
      <w:rPr>
        <w:rFonts w:hint="default"/>
      </w:rPr>
    </w:lvl>
    <w:lvl w:ilvl="6" w:tplc="48B23CDC">
      <w:numFmt w:val="bullet"/>
      <w:lvlText w:val="•"/>
      <w:lvlJc w:val="left"/>
      <w:pPr>
        <w:ind w:left="1928" w:hanging="100"/>
      </w:pPr>
      <w:rPr>
        <w:rFonts w:hint="default"/>
      </w:rPr>
    </w:lvl>
    <w:lvl w:ilvl="7" w:tplc="39C8FE58">
      <w:numFmt w:val="bullet"/>
      <w:lvlText w:val="•"/>
      <w:lvlJc w:val="left"/>
      <w:pPr>
        <w:ind w:left="2223" w:hanging="100"/>
      </w:pPr>
      <w:rPr>
        <w:rFonts w:hint="default"/>
      </w:rPr>
    </w:lvl>
    <w:lvl w:ilvl="8" w:tplc="FC002234">
      <w:numFmt w:val="bullet"/>
      <w:lvlText w:val="•"/>
      <w:lvlJc w:val="left"/>
      <w:pPr>
        <w:ind w:left="2518" w:hanging="100"/>
      </w:pPr>
      <w:rPr>
        <w:rFonts w:hint="default"/>
      </w:rPr>
    </w:lvl>
  </w:abstractNum>
  <w:abstractNum w:abstractNumId="203" w15:restartNumberingAfterBreak="0">
    <w:nsid w:val="0C170D81"/>
    <w:multiLevelType w:val="hybridMultilevel"/>
    <w:tmpl w:val="945CF8B6"/>
    <w:lvl w:ilvl="0" w:tplc="2AFA339C">
      <w:numFmt w:val="bullet"/>
      <w:lvlText w:val=""/>
      <w:lvlJc w:val="left"/>
      <w:pPr>
        <w:ind w:left="156" w:hanging="100"/>
      </w:pPr>
      <w:rPr>
        <w:rFonts w:ascii="Symbol" w:eastAsia="Symbol" w:hAnsi="Symbol" w:cs="Symbol" w:hint="default"/>
        <w:color w:val="231F20"/>
        <w:w w:val="100"/>
        <w:sz w:val="14"/>
        <w:szCs w:val="14"/>
      </w:rPr>
    </w:lvl>
    <w:lvl w:ilvl="1" w:tplc="3D4E5886">
      <w:numFmt w:val="bullet"/>
      <w:lvlText w:val="•"/>
      <w:lvlJc w:val="left"/>
      <w:pPr>
        <w:ind w:left="426" w:hanging="100"/>
      </w:pPr>
      <w:rPr>
        <w:rFonts w:hint="default"/>
      </w:rPr>
    </w:lvl>
    <w:lvl w:ilvl="2" w:tplc="67581298">
      <w:numFmt w:val="bullet"/>
      <w:lvlText w:val="•"/>
      <w:lvlJc w:val="left"/>
      <w:pPr>
        <w:ind w:left="692" w:hanging="100"/>
      </w:pPr>
      <w:rPr>
        <w:rFonts w:hint="default"/>
      </w:rPr>
    </w:lvl>
    <w:lvl w:ilvl="3" w:tplc="C8F63EEA">
      <w:numFmt w:val="bullet"/>
      <w:lvlText w:val="•"/>
      <w:lvlJc w:val="left"/>
      <w:pPr>
        <w:ind w:left="959" w:hanging="100"/>
      </w:pPr>
      <w:rPr>
        <w:rFonts w:hint="default"/>
      </w:rPr>
    </w:lvl>
    <w:lvl w:ilvl="4" w:tplc="1764A606">
      <w:numFmt w:val="bullet"/>
      <w:lvlText w:val="•"/>
      <w:lvlJc w:val="left"/>
      <w:pPr>
        <w:ind w:left="1225" w:hanging="100"/>
      </w:pPr>
      <w:rPr>
        <w:rFonts w:hint="default"/>
      </w:rPr>
    </w:lvl>
    <w:lvl w:ilvl="5" w:tplc="C41E41E2">
      <w:numFmt w:val="bullet"/>
      <w:lvlText w:val="•"/>
      <w:lvlJc w:val="left"/>
      <w:pPr>
        <w:ind w:left="1492" w:hanging="100"/>
      </w:pPr>
      <w:rPr>
        <w:rFonts w:hint="default"/>
      </w:rPr>
    </w:lvl>
    <w:lvl w:ilvl="6" w:tplc="FF4E1F94">
      <w:numFmt w:val="bullet"/>
      <w:lvlText w:val="•"/>
      <w:lvlJc w:val="left"/>
      <w:pPr>
        <w:ind w:left="1758" w:hanging="100"/>
      </w:pPr>
      <w:rPr>
        <w:rFonts w:hint="default"/>
      </w:rPr>
    </w:lvl>
    <w:lvl w:ilvl="7" w:tplc="E6EEE12A">
      <w:numFmt w:val="bullet"/>
      <w:lvlText w:val="•"/>
      <w:lvlJc w:val="left"/>
      <w:pPr>
        <w:ind w:left="2024" w:hanging="100"/>
      </w:pPr>
      <w:rPr>
        <w:rFonts w:hint="default"/>
      </w:rPr>
    </w:lvl>
    <w:lvl w:ilvl="8" w:tplc="CE0E8F18">
      <w:numFmt w:val="bullet"/>
      <w:lvlText w:val="•"/>
      <w:lvlJc w:val="left"/>
      <w:pPr>
        <w:ind w:left="2291" w:hanging="100"/>
      </w:pPr>
      <w:rPr>
        <w:rFonts w:hint="default"/>
      </w:rPr>
    </w:lvl>
  </w:abstractNum>
  <w:abstractNum w:abstractNumId="204" w15:restartNumberingAfterBreak="0">
    <w:nsid w:val="0C277742"/>
    <w:multiLevelType w:val="hybridMultilevel"/>
    <w:tmpl w:val="C6B6CE0E"/>
    <w:lvl w:ilvl="0" w:tplc="6EFE85E6">
      <w:numFmt w:val="bullet"/>
      <w:lvlText w:val=""/>
      <w:lvlJc w:val="left"/>
      <w:pPr>
        <w:ind w:left="157" w:hanging="100"/>
      </w:pPr>
      <w:rPr>
        <w:rFonts w:ascii="Symbol" w:eastAsia="Symbol" w:hAnsi="Symbol" w:cs="Symbol" w:hint="default"/>
        <w:color w:val="231F20"/>
        <w:w w:val="100"/>
        <w:sz w:val="14"/>
        <w:szCs w:val="14"/>
      </w:rPr>
    </w:lvl>
    <w:lvl w:ilvl="1" w:tplc="2D28B20E">
      <w:numFmt w:val="bullet"/>
      <w:lvlText w:val="•"/>
      <w:lvlJc w:val="left"/>
      <w:pPr>
        <w:ind w:left="369" w:hanging="100"/>
      </w:pPr>
      <w:rPr>
        <w:rFonts w:hint="default"/>
      </w:rPr>
    </w:lvl>
    <w:lvl w:ilvl="2" w:tplc="6FA81E48">
      <w:numFmt w:val="bullet"/>
      <w:lvlText w:val="•"/>
      <w:lvlJc w:val="left"/>
      <w:pPr>
        <w:ind w:left="579" w:hanging="100"/>
      </w:pPr>
      <w:rPr>
        <w:rFonts w:hint="default"/>
      </w:rPr>
    </w:lvl>
    <w:lvl w:ilvl="3" w:tplc="2B746268">
      <w:numFmt w:val="bullet"/>
      <w:lvlText w:val="•"/>
      <w:lvlJc w:val="left"/>
      <w:pPr>
        <w:ind w:left="789" w:hanging="100"/>
      </w:pPr>
      <w:rPr>
        <w:rFonts w:hint="default"/>
      </w:rPr>
    </w:lvl>
    <w:lvl w:ilvl="4" w:tplc="A91AF1D0">
      <w:numFmt w:val="bullet"/>
      <w:lvlText w:val="•"/>
      <w:lvlJc w:val="left"/>
      <w:pPr>
        <w:ind w:left="998" w:hanging="100"/>
      </w:pPr>
      <w:rPr>
        <w:rFonts w:hint="default"/>
      </w:rPr>
    </w:lvl>
    <w:lvl w:ilvl="5" w:tplc="73146812">
      <w:numFmt w:val="bullet"/>
      <w:lvlText w:val="•"/>
      <w:lvlJc w:val="left"/>
      <w:pPr>
        <w:ind w:left="1208" w:hanging="100"/>
      </w:pPr>
      <w:rPr>
        <w:rFonts w:hint="default"/>
      </w:rPr>
    </w:lvl>
    <w:lvl w:ilvl="6" w:tplc="0A6C55B8">
      <w:numFmt w:val="bullet"/>
      <w:lvlText w:val="•"/>
      <w:lvlJc w:val="left"/>
      <w:pPr>
        <w:ind w:left="1418" w:hanging="100"/>
      </w:pPr>
      <w:rPr>
        <w:rFonts w:hint="default"/>
      </w:rPr>
    </w:lvl>
    <w:lvl w:ilvl="7" w:tplc="C3C015B2">
      <w:numFmt w:val="bullet"/>
      <w:lvlText w:val="•"/>
      <w:lvlJc w:val="left"/>
      <w:pPr>
        <w:ind w:left="1627" w:hanging="100"/>
      </w:pPr>
      <w:rPr>
        <w:rFonts w:hint="default"/>
      </w:rPr>
    </w:lvl>
    <w:lvl w:ilvl="8" w:tplc="ABC67B88">
      <w:numFmt w:val="bullet"/>
      <w:lvlText w:val="•"/>
      <w:lvlJc w:val="left"/>
      <w:pPr>
        <w:ind w:left="1837" w:hanging="100"/>
      </w:pPr>
      <w:rPr>
        <w:rFonts w:hint="default"/>
      </w:rPr>
    </w:lvl>
  </w:abstractNum>
  <w:abstractNum w:abstractNumId="205" w15:restartNumberingAfterBreak="0">
    <w:nsid w:val="0C315CFD"/>
    <w:multiLevelType w:val="hybridMultilevel"/>
    <w:tmpl w:val="535EBAE0"/>
    <w:lvl w:ilvl="0" w:tplc="DBC6F7CA">
      <w:numFmt w:val="bullet"/>
      <w:lvlText w:val=""/>
      <w:lvlJc w:val="left"/>
      <w:pPr>
        <w:ind w:left="156" w:hanging="100"/>
      </w:pPr>
      <w:rPr>
        <w:rFonts w:ascii="Symbol" w:eastAsia="Symbol" w:hAnsi="Symbol" w:cs="Symbol" w:hint="default"/>
        <w:color w:val="231F20"/>
        <w:w w:val="100"/>
        <w:sz w:val="14"/>
        <w:szCs w:val="14"/>
      </w:rPr>
    </w:lvl>
    <w:lvl w:ilvl="1" w:tplc="8788E376">
      <w:numFmt w:val="bullet"/>
      <w:lvlText w:val="•"/>
      <w:lvlJc w:val="left"/>
      <w:pPr>
        <w:ind w:left="398" w:hanging="100"/>
      </w:pPr>
      <w:rPr>
        <w:rFonts w:hint="default"/>
      </w:rPr>
    </w:lvl>
    <w:lvl w:ilvl="2" w:tplc="A30C79CE">
      <w:numFmt w:val="bullet"/>
      <w:lvlText w:val="•"/>
      <w:lvlJc w:val="left"/>
      <w:pPr>
        <w:ind w:left="636" w:hanging="100"/>
      </w:pPr>
      <w:rPr>
        <w:rFonts w:hint="default"/>
      </w:rPr>
    </w:lvl>
    <w:lvl w:ilvl="3" w:tplc="7804CE48">
      <w:numFmt w:val="bullet"/>
      <w:lvlText w:val="•"/>
      <w:lvlJc w:val="left"/>
      <w:pPr>
        <w:ind w:left="874" w:hanging="100"/>
      </w:pPr>
      <w:rPr>
        <w:rFonts w:hint="default"/>
      </w:rPr>
    </w:lvl>
    <w:lvl w:ilvl="4" w:tplc="2EB41FDC">
      <w:numFmt w:val="bullet"/>
      <w:lvlText w:val="•"/>
      <w:lvlJc w:val="left"/>
      <w:pPr>
        <w:ind w:left="1112" w:hanging="100"/>
      </w:pPr>
      <w:rPr>
        <w:rFonts w:hint="default"/>
      </w:rPr>
    </w:lvl>
    <w:lvl w:ilvl="5" w:tplc="7EF890AE">
      <w:numFmt w:val="bullet"/>
      <w:lvlText w:val="•"/>
      <w:lvlJc w:val="left"/>
      <w:pPr>
        <w:ind w:left="1350" w:hanging="100"/>
      </w:pPr>
      <w:rPr>
        <w:rFonts w:hint="default"/>
      </w:rPr>
    </w:lvl>
    <w:lvl w:ilvl="6" w:tplc="E17AA89A">
      <w:numFmt w:val="bullet"/>
      <w:lvlText w:val="•"/>
      <w:lvlJc w:val="left"/>
      <w:pPr>
        <w:ind w:left="1588" w:hanging="100"/>
      </w:pPr>
      <w:rPr>
        <w:rFonts w:hint="default"/>
      </w:rPr>
    </w:lvl>
    <w:lvl w:ilvl="7" w:tplc="C61CDA0A">
      <w:numFmt w:val="bullet"/>
      <w:lvlText w:val="•"/>
      <w:lvlJc w:val="left"/>
      <w:pPr>
        <w:ind w:left="1826" w:hanging="100"/>
      </w:pPr>
      <w:rPr>
        <w:rFonts w:hint="default"/>
      </w:rPr>
    </w:lvl>
    <w:lvl w:ilvl="8" w:tplc="48925F8C">
      <w:numFmt w:val="bullet"/>
      <w:lvlText w:val="•"/>
      <w:lvlJc w:val="left"/>
      <w:pPr>
        <w:ind w:left="2064" w:hanging="100"/>
      </w:pPr>
      <w:rPr>
        <w:rFonts w:hint="default"/>
      </w:rPr>
    </w:lvl>
  </w:abstractNum>
  <w:abstractNum w:abstractNumId="206" w15:restartNumberingAfterBreak="0">
    <w:nsid w:val="0C721ACC"/>
    <w:multiLevelType w:val="hybridMultilevel"/>
    <w:tmpl w:val="64A0C376"/>
    <w:lvl w:ilvl="0" w:tplc="097ACFF0">
      <w:numFmt w:val="bullet"/>
      <w:lvlText w:val=""/>
      <w:lvlJc w:val="left"/>
      <w:pPr>
        <w:ind w:left="157" w:hanging="100"/>
      </w:pPr>
      <w:rPr>
        <w:rFonts w:ascii="Symbol" w:eastAsia="Symbol" w:hAnsi="Symbol" w:cs="Symbol" w:hint="default"/>
        <w:color w:val="231F20"/>
        <w:w w:val="100"/>
        <w:sz w:val="14"/>
        <w:szCs w:val="14"/>
      </w:rPr>
    </w:lvl>
    <w:lvl w:ilvl="1" w:tplc="A202C39E">
      <w:numFmt w:val="bullet"/>
      <w:lvlText w:val="•"/>
      <w:lvlJc w:val="left"/>
      <w:pPr>
        <w:ind w:left="369" w:hanging="100"/>
      </w:pPr>
      <w:rPr>
        <w:rFonts w:hint="default"/>
      </w:rPr>
    </w:lvl>
    <w:lvl w:ilvl="2" w:tplc="0F1C17D0">
      <w:numFmt w:val="bullet"/>
      <w:lvlText w:val="•"/>
      <w:lvlJc w:val="left"/>
      <w:pPr>
        <w:ind w:left="579" w:hanging="100"/>
      </w:pPr>
      <w:rPr>
        <w:rFonts w:hint="default"/>
      </w:rPr>
    </w:lvl>
    <w:lvl w:ilvl="3" w:tplc="D74283DA">
      <w:numFmt w:val="bullet"/>
      <w:lvlText w:val="•"/>
      <w:lvlJc w:val="left"/>
      <w:pPr>
        <w:ind w:left="789" w:hanging="100"/>
      </w:pPr>
      <w:rPr>
        <w:rFonts w:hint="default"/>
      </w:rPr>
    </w:lvl>
    <w:lvl w:ilvl="4" w:tplc="BF76ABCE">
      <w:numFmt w:val="bullet"/>
      <w:lvlText w:val="•"/>
      <w:lvlJc w:val="left"/>
      <w:pPr>
        <w:ind w:left="998" w:hanging="100"/>
      </w:pPr>
      <w:rPr>
        <w:rFonts w:hint="default"/>
      </w:rPr>
    </w:lvl>
    <w:lvl w:ilvl="5" w:tplc="95CA12D0">
      <w:numFmt w:val="bullet"/>
      <w:lvlText w:val="•"/>
      <w:lvlJc w:val="left"/>
      <w:pPr>
        <w:ind w:left="1208" w:hanging="100"/>
      </w:pPr>
      <w:rPr>
        <w:rFonts w:hint="default"/>
      </w:rPr>
    </w:lvl>
    <w:lvl w:ilvl="6" w:tplc="1A6E719A">
      <w:numFmt w:val="bullet"/>
      <w:lvlText w:val="•"/>
      <w:lvlJc w:val="left"/>
      <w:pPr>
        <w:ind w:left="1418" w:hanging="100"/>
      </w:pPr>
      <w:rPr>
        <w:rFonts w:hint="default"/>
      </w:rPr>
    </w:lvl>
    <w:lvl w:ilvl="7" w:tplc="820C9DA8">
      <w:numFmt w:val="bullet"/>
      <w:lvlText w:val="•"/>
      <w:lvlJc w:val="left"/>
      <w:pPr>
        <w:ind w:left="1627" w:hanging="100"/>
      </w:pPr>
      <w:rPr>
        <w:rFonts w:hint="default"/>
      </w:rPr>
    </w:lvl>
    <w:lvl w:ilvl="8" w:tplc="A95CB172">
      <w:numFmt w:val="bullet"/>
      <w:lvlText w:val="•"/>
      <w:lvlJc w:val="left"/>
      <w:pPr>
        <w:ind w:left="1837" w:hanging="100"/>
      </w:pPr>
      <w:rPr>
        <w:rFonts w:hint="default"/>
      </w:rPr>
    </w:lvl>
  </w:abstractNum>
  <w:abstractNum w:abstractNumId="207" w15:restartNumberingAfterBreak="0">
    <w:nsid w:val="0C776450"/>
    <w:multiLevelType w:val="hybridMultilevel"/>
    <w:tmpl w:val="4ADEB9A0"/>
    <w:lvl w:ilvl="0" w:tplc="D01C37A6">
      <w:numFmt w:val="bullet"/>
      <w:lvlText w:val=""/>
      <w:lvlJc w:val="left"/>
      <w:pPr>
        <w:ind w:left="156" w:hanging="100"/>
      </w:pPr>
      <w:rPr>
        <w:rFonts w:ascii="Symbol" w:eastAsia="Symbol" w:hAnsi="Symbol" w:cs="Symbol" w:hint="default"/>
        <w:color w:val="231F20"/>
        <w:w w:val="100"/>
        <w:sz w:val="14"/>
        <w:szCs w:val="14"/>
      </w:rPr>
    </w:lvl>
    <w:lvl w:ilvl="1" w:tplc="48A8DF34">
      <w:numFmt w:val="bullet"/>
      <w:lvlText w:val="•"/>
      <w:lvlJc w:val="left"/>
      <w:pPr>
        <w:ind w:left="426" w:hanging="100"/>
      </w:pPr>
      <w:rPr>
        <w:rFonts w:hint="default"/>
      </w:rPr>
    </w:lvl>
    <w:lvl w:ilvl="2" w:tplc="58F8A61A">
      <w:numFmt w:val="bullet"/>
      <w:lvlText w:val="•"/>
      <w:lvlJc w:val="left"/>
      <w:pPr>
        <w:ind w:left="692" w:hanging="100"/>
      </w:pPr>
      <w:rPr>
        <w:rFonts w:hint="default"/>
      </w:rPr>
    </w:lvl>
    <w:lvl w:ilvl="3" w:tplc="E312E62C">
      <w:numFmt w:val="bullet"/>
      <w:lvlText w:val="•"/>
      <w:lvlJc w:val="left"/>
      <w:pPr>
        <w:ind w:left="959" w:hanging="100"/>
      </w:pPr>
      <w:rPr>
        <w:rFonts w:hint="default"/>
      </w:rPr>
    </w:lvl>
    <w:lvl w:ilvl="4" w:tplc="EA5669E2">
      <w:numFmt w:val="bullet"/>
      <w:lvlText w:val="•"/>
      <w:lvlJc w:val="left"/>
      <w:pPr>
        <w:ind w:left="1225" w:hanging="100"/>
      </w:pPr>
      <w:rPr>
        <w:rFonts w:hint="default"/>
      </w:rPr>
    </w:lvl>
    <w:lvl w:ilvl="5" w:tplc="6CE064E4">
      <w:numFmt w:val="bullet"/>
      <w:lvlText w:val="•"/>
      <w:lvlJc w:val="left"/>
      <w:pPr>
        <w:ind w:left="1492" w:hanging="100"/>
      </w:pPr>
      <w:rPr>
        <w:rFonts w:hint="default"/>
      </w:rPr>
    </w:lvl>
    <w:lvl w:ilvl="6" w:tplc="D68EC572">
      <w:numFmt w:val="bullet"/>
      <w:lvlText w:val="•"/>
      <w:lvlJc w:val="left"/>
      <w:pPr>
        <w:ind w:left="1758" w:hanging="100"/>
      </w:pPr>
      <w:rPr>
        <w:rFonts w:hint="default"/>
      </w:rPr>
    </w:lvl>
    <w:lvl w:ilvl="7" w:tplc="428C7532">
      <w:numFmt w:val="bullet"/>
      <w:lvlText w:val="•"/>
      <w:lvlJc w:val="left"/>
      <w:pPr>
        <w:ind w:left="2024" w:hanging="100"/>
      </w:pPr>
      <w:rPr>
        <w:rFonts w:hint="default"/>
      </w:rPr>
    </w:lvl>
    <w:lvl w:ilvl="8" w:tplc="A40AB068">
      <w:numFmt w:val="bullet"/>
      <w:lvlText w:val="•"/>
      <w:lvlJc w:val="left"/>
      <w:pPr>
        <w:ind w:left="2291" w:hanging="100"/>
      </w:pPr>
      <w:rPr>
        <w:rFonts w:hint="default"/>
      </w:rPr>
    </w:lvl>
  </w:abstractNum>
  <w:abstractNum w:abstractNumId="208" w15:restartNumberingAfterBreak="0">
    <w:nsid w:val="0C7938D1"/>
    <w:multiLevelType w:val="hybridMultilevel"/>
    <w:tmpl w:val="BBF42F32"/>
    <w:lvl w:ilvl="0" w:tplc="EE70C410">
      <w:numFmt w:val="bullet"/>
      <w:lvlText w:val=""/>
      <w:lvlJc w:val="left"/>
      <w:pPr>
        <w:ind w:left="157" w:hanging="100"/>
      </w:pPr>
      <w:rPr>
        <w:rFonts w:ascii="Symbol" w:eastAsia="Symbol" w:hAnsi="Symbol" w:cs="Symbol" w:hint="default"/>
        <w:color w:val="231F20"/>
        <w:w w:val="100"/>
        <w:sz w:val="14"/>
        <w:szCs w:val="14"/>
      </w:rPr>
    </w:lvl>
    <w:lvl w:ilvl="1" w:tplc="3E4EAC1C">
      <w:numFmt w:val="bullet"/>
      <w:lvlText w:val="•"/>
      <w:lvlJc w:val="left"/>
      <w:pPr>
        <w:ind w:left="398" w:hanging="100"/>
      </w:pPr>
      <w:rPr>
        <w:rFonts w:hint="default"/>
      </w:rPr>
    </w:lvl>
    <w:lvl w:ilvl="2" w:tplc="4D1ED5B2">
      <w:numFmt w:val="bullet"/>
      <w:lvlText w:val="•"/>
      <w:lvlJc w:val="left"/>
      <w:pPr>
        <w:ind w:left="636" w:hanging="100"/>
      </w:pPr>
      <w:rPr>
        <w:rFonts w:hint="default"/>
      </w:rPr>
    </w:lvl>
    <w:lvl w:ilvl="3" w:tplc="9920D2FA">
      <w:numFmt w:val="bullet"/>
      <w:lvlText w:val="•"/>
      <w:lvlJc w:val="left"/>
      <w:pPr>
        <w:ind w:left="874" w:hanging="100"/>
      </w:pPr>
      <w:rPr>
        <w:rFonts w:hint="default"/>
      </w:rPr>
    </w:lvl>
    <w:lvl w:ilvl="4" w:tplc="462A1238">
      <w:numFmt w:val="bullet"/>
      <w:lvlText w:val="•"/>
      <w:lvlJc w:val="left"/>
      <w:pPr>
        <w:ind w:left="1112" w:hanging="100"/>
      </w:pPr>
      <w:rPr>
        <w:rFonts w:hint="default"/>
      </w:rPr>
    </w:lvl>
    <w:lvl w:ilvl="5" w:tplc="327E9A88">
      <w:numFmt w:val="bullet"/>
      <w:lvlText w:val="•"/>
      <w:lvlJc w:val="left"/>
      <w:pPr>
        <w:ind w:left="1350" w:hanging="100"/>
      </w:pPr>
      <w:rPr>
        <w:rFonts w:hint="default"/>
      </w:rPr>
    </w:lvl>
    <w:lvl w:ilvl="6" w:tplc="E206850C">
      <w:numFmt w:val="bullet"/>
      <w:lvlText w:val="•"/>
      <w:lvlJc w:val="left"/>
      <w:pPr>
        <w:ind w:left="1588" w:hanging="100"/>
      </w:pPr>
      <w:rPr>
        <w:rFonts w:hint="default"/>
      </w:rPr>
    </w:lvl>
    <w:lvl w:ilvl="7" w:tplc="9B7EC760">
      <w:numFmt w:val="bullet"/>
      <w:lvlText w:val="•"/>
      <w:lvlJc w:val="left"/>
      <w:pPr>
        <w:ind w:left="1826" w:hanging="100"/>
      </w:pPr>
      <w:rPr>
        <w:rFonts w:hint="default"/>
      </w:rPr>
    </w:lvl>
    <w:lvl w:ilvl="8" w:tplc="31DC0D90">
      <w:numFmt w:val="bullet"/>
      <w:lvlText w:val="•"/>
      <w:lvlJc w:val="left"/>
      <w:pPr>
        <w:ind w:left="2064" w:hanging="100"/>
      </w:pPr>
      <w:rPr>
        <w:rFonts w:hint="default"/>
      </w:rPr>
    </w:lvl>
  </w:abstractNum>
  <w:abstractNum w:abstractNumId="209" w15:restartNumberingAfterBreak="0">
    <w:nsid w:val="0C7B7AE0"/>
    <w:multiLevelType w:val="hybridMultilevel"/>
    <w:tmpl w:val="4DFE9B7E"/>
    <w:lvl w:ilvl="0" w:tplc="D852391A">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FE06D210">
      <w:numFmt w:val="bullet"/>
      <w:lvlText w:val="•"/>
      <w:lvlJc w:val="left"/>
      <w:pPr>
        <w:ind w:left="351" w:hanging="84"/>
      </w:pPr>
      <w:rPr>
        <w:rFonts w:hint="default"/>
      </w:rPr>
    </w:lvl>
    <w:lvl w:ilvl="2" w:tplc="4BE86B70">
      <w:numFmt w:val="bullet"/>
      <w:lvlText w:val="•"/>
      <w:lvlJc w:val="left"/>
      <w:pPr>
        <w:ind w:left="563" w:hanging="84"/>
      </w:pPr>
      <w:rPr>
        <w:rFonts w:hint="default"/>
      </w:rPr>
    </w:lvl>
    <w:lvl w:ilvl="3" w:tplc="0D32A474">
      <w:numFmt w:val="bullet"/>
      <w:lvlText w:val="•"/>
      <w:lvlJc w:val="left"/>
      <w:pPr>
        <w:ind w:left="775" w:hanging="84"/>
      </w:pPr>
      <w:rPr>
        <w:rFonts w:hint="default"/>
      </w:rPr>
    </w:lvl>
    <w:lvl w:ilvl="4" w:tplc="68367260">
      <w:numFmt w:val="bullet"/>
      <w:lvlText w:val="•"/>
      <w:lvlJc w:val="left"/>
      <w:pPr>
        <w:ind w:left="986" w:hanging="84"/>
      </w:pPr>
      <w:rPr>
        <w:rFonts w:hint="default"/>
      </w:rPr>
    </w:lvl>
    <w:lvl w:ilvl="5" w:tplc="65D06F7C">
      <w:numFmt w:val="bullet"/>
      <w:lvlText w:val="•"/>
      <w:lvlJc w:val="left"/>
      <w:pPr>
        <w:ind w:left="1198" w:hanging="84"/>
      </w:pPr>
      <w:rPr>
        <w:rFonts w:hint="default"/>
      </w:rPr>
    </w:lvl>
    <w:lvl w:ilvl="6" w:tplc="7AD241D0">
      <w:numFmt w:val="bullet"/>
      <w:lvlText w:val="•"/>
      <w:lvlJc w:val="left"/>
      <w:pPr>
        <w:ind w:left="1410" w:hanging="84"/>
      </w:pPr>
      <w:rPr>
        <w:rFonts w:hint="default"/>
      </w:rPr>
    </w:lvl>
    <w:lvl w:ilvl="7" w:tplc="1C2C4DA6">
      <w:numFmt w:val="bullet"/>
      <w:lvlText w:val="•"/>
      <w:lvlJc w:val="left"/>
      <w:pPr>
        <w:ind w:left="1621" w:hanging="84"/>
      </w:pPr>
      <w:rPr>
        <w:rFonts w:hint="default"/>
      </w:rPr>
    </w:lvl>
    <w:lvl w:ilvl="8" w:tplc="2DFEF038">
      <w:numFmt w:val="bullet"/>
      <w:lvlText w:val="•"/>
      <w:lvlJc w:val="left"/>
      <w:pPr>
        <w:ind w:left="1833" w:hanging="84"/>
      </w:pPr>
      <w:rPr>
        <w:rFonts w:hint="default"/>
      </w:rPr>
    </w:lvl>
  </w:abstractNum>
  <w:abstractNum w:abstractNumId="210" w15:restartNumberingAfterBreak="0">
    <w:nsid w:val="0C8D3940"/>
    <w:multiLevelType w:val="hybridMultilevel"/>
    <w:tmpl w:val="14848064"/>
    <w:lvl w:ilvl="0" w:tplc="01544FB2">
      <w:numFmt w:val="bullet"/>
      <w:lvlText w:val=""/>
      <w:lvlJc w:val="left"/>
      <w:pPr>
        <w:ind w:left="156" w:hanging="100"/>
      </w:pPr>
      <w:rPr>
        <w:rFonts w:ascii="Symbol" w:eastAsia="Symbol" w:hAnsi="Symbol" w:cs="Symbol" w:hint="default"/>
        <w:color w:val="231F20"/>
        <w:w w:val="100"/>
        <w:sz w:val="14"/>
        <w:szCs w:val="14"/>
      </w:rPr>
    </w:lvl>
    <w:lvl w:ilvl="1" w:tplc="B6B60CF2">
      <w:numFmt w:val="bullet"/>
      <w:lvlText w:val="•"/>
      <w:lvlJc w:val="left"/>
      <w:pPr>
        <w:ind w:left="301" w:hanging="100"/>
      </w:pPr>
      <w:rPr>
        <w:rFonts w:hint="default"/>
      </w:rPr>
    </w:lvl>
    <w:lvl w:ilvl="2" w:tplc="13C0EFE8">
      <w:numFmt w:val="bullet"/>
      <w:lvlText w:val="•"/>
      <w:lvlJc w:val="left"/>
      <w:pPr>
        <w:ind w:left="443" w:hanging="100"/>
      </w:pPr>
      <w:rPr>
        <w:rFonts w:hint="default"/>
      </w:rPr>
    </w:lvl>
    <w:lvl w:ilvl="3" w:tplc="2402AC00">
      <w:numFmt w:val="bullet"/>
      <w:lvlText w:val="•"/>
      <w:lvlJc w:val="left"/>
      <w:pPr>
        <w:ind w:left="585" w:hanging="100"/>
      </w:pPr>
      <w:rPr>
        <w:rFonts w:hint="default"/>
      </w:rPr>
    </w:lvl>
    <w:lvl w:ilvl="4" w:tplc="E5EAEB2C">
      <w:numFmt w:val="bullet"/>
      <w:lvlText w:val="•"/>
      <w:lvlJc w:val="left"/>
      <w:pPr>
        <w:ind w:left="726" w:hanging="100"/>
      </w:pPr>
      <w:rPr>
        <w:rFonts w:hint="default"/>
      </w:rPr>
    </w:lvl>
    <w:lvl w:ilvl="5" w:tplc="9488AE20">
      <w:numFmt w:val="bullet"/>
      <w:lvlText w:val="•"/>
      <w:lvlJc w:val="left"/>
      <w:pPr>
        <w:ind w:left="868" w:hanging="100"/>
      </w:pPr>
      <w:rPr>
        <w:rFonts w:hint="default"/>
      </w:rPr>
    </w:lvl>
    <w:lvl w:ilvl="6" w:tplc="B284DDC2">
      <w:numFmt w:val="bullet"/>
      <w:lvlText w:val="•"/>
      <w:lvlJc w:val="left"/>
      <w:pPr>
        <w:ind w:left="1010" w:hanging="100"/>
      </w:pPr>
      <w:rPr>
        <w:rFonts w:hint="default"/>
      </w:rPr>
    </w:lvl>
    <w:lvl w:ilvl="7" w:tplc="1C880FDA">
      <w:numFmt w:val="bullet"/>
      <w:lvlText w:val="•"/>
      <w:lvlJc w:val="left"/>
      <w:pPr>
        <w:ind w:left="1151" w:hanging="100"/>
      </w:pPr>
      <w:rPr>
        <w:rFonts w:hint="default"/>
      </w:rPr>
    </w:lvl>
    <w:lvl w:ilvl="8" w:tplc="9E9417C8">
      <w:numFmt w:val="bullet"/>
      <w:lvlText w:val="•"/>
      <w:lvlJc w:val="left"/>
      <w:pPr>
        <w:ind w:left="1293" w:hanging="100"/>
      </w:pPr>
      <w:rPr>
        <w:rFonts w:hint="default"/>
      </w:rPr>
    </w:lvl>
  </w:abstractNum>
  <w:abstractNum w:abstractNumId="211" w15:restartNumberingAfterBreak="0">
    <w:nsid w:val="0CA30545"/>
    <w:multiLevelType w:val="hybridMultilevel"/>
    <w:tmpl w:val="B0568490"/>
    <w:lvl w:ilvl="0" w:tplc="2DD220FA">
      <w:numFmt w:val="bullet"/>
      <w:lvlText w:val=""/>
      <w:lvlJc w:val="left"/>
      <w:pPr>
        <w:ind w:left="156" w:hanging="100"/>
      </w:pPr>
      <w:rPr>
        <w:rFonts w:ascii="Symbol" w:eastAsia="Symbol" w:hAnsi="Symbol" w:cs="Symbol" w:hint="default"/>
        <w:color w:val="231F20"/>
        <w:w w:val="100"/>
        <w:sz w:val="14"/>
        <w:szCs w:val="14"/>
      </w:rPr>
    </w:lvl>
    <w:lvl w:ilvl="1" w:tplc="A0D824FA">
      <w:numFmt w:val="bullet"/>
      <w:lvlText w:val="•"/>
      <w:lvlJc w:val="left"/>
      <w:pPr>
        <w:ind w:left="426" w:hanging="100"/>
      </w:pPr>
      <w:rPr>
        <w:rFonts w:hint="default"/>
      </w:rPr>
    </w:lvl>
    <w:lvl w:ilvl="2" w:tplc="093A51D0">
      <w:numFmt w:val="bullet"/>
      <w:lvlText w:val="•"/>
      <w:lvlJc w:val="left"/>
      <w:pPr>
        <w:ind w:left="692" w:hanging="100"/>
      </w:pPr>
      <w:rPr>
        <w:rFonts w:hint="default"/>
      </w:rPr>
    </w:lvl>
    <w:lvl w:ilvl="3" w:tplc="15F60424">
      <w:numFmt w:val="bullet"/>
      <w:lvlText w:val="•"/>
      <w:lvlJc w:val="left"/>
      <w:pPr>
        <w:ind w:left="959" w:hanging="100"/>
      </w:pPr>
      <w:rPr>
        <w:rFonts w:hint="default"/>
      </w:rPr>
    </w:lvl>
    <w:lvl w:ilvl="4" w:tplc="2CE49F9C">
      <w:numFmt w:val="bullet"/>
      <w:lvlText w:val="•"/>
      <w:lvlJc w:val="left"/>
      <w:pPr>
        <w:ind w:left="1225" w:hanging="100"/>
      </w:pPr>
      <w:rPr>
        <w:rFonts w:hint="default"/>
      </w:rPr>
    </w:lvl>
    <w:lvl w:ilvl="5" w:tplc="9F04EAC6">
      <w:numFmt w:val="bullet"/>
      <w:lvlText w:val="•"/>
      <w:lvlJc w:val="left"/>
      <w:pPr>
        <w:ind w:left="1492" w:hanging="100"/>
      </w:pPr>
      <w:rPr>
        <w:rFonts w:hint="default"/>
      </w:rPr>
    </w:lvl>
    <w:lvl w:ilvl="6" w:tplc="4472396C">
      <w:numFmt w:val="bullet"/>
      <w:lvlText w:val="•"/>
      <w:lvlJc w:val="left"/>
      <w:pPr>
        <w:ind w:left="1758" w:hanging="100"/>
      </w:pPr>
      <w:rPr>
        <w:rFonts w:hint="default"/>
      </w:rPr>
    </w:lvl>
    <w:lvl w:ilvl="7" w:tplc="4E4625B4">
      <w:numFmt w:val="bullet"/>
      <w:lvlText w:val="•"/>
      <w:lvlJc w:val="left"/>
      <w:pPr>
        <w:ind w:left="2024" w:hanging="100"/>
      </w:pPr>
      <w:rPr>
        <w:rFonts w:hint="default"/>
      </w:rPr>
    </w:lvl>
    <w:lvl w:ilvl="8" w:tplc="AEDA6BBC">
      <w:numFmt w:val="bullet"/>
      <w:lvlText w:val="•"/>
      <w:lvlJc w:val="left"/>
      <w:pPr>
        <w:ind w:left="2291" w:hanging="100"/>
      </w:pPr>
      <w:rPr>
        <w:rFonts w:hint="default"/>
      </w:rPr>
    </w:lvl>
  </w:abstractNum>
  <w:abstractNum w:abstractNumId="212" w15:restartNumberingAfterBreak="0">
    <w:nsid w:val="0CA678A4"/>
    <w:multiLevelType w:val="hybridMultilevel"/>
    <w:tmpl w:val="2116D20A"/>
    <w:lvl w:ilvl="0" w:tplc="534A8E24">
      <w:numFmt w:val="bullet"/>
      <w:lvlText w:val=""/>
      <w:lvlJc w:val="left"/>
      <w:pPr>
        <w:ind w:left="156" w:hanging="100"/>
      </w:pPr>
      <w:rPr>
        <w:rFonts w:ascii="Symbol" w:eastAsia="Symbol" w:hAnsi="Symbol" w:cs="Symbol" w:hint="default"/>
        <w:color w:val="231F20"/>
        <w:w w:val="100"/>
        <w:sz w:val="14"/>
        <w:szCs w:val="14"/>
      </w:rPr>
    </w:lvl>
    <w:lvl w:ilvl="1" w:tplc="6178C678">
      <w:numFmt w:val="bullet"/>
      <w:lvlText w:val="•"/>
      <w:lvlJc w:val="left"/>
      <w:pPr>
        <w:ind w:left="398" w:hanging="100"/>
      </w:pPr>
      <w:rPr>
        <w:rFonts w:hint="default"/>
      </w:rPr>
    </w:lvl>
    <w:lvl w:ilvl="2" w:tplc="76DC6000">
      <w:numFmt w:val="bullet"/>
      <w:lvlText w:val="•"/>
      <w:lvlJc w:val="left"/>
      <w:pPr>
        <w:ind w:left="636" w:hanging="100"/>
      </w:pPr>
      <w:rPr>
        <w:rFonts w:hint="default"/>
      </w:rPr>
    </w:lvl>
    <w:lvl w:ilvl="3" w:tplc="363E64E8">
      <w:numFmt w:val="bullet"/>
      <w:lvlText w:val="•"/>
      <w:lvlJc w:val="left"/>
      <w:pPr>
        <w:ind w:left="874" w:hanging="100"/>
      </w:pPr>
      <w:rPr>
        <w:rFonts w:hint="default"/>
      </w:rPr>
    </w:lvl>
    <w:lvl w:ilvl="4" w:tplc="812CF162">
      <w:numFmt w:val="bullet"/>
      <w:lvlText w:val="•"/>
      <w:lvlJc w:val="left"/>
      <w:pPr>
        <w:ind w:left="1112" w:hanging="100"/>
      </w:pPr>
      <w:rPr>
        <w:rFonts w:hint="default"/>
      </w:rPr>
    </w:lvl>
    <w:lvl w:ilvl="5" w:tplc="E2C43C28">
      <w:numFmt w:val="bullet"/>
      <w:lvlText w:val="•"/>
      <w:lvlJc w:val="left"/>
      <w:pPr>
        <w:ind w:left="1350" w:hanging="100"/>
      </w:pPr>
      <w:rPr>
        <w:rFonts w:hint="default"/>
      </w:rPr>
    </w:lvl>
    <w:lvl w:ilvl="6" w:tplc="31EC89DC">
      <w:numFmt w:val="bullet"/>
      <w:lvlText w:val="•"/>
      <w:lvlJc w:val="left"/>
      <w:pPr>
        <w:ind w:left="1588" w:hanging="100"/>
      </w:pPr>
      <w:rPr>
        <w:rFonts w:hint="default"/>
      </w:rPr>
    </w:lvl>
    <w:lvl w:ilvl="7" w:tplc="36F4B216">
      <w:numFmt w:val="bullet"/>
      <w:lvlText w:val="•"/>
      <w:lvlJc w:val="left"/>
      <w:pPr>
        <w:ind w:left="1826" w:hanging="100"/>
      </w:pPr>
      <w:rPr>
        <w:rFonts w:hint="default"/>
      </w:rPr>
    </w:lvl>
    <w:lvl w:ilvl="8" w:tplc="A6581E40">
      <w:numFmt w:val="bullet"/>
      <w:lvlText w:val="•"/>
      <w:lvlJc w:val="left"/>
      <w:pPr>
        <w:ind w:left="2064" w:hanging="100"/>
      </w:pPr>
      <w:rPr>
        <w:rFonts w:hint="default"/>
      </w:rPr>
    </w:lvl>
  </w:abstractNum>
  <w:abstractNum w:abstractNumId="213" w15:restartNumberingAfterBreak="0">
    <w:nsid w:val="0CD45037"/>
    <w:multiLevelType w:val="hybridMultilevel"/>
    <w:tmpl w:val="4ECEB77C"/>
    <w:lvl w:ilvl="0" w:tplc="8D00D60A">
      <w:numFmt w:val="bullet"/>
      <w:lvlText w:val=""/>
      <w:lvlJc w:val="left"/>
      <w:pPr>
        <w:ind w:left="157" w:hanging="100"/>
      </w:pPr>
      <w:rPr>
        <w:rFonts w:ascii="Symbol" w:eastAsia="Symbol" w:hAnsi="Symbol" w:cs="Symbol" w:hint="default"/>
        <w:color w:val="231F20"/>
        <w:w w:val="100"/>
        <w:sz w:val="14"/>
        <w:szCs w:val="14"/>
      </w:rPr>
    </w:lvl>
    <w:lvl w:ilvl="1" w:tplc="C01C9F98">
      <w:numFmt w:val="bullet"/>
      <w:lvlText w:val="•"/>
      <w:lvlJc w:val="left"/>
      <w:pPr>
        <w:ind w:left="369" w:hanging="100"/>
      </w:pPr>
      <w:rPr>
        <w:rFonts w:hint="default"/>
      </w:rPr>
    </w:lvl>
    <w:lvl w:ilvl="2" w:tplc="149C080E">
      <w:numFmt w:val="bullet"/>
      <w:lvlText w:val="•"/>
      <w:lvlJc w:val="left"/>
      <w:pPr>
        <w:ind w:left="579" w:hanging="100"/>
      </w:pPr>
      <w:rPr>
        <w:rFonts w:hint="default"/>
      </w:rPr>
    </w:lvl>
    <w:lvl w:ilvl="3" w:tplc="5A26D02E">
      <w:numFmt w:val="bullet"/>
      <w:lvlText w:val="•"/>
      <w:lvlJc w:val="left"/>
      <w:pPr>
        <w:ind w:left="789" w:hanging="100"/>
      </w:pPr>
      <w:rPr>
        <w:rFonts w:hint="default"/>
      </w:rPr>
    </w:lvl>
    <w:lvl w:ilvl="4" w:tplc="F2C27FAA">
      <w:numFmt w:val="bullet"/>
      <w:lvlText w:val="•"/>
      <w:lvlJc w:val="left"/>
      <w:pPr>
        <w:ind w:left="998" w:hanging="100"/>
      </w:pPr>
      <w:rPr>
        <w:rFonts w:hint="default"/>
      </w:rPr>
    </w:lvl>
    <w:lvl w:ilvl="5" w:tplc="37926E56">
      <w:numFmt w:val="bullet"/>
      <w:lvlText w:val="•"/>
      <w:lvlJc w:val="left"/>
      <w:pPr>
        <w:ind w:left="1208" w:hanging="100"/>
      </w:pPr>
      <w:rPr>
        <w:rFonts w:hint="default"/>
      </w:rPr>
    </w:lvl>
    <w:lvl w:ilvl="6" w:tplc="346A3104">
      <w:numFmt w:val="bullet"/>
      <w:lvlText w:val="•"/>
      <w:lvlJc w:val="left"/>
      <w:pPr>
        <w:ind w:left="1418" w:hanging="100"/>
      </w:pPr>
      <w:rPr>
        <w:rFonts w:hint="default"/>
      </w:rPr>
    </w:lvl>
    <w:lvl w:ilvl="7" w:tplc="EFDEDE82">
      <w:numFmt w:val="bullet"/>
      <w:lvlText w:val="•"/>
      <w:lvlJc w:val="left"/>
      <w:pPr>
        <w:ind w:left="1627" w:hanging="100"/>
      </w:pPr>
      <w:rPr>
        <w:rFonts w:hint="default"/>
      </w:rPr>
    </w:lvl>
    <w:lvl w:ilvl="8" w:tplc="D17AF36A">
      <w:numFmt w:val="bullet"/>
      <w:lvlText w:val="•"/>
      <w:lvlJc w:val="left"/>
      <w:pPr>
        <w:ind w:left="1837" w:hanging="100"/>
      </w:pPr>
      <w:rPr>
        <w:rFonts w:hint="default"/>
      </w:rPr>
    </w:lvl>
  </w:abstractNum>
  <w:abstractNum w:abstractNumId="214" w15:restartNumberingAfterBreak="0">
    <w:nsid w:val="0CE430C5"/>
    <w:multiLevelType w:val="hybridMultilevel"/>
    <w:tmpl w:val="6B68EA2E"/>
    <w:lvl w:ilvl="0" w:tplc="7062D66E">
      <w:numFmt w:val="bullet"/>
      <w:lvlText w:val=""/>
      <w:lvlJc w:val="left"/>
      <w:pPr>
        <w:ind w:left="156" w:hanging="100"/>
      </w:pPr>
      <w:rPr>
        <w:rFonts w:ascii="Symbol" w:eastAsia="Symbol" w:hAnsi="Symbol" w:cs="Symbol" w:hint="default"/>
        <w:color w:val="231F20"/>
        <w:w w:val="100"/>
        <w:sz w:val="14"/>
        <w:szCs w:val="14"/>
      </w:rPr>
    </w:lvl>
    <w:lvl w:ilvl="1" w:tplc="DE282880">
      <w:numFmt w:val="bullet"/>
      <w:lvlText w:val="•"/>
      <w:lvlJc w:val="left"/>
      <w:pPr>
        <w:ind w:left="398" w:hanging="100"/>
      </w:pPr>
      <w:rPr>
        <w:rFonts w:hint="default"/>
      </w:rPr>
    </w:lvl>
    <w:lvl w:ilvl="2" w:tplc="13BEA854">
      <w:numFmt w:val="bullet"/>
      <w:lvlText w:val="•"/>
      <w:lvlJc w:val="left"/>
      <w:pPr>
        <w:ind w:left="636" w:hanging="100"/>
      </w:pPr>
      <w:rPr>
        <w:rFonts w:hint="default"/>
      </w:rPr>
    </w:lvl>
    <w:lvl w:ilvl="3" w:tplc="1EC86180">
      <w:numFmt w:val="bullet"/>
      <w:lvlText w:val="•"/>
      <w:lvlJc w:val="left"/>
      <w:pPr>
        <w:ind w:left="874" w:hanging="100"/>
      </w:pPr>
      <w:rPr>
        <w:rFonts w:hint="default"/>
      </w:rPr>
    </w:lvl>
    <w:lvl w:ilvl="4" w:tplc="DC204B44">
      <w:numFmt w:val="bullet"/>
      <w:lvlText w:val="•"/>
      <w:lvlJc w:val="left"/>
      <w:pPr>
        <w:ind w:left="1112" w:hanging="100"/>
      </w:pPr>
      <w:rPr>
        <w:rFonts w:hint="default"/>
      </w:rPr>
    </w:lvl>
    <w:lvl w:ilvl="5" w:tplc="D21E6A5E">
      <w:numFmt w:val="bullet"/>
      <w:lvlText w:val="•"/>
      <w:lvlJc w:val="left"/>
      <w:pPr>
        <w:ind w:left="1350" w:hanging="100"/>
      </w:pPr>
      <w:rPr>
        <w:rFonts w:hint="default"/>
      </w:rPr>
    </w:lvl>
    <w:lvl w:ilvl="6" w:tplc="35FA182E">
      <w:numFmt w:val="bullet"/>
      <w:lvlText w:val="•"/>
      <w:lvlJc w:val="left"/>
      <w:pPr>
        <w:ind w:left="1588" w:hanging="100"/>
      </w:pPr>
      <w:rPr>
        <w:rFonts w:hint="default"/>
      </w:rPr>
    </w:lvl>
    <w:lvl w:ilvl="7" w:tplc="EF60DA2E">
      <w:numFmt w:val="bullet"/>
      <w:lvlText w:val="•"/>
      <w:lvlJc w:val="left"/>
      <w:pPr>
        <w:ind w:left="1826" w:hanging="100"/>
      </w:pPr>
      <w:rPr>
        <w:rFonts w:hint="default"/>
      </w:rPr>
    </w:lvl>
    <w:lvl w:ilvl="8" w:tplc="B7D04B3E">
      <w:numFmt w:val="bullet"/>
      <w:lvlText w:val="•"/>
      <w:lvlJc w:val="left"/>
      <w:pPr>
        <w:ind w:left="2064" w:hanging="100"/>
      </w:pPr>
      <w:rPr>
        <w:rFonts w:hint="default"/>
      </w:rPr>
    </w:lvl>
  </w:abstractNum>
  <w:abstractNum w:abstractNumId="215" w15:restartNumberingAfterBreak="0">
    <w:nsid w:val="0CF07FAA"/>
    <w:multiLevelType w:val="hybridMultilevel"/>
    <w:tmpl w:val="E4704B36"/>
    <w:lvl w:ilvl="0" w:tplc="D7323E30">
      <w:numFmt w:val="bullet"/>
      <w:lvlText w:val=""/>
      <w:lvlJc w:val="left"/>
      <w:pPr>
        <w:ind w:left="156" w:hanging="100"/>
      </w:pPr>
      <w:rPr>
        <w:rFonts w:ascii="Symbol" w:eastAsia="Symbol" w:hAnsi="Symbol" w:cs="Symbol" w:hint="default"/>
        <w:color w:val="231F20"/>
        <w:w w:val="100"/>
        <w:sz w:val="14"/>
        <w:szCs w:val="14"/>
      </w:rPr>
    </w:lvl>
    <w:lvl w:ilvl="1" w:tplc="2390C1FA">
      <w:numFmt w:val="bullet"/>
      <w:lvlText w:val="•"/>
      <w:lvlJc w:val="left"/>
      <w:pPr>
        <w:ind w:left="398" w:hanging="100"/>
      </w:pPr>
      <w:rPr>
        <w:rFonts w:hint="default"/>
      </w:rPr>
    </w:lvl>
    <w:lvl w:ilvl="2" w:tplc="0F2EDEB4">
      <w:numFmt w:val="bullet"/>
      <w:lvlText w:val="•"/>
      <w:lvlJc w:val="left"/>
      <w:pPr>
        <w:ind w:left="636" w:hanging="100"/>
      </w:pPr>
      <w:rPr>
        <w:rFonts w:hint="default"/>
      </w:rPr>
    </w:lvl>
    <w:lvl w:ilvl="3" w:tplc="4FD2C39E">
      <w:numFmt w:val="bullet"/>
      <w:lvlText w:val="•"/>
      <w:lvlJc w:val="left"/>
      <w:pPr>
        <w:ind w:left="874" w:hanging="100"/>
      </w:pPr>
      <w:rPr>
        <w:rFonts w:hint="default"/>
      </w:rPr>
    </w:lvl>
    <w:lvl w:ilvl="4" w:tplc="1BD63BFA">
      <w:numFmt w:val="bullet"/>
      <w:lvlText w:val="•"/>
      <w:lvlJc w:val="left"/>
      <w:pPr>
        <w:ind w:left="1112" w:hanging="100"/>
      </w:pPr>
      <w:rPr>
        <w:rFonts w:hint="default"/>
      </w:rPr>
    </w:lvl>
    <w:lvl w:ilvl="5" w:tplc="7A0A34FC">
      <w:numFmt w:val="bullet"/>
      <w:lvlText w:val="•"/>
      <w:lvlJc w:val="left"/>
      <w:pPr>
        <w:ind w:left="1350" w:hanging="100"/>
      </w:pPr>
      <w:rPr>
        <w:rFonts w:hint="default"/>
      </w:rPr>
    </w:lvl>
    <w:lvl w:ilvl="6" w:tplc="23060056">
      <w:numFmt w:val="bullet"/>
      <w:lvlText w:val="•"/>
      <w:lvlJc w:val="left"/>
      <w:pPr>
        <w:ind w:left="1588" w:hanging="100"/>
      </w:pPr>
      <w:rPr>
        <w:rFonts w:hint="default"/>
      </w:rPr>
    </w:lvl>
    <w:lvl w:ilvl="7" w:tplc="5D4ED740">
      <w:numFmt w:val="bullet"/>
      <w:lvlText w:val="•"/>
      <w:lvlJc w:val="left"/>
      <w:pPr>
        <w:ind w:left="1826" w:hanging="100"/>
      </w:pPr>
      <w:rPr>
        <w:rFonts w:hint="default"/>
      </w:rPr>
    </w:lvl>
    <w:lvl w:ilvl="8" w:tplc="4142038E">
      <w:numFmt w:val="bullet"/>
      <w:lvlText w:val="•"/>
      <w:lvlJc w:val="left"/>
      <w:pPr>
        <w:ind w:left="2064" w:hanging="100"/>
      </w:pPr>
      <w:rPr>
        <w:rFonts w:hint="default"/>
      </w:rPr>
    </w:lvl>
  </w:abstractNum>
  <w:abstractNum w:abstractNumId="216" w15:restartNumberingAfterBreak="0">
    <w:nsid w:val="0CFF4E08"/>
    <w:multiLevelType w:val="hybridMultilevel"/>
    <w:tmpl w:val="B94E93F0"/>
    <w:lvl w:ilvl="0" w:tplc="EEE43C6A">
      <w:numFmt w:val="bullet"/>
      <w:lvlText w:val="–"/>
      <w:lvlJc w:val="left"/>
      <w:pPr>
        <w:ind w:left="162" w:hanging="105"/>
      </w:pPr>
      <w:rPr>
        <w:rFonts w:ascii="Times New Roman" w:eastAsia="Times New Roman" w:hAnsi="Times New Roman" w:cs="Times New Roman" w:hint="default"/>
        <w:color w:val="231F20"/>
        <w:spacing w:val="-11"/>
        <w:w w:val="100"/>
        <w:sz w:val="14"/>
        <w:szCs w:val="14"/>
      </w:rPr>
    </w:lvl>
    <w:lvl w:ilvl="1" w:tplc="38043F28">
      <w:numFmt w:val="bullet"/>
      <w:lvlText w:val="•"/>
      <w:lvlJc w:val="left"/>
      <w:pPr>
        <w:ind w:left="426" w:hanging="105"/>
      </w:pPr>
      <w:rPr>
        <w:rFonts w:hint="default"/>
      </w:rPr>
    </w:lvl>
    <w:lvl w:ilvl="2" w:tplc="6C78AEB6">
      <w:numFmt w:val="bullet"/>
      <w:lvlText w:val="•"/>
      <w:lvlJc w:val="left"/>
      <w:pPr>
        <w:ind w:left="692" w:hanging="105"/>
      </w:pPr>
      <w:rPr>
        <w:rFonts w:hint="default"/>
      </w:rPr>
    </w:lvl>
    <w:lvl w:ilvl="3" w:tplc="0416029C">
      <w:numFmt w:val="bullet"/>
      <w:lvlText w:val="•"/>
      <w:lvlJc w:val="left"/>
      <w:pPr>
        <w:ind w:left="959" w:hanging="105"/>
      </w:pPr>
      <w:rPr>
        <w:rFonts w:hint="default"/>
      </w:rPr>
    </w:lvl>
    <w:lvl w:ilvl="4" w:tplc="94004186">
      <w:numFmt w:val="bullet"/>
      <w:lvlText w:val="•"/>
      <w:lvlJc w:val="left"/>
      <w:pPr>
        <w:ind w:left="1225" w:hanging="105"/>
      </w:pPr>
      <w:rPr>
        <w:rFonts w:hint="default"/>
      </w:rPr>
    </w:lvl>
    <w:lvl w:ilvl="5" w:tplc="2D4E8E14">
      <w:numFmt w:val="bullet"/>
      <w:lvlText w:val="•"/>
      <w:lvlJc w:val="left"/>
      <w:pPr>
        <w:ind w:left="1492" w:hanging="105"/>
      </w:pPr>
      <w:rPr>
        <w:rFonts w:hint="default"/>
      </w:rPr>
    </w:lvl>
    <w:lvl w:ilvl="6" w:tplc="1520C5FE">
      <w:numFmt w:val="bullet"/>
      <w:lvlText w:val="•"/>
      <w:lvlJc w:val="left"/>
      <w:pPr>
        <w:ind w:left="1758" w:hanging="105"/>
      </w:pPr>
      <w:rPr>
        <w:rFonts w:hint="default"/>
      </w:rPr>
    </w:lvl>
    <w:lvl w:ilvl="7" w:tplc="3342C994">
      <w:numFmt w:val="bullet"/>
      <w:lvlText w:val="•"/>
      <w:lvlJc w:val="left"/>
      <w:pPr>
        <w:ind w:left="2024" w:hanging="105"/>
      </w:pPr>
      <w:rPr>
        <w:rFonts w:hint="default"/>
      </w:rPr>
    </w:lvl>
    <w:lvl w:ilvl="8" w:tplc="DD884484">
      <w:numFmt w:val="bullet"/>
      <w:lvlText w:val="•"/>
      <w:lvlJc w:val="left"/>
      <w:pPr>
        <w:ind w:left="2291" w:hanging="105"/>
      </w:pPr>
      <w:rPr>
        <w:rFonts w:hint="default"/>
      </w:rPr>
    </w:lvl>
  </w:abstractNum>
  <w:abstractNum w:abstractNumId="217" w15:restartNumberingAfterBreak="0">
    <w:nsid w:val="0D080BDF"/>
    <w:multiLevelType w:val="hybridMultilevel"/>
    <w:tmpl w:val="342E32C2"/>
    <w:lvl w:ilvl="0" w:tplc="C6E2595A">
      <w:numFmt w:val="bullet"/>
      <w:lvlText w:val=""/>
      <w:lvlJc w:val="left"/>
      <w:pPr>
        <w:ind w:left="156" w:hanging="100"/>
      </w:pPr>
      <w:rPr>
        <w:rFonts w:ascii="Symbol" w:eastAsia="Symbol" w:hAnsi="Symbol" w:cs="Symbol" w:hint="default"/>
        <w:color w:val="231F20"/>
        <w:w w:val="100"/>
        <w:sz w:val="14"/>
        <w:szCs w:val="14"/>
      </w:rPr>
    </w:lvl>
    <w:lvl w:ilvl="1" w:tplc="248675E8">
      <w:numFmt w:val="bullet"/>
      <w:lvlText w:val="•"/>
      <w:lvlJc w:val="left"/>
      <w:pPr>
        <w:ind w:left="301" w:hanging="100"/>
      </w:pPr>
      <w:rPr>
        <w:rFonts w:hint="default"/>
      </w:rPr>
    </w:lvl>
    <w:lvl w:ilvl="2" w:tplc="D9F4FEA4">
      <w:numFmt w:val="bullet"/>
      <w:lvlText w:val="•"/>
      <w:lvlJc w:val="left"/>
      <w:pPr>
        <w:ind w:left="443" w:hanging="100"/>
      </w:pPr>
      <w:rPr>
        <w:rFonts w:hint="default"/>
      </w:rPr>
    </w:lvl>
    <w:lvl w:ilvl="3" w:tplc="89A28E48">
      <w:numFmt w:val="bullet"/>
      <w:lvlText w:val="•"/>
      <w:lvlJc w:val="left"/>
      <w:pPr>
        <w:ind w:left="585" w:hanging="100"/>
      </w:pPr>
      <w:rPr>
        <w:rFonts w:hint="default"/>
      </w:rPr>
    </w:lvl>
    <w:lvl w:ilvl="4" w:tplc="EB582302">
      <w:numFmt w:val="bullet"/>
      <w:lvlText w:val="•"/>
      <w:lvlJc w:val="left"/>
      <w:pPr>
        <w:ind w:left="726" w:hanging="100"/>
      </w:pPr>
      <w:rPr>
        <w:rFonts w:hint="default"/>
      </w:rPr>
    </w:lvl>
    <w:lvl w:ilvl="5" w:tplc="77F0BC8A">
      <w:numFmt w:val="bullet"/>
      <w:lvlText w:val="•"/>
      <w:lvlJc w:val="left"/>
      <w:pPr>
        <w:ind w:left="868" w:hanging="100"/>
      </w:pPr>
      <w:rPr>
        <w:rFonts w:hint="default"/>
      </w:rPr>
    </w:lvl>
    <w:lvl w:ilvl="6" w:tplc="6DFA69A0">
      <w:numFmt w:val="bullet"/>
      <w:lvlText w:val="•"/>
      <w:lvlJc w:val="left"/>
      <w:pPr>
        <w:ind w:left="1010" w:hanging="100"/>
      </w:pPr>
      <w:rPr>
        <w:rFonts w:hint="default"/>
      </w:rPr>
    </w:lvl>
    <w:lvl w:ilvl="7" w:tplc="90323344">
      <w:numFmt w:val="bullet"/>
      <w:lvlText w:val="•"/>
      <w:lvlJc w:val="left"/>
      <w:pPr>
        <w:ind w:left="1151" w:hanging="100"/>
      </w:pPr>
      <w:rPr>
        <w:rFonts w:hint="default"/>
      </w:rPr>
    </w:lvl>
    <w:lvl w:ilvl="8" w:tplc="39F8703A">
      <w:numFmt w:val="bullet"/>
      <w:lvlText w:val="•"/>
      <w:lvlJc w:val="left"/>
      <w:pPr>
        <w:ind w:left="1293" w:hanging="100"/>
      </w:pPr>
      <w:rPr>
        <w:rFonts w:hint="default"/>
      </w:rPr>
    </w:lvl>
  </w:abstractNum>
  <w:abstractNum w:abstractNumId="218" w15:restartNumberingAfterBreak="0">
    <w:nsid w:val="0D0E78D7"/>
    <w:multiLevelType w:val="hybridMultilevel"/>
    <w:tmpl w:val="45B21C10"/>
    <w:lvl w:ilvl="0" w:tplc="E034CB0C">
      <w:numFmt w:val="bullet"/>
      <w:lvlText w:val=""/>
      <w:lvlJc w:val="left"/>
      <w:pPr>
        <w:ind w:left="157" w:hanging="100"/>
      </w:pPr>
      <w:rPr>
        <w:rFonts w:ascii="Symbol" w:eastAsia="Symbol" w:hAnsi="Symbol" w:cs="Symbol" w:hint="default"/>
        <w:color w:val="231F20"/>
        <w:w w:val="100"/>
        <w:sz w:val="14"/>
        <w:szCs w:val="14"/>
      </w:rPr>
    </w:lvl>
    <w:lvl w:ilvl="1" w:tplc="466052AC">
      <w:numFmt w:val="bullet"/>
      <w:lvlText w:val="•"/>
      <w:lvlJc w:val="left"/>
      <w:pPr>
        <w:ind w:left="426" w:hanging="100"/>
      </w:pPr>
      <w:rPr>
        <w:rFonts w:hint="default"/>
      </w:rPr>
    </w:lvl>
    <w:lvl w:ilvl="2" w:tplc="04163DE0">
      <w:numFmt w:val="bullet"/>
      <w:lvlText w:val="•"/>
      <w:lvlJc w:val="left"/>
      <w:pPr>
        <w:ind w:left="692" w:hanging="100"/>
      </w:pPr>
      <w:rPr>
        <w:rFonts w:hint="default"/>
      </w:rPr>
    </w:lvl>
    <w:lvl w:ilvl="3" w:tplc="3A58CED8">
      <w:numFmt w:val="bullet"/>
      <w:lvlText w:val="•"/>
      <w:lvlJc w:val="left"/>
      <w:pPr>
        <w:ind w:left="959" w:hanging="100"/>
      </w:pPr>
      <w:rPr>
        <w:rFonts w:hint="default"/>
      </w:rPr>
    </w:lvl>
    <w:lvl w:ilvl="4" w:tplc="C7C67104">
      <w:numFmt w:val="bullet"/>
      <w:lvlText w:val="•"/>
      <w:lvlJc w:val="left"/>
      <w:pPr>
        <w:ind w:left="1225" w:hanging="100"/>
      </w:pPr>
      <w:rPr>
        <w:rFonts w:hint="default"/>
      </w:rPr>
    </w:lvl>
    <w:lvl w:ilvl="5" w:tplc="096263B6">
      <w:numFmt w:val="bullet"/>
      <w:lvlText w:val="•"/>
      <w:lvlJc w:val="left"/>
      <w:pPr>
        <w:ind w:left="1492" w:hanging="100"/>
      </w:pPr>
      <w:rPr>
        <w:rFonts w:hint="default"/>
      </w:rPr>
    </w:lvl>
    <w:lvl w:ilvl="6" w:tplc="BBA896D4">
      <w:numFmt w:val="bullet"/>
      <w:lvlText w:val="•"/>
      <w:lvlJc w:val="left"/>
      <w:pPr>
        <w:ind w:left="1758" w:hanging="100"/>
      </w:pPr>
      <w:rPr>
        <w:rFonts w:hint="default"/>
      </w:rPr>
    </w:lvl>
    <w:lvl w:ilvl="7" w:tplc="B3B81284">
      <w:numFmt w:val="bullet"/>
      <w:lvlText w:val="•"/>
      <w:lvlJc w:val="left"/>
      <w:pPr>
        <w:ind w:left="2024" w:hanging="100"/>
      </w:pPr>
      <w:rPr>
        <w:rFonts w:hint="default"/>
      </w:rPr>
    </w:lvl>
    <w:lvl w:ilvl="8" w:tplc="9F062390">
      <w:numFmt w:val="bullet"/>
      <w:lvlText w:val="•"/>
      <w:lvlJc w:val="left"/>
      <w:pPr>
        <w:ind w:left="2291" w:hanging="100"/>
      </w:pPr>
      <w:rPr>
        <w:rFonts w:hint="default"/>
      </w:rPr>
    </w:lvl>
  </w:abstractNum>
  <w:abstractNum w:abstractNumId="219" w15:restartNumberingAfterBreak="0">
    <w:nsid w:val="0D28741B"/>
    <w:multiLevelType w:val="hybridMultilevel"/>
    <w:tmpl w:val="F4C24B2C"/>
    <w:lvl w:ilvl="0" w:tplc="3D2C519E">
      <w:numFmt w:val="bullet"/>
      <w:lvlText w:val=""/>
      <w:lvlJc w:val="left"/>
      <w:pPr>
        <w:ind w:left="156" w:hanging="100"/>
      </w:pPr>
      <w:rPr>
        <w:rFonts w:ascii="Symbol" w:eastAsia="Symbol" w:hAnsi="Symbol" w:cs="Symbol" w:hint="default"/>
        <w:color w:val="231F20"/>
        <w:w w:val="100"/>
        <w:sz w:val="14"/>
        <w:szCs w:val="14"/>
      </w:rPr>
    </w:lvl>
    <w:lvl w:ilvl="1" w:tplc="7C9E3570">
      <w:numFmt w:val="bullet"/>
      <w:lvlText w:val="•"/>
      <w:lvlJc w:val="left"/>
      <w:pPr>
        <w:ind w:left="398" w:hanging="100"/>
      </w:pPr>
      <w:rPr>
        <w:rFonts w:hint="default"/>
      </w:rPr>
    </w:lvl>
    <w:lvl w:ilvl="2" w:tplc="6D5AB392">
      <w:numFmt w:val="bullet"/>
      <w:lvlText w:val="•"/>
      <w:lvlJc w:val="left"/>
      <w:pPr>
        <w:ind w:left="636" w:hanging="100"/>
      </w:pPr>
      <w:rPr>
        <w:rFonts w:hint="default"/>
      </w:rPr>
    </w:lvl>
    <w:lvl w:ilvl="3" w:tplc="7FDA35B4">
      <w:numFmt w:val="bullet"/>
      <w:lvlText w:val="•"/>
      <w:lvlJc w:val="left"/>
      <w:pPr>
        <w:ind w:left="874" w:hanging="100"/>
      </w:pPr>
      <w:rPr>
        <w:rFonts w:hint="default"/>
      </w:rPr>
    </w:lvl>
    <w:lvl w:ilvl="4" w:tplc="81FAF552">
      <w:numFmt w:val="bullet"/>
      <w:lvlText w:val="•"/>
      <w:lvlJc w:val="left"/>
      <w:pPr>
        <w:ind w:left="1112" w:hanging="100"/>
      </w:pPr>
      <w:rPr>
        <w:rFonts w:hint="default"/>
      </w:rPr>
    </w:lvl>
    <w:lvl w:ilvl="5" w:tplc="14229F56">
      <w:numFmt w:val="bullet"/>
      <w:lvlText w:val="•"/>
      <w:lvlJc w:val="left"/>
      <w:pPr>
        <w:ind w:left="1350" w:hanging="100"/>
      </w:pPr>
      <w:rPr>
        <w:rFonts w:hint="default"/>
      </w:rPr>
    </w:lvl>
    <w:lvl w:ilvl="6" w:tplc="15141CF8">
      <w:numFmt w:val="bullet"/>
      <w:lvlText w:val="•"/>
      <w:lvlJc w:val="left"/>
      <w:pPr>
        <w:ind w:left="1588" w:hanging="100"/>
      </w:pPr>
      <w:rPr>
        <w:rFonts w:hint="default"/>
      </w:rPr>
    </w:lvl>
    <w:lvl w:ilvl="7" w:tplc="9D320322">
      <w:numFmt w:val="bullet"/>
      <w:lvlText w:val="•"/>
      <w:lvlJc w:val="left"/>
      <w:pPr>
        <w:ind w:left="1826" w:hanging="100"/>
      </w:pPr>
      <w:rPr>
        <w:rFonts w:hint="default"/>
      </w:rPr>
    </w:lvl>
    <w:lvl w:ilvl="8" w:tplc="842AA310">
      <w:numFmt w:val="bullet"/>
      <w:lvlText w:val="•"/>
      <w:lvlJc w:val="left"/>
      <w:pPr>
        <w:ind w:left="2064" w:hanging="100"/>
      </w:pPr>
      <w:rPr>
        <w:rFonts w:hint="default"/>
      </w:rPr>
    </w:lvl>
  </w:abstractNum>
  <w:abstractNum w:abstractNumId="220" w15:restartNumberingAfterBreak="0">
    <w:nsid w:val="0D343F8D"/>
    <w:multiLevelType w:val="hybridMultilevel"/>
    <w:tmpl w:val="7C7AC2DC"/>
    <w:lvl w:ilvl="0" w:tplc="24F094BA">
      <w:numFmt w:val="bullet"/>
      <w:lvlText w:val=""/>
      <w:lvlJc w:val="left"/>
      <w:pPr>
        <w:ind w:left="157" w:hanging="100"/>
      </w:pPr>
      <w:rPr>
        <w:rFonts w:ascii="Symbol" w:eastAsia="Symbol" w:hAnsi="Symbol" w:cs="Symbol" w:hint="default"/>
        <w:color w:val="231F20"/>
        <w:w w:val="100"/>
        <w:sz w:val="14"/>
        <w:szCs w:val="14"/>
      </w:rPr>
    </w:lvl>
    <w:lvl w:ilvl="1" w:tplc="16CCD810">
      <w:numFmt w:val="bullet"/>
      <w:lvlText w:val="•"/>
      <w:lvlJc w:val="left"/>
      <w:pPr>
        <w:ind w:left="369" w:hanging="100"/>
      </w:pPr>
      <w:rPr>
        <w:rFonts w:hint="default"/>
      </w:rPr>
    </w:lvl>
    <w:lvl w:ilvl="2" w:tplc="9BFEE430">
      <w:numFmt w:val="bullet"/>
      <w:lvlText w:val="•"/>
      <w:lvlJc w:val="left"/>
      <w:pPr>
        <w:ind w:left="579" w:hanging="100"/>
      </w:pPr>
      <w:rPr>
        <w:rFonts w:hint="default"/>
      </w:rPr>
    </w:lvl>
    <w:lvl w:ilvl="3" w:tplc="84B479E2">
      <w:numFmt w:val="bullet"/>
      <w:lvlText w:val="•"/>
      <w:lvlJc w:val="left"/>
      <w:pPr>
        <w:ind w:left="789" w:hanging="100"/>
      </w:pPr>
      <w:rPr>
        <w:rFonts w:hint="default"/>
      </w:rPr>
    </w:lvl>
    <w:lvl w:ilvl="4" w:tplc="70AE313A">
      <w:numFmt w:val="bullet"/>
      <w:lvlText w:val="•"/>
      <w:lvlJc w:val="left"/>
      <w:pPr>
        <w:ind w:left="998" w:hanging="100"/>
      </w:pPr>
      <w:rPr>
        <w:rFonts w:hint="default"/>
      </w:rPr>
    </w:lvl>
    <w:lvl w:ilvl="5" w:tplc="E7B83A90">
      <w:numFmt w:val="bullet"/>
      <w:lvlText w:val="•"/>
      <w:lvlJc w:val="left"/>
      <w:pPr>
        <w:ind w:left="1208" w:hanging="100"/>
      </w:pPr>
      <w:rPr>
        <w:rFonts w:hint="default"/>
      </w:rPr>
    </w:lvl>
    <w:lvl w:ilvl="6" w:tplc="F6AE127A">
      <w:numFmt w:val="bullet"/>
      <w:lvlText w:val="•"/>
      <w:lvlJc w:val="left"/>
      <w:pPr>
        <w:ind w:left="1418" w:hanging="100"/>
      </w:pPr>
      <w:rPr>
        <w:rFonts w:hint="default"/>
      </w:rPr>
    </w:lvl>
    <w:lvl w:ilvl="7" w:tplc="4DEA759C">
      <w:numFmt w:val="bullet"/>
      <w:lvlText w:val="•"/>
      <w:lvlJc w:val="left"/>
      <w:pPr>
        <w:ind w:left="1627" w:hanging="100"/>
      </w:pPr>
      <w:rPr>
        <w:rFonts w:hint="default"/>
      </w:rPr>
    </w:lvl>
    <w:lvl w:ilvl="8" w:tplc="4C048DD2">
      <w:numFmt w:val="bullet"/>
      <w:lvlText w:val="•"/>
      <w:lvlJc w:val="left"/>
      <w:pPr>
        <w:ind w:left="1837" w:hanging="100"/>
      </w:pPr>
      <w:rPr>
        <w:rFonts w:hint="default"/>
      </w:rPr>
    </w:lvl>
  </w:abstractNum>
  <w:abstractNum w:abstractNumId="221" w15:restartNumberingAfterBreak="0">
    <w:nsid w:val="0D3977F6"/>
    <w:multiLevelType w:val="hybridMultilevel"/>
    <w:tmpl w:val="CC68313C"/>
    <w:lvl w:ilvl="0" w:tplc="34807540">
      <w:numFmt w:val="bullet"/>
      <w:lvlText w:val=""/>
      <w:lvlJc w:val="left"/>
      <w:pPr>
        <w:ind w:left="156" w:hanging="100"/>
      </w:pPr>
      <w:rPr>
        <w:rFonts w:ascii="Symbol" w:eastAsia="Symbol" w:hAnsi="Symbol" w:cs="Symbol" w:hint="default"/>
        <w:color w:val="231F20"/>
        <w:w w:val="100"/>
        <w:sz w:val="14"/>
        <w:szCs w:val="14"/>
      </w:rPr>
    </w:lvl>
    <w:lvl w:ilvl="1" w:tplc="7758E460">
      <w:numFmt w:val="bullet"/>
      <w:lvlText w:val="•"/>
      <w:lvlJc w:val="left"/>
      <w:pPr>
        <w:ind w:left="426" w:hanging="100"/>
      </w:pPr>
      <w:rPr>
        <w:rFonts w:hint="default"/>
      </w:rPr>
    </w:lvl>
    <w:lvl w:ilvl="2" w:tplc="ED929198">
      <w:numFmt w:val="bullet"/>
      <w:lvlText w:val="•"/>
      <w:lvlJc w:val="left"/>
      <w:pPr>
        <w:ind w:left="692" w:hanging="100"/>
      </w:pPr>
      <w:rPr>
        <w:rFonts w:hint="default"/>
      </w:rPr>
    </w:lvl>
    <w:lvl w:ilvl="3" w:tplc="0390E47A">
      <w:numFmt w:val="bullet"/>
      <w:lvlText w:val="•"/>
      <w:lvlJc w:val="left"/>
      <w:pPr>
        <w:ind w:left="959" w:hanging="100"/>
      </w:pPr>
      <w:rPr>
        <w:rFonts w:hint="default"/>
      </w:rPr>
    </w:lvl>
    <w:lvl w:ilvl="4" w:tplc="C5722DD8">
      <w:numFmt w:val="bullet"/>
      <w:lvlText w:val="•"/>
      <w:lvlJc w:val="left"/>
      <w:pPr>
        <w:ind w:left="1225" w:hanging="100"/>
      </w:pPr>
      <w:rPr>
        <w:rFonts w:hint="default"/>
      </w:rPr>
    </w:lvl>
    <w:lvl w:ilvl="5" w:tplc="2A7E8A4A">
      <w:numFmt w:val="bullet"/>
      <w:lvlText w:val="•"/>
      <w:lvlJc w:val="left"/>
      <w:pPr>
        <w:ind w:left="1492" w:hanging="100"/>
      </w:pPr>
      <w:rPr>
        <w:rFonts w:hint="default"/>
      </w:rPr>
    </w:lvl>
    <w:lvl w:ilvl="6" w:tplc="AF3627AE">
      <w:numFmt w:val="bullet"/>
      <w:lvlText w:val="•"/>
      <w:lvlJc w:val="left"/>
      <w:pPr>
        <w:ind w:left="1758" w:hanging="100"/>
      </w:pPr>
      <w:rPr>
        <w:rFonts w:hint="default"/>
      </w:rPr>
    </w:lvl>
    <w:lvl w:ilvl="7" w:tplc="BFCC8736">
      <w:numFmt w:val="bullet"/>
      <w:lvlText w:val="•"/>
      <w:lvlJc w:val="left"/>
      <w:pPr>
        <w:ind w:left="2024" w:hanging="100"/>
      </w:pPr>
      <w:rPr>
        <w:rFonts w:hint="default"/>
      </w:rPr>
    </w:lvl>
    <w:lvl w:ilvl="8" w:tplc="AD36A4A0">
      <w:numFmt w:val="bullet"/>
      <w:lvlText w:val="•"/>
      <w:lvlJc w:val="left"/>
      <w:pPr>
        <w:ind w:left="2291" w:hanging="100"/>
      </w:pPr>
      <w:rPr>
        <w:rFonts w:hint="default"/>
      </w:rPr>
    </w:lvl>
  </w:abstractNum>
  <w:abstractNum w:abstractNumId="222" w15:restartNumberingAfterBreak="0">
    <w:nsid w:val="0D5C2C19"/>
    <w:multiLevelType w:val="hybridMultilevel"/>
    <w:tmpl w:val="D792B952"/>
    <w:lvl w:ilvl="0" w:tplc="1528FFDE">
      <w:numFmt w:val="bullet"/>
      <w:lvlText w:val=""/>
      <w:lvlJc w:val="left"/>
      <w:pPr>
        <w:ind w:left="157" w:hanging="100"/>
      </w:pPr>
      <w:rPr>
        <w:rFonts w:ascii="Symbol" w:eastAsia="Symbol" w:hAnsi="Symbol" w:cs="Symbol" w:hint="default"/>
        <w:color w:val="231F20"/>
        <w:w w:val="100"/>
        <w:sz w:val="14"/>
        <w:szCs w:val="14"/>
      </w:rPr>
    </w:lvl>
    <w:lvl w:ilvl="1" w:tplc="8CDC7DAE">
      <w:numFmt w:val="bullet"/>
      <w:lvlText w:val="•"/>
      <w:lvlJc w:val="left"/>
      <w:pPr>
        <w:ind w:left="426" w:hanging="100"/>
      </w:pPr>
      <w:rPr>
        <w:rFonts w:hint="default"/>
      </w:rPr>
    </w:lvl>
    <w:lvl w:ilvl="2" w:tplc="0AFE20A0">
      <w:numFmt w:val="bullet"/>
      <w:lvlText w:val="•"/>
      <w:lvlJc w:val="left"/>
      <w:pPr>
        <w:ind w:left="692" w:hanging="100"/>
      </w:pPr>
      <w:rPr>
        <w:rFonts w:hint="default"/>
      </w:rPr>
    </w:lvl>
    <w:lvl w:ilvl="3" w:tplc="191461F8">
      <w:numFmt w:val="bullet"/>
      <w:lvlText w:val="•"/>
      <w:lvlJc w:val="left"/>
      <w:pPr>
        <w:ind w:left="959" w:hanging="100"/>
      </w:pPr>
      <w:rPr>
        <w:rFonts w:hint="default"/>
      </w:rPr>
    </w:lvl>
    <w:lvl w:ilvl="4" w:tplc="00F87DD8">
      <w:numFmt w:val="bullet"/>
      <w:lvlText w:val="•"/>
      <w:lvlJc w:val="left"/>
      <w:pPr>
        <w:ind w:left="1225" w:hanging="100"/>
      </w:pPr>
      <w:rPr>
        <w:rFonts w:hint="default"/>
      </w:rPr>
    </w:lvl>
    <w:lvl w:ilvl="5" w:tplc="549E8E0A">
      <w:numFmt w:val="bullet"/>
      <w:lvlText w:val="•"/>
      <w:lvlJc w:val="left"/>
      <w:pPr>
        <w:ind w:left="1492" w:hanging="100"/>
      </w:pPr>
      <w:rPr>
        <w:rFonts w:hint="default"/>
      </w:rPr>
    </w:lvl>
    <w:lvl w:ilvl="6" w:tplc="B546E9CE">
      <w:numFmt w:val="bullet"/>
      <w:lvlText w:val="•"/>
      <w:lvlJc w:val="left"/>
      <w:pPr>
        <w:ind w:left="1758" w:hanging="100"/>
      </w:pPr>
      <w:rPr>
        <w:rFonts w:hint="default"/>
      </w:rPr>
    </w:lvl>
    <w:lvl w:ilvl="7" w:tplc="1A220620">
      <w:numFmt w:val="bullet"/>
      <w:lvlText w:val="•"/>
      <w:lvlJc w:val="left"/>
      <w:pPr>
        <w:ind w:left="2024" w:hanging="100"/>
      </w:pPr>
      <w:rPr>
        <w:rFonts w:hint="default"/>
      </w:rPr>
    </w:lvl>
    <w:lvl w:ilvl="8" w:tplc="4BC4FEF0">
      <w:numFmt w:val="bullet"/>
      <w:lvlText w:val="•"/>
      <w:lvlJc w:val="left"/>
      <w:pPr>
        <w:ind w:left="2291" w:hanging="100"/>
      </w:pPr>
      <w:rPr>
        <w:rFonts w:hint="default"/>
      </w:rPr>
    </w:lvl>
  </w:abstractNum>
  <w:abstractNum w:abstractNumId="223" w15:restartNumberingAfterBreak="0">
    <w:nsid w:val="0D5F317E"/>
    <w:multiLevelType w:val="hybridMultilevel"/>
    <w:tmpl w:val="D940FB12"/>
    <w:lvl w:ilvl="0" w:tplc="925C78BC">
      <w:numFmt w:val="bullet"/>
      <w:lvlText w:val="–"/>
      <w:lvlJc w:val="left"/>
      <w:pPr>
        <w:ind w:left="162" w:hanging="105"/>
      </w:pPr>
      <w:rPr>
        <w:rFonts w:ascii="Times New Roman" w:eastAsia="Times New Roman" w:hAnsi="Times New Roman" w:cs="Times New Roman" w:hint="default"/>
        <w:color w:val="231F20"/>
        <w:spacing w:val="-14"/>
        <w:w w:val="100"/>
        <w:sz w:val="14"/>
        <w:szCs w:val="14"/>
      </w:rPr>
    </w:lvl>
    <w:lvl w:ilvl="1" w:tplc="2E54C7C2">
      <w:numFmt w:val="bullet"/>
      <w:lvlText w:val="•"/>
      <w:lvlJc w:val="left"/>
      <w:pPr>
        <w:ind w:left="426" w:hanging="105"/>
      </w:pPr>
      <w:rPr>
        <w:rFonts w:hint="default"/>
      </w:rPr>
    </w:lvl>
    <w:lvl w:ilvl="2" w:tplc="DFA446E6">
      <w:numFmt w:val="bullet"/>
      <w:lvlText w:val="•"/>
      <w:lvlJc w:val="left"/>
      <w:pPr>
        <w:ind w:left="692" w:hanging="105"/>
      </w:pPr>
      <w:rPr>
        <w:rFonts w:hint="default"/>
      </w:rPr>
    </w:lvl>
    <w:lvl w:ilvl="3" w:tplc="646286E8">
      <w:numFmt w:val="bullet"/>
      <w:lvlText w:val="•"/>
      <w:lvlJc w:val="left"/>
      <w:pPr>
        <w:ind w:left="959" w:hanging="105"/>
      </w:pPr>
      <w:rPr>
        <w:rFonts w:hint="default"/>
      </w:rPr>
    </w:lvl>
    <w:lvl w:ilvl="4" w:tplc="D550DC60">
      <w:numFmt w:val="bullet"/>
      <w:lvlText w:val="•"/>
      <w:lvlJc w:val="left"/>
      <w:pPr>
        <w:ind w:left="1225" w:hanging="105"/>
      </w:pPr>
      <w:rPr>
        <w:rFonts w:hint="default"/>
      </w:rPr>
    </w:lvl>
    <w:lvl w:ilvl="5" w:tplc="FB0E144E">
      <w:numFmt w:val="bullet"/>
      <w:lvlText w:val="•"/>
      <w:lvlJc w:val="left"/>
      <w:pPr>
        <w:ind w:left="1492" w:hanging="105"/>
      </w:pPr>
      <w:rPr>
        <w:rFonts w:hint="default"/>
      </w:rPr>
    </w:lvl>
    <w:lvl w:ilvl="6" w:tplc="7A72DBE6">
      <w:numFmt w:val="bullet"/>
      <w:lvlText w:val="•"/>
      <w:lvlJc w:val="left"/>
      <w:pPr>
        <w:ind w:left="1758" w:hanging="105"/>
      </w:pPr>
      <w:rPr>
        <w:rFonts w:hint="default"/>
      </w:rPr>
    </w:lvl>
    <w:lvl w:ilvl="7" w:tplc="C6149C1A">
      <w:numFmt w:val="bullet"/>
      <w:lvlText w:val="•"/>
      <w:lvlJc w:val="left"/>
      <w:pPr>
        <w:ind w:left="2024" w:hanging="105"/>
      </w:pPr>
      <w:rPr>
        <w:rFonts w:hint="default"/>
      </w:rPr>
    </w:lvl>
    <w:lvl w:ilvl="8" w:tplc="0BCA9132">
      <w:numFmt w:val="bullet"/>
      <w:lvlText w:val="•"/>
      <w:lvlJc w:val="left"/>
      <w:pPr>
        <w:ind w:left="2291" w:hanging="105"/>
      </w:pPr>
      <w:rPr>
        <w:rFonts w:hint="default"/>
      </w:rPr>
    </w:lvl>
  </w:abstractNum>
  <w:abstractNum w:abstractNumId="224" w15:restartNumberingAfterBreak="0">
    <w:nsid w:val="0D66361A"/>
    <w:multiLevelType w:val="hybridMultilevel"/>
    <w:tmpl w:val="6F385428"/>
    <w:lvl w:ilvl="0" w:tplc="059C8BE2">
      <w:numFmt w:val="bullet"/>
      <w:lvlText w:val=""/>
      <w:lvlJc w:val="left"/>
      <w:pPr>
        <w:ind w:left="157" w:hanging="100"/>
      </w:pPr>
      <w:rPr>
        <w:rFonts w:ascii="Symbol" w:eastAsia="Symbol" w:hAnsi="Symbol" w:cs="Symbol" w:hint="default"/>
        <w:color w:val="231F20"/>
        <w:w w:val="100"/>
        <w:sz w:val="14"/>
        <w:szCs w:val="14"/>
      </w:rPr>
    </w:lvl>
    <w:lvl w:ilvl="1" w:tplc="01F44F8E">
      <w:numFmt w:val="bullet"/>
      <w:lvlText w:val="•"/>
      <w:lvlJc w:val="left"/>
      <w:pPr>
        <w:ind w:left="369" w:hanging="100"/>
      </w:pPr>
      <w:rPr>
        <w:rFonts w:hint="default"/>
      </w:rPr>
    </w:lvl>
    <w:lvl w:ilvl="2" w:tplc="6136B230">
      <w:numFmt w:val="bullet"/>
      <w:lvlText w:val="•"/>
      <w:lvlJc w:val="left"/>
      <w:pPr>
        <w:ind w:left="579" w:hanging="100"/>
      </w:pPr>
      <w:rPr>
        <w:rFonts w:hint="default"/>
      </w:rPr>
    </w:lvl>
    <w:lvl w:ilvl="3" w:tplc="66EAC09E">
      <w:numFmt w:val="bullet"/>
      <w:lvlText w:val="•"/>
      <w:lvlJc w:val="left"/>
      <w:pPr>
        <w:ind w:left="789" w:hanging="100"/>
      </w:pPr>
      <w:rPr>
        <w:rFonts w:hint="default"/>
      </w:rPr>
    </w:lvl>
    <w:lvl w:ilvl="4" w:tplc="E32E2252">
      <w:numFmt w:val="bullet"/>
      <w:lvlText w:val="•"/>
      <w:lvlJc w:val="left"/>
      <w:pPr>
        <w:ind w:left="998" w:hanging="100"/>
      </w:pPr>
      <w:rPr>
        <w:rFonts w:hint="default"/>
      </w:rPr>
    </w:lvl>
    <w:lvl w:ilvl="5" w:tplc="2876B886">
      <w:numFmt w:val="bullet"/>
      <w:lvlText w:val="•"/>
      <w:lvlJc w:val="left"/>
      <w:pPr>
        <w:ind w:left="1208" w:hanging="100"/>
      </w:pPr>
      <w:rPr>
        <w:rFonts w:hint="default"/>
      </w:rPr>
    </w:lvl>
    <w:lvl w:ilvl="6" w:tplc="9BDA9CBC">
      <w:numFmt w:val="bullet"/>
      <w:lvlText w:val="•"/>
      <w:lvlJc w:val="left"/>
      <w:pPr>
        <w:ind w:left="1418" w:hanging="100"/>
      </w:pPr>
      <w:rPr>
        <w:rFonts w:hint="default"/>
      </w:rPr>
    </w:lvl>
    <w:lvl w:ilvl="7" w:tplc="687604F2">
      <w:numFmt w:val="bullet"/>
      <w:lvlText w:val="•"/>
      <w:lvlJc w:val="left"/>
      <w:pPr>
        <w:ind w:left="1627" w:hanging="100"/>
      </w:pPr>
      <w:rPr>
        <w:rFonts w:hint="default"/>
      </w:rPr>
    </w:lvl>
    <w:lvl w:ilvl="8" w:tplc="2FF8B22A">
      <w:numFmt w:val="bullet"/>
      <w:lvlText w:val="•"/>
      <w:lvlJc w:val="left"/>
      <w:pPr>
        <w:ind w:left="1837" w:hanging="100"/>
      </w:pPr>
      <w:rPr>
        <w:rFonts w:hint="default"/>
      </w:rPr>
    </w:lvl>
  </w:abstractNum>
  <w:abstractNum w:abstractNumId="225" w15:restartNumberingAfterBreak="0">
    <w:nsid w:val="0D70323C"/>
    <w:multiLevelType w:val="hybridMultilevel"/>
    <w:tmpl w:val="D7E0548A"/>
    <w:lvl w:ilvl="0" w:tplc="CC208DB4">
      <w:numFmt w:val="bullet"/>
      <w:lvlText w:val=""/>
      <w:lvlJc w:val="left"/>
      <w:pPr>
        <w:ind w:left="156" w:hanging="100"/>
      </w:pPr>
      <w:rPr>
        <w:rFonts w:ascii="Symbol" w:eastAsia="Symbol" w:hAnsi="Symbol" w:cs="Symbol" w:hint="default"/>
        <w:color w:val="231F20"/>
        <w:w w:val="100"/>
        <w:sz w:val="14"/>
        <w:szCs w:val="14"/>
      </w:rPr>
    </w:lvl>
    <w:lvl w:ilvl="1" w:tplc="B6904B6E">
      <w:numFmt w:val="bullet"/>
      <w:lvlText w:val="•"/>
      <w:lvlJc w:val="left"/>
      <w:pPr>
        <w:ind w:left="301" w:hanging="100"/>
      </w:pPr>
      <w:rPr>
        <w:rFonts w:hint="default"/>
      </w:rPr>
    </w:lvl>
    <w:lvl w:ilvl="2" w:tplc="2BB07A6A">
      <w:numFmt w:val="bullet"/>
      <w:lvlText w:val="•"/>
      <w:lvlJc w:val="left"/>
      <w:pPr>
        <w:ind w:left="443" w:hanging="100"/>
      </w:pPr>
      <w:rPr>
        <w:rFonts w:hint="default"/>
      </w:rPr>
    </w:lvl>
    <w:lvl w:ilvl="3" w:tplc="C562DED4">
      <w:numFmt w:val="bullet"/>
      <w:lvlText w:val="•"/>
      <w:lvlJc w:val="left"/>
      <w:pPr>
        <w:ind w:left="585" w:hanging="100"/>
      </w:pPr>
      <w:rPr>
        <w:rFonts w:hint="default"/>
      </w:rPr>
    </w:lvl>
    <w:lvl w:ilvl="4" w:tplc="22104448">
      <w:numFmt w:val="bullet"/>
      <w:lvlText w:val="•"/>
      <w:lvlJc w:val="left"/>
      <w:pPr>
        <w:ind w:left="726" w:hanging="100"/>
      </w:pPr>
      <w:rPr>
        <w:rFonts w:hint="default"/>
      </w:rPr>
    </w:lvl>
    <w:lvl w:ilvl="5" w:tplc="F16EC76E">
      <w:numFmt w:val="bullet"/>
      <w:lvlText w:val="•"/>
      <w:lvlJc w:val="left"/>
      <w:pPr>
        <w:ind w:left="868" w:hanging="100"/>
      </w:pPr>
      <w:rPr>
        <w:rFonts w:hint="default"/>
      </w:rPr>
    </w:lvl>
    <w:lvl w:ilvl="6" w:tplc="79DC8754">
      <w:numFmt w:val="bullet"/>
      <w:lvlText w:val="•"/>
      <w:lvlJc w:val="left"/>
      <w:pPr>
        <w:ind w:left="1010" w:hanging="100"/>
      </w:pPr>
      <w:rPr>
        <w:rFonts w:hint="default"/>
      </w:rPr>
    </w:lvl>
    <w:lvl w:ilvl="7" w:tplc="025E2A7A">
      <w:numFmt w:val="bullet"/>
      <w:lvlText w:val="•"/>
      <w:lvlJc w:val="left"/>
      <w:pPr>
        <w:ind w:left="1151" w:hanging="100"/>
      </w:pPr>
      <w:rPr>
        <w:rFonts w:hint="default"/>
      </w:rPr>
    </w:lvl>
    <w:lvl w:ilvl="8" w:tplc="18C23EBE">
      <w:numFmt w:val="bullet"/>
      <w:lvlText w:val="•"/>
      <w:lvlJc w:val="left"/>
      <w:pPr>
        <w:ind w:left="1293" w:hanging="100"/>
      </w:pPr>
      <w:rPr>
        <w:rFonts w:hint="default"/>
      </w:rPr>
    </w:lvl>
  </w:abstractNum>
  <w:abstractNum w:abstractNumId="226" w15:restartNumberingAfterBreak="0">
    <w:nsid w:val="0D791C9C"/>
    <w:multiLevelType w:val="hybridMultilevel"/>
    <w:tmpl w:val="7ABC090A"/>
    <w:lvl w:ilvl="0" w:tplc="151C0FE4">
      <w:numFmt w:val="bullet"/>
      <w:lvlText w:val=""/>
      <w:lvlJc w:val="left"/>
      <w:pPr>
        <w:ind w:left="156" w:hanging="100"/>
      </w:pPr>
      <w:rPr>
        <w:rFonts w:ascii="Symbol" w:eastAsia="Symbol" w:hAnsi="Symbol" w:cs="Symbol" w:hint="default"/>
        <w:color w:val="231F20"/>
        <w:w w:val="100"/>
        <w:sz w:val="14"/>
        <w:szCs w:val="14"/>
      </w:rPr>
    </w:lvl>
    <w:lvl w:ilvl="1" w:tplc="042A3750">
      <w:numFmt w:val="bullet"/>
      <w:lvlText w:val="•"/>
      <w:lvlJc w:val="left"/>
      <w:pPr>
        <w:ind w:left="301" w:hanging="100"/>
      </w:pPr>
      <w:rPr>
        <w:rFonts w:hint="default"/>
      </w:rPr>
    </w:lvl>
    <w:lvl w:ilvl="2" w:tplc="64904796">
      <w:numFmt w:val="bullet"/>
      <w:lvlText w:val="•"/>
      <w:lvlJc w:val="left"/>
      <w:pPr>
        <w:ind w:left="443" w:hanging="100"/>
      </w:pPr>
      <w:rPr>
        <w:rFonts w:hint="default"/>
      </w:rPr>
    </w:lvl>
    <w:lvl w:ilvl="3" w:tplc="924E6218">
      <w:numFmt w:val="bullet"/>
      <w:lvlText w:val="•"/>
      <w:lvlJc w:val="left"/>
      <w:pPr>
        <w:ind w:left="585" w:hanging="100"/>
      </w:pPr>
      <w:rPr>
        <w:rFonts w:hint="default"/>
      </w:rPr>
    </w:lvl>
    <w:lvl w:ilvl="4" w:tplc="BC42B900">
      <w:numFmt w:val="bullet"/>
      <w:lvlText w:val="•"/>
      <w:lvlJc w:val="left"/>
      <w:pPr>
        <w:ind w:left="726" w:hanging="100"/>
      </w:pPr>
      <w:rPr>
        <w:rFonts w:hint="default"/>
      </w:rPr>
    </w:lvl>
    <w:lvl w:ilvl="5" w:tplc="D400A68E">
      <w:numFmt w:val="bullet"/>
      <w:lvlText w:val="•"/>
      <w:lvlJc w:val="left"/>
      <w:pPr>
        <w:ind w:left="868" w:hanging="100"/>
      </w:pPr>
      <w:rPr>
        <w:rFonts w:hint="default"/>
      </w:rPr>
    </w:lvl>
    <w:lvl w:ilvl="6" w:tplc="2A5A3556">
      <w:numFmt w:val="bullet"/>
      <w:lvlText w:val="•"/>
      <w:lvlJc w:val="left"/>
      <w:pPr>
        <w:ind w:left="1010" w:hanging="100"/>
      </w:pPr>
      <w:rPr>
        <w:rFonts w:hint="default"/>
      </w:rPr>
    </w:lvl>
    <w:lvl w:ilvl="7" w:tplc="A908091C">
      <w:numFmt w:val="bullet"/>
      <w:lvlText w:val="•"/>
      <w:lvlJc w:val="left"/>
      <w:pPr>
        <w:ind w:left="1151" w:hanging="100"/>
      </w:pPr>
      <w:rPr>
        <w:rFonts w:hint="default"/>
      </w:rPr>
    </w:lvl>
    <w:lvl w:ilvl="8" w:tplc="D81C5C86">
      <w:numFmt w:val="bullet"/>
      <w:lvlText w:val="•"/>
      <w:lvlJc w:val="left"/>
      <w:pPr>
        <w:ind w:left="1293" w:hanging="100"/>
      </w:pPr>
      <w:rPr>
        <w:rFonts w:hint="default"/>
      </w:rPr>
    </w:lvl>
  </w:abstractNum>
  <w:abstractNum w:abstractNumId="227" w15:restartNumberingAfterBreak="0">
    <w:nsid w:val="0D994839"/>
    <w:multiLevelType w:val="hybridMultilevel"/>
    <w:tmpl w:val="02AE063A"/>
    <w:lvl w:ilvl="0" w:tplc="5A887058">
      <w:numFmt w:val="bullet"/>
      <w:lvlText w:val=""/>
      <w:lvlJc w:val="left"/>
      <w:pPr>
        <w:ind w:left="156" w:hanging="100"/>
      </w:pPr>
      <w:rPr>
        <w:rFonts w:ascii="Symbol" w:eastAsia="Symbol" w:hAnsi="Symbol" w:cs="Symbol" w:hint="default"/>
        <w:color w:val="231F20"/>
        <w:w w:val="100"/>
        <w:sz w:val="14"/>
        <w:szCs w:val="14"/>
      </w:rPr>
    </w:lvl>
    <w:lvl w:ilvl="1" w:tplc="77B4A174">
      <w:numFmt w:val="bullet"/>
      <w:lvlText w:val="•"/>
      <w:lvlJc w:val="left"/>
      <w:pPr>
        <w:ind w:left="426" w:hanging="100"/>
      </w:pPr>
      <w:rPr>
        <w:rFonts w:hint="default"/>
      </w:rPr>
    </w:lvl>
    <w:lvl w:ilvl="2" w:tplc="4912B620">
      <w:numFmt w:val="bullet"/>
      <w:lvlText w:val="•"/>
      <w:lvlJc w:val="left"/>
      <w:pPr>
        <w:ind w:left="692" w:hanging="100"/>
      </w:pPr>
      <w:rPr>
        <w:rFonts w:hint="default"/>
      </w:rPr>
    </w:lvl>
    <w:lvl w:ilvl="3" w:tplc="57ACF33C">
      <w:numFmt w:val="bullet"/>
      <w:lvlText w:val="•"/>
      <w:lvlJc w:val="left"/>
      <w:pPr>
        <w:ind w:left="959" w:hanging="100"/>
      </w:pPr>
      <w:rPr>
        <w:rFonts w:hint="default"/>
      </w:rPr>
    </w:lvl>
    <w:lvl w:ilvl="4" w:tplc="EA06AB32">
      <w:numFmt w:val="bullet"/>
      <w:lvlText w:val="•"/>
      <w:lvlJc w:val="left"/>
      <w:pPr>
        <w:ind w:left="1225" w:hanging="100"/>
      </w:pPr>
      <w:rPr>
        <w:rFonts w:hint="default"/>
      </w:rPr>
    </w:lvl>
    <w:lvl w:ilvl="5" w:tplc="3D94AEEE">
      <w:numFmt w:val="bullet"/>
      <w:lvlText w:val="•"/>
      <w:lvlJc w:val="left"/>
      <w:pPr>
        <w:ind w:left="1492" w:hanging="100"/>
      </w:pPr>
      <w:rPr>
        <w:rFonts w:hint="default"/>
      </w:rPr>
    </w:lvl>
    <w:lvl w:ilvl="6" w:tplc="6374C286">
      <w:numFmt w:val="bullet"/>
      <w:lvlText w:val="•"/>
      <w:lvlJc w:val="left"/>
      <w:pPr>
        <w:ind w:left="1758" w:hanging="100"/>
      </w:pPr>
      <w:rPr>
        <w:rFonts w:hint="default"/>
      </w:rPr>
    </w:lvl>
    <w:lvl w:ilvl="7" w:tplc="350A1F56">
      <w:numFmt w:val="bullet"/>
      <w:lvlText w:val="•"/>
      <w:lvlJc w:val="left"/>
      <w:pPr>
        <w:ind w:left="2024" w:hanging="100"/>
      </w:pPr>
      <w:rPr>
        <w:rFonts w:hint="default"/>
      </w:rPr>
    </w:lvl>
    <w:lvl w:ilvl="8" w:tplc="9F4C9504">
      <w:numFmt w:val="bullet"/>
      <w:lvlText w:val="•"/>
      <w:lvlJc w:val="left"/>
      <w:pPr>
        <w:ind w:left="2291" w:hanging="100"/>
      </w:pPr>
      <w:rPr>
        <w:rFonts w:hint="default"/>
      </w:rPr>
    </w:lvl>
  </w:abstractNum>
  <w:abstractNum w:abstractNumId="228" w15:restartNumberingAfterBreak="0">
    <w:nsid w:val="0DAA6483"/>
    <w:multiLevelType w:val="hybridMultilevel"/>
    <w:tmpl w:val="974CAC30"/>
    <w:lvl w:ilvl="0" w:tplc="4B74229C">
      <w:numFmt w:val="bullet"/>
      <w:lvlText w:val="•"/>
      <w:lvlJc w:val="left"/>
      <w:pPr>
        <w:ind w:left="57" w:hanging="84"/>
      </w:pPr>
      <w:rPr>
        <w:rFonts w:ascii="Times New Roman" w:eastAsia="Times New Roman" w:hAnsi="Times New Roman" w:cs="Times New Roman" w:hint="default"/>
        <w:b/>
        <w:bCs/>
        <w:color w:val="231F20"/>
        <w:w w:val="100"/>
        <w:sz w:val="14"/>
        <w:szCs w:val="14"/>
      </w:rPr>
    </w:lvl>
    <w:lvl w:ilvl="1" w:tplc="4386E106">
      <w:numFmt w:val="bullet"/>
      <w:lvlText w:val="•"/>
      <w:lvlJc w:val="left"/>
      <w:pPr>
        <w:ind w:left="336" w:hanging="84"/>
      </w:pPr>
      <w:rPr>
        <w:rFonts w:hint="default"/>
      </w:rPr>
    </w:lvl>
    <w:lvl w:ilvl="2" w:tplc="651C68B0">
      <w:numFmt w:val="bullet"/>
      <w:lvlText w:val="•"/>
      <w:lvlJc w:val="left"/>
      <w:pPr>
        <w:ind w:left="612" w:hanging="84"/>
      </w:pPr>
      <w:rPr>
        <w:rFonts w:hint="default"/>
      </w:rPr>
    </w:lvl>
    <w:lvl w:ilvl="3" w:tplc="B17C6458">
      <w:numFmt w:val="bullet"/>
      <w:lvlText w:val="•"/>
      <w:lvlJc w:val="left"/>
      <w:pPr>
        <w:ind w:left="889" w:hanging="84"/>
      </w:pPr>
      <w:rPr>
        <w:rFonts w:hint="default"/>
      </w:rPr>
    </w:lvl>
    <w:lvl w:ilvl="4" w:tplc="13A88100">
      <w:numFmt w:val="bullet"/>
      <w:lvlText w:val="•"/>
      <w:lvlJc w:val="left"/>
      <w:pPr>
        <w:ind w:left="1165" w:hanging="84"/>
      </w:pPr>
      <w:rPr>
        <w:rFonts w:hint="default"/>
      </w:rPr>
    </w:lvl>
    <w:lvl w:ilvl="5" w:tplc="4DCE6468">
      <w:numFmt w:val="bullet"/>
      <w:lvlText w:val="•"/>
      <w:lvlJc w:val="left"/>
      <w:pPr>
        <w:ind w:left="1442" w:hanging="84"/>
      </w:pPr>
      <w:rPr>
        <w:rFonts w:hint="default"/>
      </w:rPr>
    </w:lvl>
    <w:lvl w:ilvl="6" w:tplc="52D04A6C">
      <w:numFmt w:val="bullet"/>
      <w:lvlText w:val="•"/>
      <w:lvlJc w:val="left"/>
      <w:pPr>
        <w:ind w:left="1718" w:hanging="84"/>
      </w:pPr>
      <w:rPr>
        <w:rFonts w:hint="default"/>
      </w:rPr>
    </w:lvl>
    <w:lvl w:ilvl="7" w:tplc="96888F4E">
      <w:numFmt w:val="bullet"/>
      <w:lvlText w:val="•"/>
      <w:lvlJc w:val="left"/>
      <w:pPr>
        <w:ind w:left="1994" w:hanging="84"/>
      </w:pPr>
      <w:rPr>
        <w:rFonts w:hint="default"/>
      </w:rPr>
    </w:lvl>
    <w:lvl w:ilvl="8" w:tplc="2C8E8B08">
      <w:numFmt w:val="bullet"/>
      <w:lvlText w:val="•"/>
      <w:lvlJc w:val="left"/>
      <w:pPr>
        <w:ind w:left="2271" w:hanging="84"/>
      </w:pPr>
      <w:rPr>
        <w:rFonts w:hint="default"/>
      </w:rPr>
    </w:lvl>
  </w:abstractNum>
  <w:abstractNum w:abstractNumId="229" w15:restartNumberingAfterBreak="0">
    <w:nsid w:val="0DB61F11"/>
    <w:multiLevelType w:val="hybridMultilevel"/>
    <w:tmpl w:val="26A87D1E"/>
    <w:lvl w:ilvl="0" w:tplc="56100F54">
      <w:numFmt w:val="bullet"/>
      <w:lvlText w:val=""/>
      <w:lvlJc w:val="left"/>
      <w:pPr>
        <w:ind w:left="156" w:hanging="100"/>
      </w:pPr>
      <w:rPr>
        <w:rFonts w:ascii="Symbol" w:eastAsia="Symbol" w:hAnsi="Symbol" w:cs="Symbol" w:hint="default"/>
        <w:color w:val="231F20"/>
        <w:w w:val="100"/>
        <w:sz w:val="14"/>
        <w:szCs w:val="14"/>
      </w:rPr>
    </w:lvl>
    <w:lvl w:ilvl="1" w:tplc="4C92F1C4">
      <w:numFmt w:val="bullet"/>
      <w:lvlText w:val="•"/>
      <w:lvlJc w:val="left"/>
      <w:pPr>
        <w:ind w:left="426" w:hanging="100"/>
      </w:pPr>
      <w:rPr>
        <w:rFonts w:hint="default"/>
      </w:rPr>
    </w:lvl>
    <w:lvl w:ilvl="2" w:tplc="A8D8E04A">
      <w:numFmt w:val="bullet"/>
      <w:lvlText w:val="•"/>
      <w:lvlJc w:val="left"/>
      <w:pPr>
        <w:ind w:left="692" w:hanging="100"/>
      </w:pPr>
      <w:rPr>
        <w:rFonts w:hint="default"/>
      </w:rPr>
    </w:lvl>
    <w:lvl w:ilvl="3" w:tplc="3146909A">
      <w:numFmt w:val="bullet"/>
      <w:lvlText w:val="•"/>
      <w:lvlJc w:val="left"/>
      <w:pPr>
        <w:ind w:left="959" w:hanging="100"/>
      </w:pPr>
      <w:rPr>
        <w:rFonts w:hint="default"/>
      </w:rPr>
    </w:lvl>
    <w:lvl w:ilvl="4" w:tplc="EE4A2A32">
      <w:numFmt w:val="bullet"/>
      <w:lvlText w:val="•"/>
      <w:lvlJc w:val="left"/>
      <w:pPr>
        <w:ind w:left="1225" w:hanging="100"/>
      </w:pPr>
      <w:rPr>
        <w:rFonts w:hint="default"/>
      </w:rPr>
    </w:lvl>
    <w:lvl w:ilvl="5" w:tplc="1D48A4F8">
      <w:numFmt w:val="bullet"/>
      <w:lvlText w:val="•"/>
      <w:lvlJc w:val="left"/>
      <w:pPr>
        <w:ind w:left="1492" w:hanging="100"/>
      </w:pPr>
      <w:rPr>
        <w:rFonts w:hint="default"/>
      </w:rPr>
    </w:lvl>
    <w:lvl w:ilvl="6" w:tplc="7062C2DE">
      <w:numFmt w:val="bullet"/>
      <w:lvlText w:val="•"/>
      <w:lvlJc w:val="left"/>
      <w:pPr>
        <w:ind w:left="1758" w:hanging="100"/>
      </w:pPr>
      <w:rPr>
        <w:rFonts w:hint="default"/>
      </w:rPr>
    </w:lvl>
    <w:lvl w:ilvl="7" w:tplc="4EE8AECC">
      <w:numFmt w:val="bullet"/>
      <w:lvlText w:val="•"/>
      <w:lvlJc w:val="left"/>
      <w:pPr>
        <w:ind w:left="2024" w:hanging="100"/>
      </w:pPr>
      <w:rPr>
        <w:rFonts w:hint="default"/>
      </w:rPr>
    </w:lvl>
    <w:lvl w:ilvl="8" w:tplc="5E544C8A">
      <w:numFmt w:val="bullet"/>
      <w:lvlText w:val="•"/>
      <w:lvlJc w:val="left"/>
      <w:pPr>
        <w:ind w:left="2291" w:hanging="100"/>
      </w:pPr>
      <w:rPr>
        <w:rFonts w:hint="default"/>
      </w:rPr>
    </w:lvl>
  </w:abstractNum>
  <w:abstractNum w:abstractNumId="230" w15:restartNumberingAfterBreak="0">
    <w:nsid w:val="0DBC22D3"/>
    <w:multiLevelType w:val="hybridMultilevel"/>
    <w:tmpl w:val="7F9053D2"/>
    <w:lvl w:ilvl="0" w:tplc="096821D8">
      <w:numFmt w:val="bullet"/>
      <w:lvlText w:val=""/>
      <w:lvlJc w:val="left"/>
      <w:pPr>
        <w:ind w:left="156" w:hanging="100"/>
      </w:pPr>
      <w:rPr>
        <w:rFonts w:ascii="Symbol" w:eastAsia="Symbol" w:hAnsi="Symbol" w:cs="Symbol" w:hint="default"/>
        <w:color w:val="231F20"/>
        <w:w w:val="100"/>
        <w:sz w:val="14"/>
        <w:szCs w:val="14"/>
      </w:rPr>
    </w:lvl>
    <w:lvl w:ilvl="1" w:tplc="CF487D30">
      <w:numFmt w:val="bullet"/>
      <w:lvlText w:val="•"/>
      <w:lvlJc w:val="left"/>
      <w:pPr>
        <w:ind w:left="301" w:hanging="100"/>
      </w:pPr>
      <w:rPr>
        <w:rFonts w:hint="default"/>
      </w:rPr>
    </w:lvl>
    <w:lvl w:ilvl="2" w:tplc="353E050A">
      <w:numFmt w:val="bullet"/>
      <w:lvlText w:val="•"/>
      <w:lvlJc w:val="left"/>
      <w:pPr>
        <w:ind w:left="443" w:hanging="100"/>
      </w:pPr>
      <w:rPr>
        <w:rFonts w:hint="default"/>
      </w:rPr>
    </w:lvl>
    <w:lvl w:ilvl="3" w:tplc="C18C9E9A">
      <w:numFmt w:val="bullet"/>
      <w:lvlText w:val="•"/>
      <w:lvlJc w:val="left"/>
      <w:pPr>
        <w:ind w:left="585" w:hanging="100"/>
      </w:pPr>
      <w:rPr>
        <w:rFonts w:hint="default"/>
      </w:rPr>
    </w:lvl>
    <w:lvl w:ilvl="4" w:tplc="FD38EC62">
      <w:numFmt w:val="bullet"/>
      <w:lvlText w:val="•"/>
      <w:lvlJc w:val="left"/>
      <w:pPr>
        <w:ind w:left="726" w:hanging="100"/>
      </w:pPr>
      <w:rPr>
        <w:rFonts w:hint="default"/>
      </w:rPr>
    </w:lvl>
    <w:lvl w:ilvl="5" w:tplc="279AC434">
      <w:numFmt w:val="bullet"/>
      <w:lvlText w:val="•"/>
      <w:lvlJc w:val="left"/>
      <w:pPr>
        <w:ind w:left="868" w:hanging="100"/>
      </w:pPr>
      <w:rPr>
        <w:rFonts w:hint="default"/>
      </w:rPr>
    </w:lvl>
    <w:lvl w:ilvl="6" w:tplc="A7F61DC0">
      <w:numFmt w:val="bullet"/>
      <w:lvlText w:val="•"/>
      <w:lvlJc w:val="left"/>
      <w:pPr>
        <w:ind w:left="1010" w:hanging="100"/>
      </w:pPr>
      <w:rPr>
        <w:rFonts w:hint="default"/>
      </w:rPr>
    </w:lvl>
    <w:lvl w:ilvl="7" w:tplc="9F7E4FD6">
      <w:numFmt w:val="bullet"/>
      <w:lvlText w:val="•"/>
      <w:lvlJc w:val="left"/>
      <w:pPr>
        <w:ind w:left="1151" w:hanging="100"/>
      </w:pPr>
      <w:rPr>
        <w:rFonts w:hint="default"/>
      </w:rPr>
    </w:lvl>
    <w:lvl w:ilvl="8" w:tplc="31841850">
      <w:numFmt w:val="bullet"/>
      <w:lvlText w:val="•"/>
      <w:lvlJc w:val="left"/>
      <w:pPr>
        <w:ind w:left="1293" w:hanging="100"/>
      </w:pPr>
      <w:rPr>
        <w:rFonts w:hint="default"/>
      </w:rPr>
    </w:lvl>
  </w:abstractNum>
  <w:abstractNum w:abstractNumId="231" w15:restartNumberingAfterBreak="0">
    <w:nsid w:val="0DC147DE"/>
    <w:multiLevelType w:val="hybridMultilevel"/>
    <w:tmpl w:val="A1CEF062"/>
    <w:lvl w:ilvl="0" w:tplc="A5D8FD76">
      <w:numFmt w:val="bullet"/>
      <w:lvlText w:val=""/>
      <w:lvlJc w:val="left"/>
      <w:pPr>
        <w:ind w:left="156" w:hanging="100"/>
      </w:pPr>
      <w:rPr>
        <w:rFonts w:ascii="Symbol" w:eastAsia="Symbol" w:hAnsi="Symbol" w:cs="Symbol" w:hint="default"/>
        <w:color w:val="231F20"/>
        <w:w w:val="100"/>
        <w:sz w:val="14"/>
        <w:szCs w:val="14"/>
      </w:rPr>
    </w:lvl>
    <w:lvl w:ilvl="1" w:tplc="4EA226E8">
      <w:numFmt w:val="bullet"/>
      <w:lvlText w:val="•"/>
      <w:lvlJc w:val="left"/>
      <w:pPr>
        <w:ind w:left="398" w:hanging="100"/>
      </w:pPr>
      <w:rPr>
        <w:rFonts w:hint="default"/>
      </w:rPr>
    </w:lvl>
    <w:lvl w:ilvl="2" w:tplc="E9980796">
      <w:numFmt w:val="bullet"/>
      <w:lvlText w:val="•"/>
      <w:lvlJc w:val="left"/>
      <w:pPr>
        <w:ind w:left="636" w:hanging="100"/>
      </w:pPr>
      <w:rPr>
        <w:rFonts w:hint="default"/>
      </w:rPr>
    </w:lvl>
    <w:lvl w:ilvl="3" w:tplc="756AD028">
      <w:numFmt w:val="bullet"/>
      <w:lvlText w:val="•"/>
      <w:lvlJc w:val="left"/>
      <w:pPr>
        <w:ind w:left="874" w:hanging="100"/>
      </w:pPr>
      <w:rPr>
        <w:rFonts w:hint="default"/>
      </w:rPr>
    </w:lvl>
    <w:lvl w:ilvl="4" w:tplc="3B1C1E1C">
      <w:numFmt w:val="bullet"/>
      <w:lvlText w:val="•"/>
      <w:lvlJc w:val="left"/>
      <w:pPr>
        <w:ind w:left="1112" w:hanging="100"/>
      </w:pPr>
      <w:rPr>
        <w:rFonts w:hint="default"/>
      </w:rPr>
    </w:lvl>
    <w:lvl w:ilvl="5" w:tplc="65503A16">
      <w:numFmt w:val="bullet"/>
      <w:lvlText w:val="•"/>
      <w:lvlJc w:val="left"/>
      <w:pPr>
        <w:ind w:left="1350" w:hanging="100"/>
      </w:pPr>
      <w:rPr>
        <w:rFonts w:hint="default"/>
      </w:rPr>
    </w:lvl>
    <w:lvl w:ilvl="6" w:tplc="B8205AAA">
      <w:numFmt w:val="bullet"/>
      <w:lvlText w:val="•"/>
      <w:lvlJc w:val="left"/>
      <w:pPr>
        <w:ind w:left="1588" w:hanging="100"/>
      </w:pPr>
      <w:rPr>
        <w:rFonts w:hint="default"/>
      </w:rPr>
    </w:lvl>
    <w:lvl w:ilvl="7" w:tplc="A894D126">
      <w:numFmt w:val="bullet"/>
      <w:lvlText w:val="•"/>
      <w:lvlJc w:val="left"/>
      <w:pPr>
        <w:ind w:left="1826" w:hanging="100"/>
      </w:pPr>
      <w:rPr>
        <w:rFonts w:hint="default"/>
      </w:rPr>
    </w:lvl>
    <w:lvl w:ilvl="8" w:tplc="1806E1AE">
      <w:numFmt w:val="bullet"/>
      <w:lvlText w:val="•"/>
      <w:lvlJc w:val="left"/>
      <w:pPr>
        <w:ind w:left="2064" w:hanging="100"/>
      </w:pPr>
      <w:rPr>
        <w:rFonts w:hint="default"/>
      </w:rPr>
    </w:lvl>
  </w:abstractNum>
  <w:abstractNum w:abstractNumId="232" w15:restartNumberingAfterBreak="0">
    <w:nsid w:val="0DC158D9"/>
    <w:multiLevelType w:val="hybridMultilevel"/>
    <w:tmpl w:val="7A907202"/>
    <w:lvl w:ilvl="0" w:tplc="56F0A29C">
      <w:numFmt w:val="bullet"/>
      <w:lvlText w:val=""/>
      <w:lvlJc w:val="left"/>
      <w:pPr>
        <w:ind w:left="156" w:hanging="100"/>
      </w:pPr>
      <w:rPr>
        <w:rFonts w:ascii="Symbol" w:eastAsia="Symbol" w:hAnsi="Symbol" w:cs="Symbol" w:hint="default"/>
        <w:color w:val="231F20"/>
        <w:w w:val="100"/>
        <w:sz w:val="14"/>
        <w:szCs w:val="14"/>
      </w:rPr>
    </w:lvl>
    <w:lvl w:ilvl="1" w:tplc="BF664784">
      <w:numFmt w:val="bullet"/>
      <w:lvlText w:val="•"/>
      <w:lvlJc w:val="left"/>
      <w:pPr>
        <w:ind w:left="426" w:hanging="100"/>
      </w:pPr>
      <w:rPr>
        <w:rFonts w:hint="default"/>
      </w:rPr>
    </w:lvl>
    <w:lvl w:ilvl="2" w:tplc="05BAF4D6">
      <w:numFmt w:val="bullet"/>
      <w:lvlText w:val="•"/>
      <w:lvlJc w:val="left"/>
      <w:pPr>
        <w:ind w:left="692" w:hanging="100"/>
      </w:pPr>
      <w:rPr>
        <w:rFonts w:hint="default"/>
      </w:rPr>
    </w:lvl>
    <w:lvl w:ilvl="3" w:tplc="78F6F504">
      <w:numFmt w:val="bullet"/>
      <w:lvlText w:val="•"/>
      <w:lvlJc w:val="left"/>
      <w:pPr>
        <w:ind w:left="959" w:hanging="100"/>
      </w:pPr>
      <w:rPr>
        <w:rFonts w:hint="default"/>
      </w:rPr>
    </w:lvl>
    <w:lvl w:ilvl="4" w:tplc="5858ADB8">
      <w:numFmt w:val="bullet"/>
      <w:lvlText w:val="•"/>
      <w:lvlJc w:val="left"/>
      <w:pPr>
        <w:ind w:left="1225" w:hanging="100"/>
      </w:pPr>
      <w:rPr>
        <w:rFonts w:hint="default"/>
      </w:rPr>
    </w:lvl>
    <w:lvl w:ilvl="5" w:tplc="E8AEDDF8">
      <w:numFmt w:val="bullet"/>
      <w:lvlText w:val="•"/>
      <w:lvlJc w:val="left"/>
      <w:pPr>
        <w:ind w:left="1492" w:hanging="100"/>
      </w:pPr>
      <w:rPr>
        <w:rFonts w:hint="default"/>
      </w:rPr>
    </w:lvl>
    <w:lvl w:ilvl="6" w:tplc="37402486">
      <w:numFmt w:val="bullet"/>
      <w:lvlText w:val="•"/>
      <w:lvlJc w:val="left"/>
      <w:pPr>
        <w:ind w:left="1758" w:hanging="100"/>
      </w:pPr>
      <w:rPr>
        <w:rFonts w:hint="default"/>
      </w:rPr>
    </w:lvl>
    <w:lvl w:ilvl="7" w:tplc="866E9416">
      <w:numFmt w:val="bullet"/>
      <w:lvlText w:val="•"/>
      <w:lvlJc w:val="left"/>
      <w:pPr>
        <w:ind w:left="2024" w:hanging="100"/>
      </w:pPr>
      <w:rPr>
        <w:rFonts w:hint="default"/>
      </w:rPr>
    </w:lvl>
    <w:lvl w:ilvl="8" w:tplc="8A78873C">
      <w:numFmt w:val="bullet"/>
      <w:lvlText w:val="•"/>
      <w:lvlJc w:val="left"/>
      <w:pPr>
        <w:ind w:left="2291" w:hanging="100"/>
      </w:pPr>
      <w:rPr>
        <w:rFonts w:hint="default"/>
      </w:rPr>
    </w:lvl>
  </w:abstractNum>
  <w:abstractNum w:abstractNumId="233" w15:restartNumberingAfterBreak="0">
    <w:nsid w:val="0DCC6B95"/>
    <w:multiLevelType w:val="hybridMultilevel"/>
    <w:tmpl w:val="01BCE7BC"/>
    <w:lvl w:ilvl="0" w:tplc="A8BA56CA">
      <w:numFmt w:val="bullet"/>
      <w:lvlText w:val=""/>
      <w:lvlJc w:val="left"/>
      <w:pPr>
        <w:ind w:left="157" w:hanging="100"/>
      </w:pPr>
      <w:rPr>
        <w:rFonts w:ascii="Symbol" w:eastAsia="Symbol" w:hAnsi="Symbol" w:cs="Symbol" w:hint="default"/>
        <w:color w:val="231F20"/>
        <w:w w:val="100"/>
        <w:sz w:val="14"/>
        <w:szCs w:val="14"/>
      </w:rPr>
    </w:lvl>
    <w:lvl w:ilvl="1" w:tplc="E87C9D84">
      <w:numFmt w:val="bullet"/>
      <w:lvlText w:val="•"/>
      <w:lvlJc w:val="left"/>
      <w:pPr>
        <w:ind w:left="369" w:hanging="100"/>
      </w:pPr>
      <w:rPr>
        <w:rFonts w:hint="default"/>
      </w:rPr>
    </w:lvl>
    <w:lvl w:ilvl="2" w:tplc="7CFE80F0">
      <w:numFmt w:val="bullet"/>
      <w:lvlText w:val="•"/>
      <w:lvlJc w:val="left"/>
      <w:pPr>
        <w:ind w:left="579" w:hanging="100"/>
      </w:pPr>
      <w:rPr>
        <w:rFonts w:hint="default"/>
      </w:rPr>
    </w:lvl>
    <w:lvl w:ilvl="3" w:tplc="0896BF1A">
      <w:numFmt w:val="bullet"/>
      <w:lvlText w:val="•"/>
      <w:lvlJc w:val="left"/>
      <w:pPr>
        <w:ind w:left="789" w:hanging="100"/>
      </w:pPr>
      <w:rPr>
        <w:rFonts w:hint="default"/>
      </w:rPr>
    </w:lvl>
    <w:lvl w:ilvl="4" w:tplc="B9407460">
      <w:numFmt w:val="bullet"/>
      <w:lvlText w:val="•"/>
      <w:lvlJc w:val="left"/>
      <w:pPr>
        <w:ind w:left="998" w:hanging="100"/>
      </w:pPr>
      <w:rPr>
        <w:rFonts w:hint="default"/>
      </w:rPr>
    </w:lvl>
    <w:lvl w:ilvl="5" w:tplc="F04A1130">
      <w:numFmt w:val="bullet"/>
      <w:lvlText w:val="•"/>
      <w:lvlJc w:val="left"/>
      <w:pPr>
        <w:ind w:left="1208" w:hanging="100"/>
      </w:pPr>
      <w:rPr>
        <w:rFonts w:hint="default"/>
      </w:rPr>
    </w:lvl>
    <w:lvl w:ilvl="6" w:tplc="B66CC428">
      <w:numFmt w:val="bullet"/>
      <w:lvlText w:val="•"/>
      <w:lvlJc w:val="left"/>
      <w:pPr>
        <w:ind w:left="1418" w:hanging="100"/>
      </w:pPr>
      <w:rPr>
        <w:rFonts w:hint="default"/>
      </w:rPr>
    </w:lvl>
    <w:lvl w:ilvl="7" w:tplc="DCB21ED8">
      <w:numFmt w:val="bullet"/>
      <w:lvlText w:val="•"/>
      <w:lvlJc w:val="left"/>
      <w:pPr>
        <w:ind w:left="1627" w:hanging="100"/>
      </w:pPr>
      <w:rPr>
        <w:rFonts w:hint="default"/>
      </w:rPr>
    </w:lvl>
    <w:lvl w:ilvl="8" w:tplc="87FEB008">
      <w:numFmt w:val="bullet"/>
      <w:lvlText w:val="•"/>
      <w:lvlJc w:val="left"/>
      <w:pPr>
        <w:ind w:left="1837" w:hanging="100"/>
      </w:pPr>
      <w:rPr>
        <w:rFonts w:hint="default"/>
      </w:rPr>
    </w:lvl>
  </w:abstractNum>
  <w:abstractNum w:abstractNumId="234" w15:restartNumberingAfterBreak="0">
    <w:nsid w:val="0DD01C88"/>
    <w:multiLevelType w:val="hybridMultilevel"/>
    <w:tmpl w:val="748219E6"/>
    <w:lvl w:ilvl="0" w:tplc="D0E46C30">
      <w:numFmt w:val="bullet"/>
      <w:lvlText w:val=""/>
      <w:lvlJc w:val="left"/>
      <w:pPr>
        <w:ind w:left="156" w:hanging="100"/>
      </w:pPr>
      <w:rPr>
        <w:rFonts w:ascii="Symbol" w:eastAsia="Symbol" w:hAnsi="Symbol" w:cs="Symbol" w:hint="default"/>
        <w:color w:val="231F20"/>
        <w:w w:val="100"/>
        <w:sz w:val="14"/>
        <w:szCs w:val="14"/>
      </w:rPr>
    </w:lvl>
    <w:lvl w:ilvl="1" w:tplc="CFC44BDA">
      <w:numFmt w:val="bullet"/>
      <w:lvlText w:val="•"/>
      <w:lvlJc w:val="left"/>
      <w:pPr>
        <w:ind w:left="301" w:hanging="100"/>
      </w:pPr>
      <w:rPr>
        <w:rFonts w:hint="default"/>
      </w:rPr>
    </w:lvl>
    <w:lvl w:ilvl="2" w:tplc="70644C10">
      <w:numFmt w:val="bullet"/>
      <w:lvlText w:val="•"/>
      <w:lvlJc w:val="left"/>
      <w:pPr>
        <w:ind w:left="443" w:hanging="100"/>
      </w:pPr>
      <w:rPr>
        <w:rFonts w:hint="default"/>
      </w:rPr>
    </w:lvl>
    <w:lvl w:ilvl="3" w:tplc="516E43FA">
      <w:numFmt w:val="bullet"/>
      <w:lvlText w:val="•"/>
      <w:lvlJc w:val="left"/>
      <w:pPr>
        <w:ind w:left="585" w:hanging="100"/>
      </w:pPr>
      <w:rPr>
        <w:rFonts w:hint="default"/>
      </w:rPr>
    </w:lvl>
    <w:lvl w:ilvl="4" w:tplc="250A6CEC">
      <w:numFmt w:val="bullet"/>
      <w:lvlText w:val="•"/>
      <w:lvlJc w:val="left"/>
      <w:pPr>
        <w:ind w:left="726" w:hanging="100"/>
      </w:pPr>
      <w:rPr>
        <w:rFonts w:hint="default"/>
      </w:rPr>
    </w:lvl>
    <w:lvl w:ilvl="5" w:tplc="1F9ABB30">
      <w:numFmt w:val="bullet"/>
      <w:lvlText w:val="•"/>
      <w:lvlJc w:val="left"/>
      <w:pPr>
        <w:ind w:left="868" w:hanging="100"/>
      </w:pPr>
      <w:rPr>
        <w:rFonts w:hint="default"/>
      </w:rPr>
    </w:lvl>
    <w:lvl w:ilvl="6" w:tplc="C2E8D9C6">
      <w:numFmt w:val="bullet"/>
      <w:lvlText w:val="•"/>
      <w:lvlJc w:val="left"/>
      <w:pPr>
        <w:ind w:left="1010" w:hanging="100"/>
      </w:pPr>
      <w:rPr>
        <w:rFonts w:hint="default"/>
      </w:rPr>
    </w:lvl>
    <w:lvl w:ilvl="7" w:tplc="07A81130">
      <w:numFmt w:val="bullet"/>
      <w:lvlText w:val="•"/>
      <w:lvlJc w:val="left"/>
      <w:pPr>
        <w:ind w:left="1151" w:hanging="100"/>
      </w:pPr>
      <w:rPr>
        <w:rFonts w:hint="default"/>
      </w:rPr>
    </w:lvl>
    <w:lvl w:ilvl="8" w:tplc="ABC63E56">
      <w:numFmt w:val="bullet"/>
      <w:lvlText w:val="•"/>
      <w:lvlJc w:val="left"/>
      <w:pPr>
        <w:ind w:left="1293" w:hanging="100"/>
      </w:pPr>
      <w:rPr>
        <w:rFonts w:hint="default"/>
      </w:rPr>
    </w:lvl>
  </w:abstractNum>
  <w:abstractNum w:abstractNumId="235" w15:restartNumberingAfterBreak="0">
    <w:nsid w:val="0DD13CD7"/>
    <w:multiLevelType w:val="hybridMultilevel"/>
    <w:tmpl w:val="AEF8D5B6"/>
    <w:lvl w:ilvl="0" w:tplc="269A3470">
      <w:numFmt w:val="bullet"/>
      <w:lvlText w:val=""/>
      <w:lvlJc w:val="left"/>
      <w:pPr>
        <w:ind w:left="156" w:hanging="100"/>
      </w:pPr>
      <w:rPr>
        <w:rFonts w:ascii="Symbol" w:eastAsia="Symbol" w:hAnsi="Symbol" w:cs="Symbol" w:hint="default"/>
        <w:color w:val="231F20"/>
        <w:w w:val="100"/>
        <w:sz w:val="14"/>
        <w:szCs w:val="14"/>
      </w:rPr>
    </w:lvl>
    <w:lvl w:ilvl="1" w:tplc="3544F3C8">
      <w:numFmt w:val="bullet"/>
      <w:lvlText w:val="•"/>
      <w:lvlJc w:val="left"/>
      <w:pPr>
        <w:ind w:left="301" w:hanging="100"/>
      </w:pPr>
      <w:rPr>
        <w:rFonts w:hint="default"/>
      </w:rPr>
    </w:lvl>
    <w:lvl w:ilvl="2" w:tplc="F7DEB2E8">
      <w:numFmt w:val="bullet"/>
      <w:lvlText w:val="•"/>
      <w:lvlJc w:val="left"/>
      <w:pPr>
        <w:ind w:left="443" w:hanging="100"/>
      </w:pPr>
      <w:rPr>
        <w:rFonts w:hint="default"/>
      </w:rPr>
    </w:lvl>
    <w:lvl w:ilvl="3" w:tplc="ECFADEAE">
      <w:numFmt w:val="bullet"/>
      <w:lvlText w:val="•"/>
      <w:lvlJc w:val="left"/>
      <w:pPr>
        <w:ind w:left="585" w:hanging="100"/>
      </w:pPr>
      <w:rPr>
        <w:rFonts w:hint="default"/>
      </w:rPr>
    </w:lvl>
    <w:lvl w:ilvl="4" w:tplc="638ED070">
      <w:numFmt w:val="bullet"/>
      <w:lvlText w:val="•"/>
      <w:lvlJc w:val="left"/>
      <w:pPr>
        <w:ind w:left="726" w:hanging="100"/>
      </w:pPr>
      <w:rPr>
        <w:rFonts w:hint="default"/>
      </w:rPr>
    </w:lvl>
    <w:lvl w:ilvl="5" w:tplc="FF284A66">
      <w:numFmt w:val="bullet"/>
      <w:lvlText w:val="•"/>
      <w:lvlJc w:val="left"/>
      <w:pPr>
        <w:ind w:left="868" w:hanging="100"/>
      </w:pPr>
      <w:rPr>
        <w:rFonts w:hint="default"/>
      </w:rPr>
    </w:lvl>
    <w:lvl w:ilvl="6" w:tplc="BA90A7A4">
      <w:numFmt w:val="bullet"/>
      <w:lvlText w:val="•"/>
      <w:lvlJc w:val="left"/>
      <w:pPr>
        <w:ind w:left="1010" w:hanging="100"/>
      </w:pPr>
      <w:rPr>
        <w:rFonts w:hint="default"/>
      </w:rPr>
    </w:lvl>
    <w:lvl w:ilvl="7" w:tplc="DE8E7030">
      <w:numFmt w:val="bullet"/>
      <w:lvlText w:val="•"/>
      <w:lvlJc w:val="left"/>
      <w:pPr>
        <w:ind w:left="1151" w:hanging="100"/>
      </w:pPr>
      <w:rPr>
        <w:rFonts w:hint="default"/>
      </w:rPr>
    </w:lvl>
    <w:lvl w:ilvl="8" w:tplc="4D8089F8">
      <w:numFmt w:val="bullet"/>
      <w:lvlText w:val="•"/>
      <w:lvlJc w:val="left"/>
      <w:pPr>
        <w:ind w:left="1293" w:hanging="100"/>
      </w:pPr>
      <w:rPr>
        <w:rFonts w:hint="default"/>
      </w:rPr>
    </w:lvl>
  </w:abstractNum>
  <w:abstractNum w:abstractNumId="236" w15:restartNumberingAfterBreak="0">
    <w:nsid w:val="0DD42FD3"/>
    <w:multiLevelType w:val="hybridMultilevel"/>
    <w:tmpl w:val="FDB6D50A"/>
    <w:lvl w:ilvl="0" w:tplc="838C3A9A">
      <w:numFmt w:val="bullet"/>
      <w:lvlText w:val=""/>
      <w:lvlJc w:val="left"/>
      <w:pPr>
        <w:ind w:left="156" w:hanging="100"/>
      </w:pPr>
      <w:rPr>
        <w:rFonts w:ascii="Symbol" w:eastAsia="Symbol" w:hAnsi="Symbol" w:cs="Symbol" w:hint="default"/>
        <w:color w:val="231F20"/>
        <w:w w:val="100"/>
        <w:sz w:val="14"/>
        <w:szCs w:val="14"/>
      </w:rPr>
    </w:lvl>
    <w:lvl w:ilvl="1" w:tplc="7884FD02">
      <w:numFmt w:val="bullet"/>
      <w:lvlText w:val="•"/>
      <w:lvlJc w:val="left"/>
      <w:pPr>
        <w:ind w:left="398" w:hanging="100"/>
      </w:pPr>
      <w:rPr>
        <w:rFonts w:hint="default"/>
      </w:rPr>
    </w:lvl>
    <w:lvl w:ilvl="2" w:tplc="E06C214C">
      <w:numFmt w:val="bullet"/>
      <w:lvlText w:val="•"/>
      <w:lvlJc w:val="left"/>
      <w:pPr>
        <w:ind w:left="636" w:hanging="100"/>
      </w:pPr>
      <w:rPr>
        <w:rFonts w:hint="default"/>
      </w:rPr>
    </w:lvl>
    <w:lvl w:ilvl="3" w:tplc="ACFA95F4">
      <w:numFmt w:val="bullet"/>
      <w:lvlText w:val="•"/>
      <w:lvlJc w:val="left"/>
      <w:pPr>
        <w:ind w:left="874" w:hanging="100"/>
      </w:pPr>
      <w:rPr>
        <w:rFonts w:hint="default"/>
      </w:rPr>
    </w:lvl>
    <w:lvl w:ilvl="4" w:tplc="60727AAC">
      <w:numFmt w:val="bullet"/>
      <w:lvlText w:val="•"/>
      <w:lvlJc w:val="left"/>
      <w:pPr>
        <w:ind w:left="1112" w:hanging="100"/>
      </w:pPr>
      <w:rPr>
        <w:rFonts w:hint="default"/>
      </w:rPr>
    </w:lvl>
    <w:lvl w:ilvl="5" w:tplc="BE2AE2E6">
      <w:numFmt w:val="bullet"/>
      <w:lvlText w:val="•"/>
      <w:lvlJc w:val="left"/>
      <w:pPr>
        <w:ind w:left="1350" w:hanging="100"/>
      </w:pPr>
      <w:rPr>
        <w:rFonts w:hint="default"/>
      </w:rPr>
    </w:lvl>
    <w:lvl w:ilvl="6" w:tplc="0BD2BE0E">
      <w:numFmt w:val="bullet"/>
      <w:lvlText w:val="•"/>
      <w:lvlJc w:val="left"/>
      <w:pPr>
        <w:ind w:left="1588" w:hanging="100"/>
      </w:pPr>
      <w:rPr>
        <w:rFonts w:hint="default"/>
      </w:rPr>
    </w:lvl>
    <w:lvl w:ilvl="7" w:tplc="D5FE141A">
      <w:numFmt w:val="bullet"/>
      <w:lvlText w:val="•"/>
      <w:lvlJc w:val="left"/>
      <w:pPr>
        <w:ind w:left="1826" w:hanging="100"/>
      </w:pPr>
      <w:rPr>
        <w:rFonts w:hint="default"/>
      </w:rPr>
    </w:lvl>
    <w:lvl w:ilvl="8" w:tplc="8A4AB9C2">
      <w:numFmt w:val="bullet"/>
      <w:lvlText w:val="•"/>
      <w:lvlJc w:val="left"/>
      <w:pPr>
        <w:ind w:left="2064" w:hanging="100"/>
      </w:pPr>
      <w:rPr>
        <w:rFonts w:hint="default"/>
      </w:rPr>
    </w:lvl>
  </w:abstractNum>
  <w:abstractNum w:abstractNumId="237" w15:restartNumberingAfterBreak="0">
    <w:nsid w:val="0DDF4D6B"/>
    <w:multiLevelType w:val="hybridMultilevel"/>
    <w:tmpl w:val="A530B1EE"/>
    <w:lvl w:ilvl="0" w:tplc="7E364A34">
      <w:numFmt w:val="bullet"/>
      <w:lvlText w:val=""/>
      <w:lvlJc w:val="left"/>
      <w:pPr>
        <w:ind w:left="156" w:hanging="100"/>
      </w:pPr>
      <w:rPr>
        <w:rFonts w:ascii="Symbol" w:eastAsia="Symbol" w:hAnsi="Symbol" w:cs="Symbol" w:hint="default"/>
        <w:color w:val="231F20"/>
        <w:w w:val="100"/>
        <w:sz w:val="14"/>
        <w:szCs w:val="14"/>
      </w:rPr>
    </w:lvl>
    <w:lvl w:ilvl="1" w:tplc="FAF6572E">
      <w:numFmt w:val="bullet"/>
      <w:lvlText w:val="•"/>
      <w:lvlJc w:val="left"/>
      <w:pPr>
        <w:ind w:left="398" w:hanging="100"/>
      </w:pPr>
      <w:rPr>
        <w:rFonts w:hint="default"/>
      </w:rPr>
    </w:lvl>
    <w:lvl w:ilvl="2" w:tplc="F530E168">
      <w:numFmt w:val="bullet"/>
      <w:lvlText w:val="•"/>
      <w:lvlJc w:val="left"/>
      <w:pPr>
        <w:ind w:left="636" w:hanging="100"/>
      </w:pPr>
      <w:rPr>
        <w:rFonts w:hint="default"/>
      </w:rPr>
    </w:lvl>
    <w:lvl w:ilvl="3" w:tplc="F1F626C2">
      <w:numFmt w:val="bullet"/>
      <w:lvlText w:val="•"/>
      <w:lvlJc w:val="left"/>
      <w:pPr>
        <w:ind w:left="874" w:hanging="100"/>
      </w:pPr>
      <w:rPr>
        <w:rFonts w:hint="default"/>
      </w:rPr>
    </w:lvl>
    <w:lvl w:ilvl="4" w:tplc="39804ED8">
      <w:numFmt w:val="bullet"/>
      <w:lvlText w:val="•"/>
      <w:lvlJc w:val="left"/>
      <w:pPr>
        <w:ind w:left="1112" w:hanging="100"/>
      </w:pPr>
      <w:rPr>
        <w:rFonts w:hint="default"/>
      </w:rPr>
    </w:lvl>
    <w:lvl w:ilvl="5" w:tplc="2180A25A">
      <w:numFmt w:val="bullet"/>
      <w:lvlText w:val="•"/>
      <w:lvlJc w:val="left"/>
      <w:pPr>
        <w:ind w:left="1350" w:hanging="100"/>
      </w:pPr>
      <w:rPr>
        <w:rFonts w:hint="default"/>
      </w:rPr>
    </w:lvl>
    <w:lvl w:ilvl="6" w:tplc="D460293E">
      <w:numFmt w:val="bullet"/>
      <w:lvlText w:val="•"/>
      <w:lvlJc w:val="left"/>
      <w:pPr>
        <w:ind w:left="1588" w:hanging="100"/>
      </w:pPr>
      <w:rPr>
        <w:rFonts w:hint="default"/>
      </w:rPr>
    </w:lvl>
    <w:lvl w:ilvl="7" w:tplc="A9C6A1EC">
      <w:numFmt w:val="bullet"/>
      <w:lvlText w:val="•"/>
      <w:lvlJc w:val="left"/>
      <w:pPr>
        <w:ind w:left="1826" w:hanging="100"/>
      </w:pPr>
      <w:rPr>
        <w:rFonts w:hint="default"/>
      </w:rPr>
    </w:lvl>
    <w:lvl w:ilvl="8" w:tplc="80EA2602">
      <w:numFmt w:val="bullet"/>
      <w:lvlText w:val="•"/>
      <w:lvlJc w:val="left"/>
      <w:pPr>
        <w:ind w:left="2064" w:hanging="100"/>
      </w:pPr>
      <w:rPr>
        <w:rFonts w:hint="default"/>
      </w:rPr>
    </w:lvl>
  </w:abstractNum>
  <w:abstractNum w:abstractNumId="238" w15:restartNumberingAfterBreak="0">
    <w:nsid w:val="0DE41AE6"/>
    <w:multiLevelType w:val="hybridMultilevel"/>
    <w:tmpl w:val="29609DCA"/>
    <w:lvl w:ilvl="0" w:tplc="E26A88AC">
      <w:numFmt w:val="bullet"/>
      <w:lvlText w:val=""/>
      <w:lvlJc w:val="left"/>
      <w:pPr>
        <w:ind w:left="156" w:hanging="100"/>
      </w:pPr>
      <w:rPr>
        <w:rFonts w:ascii="Symbol" w:eastAsia="Symbol" w:hAnsi="Symbol" w:cs="Symbol" w:hint="default"/>
        <w:color w:val="231F20"/>
        <w:w w:val="100"/>
        <w:sz w:val="14"/>
        <w:szCs w:val="14"/>
      </w:rPr>
    </w:lvl>
    <w:lvl w:ilvl="1" w:tplc="B3FE9178">
      <w:numFmt w:val="bullet"/>
      <w:lvlText w:val="•"/>
      <w:lvlJc w:val="left"/>
      <w:pPr>
        <w:ind w:left="301" w:hanging="100"/>
      </w:pPr>
      <w:rPr>
        <w:rFonts w:hint="default"/>
      </w:rPr>
    </w:lvl>
    <w:lvl w:ilvl="2" w:tplc="56B867CE">
      <w:numFmt w:val="bullet"/>
      <w:lvlText w:val="•"/>
      <w:lvlJc w:val="left"/>
      <w:pPr>
        <w:ind w:left="443" w:hanging="100"/>
      </w:pPr>
      <w:rPr>
        <w:rFonts w:hint="default"/>
      </w:rPr>
    </w:lvl>
    <w:lvl w:ilvl="3" w:tplc="DD5CBB4E">
      <w:numFmt w:val="bullet"/>
      <w:lvlText w:val="•"/>
      <w:lvlJc w:val="left"/>
      <w:pPr>
        <w:ind w:left="585" w:hanging="100"/>
      </w:pPr>
      <w:rPr>
        <w:rFonts w:hint="default"/>
      </w:rPr>
    </w:lvl>
    <w:lvl w:ilvl="4" w:tplc="4E8CE24E">
      <w:numFmt w:val="bullet"/>
      <w:lvlText w:val="•"/>
      <w:lvlJc w:val="left"/>
      <w:pPr>
        <w:ind w:left="726" w:hanging="100"/>
      </w:pPr>
      <w:rPr>
        <w:rFonts w:hint="default"/>
      </w:rPr>
    </w:lvl>
    <w:lvl w:ilvl="5" w:tplc="8134515E">
      <w:numFmt w:val="bullet"/>
      <w:lvlText w:val="•"/>
      <w:lvlJc w:val="left"/>
      <w:pPr>
        <w:ind w:left="868" w:hanging="100"/>
      </w:pPr>
      <w:rPr>
        <w:rFonts w:hint="default"/>
      </w:rPr>
    </w:lvl>
    <w:lvl w:ilvl="6" w:tplc="D8EC642C">
      <w:numFmt w:val="bullet"/>
      <w:lvlText w:val="•"/>
      <w:lvlJc w:val="left"/>
      <w:pPr>
        <w:ind w:left="1010" w:hanging="100"/>
      </w:pPr>
      <w:rPr>
        <w:rFonts w:hint="default"/>
      </w:rPr>
    </w:lvl>
    <w:lvl w:ilvl="7" w:tplc="60A88660">
      <w:numFmt w:val="bullet"/>
      <w:lvlText w:val="•"/>
      <w:lvlJc w:val="left"/>
      <w:pPr>
        <w:ind w:left="1151" w:hanging="100"/>
      </w:pPr>
      <w:rPr>
        <w:rFonts w:hint="default"/>
      </w:rPr>
    </w:lvl>
    <w:lvl w:ilvl="8" w:tplc="754AF880">
      <w:numFmt w:val="bullet"/>
      <w:lvlText w:val="•"/>
      <w:lvlJc w:val="left"/>
      <w:pPr>
        <w:ind w:left="1293" w:hanging="100"/>
      </w:pPr>
      <w:rPr>
        <w:rFonts w:hint="default"/>
      </w:rPr>
    </w:lvl>
  </w:abstractNum>
  <w:abstractNum w:abstractNumId="239" w15:restartNumberingAfterBreak="0">
    <w:nsid w:val="0DED5F26"/>
    <w:multiLevelType w:val="hybridMultilevel"/>
    <w:tmpl w:val="1C28A9E0"/>
    <w:lvl w:ilvl="0" w:tplc="6C9879B6">
      <w:numFmt w:val="bullet"/>
      <w:lvlText w:val=""/>
      <w:lvlJc w:val="left"/>
      <w:pPr>
        <w:ind w:left="156" w:hanging="100"/>
      </w:pPr>
      <w:rPr>
        <w:rFonts w:ascii="Symbol" w:eastAsia="Symbol" w:hAnsi="Symbol" w:cs="Symbol" w:hint="default"/>
        <w:color w:val="231F20"/>
        <w:w w:val="100"/>
        <w:sz w:val="14"/>
        <w:szCs w:val="14"/>
      </w:rPr>
    </w:lvl>
    <w:lvl w:ilvl="1" w:tplc="B7DAA8AA">
      <w:numFmt w:val="bullet"/>
      <w:lvlText w:val="•"/>
      <w:lvlJc w:val="left"/>
      <w:pPr>
        <w:ind w:left="454" w:hanging="100"/>
      </w:pPr>
      <w:rPr>
        <w:rFonts w:hint="default"/>
      </w:rPr>
    </w:lvl>
    <w:lvl w:ilvl="2" w:tplc="FE861A68">
      <w:numFmt w:val="bullet"/>
      <w:lvlText w:val="•"/>
      <w:lvlJc w:val="left"/>
      <w:pPr>
        <w:ind w:left="749" w:hanging="100"/>
      </w:pPr>
      <w:rPr>
        <w:rFonts w:hint="default"/>
      </w:rPr>
    </w:lvl>
    <w:lvl w:ilvl="3" w:tplc="5BBE05B8">
      <w:numFmt w:val="bullet"/>
      <w:lvlText w:val="•"/>
      <w:lvlJc w:val="left"/>
      <w:pPr>
        <w:ind w:left="1044" w:hanging="100"/>
      </w:pPr>
      <w:rPr>
        <w:rFonts w:hint="default"/>
      </w:rPr>
    </w:lvl>
    <w:lvl w:ilvl="4" w:tplc="ACFCB222">
      <w:numFmt w:val="bullet"/>
      <w:lvlText w:val="•"/>
      <w:lvlJc w:val="left"/>
      <w:pPr>
        <w:ind w:left="1339" w:hanging="100"/>
      </w:pPr>
      <w:rPr>
        <w:rFonts w:hint="default"/>
      </w:rPr>
    </w:lvl>
    <w:lvl w:ilvl="5" w:tplc="321CE892">
      <w:numFmt w:val="bullet"/>
      <w:lvlText w:val="•"/>
      <w:lvlJc w:val="left"/>
      <w:pPr>
        <w:ind w:left="1634" w:hanging="100"/>
      </w:pPr>
      <w:rPr>
        <w:rFonts w:hint="default"/>
      </w:rPr>
    </w:lvl>
    <w:lvl w:ilvl="6" w:tplc="A81A66D8">
      <w:numFmt w:val="bullet"/>
      <w:lvlText w:val="•"/>
      <w:lvlJc w:val="left"/>
      <w:pPr>
        <w:ind w:left="1928" w:hanging="100"/>
      </w:pPr>
      <w:rPr>
        <w:rFonts w:hint="default"/>
      </w:rPr>
    </w:lvl>
    <w:lvl w:ilvl="7" w:tplc="E7E4B1F0">
      <w:numFmt w:val="bullet"/>
      <w:lvlText w:val="•"/>
      <w:lvlJc w:val="left"/>
      <w:pPr>
        <w:ind w:left="2223" w:hanging="100"/>
      </w:pPr>
      <w:rPr>
        <w:rFonts w:hint="default"/>
      </w:rPr>
    </w:lvl>
    <w:lvl w:ilvl="8" w:tplc="D5522D2E">
      <w:numFmt w:val="bullet"/>
      <w:lvlText w:val="•"/>
      <w:lvlJc w:val="left"/>
      <w:pPr>
        <w:ind w:left="2518" w:hanging="100"/>
      </w:pPr>
      <w:rPr>
        <w:rFonts w:hint="default"/>
      </w:rPr>
    </w:lvl>
  </w:abstractNum>
  <w:abstractNum w:abstractNumId="240" w15:restartNumberingAfterBreak="0">
    <w:nsid w:val="0DF346F5"/>
    <w:multiLevelType w:val="hybridMultilevel"/>
    <w:tmpl w:val="CFE074D2"/>
    <w:lvl w:ilvl="0" w:tplc="FE60680A">
      <w:numFmt w:val="bullet"/>
      <w:lvlText w:val=""/>
      <w:lvlJc w:val="left"/>
      <w:pPr>
        <w:ind w:left="157" w:hanging="100"/>
      </w:pPr>
      <w:rPr>
        <w:rFonts w:ascii="Symbol" w:eastAsia="Symbol" w:hAnsi="Symbol" w:cs="Symbol" w:hint="default"/>
        <w:color w:val="231F20"/>
        <w:w w:val="100"/>
        <w:sz w:val="14"/>
        <w:szCs w:val="14"/>
      </w:rPr>
    </w:lvl>
    <w:lvl w:ilvl="1" w:tplc="CE5AD0BC">
      <w:numFmt w:val="bullet"/>
      <w:lvlText w:val="•"/>
      <w:lvlJc w:val="left"/>
      <w:pPr>
        <w:ind w:left="369" w:hanging="100"/>
      </w:pPr>
      <w:rPr>
        <w:rFonts w:hint="default"/>
      </w:rPr>
    </w:lvl>
    <w:lvl w:ilvl="2" w:tplc="3B302DA6">
      <w:numFmt w:val="bullet"/>
      <w:lvlText w:val="•"/>
      <w:lvlJc w:val="left"/>
      <w:pPr>
        <w:ind w:left="579" w:hanging="100"/>
      </w:pPr>
      <w:rPr>
        <w:rFonts w:hint="default"/>
      </w:rPr>
    </w:lvl>
    <w:lvl w:ilvl="3" w:tplc="AD2620E2">
      <w:numFmt w:val="bullet"/>
      <w:lvlText w:val="•"/>
      <w:lvlJc w:val="left"/>
      <w:pPr>
        <w:ind w:left="789" w:hanging="100"/>
      </w:pPr>
      <w:rPr>
        <w:rFonts w:hint="default"/>
      </w:rPr>
    </w:lvl>
    <w:lvl w:ilvl="4" w:tplc="FA38F750">
      <w:numFmt w:val="bullet"/>
      <w:lvlText w:val="•"/>
      <w:lvlJc w:val="left"/>
      <w:pPr>
        <w:ind w:left="998" w:hanging="100"/>
      </w:pPr>
      <w:rPr>
        <w:rFonts w:hint="default"/>
      </w:rPr>
    </w:lvl>
    <w:lvl w:ilvl="5" w:tplc="7D885C40">
      <w:numFmt w:val="bullet"/>
      <w:lvlText w:val="•"/>
      <w:lvlJc w:val="left"/>
      <w:pPr>
        <w:ind w:left="1208" w:hanging="100"/>
      </w:pPr>
      <w:rPr>
        <w:rFonts w:hint="default"/>
      </w:rPr>
    </w:lvl>
    <w:lvl w:ilvl="6" w:tplc="9DCAD076">
      <w:numFmt w:val="bullet"/>
      <w:lvlText w:val="•"/>
      <w:lvlJc w:val="left"/>
      <w:pPr>
        <w:ind w:left="1418" w:hanging="100"/>
      </w:pPr>
      <w:rPr>
        <w:rFonts w:hint="default"/>
      </w:rPr>
    </w:lvl>
    <w:lvl w:ilvl="7" w:tplc="CBE0DB1E">
      <w:numFmt w:val="bullet"/>
      <w:lvlText w:val="•"/>
      <w:lvlJc w:val="left"/>
      <w:pPr>
        <w:ind w:left="1627" w:hanging="100"/>
      </w:pPr>
      <w:rPr>
        <w:rFonts w:hint="default"/>
      </w:rPr>
    </w:lvl>
    <w:lvl w:ilvl="8" w:tplc="994C6912">
      <w:numFmt w:val="bullet"/>
      <w:lvlText w:val="•"/>
      <w:lvlJc w:val="left"/>
      <w:pPr>
        <w:ind w:left="1837" w:hanging="100"/>
      </w:pPr>
      <w:rPr>
        <w:rFonts w:hint="default"/>
      </w:rPr>
    </w:lvl>
  </w:abstractNum>
  <w:abstractNum w:abstractNumId="241" w15:restartNumberingAfterBreak="0">
    <w:nsid w:val="0DF760AF"/>
    <w:multiLevelType w:val="hybridMultilevel"/>
    <w:tmpl w:val="B67642D8"/>
    <w:lvl w:ilvl="0" w:tplc="A4C00C9A">
      <w:numFmt w:val="bullet"/>
      <w:lvlText w:val=""/>
      <w:lvlJc w:val="left"/>
      <w:pPr>
        <w:ind w:left="156" w:hanging="100"/>
      </w:pPr>
      <w:rPr>
        <w:rFonts w:ascii="Symbol" w:eastAsia="Symbol" w:hAnsi="Symbol" w:cs="Symbol" w:hint="default"/>
        <w:color w:val="231F20"/>
        <w:w w:val="100"/>
        <w:sz w:val="14"/>
        <w:szCs w:val="14"/>
      </w:rPr>
    </w:lvl>
    <w:lvl w:ilvl="1" w:tplc="D29ADA6A">
      <w:numFmt w:val="bullet"/>
      <w:lvlText w:val="•"/>
      <w:lvlJc w:val="left"/>
      <w:pPr>
        <w:ind w:left="301" w:hanging="100"/>
      </w:pPr>
      <w:rPr>
        <w:rFonts w:hint="default"/>
      </w:rPr>
    </w:lvl>
    <w:lvl w:ilvl="2" w:tplc="AE9C1F20">
      <w:numFmt w:val="bullet"/>
      <w:lvlText w:val="•"/>
      <w:lvlJc w:val="left"/>
      <w:pPr>
        <w:ind w:left="443" w:hanging="100"/>
      </w:pPr>
      <w:rPr>
        <w:rFonts w:hint="default"/>
      </w:rPr>
    </w:lvl>
    <w:lvl w:ilvl="3" w:tplc="630C303E">
      <w:numFmt w:val="bullet"/>
      <w:lvlText w:val="•"/>
      <w:lvlJc w:val="left"/>
      <w:pPr>
        <w:ind w:left="585" w:hanging="100"/>
      </w:pPr>
      <w:rPr>
        <w:rFonts w:hint="default"/>
      </w:rPr>
    </w:lvl>
    <w:lvl w:ilvl="4" w:tplc="37064550">
      <w:numFmt w:val="bullet"/>
      <w:lvlText w:val="•"/>
      <w:lvlJc w:val="left"/>
      <w:pPr>
        <w:ind w:left="726" w:hanging="100"/>
      </w:pPr>
      <w:rPr>
        <w:rFonts w:hint="default"/>
      </w:rPr>
    </w:lvl>
    <w:lvl w:ilvl="5" w:tplc="6B2C06EA">
      <w:numFmt w:val="bullet"/>
      <w:lvlText w:val="•"/>
      <w:lvlJc w:val="left"/>
      <w:pPr>
        <w:ind w:left="868" w:hanging="100"/>
      </w:pPr>
      <w:rPr>
        <w:rFonts w:hint="default"/>
      </w:rPr>
    </w:lvl>
    <w:lvl w:ilvl="6" w:tplc="8DD8323E">
      <w:numFmt w:val="bullet"/>
      <w:lvlText w:val="•"/>
      <w:lvlJc w:val="left"/>
      <w:pPr>
        <w:ind w:left="1010" w:hanging="100"/>
      </w:pPr>
      <w:rPr>
        <w:rFonts w:hint="default"/>
      </w:rPr>
    </w:lvl>
    <w:lvl w:ilvl="7" w:tplc="BBA67CA2">
      <w:numFmt w:val="bullet"/>
      <w:lvlText w:val="•"/>
      <w:lvlJc w:val="left"/>
      <w:pPr>
        <w:ind w:left="1151" w:hanging="100"/>
      </w:pPr>
      <w:rPr>
        <w:rFonts w:hint="default"/>
      </w:rPr>
    </w:lvl>
    <w:lvl w:ilvl="8" w:tplc="DE40E8AE">
      <w:numFmt w:val="bullet"/>
      <w:lvlText w:val="•"/>
      <w:lvlJc w:val="left"/>
      <w:pPr>
        <w:ind w:left="1293" w:hanging="100"/>
      </w:pPr>
      <w:rPr>
        <w:rFonts w:hint="default"/>
      </w:rPr>
    </w:lvl>
  </w:abstractNum>
  <w:abstractNum w:abstractNumId="242" w15:restartNumberingAfterBreak="0">
    <w:nsid w:val="0E1C0992"/>
    <w:multiLevelType w:val="hybridMultilevel"/>
    <w:tmpl w:val="9D08C19E"/>
    <w:lvl w:ilvl="0" w:tplc="3FDEB782">
      <w:numFmt w:val="bullet"/>
      <w:lvlText w:val=""/>
      <w:lvlJc w:val="left"/>
      <w:pPr>
        <w:ind w:left="157" w:hanging="100"/>
      </w:pPr>
      <w:rPr>
        <w:rFonts w:ascii="Symbol" w:eastAsia="Symbol" w:hAnsi="Symbol" w:cs="Symbol" w:hint="default"/>
        <w:color w:val="231F20"/>
        <w:w w:val="100"/>
        <w:sz w:val="14"/>
        <w:szCs w:val="14"/>
      </w:rPr>
    </w:lvl>
    <w:lvl w:ilvl="1" w:tplc="7C8A6140">
      <w:numFmt w:val="bullet"/>
      <w:lvlText w:val="•"/>
      <w:lvlJc w:val="left"/>
      <w:pPr>
        <w:ind w:left="426" w:hanging="100"/>
      </w:pPr>
      <w:rPr>
        <w:rFonts w:hint="default"/>
      </w:rPr>
    </w:lvl>
    <w:lvl w:ilvl="2" w:tplc="591ABACE">
      <w:numFmt w:val="bullet"/>
      <w:lvlText w:val="•"/>
      <w:lvlJc w:val="left"/>
      <w:pPr>
        <w:ind w:left="692" w:hanging="100"/>
      </w:pPr>
      <w:rPr>
        <w:rFonts w:hint="default"/>
      </w:rPr>
    </w:lvl>
    <w:lvl w:ilvl="3" w:tplc="131206DE">
      <w:numFmt w:val="bullet"/>
      <w:lvlText w:val="•"/>
      <w:lvlJc w:val="left"/>
      <w:pPr>
        <w:ind w:left="959" w:hanging="100"/>
      </w:pPr>
      <w:rPr>
        <w:rFonts w:hint="default"/>
      </w:rPr>
    </w:lvl>
    <w:lvl w:ilvl="4" w:tplc="B1E65856">
      <w:numFmt w:val="bullet"/>
      <w:lvlText w:val="•"/>
      <w:lvlJc w:val="left"/>
      <w:pPr>
        <w:ind w:left="1225" w:hanging="100"/>
      </w:pPr>
      <w:rPr>
        <w:rFonts w:hint="default"/>
      </w:rPr>
    </w:lvl>
    <w:lvl w:ilvl="5" w:tplc="2D58CE44">
      <w:numFmt w:val="bullet"/>
      <w:lvlText w:val="•"/>
      <w:lvlJc w:val="left"/>
      <w:pPr>
        <w:ind w:left="1492" w:hanging="100"/>
      </w:pPr>
      <w:rPr>
        <w:rFonts w:hint="default"/>
      </w:rPr>
    </w:lvl>
    <w:lvl w:ilvl="6" w:tplc="8DA457B6">
      <w:numFmt w:val="bullet"/>
      <w:lvlText w:val="•"/>
      <w:lvlJc w:val="left"/>
      <w:pPr>
        <w:ind w:left="1758" w:hanging="100"/>
      </w:pPr>
      <w:rPr>
        <w:rFonts w:hint="default"/>
      </w:rPr>
    </w:lvl>
    <w:lvl w:ilvl="7" w:tplc="7CFAEFD2">
      <w:numFmt w:val="bullet"/>
      <w:lvlText w:val="•"/>
      <w:lvlJc w:val="left"/>
      <w:pPr>
        <w:ind w:left="2024" w:hanging="100"/>
      </w:pPr>
      <w:rPr>
        <w:rFonts w:hint="default"/>
      </w:rPr>
    </w:lvl>
    <w:lvl w:ilvl="8" w:tplc="F7701AB2">
      <w:numFmt w:val="bullet"/>
      <w:lvlText w:val="•"/>
      <w:lvlJc w:val="left"/>
      <w:pPr>
        <w:ind w:left="2291" w:hanging="100"/>
      </w:pPr>
      <w:rPr>
        <w:rFonts w:hint="default"/>
      </w:rPr>
    </w:lvl>
  </w:abstractNum>
  <w:abstractNum w:abstractNumId="243" w15:restartNumberingAfterBreak="0">
    <w:nsid w:val="0E200B8F"/>
    <w:multiLevelType w:val="hybridMultilevel"/>
    <w:tmpl w:val="4336032A"/>
    <w:lvl w:ilvl="0" w:tplc="D3EA7686">
      <w:numFmt w:val="bullet"/>
      <w:lvlText w:val=""/>
      <w:lvlJc w:val="left"/>
      <w:pPr>
        <w:ind w:left="156" w:hanging="100"/>
      </w:pPr>
      <w:rPr>
        <w:rFonts w:ascii="Symbol" w:eastAsia="Symbol" w:hAnsi="Symbol" w:cs="Symbol" w:hint="default"/>
        <w:color w:val="231F20"/>
        <w:w w:val="100"/>
        <w:sz w:val="14"/>
        <w:szCs w:val="14"/>
      </w:rPr>
    </w:lvl>
    <w:lvl w:ilvl="1" w:tplc="5FF6ECC0">
      <w:numFmt w:val="bullet"/>
      <w:lvlText w:val="•"/>
      <w:lvlJc w:val="left"/>
      <w:pPr>
        <w:ind w:left="273" w:hanging="100"/>
      </w:pPr>
      <w:rPr>
        <w:rFonts w:hint="default"/>
      </w:rPr>
    </w:lvl>
    <w:lvl w:ilvl="2" w:tplc="020856EE">
      <w:numFmt w:val="bullet"/>
      <w:lvlText w:val="•"/>
      <w:lvlJc w:val="left"/>
      <w:pPr>
        <w:ind w:left="386" w:hanging="100"/>
      </w:pPr>
      <w:rPr>
        <w:rFonts w:hint="default"/>
      </w:rPr>
    </w:lvl>
    <w:lvl w:ilvl="3" w:tplc="61460F02">
      <w:numFmt w:val="bullet"/>
      <w:lvlText w:val="•"/>
      <w:lvlJc w:val="left"/>
      <w:pPr>
        <w:ind w:left="500" w:hanging="100"/>
      </w:pPr>
      <w:rPr>
        <w:rFonts w:hint="default"/>
      </w:rPr>
    </w:lvl>
    <w:lvl w:ilvl="4" w:tplc="21CC04C4">
      <w:numFmt w:val="bullet"/>
      <w:lvlText w:val="•"/>
      <w:lvlJc w:val="left"/>
      <w:pPr>
        <w:ind w:left="613" w:hanging="100"/>
      </w:pPr>
      <w:rPr>
        <w:rFonts w:hint="default"/>
      </w:rPr>
    </w:lvl>
    <w:lvl w:ilvl="5" w:tplc="53A4196E">
      <w:numFmt w:val="bullet"/>
      <w:lvlText w:val="•"/>
      <w:lvlJc w:val="left"/>
      <w:pPr>
        <w:ind w:left="727" w:hanging="100"/>
      </w:pPr>
      <w:rPr>
        <w:rFonts w:hint="default"/>
      </w:rPr>
    </w:lvl>
    <w:lvl w:ilvl="6" w:tplc="0388CA60">
      <w:numFmt w:val="bullet"/>
      <w:lvlText w:val="•"/>
      <w:lvlJc w:val="left"/>
      <w:pPr>
        <w:ind w:left="840" w:hanging="100"/>
      </w:pPr>
      <w:rPr>
        <w:rFonts w:hint="default"/>
      </w:rPr>
    </w:lvl>
    <w:lvl w:ilvl="7" w:tplc="754ED49C">
      <w:numFmt w:val="bullet"/>
      <w:lvlText w:val="•"/>
      <w:lvlJc w:val="left"/>
      <w:pPr>
        <w:ind w:left="953" w:hanging="100"/>
      </w:pPr>
      <w:rPr>
        <w:rFonts w:hint="default"/>
      </w:rPr>
    </w:lvl>
    <w:lvl w:ilvl="8" w:tplc="1B3C191C">
      <w:numFmt w:val="bullet"/>
      <w:lvlText w:val="•"/>
      <w:lvlJc w:val="left"/>
      <w:pPr>
        <w:ind w:left="1067" w:hanging="100"/>
      </w:pPr>
      <w:rPr>
        <w:rFonts w:hint="default"/>
      </w:rPr>
    </w:lvl>
  </w:abstractNum>
  <w:abstractNum w:abstractNumId="244" w15:restartNumberingAfterBreak="0">
    <w:nsid w:val="0E2A2113"/>
    <w:multiLevelType w:val="hybridMultilevel"/>
    <w:tmpl w:val="3C5C1904"/>
    <w:lvl w:ilvl="0" w:tplc="04D607B8">
      <w:numFmt w:val="bullet"/>
      <w:lvlText w:val=""/>
      <w:lvlJc w:val="left"/>
      <w:pPr>
        <w:ind w:left="156" w:hanging="100"/>
      </w:pPr>
      <w:rPr>
        <w:rFonts w:ascii="Symbol" w:eastAsia="Symbol" w:hAnsi="Symbol" w:cs="Symbol" w:hint="default"/>
        <w:color w:val="231F20"/>
        <w:w w:val="100"/>
        <w:sz w:val="14"/>
        <w:szCs w:val="14"/>
      </w:rPr>
    </w:lvl>
    <w:lvl w:ilvl="1" w:tplc="9E3A9FAA">
      <w:numFmt w:val="bullet"/>
      <w:lvlText w:val="•"/>
      <w:lvlJc w:val="left"/>
      <w:pPr>
        <w:ind w:left="301" w:hanging="100"/>
      </w:pPr>
      <w:rPr>
        <w:rFonts w:hint="default"/>
      </w:rPr>
    </w:lvl>
    <w:lvl w:ilvl="2" w:tplc="A934E25C">
      <w:numFmt w:val="bullet"/>
      <w:lvlText w:val="•"/>
      <w:lvlJc w:val="left"/>
      <w:pPr>
        <w:ind w:left="443" w:hanging="100"/>
      </w:pPr>
      <w:rPr>
        <w:rFonts w:hint="default"/>
      </w:rPr>
    </w:lvl>
    <w:lvl w:ilvl="3" w:tplc="A2F888F0">
      <w:numFmt w:val="bullet"/>
      <w:lvlText w:val="•"/>
      <w:lvlJc w:val="left"/>
      <w:pPr>
        <w:ind w:left="585" w:hanging="100"/>
      </w:pPr>
      <w:rPr>
        <w:rFonts w:hint="default"/>
      </w:rPr>
    </w:lvl>
    <w:lvl w:ilvl="4" w:tplc="EDFA3DAC">
      <w:numFmt w:val="bullet"/>
      <w:lvlText w:val="•"/>
      <w:lvlJc w:val="left"/>
      <w:pPr>
        <w:ind w:left="726" w:hanging="100"/>
      </w:pPr>
      <w:rPr>
        <w:rFonts w:hint="default"/>
      </w:rPr>
    </w:lvl>
    <w:lvl w:ilvl="5" w:tplc="3C3A038A">
      <w:numFmt w:val="bullet"/>
      <w:lvlText w:val="•"/>
      <w:lvlJc w:val="left"/>
      <w:pPr>
        <w:ind w:left="868" w:hanging="100"/>
      </w:pPr>
      <w:rPr>
        <w:rFonts w:hint="default"/>
      </w:rPr>
    </w:lvl>
    <w:lvl w:ilvl="6" w:tplc="17A8FA52">
      <w:numFmt w:val="bullet"/>
      <w:lvlText w:val="•"/>
      <w:lvlJc w:val="left"/>
      <w:pPr>
        <w:ind w:left="1010" w:hanging="100"/>
      </w:pPr>
      <w:rPr>
        <w:rFonts w:hint="default"/>
      </w:rPr>
    </w:lvl>
    <w:lvl w:ilvl="7" w:tplc="B8867EE8">
      <w:numFmt w:val="bullet"/>
      <w:lvlText w:val="•"/>
      <w:lvlJc w:val="left"/>
      <w:pPr>
        <w:ind w:left="1151" w:hanging="100"/>
      </w:pPr>
      <w:rPr>
        <w:rFonts w:hint="default"/>
      </w:rPr>
    </w:lvl>
    <w:lvl w:ilvl="8" w:tplc="2C40DC7E">
      <w:numFmt w:val="bullet"/>
      <w:lvlText w:val="•"/>
      <w:lvlJc w:val="left"/>
      <w:pPr>
        <w:ind w:left="1293" w:hanging="100"/>
      </w:pPr>
      <w:rPr>
        <w:rFonts w:hint="default"/>
      </w:rPr>
    </w:lvl>
  </w:abstractNum>
  <w:abstractNum w:abstractNumId="245" w15:restartNumberingAfterBreak="0">
    <w:nsid w:val="0E2F6068"/>
    <w:multiLevelType w:val="hybridMultilevel"/>
    <w:tmpl w:val="8C2A90F4"/>
    <w:lvl w:ilvl="0" w:tplc="54CEE528">
      <w:numFmt w:val="bullet"/>
      <w:lvlText w:val=""/>
      <w:lvlJc w:val="left"/>
      <w:pPr>
        <w:ind w:left="156" w:hanging="100"/>
      </w:pPr>
      <w:rPr>
        <w:rFonts w:ascii="Symbol" w:eastAsia="Symbol" w:hAnsi="Symbol" w:cs="Symbol" w:hint="default"/>
        <w:color w:val="231F20"/>
        <w:w w:val="100"/>
        <w:sz w:val="14"/>
        <w:szCs w:val="14"/>
      </w:rPr>
    </w:lvl>
    <w:lvl w:ilvl="1" w:tplc="D620214E">
      <w:numFmt w:val="bullet"/>
      <w:lvlText w:val="•"/>
      <w:lvlJc w:val="left"/>
      <w:pPr>
        <w:ind w:left="398" w:hanging="100"/>
      </w:pPr>
      <w:rPr>
        <w:rFonts w:hint="default"/>
      </w:rPr>
    </w:lvl>
    <w:lvl w:ilvl="2" w:tplc="04F22204">
      <w:numFmt w:val="bullet"/>
      <w:lvlText w:val="•"/>
      <w:lvlJc w:val="left"/>
      <w:pPr>
        <w:ind w:left="636" w:hanging="100"/>
      </w:pPr>
      <w:rPr>
        <w:rFonts w:hint="default"/>
      </w:rPr>
    </w:lvl>
    <w:lvl w:ilvl="3" w:tplc="5B5A064A">
      <w:numFmt w:val="bullet"/>
      <w:lvlText w:val="•"/>
      <w:lvlJc w:val="left"/>
      <w:pPr>
        <w:ind w:left="874" w:hanging="100"/>
      </w:pPr>
      <w:rPr>
        <w:rFonts w:hint="default"/>
      </w:rPr>
    </w:lvl>
    <w:lvl w:ilvl="4" w:tplc="9B080BB4">
      <w:numFmt w:val="bullet"/>
      <w:lvlText w:val="•"/>
      <w:lvlJc w:val="left"/>
      <w:pPr>
        <w:ind w:left="1112" w:hanging="100"/>
      </w:pPr>
      <w:rPr>
        <w:rFonts w:hint="default"/>
      </w:rPr>
    </w:lvl>
    <w:lvl w:ilvl="5" w:tplc="47387D1E">
      <w:numFmt w:val="bullet"/>
      <w:lvlText w:val="•"/>
      <w:lvlJc w:val="left"/>
      <w:pPr>
        <w:ind w:left="1350" w:hanging="100"/>
      </w:pPr>
      <w:rPr>
        <w:rFonts w:hint="default"/>
      </w:rPr>
    </w:lvl>
    <w:lvl w:ilvl="6" w:tplc="821E4C94">
      <w:numFmt w:val="bullet"/>
      <w:lvlText w:val="•"/>
      <w:lvlJc w:val="left"/>
      <w:pPr>
        <w:ind w:left="1588" w:hanging="100"/>
      </w:pPr>
      <w:rPr>
        <w:rFonts w:hint="default"/>
      </w:rPr>
    </w:lvl>
    <w:lvl w:ilvl="7" w:tplc="3006D3D2">
      <w:numFmt w:val="bullet"/>
      <w:lvlText w:val="•"/>
      <w:lvlJc w:val="left"/>
      <w:pPr>
        <w:ind w:left="1826" w:hanging="100"/>
      </w:pPr>
      <w:rPr>
        <w:rFonts w:hint="default"/>
      </w:rPr>
    </w:lvl>
    <w:lvl w:ilvl="8" w:tplc="C608B808">
      <w:numFmt w:val="bullet"/>
      <w:lvlText w:val="•"/>
      <w:lvlJc w:val="left"/>
      <w:pPr>
        <w:ind w:left="2064" w:hanging="100"/>
      </w:pPr>
      <w:rPr>
        <w:rFonts w:hint="default"/>
      </w:rPr>
    </w:lvl>
  </w:abstractNum>
  <w:abstractNum w:abstractNumId="246" w15:restartNumberingAfterBreak="0">
    <w:nsid w:val="0E3E0AA2"/>
    <w:multiLevelType w:val="hybridMultilevel"/>
    <w:tmpl w:val="581CB43A"/>
    <w:lvl w:ilvl="0" w:tplc="8BDE6238">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67E2C7CC">
      <w:numFmt w:val="bullet"/>
      <w:lvlText w:val="•"/>
      <w:lvlJc w:val="left"/>
      <w:pPr>
        <w:ind w:left="1690" w:hanging="180"/>
      </w:pPr>
      <w:rPr>
        <w:rFonts w:hint="default"/>
      </w:rPr>
    </w:lvl>
    <w:lvl w:ilvl="2" w:tplc="6B8EA3CC">
      <w:numFmt w:val="bullet"/>
      <w:lvlText w:val="•"/>
      <w:lvlJc w:val="left"/>
      <w:pPr>
        <w:ind w:left="2701" w:hanging="180"/>
      </w:pPr>
      <w:rPr>
        <w:rFonts w:hint="default"/>
      </w:rPr>
    </w:lvl>
    <w:lvl w:ilvl="3" w:tplc="657A9360">
      <w:numFmt w:val="bullet"/>
      <w:lvlText w:val="•"/>
      <w:lvlJc w:val="left"/>
      <w:pPr>
        <w:ind w:left="3711" w:hanging="180"/>
      </w:pPr>
      <w:rPr>
        <w:rFonts w:hint="default"/>
      </w:rPr>
    </w:lvl>
    <w:lvl w:ilvl="4" w:tplc="367EEF96">
      <w:numFmt w:val="bullet"/>
      <w:lvlText w:val="•"/>
      <w:lvlJc w:val="left"/>
      <w:pPr>
        <w:ind w:left="4722" w:hanging="180"/>
      </w:pPr>
      <w:rPr>
        <w:rFonts w:hint="default"/>
      </w:rPr>
    </w:lvl>
    <w:lvl w:ilvl="5" w:tplc="0592FC32">
      <w:numFmt w:val="bullet"/>
      <w:lvlText w:val="•"/>
      <w:lvlJc w:val="left"/>
      <w:pPr>
        <w:ind w:left="5732" w:hanging="180"/>
      </w:pPr>
      <w:rPr>
        <w:rFonts w:hint="default"/>
      </w:rPr>
    </w:lvl>
    <w:lvl w:ilvl="6" w:tplc="D242E662">
      <w:numFmt w:val="bullet"/>
      <w:lvlText w:val="•"/>
      <w:lvlJc w:val="left"/>
      <w:pPr>
        <w:ind w:left="6743" w:hanging="180"/>
      </w:pPr>
      <w:rPr>
        <w:rFonts w:hint="default"/>
      </w:rPr>
    </w:lvl>
    <w:lvl w:ilvl="7" w:tplc="F7D2B73E">
      <w:numFmt w:val="bullet"/>
      <w:lvlText w:val="•"/>
      <w:lvlJc w:val="left"/>
      <w:pPr>
        <w:ind w:left="7753" w:hanging="180"/>
      </w:pPr>
      <w:rPr>
        <w:rFonts w:hint="default"/>
      </w:rPr>
    </w:lvl>
    <w:lvl w:ilvl="8" w:tplc="694E39A8">
      <w:numFmt w:val="bullet"/>
      <w:lvlText w:val="•"/>
      <w:lvlJc w:val="left"/>
      <w:pPr>
        <w:ind w:left="8764" w:hanging="180"/>
      </w:pPr>
      <w:rPr>
        <w:rFonts w:hint="default"/>
      </w:rPr>
    </w:lvl>
  </w:abstractNum>
  <w:abstractNum w:abstractNumId="247" w15:restartNumberingAfterBreak="0">
    <w:nsid w:val="0E615457"/>
    <w:multiLevelType w:val="hybridMultilevel"/>
    <w:tmpl w:val="8E525562"/>
    <w:lvl w:ilvl="0" w:tplc="012C3556">
      <w:numFmt w:val="bullet"/>
      <w:lvlText w:val=""/>
      <w:lvlJc w:val="left"/>
      <w:pPr>
        <w:ind w:left="156" w:hanging="100"/>
      </w:pPr>
      <w:rPr>
        <w:rFonts w:ascii="Symbol" w:eastAsia="Symbol" w:hAnsi="Symbol" w:cs="Symbol" w:hint="default"/>
        <w:color w:val="231F20"/>
        <w:w w:val="100"/>
        <w:sz w:val="14"/>
        <w:szCs w:val="14"/>
      </w:rPr>
    </w:lvl>
    <w:lvl w:ilvl="1" w:tplc="8CD8A7E0">
      <w:numFmt w:val="bullet"/>
      <w:lvlText w:val="•"/>
      <w:lvlJc w:val="left"/>
      <w:pPr>
        <w:ind w:left="398" w:hanging="100"/>
      </w:pPr>
      <w:rPr>
        <w:rFonts w:hint="default"/>
      </w:rPr>
    </w:lvl>
    <w:lvl w:ilvl="2" w:tplc="BBBA746E">
      <w:numFmt w:val="bullet"/>
      <w:lvlText w:val="•"/>
      <w:lvlJc w:val="left"/>
      <w:pPr>
        <w:ind w:left="636" w:hanging="100"/>
      </w:pPr>
      <w:rPr>
        <w:rFonts w:hint="default"/>
      </w:rPr>
    </w:lvl>
    <w:lvl w:ilvl="3" w:tplc="12CC82D0">
      <w:numFmt w:val="bullet"/>
      <w:lvlText w:val="•"/>
      <w:lvlJc w:val="left"/>
      <w:pPr>
        <w:ind w:left="874" w:hanging="100"/>
      </w:pPr>
      <w:rPr>
        <w:rFonts w:hint="default"/>
      </w:rPr>
    </w:lvl>
    <w:lvl w:ilvl="4" w:tplc="E8E88BE6">
      <w:numFmt w:val="bullet"/>
      <w:lvlText w:val="•"/>
      <w:lvlJc w:val="left"/>
      <w:pPr>
        <w:ind w:left="1112" w:hanging="100"/>
      </w:pPr>
      <w:rPr>
        <w:rFonts w:hint="default"/>
      </w:rPr>
    </w:lvl>
    <w:lvl w:ilvl="5" w:tplc="86480CB2">
      <w:numFmt w:val="bullet"/>
      <w:lvlText w:val="•"/>
      <w:lvlJc w:val="left"/>
      <w:pPr>
        <w:ind w:left="1350" w:hanging="100"/>
      </w:pPr>
      <w:rPr>
        <w:rFonts w:hint="default"/>
      </w:rPr>
    </w:lvl>
    <w:lvl w:ilvl="6" w:tplc="6E5662AE">
      <w:numFmt w:val="bullet"/>
      <w:lvlText w:val="•"/>
      <w:lvlJc w:val="left"/>
      <w:pPr>
        <w:ind w:left="1588" w:hanging="100"/>
      </w:pPr>
      <w:rPr>
        <w:rFonts w:hint="default"/>
      </w:rPr>
    </w:lvl>
    <w:lvl w:ilvl="7" w:tplc="1562A6E0">
      <w:numFmt w:val="bullet"/>
      <w:lvlText w:val="•"/>
      <w:lvlJc w:val="left"/>
      <w:pPr>
        <w:ind w:left="1826" w:hanging="100"/>
      </w:pPr>
      <w:rPr>
        <w:rFonts w:hint="default"/>
      </w:rPr>
    </w:lvl>
    <w:lvl w:ilvl="8" w:tplc="743A4176">
      <w:numFmt w:val="bullet"/>
      <w:lvlText w:val="•"/>
      <w:lvlJc w:val="left"/>
      <w:pPr>
        <w:ind w:left="2064" w:hanging="100"/>
      </w:pPr>
      <w:rPr>
        <w:rFonts w:hint="default"/>
      </w:rPr>
    </w:lvl>
  </w:abstractNum>
  <w:abstractNum w:abstractNumId="248" w15:restartNumberingAfterBreak="0">
    <w:nsid w:val="0E66065D"/>
    <w:multiLevelType w:val="hybridMultilevel"/>
    <w:tmpl w:val="99969F16"/>
    <w:lvl w:ilvl="0" w:tplc="A42E2772">
      <w:numFmt w:val="bullet"/>
      <w:lvlText w:val=""/>
      <w:lvlJc w:val="left"/>
      <w:pPr>
        <w:ind w:left="156" w:hanging="100"/>
      </w:pPr>
      <w:rPr>
        <w:rFonts w:ascii="Symbol" w:eastAsia="Symbol" w:hAnsi="Symbol" w:cs="Symbol" w:hint="default"/>
        <w:color w:val="231F20"/>
        <w:w w:val="100"/>
        <w:sz w:val="14"/>
        <w:szCs w:val="14"/>
      </w:rPr>
    </w:lvl>
    <w:lvl w:ilvl="1" w:tplc="8E4ED182">
      <w:numFmt w:val="bullet"/>
      <w:lvlText w:val="•"/>
      <w:lvlJc w:val="left"/>
      <w:pPr>
        <w:ind w:left="398" w:hanging="100"/>
      </w:pPr>
      <w:rPr>
        <w:rFonts w:hint="default"/>
      </w:rPr>
    </w:lvl>
    <w:lvl w:ilvl="2" w:tplc="018CD274">
      <w:numFmt w:val="bullet"/>
      <w:lvlText w:val="•"/>
      <w:lvlJc w:val="left"/>
      <w:pPr>
        <w:ind w:left="636" w:hanging="100"/>
      </w:pPr>
      <w:rPr>
        <w:rFonts w:hint="default"/>
      </w:rPr>
    </w:lvl>
    <w:lvl w:ilvl="3" w:tplc="29B4541C">
      <w:numFmt w:val="bullet"/>
      <w:lvlText w:val="•"/>
      <w:lvlJc w:val="left"/>
      <w:pPr>
        <w:ind w:left="874" w:hanging="100"/>
      </w:pPr>
      <w:rPr>
        <w:rFonts w:hint="default"/>
      </w:rPr>
    </w:lvl>
    <w:lvl w:ilvl="4" w:tplc="4FCCBBF6">
      <w:numFmt w:val="bullet"/>
      <w:lvlText w:val="•"/>
      <w:lvlJc w:val="left"/>
      <w:pPr>
        <w:ind w:left="1112" w:hanging="100"/>
      </w:pPr>
      <w:rPr>
        <w:rFonts w:hint="default"/>
      </w:rPr>
    </w:lvl>
    <w:lvl w:ilvl="5" w:tplc="7B70EE68">
      <w:numFmt w:val="bullet"/>
      <w:lvlText w:val="•"/>
      <w:lvlJc w:val="left"/>
      <w:pPr>
        <w:ind w:left="1350" w:hanging="100"/>
      </w:pPr>
      <w:rPr>
        <w:rFonts w:hint="default"/>
      </w:rPr>
    </w:lvl>
    <w:lvl w:ilvl="6" w:tplc="B2DC2D7E">
      <w:numFmt w:val="bullet"/>
      <w:lvlText w:val="•"/>
      <w:lvlJc w:val="left"/>
      <w:pPr>
        <w:ind w:left="1588" w:hanging="100"/>
      </w:pPr>
      <w:rPr>
        <w:rFonts w:hint="default"/>
      </w:rPr>
    </w:lvl>
    <w:lvl w:ilvl="7" w:tplc="9328E4BA">
      <w:numFmt w:val="bullet"/>
      <w:lvlText w:val="•"/>
      <w:lvlJc w:val="left"/>
      <w:pPr>
        <w:ind w:left="1826" w:hanging="100"/>
      </w:pPr>
      <w:rPr>
        <w:rFonts w:hint="default"/>
      </w:rPr>
    </w:lvl>
    <w:lvl w:ilvl="8" w:tplc="5712CF8E">
      <w:numFmt w:val="bullet"/>
      <w:lvlText w:val="•"/>
      <w:lvlJc w:val="left"/>
      <w:pPr>
        <w:ind w:left="2064" w:hanging="100"/>
      </w:pPr>
      <w:rPr>
        <w:rFonts w:hint="default"/>
      </w:rPr>
    </w:lvl>
  </w:abstractNum>
  <w:abstractNum w:abstractNumId="249" w15:restartNumberingAfterBreak="0">
    <w:nsid w:val="0E685838"/>
    <w:multiLevelType w:val="hybridMultilevel"/>
    <w:tmpl w:val="2FAC5290"/>
    <w:lvl w:ilvl="0" w:tplc="DE7033D8">
      <w:numFmt w:val="bullet"/>
      <w:lvlText w:val=""/>
      <w:lvlJc w:val="left"/>
      <w:pPr>
        <w:ind w:left="156" w:hanging="100"/>
      </w:pPr>
      <w:rPr>
        <w:rFonts w:ascii="Symbol" w:eastAsia="Symbol" w:hAnsi="Symbol" w:cs="Symbol" w:hint="default"/>
        <w:color w:val="231F20"/>
        <w:w w:val="100"/>
        <w:sz w:val="14"/>
        <w:szCs w:val="14"/>
      </w:rPr>
    </w:lvl>
    <w:lvl w:ilvl="1" w:tplc="48C4E54E">
      <w:numFmt w:val="bullet"/>
      <w:lvlText w:val="•"/>
      <w:lvlJc w:val="left"/>
      <w:pPr>
        <w:ind w:left="426" w:hanging="100"/>
      </w:pPr>
      <w:rPr>
        <w:rFonts w:hint="default"/>
      </w:rPr>
    </w:lvl>
    <w:lvl w:ilvl="2" w:tplc="7D780200">
      <w:numFmt w:val="bullet"/>
      <w:lvlText w:val="•"/>
      <w:lvlJc w:val="left"/>
      <w:pPr>
        <w:ind w:left="692" w:hanging="100"/>
      </w:pPr>
      <w:rPr>
        <w:rFonts w:hint="default"/>
      </w:rPr>
    </w:lvl>
    <w:lvl w:ilvl="3" w:tplc="F3326B0C">
      <w:numFmt w:val="bullet"/>
      <w:lvlText w:val="•"/>
      <w:lvlJc w:val="left"/>
      <w:pPr>
        <w:ind w:left="959" w:hanging="100"/>
      </w:pPr>
      <w:rPr>
        <w:rFonts w:hint="default"/>
      </w:rPr>
    </w:lvl>
    <w:lvl w:ilvl="4" w:tplc="2C925A4C">
      <w:numFmt w:val="bullet"/>
      <w:lvlText w:val="•"/>
      <w:lvlJc w:val="left"/>
      <w:pPr>
        <w:ind w:left="1225" w:hanging="100"/>
      </w:pPr>
      <w:rPr>
        <w:rFonts w:hint="default"/>
      </w:rPr>
    </w:lvl>
    <w:lvl w:ilvl="5" w:tplc="9BBCF07A">
      <w:numFmt w:val="bullet"/>
      <w:lvlText w:val="•"/>
      <w:lvlJc w:val="left"/>
      <w:pPr>
        <w:ind w:left="1492" w:hanging="100"/>
      </w:pPr>
      <w:rPr>
        <w:rFonts w:hint="default"/>
      </w:rPr>
    </w:lvl>
    <w:lvl w:ilvl="6" w:tplc="13FACEC4">
      <w:numFmt w:val="bullet"/>
      <w:lvlText w:val="•"/>
      <w:lvlJc w:val="left"/>
      <w:pPr>
        <w:ind w:left="1758" w:hanging="100"/>
      </w:pPr>
      <w:rPr>
        <w:rFonts w:hint="default"/>
      </w:rPr>
    </w:lvl>
    <w:lvl w:ilvl="7" w:tplc="D10C32C4">
      <w:numFmt w:val="bullet"/>
      <w:lvlText w:val="•"/>
      <w:lvlJc w:val="left"/>
      <w:pPr>
        <w:ind w:left="2024" w:hanging="100"/>
      </w:pPr>
      <w:rPr>
        <w:rFonts w:hint="default"/>
      </w:rPr>
    </w:lvl>
    <w:lvl w:ilvl="8" w:tplc="FF7E1868">
      <w:numFmt w:val="bullet"/>
      <w:lvlText w:val="•"/>
      <w:lvlJc w:val="left"/>
      <w:pPr>
        <w:ind w:left="2291" w:hanging="100"/>
      </w:pPr>
      <w:rPr>
        <w:rFonts w:hint="default"/>
      </w:rPr>
    </w:lvl>
  </w:abstractNum>
  <w:abstractNum w:abstractNumId="250" w15:restartNumberingAfterBreak="0">
    <w:nsid w:val="0E713D78"/>
    <w:multiLevelType w:val="hybridMultilevel"/>
    <w:tmpl w:val="D898EDD6"/>
    <w:lvl w:ilvl="0" w:tplc="E1481EB2">
      <w:numFmt w:val="bullet"/>
      <w:lvlText w:val=""/>
      <w:lvlJc w:val="left"/>
      <w:pPr>
        <w:ind w:left="157" w:hanging="100"/>
      </w:pPr>
      <w:rPr>
        <w:rFonts w:ascii="Symbol" w:eastAsia="Symbol" w:hAnsi="Symbol" w:cs="Symbol" w:hint="default"/>
        <w:color w:val="231F20"/>
        <w:w w:val="100"/>
        <w:sz w:val="14"/>
        <w:szCs w:val="14"/>
      </w:rPr>
    </w:lvl>
    <w:lvl w:ilvl="1" w:tplc="E068894C">
      <w:numFmt w:val="bullet"/>
      <w:lvlText w:val="•"/>
      <w:lvlJc w:val="left"/>
      <w:pPr>
        <w:ind w:left="426" w:hanging="100"/>
      </w:pPr>
      <w:rPr>
        <w:rFonts w:hint="default"/>
      </w:rPr>
    </w:lvl>
    <w:lvl w:ilvl="2" w:tplc="A3B85CBA">
      <w:numFmt w:val="bullet"/>
      <w:lvlText w:val="•"/>
      <w:lvlJc w:val="left"/>
      <w:pPr>
        <w:ind w:left="692" w:hanging="100"/>
      </w:pPr>
      <w:rPr>
        <w:rFonts w:hint="default"/>
      </w:rPr>
    </w:lvl>
    <w:lvl w:ilvl="3" w:tplc="BFBC0C14">
      <w:numFmt w:val="bullet"/>
      <w:lvlText w:val="•"/>
      <w:lvlJc w:val="left"/>
      <w:pPr>
        <w:ind w:left="959" w:hanging="100"/>
      </w:pPr>
      <w:rPr>
        <w:rFonts w:hint="default"/>
      </w:rPr>
    </w:lvl>
    <w:lvl w:ilvl="4" w:tplc="B51ECAB0">
      <w:numFmt w:val="bullet"/>
      <w:lvlText w:val="•"/>
      <w:lvlJc w:val="left"/>
      <w:pPr>
        <w:ind w:left="1225" w:hanging="100"/>
      </w:pPr>
      <w:rPr>
        <w:rFonts w:hint="default"/>
      </w:rPr>
    </w:lvl>
    <w:lvl w:ilvl="5" w:tplc="48D479E4">
      <w:numFmt w:val="bullet"/>
      <w:lvlText w:val="•"/>
      <w:lvlJc w:val="left"/>
      <w:pPr>
        <w:ind w:left="1492" w:hanging="100"/>
      </w:pPr>
      <w:rPr>
        <w:rFonts w:hint="default"/>
      </w:rPr>
    </w:lvl>
    <w:lvl w:ilvl="6" w:tplc="C0CE4474">
      <w:numFmt w:val="bullet"/>
      <w:lvlText w:val="•"/>
      <w:lvlJc w:val="left"/>
      <w:pPr>
        <w:ind w:left="1758" w:hanging="100"/>
      </w:pPr>
      <w:rPr>
        <w:rFonts w:hint="default"/>
      </w:rPr>
    </w:lvl>
    <w:lvl w:ilvl="7" w:tplc="71B465C2">
      <w:numFmt w:val="bullet"/>
      <w:lvlText w:val="•"/>
      <w:lvlJc w:val="left"/>
      <w:pPr>
        <w:ind w:left="2024" w:hanging="100"/>
      </w:pPr>
      <w:rPr>
        <w:rFonts w:hint="default"/>
      </w:rPr>
    </w:lvl>
    <w:lvl w:ilvl="8" w:tplc="5C4EA3BA">
      <w:numFmt w:val="bullet"/>
      <w:lvlText w:val="•"/>
      <w:lvlJc w:val="left"/>
      <w:pPr>
        <w:ind w:left="2291" w:hanging="100"/>
      </w:pPr>
      <w:rPr>
        <w:rFonts w:hint="default"/>
      </w:rPr>
    </w:lvl>
  </w:abstractNum>
  <w:abstractNum w:abstractNumId="251" w15:restartNumberingAfterBreak="0">
    <w:nsid w:val="0E7562BE"/>
    <w:multiLevelType w:val="hybridMultilevel"/>
    <w:tmpl w:val="DA404C90"/>
    <w:lvl w:ilvl="0" w:tplc="A6824EAC">
      <w:numFmt w:val="bullet"/>
      <w:lvlText w:val=""/>
      <w:lvlJc w:val="left"/>
      <w:pPr>
        <w:ind w:left="156" w:hanging="100"/>
      </w:pPr>
      <w:rPr>
        <w:rFonts w:ascii="Symbol" w:eastAsia="Symbol" w:hAnsi="Symbol" w:cs="Symbol" w:hint="default"/>
        <w:color w:val="231F20"/>
        <w:w w:val="100"/>
        <w:sz w:val="14"/>
        <w:szCs w:val="14"/>
      </w:rPr>
    </w:lvl>
    <w:lvl w:ilvl="1" w:tplc="8D125864">
      <w:numFmt w:val="bullet"/>
      <w:lvlText w:val="•"/>
      <w:lvlJc w:val="left"/>
      <w:pPr>
        <w:ind w:left="398" w:hanging="100"/>
      </w:pPr>
      <w:rPr>
        <w:rFonts w:hint="default"/>
      </w:rPr>
    </w:lvl>
    <w:lvl w:ilvl="2" w:tplc="907A14C6">
      <w:numFmt w:val="bullet"/>
      <w:lvlText w:val="•"/>
      <w:lvlJc w:val="left"/>
      <w:pPr>
        <w:ind w:left="636" w:hanging="100"/>
      </w:pPr>
      <w:rPr>
        <w:rFonts w:hint="default"/>
      </w:rPr>
    </w:lvl>
    <w:lvl w:ilvl="3" w:tplc="527AA0A8">
      <w:numFmt w:val="bullet"/>
      <w:lvlText w:val="•"/>
      <w:lvlJc w:val="left"/>
      <w:pPr>
        <w:ind w:left="874" w:hanging="100"/>
      </w:pPr>
      <w:rPr>
        <w:rFonts w:hint="default"/>
      </w:rPr>
    </w:lvl>
    <w:lvl w:ilvl="4" w:tplc="B81C85B2">
      <w:numFmt w:val="bullet"/>
      <w:lvlText w:val="•"/>
      <w:lvlJc w:val="left"/>
      <w:pPr>
        <w:ind w:left="1112" w:hanging="100"/>
      </w:pPr>
      <w:rPr>
        <w:rFonts w:hint="default"/>
      </w:rPr>
    </w:lvl>
    <w:lvl w:ilvl="5" w:tplc="8660A1E4">
      <w:numFmt w:val="bullet"/>
      <w:lvlText w:val="•"/>
      <w:lvlJc w:val="left"/>
      <w:pPr>
        <w:ind w:left="1350" w:hanging="100"/>
      </w:pPr>
      <w:rPr>
        <w:rFonts w:hint="default"/>
      </w:rPr>
    </w:lvl>
    <w:lvl w:ilvl="6" w:tplc="0F464A9C">
      <w:numFmt w:val="bullet"/>
      <w:lvlText w:val="•"/>
      <w:lvlJc w:val="left"/>
      <w:pPr>
        <w:ind w:left="1588" w:hanging="100"/>
      </w:pPr>
      <w:rPr>
        <w:rFonts w:hint="default"/>
      </w:rPr>
    </w:lvl>
    <w:lvl w:ilvl="7" w:tplc="BEF2F412">
      <w:numFmt w:val="bullet"/>
      <w:lvlText w:val="•"/>
      <w:lvlJc w:val="left"/>
      <w:pPr>
        <w:ind w:left="1826" w:hanging="100"/>
      </w:pPr>
      <w:rPr>
        <w:rFonts w:hint="default"/>
      </w:rPr>
    </w:lvl>
    <w:lvl w:ilvl="8" w:tplc="F522C0BE">
      <w:numFmt w:val="bullet"/>
      <w:lvlText w:val="•"/>
      <w:lvlJc w:val="left"/>
      <w:pPr>
        <w:ind w:left="2064" w:hanging="100"/>
      </w:pPr>
      <w:rPr>
        <w:rFonts w:hint="default"/>
      </w:rPr>
    </w:lvl>
  </w:abstractNum>
  <w:abstractNum w:abstractNumId="252" w15:restartNumberingAfterBreak="0">
    <w:nsid w:val="0E866865"/>
    <w:multiLevelType w:val="hybridMultilevel"/>
    <w:tmpl w:val="84701BCA"/>
    <w:lvl w:ilvl="0" w:tplc="9D684F8C">
      <w:numFmt w:val="bullet"/>
      <w:lvlText w:val=""/>
      <w:lvlJc w:val="left"/>
      <w:pPr>
        <w:ind w:left="157" w:hanging="100"/>
      </w:pPr>
      <w:rPr>
        <w:rFonts w:ascii="Symbol" w:eastAsia="Symbol" w:hAnsi="Symbol" w:cs="Symbol" w:hint="default"/>
        <w:color w:val="231F20"/>
        <w:w w:val="100"/>
        <w:sz w:val="14"/>
        <w:szCs w:val="14"/>
      </w:rPr>
    </w:lvl>
    <w:lvl w:ilvl="1" w:tplc="3B5A41FA">
      <w:numFmt w:val="bullet"/>
      <w:lvlText w:val="•"/>
      <w:lvlJc w:val="left"/>
      <w:pPr>
        <w:ind w:left="369" w:hanging="100"/>
      </w:pPr>
      <w:rPr>
        <w:rFonts w:hint="default"/>
      </w:rPr>
    </w:lvl>
    <w:lvl w:ilvl="2" w:tplc="7C30E540">
      <w:numFmt w:val="bullet"/>
      <w:lvlText w:val="•"/>
      <w:lvlJc w:val="left"/>
      <w:pPr>
        <w:ind w:left="579" w:hanging="100"/>
      </w:pPr>
      <w:rPr>
        <w:rFonts w:hint="default"/>
      </w:rPr>
    </w:lvl>
    <w:lvl w:ilvl="3" w:tplc="717E8784">
      <w:numFmt w:val="bullet"/>
      <w:lvlText w:val="•"/>
      <w:lvlJc w:val="left"/>
      <w:pPr>
        <w:ind w:left="789" w:hanging="100"/>
      </w:pPr>
      <w:rPr>
        <w:rFonts w:hint="default"/>
      </w:rPr>
    </w:lvl>
    <w:lvl w:ilvl="4" w:tplc="500893CE">
      <w:numFmt w:val="bullet"/>
      <w:lvlText w:val="•"/>
      <w:lvlJc w:val="left"/>
      <w:pPr>
        <w:ind w:left="998" w:hanging="100"/>
      </w:pPr>
      <w:rPr>
        <w:rFonts w:hint="default"/>
      </w:rPr>
    </w:lvl>
    <w:lvl w:ilvl="5" w:tplc="B2FCDA28">
      <w:numFmt w:val="bullet"/>
      <w:lvlText w:val="•"/>
      <w:lvlJc w:val="left"/>
      <w:pPr>
        <w:ind w:left="1208" w:hanging="100"/>
      </w:pPr>
      <w:rPr>
        <w:rFonts w:hint="default"/>
      </w:rPr>
    </w:lvl>
    <w:lvl w:ilvl="6" w:tplc="BEBE30BE">
      <w:numFmt w:val="bullet"/>
      <w:lvlText w:val="•"/>
      <w:lvlJc w:val="left"/>
      <w:pPr>
        <w:ind w:left="1418" w:hanging="100"/>
      </w:pPr>
      <w:rPr>
        <w:rFonts w:hint="default"/>
      </w:rPr>
    </w:lvl>
    <w:lvl w:ilvl="7" w:tplc="669CD154">
      <w:numFmt w:val="bullet"/>
      <w:lvlText w:val="•"/>
      <w:lvlJc w:val="left"/>
      <w:pPr>
        <w:ind w:left="1627" w:hanging="100"/>
      </w:pPr>
      <w:rPr>
        <w:rFonts w:hint="default"/>
      </w:rPr>
    </w:lvl>
    <w:lvl w:ilvl="8" w:tplc="235CE710">
      <w:numFmt w:val="bullet"/>
      <w:lvlText w:val="•"/>
      <w:lvlJc w:val="left"/>
      <w:pPr>
        <w:ind w:left="1837" w:hanging="100"/>
      </w:pPr>
      <w:rPr>
        <w:rFonts w:hint="default"/>
      </w:rPr>
    </w:lvl>
  </w:abstractNum>
  <w:abstractNum w:abstractNumId="253" w15:restartNumberingAfterBreak="0">
    <w:nsid w:val="0E8F3FDF"/>
    <w:multiLevelType w:val="hybridMultilevel"/>
    <w:tmpl w:val="FCA4CB1C"/>
    <w:lvl w:ilvl="0" w:tplc="8F32DE12">
      <w:numFmt w:val="bullet"/>
      <w:lvlText w:val=""/>
      <w:lvlJc w:val="left"/>
      <w:pPr>
        <w:ind w:left="157" w:hanging="100"/>
      </w:pPr>
      <w:rPr>
        <w:rFonts w:ascii="Symbol" w:eastAsia="Symbol" w:hAnsi="Symbol" w:cs="Symbol" w:hint="default"/>
        <w:color w:val="231F20"/>
        <w:w w:val="100"/>
        <w:sz w:val="14"/>
        <w:szCs w:val="14"/>
      </w:rPr>
    </w:lvl>
    <w:lvl w:ilvl="1" w:tplc="E9F284CA">
      <w:numFmt w:val="bullet"/>
      <w:lvlText w:val="•"/>
      <w:lvlJc w:val="left"/>
      <w:pPr>
        <w:ind w:left="398" w:hanging="100"/>
      </w:pPr>
      <w:rPr>
        <w:rFonts w:hint="default"/>
      </w:rPr>
    </w:lvl>
    <w:lvl w:ilvl="2" w:tplc="D84EA866">
      <w:numFmt w:val="bullet"/>
      <w:lvlText w:val="•"/>
      <w:lvlJc w:val="left"/>
      <w:pPr>
        <w:ind w:left="636" w:hanging="100"/>
      </w:pPr>
      <w:rPr>
        <w:rFonts w:hint="default"/>
      </w:rPr>
    </w:lvl>
    <w:lvl w:ilvl="3" w:tplc="D564F1CC">
      <w:numFmt w:val="bullet"/>
      <w:lvlText w:val="•"/>
      <w:lvlJc w:val="left"/>
      <w:pPr>
        <w:ind w:left="874" w:hanging="100"/>
      </w:pPr>
      <w:rPr>
        <w:rFonts w:hint="default"/>
      </w:rPr>
    </w:lvl>
    <w:lvl w:ilvl="4" w:tplc="E4E244E8">
      <w:numFmt w:val="bullet"/>
      <w:lvlText w:val="•"/>
      <w:lvlJc w:val="left"/>
      <w:pPr>
        <w:ind w:left="1112" w:hanging="100"/>
      </w:pPr>
      <w:rPr>
        <w:rFonts w:hint="default"/>
      </w:rPr>
    </w:lvl>
    <w:lvl w:ilvl="5" w:tplc="E5E89AE6">
      <w:numFmt w:val="bullet"/>
      <w:lvlText w:val="•"/>
      <w:lvlJc w:val="left"/>
      <w:pPr>
        <w:ind w:left="1350" w:hanging="100"/>
      </w:pPr>
      <w:rPr>
        <w:rFonts w:hint="default"/>
      </w:rPr>
    </w:lvl>
    <w:lvl w:ilvl="6" w:tplc="D5C6AF72">
      <w:numFmt w:val="bullet"/>
      <w:lvlText w:val="•"/>
      <w:lvlJc w:val="left"/>
      <w:pPr>
        <w:ind w:left="1588" w:hanging="100"/>
      </w:pPr>
      <w:rPr>
        <w:rFonts w:hint="default"/>
      </w:rPr>
    </w:lvl>
    <w:lvl w:ilvl="7" w:tplc="3AEA8138">
      <w:numFmt w:val="bullet"/>
      <w:lvlText w:val="•"/>
      <w:lvlJc w:val="left"/>
      <w:pPr>
        <w:ind w:left="1826" w:hanging="100"/>
      </w:pPr>
      <w:rPr>
        <w:rFonts w:hint="default"/>
      </w:rPr>
    </w:lvl>
    <w:lvl w:ilvl="8" w:tplc="B9B849AA">
      <w:numFmt w:val="bullet"/>
      <w:lvlText w:val="•"/>
      <w:lvlJc w:val="left"/>
      <w:pPr>
        <w:ind w:left="2064" w:hanging="100"/>
      </w:pPr>
      <w:rPr>
        <w:rFonts w:hint="default"/>
      </w:rPr>
    </w:lvl>
  </w:abstractNum>
  <w:abstractNum w:abstractNumId="254" w15:restartNumberingAfterBreak="0">
    <w:nsid w:val="0E921FB0"/>
    <w:multiLevelType w:val="hybridMultilevel"/>
    <w:tmpl w:val="D1A8CC76"/>
    <w:lvl w:ilvl="0" w:tplc="537663A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68ECAFA4">
      <w:numFmt w:val="bullet"/>
      <w:lvlText w:val="•"/>
      <w:lvlJc w:val="left"/>
      <w:pPr>
        <w:ind w:left="408" w:hanging="84"/>
      </w:pPr>
      <w:rPr>
        <w:rFonts w:hint="default"/>
      </w:rPr>
    </w:lvl>
    <w:lvl w:ilvl="2" w:tplc="D61C99AE">
      <w:numFmt w:val="bullet"/>
      <w:lvlText w:val="•"/>
      <w:lvlJc w:val="left"/>
      <w:pPr>
        <w:ind w:left="676" w:hanging="84"/>
      </w:pPr>
      <w:rPr>
        <w:rFonts w:hint="default"/>
      </w:rPr>
    </w:lvl>
    <w:lvl w:ilvl="3" w:tplc="4786601A">
      <w:numFmt w:val="bullet"/>
      <w:lvlText w:val="•"/>
      <w:lvlJc w:val="left"/>
      <w:pPr>
        <w:ind w:left="945" w:hanging="84"/>
      </w:pPr>
      <w:rPr>
        <w:rFonts w:hint="default"/>
      </w:rPr>
    </w:lvl>
    <w:lvl w:ilvl="4" w:tplc="4558D1EA">
      <w:numFmt w:val="bullet"/>
      <w:lvlText w:val="•"/>
      <w:lvlJc w:val="left"/>
      <w:pPr>
        <w:ind w:left="1213" w:hanging="84"/>
      </w:pPr>
      <w:rPr>
        <w:rFonts w:hint="default"/>
      </w:rPr>
    </w:lvl>
    <w:lvl w:ilvl="5" w:tplc="AC5A9AEA">
      <w:numFmt w:val="bullet"/>
      <w:lvlText w:val="•"/>
      <w:lvlJc w:val="left"/>
      <w:pPr>
        <w:ind w:left="1482" w:hanging="84"/>
      </w:pPr>
      <w:rPr>
        <w:rFonts w:hint="default"/>
      </w:rPr>
    </w:lvl>
    <w:lvl w:ilvl="6" w:tplc="7D221052">
      <w:numFmt w:val="bullet"/>
      <w:lvlText w:val="•"/>
      <w:lvlJc w:val="left"/>
      <w:pPr>
        <w:ind w:left="1750" w:hanging="84"/>
      </w:pPr>
      <w:rPr>
        <w:rFonts w:hint="default"/>
      </w:rPr>
    </w:lvl>
    <w:lvl w:ilvl="7" w:tplc="7FA44A08">
      <w:numFmt w:val="bullet"/>
      <w:lvlText w:val="•"/>
      <w:lvlJc w:val="left"/>
      <w:pPr>
        <w:ind w:left="2018" w:hanging="84"/>
      </w:pPr>
      <w:rPr>
        <w:rFonts w:hint="default"/>
      </w:rPr>
    </w:lvl>
    <w:lvl w:ilvl="8" w:tplc="A95240CE">
      <w:numFmt w:val="bullet"/>
      <w:lvlText w:val="•"/>
      <w:lvlJc w:val="left"/>
      <w:pPr>
        <w:ind w:left="2287" w:hanging="84"/>
      </w:pPr>
      <w:rPr>
        <w:rFonts w:hint="default"/>
      </w:rPr>
    </w:lvl>
  </w:abstractNum>
  <w:abstractNum w:abstractNumId="255" w15:restartNumberingAfterBreak="0">
    <w:nsid w:val="0EC71600"/>
    <w:multiLevelType w:val="hybridMultilevel"/>
    <w:tmpl w:val="6A06CE50"/>
    <w:lvl w:ilvl="0" w:tplc="8482E23A">
      <w:numFmt w:val="bullet"/>
      <w:lvlText w:val=""/>
      <w:lvlJc w:val="left"/>
      <w:pPr>
        <w:ind w:left="156" w:hanging="100"/>
      </w:pPr>
      <w:rPr>
        <w:rFonts w:ascii="Symbol" w:eastAsia="Symbol" w:hAnsi="Symbol" w:cs="Symbol" w:hint="default"/>
        <w:color w:val="231F20"/>
        <w:w w:val="100"/>
        <w:sz w:val="14"/>
        <w:szCs w:val="14"/>
      </w:rPr>
    </w:lvl>
    <w:lvl w:ilvl="1" w:tplc="85CC48D8">
      <w:numFmt w:val="bullet"/>
      <w:lvlText w:val="•"/>
      <w:lvlJc w:val="left"/>
      <w:pPr>
        <w:ind w:left="398" w:hanging="100"/>
      </w:pPr>
      <w:rPr>
        <w:rFonts w:hint="default"/>
      </w:rPr>
    </w:lvl>
    <w:lvl w:ilvl="2" w:tplc="D3341804">
      <w:numFmt w:val="bullet"/>
      <w:lvlText w:val="•"/>
      <w:lvlJc w:val="left"/>
      <w:pPr>
        <w:ind w:left="636" w:hanging="100"/>
      </w:pPr>
      <w:rPr>
        <w:rFonts w:hint="default"/>
      </w:rPr>
    </w:lvl>
    <w:lvl w:ilvl="3" w:tplc="9B7416AE">
      <w:numFmt w:val="bullet"/>
      <w:lvlText w:val="•"/>
      <w:lvlJc w:val="left"/>
      <w:pPr>
        <w:ind w:left="874" w:hanging="100"/>
      </w:pPr>
      <w:rPr>
        <w:rFonts w:hint="default"/>
      </w:rPr>
    </w:lvl>
    <w:lvl w:ilvl="4" w:tplc="72521BE4">
      <w:numFmt w:val="bullet"/>
      <w:lvlText w:val="•"/>
      <w:lvlJc w:val="left"/>
      <w:pPr>
        <w:ind w:left="1112" w:hanging="100"/>
      </w:pPr>
      <w:rPr>
        <w:rFonts w:hint="default"/>
      </w:rPr>
    </w:lvl>
    <w:lvl w:ilvl="5" w:tplc="6A2464C6">
      <w:numFmt w:val="bullet"/>
      <w:lvlText w:val="•"/>
      <w:lvlJc w:val="left"/>
      <w:pPr>
        <w:ind w:left="1350" w:hanging="100"/>
      </w:pPr>
      <w:rPr>
        <w:rFonts w:hint="default"/>
      </w:rPr>
    </w:lvl>
    <w:lvl w:ilvl="6" w:tplc="94DC4EBC">
      <w:numFmt w:val="bullet"/>
      <w:lvlText w:val="•"/>
      <w:lvlJc w:val="left"/>
      <w:pPr>
        <w:ind w:left="1588" w:hanging="100"/>
      </w:pPr>
      <w:rPr>
        <w:rFonts w:hint="default"/>
      </w:rPr>
    </w:lvl>
    <w:lvl w:ilvl="7" w:tplc="F38CE308">
      <w:numFmt w:val="bullet"/>
      <w:lvlText w:val="•"/>
      <w:lvlJc w:val="left"/>
      <w:pPr>
        <w:ind w:left="1826" w:hanging="100"/>
      </w:pPr>
      <w:rPr>
        <w:rFonts w:hint="default"/>
      </w:rPr>
    </w:lvl>
    <w:lvl w:ilvl="8" w:tplc="6B867356">
      <w:numFmt w:val="bullet"/>
      <w:lvlText w:val="•"/>
      <w:lvlJc w:val="left"/>
      <w:pPr>
        <w:ind w:left="2064" w:hanging="100"/>
      </w:pPr>
      <w:rPr>
        <w:rFonts w:hint="default"/>
      </w:rPr>
    </w:lvl>
  </w:abstractNum>
  <w:abstractNum w:abstractNumId="256" w15:restartNumberingAfterBreak="0">
    <w:nsid w:val="0ED65966"/>
    <w:multiLevelType w:val="hybridMultilevel"/>
    <w:tmpl w:val="C6E6E832"/>
    <w:lvl w:ilvl="0" w:tplc="8A52FF2E">
      <w:numFmt w:val="bullet"/>
      <w:lvlText w:val=""/>
      <w:lvlJc w:val="left"/>
      <w:pPr>
        <w:ind w:left="156" w:hanging="100"/>
      </w:pPr>
      <w:rPr>
        <w:rFonts w:ascii="Symbol" w:eastAsia="Symbol" w:hAnsi="Symbol" w:cs="Symbol" w:hint="default"/>
        <w:color w:val="231F20"/>
        <w:w w:val="100"/>
        <w:sz w:val="14"/>
        <w:szCs w:val="14"/>
      </w:rPr>
    </w:lvl>
    <w:lvl w:ilvl="1" w:tplc="1D128D40">
      <w:numFmt w:val="bullet"/>
      <w:lvlText w:val="•"/>
      <w:lvlJc w:val="left"/>
      <w:pPr>
        <w:ind w:left="426" w:hanging="100"/>
      </w:pPr>
      <w:rPr>
        <w:rFonts w:hint="default"/>
      </w:rPr>
    </w:lvl>
    <w:lvl w:ilvl="2" w:tplc="310AA7F2">
      <w:numFmt w:val="bullet"/>
      <w:lvlText w:val="•"/>
      <w:lvlJc w:val="left"/>
      <w:pPr>
        <w:ind w:left="692" w:hanging="100"/>
      </w:pPr>
      <w:rPr>
        <w:rFonts w:hint="default"/>
      </w:rPr>
    </w:lvl>
    <w:lvl w:ilvl="3" w:tplc="7682E4C6">
      <w:numFmt w:val="bullet"/>
      <w:lvlText w:val="•"/>
      <w:lvlJc w:val="left"/>
      <w:pPr>
        <w:ind w:left="959" w:hanging="100"/>
      </w:pPr>
      <w:rPr>
        <w:rFonts w:hint="default"/>
      </w:rPr>
    </w:lvl>
    <w:lvl w:ilvl="4" w:tplc="391AF356">
      <w:numFmt w:val="bullet"/>
      <w:lvlText w:val="•"/>
      <w:lvlJc w:val="left"/>
      <w:pPr>
        <w:ind w:left="1225" w:hanging="100"/>
      </w:pPr>
      <w:rPr>
        <w:rFonts w:hint="default"/>
      </w:rPr>
    </w:lvl>
    <w:lvl w:ilvl="5" w:tplc="CE38F94C">
      <w:numFmt w:val="bullet"/>
      <w:lvlText w:val="•"/>
      <w:lvlJc w:val="left"/>
      <w:pPr>
        <w:ind w:left="1492" w:hanging="100"/>
      </w:pPr>
      <w:rPr>
        <w:rFonts w:hint="default"/>
      </w:rPr>
    </w:lvl>
    <w:lvl w:ilvl="6" w:tplc="6F8011C8">
      <w:numFmt w:val="bullet"/>
      <w:lvlText w:val="•"/>
      <w:lvlJc w:val="left"/>
      <w:pPr>
        <w:ind w:left="1758" w:hanging="100"/>
      </w:pPr>
      <w:rPr>
        <w:rFonts w:hint="default"/>
      </w:rPr>
    </w:lvl>
    <w:lvl w:ilvl="7" w:tplc="9D40478C">
      <w:numFmt w:val="bullet"/>
      <w:lvlText w:val="•"/>
      <w:lvlJc w:val="left"/>
      <w:pPr>
        <w:ind w:left="2024" w:hanging="100"/>
      </w:pPr>
      <w:rPr>
        <w:rFonts w:hint="default"/>
      </w:rPr>
    </w:lvl>
    <w:lvl w:ilvl="8" w:tplc="55ECB956">
      <w:numFmt w:val="bullet"/>
      <w:lvlText w:val="•"/>
      <w:lvlJc w:val="left"/>
      <w:pPr>
        <w:ind w:left="2291" w:hanging="100"/>
      </w:pPr>
      <w:rPr>
        <w:rFonts w:hint="default"/>
      </w:rPr>
    </w:lvl>
  </w:abstractNum>
  <w:abstractNum w:abstractNumId="257" w15:restartNumberingAfterBreak="0">
    <w:nsid w:val="0EDC35A8"/>
    <w:multiLevelType w:val="hybridMultilevel"/>
    <w:tmpl w:val="4CBC2D76"/>
    <w:lvl w:ilvl="0" w:tplc="65A6FD0E">
      <w:numFmt w:val="bullet"/>
      <w:lvlText w:val=""/>
      <w:lvlJc w:val="left"/>
      <w:pPr>
        <w:ind w:left="157" w:hanging="100"/>
      </w:pPr>
      <w:rPr>
        <w:rFonts w:ascii="Symbol" w:eastAsia="Symbol" w:hAnsi="Symbol" w:cs="Symbol" w:hint="default"/>
        <w:color w:val="231F20"/>
        <w:w w:val="100"/>
        <w:sz w:val="14"/>
        <w:szCs w:val="14"/>
      </w:rPr>
    </w:lvl>
    <w:lvl w:ilvl="1" w:tplc="B1106456">
      <w:numFmt w:val="bullet"/>
      <w:lvlText w:val="•"/>
      <w:lvlJc w:val="left"/>
      <w:pPr>
        <w:ind w:left="369" w:hanging="100"/>
      </w:pPr>
      <w:rPr>
        <w:rFonts w:hint="default"/>
      </w:rPr>
    </w:lvl>
    <w:lvl w:ilvl="2" w:tplc="92B6E5F8">
      <w:numFmt w:val="bullet"/>
      <w:lvlText w:val="•"/>
      <w:lvlJc w:val="left"/>
      <w:pPr>
        <w:ind w:left="579" w:hanging="100"/>
      </w:pPr>
      <w:rPr>
        <w:rFonts w:hint="default"/>
      </w:rPr>
    </w:lvl>
    <w:lvl w:ilvl="3" w:tplc="FC74B61A">
      <w:numFmt w:val="bullet"/>
      <w:lvlText w:val="•"/>
      <w:lvlJc w:val="left"/>
      <w:pPr>
        <w:ind w:left="789" w:hanging="100"/>
      </w:pPr>
      <w:rPr>
        <w:rFonts w:hint="default"/>
      </w:rPr>
    </w:lvl>
    <w:lvl w:ilvl="4" w:tplc="9AC874A0">
      <w:numFmt w:val="bullet"/>
      <w:lvlText w:val="•"/>
      <w:lvlJc w:val="left"/>
      <w:pPr>
        <w:ind w:left="998" w:hanging="100"/>
      </w:pPr>
      <w:rPr>
        <w:rFonts w:hint="default"/>
      </w:rPr>
    </w:lvl>
    <w:lvl w:ilvl="5" w:tplc="79B23E32">
      <w:numFmt w:val="bullet"/>
      <w:lvlText w:val="•"/>
      <w:lvlJc w:val="left"/>
      <w:pPr>
        <w:ind w:left="1208" w:hanging="100"/>
      </w:pPr>
      <w:rPr>
        <w:rFonts w:hint="default"/>
      </w:rPr>
    </w:lvl>
    <w:lvl w:ilvl="6" w:tplc="6ED2E04C">
      <w:numFmt w:val="bullet"/>
      <w:lvlText w:val="•"/>
      <w:lvlJc w:val="left"/>
      <w:pPr>
        <w:ind w:left="1418" w:hanging="100"/>
      </w:pPr>
      <w:rPr>
        <w:rFonts w:hint="default"/>
      </w:rPr>
    </w:lvl>
    <w:lvl w:ilvl="7" w:tplc="6C600CB2">
      <w:numFmt w:val="bullet"/>
      <w:lvlText w:val="•"/>
      <w:lvlJc w:val="left"/>
      <w:pPr>
        <w:ind w:left="1627" w:hanging="100"/>
      </w:pPr>
      <w:rPr>
        <w:rFonts w:hint="default"/>
      </w:rPr>
    </w:lvl>
    <w:lvl w:ilvl="8" w:tplc="72A811F0">
      <w:numFmt w:val="bullet"/>
      <w:lvlText w:val="•"/>
      <w:lvlJc w:val="left"/>
      <w:pPr>
        <w:ind w:left="1837" w:hanging="100"/>
      </w:pPr>
      <w:rPr>
        <w:rFonts w:hint="default"/>
      </w:rPr>
    </w:lvl>
  </w:abstractNum>
  <w:abstractNum w:abstractNumId="258" w15:restartNumberingAfterBreak="0">
    <w:nsid w:val="0EE33B5C"/>
    <w:multiLevelType w:val="hybridMultilevel"/>
    <w:tmpl w:val="CE8A1AC0"/>
    <w:lvl w:ilvl="0" w:tplc="AEDA9076">
      <w:numFmt w:val="bullet"/>
      <w:lvlText w:val=""/>
      <w:lvlJc w:val="left"/>
      <w:pPr>
        <w:ind w:left="157" w:hanging="100"/>
      </w:pPr>
      <w:rPr>
        <w:rFonts w:ascii="Symbol" w:eastAsia="Symbol" w:hAnsi="Symbol" w:cs="Symbol" w:hint="default"/>
        <w:color w:val="231F20"/>
        <w:w w:val="100"/>
        <w:sz w:val="14"/>
        <w:szCs w:val="14"/>
      </w:rPr>
    </w:lvl>
    <w:lvl w:ilvl="1" w:tplc="89D2DC4E">
      <w:numFmt w:val="bullet"/>
      <w:lvlText w:val="•"/>
      <w:lvlJc w:val="left"/>
      <w:pPr>
        <w:ind w:left="426" w:hanging="100"/>
      </w:pPr>
      <w:rPr>
        <w:rFonts w:hint="default"/>
      </w:rPr>
    </w:lvl>
    <w:lvl w:ilvl="2" w:tplc="43069E8C">
      <w:numFmt w:val="bullet"/>
      <w:lvlText w:val="•"/>
      <w:lvlJc w:val="left"/>
      <w:pPr>
        <w:ind w:left="692" w:hanging="100"/>
      </w:pPr>
      <w:rPr>
        <w:rFonts w:hint="default"/>
      </w:rPr>
    </w:lvl>
    <w:lvl w:ilvl="3" w:tplc="FC526D5E">
      <w:numFmt w:val="bullet"/>
      <w:lvlText w:val="•"/>
      <w:lvlJc w:val="left"/>
      <w:pPr>
        <w:ind w:left="959" w:hanging="100"/>
      </w:pPr>
      <w:rPr>
        <w:rFonts w:hint="default"/>
      </w:rPr>
    </w:lvl>
    <w:lvl w:ilvl="4" w:tplc="0A362C2E">
      <w:numFmt w:val="bullet"/>
      <w:lvlText w:val="•"/>
      <w:lvlJc w:val="left"/>
      <w:pPr>
        <w:ind w:left="1225" w:hanging="100"/>
      </w:pPr>
      <w:rPr>
        <w:rFonts w:hint="default"/>
      </w:rPr>
    </w:lvl>
    <w:lvl w:ilvl="5" w:tplc="2F46102A">
      <w:numFmt w:val="bullet"/>
      <w:lvlText w:val="•"/>
      <w:lvlJc w:val="left"/>
      <w:pPr>
        <w:ind w:left="1492" w:hanging="100"/>
      </w:pPr>
      <w:rPr>
        <w:rFonts w:hint="default"/>
      </w:rPr>
    </w:lvl>
    <w:lvl w:ilvl="6" w:tplc="6D5E136E">
      <w:numFmt w:val="bullet"/>
      <w:lvlText w:val="•"/>
      <w:lvlJc w:val="left"/>
      <w:pPr>
        <w:ind w:left="1758" w:hanging="100"/>
      </w:pPr>
      <w:rPr>
        <w:rFonts w:hint="default"/>
      </w:rPr>
    </w:lvl>
    <w:lvl w:ilvl="7" w:tplc="A3184B28">
      <w:numFmt w:val="bullet"/>
      <w:lvlText w:val="•"/>
      <w:lvlJc w:val="left"/>
      <w:pPr>
        <w:ind w:left="2024" w:hanging="100"/>
      </w:pPr>
      <w:rPr>
        <w:rFonts w:hint="default"/>
      </w:rPr>
    </w:lvl>
    <w:lvl w:ilvl="8" w:tplc="B6C2DB22">
      <w:numFmt w:val="bullet"/>
      <w:lvlText w:val="•"/>
      <w:lvlJc w:val="left"/>
      <w:pPr>
        <w:ind w:left="2291" w:hanging="100"/>
      </w:pPr>
      <w:rPr>
        <w:rFonts w:hint="default"/>
      </w:rPr>
    </w:lvl>
  </w:abstractNum>
  <w:abstractNum w:abstractNumId="259" w15:restartNumberingAfterBreak="0">
    <w:nsid w:val="0EE9364C"/>
    <w:multiLevelType w:val="hybridMultilevel"/>
    <w:tmpl w:val="5EC87A80"/>
    <w:lvl w:ilvl="0" w:tplc="02A6D982">
      <w:numFmt w:val="bullet"/>
      <w:lvlText w:val=""/>
      <w:lvlJc w:val="left"/>
      <w:pPr>
        <w:ind w:left="156" w:hanging="100"/>
      </w:pPr>
      <w:rPr>
        <w:rFonts w:ascii="Symbol" w:eastAsia="Symbol" w:hAnsi="Symbol" w:cs="Symbol" w:hint="default"/>
        <w:color w:val="231F20"/>
        <w:w w:val="100"/>
        <w:sz w:val="14"/>
        <w:szCs w:val="14"/>
      </w:rPr>
    </w:lvl>
    <w:lvl w:ilvl="1" w:tplc="08560D22">
      <w:numFmt w:val="bullet"/>
      <w:lvlText w:val="•"/>
      <w:lvlJc w:val="left"/>
      <w:pPr>
        <w:ind w:left="301" w:hanging="100"/>
      </w:pPr>
      <w:rPr>
        <w:rFonts w:hint="default"/>
      </w:rPr>
    </w:lvl>
    <w:lvl w:ilvl="2" w:tplc="529A6BEA">
      <w:numFmt w:val="bullet"/>
      <w:lvlText w:val="•"/>
      <w:lvlJc w:val="left"/>
      <w:pPr>
        <w:ind w:left="443" w:hanging="100"/>
      </w:pPr>
      <w:rPr>
        <w:rFonts w:hint="default"/>
      </w:rPr>
    </w:lvl>
    <w:lvl w:ilvl="3" w:tplc="58EA74DA">
      <w:numFmt w:val="bullet"/>
      <w:lvlText w:val="•"/>
      <w:lvlJc w:val="left"/>
      <w:pPr>
        <w:ind w:left="585" w:hanging="100"/>
      </w:pPr>
      <w:rPr>
        <w:rFonts w:hint="default"/>
      </w:rPr>
    </w:lvl>
    <w:lvl w:ilvl="4" w:tplc="6F42D534">
      <w:numFmt w:val="bullet"/>
      <w:lvlText w:val="•"/>
      <w:lvlJc w:val="left"/>
      <w:pPr>
        <w:ind w:left="726" w:hanging="100"/>
      </w:pPr>
      <w:rPr>
        <w:rFonts w:hint="default"/>
      </w:rPr>
    </w:lvl>
    <w:lvl w:ilvl="5" w:tplc="D2D6DF3A">
      <w:numFmt w:val="bullet"/>
      <w:lvlText w:val="•"/>
      <w:lvlJc w:val="left"/>
      <w:pPr>
        <w:ind w:left="868" w:hanging="100"/>
      </w:pPr>
      <w:rPr>
        <w:rFonts w:hint="default"/>
      </w:rPr>
    </w:lvl>
    <w:lvl w:ilvl="6" w:tplc="47D08E4C">
      <w:numFmt w:val="bullet"/>
      <w:lvlText w:val="•"/>
      <w:lvlJc w:val="left"/>
      <w:pPr>
        <w:ind w:left="1010" w:hanging="100"/>
      </w:pPr>
      <w:rPr>
        <w:rFonts w:hint="default"/>
      </w:rPr>
    </w:lvl>
    <w:lvl w:ilvl="7" w:tplc="7D521730">
      <w:numFmt w:val="bullet"/>
      <w:lvlText w:val="•"/>
      <w:lvlJc w:val="left"/>
      <w:pPr>
        <w:ind w:left="1151" w:hanging="100"/>
      </w:pPr>
      <w:rPr>
        <w:rFonts w:hint="default"/>
      </w:rPr>
    </w:lvl>
    <w:lvl w:ilvl="8" w:tplc="F514A7B8">
      <w:numFmt w:val="bullet"/>
      <w:lvlText w:val="•"/>
      <w:lvlJc w:val="left"/>
      <w:pPr>
        <w:ind w:left="1293" w:hanging="100"/>
      </w:pPr>
      <w:rPr>
        <w:rFonts w:hint="default"/>
      </w:rPr>
    </w:lvl>
  </w:abstractNum>
  <w:abstractNum w:abstractNumId="260" w15:restartNumberingAfterBreak="0">
    <w:nsid w:val="0EEC378C"/>
    <w:multiLevelType w:val="hybridMultilevel"/>
    <w:tmpl w:val="53844094"/>
    <w:lvl w:ilvl="0" w:tplc="D89A17F8">
      <w:numFmt w:val="bullet"/>
      <w:lvlText w:val=""/>
      <w:lvlJc w:val="left"/>
      <w:pPr>
        <w:ind w:left="156" w:hanging="100"/>
      </w:pPr>
      <w:rPr>
        <w:rFonts w:ascii="Symbol" w:eastAsia="Symbol" w:hAnsi="Symbol" w:cs="Symbol" w:hint="default"/>
        <w:color w:val="231F20"/>
        <w:w w:val="100"/>
        <w:sz w:val="14"/>
        <w:szCs w:val="14"/>
      </w:rPr>
    </w:lvl>
    <w:lvl w:ilvl="1" w:tplc="F1C8098C">
      <w:numFmt w:val="bullet"/>
      <w:lvlText w:val="•"/>
      <w:lvlJc w:val="left"/>
      <w:pPr>
        <w:ind w:left="426" w:hanging="100"/>
      </w:pPr>
      <w:rPr>
        <w:rFonts w:hint="default"/>
      </w:rPr>
    </w:lvl>
    <w:lvl w:ilvl="2" w:tplc="8F8EB7D2">
      <w:numFmt w:val="bullet"/>
      <w:lvlText w:val="•"/>
      <w:lvlJc w:val="left"/>
      <w:pPr>
        <w:ind w:left="692" w:hanging="100"/>
      </w:pPr>
      <w:rPr>
        <w:rFonts w:hint="default"/>
      </w:rPr>
    </w:lvl>
    <w:lvl w:ilvl="3" w:tplc="81C49D72">
      <w:numFmt w:val="bullet"/>
      <w:lvlText w:val="•"/>
      <w:lvlJc w:val="left"/>
      <w:pPr>
        <w:ind w:left="959" w:hanging="100"/>
      </w:pPr>
      <w:rPr>
        <w:rFonts w:hint="default"/>
      </w:rPr>
    </w:lvl>
    <w:lvl w:ilvl="4" w:tplc="C278FDA4">
      <w:numFmt w:val="bullet"/>
      <w:lvlText w:val="•"/>
      <w:lvlJc w:val="left"/>
      <w:pPr>
        <w:ind w:left="1225" w:hanging="100"/>
      </w:pPr>
      <w:rPr>
        <w:rFonts w:hint="default"/>
      </w:rPr>
    </w:lvl>
    <w:lvl w:ilvl="5" w:tplc="07F0D386">
      <w:numFmt w:val="bullet"/>
      <w:lvlText w:val="•"/>
      <w:lvlJc w:val="left"/>
      <w:pPr>
        <w:ind w:left="1492" w:hanging="100"/>
      </w:pPr>
      <w:rPr>
        <w:rFonts w:hint="default"/>
      </w:rPr>
    </w:lvl>
    <w:lvl w:ilvl="6" w:tplc="3BB4BBA8">
      <w:numFmt w:val="bullet"/>
      <w:lvlText w:val="•"/>
      <w:lvlJc w:val="left"/>
      <w:pPr>
        <w:ind w:left="1758" w:hanging="100"/>
      </w:pPr>
      <w:rPr>
        <w:rFonts w:hint="default"/>
      </w:rPr>
    </w:lvl>
    <w:lvl w:ilvl="7" w:tplc="C2720E12">
      <w:numFmt w:val="bullet"/>
      <w:lvlText w:val="•"/>
      <w:lvlJc w:val="left"/>
      <w:pPr>
        <w:ind w:left="2024" w:hanging="100"/>
      </w:pPr>
      <w:rPr>
        <w:rFonts w:hint="default"/>
      </w:rPr>
    </w:lvl>
    <w:lvl w:ilvl="8" w:tplc="341C8CD4">
      <w:numFmt w:val="bullet"/>
      <w:lvlText w:val="•"/>
      <w:lvlJc w:val="left"/>
      <w:pPr>
        <w:ind w:left="2291" w:hanging="100"/>
      </w:pPr>
      <w:rPr>
        <w:rFonts w:hint="default"/>
      </w:rPr>
    </w:lvl>
  </w:abstractNum>
  <w:abstractNum w:abstractNumId="261" w15:restartNumberingAfterBreak="0">
    <w:nsid w:val="0F0023E4"/>
    <w:multiLevelType w:val="hybridMultilevel"/>
    <w:tmpl w:val="481CB1AC"/>
    <w:lvl w:ilvl="0" w:tplc="C4AA5DC4">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AE1AC586">
      <w:numFmt w:val="bullet"/>
      <w:lvlText w:val="•"/>
      <w:lvlJc w:val="left"/>
      <w:pPr>
        <w:ind w:left="351" w:hanging="84"/>
      </w:pPr>
      <w:rPr>
        <w:rFonts w:hint="default"/>
      </w:rPr>
    </w:lvl>
    <w:lvl w:ilvl="2" w:tplc="23B8A3EE">
      <w:numFmt w:val="bullet"/>
      <w:lvlText w:val="•"/>
      <w:lvlJc w:val="left"/>
      <w:pPr>
        <w:ind w:left="563" w:hanging="84"/>
      </w:pPr>
      <w:rPr>
        <w:rFonts w:hint="default"/>
      </w:rPr>
    </w:lvl>
    <w:lvl w:ilvl="3" w:tplc="57E2F0E6">
      <w:numFmt w:val="bullet"/>
      <w:lvlText w:val="•"/>
      <w:lvlJc w:val="left"/>
      <w:pPr>
        <w:ind w:left="775" w:hanging="84"/>
      </w:pPr>
      <w:rPr>
        <w:rFonts w:hint="default"/>
      </w:rPr>
    </w:lvl>
    <w:lvl w:ilvl="4" w:tplc="6518D018">
      <w:numFmt w:val="bullet"/>
      <w:lvlText w:val="•"/>
      <w:lvlJc w:val="left"/>
      <w:pPr>
        <w:ind w:left="986" w:hanging="84"/>
      </w:pPr>
      <w:rPr>
        <w:rFonts w:hint="default"/>
      </w:rPr>
    </w:lvl>
    <w:lvl w:ilvl="5" w:tplc="CE3ECA08">
      <w:numFmt w:val="bullet"/>
      <w:lvlText w:val="•"/>
      <w:lvlJc w:val="left"/>
      <w:pPr>
        <w:ind w:left="1198" w:hanging="84"/>
      </w:pPr>
      <w:rPr>
        <w:rFonts w:hint="default"/>
      </w:rPr>
    </w:lvl>
    <w:lvl w:ilvl="6" w:tplc="3DD0A79E">
      <w:numFmt w:val="bullet"/>
      <w:lvlText w:val="•"/>
      <w:lvlJc w:val="left"/>
      <w:pPr>
        <w:ind w:left="1410" w:hanging="84"/>
      </w:pPr>
      <w:rPr>
        <w:rFonts w:hint="default"/>
      </w:rPr>
    </w:lvl>
    <w:lvl w:ilvl="7" w:tplc="CE9490C2">
      <w:numFmt w:val="bullet"/>
      <w:lvlText w:val="•"/>
      <w:lvlJc w:val="left"/>
      <w:pPr>
        <w:ind w:left="1621" w:hanging="84"/>
      </w:pPr>
      <w:rPr>
        <w:rFonts w:hint="default"/>
      </w:rPr>
    </w:lvl>
    <w:lvl w:ilvl="8" w:tplc="F24CE952">
      <w:numFmt w:val="bullet"/>
      <w:lvlText w:val="•"/>
      <w:lvlJc w:val="left"/>
      <w:pPr>
        <w:ind w:left="1833" w:hanging="84"/>
      </w:pPr>
      <w:rPr>
        <w:rFonts w:hint="default"/>
      </w:rPr>
    </w:lvl>
  </w:abstractNum>
  <w:abstractNum w:abstractNumId="262" w15:restartNumberingAfterBreak="0">
    <w:nsid w:val="0F030A63"/>
    <w:multiLevelType w:val="hybridMultilevel"/>
    <w:tmpl w:val="47B42E3C"/>
    <w:lvl w:ilvl="0" w:tplc="FFAE7AAE">
      <w:numFmt w:val="bullet"/>
      <w:lvlText w:val=""/>
      <w:lvlJc w:val="left"/>
      <w:pPr>
        <w:ind w:left="157" w:hanging="100"/>
      </w:pPr>
      <w:rPr>
        <w:rFonts w:ascii="Symbol" w:eastAsia="Symbol" w:hAnsi="Symbol" w:cs="Symbol" w:hint="default"/>
        <w:color w:val="231F20"/>
        <w:w w:val="100"/>
        <w:sz w:val="14"/>
        <w:szCs w:val="14"/>
      </w:rPr>
    </w:lvl>
    <w:lvl w:ilvl="1" w:tplc="E4F8C574">
      <w:numFmt w:val="bullet"/>
      <w:lvlText w:val="•"/>
      <w:lvlJc w:val="left"/>
      <w:pPr>
        <w:ind w:left="369" w:hanging="100"/>
      </w:pPr>
      <w:rPr>
        <w:rFonts w:hint="default"/>
      </w:rPr>
    </w:lvl>
    <w:lvl w:ilvl="2" w:tplc="6F28ACC6">
      <w:numFmt w:val="bullet"/>
      <w:lvlText w:val="•"/>
      <w:lvlJc w:val="left"/>
      <w:pPr>
        <w:ind w:left="579" w:hanging="100"/>
      </w:pPr>
      <w:rPr>
        <w:rFonts w:hint="default"/>
      </w:rPr>
    </w:lvl>
    <w:lvl w:ilvl="3" w:tplc="9EDE4BF6">
      <w:numFmt w:val="bullet"/>
      <w:lvlText w:val="•"/>
      <w:lvlJc w:val="left"/>
      <w:pPr>
        <w:ind w:left="789" w:hanging="100"/>
      </w:pPr>
      <w:rPr>
        <w:rFonts w:hint="default"/>
      </w:rPr>
    </w:lvl>
    <w:lvl w:ilvl="4" w:tplc="98BAC662">
      <w:numFmt w:val="bullet"/>
      <w:lvlText w:val="•"/>
      <w:lvlJc w:val="left"/>
      <w:pPr>
        <w:ind w:left="998" w:hanging="100"/>
      </w:pPr>
      <w:rPr>
        <w:rFonts w:hint="default"/>
      </w:rPr>
    </w:lvl>
    <w:lvl w:ilvl="5" w:tplc="486CC786">
      <w:numFmt w:val="bullet"/>
      <w:lvlText w:val="•"/>
      <w:lvlJc w:val="left"/>
      <w:pPr>
        <w:ind w:left="1208" w:hanging="100"/>
      </w:pPr>
      <w:rPr>
        <w:rFonts w:hint="default"/>
      </w:rPr>
    </w:lvl>
    <w:lvl w:ilvl="6" w:tplc="F0988BD0">
      <w:numFmt w:val="bullet"/>
      <w:lvlText w:val="•"/>
      <w:lvlJc w:val="left"/>
      <w:pPr>
        <w:ind w:left="1418" w:hanging="100"/>
      </w:pPr>
      <w:rPr>
        <w:rFonts w:hint="default"/>
      </w:rPr>
    </w:lvl>
    <w:lvl w:ilvl="7" w:tplc="55169942">
      <w:numFmt w:val="bullet"/>
      <w:lvlText w:val="•"/>
      <w:lvlJc w:val="left"/>
      <w:pPr>
        <w:ind w:left="1627" w:hanging="100"/>
      </w:pPr>
      <w:rPr>
        <w:rFonts w:hint="default"/>
      </w:rPr>
    </w:lvl>
    <w:lvl w:ilvl="8" w:tplc="046618FA">
      <w:numFmt w:val="bullet"/>
      <w:lvlText w:val="•"/>
      <w:lvlJc w:val="left"/>
      <w:pPr>
        <w:ind w:left="1837" w:hanging="100"/>
      </w:pPr>
      <w:rPr>
        <w:rFonts w:hint="default"/>
      </w:rPr>
    </w:lvl>
  </w:abstractNum>
  <w:abstractNum w:abstractNumId="263" w15:restartNumberingAfterBreak="0">
    <w:nsid w:val="0F0451D8"/>
    <w:multiLevelType w:val="hybridMultilevel"/>
    <w:tmpl w:val="44A615E4"/>
    <w:lvl w:ilvl="0" w:tplc="0F78D3FC">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0BFC1550">
      <w:numFmt w:val="bullet"/>
      <w:lvlText w:val="•"/>
      <w:lvlJc w:val="left"/>
      <w:pPr>
        <w:ind w:left="426" w:hanging="105"/>
      </w:pPr>
      <w:rPr>
        <w:rFonts w:hint="default"/>
      </w:rPr>
    </w:lvl>
    <w:lvl w:ilvl="2" w:tplc="E8BE84E6">
      <w:numFmt w:val="bullet"/>
      <w:lvlText w:val="•"/>
      <w:lvlJc w:val="left"/>
      <w:pPr>
        <w:ind w:left="692" w:hanging="105"/>
      </w:pPr>
      <w:rPr>
        <w:rFonts w:hint="default"/>
      </w:rPr>
    </w:lvl>
    <w:lvl w:ilvl="3" w:tplc="D3AAA1C4">
      <w:numFmt w:val="bullet"/>
      <w:lvlText w:val="•"/>
      <w:lvlJc w:val="left"/>
      <w:pPr>
        <w:ind w:left="959" w:hanging="105"/>
      </w:pPr>
      <w:rPr>
        <w:rFonts w:hint="default"/>
      </w:rPr>
    </w:lvl>
    <w:lvl w:ilvl="4" w:tplc="521C7BE0">
      <w:numFmt w:val="bullet"/>
      <w:lvlText w:val="•"/>
      <w:lvlJc w:val="left"/>
      <w:pPr>
        <w:ind w:left="1225" w:hanging="105"/>
      </w:pPr>
      <w:rPr>
        <w:rFonts w:hint="default"/>
      </w:rPr>
    </w:lvl>
    <w:lvl w:ilvl="5" w:tplc="9D16FF7E">
      <w:numFmt w:val="bullet"/>
      <w:lvlText w:val="•"/>
      <w:lvlJc w:val="left"/>
      <w:pPr>
        <w:ind w:left="1492" w:hanging="105"/>
      </w:pPr>
      <w:rPr>
        <w:rFonts w:hint="default"/>
      </w:rPr>
    </w:lvl>
    <w:lvl w:ilvl="6" w:tplc="3794780E">
      <w:numFmt w:val="bullet"/>
      <w:lvlText w:val="•"/>
      <w:lvlJc w:val="left"/>
      <w:pPr>
        <w:ind w:left="1758" w:hanging="105"/>
      </w:pPr>
      <w:rPr>
        <w:rFonts w:hint="default"/>
      </w:rPr>
    </w:lvl>
    <w:lvl w:ilvl="7" w:tplc="30C6A64E">
      <w:numFmt w:val="bullet"/>
      <w:lvlText w:val="•"/>
      <w:lvlJc w:val="left"/>
      <w:pPr>
        <w:ind w:left="2024" w:hanging="105"/>
      </w:pPr>
      <w:rPr>
        <w:rFonts w:hint="default"/>
      </w:rPr>
    </w:lvl>
    <w:lvl w:ilvl="8" w:tplc="7CB6E264">
      <w:numFmt w:val="bullet"/>
      <w:lvlText w:val="•"/>
      <w:lvlJc w:val="left"/>
      <w:pPr>
        <w:ind w:left="2291" w:hanging="105"/>
      </w:pPr>
      <w:rPr>
        <w:rFonts w:hint="default"/>
      </w:rPr>
    </w:lvl>
  </w:abstractNum>
  <w:abstractNum w:abstractNumId="264" w15:restartNumberingAfterBreak="0">
    <w:nsid w:val="0F055306"/>
    <w:multiLevelType w:val="hybridMultilevel"/>
    <w:tmpl w:val="AE266620"/>
    <w:lvl w:ilvl="0" w:tplc="6DE2F1C8">
      <w:numFmt w:val="bullet"/>
      <w:lvlText w:val=""/>
      <w:lvlJc w:val="left"/>
      <w:pPr>
        <w:ind w:left="157" w:hanging="100"/>
      </w:pPr>
      <w:rPr>
        <w:rFonts w:ascii="Symbol" w:eastAsia="Symbol" w:hAnsi="Symbol" w:cs="Symbol" w:hint="default"/>
        <w:color w:val="231F20"/>
        <w:w w:val="100"/>
        <w:sz w:val="14"/>
        <w:szCs w:val="14"/>
      </w:rPr>
    </w:lvl>
    <w:lvl w:ilvl="1" w:tplc="2ECCA3A6">
      <w:numFmt w:val="bullet"/>
      <w:lvlText w:val="•"/>
      <w:lvlJc w:val="left"/>
      <w:pPr>
        <w:ind w:left="369" w:hanging="100"/>
      </w:pPr>
      <w:rPr>
        <w:rFonts w:hint="default"/>
      </w:rPr>
    </w:lvl>
    <w:lvl w:ilvl="2" w:tplc="B61602F0">
      <w:numFmt w:val="bullet"/>
      <w:lvlText w:val="•"/>
      <w:lvlJc w:val="left"/>
      <w:pPr>
        <w:ind w:left="579" w:hanging="100"/>
      </w:pPr>
      <w:rPr>
        <w:rFonts w:hint="default"/>
      </w:rPr>
    </w:lvl>
    <w:lvl w:ilvl="3" w:tplc="06369872">
      <w:numFmt w:val="bullet"/>
      <w:lvlText w:val="•"/>
      <w:lvlJc w:val="left"/>
      <w:pPr>
        <w:ind w:left="789" w:hanging="100"/>
      </w:pPr>
      <w:rPr>
        <w:rFonts w:hint="default"/>
      </w:rPr>
    </w:lvl>
    <w:lvl w:ilvl="4" w:tplc="C4E2A472">
      <w:numFmt w:val="bullet"/>
      <w:lvlText w:val="•"/>
      <w:lvlJc w:val="left"/>
      <w:pPr>
        <w:ind w:left="998" w:hanging="100"/>
      </w:pPr>
      <w:rPr>
        <w:rFonts w:hint="default"/>
      </w:rPr>
    </w:lvl>
    <w:lvl w:ilvl="5" w:tplc="5144EED2">
      <w:numFmt w:val="bullet"/>
      <w:lvlText w:val="•"/>
      <w:lvlJc w:val="left"/>
      <w:pPr>
        <w:ind w:left="1208" w:hanging="100"/>
      </w:pPr>
      <w:rPr>
        <w:rFonts w:hint="default"/>
      </w:rPr>
    </w:lvl>
    <w:lvl w:ilvl="6" w:tplc="ABA8CB40">
      <w:numFmt w:val="bullet"/>
      <w:lvlText w:val="•"/>
      <w:lvlJc w:val="left"/>
      <w:pPr>
        <w:ind w:left="1418" w:hanging="100"/>
      </w:pPr>
      <w:rPr>
        <w:rFonts w:hint="default"/>
      </w:rPr>
    </w:lvl>
    <w:lvl w:ilvl="7" w:tplc="DF9C1854">
      <w:numFmt w:val="bullet"/>
      <w:lvlText w:val="•"/>
      <w:lvlJc w:val="left"/>
      <w:pPr>
        <w:ind w:left="1627" w:hanging="100"/>
      </w:pPr>
      <w:rPr>
        <w:rFonts w:hint="default"/>
      </w:rPr>
    </w:lvl>
    <w:lvl w:ilvl="8" w:tplc="CE2CE23E">
      <w:numFmt w:val="bullet"/>
      <w:lvlText w:val="•"/>
      <w:lvlJc w:val="left"/>
      <w:pPr>
        <w:ind w:left="1837" w:hanging="100"/>
      </w:pPr>
      <w:rPr>
        <w:rFonts w:hint="default"/>
      </w:rPr>
    </w:lvl>
  </w:abstractNum>
  <w:abstractNum w:abstractNumId="265" w15:restartNumberingAfterBreak="0">
    <w:nsid w:val="0F1B2304"/>
    <w:multiLevelType w:val="hybridMultilevel"/>
    <w:tmpl w:val="F8DA4F18"/>
    <w:lvl w:ilvl="0" w:tplc="E53E1136">
      <w:numFmt w:val="bullet"/>
      <w:lvlText w:val=""/>
      <w:lvlJc w:val="left"/>
      <w:pPr>
        <w:ind w:left="156" w:hanging="100"/>
      </w:pPr>
      <w:rPr>
        <w:rFonts w:ascii="Symbol" w:eastAsia="Symbol" w:hAnsi="Symbol" w:cs="Symbol" w:hint="default"/>
        <w:color w:val="231F20"/>
        <w:w w:val="100"/>
        <w:sz w:val="14"/>
        <w:szCs w:val="14"/>
      </w:rPr>
    </w:lvl>
    <w:lvl w:ilvl="1" w:tplc="B0202A04">
      <w:numFmt w:val="bullet"/>
      <w:lvlText w:val="•"/>
      <w:lvlJc w:val="left"/>
      <w:pPr>
        <w:ind w:left="426" w:hanging="100"/>
      </w:pPr>
      <w:rPr>
        <w:rFonts w:hint="default"/>
      </w:rPr>
    </w:lvl>
    <w:lvl w:ilvl="2" w:tplc="33826C52">
      <w:numFmt w:val="bullet"/>
      <w:lvlText w:val="•"/>
      <w:lvlJc w:val="left"/>
      <w:pPr>
        <w:ind w:left="692" w:hanging="100"/>
      </w:pPr>
      <w:rPr>
        <w:rFonts w:hint="default"/>
      </w:rPr>
    </w:lvl>
    <w:lvl w:ilvl="3" w:tplc="09F443F8">
      <w:numFmt w:val="bullet"/>
      <w:lvlText w:val="•"/>
      <w:lvlJc w:val="left"/>
      <w:pPr>
        <w:ind w:left="959" w:hanging="100"/>
      </w:pPr>
      <w:rPr>
        <w:rFonts w:hint="default"/>
      </w:rPr>
    </w:lvl>
    <w:lvl w:ilvl="4" w:tplc="ED1AAA72">
      <w:numFmt w:val="bullet"/>
      <w:lvlText w:val="•"/>
      <w:lvlJc w:val="left"/>
      <w:pPr>
        <w:ind w:left="1225" w:hanging="100"/>
      </w:pPr>
      <w:rPr>
        <w:rFonts w:hint="default"/>
      </w:rPr>
    </w:lvl>
    <w:lvl w:ilvl="5" w:tplc="4E2EC06E">
      <w:numFmt w:val="bullet"/>
      <w:lvlText w:val="•"/>
      <w:lvlJc w:val="left"/>
      <w:pPr>
        <w:ind w:left="1492" w:hanging="100"/>
      </w:pPr>
      <w:rPr>
        <w:rFonts w:hint="default"/>
      </w:rPr>
    </w:lvl>
    <w:lvl w:ilvl="6" w:tplc="AC40ADE4">
      <w:numFmt w:val="bullet"/>
      <w:lvlText w:val="•"/>
      <w:lvlJc w:val="left"/>
      <w:pPr>
        <w:ind w:left="1758" w:hanging="100"/>
      </w:pPr>
      <w:rPr>
        <w:rFonts w:hint="default"/>
      </w:rPr>
    </w:lvl>
    <w:lvl w:ilvl="7" w:tplc="7E0E44E0">
      <w:numFmt w:val="bullet"/>
      <w:lvlText w:val="•"/>
      <w:lvlJc w:val="left"/>
      <w:pPr>
        <w:ind w:left="2024" w:hanging="100"/>
      </w:pPr>
      <w:rPr>
        <w:rFonts w:hint="default"/>
      </w:rPr>
    </w:lvl>
    <w:lvl w:ilvl="8" w:tplc="972A8D6C">
      <w:numFmt w:val="bullet"/>
      <w:lvlText w:val="•"/>
      <w:lvlJc w:val="left"/>
      <w:pPr>
        <w:ind w:left="2291" w:hanging="100"/>
      </w:pPr>
      <w:rPr>
        <w:rFonts w:hint="default"/>
      </w:rPr>
    </w:lvl>
  </w:abstractNum>
  <w:abstractNum w:abstractNumId="266" w15:restartNumberingAfterBreak="0">
    <w:nsid w:val="0F3067F1"/>
    <w:multiLevelType w:val="hybridMultilevel"/>
    <w:tmpl w:val="BB9A793E"/>
    <w:lvl w:ilvl="0" w:tplc="E40C5324">
      <w:numFmt w:val="bullet"/>
      <w:lvlText w:val=""/>
      <w:lvlJc w:val="left"/>
      <w:pPr>
        <w:ind w:left="156" w:hanging="100"/>
      </w:pPr>
      <w:rPr>
        <w:rFonts w:ascii="Symbol" w:eastAsia="Symbol" w:hAnsi="Symbol" w:cs="Symbol" w:hint="default"/>
        <w:color w:val="231F20"/>
        <w:w w:val="100"/>
        <w:sz w:val="14"/>
        <w:szCs w:val="14"/>
      </w:rPr>
    </w:lvl>
    <w:lvl w:ilvl="1" w:tplc="1F6863C8">
      <w:numFmt w:val="bullet"/>
      <w:lvlText w:val="•"/>
      <w:lvlJc w:val="left"/>
      <w:pPr>
        <w:ind w:left="301" w:hanging="100"/>
      </w:pPr>
      <w:rPr>
        <w:rFonts w:hint="default"/>
      </w:rPr>
    </w:lvl>
    <w:lvl w:ilvl="2" w:tplc="57B07BB8">
      <w:numFmt w:val="bullet"/>
      <w:lvlText w:val="•"/>
      <w:lvlJc w:val="left"/>
      <w:pPr>
        <w:ind w:left="443" w:hanging="100"/>
      </w:pPr>
      <w:rPr>
        <w:rFonts w:hint="default"/>
      </w:rPr>
    </w:lvl>
    <w:lvl w:ilvl="3" w:tplc="CC14C8BA">
      <w:numFmt w:val="bullet"/>
      <w:lvlText w:val="•"/>
      <w:lvlJc w:val="left"/>
      <w:pPr>
        <w:ind w:left="585" w:hanging="100"/>
      </w:pPr>
      <w:rPr>
        <w:rFonts w:hint="default"/>
      </w:rPr>
    </w:lvl>
    <w:lvl w:ilvl="4" w:tplc="2BB2BBC8">
      <w:numFmt w:val="bullet"/>
      <w:lvlText w:val="•"/>
      <w:lvlJc w:val="left"/>
      <w:pPr>
        <w:ind w:left="726" w:hanging="100"/>
      </w:pPr>
      <w:rPr>
        <w:rFonts w:hint="default"/>
      </w:rPr>
    </w:lvl>
    <w:lvl w:ilvl="5" w:tplc="99B4FAD4">
      <w:numFmt w:val="bullet"/>
      <w:lvlText w:val="•"/>
      <w:lvlJc w:val="left"/>
      <w:pPr>
        <w:ind w:left="868" w:hanging="100"/>
      </w:pPr>
      <w:rPr>
        <w:rFonts w:hint="default"/>
      </w:rPr>
    </w:lvl>
    <w:lvl w:ilvl="6" w:tplc="516E7C30">
      <w:numFmt w:val="bullet"/>
      <w:lvlText w:val="•"/>
      <w:lvlJc w:val="left"/>
      <w:pPr>
        <w:ind w:left="1010" w:hanging="100"/>
      </w:pPr>
      <w:rPr>
        <w:rFonts w:hint="default"/>
      </w:rPr>
    </w:lvl>
    <w:lvl w:ilvl="7" w:tplc="C4F800E4">
      <w:numFmt w:val="bullet"/>
      <w:lvlText w:val="•"/>
      <w:lvlJc w:val="left"/>
      <w:pPr>
        <w:ind w:left="1151" w:hanging="100"/>
      </w:pPr>
      <w:rPr>
        <w:rFonts w:hint="default"/>
      </w:rPr>
    </w:lvl>
    <w:lvl w:ilvl="8" w:tplc="739C9126">
      <w:numFmt w:val="bullet"/>
      <w:lvlText w:val="•"/>
      <w:lvlJc w:val="left"/>
      <w:pPr>
        <w:ind w:left="1293" w:hanging="100"/>
      </w:pPr>
      <w:rPr>
        <w:rFonts w:hint="default"/>
      </w:rPr>
    </w:lvl>
  </w:abstractNum>
  <w:abstractNum w:abstractNumId="267" w15:restartNumberingAfterBreak="0">
    <w:nsid w:val="0F387CE3"/>
    <w:multiLevelType w:val="hybridMultilevel"/>
    <w:tmpl w:val="CFDEFA2A"/>
    <w:lvl w:ilvl="0" w:tplc="AD762782">
      <w:numFmt w:val="bullet"/>
      <w:lvlText w:val=""/>
      <w:lvlJc w:val="left"/>
      <w:pPr>
        <w:ind w:left="156" w:hanging="100"/>
      </w:pPr>
      <w:rPr>
        <w:rFonts w:ascii="Symbol" w:eastAsia="Symbol" w:hAnsi="Symbol" w:cs="Symbol" w:hint="default"/>
        <w:color w:val="231F20"/>
        <w:w w:val="100"/>
        <w:sz w:val="14"/>
        <w:szCs w:val="14"/>
      </w:rPr>
    </w:lvl>
    <w:lvl w:ilvl="1" w:tplc="12C68C0C">
      <w:numFmt w:val="bullet"/>
      <w:lvlText w:val="•"/>
      <w:lvlJc w:val="left"/>
      <w:pPr>
        <w:ind w:left="398" w:hanging="100"/>
      </w:pPr>
      <w:rPr>
        <w:rFonts w:hint="default"/>
      </w:rPr>
    </w:lvl>
    <w:lvl w:ilvl="2" w:tplc="0922CED4">
      <w:numFmt w:val="bullet"/>
      <w:lvlText w:val="•"/>
      <w:lvlJc w:val="left"/>
      <w:pPr>
        <w:ind w:left="636" w:hanging="100"/>
      </w:pPr>
      <w:rPr>
        <w:rFonts w:hint="default"/>
      </w:rPr>
    </w:lvl>
    <w:lvl w:ilvl="3" w:tplc="58925BF4">
      <w:numFmt w:val="bullet"/>
      <w:lvlText w:val="•"/>
      <w:lvlJc w:val="left"/>
      <w:pPr>
        <w:ind w:left="874" w:hanging="100"/>
      </w:pPr>
      <w:rPr>
        <w:rFonts w:hint="default"/>
      </w:rPr>
    </w:lvl>
    <w:lvl w:ilvl="4" w:tplc="320AF6CA">
      <w:numFmt w:val="bullet"/>
      <w:lvlText w:val="•"/>
      <w:lvlJc w:val="left"/>
      <w:pPr>
        <w:ind w:left="1112" w:hanging="100"/>
      </w:pPr>
      <w:rPr>
        <w:rFonts w:hint="default"/>
      </w:rPr>
    </w:lvl>
    <w:lvl w:ilvl="5" w:tplc="51326E92">
      <w:numFmt w:val="bullet"/>
      <w:lvlText w:val="•"/>
      <w:lvlJc w:val="left"/>
      <w:pPr>
        <w:ind w:left="1350" w:hanging="100"/>
      </w:pPr>
      <w:rPr>
        <w:rFonts w:hint="default"/>
      </w:rPr>
    </w:lvl>
    <w:lvl w:ilvl="6" w:tplc="391C6252">
      <w:numFmt w:val="bullet"/>
      <w:lvlText w:val="•"/>
      <w:lvlJc w:val="left"/>
      <w:pPr>
        <w:ind w:left="1588" w:hanging="100"/>
      </w:pPr>
      <w:rPr>
        <w:rFonts w:hint="default"/>
      </w:rPr>
    </w:lvl>
    <w:lvl w:ilvl="7" w:tplc="55F4DAC2">
      <w:numFmt w:val="bullet"/>
      <w:lvlText w:val="•"/>
      <w:lvlJc w:val="left"/>
      <w:pPr>
        <w:ind w:left="1826" w:hanging="100"/>
      </w:pPr>
      <w:rPr>
        <w:rFonts w:hint="default"/>
      </w:rPr>
    </w:lvl>
    <w:lvl w:ilvl="8" w:tplc="E51263E2">
      <w:numFmt w:val="bullet"/>
      <w:lvlText w:val="•"/>
      <w:lvlJc w:val="left"/>
      <w:pPr>
        <w:ind w:left="2064" w:hanging="100"/>
      </w:pPr>
      <w:rPr>
        <w:rFonts w:hint="default"/>
      </w:rPr>
    </w:lvl>
  </w:abstractNum>
  <w:abstractNum w:abstractNumId="268" w15:restartNumberingAfterBreak="0">
    <w:nsid w:val="0F3C3254"/>
    <w:multiLevelType w:val="hybridMultilevel"/>
    <w:tmpl w:val="DC54050C"/>
    <w:lvl w:ilvl="0" w:tplc="D7AA0C8E">
      <w:numFmt w:val="bullet"/>
      <w:lvlText w:val=""/>
      <w:lvlJc w:val="left"/>
      <w:pPr>
        <w:ind w:left="155" w:hanging="98"/>
      </w:pPr>
      <w:rPr>
        <w:rFonts w:ascii="Symbol" w:eastAsia="Symbol" w:hAnsi="Symbol" w:cs="Symbol" w:hint="default"/>
        <w:color w:val="231F20"/>
        <w:w w:val="100"/>
        <w:sz w:val="14"/>
        <w:szCs w:val="14"/>
      </w:rPr>
    </w:lvl>
    <w:lvl w:ilvl="1" w:tplc="17068E92">
      <w:numFmt w:val="bullet"/>
      <w:lvlText w:val="•"/>
      <w:lvlJc w:val="left"/>
      <w:pPr>
        <w:ind w:left="426" w:hanging="98"/>
      </w:pPr>
      <w:rPr>
        <w:rFonts w:hint="default"/>
      </w:rPr>
    </w:lvl>
    <w:lvl w:ilvl="2" w:tplc="EA7C2696">
      <w:numFmt w:val="bullet"/>
      <w:lvlText w:val="•"/>
      <w:lvlJc w:val="left"/>
      <w:pPr>
        <w:ind w:left="692" w:hanging="98"/>
      </w:pPr>
      <w:rPr>
        <w:rFonts w:hint="default"/>
      </w:rPr>
    </w:lvl>
    <w:lvl w:ilvl="3" w:tplc="9858D4DA">
      <w:numFmt w:val="bullet"/>
      <w:lvlText w:val="•"/>
      <w:lvlJc w:val="left"/>
      <w:pPr>
        <w:ind w:left="959" w:hanging="98"/>
      </w:pPr>
      <w:rPr>
        <w:rFonts w:hint="default"/>
      </w:rPr>
    </w:lvl>
    <w:lvl w:ilvl="4" w:tplc="585C41F4">
      <w:numFmt w:val="bullet"/>
      <w:lvlText w:val="•"/>
      <w:lvlJc w:val="left"/>
      <w:pPr>
        <w:ind w:left="1225" w:hanging="98"/>
      </w:pPr>
      <w:rPr>
        <w:rFonts w:hint="default"/>
      </w:rPr>
    </w:lvl>
    <w:lvl w:ilvl="5" w:tplc="C20E2D98">
      <w:numFmt w:val="bullet"/>
      <w:lvlText w:val="•"/>
      <w:lvlJc w:val="left"/>
      <w:pPr>
        <w:ind w:left="1492" w:hanging="98"/>
      </w:pPr>
      <w:rPr>
        <w:rFonts w:hint="default"/>
      </w:rPr>
    </w:lvl>
    <w:lvl w:ilvl="6" w:tplc="875095EA">
      <w:numFmt w:val="bullet"/>
      <w:lvlText w:val="•"/>
      <w:lvlJc w:val="left"/>
      <w:pPr>
        <w:ind w:left="1758" w:hanging="98"/>
      </w:pPr>
      <w:rPr>
        <w:rFonts w:hint="default"/>
      </w:rPr>
    </w:lvl>
    <w:lvl w:ilvl="7" w:tplc="C208364A">
      <w:numFmt w:val="bullet"/>
      <w:lvlText w:val="•"/>
      <w:lvlJc w:val="left"/>
      <w:pPr>
        <w:ind w:left="2024" w:hanging="98"/>
      </w:pPr>
      <w:rPr>
        <w:rFonts w:hint="default"/>
      </w:rPr>
    </w:lvl>
    <w:lvl w:ilvl="8" w:tplc="13E6A490">
      <w:numFmt w:val="bullet"/>
      <w:lvlText w:val="•"/>
      <w:lvlJc w:val="left"/>
      <w:pPr>
        <w:ind w:left="2291" w:hanging="98"/>
      </w:pPr>
      <w:rPr>
        <w:rFonts w:hint="default"/>
      </w:rPr>
    </w:lvl>
  </w:abstractNum>
  <w:abstractNum w:abstractNumId="269" w15:restartNumberingAfterBreak="0">
    <w:nsid w:val="0F457C35"/>
    <w:multiLevelType w:val="hybridMultilevel"/>
    <w:tmpl w:val="7FAC740A"/>
    <w:lvl w:ilvl="0" w:tplc="446C3C20">
      <w:numFmt w:val="bullet"/>
      <w:lvlText w:val=""/>
      <w:lvlJc w:val="left"/>
      <w:pPr>
        <w:ind w:left="156" w:hanging="100"/>
      </w:pPr>
      <w:rPr>
        <w:rFonts w:ascii="Symbol" w:eastAsia="Symbol" w:hAnsi="Symbol" w:cs="Symbol" w:hint="default"/>
        <w:color w:val="231F20"/>
        <w:w w:val="100"/>
        <w:sz w:val="14"/>
        <w:szCs w:val="14"/>
      </w:rPr>
    </w:lvl>
    <w:lvl w:ilvl="1" w:tplc="F5161292">
      <w:numFmt w:val="bullet"/>
      <w:lvlText w:val="•"/>
      <w:lvlJc w:val="left"/>
      <w:pPr>
        <w:ind w:left="301" w:hanging="100"/>
      </w:pPr>
      <w:rPr>
        <w:rFonts w:hint="default"/>
      </w:rPr>
    </w:lvl>
    <w:lvl w:ilvl="2" w:tplc="C35671FA">
      <w:numFmt w:val="bullet"/>
      <w:lvlText w:val="•"/>
      <w:lvlJc w:val="left"/>
      <w:pPr>
        <w:ind w:left="443" w:hanging="100"/>
      </w:pPr>
      <w:rPr>
        <w:rFonts w:hint="default"/>
      </w:rPr>
    </w:lvl>
    <w:lvl w:ilvl="3" w:tplc="1AFA6138">
      <w:numFmt w:val="bullet"/>
      <w:lvlText w:val="•"/>
      <w:lvlJc w:val="left"/>
      <w:pPr>
        <w:ind w:left="585" w:hanging="100"/>
      </w:pPr>
      <w:rPr>
        <w:rFonts w:hint="default"/>
      </w:rPr>
    </w:lvl>
    <w:lvl w:ilvl="4" w:tplc="2A6CD370">
      <w:numFmt w:val="bullet"/>
      <w:lvlText w:val="•"/>
      <w:lvlJc w:val="left"/>
      <w:pPr>
        <w:ind w:left="726" w:hanging="100"/>
      </w:pPr>
      <w:rPr>
        <w:rFonts w:hint="default"/>
      </w:rPr>
    </w:lvl>
    <w:lvl w:ilvl="5" w:tplc="1E924BF2">
      <w:numFmt w:val="bullet"/>
      <w:lvlText w:val="•"/>
      <w:lvlJc w:val="left"/>
      <w:pPr>
        <w:ind w:left="868" w:hanging="100"/>
      </w:pPr>
      <w:rPr>
        <w:rFonts w:hint="default"/>
      </w:rPr>
    </w:lvl>
    <w:lvl w:ilvl="6" w:tplc="DBB8E546">
      <w:numFmt w:val="bullet"/>
      <w:lvlText w:val="•"/>
      <w:lvlJc w:val="left"/>
      <w:pPr>
        <w:ind w:left="1010" w:hanging="100"/>
      </w:pPr>
      <w:rPr>
        <w:rFonts w:hint="default"/>
      </w:rPr>
    </w:lvl>
    <w:lvl w:ilvl="7" w:tplc="6F90722E">
      <w:numFmt w:val="bullet"/>
      <w:lvlText w:val="•"/>
      <w:lvlJc w:val="left"/>
      <w:pPr>
        <w:ind w:left="1151" w:hanging="100"/>
      </w:pPr>
      <w:rPr>
        <w:rFonts w:hint="default"/>
      </w:rPr>
    </w:lvl>
    <w:lvl w:ilvl="8" w:tplc="C95C7940">
      <w:numFmt w:val="bullet"/>
      <w:lvlText w:val="•"/>
      <w:lvlJc w:val="left"/>
      <w:pPr>
        <w:ind w:left="1293" w:hanging="100"/>
      </w:pPr>
      <w:rPr>
        <w:rFonts w:hint="default"/>
      </w:rPr>
    </w:lvl>
  </w:abstractNum>
  <w:abstractNum w:abstractNumId="270" w15:restartNumberingAfterBreak="0">
    <w:nsid w:val="0F5028AD"/>
    <w:multiLevelType w:val="hybridMultilevel"/>
    <w:tmpl w:val="4A2612FC"/>
    <w:lvl w:ilvl="0" w:tplc="8B30285C">
      <w:numFmt w:val="bullet"/>
      <w:lvlText w:val=""/>
      <w:lvlJc w:val="left"/>
      <w:pPr>
        <w:ind w:left="156" w:hanging="100"/>
      </w:pPr>
      <w:rPr>
        <w:rFonts w:ascii="Symbol" w:eastAsia="Symbol" w:hAnsi="Symbol" w:cs="Symbol" w:hint="default"/>
        <w:color w:val="231F20"/>
        <w:w w:val="100"/>
        <w:sz w:val="14"/>
        <w:szCs w:val="14"/>
      </w:rPr>
    </w:lvl>
    <w:lvl w:ilvl="1" w:tplc="D7D0E9AE">
      <w:numFmt w:val="bullet"/>
      <w:lvlText w:val="•"/>
      <w:lvlJc w:val="left"/>
      <w:pPr>
        <w:ind w:left="301" w:hanging="100"/>
      </w:pPr>
      <w:rPr>
        <w:rFonts w:hint="default"/>
      </w:rPr>
    </w:lvl>
    <w:lvl w:ilvl="2" w:tplc="5662525A">
      <w:numFmt w:val="bullet"/>
      <w:lvlText w:val="•"/>
      <w:lvlJc w:val="left"/>
      <w:pPr>
        <w:ind w:left="443" w:hanging="100"/>
      </w:pPr>
      <w:rPr>
        <w:rFonts w:hint="default"/>
      </w:rPr>
    </w:lvl>
    <w:lvl w:ilvl="3" w:tplc="A94C5A4A">
      <w:numFmt w:val="bullet"/>
      <w:lvlText w:val="•"/>
      <w:lvlJc w:val="left"/>
      <w:pPr>
        <w:ind w:left="585" w:hanging="100"/>
      </w:pPr>
      <w:rPr>
        <w:rFonts w:hint="default"/>
      </w:rPr>
    </w:lvl>
    <w:lvl w:ilvl="4" w:tplc="1E506906">
      <w:numFmt w:val="bullet"/>
      <w:lvlText w:val="•"/>
      <w:lvlJc w:val="left"/>
      <w:pPr>
        <w:ind w:left="726" w:hanging="100"/>
      </w:pPr>
      <w:rPr>
        <w:rFonts w:hint="default"/>
      </w:rPr>
    </w:lvl>
    <w:lvl w:ilvl="5" w:tplc="63D08F46">
      <w:numFmt w:val="bullet"/>
      <w:lvlText w:val="•"/>
      <w:lvlJc w:val="left"/>
      <w:pPr>
        <w:ind w:left="868" w:hanging="100"/>
      </w:pPr>
      <w:rPr>
        <w:rFonts w:hint="default"/>
      </w:rPr>
    </w:lvl>
    <w:lvl w:ilvl="6" w:tplc="FBAEFDCC">
      <w:numFmt w:val="bullet"/>
      <w:lvlText w:val="•"/>
      <w:lvlJc w:val="left"/>
      <w:pPr>
        <w:ind w:left="1010" w:hanging="100"/>
      </w:pPr>
      <w:rPr>
        <w:rFonts w:hint="default"/>
      </w:rPr>
    </w:lvl>
    <w:lvl w:ilvl="7" w:tplc="19B463AE">
      <w:numFmt w:val="bullet"/>
      <w:lvlText w:val="•"/>
      <w:lvlJc w:val="left"/>
      <w:pPr>
        <w:ind w:left="1151" w:hanging="100"/>
      </w:pPr>
      <w:rPr>
        <w:rFonts w:hint="default"/>
      </w:rPr>
    </w:lvl>
    <w:lvl w:ilvl="8" w:tplc="77DEEAAA">
      <w:numFmt w:val="bullet"/>
      <w:lvlText w:val="•"/>
      <w:lvlJc w:val="left"/>
      <w:pPr>
        <w:ind w:left="1293" w:hanging="100"/>
      </w:pPr>
      <w:rPr>
        <w:rFonts w:hint="default"/>
      </w:rPr>
    </w:lvl>
  </w:abstractNum>
  <w:abstractNum w:abstractNumId="271" w15:restartNumberingAfterBreak="0">
    <w:nsid w:val="0F560F8C"/>
    <w:multiLevelType w:val="hybridMultilevel"/>
    <w:tmpl w:val="1CD2F994"/>
    <w:lvl w:ilvl="0" w:tplc="5C082A76">
      <w:numFmt w:val="bullet"/>
      <w:lvlText w:val=""/>
      <w:lvlJc w:val="left"/>
      <w:pPr>
        <w:ind w:left="156" w:hanging="100"/>
      </w:pPr>
      <w:rPr>
        <w:rFonts w:ascii="Symbol" w:eastAsia="Symbol" w:hAnsi="Symbol" w:cs="Symbol" w:hint="default"/>
        <w:color w:val="231F20"/>
        <w:w w:val="100"/>
        <w:sz w:val="14"/>
        <w:szCs w:val="14"/>
      </w:rPr>
    </w:lvl>
    <w:lvl w:ilvl="1" w:tplc="5D168174">
      <w:numFmt w:val="bullet"/>
      <w:lvlText w:val="•"/>
      <w:lvlJc w:val="left"/>
      <w:pPr>
        <w:ind w:left="398" w:hanging="100"/>
      </w:pPr>
      <w:rPr>
        <w:rFonts w:hint="default"/>
      </w:rPr>
    </w:lvl>
    <w:lvl w:ilvl="2" w:tplc="D89EA0B0">
      <w:numFmt w:val="bullet"/>
      <w:lvlText w:val="•"/>
      <w:lvlJc w:val="left"/>
      <w:pPr>
        <w:ind w:left="636" w:hanging="100"/>
      </w:pPr>
      <w:rPr>
        <w:rFonts w:hint="default"/>
      </w:rPr>
    </w:lvl>
    <w:lvl w:ilvl="3" w:tplc="045ECE8E">
      <w:numFmt w:val="bullet"/>
      <w:lvlText w:val="•"/>
      <w:lvlJc w:val="left"/>
      <w:pPr>
        <w:ind w:left="874" w:hanging="100"/>
      </w:pPr>
      <w:rPr>
        <w:rFonts w:hint="default"/>
      </w:rPr>
    </w:lvl>
    <w:lvl w:ilvl="4" w:tplc="D7044962">
      <w:numFmt w:val="bullet"/>
      <w:lvlText w:val="•"/>
      <w:lvlJc w:val="left"/>
      <w:pPr>
        <w:ind w:left="1112" w:hanging="100"/>
      </w:pPr>
      <w:rPr>
        <w:rFonts w:hint="default"/>
      </w:rPr>
    </w:lvl>
    <w:lvl w:ilvl="5" w:tplc="97D40D1C">
      <w:numFmt w:val="bullet"/>
      <w:lvlText w:val="•"/>
      <w:lvlJc w:val="left"/>
      <w:pPr>
        <w:ind w:left="1350" w:hanging="100"/>
      </w:pPr>
      <w:rPr>
        <w:rFonts w:hint="default"/>
      </w:rPr>
    </w:lvl>
    <w:lvl w:ilvl="6" w:tplc="5CDE02D8">
      <w:numFmt w:val="bullet"/>
      <w:lvlText w:val="•"/>
      <w:lvlJc w:val="left"/>
      <w:pPr>
        <w:ind w:left="1588" w:hanging="100"/>
      </w:pPr>
      <w:rPr>
        <w:rFonts w:hint="default"/>
      </w:rPr>
    </w:lvl>
    <w:lvl w:ilvl="7" w:tplc="7BB8C7F4">
      <w:numFmt w:val="bullet"/>
      <w:lvlText w:val="•"/>
      <w:lvlJc w:val="left"/>
      <w:pPr>
        <w:ind w:left="1826" w:hanging="100"/>
      </w:pPr>
      <w:rPr>
        <w:rFonts w:hint="default"/>
      </w:rPr>
    </w:lvl>
    <w:lvl w:ilvl="8" w:tplc="8794B8CC">
      <w:numFmt w:val="bullet"/>
      <w:lvlText w:val="•"/>
      <w:lvlJc w:val="left"/>
      <w:pPr>
        <w:ind w:left="2064" w:hanging="100"/>
      </w:pPr>
      <w:rPr>
        <w:rFonts w:hint="default"/>
      </w:rPr>
    </w:lvl>
  </w:abstractNum>
  <w:abstractNum w:abstractNumId="272" w15:restartNumberingAfterBreak="0">
    <w:nsid w:val="0F7F38E2"/>
    <w:multiLevelType w:val="hybridMultilevel"/>
    <w:tmpl w:val="E0DE474E"/>
    <w:lvl w:ilvl="0" w:tplc="D9BC976A">
      <w:numFmt w:val="bullet"/>
      <w:lvlText w:val=""/>
      <w:lvlJc w:val="left"/>
      <w:pPr>
        <w:ind w:left="157" w:hanging="100"/>
      </w:pPr>
      <w:rPr>
        <w:rFonts w:ascii="Symbol" w:eastAsia="Symbol" w:hAnsi="Symbol" w:cs="Symbol" w:hint="default"/>
        <w:color w:val="231F20"/>
        <w:w w:val="100"/>
        <w:sz w:val="14"/>
        <w:szCs w:val="14"/>
      </w:rPr>
    </w:lvl>
    <w:lvl w:ilvl="1" w:tplc="6824A6FC">
      <w:numFmt w:val="bullet"/>
      <w:lvlText w:val="•"/>
      <w:lvlJc w:val="left"/>
      <w:pPr>
        <w:ind w:left="426" w:hanging="100"/>
      </w:pPr>
      <w:rPr>
        <w:rFonts w:hint="default"/>
      </w:rPr>
    </w:lvl>
    <w:lvl w:ilvl="2" w:tplc="C590A782">
      <w:numFmt w:val="bullet"/>
      <w:lvlText w:val="•"/>
      <w:lvlJc w:val="left"/>
      <w:pPr>
        <w:ind w:left="692" w:hanging="100"/>
      </w:pPr>
      <w:rPr>
        <w:rFonts w:hint="default"/>
      </w:rPr>
    </w:lvl>
    <w:lvl w:ilvl="3" w:tplc="BEDED358">
      <w:numFmt w:val="bullet"/>
      <w:lvlText w:val="•"/>
      <w:lvlJc w:val="left"/>
      <w:pPr>
        <w:ind w:left="959" w:hanging="100"/>
      </w:pPr>
      <w:rPr>
        <w:rFonts w:hint="default"/>
      </w:rPr>
    </w:lvl>
    <w:lvl w:ilvl="4" w:tplc="954E505E">
      <w:numFmt w:val="bullet"/>
      <w:lvlText w:val="•"/>
      <w:lvlJc w:val="left"/>
      <w:pPr>
        <w:ind w:left="1225" w:hanging="100"/>
      </w:pPr>
      <w:rPr>
        <w:rFonts w:hint="default"/>
      </w:rPr>
    </w:lvl>
    <w:lvl w:ilvl="5" w:tplc="9AD6A64A">
      <w:numFmt w:val="bullet"/>
      <w:lvlText w:val="•"/>
      <w:lvlJc w:val="left"/>
      <w:pPr>
        <w:ind w:left="1492" w:hanging="100"/>
      </w:pPr>
      <w:rPr>
        <w:rFonts w:hint="default"/>
      </w:rPr>
    </w:lvl>
    <w:lvl w:ilvl="6" w:tplc="D296432C">
      <w:numFmt w:val="bullet"/>
      <w:lvlText w:val="•"/>
      <w:lvlJc w:val="left"/>
      <w:pPr>
        <w:ind w:left="1758" w:hanging="100"/>
      </w:pPr>
      <w:rPr>
        <w:rFonts w:hint="default"/>
      </w:rPr>
    </w:lvl>
    <w:lvl w:ilvl="7" w:tplc="3DC04656">
      <w:numFmt w:val="bullet"/>
      <w:lvlText w:val="•"/>
      <w:lvlJc w:val="left"/>
      <w:pPr>
        <w:ind w:left="2024" w:hanging="100"/>
      </w:pPr>
      <w:rPr>
        <w:rFonts w:hint="default"/>
      </w:rPr>
    </w:lvl>
    <w:lvl w:ilvl="8" w:tplc="CBCCDA36">
      <w:numFmt w:val="bullet"/>
      <w:lvlText w:val="•"/>
      <w:lvlJc w:val="left"/>
      <w:pPr>
        <w:ind w:left="2291" w:hanging="100"/>
      </w:pPr>
      <w:rPr>
        <w:rFonts w:hint="default"/>
      </w:rPr>
    </w:lvl>
  </w:abstractNum>
  <w:abstractNum w:abstractNumId="273" w15:restartNumberingAfterBreak="0">
    <w:nsid w:val="0F85158B"/>
    <w:multiLevelType w:val="hybridMultilevel"/>
    <w:tmpl w:val="590A360A"/>
    <w:lvl w:ilvl="0" w:tplc="8674A86C">
      <w:numFmt w:val="bullet"/>
      <w:lvlText w:val=""/>
      <w:lvlJc w:val="left"/>
      <w:pPr>
        <w:ind w:left="156" w:hanging="100"/>
      </w:pPr>
      <w:rPr>
        <w:rFonts w:ascii="Symbol" w:eastAsia="Symbol" w:hAnsi="Symbol" w:cs="Symbol" w:hint="default"/>
        <w:color w:val="231F20"/>
        <w:w w:val="100"/>
        <w:sz w:val="14"/>
        <w:szCs w:val="14"/>
      </w:rPr>
    </w:lvl>
    <w:lvl w:ilvl="1" w:tplc="AFE45650">
      <w:numFmt w:val="bullet"/>
      <w:lvlText w:val="•"/>
      <w:lvlJc w:val="left"/>
      <w:pPr>
        <w:ind w:left="398" w:hanging="100"/>
      </w:pPr>
      <w:rPr>
        <w:rFonts w:hint="default"/>
      </w:rPr>
    </w:lvl>
    <w:lvl w:ilvl="2" w:tplc="BF743FB8">
      <w:numFmt w:val="bullet"/>
      <w:lvlText w:val="•"/>
      <w:lvlJc w:val="left"/>
      <w:pPr>
        <w:ind w:left="636" w:hanging="100"/>
      </w:pPr>
      <w:rPr>
        <w:rFonts w:hint="default"/>
      </w:rPr>
    </w:lvl>
    <w:lvl w:ilvl="3" w:tplc="F886EC30">
      <w:numFmt w:val="bullet"/>
      <w:lvlText w:val="•"/>
      <w:lvlJc w:val="left"/>
      <w:pPr>
        <w:ind w:left="874" w:hanging="100"/>
      </w:pPr>
      <w:rPr>
        <w:rFonts w:hint="default"/>
      </w:rPr>
    </w:lvl>
    <w:lvl w:ilvl="4" w:tplc="7EE213F2">
      <w:numFmt w:val="bullet"/>
      <w:lvlText w:val="•"/>
      <w:lvlJc w:val="left"/>
      <w:pPr>
        <w:ind w:left="1112" w:hanging="100"/>
      </w:pPr>
      <w:rPr>
        <w:rFonts w:hint="default"/>
      </w:rPr>
    </w:lvl>
    <w:lvl w:ilvl="5" w:tplc="859AE490">
      <w:numFmt w:val="bullet"/>
      <w:lvlText w:val="•"/>
      <w:lvlJc w:val="left"/>
      <w:pPr>
        <w:ind w:left="1350" w:hanging="100"/>
      </w:pPr>
      <w:rPr>
        <w:rFonts w:hint="default"/>
      </w:rPr>
    </w:lvl>
    <w:lvl w:ilvl="6" w:tplc="2482FD5A">
      <w:numFmt w:val="bullet"/>
      <w:lvlText w:val="•"/>
      <w:lvlJc w:val="left"/>
      <w:pPr>
        <w:ind w:left="1588" w:hanging="100"/>
      </w:pPr>
      <w:rPr>
        <w:rFonts w:hint="default"/>
      </w:rPr>
    </w:lvl>
    <w:lvl w:ilvl="7" w:tplc="2194ACE2">
      <w:numFmt w:val="bullet"/>
      <w:lvlText w:val="•"/>
      <w:lvlJc w:val="left"/>
      <w:pPr>
        <w:ind w:left="1826" w:hanging="100"/>
      </w:pPr>
      <w:rPr>
        <w:rFonts w:hint="default"/>
      </w:rPr>
    </w:lvl>
    <w:lvl w:ilvl="8" w:tplc="E36680C4">
      <w:numFmt w:val="bullet"/>
      <w:lvlText w:val="•"/>
      <w:lvlJc w:val="left"/>
      <w:pPr>
        <w:ind w:left="2064" w:hanging="100"/>
      </w:pPr>
      <w:rPr>
        <w:rFonts w:hint="default"/>
      </w:rPr>
    </w:lvl>
  </w:abstractNum>
  <w:abstractNum w:abstractNumId="274" w15:restartNumberingAfterBreak="0">
    <w:nsid w:val="0F991DD9"/>
    <w:multiLevelType w:val="hybridMultilevel"/>
    <w:tmpl w:val="8F901BC0"/>
    <w:lvl w:ilvl="0" w:tplc="F0A69C4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FB189406">
      <w:numFmt w:val="bullet"/>
      <w:lvlText w:val="•"/>
      <w:lvlJc w:val="left"/>
      <w:pPr>
        <w:ind w:left="426" w:hanging="105"/>
      </w:pPr>
      <w:rPr>
        <w:rFonts w:hint="default"/>
      </w:rPr>
    </w:lvl>
    <w:lvl w:ilvl="2" w:tplc="1098DA06">
      <w:numFmt w:val="bullet"/>
      <w:lvlText w:val="•"/>
      <w:lvlJc w:val="left"/>
      <w:pPr>
        <w:ind w:left="692" w:hanging="105"/>
      </w:pPr>
      <w:rPr>
        <w:rFonts w:hint="default"/>
      </w:rPr>
    </w:lvl>
    <w:lvl w:ilvl="3" w:tplc="AFDC1372">
      <w:numFmt w:val="bullet"/>
      <w:lvlText w:val="•"/>
      <w:lvlJc w:val="left"/>
      <w:pPr>
        <w:ind w:left="959" w:hanging="105"/>
      </w:pPr>
      <w:rPr>
        <w:rFonts w:hint="default"/>
      </w:rPr>
    </w:lvl>
    <w:lvl w:ilvl="4" w:tplc="4BA432A6">
      <w:numFmt w:val="bullet"/>
      <w:lvlText w:val="•"/>
      <w:lvlJc w:val="left"/>
      <w:pPr>
        <w:ind w:left="1225" w:hanging="105"/>
      </w:pPr>
      <w:rPr>
        <w:rFonts w:hint="default"/>
      </w:rPr>
    </w:lvl>
    <w:lvl w:ilvl="5" w:tplc="5308C1A4">
      <w:numFmt w:val="bullet"/>
      <w:lvlText w:val="•"/>
      <w:lvlJc w:val="left"/>
      <w:pPr>
        <w:ind w:left="1492" w:hanging="105"/>
      </w:pPr>
      <w:rPr>
        <w:rFonts w:hint="default"/>
      </w:rPr>
    </w:lvl>
    <w:lvl w:ilvl="6" w:tplc="27C41890">
      <w:numFmt w:val="bullet"/>
      <w:lvlText w:val="•"/>
      <w:lvlJc w:val="left"/>
      <w:pPr>
        <w:ind w:left="1758" w:hanging="105"/>
      </w:pPr>
      <w:rPr>
        <w:rFonts w:hint="default"/>
      </w:rPr>
    </w:lvl>
    <w:lvl w:ilvl="7" w:tplc="947A7352">
      <w:numFmt w:val="bullet"/>
      <w:lvlText w:val="•"/>
      <w:lvlJc w:val="left"/>
      <w:pPr>
        <w:ind w:left="2024" w:hanging="105"/>
      </w:pPr>
      <w:rPr>
        <w:rFonts w:hint="default"/>
      </w:rPr>
    </w:lvl>
    <w:lvl w:ilvl="8" w:tplc="77BAB14A">
      <w:numFmt w:val="bullet"/>
      <w:lvlText w:val="•"/>
      <w:lvlJc w:val="left"/>
      <w:pPr>
        <w:ind w:left="2291" w:hanging="105"/>
      </w:pPr>
      <w:rPr>
        <w:rFonts w:hint="default"/>
      </w:rPr>
    </w:lvl>
  </w:abstractNum>
  <w:abstractNum w:abstractNumId="275" w15:restartNumberingAfterBreak="0">
    <w:nsid w:val="0FC81DAD"/>
    <w:multiLevelType w:val="hybridMultilevel"/>
    <w:tmpl w:val="67A0C688"/>
    <w:lvl w:ilvl="0" w:tplc="E0FCCBCA">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B674FBDA">
      <w:numFmt w:val="bullet"/>
      <w:lvlText w:val="•"/>
      <w:lvlJc w:val="left"/>
      <w:pPr>
        <w:ind w:left="426" w:hanging="105"/>
      </w:pPr>
      <w:rPr>
        <w:rFonts w:hint="default"/>
      </w:rPr>
    </w:lvl>
    <w:lvl w:ilvl="2" w:tplc="A622FC42">
      <w:numFmt w:val="bullet"/>
      <w:lvlText w:val="•"/>
      <w:lvlJc w:val="left"/>
      <w:pPr>
        <w:ind w:left="692" w:hanging="105"/>
      </w:pPr>
      <w:rPr>
        <w:rFonts w:hint="default"/>
      </w:rPr>
    </w:lvl>
    <w:lvl w:ilvl="3" w:tplc="0D2A6D3E">
      <w:numFmt w:val="bullet"/>
      <w:lvlText w:val="•"/>
      <w:lvlJc w:val="left"/>
      <w:pPr>
        <w:ind w:left="959" w:hanging="105"/>
      </w:pPr>
      <w:rPr>
        <w:rFonts w:hint="default"/>
      </w:rPr>
    </w:lvl>
    <w:lvl w:ilvl="4" w:tplc="59AED8F2">
      <w:numFmt w:val="bullet"/>
      <w:lvlText w:val="•"/>
      <w:lvlJc w:val="left"/>
      <w:pPr>
        <w:ind w:left="1225" w:hanging="105"/>
      </w:pPr>
      <w:rPr>
        <w:rFonts w:hint="default"/>
      </w:rPr>
    </w:lvl>
    <w:lvl w:ilvl="5" w:tplc="63CC1BEA">
      <w:numFmt w:val="bullet"/>
      <w:lvlText w:val="•"/>
      <w:lvlJc w:val="left"/>
      <w:pPr>
        <w:ind w:left="1492" w:hanging="105"/>
      </w:pPr>
      <w:rPr>
        <w:rFonts w:hint="default"/>
      </w:rPr>
    </w:lvl>
    <w:lvl w:ilvl="6" w:tplc="3CFAA544">
      <w:numFmt w:val="bullet"/>
      <w:lvlText w:val="•"/>
      <w:lvlJc w:val="left"/>
      <w:pPr>
        <w:ind w:left="1758" w:hanging="105"/>
      </w:pPr>
      <w:rPr>
        <w:rFonts w:hint="default"/>
      </w:rPr>
    </w:lvl>
    <w:lvl w:ilvl="7" w:tplc="9DE2931C">
      <w:numFmt w:val="bullet"/>
      <w:lvlText w:val="•"/>
      <w:lvlJc w:val="left"/>
      <w:pPr>
        <w:ind w:left="2024" w:hanging="105"/>
      </w:pPr>
      <w:rPr>
        <w:rFonts w:hint="default"/>
      </w:rPr>
    </w:lvl>
    <w:lvl w:ilvl="8" w:tplc="01B61348">
      <w:numFmt w:val="bullet"/>
      <w:lvlText w:val="•"/>
      <w:lvlJc w:val="left"/>
      <w:pPr>
        <w:ind w:left="2291" w:hanging="105"/>
      </w:pPr>
      <w:rPr>
        <w:rFonts w:hint="default"/>
      </w:rPr>
    </w:lvl>
  </w:abstractNum>
  <w:abstractNum w:abstractNumId="276" w15:restartNumberingAfterBreak="0">
    <w:nsid w:val="0FD64A24"/>
    <w:multiLevelType w:val="hybridMultilevel"/>
    <w:tmpl w:val="0F22E126"/>
    <w:lvl w:ilvl="0" w:tplc="1E8E77E2">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A08CCA8E">
      <w:numFmt w:val="bullet"/>
      <w:lvlText w:val="•"/>
      <w:lvlJc w:val="left"/>
      <w:pPr>
        <w:ind w:left="1528" w:hanging="180"/>
      </w:pPr>
      <w:rPr>
        <w:rFonts w:hint="default"/>
      </w:rPr>
    </w:lvl>
    <w:lvl w:ilvl="2" w:tplc="27BE1B66">
      <w:numFmt w:val="bullet"/>
      <w:lvlText w:val="•"/>
      <w:lvlJc w:val="left"/>
      <w:pPr>
        <w:ind w:left="2557" w:hanging="180"/>
      </w:pPr>
      <w:rPr>
        <w:rFonts w:hint="default"/>
      </w:rPr>
    </w:lvl>
    <w:lvl w:ilvl="3" w:tplc="5ACA5E68">
      <w:numFmt w:val="bullet"/>
      <w:lvlText w:val="•"/>
      <w:lvlJc w:val="left"/>
      <w:pPr>
        <w:ind w:left="3585" w:hanging="180"/>
      </w:pPr>
      <w:rPr>
        <w:rFonts w:hint="default"/>
      </w:rPr>
    </w:lvl>
    <w:lvl w:ilvl="4" w:tplc="4E28DF5A">
      <w:numFmt w:val="bullet"/>
      <w:lvlText w:val="•"/>
      <w:lvlJc w:val="left"/>
      <w:pPr>
        <w:ind w:left="4614" w:hanging="180"/>
      </w:pPr>
      <w:rPr>
        <w:rFonts w:hint="default"/>
      </w:rPr>
    </w:lvl>
    <w:lvl w:ilvl="5" w:tplc="1D76C166">
      <w:numFmt w:val="bullet"/>
      <w:lvlText w:val="•"/>
      <w:lvlJc w:val="left"/>
      <w:pPr>
        <w:ind w:left="5642" w:hanging="180"/>
      </w:pPr>
      <w:rPr>
        <w:rFonts w:hint="default"/>
      </w:rPr>
    </w:lvl>
    <w:lvl w:ilvl="6" w:tplc="192E7494">
      <w:numFmt w:val="bullet"/>
      <w:lvlText w:val="•"/>
      <w:lvlJc w:val="left"/>
      <w:pPr>
        <w:ind w:left="6671" w:hanging="180"/>
      </w:pPr>
      <w:rPr>
        <w:rFonts w:hint="default"/>
      </w:rPr>
    </w:lvl>
    <w:lvl w:ilvl="7" w:tplc="B4F6CEBC">
      <w:numFmt w:val="bullet"/>
      <w:lvlText w:val="•"/>
      <w:lvlJc w:val="left"/>
      <w:pPr>
        <w:ind w:left="7699" w:hanging="180"/>
      </w:pPr>
      <w:rPr>
        <w:rFonts w:hint="default"/>
      </w:rPr>
    </w:lvl>
    <w:lvl w:ilvl="8" w:tplc="B1964BC4">
      <w:numFmt w:val="bullet"/>
      <w:lvlText w:val="•"/>
      <w:lvlJc w:val="left"/>
      <w:pPr>
        <w:ind w:left="8728" w:hanging="180"/>
      </w:pPr>
      <w:rPr>
        <w:rFonts w:hint="default"/>
      </w:rPr>
    </w:lvl>
  </w:abstractNum>
  <w:abstractNum w:abstractNumId="277" w15:restartNumberingAfterBreak="0">
    <w:nsid w:val="0FF00A28"/>
    <w:multiLevelType w:val="hybridMultilevel"/>
    <w:tmpl w:val="C924FF58"/>
    <w:lvl w:ilvl="0" w:tplc="8DA4782C">
      <w:numFmt w:val="bullet"/>
      <w:lvlText w:val=""/>
      <w:lvlJc w:val="left"/>
      <w:pPr>
        <w:ind w:left="156" w:hanging="100"/>
      </w:pPr>
      <w:rPr>
        <w:rFonts w:ascii="Symbol" w:eastAsia="Symbol" w:hAnsi="Symbol" w:cs="Symbol" w:hint="default"/>
        <w:color w:val="231F20"/>
        <w:w w:val="100"/>
        <w:sz w:val="14"/>
        <w:szCs w:val="14"/>
      </w:rPr>
    </w:lvl>
    <w:lvl w:ilvl="1" w:tplc="D3CE0110">
      <w:numFmt w:val="bullet"/>
      <w:lvlText w:val="•"/>
      <w:lvlJc w:val="left"/>
      <w:pPr>
        <w:ind w:left="454" w:hanging="100"/>
      </w:pPr>
      <w:rPr>
        <w:rFonts w:hint="default"/>
      </w:rPr>
    </w:lvl>
    <w:lvl w:ilvl="2" w:tplc="36A483E2">
      <w:numFmt w:val="bullet"/>
      <w:lvlText w:val="•"/>
      <w:lvlJc w:val="left"/>
      <w:pPr>
        <w:ind w:left="749" w:hanging="100"/>
      </w:pPr>
      <w:rPr>
        <w:rFonts w:hint="default"/>
      </w:rPr>
    </w:lvl>
    <w:lvl w:ilvl="3" w:tplc="0C34672A">
      <w:numFmt w:val="bullet"/>
      <w:lvlText w:val="•"/>
      <w:lvlJc w:val="left"/>
      <w:pPr>
        <w:ind w:left="1044" w:hanging="100"/>
      </w:pPr>
      <w:rPr>
        <w:rFonts w:hint="default"/>
      </w:rPr>
    </w:lvl>
    <w:lvl w:ilvl="4" w:tplc="2E9A39B8">
      <w:numFmt w:val="bullet"/>
      <w:lvlText w:val="•"/>
      <w:lvlJc w:val="left"/>
      <w:pPr>
        <w:ind w:left="1339" w:hanging="100"/>
      </w:pPr>
      <w:rPr>
        <w:rFonts w:hint="default"/>
      </w:rPr>
    </w:lvl>
    <w:lvl w:ilvl="5" w:tplc="AC105D2E">
      <w:numFmt w:val="bullet"/>
      <w:lvlText w:val="•"/>
      <w:lvlJc w:val="left"/>
      <w:pPr>
        <w:ind w:left="1634" w:hanging="100"/>
      </w:pPr>
      <w:rPr>
        <w:rFonts w:hint="default"/>
      </w:rPr>
    </w:lvl>
    <w:lvl w:ilvl="6" w:tplc="44087524">
      <w:numFmt w:val="bullet"/>
      <w:lvlText w:val="•"/>
      <w:lvlJc w:val="left"/>
      <w:pPr>
        <w:ind w:left="1928" w:hanging="100"/>
      </w:pPr>
      <w:rPr>
        <w:rFonts w:hint="default"/>
      </w:rPr>
    </w:lvl>
    <w:lvl w:ilvl="7" w:tplc="57663CDE">
      <w:numFmt w:val="bullet"/>
      <w:lvlText w:val="•"/>
      <w:lvlJc w:val="left"/>
      <w:pPr>
        <w:ind w:left="2223" w:hanging="100"/>
      </w:pPr>
      <w:rPr>
        <w:rFonts w:hint="default"/>
      </w:rPr>
    </w:lvl>
    <w:lvl w:ilvl="8" w:tplc="9656EBC0">
      <w:numFmt w:val="bullet"/>
      <w:lvlText w:val="•"/>
      <w:lvlJc w:val="left"/>
      <w:pPr>
        <w:ind w:left="2518" w:hanging="100"/>
      </w:pPr>
      <w:rPr>
        <w:rFonts w:hint="default"/>
      </w:rPr>
    </w:lvl>
  </w:abstractNum>
  <w:abstractNum w:abstractNumId="278" w15:restartNumberingAfterBreak="0">
    <w:nsid w:val="10042EA9"/>
    <w:multiLevelType w:val="hybridMultilevel"/>
    <w:tmpl w:val="71F40382"/>
    <w:lvl w:ilvl="0" w:tplc="FE8E2614">
      <w:numFmt w:val="bullet"/>
      <w:lvlText w:val="–"/>
      <w:lvlJc w:val="left"/>
      <w:pPr>
        <w:ind w:left="162" w:hanging="105"/>
      </w:pPr>
      <w:rPr>
        <w:rFonts w:ascii="Times New Roman" w:eastAsia="Times New Roman" w:hAnsi="Times New Roman" w:cs="Times New Roman" w:hint="default"/>
        <w:color w:val="231F20"/>
        <w:spacing w:val="-5"/>
        <w:w w:val="100"/>
        <w:sz w:val="14"/>
        <w:szCs w:val="14"/>
      </w:rPr>
    </w:lvl>
    <w:lvl w:ilvl="1" w:tplc="514EAADE">
      <w:numFmt w:val="bullet"/>
      <w:lvlText w:val="•"/>
      <w:lvlJc w:val="left"/>
      <w:pPr>
        <w:ind w:left="426" w:hanging="105"/>
      </w:pPr>
      <w:rPr>
        <w:rFonts w:hint="default"/>
      </w:rPr>
    </w:lvl>
    <w:lvl w:ilvl="2" w:tplc="926CA4CE">
      <w:numFmt w:val="bullet"/>
      <w:lvlText w:val="•"/>
      <w:lvlJc w:val="left"/>
      <w:pPr>
        <w:ind w:left="692" w:hanging="105"/>
      </w:pPr>
      <w:rPr>
        <w:rFonts w:hint="default"/>
      </w:rPr>
    </w:lvl>
    <w:lvl w:ilvl="3" w:tplc="ED9E8148">
      <w:numFmt w:val="bullet"/>
      <w:lvlText w:val="•"/>
      <w:lvlJc w:val="left"/>
      <w:pPr>
        <w:ind w:left="959" w:hanging="105"/>
      </w:pPr>
      <w:rPr>
        <w:rFonts w:hint="default"/>
      </w:rPr>
    </w:lvl>
    <w:lvl w:ilvl="4" w:tplc="22624C84">
      <w:numFmt w:val="bullet"/>
      <w:lvlText w:val="•"/>
      <w:lvlJc w:val="left"/>
      <w:pPr>
        <w:ind w:left="1225" w:hanging="105"/>
      </w:pPr>
      <w:rPr>
        <w:rFonts w:hint="default"/>
      </w:rPr>
    </w:lvl>
    <w:lvl w:ilvl="5" w:tplc="D122A448">
      <w:numFmt w:val="bullet"/>
      <w:lvlText w:val="•"/>
      <w:lvlJc w:val="left"/>
      <w:pPr>
        <w:ind w:left="1492" w:hanging="105"/>
      </w:pPr>
      <w:rPr>
        <w:rFonts w:hint="default"/>
      </w:rPr>
    </w:lvl>
    <w:lvl w:ilvl="6" w:tplc="CCD8150C">
      <w:numFmt w:val="bullet"/>
      <w:lvlText w:val="•"/>
      <w:lvlJc w:val="left"/>
      <w:pPr>
        <w:ind w:left="1758" w:hanging="105"/>
      </w:pPr>
      <w:rPr>
        <w:rFonts w:hint="default"/>
      </w:rPr>
    </w:lvl>
    <w:lvl w:ilvl="7" w:tplc="C7660F7A">
      <w:numFmt w:val="bullet"/>
      <w:lvlText w:val="•"/>
      <w:lvlJc w:val="left"/>
      <w:pPr>
        <w:ind w:left="2024" w:hanging="105"/>
      </w:pPr>
      <w:rPr>
        <w:rFonts w:hint="default"/>
      </w:rPr>
    </w:lvl>
    <w:lvl w:ilvl="8" w:tplc="290ABF92">
      <w:numFmt w:val="bullet"/>
      <w:lvlText w:val="•"/>
      <w:lvlJc w:val="left"/>
      <w:pPr>
        <w:ind w:left="2291" w:hanging="105"/>
      </w:pPr>
      <w:rPr>
        <w:rFonts w:hint="default"/>
      </w:rPr>
    </w:lvl>
  </w:abstractNum>
  <w:abstractNum w:abstractNumId="279" w15:restartNumberingAfterBreak="0">
    <w:nsid w:val="10245565"/>
    <w:multiLevelType w:val="hybridMultilevel"/>
    <w:tmpl w:val="963629B6"/>
    <w:lvl w:ilvl="0" w:tplc="73FCF97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E2AA1D8E">
      <w:numFmt w:val="bullet"/>
      <w:lvlText w:val="•"/>
      <w:lvlJc w:val="left"/>
      <w:pPr>
        <w:ind w:left="408" w:hanging="84"/>
      </w:pPr>
      <w:rPr>
        <w:rFonts w:hint="default"/>
      </w:rPr>
    </w:lvl>
    <w:lvl w:ilvl="2" w:tplc="4F9A40F2">
      <w:numFmt w:val="bullet"/>
      <w:lvlText w:val="•"/>
      <w:lvlJc w:val="left"/>
      <w:pPr>
        <w:ind w:left="676" w:hanging="84"/>
      </w:pPr>
      <w:rPr>
        <w:rFonts w:hint="default"/>
      </w:rPr>
    </w:lvl>
    <w:lvl w:ilvl="3" w:tplc="D67CD3B8">
      <w:numFmt w:val="bullet"/>
      <w:lvlText w:val="•"/>
      <w:lvlJc w:val="left"/>
      <w:pPr>
        <w:ind w:left="945" w:hanging="84"/>
      </w:pPr>
      <w:rPr>
        <w:rFonts w:hint="default"/>
      </w:rPr>
    </w:lvl>
    <w:lvl w:ilvl="4" w:tplc="C8CE258C">
      <w:numFmt w:val="bullet"/>
      <w:lvlText w:val="•"/>
      <w:lvlJc w:val="left"/>
      <w:pPr>
        <w:ind w:left="1213" w:hanging="84"/>
      </w:pPr>
      <w:rPr>
        <w:rFonts w:hint="default"/>
      </w:rPr>
    </w:lvl>
    <w:lvl w:ilvl="5" w:tplc="B81EE626">
      <w:numFmt w:val="bullet"/>
      <w:lvlText w:val="•"/>
      <w:lvlJc w:val="left"/>
      <w:pPr>
        <w:ind w:left="1482" w:hanging="84"/>
      </w:pPr>
      <w:rPr>
        <w:rFonts w:hint="default"/>
      </w:rPr>
    </w:lvl>
    <w:lvl w:ilvl="6" w:tplc="BD9A6960">
      <w:numFmt w:val="bullet"/>
      <w:lvlText w:val="•"/>
      <w:lvlJc w:val="left"/>
      <w:pPr>
        <w:ind w:left="1750" w:hanging="84"/>
      </w:pPr>
      <w:rPr>
        <w:rFonts w:hint="default"/>
      </w:rPr>
    </w:lvl>
    <w:lvl w:ilvl="7" w:tplc="E3BC4012">
      <w:numFmt w:val="bullet"/>
      <w:lvlText w:val="•"/>
      <w:lvlJc w:val="left"/>
      <w:pPr>
        <w:ind w:left="2018" w:hanging="84"/>
      </w:pPr>
      <w:rPr>
        <w:rFonts w:hint="default"/>
      </w:rPr>
    </w:lvl>
    <w:lvl w:ilvl="8" w:tplc="5DCA755A">
      <w:numFmt w:val="bullet"/>
      <w:lvlText w:val="•"/>
      <w:lvlJc w:val="left"/>
      <w:pPr>
        <w:ind w:left="2287" w:hanging="84"/>
      </w:pPr>
      <w:rPr>
        <w:rFonts w:hint="default"/>
      </w:rPr>
    </w:lvl>
  </w:abstractNum>
  <w:abstractNum w:abstractNumId="280" w15:restartNumberingAfterBreak="0">
    <w:nsid w:val="10442965"/>
    <w:multiLevelType w:val="hybridMultilevel"/>
    <w:tmpl w:val="988CD7B4"/>
    <w:lvl w:ilvl="0" w:tplc="B13E15F4">
      <w:numFmt w:val="bullet"/>
      <w:lvlText w:val=""/>
      <w:lvlJc w:val="left"/>
      <w:pPr>
        <w:ind w:left="156" w:hanging="100"/>
      </w:pPr>
      <w:rPr>
        <w:rFonts w:ascii="Symbol" w:eastAsia="Symbol" w:hAnsi="Symbol" w:cs="Symbol" w:hint="default"/>
        <w:color w:val="231F20"/>
        <w:w w:val="100"/>
        <w:sz w:val="14"/>
        <w:szCs w:val="14"/>
      </w:rPr>
    </w:lvl>
    <w:lvl w:ilvl="1" w:tplc="89EEE52A">
      <w:numFmt w:val="bullet"/>
      <w:lvlText w:val="•"/>
      <w:lvlJc w:val="left"/>
      <w:pPr>
        <w:ind w:left="398" w:hanging="100"/>
      </w:pPr>
      <w:rPr>
        <w:rFonts w:hint="default"/>
      </w:rPr>
    </w:lvl>
    <w:lvl w:ilvl="2" w:tplc="06DEC632">
      <w:numFmt w:val="bullet"/>
      <w:lvlText w:val="•"/>
      <w:lvlJc w:val="left"/>
      <w:pPr>
        <w:ind w:left="636" w:hanging="100"/>
      </w:pPr>
      <w:rPr>
        <w:rFonts w:hint="default"/>
      </w:rPr>
    </w:lvl>
    <w:lvl w:ilvl="3" w:tplc="142ADA66">
      <w:numFmt w:val="bullet"/>
      <w:lvlText w:val="•"/>
      <w:lvlJc w:val="left"/>
      <w:pPr>
        <w:ind w:left="874" w:hanging="100"/>
      </w:pPr>
      <w:rPr>
        <w:rFonts w:hint="default"/>
      </w:rPr>
    </w:lvl>
    <w:lvl w:ilvl="4" w:tplc="FC3E5E94">
      <w:numFmt w:val="bullet"/>
      <w:lvlText w:val="•"/>
      <w:lvlJc w:val="left"/>
      <w:pPr>
        <w:ind w:left="1112" w:hanging="100"/>
      </w:pPr>
      <w:rPr>
        <w:rFonts w:hint="default"/>
      </w:rPr>
    </w:lvl>
    <w:lvl w:ilvl="5" w:tplc="DE8058BA">
      <w:numFmt w:val="bullet"/>
      <w:lvlText w:val="•"/>
      <w:lvlJc w:val="left"/>
      <w:pPr>
        <w:ind w:left="1350" w:hanging="100"/>
      </w:pPr>
      <w:rPr>
        <w:rFonts w:hint="default"/>
      </w:rPr>
    </w:lvl>
    <w:lvl w:ilvl="6" w:tplc="3F644894">
      <w:numFmt w:val="bullet"/>
      <w:lvlText w:val="•"/>
      <w:lvlJc w:val="left"/>
      <w:pPr>
        <w:ind w:left="1588" w:hanging="100"/>
      </w:pPr>
      <w:rPr>
        <w:rFonts w:hint="default"/>
      </w:rPr>
    </w:lvl>
    <w:lvl w:ilvl="7" w:tplc="EA123974">
      <w:numFmt w:val="bullet"/>
      <w:lvlText w:val="•"/>
      <w:lvlJc w:val="left"/>
      <w:pPr>
        <w:ind w:left="1826" w:hanging="100"/>
      </w:pPr>
      <w:rPr>
        <w:rFonts w:hint="default"/>
      </w:rPr>
    </w:lvl>
    <w:lvl w:ilvl="8" w:tplc="768A1FAE">
      <w:numFmt w:val="bullet"/>
      <w:lvlText w:val="•"/>
      <w:lvlJc w:val="left"/>
      <w:pPr>
        <w:ind w:left="2064" w:hanging="100"/>
      </w:pPr>
      <w:rPr>
        <w:rFonts w:hint="default"/>
      </w:rPr>
    </w:lvl>
  </w:abstractNum>
  <w:abstractNum w:abstractNumId="281" w15:restartNumberingAfterBreak="0">
    <w:nsid w:val="10497FF4"/>
    <w:multiLevelType w:val="hybridMultilevel"/>
    <w:tmpl w:val="2B1A079A"/>
    <w:lvl w:ilvl="0" w:tplc="F790EC8E">
      <w:numFmt w:val="bullet"/>
      <w:lvlText w:val=""/>
      <w:lvlJc w:val="left"/>
      <w:pPr>
        <w:ind w:left="157" w:hanging="100"/>
      </w:pPr>
      <w:rPr>
        <w:rFonts w:ascii="Symbol" w:eastAsia="Symbol" w:hAnsi="Symbol" w:cs="Symbol" w:hint="default"/>
        <w:color w:val="231F20"/>
        <w:w w:val="100"/>
        <w:sz w:val="14"/>
        <w:szCs w:val="14"/>
      </w:rPr>
    </w:lvl>
    <w:lvl w:ilvl="1" w:tplc="AA7A9F36">
      <w:numFmt w:val="bullet"/>
      <w:lvlText w:val="•"/>
      <w:lvlJc w:val="left"/>
      <w:pPr>
        <w:ind w:left="369" w:hanging="100"/>
      </w:pPr>
      <w:rPr>
        <w:rFonts w:hint="default"/>
      </w:rPr>
    </w:lvl>
    <w:lvl w:ilvl="2" w:tplc="86946EB8">
      <w:numFmt w:val="bullet"/>
      <w:lvlText w:val="•"/>
      <w:lvlJc w:val="left"/>
      <w:pPr>
        <w:ind w:left="579" w:hanging="100"/>
      </w:pPr>
      <w:rPr>
        <w:rFonts w:hint="default"/>
      </w:rPr>
    </w:lvl>
    <w:lvl w:ilvl="3" w:tplc="E7E28480">
      <w:numFmt w:val="bullet"/>
      <w:lvlText w:val="•"/>
      <w:lvlJc w:val="left"/>
      <w:pPr>
        <w:ind w:left="789" w:hanging="100"/>
      </w:pPr>
      <w:rPr>
        <w:rFonts w:hint="default"/>
      </w:rPr>
    </w:lvl>
    <w:lvl w:ilvl="4" w:tplc="80C8FD8C">
      <w:numFmt w:val="bullet"/>
      <w:lvlText w:val="•"/>
      <w:lvlJc w:val="left"/>
      <w:pPr>
        <w:ind w:left="998" w:hanging="100"/>
      </w:pPr>
      <w:rPr>
        <w:rFonts w:hint="default"/>
      </w:rPr>
    </w:lvl>
    <w:lvl w:ilvl="5" w:tplc="A3C676FE">
      <w:numFmt w:val="bullet"/>
      <w:lvlText w:val="•"/>
      <w:lvlJc w:val="left"/>
      <w:pPr>
        <w:ind w:left="1208" w:hanging="100"/>
      </w:pPr>
      <w:rPr>
        <w:rFonts w:hint="default"/>
      </w:rPr>
    </w:lvl>
    <w:lvl w:ilvl="6" w:tplc="9300C97C">
      <w:numFmt w:val="bullet"/>
      <w:lvlText w:val="•"/>
      <w:lvlJc w:val="left"/>
      <w:pPr>
        <w:ind w:left="1418" w:hanging="100"/>
      </w:pPr>
      <w:rPr>
        <w:rFonts w:hint="default"/>
      </w:rPr>
    </w:lvl>
    <w:lvl w:ilvl="7" w:tplc="280A8AEE">
      <w:numFmt w:val="bullet"/>
      <w:lvlText w:val="•"/>
      <w:lvlJc w:val="left"/>
      <w:pPr>
        <w:ind w:left="1627" w:hanging="100"/>
      </w:pPr>
      <w:rPr>
        <w:rFonts w:hint="default"/>
      </w:rPr>
    </w:lvl>
    <w:lvl w:ilvl="8" w:tplc="403CCD52">
      <w:numFmt w:val="bullet"/>
      <w:lvlText w:val="•"/>
      <w:lvlJc w:val="left"/>
      <w:pPr>
        <w:ind w:left="1837" w:hanging="100"/>
      </w:pPr>
      <w:rPr>
        <w:rFonts w:hint="default"/>
      </w:rPr>
    </w:lvl>
  </w:abstractNum>
  <w:abstractNum w:abstractNumId="282" w15:restartNumberingAfterBreak="0">
    <w:nsid w:val="10524D9B"/>
    <w:multiLevelType w:val="hybridMultilevel"/>
    <w:tmpl w:val="0338D78C"/>
    <w:lvl w:ilvl="0" w:tplc="B1629E44">
      <w:numFmt w:val="bullet"/>
      <w:lvlText w:val=""/>
      <w:lvlJc w:val="left"/>
      <w:pPr>
        <w:ind w:left="157" w:hanging="100"/>
      </w:pPr>
      <w:rPr>
        <w:rFonts w:ascii="Symbol" w:eastAsia="Symbol" w:hAnsi="Symbol" w:cs="Symbol" w:hint="default"/>
        <w:color w:val="231F20"/>
        <w:w w:val="100"/>
        <w:sz w:val="14"/>
        <w:szCs w:val="14"/>
      </w:rPr>
    </w:lvl>
    <w:lvl w:ilvl="1" w:tplc="05BC396E">
      <w:numFmt w:val="bullet"/>
      <w:lvlText w:val="•"/>
      <w:lvlJc w:val="left"/>
      <w:pPr>
        <w:ind w:left="369" w:hanging="100"/>
      </w:pPr>
      <w:rPr>
        <w:rFonts w:hint="default"/>
      </w:rPr>
    </w:lvl>
    <w:lvl w:ilvl="2" w:tplc="B5A2A794">
      <w:numFmt w:val="bullet"/>
      <w:lvlText w:val="•"/>
      <w:lvlJc w:val="left"/>
      <w:pPr>
        <w:ind w:left="579" w:hanging="100"/>
      </w:pPr>
      <w:rPr>
        <w:rFonts w:hint="default"/>
      </w:rPr>
    </w:lvl>
    <w:lvl w:ilvl="3" w:tplc="8AE4BBC8">
      <w:numFmt w:val="bullet"/>
      <w:lvlText w:val="•"/>
      <w:lvlJc w:val="left"/>
      <w:pPr>
        <w:ind w:left="789" w:hanging="100"/>
      </w:pPr>
      <w:rPr>
        <w:rFonts w:hint="default"/>
      </w:rPr>
    </w:lvl>
    <w:lvl w:ilvl="4" w:tplc="9CF84A32">
      <w:numFmt w:val="bullet"/>
      <w:lvlText w:val="•"/>
      <w:lvlJc w:val="left"/>
      <w:pPr>
        <w:ind w:left="998" w:hanging="100"/>
      </w:pPr>
      <w:rPr>
        <w:rFonts w:hint="default"/>
      </w:rPr>
    </w:lvl>
    <w:lvl w:ilvl="5" w:tplc="E99A4488">
      <w:numFmt w:val="bullet"/>
      <w:lvlText w:val="•"/>
      <w:lvlJc w:val="left"/>
      <w:pPr>
        <w:ind w:left="1208" w:hanging="100"/>
      </w:pPr>
      <w:rPr>
        <w:rFonts w:hint="default"/>
      </w:rPr>
    </w:lvl>
    <w:lvl w:ilvl="6" w:tplc="71B21916">
      <w:numFmt w:val="bullet"/>
      <w:lvlText w:val="•"/>
      <w:lvlJc w:val="left"/>
      <w:pPr>
        <w:ind w:left="1418" w:hanging="100"/>
      </w:pPr>
      <w:rPr>
        <w:rFonts w:hint="default"/>
      </w:rPr>
    </w:lvl>
    <w:lvl w:ilvl="7" w:tplc="BED8EB74">
      <w:numFmt w:val="bullet"/>
      <w:lvlText w:val="•"/>
      <w:lvlJc w:val="left"/>
      <w:pPr>
        <w:ind w:left="1627" w:hanging="100"/>
      </w:pPr>
      <w:rPr>
        <w:rFonts w:hint="default"/>
      </w:rPr>
    </w:lvl>
    <w:lvl w:ilvl="8" w:tplc="51B2ADA0">
      <w:numFmt w:val="bullet"/>
      <w:lvlText w:val="•"/>
      <w:lvlJc w:val="left"/>
      <w:pPr>
        <w:ind w:left="1837" w:hanging="100"/>
      </w:pPr>
      <w:rPr>
        <w:rFonts w:hint="default"/>
      </w:rPr>
    </w:lvl>
  </w:abstractNum>
  <w:abstractNum w:abstractNumId="283" w15:restartNumberingAfterBreak="0">
    <w:nsid w:val="106072D6"/>
    <w:multiLevelType w:val="hybridMultilevel"/>
    <w:tmpl w:val="8DD48236"/>
    <w:lvl w:ilvl="0" w:tplc="F698AD5C">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2A5C8260">
      <w:numFmt w:val="bullet"/>
      <w:lvlText w:val="•"/>
      <w:lvlJc w:val="left"/>
      <w:pPr>
        <w:ind w:left="1636" w:hanging="116"/>
      </w:pPr>
      <w:rPr>
        <w:rFonts w:hint="default"/>
      </w:rPr>
    </w:lvl>
    <w:lvl w:ilvl="2" w:tplc="013CDA8C">
      <w:numFmt w:val="bullet"/>
      <w:lvlText w:val="•"/>
      <w:lvlJc w:val="left"/>
      <w:pPr>
        <w:ind w:left="2653" w:hanging="116"/>
      </w:pPr>
      <w:rPr>
        <w:rFonts w:hint="default"/>
      </w:rPr>
    </w:lvl>
    <w:lvl w:ilvl="3" w:tplc="C996001E">
      <w:numFmt w:val="bullet"/>
      <w:lvlText w:val="•"/>
      <w:lvlJc w:val="left"/>
      <w:pPr>
        <w:ind w:left="3669" w:hanging="116"/>
      </w:pPr>
      <w:rPr>
        <w:rFonts w:hint="default"/>
      </w:rPr>
    </w:lvl>
    <w:lvl w:ilvl="4" w:tplc="B964C6EA">
      <w:numFmt w:val="bullet"/>
      <w:lvlText w:val="•"/>
      <w:lvlJc w:val="left"/>
      <w:pPr>
        <w:ind w:left="4686" w:hanging="116"/>
      </w:pPr>
      <w:rPr>
        <w:rFonts w:hint="default"/>
      </w:rPr>
    </w:lvl>
    <w:lvl w:ilvl="5" w:tplc="87FEBF98">
      <w:numFmt w:val="bullet"/>
      <w:lvlText w:val="•"/>
      <w:lvlJc w:val="left"/>
      <w:pPr>
        <w:ind w:left="5702" w:hanging="116"/>
      </w:pPr>
      <w:rPr>
        <w:rFonts w:hint="default"/>
      </w:rPr>
    </w:lvl>
    <w:lvl w:ilvl="6" w:tplc="E0BE65F6">
      <w:numFmt w:val="bullet"/>
      <w:lvlText w:val="•"/>
      <w:lvlJc w:val="left"/>
      <w:pPr>
        <w:ind w:left="6719" w:hanging="116"/>
      </w:pPr>
      <w:rPr>
        <w:rFonts w:hint="default"/>
      </w:rPr>
    </w:lvl>
    <w:lvl w:ilvl="7" w:tplc="1AA6C0E8">
      <w:numFmt w:val="bullet"/>
      <w:lvlText w:val="•"/>
      <w:lvlJc w:val="left"/>
      <w:pPr>
        <w:ind w:left="7735" w:hanging="116"/>
      </w:pPr>
      <w:rPr>
        <w:rFonts w:hint="default"/>
      </w:rPr>
    </w:lvl>
    <w:lvl w:ilvl="8" w:tplc="FE768F54">
      <w:numFmt w:val="bullet"/>
      <w:lvlText w:val="•"/>
      <w:lvlJc w:val="left"/>
      <w:pPr>
        <w:ind w:left="8752" w:hanging="116"/>
      </w:pPr>
      <w:rPr>
        <w:rFonts w:hint="default"/>
      </w:rPr>
    </w:lvl>
  </w:abstractNum>
  <w:abstractNum w:abstractNumId="284" w15:restartNumberingAfterBreak="0">
    <w:nsid w:val="107B6E7D"/>
    <w:multiLevelType w:val="hybridMultilevel"/>
    <w:tmpl w:val="EDC0A408"/>
    <w:lvl w:ilvl="0" w:tplc="4C6ADBC8">
      <w:numFmt w:val="bullet"/>
      <w:lvlText w:val=""/>
      <w:lvlJc w:val="left"/>
      <w:pPr>
        <w:ind w:left="156" w:hanging="100"/>
      </w:pPr>
      <w:rPr>
        <w:rFonts w:ascii="Symbol" w:eastAsia="Symbol" w:hAnsi="Symbol" w:cs="Symbol" w:hint="default"/>
        <w:color w:val="231F20"/>
        <w:w w:val="100"/>
        <w:sz w:val="14"/>
        <w:szCs w:val="14"/>
      </w:rPr>
    </w:lvl>
    <w:lvl w:ilvl="1" w:tplc="1AFC9204">
      <w:numFmt w:val="bullet"/>
      <w:lvlText w:val="•"/>
      <w:lvlJc w:val="left"/>
      <w:pPr>
        <w:ind w:left="398" w:hanging="100"/>
      </w:pPr>
      <w:rPr>
        <w:rFonts w:hint="default"/>
      </w:rPr>
    </w:lvl>
    <w:lvl w:ilvl="2" w:tplc="0F187ED6">
      <w:numFmt w:val="bullet"/>
      <w:lvlText w:val="•"/>
      <w:lvlJc w:val="left"/>
      <w:pPr>
        <w:ind w:left="636" w:hanging="100"/>
      </w:pPr>
      <w:rPr>
        <w:rFonts w:hint="default"/>
      </w:rPr>
    </w:lvl>
    <w:lvl w:ilvl="3" w:tplc="76E476A6">
      <w:numFmt w:val="bullet"/>
      <w:lvlText w:val="•"/>
      <w:lvlJc w:val="left"/>
      <w:pPr>
        <w:ind w:left="874" w:hanging="100"/>
      </w:pPr>
      <w:rPr>
        <w:rFonts w:hint="default"/>
      </w:rPr>
    </w:lvl>
    <w:lvl w:ilvl="4" w:tplc="2E0CF356">
      <w:numFmt w:val="bullet"/>
      <w:lvlText w:val="•"/>
      <w:lvlJc w:val="left"/>
      <w:pPr>
        <w:ind w:left="1112" w:hanging="100"/>
      </w:pPr>
      <w:rPr>
        <w:rFonts w:hint="default"/>
      </w:rPr>
    </w:lvl>
    <w:lvl w:ilvl="5" w:tplc="E81E6CD6">
      <w:numFmt w:val="bullet"/>
      <w:lvlText w:val="•"/>
      <w:lvlJc w:val="left"/>
      <w:pPr>
        <w:ind w:left="1350" w:hanging="100"/>
      </w:pPr>
      <w:rPr>
        <w:rFonts w:hint="default"/>
      </w:rPr>
    </w:lvl>
    <w:lvl w:ilvl="6" w:tplc="B5B4597A">
      <w:numFmt w:val="bullet"/>
      <w:lvlText w:val="•"/>
      <w:lvlJc w:val="left"/>
      <w:pPr>
        <w:ind w:left="1588" w:hanging="100"/>
      </w:pPr>
      <w:rPr>
        <w:rFonts w:hint="default"/>
      </w:rPr>
    </w:lvl>
    <w:lvl w:ilvl="7" w:tplc="1C3A46F4">
      <w:numFmt w:val="bullet"/>
      <w:lvlText w:val="•"/>
      <w:lvlJc w:val="left"/>
      <w:pPr>
        <w:ind w:left="1826" w:hanging="100"/>
      </w:pPr>
      <w:rPr>
        <w:rFonts w:hint="default"/>
      </w:rPr>
    </w:lvl>
    <w:lvl w:ilvl="8" w:tplc="666CBE00">
      <w:numFmt w:val="bullet"/>
      <w:lvlText w:val="•"/>
      <w:lvlJc w:val="left"/>
      <w:pPr>
        <w:ind w:left="2064" w:hanging="100"/>
      </w:pPr>
      <w:rPr>
        <w:rFonts w:hint="default"/>
      </w:rPr>
    </w:lvl>
  </w:abstractNum>
  <w:abstractNum w:abstractNumId="285" w15:restartNumberingAfterBreak="0">
    <w:nsid w:val="10897A61"/>
    <w:multiLevelType w:val="hybridMultilevel"/>
    <w:tmpl w:val="3A3464BE"/>
    <w:lvl w:ilvl="0" w:tplc="48EE4060">
      <w:numFmt w:val="bullet"/>
      <w:lvlText w:val=""/>
      <w:lvlJc w:val="left"/>
      <w:pPr>
        <w:ind w:left="157" w:hanging="100"/>
      </w:pPr>
      <w:rPr>
        <w:rFonts w:ascii="Symbol" w:eastAsia="Symbol" w:hAnsi="Symbol" w:cs="Symbol" w:hint="default"/>
        <w:color w:val="231F20"/>
        <w:w w:val="100"/>
        <w:sz w:val="14"/>
        <w:szCs w:val="14"/>
      </w:rPr>
    </w:lvl>
    <w:lvl w:ilvl="1" w:tplc="0FC4117E">
      <w:numFmt w:val="bullet"/>
      <w:lvlText w:val="•"/>
      <w:lvlJc w:val="left"/>
      <w:pPr>
        <w:ind w:left="369" w:hanging="100"/>
      </w:pPr>
      <w:rPr>
        <w:rFonts w:hint="default"/>
      </w:rPr>
    </w:lvl>
    <w:lvl w:ilvl="2" w:tplc="8812B6B8">
      <w:numFmt w:val="bullet"/>
      <w:lvlText w:val="•"/>
      <w:lvlJc w:val="left"/>
      <w:pPr>
        <w:ind w:left="579" w:hanging="100"/>
      </w:pPr>
      <w:rPr>
        <w:rFonts w:hint="default"/>
      </w:rPr>
    </w:lvl>
    <w:lvl w:ilvl="3" w:tplc="65F8431A">
      <w:numFmt w:val="bullet"/>
      <w:lvlText w:val="•"/>
      <w:lvlJc w:val="left"/>
      <w:pPr>
        <w:ind w:left="789" w:hanging="100"/>
      </w:pPr>
      <w:rPr>
        <w:rFonts w:hint="default"/>
      </w:rPr>
    </w:lvl>
    <w:lvl w:ilvl="4" w:tplc="B826041C">
      <w:numFmt w:val="bullet"/>
      <w:lvlText w:val="•"/>
      <w:lvlJc w:val="left"/>
      <w:pPr>
        <w:ind w:left="998" w:hanging="100"/>
      </w:pPr>
      <w:rPr>
        <w:rFonts w:hint="default"/>
      </w:rPr>
    </w:lvl>
    <w:lvl w:ilvl="5" w:tplc="F426F646">
      <w:numFmt w:val="bullet"/>
      <w:lvlText w:val="•"/>
      <w:lvlJc w:val="left"/>
      <w:pPr>
        <w:ind w:left="1208" w:hanging="100"/>
      </w:pPr>
      <w:rPr>
        <w:rFonts w:hint="default"/>
      </w:rPr>
    </w:lvl>
    <w:lvl w:ilvl="6" w:tplc="8106343A">
      <w:numFmt w:val="bullet"/>
      <w:lvlText w:val="•"/>
      <w:lvlJc w:val="left"/>
      <w:pPr>
        <w:ind w:left="1418" w:hanging="100"/>
      </w:pPr>
      <w:rPr>
        <w:rFonts w:hint="default"/>
      </w:rPr>
    </w:lvl>
    <w:lvl w:ilvl="7" w:tplc="0CFEB55C">
      <w:numFmt w:val="bullet"/>
      <w:lvlText w:val="•"/>
      <w:lvlJc w:val="left"/>
      <w:pPr>
        <w:ind w:left="1627" w:hanging="100"/>
      </w:pPr>
      <w:rPr>
        <w:rFonts w:hint="default"/>
      </w:rPr>
    </w:lvl>
    <w:lvl w:ilvl="8" w:tplc="111805EE">
      <w:numFmt w:val="bullet"/>
      <w:lvlText w:val="•"/>
      <w:lvlJc w:val="left"/>
      <w:pPr>
        <w:ind w:left="1837" w:hanging="100"/>
      </w:pPr>
      <w:rPr>
        <w:rFonts w:hint="default"/>
      </w:rPr>
    </w:lvl>
  </w:abstractNum>
  <w:abstractNum w:abstractNumId="286" w15:restartNumberingAfterBreak="0">
    <w:nsid w:val="10B23CA9"/>
    <w:multiLevelType w:val="hybridMultilevel"/>
    <w:tmpl w:val="C122E30C"/>
    <w:lvl w:ilvl="0" w:tplc="D44E3016">
      <w:numFmt w:val="bullet"/>
      <w:lvlText w:val=""/>
      <w:lvlJc w:val="left"/>
      <w:pPr>
        <w:ind w:left="156" w:hanging="100"/>
      </w:pPr>
      <w:rPr>
        <w:rFonts w:ascii="Symbol" w:eastAsia="Symbol" w:hAnsi="Symbol" w:cs="Symbol" w:hint="default"/>
        <w:color w:val="231F20"/>
        <w:w w:val="100"/>
        <w:sz w:val="14"/>
        <w:szCs w:val="14"/>
      </w:rPr>
    </w:lvl>
    <w:lvl w:ilvl="1" w:tplc="4C107868">
      <w:numFmt w:val="bullet"/>
      <w:lvlText w:val="•"/>
      <w:lvlJc w:val="left"/>
      <w:pPr>
        <w:ind w:left="398" w:hanging="100"/>
      </w:pPr>
      <w:rPr>
        <w:rFonts w:hint="default"/>
      </w:rPr>
    </w:lvl>
    <w:lvl w:ilvl="2" w:tplc="9B7EDB84">
      <w:numFmt w:val="bullet"/>
      <w:lvlText w:val="•"/>
      <w:lvlJc w:val="left"/>
      <w:pPr>
        <w:ind w:left="636" w:hanging="100"/>
      </w:pPr>
      <w:rPr>
        <w:rFonts w:hint="default"/>
      </w:rPr>
    </w:lvl>
    <w:lvl w:ilvl="3" w:tplc="EB5A7BC6">
      <w:numFmt w:val="bullet"/>
      <w:lvlText w:val="•"/>
      <w:lvlJc w:val="left"/>
      <w:pPr>
        <w:ind w:left="874" w:hanging="100"/>
      </w:pPr>
      <w:rPr>
        <w:rFonts w:hint="default"/>
      </w:rPr>
    </w:lvl>
    <w:lvl w:ilvl="4" w:tplc="E4B8F1A2">
      <w:numFmt w:val="bullet"/>
      <w:lvlText w:val="•"/>
      <w:lvlJc w:val="left"/>
      <w:pPr>
        <w:ind w:left="1112" w:hanging="100"/>
      </w:pPr>
      <w:rPr>
        <w:rFonts w:hint="default"/>
      </w:rPr>
    </w:lvl>
    <w:lvl w:ilvl="5" w:tplc="978EB9A2">
      <w:numFmt w:val="bullet"/>
      <w:lvlText w:val="•"/>
      <w:lvlJc w:val="left"/>
      <w:pPr>
        <w:ind w:left="1350" w:hanging="100"/>
      </w:pPr>
      <w:rPr>
        <w:rFonts w:hint="default"/>
      </w:rPr>
    </w:lvl>
    <w:lvl w:ilvl="6" w:tplc="132A9290">
      <w:numFmt w:val="bullet"/>
      <w:lvlText w:val="•"/>
      <w:lvlJc w:val="left"/>
      <w:pPr>
        <w:ind w:left="1588" w:hanging="100"/>
      </w:pPr>
      <w:rPr>
        <w:rFonts w:hint="default"/>
      </w:rPr>
    </w:lvl>
    <w:lvl w:ilvl="7" w:tplc="0C52F140">
      <w:numFmt w:val="bullet"/>
      <w:lvlText w:val="•"/>
      <w:lvlJc w:val="left"/>
      <w:pPr>
        <w:ind w:left="1826" w:hanging="100"/>
      </w:pPr>
      <w:rPr>
        <w:rFonts w:hint="default"/>
      </w:rPr>
    </w:lvl>
    <w:lvl w:ilvl="8" w:tplc="BCEAE1B0">
      <w:numFmt w:val="bullet"/>
      <w:lvlText w:val="•"/>
      <w:lvlJc w:val="left"/>
      <w:pPr>
        <w:ind w:left="2064" w:hanging="100"/>
      </w:pPr>
      <w:rPr>
        <w:rFonts w:hint="default"/>
      </w:rPr>
    </w:lvl>
  </w:abstractNum>
  <w:abstractNum w:abstractNumId="287" w15:restartNumberingAfterBreak="0">
    <w:nsid w:val="10B52A1E"/>
    <w:multiLevelType w:val="hybridMultilevel"/>
    <w:tmpl w:val="F85ED42E"/>
    <w:lvl w:ilvl="0" w:tplc="7974CF8E">
      <w:numFmt w:val="bullet"/>
      <w:lvlText w:val=""/>
      <w:lvlJc w:val="left"/>
      <w:pPr>
        <w:ind w:left="156" w:hanging="100"/>
      </w:pPr>
      <w:rPr>
        <w:rFonts w:ascii="Symbol" w:eastAsia="Symbol" w:hAnsi="Symbol" w:cs="Symbol" w:hint="default"/>
        <w:color w:val="231F20"/>
        <w:w w:val="100"/>
        <w:sz w:val="14"/>
        <w:szCs w:val="14"/>
      </w:rPr>
    </w:lvl>
    <w:lvl w:ilvl="1" w:tplc="2D3A74F4">
      <w:numFmt w:val="bullet"/>
      <w:lvlText w:val="•"/>
      <w:lvlJc w:val="left"/>
      <w:pPr>
        <w:ind w:left="398" w:hanging="100"/>
      </w:pPr>
      <w:rPr>
        <w:rFonts w:hint="default"/>
      </w:rPr>
    </w:lvl>
    <w:lvl w:ilvl="2" w:tplc="178E0AF8">
      <w:numFmt w:val="bullet"/>
      <w:lvlText w:val="•"/>
      <w:lvlJc w:val="left"/>
      <w:pPr>
        <w:ind w:left="636" w:hanging="100"/>
      </w:pPr>
      <w:rPr>
        <w:rFonts w:hint="default"/>
      </w:rPr>
    </w:lvl>
    <w:lvl w:ilvl="3" w:tplc="0F709316">
      <w:numFmt w:val="bullet"/>
      <w:lvlText w:val="•"/>
      <w:lvlJc w:val="left"/>
      <w:pPr>
        <w:ind w:left="874" w:hanging="100"/>
      </w:pPr>
      <w:rPr>
        <w:rFonts w:hint="default"/>
      </w:rPr>
    </w:lvl>
    <w:lvl w:ilvl="4" w:tplc="39C6E246">
      <w:numFmt w:val="bullet"/>
      <w:lvlText w:val="•"/>
      <w:lvlJc w:val="left"/>
      <w:pPr>
        <w:ind w:left="1112" w:hanging="100"/>
      </w:pPr>
      <w:rPr>
        <w:rFonts w:hint="default"/>
      </w:rPr>
    </w:lvl>
    <w:lvl w:ilvl="5" w:tplc="1F5A35F4">
      <w:numFmt w:val="bullet"/>
      <w:lvlText w:val="•"/>
      <w:lvlJc w:val="left"/>
      <w:pPr>
        <w:ind w:left="1350" w:hanging="100"/>
      </w:pPr>
      <w:rPr>
        <w:rFonts w:hint="default"/>
      </w:rPr>
    </w:lvl>
    <w:lvl w:ilvl="6" w:tplc="59E633D8">
      <w:numFmt w:val="bullet"/>
      <w:lvlText w:val="•"/>
      <w:lvlJc w:val="left"/>
      <w:pPr>
        <w:ind w:left="1588" w:hanging="100"/>
      </w:pPr>
      <w:rPr>
        <w:rFonts w:hint="default"/>
      </w:rPr>
    </w:lvl>
    <w:lvl w:ilvl="7" w:tplc="33B4EC74">
      <w:numFmt w:val="bullet"/>
      <w:lvlText w:val="•"/>
      <w:lvlJc w:val="left"/>
      <w:pPr>
        <w:ind w:left="1826" w:hanging="100"/>
      </w:pPr>
      <w:rPr>
        <w:rFonts w:hint="default"/>
      </w:rPr>
    </w:lvl>
    <w:lvl w:ilvl="8" w:tplc="9B28C260">
      <w:numFmt w:val="bullet"/>
      <w:lvlText w:val="•"/>
      <w:lvlJc w:val="left"/>
      <w:pPr>
        <w:ind w:left="2064" w:hanging="100"/>
      </w:pPr>
      <w:rPr>
        <w:rFonts w:hint="default"/>
      </w:rPr>
    </w:lvl>
  </w:abstractNum>
  <w:abstractNum w:abstractNumId="288" w15:restartNumberingAfterBreak="0">
    <w:nsid w:val="10C2171C"/>
    <w:multiLevelType w:val="hybridMultilevel"/>
    <w:tmpl w:val="A69A0204"/>
    <w:lvl w:ilvl="0" w:tplc="C90A439C">
      <w:numFmt w:val="bullet"/>
      <w:lvlText w:val=""/>
      <w:lvlJc w:val="left"/>
      <w:pPr>
        <w:ind w:left="156" w:hanging="100"/>
      </w:pPr>
      <w:rPr>
        <w:rFonts w:ascii="Symbol" w:eastAsia="Symbol" w:hAnsi="Symbol" w:cs="Symbol" w:hint="default"/>
        <w:color w:val="231F20"/>
        <w:w w:val="100"/>
        <w:sz w:val="14"/>
        <w:szCs w:val="14"/>
      </w:rPr>
    </w:lvl>
    <w:lvl w:ilvl="1" w:tplc="25129150">
      <w:numFmt w:val="bullet"/>
      <w:lvlText w:val="•"/>
      <w:lvlJc w:val="left"/>
      <w:pPr>
        <w:ind w:left="426" w:hanging="100"/>
      </w:pPr>
      <w:rPr>
        <w:rFonts w:hint="default"/>
      </w:rPr>
    </w:lvl>
    <w:lvl w:ilvl="2" w:tplc="2E1401CE">
      <w:numFmt w:val="bullet"/>
      <w:lvlText w:val="•"/>
      <w:lvlJc w:val="left"/>
      <w:pPr>
        <w:ind w:left="692" w:hanging="100"/>
      </w:pPr>
      <w:rPr>
        <w:rFonts w:hint="default"/>
      </w:rPr>
    </w:lvl>
    <w:lvl w:ilvl="3" w:tplc="ABFEA85E">
      <w:numFmt w:val="bullet"/>
      <w:lvlText w:val="•"/>
      <w:lvlJc w:val="left"/>
      <w:pPr>
        <w:ind w:left="959" w:hanging="100"/>
      </w:pPr>
      <w:rPr>
        <w:rFonts w:hint="default"/>
      </w:rPr>
    </w:lvl>
    <w:lvl w:ilvl="4" w:tplc="9FC8389E">
      <w:numFmt w:val="bullet"/>
      <w:lvlText w:val="•"/>
      <w:lvlJc w:val="left"/>
      <w:pPr>
        <w:ind w:left="1225" w:hanging="100"/>
      </w:pPr>
      <w:rPr>
        <w:rFonts w:hint="default"/>
      </w:rPr>
    </w:lvl>
    <w:lvl w:ilvl="5" w:tplc="5FA474BE">
      <w:numFmt w:val="bullet"/>
      <w:lvlText w:val="•"/>
      <w:lvlJc w:val="left"/>
      <w:pPr>
        <w:ind w:left="1492" w:hanging="100"/>
      </w:pPr>
      <w:rPr>
        <w:rFonts w:hint="default"/>
      </w:rPr>
    </w:lvl>
    <w:lvl w:ilvl="6" w:tplc="3D2AD658">
      <w:numFmt w:val="bullet"/>
      <w:lvlText w:val="•"/>
      <w:lvlJc w:val="left"/>
      <w:pPr>
        <w:ind w:left="1758" w:hanging="100"/>
      </w:pPr>
      <w:rPr>
        <w:rFonts w:hint="default"/>
      </w:rPr>
    </w:lvl>
    <w:lvl w:ilvl="7" w:tplc="9C0AD970">
      <w:numFmt w:val="bullet"/>
      <w:lvlText w:val="•"/>
      <w:lvlJc w:val="left"/>
      <w:pPr>
        <w:ind w:left="2024" w:hanging="100"/>
      </w:pPr>
      <w:rPr>
        <w:rFonts w:hint="default"/>
      </w:rPr>
    </w:lvl>
    <w:lvl w:ilvl="8" w:tplc="2CE6C8F4">
      <w:numFmt w:val="bullet"/>
      <w:lvlText w:val="•"/>
      <w:lvlJc w:val="left"/>
      <w:pPr>
        <w:ind w:left="2291" w:hanging="100"/>
      </w:pPr>
      <w:rPr>
        <w:rFonts w:hint="default"/>
      </w:rPr>
    </w:lvl>
  </w:abstractNum>
  <w:abstractNum w:abstractNumId="289" w15:restartNumberingAfterBreak="0">
    <w:nsid w:val="10D57127"/>
    <w:multiLevelType w:val="hybridMultilevel"/>
    <w:tmpl w:val="67746404"/>
    <w:lvl w:ilvl="0" w:tplc="509A8F66">
      <w:numFmt w:val="bullet"/>
      <w:lvlText w:val=""/>
      <w:lvlJc w:val="left"/>
      <w:pPr>
        <w:ind w:left="156" w:hanging="100"/>
      </w:pPr>
      <w:rPr>
        <w:rFonts w:ascii="Symbol" w:eastAsia="Symbol" w:hAnsi="Symbol" w:cs="Symbol" w:hint="default"/>
        <w:color w:val="231F20"/>
        <w:w w:val="100"/>
        <w:sz w:val="14"/>
        <w:szCs w:val="14"/>
      </w:rPr>
    </w:lvl>
    <w:lvl w:ilvl="1" w:tplc="BAEEB7E4">
      <w:numFmt w:val="bullet"/>
      <w:lvlText w:val="•"/>
      <w:lvlJc w:val="left"/>
      <w:pPr>
        <w:ind w:left="398" w:hanging="100"/>
      </w:pPr>
      <w:rPr>
        <w:rFonts w:hint="default"/>
      </w:rPr>
    </w:lvl>
    <w:lvl w:ilvl="2" w:tplc="17EAB7AA">
      <w:numFmt w:val="bullet"/>
      <w:lvlText w:val="•"/>
      <w:lvlJc w:val="left"/>
      <w:pPr>
        <w:ind w:left="636" w:hanging="100"/>
      </w:pPr>
      <w:rPr>
        <w:rFonts w:hint="default"/>
      </w:rPr>
    </w:lvl>
    <w:lvl w:ilvl="3" w:tplc="7C3EDA2E">
      <w:numFmt w:val="bullet"/>
      <w:lvlText w:val="•"/>
      <w:lvlJc w:val="left"/>
      <w:pPr>
        <w:ind w:left="874" w:hanging="100"/>
      </w:pPr>
      <w:rPr>
        <w:rFonts w:hint="default"/>
      </w:rPr>
    </w:lvl>
    <w:lvl w:ilvl="4" w:tplc="9D5C4960">
      <w:numFmt w:val="bullet"/>
      <w:lvlText w:val="•"/>
      <w:lvlJc w:val="left"/>
      <w:pPr>
        <w:ind w:left="1112" w:hanging="100"/>
      </w:pPr>
      <w:rPr>
        <w:rFonts w:hint="default"/>
      </w:rPr>
    </w:lvl>
    <w:lvl w:ilvl="5" w:tplc="58E02344">
      <w:numFmt w:val="bullet"/>
      <w:lvlText w:val="•"/>
      <w:lvlJc w:val="left"/>
      <w:pPr>
        <w:ind w:left="1350" w:hanging="100"/>
      </w:pPr>
      <w:rPr>
        <w:rFonts w:hint="default"/>
      </w:rPr>
    </w:lvl>
    <w:lvl w:ilvl="6" w:tplc="2E409E90">
      <w:numFmt w:val="bullet"/>
      <w:lvlText w:val="•"/>
      <w:lvlJc w:val="left"/>
      <w:pPr>
        <w:ind w:left="1588" w:hanging="100"/>
      </w:pPr>
      <w:rPr>
        <w:rFonts w:hint="default"/>
      </w:rPr>
    </w:lvl>
    <w:lvl w:ilvl="7" w:tplc="62B409EC">
      <w:numFmt w:val="bullet"/>
      <w:lvlText w:val="•"/>
      <w:lvlJc w:val="left"/>
      <w:pPr>
        <w:ind w:left="1826" w:hanging="100"/>
      </w:pPr>
      <w:rPr>
        <w:rFonts w:hint="default"/>
      </w:rPr>
    </w:lvl>
    <w:lvl w:ilvl="8" w:tplc="038A045A">
      <w:numFmt w:val="bullet"/>
      <w:lvlText w:val="•"/>
      <w:lvlJc w:val="left"/>
      <w:pPr>
        <w:ind w:left="2064" w:hanging="100"/>
      </w:pPr>
      <w:rPr>
        <w:rFonts w:hint="default"/>
      </w:rPr>
    </w:lvl>
  </w:abstractNum>
  <w:abstractNum w:abstractNumId="290" w15:restartNumberingAfterBreak="0">
    <w:nsid w:val="10FB197A"/>
    <w:multiLevelType w:val="hybridMultilevel"/>
    <w:tmpl w:val="3DE4D37E"/>
    <w:lvl w:ilvl="0" w:tplc="3246FDBE">
      <w:numFmt w:val="bullet"/>
      <w:lvlText w:val=""/>
      <w:lvlJc w:val="left"/>
      <w:pPr>
        <w:ind w:left="157" w:hanging="100"/>
      </w:pPr>
      <w:rPr>
        <w:rFonts w:ascii="Symbol" w:eastAsia="Symbol" w:hAnsi="Symbol" w:cs="Symbol" w:hint="default"/>
        <w:color w:val="231F20"/>
        <w:w w:val="100"/>
        <w:sz w:val="14"/>
        <w:szCs w:val="14"/>
      </w:rPr>
    </w:lvl>
    <w:lvl w:ilvl="1" w:tplc="1B6A0E68">
      <w:numFmt w:val="bullet"/>
      <w:lvlText w:val="•"/>
      <w:lvlJc w:val="left"/>
      <w:pPr>
        <w:ind w:left="369" w:hanging="100"/>
      </w:pPr>
      <w:rPr>
        <w:rFonts w:hint="default"/>
      </w:rPr>
    </w:lvl>
    <w:lvl w:ilvl="2" w:tplc="12E8CE94">
      <w:numFmt w:val="bullet"/>
      <w:lvlText w:val="•"/>
      <w:lvlJc w:val="left"/>
      <w:pPr>
        <w:ind w:left="579" w:hanging="100"/>
      </w:pPr>
      <w:rPr>
        <w:rFonts w:hint="default"/>
      </w:rPr>
    </w:lvl>
    <w:lvl w:ilvl="3" w:tplc="BC22063C">
      <w:numFmt w:val="bullet"/>
      <w:lvlText w:val="•"/>
      <w:lvlJc w:val="left"/>
      <w:pPr>
        <w:ind w:left="789" w:hanging="100"/>
      </w:pPr>
      <w:rPr>
        <w:rFonts w:hint="default"/>
      </w:rPr>
    </w:lvl>
    <w:lvl w:ilvl="4" w:tplc="67104D20">
      <w:numFmt w:val="bullet"/>
      <w:lvlText w:val="•"/>
      <w:lvlJc w:val="left"/>
      <w:pPr>
        <w:ind w:left="998" w:hanging="100"/>
      </w:pPr>
      <w:rPr>
        <w:rFonts w:hint="default"/>
      </w:rPr>
    </w:lvl>
    <w:lvl w:ilvl="5" w:tplc="496623D8">
      <w:numFmt w:val="bullet"/>
      <w:lvlText w:val="•"/>
      <w:lvlJc w:val="left"/>
      <w:pPr>
        <w:ind w:left="1208" w:hanging="100"/>
      </w:pPr>
      <w:rPr>
        <w:rFonts w:hint="default"/>
      </w:rPr>
    </w:lvl>
    <w:lvl w:ilvl="6" w:tplc="688088A8">
      <w:numFmt w:val="bullet"/>
      <w:lvlText w:val="•"/>
      <w:lvlJc w:val="left"/>
      <w:pPr>
        <w:ind w:left="1418" w:hanging="100"/>
      </w:pPr>
      <w:rPr>
        <w:rFonts w:hint="default"/>
      </w:rPr>
    </w:lvl>
    <w:lvl w:ilvl="7" w:tplc="25C2F6AA">
      <w:numFmt w:val="bullet"/>
      <w:lvlText w:val="•"/>
      <w:lvlJc w:val="left"/>
      <w:pPr>
        <w:ind w:left="1627" w:hanging="100"/>
      </w:pPr>
      <w:rPr>
        <w:rFonts w:hint="default"/>
      </w:rPr>
    </w:lvl>
    <w:lvl w:ilvl="8" w:tplc="7C8ED1D2">
      <w:numFmt w:val="bullet"/>
      <w:lvlText w:val="•"/>
      <w:lvlJc w:val="left"/>
      <w:pPr>
        <w:ind w:left="1837" w:hanging="100"/>
      </w:pPr>
      <w:rPr>
        <w:rFonts w:hint="default"/>
      </w:rPr>
    </w:lvl>
  </w:abstractNum>
  <w:abstractNum w:abstractNumId="291" w15:restartNumberingAfterBreak="0">
    <w:nsid w:val="11146F31"/>
    <w:multiLevelType w:val="hybridMultilevel"/>
    <w:tmpl w:val="D7ECF6CA"/>
    <w:lvl w:ilvl="0" w:tplc="644C19B8">
      <w:numFmt w:val="bullet"/>
      <w:lvlText w:val=""/>
      <w:lvlJc w:val="left"/>
      <w:pPr>
        <w:ind w:left="156" w:hanging="100"/>
      </w:pPr>
      <w:rPr>
        <w:rFonts w:ascii="Symbol" w:eastAsia="Symbol" w:hAnsi="Symbol" w:cs="Symbol" w:hint="default"/>
        <w:color w:val="231F20"/>
        <w:w w:val="100"/>
        <w:sz w:val="14"/>
        <w:szCs w:val="14"/>
      </w:rPr>
    </w:lvl>
    <w:lvl w:ilvl="1" w:tplc="E88E2CAE">
      <w:numFmt w:val="bullet"/>
      <w:lvlText w:val="•"/>
      <w:lvlJc w:val="left"/>
      <w:pPr>
        <w:ind w:left="426" w:hanging="100"/>
      </w:pPr>
      <w:rPr>
        <w:rFonts w:hint="default"/>
      </w:rPr>
    </w:lvl>
    <w:lvl w:ilvl="2" w:tplc="6D26DAB6">
      <w:numFmt w:val="bullet"/>
      <w:lvlText w:val="•"/>
      <w:lvlJc w:val="left"/>
      <w:pPr>
        <w:ind w:left="692" w:hanging="100"/>
      </w:pPr>
      <w:rPr>
        <w:rFonts w:hint="default"/>
      </w:rPr>
    </w:lvl>
    <w:lvl w:ilvl="3" w:tplc="20B6704E">
      <w:numFmt w:val="bullet"/>
      <w:lvlText w:val="•"/>
      <w:lvlJc w:val="left"/>
      <w:pPr>
        <w:ind w:left="959" w:hanging="100"/>
      </w:pPr>
      <w:rPr>
        <w:rFonts w:hint="default"/>
      </w:rPr>
    </w:lvl>
    <w:lvl w:ilvl="4" w:tplc="D0C0F846">
      <w:numFmt w:val="bullet"/>
      <w:lvlText w:val="•"/>
      <w:lvlJc w:val="left"/>
      <w:pPr>
        <w:ind w:left="1225" w:hanging="100"/>
      </w:pPr>
      <w:rPr>
        <w:rFonts w:hint="default"/>
      </w:rPr>
    </w:lvl>
    <w:lvl w:ilvl="5" w:tplc="62A491C0">
      <w:numFmt w:val="bullet"/>
      <w:lvlText w:val="•"/>
      <w:lvlJc w:val="left"/>
      <w:pPr>
        <w:ind w:left="1492" w:hanging="100"/>
      </w:pPr>
      <w:rPr>
        <w:rFonts w:hint="default"/>
      </w:rPr>
    </w:lvl>
    <w:lvl w:ilvl="6" w:tplc="E2627C4E">
      <w:numFmt w:val="bullet"/>
      <w:lvlText w:val="•"/>
      <w:lvlJc w:val="left"/>
      <w:pPr>
        <w:ind w:left="1758" w:hanging="100"/>
      </w:pPr>
      <w:rPr>
        <w:rFonts w:hint="default"/>
      </w:rPr>
    </w:lvl>
    <w:lvl w:ilvl="7" w:tplc="288CF23A">
      <w:numFmt w:val="bullet"/>
      <w:lvlText w:val="•"/>
      <w:lvlJc w:val="left"/>
      <w:pPr>
        <w:ind w:left="2024" w:hanging="100"/>
      </w:pPr>
      <w:rPr>
        <w:rFonts w:hint="default"/>
      </w:rPr>
    </w:lvl>
    <w:lvl w:ilvl="8" w:tplc="5DA2A854">
      <w:numFmt w:val="bullet"/>
      <w:lvlText w:val="•"/>
      <w:lvlJc w:val="left"/>
      <w:pPr>
        <w:ind w:left="2291" w:hanging="100"/>
      </w:pPr>
      <w:rPr>
        <w:rFonts w:hint="default"/>
      </w:rPr>
    </w:lvl>
  </w:abstractNum>
  <w:abstractNum w:abstractNumId="292" w15:restartNumberingAfterBreak="0">
    <w:nsid w:val="111E6CE9"/>
    <w:multiLevelType w:val="hybridMultilevel"/>
    <w:tmpl w:val="CEC27A3E"/>
    <w:lvl w:ilvl="0" w:tplc="1F4E65A4">
      <w:numFmt w:val="bullet"/>
      <w:lvlText w:val=""/>
      <w:lvlJc w:val="left"/>
      <w:pPr>
        <w:ind w:left="157" w:hanging="100"/>
      </w:pPr>
      <w:rPr>
        <w:rFonts w:ascii="Symbol" w:eastAsia="Symbol" w:hAnsi="Symbol" w:cs="Symbol" w:hint="default"/>
        <w:color w:val="231F20"/>
        <w:w w:val="100"/>
        <w:sz w:val="14"/>
        <w:szCs w:val="14"/>
      </w:rPr>
    </w:lvl>
    <w:lvl w:ilvl="1" w:tplc="D9C2A04E">
      <w:numFmt w:val="bullet"/>
      <w:lvlText w:val="•"/>
      <w:lvlJc w:val="left"/>
      <w:pPr>
        <w:ind w:left="426" w:hanging="100"/>
      </w:pPr>
      <w:rPr>
        <w:rFonts w:hint="default"/>
      </w:rPr>
    </w:lvl>
    <w:lvl w:ilvl="2" w:tplc="3AEA9A8C">
      <w:numFmt w:val="bullet"/>
      <w:lvlText w:val="•"/>
      <w:lvlJc w:val="left"/>
      <w:pPr>
        <w:ind w:left="692" w:hanging="100"/>
      </w:pPr>
      <w:rPr>
        <w:rFonts w:hint="default"/>
      </w:rPr>
    </w:lvl>
    <w:lvl w:ilvl="3" w:tplc="534E6A88">
      <w:numFmt w:val="bullet"/>
      <w:lvlText w:val="•"/>
      <w:lvlJc w:val="left"/>
      <w:pPr>
        <w:ind w:left="959" w:hanging="100"/>
      </w:pPr>
      <w:rPr>
        <w:rFonts w:hint="default"/>
      </w:rPr>
    </w:lvl>
    <w:lvl w:ilvl="4" w:tplc="579EAEDC">
      <w:numFmt w:val="bullet"/>
      <w:lvlText w:val="•"/>
      <w:lvlJc w:val="left"/>
      <w:pPr>
        <w:ind w:left="1225" w:hanging="100"/>
      </w:pPr>
      <w:rPr>
        <w:rFonts w:hint="default"/>
      </w:rPr>
    </w:lvl>
    <w:lvl w:ilvl="5" w:tplc="CC848B4C">
      <w:numFmt w:val="bullet"/>
      <w:lvlText w:val="•"/>
      <w:lvlJc w:val="left"/>
      <w:pPr>
        <w:ind w:left="1492" w:hanging="100"/>
      </w:pPr>
      <w:rPr>
        <w:rFonts w:hint="default"/>
      </w:rPr>
    </w:lvl>
    <w:lvl w:ilvl="6" w:tplc="6F3E32B0">
      <w:numFmt w:val="bullet"/>
      <w:lvlText w:val="•"/>
      <w:lvlJc w:val="left"/>
      <w:pPr>
        <w:ind w:left="1758" w:hanging="100"/>
      </w:pPr>
      <w:rPr>
        <w:rFonts w:hint="default"/>
      </w:rPr>
    </w:lvl>
    <w:lvl w:ilvl="7" w:tplc="DAE663CE">
      <w:numFmt w:val="bullet"/>
      <w:lvlText w:val="•"/>
      <w:lvlJc w:val="left"/>
      <w:pPr>
        <w:ind w:left="2024" w:hanging="100"/>
      </w:pPr>
      <w:rPr>
        <w:rFonts w:hint="default"/>
      </w:rPr>
    </w:lvl>
    <w:lvl w:ilvl="8" w:tplc="2C041C86">
      <w:numFmt w:val="bullet"/>
      <w:lvlText w:val="•"/>
      <w:lvlJc w:val="left"/>
      <w:pPr>
        <w:ind w:left="2291" w:hanging="100"/>
      </w:pPr>
      <w:rPr>
        <w:rFonts w:hint="default"/>
      </w:rPr>
    </w:lvl>
  </w:abstractNum>
  <w:abstractNum w:abstractNumId="293" w15:restartNumberingAfterBreak="0">
    <w:nsid w:val="112E51F6"/>
    <w:multiLevelType w:val="hybridMultilevel"/>
    <w:tmpl w:val="339A25A4"/>
    <w:lvl w:ilvl="0" w:tplc="4CEAFFE6">
      <w:numFmt w:val="bullet"/>
      <w:lvlText w:val=""/>
      <w:lvlJc w:val="left"/>
      <w:pPr>
        <w:ind w:left="156" w:hanging="100"/>
      </w:pPr>
      <w:rPr>
        <w:rFonts w:ascii="Symbol" w:eastAsia="Symbol" w:hAnsi="Symbol" w:cs="Symbol" w:hint="default"/>
        <w:color w:val="231F20"/>
        <w:w w:val="100"/>
        <w:sz w:val="14"/>
        <w:szCs w:val="14"/>
      </w:rPr>
    </w:lvl>
    <w:lvl w:ilvl="1" w:tplc="B9881638">
      <w:numFmt w:val="bullet"/>
      <w:lvlText w:val="•"/>
      <w:lvlJc w:val="left"/>
      <w:pPr>
        <w:ind w:left="426" w:hanging="100"/>
      </w:pPr>
      <w:rPr>
        <w:rFonts w:hint="default"/>
      </w:rPr>
    </w:lvl>
    <w:lvl w:ilvl="2" w:tplc="D74862DE">
      <w:numFmt w:val="bullet"/>
      <w:lvlText w:val="•"/>
      <w:lvlJc w:val="left"/>
      <w:pPr>
        <w:ind w:left="692" w:hanging="100"/>
      </w:pPr>
      <w:rPr>
        <w:rFonts w:hint="default"/>
      </w:rPr>
    </w:lvl>
    <w:lvl w:ilvl="3" w:tplc="5D5E4F48">
      <w:numFmt w:val="bullet"/>
      <w:lvlText w:val="•"/>
      <w:lvlJc w:val="left"/>
      <w:pPr>
        <w:ind w:left="959" w:hanging="100"/>
      </w:pPr>
      <w:rPr>
        <w:rFonts w:hint="default"/>
      </w:rPr>
    </w:lvl>
    <w:lvl w:ilvl="4" w:tplc="FAAA0360">
      <w:numFmt w:val="bullet"/>
      <w:lvlText w:val="•"/>
      <w:lvlJc w:val="left"/>
      <w:pPr>
        <w:ind w:left="1225" w:hanging="100"/>
      </w:pPr>
      <w:rPr>
        <w:rFonts w:hint="default"/>
      </w:rPr>
    </w:lvl>
    <w:lvl w:ilvl="5" w:tplc="DE2A7F82">
      <w:numFmt w:val="bullet"/>
      <w:lvlText w:val="•"/>
      <w:lvlJc w:val="left"/>
      <w:pPr>
        <w:ind w:left="1492" w:hanging="100"/>
      </w:pPr>
      <w:rPr>
        <w:rFonts w:hint="default"/>
      </w:rPr>
    </w:lvl>
    <w:lvl w:ilvl="6" w:tplc="FE2CAC18">
      <w:numFmt w:val="bullet"/>
      <w:lvlText w:val="•"/>
      <w:lvlJc w:val="left"/>
      <w:pPr>
        <w:ind w:left="1758" w:hanging="100"/>
      </w:pPr>
      <w:rPr>
        <w:rFonts w:hint="default"/>
      </w:rPr>
    </w:lvl>
    <w:lvl w:ilvl="7" w:tplc="987C53B0">
      <w:numFmt w:val="bullet"/>
      <w:lvlText w:val="•"/>
      <w:lvlJc w:val="left"/>
      <w:pPr>
        <w:ind w:left="2024" w:hanging="100"/>
      </w:pPr>
      <w:rPr>
        <w:rFonts w:hint="default"/>
      </w:rPr>
    </w:lvl>
    <w:lvl w:ilvl="8" w:tplc="F1529522">
      <w:numFmt w:val="bullet"/>
      <w:lvlText w:val="•"/>
      <w:lvlJc w:val="left"/>
      <w:pPr>
        <w:ind w:left="2291" w:hanging="100"/>
      </w:pPr>
      <w:rPr>
        <w:rFonts w:hint="default"/>
      </w:rPr>
    </w:lvl>
  </w:abstractNum>
  <w:abstractNum w:abstractNumId="294" w15:restartNumberingAfterBreak="0">
    <w:nsid w:val="11517BC2"/>
    <w:multiLevelType w:val="hybridMultilevel"/>
    <w:tmpl w:val="29F89B70"/>
    <w:lvl w:ilvl="0" w:tplc="BFF0F2B0">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CD443CFA">
      <w:numFmt w:val="bullet"/>
      <w:lvlText w:val="•"/>
      <w:lvlJc w:val="left"/>
      <w:pPr>
        <w:ind w:left="351" w:hanging="84"/>
      </w:pPr>
      <w:rPr>
        <w:rFonts w:hint="default"/>
      </w:rPr>
    </w:lvl>
    <w:lvl w:ilvl="2" w:tplc="C020FE66">
      <w:numFmt w:val="bullet"/>
      <w:lvlText w:val="•"/>
      <w:lvlJc w:val="left"/>
      <w:pPr>
        <w:ind w:left="563" w:hanging="84"/>
      </w:pPr>
      <w:rPr>
        <w:rFonts w:hint="default"/>
      </w:rPr>
    </w:lvl>
    <w:lvl w:ilvl="3" w:tplc="1D825102">
      <w:numFmt w:val="bullet"/>
      <w:lvlText w:val="•"/>
      <w:lvlJc w:val="left"/>
      <w:pPr>
        <w:ind w:left="775" w:hanging="84"/>
      </w:pPr>
      <w:rPr>
        <w:rFonts w:hint="default"/>
      </w:rPr>
    </w:lvl>
    <w:lvl w:ilvl="4" w:tplc="4BA0944E">
      <w:numFmt w:val="bullet"/>
      <w:lvlText w:val="•"/>
      <w:lvlJc w:val="left"/>
      <w:pPr>
        <w:ind w:left="986" w:hanging="84"/>
      </w:pPr>
      <w:rPr>
        <w:rFonts w:hint="default"/>
      </w:rPr>
    </w:lvl>
    <w:lvl w:ilvl="5" w:tplc="1A581344">
      <w:numFmt w:val="bullet"/>
      <w:lvlText w:val="•"/>
      <w:lvlJc w:val="left"/>
      <w:pPr>
        <w:ind w:left="1198" w:hanging="84"/>
      </w:pPr>
      <w:rPr>
        <w:rFonts w:hint="default"/>
      </w:rPr>
    </w:lvl>
    <w:lvl w:ilvl="6" w:tplc="9A76255C">
      <w:numFmt w:val="bullet"/>
      <w:lvlText w:val="•"/>
      <w:lvlJc w:val="left"/>
      <w:pPr>
        <w:ind w:left="1410" w:hanging="84"/>
      </w:pPr>
      <w:rPr>
        <w:rFonts w:hint="default"/>
      </w:rPr>
    </w:lvl>
    <w:lvl w:ilvl="7" w:tplc="BDE0BC18">
      <w:numFmt w:val="bullet"/>
      <w:lvlText w:val="•"/>
      <w:lvlJc w:val="left"/>
      <w:pPr>
        <w:ind w:left="1621" w:hanging="84"/>
      </w:pPr>
      <w:rPr>
        <w:rFonts w:hint="default"/>
      </w:rPr>
    </w:lvl>
    <w:lvl w:ilvl="8" w:tplc="776CF654">
      <w:numFmt w:val="bullet"/>
      <w:lvlText w:val="•"/>
      <w:lvlJc w:val="left"/>
      <w:pPr>
        <w:ind w:left="1833" w:hanging="84"/>
      </w:pPr>
      <w:rPr>
        <w:rFonts w:hint="default"/>
      </w:rPr>
    </w:lvl>
  </w:abstractNum>
  <w:abstractNum w:abstractNumId="295" w15:restartNumberingAfterBreak="0">
    <w:nsid w:val="1159254D"/>
    <w:multiLevelType w:val="hybridMultilevel"/>
    <w:tmpl w:val="76CE61AA"/>
    <w:lvl w:ilvl="0" w:tplc="35927A52">
      <w:numFmt w:val="bullet"/>
      <w:lvlText w:val=""/>
      <w:lvlJc w:val="left"/>
      <w:pPr>
        <w:ind w:left="157" w:hanging="100"/>
      </w:pPr>
      <w:rPr>
        <w:rFonts w:ascii="Symbol" w:eastAsia="Symbol" w:hAnsi="Symbol" w:cs="Symbol" w:hint="default"/>
        <w:color w:val="231F20"/>
        <w:w w:val="100"/>
        <w:sz w:val="14"/>
        <w:szCs w:val="14"/>
      </w:rPr>
    </w:lvl>
    <w:lvl w:ilvl="1" w:tplc="02442444">
      <w:numFmt w:val="bullet"/>
      <w:lvlText w:val="•"/>
      <w:lvlJc w:val="left"/>
      <w:pPr>
        <w:ind w:left="369" w:hanging="100"/>
      </w:pPr>
      <w:rPr>
        <w:rFonts w:hint="default"/>
      </w:rPr>
    </w:lvl>
    <w:lvl w:ilvl="2" w:tplc="A4C253BA">
      <w:numFmt w:val="bullet"/>
      <w:lvlText w:val="•"/>
      <w:lvlJc w:val="left"/>
      <w:pPr>
        <w:ind w:left="579" w:hanging="100"/>
      </w:pPr>
      <w:rPr>
        <w:rFonts w:hint="default"/>
      </w:rPr>
    </w:lvl>
    <w:lvl w:ilvl="3" w:tplc="639CE59A">
      <w:numFmt w:val="bullet"/>
      <w:lvlText w:val="•"/>
      <w:lvlJc w:val="left"/>
      <w:pPr>
        <w:ind w:left="789" w:hanging="100"/>
      </w:pPr>
      <w:rPr>
        <w:rFonts w:hint="default"/>
      </w:rPr>
    </w:lvl>
    <w:lvl w:ilvl="4" w:tplc="F9BA073C">
      <w:numFmt w:val="bullet"/>
      <w:lvlText w:val="•"/>
      <w:lvlJc w:val="left"/>
      <w:pPr>
        <w:ind w:left="998" w:hanging="100"/>
      </w:pPr>
      <w:rPr>
        <w:rFonts w:hint="default"/>
      </w:rPr>
    </w:lvl>
    <w:lvl w:ilvl="5" w:tplc="05A6211E">
      <w:numFmt w:val="bullet"/>
      <w:lvlText w:val="•"/>
      <w:lvlJc w:val="left"/>
      <w:pPr>
        <w:ind w:left="1208" w:hanging="100"/>
      </w:pPr>
      <w:rPr>
        <w:rFonts w:hint="default"/>
      </w:rPr>
    </w:lvl>
    <w:lvl w:ilvl="6" w:tplc="C16AA5E4">
      <w:numFmt w:val="bullet"/>
      <w:lvlText w:val="•"/>
      <w:lvlJc w:val="left"/>
      <w:pPr>
        <w:ind w:left="1418" w:hanging="100"/>
      </w:pPr>
      <w:rPr>
        <w:rFonts w:hint="default"/>
      </w:rPr>
    </w:lvl>
    <w:lvl w:ilvl="7" w:tplc="A190AC6C">
      <w:numFmt w:val="bullet"/>
      <w:lvlText w:val="•"/>
      <w:lvlJc w:val="left"/>
      <w:pPr>
        <w:ind w:left="1627" w:hanging="100"/>
      </w:pPr>
      <w:rPr>
        <w:rFonts w:hint="default"/>
      </w:rPr>
    </w:lvl>
    <w:lvl w:ilvl="8" w:tplc="4C608668">
      <w:numFmt w:val="bullet"/>
      <w:lvlText w:val="•"/>
      <w:lvlJc w:val="left"/>
      <w:pPr>
        <w:ind w:left="1837" w:hanging="100"/>
      </w:pPr>
      <w:rPr>
        <w:rFonts w:hint="default"/>
      </w:rPr>
    </w:lvl>
  </w:abstractNum>
  <w:abstractNum w:abstractNumId="296" w15:restartNumberingAfterBreak="0">
    <w:nsid w:val="116E6BE4"/>
    <w:multiLevelType w:val="hybridMultilevel"/>
    <w:tmpl w:val="9DD8FD74"/>
    <w:lvl w:ilvl="0" w:tplc="EFF631C6">
      <w:numFmt w:val="bullet"/>
      <w:lvlText w:val=""/>
      <w:lvlJc w:val="left"/>
      <w:pPr>
        <w:ind w:left="157" w:hanging="100"/>
      </w:pPr>
      <w:rPr>
        <w:rFonts w:ascii="Symbol" w:eastAsia="Symbol" w:hAnsi="Symbol" w:cs="Symbol" w:hint="default"/>
        <w:color w:val="231F20"/>
        <w:w w:val="100"/>
        <w:sz w:val="14"/>
        <w:szCs w:val="14"/>
      </w:rPr>
    </w:lvl>
    <w:lvl w:ilvl="1" w:tplc="E7B464DC">
      <w:numFmt w:val="bullet"/>
      <w:lvlText w:val="•"/>
      <w:lvlJc w:val="left"/>
      <w:pPr>
        <w:ind w:left="369" w:hanging="100"/>
      </w:pPr>
      <w:rPr>
        <w:rFonts w:hint="default"/>
      </w:rPr>
    </w:lvl>
    <w:lvl w:ilvl="2" w:tplc="ADBCAEE6">
      <w:numFmt w:val="bullet"/>
      <w:lvlText w:val="•"/>
      <w:lvlJc w:val="left"/>
      <w:pPr>
        <w:ind w:left="579" w:hanging="100"/>
      </w:pPr>
      <w:rPr>
        <w:rFonts w:hint="default"/>
      </w:rPr>
    </w:lvl>
    <w:lvl w:ilvl="3" w:tplc="5C28E69E">
      <w:numFmt w:val="bullet"/>
      <w:lvlText w:val="•"/>
      <w:lvlJc w:val="left"/>
      <w:pPr>
        <w:ind w:left="789" w:hanging="100"/>
      </w:pPr>
      <w:rPr>
        <w:rFonts w:hint="default"/>
      </w:rPr>
    </w:lvl>
    <w:lvl w:ilvl="4" w:tplc="E76239CC">
      <w:numFmt w:val="bullet"/>
      <w:lvlText w:val="•"/>
      <w:lvlJc w:val="left"/>
      <w:pPr>
        <w:ind w:left="998" w:hanging="100"/>
      </w:pPr>
      <w:rPr>
        <w:rFonts w:hint="default"/>
      </w:rPr>
    </w:lvl>
    <w:lvl w:ilvl="5" w:tplc="B358AAEE">
      <w:numFmt w:val="bullet"/>
      <w:lvlText w:val="•"/>
      <w:lvlJc w:val="left"/>
      <w:pPr>
        <w:ind w:left="1208" w:hanging="100"/>
      </w:pPr>
      <w:rPr>
        <w:rFonts w:hint="default"/>
      </w:rPr>
    </w:lvl>
    <w:lvl w:ilvl="6" w:tplc="DFE86AD8">
      <w:numFmt w:val="bullet"/>
      <w:lvlText w:val="•"/>
      <w:lvlJc w:val="left"/>
      <w:pPr>
        <w:ind w:left="1418" w:hanging="100"/>
      </w:pPr>
      <w:rPr>
        <w:rFonts w:hint="default"/>
      </w:rPr>
    </w:lvl>
    <w:lvl w:ilvl="7" w:tplc="80D6FBC4">
      <w:numFmt w:val="bullet"/>
      <w:lvlText w:val="•"/>
      <w:lvlJc w:val="left"/>
      <w:pPr>
        <w:ind w:left="1627" w:hanging="100"/>
      </w:pPr>
      <w:rPr>
        <w:rFonts w:hint="default"/>
      </w:rPr>
    </w:lvl>
    <w:lvl w:ilvl="8" w:tplc="5A664F94">
      <w:numFmt w:val="bullet"/>
      <w:lvlText w:val="•"/>
      <w:lvlJc w:val="left"/>
      <w:pPr>
        <w:ind w:left="1837" w:hanging="100"/>
      </w:pPr>
      <w:rPr>
        <w:rFonts w:hint="default"/>
      </w:rPr>
    </w:lvl>
  </w:abstractNum>
  <w:abstractNum w:abstractNumId="297" w15:restartNumberingAfterBreak="0">
    <w:nsid w:val="117445D1"/>
    <w:multiLevelType w:val="hybridMultilevel"/>
    <w:tmpl w:val="2EF27AF4"/>
    <w:lvl w:ilvl="0" w:tplc="50CAE03E">
      <w:numFmt w:val="bullet"/>
      <w:lvlText w:val=""/>
      <w:lvlJc w:val="left"/>
      <w:pPr>
        <w:ind w:left="157" w:hanging="100"/>
      </w:pPr>
      <w:rPr>
        <w:rFonts w:ascii="Symbol" w:eastAsia="Symbol" w:hAnsi="Symbol" w:cs="Symbol" w:hint="default"/>
        <w:color w:val="231F20"/>
        <w:w w:val="100"/>
        <w:sz w:val="14"/>
        <w:szCs w:val="14"/>
      </w:rPr>
    </w:lvl>
    <w:lvl w:ilvl="1" w:tplc="56D22FF6">
      <w:numFmt w:val="bullet"/>
      <w:lvlText w:val="•"/>
      <w:lvlJc w:val="left"/>
      <w:pPr>
        <w:ind w:left="369" w:hanging="100"/>
      </w:pPr>
      <w:rPr>
        <w:rFonts w:hint="default"/>
      </w:rPr>
    </w:lvl>
    <w:lvl w:ilvl="2" w:tplc="43FA427C">
      <w:numFmt w:val="bullet"/>
      <w:lvlText w:val="•"/>
      <w:lvlJc w:val="left"/>
      <w:pPr>
        <w:ind w:left="579" w:hanging="100"/>
      </w:pPr>
      <w:rPr>
        <w:rFonts w:hint="default"/>
      </w:rPr>
    </w:lvl>
    <w:lvl w:ilvl="3" w:tplc="FE628FCC">
      <w:numFmt w:val="bullet"/>
      <w:lvlText w:val="•"/>
      <w:lvlJc w:val="left"/>
      <w:pPr>
        <w:ind w:left="789" w:hanging="100"/>
      </w:pPr>
      <w:rPr>
        <w:rFonts w:hint="default"/>
      </w:rPr>
    </w:lvl>
    <w:lvl w:ilvl="4" w:tplc="0F2C7C56">
      <w:numFmt w:val="bullet"/>
      <w:lvlText w:val="•"/>
      <w:lvlJc w:val="left"/>
      <w:pPr>
        <w:ind w:left="998" w:hanging="100"/>
      </w:pPr>
      <w:rPr>
        <w:rFonts w:hint="default"/>
      </w:rPr>
    </w:lvl>
    <w:lvl w:ilvl="5" w:tplc="72B276E6">
      <w:numFmt w:val="bullet"/>
      <w:lvlText w:val="•"/>
      <w:lvlJc w:val="left"/>
      <w:pPr>
        <w:ind w:left="1208" w:hanging="100"/>
      </w:pPr>
      <w:rPr>
        <w:rFonts w:hint="default"/>
      </w:rPr>
    </w:lvl>
    <w:lvl w:ilvl="6" w:tplc="F2182382">
      <w:numFmt w:val="bullet"/>
      <w:lvlText w:val="•"/>
      <w:lvlJc w:val="left"/>
      <w:pPr>
        <w:ind w:left="1418" w:hanging="100"/>
      </w:pPr>
      <w:rPr>
        <w:rFonts w:hint="default"/>
      </w:rPr>
    </w:lvl>
    <w:lvl w:ilvl="7" w:tplc="8BCA33EA">
      <w:numFmt w:val="bullet"/>
      <w:lvlText w:val="•"/>
      <w:lvlJc w:val="left"/>
      <w:pPr>
        <w:ind w:left="1627" w:hanging="100"/>
      </w:pPr>
      <w:rPr>
        <w:rFonts w:hint="default"/>
      </w:rPr>
    </w:lvl>
    <w:lvl w:ilvl="8" w:tplc="1CFC5932">
      <w:numFmt w:val="bullet"/>
      <w:lvlText w:val="•"/>
      <w:lvlJc w:val="left"/>
      <w:pPr>
        <w:ind w:left="1837" w:hanging="100"/>
      </w:pPr>
      <w:rPr>
        <w:rFonts w:hint="default"/>
      </w:rPr>
    </w:lvl>
  </w:abstractNum>
  <w:abstractNum w:abstractNumId="298" w15:restartNumberingAfterBreak="0">
    <w:nsid w:val="117B4A2E"/>
    <w:multiLevelType w:val="hybridMultilevel"/>
    <w:tmpl w:val="08B69822"/>
    <w:lvl w:ilvl="0" w:tplc="C2526574">
      <w:numFmt w:val="bullet"/>
      <w:lvlText w:val=""/>
      <w:lvlJc w:val="left"/>
      <w:pPr>
        <w:ind w:left="156" w:hanging="100"/>
      </w:pPr>
      <w:rPr>
        <w:rFonts w:ascii="Symbol" w:eastAsia="Symbol" w:hAnsi="Symbol" w:cs="Symbol" w:hint="default"/>
        <w:color w:val="231F20"/>
        <w:w w:val="100"/>
        <w:sz w:val="14"/>
        <w:szCs w:val="14"/>
      </w:rPr>
    </w:lvl>
    <w:lvl w:ilvl="1" w:tplc="B3F40DB6">
      <w:numFmt w:val="bullet"/>
      <w:lvlText w:val="•"/>
      <w:lvlJc w:val="left"/>
      <w:pPr>
        <w:ind w:left="398" w:hanging="100"/>
      </w:pPr>
      <w:rPr>
        <w:rFonts w:hint="default"/>
      </w:rPr>
    </w:lvl>
    <w:lvl w:ilvl="2" w:tplc="39586398">
      <w:numFmt w:val="bullet"/>
      <w:lvlText w:val="•"/>
      <w:lvlJc w:val="left"/>
      <w:pPr>
        <w:ind w:left="636" w:hanging="100"/>
      </w:pPr>
      <w:rPr>
        <w:rFonts w:hint="default"/>
      </w:rPr>
    </w:lvl>
    <w:lvl w:ilvl="3" w:tplc="26A28000">
      <w:numFmt w:val="bullet"/>
      <w:lvlText w:val="•"/>
      <w:lvlJc w:val="left"/>
      <w:pPr>
        <w:ind w:left="874" w:hanging="100"/>
      </w:pPr>
      <w:rPr>
        <w:rFonts w:hint="default"/>
      </w:rPr>
    </w:lvl>
    <w:lvl w:ilvl="4" w:tplc="F06022A2">
      <w:numFmt w:val="bullet"/>
      <w:lvlText w:val="•"/>
      <w:lvlJc w:val="left"/>
      <w:pPr>
        <w:ind w:left="1112" w:hanging="100"/>
      </w:pPr>
      <w:rPr>
        <w:rFonts w:hint="default"/>
      </w:rPr>
    </w:lvl>
    <w:lvl w:ilvl="5" w:tplc="1BC24ADA">
      <w:numFmt w:val="bullet"/>
      <w:lvlText w:val="•"/>
      <w:lvlJc w:val="left"/>
      <w:pPr>
        <w:ind w:left="1350" w:hanging="100"/>
      </w:pPr>
      <w:rPr>
        <w:rFonts w:hint="default"/>
      </w:rPr>
    </w:lvl>
    <w:lvl w:ilvl="6" w:tplc="F2C05616">
      <w:numFmt w:val="bullet"/>
      <w:lvlText w:val="•"/>
      <w:lvlJc w:val="left"/>
      <w:pPr>
        <w:ind w:left="1588" w:hanging="100"/>
      </w:pPr>
      <w:rPr>
        <w:rFonts w:hint="default"/>
      </w:rPr>
    </w:lvl>
    <w:lvl w:ilvl="7" w:tplc="17BE2650">
      <w:numFmt w:val="bullet"/>
      <w:lvlText w:val="•"/>
      <w:lvlJc w:val="left"/>
      <w:pPr>
        <w:ind w:left="1826" w:hanging="100"/>
      </w:pPr>
      <w:rPr>
        <w:rFonts w:hint="default"/>
      </w:rPr>
    </w:lvl>
    <w:lvl w:ilvl="8" w:tplc="2A6247E2">
      <w:numFmt w:val="bullet"/>
      <w:lvlText w:val="•"/>
      <w:lvlJc w:val="left"/>
      <w:pPr>
        <w:ind w:left="2064" w:hanging="100"/>
      </w:pPr>
      <w:rPr>
        <w:rFonts w:hint="default"/>
      </w:rPr>
    </w:lvl>
  </w:abstractNum>
  <w:abstractNum w:abstractNumId="299" w15:restartNumberingAfterBreak="0">
    <w:nsid w:val="118C6AE2"/>
    <w:multiLevelType w:val="hybridMultilevel"/>
    <w:tmpl w:val="7CC655D0"/>
    <w:lvl w:ilvl="0" w:tplc="64F6C504">
      <w:numFmt w:val="bullet"/>
      <w:lvlText w:val=""/>
      <w:lvlJc w:val="left"/>
      <w:pPr>
        <w:ind w:left="156" w:hanging="100"/>
      </w:pPr>
      <w:rPr>
        <w:rFonts w:ascii="Symbol" w:eastAsia="Symbol" w:hAnsi="Symbol" w:cs="Symbol" w:hint="default"/>
        <w:color w:val="231F20"/>
        <w:w w:val="100"/>
        <w:sz w:val="14"/>
        <w:szCs w:val="14"/>
      </w:rPr>
    </w:lvl>
    <w:lvl w:ilvl="1" w:tplc="D4B24176">
      <w:numFmt w:val="bullet"/>
      <w:lvlText w:val="•"/>
      <w:lvlJc w:val="left"/>
      <w:pPr>
        <w:ind w:left="301" w:hanging="100"/>
      </w:pPr>
      <w:rPr>
        <w:rFonts w:hint="default"/>
      </w:rPr>
    </w:lvl>
    <w:lvl w:ilvl="2" w:tplc="BF6E6D54">
      <w:numFmt w:val="bullet"/>
      <w:lvlText w:val="•"/>
      <w:lvlJc w:val="left"/>
      <w:pPr>
        <w:ind w:left="443" w:hanging="100"/>
      </w:pPr>
      <w:rPr>
        <w:rFonts w:hint="default"/>
      </w:rPr>
    </w:lvl>
    <w:lvl w:ilvl="3" w:tplc="A698C686">
      <w:numFmt w:val="bullet"/>
      <w:lvlText w:val="•"/>
      <w:lvlJc w:val="left"/>
      <w:pPr>
        <w:ind w:left="585" w:hanging="100"/>
      </w:pPr>
      <w:rPr>
        <w:rFonts w:hint="default"/>
      </w:rPr>
    </w:lvl>
    <w:lvl w:ilvl="4" w:tplc="8E2E105E">
      <w:numFmt w:val="bullet"/>
      <w:lvlText w:val="•"/>
      <w:lvlJc w:val="left"/>
      <w:pPr>
        <w:ind w:left="726" w:hanging="100"/>
      </w:pPr>
      <w:rPr>
        <w:rFonts w:hint="default"/>
      </w:rPr>
    </w:lvl>
    <w:lvl w:ilvl="5" w:tplc="5484CACE">
      <w:numFmt w:val="bullet"/>
      <w:lvlText w:val="•"/>
      <w:lvlJc w:val="left"/>
      <w:pPr>
        <w:ind w:left="868" w:hanging="100"/>
      </w:pPr>
      <w:rPr>
        <w:rFonts w:hint="default"/>
      </w:rPr>
    </w:lvl>
    <w:lvl w:ilvl="6" w:tplc="D586F9C4">
      <w:numFmt w:val="bullet"/>
      <w:lvlText w:val="•"/>
      <w:lvlJc w:val="left"/>
      <w:pPr>
        <w:ind w:left="1010" w:hanging="100"/>
      </w:pPr>
      <w:rPr>
        <w:rFonts w:hint="default"/>
      </w:rPr>
    </w:lvl>
    <w:lvl w:ilvl="7" w:tplc="98DA7ACA">
      <w:numFmt w:val="bullet"/>
      <w:lvlText w:val="•"/>
      <w:lvlJc w:val="left"/>
      <w:pPr>
        <w:ind w:left="1151" w:hanging="100"/>
      </w:pPr>
      <w:rPr>
        <w:rFonts w:hint="default"/>
      </w:rPr>
    </w:lvl>
    <w:lvl w:ilvl="8" w:tplc="3000B586">
      <w:numFmt w:val="bullet"/>
      <w:lvlText w:val="•"/>
      <w:lvlJc w:val="left"/>
      <w:pPr>
        <w:ind w:left="1293" w:hanging="100"/>
      </w:pPr>
      <w:rPr>
        <w:rFonts w:hint="default"/>
      </w:rPr>
    </w:lvl>
  </w:abstractNum>
  <w:abstractNum w:abstractNumId="300" w15:restartNumberingAfterBreak="0">
    <w:nsid w:val="119E022F"/>
    <w:multiLevelType w:val="hybridMultilevel"/>
    <w:tmpl w:val="CE3EBA9A"/>
    <w:lvl w:ilvl="0" w:tplc="4DAC48CA">
      <w:numFmt w:val="bullet"/>
      <w:lvlText w:val=""/>
      <w:lvlJc w:val="left"/>
      <w:pPr>
        <w:ind w:left="157" w:hanging="100"/>
      </w:pPr>
      <w:rPr>
        <w:rFonts w:ascii="Symbol" w:eastAsia="Symbol" w:hAnsi="Symbol" w:cs="Symbol" w:hint="default"/>
        <w:color w:val="231F20"/>
        <w:w w:val="100"/>
        <w:sz w:val="14"/>
        <w:szCs w:val="14"/>
      </w:rPr>
    </w:lvl>
    <w:lvl w:ilvl="1" w:tplc="D2AEE5DA">
      <w:numFmt w:val="bullet"/>
      <w:lvlText w:val="•"/>
      <w:lvlJc w:val="left"/>
      <w:pPr>
        <w:ind w:left="398" w:hanging="100"/>
      </w:pPr>
      <w:rPr>
        <w:rFonts w:hint="default"/>
      </w:rPr>
    </w:lvl>
    <w:lvl w:ilvl="2" w:tplc="86C6DAFC">
      <w:numFmt w:val="bullet"/>
      <w:lvlText w:val="•"/>
      <w:lvlJc w:val="left"/>
      <w:pPr>
        <w:ind w:left="636" w:hanging="100"/>
      </w:pPr>
      <w:rPr>
        <w:rFonts w:hint="default"/>
      </w:rPr>
    </w:lvl>
    <w:lvl w:ilvl="3" w:tplc="905C946E">
      <w:numFmt w:val="bullet"/>
      <w:lvlText w:val="•"/>
      <w:lvlJc w:val="left"/>
      <w:pPr>
        <w:ind w:left="874" w:hanging="100"/>
      </w:pPr>
      <w:rPr>
        <w:rFonts w:hint="default"/>
      </w:rPr>
    </w:lvl>
    <w:lvl w:ilvl="4" w:tplc="A68E04B6">
      <w:numFmt w:val="bullet"/>
      <w:lvlText w:val="•"/>
      <w:lvlJc w:val="left"/>
      <w:pPr>
        <w:ind w:left="1112" w:hanging="100"/>
      </w:pPr>
      <w:rPr>
        <w:rFonts w:hint="default"/>
      </w:rPr>
    </w:lvl>
    <w:lvl w:ilvl="5" w:tplc="FFB8DD0A">
      <w:numFmt w:val="bullet"/>
      <w:lvlText w:val="•"/>
      <w:lvlJc w:val="left"/>
      <w:pPr>
        <w:ind w:left="1350" w:hanging="100"/>
      </w:pPr>
      <w:rPr>
        <w:rFonts w:hint="default"/>
      </w:rPr>
    </w:lvl>
    <w:lvl w:ilvl="6" w:tplc="771A7BE4">
      <w:numFmt w:val="bullet"/>
      <w:lvlText w:val="•"/>
      <w:lvlJc w:val="left"/>
      <w:pPr>
        <w:ind w:left="1588" w:hanging="100"/>
      </w:pPr>
      <w:rPr>
        <w:rFonts w:hint="default"/>
      </w:rPr>
    </w:lvl>
    <w:lvl w:ilvl="7" w:tplc="3EF83684">
      <w:numFmt w:val="bullet"/>
      <w:lvlText w:val="•"/>
      <w:lvlJc w:val="left"/>
      <w:pPr>
        <w:ind w:left="1826" w:hanging="100"/>
      </w:pPr>
      <w:rPr>
        <w:rFonts w:hint="default"/>
      </w:rPr>
    </w:lvl>
    <w:lvl w:ilvl="8" w:tplc="E5F0D0D0">
      <w:numFmt w:val="bullet"/>
      <w:lvlText w:val="•"/>
      <w:lvlJc w:val="left"/>
      <w:pPr>
        <w:ind w:left="2064" w:hanging="100"/>
      </w:pPr>
      <w:rPr>
        <w:rFonts w:hint="default"/>
      </w:rPr>
    </w:lvl>
  </w:abstractNum>
  <w:abstractNum w:abstractNumId="301" w15:restartNumberingAfterBreak="0">
    <w:nsid w:val="11AB09E7"/>
    <w:multiLevelType w:val="hybridMultilevel"/>
    <w:tmpl w:val="3CF60A16"/>
    <w:lvl w:ilvl="0" w:tplc="596ACC44">
      <w:numFmt w:val="bullet"/>
      <w:lvlText w:val=""/>
      <w:lvlJc w:val="left"/>
      <w:pPr>
        <w:ind w:left="156" w:hanging="100"/>
      </w:pPr>
      <w:rPr>
        <w:rFonts w:ascii="Symbol" w:eastAsia="Symbol" w:hAnsi="Symbol" w:cs="Symbol" w:hint="default"/>
        <w:color w:val="231F20"/>
        <w:w w:val="100"/>
        <w:sz w:val="14"/>
        <w:szCs w:val="14"/>
      </w:rPr>
    </w:lvl>
    <w:lvl w:ilvl="1" w:tplc="C15C6334">
      <w:numFmt w:val="bullet"/>
      <w:lvlText w:val="•"/>
      <w:lvlJc w:val="left"/>
      <w:pPr>
        <w:ind w:left="398" w:hanging="100"/>
      </w:pPr>
      <w:rPr>
        <w:rFonts w:hint="default"/>
      </w:rPr>
    </w:lvl>
    <w:lvl w:ilvl="2" w:tplc="430C7D80">
      <w:numFmt w:val="bullet"/>
      <w:lvlText w:val="•"/>
      <w:lvlJc w:val="left"/>
      <w:pPr>
        <w:ind w:left="636" w:hanging="100"/>
      </w:pPr>
      <w:rPr>
        <w:rFonts w:hint="default"/>
      </w:rPr>
    </w:lvl>
    <w:lvl w:ilvl="3" w:tplc="13CE1A06">
      <w:numFmt w:val="bullet"/>
      <w:lvlText w:val="•"/>
      <w:lvlJc w:val="left"/>
      <w:pPr>
        <w:ind w:left="874" w:hanging="100"/>
      </w:pPr>
      <w:rPr>
        <w:rFonts w:hint="default"/>
      </w:rPr>
    </w:lvl>
    <w:lvl w:ilvl="4" w:tplc="BF8A8646">
      <w:numFmt w:val="bullet"/>
      <w:lvlText w:val="•"/>
      <w:lvlJc w:val="left"/>
      <w:pPr>
        <w:ind w:left="1112" w:hanging="100"/>
      </w:pPr>
      <w:rPr>
        <w:rFonts w:hint="default"/>
      </w:rPr>
    </w:lvl>
    <w:lvl w:ilvl="5" w:tplc="B1A246F8">
      <w:numFmt w:val="bullet"/>
      <w:lvlText w:val="•"/>
      <w:lvlJc w:val="left"/>
      <w:pPr>
        <w:ind w:left="1350" w:hanging="100"/>
      </w:pPr>
      <w:rPr>
        <w:rFonts w:hint="default"/>
      </w:rPr>
    </w:lvl>
    <w:lvl w:ilvl="6" w:tplc="27FEB1DE">
      <w:numFmt w:val="bullet"/>
      <w:lvlText w:val="•"/>
      <w:lvlJc w:val="left"/>
      <w:pPr>
        <w:ind w:left="1588" w:hanging="100"/>
      </w:pPr>
      <w:rPr>
        <w:rFonts w:hint="default"/>
      </w:rPr>
    </w:lvl>
    <w:lvl w:ilvl="7" w:tplc="2D28BCD4">
      <w:numFmt w:val="bullet"/>
      <w:lvlText w:val="•"/>
      <w:lvlJc w:val="left"/>
      <w:pPr>
        <w:ind w:left="1826" w:hanging="100"/>
      </w:pPr>
      <w:rPr>
        <w:rFonts w:hint="default"/>
      </w:rPr>
    </w:lvl>
    <w:lvl w:ilvl="8" w:tplc="C44E7544">
      <w:numFmt w:val="bullet"/>
      <w:lvlText w:val="•"/>
      <w:lvlJc w:val="left"/>
      <w:pPr>
        <w:ind w:left="2064" w:hanging="100"/>
      </w:pPr>
      <w:rPr>
        <w:rFonts w:hint="default"/>
      </w:rPr>
    </w:lvl>
  </w:abstractNum>
  <w:abstractNum w:abstractNumId="302" w15:restartNumberingAfterBreak="0">
    <w:nsid w:val="11D713E7"/>
    <w:multiLevelType w:val="hybridMultilevel"/>
    <w:tmpl w:val="833CF670"/>
    <w:lvl w:ilvl="0" w:tplc="C8EEEED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24461862">
      <w:numFmt w:val="bullet"/>
      <w:lvlText w:val="•"/>
      <w:lvlJc w:val="left"/>
      <w:pPr>
        <w:ind w:left="408" w:hanging="84"/>
      </w:pPr>
      <w:rPr>
        <w:rFonts w:hint="default"/>
      </w:rPr>
    </w:lvl>
    <w:lvl w:ilvl="2" w:tplc="CF2201FA">
      <w:numFmt w:val="bullet"/>
      <w:lvlText w:val="•"/>
      <w:lvlJc w:val="left"/>
      <w:pPr>
        <w:ind w:left="676" w:hanging="84"/>
      </w:pPr>
      <w:rPr>
        <w:rFonts w:hint="default"/>
      </w:rPr>
    </w:lvl>
    <w:lvl w:ilvl="3" w:tplc="2E4ED1C8">
      <w:numFmt w:val="bullet"/>
      <w:lvlText w:val="•"/>
      <w:lvlJc w:val="left"/>
      <w:pPr>
        <w:ind w:left="945" w:hanging="84"/>
      </w:pPr>
      <w:rPr>
        <w:rFonts w:hint="default"/>
      </w:rPr>
    </w:lvl>
    <w:lvl w:ilvl="4" w:tplc="819A8886">
      <w:numFmt w:val="bullet"/>
      <w:lvlText w:val="•"/>
      <w:lvlJc w:val="left"/>
      <w:pPr>
        <w:ind w:left="1213" w:hanging="84"/>
      </w:pPr>
      <w:rPr>
        <w:rFonts w:hint="default"/>
      </w:rPr>
    </w:lvl>
    <w:lvl w:ilvl="5" w:tplc="152A4B1A">
      <w:numFmt w:val="bullet"/>
      <w:lvlText w:val="•"/>
      <w:lvlJc w:val="left"/>
      <w:pPr>
        <w:ind w:left="1482" w:hanging="84"/>
      </w:pPr>
      <w:rPr>
        <w:rFonts w:hint="default"/>
      </w:rPr>
    </w:lvl>
    <w:lvl w:ilvl="6" w:tplc="931AEDF2">
      <w:numFmt w:val="bullet"/>
      <w:lvlText w:val="•"/>
      <w:lvlJc w:val="left"/>
      <w:pPr>
        <w:ind w:left="1750" w:hanging="84"/>
      </w:pPr>
      <w:rPr>
        <w:rFonts w:hint="default"/>
      </w:rPr>
    </w:lvl>
    <w:lvl w:ilvl="7" w:tplc="DD2C8EEA">
      <w:numFmt w:val="bullet"/>
      <w:lvlText w:val="•"/>
      <w:lvlJc w:val="left"/>
      <w:pPr>
        <w:ind w:left="2018" w:hanging="84"/>
      </w:pPr>
      <w:rPr>
        <w:rFonts w:hint="default"/>
      </w:rPr>
    </w:lvl>
    <w:lvl w:ilvl="8" w:tplc="182EF6B8">
      <w:numFmt w:val="bullet"/>
      <w:lvlText w:val="•"/>
      <w:lvlJc w:val="left"/>
      <w:pPr>
        <w:ind w:left="2287" w:hanging="84"/>
      </w:pPr>
      <w:rPr>
        <w:rFonts w:hint="default"/>
      </w:rPr>
    </w:lvl>
  </w:abstractNum>
  <w:abstractNum w:abstractNumId="303" w15:restartNumberingAfterBreak="0">
    <w:nsid w:val="1202015D"/>
    <w:multiLevelType w:val="hybridMultilevel"/>
    <w:tmpl w:val="1AA22EA4"/>
    <w:lvl w:ilvl="0" w:tplc="CCC89648">
      <w:numFmt w:val="bullet"/>
      <w:lvlText w:val="–"/>
      <w:lvlJc w:val="left"/>
      <w:pPr>
        <w:ind w:left="163" w:hanging="105"/>
      </w:pPr>
      <w:rPr>
        <w:rFonts w:ascii="Times New Roman" w:eastAsia="Times New Roman" w:hAnsi="Times New Roman" w:cs="Times New Roman" w:hint="default"/>
        <w:color w:val="231F20"/>
        <w:spacing w:val="-8"/>
        <w:w w:val="100"/>
        <w:sz w:val="14"/>
        <w:szCs w:val="14"/>
      </w:rPr>
    </w:lvl>
    <w:lvl w:ilvl="1" w:tplc="C1A8D38A">
      <w:numFmt w:val="bullet"/>
      <w:lvlText w:val="•"/>
      <w:lvlJc w:val="left"/>
      <w:pPr>
        <w:ind w:left="240" w:hanging="105"/>
      </w:pPr>
      <w:rPr>
        <w:rFonts w:hint="default"/>
      </w:rPr>
    </w:lvl>
    <w:lvl w:ilvl="2" w:tplc="E7486368">
      <w:numFmt w:val="bullet"/>
      <w:lvlText w:val="•"/>
      <w:lvlJc w:val="left"/>
      <w:pPr>
        <w:ind w:left="464" w:hanging="105"/>
      </w:pPr>
      <w:rPr>
        <w:rFonts w:hint="default"/>
      </w:rPr>
    </w:lvl>
    <w:lvl w:ilvl="3" w:tplc="F18ABC88">
      <w:numFmt w:val="bullet"/>
      <w:lvlText w:val="•"/>
      <w:lvlJc w:val="left"/>
      <w:pPr>
        <w:ind w:left="688" w:hanging="105"/>
      </w:pPr>
      <w:rPr>
        <w:rFonts w:hint="default"/>
      </w:rPr>
    </w:lvl>
    <w:lvl w:ilvl="4" w:tplc="455088DA">
      <w:numFmt w:val="bullet"/>
      <w:lvlText w:val="•"/>
      <w:lvlJc w:val="left"/>
      <w:pPr>
        <w:ind w:left="912" w:hanging="105"/>
      </w:pPr>
      <w:rPr>
        <w:rFonts w:hint="default"/>
      </w:rPr>
    </w:lvl>
    <w:lvl w:ilvl="5" w:tplc="8924C7CC">
      <w:numFmt w:val="bullet"/>
      <w:lvlText w:val="•"/>
      <w:lvlJc w:val="left"/>
      <w:pPr>
        <w:ind w:left="1136" w:hanging="105"/>
      </w:pPr>
      <w:rPr>
        <w:rFonts w:hint="default"/>
      </w:rPr>
    </w:lvl>
    <w:lvl w:ilvl="6" w:tplc="957C206C">
      <w:numFmt w:val="bullet"/>
      <w:lvlText w:val="•"/>
      <w:lvlJc w:val="left"/>
      <w:pPr>
        <w:ind w:left="1360" w:hanging="105"/>
      </w:pPr>
      <w:rPr>
        <w:rFonts w:hint="default"/>
      </w:rPr>
    </w:lvl>
    <w:lvl w:ilvl="7" w:tplc="2902A540">
      <w:numFmt w:val="bullet"/>
      <w:lvlText w:val="•"/>
      <w:lvlJc w:val="left"/>
      <w:pPr>
        <w:ind w:left="1584" w:hanging="105"/>
      </w:pPr>
      <w:rPr>
        <w:rFonts w:hint="default"/>
      </w:rPr>
    </w:lvl>
    <w:lvl w:ilvl="8" w:tplc="11B47664">
      <w:numFmt w:val="bullet"/>
      <w:lvlText w:val="•"/>
      <w:lvlJc w:val="left"/>
      <w:pPr>
        <w:ind w:left="1808" w:hanging="105"/>
      </w:pPr>
      <w:rPr>
        <w:rFonts w:hint="default"/>
      </w:rPr>
    </w:lvl>
  </w:abstractNum>
  <w:abstractNum w:abstractNumId="304" w15:restartNumberingAfterBreak="0">
    <w:nsid w:val="12157489"/>
    <w:multiLevelType w:val="hybridMultilevel"/>
    <w:tmpl w:val="ECB6A640"/>
    <w:lvl w:ilvl="0" w:tplc="71BE1C26">
      <w:numFmt w:val="bullet"/>
      <w:lvlText w:val=""/>
      <w:lvlJc w:val="left"/>
      <w:pPr>
        <w:ind w:left="156" w:hanging="100"/>
      </w:pPr>
      <w:rPr>
        <w:rFonts w:ascii="Symbol" w:eastAsia="Symbol" w:hAnsi="Symbol" w:cs="Symbol" w:hint="default"/>
        <w:color w:val="231F20"/>
        <w:w w:val="100"/>
        <w:sz w:val="14"/>
        <w:szCs w:val="14"/>
      </w:rPr>
    </w:lvl>
    <w:lvl w:ilvl="1" w:tplc="32541116">
      <w:numFmt w:val="bullet"/>
      <w:lvlText w:val="•"/>
      <w:lvlJc w:val="left"/>
      <w:pPr>
        <w:ind w:left="301" w:hanging="100"/>
      </w:pPr>
      <w:rPr>
        <w:rFonts w:hint="default"/>
      </w:rPr>
    </w:lvl>
    <w:lvl w:ilvl="2" w:tplc="E7FC341E">
      <w:numFmt w:val="bullet"/>
      <w:lvlText w:val="•"/>
      <w:lvlJc w:val="left"/>
      <w:pPr>
        <w:ind w:left="443" w:hanging="100"/>
      </w:pPr>
      <w:rPr>
        <w:rFonts w:hint="default"/>
      </w:rPr>
    </w:lvl>
    <w:lvl w:ilvl="3" w:tplc="C91EF9CA">
      <w:numFmt w:val="bullet"/>
      <w:lvlText w:val="•"/>
      <w:lvlJc w:val="left"/>
      <w:pPr>
        <w:ind w:left="585" w:hanging="100"/>
      </w:pPr>
      <w:rPr>
        <w:rFonts w:hint="default"/>
      </w:rPr>
    </w:lvl>
    <w:lvl w:ilvl="4" w:tplc="7878372C">
      <w:numFmt w:val="bullet"/>
      <w:lvlText w:val="•"/>
      <w:lvlJc w:val="left"/>
      <w:pPr>
        <w:ind w:left="726" w:hanging="100"/>
      </w:pPr>
      <w:rPr>
        <w:rFonts w:hint="default"/>
      </w:rPr>
    </w:lvl>
    <w:lvl w:ilvl="5" w:tplc="DA6A9F0A">
      <w:numFmt w:val="bullet"/>
      <w:lvlText w:val="•"/>
      <w:lvlJc w:val="left"/>
      <w:pPr>
        <w:ind w:left="868" w:hanging="100"/>
      </w:pPr>
      <w:rPr>
        <w:rFonts w:hint="default"/>
      </w:rPr>
    </w:lvl>
    <w:lvl w:ilvl="6" w:tplc="DED4130C">
      <w:numFmt w:val="bullet"/>
      <w:lvlText w:val="•"/>
      <w:lvlJc w:val="left"/>
      <w:pPr>
        <w:ind w:left="1010" w:hanging="100"/>
      </w:pPr>
      <w:rPr>
        <w:rFonts w:hint="default"/>
      </w:rPr>
    </w:lvl>
    <w:lvl w:ilvl="7" w:tplc="FC1C4AE6">
      <w:numFmt w:val="bullet"/>
      <w:lvlText w:val="•"/>
      <w:lvlJc w:val="left"/>
      <w:pPr>
        <w:ind w:left="1151" w:hanging="100"/>
      </w:pPr>
      <w:rPr>
        <w:rFonts w:hint="default"/>
      </w:rPr>
    </w:lvl>
    <w:lvl w:ilvl="8" w:tplc="C660E0D6">
      <w:numFmt w:val="bullet"/>
      <w:lvlText w:val="•"/>
      <w:lvlJc w:val="left"/>
      <w:pPr>
        <w:ind w:left="1293" w:hanging="100"/>
      </w:pPr>
      <w:rPr>
        <w:rFonts w:hint="default"/>
      </w:rPr>
    </w:lvl>
  </w:abstractNum>
  <w:abstractNum w:abstractNumId="305" w15:restartNumberingAfterBreak="0">
    <w:nsid w:val="1240534E"/>
    <w:multiLevelType w:val="hybridMultilevel"/>
    <w:tmpl w:val="175EE78E"/>
    <w:lvl w:ilvl="0" w:tplc="B51094B4">
      <w:numFmt w:val="bullet"/>
      <w:lvlText w:val=""/>
      <w:lvlJc w:val="left"/>
      <w:pPr>
        <w:ind w:left="156" w:hanging="100"/>
      </w:pPr>
      <w:rPr>
        <w:rFonts w:ascii="Symbol" w:eastAsia="Symbol" w:hAnsi="Symbol" w:cs="Symbol" w:hint="default"/>
        <w:color w:val="231F20"/>
        <w:w w:val="100"/>
        <w:sz w:val="14"/>
        <w:szCs w:val="14"/>
      </w:rPr>
    </w:lvl>
    <w:lvl w:ilvl="1" w:tplc="4BF468BA">
      <w:numFmt w:val="bullet"/>
      <w:lvlText w:val="•"/>
      <w:lvlJc w:val="left"/>
      <w:pPr>
        <w:ind w:left="398" w:hanging="100"/>
      </w:pPr>
      <w:rPr>
        <w:rFonts w:hint="default"/>
      </w:rPr>
    </w:lvl>
    <w:lvl w:ilvl="2" w:tplc="091AAF30">
      <w:numFmt w:val="bullet"/>
      <w:lvlText w:val="•"/>
      <w:lvlJc w:val="left"/>
      <w:pPr>
        <w:ind w:left="636" w:hanging="100"/>
      </w:pPr>
      <w:rPr>
        <w:rFonts w:hint="default"/>
      </w:rPr>
    </w:lvl>
    <w:lvl w:ilvl="3" w:tplc="66C4E164">
      <w:numFmt w:val="bullet"/>
      <w:lvlText w:val="•"/>
      <w:lvlJc w:val="left"/>
      <w:pPr>
        <w:ind w:left="874" w:hanging="100"/>
      </w:pPr>
      <w:rPr>
        <w:rFonts w:hint="default"/>
      </w:rPr>
    </w:lvl>
    <w:lvl w:ilvl="4" w:tplc="45F89248">
      <w:numFmt w:val="bullet"/>
      <w:lvlText w:val="•"/>
      <w:lvlJc w:val="left"/>
      <w:pPr>
        <w:ind w:left="1112" w:hanging="100"/>
      </w:pPr>
      <w:rPr>
        <w:rFonts w:hint="default"/>
      </w:rPr>
    </w:lvl>
    <w:lvl w:ilvl="5" w:tplc="4ECC4318">
      <w:numFmt w:val="bullet"/>
      <w:lvlText w:val="•"/>
      <w:lvlJc w:val="left"/>
      <w:pPr>
        <w:ind w:left="1350" w:hanging="100"/>
      </w:pPr>
      <w:rPr>
        <w:rFonts w:hint="default"/>
      </w:rPr>
    </w:lvl>
    <w:lvl w:ilvl="6" w:tplc="85CEA1C0">
      <w:numFmt w:val="bullet"/>
      <w:lvlText w:val="•"/>
      <w:lvlJc w:val="left"/>
      <w:pPr>
        <w:ind w:left="1588" w:hanging="100"/>
      </w:pPr>
      <w:rPr>
        <w:rFonts w:hint="default"/>
      </w:rPr>
    </w:lvl>
    <w:lvl w:ilvl="7" w:tplc="CA76980A">
      <w:numFmt w:val="bullet"/>
      <w:lvlText w:val="•"/>
      <w:lvlJc w:val="left"/>
      <w:pPr>
        <w:ind w:left="1826" w:hanging="100"/>
      </w:pPr>
      <w:rPr>
        <w:rFonts w:hint="default"/>
      </w:rPr>
    </w:lvl>
    <w:lvl w:ilvl="8" w:tplc="474240CA">
      <w:numFmt w:val="bullet"/>
      <w:lvlText w:val="•"/>
      <w:lvlJc w:val="left"/>
      <w:pPr>
        <w:ind w:left="2064" w:hanging="100"/>
      </w:pPr>
      <w:rPr>
        <w:rFonts w:hint="default"/>
      </w:rPr>
    </w:lvl>
  </w:abstractNum>
  <w:abstractNum w:abstractNumId="306" w15:restartNumberingAfterBreak="0">
    <w:nsid w:val="12742695"/>
    <w:multiLevelType w:val="hybridMultilevel"/>
    <w:tmpl w:val="AC86311C"/>
    <w:lvl w:ilvl="0" w:tplc="46EA0ED8">
      <w:numFmt w:val="bullet"/>
      <w:lvlText w:val=""/>
      <w:lvlJc w:val="left"/>
      <w:pPr>
        <w:ind w:left="156" w:hanging="100"/>
      </w:pPr>
      <w:rPr>
        <w:rFonts w:ascii="Symbol" w:eastAsia="Symbol" w:hAnsi="Symbol" w:cs="Symbol" w:hint="default"/>
        <w:color w:val="231F20"/>
        <w:w w:val="100"/>
        <w:sz w:val="14"/>
        <w:szCs w:val="14"/>
      </w:rPr>
    </w:lvl>
    <w:lvl w:ilvl="1" w:tplc="DE1A1B68">
      <w:numFmt w:val="bullet"/>
      <w:lvlText w:val="•"/>
      <w:lvlJc w:val="left"/>
      <w:pPr>
        <w:ind w:left="301" w:hanging="100"/>
      </w:pPr>
      <w:rPr>
        <w:rFonts w:hint="default"/>
      </w:rPr>
    </w:lvl>
    <w:lvl w:ilvl="2" w:tplc="EB86286E">
      <w:numFmt w:val="bullet"/>
      <w:lvlText w:val="•"/>
      <w:lvlJc w:val="left"/>
      <w:pPr>
        <w:ind w:left="443" w:hanging="100"/>
      </w:pPr>
      <w:rPr>
        <w:rFonts w:hint="default"/>
      </w:rPr>
    </w:lvl>
    <w:lvl w:ilvl="3" w:tplc="76AE4EC0">
      <w:numFmt w:val="bullet"/>
      <w:lvlText w:val="•"/>
      <w:lvlJc w:val="left"/>
      <w:pPr>
        <w:ind w:left="585" w:hanging="100"/>
      </w:pPr>
      <w:rPr>
        <w:rFonts w:hint="default"/>
      </w:rPr>
    </w:lvl>
    <w:lvl w:ilvl="4" w:tplc="B00E7C1E">
      <w:numFmt w:val="bullet"/>
      <w:lvlText w:val="•"/>
      <w:lvlJc w:val="left"/>
      <w:pPr>
        <w:ind w:left="726" w:hanging="100"/>
      </w:pPr>
      <w:rPr>
        <w:rFonts w:hint="default"/>
      </w:rPr>
    </w:lvl>
    <w:lvl w:ilvl="5" w:tplc="2F845B06">
      <w:numFmt w:val="bullet"/>
      <w:lvlText w:val="•"/>
      <w:lvlJc w:val="left"/>
      <w:pPr>
        <w:ind w:left="868" w:hanging="100"/>
      </w:pPr>
      <w:rPr>
        <w:rFonts w:hint="default"/>
      </w:rPr>
    </w:lvl>
    <w:lvl w:ilvl="6" w:tplc="797613EC">
      <w:numFmt w:val="bullet"/>
      <w:lvlText w:val="•"/>
      <w:lvlJc w:val="left"/>
      <w:pPr>
        <w:ind w:left="1010" w:hanging="100"/>
      </w:pPr>
      <w:rPr>
        <w:rFonts w:hint="default"/>
      </w:rPr>
    </w:lvl>
    <w:lvl w:ilvl="7" w:tplc="C96473D6">
      <w:numFmt w:val="bullet"/>
      <w:lvlText w:val="•"/>
      <w:lvlJc w:val="left"/>
      <w:pPr>
        <w:ind w:left="1151" w:hanging="100"/>
      </w:pPr>
      <w:rPr>
        <w:rFonts w:hint="default"/>
      </w:rPr>
    </w:lvl>
    <w:lvl w:ilvl="8" w:tplc="51AA5D36">
      <w:numFmt w:val="bullet"/>
      <w:lvlText w:val="•"/>
      <w:lvlJc w:val="left"/>
      <w:pPr>
        <w:ind w:left="1293" w:hanging="100"/>
      </w:pPr>
      <w:rPr>
        <w:rFonts w:hint="default"/>
      </w:rPr>
    </w:lvl>
  </w:abstractNum>
  <w:abstractNum w:abstractNumId="307" w15:restartNumberingAfterBreak="0">
    <w:nsid w:val="127D7B4D"/>
    <w:multiLevelType w:val="hybridMultilevel"/>
    <w:tmpl w:val="0F627D18"/>
    <w:lvl w:ilvl="0" w:tplc="9252CE38">
      <w:numFmt w:val="bullet"/>
      <w:lvlText w:val=""/>
      <w:lvlJc w:val="left"/>
      <w:pPr>
        <w:ind w:left="157" w:hanging="100"/>
      </w:pPr>
      <w:rPr>
        <w:rFonts w:ascii="Symbol" w:eastAsia="Symbol" w:hAnsi="Symbol" w:cs="Symbol" w:hint="default"/>
        <w:color w:val="231F20"/>
        <w:w w:val="100"/>
        <w:sz w:val="14"/>
        <w:szCs w:val="14"/>
      </w:rPr>
    </w:lvl>
    <w:lvl w:ilvl="1" w:tplc="F84C3818">
      <w:numFmt w:val="bullet"/>
      <w:lvlText w:val="•"/>
      <w:lvlJc w:val="left"/>
      <w:pPr>
        <w:ind w:left="426" w:hanging="100"/>
      </w:pPr>
      <w:rPr>
        <w:rFonts w:hint="default"/>
      </w:rPr>
    </w:lvl>
    <w:lvl w:ilvl="2" w:tplc="57527528">
      <w:numFmt w:val="bullet"/>
      <w:lvlText w:val="•"/>
      <w:lvlJc w:val="left"/>
      <w:pPr>
        <w:ind w:left="692" w:hanging="100"/>
      </w:pPr>
      <w:rPr>
        <w:rFonts w:hint="default"/>
      </w:rPr>
    </w:lvl>
    <w:lvl w:ilvl="3" w:tplc="E3EA0E6A">
      <w:numFmt w:val="bullet"/>
      <w:lvlText w:val="•"/>
      <w:lvlJc w:val="left"/>
      <w:pPr>
        <w:ind w:left="959" w:hanging="100"/>
      </w:pPr>
      <w:rPr>
        <w:rFonts w:hint="default"/>
      </w:rPr>
    </w:lvl>
    <w:lvl w:ilvl="4" w:tplc="68EA68E4">
      <w:numFmt w:val="bullet"/>
      <w:lvlText w:val="•"/>
      <w:lvlJc w:val="left"/>
      <w:pPr>
        <w:ind w:left="1225" w:hanging="100"/>
      </w:pPr>
      <w:rPr>
        <w:rFonts w:hint="default"/>
      </w:rPr>
    </w:lvl>
    <w:lvl w:ilvl="5" w:tplc="74E27C8E">
      <w:numFmt w:val="bullet"/>
      <w:lvlText w:val="•"/>
      <w:lvlJc w:val="left"/>
      <w:pPr>
        <w:ind w:left="1492" w:hanging="100"/>
      </w:pPr>
      <w:rPr>
        <w:rFonts w:hint="default"/>
      </w:rPr>
    </w:lvl>
    <w:lvl w:ilvl="6" w:tplc="E5A47C0A">
      <w:numFmt w:val="bullet"/>
      <w:lvlText w:val="•"/>
      <w:lvlJc w:val="left"/>
      <w:pPr>
        <w:ind w:left="1758" w:hanging="100"/>
      </w:pPr>
      <w:rPr>
        <w:rFonts w:hint="default"/>
      </w:rPr>
    </w:lvl>
    <w:lvl w:ilvl="7" w:tplc="FA567FC2">
      <w:numFmt w:val="bullet"/>
      <w:lvlText w:val="•"/>
      <w:lvlJc w:val="left"/>
      <w:pPr>
        <w:ind w:left="2024" w:hanging="100"/>
      </w:pPr>
      <w:rPr>
        <w:rFonts w:hint="default"/>
      </w:rPr>
    </w:lvl>
    <w:lvl w:ilvl="8" w:tplc="B38A559A">
      <w:numFmt w:val="bullet"/>
      <w:lvlText w:val="•"/>
      <w:lvlJc w:val="left"/>
      <w:pPr>
        <w:ind w:left="2291" w:hanging="100"/>
      </w:pPr>
      <w:rPr>
        <w:rFonts w:hint="default"/>
      </w:rPr>
    </w:lvl>
  </w:abstractNum>
  <w:abstractNum w:abstractNumId="308" w15:restartNumberingAfterBreak="0">
    <w:nsid w:val="129D39E1"/>
    <w:multiLevelType w:val="hybridMultilevel"/>
    <w:tmpl w:val="652CD848"/>
    <w:lvl w:ilvl="0" w:tplc="D65AE848">
      <w:numFmt w:val="bullet"/>
      <w:lvlText w:val=""/>
      <w:lvlJc w:val="left"/>
      <w:pPr>
        <w:ind w:left="157" w:hanging="100"/>
      </w:pPr>
      <w:rPr>
        <w:rFonts w:ascii="Symbol" w:eastAsia="Symbol" w:hAnsi="Symbol" w:cs="Symbol" w:hint="default"/>
        <w:color w:val="231F20"/>
        <w:w w:val="100"/>
        <w:sz w:val="14"/>
        <w:szCs w:val="14"/>
      </w:rPr>
    </w:lvl>
    <w:lvl w:ilvl="1" w:tplc="B49A120C">
      <w:numFmt w:val="bullet"/>
      <w:lvlText w:val="•"/>
      <w:lvlJc w:val="left"/>
      <w:pPr>
        <w:ind w:left="369" w:hanging="100"/>
      </w:pPr>
      <w:rPr>
        <w:rFonts w:hint="default"/>
      </w:rPr>
    </w:lvl>
    <w:lvl w:ilvl="2" w:tplc="A072B256">
      <w:numFmt w:val="bullet"/>
      <w:lvlText w:val="•"/>
      <w:lvlJc w:val="left"/>
      <w:pPr>
        <w:ind w:left="579" w:hanging="100"/>
      </w:pPr>
      <w:rPr>
        <w:rFonts w:hint="default"/>
      </w:rPr>
    </w:lvl>
    <w:lvl w:ilvl="3" w:tplc="13CAA7F4">
      <w:numFmt w:val="bullet"/>
      <w:lvlText w:val="•"/>
      <w:lvlJc w:val="left"/>
      <w:pPr>
        <w:ind w:left="789" w:hanging="100"/>
      </w:pPr>
      <w:rPr>
        <w:rFonts w:hint="default"/>
      </w:rPr>
    </w:lvl>
    <w:lvl w:ilvl="4" w:tplc="D966D8EA">
      <w:numFmt w:val="bullet"/>
      <w:lvlText w:val="•"/>
      <w:lvlJc w:val="left"/>
      <w:pPr>
        <w:ind w:left="998" w:hanging="100"/>
      </w:pPr>
      <w:rPr>
        <w:rFonts w:hint="default"/>
      </w:rPr>
    </w:lvl>
    <w:lvl w:ilvl="5" w:tplc="450407DE">
      <w:numFmt w:val="bullet"/>
      <w:lvlText w:val="•"/>
      <w:lvlJc w:val="left"/>
      <w:pPr>
        <w:ind w:left="1208" w:hanging="100"/>
      </w:pPr>
      <w:rPr>
        <w:rFonts w:hint="default"/>
      </w:rPr>
    </w:lvl>
    <w:lvl w:ilvl="6" w:tplc="25E63FBC">
      <w:numFmt w:val="bullet"/>
      <w:lvlText w:val="•"/>
      <w:lvlJc w:val="left"/>
      <w:pPr>
        <w:ind w:left="1418" w:hanging="100"/>
      </w:pPr>
      <w:rPr>
        <w:rFonts w:hint="default"/>
      </w:rPr>
    </w:lvl>
    <w:lvl w:ilvl="7" w:tplc="80B2A8F0">
      <w:numFmt w:val="bullet"/>
      <w:lvlText w:val="•"/>
      <w:lvlJc w:val="left"/>
      <w:pPr>
        <w:ind w:left="1627" w:hanging="100"/>
      </w:pPr>
      <w:rPr>
        <w:rFonts w:hint="default"/>
      </w:rPr>
    </w:lvl>
    <w:lvl w:ilvl="8" w:tplc="76DE7EEE">
      <w:numFmt w:val="bullet"/>
      <w:lvlText w:val="•"/>
      <w:lvlJc w:val="left"/>
      <w:pPr>
        <w:ind w:left="1837" w:hanging="100"/>
      </w:pPr>
      <w:rPr>
        <w:rFonts w:hint="default"/>
      </w:rPr>
    </w:lvl>
  </w:abstractNum>
  <w:abstractNum w:abstractNumId="309" w15:restartNumberingAfterBreak="0">
    <w:nsid w:val="12AC0803"/>
    <w:multiLevelType w:val="hybridMultilevel"/>
    <w:tmpl w:val="062074D0"/>
    <w:lvl w:ilvl="0" w:tplc="CFC8B5AC">
      <w:numFmt w:val="bullet"/>
      <w:lvlText w:val=""/>
      <w:lvlJc w:val="left"/>
      <w:pPr>
        <w:ind w:left="157" w:hanging="100"/>
      </w:pPr>
      <w:rPr>
        <w:rFonts w:ascii="Symbol" w:eastAsia="Symbol" w:hAnsi="Symbol" w:cs="Symbol" w:hint="default"/>
        <w:color w:val="231F20"/>
        <w:w w:val="100"/>
        <w:sz w:val="14"/>
        <w:szCs w:val="14"/>
      </w:rPr>
    </w:lvl>
    <w:lvl w:ilvl="1" w:tplc="344CA61C">
      <w:numFmt w:val="bullet"/>
      <w:lvlText w:val="•"/>
      <w:lvlJc w:val="left"/>
      <w:pPr>
        <w:ind w:left="369" w:hanging="100"/>
      </w:pPr>
      <w:rPr>
        <w:rFonts w:hint="default"/>
      </w:rPr>
    </w:lvl>
    <w:lvl w:ilvl="2" w:tplc="1C52CE0E">
      <w:numFmt w:val="bullet"/>
      <w:lvlText w:val="•"/>
      <w:lvlJc w:val="left"/>
      <w:pPr>
        <w:ind w:left="579" w:hanging="100"/>
      </w:pPr>
      <w:rPr>
        <w:rFonts w:hint="default"/>
      </w:rPr>
    </w:lvl>
    <w:lvl w:ilvl="3" w:tplc="ACDA9966">
      <w:numFmt w:val="bullet"/>
      <w:lvlText w:val="•"/>
      <w:lvlJc w:val="left"/>
      <w:pPr>
        <w:ind w:left="789" w:hanging="100"/>
      </w:pPr>
      <w:rPr>
        <w:rFonts w:hint="default"/>
      </w:rPr>
    </w:lvl>
    <w:lvl w:ilvl="4" w:tplc="5F1E659C">
      <w:numFmt w:val="bullet"/>
      <w:lvlText w:val="•"/>
      <w:lvlJc w:val="left"/>
      <w:pPr>
        <w:ind w:left="998" w:hanging="100"/>
      </w:pPr>
      <w:rPr>
        <w:rFonts w:hint="default"/>
      </w:rPr>
    </w:lvl>
    <w:lvl w:ilvl="5" w:tplc="974E0B52">
      <w:numFmt w:val="bullet"/>
      <w:lvlText w:val="•"/>
      <w:lvlJc w:val="left"/>
      <w:pPr>
        <w:ind w:left="1208" w:hanging="100"/>
      </w:pPr>
      <w:rPr>
        <w:rFonts w:hint="default"/>
      </w:rPr>
    </w:lvl>
    <w:lvl w:ilvl="6" w:tplc="A0E882B4">
      <w:numFmt w:val="bullet"/>
      <w:lvlText w:val="•"/>
      <w:lvlJc w:val="left"/>
      <w:pPr>
        <w:ind w:left="1418" w:hanging="100"/>
      </w:pPr>
      <w:rPr>
        <w:rFonts w:hint="default"/>
      </w:rPr>
    </w:lvl>
    <w:lvl w:ilvl="7" w:tplc="C248E5A6">
      <w:numFmt w:val="bullet"/>
      <w:lvlText w:val="•"/>
      <w:lvlJc w:val="left"/>
      <w:pPr>
        <w:ind w:left="1627" w:hanging="100"/>
      </w:pPr>
      <w:rPr>
        <w:rFonts w:hint="default"/>
      </w:rPr>
    </w:lvl>
    <w:lvl w:ilvl="8" w:tplc="D8060D56">
      <w:numFmt w:val="bullet"/>
      <w:lvlText w:val="•"/>
      <w:lvlJc w:val="left"/>
      <w:pPr>
        <w:ind w:left="1837" w:hanging="100"/>
      </w:pPr>
      <w:rPr>
        <w:rFonts w:hint="default"/>
      </w:rPr>
    </w:lvl>
  </w:abstractNum>
  <w:abstractNum w:abstractNumId="310" w15:restartNumberingAfterBreak="0">
    <w:nsid w:val="12B271DA"/>
    <w:multiLevelType w:val="hybridMultilevel"/>
    <w:tmpl w:val="EC842564"/>
    <w:lvl w:ilvl="0" w:tplc="BE789BD2">
      <w:numFmt w:val="bullet"/>
      <w:lvlText w:val=""/>
      <w:lvlJc w:val="left"/>
      <w:pPr>
        <w:ind w:left="156" w:hanging="100"/>
      </w:pPr>
      <w:rPr>
        <w:rFonts w:ascii="Symbol" w:eastAsia="Symbol" w:hAnsi="Symbol" w:cs="Symbol" w:hint="default"/>
        <w:color w:val="231F20"/>
        <w:w w:val="100"/>
        <w:sz w:val="14"/>
        <w:szCs w:val="14"/>
      </w:rPr>
    </w:lvl>
    <w:lvl w:ilvl="1" w:tplc="458EB5B2">
      <w:numFmt w:val="bullet"/>
      <w:lvlText w:val="•"/>
      <w:lvlJc w:val="left"/>
      <w:pPr>
        <w:ind w:left="301" w:hanging="100"/>
      </w:pPr>
      <w:rPr>
        <w:rFonts w:hint="default"/>
      </w:rPr>
    </w:lvl>
    <w:lvl w:ilvl="2" w:tplc="DABCE94A">
      <w:numFmt w:val="bullet"/>
      <w:lvlText w:val="•"/>
      <w:lvlJc w:val="left"/>
      <w:pPr>
        <w:ind w:left="443" w:hanging="100"/>
      </w:pPr>
      <w:rPr>
        <w:rFonts w:hint="default"/>
      </w:rPr>
    </w:lvl>
    <w:lvl w:ilvl="3" w:tplc="598E1EDA">
      <w:numFmt w:val="bullet"/>
      <w:lvlText w:val="•"/>
      <w:lvlJc w:val="left"/>
      <w:pPr>
        <w:ind w:left="585" w:hanging="100"/>
      </w:pPr>
      <w:rPr>
        <w:rFonts w:hint="default"/>
      </w:rPr>
    </w:lvl>
    <w:lvl w:ilvl="4" w:tplc="0ACC864A">
      <w:numFmt w:val="bullet"/>
      <w:lvlText w:val="•"/>
      <w:lvlJc w:val="left"/>
      <w:pPr>
        <w:ind w:left="726" w:hanging="100"/>
      </w:pPr>
      <w:rPr>
        <w:rFonts w:hint="default"/>
      </w:rPr>
    </w:lvl>
    <w:lvl w:ilvl="5" w:tplc="48369448">
      <w:numFmt w:val="bullet"/>
      <w:lvlText w:val="•"/>
      <w:lvlJc w:val="left"/>
      <w:pPr>
        <w:ind w:left="868" w:hanging="100"/>
      </w:pPr>
      <w:rPr>
        <w:rFonts w:hint="default"/>
      </w:rPr>
    </w:lvl>
    <w:lvl w:ilvl="6" w:tplc="04709EEE">
      <w:numFmt w:val="bullet"/>
      <w:lvlText w:val="•"/>
      <w:lvlJc w:val="left"/>
      <w:pPr>
        <w:ind w:left="1010" w:hanging="100"/>
      </w:pPr>
      <w:rPr>
        <w:rFonts w:hint="default"/>
      </w:rPr>
    </w:lvl>
    <w:lvl w:ilvl="7" w:tplc="7BC0E7AA">
      <w:numFmt w:val="bullet"/>
      <w:lvlText w:val="•"/>
      <w:lvlJc w:val="left"/>
      <w:pPr>
        <w:ind w:left="1151" w:hanging="100"/>
      </w:pPr>
      <w:rPr>
        <w:rFonts w:hint="default"/>
      </w:rPr>
    </w:lvl>
    <w:lvl w:ilvl="8" w:tplc="182EE79C">
      <w:numFmt w:val="bullet"/>
      <w:lvlText w:val="•"/>
      <w:lvlJc w:val="left"/>
      <w:pPr>
        <w:ind w:left="1293" w:hanging="100"/>
      </w:pPr>
      <w:rPr>
        <w:rFonts w:hint="default"/>
      </w:rPr>
    </w:lvl>
  </w:abstractNum>
  <w:abstractNum w:abstractNumId="311" w15:restartNumberingAfterBreak="0">
    <w:nsid w:val="12F31F49"/>
    <w:multiLevelType w:val="hybridMultilevel"/>
    <w:tmpl w:val="F6443B1A"/>
    <w:lvl w:ilvl="0" w:tplc="B484B080">
      <w:numFmt w:val="bullet"/>
      <w:lvlText w:val=""/>
      <w:lvlJc w:val="left"/>
      <w:pPr>
        <w:ind w:left="156" w:hanging="100"/>
      </w:pPr>
      <w:rPr>
        <w:rFonts w:ascii="Symbol" w:eastAsia="Symbol" w:hAnsi="Symbol" w:cs="Symbol" w:hint="default"/>
        <w:color w:val="231F20"/>
        <w:w w:val="100"/>
        <w:sz w:val="14"/>
        <w:szCs w:val="14"/>
      </w:rPr>
    </w:lvl>
    <w:lvl w:ilvl="1" w:tplc="B86EC55E">
      <w:numFmt w:val="bullet"/>
      <w:lvlText w:val="•"/>
      <w:lvlJc w:val="left"/>
      <w:pPr>
        <w:ind w:left="398" w:hanging="100"/>
      </w:pPr>
      <w:rPr>
        <w:rFonts w:hint="default"/>
      </w:rPr>
    </w:lvl>
    <w:lvl w:ilvl="2" w:tplc="6450A750">
      <w:numFmt w:val="bullet"/>
      <w:lvlText w:val="•"/>
      <w:lvlJc w:val="left"/>
      <w:pPr>
        <w:ind w:left="636" w:hanging="100"/>
      </w:pPr>
      <w:rPr>
        <w:rFonts w:hint="default"/>
      </w:rPr>
    </w:lvl>
    <w:lvl w:ilvl="3" w:tplc="21E0D72E">
      <w:numFmt w:val="bullet"/>
      <w:lvlText w:val="•"/>
      <w:lvlJc w:val="left"/>
      <w:pPr>
        <w:ind w:left="874" w:hanging="100"/>
      </w:pPr>
      <w:rPr>
        <w:rFonts w:hint="default"/>
      </w:rPr>
    </w:lvl>
    <w:lvl w:ilvl="4" w:tplc="BB589E0A">
      <w:numFmt w:val="bullet"/>
      <w:lvlText w:val="•"/>
      <w:lvlJc w:val="left"/>
      <w:pPr>
        <w:ind w:left="1112" w:hanging="100"/>
      </w:pPr>
      <w:rPr>
        <w:rFonts w:hint="default"/>
      </w:rPr>
    </w:lvl>
    <w:lvl w:ilvl="5" w:tplc="56043456">
      <w:numFmt w:val="bullet"/>
      <w:lvlText w:val="•"/>
      <w:lvlJc w:val="left"/>
      <w:pPr>
        <w:ind w:left="1350" w:hanging="100"/>
      </w:pPr>
      <w:rPr>
        <w:rFonts w:hint="default"/>
      </w:rPr>
    </w:lvl>
    <w:lvl w:ilvl="6" w:tplc="1F207F30">
      <w:numFmt w:val="bullet"/>
      <w:lvlText w:val="•"/>
      <w:lvlJc w:val="left"/>
      <w:pPr>
        <w:ind w:left="1588" w:hanging="100"/>
      </w:pPr>
      <w:rPr>
        <w:rFonts w:hint="default"/>
      </w:rPr>
    </w:lvl>
    <w:lvl w:ilvl="7" w:tplc="FB385F6C">
      <w:numFmt w:val="bullet"/>
      <w:lvlText w:val="•"/>
      <w:lvlJc w:val="left"/>
      <w:pPr>
        <w:ind w:left="1826" w:hanging="100"/>
      </w:pPr>
      <w:rPr>
        <w:rFonts w:hint="default"/>
      </w:rPr>
    </w:lvl>
    <w:lvl w:ilvl="8" w:tplc="4EA44FFC">
      <w:numFmt w:val="bullet"/>
      <w:lvlText w:val="•"/>
      <w:lvlJc w:val="left"/>
      <w:pPr>
        <w:ind w:left="2064" w:hanging="100"/>
      </w:pPr>
      <w:rPr>
        <w:rFonts w:hint="default"/>
      </w:rPr>
    </w:lvl>
  </w:abstractNum>
  <w:abstractNum w:abstractNumId="312" w15:restartNumberingAfterBreak="0">
    <w:nsid w:val="12F7420A"/>
    <w:multiLevelType w:val="hybridMultilevel"/>
    <w:tmpl w:val="8B84BFBC"/>
    <w:lvl w:ilvl="0" w:tplc="0370306C">
      <w:numFmt w:val="bullet"/>
      <w:lvlText w:val=""/>
      <w:lvlJc w:val="left"/>
      <w:pPr>
        <w:ind w:left="156" w:hanging="100"/>
      </w:pPr>
      <w:rPr>
        <w:rFonts w:ascii="Symbol" w:eastAsia="Symbol" w:hAnsi="Symbol" w:cs="Symbol" w:hint="default"/>
        <w:color w:val="231F20"/>
        <w:w w:val="100"/>
        <w:sz w:val="14"/>
        <w:szCs w:val="14"/>
      </w:rPr>
    </w:lvl>
    <w:lvl w:ilvl="1" w:tplc="22D0CB26">
      <w:numFmt w:val="bullet"/>
      <w:lvlText w:val="•"/>
      <w:lvlJc w:val="left"/>
      <w:pPr>
        <w:ind w:left="398" w:hanging="100"/>
      </w:pPr>
      <w:rPr>
        <w:rFonts w:hint="default"/>
      </w:rPr>
    </w:lvl>
    <w:lvl w:ilvl="2" w:tplc="1C927666">
      <w:numFmt w:val="bullet"/>
      <w:lvlText w:val="•"/>
      <w:lvlJc w:val="left"/>
      <w:pPr>
        <w:ind w:left="636" w:hanging="100"/>
      </w:pPr>
      <w:rPr>
        <w:rFonts w:hint="default"/>
      </w:rPr>
    </w:lvl>
    <w:lvl w:ilvl="3" w:tplc="A96E6510">
      <w:numFmt w:val="bullet"/>
      <w:lvlText w:val="•"/>
      <w:lvlJc w:val="left"/>
      <w:pPr>
        <w:ind w:left="874" w:hanging="100"/>
      </w:pPr>
      <w:rPr>
        <w:rFonts w:hint="default"/>
      </w:rPr>
    </w:lvl>
    <w:lvl w:ilvl="4" w:tplc="70A840E6">
      <w:numFmt w:val="bullet"/>
      <w:lvlText w:val="•"/>
      <w:lvlJc w:val="left"/>
      <w:pPr>
        <w:ind w:left="1112" w:hanging="100"/>
      </w:pPr>
      <w:rPr>
        <w:rFonts w:hint="default"/>
      </w:rPr>
    </w:lvl>
    <w:lvl w:ilvl="5" w:tplc="0CB4D136">
      <w:numFmt w:val="bullet"/>
      <w:lvlText w:val="•"/>
      <w:lvlJc w:val="left"/>
      <w:pPr>
        <w:ind w:left="1350" w:hanging="100"/>
      </w:pPr>
      <w:rPr>
        <w:rFonts w:hint="default"/>
      </w:rPr>
    </w:lvl>
    <w:lvl w:ilvl="6" w:tplc="82C2C2A2">
      <w:numFmt w:val="bullet"/>
      <w:lvlText w:val="•"/>
      <w:lvlJc w:val="left"/>
      <w:pPr>
        <w:ind w:left="1588" w:hanging="100"/>
      </w:pPr>
      <w:rPr>
        <w:rFonts w:hint="default"/>
      </w:rPr>
    </w:lvl>
    <w:lvl w:ilvl="7" w:tplc="6B7CF18C">
      <w:numFmt w:val="bullet"/>
      <w:lvlText w:val="•"/>
      <w:lvlJc w:val="left"/>
      <w:pPr>
        <w:ind w:left="1826" w:hanging="100"/>
      </w:pPr>
      <w:rPr>
        <w:rFonts w:hint="default"/>
      </w:rPr>
    </w:lvl>
    <w:lvl w:ilvl="8" w:tplc="35AC979E">
      <w:numFmt w:val="bullet"/>
      <w:lvlText w:val="•"/>
      <w:lvlJc w:val="left"/>
      <w:pPr>
        <w:ind w:left="2064" w:hanging="100"/>
      </w:pPr>
      <w:rPr>
        <w:rFonts w:hint="default"/>
      </w:rPr>
    </w:lvl>
  </w:abstractNum>
  <w:abstractNum w:abstractNumId="313" w15:restartNumberingAfterBreak="0">
    <w:nsid w:val="12FD14AA"/>
    <w:multiLevelType w:val="hybridMultilevel"/>
    <w:tmpl w:val="E696A5A0"/>
    <w:lvl w:ilvl="0" w:tplc="7188F1A6">
      <w:numFmt w:val="bullet"/>
      <w:lvlText w:val=""/>
      <w:lvlJc w:val="left"/>
      <w:pPr>
        <w:ind w:left="157" w:hanging="100"/>
      </w:pPr>
      <w:rPr>
        <w:rFonts w:ascii="Symbol" w:eastAsia="Symbol" w:hAnsi="Symbol" w:cs="Symbol" w:hint="default"/>
        <w:color w:val="231F20"/>
        <w:w w:val="100"/>
        <w:sz w:val="14"/>
        <w:szCs w:val="14"/>
      </w:rPr>
    </w:lvl>
    <w:lvl w:ilvl="1" w:tplc="32FC72AE">
      <w:numFmt w:val="bullet"/>
      <w:lvlText w:val="•"/>
      <w:lvlJc w:val="left"/>
      <w:pPr>
        <w:ind w:left="426" w:hanging="100"/>
      </w:pPr>
      <w:rPr>
        <w:rFonts w:hint="default"/>
      </w:rPr>
    </w:lvl>
    <w:lvl w:ilvl="2" w:tplc="EC541B44">
      <w:numFmt w:val="bullet"/>
      <w:lvlText w:val="•"/>
      <w:lvlJc w:val="left"/>
      <w:pPr>
        <w:ind w:left="692" w:hanging="100"/>
      </w:pPr>
      <w:rPr>
        <w:rFonts w:hint="default"/>
      </w:rPr>
    </w:lvl>
    <w:lvl w:ilvl="3" w:tplc="52946BD4">
      <w:numFmt w:val="bullet"/>
      <w:lvlText w:val="•"/>
      <w:lvlJc w:val="left"/>
      <w:pPr>
        <w:ind w:left="959" w:hanging="100"/>
      </w:pPr>
      <w:rPr>
        <w:rFonts w:hint="default"/>
      </w:rPr>
    </w:lvl>
    <w:lvl w:ilvl="4" w:tplc="43D83790">
      <w:numFmt w:val="bullet"/>
      <w:lvlText w:val="•"/>
      <w:lvlJc w:val="left"/>
      <w:pPr>
        <w:ind w:left="1225" w:hanging="100"/>
      </w:pPr>
      <w:rPr>
        <w:rFonts w:hint="default"/>
      </w:rPr>
    </w:lvl>
    <w:lvl w:ilvl="5" w:tplc="FF9CCD3C">
      <w:numFmt w:val="bullet"/>
      <w:lvlText w:val="•"/>
      <w:lvlJc w:val="left"/>
      <w:pPr>
        <w:ind w:left="1492" w:hanging="100"/>
      </w:pPr>
      <w:rPr>
        <w:rFonts w:hint="default"/>
      </w:rPr>
    </w:lvl>
    <w:lvl w:ilvl="6" w:tplc="EE9A1458">
      <w:numFmt w:val="bullet"/>
      <w:lvlText w:val="•"/>
      <w:lvlJc w:val="left"/>
      <w:pPr>
        <w:ind w:left="1758" w:hanging="100"/>
      </w:pPr>
      <w:rPr>
        <w:rFonts w:hint="default"/>
      </w:rPr>
    </w:lvl>
    <w:lvl w:ilvl="7" w:tplc="B16C2BD2">
      <w:numFmt w:val="bullet"/>
      <w:lvlText w:val="•"/>
      <w:lvlJc w:val="left"/>
      <w:pPr>
        <w:ind w:left="2024" w:hanging="100"/>
      </w:pPr>
      <w:rPr>
        <w:rFonts w:hint="default"/>
      </w:rPr>
    </w:lvl>
    <w:lvl w:ilvl="8" w:tplc="5E24182A">
      <w:numFmt w:val="bullet"/>
      <w:lvlText w:val="•"/>
      <w:lvlJc w:val="left"/>
      <w:pPr>
        <w:ind w:left="2291" w:hanging="100"/>
      </w:pPr>
      <w:rPr>
        <w:rFonts w:hint="default"/>
      </w:rPr>
    </w:lvl>
  </w:abstractNum>
  <w:abstractNum w:abstractNumId="314" w15:restartNumberingAfterBreak="0">
    <w:nsid w:val="130310C5"/>
    <w:multiLevelType w:val="hybridMultilevel"/>
    <w:tmpl w:val="FFAE82E8"/>
    <w:lvl w:ilvl="0" w:tplc="65F85AFC">
      <w:numFmt w:val="bullet"/>
      <w:lvlText w:val=""/>
      <w:lvlJc w:val="left"/>
      <w:pPr>
        <w:ind w:left="157" w:hanging="100"/>
      </w:pPr>
      <w:rPr>
        <w:rFonts w:ascii="Symbol" w:eastAsia="Symbol" w:hAnsi="Symbol" w:cs="Symbol" w:hint="default"/>
        <w:color w:val="231F20"/>
        <w:w w:val="100"/>
        <w:sz w:val="14"/>
        <w:szCs w:val="14"/>
      </w:rPr>
    </w:lvl>
    <w:lvl w:ilvl="1" w:tplc="103293A0">
      <w:numFmt w:val="bullet"/>
      <w:lvlText w:val="•"/>
      <w:lvlJc w:val="left"/>
      <w:pPr>
        <w:ind w:left="426" w:hanging="100"/>
      </w:pPr>
      <w:rPr>
        <w:rFonts w:hint="default"/>
      </w:rPr>
    </w:lvl>
    <w:lvl w:ilvl="2" w:tplc="CD8060CA">
      <w:numFmt w:val="bullet"/>
      <w:lvlText w:val="•"/>
      <w:lvlJc w:val="left"/>
      <w:pPr>
        <w:ind w:left="692" w:hanging="100"/>
      </w:pPr>
      <w:rPr>
        <w:rFonts w:hint="default"/>
      </w:rPr>
    </w:lvl>
    <w:lvl w:ilvl="3" w:tplc="A23A32F2">
      <w:numFmt w:val="bullet"/>
      <w:lvlText w:val="•"/>
      <w:lvlJc w:val="left"/>
      <w:pPr>
        <w:ind w:left="959" w:hanging="100"/>
      </w:pPr>
      <w:rPr>
        <w:rFonts w:hint="default"/>
      </w:rPr>
    </w:lvl>
    <w:lvl w:ilvl="4" w:tplc="D7183052">
      <w:numFmt w:val="bullet"/>
      <w:lvlText w:val="•"/>
      <w:lvlJc w:val="left"/>
      <w:pPr>
        <w:ind w:left="1225" w:hanging="100"/>
      </w:pPr>
      <w:rPr>
        <w:rFonts w:hint="default"/>
      </w:rPr>
    </w:lvl>
    <w:lvl w:ilvl="5" w:tplc="2716EF68">
      <w:numFmt w:val="bullet"/>
      <w:lvlText w:val="•"/>
      <w:lvlJc w:val="left"/>
      <w:pPr>
        <w:ind w:left="1492" w:hanging="100"/>
      </w:pPr>
      <w:rPr>
        <w:rFonts w:hint="default"/>
      </w:rPr>
    </w:lvl>
    <w:lvl w:ilvl="6" w:tplc="E8D84246">
      <w:numFmt w:val="bullet"/>
      <w:lvlText w:val="•"/>
      <w:lvlJc w:val="left"/>
      <w:pPr>
        <w:ind w:left="1758" w:hanging="100"/>
      </w:pPr>
      <w:rPr>
        <w:rFonts w:hint="default"/>
      </w:rPr>
    </w:lvl>
    <w:lvl w:ilvl="7" w:tplc="003200B6">
      <w:numFmt w:val="bullet"/>
      <w:lvlText w:val="•"/>
      <w:lvlJc w:val="left"/>
      <w:pPr>
        <w:ind w:left="2024" w:hanging="100"/>
      </w:pPr>
      <w:rPr>
        <w:rFonts w:hint="default"/>
      </w:rPr>
    </w:lvl>
    <w:lvl w:ilvl="8" w:tplc="C03C6E26">
      <w:numFmt w:val="bullet"/>
      <w:lvlText w:val="•"/>
      <w:lvlJc w:val="left"/>
      <w:pPr>
        <w:ind w:left="2291" w:hanging="100"/>
      </w:pPr>
      <w:rPr>
        <w:rFonts w:hint="default"/>
      </w:rPr>
    </w:lvl>
  </w:abstractNum>
  <w:abstractNum w:abstractNumId="315" w15:restartNumberingAfterBreak="0">
    <w:nsid w:val="131E0801"/>
    <w:multiLevelType w:val="hybridMultilevel"/>
    <w:tmpl w:val="813A0ADE"/>
    <w:lvl w:ilvl="0" w:tplc="4024043A">
      <w:numFmt w:val="bullet"/>
      <w:lvlText w:val="–"/>
      <w:lvlJc w:val="left"/>
      <w:pPr>
        <w:ind w:left="162" w:hanging="105"/>
      </w:pPr>
      <w:rPr>
        <w:rFonts w:ascii="Times New Roman" w:eastAsia="Times New Roman" w:hAnsi="Times New Roman" w:cs="Times New Roman" w:hint="default"/>
        <w:color w:val="231F20"/>
        <w:spacing w:val="-2"/>
        <w:w w:val="100"/>
        <w:sz w:val="14"/>
        <w:szCs w:val="14"/>
      </w:rPr>
    </w:lvl>
    <w:lvl w:ilvl="1" w:tplc="98FA259A">
      <w:numFmt w:val="bullet"/>
      <w:lvlText w:val="•"/>
      <w:lvlJc w:val="left"/>
      <w:pPr>
        <w:ind w:left="426" w:hanging="105"/>
      </w:pPr>
      <w:rPr>
        <w:rFonts w:hint="default"/>
      </w:rPr>
    </w:lvl>
    <w:lvl w:ilvl="2" w:tplc="DC5413D0">
      <w:numFmt w:val="bullet"/>
      <w:lvlText w:val="•"/>
      <w:lvlJc w:val="left"/>
      <w:pPr>
        <w:ind w:left="692" w:hanging="105"/>
      </w:pPr>
      <w:rPr>
        <w:rFonts w:hint="default"/>
      </w:rPr>
    </w:lvl>
    <w:lvl w:ilvl="3" w:tplc="87AA1CE4">
      <w:numFmt w:val="bullet"/>
      <w:lvlText w:val="•"/>
      <w:lvlJc w:val="left"/>
      <w:pPr>
        <w:ind w:left="959" w:hanging="105"/>
      </w:pPr>
      <w:rPr>
        <w:rFonts w:hint="default"/>
      </w:rPr>
    </w:lvl>
    <w:lvl w:ilvl="4" w:tplc="B1DA8410">
      <w:numFmt w:val="bullet"/>
      <w:lvlText w:val="•"/>
      <w:lvlJc w:val="left"/>
      <w:pPr>
        <w:ind w:left="1225" w:hanging="105"/>
      </w:pPr>
      <w:rPr>
        <w:rFonts w:hint="default"/>
      </w:rPr>
    </w:lvl>
    <w:lvl w:ilvl="5" w:tplc="D36425A2">
      <w:numFmt w:val="bullet"/>
      <w:lvlText w:val="•"/>
      <w:lvlJc w:val="left"/>
      <w:pPr>
        <w:ind w:left="1492" w:hanging="105"/>
      </w:pPr>
      <w:rPr>
        <w:rFonts w:hint="default"/>
      </w:rPr>
    </w:lvl>
    <w:lvl w:ilvl="6" w:tplc="128C0BFE">
      <w:numFmt w:val="bullet"/>
      <w:lvlText w:val="•"/>
      <w:lvlJc w:val="left"/>
      <w:pPr>
        <w:ind w:left="1758" w:hanging="105"/>
      </w:pPr>
      <w:rPr>
        <w:rFonts w:hint="default"/>
      </w:rPr>
    </w:lvl>
    <w:lvl w:ilvl="7" w:tplc="9064E462">
      <w:numFmt w:val="bullet"/>
      <w:lvlText w:val="•"/>
      <w:lvlJc w:val="left"/>
      <w:pPr>
        <w:ind w:left="2024" w:hanging="105"/>
      </w:pPr>
      <w:rPr>
        <w:rFonts w:hint="default"/>
      </w:rPr>
    </w:lvl>
    <w:lvl w:ilvl="8" w:tplc="FEEA0BD0">
      <w:numFmt w:val="bullet"/>
      <w:lvlText w:val="•"/>
      <w:lvlJc w:val="left"/>
      <w:pPr>
        <w:ind w:left="2291" w:hanging="105"/>
      </w:pPr>
      <w:rPr>
        <w:rFonts w:hint="default"/>
      </w:rPr>
    </w:lvl>
  </w:abstractNum>
  <w:abstractNum w:abstractNumId="316" w15:restartNumberingAfterBreak="0">
    <w:nsid w:val="133B7608"/>
    <w:multiLevelType w:val="hybridMultilevel"/>
    <w:tmpl w:val="E22E8F3C"/>
    <w:lvl w:ilvl="0" w:tplc="6366A2D4">
      <w:numFmt w:val="bullet"/>
      <w:lvlText w:val=""/>
      <w:lvlJc w:val="left"/>
      <w:pPr>
        <w:ind w:left="57" w:hanging="100"/>
      </w:pPr>
      <w:rPr>
        <w:rFonts w:ascii="Symbol" w:eastAsia="Symbol" w:hAnsi="Symbol" w:cs="Symbol" w:hint="default"/>
        <w:color w:val="231F20"/>
        <w:w w:val="100"/>
        <w:sz w:val="14"/>
        <w:szCs w:val="14"/>
      </w:rPr>
    </w:lvl>
    <w:lvl w:ilvl="1" w:tplc="21D8CCAE">
      <w:numFmt w:val="bullet"/>
      <w:lvlText w:val="•"/>
      <w:lvlJc w:val="left"/>
      <w:pPr>
        <w:ind w:left="336" w:hanging="100"/>
      </w:pPr>
      <w:rPr>
        <w:rFonts w:hint="default"/>
      </w:rPr>
    </w:lvl>
    <w:lvl w:ilvl="2" w:tplc="DAEC0F9A">
      <w:numFmt w:val="bullet"/>
      <w:lvlText w:val="•"/>
      <w:lvlJc w:val="left"/>
      <w:pPr>
        <w:ind w:left="612" w:hanging="100"/>
      </w:pPr>
      <w:rPr>
        <w:rFonts w:hint="default"/>
      </w:rPr>
    </w:lvl>
    <w:lvl w:ilvl="3" w:tplc="FBF0F3DC">
      <w:numFmt w:val="bullet"/>
      <w:lvlText w:val="•"/>
      <w:lvlJc w:val="left"/>
      <w:pPr>
        <w:ind w:left="889" w:hanging="100"/>
      </w:pPr>
      <w:rPr>
        <w:rFonts w:hint="default"/>
      </w:rPr>
    </w:lvl>
    <w:lvl w:ilvl="4" w:tplc="E38E5208">
      <w:numFmt w:val="bullet"/>
      <w:lvlText w:val="•"/>
      <w:lvlJc w:val="left"/>
      <w:pPr>
        <w:ind w:left="1165" w:hanging="100"/>
      </w:pPr>
      <w:rPr>
        <w:rFonts w:hint="default"/>
      </w:rPr>
    </w:lvl>
    <w:lvl w:ilvl="5" w:tplc="89D070F2">
      <w:numFmt w:val="bullet"/>
      <w:lvlText w:val="•"/>
      <w:lvlJc w:val="left"/>
      <w:pPr>
        <w:ind w:left="1442" w:hanging="100"/>
      </w:pPr>
      <w:rPr>
        <w:rFonts w:hint="default"/>
      </w:rPr>
    </w:lvl>
    <w:lvl w:ilvl="6" w:tplc="96049DB4">
      <w:numFmt w:val="bullet"/>
      <w:lvlText w:val="•"/>
      <w:lvlJc w:val="left"/>
      <w:pPr>
        <w:ind w:left="1718" w:hanging="100"/>
      </w:pPr>
      <w:rPr>
        <w:rFonts w:hint="default"/>
      </w:rPr>
    </w:lvl>
    <w:lvl w:ilvl="7" w:tplc="A3EE9126">
      <w:numFmt w:val="bullet"/>
      <w:lvlText w:val="•"/>
      <w:lvlJc w:val="left"/>
      <w:pPr>
        <w:ind w:left="1994" w:hanging="100"/>
      </w:pPr>
      <w:rPr>
        <w:rFonts w:hint="default"/>
      </w:rPr>
    </w:lvl>
    <w:lvl w:ilvl="8" w:tplc="07384BE4">
      <w:numFmt w:val="bullet"/>
      <w:lvlText w:val="•"/>
      <w:lvlJc w:val="left"/>
      <w:pPr>
        <w:ind w:left="2271" w:hanging="100"/>
      </w:pPr>
      <w:rPr>
        <w:rFonts w:hint="default"/>
      </w:rPr>
    </w:lvl>
  </w:abstractNum>
  <w:abstractNum w:abstractNumId="317" w15:restartNumberingAfterBreak="0">
    <w:nsid w:val="13666115"/>
    <w:multiLevelType w:val="hybridMultilevel"/>
    <w:tmpl w:val="7CCC1772"/>
    <w:lvl w:ilvl="0" w:tplc="D1787388">
      <w:numFmt w:val="bullet"/>
      <w:lvlText w:val=""/>
      <w:lvlJc w:val="left"/>
      <w:pPr>
        <w:ind w:left="156" w:hanging="100"/>
      </w:pPr>
      <w:rPr>
        <w:rFonts w:ascii="Symbol" w:eastAsia="Symbol" w:hAnsi="Symbol" w:cs="Symbol" w:hint="default"/>
        <w:color w:val="231F20"/>
        <w:w w:val="100"/>
        <w:sz w:val="14"/>
        <w:szCs w:val="14"/>
      </w:rPr>
    </w:lvl>
    <w:lvl w:ilvl="1" w:tplc="92D69CD4">
      <w:numFmt w:val="bullet"/>
      <w:lvlText w:val="•"/>
      <w:lvlJc w:val="left"/>
      <w:pPr>
        <w:ind w:left="426" w:hanging="100"/>
      </w:pPr>
      <w:rPr>
        <w:rFonts w:hint="default"/>
      </w:rPr>
    </w:lvl>
    <w:lvl w:ilvl="2" w:tplc="1712861A">
      <w:numFmt w:val="bullet"/>
      <w:lvlText w:val="•"/>
      <w:lvlJc w:val="left"/>
      <w:pPr>
        <w:ind w:left="692" w:hanging="100"/>
      </w:pPr>
      <w:rPr>
        <w:rFonts w:hint="default"/>
      </w:rPr>
    </w:lvl>
    <w:lvl w:ilvl="3" w:tplc="F7F28D62">
      <w:numFmt w:val="bullet"/>
      <w:lvlText w:val="•"/>
      <w:lvlJc w:val="left"/>
      <w:pPr>
        <w:ind w:left="959" w:hanging="100"/>
      </w:pPr>
      <w:rPr>
        <w:rFonts w:hint="default"/>
      </w:rPr>
    </w:lvl>
    <w:lvl w:ilvl="4" w:tplc="538A5D08">
      <w:numFmt w:val="bullet"/>
      <w:lvlText w:val="•"/>
      <w:lvlJc w:val="left"/>
      <w:pPr>
        <w:ind w:left="1225" w:hanging="100"/>
      </w:pPr>
      <w:rPr>
        <w:rFonts w:hint="default"/>
      </w:rPr>
    </w:lvl>
    <w:lvl w:ilvl="5" w:tplc="4E1E52B0">
      <w:numFmt w:val="bullet"/>
      <w:lvlText w:val="•"/>
      <w:lvlJc w:val="left"/>
      <w:pPr>
        <w:ind w:left="1492" w:hanging="100"/>
      </w:pPr>
      <w:rPr>
        <w:rFonts w:hint="default"/>
      </w:rPr>
    </w:lvl>
    <w:lvl w:ilvl="6" w:tplc="B5E21464">
      <w:numFmt w:val="bullet"/>
      <w:lvlText w:val="•"/>
      <w:lvlJc w:val="left"/>
      <w:pPr>
        <w:ind w:left="1758" w:hanging="100"/>
      </w:pPr>
      <w:rPr>
        <w:rFonts w:hint="default"/>
      </w:rPr>
    </w:lvl>
    <w:lvl w:ilvl="7" w:tplc="BFACE512">
      <w:numFmt w:val="bullet"/>
      <w:lvlText w:val="•"/>
      <w:lvlJc w:val="left"/>
      <w:pPr>
        <w:ind w:left="2024" w:hanging="100"/>
      </w:pPr>
      <w:rPr>
        <w:rFonts w:hint="default"/>
      </w:rPr>
    </w:lvl>
    <w:lvl w:ilvl="8" w:tplc="722A1C7E">
      <w:numFmt w:val="bullet"/>
      <w:lvlText w:val="•"/>
      <w:lvlJc w:val="left"/>
      <w:pPr>
        <w:ind w:left="2291" w:hanging="100"/>
      </w:pPr>
      <w:rPr>
        <w:rFonts w:hint="default"/>
      </w:rPr>
    </w:lvl>
  </w:abstractNum>
  <w:abstractNum w:abstractNumId="318" w15:restartNumberingAfterBreak="0">
    <w:nsid w:val="13B94A4A"/>
    <w:multiLevelType w:val="hybridMultilevel"/>
    <w:tmpl w:val="6CE86A88"/>
    <w:lvl w:ilvl="0" w:tplc="4EC2BCF8">
      <w:numFmt w:val="bullet"/>
      <w:lvlText w:val=""/>
      <w:lvlJc w:val="left"/>
      <w:pPr>
        <w:ind w:left="156" w:hanging="100"/>
      </w:pPr>
      <w:rPr>
        <w:rFonts w:ascii="Symbol" w:eastAsia="Symbol" w:hAnsi="Symbol" w:cs="Symbol" w:hint="default"/>
        <w:color w:val="231F20"/>
        <w:w w:val="100"/>
        <w:sz w:val="14"/>
        <w:szCs w:val="14"/>
      </w:rPr>
    </w:lvl>
    <w:lvl w:ilvl="1" w:tplc="05F6F578">
      <w:numFmt w:val="bullet"/>
      <w:lvlText w:val="•"/>
      <w:lvlJc w:val="left"/>
      <w:pPr>
        <w:ind w:left="398" w:hanging="100"/>
      </w:pPr>
      <w:rPr>
        <w:rFonts w:hint="default"/>
      </w:rPr>
    </w:lvl>
    <w:lvl w:ilvl="2" w:tplc="C5EC743E">
      <w:numFmt w:val="bullet"/>
      <w:lvlText w:val="•"/>
      <w:lvlJc w:val="left"/>
      <w:pPr>
        <w:ind w:left="636" w:hanging="100"/>
      </w:pPr>
      <w:rPr>
        <w:rFonts w:hint="default"/>
      </w:rPr>
    </w:lvl>
    <w:lvl w:ilvl="3" w:tplc="D74044FE">
      <w:numFmt w:val="bullet"/>
      <w:lvlText w:val="•"/>
      <w:lvlJc w:val="left"/>
      <w:pPr>
        <w:ind w:left="874" w:hanging="100"/>
      </w:pPr>
      <w:rPr>
        <w:rFonts w:hint="default"/>
      </w:rPr>
    </w:lvl>
    <w:lvl w:ilvl="4" w:tplc="1D384806">
      <w:numFmt w:val="bullet"/>
      <w:lvlText w:val="•"/>
      <w:lvlJc w:val="left"/>
      <w:pPr>
        <w:ind w:left="1112" w:hanging="100"/>
      </w:pPr>
      <w:rPr>
        <w:rFonts w:hint="default"/>
      </w:rPr>
    </w:lvl>
    <w:lvl w:ilvl="5" w:tplc="858E0146">
      <w:numFmt w:val="bullet"/>
      <w:lvlText w:val="•"/>
      <w:lvlJc w:val="left"/>
      <w:pPr>
        <w:ind w:left="1350" w:hanging="100"/>
      </w:pPr>
      <w:rPr>
        <w:rFonts w:hint="default"/>
      </w:rPr>
    </w:lvl>
    <w:lvl w:ilvl="6" w:tplc="39802C84">
      <w:numFmt w:val="bullet"/>
      <w:lvlText w:val="•"/>
      <w:lvlJc w:val="left"/>
      <w:pPr>
        <w:ind w:left="1588" w:hanging="100"/>
      </w:pPr>
      <w:rPr>
        <w:rFonts w:hint="default"/>
      </w:rPr>
    </w:lvl>
    <w:lvl w:ilvl="7" w:tplc="25A0AE1C">
      <w:numFmt w:val="bullet"/>
      <w:lvlText w:val="•"/>
      <w:lvlJc w:val="left"/>
      <w:pPr>
        <w:ind w:left="1826" w:hanging="100"/>
      </w:pPr>
      <w:rPr>
        <w:rFonts w:hint="default"/>
      </w:rPr>
    </w:lvl>
    <w:lvl w:ilvl="8" w:tplc="EBB8A5E6">
      <w:numFmt w:val="bullet"/>
      <w:lvlText w:val="•"/>
      <w:lvlJc w:val="left"/>
      <w:pPr>
        <w:ind w:left="2064" w:hanging="100"/>
      </w:pPr>
      <w:rPr>
        <w:rFonts w:hint="default"/>
      </w:rPr>
    </w:lvl>
  </w:abstractNum>
  <w:abstractNum w:abstractNumId="319" w15:restartNumberingAfterBreak="0">
    <w:nsid w:val="13BF4584"/>
    <w:multiLevelType w:val="hybridMultilevel"/>
    <w:tmpl w:val="5524AB5C"/>
    <w:lvl w:ilvl="0" w:tplc="916EBE5A">
      <w:numFmt w:val="bullet"/>
      <w:lvlText w:val=""/>
      <w:lvlJc w:val="left"/>
      <w:pPr>
        <w:ind w:left="157" w:hanging="100"/>
      </w:pPr>
      <w:rPr>
        <w:rFonts w:ascii="Symbol" w:eastAsia="Symbol" w:hAnsi="Symbol" w:cs="Symbol" w:hint="default"/>
        <w:color w:val="231F20"/>
        <w:w w:val="100"/>
        <w:sz w:val="14"/>
        <w:szCs w:val="14"/>
      </w:rPr>
    </w:lvl>
    <w:lvl w:ilvl="1" w:tplc="37C4E036">
      <w:numFmt w:val="bullet"/>
      <w:lvlText w:val="•"/>
      <w:lvlJc w:val="left"/>
      <w:pPr>
        <w:ind w:left="426" w:hanging="100"/>
      </w:pPr>
      <w:rPr>
        <w:rFonts w:hint="default"/>
      </w:rPr>
    </w:lvl>
    <w:lvl w:ilvl="2" w:tplc="38E89F38">
      <w:numFmt w:val="bullet"/>
      <w:lvlText w:val="•"/>
      <w:lvlJc w:val="left"/>
      <w:pPr>
        <w:ind w:left="692" w:hanging="100"/>
      </w:pPr>
      <w:rPr>
        <w:rFonts w:hint="default"/>
      </w:rPr>
    </w:lvl>
    <w:lvl w:ilvl="3" w:tplc="B7C456A8">
      <w:numFmt w:val="bullet"/>
      <w:lvlText w:val="•"/>
      <w:lvlJc w:val="left"/>
      <w:pPr>
        <w:ind w:left="959" w:hanging="100"/>
      </w:pPr>
      <w:rPr>
        <w:rFonts w:hint="default"/>
      </w:rPr>
    </w:lvl>
    <w:lvl w:ilvl="4" w:tplc="E7F67F7A">
      <w:numFmt w:val="bullet"/>
      <w:lvlText w:val="•"/>
      <w:lvlJc w:val="left"/>
      <w:pPr>
        <w:ind w:left="1225" w:hanging="100"/>
      </w:pPr>
      <w:rPr>
        <w:rFonts w:hint="default"/>
      </w:rPr>
    </w:lvl>
    <w:lvl w:ilvl="5" w:tplc="D80E15B4">
      <w:numFmt w:val="bullet"/>
      <w:lvlText w:val="•"/>
      <w:lvlJc w:val="left"/>
      <w:pPr>
        <w:ind w:left="1492" w:hanging="100"/>
      </w:pPr>
      <w:rPr>
        <w:rFonts w:hint="default"/>
      </w:rPr>
    </w:lvl>
    <w:lvl w:ilvl="6" w:tplc="F3E09016">
      <w:numFmt w:val="bullet"/>
      <w:lvlText w:val="•"/>
      <w:lvlJc w:val="left"/>
      <w:pPr>
        <w:ind w:left="1758" w:hanging="100"/>
      </w:pPr>
      <w:rPr>
        <w:rFonts w:hint="default"/>
      </w:rPr>
    </w:lvl>
    <w:lvl w:ilvl="7" w:tplc="0510AC8C">
      <w:numFmt w:val="bullet"/>
      <w:lvlText w:val="•"/>
      <w:lvlJc w:val="left"/>
      <w:pPr>
        <w:ind w:left="2024" w:hanging="100"/>
      </w:pPr>
      <w:rPr>
        <w:rFonts w:hint="default"/>
      </w:rPr>
    </w:lvl>
    <w:lvl w:ilvl="8" w:tplc="0FC41E0A">
      <w:numFmt w:val="bullet"/>
      <w:lvlText w:val="•"/>
      <w:lvlJc w:val="left"/>
      <w:pPr>
        <w:ind w:left="2291" w:hanging="100"/>
      </w:pPr>
      <w:rPr>
        <w:rFonts w:hint="default"/>
      </w:rPr>
    </w:lvl>
  </w:abstractNum>
  <w:abstractNum w:abstractNumId="320" w15:restartNumberingAfterBreak="0">
    <w:nsid w:val="13D04F42"/>
    <w:multiLevelType w:val="hybridMultilevel"/>
    <w:tmpl w:val="A4409E6A"/>
    <w:lvl w:ilvl="0" w:tplc="F094E400">
      <w:numFmt w:val="bullet"/>
      <w:lvlText w:val=""/>
      <w:lvlJc w:val="left"/>
      <w:pPr>
        <w:ind w:left="156" w:hanging="100"/>
      </w:pPr>
      <w:rPr>
        <w:rFonts w:ascii="Symbol" w:eastAsia="Symbol" w:hAnsi="Symbol" w:cs="Symbol" w:hint="default"/>
        <w:color w:val="231F20"/>
        <w:w w:val="100"/>
        <w:sz w:val="14"/>
        <w:szCs w:val="14"/>
      </w:rPr>
    </w:lvl>
    <w:lvl w:ilvl="1" w:tplc="7C728804">
      <w:numFmt w:val="bullet"/>
      <w:lvlText w:val="•"/>
      <w:lvlJc w:val="left"/>
      <w:pPr>
        <w:ind w:left="398" w:hanging="100"/>
      </w:pPr>
      <w:rPr>
        <w:rFonts w:hint="default"/>
      </w:rPr>
    </w:lvl>
    <w:lvl w:ilvl="2" w:tplc="791EDC8E">
      <w:numFmt w:val="bullet"/>
      <w:lvlText w:val="•"/>
      <w:lvlJc w:val="left"/>
      <w:pPr>
        <w:ind w:left="636" w:hanging="100"/>
      </w:pPr>
      <w:rPr>
        <w:rFonts w:hint="default"/>
      </w:rPr>
    </w:lvl>
    <w:lvl w:ilvl="3" w:tplc="BA12D200">
      <w:numFmt w:val="bullet"/>
      <w:lvlText w:val="•"/>
      <w:lvlJc w:val="left"/>
      <w:pPr>
        <w:ind w:left="874" w:hanging="100"/>
      </w:pPr>
      <w:rPr>
        <w:rFonts w:hint="default"/>
      </w:rPr>
    </w:lvl>
    <w:lvl w:ilvl="4" w:tplc="06E01BF2">
      <w:numFmt w:val="bullet"/>
      <w:lvlText w:val="•"/>
      <w:lvlJc w:val="left"/>
      <w:pPr>
        <w:ind w:left="1112" w:hanging="100"/>
      </w:pPr>
      <w:rPr>
        <w:rFonts w:hint="default"/>
      </w:rPr>
    </w:lvl>
    <w:lvl w:ilvl="5" w:tplc="5A725740">
      <w:numFmt w:val="bullet"/>
      <w:lvlText w:val="•"/>
      <w:lvlJc w:val="left"/>
      <w:pPr>
        <w:ind w:left="1350" w:hanging="100"/>
      </w:pPr>
      <w:rPr>
        <w:rFonts w:hint="default"/>
      </w:rPr>
    </w:lvl>
    <w:lvl w:ilvl="6" w:tplc="CA0E0816">
      <w:numFmt w:val="bullet"/>
      <w:lvlText w:val="•"/>
      <w:lvlJc w:val="left"/>
      <w:pPr>
        <w:ind w:left="1588" w:hanging="100"/>
      </w:pPr>
      <w:rPr>
        <w:rFonts w:hint="default"/>
      </w:rPr>
    </w:lvl>
    <w:lvl w:ilvl="7" w:tplc="8F5894D4">
      <w:numFmt w:val="bullet"/>
      <w:lvlText w:val="•"/>
      <w:lvlJc w:val="left"/>
      <w:pPr>
        <w:ind w:left="1826" w:hanging="100"/>
      </w:pPr>
      <w:rPr>
        <w:rFonts w:hint="default"/>
      </w:rPr>
    </w:lvl>
    <w:lvl w:ilvl="8" w:tplc="ECFAD79E">
      <w:numFmt w:val="bullet"/>
      <w:lvlText w:val="•"/>
      <w:lvlJc w:val="left"/>
      <w:pPr>
        <w:ind w:left="2064" w:hanging="100"/>
      </w:pPr>
      <w:rPr>
        <w:rFonts w:hint="default"/>
      </w:rPr>
    </w:lvl>
  </w:abstractNum>
  <w:abstractNum w:abstractNumId="321" w15:restartNumberingAfterBreak="0">
    <w:nsid w:val="14081D16"/>
    <w:multiLevelType w:val="hybridMultilevel"/>
    <w:tmpl w:val="20407B72"/>
    <w:lvl w:ilvl="0" w:tplc="56488948">
      <w:numFmt w:val="bullet"/>
      <w:lvlText w:val=""/>
      <w:lvlJc w:val="left"/>
      <w:pPr>
        <w:ind w:left="157" w:hanging="100"/>
      </w:pPr>
      <w:rPr>
        <w:rFonts w:ascii="Symbol" w:eastAsia="Symbol" w:hAnsi="Symbol" w:cs="Symbol" w:hint="default"/>
        <w:color w:val="231F20"/>
        <w:w w:val="100"/>
        <w:sz w:val="14"/>
        <w:szCs w:val="14"/>
      </w:rPr>
    </w:lvl>
    <w:lvl w:ilvl="1" w:tplc="F5E62E0C">
      <w:numFmt w:val="bullet"/>
      <w:lvlText w:val="•"/>
      <w:lvlJc w:val="left"/>
      <w:pPr>
        <w:ind w:left="369" w:hanging="100"/>
      </w:pPr>
      <w:rPr>
        <w:rFonts w:hint="default"/>
      </w:rPr>
    </w:lvl>
    <w:lvl w:ilvl="2" w:tplc="EE2ED9B6">
      <w:numFmt w:val="bullet"/>
      <w:lvlText w:val="•"/>
      <w:lvlJc w:val="left"/>
      <w:pPr>
        <w:ind w:left="579" w:hanging="100"/>
      </w:pPr>
      <w:rPr>
        <w:rFonts w:hint="default"/>
      </w:rPr>
    </w:lvl>
    <w:lvl w:ilvl="3" w:tplc="C6867902">
      <w:numFmt w:val="bullet"/>
      <w:lvlText w:val="•"/>
      <w:lvlJc w:val="left"/>
      <w:pPr>
        <w:ind w:left="789" w:hanging="100"/>
      </w:pPr>
      <w:rPr>
        <w:rFonts w:hint="default"/>
      </w:rPr>
    </w:lvl>
    <w:lvl w:ilvl="4" w:tplc="DF486CFA">
      <w:numFmt w:val="bullet"/>
      <w:lvlText w:val="•"/>
      <w:lvlJc w:val="left"/>
      <w:pPr>
        <w:ind w:left="998" w:hanging="100"/>
      </w:pPr>
      <w:rPr>
        <w:rFonts w:hint="default"/>
      </w:rPr>
    </w:lvl>
    <w:lvl w:ilvl="5" w:tplc="20E66F0C">
      <w:numFmt w:val="bullet"/>
      <w:lvlText w:val="•"/>
      <w:lvlJc w:val="left"/>
      <w:pPr>
        <w:ind w:left="1208" w:hanging="100"/>
      </w:pPr>
      <w:rPr>
        <w:rFonts w:hint="default"/>
      </w:rPr>
    </w:lvl>
    <w:lvl w:ilvl="6" w:tplc="9712F246">
      <w:numFmt w:val="bullet"/>
      <w:lvlText w:val="•"/>
      <w:lvlJc w:val="left"/>
      <w:pPr>
        <w:ind w:left="1418" w:hanging="100"/>
      </w:pPr>
      <w:rPr>
        <w:rFonts w:hint="default"/>
      </w:rPr>
    </w:lvl>
    <w:lvl w:ilvl="7" w:tplc="F6245B42">
      <w:numFmt w:val="bullet"/>
      <w:lvlText w:val="•"/>
      <w:lvlJc w:val="left"/>
      <w:pPr>
        <w:ind w:left="1627" w:hanging="100"/>
      </w:pPr>
      <w:rPr>
        <w:rFonts w:hint="default"/>
      </w:rPr>
    </w:lvl>
    <w:lvl w:ilvl="8" w:tplc="49244648">
      <w:numFmt w:val="bullet"/>
      <w:lvlText w:val="•"/>
      <w:lvlJc w:val="left"/>
      <w:pPr>
        <w:ind w:left="1837" w:hanging="100"/>
      </w:pPr>
      <w:rPr>
        <w:rFonts w:hint="default"/>
      </w:rPr>
    </w:lvl>
  </w:abstractNum>
  <w:abstractNum w:abstractNumId="322" w15:restartNumberingAfterBreak="0">
    <w:nsid w:val="14106976"/>
    <w:multiLevelType w:val="hybridMultilevel"/>
    <w:tmpl w:val="44D2849A"/>
    <w:lvl w:ilvl="0" w:tplc="A94AF0A4">
      <w:numFmt w:val="bullet"/>
      <w:lvlText w:val=""/>
      <w:lvlJc w:val="left"/>
      <w:pPr>
        <w:ind w:left="156" w:hanging="100"/>
      </w:pPr>
      <w:rPr>
        <w:rFonts w:ascii="Symbol" w:eastAsia="Symbol" w:hAnsi="Symbol" w:cs="Symbol" w:hint="default"/>
        <w:color w:val="231F20"/>
        <w:w w:val="100"/>
        <w:sz w:val="14"/>
        <w:szCs w:val="14"/>
      </w:rPr>
    </w:lvl>
    <w:lvl w:ilvl="1" w:tplc="86E0E506">
      <w:numFmt w:val="bullet"/>
      <w:lvlText w:val="•"/>
      <w:lvlJc w:val="left"/>
      <w:pPr>
        <w:ind w:left="398" w:hanging="100"/>
      </w:pPr>
      <w:rPr>
        <w:rFonts w:hint="default"/>
      </w:rPr>
    </w:lvl>
    <w:lvl w:ilvl="2" w:tplc="B2367104">
      <w:numFmt w:val="bullet"/>
      <w:lvlText w:val="•"/>
      <w:lvlJc w:val="left"/>
      <w:pPr>
        <w:ind w:left="636" w:hanging="100"/>
      </w:pPr>
      <w:rPr>
        <w:rFonts w:hint="default"/>
      </w:rPr>
    </w:lvl>
    <w:lvl w:ilvl="3" w:tplc="46220426">
      <w:numFmt w:val="bullet"/>
      <w:lvlText w:val="•"/>
      <w:lvlJc w:val="left"/>
      <w:pPr>
        <w:ind w:left="874" w:hanging="100"/>
      </w:pPr>
      <w:rPr>
        <w:rFonts w:hint="default"/>
      </w:rPr>
    </w:lvl>
    <w:lvl w:ilvl="4" w:tplc="5DC4C6C8">
      <w:numFmt w:val="bullet"/>
      <w:lvlText w:val="•"/>
      <w:lvlJc w:val="left"/>
      <w:pPr>
        <w:ind w:left="1112" w:hanging="100"/>
      </w:pPr>
      <w:rPr>
        <w:rFonts w:hint="default"/>
      </w:rPr>
    </w:lvl>
    <w:lvl w:ilvl="5" w:tplc="8460BDCC">
      <w:numFmt w:val="bullet"/>
      <w:lvlText w:val="•"/>
      <w:lvlJc w:val="left"/>
      <w:pPr>
        <w:ind w:left="1350" w:hanging="100"/>
      </w:pPr>
      <w:rPr>
        <w:rFonts w:hint="default"/>
      </w:rPr>
    </w:lvl>
    <w:lvl w:ilvl="6" w:tplc="B562037E">
      <w:numFmt w:val="bullet"/>
      <w:lvlText w:val="•"/>
      <w:lvlJc w:val="left"/>
      <w:pPr>
        <w:ind w:left="1588" w:hanging="100"/>
      </w:pPr>
      <w:rPr>
        <w:rFonts w:hint="default"/>
      </w:rPr>
    </w:lvl>
    <w:lvl w:ilvl="7" w:tplc="547ED50A">
      <w:numFmt w:val="bullet"/>
      <w:lvlText w:val="•"/>
      <w:lvlJc w:val="left"/>
      <w:pPr>
        <w:ind w:left="1826" w:hanging="100"/>
      </w:pPr>
      <w:rPr>
        <w:rFonts w:hint="default"/>
      </w:rPr>
    </w:lvl>
    <w:lvl w:ilvl="8" w:tplc="82DC9144">
      <w:numFmt w:val="bullet"/>
      <w:lvlText w:val="•"/>
      <w:lvlJc w:val="left"/>
      <w:pPr>
        <w:ind w:left="2064" w:hanging="100"/>
      </w:pPr>
      <w:rPr>
        <w:rFonts w:hint="default"/>
      </w:rPr>
    </w:lvl>
  </w:abstractNum>
  <w:abstractNum w:abstractNumId="323" w15:restartNumberingAfterBreak="0">
    <w:nsid w:val="14181B08"/>
    <w:multiLevelType w:val="hybridMultilevel"/>
    <w:tmpl w:val="76088FF0"/>
    <w:lvl w:ilvl="0" w:tplc="8508148E">
      <w:numFmt w:val="bullet"/>
      <w:lvlText w:val=""/>
      <w:lvlJc w:val="left"/>
      <w:pPr>
        <w:ind w:left="157" w:hanging="100"/>
      </w:pPr>
      <w:rPr>
        <w:rFonts w:ascii="Symbol" w:eastAsia="Symbol" w:hAnsi="Symbol" w:cs="Symbol" w:hint="default"/>
        <w:color w:val="231F20"/>
        <w:w w:val="100"/>
        <w:sz w:val="14"/>
        <w:szCs w:val="14"/>
      </w:rPr>
    </w:lvl>
    <w:lvl w:ilvl="1" w:tplc="E760E246">
      <w:numFmt w:val="bullet"/>
      <w:lvlText w:val="•"/>
      <w:lvlJc w:val="left"/>
      <w:pPr>
        <w:ind w:left="426" w:hanging="100"/>
      </w:pPr>
      <w:rPr>
        <w:rFonts w:hint="default"/>
      </w:rPr>
    </w:lvl>
    <w:lvl w:ilvl="2" w:tplc="4D46D10C">
      <w:numFmt w:val="bullet"/>
      <w:lvlText w:val="•"/>
      <w:lvlJc w:val="left"/>
      <w:pPr>
        <w:ind w:left="692" w:hanging="100"/>
      </w:pPr>
      <w:rPr>
        <w:rFonts w:hint="default"/>
      </w:rPr>
    </w:lvl>
    <w:lvl w:ilvl="3" w:tplc="3F6A4940">
      <w:numFmt w:val="bullet"/>
      <w:lvlText w:val="•"/>
      <w:lvlJc w:val="left"/>
      <w:pPr>
        <w:ind w:left="959" w:hanging="100"/>
      </w:pPr>
      <w:rPr>
        <w:rFonts w:hint="default"/>
      </w:rPr>
    </w:lvl>
    <w:lvl w:ilvl="4" w:tplc="AAF86960">
      <w:numFmt w:val="bullet"/>
      <w:lvlText w:val="•"/>
      <w:lvlJc w:val="left"/>
      <w:pPr>
        <w:ind w:left="1225" w:hanging="100"/>
      </w:pPr>
      <w:rPr>
        <w:rFonts w:hint="default"/>
      </w:rPr>
    </w:lvl>
    <w:lvl w:ilvl="5" w:tplc="04B02EC6">
      <w:numFmt w:val="bullet"/>
      <w:lvlText w:val="•"/>
      <w:lvlJc w:val="left"/>
      <w:pPr>
        <w:ind w:left="1492" w:hanging="100"/>
      </w:pPr>
      <w:rPr>
        <w:rFonts w:hint="default"/>
      </w:rPr>
    </w:lvl>
    <w:lvl w:ilvl="6" w:tplc="B8DA0598">
      <w:numFmt w:val="bullet"/>
      <w:lvlText w:val="•"/>
      <w:lvlJc w:val="left"/>
      <w:pPr>
        <w:ind w:left="1758" w:hanging="100"/>
      </w:pPr>
      <w:rPr>
        <w:rFonts w:hint="default"/>
      </w:rPr>
    </w:lvl>
    <w:lvl w:ilvl="7" w:tplc="F138B7DA">
      <w:numFmt w:val="bullet"/>
      <w:lvlText w:val="•"/>
      <w:lvlJc w:val="left"/>
      <w:pPr>
        <w:ind w:left="2024" w:hanging="100"/>
      </w:pPr>
      <w:rPr>
        <w:rFonts w:hint="default"/>
      </w:rPr>
    </w:lvl>
    <w:lvl w:ilvl="8" w:tplc="D6843184">
      <w:numFmt w:val="bullet"/>
      <w:lvlText w:val="•"/>
      <w:lvlJc w:val="left"/>
      <w:pPr>
        <w:ind w:left="2291" w:hanging="100"/>
      </w:pPr>
      <w:rPr>
        <w:rFonts w:hint="default"/>
      </w:rPr>
    </w:lvl>
  </w:abstractNum>
  <w:abstractNum w:abstractNumId="324" w15:restartNumberingAfterBreak="0">
    <w:nsid w:val="143453BE"/>
    <w:multiLevelType w:val="hybridMultilevel"/>
    <w:tmpl w:val="E7542628"/>
    <w:lvl w:ilvl="0" w:tplc="2988ACDC">
      <w:numFmt w:val="bullet"/>
      <w:lvlText w:val=""/>
      <w:lvlJc w:val="left"/>
      <w:pPr>
        <w:ind w:left="156" w:hanging="100"/>
      </w:pPr>
      <w:rPr>
        <w:rFonts w:ascii="Symbol" w:eastAsia="Symbol" w:hAnsi="Symbol" w:cs="Symbol" w:hint="default"/>
        <w:color w:val="231F20"/>
        <w:w w:val="100"/>
        <w:sz w:val="14"/>
        <w:szCs w:val="14"/>
      </w:rPr>
    </w:lvl>
    <w:lvl w:ilvl="1" w:tplc="0D549E14">
      <w:numFmt w:val="bullet"/>
      <w:lvlText w:val="•"/>
      <w:lvlJc w:val="left"/>
      <w:pPr>
        <w:ind w:left="426" w:hanging="100"/>
      </w:pPr>
      <w:rPr>
        <w:rFonts w:hint="default"/>
      </w:rPr>
    </w:lvl>
    <w:lvl w:ilvl="2" w:tplc="F65A7856">
      <w:numFmt w:val="bullet"/>
      <w:lvlText w:val="•"/>
      <w:lvlJc w:val="left"/>
      <w:pPr>
        <w:ind w:left="692" w:hanging="100"/>
      </w:pPr>
      <w:rPr>
        <w:rFonts w:hint="default"/>
      </w:rPr>
    </w:lvl>
    <w:lvl w:ilvl="3" w:tplc="185002A6">
      <w:numFmt w:val="bullet"/>
      <w:lvlText w:val="•"/>
      <w:lvlJc w:val="left"/>
      <w:pPr>
        <w:ind w:left="959" w:hanging="100"/>
      </w:pPr>
      <w:rPr>
        <w:rFonts w:hint="default"/>
      </w:rPr>
    </w:lvl>
    <w:lvl w:ilvl="4" w:tplc="1A884164">
      <w:numFmt w:val="bullet"/>
      <w:lvlText w:val="•"/>
      <w:lvlJc w:val="left"/>
      <w:pPr>
        <w:ind w:left="1225" w:hanging="100"/>
      </w:pPr>
      <w:rPr>
        <w:rFonts w:hint="default"/>
      </w:rPr>
    </w:lvl>
    <w:lvl w:ilvl="5" w:tplc="EB34EEF0">
      <w:numFmt w:val="bullet"/>
      <w:lvlText w:val="•"/>
      <w:lvlJc w:val="left"/>
      <w:pPr>
        <w:ind w:left="1492" w:hanging="100"/>
      </w:pPr>
      <w:rPr>
        <w:rFonts w:hint="default"/>
      </w:rPr>
    </w:lvl>
    <w:lvl w:ilvl="6" w:tplc="2D185AC6">
      <w:numFmt w:val="bullet"/>
      <w:lvlText w:val="•"/>
      <w:lvlJc w:val="left"/>
      <w:pPr>
        <w:ind w:left="1758" w:hanging="100"/>
      </w:pPr>
      <w:rPr>
        <w:rFonts w:hint="default"/>
      </w:rPr>
    </w:lvl>
    <w:lvl w:ilvl="7" w:tplc="C4C8B532">
      <w:numFmt w:val="bullet"/>
      <w:lvlText w:val="•"/>
      <w:lvlJc w:val="left"/>
      <w:pPr>
        <w:ind w:left="2024" w:hanging="100"/>
      </w:pPr>
      <w:rPr>
        <w:rFonts w:hint="default"/>
      </w:rPr>
    </w:lvl>
    <w:lvl w:ilvl="8" w:tplc="F59279DE">
      <w:numFmt w:val="bullet"/>
      <w:lvlText w:val="•"/>
      <w:lvlJc w:val="left"/>
      <w:pPr>
        <w:ind w:left="2291" w:hanging="100"/>
      </w:pPr>
      <w:rPr>
        <w:rFonts w:hint="default"/>
      </w:rPr>
    </w:lvl>
  </w:abstractNum>
  <w:abstractNum w:abstractNumId="325" w15:restartNumberingAfterBreak="0">
    <w:nsid w:val="143864B9"/>
    <w:multiLevelType w:val="hybridMultilevel"/>
    <w:tmpl w:val="CD944E98"/>
    <w:lvl w:ilvl="0" w:tplc="6BFAF4F6">
      <w:numFmt w:val="bullet"/>
      <w:lvlText w:val=""/>
      <w:lvlJc w:val="left"/>
      <w:pPr>
        <w:ind w:left="157" w:hanging="100"/>
      </w:pPr>
      <w:rPr>
        <w:rFonts w:ascii="Symbol" w:eastAsia="Symbol" w:hAnsi="Symbol" w:cs="Symbol" w:hint="default"/>
        <w:color w:val="231F20"/>
        <w:w w:val="100"/>
        <w:sz w:val="14"/>
        <w:szCs w:val="14"/>
      </w:rPr>
    </w:lvl>
    <w:lvl w:ilvl="1" w:tplc="3E62B442">
      <w:numFmt w:val="bullet"/>
      <w:lvlText w:val="•"/>
      <w:lvlJc w:val="left"/>
      <w:pPr>
        <w:ind w:left="426" w:hanging="100"/>
      </w:pPr>
      <w:rPr>
        <w:rFonts w:hint="default"/>
      </w:rPr>
    </w:lvl>
    <w:lvl w:ilvl="2" w:tplc="DF567138">
      <w:numFmt w:val="bullet"/>
      <w:lvlText w:val="•"/>
      <w:lvlJc w:val="left"/>
      <w:pPr>
        <w:ind w:left="692" w:hanging="100"/>
      </w:pPr>
      <w:rPr>
        <w:rFonts w:hint="default"/>
      </w:rPr>
    </w:lvl>
    <w:lvl w:ilvl="3" w:tplc="13D418BA">
      <w:numFmt w:val="bullet"/>
      <w:lvlText w:val="•"/>
      <w:lvlJc w:val="left"/>
      <w:pPr>
        <w:ind w:left="959" w:hanging="100"/>
      </w:pPr>
      <w:rPr>
        <w:rFonts w:hint="default"/>
      </w:rPr>
    </w:lvl>
    <w:lvl w:ilvl="4" w:tplc="12D249A8">
      <w:numFmt w:val="bullet"/>
      <w:lvlText w:val="•"/>
      <w:lvlJc w:val="left"/>
      <w:pPr>
        <w:ind w:left="1225" w:hanging="100"/>
      </w:pPr>
      <w:rPr>
        <w:rFonts w:hint="default"/>
      </w:rPr>
    </w:lvl>
    <w:lvl w:ilvl="5" w:tplc="09E05B6C">
      <w:numFmt w:val="bullet"/>
      <w:lvlText w:val="•"/>
      <w:lvlJc w:val="left"/>
      <w:pPr>
        <w:ind w:left="1492" w:hanging="100"/>
      </w:pPr>
      <w:rPr>
        <w:rFonts w:hint="default"/>
      </w:rPr>
    </w:lvl>
    <w:lvl w:ilvl="6" w:tplc="C20E1A42">
      <w:numFmt w:val="bullet"/>
      <w:lvlText w:val="•"/>
      <w:lvlJc w:val="left"/>
      <w:pPr>
        <w:ind w:left="1758" w:hanging="100"/>
      </w:pPr>
      <w:rPr>
        <w:rFonts w:hint="default"/>
      </w:rPr>
    </w:lvl>
    <w:lvl w:ilvl="7" w:tplc="DF845DAE">
      <w:numFmt w:val="bullet"/>
      <w:lvlText w:val="•"/>
      <w:lvlJc w:val="left"/>
      <w:pPr>
        <w:ind w:left="2024" w:hanging="100"/>
      </w:pPr>
      <w:rPr>
        <w:rFonts w:hint="default"/>
      </w:rPr>
    </w:lvl>
    <w:lvl w:ilvl="8" w:tplc="6A780868">
      <w:numFmt w:val="bullet"/>
      <w:lvlText w:val="•"/>
      <w:lvlJc w:val="left"/>
      <w:pPr>
        <w:ind w:left="2291" w:hanging="100"/>
      </w:pPr>
      <w:rPr>
        <w:rFonts w:hint="default"/>
      </w:rPr>
    </w:lvl>
  </w:abstractNum>
  <w:abstractNum w:abstractNumId="326" w15:restartNumberingAfterBreak="0">
    <w:nsid w:val="14425347"/>
    <w:multiLevelType w:val="hybridMultilevel"/>
    <w:tmpl w:val="400A10F6"/>
    <w:lvl w:ilvl="0" w:tplc="26C22A2C">
      <w:numFmt w:val="bullet"/>
      <w:lvlText w:val=""/>
      <w:lvlJc w:val="left"/>
      <w:pPr>
        <w:ind w:left="156" w:hanging="100"/>
      </w:pPr>
      <w:rPr>
        <w:rFonts w:ascii="Symbol" w:eastAsia="Symbol" w:hAnsi="Symbol" w:cs="Symbol" w:hint="default"/>
        <w:color w:val="231F20"/>
        <w:w w:val="100"/>
        <w:sz w:val="14"/>
        <w:szCs w:val="14"/>
      </w:rPr>
    </w:lvl>
    <w:lvl w:ilvl="1" w:tplc="6096DDBC">
      <w:numFmt w:val="bullet"/>
      <w:lvlText w:val="•"/>
      <w:lvlJc w:val="left"/>
      <w:pPr>
        <w:ind w:left="398" w:hanging="100"/>
      </w:pPr>
      <w:rPr>
        <w:rFonts w:hint="default"/>
      </w:rPr>
    </w:lvl>
    <w:lvl w:ilvl="2" w:tplc="3912D330">
      <w:numFmt w:val="bullet"/>
      <w:lvlText w:val="•"/>
      <w:lvlJc w:val="left"/>
      <w:pPr>
        <w:ind w:left="636" w:hanging="100"/>
      </w:pPr>
      <w:rPr>
        <w:rFonts w:hint="default"/>
      </w:rPr>
    </w:lvl>
    <w:lvl w:ilvl="3" w:tplc="88106FDE">
      <w:numFmt w:val="bullet"/>
      <w:lvlText w:val="•"/>
      <w:lvlJc w:val="left"/>
      <w:pPr>
        <w:ind w:left="874" w:hanging="100"/>
      </w:pPr>
      <w:rPr>
        <w:rFonts w:hint="default"/>
      </w:rPr>
    </w:lvl>
    <w:lvl w:ilvl="4" w:tplc="F07090EC">
      <w:numFmt w:val="bullet"/>
      <w:lvlText w:val="•"/>
      <w:lvlJc w:val="left"/>
      <w:pPr>
        <w:ind w:left="1112" w:hanging="100"/>
      </w:pPr>
      <w:rPr>
        <w:rFonts w:hint="default"/>
      </w:rPr>
    </w:lvl>
    <w:lvl w:ilvl="5" w:tplc="25E416FA">
      <w:numFmt w:val="bullet"/>
      <w:lvlText w:val="•"/>
      <w:lvlJc w:val="left"/>
      <w:pPr>
        <w:ind w:left="1350" w:hanging="100"/>
      </w:pPr>
      <w:rPr>
        <w:rFonts w:hint="default"/>
      </w:rPr>
    </w:lvl>
    <w:lvl w:ilvl="6" w:tplc="BF92C13A">
      <w:numFmt w:val="bullet"/>
      <w:lvlText w:val="•"/>
      <w:lvlJc w:val="left"/>
      <w:pPr>
        <w:ind w:left="1588" w:hanging="100"/>
      </w:pPr>
      <w:rPr>
        <w:rFonts w:hint="default"/>
      </w:rPr>
    </w:lvl>
    <w:lvl w:ilvl="7" w:tplc="740697C0">
      <w:numFmt w:val="bullet"/>
      <w:lvlText w:val="•"/>
      <w:lvlJc w:val="left"/>
      <w:pPr>
        <w:ind w:left="1826" w:hanging="100"/>
      </w:pPr>
      <w:rPr>
        <w:rFonts w:hint="default"/>
      </w:rPr>
    </w:lvl>
    <w:lvl w:ilvl="8" w:tplc="4F4EFBFA">
      <w:numFmt w:val="bullet"/>
      <w:lvlText w:val="•"/>
      <w:lvlJc w:val="left"/>
      <w:pPr>
        <w:ind w:left="2064" w:hanging="100"/>
      </w:pPr>
      <w:rPr>
        <w:rFonts w:hint="default"/>
      </w:rPr>
    </w:lvl>
  </w:abstractNum>
  <w:abstractNum w:abstractNumId="327" w15:restartNumberingAfterBreak="0">
    <w:nsid w:val="144301BA"/>
    <w:multiLevelType w:val="hybridMultilevel"/>
    <w:tmpl w:val="C67650C0"/>
    <w:lvl w:ilvl="0" w:tplc="6BC2890E">
      <w:numFmt w:val="bullet"/>
      <w:lvlText w:val=""/>
      <w:lvlJc w:val="left"/>
      <w:pPr>
        <w:ind w:left="157" w:hanging="100"/>
      </w:pPr>
      <w:rPr>
        <w:rFonts w:ascii="Symbol" w:eastAsia="Symbol" w:hAnsi="Symbol" w:cs="Symbol" w:hint="default"/>
        <w:color w:val="231F20"/>
        <w:w w:val="100"/>
        <w:sz w:val="14"/>
        <w:szCs w:val="14"/>
      </w:rPr>
    </w:lvl>
    <w:lvl w:ilvl="1" w:tplc="42563656">
      <w:numFmt w:val="bullet"/>
      <w:lvlText w:val="•"/>
      <w:lvlJc w:val="left"/>
      <w:pPr>
        <w:ind w:left="369" w:hanging="100"/>
      </w:pPr>
      <w:rPr>
        <w:rFonts w:hint="default"/>
      </w:rPr>
    </w:lvl>
    <w:lvl w:ilvl="2" w:tplc="E700A230">
      <w:numFmt w:val="bullet"/>
      <w:lvlText w:val="•"/>
      <w:lvlJc w:val="left"/>
      <w:pPr>
        <w:ind w:left="579" w:hanging="100"/>
      </w:pPr>
      <w:rPr>
        <w:rFonts w:hint="default"/>
      </w:rPr>
    </w:lvl>
    <w:lvl w:ilvl="3" w:tplc="98CE7F2A">
      <w:numFmt w:val="bullet"/>
      <w:lvlText w:val="•"/>
      <w:lvlJc w:val="left"/>
      <w:pPr>
        <w:ind w:left="789" w:hanging="100"/>
      </w:pPr>
      <w:rPr>
        <w:rFonts w:hint="default"/>
      </w:rPr>
    </w:lvl>
    <w:lvl w:ilvl="4" w:tplc="D38E84C0">
      <w:numFmt w:val="bullet"/>
      <w:lvlText w:val="•"/>
      <w:lvlJc w:val="left"/>
      <w:pPr>
        <w:ind w:left="998" w:hanging="100"/>
      </w:pPr>
      <w:rPr>
        <w:rFonts w:hint="default"/>
      </w:rPr>
    </w:lvl>
    <w:lvl w:ilvl="5" w:tplc="39D06246">
      <w:numFmt w:val="bullet"/>
      <w:lvlText w:val="•"/>
      <w:lvlJc w:val="left"/>
      <w:pPr>
        <w:ind w:left="1208" w:hanging="100"/>
      </w:pPr>
      <w:rPr>
        <w:rFonts w:hint="default"/>
      </w:rPr>
    </w:lvl>
    <w:lvl w:ilvl="6" w:tplc="93AA8834">
      <w:numFmt w:val="bullet"/>
      <w:lvlText w:val="•"/>
      <w:lvlJc w:val="left"/>
      <w:pPr>
        <w:ind w:left="1418" w:hanging="100"/>
      </w:pPr>
      <w:rPr>
        <w:rFonts w:hint="default"/>
      </w:rPr>
    </w:lvl>
    <w:lvl w:ilvl="7" w:tplc="936C2F8C">
      <w:numFmt w:val="bullet"/>
      <w:lvlText w:val="•"/>
      <w:lvlJc w:val="left"/>
      <w:pPr>
        <w:ind w:left="1627" w:hanging="100"/>
      </w:pPr>
      <w:rPr>
        <w:rFonts w:hint="default"/>
      </w:rPr>
    </w:lvl>
    <w:lvl w:ilvl="8" w:tplc="90B6F9FE">
      <w:numFmt w:val="bullet"/>
      <w:lvlText w:val="•"/>
      <w:lvlJc w:val="left"/>
      <w:pPr>
        <w:ind w:left="1837" w:hanging="100"/>
      </w:pPr>
      <w:rPr>
        <w:rFonts w:hint="default"/>
      </w:rPr>
    </w:lvl>
  </w:abstractNum>
  <w:abstractNum w:abstractNumId="328" w15:restartNumberingAfterBreak="0">
    <w:nsid w:val="14813B3E"/>
    <w:multiLevelType w:val="hybridMultilevel"/>
    <w:tmpl w:val="1290A2FC"/>
    <w:lvl w:ilvl="0" w:tplc="3C68B834">
      <w:numFmt w:val="bullet"/>
      <w:lvlText w:val=""/>
      <w:lvlJc w:val="left"/>
      <w:pPr>
        <w:ind w:left="157" w:hanging="100"/>
      </w:pPr>
      <w:rPr>
        <w:rFonts w:ascii="Symbol" w:eastAsia="Symbol" w:hAnsi="Symbol" w:cs="Symbol" w:hint="default"/>
        <w:color w:val="231F20"/>
        <w:w w:val="100"/>
        <w:sz w:val="14"/>
        <w:szCs w:val="14"/>
      </w:rPr>
    </w:lvl>
    <w:lvl w:ilvl="1" w:tplc="306AAB68">
      <w:numFmt w:val="bullet"/>
      <w:lvlText w:val="•"/>
      <w:lvlJc w:val="left"/>
      <w:pPr>
        <w:ind w:left="369" w:hanging="100"/>
      </w:pPr>
      <w:rPr>
        <w:rFonts w:hint="default"/>
      </w:rPr>
    </w:lvl>
    <w:lvl w:ilvl="2" w:tplc="299811CE">
      <w:numFmt w:val="bullet"/>
      <w:lvlText w:val="•"/>
      <w:lvlJc w:val="left"/>
      <w:pPr>
        <w:ind w:left="579" w:hanging="100"/>
      </w:pPr>
      <w:rPr>
        <w:rFonts w:hint="default"/>
      </w:rPr>
    </w:lvl>
    <w:lvl w:ilvl="3" w:tplc="705E3364">
      <w:numFmt w:val="bullet"/>
      <w:lvlText w:val="•"/>
      <w:lvlJc w:val="left"/>
      <w:pPr>
        <w:ind w:left="789" w:hanging="100"/>
      </w:pPr>
      <w:rPr>
        <w:rFonts w:hint="default"/>
      </w:rPr>
    </w:lvl>
    <w:lvl w:ilvl="4" w:tplc="1234DAD6">
      <w:numFmt w:val="bullet"/>
      <w:lvlText w:val="•"/>
      <w:lvlJc w:val="left"/>
      <w:pPr>
        <w:ind w:left="998" w:hanging="100"/>
      </w:pPr>
      <w:rPr>
        <w:rFonts w:hint="default"/>
      </w:rPr>
    </w:lvl>
    <w:lvl w:ilvl="5" w:tplc="E99A6FAA">
      <w:numFmt w:val="bullet"/>
      <w:lvlText w:val="•"/>
      <w:lvlJc w:val="left"/>
      <w:pPr>
        <w:ind w:left="1208" w:hanging="100"/>
      </w:pPr>
      <w:rPr>
        <w:rFonts w:hint="default"/>
      </w:rPr>
    </w:lvl>
    <w:lvl w:ilvl="6" w:tplc="61567718">
      <w:numFmt w:val="bullet"/>
      <w:lvlText w:val="•"/>
      <w:lvlJc w:val="left"/>
      <w:pPr>
        <w:ind w:left="1418" w:hanging="100"/>
      </w:pPr>
      <w:rPr>
        <w:rFonts w:hint="default"/>
      </w:rPr>
    </w:lvl>
    <w:lvl w:ilvl="7" w:tplc="4FFE35BE">
      <w:numFmt w:val="bullet"/>
      <w:lvlText w:val="•"/>
      <w:lvlJc w:val="left"/>
      <w:pPr>
        <w:ind w:left="1627" w:hanging="100"/>
      </w:pPr>
      <w:rPr>
        <w:rFonts w:hint="default"/>
      </w:rPr>
    </w:lvl>
    <w:lvl w:ilvl="8" w:tplc="1F4C0F68">
      <w:numFmt w:val="bullet"/>
      <w:lvlText w:val="•"/>
      <w:lvlJc w:val="left"/>
      <w:pPr>
        <w:ind w:left="1837" w:hanging="100"/>
      </w:pPr>
      <w:rPr>
        <w:rFonts w:hint="default"/>
      </w:rPr>
    </w:lvl>
  </w:abstractNum>
  <w:abstractNum w:abstractNumId="329" w15:restartNumberingAfterBreak="0">
    <w:nsid w:val="14937570"/>
    <w:multiLevelType w:val="hybridMultilevel"/>
    <w:tmpl w:val="438A8408"/>
    <w:lvl w:ilvl="0" w:tplc="8EDE6A44">
      <w:numFmt w:val="bullet"/>
      <w:lvlText w:val=""/>
      <w:lvlJc w:val="left"/>
      <w:pPr>
        <w:ind w:left="156" w:hanging="100"/>
      </w:pPr>
      <w:rPr>
        <w:rFonts w:ascii="Symbol" w:eastAsia="Symbol" w:hAnsi="Symbol" w:cs="Symbol" w:hint="default"/>
        <w:color w:val="231F20"/>
        <w:w w:val="100"/>
        <w:sz w:val="14"/>
        <w:szCs w:val="14"/>
      </w:rPr>
    </w:lvl>
    <w:lvl w:ilvl="1" w:tplc="092E93FE">
      <w:numFmt w:val="bullet"/>
      <w:lvlText w:val="•"/>
      <w:lvlJc w:val="left"/>
      <w:pPr>
        <w:ind w:left="301" w:hanging="100"/>
      </w:pPr>
      <w:rPr>
        <w:rFonts w:hint="default"/>
      </w:rPr>
    </w:lvl>
    <w:lvl w:ilvl="2" w:tplc="E9EEEB6C">
      <w:numFmt w:val="bullet"/>
      <w:lvlText w:val="•"/>
      <w:lvlJc w:val="left"/>
      <w:pPr>
        <w:ind w:left="443" w:hanging="100"/>
      </w:pPr>
      <w:rPr>
        <w:rFonts w:hint="default"/>
      </w:rPr>
    </w:lvl>
    <w:lvl w:ilvl="3" w:tplc="4B1A9844">
      <w:numFmt w:val="bullet"/>
      <w:lvlText w:val="•"/>
      <w:lvlJc w:val="left"/>
      <w:pPr>
        <w:ind w:left="585" w:hanging="100"/>
      </w:pPr>
      <w:rPr>
        <w:rFonts w:hint="default"/>
      </w:rPr>
    </w:lvl>
    <w:lvl w:ilvl="4" w:tplc="EFC60F6E">
      <w:numFmt w:val="bullet"/>
      <w:lvlText w:val="•"/>
      <w:lvlJc w:val="left"/>
      <w:pPr>
        <w:ind w:left="726" w:hanging="100"/>
      </w:pPr>
      <w:rPr>
        <w:rFonts w:hint="default"/>
      </w:rPr>
    </w:lvl>
    <w:lvl w:ilvl="5" w:tplc="5DBC92B0">
      <w:numFmt w:val="bullet"/>
      <w:lvlText w:val="•"/>
      <w:lvlJc w:val="left"/>
      <w:pPr>
        <w:ind w:left="868" w:hanging="100"/>
      </w:pPr>
      <w:rPr>
        <w:rFonts w:hint="default"/>
      </w:rPr>
    </w:lvl>
    <w:lvl w:ilvl="6" w:tplc="E68E6CEA">
      <w:numFmt w:val="bullet"/>
      <w:lvlText w:val="•"/>
      <w:lvlJc w:val="left"/>
      <w:pPr>
        <w:ind w:left="1010" w:hanging="100"/>
      </w:pPr>
      <w:rPr>
        <w:rFonts w:hint="default"/>
      </w:rPr>
    </w:lvl>
    <w:lvl w:ilvl="7" w:tplc="EA0C83D8">
      <w:numFmt w:val="bullet"/>
      <w:lvlText w:val="•"/>
      <w:lvlJc w:val="left"/>
      <w:pPr>
        <w:ind w:left="1151" w:hanging="100"/>
      </w:pPr>
      <w:rPr>
        <w:rFonts w:hint="default"/>
      </w:rPr>
    </w:lvl>
    <w:lvl w:ilvl="8" w:tplc="54768CA2">
      <w:numFmt w:val="bullet"/>
      <w:lvlText w:val="•"/>
      <w:lvlJc w:val="left"/>
      <w:pPr>
        <w:ind w:left="1293" w:hanging="100"/>
      </w:pPr>
      <w:rPr>
        <w:rFonts w:hint="default"/>
      </w:rPr>
    </w:lvl>
  </w:abstractNum>
  <w:abstractNum w:abstractNumId="330" w15:restartNumberingAfterBreak="0">
    <w:nsid w:val="14A4040D"/>
    <w:multiLevelType w:val="hybridMultilevel"/>
    <w:tmpl w:val="0A3C1AD0"/>
    <w:lvl w:ilvl="0" w:tplc="DC24FD80">
      <w:numFmt w:val="bullet"/>
      <w:lvlText w:val=""/>
      <w:lvlJc w:val="left"/>
      <w:pPr>
        <w:ind w:left="156" w:hanging="100"/>
      </w:pPr>
      <w:rPr>
        <w:rFonts w:ascii="Symbol" w:eastAsia="Symbol" w:hAnsi="Symbol" w:cs="Symbol" w:hint="default"/>
        <w:color w:val="231F20"/>
        <w:w w:val="100"/>
        <w:sz w:val="14"/>
        <w:szCs w:val="14"/>
      </w:rPr>
    </w:lvl>
    <w:lvl w:ilvl="1" w:tplc="C060DBEA">
      <w:numFmt w:val="bullet"/>
      <w:lvlText w:val="•"/>
      <w:lvlJc w:val="left"/>
      <w:pPr>
        <w:ind w:left="301" w:hanging="100"/>
      </w:pPr>
      <w:rPr>
        <w:rFonts w:hint="default"/>
      </w:rPr>
    </w:lvl>
    <w:lvl w:ilvl="2" w:tplc="283A9BFA">
      <w:numFmt w:val="bullet"/>
      <w:lvlText w:val="•"/>
      <w:lvlJc w:val="left"/>
      <w:pPr>
        <w:ind w:left="443" w:hanging="100"/>
      </w:pPr>
      <w:rPr>
        <w:rFonts w:hint="default"/>
      </w:rPr>
    </w:lvl>
    <w:lvl w:ilvl="3" w:tplc="38D0EC48">
      <w:numFmt w:val="bullet"/>
      <w:lvlText w:val="•"/>
      <w:lvlJc w:val="left"/>
      <w:pPr>
        <w:ind w:left="585" w:hanging="100"/>
      </w:pPr>
      <w:rPr>
        <w:rFonts w:hint="default"/>
      </w:rPr>
    </w:lvl>
    <w:lvl w:ilvl="4" w:tplc="3E08263C">
      <w:numFmt w:val="bullet"/>
      <w:lvlText w:val="•"/>
      <w:lvlJc w:val="left"/>
      <w:pPr>
        <w:ind w:left="726" w:hanging="100"/>
      </w:pPr>
      <w:rPr>
        <w:rFonts w:hint="default"/>
      </w:rPr>
    </w:lvl>
    <w:lvl w:ilvl="5" w:tplc="141A90D4">
      <w:numFmt w:val="bullet"/>
      <w:lvlText w:val="•"/>
      <w:lvlJc w:val="left"/>
      <w:pPr>
        <w:ind w:left="868" w:hanging="100"/>
      </w:pPr>
      <w:rPr>
        <w:rFonts w:hint="default"/>
      </w:rPr>
    </w:lvl>
    <w:lvl w:ilvl="6" w:tplc="9C701A68">
      <w:numFmt w:val="bullet"/>
      <w:lvlText w:val="•"/>
      <w:lvlJc w:val="left"/>
      <w:pPr>
        <w:ind w:left="1010" w:hanging="100"/>
      </w:pPr>
      <w:rPr>
        <w:rFonts w:hint="default"/>
      </w:rPr>
    </w:lvl>
    <w:lvl w:ilvl="7" w:tplc="91A04B3A">
      <w:numFmt w:val="bullet"/>
      <w:lvlText w:val="•"/>
      <w:lvlJc w:val="left"/>
      <w:pPr>
        <w:ind w:left="1151" w:hanging="100"/>
      </w:pPr>
      <w:rPr>
        <w:rFonts w:hint="default"/>
      </w:rPr>
    </w:lvl>
    <w:lvl w:ilvl="8" w:tplc="650AAE6C">
      <w:numFmt w:val="bullet"/>
      <w:lvlText w:val="•"/>
      <w:lvlJc w:val="left"/>
      <w:pPr>
        <w:ind w:left="1293" w:hanging="100"/>
      </w:pPr>
      <w:rPr>
        <w:rFonts w:hint="default"/>
      </w:rPr>
    </w:lvl>
  </w:abstractNum>
  <w:abstractNum w:abstractNumId="331" w15:restartNumberingAfterBreak="0">
    <w:nsid w:val="14AA052F"/>
    <w:multiLevelType w:val="hybridMultilevel"/>
    <w:tmpl w:val="01709EDE"/>
    <w:lvl w:ilvl="0" w:tplc="1540AAA6">
      <w:numFmt w:val="bullet"/>
      <w:lvlText w:val=""/>
      <w:lvlJc w:val="left"/>
      <w:pPr>
        <w:ind w:left="156" w:hanging="100"/>
      </w:pPr>
      <w:rPr>
        <w:rFonts w:ascii="Symbol" w:eastAsia="Symbol" w:hAnsi="Symbol" w:cs="Symbol" w:hint="default"/>
        <w:color w:val="231F20"/>
        <w:w w:val="100"/>
        <w:sz w:val="14"/>
        <w:szCs w:val="14"/>
      </w:rPr>
    </w:lvl>
    <w:lvl w:ilvl="1" w:tplc="242C32C2">
      <w:numFmt w:val="bullet"/>
      <w:lvlText w:val="•"/>
      <w:lvlJc w:val="left"/>
      <w:pPr>
        <w:ind w:left="398" w:hanging="100"/>
      </w:pPr>
      <w:rPr>
        <w:rFonts w:hint="default"/>
      </w:rPr>
    </w:lvl>
    <w:lvl w:ilvl="2" w:tplc="A0428D20">
      <w:numFmt w:val="bullet"/>
      <w:lvlText w:val="•"/>
      <w:lvlJc w:val="left"/>
      <w:pPr>
        <w:ind w:left="636" w:hanging="100"/>
      </w:pPr>
      <w:rPr>
        <w:rFonts w:hint="default"/>
      </w:rPr>
    </w:lvl>
    <w:lvl w:ilvl="3" w:tplc="8F1CBBE2">
      <w:numFmt w:val="bullet"/>
      <w:lvlText w:val="•"/>
      <w:lvlJc w:val="left"/>
      <w:pPr>
        <w:ind w:left="874" w:hanging="100"/>
      </w:pPr>
      <w:rPr>
        <w:rFonts w:hint="default"/>
      </w:rPr>
    </w:lvl>
    <w:lvl w:ilvl="4" w:tplc="4D2AC0A0">
      <w:numFmt w:val="bullet"/>
      <w:lvlText w:val="•"/>
      <w:lvlJc w:val="left"/>
      <w:pPr>
        <w:ind w:left="1112" w:hanging="100"/>
      </w:pPr>
      <w:rPr>
        <w:rFonts w:hint="default"/>
      </w:rPr>
    </w:lvl>
    <w:lvl w:ilvl="5" w:tplc="2C681710">
      <w:numFmt w:val="bullet"/>
      <w:lvlText w:val="•"/>
      <w:lvlJc w:val="left"/>
      <w:pPr>
        <w:ind w:left="1350" w:hanging="100"/>
      </w:pPr>
      <w:rPr>
        <w:rFonts w:hint="default"/>
      </w:rPr>
    </w:lvl>
    <w:lvl w:ilvl="6" w:tplc="42D693BA">
      <w:numFmt w:val="bullet"/>
      <w:lvlText w:val="•"/>
      <w:lvlJc w:val="left"/>
      <w:pPr>
        <w:ind w:left="1588" w:hanging="100"/>
      </w:pPr>
      <w:rPr>
        <w:rFonts w:hint="default"/>
      </w:rPr>
    </w:lvl>
    <w:lvl w:ilvl="7" w:tplc="B9EAC53C">
      <w:numFmt w:val="bullet"/>
      <w:lvlText w:val="•"/>
      <w:lvlJc w:val="left"/>
      <w:pPr>
        <w:ind w:left="1826" w:hanging="100"/>
      </w:pPr>
      <w:rPr>
        <w:rFonts w:hint="default"/>
      </w:rPr>
    </w:lvl>
    <w:lvl w:ilvl="8" w:tplc="0938FCF4">
      <w:numFmt w:val="bullet"/>
      <w:lvlText w:val="•"/>
      <w:lvlJc w:val="left"/>
      <w:pPr>
        <w:ind w:left="2064" w:hanging="100"/>
      </w:pPr>
      <w:rPr>
        <w:rFonts w:hint="default"/>
      </w:rPr>
    </w:lvl>
  </w:abstractNum>
  <w:abstractNum w:abstractNumId="332" w15:restartNumberingAfterBreak="0">
    <w:nsid w:val="14AB1E24"/>
    <w:multiLevelType w:val="hybridMultilevel"/>
    <w:tmpl w:val="165E5436"/>
    <w:lvl w:ilvl="0" w:tplc="FF8665B6">
      <w:numFmt w:val="bullet"/>
      <w:lvlText w:val=""/>
      <w:lvlJc w:val="left"/>
      <w:pPr>
        <w:ind w:left="157" w:hanging="100"/>
      </w:pPr>
      <w:rPr>
        <w:rFonts w:ascii="Symbol" w:eastAsia="Symbol" w:hAnsi="Symbol" w:cs="Symbol" w:hint="default"/>
        <w:color w:val="231F20"/>
        <w:w w:val="100"/>
        <w:sz w:val="14"/>
        <w:szCs w:val="14"/>
      </w:rPr>
    </w:lvl>
    <w:lvl w:ilvl="1" w:tplc="85C69248">
      <w:numFmt w:val="bullet"/>
      <w:lvlText w:val="•"/>
      <w:lvlJc w:val="left"/>
      <w:pPr>
        <w:ind w:left="369" w:hanging="100"/>
      </w:pPr>
      <w:rPr>
        <w:rFonts w:hint="default"/>
      </w:rPr>
    </w:lvl>
    <w:lvl w:ilvl="2" w:tplc="48A43E5C">
      <w:numFmt w:val="bullet"/>
      <w:lvlText w:val="•"/>
      <w:lvlJc w:val="left"/>
      <w:pPr>
        <w:ind w:left="579" w:hanging="100"/>
      </w:pPr>
      <w:rPr>
        <w:rFonts w:hint="default"/>
      </w:rPr>
    </w:lvl>
    <w:lvl w:ilvl="3" w:tplc="D73EE8C2">
      <w:numFmt w:val="bullet"/>
      <w:lvlText w:val="•"/>
      <w:lvlJc w:val="left"/>
      <w:pPr>
        <w:ind w:left="789" w:hanging="100"/>
      </w:pPr>
      <w:rPr>
        <w:rFonts w:hint="default"/>
      </w:rPr>
    </w:lvl>
    <w:lvl w:ilvl="4" w:tplc="DABAD32E">
      <w:numFmt w:val="bullet"/>
      <w:lvlText w:val="•"/>
      <w:lvlJc w:val="left"/>
      <w:pPr>
        <w:ind w:left="998" w:hanging="100"/>
      </w:pPr>
      <w:rPr>
        <w:rFonts w:hint="default"/>
      </w:rPr>
    </w:lvl>
    <w:lvl w:ilvl="5" w:tplc="38F8F830">
      <w:numFmt w:val="bullet"/>
      <w:lvlText w:val="•"/>
      <w:lvlJc w:val="left"/>
      <w:pPr>
        <w:ind w:left="1208" w:hanging="100"/>
      </w:pPr>
      <w:rPr>
        <w:rFonts w:hint="default"/>
      </w:rPr>
    </w:lvl>
    <w:lvl w:ilvl="6" w:tplc="09102EE6">
      <w:numFmt w:val="bullet"/>
      <w:lvlText w:val="•"/>
      <w:lvlJc w:val="left"/>
      <w:pPr>
        <w:ind w:left="1418" w:hanging="100"/>
      </w:pPr>
      <w:rPr>
        <w:rFonts w:hint="default"/>
      </w:rPr>
    </w:lvl>
    <w:lvl w:ilvl="7" w:tplc="835CD128">
      <w:numFmt w:val="bullet"/>
      <w:lvlText w:val="•"/>
      <w:lvlJc w:val="left"/>
      <w:pPr>
        <w:ind w:left="1627" w:hanging="100"/>
      </w:pPr>
      <w:rPr>
        <w:rFonts w:hint="default"/>
      </w:rPr>
    </w:lvl>
    <w:lvl w:ilvl="8" w:tplc="9AD429D8">
      <w:numFmt w:val="bullet"/>
      <w:lvlText w:val="•"/>
      <w:lvlJc w:val="left"/>
      <w:pPr>
        <w:ind w:left="1837" w:hanging="100"/>
      </w:pPr>
      <w:rPr>
        <w:rFonts w:hint="default"/>
      </w:rPr>
    </w:lvl>
  </w:abstractNum>
  <w:abstractNum w:abstractNumId="333" w15:restartNumberingAfterBreak="0">
    <w:nsid w:val="14B62F76"/>
    <w:multiLevelType w:val="hybridMultilevel"/>
    <w:tmpl w:val="E28833E6"/>
    <w:lvl w:ilvl="0" w:tplc="624EA4D4">
      <w:numFmt w:val="bullet"/>
      <w:lvlText w:val=""/>
      <w:lvlJc w:val="left"/>
      <w:pPr>
        <w:ind w:left="156" w:hanging="100"/>
      </w:pPr>
      <w:rPr>
        <w:rFonts w:ascii="Symbol" w:eastAsia="Symbol" w:hAnsi="Symbol" w:cs="Symbol" w:hint="default"/>
        <w:color w:val="231F20"/>
        <w:w w:val="100"/>
        <w:sz w:val="14"/>
        <w:szCs w:val="14"/>
      </w:rPr>
    </w:lvl>
    <w:lvl w:ilvl="1" w:tplc="DFF07BBE">
      <w:numFmt w:val="bullet"/>
      <w:lvlText w:val="•"/>
      <w:lvlJc w:val="left"/>
      <w:pPr>
        <w:ind w:left="398" w:hanging="100"/>
      </w:pPr>
      <w:rPr>
        <w:rFonts w:hint="default"/>
      </w:rPr>
    </w:lvl>
    <w:lvl w:ilvl="2" w:tplc="8404FB08">
      <w:numFmt w:val="bullet"/>
      <w:lvlText w:val="•"/>
      <w:lvlJc w:val="left"/>
      <w:pPr>
        <w:ind w:left="636" w:hanging="100"/>
      </w:pPr>
      <w:rPr>
        <w:rFonts w:hint="default"/>
      </w:rPr>
    </w:lvl>
    <w:lvl w:ilvl="3" w:tplc="2124B3D0">
      <w:numFmt w:val="bullet"/>
      <w:lvlText w:val="•"/>
      <w:lvlJc w:val="left"/>
      <w:pPr>
        <w:ind w:left="874" w:hanging="100"/>
      </w:pPr>
      <w:rPr>
        <w:rFonts w:hint="default"/>
      </w:rPr>
    </w:lvl>
    <w:lvl w:ilvl="4" w:tplc="A98A9A64">
      <w:numFmt w:val="bullet"/>
      <w:lvlText w:val="•"/>
      <w:lvlJc w:val="left"/>
      <w:pPr>
        <w:ind w:left="1112" w:hanging="100"/>
      </w:pPr>
      <w:rPr>
        <w:rFonts w:hint="default"/>
      </w:rPr>
    </w:lvl>
    <w:lvl w:ilvl="5" w:tplc="9746D2CE">
      <w:numFmt w:val="bullet"/>
      <w:lvlText w:val="•"/>
      <w:lvlJc w:val="left"/>
      <w:pPr>
        <w:ind w:left="1350" w:hanging="100"/>
      </w:pPr>
      <w:rPr>
        <w:rFonts w:hint="default"/>
      </w:rPr>
    </w:lvl>
    <w:lvl w:ilvl="6" w:tplc="B114F8A6">
      <w:numFmt w:val="bullet"/>
      <w:lvlText w:val="•"/>
      <w:lvlJc w:val="left"/>
      <w:pPr>
        <w:ind w:left="1588" w:hanging="100"/>
      </w:pPr>
      <w:rPr>
        <w:rFonts w:hint="default"/>
      </w:rPr>
    </w:lvl>
    <w:lvl w:ilvl="7" w:tplc="B1C2E91C">
      <w:numFmt w:val="bullet"/>
      <w:lvlText w:val="•"/>
      <w:lvlJc w:val="left"/>
      <w:pPr>
        <w:ind w:left="1826" w:hanging="100"/>
      </w:pPr>
      <w:rPr>
        <w:rFonts w:hint="default"/>
      </w:rPr>
    </w:lvl>
    <w:lvl w:ilvl="8" w:tplc="69567408">
      <w:numFmt w:val="bullet"/>
      <w:lvlText w:val="•"/>
      <w:lvlJc w:val="left"/>
      <w:pPr>
        <w:ind w:left="2064" w:hanging="100"/>
      </w:pPr>
      <w:rPr>
        <w:rFonts w:hint="default"/>
      </w:rPr>
    </w:lvl>
  </w:abstractNum>
  <w:abstractNum w:abstractNumId="334" w15:restartNumberingAfterBreak="0">
    <w:nsid w:val="14BC1650"/>
    <w:multiLevelType w:val="hybridMultilevel"/>
    <w:tmpl w:val="8488CF34"/>
    <w:lvl w:ilvl="0" w:tplc="A0881AFE">
      <w:numFmt w:val="bullet"/>
      <w:lvlText w:val=""/>
      <w:lvlJc w:val="left"/>
      <w:pPr>
        <w:ind w:left="156" w:hanging="100"/>
      </w:pPr>
      <w:rPr>
        <w:rFonts w:ascii="Symbol" w:eastAsia="Symbol" w:hAnsi="Symbol" w:cs="Symbol" w:hint="default"/>
        <w:color w:val="231F20"/>
        <w:w w:val="100"/>
        <w:sz w:val="14"/>
        <w:szCs w:val="14"/>
      </w:rPr>
    </w:lvl>
    <w:lvl w:ilvl="1" w:tplc="C1BA8EF6">
      <w:numFmt w:val="bullet"/>
      <w:lvlText w:val="•"/>
      <w:lvlJc w:val="left"/>
      <w:pPr>
        <w:ind w:left="426" w:hanging="100"/>
      </w:pPr>
      <w:rPr>
        <w:rFonts w:hint="default"/>
      </w:rPr>
    </w:lvl>
    <w:lvl w:ilvl="2" w:tplc="0AEC64DA">
      <w:numFmt w:val="bullet"/>
      <w:lvlText w:val="•"/>
      <w:lvlJc w:val="left"/>
      <w:pPr>
        <w:ind w:left="692" w:hanging="100"/>
      </w:pPr>
      <w:rPr>
        <w:rFonts w:hint="default"/>
      </w:rPr>
    </w:lvl>
    <w:lvl w:ilvl="3" w:tplc="813676B0">
      <w:numFmt w:val="bullet"/>
      <w:lvlText w:val="•"/>
      <w:lvlJc w:val="left"/>
      <w:pPr>
        <w:ind w:left="959" w:hanging="100"/>
      </w:pPr>
      <w:rPr>
        <w:rFonts w:hint="default"/>
      </w:rPr>
    </w:lvl>
    <w:lvl w:ilvl="4" w:tplc="A678BB24">
      <w:numFmt w:val="bullet"/>
      <w:lvlText w:val="•"/>
      <w:lvlJc w:val="left"/>
      <w:pPr>
        <w:ind w:left="1225" w:hanging="100"/>
      </w:pPr>
      <w:rPr>
        <w:rFonts w:hint="default"/>
      </w:rPr>
    </w:lvl>
    <w:lvl w:ilvl="5" w:tplc="D50839AC">
      <w:numFmt w:val="bullet"/>
      <w:lvlText w:val="•"/>
      <w:lvlJc w:val="left"/>
      <w:pPr>
        <w:ind w:left="1492" w:hanging="100"/>
      </w:pPr>
      <w:rPr>
        <w:rFonts w:hint="default"/>
      </w:rPr>
    </w:lvl>
    <w:lvl w:ilvl="6" w:tplc="05305B88">
      <w:numFmt w:val="bullet"/>
      <w:lvlText w:val="•"/>
      <w:lvlJc w:val="left"/>
      <w:pPr>
        <w:ind w:left="1758" w:hanging="100"/>
      </w:pPr>
      <w:rPr>
        <w:rFonts w:hint="default"/>
      </w:rPr>
    </w:lvl>
    <w:lvl w:ilvl="7" w:tplc="C902E614">
      <w:numFmt w:val="bullet"/>
      <w:lvlText w:val="•"/>
      <w:lvlJc w:val="left"/>
      <w:pPr>
        <w:ind w:left="2024" w:hanging="100"/>
      </w:pPr>
      <w:rPr>
        <w:rFonts w:hint="default"/>
      </w:rPr>
    </w:lvl>
    <w:lvl w:ilvl="8" w:tplc="504E1F78">
      <w:numFmt w:val="bullet"/>
      <w:lvlText w:val="•"/>
      <w:lvlJc w:val="left"/>
      <w:pPr>
        <w:ind w:left="2291" w:hanging="100"/>
      </w:pPr>
      <w:rPr>
        <w:rFonts w:hint="default"/>
      </w:rPr>
    </w:lvl>
  </w:abstractNum>
  <w:abstractNum w:abstractNumId="335" w15:restartNumberingAfterBreak="0">
    <w:nsid w:val="14CA3ECF"/>
    <w:multiLevelType w:val="hybridMultilevel"/>
    <w:tmpl w:val="B3E28DA4"/>
    <w:lvl w:ilvl="0" w:tplc="5E28AB3A">
      <w:numFmt w:val="bullet"/>
      <w:lvlText w:val="–"/>
      <w:lvlJc w:val="left"/>
      <w:pPr>
        <w:ind w:left="163" w:hanging="105"/>
      </w:pPr>
      <w:rPr>
        <w:rFonts w:ascii="Times New Roman" w:eastAsia="Times New Roman" w:hAnsi="Times New Roman" w:cs="Times New Roman" w:hint="default"/>
        <w:color w:val="231F20"/>
        <w:spacing w:val="-5"/>
        <w:w w:val="100"/>
        <w:sz w:val="14"/>
        <w:szCs w:val="14"/>
      </w:rPr>
    </w:lvl>
    <w:lvl w:ilvl="1" w:tplc="5C244F00">
      <w:numFmt w:val="bullet"/>
      <w:lvlText w:val="•"/>
      <w:lvlJc w:val="left"/>
      <w:pPr>
        <w:ind w:left="426" w:hanging="105"/>
      </w:pPr>
      <w:rPr>
        <w:rFonts w:hint="default"/>
      </w:rPr>
    </w:lvl>
    <w:lvl w:ilvl="2" w:tplc="2DBE246A">
      <w:numFmt w:val="bullet"/>
      <w:lvlText w:val="•"/>
      <w:lvlJc w:val="left"/>
      <w:pPr>
        <w:ind w:left="692" w:hanging="105"/>
      </w:pPr>
      <w:rPr>
        <w:rFonts w:hint="default"/>
      </w:rPr>
    </w:lvl>
    <w:lvl w:ilvl="3" w:tplc="703C4E56">
      <w:numFmt w:val="bullet"/>
      <w:lvlText w:val="•"/>
      <w:lvlJc w:val="left"/>
      <w:pPr>
        <w:ind w:left="959" w:hanging="105"/>
      </w:pPr>
      <w:rPr>
        <w:rFonts w:hint="default"/>
      </w:rPr>
    </w:lvl>
    <w:lvl w:ilvl="4" w:tplc="CF7680B6">
      <w:numFmt w:val="bullet"/>
      <w:lvlText w:val="•"/>
      <w:lvlJc w:val="left"/>
      <w:pPr>
        <w:ind w:left="1225" w:hanging="105"/>
      </w:pPr>
      <w:rPr>
        <w:rFonts w:hint="default"/>
      </w:rPr>
    </w:lvl>
    <w:lvl w:ilvl="5" w:tplc="62BAD6FE">
      <w:numFmt w:val="bullet"/>
      <w:lvlText w:val="•"/>
      <w:lvlJc w:val="left"/>
      <w:pPr>
        <w:ind w:left="1492" w:hanging="105"/>
      </w:pPr>
      <w:rPr>
        <w:rFonts w:hint="default"/>
      </w:rPr>
    </w:lvl>
    <w:lvl w:ilvl="6" w:tplc="864EEB2A">
      <w:numFmt w:val="bullet"/>
      <w:lvlText w:val="•"/>
      <w:lvlJc w:val="left"/>
      <w:pPr>
        <w:ind w:left="1758" w:hanging="105"/>
      </w:pPr>
      <w:rPr>
        <w:rFonts w:hint="default"/>
      </w:rPr>
    </w:lvl>
    <w:lvl w:ilvl="7" w:tplc="375C17CE">
      <w:numFmt w:val="bullet"/>
      <w:lvlText w:val="•"/>
      <w:lvlJc w:val="left"/>
      <w:pPr>
        <w:ind w:left="2024" w:hanging="105"/>
      </w:pPr>
      <w:rPr>
        <w:rFonts w:hint="default"/>
      </w:rPr>
    </w:lvl>
    <w:lvl w:ilvl="8" w:tplc="B4A83D00">
      <w:numFmt w:val="bullet"/>
      <w:lvlText w:val="•"/>
      <w:lvlJc w:val="left"/>
      <w:pPr>
        <w:ind w:left="2291" w:hanging="105"/>
      </w:pPr>
      <w:rPr>
        <w:rFonts w:hint="default"/>
      </w:rPr>
    </w:lvl>
  </w:abstractNum>
  <w:abstractNum w:abstractNumId="336" w15:restartNumberingAfterBreak="0">
    <w:nsid w:val="14EA79B3"/>
    <w:multiLevelType w:val="hybridMultilevel"/>
    <w:tmpl w:val="5932634C"/>
    <w:lvl w:ilvl="0" w:tplc="FA923E68">
      <w:numFmt w:val="bullet"/>
      <w:lvlText w:val=""/>
      <w:lvlJc w:val="left"/>
      <w:pPr>
        <w:ind w:left="156" w:hanging="100"/>
      </w:pPr>
      <w:rPr>
        <w:rFonts w:ascii="Symbol" w:eastAsia="Symbol" w:hAnsi="Symbol" w:cs="Symbol" w:hint="default"/>
        <w:color w:val="231F20"/>
        <w:w w:val="100"/>
        <w:sz w:val="14"/>
        <w:szCs w:val="14"/>
      </w:rPr>
    </w:lvl>
    <w:lvl w:ilvl="1" w:tplc="6B7252CE">
      <w:numFmt w:val="bullet"/>
      <w:lvlText w:val="•"/>
      <w:lvlJc w:val="left"/>
      <w:pPr>
        <w:ind w:left="273" w:hanging="100"/>
      </w:pPr>
      <w:rPr>
        <w:rFonts w:hint="default"/>
      </w:rPr>
    </w:lvl>
    <w:lvl w:ilvl="2" w:tplc="1876C23E">
      <w:numFmt w:val="bullet"/>
      <w:lvlText w:val="•"/>
      <w:lvlJc w:val="left"/>
      <w:pPr>
        <w:ind w:left="386" w:hanging="100"/>
      </w:pPr>
      <w:rPr>
        <w:rFonts w:hint="default"/>
      </w:rPr>
    </w:lvl>
    <w:lvl w:ilvl="3" w:tplc="6F4AF76A">
      <w:numFmt w:val="bullet"/>
      <w:lvlText w:val="•"/>
      <w:lvlJc w:val="left"/>
      <w:pPr>
        <w:ind w:left="500" w:hanging="100"/>
      </w:pPr>
      <w:rPr>
        <w:rFonts w:hint="default"/>
      </w:rPr>
    </w:lvl>
    <w:lvl w:ilvl="4" w:tplc="3BCA0004">
      <w:numFmt w:val="bullet"/>
      <w:lvlText w:val="•"/>
      <w:lvlJc w:val="left"/>
      <w:pPr>
        <w:ind w:left="613" w:hanging="100"/>
      </w:pPr>
      <w:rPr>
        <w:rFonts w:hint="default"/>
      </w:rPr>
    </w:lvl>
    <w:lvl w:ilvl="5" w:tplc="07A6DB8A">
      <w:numFmt w:val="bullet"/>
      <w:lvlText w:val="•"/>
      <w:lvlJc w:val="left"/>
      <w:pPr>
        <w:ind w:left="727" w:hanging="100"/>
      </w:pPr>
      <w:rPr>
        <w:rFonts w:hint="default"/>
      </w:rPr>
    </w:lvl>
    <w:lvl w:ilvl="6" w:tplc="E8E2ED20">
      <w:numFmt w:val="bullet"/>
      <w:lvlText w:val="•"/>
      <w:lvlJc w:val="left"/>
      <w:pPr>
        <w:ind w:left="840" w:hanging="100"/>
      </w:pPr>
      <w:rPr>
        <w:rFonts w:hint="default"/>
      </w:rPr>
    </w:lvl>
    <w:lvl w:ilvl="7" w:tplc="685626B4">
      <w:numFmt w:val="bullet"/>
      <w:lvlText w:val="•"/>
      <w:lvlJc w:val="left"/>
      <w:pPr>
        <w:ind w:left="953" w:hanging="100"/>
      </w:pPr>
      <w:rPr>
        <w:rFonts w:hint="default"/>
      </w:rPr>
    </w:lvl>
    <w:lvl w:ilvl="8" w:tplc="3834B1A4">
      <w:numFmt w:val="bullet"/>
      <w:lvlText w:val="•"/>
      <w:lvlJc w:val="left"/>
      <w:pPr>
        <w:ind w:left="1067" w:hanging="100"/>
      </w:pPr>
      <w:rPr>
        <w:rFonts w:hint="default"/>
      </w:rPr>
    </w:lvl>
  </w:abstractNum>
  <w:abstractNum w:abstractNumId="337" w15:restartNumberingAfterBreak="0">
    <w:nsid w:val="14EC4678"/>
    <w:multiLevelType w:val="hybridMultilevel"/>
    <w:tmpl w:val="41E2F232"/>
    <w:lvl w:ilvl="0" w:tplc="313AEDD8">
      <w:numFmt w:val="bullet"/>
      <w:lvlText w:val=""/>
      <w:lvlJc w:val="left"/>
      <w:pPr>
        <w:ind w:left="156" w:hanging="100"/>
      </w:pPr>
      <w:rPr>
        <w:rFonts w:ascii="Symbol" w:eastAsia="Symbol" w:hAnsi="Symbol" w:cs="Symbol" w:hint="default"/>
        <w:color w:val="231F20"/>
        <w:w w:val="100"/>
        <w:sz w:val="14"/>
        <w:szCs w:val="14"/>
      </w:rPr>
    </w:lvl>
    <w:lvl w:ilvl="1" w:tplc="0CF0BCB0">
      <w:numFmt w:val="bullet"/>
      <w:lvlText w:val="•"/>
      <w:lvlJc w:val="left"/>
      <w:pPr>
        <w:ind w:left="301" w:hanging="100"/>
      </w:pPr>
      <w:rPr>
        <w:rFonts w:hint="default"/>
      </w:rPr>
    </w:lvl>
    <w:lvl w:ilvl="2" w:tplc="4A2AAC06">
      <w:numFmt w:val="bullet"/>
      <w:lvlText w:val="•"/>
      <w:lvlJc w:val="left"/>
      <w:pPr>
        <w:ind w:left="443" w:hanging="100"/>
      </w:pPr>
      <w:rPr>
        <w:rFonts w:hint="default"/>
      </w:rPr>
    </w:lvl>
    <w:lvl w:ilvl="3" w:tplc="0E3EA806">
      <w:numFmt w:val="bullet"/>
      <w:lvlText w:val="•"/>
      <w:lvlJc w:val="left"/>
      <w:pPr>
        <w:ind w:left="585" w:hanging="100"/>
      </w:pPr>
      <w:rPr>
        <w:rFonts w:hint="default"/>
      </w:rPr>
    </w:lvl>
    <w:lvl w:ilvl="4" w:tplc="612087CC">
      <w:numFmt w:val="bullet"/>
      <w:lvlText w:val="•"/>
      <w:lvlJc w:val="left"/>
      <w:pPr>
        <w:ind w:left="726" w:hanging="100"/>
      </w:pPr>
      <w:rPr>
        <w:rFonts w:hint="default"/>
      </w:rPr>
    </w:lvl>
    <w:lvl w:ilvl="5" w:tplc="23305E2C">
      <w:numFmt w:val="bullet"/>
      <w:lvlText w:val="•"/>
      <w:lvlJc w:val="left"/>
      <w:pPr>
        <w:ind w:left="868" w:hanging="100"/>
      </w:pPr>
      <w:rPr>
        <w:rFonts w:hint="default"/>
      </w:rPr>
    </w:lvl>
    <w:lvl w:ilvl="6" w:tplc="440CE31E">
      <w:numFmt w:val="bullet"/>
      <w:lvlText w:val="•"/>
      <w:lvlJc w:val="left"/>
      <w:pPr>
        <w:ind w:left="1010" w:hanging="100"/>
      </w:pPr>
      <w:rPr>
        <w:rFonts w:hint="default"/>
      </w:rPr>
    </w:lvl>
    <w:lvl w:ilvl="7" w:tplc="AC34B1E4">
      <w:numFmt w:val="bullet"/>
      <w:lvlText w:val="•"/>
      <w:lvlJc w:val="left"/>
      <w:pPr>
        <w:ind w:left="1151" w:hanging="100"/>
      </w:pPr>
      <w:rPr>
        <w:rFonts w:hint="default"/>
      </w:rPr>
    </w:lvl>
    <w:lvl w:ilvl="8" w:tplc="0B1ECB2E">
      <w:numFmt w:val="bullet"/>
      <w:lvlText w:val="•"/>
      <w:lvlJc w:val="left"/>
      <w:pPr>
        <w:ind w:left="1293" w:hanging="100"/>
      </w:pPr>
      <w:rPr>
        <w:rFonts w:hint="default"/>
      </w:rPr>
    </w:lvl>
  </w:abstractNum>
  <w:abstractNum w:abstractNumId="338" w15:restartNumberingAfterBreak="0">
    <w:nsid w:val="15296B68"/>
    <w:multiLevelType w:val="hybridMultilevel"/>
    <w:tmpl w:val="733E6B1C"/>
    <w:lvl w:ilvl="0" w:tplc="8766E62C">
      <w:numFmt w:val="bullet"/>
      <w:lvlText w:val=""/>
      <w:lvlJc w:val="left"/>
      <w:pPr>
        <w:ind w:left="156" w:hanging="100"/>
      </w:pPr>
      <w:rPr>
        <w:rFonts w:ascii="Symbol" w:eastAsia="Symbol" w:hAnsi="Symbol" w:cs="Symbol" w:hint="default"/>
        <w:color w:val="231F20"/>
        <w:w w:val="100"/>
        <w:sz w:val="14"/>
        <w:szCs w:val="14"/>
      </w:rPr>
    </w:lvl>
    <w:lvl w:ilvl="1" w:tplc="DE5E4B2E">
      <w:numFmt w:val="bullet"/>
      <w:lvlText w:val="•"/>
      <w:lvlJc w:val="left"/>
      <w:pPr>
        <w:ind w:left="454" w:hanging="100"/>
      </w:pPr>
      <w:rPr>
        <w:rFonts w:hint="default"/>
      </w:rPr>
    </w:lvl>
    <w:lvl w:ilvl="2" w:tplc="965E29DA">
      <w:numFmt w:val="bullet"/>
      <w:lvlText w:val="•"/>
      <w:lvlJc w:val="left"/>
      <w:pPr>
        <w:ind w:left="749" w:hanging="100"/>
      </w:pPr>
      <w:rPr>
        <w:rFonts w:hint="default"/>
      </w:rPr>
    </w:lvl>
    <w:lvl w:ilvl="3" w:tplc="01904618">
      <w:numFmt w:val="bullet"/>
      <w:lvlText w:val="•"/>
      <w:lvlJc w:val="left"/>
      <w:pPr>
        <w:ind w:left="1044" w:hanging="100"/>
      </w:pPr>
      <w:rPr>
        <w:rFonts w:hint="default"/>
      </w:rPr>
    </w:lvl>
    <w:lvl w:ilvl="4" w:tplc="780E4112">
      <w:numFmt w:val="bullet"/>
      <w:lvlText w:val="•"/>
      <w:lvlJc w:val="left"/>
      <w:pPr>
        <w:ind w:left="1339" w:hanging="100"/>
      </w:pPr>
      <w:rPr>
        <w:rFonts w:hint="default"/>
      </w:rPr>
    </w:lvl>
    <w:lvl w:ilvl="5" w:tplc="DD0A4C10">
      <w:numFmt w:val="bullet"/>
      <w:lvlText w:val="•"/>
      <w:lvlJc w:val="left"/>
      <w:pPr>
        <w:ind w:left="1634" w:hanging="100"/>
      </w:pPr>
      <w:rPr>
        <w:rFonts w:hint="default"/>
      </w:rPr>
    </w:lvl>
    <w:lvl w:ilvl="6" w:tplc="613CD33C">
      <w:numFmt w:val="bullet"/>
      <w:lvlText w:val="•"/>
      <w:lvlJc w:val="left"/>
      <w:pPr>
        <w:ind w:left="1928" w:hanging="100"/>
      </w:pPr>
      <w:rPr>
        <w:rFonts w:hint="default"/>
      </w:rPr>
    </w:lvl>
    <w:lvl w:ilvl="7" w:tplc="5686A3EA">
      <w:numFmt w:val="bullet"/>
      <w:lvlText w:val="•"/>
      <w:lvlJc w:val="left"/>
      <w:pPr>
        <w:ind w:left="2223" w:hanging="100"/>
      </w:pPr>
      <w:rPr>
        <w:rFonts w:hint="default"/>
      </w:rPr>
    </w:lvl>
    <w:lvl w:ilvl="8" w:tplc="F90AB7F0">
      <w:numFmt w:val="bullet"/>
      <w:lvlText w:val="•"/>
      <w:lvlJc w:val="left"/>
      <w:pPr>
        <w:ind w:left="2518" w:hanging="100"/>
      </w:pPr>
      <w:rPr>
        <w:rFonts w:hint="default"/>
      </w:rPr>
    </w:lvl>
  </w:abstractNum>
  <w:abstractNum w:abstractNumId="339" w15:restartNumberingAfterBreak="0">
    <w:nsid w:val="15657419"/>
    <w:multiLevelType w:val="hybridMultilevel"/>
    <w:tmpl w:val="49709F70"/>
    <w:lvl w:ilvl="0" w:tplc="FA260A46">
      <w:numFmt w:val="bullet"/>
      <w:lvlText w:val=""/>
      <w:lvlJc w:val="left"/>
      <w:pPr>
        <w:ind w:left="156" w:hanging="100"/>
      </w:pPr>
      <w:rPr>
        <w:rFonts w:ascii="Symbol" w:eastAsia="Symbol" w:hAnsi="Symbol" w:cs="Symbol" w:hint="default"/>
        <w:color w:val="231F20"/>
        <w:w w:val="100"/>
        <w:sz w:val="14"/>
        <w:szCs w:val="14"/>
      </w:rPr>
    </w:lvl>
    <w:lvl w:ilvl="1" w:tplc="5D2E271C">
      <w:numFmt w:val="bullet"/>
      <w:lvlText w:val="•"/>
      <w:lvlJc w:val="left"/>
      <w:pPr>
        <w:ind w:left="301" w:hanging="100"/>
      </w:pPr>
      <w:rPr>
        <w:rFonts w:hint="default"/>
      </w:rPr>
    </w:lvl>
    <w:lvl w:ilvl="2" w:tplc="C142BBC4">
      <w:numFmt w:val="bullet"/>
      <w:lvlText w:val="•"/>
      <w:lvlJc w:val="left"/>
      <w:pPr>
        <w:ind w:left="443" w:hanging="100"/>
      </w:pPr>
      <w:rPr>
        <w:rFonts w:hint="default"/>
      </w:rPr>
    </w:lvl>
    <w:lvl w:ilvl="3" w:tplc="F132B318">
      <w:numFmt w:val="bullet"/>
      <w:lvlText w:val="•"/>
      <w:lvlJc w:val="left"/>
      <w:pPr>
        <w:ind w:left="585" w:hanging="100"/>
      </w:pPr>
      <w:rPr>
        <w:rFonts w:hint="default"/>
      </w:rPr>
    </w:lvl>
    <w:lvl w:ilvl="4" w:tplc="194A9916">
      <w:numFmt w:val="bullet"/>
      <w:lvlText w:val="•"/>
      <w:lvlJc w:val="left"/>
      <w:pPr>
        <w:ind w:left="726" w:hanging="100"/>
      </w:pPr>
      <w:rPr>
        <w:rFonts w:hint="default"/>
      </w:rPr>
    </w:lvl>
    <w:lvl w:ilvl="5" w:tplc="71706C7C">
      <w:numFmt w:val="bullet"/>
      <w:lvlText w:val="•"/>
      <w:lvlJc w:val="left"/>
      <w:pPr>
        <w:ind w:left="868" w:hanging="100"/>
      </w:pPr>
      <w:rPr>
        <w:rFonts w:hint="default"/>
      </w:rPr>
    </w:lvl>
    <w:lvl w:ilvl="6" w:tplc="692C2416">
      <w:numFmt w:val="bullet"/>
      <w:lvlText w:val="•"/>
      <w:lvlJc w:val="left"/>
      <w:pPr>
        <w:ind w:left="1010" w:hanging="100"/>
      </w:pPr>
      <w:rPr>
        <w:rFonts w:hint="default"/>
      </w:rPr>
    </w:lvl>
    <w:lvl w:ilvl="7" w:tplc="B868F262">
      <w:numFmt w:val="bullet"/>
      <w:lvlText w:val="•"/>
      <w:lvlJc w:val="left"/>
      <w:pPr>
        <w:ind w:left="1151" w:hanging="100"/>
      </w:pPr>
      <w:rPr>
        <w:rFonts w:hint="default"/>
      </w:rPr>
    </w:lvl>
    <w:lvl w:ilvl="8" w:tplc="1E609EF8">
      <w:numFmt w:val="bullet"/>
      <w:lvlText w:val="•"/>
      <w:lvlJc w:val="left"/>
      <w:pPr>
        <w:ind w:left="1293" w:hanging="100"/>
      </w:pPr>
      <w:rPr>
        <w:rFonts w:hint="default"/>
      </w:rPr>
    </w:lvl>
  </w:abstractNum>
  <w:abstractNum w:abstractNumId="340" w15:restartNumberingAfterBreak="0">
    <w:nsid w:val="15855717"/>
    <w:multiLevelType w:val="hybridMultilevel"/>
    <w:tmpl w:val="B5DE8BDA"/>
    <w:lvl w:ilvl="0" w:tplc="9E8CE068">
      <w:numFmt w:val="bullet"/>
      <w:lvlText w:val=""/>
      <w:lvlJc w:val="left"/>
      <w:pPr>
        <w:ind w:left="156" w:hanging="100"/>
      </w:pPr>
      <w:rPr>
        <w:rFonts w:ascii="Symbol" w:eastAsia="Symbol" w:hAnsi="Symbol" w:cs="Symbol" w:hint="default"/>
        <w:color w:val="231F20"/>
        <w:w w:val="100"/>
        <w:sz w:val="14"/>
        <w:szCs w:val="14"/>
      </w:rPr>
    </w:lvl>
    <w:lvl w:ilvl="1" w:tplc="B09620C2">
      <w:numFmt w:val="bullet"/>
      <w:lvlText w:val="•"/>
      <w:lvlJc w:val="left"/>
      <w:pPr>
        <w:ind w:left="301" w:hanging="100"/>
      </w:pPr>
      <w:rPr>
        <w:rFonts w:hint="default"/>
      </w:rPr>
    </w:lvl>
    <w:lvl w:ilvl="2" w:tplc="F9BAD936">
      <w:numFmt w:val="bullet"/>
      <w:lvlText w:val="•"/>
      <w:lvlJc w:val="left"/>
      <w:pPr>
        <w:ind w:left="443" w:hanging="100"/>
      </w:pPr>
      <w:rPr>
        <w:rFonts w:hint="default"/>
      </w:rPr>
    </w:lvl>
    <w:lvl w:ilvl="3" w:tplc="A22A99E6">
      <w:numFmt w:val="bullet"/>
      <w:lvlText w:val="•"/>
      <w:lvlJc w:val="left"/>
      <w:pPr>
        <w:ind w:left="585" w:hanging="100"/>
      </w:pPr>
      <w:rPr>
        <w:rFonts w:hint="default"/>
      </w:rPr>
    </w:lvl>
    <w:lvl w:ilvl="4" w:tplc="92CC0942">
      <w:numFmt w:val="bullet"/>
      <w:lvlText w:val="•"/>
      <w:lvlJc w:val="left"/>
      <w:pPr>
        <w:ind w:left="726" w:hanging="100"/>
      </w:pPr>
      <w:rPr>
        <w:rFonts w:hint="default"/>
      </w:rPr>
    </w:lvl>
    <w:lvl w:ilvl="5" w:tplc="7174F896">
      <w:numFmt w:val="bullet"/>
      <w:lvlText w:val="•"/>
      <w:lvlJc w:val="left"/>
      <w:pPr>
        <w:ind w:left="868" w:hanging="100"/>
      </w:pPr>
      <w:rPr>
        <w:rFonts w:hint="default"/>
      </w:rPr>
    </w:lvl>
    <w:lvl w:ilvl="6" w:tplc="1AD4ADEE">
      <w:numFmt w:val="bullet"/>
      <w:lvlText w:val="•"/>
      <w:lvlJc w:val="left"/>
      <w:pPr>
        <w:ind w:left="1010" w:hanging="100"/>
      </w:pPr>
      <w:rPr>
        <w:rFonts w:hint="default"/>
      </w:rPr>
    </w:lvl>
    <w:lvl w:ilvl="7" w:tplc="02BAFE72">
      <w:numFmt w:val="bullet"/>
      <w:lvlText w:val="•"/>
      <w:lvlJc w:val="left"/>
      <w:pPr>
        <w:ind w:left="1151" w:hanging="100"/>
      </w:pPr>
      <w:rPr>
        <w:rFonts w:hint="default"/>
      </w:rPr>
    </w:lvl>
    <w:lvl w:ilvl="8" w:tplc="16F62A8E">
      <w:numFmt w:val="bullet"/>
      <w:lvlText w:val="•"/>
      <w:lvlJc w:val="left"/>
      <w:pPr>
        <w:ind w:left="1293" w:hanging="100"/>
      </w:pPr>
      <w:rPr>
        <w:rFonts w:hint="default"/>
      </w:rPr>
    </w:lvl>
  </w:abstractNum>
  <w:abstractNum w:abstractNumId="341" w15:restartNumberingAfterBreak="0">
    <w:nsid w:val="158A12D7"/>
    <w:multiLevelType w:val="hybridMultilevel"/>
    <w:tmpl w:val="0428ABE2"/>
    <w:lvl w:ilvl="0" w:tplc="97762708">
      <w:numFmt w:val="bullet"/>
      <w:lvlText w:val=""/>
      <w:lvlJc w:val="left"/>
      <w:pPr>
        <w:ind w:left="156" w:hanging="100"/>
      </w:pPr>
      <w:rPr>
        <w:rFonts w:ascii="Symbol" w:eastAsia="Symbol" w:hAnsi="Symbol" w:cs="Symbol" w:hint="default"/>
        <w:color w:val="231F20"/>
        <w:w w:val="100"/>
        <w:sz w:val="14"/>
        <w:szCs w:val="14"/>
      </w:rPr>
    </w:lvl>
    <w:lvl w:ilvl="1" w:tplc="ABE4D5DE">
      <w:numFmt w:val="bullet"/>
      <w:lvlText w:val="•"/>
      <w:lvlJc w:val="left"/>
      <w:pPr>
        <w:ind w:left="398" w:hanging="100"/>
      </w:pPr>
      <w:rPr>
        <w:rFonts w:hint="default"/>
      </w:rPr>
    </w:lvl>
    <w:lvl w:ilvl="2" w:tplc="66C03CAC">
      <w:numFmt w:val="bullet"/>
      <w:lvlText w:val="•"/>
      <w:lvlJc w:val="left"/>
      <w:pPr>
        <w:ind w:left="636" w:hanging="100"/>
      </w:pPr>
      <w:rPr>
        <w:rFonts w:hint="default"/>
      </w:rPr>
    </w:lvl>
    <w:lvl w:ilvl="3" w:tplc="06D2F842">
      <w:numFmt w:val="bullet"/>
      <w:lvlText w:val="•"/>
      <w:lvlJc w:val="left"/>
      <w:pPr>
        <w:ind w:left="874" w:hanging="100"/>
      </w:pPr>
      <w:rPr>
        <w:rFonts w:hint="default"/>
      </w:rPr>
    </w:lvl>
    <w:lvl w:ilvl="4" w:tplc="851A9C18">
      <w:numFmt w:val="bullet"/>
      <w:lvlText w:val="•"/>
      <w:lvlJc w:val="left"/>
      <w:pPr>
        <w:ind w:left="1112" w:hanging="100"/>
      </w:pPr>
      <w:rPr>
        <w:rFonts w:hint="default"/>
      </w:rPr>
    </w:lvl>
    <w:lvl w:ilvl="5" w:tplc="EF28817A">
      <w:numFmt w:val="bullet"/>
      <w:lvlText w:val="•"/>
      <w:lvlJc w:val="left"/>
      <w:pPr>
        <w:ind w:left="1350" w:hanging="100"/>
      </w:pPr>
      <w:rPr>
        <w:rFonts w:hint="default"/>
      </w:rPr>
    </w:lvl>
    <w:lvl w:ilvl="6" w:tplc="912AA3D2">
      <w:numFmt w:val="bullet"/>
      <w:lvlText w:val="•"/>
      <w:lvlJc w:val="left"/>
      <w:pPr>
        <w:ind w:left="1588" w:hanging="100"/>
      </w:pPr>
      <w:rPr>
        <w:rFonts w:hint="default"/>
      </w:rPr>
    </w:lvl>
    <w:lvl w:ilvl="7" w:tplc="39AE11A8">
      <w:numFmt w:val="bullet"/>
      <w:lvlText w:val="•"/>
      <w:lvlJc w:val="left"/>
      <w:pPr>
        <w:ind w:left="1826" w:hanging="100"/>
      </w:pPr>
      <w:rPr>
        <w:rFonts w:hint="default"/>
      </w:rPr>
    </w:lvl>
    <w:lvl w:ilvl="8" w:tplc="AFE8D6EC">
      <w:numFmt w:val="bullet"/>
      <w:lvlText w:val="•"/>
      <w:lvlJc w:val="left"/>
      <w:pPr>
        <w:ind w:left="2064" w:hanging="100"/>
      </w:pPr>
      <w:rPr>
        <w:rFonts w:hint="default"/>
      </w:rPr>
    </w:lvl>
  </w:abstractNum>
  <w:abstractNum w:abstractNumId="342" w15:restartNumberingAfterBreak="0">
    <w:nsid w:val="159765AD"/>
    <w:multiLevelType w:val="hybridMultilevel"/>
    <w:tmpl w:val="C89482DC"/>
    <w:lvl w:ilvl="0" w:tplc="B14AD9A8">
      <w:numFmt w:val="bullet"/>
      <w:lvlText w:val=""/>
      <w:lvlJc w:val="left"/>
      <w:pPr>
        <w:ind w:left="156" w:hanging="100"/>
      </w:pPr>
      <w:rPr>
        <w:rFonts w:ascii="Symbol" w:eastAsia="Symbol" w:hAnsi="Symbol" w:cs="Symbol" w:hint="default"/>
        <w:color w:val="231F20"/>
        <w:w w:val="100"/>
        <w:sz w:val="14"/>
        <w:szCs w:val="14"/>
      </w:rPr>
    </w:lvl>
    <w:lvl w:ilvl="1" w:tplc="7ED093E8">
      <w:numFmt w:val="bullet"/>
      <w:lvlText w:val="•"/>
      <w:lvlJc w:val="left"/>
      <w:pPr>
        <w:ind w:left="301" w:hanging="100"/>
      </w:pPr>
      <w:rPr>
        <w:rFonts w:hint="default"/>
      </w:rPr>
    </w:lvl>
    <w:lvl w:ilvl="2" w:tplc="AC0A9306">
      <w:numFmt w:val="bullet"/>
      <w:lvlText w:val="•"/>
      <w:lvlJc w:val="left"/>
      <w:pPr>
        <w:ind w:left="443" w:hanging="100"/>
      </w:pPr>
      <w:rPr>
        <w:rFonts w:hint="default"/>
      </w:rPr>
    </w:lvl>
    <w:lvl w:ilvl="3" w:tplc="F198DBC2">
      <w:numFmt w:val="bullet"/>
      <w:lvlText w:val="•"/>
      <w:lvlJc w:val="left"/>
      <w:pPr>
        <w:ind w:left="585" w:hanging="100"/>
      </w:pPr>
      <w:rPr>
        <w:rFonts w:hint="default"/>
      </w:rPr>
    </w:lvl>
    <w:lvl w:ilvl="4" w:tplc="2C1ED276">
      <w:numFmt w:val="bullet"/>
      <w:lvlText w:val="•"/>
      <w:lvlJc w:val="left"/>
      <w:pPr>
        <w:ind w:left="726" w:hanging="100"/>
      </w:pPr>
      <w:rPr>
        <w:rFonts w:hint="default"/>
      </w:rPr>
    </w:lvl>
    <w:lvl w:ilvl="5" w:tplc="7154344C">
      <w:numFmt w:val="bullet"/>
      <w:lvlText w:val="•"/>
      <w:lvlJc w:val="left"/>
      <w:pPr>
        <w:ind w:left="868" w:hanging="100"/>
      </w:pPr>
      <w:rPr>
        <w:rFonts w:hint="default"/>
      </w:rPr>
    </w:lvl>
    <w:lvl w:ilvl="6" w:tplc="D19CEB2A">
      <w:numFmt w:val="bullet"/>
      <w:lvlText w:val="•"/>
      <w:lvlJc w:val="left"/>
      <w:pPr>
        <w:ind w:left="1010" w:hanging="100"/>
      </w:pPr>
      <w:rPr>
        <w:rFonts w:hint="default"/>
      </w:rPr>
    </w:lvl>
    <w:lvl w:ilvl="7" w:tplc="62A4A5A8">
      <w:numFmt w:val="bullet"/>
      <w:lvlText w:val="•"/>
      <w:lvlJc w:val="left"/>
      <w:pPr>
        <w:ind w:left="1151" w:hanging="100"/>
      </w:pPr>
      <w:rPr>
        <w:rFonts w:hint="default"/>
      </w:rPr>
    </w:lvl>
    <w:lvl w:ilvl="8" w:tplc="A52AD2FA">
      <w:numFmt w:val="bullet"/>
      <w:lvlText w:val="•"/>
      <w:lvlJc w:val="left"/>
      <w:pPr>
        <w:ind w:left="1293" w:hanging="100"/>
      </w:pPr>
      <w:rPr>
        <w:rFonts w:hint="default"/>
      </w:rPr>
    </w:lvl>
  </w:abstractNum>
  <w:abstractNum w:abstractNumId="343" w15:restartNumberingAfterBreak="0">
    <w:nsid w:val="159A59B2"/>
    <w:multiLevelType w:val="hybridMultilevel"/>
    <w:tmpl w:val="B3E624C6"/>
    <w:lvl w:ilvl="0" w:tplc="0A385B2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3CE6973A">
      <w:numFmt w:val="bullet"/>
      <w:lvlText w:val="•"/>
      <w:lvlJc w:val="left"/>
      <w:pPr>
        <w:ind w:left="408" w:hanging="84"/>
      </w:pPr>
      <w:rPr>
        <w:rFonts w:hint="default"/>
      </w:rPr>
    </w:lvl>
    <w:lvl w:ilvl="2" w:tplc="38B4B200">
      <w:numFmt w:val="bullet"/>
      <w:lvlText w:val="•"/>
      <w:lvlJc w:val="left"/>
      <w:pPr>
        <w:ind w:left="676" w:hanging="84"/>
      </w:pPr>
      <w:rPr>
        <w:rFonts w:hint="default"/>
      </w:rPr>
    </w:lvl>
    <w:lvl w:ilvl="3" w:tplc="2B54BAA2">
      <w:numFmt w:val="bullet"/>
      <w:lvlText w:val="•"/>
      <w:lvlJc w:val="left"/>
      <w:pPr>
        <w:ind w:left="945" w:hanging="84"/>
      </w:pPr>
      <w:rPr>
        <w:rFonts w:hint="default"/>
      </w:rPr>
    </w:lvl>
    <w:lvl w:ilvl="4" w:tplc="63728EE2">
      <w:numFmt w:val="bullet"/>
      <w:lvlText w:val="•"/>
      <w:lvlJc w:val="left"/>
      <w:pPr>
        <w:ind w:left="1213" w:hanging="84"/>
      </w:pPr>
      <w:rPr>
        <w:rFonts w:hint="default"/>
      </w:rPr>
    </w:lvl>
    <w:lvl w:ilvl="5" w:tplc="EDC073E8">
      <w:numFmt w:val="bullet"/>
      <w:lvlText w:val="•"/>
      <w:lvlJc w:val="left"/>
      <w:pPr>
        <w:ind w:left="1482" w:hanging="84"/>
      </w:pPr>
      <w:rPr>
        <w:rFonts w:hint="default"/>
      </w:rPr>
    </w:lvl>
    <w:lvl w:ilvl="6" w:tplc="05F84EC0">
      <w:numFmt w:val="bullet"/>
      <w:lvlText w:val="•"/>
      <w:lvlJc w:val="left"/>
      <w:pPr>
        <w:ind w:left="1750" w:hanging="84"/>
      </w:pPr>
      <w:rPr>
        <w:rFonts w:hint="default"/>
      </w:rPr>
    </w:lvl>
    <w:lvl w:ilvl="7" w:tplc="733AFE78">
      <w:numFmt w:val="bullet"/>
      <w:lvlText w:val="•"/>
      <w:lvlJc w:val="left"/>
      <w:pPr>
        <w:ind w:left="2018" w:hanging="84"/>
      </w:pPr>
      <w:rPr>
        <w:rFonts w:hint="default"/>
      </w:rPr>
    </w:lvl>
    <w:lvl w:ilvl="8" w:tplc="D350621A">
      <w:numFmt w:val="bullet"/>
      <w:lvlText w:val="•"/>
      <w:lvlJc w:val="left"/>
      <w:pPr>
        <w:ind w:left="2287" w:hanging="84"/>
      </w:pPr>
      <w:rPr>
        <w:rFonts w:hint="default"/>
      </w:rPr>
    </w:lvl>
  </w:abstractNum>
  <w:abstractNum w:abstractNumId="344" w15:restartNumberingAfterBreak="0">
    <w:nsid w:val="15A03ED0"/>
    <w:multiLevelType w:val="hybridMultilevel"/>
    <w:tmpl w:val="ECCE51F8"/>
    <w:lvl w:ilvl="0" w:tplc="2E085A24">
      <w:numFmt w:val="bullet"/>
      <w:lvlText w:val=""/>
      <w:lvlJc w:val="left"/>
      <w:pPr>
        <w:ind w:left="156" w:hanging="100"/>
      </w:pPr>
      <w:rPr>
        <w:rFonts w:ascii="Symbol" w:eastAsia="Symbol" w:hAnsi="Symbol" w:cs="Symbol" w:hint="default"/>
        <w:color w:val="231F20"/>
        <w:w w:val="100"/>
        <w:sz w:val="14"/>
        <w:szCs w:val="14"/>
      </w:rPr>
    </w:lvl>
    <w:lvl w:ilvl="1" w:tplc="78F4BA60">
      <w:numFmt w:val="bullet"/>
      <w:lvlText w:val="•"/>
      <w:lvlJc w:val="left"/>
      <w:pPr>
        <w:ind w:left="301" w:hanging="100"/>
      </w:pPr>
      <w:rPr>
        <w:rFonts w:hint="default"/>
      </w:rPr>
    </w:lvl>
    <w:lvl w:ilvl="2" w:tplc="A1DC0084">
      <w:numFmt w:val="bullet"/>
      <w:lvlText w:val="•"/>
      <w:lvlJc w:val="left"/>
      <w:pPr>
        <w:ind w:left="443" w:hanging="100"/>
      </w:pPr>
      <w:rPr>
        <w:rFonts w:hint="default"/>
      </w:rPr>
    </w:lvl>
    <w:lvl w:ilvl="3" w:tplc="3534895E">
      <w:numFmt w:val="bullet"/>
      <w:lvlText w:val="•"/>
      <w:lvlJc w:val="left"/>
      <w:pPr>
        <w:ind w:left="585" w:hanging="100"/>
      </w:pPr>
      <w:rPr>
        <w:rFonts w:hint="default"/>
      </w:rPr>
    </w:lvl>
    <w:lvl w:ilvl="4" w:tplc="80F6FA16">
      <w:numFmt w:val="bullet"/>
      <w:lvlText w:val="•"/>
      <w:lvlJc w:val="left"/>
      <w:pPr>
        <w:ind w:left="726" w:hanging="100"/>
      </w:pPr>
      <w:rPr>
        <w:rFonts w:hint="default"/>
      </w:rPr>
    </w:lvl>
    <w:lvl w:ilvl="5" w:tplc="CD329BBC">
      <w:numFmt w:val="bullet"/>
      <w:lvlText w:val="•"/>
      <w:lvlJc w:val="left"/>
      <w:pPr>
        <w:ind w:left="868" w:hanging="100"/>
      </w:pPr>
      <w:rPr>
        <w:rFonts w:hint="default"/>
      </w:rPr>
    </w:lvl>
    <w:lvl w:ilvl="6" w:tplc="2C24AC7E">
      <w:numFmt w:val="bullet"/>
      <w:lvlText w:val="•"/>
      <w:lvlJc w:val="left"/>
      <w:pPr>
        <w:ind w:left="1010" w:hanging="100"/>
      </w:pPr>
      <w:rPr>
        <w:rFonts w:hint="default"/>
      </w:rPr>
    </w:lvl>
    <w:lvl w:ilvl="7" w:tplc="12247272">
      <w:numFmt w:val="bullet"/>
      <w:lvlText w:val="•"/>
      <w:lvlJc w:val="left"/>
      <w:pPr>
        <w:ind w:left="1151" w:hanging="100"/>
      </w:pPr>
      <w:rPr>
        <w:rFonts w:hint="default"/>
      </w:rPr>
    </w:lvl>
    <w:lvl w:ilvl="8" w:tplc="EC3C7914">
      <w:numFmt w:val="bullet"/>
      <w:lvlText w:val="•"/>
      <w:lvlJc w:val="left"/>
      <w:pPr>
        <w:ind w:left="1293" w:hanging="100"/>
      </w:pPr>
      <w:rPr>
        <w:rFonts w:hint="default"/>
      </w:rPr>
    </w:lvl>
  </w:abstractNum>
  <w:abstractNum w:abstractNumId="345" w15:restartNumberingAfterBreak="0">
    <w:nsid w:val="15A93BD8"/>
    <w:multiLevelType w:val="hybridMultilevel"/>
    <w:tmpl w:val="0BAC2C00"/>
    <w:lvl w:ilvl="0" w:tplc="5C988914">
      <w:numFmt w:val="bullet"/>
      <w:lvlText w:val=""/>
      <w:lvlJc w:val="left"/>
      <w:pPr>
        <w:ind w:left="156" w:hanging="100"/>
      </w:pPr>
      <w:rPr>
        <w:rFonts w:ascii="Symbol" w:eastAsia="Symbol" w:hAnsi="Symbol" w:cs="Symbol" w:hint="default"/>
        <w:color w:val="231F20"/>
        <w:w w:val="100"/>
        <w:sz w:val="14"/>
        <w:szCs w:val="14"/>
      </w:rPr>
    </w:lvl>
    <w:lvl w:ilvl="1" w:tplc="273CA670">
      <w:numFmt w:val="bullet"/>
      <w:lvlText w:val="•"/>
      <w:lvlJc w:val="left"/>
      <w:pPr>
        <w:ind w:left="301" w:hanging="100"/>
      </w:pPr>
      <w:rPr>
        <w:rFonts w:hint="default"/>
      </w:rPr>
    </w:lvl>
    <w:lvl w:ilvl="2" w:tplc="855C8278">
      <w:numFmt w:val="bullet"/>
      <w:lvlText w:val="•"/>
      <w:lvlJc w:val="left"/>
      <w:pPr>
        <w:ind w:left="443" w:hanging="100"/>
      </w:pPr>
      <w:rPr>
        <w:rFonts w:hint="default"/>
      </w:rPr>
    </w:lvl>
    <w:lvl w:ilvl="3" w:tplc="D990E0DE">
      <w:numFmt w:val="bullet"/>
      <w:lvlText w:val="•"/>
      <w:lvlJc w:val="left"/>
      <w:pPr>
        <w:ind w:left="585" w:hanging="100"/>
      </w:pPr>
      <w:rPr>
        <w:rFonts w:hint="default"/>
      </w:rPr>
    </w:lvl>
    <w:lvl w:ilvl="4" w:tplc="2E9EECF0">
      <w:numFmt w:val="bullet"/>
      <w:lvlText w:val="•"/>
      <w:lvlJc w:val="left"/>
      <w:pPr>
        <w:ind w:left="726" w:hanging="100"/>
      </w:pPr>
      <w:rPr>
        <w:rFonts w:hint="default"/>
      </w:rPr>
    </w:lvl>
    <w:lvl w:ilvl="5" w:tplc="56B61BC0">
      <w:numFmt w:val="bullet"/>
      <w:lvlText w:val="•"/>
      <w:lvlJc w:val="left"/>
      <w:pPr>
        <w:ind w:left="868" w:hanging="100"/>
      </w:pPr>
      <w:rPr>
        <w:rFonts w:hint="default"/>
      </w:rPr>
    </w:lvl>
    <w:lvl w:ilvl="6" w:tplc="F176052A">
      <w:numFmt w:val="bullet"/>
      <w:lvlText w:val="•"/>
      <w:lvlJc w:val="left"/>
      <w:pPr>
        <w:ind w:left="1010" w:hanging="100"/>
      </w:pPr>
      <w:rPr>
        <w:rFonts w:hint="default"/>
      </w:rPr>
    </w:lvl>
    <w:lvl w:ilvl="7" w:tplc="7D247156">
      <w:numFmt w:val="bullet"/>
      <w:lvlText w:val="•"/>
      <w:lvlJc w:val="left"/>
      <w:pPr>
        <w:ind w:left="1151" w:hanging="100"/>
      </w:pPr>
      <w:rPr>
        <w:rFonts w:hint="default"/>
      </w:rPr>
    </w:lvl>
    <w:lvl w:ilvl="8" w:tplc="8E70EB6E">
      <w:numFmt w:val="bullet"/>
      <w:lvlText w:val="•"/>
      <w:lvlJc w:val="left"/>
      <w:pPr>
        <w:ind w:left="1293" w:hanging="100"/>
      </w:pPr>
      <w:rPr>
        <w:rFonts w:hint="default"/>
      </w:rPr>
    </w:lvl>
  </w:abstractNum>
  <w:abstractNum w:abstractNumId="346" w15:restartNumberingAfterBreak="0">
    <w:nsid w:val="15BA2D40"/>
    <w:multiLevelType w:val="hybridMultilevel"/>
    <w:tmpl w:val="4D0ADC7A"/>
    <w:lvl w:ilvl="0" w:tplc="E50A5BDE">
      <w:numFmt w:val="bullet"/>
      <w:lvlText w:val=""/>
      <w:lvlJc w:val="left"/>
      <w:pPr>
        <w:ind w:left="157" w:hanging="100"/>
      </w:pPr>
      <w:rPr>
        <w:rFonts w:ascii="Symbol" w:eastAsia="Symbol" w:hAnsi="Symbol" w:cs="Symbol" w:hint="default"/>
        <w:color w:val="231F20"/>
        <w:w w:val="100"/>
        <w:sz w:val="14"/>
        <w:szCs w:val="14"/>
      </w:rPr>
    </w:lvl>
    <w:lvl w:ilvl="1" w:tplc="D50E0260">
      <w:numFmt w:val="bullet"/>
      <w:lvlText w:val="•"/>
      <w:lvlJc w:val="left"/>
      <w:pPr>
        <w:ind w:left="369" w:hanging="100"/>
      </w:pPr>
      <w:rPr>
        <w:rFonts w:hint="default"/>
      </w:rPr>
    </w:lvl>
    <w:lvl w:ilvl="2" w:tplc="714A86E0">
      <w:numFmt w:val="bullet"/>
      <w:lvlText w:val="•"/>
      <w:lvlJc w:val="left"/>
      <w:pPr>
        <w:ind w:left="579" w:hanging="100"/>
      </w:pPr>
      <w:rPr>
        <w:rFonts w:hint="default"/>
      </w:rPr>
    </w:lvl>
    <w:lvl w:ilvl="3" w:tplc="C1822E76">
      <w:numFmt w:val="bullet"/>
      <w:lvlText w:val="•"/>
      <w:lvlJc w:val="left"/>
      <w:pPr>
        <w:ind w:left="789" w:hanging="100"/>
      </w:pPr>
      <w:rPr>
        <w:rFonts w:hint="default"/>
      </w:rPr>
    </w:lvl>
    <w:lvl w:ilvl="4" w:tplc="E2FC8FF4">
      <w:numFmt w:val="bullet"/>
      <w:lvlText w:val="•"/>
      <w:lvlJc w:val="left"/>
      <w:pPr>
        <w:ind w:left="998" w:hanging="100"/>
      </w:pPr>
      <w:rPr>
        <w:rFonts w:hint="default"/>
      </w:rPr>
    </w:lvl>
    <w:lvl w:ilvl="5" w:tplc="1714D964">
      <w:numFmt w:val="bullet"/>
      <w:lvlText w:val="•"/>
      <w:lvlJc w:val="left"/>
      <w:pPr>
        <w:ind w:left="1208" w:hanging="100"/>
      </w:pPr>
      <w:rPr>
        <w:rFonts w:hint="default"/>
      </w:rPr>
    </w:lvl>
    <w:lvl w:ilvl="6" w:tplc="8DFEAC10">
      <w:numFmt w:val="bullet"/>
      <w:lvlText w:val="•"/>
      <w:lvlJc w:val="left"/>
      <w:pPr>
        <w:ind w:left="1418" w:hanging="100"/>
      </w:pPr>
      <w:rPr>
        <w:rFonts w:hint="default"/>
      </w:rPr>
    </w:lvl>
    <w:lvl w:ilvl="7" w:tplc="6994B58E">
      <w:numFmt w:val="bullet"/>
      <w:lvlText w:val="•"/>
      <w:lvlJc w:val="left"/>
      <w:pPr>
        <w:ind w:left="1627" w:hanging="100"/>
      </w:pPr>
      <w:rPr>
        <w:rFonts w:hint="default"/>
      </w:rPr>
    </w:lvl>
    <w:lvl w:ilvl="8" w:tplc="840058EE">
      <w:numFmt w:val="bullet"/>
      <w:lvlText w:val="•"/>
      <w:lvlJc w:val="left"/>
      <w:pPr>
        <w:ind w:left="1837" w:hanging="100"/>
      </w:pPr>
      <w:rPr>
        <w:rFonts w:hint="default"/>
      </w:rPr>
    </w:lvl>
  </w:abstractNum>
  <w:abstractNum w:abstractNumId="347" w15:restartNumberingAfterBreak="0">
    <w:nsid w:val="15C9641B"/>
    <w:multiLevelType w:val="hybridMultilevel"/>
    <w:tmpl w:val="5A92EEE0"/>
    <w:lvl w:ilvl="0" w:tplc="A824DF16">
      <w:numFmt w:val="bullet"/>
      <w:lvlText w:val=""/>
      <w:lvlJc w:val="left"/>
      <w:pPr>
        <w:ind w:left="156" w:hanging="100"/>
      </w:pPr>
      <w:rPr>
        <w:rFonts w:ascii="Symbol" w:eastAsia="Symbol" w:hAnsi="Symbol" w:cs="Symbol" w:hint="default"/>
        <w:color w:val="231F20"/>
        <w:w w:val="100"/>
        <w:sz w:val="14"/>
        <w:szCs w:val="14"/>
      </w:rPr>
    </w:lvl>
    <w:lvl w:ilvl="1" w:tplc="F8440BF4">
      <w:numFmt w:val="bullet"/>
      <w:lvlText w:val="•"/>
      <w:lvlJc w:val="left"/>
      <w:pPr>
        <w:ind w:left="301" w:hanging="100"/>
      </w:pPr>
      <w:rPr>
        <w:rFonts w:hint="default"/>
      </w:rPr>
    </w:lvl>
    <w:lvl w:ilvl="2" w:tplc="D44AAF3A">
      <w:numFmt w:val="bullet"/>
      <w:lvlText w:val="•"/>
      <w:lvlJc w:val="left"/>
      <w:pPr>
        <w:ind w:left="443" w:hanging="100"/>
      </w:pPr>
      <w:rPr>
        <w:rFonts w:hint="default"/>
      </w:rPr>
    </w:lvl>
    <w:lvl w:ilvl="3" w:tplc="AF1097BE">
      <w:numFmt w:val="bullet"/>
      <w:lvlText w:val="•"/>
      <w:lvlJc w:val="left"/>
      <w:pPr>
        <w:ind w:left="585" w:hanging="100"/>
      </w:pPr>
      <w:rPr>
        <w:rFonts w:hint="default"/>
      </w:rPr>
    </w:lvl>
    <w:lvl w:ilvl="4" w:tplc="D8168664">
      <w:numFmt w:val="bullet"/>
      <w:lvlText w:val="•"/>
      <w:lvlJc w:val="left"/>
      <w:pPr>
        <w:ind w:left="726" w:hanging="100"/>
      </w:pPr>
      <w:rPr>
        <w:rFonts w:hint="default"/>
      </w:rPr>
    </w:lvl>
    <w:lvl w:ilvl="5" w:tplc="4048991C">
      <w:numFmt w:val="bullet"/>
      <w:lvlText w:val="•"/>
      <w:lvlJc w:val="left"/>
      <w:pPr>
        <w:ind w:left="868" w:hanging="100"/>
      </w:pPr>
      <w:rPr>
        <w:rFonts w:hint="default"/>
      </w:rPr>
    </w:lvl>
    <w:lvl w:ilvl="6" w:tplc="66F2DD9E">
      <w:numFmt w:val="bullet"/>
      <w:lvlText w:val="•"/>
      <w:lvlJc w:val="left"/>
      <w:pPr>
        <w:ind w:left="1010" w:hanging="100"/>
      </w:pPr>
      <w:rPr>
        <w:rFonts w:hint="default"/>
      </w:rPr>
    </w:lvl>
    <w:lvl w:ilvl="7" w:tplc="A91E8986">
      <w:numFmt w:val="bullet"/>
      <w:lvlText w:val="•"/>
      <w:lvlJc w:val="left"/>
      <w:pPr>
        <w:ind w:left="1151" w:hanging="100"/>
      </w:pPr>
      <w:rPr>
        <w:rFonts w:hint="default"/>
      </w:rPr>
    </w:lvl>
    <w:lvl w:ilvl="8" w:tplc="6FE88FEA">
      <w:numFmt w:val="bullet"/>
      <w:lvlText w:val="•"/>
      <w:lvlJc w:val="left"/>
      <w:pPr>
        <w:ind w:left="1293" w:hanging="100"/>
      </w:pPr>
      <w:rPr>
        <w:rFonts w:hint="default"/>
      </w:rPr>
    </w:lvl>
  </w:abstractNum>
  <w:abstractNum w:abstractNumId="348" w15:restartNumberingAfterBreak="0">
    <w:nsid w:val="15DA7966"/>
    <w:multiLevelType w:val="hybridMultilevel"/>
    <w:tmpl w:val="44C2223E"/>
    <w:lvl w:ilvl="0" w:tplc="047E9732">
      <w:numFmt w:val="bullet"/>
      <w:lvlText w:val=""/>
      <w:lvlJc w:val="left"/>
      <w:pPr>
        <w:ind w:left="156" w:hanging="100"/>
      </w:pPr>
      <w:rPr>
        <w:rFonts w:ascii="Symbol" w:eastAsia="Symbol" w:hAnsi="Symbol" w:cs="Symbol" w:hint="default"/>
        <w:color w:val="231F20"/>
        <w:w w:val="100"/>
        <w:sz w:val="14"/>
        <w:szCs w:val="14"/>
      </w:rPr>
    </w:lvl>
    <w:lvl w:ilvl="1" w:tplc="D2548104">
      <w:numFmt w:val="bullet"/>
      <w:lvlText w:val="•"/>
      <w:lvlJc w:val="left"/>
      <w:pPr>
        <w:ind w:left="426" w:hanging="100"/>
      </w:pPr>
      <w:rPr>
        <w:rFonts w:hint="default"/>
      </w:rPr>
    </w:lvl>
    <w:lvl w:ilvl="2" w:tplc="0BB6B60E">
      <w:numFmt w:val="bullet"/>
      <w:lvlText w:val="•"/>
      <w:lvlJc w:val="left"/>
      <w:pPr>
        <w:ind w:left="692" w:hanging="100"/>
      </w:pPr>
      <w:rPr>
        <w:rFonts w:hint="default"/>
      </w:rPr>
    </w:lvl>
    <w:lvl w:ilvl="3" w:tplc="D9D66F28">
      <w:numFmt w:val="bullet"/>
      <w:lvlText w:val="•"/>
      <w:lvlJc w:val="left"/>
      <w:pPr>
        <w:ind w:left="959" w:hanging="100"/>
      </w:pPr>
      <w:rPr>
        <w:rFonts w:hint="default"/>
      </w:rPr>
    </w:lvl>
    <w:lvl w:ilvl="4" w:tplc="C86682D0">
      <w:numFmt w:val="bullet"/>
      <w:lvlText w:val="•"/>
      <w:lvlJc w:val="left"/>
      <w:pPr>
        <w:ind w:left="1225" w:hanging="100"/>
      </w:pPr>
      <w:rPr>
        <w:rFonts w:hint="default"/>
      </w:rPr>
    </w:lvl>
    <w:lvl w:ilvl="5" w:tplc="EC32C0C0">
      <w:numFmt w:val="bullet"/>
      <w:lvlText w:val="•"/>
      <w:lvlJc w:val="left"/>
      <w:pPr>
        <w:ind w:left="1492" w:hanging="100"/>
      </w:pPr>
      <w:rPr>
        <w:rFonts w:hint="default"/>
      </w:rPr>
    </w:lvl>
    <w:lvl w:ilvl="6" w:tplc="0800238E">
      <w:numFmt w:val="bullet"/>
      <w:lvlText w:val="•"/>
      <w:lvlJc w:val="left"/>
      <w:pPr>
        <w:ind w:left="1758" w:hanging="100"/>
      </w:pPr>
      <w:rPr>
        <w:rFonts w:hint="default"/>
      </w:rPr>
    </w:lvl>
    <w:lvl w:ilvl="7" w:tplc="6B7264EA">
      <w:numFmt w:val="bullet"/>
      <w:lvlText w:val="•"/>
      <w:lvlJc w:val="left"/>
      <w:pPr>
        <w:ind w:left="2024" w:hanging="100"/>
      </w:pPr>
      <w:rPr>
        <w:rFonts w:hint="default"/>
      </w:rPr>
    </w:lvl>
    <w:lvl w:ilvl="8" w:tplc="EB7E05EA">
      <w:numFmt w:val="bullet"/>
      <w:lvlText w:val="•"/>
      <w:lvlJc w:val="left"/>
      <w:pPr>
        <w:ind w:left="2291" w:hanging="100"/>
      </w:pPr>
      <w:rPr>
        <w:rFonts w:hint="default"/>
      </w:rPr>
    </w:lvl>
  </w:abstractNum>
  <w:abstractNum w:abstractNumId="349" w15:restartNumberingAfterBreak="0">
    <w:nsid w:val="15E93F27"/>
    <w:multiLevelType w:val="hybridMultilevel"/>
    <w:tmpl w:val="0B785876"/>
    <w:lvl w:ilvl="0" w:tplc="1D1E92A8">
      <w:numFmt w:val="bullet"/>
      <w:lvlText w:val=""/>
      <w:lvlJc w:val="left"/>
      <w:pPr>
        <w:ind w:left="156" w:hanging="100"/>
      </w:pPr>
      <w:rPr>
        <w:rFonts w:ascii="Symbol" w:eastAsia="Symbol" w:hAnsi="Symbol" w:cs="Symbol" w:hint="default"/>
        <w:color w:val="231F20"/>
        <w:w w:val="100"/>
        <w:sz w:val="14"/>
        <w:szCs w:val="14"/>
      </w:rPr>
    </w:lvl>
    <w:lvl w:ilvl="1" w:tplc="DB48EF20">
      <w:numFmt w:val="bullet"/>
      <w:lvlText w:val="•"/>
      <w:lvlJc w:val="left"/>
      <w:pPr>
        <w:ind w:left="398" w:hanging="100"/>
      </w:pPr>
      <w:rPr>
        <w:rFonts w:hint="default"/>
      </w:rPr>
    </w:lvl>
    <w:lvl w:ilvl="2" w:tplc="36688E7E">
      <w:numFmt w:val="bullet"/>
      <w:lvlText w:val="•"/>
      <w:lvlJc w:val="left"/>
      <w:pPr>
        <w:ind w:left="636" w:hanging="100"/>
      </w:pPr>
      <w:rPr>
        <w:rFonts w:hint="default"/>
      </w:rPr>
    </w:lvl>
    <w:lvl w:ilvl="3" w:tplc="F474C356">
      <w:numFmt w:val="bullet"/>
      <w:lvlText w:val="•"/>
      <w:lvlJc w:val="left"/>
      <w:pPr>
        <w:ind w:left="874" w:hanging="100"/>
      </w:pPr>
      <w:rPr>
        <w:rFonts w:hint="default"/>
      </w:rPr>
    </w:lvl>
    <w:lvl w:ilvl="4" w:tplc="549EB01A">
      <w:numFmt w:val="bullet"/>
      <w:lvlText w:val="•"/>
      <w:lvlJc w:val="left"/>
      <w:pPr>
        <w:ind w:left="1112" w:hanging="100"/>
      </w:pPr>
      <w:rPr>
        <w:rFonts w:hint="default"/>
      </w:rPr>
    </w:lvl>
    <w:lvl w:ilvl="5" w:tplc="4B324A12">
      <w:numFmt w:val="bullet"/>
      <w:lvlText w:val="•"/>
      <w:lvlJc w:val="left"/>
      <w:pPr>
        <w:ind w:left="1350" w:hanging="100"/>
      </w:pPr>
      <w:rPr>
        <w:rFonts w:hint="default"/>
      </w:rPr>
    </w:lvl>
    <w:lvl w:ilvl="6" w:tplc="025CC8E6">
      <w:numFmt w:val="bullet"/>
      <w:lvlText w:val="•"/>
      <w:lvlJc w:val="left"/>
      <w:pPr>
        <w:ind w:left="1588" w:hanging="100"/>
      </w:pPr>
      <w:rPr>
        <w:rFonts w:hint="default"/>
      </w:rPr>
    </w:lvl>
    <w:lvl w:ilvl="7" w:tplc="9FF054A2">
      <w:numFmt w:val="bullet"/>
      <w:lvlText w:val="•"/>
      <w:lvlJc w:val="left"/>
      <w:pPr>
        <w:ind w:left="1826" w:hanging="100"/>
      </w:pPr>
      <w:rPr>
        <w:rFonts w:hint="default"/>
      </w:rPr>
    </w:lvl>
    <w:lvl w:ilvl="8" w:tplc="44FC05C4">
      <w:numFmt w:val="bullet"/>
      <w:lvlText w:val="•"/>
      <w:lvlJc w:val="left"/>
      <w:pPr>
        <w:ind w:left="2064" w:hanging="100"/>
      </w:pPr>
      <w:rPr>
        <w:rFonts w:hint="default"/>
      </w:rPr>
    </w:lvl>
  </w:abstractNum>
  <w:abstractNum w:abstractNumId="350" w15:restartNumberingAfterBreak="0">
    <w:nsid w:val="15E9406C"/>
    <w:multiLevelType w:val="hybridMultilevel"/>
    <w:tmpl w:val="5132453C"/>
    <w:lvl w:ilvl="0" w:tplc="84925D76">
      <w:numFmt w:val="bullet"/>
      <w:lvlText w:val=""/>
      <w:lvlJc w:val="left"/>
      <w:pPr>
        <w:ind w:left="157" w:hanging="100"/>
      </w:pPr>
      <w:rPr>
        <w:rFonts w:ascii="Symbol" w:eastAsia="Symbol" w:hAnsi="Symbol" w:cs="Symbol" w:hint="default"/>
        <w:color w:val="231F20"/>
        <w:w w:val="100"/>
        <w:sz w:val="14"/>
        <w:szCs w:val="14"/>
      </w:rPr>
    </w:lvl>
    <w:lvl w:ilvl="1" w:tplc="CC962B72">
      <w:numFmt w:val="bullet"/>
      <w:lvlText w:val="•"/>
      <w:lvlJc w:val="left"/>
      <w:pPr>
        <w:ind w:left="369" w:hanging="100"/>
      </w:pPr>
      <w:rPr>
        <w:rFonts w:hint="default"/>
      </w:rPr>
    </w:lvl>
    <w:lvl w:ilvl="2" w:tplc="14FA0212">
      <w:numFmt w:val="bullet"/>
      <w:lvlText w:val="•"/>
      <w:lvlJc w:val="left"/>
      <w:pPr>
        <w:ind w:left="579" w:hanging="100"/>
      </w:pPr>
      <w:rPr>
        <w:rFonts w:hint="default"/>
      </w:rPr>
    </w:lvl>
    <w:lvl w:ilvl="3" w:tplc="C4962AC0">
      <w:numFmt w:val="bullet"/>
      <w:lvlText w:val="•"/>
      <w:lvlJc w:val="left"/>
      <w:pPr>
        <w:ind w:left="789" w:hanging="100"/>
      </w:pPr>
      <w:rPr>
        <w:rFonts w:hint="default"/>
      </w:rPr>
    </w:lvl>
    <w:lvl w:ilvl="4" w:tplc="578C19F4">
      <w:numFmt w:val="bullet"/>
      <w:lvlText w:val="•"/>
      <w:lvlJc w:val="left"/>
      <w:pPr>
        <w:ind w:left="998" w:hanging="100"/>
      </w:pPr>
      <w:rPr>
        <w:rFonts w:hint="default"/>
      </w:rPr>
    </w:lvl>
    <w:lvl w:ilvl="5" w:tplc="FD16F174">
      <w:numFmt w:val="bullet"/>
      <w:lvlText w:val="•"/>
      <w:lvlJc w:val="left"/>
      <w:pPr>
        <w:ind w:left="1208" w:hanging="100"/>
      </w:pPr>
      <w:rPr>
        <w:rFonts w:hint="default"/>
      </w:rPr>
    </w:lvl>
    <w:lvl w:ilvl="6" w:tplc="7ECA9C1A">
      <w:numFmt w:val="bullet"/>
      <w:lvlText w:val="•"/>
      <w:lvlJc w:val="left"/>
      <w:pPr>
        <w:ind w:left="1418" w:hanging="100"/>
      </w:pPr>
      <w:rPr>
        <w:rFonts w:hint="default"/>
      </w:rPr>
    </w:lvl>
    <w:lvl w:ilvl="7" w:tplc="11AE931E">
      <w:numFmt w:val="bullet"/>
      <w:lvlText w:val="•"/>
      <w:lvlJc w:val="left"/>
      <w:pPr>
        <w:ind w:left="1627" w:hanging="100"/>
      </w:pPr>
      <w:rPr>
        <w:rFonts w:hint="default"/>
      </w:rPr>
    </w:lvl>
    <w:lvl w:ilvl="8" w:tplc="5EC2D764">
      <w:numFmt w:val="bullet"/>
      <w:lvlText w:val="•"/>
      <w:lvlJc w:val="left"/>
      <w:pPr>
        <w:ind w:left="1837" w:hanging="100"/>
      </w:pPr>
      <w:rPr>
        <w:rFonts w:hint="default"/>
      </w:rPr>
    </w:lvl>
  </w:abstractNum>
  <w:abstractNum w:abstractNumId="351" w15:restartNumberingAfterBreak="0">
    <w:nsid w:val="15FD50DE"/>
    <w:multiLevelType w:val="hybridMultilevel"/>
    <w:tmpl w:val="39749A4C"/>
    <w:lvl w:ilvl="0" w:tplc="C1E6363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2A3A5D46">
      <w:numFmt w:val="bullet"/>
      <w:lvlText w:val="•"/>
      <w:lvlJc w:val="left"/>
      <w:pPr>
        <w:ind w:left="408" w:hanging="84"/>
      </w:pPr>
      <w:rPr>
        <w:rFonts w:hint="default"/>
      </w:rPr>
    </w:lvl>
    <w:lvl w:ilvl="2" w:tplc="ACA6D4F6">
      <w:numFmt w:val="bullet"/>
      <w:lvlText w:val="•"/>
      <w:lvlJc w:val="left"/>
      <w:pPr>
        <w:ind w:left="676" w:hanging="84"/>
      </w:pPr>
      <w:rPr>
        <w:rFonts w:hint="default"/>
      </w:rPr>
    </w:lvl>
    <w:lvl w:ilvl="3" w:tplc="7DEA1428">
      <w:numFmt w:val="bullet"/>
      <w:lvlText w:val="•"/>
      <w:lvlJc w:val="left"/>
      <w:pPr>
        <w:ind w:left="945" w:hanging="84"/>
      </w:pPr>
      <w:rPr>
        <w:rFonts w:hint="default"/>
      </w:rPr>
    </w:lvl>
    <w:lvl w:ilvl="4" w:tplc="B2FCD9AA">
      <w:numFmt w:val="bullet"/>
      <w:lvlText w:val="•"/>
      <w:lvlJc w:val="left"/>
      <w:pPr>
        <w:ind w:left="1213" w:hanging="84"/>
      </w:pPr>
      <w:rPr>
        <w:rFonts w:hint="default"/>
      </w:rPr>
    </w:lvl>
    <w:lvl w:ilvl="5" w:tplc="D674C8FA">
      <w:numFmt w:val="bullet"/>
      <w:lvlText w:val="•"/>
      <w:lvlJc w:val="left"/>
      <w:pPr>
        <w:ind w:left="1482" w:hanging="84"/>
      </w:pPr>
      <w:rPr>
        <w:rFonts w:hint="default"/>
      </w:rPr>
    </w:lvl>
    <w:lvl w:ilvl="6" w:tplc="D0909CBC">
      <w:numFmt w:val="bullet"/>
      <w:lvlText w:val="•"/>
      <w:lvlJc w:val="left"/>
      <w:pPr>
        <w:ind w:left="1750" w:hanging="84"/>
      </w:pPr>
      <w:rPr>
        <w:rFonts w:hint="default"/>
      </w:rPr>
    </w:lvl>
    <w:lvl w:ilvl="7" w:tplc="5C92D03E">
      <w:numFmt w:val="bullet"/>
      <w:lvlText w:val="•"/>
      <w:lvlJc w:val="left"/>
      <w:pPr>
        <w:ind w:left="2018" w:hanging="84"/>
      </w:pPr>
      <w:rPr>
        <w:rFonts w:hint="default"/>
      </w:rPr>
    </w:lvl>
    <w:lvl w:ilvl="8" w:tplc="4F7842C6">
      <w:numFmt w:val="bullet"/>
      <w:lvlText w:val="•"/>
      <w:lvlJc w:val="left"/>
      <w:pPr>
        <w:ind w:left="2287" w:hanging="84"/>
      </w:pPr>
      <w:rPr>
        <w:rFonts w:hint="default"/>
      </w:rPr>
    </w:lvl>
  </w:abstractNum>
  <w:abstractNum w:abstractNumId="352" w15:restartNumberingAfterBreak="0">
    <w:nsid w:val="15FE786C"/>
    <w:multiLevelType w:val="hybridMultilevel"/>
    <w:tmpl w:val="1ABE40D4"/>
    <w:lvl w:ilvl="0" w:tplc="51E41B88">
      <w:numFmt w:val="bullet"/>
      <w:lvlText w:val=""/>
      <w:lvlJc w:val="left"/>
      <w:pPr>
        <w:ind w:left="156" w:hanging="100"/>
      </w:pPr>
      <w:rPr>
        <w:rFonts w:ascii="Symbol" w:eastAsia="Symbol" w:hAnsi="Symbol" w:cs="Symbol" w:hint="default"/>
        <w:color w:val="231F20"/>
        <w:w w:val="100"/>
        <w:sz w:val="14"/>
        <w:szCs w:val="14"/>
      </w:rPr>
    </w:lvl>
    <w:lvl w:ilvl="1" w:tplc="77100B00">
      <w:numFmt w:val="bullet"/>
      <w:lvlText w:val="•"/>
      <w:lvlJc w:val="left"/>
      <w:pPr>
        <w:ind w:left="398" w:hanging="100"/>
      </w:pPr>
      <w:rPr>
        <w:rFonts w:hint="default"/>
      </w:rPr>
    </w:lvl>
    <w:lvl w:ilvl="2" w:tplc="563E1758">
      <w:numFmt w:val="bullet"/>
      <w:lvlText w:val="•"/>
      <w:lvlJc w:val="left"/>
      <w:pPr>
        <w:ind w:left="636" w:hanging="100"/>
      </w:pPr>
      <w:rPr>
        <w:rFonts w:hint="default"/>
      </w:rPr>
    </w:lvl>
    <w:lvl w:ilvl="3" w:tplc="1326FDFA">
      <w:numFmt w:val="bullet"/>
      <w:lvlText w:val="•"/>
      <w:lvlJc w:val="left"/>
      <w:pPr>
        <w:ind w:left="874" w:hanging="100"/>
      </w:pPr>
      <w:rPr>
        <w:rFonts w:hint="default"/>
      </w:rPr>
    </w:lvl>
    <w:lvl w:ilvl="4" w:tplc="EC00695E">
      <w:numFmt w:val="bullet"/>
      <w:lvlText w:val="•"/>
      <w:lvlJc w:val="left"/>
      <w:pPr>
        <w:ind w:left="1112" w:hanging="100"/>
      </w:pPr>
      <w:rPr>
        <w:rFonts w:hint="default"/>
      </w:rPr>
    </w:lvl>
    <w:lvl w:ilvl="5" w:tplc="9A9A9360">
      <w:numFmt w:val="bullet"/>
      <w:lvlText w:val="•"/>
      <w:lvlJc w:val="left"/>
      <w:pPr>
        <w:ind w:left="1350" w:hanging="100"/>
      </w:pPr>
      <w:rPr>
        <w:rFonts w:hint="default"/>
      </w:rPr>
    </w:lvl>
    <w:lvl w:ilvl="6" w:tplc="4940721A">
      <w:numFmt w:val="bullet"/>
      <w:lvlText w:val="•"/>
      <w:lvlJc w:val="left"/>
      <w:pPr>
        <w:ind w:left="1588" w:hanging="100"/>
      </w:pPr>
      <w:rPr>
        <w:rFonts w:hint="default"/>
      </w:rPr>
    </w:lvl>
    <w:lvl w:ilvl="7" w:tplc="AEDA9316">
      <w:numFmt w:val="bullet"/>
      <w:lvlText w:val="•"/>
      <w:lvlJc w:val="left"/>
      <w:pPr>
        <w:ind w:left="1826" w:hanging="100"/>
      </w:pPr>
      <w:rPr>
        <w:rFonts w:hint="default"/>
      </w:rPr>
    </w:lvl>
    <w:lvl w:ilvl="8" w:tplc="351CD9C0">
      <w:numFmt w:val="bullet"/>
      <w:lvlText w:val="•"/>
      <w:lvlJc w:val="left"/>
      <w:pPr>
        <w:ind w:left="2064" w:hanging="100"/>
      </w:pPr>
      <w:rPr>
        <w:rFonts w:hint="default"/>
      </w:rPr>
    </w:lvl>
  </w:abstractNum>
  <w:abstractNum w:abstractNumId="353" w15:restartNumberingAfterBreak="0">
    <w:nsid w:val="16167010"/>
    <w:multiLevelType w:val="hybridMultilevel"/>
    <w:tmpl w:val="CF20BA84"/>
    <w:lvl w:ilvl="0" w:tplc="EF423DBC">
      <w:numFmt w:val="bullet"/>
      <w:lvlText w:val=""/>
      <w:lvlJc w:val="left"/>
      <w:pPr>
        <w:ind w:left="156" w:hanging="100"/>
      </w:pPr>
      <w:rPr>
        <w:rFonts w:ascii="Symbol" w:eastAsia="Symbol" w:hAnsi="Symbol" w:cs="Symbol" w:hint="default"/>
        <w:color w:val="231F20"/>
        <w:w w:val="100"/>
        <w:sz w:val="14"/>
        <w:szCs w:val="14"/>
      </w:rPr>
    </w:lvl>
    <w:lvl w:ilvl="1" w:tplc="C0AC1BA4">
      <w:numFmt w:val="bullet"/>
      <w:lvlText w:val="•"/>
      <w:lvlJc w:val="left"/>
      <w:pPr>
        <w:ind w:left="301" w:hanging="100"/>
      </w:pPr>
      <w:rPr>
        <w:rFonts w:hint="default"/>
      </w:rPr>
    </w:lvl>
    <w:lvl w:ilvl="2" w:tplc="B8529868">
      <w:numFmt w:val="bullet"/>
      <w:lvlText w:val="•"/>
      <w:lvlJc w:val="left"/>
      <w:pPr>
        <w:ind w:left="443" w:hanging="100"/>
      </w:pPr>
      <w:rPr>
        <w:rFonts w:hint="default"/>
      </w:rPr>
    </w:lvl>
    <w:lvl w:ilvl="3" w:tplc="5A9A5D4C">
      <w:numFmt w:val="bullet"/>
      <w:lvlText w:val="•"/>
      <w:lvlJc w:val="left"/>
      <w:pPr>
        <w:ind w:left="585" w:hanging="100"/>
      </w:pPr>
      <w:rPr>
        <w:rFonts w:hint="default"/>
      </w:rPr>
    </w:lvl>
    <w:lvl w:ilvl="4" w:tplc="A5FEAD18">
      <w:numFmt w:val="bullet"/>
      <w:lvlText w:val="•"/>
      <w:lvlJc w:val="left"/>
      <w:pPr>
        <w:ind w:left="726" w:hanging="100"/>
      </w:pPr>
      <w:rPr>
        <w:rFonts w:hint="default"/>
      </w:rPr>
    </w:lvl>
    <w:lvl w:ilvl="5" w:tplc="16865822">
      <w:numFmt w:val="bullet"/>
      <w:lvlText w:val="•"/>
      <w:lvlJc w:val="left"/>
      <w:pPr>
        <w:ind w:left="868" w:hanging="100"/>
      </w:pPr>
      <w:rPr>
        <w:rFonts w:hint="default"/>
      </w:rPr>
    </w:lvl>
    <w:lvl w:ilvl="6" w:tplc="663430F6">
      <w:numFmt w:val="bullet"/>
      <w:lvlText w:val="•"/>
      <w:lvlJc w:val="left"/>
      <w:pPr>
        <w:ind w:left="1010" w:hanging="100"/>
      </w:pPr>
      <w:rPr>
        <w:rFonts w:hint="default"/>
      </w:rPr>
    </w:lvl>
    <w:lvl w:ilvl="7" w:tplc="B59EDCA8">
      <w:numFmt w:val="bullet"/>
      <w:lvlText w:val="•"/>
      <w:lvlJc w:val="left"/>
      <w:pPr>
        <w:ind w:left="1151" w:hanging="100"/>
      </w:pPr>
      <w:rPr>
        <w:rFonts w:hint="default"/>
      </w:rPr>
    </w:lvl>
    <w:lvl w:ilvl="8" w:tplc="AA167CAA">
      <w:numFmt w:val="bullet"/>
      <w:lvlText w:val="•"/>
      <w:lvlJc w:val="left"/>
      <w:pPr>
        <w:ind w:left="1293" w:hanging="100"/>
      </w:pPr>
      <w:rPr>
        <w:rFonts w:hint="default"/>
      </w:rPr>
    </w:lvl>
  </w:abstractNum>
  <w:abstractNum w:abstractNumId="354" w15:restartNumberingAfterBreak="0">
    <w:nsid w:val="161D1A50"/>
    <w:multiLevelType w:val="hybridMultilevel"/>
    <w:tmpl w:val="533EFB7A"/>
    <w:lvl w:ilvl="0" w:tplc="01AECB7E">
      <w:numFmt w:val="bullet"/>
      <w:lvlText w:val=""/>
      <w:lvlJc w:val="left"/>
      <w:pPr>
        <w:ind w:left="157" w:hanging="100"/>
      </w:pPr>
      <w:rPr>
        <w:rFonts w:ascii="Symbol" w:eastAsia="Symbol" w:hAnsi="Symbol" w:cs="Symbol" w:hint="default"/>
        <w:color w:val="231F20"/>
        <w:w w:val="100"/>
        <w:sz w:val="14"/>
        <w:szCs w:val="14"/>
      </w:rPr>
    </w:lvl>
    <w:lvl w:ilvl="1" w:tplc="1D3E3160">
      <w:numFmt w:val="bullet"/>
      <w:lvlText w:val="•"/>
      <w:lvlJc w:val="left"/>
      <w:pPr>
        <w:ind w:left="426" w:hanging="100"/>
      </w:pPr>
      <w:rPr>
        <w:rFonts w:hint="default"/>
      </w:rPr>
    </w:lvl>
    <w:lvl w:ilvl="2" w:tplc="A712FFC0">
      <w:numFmt w:val="bullet"/>
      <w:lvlText w:val="•"/>
      <w:lvlJc w:val="left"/>
      <w:pPr>
        <w:ind w:left="692" w:hanging="100"/>
      </w:pPr>
      <w:rPr>
        <w:rFonts w:hint="default"/>
      </w:rPr>
    </w:lvl>
    <w:lvl w:ilvl="3" w:tplc="0D28220C">
      <w:numFmt w:val="bullet"/>
      <w:lvlText w:val="•"/>
      <w:lvlJc w:val="left"/>
      <w:pPr>
        <w:ind w:left="959" w:hanging="100"/>
      </w:pPr>
      <w:rPr>
        <w:rFonts w:hint="default"/>
      </w:rPr>
    </w:lvl>
    <w:lvl w:ilvl="4" w:tplc="B150F358">
      <w:numFmt w:val="bullet"/>
      <w:lvlText w:val="•"/>
      <w:lvlJc w:val="left"/>
      <w:pPr>
        <w:ind w:left="1225" w:hanging="100"/>
      </w:pPr>
      <w:rPr>
        <w:rFonts w:hint="default"/>
      </w:rPr>
    </w:lvl>
    <w:lvl w:ilvl="5" w:tplc="025A9A78">
      <w:numFmt w:val="bullet"/>
      <w:lvlText w:val="•"/>
      <w:lvlJc w:val="left"/>
      <w:pPr>
        <w:ind w:left="1492" w:hanging="100"/>
      </w:pPr>
      <w:rPr>
        <w:rFonts w:hint="default"/>
      </w:rPr>
    </w:lvl>
    <w:lvl w:ilvl="6" w:tplc="966C2592">
      <w:numFmt w:val="bullet"/>
      <w:lvlText w:val="•"/>
      <w:lvlJc w:val="left"/>
      <w:pPr>
        <w:ind w:left="1758" w:hanging="100"/>
      </w:pPr>
      <w:rPr>
        <w:rFonts w:hint="default"/>
      </w:rPr>
    </w:lvl>
    <w:lvl w:ilvl="7" w:tplc="B2700C5E">
      <w:numFmt w:val="bullet"/>
      <w:lvlText w:val="•"/>
      <w:lvlJc w:val="left"/>
      <w:pPr>
        <w:ind w:left="2024" w:hanging="100"/>
      </w:pPr>
      <w:rPr>
        <w:rFonts w:hint="default"/>
      </w:rPr>
    </w:lvl>
    <w:lvl w:ilvl="8" w:tplc="D50E1EEE">
      <w:numFmt w:val="bullet"/>
      <w:lvlText w:val="•"/>
      <w:lvlJc w:val="left"/>
      <w:pPr>
        <w:ind w:left="2291" w:hanging="100"/>
      </w:pPr>
      <w:rPr>
        <w:rFonts w:hint="default"/>
      </w:rPr>
    </w:lvl>
  </w:abstractNum>
  <w:abstractNum w:abstractNumId="355" w15:restartNumberingAfterBreak="0">
    <w:nsid w:val="16382769"/>
    <w:multiLevelType w:val="hybridMultilevel"/>
    <w:tmpl w:val="2BE45994"/>
    <w:lvl w:ilvl="0" w:tplc="F9362BC0">
      <w:numFmt w:val="bullet"/>
      <w:lvlText w:val=""/>
      <w:lvlJc w:val="left"/>
      <w:pPr>
        <w:ind w:left="156" w:hanging="100"/>
      </w:pPr>
      <w:rPr>
        <w:rFonts w:ascii="Symbol" w:eastAsia="Symbol" w:hAnsi="Symbol" w:cs="Symbol" w:hint="default"/>
        <w:color w:val="231F20"/>
        <w:w w:val="100"/>
        <w:sz w:val="14"/>
        <w:szCs w:val="14"/>
      </w:rPr>
    </w:lvl>
    <w:lvl w:ilvl="1" w:tplc="C72A1F9E">
      <w:numFmt w:val="bullet"/>
      <w:lvlText w:val="•"/>
      <w:lvlJc w:val="left"/>
      <w:pPr>
        <w:ind w:left="426" w:hanging="100"/>
      </w:pPr>
      <w:rPr>
        <w:rFonts w:hint="default"/>
      </w:rPr>
    </w:lvl>
    <w:lvl w:ilvl="2" w:tplc="31969518">
      <w:numFmt w:val="bullet"/>
      <w:lvlText w:val="•"/>
      <w:lvlJc w:val="left"/>
      <w:pPr>
        <w:ind w:left="692" w:hanging="100"/>
      </w:pPr>
      <w:rPr>
        <w:rFonts w:hint="default"/>
      </w:rPr>
    </w:lvl>
    <w:lvl w:ilvl="3" w:tplc="349E0C42">
      <w:numFmt w:val="bullet"/>
      <w:lvlText w:val="•"/>
      <w:lvlJc w:val="left"/>
      <w:pPr>
        <w:ind w:left="959" w:hanging="100"/>
      </w:pPr>
      <w:rPr>
        <w:rFonts w:hint="default"/>
      </w:rPr>
    </w:lvl>
    <w:lvl w:ilvl="4" w:tplc="ABE049A8">
      <w:numFmt w:val="bullet"/>
      <w:lvlText w:val="•"/>
      <w:lvlJc w:val="left"/>
      <w:pPr>
        <w:ind w:left="1225" w:hanging="100"/>
      </w:pPr>
      <w:rPr>
        <w:rFonts w:hint="default"/>
      </w:rPr>
    </w:lvl>
    <w:lvl w:ilvl="5" w:tplc="1C24184A">
      <w:numFmt w:val="bullet"/>
      <w:lvlText w:val="•"/>
      <w:lvlJc w:val="left"/>
      <w:pPr>
        <w:ind w:left="1492" w:hanging="100"/>
      </w:pPr>
      <w:rPr>
        <w:rFonts w:hint="default"/>
      </w:rPr>
    </w:lvl>
    <w:lvl w:ilvl="6" w:tplc="5866DD08">
      <w:numFmt w:val="bullet"/>
      <w:lvlText w:val="•"/>
      <w:lvlJc w:val="left"/>
      <w:pPr>
        <w:ind w:left="1758" w:hanging="100"/>
      </w:pPr>
      <w:rPr>
        <w:rFonts w:hint="default"/>
      </w:rPr>
    </w:lvl>
    <w:lvl w:ilvl="7" w:tplc="F4AC278C">
      <w:numFmt w:val="bullet"/>
      <w:lvlText w:val="•"/>
      <w:lvlJc w:val="left"/>
      <w:pPr>
        <w:ind w:left="2024" w:hanging="100"/>
      </w:pPr>
      <w:rPr>
        <w:rFonts w:hint="default"/>
      </w:rPr>
    </w:lvl>
    <w:lvl w:ilvl="8" w:tplc="7B58422E">
      <w:numFmt w:val="bullet"/>
      <w:lvlText w:val="•"/>
      <w:lvlJc w:val="left"/>
      <w:pPr>
        <w:ind w:left="2291" w:hanging="100"/>
      </w:pPr>
      <w:rPr>
        <w:rFonts w:hint="default"/>
      </w:rPr>
    </w:lvl>
  </w:abstractNum>
  <w:abstractNum w:abstractNumId="356" w15:restartNumberingAfterBreak="0">
    <w:nsid w:val="16612A0B"/>
    <w:multiLevelType w:val="hybridMultilevel"/>
    <w:tmpl w:val="646AC8E0"/>
    <w:lvl w:ilvl="0" w:tplc="F84645C2">
      <w:numFmt w:val="bullet"/>
      <w:lvlText w:val="•"/>
      <w:lvlJc w:val="left"/>
      <w:pPr>
        <w:ind w:left="57" w:hanging="84"/>
      </w:pPr>
      <w:rPr>
        <w:rFonts w:ascii="Times New Roman" w:eastAsia="Times New Roman" w:hAnsi="Times New Roman" w:cs="Times New Roman" w:hint="default"/>
        <w:b/>
        <w:bCs/>
        <w:color w:val="231F20"/>
        <w:w w:val="100"/>
        <w:sz w:val="14"/>
        <w:szCs w:val="14"/>
      </w:rPr>
    </w:lvl>
    <w:lvl w:ilvl="1" w:tplc="AFB2DD9E">
      <w:numFmt w:val="bullet"/>
      <w:lvlText w:val="•"/>
      <w:lvlJc w:val="left"/>
      <w:pPr>
        <w:ind w:left="336" w:hanging="84"/>
      </w:pPr>
      <w:rPr>
        <w:rFonts w:hint="default"/>
      </w:rPr>
    </w:lvl>
    <w:lvl w:ilvl="2" w:tplc="A9906A62">
      <w:numFmt w:val="bullet"/>
      <w:lvlText w:val="•"/>
      <w:lvlJc w:val="left"/>
      <w:pPr>
        <w:ind w:left="612" w:hanging="84"/>
      </w:pPr>
      <w:rPr>
        <w:rFonts w:hint="default"/>
      </w:rPr>
    </w:lvl>
    <w:lvl w:ilvl="3" w:tplc="CBB42BEA">
      <w:numFmt w:val="bullet"/>
      <w:lvlText w:val="•"/>
      <w:lvlJc w:val="left"/>
      <w:pPr>
        <w:ind w:left="889" w:hanging="84"/>
      </w:pPr>
      <w:rPr>
        <w:rFonts w:hint="default"/>
      </w:rPr>
    </w:lvl>
    <w:lvl w:ilvl="4" w:tplc="02327E0E">
      <w:numFmt w:val="bullet"/>
      <w:lvlText w:val="•"/>
      <w:lvlJc w:val="left"/>
      <w:pPr>
        <w:ind w:left="1165" w:hanging="84"/>
      </w:pPr>
      <w:rPr>
        <w:rFonts w:hint="default"/>
      </w:rPr>
    </w:lvl>
    <w:lvl w:ilvl="5" w:tplc="5C7EABF0">
      <w:numFmt w:val="bullet"/>
      <w:lvlText w:val="•"/>
      <w:lvlJc w:val="left"/>
      <w:pPr>
        <w:ind w:left="1442" w:hanging="84"/>
      </w:pPr>
      <w:rPr>
        <w:rFonts w:hint="default"/>
      </w:rPr>
    </w:lvl>
    <w:lvl w:ilvl="6" w:tplc="96DC17E8">
      <w:numFmt w:val="bullet"/>
      <w:lvlText w:val="•"/>
      <w:lvlJc w:val="left"/>
      <w:pPr>
        <w:ind w:left="1718" w:hanging="84"/>
      </w:pPr>
      <w:rPr>
        <w:rFonts w:hint="default"/>
      </w:rPr>
    </w:lvl>
    <w:lvl w:ilvl="7" w:tplc="A6BE7ACE">
      <w:numFmt w:val="bullet"/>
      <w:lvlText w:val="•"/>
      <w:lvlJc w:val="left"/>
      <w:pPr>
        <w:ind w:left="1994" w:hanging="84"/>
      </w:pPr>
      <w:rPr>
        <w:rFonts w:hint="default"/>
      </w:rPr>
    </w:lvl>
    <w:lvl w:ilvl="8" w:tplc="8EDAEA9C">
      <w:numFmt w:val="bullet"/>
      <w:lvlText w:val="•"/>
      <w:lvlJc w:val="left"/>
      <w:pPr>
        <w:ind w:left="2271" w:hanging="84"/>
      </w:pPr>
      <w:rPr>
        <w:rFonts w:hint="default"/>
      </w:rPr>
    </w:lvl>
  </w:abstractNum>
  <w:abstractNum w:abstractNumId="357" w15:restartNumberingAfterBreak="0">
    <w:nsid w:val="1669671B"/>
    <w:multiLevelType w:val="hybridMultilevel"/>
    <w:tmpl w:val="6BF61302"/>
    <w:lvl w:ilvl="0" w:tplc="AB3232EA">
      <w:numFmt w:val="bullet"/>
      <w:lvlText w:val=""/>
      <w:lvlJc w:val="left"/>
      <w:pPr>
        <w:ind w:left="156" w:hanging="100"/>
      </w:pPr>
      <w:rPr>
        <w:rFonts w:ascii="Symbol" w:eastAsia="Symbol" w:hAnsi="Symbol" w:cs="Symbol" w:hint="default"/>
        <w:color w:val="231F20"/>
        <w:w w:val="100"/>
        <w:sz w:val="14"/>
        <w:szCs w:val="14"/>
      </w:rPr>
    </w:lvl>
    <w:lvl w:ilvl="1" w:tplc="C24C6452">
      <w:numFmt w:val="bullet"/>
      <w:lvlText w:val="•"/>
      <w:lvlJc w:val="left"/>
      <w:pPr>
        <w:ind w:left="301" w:hanging="100"/>
      </w:pPr>
      <w:rPr>
        <w:rFonts w:hint="default"/>
      </w:rPr>
    </w:lvl>
    <w:lvl w:ilvl="2" w:tplc="2114537E">
      <w:numFmt w:val="bullet"/>
      <w:lvlText w:val="•"/>
      <w:lvlJc w:val="left"/>
      <w:pPr>
        <w:ind w:left="443" w:hanging="100"/>
      </w:pPr>
      <w:rPr>
        <w:rFonts w:hint="default"/>
      </w:rPr>
    </w:lvl>
    <w:lvl w:ilvl="3" w:tplc="67D6E094">
      <w:numFmt w:val="bullet"/>
      <w:lvlText w:val="•"/>
      <w:lvlJc w:val="left"/>
      <w:pPr>
        <w:ind w:left="585" w:hanging="100"/>
      </w:pPr>
      <w:rPr>
        <w:rFonts w:hint="default"/>
      </w:rPr>
    </w:lvl>
    <w:lvl w:ilvl="4" w:tplc="326011A2">
      <w:numFmt w:val="bullet"/>
      <w:lvlText w:val="•"/>
      <w:lvlJc w:val="left"/>
      <w:pPr>
        <w:ind w:left="726" w:hanging="100"/>
      </w:pPr>
      <w:rPr>
        <w:rFonts w:hint="default"/>
      </w:rPr>
    </w:lvl>
    <w:lvl w:ilvl="5" w:tplc="DB0AC634">
      <w:numFmt w:val="bullet"/>
      <w:lvlText w:val="•"/>
      <w:lvlJc w:val="left"/>
      <w:pPr>
        <w:ind w:left="868" w:hanging="100"/>
      </w:pPr>
      <w:rPr>
        <w:rFonts w:hint="default"/>
      </w:rPr>
    </w:lvl>
    <w:lvl w:ilvl="6" w:tplc="5A24ADB6">
      <w:numFmt w:val="bullet"/>
      <w:lvlText w:val="•"/>
      <w:lvlJc w:val="left"/>
      <w:pPr>
        <w:ind w:left="1010" w:hanging="100"/>
      </w:pPr>
      <w:rPr>
        <w:rFonts w:hint="default"/>
      </w:rPr>
    </w:lvl>
    <w:lvl w:ilvl="7" w:tplc="AEA0DF50">
      <w:numFmt w:val="bullet"/>
      <w:lvlText w:val="•"/>
      <w:lvlJc w:val="left"/>
      <w:pPr>
        <w:ind w:left="1151" w:hanging="100"/>
      </w:pPr>
      <w:rPr>
        <w:rFonts w:hint="default"/>
      </w:rPr>
    </w:lvl>
    <w:lvl w:ilvl="8" w:tplc="8A7051F0">
      <w:numFmt w:val="bullet"/>
      <w:lvlText w:val="•"/>
      <w:lvlJc w:val="left"/>
      <w:pPr>
        <w:ind w:left="1293" w:hanging="100"/>
      </w:pPr>
      <w:rPr>
        <w:rFonts w:hint="default"/>
      </w:rPr>
    </w:lvl>
  </w:abstractNum>
  <w:abstractNum w:abstractNumId="358" w15:restartNumberingAfterBreak="0">
    <w:nsid w:val="167B2615"/>
    <w:multiLevelType w:val="hybridMultilevel"/>
    <w:tmpl w:val="4A309DAC"/>
    <w:lvl w:ilvl="0" w:tplc="6BEEEB0E">
      <w:numFmt w:val="bullet"/>
      <w:lvlText w:val=""/>
      <w:lvlJc w:val="left"/>
      <w:pPr>
        <w:ind w:left="156" w:hanging="100"/>
      </w:pPr>
      <w:rPr>
        <w:rFonts w:ascii="Symbol" w:eastAsia="Symbol" w:hAnsi="Symbol" w:cs="Symbol" w:hint="default"/>
        <w:color w:val="231F20"/>
        <w:w w:val="100"/>
        <w:sz w:val="14"/>
        <w:szCs w:val="14"/>
      </w:rPr>
    </w:lvl>
    <w:lvl w:ilvl="1" w:tplc="0BD89E50">
      <w:numFmt w:val="bullet"/>
      <w:lvlText w:val="•"/>
      <w:lvlJc w:val="left"/>
      <w:pPr>
        <w:ind w:left="426" w:hanging="100"/>
      </w:pPr>
      <w:rPr>
        <w:rFonts w:hint="default"/>
      </w:rPr>
    </w:lvl>
    <w:lvl w:ilvl="2" w:tplc="E6F86A64">
      <w:numFmt w:val="bullet"/>
      <w:lvlText w:val="•"/>
      <w:lvlJc w:val="left"/>
      <w:pPr>
        <w:ind w:left="692" w:hanging="100"/>
      </w:pPr>
      <w:rPr>
        <w:rFonts w:hint="default"/>
      </w:rPr>
    </w:lvl>
    <w:lvl w:ilvl="3" w:tplc="14D48F70">
      <w:numFmt w:val="bullet"/>
      <w:lvlText w:val="•"/>
      <w:lvlJc w:val="left"/>
      <w:pPr>
        <w:ind w:left="959" w:hanging="100"/>
      </w:pPr>
      <w:rPr>
        <w:rFonts w:hint="default"/>
      </w:rPr>
    </w:lvl>
    <w:lvl w:ilvl="4" w:tplc="3E7C8EE0">
      <w:numFmt w:val="bullet"/>
      <w:lvlText w:val="•"/>
      <w:lvlJc w:val="left"/>
      <w:pPr>
        <w:ind w:left="1225" w:hanging="100"/>
      </w:pPr>
      <w:rPr>
        <w:rFonts w:hint="default"/>
      </w:rPr>
    </w:lvl>
    <w:lvl w:ilvl="5" w:tplc="B406DC7A">
      <w:numFmt w:val="bullet"/>
      <w:lvlText w:val="•"/>
      <w:lvlJc w:val="left"/>
      <w:pPr>
        <w:ind w:left="1492" w:hanging="100"/>
      </w:pPr>
      <w:rPr>
        <w:rFonts w:hint="default"/>
      </w:rPr>
    </w:lvl>
    <w:lvl w:ilvl="6" w:tplc="EDCEA5BA">
      <w:numFmt w:val="bullet"/>
      <w:lvlText w:val="•"/>
      <w:lvlJc w:val="left"/>
      <w:pPr>
        <w:ind w:left="1758" w:hanging="100"/>
      </w:pPr>
      <w:rPr>
        <w:rFonts w:hint="default"/>
      </w:rPr>
    </w:lvl>
    <w:lvl w:ilvl="7" w:tplc="6EA2A014">
      <w:numFmt w:val="bullet"/>
      <w:lvlText w:val="•"/>
      <w:lvlJc w:val="left"/>
      <w:pPr>
        <w:ind w:left="2024" w:hanging="100"/>
      </w:pPr>
      <w:rPr>
        <w:rFonts w:hint="default"/>
      </w:rPr>
    </w:lvl>
    <w:lvl w:ilvl="8" w:tplc="B768A1AA">
      <w:numFmt w:val="bullet"/>
      <w:lvlText w:val="•"/>
      <w:lvlJc w:val="left"/>
      <w:pPr>
        <w:ind w:left="2291" w:hanging="100"/>
      </w:pPr>
      <w:rPr>
        <w:rFonts w:hint="default"/>
      </w:rPr>
    </w:lvl>
  </w:abstractNum>
  <w:abstractNum w:abstractNumId="359" w15:restartNumberingAfterBreak="0">
    <w:nsid w:val="167F2AB2"/>
    <w:multiLevelType w:val="hybridMultilevel"/>
    <w:tmpl w:val="6A8E3A96"/>
    <w:lvl w:ilvl="0" w:tplc="13309814">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B2AAA28C">
      <w:numFmt w:val="bullet"/>
      <w:lvlText w:val="•"/>
      <w:lvlJc w:val="left"/>
      <w:pPr>
        <w:ind w:left="351" w:hanging="84"/>
      </w:pPr>
      <w:rPr>
        <w:rFonts w:hint="default"/>
      </w:rPr>
    </w:lvl>
    <w:lvl w:ilvl="2" w:tplc="54C0B30E">
      <w:numFmt w:val="bullet"/>
      <w:lvlText w:val="•"/>
      <w:lvlJc w:val="left"/>
      <w:pPr>
        <w:ind w:left="563" w:hanging="84"/>
      </w:pPr>
      <w:rPr>
        <w:rFonts w:hint="default"/>
      </w:rPr>
    </w:lvl>
    <w:lvl w:ilvl="3" w:tplc="9DEE327E">
      <w:numFmt w:val="bullet"/>
      <w:lvlText w:val="•"/>
      <w:lvlJc w:val="left"/>
      <w:pPr>
        <w:ind w:left="775" w:hanging="84"/>
      </w:pPr>
      <w:rPr>
        <w:rFonts w:hint="default"/>
      </w:rPr>
    </w:lvl>
    <w:lvl w:ilvl="4" w:tplc="611E2178">
      <w:numFmt w:val="bullet"/>
      <w:lvlText w:val="•"/>
      <w:lvlJc w:val="left"/>
      <w:pPr>
        <w:ind w:left="986" w:hanging="84"/>
      </w:pPr>
      <w:rPr>
        <w:rFonts w:hint="default"/>
      </w:rPr>
    </w:lvl>
    <w:lvl w:ilvl="5" w:tplc="44EC751E">
      <w:numFmt w:val="bullet"/>
      <w:lvlText w:val="•"/>
      <w:lvlJc w:val="left"/>
      <w:pPr>
        <w:ind w:left="1198" w:hanging="84"/>
      </w:pPr>
      <w:rPr>
        <w:rFonts w:hint="default"/>
      </w:rPr>
    </w:lvl>
    <w:lvl w:ilvl="6" w:tplc="7A160128">
      <w:numFmt w:val="bullet"/>
      <w:lvlText w:val="•"/>
      <w:lvlJc w:val="left"/>
      <w:pPr>
        <w:ind w:left="1410" w:hanging="84"/>
      </w:pPr>
      <w:rPr>
        <w:rFonts w:hint="default"/>
      </w:rPr>
    </w:lvl>
    <w:lvl w:ilvl="7" w:tplc="95765B2C">
      <w:numFmt w:val="bullet"/>
      <w:lvlText w:val="•"/>
      <w:lvlJc w:val="left"/>
      <w:pPr>
        <w:ind w:left="1621" w:hanging="84"/>
      </w:pPr>
      <w:rPr>
        <w:rFonts w:hint="default"/>
      </w:rPr>
    </w:lvl>
    <w:lvl w:ilvl="8" w:tplc="39CA696E">
      <w:numFmt w:val="bullet"/>
      <w:lvlText w:val="•"/>
      <w:lvlJc w:val="left"/>
      <w:pPr>
        <w:ind w:left="1833" w:hanging="84"/>
      </w:pPr>
      <w:rPr>
        <w:rFonts w:hint="default"/>
      </w:rPr>
    </w:lvl>
  </w:abstractNum>
  <w:abstractNum w:abstractNumId="360" w15:restartNumberingAfterBreak="0">
    <w:nsid w:val="168A72E4"/>
    <w:multiLevelType w:val="hybridMultilevel"/>
    <w:tmpl w:val="CB1A33A6"/>
    <w:lvl w:ilvl="0" w:tplc="D1CE5E92">
      <w:numFmt w:val="bullet"/>
      <w:lvlText w:val=""/>
      <w:lvlJc w:val="left"/>
      <w:pPr>
        <w:ind w:left="157" w:hanging="100"/>
      </w:pPr>
      <w:rPr>
        <w:rFonts w:ascii="Symbol" w:eastAsia="Symbol" w:hAnsi="Symbol" w:cs="Symbol" w:hint="default"/>
        <w:color w:val="231F20"/>
        <w:w w:val="100"/>
        <w:sz w:val="14"/>
        <w:szCs w:val="14"/>
      </w:rPr>
    </w:lvl>
    <w:lvl w:ilvl="1" w:tplc="6F44FBAE">
      <w:numFmt w:val="bullet"/>
      <w:lvlText w:val="•"/>
      <w:lvlJc w:val="left"/>
      <w:pPr>
        <w:ind w:left="426" w:hanging="100"/>
      </w:pPr>
      <w:rPr>
        <w:rFonts w:hint="default"/>
      </w:rPr>
    </w:lvl>
    <w:lvl w:ilvl="2" w:tplc="D9BC8A26">
      <w:numFmt w:val="bullet"/>
      <w:lvlText w:val="•"/>
      <w:lvlJc w:val="left"/>
      <w:pPr>
        <w:ind w:left="692" w:hanging="100"/>
      </w:pPr>
      <w:rPr>
        <w:rFonts w:hint="default"/>
      </w:rPr>
    </w:lvl>
    <w:lvl w:ilvl="3" w:tplc="7A441FD8">
      <w:numFmt w:val="bullet"/>
      <w:lvlText w:val="•"/>
      <w:lvlJc w:val="left"/>
      <w:pPr>
        <w:ind w:left="959" w:hanging="100"/>
      </w:pPr>
      <w:rPr>
        <w:rFonts w:hint="default"/>
      </w:rPr>
    </w:lvl>
    <w:lvl w:ilvl="4" w:tplc="004000CA">
      <w:numFmt w:val="bullet"/>
      <w:lvlText w:val="•"/>
      <w:lvlJc w:val="left"/>
      <w:pPr>
        <w:ind w:left="1225" w:hanging="100"/>
      </w:pPr>
      <w:rPr>
        <w:rFonts w:hint="default"/>
      </w:rPr>
    </w:lvl>
    <w:lvl w:ilvl="5" w:tplc="9DDC716E">
      <w:numFmt w:val="bullet"/>
      <w:lvlText w:val="•"/>
      <w:lvlJc w:val="left"/>
      <w:pPr>
        <w:ind w:left="1492" w:hanging="100"/>
      </w:pPr>
      <w:rPr>
        <w:rFonts w:hint="default"/>
      </w:rPr>
    </w:lvl>
    <w:lvl w:ilvl="6" w:tplc="09EAB5A4">
      <w:numFmt w:val="bullet"/>
      <w:lvlText w:val="•"/>
      <w:lvlJc w:val="left"/>
      <w:pPr>
        <w:ind w:left="1758" w:hanging="100"/>
      </w:pPr>
      <w:rPr>
        <w:rFonts w:hint="default"/>
      </w:rPr>
    </w:lvl>
    <w:lvl w:ilvl="7" w:tplc="DAA47C04">
      <w:numFmt w:val="bullet"/>
      <w:lvlText w:val="•"/>
      <w:lvlJc w:val="left"/>
      <w:pPr>
        <w:ind w:left="2024" w:hanging="100"/>
      </w:pPr>
      <w:rPr>
        <w:rFonts w:hint="default"/>
      </w:rPr>
    </w:lvl>
    <w:lvl w:ilvl="8" w:tplc="2B3E6452">
      <w:numFmt w:val="bullet"/>
      <w:lvlText w:val="•"/>
      <w:lvlJc w:val="left"/>
      <w:pPr>
        <w:ind w:left="2291" w:hanging="100"/>
      </w:pPr>
      <w:rPr>
        <w:rFonts w:hint="default"/>
      </w:rPr>
    </w:lvl>
  </w:abstractNum>
  <w:abstractNum w:abstractNumId="361" w15:restartNumberingAfterBreak="0">
    <w:nsid w:val="16AB55CE"/>
    <w:multiLevelType w:val="hybridMultilevel"/>
    <w:tmpl w:val="0F94F73C"/>
    <w:lvl w:ilvl="0" w:tplc="40DE0EC6">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37B6B87A">
      <w:numFmt w:val="bullet"/>
      <w:lvlText w:val="•"/>
      <w:lvlJc w:val="left"/>
      <w:pPr>
        <w:ind w:left="1690" w:hanging="180"/>
      </w:pPr>
      <w:rPr>
        <w:rFonts w:hint="default"/>
      </w:rPr>
    </w:lvl>
    <w:lvl w:ilvl="2" w:tplc="9DEAB134">
      <w:numFmt w:val="bullet"/>
      <w:lvlText w:val="•"/>
      <w:lvlJc w:val="left"/>
      <w:pPr>
        <w:ind w:left="2701" w:hanging="180"/>
      </w:pPr>
      <w:rPr>
        <w:rFonts w:hint="default"/>
      </w:rPr>
    </w:lvl>
    <w:lvl w:ilvl="3" w:tplc="9870AB44">
      <w:numFmt w:val="bullet"/>
      <w:lvlText w:val="•"/>
      <w:lvlJc w:val="left"/>
      <w:pPr>
        <w:ind w:left="3711" w:hanging="180"/>
      </w:pPr>
      <w:rPr>
        <w:rFonts w:hint="default"/>
      </w:rPr>
    </w:lvl>
    <w:lvl w:ilvl="4" w:tplc="C7A475EC">
      <w:numFmt w:val="bullet"/>
      <w:lvlText w:val="•"/>
      <w:lvlJc w:val="left"/>
      <w:pPr>
        <w:ind w:left="4722" w:hanging="180"/>
      </w:pPr>
      <w:rPr>
        <w:rFonts w:hint="default"/>
      </w:rPr>
    </w:lvl>
    <w:lvl w:ilvl="5" w:tplc="684816A8">
      <w:numFmt w:val="bullet"/>
      <w:lvlText w:val="•"/>
      <w:lvlJc w:val="left"/>
      <w:pPr>
        <w:ind w:left="5732" w:hanging="180"/>
      </w:pPr>
      <w:rPr>
        <w:rFonts w:hint="default"/>
      </w:rPr>
    </w:lvl>
    <w:lvl w:ilvl="6" w:tplc="A3BCF968">
      <w:numFmt w:val="bullet"/>
      <w:lvlText w:val="•"/>
      <w:lvlJc w:val="left"/>
      <w:pPr>
        <w:ind w:left="6743" w:hanging="180"/>
      </w:pPr>
      <w:rPr>
        <w:rFonts w:hint="default"/>
      </w:rPr>
    </w:lvl>
    <w:lvl w:ilvl="7" w:tplc="B17EDD8E">
      <w:numFmt w:val="bullet"/>
      <w:lvlText w:val="•"/>
      <w:lvlJc w:val="left"/>
      <w:pPr>
        <w:ind w:left="7753" w:hanging="180"/>
      </w:pPr>
      <w:rPr>
        <w:rFonts w:hint="default"/>
      </w:rPr>
    </w:lvl>
    <w:lvl w:ilvl="8" w:tplc="289EB528">
      <w:numFmt w:val="bullet"/>
      <w:lvlText w:val="•"/>
      <w:lvlJc w:val="left"/>
      <w:pPr>
        <w:ind w:left="8764" w:hanging="180"/>
      </w:pPr>
      <w:rPr>
        <w:rFonts w:hint="default"/>
      </w:rPr>
    </w:lvl>
  </w:abstractNum>
  <w:abstractNum w:abstractNumId="362" w15:restartNumberingAfterBreak="0">
    <w:nsid w:val="16BC6850"/>
    <w:multiLevelType w:val="hybridMultilevel"/>
    <w:tmpl w:val="35509834"/>
    <w:lvl w:ilvl="0" w:tplc="9D820400">
      <w:numFmt w:val="bullet"/>
      <w:lvlText w:val=""/>
      <w:lvlJc w:val="left"/>
      <w:pPr>
        <w:ind w:left="156" w:hanging="100"/>
      </w:pPr>
      <w:rPr>
        <w:rFonts w:ascii="Symbol" w:eastAsia="Symbol" w:hAnsi="Symbol" w:cs="Symbol" w:hint="default"/>
        <w:color w:val="231F20"/>
        <w:w w:val="100"/>
        <w:sz w:val="14"/>
        <w:szCs w:val="14"/>
      </w:rPr>
    </w:lvl>
    <w:lvl w:ilvl="1" w:tplc="ADECA79A">
      <w:numFmt w:val="bullet"/>
      <w:lvlText w:val="•"/>
      <w:lvlJc w:val="left"/>
      <w:pPr>
        <w:ind w:left="301" w:hanging="100"/>
      </w:pPr>
      <w:rPr>
        <w:rFonts w:hint="default"/>
      </w:rPr>
    </w:lvl>
    <w:lvl w:ilvl="2" w:tplc="30D2484C">
      <w:numFmt w:val="bullet"/>
      <w:lvlText w:val="•"/>
      <w:lvlJc w:val="left"/>
      <w:pPr>
        <w:ind w:left="443" w:hanging="100"/>
      </w:pPr>
      <w:rPr>
        <w:rFonts w:hint="default"/>
      </w:rPr>
    </w:lvl>
    <w:lvl w:ilvl="3" w:tplc="0AF839E4">
      <w:numFmt w:val="bullet"/>
      <w:lvlText w:val="•"/>
      <w:lvlJc w:val="left"/>
      <w:pPr>
        <w:ind w:left="585" w:hanging="100"/>
      </w:pPr>
      <w:rPr>
        <w:rFonts w:hint="default"/>
      </w:rPr>
    </w:lvl>
    <w:lvl w:ilvl="4" w:tplc="2F00A37C">
      <w:numFmt w:val="bullet"/>
      <w:lvlText w:val="•"/>
      <w:lvlJc w:val="left"/>
      <w:pPr>
        <w:ind w:left="726" w:hanging="100"/>
      </w:pPr>
      <w:rPr>
        <w:rFonts w:hint="default"/>
      </w:rPr>
    </w:lvl>
    <w:lvl w:ilvl="5" w:tplc="60F05574">
      <w:numFmt w:val="bullet"/>
      <w:lvlText w:val="•"/>
      <w:lvlJc w:val="left"/>
      <w:pPr>
        <w:ind w:left="868" w:hanging="100"/>
      </w:pPr>
      <w:rPr>
        <w:rFonts w:hint="default"/>
      </w:rPr>
    </w:lvl>
    <w:lvl w:ilvl="6" w:tplc="A84A9142">
      <w:numFmt w:val="bullet"/>
      <w:lvlText w:val="•"/>
      <w:lvlJc w:val="left"/>
      <w:pPr>
        <w:ind w:left="1010" w:hanging="100"/>
      </w:pPr>
      <w:rPr>
        <w:rFonts w:hint="default"/>
      </w:rPr>
    </w:lvl>
    <w:lvl w:ilvl="7" w:tplc="223A682E">
      <w:numFmt w:val="bullet"/>
      <w:lvlText w:val="•"/>
      <w:lvlJc w:val="left"/>
      <w:pPr>
        <w:ind w:left="1151" w:hanging="100"/>
      </w:pPr>
      <w:rPr>
        <w:rFonts w:hint="default"/>
      </w:rPr>
    </w:lvl>
    <w:lvl w:ilvl="8" w:tplc="3CCCB644">
      <w:numFmt w:val="bullet"/>
      <w:lvlText w:val="•"/>
      <w:lvlJc w:val="left"/>
      <w:pPr>
        <w:ind w:left="1293" w:hanging="100"/>
      </w:pPr>
      <w:rPr>
        <w:rFonts w:hint="default"/>
      </w:rPr>
    </w:lvl>
  </w:abstractNum>
  <w:abstractNum w:abstractNumId="363" w15:restartNumberingAfterBreak="0">
    <w:nsid w:val="16D35629"/>
    <w:multiLevelType w:val="hybridMultilevel"/>
    <w:tmpl w:val="76004FF8"/>
    <w:lvl w:ilvl="0" w:tplc="6660DBDE">
      <w:numFmt w:val="bullet"/>
      <w:lvlText w:val=""/>
      <w:lvlJc w:val="left"/>
      <w:pPr>
        <w:ind w:left="156" w:hanging="100"/>
      </w:pPr>
      <w:rPr>
        <w:rFonts w:ascii="Symbol" w:eastAsia="Symbol" w:hAnsi="Symbol" w:cs="Symbol" w:hint="default"/>
        <w:color w:val="231F20"/>
        <w:w w:val="100"/>
        <w:sz w:val="14"/>
        <w:szCs w:val="14"/>
      </w:rPr>
    </w:lvl>
    <w:lvl w:ilvl="1" w:tplc="867A6B3A">
      <w:numFmt w:val="bullet"/>
      <w:lvlText w:val="•"/>
      <w:lvlJc w:val="left"/>
      <w:pPr>
        <w:ind w:left="454" w:hanging="100"/>
      </w:pPr>
      <w:rPr>
        <w:rFonts w:hint="default"/>
      </w:rPr>
    </w:lvl>
    <w:lvl w:ilvl="2" w:tplc="2AB250E4">
      <w:numFmt w:val="bullet"/>
      <w:lvlText w:val="•"/>
      <w:lvlJc w:val="left"/>
      <w:pPr>
        <w:ind w:left="749" w:hanging="100"/>
      </w:pPr>
      <w:rPr>
        <w:rFonts w:hint="default"/>
      </w:rPr>
    </w:lvl>
    <w:lvl w:ilvl="3" w:tplc="8CD07C1C">
      <w:numFmt w:val="bullet"/>
      <w:lvlText w:val="•"/>
      <w:lvlJc w:val="left"/>
      <w:pPr>
        <w:ind w:left="1044" w:hanging="100"/>
      </w:pPr>
      <w:rPr>
        <w:rFonts w:hint="default"/>
      </w:rPr>
    </w:lvl>
    <w:lvl w:ilvl="4" w:tplc="C16E1B84">
      <w:numFmt w:val="bullet"/>
      <w:lvlText w:val="•"/>
      <w:lvlJc w:val="left"/>
      <w:pPr>
        <w:ind w:left="1339" w:hanging="100"/>
      </w:pPr>
      <w:rPr>
        <w:rFonts w:hint="default"/>
      </w:rPr>
    </w:lvl>
    <w:lvl w:ilvl="5" w:tplc="FA2C26EE">
      <w:numFmt w:val="bullet"/>
      <w:lvlText w:val="•"/>
      <w:lvlJc w:val="left"/>
      <w:pPr>
        <w:ind w:left="1634" w:hanging="100"/>
      </w:pPr>
      <w:rPr>
        <w:rFonts w:hint="default"/>
      </w:rPr>
    </w:lvl>
    <w:lvl w:ilvl="6" w:tplc="C7FED37E">
      <w:numFmt w:val="bullet"/>
      <w:lvlText w:val="•"/>
      <w:lvlJc w:val="left"/>
      <w:pPr>
        <w:ind w:left="1928" w:hanging="100"/>
      </w:pPr>
      <w:rPr>
        <w:rFonts w:hint="default"/>
      </w:rPr>
    </w:lvl>
    <w:lvl w:ilvl="7" w:tplc="0C6A92EC">
      <w:numFmt w:val="bullet"/>
      <w:lvlText w:val="•"/>
      <w:lvlJc w:val="left"/>
      <w:pPr>
        <w:ind w:left="2223" w:hanging="100"/>
      </w:pPr>
      <w:rPr>
        <w:rFonts w:hint="default"/>
      </w:rPr>
    </w:lvl>
    <w:lvl w:ilvl="8" w:tplc="F828A092">
      <w:numFmt w:val="bullet"/>
      <w:lvlText w:val="•"/>
      <w:lvlJc w:val="left"/>
      <w:pPr>
        <w:ind w:left="2518" w:hanging="100"/>
      </w:pPr>
      <w:rPr>
        <w:rFonts w:hint="default"/>
      </w:rPr>
    </w:lvl>
  </w:abstractNum>
  <w:abstractNum w:abstractNumId="364" w15:restartNumberingAfterBreak="0">
    <w:nsid w:val="16DB178A"/>
    <w:multiLevelType w:val="hybridMultilevel"/>
    <w:tmpl w:val="58B22EF4"/>
    <w:lvl w:ilvl="0" w:tplc="90FA3CC2">
      <w:numFmt w:val="bullet"/>
      <w:lvlText w:val=""/>
      <w:lvlJc w:val="left"/>
      <w:pPr>
        <w:ind w:left="156" w:hanging="100"/>
      </w:pPr>
      <w:rPr>
        <w:rFonts w:ascii="Symbol" w:eastAsia="Symbol" w:hAnsi="Symbol" w:cs="Symbol" w:hint="default"/>
        <w:color w:val="231F20"/>
        <w:w w:val="100"/>
        <w:sz w:val="14"/>
        <w:szCs w:val="14"/>
      </w:rPr>
    </w:lvl>
    <w:lvl w:ilvl="1" w:tplc="38F0A6D2">
      <w:numFmt w:val="bullet"/>
      <w:lvlText w:val="•"/>
      <w:lvlJc w:val="left"/>
      <w:pPr>
        <w:ind w:left="301" w:hanging="100"/>
      </w:pPr>
      <w:rPr>
        <w:rFonts w:hint="default"/>
      </w:rPr>
    </w:lvl>
    <w:lvl w:ilvl="2" w:tplc="6BBA257E">
      <w:numFmt w:val="bullet"/>
      <w:lvlText w:val="•"/>
      <w:lvlJc w:val="left"/>
      <w:pPr>
        <w:ind w:left="443" w:hanging="100"/>
      </w:pPr>
      <w:rPr>
        <w:rFonts w:hint="default"/>
      </w:rPr>
    </w:lvl>
    <w:lvl w:ilvl="3" w:tplc="ADB804DA">
      <w:numFmt w:val="bullet"/>
      <w:lvlText w:val="•"/>
      <w:lvlJc w:val="left"/>
      <w:pPr>
        <w:ind w:left="585" w:hanging="100"/>
      </w:pPr>
      <w:rPr>
        <w:rFonts w:hint="default"/>
      </w:rPr>
    </w:lvl>
    <w:lvl w:ilvl="4" w:tplc="7946DE70">
      <w:numFmt w:val="bullet"/>
      <w:lvlText w:val="•"/>
      <w:lvlJc w:val="left"/>
      <w:pPr>
        <w:ind w:left="726" w:hanging="100"/>
      </w:pPr>
      <w:rPr>
        <w:rFonts w:hint="default"/>
      </w:rPr>
    </w:lvl>
    <w:lvl w:ilvl="5" w:tplc="3028ED80">
      <w:numFmt w:val="bullet"/>
      <w:lvlText w:val="•"/>
      <w:lvlJc w:val="left"/>
      <w:pPr>
        <w:ind w:left="868" w:hanging="100"/>
      </w:pPr>
      <w:rPr>
        <w:rFonts w:hint="default"/>
      </w:rPr>
    </w:lvl>
    <w:lvl w:ilvl="6" w:tplc="C5FA9454">
      <w:numFmt w:val="bullet"/>
      <w:lvlText w:val="•"/>
      <w:lvlJc w:val="left"/>
      <w:pPr>
        <w:ind w:left="1010" w:hanging="100"/>
      </w:pPr>
      <w:rPr>
        <w:rFonts w:hint="default"/>
      </w:rPr>
    </w:lvl>
    <w:lvl w:ilvl="7" w:tplc="EAAE9E0E">
      <w:numFmt w:val="bullet"/>
      <w:lvlText w:val="•"/>
      <w:lvlJc w:val="left"/>
      <w:pPr>
        <w:ind w:left="1151" w:hanging="100"/>
      </w:pPr>
      <w:rPr>
        <w:rFonts w:hint="default"/>
      </w:rPr>
    </w:lvl>
    <w:lvl w:ilvl="8" w:tplc="09C4FC5E">
      <w:numFmt w:val="bullet"/>
      <w:lvlText w:val="•"/>
      <w:lvlJc w:val="left"/>
      <w:pPr>
        <w:ind w:left="1293" w:hanging="100"/>
      </w:pPr>
      <w:rPr>
        <w:rFonts w:hint="default"/>
      </w:rPr>
    </w:lvl>
  </w:abstractNum>
  <w:abstractNum w:abstractNumId="365" w15:restartNumberingAfterBreak="0">
    <w:nsid w:val="16E87251"/>
    <w:multiLevelType w:val="hybridMultilevel"/>
    <w:tmpl w:val="BA92179E"/>
    <w:lvl w:ilvl="0" w:tplc="535C6740">
      <w:numFmt w:val="bullet"/>
      <w:lvlText w:val=""/>
      <w:lvlJc w:val="left"/>
      <w:pPr>
        <w:ind w:left="156" w:hanging="100"/>
      </w:pPr>
      <w:rPr>
        <w:rFonts w:ascii="Symbol" w:eastAsia="Symbol" w:hAnsi="Symbol" w:cs="Symbol" w:hint="default"/>
        <w:color w:val="231F20"/>
        <w:w w:val="100"/>
        <w:sz w:val="14"/>
        <w:szCs w:val="14"/>
      </w:rPr>
    </w:lvl>
    <w:lvl w:ilvl="1" w:tplc="A1C6B4F4">
      <w:numFmt w:val="bullet"/>
      <w:lvlText w:val="•"/>
      <w:lvlJc w:val="left"/>
      <w:pPr>
        <w:ind w:left="426" w:hanging="100"/>
      </w:pPr>
      <w:rPr>
        <w:rFonts w:hint="default"/>
      </w:rPr>
    </w:lvl>
    <w:lvl w:ilvl="2" w:tplc="9BD49C62">
      <w:numFmt w:val="bullet"/>
      <w:lvlText w:val="•"/>
      <w:lvlJc w:val="left"/>
      <w:pPr>
        <w:ind w:left="692" w:hanging="100"/>
      </w:pPr>
      <w:rPr>
        <w:rFonts w:hint="default"/>
      </w:rPr>
    </w:lvl>
    <w:lvl w:ilvl="3" w:tplc="E6781DB2">
      <w:numFmt w:val="bullet"/>
      <w:lvlText w:val="•"/>
      <w:lvlJc w:val="left"/>
      <w:pPr>
        <w:ind w:left="959" w:hanging="100"/>
      </w:pPr>
      <w:rPr>
        <w:rFonts w:hint="default"/>
      </w:rPr>
    </w:lvl>
    <w:lvl w:ilvl="4" w:tplc="84A0679A">
      <w:numFmt w:val="bullet"/>
      <w:lvlText w:val="•"/>
      <w:lvlJc w:val="left"/>
      <w:pPr>
        <w:ind w:left="1225" w:hanging="100"/>
      </w:pPr>
      <w:rPr>
        <w:rFonts w:hint="default"/>
      </w:rPr>
    </w:lvl>
    <w:lvl w:ilvl="5" w:tplc="D9E0E37E">
      <w:numFmt w:val="bullet"/>
      <w:lvlText w:val="•"/>
      <w:lvlJc w:val="left"/>
      <w:pPr>
        <w:ind w:left="1492" w:hanging="100"/>
      </w:pPr>
      <w:rPr>
        <w:rFonts w:hint="default"/>
      </w:rPr>
    </w:lvl>
    <w:lvl w:ilvl="6" w:tplc="D5B40B02">
      <w:numFmt w:val="bullet"/>
      <w:lvlText w:val="•"/>
      <w:lvlJc w:val="left"/>
      <w:pPr>
        <w:ind w:left="1758" w:hanging="100"/>
      </w:pPr>
      <w:rPr>
        <w:rFonts w:hint="default"/>
      </w:rPr>
    </w:lvl>
    <w:lvl w:ilvl="7" w:tplc="CD4694A8">
      <w:numFmt w:val="bullet"/>
      <w:lvlText w:val="•"/>
      <w:lvlJc w:val="left"/>
      <w:pPr>
        <w:ind w:left="2024" w:hanging="100"/>
      </w:pPr>
      <w:rPr>
        <w:rFonts w:hint="default"/>
      </w:rPr>
    </w:lvl>
    <w:lvl w:ilvl="8" w:tplc="8D72C74E">
      <w:numFmt w:val="bullet"/>
      <w:lvlText w:val="•"/>
      <w:lvlJc w:val="left"/>
      <w:pPr>
        <w:ind w:left="2291" w:hanging="100"/>
      </w:pPr>
      <w:rPr>
        <w:rFonts w:hint="default"/>
      </w:rPr>
    </w:lvl>
  </w:abstractNum>
  <w:abstractNum w:abstractNumId="366" w15:restartNumberingAfterBreak="0">
    <w:nsid w:val="172937C2"/>
    <w:multiLevelType w:val="hybridMultilevel"/>
    <w:tmpl w:val="AD7E34EA"/>
    <w:lvl w:ilvl="0" w:tplc="41969D4C">
      <w:numFmt w:val="bullet"/>
      <w:lvlText w:val=""/>
      <w:lvlJc w:val="left"/>
      <w:pPr>
        <w:ind w:left="156" w:hanging="100"/>
      </w:pPr>
      <w:rPr>
        <w:rFonts w:ascii="Symbol" w:eastAsia="Symbol" w:hAnsi="Symbol" w:cs="Symbol" w:hint="default"/>
        <w:color w:val="231F20"/>
        <w:w w:val="100"/>
        <w:sz w:val="14"/>
        <w:szCs w:val="14"/>
      </w:rPr>
    </w:lvl>
    <w:lvl w:ilvl="1" w:tplc="E6505012">
      <w:numFmt w:val="bullet"/>
      <w:lvlText w:val="•"/>
      <w:lvlJc w:val="left"/>
      <w:pPr>
        <w:ind w:left="398" w:hanging="100"/>
      </w:pPr>
      <w:rPr>
        <w:rFonts w:hint="default"/>
      </w:rPr>
    </w:lvl>
    <w:lvl w:ilvl="2" w:tplc="3AAADC76">
      <w:numFmt w:val="bullet"/>
      <w:lvlText w:val="•"/>
      <w:lvlJc w:val="left"/>
      <w:pPr>
        <w:ind w:left="636" w:hanging="100"/>
      </w:pPr>
      <w:rPr>
        <w:rFonts w:hint="default"/>
      </w:rPr>
    </w:lvl>
    <w:lvl w:ilvl="3" w:tplc="4DDC46CE">
      <w:numFmt w:val="bullet"/>
      <w:lvlText w:val="•"/>
      <w:lvlJc w:val="left"/>
      <w:pPr>
        <w:ind w:left="874" w:hanging="100"/>
      </w:pPr>
      <w:rPr>
        <w:rFonts w:hint="default"/>
      </w:rPr>
    </w:lvl>
    <w:lvl w:ilvl="4" w:tplc="C6FC3312">
      <w:numFmt w:val="bullet"/>
      <w:lvlText w:val="•"/>
      <w:lvlJc w:val="left"/>
      <w:pPr>
        <w:ind w:left="1112" w:hanging="100"/>
      </w:pPr>
      <w:rPr>
        <w:rFonts w:hint="default"/>
      </w:rPr>
    </w:lvl>
    <w:lvl w:ilvl="5" w:tplc="8C2C0714">
      <w:numFmt w:val="bullet"/>
      <w:lvlText w:val="•"/>
      <w:lvlJc w:val="left"/>
      <w:pPr>
        <w:ind w:left="1350" w:hanging="100"/>
      </w:pPr>
      <w:rPr>
        <w:rFonts w:hint="default"/>
      </w:rPr>
    </w:lvl>
    <w:lvl w:ilvl="6" w:tplc="FE94186C">
      <w:numFmt w:val="bullet"/>
      <w:lvlText w:val="•"/>
      <w:lvlJc w:val="left"/>
      <w:pPr>
        <w:ind w:left="1588" w:hanging="100"/>
      </w:pPr>
      <w:rPr>
        <w:rFonts w:hint="default"/>
      </w:rPr>
    </w:lvl>
    <w:lvl w:ilvl="7" w:tplc="3C087734">
      <w:numFmt w:val="bullet"/>
      <w:lvlText w:val="•"/>
      <w:lvlJc w:val="left"/>
      <w:pPr>
        <w:ind w:left="1826" w:hanging="100"/>
      </w:pPr>
      <w:rPr>
        <w:rFonts w:hint="default"/>
      </w:rPr>
    </w:lvl>
    <w:lvl w:ilvl="8" w:tplc="70C813D8">
      <w:numFmt w:val="bullet"/>
      <w:lvlText w:val="•"/>
      <w:lvlJc w:val="left"/>
      <w:pPr>
        <w:ind w:left="2064" w:hanging="100"/>
      </w:pPr>
      <w:rPr>
        <w:rFonts w:hint="default"/>
      </w:rPr>
    </w:lvl>
  </w:abstractNum>
  <w:abstractNum w:abstractNumId="367" w15:restartNumberingAfterBreak="0">
    <w:nsid w:val="17455FB0"/>
    <w:multiLevelType w:val="hybridMultilevel"/>
    <w:tmpl w:val="754677D8"/>
    <w:lvl w:ilvl="0" w:tplc="0C961B24">
      <w:numFmt w:val="bullet"/>
      <w:lvlText w:val=""/>
      <w:lvlJc w:val="left"/>
      <w:pPr>
        <w:ind w:left="156" w:hanging="100"/>
      </w:pPr>
      <w:rPr>
        <w:rFonts w:ascii="Symbol" w:eastAsia="Symbol" w:hAnsi="Symbol" w:cs="Symbol" w:hint="default"/>
        <w:color w:val="231F20"/>
        <w:w w:val="100"/>
        <w:sz w:val="14"/>
        <w:szCs w:val="14"/>
      </w:rPr>
    </w:lvl>
    <w:lvl w:ilvl="1" w:tplc="91781C20">
      <w:numFmt w:val="bullet"/>
      <w:lvlText w:val="•"/>
      <w:lvlJc w:val="left"/>
      <w:pPr>
        <w:ind w:left="301" w:hanging="100"/>
      </w:pPr>
      <w:rPr>
        <w:rFonts w:hint="default"/>
      </w:rPr>
    </w:lvl>
    <w:lvl w:ilvl="2" w:tplc="3D1CAF3C">
      <w:numFmt w:val="bullet"/>
      <w:lvlText w:val="•"/>
      <w:lvlJc w:val="left"/>
      <w:pPr>
        <w:ind w:left="443" w:hanging="100"/>
      </w:pPr>
      <w:rPr>
        <w:rFonts w:hint="default"/>
      </w:rPr>
    </w:lvl>
    <w:lvl w:ilvl="3" w:tplc="234454E2">
      <w:numFmt w:val="bullet"/>
      <w:lvlText w:val="•"/>
      <w:lvlJc w:val="left"/>
      <w:pPr>
        <w:ind w:left="585" w:hanging="100"/>
      </w:pPr>
      <w:rPr>
        <w:rFonts w:hint="default"/>
      </w:rPr>
    </w:lvl>
    <w:lvl w:ilvl="4" w:tplc="B9486D02">
      <w:numFmt w:val="bullet"/>
      <w:lvlText w:val="•"/>
      <w:lvlJc w:val="left"/>
      <w:pPr>
        <w:ind w:left="726" w:hanging="100"/>
      </w:pPr>
      <w:rPr>
        <w:rFonts w:hint="default"/>
      </w:rPr>
    </w:lvl>
    <w:lvl w:ilvl="5" w:tplc="54F22466">
      <w:numFmt w:val="bullet"/>
      <w:lvlText w:val="•"/>
      <w:lvlJc w:val="left"/>
      <w:pPr>
        <w:ind w:left="868" w:hanging="100"/>
      </w:pPr>
      <w:rPr>
        <w:rFonts w:hint="default"/>
      </w:rPr>
    </w:lvl>
    <w:lvl w:ilvl="6" w:tplc="DFAECED4">
      <w:numFmt w:val="bullet"/>
      <w:lvlText w:val="•"/>
      <w:lvlJc w:val="left"/>
      <w:pPr>
        <w:ind w:left="1010" w:hanging="100"/>
      </w:pPr>
      <w:rPr>
        <w:rFonts w:hint="default"/>
      </w:rPr>
    </w:lvl>
    <w:lvl w:ilvl="7" w:tplc="350EA448">
      <w:numFmt w:val="bullet"/>
      <w:lvlText w:val="•"/>
      <w:lvlJc w:val="left"/>
      <w:pPr>
        <w:ind w:left="1151" w:hanging="100"/>
      </w:pPr>
      <w:rPr>
        <w:rFonts w:hint="default"/>
      </w:rPr>
    </w:lvl>
    <w:lvl w:ilvl="8" w:tplc="CC28AE40">
      <w:numFmt w:val="bullet"/>
      <w:lvlText w:val="•"/>
      <w:lvlJc w:val="left"/>
      <w:pPr>
        <w:ind w:left="1293" w:hanging="100"/>
      </w:pPr>
      <w:rPr>
        <w:rFonts w:hint="default"/>
      </w:rPr>
    </w:lvl>
  </w:abstractNum>
  <w:abstractNum w:abstractNumId="368" w15:restartNumberingAfterBreak="0">
    <w:nsid w:val="17803607"/>
    <w:multiLevelType w:val="hybridMultilevel"/>
    <w:tmpl w:val="EE0CEE48"/>
    <w:lvl w:ilvl="0" w:tplc="CA14E37A">
      <w:numFmt w:val="bullet"/>
      <w:lvlText w:val=""/>
      <w:lvlJc w:val="left"/>
      <w:pPr>
        <w:ind w:left="157" w:hanging="100"/>
      </w:pPr>
      <w:rPr>
        <w:rFonts w:ascii="Symbol" w:eastAsia="Symbol" w:hAnsi="Symbol" w:cs="Symbol" w:hint="default"/>
        <w:color w:val="231F20"/>
        <w:w w:val="100"/>
        <w:sz w:val="14"/>
        <w:szCs w:val="14"/>
      </w:rPr>
    </w:lvl>
    <w:lvl w:ilvl="1" w:tplc="514418E0">
      <w:numFmt w:val="bullet"/>
      <w:lvlText w:val="•"/>
      <w:lvlJc w:val="left"/>
      <w:pPr>
        <w:ind w:left="369" w:hanging="100"/>
      </w:pPr>
      <w:rPr>
        <w:rFonts w:hint="default"/>
      </w:rPr>
    </w:lvl>
    <w:lvl w:ilvl="2" w:tplc="C3448F5E">
      <w:numFmt w:val="bullet"/>
      <w:lvlText w:val="•"/>
      <w:lvlJc w:val="left"/>
      <w:pPr>
        <w:ind w:left="579" w:hanging="100"/>
      </w:pPr>
      <w:rPr>
        <w:rFonts w:hint="default"/>
      </w:rPr>
    </w:lvl>
    <w:lvl w:ilvl="3" w:tplc="ADD8B90A">
      <w:numFmt w:val="bullet"/>
      <w:lvlText w:val="•"/>
      <w:lvlJc w:val="left"/>
      <w:pPr>
        <w:ind w:left="789" w:hanging="100"/>
      </w:pPr>
      <w:rPr>
        <w:rFonts w:hint="default"/>
      </w:rPr>
    </w:lvl>
    <w:lvl w:ilvl="4" w:tplc="65829ACE">
      <w:numFmt w:val="bullet"/>
      <w:lvlText w:val="•"/>
      <w:lvlJc w:val="left"/>
      <w:pPr>
        <w:ind w:left="998" w:hanging="100"/>
      </w:pPr>
      <w:rPr>
        <w:rFonts w:hint="default"/>
      </w:rPr>
    </w:lvl>
    <w:lvl w:ilvl="5" w:tplc="4FE43A68">
      <w:numFmt w:val="bullet"/>
      <w:lvlText w:val="•"/>
      <w:lvlJc w:val="left"/>
      <w:pPr>
        <w:ind w:left="1208" w:hanging="100"/>
      </w:pPr>
      <w:rPr>
        <w:rFonts w:hint="default"/>
      </w:rPr>
    </w:lvl>
    <w:lvl w:ilvl="6" w:tplc="19923ECC">
      <w:numFmt w:val="bullet"/>
      <w:lvlText w:val="•"/>
      <w:lvlJc w:val="left"/>
      <w:pPr>
        <w:ind w:left="1418" w:hanging="100"/>
      </w:pPr>
      <w:rPr>
        <w:rFonts w:hint="default"/>
      </w:rPr>
    </w:lvl>
    <w:lvl w:ilvl="7" w:tplc="84FAEA1A">
      <w:numFmt w:val="bullet"/>
      <w:lvlText w:val="•"/>
      <w:lvlJc w:val="left"/>
      <w:pPr>
        <w:ind w:left="1627" w:hanging="100"/>
      </w:pPr>
      <w:rPr>
        <w:rFonts w:hint="default"/>
      </w:rPr>
    </w:lvl>
    <w:lvl w:ilvl="8" w:tplc="9964350A">
      <w:numFmt w:val="bullet"/>
      <w:lvlText w:val="•"/>
      <w:lvlJc w:val="left"/>
      <w:pPr>
        <w:ind w:left="1837" w:hanging="100"/>
      </w:pPr>
      <w:rPr>
        <w:rFonts w:hint="default"/>
      </w:rPr>
    </w:lvl>
  </w:abstractNum>
  <w:abstractNum w:abstractNumId="369" w15:restartNumberingAfterBreak="0">
    <w:nsid w:val="178F7550"/>
    <w:multiLevelType w:val="hybridMultilevel"/>
    <w:tmpl w:val="C23038DA"/>
    <w:lvl w:ilvl="0" w:tplc="4B321898">
      <w:numFmt w:val="bullet"/>
      <w:lvlText w:val=""/>
      <w:lvlJc w:val="left"/>
      <w:pPr>
        <w:ind w:left="156" w:hanging="100"/>
      </w:pPr>
      <w:rPr>
        <w:rFonts w:ascii="Symbol" w:eastAsia="Symbol" w:hAnsi="Symbol" w:cs="Symbol" w:hint="default"/>
        <w:color w:val="231F20"/>
        <w:w w:val="100"/>
        <w:sz w:val="14"/>
        <w:szCs w:val="14"/>
      </w:rPr>
    </w:lvl>
    <w:lvl w:ilvl="1" w:tplc="C046D816">
      <w:numFmt w:val="bullet"/>
      <w:lvlText w:val="•"/>
      <w:lvlJc w:val="left"/>
      <w:pPr>
        <w:ind w:left="398" w:hanging="100"/>
      </w:pPr>
      <w:rPr>
        <w:rFonts w:hint="default"/>
      </w:rPr>
    </w:lvl>
    <w:lvl w:ilvl="2" w:tplc="3DA2BD90">
      <w:numFmt w:val="bullet"/>
      <w:lvlText w:val="•"/>
      <w:lvlJc w:val="left"/>
      <w:pPr>
        <w:ind w:left="636" w:hanging="100"/>
      </w:pPr>
      <w:rPr>
        <w:rFonts w:hint="default"/>
      </w:rPr>
    </w:lvl>
    <w:lvl w:ilvl="3" w:tplc="BE6CB590">
      <w:numFmt w:val="bullet"/>
      <w:lvlText w:val="•"/>
      <w:lvlJc w:val="left"/>
      <w:pPr>
        <w:ind w:left="874" w:hanging="100"/>
      </w:pPr>
      <w:rPr>
        <w:rFonts w:hint="default"/>
      </w:rPr>
    </w:lvl>
    <w:lvl w:ilvl="4" w:tplc="EE248136">
      <w:numFmt w:val="bullet"/>
      <w:lvlText w:val="•"/>
      <w:lvlJc w:val="left"/>
      <w:pPr>
        <w:ind w:left="1112" w:hanging="100"/>
      </w:pPr>
      <w:rPr>
        <w:rFonts w:hint="default"/>
      </w:rPr>
    </w:lvl>
    <w:lvl w:ilvl="5" w:tplc="7C68FE70">
      <w:numFmt w:val="bullet"/>
      <w:lvlText w:val="•"/>
      <w:lvlJc w:val="left"/>
      <w:pPr>
        <w:ind w:left="1350" w:hanging="100"/>
      </w:pPr>
      <w:rPr>
        <w:rFonts w:hint="default"/>
      </w:rPr>
    </w:lvl>
    <w:lvl w:ilvl="6" w:tplc="CA26B936">
      <w:numFmt w:val="bullet"/>
      <w:lvlText w:val="•"/>
      <w:lvlJc w:val="left"/>
      <w:pPr>
        <w:ind w:left="1588" w:hanging="100"/>
      </w:pPr>
      <w:rPr>
        <w:rFonts w:hint="default"/>
      </w:rPr>
    </w:lvl>
    <w:lvl w:ilvl="7" w:tplc="D8920FBC">
      <w:numFmt w:val="bullet"/>
      <w:lvlText w:val="•"/>
      <w:lvlJc w:val="left"/>
      <w:pPr>
        <w:ind w:left="1826" w:hanging="100"/>
      </w:pPr>
      <w:rPr>
        <w:rFonts w:hint="default"/>
      </w:rPr>
    </w:lvl>
    <w:lvl w:ilvl="8" w:tplc="05EC95D4">
      <w:numFmt w:val="bullet"/>
      <w:lvlText w:val="•"/>
      <w:lvlJc w:val="left"/>
      <w:pPr>
        <w:ind w:left="2064" w:hanging="100"/>
      </w:pPr>
      <w:rPr>
        <w:rFonts w:hint="default"/>
      </w:rPr>
    </w:lvl>
  </w:abstractNum>
  <w:abstractNum w:abstractNumId="370" w15:restartNumberingAfterBreak="0">
    <w:nsid w:val="17A70985"/>
    <w:multiLevelType w:val="hybridMultilevel"/>
    <w:tmpl w:val="B6FC729A"/>
    <w:lvl w:ilvl="0" w:tplc="083E9CE4">
      <w:numFmt w:val="bullet"/>
      <w:lvlText w:val=""/>
      <w:lvlJc w:val="left"/>
      <w:pPr>
        <w:ind w:left="156" w:hanging="100"/>
      </w:pPr>
      <w:rPr>
        <w:rFonts w:ascii="Symbol" w:eastAsia="Symbol" w:hAnsi="Symbol" w:cs="Symbol" w:hint="default"/>
        <w:color w:val="231F20"/>
        <w:w w:val="100"/>
        <w:sz w:val="14"/>
        <w:szCs w:val="14"/>
      </w:rPr>
    </w:lvl>
    <w:lvl w:ilvl="1" w:tplc="5A7480BA">
      <w:numFmt w:val="bullet"/>
      <w:lvlText w:val="•"/>
      <w:lvlJc w:val="left"/>
      <w:pPr>
        <w:ind w:left="398" w:hanging="100"/>
      </w:pPr>
      <w:rPr>
        <w:rFonts w:hint="default"/>
      </w:rPr>
    </w:lvl>
    <w:lvl w:ilvl="2" w:tplc="CC2EC088">
      <w:numFmt w:val="bullet"/>
      <w:lvlText w:val="•"/>
      <w:lvlJc w:val="left"/>
      <w:pPr>
        <w:ind w:left="636" w:hanging="100"/>
      </w:pPr>
      <w:rPr>
        <w:rFonts w:hint="default"/>
      </w:rPr>
    </w:lvl>
    <w:lvl w:ilvl="3" w:tplc="C0A2BBB8">
      <w:numFmt w:val="bullet"/>
      <w:lvlText w:val="•"/>
      <w:lvlJc w:val="left"/>
      <w:pPr>
        <w:ind w:left="874" w:hanging="100"/>
      </w:pPr>
      <w:rPr>
        <w:rFonts w:hint="default"/>
      </w:rPr>
    </w:lvl>
    <w:lvl w:ilvl="4" w:tplc="36000FB8">
      <w:numFmt w:val="bullet"/>
      <w:lvlText w:val="•"/>
      <w:lvlJc w:val="left"/>
      <w:pPr>
        <w:ind w:left="1112" w:hanging="100"/>
      </w:pPr>
      <w:rPr>
        <w:rFonts w:hint="default"/>
      </w:rPr>
    </w:lvl>
    <w:lvl w:ilvl="5" w:tplc="85C416C8">
      <w:numFmt w:val="bullet"/>
      <w:lvlText w:val="•"/>
      <w:lvlJc w:val="left"/>
      <w:pPr>
        <w:ind w:left="1350" w:hanging="100"/>
      </w:pPr>
      <w:rPr>
        <w:rFonts w:hint="default"/>
      </w:rPr>
    </w:lvl>
    <w:lvl w:ilvl="6" w:tplc="76FC08E8">
      <w:numFmt w:val="bullet"/>
      <w:lvlText w:val="•"/>
      <w:lvlJc w:val="left"/>
      <w:pPr>
        <w:ind w:left="1588" w:hanging="100"/>
      </w:pPr>
      <w:rPr>
        <w:rFonts w:hint="default"/>
      </w:rPr>
    </w:lvl>
    <w:lvl w:ilvl="7" w:tplc="2B20E016">
      <w:numFmt w:val="bullet"/>
      <w:lvlText w:val="•"/>
      <w:lvlJc w:val="left"/>
      <w:pPr>
        <w:ind w:left="1826" w:hanging="100"/>
      </w:pPr>
      <w:rPr>
        <w:rFonts w:hint="default"/>
      </w:rPr>
    </w:lvl>
    <w:lvl w:ilvl="8" w:tplc="475E3E94">
      <w:numFmt w:val="bullet"/>
      <w:lvlText w:val="•"/>
      <w:lvlJc w:val="left"/>
      <w:pPr>
        <w:ind w:left="2064" w:hanging="100"/>
      </w:pPr>
      <w:rPr>
        <w:rFonts w:hint="default"/>
      </w:rPr>
    </w:lvl>
  </w:abstractNum>
  <w:abstractNum w:abstractNumId="371" w15:restartNumberingAfterBreak="0">
    <w:nsid w:val="17AD7AF2"/>
    <w:multiLevelType w:val="hybridMultilevel"/>
    <w:tmpl w:val="E7B800BC"/>
    <w:lvl w:ilvl="0" w:tplc="AC7EFE60">
      <w:numFmt w:val="bullet"/>
      <w:lvlText w:val=""/>
      <w:lvlJc w:val="left"/>
      <w:pPr>
        <w:ind w:left="156" w:hanging="100"/>
      </w:pPr>
      <w:rPr>
        <w:rFonts w:ascii="Symbol" w:eastAsia="Symbol" w:hAnsi="Symbol" w:cs="Symbol" w:hint="default"/>
        <w:color w:val="231F20"/>
        <w:w w:val="100"/>
        <w:sz w:val="14"/>
        <w:szCs w:val="14"/>
      </w:rPr>
    </w:lvl>
    <w:lvl w:ilvl="1" w:tplc="5BD42DF6">
      <w:numFmt w:val="bullet"/>
      <w:lvlText w:val="•"/>
      <w:lvlJc w:val="left"/>
      <w:pPr>
        <w:ind w:left="301" w:hanging="100"/>
      </w:pPr>
      <w:rPr>
        <w:rFonts w:hint="default"/>
      </w:rPr>
    </w:lvl>
    <w:lvl w:ilvl="2" w:tplc="C6A6882C">
      <w:numFmt w:val="bullet"/>
      <w:lvlText w:val="•"/>
      <w:lvlJc w:val="left"/>
      <w:pPr>
        <w:ind w:left="443" w:hanging="100"/>
      </w:pPr>
      <w:rPr>
        <w:rFonts w:hint="default"/>
      </w:rPr>
    </w:lvl>
    <w:lvl w:ilvl="3" w:tplc="8B3857A4">
      <w:numFmt w:val="bullet"/>
      <w:lvlText w:val="•"/>
      <w:lvlJc w:val="left"/>
      <w:pPr>
        <w:ind w:left="585" w:hanging="100"/>
      </w:pPr>
      <w:rPr>
        <w:rFonts w:hint="default"/>
      </w:rPr>
    </w:lvl>
    <w:lvl w:ilvl="4" w:tplc="84BA42B0">
      <w:numFmt w:val="bullet"/>
      <w:lvlText w:val="•"/>
      <w:lvlJc w:val="left"/>
      <w:pPr>
        <w:ind w:left="726" w:hanging="100"/>
      </w:pPr>
      <w:rPr>
        <w:rFonts w:hint="default"/>
      </w:rPr>
    </w:lvl>
    <w:lvl w:ilvl="5" w:tplc="B0727A6C">
      <w:numFmt w:val="bullet"/>
      <w:lvlText w:val="•"/>
      <w:lvlJc w:val="left"/>
      <w:pPr>
        <w:ind w:left="868" w:hanging="100"/>
      </w:pPr>
      <w:rPr>
        <w:rFonts w:hint="default"/>
      </w:rPr>
    </w:lvl>
    <w:lvl w:ilvl="6" w:tplc="E8BE8038">
      <w:numFmt w:val="bullet"/>
      <w:lvlText w:val="•"/>
      <w:lvlJc w:val="left"/>
      <w:pPr>
        <w:ind w:left="1010" w:hanging="100"/>
      </w:pPr>
      <w:rPr>
        <w:rFonts w:hint="default"/>
      </w:rPr>
    </w:lvl>
    <w:lvl w:ilvl="7" w:tplc="640C9EB2">
      <w:numFmt w:val="bullet"/>
      <w:lvlText w:val="•"/>
      <w:lvlJc w:val="left"/>
      <w:pPr>
        <w:ind w:left="1151" w:hanging="100"/>
      </w:pPr>
      <w:rPr>
        <w:rFonts w:hint="default"/>
      </w:rPr>
    </w:lvl>
    <w:lvl w:ilvl="8" w:tplc="798EB2F0">
      <w:numFmt w:val="bullet"/>
      <w:lvlText w:val="•"/>
      <w:lvlJc w:val="left"/>
      <w:pPr>
        <w:ind w:left="1293" w:hanging="100"/>
      </w:pPr>
      <w:rPr>
        <w:rFonts w:hint="default"/>
      </w:rPr>
    </w:lvl>
  </w:abstractNum>
  <w:abstractNum w:abstractNumId="372" w15:restartNumberingAfterBreak="0">
    <w:nsid w:val="17BD66EE"/>
    <w:multiLevelType w:val="hybridMultilevel"/>
    <w:tmpl w:val="0212B6F6"/>
    <w:lvl w:ilvl="0" w:tplc="80944540">
      <w:numFmt w:val="bullet"/>
      <w:lvlText w:val=""/>
      <w:lvlJc w:val="left"/>
      <w:pPr>
        <w:ind w:left="157" w:hanging="100"/>
      </w:pPr>
      <w:rPr>
        <w:rFonts w:ascii="Symbol" w:eastAsia="Symbol" w:hAnsi="Symbol" w:cs="Symbol" w:hint="default"/>
        <w:color w:val="231F20"/>
        <w:w w:val="100"/>
        <w:sz w:val="14"/>
        <w:szCs w:val="14"/>
      </w:rPr>
    </w:lvl>
    <w:lvl w:ilvl="1" w:tplc="FE0E1AE6">
      <w:numFmt w:val="bullet"/>
      <w:lvlText w:val="•"/>
      <w:lvlJc w:val="left"/>
      <w:pPr>
        <w:ind w:left="426" w:hanging="100"/>
      </w:pPr>
      <w:rPr>
        <w:rFonts w:hint="default"/>
      </w:rPr>
    </w:lvl>
    <w:lvl w:ilvl="2" w:tplc="6D98C274">
      <w:numFmt w:val="bullet"/>
      <w:lvlText w:val="•"/>
      <w:lvlJc w:val="left"/>
      <w:pPr>
        <w:ind w:left="692" w:hanging="100"/>
      </w:pPr>
      <w:rPr>
        <w:rFonts w:hint="default"/>
      </w:rPr>
    </w:lvl>
    <w:lvl w:ilvl="3" w:tplc="65EA54C8">
      <w:numFmt w:val="bullet"/>
      <w:lvlText w:val="•"/>
      <w:lvlJc w:val="left"/>
      <w:pPr>
        <w:ind w:left="959" w:hanging="100"/>
      </w:pPr>
      <w:rPr>
        <w:rFonts w:hint="default"/>
      </w:rPr>
    </w:lvl>
    <w:lvl w:ilvl="4" w:tplc="F55C857A">
      <w:numFmt w:val="bullet"/>
      <w:lvlText w:val="•"/>
      <w:lvlJc w:val="left"/>
      <w:pPr>
        <w:ind w:left="1225" w:hanging="100"/>
      </w:pPr>
      <w:rPr>
        <w:rFonts w:hint="default"/>
      </w:rPr>
    </w:lvl>
    <w:lvl w:ilvl="5" w:tplc="1D0CD878">
      <w:numFmt w:val="bullet"/>
      <w:lvlText w:val="•"/>
      <w:lvlJc w:val="left"/>
      <w:pPr>
        <w:ind w:left="1492" w:hanging="100"/>
      </w:pPr>
      <w:rPr>
        <w:rFonts w:hint="default"/>
      </w:rPr>
    </w:lvl>
    <w:lvl w:ilvl="6" w:tplc="146845B2">
      <w:numFmt w:val="bullet"/>
      <w:lvlText w:val="•"/>
      <w:lvlJc w:val="left"/>
      <w:pPr>
        <w:ind w:left="1758" w:hanging="100"/>
      </w:pPr>
      <w:rPr>
        <w:rFonts w:hint="default"/>
      </w:rPr>
    </w:lvl>
    <w:lvl w:ilvl="7" w:tplc="2FCC1CEE">
      <w:numFmt w:val="bullet"/>
      <w:lvlText w:val="•"/>
      <w:lvlJc w:val="left"/>
      <w:pPr>
        <w:ind w:left="2024" w:hanging="100"/>
      </w:pPr>
      <w:rPr>
        <w:rFonts w:hint="default"/>
      </w:rPr>
    </w:lvl>
    <w:lvl w:ilvl="8" w:tplc="2FF65F8A">
      <w:numFmt w:val="bullet"/>
      <w:lvlText w:val="•"/>
      <w:lvlJc w:val="left"/>
      <w:pPr>
        <w:ind w:left="2291" w:hanging="100"/>
      </w:pPr>
      <w:rPr>
        <w:rFonts w:hint="default"/>
      </w:rPr>
    </w:lvl>
  </w:abstractNum>
  <w:abstractNum w:abstractNumId="373" w15:restartNumberingAfterBreak="0">
    <w:nsid w:val="17C9211F"/>
    <w:multiLevelType w:val="hybridMultilevel"/>
    <w:tmpl w:val="98127750"/>
    <w:lvl w:ilvl="0" w:tplc="D88ADB06">
      <w:numFmt w:val="bullet"/>
      <w:lvlText w:val=""/>
      <w:lvlJc w:val="left"/>
      <w:pPr>
        <w:ind w:left="156" w:hanging="100"/>
      </w:pPr>
      <w:rPr>
        <w:rFonts w:ascii="Symbol" w:eastAsia="Symbol" w:hAnsi="Symbol" w:cs="Symbol" w:hint="default"/>
        <w:color w:val="231F20"/>
        <w:w w:val="100"/>
        <w:sz w:val="14"/>
        <w:szCs w:val="14"/>
      </w:rPr>
    </w:lvl>
    <w:lvl w:ilvl="1" w:tplc="137E2298">
      <w:numFmt w:val="bullet"/>
      <w:lvlText w:val="•"/>
      <w:lvlJc w:val="left"/>
      <w:pPr>
        <w:ind w:left="398" w:hanging="100"/>
      </w:pPr>
      <w:rPr>
        <w:rFonts w:hint="default"/>
      </w:rPr>
    </w:lvl>
    <w:lvl w:ilvl="2" w:tplc="6B1EDA56">
      <w:numFmt w:val="bullet"/>
      <w:lvlText w:val="•"/>
      <w:lvlJc w:val="left"/>
      <w:pPr>
        <w:ind w:left="636" w:hanging="100"/>
      </w:pPr>
      <w:rPr>
        <w:rFonts w:hint="default"/>
      </w:rPr>
    </w:lvl>
    <w:lvl w:ilvl="3" w:tplc="96C82222">
      <w:numFmt w:val="bullet"/>
      <w:lvlText w:val="•"/>
      <w:lvlJc w:val="left"/>
      <w:pPr>
        <w:ind w:left="874" w:hanging="100"/>
      </w:pPr>
      <w:rPr>
        <w:rFonts w:hint="default"/>
      </w:rPr>
    </w:lvl>
    <w:lvl w:ilvl="4" w:tplc="B2EEFF6E">
      <w:numFmt w:val="bullet"/>
      <w:lvlText w:val="•"/>
      <w:lvlJc w:val="left"/>
      <w:pPr>
        <w:ind w:left="1112" w:hanging="100"/>
      </w:pPr>
      <w:rPr>
        <w:rFonts w:hint="default"/>
      </w:rPr>
    </w:lvl>
    <w:lvl w:ilvl="5" w:tplc="CBE6BB54">
      <w:numFmt w:val="bullet"/>
      <w:lvlText w:val="•"/>
      <w:lvlJc w:val="left"/>
      <w:pPr>
        <w:ind w:left="1350" w:hanging="100"/>
      </w:pPr>
      <w:rPr>
        <w:rFonts w:hint="default"/>
      </w:rPr>
    </w:lvl>
    <w:lvl w:ilvl="6" w:tplc="369C871A">
      <w:numFmt w:val="bullet"/>
      <w:lvlText w:val="•"/>
      <w:lvlJc w:val="left"/>
      <w:pPr>
        <w:ind w:left="1588" w:hanging="100"/>
      </w:pPr>
      <w:rPr>
        <w:rFonts w:hint="default"/>
      </w:rPr>
    </w:lvl>
    <w:lvl w:ilvl="7" w:tplc="76727848">
      <w:numFmt w:val="bullet"/>
      <w:lvlText w:val="•"/>
      <w:lvlJc w:val="left"/>
      <w:pPr>
        <w:ind w:left="1826" w:hanging="100"/>
      </w:pPr>
      <w:rPr>
        <w:rFonts w:hint="default"/>
      </w:rPr>
    </w:lvl>
    <w:lvl w:ilvl="8" w:tplc="0868BBF4">
      <w:numFmt w:val="bullet"/>
      <w:lvlText w:val="•"/>
      <w:lvlJc w:val="left"/>
      <w:pPr>
        <w:ind w:left="2064" w:hanging="100"/>
      </w:pPr>
      <w:rPr>
        <w:rFonts w:hint="default"/>
      </w:rPr>
    </w:lvl>
  </w:abstractNum>
  <w:abstractNum w:abstractNumId="374" w15:restartNumberingAfterBreak="0">
    <w:nsid w:val="17EE3713"/>
    <w:multiLevelType w:val="hybridMultilevel"/>
    <w:tmpl w:val="1618D666"/>
    <w:lvl w:ilvl="0" w:tplc="A00A3144">
      <w:numFmt w:val="bullet"/>
      <w:lvlText w:val=""/>
      <w:lvlJc w:val="left"/>
      <w:pPr>
        <w:ind w:left="156" w:hanging="100"/>
      </w:pPr>
      <w:rPr>
        <w:rFonts w:ascii="Symbol" w:eastAsia="Symbol" w:hAnsi="Symbol" w:cs="Symbol" w:hint="default"/>
        <w:color w:val="231F20"/>
        <w:w w:val="100"/>
        <w:sz w:val="14"/>
        <w:szCs w:val="14"/>
      </w:rPr>
    </w:lvl>
    <w:lvl w:ilvl="1" w:tplc="643CE8BA">
      <w:numFmt w:val="bullet"/>
      <w:lvlText w:val="•"/>
      <w:lvlJc w:val="left"/>
      <w:pPr>
        <w:ind w:left="426" w:hanging="100"/>
      </w:pPr>
      <w:rPr>
        <w:rFonts w:hint="default"/>
      </w:rPr>
    </w:lvl>
    <w:lvl w:ilvl="2" w:tplc="B32E6AF2">
      <w:numFmt w:val="bullet"/>
      <w:lvlText w:val="•"/>
      <w:lvlJc w:val="left"/>
      <w:pPr>
        <w:ind w:left="692" w:hanging="100"/>
      </w:pPr>
      <w:rPr>
        <w:rFonts w:hint="default"/>
      </w:rPr>
    </w:lvl>
    <w:lvl w:ilvl="3" w:tplc="3B386194">
      <w:numFmt w:val="bullet"/>
      <w:lvlText w:val="•"/>
      <w:lvlJc w:val="left"/>
      <w:pPr>
        <w:ind w:left="959" w:hanging="100"/>
      </w:pPr>
      <w:rPr>
        <w:rFonts w:hint="default"/>
      </w:rPr>
    </w:lvl>
    <w:lvl w:ilvl="4" w:tplc="E9FAD952">
      <w:numFmt w:val="bullet"/>
      <w:lvlText w:val="•"/>
      <w:lvlJc w:val="left"/>
      <w:pPr>
        <w:ind w:left="1225" w:hanging="100"/>
      </w:pPr>
      <w:rPr>
        <w:rFonts w:hint="default"/>
      </w:rPr>
    </w:lvl>
    <w:lvl w:ilvl="5" w:tplc="A7921108">
      <w:numFmt w:val="bullet"/>
      <w:lvlText w:val="•"/>
      <w:lvlJc w:val="left"/>
      <w:pPr>
        <w:ind w:left="1492" w:hanging="100"/>
      </w:pPr>
      <w:rPr>
        <w:rFonts w:hint="default"/>
      </w:rPr>
    </w:lvl>
    <w:lvl w:ilvl="6" w:tplc="C6564E4C">
      <w:numFmt w:val="bullet"/>
      <w:lvlText w:val="•"/>
      <w:lvlJc w:val="left"/>
      <w:pPr>
        <w:ind w:left="1758" w:hanging="100"/>
      </w:pPr>
      <w:rPr>
        <w:rFonts w:hint="default"/>
      </w:rPr>
    </w:lvl>
    <w:lvl w:ilvl="7" w:tplc="46C2D66C">
      <w:numFmt w:val="bullet"/>
      <w:lvlText w:val="•"/>
      <w:lvlJc w:val="left"/>
      <w:pPr>
        <w:ind w:left="2024" w:hanging="100"/>
      </w:pPr>
      <w:rPr>
        <w:rFonts w:hint="default"/>
      </w:rPr>
    </w:lvl>
    <w:lvl w:ilvl="8" w:tplc="A82C46AE">
      <w:numFmt w:val="bullet"/>
      <w:lvlText w:val="•"/>
      <w:lvlJc w:val="left"/>
      <w:pPr>
        <w:ind w:left="2291" w:hanging="100"/>
      </w:pPr>
      <w:rPr>
        <w:rFonts w:hint="default"/>
      </w:rPr>
    </w:lvl>
  </w:abstractNum>
  <w:abstractNum w:abstractNumId="375" w15:restartNumberingAfterBreak="0">
    <w:nsid w:val="17F13994"/>
    <w:multiLevelType w:val="hybridMultilevel"/>
    <w:tmpl w:val="4C968938"/>
    <w:lvl w:ilvl="0" w:tplc="97DEC86E">
      <w:numFmt w:val="bullet"/>
      <w:lvlText w:val=""/>
      <w:lvlJc w:val="left"/>
      <w:pPr>
        <w:ind w:left="156" w:hanging="100"/>
      </w:pPr>
      <w:rPr>
        <w:rFonts w:ascii="Symbol" w:eastAsia="Symbol" w:hAnsi="Symbol" w:cs="Symbol" w:hint="default"/>
        <w:color w:val="231F20"/>
        <w:w w:val="100"/>
        <w:sz w:val="14"/>
        <w:szCs w:val="14"/>
      </w:rPr>
    </w:lvl>
    <w:lvl w:ilvl="1" w:tplc="9EB6203A">
      <w:numFmt w:val="bullet"/>
      <w:lvlText w:val="•"/>
      <w:lvlJc w:val="left"/>
      <w:pPr>
        <w:ind w:left="301" w:hanging="100"/>
      </w:pPr>
      <w:rPr>
        <w:rFonts w:hint="default"/>
      </w:rPr>
    </w:lvl>
    <w:lvl w:ilvl="2" w:tplc="B8CE6B3E">
      <w:numFmt w:val="bullet"/>
      <w:lvlText w:val="•"/>
      <w:lvlJc w:val="left"/>
      <w:pPr>
        <w:ind w:left="443" w:hanging="100"/>
      </w:pPr>
      <w:rPr>
        <w:rFonts w:hint="default"/>
      </w:rPr>
    </w:lvl>
    <w:lvl w:ilvl="3" w:tplc="AE207588">
      <w:numFmt w:val="bullet"/>
      <w:lvlText w:val="•"/>
      <w:lvlJc w:val="left"/>
      <w:pPr>
        <w:ind w:left="585" w:hanging="100"/>
      </w:pPr>
      <w:rPr>
        <w:rFonts w:hint="default"/>
      </w:rPr>
    </w:lvl>
    <w:lvl w:ilvl="4" w:tplc="4C060376">
      <w:numFmt w:val="bullet"/>
      <w:lvlText w:val="•"/>
      <w:lvlJc w:val="left"/>
      <w:pPr>
        <w:ind w:left="726" w:hanging="100"/>
      </w:pPr>
      <w:rPr>
        <w:rFonts w:hint="default"/>
      </w:rPr>
    </w:lvl>
    <w:lvl w:ilvl="5" w:tplc="3252E45C">
      <w:numFmt w:val="bullet"/>
      <w:lvlText w:val="•"/>
      <w:lvlJc w:val="left"/>
      <w:pPr>
        <w:ind w:left="868" w:hanging="100"/>
      </w:pPr>
      <w:rPr>
        <w:rFonts w:hint="default"/>
      </w:rPr>
    </w:lvl>
    <w:lvl w:ilvl="6" w:tplc="371C88C0">
      <w:numFmt w:val="bullet"/>
      <w:lvlText w:val="•"/>
      <w:lvlJc w:val="left"/>
      <w:pPr>
        <w:ind w:left="1010" w:hanging="100"/>
      </w:pPr>
      <w:rPr>
        <w:rFonts w:hint="default"/>
      </w:rPr>
    </w:lvl>
    <w:lvl w:ilvl="7" w:tplc="946A2340">
      <w:numFmt w:val="bullet"/>
      <w:lvlText w:val="•"/>
      <w:lvlJc w:val="left"/>
      <w:pPr>
        <w:ind w:left="1151" w:hanging="100"/>
      </w:pPr>
      <w:rPr>
        <w:rFonts w:hint="default"/>
      </w:rPr>
    </w:lvl>
    <w:lvl w:ilvl="8" w:tplc="C676405C">
      <w:numFmt w:val="bullet"/>
      <w:lvlText w:val="•"/>
      <w:lvlJc w:val="left"/>
      <w:pPr>
        <w:ind w:left="1293" w:hanging="100"/>
      </w:pPr>
      <w:rPr>
        <w:rFonts w:hint="default"/>
      </w:rPr>
    </w:lvl>
  </w:abstractNum>
  <w:abstractNum w:abstractNumId="376" w15:restartNumberingAfterBreak="0">
    <w:nsid w:val="180953B4"/>
    <w:multiLevelType w:val="hybridMultilevel"/>
    <w:tmpl w:val="CA583198"/>
    <w:lvl w:ilvl="0" w:tplc="FE9073AC">
      <w:numFmt w:val="bullet"/>
      <w:lvlText w:val=""/>
      <w:lvlJc w:val="left"/>
      <w:pPr>
        <w:ind w:left="156" w:hanging="100"/>
      </w:pPr>
      <w:rPr>
        <w:rFonts w:ascii="Symbol" w:eastAsia="Symbol" w:hAnsi="Symbol" w:cs="Symbol" w:hint="default"/>
        <w:color w:val="231F20"/>
        <w:w w:val="100"/>
        <w:sz w:val="14"/>
        <w:szCs w:val="14"/>
      </w:rPr>
    </w:lvl>
    <w:lvl w:ilvl="1" w:tplc="F5649ACC">
      <w:numFmt w:val="bullet"/>
      <w:lvlText w:val="•"/>
      <w:lvlJc w:val="left"/>
      <w:pPr>
        <w:ind w:left="301" w:hanging="100"/>
      </w:pPr>
      <w:rPr>
        <w:rFonts w:hint="default"/>
      </w:rPr>
    </w:lvl>
    <w:lvl w:ilvl="2" w:tplc="3274E01E">
      <w:numFmt w:val="bullet"/>
      <w:lvlText w:val="•"/>
      <w:lvlJc w:val="left"/>
      <w:pPr>
        <w:ind w:left="443" w:hanging="100"/>
      </w:pPr>
      <w:rPr>
        <w:rFonts w:hint="default"/>
      </w:rPr>
    </w:lvl>
    <w:lvl w:ilvl="3" w:tplc="6CFA39AC">
      <w:numFmt w:val="bullet"/>
      <w:lvlText w:val="•"/>
      <w:lvlJc w:val="left"/>
      <w:pPr>
        <w:ind w:left="585" w:hanging="100"/>
      </w:pPr>
      <w:rPr>
        <w:rFonts w:hint="default"/>
      </w:rPr>
    </w:lvl>
    <w:lvl w:ilvl="4" w:tplc="0700C53A">
      <w:numFmt w:val="bullet"/>
      <w:lvlText w:val="•"/>
      <w:lvlJc w:val="left"/>
      <w:pPr>
        <w:ind w:left="726" w:hanging="100"/>
      </w:pPr>
      <w:rPr>
        <w:rFonts w:hint="default"/>
      </w:rPr>
    </w:lvl>
    <w:lvl w:ilvl="5" w:tplc="CBA64188">
      <w:numFmt w:val="bullet"/>
      <w:lvlText w:val="•"/>
      <w:lvlJc w:val="left"/>
      <w:pPr>
        <w:ind w:left="868" w:hanging="100"/>
      </w:pPr>
      <w:rPr>
        <w:rFonts w:hint="default"/>
      </w:rPr>
    </w:lvl>
    <w:lvl w:ilvl="6" w:tplc="5E5C5718">
      <w:numFmt w:val="bullet"/>
      <w:lvlText w:val="•"/>
      <w:lvlJc w:val="left"/>
      <w:pPr>
        <w:ind w:left="1010" w:hanging="100"/>
      </w:pPr>
      <w:rPr>
        <w:rFonts w:hint="default"/>
      </w:rPr>
    </w:lvl>
    <w:lvl w:ilvl="7" w:tplc="A0BAA3F0">
      <w:numFmt w:val="bullet"/>
      <w:lvlText w:val="•"/>
      <w:lvlJc w:val="left"/>
      <w:pPr>
        <w:ind w:left="1151" w:hanging="100"/>
      </w:pPr>
      <w:rPr>
        <w:rFonts w:hint="default"/>
      </w:rPr>
    </w:lvl>
    <w:lvl w:ilvl="8" w:tplc="AE1AC4F4">
      <w:numFmt w:val="bullet"/>
      <w:lvlText w:val="•"/>
      <w:lvlJc w:val="left"/>
      <w:pPr>
        <w:ind w:left="1293" w:hanging="100"/>
      </w:pPr>
      <w:rPr>
        <w:rFonts w:hint="default"/>
      </w:rPr>
    </w:lvl>
  </w:abstractNum>
  <w:abstractNum w:abstractNumId="377" w15:restartNumberingAfterBreak="0">
    <w:nsid w:val="180B02E7"/>
    <w:multiLevelType w:val="hybridMultilevel"/>
    <w:tmpl w:val="00A2B2BC"/>
    <w:lvl w:ilvl="0" w:tplc="66B0F43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63449984">
      <w:numFmt w:val="bullet"/>
      <w:lvlText w:val="•"/>
      <w:lvlJc w:val="left"/>
      <w:pPr>
        <w:ind w:left="351" w:hanging="84"/>
      </w:pPr>
      <w:rPr>
        <w:rFonts w:hint="default"/>
      </w:rPr>
    </w:lvl>
    <w:lvl w:ilvl="2" w:tplc="F8323068">
      <w:numFmt w:val="bullet"/>
      <w:lvlText w:val="•"/>
      <w:lvlJc w:val="left"/>
      <w:pPr>
        <w:ind w:left="563" w:hanging="84"/>
      </w:pPr>
      <w:rPr>
        <w:rFonts w:hint="default"/>
      </w:rPr>
    </w:lvl>
    <w:lvl w:ilvl="3" w:tplc="8894F858">
      <w:numFmt w:val="bullet"/>
      <w:lvlText w:val="•"/>
      <w:lvlJc w:val="left"/>
      <w:pPr>
        <w:ind w:left="775" w:hanging="84"/>
      </w:pPr>
      <w:rPr>
        <w:rFonts w:hint="default"/>
      </w:rPr>
    </w:lvl>
    <w:lvl w:ilvl="4" w:tplc="F2624512">
      <w:numFmt w:val="bullet"/>
      <w:lvlText w:val="•"/>
      <w:lvlJc w:val="left"/>
      <w:pPr>
        <w:ind w:left="986" w:hanging="84"/>
      </w:pPr>
      <w:rPr>
        <w:rFonts w:hint="default"/>
      </w:rPr>
    </w:lvl>
    <w:lvl w:ilvl="5" w:tplc="4E6254F4">
      <w:numFmt w:val="bullet"/>
      <w:lvlText w:val="•"/>
      <w:lvlJc w:val="left"/>
      <w:pPr>
        <w:ind w:left="1198" w:hanging="84"/>
      </w:pPr>
      <w:rPr>
        <w:rFonts w:hint="default"/>
      </w:rPr>
    </w:lvl>
    <w:lvl w:ilvl="6" w:tplc="9198F546">
      <w:numFmt w:val="bullet"/>
      <w:lvlText w:val="•"/>
      <w:lvlJc w:val="left"/>
      <w:pPr>
        <w:ind w:left="1410" w:hanging="84"/>
      </w:pPr>
      <w:rPr>
        <w:rFonts w:hint="default"/>
      </w:rPr>
    </w:lvl>
    <w:lvl w:ilvl="7" w:tplc="1E085BB4">
      <w:numFmt w:val="bullet"/>
      <w:lvlText w:val="•"/>
      <w:lvlJc w:val="left"/>
      <w:pPr>
        <w:ind w:left="1621" w:hanging="84"/>
      </w:pPr>
      <w:rPr>
        <w:rFonts w:hint="default"/>
      </w:rPr>
    </w:lvl>
    <w:lvl w:ilvl="8" w:tplc="77022552">
      <w:numFmt w:val="bullet"/>
      <w:lvlText w:val="•"/>
      <w:lvlJc w:val="left"/>
      <w:pPr>
        <w:ind w:left="1833" w:hanging="84"/>
      </w:pPr>
      <w:rPr>
        <w:rFonts w:hint="default"/>
      </w:rPr>
    </w:lvl>
  </w:abstractNum>
  <w:abstractNum w:abstractNumId="378" w15:restartNumberingAfterBreak="0">
    <w:nsid w:val="180C2FC7"/>
    <w:multiLevelType w:val="hybridMultilevel"/>
    <w:tmpl w:val="48AAF0A8"/>
    <w:lvl w:ilvl="0" w:tplc="F98E3F60">
      <w:numFmt w:val="bullet"/>
      <w:lvlText w:val=""/>
      <w:lvlJc w:val="left"/>
      <w:pPr>
        <w:ind w:left="156" w:hanging="100"/>
      </w:pPr>
      <w:rPr>
        <w:rFonts w:ascii="Symbol" w:eastAsia="Symbol" w:hAnsi="Symbol" w:cs="Symbol" w:hint="default"/>
        <w:color w:val="231F20"/>
        <w:w w:val="100"/>
        <w:sz w:val="14"/>
        <w:szCs w:val="14"/>
      </w:rPr>
    </w:lvl>
    <w:lvl w:ilvl="1" w:tplc="B2CCE608">
      <w:numFmt w:val="bullet"/>
      <w:lvlText w:val="•"/>
      <w:lvlJc w:val="left"/>
      <w:pPr>
        <w:ind w:left="398" w:hanging="100"/>
      </w:pPr>
      <w:rPr>
        <w:rFonts w:hint="default"/>
      </w:rPr>
    </w:lvl>
    <w:lvl w:ilvl="2" w:tplc="794862B4">
      <w:numFmt w:val="bullet"/>
      <w:lvlText w:val="•"/>
      <w:lvlJc w:val="left"/>
      <w:pPr>
        <w:ind w:left="636" w:hanging="100"/>
      </w:pPr>
      <w:rPr>
        <w:rFonts w:hint="default"/>
      </w:rPr>
    </w:lvl>
    <w:lvl w:ilvl="3" w:tplc="10C6EEB4">
      <w:numFmt w:val="bullet"/>
      <w:lvlText w:val="•"/>
      <w:lvlJc w:val="left"/>
      <w:pPr>
        <w:ind w:left="874" w:hanging="100"/>
      </w:pPr>
      <w:rPr>
        <w:rFonts w:hint="default"/>
      </w:rPr>
    </w:lvl>
    <w:lvl w:ilvl="4" w:tplc="FD12498C">
      <w:numFmt w:val="bullet"/>
      <w:lvlText w:val="•"/>
      <w:lvlJc w:val="left"/>
      <w:pPr>
        <w:ind w:left="1112" w:hanging="100"/>
      </w:pPr>
      <w:rPr>
        <w:rFonts w:hint="default"/>
      </w:rPr>
    </w:lvl>
    <w:lvl w:ilvl="5" w:tplc="0CEC1C64">
      <w:numFmt w:val="bullet"/>
      <w:lvlText w:val="•"/>
      <w:lvlJc w:val="left"/>
      <w:pPr>
        <w:ind w:left="1350" w:hanging="100"/>
      </w:pPr>
      <w:rPr>
        <w:rFonts w:hint="default"/>
      </w:rPr>
    </w:lvl>
    <w:lvl w:ilvl="6" w:tplc="89225A7C">
      <w:numFmt w:val="bullet"/>
      <w:lvlText w:val="•"/>
      <w:lvlJc w:val="left"/>
      <w:pPr>
        <w:ind w:left="1588" w:hanging="100"/>
      </w:pPr>
      <w:rPr>
        <w:rFonts w:hint="default"/>
      </w:rPr>
    </w:lvl>
    <w:lvl w:ilvl="7" w:tplc="A18C1ADE">
      <w:numFmt w:val="bullet"/>
      <w:lvlText w:val="•"/>
      <w:lvlJc w:val="left"/>
      <w:pPr>
        <w:ind w:left="1826" w:hanging="100"/>
      </w:pPr>
      <w:rPr>
        <w:rFonts w:hint="default"/>
      </w:rPr>
    </w:lvl>
    <w:lvl w:ilvl="8" w:tplc="FFFAE404">
      <w:numFmt w:val="bullet"/>
      <w:lvlText w:val="•"/>
      <w:lvlJc w:val="left"/>
      <w:pPr>
        <w:ind w:left="2064" w:hanging="100"/>
      </w:pPr>
      <w:rPr>
        <w:rFonts w:hint="default"/>
      </w:rPr>
    </w:lvl>
  </w:abstractNum>
  <w:abstractNum w:abstractNumId="379" w15:restartNumberingAfterBreak="0">
    <w:nsid w:val="18135073"/>
    <w:multiLevelType w:val="hybridMultilevel"/>
    <w:tmpl w:val="0D6664A0"/>
    <w:lvl w:ilvl="0" w:tplc="BB34471E">
      <w:numFmt w:val="bullet"/>
      <w:lvlText w:val=""/>
      <w:lvlJc w:val="left"/>
      <w:pPr>
        <w:ind w:left="157" w:hanging="100"/>
      </w:pPr>
      <w:rPr>
        <w:rFonts w:ascii="Symbol" w:eastAsia="Symbol" w:hAnsi="Symbol" w:cs="Symbol" w:hint="default"/>
        <w:color w:val="231F20"/>
        <w:w w:val="100"/>
        <w:sz w:val="14"/>
        <w:szCs w:val="14"/>
      </w:rPr>
    </w:lvl>
    <w:lvl w:ilvl="1" w:tplc="D2604964">
      <w:numFmt w:val="bullet"/>
      <w:lvlText w:val="•"/>
      <w:lvlJc w:val="left"/>
      <w:pPr>
        <w:ind w:left="369" w:hanging="100"/>
      </w:pPr>
      <w:rPr>
        <w:rFonts w:hint="default"/>
      </w:rPr>
    </w:lvl>
    <w:lvl w:ilvl="2" w:tplc="D736D7F8">
      <w:numFmt w:val="bullet"/>
      <w:lvlText w:val="•"/>
      <w:lvlJc w:val="left"/>
      <w:pPr>
        <w:ind w:left="579" w:hanging="100"/>
      </w:pPr>
      <w:rPr>
        <w:rFonts w:hint="default"/>
      </w:rPr>
    </w:lvl>
    <w:lvl w:ilvl="3" w:tplc="EF20314A">
      <w:numFmt w:val="bullet"/>
      <w:lvlText w:val="•"/>
      <w:lvlJc w:val="left"/>
      <w:pPr>
        <w:ind w:left="789" w:hanging="100"/>
      </w:pPr>
      <w:rPr>
        <w:rFonts w:hint="default"/>
      </w:rPr>
    </w:lvl>
    <w:lvl w:ilvl="4" w:tplc="65A62C8E">
      <w:numFmt w:val="bullet"/>
      <w:lvlText w:val="•"/>
      <w:lvlJc w:val="left"/>
      <w:pPr>
        <w:ind w:left="998" w:hanging="100"/>
      </w:pPr>
      <w:rPr>
        <w:rFonts w:hint="default"/>
      </w:rPr>
    </w:lvl>
    <w:lvl w:ilvl="5" w:tplc="A5A0840A">
      <w:numFmt w:val="bullet"/>
      <w:lvlText w:val="•"/>
      <w:lvlJc w:val="left"/>
      <w:pPr>
        <w:ind w:left="1208" w:hanging="100"/>
      </w:pPr>
      <w:rPr>
        <w:rFonts w:hint="default"/>
      </w:rPr>
    </w:lvl>
    <w:lvl w:ilvl="6" w:tplc="DB025DD2">
      <w:numFmt w:val="bullet"/>
      <w:lvlText w:val="•"/>
      <w:lvlJc w:val="left"/>
      <w:pPr>
        <w:ind w:left="1418" w:hanging="100"/>
      </w:pPr>
      <w:rPr>
        <w:rFonts w:hint="default"/>
      </w:rPr>
    </w:lvl>
    <w:lvl w:ilvl="7" w:tplc="C8005E1C">
      <w:numFmt w:val="bullet"/>
      <w:lvlText w:val="•"/>
      <w:lvlJc w:val="left"/>
      <w:pPr>
        <w:ind w:left="1627" w:hanging="100"/>
      </w:pPr>
      <w:rPr>
        <w:rFonts w:hint="default"/>
      </w:rPr>
    </w:lvl>
    <w:lvl w:ilvl="8" w:tplc="ADFE996C">
      <w:numFmt w:val="bullet"/>
      <w:lvlText w:val="•"/>
      <w:lvlJc w:val="left"/>
      <w:pPr>
        <w:ind w:left="1837" w:hanging="100"/>
      </w:pPr>
      <w:rPr>
        <w:rFonts w:hint="default"/>
      </w:rPr>
    </w:lvl>
  </w:abstractNum>
  <w:abstractNum w:abstractNumId="380" w15:restartNumberingAfterBreak="0">
    <w:nsid w:val="18495FFC"/>
    <w:multiLevelType w:val="hybridMultilevel"/>
    <w:tmpl w:val="2F844D5E"/>
    <w:lvl w:ilvl="0" w:tplc="683A19F8">
      <w:numFmt w:val="bullet"/>
      <w:lvlText w:val=""/>
      <w:lvlJc w:val="left"/>
      <w:pPr>
        <w:ind w:left="157" w:hanging="100"/>
      </w:pPr>
      <w:rPr>
        <w:rFonts w:ascii="Symbol" w:eastAsia="Symbol" w:hAnsi="Symbol" w:cs="Symbol" w:hint="default"/>
        <w:color w:val="231F20"/>
        <w:w w:val="100"/>
        <w:sz w:val="14"/>
        <w:szCs w:val="14"/>
      </w:rPr>
    </w:lvl>
    <w:lvl w:ilvl="1" w:tplc="B2E69A4E">
      <w:numFmt w:val="bullet"/>
      <w:lvlText w:val="•"/>
      <w:lvlJc w:val="left"/>
      <w:pPr>
        <w:ind w:left="398" w:hanging="100"/>
      </w:pPr>
      <w:rPr>
        <w:rFonts w:hint="default"/>
      </w:rPr>
    </w:lvl>
    <w:lvl w:ilvl="2" w:tplc="17EC12CA">
      <w:numFmt w:val="bullet"/>
      <w:lvlText w:val="•"/>
      <w:lvlJc w:val="left"/>
      <w:pPr>
        <w:ind w:left="636" w:hanging="100"/>
      </w:pPr>
      <w:rPr>
        <w:rFonts w:hint="default"/>
      </w:rPr>
    </w:lvl>
    <w:lvl w:ilvl="3" w:tplc="3E56DCFA">
      <w:numFmt w:val="bullet"/>
      <w:lvlText w:val="•"/>
      <w:lvlJc w:val="left"/>
      <w:pPr>
        <w:ind w:left="874" w:hanging="100"/>
      </w:pPr>
      <w:rPr>
        <w:rFonts w:hint="default"/>
      </w:rPr>
    </w:lvl>
    <w:lvl w:ilvl="4" w:tplc="FB60297C">
      <w:numFmt w:val="bullet"/>
      <w:lvlText w:val="•"/>
      <w:lvlJc w:val="left"/>
      <w:pPr>
        <w:ind w:left="1112" w:hanging="100"/>
      </w:pPr>
      <w:rPr>
        <w:rFonts w:hint="default"/>
      </w:rPr>
    </w:lvl>
    <w:lvl w:ilvl="5" w:tplc="C744FA56">
      <w:numFmt w:val="bullet"/>
      <w:lvlText w:val="•"/>
      <w:lvlJc w:val="left"/>
      <w:pPr>
        <w:ind w:left="1350" w:hanging="100"/>
      </w:pPr>
      <w:rPr>
        <w:rFonts w:hint="default"/>
      </w:rPr>
    </w:lvl>
    <w:lvl w:ilvl="6" w:tplc="4C163E64">
      <w:numFmt w:val="bullet"/>
      <w:lvlText w:val="•"/>
      <w:lvlJc w:val="left"/>
      <w:pPr>
        <w:ind w:left="1588" w:hanging="100"/>
      </w:pPr>
      <w:rPr>
        <w:rFonts w:hint="default"/>
      </w:rPr>
    </w:lvl>
    <w:lvl w:ilvl="7" w:tplc="0FA0ADB6">
      <w:numFmt w:val="bullet"/>
      <w:lvlText w:val="•"/>
      <w:lvlJc w:val="left"/>
      <w:pPr>
        <w:ind w:left="1826" w:hanging="100"/>
      </w:pPr>
      <w:rPr>
        <w:rFonts w:hint="default"/>
      </w:rPr>
    </w:lvl>
    <w:lvl w:ilvl="8" w:tplc="9BA81174">
      <w:numFmt w:val="bullet"/>
      <w:lvlText w:val="•"/>
      <w:lvlJc w:val="left"/>
      <w:pPr>
        <w:ind w:left="2064" w:hanging="100"/>
      </w:pPr>
      <w:rPr>
        <w:rFonts w:hint="default"/>
      </w:rPr>
    </w:lvl>
  </w:abstractNum>
  <w:abstractNum w:abstractNumId="381" w15:restartNumberingAfterBreak="0">
    <w:nsid w:val="18496DEA"/>
    <w:multiLevelType w:val="hybridMultilevel"/>
    <w:tmpl w:val="DB945BAA"/>
    <w:lvl w:ilvl="0" w:tplc="FC6A291C">
      <w:numFmt w:val="bullet"/>
      <w:lvlText w:val=""/>
      <w:lvlJc w:val="left"/>
      <w:pPr>
        <w:ind w:left="156" w:hanging="100"/>
      </w:pPr>
      <w:rPr>
        <w:rFonts w:ascii="Symbol" w:eastAsia="Symbol" w:hAnsi="Symbol" w:cs="Symbol" w:hint="default"/>
        <w:color w:val="231F20"/>
        <w:w w:val="100"/>
        <w:sz w:val="14"/>
        <w:szCs w:val="14"/>
      </w:rPr>
    </w:lvl>
    <w:lvl w:ilvl="1" w:tplc="9B243F0A">
      <w:numFmt w:val="bullet"/>
      <w:lvlText w:val="•"/>
      <w:lvlJc w:val="left"/>
      <w:pPr>
        <w:ind w:left="398" w:hanging="100"/>
      </w:pPr>
      <w:rPr>
        <w:rFonts w:hint="default"/>
      </w:rPr>
    </w:lvl>
    <w:lvl w:ilvl="2" w:tplc="CF16154C">
      <w:numFmt w:val="bullet"/>
      <w:lvlText w:val="•"/>
      <w:lvlJc w:val="left"/>
      <w:pPr>
        <w:ind w:left="636" w:hanging="100"/>
      </w:pPr>
      <w:rPr>
        <w:rFonts w:hint="default"/>
      </w:rPr>
    </w:lvl>
    <w:lvl w:ilvl="3" w:tplc="5D2CFB4A">
      <w:numFmt w:val="bullet"/>
      <w:lvlText w:val="•"/>
      <w:lvlJc w:val="left"/>
      <w:pPr>
        <w:ind w:left="874" w:hanging="100"/>
      </w:pPr>
      <w:rPr>
        <w:rFonts w:hint="default"/>
      </w:rPr>
    </w:lvl>
    <w:lvl w:ilvl="4" w:tplc="EE8AD0C0">
      <w:numFmt w:val="bullet"/>
      <w:lvlText w:val="•"/>
      <w:lvlJc w:val="left"/>
      <w:pPr>
        <w:ind w:left="1112" w:hanging="100"/>
      </w:pPr>
      <w:rPr>
        <w:rFonts w:hint="default"/>
      </w:rPr>
    </w:lvl>
    <w:lvl w:ilvl="5" w:tplc="D304E2F8">
      <w:numFmt w:val="bullet"/>
      <w:lvlText w:val="•"/>
      <w:lvlJc w:val="left"/>
      <w:pPr>
        <w:ind w:left="1350" w:hanging="100"/>
      </w:pPr>
      <w:rPr>
        <w:rFonts w:hint="default"/>
      </w:rPr>
    </w:lvl>
    <w:lvl w:ilvl="6" w:tplc="E06C3C56">
      <w:numFmt w:val="bullet"/>
      <w:lvlText w:val="•"/>
      <w:lvlJc w:val="left"/>
      <w:pPr>
        <w:ind w:left="1588" w:hanging="100"/>
      </w:pPr>
      <w:rPr>
        <w:rFonts w:hint="default"/>
      </w:rPr>
    </w:lvl>
    <w:lvl w:ilvl="7" w:tplc="FB64C1D0">
      <w:numFmt w:val="bullet"/>
      <w:lvlText w:val="•"/>
      <w:lvlJc w:val="left"/>
      <w:pPr>
        <w:ind w:left="1826" w:hanging="100"/>
      </w:pPr>
      <w:rPr>
        <w:rFonts w:hint="default"/>
      </w:rPr>
    </w:lvl>
    <w:lvl w:ilvl="8" w:tplc="FFFC20FC">
      <w:numFmt w:val="bullet"/>
      <w:lvlText w:val="•"/>
      <w:lvlJc w:val="left"/>
      <w:pPr>
        <w:ind w:left="2064" w:hanging="100"/>
      </w:pPr>
      <w:rPr>
        <w:rFonts w:hint="default"/>
      </w:rPr>
    </w:lvl>
  </w:abstractNum>
  <w:abstractNum w:abstractNumId="382" w15:restartNumberingAfterBreak="0">
    <w:nsid w:val="184A0B13"/>
    <w:multiLevelType w:val="hybridMultilevel"/>
    <w:tmpl w:val="338AB9A6"/>
    <w:lvl w:ilvl="0" w:tplc="85963A4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6A0EC9A">
      <w:numFmt w:val="bullet"/>
      <w:lvlText w:val="•"/>
      <w:lvlJc w:val="left"/>
      <w:pPr>
        <w:ind w:left="426" w:hanging="105"/>
      </w:pPr>
      <w:rPr>
        <w:rFonts w:hint="default"/>
      </w:rPr>
    </w:lvl>
    <w:lvl w:ilvl="2" w:tplc="69789282">
      <w:numFmt w:val="bullet"/>
      <w:lvlText w:val="•"/>
      <w:lvlJc w:val="left"/>
      <w:pPr>
        <w:ind w:left="692" w:hanging="105"/>
      </w:pPr>
      <w:rPr>
        <w:rFonts w:hint="default"/>
      </w:rPr>
    </w:lvl>
    <w:lvl w:ilvl="3" w:tplc="EB560368">
      <w:numFmt w:val="bullet"/>
      <w:lvlText w:val="•"/>
      <w:lvlJc w:val="left"/>
      <w:pPr>
        <w:ind w:left="959" w:hanging="105"/>
      </w:pPr>
      <w:rPr>
        <w:rFonts w:hint="default"/>
      </w:rPr>
    </w:lvl>
    <w:lvl w:ilvl="4" w:tplc="FF22655E">
      <w:numFmt w:val="bullet"/>
      <w:lvlText w:val="•"/>
      <w:lvlJc w:val="left"/>
      <w:pPr>
        <w:ind w:left="1225" w:hanging="105"/>
      </w:pPr>
      <w:rPr>
        <w:rFonts w:hint="default"/>
      </w:rPr>
    </w:lvl>
    <w:lvl w:ilvl="5" w:tplc="27ECE726">
      <w:numFmt w:val="bullet"/>
      <w:lvlText w:val="•"/>
      <w:lvlJc w:val="left"/>
      <w:pPr>
        <w:ind w:left="1492" w:hanging="105"/>
      </w:pPr>
      <w:rPr>
        <w:rFonts w:hint="default"/>
      </w:rPr>
    </w:lvl>
    <w:lvl w:ilvl="6" w:tplc="3822E5BA">
      <w:numFmt w:val="bullet"/>
      <w:lvlText w:val="•"/>
      <w:lvlJc w:val="left"/>
      <w:pPr>
        <w:ind w:left="1758" w:hanging="105"/>
      </w:pPr>
      <w:rPr>
        <w:rFonts w:hint="default"/>
      </w:rPr>
    </w:lvl>
    <w:lvl w:ilvl="7" w:tplc="A4247612">
      <w:numFmt w:val="bullet"/>
      <w:lvlText w:val="•"/>
      <w:lvlJc w:val="left"/>
      <w:pPr>
        <w:ind w:left="2024" w:hanging="105"/>
      </w:pPr>
      <w:rPr>
        <w:rFonts w:hint="default"/>
      </w:rPr>
    </w:lvl>
    <w:lvl w:ilvl="8" w:tplc="19E27A6C">
      <w:numFmt w:val="bullet"/>
      <w:lvlText w:val="•"/>
      <w:lvlJc w:val="left"/>
      <w:pPr>
        <w:ind w:left="2291" w:hanging="105"/>
      </w:pPr>
      <w:rPr>
        <w:rFonts w:hint="default"/>
      </w:rPr>
    </w:lvl>
  </w:abstractNum>
  <w:abstractNum w:abstractNumId="383" w15:restartNumberingAfterBreak="0">
    <w:nsid w:val="184B36DF"/>
    <w:multiLevelType w:val="hybridMultilevel"/>
    <w:tmpl w:val="9040933A"/>
    <w:lvl w:ilvl="0" w:tplc="96DA91F8">
      <w:numFmt w:val="bullet"/>
      <w:lvlText w:val=""/>
      <w:lvlJc w:val="left"/>
      <w:pPr>
        <w:ind w:left="156" w:hanging="100"/>
      </w:pPr>
      <w:rPr>
        <w:rFonts w:ascii="Symbol" w:eastAsia="Symbol" w:hAnsi="Symbol" w:cs="Symbol" w:hint="default"/>
        <w:color w:val="231F20"/>
        <w:w w:val="100"/>
        <w:sz w:val="14"/>
        <w:szCs w:val="14"/>
      </w:rPr>
    </w:lvl>
    <w:lvl w:ilvl="1" w:tplc="401854CC">
      <w:numFmt w:val="bullet"/>
      <w:lvlText w:val="•"/>
      <w:lvlJc w:val="left"/>
      <w:pPr>
        <w:ind w:left="454" w:hanging="100"/>
      </w:pPr>
      <w:rPr>
        <w:rFonts w:hint="default"/>
      </w:rPr>
    </w:lvl>
    <w:lvl w:ilvl="2" w:tplc="9D148F32">
      <w:numFmt w:val="bullet"/>
      <w:lvlText w:val="•"/>
      <w:lvlJc w:val="left"/>
      <w:pPr>
        <w:ind w:left="749" w:hanging="100"/>
      </w:pPr>
      <w:rPr>
        <w:rFonts w:hint="default"/>
      </w:rPr>
    </w:lvl>
    <w:lvl w:ilvl="3" w:tplc="D884CB00">
      <w:numFmt w:val="bullet"/>
      <w:lvlText w:val="•"/>
      <w:lvlJc w:val="left"/>
      <w:pPr>
        <w:ind w:left="1044" w:hanging="100"/>
      </w:pPr>
      <w:rPr>
        <w:rFonts w:hint="default"/>
      </w:rPr>
    </w:lvl>
    <w:lvl w:ilvl="4" w:tplc="60B0BE98">
      <w:numFmt w:val="bullet"/>
      <w:lvlText w:val="•"/>
      <w:lvlJc w:val="left"/>
      <w:pPr>
        <w:ind w:left="1339" w:hanging="100"/>
      </w:pPr>
      <w:rPr>
        <w:rFonts w:hint="default"/>
      </w:rPr>
    </w:lvl>
    <w:lvl w:ilvl="5" w:tplc="66FC3B9C">
      <w:numFmt w:val="bullet"/>
      <w:lvlText w:val="•"/>
      <w:lvlJc w:val="left"/>
      <w:pPr>
        <w:ind w:left="1634" w:hanging="100"/>
      </w:pPr>
      <w:rPr>
        <w:rFonts w:hint="default"/>
      </w:rPr>
    </w:lvl>
    <w:lvl w:ilvl="6" w:tplc="394EAD5E">
      <w:numFmt w:val="bullet"/>
      <w:lvlText w:val="•"/>
      <w:lvlJc w:val="left"/>
      <w:pPr>
        <w:ind w:left="1928" w:hanging="100"/>
      </w:pPr>
      <w:rPr>
        <w:rFonts w:hint="default"/>
      </w:rPr>
    </w:lvl>
    <w:lvl w:ilvl="7" w:tplc="755E08CE">
      <w:numFmt w:val="bullet"/>
      <w:lvlText w:val="•"/>
      <w:lvlJc w:val="left"/>
      <w:pPr>
        <w:ind w:left="2223" w:hanging="100"/>
      </w:pPr>
      <w:rPr>
        <w:rFonts w:hint="default"/>
      </w:rPr>
    </w:lvl>
    <w:lvl w:ilvl="8" w:tplc="1EC8385E">
      <w:numFmt w:val="bullet"/>
      <w:lvlText w:val="•"/>
      <w:lvlJc w:val="left"/>
      <w:pPr>
        <w:ind w:left="2518" w:hanging="100"/>
      </w:pPr>
      <w:rPr>
        <w:rFonts w:hint="default"/>
      </w:rPr>
    </w:lvl>
  </w:abstractNum>
  <w:abstractNum w:abstractNumId="384" w15:restartNumberingAfterBreak="0">
    <w:nsid w:val="184D794A"/>
    <w:multiLevelType w:val="hybridMultilevel"/>
    <w:tmpl w:val="D458B982"/>
    <w:lvl w:ilvl="0" w:tplc="64663B36">
      <w:numFmt w:val="bullet"/>
      <w:lvlText w:val=""/>
      <w:lvlJc w:val="left"/>
      <w:pPr>
        <w:ind w:left="157" w:hanging="100"/>
      </w:pPr>
      <w:rPr>
        <w:rFonts w:ascii="Symbol" w:eastAsia="Symbol" w:hAnsi="Symbol" w:cs="Symbol" w:hint="default"/>
        <w:color w:val="231F20"/>
        <w:w w:val="100"/>
        <w:sz w:val="14"/>
        <w:szCs w:val="14"/>
      </w:rPr>
    </w:lvl>
    <w:lvl w:ilvl="1" w:tplc="0A409C64">
      <w:numFmt w:val="bullet"/>
      <w:lvlText w:val="•"/>
      <w:lvlJc w:val="left"/>
      <w:pPr>
        <w:ind w:left="426" w:hanging="100"/>
      </w:pPr>
      <w:rPr>
        <w:rFonts w:hint="default"/>
      </w:rPr>
    </w:lvl>
    <w:lvl w:ilvl="2" w:tplc="13E831B0">
      <w:numFmt w:val="bullet"/>
      <w:lvlText w:val="•"/>
      <w:lvlJc w:val="left"/>
      <w:pPr>
        <w:ind w:left="692" w:hanging="100"/>
      </w:pPr>
      <w:rPr>
        <w:rFonts w:hint="default"/>
      </w:rPr>
    </w:lvl>
    <w:lvl w:ilvl="3" w:tplc="AF3E6B4A">
      <w:numFmt w:val="bullet"/>
      <w:lvlText w:val="•"/>
      <w:lvlJc w:val="left"/>
      <w:pPr>
        <w:ind w:left="959" w:hanging="100"/>
      </w:pPr>
      <w:rPr>
        <w:rFonts w:hint="default"/>
      </w:rPr>
    </w:lvl>
    <w:lvl w:ilvl="4" w:tplc="5E6CB830">
      <w:numFmt w:val="bullet"/>
      <w:lvlText w:val="•"/>
      <w:lvlJc w:val="left"/>
      <w:pPr>
        <w:ind w:left="1225" w:hanging="100"/>
      </w:pPr>
      <w:rPr>
        <w:rFonts w:hint="default"/>
      </w:rPr>
    </w:lvl>
    <w:lvl w:ilvl="5" w:tplc="C2302D14">
      <w:numFmt w:val="bullet"/>
      <w:lvlText w:val="•"/>
      <w:lvlJc w:val="left"/>
      <w:pPr>
        <w:ind w:left="1492" w:hanging="100"/>
      </w:pPr>
      <w:rPr>
        <w:rFonts w:hint="default"/>
      </w:rPr>
    </w:lvl>
    <w:lvl w:ilvl="6" w:tplc="D8B0712C">
      <w:numFmt w:val="bullet"/>
      <w:lvlText w:val="•"/>
      <w:lvlJc w:val="left"/>
      <w:pPr>
        <w:ind w:left="1758" w:hanging="100"/>
      </w:pPr>
      <w:rPr>
        <w:rFonts w:hint="default"/>
      </w:rPr>
    </w:lvl>
    <w:lvl w:ilvl="7" w:tplc="0A3847D2">
      <w:numFmt w:val="bullet"/>
      <w:lvlText w:val="•"/>
      <w:lvlJc w:val="left"/>
      <w:pPr>
        <w:ind w:left="2024" w:hanging="100"/>
      </w:pPr>
      <w:rPr>
        <w:rFonts w:hint="default"/>
      </w:rPr>
    </w:lvl>
    <w:lvl w:ilvl="8" w:tplc="AD5653C6">
      <w:numFmt w:val="bullet"/>
      <w:lvlText w:val="•"/>
      <w:lvlJc w:val="left"/>
      <w:pPr>
        <w:ind w:left="2291" w:hanging="100"/>
      </w:pPr>
      <w:rPr>
        <w:rFonts w:hint="default"/>
      </w:rPr>
    </w:lvl>
  </w:abstractNum>
  <w:abstractNum w:abstractNumId="385" w15:restartNumberingAfterBreak="0">
    <w:nsid w:val="18505941"/>
    <w:multiLevelType w:val="hybridMultilevel"/>
    <w:tmpl w:val="A2760698"/>
    <w:lvl w:ilvl="0" w:tplc="39D63EEA">
      <w:numFmt w:val="bullet"/>
      <w:lvlText w:val=""/>
      <w:lvlJc w:val="left"/>
      <w:pPr>
        <w:ind w:left="156" w:hanging="100"/>
      </w:pPr>
      <w:rPr>
        <w:rFonts w:ascii="Symbol" w:eastAsia="Symbol" w:hAnsi="Symbol" w:cs="Symbol" w:hint="default"/>
        <w:color w:val="231F20"/>
        <w:w w:val="100"/>
        <w:sz w:val="14"/>
        <w:szCs w:val="14"/>
      </w:rPr>
    </w:lvl>
    <w:lvl w:ilvl="1" w:tplc="E820C4AA">
      <w:numFmt w:val="bullet"/>
      <w:lvlText w:val="•"/>
      <w:lvlJc w:val="left"/>
      <w:pPr>
        <w:ind w:left="301" w:hanging="100"/>
      </w:pPr>
      <w:rPr>
        <w:rFonts w:hint="default"/>
      </w:rPr>
    </w:lvl>
    <w:lvl w:ilvl="2" w:tplc="257C88D8">
      <w:numFmt w:val="bullet"/>
      <w:lvlText w:val="•"/>
      <w:lvlJc w:val="left"/>
      <w:pPr>
        <w:ind w:left="443" w:hanging="100"/>
      </w:pPr>
      <w:rPr>
        <w:rFonts w:hint="default"/>
      </w:rPr>
    </w:lvl>
    <w:lvl w:ilvl="3" w:tplc="71B46360">
      <w:numFmt w:val="bullet"/>
      <w:lvlText w:val="•"/>
      <w:lvlJc w:val="left"/>
      <w:pPr>
        <w:ind w:left="585" w:hanging="100"/>
      </w:pPr>
      <w:rPr>
        <w:rFonts w:hint="default"/>
      </w:rPr>
    </w:lvl>
    <w:lvl w:ilvl="4" w:tplc="C11866E2">
      <w:numFmt w:val="bullet"/>
      <w:lvlText w:val="•"/>
      <w:lvlJc w:val="left"/>
      <w:pPr>
        <w:ind w:left="726" w:hanging="100"/>
      </w:pPr>
      <w:rPr>
        <w:rFonts w:hint="default"/>
      </w:rPr>
    </w:lvl>
    <w:lvl w:ilvl="5" w:tplc="6FD4A386">
      <w:numFmt w:val="bullet"/>
      <w:lvlText w:val="•"/>
      <w:lvlJc w:val="left"/>
      <w:pPr>
        <w:ind w:left="868" w:hanging="100"/>
      </w:pPr>
      <w:rPr>
        <w:rFonts w:hint="default"/>
      </w:rPr>
    </w:lvl>
    <w:lvl w:ilvl="6" w:tplc="F12CC694">
      <w:numFmt w:val="bullet"/>
      <w:lvlText w:val="•"/>
      <w:lvlJc w:val="left"/>
      <w:pPr>
        <w:ind w:left="1010" w:hanging="100"/>
      </w:pPr>
      <w:rPr>
        <w:rFonts w:hint="default"/>
      </w:rPr>
    </w:lvl>
    <w:lvl w:ilvl="7" w:tplc="9B044E60">
      <w:numFmt w:val="bullet"/>
      <w:lvlText w:val="•"/>
      <w:lvlJc w:val="left"/>
      <w:pPr>
        <w:ind w:left="1151" w:hanging="100"/>
      </w:pPr>
      <w:rPr>
        <w:rFonts w:hint="default"/>
      </w:rPr>
    </w:lvl>
    <w:lvl w:ilvl="8" w:tplc="18A033AE">
      <w:numFmt w:val="bullet"/>
      <w:lvlText w:val="•"/>
      <w:lvlJc w:val="left"/>
      <w:pPr>
        <w:ind w:left="1293" w:hanging="100"/>
      </w:pPr>
      <w:rPr>
        <w:rFonts w:hint="default"/>
      </w:rPr>
    </w:lvl>
  </w:abstractNum>
  <w:abstractNum w:abstractNumId="386" w15:restartNumberingAfterBreak="0">
    <w:nsid w:val="186C0ACF"/>
    <w:multiLevelType w:val="hybridMultilevel"/>
    <w:tmpl w:val="97703514"/>
    <w:lvl w:ilvl="0" w:tplc="C2D04FB8">
      <w:numFmt w:val="bullet"/>
      <w:lvlText w:val=""/>
      <w:lvlJc w:val="left"/>
      <w:pPr>
        <w:ind w:left="157" w:hanging="100"/>
      </w:pPr>
      <w:rPr>
        <w:rFonts w:ascii="Symbol" w:eastAsia="Symbol" w:hAnsi="Symbol" w:cs="Symbol" w:hint="default"/>
        <w:color w:val="231F20"/>
        <w:w w:val="100"/>
        <w:sz w:val="14"/>
        <w:szCs w:val="14"/>
      </w:rPr>
    </w:lvl>
    <w:lvl w:ilvl="1" w:tplc="D33C56B2">
      <w:numFmt w:val="bullet"/>
      <w:lvlText w:val="•"/>
      <w:lvlJc w:val="left"/>
      <w:pPr>
        <w:ind w:left="426" w:hanging="100"/>
      </w:pPr>
      <w:rPr>
        <w:rFonts w:hint="default"/>
      </w:rPr>
    </w:lvl>
    <w:lvl w:ilvl="2" w:tplc="6FF46CF4">
      <w:numFmt w:val="bullet"/>
      <w:lvlText w:val="•"/>
      <w:lvlJc w:val="left"/>
      <w:pPr>
        <w:ind w:left="692" w:hanging="100"/>
      </w:pPr>
      <w:rPr>
        <w:rFonts w:hint="default"/>
      </w:rPr>
    </w:lvl>
    <w:lvl w:ilvl="3" w:tplc="2D206AB4">
      <w:numFmt w:val="bullet"/>
      <w:lvlText w:val="•"/>
      <w:lvlJc w:val="left"/>
      <w:pPr>
        <w:ind w:left="959" w:hanging="100"/>
      </w:pPr>
      <w:rPr>
        <w:rFonts w:hint="default"/>
      </w:rPr>
    </w:lvl>
    <w:lvl w:ilvl="4" w:tplc="FC944730">
      <w:numFmt w:val="bullet"/>
      <w:lvlText w:val="•"/>
      <w:lvlJc w:val="left"/>
      <w:pPr>
        <w:ind w:left="1225" w:hanging="100"/>
      </w:pPr>
      <w:rPr>
        <w:rFonts w:hint="default"/>
      </w:rPr>
    </w:lvl>
    <w:lvl w:ilvl="5" w:tplc="8780B2EA">
      <w:numFmt w:val="bullet"/>
      <w:lvlText w:val="•"/>
      <w:lvlJc w:val="left"/>
      <w:pPr>
        <w:ind w:left="1492" w:hanging="100"/>
      </w:pPr>
      <w:rPr>
        <w:rFonts w:hint="default"/>
      </w:rPr>
    </w:lvl>
    <w:lvl w:ilvl="6" w:tplc="5C78F5B0">
      <w:numFmt w:val="bullet"/>
      <w:lvlText w:val="•"/>
      <w:lvlJc w:val="left"/>
      <w:pPr>
        <w:ind w:left="1758" w:hanging="100"/>
      </w:pPr>
      <w:rPr>
        <w:rFonts w:hint="default"/>
      </w:rPr>
    </w:lvl>
    <w:lvl w:ilvl="7" w:tplc="F75E7562">
      <w:numFmt w:val="bullet"/>
      <w:lvlText w:val="•"/>
      <w:lvlJc w:val="left"/>
      <w:pPr>
        <w:ind w:left="2024" w:hanging="100"/>
      </w:pPr>
      <w:rPr>
        <w:rFonts w:hint="default"/>
      </w:rPr>
    </w:lvl>
    <w:lvl w:ilvl="8" w:tplc="95C29F2C">
      <w:numFmt w:val="bullet"/>
      <w:lvlText w:val="•"/>
      <w:lvlJc w:val="left"/>
      <w:pPr>
        <w:ind w:left="2291" w:hanging="100"/>
      </w:pPr>
      <w:rPr>
        <w:rFonts w:hint="default"/>
      </w:rPr>
    </w:lvl>
  </w:abstractNum>
  <w:abstractNum w:abstractNumId="387" w15:restartNumberingAfterBreak="0">
    <w:nsid w:val="189550B3"/>
    <w:multiLevelType w:val="hybridMultilevel"/>
    <w:tmpl w:val="5D10B7A8"/>
    <w:lvl w:ilvl="0" w:tplc="480A3AD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B6F6709C">
      <w:numFmt w:val="bullet"/>
      <w:lvlText w:val="•"/>
      <w:lvlJc w:val="left"/>
      <w:pPr>
        <w:ind w:left="408" w:hanging="84"/>
      </w:pPr>
      <w:rPr>
        <w:rFonts w:hint="default"/>
      </w:rPr>
    </w:lvl>
    <w:lvl w:ilvl="2" w:tplc="949EEA0C">
      <w:numFmt w:val="bullet"/>
      <w:lvlText w:val="•"/>
      <w:lvlJc w:val="left"/>
      <w:pPr>
        <w:ind w:left="676" w:hanging="84"/>
      </w:pPr>
      <w:rPr>
        <w:rFonts w:hint="default"/>
      </w:rPr>
    </w:lvl>
    <w:lvl w:ilvl="3" w:tplc="71A8D9DE">
      <w:numFmt w:val="bullet"/>
      <w:lvlText w:val="•"/>
      <w:lvlJc w:val="left"/>
      <w:pPr>
        <w:ind w:left="945" w:hanging="84"/>
      </w:pPr>
      <w:rPr>
        <w:rFonts w:hint="default"/>
      </w:rPr>
    </w:lvl>
    <w:lvl w:ilvl="4" w:tplc="92B25EC8">
      <w:numFmt w:val="bullet"/>
      <w:lvlText w:val="•"/>
      <w:lvlJc w:val="left"/>
      <w:pPr>
        <w:ind w:left="1213" w:hanging="84"/>
      </w:pPr>
      <w:rPr>
        <w:rFonts w:hint="default"/>
      </w:rPr>
    </w:lvl>
    <w:lvl w:ilvl="5" w:tplc="844CD046">
      <w:numFmt w:val="bullet"/>
      <w:lvlText w:val="•"/>
      <w:lvlJc w:val="left"/>
      <w:pPr>
        <w:ind w:left="1482" w:hanging="84"/>
      </w:pPr>
      <w:rPr>
        <w:rFonts w:hint="default"/>
      </w:rPr>
    </w:lvl>
    <w:lvl w:ilvl="6" w:tplc="BB1E25D8">
      <w:numFmt w:val="bullet"/>
      <w:lvlText w:val="•"/>
      <w:lvlJc w:val="left"/>
      <w:pPr>
        <w:ind w:left="1750" w:hanging="84"/>
      </w:pPr>
      <w:rPr>
        <w:rFonts w:hint="default"/>
      </w:rPr>
    </w:lvl>
    <w:lvl w:ilvl="7" w:tplc="3F9EDAD0">
      <w:numFmt w:val="bullet"/>
      <w:lvlText w:val="•"/>
      <w:lvlJc w:val="left"/>
      <w:pPr>
        <w:ind w:left="2018" w:hanging="84"/>
      </w:pPr>
      <w:rPr>
        <w:rFonts w:hint="default"/>
      </w:rPr>
    </w:lvl>
    <w:lvl w:ilvl="8" w:tplc="1124113E">
      <w:numFmt w:val="bullet"/>
      <w:lvlText w:val="•"/>
      <w:lvlJc w:val="left"/>
      <w:pPr>
        <w:ind w:left="2287" w:hanging="84"/>
      </w:pPr>
      <w:rPr>
        <w:rFonts w:hint="default"/>
      </w:rPr>
    </w:lvl>
  </w:abstractNum>
  <w:abstractNum w:abstractNumId="388" w15:restartNumberingAfterBreak="0">
    <w:nsid w:val="18A94833"/>
    <w:multiLevelType w:val="hybridMultilevel"/>
    <w:tmpl w:val="2EC0F5E2"/>
    <w:lvl w:ilvl="0" w:tplc="6FA0D87E">
      <w:numFmt w:val="bullet"/>
      <w:lvlText w:val=""/>
      <w:lvlJc w:val="left"/>
      <w:pPr>
        <w:ind w:left="157" w:hanging="100"/>
      </w:pPr>
      <w:rPr>
        <w:rFonts w:ascii="Symbol" w:eastAsia="Symbol" w:hAnsi="Symbol" w:cs="Symbol" w:hint="default"/>
        <w:color w:val="231F20"/>
        <w:w w:val="100"/>
        <w:sz w:val="14"/>
        <w:szCs w:val="14"/>
      </w:rPr>
    </w:lvl>
    <w:lvl w:ilvl="1" w:tplc="E822EBF2">
      <w:numFmt w:val="bullet"/>
      <w:lvlText w:val="•"/>
      <w:lvlJc w:val="left"/>
      <w:pPr>
        <w:ind w:left="369" w:hanging="100"/>
      </w:pPr>
      <w:rPr>
        <w:rFonts w:hint="default"/>
      </w:rPr>
    </w:lvl>
    <w:lvl w:ilvl="2" w:tplc="5EF8AF16">
      <w:numFmt w:val="bullet"/>
      <w:lvlText w:val="•"/>
      <w:lvlJc w:val="left"/>
      <w:pPr>
        <w:ind w:left="579" w:hanging="100"/>
      </w:pPr>
      <w:rPr>
        <w:rFonts w:hint="default"/>
      </w:rPr>
    </w:lvl>
    <w:lvl w:ilvl="3" w:tplc="50BE050E">
      <w:numFmt w:val="bullet"/>
      <w:lvlText w:val="•"/>
      <w:lvlJc w:val="left"/>
      <w:pPr>
        <w:ind w:left="789" w:hanging="100"/>
      </w:pPr>
      <w:rPr>
        <w:rFonts w:hint="default"/>
      </w:rPr>
    </w:lvl>
    <w:lvl w:ilvl="4" w:tplc="2ECCD670">
      <w:numFmt w:val="bullet"/>
      <w:lvlText w:val="•"/>
      <w:lvlJc w:val="left"/>
      <w:pPr>
        <w:ind w:left="998" w:hanging="100"/>
      </w:pPr>
      <w:rPr>
        <w:rFonts w:hint="default"/>
      </w:rPr>
    </w:lvl>
    <w:lvl w:ilvl="5" w:tplc="0136D0F2">
      <w:numFmt w:val="bullet"/>
      <w:lvlText w:val="•"/>
      <w:lvlJc w:val="left"/>
      <w:pPr>
        <w:ind w:left="1208" w:hanging="100"/>
      </w:pPr>
      <w:rPr>
        <w:rFonts w:hint="default"/>
      </w:rPr>
    </w:lvl>
    <w:lvl w:ilvl="6" w:tplc="8F344634">
      <w:numFmt w:val="bullet"/>
      <w:lvlText w:val="•"/>
      <w:lvlJc w:val="left"/>
      <w:pPr>
        <w:ind w:left="1418" w:hanging="100"/>
      </w:pPr>
      <w:rPr>
        <w:rFonts w:hint="default"/>
      </w:rPr>
    </w:lvl>
    <w:lvl w:ilvl="7" w:tplc="8ED60D9E">
      <w:numFmt w:val="bullet"/>
      <w:lvlText w:val="•"/>
      <w:lvlJc w:val="left"/>
      <w:pPr>
        <w:ind w:left="1627" w:hanging="100"/>
      </w:pPr>
      <w:rPr>
        <w:rFonts w:hint="default"/>
      </w:rPr>
    </w:lvl>
    <w:lvl w:ilvl="8" w:tplc="E018B584">
      <w:numFmt w:val="bullet"/>
      <w:lvlText w:val="•"/>
      <w:lvlJc w:val="left"/>
      <w:pPr>
        <w:ind w:left="1837" w:hanging="100"/>
      </w:pPr>
      <w:rPr>
        <w:rFonts w:hint="default"/>
      </w:rPr>
    </w:lvl>
  </w:abstractNum>
  <w:abstractNum w:abstractNumId="389" w15:restartNumberingAfterBreak="0">
    <w:nsid w:val="18B05645"/>
    <w:multiLevelType w:val="hybridMultilevel"/>
    <w:tmpl w:val="C9B6EE90"/>
    <w:lvl w:ilvl="0" w:tplc="8C620E4C">
      <w:numFmt w:val="bullet"/>
      <w:lvlText w:val=""/>
      <w:lvlJc w:val="left"/>
      <w:pPr>
        <w:ind w:left="157" w:hanging="100"/>
      </w:pPr>
      <w:rPr>
        <w:rFonts w:ascii="Symbol" w:eastAsia="Symbol" w:hAnsi="Symbol" w:cs="Symbol" w:hint="default"/>
        <w:color w:val="231F20"/>
        <w:w w:val="100"/>
        <w:sz w:val="14"/>
        <w:szCs w:val="14"/>
      </w:rPr>
    </w:lvl>
    <w:lvl w:ilvl="1" w:tplc="DACA32A2">
      <w:numFmt w:val="bullet"/>
      <w:lvlText w:val="•"/>
      <w:lvlJc w:val="left"/>
      <w:pPr>
        <w:ind w:left="398" w:hanging="100"/>
      </w:pPr>
      <w:rPr>
        <w:rFonts w:hint="default"/>
      </w:rPr>
    </w:lvl>
    <w:lvl w:ilvl="2" w:tplc="E87ED2FC">
      <w:numFmt w:val="bullet"/>
      <w:lvlText w:val="•"/>
      <w:lvlJc w:val="left"/>
      <w:pPr>
        <w:ind w:left="636" w:hanging="100"/>
      </w:pPr>
      <w:rPr>
        <w:rFonts w:hint="default"/>
      </w:rPr>
    </w:lvl>
    <w:lvl w:ilvl="3" w:tplc="C21EA816">
      <w:numFmt w:val="bullet"/>
      <w:lvlText w:val="•"/>
      <w:lvlJc w:val="left"/>
      <w:pPr>
        <w:ind w:left="874" w:hanging="100"/>
      </w:pPr>
      <w:rPr>
        <w:rFonts w:hint="default"/>
      </w:rPr>
    </w:lvl>
    <w:lvl w:ilvl="4" w:tplc="D506BE8C">
      <w:numFmt w:val="bullet"/>
      <w:lvlText w:val="•"/>
      <w:lvlJc w:val="left"/>
      <w:pPr>
        <w:ind w:left="1112" w:hanging="100"/>
      </w:pPr>
      <w:rPr>
        <w:rFonts w:hint="default"/>
      </w:rPr>
    </w:lvl>
    <w:lvl w:ilvl="5" w:tplc="A054450A">
      <w:numFmt w:val="bullet"/>
      <w:lvlText w:val="•"/>
      <w:lvlJc w:val="left"/>
      <w:pPr>
        <w:ind w:left="1350" w:hanging="100"/>
      </w:pPr>
      <w:rPr>
        <w:rFonts w:hint="default"/>
      </w:rPr>
    </w:lvl>
    <w:lvl w:ilvl="6" w:tplc="1D0816F4">
      <w:numFmt w:val="bullet"/>
      <w:lvlText w:val="•"/>
      <w:lvlJc w:val="left"/>
      <w:pPr>
        <w:ind w:left="1588" w:hanging="100"/>
      </w:pPr>
      <w:rPr>
        <w:rFonts w:hint="default"/>
      </w:rPr>
    </w:lvl>
    <w:lvl w:ilvl="7" w:tplc="D31EC9E6">
      <w:numFmt w:val="bullet"/>
      <w:lvlText w:val="•"/>
      <w:lvlJc w:val="left"/>
      <w:pPr>
        <w:ind w:left="1826" w:hanging="100"/>
      </w:pPr>
      <w:rPr>
        <w:rFonts w:hint="default"/>
      </w:rPr>
    </w:lvl>
    <w:lvl w:ilvl="8" w:tplc="F0BACD18">
      <w:numFmt w:val="bullet"/>
      <w:lvlText w:val="•"/>
      <w:lvlJc w:val="left"/>
      <w:pPr>
        <w:ind w:left="2064" w:hanging="100"/>
      </w:pPr>
      <w:rPr>
        <w:rFonts w:hint="default"/>
      </w:rPr>
    </w:lvl>
  </w:abstractNum>
  <w:abstractNum w:abstractNumId="390" w15:restartNumberingAfterBreak="0">
    <w:nsid w:val="18BE6481"/>
    <w:multiLevelType w:val="hybridMultilevel"/>
    <w:tmpl w:val="ED580B6A"/>
    <w:lvl w:ilvl="0" w:tplc="5A8C2C0C">
      <w:numFmt w:val="bullet"/>
      <w:lvlText w:val=""/>
      <w:lvlJc w:val="left"/>
      <w:pPr>
        <w:ind w:left="157" w:hanging="100"/>
      </w:pPr>
      <w:rPr>
        <w:rFonts w:ascii="Symbol" w:eastAsia="Symbol" w:hAnsi="Symbol" w:cs="Symbol" w:hint="default"/>
        <w:color w:val="231F20"/>
        <w:w w:val="100"/>
        <w:sz w:val="14"/>
        <w:szCs w:val="14"/>
      </w:rPr>
    </w:lvl>
    <w:lvl w:ilvl="1" w:tplc="55FAE0FE">
      <w:numFmt w:val="bullet"/>
      <w:lvlText w:val="•"/>
      <w:lvlJc w:val="left"/>
      <w:pPr>
        <w:ind w:left="369" w:hanging="100"/>
      </w:pPr>
      <w:rPr>
        <w:rFonts w:hint="default"/>
      </w:rPr>
    </w:lvl>
    <w:lvl w:ilvl="2" w:tplc="115C587A">
      <w:numFmt w:val="bullet"/>
      <w:lvlText w:val="•"/>
      <w:lvlJc w:val="left"/>
      <w:pPr>
        <w:ind w:left="579" w:hanging="100"/>
      </w:pPr>
      <w:rPr>
        <w:rFonts w:hint="default"/>
      </w:rPr>
    </w:lvl>
    <w:lvl w:ilvl="3" w:tplc="B734D87E">
      <w:numFmt w:val="bullet"/>
      <w:lvlText w:val="•"/>
      <w:lvlJc w:val="left"/>
      <w:pPr>
        <w:ind w:left="789" w:hanging="100"/>
      </w:pPr>
      <w:rPr>
        <w:rFonts w:hint="default"/>
      </w:rPr>
    </w:lvl>
    <w:lvl w:ilvl="4" w:tplc="1296452C">
      <w:numFmt w:val="bullet"/>
      <w:lvlText w:val="•"/>
      <w:lvlJc w:val="left"/>
      <w:pPr>
        <w:ind w:left="998" w:hanging="100"/>
      </w:pPr>
      <w:rPr>
        <w:rFonts w:hint="default"/>
      </w:rPr>
    </w:lvl>
    <w:lvl w:ilvl="5" w:tplc="0ED2EDEA">
      <w:numFmt w:val="bullet"/>
      <w:lvlText w:val="•"/>
      <w:lvlJc w:val="left"/>
      <w:pPr>
        <w:ind w:left="1208" w:hanging="100"/>
      </w:pPr>
      <w:rPr>
        <w:rFonts w:hint="default"/>
      </w:rPr>
    </w:lvl>
    <w:lvl w:ilvl="6" w:tplc="D10E94F0">
      <w:numFmt w:val="bullet"/>
      <w:lvlText w:val="•"/>
      <w:lvlJc w:val="left"/>
      <w:pPr>
        <w:ind w:left="1418" w:hanging="100"/>
      </w:pPr>
      <w:rPr>
        <w:rFonts w:hint="default"/>
      </w:rPr>
    </w:lvl>
    <w:lvl w:ilvl="7" w:tplc="53426F46">
      <w:numFmt w:val="bullet"/>
      <w:lvlText w:val="•"/>
      <w:lvlJc w:val="left"/>
      <w:pPr>
        <w:ind w:left="1627" w:hanging="100"/>
      </w:pPr>
      <w:rPr>
        <w:rFonts w:hint="default"/>
      </w:rPr>
    </w:lvl>
    <w:lvl w:ilvl="8" w:tplc="3D9031E6">
      <w:numFmt w:val="bullet"/>
      <w:lvlText w:val="•"/>
      <w:lvlJc w:val="left"/>
      <w:pPr>
        <w:ind w:left="1837" w:hanging="100"/>
      </w:pPr>
      <w:rPr>
        <w:rFonts w:hint="default"/>
      </w:rPr>
    </w:lvl>
  </w:abstractNum>
  <w:abstractNum w:abstractNumId="391" w15:restartNumberingAfterBreak="0">
    <w:nsid w:val="18C038D1"/>
    <w:multiLevelType w:val="hybridMultilevel"/>
    <w:tmpl w:val="D19CD98E"/>
    <w:lvl w:ilvl="0" w:tplc="BA90A704">
      <w:numFmt w:val="bullet"/>
      <w:lvlText w:val=""/>
      <w:lvlJc w:val="left"/>
      <w:pPr>
        <w:ind w:left="156" w:hanging="100"/>
      </w:pPr>
      <w:rPr>
        <w:rFonts w:ascii="Symbol" w:eastAsia="Symbol" w:hAnsi="Symbol" w:cs="Symbol" w:hint="default"/>
        <w:color w:val="231F20"/>
        <w:w w:val="100"/>
        <w:sz w:val="14"/>
        <w:szCs w:val="14"/>
      </w:rPr>
    </w:lvl>
    <w:lvl w:ilvl="1" w:tplc="E2348E36">
      <w:numFmt w:val="bullet"/>
      <w:lvlText w:val="•"/>
      <w:lvlJc w:val="left"/>
      <w:pPr>
        <w:ind w:left="301" w:hanging="100"/>
      </w:pPr>
      <w:rPr>
        <w:rFonts w:hint="default"/>
      </w:rPr>
    </w:lvl>
    <w:lvl w:ilvl="2" w:tplc="12FA8916">
      <w:numFmt w:val="bullet"/>
      <w:lvlText w:val="•"/>
      <w:lvlJc w:val="left"/>
      <w:pPr>
        <w:ind w:left="443" w:hanging="100"/>
      </w:pPr>
      <w:rPr>
        <w:rFonts w:hint="default"/>
      </w:rPr>
    </w:lvl>
    <w:lvl w:ilvl="3" w:tplc="A498D1E4">
      <w:numFmt w:val="bullet"/>
      <w:lvlText w:val="•"/>
      <w:lvlJc w:val="left"/>
      <w:pPr>
        <w:ind w:left="585" w:hanging="100"/>
      </w:pPr>
      <w:rPr>
        <w:rFonts w:hint="default"/>
      </w:rPr>
    </w:lvl>
    <w:lvl w:ilvl="4" w:tplc="A9DABEA2">
      <w:numFmt w:val="bullet"/>
      <w:lvlText w:val="•"/>
      <w:lvlJc w:val="left"/>
      <w:pPr>
        <w:ind w:left="726" w:hanging="100"/>
      </w:pPr>
      <w:rPr>
        <w:rFonts w:hint="default"/>
      </w:rPr>
    </w:lvl>
    <w:lvl w:ilvl="5" w:tplc="EA1E499E">
      <w:numFmt w:val="bullet"/>
      <w:lvlText w:val="•"/>
      <w:lvlJc w:val="left"/>
      <w:pPr>
        <w:ind w:left="868" w:hanging="100"/>
      </w:pPr>
      <w:rPr>
        <w:rFonts w:hint="default"/>
      </w:rPr>
    </w:lvl>
    <w:lvl w:ilvl="6" w:tplc="A598569A">
      <w:numFmt w:val="bullet"/>
      <w:lvlText w:val="•"/>
      <w:lvlJc w:val="left"/>
      <w:pPr>
        <w:ind w:left="1010" w:hanging="100"/>
      </w:pPr>
      <w:rPr>
        <w:rFonts w:hint="default"/>
      </w:rPr>
    </w:lvl>
    <w:lvl w:ilvl="7" w:tplc="D38054DC">
      <w:numFmt w:val="bullet"/>
      <w:lvlText w:val="•"/>
      <w:lvlJc w:val="left"/>
      <w:pPr>
        <w:ind w:left="1151" w:hanging="100"/>
      </w:pPr>
      <w:rPr>
        <w:rFonts w:hint="default"/>
      </w:rPr>
    </w:lvl>
    <w:lvl w:ilvl="8" w:tplc="02BC43D6">
      <w:numFmt w:val="bullet"/>
      <w:lvlText w:val="•"/>
      <w:lvlJc w:val="left"/>
      <w:pPr>
        <w:ind w:left="1293" w:hanging="100"/>
      </w:pPr>
      <w:rPr>
        <w:rFonts w:hint="default"/>
      </w:rPr>
    </w:lvl>
  </w:abstractNum>
  <w:abstractNum w:abstractNumId="392" w15:restartNumberingAfterBreak="0">
    <w:nsid w:val="18E1292B"/>
    <w:multiLevelType w:val="hybridMultilevel"/>
    <w:tmpl w:val="23909C76"/>
    <w:lvl w:ilvl="0" w:tplc="ECDC423C">
      <w:numFmt w:val="bullet"/>
      <w:lvlText w:val=""/>
      <w:lvlJc w:val="left"/>
      <w:pPr>
        <w:ind w:left="156" w:hanging="100"/>
      </w:pPr>
      <w:rPr>
        <w:rFonts w:ascii="Symbol" w:eastAsia="Symbol" w:hAnsi="Symbol" w:cs="Symbol" w:hint="default"/>
        <w:color w:val="231F20"/>
        <w:w w:val="100"/>
        <w:sz w:val="14"/>
        <w:szCs w:val="14"/>
      </w:rPr>
    </w:lvl>
    <w:lvl w:ilvl="1" w:tplc="82046A0A">
      <w:numFmt w:val="bullet"/>
      <w:lvlText w:val="•"/>
      <w:lvlJc w:val="left"/>
      <w:pPr>
        <w:ind w:left="301" w:hanging="100"/>
      </w:pPr>
      <w:rPr>
        <w:rFonts w:hint="default"/>
      </w:rPr>
    </w:lvl>
    <w:lvl w:ilvl="2" w:tplc="7CD69836">
      <w:numFmt w:val="bullet"/>
      <w:lvlText w:val="•"/>
      <w:lvlJc w:val="left"/>
      <w:pPr>
        <w:ind w:left="443" w:hanging="100"/>
      </w:pPr>
      <w:rPr>
        <w:rFonts w:hint="default"/>
      </w:rPr>
    </w:lvl>
    <w:lvl w:ilvl="3" w:tplc="B74C5CA2">
      <w:numFmt w:val="bullet"/>
      <w:lvlText w:val="•"/>
      <w:lvlJc w:val="left"/>
      <w:pPr>
        <w:ind w:left="585" w:hanging="100"/>
      </w:pPr>
      <w:rPr>
        <w:rFonts w:hint="default"/>
      </w:rPr>
    </w:lvl>
    <w:lvl w:ilvl="4" w:tplc="15582B9E">
      <w:numFmt w:val="bullet"/>
      <w:lvlText w:val="•"/>
      <w:lvlJc w:val="left"/>
      <w:pPr>
        <w:ind w:left="726" w:hanging="100"/>
      </w:pPr>
      <w:rPr>
        <w:rFonts w:hint="default"/>
      </w:rPr>
    </w:lvl>
    <w:lvl w:ilvl="5" w:tplc="90B62934">
      <w:numFmt w:val="bullet"/>
      <w:lvlText w:val="•"/>
      <w:lvlJc w:val="left"/>
      <w:pPr>
        <w:ind w:left="868" w:hanging="100"/>
      </w:pPr>
      <w:rPr>
        <w:rFonts w:hint="default"/>
      </w:rPr>
    </w:lvl>
    <w:lvl w:ilvl="6" w:tplc="F43AF45E">
      <w:numFmt w:val="bullet"/>
      <w:lvlText w:val="•"/>
      <w:lvlJc w:val="left"/>
      <w:pPr>
        <w:ind w:left="1010" w:hanging="100"/>
      </w:pPr>
      <w:rPr>
        <w:rFonts w:hint="default"/>
      </w:rPr>
    </w:lvl>
    <w:lvl w:ilvl="7" w:tplc="6202753C">
      <w:numFmt w:val="bullet"/>
      <w:lvlText w:val="•"/>
      <w:lvlJc w:val="left"/>
      <w:pPr>
        <w:ind w:left="1151" w:hanging="100"/>
      </w:pPr>
      <w:rPr>
        <w:rFonts w:hint="default"/>
      </w:rPr>
    </w:lvl>
    <w:lvl w:ilvl="8" w:tplc="FA705216">
      <w:numFmt w:val="bullet"/>
      <w:lvlText w:val="•"/>
      <w:lvlJc w:val="left"/>
      <w:pPr>
        <w:ind w:left="1293" w:hanging="100"/>
      </w:pPr>
      <w:rPr>
        <w:rFonts w:hint="default"/>
      </w:rPr>
    </w:lvl>
  </w:abstractNum>
  <w:abstractNum w:abstractNumId="393" w15:restartNumberingAfterBreak="0">
    <w:nsid w:val="18E658B6"/>
    <w:multiLevelType w:val="hybridMultilevel"/>
    <w:tmpl w:val="27CC385C"/>
    <w:lvl w:ilvl="0" w:tplc="982C35F4">
      <w:numFmt w:val="bullet"/>
      <w:lvlText w:val=""/>
      <w:lvlJc w:val="left"/>
      <w:pPr>
        <w:ind w:left="156" w:hanging="100"/>
      </w:pPr>
      <w:rPr>
        <w:rFonts w:ascii="Symbol" w:eastAsia="Symbol" w:hAnsi="Symbol" w:cs="Symbol" w:hint="default"/>
        <w:color w:val="231F20"/>
        <w:w w:val="100"/>
        <w:sz w:val="14"/>
        <w:szCs w:val="14"/>
      </w:rPr>
    </w:lvl>
    <w:lvl w:ilvl="1" w:tplc="45183116">
      <w:numFmt w:val="bullet"/>
      <w:lvlText w:val="•"/>
      <w:lvlJc w:val="left"/>
      <w:pPr>
        <w:ind w:left="426" w:hanging="100"/>
      </w:pPr>
      <w:rPr>
        <w:rFonts w:hint="default"/>
      </w:rPr>
    </w:lvl>
    <w:lvl w:ilvl="2" w:tplc="A8BA940E">
      <w:numFmt w:val="bullet"/>
      <w:lvlText w:val="•"/>
      <w:lvlJc w:val="left"/>
      <w:pPr>
        <w:ind w:left="692" w:hanging="100"/>
      </w:pPr>
      <w:rPr>
        <w:rFonts w:hint="default"/>
      </w:rPr>
    </w:lvl>
    <w:lvl w:ilvl="3" w:tplc="5E6811A0">
      <w:numFmt w:val="bullet"/>
      <w:lvlText w:val="•"/>
      <w:lvlJc w:val="left"/>
      <w:pPr>
        <w:ind w:left="959" w:hanging="100"/>
      </w:pPr>
      <w:rPr>
        <w:rFonts w:hint="default"/>
      </w:rPr>
    </w:lvl>
    <w:lvl w:ilvl="4" w:tplc="6808761C">
      <w:numFmt w:val="bullet"/>
      <w:lvlText w:val="•"/>
      <w:lvlJc w:val="left"/>
      <w:pPr>
        <w:ind w:left="1225" w:hanging="100"/>
      </w:pPr>
      <w:rPr>
        <w:rFonts w:hint="default"/>
      </w:rPr>
    </w:lvl>
    <w:lvl w:ilvl="5" w:tplc="89EC8BA8">
      <w:numFmt w:val="bullet"/>
      <w:lvlText w:val="•"/>
      <w:lvlJc w:val="left"/>
      <w:pPr>
        <w:ind w:left="1492" w:hanging="100"/>
      </w:pPr>
      <w:rPr>
        <w:rFonts w:hint="default"/>
      </w:rPr>
    </w:lvl>
    <w:lvl w:ilvl="6" w:tplc="17EC1948">
      <w:numFmt w:val="bullet"/>
      <w:lvlText w:val="•"/>
      <w:lvlJc w:val="left"/>
      <w:pPr>
        <w:ind w:left="1758" w:hanging="100"/>
      </w:pPr>
      <w:rPr>
        <w:rFonts w:hint="default"/>
      </w:rPr>
    </w:lvl>
    <w:lvl w:ilvl="7" w:tplc="3FDA035E">
      <w:numFmt w:val="bullet"/>
      <w:lvlText w:val="•"/>
      <w:lvlJc w:val="left"/>
      <w:pPr>
        <w:ind w:left="2024" w:hanging="100"/>
      </w:pPr>
      <w:rPr>
        <w:rFonts w:hint="default"/>
      </w:rPr>
    </w:lvl>
    <w:lvl w:ilvl="8" w:tplc="7206B206">
      <w:numFmt w:val="bullet"/>
      <w:lvlText w:val="•"/>
      <w:lvlJc w:val="left"/>
      <w:pPr>
        <w:ind w:left="2291" w:hanging="100"/>
      </w:pPr>
      <w:rPr>
        <w:rFonts w:hint="default"/>
      </w:rPr>
    </w:lvl>
  </w:abstractNum>
  <w:abstractNum w:abstractNumId="394" w15:restartNumberingAfterBreak="0">
    <w:nsid w:val="19016289"/>
    <w:multiLevelType w:val="hybridMultilevel"/>
    <w:tmpl w:val="DB001E08"/>
    <w:lvl w:ilvl="0" w:tplc="6C709690">
      <w:numFmt w:val="bullet"/>
      <w:lvlText w:val=""/>
      <w:lvlJc w:val="left"/>
      <w:pPr>
        <w:ind w:left="156" w:hanging="100"/>
      </w:pPr>
      <w:rPr>
        <w:rFonts w:ascii="Symbol" w:eastAsia="Symbol" w:hAnsi="Symbol" w:cs="Symbol" w:hint="default"/>
        <w:color w:val="231F20"/>
        <w:w w:val="100"/>
        <w:sz w:val="14"/>
        <w:szCs w:val="14"/>
      </w:rPr>
    </w:lvl>
    <w:lvl w:ilvl="1" w:tplc="B97C5A76">
      <w:numFmt w:val="bullet"/>
      <w:lvlText w:val="•"/>
      <w:lvlJc w:val="left"/>
      <w:pPr>
        <w:ind w:left="301" w:hanging="100"/>
      </w:pPr>
      <w:rPr>
        <w:rFonts w:hint="default"/>
      </w:rPr>
    </w:lvl>
    <w:lvl w:ilvl="2" w:tplc="D0943BAC">
      <w:numFmt w:val="bullet"/>
      <w:lvlText w:val="•"/>
      <w:lvlJc w:val="left"/>
      <w:pPr>
        <w:ind w:left="443" w:hanging="100"/>
      </w:pPr>
      <w:rPr>
        <w:rFonts w:hint="default"/>
      </w:rPr>
    </w:lvl>
    <w:lvl w:ilvl="3" w:tplc="A5BCCAD2">
      <w:numFmt w:val="bullet"/>
      <w:lvlText w:val="•"/>
      <w:lvlJc w:val="left"/>
      <w:pPr>
        <w:ind w:left="585" w:hanging="100"/>
      </w:pPr>
      <w:rPr>
        <w:rFonts w:hint="default"/>
      </w:rPr>
    </w:lvl>
    <w:lvl w:ilvl="4" w:tplc="776E550C">
      <w:numFmt w:val="bullet"/>
      <w:lvlText w:val="•"/>
      <w:lvlJc w:val="left"/>
      <w:pPr>
        <w:ind w:left="726" w:hanging="100"/>
      </w:pPr>
      <w:rPr>
        <w:rFonts w:hint="default"/>
      </w:rPr>
    </w:lvl>
    <w:lvl w:ilvl="5" w:tplc="26502678">
      <w:numFmt w:val="bullet"/>
      <w:lvlText w:val="•"/>
      <w:lvlJc w:val="left"/>
      <w:pPr>
        <w:ind w:left="868" w:hanging="100"/>
      </w:pPr>
      <w:rPr>
        <w:rFonts w:hint="default"/>
      </w:rPr>
    </w:lvl>
    <w:lvl w:ilvl="6" w:tplc="472CBF9E">
      <w:numFmt w:val="bullet"/>
      <w:lvlText w:val="•"/>
      <w:lvlJc w:val="left"/>
      <w:pPr>
        <w:ind w:left="1010" w:hanging="100"/>
      </w:pPr>
      <w:rPr>
        <w:rFonts w:hint="default"/>
      </w:rPr>
    </w:lvl>
    <w:lvl w:ilvl="7" w:tplc="88D866EE">
      <w:numFmt w:val="bullet"/>
      <w:lvlText w:val="•"/>
      <w:lvlJc w:val="left"/>
      <w:pPr>
        <w:ind w:left="1151" w:hanging="100"/>
      </w:pPr>
      <w:rPr>
        <w:rFonts w:hint="default"/>
      </w:rPr>
    </w:lvl>
    <w:lvl w:ilvl="8" w:tplc="407E8D28">
      <w:numFmt w:val="bullet"/>
      <w:lvlText w:val="•"/>
      <w:lvlJc w:val="left"/>
      <w:pPr>
        <w:ind w:left="1293" w:hanging="100"/>
      </w:pPr>
      <w:rPr>
        <w:rFonts w:hint="default"/>
      </w:rPr>
    </w:lvl>
  </w:abstractNum>
  <w:abstractNum w:abstractNumId="395" w15:restartNumberingAfterBreak="0">
    <w:nsid w:val="190A5B86"/>
    <w:multiLevelType w:val="hybridMultilevel"/>
    <w:tmpl w:val="F5CC2DBC"/>
    <w:lvl w:ilvl="0" w:tplc="F2AE7F16">
      <w:numFmt w:val="bullet"/>
      <w:lvlText w:val=""/>
      <w:lvlJc w:val="left"/>
      <w:pPr>
        <w:ind w:left="157" w:hanging="100"/>
      </w:pPr>
      <w:rPr>
        <w:rFonts w:ascii="Symbol" w:eastAsia="Symbol" w:hAnsi="Symbol" w:cs="Symbol" w:hint="default"/>
        <w:color w:val="231F20"/>
        <w:w w:val="100"/>
        <w:sz w:val="14"/>
        <w:szCs w:val="14"/>
      </w:rPr>
    </w:lvl>
    <w:lvl w:ilvl="1" w:tplc="062C05C2">
      <w:numFmt w:val="bullet"/>
      <w:lvlText w:val="•"/>
      <w:lvlJc w:val="left"/>
      <w:pPr>
        <w:ind w:left="369" w:hanging="100"/>
      </w:pPr>
      <w:rPr>
        <w:rFonts w:hint="default"/>
      </w:rPr>
    </w:lvl>
    <w:lvl w:ilvl="2" w:tplc="2730EAB6">
      <w:numFmt w:val="bullet"/>
      <w:lvlText w:val="•"/>
      <w:lvlJc w:val="left"/>
      <w:pPr>
        <w:ind w:left="579" w:hanging="100"/>
      </w:pPr>
      <w:rPr>
        <w:rFonts w:hint="default"/>
      </w:rPr>
    </w:lvl>
    <w:lvl w:ilvl="3" w:tplc="072EE0CE">
      <w:numFmt w:val="bullet"/>
      <w:lvlText w:val="•"/>
      <w:lvlJc w:val="left"/>
      <w:pPr>
        <w:ind w:left="789" w:hanging="100"/>
      </w:pPr>
      <w:rPr>
        <w:rFonts w:hint="default"/>
      </w:rPr>
    </w:lvl>
    <w:lvl w:ilvl="4" w:tplc="BE429110">
      <w:numFmt w:val="bullet"/>
      <w:lvlText w:val="•"/>
      <w:lvlJc w:val="left"/>
      <w:pPr>
        <w:ind w:left="998" w:hanging="100"/>
      </w:pPr>
      <w:rPr>
        <w:rFonts w:hint="default"/>
      </w:rPr>
    </w:lvl>
    <w:lvl w:ilvl="5" w:tplc="80F82D7E">
      <w:numFmt w:val="bullet"/>
      <w:lvlText w:val="•"/>
      <w:lvlJc w:val="left"/>
      <w:pPr>
        <w:ind w:left="1208" w:hanging="100"/>
      </w:pPr>
      <w:rPr>
        <w:rFonts w:hint="default"/>
      </w:rPr>
    </w:lvl>
    <w:lvl w:ilvl="6" w:tplc="95E4F77C">
      <w:numFmt w:val="bullet"/>
      <w:lvlText w:val="•"/>
      <w:lvlJc w:val="left"/>
      <w:pPr>
        <w:ind w:left="1418" w:hanging="100"/>
      </w:pPr>
      <w:rPr>
        <w:rFonts w:hint="default"/>
      </w:rPr>
    </w:lvl>
    <w:lvl w:ilvl="7" w:tplc="FF2A8B14">
      <w:numFmt w:val="bullet"/>
      <w:lvlText w:val="•"/>
      <w:lvlJc w:val="left"/>
      <w:pPr>
        <w:ind w:left="1627" w:hanging="100"/>
      </w:pPr>
      <w:rPr>
        <w:rFonts w:hint="default"/>
      </w:rPr>
    </w:lvl>
    <w:lvl w:ilvl="8" w:tplc="EEAE5236">
      <w:numFmt w:val="bullet"/>
      <w:lvlText w:val="•"/>
      <w:lvlJc w:val="left"/>
      <w:pPr>
        <w:ind w:left="1837" w:hanging="100"/>
      </w:pPr>
      <w:rPr>
        <w:rFonts w:hint="default"/>
      </w:rPr>
    </w:lvl>
  </w:abstractNum>
  <w:abstractNum w:abstractNumId="396" w15:restartNumberingAfterBreak="0">
    <w:nsid w:val="191E4A9E"/>
    <w:multiLevelType w:val="hybridMultilevel"/>
    <w:tmpl w:val="CE367CA0"/>
    <w:lvl w:ilvl="0" w:tplc="ADF4111C">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C51EC228">
      <w:numFmt w:val="bullet"/>
      <w:lvlText w:val="•"/>
      <w:lvlJc w:val="left"/>
      <w:pPr>
        <w:ind w:left="351" w:hanging="84"/>
      </w:pPr>
      <w:rPr>
        <w:rFonts w:hint="default"/>
      </w:rPr>
    </w:lvl>
    <w:lvl w:ilvl="2" w:tplc="1DD6EB34">
      <w:numFmt w:val="bullet"/>
      <w:lvlText w:val="•"/>
      <w:lvlJc w:val="left"/>
      <w:pPr>
        <w:ind w:left="563" w:hanging="84"/>
      </w:pPr>
      <w:rPr>
        <w:rFonts w:hint="default"/>
      </w:rPr>
    </w:lvl>
    <w:lvl w:ilvl="3" w:tplc="D9029B82">
      <w:numFmt w:val="bullet"/>
      <w:lvlText w:val="•"/>
      <w:lvlJc w:val="left"/>
      <w:pPr>
        <w:ind w:left="775" w:hanging="84"/>
      </w:pPr>
      <w:rPr>
        <w:rFonts w:hint="default"/>
      </w:rPr>
    </w:lvl>
    <w:lvl w:ilvl="4" w:tplc="771E215E">
      <w:numFmt w:val="bullet"/>
      <w:lvlText w:val="•"/>
      <w:lvlJc w:val="left"/>
      <w:pPr>
        <w:ind w:left="986" w:hanging="84"/>
      </w:pPr>
      <w:rPr>
        <w:rFonts w:hint="default"/>
      </w:rPr>
    </w:lvl>
    <w:lvl w:ilvl="5" w:tplc="5BEE2958">
      <w:numFmt w:val="bullet"/>
      <w:lvlText w:val="•"/>
      <w:lvlJc w:val="left"/>
      <w:pPr>
        <w:ind w:left="1198" w:hanging="84"/>
      </w:pPr>
      <w:rPr>
        <w:rFonts w:hint="default"/>
      </w:rPr>
    </w:lvl>
    <w:lvl w:ilvl="6" w:tplc="816699DC">
      <w:numFmt w:val="bullet"/>
      <w:lvlText w:val="•"/>
      <w:lvlJc w:val="left"/>
      <w:pPr>
        <w:ind w:left="1410" w:hanging="84"/>
      </w:pPr>
      <w:rPr>
        <w:rFonts w:hint="default"/>
      </w:rPr>
    </w:lvl>
    <w:lvl w:ilvl="7" w:tplc="F524F830">
      <w:numFmt w:val="bullet"/>
      <w:lvlText w:val="•"/>
      <w:lvlJc w:val="left"/>
      <w:pPr>
        <w:ind w:left="1621" w:hanging="84"/>
      </w:pPr>
      <w:rPr>
        <w:rFonts w:hint="default"/>
      </w:rPr>
    </w:lvl>
    <w:lvl w:ilvl="8" w:tplc="CECAAA54">
      <w:numFmt w:val="bullet"/>
      <w:lvlText w:val="•"/>
      <w:lvlJc w:val="left"/>
      <w:pPr>
        <w:ind w:left="1833" w:hanging="84"/>
      </w:pPr>
      <w:rPr>
        <w:rFonts w:hint="default"/>
      </w:rPr>
    </w:lvl>
  </w:abstractNum>
  <w:abstractNum w:abstractNumId="397" w15:restartNumberingAfterBreak="0">
    <w:nsid w:val="193B2B0A"/>
    <w:multiLevelType w:val="hybridMultilevel"/>
    <w:tmpl w:val="91BA1C78"/>
    <w:lvl w:ilvl="0" w:tplc="70E0A4D4">
      <w:numFmt w:val="bullet"/>
      <w:lvlText w:val=""/>
      <w:lvlJc w:val="left"/>
      <w:pPr>
        <w:ind w:left="156" w:hanging="100"/>
      </w:pPr>
      <w:rPr>
        <w:rFonts w:ascii="Symbol" w:eastAsia="Symbol" w:hAnsi="Symbol" w:cs="Symbol" w:hint="default"/>
        <w:color w:val="231F20"/>
        <w:w w:val="100"/>
        <w:sz w:val="14"/>
        <w:szCs w:val="14"/>
      </w:rPr>
    </w:lvl>
    <w:lvl w:ilvl="1" w:tplc="D416F224">
      <w:numFmt w:val="bullet"/>
      <w:lvlText w:val="•"/>
      <w:lvlJc w:val="left"/>
      <w:pPr>
        <w:ind w:left="398" w:hanging="100"/>
      </w:pPr>
      <w:rPr>
        <w:rFonts w:hint="default"/>
      </w:rPr>
    </w:lvl>
    <w:lvl w:ilvl="2" w:tplc="F5FE98AC">
      <w:numFmt w:val="bullet"/>
      <w:lvlText w:val="•"/>
      <w:lvlJc w:val="left"/>
      <w:pPr>
        <w:ind w:left="636" w:hanging="100"/>
      </w:pPr>
      <w:rPr>
        <w:rFonts w:hint="default"/>
      </w:rPr>
    </w:lvl>
    <w:lvl w:ilvl="3" w:tplc="AA82D374">
      <w:numFmt w:val="bullet"/>
      <w:lvlText w:val="•"/>
      <w:lvlJc w:val="left"/>
      <w:pPr>
        <w:ind w:left="874" w:hanging="100"/>
      </w:pPr>
      <w:rPr>
        <w:rFonts w:hint="default"/>
      </w:rPr>
    </w:lvl>
    <w:lvl w:ilvl="4" w:tplc="C792B0BE">
      <w:numFmt w:val="bullet"/>
      <w:lvlText w:val="•"/>
      <w:lvlJc w:val="left"/>
      <w:pPr>
        <w:ind w:left="1112" w:hanging="100"/>
      </w:pPr>
      <w:rPr>
        <w:rFonts w:hint="default"/>
      </w:rPr>
    </w:lvl>
    <w:lvl w:ilvl="5" w:tplc="1062EB7C">
      <w:numFmt w:val="bullet"/>
      <w:lvlText w:val="•"/>
      <w:lvlJc w:val="left"/>
      <w:pPr>
        <w:ind w:left="1350" w:hanging="100"/>
      </w:pPr>
      <w:rPr>
        <w:rFonts w:hint="default"/>
      </w:rPr>
    </w:lvl>
    <w:lvl w:ilvl="6" w:tplc="A8A202D2">
      <w:numFmt w:val="bullet"/>
      <w:lvlText w:val="•"/>
      <w:lvlJc w:val="left"/>
      <w:pPr>
        <w:ind w:left="1588" w:hanging="100"/>
      </w:pPr>
      <w:rPr>
        <w:rFonts w:hint="default"/>
      </w:rPr>
    </w:lvl>
    <w:lvl w:ilvl="7" w:tplc="9B98A868">
      <w:numFmt w:val="bullet"/>
      <w:lvlText w:val="•"/>
      <w:lvlJc w:val="left"/>
      <w:pPr>
        <w:ind w:left="1826" w:hanging="100"/>
      </w:pPr>
      <w:rPr>
        <w:rFonts w:hint="default"/>
      </w:rPr>
    </w:lvl>
    <w:lvl w:ilvl="8" w:tplc="333E1768">
      <w:numFmt w:val="bullet"/>
      <w:lvlText w:val="•"/>
      <w:lvlJc w:val="left"/>
      <w:pPr>
        <w:ind w:left="2064" w:hanging="100"/>
      </w:pPr>
      <w:rPr>
        <w:rFonts w:hint="default"/>
      </w:rPr>
    </w:lvl>
  </w:abstractNum>
  <w:abstractNum w:abstractNumId="398" w15:restartNumberingAfterBreak="0">
    <w:nsid w:val="19563A4C"/>
    <w:multiLevelType w:val="hybridMultilevel"/>
    <w:tmpl w:val="5554F118"/>
    <w:lvl w:ilvl="0" w:tplc="BD2CD712">
      <w:numFmt w:val="bullet"/>
      <w:lvlText w:val=""/>
      <w:lvlJc w:val="left"/>
      <w:pPr>
        <w:ind w:left="157" w:hanging="100"/>
      </w:pPr>
      <w:rPr>
        <w:rFonts w:ascii="Symbol" w:eastAsia="Symbol" w:hAnsi="Symbol" w:cs="Symbol" w:hint="default"/>
        <w:color w:val="231F20"/>
        <w:w w:val="100"/>
        <w:sz w:val="14"/>
        <w:szCs w:val="14"/>
      </w:rPr>
    </w:lvl>
    <w:lvl w:ilvl="1" w:tplc="8620040A">
      <w:numFmt w:val="bullet"/>
      <w:lvlText w:val="•"/>
      <w:lvlJc w:val="left"/>
      <w:pPr>
        <w:ind w:left="369" w:hanging="100"/>
      </w:pPr>
      <w:rPr>
        <w:rFonts w:hint="default"/>
      </w:rPr>
    </w:lvl>
    <w:lvl w:ilvl="2" w:tplc="64A6AB4E">
      <w:numFmt w:val="bullet"/>
      <w:lvlText w:val="•"/>
      <w:lvlJc w:val="left"/>
      <w:pPr>
        <w:ind w:left="579" w:hanging="100"/>
      </w:pPr>
      <w:rPr>
        <w:rFonts w:hint="default"/>
      </w:rPr>
    </w:lvl>
    <w:lvl w:ilvl="3" w:tplc="7C207C2A">
      <w:numFmt w:val="bullet"/>
      <w:lvlText w:val="•"/>
      <w:lvlJc w:val="left"/>
      <w:pPr>
        <w:ind w:left="789" w:hanging="100"/>
      </w:pPr>
      <w:rPr>
        <w:rFonts w:hint="default"/>
      </w:rPr>
    </w:lvl>
    <w:lvl w:ilvl="4" w:tplc="F1AAC7D4">
      <w:numFmt w:val="bullet"/>
      <w:lvlText w:val="•"/>
      <w:lvlJc w:val="left"/>
      <w:pPr>
        <w:ind w:left="998" w:hanging="100"/>
      </w:pPr>
      <w:rPr>
        <w:rFonts w:hint="default"/>
      </w:rPr>
    </w:lvl>
    <w:lvl w:ilvl="5" w:tplc="C734C524">
      <w:numFmt w:val="bullet"/>
      <w:lvlText w:val="•"/>
      <w:lvlJc w:val="left"/>
      <w:pPr>
        <w:ind w:left="1208" w:hanging="100"/>
      </w:pPr>
      <w:rPr>
        <w:rFonts w:hint="default"/>
      </w:rPr>
    </w:lvl>
    <w:lvl w:ilvl="6" w:tplc="8D5ED532">
      <w:numFmt w:val="bullet"/>
      <w:lvlText w:val="•"/>
      <w:lvlJc w:val="left"/>
      <w:pPr>
        <w:ind w:left="1418" w:hanging="100"/>
      </w:pPr>
      <w:rPr>
        <w:rFonts w:hint="default"/>
      </w:rPr>
    </w:lvl>
    <w:lvl w:ilvl="7" w:tplc="6FFED990">
      <w:numFmt w:val="bullet"/>
      <w:lvlText w:val="•"/>
      <w:lvlJc w:val="left"/>
      <w:pPr>
        <w:ind w:left="1627" w:hanging="100"/>
      </w:pPr>
      <w:rPr>
        <w:rFonts w:hint="default"/>
      </w:rPr>
    </w:lvl>
    <w:lvl w:ilvl="8" w:tplc="20B2D378">
      <w:numFmt w:val="bullet"/>
      <w:lvlText w:val="•"/>
      <w:lvlJc w:val="left"/>
      <w:pPr>
        <w:ind w:left="1837" w:hanging="100"/>
      </w:pPr>
      <w:rPr>
        <w:rFonts w:hint="default"/>
      </w:rPr>
    </w:lvl>
  </w:abstractNum>
  <w:abstractNum w:abstractNumId="399" w15:restartNumberingAfterBreak="0">
    <w:nsid w:val="19575279"/>
    <w:multiLevelType w:val="hybridMultilevel"/>
    <w:tmpl w:val="5024C81A"/>
    <w:lvl w:ilvl="0" w:tplc="246CC9CC">
      <w:numFmt w:val="bullet"/>
      <w:lvlText w:val=""/>
      <w:lvlJc w:val="left"/>
      <w:pPr>
        <w:ind w:left="157" w:hanging="100"/>
      </w:pPr>
      <w:rPr>
        <w:rFonts w:ascii="Symbol" w:eastAsia="Symbol" w:hAnsi="Symbol" w:cs="Symbol" w:hint="default"/>
        <w:color w:val="231F20"/>
        <w:w w:val="100"/>
        <w:sz w:val="14"/>
        <w:szCs w:val="14"/>
      </w:rPr>
    </w:lvl>
    <w:lvl w:ilvl="1" w:tplc="33B27F5E">
      <w:numFmt w:val="bullet"/>
      <w:lvlText w:val="•"/>
      <w:lvlJc w:val="left"/>
      <w:pPr>
        <w:ind w:left="398" w:hanging="100"/>
      </w:pPr>
      <w:rPr>
        <w:rFonts w:hint="default"/>
      </w:rPr>
    </w:lvl>
    <w:lvl w:ilvl="2" w:tplc="C71C00B4">
      <w:numFmt w:val="bullet"/>
      <w:lvlText w:val="•"/>
      <w:lvlJc w:val="left"/>
      <w:pPr>
        <w:ind w:left="636" w:hanging="100"/>
      </w:pPr>
      <w:rPr>
        <w:rFonts w:hint="default"/>
      </w:rPr>
    </w:lvl>
    <w:lvl w:ilvl="3" w:tplc="65665B2A">
      <w:numFmt w:val="bullet"/>
      <w:lvlText w:val="•"/>
      <w:lvlJc w:val="left"/>
      <w:pPr>
        <w:ind w:left="874" w:hanging="100"/>
      </w:pPr>
      <w:rPr>
        <w:rFonts w:hint="default"/>
      </w:rPr>
    </w:lvl>
    <w:lvl w:ilvl="4" w:tplc="AF3E8FE8">
      <w:numFmt w:val="bullet"/>
      <w:lvlText w:val="•"/>
      <w:lvlJc w:val="left"/>
      <w:pPr>
        <w:ind w:left="1112" w:hanging="100"/>
      </w:pPr>
      <w:rPr>
        <w:rFonts w:hint="default"/>
      </w:rPr>
    </w:lvl>
    <w:lvl w:ilvl="5" w:tplc="2D407654">
      <w:numFmt w:val="bullet"/>
      <w:lvlText w:val="•"/>
      <w:lvlJc w:val="left"/>
      <w:pPr>
        <w:ind w:left="1350" w:hanging="100"/>
      </w:pPr>
      <w:rPr>
        <w:rFonts w:hint="default"/>
      </w:rPr>
    </w:lvl>
    <w:lvl w:ilvl="6" w:tplc="18167E14">
      <w:numFmt w:val="bullet"/>
      <w:lvlText w:val="•"/>
      <w:lvlJc w:val="left"/>
      <w:pPr>
        <w:ind w:left="1588" w:hanging="100"/>
      </w:pPr>
      <w:rPr>
        <w:rFonts w:hint="default"/>
      </w:rPr>
    </w:lvl>
    <w:lvl w:ilvl="7" w:tplc="39AAB942">
      <w:numFmt w:val="bullet"/>
      <w:lvlText w:val="•"/>
      <w:lvlJc w:val="left"/>
      <w:pPr>
        <w:ind w:left="1826" w:hanging="100"/>
      </w:pPr>
      <w:rPr>
        <w:rFonts w:hint="default"/>
      </w:rPr>
    </w:lvl>
    <w:lvl w:ilvl="8" w:tplc="88D0FA80">
      <w:numFmt w:val="bullet"/>
      <w:lvlText w:val="•"/>
      <w:lvlJc w:val="left"/>
      <w:pPr>
        <w:ind w:left="2064" w:hanging="100"/>
      </w:pPr>
      <w:rPr>
        <w:rFonts w:hint="default"/>
      </w:rPr>
    </w:lvl>
  </w:abstractNum>
  <w:abstractNum w:abstractNumId="400" w15:restartNumberingAfterBreak="0">
    <w:nsid w:val="1964450F"/>
    <w:multiLevelType w:val="hybridMultilevel"/>
    <w:tmpl w:val="02A0F71C"/>
    <w:lvl w:ilvl="0" w:tplc="B25AC494">
      <w:numFmt w:val="bullet"/>
      <w:lvlText w:val=""/>
      <w:lvlJc w:val="left"/>
      <w:pPr>
        <w:ind w:left="156" w:hanging="100"/>
      </w:pPr>
      <w:rPr>
        <w:rFonts w:ascii="Symbol" w:eastAsia="Symbol" w:hAnsi="Symbol" w:cs="Symbol" w:hint="default"/>
        <w:color w:val="231F20"/>
        <w:w w:val="100"/>
        <w:sz w:val="14"/>
        <w:szCs w:val="14"/>
      </w:rPr>
    </w:lvl>
    <w:lvl w:ilvl="1" w:tplc="19ECFA90">
      <w:numFmt w:val="bullet"/>
      <w:lvlText w:val="•"/>
      <w:lvlJc w:val="left"/>
      <w:pPr>
        <w:ind w:left="398" w:hanging="100"/>
      </w:pPr>
      <w:rPr>
        <w:rFonts w:hint="default"/>
      </w:rPr>
    </w:lvl>
    <w:lvl w:ilvl="2" w:tplc="FCB65980">
      <w:numFmt w:val="bullet"/>
      <w:lvlText w:val="•"/>
      <w:lvlJc w:val="left"/>
      <w:pPr>
        <w:ind w:left="636" w:hanging="100"/>
      </w:pPr>
      <w:rPr>
        <w:rFonts w:hint="default"/>
      </w:rPr>
    </w:lvl>
    <w:lvl w:ilvl="3" w:tplc="0978A1BE">
      <w:numFmt w:val="bullet"/>
      <w:lvlText w:val="•"/>
      <w:lvlJc w:val="left"/>
      <w:pPr>
        <w:ind w:left="874" w:hanging="100"/>
      </w:pPr>
      <w:rPr>
        <w:rFonts w:hint="default"/>
      </w:rPr>
    </w:lvl>
    <w:lvl w:ilvl="4" w:tplc="8F6A6D0A">
      <w:numFmt w:val="bullet"/>
      <w:lvlText w:val="•"/>
      <w:lvlJc w:val="left"/>
      <w:pPr>
        <w:ind w:left="1112" w:hanging="100"/>
      </w:pPr>
      <w:rPr>
        <w:rFonts w:hint="default"/>
      </w:rPr>
    </w:lvl>
    <w:lvl w:ilvl="5" w:tplc="9B30FA12">
      <w:numFmt w:val="bullet"/>
      <w:lvlText w:val="•"/>
      <w:lvlJc w:val="left"/>
      <w:pPr>
        <w:ind w:left="1350" w:hanging="100"/>
      </w:pPr>
      <w:rPr>
        <w:rFonts w:hint="default"/>
      </w:rPr>
    </w:lvl>
    <w:lvl w:ilvl="6" w:tplc="2DFA5D5C">
      <w:numFmt w:val="bullet"/>
      <w:lvlText w:val="•"/>
      <w:lvlJc w:val="left"/>
      <w:pPr>
        <w:ind w:left="1588" w:hanging="100"/>
      </w:pPr>
      <w:rPr>
        <w:rFonts w:hint="default"/>
      </w:rPr>
    </w:lvl>
    <w:lvl w:ilvl="7" w:tplc="F0F80BF8">
      <w:numFmt w:val="bullet"/>
      <w:lvlText w:val="•"/>
      <w:lvlJc w:val="left"/>
      <w:pPr>
        <w:ind w:left="1826" w:hanging="100"/>
      </w:pPr>
      <w:rPr>
        <w:rFonts w:hint="default"/>
      </w:rPr>
    </w:lvl>
    <w:lvl w:ilvl="8" w:tplc="7082C382">
      <w:numFmt w:val="bullet"/>
      <w:lvlText w:val="•"/>
      <w:lvlJc w:val="left"/>
      <w:pPr>
        <w:ind w:left="2064" w:hanging="100"/>
      </w:pPr>
      <w:rPr>
        <w:rFonts w:hint="default"/>
      </w:rPr>
    </w:lvl>
  </w:abstractNum>
  <w:abstractNum w:abstractNumId="401" w15:restartNumberingAfterBreak="0">
    <w:nsid w:val="19807B92"/>
    <w:multiLevelType w:val="hybridMultilevel"/>
    <w:tmpl w:val="B0EA7C58"/>
    <w:lvl w:ilvl="0" w:tplc="A95CB8CC">
      <w:numFmt w:val="bullet"/>
      <w:lvlText w:val=""/>
      <w:lvlJc w:val="left"/>
      <w:pPr>
        <w:ind w:left="156" w:hanging="100"/>
      </w:pPr>
      <w:rPr>
        <w:rFonts w:ascii="Symbol" w:eastAsia="Symbol" w:hAnsi="Symbol" w:cs="Symbol" w:hint="default"/>
        <w:color w:val="231F20"/>
        <w:w w:val="100"/>
        <w:sz w:val="14"/>
        <w:szCs w:val="14"/>
      </w:rPr>
    </w:lvl>
    <w:lvl w:ilvl="1" w:tplc="EADCBFA2">
      <w:numFmt w:val="bullet"/>
      <w:lvlText w:val="•"/>
      <w:lvlJc w:val="left"/>
      <w:pPr>
        <w:ind w:left="398" w:hanging="100"/>
      </w:pPr>
      <w:rPr>
        <w:rFonts w:hint="default"/>
      </w:rPr>
    </w:lvl>
    <w:lvl w:ilvl="2" w:tplc="4934D2AA">
      <w:numFmt w:val="bullet"/>
      <w:lvlText w:val="•"/>
      <w:lvlJc w:val="left"/>
      <w:pPr>
        <w:ind w:left="636" w:hanging="100"/>
      </w:pPr>
      <w:rPr>
        <w:rFonts w:hint="default"/>
      </w:rPr>
    </w:lvl>
    <w:lvl w:ilvl="3" w:tplc="8258D990">
      <w:numFmt w:val="bullet"/>
      <w:lvlText w:val="•"/>
      <w:lvlJc w:val="left"/>
      <w:pPr>
        <w:ind w:left="874" w:hanging="100"/>
      </w:pPr>
      <w:rPr>
        <w:rFonts w:hint="default"/>
      </w:rPr>
    </w:lvl>
    <w:lvl w:ilvl="4" w:tplc="0D387386">
      <w:numFmt w:val="bullet"/>
      <w:lvlText w:val="•"/>
      <w:lvlJc w:val="left"/>
      <w:pPr>
        <w:ind w:left="1112" w:hanging="100"/>
      </w:pPr>
      <w:rPr>
        <w:rFonts w:hint="default"/>
      </w:rPr>
    </w:lvl>
    <w:lvl w:ilvl="5" w:tplc="6098FC3E">
      <w:numFmt w:val="bullet"/>
      <w:lvlText w:val="•"/>
      <w:lvlJc w:val="left"/>
      <w:pPr>
        <w:ind w:left="1350" w:hanging="100"/>
      </w:pPr>
      <w:rPr>
        <w:rFonts w:hint="default"/>
      </w:rPr>
    </w:lvl>
    <w:lvl w:ilvl="6" w:tplc="68CAA738">
      <w:numFmt w:val="bullet"/>
      <w:lvlText w:val="•"/>
      <w:lvlJc w:val="left"/>
      <w:pPr>
        <w:ind w:left="1588" w:hanging="100"/>
      </w:pPr>
      <w:rPr>
        <w:rFonts w:hint="default"/>
      </w:rPr>
    </w:lvl>
    <w:lvl w:ilvl="7" w:tplc="796A780E">
      <w:numFmt w:val="bullet"/>
      <w:lvlText w:val="•"/>
      <w:lvlJc w:val="left"/>
      <w:pPr>
        <w:ind w:left="1826" w:hanging="100"/>
      </w:pPr>
      <w:rPr>
        <w:rFonts w:hint="default"/>
      </w:rPr>
    </w:lvl>
    <w:lvl w:ilvl="8" w:tplc="0F441544">
      <w:numFmt w:val="bullet"/>
      <w:lvlText w:val="•"/>
      <w:lvlJc w:val="left"/>
      <w:pPr>
        <w:ind w:left="2064" w:hanging="100"/>
      </w:pPr>
      <w:rPr>
        <w:rFonts w:hint="default"/>
      </w:rPr>
    </w:lvl>
  </w:abstractNum>
  <w:abstractNum w:abstractNumId="402" w15:restartNumberingAfterBreak="0">
    <w:nsid w:val="19812CF0"/>
    <w:multiLevelType w:val="hybridMultilevel"/>
    <w:tmpl w:val="74E4EAA4"/>
    <w:lvl w:ilvl="0" w:tplc="20E44ACC">
      <w:numFmt w:val="bullet"/>
      <w:lvlText w:val=""/>
      <w:lvlJc w:val="left"/>
      <w:pPr>
        <w:ind w:left="156" w:hanging="100"/>
      </w:pPr>
      <w:rPr>
        <w:rFonts w:ascii="Symbol" w:eastAsia="Symbol" w:hAnsi="Symbol" w:cs="Symbol" w:hint="default"/>
        <w:color w:val="231F20"/>
        <w:w w:val="100"/>
        <w:sz w:val="14"/>
        <w:szCs w:val="14"/>
      </w:rPr>
    </w:lvl>
    <w:lvl w:ilvl="1" w:tplc="021C6376">
      <w:numFmt w:val="bullet"/>
      <w:lvlText w:val="•"/>
      <w:lvlJc w:val="left"/>
      <w:pPr>
        <w:ind w:left="398" w:hanging="100"/>
      </w:pPr>
      <w:rPr>
        <w:rFonts w:hint="default"/>
      </w:rPr>
    </w:lvl>
    <w:lvl w:ilvl="2" w:tplc="3036D1E0">
      <w:numFmt w:val="bullet"/>
      <w:lvlText w:val="•"/>
      <w:lvlJc w:val="left"/>
      <w:pPr>
        <w:ind w:left="636" w:hanging="100"/>
      </w:pPr>
      <w:rPr>
        <w:rFonts w:hint="default"/>
      </w:rPr>
    </w:lvl>
    <w:lvl w:ilvl="3" w:tplc="34BA4444">
      <w:numFmt w:val="bullet"/>
      <w:lvlText w:val="•"/>
      <w:lvlJc w:val="left"/>
      <w:pPr>
        <w:ind w:left="874" w:hanging="100"/>
      </w:pPr>
      <w:rPr>
        <w:rFonts w:hint="default"/>
      </w:rPr>
    </w:lvl>
    <w:lvl w:ilvl="4" w:tplc="4F34EDF8">
      <w:numFmt w:val="bullet"/>
      <w:lvlText w:val="•"/>
      <w:lvlJc w:val="left"/>
      <w:pPr>
        <w:ind w:left="1112" w:hanging="100"/>
      </w:pPr>
      <w:rPr>
        <w:rFonts w:hint="default"/>
      </w:rPr>
    </w:lvl>
    <w:lvl w:ilvl="5" w:tplc="DD885CBE">
      <w:numFmt w:val="bullet"/>
      <w:lvlText w:val="•"/>
      <w:lvlJc w:val="left"/>
      <w:pPr>
        <w:ind w:left="1350" w:hanging="100"/>
      </w:pPr>
      <w:rPr>
        <w:rFonts w:hint="default"/>
      </w:rPr>
    </w:lvl>
    <w:lvl w:ilvl="6" w:tplc="5D24A56C">
      <w:numFmt w:val="bullet"/>
      <w:lvlText w:val="•"/>
      <w:lvlJc w:val="left"/>
      <w:pPr>
        <w:ind w:left="1588" w:hanging="100"/>
      </w:pPr>
      <w:rPr>
        <w:rFonts w:hint="default"/>
      </w:rPr>
    </w:lvl>
    <w:lvl w:ilvl="7" w:tplc="C83C2014">
      <w:numFmt w:val="bullet"/>
      <w:lvlText w:val="•"/>
      <w:lvlJc w:val="left"/>
      <w:pPr>
        <w:ind w:left="1826" w:hanging="100"/>
      </w:pPr>
      <w:rPr>
        <w:rFonts w:hint="default"/>
      </w:rPr>
    </w:lvl>
    <w:lvl w:ilvl="8" w:tplc="FF0C085A">
      <w:numFmt w:val="bullet"/>
      <w:lvlText w:val="•"/>
      <w:lvlJc w:val="left"/>
      <w:pPr>
        <w:ind w:left="2064" w:hanging="100"/>
      </w:pPr>
      <w:rPr>
        <w:rFonts w:hint="default"/>
      </w:rPr>
    </w:lvl>
  </w:abstractNum>
  <w:abstractNum w:abstractNumId="403" w15:restartNumberingAfterBreak="0">
    <w:nsid w:val="19A8087F"/>
    <w:multiLevelType w:val="hybridMultilevel"/>
    <w:tmpl w:val="3FB80004"/>
    <w:lvl w:ilvl="0" w:tplc="CFE4E410">
      <w:numFmt w:val="bullet"/>
      <w:lvlText w:val=""/>
      <w:lvlJc w:val="left"/>
      <w:pPr>
        <w:ind w:left="156" w:hanging="100"/>
      </w:pPr>
      <w:rPr>
        <w:rFonts w:ascii="Symbol" w:eastAsia="Symbol" w:hAnsi="Symbol" w:cs="Symbol" w:hint="default"/>
        <w:color w:val="231F20"/>
        <w:w w:val="100"/>
        <w:sz w:val="14"/>
        <w:szCs w:val="14"/>
      </w:rPr>
    </w:lvl>
    <w:lvl w:ilvl="1" w:tplc="EA123820">
      <w:numFmt w:val="bullet"/>
      <w:lvlText w:val="•"/>
      <w:lvlJc w:val="left"/>
      <w:pPr>
        <w:ind w:left="301" w:hanging="100"/>
      </w:pPr>
      <w:rPr>
        <w:rFonts w:hint="default"/>
      </w:rPr>
    </w:lvl>
    <w:lvl w:ilvl="2" w:tplc="9998F294">
      <w:numFmt w:val="bullet"/>
      <w:lvlText w:val="•"/>
      <w:lvlJc w:val="left"/>
      <w:pPr>
        <w:ind w:left="443" w:hanging="100"/>
      </w:pPr>
      <w:rPr>
        <w:rFonts w:hint="default"/>
      </w:rPr>
    </w:lvl>
    <w:lvl w:ilvl="3" w:tplc="BC020A0A">
      <w:numFmt w:val="bullet"/>
      <w:lvlText w:val="•"/>
      <w:lvlJc w:val="left"/>
      <w:pPr>
        <w:ind w:left="585" w:hanging="100"/>
      </w:pPr>
      <w:rPr>
        <w:rFonts w:hint="default"/>
      </w:rPr>
    </w:lvl>
    <w:lvl w:ilvl="4" w:tplc="A08C967E">
      <w:numFmt w:val="bullet"/>
      <w:lvlText w:val="•"/>
      <w:lvlJc w:val="left"/>
      <w:pPr>
        <w:ind w:left="726" w:hanging="100"/>
      </w:pPr>
      <w:rPr>
        <w:rFonts w:hint="default"/>
      </w:rPr>
    </w:lvl>
    <w:lvl w:ilvl="5" w:tplc="C78839C4">
      <w:numFmt w:val="bullet"/>
      <w:lvlText w:val="•"/>
      <w:lvlJc w:val="left"/>
      <w:pPr>
        <w:ind w:left="868" w:hanging="100"/>
      </w:pPr>
      <w:rPr>
        <w:rFonts w:hint="default"/>
      </w:rPr>
    </w:lvl>
    <w:lvl w:ilvl="6" w:tplc="8B68AB48">
      <w:numFmt w:val="bullet"/>
      <w:lvlText w:val="•"/>
      <w:lvlJc w:val="left"/>
      <w:pPr>
        <w:ind w:left="1010" w:hanging="100"/>
      </w:pPr>
      <w:rPr>
        <w:rFonts w:hint="default"/>
      </w:rPr>
    </w:lvl>
    <w:lvl w:ilvl="7" w:tplc="73AACFAE">
      <w:numFmt w:val="bullet"/>
      <w:lvlText w:val="•"/>
      <w:lvlJc w:val="left"/>
      <w:pPr>
        <w:ind w:left="1151" w:hanging="100"/>
      </w:pPr>
      <w:rPr>
        <w:rFonts w:hint="default"/>
      </w:rPr>
    </w:lvl>
    <w:lvl w:ilvl="8" w:tplc="CFA6A16C">
      <w:numFmt w:val="bullet"/>
      <w:lvlText w:val="•"/>
      <w:lvlJc w:val="left"/>
      <w:pPr>
        <w:ind w:left="1293" w:hanging="100"/>
      </w:pPr>
      <w:rPr>
        <w:rFonts w:hint="default"/>
      </w:rPr>
    </w:lvl>
  </w:abstractNum>
  <w:abstractNum w:abstractNumId="404" w15:restartNumberingAfterBreak="0">
    <w:nsid w:val="19D10AE1"/>
    <w:multiLevelType w:val="hybridMultilevel"/>
    <w:tmpl w:val="3AE0257A"/>
    <w:lvl w:ilvl="0" w:tplc="1B389AF0">
      <w:numFmt w:val="bullet"/>
      <w:lvlText w:val=""/>
      <w:lvlJc w:val="left"/>
      <w:pPr>
        <w:ind w:left="156" w:hanging="100"/>
      </w:pPr>
      <w:rPr>
        <w:rFonts w:ascii="Symbol" w:eastAsia="Symbol" w:hAnsi="Symbol" w:cs="Symbol" w:hint="default"/>
        <w:color w:val="231F20"/>
        <w:w w:val="100"/>
        <w:sz w:val="14"/>
        <w:szCs w:val="14"/>
      </w:rPr>
    </w:lvl>
    <w:lvl w:ilvl="1" w:tplc="549659B0">
      <w:numFmt w:val="bullet"/>
      <w:lvlText w:val="•"/>
      <w:lvlJc w:val="left"/>
      <w:pPr>
        <w:ind w:left="301" w:hanging="100"/>
      </w:pPr>
      <w:rPr>
        <w:rFonts w:hint="default"/>
      </w:rPr>
    </w:lvl>
    <w:lvl w:ilvl="2" w:tplc="311A361A">
      <w:numFmt w:val="bullet"/>
      <w:lvlText w:val="•"/>
      <w:lvlJc w:val="left"/>
      <w:pPr>
        <w:ind w:left="443" w:hanging="100"/>
      </w:pPr>
      <w:rPr>
        <w:rFonts w:hint="default"/>
      </w:rPr>
    </w:lvl>
    <w:lvl w:ilvl="3" w:tplc="F4667644">
      <w:numFmt w:val="bullet"/>
      <w:lvlText w:val="•"/>
      <w:lvlJc w:val="left"/>
      <w:pPr>
        <w:ind w:left="585" w:hanging="100"/>
      </w:pPr>
      <w:rPr>
        <w:rFonts w:hint="default"/>
      </w:rPr>
    </w:lvl>
    <w:lvl w:ilvl="4" w:tplc="A0846402">
      <w:numFmt w:val="bullet"/>
      <w:lvlText w:val="•"/>
      <w:lvlJc w:val="left"/>
      <w:pPr>
        <w:ind w:left="726" w:hanging="100"/>
      </w:pPr>
      <w:rPr>
        <w:rFonts w:hint="default"/>
      </w:rPr>
    </w:lvl>
    <w:lvl w:ilvl="5" w:tplc="03566416">
      <w:numFmt w:val="bullet"/>
      <w:lvlText w:val="•"/>
      <w:lvlJc w:val="left"/>
      <w:pPr>
        <w:ind w:left="868" w:hanging="100"/>
      </w:pPr>
      <w:rPr>
        <w:rFonts w:hint="default"/>
      </w:rPr>
    </w:lvl>
    <w:lvl w:ilvl="6" w:tplc="326CC0BA">
      <w:numFmt w:val="bullet"/>
      <w:lvlText w:val="•"/>
      <w:lvlJc w:val="left"/>
      <w:pPr>
        <w:ind w:left="1010" w:hanging="100"/>
      </w:pPr>
      <w:rPr>
        <w:rFonts w:hint="default"/>
      </w:rPr>
    </w:lvl>
    <w:lvl w:ilvl="7" w:tplc="37CA962E">
      <w:numFmt w:val="bullet"/>
      <w:lvlText w:val="•"/>
      <w:lvlJc w:val="left"/>
      <w:pPr>
        <w:ind w:left="1151" w:hanging="100"/>
      </w:pPr>
      <w:rPr>
        <w:rFonts w:hint="default"/>
      </w:rPr>
    </w:lvl>
    <w:lvl w:ilvl="8" w:tplc="0BDC3970">
      <w:numFmt w:val="bullet"/>
      <w:lvlText w:val="•"/>
      <w:lvlJc w:val="left"/>
      <w:pPr>
        <w:ind w:left="1293" w:hanging="100"/>
      </w:pPr>
      <w:rPr>
        <w:rFonts w:hint="default"/>
      </w:rPr>
    </w:lvl>
  </w:abstractNum>
  <w:abstractNum w:abstractNumId="405" w15:restartNumberingAfterBreak="0">
    <w:nsid w:val="19DF4574"/>
    <w:multiLevelType w:val="hybridMultilevel"/>
    <w:tmpl w:val="6CF8D6C6"/>
    <w:lvl w:ilvl="0" w:tplc="28768284">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80B29736">
      <w:numFmt w:val="bullet"/>
      <w:lvlText w:val="•"/>
      <w:lvlJc w:val="left"/>
      <w:pPr>
        <w:ind w:left="408" w:hanging="84"/>
      </w:pPr>
      <w:rPr>
        <w:rFonts w:hint="default"/>
      </w:rPr>
    </w:lvl>
    <w:lvl w:ilvl="2" w:tplc="62885478">
      <w:numFmt w:val="bullet"/>
      <w:lvlText w:val="•"/>
      <w:lvlJc w:val="left"/>
      <w:pPr>
        <w:ind w:left="676" w:hanging="84"/>
      </w:pPr>
      <w:rPr>
        <w:rFonts w:hint="default"/>
      </w:rPr>
    </w:lvl>
    <w:lvl w:ilvl="3" w:tplc="F5D23CA4">
      <w:numFmt w:val="bullet"/>
      <w:lvlText w:val="•"/>
      <w:lvlJc w:val="left"/>
      <w:pPr>
        <w:ind w:left="945" w:hanging="84"/>
      </w:pPr>
      <w:rPr>
        <w:rFonts w:hint="default"/>
      </w:rPr>
    </w:lvl>
    <w:lvl w:ilvl="4" w:tplc="C3004E2E">
      <w:numFmt w:val="bullet"/>
      <w:lvlText w:val="•"/>
      <w:lvlJc w:val="left"/>
      <w:pPr>
        <w:ind w:left="1213" w:hanging="84"/>
      </w:pPr>
      <w:rPr>
        <w:rFonts w:hint="default"/>
      </w:rPr>
    </w:lvl>
    <w:lvl w:ilvl="5" w:tplc="8F8091A2">
      <w:numFmt w:val="bullet"/>
      <w:lvlText w:val="•"/>
      <w:lvlJc w:val="left"/>
      <w:pPr>
        <w:ind w:left="1482" w:hanging="84"/>
      </w:pPr>
      <w:rPr>
        <w:rFonts w:hint="default"/>
      </w:rPr>
    </w:lvl>
    <w:lvl w:ilvl="6" w:tplc="7E2A9F98">
      <w:numFmt w:val="bullet"/>
      <w:lvlText w:val="•"/>
      <w:lvlJc w:val="left"/>
      <w:pPr>
        <w:ind w:left="1750" w:hanging="84"/>
      </w:pPr>
      <w:rPr>
        <w:rFonts w:hint="default"/>
      </w:rPr>
    </w:lvl>
    <w:lvl w:ilvl="7" w:tplc="29C2652E">
      <w:numFmt w:val="bullet"/>
      <w:lvlText w:val="•"/>
      <w:lvlJc w:val="left"/>
      <w:pPr>
        <w:ind w:left="2018" w:hanging="84"/>
      </w:pPr>
      <w:rPr>
        <w:rFonts w:hint="default"/>
      </w:rPr>
    </w:lvl>
    <w:lvl w:ilvl="8" w:tplc="31C84B2E">
      <w:numFmt w:val="bullet"/>
      <w:lvlText w:val="•"/>
      <w:lvlJc w:val="left"/>
      <w:pPr>
        <w:ind w:left="2287" w:hanging="84"/>
      </w:pPr>
      <w:rPr>
        <w:rFonts w:hint="default"/>
      </w:rPr>
    </w:lvl>
  </w:abstractNum>
  <w:abstractNum w:abstractNumId="406" w15:restartNumberingAfterBreak="0">
    <w:nsid w:val="19E10D46"/>
    <w:multiLevelType w:val="hybridMultilevel"/>
    <w:tmpl w:val="F04EA41E"/>
    <w:lvl w:ilvl="0" w:tplc="88103554">
      <w:numFmt w:val="bullet"/>
      <w:lvlText w:val=""/>
      <w:lvlJc w:val="left"/>
      <w:pPr>
        <w:ind w:left="156" w:hanging="100"/>
      </w:pPr>
      <w:rPr>
        <w:rFonts w:ascii="Symbol" w:eastAsia="Symbol" w:hAnsi="Symbol" w:cs="Symbol" w:hint="default"/>
        <w:color w:val="231F20"/>
        <w:w w:val="100"/>
        <w:sz w:val="14"/>
        <w:szCs w:val="14"/>
      </w:rPr>
    </w:lvl>
    <w:lvl w:ilvl="1" w:tplc="487632D8">
      <w:numFmt w:val="bullet"/>
      <w:lvlText w:val="•"/>
      <w:lvlJc w:val="left"/>
      <w:pPr>
        <w:ind w:left="426" w:hanging="100"/>
      </w:pPr>
      <w:rPr>
        <w:rFonts w:hint="default"/>
      </w:rPr>
    </w:lvl>
    <w:lvl w:ilvl="2" w:tplc="FD042864">
      <w:numFmt w:val="bullet"/>
      <w:lvlText w:val="•"/>
      <w:lvlJc w:val="left"/>
      <w:pPr>
        <w:ind w:left="692" w:hanging="100"/>
      </w:pPr>
      <w:rPr>
        <w:rFonts w:hint="default"/>
      </w:rPr>
    </w:lvl>
    <w:lvl w:ilvl="3" w:tplc="CB088748">
      <w:numFmt w:val="bullet"/>
      <w:lvlText w:val="•"/>
      <w:lvlJc w:val="left"/>
      <w:pPr>
        <w:ind w:left="959" w:hanging="100"/>
      </w:pPr>
      <w:rPr>
        <w:rFonts w:hint="default"/>
      </w:rPr>
    </w:lvl>
    <w:lvl w:ilvl="4" w:tplc="6994DD7E">
      <w:numFmt w:val="bullet"/>
      <w:lvlText w:val="•"/>
      <w:lvlJc w:val="left"/>
      <w:pPr>
        <w:ind w:left="1225" w:hanging="100"/>
      </w:pPr>
      <w:rPr>
        <w:rFonts w:hint="default"/>
      </w:rPr>
    </w:lvl>
    <w:lvl w:ilvl="5" w:tplc="AEF2E992">
      <w:numFmt w:val="bullet"/>
      <w:lvlText w:val="•"/>
      <w:lvlJc w:val="left"/>
      <w:pPr>
        <w:ind w:left="1492" w:hanging="100"/>
      </w:pPr>
      <w:rPr>
        <w:rFonts w:hint="default"/>
      </w:rPr>
    </w:lvl>
    <w:lvl w:ilvl="6" w:tplc="2B2A304E">
      <w:numFmt w:val="bullet"/>
      <w:lvlText w:val="•"/>
      <w:lvlJc w:val="left"/>
      <w:pPr>
        <w:ind w:left="1758" w:hanging="100"/>
      </w:pPr>
      <w:rPr>
        <w:rFonts w:hint="default"/>
      </w:rPr>
    </w:lvl>
    <w:lvl w:ilvl="7" w:tplc="6A666D1E">
      <w:numFmt w:val="bullet"/>
      <w:lvlText w:val="•"/>
      <w:lvlJc w:val="left"/>
      <w:pPr>
        <w:ind w:left="2024" w:hanging="100"/>
      </w:pPr>
      <w:rPr>
        <w:rFonts w:hint="default"/>
      </w:rPr>
    </w:lvl>
    <w:lvl w:ilvl="8" w:tplc="925C6CEC">
      <w:numFmt w:val="bullet"/>
      <w:lvlText w:val="•"/>
      <w:lvlJc w:val="left"/>
      <w:pPr>
        <w:ind w:left="2291" w:hanging="100"/>
      </w:pPr>
      <w:rPr>
        <w:rFonts w:hint="default"/>
      </w:rPr>
    </w:lvl>
  </w:abstractNum>
  <w:abstractNum w:abstractNumId="407" w15:restartNumberingAfterBreak="0">
    <w:nsid w:val="19E77104"/>
    <w:multiLevelType w:val="hybridMultilevel"/>
    <w:tmpl w:val="F56CDC04"/>
    <w:lvl w:ilvl="0" w:tplc="0960267A">
      <w:numFmt w:val="bullet"/>
      <w:lvlText w:val=""/>
      <w:lvlJc w:val="left"/>
      <w:pPr>
        <w:ind w:left="157" w:hanging="100"/>
      </w:pPr>
      <w:rPr>
        <w:rFonts w:ascii="Symbol" w:eastAsia="Symbol" w:hAnsi="Symbol" w:cs="Symbol" w:hint="default"/>
        <w:color w:val="231F20"/>
        <w:w w:val="100"/>
        <w:sz w:val="14"/>
        <w:szCs w:val="14"/>
      </w:rPr>
    </w:lvl>
    <w:lvl w:ilvl="1" w:tplc="79E6F74A">
      <w:numFmt w:val="bullet"/>
      <w:lvlText w:val="•"/>
      <w:lvlJc w:val="left"/>
      <w:pPr>
        <w:ind w:left="369" w:hanging="100"/>
      </w:pPr>
      <w:rPr>
        <w:rFonts w:hint="default"/>
      </w:rPr>
    </w:lvl>
    <w:lvl w:ilvl="2" w:tplc="59B4B002">
      <w:numFmt w:val="bullet"/>
      <w:lvlText w:val="•"/>
      <w:lvlJc w:val="left"/>
      <w:pPr>
        <w:ind w:left="579" w:hanging="100"/>
      </w:pPr>
      <w:rPr>
        <w:rFonts w:hint="default"/>
      </w:rPr>
    </w:lvl>
    <w:lvl w:ilvl="3" w:tplc="B3EAB608">
      <w:numFmt w:val="bullet"/>
      <w:lvlText w:val="•"/>
      <w:lvlJc w:val="left"/>
      <w:pPr>
        <w:ind w:left="789" w:hanging="100"/>
      </w:pPr>
      <w:rPr>
        <w:rFonts w:hint="default"/>
      </w:rPr>
    </w:lvl>
    <w:lvl w:ilvl="4" w:tplc="044ADC34">
      <w:numFmt w:val="bullet"/>
      <w:lvlText w:val="•"/>
      <w:lvlJc w:val="left"/>
      <w:pPr>
        <w:ind w:left="998" w:hanging="100"/>
      </w:pPr>
      <w:rPr>
        <w:rFonts w:hint="default"/>
      </w:rPr>
    </w:lvl>
    <w:lvl w:ilvl="5" w:tplc="51D8261E">
      <w:numFmt w:val="bullet"/>
      <w:lvlText w:val="•"/>
      <w:lvlJc w:val="left"/>
      <w:pPr>
        <w:ind w:left="1208" w:hanging="100"/>
      </w:pPr>
      <w:rPr>
        <w:rFonts w:hint="default"/>
      </w:rPr>
    </w:lvl>
    <w:lvl w:ilvl="6" w:tplc="D9DC5F4A">
      <w:numFmt w:val="bullet"/>
      <w:lvlText w:val="•"/>
      <w:lvlJc w:val="left"/>
      <w:pPr>
        <w:ind w:left="1418" w:hanging="100"/>
      </w:pPr>
      <w:rPr>
        <w:rFonts w:hint="default"/>
      </w:rPr>
    </w:lvl>
    <w:lvl w:ilvl="7" w:tplc="336E7BE8">
      <w:numFmt w:val="bullet"/>
      <w:lvlText w:val="•"/>
      <w:lvlJc w:val="left"/>
      <w:pPr>
        <w:ind w:left="1627" w:hanging="100"/>
      </w:pPr>
      <w:rPr>
        <w:rFonts w:hint="default"/>
      </w:rPr>
    </w:lvl>
    <w:lvl w:ilvl="8" w:tplc="EF8EA0BA">
      <w:numFmt w:val="bullet"/>
      <w:lvlText w:val="•"/>
      <w:lvlJc w:val="left"/>
      <w:pPr>
        <w:ind w:left="1837" w:hanging="100"/>
      </w:pPr>
      <w:rPr>
        <w:rFonts w:hint="default"/>
      </w:rPr>
    </w:lvl>
  </w:abstractNum>
  <w:abstractNum w:abstractNumId="408" w15:restartNumberingAfterBreak="0">
    <w:nsid w:val="19ED4B1F"/>
    <w:multiLevelType w:val="hybridMultilevel"/>
    <w:tmpl w:val="516AE91A"/>
    <w:lvl w:ilvl="0" w:tplc="209EBF0C">
      <w:numFmt w:val="bullet"/>
      <w:lvlText w:val=""/>
      <w:lvlJc w:val="left"/>
      <w:pPr>
        <w:ind w:left="156" w:hanging="100"/>
      </w:pPr>
      <w:rPr>
        <w:rFonts w:ascii="Symbol" w:eastAsia="Symbol" w:hAnsi="Symbol" w:cs="Symbol" w:hint="default"/>
        <w:color w:val="231F20"/>
        <w:w w:val="100"/>
        <w:sz w:val="14"/>
        <w:szCs w:val="14"/>
      </w:rPr>
    </w:lvl>
    <w:lvl w:ilvl="1" w:tplc="E892DBF6">
      <w:numFmt w:val="bullet"/>
      <w:lvlText w:val="•"/>
      <w:lvlJc w:val="left"/>
      <w:pPr>
        <w:ind w:left="301" w:hanging="100"/>
      </w:pPr>
      <w:rPr>
        <w:rFonts w:hint="default"/>
      </w:rPr>
    </w:lvl>
    <w:lvl w:ilvl="2" w:tplc="04661460">
      <w:numFmt w:val="bullet"/>
      <w:lvlText w:val="•"/>
      <w:lvlJc w:val="left"/>
      <w:pPr>
        <w:ind w:left="443" w:hanging="100"/>
      </w:pPr>
      <w:rPr>
        <w:rFonts w:hint="default"/>
      </w:rPr>
    </w:lvl>
    <w:lvl w:ilvl="3" w:tplc="F14464E8">
      <w:numFmt w:val="bullet"/>
      <w:lvlText w:val="•"/>
      <w:lvlJc w:val="left"/>
      <w:pPr>
        <w:ind w:left="585" w:hanging="100"/>
      </w:pPr>
      <w:rPr>
        <w:rFonts w:hint="default"/>
      </w:rPr>
    </w:lvl>
    <w:lvl w:ilvl="4" w:tplc="7E388C10">
      <w:numFmt w:val="bullet"/>
      <w:lvlText w:val="•"/>
      <w:lvlJc w:val="left"/>
      <w:pPr>
        <w:ind w:left="726" w:hanging="100"/>
      </w:pPr>
      <w:rPr>
        <w:rFonts w:hint="default"/>
      </w:rPr>
    </w:lvl>
    <w:lvl w:ilvl="5" w:tplc="E06AF794">
      <w:numFmt w:val="bullet"/>
      <w:lvlText w:val="•"/>
      <w:lvlJc w:val="left"/>
      <w:pPr>
        <w:ind w:left="868" w:hanging="100"/>
      </w:pPr>
      <w:rPr>
        <w:rFonts w:hint="default"/>
      </w:rPr>
    </w:lvl>
    <w:lvl w:ilvl="6" w:tplc="99167F9E">
      <w:numFmt w:val="bullet"/>
      <w:lvlText w:val="•"/>
      <w:lvlJc w:val="left"/>
      <w:pPr>
        <w:ind w:left="1010" w:hanging="100"/>
      </w:pPr>
      <w:rPr>
        <w:rFonts w:hint="default"/>
      </w:rPr>
    </w:lvl>
    <w:lvl w:ilvl="7" w:tplc="698A6C78">
      <w:numFmt w:val="bullet"/>
      <w:lvlText w:val="•"/>
      <w:lvlJc w:val="left"/>
      <w:pPr>
        <w:ind w:left="1151" w:hanging="100"/>
      </w:pPr>
      <w:rPr>
        <w:rFonts w:hint="default"/>
      </w:rPr>
    </w:lvl>
    <w:lvl w:ilvl="8" w:tplc="98E03CC4">
      <w:numFmt w:val="bullet"/>
      <w:lvlText w:val="•"/>
      <w:lvlJc w:val="left"/>
      <w:pPr>
        <w:ind w:left="1293" w:hanging="100"/>
      </w:pPr>
      <w:rPr>
        <w:rFonts w:hint="default"/>
      </w:rPr>
    </w:lvl>
  </w:abstractNum>
  <w:abstractNum w:abstractNumId="409" w15:restartNumberingAfterBreak="0">
    <w:nsid w:val="19FB6077"/>
    <w:multiLevelType w:val="hybridMultilevel"/>
    <w:tmpl w:val="FA56696A"/>
    <w:lvl w:ilvl="0" w:tplc="6CC2D46A">
      <w:numFmt w:val="bullet"/>
      <w:lvlText w:val=""/>
      <w:lvlJc w:val="left"/>
      <w:pPr>
        <w:ind w:left="156" w:hanging="100"/>
      </w:pPr>
      <w:rPr>
        <w:rFonts w:ascii="Symbol" w:eastAsia="Symbol" w:hAnsi="Symbol" w:cs="Symbol" w:hint="default"/>
        <w:color w:val="231F20"/>
        <w:w w:val="100"/>
        <w:sz w:val="14"/>
        <w:szCs w:val="14"/>
      </w:rPr>
    </w:lvl>
    <w:lvl w:ilvl="1" w:tplc="8AB49004">
      <w:numFmt w:val="bullet"/>
      <w:lvlText w:val="•"/>
      <w:lvlJc w:val="left"/>
      <w:pPr>
        <w:ind w:left="301" w:hanging="100"/>
      </w:pPr>
      <w:rPr>
        <w:rFonts w:hint="default"/>
      </w:rPr>
    </w:lvl>
    <w:lvl w:ilvl="2" w:tplc="7DF0CDD6">
      <w:numFmt w:val="bullet"/>
      <w:lvlText w:val="•"/>
      <w:lvlJc w:val="left"/>
      <w:pPr>
        <w:ind w:left="443" w:hanging="100"/>
      </w:pPr>
      <w:rPr>
        <w:rFonts w:hint="default"/>
      </w:rPr>
    </w:lvl>
    <w:lvl w:ilvl="3" w:tplc="164A96DA">
      <w:numFmt w:val="bullet"/>
      <w:lvlText w:val="•"/>
      <w:lvlJc w:val="left"/>
      <w:pPr>
        <w:ind w:left="585" w:hanging="100"/>
      </w:pPr>
      <w:rPr>
        <w:rFonts w:hint="default"/>
      </w:rPr>
    </w:lvl>
    <w:lvl w:ilvl="4" w:tplc="A7D2904E">
      <w:numFmt w:val="bullet"/>
      <w:lvlText w:val="•"/>
      <w:lvlJc w:val="left"/>
      <w:pPr>
        <w:ind w:left="726" w:hanging="100"/>
      </w:pPr>
      <w:rPr>
        <w:rFonts w:hint="default"/>
      </w:rPr>
    </w:lvl>
    <w:lvl w:ilvl="5" w:tplc="8050DDBA">
      <w:numFmt w:val="bullet"/>
      <w:lvlText w:val="•"/>
      <w:lvlJc w:val="left"/>
      <w:pPr>
        <w:ind w:left="868" w:hanging="100"/>
      </w:pPr>
      <w:rPr>
        <w:rFonts w:hint="default"/>
      </w:rPr>
    </w:lvl>
    <w:lvl w:ilvl="6" w:tplc="C994D13A">
      <w:numFmt w:val="bullet"/>
      <w:lvlText w:val="•"/>
      <w:lvlJc w:val="left"/>
      <w:pPr>
        <w:ind w:left="1010" w:hanging="100"/>
      </w:pPr>
      <w:rPr>
        <w:rFonts w:hint="default"/>
      </w:rPr>
    </w:lvl>
    <w:lvl w:ilvl="7" w:tplc="33BACC10">
      <w:numFmt w:val="bullet"/>
      <w:lvlText w:val="•"/>
      <w:lvlJc w:val="left"/>
      <w:pPr>
        <w:ind w:left="1151" w:hanging="100"/>
      </w:pPr>
      <w:rPr>
        <w:rFonts w:hint="default"/>
      </w:rPr>
    </w:lvl>
    <w:lvl w:ilvl="8" w:tplc="2CC038D4">
      <w:numFmt w:val="bullet"/>
      <w:lvlText w:val="•"/>
      <w:lvlJc w:val="left"/>
      <w:pPr>
        <w:ind w:left="1293" w:hanging="100"/>
      </w:pPr>
      <w:rPr>
        <w:rFonts w:hint="default"/>
      </w:rPr>
    </w:lvl>
  </w:abstractNum>
  <w:abstractNum w:abstractNumId="410" w15:restartNumberingAfterBreak="0">
    <w:nsid w:val="19FB67EA"/>
    <w:multiLevelType w:val="hybridMultilevel"/>
    <w:tmpl w:val="9440DF62"/>
    <w:lvl w:ilvl="0" w:tplc="727463E2">
      <w:numFmt w:val="bullet"/>
      <w:lvlText w:val=""/>
      <w:lvlJc w:val="left"/>
      <w:pPr>
        <w:ind w:left="156" w:hanging="100"/>
      </w:pPr>
      <w:rPr>
        <w:rFonts w:ascii="Symbol" w:eastAsia="Symbol" w:hAnsi="Symbol" w:cs="Symbol" w:hint="default"/>
        <w:color w:val="231F20"/>
        <w:w w:val="100"/>
        <w:sz w:val="14"/>
        <w:szCs w:val="14"/>
      </w:rPr>
    </w:lvl>
    <w:lvl w:ilvl="1" w:tplc="6E5A13A8">
      <w:numFmt w:val="bullet"/>
      <w:lvlText w:val="•"/>
      <w:lvlJc w:val="left"/>
      <w:pPr>
        <w:ind w:left="398" w:hanging="100"/>
      </w:pPr>
      <w:rPr>
        <w:rFonts w:hint="default"/>
      </w:rPr>
    </w:lvl>
    <w:lvl w:ilvl="2" w:tplc="81EE2C50">
      <w:numFmt w:val="bullet"/>
      <w:lvlText w:val="•"/>
      <w:lvlJc w:val="left"/>
      <w:pPr>
        <w:ind w:left="636" w:hanging="100"/>
      </w:pPr>
      <w:rPr>
        <w:rFonts w:hint="default"/>
      </w:rPr>
    </w:lvl>
    <w:lvl w:ilvl="3" w:tplc="771C05D6">
      <w:numFmt w:val="bullet"/>
      <w:lvlText w:val="•"/>
      <w:lvlJc w:val="left"/>
      <w:pPr>
        <w:ind w:left="874" w:hanging="100"/>
      </w:pPr>
      <w:rPr>
        <w:rFonts w:hint="default"/>
      </w:rPr>
    </w:lvl>
    <w:lvl w:ilvl="4" w:tplc="3224F608">
      <w:numFmt w:val="bullet"/>
      <w:lvlText w:val="•"/>
      <w:lvlJc w:val="left"/>
      <w:pPr>
        <w:ind w:left="1112" w:hanging="100"/>
      </w:pPr>
      <w:rPr>
        <w:rFonts w:hint="default"/>
      </w:rPr>
    </w:lvl>
    <w:lvl w:ilvl="5" w:tplc="1CA08C66">
      <w:numFmt w:val="bullet"/>
      <w:lvlText w:val="•"/>
      <w:lvlJc w:val="left"/>
      <w:pPr>
        <w:ind w:left="1350" w:hanging="100"/>
      </w:pPr>
      <w:rPr>
        <w:rFonts w:hint="default"/>
      </w:rPr>
    </w:lvl>
    <w:lvl w:ilvl="6" w:tplc="AF4A51C2">
      <w:numFmt w:val="bullet"/>
      <w:lvlText w:val="•"/>
      <w:lvlJc w:val="left"/>
      <w:pPr>
        <w:ind w:left="1588" w:hanging="100"/>
      </w:pPr>
      <w:rPr>
        <w:rFonts w:hint="default"/>
      </w:rPr>
    </w:lvl>
    <w:lvl w:ilvl="7" w:tplc="EA1CF162">
      <w:numFmt w:val="bullet"/>
      <w:lvlText w:val="•"/>
      <w:lvlJc w:val="left"/>
      <w:pPr>
        <w:ind w:left="1826" w:hanging="100"/>
      </w:pPr>
      <w:rPr>
        <w:rFonts w:hint="default"/>
      </w:rPr>
    </w:lvl>
    <w:lvl w:ilvl="8" w:tplc="EDE624EC">
      <w:numFmt w:val="bullet"/>
      <w:lvlText w:val="•"/>
      <w:lvlJc w:val="left"/>
      <w:pPr>
        <w:ind w:left="2064" w:hanging="100"/>
      </w:pPr>
      <w:rPr>
        <w:rFonts w:hint="default"/>
      </w:rPr>
    </w:lvl>
  </w:abstractNum>
  <w:abstractNum w:abstractNumId="411" w15:restartNumberingAfterBreak="0">
    <w:nsid w:val="1A0D1EF2"/>
    <w:multiLevelType w:val="hybridMultilevel"/>
    <w:tmpl w:val="DFFEC4D2"/>
    <w:lvl w:ilvl="0" w:tplc="1D92E968">
      <w:numFmt w:val="bullet"/>
      <w:lvlText w:val=""/>
      <w:lvlJc w:val="left"/>
      <w:pPr>
        <w:ind w:left="156" w:hanging="100"/>
      </w:pPr>
      <w:rPr>
        <w:rFonts w:ascii="Symbol" w:eastAsia="Symbol" w:hAnsi="Symbol" w:cs="Symbol" w:hint="default"/>
        <w:color w:val="231F20"/>
        <w:w w:val="100"/>
        <w:sz w:val="14"/>
        <w:szCs w:val="14"/>
      </w:rPr>
    </w:lvl>
    <w:lvl w:ilvl="1" w:tplc="E7CC0DA2">
      <w:numFmt w:val="bullet"/>
      <w:lvlText w:val="•"/>
      <w:lvlJc w:val="left"/>
      <w:pPr>
        <w:ind w:left="426" w:hanging="100"/>
      </w:pPr>
      <w:rPr>
        <w:rFonts w:hint="default"/>
      </w:rPr>
    </w:lvl>
    <w:lvl w:ilvl="2" w:tplc="7F2ACE46">
      <w:numFmt w:val="bullet"/>
      <w:lvlText w:val="•"/>
      <w:lvlJc w:val="left"/>
      <w:pPr>
        <w:ind w:left="692" w:hanging="100"/>
      </w:pPr>
      <w:rPr>
        <w:rFonts w:hint="default"/>
      </w:rPr>
    </w:lvl>
    <w:lvl w:ilvl="3" w:tplc="DF48572E">
      <w:numFmt w:val="bullet"/>
      <w:lvlText w:val="•"/>
      <w:lvlJc w:val="left"/>
      <w:pPr>
        <w:ind w:left="959" w:hanging="100"/>
      </w:pPr>
      <w:rPr>
        <w:rFonts w:hint="default"/>
      </w:rPr>
    </w:lvl>
    <w:lvl w:ilvl="4" w:tplc="EB88875C">
      <w:numFmt w:val="bullet"/>
      <w:lvlText w:val="•"/>
      <w:lvlJc w:val="left"/>
      <w:pPr>
        <w:ind w:left="1225" w:hanging="100"/>
      </w:pPr>
      <w:rPr>
        <w:rFonts w:hint="default"/>
      </w:rPr>
    </w:lvl>
    <w:lvl w:ilvl="5" w:tplc="76BA49FC">
      <w:numFmt w:val="bullet"/>
      <w:lvlText w:val="•"/>
      <w:lvlJc w:val="left"/>
      <w:pPr>
        <w:ind w:left="1492" w:hanging="100"/>
      </w:pPr>
      <w:rPr>
        <w:rFonts w:hint="default"/>
      </w:rPr>
    </w:lvl>
    <w:lvl w:ilvl="6" w:tplc="D5CC747A">
      <w:numFmt w:val="bullet"/>
      <w:lvlText w:val="•"/>
      <w:lvlJc w:val="left"/>
      <w:pPr>
        <w:ind w:left="1758" w:hanging="100"/>
      </w:pPr>
      <w:rPr>
        <w:rFonts w:hint="default"/>
      </w:rPr>
    </w:lvl>
    <w:lvl w:ilvl="7" w:tplc="D780D086">
      <w:numFmt w:val="bullet"/>
      <w:lvlText w:val="•"/>
      <w:lvlJc w:val="left"/>
      <w:pPr>
        <w:ind w:left="2024" w:hanging="100"/>
      </w:pPr>
      <w:rPr>
        <w:rFonts w:hint="default"/>
      </w:rPr>
    </w:lvl>
    <w:lvl w:ilvl="8" w:tplc="44AAB058">
      <w:numFmt w:val="bullet"/>
      <w:lvlText w:val="•"/>
      <w:lvlJc w:val="left"/>
      <w:pPr>
        <w:ind w:left="2291" w:hanging="100"/>
      </w:pPr>
      <w:rPr>
        <w:rFonts w:hint="default"/>
      </w:rPr>
    </w:lvl>
  </w:abstractNum>
  <w:abstractNum w:abstractNumId="412" w15:restartNumberingAfterBreak="0">
    <w:nsid w:val="1A2B15A4"/>
    <w:multiLevelType w:val="hybridMultilevel"/>
    <w:tmpl w:val="BEFEB96A"/>
    <w:lvl w:ilvl="0" w:tplc="CD7C9BF4">
      <w:numFmt w:val="bullet"/>
      <w:lvlText w:val=""/>
      <w:lvlJc w:val="left"/>
      <w:pPr>
        <w:ind w:left="157" w:hanging="100"/>
      </w:pPr>
      <w:rPr>
        <w:rFonts w:ascii="Symbol" w:eastAsia="Symbol" w:hAnsi="Symbol" w:cs="Symbol" w:hint="default"/>
        <w:color w:val="231F20"/>
        <w:w w:val="100"/>
        <w:sz w:val="14"/>
        <w:szCs w:val="14"/>
      </w:rPr>
    </w:lvl>
    <w:lvl w:ilvl="1" w:tplc="52D4F726">
      <w:numFmt w:val="bullet"/>
      <w:lvlText w:val="•"/>
      <w:lvlJc w:val="left"/>
      <w:pPr>
        <w:ind w:left="426" w:hanging="100"/>
      </w:pPr>
      <w:rPr>
        <w:rFonts w:hint="default"/>
      </w:rPr>
    </w:lvl>
    <w:lvl w:ilvl="2" w:tplc="36F6E20C">
      <w:numFmt w:val="bullet"/>
      <w:lvlText w:val="•"/>
      <w:lvlJc w:val="left"/>
      <w:pPr>
        <w:ind w:left="692" w:hanging="100"/>
      </w:pPr>
      <w:rPr>
        <w:rFonts w:hint="default"/>
      </w:rPr>
    </w:lvl>
    <w:lvl w:ilvl="3" w:tplc="640A5780">
      <w:numFmt w:val="bullet"/>
      <w:lvlText w:val="•"/>
      <w:lvlJc w:val="left"/>
      <w:pPr>
        <w:ind w:left="959" w:hanging="100"/>
      </w:pPr>
      <w:rPr>
        <w:rFonts w:hint="default"/>
      </w:rPr>
    </w:lvl>
    <w:lvl w:ilvl="4" w:tplc="594E8B08">
      <w:numFmt w:val="bullet"/>
      <w:lvlText w:val="•"/>
      <w:lvlJc w:val="left"/>
      <w:pPr>
        <w:ind w:left="1225" w:hanging="100"/>
      </w:pPr>
      <w:rPr>
        <w:rFonts w:hint="default"/>
      </w:rPr>
    </w:lvl>
    <w:lvl w:ilvl="5" w:tplc="13AADF00">
      <w:numFmt w:val="bullet"/>
      <w:lvlText w:val="•"/>
      <w:lvlJc w:val="left"/>
      <w:pPr>
        <w:ind w:left="1492" w:hanging="100"/>
      </w:pPr>
      <w:rPr>
        <w:rFonts w:hint="default"/>
      </w:rPr>
    </w:lvl>
    <w:lvl w:ilvl="6" w:tplc="AC6AC8A0">
      <w:numFmt w:val="bullet"/>
      <w:lvlText w:val="•"/>
      <w:lvlJc w:val="left"/>
      <w:pPr>
        <w:ind w:left="1758" w:hanging="100"/>
      </w:pPr>
      <w:rPr>
        <w:rFonts w:hint="default"/>
      </w:rPr>
    </w:lvl>
    <w:lvl w:ilvl="7" w:tplc="1B8AD396">
      <w:numFmt w:val="bullet"/>
      <w:lvlText w:val="•"/>
      <w:lvlJc w:val="left"/>
      <w:pPr>
        <w:ind w:left="2024" w:hanging="100"/>
      </w:pPr>
      <w:rPr>
        <w:rFonts w:hint="default"/>
      </w:rPr>
    </w:lvl>
    <w:lvl w:ilvl="8" w:tplc="BDF4F332">
      <w:numFmt w:val="bullet"/>
      <w:lvlText w:val="•"/>
      <w:lvlJc w:val="left"/>
      <w:pPr>
        <w:ind w:left="2291" w:hanging="100"/>
      </w:pPr>
      <w:rPr>
        <w:rFonts w:hint="default"/>
      </w:rPr>
    </w:lvl>
  </w:abstractNum>
  <w:abstractNum w:abstractNumId="413" w15:restartNumberingAfterBreak="0">
    <w:nsid w:val="1A445FB9"/>
    <w:multiLevelType w:val="hybridMultilevel"/>
    <w:tmpl w:val="1EB468A2"/>
    <w:lvl w:ilvl="0" w:tplc="AA948868">
      <w:numFmt w:val="bullet"/>
      <w:lvlText w:val=""/>
      <w:lvlJc w:val="left"/>
      <w:pPr>
        <w:ind w:left="157" w:hanging="100"/>
      </w:pPr>
      <w:rPr>
        <w:rFonts w:ascii="Symbol" w:eastAsia="Symbol" w:hAnsi="Symbol" w:cs="Symbol" w:hint="default"/>
        <w:color w:val="231F20"/>
        <w:w w:val="100"/>
        <w:sz w:val="14"/>
        <w:szCs w:val="14"/>
      </w:rPr>
    </w:lvl>
    <w:lvl w:ilvl="1" w:tplc="959E5F6E">
      <w:numFmt w:val="bullet"/>
      <w:lvlText w:val="•"/>
      <w:lvlJc w:val="left"/>
      <w:pPr>
        <w:ind w:left="369" w:hanging="100"/>
      </w:pPr>
      <w:rPr>
        <w:rFonts w:hint="default"/>
      </w:rPr>
    </w:lvl>
    <w:lvl w:ilvl="2" w:tplc="6DE6916E">
      <w:numFmt w:val="bullet"/>
      <w:lvlText w:val="•"/>
      <w:lvlJc w:val="left"/>
      <w:pPr>
        <w:ind w:left="579" w:hanging="100"/>
      </w:pPr>
      <w:rPr>
        <w:rFonts w:hint="default"/>
      </w:rPr>
    </w:lvl>
    <w:lvl w:ilvl="3" w:tplc="CD84BA54">
      <w:numFmt w:val="bullet"/>
      <w:lvlText w:val="•"/>
      <w:lvlJc w:val="left"/>
      <w:pPr>
        <w:ind w:left="789" w:hanging="100"/>
      </w:pPr>
      <w:rPr>
        <w:rFonts w:hint="default"/>
      </w:rPr>
    </w:lvl>
    <w:lvl w:ilvl="4" w:tplc="A006B6B2">
      <w:numFmt w:val="bullet"/>
      <w:lvlText w:val="•"/>
      <w:lvlJc w:val="left"/>
      <w:pPr>
        <w:ind w:left="998" w:hanging="100"/>
      </w:pPr>
      <w:rPr>
        <w:rFonts w:hint="default"/>
      </w:rPr>
    </w:lvl>
    <w:lvl w:ilvl="5" w:tplc="7018DDC6">
      <w:numFmt w:val="bullet"/>
      <w:lvlText w:val="•"/>
      <w:lvlJc w:val="left"/>
      <w:pPr>
        <w:ind w:left="1208" w:hanging="100"/>
      </w:pPr>
      <w:rPr>
        <w:rFonts w:hint="default"/>
      </w:rPr>
    </w:lvl>
    <w:lvl w:ilvl="6" w:tplc="97DA02B4">
      <w:numFmt w:val="bullet"/>
      <w:lvlText w:val="•"/>
      <w:lvlJc w:val="left"/>
      <w:pPr>
        <w:ind w:left="1418" w:hanging="100"/>
      </w:pPr>
      <w:rPr>
        <w:rFonts w:hint="default"/>
      </w:rPr>
    </w:lvl>
    <w:lvl w:ilvl="7" w:tplc="243EC44A">
      <w:numFmt w:val="bullet"/>
      <w:lvlText w:val="•"/>
      <w:lvlJc w:val="left"/>
      <w:pPr>
        <w:ind w:left="1627" w:hanging="100"/>
      </w:pPr>
      <w:rPr>
        <w:rFonts w:hint="default"/>
      </w:rPr>
    </w:lvl>
    <w:lvl w:ilvl="8" w:tplc="01EE4DA6">
      <w:numFmt w:val="bullet"/>
      <w:lvlText w:val="•"/>
      <w:lvlJc w:val="left"/>
      <w:pPr>
        <w:ind w:left="1837" w:hanging="100"/>
      </w:pPr>
      <w:rPr>
        <w:rFonts w:hint="default"/>
      </w:rPr>
    </w:lvl>
  </w:abstractNum>
  <w:abstractNum w:abstractNumId="414" w15:restartNumberingAfterBreak="0">
    <w:nsid w:val="1A474D71"/>
    <w:multiLevelType w:val="hybridMultilevel"/>
    <w:tmpl w:val="4BB60AD0"/>
    <w:lvl w:ilvl="0" w:tplc="1826C352">
      <w:numFmt w:val="bullet"/>
      <w:lvlText w:val=""/>
      <w:lvlJc w:val="left"/>
      <w:pPr>
        <w:ind w:left="156" w:hanging="100"/>
      </w:pPr>
      <w:rPr>
        <w:rFonts w:ascii="Symbol" w:eastAsia="Symbol" w:hAnsi="Symbol" w:cs="Symbol" w:hint="default"/>
        <w:color w:val="231F20"/>
        <w:w w:val="100"/>
        <w:sz w:val="14"/>
        <w:szCs w:val="14"/>
      </w:rPr>
    </w:lvl>
    <w:lvl w:ilvl="1" w:tplc="D40A2220">
      <w:numFmt w:val="bullet"/>
      <w:lvlText w:val="•"/>
      <w:lvlJc w:val="left"/>
      <w:pPr>
        <w:ind w:left="301" w:hanging="100"/>
      </w:pPr>
      <w:rPr>
        <w:rFonts w:hint="default"/>
      </w:rPr>
    </w:lvl>
    <w:lvl w:ilvl="2" w:tplc="8F2ABDB8">
      <w:numFmt w:val="bullet"/>
      <w:lvlText w:val="•"/>
      <w:lvlJc w:val="left"/>
      <w:pPr>
        <w:ind w:left="443" w:hanging="100"/>
      </w:pPr>
      <w:rPr>
        <w:rFonts w:hint="default"/>
      </w:rPr>
    </w:lvl>
    <w:lvl w:ilvl="3" w:tplc="B5CA887A">
      <w:numFmt w:val="bullet"/>
      <w:lvlText w:val="•"/>
      <w:lvlJc w:val="left"/>
      <w:pPr>
        <w:ind w:left="585" w:hanging="100"/>
      </w:pPr>
      <w:rPr>
        <w:rFonts w:hint="default"/>
      </w:rPr>
    </w:lvl>
    <w:lvl w:ilvl="4" w:tplc="31FC0C32">
      <w:numFmt w:val="bullet"/>
      <w:lvlText w:val="•"/>
      <w:lvlJc w:val="left"/>
      <w:pPr>
        <w:ind w:left="726" w:hanging="100"/>
      </w:pPr>
      <w:rPr>
        <w:rFonts w:hint="default"/>
      </w:rPr>
    </w:lvl>
    <w:lvl w:ilvl="5" w:tplc="3E0A50AA">
      <w:numFmt w:val="bullet"/>
      <w:lvlText w:val="•"/>
      <w:lvlJc w:val="left"/>
      <w:pPr>
        <w:ind w:left="868" w:hanging="100"/>
      </w:pPr>
      <w:rPr>
        <w:rFonts w:hint="default"/>
      </w:rPr>
    </w:lvl>
    <w:lvl w:ilvl="6" w:tplc="F28470BE">
      <w:numFmt w:val="bullet"/>
      <w:lvlText w:val="•"/>
      <w:lvlJc w:val="left"/>
      <w:pPr>
        <w:ind w:left="1010" w:hanging="100"/>
      </w:pPr>
      <w:rPr>
        <w:rFonts w:hint="default"/>
      </w:rPr>
    </w:lvl>
    <w:lvl w:ilvl="7" w:tplc="B0645D92">
      <w:numFmt w:val="bullet"/>
      <w:lvlText w:val="•"/>
      <w:lvlJc w:val="left"/>
      <w:pPr>
        <w:ind w:left="1151" w:hanging="100"/>
      </w:pPr>
      <w:rPr>
        <w:rFonts w:hint="default"/>
      </w:rPr>
    </w:lvl>
    <w:lvl w:ilvl="8" w:tplc="2B42CD4A">
      <w:numFmt w:val="bullet"/>
      <w:lvlText w:val="•"/>
      <w:lvlJc w:val="left"/>
      <w:pPr>
        <w:ind w:left="1293" w:hanging="100"/>
      </w:pPr>
      <w:rPr>
        <w:rFonts w:hint="default"/>
      </w:rPr>
    </w:lvl>
  </w:abstractNum>
  <w:abstractNum w:abstractNumId="415" w15:restartNumberingAfterBreak="0">
    <w:nsid w:val="1A5F69F0"/>
    <w:multiLevelType w:val="hybridMultilevel"/>
    <w:tmpl w:val="F0104A62"/>
    <w:lvl w:ilvl="0" w:tplc="DF5EBC12">
      <w:numFmt w:val="bullet"/>
      <w:lvlText w:val=""/>
      <w:lvlJc w:val="left"/>
      <w:pPr>
        <w:ind w:left="156" w:hanging="100"/>
      </w:pPr>
      <w:rPr>
        <w:rFonts w:ascii="Symbol" w:eastAsia="Symbol" w:hAnsi="Symbol" w:cs="Symbol" w:hint="default"/>
        <w:color w:val="231F20"/>
        <w:w w:val="100"/>
        <w:sz w:val="14"/>
        <w:szCs w:val="14"/>
      </w:rPr>
    </w:lvl>
    <w:lvl w:ilvl="1" w:tplc="9E209F6E">
      <w:numFmt w:val="bullet"/>
      <w:lvlText w:val="•"/>
      <w:lvlJc w:val="left"/>
      <w:pPr>
        <w:ind w:left="426" w:hanging="100"/>
      </w:pPr>
      <w:rPr>
        <w:rFonts w:hint="default"/>
      </w:rPr>
    </w:lvl>
    <w:lvl w:ilvl="2" w:tplc="BF8CF136">
      <w:numFmt w:val="bullet"/>
      <w:lvlText w:val="•"/>
      <w:lvlJc w:val="left"/>
      <w:pPr>
        <w:ind w:left="692" w:hanging="100"/>
      </w:pPr>
      <w:rPr>
        <w:rFonts w:hint="default"/>
      </w:rPr>
    </w:lvl>
    <w:lvl w:ilvl="3" w:tplc="5770CFA6">
      <w:numFmt w:val="bullet"/>
      <w:lvlText w:val="•"/>
      <w:lvlJc w:val="left"/>
      <w:pPr>
        <w:ind w:left="959" w:hanging="100"/>
      </w:pPr>
      <w:rPr>
        <w:rFonts w:hint="default"/>
      </w:rPr>
    </w:lvl>
    <w:lvl w:ilvl="4" w:tplc="9EBCFCAE">
      <w:numFmt w:val="bullet"/>
      <w:lvlText w:val="•"/>
      <w:lvlJc w:val="left"/>
      <w:pPr>
        <w:ind w:left="1225" w:hanging="100"/>
      </w:pPr>
      <w:rPr>
        <w:rFonts w:hint="default"/>
      </w:rPr>
    </w:lvl>
    <w:lvl w:ilvl="5" w:tplc="5ADC2C94">
      <w:numFmt w:val="bullet"/>
      <w:lvlText w:val="•"/>
      <w:lvlJc w:val="left"/>
      <w:pPr>
        <w:ind w:left="1492" w:hanging="100"/>
      </w:pPr>
      <w:rPr>
        <w:rFonts w:hint="default"/>
      </w:rPr>
    </w:lvl>
    <w:lvl w:ilvl="6" w:tplc="B462A47E">
      <w:numFmt w:val="bullet"/>
      <w:lvlText w:val="•"/>
      <w:lvlJc w:val="left"/>
      <w:pPr>
        <w:ind w:left="1758" w:hanging="100"/>
      </w:pPr>
      <w:rPr>
        <w:rFonts w:hint="default"/>
      </w:rPr>
    </w:lvl>
    <w:lvl w:ilvl="7" w:tplc="EF3C7E42">
      <w:numFmt w:val="bullet"/>
      <w:lvlText w:val="•"/>
      <w:lvlJc w:val="left"/>
      <w:pPr>
        <w:ind w:left="2024" w:hanging="100"/>
      </w:pPr>
      <w:rPr>
        <w:rFonts w:hint="default"/>
      </w:rPr>
    </w:lvl>
    <w:lvl w:ilvl="8" w:tplc="4198CD2E">
      <w:numFmt w:val="bullet"/>
      <w:lvlText w:val="•"/>
      <w:lvlJc w:val="left"/>
      <w:pPr>
        <w:ind w:left="2291" w:hanging="100"/>
      </w:pPr>
      <w:rPr>
        <w:rFonts w:hint="default"/>
      </w:rPr>
    </w:lvl>
  </w:abstractNum>
  <w:abstractNum w:abstractNumId="416" w15:restartNumberingAfterBreak="0">
    <w:nsid w:val="1A6255BB"/>
    <w:multiLevelType w:val="hybridMultilevel"/>
    <w:tmpl w:val="7FF44E26"/>
    <w:lvl w:ilvl="0" w:tplc="55922EE4">
      <w:numFmt w:val="bullet"/>
      <w:lvlText w:val=""/>
      <w:lvlJc w:val="left"/>
      <w:pPr>
        <w:ind w:left="156" w:hanging="100"/>
      </w:pPr>
      <w:rPr>
        <w:rFonts w:ascii="Symbol" w:eastAsia="Symbol" w:hAnsi="Symbol" w:cs="Symbol" w:hint="default"/>
        <w:color w:val="231F20"/>
        <w:w w:val="100"/>
        <w:sz w:val="14"/>
        <w:szCs w:val="14"/>
      </w:rPr>
    </w:lvl>
    <w:lvl w:ilvl="1" w:tplc="444C82CE">
      <w:numFmt w:val="bullet"/>
      <w:lvlText w:val="•"/>
      <w:lvlJc w:val="left"/>
      <w:pPr>
        <w:ind w:left="398" w:hanging="100"/>
      </w:pPr>
      <w:rPr>
        <w:rFonts w:hint="default"/>
      </w:rPr>
    </w:lvl>
    <w:lvl w:ilvl="2" w:tplc="7A2C8B90">
      <w:numFmt w:val="bullet"/>
      <w:lvlText w:val="•"/>
      <w:lvlJc w:val="left"/>
      <w:pPr>
        <w:ind w:left="636" w:hanging="100"/>
      </w:pPr>
      <w:rPr>
        <w:rFonts w:hint="default"/>
      </w:rPr>
    </w:lvl>
    <w:lvl w:ilvl="3" w:tplc="AC247706">
      <w:numFmt w:val="bullet"/>
      <w:lvlText w:val="•"/>
      <w:lvlJc w:val="left"/>
      <w:pPr>
        <w:ind w:left="874" w:hanging="100"/>
      </w:pPr>
      <w:rPr>
        <w:rFonts w:hint="default"/>
      </w:rPr>
    </w:lvl>
    <w:lvl w:ilvl="4" w:tplc="81C62090">
      <w:numFmt w:val="bullet"/>
      <w:lvlText w:val="•"/>
      <w:lvlJc w:val="left"/>
      <w:pPr>
        <w:ind w:left="1112" w:hanging="100"/>
      </w:pPr>
      <w:rPr>
        <w:rFonts w:hint="default"/>
      </w:rPr>
    </w:lvl>
    <w:lvl w:ilvl="5" w:tplc="B59CC898">
      <w:numFmt w:val="bullet"/>
      <w:lvlText w:val="•"/>
      <w:lvlJc w:val="left"/>
      <w:pPr>
        <w:ind w:left="1350" w:hanging="100"/>
      </w:pPr>
      <w:rPr>
        <w:rFonts w:hint="default"/>
      </w:rPr>
    </w:lvl>
    <w:lvl w:ilvl="6" w:tplc="0E6A6A16">
      <w:numFmt w:val="bullet"/>
      <w:lvlText w:val="•"/>
      <w:lvlJc w:val="left"/>
      <w:pPr>
        <w:ind w:left="1588" w:hanging="100"/>
      </w:pPr>
      <w:rPr>
        <w:rFonts w:hint="default"/>
      </w:rPr>
    </w:lvl>
    <w:lvl w:ilvl="7" w:tplc="4BE4BC56">
      <w:numFmt w:val="bullet"/>
      <w:lvlText w:val="•"/>
      <w:lvlJc w:val="left"/>
      <w:pPr>
        <w:ind w:left="1826" w:hanging="100"/>
      </w:pPr>
      <w:rPr>
        <w:rFonts w:hint="default"/>
      </w:rPr>
    </w:lvl>
    <w:lvl w:ilvl="8" w:tplc="DE4EEFFE">
      <w:numFmt w:val="bullet"/>
      <w:lvlText w:val="•"/>
      <w:lvlJc w:val="left"/>
      <w:pPr>
        <w:ind w:left="2064" w:hanging="100"/>
      </w:pPr>
      <w:rPr>
        <w:rFonts w:hint="default"/>
      </w:rPr>
    </w:lvl>
  </w:abstractNum>
  <w:abstractNum w:abstractNumId="417" w15:restartNumberingAfterBreak="0">
    <w:nsid w:val="1A6257C4"/>
    <w:multiLevelType w:val="hybridMultilevel"/>
    <w:tmpl w:val="6310D2BE"/>
    <w:lvl w:ilvl="0" w:tplc="681ED218">
      <w:numFmt w:val="bullet"/>
      <w:lvlText w:val=""/>
      <w:lvlJc w:val="left"/>
      <w:pPr>
        <w:ind w:left="156" w:hanging="100"/>
      </w:pPr>
      <w:rPr>
        <w:rFonts w:ascii="Symbol" w:eastAsia="Symbol" w:hAnsi="Symbol" w:cs="Symbol" w:hint="default"/>
        <w:color w:val="231F20"/>
        <w:w w:val="100"/>
        <w:sz w:val="14"/>
        <w:szCs w:val="14"/>
      </w:rPr>
    </w:lvl>
    <w:lvl w:ilvl="1" w:tplc="643EFAFE">
      <w:numFmt w:val="bullet"/>
      <w:lvlText w:val="•"/>
      <w:lvlJc w:val="left"/>
      <w:pPr>
        <w:ind w:left="426" w:hanging="100"/>
      </w:pPr>
      <w:rPr>
        <w:rFonts w:hint="default"/>
      </w:rPr>
    </w:lvl>
    <w:lvl w:ilvl="2" w:tplc="77929D94">
      <w:numFmt w:val="bullet"/>
      <w:lvlText w:val="•"/>
      <w:lvlJc w:val="left"/>
      <w:pPr>
        <w:ind w:left="692" w:hanging="100"/>
      </w:pPr>
      <w:rPr>
        <w:rFonts w:hint="default"/>
      </w:rPr>
    </w:lvl>
    <w:lvl w:ilvl="3" w:tplc="9FBEAC3E">
      <w:numFmt w:val="bullet"/>
      <w:lvlText w:val="•"/>
      <w:lvlJc w:val="left"/>
      <w:pPr>
        <w:ind w:left="959" w:hanging="100"/>
      </w:pPr>
      <w:rPr>
        <w:rFonts w:hint="default"/>
      </w:rPr>
    </w:lvl>
    <w:lvl w:ilvl="4" w:tplc="361417BC">
      <w:numFmt w:val="bullet"/>
      <w:lvlText w:val="•"/>
      <w:lvlJc w:val="left"/>
      <w:pPr>
        <w:ind w:left="1225" w:hanging="100"/>
      </w:pPr>
      <w:rPr>
        <w:rFonts w:hint="default"/>
      </w:rPr>
    </w:lvl>
    <w:lvl w:ilvl="5" w:tplc="089A6A84">
      <w:numFmt w:val="bullet"/>
      <w:lvlText w:val="•"/>
      <w:lvlJc w:val="left"/>
      <w:pPr>
        <w:ind w:left="1492" w:hanging="100"/>
      </w:pPr>
      <w:rPr>
        <w:rFonts w:hint="default"/>
      </w:rPr>
    </w:lvl>
    <w:lvl w:ilvl="6" w:tplc="A93847C2">
      <w:numFmt w:val="bullet"/>
      <w:lvlText w:val="•"/>
      <w:lvlJc w:val="left"/>
      <w:pPr>
        <w:ind w:left="1758" w:hanging="100"/>
      </w:pPr>
      <w:rPr>
        <w:rFonts w:hint="default"/>
      </w:rPr>
    </w:lvl>
    <w:lvl w:ilvl="7" w:tplc="6756A440">
      <w:numFmt w:val="bullet"/>
      <w:lvlText w:val="•"/>
      <w:lvlJc w:val="left"/>
      <w:pPr>
        <w:ind w:left="2024" w:hanging="100"/>
      </w:pPr>
      <w:rPr>
        <w:rFonts w:hint="default"/>
      </w:rPr>
    </w:lvl>
    <w:lvl w:ilvl="8" w:tplc="DDF463BE">
      <w:numFmt w:val="bullet"/>
      <w:lvlText w:val="•"/>
      <w:lvlJc w:val="left"/>
      <w:pPr>
        <w:ind w:left="2291" w:hanging="100"/>
      </w:pPr>
      <w:rPr>
        <w:rFonts w:hint="default"/>
      </w:rPr>
    </w:lvl>
  </w:abstractNum>
  <w:abstractNum w:abstractNumId="418" w15:restartNumberingAfterBreak="0">
    <w:nsid w:val="1A637FD0"/>
    <w:multiLevelType w:val="hybridMultilevel"/>
    <w:tmpl w:val="69D6B4BE"/>
    <w:lvl w:ilvl="0" w:tplc="906032A6">
      <w:numFmt w:val="bullet"/>
      <w:lvlText w:val=""/>
      <w:lvlJc w:val="left"/>
      <w:pPr>
        <w:ind w:left="156" w:hanging="100"/>
      </w:pPr>
      <w:rPr>
        <w:rFonts w:ascii="Symbol" w:eastAsia="Symbol" w:hAnsi="Symbol" w:cs="Symbol" w:hint="default"/>
        <w:color w:val="231F20"/>
        <w:w w:val="100"/>
        <w:sz w:val="14"/>
        <w:szCs w:val="14"/>
      </w:rPr>
    </w:lvl>
    <w:lvl w:ilvl="1" w:tplc="87427C00">
      <w:numFmt w:val="bullet"/>
      <w:lvlText w:val="•"/>
      <w:lvlJc w:val="left"/>
      <w:pPr>
        <w:ind w:left="398" w:hanging="100"/>
      </w:pPr>
      <w:rPr>
        <w:rFonts w:hint="default"/>
      </w:rPr>
    </w:lvl>
    <w:lvl w:ilvl="2" w:tplc="B3B4B3CC">
      <w:numFmt w:val="bullet"/>
      <w:lvlText w:val="•"/>
      <w:lvlJc w:val="left"/>
      <w:pPr>
        <w:ind w:left="636" w:hanging="100"/>
      </w:pPr>
      <w:rPr>
        <w:rFonts w:hint="default"/>
      </w:rPr>
    </w:lvl>
    <w:lvl w:ilvl="3" w:tplc="068808FA">
      <w:numFmt w:val="bullet"/>
      <w:lvlText w:val="•"/>
      <w:lvlJc w:val="left"/>
      <w:pPr>
        <w:ind w:left="874" w:hanging="100"/>
      </w:pPr>
      <w:rPr>
        <w:rFonts w:hint="default"/>
      </w:rPr>
    </w:lvl>
    <w:lvl w:ilvl="4" w:tplc="CA688B06">
      <w:numFmt w:val="bullet"/>
      <w:lvlText w:val="•"/>
      <w:lvlJc w:val="left"/>
      <w:pPr>
        <w:ind w:left="1112" w:hanging="100"/>
      </w:pPr>
      <w:rPr>
        <w:rFonts w:hint="default"/>
      </w:rPr>
    </w:lvl>
    <w:lvl w:ilvl="5" w:tplc="C6E48EB0">
      <w:numFmt w:val="bullet"/>
      <w:lvlText w:val="•"/>
      <w:lvlJc w:val="left"/>
      <w:pPr>
        <w:ind w:left="1350" w:hanging="100"/>
      </w:pPr>
      <w:rPr>
        <w:rFonts w:hint="default"/>
      </w:rPr>
    </w:lvl>
    <w:lvl w:ilvl="6" w:tplc="86002690">
      <w:numFmt w:val="bullet"/>
      <w:lvlText w:val="•"/>
      <w:lvlJc w:val="left"/>
      <w:pPr>
        <w:ind w:left="1588" w:hanging="100"/>
      </w:pPr>
      <w:rPr>
        <w:rFonts w:hint="default"/>
      </w:rPr>
    </w:lvl>
    <w:lvl w:ilvl="7" w:tplc="C1324682">
      <w:numFmt w:val="bullet"/>
      <w:lvlText w:val="•"/>
      <w:lvlJc w:val="left"/>
      <w:pPr>
        <w:ind w:left="1826" w:hanging="100"/>
      </w:pPr>
      <w:rPr>
        <w:rFonts w:hint="default"/>
      </w:rPr>
    </w:lvl>
    <w:lvl w:ilvl="8" w:tplc="34CCE538">
      <w:numFmt w:val="bullet"/>
      <w:lvlText w:val="•"/>
      <w:lvlJc w:val="left"/>
      <w:pPr>
        <w:ind w:left="2064" w:hanging="100"/>
      </w:pPr>
      <w:rPr>
        <w:rFonts w:hint="default"/>
      </w:rPr>
    </w:lvl>
  </w:abstractNum>
  <w:abstractNum w:abstractNumId="419" w15:restartNumberingAfterBreak="0">
    <w:nsid w:val="1A670D1B"/>
    <w:multiLevelType w:val="hybridMultilevel"/>
    <w:tmpl w:val="D5FC9BB0"/>
    <w:lvl w:ilvl="0" w:tplc="535C5DCA">
      <w:numFmt w:val="bullet"/>
      <w:lvlText w:val=""/>
      <w:lvlJc w:val="left"/>
      <w:pPr>
        <w:ind w:left="156" w:hanging="100"/>
      </w:pPr>
      <w:rPr>
        <w:rFonts w:ascii="Symbol" w:eastAsia="Symbol" w:hAnsi="Symbol" w:cs="Symbol" w:hint="default"/>
        <w:color w:val="231F20"/>
        <w:w w:val="100"/>
        <w:sz w:val="14"/>
        <w:szCs w:val="14"/>
      </w:rPr>
    </w:lvl>
    <w:lvl w:ilvl="1" w:tplc="71BA4B44">
      <w:numFmt w:val="bullet"/>
      <w:lvlText w:val="•"/>
      <w:lvlJc w:val="left"/>
      <w:pPr>
        <w:ind w:left="398" w:hanging="100"/>
      </w:pPr>
      <w:rPr>
        <w:rFonts w:hint="default"/>
      </w:rPr>
    </w:lvl>
    <w:lvl w:ilvl="2" w:tplc="02B0801E">
      <w:numFmt w:val="bullet"/>
      <w:lvlText w:val="•"/>
      <w:lvlJc w:val="left"/>
      <w:pPr>
        <w:ind w:left="636" w:hanging="100"/>
      </w:pPr>
      <w:rPr>
        <w:rFonts w:hint="default"/>
      </w:rPr>
    </w:lvl>
    <w:lvl w:ilvl="3" w:tplc="68A035B2">
      <w:numFmt w:val="bullet"/>
      <w:lvlText w:val="•"/>
      <w:lvlJc w:val="left"/>
      <w:pPr>
        <w:ind w:left="874" w:hanging="100"/>
      </w:pPr>
      <w:rPr>
        <w:rFonts w:hint="default"/>
      </w:rPr>
    </w:lvl>
    <w:lvl w:ilvl="4" w:tplc="7BD070A2">
      <w:numFmt w:val="bullet"/>
      <w:lvlText w:val="•"/>
      <w:lvlJc w:val="left"/>
      <w:pPr>
        <w:ind w:left="1112" w:hanging="100"/>
      </w:pPr>
      <w:rPr>
        <w:rFonts w:hint="default"/>
      </w:rPr>
    </w:lvl>
    <w:lvl w:ilvl="5" w:tplc="6F101536">
      <w:numFmt w:val="bullet"/>
      <w:lvlText w:val="•"/>
      <w:lvlJc w:val="left"/>
      <w:pPr>
        <w:ind w:left="1350" w:hanging="100"/>
      </w:pPr>
      <w:rPr>
        <w:rFonts w:hint="default"/>
      </w:rPr>
    </w:lvl>
    <w:lvl w:ilvl="6" w:tplc="15629348">
      <w:numFmt w:val="bullet"/>
      <w:lvlText w:val="•"/>
      <w:lvlJc w:val="left"/>
      <w:pPr>
        <w:ind w:left="1588" w:hanging="100"/>
      </w:pPr>
      <w:rPr>
        <w:rFonts w:hint="default"/>
      </w:rPr>
    </w:lvl>
    <w:lvl w:ilvl="7" w:tplc="C7745DB4">
      <w:numFmt w:val="bullet"/>
      <w:lvlText w:val="•"/>
      <w:lvlJc w:val="left"/>
      <w:pPr>
        <w:ind w:left="1826" w:hanging="100"/>
      </w:pPr>
      <w:rPr>
        <w:rFonts w:hint="default"/>
      </w:rPr>
    </w:lvl>
    <w:lvl w:ilvl="8" w:tplc="5C6C28A8">
      <w:numFmt w:val="bullet"/>
      <w:lvlText w:val="•"/>
      <w:lvlJc w:val="left"/>
      <w:pPr>
        <w:ind w:left="2064" w:hanging="100"/>
      </w:pPr>
      <w:rPr>
        <w:rFonts w:hint="default"/>
      </w:rPr>
    </w:lvl>
  </w:abstractNum>
  <w:abstractNum w:abstractNumId="420" w15:restartNumberingAfterBreak="0">
    <w:nsid w:val="1A6A7C89"/>
    <w:multiLevelType w:val="hybridMultilevel"/>
    <w:tmpl w:val="D65E61C0"/>
    <w:lvl w:ilvl="0" w:tplc="5C7A43BA">
      <w:numFmt w:val="bullet"/>
      <w:lvlText w:val=""/>
      <w:lvlJc w:val="left"/>
      <w:pPr>
        <w:ind w:left="157" w:hanging="100"/>
      </w:pPr>
      <w:rPr>
        <w:rFonts w:ascii="Symbol" w:eastAsia="Symbol" w:hAnsi="Symbol" w:cs="Symbol" w:hint="default"/>
        <w:color w:val="231F20"/>
        <w:w w:val="100"/>
        <w:sz w:val="14"/>
        <w:szCs w:val="14"/>
      </w:rPr>
    </w:lvl>
    <w:lvl w:ilvl="1" w:tplc="BE626266">
      <w:numFmt w:val="bullet"/>
      <w:lvlText w:val="•"/>
      <w:lvlJc w:val="left"/>
      <w:pPr>
        <w:ind w:left="398" w:hanging="100"/>
      </w:pPr>
      <w:rPr>
        <w:rFonts w:hint="default"/>
      </w:rPr>
    </w:lvl>
    <w:lvl w:ilvl="2" w:tplc="401AAD3C">
      <w:numFmt w:val="bullet"/>
      <w:lvlText w:val="•"/>
      <w:lvlJc w:val="left"/>
      <w:pPr>
        <w:ind w:left="636" w:hanging="100"/>
      </w:pPr>
      <w:rPr>
        <w:rFonts w:hint="default"/>
      </w:rPr>
    </w:lvl>
    <w:lvl w:ilvl="3" w:tplc="68143182">
      <w:numFmt w:val="bullet"/>
      <w:lvlText w:val="•"/>
      <w:lvlJc w:val="left"/>
      <w:pPr>
        <w:ind w:left="874" w:hanging="100"/>
      </w:pPr>
      <w:rPr>
        <w:rFonts w:hint="default"/>
      </w:rPr>
    </w:lvl>
    <w:lvl w:ilvl="4" w:tplc="AC3E55C8">
      <w:numFmt w:val="bullet"/>
      <w:lvlText w:val="•"/>
      <w:lvlJc w:val="left"/>
      <w:pPr>
        <w:ind w:left="1112" w:hanging="100"/>
      </w:pPr>
      <w:rPr>
        <w:rFonts w:hint="default"/>
      </w:rPr>
    </w:lvl>
    <w:lvl w:ilvl="5" w:tplc="5750F9DC">
      <w:numFmt w:val="bullet"/>
      <w:lvlText w:val="•"/>
      <w:lvlJc w:val="left"/>
      <w:pPr>
        <w:ind w:left="1350" w:hanging="100"/>
      </w:pPr>
      <w:rPr>
        <w:rFonts w:hint="default"/>
      </w:rPr>
    </w:lvl>
    <w:lvl w:ilvl="6" w:tplc="EEDE7A0E">
      <w:numFmt w:val="bullet"/>
      <w:lvlText w:val="•"/>
      <w:lvlJc w:val="left"/>
      <w:pPr>
        <w:ind w:left="1588" w:hanging="100"/>
      </w:pPr>
      <w:rPr>
        <w:rFonts w:hint="default"/>
      </w:rPr>
    </w:lvl>
    <w:lvl w:ilvl="7" w:tplc="F2A42016">
      <w:numFmt w:val="bullet"/>
      <w:lvlText w:val="•"/>
      <w:lvlJc w:val="left"/>
      <w:pPr>
        <w:ind w:left="1826" w:hanging="100"/>
      </w:pPr>
      <w:rPr>
        <w:rFonts w:hint="default"/>
      </w:rPr>
    </w:lvl>
    <w:lvl w:ilvl="8" w:tplc="4462EAB6">
      <w:numFmt w:val="bullet"/>
      <w:lvlText w:val="•"/>
      <w:lvlJc w:val="left"/>
      <w:pPr>
        <w:ind w:left="2064" w:hanging="100"/>
      </w:pPr>
      <w:rPr>
        <w:rFonts w:hint="default"/>
      </w:rPr>
    </w:lvl>
  </w:abstractNum>
  <w:abstractNum w:abstractNumId="421" w15:restartNumberingAfterBreak="0">
    <w:nsid w:val="1A72406F"/>
    <w:multiLevelType w:val="hybridMultilevel"/>
    <w:tmpl w:val="5EA68B62"/>
    <w:lvl w:ilvl="0" w:tplc="974472CE">
      <w:numFmt w:val="bullet"/>
      <w:lvlText w:val=""/>
      <w:lvlJc w:val="left"/>
      <w:pPr>
        <w:ind w:left="156" w:hanging="100"/>
      </w:pPr>
      <w:rPr>
        <w:rFonts w:ascii="Symbol" w:eastAsia="Symbol" w:hAnsi="Symbol" w:cs="Symbol" w:hint="default"/>
        <w:color w:val="231F20"/>
        <w:w w:val="100"/>
        <w:sz w:val="14"/>
        <w:szCs w:val="14"/>
      </w:rPr>
    </w:lvl>
    <w:lvl w:ilvl="1" w:tplc="B800521C">
      <w:numFmt w:val="bullet"/>
      <w:lvlText w:val="•"/>
      <w:lvlJc w:val="left"/>
      <w:pPr>
        <w:ind w:left="240" w:hanging="100"/>
      </w:pPr>
      <w:rPr>
        <w:rFonts w:hint="default"/>
      </w:rPr>
    </w:lvl>
    <w:lvl w:ilvl="2" w:tplc="81EA601A">
      <w:numFmt w:val="bullet"/>
      <w:lvlText w:val="•"/>
      <w:lvlJc w:val="left"/>
      <w:pPr>
        <w:ind w:left="495" w:hanging="100"/>
      </w:pPr>
      <w:rPr>
        <w:rFonts w:hint="default"/>
      </w:rPr>
    </w:lvl>
    <w:lvl w:ilvl="3" w:tplc="3C24A014">
      <w:numFmt w:val="bullet"/>
      <w:lvlText w:val="•"/>
      <w:lvlJc w:val="left"/>
      <w:pPr>
        <w:ind w:left="751" w:hanging="100"/>
      </w:pPr>
      <w:rPr>
        <w:rFonts w:hint="default"/>
      </w:rPr>
    </w:lvl>
    <w:lvl w:ilvl="4" w:tplc="9C9A3638">
      <w:numFmt w:val="bullet"/>
      <w:lvlText w:val="•"/>
      <w:lvlJc w:val="left"/>
      <w:pPr>
        <w:ind w:left="1007" w:hanging="100"/>
      </w:pPr>
      <w:rPr>
        <w:rFonts w:hint="default"/>
      </w:rPr>
    </w:lvl>
    <w:lvl w:ilvl="5" w:tplc="5896D3E0">
      <w:numFmt w:val="bullet"/>
      <w:lvlText w:val="•"/>
      <w:lvlJc w:val="left"/>
      <w:pPr>
        <w:ind w:left="1262" w:hanging="100"/>
      </w:pPr>
      <w:rPr>
        <w:rFonts w:hint="default"/>
      </w:rPr>
    </w:lvl>
    <w:lvl w:ilvl="6" w:tplc="E308647A">
      <w:numFmt w:val="bullet"/>
      <w:lvlText w:val="•"/>
      <w:lvlJc w:val="left"/>
      <w:pPr>
        <w:ind w:left="1518" w:hanging="100"/>
      </w:pPr>
      <w:rPr>
        <w:rFonts w:hint="default"/>
      </w:rPr>
    </w:lvl>
    <w:lvl w:ilvl="7" w:tplc="1638C758">
      <w:numFmt w:val="bullet"/>
      <w:lvlText w:val="•"/>
      <w:lvlJc w:val="left"/>
      <w:pPr>
        <w:ind w:left="1774" w:hanging="100"/>
      </w:pPr>
      <w:rPr>
        <w:rFonts w:hint="default"/>
      </w:rPr>
    </w:lvl>
    <w:lvl w:ilvl="8" w:tplc="1A34AA72">
      <w:numFmt w:val="bullet"/>
      <w:lvlText w:val="•"/>
      <w:lvlJc w:val="left"/>
      <w:pPr>
        <w:ind w:left="2029" w:hanging="100"/>
      </w:pPr>
      <w:rPr>
        <w:rFonts w:hint="default"/>
      </w:rPr>
    </w:lvl>
  </w:abstractNum>
  <w:abstractNum w:abstractNumId="422" w15:restartNumberingAfterBreak="0">
    <w:nsid w:val="1A851E47"/>
    <w:multiLevelType w:val="hybridMultilevel"/>
    <w:tmpl w:val="A510F37C"/>
    <w:lvl w:ilvl="0" w:tplc="93BC0B02">
      <w:numFmt w:val="bullet"/>
      <w:lvlText w:val=""/>
      <w:lvlJc w:val="left"/>
      <w:pPr>
        <w:ind w:left="157" w:hanging="100"/>
      </w:pPr>
      <w:rPr>
        <w:rFonts w:ascii="Symbol" w:eastAsia="Symbol" w:hAnsi="Symbol" w:cs="Symbol" w:hint="default"/>
        <w:color w:val="231F20"/>
        <w:w w:val="100"/>
        <w:sz w:val="14"/>
        <w:szCs w:val="14"/>
      </w:rPr>
    </w:lvl>
    <w:lvl w:ilvl="1" w:tplc="A2A07AB6">
      <w:numFmt w:val="bullet"/>
      <w:lvlText w:val="•"/>
      <w:lvlJc w:val="left"/>
      <w:pPr>
        <w:ind w:left="369" w:hanging="100"/>
      </w:pPr>
      <w:rPr>
        <w:rFonts w:hint="default"/>
      </w:rPr>
    </w:lvl>
    <w:lvl w:ilvl="2" w:tplc="3FB09A00">
      <w:numFmt w:val="bullet"/>
      <w:lvlText w:val="•"/>
      <w:lvlJc w:val="left"/>
      <w:pPr>
        <w:ind w:left="579" w:hanging="100"/>
      </w:pPr>
      <w:rPr>
        <w:rFonts w:hint="default"/>
      </w:rPr>
    </w:lvl>
    <w:lvl w:ilvl="3" w:tplc="92C2B1A6">
      <w:numFmt w:val="bullet"/>
      <w:lvlText w:val="•"/>
      <w:lvlJc w:val="left"/>
      <w:pPr>
        <w:ind w:left="789" w:hanging="100"/>
      </w:pPr>
      <w:rPr>
        <w:rFonts w:hint="default"/>
      </w:rPr>
    </w:lvl>
    <w:lvl w:ilvl="4" w:tplc="A1A012F6">
      <w:numFmt w:val="bullet"/>
      <w:lvlText w:val="•"/>
      <w:lvlJc w:val="left"/>
      <w:pPr>
        <w:ind w:left="998" w:hanging="100"/>
      </w:pPr>
      <w:rPr>
        <w:rFonts w:hint="default"/>
      </w:rPr>
    </w:lvl>
    <w:lvl w:ilvl="5" w:tplc="E0666146">
      <w:numFmt w:val="bullet"/>
      <w:lvlText w:val="•"/>
      <w:lvlJc w:val="left"/>
      <w:pPr>
        <w:ind w:left="1208" w:hanging="100"/>
      </w:pPr>
      <w:rPr>
        <w:rFonts w:hint="default"/>
      </w:rPr>
    </w:lvl>
    <w:lvl w:ilvl="6" w:tplc="4D46C572">
      <w:numFmt w:val="bullet"/>
      <w:lvlText w:val="•"/>
      <w:lvlJc w:val="left"/>
      <w:pPr>
        <w:ind w:left="1418" w:hanging="100"/>
      </w:pPr>
      <w:rPr>
        <w:rFonts w:hint="default"/>
      </w:rPr>
    </w:lvl>
    <w:lvl w:ilvl="7" w:tplc="5080CF18">
      <w:numFmt w:val="bullet"/>
      <w:lvlText w:val="•"/>
      <w:lvlJc w:val="left"/>
      <w:pPr>
        <w:ind w:left="1627" w:hanging="100"/>
      </w:pPr>
      <w:rPr>
        <w:rFonts w:hint="default"/>
      </w:rPr>
    </w:lvl>
    <w:lvl w:ilvl="8" w:tplc="4AC02266">
      <w:numFmt w:val="bullet"/>
      <w:lvlText w:val="•"/>
      <w:lvlJc w:val="left"/>
      <w:pPr>
        <w:ind w:left="1837" w:hanging="100"/>
      </w:pPr>
      <w:rPr>
        <w:rFonts w:hint="default"/>
      </w:rPr>
    </w:lvl>
  </w:abstractNum>
  <w:abstractNum w:abstractNumId="423" w15:restartNumberingAfterBreak="0">
    <w:nsid w:val="1AA034E7"/>
    <w:multiLevelType w:val="hybridMultilevel"/>
    <w:tmpl w:val="7400C7D6"/>
    <w:lvl w:ilvl="0" w:tplc="F65830F4">
      <w:numFmt w:val="bullet"/>
      <w:lvlText w:val=""/>
      <w:lvlJc w:val="left"/>
      <w:pPr>
        <w:ind w:left="57" w:hanging="100"/>
      </w:pPr>
      <w:rPr>
        <w:rFonts w:ascii="Symbol" w:eastAsia="Symbol" w:hAnsi="Symbol" w:cs="Symbol" w:hint="default"/>
        <w:color w:val="231F20"/>
        <w:w w:val="100"/>
        <w:sz w:val="14"/>
        <w:szCs w:val="14"/>
      </w:rPr>
    </w:lvl>
    <w:lvl w:ilvl="1" w:tplc="5470C5CE">
      <w:numFmt w:val="bullet"/>
      <w:lvlText w:val="•"/>
      <w:lvlJc w:val="left"/>
      <w:pPr>
        <w:ind w:left="336" w:hanging="100"/>
      </w:pPr>
      <w:rPr>
        <w:rFonts w:hint="default"/>
      </w:rPr>
    </w:lvl>
    <w:lvl w:ilvl="2" w:tplc="20747CD2">
      <w:numFmt w:val="bullet"/>
      <w:lvlText w:val="•"/>
      <w:lvlJc w:val="left"/>
      <w:pPr>
        <w:ind w:left="612" w:hanging="100"/>
      </w:pPr>
      <w:rPr>
        <w:rFonts w:hint="default"/>
      </w:rPr>
    </w:lvl>
    <w:lvl w:ilvl="3" w:tplc="F4CE49B0">
      <w:numFmt w:val="bullet"/>
      <w:lvlText w:val="•"/>
      <w:lvlJc w:val="left"/>
      <w:pPr>
        <w:ind w:left="889" w:hanging="100"/>
      </w:pPr>
      <w:rPr>
        <w:rFonts w:hint="default"/>
      </w:rPr>
    </w:lvl>
    <w:lvl w:ilvl="4" w:tplc="48460054">
      <w:numFmt w:val="bullet"/>
      <w:lvlText w:val="•"/>
      <w:lvlJc w:val="left"/>
      <w:pPr>
        <w:ind w:left="1165" w:hanging="100"/>
      </w:pPr>
      <w:rPr>
        <w:rFonts w:hint="default"/>
      </w:rPr>
    </w:lvl>
    <w:lvl w:ilvl="5" w:tplc="E17E3AEC">
      <w:numFmt w:val="bullet"/>
      <w:lvlText w:val="•"/>
      <w:lvlJc w:val="left"/>
      <w:pPr>
        <w:ind w:left="1442" w:hanging="100"/>
      </w:pPr>
      <w:rPr>
        <w:rFonts w:hint="default"/>
      </w:rPr>
    </w:lvl>
    <w:lvl w:ilvl="6" w:tplc="027CD28C">
      <w:numFmt w:val="bullet"/>
      <w:lvlText w:val="•"/>
      <w:lvlJc w:val="left"/>
      <w:pPr>
        <w:ind w:left="1718" w:hanging="100"/>
      </w:pPr>
      <w:rPr>
        <w:rFonts w:hint="default"/>
      </w:rPr>
    </w:lvl>
    <w:lvl w:ilvl="7" w:tplc="04881B6E">
      <w:numFmt w:val="bullet"/>
      <w:lvlText w:val="•"/>
      <w:lvlJc w:val="left"/>
      <w:pPr>
        <w:ind w:left="1994" w:hanging="100"/>
      </w:pPr>
      <w:rPr>
        <w:rFonts w:hint="default"/>
      </w:rPr>
    </w:lvl>
    <w:lvl w:ilvl="8" w:tplc="A7420C0E">
      <w:numFmt w:val="bullet"/>
      <w:lvlText w:val="•"/>
      <w:lvlJc w:val="left"/>
      <w:pPr>
        <w:ind w:left="2271" w:hanging="100"/>
      </w:pPr>
      <w:rPr>
        <w:rFonts w:hint="default"/>
      </w:rPr>
    </w:lvl>
  </w:abstractNum>
  <w:abstractNum w:abstractNumId="424" w15:restartNumberingAfterBreak="0">
    <w:nsid w:val="1AAA330E"/>
    <w:multiLevelType w:val="hybridMultilevel"/>
    <w:tmpl w:val="A33CCAFA"/>
    <w:lvl w:ilvl="0" w:tplc="599ABD26">
      <w:numFmt w:val="bullet"/>
      <w:lvlText w:val="–"/>
      <w:lvlJc w:val="left"/>
      <w:pPr>
        <w:ind w:left="163" w:hanging="105"/>
      </w:pPr>
      <w:rPr>
        <w:rFonts w:ascii="Times New Roman" w:eastAsia="Times New Roman" w:hAnsi="Times New Roman" w:cs="Times New Roman" w:hint="default"/>
        <w:color w:val="231F20"/>
        <w:spacing w:val="-6"/>
        <w:w w:val="100"/>
        <w:sz w:val="14"/>
        <w:szCs w:val="14"/>
      </w:rPr>
    </w:lvl>
    <w:lvl w:ilvl="1" w:tplc="05A012A8">
      <w:numFmt w:val="bullet"/>
      <w:lvlText w:val="•"/>
      <w:lvlJc w:val="left"/>
      <w:pPr>
        <w:ind w:left="426" w:hanging="105"/>
      </w:pPr>
      <w:rPr>
        <w:rFonts w:hint="default"/>
      </w:rPr>
    </w:lvl>
    <w:lvl w:ilvl="2" w:tplc="37FC19BC">
      <w:numFmt w:val="bullet"/>
      <w:lvlText w:val="•"/>
      <w:lvlJc w:val="left"/>
      <w:pPr>
        <w:ind w:left="692" w:hanging="105"/>
      </w:pPr>
      <w:rPr>
        <w:rFonts w:hint="default"/>
      </w:rPr>
    </w:lvl>
    <w:lvl w:ilvl="3" w:tplc="C2C0B9A2">
      <w:numFmt w:val="bullet"/>
      <w:lvlText w:val="•"/>
      <w:lvlJc w:val="left"/>
      <w:pPr>
        <w:ind w:left="959" w:hanging="105"/>
      </w:pPr>
      <w:rPr>
        <w:rFonts w:hint="default"/>
      </w:rPr>
    </w:lvl>
    <w:lvl w:ilvl="4" w:tplc="28EA09B8">
      <w:numFmt w:val="bullet"/>
      <w:lvlText w:val="•"/>
      <w:lvlJc w:val="left"/>
      <w:pPr>
        <w:ind w:left="1225" w:hanging="105"/>
      </w:pPr>
      <w:rPr>
        <w:rFonts w:hint="default"/>
      </w:rPr>
    </w:lvl>
    <w:lvl w:ilvl="5" w:tplc="55F4FA4A">
      <w:numFmt w:val="bullet"/>
      <w:lvlText w:val="•"/>
      <w:lvlJc w:val="left"/>
      <w:pPr>
        <w:ind w:left="1492" w:hanging="105"/>
      </w:pPr>
      <w:rPr>
        <w:rFonts w:hint="default"/>
      </w:rPr>
    </w:lvl>
    <w:lvl w:ilvl="6" w:tplc="890276B8">
      <w:numFmt w:val="bullet"/>
      <w:lvlText w:val="•"/>
      <w:lvlJc w:val="left"/>
      <w:pPr>
        <w:ind w:left="1758" w:hanging="105"/>
      </w:pPr>
      <w:rPr>
        <w:rFonts w:hint="default"/>
      </w:rPr>
    </w:lvl>
    <w:lvl w:ilvl="7" w:tplc="EFDC77D4">
      <w:numFmt w:val="bullet"/>
      <w:lvlText w:val="•"/>
      <w:lvlJc w:val="left"/>
      <w:pPr>
        <w:ind w:left="2024" w:hanging="105"/>
      </w:pPr>
      <w:rPr>
        <w:rFonts w:hint="default"/>
      </w:rPr>
    </w:lvl>
    <w:lvl w:ilvl="8" w:tplc="7766EE9C">
      <w:numFmt w:val="bullet"/>
      <w:lvlText w:val="•"/>
      <w:lvlJc w:val="left"/>
      <w:pPr>
        <w:ind w:left="2291" w:hanging="105"/>
      </w:pPr>
      <w:rPr>
        <w:rFonts w:hint="default"/>
      </w:rPr>
    </w:lvl>
  </w:abstractNum>
  <w:abstractNum w:abstractNumId="425" w15:restartNumberingAfterBreak="0">
    <w:nsid w:val="1ABB2416"/>
    <w:multiLevelType w:val="hybridMultilevel"/>
    <w:tmpl w:val="117C3882"/>
    <w:lvl w:ilvl="0" w:tplc="54141408">
      <w:numFmt w:val="bullet"/>
      <w:lvlText w:val=""/>
      <w:lvlJc w:val="left"/>
      <w:pPr>
        <w:ind w:left="156" w:hanging="100"/>
      </w:pPr>
      <w:rPr>
        <w:rFonts w:ascii="Symbol" w:eastAsia="Symbol" w:hAnsi="Symbol" w:cs="Symbol" w:hint="default"/>
        <w:color w:val="231F20"/>
        <w:w w:val="100"/>
        <w:sz w:val="14"/>
        <w:szCs w:val="14"/>
      </w:rPr>
    </w:lvl>
    <w:lvl w:ilvl="1" w:tplc="F022FF1C">
      <w:numFmt w:val="bullet"/>
      <w:lvlText w:val="•"/>
      <w:lvlJc w:val="left"/>
      <w:pPr>
        <w:ind w:left="301" w:hanging="100"/>
      </w:pPr>
      <w:rPr>
        <w:rFonts w:hint="default"/>
      </w:rPr>
    </w:lvl>
    <w:lvl w:ilvl="2" w:tplc="72360C9C">
      <w:numFmt w:val="bullet"/>
      <w:lvlText w:val="•"/>
      <w:lvlJc w:val="left"/>
      <w:pPr>
        <w:ind w:left="443" w:hanging="100"/>
      </w:pPr>
      <w:rPr>
        <w:rFonts w:hint="default"/>
      </w:rPr>
    </w:lvl>
    <w:lvl w:ilvl="3" w:tplc="3EA821F4">
      <w:numFmt w:val="bullet"/>
      <w:lvlText w:val="•"/>
      <w:lvlJc w:val="left"/>
      <w:pPr>
        <w:ind w:left="585" w:hanging="100"/>
      </w:pPr>
      <w:rPr>
        <w:rFonts w:hint="default"/>
      </w:rPr>
    </w:lvl>
    <w:lvl w:ilvl="4" w:tplc="0644A454">
      <w:numFmt w:val="bullet"/>
      <w:lvlText w:val="•"/>
      <w:lvlJc w:val="left"/>
      <w:pPr>
        <w:ind w:left="726" w:hanging="100"/>
      </w:pPr>
      <w:rPr>
        <w:rFonts w:hint="default"/>
      </w:rPr>
    </w:lvl>
    <w:lvl w:ilvl="5" w:tplc="C376FC24">
      <w:numFmt w:val="bullet"/>
      <w:lvlText w:val="•"/>
      <w:lvlJc w:val="left"/>
      <w:pPr>
        <w:ind w:left="868" w:hanging="100"/>
      </w:pPr>
      <w:rPr>
        <w:rFonts w:hint="default"/>
      </w:rPr>
    </w:lvl>
    <w:lvl w:ilvl="6" w:tplc="A142DD5A">
      <w:numFmt w:val="bullet"/>
      <w:lvlText w:val="•"/>
      <w:lvlJc w:val="left"/>
      <w:pPr>
        <w:ind w:left="1010" w:hanging="100"/>
      </w:pPr>
      <w:rPr>
        <w:rFonts w:hint="default"/>
      </w:rPr>
    </w:lvl>
    <w:lvl w:ilvl="7" w:tplc="52722F46">
      <w:numFmt w:val="bullet"/>
      <w:lvlText w:val="•"/>
      <w:lvlJc w:val="left"/>
      <w:pPr>
        <w:ind w:left="1151" w:hanging="100"/>
      </w:pPr>
      <w:rPr>
        <w:rFonts w:hint="default"/>
      </w:rPr>
    </w:lvl>
    <w:lvl w:ilvl="8" w:tplc="F800B8FE">
      <w:numFmt w:val="bullet"/>
      <w:lvlText w:val="•"/>
      <w:lvlJc w:val="left"/>
      <w:pPr>
        <w:ind w:left="1293" w:hanging="100"/>
      </w:pPr>
      <w:rPr>
        <w:rFonts w:hint="default"/>
      </w:rPr>
    </w:lvl>
  </w:abstractNum>
  <w:abstractNum w:abstractNumId="426" w15:restartNumberingAfterBreak="0">
    <w:nsid w:val="1ACC4CD1"/>
    <w:multiLevelType w:val="hybridMultilevel"/>
    <w:tmpl w:val="82E63F04"/>
    <w:lvl w:ilvl="0" w:tplc="03BE0F88">
      <w:numFmt w:val="bullet"/>
      <w:lvlText w:val=""/>
      <w:lvlJc w:val="left"/>
      <w:pPr>
        <w:ind w:left="157" w:hanging="100"/>
      </w:pPr>
      <w:rPr>
        <w:rFonts w:ascii="Symbol" w:eastAsia="Symbol" w:hAnsi="Symbol" w:cs="Symbol" w:hint="default"/>
        <w:color w:val="231F20"/>
        <w:w w:val="100"/>
        <w:sz w:val="14"/>
        <w:szCs w:val="14"/>
      </w:rPr>
    </w:lvl>
    <w:lvl w:ilvl="1" w:tplc="21006556">
      <w:numFmt w:val="bullet"/>
      <w:lvlText w:val="•"/>
      <w:lvlJc w:val="left"/>
      <w:pPr>
        <w:ind w:left="301" w:hanging="100"/>
      </w:pPr>
      <w:rPr>
        <w:rFonts w:hint="default"/>
      </w:rPr>
    </w:lvl>
    <w:lvl w:ilvl="2" w:tplc="1B70FFFC">
      <w:numFmt w:val="bullet"/>
      <w:lvlText w:val="•"/>
      <w:lvlJc w:val="left"/>
      <w:pPr>
        <w:ind w:left="443" w:hanging="100"/>
      </w:pPr>
      <w:rPr>
        <w:rFonts w:hint="default"/>
      </w:rPr>
    </w:lvl>
    <w:lvl w:ilvl="3" w:tplc="F03E259C">
      <w:numFmt w:val="bullet"/>
      <w:lvlText w:val="•"/>
      <w:lvlJc w:val="left"/>
      <w:pPr>
        <w:ind w:left="585" w:hanging="100"/>
      </w:pPr>
      <w:rPr>
        <w:rFonts w:hint="default"/>
      </w:rPr>
    </w:lvl>
    <w:lvl w:ilvl="4" w:tplc="2F96F680">
      <w:numFmt w:val="bullet"/>
      <w:lvlText w:val="•"/>
      <w:lvlJc w:val="left"/>
      <w:pPr>
        <w:ind w:left="726" w:hanging="100"/>
      </w:pPr>
      <w:rPr>
        <w:rFonts w:hint="default"/>
      </w:rPr>
    </w:lvl>
    <w:lvl w:ilvl="5" w:tplc="25FCB0F8">
      <w:numFmt w:val="bullet"/>
      <w:lvlText w:val="•"/>
      <w:lvlJc w:val="left"/>
      <w:pPr>
        <w:ind w:left="868" w:hanging="100"/>
      </w:pPr>
      <w:rPr>
        <w:rFonts w:hint="default"/>
      </w:rPr>
    </w:lvl>
    <w:lvl w:ilvl="6" w:tplc="94D662E8">
      <w:numFmt w:val="bullet"/>
      <w:lvlText w:val="•"/>
      <w:lvlJc w:val="left"/>
      <w:pPr>
        <w:ind w:left="1010" w:hanging="100"/>
      </w:pPr>
      <w:rPr>
        <w:rFonts w:hint="default"/>
      </w:rPr>
    </w:lvl>
    <w:lvl w:ilvl="7" w:tplc="B5B6800E">
      <w:numFmt w:val="bullet"/>
      <w:lvlText w:val="•"/>
      <w:lvlJc w:val="left"/>
      <w:pPr>
        <w:ind w:left="1151" w:hanging="100"/>
      </w:pPr>
      <w:rPr>
        <w:rFonts w:hint="default"/>
      </w:rPr>
    </w:lvl>
    <w:lvl w:ilvl="8" w:tplc="2682CCB2">
      <w:numFmt w:val="bullet"/>
      <w:lvlText w:val="•"/>
      <w:lvlJc w:val="left"/>
      <w:pPr>
        <w:ind w:left="1293" w:hanging="100"/>
      </w:pPr>
      <w:rPr>
        <w:rFonts w:hint="default"/>
      </w:rPr>
    </w:lvl>
  </w:abstractNum>
  <w:abstractNum w:abstractNumId="427" w15:restartNumberingAfterBreak="0">
    <w:nsid w:val="1AD47E65"/>
    <w:multiLevelType w:val="hybridMultilevel"/>
    <w:tmpl w:val="5DD8B00E"/>
    <w:lvl w:ilvl="0" w:tplc="9D984DB4">
      <w:numFmt w:val="bullet"/>
      <w:lvlText w:val=""/>
      <w:lvlJc w:val="left"/>
      <w:pPr>
        <w:ind w:left="156" w:hanging="100"/>
      </w:pPr>
      <w:rPr>
        <w:rFonts w:ascii="Symbol" w:eastAsia="Symbol" w:hAnsi="Symbol" w:cs="Symbol" w:hint="default"/>
        <w:color w:val="231F20"/>
        <w:w w:val="100"/>
        <w:sz w:val="14"/>
        <w:szCs w:val="14"/>
      </w:rPr>
    </w:lvl>
    <w:lvl w:ilvl="1" w:tplc="84E60A5E">
      <w:numFmt w:val="bullet"/>
      <w:lvlText w:val="•"/>
      <w:lvlJc w:val="left"/>
      <w:pPr>
        <w:ind w:left="426" w:hanging="100"/>
      </w:pPr>
      <w:rPr>
        <w:rFonts w:hint="default"/>
      </w:rPr>
    </w:lvl>
    <w:lvl w:ilvl="2" w:tplc="F2D4316A">
      <w:numFmt w:val="bullet"/>
      <w:lvlText w:val="•"/>
      <w:lvlJc w:val="left"/>
      <w:pPr>
        <w:ind w:left="692" w:hanging="100"/>
      </w:pPr>
      <w:rPr>
        <w:rFonts w:hint="default"/>
      </w:rPr>
    </w:lvl>
    <w:lvl w:ilvl="3" w:tplc="3918A3A4">
      <w:numFmt w:val="bullet"/>
      <w:lvlText w:val="•"/>
      <w:lvlJc w:val="left"/>
      <w:pPr>
        <w:ind w:left="959" w:hanging="100"/>
      </w:pPr>
      <w:rPr>
        <w:rFonts w:hint="default"/>
      </w:rPr>
    </w:lvl>
    <w:lvl w:ilvl="4" w:tplc="59C0779C">
      <w:numFmt w:val="bullet"/>
      <w:lvlText w:val="•"/>
      <w:lvlJc w:val="left"/>
      <w:pPr>
        <w:ind w:left="1225" w:hanging="100"/>
      </w:pPr>
      <w:rPr>
        <w:rFonts w:hint="default"/>
      </w:rPr>
    </w:lvl>
    <w:lvl w:ilvl="5" w:tplc="050CF3CC">
      <w:numFmt w:val="bullet"/>
      <w:lvlText w:val="•"/>
      <w:lvlJc w:val="left"/>
      <w:pPr>
        <w:ind w:left="1492" w:hanging="100"/>
      </w:pPr>
      <w:rPr>
        <w:rFonts w:hint="default"/>
      </w:rPr>
    </w:lvl>
    <w:lvl w:ilvl="6" w:tplc="A320737A">
      <w:numFmt w:val="bullet"/>
      <w:lvlText w:val="•"/>
      <w:lvlJc w:val="left"/>
      <w:pPr>
        <w:ind w:left="1758" w:hanging="100"/>
      </w:pPr>
      <w:rPr>
        <w:rFonts w:hint="default"/>
      </w:rPr>
    </w:lvl>
    <w:lvl w:ilvl="7" w:tplc="745A15E2">
      <w:numFmt w:val="bullet"/>
      <w:lvlText w:val="•"/>
      <w:lvlJc w:val="left"/>
      <w:pPr>
        <w:ind w:left="2024" w:hanging="100"/>
      </w:pPr>
      <w:rPr>
        <w:rFonts w:hint="default"/>
      </w:rPr>
    </w:lvl>
    <w:lvl w:ilvl="8" w:tplc="DCB00D14">
      <w:numFmt w:val="bullet"/>
      <w:lvlText w:val="•"/>
      <w:lvlJc w:val="left"/>
      <w:pPr>
        <w:ind w:left="2291" w:hanging="100"/>
      </w:pPr>
      <w:rPr>
        <w:rFonts w:hint="default"/>
      </w:rPr>
    </w:lvl>
  </w:abstractNum>
  <w:abstractNum w:abstractNumId="428" w15:restartNumberingAfterBreak="0">
    <w:nsid w:val="1AE205D0"/>
    <w:multiLevelType w:val="hybridMultilevel"/>
    <w:tmpl w:val="3FFAEB70"/>
    <w:lvl w:ilvl="0" w:tplc="AC0CD814">
      <w:numFmt w:val="bullet"/>
      <w:lvlText w:val=""/>
      <w:lvlJc w:val="left"/>
      <w:pPr>
        <w:ind w:left="157" w:hanging="100"/>
      </w:pPr>
      <w:rPr>
        <w:rFonts w:ascii="Symbol" w:eastAsia="Symbol" w:hAnsi="Symbol" w:cs="Symbol" w:hint="default"/>
        <w:color w:val="231F20"/>
        <w:w w:val="100"/>
        <w:sz w:val="14"/>
        <w:szCs w:val="14"/>
      </w:rPr>
    </w:lvl>
    <w:lvl w:ilvl="1" w:tplc="FE128740">
      <w:numFmt w:val="bullet"/>
      <w:lvlText w:val="•"/>
      <w:lvlJc w:val="left"/>
      <w:pPr>
        <w:ind w:left="426" w:hanging="100"/>
      </w:pPr>
      <w:rPr>
        <w:rFonts w:hint="default"/>
      </w:rPr>
    </w:lvl>
    <w:lvl w:ilvl="2" w:tplc="22382B1C">
      <w:numFmt w:val="bullet"/>
      <w:lvlText w:val="•"/>
      <w:lvlJc w:val="left"/>
      <w:pPr>
        <w:ind w:left="692" w:hanging="100"/>
      </w:pPr>
      <w:rPr>
        <w:rFonts w:hint="default"/>
      </w:rPr>
    </w:lvl>
    <w:lvl w:ilvl="3" w:tplc="351AA2F0">
      <w:numFmt w:val="bullet"/>
      <w:lvlText w:val="•"/>
      <w:lvlJc w:val="left"/>
      <w:pPr>
        <w:ind w:left="959" w:hanging="100"/>
      </w:pPr>
      <w:rPr>
        <w:rFonts w:hint="default"/>
      </w:rPr>
    </w:lvl>
    <w:lvl w:ilvl="4" w:tplc="8154D1DE">
      <w:numFmt w:val="bullet"/>
      <w:lvlText w:val="•"/>
      <w:lvlJc w:val="left"/>
      <w:pPr>
        <w:ind w:left="1225" w:hanging="100"/>
      </w:pPr>
      <w:rPr>
        <w:rFonts w:hint="default"/>
      </w:rPr>
    </w:lvl>
    <w:lvl w:ilvl="5" w:tplc="AF70F54E">
      <w:numFmt w:val="bullet"/>
      <w:lvlText w:val="•"/>
      <w:lvlJc w:val="left"/>
      <w:pPr>
        <w:ind w:left="1492" w:hanging="100"/>
      </w:pPr>
      <w:rPr>
        <w:rFonts w:hint="default"/>
      </w:rPr>
    </w:lvl>
    <w:lvl w:ilvl="6" w:tplc="52284084">
      <w:numFmt w:val="bullet"/>
      <w:lvlText w:val="•"/>
      <w:lvlJc w:val="left"/>
      <w:pPr>
        <w:ind w:left="1758" w:hanging="100"/>
      </w:pPr>
      <w:rPr>
        <w:rFonts w:hint="default"/>
      </w:rPr>
    </w:lvl>
    <w:lvl w:ilvl="7" w:tplc="6718A300">
      <w:numFmt w:val="bullet"/>
      <w:lvlText w:val="•"/>
      <w:lvlJc w:val="left"/>
      <w:pPr>
        <w:ind w:left="2024" w:hanging="100"/>
      </w:pPr>
      <w:rPr>
        <w:rFonts w:hint="default"/>
      </w:rPr>
    </w:lvl>
    <w:lvl w:ilvl="8" w:tplc="CA90875A">
      <w:numFmt w:val="bullet"/>
      <w:lvlText w:val="•"/>
      <w:lvlJc w:val="left"/>
      <w:pPr>
        <w:ind w:left="2291" w:hanging="100"/>
      </w:pPr>
      <w:rPr>
        <w:rFonts w:hint="default"/>
      </w:rPr>
    </w:lvl>
  </w:abstractNum>
  <w:abstractNum w:abstractNumId="429" w15:restartNumberingAfterBreak="0">
    <w:nsid w:val="1AE33C8A"/>
    <w:multiLevelType w:val="hybridMultilevel"/>
    <w:tmpl w:val="62780458"/>
    <w:lvl w:ilvl="0" w:tplc="E10E804E">
      <w:numFmt w:val="bullet"/>
      <w:lvlText w:val=""/>
      <w:lvlJc w:val="left"/>
      <w:pPr>
        <w:ind w:left="156" w:hanging="100"/>
      </w:pPr>
      <w:rPr>
        <w:rFonts w:ascii="Symbol" w:eastAsia="Symbol" w:hAnsi="Symbol" w:cs="Symbol" w:hint="default"/>
        <w:color w:val="231F20"/>
        <w:w w:val="100"/>
        <w:sz w:val="14"/>
        <w:szCs w:val="14"/>
      </w:rPr>
    </w:lvl>
    <w:lvl w:ilvl="1" w:tplc="A6905528">
      <w:numFmt w:val="bullet"/>
      <w:lvlText w:val="•"/>
      <w:lvlJc w:val="left"/>
      <w:pPr>
        <w:ind w:left="398" w:hanging="100"/>
      </w:pPr>
      <w:rPr>
        <w:rFonts w:hint="default"/>
      </w:rPr>
    </w:lvl>
    <w:lvl w:ilvl="2" w:tplc="3E0CD27E">
      <w:numFmt w:val="bullet"/>
      <w:lvlText w:val="•"/>
      <w:lvlJc w:val="left"/>
      <w:pPr>
        <w:ind w:left="636" w:hanging="100"/>
      </w:pPr>
      <w:rPr>
        <w:rFonts w:hint="default"/>
      </w:rPr>
    </w:lvl>
    <w:lvl w:ilvl="3" w:tplc="CB40F2D0">
      <w:numFmt w:val="bullet"/>
      <w:lvlText w:val="•"/>
      <w:lvlJc w:val="left"/>
      <w:pPr>
        <w:ind w:left="874" w:hanging="100"/>
      </w:pPr>
      <w:rPr>
        <w:rFonts w:hint="default"/>
      </w:rPr>
    </w:lvl>
    <w:lvl w:ilvl="4" w:tplc="D848E358">
      <w:numFmt w:val="bullet"/>
      <w:lvlText w:val="•"/>
      <w:lvlJc w:val="left"/>
      <w:pPr>
        <w:ind w:left="1112" w:hanging="100"/>
      </w:pPr>
      <w:rPr>
        <w:rFonts w:hint="default"/>
      </w:rPr>
    </w:lvl>
    <w:lvl w:ilvl="5" w:tplc="51407654">
      <w:numFmt w:val="bullet"/>
      <w:lvlText w:val="•"/>
      <w:lvlJc w:val="left"/>
      <w:pPr>
        <w:ind w:left="1350" w:hanging="100"/>
      </w:pPr>
      <w:rPr>
        <w:rFonts w:hint="default"/>
      </w:rPr>
    </w:lvl>
    <w:lvl w:ilvl="6" w:tplc="D004C3B2">
      <w:numFmt w:val="bullet"/>
      <w:lvlText w:val="•"/>
      <w:lvlJc w:val="left"/>
      <w:pPr>
        <w:ind w:left="1588" w:hanging="100"/>
      </w:pPr>
      <w:rPr>
        <w:rFonts w:hint="default"/>
      </w:rPr>
    </w:lvl>
    <w:lvl w:ilvl="7" w:tplc="3800C4F6">
      <w:numFmt w:val="bullet"/>
      <w:lvlText w:val="•"/>
      <w:lvlJc w:val="left"/>
      <w:pPr>
        <w:ind w:left="1826" w:hanging="100"/>
      </w:pPr>
      <w:rPr>
        <w:rFonts w:hint="default"/>
      </w:rPr>
    </w:lvl>
    <w:lvl w:ilvl="8" w:tplc="9D7E7FE4">
      <w:numFmt w:val="bullet"/>
      <w:lvlText w:val="•"/>
      <w:lvlJc w:val="left"/>
      <w:pPr>
        <w:ind w:left="2064" w:hanging="100"/>
      </w:pPr>
      <w:rPr>
        <w:rFonts w:hint="default"/>
      </w:rPr>
    </w:lvl>
  </w:abstractNum>
  <w:abstractNum w:abstractNumId="430" w15:restartNumberingAfterBreak="0">
    <w:nsid w:val="1AFB49F9"/>
    <w:multiLevelType w:val="hybridMultilevel"/>
    <w:tmpl w:val="448AAE40"/>
    <w:lvl w:ilvl="0" w:tplc="6FC41D90">
      <w:numFmt w:val="bullet"/>
      <w:lvlText w:val=""/>
      <w:lvlJc w:val="left"/>
      <w:pPr>
        <w:ind w:left="156" w:hanging="100"/>
      </w:pPr>
      <w:rPr>
        <w:rFonts w:ascii="Symbol" w:eastAsia="Symbol" w:hAnsi="Symbol" w:cs="Symbol" w:hint="default"/>
        <w:color w:val="231F20"/>
        <w:w w:val="100"/>
        <w:sz w:val="14"/>
        <w:szCs w:val="14"/>
      </w:rPr>
    </w:lvl>
    <w:lvl w:ilvl="1" w:tplc="68B8E90C">
      <w:numFmt w:val="bullet"/>
      <w:lvlText w:val="•"/>
      <w:lvlJc w:val="left"/>
      <w:pPr>
        <w:ind w:left="398" w:hanging="100"/>
      </w:pPr>
      <w:rPr>
        <w:rFonts w:hint="default"/>
      </w:rPr>
    </w:lvl>
    <w:lvl w:ilvl="2" w:tplc="FB34A744">
      <w:numFmt w:val="bullet"/>
      <w:lvlText w:val="•"/>
      <w:lvlJc w:val="left"/>
      <w:pPr>
        <w:ind w:left="636" w:hanging="100"/>
      </w:pPr>
      <w:rPr>
        <w:rFonts w:hint="default"/>
      </w:rPr>
    </w:lvl>
    <w:lvl w:ilvl="3" w:tplc="5D76DF1E">
      <w:numFmt w:val="bullet"/>
      <w:lvlText w:val="•"/>
      <w:lvlJc w:val="left"/>
      <w:pPr>
        <w:ind w:left="874" w:hanging="100"/>
      </w:pPr>
      <w:rPr>
        <w:rFonts w:hint="default"/>
      </w:rPr>
    </w:lvl>
    <w:lvl w:ilvl="4" w:tplc="024EB9BC">
      <w:numFmt w:val="bullet"/>
      <w:lvlText w:val="•"/>
      <w:lvlJc w:val="left"/>
      <w:pPr>
        <w:ind w:left="1112" w:hanging="100"/>
      </w:pPr>
      <w:rPr>
        <w:rFonts w:hint="default"/>
      </w:rPr>
    </w:lvl>
    <w:lvl w:ilvl="5" w:tplc="D8CCBC64">
      <w:numFmt w:val="bullet"/>
      <w:lvlText w:val="•"/>
      <w:lvlJc w:val="left"/>
      <w:pPr>
        <w:ind w:left="1350" w:hanging="100"/>
      </w:pPr>
      <w:rPr>
        <w:rFonts w:hint="default"/>
      </w:rPr>
    </w:lvl>
    <w:lvl w:ilvl="6" w:tplc="EC4E07BE">
      <w:numFmt w:val="bullet"/>
      <w:lvlText w:val="•"/>
      <w:lvlJc w:val="left"/>
      <w:pPr>
        <w:ind w:left="1588" w:hanging="100"/>
      </w:pPr>
      <w:rPr>
        <w:rFonts w:hint="default"/>
      </w:rPr>
    </w:lvl>
    <w:lvl w:ilvl="7" w:tplc="81EA5560">
      <w:numFmt w:val="bullet"/>
      <w:lvlText w:val="•"/>
      <w:lvlJc w:val="left"/>
      <w:pPr>
        <w:ind w:left="1826" w:hanging="100"/>
      </w:pPr>
      <w:rPr>
        <w:rFonts w:hint="default"/>
      </w:rPr>
    </w:lvl>
    <w:lvl w:ilvl="8" w:tplc="B9EC22D0">
      <w:numFmt w:val="bullet"/>
      <w:lvlText w:val="•"/>
      <w:lvlJc w:val="left"/>
      <w:pPr>
        <w:ind w:left="2064" w:hanging="100"/>
      </w:pPr>
      <w:rPr>
        <w:rFonts w:hint="default"/>
      </w:rPr>
    </w:lvl>
  </w:abstractNum>
  <w:abstractNum w:abstractNumId="431" w15:restartNumberingAfterBreak="0">
    <w:nsid w:val="1B0705A0"/>
    <w:multiLevelType w:val="hybridMultilevel"/>
    <w:tmpl w:val="1A20B590"/>
    <w:lvl w:ilvl="0" w:tplc="060AF832">
      <w:numFmt w:val="bullet"/>
      <w:lvlText w:val=""/>
      <w:lvlJc w:val="left"/>
      <w:pPr>
        <w:ind w:left="157" w:hanging="100"/>
      </w:pPr>
      <w:rPr>
        <w:rFonts w:ascii="Symbol" w:eastAsia="Symbol" w:hAnsi="Symbol" w:cs="Symbol" w:hint="default"/>
        <w:color w:val="231F20"/>
        <w:w w:val="100"/>
        <w:sz w:val="14"/>
        <w:szCs w:val="14"/>
      </w:rPr>
    </w:lvl>
    <w:lvl w:ilvl="1" w:tplc="39F85956">
      <w:numFmt w:val="bullet"/>
      <w:lvlText w:val="•"/>
      <w:lvlJc w:val="left"/>
      <w:pPr>
        <w:ind w:left="369" w:hanging="100"/>
      </w:pPr>
      <w:rPr>
        <w:rFonts w:hint="default"/>
      </w:rPr>
    </w:lvl>
    <w:lvl w:ilvl="2" w:tplc="BA90BD9E">
      <w:numFmt w:val="bullet"/>
      <w:lvlText w:val="•"/>
      <w:lvlJc w:val="left"/>
      <w:pPr>
        <w:ind w:left="579" w:hanging="100"/>
      </w:pPr>
      <w:rPr>
        <w:rFonts w:hint="default"/>
      </w:rPr>
    </w:lvl>
    <w:lvl w:ilvl="3" w:tplc="C554E3EA">
      <w:numFmt w:val="bullet"/>
      <w:lvlText w:val="•"/>
      <w:lvlJc w:val="left"/>
      <w:pPr>
        <w:ind w:left="789" w:hanging="100"/>
      </w:pPr>
      <w:rPr>
        <w:rFonts w:hint="default"/>
      </w:rPr>
    </w:lvl>
    <w:lvl w:ilvl="4" w:tplc="371232D4">
      <w:numFmt w:val="bullet"/>
      <w:lvlText w:val="•"/>
      <w:lvlJc w:val="left"/>
      <w:pPr>
        <w:ind w:left="998" w:hanging="100"/>
      </w:pPr>
      <w:rPr>
        <w:rFonts w:hint="default"/>
      </w:rPr>
    </w:lvl>
    <w:lvl w:ilvl="5" w:tplc="67FA5E84">
      <w:numFmt w:val="bullet"/>
      <w:lvlText w:val="•"/>
      <w:lvlJc w:val="left"/>
      <w:pPr>
        <w:ind w:left="1208" w:hanging="100"/>
      </w:pPr>
      <w:rPr>
        <w:rFonts w:hint="default"/>
      </w:rPr>
    </w:lvl>
    <w:lvl w:ilvl="6" w:tplc="770C82AC">
      <w:numFmt w:val="bullet"/>
      <w:lvlText w:val="•"/>
      <w:lvlJc w:val="left"/>
      <w:pPr>
        <w:ind w:left="1418" w:hanging="100"/>
      </w:pPr>
      <w:rPr>
        <w:rFonts w:hint="default"/>
      </w:rPr>
    </w:lvl>
    <w:lvl w:ilvl="7" w:tplc="6AF4895A">
      <w:numFmt w:val="bullet"/>
      <w:lvlText w:val="•"/>
      <w:lvlJc w:val="left"/>
      <w:pPr>
        <w:ind w:left="1627" w:hanging="100"/>
      </w:pPr>
      <w:rPr>
        <w:rFonts w:hint="default"/>
      </w:rPr>
    </w:lvl>
    <w:lvl w:ilvl="8" w:tplc="E618A1E4">
      <w:numFmt w:val="bullet"/>
      <w:lvlText w:val="•"/>
      <w:lvlJc w:val="left"/>
      <w:pPr>
        <w:ind w:left="1837" w:hanging="100"/>
      </w:pPr>
      <w:rPr>
        <w:rFonts w:hint="default"/>
      </w:rPr>
    </w:lvl>
  </w:abstractNum>
  <w:abstractNum w:abstractNumId="432" w15:restartNumberingAfterBreak="0">
    <w:nsid w:val="1B327C9C"/>
    <w:multiLevelType w:val="hybridMultilevel"/>
    <w:tmpl w:val="96D03796"/>
    <w:lvl w:ilvl="0" w:tplc="F3AEE7C2">
      <w:numFmt w:val="bullet"/>
      <w:lvlText w:val=""/>
      <w:lvlJc w:val="left"/>
      <w:pPr>
        <w:ind w:left="156" w:hanging="100"/>
      </w:pPr>
      <w:rPr>
        <w:rFonts w:ascii="Symbol" w:eastAsia="Symbol" w:hAnsi="Symbol" w:cs="Symbol" w:hint="default"/>
        <w:color w:val="231F20"/>
        <w:w w:val="100"/>
        <w:sz w:val="14"/>
        <w:szCs w:val="14"/>
      </w:rPr>
    </w:lvl>
    <w:lvl w:ilvl="1" w:tplc="81342EA4">
      <w:numFmt w:val="bullet"/>
      <w:lvlText w:val="•"/>
      <w:lvlJc w:val="left"/>
      <w:pPr>
        <w:ind w:left="301" w:hanging="100"/>
      </w:pPr>
      <w:rPr>
        <w:rFonts w:hint="default"/>
      </w:rPr>
    </w:lvl>
    <w:lvl w:ilvl="2" w:tplc="D0F2839C">
      <w:numFmt w:val="bullet"/>
      <w:lvlText w:val="•"/>
      <w:lvlJc w:val="left"/>
      <w:pPr>
        <w:ind w:left="443" w:hanging="100"/>
      </w:pPr>
      <w:rPr>
        <w:rFonts w:hint="default"/>
      </w:rPr>
    </w:lvl>
    <w:lvl w:ilvl="3" w:tplc="76980818">
      <w:numFmt w:val="bullet"/>
      <w:lvlText w:val="•"/>
      <w:lvlJc w:val="left"/>
      <w:pPr>
        <w:ind w:left="585" w:hanging="100"/>
      </w:pPr>
      <w:rPr>
        <w:rFonts w:hint="default"/>
      </w:rPr>
    </w:lvl>
    <w:lvl w:ilvl="4" w:tplc="C854D78E">
      <w:numFmt w:val="bullet"/>
      <w:lvlText w:val="•"/>
      <w:lvlJc w:val="left"/>
      <w:pPr>
        <w:ind w:left="726" w:hanging="100"/>
      </w:pPr>
      <w:rPr>
        <w:rFonts w:hint="default"/>
      </w:rPr>
    </w:lvl>
    <w:lvl w:ilvl="5" w:tplc="2348033C">
      <w:numFmt w:val="bullet"/>
      <w:lvlText w:val="•"/>
      <w:lvlJc w:val="left"/>
      <w:pPr>
        <w:ind w:left="868" w:hanging="100"/>
      </w:pPr>
      <w:rPr>
        <w:rFonts w:hint="default"/>
      </w:rPr>
    </w:lvl>
    <w:lvl w:ilvl="6" w:tplc="8DD224FC">
      <w:numFmt w:val="bullet"/>
      <w:lvlText w:val="•"/>
      <w:lvlJc w:val="left"/>
      <w:pPr>
        <w:ind w:left="1010" w:hanging="100"/>
      </w:pPr>
      <w:rPr>
        <w:rFonts w:hint="default"/>
      </w:rPr>
    </w:lvl>
    <w:lvl w:ilvl="7" w:tplc="588C73CE">
      <w:numFmt w:val="bullet"/>
      <w:lvlText w:val="•"/>
      <w:lvlJc w:val="left"/>
      <w:pPr>
        <w:ind w:left="1151" w:hanging="100"/>
      </w:pPr>
      <w:rPr>
        <w:rFonts w:hint="default"/>
      </w:rPr>
    </w:lvl>
    <w:lvl w:ilvl="8" w:tplc="2D6AA128">
      <w:numFmt w:val="bullet"/>
      <w:lvlText w:val="•"/>
      <w:lvlJc w:val="left"/>
      <w:pPr>
        <w:ind w:left="1293" w:hanging="100"/>
      </w:pPr>
      <w:rPr>
        <w:rFonts w:hint="default"/>
      </w:rPr>
    </w:lvl>
  </w:abstractNum>
  <w:abstractNum w:abstractNumId="433" w15:restartNumberingAfterBreak="0">
    <w:nsid w:val="1B3A3631"/>
    <w:multiLevelType w:val="hybridMultilevel"/>
    <w:tmpl w:val="83BAF778"/>
    <w:lvl w:ilvl="0" w:tplc="4BF80230">
      <w:numFmt w:val="bullet"/>
      <w:lvlText w:val=""/>
      <w:lvlJc w:val="left"/>
      <w:pPr>
        <w:ind w:left="156" w:hanging="100"/>
      </w:pPr>
      <w:rPr>
        <w:rFonts w:ascii="Symbol" w:eastAsia="Symbol" w:hAnsi="Symbol" w:cs="Symbol" w:hint="default"/>
        <w:color w:val="231F20"/>
        <w:w w:val="100"/>
        <w:sz w:val="14"/>
        <w:szCs w:val="14"/>
      </w:rPr>
    </w:lvl>
    <w:lvl w:ilvl="1" w:tplc="6E261B7E">
      <w:numFmt w:val="bullet"/>
      <w:lvlText w:val="•"/>
      <w:lvlJc w:val="left"/>
      <w:pPr>
        <w:ind w:left="454" w:hanging="100"/>
      </w:pPr>
      <w:rPr>
        <w:rFonts w:hint="default"/>
      </w:rPr>
    </w:lvl>
    <w:lvl w:ilvl="2" w:tplc="1FD24632">
      <w:numFmt w:val="bullet"/>
      <w:lvlText w:val="•"/>
      <w:lvlJc w:val="left"/>
      <w:pPr>
        <w:ind w:left="749" w:hanging="100"/>
      </w:pPr>
      <w:rPr>
        <w:rFonts w:hint="default"/>
      </w:rPr>
    </w:lvl>
    <w:lvl w:ilvl="3" w:tplc="7C6CAD36">
      <w:numFmt w:val="bullet"/>
      <w:lvlText w:val="•"/>
      <w:lvlJc w:val="left"/>
      <w:pPr>
        <w:ind w:left="1044" w:hanging="100"/>
      </w:pPr>
      <w:rPr>
        <w:rFonts w:hint="default"/>
      </w:rPr>
    </w:lvl>
    <w:lvl w:ilvl="4" w:tplc="88E8AF2A">
      <w:numFmt w:val="bullet"/>
      <w:lvlText w:val="•"/>
      <w:lvlJc w:val="left"/>
      <w:pPr>
        <w:ind w:left="1339" w:hanging="100"/>
      </w:pPr>
      <w:rPr>
        <w:rFonts w:hint="default"/>
      </w:rPr>
    </w:lvl>
    <w:lvl w:ilvl="5" w:tplc="7A1E3650">
      <w:numFmt w:val="bullet"/>
      <w:lvlText w:val="•"/>
      <w:lvlJc w:val="left"/>
      <w:pPr>
        <w:ind w:left="1634" w:hanging="100"/>
      </w:pPr>
      <w:rPr>
        <w:rFonts w:hint="default"/>
      </w:rPr>
    </w:lvl>
    <w:lvl w:ilvl="6" w:tplc="1AC676E2">
      <w:numFmt w:val="bullet"/>
      <w:lvlText w:val="•"/>
      <w:lvlJc w:val="left"/>
      <w:pPr>
        <w:ind w:left="1928" w:hanging="100"/>
      </w:pPr>
      <w:rPr>
        <w:rFonts w:hint="default"/>
      </w:rPr>
    </w:lvl>
    <w:lvl w:ilvl="7" w:tplc="2BD02914">
      <w:numFmt w:val="bullet"/>
      <w:lvlText w:val="•"/>
      <w:lvlJc w:val="left"/>
      <w:pPr>
        <w:ind w:left="2223" w:hanging="100"/>
      </w:pPr>
      <w:rPr>
        <w:rFonts w:hint="default"/>
      </w:rPr>
    </w:lvl>
    <w:lvl w:ilvl="8" w:tplc="2ACE6D82">
      <w:numFmt w:val="bullet"/>
      <w:lvlText w:val="•"/>
      <w:lvlJc w:val="left"/>
      <w:pPr>
        <w:ind w:left="2518" w:hanging="100"/>
      </w:pPr>
      <w:rPr>
        <w:rFonts w:hint="default"/>
      </w:rPr>
    </w:lvl>
  </w:abstractNum>
  <w:abstractNum w:abstractNumId="434" w15:restartNumberingAfterBreak="0">
    <w:nsid w:val="1B4314CC"/>
    <w:multiLevelType w:val="hybridMultilevel"/>
    <w:tmpl w:val="1278DC1C"/>
    <w:lvl w:ilvl="0" w:tplc="9D1CD684">
      <w:numFmt w:val="bullet"/>
      <w:lvlText w:val=""/>
      <w:lvlJc w:val="left"/>
      <w:pPr>
        <w:ind w:left="156" w:hanging="100"/>
      </w:pPr>
      <w:rPr>
        <w:rFonts w:ascii="Symbol" w:eastAsia="Symbol" w:hAnsi="Symbol" w:cs="Symbol" w:hint="default"/>
        <w:color w:val="231F20"/>
        <w:w w:val="100"/>
        <w:sz w:val="14"/>
        <w:szCs w:val="14"/>
      </w:rPr>
    </w:lvl>
    <w:lvl w:ilvl="1" w:tplc="09462E6C">
      <w:numFmt w:val="bullet"/>
      <w:lvlText w:val="•"/>
      <w:lvlJc w:val="left"/>
      <w:pPr>
        <w:ind w:left="301" w:hanging="100"/>
      </w:pPr>
      <w:rPr>
        <w:rFonts w:hint="default"/>
      </w:rPr>
    </w:lvl>
    <w:lvl w:ilvl="2" w:tplc="3176E79E">
      <w:numFmt w:val="bullet"/>
      <w:lvlText w:val="•"/>
      <w:lvlJc w:val="left"/>
      <w:pPr>
        <w:ind w:left="443" w:hanging="100"/>
      </w:pPr>
      <w:rPr>
        <w:rFonts w:hint="default"/>
      </w:rPr>
    </w:lvl>
    <w:lvl w:ilvl="3" w:tplc="4282EC04">
      <w:numFmt w:val="bullet"/>
      <w:lvlText w:val="•"/>
      <w:lvlJc w:val="left"/>
      <w:pPr>
        <w:ind w:left="585" w:hanging="100"/>
      </w:pPr>
      <w:rPr>
        <w:rFonts w:hint="default"/>
      </w:rPr>
    </w:lvl>
    <w:lvl w:ilvl="4" w:tplc="10223C50">
      <w:numFmt w:val="bullet"/>
      <w:lvlText w:val="•"/>
      <w:lvlJc w:val="left"/>
      <w:pPr>
        <w:ind w:left="726" w:hanging="100"/>
      </w:pPr>
      <w:rPr>
        <w:rFonts w:hint="default"/>
      </w:rPr>
    </w:lvl>
    <w:lvl w:ilvl="5" w:tplc="1FDCA0D4">
      <w:numFmt w:val="bullet"/>
      <w:lvlText w:val="•"/>
      <w:lvlJc w:val="left"/>
      <w:pPr>
        <w:ind w:left="868" w:hanging="100"/>
      </w:pPr>
      <w:rPr>
        <w:rFonts w:hint="default"/>
      </w:rPr>
    </w:lvl>
    <w:lvl w:ilvl="6" w:tplc="845E96EC">
      <w:numFmt w:val="bullet"/>
      <w:lvlText w:val="•"/>
      <w:lvlJc w:val="left"/>
      <w:pPr>
        <w:ind w:left="1010" w:hanging="100"/>
      </w:pPr>
      <w:rPr>
        <w:rFonts w:hint="default"/>
      </w:rPr>
    </w:lvl>
    <w:lvl w:ilvl="7" w:tplc="591E48B2">
      <w:numFmt w:val="bullet"/>
      <w:lvlText w:val="•"/>
      <w:lvlJc w:val="left"/>
      <w:pPr>
        <w:ind w:left="1151" w:hanging="100"/>
      </w:pPr>
      <w:rPr>
        <w:rFonts w:hint="default"/>
      </w:rPr>
    </w:lvl>
    <w:lvl w:ilvl="8" w:tplc="4BAEC4EC">
      <w:numFmt w:val="bullet"/>
      <w:lvlText w:val="•"/>
      <w:lvlJc w:val="left"/>
      <w:pPr>
        <w:ind w:left="1293" w:hanging="100"/>
      </w:pPr>
      <w:rPr>
        <w:rFonts w:hint="default"/>
      </w:rPr>
    </w:lvl>
  </w:abstractNum>
  <w:abstractNum w:abstractNumId="435" w15:restartNumberingAfterBreak="0">
    <w:nsid w:val="1B542237"/>
    <w:multiLevelType w:val="hybridMultilevel"/>
    <w:tmpl w:val="C5E8E062"/>
    <w:lvl w:ilvl="0" w:tplc="C75C96A0">
      <w:numFmt w:val="bullet"/>
      <w:lvlText w:val=""/>
      <w:lvlJc w:val="left"/>
      <w:pPr>
        <w:ind w:left="157" w:hanging="100"/>
      </w:pPr>
      <w:rPr>
        <w:rFonts w:ascii="Symbol" w:eastAsia="Symbol" w:hAnsi="Symbol" w:cs="Symbol" w:hint="default"/>
        <w:color w:val="231F20"/>
        <w:w w:val="100"/>
        <w:sz w:val="14"/>
        <w:szCs w:val="14"/>
      </w:rPr>
    </w:lvl>
    <w:lvl w:ilvl="1" w:tplc="23D2A28A">
      <w:numFmt w:val="bullet"/>
      <w:lvlText w:val="•"/>
      <w:lvlJc w:val="left"/>
      <w:pPr>
        <w:ind w:left="426" w:hanging="100"/>
      </w:pPr>
      <w:rPr>
        <w:rFonts w:hint="default"/>
      </w:rPr>
    </w:lvl>
    <w:lvl w:ilvl="2" w:tplc="05A4A582">
      <w:numFmt w:val="bullet"/>
      <w:lvlText w:val="•"/>
      <w:lvlJc w:val="left"/>
      <w:pPr>
        <w:ind w:left="692" w:hanging="100"/>
      </w:pPr>
      <w:rPr>
        <w:rFonts w:hint="default"/>
      </w:rPr>
    </w:lvl>
    <w:lvl w:ilvl="3" w:tplc="E724D970">
      <w:numFmt w:val="bullet"/>
      <w:lvlText w:val="•"/>
      <w:lvlJc w:val="left"/>
      <w:pPr>
        <w:ind w:left="959" w:hanging="100"/>
      </w:pPr>
      <w:rPr>
        <w:rFonts w:hint="default"/>
      </w:rPr>
    </w:lvl>
    <w:lvl w:ilvl="4" w:tplc="2B188814">
      <w:numFmt w:val="bullet"/>
      <w:lvlText w:val="•"/>
      <w:lvlJc w:val="left"/>
      <w:pPr>
        <w:ind w:left="1225" w:hanging="100"/>
      </w:pPr>
      <w:rPr>
        <w:rFonts w:hint="default"/>
      </w:rPr>
    </w:lvl>
    <w:lvl w:ilvl="5" w:tplc="1256E940">
      <w:numFmt w:val="bullet"/>
      <w:lvlText w:val="•"/>
      <w:lvlJc w:val="left"/>
      <w:pPr>
        <w:ind w:left="1492" w:hanging="100"/>
      </w:pPr>
      <w:rPr>
        <w:rFonts w:hint="default"/>
      </w:rPr>
    </w:lvl>
    <w:lvl w:ilvl="6" w:tplc="C3ECD03A">
      <w:numFmt w:val="bullet"/>
      <w:lvlText w:val="•"/>
      <w:lvlJc w:val="left"/>
      <w:pPr>
        <w:ind w:left="1758" w:hanging="100"/>
      </w:pPr>
      <w:rPr>
        <w:rFonts w:hint="default"/>
      </w:rPr>
    </w:lvl>
    <w:lvl w:ilvl="7" w:tplc="F1224702">
      <w:numFmt w:val="bullet"/>
      <w:lvlText w:val="•"/>
      <w:lvlJc w:val="left"/>
      <w:pPr>
        <w:ind w:left="2024" w:hanging="100"/>
      </w:pPr>
      <w:rPr>
        <w:rFonts w:hint="default"/>
      </w:rPr>
    </w:lvl>
    <w:lvl w:ilvl="8" w:tplc="8B9E97DC">
      <w:numFmt w:val="bullet"/>
      <w:lvlText w:val="•"/>
      <w:lvlJc w:val="left"/>
      <w:pPr>
        <w:ind w:left="2291" w:hanging="100"/>
      </w:pPr>
      <w:rPr>
        <w:rFonts w:hint="default"/>
      </w:rPr>
    </w:lvl>
  </w:abstractNum>
  <w:abstractNum w:abstractNumId="436" w15:restartNumberingAfterBreak="0">
    <w:nsid w:val="1B9A1B03"/>
    <w:multiLevelType w:val="hybridMultilevel"/>
    <w:tmpl w:val="F01CE1D0"/>
    <w:lvl w:ilvl="0" w:tplc="A30EC6B4">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66007AC0">
      <w:numFmt w:val="bullet"/>
      <w:lvlText w:val="•"/>
      <w:lvlJc w:val="left"/>
      <w:pPr>
        <w:ind w:left="408" w:hanging="84"/>
      </w:pPr>
      <w:rPr>
        <w:rFonts w:hint="default"/>
      </w:rPr>
    </w:lvl>
    <w:lvl w:ilvl="2" w:tplc="9E1645BC">
      <w:numFmt w:val="bullet"/>
      <w:lvlText w:val="•"/>
      <w:lvlJc w:val="left"/>
      <w:pPr>
        <w:ind w:left="676" w:hanging="84"/>
      </w:pPr>
      <w:rPr>
        <w:rFonts w:hint="default"/>
      </w:rPr>
    </w:lvl>
    <w:lvl w:ilvl="3" w:tplc="B92AF0EE">
      <w:numFmt w:val="bullet"/>
      <w:lvlText w:val="•"/>
      <w:lvlJc w:val="left"/>
      <w:pPr>
        <w:ind w:left="945" w:hanging="84"/>
      </w:pPr>
      <w:rPr>
        <w:rFonts w:hint="default"/>
      </w:rPr>
    </w:lvl>
    <w:lvl w:ilvl="4" w:tplc="72EAF358">
      <w:numFmt w:val="bullet"/>
      <w:lvlText w:val="•"/>
      <w:lvlJc w:val="left"/>
      <w:pPr>
        <w:ind w:left="1213" w:hanging="84"/>
      </w:pPr>
      <w:rPr>
        <w:rFonts w:hint="default"/>
      </w:rPr>
    </w:lvl>
    <w:lvl w:ilvl="5" w:tplc="1BC221E6">
      <w:numFmt w:val="bullet"/>
      <w:lvlText w:val="•"/>
      <w:lvlJc w:val="left"/>
      <w:pPr>
        <w:ind w:left="1482" w:hanging="84"/>
      </w:pPr>
      <w:rPr>
        <w:rFonts w:hint="default"/>
      </w:rPr>
    </w:lvl>
    <w:lvl w:ilvl="6" w:tplc="FF642EF2">
      <w:numFmt w:val="bullet"/>
      <w:lvlText w:val="•"/>
      <w:lvlJc w:val="left"/>
      <w:pPr>
        <w:ind w:left="1750" w:hanging="84"/>
      </w:pPr>
      <w:rPr>
        <w:rFonts w:hint="default"/>
      </w:rPr>
    </w:lvl>
    <w:lvl w:ilvl="7" w:tplc="5C6E3D7E">
      <w:numFmt w:val="bullet"/>
      <w:lvlText w:val="•"/>
      <w:lvlJc w:val="left"/>
      <w:pPr>
        <w:ind w:left="2018" w:hanging="84"/>
      </w:pPr>
      <w:rPr>
        <w:rFonts w:hint="default"/>
      </w:rPr>
    </w:lvl>
    <w:lvl w:ilvl="8" w:tplc="5D72479A">
      <w:numFmt w:val="bullet"/>
      <w:lvlText w:val="•"/>
      <w:lvlJc w:val="left"/>
      <w:pPr>
        <w:ind w:left="2287" w:hanging="84"/>
      </w:pPr>
      <w:rPr>
        <w:rFonts w:hint="default"/>
      </w:rPr>
    </w:lvl>
  </w:abstractNum>
  <w:abstractNum w:abstractNumId="437" w15:restartNumberingAfterBreak="0">
    <w:nsid w:val="1BA94E9C"/>
    <w:multiLevelType w:val="hybridMultilevel"/>
    <w:tmpl w:val="174AE03E"/>
    <w:lvl w:ilvl="0" w:tplc="604014E2">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8264A7CA">
      <w:numFmt w:val="bullet"/>
      <w:lvlText w:val="•"/>
      <w:lvlJc w:val="left"/>
      <w:pPr>
        <w:ind w:left="1528" w:hanging="180"/>
      </w:pPr>
      <w:rPr>
        <w:rFonts w:hint="default"/>
      </w:rPr>
    </w:lvl>
    <w:lvl w:ilvl="2" w:tplc="9BB01422">
      <w:numFmt w:val="bullet"/>
      <w:lvlText w:val="•"/>
      <w:lvlJc w:val="left"/>
      <w:pPr>
        <w:ind w:left="2557" w:hanging="180"/>
      </w:pPr>
      <w:rPr>
        <w:rFonts w:hint="default"/>
      </w:rPr>
    </w:lvl>
    <w:lvl w:ilvl="3" w:tplc="BC64C124">
      <w:numFmt w:val="bullet"/>
      <w:lvlText w:val="•"/>
      <w:lvlJc w:val="left"/>
      <w:pPr>
        <w:ind w:left="3585" w:hanging="180"/>
      </w:pPr>
      <w:rPr>
        <w:rFonts w:hint="default"/>
      </w:rPr>
    </w:lvl>
    <w:lvl w:ilvl="4" w:tplc="0C209374">
      <w:numFmt w:val="bullet"/>
      <w:lvlText w:val="•"/>
      <w:lvlJc w:val="left"/>
      <w:pPr>
        <w:ind w:left="4614" w:hanging="180"/>
      </w:pPr>
      <w:rPr>
        <w:rFonts w:hint="default"/>
      </w:rPr>
    </w:lvl>
    <w:lvl w:ilvl="5" w:tplc="6F34C142">
      <w:numFmt w:val="bullet"/>
      <w:lvlText w:val="•"/>
      <w:lvlJc w:val="left"/>
      <w:pPr>
        <w:ind w:left="5642" w:hanging="180"/>
      </w:pPr>
      <w:rPr>
        <w:rFonts w:hint="default"/>
      </w:rPr>
    </w:lvl>
    <w:lvl w:ilvl="6" w:tplc="AD4A6D90">
      <w:numFmt w:val="bullet"/>
      <w:lvlText w:val="•"/>
      <w:lvlJc w:val="left"/>
      <w:pPr>
        <w:ind w:left="6671" w:hanging="180"/>
      </w:pPr>
      <w:rPr>
        <w:rFonts w:hint="default"/>
      </w:rPr>
    </w:lvl>
    <w:lvl w:ilvl="7" w:tplc="CA663F4A">
      <w:numFmt w:val="bullet"/>
      <w:lvlText w:val="•"/>
      <w:lvlJc w:val="left"/>
      <w:pPr>
        <w:ind w:left="7699" w:hanging="180"/>
      </w:pPr>
      <w:rPr>
        <w:rFonts w:hint="default"/>
      </w:rPr>
    </w:lvl>
    <w:lvl w:ilvl="8" w:tplc="5A2EEB30">
      <w:numFmt w:val="bullet"/>
      <w:lvlText w:val="•"/>
      <w:lvlJc w:val="left"/>
      <w:pPr>
        <w:ind w:left="8728" w:hanging="180"/>
      </w:pPr>
      <w:rPr>
        <w:rFonts w:hint="default"/>
      </w:rPr>
    </w:lvl>
  </w:abstractNum>
  <w:abstractNum w:abstractNumId="438" w15:restartNumberingAfterBreak="0">
    <w:nsid w:val="1BAE1244"/>
    <w:multiLevelType w:val="hybridMultilevel"/>
    <w:tmpl w:val="F32C710E"/>
    <w:lvl w:ilvl="0" w:tplc="A80C6000">
      <w:numFmt w:val="bullet"/>
      <w:lvlText w:val=""/>
      <w:lvlJc w:val="left"/>
      <w:pPr>
        <w:ind w:left="156" w:hanging="100"/>
      </w:pPr>
      <w:rPr>
        <w:rFonts w:ascii="Symbol" w:eastAsia="Symbol" w:hAnsi="Symbol" w:cs="Symbol" w:hint="default"/>
        <w:color w:val="231F20"/>
        <w:w w:val="100"/>
        <w:sz w:val="14"/>
        <w:szCs w:val="14"/>
      </w:rPr>
    </w:lvl>
    <w:lvl w:ilvl="1" w:tplc="517C5CEA">
      <w:numFmt w:val="bullet"/>
      <w:lvlText w:val="•"/>
      <w:lvlJc w:val="left"/>
      <w:pPr>
        <w:ind w:left="301" w:hanging="100"/>
      </w:pPr>
      <w:rPr>
        <w:rFonts w:hint="default"/>
      </w:rPr>
    </w:lvl>
    <w:lvl w:ilvl="2" w:tplc="EC483C32">
      <w:numFmt w:val="bullet"/>
      <w:lvlText w:val="•"/>
      <w:lvlJc w:val="left"/>
      <w:pPr>
        <w:ind w:left="443" w:hanging="100"/>
      </w:pPr>
      <w:rPr>
        <w:rFonts w:hint="default"/>
      </w:rPr>
    </w:lvl>
    <w:lvl w:ilvl="3" w:tplc="C564FF94">
      <w:numFmt w:val="bullet"/>
      <w:lvlText w:val="•"/>
      <w:lvlJc w:val="left"/>
      <w:pPr>
        <w:ind w:left="585" w:hanging="100"/>
      </w:pPr>
      <w:rPr>
        <w:rFonts w:hint="default"/>
      </w:rPr>
    </w:lvl>
    <w:lvl w:ilvl="4" w:tplc="5F54B41A">
      <w:numFmt w:val="bullet"/>
      <w:lvlText w:val="•"/>
      <w:lvlJc w:val="left"/>
      <w:pPr>
        <w:ind w:left="726" w:hanging="100"/>
      </w:pPr>
      <w:rPr>
        <w:rFonts w:hint="default"/>
      </w:rPr>
    </w:lvl>
    <w:lvl w:ilvl="5" w:tplc="D85AA690">
      <w:numFmt w:val="bullet"/>
      <w:lvlText w:val="•"/>
      <w:lvlJc w:val="left"/>
      <w:pPr>
        <w:ind w:left="868" w:hanging="100"/>
      </w:pPr>
      <w:rPr>
        <w:rFonts w:hint="default"/>
      </w:rPr>
    </w:lvl>
    <w:lvl w:ilvl="6" w:tplc="56EE4414">
      <w:numFmt w:val="bullet"/>
      <w:lvlText w:val="•"/>
      <w:lvlJc w:val="left"/>
      <w:pPr>
        <w:ind w:left="1010" w:hanging="100"/>
      </w:pPr>
      <w:rPr>
        <w:rFonts w:hint="default"/>
      </w:rPr>
    </w:lvl>
    <w:lvl w:ilvl="7" w:tplc="048E1020">
      <w:numFmt w:val="bullet"/>
      <w:lvlText w:val="•"/>
      <w:lvlJc w:val="left"/>
      <w:pPr>
        <w:ind w:left="1151" w:hanging="100"/>
      </w:pPr>
      <w:rPr>
        <w:rFonts w:hint="default"/>
      </w:rPr>
    </w:lvl>
    <w:lvl w:ilvl="8" w:tplc="E22C3F8C">
      <w:numFmt w:val="bullet"/>
      <w:lvlText w:val="•"/>
      <w:lvlJc w:val="left"/>
      <w:pPr>
        <w:ind w:left="1293" w:hanging="100"/>
      </w:pPr>
      <w:rPr>
        <w:rFonts w:hint="default"/>
      </w:rPr>
    </w:lvl>
  </w:abstractNum>
  <w:abstractNum w:abstractNumId="439" w15:restartNumberingAfterBreak="0">
    <w:nsid w:val="1BAF45B9"/>
    <w:multiLevelType w:val="hybridMultilevel"/>
    <w:tmpl w:val="F6BAE90C"/>
    <w:lvl w:ilvl="0" w:tplc="32B00CEC">
      <w:numFmt w:val="bullet"/>
      <w:lvlText w:val=""/>
      <w:lvlJc w:val="left"/>
      <w:pPr>
        <w:ind w:left="156" w:hanging="100"/>
      </w:pPr>
      <w:rPr>
        <w:rFonts w:ascii="Symbol" w:eastAsia="Symbol" w:hAnsi="Symbol" w:cs="Symbol" w:hint="default"/>
        <w:color w:val="231F20"/>
        <w:w w:val="100"/>
        <w:sz w:val="14"/>
        <w:szCs w:val="14"/>
      </w:rPr>
    </w:lvl>
    <w:lvl w:ilvl="1" w:tplc="367E02DC">
      <w:numFmt w:val="bullet"/>
      <w:lvlText w:val="•"/>
      <w:lvlJc w:val="left"/>
      <w:pPr>
        <w:ind w:left="426" w:hanging="100"/>
      </w:pPr>
      <w:rPr>
        <w:rFonts w:hint="default"/>
      </w:rPr>
    </w:lvl>
    <w:lvl w:ilvl="2" w:tplc="F006D09C">
      <w:numFmt w:val="bullet"/>
      <w:lvlText w:val="•"/>
      <w:lvlJc w:val="left"/>
      <w:pPr>
        <w:ind w:left="692" w:hanging="100"/>
      </w:pPr>
      <w:rPr>
        <w:rFonts w:hint="default"/>
      </w:rPr>
    </w:lvl>
    <w:lvl w:ilvl="3" w:tplc="7A882BE4">
      <w:numFmt w:val="bullet"/>
      <w:lvlText w:val="•"/>
      <w:lvlJc w:val="left"/>
      <w:pPr>
        <w:ind w:left="959" w:hanging="100"/>
      </w:pPr>
      <w:rPr>
        <w:rFonts w:hint="default"/>
      </w:rPr>
    </w:lvl>
    <w:lvl w:ilvl="4" w:tplc="4AA060E2">
      <w:numFmt w:val="bullet"/>
      <w:lvlText w:val="•"/>
      <w:lvlJc w:val="left"/>
      <w:pPr>
        <w:ind w:left="1225" w:hanging="100"/>
      </w:pPr>
      <w:rPr>
        <w:rFonts w:hint="default"/>
      </w:rPr>
    </w:lvl>
    <w:lvl w:ilvl="5" w:tplc="22661C7E">
      <w:numFmt w:val="bullet"/>
      <w:lvlText w:val="•"/>
      <w:lvlJc w:val="left"/>
      <w:pPr>
        <w:ind w:left="1492" w:hanging="100"/>
      </w:pPr>
      <w:rPr>
        <w:rFonts w:hint="default"/>
      </w:rPr>
    </w:lvl>
    <w:lvl w:ilvl="6" w:tplc="937C72D8">
      <w:numFmt w:val="bullet"/>
      <w:lvlText w:val="•"/>
      <w:lvlJc w:val="left"/>
      <w:pPr>
        <w:ind w:left="1758" w:hanging="100"/>
      </w:pPr>
      <w:rPr>
        <w:rFonts w:hint="default"/>
      </w:rPr>
    </w:lvl>
    <w:lvl w:ilvl="7" w:tplc="39468B0E">
      <w:numFmt w:val="bullet"/>
      <w:lvlText w:val="•"/>
      <w:lvlJc w:val="left"/>
      <w:pPr>
        <w:ind w:left="2024" w:hanging="100"/>
      </w:pPr>
      <w:rPr>
        <w:rFonts w:hint="default"/>
      </w:rPr>
    </w:lvl>
    <w:lvl w:ilvl="8" w:tplc="17A20AC4">
      <w:numFmt w:val="bullet"/>
      <w:lvlText w:val="•"/>
      <w:lvlJc w:val="left"/>
      <w:pPr>
        <w:ind w:left="2291" w:hanging="100"/>
      </w:pPr>
      <w:rPr>
        <w:rFonts w:hint="default"/>
      </w:rPr>
    </w:lvl>
  </w:abstractNum>
  <w:abstractNum w:abstractNumId="440" w15:restartNumberingAfterBreak="0">
    <w:nsid w:val="1BAF48BB"/>
    <w:multiLevelType w:val="hybridMultilevel"/>
    <w:tmpl w:val="051A0CA4"/>
    <w:lvl w:ilvl="0" w:tplc="5762A598">
      <w:numFmt w:val="bullet"/>
      <w:lvlText w:val=""/>
      <w:lvlJc w:val="left"/>
      <w:pPr>
        <w:ind w:left="156" w:hanging="100"/>
      </w:pPr>
      <w:rPr>
        <w:rFonts w:ascii="Symbol" w:eastAsia="Symbol" w:hAnsi="Symbol" w:cs="Symbol" w:hint="default"/>
        <w:color w:val="231F20"/>
        <w:w w:val="100"/>
        <w:sz w:val="14"/>
        <w:szCs w:val="14"/>
      </w:rPr>
    </w:lvl>
    <w:lvl w:ilvl="1" w:tplc="68563668">
      <w:numFmt w:val="bullet"/>
      <w:lvlText w:val="•"/>
      <w:lvlJc w:val="left"/>
      <w:pPr>
        <w:ind w:left="398" w:hanging="100"/>
      </w:pPr>
      <w:rPr>
        <w:rFonts w:hint="default"/>
      </w:rPr>
    </w:lvl>
    <w:lvl w:ilvl="2" w:tplc="89E0F66C">
      <w:numFmt w:val="bullet"/>
      <w:lvlText w:val="•"/>
      <w:lvlJc w:val="left"/>
      <w:pPr>
        <w:ind w:left="636" w:hanging="100"/>
      </w:pPr>
      <w:rPr>
        <w:rFonts w:hint="default"/>
      </w:rPr>
    </w:lvl>
    <w:lvl w:ilvl="3" w:tplc="389C1EE4">
      <w:numFmt w:val="bullet"/>
      <w:lvlText w:val="•"/>
      <w:lvlJc w:val="left"/>
      <w:pPr>
        <w:ind w:left="874" w:hanging="100"/>
      </w:pPr>
      <w:rPr>
        <w:rFonts w:hint="default"/>
      </w:rPr>
    </w:lvl>
    <w:lvl w:ilvl="4" w:tplc="761C77DA">
      <w:numFmt w:val="bullet"/>
      <w:lvlText w:val="•"/>
      <w:lvlJc w:val="left"/>
      <w:pPr>
        <w:ind w:left="1112" w:hanging="100"/>
      </w:pPr>
      <w:rPr>
        <w:rFonts w:hint="default"/>
      </w:rPr>
    </w:lvl>
    <w:lvl w:ilvl="5" w:tplc="82D8392E">
      <w:numFmt w:val="bullet"/>
      <w:lvlText w:val="•"/>
      <w:lvlJc w:val="left"/>
      <w:pPr>
        <w:ind w:left="1350" w:hanging="100"/>
      </w:pPr>
      <w:rPr>
        <w:rFonts w:hint="default"/>
      </w:rPr>
    </w:lvl>
    <w:lvl w:ilvl="6" w:tplc="039A889C">
      <w:numFmt w:val="bullet"/>
      <w:lvlText w:val="•"/>
      <w:lvlJc w:val="left"/>
      <w:pPr>
        <w:ind w:left="1588" w:hanging="100"/>
      </w:pPr>
      <w:rPr>
        <w:rFonts w:hint="default"/>
      </w:rPr>
    </w:lvl>
    <w:lvl w:ilvl="7" w:tplc="3662B738">
      <w:numFmt w:val="bullet"/>
      <w:lvlText w:val="•"/>
      <w:lvlJc w:val="left"/>
      <w:pPr>
        <w:ind w:left="1826" w:hanging="100"/>
      </w:pPr>
      <w:rPr>
        <w:rFonts w:hint="default"/>
      </w:rPr>
    </w:lvl>
    <w:lvl w:ilvl="8" w:tplc="77F46624">
      <w:numFmt w:val="bullet"/>
      <w:lvlText w:val="•"/>
      <w:lvlJc w:val="left"/>
      <w:pPr>
        <w:ind w:left="2064" w:hanging="100"/>
      </w:pPr>
      <w:rPr>
        <w:rFonts w:hint="default"/>
      </w:rPr>
    </w:lvl>
  </w:abstractNum>
  <w:abstractNum w:abstractNumId="441" w15:restartNumberingAfterBreak="0">
    <w:nsid w:val="1BC33DBE"/>
    <w:multiLevelType w:val="hybridMultilevel"/>
    <w:tmpl w:val="D0921E32"/>
    <w:lvl w:ilvl="0" w:tplc="BEA8DA66">
      <w:numFmt w:val="bullet"/>
      <w:lvlText w:val=""/>
      <w:lvlJc w:val="left"/>
      <w:pPr>
        <w:ind w:left="156" w:hanging="100"/>
      </w:pPr>
      <w:rPr>
        <w:rFonts w:ascii="Symbol" w:eastAsia="Symbol" w:hAnsi="Symbol" w:cs="Symbol" w:hint="default"/>
        <w:color w:val="231F20"/>
        <w:w w:val="100"/>
        <w:sz w:val="14"/>
        <w:szCs w:val="14"/>
      </w:rPr>
    </w:lvl>
    <w:lvl w:ilvl="1" w:tplc="2E1AE0A8">
      <w:numFmt w:val="bullet"/>
      <w:lvlText w:val="•"/>
      <w:lvlJc w:val="left"/>
      <w:pPr>
        <w:ind w:left="301" w:hanging="100"/>
      </w:pPr>
      <w:rPr>
        <w:rFonts w:hint="default"/>
      </w:rPr>
    </w:lvl>
    <w:lvl w:ilvl="2" w:tplc="30D8304A">
      <w:numFmt w:val="bullet"/>
      <w:lvlText w:val="•"/>
      <w:lvlJc w:val="left"/>
      <w:pPr>
        <w:ind w:left="443" w:hanging="100"/>
      </w:pPr>
      <w:rPr>
        <w:rFonts w:hint="default"/>
      </w:rPr>
    </w:lvl>
    <w:lvl w:ilvl="3" w:tplc="EB363EB6">
      <w:numFmt w:val="bullet"/>
      <w:lvlText w:val="•"/>
      <w:lvlJc w:val="left"/>
      <w:pPr>
        <w:ind w:left="585" w:hanging="100"/>
      </w:pPr>
      <w:rPr>
        <w:rFonts w:hint="default"/>
      </w:rPr>
    </w:lvl>
    <w:lvl w:ilvl="4" w:tplc="614C00E4">
      <w:numFmt w:val="bullet"/>
      <w:lvlText w:val="•"/>
      <w:lvlJc w:val="left"/>
      <w:pPr>
        <w:ind w:left="726" w:hanging="100"/>
      </w:pPr>
      <w:rPr>
        <w:rFonts w:hint="default"/>
      </w:rPr>
    </w:lvl>
    <w:lvl w:ilvl="5" w:tplc="8B327768">
      <w:numFmt w:val="bullet"/>
      <w:lvlText w:val="•"/>
      <w:lvlJc w:val="left"/>
      <w:pPr>
        <w:ind w:left="868" w:hanging="100"/>
      </w:pPr>
      <w:rPr>
        <w:rFonts w:hint="default"/>
      </w:rPr>
    </w:lvl>
    <w:lvl w:ilvl="6" w:tplc="75C2FBFE">
      <w:numFmt w:val="bullet"/>
      <w:lvlText w:val="•"/>
      <w:lvlJc w:val="left"/>
      <w:pPr>
        <w:ind w:left="1010" w:hanging="100"/>
      </w:pPr>
      <w:rPr>
        <w:rFonts w:hint="default"/>
      </w:rPr>
    </w:lvl>
    <w:lvl w:ilvl="7" w:tplc="FDC886BA">
      <w:numFmt w:val="bullet"/>
      <w:lvlText w:val="•"/>
      <w:lvlJc w:val="left"/>
      <w:pPr>
        <w:ind w:left="1151" w:hanging="100"/>
      </w:pPr>
      <w:rPr>
        <w:rFonts w:hint="default"/>
      </w:rPr>
    </w:lvl>
    <w:lvl w:ilvl="8" w:tplc="F2B800FC">
      <w:numFmt w:val="bullet"/>
      <w:lvlText w:val="•"/>
      <w:lvlJc w:val="left"/>
      <w:pPr>
        <w:ind w:left="1293" w:hanging="100"/>
      </w:pPr>
      <w:rPr>
        <w:rFonts w:hint="default"/>
      </w:rPr>
    </w:lvl>
  </w:abstractNum>
  <w:abstractNum w:abstractNumId="442" w15:restartNumberingAfterBreak="0">
    <w:nsid w:val="1BEF4669"/>
    <w:multiLevelType w:val="hybridMultilevel"/>
    <w:tmpl w:val="E91439C4"/>
    <w:lvl w:ilvl="0" w:tplc="A2CCE4D2">
      <w:numFmt w:val="bullet"/>
      <w:lvlText w:val=""/>
      <w:lvlJc w:val="left"/>
      <w:pPr>
        <w:ind w:left="156" w:hanging="100"/>
      </w:pPr>
      <w:rPr>
        <w:rFonts w:ascii="Symbol" w:eastAsia="Symbol" w:hAnsi="Symbol" w:cs="Symbol" w:hint="default"/>
        <w:color w:val="231F20"/>
        <w:w w:val="100"/>
        <w:sz w:val="14"/>
        <w:szCs w:val="14"/>
      </w:rPr>
    </w:lvl>
    <w:lvl w:ilvl="1" w:tplc="E376DFC4">
      <w:numFmt w:val="bullet"/>
      <w:lvlText w:val="•"/>
      <w:lvlJc w:val="left"/>
      <w:pPr>
        <w:ind w:left="426" w:hanging="100"/>
      </w:pPr>
      <w:rPr>
        <w:rFonts w:hint="default"/>
      </w:rPr>
    </w:lvl>
    <w:lvl w:ilvl="2" w:tplc="04349348">
      <w:numFmt w:val="bullet"/>
      <w:lvlText w:val="•"/>
      <w:lvlJc w:val="left"/>
      <w:pPr>
        <w:ind w:left="692" w:hanging="100"/>
      </w:pPr>
      <w:rPr>
        <w:rFonts w:hint="default"/>
      </w:rPr>
    </w:lvl>
    <w:lvl w:ilvl="3" w:tplc="D74AC0E0">
      <w:numFmt w:val="bullet"/>
      <w:lvlText w:val="•"/>
      <w:lvlJc w:val="left"/>
      <w:pPr>
        <w:ind w:left="959" w:hanging="100"/>
      </w:pPr>
      <w:rPr>
        <w:rFonts w:hint="default"/>
      </w:rPr>
    </w:lvl>
    <w:lvl w:ilvl="4" w:tplc="EB9AFE4C">
      <w:numFmt w:val="bullet"/>
      <w:lvlText w:val="•"/>
      <w:lvlJc w:val="left"/>
      <w:pPr>
        <w:ind w:left="1225" w:hanging="100"/>
      </w:pPr>
      <w:rPr>
        <w:rFonts w:hint="default"/>
      </w:rPr>
    </w:lvl>
    <w:lvl w:ilvl="5" w:tplc="4670AF44">
      <w:numFmt w:val="bullet"/>
      <w:lvlText w:val="•"/>
      <w:lvlJc w:val="left"/>
      <w:pPr>
        <w:ind w:left="1492" w:hanging="100"/>
      </w:pPr>
      <w:rPr>
        <w:rFonts w:hint="default"/>
      </w:rPr>
    </w:lvl>
    <w:lvl w:ilvl="6" w:tplc="6D48C138">
      <w:numFmt w:val="bullet"/>
      <w:lvlText w:val="•"/>
      <w:lvlJc w:val="left"/>
      <w:pPr>
        <w:ind w:left="1758" w:hanging="100"/>
      </w:pPr>
      <w:rPr>
        <w:rFonts w:hint="default"/>
      </w:rPr>
    </w:lvl>
    <w:lvl w:ilvl="7" w:tplc="23025E6E">
      <w:numFmt w:val="bullet"/>
      <w:lvlText w:val="•"/>
      <w:lvlJc w:val="left"/>
      <w:pPr>
        <w:ind w:left="2024" w:hanging="100"/>
      </w:pPr>
      <w:rPr>
        <w:rFonts w:hint="default"/>
      </w:rPr>
    </w:lvl>
    <w:lvl w:ilvl="8" w:tplc="0AC46BCA">
      <w:numFmt w:val="bullet"/>
      <w:lvlText w:val="•"/>
      <w:lvlJc w:val="left"/>
      <w:pPr>
        <w:ind w:left="2291" w:hanging="100"/>
      </w:pPr>
      <w:rPr>
        <w:rFonts w:hint="default"/>
      </w:rPr>
    </w:lvl>
  </w:abstractNum>
  <w:abstractNum w:abstractNumId="443" w15:restartNumberingAfterBreak="0">
    <w:nsid w:val="1BF12A36"/>
    <w:multiLevelType w:val="hybridMultilevel"/>
    <w:tmpl w:val="46D0E7F0"/>
    <w:lvl w:ilvl="0" w:tplc="A10E0540">
      <w:numFmt w:val="bullet"/>
      <w:lvlText w:val=""/>
      <w:lvlJc w:val="left"/>
      <w:pPr>
        <w:ind w:left="157" w:hanging="100"/>
      </w:pPr>
      <w:rPr>
        <w:rFonts w:ascii="Symbol" w:eastAsia="Symbol" w:hAnsi="Symbol" w:cs="Symbol" w:hint="default"/>
        <w:color w:val="231F20"/>
        <w:w w:val="100"/>
        <w:sz w:val="14"/>
        <w:szCs w:val="14"/>
      </w:rPr>
    </w:lvl>
    <w:lvl w:ilvl="1" w:tplc="A29A8B68">
      <w:numFmt w:val="bullet"/>
      <w:lvlText w:val="•"/>
      <w:lvlJc w:val="left"/>
      <w:pPr>
        <w:ind w:left="369" w:hanging="100"/>
      </w:pPr>
      <w:rPr>
        <w:rFonts w:hint="default"/>
      </w:rPr>
    </w:lvl>
    <w:lvl w:ilvl="2" w:tplc="BBBE10E0">
      <w:numFmt w:val="bullet"/>
      <w:lvlText w:val="•"/>
      <w:lvlJc w:val="left"/>
      <w:pPr>
        <w:ind w:left="579" w:hanging="100"/>
      </w:pPr>
      <w:rPr>
        <w:rFonts w:hint="default"/>
      </w:rPr>
    </w:lvl>
    <w:lvl w:ilvl="3" w:tplc="D5162AA4">
      <w:numFmt w:val="bullet"/>
      <w:lvlText w:val="•"/>
      <w:lvlJc w:val="left"/>
      <w:pPr>
        <w:ind w:left="789" w:hanging="100"/>
      </w:pPr>
      <w:rPr>
        <w:rFonts w:hint="default"/>
      </w:rPr>
    </w:lvl>
    <w:lvl w:ilvl="4" w:tplc="5C8E36AA">
      <w:numFmt w:val="bullet"/>
      <w:lvlText w:val="•"/>
      <w:lvlJc w:val="left"/>
      <w:pPr>
        <w:ind w:left="998" w:hanging="100"/>
      </w:pPr>
      <w:rPr>
        <w:rFonts w:hint="default"/>
      </w:rPr>
    </w:lvl>
    <w:lvl w:ilvl="5" w:tplc="6AD4E502">
      <w:numFmt w:val="bullet"/>
      <w:lvlText w:val="•"/>
      <w:lvlJc w:val="left"/>
      <w:pPr>
        <w:ind w:left="1208" w:hanging="100"/>
      </w:pPr>
      <w:rPr>
        <w:rFonts w:hint="default"/>
      </w:rPr>
    </w:lvl>
    <w:lvl w:ilvl="6" w:tplc="033C9126">
      <w:numFmt w:val="bullet"/>
      <w:lvlText w:val="•"/>
      <w:lvlJc w:val="left"/>
      <w:pPr>
        <w:ind w:left="1418" w:hanging="100"/>
      </w:pPr>
      <w:rPr>
        <w:rFonts w:hint="default"/>
      </w:rPr>
    </w:lvl>
    <w:lvl w:ilvl="7" w:tplc="093CB9CE">
      <w:numFmt w:val="bullet"/>
      <w:lvlText w:val="•"/>
      <w:lvlJc w:val="left"/>
      <w:pPr>
        <w:ind w:left="1627" w:hanging="100"/>
      </w:pPr>
      <w:rPr>
        <w:rFonts w:hint="default"/>
      </w:rPr>
    </w:lvl>
    <w:lvl w:ilvl="8" w:tplc="83A4C9D4">
      <w:numFmt w:val="bullet"/>
      <w:lvlText w:val="•"/>
      <w:lvlJc w:val="left"/>
      <w:pPr>
        <w:ind w:left="1837" w:hanging="100"/>
      </w:pPr>
      <w:rPr>
        <w:rFonts w:hint="default"/>
      </w:rPr>
    </w:lvl>
  </w:abstractNum>
  <w:abstractNum w:abstractNumId="444" w15:restartNumberingAfterBreak="0">
    <w:nsid w:val="1BF2570E"/>
    <w:multiLevelType w:val="hybridMultilevel"/>
    <w:tmpl w:val="18CA3C14"/>
    <w:lvl w:ilvl="0" w:tplc="4D0080EC">
      <w:numFmt w:val="bullet"/>
      <w:lvlText w:val=""/>
      <w:lvlJc w:val="left"/>
      <w:pPr>
        <w:ind w:left="156" w:hanging="100"/>
      </w:pPr>
      <w:rPr>
        <w:rFonts w:ascii="Symbol" w:eastAsia="Symbol" w:hAnsi="Symbol" w:cs="Symbol" w:hint="default"/>
        <w:color w:val="231F20"/>
        <w:w w:val="100"/>
        <w:sz w:val="14"/>
        <w:szCs w:val="14"/>
      </w:rPr>
    </w:lvl>
    <w:lvl w:ilvl="1" w:tplc="502E49FE">
      <w:numFmt w:val="bullet"/>
      <w:lvlText w:val="•"/>
      <w:lvlJc w:val="left"/>
      <w:pPr>
        <w:ind w:left="398" w:hanging="100"/>
      </w:pPr>
      <w:rPr>
        <w:rFonts w:hint="default"/>
      </w:rPr>
    </w:lvl>
    <w:lvl w:ilvl="2" w:tplc="EDC8C5AE">
      <w:numFmt w:val="bullet"/>
      <w:lvlText w:val="•"/>
      <w:lvlJc w:val="left"/>
      <w:pPr>
        <w:ind w:left="636" w:hanging="100"/>
      </w:pPr>
      <w:rPr>
        <w:rFonts w:hint="default"/>
      </w:rPr>
    </w:lvl>
    <w:lvl w:ilvl="3" w:tplc="438CBA14">
      <w:numFmt w:val="bullet"/>
      <w:lvlText w:val="•"/>
      <w:lvlJc w:val="left"/>
      <w:pPr>
        <w:ind w:left="874" w:hanging="100"/>
      </w:pPr>
      <w:rPr>
        <w:rFonts w:hint="default"/>
      </w:rPr>
    </w:lvl>
    <w:lvl w:ilvl="4" w:tplc="06EE1240">
      <w:numFmt w:val="bullet"/>
      <w:lvlText w:val="•"/>
      <w:lvlJc w:val="left"/>
      <w:pPr>
        <w:ind w:left="1112" w:hanging="100"/>
      </w:pPr>
      <w:rPr>
        <w:rFonts w:hint="default"/>
      </w:rPr>
    </w:lvl>
    <w:lvl w:ilvl="5" w:tplc="5DA4C694">
      <w:numFmt w:val="bullet"/>
      <w:lvlText w:val="•"/>
      <w:lvlJc w:val="left"/>
      <w:pPr>
        <w:ind w:left="1350" w:hanging="100"/>
      </w:pPr>
      <w:rPr>
        <w:rFonts w:hint="default"/>
      </w:rPr>
    </w:lvl>
    <w:lvl w:ilvl="6" w:tplc="A00C5790">
      <w:numFmt w:val="bullet"/>
      <w:lvlText w:val="•"/>
      <w:lvlJc w:val="left"/>
      <w:pPr>
        <w:ind w:left="1588" w:hanging="100"/>
      </w:pPr>
      <w:rPr>
        <w:rFonts w:hint="default"/>
      </w:rPr>
    </w:lvl>
    <w:lvl w:ilvl="7" w:tplc="BC56D3FC">
      <w:numFmt w:val="bullet"/>
      <w:lvlText w:val="•"/>
      <w:lvlJc w:val="left"/>
      <w:pPr>
        <w:ind w:left="1826" w:hanging="100"/>
      </w:pPr>
      <w:rPr>
        <w:rFonts w:hint="default"/>
      </w:rPr>
    </w:lvl>
    <w:lvl w:ilvl="8" w:tplc="FCB41184">
      <w:numFmt w:val="bullet"/>
      <w:lvlText w:val="•"/>
      <w:lvlJc w:val="left"/>
      <w:pPr>
        <w:ind w:left="2064" w:hanging="100"/>
      </w:pPr>
      <w:rPr>
        <w:rFonts w:hint="default"/>
      </w:rPr>
    </w:lvl>
  </w:abstractNum>
  <w:abstractNum w:abstractNumId="445" w15:restartNumberingAfterBreak="0">
    <w:nsid w:val="1BFA0C14"/>
    <w:multiLevelType w:val="hybridMultilevel"/>
    <w:tmpl w:val="05AC028C"/>
    <w:lvl w:ilvl="0" w:tplc="197C1378">
      <w:numFmt w:val="bullet"/>
      <w:lvlText w:val=""/>
      <w:lvlJc w:val="left"/>
      <w:pPr>
        <w:ind w:left="157" w:hanging="100"/>
      </w:pPr>
      <w:rPr>
        <w:rFonts w:ascii="Symbol" w:eastAsia="Symbol" w:hAnsi="Symbol" w:cs="Symbol" w:hint="default"/>
        <w:color w:val="231F20"/>
        <w:w w:val="100"/>
        <w:sz w:val="14"/>
        <w:szCs w:val="14"/>
      </w:rPr>
    </w:lvl>
    <w:lvl w:ilvl="1" w:tplc="651C47C4">
      <w:numFmt w:val="bullet"/>
      <w:lvlText w:val="•"/>
      <w:lvlJc w:val="left"/>
      <w:pPr>
        <w:ind w:left="369" w:hanging="100"/>
      </w:pPr>
      <w:rPr>
        <w:rFonts w:hint="default"/>
      </w:rPr>
    </w:lvl>
    <w:lvl w:ilvl="2" w:tplc="7E12EE08">
      <w:numFmt w:val="bullet"/>
      <w:lvlText w:val="•"/>
      <w:lvlJc w:val="left"/>
      <w:pPr>
        <w:ind w:left="579" w:hanging="100"/>
      </w:pPr>
      <w:rPr>
        <w:rFonts w:hint="default"/>
      </w:rPr>
    </w:lvl>
    <w:lvl w:ilvl="3" w:tplc="5D2CF11E">
      <w:numFmt w:val="bullet"/>
      <w:lvlText w:val="•"/>
      <w:lvlJc w:val="left"/>
      <w:pPr>
        <w:ind w:left="789" w:hanging="100"/>
      </w:pPr>
      <w:rPr>
        <w:rFonts w:hint="default"/>
      </w:rPr>
    </w:lvl>
    <w:lvl w:ilvl="4" w:tplc="C77095D0">
      <w:numFmt w:val="bullet"/>
      <w:lvlText w:val="•"/>
      <w:lvlJc w:val="left"/>
      <w:pPr>
        <w:ind w:left="998" w:hanging="100"/>
      </w:pPr>
      <w:rPr>
        <w:rFonts w:hint="default"/>
      </w:rPr>
    </w:lvl>
    <w:lvl w:ilvl="5" w:tplc="E4AC304C">
      <w:numFmt w:val="bullet"/>
      <w:lvlText w:val="•"/>
      <w:lvlJc w:val="left"/>
      <w:pPr>
        <w:ind w:left="1208" w:hanging="100"/>
      </w:pPr>
      <w:rPr>
        <w:rFonts w:hint="default"/>
      </w:rPr>
    </w:lvl>
    <w:lvl w:ilvl="6" w:tplc="54640442">
      <w:numFmt w:val="bullet"/>
      <w:lvlText w:val="•"/>
      <w:lvlJc w:val="left"/>
      <w:pPr>
        <w:ind w:left="1418" w:hanging="100"/>
      </w:pPr>
      <w:rPr>
        <w:rFonts w:hint="default"/>
      </w:rPr>
    </w:lvl>
    <w:lvl w:ilvl="7" w:tplc="CD328986">
      <w:numFmt w:val="bullet"/>
      <w:lvlText w:val="•"/>
      <w:lvlJc w:val="left"/>
      <w:pPr>
        <w:ind w:left="1627" w:hanging="100"/>
      </w:pPr>
      <w:rPr>
        <w:rFonts w:hint="default"/>
      </w:rPr>
    </w:lvl>
    <w:lvl w:ilvl="8" w:tplc="471E9756">
      <w:numFmt w:val="bullet"/>
      <w:lvlText w:val="•"/>
      <w:lvlJc w:val="left"/>
      <w:pPr>
        <w:ind w:left="1837" w:hanging="100"/>
      </w:pPr>
      <w:rPr>
        <w:rFonts w:hint="default"/>
      </w:rPr>
    </w:lvl>
  </w:abstractNum>
  <w:abstractNum w:abstractNumId="446" w15:restartNumberingAfterBreak="0">
    <w:nsid w:val="1C017687"/>
    <w:multiLevelType w:val="hybridMultilevel"/>
    <w:tmpl w:val="BBB23A44"/>
    <w:lvl w:ilvl="0" w:tplc="A6B6FD5E">
      <w:numFmt w:val="bullet"/>
      <w:lvlText w:val=""/>
      <w:lvlJc w:val="left"/>
      <w:pPr>
        <w:ind w:left="156" w:hanging="100"/>
      </w:pPr>
      <w:rPr>
        <w:rFonts w:ascii="Symbol" w:eastAsia="Symbol" w:hAnsi="Symbol" w:cs="Symbol" w:hint="default"/>
        <w:color w:val="231F20"/>
        <w:w w:val="100"/>
        <w:sz w:val="14"/>
        <w:szCs w:val="14"/>
      </w:rPr>
    </w:lvl>
    <w:lvl w:ilvl="1" w:tplc="8C9A8A44">
      <w:numFmt w:val="bullet"/>
      <w:lvlText w:val="•"/>
      <w:lvlJc w:val="left"/>
      <w:pPr>
        <w:ind w:left="426" w:hanging="100"/>
      </w:pPr>
      <w:rPr>
        <w:rFonts w:hint="default"/>
      </w:rPr>
    </w:lvl>
    <w:lvl w:ilvl="2" w:tplc="F2A43356">
      <w:numFmt w:val="bullet"/>
      <w:lvlText w:val="•"/>
      <w:lvlJc w:val="left"/>
      <w:pPr>
        <w:ind w:left="692" w:hanging="100"/>
      </w:pPr>
      <w:rPr>
        <w:rFonts w:hint="default"/>
      </w:rPr>
    </w:lvl>
    <w:lvl w:ilvl="3" w:tplc="DE4A75DE">
      <w:numFmt w:val="bullet"/>
      <w:lvlText w:val="•"/>
      <w:lvlJc w:val="left"/>
      <w:pPr>
        <w:ind w:left="959" w:hanging="100"/>
      </w:pPr>
      <w:rPr>
        <w:rFonts w:hint="default"/>
      </w:rPr>
    </w:lvl>
    <w:lvl w:ilvl="4" w:tplc="489857EC">
      <w:numFmt w:val="bullet"/>
      <w:lvlText w:val="•"/>
      <w:lvlJc w:val="left"/>
      <w:pPr>
        <w:ind w:left="1225" w:hanging="100"/>
      </w:pPr>
      <w:rPr>
        <w:rFonts w:hint="default"/>
      </w:rPr>
    </w:lvl>
    <w:lvl w:ilvl="5" w:tplc="820A1D56">
      <w:numFmt w:val="bullet"/>
      <w:lvlText w:val="•"/>
      <w:lvlJc w:val="left"/>
      <w:pPr>
        <w:ind w:left="1492" w:hanging="100"/>
      </w:pPr>
      <w:rPr>
        <w:rFonts w:hint="default"/>
      </w:rPr>
    </w:lvl>
    <w:lvl w:ilvl="6" w:tplc="EE0CD0B0">
      <w:numFmt w:val="bullet"/>
      <w:lvlText w:val="•"/>
      <w:lvlJc w:val="left"/>
      <w:pPr>
        <w:ind w:left="1758" w:hanging="100"/>
      </w:pPr>
      <w:rPr>
        <w:rFonts w:hint="default"/>
      </w:rPr>
    </w:lvl>
    <w:lvl w:ilvl="7" w:tplc="AB0467E8">
      <w:numFmt w:val="bullet"/>
      <w:lvlText w:val="•"/>
      <w:lvlJc w:val="left"/>
      <w:pPr>
        <w:ind w:left="2024" w:hanging="100"/>
      </w:pPr>
      <w:rPr>
        <w:rFonts w:hint="default"/>
      </w:rPr>
    </w:lvl>
    <w:lvl w:ilvl="8" w:tplc="C2B67CB4">
      <w:numFmt w:val="bullet"/>
      <w:lvlText w:val="•"/>
      <w:lvlJc w:val="left"/>
      <w:pPr>
        <w:ind w:left="2291" w:hanging="100"/>
      </w:pPr>
      <w:rPr>
        <w:rFonts w:hint="default"/>
      </w:rPr>
    </w:lvl>
  </w:abstractNum>
  <w:abstractNum w:abstractNumId="447" w15:restartNumberingAfterBreak="0">
    <w:nsid w:val="1C0F16A4"/>
    <w:multiLevelType w:val="hybridMultilevel"/>
    <w:tmpl w:val="93C0B7F4"/>
    <w:lvl w:ilvl="0" w:tplc="886E70CC">
      <w:numFmt w:val="bullet"/>
      <w:lvlText w:val=""/>
      <w:lvlJc w:val="left"/>
      <w:pPr>
        <w:ind w:left="156" w:hanging="100"/>
      </w:pPr>
      <w:rPr>
        <w:rFonts w:ascii="Symbol" w:eastAsia="Symbol" w:hAnsi="Symbol" w:cs="Symbol" w:hint="default"/>
        <w:color w:val="231F20"/>
        <w:w w:val="100"/>
        <w:sz w:val="14"/>
        <w:szCs w:val="14"/>
      </w:rPr>
    </w:lvl>
    <w:lvl w:ilvl="1" w:tplc="E03CFF1E">
      <w:numFmt w:val="bullet"/>
      <w:lvlText w:val="•"/>
      <w:lvlJc w:val="left"/>
      <w:pPr>
        <w:ind w:left="398" w:hanging="100"/>
      </w:pPr>
      <w:rPr>
        <w:rFonts w:hint="default"/>
      </w:rPr>
    </w:lvl>
    <w:lvl w:ilvl="2" w:tplc="E3DC2DB8">
      <w:numFmt w:val="bullet"/>
      <w:lvlText w:val="•"/>
      <w:lvlJc w:val="left"/>
      <w:pPr>
        <w:ind w:left="636" w:hanging="100"/>
      </w:pPr>
      <w:rPr>
        <w:rFonts w:hint="default"/>
      </w:rPr>
    </w:lvl>
    <w:lvl w:ilvl="3" w:tplc="5D029BF2">
      <w:numFmt w:val="bullet"/>
      <w:lvlText w:val="•"/>
      <w:lvlJc w:val="left"/>
      <w:pPr>
        <w:ind w:left="874" w:hanging="100"/>
      </w:pPr>
      <w:rPr>
        <w:rFonts w:hint="default"/>
      </w:rPr>
    </w:lvl>
    <w:lvl w:ilvl="4" w:tplc="2BAA96B8">
      <w:numFmt w:val="bullet"/>
      <w:lvlText w:val="•"/>
      <w:lvlJc w:val="left"/>
      <w:pPr>
        <w:ind w:left="1112" w:hanging="100"/>
      </w:pPr>
      <w:rPr>
        <w:rFonts w:hint="default"/>
      </w:rPr>
    </w:lvl>
    <w:lvl w:ilvl="5" w:tplc="753C1426">
      <w:numFmt w:val="bullet"/>
      <w:lvlText w:val="•"/>
      <w:lvlJc w:val="left"/>
      <w:pPr>
        <w:ind w:left="1350" w:hanging="100"/>
      </w:pPr>
      <w:rPr>
        <w:rFonts w:hint="default"/>
      </w:rPr>
    </w:lvl>
    <w:lvl w:ilvl="6" w:tplc="4E44ED20">
      <w:numFmt w:val="bullet"/>
      <w:lvlText w:val="•"/>
      <w:lvlJc w:val="left"/>
      <w:pPr>
        <w:ind w:left="1588" w:hanging="100"/>
      </w:pPr>
      <w:rPr>
        <w:rFonts w:hint="default"/>
      </w:rPr>
    </w:lvl>
    <w:lvl w:ilvl="7" w:tplc="A886A0CC">
      <w:numFmt w:val="bullet"/>
      <w:lvlText w:val="•"/>
      <w:lvlJc w:val="left"/>
      <w:pPr>
        <w:ind w:left="1826" w:hanging="100"/>
      </w:pPr>
      <w:rPr>
        <w:rFonts w:hint="default"/>
      </w:rPr>
    </w:lvl>
    <w:lvl w:ilvl="8" w:tplc="383CB40C">
      <w:numFmt w:val="bullet"/>
      <w:lvlText w:val="•"/>
      <w:lvlJc w:val="left"/>
      <w:pPr>
        <w:ind w:left="2064" w:hanging="100"/>
      </w:pPr>
      <w:rPr>
        <w:rFonts w:hint="default"/>
      </w:rPr>
    </w:lvl>
  </w:abstractNum>
  <w:abstractNum w:abstractNumId="448" w15:restartNumberingAfterBreak="0">
    <w:nsid w:val="1C285C9B"/>
    <w:multiLevelType w:val="hybridMultilevel"/>
    <w:tmpl w:val="D5EA22D8"/>
    <w:lvl w:ilvl="0" w:tplc="26667AE2">
      <w:numFmt w:val="bullet"/>
      <w:lvlText w:val=""/>
      <w:lvlJc w:val="left"/>
      <w:pPr>
        <w:ind w:left="156" w:hanging="100"/>
      </w:pPr>
      <w:rPr>
        <w:rFonts w:ascii="Symbol" w:eastAsia="Symbol" w:hAnsi="Symbol" w:cs="Symbol" w:hint="default"/>
        <w:color w:val="231F20"/>
        <w:w w:val="100"/>
        <w:sz w:val="14"/>
        <w:szCs w:val="14"/>
      </w:rPr>
    </w:lvl>
    <w:lvl w:ilvl="1" w:tplc="BC3E43AA">
      <w:numFmt w:val="bullet"/>
      <w:lvlText w:val="•"/>
      <w:lvlJc w:val="left"/>
      <w:pPr>
        <w:ind w:left="398" w:hanging="100"/>
      </w:pPr>
      <w:rPr>
        <w:rFonts w:hint="default"/>
      </w:rPr>
    </w:lvl>
    <w:lvl w:ilvl="2" w:tplc="441EBEDA">
      <w:numFmt w:val="bullet"/>
      <w:lvlText w:val="•"/>
      <w:lvlJc w:val="left"/>
      <w:pPr>
        <w:ind w:left="636" w:hanging="100"/>
      </w:pPr>
      <w:rPr>
        <w:rFonts w:hint="default"/>
      </w:rPr>
    </w:lvl>
    <w:lvl w:ilvl="3" w:tplc="3FB2DBC2">
      <w:numFmt w:val="bullet"/>
      <w:lvlText w:val="•"/>
      <w:lvlJc w:val="left"/>
      <w:pPr>
        <w:ind w:left="874" w:hanging="100"/>
      </w:pPr>
      <w:rPr>
        <w:rFonts w:hint="default"/>
      </w:rPr>
    </w:lvl>
    <w:lvl w:ilvl="4" w:tplc="3604C894">
      <w:numFmt w:val="bullet"/>
      <w:lvlText w:val="•"/>
      <w:lvlJc w:val="left"/>
      <w:pPr>
        <w:ind w:left="1112" w:hanging="100"/>
      </w:pPr>
      <w:rPr>
        <w:rFonts w:hint="default"/>
      </w:rPr>
    </w:lvl>
    <w:lvl w:ilvl="5" w:tplc="6A8AAC2C">
      <w:numFmt w:val="bullet"/>
      <w:lvlText w:val="•"/>
      <w:lvlJc w:val="left"/>
      <w:pPr>
        <w:ind w:left="1350" w:hanging="100"/>
      </w:pPr>
      <w:rPr>
        <w:rFonts w:hint="default"/>
      </w:rPr>
    </w:lvl>
    <w:lvl w:ilvl="6" w:tplc="9AE2744C">
      <w:numFmt w:val="bullet"/>
      <w:lvlText w:val="•"/>
      <w:lvlJc w:val="left"/>
      <w:pPr>
        <w:ind w:left="1588" w:hanging="100"/>
      </w:pPr>
      <w:rPr>
        <w:rFonts w:hint="default"/>
      </w:rPr>
    </w:lvl>
    <w:lvl w:ilvl="7" w:tplc="1EF608C0">
      <w:numFmt w:val="bullet"/>
      <w:lvlText w:val="•"/>
      <w:lvlJc w:val="left"/>
      <w:pPr>
        <w:ind w:left="1826" w:hanging="100"/>
      </w:pPr>
      <w:rPr>
        <w:rFonts w:hint="default"/>
      </w:rPr>
    </w:lvl>
    <w:lvl w:ilvl="8" w:tplc="F386020C">
      <w:numFmt w:val="bullet"/>
      <w:lvlText w:val="•"/>
      <w:lvlJc w:val="left"/>
      <w:pPr>
        <w:ind w:left="2064" w:hanging="100"/>
      </w:pPr>
      <w:rPr>
        <w:rFonts w:hint="default"/>
      </w:rPr>
    </w:lvl>
  </w:abstractNum>
  <w:abstractNum w:abstractNumId="449" w15:restartNumberingAfterBreak="0">
    <w:nsid w:val="1C46537F"/>
    <w:multiLevelType w:val="hybridMultilevel"/>
    <w:tmpl w:val="E364FE86"/>
    <w:lvl w:ilvl="0" w:tplc="0C10FBA8">
      <w:numFmt w:val="bullet"/>
      <w:lvlText w:val="–"/>
      <w:lvlJc w:val="left"/>
      <w:pPr>
        <w:ind w:left="163" w:hanging="105"/>
      </w:pPr>
      <w:rPr>
        <w:rFonts w:ascii="Times New Roman" w:eastAsia="Times New Roman" w:hAnsi="Times New Roman" w:cs="Times New Roman" w:hint="default"/>
        <w:color w:val="231F20"/>
        <w:spacing w:val="-8"/>
        <w:w w:val="100"/>
        <w:sz w:val="14"/>
        <w:szCs w:val="14"/>
      </w:rPr>
    </w:lvl>
    <w:lvl w:ilvl="1" w:tplc="0ACA6248">
      <w:numFmt w:val="bullet"/>
      <w:lvlText w:val="•"/>
      <w:lvlJc w:val="left"/>
      <w:pPr>
        <w:ind w:left="240" w:hanging="105"/>
      </w:pPr>
      <w:rPr>
        <w:rFonts w:hint="default"/>
      </w:rPr>
    </w:lvl>
    <w:lvl w:ilvl="2" w:tplc="F3E63FF4">
      <w:numFmt w:val="bullet"/>
      <w:lvlText w:val="•"/>
      <w:lvlJc w:val="left"/>
      <w:pPr>
        <w:ind w:left="464" w:hanging="105"/>
      </w:pPr>
      <w:rPr>
        <w:rFonts w:hint="default"/>
      </w:rPr>
    </w:lvl>
    <w:lvl w:ilvl="3" w:tplc="F470F290">
      <w:numFmt w:val="bullet"/>
      <w:lvlText w:val="•"/>
      <w:lvlJc w:val="left"/>
      <w:pPr>
        <w:ind w:left="688" w:hanging="105"/>
      </w:pPr>
      <w:rPr>
        <w:rFonts w:hint="default"/>
      </w:rPr>
    </w:lvl>
    <w:lvl w:ilvl="4" w:tplc="1A38375E">
      <w:numFmt w:val="bullet"/>
      <w:lvlText w:val="•"/>
      <w:lvlJc w:val="left"/>
      <w:pPr>
        <w:ind w:left="912" w:hanging="105"/>
      </w:pPr>
      <w:rPr>
        <w:rFonts w:hint="default"/>
      </w:rPr>
    </w:lvl>
    <w:lvl w:ilvl="5" w:tplc="7D268CE6">
      <w:numFmt w:val="bullet"/>
      <w:lvlText w:val="•"/>
      <w:lvlJc w:val="left"/>
      <w:pPr>
        <w:ind w:left="1136" w:hanging="105"/>
      </w:pPr>
      <w:rPr>
        <w:rFonts w:hint="default"/>
      </w:rPr>
    </w:lvl>
    <w:lvl w:ilvl="6" w:tplc="E9480880">
      <w:numFmt w:val="bullet"/>
      <w:lvlText w:val="•"/>
      <w:lvlJc w:val="left"/>
      <w:pPr>
        <w:ind w:left="1360" w:hanging="105"/>
      </w:pPr>
      <w:rPr>
        <w:rFonts w:hint="default"/>
      </w:rPr>
    </w:lvl>
    <w:lvl w:ilvl="7" w:tplc="78886D5E">
      <w:numFmt w:val="bullet"/>
      <w:lvlText w:val="•"/>
      <w:lvlJc w:val="left"/>
      <w:pPr>
        <w:ind w:left="1584" w:hanging="105"/>
      </w:pPr>
      <w:rPr>
        <w:rFonts w:hint="default"/>
      </w:rPr>
    </w:lvl>
    <w:lvl w:ilvl="8" w:tplc="2E18DE70">
      <w:numFmt w:val="bullet"/>
      <w:lvlText w:val="•"/>
      <w:lvlJc w:val="left"/>
      <w:pPr>
        <w:ind w:left="1808" w:hanging="105"/>
      </w:pPr>
      <w:rPr>
        <w:rFonts w:hint="default"/>
      </w:rPr>
    </w:lvl>
  </w:abstractNum>
  <w:abstractNum w:abstractNumId="450" w15:restartNumberingAfterBreak="0">
    <w:nsid w:val="1C4F2F1D"/>
    <w:multiLevelType w:val="hybridMultilevel"/>
    <w:tmpl w:val="7592D896"/>
    <w:lvl w:ilvl="0" w:tplc="96E2CD62">
      <w:numFmt w:val="bullet"/>
      <w:lvlText w:val=""/>
      <w:lvlJc w:val="left"/>
      <w:pPr>
        <w:ind w:left="157" w:hanging="100"/>
      </w:pPr>
      <w:rPr>
        <w:rFonts w:ascii="Symbol" w:eastAsia="Symbol" w:hAnsi="Symbol" w:cs="Symbol" w:hint="default"/>
        <w:color w:val="231F20"/>
        <w:w w:val="100"/>
        <w:sz w:val="14"/>
        <w:szCs w:val="14"/>
      </w:rPr>
    </w:lvl>
    <w:lvl w:ilvl="1" w:tplc="A432C5B0">
      <w:numFmt w:val="bullet"/>
      <w:lvlText w:val="•"/>
      <w:lvlJc w:val="left"/>
      <w:pPr>
        <w:ind w:left="426" w:hanging="100"/>
      </w:pPr>
      <w:rPr>
        <w:rFonts w:hint="default"/>
      </w:rPr>
    </w:lvl>
    <w:lvl w:ilvl="2" w:tplc="A88804DA">
      <w:numFmt w:val="bullet"/>
      <w:lvlText w:val="•"/>
      <w:lvlJc w:val="left"/>
      <w:pPr>
        <w:ind w:left="692" w:hanging="100"/>
      </w:pPr>
      <w:rPr>
        <w:rFonts w:hint="default"/>
      </w:rPr>
    </w:lvl>
    <w:lvl w:ilvl="3" w:tplc="6F0C9C36">
      <w:numFmt w:val="bullet"/>
      <w:lvlText w:val="•"/>
      <w:lvlJc w:val="left"/>
      <w:pPr>
        <w:ind w:left="959" w:hanging="100"/>
      </w:pPr>
      <w:rPr>
        <w:rFonts w:hint="default"/>
      </w:rPr>
    </w:lvl>
    <w:lvl w:ilvl="4" w:tplc="5AD06C44">
      <w:numFmt w:val="bullet"/>
      <w:lvlText w:val="•"/>
      <w:lvlJc w:val="left"/>
      <w:pPr>
        <w:ind w:left="1225" w:hanging="100"/>
      </w:pPr>
      <w:rPr>
        <w:rFonts w:hint="default"/>
      </w:rPr>
    </w:lvl>
    <w:lvl w:ilvl="5" w:tplc="C550334C">
      <w:numFmt w:val="bullet"/>
      <w:lvlText w:val="•"/>
      <w:lvlJc w:val="left"/>
      <w:pPr>
        <w:ind w:left="1492" w:hanging="100"/>
      </w:pPr>
      <w:rPr>
        <w:rFonts w:hint="default"/>
      </w:rPr>
    </w:lvl>
    <w:lvl w:ilvl="6" w:tplc="51EC5506">
      <w:numFmt w:val="bullet"/>
      <w:lvlText w:val="•"/>
      <w:lvlJc w:val="left"/>
      <w:pPr>
        <w:ind w:left="1758" w:hanging="100"/>
      </w:pPr>
      <w:rPr>
        <w:rFonts w:hint="default"/>
      </w:rPr>
    </w:lvl>
    <w:lvl w:ilvl="7" w:tplc="310622B0">
      <w:numFmt w:val="bullet"/>
      <w:lvlText w:val="•"/>
      <w:lvlJc w:val="left"/>
      <w:pPr>
        <w:ind w:left="2024" w:hanging="100"/>
      </w:pPr>
      <w:rPr>
        <w:rFonts w:hint="default"/>
      </w:rPr>
    </w:lvl>
    <w:lvl w:ilvl="8" w:tplc="2DC0A07E">
      <w:numFmt w:val="bullet"/>
      <w:lvlText w:val="•"/>
      <w:lvlJc w:val="left"/>
      <w:pPr>
        <w:ind w:left="2291" w:hanging="100"/>
      </w:pPr>
      <w:rPr>
        <w:rFonts w:hint="default"/>
      </w:rPr>
    </w:lvl>
  </w:abstractNum>
  <w:abstractNum w:abstractNumId="451" w15:restartNumberingAfterBreak="0">
    <w:nsid w:val="1C523935"/>
    <w:multiLevelType w:val="hybridMultilevel"/>
    <w:tmpl w:val="B55E6FDC"/>
    <w:lvl w:ilvl="0" w:tplc="A5B0E8DC">
      <w:numFmt w:val="bullet"/>
      <w:lvlText w:val=""/>
      <w:lvlJc w:val="left"/>
      <w:pPr>
        <w:ind w:left="156" w:hanging="100"/>
      </w:pPr>
      <w:rPr>
        <w:rFonts w:ascii="Symbol" w:eastAsia="Symbol" w:hAnsi="Symbol" w:cs="Symbol" w:hint="default"/>
        <w:color w:val="231F20"/>
        <w:w w:val="100"/>
        <w:sz w:val="14"/>
        <w:szCs w:val="14"/>
      </w:rPr>
    </w:lvl>
    <w:lvl w:ilvl="1" w:tplc="BE3A642C">
      <w:numFmt w:val="bullet"/>
      <w:lvlText w:val="•"/>
      <w:lvlJc w:val="left"/>
      <w:pPr>
        <w:ind w:left="398" w:hanging="100"/>
      </w:pPr>
      <w:rPr>
        <w:rFonts w:hint="default"/>
      </w:rPr>
    </w:lvl>
    <w:lvl w:ilvl="2" w:tplc="54E2C6F4">
      <w:numFmt w:val="bullet"/>
      <w:lvlText w:val="•"/>
      <w:lvlJc w:val="left"/>
      <w:pPr>
        <w:ind w:left="636" w:hanging="100"/>
      </w:pPr>
      <w:rPr>
        <w:rFonts w:hint="default"/>
      </w:rPr>
    </w:lvl>
    <w:lvl w:ilvl="3" w:tplc="15C20278">
      <w:numFmt w:val="bullet"/>
      <w:lvlText w:val="•"/>
      <w:lvlJc w:val="left"/>
      <w:pPr>
        <w:ind w:left="874" w:hanging="100"/>
      </w:pPr>
      <w:rPr>
        <w:rFonts w:hint="default"/>
      </w:rPr>
    </w:lvl>
    <w:lvl w:ilvl="4" w:tplc="13701B50">
      <w:numFmt w:val="bullet"/>
      <w:lvlText w:val="•"/>
      <w:lvlJc w:val="left"/>
      <w:pPr>
        <w:ind w:left="1112" w:hanging="100"/>
      </w:pPr>
      <w:rPr>
        <w:rFonts w:hint="default"/>
      </w:rPr>
    </w:lvl>
    <w:lvl w:ilvl="5" w:tplc="46DE3AB4">
      <w:numFmt w:val="bullet"/>
      <w:lvlText w:val="•"/>
      <w:lvlJc w:val="left"/>
      <w:pPr>
        <w:ind w:left="1350" w:hanging="100"/>
      </w:pPr>
      <w:rPr>
        <w:rFonts w:hint="default"/>
      </w:rPr>
    </w:lvl>
    <w:lvl w:ilvl="6" w:tplc="9258A322">
      <w:numFmt w:val="bullet"/>
      <w:lvlText w:val="•"/>
      <w:lvlJc w:val="left"/>
      <w:pPr>
        <w:ind w:left="1588" w:hanging="100"/>
      </w:pPr>
      <w:rPr>
        <w:rFonts w:hint="default"/>
      </w:rPr>
    </w:lvl>
    <w:lvl w:ilvl="7" w:tplc="D8001E58">
      <w:numFmt w:val="bullet"/>
      <w:lvlText w:val="•"/>
      <w:lvlJc w:val="left"/>
      <w:pPr>
        <w:ind w:left="1826" w:hanging="100"/>
      </w:pPr>
      <w:rPr>
        <w:rFonts w:hint="default"/>
      </w:rPr>
    </w:lvl>
    <w:lvl w:ilvl="8" w:tplc="8CFE9796">
      <w:numFmt w:val="bullet"/>
      <w:lvlText w:val="•"/>
      <w:lvlJc w:val="left"/>
      <w:pPr>
        <w:ind w:left="2064" w:hanging="100"/>
      </w:pPr>
      <w:rPr>
        <w:rFonts w:hint="default"/>
      </w:rPr>
    </w:lvl>
  </w:abstractNum>
  <w:abstractNum w:abstractNumId="452" w15:restartNumberingAfterBreak="0">
    <w:nsid w:val="1C675540"/>
    <w:multiLevelType w:val="hybridMultilevel"/>
    <w:tmpl w:val="A306BA84"/>
    <w:lvl w:ilvl="0" w:tplc="09F68DA8">
      <w:numFmt w:val="bullet"/>
      <w:lvlText w:val=""/>
      <w:lvlJc w:val="left"/>
      <w:pPr>
        <w:ind w:left="157" w:hanging="100"/>
      </w:pPr>
      <w:rPr>
        <w:rFonts w:ascii="Symbol" w:eastAsia="Symbol" w:hAnsi="Symbol" w:cs="Symbol" w:hint="default"/>
        <w:color w:val="231F20"/>
        <w:w w:val="100"/>
        <w:sz w:val="14"/>
        <w:szCs w:val="14"/>
      </w:rPr>
    </w:lvl>
    <w:lvl w:ilvl="1" w:tplc="FAE60834">
      <w:numFmt w:val="bullet"/>
      <w:lvlText w:val="•"/>
      <w:lvlJc w:val="left"/>
      <w:pPr>
        <w:ind w:left="426" w:hanging="100"/>
      </w:pPr>
      <w:rPr>
        <w:rFonts w:hint="default"/>
      </w:rPr>
    </w:lvl>
    <w:lvl w:ilvl="2" w:tplc="F9B43780">
      <w:numFmt w:val="bullet"/>
      <w:lvlText w:val="•"/>
      <w:lvlJc w:val="left"/>
      <w:pPr>
        <w:ind w:left="692" w:hanging="100"/>
      </w:pPr>
      <w:rPr>
        <w:rFonts w:hint="default"/>
      </w:rPr>
    </w:lvl>
    <w:lvl w:ilvl="3" w:tplc="A4C81950">
      <w:numFmt w:val="bullet"/>
      <w:lvlText w:val="•"/>
      <w:lvlJc w:val="left"/>
      <w:pPr>
        <w:ind w:left="959" w:hanging="100"/>
      </w:pPr>
      <w:rPr>
        <w:rFonts w:hint="default"/>
      </w:rPr>
    </w:lvl>
    <w:lvl w:ilvl="4" w:tplc="9320C892">
      <w:numFmt w:val="bullet"/>
      <w:lvlText w:val="•"/>
      <w:lvlJc w:val="left"/>
      <w:pPr>
        <w:ind w:left="1225" w:hanging="100"/>
      </w:pPr>
      <w:rPr>
        <w:rFonts w:hint="default"/>
      </w:rPr>
    </w:lvl>
    <w:lvl w:ilvl="5" w:tplc="2178430E">
      <w:numFmt w:val="bullet"/>
      <w:lvlText w:val="•"/>
      <w:lvlJc w:val="left"/>
      <w:pPr>
        <w:ind w:left="1492" w:hanging="100"/>
      </w:pPr>
      <w:rPr>
        <w:rFonts w:hint="default"/>
      </w:rPr>
    </w:lvl>
    <w:lvl w:ilvl="6" w:tplc="BB7E6BBC">
      <w:numFmt w:val="bullet"/>
      <w:lvlText w:val="•"/>
      <w:lvlJc w:val="left"/>
      <w:pPr>
        <w:ind w:left="1758" w:hanging="100"/>
      </w:pPr>
      <w:rPr>
        <w:rFonts w:hint="default"/>
      </w:rPr>
    </w:lvl>
    <w:lvl w:ilvl="7" w:tplc="7F2297C6">
      <w:numFmt w:val="bullet"/>
      <w:lvlText w:val="•"/>
      <w:lvlJc w:val="left"/>
      <w:pPr>
        <w:ind w:left="2024" w:hanging="100"/>
      </w:pPr>
      <w:rPr>
        <w:rFonts w:hint="default"/>
      </w:rPr>
    </w:lvl>
    <w:lvl w:ilvl="8" w:tplc="04D251A2">
      <w:numFmt w:val="bullet"/>
      <w:lvlText w:val="•"/>
      <w:lvlJc w:val="left"/>
      <w:pPr>
        <w:ind w:left="2291" w:hanging="100"/>
      </w:pPr>
      <w:rPr>
        <w:rFonts w:hint="default"/>
      </w:rPr>
    </w:lvl>
  </w:abstractNum>
  <w:abstractNum w:abstractNumId="453" w15:restartNumberingAfterBreak="0">
    <w:nsid w:val="1C6B6177"/>
    <w:multiLevelType w:val="hybridMultilevel"/>
    <w:tmpl w:val="95B24D9C"/>
    <w:lvl w:ilvl="0" w:tplc="E7763BF2">
      <w:numFmt w:val="bullet"/>
      <w:lvlText w:val=""/>
      <w:lvlJc w:val="left"/>
      <w:pPr>
        <w:ind w:left="156" w:hanging="100"/>
      </w:pPr>
      <w:rPr>
        <w:rFonts w:ascii="Symbol" w:eastAsia="Symbol" w:hAnsi="Symbol" w:cs="Symbol" w:hint="default"/>
        <w:color w:val="231F20"/>
        <w:w w:val="100"/>
        <w:sz w:val="14"/>
        <w:szCs w:val="14"/>
      </w:rPr>
    </w:lvl>
    <w:lvl w:ilvl="1" w:tplc="1800FD74">
      <w:numFmt w:val="bullet"/>
      <w:lvlText w:val="•"/>
      <w:lvlJc w:val="left"/>
      <w:pPr>
        <w:ind w:left="398" w:hanging="100"/>
      </w:pPr>
      <w:rPr>
        <w:rFonts w:hint="default"/>
      </w:rPr>
    </w:lvl>
    <w:lvl w:ilvl="2" w:tplc="FE6878C8">
      <w:numFmt w:val="bullet"/>
      <w:lvlText w:val="•"/>
      <w:lvlJc w:val="left"/>
      <w:pPr>
        <w:ind w:left="636" w:hanging="100"/>
      </w:pPr>
      <w:rPr>
        <w:rFonts w:hint="default"/>
      </w:rPr>
    </w:lvl>
    <w:lvl w:ilvl="3" w:tplc="306C1A86">
      <w:numFmt w:val="bullet"/>
      <w:lvlText w:val="•"/>
      <w:lvlJc w:val="left"/>
      <w:pPr>
        <w:ind w:left="874" w:hanging="100"/>
      </w:pPr>
      <w:rPr>
        <w:rFonts w:hint="default"/>
      </w:rPr>
    </w:lvl>
    <w:lvl w:ilvl="4" w:tplc="CDA277EC">
      <w:numFmt w:val="bullet"/>
      <w:lvlText w:val="•"/>
      <w:lvlJc w:val="left"/>
      <w:pPr>
        <w:ind w:left="1112" w:hanging="100"/>
      </w:pPr>
      <w:rPr>
        <w:rFonts w:hint="default"/>
      </w:rPr>
    </w:lvl>
    <w:lvl w:ilvl="5" w:tplc="05DC1942">
      <w:numFmt w:val="bullet"/>
      <w:lvlText w:val="•"/>
      <w:lvlJc w:val="left"/>
      <w:pPr>
        <w:ind w:left="1350" w:hanging="100"/>
      </w:pPr>
      <w:rPr>
        <w:rFonts w:hint="default"/>
      </w:rPr>
    </w:lvl>
    <w:lvl w:ilvl="6" w:tplc="5C28F398">
      <w:numFmt w:val="bullet"/>
      <w:lvlText w:val="•"/>
      <w:lvlJc w:val="left"/>
      <w:pPr>
        <w:ind w:left="1588" w:hanging="100"/>
      </w:pPr>
      <w:rPr>
        <w:rFonts w:hint="default"/>
      </w:rPr>
    </w:lvl>
    <w:lvl w:ilvl="7" w:tplc="AB601ED8">
      <w:numFmt w:val="bullet"/>
      <w:lvlText w:val="•"/>
      <w:lvlJc w:val="left"/>
      <w:pPr>
        <w:ind w:left="1826" w:hanging="100"/>
      </w:pPr>
      <w:rPr>
        <w:rFonts w:hint="default"/>
      </w:rPr>
    </w:lvl>
    <w:lvl w:ilvl="8" w:tplc="C7DAAE40">
      <w:numFmt w:val="bullet"/>
      <w:lvlText w:val="•"/>
      <w:lvlJc w:val="left"/>
      <w:pPr>
        <w:ind w:left="2064" w:hanging="100"/>
      </w:pPr>
      <w:rPr>
        <w:rFonts w:hint="default"/>
      </w:rPr>
    </w:lvl>
  </w:abstractNum>
  <w:abstractNum w:abstractNumId="454" w15:restartNumberingAfterBreak="0">
    <w:nsid w:val="1CA10D95"/>
    <w:multiLevelType w:val="hybridMultilevel"/>
    <w:tmpl w:val="9454C96A"/>
    <w:lvl w:ilvl="0" w:tplc="8AFEB840">
      <w:numFmt w:val="bullet"/>
      <w:lvlText w:val=""/>
      <w:lvlJc w:val="left"/>
      <w:pPr>
        <w:ind w:left="156" w:hanging="100"/>
      </w:pPr>
      <w:rPr>
        <w:rFonts w:ascii="Symbol" w:eastAsia="Symbol" w:hAnsi="Symbol" w:cs="Symbol" w:hint="default"/>
        <w:color w:val="231F20"/>
        <w:w w:val="100"/>
        <w:sz w:val="14"/>
        <w:szCs w:val="14"/>
      </w:rPr>
    </w:lvl>
    <w:lvl w:ilvl="1" w:tplc="FDFEAF4E">
      <w:numFmt w:val="bullet"/>
      <w:lvlText w:val="•"/>
      <w:lvlJc w:val="left"/>
      <w:pPr>
        <w:ind w:left="301" w:hanging="100"/>
      </w:pPr>
      <w:rPr>
        <w:rFonts w:hint="default"/>
      </w:rPr>
    </w:lvl>
    <w:lvl w:ilvl="2" w:tplc="E0640564">
      <w:numFmt w:val="bullet"/>
      <w:lvlText w:val="•"/>
      <w:lvlJc w:val="left"/>
      <w:pPr>
        <w:ind w:left="443" w:hanging="100"/>
      </w:pPr>
      <w:rPr>
        <w:rFonts w:hint="default"/>
      </w:rPr>
    </w:lvl>
    <w:lvl w:ilvl="3" w:tplc="1F14CC64">
      <w:numFmt w:val="bullet"/>
      <w:lvlText w:val="•"/>
      <w:lvlJc w:val="left"/>
      <w:pPr>
        <w:ind w:left="585" w:hanging="100"/>
      </w:pPr>
      <w:rPr>
        <w:rFonts w:hint="default"/>
      </w:rPr>
    </w:lvl>
    <w:lvl w:ilvl="4" w:tplc="BBC4C0CA">
      <w:numFmt w:val="bullet"/>
      <w:lvlText w:val="•"/>
      <w:lvlJc w:val="left"/>
      <w:pPr>
        <w:ind w:left="726" w:hanging="100"/>
      </w:pPr>
      <w:rPr>
        <w:rFonts w:hint="default"/>
      </w:rPr>
    </w:lvl>
    <w:lvl w:ilvl="5" w:tplc="A0F440D8">
      <w:numFmt w:val="bullet"/>
      <w:lvlText w:val="•"/>
      <w:lvlJc w:val="left"/>
      <w:pPr>
        <w:ind w:left="868" w:hanging="100"/>
      </w:pPr>
      <w:rPr>
        <w:rFonts w:hint="default"/>
      </w:rPr>
    </w:lvl>
    <w:lvl w:ilvl="6" w:tplc="F9AE148A">
      <w:numFmt w:val="bullet"/>
      <w:lvlText w:val="•"/>
      <w:lvlJc w:val="left"/>
      <w:pPr>
        <w:ind w:left="1010" w:hanging="100"/>
      </w:pPr>
      <w:rPr>
        <w:rFonts w:hint="default"/>
      </w:rPr>
    </w:lvl>
    <w:lvl w:ilvl="7" w:tplc="7A580164">
      <w:numFmt w:val="bullet"/>
      <w:lvlText w:val="•"/>
      <w:lvlJc w:val="left"/>
      <w:pPr>
        <w:ind w:left="1151" w:hanging="100"/>
      </w:pPr>
      <w:rPr>
        <w:rFonts w:hint="default"/>
      </w:rPr>
    </w:lvl>
    <w:lvl w:ilvl="8" w:tplc="A2D07BC6">
      <w:numFmt w:val="bullet"/>
      <w:lvlText w:val="•"/>
      <w:lvlJc w:val="left"/>
      <w:pPr>
        <w:ind w:left="1293" w:hanging="100"/>
      </w:pPr>
      <w:rPr>
        <w:rFonts w:hint="default"/>
      </w:rPr>
    </w:lvl>
  </w:abstractNum>
  <w:abstractNum w:abstractNumId="455" w15:restartNumberingAfterBreak="0">
    <w:nsid w:val="1CA81BC2"/>
    <w:multiLevelType w:val="hybridMultilevel"/>
    <w:tmpl w:val="31980646"/>
    <w:lvl w:ilvl="0" w:tplc="1A00B5DE">
      <w:numFmt w:val="bullet"/>
      <w:lvlText w:val=""/>
      <w:lvlJc w:val="left"/>
      <w:pPr>
        <w:ind w:left="156" w:hanging="100"/>
      </w:pPr>
      <w:rPr>
        <w:rFonts w:ascii="Symbol" w:eastAsia="Symbol" w:hAnsi="Symbol" w:cs="Symbol" w:hint="default"/>
        <w:color w:val="231F20"/>
        <w:w w:val="100"/>
        <w:sz w:val="14"/>
        <w:szCs w:val="14"/>
      </w:rPr>
    </w:lvl>
    <w:lvl w:ilvl="1" w:tplc="8CFC4C4A">
      <w:numFmt w:val="bullet"/>
      <w:lvlText w:val="•"/>
      <w:lvlJc w:val="left"/>
      <w:pPr>
        <w:ind w:left="426" w:hanging="100"/>
      </w:pPr>
      <w:rPr>
        <w:rFonts w:hint="default"/>
      </w:rPr>
    </w:lvl>
    <w:lvl w:ilvl="2" w:tplc="00C84A94">
      <w:numFmt w:val="bullet"/>
      <w:lvlText w:val="•"/>
      <w:lvlJc w:val="left"/>
      <w:pPr>
        <w:ind w:left="692" w:hanging="100"/>
      </w:pPr>
      <w:rPr>
        <w:rFonts w:hint="default"/>
      </w:rPr>
    </w:lvl>
    <w:lvl w:ilvl="3" w:tplc="6AB625B4">
      <w:numFmt w:val="bullet"/>
      <w:lvlText w:val="•"/>
      <w:lvlJc w:val="left"/>
      <w:pPr>
        <w:ind w:left="959" w:hanging="100"/>
      </w:pPr>
      <w:rPr>
        <w:rFonts w:hint="default"/>
      </w:rPr>
    </w:lvl>
    <w:lvl w:ilvl="4" w:tplc="CF6E3B7E">
      <w:numFmt w:val="bullet"/>
      <w:lvlText w:val="•"/>
      <w:lvlJc w:val="left"/>
      <w:pPr>
        <w:ind w:left="1225" w:hanging="100"/>
      </w:pPr>
      <w:rPr>
        <w:rFonts w:hint="default"/>
      </w:rPr>
    </w:lvl>
    <w:lvl w:ilvl="5" w:tplc="9B1AB514">
      <w:numFmt w:val="bullet"/>
      <w:lvlText w:val="•"/>
      <w:lvlJc w:val="left"/>
      <w:pPr>
        <w:ind w:left="1492" w:hanging="100"/>
      </w:pPr>
      <w:rPr>
        <w:rFonts w:hint="default"/>
      </w:rPr>
    </w:lvl>
    <w:lvl w:ilvl="6" w:tplc="6650A8AA">
      <w:numFmt w:val="bullet"/>
      <w:lvlText w:val="•"/>
      <w:lvlJc w:val="left"/>
      <w:pPr>
        <w:ind w:left="1758" w:hanging="100"/>
      </w:pPr>
      <w:rPr>
        <w:rFonts w:hint="default"/>
      </w:rPr>
    </w:lvl>
    <w:lvl w:ilvl="7" w:tplc="212A9226">
      <w:numFmt w:val="bullet"/>
      <w:lvlText w:val="•"/>
      <w:lvlJc w:val="left"/>
      <w:pPr>
        <w:ind w:left="2024" w:hanging="100"/>
      </w:pPr>
      <w:rPr>
        <w:rFonts w:hint="default"/>
      </w:rPr>
    </w:lvl>
    <w:lvl w:ilvl="8" w:tplc="466E4798">
      <w:numFmt w:val="bullet"/>
      <w:lvlText w:val="•"/>
      <w:lvlJc w:val="left"/>
      <w:pPr>
        <w:ind w:left="2291" w:hanging="100"/>
      </w:pPr>
      <w:rPr>
        <w:rFonts w:hint="default"/>
      </w:rPr>
    </w:lvl>
  </w:abstractNum>
  <w:abstractNum w:abstractNumId="456" w15:restartNumberingAfterBreak="0">
    <w:nsid w:val="1CDB31F8"/>
    <w:multiLevelType w:val="hybridMultilevel"/>
    <w:tmpl w:val="8056F012"/>
    <w:lvl w:ilvl="0" w:tplc="80F852A4">
      <w:numFmt w:val="bullet"/>
      <w:lvlText w:val=""/>
      <w:lvlJc w:val="left"/>
      <w:pPr>
        <w:ind w:left="156" w:hanging="100"/>
      </w:pPr>
      <w:rPr>
        <w:rFonts w:ascii="Symbol" w:eastAsia="Symbol" w:hAnsi="Symbol" w:cs="Symbol" w:hint="default"/>
        <w:color w:val="231F20"/>
        <w:w w:val="100"/>
        <w:sz w:val="14"/>
        <w:szCs w:val="14"/>
      </w:rPr>
    </w:lvl>
    <w:lvl w:ilvl="1" w:tplc="F174907C">
      <w:numFmt w:val="bullet"/>
      <w:lvlText w:val="•"/>
      <w:lvlJc w:val="left"/>
      <w:pPr>
        <w:ind w:left="454" w:hanging="100"/>
      </w:pPr>
      <w:rPr>
        <w:rFonts w:hint="default"/>
      </w:rPr>
    </w:lvl>
    <w:lvl w:ilvl="2" w:tplc="51208E44">
      <w:numFmt w:val="bullet"/>
      <w:lvlText w:val="•"/>
      <w:lvlJc w:val="left"/>
      <w:pPr>
        <w:ind w:left="749" w:hanging="100"/>
      </w:pPr>
      <w:rPr>
        <w:rFonts w:hint="default"/>
      </w:rPr>
    </w:lvl>
    <w:lvl w:ilvl="3" w:tplc="5CD48C4C">
      <w:numFmt w:val="bullet"/>
      <w:lvlText w:val="•"/>
      <w:lvlJc w:val="left"/>
      <w:pPr>
        <w:ind w:left="1044" w:hanging="100"/>
      </w:pPr>
      <w:rPr>
        <w:rFonts w:hint="default"/>
      </w:rPr>
    </w:lvl>
    <w:lvl w:ilvl="4" w:tplc="A148DCD6">
      <w:numFmt w:val="bullet"/>
      <w:lvlText w:val="•"/>
      <w:lvlJc w:val="left"/>
      <w:pPr>
        <w:ind w:left="1339" w:hanging="100"/>
      </w:pPr>
      <w:rPr>
        <w:rFonts w:hint="default"/>
      </w:rPr>
    </w:lvl>
    <w:lvl w:ilvl="5" w:tplc="9A66B2AC">
      <w:numFmt w:val="bullet"/>
      <w:lvlText w:val="•"/>
      <w:lvlJc w:val="left"/>
      <w:pPr>
        <w:ind w:left="1634" w:hanging="100"/>
      </w:pPr>
      <w:rPr>
        <w:rFonts w:hint="default"/>
      </w:rPr>
    </w:lvl>
    <w:lvl w:ilvl="6" w:tplc="19901F10">
      <w:numFmt w:val="bullet"/>
      <w:lvlText w:val="•"/>
      <w:lvlJc w:val="left"/>
      <w:pPr>
        <w:ind w:left="1928" w:hanging="100"/>
      </w:pPr>
      <w:rPr>
        <w:rFonts w:hint="default"/>
      </w:rPr>
    </w:lvl>
    <w:lvl w:ilvl="7" w:tplc="F87404F8">
      <w:numFmt w:val="bullet"/>
      <w:lvlText w:val="•"/>
      <w:lvlJc w:val="left"/>
      <w:pPr>
        <w:ind w:left="2223" w:hanging="100"/>
      </w:pPr>
      <w:rPr>
        <w:rFonts w:hint="default"/>
      </w:rPr>
    </w:lvl>
    <w:lvl w:ilvl="8" w:tplc="11D0A646">
      <w:numFmt w:val="bullet"/>
      <w:lvlText w:val="•"/>
      <w:lvlJc w:val="left"/>
      <w:pPr>
        <w:ind w:left="2518" w:hanging="100"/>
      </w:pPr>
      <w:rPr>
        <w:rFonts w:hint="default"/>
      </w:rPr>
    </w:lvl>
  </w:abstractNum>
  <w:abstractNum w:abstractNumId="457" w15:restartNumberingAfterBreak="0">
    <w:nsid w:val="1CDF3FE4"/>
    <w:multiLevelType w:val="hybridMultilevel"/>
    <w:tmpl w:val="A09AE228"/>
    <w:lvl w:ilvl="0" w:tplc="C4DCAED4">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A5FE6EE4">
      <w:numFmt w:val="bullet"/>
      <w:lvlText w:val="•"/>
      <w:lvlJc w:val="left"/>
      <w:pPr>
        <w:ind w:left="351" w:hanging="84"/>
      </w:pPr>
      <w:rPr>
        <w:rFonts w:hint="default"/>
      </w:rPr>
    </w:lvl>
    <w:lvl w:ilvl="2" w:tplc="AB3CC950">
      <w:numFmt w:val="bullet"/>
      <w:lvlText w:val="•"/>
      <w:lvlJc w:val="left"/>
      <w:pPr>
        <w:ind w:left="563" w:hanging="84"/>
      </w:pPr>
      <w:rPr>
        <w:rFonts w:hint="default"/>
      </w:rPr>
    </w:lvl>
    <w:lvl w:ilvl="3" w:tplc="8D349CDC">
      <w:numFmt w:val="bullet"/>
      <w:lvlText w:val="•"/>
      <w:lvlJc w:val="left"/>
      <w:pPr>
        <w:ind w:left="775" w:hanging="84"/>
      </w:pPr>
      <w:rPr>
        <w:rFonts w:hint="default"/>
      </w:rPr>
    </w:lvl>
    <w:lvl w:ilvl="4" w:tplc="2AF09B28">
      <w:numFmt w:val="bullet"/>
      <w:lvlText w:val="•"/>
      <w:lvlJc w:val="left"/>
      <w:pPr>
        <w:ind w:left="986" w:hanging="84"/>
      </w:pPr>
      <w:rPr>
        <w:rFonts w:hint="default"/>
      </w:rPr>
    </w:lvl>
    <w:lvl w:ilvl="5" w:tplc="EC88DCC6">
      <w:numFmt w:val="bullet"/>
      <w:lvlText w:val="•"/>
      <w:lvlJc w:val="left"/>
      <w:pPr>
        <w:ind w:left="1198" w:hanging="84"/>
      </w:pPr>
      <w:rPr>
        <w:rFonts w:hint="default"/>
      </w:rPr>
    </w:lvl>
    <w:lvl w:ilvl="6" w:tplc="2AECFEEE">
      <w:numFmt w:val="bullet"/>
      <w:lvlText w:val="•"/>
      <w:lvlJc w:val="left"/>
      <w:pPr>
        <w:ind w:left="1410" w:hanging="84"/>
      </w:pPr>
      <w:rPr>
        <w:rFonts w:hint="default"/>
      </w:rPr>
    </w:lvl>
    <w:lvl w:ilvl="7" w:tplc="B4D0332C">
      <w:numFmt w:val="bullet"/>
      <w:lvlText w:val="•"/>
      <w:lvlJc w:val="left"/>
      <w:pPr>
        <w:ind w:left="1621" w:hanging="84"/>
      </w:pPr>
      <w:rPr>
        <w:rFonts w:hint="default"/>
      </w:rPr>
    </w:lvl>
    <w:lvl w:ilvl="8" w:tplc="833E54DA">
      <w:numFmt w:val="bullet"/>
      <w:lvlText w:val="•"/>
      <w:lvlJc w:val="left"/>
      <w:pPr>
        <w:ind w:left="1833" w:hanging="84"/>
      </w:pPr>
      <w:rPr>
        <w:rFonts w:hint="default"/>
      </w:rPr>
    </w:lvl>
  </w:abstractNum>
  <w:abstractNum w:abstractNumId="458" w15:restartNumberingAfterBreak="0">
    <w:nsid w:val="1CF81236"/>
    <w:multiLevelType w:val="hybridMultilevel"/>
    <w:tmpl w:val="92346188"/>
    <w:lvl w:ilvl="0" w:tplc="00783D1C">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C578068C">
      <w:numFmt w:val="bullet"/>
      <w:lvlText w:val="•"/>
      <w:lvlJc w:val="left"/>
      <w:pPr>
        <w:ind w:left="351" w:hanging="84"/>
      </w:pPr>
      <w:rPr>
        <w:rFonts w:hint="default"/>
      </w:rPr>
    </w:lvl>
    <w:lvl w:ilvl="2" w:tplc="AD0C4B9C">
      <w:numFmt w:val="bullet"/>
      <w:lvlText w:val="•"/>
      <w:lvlJc w:val="left"/>
      <w:pPr>
        <w:ind w:left="563" w:hanging="84"/>
      </w:pPr>
      <w:rPr>
        <w:rFonts w:hint="default"/>
      </w:rPr>
    </w:lvl>
    <w:lvl w:ilvl="3" w:tplc="109A3440">
      <w:numFmt w:val="bullet"/>
      <w:lvlText w:val="•"/>
      <w:lvlJc w:val="left"/>
      <w:pPr>
        <w:ind w:left="775" w:hanging="84"/>
      </w:pPr>
      <w:rPr>
        <w:rFonts w:hint="default"/>
      </w:rPr>
    </w:lvl>
    <w:lvl w:ilvl="4" w:tplc="E37EDB52">
      <w:numFmt w:val="bullet"/>
      <w:lvlText w:val="•"/>
      <w:lvlJc w:val="left"/>
      <w:pPr>
        <w:ind w:left="986" w:hanging="84"/>
      </w:pPr>
      <w:rPr>
        <w:rFonts w:hint="default"/>
      </w:rPr>
    </w:lvl>
    <w:lvl w:ilvl="5" w:tplc="881C31DC">
      <w:numFmt w:val="bullet"/>
      <w:lvlText w:val="•"/>
      <w:lvlJc w:val="left"/>
      <w:pPr>
        <w:ind w:left="1198" w:hanging="84"/>
      </w:pPr>
      <w:rPr>
        <w:rFonts w:hint="default"/>
      </w:rPr>
    </w:lvl>
    <w:lvl w:ilvl="6" w:tplc="2AF08C3E">
      <w:numFmt w:val="bullet"/>
      <w:lvlText w:val="•"/>
      <w:lvlJc w:val="left"/>
      <w:pPr>
        <w:ind w:left="1410" w:hanging="84"/>
      </w:pPr>
      <w:rPr>
        <w:rFonts w:hint="default"/>
      </w:rPr>
    </w:lvl>
    <w:lvl w:ilvl="7" w:tplc="C0E8F926">
      <w:numFmt w:val="bullet"/>
      <w:lvlText w:val="•"/>
      <w:lvlJc w:val="left"/>
      <w:pPr>
        <w:ind w:left="1621" w:hanging="84"/>
      </w:pPr>
      <w:rPr>
        <w:rFonts w:hint="default"/>
      </w:rPr>
    </w:lvl>
    <w:lvl w:ilvl="8" w:tplc="F27E698C">
      <w:numFmt w:val="bullet"/>
      <w:lvlText w:val="•"/>
      <w:lvlJc w:val="left"/>
      <w:pPr>
        <w:ind w:left="1833" w:hanging="84"/>
      </w:pPr>
      <w:rPr>
        <w:rFonts w:hint="default"/>
      </w:rPr>
    </w:lvl>
  </w:abstractNum>
  <w:abstractNum w:abstractNumId="459" w15:restartNumberingAfterBreak="0">
    <w:nsid w:val="1D2303BE"/>
    <w:multiLevelType w:val="hybridMultilevel"/>
    <w:tmpl w:val="7D6E67E8"/>
    <w:lvl w:ilvl="0" w:tplc="A508B376">
      <w:numFmt w:val="bullet"/>
      <w:lvlText w:val=""/>
      <w:lvlJc w:val="left"/>
      <w:pPr>
        <w:ind w:left="157" w:hanging="100"/>
      </w:pPr>
      <w:rPr>
        <w:rFonts w:ascii="Symbol" w:eastAsia="Symbol" w:hAnsi="Symbol" w:cs="Symbol" w:hint="default"/>
        <w:color w:val="231F20"/>
        <w:w w:val="100"/>
        <w:sz w:val="14"/>
        <w:szCs w:val="14"/>
      </w:rPr>
    </w:lvl>
    <w:lvl w:ilvl="1" w:tplc="324AC46E">
      <w:numFmt w:val="bullet"/>
      <w:lvlText w:val="•"/>
      <w:lvlJc w:val="left"/>
      <w:pPr>
        <w:ind w:left="369" w:hanging="100"/>
      </w:pPr>
      <w:rPr>
        <w:rFonts w:hint="default"/>
      </w:rPr>
    </w:lvl>
    <w:lvl w:ilvl="2" w:tplc="2DEE6606">
      <w:numFmt w:val="bullet"/>
      <w:lvlText w:val="•"/>
      <w:lvlJc w:val="left"/>
      <w:pPr>
        <w:ind w:left="579" w:hanging="100"/>
      </w:pPr>
      <w:rPr>
        <w:rFonts w:hint="default"/>
      </w:rPr>
    </w:lvl>
    <w:lvl w:ilvl="3" w:tplc="5E94D098">
      <w:numFmt w:val="bullet"/>
      <w:lvlText w:val="•"/>
      <w:lvlJc w:val="left"/>
      <w:pPr>
        <w:ind w:left="789" w:hanging="100"/>
      </w:pPr>
      <w:rPr>
        <w:rFonts w:hint="default"/>
      </w:rPr>
    </w:lvl>
    <w:lvl w:ilvl="4" w:tplc="FD402C0E">
      <w:numFmt w:val="bullet"/>
      <w:lvlText w:val="•"/>
      <w:lvlJc w:val="left"/>
      <w:pPr>
        <w:ind w:left="998" w:hanging="100"/>
      </w:pPr>
      <w:rPr>
        <w:rFonts w:hint="default"/>
      </w:rPr>
    </w:lvl>
    <w:lvl w:ilvl="5" w:tplc="7B865DF0">
      <w:numFmt w:val="bullet"/>
      <w:lvlText w:val="•"/>
      <w:lvlJc w:val="left"/>
      <w:pPr>
        <w:ind w:left="1208" w:hanging="100"/>
      </w:pPr>
      <w:rPr>
        <w:rFonts w:hint="default"/>
      </w:rPr>
    </w:lvl>
    <w:lvl w:ilvl="6" w:tplc="4CBADA96">
      <w:numFmt w:val="bullet"/>
      <w:lvlText w:val="•"/>
      <w:lvlJc w:val="left"/>
      <w:pPr>
        <w:ind w:left="1418" w:hanging="100"/>
      </w:pPr>
      <w:rPr>
        <w:rFonts w:hint="default"/>
      </w:rPr>
    </w:lvl>
    <w:lvl w:ilvl="7" w:tplc="57FCD2C0">
      <w:numFmt w:val="bullet"/>
      <w:lvlText w:val="•"/>
      <w:lvlJc w:val="left"/>
      <w:pPr>
        <w:ind w:left="1627" w:hanging="100"/>
      </w:pPr>
      <w:rPr>
        <w:rFonts w:hint="default"/>
      </w:rPr>
    </w:lvl>
    <w:lvl w:ilvl="8" w:tplc="B20E321C">
      <w:numFmt w:val="bullet"/>
      <w:lvlText w:val="•"/>
      <w:lvlJc w:val="left"/>
      <w:pPr>
        <w:ind w:left="1837" w:hanging="100"/>
      </w:pPr>
      <w:rPr>
        <w:rFonts w:hint="default"/>
      </w:rPr>
    </w:lvl>
  </w:abstractNum>
  <w:abstractNum w:abstractNumId="460" w15:restartNumberingAfterBreak="0">
    <w:nsid w:val="1D2C635A"/>
    <w:multiLevelType w:val="hybridMultilevel"/>
    <w:tmpl w:val="67C6B0AE"/>
    <w:lvl w:ilvl="0" w:tplc="7186804A">
      <w:numFmt w:val="bullet"/>
      <w:lvlText w:val=""/>
      <w:lvlJc w:val="left"/>
      <w:pPr>
        <w:ind w:left="156" w:hanging="100"/>
      </w:pPr>
      <w:rPr>
        <w:rFonts w:ascii="Symbol" w:eastAsia="Symbol" w:hAnsi="Symbol" w:cs="Symbol" w:hint="default"/>
        <w:color w:val="231F20"/>
        <w:w w:val="100"/>
        <w:sz w:val="14"/>
        <w:szCs w:val="14"/>
      </w:rPr>
    </w:lvl>
    <w:lvl w:ilvl="1" w:tplc="1CCAD048">
      <w:numFmt w:val="bullet"/>
      <w:lvlText w:val="•"/>
      <w:lvlJc w:val="left"/>
      <w:pPr>
        <w:ind w:left="426" w:hanging="100"/>
      </w:pPr>
      <w:rPr>
        <w:rFonts w:hint="default"/>
      </w:rPr>
    </w:lvl>
    <w:lvl w:ilvl="2" w:tplc="F24A8476">
      <w:numFmt w:val="bullet"/>
      <w:lvlText w:val="•"/>
      <w:lvlJc w:val="left"/>
      <w:pPr>
        <w:ind w:left="692" w:hanging="100"/>
      </w:pPr>
      <w:rPr>
        <w:rFonts w:hint="default"/>
      </w:rPr>
    </w:lvl>
    <w:lvl w:ilvl="3" w:tplc="48A43724">
      <w:numFmt w:val="bullet"/>
      <w:lvlText w:val="•"/>
      <w:lvlJc w:val="left"/>
      <w:pPr>
        <w:ind w:left="959" w:hanging="100"/>
      </w:pPr>
      <w:rPr>
        <w:rFonts w:hint="default"/>
      </w:rPr>
    </w:lvl>
    <w:lvl w:ilvl="4" w:tplc="C9D2136C">
      <w:numFmt w:val="bullet"/>
      <w:lvlText w:val="•"/>
      <w:lvlJc w:val="left"/>
      <w:pPr>
        <w:ind w:left="1225" w:hanging="100"/>
      </w:pPr>
      <w:rPr>
        <w:rFonts w:hint="default"/>
      </w:rPr>
    </w:lvl>
    <w:lvl w:ilvl="5" w:tplc="68FC2DBC">
      <w:numFmt w:val="bullet"/>
      <w:lvlText w:val="•"/>
      <w:lvlJc w:val="left"/>
      <w:pPr>
        <w:ind w:left="1492" w:hanging="100"/>
      </w:pPr>
      <w:rPr>
        <w:rFonts w:hint="default"/>
      </w:rPr>
    </w:lvl>
    <w:lvl w:ilvl="6" w:tplc="DE6A4912">
      <w:numFmt w:val="bullet"/>
      <w:lvlText w:val="•"/>
      <w:lvlJc w:val="left"/>
      <w:pPr>
        <w:ind w:left="1758" w:hanging="100"/>
      </w:pPr>
      <w:rPr>
        <w:rFonts w:hint="default"/>
      </w:rPr>
    </w:lvl>
    <w:lvl w:ilvl="7" w:tplc="ADDA1888">
      <w:numFmt w:val="bullet"/>
      <w:lvlText w:val="•"/>
      <w:lvlJc w:val="left"/>
      <w:pPr>
        <w:ind w:left="2024" w:hanging="100"/>
      </w:pPr>
      <w:rPr>
        <w:rFonts w:hint="default"/>
      </w:rPr>
    </w:lvl>
    <w:lvl w:ilvl="8" w:tplc="78BC6256">
      <w:numFmt w:val="bullet"/>
      <w:lvlText w:val="•"/>
      <w:lvlJc w:val="left"/>
      <w:pPr>
        <w:ind w:left="2291" w:hanging="100"/>
      </w:pPr>
      <w:rPr>
        <w:rFonts w:hint="default"/>
      </w:rPr>
    </w:lvl>
  </w:abstractNum>
  <w:abstractNum w:abstractNumId="461" w15:restartNumberingAfterBreak="0">
    <w:nsid w:val="1D2E1349"/>
    <w:multiLevelType w:val="hybridMultilevel"/>
    <w:tmpl w:val="24B80B12"/>
    <w:lvl w:ilvl="0" w:tplc="FEACCE14">
      <w:numFmt w:val="bullet"/>
      <w:lvlText w:val=""/>
      <w:lvlJc w:val="left"/>
      <w:pPr>
        <w:ind w:left="156" w:hanging="100"/>
      </w:pPr>
      <w:rPr>
        <w:rFonts w:ascii="Symbol" w:eastAsia="Symbol" w:hAnsi="Symbol" w:cs="Symbol" w:hint="default"/>
        <w:color w:val="231F20"/>
        <w:w w:val="100"/>
        <w:sz w:val="14"/>
        <w:szCs w:val="14"/>
      </w:rPr>
    </w:lvl>
    <w:lvl w:ilvl="1" w:tplc="4DC638D8">
      <w:numFmt w:val="bullet"/>
      <w:lvlText w:val="•"/>
      <w:lvlJc w:val="left"/>
      <w:pPr>
        <w:ind w:left="426" w:hanging="100"/>
      </w:pPr>
      <w:rPr>
        <w:rFonts w:hint="default"/>
      </w:rPr>
    </w:lvl>
    <w:lvl w:ilvl="2" w:tplc="295AB416">
      <w:numFmt w:val="bullet"/>
      <w:lvlText w:val="•"/>
      <w:lvlJc w:val="left"/>
      <w:pPr>
        <w:ind w:left="692" w:hanging="100"/>
      </w:pPr>
      <w:rPr>
        <w:rFonts w:hint="default"/>
      </w:rPr>
    </w:lvl>
    <w:lvl w:ilvl="3" w:tplc="1E5270EE">
      <w:numFmt w:val="bullet"/>
      <w:lvlText w:val="•"/>
      <w:lvlJc w:val="left"/>
      <w:pPr>
        <w:ind w:left="959" w:hanging="100"/>
      </w:pPr>
      <w:rPr>
        <w:rFonts w:hint="default"/>
      </w:rPr>
    </w:lvl>
    <w:lvl w:ilvl="4" w:tplc="E6F4B1CC">
      <w:numFmt w:val="bullet"/>
      <w:lvlText w:val="•"/>
      <w:lvlJc w:val="left"/>
      <w:pPr>
        <w:ind w:left="1225" w:hanging="100"/>
      </w:pPr>
      <w:rPr>
        <w:rFonts w:hint="default"/>
      </w:rPr>
    </w:lvl>
    <w:lvl w:ilvl="5" w:tplc="5F1C247C">
      <w:numFmt w:val="bullet"/>
      <w:lvlText w:val="•"/>
      <w:lvlJc w:val="left"/>
      <w:pPr>
        <w:ind w:left="1492" w:hanging="100"/>
      </w:pPr>
      <w:rPr>
        <w:rFonts w:hint="default"/>
      </w:rPr>
    </w:lvl>
    <w:lvl w:ilvl="6" w:tplc="364EC2D6">
      <w:numFmt w:val="bullet"/>
      <w:lvlText w:val="•"/>
      <w:lvlJc w:val="left"/>
      <w:pPr>
        <w:ind w:left="1758" w:hanging="100"/>
      </w:pPr>
      <w:rPr>
        <w:rFonts w:hint="default"/>
      </w:rPr>
    </w:lvl>
    <w:lvl w:ilvl="7" w:tplc="4882FA9C">
      <w:numFmt w:val="bullet"/>
      <w:lvlText w:val="•"/>
      <w:lvlJc w:val="left"/>
      <w:pPr>
        <w:ind w:left="2024" w:hanging="100"/>
      </w:pPr>
      <w:rPr>
        <w:rFonts w:hint="default"/>
      </w:rPr>
    </w:lvl>
    <w:lvl w:ilvl="8" w:tplc="D2DAA6EA">
      <w:numFmt w:val="bullet"/>
      <w:lvlText w:val="•"/>
      <w:lvlJc w:val="left"/>
      <w:pPr>
        <w:ind w:left="2291" w:hanging="100"/>
      </w:pPr>
      <w:rPr>
        <w:rFonts w:hint="default"/>
      </w:rPr>
    </w:lvl>
  </w:abstractNum>
  <w:abstractNum w:abstractNumId="462" w15:restartNumberingAfterBreak="0">
    <w:nsid w:val="1D4A50C1"/>
    <w:multiLevelType w:val="hybridMultilevel"/>
    <w:tmpl w:val="9F4812D0"/>
    <w:lvl w:ilvl="0" w:tplc="2F66B122">
      <w:numFmt w:val="bullet"/>
      <w:lvlText w:val=""/>
      <w:lvlJc w:val="left"/>
      <w:pPr>
        <w:ind w:left="156" w:hanging="100"/>
      </w:pPr>
      <w:rPr>
        <w:rFonts w:ascii="Symbol" w:eastAsia="Symbol" w:hAnsi="Symbol" w:cs="Symbol" w:hint="default"/>
        <w:color w:val="231F20"/>
        <w:w w:val="100"/>
        <w:sz w:val="14"/>
        <w:szCs w:val="14"/>
      </w:rPr>
    </w:lvl>
    <w:lvl w:ilvl="1" w:tplc="D7CA0E18">
      <w:numFmt w:val="bullet"/>
      <w:lvlText w:val="•"/>
      <w:lvlJc w:val="left"/>
      <w:pPr>
        <w:ind w:left="301" w:hanging="100"/>
      </w:pPr>
      <w:rPr>
        <w:rFonts w:hint="default"/>
      </w:rPr>
    </w:lvl>
    <w:lvl w:ilvl="2" w:tplc="E9724870">
      <w:numFmt w:val="bullet"/>
      <w:lvlText w:val="•"/>
      <w:lvlJc w:val="left"/>
      <w:pPr>
        <w:ind w:left="443" w:hanging="100"/>
      </w:pPr>
      <w:rPr>
        <w:rFonts w:hint="default"/>
      </w:rPr>
    </w:lvl>
    <w:lvl w:ilvl="3" w:tplc="41500CCE">
      <w:numFmt w:val="bullet"/>
      <w:lvlText w:val="•"/>
      <w:lvlJc w:val="left"/>
      <w:pPr>
        <w:ind w:left="585" w:hanging="100"/>
      </w:pPr>
      <w:rPr>
        <w:rFonts w:hint="default"/>
      </w:rPr>
    </w:lvl>
    <w:lvl w:ilvl="4" w:tplc="96E0A234">
      <w:numFmt w:val="bullet"/>
      <w:lvlText w:val="•"/>
      <w:lvlJc w:val="left"/>
      <w:pPr>
        <w:ind w:left="726" w:hanging="100"/>
      </w:pPr>
      <w:rPr>
        <w:rFonts w:hint="default"/>
      </w:rPr>
    </w:lvl>
    <w:lvl w:ilvl="5" w:tplc="1BB6806C">
      <w:numFmt w:val="bullet"/>
      <w:lvlText w:val="•"/>
      <w:lvlJc w:val="left"/>
      <w:pPr>
        <w:ind w:left="868" w:hanging="100"/>
      </w:pPr>
      <w:rPr>
        <w:rFonts w:hint="default"/>
      </w:rPr>
    </w:lvl>
    <w:lvl w:ilvl="6" w:tplc="2078EECE">
      <w:numFmt w:val="bullet"/>
      <w:lvlText w:val="•"/>
      <w:lvlJc w:val="left"/>
      <w:pPr>
        <w:ind w:left="1010" w:hanging="100"/>
      </w:pPr>
      <w:rPr>
        <w:rFonts w:hint="default"/>
      </w:rPr>
    </w:lvl>
    <w:lvl w:ilvl="7" w:tplc="E31C4E30">
      <w:numFmt w:val="bullet"/>
      <w:lvlText w:val="•"/>
      <w:lvlJc w:val="left"/>
      <w:pPr>
        <w:ind w:left="1151" w:hanging="100"/>
      </w:pPr>
      <w:rPr>
        <w:rFonts w:hint="default"/>
      </w:rPr>
    </w:lvl>
    <w:lvl w:ilvl="8" w:tplc="E69203DA">
      <w:numFmt w:val="bullet"/>
      <w:lvlText w:val="•"/>
      <w:lvlJc w:val="left"/>
      <w:pPr>
        <w:ind w:left="1293" w:hanging="100"/>
      </w:pPr>
      <w:rPr>
        <w:rFonts w:hint="default"/>
      </w:rPr>
    </w:lvl>
  </w:abstractNum>
  <w:abstractNum w:abstractNumId="463" w15:restartNumberingAfterBreak="0">
    <w:nsid w:val="1D4D5103"/>
    <w:multiLevelType w:val="hybridMultilevel"/>
    <w:tmpl w:val="4E962DD2"/>
    <w:lvl w:ilvl="0" w:tplc="31FE5148">
      <w:numFmt w:val="bullet"/>
      <w:lvlText w:val=""/>
      <w:lvlJc w:val="left"/>
      <w:pPr>
        <w:ind w:left="156" w:hanging="100"/>
      </w:pPr>
      <w:rPr>
        <w:rFonts w:ascii="Symbol" w:eastAsia="Symbol" w:hAnsi="Symbol" w:cs="Symbol" w:hint="default"/>
        <w:color w:val="231F20"/>
        <w:w w:val="100"/>
        <w:sz w:val="14"/>
        <w:szCs w:val="14"/>
      </w:rPr>
    </w:lvl>
    <w:lvl w:ilvl="1" w:tplc="AFD2B0E6">
      <w:numFmt w:val="bullet"/>
      <w:lvlText w:val="•"/>
      <w:lvlJc w:val="left"/>
      <w:pPr>
        <w:ind w:left="454" w:hanging="100"/>
      </w:pPr>
      <w:rPr>
        <w:rFonts w:hint="default"/>
      </w:rPr>
    </w:lvl>
    <w:lvl w:ilvl="2" w:tplc="E0B8B6B6">
      <w:numFmt w:val="bullet"/>
      <w:lvlText w:val="•"/>
      <w:lvlJc w:val="left"/>
      <w:pPr>
        <w:ind w:left="749" w:hanging="100"/>
      </w:pPr>
      <w:rPr>
        <w:rFonts w:hint="default"/>
      </w:rPr>
    </w:lvl>
    <w:lvl w:ilvl="3" w:tplc="0BC03630">
      <w:numFmt w:val="bullet"/>
      <w:lvlText w:val="•"/>
      <w:lvlJc w:val="left"/>
      <w:pPr>
        <w:ind w:left="1044" w:hanging="100"/>
      </w:pPr>
      <w:rPr>
        <w:rFonts w:hint="default"/>
      </w:rPr>
    </w:lvl>
    <w:lvl w:ilvl="4" w:tplc="34A63374">
      <w:numFmt w:val="bullet"/>
      <w:lvlText w:val="•"/>
      <w:lvlJc w:val="left"/>
      <w:pPr>
        <w:ind w:left="1339" w:hanging="100"/>
      </w:pPr>
      <w:rPr>
        <w:rFonts w:hint="default"/>
      </w:rPr>
    </w:lvl>
    <w:lvl w:ilvl="5" w:tplc="5EBE15B0">
      <w:numFmt w:val="bullet"/>
      <w:lvlText w:val="•"/>
      <w:lvlJc w:val="left"/>
      <w:pPr>
        <w:ind w:left="1634" w:hanging="100"/>
      </w:pPr>
      <w:rPr>
        <w:rFonts w:hint="default"/>
      </w:rPr>
    </w:lvl>
    <w:lvl w:ilvl="6" w:tplc="4BCA1262">
      <w:numFmt w:val="bullet"/>
      <w:lvlText w:val="•"/>
      <w:lvlJc w:val="left"/>
      <w:pPr>
        <w:ind w:left="1928" w:hanging="100"/>
      </w:pPr>
      <w:rPr>
        <w:rFonts w:hint="default"/>
      </w:rPr>
    </w:lvl>
    <w:lvl w:ilvl="7" w:tplc="7A987B02">
      <w:numFmt w:val="bullet"/>
      <w:lvlText w:val="•"/>
      <w:lvlJc w:val="left"/>
      <w:pPr>
        <w:ind w:left="2223" w:hanging="100"/>
      </w:pPr>
      <w:rPr>
        <w:rFonts w:hint="default"/>
      </w:rPr>
    </w:lvl>
    <w:lvl w:ilvl="8" w:tplc="85A46E0A">
      <w:numFmt w:val="bullet"/>
      <w:lvlText w:val="•"/>
      <w:lvlJc w:val="left"/>
      <w:pPr>
        <w:ind w:left="2518" w:hanging="100"/>
      </w:pPr>
      <w:rPr>
        <w:rFonts w:hint="default"/>
      </w:rPr>
    </w:lvl>
  </w:abstractNum>
  <w:abstractNum w:abstractNumId="464" w15:restartNumberingAfterBreak="0">
    <w:nsid w:val="1D54542B"/>
    <w:multiLevelType w:val="hybridMultilevel"/>
    <w:tmpl w:val="8FB6C234"/>
    <w:lvl w:ilvl="0" w:tplc="BCFA6A8C">
      <w:numFmt w:val="bullet"/>
      <w:lvlText w:val=""/>
      <w:lvlJc w:val="left"/>
      <w:pPr>
        <w:ind w:left="156" w:hanging="100"/>
      </w:pPr>
      <w:rPr>
        <w:rFonts w:ascii="Symbol" w:eastAsia="Symbol" w:hAnsi="Symbol" w:cs="Symbol" w:hint="default"/>
        <w:color w:val="231F20"/>
        <w:w w:val="100"/>
        <w:sz w:val="14"/>
        <w:szCs w:val="14"/>
      </w:rPr>
    </w:lvl>
    <w:lvl w:ilvl="1" w:tplc="16B8CFFC">
      <w:numFmt w:val="bullet"/>
      <w:lvlText w:val="•"/>
      <w:lvlJc w:val="left"/>
      <w:pPr>
        <w:ind w:left="398" w:hanging="100"/>
      </w:pPr>
      <w:rPr>
        <w:rFonts w:hint="default"/>
      </w:rPr>
    </w:lvl>
    <w:lvl w:ilvl="2" w:tplc="73A063BE">
      <w:numFmt w:val="bullet"/>
      <w:lvlText w:val="•"/>
      <w:lvlJc w:val="left"/>
      <w:pPr>
        <w:ind w:left="636" w:hanging="100"/>
      </w:pPr>
      <w:rPr>
        <w:rFonts w:hint="default"/>
      </w:rPr>
    </w:lvl>
    <w:lvl w:ilvl="3" w:tplc="F3280FB2">
      <w:numFmt w:val="bullet"/>
      <w:lvlText w:val="•"/>
      <w:lvlJc w:val="left"/>
      <w:pPr>
        <w:ind w:left="874" w:hanging="100"/>
      </w:pPr>
      <w:rPr>
        <w:rFonts w:hint="default"/>
      </w:rPr>
    </w:lvl>
    <w:lvl w:ilvl="4" w:tplc="66820FB8">
      <w:numFmt w:val="bullet"/>
      <w:lvlText w:val="•"/>
      <w:lvlJc w:val="left"/>
      <w:pPr>
        <w:ind w:left="1112" w:hanging="100"/>
      </w:pPr>
      <w:rPr>
        <w:rFonts w:hint="default"/>
      </w:rPr>
    </w:lvl>
    <w:lvl w:ilvl="5" w:tplc="88629C72">
      <w:numFmt w:val="bullet"/>
      <w:lvlText w:val="•"/>
      <w:lvlJc w:val="left"/>
      <w:pPr>
        <w:ind w:left="1350" w:hanging="100"/>
      </w:pPr>
      <w:rPr>
        <w:rFonts w:hint="default"/>
      </w:rPr>
    </w:lvl>
    <w:lvl w:ilvl="6" w:tplc="6700FB18">
      <w:numFmt w:val="bullet"/>
      <w:lvlText w:val="•"/>
      <w:lvlJc w:val="left"/>
      <w:pPr>
        <w:ind w:left="1588" w:hanging="100"/>
      </w:pPr>
      <w:rPr>
        <w:rFonts w:hint="default"/>
      </w:rPr>
    </w:lvl>
    <w:lvl w:ilvl="7" w:tplc="54E8CE10">
      <w:numFmt w:val="bullet"/>
      <w:lvlText w:val="•"/>
      <w:lvlJc w:val="left"/>
      <w:pPr>
        <w:ind w:left="1826" w:hanging="100"/>
      </w:pPr>
      <w:rPr>
        <w:rFonts w:hint="default"/>
      </w:rPr>
    </w:lvl>
    <w:lvl w:ilvl="8" w:tplc="DD605684">
      <w:numFmt w:val="bullet"/>
      <w:lvlText w:val="•"/>
      <w:lvlJc w:val="left"/>
      <w:pPr>
        <w:ind w:left="2064" w:hanging="100"/>
      </w:pPr>
      <w:rPr>
        <w:rFonts w:hint="default"/>
      </w:rPr>
    </w:lvl>
  </w:abstractNum>
  <w:abstractNum w:abstractNumId="465" w15:restartNumberingAfterBreak="0">
    <w:nsid w:val="1D561F59"/>
    <w:multiLevelType w:val="hybridMultilevel"/>
    <w:tmpl w:val="C4B032D2"/>
    <w:lvl w:ilvl="0" w:tplc="F0EC24A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C5805D18">
      <w:numFmt w:val="bullet"/>
      <w:lvlText w:val="•"/>
      <w:lvlJc w:val="left"/>
      <w:pPr>
        <w:ind w:left="408" w:hanging="84"/>
      </w:pPr>
      <w:rPr>
        <w:rFonts w:hint="default"/>
      </w:rPr>
    </w:lvl>
    <w:lvl w:ilvl="2" w:tplc="D09A3626">
      <w:numFmt w:val="bullet"/>
      <w:lvlText w:val="•"/>
      <w:lvlJc w:val="left"/>
      <w:pPr>
        <w:ind w:left="676" w:hanging="84"/>
      </w:pPr>
      <w:rPr>
        <w:rFonts w:hint="default"/>
      </w:rPr>
    </w:lvl>
    <w:lvl w:ilvl="3" w:tplc="999EDB1E">
      <w:numFmt w:val="bullet"/>
      <w:lvlText w:val="•"/>
      <w:lvlJc w:val="left"/>
      <w:pPr>
        <w:ind w:left="945" w:hanging="84"/>
      </w:pPr>
      <w:rPr>
        <w:rFonts w:hint="default"/>
      </w:rPr>
    </w:lvl>
    <w:lvl w:ilvl="4" w:tplc="C70A5160">
      <w:numFmt w:val="bullet"/>
      <w:lvlText w:val="•"/>
      <w:lvlJc w:val="left"/>
      <w:pPr>
        <w:ind w:left="1213" w:hanging="84"/>
      </w:pPr>
      <w:rPr>
        <w:rFonts w:hint="default"/>
      </w:rPr>
    </w:lvl>
    <w:lvl w:ilvl="5" w:tplc="26F019CC">
      <w:numFmt w:val="bullet"/>
      <w:lvlText w:val="•"/>
      <w:lvlJc w:val="left"/>
      <w:pPr>
        <w:ind w:left="1482" w:hanging="84"/>
      </w:pPr>
      <w:rPr>
        <w:rFonts w:hint="default"/>
      </w:rPr>
    </w:lvl>
    <w:lvl w:ilvl="6" w:tplc="1CAE829C">
      <w:numFmt w:val="bullet"/>
      <w:lvlText w:val="•"/>
      <w:lvlJc w:val="left"/>
      <w:pPr>
        <w:ind w:left="1750" w:hanging="84"/>
      </w:pPr>
      <w:rPr>
        <w:rFonts w:hint="default"/>
      </w:rPr>
    </w:lvl>
    <w:lvl w:ilvl="7" w:tplc="19DC9576">
      <w:numFmt w:val="bullet"/>
      <w:lvlText w:val="•"/>
      <w:lvlJc w:val="left"/>
      <w:pPr>
        <w:ind w:left="2018" w:hanging="84"/>
      </w:pPr>
      <w:rPr>
        <w:rFonts w:hint="default"/>
      </w:rPr>
    </w:lvl>
    <w:lvl w:ilvl="8" w:tplc="74FC63AE">
      <w:numFmt w:val="bullet"/>
      <w:lvlText w:val="•"/>
      <w:lvlJc w:val="left"/>
      <w:pPr>
        <w:ind w:left="2287" w:hanging="84"/>
      </w:pPr>
      <w:rPr>
        <w:rFonts w:hint="default"/>
      </w:rPr>
    </w:lvl>
  </w:abstractNum>
  <w:abstractNum w:abstractNumId="466" w15:restartNumberingAfterBreak="0">
    <w:nsid w:val="1D591D1B"/>
    <w:multiLevelType w:val="hybridMultilevel"/>
    <w:tmpl w:val="84D68AE4"/>
    <w:lvl w:ilvl="0" w:tplc="ECDC3588">
      <w:numFmt w:val="bullet"/>
      <w:lvlText w:val=""/>
      <w:lvlJc w:val="left"/>
      <w:pPr>
        <w:ind w:left="156" w:hanging="100"/>
      </w:pPr>
      <w:rPr>
        <w:rFonts w:ascii="Symbol" w:eastAsia="Symbol" w:hAnsi="Symbol" w:cs="Symbol" w:hint="default"/>
        <w:color w:val="231F20"/>
        <w:w w:val="100"/>
        <w:sz w:val="14"/>
        <w:szCs w:val="14"/>
      </w:rPr>
    </w:lvl>
    <w:lvl w:ilvl="1" w:tplc="09E4E9A6">
      <w:numFmt w:val="bullet"/>
      <w:lvlText w:val="•"/>
      <w:lvlJc w:val="left"/>
      <w:pPr>
        <w:ind w:left="426" w:hanging="100"/>
      </w:pPr>
      <w:rPr>
        <w:rFonts w:hint="default"/>
      </w:rPr>
    </w:lvl>
    <w:lvl w:ilvl="2" w:tplc="0DBAF1D8">
      <w:numFmt w:val="bullet"/>
      <w:lvlText w:val="•"/>
      <w:lvlJc w:val="left"/>
      <w:pPr>
        <w:ind w:left="692" w:hanging="100"/>
      </w:pPr>
      <w:rPr>
        <w:rFonts w:hint="default"/>
      </w:rPr>
    </w:lvl>
    <w:lvl w:ilvl="3" w:tplc="A886BDE0">
      <w:numFmt w:val="bullet"/>
      <w:lvlText w:val="•"/>
      <w:lvlJc w:val="left"/>
      <w:pPr>
        <w:ind w:left="959" w:hanging="100"/>
      </w:pPr>
      <w:rPr>
        <w:rFonts w:hint="default"/>
      </w:rPr>
    </w:lvl>
    <w:lvl w:ilvl="4" w:tplc="CF42C2FA">
      <w:numFmt w:val="bullet"/>
      <w:lvlText w:val="•"/>
      <w:lvlJc w:val="left"/>
      <w:pPr>
        <w:ind w:left="1225" w:hanging="100"/>
      </w:pPr>
      <w:rPr>
        <w:rFonts w:hint="default"/>
      </w:rPr>
    </w:lvl>
    <w:lvl w:ilvl="5" w:tplc="6518CA26">
      <w:numFmt w:val="bullet"/>
      <w:lvlText w:val="•"/>
      <w:lvlJc w:val="left"/>
      <w:pPr>
        <w:ind w:left="1492" w:hanging="100"/>
      </w:pPr>
      <w:rPr>
        <w:rFonts w:hint="default"/>
      </w:rPr>
    </w:lvl>
    <w:lvl w:ilvl="6" w:tplc="8ABAAD70">
      <w:numFmt w:val="bullet"/>
      <w:lvlText w:val="•"/>
      <w:lvlJc w:val="left"/>
      <w:pPr>
        <w:ind w:left="1758" w:hanging="100"/>
      </w:pPr>
      <w:rPr>
        <w:rFonts w:hint="default"/>
      </w:rPr>
    </w:lvl>
    <w:lvl w:ilvl="7" w:tplc="4B486E28">
      <w:numFmt w:val="bullet"/>
      <w:lvlText w:val="•"/>
      <w:lvlJc w:val="left"/>
      <w:pPr>
        <w:ind w:left="2024" w:hanging="100"/>
      </w:pPr>
      <w:rPr>
        <w:rFonts w:hint="default"/>
      </w:rPr>
    </w:lvl>
    <w:lvl w:ilvl="8" w:tplc="7ABA9A64">
      <w:numFmt w:val="bullet"/>
      <w:lvlText w:val="•"/>
      <w:lvlJc w:val="left"/>
      <w:pPr>
        <w:ind w:left="2291" w:hanging="100"/>
      </w:pPr>
      <w:rPr>
        <w:rFonts w:hint="default"/>
      </w:rPr>
    </w:lvl>
  </w:abstractNum>
  <w:abstractNum w:abstractNumId="467" w15:restartNumberingAfterBreak="0">
    <w:nsid w:val="1D6024DC"/>
    <w:multiLevelType w:val="hybridMultilevel"/>
    <w:tmpl w:val="65BAF896"/>
    <w:lvl w:ilvl="0" w:tplc="40489958">
      <w:numFmt w:val="bullet"/>
      <w:lvlText w:val=""/>
      <w:lvlJc w:val="left"/>
      <w:pPr>
        <w:ind w:left="156" w:hanging="100"/>
      </w:pPr>
      <w:rPr>
        <w:rFonts w:ascii="Symbol" w:eastAsia="Symbol" w:hAnsi="Symbol" w:cs="Symbol" w:hint="default"/>
        <w:color w:val="231F20"/>
        <w:w w:val="100"/>
        <w:sz w:val="14"/>
        <w:szCs w:val="14"/>
      </w:rPr>
    </w:lvl>
    <w:lvl w:ilvl="1" w:tplc="504A7D4C">
      <w:numFmt w:val="bullet"/>
      <w:lvlText w:val="•"/>
      <w:lvlJc w:val="left"/>
      <w:pPr>
        <w:ind w:left="301" w:hanging="100"/>
      </w:pPr>
      <w:rPr>
        <w:rFonts w:hint="default"/>
      </w:rPr>
    </w:lvl>
    <w:lvl w:ilvl="2" w:tplc="310C10F6">
      <w:numFmt w:val="bullet"/>
      <w:lvlText w:val="•"/>
      <w:lvlJc w:val="left"/>
      <w:pPr>
        <w:ind w:left="443" w:hanging="100"/>
      </w:pPr>
      <w:rPr>
        <w:rFonts w:hint="default"/>
      </w:rPr>
    </w:lvl>
    <w:lvl w:ilvl="3" w:tplc="2772CA0C">
      <w:numFmt w:val="bullet"/>
      <w:lvlText w:val="•"/>
      <w:lvlJc w:val="left"/>
      <w:pPr>
        <w:ind w:left="585" w:hanging="100"/>
      </w:pPr>
      <w:rPr>
        <w:rFonts w:hint="default"/>
      </w:rPr>
    </w:lvl>
    <w:lvl w:ilvl="4" w:tplc="C2502C7C">
      <w:numFmt w:val="bullet"/>
      <w:lvlText w:val="•"/>
      <w:lvlJc w:val="left"/>
      <w:pPr>
        <w:ind w:left="726" w:hanging="100"/>
      </w:pPr>
      <w:rPr>
        <w:rFonts w:hint="default"/>
      </w:rPr>
    </w:lvl>
    <w:lvl w:ilvl="5" w:tplc="ECE240D8">
      <w:numFmt w:val="bullet"/>
      <w:lvlText w:val="•"/>
      <w:lvlJc w:val="left"/>
      <w:pPr>
        <w:ind w:left="868" w:hanging="100"/>
      </w:pPr>
      <w:rPr>
        <w:rFonts w:hint="default"/>
      </w:rPr>
    </w:lvl>
    <w:lvl w:ilvl="6" w:tplc="F2FC58E6">
      <w:numFmt w:val="bullet"/>
      <w:lvlText w:val="•"/>
      <w:lvlJc w:val="left"/>
      <w:pPr>
        <w:ind w:left="1010" w:hanging="100"/>
      </w:pPr>
      <w:rPr>
        <w:rFonts w:hint="default"/>
      </w:rPr>
    </w:lvl>
    <w:lvl w:ilvl="7" w:tplc="FFD2E8B2">
      <w:numFmt w:val="bullet"/>
      <w:lvlText w:val="•"/>
      <w:lvlJc w:val="left"/>
      <w:pPr>
        <w:ind w:left="1151" w:hanging="100"/>
      </w:pPr>
      <w:rPr>
        <w:rFonts w:hint="default"/>
      </w:rPr>
    </w:lvl>
    <w:lvl w:ilvl="8" w:tplc="9D9E507E">
      <w:numFmt w:val="bullet"/>
      <w:lvlText w:val="•"/>
      <w:lvlJc w:val="left"/>
      <w:pPr>
        <w:ind w:left="1293" w:hanging="100"/>
      </w:pPr>
      <w:rPr>
        <w:rFonts w:hint="default"/>
      </w:rPr>
    </w:lvl>
  </w:abstractNum>
  <w:abstractNum w:abstractNumId="468" w15:restartNumberingAfterBreak="0">
    <w:nsid w:val="1D6A1C9E"/>
    <w:multiLevelType w:val="hybridMultilevel"/>
    <w:tmpl w:val="02CCB8A6"/>
    <w:lvl w:ilvl="0" w:tplc="4B8482B4">
      <w:numFmt w:val="bullet"/>
      <w:lvlText w:val=""/>
      <w:lvlJc w:val="left"/>
      <w:pPr>
        <w:ind w:left="156" w:hanging="100"/>
      </w:pPr>
      <w:rPr>
        <w:rFonts w:ascii="Symbol" w:eastAsia="Symbol" w:hAnsi="Symbol" w:cs="Symbol" w:hint="default"/>
        <w:color w:val="231F20"/>
        <w:w w:val="100"/>
        <w:sz w:val="14"/>
        <w:szCs w:val="14"/>
      </w:rPr>
    </w:lvl>
    <w:lvl w:ilvl="1" w:tplc="B0BA79AC">
      <w:numFmt w:val="bullet"/>
      <w:lvlText w:val="•"/>
      <w:lvlJc w:val="left"/>
      <w:pPr>
        <w:ind w:left="398" w:hanging="100"/>
      </w:pPr>
      <w:rPr>
        <w:rFonts w:hint="default"/>
      </w:rPr>
    </w:lvl>
    <w:lvl w:ilvl="2" w:tplc="2B5CB086">
      <w:numFmt w:val="bullet"/>
      <w:lvlText w:val="•"/>
      <w:lvlJc w:val="left"/>
      <w:pPr>
        <w:ind w:left="636" w:hanging="100"/>
      </w:pPr>
      <w:rPr>
        <w:rFonts w:hint="default"/>
      </w:rPr>
    </w:lvl>
    <w:lvl w:ilvl="3" w:tplc="B554FA00">
      <w:numFmt w:val="bullet"/>
      <w:lvlText w:val="•"/>
      <w:lvlJc w:val="left"/>
      <w:pPr>
        <w:ind w:left="874" w:hanging="100"/>
      </w:pPr>
      <w:rPr>
        <w:rFonts w:hint="default"/>
      </w:rPr>
    </w:lvl>
    <w:lvl w:ilvl="4" w:tplc="5B80C098">
      <w:numFmt w:val="bullet"/>
      <w:lvlText w:val="•"/>
      <w:lvlJc w:val="left"/>
      <w:pPr>
        <w:ind w:left="1112" w:hanging="100"/>
      </w:pPr>
      <w:rPr>
        <w:rFonts w:hint="default"/>
      </w:rPr>
    </w:lvl>
    <w:lvl w:ilvl="5" w:tplc="30E2C3D2">
      <w:numFmt w:val="bullet"/>
      <w:lvlText w:val="•"/>
      <w:lvlJc w:val="left"/>
      <w:pPr>
        <w:ind w:left="1350" w:hanging="100"/>
      </w:pPr>
      <w:rPr>
        <w:rFonts w:hint="default"/>
      </w:rPr>
    </w:lvl>
    <w:lvl w:ilvl="6" w:tplc="EF8ED2B2">
      <w:numFmt w:val="bullet"/>
      <w:lvlText w:val="•"/>
      <w:lvlJc w:val="left"/>
      <w:pPr>
        <w:ind w:left="1588" w:hanging="100"/>
      </w:pPr>
      <w:rPr>
        <w:rFonts w:hint="default"/>
      </w:rPr>
    </w:lvl>
    <w:lvl w:ilvl="7" w:tplc="7A78AFF6">
      <w:numFmt w:val="bullet"/>
      <w:lvlText w:val="•"/>
      <w:lvlJc w:val="left"/>
      <w:pPr>
        <w:ind w:left="1826" w:hanging="100"/>
      </w:pPr>
      <w:rPr>
        <w:rFonts w:hint="default"/>
      </w:rPr>
    </w:lvl>
    <w:lvl w:ilvl="8" w:tplc="0F629CD8">
      <w:numFmt w:val="bullet"/>
      <w:lvlText w:val="•"/>
      <w:lvlJc w:val="left"/>
      <w:pPr>
        <w:ind w:left="2064" w:hanging="100"/>
      </w:pPr>
      <w:rPr>
        <w:rFonts w:hint="default"/>
      </w:rPr>
    </w:lvl>
  </w:abstractNum>
  <w:abstractNum w:abstractNumId="469" w15:restartNumberingAfterBreak="0">
    <w:nsid w:val="1D76615F"/>
    <w:multiLevelType w:val="hybridMultilevel"/>
    <w:tmpl w:val="7E481DAC"/>
    <w:lvl w:ilvl="0" w:tplc="D5F0DC6E">
      <w:numFmt w:val="bullet"/>
      <w:lvlText w:val=""/>
      <w:lvlJc w:val="left"/>
      <w:pPr>
        <w:ind w:left="156" w:hanging="100"/>
      </w:pPr>
      <w:rPr>
        <w:rFonts w:ascii="Symbol" w:eastAsia="Symbol" w:hAnsi="Symbol" w:cs="Symbol" w:hint="default"/>
        <w:color w:val="231F20"/>
        <w:w w:val="100"/>
        <w:sz w:val="14"/>
        <w:szCs w:val="14"/>
      </w:rPr>
    </w:lvl>
    <w:lvl w:ilvl="1" w:tplc="109CA0CE">
      <w:numFmt w:val="bullet"/>
      <w:lvlText w:val="•"/>
      <w:lvlJc w:val="left"/>
      <w:pPr>
        <w:ind w:left="301" w:hanging="100"/>
      </w:pPr>
      <w:rPr>
        <w:rFonts w:hint="default"/>
      </w:rPr>
    </w:lvl>
    <w:lvl w:ilvl="2" w:tplc="6F92BE92">
      <w:numFmt w:val="bullet"/>
      <w:lvlText w:val="•"/>
      <w:lvlJc w:val="left"/>
      <w:pPr>
        <w:ind w:left="443" w:hanging="100"/>
      </w:pPr>
      <w:rPr>
        <w:rFonts w:hint="default"/>
      </w:rPr>
    </w:lvl>
    <w:lvl w:ilvl="3" w:tplc="7C8C80DE">
      <w:numFmt w:val="bullet"/>
      <w:lvlText w:val="•"/>
      <w:lvlJc w:val="left"/>
      <w:pPr>
        <w:ind w:left="585" w:hanging="100"/>
      </w:pPr>
      <w:rPr>
        <w:rFonts w:hint="default"/>
      </w:rPr>
    </w:lvl>
    <w:lvl w:ilvl="4" w:tplc="4F8E4BD4">
      <w:numFmt w:val="bullet"/>
      <w:lvlText w:val="•"/>
      <w:lvlJc w:val="left"/>
      <w:pPr>
        <w:ind w:left="726" w:hanging="100"/>
      </w:pPr>
      <w:rPr>
        <w:rFonts w:hint="default"/>
      </w:rPr>
    </w:lvl>
    <w:lvl w:ilvl="5" w:tplc="82DA4AC6">
      <w:numFmt w:val="bullet"/>
      <w:lvlText w:val="•"/>
      <w:lvlJc w:val="left"/>
      <w:pPr>
        <w:ind w:left="868" w:hanging="100"/>
      </w:pPr>
      <w:rPr>
        <w:rFonts w:hint="default"/>
      </w:rPr>
    </w:lvl>
    <w:lvl w:ilvl="6" w:tplc="09569286">
      <w:numFmt w:val="bullet"/>
      <w:lvlText w:val="•"/>
      <w:lvlJc w:val="left"/>
      <w:pPr>
        <w:ind w:left="1010" w:hanging="100"/>
      </w:pPr>
      <w:rPr>
        <w:rFonts w:hint="default"/>
      </w:rPr>
    </w:lvl>
    <w:lvl w:ilvl="7" w:tplc="B568C7AE">
      <w:numFmt w:val="bullet"/>
      <w:lvlText w:val="•"/>
      <w:lvlJc w:val="left"/>
      <w:pPr>
        <w:ind w:left="1151" w:hanging="100"/>
      </w:pPr>
      <w:rPr>
        <w:rFonts w:hint="default"/>
      </w:rPr>
    </w:lvl>
    <w:lvl w:ilvl="8" w:tplc="E5404756">
      <w:numFmt w:val="bullet"/>
      <w:lvlText w:val="•"/>
      <w:lvlJc w:val="left"/>
      <w:pPr>
        <w:ind w:left="1293" w:hanging="100"/>
      </w:pPr>
      <w:rPr>
        <w:rFonts w:hint="default"/>
      </w:rPr>
    </w:lvl>
  </w:abstractNum>
  <w:abstractNum w:abstractNumId="470" w15:restartNumberingAfterBreak="0">
    <w:nsid w:val="1D847C84"/>
    <w:multiLevelType w:val="hybridMultilevel"/>
    <w:tmpl w:val="2D86CD58"/>
    <w:lvl w:ilvl="0" w:tplc="5B96E73A">
      <w:numFmt w:val="bullet"/>
      <w:lvlText w:val=""/>
      <w:lvlJc w:val="left"/>
      <w:pPr>
        <w:ind w:left="156" w:hanging="100"/>
      </w:pPr>
      <w:rPr>
        <w:rFonts w:ascii="Symbol" w:eastAsia="Symbol" w:hAnsi="Symbol" w:cs="Symbol" w:hint="default"/>
        <w:color w:val="231F20"/>
        <w:w w:val="100"/>
        <w:sz w:val="14"/>
        <w:szCs w:val="14"/>
      </w:rPr>
    </w:lvl>
    <w:lvl w:ilvl="1" w:tplc="40185514">
      <w:numFmt w:val="bullet"/>
      <w:lvlText w:val="•"/>
      <w:lvlJc w:val="left"/>
      <w:pPr>
        <w:ind w:left="301" w:hanging="100"/>
      </w:pPr>
      <w:rPr>
        <w:rFonts w:hint="default"/>
      </w:rPr>
    </w:lvl>
    <w:lvl w:ilvl="2" w:tplc="487AFB8C">
      <w:numFmt w:val="bullet"/>
      <w:lvlText w:val="•"/>
      <w:lvlJc w:val="left"/>
      <w:pPr>
        <w:ind w:left="443" w:hanging="100"/>
      </w:pPr>
      <w:rPr>
        <w:rFonts w:hint="default"/>
      </w:rPr>
    </w:lvl>
    <w:lvl w:ilvl="3" w:tplc="C2D61D6A">
      <w:numFmt w:val="bullet"/>
      <w:lvlText w:val="•"/>
      <w:lvlJc w:val="left"/>
      <w:pPr>
        <w:ind w:left="585" w:hanging="100"/>
      </w:pPr>
      <w:rPr>
        <w:rFonts w:hint="default"/>
      </w:rPr>
    </w:lvl>
    <w:lvl w:ilvl="4" w:tplc="B358AC30">
      <w:numFmt w:val="bullet"/>
      <w:lvlText w:val="•"/>
      <w:lvlJc w:val="left"/>
      <w:pPr>
        <w:ind w:left="726" w:hanging="100"/>
      </w:pPr>
      <w:rPr>
        <w:rFonts w:hint="default"/>
      </w:rPr>
    </w:lvl>
    <w:lvl w:ilvl="5" w:tplc="2192461A">
      <w:numFmt w:val="bullet"/>
      <w:lvlText w:val="•"/>
      <w:lvlJc w:val="left"/>
      <w:pPr>
        <w:ind w:left="868" w:hanging="100"/>
      </w:pPr>
      <w:rPr>
        <w:rFonts w:hint="default"/>
      </w:rPr>
    </w:lvl>
    <w:lvl w:ilvl="6" w:tplc="ACEA3C1A">
      <w:numFmt w:val="bullet"/>
      <w:lvlText w:val="•"/>
      <w:lvlJc w:val="left"/>
      <w:pPr>
        <w:ind w:left="1010" w:hanging="100"/>
      </w:pPr>
      <w:rPr>
        <w:rFonts w:hint="default"/>
      </w:rPr>
    </w:lvl>
    <w:lvl w:ilvl="7" w:tplc="08F04506">
      <w:numFmt w:val="bullet"/>
      <w:lvlText w:val="•"/>
      <w:lvlJc w:val="left"/>
      <w:pPr>
        <w:ind w:left="1151" w:hanging="100"/>
      </w:pPr>
      <w:rPr>
        <w:rFonts w:hint="default"/>
      </w:rPr>
    </w:lvl>
    <w:lvl w:ilvl="8" w:tplc="54689506">
      <w:numFmt w:val="bullet"/>
      <w:lvlText w:val="•"/>
      <w:lvlJc w:val="left"/>
      <w:pPr>
        <w:ind w:left="1293" w:hanging="100"/>
      </w:pPr>
      <w:rPr>
        <w:rFonts w:hint="default"/>
      </w:rPr>
    </w:lvl>
  </w:abstractNum>
  <w:abstractNum w:abstractNumId="471" w15:restartNumberingAfterBreak="0">
    <w:nsid w:val="1D90506D"/>
    <w:multiLevelType w:val="hybridMultilevel"/>
    <w:tmpl w:val="419416C8"/>
    <w:lvl w:ilvl="0" w:tplc="5386D756">
      <w:numFmt w:val="bullet"/>
      <w:lvlText w:val=""/>
      <w:lvlJc w:val="left"/>
      <w:pPr>
        <w:ind w:left="157" w:hanging="100"/>
      </w:pPr>
      <w:rPr>
        <w:rFonts w:ascii="Symbol" w:eastAsia="Symbol" w:hAnsi="Symbol" w:cs="Symbol" w:hint="default"/>
        <w:color w:val="231F20"/>
        <w:w w:val="100"/>
        <w:sz w:val="14"/>
        <w:szCs w:val="14"/>
      </w:rPr>
    </w:lvl>
    <w:lvl w:ilvl="1" w:tplc="AC5CEABE">
      <w:numFmt w:val="bullet"/>
      <w:lvlText w:val="•"/>
      <w:lvlJc w:val="left"/>
      <w:pPr>
        <w:ind w:left="426" w:hanging="100"/>
      </w:pPr>
      <w:rPr>
        <w:rFonts w:hint="default"/>
      </w:rPr>
    </w:lvl>
    <w:lvl w:ilvl="2" w:tplc="370E89EA">
      <w:numFmt w:val="bullet"/>
      <w:lvlText w:val="•"/>
      <w:lvlJc w:val="left"/>
      <w:pPr>
        <w:ind w:left="692" w:hanging="100"/>
      </w:pPr>
      <w:rPr>
        <w:rFonts w:hint="default"/>
      </w:rPr>
    </w:lvl>
    <w:lvl w:ilvl="3" w:tplc="379E1374">
      <w:numFmt w:val="bullet"/>
      <w:lvlText w:val="•"/>
      <w:lvlJc w:val="left"/>
      <w:pPr>
        <w:ind w:left="959" w:hanging="100"/>
      </w:pPr>
      <w:rPr>
        <w:rFonts w:hint="default"/>
      </w:rPr>
    </w:lvl>
    <w:lvl w:ilvl="4" w:tplc="CA522538">
      <w:numFmt w:val="bullet"/>
      <w:lvlText w:val="•"/>
      <w:lvlJc w:val="left"/>
      <w:pPr>
        <w:ind w:left="1225" w:hanging="100"/>
      </w:pPr>
      <w:rPr>
        <w:rFonts w:hint="default"/>
      </w:rPr>
    </w:lvl>
    <w:lvl w:ilvl="5" w:tplc="3DF2BDCC">
      <w:numFmt w:val="bullet"/>
      <w:lvlText w:val="•"/>
      <w:lvlJc w:val="left"/>
      <w:pPr>
        <w:ind w:left="1492" w:hanging="100"/>
      </w:pPr>
      <w:rPr>
        <w:rFonts w:hint="default"/>
      </w:rPr>
    </w:lvl>
    <w:lvl w:ilvl="6" w:tplc="D5104250">
      <w:numFmt w:val="bullet"/>
      <w:lvlText w:val="•"/>
      <w:lvlJc w:val="left"/>
      <w:pPr>
        <w:ind w:left="1758" w:hanging="100"/>
      </w:pPr>
      <w:rPr>
        <w:rFonts w:hint="default"/>
      </w:rPr>
    </w:lvl>
    <w:lvl w:ilvl="7" w:tplc="7862C314">
      <w:numFmt w:val="bullet"/>
      <w:lvlText w:val="•"/>
      <w:lvlJc w:val="left"/>
      <w:pPr>
        <w:ind w:left="2024" w:hanging="100"/>
      </w:pPr>
      <w:rPr>
        <w:rFonts w:hint="default"/>
      </w:rPr>
    </w:lvl>
    <w:lvl w:ilvl="8" w:tplc="494C7738">
      <w:numFmt w:val="bullet"/>
      <w:lvlText w:val="•"/>
      <w:lvlJc w:val="left"/>
      <w:pPr>
        <w:ind w:left="2291" w:hanging="100"/>
      </w:pPr>
      <w:rPr>
        <w:rFonts w:hint="default"/>
      </w:rPr>
    </w:lvl>
  </w:abstractNum>
  <w:abstractNum w:abstractNumId="472" w15:restartNumberingAfterBreak="0">
    <w:nsid w:val="1DA1679D"/>
    <w:multiLevelType w:val="hybridMultilevel"/>
    <w:tmpl w:val="6AD6F6D0"/>
    <w:lvl w:ilvl="0" w:tplc="4BA2FFDA">
      <w:numFmt w:val="bullet"/>
      <w:lvlText w:val=""/>
      <w:lvlJc w:val="left"/>
      <w:pPr>
        <w:ind w:left="156" w:hanging="100"/>
      </w:pPr>
      <w:rPr>
        <w:rFonts w:ascii="Symbol" w:eastAsia="Symbol" w:hAnsi="Symbol" w:cs="Symbol" w:hint="default"/>
        <w:color w:val="231F20"/>
        <w:w w:val="100"/>
        <w:sz w:val="14"/>
        <w:szCs w:val="14"/>
      </w:rPr>
    </w:lvl>
    <w:lvl w:ilvl="1" w:tplc="D32E1EDE">
      <w:numFmt w:val="bullet"/>
      <w:lvlText w:val="•"/>
      <w:lvlJc w:val="left"/>
      <w:pPr>
        <w:ind w:left="398" w:hanging="100"/>
      </w:pPr>
      <w:rPr>
        <w:rFonts w:hint="default"/>
      </w:rPr>
    </w:lvl>
    <w:lvl w:ilvl="2" w:tplc="9BD8530E">
      <w:numFmt w:val="bullet"/>
      <w:lvlText w:val="•"/>
      <w:lvlJc w:val="left"/>
      <w:pPr>
        <w:ind w:left="636" w:hanging="100"/>
      </w:pPr>
      <w:rPr>
        <w:rFonts w:hint="default"/>
      </w:rPr>
    </w:lvl>
    <w:lvl w:ilvl="3" w:tplc="B3A8DF42">
      <w:numFmt w:val="bullet"/>
      <w:lvlText w:val="•"/>
      <w:lvlJc w:val="left"/>
      <w:pPr>
        <w:ind w:left="874" w:hanging="100"/>
      </w:pPr>
      <w:rPr>
        <w:rFonts w:hint="default"/>
      </w:rPr>
    </w:lvl>
    <w:lvl w:ilvl="4" w:tplc="A12A72F0">
      <w:numFmt w:val="bullet"/>
      <w:lvlText w:val="•"/>
      <w:lvlJc w:val="left"/>
      <w:pPr>
        <w:ind w:left="1112" w:hanging="100"/>
      </w:pPr>
      <w:rPr>
        <w:rFonts w:hint="default"/>
      </w:rPr>
    </w:lvl>
    <w:lvl w:ilvl="5" w:tplc="F4588DD0">
      <w:numFmt w:val="bullet"/>
      <w:lvlText w:val="•"/>
      <w:lvlJc w:val="left"/>
      <w:pPr>
        <w:ind w:left="1350" w:hanging="100"/>
      </w:pPr>
      <w:rPr>
        <w:rFonts w:hint="default"/>
      </w:rPr>
    </w:lvl>
    <w:lvl w:ilvl="6" w:tplc="097089C4">
      <w:numFmt w:val="bullet"/>
      <w:lvlText w:val="•"/>
      <w:lvlJc w:val="left"/>
      <w:pPr>
        <w:ind w:left="1588" w:hanging="100"/>
      </w:pPr>
      <w:rPr>
        <w:rFonts w:hint="default"/>
      </w:rPr>
    </w:lvl>
    <w:lvl w:ilvl="7" w:tplc="9F6EAA34">
      <w:numFmt w:val="bullet"/>
      <w:lvlText w:val="•"/>
      <w:lvlJc w:val="left"/>
      <w:pPr>
        <w:ind w:left="1826" w:hanging="100"/>
      </w:pPr>
      <w:rPr>
        <w:rFonts w:hint="default"/>
      </w:rPr>
    </w:lvl>
    <w:lvl w:ilvl="8" w:tplc="278EBC48">
      <w:numFmt w:val="bullet"/>
      <w:lvlText w:val="•"/>
      <w:lvlJc w:val="left"/>
      <w:pPr>
        <w:ind w:left="2064" w:hanging="100"/>
      </w:pPr>
      <w:rPr>
        <w:rFonts w:hint="default"/>
      </w:rPr>
    </w:lvl>
  </w:abstractNum>
  <w:abstractNum w:abstractNumId="473" w15:restartNumberingAfterBreak="0">
    <w:nsid w:val="1DA27768"/>
    <w:multiLevelType w:val="hybridMultilevel"/>
    <w:tmpl w:val="61740D08"/>
    <w:lvl w:ilvl="0" w:tplc="338E3572">
      <w:numFmt w:val="bullet"/>
      <w:lvlText w:val=""/>
      <w:lvlJc w:val="left"/>
      <w:pPr>
        <w:ind w:left="156" w:hanging="100"/>
      </w:pPr>
      <w:rPr>
        <w:rFonts w:ascii="Symbol" w:eastAsia="Symbol" w:hAnsi="Symbol" w:cs="Symbol" w:hint="default"/>
        <w:color w:val="231F20"/>
        <w:w w:val="100"/>
        <w:sz w:val="14"/>
        <w:szCs w:val="14"/>
      </w:rPr>
    </w:lvl>
    <w:lvl w:ilvl="1" w:tplc="A3F42F84">
      <w:numFmt w:val="bullet"/>
      <w:lvlText w:val="•"/>
      <w:lvlJc w:val="left"/>
      <w:pPr>
        <w:ind w:left="301" w:hanging="100"/>
      </w:pPr>
      <w:rPr>
        <w:rFonts w:hint="default"/>
      </w:rPr>
    </w:lvl>
    <w:lvl w:ilvl="2" w:tplc="418E3DA4">
      <w:numFmt w:val="bullet"/>
      <w:lvlText w:val="•"/>
      <w:lvlJc w:val="left"/>
      <w:pPr>
        <w:ind w:left="443" w:hanging="100"/>
      </w:pPr>
      <w:rPr>
        <w:rFonts w:hint="default"/>
      </w:rPr>
    </w:lvl>
    <w:lvl w:ilvl="3" w:tplc="2A1E0B28">
      <w:numFmt w:val="bullet"/>
      <w:lvlText w:val="•"/>
      <w:lvlJc w:val="left"/>
      <w:pPr>
        <w:ind w:left="585" w:hanging="100"/>
      </w:pPr>
      <w:rPr>
        <w:rFonts w:hint="default"/>
      </w:rPr>
    </w:lvl>
    <w:lvl w:ilvl="4" w:tplc="3CF632B6">
      <w:numFmt w:val="bullet"/>
      <w:lvlText w:val="•"/>
      <w:lvlJc w:val="left"/>
      <w:pPr>
        <w:ind w:left="726" w:hanging="100"/>
      </w:pPr>
      <w:rPr>
        <w:rFonts w:hint="default"/>
      </w:rPr>
    </w:lvl>
    <w:lvl w:ilvl="5" w:tplc="BB74DFD8">
      <w:numFmt w:val="bullet"/>
      <w:lvlText w:val="•"/>
      <w:lvlJc w:val="left"/>
      <w:pPr>
        <w:ind w:left="868" w:hanging="100"/>
      </w:pPr>
      <w:rPr>
        <w:rFonts w:hint="default"/>
      </w:rPr>
    </w:lvl>
    <w:lvl w:ilvl="6" w:tplc="09D47BEC">
      <w:numFmt w:val="bullet"/>
      <w:lvlText w:val="•"/>
      <w:lvlJc w:val="left"/>
      <w:pPr>
        <w:ind w:left="1010" w:hanging="100"/>
      </w:pPr>
      <w:rPr>
        <w:rFonts w:hint="default"/>
      </w:rPr>
    </w:lvl>
    <w:lvl w:ilvl="7" w:tplc="B2E81EF0">
      <w:numFmt w:val="bullet"/>
      <w:lvlText w:val="•"/>
      <w:lvlJc w:val="left"/>
      <w:pPr>
        <w:ind w:left="1151" w:hanging="100"/>
      </w:pPr>
      <w:rPr>
        <w:rFonts w:hint="default"/>
      </w:rPr>
    </w:lvl>
    <w:lvl w:ilvl="8" w:tplc="65FE35CE">
      <w:numFmt w:val="bullet"/>
      <w:lvlText w:val="•"/>
      <w:lvlJc w:val="left"/>
      <w:pPr>
        <w:ind w:left="1293" w:hanging="100"/>
      </w:pPr>
      <w:rPr>
        <w:rFonts w:hint="default"/>
      </w:rPr>
    </w:lvl>
  </w:abstractNum>
  <w:abstractNum w:abstractNumId="474" w15:restartNumberingAfterBreak="0">
    <w:nsid w:val="1DA5022C"/>
    <w:multiLevelType w:val="hybridMultilevel"/>
    <w:tmpl w:val="EDE409A4"/>
    <w:lvl w:ilvl="0" w:tplc="3754FF98">
      <w:numFmt w:val="bullet"/>
      <w:lvlText w:val=""/>
      <w:lvlJc w:val="left"/>
      <w:pPr>
        <w:ind w:left="156" w:hanging="100"/>
      </w:pPr>
      <w:rPr>
        <w:rFonts w:ascii="Symbol" w:eastAsia="Symbol" w:hAnsi="Symbol" w:cs="Symbol" w:hint="default"/>
        <w:color w:val="231F20"/>
        <w:w w:val="100"/>
        <w:sz w:val="14"/>
        <w:szCs w:val="14"/>
      </w:rPr>
    </w:lvl>
    <w:lvl w:ilvl="1" w:tplc="003679C6">
      <w:numFmt w:val="bullet"/>
      <w:lvlText w:val="•"/>
      <w:lvlJc w:val="left"/>
      <w:pPr>
        <w:ind w:left="301" w:hanging="100"/>
      </w:pPr>
      <w:rPr>
        <w:rFonts w:hint="default"/>
      </w:rPr>
    </w:lvl>
    <w:lvl w:ilvl="2" w:tplc="10FE5D0E">
      <w:numFmt w:val="bullet"/>
      <w:lvlText w:val="•"/>
      <w:lvlJc w:val="left"/>
      <w:pPr>
        <w:ind w:left="443" w:hanging="100"/>
      </w:pPr>
      <w:rPr>
        <w:rFonts w:hint="default"/>
      </w:rPr>
    </w:lvl>
    <w:lvl w:ilvl="3" w:tplc="68562C8A">
      <w:numFmt w:val="bullet"/>
      <w:lvlText w:val="•"/>
      <w:lvlJc w:val="left"/>
      <w:pPr>
        <w:ind w:left="585" w:hanging="100"/>
      </w:pPr>
      <w:rPr>
        <w:rFonts w:hint="default"/>
      </w:rPr>
    </w:lvl>
    <w:lvl w:ilvl="4" w:tplc="1E668C3E">
      <w:numFmt w:val="bullet"/>
      <w:lvlText w:val="•"/>
      <w:lvlJc w:val="left"/>
      <w:pPr>
        <w:ind w:left="726" w:hanging="100"/>
      </w:pPr>
      <w:rPr>
        <w:rFonts w:hint="default"/>
      </w:rPr>
    </w:lvl>
    <w:lvl w:ilvl="5" w:tplc="8BB6535E">
      <w:numFmt w:val="bullet"/>
      <w:lvlText w:val="•"/>
      <w:lvlJc w:val="left"/>
      <w:pPr>
        <w:ind w:left="868" w:hanging="100"/>
      </w:pPr>
      <w:rPr>
        <w:rFonts w:hint="default"/>
      </w:rPr>
    </w:lvl>
    <w:lvl w:ilvl="6" w:tplc="94528DD2">
      <w:numFmt w:val="bullet"/>
      <w:lvlText w:val="•"/>
      <w:lvlJc w:val="left"/>
      <w:pPr>
        <w:ind w:left="1010" w:hanging="100"/>
      </w:pPr>
      <w:rPr>
        <w:rFonts w:hint="default"/>
      </w:rPr>
    </w:lvl>
    <w:lvl w:ilvl="7" w:tplc="2F3C9F58">
      <w:numFmt w:val="bullet"/>
      <w:lvlText w:val="•"/>
      <w:lvlJc w:val="left"/>
      <w:pPr>
        <w:ind w:left="1151" w:hanging="100"/>
      </w:pPr>
      <w:rPr>
        <w:rFonts w:hint="default"/>
      </w:rPr>
    </w:lvl>
    <w:lvl w:ilvl="8" w:tplc="8898D62A">
      <w:numFmt w:val="bullet"/>
      <w:lvlText w:val="•"/>
      <w:lvlJc w:val="left"/>
      <w:pPr>
        <w:ind w:left="1293" w:hanging="100"/>
      </w:pPr>
      <w:rPr>
        <w:rFonts w:hint="default"/>
      </w:rPr>
    </w:lvl>
  </w:abstractNum>
  <w:abstractNum w:abstractNumId="475" w15:restartNumberingAfterBreak="0">
    <w:nsid w:val="1DB31FFE"/>
    <w:multiLevelType w:val="hybridMultilevel"/>
    <w:tmpl w:val="3A58D29A"/>
    <w:lvl w:ilvl="0" w:tplc="E79E39D6">
      <w:numFmt w:val="bullet"/>
      <w:lvlText w:val=""/>
      <w:lvlJc w:val="left"/>
      <w:pPr>
        <w:ind w:left="156" w:hanging="100"/>
      </w:pPr>
      <w:rPr>
        <w:rFonts w:ascii="Symbol" w:eastAsia="Symbol" w:hAnsi="Symbol" w:cs="Symbol" w:hint="default"/>
        <w:color w:val="231F20"/>
        <w:w w:val="100"/>
        <w:sz w:val="14"/>
        <w:szCs w:val="14"/>
      </w:rPr>
    </w:lvl>
    <w:lvl w:ilvl="1" w:tplc="17CC6120">
      <w:numFmt w:val="bullet"/>
      <w:lvlText w:val="•"/>
      <w:lvlJc w:val="left"/>
      <w:pPr>
        <w:ind w:left="301" w:hanging="100"/>
      </w:pPr>
      <w:rPr>
        <w:rFonts w:hint="default"/>
      </w:rPr>
    </w:lvl>
    <w:lvl w:ilvl="2" w:tplc="A1640FBE">
      <w:numFmt w:val="bullet"/>
      <w:lvlText w:val="•"/>
      <w:lvlJc w:val="left"/>
      <w:pPr>
        <w:ind w:left="443" w:hanging="100"/>
      </w:pPr>
      <w:rPr>
        <w:rFonts w:hint="default"/>
      </w:rPr>
    </w:lvl>
    <w:lvl w:ilvl="3" w:tplc="3D14AFC6">
      <w:numFmt w:val="bullet"/>
      <w:lvlText w:val="•"/>
      <w:lvlJc w:val="left"/>
      <w:pPr>
        <w:ind w:left="585" w:hanging="100"/>
      </w:pPr>
      <w:rPr>
        <w:rFonts w:hint="default"/>
      </w:rPr>
    </w:lvl>
    <w:lvl w:ilvl="4" w:tplc="DC6A67A4">
      <w:numFmt w:val="bullet"/>
      <w:lvlText w:val="•"/>
      <w:lvlJc w:val="left"/>
      <w:pPr>
        <w:ind w:left="726" w:hanging="100"/>
      </w:pPr>
      <w:rPr>
        <w:rFonts w:hint="default"/>
      </w:rPr>
    </w:lvl>
    <w:lvl w:ilvl="5" w:tplc="979008F0">
      <w:numFmt w:val="bullet"/>
      <w:lvlText w:val="•"/>
      <w:lvlJc w:val="left"/>
      <w:pPr>
        <w:ind w:left="868" w:hanging="100"/>
      </w:pPr>
      <w:rPr>
        <w:rFonts w:hint="default"/>
      </w:rPr>
    </w:lvl>
    <w:lvl w:ilvl="6" w:tplc="5E44BE0A">
      <w:numFmt w:val="bullet"/>
      <w:lvlText w:val="•"/>
      <w:lvlJc w:val="left"/>
      <w:pPr>
        <w:ind w:left="1010" w:hanging="100"/>
      </w:pPr>
      <w:rPr>
        <w:rFonts w:hint="default"/>
      </w:rPr>
    </w:lvl>
    <w:lvl w:ilvl="7" w:tplc="1A544928">
      <w:numFmt w:val="bullet"/>
      <w:lvlText w:val="•"/>
      <w:lvlJc w:val="left"/>
      <w:pPr>
        <w:ind w:left="1151" w:hanging="100"/>
      </w:pPr>
      <w:rPr>
        <w:rFonts w:hint="default"/>
      </w:rPr>
    </w:lvl>
    <w:lvl w:ilvl="8" w:tplc="083AD700">
      <w:numFmt w:val="bullet"/>
      <w:lvlText w:val="•"/>
      <w:lvlJc w:val="left"/>
      <w:pPr>
        <w:ind w:left="1293" w:hanging="100"/>
      </w:pPr>
      <w:rPr>
        <w:rFonts w:hint="default"/>
      </w:rPr>
    </w:lvl>
  </w:abstractNum>
  <w:abstractNum w:abstractNumId="476" w15:restartNumberingAfterBreak="0">
    <w:nsid w:val="1DBC6B9D"/>
    <w:multiLevelType w:val="hybridMultilevel"/>
    <w:tmpl w:val="7CF68B1E"/>
    <w:lvl w:ilvl="0" w:tplc="9B70B13E">
      <w:numFmt w:val="bullet"/>
      <w:lvlText w:val=""/>
      <w:lvlJc w:val="left"/>
      <w:pPr>
        <w:ind w:left="157" w:hanging="100"/>
      </w:pPr>
      <w:rPr>
        <w:rFonts w:ascii="Symbol" w:eastAsia="Symbol" w:hAnsi="Symbol" w:cs="Symbol" w:hint="default"/>
        <w:color w:val="231F20"/>
        <w:w w:val="100"/>
        <w:sz w:val="14"/>
        <w:szCs w:val="14"/>
      </w:rPr>
    </w:lvl>
    <w:lvl w:ilvl="1" w:tplc="33163BBA">
      <w:numFmt w:val="bullet"/>
      <w:lvlText w:val="•"/>
      <w:lvlJc w:val="left"/>
      <w:pPr>
        <w:ind w:left="369" w:hanging="100"/>
      </w:pPr>
      <w:rPr>
        <w:rFonts w:hint="default"/>
      </w:rPr>
    </w:lvl>
    <w:lvl w:ilvl="2" w:tplc="C5B2BE84">
      <w:numFmt w:val="bullet"/>
      <w:lvlText w:val="•"/>
      <w:lvlJc w:val="left"/>
      <w:pPr>
        <w:ind w:left="579" w:hanging="100"/>
      </w:pPr>
      <w:rPr>
        <w:rFonts w:hint="default"/>
      </w:rPr>
    </w:lvl>
    <w:lvl w:ilvl="3" w:tplc="583A3718">
      <w:numFmt w:val="bullet"/>
      <w:lvlText w:val="•"/>
      <w:lvlJc w:val="left"/>
      <w:pPr>
        <w:ind w:left="789" w:hanging="100"/>
      </w:pPr>
      <w:rPr>
        <w:rFonts w:hint="default"/>
      </w:rPr>
    </w:lvl>
    <w:lvl w:ilvl="4" w:tplc="21007080">
      <w:numFmt w:val="bullet"/>
      <w:lvlText w:val="•"/>
      <w:lvlJc w:val="left"/>
      <w:pPr>
        <w:ind w:left="998" w:hanging="100"/>
      </w:pPr>
      <w:rPr>
        <w:rFonts w:hint="default"/>
      </w:rPr>
    </w:lvl>
    <w:lvl w:ilvl="5" w:tplc="5F64E22A">
      <w:numFmt w:val="bullet"/>
      <w:lvlText w:val="•"/>
      <w:lvlJc w:val="left"/>
      <w:pPr>
        <w:ind w:left="1208" w:hanging="100"/>
      </w:pPr>
      <w:rPr>
        <w:rFonts w:hint="default"/>
      </w:rPr>
    </w:lvl>
    <w:lvl w:ilvl="6" w:tplc="109A611A">
      <w:numFmt w:val="bullet"/>
      <w:lvlText w:val="•"/>
      <w:lvlJc w:val="left"/>
      <w:pPr>
        <w:ind w:left="1418" w:hanging="100"/>
      </w:pPr>
      <w:rPr>
        <w:rFonts w:hint="default"/>
      </w:rPr>
    </w:lvl>
    <w:lvl w:ilvl="7" w:tplc="88BE6B9A">
      <w:numFmt w:val="bullet"/>
      <w:lvlText w:val="•"/>
      <w:lvlJc w:val="left"/>
      <w:pPr>
        <w:ind w:left="1627" w:hanging="100"/>
      </w:pPr>
      <w:rPr>
        <w:rFonts w:hint="default"/>
      </w:rPr>
    </w:lvl>
    <w:lvl w:ilvl="8" w:tplc="82FC65B0">
      <w:numFmt w:val="bullet"/>
      <w:lvlText w:val="•"/>
      <w:lvlJc w:val="left"/>
      <w:pPr>
        <w:ind w:left="1837" w:hanging="100"/>
      </w:pPr>
      <w:rPr>
        <w:rFonts w:hint="default"/>
      </w:rPr>
    </w:lvl>
  </w:abstractNum>
  <w:abstractNum w:abstractNumId="477" w15:restartNumberingAfterBreak="0">
    <w:nsid w:val="1DC011A3"/>
    <w:multiLevelType w:val="hybridMultilevel"/>
    <w:tmpl w:val="81F4F146"/>
    <w:lvl w:ilvl="0" w:tplc="93BE7CCC">
      <w:numFmt w:val="bullet"/>
      <w:lvlText w:val=""/>
      <w:lvlJc w:val="left"/>
      <w:pPr>
        <w:ind w:left="157" w:hanging="100"/>
      </w:pPr>
      <w:rPr>
        <w:rFonts w:ascii="Symbol" w:eastAsia="Symbol" w:hAnsi="Symbol" w:cs="Symbol" w:hint="default"/>
        <w:color w:val="231F20"/>
        <w:w w:val="100"/>
        <w:sz w:val="14"/>
        <w:szCs w:val="14"/>
      </w:rPr>
    </w:lvl>
    <w:lvl w:ilvl="1" w:tplc="325E99DE">
      <w:numFmt w:val="bullet"/>
      <w:lvlText w:val="•"/>
      <w:lvlJc w:val="left"/>
      <w:pPr>
        <w:ind w:left="426" w:hanging="100"/>
      </w:pPr>
      <w:rPr>
        <w:rFonts w:hint="default"/>
      </w:rPr>
    </w:lvl>
    <w:lvl w:ilvl="2" w:tplc="489886DA">
      <w:numFmt w:val="bullet"/>
      <w:lvlText w:val="•"/>
      <w:lvlJc w:val="left"/>
      <w:pPr>
        <w:ind w:left="692" w:hanging="100"/>
      </w:pPr>
      <w:rPr>
        <w:rFonts w:hint="default"/>
      </w:rPr>
    </w:lvl>
    <w:lvl w:ilvl="3" w:tplc="FEACA4EC">
      <w:numFmt w:val="bullet"/>
      <w:lvlText w:val="•"/>
      <w:lvlJc w:val="left"/>
      <w:pPr>
        <w:ind w:left="959" w:hanging="100"/>
      </w:pPr>
      <w:rPr>
        <w:rFonts w:hint="default"/>
      </w:rPr>
    </w:lvl>
    <w:lvl w:ilvl="4" w:tplc="60561EDE">
      <w:numFmt w:val="bullet"/>
      <w:lvlText w:val="•"/>
      <w:lvlJc w:val="left"/>
      <w:pPr>
        <w:ind w:left="1225" w:hanging="100"/>
      </w:pPr>
      <w:rPr>
        <w:rFonts w:hint="default"/>
      </w:rPr>
    </w:lvl>
    <w:lvl w:ilvl="5" w:tplc="6A00F754">
      <w:numFmt w:val="bullet"/>
      <w:lvlText w:val="•"/>
      <w:lvlJc w:val="left"/>
      <w:pPr>
        <w:ind w:left="1492" w:hanging="100"/>
      </w:pPr>
      <w:rPr>
        <w:rFonts w:hint="default"/>
      </w:rPr>
    </w:lvl>
    <w:lvl w:ilvl="6" w:tplc="DCECE688">
      <w:numFmt w:val="bullet"/>
      <w:lvlText w:val="•"/>
      <w:lvlJc w:val="left"/>
      <w:pPr>
        <w:ind w:left="1758" w:hanging="100"/>
      </w:pPr>
      <w:rPr>
        <w:rFonts w:hint="default"/>
      </w:rPr>
    </w:lvl>
    <w:lvl w:ilvl="7" w:tplc="91AE2DA6">
      <w:numFmt w:val="bullet"/>
      <w:lvlText w:val="•"/>
      <w:lvlJc w:val="left"/>
      <w:pPr>
        <w:ind w:left="2024" w:hanging="100"/>
      </w:pPr>
      <w:rPr>
        <w:rFonts w:hint="default"/>
      </w:rPr>
    </w:lvl>
    <w:lvl w:ilvl="8" w:tplc="94C60990">
      <w:numFmt w:val="bullet"/>
      <w:lvlText w:val="•"/>
      <w:lvlJc w:val="left"/>
      <w:pPr>
        <w:ind w:left="2291" w:hanging="100"/>
      </w:pPr>
      <w:rPr>
        <w:rFonts w:hint="default"/>
      </w:rPr>
    </w:lvl>
  </w:abstractNum>
  <w:abstractNum w:abstractNumId="478" w15:restartNumberingAfterBreak="0">
    <w:nsid w:val="1DD064C5"/>
    <w:multiLevelType w:val="hybridMultilevel"/>
    <w:tmpl w:val="60E23202"/>
    <w:lvl w:ilvl="0" w:tplc="DB2CEAB8">
      <w:numFmt w:val="bullet"/>
      <w:lvlText w:val=""/>
      <w:lvlJc w:val="left"/>
      <w:pPr>
        <w:ind w:left="157" w:hanging="100"/>
      </w:pPr>
      <w:rPr>
        <w:rFonts w:ascii="Symbol" w:eastAsia="Symbol" w:hAnsi="Symbol" w:cs="Symbol" w:hint="default"/>
        <w:color w:val="231F20"/>
        <w:w w:val="100"/>
        <w:sz w:val="14"/>
        <w:szCs w:val="14"/>
      </w:rPr>
    </w:lvl>
    <w:lvl w:ilvl="1" w:tplc="4394F0F2">
      <w:numFmt w:val="bullet"/>
      <w:lvlText w:val="•"/>
      <w:lvlJc w:val="left"/>
      <w:pPr>
        <w:ind w:left="398" w:hanging="100"/>
      </w:pPr>
      <w:rPr>
        <w:rFonts w:hint="default"/>
      </w:rPr>
    </w:lvl>
    <w:lvl w:ilvl="2" w:tplc="3452BD08">
      <w:numFmt w:val="bullet"/>
      <w:lvlText w:val="•"/>
      <w:lvlJc w:val="left"/>
      <w:pPr>
        <w:ind w:left="636" w:hanging="100"/>
      </w:pPr>
      <w:rPr>
        <w:rFonts w:hint="default"/>
      </w:rPr>
    </w:lvl>
    <w:lvl w:ilvl="3" w:tplc="59F8F946">
      <w:numFmt w:val="bullet"/>
      <w:lvlText w:val="•"/>
      <w:lvlJc w:val="left"/>
      <w:pPr>
        <w:ind w:left="874" w:hanging="100"/>
      </w:pPr>
      <w:rPr>
        <w:rFonts w:hint="default"/>
      </w:rPr>
    </w:lvl>
    <w:lvl w:ilvl="4" w:tplc="7A1E3D08">
      <w:numFmt w:val="bullet"/>
      <w:lvlText w:val="•"/>
      <w:lvlJc w:val="left"/>
      <w:pPr>
        <w:ind w:left="1112" w:hanging="100"/>
      </w:pPr>
      <w:rPr>
        <w:rFonts w:hint="default"/>
      </w:rPr>
    </w:lvl>
    <w:lvl w:ilvl="5" w:tplc="C7F47E58">
      <w:numFmt w:val="bullet"/>
      <w:lvlText w:val="•"/>
      <w:lvlJc w:val="left"/>
      <w:pPr>
        <w:ind w:left="1350" w:hanging="100"/>
      </w:pPr>
      <w:rPr>
        <w:rFonts w:hint="default"/>
      </w:rPr>
    </w:lvl>
    <w:lvl w:ilvl="6" w:tplc="69380682">
      <w:numFmt w:val="bullet"/>
      <w:lvlText w:val="•"/>
      <w:lvlJc w:val="left"/>
      <w:pPr>
        <w:ind w:left="1588" w:hanging="100"/>
      </w:pPr>
      <w:rPr>
        <w:rFonts w:hint="default"/>
      </w:rPr>
    </w:lvl>
    <w:lvl w:ilvl="7" w:tplc="2DE0559A">
      <w:numFmt w:val="bullet"/>
      <w:lvlText w:val="•"/>
      <w:lvlJc w:val="left"/>
      <w:pPr>
        <w:ind w:left="1826" w:hanging="100"/>
      </w:pPr>
      <w:rPr>
        <w:rFonts w:hint="default"/>
      </w:rPr>
    </w:lvl>
    <w:lvl w:ilvl="8" w:tplc="48A66632">
      <w:numFmt w:val="bullet"/>
      <w:lvlText w:val="•"/>
      <w:lvlJc w:val="left"/>
      <w:pPr>
        <w:ind w:left="2064" w:hanging="100"/>
      </w:pPr>
      <w:rPr>
        <w:rFonts w:hint="default"/>
      </w:rPr>
    </w:lvl>
  </w:abstractNum>
  <w:abstractNum w:abstractNumId="479" w15:restartNumberingAfterBreak="0">
    <w:nsid w:val="1DD53391"/>
    <w:multiLevelType w:val="hybridMultilevel"/>
    <w:tmpl w:val="193434C6"/>
    <w:lvl w:ilvl="0" w:tplc="E28CB842">
      <w:numFmt w:val="bullet"/>
      <w:lvlText w:val=""/>
      <w:lvlJc w:val="left"/>
      <w:pPr>
        <w:ind w:left="156" w:hanging="100"/>
      </w:pPr>
      <w:rPr>
        <w:rFonts w:ascii="Symbol" w:eastAsia="Symbol" w:hAnsi="Symbol" w:cs="Symbol" w:hint="default"/>
        <w:color w:val="231F20"/>
        <w:w w:val="100"/>
        <w:sz w:val="14"/>
        <w:szCs w:val="14"/>
      </w:rPr>
    </w:lvl>
    <w:lvl w:ilvl="1" w:tplc="539A8D70">
      <w:numFmt w:val="bullet"/>
      <w:lvlText w:val="•"/>
      <w:lvlJc w:val="left"/>
      <w:pPr>
        <w:ind w:left="426" w:hanging="100"/>
      </w:pPr>
      <w:rPr>
        <w:rFonts w:hint="default"/>
      </w:rPr>
    </w:lvl>
    <w:lvl w:ilvl="2" w:tplc="7AE2AFF6">
      <w:numFmt w:val="bullet"/>
      <w:lvlText w:val="•"/>
      <w:lvlJc w:val="left"/>
      <w:pPr>
        <w:ind w:left="692" w:hanging="100"/>
      </w:pPr>
      <w:rPr>
        <w:rFonts w:hint="default"/>
      </w:rPr>
    </w:lvl>
    <w:lvl w:ilvl="3" w:tplc="0E7AE326">
      <w:numFmt w:val="bullet"/>
      <w:lvlText w:val="•"/>
      <w:lvlJc w:val="left"/>
      <w:pPr>
        <w:ind w:left="959" w:hanging="100"/>
      </w:pPr>
      <w:rPr>
        <w:rFonts w:hint="default"/>
      </w:rPr>
    </w:lvl>
    <w:lvl w:ilvl="4" w:tplc="DEB8E29C">
      <w:numFmt w:val="bullet"/>
      <w:lvlText w:val="•"/>
      <w:lvlJc w:val="left"/>
      <w:pPr>
        <w:ind w:left="1225" w:hanging="100"/>
      </w:pPr>
      <w:rPr>
        <w:rFonts w:hint="default"/>
      </w:rPr>
    </w:lvl>
    <w:lvl w:ilvl="5" w:tplc="22243E3A">
      <w:numFmt w:val="bullet"/>
      <w:lvlText w:val="•"/>
      <w:lvlJc w:val="left"/>
      <w:pPr>
        <w:ind w:left="1492" w:hanging="100"/>
      </w:pPr>
      <w:rPr>
        <w:rFonts w:hint="default"/>
      </w:rPr>
    </w:lvl>
    <w:lvl w:ilvl="6" w:tplc="AAAE7878">
      <w:numFmt w:val="bullet"/>
      <w:lvlText w:val="•"/>
      <w:lvlJc w:val="left"/>
      <w:pPr>
        <w:ind w:left="1758" w:hanging="100"/>
      </w:pPr>
      <w:rPr>
        <w:rFonts w:hint="default"/>
      </w:rPr>
    </w:lvl>
    <w:lvl w:ilvl="7" w:tplc="2B362B0E">
      <w:numFmt w:val="bullet"/>
      <w:lvlText w:val="•"/>
      <w:lvlJc w:val="left"/>
      <w:pPr>
        <w:ind w:left="2024" w:hanging="100"/>
      </w:pPr>
      <w:rPr>
        <w:rFonts w:hint="default"/>
      </w:rPr>
    </w:lvl>
    <w:lvl w:ilvl="8" w:tplc="37FC404C">
      <w:numFmt w:val="bullet"/>
      <w:lvlText w:val="•"/>
      <w:lvlJc w:val="left"/>
      <w:pPr>
        <w:ind w:left="2291" w:hanging="100"/>
      </w:pPr>
      <w:rPr>
        <w:rFonts w:hint="default"/>
      </w:rPr>
    </w:lvl>
  </w:abstractNum>
  <w:abstractNum w:abstractNumId="480" w15:restartNumberingAfterBreak="0">
    <w:nsid w:val="1DF4418C"/>
    <w:multiLevelType w:val="hybridMultilevel"/>
    <w:tmpl w:val="B95A29A2"/>
    <w:lvl w:ilvl="0" w:tplc="7830615C">
      <w:numFmt w:val="bullet"/>
      <w:lvlText w:val=""/>
      <w:lvlJc w:val="left"/>
      <w:pPr>
        <w:ind w:left="156" w:hanging="100"/>
      </w:pPr>
      <w:rPr>
        <w:rFonts w:ascii="Symbol" w:eastAsia="Symbol" w:hAnsi="Symbol" w:cs="Symbol" w:hint="default"/>
        <w:color w:val="231F20"/>
        <w:w w:val="100"/>
        <w:sz w:val="14"/>
        <w:szCs w:val="14"/>
      </w:rPr>
    </w:lvl>
    <w:lvl w:ilvl="1" w:tplc="6152E126">
      <w:numFmt w:val="bullet"/>
      <w:lvlText w:val="•"/>
      <w:lvlJc w:val="left"/>
      <w:pPr>
        <w:ind w:left="398" w:hanging="100"/>
      </w:pPr>
      <w:rPr>
        <w:rFonts w:hint="default"/>
      </w:rPr>
    </w:lvl>
    <w:lvl w:ilvl="2" w:tplc="0D2EFDD6">
      <w:numFmt w:val="bullet"/>
      <w:lvlText w:val="•"/>
      <w:lvlJc w:val="left"/>
      <w:pPr>
        <w:ind w:left="636" w:hanging="100"/>
      </w:pPr>
      <w:rPr>
        <w:rFonts w:hint="default"/>
      </w:rPr>
    </w:lvl>
    <w:lvl w:ilvl="3" w:tplc="A8623DDC">
      <w:numFmt w:val="bullet"/>
      <w:lvlText w:val="•"/>
      <w:lvlJc w:val="left"/>
      <w:pPr>
        <w:ind w:left="874" w:hanging="100"/>
      </w:pPr>
      <w:rPr>
        <w:rFonts w:hint="default"/>
      </w:rPr>
    </w:lvl>
    <w:lvl w:ilvl="4" w:tplc="B568C88A">
      <w:numFmt w:val="bullet"/>
      <w:lvlText w:val="•"/>
      <w:lvlJc w:val="left"/>
      <w:pPr>
        <w:ind w:left="1112" w:hanging="100"/>
      </w:pPr>
      <w:rPr>
        <w:rFonts w:hint="default"/>
      </w:rPr>
    </w:lvl>
    <w:lvl w:ilvl="5" w:tplc="E42C234E">
      <w:numFmt w:val="bullet"/>
      <w:lvlText w:val="•"/>
      <w:lvlJc w:val="left"/>
      <w:pPr>
        <w:ind w:left="1350" w:hanging="100"/>
      </w:pPr>
      <w:rPr>
        <w:rFonts w:hint="default"/>
      </w:rPr>
    </w:lvl>
    <w:lvl w:ilvl="6" w:tplc="B2BC8CA0">
      <w:numFmt w:val="bullet"/>
      <w:lvlText w:val="•"/>
      <w:lvlJc w:val="left"/>
      <w:pPr>
        <w:ind w:left="1588" w:hanging="100"/>
      </w:pPr>
      <w:rPr>
        <w:rFonts w:hint="default"/>
      </w:rPr>
    </w:lvl>
    <w:lvl w:ilvl="7" w:tplc="3F40C994">
      <w:numFmt w:val="bullet"/>
      <w:lvlText w:val="•"/>
      <w:lvlJc w:val="left"/>
      <w:pPr>
        <w:ind w:left="1826" w:hanging="100"/>
      </w:pPr>
      <w:rPr>
        <w:rFonts w:hint="default"/>
      </w:rPr>
    </w:lvl>
    <w:lvl w:ilvl="8" w:tplc="CE1EFBDC">
      <w:numFmt w:val="bullet"/>
      <w:lvlText w:val="•"/>
      <w:lvlJc w:val="left"/>
      <w:pPr>
        <w:ind w:left="2064" w:hanging="100"/>
      </w:pPr>
      <w:rPr>
        <w:rFonts w:hint="default"/>
      </w:rPr>
    </w:lvl>
  </w:abstractNum>
  <w:abstractNum w:abstractNumId="481" w15:restartNumberingAfterBreak="0">
    <w:nsid w:val="1DFF799A"/>
    <w:multiLevelType w:val="hybridMultilevel"/>
    <w:tmpl w:val="98C6682E"/>
    <w:lvl w:ilvl="0" w:tplc="04708412">
      <w:numFmt w:val="bullet"/>
      <w:lvlText w:val=""/>
      <w:lvlJc w:val="left"/>
      <w:pPr>
        <w:ind w:left="156" w:hanging="100"/>
      </w:pPr>
      <w:rPr>
        <w:rFonts w:ascii="Symbol" w:eastAsia="Symbol" w:hAnsi="Symbol" w:cs="Symbol" w:hint="default"/>
        <w:color w:val="231F20"/>
        <w:w w:val="100"/>
        <w:sz w:val="14"/>
        <w:szCs w:val="14"/>
      </w:rPr>
    </w:lvl>
    <w:lvl w:ilvl="1" w:tplc="0FACADF8">
      <w:numFmt w:val="bullet"/>
      <w:lvlText w:val="•"/>
      <w:lvlJc w:val="left"/>
      <w:pPr>
        <w:ind w:left="301" w:hanging="100"/>
      </w:pPr>
      <w:rPr>
        <w:rFonts w:hint="default"/>
      </w:rPr>
    </w:lvl>
    <w:lvl w:ilvl="2" w:tplc="83D40424">
      <w:numFmt w:val="bullet"/>
      <w:lvlText w:val="•"/>
      <w:lvlJc w:val="left"/>
      <w:pPr>
        <w:ind w:left="443" w:hanging="100"/>
      </w:pPr>
      <w:rPr>
        <w:rFonts w:hint="default"/>
      </w:rPr>
    </w:lvl>
    <w:lvl w:ilvl="3" w:tplc="2B26A9F6">
      <w:numFmt w:val="bullet"/>
      <w:lvlText w:val="•"/>
      <w:lvlJc w:val="left"/>
      <w:pPr>
        <w:ind w:left="585" w:hanging="100"/>
      </w:pPr>
      <w:rPr>
        <w:rFonts w:hint="default"/>
      </w:rPr>
    </w:lvl>
    <w:lvl w:ilvl="4" w:tplc="D9342B32">
      <w:numFmt w:val="bullet"/>
      <w:lvlText w:val="•"/>
      <w:lvlJc w:val="left"/>
      <w:pPr>
        <w:ind w:left="726" w:hanging="100"/>
      </w:pPr>
      <w:rPr>
        <w:rFonts w:hint="default"/>
      </w:rPr>
    </w:lvl>
    <w:lvl w:ilvl="5" w:tplc="6A0E3C3E">
      <w:numFmt w:val="bullet"/>
      <w:lvlText w:val="•"/>
      <w:lvlJc w:val="left"/>
      <w:pPr>
        <w:ind w:left="868" w:hanging="100"/>
      </w:pPr>
      <w:rPr>
        <w:rFonts w:hint="default"/>
      </w:rPr>
    </w:lvl>
    <w:lvl w:ilvl="6" w:tplc="978411C6">
      <w:numFmt w:val="bullet"/>
      <w:lvlText w:val="•"/>
      <w:lvlJc w:val="left"/>
      <w:pPr>
        <w:ind w:left="1010" w:hanging="100"/>
      </w:pPr>
      <w:rPr>
        <w:rFonts w:hint="default"/>
      </w:rPr>
    </w:lvl>
    <w:lvl w:ilvl="7" w:tplc="1E0E55B4">
      <w:numFmt w:val="bullet"/>
      <w:lvlText w:val="•"/>
      <w:lvlJc w:val="left"/>
      <w:pPr>
        <w:ind w:left="1151" w:hanging="100"/>
      </w:pPr>
      <w:rPr>
        <w:rFonts w:hint="default"/>
      </w:rPr>
    </w:lvl>
    <w:lvl w:ilvl="8" w:tplc="4D460E92">
      <w:numFmt w:val="bullet"/>
      <w:lvlText w:val="•"/>
      <w:lvlJc w:val="left"/>
      <w:pPr>
        <w:ind w:left="1293" w:hanging="100"/>
      </w:pPr>
      <w:rPr>
        <w:rFonts w:hint="default"/>
      </w:rPr>
    </w:lvl>
  </w:abstractNum>
  <w:abstractNum w:abstractNumId="482" w15:restartNumberingAfterBreak="0">
    <w:nsid w:val="1E014A6E"/>
    <w:multiLevelType w:val="hybridMultilevel"/>
    <w:tmpl w:val="4B789940"/>
    <w:lvl w:ilvl="0" w:tplc="BAF616D6">
      <w:numFmt w:val="bullet"/>
      <w:lvlText w:val=""/>
      <w:lvlJc w:val="left"/>
      <w:pPr>
        <w:ind w:left="156" w:hanging="100"/>
      </w:pPr>
      <w:rPr>
        <w:rFonts w:ascii="Symbol" w:eastAsia="Symbol" w:hAnsi="Symbol" w:cs="Symbol" w:hint="default"/>
        <w:color w:val="231F20"/>
        <w:w w:val="100"/>
        <w:sz w:val="14"/>
        <w:szCs w:val="14"/>
      </w:rPr>
    </w:lvl>
    <w:lvl w:ilvl="1" w:tplc="8E9EDDD0">
      <w:numFmt w:val="bullet"/>
      <w:lvlText w:val="•"/>
      <w:lvlJc w:val="left"/>
      <w:pPr>
        <w:ind w:left="301" w:hanging="100"/>
      </w:pPr>
      <w:rPr>
        <w:rFonts w:hint="default"/>
      </w:rPr>
    </w:lvl>
    <w:lvl w:ilvl="2" w:tplc="243EE8DA">
      <w:numFmt w:val="bullet"/>
      <w:lvlText w:val="•"/>
      <w:lvlJc w:val="left"/>
      <w:pPr>
        <w:ind w:left="443" w:hanging="100"/>
      </w:pPr>
      <w:rPr>
        <w:rFonts w:hint="default"/>
      </w:rPr>
    </w:lvl>
    <w:lvl w:ilvl="3" w:tplc="950C5BBA">
      <w:numFmt w:val="bullet"/>
      <w:lvlText w:val="•"/>
      <w:lvlJc w:val="left"/>
      <w:pPr>
        <w:ind w:left="585" w:hanging="100"/>
      </w:pPr>
      <w:rPr>
        <w:rFonts w:hint="default"/>
      </w:rPr>
    </w:lvl>
    <w:lvl w:ilvl="4" w:tplc="4E800B6E">
      <w:numFmt w:val="bullet"/>
      <w:lvlText w:val="•"/>
      <w:lvlJc w:val="left"/>
      <w:pPr>
        <w:ind w:left="726" w:hanging="100"/>
      </w:pPr>
      <w:rPr>
        <w:rFonts w:hint="default"/>
      </w:rPr>
    </w:lvl>
    <w:lvl w:ilvl="5" w:tplc="D2DCE7A2">
      <w:numFmt w:val="bullet"/>
      <w:lvlText w:val="•"/>
      <w:lvlJc w:val="left"/>
      <w:pPr>
        <w:ind w:left="868" w:hanging="100"/>
      </w:pPr>
      <w:rPr>
        <w:rFonts w:hint="default"/>
      </w:rPr>
    </w:lvl>
    <w:lvl w:ilvl="6" w:tplc="F3ACAF08">
      <w:numFmt w:val="bullet"/>
      <w:lvlText w:val="•"/>
      <w:lvlJc w:val="left"/>
      <w:pPr>
        <w:ind w:left="1010" w:hanging="100"/>
      </w:pPr>
      <w:rPr>
        <w:rFonts w:hint="default"/>
      </w:rPr>
    </w:lvl>
    <w:lvl w:ilvl="7" w:tplc="785E4076">
      <w:numFmt w:val="bullet"/>
      <w:lvlText w:val="•"/>
      <w:lvlJc w:val="left"/>
      <w:pPr>
        <w:ind w:left="1151" w:hanging="100"/>
      </w:pPr>
      <w:rPr>
        <w:rFonts w:hint="default"/>
      </w:rPr>
    </w:lvl>
    <w:lvl w:ilvl="8" w:tplc="56740C18">
      <w:numFmt w:val="bullet"/>
      <w:lvlText w:val="•"/>
      <w:lvlJc w:val="left"/>
      <w:pPr>
        <w:ind w:left="1293" w:hanging="100"/>
      </w:pPr>
      <w:rPr>
        <w:rFonts w:hint="default"/>
      </w:rPr>
    </w:lvl>
  </w:abstractNum>
  <w:abstractNum w:abstractNumId="483" w15:restartNumberingAfterBreak="0">
    <w:nsid w:val="1E136A7D"/>
    <w:multiLevelType w:val="hybridMultilevel"/>
    <w:tmpl w:val="3800E914"/>
    <w:lvl w:ilvl="0" w:tplc="4C14EB66">
      <w:numFmt w:val="bullet"/>
      <w:lvlText w:val=""/>
      <w:lvlJc w:val="left"/>
      <w:pPr>
        <w:ind w:left="156" w:hanging="100"/>
      </w:pPr>
      <w:rPr>
        <w:rFonts w:ascii="Symbol" w:eastAsia="Symbol" w:hAnsi="Symbol" w:cs="Symbol" w:hint="default"/>
        <w:color w:val="231F20"/>
        <w:w w:val="100"/>
        <w:sz w:val="14"/>
        <w:szCs w:val="14"/>
      </w:rPr>
    </w:lvl>
    <w:lvl w:ilvl="1" w:tplc="41326D88">
      <w:numFmt w:val="bullet"/>
      <w:lvlText w:val="•"/>
      <w:lvlJc w:val="left"/>
      <w:pPr>
        <w:ind w:left="273" w:hanging="100"/>
      </w:pPr>
      <w:rPr>
        <w:rFonts w:hint="default"/>
      </w:rPr>
    </w:lvl>
    <w:lvl w:ilvl="2" w:tplc="897C002A">
      <w:numFmt w:val="bullet"/>
      <w:lvlText w:val="•"/>
      <w:lvlJc w:val="left"/>
      <w:pPr>
        <w:ind w:left="386" w:hanging="100"/>
      </w:pPr>
      <w:rPr>
        <w:rFonts w:hint="default"/>
      </w:rPr>
    </w:lvl>
    <w:lvl w:ilvl="3" w:tplc="C3202A3E">
      <w:numFmt w:val="bullet"/>
      <w:lvlText w:val="•"/>
      <w:lvlJc w:val="left"/>
      <w:pPr>
        <w:ind w:left="500" w:hanging="100"/>
      </w:pPr>
      <w:rPr>
        <w:rFonts w:hint="default"/>
      </w:rPr>
    </w:lvl>
    <w:lvl w:ilvl="4" w:tplc="D3EC9A1A">
      <w:numFmt w:val="bullet"/>
      <w:lvlText w:val="•"/>
      <w:lvlJc w:val="left"/>
      <w:pPr>
        <w:ind w:left="613" w:hanging="100"/>
      </w:pPr>
      <w:rPr>
        <w:rFonts w:hint="default"/>
      </w:rPr>
    </w:lvl>
    <w:lvl w:ilvl="5" w:tplc="59940E72">
      <w:numFmt w:val="bullet"/>
      <w:lvlText w:val="•"/>
      <w:lvlJc w:val="left"/>
      <w:pPr>
        <w:ind w:left="727" w:hanging="100"/>
      </w:pPr>
      <w:rPr>
        <w:rFonts w:hint="default"/>
      </w:rPr>
    </w:lvl>
    <w:lvl w:ilvl="6" w:tplc="A8927C18">
      <w:numFmt w:val="bullet"/>
      <w:lvlText w:val="•"/>
      <w:lvlJc w:val="left"/>
      <w:pPr>
        <w:ind w:left="840" w:hanging="100"/>
      </w:pPr>
      <w:rPr>
        <w:rFonts w:hint="default"/>
      </w:rPr>
    </w:lvl>
    <w:lvl w:ilvl="7" w:tplc="2530028E">
      <w:numFmt w:val="bullet"/>
      <w:lvlText w:val="•"/>
      <w:lvlJc w:val="left"/>
      <w:pPr>
        <w:ind w:left="953" w:hanging="100"/>
      </w:pPr>
      <w:rPr>
        <w:rFonts w:hint="default"/>
      </w:rPr>
    </w:lvl>
    <w:lvl w:ilvl="8" w:tplc="3B020F64">
      <w:numFmt w:val="bullet"/>
      <w:lvlText w:val="•"/>
      <w:lvlJc w:val="left"/>
      <w:pPr>
        <w:ind w:left="1067" w:hanging="100"/>
      </w:pPr>
      <w:rPr>
        <w:rFonts w:hint="default"/>
      </w:rPr>
    </w:lvl>
  </w:abstractNum>
  <w:abstractNum w:abstractNumId="484" w15:restartNumberingAfterBreak="0">
    <w:nsid w:val="1E170711"/>
    <w:multiLevelType w:val="hybridMultilevel"/>
    <w:tmpl w:val="A6C417FC"/>
    <w:lvl w:ilvl="0" w:tplc="6C0207C8">
      <w:numFmt w:val="bullet"/>
      <w:lvlText w:val=""/>
      <w:lvlJc w:val="left"/>
      <w:pPr>
        <w:ind w:left="156" w:hanging="100"/>
      </w:pPr>
      <w:rPr>
        <w:rFonts w:ascii="Symbol" w:eastAsia="Symbol" w:hAnsi="Symbol" w:cs="Symbol" w:hint="default"/>
        <w:color w:val="231F20"/>
        <w:w w:val="100"/>
        <w:sz w:val="14"/>
        <w:szCs w:val="14"/>
      </w:rPr>
    </w:lvl>
    <w:lvl w:ilvl="1" w:tplc="C304F7E4">
      <w:numFmt w:val="bullet"/>
      <w:lvlText w:val="•"/>
      <w:lvlJc w:val="left"/>
      <w:pPr>
        <w:ind w:left="240" w:hanging="100"/>
      </w:pPr>
      <w:rPr>
        <w:rFonts w:hint="default"/>
      </w:rPr>
    </w:lvl>
    <w:lvl w:ilvl="2" w:tplc="70980352">
      <w:numFmt w:val="bullet"/>
      <w:lvlText w:val="•"/>
      <w:lvlJc w:val="left"/>
      <w:pPr>
        <w:ind w:left="495" w:hanging="100"/>
      </w:pPr>
      <w:rPr>
        <w:rFonts w:hint="default"/>
      </w:rPr>
    </w:lvl>
    <w:lvl w:ilvl="3" w:tplc="B8CACDC0">
      <w:numFmt w:val="bullet"/>
      <w:lvlText w:val="•"/>
      <w:lvlJc w:val="left"/>
      <w:pPr>
        <w:ind w:left="751" w:hanging="100"/>
      </w:pPr>
      <w:rPr>
        <w:rFonts w:hint="default"/>
      </w:rPr>
    </w:lvl>
    <w:lvl w:ilvl="4" w:tplc="B96876EC">
      <w:numFmt w:val="bullet"/>
      <w:lvlText w:val="•"/>
      <w:lvlJc w:val="left"/>
      <w:pPr>
        <w:ind w:left="1007" w:hanging="100"/>
      </w:pPr>
      <w:rPr>
        <w:rFonts w:hint="default"/>
      </w:rPr>
    </w:lvl>
    <w:lvl w:ilvl="5" w:tplc="C61CA532">
      <w:numFmt w:val="bullet"/>
      <w:lvlText w:val="•"/>
      <w:lvlJc w:val="left"/>
      <w:pPr>
        <w:ind w:left="1262" w:hanging="100"/>
      </w:pPr>
      <w:rPr>
        <w:rFonts w:hint="default"/>
      </w:rPr>
    </w:lvl>
    <w:lvl w:ilvl="6" w:tplc="F3F8F10A">
      <w:numFmt w:val="bullet"/>
      <w:lvlText w:val="•"/>
      <w:lvlJc w:val="left"/>
      <w:pPr>
        <w:ind w:left="1518" w:hanging="100"/>
      </w:pPr>
      <w:rPr>
        <w:rFonts w:hint="default"/>
      </w:rPr>
    </w:lvl>
    <w:lvl w:ilvl="7" w:tplc="B7B630A6">
      <w:numFmt w:val="bullet"/>
      <w:lvlText w:val="•"/>
      <w:lvlJc w:val="left"/>
      <w:pPr>
        <w:ind w:left="1774" w:hanging="100"/>
      </w:pPr>
      <w:rPr>
        <w:rFonts w:hint="default"/>
      </w:rPr>
    </w:lvl>
    <w:lvl w:ilvl="8" w:tplc="D29A0F58">
      <w:numFmt w:val="bullet"/>
      <w:lvlText w:val="•"/>
      <w:lvlJc w:val="left"/>
      <w:pPr>
        <w:ind w:left="2029" w:hanging="100"/>
      </w:pPr>
      <w:rPr>
        <w:rFonts w:hint="default"/>
      </w:rPr>
    </w:lvl>
  </w:abstractNum>
  <w:abstractNum w:abstractNumId="485" w15:restartNumberingAfterBreak="0">
    <w:nsid w:val="1E445D29"/>
    <w:multiLevelType w:val="hybridMultilevel"/>
    <w:tmpl w:val="732E318A"/>
    <w:lvl w:ilvl="0" w:tplc="FDEAB4E0">
      <w:numFmt w:val="bullet"/>
      <w:lvlText w:val=""/>
      <w:lvlJc w:val="left"/>
      <w:pPr>
        <w:ind w:left="156" w:hanging="100"/>
      </w:pPr>
      <w:rPr>
        <w:rFonts w:ascii="Symbol" w:eastAsia="Symbol" w:hAnsi="Symbol" w:cs="Symbol" w:hint="default"/>
        <w:color w:val="231F20"/>
        <w:w w:val="100"/>
        <w:sz w:val="14"/>
        <w:szCs w:val="14"/>
      </w:rPr>
    </w:lvl>
    <w:lvl w:ilvl="1" w:tplc="63A419AA">
      <w:numFmt w:val="bullet"/>
      <w:lvlText w:val="•"/>
      <w:lvlJc w:val="left"/>
      <w:pPr>
        <w:ind w:left="301" w:hanging="100"/>
      </w:pPr>
      <w:rPr>
        <w:rFonts w:hint="default"/>
      </w:rPr>
    </w:lvl>
    <w:lvl w:ilvl="2" w:tplc="0C42C63E">
      <w:numFmt w:val="bullet"/>
      <w:lvlText w:val="•"/>
      <w:lvlJc w:val="left"/>
      <w:pPr>
        <w:ind w:left="443" w:hanging="100"/>
      </w:pPr>
      <w:rPr>
        <w:rFonts w:hint="default"/>
      </w:rPr>
    </w:lvl>
    <w:lvl w:ilvl="3" w:tplc="C9C8806A">
      <w:numFmt w:val="bullet"/>
      <w:lvlText w:val="•"/>
      <w:lvlJc w:val="left"/>
      <w:pPr>
        <w:ind w:left="585" w:hanging="100"/>
      </w:pPr>
      <w:rPr>
        <w:rFonts w:hint="default"/>
      </w:rPr>
    </w:lvl>
    <w:lvl w:ilvl="4" w:tplc="E3689670">
      <w:numFmt w:val="bullet"/>
      <w:lvlText w:val="•"/>
      <w:lvlJc w:val="left"/>
      <w:pPr>
        <w:ind w:left="726" w:hanging="100"/>
      </w:pPr>
      <w:rPr>
        <w:rFonts w:hint="default"/>
      </w:rPr>
    </w:lvl>
    <w:lvl w:ilvl="5" w:tplc="BA781694">
      <w:numFmt w:val="bullet"/>
      <w:lvlText w:val="•"/>
      <w:lvlJc w:val="left"/>
      <w:pPr>
        <w:ind w:left="868" w:hanging="100"/>
      </w:pPr>
      <w:rPr>
        <w:rFonts w:hint="default"/>
      </w:rPr>
    </w:lvl>
    <w:lvl w:ilvl="6" w:tplc="89667EC8">
      <w:numFmt w:val="bullet"/>
      <w:lvlText w:val="•"/>
      <w:lvlJc w:val="left"/>
      <w:pPr>
        <w:ind w:left="1010" w:hanging="100"/>
      </w:pPr>
      <w:rPr>
        <w:rFonts w:hint="default"/>
      </w:rPr>
    </w:lvl>
    <w:lvl w:ilvl="7" w:tplc="4210D96A">
      <w:numFmt w:val="bullet"/>
      <w:lvlText w:val="•"/>
      <w:lvlJc w:val="left"/>
      <w:pPr>
        <w:ind w:left="1151" w:hanging="100"/>
      </w:pPr>
      <w:rPr>
        <w:rFonts w:hint="default"/>
      </w:rPr>
    </w:lvl>
    <w:lvl w:ilvl="8" w:tplc="56C2E83A">
      <w:numFmt w:val="bullet"/>
      <w:lvlText w:val="•"/>
      <w:lvlJc w:val="left"/>
      <w:pPr>
        <w:ind w:left="1293" w:hanging="100"/>
      </w:pPr>
      <w:rPr>
        <w:rFonts w:hint="default"/>
      </w:rPr>
    </w:lvl>
  </w:abstractNum>
  <w:abstractNum w:abstractNumId="486" w15:restartNumberingAfterBreak="0">
    <w:nsid w:val="1E4A250D"/>
    <w:multiLevelType w:val="hybridMultilevel"/>
    <w:tmpl w:val="3E4C7716"/>
    <w:lvl w:ilvl="0" w:tplc="EAF8E2A0">
      <w:numFmt w:val="bullet"/>
      <w:lvlText w:val=""/>
      <w:lvlJc w:val="left"/>
      <w:pPr>
        <w:ind w:left="156" w:hanging="100"/>
      </w:pPr>
      <w:rPr>
        <w:rFonts w:ascii="Symbol" w:eastAsia="Symbol" w:hAnsi="Symbol" w:cs="Symbol" w:hint="default"/>
        <w:color w:val="231F20"/>
        <w:w w:val="100"/>
        <w:sz w:val="14"/>
        <w:szCs w:val="14"/>
      </w:rPr>
    </w:lvl>
    <w:lvl w:ilvl="1" w:tplc="B7DE3998">
      <w:numFmt w:val="bullet"/>
      <w:lvlText w:val="•"/>
      <w:lvlJc w:val="left"/>
      <w:pPr>
        <w:ind w:left="454" w:hanging="100"/>
      </w:pPr>
      <w:rPr>
        <w:rFonts w:hint="default"/>
      </w:rPr>
    </w:lvl>
    <w:lvl w:ilvl="2" w:tplc="FCA02778">
      <w:numFmt w:val="bullet"/>
      <w:lvlText w:val="•"/>
      <w:lvlJc w:val="left"/>
      <w:pPr>
        <w:ind w:left="749" w:hanging="100"/>
      </w:pPr>
      <w:rPr>
        <w:rFonts w:hint="default"/>
      </w:rPr>
    </w:lvl>
    <w:lvl w:ilvl="3" w:tplc="A080D8FE">
      <w:numFmt w:val="bullet"/>
      <w:lvlText w:val="•"/>
      <w:lvlJc w:val="left"/>
      <w:pPr>
        <w:ind w:left="1044" w:hanging="100"/>
      </w:pPr>
      <w:rPr>
        <w:rFonts w:hint="default"/>
      </w:rPr>
    </w:lvl>
    <w:lvl w:ilvl="4" w:tplc="0F021A14">
      <w:numFmt w:val="bullet"/>
      <w:lvlText w:val="•"/>
      <w:lvlJc w:val="left"/>
      <w:pPr>
        <w:ind w:left="1339" w:hanging="100"/>
      </w:pPr>
      <w:rPr>
        <w:rFonts w:hint="default"/>
      </w:rPr>
    </w:lvl>
    <w:lvl w:ilvl="5" w:tplc="E4BC8BDC">
      <w:numFmt w:val="bullet"/>
      <w:lvlText w:val="•"/>
      <w:lvlJc w:val="left"/>
      <w:pPr>
        <w:ind w:left="1634" w:hanging="100"/>
      </w:pPr>
      <w:rPr>
        <w:rFonts w:hint="default"/>
      </w:rPr>
    </w:lvl>
    <w:lvl w:ilvl="6" w:tplc="031C9382">
      <w:numFmt w:val="bullet"/>
      <w:lvlText w:val="•"/>
      <w:lvlJc w:val="left"/>
      <w:pPr>
        <w:ind w:left="1928" w:hanging="100"/>
      </w:pPr>
      <w:rPr>
        <w:rFonts w:hint="default"/>
      </w:rPr>
    </w:lvl>
    <w:lvl w:ilvl="7" w:tplc="71B807BE">
      <w:numFmt w:val="bullet"/>
      <w:lvlText w:val="•"/>
      <w:lvlJc w:val="left"/>
      <w:pPr>
        <w:ind w:left="2223" w:hanging="100"/>
      </w:pPr>
      <w:rPr>
        <w:rFonts w:hint="default"/>
      </w:rPr>
    </w:lvl>
    <w:lvl w:ilvl="8" w:tplc="4964F2E6">
      <w:numFmt w:val="bullet"/>
      <w:lvlText w:val="•"/>
      <w:lvlJc w:val="left"/>
      <w:pPr>
        <w:ind w:left="2518" w:hanging="100"/>
      </w:pPr>
      <w:rPr>
        <w:rFonts w:hint="default"/>
      </w:rPr>
    </w:lvl>
  </w:abstractNum>
  <w:abstractNum w:abstractNumId="487" w15:restartNumberingAfterBreak="0">
    <w:nsid w:val="1E6374E4"/>
    <w:multiLevelType w:val="hybridMultilevel"/>
    <w:tmpl w:val="619E5AC2"/>
    <w:lvl w:ilvl="0" w:tplc="4B764DE0">
      <w:numFmt w:val="bullet"/>
      <w:lvlText w:val=""/>
      <w:lvlJc w:val="left"/>
      <w:pPr>
        <w:ind w:left="156" w:hanging="100"/>
      </w:pPr>
      <w:rPr>
        <w:rFonts w:ascii="Symbol" w:eastAsia="Symbol" w:hAnsi="Symbol" w:cs="Symbol" w:hint="default"/>
        <w:color w:val="231F20"/>
        <w:w w:val="100"/>
        <w:sz w:val="14"/>
        <w:szCs w:val="14"/>
      </w:rPr>
    </w:lvl>
    <w:lvl w:ilvl="1" w:tplc="EBDC0B74">
      <w:numFmt w:val="bullet"/>
      <w:lvlText w:val="•"/>
      <w:lvlJc w:val="left"/>
      <w:pPr>
        <w:ind w:left="398" w:hanging="100"/>
      </w:pPr>
      <w:rPr>
        <w:rFonts w:hint="default"/>
      </w:rPr>
    </w:lvl>
    <w:lvl w:ilvl="2" w:tplc="A5F2DE18">
      <w:numFmt w:val="bullet"/>
      <w:lvlText w:val="•"/>
      <w:lvlJc w:val="left"/>
      <w:pPr>
        <w:ind w:left="636" w:hanging="100"/>
      </w:pPr>
      <w:rPr>
        <w:rFonts w:hint="default"/>
      </w:rPr>
    </w:lvl>
    <w:lvl w:ilvl="3" w:tplc="D0F043E4">
      <w:numFmt w:val="bullet"/>
      <w:lvlText w:val="•"/>
      <w:lvlJc w:val="left"/>
      <w:pPr>
        <w:ind w:left="874" w:hanging="100"/>
      </w:pPr>
      <w:rPr>
        <w:rFonts w:hint="default"/>
      </w:rPr>
    </w:lvl>
    <w:lvl w:ilvl="4" w:tplc="E7D43B6C">
      <w:numFmt w:val="bullet"/>
      <w:lvlText w:val="•"/>
      <w:lvlJc w:val="left"/>
      <w:pPr>
        <w:ind w:left="1112" w:hanging="100"/>
      </w:pPr>
      <w:rPr>
        <w:rFonts w:hint="default"/>
      </w:rPr>
    </w:lvl>
    <w:lvl w:ilvl="5" w:tplc="20687FC0">
      <w:numFmt w:val="bullet"/>
      <w:lvlText w:val="•"/>
      <w:lvlJc w:val="left"/>
      <w:pPr>
        <w:ind w:left="1350" w:hanging="100"/>
      </w:pPr>
      <w:rPr>
        <w:rFonts w:hint="default"/>
      </w:rPr>
    </w:lvl>
    <w:lvl w:ilvl="6" w:tplc="7708F468">
      <w:numFmt w:val="bullet"/>
      <w:lvlText w:val="•"/>
      <w:lvlJc w:val="left"/>
      <w:pPr>
        <w:ind w:left="1588" w:hanging="100"/>
      </w:pPr>
      <w:rPr>
        <w:rFonts w:hint="default"/>
      </w:rPr>
    </w:lvl>
    <w:lvl w:ilvl="7" w:tplc="CF64E1D2">
      <w:numFmt w:val="bullet"/>
      <w:lvlText w:val="•"/>
      <w:lvlJc w:val="left"/>
      <w:pPr>
        <w:ind w:left="1826" w:hanging="100"/>
      </w:pPr>
      <w:rPr>
        <w:rFonts w:hint="default"/>
      </w:rPr>
    </w:lvl>
    <w:lvl w:ilvl="8" w:tplc="B9CC743E">
      <w:numFmt w:val="bullet"/>
      <w:lvlText w:val="•"/>
      <w:lvlJc w:val="left"/>
      <w:pPr>
        <w:ind w:left="2064" w:hanging="100"/>
      </w:pPr>
      <w:rPr>
        <w:rFonts w:hint="default"/>
      </w:rPr>
    </w:lvl>
  </w:abstractNum>
  <w:abstractNum w:abstractNumId="488" w15:restartNumberingAfterBreak="0">
    <w:nsid w:val="1E8916BC"/>
    <w:multiLevelType w:val="hybridMultilevel"/>
    <w:tmpl w:val="AEBCF30E"/>
    <w:lvl w:ilvl="0" w:tplc="E7460EDA">
      <w:numFmt w:val="bullet"/>
      <w:lvlText w:val=""/>
      <w:lvlJc w:val="left"/>
      <w:pPr>
        <w:ind w:left="157" w:hanging="100"/>
      </w:pPr>
      <w:rPr>
        <w:rFonts w:ascii="Symbol" w:eastAsia="Symbol" w:hAnsi="Symbol" w:cs="Symbol" w:hint="default"/>
        <w:color w:val="231F20"/>
        <w:w w:val="100"/>
        <w:sz w:val="14"/>
        <w:szCs w:val="14"/>
      </w:rPr>
    </w:lvl>
    <w:lvl w:ilvl="1" w:tplc="09067A92">
      <w:numFmt w:val="bullet"/>
      <w:lvlText w:val="•"/>
      <w:lvlJc w:val="left"/>
      <w:pPr>
        <w:ind w:left="426" w:hanging="100"/>
      </w:pPr>
      <w:rPr>
        <w:rFonts w:hint="default"/>
      </w:rPr>
    </w:lvl>
    <w:lvl w:ilvl="2" w:tplc="B6A80356">
      <w:numFmt w:val="bullet"/>
      <w:lvlText w:val="•"/>
      <w:lvlJc w:val="left"/>
      <w:pPr>
        <w:ind w:left="692" w:hanging="100"/>
      </w:pPr>
      <w:rPr>
        <w:rFonts w:hint="default"/>
      </w:rPr>
    </w:lvl>
    <w:lvl w:ilvl="3" w:tplc="4BD494C2">
      <w:numFmt w:val="bullet"/>
      <w:lvlText w:val="•"/>
      <w:lvlJc w:val="left"/>
      <w:pPr>
        <w:ind w:left="959" w:hanging="100"/>
      </w:pPr>
      <w:rPr>
        <w:rFonts w:hint="default"/>
      </w:rPr>
    </w:lvl>
    <w:lvl w:ilvl="4" w:tplc="6E2E54AA">
      <w:numFmt w:val="bullet"/>
      <w:lvlText w:val="•"/>
      <w:lvlJc w:val="left"/>
      <w:pPr>
        <w:ind w:left="1225" w:hanging="100"/>
      </w:pPr>
      <w:rPr>
        <w:rFonts w:hint="default"/>
      </w:rPr>
    </w:lvl>
    <w:lvl w:ilvl="5" w:tplc="4EDCCFAA">
      <w:numFmt w:val="bullet"/>
      <w:lvlText w:val="•"/>
      <w:lvlJc w:val="left"/>
      <w:pPr>
        <w:ind w:left="1492" w:hanging="100"/>
      </w:pPr>
      <w:rPr>
        <w:rFonts w:hint="default"/>
      </w:rPr>
    </w:lvl>
    <w:lvl w:ilvl="6" w:tplc="68D63726">
      <w:numFmt w:val="bullet"/>
      <w:lvlText w:val="•"/>
      <w:lvlJc w:val="left"/>
      <w:pPr>
        <w:ind w:left="1758" w:hanging="100"/>
      </w:pPr>
      <w:rPr>
        <w:rFonts w:hint="default"/>
      </w:rPr>
    </w:lvl>
    <w:lvl w:ilvl="7" w:tplc="F6D8606A">
      <w:numFmt w:val="bullet"/>
      <w:lvlText w:val="•"/>
      <w:lvlJc w:val="left"/>
      <w:pPr>
        <w:ind w:left="2024" w:hanging="100"/>
      </w:pPr>
      <w:rPr>
        <w:rFonts w:hint="default"/>
      </w:rPr>
    </w:lvl>
    <w:lvl w:ilvl="8" w:tplc="3434FA58">
      <w:numFmt w:val="bullet"/>
      <w:lvlText w:val="•"/>
      <w:lvlJc w:val="left"/>
      <w:pPr>
        <w:ind w:left="2291" w:hanging="100"/>
      </w:pPr>
      <w:rPr>
        <w:rFonts w:hint="default"/>
      </w:rPr>
    </w:lvl>
  </w:abstractNum>
  <w:abstractNum w:abstractNumId="489" w15:restartNumberingAfterBreak="0">
    <w:nsid w:val="1E973B86"/>
    <w:multiLevelType w:val="hybridMultilevel"/>
    <w:tmpl w:val="A3381DE4"/>
    <w:lvl w:ilvl="0" w:tplc="F7AAFFA8">
      <w:numFmt w:val="bullet"/>
      <w:lvlText w:val=""/>
      <w:lvlJc w:val="left"/>
      <w:pPr>
        <w:ind w:left="156" w:hanging="100"/>
      </w:pPr>
      <w:rPr>
        <w:rFonts w:ascii="Symbol" w:eastAsia="Symbol" w:hAnsi="Symbol" w:cs="Symbol" w:hint="default"/>
        <w:color w:val="231F20"/>
        <w:w w:val="100"/>
        <w:sz w:val="14"/>
        <w:szCs w:val="14"/>
      </w:rPr>
    </w:lvl>
    <w:lvl w:ilvl="1" w:tplc="59D0EA5C">
      <w:numFmt w:val="bullet"/>
      <w:lvlText w:val="•"/>
      <w:lvlJc w:val="left"/>
      <w:pPr>
        <w:ind w:left="426" w:hanging="100"/>
      </w:pPr>
      <w:rPr>
        <w:rFonts w:hint="default"/>
      </w:rPr>
    </w:lvl>
    <w:lvl w:ilvl="2" w:tplc="532C4AA0">
      <w:numFmt w:val="bullet"/>
      <w:lvlText w:val="•"/>
      <w:lvlJc w:val="left"/>
      <w:pPr>
        <w:ind w:left="692" w:hanging="100"/>
      </w:pPr>
      <w:rPr>
        <w:rFonts w:hint="default"/>
      </w:rPr>
    </w:lvl>
    <w:lvl w:ilvl="3" w:tplc="6D4097A2">
      <w:numFmt w:val="bullet"/>
      <w:lvlText w:val="•"/>
      <w:lvlJc w:val="left"/>
      <w:pPr>
        <w:ind w:left="959" w:hanging="100"/>
      </w:pPr>
      <w:rPr>
        <w:rFonts w:hint="default"/>
      </w:rPr>
    </w:lvl>
    <w:lvl w:ilvl="4" w:tplc="CF741F56">
      <w:numFmt w:val="bullet"/>
      <w:lvlText w:val="•"/>
      <w:lvlJc w:val="left"/>
      <w:pPr>
        <w:ind w:left="1225" w:hanging="100"/>
      </w:pPr>
      <w:rPr>
        <w:rFonts w:hint="default"/>
      </w:rPr>
    </w:lvl>
    <w:lvl w:ilvl="5" w:tplc="7130C394">
      <w:numFmt w:val="bullet"/>
      <w:lvlText w:val="•"/>
      <w:lvlJc w:val="left"/>
      <w:pPr>
        <w:ind w:left="1492" w:hanging="100"/>
      </w:pPr>
      <w:rPr>
        <w:rFonts w:hint="default"/>
      </w:rPr>
    </w:lvl>
    <w:lvl w:ilvl="6" w:tplc="87E86422">
      <w:numFmt w:val="bullet"/>
      <w:lvlText w:val="•"/>
      <w:lvlJc w:val="left"/>
      <w:pPr>
        <w:ind w:left="1758" w:hanging="100"/>
      </w:pPr>
      <w:rPr>
        <w:rFonts w:hint="default"/>
      </w:rPr>
    </w:lvl>
    <w:lvl w:ilvl="7" w:tplc="07744744">
      <w:numFmt w:val="bullet"/>
      <w:lvlText w:val="•"/>
      <w:lvlJc w:val="left"/>
      <w:pPr>
        <w:ind w:left="2024" w:hanging="100"/>
      </w:pPr>
      <w:rPr>
        <w:rFonts w:hint="default"/>
      </w:rPr>
    </w:lvl>
    <w:lvl w:ilvl="8" w:tplc="6C1CC99E">
      <w:numFmt w:val="bullet"/>
      <w:lvlText w:val="•"/>
      <w:lvlJc w:val="left"/>
      <w:pPr>
        <w:ind w:left="2291" w:hanging="100"/>
      </w:pPr>
      <w:rPr>
        <w:rFonts w:hint="default"/>
      </w:rPr>
    </w:lvl>
  </w:abstractNum>
  <w:abstractNum w:abstractNumId="490" w15:restartNumberingAfterBreak="0">
    <w:nsid w:val="1E985943"/>
    <w:multiLevelType w:val="hybridMultilevel"/>
    <w:tmpl w:val="5422F9D2"/>
    <w:lvl w:ilvl="0" w:tplc="7FC8A79A">
      <w:numFmt w:val="bullet"/>
      <w:lvlText w:val=""/>
      <w:lvlJc w:val="left"/>
      <w:pPr>
        <w:ind w:left="156" w:hanging="100"/>
      </w:pPr>
      <w:rPr>
        <w:rFonts w:ascii="Symbol" w:eastAsia="Symbol" w:hAnsi="Symbol" w:cs="Symbol" w:hint="default"/>
        <w:color w:val="231F20"/>
        <w:w w:val="100"/>
        <w:sz w:val="14"/>
        <w:szCs w:val="14"/>
      </w:rPr>
    </w:lvl>
    <w:lvl w:ilvl="1" w:tplc="4678EFD4">
      <w:numFmt w:val="bullet"/>
      <w:lvlText w:val="•"/>
      <w:lvlJc w:val="left"/>
      <w:pPr>
        <w:ind w:left="426" w:hanging="100"/>
      </w:pPr>
      <w:rPr>
        <w:rFonts w:hint="default"/>
      </w:rPr>
    </w:lvl>
    <w:lvl w:ilvl="2" w:tplc="49C8DDB6">
      <w:numFmt w:val="bullet"/>
      <w:lvlText w:val="•"/>
      <w:lvlJc w:val="left"/>
      <w:pPr>
        <w:ind w:left="692" w:hanging="100"/>
      </w:pPr>
      <w:rPr>
        <w:rFonts w:hint="default"/>
      </w:rPr>
    </w:lvl>
    <w:lvl w:ilvl="3" w:tplc="4C8E645E">
      <w:numFmt w:val="bullet"/>
      <w:lvlText w:val="•"/>
      <w:lvlJc w:val="left"/>
      <w:pPr>
        <w:ind w:left="959" w:hanging="100"/>
      </w:pPr>
      <w:rPr>
        <w:rFonts w:hint="default"/>
      </w:rPr>
    </w:lvl>
    <w:lvl w:ilvl="4" w:tplc="F7D2D13A">
      <w:numFmt w:val="bullet"/>
      <w:lvlText w:val="•"/>
      <w:lvlJc w:val="left"/>
      <w:pPr>
        <w:ind w:left="1225" w:hanging="100"/>
      </w:pPr>
      <w:rPr>
        <w:rFonts w:hint="default"/>
      </w:rPr>
    </w:lvl>
    <w:lvl w:ilvl="5" w:tplc="58286196">
      <w:numFmt w:val="bullet"/>
      <w:lvlText w:val="•"/>
      <w:lvlJc w:val="left"/>
      <w:pPr>
        <w:ind w:left="1492" w:hanging="100"/>
      </w:pPr>
      <w:rPr>
        <w:rFonts w:hint="default"/>
      </w:rPr>
    </w:lvl>
    <w:lvl w:ilvl="6" w:tplc="4A2AB872">
      <w:numFmt w:val="bullet"/>
      <w:lvlText w:val="•"/>
      <w:lvlJc w:val="left"/>
      <w:pPr>
        <w:ind w:left="1758" w:hanging="100"/>
      </w:pPr>
      <w:rPr>
        <w:rFonts w:hint="default"/>
      </w:rPr>
    </w:lvl>
    <w:lvl w:ilvl="7" w:tplc="670C8C6E">
      <w:numFmt w:val="bullet"/>
      <w:lvlText w:val="•"/>
      <w:lvlJc w:val="left"/>
      <w:pPr>
        <w:ind w:left="2024" w:hanging="100"/>
      </w:pPr>
      <w:rPr>
        <w:rFonts w:hint="default"/>
      </w:rPr>
    </w:lvl>
    <w:lvl w:ilvl="8" w:tplc="C0E493EC">
      <w:numFmt w:val="bullet"/>
      <w:lvlText w:val="•"/>
      <w:lvlJc w:val="left"/>
      <w:pPr>
        <w:ind w:left="2291" w:hanging="100"/>
      </w:pPr>
      <w:rPr>
        <w:rFonts w:hint="default"/>
      </w:rPr>
    </w:lvl>
  </w:abstractNum>
  <w:abstractNum w:abstractNumId="491" w15:restartNumberingAfterBreak="0">
    <w:nsid w:val="1ECC41CD"/>
    <w:multiLevelType w:val="hybridMultilevel"/>
    <w:tmpl w:val="3698BC40"/>
    <w:lvl w:ilvl="0" w:tplc="8A60FE1A">
      <w:numFmt w:val="bullet"/>
      <w:lvlText w:val=""/>
      <w:lvlJc w:val="left"/>
      <w:pPr>
        <w:ind w:left="156" w:hanging="100"/>
      </w:pPr>
      <w:rPr>
        <w:rFonts w:ascii="Symbol" w:eastAsia="Symbol" w:hAnsi="Symbol" w:cs="Symbol" w:hint="default"/>
        <w:color w:val="231F20"/>
        <w:w w:val="100"/>
        <w:sz w:val="14"/>
        <w:szCs w:val="14"/>
      </w:rPr>
    </w:lvl>
    <w:lvl w:ilvl="1" w:tplc="B81E0308">
      <w:numFmt w:val="bullet"/>
      <w:lvlText w:val="•"/>
      <w:lvlJc w:val="left"/>
      <w:pPr>
        <w:ind w:left="301" w:hanging="100"/>
      </w:pPr>
      <w:rPr>
        <w:rFonts w:hint="default"/>
      </w:rPr>
    </w:lvl>
    <w:lvl w:ilvl="2" w:tplc="C92E6348">
      <w:numFmt w:val="bullet"/>
      <w:lvlText w:val="•"/>
      <w:lvlJc w:val="left"/>
      <w:pPr>
        <w:ind w:left="443" w:hanging="100"/>
      </w:pPr>
      <w:rPr>
        <w:rFonts w:hint="default"/>
      </w:rPr>
    </w:lvl>
    <w:lvl w:ilvl="3" w:tplc="5AD4E484">
      <w:numFmt w:val="bullet"/>
      <w:lvlText w:val="•"/>
      <w:lvlJc w:val="left"/>
      <w:pPr>
        <w:ind w:left="585" w:hanging="100"/>
      </w:pPr>
      <w:rPr>
        <w:rFonts w:hint="default"/>
      </w:rPr>
    </w:lvl>
    <w:lvl w:ilvl="4" w:tplc="23167CC4">
      <w:numFmt w:val="bullet"/>
      <w:lvlText w:val="•"/>
      <w:lvlJc w:val="left"/>
      <w:pPr>
        <w:ind w:left="726" w:hanging="100"/>
      </w:pPr>
      <w:rPr>
        <w:rFonts w:hint="default"/>
      </w:rPr>
    </w:lvl>
    <w:lvl w:ilvl="5" w:tplc="065EA1FA">
      <w:numFmt w:val="bullet"/>
      <w:lvlText w:val="•"/>
      <w:lvlJc w:val="left"/>
      <w:pPr>
        <w:ind w:left="868" w:hanging="100"/>
      </w:pPr>
      <w:rPr>
        <w:rFonts w:hint="default"/>
      </w:rPr>
    </w:lvl>
    <w:lvl w:ilvl="6" w:tplc="A6189A1E">
      <w:numFmt w:val="bullet"/>
      <w:lvlText w:val="•"/>
      <w:lvlJc w:val="left"/>
      <w:pPr>
        <w:ind w:left="1010" w:hanging="100"/>
      </w:pPr>
      <w:rPr>
        <w:rFonts w:hint="default"/>
      </w:rPr>
    </w:lvl>
    <w:lvl w:ilvl="7" w:tplc="F6BE67BA">
      <w:numFmt w:val="bullet"/>
      <w:lvlText w:val="•"/>
      <w:lvlJc w:val="left"/>
      <w:pPr>
        <w:ind w:left="1151" w:hanging="100"/>
      </w:pPr>
      <w:rPr>
        <w:rFonts w:hint="default"/>
      </w:rPr>
    </w:lvl>
    <w:lvl w:ilvl="8" w:tplc="E780C716">
      <w:numFmt w:val="bullet"/>
      <w:lvlText w:val="•"/>
      <w:lvlJc w:val="left"/>
      <w:pPr>
        <w:ind w:left="1293" w:hanging="100"/>
      </w:pPr>
      <w:rPr>
        <w:rFonts w:hint="default"/>
      </w:rPr>
    </w:lvl>
  </w:abstractNum>
  <w:abstractNum w:abstractNumId="492" w15:restartNumberingAfterBreak="0">
    <w:nsid w:val="1F000999"/>
    <w:multiLevelType w:val="hybridMultilevel"/>
    <w:tmpl w:val="A9BE6218"/>
    <w:lvl w:ilvl="0" w:tplc="A9387AA2">
      <w:numFmt w:val="bullet"/>
      <w:lvlText w:val=""/>
      <w:lvlJc w:val="left"/>
      <w:pPr>
        <w:ind w:left="156" w:hanging="100"/>
      </w:pPr>
      <w:rPr>
        <w:rFonts w:ascii="Symbol" w:eastAsia="Symbol" w:hAnsi="Symbol" w:cs="Symbol" w:hint="default"/>
        <w:color w:val="231F20"/>
        <w:w w:val="100"/>
        <w:sz w:val="14"/>
        <w:szCs w:val="14"/>
      </w:rPr>
    </w:lvl>
    <w:lvl w:ilvl="1" w:tplc="3F204258">
      <w:numFmt w:val="bullet"/>
      <w:lvlText w:val="•"/>
      <w:lvlJc w:val="left"/>
      <w:pPr>
        <w:ind w:left="426" w:hanging="100"/>
      </w:pPr>
      <w:rPr>
        <w:rFonts w:hint="default"/>
      </w:rPr>
    </w:lvl>
    <w:lvl w:ilvl="2" w:tplc="7FFE9C9A">
      <w:numFmt w:val="bullet"/>
      <w:lvlText w:val="•"/>
      <w:lvlJc w:val="left"/>
      <w:pPr>
        <w:ind w:left="692" w:hanging="100"/>
      </w:pPr>
      <w:rPr>
        <w:rFonts w:hint="default"/>
      </w:rPr>
    </w:lvl>
    <w:lvl w:ilvl="3" w:tplc="6C76586A">
      <w:numFmt w:val="bullet"/>
      <w:lvlText w:val="•"/>
      <w:lvlJc w:val="left"/>
      <w:pPr>
        <w:ind w:left="959" w:hanging="100"/>
      </w:pPr>
      <w:rPr>
        <w:rFonts w:hint="default"/>
      </w:rPr>
    </w:lvl>
    <w:lvl w:ilvl="4" w:tplc="46A814E4">
      <w:numFmt w:val="bullet"/>
      <w:lvlText w:val="•"/>
      <w:lvlJc w:val="left"/>
      <w:pPr>
        <w:ind w:left="1225" w:hanging="100"/>
      </w:pPr>
      <w:rPr>
        <w:rFonts w:hint="default"/>
      </w:rPr>
    </w:lvl>
    <w:lvl w:ilvl="5" w:tplc="D70461BE">
      <w:numFmt w:val="bullet"/>
      <w:lvlText w:val="•"/>
      <w:lvlJc w:val="left"/>
      <w:pPr>
        <w:ind w:left="1492" w:hanging="100"/>
      </w:pPr>
      <w:rPr>
        <w:rFonts w:hint="default"/>
      </w:rPr>
    </w:lvl>
    <w:lvl w:ilvl="6" w:tplc="51D261A0">
      <w:numFmt w:val="bullet"/>
      <w:lvlText w:val="•"/>
      <w:lvlJc w:val="left"/>
      <w:pPr>
        <w:ind w:left="1758" w:hanging="100"/>
      </w:pPr>
      <w:rPr>
        <w:rFonts w:hint="default"/>
      </w:rPr>
    </w:lvl>
    <w:lvl w:ilvl="7" w:tplc="CD42D68E">
      <w:numFmt w:val="bullet"/>
      <w:lvlText w:val="•"/>
      <w:lvlJc w:val="left"/>
      <w:pPr>
        <w:ind w:left="2024" w:hanging="100"/>
      </w:pPr>
      <w:rPr>
        <w:rFonts w:hint="default"/>
      </w:rPr>
    </w:lvl>
    <w:lvl w:ilvl="8" w:tplc="A7E23C6E">
      <w:numFmt w:val="bullet"/>
      <w:lvlText w:val="•"/>
      <w:lvlJc w:val="left"/>
      <w:pPr>
        <w:ind w:left="2291" w:hanging="100"/>
      </w:pPr>
      <w:rPr>
        <w:rFonts w:hint="default"/>
      </w:rPr>
    </w:lvl>
  </w:abstractNum>
  <w:abstractNum w:abstractNumId="493" w15:restartNumberingAfterBreak="0">
    <w:nsid w:val="1F2052C9"/>
    <w:multiLevelType w:val="hybridMultilevel"/>
    <w:tmpl w:val="48043504"/>
    <w:lvl w:ilvl="0" w:tplc="66485D36">
      <w:numFmt w:val="bullet"/>
      <w:lvlText w:val=""/>
      <w:lvlJc w:val="left"/>
      <w:pPr>
        <w:ind w:left="156" w:hanging="100"/>
      </w:pPr>
      <w:rPr>
        <w:rFonts w:ascii="Symbol" w:eastAsia="Symbol" w:hAnsi="Symbol" w:cs="Symbol" w:hint="default"/>
        <w:color w:val="231F20"/>
        <w:w w:val="100"/>
        <w:sz w:val="14"/>
        <w:szCs w:val="14"/>
      </w:rPr>
    </w:lvl>
    <w:lvl w:ilvl="1" w:tplc="59160DA8">
      <w:numFmt w:val="bullet"/>
      <w:lvlText w:val="•"/>
      <w:lvlJc w:val="left"/>
      <w:pPr>
        <w:ind w:left="301" w:hanging="100"/>
      </w:pPr>
      <w:rPr>
        <w:rFonts w:hint="default"/>
      </w:rPr>
    </w:lvl>
    <w:lvl w:ilvl="2" w:tplc="29F607DA">
      <w:numFmt w:val="bullet"/>
      <w:lvlText w:val="•"/>
      <w:lvlJc w:val="left"/>
      <w:pPr>
        <w:ind w:left="443" w:hanging="100"/>
      </w:pPr>
      <w:rPr>
        <w:rFonts w:hint="default"/>
      </w:rPr>
    </w:lvl>
    <w:lvl w:ilvl="3" w:tplc="7646D6D8">
      <w:numFmt w:val="bullet"/>
      <w:lvlText w:val="•"/>
      <w:lvlJc w:val="left"/>
      <w:pPr>
        <w:ind w:left="585" w:hanging="100"/>
      </w:pPr>
      <w:rPr>
        <w:rFonts w:hint="default"/>
      </w:rPr>
    </w:lvl>
    <w:lvl w:ilvl="4" w:tplc="CBF89A0C">
      <w:numFmt w:val="bullet"/>
      <w:lvlText w:val="•"/>
      <w:lvlJc w:val="left"/>
      <w:pPr>
        <w:ind w:left="726" w:hanging="100"/>
      </w:pPr>
      <w:rPr>
        <w:rFonts w:hint="default"/>
      </w:rPr>
    </w:lvl>
    <w:lvl w:ilvl="5" w:tplc="3FDEB536">
      <w:numFmt w:val="bullet"/>
      <w:lvlText w:val="•"/>
      <w:lvlJc w:val="left"/>
      <w:pPr>
        <w:ind w:left="868" w:hanging="100"/>
      </w:pPr>
      <w:rPr>
        <w:rFonts w:hint="default"/>
      </w:rPr>
    </w:lvl>
    <w:lvl w:ilvl="6" w:tplc="7EFE4B40">
      <w:numFmt w:val="bullet"/>
      <w:lvlText w:val="•"/>
      <w:lvlJc w:val="left"/>
      <w:pPr>
        <w:ind w:left="1010" w:hanging="100"/>
      </w:pPr>
      <w:rPr>
        <w:rFonts w:hint="default"/>
      </w:rPr>
    </w:lvl>
    <w:lvl w:ilvl="7" w:tplc="495225F4">
      <w:numFmt w:val="bullet"/>
      <w:lvlText w:val="•"/>
      <w:lvlJc w:val="left"/>
      <w:pPr>
        <w:ind w:left="1151" w:hanging="100"/>
      </w:pPr>
      <w:rPr>
        <w:rFonts w:hint="default"/>
      </w:rPr>
    </w:lvl>
    <w:lvl w:ilvl="8" w:tplc="772897D6">
      <w:numFmt w:val="bullet"/>
      <w:lvlText w:val="•"/>
      <w:lvlJc w:val="left"/>
      <w:pPr>
        <w:ind w:left="1293" w:hanging="100"/>
      </w:pPr>
      <w:rPr>
        <w:rFonts w:hint="default"/>
      </w:rPr>
    </w:lvl>
  </w:abstractNum>
  <w:abstractNum w:abstractNumId="494" w15:restartNumberingAfterBreak="0">
    <w:nsid w:val="1F2A4925"/>
    <w:multiLevelType w:val="hybridMultilevel"/>
    <w:tmpl w:val="A4FC0070"/>
    <w:lvl w:ilvl="0" w:tplc="3D925EEE">
      <w:numFmt w:val="bullet"/>
      <w:lvlText w:val=""/>
      <w:lvlJc w:val="left"/>
      <w:pPr>
        <w:ind w:left="156" w:hanging="100"/>
      </w:pPr>
      <w:rPr>
        <w:rFonts w:ascii="Symbol" w:eastAsia="Symbol" w:hAnsi="Symbol" w:cs="Symbol" w:hint="default"/>
        <w:color w:val="231F20"/>
        <w:w w:val="100"/>
        <w:sz w:val="14"/>
        <w:szCs w:val="14"/>
      </w:rPr>
    </w:lvl>
    <w:lvl w:ilvl="1" w:tplc="3C0600BE">
      <w:numFmt w:val="bullet"/>
      <w:lvlText w:val="•"/>
      <w:lvlJc w:val="left"/>
      <w:pPr>
        <w:ind w:left="301" w:hanging="100"/>
      </w:pPr>
      <w:rPr>
        <w:rFonts w:hint="default"/>
      </w:rPr>
    </w:lvl>
    <w:lvl w:ilvl="2" w:tplc="E4F29F64">
      <w:numFmt w:val="bullet"/>
      <w:lvlText w:val="•"/>
      <w:lvlJc w:val="left"/>
      <w:pPr>
        <w:ind w:left="443" w:hanging="100"/>
      </w:pPr>
      <w:rPr>
        <w:rFonts w:hint="default"/>
      </w:rPr>
    </w:lvl>
    <w:lvl w:ilvl="3" w:tplc="30EC461A">
      <w:numFmt w:val="bullet"/>
      <w:lvlText w:val="•"/>
      <w:lvlJc w:val="left"/>
      <w:pPr>
        <w:ind w:left="585" w:hanging="100"/>
      </w:pPr>
      <w:rPr>
        <w:rFonts w:hint="default"/>
      </w:rPr>
    </w:lvl>
    <w:lvl w:ilvl="4" w:tplc="BCC68990">
      <w:numFmt w:val="bullet"/>
      <w:lvlText w:val="•"/>
      <w:lvlJc w:val="left"/>
      <w:pPr>
        <w:ind w:left="726" w:hanging="100"/>
      </w:pPr>
      <w:rPr>
        <w:rFonts w:hint="default"/>
      </w:rPr>
    </w:lvl>
    <w:lvl w:ilvl="5" w:tplc="D87A6FDE">
      <w:numFmt w:val="bullet"/>
      <w:lvlText w:val="•"/>
      <w:lvlJc w:val="left"/>
      <w:pPr>
        <w:ind w:left="868" w:hanging="100"/>
      </w:pPr>
      <w:rPr>
        <w:rFonts w:hint="default"/>
      </w:rPr>
    </w:lvl>
    <w:lvl w:ilvl="6" w:tplc="10B2E37E">
      <w:numFmt w:val="bullet"/>
      <w:lvlText w:val="•"/>
      <w:lvlJc w:val="left"/>
      <w:pPr>
        <w:ind w:left="1010" w:hanging="100"/>
      </w:pPr>
      <w:rPr>
        <w:rFonts w:hint="default"/>
      </w:rPr>
    </w:lvl>
    <w:lvl w:ilvl="7" w:tplc="FF16A608">
      <w:numFmt w:val="bullet"/>
      <w:lvlText w:val="•"/>
      <w:lvlJc w:val="left"/>
      <w:pPr>
        <w:ind w:left="1151" w:hanging="100"/>
      </w:pPr>
      <w:rPr>
        <w:rFonts w:hint="default"/>
      </w:rPr>
    </w:lvl>
    <w:lvl w:ilvl="8" w:tplc="031A4B74">
      <w:numFmt w:val="bullet"/>
      <w:lvlText w:val="•"/>
      <w:lvlJc w:val="left"/>
      <w:pPr>
        <w:ind w:left="1293" w:hanging="100"/>
      </w:pPr>
      <w:rPr>
        <w:rFonts w:hint="default"/>
      </w:rPr>
    </w:lvl>
  </w:abstractNum>
  <w:abstractNum w:abstractNumId="495" w15:restartNumberingAfterBreak="0">
    <w:nsid w:val="1F663332"/>
    <w:multiLevelType w:val="hybridMultilevel"/>
    <w:tmpl w:val="6D828544"/>
    <w:lvl w:ilvl="0" w:tplc="E188D25A">
      <w:numFmt w:val="bullet"/>
      <w:lvlText w:val=""/>
      <w:lvlJc w:val="left"/>
      <w:pPr>
        <w:ind w:left="157" w:hanging="100"/>
      </w:pPr>
      <w:rPr>
        <w:rFonts w:ascii="Symbol" w:eastAsia="Symbol" w:hAnsi="Symbol" w:cs="Symbol" w:hint="default"/>
        <w:color w:val="231F20"/>
        <w:w w:val="100"/>
        <w:sz w:val="14"/>
        <w:szCs w:val="14"/>
      </w:rPr>
    </w:lvl>
    <w:lvl w:ilvl="1" w:tplc="5BFE9002">
      <w:numFmt w:val="bullet"/>
      <w:lvlText w:val="•"/>
      <w:lvlJc w:val="left"/>
      <w:pPr>
        <w:ind w:left="426" w:hanging="100"/>
      </w:pPr>
      <w:rPr>
        <w:rFonts w:hint="default"/>
      </w:rPr>
    </w:lvl>
    <w:lvl w:ilvl="2" w:tplc="490A5FD8">
      <w:numFmt w:val="bullet"/>
      <w:lvlText w:val="•"/>
      <w:lvlJc w:val="left"/>
      <w:pPr>
        <w:ind w:left="692" w:hanging="100"/>
      </w:pPr>
      <w:rPr>
        <w:rFonts w:hint="default"/>
      </w:rPr>
    </w:lvl>
    <w:lvl w:ilvl="3" w:tplc="63BCBCDE">
      <w:numFmt w:val="bullet"/>
      <w:lvlText w:val="•"/>
      <w:lvlJc w:val="left"/>
      <w:pPr>
        <w:ind w:left="959" w:hanging="100"/>
      </w:pPr>
      <w:rPr>
        <w:rFonts w:hint="default"/>
      </w:rPr>
    </w:lvl>
    <w:lvl w:ilvl="4" w:tplc="4516E19A">
      <w:numFmt w:val="bullet"/>
      <w:lvlText w:val="•"/>
      <w:lvlJc w:val="left"/>
      <w:pPr>
        <w:ind w:left="1225" w:hanging="100"/>
      </w:pPr>
      <w:rPr>
        <w:rFonts w:hint="default"/>
      </w:rPr>
    </w:lvl>
    <w:lvl w:ilvl="5" w:tplc="7C263352">
      <w:numFmt w:val="bullet"/>
      <w:lvlText w:val="•"/>
      <w:lvlJc w:val="left"/>
      <w:pPr>
        <w:ind w:left="1492" w:hanging="100"/>
      </w:pPr>
      <w:rPr>
        <w:rFonts w:hint="default"/>
      </w:rPr>
    </w:lvl>
    <w:lvl w:ilvl="6" w:tplc="3FE0CB3A">
      <w:numFmt w:val="bullet"/>
      <w:lvlText w:val="•"/>
      <w:lvlJc w:val="left"/>
      <w:pPr>
        <w:ind w:left="1758" w:hanging="100"/>
      </w:pPr>
      <w:rPr>
        <w:rFonts w:hint="default"/>
      </w:rPr>
    </w:lvl>
    <w:lvl w:ilvl="7" w:tplc="F9E2DE26">
      <w:numFmt w:val="bullet"/>
      <w:lvlText w:val="•"/>
      <w:lvlJc w:val="left"/>
      <w:pPr>
        <w:ind w:left="2024" w:hanging="100"/>
      </w:pPr>
      <w:rPr>
        <w:rFonts w:hint="default"/>
      </w:rPr>
    </w:lvl>
    <w:lvl w:ilvl="8" w:tplc="DD76A6E6">
      <w:numFmt w:val="bullet"/>
      <w:lvlText w:val="•"/>
      <w:lvlJc w:val="left"/>
      <w:pPr>
        <w:ind w:left="2291" w:hanging="100"/>
      </w:pPr>
      <w:rPr>
        <w:rFonts w:hint="default"/>
      </w:rPr>
    </w:lvl>
  </w:abstractNum>
  <w:abstractNum w:abstractNumId="496" w15:restartNumberingAfterBreak="0">
    <w:nsid w:val="1F715BF3"/>
    <w:multiLevelType w:val="hybridMultilevel"/>
    <w:tmpl w:val="9CD059BC"/>
    <w:lvl w:ilvl="0" w:tplc="FE9AEF86">
      <w:numFmt w:val="bullet"/>
      <w:lvlText w:val=""/>
      <w:lvlJc w:val="left"/>
      <w:pPr>
        <w:ind w:left="156" w:hanging="100"/>
      </w:pPr>
      <w:rPr>
        <w:rFonts w:ascii="Symbol" w:eastAsia="Symbol" w:hAnsi="Symbol" w:cs="Symbol" w:hint="default"/>
        <w:color w:val="231F20"/>
        <w:w w:val="100"/>
        <w:sz w:val="14"/>
        <w:szCs w:val="14"/>
      </w:rPr>
    </w:lvl>
    <w:lvl w:ilvl="1" w:tplc="99F4C984">
      <w:numFmt w:val="bullet"/>
      <w:lvlText w:val="•"/>
      <w:lvlJc w:val="left"/>
      <w:pPr>
        <w:ind w:left="426" w:hanging="100"/>
      </w:pPr>
      <w:rPr>
        <w:rFonts w:hint="default"/>
      </w:rPr>
    </w:lvl>
    <w:lvl w:ilvl="2" w:tplc="837C9CB8">
      <w:numFmt w:val="bullet"/>
      <w:lvlText w:val="•"/>
      <w:lvlJc w:val="left"/>
      <w:pPr>
        <w:ind w:left="692" w:hanging="100"/>
      </w:pPr>
      <w:rPr>
        <w:rFonts w:hint="default"/>
      </w:rPr>
    </w:lvl>
    <w:lvl w:ilvl="3" w:tplc="D7626926">
      <w:numFmt w:val="bullet"/>
      <w:lvlText w:val="•"/>
      <w:lvlJc w:val="left"/>
      <w:pPr>
        <w:ind w:left="959" w:hanging="100"/>
      </w:pPr>
      <w:rPr>
        <w:rFonts w:hint="default"/>
      </w:rPr>
    </w:lvl>
    <w:lvl w:ilvl="4" w:tplc="6116DCDC">
      <w:numFmt w:val="bullet"/>
      <w:lvlText w:val="•"/>
      <w:lvlJc w:val="left"/>
      <w:pPr>
        <w:ind w:left="1225" w:hanging="100"/>
      </w:pPr>
      <w:rPr>
        <w:rFonts w:hint="default"/>
      </w:rPr>
    </w:lvl>
    <w:lvl w:ilvl="5" w:tplc="811A3BD0">
      <w:numFmt w:val="bullet"/>
      <w:lvlText w:val="•"/>
      <w:lvlJc w:val="left"/>
      <w:pPr>
        <w:ind w:left="1492" w:hanging="100"/>
      </w:pPr>
      <w:rPr>
        <w:rFonts w:hint="default"/>
      </w:rPr>
    </w:lvl>
    <w:lvl w:ilvl="6" w:tplc="2294CD3E">
      <w:numFmt w:val="bullet"/>
      <w:lvlText w:val="•"/>
      <w:lvlJc w:val="left"/>
      <w:pPr>
        <w:ind w:left="1758" w:hanging="100"/>
      </w:pPr>
      <w:rPr>
        <w:rFonts w:hint="default"/>
      </w:rPr>
    </w:lvl>
    <w:lvl w:ilvl="7" w:tplc="4C8E6584">
      <w:numFmt w:val="bullet"/>
      <w:lvlText w:val="•"/>
      <w:lvlJc w:val="left"/>
      <w:pPr>
        <w:ind w:left="2024" w:hanging="100"/>
      </w:pPr>
      <w:rPr>
        <w:rFonts w:hint="default"/>
      </w:rPr>
    </w:lvl>
    <w:lvl w:ilvl="8" w:tplc="02CE1938">
      <w:numFmt w:val="bullet"/>
      <w:lvlText w:val="•"/>
      <w:lvlJc w:val="left"/>
      <w:pPr>
        <w:ind w:left="2291" w:hanging="100"/>
      </w:pPr>
      <w:rPr>
        <w:rFonts w:hint="default"/>
      </w:rPr>
    </w:lvl>
  </w:abstractNum>
  <w:abstractNum w:abstractNumId="497" w15:restartNumberingAfterBreak="0">
    <w:nsid w:val="1F8E5295"/>
    <w:multiLevelType w:val="hybridMultilevel"/>
    <w:tmpl w:val="EC506766"/>
    <w:lvl w:ilvl="0" w:tplc="23668372">
      <w:numFmt w:val="bullet"/>
      <w:lvlText w:val=""/>
      <w:lvlJc w:val="left"/>
      <w:pPr>
        <w:ind w:left="156" w:hanging="100"/>
      </w:pPr>
      <w:rPr>
        <w:rFonts w:ascii="Symbol" w:eastAsia="Symbol" w:hAnsi="Symbol" w:cs="Symbol" w:hint="default"/>
        <w:color w:val="231F20"/>
        <w:w w:val="100"/>
        <w:sz w:val="14"/>
        <w:szCs w:val="14"/>
      </w:rPr>
    </w:lvl>
    <w:lvl w:ilvl="1" w:tplc="1C8CA2D2">
      <w:numFmt w:val="bullet"/>
      <w:lvlText w:val="•"/>
      <w:lvlJc w:val="left"/>
      <w:pPr>
        <w:ind w:left="454" w:hanging="100"/>
      </w:pPr>
      <w:rPr>
        <w:rFonts w:hint="default"/>
      </w:rPr>
    </w:lvl>
    <w:lvl w:ilvl="2" w:tplc="EFCE395C">
      <w:numFmt w:val="bullet"/>
      <w:lvlText w:val="•"/>
      <w:lvlJc w:val="left"/>
      <w:pPr>
        <w:ind w:left="749" w:hanging="100"/>
      </w:pPr>
      <w:rPr>
        <w:rFonts w:hint="default"/>
      </w:rPr>
    </w:lvl>
    <w:lvl w:ilvl="3" w:tplc="DD4435E8">
      <w:numFmt w:val="bullet"/>
      <w:lvlText w:val="•"/>
      <w:lvlJc w:val="left"/>
      <w:pPr>
        <w:ind w:left="1044" w:hanging="100"/>
      </w:pPr>
      <w:rPr>
        <w:rFonts w:hint="default"/>
      </w:rPr>
    </w:lvl>
    <w:lvl w:ilvl="4" w:tplc="8A7080B6">
      <w:numFmt w:val="bullet"/>
      <w:lvlText w:val="•"/>
      <w:lvlJc w:val="left"/>
      <w:pPr>
        <w:ind w:left="1339" w:hanging="100"/>
      </w:pPr>
      <w:rPr>
        <w:rFonts w:hint="default"/>
      </w:rPr>
    </w:lvl>
    <w:lvl w:ilvl="5" w:tplc="514064E4">
      <w:numFmt w:val="bullet"/>
      <w:lvlText w:val="•"/>
      <w:lvlJc w:val="left"/>
      <w:pPr>
        <w:ind w:left="1634" w:hanging="100"/>
      </w:pPr>
      <w:rPr>
        <w:rFonts w:hint="default"/>
      </w:rPr>
    </w:lvl>
    <w:lvl w:ilvl="6" w:tplc="E88AB4F6">
      <w:numFmt w:val="bullet"/>
      <w:lvlText w:val="•"/>
      <w:lvlJc w:val="left"/>
      <w:pPr>
        <w:ind w:left="1928" w:hanging="100"/>
      </w:pPr>
      <w:rPr>
        <w:rFonts w:hint="default"/>
      </w:rPr>
    </w:lvl>
    <w:lvl w:ilvl="7" w:tplc="CCC65834">
      <w:numFmt w:val="bullet"/>
      <w:lvlText w:val="•"/>
      <w:lvlJc w:val="left"/>
      <w:pPr>
        <w:ind w:left="2223" w:hanging="100"/>
      </w:pPr>
      <w:rPr>
        <w:rFonts w:hint="default"/>
      </w:rPr>
    </w:lvl>
    <w:lvl w:ilvl="8" w:tplc="1ADCEFA6">
      <w:numFmt w:val="bullet"/>
      <w:lvlText w:val="•"/>
      <w:lvlJc w:val="left"/>
      <w:pPr>
        <w:ind w:left="2518" w:hanging="100"/>
      </w:pPr>
      <w:rPr>
        <w:rFonts w:hint="default"/>
      </w:rPr>
    </w:lvl>
  </w:abstractNum>
  <w:abstractNum w:abstractNumId="498" w15:restartNumberingAfterBreak="0">
    <w:nsid w:val="1FAD6B0A"/>
    <w:multiLevelType w:val="hybridMultilevel"/>
    <w:tmpl w:val="5A9EDC82"/>
    <w:lvl w:ilvl="0" w:tplc="114CD4B8">
      <w:numFmt w:val="bullet"/>
      <w:lvlText w:val=""/>
      <w:lvlJc w:val="left"/>
      <w:pPr>
        <w:ind w:left="156" w:hanging="100"/>
      </w:pPr>
      <w:rPr>
        <w:rFonts w:ascii="Symbol" w:eastAsia="Symbol" w:hAnsi="Symbol" w:cs="Symbol" w:hint="default"/>
        <w:color w:val="231F20"/>
        <w:w w:val="100"/>
        <w:sz w:val="14"/>
        <w:szCs w:val="14"/>
      </w:rPr>
    </w:lvl>
    <w:lvl w:ilvl="1" w:tplc="198693FC">
      <w:numFmt w:val="bullet"/>
      <w:lvlText w:val="•"/>
      <w:lvlJc w:val="left"/>
      <w:pPr>
        <w:ind w:left="398" w:hanging="100"/>
      </w:pPr>
      <w:rPr>
        <w:rFonts w:hint="default"/>
      </w:rPr>
    </w:lvl>
    <w:lvl w:ilvl="2" w:tplc="C8C6F6F2">
      <w:numFmt w:val="bullet"/>
      <w:lvlText w:val="•"/>
      <w:lvlJc w:val="left"/>
      <w:pPr>
        <w:ind w:left="636" w:hanging="100"/>
      </w:pPr>
      <w:rPr>
        <w:rFonts w:hint="default"/>
      </w:rPr>
    </w:lvl>
    <w:lvl w:ilvl="3" w:tplc="22989754">
      <w:numFmt w:val="bullet"/>
      <w:lvlText w:val="•"/>
      <w:lvlJc w:val="left"/>
      <w:pPr>
        <w:ind w:left="874" w:hanging="100"/>
      </w:pPr>
      <w:rPr>
        <w:rFonts w:hint="default"/>
      </w:rPr>
    </w:lvl>
    <w:lvl w:ilvl="4" w:tplc="16A4F0C4">
      <w:numFmt w:val="bullet"/>
      <w:lvlText w:val="•"/>
      <w:lvlJc w:val="left"/>
      <w:pPr>
        <w:ind w:left="1112" w:hanging="100"/>
      </w:pPr>
      <w:rPr>
        <w:rFonts w:hint="default"/>
      </w:rPr>
    </w:lvl>
    <w:lvl w:ilvl="5" w:tplc="47447924">
      <w:numFmt w:val="bullet"/>
      <w:lvlText w:val="•"/>
      <w:lvlJc w:val="left"/>
      <w:pPr>
        <w:ind w:left="1350" w:hanging="100"/>
      </w:pPr>
      <w:rPr>
        <w:rFonts w:hint="default"/>
      </w:rPr>
    </w:lvl>
    <w:lvl w:ilvl="6" w:tplc="D9226924">
      <w:numFmt w:val="bullet"/>
      <w:lvlText w:val="•"/>
      <w:lvlJc w:val="left"/>
      <w:pPr>
        <w:ind w:left="1588" w:hanging="100"/>
      </w:pPr>
      <w:rPr>
        <w:rFonts w:hint="default"/>
      </w:rPr>
    </w:lvl>
    <w:lvl w:ilvl="7" w:tplc="25E62DBE">
      <w:numFmt w:val="bullet"/>
      <w:lvlText w:val="•"/>
      <w:lvlJc w:val="left"/>
      <w:pPr>
        <w:ind w:left="1826" w:hanging="100"/>
      </w:pPr>
      <w:rPr>
        <w:rFonts w:hint="default"/>
      </w:rPr>
    </w:lvl>
    <w:lvl w:ilvl="8" w:tplc="59C8BD98">
      <w:numFmt w:val="bullet"/>
      <w:lvlText w:val="•"/>
      <w:lvlJc w:val="left"/>
      <w:pPr>
        <w:ind w:left="2064" w:hanging="100"/>
      </w:pPr>
      <w:rPr>
        <w:rFonts w:hint="default"/>
      </w:rPr>
    </w:lvl>
  </w:abstractNum>
  <w:abstractNum w:abstractNumId="499" w15:restartNumberingAfterBreak="0">
    <w:nsid w:val="1FB34B4D"/>
    <w:multiLevelType w:val="hybridMultilevel"/>
    <w:tmpl w:val="1138F640"/>
    <w:lvl w:ilvl="0" w:tplc="B29464C6">
      <w:numFmt w:val="bullet"/>
      <w:lvlText w:val=""/>
      <w:lvlJc w:val="left"/>
      <w:pPr>
        <w:ind w:left="157" w:hanging="100"/>
      </w:pPr>
      <w:rPr>
        <w:rFonts w:ascii="Symbol" w:eastAsia="Symbol" w:hAnsi="Symbol" w:cs="Symbol" w:hint="default"/>
        <w:color w:val="231F20"/>
        <w:w w:val="100"/>
        <w:sz w:val="14"/>
        <w:szCs w:val="14"/>
      </w:rPr>
    </w:lvl>
    <w:lvl w:ilvl="1" w:tplc="8514EEE6">
      <w:numFmt w:val="bullet"/>
      <w:lvlText w:val="•"/>
      <w:lvlJc w:val="left"/>
      <w:pPr>
        <w:ind w:left="426" w:hanging="100"/>
      </w:pPr>
      <w:rPr>
        <w:rFonts w:hint="default"/>
      </w:rPr>
    </w:lvl>
    <w:lvl w:ilvl="2" w:tplc="AB1CD3DC">
      <w:numFmt w:val="bullet"/>
      <w:lvlText w:val="•"/>
      <w:lvlJc w:val="left"/>
      <w:pPr>
        <w:ind w:left="692" w:hanging="100"/>
      </w:pPr>
      <w:rPr>
        <w:rFonts w:hint="default"/>
      </w:rPr>
    </w:lvl>
    <w:lvl w:ilvl="3" w:tplc="44E22188">
      <w:numFmt w:val="bullet"/>
      <w:lvlText w:val="•"/>
      <w:lvlJc w:val="left"/>
      <w:pPr>
        <w:ind w:left="959" w:hanging="100"/>
      </w:pPr>
      <w:rPr>
        <w:rFonts w:hint="default"/>
      </w:rPr>
    </w:lvl>
    <w:lvl w:ilvl="4" w:tplc="B54A8856">
      <w:numFmt w:val="bullet"/>
      <w:lvlText w:val="•"/>
      <w:lvlJc w:val="left"/>
      <w:pPr>
        <w:ind w:left="1225" w:hanging="100"/>
      </w:pPr>
      <w:rPr>
        <w:rFonts w:hint="default"/>
      </w:rPr>
    </w:lvl>
    <w:lvl w:ilvl="5" w:tplc="CAEA2752">
      <w:numFmt w:val="bullet"/>
      <w:lvlText w:val="•"/>
      <w:lvlJc w:val="left"/>
      <w:pPr>
        <w:ind w:left="1492" w:hanging="100"/>
      </w:pPr>
      <w:rPr>
        <w:rFonts w:hint="default"/>
      </w:rPr>
    </w:lvl>
    <w:lvl w:ilvl="6" w:tplc="BA4A3076">
      <w:numFmt w:val="bullet"/>
      <w:lvlText w:val="•"/>
      <w:lvlJc w:val="left"/>
      <w:pPr>
        <w:ind w:left="1758" w:hanging="100"/>
      </w:pPr>
      <w:rPr>
        <w:rFonts w:hint="default"/>
      </w:rPr>
    </w:lvl>
    <w:lvl w:ilvl="7" w:tplc="8C10C232">
      <w:numFmt w:val="bullet"/>
      <w:lvlText w:val="•"/>
      <w:lvlJc w:val="left"/>
      <w:pPr>
        <w:ind w:left="2024" w:hanging="100"/>
      </w:pPr>
      <w:rPr>
        <w:rFonts w:hint="default"/>
      </w:rPr>
    </w:lvl>
    <w:lvl w:ilvl="8" w:tplc="6F4E909A">
      <w:numFmt w:val="bullet"/>
      <w:lvlText w:val="•"/>
      <w:lvlJc w:val="left"/>
      <w:pPr>
        <w:ind w:left="2291" w:hanging="100"/>
      </w:pPr>
      <w:rPr>
        <w:rFonts w:hint="default"/>
      </w:rPr>
    </w:lvl>
  </w:abstractNum>
  <w:abstractNum w:abstractNumId="500" w15:restartNumberingAfterBreak="0">
    <w:nsid w:val="1FBD5AB3"/>
    <w:multiLevelType w:val="hybridMultilevel"/>
    <w:tmpl w:val="86EC922C"/>
    <w:lvl w:ilvl="0" w:tplc="2DA0C4F6">
      <w:numFmt w:val="bullet"/>
      <w:lvlText w:val=""/>
      <w:lvlJc w:val="left"/>
      <w:pPr>
        <w:ind w:left="156" w:hanging="100"/>
      </w:pPr>
      <w:rPr>
        <w:rFonts w:ascii="Symbol" w:eastAsia="Symbol" w:hAnsi="Symbol" w:cs="Symbol" w:hint="default"/>
        <w:color w:val="231F20"/>
        <w:w w:val="100"/>
        <w:sz w:val="14"/>
        <w:szCs w:val="14"/>
      </w:rPr>
    </w:lvl>
    <w:lvl w:ilvl="1" w:tplc="B85659F4">
      <w:numFmt w:val="bullet"/>
      <w:lvlText w:val="•"/>
      <w:lvlJc w:val="left"/>
      <w:pPr>
        <w:ind w:left="301" w:hanging="100"/>
      </w:pPr>
      <w:rPr>
        <w:rFonts w:hint="default"/>
      </w:rPr>
    </w:lvl>
    <w:lvl w:ilvl="2" w:tplc="4FEEAF4C">
      <w:numFmt w:val="bullet"/>
      <w:lvlText w:val="•"/>
      <w:lvlJc w:val="left"/>
      <w:pPr>
        <w:ind w:left="443" w:hanging="100"/>
      </w:pPr>
      <w:rPr>
        <w:rFonts w:hint="default"/>
      </w:rPr>
    </w:lvl>
    <w:lvl w:ilvl="3" w:tplc="76C04652">
      <w:numFmt w:val="bullet"/>
      <w:lvlText w:val="•"/>
      <w:lvlJc w:val="left"/>
      <w:pPr>
        <w:ind w:left="585" w:hanging="100"/>
      </w:pPr>
      <w:rPr>
        <w:rFonts w:hint="default"/>
      </w:rPr>
    </w:lvl>
    <w:lvl w:ilvl="4" w:tplc="0426A06C">
      <w:numFmt w:val="bullet"/>
      <w:lvlText w:val="•"/>
      <w:lvlJc w:val="left"/>
      <w:pPr>
        <w:ind w:left="726" w:hanging="100"/>
      </w:pPr>
      <w:rPr>
        <w:rFonts w:hint="default"/>
      </w:rPr>
    </w:lvl>
    <w:lvl w:ilvl="5" w:tplc="C57497D4">
      <w:numFmt w:val="bullet"/>
      <w:lvlText w:val="•"/>
      <w:lvlJc w:val="left"/>
      <w:pPr>
        <w:ind w:left="868" w:hanging="100"/>
      </w:pPr>
      <w:rPr>
        <w:rFonts w:hint="default"/>
      </w:rPr>
    </w:lvl>
    <w:lvl w:ilvl="6" w:tplc="170EC238">
      <w:numFmt w:val="bullet"/>
      <w:lvlText w:val="•"/>
      <w:lvlJc w:val="left"/>
      <w:pPr>
        <w:ind w:left="1010" w:hanging="100"/>
      </w:pPr>
      <w:rPr>
        <w:rFonts w:hint="default"/>
      </w:rPr>
    </w:lvl>
    <w:lvl w:ilvl="7" w:tplc="7BF24F36">
      <w:numFmt w:val="bullet"/>
      <w:lvlText w:val="•"/>
      <w:lvlJc w:val="left"/>
      <w:pPr>
        <w:ind w:left="1151" w:hanging="100"/>
      </w:pPr>
      <w:rPr>
        <w:rFonts w:hint="default"/>
      </w:rPr>
    </w:lvl>
    <w:lvl w:ilvl="8" w:tplc="61F6A964">
      <w:numFmt w:val="bullet"/>
      <w:lvlText w:val="•"/>
      <w:lvlJc w:val="left"/>
      <w:pPr>
        <w:ind w:left="1293" w:hanging="100"/>
      </w:pPr>
      <w:rPr>
        <w:rFonts w:hint="default"/>
      </w:rPr>
    </w:lvl>
  </w:abstractNum>
  <w:abstractNum w:abstractNumId="501" w15:restartNumberingAfterBreak="0">
    <w:nsid w:val="1FC87103"/>
    <w:multiLevelType w:val="hybridMultilevel"/>
    <w:tmpl w:val="A6F0CFC2"/>
    <w:lvl w:ilvl="0" w:tplc="BD96B316">
      <w:numFmt w:val="bullet"/>
      <w:lvlText w:val=""/>
      <w:lvlJc w:val="left"/>
      <w:pPr>
        <w:ind w:left="156" w:hanging="100"/>
      </w:pPr>
      <w:rPr>
        <w:rFonts w:ascii="Symbol" w:eastAsia="Symbol" w:hAnsi="Symbol" w:cs="Symbol" w:hint="default"/>
        <w:color w:val="231F20"/>
        <w:w w:val="100"/>
        <w:sz w:val="14"/>
        <w:szCs w:val="14"/>
      </w:rPr>
    </w:lvl>
    <w:lvl w:ilvl="1" w:tplc="C5B66B06">
      <w:numFmt w:val="bullet"/>
      <w:lvlText w:val="•"/>
      <w:lvlJc w:val="left"/>
      <w:pPr>
        <w:ind w:left="398" w:hanging="100"/>
      </w:pPr>
      <w:rPr>
        <w:rFonts w:hint="default"/>
      </w:rPr>
    </w:lvl>
    <w:lvl w:ilvl="2" w:tplc="6524A8AC">
      <w:numFmt w:val="bullet"/>
      <w:lvlText w:val="•"/>
      <w:lvlJc w:val="left"/>
      <w:pPr>
        <w:ind w:left="636" w:hanging="100"/>
      </w:pPr>
      <w:rPr>
        <w:rFonts w:hint="default"/>
      </w:rPr>
    </w:lvl>
    <w:lvl w:ilvl="3" w:tplc="4B36C39A">
      <w:numFmt w:val="bullet"/>
      <w:lvlText w:val="•"/>
      <w:lvlJc w:val="left"/>
      <w:pPr>
        <w:ind w:left="874" w:hanging="100"/>
      </w:pPr>
      <w:rPr>
        <w:rFonts w:hint="default"/>
      </w:rPr>
    </w:lvl>
    <w:lvl w:ilvl="4" w:tplc="A7B8BE10">
      <w:numFmt w:val="bullet"/>
      <w:lvlText w:val="•"/>
      <w:lvlJc w:val="left"/>
      <w:pPr>
        <w:ind w:left="1112" w:hanging="100"/>
      </w:pPr>
      <w:rPr>
        <w:rFonts w:hint="default"/>
      </w:rPr>
    </w:lvl>
    <w:lvl w:ilvl="5" w:tplc="0A7E0608">
      <w:numFmt w:val="bullet"/>
      <w:lvlText w:val="•"/>
      <w:lvlJc w:val="left"/>
      <w:pPr>
        <w:ind w:left="1350" w:hanging="100"/>
      </w:pPr>
      <w:rPr>
        <w:rFonts w:hint="default"/>
      </w:rPr>
    </w:lvl>
    <w:lvl w:ilvl="6" w:tplc="C522581C">
      <w:numFmt w:val="bullet"/>
      <w:lvlText w:val="•"/>
      <w:lvlJc w:val="left"/>
      <w:pPr>
        <w:ind w:left="1588" w:hanging="100"/>
      </w:pPr>
      <w:rPr>
        <w:rFonts w:hint="default"/>
      </w:rPr>
    </w:lvl>
    <w:lvl w:ilvl="7" w:tplc="BFF478A8">
      <w:numFmt w:val="bullet"/>
      <w:lvlText w:val="•"/>
      <w:lvlJc w:val="left"/>
      <w:pPr>
        <w:ind w:left="1826" w:hanging="100"/>
      </w:pPr>
      <w:rPr>
        <w:rFonts w:hint="default"/>
      </w:rPr>
    </w:lvl>
    <w:lvl w:ilvl="8" w:tplc="2716F788">
      <w:numFmt w:val="bullet"/>
      <w:lvlText w:val="•"/>
      <w:lvlJc w:val="left"/>
      <w:pPr>
        <w:ind w:left="2064" w:hanging="100"/>
      </w:pPr>
      <w:rPr>
        <w:rFonts w:hint="default"/>
      </w:rPr>
    </w:lvl>
  </w:abstractNum>
  <w:abstractNum w:abstractNumId="502" w15:restartNumberingAfterBreak="0">
    <w:nsid w:val="1FDD16FC"/>
    <w:multiLevelType w:val="hybridMultilevel"/>
    <w:tmpl w:val="F1A4DEAE"/>
    <w:lvl w:ilvl="0" w:tplc="7960F318">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9FD88D50">
      <w:numFmt w:val="bullet"/>
      <w:lvlText w:val="•"/>
      <w:lvlJc w:val="left"/>
      <w:pPr>
        <w:ind w:left="408" w:hanging="84"/>
      </w:pPr>
      <w:rPr>
        <w:rFonts w:hint="default"/>
      </w:rPr>
    </w:lvl>
    <w:lvl w:ilvl="2" w:tplc="9BB2787A">
      <w:numFmt w:val="bullet"/>
      <w:lvlText w:val="•"/>
      <w:lvlJc w:val="left"/>
      <w:pPr>
        <w:ind w:left="676" w:hanging="84"/>
      </w:pPr>
      <w:rPr>
        <w:rFonts w:hint="default"/>
      </w:rPr>
    </w:lvl>
    <w:lvl w:ilvl="3" w:tplc="71D693F6">
      <w:numFmt w:val="bullet"/>
      <w:lvlText w:val="•"/>
      <w:lvlJc w:val="left"/>
      <w:pPr>
        <w:ind w:left="945" w:hanging="84"/>
      </w:pPr>
      <w:rPr>
        <w:rFonts w:hint="default"/>
      </w:rPr>
    </w:lvl>
    <w:lvl w:ilvl="4" w:tplc="D646D000">
      <w:numFmt w:val="bullet"/>
      <w:lvlText w:val="•"/>
      <w:lvlJc w:val="left"/>
      <w:pPr>
        <w:ind w:left="1213" w:hanging="84"/>
      </w:pPr>
      <w:rPr>
        <w:rFonts w:hint="default"/>
      </w:rPr>
    </w:lvl>
    <w:lvl w:ilvl="5" w:tplc="0E58C8FC">
      <w:numFmt w:val="bullet"/>
      <w:lvlText w:val="•"/>
      <w:lvlJc w:val="left"/>
      <w:pPr>
        <w:ind w:left="1482" w:hanging="84"/>
      </w:pPr>
      <w:rPr>
        <w:rFonts w:hint="default"/>
      </w:rPr>
    </w:lvl>
    <w:lvl w:ilvl="6" w:tplc="E326D8EA">
      <w:numFmt w:val="bullet"/>
      <w:lvlText w:val="•"/>
      <w:lvlJc w:val="left"/>
      <w:pPr>
        <w:ind w:left="1750" w:hanging="84"/>
      </w:pPr>
      <w:rPr>
        <w:rFonts w:hint="default"/>
      </w:rPr>
    </w:lvl>
    <w:lvl w:ilvl="7" w:tplc="154C5BC0">
      <w:numFmt w:val="bullet"/>
      <w:lvlText w:val="•"/>
      <w:lvlJc w:val="left"/>
      <w:pPr>
        <w:ind w:left="2018" w:hanging="84"/>
      </w:pPr>
      <w:rPr>
        <w:rFonts w:hint="default"/>
      </w:rPr>
    </w:lvl>
    <w:lvl w:ilvl="8" w:tplc="661A8F42">
      <w:numFmt w:val="bullet"/>
      <w:lvlText w:val="•"/>
      <w:lvlJc w:val="left"/>
      <w:pPr>
        <w:ind w:left="2287" w:hanging="84"/>
      </w:pPr>
      <w:rPr>
        <w:rFonts w:hint="default"/>
      </w:rPr>
    </w:lvl>
  </w:abstractNum>
  <w:abstractNum w:abstractNumId="503" w15:restartNumberingAfterBreak="0">
    <w:nsid w:val="1FDF58EA"/>
    <w:multiLevelType w:val="hybridMultilevel"/>
    <w:tmpl w:val="7E7CFE86"/>
    <w:lvl w:ilvl="0" w:tplc="ECE827FE">
      <w:numFmt w:val="bullet"/>
      <w:lvlText w:val=""/>
      <w:lvlJc w:val="left"/>
      <w:pPr>
        <w:ind w:left="156" w:hanging="100"/>
      </w:pPr>
      <w:rPr>
        <w:rFonts w:ascii="Symbol" w:eastAsia="Symbol" w:hAnsi="Symbol" w:cs="Symbol" w:hint="default"/>
        <w:color w:val="231F20"/>
        <w:w w:val="100"/>
        <w:sz w:val="14"/>
        <w:szCs w:val="14"/>
      </w:rPr>
    </w:lvl>
    <w:lvl w:ilvl="1" w:tplc="C756EB02">
      <w:numFmt w:val="bullet"/>
      <w:lvlText w:val="•"/>
      <w:lvlJc w:val="left"/>
      <w:pPr>
        <w:ind w:left="426" w:hanging="100"/>
      </w:pPr>
      <w:rPr>
        <w:rFonts w:hint="default"/>
      </w:rPr>
    </w:lvl>
    <w:lvl w:ilvl="2" w:tplc="519AEFFA">
      <w:numFmt w:val="bullet"/>
      <w:lvlText w:val="•"/>
      <w:lvlJc w:val="left"/>
      <w:pPr>
        <w:ind w:left="692" w:hanging="100"/>
      </w:pPr>
      <w:rPr>
        <w:rFonts w:hint="default"/>
      </w:rPr>
    </w:lvl>
    <w:lvl w:ilvl="3" w:tplc="E1260C4E">
      <w:numFmt w:val="bullet"/>
      <w:lvlText w:val="•"/>
      <w:lvlJc w:val="left"/>
      <w:pPr>
        <w:ind w:left="959" w:hanging="100"/>
      </w:pPr>
      <w:rPr>
        <w:rFonts w:hint="default"/>
      </w:rPr>
    </w:lvl>
    <w:lvl w:ilvl="4" w:tplc="4DF4FD92">
      <w:numFmt w:val="bullet"/>
      <w:lvlText w:val="•"/>
      <w:lvlJc w:val="left"/>
      <w:pPr>
        <w:ind w:left="1225" w:hanging="100"/>
      </w:pPr>
      <w:rPr>
        <w:rFonts w:hint="default"/>
      </w:rPr>
    </w:lvl>
    <w:lvl w:ilvl="5" w:tplc="7B40EAEE">
      <w:numFmt w:val="bullet"/>
      <w:lvlText w:val="•"/>
      <w:lvlJc w:val="left"/>
      <w:pPr>
        <w:ind w:left="1492" w:hanging="100"/>
      </w:pPr>
      <w:rPr>
        <w:rFonts w:hint="default"/>
      </w:rPr>
    </w:lvl>
    <w:lvl w:ilvl="6" w:tplc="3A204600">
      <w:numFmt w:val="bullet"/>
      <w:lvlText w:val="•"/>
      <w:lvlJc w:val="left"/>
      <w:pPr>
        <w:ind w:left="1758" w:hanging="100"/>
      </w:pPr>
      <w:rPr>
        <w:rFonts w:hint="default"/>
      </w:rPr>
    </w:lvl>
    <w:lvl w:ilvl="7" w:tplc="E93EADFC">
      <w:numFmt w:val="bullet"/>
      <w:lvlText w:val="•"/>
      <w:lvlJc w:val="left"/>
      <w:pPr>
        <w:ind w:left="2024" w:hanging="100"/>
      </w:pPr>
      <w:rPr>
        <w:rFonts w:hint="default"/>
      </w:rPr>
    </w:lvl>
    <w:lvl w:ilvl="8" w:tplc="4E4C1A9E">
      <w:numFmt w:val="bullet"/>
      <w:lvlText w:val="•"/>
      <w:lvlJc w:val="left"/>
      <w:pPr>
        <w:ind w:left="2291" w:hanging="100"/>
      </w:pPr>
      <w:rPr>
        <w:rFonts w:hint="default"/>
      </w:rPr>
    </w:lvl>
  </w:abstractNum>
  <w:abstractNum w:abstractNumId="504" w15:restartNumberingAfterBreak="0">
    <w:nsid w:val="1FF36AC2"/>
    <w:multiLevelType w:val="hybridMultilevel"/>
    <w:tmpl w:val="C4C8B184"/>
    <w:lvl w:ilvl="0" w:tplc="B6ECEF64">
      <w:numFmt w:val="bullet"/>
      <w:lvlText w:val=""/>
      <w:lvlJc w:val="left"/>
      <w:pPr>
        <w:ind w:left="156" w:hanging="100"/>
      </w:pPr>
      <w:rPr>
        <w:rFonts w:ascii="Symbol" w:eastAsia="Symbol" w:hAnsi="Symbol" w:cs="Symbol" w:hint="default"/>
        <w:color w:val="231F20"/>
        <w:w w:val="100"/>
        <w:sz w:val="14"/>
        <w:szCs w:val="14"/>
      </w:rPr>
    </w:lvl>
    <w:lvl w:ilvl="1" w:tplc="9802205A">
      <w:numFmt w:val="bullet"/>
      <w:lvlText w:val="•"/>
      <w:lvlJc w:val="left"/>
      <w:pPr>
        <w:ind w:left="301" w:hanging="100"/>
      </w:pPr>
      <w:rPr>
        <w:rFonts w:hint="default"/>
      </w:rPr>
    </w:lvl>
    <w:lvl w:ilvl="2" w:tplc="75B65E82">
      <w:numFmt w:val="bullet"/>
      <w:lvlText w:val="•"/>
      <w:lvlJc w:val="left"/>
      <w:pPr>
        <w:ind w:left="443" w:hanging="100"/>
      </w:pPr>
      <w:rPr>
        <w:rFonts w:hint="default"/>
      </w:rPr>
    </w:lvl>
    <w:lvl w:ilvl="3" w:tplc="3D1011FC">
      <w:numFmt w:val="bullet"/>
      <w:lvlText w:val="•"/>
      <w:lvlJc w:val="left"/>
      <w:pPr>
        <w:ind w:left="585" w:hanging="100"/>
      </w:pPr>
      <w:rPr>
        <w:rFonts w:hint="default"/>
      </w:rPr>
    </w:lvl>
    <w:lvl w:ilvl="4" w:tplc="2DCA0EAA">
      <w:numFmt w:val="bullet"/>
      <w:lvlText w:val="•"/>
      <w:lvlJc w:val="left"/>
      <w:pPr>
        <w:ind w:left="726" w:hanging="100"/>
      </w:pPr>
      <w:rPr>
        <w:rFonts w:hint="default"/>
      </w:rPr>
    </w:lvl>
    <w:lvl w:ilvl="5" w:tplc="F55E9E56">
      <w:numFmt w:val="bullet"/>
      <w:lvlText w:val="•"/>
      <w:lvlJc w:val="left"/>
      <w:pPr>
        <w:ind w:left="868" w:hanging="100"/>
      </w:pPr>
      <w:rPr>
        <w:rFonts w:hint="default"/>
      </w:rPr>
    </w:lvl>
    <w:lvl w:ilvl="6" w:tplc="B02630E2">
      <w:numFmt w:val="bullet"/>
      <w:lvlText w:val="•"/>
      <w:lvlJc w:val="left"/>
      <w:pPr>
        <w:ind w:left="1010" w:hanging="100"/>
      </w:pPr>
      <w:rPr>
        <w:rFonts w:hint="default"/>
      </w:rPr>
    </w:lvl>
    <w:lvl w:ilvl="7" w:tplc="AFD04C96">
      <w:numFmt w:val="bullet"/>
      <w:lvlText w:val="•"/>
      <w:lvlJc w:val="left"/>
      <w:pPr>
        <w:ind w:left="1151" w:hanging="100"/>
      </w:pPr>
      <w:rPr>
        <w:rFonts w:hint="default"/>
      </w:rPr>
    </w:lvl>
    <w:lvl w:ilvl="8" w:tplc="A336CCAC">
      <w:numFmt w:val="bullet"/>
      <w:lvlText w:val="•"/>
      <w:lvlJc w:val="left"/>
      <w:pPr>
        <w:ind w:left="1293" w:hanging="100"/>
      </w:pPr>
      <w:rPr>
        <w:rFonts w:hint="default"/>
      </w:rPr>
    </w:lvl>
  </w:abstractNum>
  <w:abstractNum w:abstractNumId="505" w15:restartNumberingAfterBreak="0">
    <w:nsid w:val="20017833"/>
    <w:multiLevelType w:val="hybridMultilevel"/>
    <w:tmpl w:val="129C523E"/>
    <w:lvl w:ilvl="0" w:tplc="A7142F70">
      <w:numFmt w:val="bullet"/>
      <w:lvlText w:val=""/>
      <w:lvlJc w:val="left"/>
      <w:pPr>
        <w:ind w:left="156" w:hanging="100"/>
      </w:pPr>
      <w:rPr>
        <w:rFonts w:ascii="Symbol" w:eastAsia="Symbol" w:hAnsi="Symbol" w:cs="Symbol" w:hint="default"/>
        <w:color w:val="231F20"/>
        <w:w w:val="100"/>
        <w:sz w:val="14"/>
        <w:szCs w:val="14"/>
      </w:rPr>
    </w:lvl>
    <w:lvl w:ilvl="1" w:tplc="3A7C3546">
      <w:numFmt w:val="bullet"/>
      <w:lvlText w:val="•"/>
      <w:lvlJc w:val="left"/>
      <w:pPr>
        <w:ind w:left="273" w:hanging="100"/>
      </w:pPr>
      <w:rPr>
        <w:rFonts w:hint="default"/>
      </w:rPr>
    </w:lvl>
    <w:lvl w:ilvl="2" w:tplc="31947E88">
      <w:numFmt w:val="bullet"/>
      <w:lvlText w:val="•"/>
      <w:lvlJc w:val="left"/>
      <w:pPr>
        <w:ind w:left="386" w:hanging="100"/>
      </w:pPr>
      <w:rPr>
        <w:rFonts w:hint="default"/>
      </w:rPr>
    </w:lvl>
    <w:lvl w:ilvl="3" w:tplc="88B89278">
      <w:numFmt w:val="bullet"/>
      <w:lvlText w:val="•"/>
      <w:lvlJc w:val="left"/>
      <w:pPr>
        <w:ind w:left="500" w:hanging="100"/>
      </w:pPr>
      <w:rPr>
        <w:rFonts w:hint="default"/>
      </w:rPr>
    </w:lvl>
    <w:lvl w:ilvl="4" w:tplc="A07C4ABC">
      <w:numFmt w:val="bullet"/>
      <w:lvlText w:val="•"/>
      <w:lvlJc w:val="left"/>
      <w:pPr>
        <w:ind w:left="613" w:hanging="100"/>
      </w:pPr>
      <w:rPr>
        <w:rFonts w:hint="default"/>
      </w:rPr>
    </w:lvl>
    <w:lvl w:ilvl="5" w:tplc="6C70A6E8">
      <w:numFmt w:val="bullet"/>
      <w:lvlText w:val="•"/>
      <w:lvlJc w:val="left"/>
      <w:pPr>
        <w:ind w:left="727" w:hanging="100"/>
      </w:pPr>
      <w:rPr>
        <w:rFonts w:hint="default"/>
      </w:rPr>
    </w:lvl>
    <w:lvl w:ilvl="6" w:tplc="AE627D0E">
      <w:numFmt w:val="bullet"/>
      <w:lvlText w:val="•"/>
      <w:lvlJc w:val="left"/>
      <w:pPr>
        <w:ind w:left="840" w:hanging="100"/>
      </w:pPr>
      <w:rPr>
        <w:rFonts w:hint="default"/>
      </w:rPr>
    </w:lvl>
    <w:lvl w:ilvl="7" w:tplc="27A89F98">
      <w:numFmt w:val="bullet"/>
      <w:lvlText w:val="•"/>
      <w:lvlJc w:val="left"/>
      <w:pPr>
        <w:ind w:left="953" w:hanging="100"/>
      </w:pPr>
      <w:rPr>
        <w:rFonts w:hint="default"/>
      </w:rPr>
    </w:lvl>
    <w:lvl w:ilvl="8" w:tplc="143CA7E4">
      <w:numFmt w:val="bullet"/>
      <w:lvlText w:val="•"/>
      <w:lvlJc w:val="left"/>
      <w:pPr>
        <w:ind w:left="1067" w:hanging="100"/>
      </w:pPr>
      <w:rPr>
        <w:rFonts w:hint="default"/>
      </w:rPr>
    </w:lvl>
  </w:abstractNum>
  <w:abstractNum w:abstractNumId="506" w15:restartNumberingAfterBreak="0">
    <w:nsid w:val="20034DF9"/>
    <w:multiLevelType w:val="hybridMultilevel"/>
    <w:tmpl w:val="323C6FEE"/>
    <w:lvl w:ilvl="0" w:tplc="6D4679FA">
      <w:numFmt w:val="bullet"/>
      <w:lvlText w:val=""/>
      <w:lvlJc w:val="left"/>
      <w:pPr>
        <w:ind w:left="157" w:hanging="100"/>
      </w:pPr>
      <w:rPr>
        <w:rFonts w:ascii="Symbol" w:eastAsia="Symbol" w:hAnsi="Symbol" w:cs="Symbol" w:hint="default"/>
        <w:color w:val="231F20"/>
        <w:w w:val="100"/>
        <w:sz w:val="14"/>
        <w:szCs w:val="14"/>
      </w:rPr>
    </w:lvl>
    <w:lvl w:ilvl="1" w:tplc="D4CACA90">
      <w:numFmt w:val="bullet"/>
      <w:lvlText w:val="•"/>
      <w:lvlJc w:val="left"/>
      <w:pPr>
        <w:ind w:left="426" w:hanging="100"/>
      </w:pPr>
      <w:rPr>
        <w:rFonts w:hint="default"/>
      </w:rPr>
    </w:lvl>
    <w:lvl w:ilvl="2" w:tplc="B03C8086">
      <w:numFmt w:val="bullet"/>
      <w:lvlText w:val="•"/>
      <w:lvlJc w:val="left"/>
      <w:pPr>
        <w:ind w:left="692" w:hanging="100"/>
      </w:pPr>
      <w:rPr>
        <w:rFonts w:hint="default"/>
      </w:rPr>
    </w:lvl>
    <w:lvl w:ilvl="3" w:tplc="2F4AB28E">
      <w:numFmt w:val="bullet"/>
      <w:lvlText w:val="•"/>
      <w:lvlJc w:val="left"/>
      <w:pPr>
        <w:ind w:left="959" w:hanging="100"/>
      </w:pPr>
      <w:rPr>
        <w:rFonts w:hint="default"/>
      </w:rPr>
    </w:lvl>
    <w:lvl w:ilvl="4" w:tplc="7A348008">
      <w:numFmt w:val="bullet"/>
      <w:lvlText w:val="•"/>
      <w:lvlJc w:val="left"/>
      <w:pPr>
        <w:ind w:left="1225" w:hanging="100"/>
      </w:pPr>
      <w:rPr>
        <w:rFonts w:hint="default"/>
      </w:rPr>
    </w:lvl>
    <w:lvl w:ilvl="5" w:tplc="19E264AE">
      <w:numFmt w:val="bullet"/>
      <w:lvlText w:val="•"/>
      <w:lvlJc w:val="left"/>
      <w:pPr>
        <w:ind w:left="1492" w:hanging="100"/>
      </w:pPr>
      <w:rPr>
        <w:rFonts w:hint="default"/>
      </w:rPr>
    </w:lvl>
    <w:lvl w:ilvl="6" w:tplc="F938A294">
      <w:numFmt w:val="bullet"/>
      <w:lvlText w:val="•"/>
      <w:lvlJc w:val="left"/>
      <w:pPr>
        <w:ind w:left="1758" w:hanging="100"/>
      </w:pPr>
      <w:rPr>
        <w:rFonts w:hint="default"/>
      </w:rPr>
    </w:lvl>
    <w:lvl w:ilvl="7" w:tplc="99781406">
      <w:numFmt w:val="bullet"/>
      <w:lvlText w:val="•"/>
      <w:lvlJc w:val="left"/>
      <w:pPr>
        <w:ind w:left="2024" w:hanging="100"/>
      </w:pPr>
      <w:rPr>
        <w:rFonts w:hint="default"/>
      </w:rPr>
    </w:lvl>
    <w:lvl w:ilvl="8" w:tplc="8CA2BFA0">
      <w:numFmt w:val="bullet"/>
      <w:lvlText w:val="•"/>
      <w:lvlJc w:val="left"/>
      <w:pPr>
        <w:ind w:left="2291" w:hanging="100"/>
      </w:pPr>
      <w:rPr>
        <w:rFonts w:hint="default"/>
      </w:rPr>
    </w:lvl>
  </w:abstractNum>
  <w:abstractNum w:abstractNumId="507" w15:restartNumberingAfterBreak="0">
    <w:nsid w:val="201A3F2A"/>
    <w:multiLevelType w:val="hybridMultilevel"/>
    <w:tmpl w:val="BB5A042A"/>
    <w:lvl w:ilvl="0" w:tplc="205A8D60">
      <w:numFmt w:val="bullet"/>
      <w:lvlText w:val=""/>
      <w:lvlJc w:val="left"/>
      <w:pPr>
        <w:ind w:left="157" w:hanging="100"/>
      </w:pPr>
      <w:rPr>
        <w:rFonts w:ascii="Symbol" w:eastAsia="Symbol" w:hAnsi="Symbol" w:cs="Symbol" w:hint="default"/>
        <w:color w:val="231F20"/>
        <w:w w:val="100"/>
        <w:sz w:val="14"/>
        <w:szCs w:val="14"/>
      </w:rPr>
    </w:lvl>
    <w:lvl w:ilvl="1" w:tplc="3CD4F9D4">
      <w:numFmt w:val="bullet"/>
      <w:lvlText w:val="•"/>
      <w:lvlJc w:val="left"/>
      <w:pPr>
        <w:ind w:left="369" w:hanging="100"/>
      </w:pPr>
      <w:rPr>
        <w:rFonts w:hint="default"/>
      </w:rPr>
    </w:lvl>
    <w:lvl w:ilvl="2" w:tplc="EF645710">
      <w:numFmt w:val="bullet"/>
      <w:lvlText w:val="•"/>
      <w:lvlJc w:val="left"/>
      <w:pPr>
        <w:ind w:left="579" w:hanging="100"/>
      </w:pPr>
      <w:rPr>
        <w:rFonts w:hint="default"/>
      </w:rPr>
    </w:lvl>
    <w:lvl w:ilvl="3" w:tplc="80B28B4A">
      <w:numFmt w:val="bullet"/>
      <w:lvlText w:val="•"/>
      <w:lvlJc w:val="left"/>
      <w:pPr>
        <w:ind w:left="789" w:hanging="100"/>
      </w:pPr>
      <w:rPr>
        <w:rFonts w:hint="default"/>
      </w:rPr>
    </w:lvl>
    <w:lvl w:ilvl="4" w:tplc="377E65DA">
      <w:numFmt w:val="bullet"/>
      <w:lvlText w:val="•"/>
      <w:lvlJc w:val="left"/>
      <w:pPr>
        <w:ind w:left="998" w:hanging="100"/>
      </w:pPr>
      <w:rPr>
        <w:rFonts w:hint="default"/>
      </w:rPr>
    </w:lvl>
    <w:lvl w:ilvl="5" w:tplc="E4BC9CF8">
      <w:numFmt w:val="bullet"/>
      <w:lvlText w:val="•"/>
      <w:lvlJc w:val="left"/>
      <w:pPr>
        <w:ind w:left="1208" w:hanging="100"/>
      </w:pPr>
      <w:rPr>
        <w:rFonts w:hint="default"/>
      </w:rPr>
    </w:lvl>
    <w:lvl w:ilvl="6" w:tplc="60CC078C">
      <w:numFmt w:val="bullet"/>
      <w:lvlText w:val="•"/>
      <w:lvlJc w:val="left"/>
      <w:pPr>
        <w:ind w:left="1418" w:hanging="100"/>
      </w:pPr>
      <w:rPr>
        <w:rFonts w:hint="default"/>
      </w:rPr>
    </w:lvl>
    <w:lvl w:ilvl="7" w:tplc="EEF6113A">
      <w:numFmt w:val="bullet"/>
      <w:lvlText w:val="•"/>
      <w:lvlJc w:val="left"/>
      <w:pPr>
        <w:ind w:left="1627" w:hanging="100"/>
      </w:pPr>
      <w:rPr>
        <w:rFonts w:hint="default"/>
      </w:rPr>
    </w:lvl>
    <w:lvl w:ilvl="8" w:tplc="61C40200">
      <w:numFmt w:val="bullet"/>
      <w:lvlText w:val="•"/>
      <w:lvlJc w:val="left"/>
      <w:pPr>
        <w:ind w:left="1837" w:hanging="100"/>
      </w:pPr>
      <w:rPr>
        <w:rFonts w:hint="default"/>
      </w:rPr>
    </w:lvl>
  </w:abstractNum>
  <w:abstractNum w:abstractNumId="508" w15:restartNumberingAfterBreak="0">
    <w:nsid w:val="20494FD7"/>
    <w:multiLevelType w:val="hybridMultilevel"/>
    <w:tmpl w:val="7C60EFCC"/>
    <w:lvl w:ilvl="0" w:tplc="1818A910">
      <w:numFmt w:val="bullet"/>
      <w:lvlText w:val=""/>
      <w:lvlJc w:val="left"/>
      <w:pPr>
        <w:ind w:left="156" w:hanging="100"/>
      </w:pPr>
      <w:rPr>
        <w:rFonts w:ascii="Symbol" w:eastAsia="Symbol" w:hAnsi="Symbol" w:cs="Symbol" w:hint="default"/>
        <w:color w:val="231F20"/>
        <w:w w:val="100"/>
        <w:sz w:val="14"/>
        <w:szCs w:val="14"/>
      </w:rPr>
    </w:lvl>
    <w:lvl w:ilvl="1" w:tplc="487C3D34">
      <w:numFmt w:val="bullet"/>
      <w:lvlText w:val="•"/>
      <w:lvlJc w:val="left"/>
      <w:pPr>
        <w:ind w:left="398" w:hanging="100"/>
      </w:pPr>
      <w:rPr>
        <w:rFonts w:hint="default"/>
      </w:rPr>
    </w:lvl>
    <w:lvl w:ilvl="2" w:tplc="61E855B8">
      <w:numFmt w:val="bullet"/>
      <w:lvlText w:val="•"/>
      <w:lvlJc w:val="left"/>
      <w:pPr>
        <w:ind w:left="636" w:hanging="100"/>
      </w:pPr>
      <w:rPr>
        <w:rFonts w:hint="default"/>
      </w:rPr>
    </w:lvl>
    <w:lvl w:ilvl="3" w:tplc="C55280AC">
      <w:numFmt w:val="bullet"/>
      <w:lvlText w:val="•"/>
      <w:lvlJc w:val="left"/>
      <w:pPr>
        <w:ind w:left="874" w:hanging="100"/>
      </w:pPr>
      <w:rPr>
        <w:rFonts w:hint="default"/>
      </w:rPr>
    </w:lvl>
    <w:lvl w:ilvl="4" w:tplc="E30CC778">
      <w:numFmt w:val="bullet"/>
      <w:lvlText w:val="•"/>
      <w:lvlJc w:val="left"/>
      <w:pPr>
        <w:ind w:left="1112" w:hanging="100"/>
      </w:pPr>
      <w:rPr>
        <w:rFonts w:hint="default"/>
      </w:rPr>
    </w:lvl>
    <w:lvl w:ilvl="5" w:tplc="E0C20C3A">
      <w:numFmt w:val="bullet"/>
      <w:lvlText w:val="•"/>
      <w:lvlJc w:val="left"/>
      <w:pPr>
        <w:ind w:left="1350" w:hanging="100"/>
      </w:pPr>
      <w:rPr>
        <w:rFonts w:hint="default"/>
      </w:rPr>
    </w:lvl>
    <w:lvl w:ilvl="6" w:tplc="5BF677A8">
      <w:numFmt w:val="bullet"/>
      <w:lvlText w:val="•"/>
      <w:lvlJc w:val="left"/>
      <w:pPr>
        <w:ind w:left="1588" w:hanging="100"/>
      </w:pPr>
      <w:rPr>
        <w:rFonts w:hint="default"/>
      </w:rPr>
    </w:lvl>
    <w:lvl w:ilvl="7" w:tplc="F38A7CD4">
      <w:numFmt w:val="bullet"/>
      <w:lvlText w:val="•"/>
      <w:lvlJc w:val="left"/>
      <w:pPr>
        <w:ind w:left="1826" w:hanging="100"/>
      </w:pPr>
      <w:rPr>
        <w:rFonts w:hint="default"/>
      </w:rPr>
    </w:lvl>
    <w:lvl w:ilvl="8" w:tplc="4FBA19F0">
      <w:numFmt w:val="bullet"/>
      <w:lvlText w:val="•"/>
      <w:lvlJc w:val="left"/>
      <w:pPr>
        <w:ind w:left="2064" w:hanging="100"/>
      </w:pPr>
      <w:rPr>
        <w:rFonts w:hint="default"/>
      </w:rPr>
    </w:lvl>
  </w:abstractNum>
  <w:abstractNum w:abstractNumId="509" w15:restartNumberingAfterBreak="0">
    <w:nsid w:val="2061724C"/>
    <w:multiLevelType w:val="hybridMultilevel"/>
    <w:tmpl w:val="28BC23D4"/>
    <w:lvl w:ilvl="0" w:tplc="BE5C55C0">
      <w:numFmt w:val="bullet"/>
      <w:lvlText w:val=""/>
      <w:lvlJc w:val="left"/>
      <w:pPr>
        <w:ind w:left="156" w:hanging="100"/>
      </w:pPr>
      <w:rPr>
        <w:rFonts w:ascii="Symbol" w:eastAsia="Symbol" w:hAnsi="Symbol" w:cs="Symbol" w:hint="default"/>
        <w:color w:val="231F20"/>
        <w:w w:val="100"/>
        <w:sz w:val="14"/>
        <w:szCs w:val="14"/>
      </w:rPr>
    </w:lvl>
    <w:lvl w:ilvl="1" w:tplc="407641D4">
      <w:numFmt w:val="bullet"/>
      <w:lvlText w:val="•"/>
      <w:lvlJc w:val="left"/>
      <w:pPr>
        <w:ind w:left="398" w:hanging="100"/>
      </w:pPr>
      <w:rPr>
        <w:rFonts w:hint="default"/>
      </w:rPr>
    </w:lvl>
    <w:lvl w:ilvl="2" w:tplc="B6AC6EE0">
      <w:numFmt w:val="bullet"/>
      <w:lvlText w:val="•"/>
      <w:lvlJc w:val="left"/>
      <w:pPr>
        <w:ind w:left="636" w:hanging="100"/>
      </w:pPr>
      <w:rPr>
        <w:rFonts w:hint="default"/>
      </w:rPr>
    </w:lvl>
    <w:lvl w:ilvl="3" w:tplc="0832E2BA">
      <w:numFmt w:val="bullet"/>
      <w:lvlText w:val="•"/>
      <w:lvlJc w:val="left"/>
      <w:pPr>
        <w:ind w:left="874" w:hanging="100"/>
      </w:pPr>
      <w:rPr>
        <w:rFonts w:hint="default"/>
      </w:rPr>
    </w:lvl>
    <w:lvl w:ilvl="4" w:tplc="7B20E3A4">
      <w:numFmt w:val="bullet"/>
      <w:lvlText w:val="•"/>
      <w:lvlJc w:val="left"/>
      <w:pPr>
        <w:ind w:left="1112" w:hanging="100"/>
      </w:pPr>
      <w:rPr>
        <w:rFonts w:hint="default"/>
      </w:rPr>
    </w:lvl>
    <w:lvl w:ilvl="5" w:tplc="880C9FD8">
      <w:numFmt w:val="bullet"/>
      <w:lvlText w:val="•"/>
      <w:lvlJc w:val="left"/>
      <w:pPr>
        <w:ind w:left="1350" w:hanging="100"/>
      </w:pPr>
      <w:rPr>
        <w:rFonts w:hint="default"/>
      </w:rPr>
    </w:lvl>
    <w:lvl w:ilvl="6" w:tplc="A9ACD7B6">
      <w:numFmt w:val="bullet"/>
      <w:lvlText w:val="•"/>
      <w:lvlJc w:val="left"/>
      <w:pPr>
        <w:ind w:left="1588" w:hanging="100"/>
      </w:pPr>
      <w:rPr>
        <w:rFonts w:hint="default"/>
      </w:rPr>
    </w:lvl>
    <w:lvl w:ilvl="7" w:tplc="11A2FB42">
      <w:numFmt w:val="bullet"/>
      <w:lvlText w:val="•"/>
      <w:lvlJc w:val="left"/>
      <w:pPr>
        <w:ind w:left="1826" w:hanging="100"/>
      </w:pPr>
      <w:rPr>
        <w:rFonts w:hint="default"/>
      </w:rPr>
    </w:lvl>
    <w:lvl w:ilvl="8" w:tplc="98B86B6C">
      <w:numFmt w:val="bullet"/>
      <w:lvlText w:val="•"/>
      <w:lvlJc w:val="left"/>
      <w:pPr>
        <w:ind w:left="2064" w:hanging="100"/>
      </w:pPr>
      <w:rPr>
        <w:rFonts w:hint="default"/>
      </w:rPr>
    </w:lvl>
  </w:abstractNum>
  <w:abstractNum w:abstractNumId="510" w15:restartNumberingAfterBreak="0">
    <w:nsid w:val="20970297"/>
    <w:multiLevelType w:val="hybridMultilevel"/>
    <w:tmpl w:val="1A7C5C50"/>
    <w:lvl w:ilvl="0" w:tplc="041ABAA2">
      <w:numFmt w:val="bullet"/>
      <w:lvlText w:val=""/>
      <w:lvlJc w:val="left"/>
      <w:pPr>
        <w:ind w:left="156" w:hanging="100"/>
      </w:pPr>
      <w:rPr>
        <w:rFonts w:ascii="Symbol" w:eastAsia="Symbol" w:hAnsi="Symbol" w:cs="Symbol" w:hint="default"/>
        <w:color w:val="231F20"/>
        <w:w w:val="100"/>
        <w:sz w:val="14"/>
        <w:szCs w:val="14"/>
      </w:rPr>
    </w:lvl>
    <w:lvl w:ilvl="1" w:tplc="72A83BDA">
      <w:numFmt w:val="bullet"/>
      <w:lvlText w:val="•"/>
      <w:lvlJc w:val="left"/>
      <w:pPr>
        <w:ind w:left="426" w:hanging="100"/>
      </w:pPr>
      <w:rPr>
        <w:rFonts w:hint="default"/>
      </w:rPr>
    </w:lvl>
    <w:lvl w:ilvl="2" w:tplc="93349BEE">
      <w:numFmt w:val="bullet"/>
      <w:lvlText w:val="•"/>
      <w:lvlJc w:val="left"/>
      <w:pPr>
        <w:ind w:left="692" w:hanging="100"/>
      </w:pPr>
      <w:rPr>
        <w:rFonts w:hint="default"/>
      </w:rPr>
    </w:lvl>
    <w:lvl w:ilvl="3" w:tplc="A436172E">
      <w:numFmt w:val="bullet"/>
      <w:lvlText w:val="•"/>
      <w:lvlJc w:val="left"/>
      <w:pPr>
        <w:ind w:left="959" w:hanging="100"/>
      </w:pPr>
      <w:rPr>
        <w:rFonts w:hint="default"/>
      </w:rPr>
    </w:lvl>
    <w:lvl w:ilvl="4" w:tplc="B5087CD6">
      <w:numFmt w:val="bullet"/>
      <w:lvlText w:val="•"/>
      <w:lvlJc w:val="left"/>
      <w:pPr>
        <w:ind w:left="1225" w:hanging="100"/>
      </w:pPr>
      <w:rPr>
        <w:rFonts w:hint="default"/>
      </w:rPr>
    </w:lvl>
    <w:lvl w:ilvl="5" w:tplc="A034956C">
      <w:numFmt w:val="bullet"/>
      <w:lvlText w:val="•"/>
      <w:lvlJc w:val="left"/>
      <w:pPr>
        <w:ind w:left="1492" w:hanging="100"/>
      </w:pPr>
      <w:rPr>
        <w:rFonts w:hint="default"/>
      </w:rPr>
    </w:lvl>
    <w:lvl w:ilvl="6" w:tplc="C8BA0952">
      <w:numFmt w:val="bullet"/>
      <w:lvlText w:val="•"/>
      <w:lvlJc w:val="left"/>
      <w:pPr>
        <w:ind w:left="1758" w:hanging="100"/>
      </w:pPr>
      <w:rPr>
        <w:rFonts w:hint="default"/>
      </w:rPr>
    </w:lvl>
    <w:lvl w:ilvl="7" w:tplc="0A28F2C8">
      <w:numFmt w:val="bullet"/>
      <w:lvlText w:val="•"/>
      <w:lvlJc w:val="left"/>
      <w:pPr>
        <w:ind w:left="2024" w:hanging="100"/>
      </w:pPr>
      <w:rPr>
        <w:rFonts w:hint="default"/>
      </w:rPr>
    </w:lvl>
    <w:lvl w:ilvl="8" w:tplc="900EEF32">
      <w:numFmt w:val="bullet"/>
      <w:lvlText w:val="•"/>
      <w:lvlJc w:val="left"/>
      <w:pPr>
        <w:ind w:left="2291" w:hanging="100"/>
      </w:pPr>
      <w:rPr>
        <w:rFonts w:hint="default"/>
      </w:rPr>
    </w:lvl>
  </w:abstractNum>
  <w:abstractNum w:abstractNumId="511" w15:restartNumberingAfterBreak="0">
    <w:nsid w:val="209D588D"/>
    <w:multiLevelType w:val="hybridMultilevel"/>
    <w:tmpl w:val="BD0CEF92"/>
    <w:lvl w:ilvl="0" w:tplc="476083AE">
      <w:numFmt w:val="bullet"/>
      <w:lvlText w:val=""/>
      <w:lvlJc w:val="left"/>
      <w:pPr>
        <w:ind w:left="156" w:hanging="100"/>
      </w:pPr>
      <w:rPr>
        <w:rFonts w:ascii="Symbol" w:eastAsia="Symbol" w:hAnsi="Symbol" w:cs="Symbol" w:hint="default"/>
        <w:color w:val="231F20"/>
        <w:w w:val="100"/>
        <w:sz w:val="14"/>
        <w:szCs w:val="14"/>
      </w:rPr>
    </w:lvl>
    <w:lvl w:ilvl="1" w:tplc="366050E4">
      <w:numFmt w:val="bullet"/>
      <w:lvlText w:val="•"/>
      <w:lvlJc w:val="left"/>
      <w:pPr>
        <w:ind w:left="273" w:hanging="100"/>
      </w:pPr>
      <w:rPr>
        <w:rFonts w:hint="default"/>
      </w:rPr>
    </w:lvl>
    <w:lvl w:ilvl="2" w:tplc="B16641FE">
      <w:numFmt w:val="bullet"/>
      <w:lvlText w:val="•"/>
      <w:lvlJc w:val="left"/>
      <w:pPr>
        <w:ind w:left="386" w:hanging="100"/>
      </w:pPr>
      <w:rPr>
        <w:rFonts w:hint="default"/>
      </w:rPr>
    </w:lvl>
    <w:lvl w:ilvl="3" w:tplc="3D6A7378">
      <w:numFmt w:val="bullet"/>
      <w:lvlText w:val="•"/>
      <w:lvlJc w:val="left"/>
      <w:pPr>
        <w:ind w:left="500" w:hanging="100"/>
      </w:pPr>
      <w:rPr>
        <w:rFonts w:hint="default"/>
      </w:rPr>
    </w:lvl>
    <w:lvl w:ilvl="4" w:tplc="5A225648">
      <w:numFmt w:val="bullet"/>
      <w:lvlText w:val="•"/>
      <w:lvlJc w:val="left"/>
      <w:pPr>
        <w:ind w:left="613" w:hanging="100"/>
      </w:pPr>
      <w:rPr>
        <w:rFonts w:hint="default"/>
      </w:rPr>
    </w:lvl>
    <w:lvl w:ilvl="5" w:tplc="7374C93A">
      <w:numFmt w:val="bullet"/>
      <w:lvlText w:val="•"/>
      <w:lvlJc w:val="left"/>
      <w:pPr>
        <w:ind w:left="727" w:hanging="100"/>
      </w:pPr>
      <w:rPr>
        <w:rFonts w:hint="default"/>
      </w:rPr>
    </w:lvl>
    <w:lvl w:ilvl="6" w:tplc="50042D5E">
      <w:numFmt w:val="bullet"/>
      <w:lvlText w:val="•"/>
      <w:lvlJc w:val="left"/>
      <w:pPr>
        <w:ind w:left="840" w:hanging="100"/>
      </w:pPr>
      <w:rPr>
        <w:rFonts w:hint="default"/>
      </w:rPr>
    </w:lvl>
    <w:lvl w:ilvl="7" w:tplc="E01AF83E">
      <w:numFmt w:val="bullet"/>
      <w:lvlText w:val="•"/>
      <w:lvlJc w:val="left"/>
      <w:pPr>
        <w:ind w:left="953" w:hanging="100"/>
      </w:pPr>
      <w:rPr>
        <w:rFonts w:hint="default"/>
      </w:rPr>
    </w:lvl>
    <w:lvl w:ilvl="8" w:tplc="1FA456AE">
      <w:numFmt w:val="bullet"/>
      <w:lvlText w:val="•"/>
      <w:lvlJc w:val="left"/>
      <w:pPr>
        <w:ind w:left="1067" w:hanging="100"/>
      </w:pPr>
      <w:rPr>
        <w:rFonts w:hint="default"/>
      </w:rPr>
    </w:lvl>
  </w:abstractNum>
  <w:abstractNum w:abstractNumId="512" w15:restartNumberingAfterBreak="0">
    <w:nsid w:val="20B5081E"/>
    <w:multiLevelType w:val="hybridMultilevel"/>
    <w:tmpl w:val="303CF5F6"/>
    <w:lvl w:ilvl="0" w:tplc="7D70BFC0">
      <w:numFmt w:val="bullet"/>
      <w:lvlText w:val=""/>
      <w:lvlJc w:val="left"/>
      <w:pPr>
        <w:ind w:left="156" w:hanging="100"/>
      </w:pPr>
      <w:rPr>
        <w:rFonts w:ascii="Symbol" w:eastAsia="Symbol" w:hAnsi="Symbol" w:cs="Symbol" w:hint="default"/>
        <w:color w:val="231F20"/>
        <w:w w:val="100"/>
        <w:sz w:val="14"/>
        <w:szCs w:val="14"/>
      </w:rPr>
    </w:lvl>
    <w:lvl w:ilvl="1" w:tplc="D4AEBEEA">
      <w:numFmt w:val="bullet"/>
      <w:lvlText w:val="•"/>
      <w:lvlJc w:val="left"/>
      <w:pPr>
        <w:ind w:left="398" w:hanging="100"/>
      </w:pPr>
      <w:rPr>
        <w:rFonts w:hint="default"/>
      </w:rPr>
    </w:lvl>
    <w:lvl w:ilvl="2" w:tplc="D1204A6A">
      <w:numFmt w:val="bullet"/>
      <w:lvlText w:val="•"/>
      <w:lvlJc w:val="left"/>
      <w:pPr>
        <w:ind w:left="636" w:hanging="100"/>
      </w:pPr>
      <w:rPr>
        <w:rFonts w:hint="default"/>
      </w:rPr>
    </w:lvl>
    <w:lvl w:ilvl="3" w:tplc="254C2736">
      <w:numFmt w:val="bullet"/>
      <w:lvlText w:val="•"/>
      <w:lvlJc w:val="left"/>
      <w:pPr>
        <w:ind w:left="874" w:hanging="100"/>
      </w:pPr>
      <w:rPr>
        <w:rFonts w:hint="default"/>
      </w:rPr>
    </w:lvl>
    <w:lvl w:ilvl="4" w:tplc="B2E23ABE">
      <w:numFmt w:val="bullet"/>
      <w:lvlText w:val="•"/>
      <w:lvlJc w:val="left"/>
      <w:pPr>
        <w:ind w:left="1112" w:hanging="100"/>
      </w:pPr>
      <w:rPr>
        <w:rFonts w:hint="default"/>
      </w:rPr>
    </w:lvl>
    <w:lvl w:ilvl="5" w:tplc="196E1676">
      <w:numFmt w:val="bullet"/>
      <w:lvlText w:val="•"/>
      <w:lvlJc w:val="left"/>
      <w:pPr>
        <w:ind w:left="1350" w:hanging="100"/>
      </w:pPr>
      <w:rPr>
        <w:rFonts w:hint="default"/>
      </w:rPr>
    </w:lvl>
    <w:lvl w:ilvl="6" w:tplc="31BA201A">
      <w:numFmt w:val="bullet"/>
      <w:lvlText w:val="•"/>
      <w:lvlJc w:val="left"/>
      <w:pPr>
        <w:ind w:left="1588" w:hanging="100"/>
      </w:pPr>
      <w:rPr>
        <w:rFonts w:hint="default"/>
      </w:rPr>
    </w:lvl>
    <w:lvl w:ilvl="7" w:tplc="D62C0022">
      <w:numFmt w:val="bullet"/>
      <w:lvlText w:val="•"/>
      <w:lvlJc w:val="left"/>
      <w:pPr>
        <w:ind w:left="1826" w:hanging="100"/>
      </w:pPr>
      <w:rPr>
        <w:rFonts w:hint="default"/>
      </w:rPr>
    </w:lvl>
    <w:lvl w:ilvl="8" w:tplc="6FD81B8C">
      <w:numFmt w:val="bullet"/>
      <w:lvlText w:val="•"/>
      <w:lvlJc w:val="left"/>
      <w:pPr>
        <w:ind w:left="2064" w:hanging="100"/>
      </w:pPr>
      <w:rPr>
        <w:rFonts w:hint="default"/>
      </w:rPr>
    </w:lvl>
  </w:abstractNum>
  <w:abstractNum w:abstractNumId="513" w15:restartNumberingAfterBreak="0">
    <w:nsid w:val="20D36C13"/>
    <w:multiLevelType w:val="hybridMultilevel"/>
    <w:tmpl w:val="D81C6A92"/>
    <w:lvl w:ilvl="0" w:tplc="F62CC1C4">
      <w:numFmt w:val="bullet"/>
      <w:lvlText w:val=""/>
      <w:lvlJc w:val="left"/>
      <w:pPr>
        <w:ind w:left="156" w:hanging="100"/>
      </w:pPr>
      <w:rPr>
        <w:rFonts w:ascii="Symbol" w:eastAsia="Symbol" w:hAnsi="Symbol" w:cs="Symbol" w:hint="default"/>
        <w:color w:val="231F20"/>
        <w:w w:val="100"/>
        <w:sz w:val="14"/>
        <w:szCs w:val="14"/>
      </w:rPr>
    </w:lvl>
    <w:lvl w:ilvl="1" w:tplc="2C8C5E62">
      <w:numFmt w:val="bullet"/>
      <w:lvlText w:val="•"/>
      <w:lvlJc w:val="left"/>
      <w:pPr>
        <w:ind w:left="301" w:hanging="100"/>
      </w:pPr>
      <w:rPr>
        <w:rFonts w:hint="default"/>
      </w:rPr>
    </w:lvl>
    <w:lvl w:ilvl="2" w:tplc="4D16D10E">
      <w:numFmt w:val="bullet"/>
      <w:lvlText w:val="•"/>
      <w:lvlJc w:val="left"/>
      <w:pPr>
        <w:ind w:left="443" w:hanging="100"/>
      </w:pPr>
      <w:rPr>
        <w:rFonts w:hint="default"/>
      </w:rPr>
    </w:lvl>
    <w:lvl w:ilvl="3" w:tplc="B4F4828E">
      <w:numFmt w:val="bullet"/>
      <w:lvlText w:val="•"/>
      <w:lvlJc w:val="left"/>
      <w:pPr>
        <w:ind w:left="585" w:hanging="100"/>
      </w:pPr>
      <w:rPr>
        <w:rFonts w:hint="default"/>
      </w:rPr>
    </w:lvl>
    <w:lvl w:ilvl="4" w:tplc="ED86CA86">
      <w:numFmt w:val="bullet"/>
      <w:lvlText w:val="•"/>
      <w:lvlJc w:val="left"/>
      <w:pPr>
        <w:ind w:left="726" w:hanging="100"/>
      </w:pPr>
      <w:rPr>
        <w:rFonts w:hint="default"/>
      </w:rPr>
    </w:lvl>
    <w:lvl w:ilvl="5" w:tplc="309083FA">
      <w:numFmt w:val="bullet"/>
      <w:lvlText w:val="•"/>
      <w:lvlJc w:val="left"/>
      <w:pPr>
        <w:ind w:left="868" w:hanging="100"/>
      </w:pPr>
      <w:rPr>
        <w:rFonts w:hint="default"/>
      </w:rPr>
    </w:lvl>
    <w:lvl w:ilvl="6" w:tplc="86969960">
      <w:numFmt w:val="bullet"/>
      <w:lvlText w:val="•"/>
      <w:lvlJc w:val="left"/>
      <w:pPr>
        <w:ind w:left="1010" w:hanging="100"/>
      </w:pPr>
      <w:rPr>
        <w:rFonts w:hint="default"/>
      </w:rPr>
    </w:lvl>
    <w:lvl w:ilvl="7" w:tplc="8416A8E0">
      <w:numFmt w:val="bullet"/>
      <w:lvlText w:val="•"/>
      <w:lvlJc w:val="left"/>
      <w:pPr>
        <w:ind w:left="1151" w:hanging="100"/>
      </w:pPr>
      <w:rPr>
        <w:rFonts w:hint="default"/>
      </w:rPr>
    </w:lvl>
    <w:lvl w:ilvl="8" w:tplc="2008525C">
      <w:numFmt w:val="bullet"/>
      <w:lvlText w:val="•"/>
      <w:lvlJc w:val="left"/>
      <w:pPr>
        <w:ind w:left="1293" w:hanging="100"/>
      </w:pPr>
      <w:rPr>
        <w:rFonts w:hint="default"/>
      </w:rPr>
    </w:lvl>
  </w:abstractNum>
  <w:abstractNum w:abstractNumId="514" w15:restartNumberingAfterBreak="0">
    <w:nsid w:val="20D77E6C"/>
    <w:multiLevelType w:val="hybridMultilevel"/>
    <w:tmpl w:val="7586133A"/>
    <w:lvl w:ilvl="0" w:tplc="DA4C4770">
      <w:numFmt w:val="bullet"/>
      <w:lvlText w:val=""/>
      <w:lvlJc w:val="left"/>
      <w:pPr>
        <w:ind w:left="156" w:hanging="100"/>
      </w:pPr>
      <w:rPr>
        <w:rFonts w:ascii="Symbol" w:eastAsia="Symbol" w:hAnsi="Symbol" w:cs="Symbol" w:hint="default"/>
        <w:color w:val="231F20"/>
        <w:w w:val="100"/>
        <w:sz w:val="14"/>
        <w:szCs w:val="14"/>
      </w:rPr>
    </w:lvl>
    <w:lvl w:ilvl="1" w:tplc="269A266E">
      <w:numFmt w:val="bullet"/>
      <w:lvlText w:val="•"/>
      <w:lvlJc w:val="left"/>
      <w:pPr>
        <w:ind w:left="301" w:hanging="100"/>
      </w:pPr>
      <w:rPr>
        <w:rFonts w:hint="default"/>
      </w:rPr>
    </w:lvl>
    <w:lvl w:ilvl="2" w:tplc="908CD23E">
      <w:numFmt w:val="bullet"/>
      <w:lvlText w:val="•"/>
      <w:lvlJc w:val="left"/>
      <w:pPr>
        <w:ind w:left="443" w:hanging="100"/>
      </w:pPr>
      <w:rPr>
        <w:rFonts w:hint="default"/>
      </w:rPr>
    </w:lvl>
    <w:lvl w:ilvl="3" w:tplc="38A6BBB2">
      <w:numFmt w:val="bullet"/>
      <w:lvlText w:val="•"/>
      <w:lvlJc w:val="left"/>
      <w:pPr>
        <w:ind w:left="585" w:hanging="100"/>
      </w:pPr>
      <w:rPr>
        <w:rFonts w:hint="default"/>
      </w:rPr>
    </w:lvl>
    <w:lvl w:ilvl="4" w:tplc="1946F722">
      <w:numFmt w:val="bullet"/>
      <w:lvlText w:val="•"/>
      <w:lvlJc w:val="left"/>
      <w:pPr>
        <w:ind w:left="726" w:hanging="100"/>
      </w:pPr>
      <w:rPr>
        <w:rFonts w:hint="default"/>
      </w:rPr>
    </w:lvl>
    <w:lvl w:ilvl="5" w:tplc="7EC6F78C">
      <w:numFmt w:val="bullet"/>
      <w:lvlText w:val="•"/>
      <w:lvlJc w:val="left"/>
      <w:pPr>
        <w:ind w:left="868" w:hanging="100"/>
      </w:pPr>
      <w:rPr>
        <w:rFonts w:hint="default"/>
      </w:rPr>
    </w:lvl>
    <w:lvl w:ilvl="6" w:tplc="4FE681FA">
      <w:numFmt w:val="bullet"/>
      <w:lvlText w:val="•"/>
      <w:lvlJc w:val="left"/>
      <w:pPr>
        <w:ind w:left="1010" w:hanging="100"/>
      </w:pPr>
      <w:rPr>
        <w:rFonts w:hint="default"/>
      </w:rPr>
    </w:lvl>
    <w:lvl w:ilvl="7" w:tplc="C7C421A2">
      <w:numFmt w:val="bullet"/>
      <w:lvlText w:val="•"/>
      <w:lvlJc w:val="left"/>
      <w:pPr>
        <w:ind w:left="1151" w:hanging="100"/>
      </w:pPr>
      <w:rPr>
        <w:rFonts w:hint="default"/>
      </w:rPr>
    </w:lvl>
    <w:lvl w:ilvl="8" w:tplc="B680E0CC">
      <w:numFmt w:val="bullet"/>
      <w:lvlText w:val="•"/>
      <w:lvlJc w:val="left"/>
      <w:pPr>
        <w:ind w:left="1293" w:hanging="100"/>
      </w:pPr>
      <w:rPr>
        <w:rFonts w:hint="default"/>
      </w:rPr>
    </w:lvl>
  </w:abstractNum>
  <w:abstractNum w:abstractNumId="515" w15:restartNumberingAfterBreak="0">
    <w:nsid w:val="20E51C5A"/>
    <w:multiLevelType w:val="hybridMultilevel"/>
    <w:tmpl w:val="CCAC561A"/>
    <w:lvl w:ilvl="0" w:tplc="9FC6F544">
      <w:numFmt w:val="bullet"/>
      <w:lvlText w:val=""/>
      <w:lvlJc w:val="left"/>
      <w:pPr>
        <w:ind w:left="156" w:hanging="100"/>
      </w:pPr>
      <w:rPr>
        <w:rFonts w:ascii="Symbol" w:eastAsia="Symbol" w:hAnsi="Symbol" w:cs="Symbol" w:hint="default"/>
        <w:color w:val="231F20"/>
        <w:w w:val="100"/>
        <w:sz w:val="14"/>
        <w:szCs w:val="14"/>
      </w:rPr>
    </w:lvl>
    <w:lvl w:ilvl="1" w:tplc="B186F654">
      <w:numFmt w:val="bullet"/>
      <w:lvlText w:val="•"/>
      <w:lvlJc w:val="left"/>
      <w:pPr>
        <w:ind w:left="301" w:hanging="100"/>
      </w:pPr>
      <w:rPr>
        <w:rFonts w:hint="default"/>
      </w:rPr>
    </w:lvl>
    <w:lvl w:ilvl="2" w:tplc="BA0032E4">
      <w:numFmt w:val="bullet"/>
      <w:lvlText w:val="•"/>
      <w:lvlJc w:val="left"/>
      <w:pPr>
        <w:ind w:left="443" w:hanging="100"/>
      </w:pPr>
      <w:rPr>
        <w:rFonts w:hint="default"/>
      </w:rPr>
    </w:lvl>
    <w:lvl w:ilvl="3" w:tplc="BC56CE8C">
      <w:numFmt w:val="bullet"/>
      <w:lvlText w:val="•"/>
      <w:lvlJc w:val="left"/>
      <w:pPr>
        <w:ind w:left="585" w:hanging="100"/>
      </w:pPr>
      <w:rPr>
        <w:rFonts w:hint="default"/>
      </w:rPr>
    </w:lvl>
    <w:lvl w:ilvl="4" w:tplc="613EEA08">
      <w:numFmt w:val="bullet"/>
      <w:lvlText w:val="•"/>
      <w:lvlJc w:val="left"/>
      <w:pPr>
        <w:ind w:left="726" w:hanging="100"/>
      </w:pPr>
      <w:rPr>
        <w:rFonts w:hint="default"/>
      </w:rPr>
    </w:lvl>
    <w:lvl w:ilvl="5" w:tplc="FBC2019A">
      <w:numFmt w:val="bullet"/>
      <w:lvlText w:val="•"/>
      <w:lvlJc w:val="left"/>
      <w:pPr>
        <w:ind w:left="868" w:hanging="100"/>
      </w:pPr>
      <w:rPr>
        <w:rFonts w:hint="default"/>
      </w:rPr>
    </w:lvl>
    <w:lvl w:ilvl="6" w:tplc="EB7EE35A">
      <w:numFmt w:val="bullet"/>
      <w:lvlText w:val="•"/>
      <w:lvlJc w:val="left"/>
      <w:pPr>
        <w:ind w:left="1010" w:hanging="100"/>
      </w:pPr>
      <w:rPr>
        <w:rFonts w:hint="default"/>
      </w:rPr>
    </w:lvl>
    <w:lvl w:ilvl="7" w:tplc="AE544454">
      <w:numFmt w:val="bullet"/>
      <w:lvlText w:val="•"/>
      <w:lvlJc w:val="left"/>
      <w:pPr>
        <w:ind w:left="1151" w:hanging="100"/>
      </w:pPr>
      <w:rPr>
        <w:rFonts w:hint="default"/>
      </w:rPr>
    </w:lvl>
    <w:lvl w:ilvl="8" w:tplc="C1DA3B92">
      <w:numFmt w:val="bullet"/>
      <w:lvlText w:val="•"/>
      <w:lvlJc w:val="left"/>
      <w:pPr>
        <w:ind w:left="1293" w:hanging="100"/>
      </w:pPr>
      <w:rPr>
        <w:rFonts w:hint="default"/>
      </w:rPr>
    </w:lvl>
  </w:abstractNum>
  <w:abstractNum w:abstractNumId="516" w15:restartNumberingAfterBreak="0">
    <w:nsid w:val="20F17B40"/>
    <w:multiLevelType w:val="hybridMultilevel"/>
    <w:tmpl w:val="15DCEE94"/>
    <w:lvl w:ilvl="0" w:tplc="6778F38E">
      <w:numFmt w:val="bullet"/>
      <w:lvlText w:val=""/>
      <w:lvlJc w:val="left"/>
      <w:pPr>
        <w:ind w:left="157" w:hanging="100"/>
      </w:pPr>
      <w:rPr>
        <w:rFonts w:ascii="Symbol" w:eastAsia="Symbol" w:hAnsi="Symbol" w:cs="Symbol" w:hint="default"/>
        <w:color w:val="231F20"/>
        <w:w w:val="100"/>
        <w:sz w:val="14"/>
        <w:szCs w:val="14"/>
      </w:rPr>
    </w:lvl>
    <w:lvl w:ilvl="1" w:tplc="40EABCFC">
      <w:numFmt w:val="bullet"/>
      <w:lvlText w:val="•"/>
      <w:lvlJc w:val="left"/>
      <w:pPr>
        <w:ind w:left="369" w:hanging="100"/>
      </w:pPr>
      <w:rPr>
        <w:rFonts w:hint="default"/>
      </w:rPr>
    </w:lvl>
    <w:lvl w:ilvl="2" w:tplc="B6CA1488">
      <w:numFmt w:val="bullet"/>
      <w:lvlText w:val="•"/>
      <w:lvlJc w:val="left"/>
      <w:pPr>
        <w:ind w:left="579" w:hanging="100"/>
      </w:pPr>
      <w:rPr>
        <w:rFonts w:hint="default"/>
      </w:rPr>
    </w:lvl>
    <w:lvl w:ilvl="3" w:tplc="09F8E994">
      <w:numFmt w:val="bullet"/>
      <w:lvlText w:val="•"/>
      <w:lvlJc w:val="left"/>
      <w:pPr>
        <w:ind w:left="789" w:hanging="100"/>
      </w:pPr>
      <w:rPr>
        <w:rFonts w:hint="default"/>
      </w:rPr>
    </w:lvl>
    <w:lvl w:ilvl="4" w:tplc="52283E16">
      <w:numFmt w:val="bullet"/>
      <w:lvlText w:val="•"/>
      <w:lvlJc w:val="left"/>
      <w:pPr>
        <w:ind w:left="998" w:hanging="100"/>
      </w:pPr>
      <w:rPr>
        <w:rFonts w:hint="default"/>
      </w:rPr>
    </w:lvl>
    <w:lvl w:ilvl="5" w:tplc="418C0A4A">
      <w:numFmt w:val="bullet"/>
      <w:lvlText w:val="•"/>
      <w:lvlJc w:val="left"/>
      <w:pPr>
        <w:ind w:left="1208" w:hanging="100"/>
      </w:pPr>
      <w:rPr>
        <w:rFonts w:hint="default"/>
      </w:rPr>
    </w:lvl>
    <w:lvl w:ilvl="6" w:tplc="34E22A6C">
      <w:numFmt w:val="bullet"/>
      <w:lvlText w:val="•"/>
      <w:lvlJc w:val="left"/>
      <w:pPr>
        <w:ind w:left="1418" w:hanging="100"/>
      </w:pPr>
      <w:rPr>
        <w:rFonts w:hint="default"/>
      </w:rPr>
    </w:lvl>
    <w:lvl w:ilvl="7" w:tplc="C45487D6">
      <w:numFmt w:val="bullet"/>
      <w:lvlText w:val="•"/>
      <w:lvlJc w:val="left"/>
      <w:pPr>
        <w:ind w:left="1627" w:hanging="100"/>
      </w:pPr>
      <w:rPr>
        <w:rFonts w:hint="default"/>
      </w:rPr>
    </w:lvl>
    <w:lvl w:ilvl="8" w:tplc="C802AD42">
      <w:numFmt w:val="bullet"/>
      <w:lvlText w:val="•"/>
      <w:lvlJc w:val="left"/>
      <w:pPr>
        <w:ind w:left="1837" w:hanging="100"/>
      </w:pPr>
      <w:rPr>
        <w:rFonts w:hint="default"/>
      </w:rPr>
    </w:lvl>
  </w:abstractNum>
  <w:abstractNum w:abstractNumId="517" w15:restartNumberingAfterBreak="0">
    <w:nsid w:val="20F22C21"/>
    <w:multiLevelType w:val="hybridMultilevel"/>
    <w:tmpl w:val="2F18384C"/>
    <w:lvl w:ilvl="0" w:tplc="1D825DA6">
      <w:numFmt w:val="bullet"/>
      <w:lvlText w:val=""/>
      <w:lvlJc w:val="left"/>
      <w:pPr>
        <w:ind w:left="156" w:hanging="100"/>
      </w:pPr>
      <w:rPr>
        <w:rFonts w:ascii="Symbol" w:eastAsia="Symbol" w:hAnsi="Symbol" w:cs="Symbol" w:hint="default"/>
        <w:color w:val="231F20"/>
        <w:w w:val="100"/>
        <w:sz w:val="14"/>
        <w:szCs w:val="14"/>
      </w:rPr>
    </w:lvl>
    <w:lvl w:ilvl="1" w:tplc="2392F2EE">
      <w:numFmt w:val="bullet"/>
      <w:lvlText w:val="•"/>
      <w:lvlJc w:val="left"/>
      <w:pPr>
        <w:ind w:left="301" w:hanging="100"/>
      </w:pPr>
      <w:rPr>
        <w:rFonts w:hint="default"/>
      </w:rPr>
    </w:lvl>
    <w:lvl w:ilvl="2" w:tplc="28A0C47E">
      <w:numFmt w:val="bullet"/>
      <w:lvlText w:val="•"/>
      <w:lvlJc w:val="left"/>
      <w:pPr>
        <w:ind w:left="443" w:hanging="100"/>
      </w:pPr>
      <w:rPr>
        <w:rFonts w:hint="default"/>
      </w:rPr>
    </w:lvl>
    <w:lvl w:ilvl="3" w:tplc="8D5A519E">
      <w:numFmt w:val="bullet"/>
      <w:lvlText w:val="•"/>
      <w:lvlJc w:val="left"/>
      <w:pPr>
        <w:ind w:left="585" w:hanging="100"/>
      </w:pPr>
      <w:rPr>
        <w:rFonts w:hint="default"/>
      </w:rPr>
    </w:lvl>
    <w:lvl w:ilvl="4" w:tplc="6DB2B9D4">
      <w:numFmt w:val="bullet"/>
      <w:lvlText w:val="•"/>
      <w:lvlJc w:val="left"/>
      <w:pPr>
        <w:ind w:left="726" w:hanging="100"/>
      </w:pPr>
      <w:rPr>
        <w:rFonts w:hint="default"/>
      </w:rPr>
    </w:lvl>
    <w:lvl w:ilvl="5" w:tplc="A6CEBA16">
      <w:numFmt w:val="bullet"/>
      <w:lvlText w:val="•"/>
      <w:lvlJc w:val="left"/>
      <w:pPr>
        <w:ind w:left="868" w:hanging="100"/>
      </w:pPr>
      <w:rPr>
        <w:rFonts w:hint="default"/>
      </w:rPr>
    </w:lvl>
    <w:lvl w:ilvl="6" w:tplc="83D4D4F8">
      <w:numFmt w:val="bullet"/>
      <w:lvlText w:val="•"/>
      <w:lvlJc w:val="left"/>
      <w:pPr>
        <w:ind w:left="1010" w:hanging="100"/>
      </w:pPr>
      <w:rPr>
        <w:rFonts w:hint="default"/>
      </w:rPr>
    </w:lvl>
    <w:lvl w:ilvl="7" w:tplc="EE3283C0">
      <w:numFmt w:val="bullet"/>
      <w:lvlText w:val="•"/>
      <w:lvlJc w:val="left"/>
      <w:pPr>
        <w:ind w:left="1151" w:hanging="100"/>
      </w:pPr>
      <w:rPr>
        <w:rFonts w:hint="default"/>
      </w:rPr>
    </w:lvl>
    <w:lvl w:ilvl="8" w:tplc="F23EEA7E">
      <w:numFmt w:val="bullet"/>
      <w:lvlText w:val="•"/>
      <w:lvlJc w:val="left"/>
      <w:pPr>
        <w:ind w:left="1293" w:hanging="100"/>
      </w:pPr>
      <w:rPr>
        <w:rFonts w:hint="default"/>
      </w:rPr>
    </w:lvl>
  </w:abstractNum>
  <w:abstractNum w:abstractNumId="518" w15:restartNumberingAfterBreak="0">
    <w:nsid w:val="21015F07"/>
    <w:multiLevelType w:val="hybridMultilevel"/>
    <w:tmpl w:val="C99ABB24"/>
    <w:lvl w:ilvl="0" w:tplc="FD3EE872">
      <w:numFmt w:val="bullet"/>
      <w:lvlText w:val=""/>
      <w:lvlJc w:val="left"/>
      <w:pPr>
        <w:ind w:left="157" w:hanging="100"/>
      </w:pPr>
      <w:rPr>
        <w:rFonts w:ascii="Symbol" w:eastAsia="Symbol" w:hAnsi="Symbol" w:cs="Symbol" w:hint="default"/>
        <w:color w:val="231F20"/>
        <w:w w:val="100"/>
        <w:sz w:val="14"/>
        <w:szCs w:val="14"/>
      </w:rPr>
    </w:lvl>
    <w:lvl w:ilvl="1" w:tplc="00E812F6">
      <w:numFmt w:val="bullet"/>
      <w:lvlText w:val="•"/>
      <w:lvlJc w:val="left"/>
      <w:pPr>
        <w:ind w:left="426" w:hanging="100"/>
      </w:pPr>
      <w:rPr>
        <w:rFonts w:hint="default"/>
      </w:rPr>
    </w:lvl>
    <w:lvl w:ilvl="2" w:tplc="BDFAAE2A">
      <w:numFmt w:val="bullet"/>
      <w:lvlText w:val="•"/>
      <w:lvlJc w:val="left"/>
      <w:pPr>
        <w:ind w:left="692" w:hanging="100"/>
      </w:pPr>
      <w:rPr>
        <w:rFonts w:hint="default"/>
      </w:rPr>
    </w:lvl>
    <w:lvl w:ilvl="3" w:tplc="EB9C730C">
      <w:numFmt w:val="bullet"/>
      <w:lvlText w:val="•"/>
      <w:lvlJc w:val="left"/>
      <w:pPr>
        <w:ind w:left="959" w:hanging="100"/>
      </w:pPr>
      <w:rPr>
        <w:rFonts w:hint="default"/>
      </w:rPr>
    </w:lvl>
    <w:lvl w:ilvl="4" w:tplc="ECFAED94">
      <w:numFmt w:val="bullet"/>
      <w:lvlText w:val="•"/>
      <w:lvlJc w:val="left"/>
      <w:pPr>
        <w:ind w:left="1225" w:hanging="100"/>
      </w:pPr>
      <w:rPr>
        <w:rFonts w:hint="default"/>
      </w:rPr>
    </w:lvl>
    <w:lvl w:ilvl="5" w:tplc="C9E25AC8">
      <w:numFmt w:val="bullet"/>
      <w:lvlText w:val="•"/>
      <w:lvlJc w:val="left"/>
      <w:pPr>
        <w:ind w:left="1492" w:hanging="100"/>
      </w:pPr>
      <w:rPr>
        <w:rFonts w:hint="default"/>
      </w:rPr>
    </w:lvl>
    <w:lvl w:ilvl="6" w:tplc="1C4CDA54">
      <w:numFmt w:val="bullet"/>
      <w:lvlText w:val="•"/>
      <w:lvlJc w:val="left"/>
      <w:pPr>
        <w:ind w:left="1758" w:hanging="100"/>
      </w:pPr>
      <w:rPr>
        <w:rFonts w:hint="default"/>
      </w:rPr>
    </w:lvl>
    <w:lvl w:ilvl="7" w:tplc="488C962E">
      <w:numFmt w:val="bullet"/>
      <w:lvlText w:val="•"/>
      <w:lvlJc w:val="left"/>
      <w:pPr>
        <w:ind w:left="2024" w:hanging="100"/>
      </w:pPr>
      <w:rPr>
        <w:rFonts w:hint="default"/>
      </w:rPr>
    </w:lvl>
    <w:lvl w:ilvl="8" w:tplc="0D304E3A">
      <w:numFmt w:val="bullet"/>
      <w:lvlText w:val="•"/>
      <w:lvlJc w:val="left"/>
      <w:pPr>
        <w:ind w:left="2291" w:hanging="100"/>
      </w:pPr>
      <w:rPr>
        <w:rFonts w:hint="default"/>
      </w:rPr>
    </w:lvl>
  </w:abstractNum>
  <w:abstractNum w:abstractNumId="519" w15:restartNumberingAfterBreak="0">
    <w:nsid w:val="21091246"/>
    <w:multiLevelType w:val="hybridMultilevel"/>
    <w:tmpl w:val="54F827CC"/>
    <w:lvl w:ilvl="0" w:tplc="2EDE85C6">
      <w:numFmt w:val="bullet"/>
      <w:lvlText w:val=""/>
      <w:lvlJc w:val="left"/>
      <w:pPr>
        <w:ind w:left="156" w:hanging="100"/>
      </w:pPr>
      <w:rPr>
        <w:rFonts w:ascii="Symbol" w:eastAsia="Symbol" w:hAnsi="Symbol" w:cs="Symbol" w:hint="default"/>
        <w:color w:val="231F20"/>
        <w:w w:val="100"/>
        <w:sz w:val="14"/>
        <w:szCs w:val="14"/>
      </w:rPr>
    </w:lvl>
    <w:lvl w:ilvl="1" w:tplc="7FBEF8DE">
      <w:numFmt w:val="bullet"/>
      <w:lvlText w:val="•"/>
      <w:lvlJc w:val="left"/>
      <w:pPr>
        <w:ind w:left="301" w:hanging="100"/>
      </w:pPr>
      <w:rPr>
        <w:rFonts w:hint="default"/>
      </w:rPr>
    </w:lvl>
    <w:lvl w:ilvl="2" w:tplc="27D4469A">
      <w:numFmt w:val="bullet"/>
      <w:lvlText w:val="•"/>
      <w:lvlJc w:val="left"/>
      <w:pPr>
        <w:ind w:left="443" w:hanging="100"/>
      </w:pPr>
      <w:rPr>
        <w:rFonts w:hint="default"/>
      </w:rPr>
    </w:lvl>
    <w:lvl w:ilvl="3" w:tplc="0024B262">
      <w:numFmt w:val="bullet"/>
      <w:lvlText w:val="•"/>
      <w:lvlJc w:val="left"/>
      <w:pPr>
        <w:ind w:left="585" w:hanging="100"/>
      </w:pPr>
      <w:rPr>
        <w:rFonts w:hint="default"/>
      </w:rPr>
    </w:lvl>
    <w:lvl w:ilvl="4" w:tplc="EE246060">
      <w:numFmt w:val="bullet"/>
      <w:lvlText w:val="•"/>
      <w:lvlJc w:val="left"/>
      <w:pPr>
        <w:ind w:left="726" w:hanging="100"/>
      </w:pPr>
      <w:rPr>
        <w:rFonts w:hint="default"/>
      </w:rPr>
    </w:lvl>
    <w:lvl w:ilvl="5" w:tplc="99D2A032">
      <w:numFmt w:val="bullet"/>
      <w:lvlText w:val="•"/>
      <w:lvlJc w:val="left"/>
      <w:pPr>
        <w:ind w:left="868" w:hanging="100"/>
      </w:pPr>
      <w:rPr>
        <w:rFonts w:hint="default"/>
      </w:rPr>
    </w:lvl>
    <w:lvl w:ilvl="6" w:tplc="0944BAEE">
      <w:numFmt w:val="bullet"/>
      <w:lvlText w:val="•"/>
      <w:lvlJc w:val="left"/>
      <w:pPr>
        <w:ind w:left="1010" w:hanging="100"/>
      </w:pPr>
      <w:rPr>
        <w:rFonts w:hint="default"/>
      </w:rPr>
    </w:lvl>
    <w:lvl w:ilvl="7" w:tplc="C88094F8">
      <w:numFmt w:val="bullet"/>
      <w:lvlText w:val="•"/>
      <w:lvlJc w:val="left"/>
      <w:pPr>
        <w:ind w:left="1151" w:hanging="100"/>
      </w:pPr>
      <w:rPr>
        <w:rFonts w:hint="default"/>
      </w:rPr>
    </w:lvl>
    <w:lvl w:ilvl="8" w:tplc="8B805034">
      <w:numFmt w:val="bullet"/>
      <w:lvlText w:val="•"/>
      <w:lvlJc w:val="left"/>
      <w:pPr>
        <w:ind w:left="1293" w:hanging="100"/>
      </w:pPr>
      <w:rPr>
        <w:rFonts w:hint="default"/>
      </w:rPr>
    </w:lvl>
  </w:abstractNum>
  <w:abstractNum w:abstractNumId="520" w15:restartNumberingAfterBreak="0">
    <w:nsid w:val="21212206"/>
    <w:multiLevelType w:val="hybridMultilevel"/>
    <w:tmpl w:val="10CA82B0"/>
    <w:lvl w:ilvl="0" w:tplc="0C800354">
      <w:numFmt w:val="bullet"/>
      <w:lvlText w:val=""/>
      <w:lvlJc w:val="left"/>
      <w:pPr>
        <w:ind w:left="157" w:hanging="100"/>
      </w:pPr>
      <w:rPr>
        <w:rFonts w:ascii="Symbol" w:eastAsia="Symbol" w:hAnsi="Symbol" w:cs="Symbol" w:hint="default"/>
        <w:color w:val="231F20"/>
        <w:w w:val="100"/>
        <w:sz w:val="14"/>
        <w:szCs w:val="14"/>
      </w:rPr>
    </w:lvl>
    <w:lvl w:ilvl="1" w:tplc="1DD85D02">
      <w:numFmt w:val="bullet"/>
      <w:lvlText w:val="•"/>
      <w:lvlJc w:val="left"/>
      <w:pPr>
        <w:ind w:left="398" w:hanging="100"/>
      </w:pPr>
      <w:rPr>
        <w:rFonts w:hint="default"/>
      </w:rPr>
    </w:lvl>
    <w:lvl w:ilvl="2" w:tplc="A93C0D78">
      <w:numFmt w:val="bullet"/>
      <w:lvlText w:val="•"/>
      <w:lvlJc w:val="left"/>
      <w:pPr>
        <w:ind w:left="636" w:hanging="100"/>
      </w:pPr>
      <w:rPr>
        <w:rFonts w:hint="default"/>
      </w:rPr>
    </w:lvl>
    <w:lvl w:ilvl="3" w:tplc="FD24F6FE">
      <w:numFmt w:val="bullet"/>
      <w:lvlText w:val="•"/>
      <w:lvlJc w:val="left"/>
      <w:pPr>
        <w:ind w:left="874" w:hanging="100"/>
      </w:pPr>
      <w:rPr>
        <w:rFonts w:hint="default"/>
      </w:rPr>
    </w:lvl>
    <w:lvl w:ilvl="4" w:tplc="3A5C426A">
      <w:numFmt w:val="bullet"/>
      <w:lvlText w:val="•"/>
      <w:lvlJc w:val="left"/>
      <w:pPr>
        <w:ind w:left="1112" w:hanging="100"/>
      </w:pPr>
      <w:rPr>
        <w:rFonts w:hint="default"/>
      </w:rPr>
    </w:lvl>
    <w:lvl w:ilvl="5" w:tplc="2DDCBE56">
      <w:numFmt w:val="bullet"/>
      <w:lvlText w:val="•"/>
      <w:lvlJc w:val="left"/>
      <w:pPr>
        <w:ind w:left="1350" w:hanging="100"/>
      </w:pPr>
      <w:rPr>
        <w:rFonts w:hint="default"/>
      </w:rPr>
    </w:lvl>
    <w:lvl w:ilvl="6" w:tplc="A36E5036">
      <w:numFmt w:val="bullet"/>
      <w:lvlText w:val="•"/>
      <w:lvlJc w:val="left"/>
      <w:pPr>
        <w:ind w:left="1588" w:hanging="100"/>
      </w:pPr>
      <w:rPr>
        <w:rFonts w:hint="default"/>
      </w:rPr>
    </w:lvl>
    <w:lvl w:ilvl="7" w:tplc="BEBA9784">
      <w:numFmt w:val="bullet"/>
      <w:lvlText w:val="•"/>
      <w:lvlJc w:val="left"/>
      <w:pPr>
        <w:ind w:left="1826" w:hanging="100"/>
      </w:pPr>
      <w:rPr>
        <w:rFonts w:hint="default"/>
      </w:rPr>
    </w:lvl>
    <w:lvl w:ilvl="8" w:tplc="3A543A6E">
      <w:numFmt w:val="bullet"/>
      <w:lvlText w:val="•"/>
      <w:lvlJc w:val="left"/>
      <w:pPr>
        <w:ind w:left="2064" w:hanging="100"/>
      </w:pPr>
      <w:rPr>
        <w:rFonts w:hint="default"/>
      </w:rPr>
    </w:lvl>
  </w:abstractNum>
  <w:abstractNum w:abstractNumId="521" w15:restartNumberingAfterBreak="0">
    <w:nsid w:val="212427FF"/>
    <w:multiLevelType w:val="hybridMultilevel"/>
    <w:tmpl w:val="4CA6F8BE"/>
    <w:lvl w:ilvl="0" w:tplc="3BD844E2">
      <w:numFmt w:val="bullet"/>
      <w:lvlText w:val=""/>
      <w:lvlJc w:val="left"/>
      <w:pPr>
        <w:ind w:left="156" w:hanging="100"/>
      </w:pPr>
      <w:rPr>
        <w:rFonts w:ascii="Symbol" w:eastAsia="Symbol" w:hAnsi="Symbol" w:cs="Symbol" w:hint="default"/>
        <w:color w:val="231F20"/>
        <w:w w:val="100"/>
        <w:sz w:val="14"/>
        <w:szCs w:val="14"/>
      </w:rPr>
    </w:lvl>
    <w:lvl w:ilvl="1" w:tplc="E6D29106">
      <w:numFmt w:val="bullet"/>
      <w:lvlText w:val="•"/>
      <w:lvlJc w:val="left"/>
      <w:pPr>
        <w:ind w:left="301" w:hanging="100"/>
      </w:pPr>
      <w:rPr>
        <w:rFonts w:hint="default"/>
      </w:rPr>
    </w:lvl>
    <w:lvl w:ilvl="2" w:tplc="FBC8ABFE">
      <w:numFmt w:val="bullet"/>
      <w:lvlText w:val="•"/>
      <w:lvlJc w:val="left"/>
      <w:pPr>
        <w:ind w:left="443" w:hanging="100"/>
      </w:pPr>
      <w:rPr>
        <w:rFonts w:hint="default"/>
      </w:rPr>
    </w:lvl>
    <w:lvl w:ilvl="3" w:tplc="A0602F62">
      <w:numFmt w:val="bullet"/>
      <w:lvlText w:val="•"/>
      <w:lvlJc w:val="left"/>
      <w:pPr>
        <w:ind w:left="585" w:hanging="100"/>
      </w:pPr>
      <w:rPr>
        <w:rFonts w:hint="default"/>
      </w:rPr>
    </w:lvl>
    <w:lvl w:ilvl="4" w:tplc="30E88084">
      <w:numFmt w:val="bullet"/>
      <w:lvlText w:val="•"/>
      <w:lvlJc w:val="left"/>
      <w:pPr>
        <w:ind w:left="726" w:hanging="100"/>
      </w:pPr>
      <w:rPr>
        <w:rFonts w:hint="default"/>
      </w:rPr>
    </w:lvl>
    <w:lvl w:ilvl="5" w:tplc="A89A8E56">
      <w:numFmt w:val="bullet"/>
      <w:lvlText w:val="•"/>
      <w:lvlJc w:val="left"/>
      <w:pPr>
        <w:ind w:left="868" w:hanging="100"/>
      </w:pPr>
      <w:rPr>
        <w:rFonts w:hint="default"/>
      </w:rPr>
    </w:lvl>
    <w:lvl w:ilvl="6" w:tplc="215ABCA0">
      <w:numFmt w:val="bullet"/>
      <w:lvlText w:val="•"/>
      <w:lvlJc w:val="left"/>
      <w:pPr>
        <w:ind w:left="1010" w:hanging="100"/>
      </w:pPr>
      <w:rPr>
        <w:rFonts w:hint="default"/>
      </w:rPr>
    </w:lvl>
    <w:lvl w:ilvl="7" w:tplc="F8DA4DAE">
      <w:numFmt w:val="bullet"/>
      <w:lvlText w:val="•"/>
      <w:lvlJc w:val="left"/>
      <w:pPr>
        <w:ind w:left="1151" w:hanging="100"/>
      </w:pPr>
      <w:rPr>
        <w:rFonts w:hint="default"/>
      </w:rPr>
    </w:lvl>
    <w:lvl w:ilvl="8" w:tplc="998E7672">
      <w:numFmt w:val="bullet"/>
      <w:lvlText w:val="•"/>
      <w:lvlJc w:val="left"/>
      <w:pPr>
        <w:ind w:left="1293" w:hanging="100"/>
      </w:pPr>
      <w:rPr>
        <w:rFonts w:hint="default"/>
      </w:rPr>
    </w:lvl>
  </w:abstractNum>
  <w:abstractNum w:abstractNumId="522" w15:restartNumberingAfterBreak="0">
    <w:nsid w:val="21421D38"/>
    <w:multiLevelType w:val="hybridMultilevel"/>
    <w:tmpl w:val="5C0CB28E"/>
    <w:lvl w:ilvl="0" w:tplc="700A9C34">
      <w:numFmt w:val="bullet"/>
      <w:lvlText w:val=""/>
      <w:lvlJc w:val="left"/>
      <w:pPr>
        <w:ind w:left="156" w:hanging="100"/>
      </w:pPr>
      <w:rPr>
        <w:rFonts w:ascii="Symbol" w:eastAsia="Symbol" w:hAnsi="Symbol" w:cs="Symbol" w:hint="default"/>
        <w:color w:val="231F20"/>
        <w:w w:val="100"/>
        <w:sz w:val="14"/>
        <w:szCs w:val="14"/>
      </w:rPr>
    </w:lvl>
    <w:lvl w:ilvl="1" w:tplc="FF10A890">
      <w:numFmt w:val="bullet"/>
      <w:lvlText w:val="•"/>
      <w:lvlJc w:val="left"/>
      <w:pPr>
        <w:ind w:left="426" w:hanging="100"/>
      </w:pPr>
      <w:rPr>
        <w:rFonts w:hint="default"/>
      </w:rPr>
    </w:lvl>
    <w:lvl w:ilvl="2" w:tplc="47D29344">
      <w:numFmt w:val="bullet"/>
      <w:lvlText w:val="•"/>
      <w:lvlJc w:val="left"/>
      <w:pPr>
        <w:ind w:left="692" w:hanging="100"/>
      </w:pPr>
      <w:rPr>
        <w:rFonts w:hint="default"/>
      </w:rPr>
    </w:lvl>
    <w:lvl w:ilvl="3" w:tplc="2F7894CE">
      <w:numFmt w:val="bullet"/>
      <w:lvlText w:val="•"/>
      <w:lvlJc w:val="left"/>
      <w:pPr>
        <w:ind w:left="959" w:hanging="100"/>
      </w:pPr>
      <w:rPr>
        <w:rFonts w:hint="default"/>
      </w:rPr>
    </w:lvl>
    <w:lvl w:ilvl="4" w:tplc="43D23D32">
      <w:numFmt w:val="bullet"/>
      <w:lvlText w:val="•"/>
      <w:lvlJc w:val="left"/>
      <w:pPr>
        <w:ind w:left="1225" w:hanging="100"/>
      </w:pPr>
      <w:rPr>
        <w:rFonts w:hint="default"/>
      </w:rPr>
    </w:lvl>
    <w:lvl w:ilvl="5" w:tplc="2B2CA2D6">
      <w:numFmt w:val="bullet"/>
      <w:lvlText w:val="•"/>
      <w:lvlJc w:val="left"/>
      <w:pPr>
        <w:ind w:left="1492" w:hanging="100"/>
      </w:pPr>
      <w:rPr>
        <w:rFonts w:hint="default"/>
      </w:rPr>
    </w:lvl>
    <w:lvl w:ilvl="6" w:tplc="9716D05C">
      <w:numFmt w:val="bullet"/>
      <w:lvlText w:val="•"/>
      <w:lvlJc w:val="left"/>
      <w:pPr>
        <w:ind w:left="1758" w:hanging="100"/>
      </w:pPr>
      <w:rPr>
        <w:rFonts w:hint="default"/>
      </w:rPr>
    </w:lvl>
    <w:lvl w:ilvl="7" w:tplc="0338EED6">
      <w:numFmt w:val="bullet"/>
      <w:lvlText w:val="•"/>
      <w:lvlJc w:val="left"/>
      <w:pPr>
        <w:ind w:left="2024" w:hanging="100"/>
      </w:pPr>
      <w:rPr>
        <w:rFonts w:hint="default"/>
      </w:rPr>
    </w:lvl>
    <w:lvl w:ilvl="8" w:tplc="1B38910A">
      <w:numFmt w:val="bullet"/>
      <w:lvlText w:val="•"/>
      <w:lvlJc w:val="left"/>
      <w:pPr>
        <w:ind w:left="2291" w:hanging="100"/>
      </w:pPr>
      <w:rPr>
        <w:rFonts w:hint="default"/>
      </w:rPr>
    </w:lvl>
  </w:abstractNum>
  <w:abstractNum w:abstractNumId="523" w15:restartNumberingAfterBreak="0">
    <w:nsid w:val="215F6CDF"/>
    <w:multiLevelType w:val="hybridMultilevel"/>
    <w:tmpl w:val="EE0A80FE"/>
    <w:lvl w:ilvl="0" w:tplc="00061E8A">
      <w:numFmt w:val="bullet"/>
      <w:lvlText w:val="–"/>
      <w:lvlJc w:val="left"/>
      <w:pPr>
        <w:ind w:left="497" w:hanging="135"/>
      </w:pPr>
      <w:rPr>
        <w:rFonts w:ascii="Times New Roman" w:eastAsia="Times New Roman" w:hAnsi="Times New Roman" w:cs="Times New Roman" w:hint="default"/>
        <w:color w:val="231F20"/>
        <w:spacing w:val="-8"/>
        <w:w w:val="100"/>
        <w:sz w:val="18"/>
        <w:szCs w:val="18"/>
      </w:rPr>
    </w:lvl>
    <w:lvl w:ilvl="1" w:tplc="EC2E5646">
      <w:numFmt w:val="bullet"/>
      <w:lvlText w:val="•"/>
      <w:lvlJc w:val="left"/>
      <w:pPr>
        <w:ind w:left="1528" w:hanging="135"/>
      </w:pPr>
      <w:rPr>
        <w:rFonts w:hint="default"/>
      </w:rPr>
    </w:lvl>
    <w:lvl w:ilvl="2" w:tplc="45E85182">
      <w:numFmt w:val="bullet"/>
      <w:lvlText w:val="•"/>
      <w:lvlJc w:val="left"/>
      <w:pPr>
        <w:ind w:left="2557" w:hanging="135"/>
      </w:pPr>
      <w:rPr>
        <w:rFonts w:hint="default"/>
      </w:rPr>
    </w:lvl>
    <w:lvl w:ilvl="3" w:tplc="5A9ED686">
      <w:numFmt w:val="bullet"/>
      <w:lvlText w:val="•"/>
      <w:lvlJc w:val="left"/>
      <w:pPr>
        <w:ind w:left="3585" w:hanging="135"/>
      </w:pPr>
      <w:rPr>
        <w:rFonts w:hint="default"/>
      </w:rPr>
    </w:lvl>
    <w:lvl w:ilvl="4" w:tplc="4D6203F4">
      <w:numFmt w:val="bullet"/>
      <w:lvlText w:val="•"/>
      <w:lvlJc w:val="left"/>
      <w:pPr>
        <w:ind w:left="4614" w:hanging="135"/>
      </w:pPr>
      <w:rPr>
        <w:rFonts w:hint="default"/>
      </w:rPr>
    </w:lvl>
    <w:lvl w:ilvl="5" w:tplc="1BE8D652">
      <w:numFmt w:val="bullet"/>
      <w:lvlText w:val="•"/>
      <w:lvlJc w:val="left"/>
      <w:pPr>
        <w:ind w:left="5642" w:hanging="135"/>
      </w:pPr>
      <w:rPr>
        <w:rFonts w:hint="default"/>
      </w:rPr>
    </w:lvl>
    <w:lvl w:ilvl="6" w:tplc="C076DFD2">
      <w:numFmt w:val="bullet"/>
      <w:lvlText w:val="•"/>
      <w:lvlJc w:val="left"/>
      <w:pPr>
        <w:ind w:left="6671" w:hanging="135"/>
      </w:pPr>
      <w:rPr>
        <w:rFonts w:hint="default"/>
      </w:rPr>
    </w:lvl>
    <w:lvl w:ilvl="7" w:tplc="0FB61AD2">
      <w:numFmt w:val="bullet"/>
      <w:lvlText w:val="•"/>
      <w:lvlJc w:val="left"/>
      <w:pPr>
        <w:ind w:left="7699" w:hanging="135"/>
      </w:pPr>
      <w:rPr>
        <w:rFonts w:hint="default"/>
      </w:rPr>
    </w:lvl>
    <w:lvl w:ilvl="8" w:tplc="38A45E16">
      <w:numFmt w:val="bullet"/>
      <w:lvlText w:val="•"/>
      <w:lvlJc w:val="left"/>
      <w:pPr>
        <w:ind w:left="8728" w:hanging="135"/>
      </w:pPr>
      <w:rPr>
        <w:rFonts w:hint="default"/>
      </w:rPr>
    </w:lvl>
  </w:abstractNum>
  <w:abstractNum w:abstractNumId="524" w15:restartNumberingAfterBreak="0">
    <w:nsid w:val="21736E7B"/>
    <w:multiLevelType w:val="hybridMultilevel"/>
    <w:tmpl w:val="805A88E8"/>
    <w:lvl w:ilvl="0" w:tplc="A9D28D02">
      <w:numFmt w:val="bullet"/>
      <w:lvlText w:val=""/>
      <w:lvlJc w:val="left"/>
      <w:pPr>
        <w:ind w:left="156" w:hanging="100"/>
      </w:pPr>
      <w:rPr>
        <w:rFonts w:ascii="Symbol" w:eastAsia="Symbol" w:hAnsi="Symbol" w:cs="Symbol" w:hint="default"/>
        <w:color w:val="231F20"/>
        <w:w w:val="100"/>
        <w:sz w:val="14"/>
        <w:szCs w:val="14"/>
      </w:rPr>
    </w:lvl>
    <w:lvl w:ilvl="1" w:tplc="2EF6FF74">
      <w:numFmt w:val="bullet"/>
      <w:lvlText w:val="•"/>
      <w:lvlJc w:val="left"/>
      <w:pPr>
        <w:ind w:left="398" w:hanging="100"/>
      </w:pPr>
      <w:rPr>
        <w:rFonts w:hint="default"/>
      </w:rPr>
    </w:lvl>
    <w:lvl w:ilvl="2" w:tplc="9D787630">
      <w:numFmt w:val="bullet"/>
      <w:lvlText w:val="•"/>
      <w:lvlJc w:val="left"/>
      <w:pPr>
        <w:ind w:left="636" w:hanging="100"/>
      </w:pPr>
      <w:rPr>
        <w:rFonts w:hint="default"/>
      </w:rPr>
    </w:lvl>
    <w:lvl w:ilvl="3" w:tplc="8F4259CE">
      <w:numFmt w:val="bullet"/>
      <w:lvlText w:val="•"/>
      <w:lvlJc w:val="left"/>
      <w:pPr>
        <w:ind w:left="874" w:hanging="100"/>
      </w:pPr>
      <w:rPr>
        <w:rFonts w:hint="default"/>
      </w:rPr>
    </w:lvl>
    <w:lvl w:ilvl="4" w:tplc="91D4F22C">
      <w:numFmt w:val="bullet"/>
      <w:lvlText w:val="•"/>
      <w:lvlJc w:val="left"/>
      <w:pPr>
        <w:ind w:left="1112" w:hanging="100"/>
      </w:pPr>
      <w:rPr>
        <w:rFonts w:hint="default"/>
      </w:rPr>
    </w:lvl>
    <w:lvl w:ilvl="5" w:tplc="49105228">
      <w:numFmt w:val="bullet"/>
      <w:lvlText w:val="•"/>
      <w:lvlJc w:val="left"/>
      <w:pPr>
        <w:ind w:left="1350" w:hanging="100"/>
      </w:pPr>
      <w:rPr>
        <w:rFonts w:hint="default"/>
      </w:rPr>
    </w:lvl>
    <w:lvl w:ilvl="6" w:tplc="3EBC1FD0">
      <w:numFmt w:val="bullet"/>
      <w:lvlText w:val="•"/>
      <w:lvlJc w:val="left"/>
      <w:pPr>
        <w:ind w:left="1588" w:hanging="100"/>
      </w:pPr>
      <w:rPr>
        <w:rFonts w:hint="default"/>
      </w:rPr>
    </w:lvl>
    <w:lvl w:ilvl="7" w:tplc="DA56A526">
      <w:numFmt w:val="bullet"/>
      <w:lvlText w:val="•"/>
      <w:lvlJc w:val="left"/>
      <w:pPr>
        <w:ind w:left="1826" w:hanging="100"/>
      </w:pPr>
      <w:rPr>
        <w:rFonts w:hint="default"/>
      </w:rPr>
    </w:lvl>
    <w:lvl w:ilvl="8" w:tplc="1C66E6E2">
      <w:numFmt w:val="bullet"/>
      <w:lvlText w:val="•"/>
      <w:lvlJc w:val="left"/>
      <w:pPr>
        <w:ind w:left="2064" w:hanging="100"/>
      </w:pPr>
      <w:rPr>
        <w:rFonts w:hint="default"/>
      </w:rPr>
    </w:lvl>
  </w:abstractNum>
  <w:abstractNum w:abstractNumId="525" w15:restartNumberingAfterBreak="0">
    <w:nsid w:val="217A6BE5"/>
    <w:multiLevelType w:val="hybridMultilevel"/>
    <w:tmpl w:val="E7AC3BFE"/>
    <w:lvl w:ilvl="0" w:tplc="F2762240">
      <w:numFmt w:val="bullet"/>
      <w:lvlText w:val=""/>
      <w:lvlJc w:val="left"/>
      <w:pPr>
        <w:ind w:left="156" w:hanging="100"/>
      </w:pPr>
      <w:rPr>
        <w:rFonts w:ascii="Symbol" w:eastAsia="Symbol" w:hAnsi="Symbol" w:cs="Symbol" w:hint="default"/>
        <w:color w:val="231F20"/>
        <w:w w:val="100"/>
        <w:sz w:val="14"/>
        <w:szCs w:val="14"/>
      </w:rPr>
    </w:lvl>
    <w:lvl w:ilvl="1" w:tplc="3550B2A0">
      <w:numFmt w:val="bullet"/>
      <w:lvlText w:val="•"/>
      <w:lvlJc w:val="left"/>
      <w:pPr>
        <w:ind w:left="398" w:hanging="100"/>
      </w:pPr>
      <w:rPr>
        <w:rFonts w:hint="default"/>
      </w:rPr>
    </w:lvl>
    <w:lvl w:ilvl="2" w:tplc="421A6784">
      <w:numFmt w:val="bullet"/>
      <w:lvlText w:val="•"/>
      <w:lvlJc w:val="left"/>
      <w:pPr>
        <w:ind w:left="636" w:hanging="100"/>
      </w:pPr>
      <w:rPr>
        <w:rFonts w:hint="default"/>
      </w:rPr>
    </w:lvl>
    <w:lvl w:ilvl="3" w:tplc="C3F89AE8">
      <w:numFmt w:val="bullet"/>
      <w:lvlText w:val="•"/>
      <w:lvlJc w:val="left"/>
      <w:pPr>
        <w:ind w:left="874" w:hanging="100"/>
      </w:pPr>
      <w:rPr>
        <w:rFonts w:hint="default"/>
      </w:rPr>
    </w:lvl>
    <w:lvl w:ilvl="4" w:tplc="3634D49C">
      <w:numFmt w:val="bullet"/>
      <w:lvlText w:val="•"/>
      <w:lvlJc w:val="left"/>
      <w:pPr>
        <w:ind w:left="1112" w:hanging="100"/>
      </w:pPr>
      <w:rPr>
        <w:rFonts w:hint="default"/>
      </w:rPr>
    </w:lvl>
    <w:lvl w:ilvl="5" w:tplc="F8E4E19E">
      <w:numFmt w:val="bullet"/>
      <w:lvlText w:val="•"/>
      <w:lvlJc w:val="left"/>
      <w:pPr>
        <w:ind w:left="1350" w:hanging="100"/>
      </w:pPr>
      <w:rPr>
        <w:rFonts w:hint="default"/>
      </w:rPr>
    </w:lvl>
    <w:lvl w:ilvl="6" w:tplc="2252FEC4">
      <w:numFmt w:val="bullet"/>
      <w:lvlText w:val="•"/>
      <w:lvlJc w:val="left"/>
      <w:pPr>
        <w:ind w:left="1588" w:hanging="100"/>
      </w:pPr>
      <w:rPr>
        <w:rFonts w:hint="default"/>
      </w:rPr>
    </w:lvl>
    <w:lvl w:ilvl="7" w:tplc="6E8C7B8C">
      <w:numFmt w:val="bullet"/>
      <w:lvlText w:val="•"/>
      <w:lvlJc w:val="left"/>
      <w:pPr>
        <w:ind w:left="1826" w:hanging="100"/>
      </w:pPr>
      <w:rPr>
        <w:rFonts w:hint="default"/>
      </w:rPr>
    </w:lvl>
    <w:lvl w:ilvl="8" w:tplc="2CD2D33E">
      <w:numFmt w:val="bullet"/>
      <w:lvlText w:val="•"/>
      <w:lvlJc w:val="left"/>
      <w:pPr>
        <w:ind w:left="2064" w:hanging="100"/>
      </w:pPr>
      <w:rPr>
        <w:rFonts w:hint="default"/>
      </w:rPr>
    </w:lvl>
  </w:abstractNum>
  <w:abstractNum w:abstractNumId="526" w15:restartNumberingAfterBreak="0">
    <w:nsid w:val="21865285"/>
    <w:multiLevelType w:val="hybridMultilevel"/>
    <w:tmpl w:val="0282A65E"/>
    <w:lvl w:ilvl="0" w:tplc="F1E8FDDA">
      <w:numFmt w:val="bullet"/>
      <w:lvlText w:val=""/>
      <w:lvlJc w:val="left"/>
      <w:pPr>
        <w:ind w:left="157" w:hanging="100"/>
      </w:pPr>
      <w:rPr>
        <w:rFonts w:ascii="Symbol" w:eastAsia="Symbol" w:hAnsi="Symbol" w:cs="Symbol" w:hint="default"/>
        <w:color w:val="231F20"/>
        <w:w w:val="100"/>
        <w:sz w:val="14"/>
        <w:szCs w:val="14"/>
      </w:rPr>
    </w:lvl>
    <w:lvl w:ilvl="1" w:tplc="265E3AC0">
      <w:numFmt w:val="bullet"/>
      <w:lvlText w:val="•"/>
      <w:lvlJc w:val="left"/>
      <w:pPr>
        <w:ind w:left="426" w:hanging="100"/>
      </w:pPr>
      <w:rPr>
        <w:rFonts w:hint="default"/>
      </w:rPr>
    </w:lvl>
    <w:lvl w:ilvl="2" w:tplc="5CA6DE70">
      <w:numFmt w:val="bullet"/>
      <w:lvlText w:val="•"/>
      <w:lvlJc w:val="left"/>
      <w:pPr>
        <w:ind w:left="692" w:hanging="100"/>
      </w:pPr>
      <w:rPr>
        <w:rFonts w:hint="default"/>
      </w:rPr>
    </w:lvl>
    <w:lvl w:ilvl="3" w:tplc="06E4B000">
      <w:numFmt w:val="bullet"/>
      <w:lvlText w:val="•"/>
      <w:lvlJc w:val="left"/>
      <w:pPr>
        <w:ind w:left="959" w:hanging="100"/>
      </w:pPr>
      <w:rPr>
        <w:rFonts w:hint="default"/>
      </w:rPr>
    </w:lvl>
    <w:lvl w:ilvl="4" w:tplc="93163792">
      <w:numFmt w:val="bullet"/>
      <w:lvlText w:val="•"/>
      <w:lvlJc w:val="left"/>
      <w:pPr>
        <w:ind w:left="1225" w:hanging="100"/>
      </w:pPr>
      <w:rPr>
        <w:rFonts w:hint="default"/>
      </w:rPr>
    </w:lvl>
    <w:lvl w:ilvl="5" w:tplc="5268F928">
      <w:numFmt w:val="bullet"/>
      <w:lvlText w:val="•"/>
      <w:lvlJc w:val="left"/>
      <w:pPr>
        <w:ind w:left="1492" w:hanging="100"/>
      </w:pPr>
      <w:rPr>
        <w:rFonts w:hint="default"/>
      </w:rPr>
    </w:lvl>
    <w:lvl w:ilvl="6" w:tplc="2D5C9FA4">
      <w:numFmt w:val="bullet"/>
      <w:lvlText w:val="•"/>
      <w:lvlJc w:val="left"/>
      <w:pPr>
        <w:ind w:left="1758" w:hanging="100"/>
      </w:pPr>
      <w:rPr>
        <w:rFonts w:hint="default"/>
      </w:rPr>
    </w:lvl>
    <w:lvl w:ilvl="7" w:tplc="E37C8916">
      <w:numFmt w:val="bullet"/>
      <w:lvlText w:val="•"/>
      <w:lvlJc w:val="left"/>
      <w:pPr>
        <w:ind w:left="2024" w:hanging="100"/>
      </w:pPr>
      <w:rPr>
        <w:rFonts w:hint="default"/>
      </w:rPr>
    </w:lvl>
    <w:lvl w:ilvl="8" w:tplc="9C18E740">
      <w:numFmt w:val="bullet"/>
      <w:lvlText w:val="•"/>
      <w:lvlJc w:val="left"/>
      <w:pPr>
        <w:ind w:left="2291" w:hanging="100"/>
      </w:pPr>
      <w:rPr>
        <w:rFonts w:hint="default"/>
      </w:rPr>
    </w:lvl>
  </w:abstractNum>
  <w:abstractNum w:abstractNumId="527" w15:restartNumberingAfterBreak="0">
    <w:nsid w:val="218E0803"/>
    <w:multiLevelType w:val="hybridMultilevel"/>
    <w:tmpl w:val="F4CAA854"/>
    <w:lvl w:ilvl="0" w:tplc="12082886">
      <w:numFmt w:val="bullet"/>
      <w:lvlText w:val=""/>
      <w:lvlJc w:val="left"/>
      <w:pPr>
        <w:ind w:left="157" w:hanging="100"/>
      </w:pPr>
      <w:rPr>
        <w:rFonts w:ascii="Symbol" w:eastAsia="Symbol" w:hAnsi="Symbol" w:cs="Symbol" w:hint="default"/>
        <w:color w:val="231F20"/>
        <w:w w:val="100"/>
        <w:sz w:val="14"/>
        <w:szCs w:val="14"/>
      </w:rPr>
    </w:lvl>
    <w:lvl w:ilvl="1" w:tplc="14BE0166">
      <w:numFmt w:val="bullet"/>
      <w:lvlText w:val="•"/>
      <w:lvlJc w:val="left"/>
      <w:pPr>
        <w:ind w:left="426" w:hanging="100"/>
      </w:pPr>
      <w:rPr>
        <w:rFonts w:hint="default"/>
      </w:rPr>
    </w:lvl>
    <w:lvl w:ilvl="2" w:tplc="260E3E54">
      <w:numFmt w:val="bullet"/>
      <w:lvlText w:val="•"/>
      <w:lvlJc w:val="left"/>
      <w:pPr>
        <w:ind w:left="692" w:hanging="100"/>
      </w:pPr>
      <w:rPr>
        <w:rFonts w:hint="default"/>
      </w:rPr>
    </w:lvl>
    <w:lvl w:ilvl="3" w:tplc="869819E6">
      <w:numFmt w:val="bullet"/>
      <w:lvlText w:val="•"/>
      <w:lvlJc w:val="left"/>
      <w:pPr>
        <w:ind w:left="959" w:hanging="100"/>
      </w:pPr>
      <w:rPr>
        <w:rFonts w:hint="default"/>
      </w:rPr>
    </w:lvl>
    <w:lvl w:ilvl="4" w:tplc="CD78FCB6">
      <w:numFmt w:val="bullet"/>
      <w:lvlText w:val="•"/>
      <w:lvlJc w:val="left"/>
      <w:pPr>
        <w:ind w:left="1225" w:hanging="100"/>
      </w:pPr>
      <w:rPr>
        <w:rFonts w:hint="default"/>
      </w:rPr>
    </w:lvl>
    <w:lvl w:ilvl="5" w:tplc="975052D4">
      <w:numFmt w:val="bullet"/>
      <w:lvlText w:val="•"/>
      <w:lvlJc w:val="left"/>
      <w:pPr>
        <w:ind w:left="1492" w:hanging="100"/>
      </w:pPr>
      <w:rPr>
        <w:rFonts w:hint="default"/>
      </w:rPr>
    </w:lvl>
    <w:lvl w:ilvl="6" w:tplc="E100767E">
      <w:numFmt w:val="bullet"/>
      <w:lvlText w:val="•"/>
      <w:lvlJc w:val="left"/>
      <w:pPr>
        <w:ind w:left="1758" w:hanging="100"/>
      </w:pPr>
      <w:rPr>
        <w:rFonts w:hint="default"/>
      </w:rPr>
    </w:lvl>
    <w:lvl w:ilvl="7" w:tplc="2BF25ACC">
      <w:numFmt w:val="bullet"/>
      <w:lvlText w:val="•"/>
      <w:lvlJc w:val="left"/>
      <w:pPr>
        <w:ind w:left="2024" w:hanging="100"/>
      </w:pPr>
      <w:rPr>
        <w:rFonts w:hint="default"/>
      </w:rPr>
    </w:lvl>
    <w:lvl w:ilvl="8" w:tplc="DB98D2A2">
      <w:numFmt w:val="bullet"/>
      <w:lvlText w:val="•"/>
      <w:lvlJc w:val="left"/>
      <w:pPr>
        <w:ind w:left="2291" w:hanging="100"/>
      </w:pPr>
      <w:rPr>
        <w:rFonts w:hint="default"/>
      </w:rPr>
    </w:lvl>
  </w:abstractNum>
  <w:abstractNum w:abstractNumId="528" w15:restartNumberingAfterBreak="0">
    <w:nsid w:val="219A3BC3"/>
    <w:multiLevelType w:val="hybridMultilevel"/>
    <w:tmpl w:val="CF1CEF5C"/>
    <w:lvl w:ilvl="0" w:tplc="3E406A82">
      <w:numFmt w:val="bullet"/>
      <w:lvlText w:val=""/>
      <w:lvlJc w:val="left"/>
      <w:pPr>
        <w:ind w:left="156" w:hanging="100"/>
      </w:pPr>
      <w:rPr>
        <w:rFonts w:ascii="Symbol" w:eastAsia="Symbol" w:hAnsi="Symbol" w:cs="Symbol" w:hint="default"/>
        <w:color w:val="231F20"/>
        <w:w w:val="100"/>
        <w:sz w:val="14"/>
        <w:szCs w:val="14"/>
      </w:rPr>
    </w:lvl>
    <w:lvl w:ilvl="1" w:tplc="7D9893BC">
      <w:numFmt w:val="bullet"/>
      <w:lvlText w:val="•"/>
      <w:lvlJc w:val="left"/>
      <w:pPr>
        <w:ind w:left="398" w:hanging="100"/>
      </w:pPr>
      <w:rPr>
        <w:rFonts w:hint="default"/>
      </w:rPr>
    </w:lvl>
    <w:lvl w:ilvl="2" w:tplc="352AD3D4">
      <w:numFmt w:val="bullet"/>
      <w:lvlText w:val="•"/>
      <w:lvlJc w:val="left"/>
      <w:pPr>
        <w:ind w:left="636" w:hanging="100"/>
      </w:pPr>
      <w:rPr>
        <w:rFonts w:hint="default"/>
      </w:rPr>
    </w:lvl>
    <w:lvl w:ilvl="3" w:tplc="25B85304">
      <w:numFmt w:val="bullet"/>
      <w:lvlText w:val="•"/>
      <w:lvlJc w:val="left"/>
      <w:pPr>
        <w:ind w:left="874" w:hanging="100"/>
      </w:pPr>
      <w:rPr>
        <w:rFonts w:hint="default"/>
      </w:rPr>
    </w:lvl>
    <w:lvl w:ilvl="4" w:tplc="58F62C78">
      <w:numFmt w:val="bullet"/>
      <w:lvlText w:val="•"/>
      <w:lvlJc w:val="left"/>
      <w:pPr>
        <w:ind w:left="1112" w:hanging="100"/>
      </w:pPr>
      <w:rPr>
        <w:rFonts w:hint="default"/>
      </w:rPr>
    </w:lvl>
    <w:lvl w:ilvl="5" w:tplc="5C602826">
      <w:numFmt w:val="bullet"/>
      <w:lvlText w:val="•"/>
      <w:lvlJc w:val="left"/>
      <w:pPr>
        <w:ind w:left="1350" w:hanging="100"/>
      </w:pPr>
      <w:rPr>
        <w:rFonts w:hint="default"/>
      </w:rPr>
    </w:lvl>
    <w:lvl w:ilvl="6" w:tplc="C62C2E7E">
      <w:numFmt w:val="bullet"/>
      <w:lvlText w:val="•"/>
      <w:lvlJc w:val="left"/>
      <w:pPr>
        <w:ind w:left="1588" w:hanging="100"/>
      </w:pPr>
      <w:rPr>
        <w:rFonts w:hint="default"/>
      </w:rPr>
    </w:lvl>
    <w:lvl w:ilvl="7" w:tplc="F23A3668">
      <w:numFmt w:val="bullet"/>
      <w:lvlText w:val="•"/>
      <w:lvlJc w:val="left"/>
      <w:pPr>
        <w:ind w:left="1826" w:hanging="100"/>
      </w:pPr>
      <w:rPr>
        <w:rFonts w:hint="default"/>
      </w:rPr>
    </w:lvl>
    <w:lvl w:ilvl="8" w:tplc="AF40C852">
      <w:numFmt w:val="bullet"/>
      <w:lvlText w:val="•"/>
      <w:lvlJc w:val="left"/>
      <w:pPr>
        <w:ind w:left="2064" w:hanging="100"/>
      </w:pPr>
      <w:rPr>
        <w:rFonts w:hint="default"/>
      </w:rPr>
    </w:lvl>
  </w:abstractNum>
  <w:abstractNum w:abstractNumId="529" w15:restartNumberingAfterBreak="0">
    <w:nsid w:val="21B3077F"/>
    <w:multiLevelType w:val="hybridMultilevel"/>
    <w:tmpl w:val="88F24178"/>
    <w:lvl w:ilvl="0" w:tplc="F7E82688">
      <w:numFmt w:val="bullet"/>
      <w:lvlText w:val=""/>
      <w:lvlJc w:val="left"/>
      <w:pPr>
        <w:ind w:left="156" w:hanging="100"/>
      </w:pPr>
      <w:rPr>
        <w:rFonts w:ascii="Symbol" w:eastAsia="Symbol" w:hAnsi="Symbol" w:cs="Symbol" w:hint="default"/>
        <w:color w:val="231F20"/>
        <w:w w:val="100"/>
        <w:sz w:val="14"/>
        <w:szCs w:val="14"/>
      </w:rPr>
    </w:lvl>
    <w:lvl w:ilvl="1" w:tplc="B7605B6C">
      <w:numFmt w:val="bullet"/>
      <w:lvlText w:val="•"/>
      <w:lvlJc w:val="left"/>
      <w:pPr>
        <w:ind w:left="426" w:hanging="100"/>
      </w:pPr>
      <w:rPr>
        <w:rFonts w:hint="default"/>
      </w:rPr>
    </w:lvl>
    <w:lvl w:ilvl="2" w:tplc="9E942E64">
      <w:numFmt w:val="bullet"/>
      <w:lvlText w:val="•"/>
      <w:lvlJc w:val="left"/>
      <w:pPr>
        <w:ind w:left="692" w:hanging="100"/>
      </w:pPr>
      <w:rPr>
        <w:rFonts w:hint="default"/>
      </w:rPr>
    </w:lvl>
    <w:lvl w:ilvl="3" w:tplc="2D14A648">
      <w:numFmt w:val="bullet"/>
      <w:lvlText w:val="•"/>
      <w:lvlJc w:val="left"/>
      <w:pPr>
        <w:ind w:left="959" w:hanging="100"/>
      </w:pPr>
      <w:rPr>
        <w:rFonts w:hint="default"/>
      </w:rPr>
    </w:lvl>
    <w:lvl w:ilvl="4" w:tplc="C1A2EFEC">
      <w:numFmt w:val="bullet"/>
      <w:lvlText w:val="•"/>
      <w:lvlJc w:val="left"/>
      <w:pPr>
        <w:ind w:left="1225" w:hanging="100"/>
      </w:pPr>
      <w:rPr>
        <w:rFonts w:hint="default"/>
      </w:rPr>
    </w:lvl>
    <w:lvl w:ilvl="5" w:tplc="E7B8FF96">
      <w:numFmt w:val="bullet"/>
      <w:lvlText w:val="•"/>
      <w:lvlJc w:val="left"/>
      <w:pPr>
        <w:ind w:left="1492" w:hanging="100"/>
      </w:pPr>
      <w:rPr>
        <w:rFonts w:hint="default"/>
      </w:rPr>
    </w:lvl>
    <w:lvl w:ilvl="6" w:tplc="C048000C">
      <w:numFmt w:val="bullet"/>
      <w:lvlText w:val="•"/>
      <w:lvlJc w:val="left"/>
      <w:pPr>
        <w:ind w:left="1758" w:hanging="100"/>
      </w:pPr>
      <w:rPr>
        <w:rFonts w:hint="default"/>
      </w:rPr>
    </w:lvl>
    <w:lvl w:ilvl="7" w:tplc="1FB60856">
      <w:numFmt w:val="bullet"/>
      <w:lvlText w:val="•"/>
      <w:lvlJc w:val="left"/>
      <w:pPr>
        <w:ind w:left="2024" w:hanging="100"/>
      </w:pPr>
      <w:rPr>
        <w:rFonts w:hint="default"/>
      </w:rPr>
    </w:lvl>
    <w:lvl w:ilvl="8" w:tplc="11F64FFA">
      <w:numFmt w:val="bullet"/>
      <w:lvlText w:val="•"/>
      <w:lvlJc w:val="left"/>
      <w:pPr>
        <w:ind w:left="2291" w:hanging="100"/>
      </w:pPr>
      <w:rPr>
        <w:rFonts w:hint="default"/>
      </w:rPr>
    </w:lvl>
  </w:abstractNum>
  <w:abstractNum w:abstractNumId="530" w15:restartNumberingAfterBreak="0">
    <w:nsid w:val="21B37E6E"/>
    <w:multiLevelType w:val="hybridMultilevel"/>
    <w:tmpl w:val="0CB268C0"/>
    <w:lvl w:ilvl="0" w:tplc="F87C7734">
      <w:numFmt w:val="bullet"/>
      <w:lvlText w:val=""/>
      <w:lvlJc w:val="left"/>
      <w:pPr>
        <w:ind w:left="156" w:hanging="100"/>
      </w:pPr>
      <w:rPr>
        <w:rFonts w:ascii="Symbol" w:eastAsia="Symbol" w:hAnsi="Symbol" w:cs="Symbol" w:hint="default"/>
        <w:color w:val="231F20"/>
        <w:w w:val="100"/>
        <w:sz w:val="14"/>
        <w:szCs w:val="14"/>
      </w:rPr>
    </w:lvl>
    <w:lvl w:ilvl="1" w:tplc="7F426468">
      <w:numFmt w:val="bullet"/>
      <w:lvlText w:val="•"/>
      <w:lvlJc w:val="left"/>
      <w:pPr>
        <w:ind w:left="454" w:hanging="100"/>
      </w:pPr>
      <w:rPr>
        <w:rFonts w:hint="default"/>
      </w:rPr>
    </w:lvl>
    <w:lvl w:ilvl="2" w:tplc="78C0D364">
      <w:numFmt w:val="bullet"/>
      <w:lvlText w:val="•"/>
      <w:lvlJc w:val="left"/>
      <w:pPr>
        <w:ind w:left="749" w:hanging="100"/>
      </w:pPr>
      <w:rPr>
        <w:rFonts w:hint="default"/>
      </w:rPr>
    </w:lvl>
    <w:lvl w:ilvl="3" w:tplc="2520C098">
      <w:numFmt w:val="bullet"/>
      <w:lvlText w:val="•"/>
      <w:lvlJc w:val="left"/>
      <w:pPr>
        <w:ind w:left="1044" w:hanging="100"/>
      </w:pPr>
      <w:rPr>
        <w:rFonts w:hint="default"/>
      </w:rPr>
    </w:lvl>
    <w:lvl w:ilvl="4" w:tplc="2BFCBF3C">
      <w:numFmt w:val="bullet"/>
      <w:lvlText w:val="•"/>
      <w:lvlJc w:val="left"/>
      <w:pPr>
        <w:ind w:left="1339" w:hanging="100"/>
      </w:pPr>
      <w:rPr>
        <w:rFonts w:hint="default"/>
      </w:rPr>
    </w:lvl>
    <w:lvl w:ilvl="5" w:tplc="0B981CAE">
      <w:numFmt w:val="bullet"/>
      <w:lvlText w:val="•"/>
      <w:lvlJc w:val="left"/>
      <w:pPr>
        <w:ind w:left="1634" w:hanging="100"/>
      </w:pPr>
      <w:rPr>
        <w:rFonts w:hint="default"/>
      </w:rPr>
    </w:lvl>
    <w:lvl w:ilvl="6" w:tplc="BDA4AF24">
      <w:numFmt w:val="bullet"/>
      <w:lvlText w:val="•"/>
      <w:lvlJc w:val="left"/>
      <w:pPr>
        <w:ind w:left="1928" w:hanging="100"/>
      </w:pPr>
      <w:rPr>
        <w:rFonts w:hint="default"/>
      </w:rPr>
    </w:lvl>
    <w:lvl w:ilvl="7" w:tplc="79FAF2D8">
      <w:numFmt w:val="bullet"/>
      <w:lvlText w:val="•"/>
      <w:lvlJc w:val="left"/>
      <w:pPr>
        <w:ind w:left="2223" w:hanging="100"/>
      </w:pPr>
      <w:rPr>
        <w:rFonts w:hint="default"/>
      </w:rPr>
    </w:lvl>
    <w:lvl w:ilvl="8" w:tplc="131458C8">
      <w:numFmt w:val="bullet"/>
      <w:lvlText w:val="•"/>
      <w:lvlJc w:val="left"/>
      <w:pPr>
        <w:ind w:left="2518" w:hanging="100"/>
      </w:pPr>
      <w:rPr>
        <w:rFonts w:hint="default"/>
      </w:rPr>
    </w:lvl>
  </w:abstractNum>
  <w:abstractNum w:abstractNumId="531" w15:restartNumberingAfterBreak="0">
    <w:nsid w:val="21B7200B"/>
    <w:multiLevelType w:val="hybridMultilevel"/>
    <w:tmpl w:val="04860664"/>
    <w:lvl w:ilvl="0" w:tplc="85EC351C">
      <w:numFmt w:val="bullet"/>
      <w:lvlText w:val=""/>
      <w:lvlJc w:val="left"/>
      <w:pPr>
        <w:ind w:left="156" w:hanging="100"/>
      </w:pPr>
      <w:rPr>
        <w:rFonts w:ascii="Symbol" w:eastAsia="Symbol" w:hAnsi="Symbol" w:cs="Symbol" w:hint="default"/>
        <w:color w:val="231F20"/>
        <w:w w:val="100"/>
        <w:sz w:val="14"/>
        <w:szCs w:val="14"/>
      </w:rPr>
    </w:lvl>
    <w:lvl w:ilvl="1" w:tplc="BA2CD8FC">
      <w:numFmt w:val="bullet"/>
      <w:lvlText w:val="•"/>
      <w:lvlJc w:val="left"/>
      <w:pPr>
        <w:ind w:left="301" w:hanging="100"/>
      </w:pPr>
      <w:rPr>
        <w:rFonts w:hint="default"/>
      </w:rPr>
    </w:lvl>
    <w:lvl w:ilvl="2" w:tplc="E9B8F4E6">
      <w:numFmt w:val="bullet"/>
      <w:lvlText w:val="•"/>
      <w:lvlJc w:val="left"/>
      <w:pPr>
        <w:ind w:left="443" w:hanging="100"/>
      </w:pPr>
      <w:rPr>
        <w:rFonts w:hint="default"/>
      </w:rPr>
    </w:lvl>
    <w:lvl w:ilvl="3" w:tplc="C520FFD8">
      <w:numFmt w:val="bullet"/>
      <w:lvlText w:val="•"/>
      <w:lvlJc w:val="left"/>
      <w:pPr>
        <w:ind w:left="585" w:hanging="100"/>
      </w:pPr>
      <w:rPr>
        <w:rFonts w:hint="default"/>
      </w:rPr>
    </w:lvl>
    <w:lvl w:ilvl="4" w:tplc="B9CE9350">
      <w:numFmt w:val="bullet"/>
      <w:lvlText w:val="•"/>
      <w:lvlJc w:val="left"/>
      <w:pPr>
        <w:ind w:left="726" w:hanging="100"/>
      </w:pPr>
      <w:rPr>
        <w:rFonts w:hint="default"/>
      </w:rPr>
    </w:lvl>
    <w:lvl w:ilvl="5" w:tplc="0CE048A2">
      <w:numFmt w:val="bullet"/>
      <w:lvlText w:val="•"/>
      <w:lvlJc w:val="left"/>
      <w:pPr>
        <w:ind w:left="868" w:hanging="100"/>
      </w:pPr>
      <w:rPr>
        <w:rFonts w:hint="default"/>
      </w:rPr>
    </w:lvl>
    <w:lvl w:ilvl="6" w:tplc="D3F4DEA4">
      <w:numFmt w:val="bullet"/>
      <w:lvlText w:val="•"/>
      <w:lvlJc w:val="left"/>
      <w:pPr>
        <w:ind w:left="1010" w:hanging="100"/>
      </w:pPr>
      <w:rPr>
        <w:rFonts w:hint="default"/>
      </w:rPr>
    </w:lvl>
    <w:lvl w:ilvl="7" w:tplc="FE62A22C">
      <w:numFmt w:val="bullet"/>
      <w:lvlText w:val="•"/>
      <w:lvlJc w:val="left"/>
      <w:pPr>
        <w:ind w:left="1151" w:hanging="100"/>
      </w:pPr>
      <w:rPr>
        <w:rFonts w:hint="default"/>
      </w:rPr>
    </w:lvl>
    <w:lvl w:ilvl="8" w:tplc="F81625C0">
      <w:numFmt w:val="bullet"/>
      <w:lvlText w:val="•"/>
      <w:lvlJc w:val="left"/>
      <w:pPr>
        <w:ind w:left="1293" w:hanging="100"/>
      </w:pPr>
      <w:rPr>
        <w:rFonts w:hint="default"/>
      </w:rPr>
    </w:lvl>
  </w:abstractNum>
  <w:abstractNum w:abstractNumId="532" w15:restartNumberingAfterBreak="0">
    <w:nsid w:val="21C25798"/>
    <w:multiLevelType w:val="hybridMultilevel"/>
    <w:tmpl w:val="3E522E8E"/>
    <w:lvl w:ilvl="0" w:tplc="73F2A978">
      <w:numFmt w:val="bullet"/>
      <w:lvlText w:val=""/>
      <w:lvlJc w:val="left"/>
      <w:pPr>
        <w:ind w:left="156" w:hanging="100"/>
      </w:pPr>
      <w:rPr>
        <w:rFonts w:ascii="Symbol" w:eastAsia="Symbol" w:hAnsi="Symbol" w:cs="Symbol" w:hint="default"/>
        <w:color w:val="231F20"/>
        <w:w w:val="100"/>
        <w:sz w:val="14"/>
        <w:szCs w:val="14"/>
      </w:rPr>
    </w:lvl>
    <w:lvl w:ilvl="1" w:tplc="0FA68FE4">
      <w:numFmt w:val="bullet"/>
      <w:lvlText w:val="•"/>
      <w:lvlJc w:val="left"/>
      <w:pPr>
        <w:ind w:left="301" w:hanging="100"/>
      </w:pPr>
      <w:rPr>
        <w:rFonts w:hint="default"/>
      </w:rPr>
    </w:lvl>
    <w:lvl w:ilvl="2" w:tplc="9F4C9D3E">
      <w:numFmt w:val="bullet"/>
      <w:lvlText w:val="•"/>
      <w:lvlJc w:val="left"/>
      <w:pPr>
        <w:ind w:left="443" w:hanging="100"/>
      </w:pPr>
      <w:rPr>
        <w:rFonts w:hint="default"/>
      </w:rPr>
    </w:lvl>
    <w:lvl w:ilvl="3" w:tplc="05166F08">
      <w:numFmt w:val="bullet"/>
      <w:lvlText w:val="•"/>
      <w:lvlJc w:val="left"/>
      <w:pPr>
        <w:ind w:left="585" w:hanging="100"/>
      </w:pPr>
      <w:rPr>
        <w:rFonts w:hint="default"/>
      </w:rPr>
    </w:lvl>
    <w:lvl w:ilvl="4" w:tplc="054CA874">
      <w:numFmt w:val="bullet"/>
      <w:lvlText w:val="•"/>
      <w:lvlJc w:val="left"/>
      <w:pPr>
        <w:ind w:left="726" w:hanging="100"/>
      </w:pPr>
      <w:rPr>
        <w:rFonts w:hint="default"/>
      </w:rPr>
    </w:lvl>
    <w:lvl w:ilvl="5" w:tplc="09DC7876">
      <w:numFmt w:val="bullet"/>
      <w:lvlText w:val="•"/>
      <w:lvlJc w:val="left"/>
      <w:pPr>
        <w:ind w:left="868" w:hanging="100"/>
      </w:pPr>
      <w:rPr>
        <w:rFonts w:hint="default"/>
      </w:rPr>
    </w:lvl>
    <w:lvl w:ilvl="6" w:tplc="E480BE2A">
      <w:numFmt w:val="bullet"/>
      <w:lvlText w:val="•"/>
      <w:lvlJc w:val="left"/>
      <w:pPr>
        <w:ind w:left="1010" w:hanging="100"/>
      </w:pPr>
      <w:rPr>
        <w:rFonts w:hint="default"/>
      </w:rPr>
    </w:lvl>
    <w:lvl w:ilvl="7" w:tplc="DB3AF1B8">
      <w:numFmt w:val="bullet"/>
      <w:lvlText w:val="•"/>
      <w:lvlJc w:val="left"/>
      <w:pPr>
        <w:ind w:left="1151" w:hanging="100"/>
      </w:pPr>
      <w:rPr>
        <w:rFonts w:hint="default"/>
      </w:rPr>
    </w:lvl>
    <w:lvl w:ilvl="8" w:tplc="B7AA8318">
      <w:numFmt w:val="bullet"/>
      <w:lvlText w:val="•"/>
      <w:lvlJc w:val="left"/>
      <w:pPr>
        <w:ind w:left="1293" w:hanging="100"/>
      </w:pPr>
      <w:rPr>
        <w:rFonts w:hint="default"/>
      </w:rPr>
    </w:lvl>
  </w:abstractNum>
  <w:abstractNum w:abstractNumId="533" w15:restartNumberingAfterBreak="0">
    <w:nsid w:val="21D52EB4"/>
    <w:multiLevelType w:val="hybridMultilevel"/>
    <w:tmpl w:val="F6C8197C"/>
    <w:lvl w:ilvl="0" w:tplc="10144CCE">
      <w:numFmt w:val="bullet"/>
      <w:lvlText w:val=""/>
      <w:lvlJc w:val="left"/>
      <w:pPr>
        <w:ind w:left="156" w:hanging="100"/>
      </w:pPr>
      <w:rPr>
        <w:rFonts w:ascii="Symbol" w:eastAsia="Symbol" w:hAnsi="Symbol" w:cs="Symbol" w:hint="default"/>
        <w:color w:val="231F20"/>
        <w:w w:val="100"/>
        <w:sz w:val="14"/>
        <w:szCs w:val="14"/>
      </w:rPr>
    </w:lvl>
    <w:lvl w:ilvl="1" w:tplc="12B6429C">
      <w:numFmt w:val="bullet"/>
      <w:lvlText w:val="•"/>
      <w:lvlJc w:val="left"/>
      <w:pPr>
        <w:ind w:left="398" w:hanging="100"/>
      </w:pPr>
      <w:rPr>
        <w:rFonts w:hint="default"/>
      </w:rPr>
    </w:lvl>
    <w:lvl w:ilvl="2" w:tplc="B13612BA">
      <w:numFmt w:val="bullet"/>
      <w:lvlText w:val="•"/>
      <w:lvlJc w:val="left"/>
      <w:pPr>
        <w:ind w:left="636" w:hanging="100"/>
      </w:pPr>
      <w:rPr>
        <w:rFonts w:hint="default"/>
      </w:rPr>
    </w:lvl>
    <w:lvl w:ilvl="3" w:tplc="B90809AA">
      <w:numFmt w:val="bullet"/>
      <w:lvlText w:val="•"/>
      <w:lvlJc w:val="left"/>
      <w:pPr>
        <w:ind w:left="874" w:hanging="100"/>
      </w:pPr>
      <w:rPr>
        <w:rFonts w:hint="default"/>
      </w:rPr>
    </w:lvl>
    <w:lvl w:ilvl="4" w:tplc="FD50825C">
      <w:numFmt w:val="bullet"/>
      <w:lvlText w:val="•"/>
      <w:lvlJc w:val="left"/>
      <w:pPr>
        <w:ind w:left="1112" w:hanging="100"/>
      </w:pPr>
      <w:rPr>
        <w:rFonts w:hint="default"/>
      </w:rPr>
    </w:lvl>
    <w:lvl w:ilvl="5" w:tplc="8912F6CA">
      <w:numFmt w:val="bullet"/>
      <w:lvlText w:val="•"/>
      <w:lvlJc w:val="left"/>
      <w:pPr>
        <w:ind w:left="1350" w:hanging="100"/>
      </w:pPr>
      <w:rPr>
        <w:rFonts w:hint="default"/>
      </w:rPr>
    </w:lvl>
    <w:lvl w:ilvl="6" w:tplc="69F07832">
      <w:numFmt w:val="bullet"/>
      <w:lvlText w:val="•"/>
      <w:lvlJc w:val="left"/>
      <w:pPr>
        <w:ind w:left="1588" w:hanging="100"/>
      </w:pPr>
      <w:rPr>
        <w:rFonts w:hint="default"/>
      </w:rPr>
    </w:lvl>
    <w:lvl w:ilvl="7" w:tplc="8E025A64">
      <w:numFmt w:val="bullet"/>
      <w:lvlText w:val="•"/>
      <w:lvlJc w:val="left"/>
      <w:pPr>
        <w:ind w:left="1826" w:hanging="100"/>
      </w:pPr>
      <w:rPr>
        <w:rFonts w:hint="default"/>
      </w:rPr>
    </w:lvl>
    <w:lvl w:ilvl="8" w:tplc="1EEA6638">
      <w:numFmt w:val="bullet"/>
      <w:lvlText w:val="•"/>
      <w:lvlJc w:val="left"/>
      <w:pPr>
        <w:ind w:left="2064" w:hanging="100"/>
      </w:pPr>
      <w:rPr>
        <w:rFonts w:hint="default"/>
      </w:rPr>
    </w:lvl>
  </w:abstractNum>
  <w:abstractNum w:abstractNumId="534" w15:restartNumberingAfterBreak="0">
    <w:nsid w:val="21D76544"/>
    <w:multiLevelType w:val="hybridMultilevel"/>
    <w:tmpl w:val="4EE4FCFE"/>
    <w:lvl w:ilvl="0" w:tplc="594E8FF0">
      <w:numFmt w:val="bullet"/>
      <w:lvlText w:val=""/>
      <w:lvlJc w:val="left"/>
      <w:pPr>
        <w:ind w:left="156" w:hanging="100"/>
      </w:pPr>
      <w:rPr>
        <w:rFonts w:ascii="Symbol" w:eastAsia="Symbol" w:hAnsi="Symbol" w:cs="Symbol" w:hint="default"/>
        <w:color w:val="231F20"/>
        <w:w w:val="100"/>
        <w:sz w:val="14"/>
        <w:szCs w:val="14"/>
      </w:rPr>
    </w:lvl>
    <w:lvl w:ilvl="1" w:tplc="67022034">
      <w:numFmt w:val="bullet"/>
      <w:lvlText w:val="•"/>
      <w:lvlJc w:val="left"/>
      <w:pPr>
        <w:ind w:left="398" w:hanging="100"/>
      </w:pPr>
      <w:rPr>
        <w:rFonts w:hint="default"/>
      </w:rPr>
    </w:lvl>
    <w:lvl w:ilvl="2" w:tplc="BF4A2040">
      <w:numFmt w:val="bullet"/>
      <w:lvlText w:val="•"/>
      <w:lvlJc w:val="left"/>
      <w:pPr>
        <w:ind w:left="636" w:hanging="100"/>
      </w:pPr>
      <w:rPr>
        <w:rFonts w:hint="default"/>
      </w:rPr>
    </w:lvl>
    <w:lvl w:ilvl="3" w:tplc="BE180DE2">
      <w:numFmt w:val="bullet"/>
      <w:lvlText w:val="•"/>
      <w:lvlJc w:val="left"/>
      <w:pPr>
        <w:ind w:left="874" w:hanging="100"/>
      </w:pPr>
      <w:rPr>
        <w:rFonts w:hint="default"/>
      </w:rPr>
    </w:lvl>
    <w:lvl w:ilvl="4" w:tplc="E3A4C230">
      <w:numFmt w:val="bullet"/>
      <w:lvlText w:val="•"/>
      <w:lvlJc w:val="left"/>
      <w:pPr>
        <w:ind w:left="1112" w:hanging="100"/>
      </w:pPr>
      <w:rPr>
        <w:rFonts w:hint="default"/>
      </w:rPr>
    </w:lvl>
    <w:lvl w:ilvl="5" w:tplc="55D43616">
      <w:numFmt w:val="bullet"/>
      <w:lvlText w:val="•"/>
      <w:lvlJc w:val="left"/>
      <w:pPr>
        <w:ind w:left="1350" w:hanging="100"/>
      </w:pPr>
      <w:rPr>
        <w:rFonts w:hint="default"/>
      </w:rPr>
    </w:lvl>
    <w:lvl w:ilvl="6" w:tplc="51DA9F56">
      <w:numFmt w:val="bullet"/>
      <w:lvlText w:val="•"/>
      <w:lvlJc w:val="left"/>
      <w:pPr>
        <w:ind w:left="1588" w:hanging="100"/>
      </w:pPr>
      <w:rPr>
        <w:rFonts w:hint="default"/>
      </w:rPr>
    </w:lvl>
    <w:lvl w:ilvl="7" w:tplc="36886BF2">
      <w:numFmt w:val="bullet"/>
      <w:lvlText w:val="•"/>
      <w:lvlJc w:val="left"/>
      <w:pPr>
        <w:ind w:left="1826" w:hanging="100"/>
      </w:pPr>
      <w:rPr>
        <w:rFonts w:hint="default"/>
      </w:rPr>
    </w:lvl>
    <w:lvl w:ilvl="8" w:tplc="7F3ED4EA">
      <w:numFmt w:val="bullet"/>
      <w:lvlText w:val="•"/>
      <w:lvlJc w:val="left"/>
      <w:pPr>
        <w:ind w:left="2064" w:hanging="100"/>
      </w:pPr>
      <w:rPr>
        <w:rFonts w:hint="default"/>
      </w:rPr>
    </w:lvl>
  </w:abstractNum>
  <w:abstractNum w:abstractNumId="535" w15:restartNumberingAfterBreak="0">
    <w:nsid w:val="21D7695A"/>
    <w:multiLevelType w:val="hybridMultilevel"/>
    <w:tmpl w:val="F02C8FB4"/>
    <w:lvl w:ilvl="0" w:tplc="94F85124">
      <w:numFmt w:val="bullet"/>
      <w:lvlText w:val=""/>
      <w:lvlJc w:val="left"/>
      <w:pPr>
        <w:ind w:left="156" w:hanging="100"/>
      </w:pPr>
      <w:rPr>
        <w:rFonts w:ascii="Symbol" w:eastAsia="Symbol" w:hAnsi="Symbol" w:cs="Symbol" w:hint="default"/>
        <w:color w:val="231F20"/>
        <w:w w:val="100"/>
        <w:sz w:val="14"/>
        <w:szCs w:val="14"/>
      </w:rPr>
    </w:lvl>
    <w:lvl w:ilvl="1" w:tplc="5BFA181C">
      <w:numFmt w:val="bullet"/>
      <w:lvlText w:val="•"/>
      <w:lvlJc w:val="left"/>
      <w:pPr>
        <w:ind w:left="398" w:hanging="100"/>
      </w:pPr>
      <w:rPr>
        <w:rFonts w:hint="default"/>
      </w:rPr>
    </w:lvl>
    <w:lvl w:ilvl="2" w:tplc="5AD4CDC8">
      <w:numFmt w:val="bullet"/>
      <w:lvlText w:val="•"/>
      <w:lvlJc w:val="left"/>
      <w:pPr>
        <w:ind w:left="636" w:hanging="100"/>
      </w:pPr>
      <w:rPr>
        <w:rFonts w:hint="default"/>
      </w:rPr>
    </w:lvl>
    <w:lvl w:ilvl="3" w:tplc="1E248FA0">
      <w:numFmt w:val="bullet"/>
      <w:lvlText w:val="•"/>
      <w:lvlJc w:val="left"/>
      <w:pPr>
        <w:ind w:left="874" w:hanging="100"/>
      </w:pPr>
      <w:rPr>
        <w:rFonts w:hint="default"/>
      </w:rPr>
    </w:lvl>
    <w:lvl w:ilvl="4" w:tplc="724E9126">
      <w:numFmt w:val="bullet"/>
      <w:lvlText w:val="•"/>
      <w:lvlJc w:val="left"/>
      <w:pPr>
        <w:ind w:left="1112" w:hanging="100"/>
      </w:pPr>
      <w:rPr>
        <w:rFonts w:hint="default"/>
      </w:rPr>
    </w:lvl>
    <w:lvl w:ilvl="5" w:tplc="EBC8F66A">
      <w:numFmt w:val="bullet"/>
      <w:lvlText w:val="•"/>
      <w:lvlJc w:val="left"/>
      <w:pPr>
        <w:ind w:left="1350" w:hanging="100"/>
      </w:pPr>
      <w:rPr>
        <w:rFonts w:hint="default"/>
      </w:rPr>
    </w:lvl>
    <w:lvl w:ilvl="6" w:tplc="E51E5E56">
      <w:numFmt w:val="bullet"/>
      <w:lvlText w:val="•"/>
      <w:lvlJc w:val="left"/>
      <w:pPr>
        <w:ind w:left="1588" w:hanging="100"/>
      </w:pPr>
      <w:rPr>
        <w:rFonts w:hint="default"/>
      </w:rPr>
    </w:lvl>
    <w:lvl w:ilvl="7" w:tplc="7538867C">
      <w:numFmt w:val="bullet"/>
      <w:lvlText w:val="•"/>
      <w:lvlJc w:val="left"/>
      <w:pPr>
        <w:ind w:left="1826" w:hanging="100"/>
      </w:pPr>
      <w:rPr>
        <w:rFonts w:hint="default"/>
      </w:rPr>
    </w:lvl>
    <w:lvl w:ilvl="8" w:tplc="B20280FA">
      <w:numFmt w:val="bullet"/>
      <w:lvlText w:val="•"/>
      <w:lvlJc w:val="left"/>
      <w:pPr>
        <w:ind w:left="2064" w:hanging="100"/>
      </w:pPr>
      <w:rPr>
        <w:rFonts w:hint="default"/>
      </w:rPr>
    </w:lvl>
  </w:abstractNum>
  <w:abstractNum w:abstractNumId="536" w15:restartNumberingAfterBreak="0">
    <w:nsid w:val="21DB19A3"/>
    <w:multiLevelType w:val="hybridMultilevel"/>
    <w:tmpl w:val="6BB6BC92"/>
    <w:lvl w:ilvl="0" w:tplc="C582AD86">
      <w:numFmt w:val="bullet"/>
      <w:lvlText w:val=""/>
      <w:lvlJc w:val="left"/>
      <w:pPr>
        <w:ind w:left="157" w:hanging="100"/>
      </w:pPr>
      <w:rPr>
        <w:rFonts w:ascii="Symbol" w:eastAsia="Symbol" w:hAnsi="Symbol" w:cs="Symbol" w:hint="default"/>
        <w:color w:val="231F20"/>
        <w:w w:val="100"/>
        <w:sz w:val="14"/>
        <w:szCs w:val="14"/>
      </w:rPr>
    </w:lvl>
    <w:lvl w:ilvl="1" w:tplc="6C3A6E12">
      <w:numFmt w:val="bullet"/>
      <w:lvlText w:val="•"/>
      <w:lvlJc w:val="left"/>
      <w:pPr>
        <w:ind w:left="426" w:hanging="100"/>
      </w:pPr>
      <w:rPr>
        <w:rFonts w:hint="default"/>
      </w:rPr>
    </w:lvl>
    <w:lvl w:ilvl="2" w:tplc="40542D16">
      <w:numFmt w:val="bullet"/>
      <w:lvlText w:val="•"/>
      <w:lvlJc w:val="left"/>
      <w:pPr>
        <w:ind w:left="692" w:hanging="100"/>
      </w:pPr>
      <w:rPr>
        <w:rFonts w:hint="default"/>
      </w:rPr>
    </w:lvl>
    <w:lvl w:ilvl="3" w:tplc="F11A2F46">
      <w:numFmt w:val="bullet"/>
      <w:lvlText w:val="•"/>
      <w:lvlJc w:val="left"/>
      <w:pPr>
        <w:ind w:left="959" w:hanging="100"/>
      </w:pPr>
      <w:rPr>
        <w:rFonts w:hint="default"/>
      </w:rPr>
    </w:lvl>
    <w:lvl w:ilvl="4" w:tplc="E94CBE98">
      <w:numFmt w:val="bullet"/>
      <w:lvlText w:val="•"/>
      <w:lvlJc w:val="left"/>
      <w:pPr>
        <w:ind w:left="1225" w:hanging="100"/>
      </w:pPr>
      <w:rPr>
        <w:rFonts w:hint="default"/>
      </w:rPr>
    </w:lvl>
    <w:lvl w:ilvl="5" w:tplc="7AC0AC8C">
      <w:numFmt w:val="bullet"/>
      <w:lvlText w:val="•"/>
      <w:lvlJc w:val="left"/>
      <w:pPr>
        <w:ind w:left="1492" w:hanging="100"/>
      </w:pPr>
      <w:rPr>
        <w:rFonts w:hint="default"/>
      </w:rPr>
    </w:lvl>
    <w:lvl w:ilvl="6" w:tplc="086C6B58">
      <w:numFmt w:val="bullet"/>
      <w:lvlText w:val="•"/>
      <w:lvlJc w:val="left"/>
      <w:pPr>
        <w:ind w:left="1758" w:hanging="100"/>
      </w:pPr>
      <w:rPr>
        <w:rFonts w:hint="default"/>
      </w:rPr>
    </w:lvl>
    <w:lvl w:ilvl="7" w:tplc="6868C55A">
      <w:numFmt w:val="bullet"/>
      <w:lvlText w:val="•"/>
      <w:lvlJc w:val="left"/>
      <w:pPr>
        <w:ind w:left="2024" w:hanging="100"/>
      </w:pPr>
      <w:rPr>
        <w:rFonts w:hint="default"/>
      </w:rPr>
    </w:lvl>
    <w:lvl w:ilvl="8" w:tplc="A94C6E1C">
      <w:numFmt w:val="bullet"/>
      <w:lvlText w:val="•"/>
      <w:lvlJc w:val="left"/>
      <w:pPr>
        <w:ind w:left="2291" w:hanging="100"/>
      </w:pPr>
      <w:rPr>
        <w:rFonts w:hint="default"/>
      </w:rPr>
    </w:lvl>
  </w:abstractNum>
  <w:abstractNum w:abstractNumId="537" w15:restartNumberingAfterBreak="0">
    <w:nsid w:val="21ED410A"/>
    <w:multiLevelType w:val="hybridMultilevel"/>
    <w:tmpl w:val="CA1A057A"/>
    <w:lvl w:ilvl="0" w:tplc="99DC3D7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97123CC0">
      <w:numFmt w:val="bullet"/>
      <w:lvlText w:val="•"/>
      <w:lvlJc w:val="left"/>
      <w:pPr>
        <w:ind w:left="408" w:hanging="84"/>
      </w:pPr>
      <w:rPr>
        <w:rFonts w:hint="default"/>
      </w:rPr>
    </w:lvl>
    <w:lvl w:ilvl="2" w:tplc="19424456">
      <w:numFmt w:val="bullet"/>
      <w:lvlText w:val="•"/>
      <w:lvlJc w:val="left"/>
      <w:pPr>
        <w:ind w:left="676" w:hanging="84"/>
      </w:pPr>
      <w:rPr>
        <w:rFonts w:hint="default"/>
      </w:rPr>
    </w:lvl>
    <w:lvl w:ilvl="3" w:tplc="2E444CB2">
      <w:numFmt w:val="bullet"/>
      <w:lvlText w:val="•"/>
      <w:lvlJc w:val="left"/>
      <w:pPr>
        <w:ind w:left="945" w:hanging="84"/>
      </w:pPr>
      <w:rPr>
        <w:rFonts w:hint="default"/>
      </w:rPr>
    </w:lvl>
    <w:lvl w:ilvl="4" w:tplc="ABD6E352">
      <w:numFmt w:val="bullet"/>
      <w:lvlText w:val="•"/>
      <w:lvlJc w:val="left"/>
      <w:pPr>
        <w:ind w:left="1213" w:hanging="84"/>
      </w:pPr>
      <w:rPr>
        <w:rFonts w:hint="default"/>
      </w:rPr>
    </w:lvl>
    <w:lvl w:ilvl="5" w:tplc="471C6520">
      <w:numFmt w:val="bullet"/>
      <w:lvlText w:val="•"/>
      <w:lvlJc w:val="left"/>
      <w:pPr>
        <w:ind w:left="1482" w:hanging="84"/>
      </w:pPr>
      <w:rPr>
        <w:rFonts w:hint="default"/>
      </w:rPr>
    </w:lvl>
    <w:lvl w:ilvl="6" w:tplc="10749C46">
      <w:numFmt w:val="bullet"/>
      <w:lvlText w:val="•"/>
      <w:lvlJc w:val="left"/>
      <w:pPr>
        <w:ind w:left="1750" w:hanging="84"/>
      </w:pPr>
      <w:rPr>
        <w:rFonts w:hint="default"/>
      </w:rPr>
    </w:lvl>
    <w:lvl w:ilvl="7" w:tplc="B032FDF8">
      <w:numFmt w:val="bullet"/>
      <w:lvlText w:val="•"/>
      <w:lvlJc w:val="left"/>
      <w:pPr>
        <w:ind w:left="2018" w:hanging="84"/>
      </w:pPr>
      <w:rPr>
        <w:rFonts w:hint="default"/>
      </w:rPr>
    </w:lvl>
    <w:lvl w:ilvl="8" w:tplc="D4AE8E46">
      <w:numFmt w:val="bullet"/>
      <w:lvlText w:val="•"/>
      <w:lvlJc w:val="left"/>
      <w:pPr>
        <w:ind w:left="2287" w:hanging="84"/>
      </w:pPr>
      <w:rPr>
        <w:rFonts w:hint="default"/>
      </w:rPr>
    </w:lvl>
  </w:abstractNum>
  <w:abstractNum w:abstractNumId="538" w15:restartNumberingAfterBreak="0">
    <w:nsid w:val="220C4FB8"/>
    <w:multiLevelType w:val="hybridMultilevel"/>
    <w:tmpl w:val="0DD05A7A"/>
    <w:lvl w:ilvl="0" w:tplc="4E7C6E62">
      <w:numFmt w:val="bullet"/>
      <w:lvlText w:val=""/>
      <w:lvlJc w:val="left"/>
      <w:pPr>
        <w:ind w:left="156" w:hanging="100"/>
      </w:pPr>
      <w:rPr>
        <w:rFonts w:ascii="Symbol" w:eastAsia="Symbol" w:hAnsi="Symbol" w:cs="Symbol" w:hint="default"/>
        <w:color w:val="231F20"/>
        <w:w w:val="100"/>
        <w:sz w:val="14"/>
        <w:szCs w:val="14"/>
      </w:rPr>
    </w:lvl>
    <w:lvl w:ilvl="1" w:tplc="1E7A97E6">
      <w:numFmt w:val="bullet"/>
      <w:lvlText w:val="•"/>
      <w:lvlJc w:val="left"/>
      <w:pPr>
        <w:ind w:left="301" w:hanging="100"/>
      </w:pPr>
      <w:rPr>
        <w:rFonts w:hint="default"/>
      </w:rPr>
    </w:lvl>
    <w:lvl w:ilvl="2" w:tplc="C206F556">
      <w:numFmt w:val="bullet"/>
      <w:lvlText w:val="•"/>
      <w:lvlJc w:val="left"/>
      <w:pPr>
        <w:ind w:left="443" w:hanging="100"/>
      </w:pPr>
      <w:rPr>
        <w:rFonts w:hint="default"/>
      </w:rPr>
    </w:lvl>
    <w:lvl w:ilvl="3" w:tplc="964EA8A6">
      <w:numFmt w:val="bullet"/>
      <w:lvlText w:val="•"/>
      <w:lvlJc w:val="left"/>
      <w:pPr>
        <w:ind w:left="585" w:hanging="100"/>
      </w:pPr>
      <w:rPr>
        <w:rFonts w:hint="default"/>
      </w:rPr>
    </w:lvl>
    <w:lvl w:ilvl="4" w:tplc="980C9762">
      <w:numFmt w:val="bullet"/>
      <w:lvlText w:val="•"/>
      <w:lvlJc w:val="left"/>
      <w:pPr>
        <w:ind w:left="726" w:hanging="100"/>
      </w:pPr>
      <w:rPr>
        <w:rFonts w:hint="default"/>
      </w:rPr>
    </w:lvl>
    <w:lvl w:ilvl="5" w:tplc="2C2293EE">
      <w:numFmt w:val="bullet"/>
      <w:lvlText w:val="•"/>
      <w:lvlJc w:val="left"/>
      <w:pPr>
        <w:ind w:left="868" w:hanging="100"/>
      </w:pPr>
      <w:rPr>
        <w:rFonts w:hint="default"/>
      </w:rPr>
    </w:lvl>
    <w:lvl w:ilvl="6" w:tplc="A192E8AE">
      <w:numFmt w:val="bullet"/>
      <w:lvlText w:val="•"/>
      <w:lvlJc w:val="left"/>
      <w:pPr>
        <w:ind w:left="1010" w:hanging="100"/>
      </w:pPr>
      <w:rPr>
        <w:rFonts w:hint="default"/>
      </w:rPr>
    </w:lvl>
    <w:lvl w:ilvl="7" w:tplc="0F6E741C">
      <w:numFmt w:val="bullet"/>
      <w:lvlText w:val="•"/>
      <w:lvlJc w:val="left"/>
      <w:pPr>
        <w:ind w:left="1151" w:hanging="100"/>
      </w:pPr>
      <w:rPr>
        <w:rFonts w:hint="default"/>
      </w:rPr>
    </w:lvl>
    <w:lvl w:ilvl="8" w:tplc="D6785532">
      <w:numFmt w:val="bullet"/>
      <w:lvlText w:val="•"/>
      <w:lvlJc w:val="left"/>
      <w:pPr>
        <w:ind w:left="1293" w:hanging="100"/>
      </w:pPr>
      <w:rPr>
        <w:rFonts w:hint="default"/>
      </w:rPr>
    </w:lvl>
  </w:abstractNum>
  <w:abstractNum w:abstractNumId="539" w15:restartNumberingAfterBreak="0">
    <w:nsid w:val="220E1E85"/>
    <w:multiLevelType w:val="hybridMultilevel"/>
    <w:tmpl w:val="1E4CD4C0"/>
    <w:lvl w:ilvl="0" w:tplc="697A0572">
      <w:numFmt w:val="bullet"/>
      <w:lvlText w:val=""/>
      <w:lvlJc w:val="left"/>
      <w:pPr>
        <w:ind w:left="156" w:hanging="100"/>
      </w:pPr>
      <w:rPr>
        <w:rFonts w:ascii="Symbol" w:eastAsia="Symbol" w:hAnsi="Symbol" w:cs="Symbol" w:hint="default"/>
        <w:color w:val="231F20"/>
        <w:w w:val="100"/>
        <w:sz w:val="14"/>
        <w:szCs w:val="14"/>
      </w:rPr>
    </w:lvl>
    <w:lvl w:ilvl="1" w:tplc="225A4010">
      <w:numFmt w:val="bullet"/>
      <w:lvlText w:val="•"/>
      <w:lvlJc w:val="left"/>
      <w:pPr>
        <w:ind w:left="398" w:hanging="100"/>
      </w:pPr>
      <w:rPr>
        <w:rFonts w:hint="default"/>
      </w:rPr>
    </w:lvl>
    <w:lvl w:ilvl="2" w:tplc="29DC5D48">
      <w:numFmt w:val="bullet"/>
      <w:lvlText w:val="•"/>
      <w:lvlJc w:val="left"/>
      <w:pPr>
        <w:ind w:left="636" w:hanging="100"/>
      </w:pPr>
      <w:rPr>
        <w:rFonts w:hint="default"/>
      </w:rPr>
    </w:lvl>
    <w:lvl w:ilvl="3" w:tplc="11262AC8">
      <w:numFmt w:val="bullet"/>
      <w:lvlText w:val="•"/>
      <w:lvlJc w:val="left"/>
      <w:pPr>
        <w:ind w:left="874" w:hanging="100"/>
      </w:pPr>
      <w:rPr>
        <w:rFonts w:hint="default"/>
      </w:rPr>
    </w:lvl>
    <w:lvl w:ilvl="4" w:tplc="98047FD4">
      <w:numFmt w:val="bullet"/>
      <w:lvlText w:val="•"/>
      <w:lvlJc w:val="left"/>
      <w:pPr>
        <w:ind w:left="1112" w:hanging="100"/>
      </w:pPr>
      <w:rPr>
        <w:rFonts w:hint="default"/>
      </w:rPr>
    </w:lvl>
    <w:lvl w:ilvl="5" w:tplc="46D6D286">
      <w:numFmt w:val="bullet"/>
      <w:lvlText w:val="•"/>
      <w:lvlJc w:val="left"/>
      <w:pPr>
        <w:ind w:left="1350" w:hanging="100"/>
      </w:pPr>
      <w:rPr>
        <w:rFonts w:hint="default"/>
      </w:rPr>
    </w:lvl>
    <w:lvl w:ilvl="6" w:tplc="0DFE4310">
      <w:numFmt w:val="bullet"/>
      <w:lvlText w:val="•"/>
      <w:lvlJc w:val="left"/>
      <w:pPr>
        <w:ind w:left="1588" w:hanging="100"/>
      </w:pPr>
      <w:rPr>
        <w:rFonts w:hint="default"/>
      </w:rPr>
    </w:lvl>
    <w:lvl w:ilvl="7" w:tplc="1B061668">
      <w:numFmt w:val="bullet"/>
      <w:lvlText w:val="•"/>
      <w:lvlJc w:val="left"/>
      <w:pPr>
        <w:ind w:left="1826" w:hanging="100"/>
      </w:pPr>
      <w:rPr>
        <w:rFonts w:hint="default"/>
      </w:rPr>
    </w:lvl>
    <w:lvl w:ilvl="8" w:tplc="E73EBEB8">
      <w:numFmt w:val="bullet"/>
      <w:lvlText w:val="•"/>
      <w:lvlJc w:val="left"/>
      <w:pPr>
        <w:ind w:left="2064" w:hanging="100"/>
      </w:pPr>
      <w:rPr>
        <w:rFonts w:hint="default"/>
      </w:rPr>
    </w:lvl>
  </w:abstractNum>
  <w:abstractNum w:abstractNumId="540" w15:restartNumberingAfterBreak="0">
    <w:nsid w:val="22222C2F"/>
    <w:multiLevelType w:val="hybridMultilevel"/>
    <w:tmpl w:val="77824B94"/>
    <w:lvl w:ilvl="0" w:tplc="ECE21BFE">
      <w:numFmt w:val="bullet"/>
      <w:lvlText w:val=""/>
      <w:lvlJc w:val="left"/>
      <w:pPr>
        <w:ind w:left="156" w:hanging="100"/>
      </w:pPr>
      <w:rPr>
        <w:rFonts w:ascii="Symbol" w:eastAsia="Symbol" w:hAnsi="Symbol" w:cs="Symbol" w:hint="default"/>
        <w:color w:val="231F20"/>
        <w:w w:val="100"/>
        <w:sz w:val="14"/>
        <w:szCs w:val="14"/>
      </w:rPr>
    </w:lvl>
    <w:lvl w:ilvl="1" w:tplc="2E9096C0">
      <w:numFmt w:val="bullet"/>
      <w:lvlText w:val="•"/>
      <w:lvlJc w:val="left"/>
      <w:pPr>
        <w:ind w:left="301" w:hanging="100"/>
      </w:pPr>
      <w:rPr>
        <w:rFonts w:hint="default"/>
      </w:rPr>
    </w:lvl>
    <w:lvl w:ilvl="2" w:tplc="ED08D0BA">
      <w:numFmt w:val="bullet"/>
      <w:lvlText w:val="•"/>
      <w:lvlJc w:val="left"/>
      <w:pPr>
        <w:ind w:left="443" w:hanging="100"/>
      </w:pPr>
      <w:rPr>
        <w:rFonts w:hint="default"/>
      </w:rPr>
    </w:lvl>
    <w:lvl w:ilvl="3" w:tplc="050870C4">
      <w:numFmt w:val="bullet"/>
      <w:lvlText w:val="•"/>
      <w:lvlJc w:val="left"/>
      <w:pPr>
        <w:ind w:left="585" w:hanging="100"/>
      </w:pPr>
      <w:rPr>
        <w:rFonts w:hint="default"/>
      </w:rPr>
    </w:lvl>
    <w:lvl w:ilvl="4" w:tplc="AF56EDA8">
      <w:numFmt w:val="bullet"/>
      <w:lvlText w:val="•"/>
      <w:lvlJc w:val="left"/>
      <w:pPr>
        <w:ind w:left="726" w:hanging="100"/>
      </w:pPr>
      <w:rPr>
        <w:rFonts w:hint="default"/>
      </w:rPr>
    </w:lvl>
    <w:lvl w:ilvl="5" w:tplc="DDF0F066">
      <w:numFmt w:val="bullet"/>
      <w:lvlText w:val="•"/>
      <w:lvlJc w:val="left"/>
      <w:pPr>
        <w:ind w:left="868" w:hanging="100"/>
      </w:pPr>
      <w:rPr>
        <w:rFonts w:hint="default"/>
      </w:rPr>
    </w:lvl>
    <w:lvl w:ilvl="6" w:tplc="0F86C866">
      <w:numFmt w:val="bullet"/>
      <w:lvlText w:val="•"/>
      <w:lvlJc w:val="left"/>
      <w:pPr>
        <w:ind w:left="1010" w:hanging="100"/>
      </w:pPr>
      <w:rPr>
        <w:rFonts w:hint="default"/>
      </w:rPr>
    </w:lvl>
    <w:lvl w:ilvl="7" w:tplc="AB4286D4">
      <w:numFmt w:val="bullet"/>
      <w:lvlText w:val="•"/>
      <w:lvlJc w:val="left"/>
      <w:pPr>
        <w:ind w:left="1151" w:hanging="100"/>
      </w:pPr>
      <w:rPr>
        <w:rFonts w:hint="default"/>
      </w:rPr>
    </w:lvl>
    <w:lvl w:ilvl="8" w:tplc="D9C02A1A">
      <w:numFmt w:val="bullet"/>
      <w:lvlText w:val="•"/>
      <w:lvlJc w:val="left"/>
      <w:pPr>
        <w:ind w:left="1293" w:hanging="100"/>
      </w:pPr>
      <w:rPr>
        <w:rFonts w:hint="default"/>
      </w:rPr>
    </w:lvl>
  </w:abstractNum>
  <w:abstractNum w:abstractNumId="541" w15:restartNumberingAfterBreak="0">
    <w:nsid w:val="222517A3"/>
    <w:multiLevelType w:val="hybridMultilevel"/>
    <w:tmpl w:val="F8AED180"/>
    <w:lvl w:ilvl="0" w:tplc="A22A9584">
      <w:numFmt w:val="bullet"/>
      <w:lvlText w:val=""/>
      <w:lvlJc w:val="left"/>
      <w:pPr>
        <w:ind w:left="156" w:hanging="100"/>
      </w:pPr>
      <w:rPr>
        <w:rFonts w:ascii="Symbol" w:eastAsia="Symbol" w:hAnsi="Symbol" w:cs="Symbol" w:hint="default"/>
        <w:color w:val="231F20"/>
        <w:w w:val="100"/>
        <w:sz w:val="14"/>
        <w:szCs w:val="14"/>
      </w:rPr>
    </w:lvl>
    <w:lvl w:ilvl="1" w:tplc="4C62B442">
      <w:numFmt w:val="bullet"/>
      <w:lvlText w:val="•"/>
      <w:lvlJc w:val="left"/>
      <w:pPr>
        <w:ind w:left="301" w:hanging="100"/>
      </w:pPr>
      <w:rPr>
        <w:rFonts w:hint="default"/>
      </w:rPr>
    </w:lvl>
    <w:lvl w:ilvl="2" w:tplc="B7AA9FFA">
      <w:numFmt w:val="bullet"/>
      <w:lvlText w:val="•"/>
      <w:lvlJc w:val="left"/>
      <w:pPr>
        <w:ind w:left="443" w:hanging="100"/>
      </w:pPr>
      <w:rPr>
        <w:rFonts w:hint="default"/>
      </w:rPr>
    </w:lvl>
    <w:lvl w:ilvl="3" w:tplc="B63E127A">
      <w:numFmt w:val="bullet"/>
      <w:lvlText w:val="•"/>
      <w:lvlJc w:val="left"/>
      <w:pPr>
        <w:ind w:left="585" w:hanging="100"/>
      </w:pPr>
      <w:rPr>
        <w:rFonts w:hint="default"/>
      </w:rPr>
    </w:lvl>
    <w:lvl w:ilvl="4" w:tplc="2130A948">
      <w:numFmt w:val="bullet"/>
      <w:lvlText w:val="•"/>
      <w:lvlJc w:val="left"/>
      <w:pPr>
        <w:ind w:left="726" w:hanging="100"/>
      </w:pPr>
      <w:rPr>
        <w:rFonts w:hint="default"/>
      </w:rPr>
    </w:lvl>
    <w:lvl w:ilvl="5" w:tplc="D1845FA2">
      <w:numFmt w:val="bullet"/>
      <w:lvlText w:val="•"/>
      <w:lvlJc w:val="left"/>
      <w:pPr>
        <w:ind w:left="868" w:hanging="100"/>
      </w:pPr>
      <w:rPr>
        <w:rFonts w:hint="default"/>
      </w:rPr>
    </w:lvl>
    <w:lvl w:ilvl="6" w:tplc="694C107C">
      <w:numFmt w:val="bullet"/>
      <w:lvlText w:val="•"/>
      <w:lvlJc w:val="left"/>
      <w:pPr>
        <w:ind w:left="1010" w:hanging="100"/>
      </w:pPr>
      <w:rPr>
        <w:rFonts w:hint="default"/>
      </w:rPr>
    </w:lvl>
    <w:lvl w:ilvl="7" w:tplc="D108B868">
      <w:numFmt w:val="bullet"/>
      <w:lvlText w:val="•"/>
      <w:lvlJc w:val="left"/>
      <w:pPr>
        <w:ind w:left="1151" w:hanging="100"/>
      </w:pPr>
      <w:rPr>
        <w:rFonts w:hint="default"/>
      </w:rPr>
    </w:lvl>
    <w:lvl w:ilvl="8" w:tplc="00AE5BAC">
      <w:numFmt w:val="bullet"/>
      <w:lvlText w:val="•"/>
      <w:lvlJc w:val="left"/>
      <w:pPr>
        <w:ind w:left="1293" w:hanging="100"/>
      </w:pPr>
      <w:rPr>
        <w:rFonts w:hint="default"/>
      </w:rPr>
    </w:lvl>
  </w:abstractNum>
  <w:abstractNum w:abstractNumId="542" w15:restartNumberingAfterBreak="0">
    <w:nsid w:val="224D25E4"/>
    <w:multiLevelType w:val="hybridMultilevel"/>
    <w:tmpl w:val="93CC7A4A"/>
    <w:lvl w:ilvl="0" w:tplc="EFBCB0A0">
      <w:numFmt w:val="bullet"/>
      <w:lvlText w:val=""/>
      <w:lvlJc w:val="left"/>
      <w:pPr>
        <w:ind w:left="156" w:hanging="100"/>
      </w:pPr>
      <w:rPr>
        <w:rFonts w:ascii="Symbol" w:eastAsia="Symbol" w:hAnsi="Symbol" w:cs="Symbol" w:hint="default"/>
        <w:color w:val="231F20"/>
        <w:w w:val="100"/>
        <w:sz w:val="14"/>
        <w:szCs w:val="14"/>
      </w:rPr>
    </w:lvl>
    <w:lvl w:ilvl="1" w:tplc="562C3DF6">
      <w:numFmt w:val="bullet"/>
      <w:lvlText w:val="•"/>
      <w:lvlJc w:val="left"/>
      <w:pPr>
        <w:ind w:left="398" w:hanging="100"/>
      </w:pPr>
      <w:rPr>
        <w:rFonts w:hint="default"/>
      </w:rPr>
    </w:lvl>
    <w:lvl w:ilvl="2" w:tplc="88A82C8C">
      <w:numFmt w:val="bullet"/>
      <w:lvlText w:val="•"/>
      <w:lvlJc w:val="left"/>
      <w:pPr>
        <w:ind w:left="636" w:hanging="100"/>
      </w:pPr>
      <w:rPr>
        <w:rFonts w:hint="default"/>
      </w:rPr>
    </w:lvl>
    <w:lvl w:ilvl="3" w:tplc="67A80646">
      <w:numFmt w:val="bullet"/>
      <w:lvlText w:val="•"/>
      <w:lvlJc w:val="left"/>
      <w:pPr>
        <w:ind w:left="874" w:hanging="100"/>
      </w:pPr>
      <w:rPr>
        <w:rFonts w:hint="default"/>
      </w:rPr>
    </w:lvl>
    <w:lvl w:ilvl="4" w:tplc="2A30D7A4">
      <w:numFmt w:val="bullet"/>
      <w:lvlText w:val="•"/>
      <w:lvlJc w:val="left"/>
      <w:pPr>
        <w:ind w:left="1112" w:hanging="100"/>
      </w:pPr>
      <w:rPr>
        <w:rFonts w:hint="default"/>
      </w:rPr>
    </w:lvl>
    <w:lvl w:ilvl="5" w:tplc="5D10C66E">
      <w:numFmt w:val="bullet"/>
      <w:lvlText w:val="•"/>
      <w:lvlJc w:val="left"/>
      <w:pPr>
        <w:ind w:left="1350" w:hanging="100"/>
      </w:pPr>
      <w:rPr>
        <w:rFonts w:hint="default"/>
      </w:rPr>
    </w:lvl>
    <w:lvl w:ilvl="6" w:tplc="212ABE6A">
      <w:numFmt w:val="bullet"/>
      <w:lvlText w:val="•"/>
      <w:lvlJc w:val="left"/>
      <w:pPr>
        <w:ind w:left="1588" w:hanging="100"/>
      </w:pPr>
      <w:rPr>
        <w:rFonts w:hint="default"/>
      </w:rPr>
    </w:lvl>
    <w:lvl w:ilvl="7" w:tplc="A2E23736">
      <w:numFmt w:val="bullet"/>
      <w:lvlText w:val="•"/>
      <w:lvlJc w:val="left"/>
      <w:pPr>
        <w:ind w:left="1826" w:hanging="100"/>
      </w:pPr>
      <w:rPr>
        <w:rFonts w:hint="default"/>
      </w:rPr>
    </w:lvl>
    <w:lvl w:ilvl="8" w:tplc="7084EAC2">
      <w:numFmt w:val="bullet"/>
      <w:lvlText w:val="•"/>
      <w:lvlJc w:val="left"/>
      <w:pPr>
        <w:ind w:left="2064" w:hanging="100"/>
      </w:pPr>
      <w:rPr>
        <w:rFonts w:hint="default"/>
      </w:rPr>
    </w:lvl>
  </w:abstractNum>
  <w:abstractNum w:abstractNumId="543" w15:restartNumberingAfterBreak="0">
    <w:nsid w:val="225E1EAC"/>
    <w:multiLevelType w:val="hybridMultilevel"/>
    <w:tmpl w:val="AAE2380E"/>
    <w:lvl w:ilvl="0" w:tplc="C3702358">
      <w:numFmt w:val="bullet"/>
      <w:lvlText w:val=""/>
      <w:lvlJc w:val="left"/>
      <w:pPr>
        <w:ind w:left="156" w:hanging="100"/>
      </w:pPr>
      <w:rPr>
        <w:rFonts w:ascii="Symbol" w:eastAsia="Symbol" w:hAnsi="Symbol" w:cs="Symbol" w:hint="default"/>
        <w:color w:val="231F20"/>
        <w:w w:val="100"/>
        <w:sz w:val="14"/>
        <w:szCs w:val="14"/>
      </w:rPr>
    </w:lvl>
    <w:lvl w:ilvl="1" w:tplc="6394A374">
      <w:numFmt w:val="bullet"/>
      <w:lvlText w:val="•"/>
      <w:lvlJc w:val="left"/>
      <w:pPr>
        <w:ind w:left="426" w:hanging="100"/>
      </w:pPr>
      <w:rPr>
        <w:rFonts w:hint="default"/>
      </w:rPr>
    </w:lvl>
    <w:lvl w:ilvl="2" w:tplc="1228E5C2">
      <w:numFmt w:val="bullet"/>
      <w:lvlText w:val="•"/>
      <w:lvlJc w:val="left"/>
      <w:pPr>
        <w:ind w:left="692" w:hanging="100"/>
      </w:pPr>
      <w:rPr>
        <w:rFonts w:hint="default"/>
      </w:rPr>
    </w:lvl>
    <w:lvl w:ilvl="3" w:tplc="DFD2F6AE">
      <w:numFmt w:val="bullet"/>
      <w:lvlText w:val="•"/>
      <w:lvlJc w:val="left"/>
      <w:pPr>
        <w:ind w:left="959" w:hanging="100"/>
      </w:pPr>
      <w:rPr>
        <w:rFonts w:hint="default"/>
      </w:rPr>
    </w:lvl>
    <w:lvl w:ilvl="4" w:tplc="16D6592A">
      <w:numFmt w:val="bullet"/>
      <w:lvlText w:val="•"/>
      <w:lvlJc w:val="left"/>
      <w:pPr>
        <w:ind w:left="1225" w:hanging="100"/>
      </w:pPr>
      <w:rPr>
        <w:rFonts w:hint="default"/>
      </w:rPr>
    </w:lvl>
    <w:lvl w:ilvl="5" w:tplc="2A648E36">
      <w:numFmt w:val="bullet"/>
      <w:lvlText w:val="•"/>
      <w:lvlJc w:val="left"/>
      <w:pPr>
        <w:ind w:left="1492" w:hanging="100"/>
      </w:pPr>
      <w:rPr>
        <w:rFonts w:hint="default"/>
      </w:rPr>
    </w:lvl>
    <w:lvl w:ilvl="6" w:tplc="251894CA">
      <w:numFmt w:val="bullet"/>
      <w:lvlText w:val="•"/>
      <w:lvlJc w:val="left"/>
      <w:pPr>
        <w:ind w:left="1758" w:hanging="100"/>
      </w:pPr>
      <w:rPr>
        <w:rFonts w:hint="default"/>
      </w:rPr>
    </w:lvl>
    <w:lvl w:ilvl="7" w:tplc="882EAD30">
      <w:numFmt w:val="bullet"/>
      <w:lvlText w:val="•"/>
      <w:lvlJc w:val="left"/>
      <w:pPr>
        <w:ind w:left="2024" w:hanging="100"/>
      </w:pPr>
      <w:rPr>
        <w:rFonts w:hint="default"/>
      </w:rPr>
    </w:lvl>
    <w:lvl w:ilvl="8" w:tplc="ABCA1930">
      <w:numFmt w:val="bullet"/>
      <w:lvlText w:val="•"/>
      <w:lvlJc w:val="left"/>
      <w:pPr>
        <w:ind w:left="2291" w:hanging="100"/>
      </w:pPr>
      <w:rPr>
        <w:rFonts w:hint="default"/>
      </w:rPr>
    </w:lvl>
  </w:abstractNum>
  <w:abstractNum w:abstractNumId="544" w15:restartNumberingAfterBreak="0">
    <w:nsid w:val="22607B31"/>
    <w:multiLevelType w:val="hybridMultilevel"/>
    <w:tmpl w:val="B5BA1ABA"/>
    <w:lvl w:ilvl="0" w:tplc="A8B25BE6">
      <w:numFmt w:val="bullet"/>
      <w:lvlText w:val=""/>
      <w:lvlJc w:val="left"/>
      <w:pPr>
        <w:ind w:left="156" w:hanging="100"/>
      </w:pPr>
      <w:rPr>
        <w:rFonts w:ascii="Symbol" w:eastAsia="Symbol" w:hAnsi="Symbol" w:cs="Symbol" w:hint="default"/>
        <w:color w:val="231F20"/>
        <w:w w:val="100"/>
        <w:sz w:val="14"/>
        <w:szCs w:val="14"/>
      </w:rPr>
    </w:lvl>
    <w:lvl w:ilvl="1" w:tplc="EF542C5E">
      <w:numFmt w:val="bullet"/>
      <w:lvlText w:val="•"/>
      <w:lvlJc w:val="left"/>
      <w:pPr>
        <w:ind w:left="398" w:hanging="100"/>
      </w:pPr>
      <w:rPr>
        <w:rFonts w:hint="default"/>
      </w:rPr>
    </w:lvl>
    <w:lvl w:ilvl="2" w:tplc="8302674A">
      <w:numFmt w:val="bullet"/>
      <w:lvlText w:val="•"/>
      <w:lvlJc w:val="left"/>
      <w:pPr>
        <w:ind w:left="636" w:hanging="100"/>
      </w:pPr>
      <w:rPr>
        <w:rFonts w:hint="default"/>
      </w:rPr>
    </w:lvl>
    <w:lvl w:ilvl="3" w:tplc="D766E9C0">
      <w:numFmt w:val="bullet"/>
      <w:lvlText w:val="•"/>
      <w:lvlJc w:val="left"/>
      <w:pPr>
        <w:ind w:left="874" w:hanging="100"/>
      </w:pPr>
      <w:rPr>
        <w:rFonts w:hint="default"/>
      </w:rPr>
    </w:lvl>
    <w:lvl w:ilvl="4" w:tplc="F4DC3E10">
      <w:numFmt w:val="bullet"/>
      <w:lvlText w:val="•"/>
      <w:lvlJc w:val="left"/>
      <w:pPr>
        <w:ind w:left="1112" w:hanging="100"/>
      </w:pPr>
      <w:rPr>
        <w:rFonts w:hint="default"/>
      </w:rPr>
    </w:lvl>
    <w:lvl w:ilvl="5" w:tplc="4C801CAC">
      <w:numFmt w:val="bullet"/>
      <w:lvlText w:val="•"/>
      <w:lvlJc w:val="left"/>
      <w:pPr>
        <w:ind w:left="1350" w:hanging="100"/>
      </w:pPr>
      <w:rPr>
        <w:rFonts w:hint="default"/>
      </w:rPr>
    </w:lvl>
    <w:lvl w:ilvl="6" w:tplc="5526013C">
      <w:numFmt w:val="bullet"/>
      <w:lvlText w:val="•"/>
      <w:lvlJc w:val="left"/>
      <w:pPr>
        <w:ind w:left="1588" w:hanging="100"/>
      </w:pPr>
      <w:rPr>
        <w:rFonts w:hint="default"/>
      </w:rPr>
    </w:lvl>
    <w:lvl w:ilvl="7" w:tplc="924E65CE">
      <w:numFmt w:val="bullet"/>
      <w:lvlText w:val="•"/>
      <w:lvlJc w:val="left"/>
      <w:pPr>
        <w:ind w:left="1826" w:hanging="100"/>
      </w:pPr>
      <w:rPr>
        <w:rFonts w:hint="default"/>
      </w:rPr>
    </w:lvl>
    <w:lvl w:ilvl="8" w:tplc="02CE0B38">
      <w:numFmt w:val="bullet"/>
      <w:lvlText w:val="•"/>
      <w:lvlJc w:val="left"/>
      <w:pPr>
        <w:ind w:left="2064" w:hanging="100"/>
      </w:pPr>
      <w:rPr>
        <w:rFonts w:hint="default"/>
      </w:rPr>
    </w:lvl>
  </w:abstractNum>
  <w:abstractNum w:abstractNumId="545" w15:restartNumberingAfterBreak="0">
    <w:nsid w:val="2261216B"/>
    <w:multiLevelType w:val="hybridMultilevel"/>
    <w:tmpl w:val="7C7C43EA"/>
    <w:lvl w:ilvl="0" w:tplc="C22EF448">
      <w:numFmt w:val="bullet"/>
      <w:lvlText w:val=""/>
      <w:lvlJc w:val="left"/>
      <w:pPr>
        <w:ind w:left="157" w:hanging="100"/>
      </w:pPr>
      <w:rPr>
        <w:rFonts w:ascii="Symbol" w:eastAsia="Symbol" w:hAnsi="Symbol" w:cs="Symbol" w:hint="default"/>
        <w:color w:val="231F20"/>
        <w:w w:val="100"/>
        <w:sz w:val="14"/>
        <w:szCs w:val="14"/>
      </w:rPr>
    </w:lvl>
    <w:lvl w:ilvl="1" w:tplc="3788E9BC">
      <w:numFmt w:val="bullet"/>
      <w:lvlText w:val="•"/>
      <w:lvlJc w:val="left"/>
      <w:pPr>
        <w:ind w:left="369" w:hanging="100"/>
      </w:pPr>
      <w:rPr>
        <w:rFonts w:hint="default"/>
      </w:rPr>
    </w:lvl>
    <w:lvl w:ilvl="2" w:tplc="571089FE">
      <w:numFmt w:val="bullet"/>
      <w:lvlText w:val="•"/>
      <w:lvlJc w:val="left"/>
      <w:pPr>
        <w:ind w:left="579" w:hanging="100"/>
      </w:pPr>
      <w:rPr>
        <w:rFonts w:hint="default"/>
      </w:rPr>
    </w:lvl>
    <w:lvl w:ilvl="3" w:tplc="766A1AB8">
      <w:numFmt w:val="bullet"/>
      <w:lvlText w:val="•"/>
      <w:lvlJc w:val="left"/>
      <w:pPr>
        <w:ind w:left="789" w:hanging="100"/>
      </w:pPr>
      <w:rPr>
        <w:rFonts w:hint="default"/>
      </w:rPr>
    </w:lvl>
    <w:lvl w:ilvl="4" w:tplc="8C8A318A">
      <w:numFmt w:val="bullet"/>
      <w:lvlText w:val="•"/>
      <w:lvlJc w:val="left"/>
      <w:pPr>
        <w:ind w:left="998" w:hanging="100"/>
      </w:pPr>
      <w:rPr>
        <w:rFonts w:hint="default"/>
      </w:rPr>
    </w:lvl>
    <w:lvl w:ilvl="5" w:tplc="E2A0B4FC">
      <w:numFmt w:val="bullet"/>
      <w:lvlText w:val="•"/>
      <w:lvlJc w:val="left"/>
      <w:pPr>
        <w:ind w:left="1208" w:hanging="100"/>
      </w:pPr>
      <w:rPr>
        <w:rFonts w:hint="default"/>
      </w:rPr>
    </w:lvl>
    <w:lvl w:ilvl="6" w:tplc="B19050E8">
      <w:numFmt w:val="bullet"/>
      <w:lvlText w:val="•"/>
      <w:lvlJc w:val="left"/>
      <w:pPr>
        <w:ind w:left="1418" w:hanging="100"/>
      </w:pPr>
      <w:rPr>
        <w:rFonts w:hint="default"/>
      </w:rPr>
    </w:lvl>
    <w:lvl w:ilvl="7" w:tplc="3C8AEA88">
      <w:numFmt w:val="bullet"/>
      <w:lvlText w:val="•"/>
      <w:lvlJc w:val="left"/>
      <w:pPr>
        <w:ind w:left="1627" w:hanging="100"/>
      </w:pPr>
      <w:rPr>
        <w:rFonts w:hint="default"/>
      </w:rPr>
    </w:lvl>
    <w:lvl w:ilvl="8" w:tplc="05CA6D14">
      <w:numFmt w:val="bullet"/>
      <w:lvlText w:val="•"/>
      <w:lvlJc w:val="left"/>
      <w:pPr>
        <w:ind w:left="1837" w:hanging="100"/>
      </w:pPr>
      <w:rPr>
        <w:rFonts w:hint="default"/>
      </w:rPr>
    </w:lvl>
  </w:abstractNum>
  <w:abstractNum w:abstractNumId="546" w15:restartNumberingAfterBreak="0">
    <w:nsid w:val="226710A7"/>
    <w:multiLevelType w:val="hybridMultilevel"/>
    <w:tmpl w:val="2B8CED50"/>
    <w:lvl w:ilvl="0" w:tplc="AD447880">
      <w:numFmt w:val="bullet"/>
      <w:lvlText w:val=""/>
      <w:lvlJc w:val="left"/>
      <w:pPr>
        <w:ind w:left="156" w:hanging="100"/>
      </w:pPr>
      <w:rPr>
        <w:rFonts w:ascii="Symbol" w:eastAsia="Symbol" w:hAnsi="Symbol" w:cs="Symbol" w:hint="default"/>
        <w:color w:val="231F20"/>
        <w:w w:val="100"/>
        <w:sz w:val="14"/>
        <w:szCs w:val="14"/>
      </w:rPr>
    </w:lvl>
    <w:lvl w:ilvl="1" w:tplc="44DC2A16">
      <w:numFmt w:val="bullet"/>
      <w:lvlText w:val="•"/>
      <w:lvlJc w:val="left"/>
      <w:pPr>
        <w:ind w:left="454" w:hanging="100"/>
      </w:pPr>
      <w:rPr>
        <w:rFonts w:hint="default"/>
      </w:rPr>
    </w:lvl>
    <w:lvl w:ilvl="2" w:tplc="E1B46874">
      <w:numFmt w:val="bullet"/>
      <w:lvlText w:val="•"/>
      <w:lvlJc w:val="left"/>
      <w:pPr>
        <w:ind w:left="749" w:hanging="100"/>
      </w:pPr>
      <w:rPr>
        <w:rFonts w:hint="default"/>
      </w:rPr>
    </w:lvl>
    <w:lvl w:ilvl="3" w:tplc="BA8886AA">
      <w:numFmt w:val="bullet"/>
      <w:lvlText w:val="•"/>
      <w:lvlJc w:val="left"/>
      <w:pPr>
        <w:ind w:left="1044" w:hanging="100"/>
      </w:pPr>
      <w:rPr>
        <w:rFonts w:hint="default"/>
      </w:rPr>
    </w:lvl>
    <w:lvl w:ilvl="4" w:tplc="92BEF4F6">
      <w:numFmt w:val="bullet"/>
      <w:lvlText w:val="•"/>
      <w:lvlJc w:val="left"/>
      <w:pPr>
        <w:ind w:left="1339" w:hanging="100"/>
      </w:pPr>
      <w:rPr>
        <w:rFonts w:hint="default"/>
      </w:rPr>
    </w:lvl>
    <w:lvl w:ilvl="5" w:tplc="17B4D170">
      <w:numFmt w:val="bullet"/>
      <w:lvlText w:val="•"/>
      <w:lvlJc w:val="left"/>
      <w:pPr>
        <w:ind w:left="1634" w:hanging="100"/>
      </w:pPr>
      <w:rPr>
        <w:rFonts w:hint="default"/>
      </w:rPr>
    </w:lvl>
    <w:lvl w:ilvl="6" w:tplc="485ED56C">
      <w:numFmt w:val="bullet"/>
      <w:lvlText w:val="•"/>
      <w:lvlJc w:val="left"/>
      <w:pPr>
        <w:ind w:left="1928" w:hanging="100"/>
      </w:pPr>
      <w:rPr>
        <w:rFonts w:hint="default"/>
      </w:rPr>
    </w:lvl>
    <w:lvl w:ilvl="7" w:tplc="39FA7B5E">
      <w:numFmt w:val="bullet"/>
      <w:lvlText w:val="•"/>
      <w:lvlJc w:val="left"/>
      <w:pPr>
        <w:ind w:left="2223" w:hanging="100"/>
      </w:pPr>
      <w:rPr>
        <w:rFonts w:hint="default"/>
      </w:rPr>
    </w:lvl>
    <w:lvl w:ilvl="8" w:tplc="3376A7EC">
      <w:numFmt w:val="bullet"/>
      <w:lvlText w:val="•"/>
      <w:lvlJc w:val="left"/>
      <w:pPr>
        <w:ind w:left="2518" w:hanging="100"/>
      </w:pPr>
      <w:rPr>
        <w:rFonts w:hint="default"/>
      </w:rPr>
    </w:lvl>
  </w:abstractNum>
  <w:abstractNum w:abstractNumId="547" w15:restartNumberingAfterBreak="0">
    <w:nsid w:val="227228DA"/>
    <w:multiLevelType w:val="hybridMultilevel"/>
    <w:tmpl w:val="E0ACD45E"/>
    <w:lvl w:ilvl="0" w:tplc="D8F6F14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DD4A1CD2">
      <w:numFmt w:val="bullet"/>
      <w:lvlText w:val="•"/>
      <w:lvlJc w:val="left"/>
      <w:pPr>
        <w:ind w:left="426" w:hanging="105"/>
      </w:pPr>
      <w:rPr>
        <w:rFonts w:hint="default"/>
      </w:rPr>
    </w:lvl>
    <w:lvl w:ilvl="2" w:tplc="2C6EC62E">
      <w:numFmt w:val="bullet"/>
      <w:lvlText w:val="•"/>
      <w:lvlJc w:val="left"/>
      <w:pPr>
        <w:ind w:left="692" w:hanging="105"/>
      </w:pPr>
      <w:rPr>
        <w:rFonts w:hint="default"/>
      </w:rPr>
    </w:lvl>
    <w:lvl w:ilvl="3" w:tplc="73B677CE">
      <w:numFmt w:val="bullet"/>
      <w:lvlText w:val="•"/>
      <w:lvlJc w:val="left"/>
      <w:pPr>
        <w:ind w:left="959" w:hanging="105"/>
      </w:pPr>
      <w:rPr>
        <w:rFonts w:hint="default"/>
      </w:rPr>
    </w:lvl>
    <w:lvl w:ilvl="4" w:tplc="BA42F2C6">
      <w:numFmt w:val="bullet"/>
      <w:lvlText w:val="•"/>
      <w:lvlJc w:val="left"/>
      <w:pPr>
        <w:ind w:left="1225" w:hanging="105"/>
      </w:pPr>
      <w:rPr>
        <w:rFonts w:hint="default"/>
      </w:rPr>
    </w:lvl>
    <w:lvl w:ilvl="5" w:tplc="3B70A37E">
      <w:numFmt w:val="bullet"/>
      <w:lvlText w:val="•"/>
      <w:lvlJc w:val="left"/>
      <w:pPr>
        <w:ind w:left="1492" w:hanging="105"/>
      </w:pPr>
      <w:rPr>
        <w:rFonts w:hint="default"/>
      </w:rPr>
    </w:lvl>
    <w:lvl w:ilvl="6" w:tplc="98A8F80C">
      <w:numFmt w:val="bullet"/>
      <w:lvlText w:val="•"/>
      <w:lvlJc w:val="left"/>
      <w:pPr>
        <w:ind w:left="1758" w:hanging="105"/>
      </w:pPr>
      <w:rPr>
        <w:rFonts w:hint="default"/>
      </w:rPr>
    </w:lvl>
    <w:lvl w:ilvl="7" w:tplc="950A2A96">
      <w:numFmt w:val="bullet"/>
      <w:lvlText w:val="•"/>
      <w:lvlJc w:val="left"/>
      <w:pPr>
        <w:ind w:left="2024" w:hanging="105"/>
      </w:pPr>
      <w:rPr>
        <w:rFonts w:hint="default"/>
      </w:rPr>
    </w:lvl>
    <w:lvl w:ilvl="8" w:tplc="3E34C4AE">
      <w:numFmt w:val="bullet"/>
      <w:lvlText w:val="•"/>
      <w:lvlJc w:val="left"/>
      <w:pPr>
        <w:ind w:left="2291" w:hanging="105"/>
      </w:pPr>
      <w:rPr>
        <w:rFonts w:hint="default"/>
      </w:rPr>
    </w:lvl>
  </w:abstractNum>
  <w:abstractNum w:abstractNumId="548" w15:restartNumberingAfterBreak="0">
    <w:nsid w:val="22752966"/>
    <w:multiLevelType w:val="hybridMultilevel"/>
    <w:tmpl w:val="CFBE3AE6"/>
    <w:lvl w:ilvl="0" w:tplc="FD2869EE">
      <w:numFmt w:val="bullet"/>
      <w:lvlText w:val=""/>
      <w:lvlJc w:val="left"/>
      <w:pPr>
        <w:ind w:left="156" w:hanging="100"/>
      </w:pPr>
      <w:rPr>
        <w:rFonts w:ascii="Symbol" w:eastAsia="Symbol" w:hAnsi="Symbol" w:cs="Symbol" w:hint="default"/>
        <w:color w:val="231F20"/>
        <w:w w:val="100"/>
        <w:sz w:val="14"/>
        <w:szCs w:val="14"/>
      </w:rPr>
    </w:lvl>
    <w:lvl w:ilvl="1" w:tplc="3E0EEA0E">
      <w:numFmt w:val="bullet"/>
      <w:lvlText w:val="•"/>
      <w:lvlJc w:val="left"/>
      <w:pPr>
        <w:ind w:left="426" w:hanging="100"/>
      </w:pPr>
      <w:rPr>
        <w:rFonts w:hint="default"/>
      </w:rPr>
    </w:lvl>
    <w:lvl w:ilvl="2" w:tplc="9BB278F8">
      <w:numFmt w:val="bullet"/>
      <w:lvlText w:val="•"/>
      <w:lvlJc w:val="left"/>
      <w:pPr>
        <w:ind w:left="692" w:hanging="100"/>
      </w:pPr>
      <w:rPr>
        <w:rFonts w:hint="default"/>
      </w:rPr>
    </w:lvl>
    <w:lvl w:ilvl="3" w:tplc="66F8C662">
      <w:numFmt w:val="bullet"/>
      <w:lvlText w:val="•"/>
      <w:lvlJc w:val="left"/>
      <w:pPr>
        <w:ind w:left="959" w:hanging="100"/>
      </w:pPr>
      <w:rPr>
        <w:rFonts w:hint="default"/>
      </w:rPr>
    </w:lvl>
    <w:lvl w:ilvl="4" w:tplc="2958A360">
      <w:numFmt w:val="bullet"/>
      <w:lvlText w:val="•"/>
      <w:lvlJc w:val="left"/>
      <w:pPr>
        <w:ind w:left="1225" w:hanging="100"/>
      </w:pPr>
      <w:rPr>
        <w:rFonts w:hint="default"/>
      </w:rPr>
    </w:lvl>
    <w:lvl w:ilvl="5" w:tplc="3AAAEB1C">
      <w:numFmt w:val="bullet"/>
      <w:lvlText w:val="•"/>
      <w:lvlJc w:val="left"/>
      <w:pPr>
        <w:ind w:left="1492" w:hanging="100"/>
      </w:pPr>
      <w:rPr>
        <w:rFonts w:hint="default"/>
      </w:rPr>
    </w:lvl>
    <w:lvl w:ilvl="6" w:tplc="3034BD7A">
      <w:numFmt w:val="bullet"/>
      <w:lvlText w:val="•"/>
      <w:lvlJc w:val="left"/>
      <w:pPr>
        <w:ind w:left="1758" w:hanging="100"/>
      </w:pPr>
      <w:rPr>
        <w:rFonts w:hint="default"/>
      </w:rPr>
    </w:lvl>
    <w:lvl w:ilvl="7" w:tplc="A7E6908A">
      <w:numFmt w:val="bullet"/>
      <w:lvlText w:val="•"/>
      <w:lvlJc w:val="left"/>
      <w:pPr>
        <w:ind w:left="2024" w:hanging="100"/>
      </w:pPr>
      <w:rPr>
        <w:rFonts w:hint="default"/>
      </w:rPr>
    </w:lvl>
    <w:lvl w:ilvl="8" w:tplc="A65CAD7E">
      <w:numFmt w:val="bullet"/>
      <w:lvlText w:val="•"/>
      <w:lvlJc w:val="left"/>
      <w:pPr>
        <w:ind w:left="2291" w:hanging="100"/>
      </w:pPr>
      <w:rPr>
        <w:rFonts w:hint="default"/>
      </w:rPr>
    </w:lvl>
  </w:abstractNum>
  <w:abstractNum w:abstractNumId="549" w15:restartNumberingAfterBreak="0">
    <w:nsid w:val="227C1D01"/>
    <w:multiLevelType w:val="hybridMultilevel"/>
    <w:tmpl w:val="DD0A6228"/>
    <w:lvl w:ilvl="0" w:tplc="2EA6E44C">
      <w:numFmt w:val="bullet"/>
      <w:lvlText w:val=""/>
      <w:lvlJc w:val="left"/>
      <w:pPr>
        <w:ind w:left="157" w:hanging="100"/>
      </w:pPr>
      <w:rPr>
        <w:rFonts w:ascii="Symbol" w:eastAsia="Symbol" w:hAnsi="Symbol" w:cs="Symbol" w:hint="default"/>
        <w:color w:val="231F20"/>
        <w:w w:val="100"/>
        <w:sz w:val="14"/>
        <w:szCs w:val="14"/>
      </w:rPr>
    </w:lvl>
    <w:lvl w:ilvl="1" w:tplc="E7E8506C">
      <w:numFmt w:val="bullet"/>
      <w:lvlText w:val="•"/>
      <w:lvlJc w:val="left"/>
      <w:pPr>
        <w:ind w:left="369" w:hanging="100"/>
      </w:pPr>
      <w:rPr>
        <w:rFonts w:hint="default"/>
      </w:rPr>
    </w:lvl>
    <w:lvl w:ilvl="2" w:tplc="A8287E74">
      <w:numFmt w:val="bullet"/>
      <w:lvlText w:val="•"/>
      <w:lvlJc w:val="left"/>
      <w:pPr>
        <w:ind w:left="579" w:hanging="100"/>
      </w:pPr>
      <w:rPr>
        <w:rFonts w:hint="default"/>
      </w:rPr>
    </w:lvl>
    <w:lvl w:ilvl="3" w:tplc="C0A29DEA">
      <w:numFmt w:val="bullet"/>
      <w:lvlText w:val="•"/>
      <w:lvlJc w:val="left"/>
      <w:pPr>
        <w:ind w:left="789" w:hanging="100"/>
      </w:pPr>
      <w:rPr>
        <w:rFonts w:hint="default"/>
      </w:rPr>
    </w:lvl>
    <w:lvl w:ilvl="4" w:tplc="896200BE">
      <w:numFmt w:val="bullet"/>
      <w:lvlText w:val="•"/>
      <w:lvlJc w:val="left"/>
      <w:pPr>
        <w:ind w:left="998" w:hanging="100"/>
      </w:pPr>
      <w:rPr>
        <w:rFonts w:hint="default"/>
      </w:rPr>
    </w:lvl>
    <w:lvl w:ilvl="5" w:tplc="E16C6CBE">
      <w:numFmt w:val="bullet"/>
      <w:lvlText w:val="•"/>
      <w:lvlJc w:val="left"/>
      <w:pPr>
        <w:ind w:left="1208" w:hanging="100"/>
      </w:pPr>
      <w:rPr>
        <w:rFonts w:hint="default"/>
      </w:rPr>
    </w:lvl>
    <w:lvl w:ilvl="6" w:tplc="36662E22">
      <w:numFmt w:val="bullet"/>
      <w:lvlText w:val="•"/>
      <w:lvlJc w:val="left"/>
      <w:pPr>
        <w:ind w:left="1418" w:hanging="100"/>
      </w:pPr>
      <w:rPr>
        <w:rFonts w:hint="default"/>
      </w:rPr>
    </w:lvl>
    <w:lvl w:ilvl="7" w:tplc="52667AC2">
      <w:numFmt w:val="bullet"/>
      <w:lvlText w:val="•"/>
      <w:lvlJc w:val="left"/>
      <w:pPr>
        <w:ind w:left="1627" w:hanging="100"/>
      </w:pPr>
      <w:rPr>
        <w:rFonts w:hint="default"/>
      </w:rPr>
    </w:lvl>
    <w:lvl w:ilvl="8" w:tplc="D37A7ADA">
      <w:numFmt w:val="bullet"/>
      <w:lvlText w:val="•"/>
      <w:lvlJc w:val="left"/>
      <w:pPr>
        <w:ind w:left="1837" w:hanging="100"/>
      </w:pPr>
      <w:rPr>
        <w:rFonts w:hint="default"/>
      </w:rPr>
    </w:lvl>
  </w:abstractNum>
  <w:abstractNum w:abstractNumId="550" w15:restartNumberingAfterBreak="0">
    <w:nsid w:val="22E55613"/>
    <w:multiLevelType w:val="hybridMultilevel"/>
    <w:tmpl w:val="D476489E"/>
    <w:lvl w:ilvl="0" w:tplc="489C1EDC">
      <w:numFmt w:val="bullet"/>
      <w:lvlText w:val="–"/>
      <w:lvlJc w:val="left"/>
      <w:pPr>
        <w:ind w:left="163" w:hanging="105"/>
      </w:pPr>
      <w:rPr>
        <w:rFonts w:ascii="Times New Roman" w:eastAsia="Times New Roman" w:hAnsi="Times New Roman" w:cs="Times New Roman" w:hint="default"/>
        <w:color w:val="231F20"/>
        <w:spacing w:val="-5"/>
        <w:w w:val="100"/>
        <w:sz w:val="14"/>
        <w:szCs w:val="14"/>
      </w:rPr>
    </w:lvl>
    <w:lvl w:ilvl="1" w:tplc="24982C12">
      <w:numFmt w:val="bullet"/>
      <w:lvlText w:val="•"/>
      <w:lvlJc w:val="left"/>
      <w:pPr>
        <w:ind w:left="426" w:hanging="105"/>
      </w:pPr>
      <w:rPr>
        <w:rFonts w:hint="default"/>
      </w:rPr>
    </w:lvl>
    <w:lvl w:ilvl="2" w:tplc="053E9A3A">
      <w:numFmt w:val="bullet"/>
      <w:lvlText w:val="•"/>
      <w:lvlJc w:val="left"/>
      <w:pPr>
        <w:ind w:left="692" w:hanging="105"/>
      </w:pPr>
      <w:rPr>
        <w:rFonts w:hint="default"/>
      </w:rPr>
    </w:lvl>
    <w:lvl w:ilvl="3" w:tplc="44A86F00">
      <w:numFmt w:val="bullet"/>
      <w:lvlText w:val="•"/>
      <w:lvlJc w:val="left"/>
      <w:pPr>
        <w:ind w:left="959" w:hanging="105"/>
      </w:pPr>
      <w:rPr>
        <w:rFonts w:hint="default"/>
      </w:rPr>
    </w:lvl>
    <w:lvl w:ilvl="4" w:tplc="E7A65EBC">
      <w:numFmt w:val="bullet"/>
      <w:lvlText w:val="•"/>
      <w:lvlJc w:val="left"/>
      <w:pPr>
        <w:ind w:left="1225" w:hanging="105"/>
      </w:pPr>
      <w:rPr>
        <w:rFonts w:hint="default"/>
      </w:rPr>
    </w:lvl>
    <w:lvl w:ilvl="5" w:tplc="E0141400">
      <w:numFmt w:val="bullet"/>
      <w:lvlText w:val="•"/>
      <w:lvlJc w:val="left"/>
      <w:pPr>
        <w:ind w:left="1492" w:hanging="105"/>
      </w:pPr>
      <w:rPr>
        <w:rFonts w:hint="default"/>
      </w:rPr>
    </w:lvl>
    <w:lvl w:ilvl="6" w:tplc="870C36C6">
      <w:numFmt w:val="bullet"/>
      <w:lvlText w:val="•"/>
      <w:lvlJc w:val="left"/>
      <w:pPr>
        <w:ind w:left="1758" w:hanging="105"/>
      </w:pPr>
      <w:rPr>
        <w:rFonts w:hint="default"/>
      </w:rPr>
    </w:lvl>
    <w:lvl w:ilvl="7" w:tplc="B67065B8">
      <w:numFmt w:val="bullet"/>
      <w:lvlText w:val="•"/>
      <w:lvlJc w:val="left"/>
      <w:pPr>
        <w:ind w:left="2024" w:hanging="105"/>
      </w:pPr>
      <w:rPr>
        <w:rFonts w:hint="default"/>
      </w:rPr>
    </w:lvl>
    <w:lvl w:ilvl="8" w:tplc="BE4868C8">
      <w:numFmt w:val="bullet"/>
      <w:lvlText w:val="•"/>
      <w:lvlJc w:val="left"/>
      <w:pPr>
        <w:ind w:left="2291" w:hanging="105"/>
      </w:pPr>
      <w:rPr>
        <w:rFonts w:hint="default"/>
      </w:rPr>
    </w:lvl>
  </w:abstractNum>
  <w:abstractNum w:abstractNumId="551" w15:restartNumberingAfterBreak="0">
    <w:nsid w:val="22F427E3"/>
    <w:multiLevelType w:val="hybridMultilevel"/>
    <w:tmpl w:val="AE5C8676"/>
    <w:lvl w:ilvl="0" w:tplc="C22A640C">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918AD042">
      <w:numFmt w:val="bullet"/>
      <w:lvlText w:val="•"/>
      <w:lvlJc w:val="left"/>
      <w:pPr>
        <w:ind w:left="240" w:hanging="105"/>
      </w:pPr>
      <w:rPr>
        <w:rFonts w:hint="default"/>
      </w:rPr>
    </w:lvl>
    <w:lvl w:ilvl="2" w:tplc="078E3168">
      <w:numFmt w:val="bullet"/>
      <w:lvlText w:val="•"/>
      <w:lvlJc w:val="left"/>
      <w:pPr>
        <w:ind w:left="464" w:hanging="105"/>
      </w:pPr>
      <w:rPr>
        <w:rFonts w:hint="default"/>
      </w:rPr>
    </w:lvl>
    <w:lvl w:ilvl="3" w:tplc="DEE81560">
      <w:numFmt w:val="bullet"/>
      <w:lvlText w:val="•"/>
      <w:lvlJc w:val="left"/>
      <w:pPr>
        <w:ind w:left="688" w:hanging="105"/>
      </w:pPr>
      <w:rPr>
        <w:rFonts w:hint="default"/>
      </w:rPr>
    </w:lvl>
    <w:lvl w:ilvl="4" w:tplc="5782AF9C">
      <w:numFmt w:val="bullet"/>
      <w:lvlText w:val="•"/>
      <w:lvlJc w:val="left"/>
      <w:pPr>
        <w:ind w:left="912" w:hanging="105"/>
      </w:pPr>
      <w:rPr>
        <w:rFonts w:hint="default"/>
      </w:rPr>
    </w:lvl>
    <w:lvl w:ilvl="5" w:tplc="7F78BD24">
      <w:numFmt w:val="bullet"/>
      <w:lvlText w:val="•"/>
      <w:lvlJc w:val="left"/>
      <w:pPr>
        <w:ind w:left="1136" w:hanging="105"/>
      </w:pPr>
      <w:rPr>
        <w:rFonts w:hint="default"/>
      </w:rPr>
    </w:lvl>
    <w:lvl w:ilvl="6" w:tplc="BCAA6ACA">
      <w:numFmt w:val="bullet"/>
      <w:lvlText w:val="•"/>
      <w:lvlJc w:val="left"/>
      <w:pPr>
        <w:ind w:left="1360" w:hanging="105"/>
      </w:pPr>
      <w:rPr>
        <w:rFonts w:hint="default"/>
      </w:rPr>
    </w:lvl>
    <w:lvl w:ilvl="7" w:tplc="6290B576">
      <w:numFmt w:val="bullet"/>
      <w:lvlText w:val="•"/>
      <w:lvlJc w:val="left"/>
      <w:pPr>
        <w:ind w:left="1584" w:hanging="105"/>
      </w:pPr>
      <w:rPr>
        <w:rFonts w:hint="default"/>
      </w:rPr>
    </w:lvl>
    <w:lvl w:ilvl="8" w:tplc="FB4ACFD6">
      <w:numFmt w:val="bullet"/>
      <w:lvlText w:val="•"/>
      <w:lvlJc w:val="left"/>
      <w:pPr>
        <w:ind w:left="1808" w:hanging="105"/>
      </w:pPr>
      <w:rPr>
        <w:rFonts w:hint="default"/>
      </w:rPr>
    </w:lvl>
  </w:abstractNum>
  <w:abstractNum w:abstractNumId="552" w15:restartNumberingAfterBreak="0">
    <w:nsid w:val="231634C2"/>
    <w:multiLevelType w:val="hybridMultilevel"/>
    <w:tmpl w:val="7B2477B6"/>
    <w:lvl w:ilvl="0" w:tplc="F0162D70">
      <w:numFmt w:val="bullet"/>
      <w:lvlText w:val=""/>
      <w:lvlJc w:val="left"/>
      <w:pPr>
        <w:ind w:left="156" w:hanging="100"/>
      </w:pPr>
      <w:rPr>
        <w:rFonts w:ascii="Symbol" w:eastAsia="Symbol" w:hAnsi="Symbol" w:cs="Symbol" w:hint="default"/>
        <w:color w:val="231F20"/>
        <w:w w:val="100"/>
        <w:sz w:val="14"/>
        <w:szCs w:val="14"/>
      </w:rPr>
    </w:lvl>
    <w:lvl w:ilvl="1" w:tplc="968E605E">
      <w:numFmt w:val="bullet"/>
      <w:lvlText w:val="•"/>
      <w:lvlJc w:val="left"/>
      <w:pPr>
        <w:ind w:left="301" w:hanging="100"/>
      </w:pPr>
      <w:rPr>
        <w:rFonts w:hint="default"/>
      </w:rPr>
    </w:lvl>
    <w:lvl w:ilvl="2" w:tplc="6212D8FA">
      <w:numFmt w:val="bullet"/>
      <w:lvlText w:val="•"/>
      <w:lvlJc w:val="left"/>
      <w:pPr>
        <w:ind w:left="443" w:hanging="100"/>
      </w:pPr>
      <w:rPr>
        <w:rFonts w:hint="default"/>
      </w:rPr>
    </w:lvl>
    <w:lvl w:ilvl="3" w:tplc="749E6526">
      <w:numFmt w:val="bullet"/>
      <w:lvlText w:val="•"/>
      <w:lvlJc w:val="left"/>
      <w:pPr>
        <w:ind w:left="585" w:hanging="100"/>
      </w:pPr>
      <w:rPr>
        <w:rFonts w:hint="default"/>
      </w:rPr>
    </w:lvl>
    <w:lvl w:ilvl="4" w:tplc="EF74C43A">
      <w:numFmt w:val="bullet"/>
      <w:lvlText w:val="•"/>
      <w:lvlJc w:val="left"/>
      <w:pPr>
        <w:ind w:left="726" w:hanging="100"/>
      </w:pPr>
      <w:rPr>
        <w:rFonts w:hint="default"/>
      </w:rPr>
    </w:lvl>
    <w:lvl w:ilvl="5" w:tplc="9A820FA6">
      <w:numFmt w:val="bullet"/>
      <w:lvlText w:val="•"/>
      <w:lvlJc w:val="left"/>
      <w:pPr>
        <w:ind w:left="868" w:hanging="100"/>
      </w:pPr>
      <w:rPr>
        <w:rFonts w:hint="default"/>
      </w:rPr>
    </w:lvl>
    <w:lvl w:ilvl="6" w:tplc="AA46B4B2">
      <w:numFmt w:val="bullet"/>
      <w:lvlText w:val="•"/>
      <w:lvlJc w:val="left"/>
      <w:pPr>
        <w:ind w:left="1010" w:hanging="100"/>
      </w:pPr>
      <w:rPr>
        <w:rFonts w:hint="default"/>
      </w:rPr>
    </w:lvl>
    <w:lvl w:ilvl="7" w:tplc="8E141520">
      <w:numFmt w:val="bullet"/>
      <w:lvlText w:val="•"/>
      <w:lvlJc w:val="left"/>
      <w:pPr>
        <w:ind w:left="1151" w:hanging="100"/>
      </w:pPr>
      <w:rPr>
        <w:rFonts w:hint="default"/>
      </w:rPr>
    </w:lvl>
    <w:lvl w:ilvl="8" w:tplc="E1809122">
      <w:numFmt w:val="bullet"/>
      <w:lvlText w:val="•"/>
      <w:lvlJc w:val="left"/>
      <w:pPr>
        <w:ind w:left="1293" w:hanging="100"/>
      </w:pPr>
      <w:rPr>
        <w:rFonts w:hint="default"/>
      </w:rPr>
    </w:lvl>
  </w:abstractNum>
  <w:abstractNum w:abstractNumId="553" w15:restartNumberingAfterBreak="0">
    <w:nsid w:val="23425019"/>
    <w:multiLevelType w:val="hybridMultilevel"/>
    <w:tmpl w:val="44FE368A"/>
    <w:lvl w:ilvl="0" w:tplc="A86E35DA">
      <w:numFmt w:val="bullet"/>
      <w:lvlText w:val=""/>
      <w:lvlJc w:val="left"/>
      <w:pPr>
        <w:ind w:left="156" w:hanging="100"/>
      </w:pPr>
      <w:rPr>
        <w:rFonts w:ascii="Symbol" w:eastAsia="Symbol" w:hAnsi="Symbol" w:cs="Symbol" w:hint="default"/>
        <w:color w:val="231F20"/>
        <w:w w:val="100"/>
        <w:sz w:val="14"/>
        <w:szCs w:val="14"/>
      </w:rPr>
    </w:lvl>
    <w:lvl w:ilvl="1" w:tplc="6096F588">
      <w:numFmt w:val="bullet"/>
      <w:lvlText w:val="•"/>
      <w:lvlJc w:val="left"/>
      <w:pPr>
        <w:ind w:left="426" w:hanging="100"/>
      </w:pPr>
      <w:rPr>
        <w:rFonts w:hint="default"/>
      </w:rPr>
    </w:lvl>
    <w:lvl w:ilvl="2" w:tplc="ED649F58">
      <w:numFmt w:val="bullet"/>
      <w:lvlText w:val="•"/>
      <w:lvlJc w:val="left"/>
      <w:pPr>
        <w:ind w:left="692" w:hanging="100"/>
      </w:pPr>
      <w:rPr>
        <w:rFonts w:hint="default"/>
      </w:rPr>
    </w:lvl>
    <w:lvl w:ilvl="3" w:tplc="5BC86876">
      <w:numFmt w:val="bullet"/>
      <w:lvlText w:val="•"/>
      <w:lvlJc w:val="left"/>
      <w:pPr>
        <w:ind w:left="959" w:hanging="100"/>
      </w:pPr>
      <w:rPr>
        <w:rFonts w:hint="default"/>
      </w:rPr>
    </w:lvl>
    <w:lvl w:ilvl="4" w:tplc="E3F0012E">
      <w:numFmt w:val="bullet"/>
      <w:lvlText w:val="•"/>
      <w:lvlJc w:val="left"/>
      <w:pPr>
        <w:ind w:left="1225" w:hanging="100"/>
      </w:pPr>
      <w:rPr>
        <w:rFonts w:hint="default"/>
      </w:rPr>
    </w:lvl>
    <w:lvl w:ilvl="5" w:tplc="AB38191E">
      <w:numFmt w:val="bullet"/>
      <w:lvlText w:val="•"/>
      <w:lvlJc w:val="left"/>
      <w:pPr>
        <w:ind w:left="1492" w:hanging="100"/>
      </w:pPr>
      <w:rPr>
        <w:rFonts w:hint="default"/>
      </w:rPr>
    </w:lvl>
    <w:lvl w:ilvl="6" w:tplc="E990BEBA">
      <w:numFmt w:val="bullet"/>
      <w:lvlText w:val="•"/>
      <w:lvlJc w:val="left"/>
      <w:pPr>
        <w:ind w:left="1758" w:hanging="100"/>
      </w:pPr>
      <w:rPr>
        <w:rFonts w:hint="default"/>
      </w:rPr>
    </w:lvl>
    <w:lvl w:ilvl="7" w:tplc="89920922">
      <w:numFmt w:val="bullet"/>
      <w:lvlText w:val="•"/>
      <w:lvlJc w:val="left"/>
      <w:pPr>
        <w:ind w:left="2024" w:hanging="100"/>
      </w:pPr>
      <w:rPr>
        <w:rFonts w:hint="default"/>
      </w:rPr>
    </w:lvl>
    <w:lvl w:ilvl="8" w:tplc="A884534E">
      <w:numFmt w:val="bullet"/>
      <w:lvlText w:val="•"/>
      <w:lvlJc w:val="left"/>
      <w:pPr>
        <w:ind w:left="2291" w:hanging="100"/>
      </w:pPr>
      <w:rPr>
        <w:rFonts w:hint="default"/>
      </w:rPr>
    </w:lvl>
  </w:abstractNum>
  <w:abstractNum w:abstractNumId="554" w15:restartNumberingAfterBreak="0">
    <w:nsid w:val="23582A5F"/>
    <w:multiLevelType w:val="hybridMultilevel"/>
    <w:tmpl w:val="5EC665F4"/>
    <w:lvl w:ilvl="0" w:tplc="A6DAA350">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CA269A50">
      <w:numFmt w:val="bullet"/>
      <w:lvlText w:val="•"/>
      <w:lvlJc w:val="left"/>
      <w:pPr>
        <w:ind w:left="426" w:hanging="105"/>
      </w:pPr>
      <w:rPr>
        <w:rFonts w:hint="default"/>
      </w:rPr>
    </w:lvl>
    <w:lvl w:ilvl="2" w:tplc="70004E7A">
      <w:numFmt w:val="bullet"/>
      <w:lvlText w:val="•"/>
      <w:lvlJc w:val="left"/>
      <w:pPr>
        <w:ind w:left="692" w:hanging="105"/>
      </w:pPr>
      <w:rPr>
        <w:rFonts w:hint="default"/>
      </w:rPr>
    </w:lvl>
    <w:lvl w:ilvl="3" w:tplc="F760D2DE">
      <w:numFmt w:val="bullet"/>
      <w:lvlText w:val="•"/>
      <w:lvlJc w:val="left"/>
      <w:pPr>
        <w:ind w:left="959" w:hanging="105"/>
      </w:pPr>
      <w:rPr>
        <w:rFonts w:hint="default"/>
      </w:rPr>
    </w:lvl>
    <w:lvl w:ilvl="4" w:tplc="0A34BABC">
      <w:numFmt w:val="bullet"/>
      <w:lvlText w:val="•"/>
      <w:lvlJc w:val="left"/>
      <w:pPr>
        <w:ind w:left="1225" w:hanging="105"/>
      </w:pPr>
      <w:rPr>
        <w:rFonts w:hint="default"/>
      </w:rPr>
    </w:lvl>
    <w:lvl w:ilvl="5" w:tplc="3F9A8CA8">
      <w:numFmt w:val="bullet"/>
      <w:lvlText w:val="•"/>
      <w:lvlJc w:val="left"/>
      <w:pPr>
        <w:ind w:left="1492" w:hanging="105"/>
      </w:pPr>
      <w:rPr>
        <w:rFonts w:hint="default"/>
      </w:rPr>
    </w:lvl>
    <w:lvl w:ilvl="6" w:tplc="7B0E43EE">
      <w:numFmt w:val="bullet"/>
      <w:lvlText w:val="•"/>
      <w:lvlJc w:val="left"/>
      <w:pPr>
        <w:ind w:left="1758" w:hanging="105"/>
      </w:pPr>
      <w:rPr>
        <w:rFonts w:hint="default"/>
      </w:rPr>
    </w:lvl>
    <w:lvl w:ilvl="7" w:tplc="908A6FC4">
      <w:numFmt w:val="bullet"/>
      <w:lvlText w:val="•"/>
      <w:lvlJc w:val="left"/>
      <w:pPr>
        <w:ind w:left="2024" w:hanging="105"/>
      </w:pPr>
      <w:rPr>
        <w:rFonts w:hint="default"/>
      </w:rPr>
    </w:lvl>
    <w:lvl w:ilvl="8" w:tplc="41860634">
      <w:numFmt w:val="bullet"/>
      <w:lvlText w:val="•"/>
      <w:lvlJc w:val="left"/>
      <w:pPr>
        <w:ind w:left="2291" w:hanging="105"/>
      </w:pPr>
      <w:rPr>
        <w:rFonts w:hint="default"/>
      </w:rPr>
    </w:lvl>
  </w:abstractNum>
  <w:abstractNum w:abstractNumId="555" w15:restartNumberingAfterBreak="0">
    <w:nsid w:val="236171F8"/>
    <w:multiLevelType w:val="hybridMultilevel"/>
    <w:tmpl w:val="107002AA"/>
    <w:lvl w:ilvl="0" w:tplc="7C80B0A0">
      <w:numFmt w:val="bullet"/>
      <w:lvlText w:val=""/>
      <w:lvlJc w:val="left"/>
      <w:pPr>
        <w:ind w:left="156" w:hanging="100"/>
      </w:pPr>
      <w:rPr>
        <w:rFonts w:ascii="Symbol" w:eastAsia="Symbol" w:hAnsi="Symbol" w:cs="Symbol" w:hint="default"/>
        <w:color w:val="231F20"/>
        <w:w w:val="100"/>
        <w:sz w:val="14"/>
        <w:szCs w:val="14"/>
      </w:rPr>
    </w:lvl>
    <w:lvl w:ilvl="1" w:tplc="5F581F3E">
      <w:numFmt w:val="bullet"/>
      <w:lvlText w:val="•"/>
      <w:lvlJc w:val="left"/>
      <w:pPr>
        <w:ind w:left="273" w:hanging="100"/>
      </w:pPr>
      <w:rPr>
        <w:rFonts w:hint="default"/>
      </w:rPr>
    </w:lvl>
    <w:lvl w:ilvl="2" w:tplc="EFF66808">
      <w:numFmt w:val="bullet"/>
      <w:lvlText w:val="•"/>
      <w:lvlJc w:val="left"/>
      <w:pPr>
        <w:ind w:left="386" w:hanging="100"/>
      </w:pPr>
      <w:rPr>
        <w:rFonts w:hint="default"/>
      </w:rPr>
    </w:lvl>
    <w:lvl w:ilvl="3" w:tplc="77F44D58">
      <w:numFmt w:val="bullet"/>
      <w:lvlText w:val="•"/>
      <w:lvlJc w:val="left"/>
      <w:pPr>
        <w:ind w:left="500" w:hanging="100"/>
      </w:pPr>
      <w:rPr>
        <w:rFonts w:hint="default"/>
      </w:rPr>
    </w:lvl>
    <w:lvl w:ilvl="4" w:tplc="B7301FD4">
      <w:numFmt w:val="bullet"/>
      <w:lvlText w:val="•"/>
      <w:lvlJc w:val="left"/>
      <w:pPr>
        <w:ind w:left="613" w:hanging="100"/>
      </w:pPr>
      <w:rPr>
        <w:rFonts w:hint="default"/>
      </w:rPr>
    </w:lvl>
    <w:lvl w:ilvl="5" w:tplc="632AAFAE">
      <w:numFmt w:val="bullet"/>
      <w:lvlText w:val="•"/>
      <w:lvlJc w:val="left"/>
      <w:pPr>
        <w:ind w:left="727" w:hanging="100"/>
      </w:pPr>
      <w:rPr>
        <w:rFonts w:hint="default"/>
      </w:rPr>
    </w:lvl>
    <w:lvl w:ilvl="6" w:tplc="3842B6DC">
      <w:numFmt w:val="bullet"/>
      <w:lvlText w:val="•"/>
      <w:lvlJc w:val="left"/>
      <w:pPr>
        <w:ind w:left="840" w:hanging="100"/>
      </w:pPr>
      <w:rPr>
        <w:rFonts w:hint="default"/>
      </w:rPr>
    </w:lvl>
    <w:lvl w:ilvl="7" w:tplc="9E9E93B0">
      <w:numFmt w:val="bullet"/>
      <w:lvlText w:val="•"/>
      <w:lvlJc w:val="left"/>
      <w:pPr>
        <w:ind w:left="953" w:hanging="100"/>
      </w:pPr>
      <w:rPr>
        <w:rFonts w:hint="default"/>
      </w:rPr>
    </w:lvl>
    <w:lvl w:ilvl="8" w:tplc="346211EA">
      <w:numFmt w:val="bullet"/>
      <w:lvlText w:val="•"/>
      <w:lvlJc w:val="left"/>
      <w:pPr>
        <w:ind w:left="1067" w:hanging="100"/>
      </w:pPr>
      <w:rPr>
        <w:rFonts w:hint="default"/>
      </w:rPr>
    </w:lvl>
  </w:abstractNum>
  <w:abstractNum w:abstractNumId="556" w15:restartNumberingAfterBreak="0">
    <w:nsid w:val="237A3BE1"/>
    <w:multiLevelType w:val="hybridMultilevel"/>
    <w:tmpl w:val="AC42F4CE"/>
    <w:lvl w:ilvl="0" w:tplc="2A0A0AF0">
      <w:numFmt w:val="bullet"/>
      <w:lvlText w:val=""/>
      <w:lvlJc w:val="left"/>
      <w:pPr>
        <w:ind w:left="157" w:hanging="100"/>
      </w:pPr>
      <w:rPr>
        <w:rFonts w:ascii="Symbol" w:eastAsia="Symbol" w:hAnsi="Symbol" w:cs="Symbol" w:hint="default"/>
        <w:color w:val="231F20"/>
        <w:w w:val="100"/>
        <w:sz w:val="14"/>
        <w:szCs w:val="14"/>
      </w:rPr>
    </w:lvl>
    <w:lvl w:ilvl="1" w:tplc="17EE86EA">
      <w:numFmt w:val="bullet"/>
      <w:lvlText w:val="•"/>
      <w:lvlJc w:val="left"/>
      <w:pPr>
        <w:ind w:left="426" w:hanging="100"/>
      </w:pPr>
      <w:rPr>
        <w:rFonts w:hint="default"/>
      </w:rPr>
    </w:lvl>
    <w:lvl w:ilvl="2" w:tplc="2DC070C2">
      <w:numFmt w:val="bullet"/>
      <w:lvlText w:val="•"/>
      <w:lvlJc w:val="left"/>
      <w:pPr>
        <w:ind w:left="692" w:hanging="100"/>
      </w:pPr>
      <w:rPr>
        <w:rFonts w:hint="default"/>
      </w:rPr>
    </w:lvl>
    <w:lvl w:ilvl="3" w:tplc="63843E14">
      <w:numFmt w:val="bullet"/>
      <w:lvlText w:val="•"/>
      <w:lvlJc w:val="left"/>
      <w:pPr>
        <w:ind w:left="959" w:hanging="100"/>
      </w:pPr>
      <w:rPr>
        <w:rFonts w:hint="default"/>
      </w:rPr>
    </w:lvl>
    <w:lvl w:ilvl="4" w:tplc="15385EFE">
      <w:numFmt w:val="bullet"/>
      <w:lvlText w:val="•"/>
      <w:lvlJc w:val="left"/>
      <w:pPr>
        <w:ind w:left="1225" w:hanging="100"/>
      </w:pPr>
      <w:rPr>
        <w:rFonts w:hint="default"/>
      </w:rPr>
    </w:lvl>
    <w:lvl w:ilvl="5" w:tplc="93F6C2DA">
      <w:numFmt w:val="bullet"/>
      <w:lvlText w:val="•"/>
      <w:lvlJc w:val="left"/>
      <w:pPr>
        <w:ind w:left="1492" w:hanging="100"/>
      </w:pPr>
      <w:rPr>
        <w:rFonts w:hint="default"/>
      </w:rPr>
    </w:lvl>
    <w:lvl w:ilvl="6" w:tplc="CDB2A416">
      <w:numFmt w:val="bullet"/>
      <w:lvlText w:val="•"/>
      <w:lvlJc w:val="left"/>
      <w:pPr>
        <w:ind w:left="1758" w:hanging="100"/>
      </w:pPr>
      <w:rPr>
        <w:rFonts w:hint="default"/>
      </w:rPr>
    </w:lvl>
    <w:lvl w:ilvl="7" w:tplc="6B5C3736">
      <w:numFmt w:val="bullet"/>
      <w:lvlText w:val="•"/>
      <w:lvlJc w:val="left"/>
      <w:pPr>
        <w:ind w:left="2024" w:hanging="100"/>
      </w:pPr>
      <w:rPr>
        <w:rFonts w:hint="default"/>
      </w:rPr>
    </w:lvl>
    <w:lvl w:ilvl="8" w:tplc="80B62A96">
      <w:numFmt w:val="bullet"/>
      <w:lvlText w:val="•"/>
      <w:lvlJc w:val="left"/>
      <w:pPr>
        <w:ind w:left="2291" w:hanging="100"/>
      </w:pPr>
      <w:rPr>
        <w:rFonts w:hint="default"/>
      </w:rPr>
    </w:lvl>
  </w:abstractNum>
  <w:abstractNum w:abstractNumId="557" w15:restartNumberingAfterBreak="0">
    <w:nsid w:val="238A11A1"/>
    <w:multiLevelType w:val="hybridMultilevel"/>
    <w:tmpl w:val="E9C83E2A"/>
    <w:lvl w:ilvl="0" w:tplc="23E67AE0">
      <w:numFmt w:val="bullet"/>
      <w:lvlText w:val=""/>
      <w:lvlJc w:val="left"/>
      <w:pPr>
        <w:ind w:left="157" w:hanging="100"/>
      </w:pPr>
      <w:rPr>
        <w:rFonts w:ascii="Symbol" w:eastAsia="Symbol" w:hAnsi="Symbol" w:cs="Symbol" w:hint="default"/>
        <w:color w:val="231F20"/>
        <w:w w:val="100"/>
        <w:sz w:val="14"/>
        <w:szCs w:val="14"/>
      </w:rPr>
    </w:lvl>
    <w:lvl w:ilvl="1" w:tplc="43D4A300">
      <w:numFmt w:val="bullet"/>
      <w:lvlText w:val="•"/>
      <w:lvlJc w:val="left"/>
      <w:pPr>
        <w:ind w:left="426" w:hanging="100"/>
      </w:pPr>
      <w:rPr>
        <w:rFonts w:hint="default"/>
      </w:rPr>
    </w:lvl>
    <w:lvl w:ilvl="2" w:tplc="DA3CF03C">
      <w:numFmt w:val="bullet"/>
      <w:lvlText w:val="•"/>
      <w:lvlJc w:val="left"/>
      <w:pPr>
        <w:ind w:left="692" w:hanging="100"/>
      </w:pPr>
      <w:rPr>
        <w:rFonts w:hint="default"/>
      </w:rPr>
    </w:lvl>
    <w:lvl w:ilvl="3" w:tplc="B628ADD6">
      <w:numFmt w:val="bullet"/>
      <w:lvlText w:val="•"/>
      <w:lvlJc w:val="left"/>
      <w:pPr>
        <w:ind w:left="959" w:hanging="100"/>
      </w:pPr>
      <w:rPr>
        <w:rFonts w:hint="default"/>
      </w:rPr>
    </w:lvl>
    <w:lvl w:ilvl="4" w:tplc="71EA7BFC">
      <w:numFmt w:val="bullet"/>
      <w:lvlText w:val="•"/>
      <w:lvlJc w:val="left"/>
      <w:pPr>
        <w:ind w:left="1225" w:hanging="100"/>
      </w:pPr>
      <w:rPr>
        <w:rFonts w:hint="default"/>
      </w:rPr>
    </w:lvl>
    <w:lvl w:ilvl="5" w:tplc="DD606420">
      <w:numFmt w:val="bullet"/>
      <w:lvlText w:val="•"/>
      <w:lvlJc w:val="left"/>
      <w:pPr>
        <w:ind w:left="1492" w:hanging="100"/>
      </w:pPr>
      <w:rPr>
        <w:rFonts w:hint="default"/>
      </w:rPr>
    </w:lvl>
    <w:lvl w:ilvl="6" w:tplc="BACE18BC">
      <w:numFmt w:val="bullet"/>
      <w:lvlText w:val="•"/>
      <w:lvlJc w:val="left"/>
      <w:pPr>
        <w:ind w:left="1758" w:hanging="100"/>
      </w:pPr>
      <w:rPr>
        <w:rFonts w:hint="default"/>
      </w:rPr>
    </w:lvl>
    <w:lvl w:ilvl="7" w:tplc="24088A4E">
      <w:numFmt w:val="bullet"/>
      <w:lvlText w:val="•"/>
      <w:lvlJc w:val="left"/>
      <w:pPr>
        <w:ind w:left="2024" w:hanging="100"/>
      </w:pPr>
      <w:rPr>
        <w:rFonts w:hint="default"/>
      </w:rPr>
    </w:lvl>
    <w:lvl w:ilvl="8" w:tplc="4E5C90A8">
      <w:numFmt w:val="bullet"/>
      <w:lvlText w:val="•"/>
      <w:lvlJc w:val="left"/>
      <w:pPr>
        <w:ind w:left="2291" w:hanging="100"/>
      </w:pPr>
      <w:rPr>
        <w:rFonts w:hint="default"/>
      </w:rPr>
    </w:lvl>
  </w:abstractNum>
  <w:abstractNum w:abstractNumId="558" w15:restartNumberingAfterBreak="0">
    <w:nsid w:val="239410BB"/>
    <w:multiLevelType w:val="hybridMultilevel"/>
    <w:tmpl w:val="366E6EFC"/>
    <w:lvl w:ilvl="0" w:tplc="40BA6CA4">
      <w:numFmt w:val="bullet"/>
      <w:lvlText w:val=""/>
      <w:lvlJc w:val="left"/>
      <w:pPr>
        <w:ind w:left="156" w:hanging="100"/>
      </w:pPr>
      <w:rPr>
        <w:rFonts w:ascii="Symbol" w:eastAsia="Symbol" w:hAnsi="Symbol" w:cs="Symbol" w:hint="default"/>
        <w:color w:val="231F20"/>
        <w:w w:val="100"/>
        <w:sz w:val="14"/>
        <w:szCs w:val="14"/>
      </w:rPr>
    </w:lvl>
    <w:lvl w:ilvl="1" w:tplc="6C9C026C">
      <w:numFmt w:val="bullet"/>
      <w:lvlText w:val="•"/>
      <w:lvlJc w:val="left"/>
      <w:pPr>
        <w:ind w:left="398" w:hanging="100"/>
      </w:pPr>
      <w:rPr>
        <w:rFonts w:hint="default"/>
      </w:rPr>
    </w:lvl>
    <w:lvl w:ilvl="2" w:tplc="6680A5BA">
      <w:numFmt w:val="bullet"/>
      <w:lvlText w:val="•"/>
      <w:lvlJc w:val="left"/>
      <w:pPr>
        <w:ind w:left="636" w:hanging="100"/>
      </w:pPr>
      <w:rPr>
        <w:rFonts w:hint="default"/>
      </w:rPr>
    </w:lvl>
    <w:lvl w:ilvl="3" w:tplc="7976464E">
      <w:numFmt w:val="bullet"/>
      <w:lvlText w:val="•"/>
      <w:lvlJc w:val="left"/>
      <w:pPr>
        <w:ind w:left="874" w:hanging="100"/>
      </w:pPr>
      <w:rPr>
        <w:rFonts w:hint="default"/>
      </w:rPr>
    </w:lvl>
    <w:lvl w:ilvl="4" w:tplc="6C849F3E">
      <w:numFmt w:val="bullet"/>
      <w:lvlText w:val="•"/>
      <w:lvlJc w:val="left"/>
      <w:pPr>
        <w:ind w:left="1112" w:hanging="100"/>
      </w:pPr>
      <w:rPr>
        <w:rFonts w:hint="default"/>
      </w:rPr>
    </w:lvl>
    <w:lvl w:ilvl="5" w:tplc="BBFC43DC">
      <w:numFmt w:val="bullet"/>
      <w:lvlText w:val="•"/>
      <w:lvlJc w:val="left"/>
      <w:pPr>
        <w:ind w:left="1350" w:hanging="100"/>
      </w:pPr>
      <w:rPr>
        <w:rFonts w:hint="default"/>
      </w:rPr>
    </w:lvl>
    <w:lvl w:ilvl="6" w:tplc="A1F4977E">
      <w:numFmt w:val="bullet"/>
      <w:lvlText w:val="•"/>
      <w:lvlJc w:val="left"/>
      <w:pPr>
        <w:ind w:left="1588" w:hanging="100"/>
      </w:pPr>
      <w:rPr>
        <w:rFonts w:hint="default"/>
      </w:rPr>
    </w:lvl>
    <w:lvl w:ilvl="7" w:tplc="224C2D58">
      <w:numFmt w:val="bullet"/>
      <w:lvlText w:val="•"/>
      <w:lvlJc w:val="left"/>
      <w:pPr>
        <w:ind w:left="1826" w:hanging="100"/>
      </w:pPr>
      <w:rPr>
        <w:rFonts w:hint="default"/>
      </w:rPr>
    </w:lvl>
    <w:lvl w:ilvl="8" w:tplc="E752EA9C">
      <w:numFmt w:val="bullet"/>
      <w:lvlText w:val="•"/>
      <w:lvlJc w:val="left"/>
      <w:pPr>
        <w:ind w:left="2064" w:hanging="100"/>
      </w:pPr>
      <w:rPr>
        <w:rFonts w:hint="default"/>
      </w:rPr>
    </w:lvl>
  </w:abstractNum>
  <w:abstractNum w:abstractNumId="559" w15:restartNumberingAfterBreak="0">
    <w:nsid w:val="2398289B"/>
    <w:multiLevelType w:val="hybridMultilevel"/>
    <w:tmpl w:val="DA6A8F0E"/>
    <w:lvl w:ilvl="0" w:tplc="6F129482">
      <w:numFmt w:val="bullet"/>
      <w:lvlText w:val=""/>
      <w:lvlJc w:val="left"/>
      <w:pPr>
        <w:ind w:left="156" w:hanging="100"/>
      </w:pPr>
      <w:rPr>
        <w:rFonts w:ascii="Symbol" w:eastAsia="Symbol" w:hAnsi="Symbol" w:cs="Symbol" w:hint="default"/>
        <w:color w:val="231F20"/>
        <w:w w:val="100"/>
        <w:sz w:val="14"/>
        <w:szCs w:val="14"/>
      </w:rPr>
    </w:lvl>
    <w:lvl w:ilvl="1" w:tplc="D6CCEDA8">
      <w:numFmt w:val="bullet"/>
      <w:lvlText w:val="•"/>
      <w:lvlJc w:val="left"/>
      <w:pPr>
        <w:ind w:left="301" w:hanging="100"/>
      </w:pPr>
      <w:rPr>
        <w:rFonts w:hint="default"/>
      </w:rPr>
    </w:lvl>
    <w:lvl w:ilvl="2" w:tplc="CA3E220C">
      <w:numFmt w:val="bullet"/>
      <w:lvlText w:val="•"/>
      <w:lvlJc w:val="left"/>
      <w:pPr>
        <w:ind w:left="443" w:hanging="100"/>
      </w:pPr>
      <w:rPr>
        <w:rFonts w:hint="default"/>
      </w:rPr>
    </w:lvl>
    <w:lvl w:ilvl="3" w:tplc="91062D0A">
      <w:numFmt w:val="bullet"/>
      <w:lvlText w:val="•"/>
      <w:lvlJc w:val="left"/>
      <w:pPr>
        <w:ind w:left="585" w:hanging="100"/>
      </w:pPr>
      <w:rPr>
        <w:rFonts w:hint="default"/>
      </w:rPr>
    </w:lvl>
    <w:lvl w:ilvl="4" w:tplc="5B3C8888">
      <w:numFmt w:val="bullet"/>
      <w:lvlText w:val="•"/>
      <w:lvlJc w:val="left"/>
      <w:pPr>
        <w:ind w:left="726" w:hanging="100"/>
      </w:pPr>
      <w:rPr>
        <w:rFonts w:hint="default"/>
      </w:rPr>
    </w:lvl>
    <w:lvl w:ilvl="5" w:tplc="4A52B8DA">
      <w:numFmt w:val="bullet"/>
      <w:lvlText w:val="•"/>
      <w:lvlJc w:val="left"/>
      <w:pPr>
        <w:ind w:left="868" w:hanging="100"/>
      </w:pPr>
      <w:rPr>
        <w:rFonts w:hint="default"/>
      </w:rPr>
    </w:lvl>
    <w:lvl w:ilvl="6" w:tplc="118EC382">
      <w:numFmt w:val="bullet"/>
      <w:lvlText w:val="•"/>
      <w:lvlJc w:val="left"/>
      <w:pPr>
        <w:ind w:left="1010" w:hanging="100"/>
      </w:pPr>
      <w:rPr>
        <w:rFonts w:hint="default"/>
      </w:rPr>
    </w:lvl>
    <w:lvl w:ilvl="7" w:tplc="CA548626">
      <w:numFmt w:val="bullet"/>
      <w:lvlText w:val="•"/>
      <w:lvlJc w:val="left"/>
      <w:pPr>
        <w:ind w:left="1151" w:hanging="100"/>
      </w:pPr>
      <w:rPr>
        <w:rFonts w:hint="default"/>
      </w:rPr>
    </w:lvl>
    <w:lvl w:ilvl="8" w:tplc="C0E461B4">
      <w:numFmt w:val="bullet"/>
      <w:lvlText w:val="•"/>
      <w:lvlJc w:val="left"/>
      <w:pPr>
        <w:ind w:left="1293" w:hanging="100"/>
      </w:pPr>
      <w:rPr>
        <w:rFonts w:hint="default"/>
      </w:rPr>
    </w:lvl>
  </w:abstractNum>
  <w:abstractNum w:abstractNumId="560" w15:restartNumberingAfterBreak="0">
    <w:nsid w:val="23A47052"/>
    <w:multiLevelType w:val="hybridMultilevel"/>
    <w:tmpl w:val="838891A6"/>
    <w:lvl w:ilvl="0" w:tplc="16AE62DA">
      <w:numFmt w:val="bullet"/>
      <w:lvlText w:val=""/>
      <w:lvlJc w:val="left"/>
      <w:pPr>
        <w:ind w:left="157" w:hanging="100"/>
      </w:pPr>
      <w:rPr>
        <w:rFonts w:ascii="Symbol" w:eastAsia="Symbol" w:hAnsi="Symbol" w:cs="Symbol" w:hint="default"/>
        <w:color w:val="231F20"/>
        <w:w w:val="100"/>
        <w:sz w:val="14"/>
        <w:szCs w:val="14"/>
      </w:rPr>
    </w:lvl>
    <w:lvl w:ilvl="1" w:tplc="B39E5AAE">
      <w:numFmt w:val="bullet"/>
      <w:lvlText w:val="•"/>
      <w:lvlJc w:val="left"/>
      <w:pPr>
        <w:ind w:left="426" w:hanging="100"/>
      </w:pPr>
      <w:rPr>
        <w:rFonts w:hint="default"/>
      </w:rPr>
    </w:lvl>
    <w:lvl w:ilvl="2" w:tplc="5C48AE98">
      <w:numFmt w:val="bullet"/>
      <w:lvlText w:val="•"/>
      <w:lvlJc w:val="left"/>
      <w:pPr>
        <w:ind w:left="692" w:hanging="100"/>
      </w:pPr>
      <w:rPr>
        <w:rFonts w:hint="default"/>
      </w:rPr>
    </w:lvl>
    <w:lvl w:ilvl="3" w:tplc="6862E6B0">
      <w:numFmt w:val="bullet"/>
      <w:lvlText w:val="•"/>
      <w:lvlJc w:val="left"/>
      <w:pPr>
        <w:ind w:left="959" w:hanging="100"/>
      </w:pPr>
      <w:rPr>
        <w:rFonts w:hint="default"/>
      </w:rPr>
    </w:lvl>
    <w:lvl w:ilvl="4" w:tplc="A9F6AD6C">
      <w:numFmt w:val="bullet"/>
      <w:lvlText w:val="•"/>
      <w:lvlJc w:val="left"/>
      <w:pPr>
        <w:ind w:left="1225" w:hanging="100"/>
      </w:pPr>
      <w:rPr>
        <w:rFonts w:hint="default"/>
      </w:rPr>
    </w:lvl>
    <w:lvl w:ilvl="5" w:tplc="B420BF3C">
      <w:numFmt w:val="bullet"/>
      <w:lvlText w:val="•"/>
      <w:lvlJc w:val="left"/>
      <w:pPr>
        <w:ind w:left="1492" w:hanging="100"/>
      </w:pPr>
      <w:rPr>
        <w:rFonts w:hint="default"/>
      </w:rPr>
    </w:lvl>
    <w:lvl w:ilvl="6" w:tplc="01C2B744">
      <w:numFmt w:val="bullet"/>
      <w:lvlText w:val="•"/>
      <w:lvlJc w:val="left"/>
      <w:pPr>
        <w:ind w:left="1758" w:hanging="100"/>
      </w:pPr>
      <w:rPr>
        <w:rFonts w:hint="default"/>
      </w:rPr>
    </w:lvl>
    <w:lvl w:ilvl="7" w:tplc="4F32B3DE">
      <w:numFmt w:val="bullet"/>
      <w:lvlText w:val="•"/>
      <w:lvlJc w:val="left"/>
      <w:pPr>
        <w:ind w:left="2024" w:hanging="100"/>
      </w:pPr>
      <w:rPr>
        <w:rFonts w:hint="default"/>
      </w:rPr>
    </w:lvl>
    <w:lvl w:ilvl="8" w:tplc="0218AC9C">
      <w:numFmt w:val="bullet"/>
      <w:lvlText w:val="•"/>
      <w:lvlJc w:val="left"/>
      <w:pPr>
        <w:ind w:left="2291" w:hanging="100"/>
      </w:pPr>
      <w:rPr>
        <w:rFonts w:hint="default"/>
      </w:rPr>
    </w:lvl>
  </w:abstractNum>
  <w:abstractNum w:abstractNumId="561" w15:restartNumberingAfterBreak="0">
    <w:nsid w:val="23AA6EF6"/>
    <w:multiLevelType w:val="hybridMultilevel"/>
    <w:tmpl w:val="6068FC24"/>
    <w:lvl w:ilvl="0" w:tplc="794E1DD6">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EA42A6B0">
      <w:numFmt w:val="bullet"/>
      <w:lvlText w:val="•"/>
      <w:lvlJc w:val="left"/>
      <w:pPr>
        <w:ind w:left="351" w:hanging="84"/>
      </w:pPr>
      <w:rPr>
        <w:rFonts w:hint="default"/>
      </w:rPr>
    </w:lvl>
    <w:lvl w:ilvl="2" w:tplc="53CE9B10">
      <w:numFmt w:val="bullet"/>
      <w:lvlText w:val="•"/>
      <w:lvlJc w:val="left"/>
      <w:pPr>
        <w:ind w:left="563" w:hanging="84"/>
      </w:pPr>
      <w:rPr>
        <w:rFonts w:hint="default"/>
      </w:rPr>
    </w:lvl>
    <w:lvl w:ilvl="3" w:tplc="1B8C33BA">
      <w:numFmt w:val="bullet"/>
      <w:lvlText w:val="•"/>
      <w:lvlJc w:val="left"/>
      <w:pPr>
        <w:ind w:left="775" w:hanging="84"/>
      </w:pPr>
      <w:rPr>
        <w:rFonts w:hint="default"/>
      </w:rPr>
    </w:lvl>
    <w:lvl w:ilvl="4" w:tplc="F328095A">
      <w:numFmt w:val="bullet"/>
      <w:lvlText w:val="•"/>
      <w:lvlJc w:val="left"/>
      <w:pPr>
        <w:ind w:left="986" w:hanging="84"/>
      </w:pPr>
      <w:rPr>
        <w:rFonts w:hint="default"/>
      </w:rPr>
    </w:lvl>
    <w:lvl w:ilvl="5" w:tplc="16FE7C74">
      <w:numFmt w:val="bullet"/>
      <w:lvlText w:val="•"/>
      <w:lvlJc w:val="left"/>
      <w:pPr>
        <w:ind w:left="1198" w:hanging="84"/>
      </w:pPr>
      <w:rPr>
        <w:rFonts w:hint="default"/>
      </w:rPr>
    </w:lvl>
    <w:lvl w:ilvl="6" w:tplc="ED44119E">
      <w:numFmt w:val="bullet"/>
      <w:lvlText w:val="•"/>
      <w:lvlJc w:val="left"/>
      <w:pPr>
        <w:ind w:left="1410" w:hanging="84"/>
      </w:pPr>
      <w:rPr>
        <w:rFonts w:hint="default"/>
      </w:rPr>
    </w:lvl>
    <w:lvl w:ilvl="7" w:tplc="468CB59E">
      <w:numFmt w:val="bullet"/>
      <w:lvlText w:val="•"/>
      <w:lvlJc w:val="left"/>
      <w:pPr>
        <w:ind w:left="1621" w:hanging="84"/>
      </w:pPr>
      <w:rPr>
        <w:rFonts w:hint="default"/>
      </w:rPr>
    </w:lvl>
    <w:lvl w:ilvl="8" w:tplc="246CC408">
      <w:numFmt w:val="bullet"/>
      <w:lvlText w:val="•"/>
      <w:lvlJc w:val="left"/>
      <w:pPr>
        <w:ind w:left="1833" w:hanging="84"/>
      </w:pPr>
      <w:rPr>
        <w:rFonts w:hint="default"/>
      </w:rPr>
    </w:lvl>
  </w:abstractNum>
  <w:abstractNum w:abstractNumId="562" w15:restartNumberingAfterBreak="0">
    <w:nsid w:val="23BB7A18"/>
    <w:multiLevelType w:val="hybridMultilevel"/>
    <w:tmpl w:val="5C6E7670"/>
    <w:lvl w:ilvl="0" w:tplc="2CE6EAFC">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8E5838AC">
      <w:numFmt w:val="bullet"/>
      <w:lvlText w:val="•"/>
      <w:lvlJc w:val="left"/>
      <w:pPr>
        <w:ind w:left="408" w:hanging="84"/>
      </w:pPr>
      <w:rPr>
        <w:rFonts w:hint="default"/>
      </w:rPr>
    </w:lvl>
    <w:lvl w:ilvl="2" w:tplc="A9C69F50">
      <w:numFmt w:val="bullet"/>
      <w:lvlText w:val="•"/>
      <w:lvlJc w:val="left"/>
      <w:pPr>
        <w:ind w:left="676" w:hanging="84"/>
      </w:pPr>
      <w:rPr>
        <w:rFonts w:hint="default"/>
      </w:rPr>
    </w:lvl>
    <w:lvl w:ilvl="3" w:tplc="42CC06A2">
      <w:numFmt w:val="bullet"/>
      <w:lvlText w:val="•"/>
      <w:lvlJc w:val="left"/>
      <w:pPr>
        <w:ind w:left="945" w:hanging="84"/>
      </w:pPr>
      <w:rPr>
        <w:rFonts w:hint="default"/>
      </w:rPr>
    </w:lvl>
    <w:lvl w:ilvl="4" w:tplc="B7445A28">
      <w:numFmt w:val="bullet"/>
      <w:lvlText w:val="•"/>
      <w:lvlJc w:val="left"/>
      <w:pPr>
        <w:ind w:left="1213" w:hanging="84"/>
      </w:pPr>
      <w:rPr>
        <w:rFonts w:hint="default"/>
      </w:rPr>
    </w:lvl>
    <w:lvl w:ilvl="5" w:tplc="28C0AAC8">
      <w:numFmt w:val="bullet"/>
      <w:lvlText w:val="•"/>
      <w:lvlJc w:val="left"/>
      <w:pPr>
        <w:ind w:left="1482" w:hanging="84"/>
      </w:pPr>
      <w:rPr>
        <w:rFonts w:hint="default"/>
      </w:rPr>
    </w:lvl>
    <w:lvl w:ilvl="6" w:tplc="481CE794">
      <w:numFmt w:val="bullet"/>
      <w:lvlText w:val="•"/>
      <w:lvlJc w:val="left"/>
      <w:pPr>
        <w:ind w:left="1750" w:hanging="84"/>
      </w:pPr>
      <w:rPr>
        <w:rFonts w:hint="default"/>
      </w:rPr>
    </w:lvl>
    <w:lvl w:ilvl="7" w:tplc="C5689C10">
      <w:numFmt w:val="bullet"/>
      <w:lvlText w:val="•"/>
      <w:lvlJc w:val="left"/>
      <w:pPr>
        <w:ind w:left="2018" w:hanging="84"/>
      </w:pPr>
      <w:rPr>
        <w:rFonts w:hint="default"/>
      </w:rPr>
    </w:lvl>
    <w:lvl w:ilvl="8" w:tplc="7AEC2660">
      <w:numFmt w:val="bullet"/>
      <w:lvlText w:val="•"/>
      <w:lvlJc w:val="left"/>
      <w:pPr>
        <w:ind w:left="2287" w:hanging="84"/>
      </w:pPr>
      <w:rPr>
        <w:rFonts w:hint="default"/>
      </w:rPr>
    </w:lvl>
  </w:abstractNum>
  <w:abstractNum w:abstractNumId="563" w15:restartNumberingAfterBreak="0">
    <w:nsid w:val="23E96C42"/>
    <w:multiLevelType w:val="hybridMultilevel"/>
    <w:tmpl w:val="EE5E13C0"/>
    <w:lvl w:ilvl="0" w:tplc="0584089C">
      <w:numFmt w:val="bullet"/>
      <w:lvlText w:val=""/>
      <w:lvlJc w:val="left"/>
      <w:pPr>
        <w:ind w:left="157" w:hanging="100"/>
      </w:pPr>
      <w:rPr>
        <w:rFonts w:ascii="Symbol" w:eastAsia="Symbol" w:hAnsi="Symbol" w:cs="Symbol" w:hint="default"/>
        <w:color w:val="231F20"/>
        <w:w w:val="100"/>
        <w:sz w:val="14"/>
        <w:szCs w:val="14"/>
      </w:rPr>
    </w:lvl>
    <w:lvl w:ilvl="1" w:tplc="84AC261A">
      <w:numFmt w:val="bullet"/>
      <w:lvlText w:val="•"/>
      <w:lvlJc w:val="left"/>
      <w:pPr>
        <w:ind w:left="426" w:hanging="100"/>
      </w:pPr>
      <w:rPr>
        <w:rFonts w:hint="default"/>
      </w:rPr>
    </w:lvl>
    <w:lvl w:ilvl="2" w:tplc="3FA40C7A">
      <w:numFmt w:val="bullet"/>
      <w:lvlText w:val="•"/>
      <w:lvlJc w:val="left"/>
      <w:pPr>
        <w:ind w:left="692" w:hanging="100"/>
      </w:pPr>
      <w:rPr>
        <w:rFonts w:hint="default"/>
      </w:rPr>
    </w:lvl>
    <w:lvl w:ilvl="3" w:tplc="E3329F2A">
      <w:numFmt w:val="bullet"/>
      <w:lvlText w:val="•"/>
      <w:lvlJc w:val="left"/>
      <w:pPr>
        <w:ind w:left="959" w:hanging="100"/>
      </w:pPr>
      <w:rPr>
        <w:rFonts w:hint="default"/>
      </w:rPr>
    </w:lvl>
    <w:lvl w:ilvl="4" w:tplc="BE2A0C46">
      <w:numFmt w:val="bullet"/>
      <w:lvlText w:val="•"/>
      <w:lvlJc w:val="left"/>
      <w:pPr>
        <w:ind w:left="1225" w:hanging="100"/>
      </w:pPr>
      <w:rPr>
        <w:rFonts w:hint="default"/>
      </w:rPr>
    </w:lvl>
    <w:lvl w:ilvl="5" w:tplc="19808582">
      <w:numFmt w:val="bullet"/>
      <w:lvlText w:val="•"/>
      <w:lvlJc w:val="left"/>
      <w:pPr>
        <w:ind w:left="1492" w:hanging="100"/>
      </w:pPr>
      <w:rPr>
        <w:rFonts w:hint="default"/>
      </w:rPr>
    </w:lvl>
    <w:lvl w:ilvl="6" w:tplc="604CC320">
      <w:numFmt w:val="bullet"/>
      <w:lvlText w:val="•"/>
      <w:lvlJc w:val="left"/>
      <w:pPr>
        <w:ind w:left="1758" w:hanging="100"/>
      </w:pPr>
      <w:rPr>
        <w:rFonts w:hint="default"/>
      </w:rPr>
    </w:lvl>
    <w:lvl w:ilvl="7" w:tplc="5A586FD4">
      <w:numFmt w:val="bullet"/>
      <w:lvlText w:val="•"/>
      <w:lvlJc w:val="left"/>
      <w:pPr>
        <w:ind w:left="2024" w:hanging="100"/>
      </w:pPr>
      <w:rPr>
        <w:rFonts w:hint="default"/>
      </w:rPr>
    </w:lvl>
    <w:lvl w:ilvl="8" w:tplc="B98A89B0">
      <w:numFmt w:val="bullet"/>
      <w:lvlText w:val="•"/>
      <w:lvlJc w:val="left"/>
      <w:pPr>
        <w:ind w:left="2291" w:hanging="100"/>
      </w:pPr>
      <w:rPr>
        <w:rFonts w:hint="default"/>
      </w:rPr>
    </w:lvl>
  </w:abstractNum>
  <w:abstractNum w:abstractNumId="564" w15:restartNumberingAfterBreak="0">
    <w:nsid w:val="23F350C0"/>
    <w:multiLevelType w:val="hybridMultilevel"/>
    <w:tmpl w:val="13F87552"/>
    <w:lvl w:ilvl="0" w:tplc="40D45012">
      <w:numFmt w:val="bullet"/>
      <w:lvlText w:val=""/>
      <w:lvlJc w:val="left"/>
      <w:pPr>
        <w:ind w:left="157" w:hanging="100"/>
      </w:pPr>
      <w:rPr>
        <w:rFonts w:ascii="Symbol" w:eastAsia="Symbol" w:hAnsi="Symbol" w:cs="Symbol" w:hint="default"/>
        <w:color w:val="231F20"/>
        <w:w w:val="100"/>
        <w:sz w:val="14"/>
        <w:szCs w:val="14"/>
      </w:rPr>
    </w:lvl>
    <w:lvl w:ilvl="1" w:tplc="4CB4034A">
      <w:numFmt w:val="bullet"/>
      <w:lvlText w:val="•"/>
      <w:lvlJc w:val="left"/>
      <w:pPr>
        <w:ind w:left="369" w:hanging="100"/>
      </w:pPr>
      <w:rPr>
        <w:rFonts w:hint="default"/>
      </w:rPr>
    </w:lvl>
    <w:lvl w:ilvl="2" w:tplc="A8E012F4">
      <w:numFmt w:val="bullet"/>
      <w:lvlText w:val="•"/>
      <w:lvlJc w:val="left"/>
      <w:pPr>
        <w:ind w:left="579" w:hanging="100"/>
      </w:pPr>
      <w:rPr>
        <w:rFonts w:hint="default"/>
      </w:rPr>
    </w:lvl>
    <w:lvl w:ilvl="3" w:tplc="65524F6E">
      <w:numFmt w:val="bullet"/>
      <w:lvlText w:val="•"/>
      <w:lvlJc w:val="left"/>
      <w:pPr>
        <w:ind w:left="789" w:hanging="100"/>
      </w:pPr>
      <w:rPr>
        <w:rFonts w:hint="default"/>
      </w:rPr>
    </w:lvl>
    <w:lvl w:ilvl="4" w:tplc="C73011A6">
      <w:numFmt w:val="bullet"/>
      <w:lvlText w:val="•"/>
      <w:lvlJc w:val="left"/>
      <w:pPr>
        <w:ind w:left="998" w:hanging="100"/>
      </w:pPr>
      <w:rPr>
        <w:rFonts w:hint="default"/>
      </w:rPr>
    </w:lvl>
    <w:lvl w:ilvl="5" w:tplc="5E08EEA8">
      <w:numFmt w:val="bullet"/>
      <w:lvlText w:val="•"/>
      <w:lvlJc w:val="left"/>
      <w:pPr>
        <w:ind w:left="1208" w:hanging="100"/>
      </w:pPr>
      <w:rPr>
        <w:rFonts w:hint="default"/>
      </w:rPr>
    </w:lvl>
    <w:lvl w:ilvl="6" w:tplc="44143D7A">
      <w:numFmt w:val="bullet"/>
      <w:lvlText w:val="•"/>
      <w:lvlJc w:val="left"/>
      <w:pPr>
        <w:ind w:left="1418" w:hanging="100"/>
      </w:pPr>
      <w:rPr>
        <w:rFonts w:hint="default"/>
      </w:rPr>
    </w:lvl>
    <w:lvl w:ilvl="7" w:tplc="C99E70E6">
      <w:numFmt w:val="bullet"/>
      <w:lvlText w:val="•"/>
      <w:lvlJc w:val="left"/>
      <w:pPr>
        <w:ind w:left="1627" w:hanging="100"/>
      </w:pPr>
      <w:rPr>
        <w:rFonts w:hint="default"/>
      </w:rPr>
    </w:lvl>
    <w:lvl w:ilvl="8" w:tplc="83168214">
      <w:numFmt w:val="bullet"/>
      <w:lvlText w:val="•"/>
      <w:lvlJc w:val="left"/>
      <w:pPr>
        <w:ind w:left="1837" w:hanging="100"/>
      </w:pPr>
      <w:rPr>
        <w:rFonts w:hint="default"/>
      </w:rPr>
    </w:lvl>
  </w:abstractNum>
  <w:abstractNum w:abstractNumId="565" w15:restartNumberingAfterBreak="0">
    <w:nsid w:val="23F6541C"/>
    <w:multiLevelType w:val="hybridMultilevel"/>
    <w:tmpl w:val="F112DAE8"/>
    <w:lvl w:ilvl="0" w:tplc="8F9032D8">
      <w:numFmt w:val="bullet"/>
      <w:lvlText w:val=""/>
      <w:lvlJc w:val="left"/>
      <w:pPr>
        <w:ind w:left="156" w:hanging="100"/>
      </w:pPr>
      <w:rPr>
        <w:rFonts w:ascii="Symbol" w:eastAsia="Symbol" w:hAnsi="Symbol" w:cs="Symbol" w:hint="default"/>
        <w:color w:val="231F20"/>
        <w:w w:val="100"/>
        <w:sz w:val="14"/>
        <w:szCs w:val="14"/>
      </w:rPr>
    </w:lvl>
    <w:lvl w:ilvl="1" w:tplc="E1ECE134">
      <w:numFmt w:val="bullet"/>
      <w:lvlText w:val="•"/>
      <w:lvlJc w:val="left"/>
      <w:pPr>
        <w:ind w:left="398" w:hanging="100"/>
      </w:pPr>
      <w:rPr>
        <w:rFonts w:hint="default"/>
      </w:rPr>
    </w:lvl>
    <w:lvl w:ilvl="2" w:tplc="266EC0FC">
      <w:numFmt w:val="bullet"/>
      <w:lvlText w:val="•"/>
      <w:lvlJc w:val="left"/>
      <w:pPr>
        <w:ind w:left="636" w:hanging="100"/>
      </w:pPr>
      <w:rPr>
        <w:rFonts w:hint="default"/>
      </w:rPr>
    </w:lvl>
    <w:lvl w:ilvl="3" w:tplc="F6CEE364">
      <w:numFmt w:val="bullet"/>
      <w:lvlText w:val="•"/>
      <w:lvlJc w:val="left"/>
      <w:pPr>
        <w:ind w:left="874" w:hanging="100"/>
      </w:pPr>
      <w:rPr>
        <w:rFonts w:hint="default"/>
      </w:rPr>
    </w:lvl>
    <w:lvl w:ilvl="4" w:tplc="38A44182">
      <w:numFmt w:val="bullet"/>
      <w:lvlText w:val="•"/>
      <w:lvlJc w:val="left"/>
      <w:pPr>
        <w:ind w:left="1112" w:hanging="100"/>
      </w:pPr>
      <w:rPr>
        <w:rFonts w:hint="default"/>
      </w:rPr>
    </w:lvl>
    <w:lvl w:ilvl="5" w:tplc="A89E2EC4">
      <w:numFmt w:val="bullet"/>
      <w:lvlText w:val="•"/>
      <w:lvlJc w:val="left"/>
      <w:pPr>
        <w:ind w:left="1350" w:hanging="100"/>
      </w:pPr>
      <w:rPr>
        <w:rFonts w:hint="default"/>
      </w:rPr>
    </w:lvl>
    <w:lvl w:ilvl="6" w:tplc="69BE15FA">
      <w:numFmt w:val="bullet"/>
      <w:lvlText w:val="•"/>
      <w:lvlJc w:val="left"/>
      <w:pPr>
        <w:ind w:left="1588" w:hanging="100"/>
      </w:pPr>
      <w:rPr>
        <w:rFonts w:hint="default"/>
      </w:rPr>
    </w:lvl>
    <w:lvl w:ilvl="7" w:tplc="9CD63AA8">
      <w:numFmt w:val="bullet"/>
      <w:lvlText w:val="•"/>
      <w:lvlJc w:val="left"/>
      <w:pPr>
        <w:ind w:left="1826" w:hanging="100"/>
      </w:pPr>
      <w:rPr>
        <w:rFonts w:hint="default"/>
      </w:rPr>
    </w:lvl>
    <w:lvl w:ilvl="8" w:tplc="B794277C">
      <w:numFmt w:val="bullet"/>
      <w:lvlText w:val="•"/>
      <w:lvlJc w:val="left"/>
      <w:pPr>
        <w:ind w:left="2064" w:hanging="100"/>
      </w:pPr>
      <w:rPr>
        <w:rFonts w:hint="default"/>
      </w:rPr>
    </w:lvl>
  </w:abstractNum>
  <w:abstractNum w:abstractNumId="566" w15:restartNumberingAfterBreak="0">
    <w:nsid w:val="241905F1"/>
    <w:multiLevelType w:val="hybridMultilevel"/>
    <w:tmpl w:val="54EC3720"/>
    <w:lvl w:ilvl="0" w:tplc="334C5C16">
      <w:numFmt w:val="bullet"/>
      <w:lvlText w:val=""/>
      <w:lvlJc w:val="left"/>
      <w:pPr>
        <w:ind w:left="157" w:hanging="100"/>
      </w:pPr>
      <w:rPr>
        <w:rFonts w:ascii="Symbol" w:eastAsia="Symbol" w:hAnsi="Symbol" w:cs="Symbol" w:hint="default"/>
        <w:color w:val="231F20"/>
        <w:w w:val="100"/>
        <w:sz w:val="14"/>
        <w:szCs w:val="14"/>
      </w:rPr>
    </w:lvl>
    <w:lvl w:ilvl="1" w:tplc="2D600EBC">
      <w:numFmt w:val="bullet"/>
      <w:lvlText w:val="•"/>
      <w:lvlJc w:val="left"/>
      <w:pPr>
        <w:ind w:left="398" w:hanging="100"/>
      </w:pPr>
      <w:rPr>
        <w:rFonts w:hint="default"/>
      </w:rPr>
    </w:lvl>
    <w:lvl w:ilvl="2" w:tplc="B424690E">
      <w:numFmt w:val="bullet"/>
      <w:lvlText w:val="•"/>
      <w:lvlJc w:val="left"/>
      <w:pPr>
        <w:ind w:left="636" w:hanging="100"/>
      </w:pPr>
      <w:rPr>
        <w:rFonts w:hint="default"/>
      </w:rPr>
    </w:lvl>
    <w:lvl w:ilvl="3" w:tplc="A7945CFA">
      <w:numFmt w:val="bullet"/>
      <w:lvlText w:val="•"/>
      <w:lvlJc w:val="left"/>
      <w:pPr>
        <w:ind w:left="874" w:hanging="100"/>
      </w:pPr>
      <w:rPr>
        <w:rFonts w:hint="default"/>
      </w:rPr>
    </w:lvl>
    <w:lvl w:ilvl="4" w:tplc="6FE07320">
      <w:numFmt w:val="bullet"/>
      <w:lvlText w:val="•"/>
      <w:lvlJc w:val="left"/>
      <w:pPr>
        <w:ind w:left="1112" w:hanging="100"/>
      </w:pPr>
      <w:rPr>
        <w:rFonts w:hint="default"/>
      </w:rPr>
    </w:lvl>
    <w:lvl w:ilvl="5" w:tplc="0EFA0904">
      <w:numFmt w:val="bullet"/>
      <w:lvlText w:val="•"/>
      <w:lvlJc w:val="left"/>
      <w:pPr>
        <w:ind w:left="1350" w:hanging="100"/>
      </w:pPr>
      <w:rPr>
        <w:rFonts w:hint="default"/>
      </w:rPr>
    </w:lvl>
    <w:lvl w:ilvl="6" w:tplc="289687C6">
      <w:numFmt w:val="bullet"/>
      <w:lvlText w:val="•"/>
      <w:lvlJc w:val="left"/>
      <w:pPr>
        <w:ind w:left="1588" w:hanging="100"/>
      </w:pPr>
      <w:rPr>
        <w:rFonts w:hint="default"/>
      </w:rPr>
    </w:lvl>
    <w:lvl w:ilvl="7" w:tplc="6074DC42">
      <w:numFmt w:val="bullet"/>
      <w:lvlText w:val="•"/>
      <w:lvlJc w:val="left"/>
      <w:pPr>
        <w:ind w:left="1826" w:hanging="100"/>
      </w:pPr>
      <w:rPr>
        <w:rFonts w:hint="default"/>
      </w:rPr>
    </w:lvl>
    <w:lvl w:ilvl="8" w:tplc="702E1A22">
      <w:numFmt w:val="bullet"/>
      <w:lvlText w:val="•"/>
      <w:lvlJc w:val="left"/>
      <w:pPr>
        <w:ind w:left="2064" w:hanging="100"/>
      </w:pPr>
      <w:rPr>
        <w:rFonts w:hint="default"/>
      </w:rPr>
    </w:lvl>
  </w:abstractNum>
  <w:abstractNum w:abstractNumId="567" w15:restartNumberingAfterBreak="0">
    <w:nsid w:val="242D0750"/>
    <w:multiLevelType w:val="hybridMultilevel"/>
    <w:tmpl w:val="5D6A3EB0"/>
    <w:lvl w:ilvl="0" w:tplc="305CAAC8">
      <w:numFmt w:val="bullet"/>
      <w:lvlText w:val=""/>
      <w:lvlJc w:val="left"/>
      <w:pPr>
        <w:ind w:left="156" w:hanging="100"/>
      </w:pPr>
      <w:rPr>
        <w:rFonts w:ascii="Symbol" w:eastAsia="Symbol" w:hAnsi="Symbol" w:cs="Symbol" w:hint="default"/>
        <w:color w:val="231F20"/>
        <w:w w:val="100"/>
        <w:sz w:val="14"/>
        <w:szCs w:val="14"/>
      </w:rPr>
    </w:lvl>
    <w:lvl w:ilvl="1" w:tplc="4E0A4294">
      <w:numFmt w:val="bullet"/>
      <w:lvlText w:val="•"/>
      <w:lvlJc w:val="left"/>
      <w:pPr>
        <w:ind w:left="398" w:hanging="100"/>
      </w:pPr>
      <w:rPr>
        <w:rFonts w:hint="default"/>
      </w:rPr>
    </w:lvl>
    <w:lvl w:ilvl="2" w:tplc="AA32C58E">
      <w:numFmt w:val="bullet"/>
      <w:lvlText w:val="•"/>
      <w:lvlJc w:val="left"/>
      <w:pPr>
        <w:ind w:left="636" w:hanging="100"/>
      </w:pPr>
      <w:rPr>
        <w:rFonts w:hint="default"/>
      </w:rPr>
    </w:lvl>
    <w:lvl w:ilvl="3" w:tplc="89CE2DB2">
      <w:numFmt w:val="bullet"/>
      <w:lvlText w:val="•"/>
      <w:lvlJc w:val="left"/>
      <w:pPr>
        <w:ind w:left="874" w:hanging="100"/>
      </w:pPr>
      <w:rPr>
        <w:rFonts w:hint="default"/>
      </w:rPr>
    </w:lvl>
    <w:lvl w:ilvl="4" w:tplc="505C52F0">
      <w:numFmt w:val="bullet"/>
      <w:lvlText w:val="•"/>
      <w:lvlJc w:val="left"/>
      <w:pPr>
        <w:ind w:left="1112" w:hanging="100"/>
      </w:pPr>
      <w:rPr>
        <w:rFonts w:hint="default"/>
      </w:rPr>
    </w:lvl>
    <w:lvl w:ilvl="5" w:tplc="270EB788">
      <w:numFmt w:val="bullet"/>
      <w:lvlText w:val="•"/>
      <w:lvlJc w:val="left"/>
      <w:pPr>
        <w:ind w:left="1350" w:hanging="100"/>
      </w:pPr>
      <w:rPr>
        <w:rFonts w:hint="default"/>
      </w:rPr>
    </w:lvl>
    <w:lvl w:ilvl="6" w:tplc="85628E08">
      <w:numFmt w:val="bullet"/>
      <w:lvlText w:val="•"/>
      <w:lvlJc w:val="left"/>
      <w:pPr>
        <w:ind w:left="1588" w:hanging="100"/>
      </w:pPr>
      <w:rPr>
        <w:rFonts w:hint="default"/>
      </w:rPr>
    </w:lvl>
    <w:lvl w:ilvl="7" w:tplc="67963EDA">
      <w:numFmt w:val="bullet"/>
      <w:lvlText w:val="•"/>
      <w:lvlJc w:val="left"/>
      <w:pPr>
        <w:ind w:left="1826" w:hanging="100"/>
      </w:pPr>
      <w:rPr>
        <w:rFonts w:hint="default"/>
      </w:rPr>
    </w:lvl>
    <w:lvl w:ilvl="8" w:tplc="BF3CFDE6">
      <w:numFmt w:val="bullet"/>
      <w:lvlText w:val="•"/>
      <w:lvlJc w:val="left"/>
      <w:pPr>
        <w:ind w:left="2064" w:hanging="100"/>
      </w:pPr>
      <w:rPr>
        <w:rFonts w:hint="default"/>
      </w:rPr>
    </w:lvl>
  </w:abstractNum>
  <w:abstractNum w:abstractNumId="568" w15:restartNumberingAfterBreak="0">
    <w:nsid w:val="24312989"/>
    <w:multiLevelType w:val="hybridMultilevel"/>
    <w:tmpl w:val="3FC4A8D6"/>
    <w:lvl w:ilvl="0" w:tplc="B0E02E2A">
      <w:numFmt w:val="bullet"/>
      <w:lvlText w:val=""/>
      <w:lvlJc w:val="left"/>
      <w:pPr>
        <w:ind w:left="156" w:hanging="100"/>
      </w:pPr>
      <w:rPr>
        <w:rFonts w:ascii="Symbol" w:eastAsia="Symbol" w:hAnsi="Symbol" w:cs="Symbol" w:hint="default"/>
        <w:color w:val="231F20"/>
        <w:w w:val="100"/>
        <w:sz w:val="14"/>
        <w:szCs w:val="14"/>
      </w:rPr>
    </w:lvl>
    <w:lvl w:ilvl="1" w:tplc="6D8622F6">
      <w:numFmt w:val="bullet"/>
      <w:lvlText w:val="•"/>
      <w:lvlJc w:val="left"/>
      <w:pPr>
        <w:ind w:left="398" w:hanging="100"/>
      </w:pPr>
      <w:rPr>
        <w:rFonts w:hint="default"/>
      </w:rPr>
    </w:lvl>
    <w:lvl w:ilvl="2" w:tplc="7FF66266">
      <w:numFmt w:val="bullet"/>
      <w:lvlText w:val="•"/>
      <w:lvlJc w:val="left"/>
      <w:pPr>
        <w:ind w:left="636" w:hanging="100"/>
      </w:pPr>
      <w:rPr>
        <w:rFonts w:hint="default"/>
      </w:rPr>
    </w:lvl>
    <w:lvl w:ilvl="3" w:tplc="7E505E16">
      <w:numFmt w:val="bullet"/>
      <w:lvlText w:val="•"/>
      <w:lvlJc w:val="left"/>
      <w:pPr>
        <w:ind w:left="874" w:hanging="100"/>
      </w:pPr>
      <w:rPr>
        <w:rFonts w:hint="default"/>
      </w:rPr>
    </w:lvl>
    <w:lvl w:ilvl="4" w:tplc="F71EDD84">
      <w:numFmt w:val="bullet"/>
      <w:lvlText w:val="•"/>
      <w:lvlJc w:val="left"/>
      <w:pPr>
        <w:ind w:left="1112" w:hanging="100"/>
      </w:pPr>
      <w:rPr>
        <w:rFonts w:hint="default"/>
      </w:rPr>
    </w:lvl>
    <w:lvl w:ilvl="5" w:tplc="AD342B88">
      <w:numFmt w:val="bullet"/>
      <w:lvlText w:val="•"/>
      <w:lvlJc w:val="left"/>
      <w:pPr>
        <w:ind w:left="1350" w:hanging="100"/>
      </w:pPr>
      <w:rPr>
        <w:rFonts w:hint="default"/>
      </w:rPr>
    </w:lvl>
    <w:lvl w:ilvl="6" w:tplc="679C51F2">
      <w:numFmt w:val="bullet"/>
      <w:lvlText w:val="•"/>
      <w:lvlJc w:val="left"/>
      <w:pPr>
        <w:ind w:left="1588" w:hanging="100"/>
      </w:pPr>
      <w:rPr>
        <w:rFonts w:hint="default"/>
      </w:rPr>
    </w:lvl>
    <w:lvl w:ilvl="7" w:tplc="4B08DDA0">
      <w:numFmt w:val="bullet"/>
      <w:lvlText w:val="•"/>
      <w:lvlJc w:val="left"/>
      <w:pPr>
        <w:ind w:left="1826" w:hanging="100"/>
      </w:pPr>
      <w:rPr>
        <w:rFonts w:hint="default"/>
      </w:rPr>
    </w:lvl>
    <w:lvl w:ilvl="8" w:tplc="DFFE998E">
      <w:numFmt w:val="bullet"/>
      <w:lvlText w:val="•"/>
      <w:lvlJc w:val="left"/>
      <w:pPr>
        <w:ind w:left="2064" w:hanging="100"/>
      </w:pPr>
      <w:rPr>
        <w:rFonts w:hint="default"/>
      </w:rPr>
    </w:lvl>
  </w:abstractNum>
  <w:abstractNum w:abstractNumId="569" w15:restartNumberingAfterBreak="0">
    <w:nsid w:val="24546E98"/>
    <w:multiLevelType w:val="hybridMultilevel"/>
    <w:tmpl w:val="25A2FF34"/>
    <w:lvl w:ilvl="0" w:tplc="179E8C4C">
      <w:numFmt w:val="bullet"/>
      <w:lvlText w:val=""/>
      <w:lvlJc w:val="left"/>
      <w:pPr>
        <w:ind w:left="156" w:hanging="100"/>
      </w:pPr>
      <w:rPr>
        <w:rFonts w:ascii="Symbol" w:eastAsia="Symbol" w:hAnsi="Symbol" w:cs="Symbol" w:hint="default"/>
        <w:color w:val="231F20"/>
        <w:w w:val="100"/>
        <w:sz w:val="14"/>
        <w:szCs w:val="14"/>
      </w:rPr>
    </w:lvl>
    <w:lvl w:ilvl="1" w:tplc="AFD4F538">
      <w:numFmt w:val="bullet"/>
      <w:lvlText w:val="•"/>
      <w:lvlJc w:val="left"/>
      <w:pPr>
        <w:ind w:left="454" w:hanging="100"/>
      </w:pPr>
      <w:rPr>
        <w:rFonts w:hint="default"/>
      </w:rPr>
    </w:lvl>
    <w:lvl w:ilvl="2" w:tplc="20E0AC98">
      <w:numFmt w:val="bullet"/>
      <w:lvlText w:val="•"/>
      <w:lvlJc w:val="left"/>
      <w:pPr>
        <w:ind w:left="749" w:hanging="100"/>
      </w:pPr>
      <w:rPr>
        <w:rFonts w:hint="default"/>
      </w:rPr>
    </w:lvl>
    <w:lvl w:ilvl="3" w:tplc="F8940B4A">
      <w:numFmt w:val="bullet"/>
      <w:lvlText w:val="•"/>
      <w:lvlJc w:val="left"/>
      <w:pPr>
        <w:ind w:left="1044" w:hanging="100"/>
      </w:pPr>
      <w:rPr>
        <w:rFonts w:hint="default"/>
      </w:rPr>
    </w:lvl>
    <w:lvl w:ilvl="4" w:tplc="60FC2BA2">
      <w:numFmt w:val="bullet"/>
      <w:lvlText w:val="•"/>
      <w:lvlJc w:val="left"/>
      <w:pPr>
        <w:ind w:left="1339" w:hanging="100"/>
      </w:pPr>
      <w:rPr>
        <w:rFonts w:hint="default"/>
      </w:rPr>
    </w:lvl>
    <w:lvl w:ilvl="5" w:tplc="459E3DD0">
      <w:numFmt w:val="bullet"/>
      <w:lvlText w:val="•"/>
      <w:lvlJc w:val="left"/>
      <w:pPr>
        <w:ind w:left="1634" w:hanging="100"/>
      </w:pPr>
      <w:rPr>
        <w:rFonts w:hint="default"/>
      </w:rPr>
    </w:lvl>
    <w:lvl w:ilvl="6" w:tplc="E910AA56">
      <w:numFmt w:val="bullet"/>
      <w:lvlText w:val="•"/>
      <w:lvlJc w:val="left"/>
      <w:pPr>
        <w:ind w:left="1928" w:hanging="100"/>
      </w:pPr>
      <w:rPr>
        <w:rFonts w:hint="default"/>
      </w:rPr>
    </w:lvl>
    <w:lvl w:ilvl="7" w:tplc="17F0D85E">
      <w:numFmt w:val="bullet"/>
      <w:lvlText w:val="•"/>
      <w:lvlJc w:val="left"/>
      <w:pPr>
        <w:ind w:left="2223" w:hanging="100"/>
      </w:pPr>
      <w:rPr>
        <w:rFonts w:hint="default"/>
      </w:rPr>
    </w:lvl>
    <w:lvl w:ilvl="8" w:tplc="36B06A9E">
      <w:numFmt w:val="bullet"/>
      <w:lvlText w:val="•"/>
      <w:lvlJc w:val="left"/>
      <w:pPr>
        <w:ind w:left="2518" w:hanging="100"/>
      </w:pPr>
      <w:rPr>
        <w:rFonts w:hint="default"/>
      </w:rPr>
    </w:lvl>
  </w:abstractNum>
  <w:abstractNum w:abstractNumId="570" w15:restartNumberingAfterBreak="0">
    <w:nsid w:val="246026F1"/>
    <w:multiLevelType w:val="hybridMultilevel"/>
    <w:tmpl w:val="31A4CB7A"/>
    <w:lvl w:ilvl="0" w:tplc="C44871D6">
      <w:numFmt w:val="bullet"/>
      <w:lvlText w:val=""/>
      <w:lvlJc w:val="left"/>
      <w:pPr>
        <w:ind w:left="156" w:hanging="100"/>
      </w:pPr>
      <w:rPr>
        <w:rFonts w:ascii="Symbol" w:eastAsia="Symbol" w:hAnsi="Symbol" w:cs="Symbol" w:hint="default"/>
        <w:color w:val="231F20"/>
        <w:w w:val="100"/>
        <w:sz w:val="14"/>
        <w:szCs w:val="14"/>
      </w:rPr>
    </w:lvl>
    <w:lvl w:ilvl="1" w:tplc="B28AFE3C">
      <w:numFmt w:val="bullet"/>
      <w:lvlText w:val="•"/>
      <w:lvlJc w:val="left"/>
      <w:pPr>
        <w:ind w:left="398" w:hanging="100"/>
      </w:pPr>
      <w:rPr>
        <w:rFonts w:hint="default"/>
      </w:rPr>
    </w:lvl>
    <w:lvl w:ilvl="2" w:tplc="CEC844C6">
      <w:numFmt w:val="bullet"/>
      <w:lvlText w:val="•"/>
      <w:lvlJc w:val="left"/>
      <w:pPr>
        <w:ind w:left="636" w:hanging="100"/>
      </w:pPr>
      <w:rPr>
        <w:rFonts w:hint="default"/>
      </w:rPr>
    </w:lvl>
    <w:lvl w:ilvl="3" w:tplc="D7F0D442">
      <w:numFmt w:val="bullet"/>
      <w:lvlText w:val="•"/>
      <w:lvlJc w:val="left"/>
      <w:pPr>
        <w:ind w:left="874" w:hanging="100"/>
      </w:pPr>
      <w:rPr>
        <w:rFonts w:hint="default"/>
      </w:rPr>
    </w:lvl>
    <w:lvl w:ilvl="4" w:tplc="71E60ADC">
      <w:numFmt w:val="bullet"/>
      <w:lvlText w:val="•"/>
      <w:lvlJc w:val="left"/>
      <w:pPr>
        <w:ind w:left="1112" w:hanging="100"/>
      </w:pPr>
      <w:rPr>
        <w:rFonts w:hint="default"/>
      </w:rPr>
    </w:lvl>
    <w:lvl w:ilvl="5" w:tplc="EB3E43F0">
      <w:numFmt w:val="bullet"/>
      <w:lvlText w:val="•"/>
      <w:lvlJc w:val="left"/>
      <w:pPr>
        <w:ind w:left="1350" w:hanging="100"/>
      </w:pPr>
      <w:rPr>
        <w:rFonts w:hint="default"/>
      </w:rPr>
    </w:lvl>
    <w:lvl w:ilvl="6" w:tplc="A9C44FE0">
      <w:numFmt w:val="bullet"/>
      <w:lvlText w:val="•"/>
      <w:lvlJc w:val="left"/>
      <w:pPr>
        <w:ind w:left="1588" w:hanging="100"/>
      </w:pPr>
      <w:rPr>
        <w:rFonts w:hint="default"/>
      </w:rPr>
    </w:lvl>
    <w:lvl w:ilvl="7" w:tplc="CDF60214">
      <w:numFmt w:val="bullet"/>
      <w:lvlText w:val="•"/>
      <w:lvlJc w:val="left"/>
      <w:pPr>
        <w:ind w:left="1826" w:hanging="100"/>
      </w:pPr>
      <w:rPr>
        <w:rFonts w:hint="default"/>
      </w:rPr>
    </w:lvl>
    <w:lvl w:ilvl="8" w:tplc="27763D6C">
      <w:numFmt w:val="bullet"/>
      <w:lvlText w:val="•"/>
      <w:lvlJc w:val="left"/>
      <w:pPr>
        <w:ind w:left="2064" w:hanging="100"/>
      </w:pPr>
      <w:rPr>
        <w:rFonts w:hint="default"/>
      </w:rPr>
    </w:lvl>
  </w:abstractNum>
  <w:abstractNum w:abstractNumId="571" w15:restartNumberingAfterBreak="0">
    <w:nsid w:val="24730FF5"/>
    <w:multiLevelType w:val="hybridMultilevel"/>
    <w:tmpl w:val="C15455CC"/>
    <w:lvl w:ilvl="0" w:tplc="D6CE27B6">
      <w:numFmt w:val="bullet"/>
      <w:lvlText w:val=""/>
      <w:lvlJc w:val="left"/>
      <w:pPr>
        <w:ind w:left="157" w:hanging="100"/>
      </w:pPr>
      <w:rPr>
        <w:rFonts w:ascii="Symbol" w:eastAsia="Symbol" w:hAnsi="Symbol" w:cs="Symbol" w:hint="default"/>
        <w:color w:val="231F20"/>
        <w:w w:val="100"/>
        <w:sz w:val="14"/>
        <w:szCs w:val="14"/>
      </w:rPr>
    </w:lvl>
    <w:lvl w:ilvl="1" w:tplc="BE02F81A">
      <w:numFmt w:val="bullet"/>
      <w:lvlText w:val="•"/>
      <w:lvlJc w:val="left"/>
      <w:pPr>
        <w:ind w:left="426" w:hanging="100"/>
      </w:pPr>
      <w:rPr>
        <w:rFonts w:hint="default"/>
      </w:rPr>
    </w:lvl>
    <w:lvl w:ilvl="2" w:tplc="9D822D9E">
      <w:numFmt w:val="bullet"/>
      <w:lvlText w:val="•"/>
      <w:lvlJc w:val="left"/>
      <w:pPr>
        <w:ind w:left="692" w:hanging="100"/>
      </w:pPr>
      <w:rPr>
        <w:rFonts w:hint="default"/>
      </w:rPr>
    </w:lvl>
    <w:lvl w:ilvl="3" w:tplc="90827156">
      <w:numFmt w:val="bullet"/>
      <w:lvlText w:val="•"/>
      <w:lvlJc w:val="left"/>
      <w:pPr>
        <w:ind w:left="959" w:hanging="100"/>
      </w:pPr>
      <w:rPr>
        <w:rFonts w:hint="default"/>
      </w:rPr>
    </w:lvl>
    <w:lvl w:ilvl="4" w:tplc="8D2E89DE">
      <w:numFmt w:val="bullet"/>
      <w:lvlText w:val="•"/>
      <w:lvlJc w:val="left"/>
      <w:pPr>
        <w:ind w:left="1225" w:hanging="100"/>
      </w:pPr>
      <w:rPr>
        <w:rFonts w:hint="default"/>
      </w:rPr>
    </w:lvl>
    <w:lvl w:ilvl="5" w:tplc="78F00B78">
      <w:numFmt w:val="bullet"/>
      <w:lvlText w:val="•"/>
      <w:lvlJc w:val="left"/>
      <w:pPr>
        <w:ind w:left="1492" w:hanging="100"/>
      </w:pPr>
      <w:rPr>
        <w:rFonts w:hint="default"/>
      </w:rPr>
    </w:lvl>
    <w:lvl w:ilvl="6" w:tplc="3A2AA922">
      <w:numFmt w:val="bullet"/>
      <w:lvlText w:val="•"/>
      <w:lvlJc w:val="left"/>
      <w:pPr>
        <w:ind w:left="1758" w:hanging="100"/>
      </w:pPr>
      <w:rPr>
        <w:rFonts w:hint="default"/>
      </w:rPr>
    </w:lvl>
    <w:lvl w:ilvl="7" w:tplc="1A6266EC">
      <w:numFmt w:val="bullet"/>
      <w:lvlText w:val="•"/>
      <w:lvlJc w:val="left"/>
      <w:pPr>
        <w:ind w:left="2024" w:hanging="100"/>
      </w:pPr>
      <w:rPr>
        <w:rFonts w:hint="default"/>
      </w:rPr>
    </w:lvl>
    <w:lvl w:ilvl="8" w:tplc="FA9A85B0">
      <w:numFmt w:val="bullet"/>
      <w:lvlText w:val="•"/>
      <w:lvlJc w:val="left"/>
      <w:pPr>
        <w:ind w:left="2291" w:hanging="100"/>
      </w:pPr>
      <w:rPr>
        <w:rFonts w:hint="default"/>
      </w:rPr>
    </w:lvl>
  </w:abstractNum>
  <w:abstractNum w:abstractNumId="572" w15:restartNumberingAfterBreak="0">
    <w:nsid w:val="24767808"/>
    <w:multiLevelType w:val="hybridMultilevel"/>
    <w:tmpl w:val="22A0A7A6"/>
    <w:lvl w:ilvl="0" w:tplc="FB48B2A0">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55B09B72">
      <w:numFmt w:val="bullet"/>
      <w:lvlText w:val="•"/>
      <w:lvlJc w:val="left"/>
      <w:pPr>
        <w:ind w:left="426" w:hanging="105"/>
      </w:pPr>
      <w:rPr>
        <w:rFonts w:hint="default"/>
      </w:rPr>
    </w:lvl>
    <w:lvl w:ilvl="2" w:tplc="CB98423C">
      <w:numFmt w:val="bullet"/>
      <w:lvlText w:val="•"/>
      <w:lvlJc w:val="left"/>
      <w:pPr>
        <w:ind w:left="692" w:hanging="105"/>
      </w:pPr>
      <w:rPr>
        <w:rFonts w:hint="default"/>
      </w:rPr>
    </w:lvl>
    <w:lvl w:ilvl="3" w:tplc="4C6AEF56">
      <w:numFmt w:val="bullet"/>
      <w:lvlText w:val="•"/>
      <w:lvlJc w:val="left"/>
      <w:pPr>
        <w:ind w:left="959" w:hanging="105"/>
      </w:pPr>
      <w:rPr>
        <w:rFonts w:hint="default"/>
      </w:rPr>
    </w:lvl>
    <w:lvl w:ilvl="4" w:tplc="76BC9250">
      <w:numFmt w:val="bullet"/>
      <w:lvlText w:val="•"/>
      <w:lvlJc w:val="left"/>
      <w:pPr>
        <w:ind w:left="1225" w:hanging="105"/>
      </w:pPr>
      <w:rPr>
        <w:rFonts w:hint="default"/>
      </w:rPr>
    </w:lvl>
    <w:lvl w:ilvl="5" w:tplc="AF6A1D4A">
      <w:numFmt w:val="bullet"/>
      <w:lvlText w:val="•"/>
      <w:lvlJc w:val="left"/>
      <w:pPr>
        <w:ind w:left="1492" w:hanging="105"/>
      </w:pPr>
      <w:rPr>
        <w:rFonts w:hint="default"/>
      </w:rPr>
    </w:lvl>
    <w:lvl w:ilvl="6" w:tplc="E73EDFFA">
      <w:numFmt w:val="bullet"/>
      <w:lvlText w:val="•"/>
      <w:lvlJc w:val="left"/>
      <w:pPr>
        <w:ind w:left="1758" w:hanging="105"/>
      </w:pPr>
      <w:rPr>
        <w:rFonts w:hint="default"/>
      </w:rPr>
    </w:lvl>
    <w:lvl w:ilvl="7" w:tplc="07E65640">
      <w:numFmt w:val="bullet"/>
      <w:lvlText w:val="•"/>
      <w:lvlJc w:val="left"/>
      <w:pPr>
        <w:ind w:left="2024" w:hanging="105"/>
      </w:pPr>
      <w:rPr>
        <w:rFonts w:hint="default"/>
      </w:rPr>
    </w:lvl>
    <w:lvl w:ilvl="8" w:tplc="592679B2">
      <w:numFmt w:val="bullet"/>
      <w:lvlText w:val="•"/>
      <w:lvlJc w:val="left"/>
      <w:pPr>
        <w:ind w:left="2291" w:hanging="105"/>
      </w:pPr>
      <w:rPr>
        <w:rFonts w:hint="default"/>
      </w:rPr>
    </w:lvl>
  </w:abstractNum>
  <w:abstractNum w:abstractNumId="573" w15:restartNumberingAfterBreak="0">
    <w:nsid w:val="24811421"/>
    <w:multiLevelType w:val="hybridMultilevel"/>
    <w:tmpl w:val="B6904BCA"/>
    <w:lvl w:ilvl="0" w:tplc="15FA6C2A">
      <w:numFmt w:val="bullet"/>
      <w:lvlText w:val=""/>
      <w:lvlJc w:val="left"/>
      <w:pPr>
        <w:ind w:left="156" w:hanging="100"/>
      </w:pPr>
      <w:rPr>
        <w:rFonts w:ascii="Symbol" w:eastAsia="Symbol" w:hAnsi="Symbol" w:cs="Symbol" w:hint="default"/>
        <w:color w:val="231F20"/>
        <w:w w:val="100"/>
        <w:sz w:val="14"/>
        <w:szCs w:val="14"/>
      </w:rPr>
    </w:lvl>
    <w:lvl w:ilvl="1" w:tplc="046C212C">
      <w:start w:val="1"/>
      <w:numFmt w:val="upperRoman"/>
      <w:lvlText w:val="%2"/>
      <w:lvlJc w:val="left"/>
      <w:pPr>
        <w:ind w:left="156" w:hanging="82"/>
        <w:jc w:val="left"/>
      </w:pPr>
      <w:rPr>
        <w:rFonts w:ascii="Times New Roman" w:eastAsia="Times New Roman" w:hAnsi="Times New Roman" w:cs="Times New Roman" w:hint="default"/>
        <w:color w:val="231F20"/>
        <w:spacing w:val="-8"/>
        <w:w w:val="100"/>
        <w:sz w:val="14"/>
        <w:szCs w:val="14"/>
      </w:rPr>
    </w:lvl>
    <w:lvl w:ilvl="2" w:tplc="DBD659F4">
      <w:numFmt w:val="bullet"/>
      <w:lvlText w:val="•"/>
      <w:lvlJc w:val="left"/>
      <w:pPr>
        <w:ind w:left="692" w:hanging="82"/>
      </w:pPr>
      <w:rPr>
        <w:rFonts w:hint="default"/>
      </w:rPr>
    </w:lvl>
    <w:lvl w:ilvl="3" w:tplc="5C84AD5A">
      <w:numFmt w:val="bullet"/>
      <w:lvlText w:val="•"/>
      <w:lvlJc w:val="left"/>
      <w:pPr>
        <w:ind w:left="959" w:hanging="82"/>
      </w:pPr>
      <w:rPr>
        <w:rFonts w:hint="default"/>
      </w:rPr>
    </w:lvl>
    <w:lvl w:ilvl="4" w:tplc="F5069BA0">
      <w:numFmt w:val="bullet"/>
      <w:lvlText w:val="•"/>
      <w:lvlJc w:val="left"/>
      <w:pPr>
        <w:ind w:left="1225" w:hanging="82"/>
      </w:pPr>
      <w:rPr>
        <w:rFonts w:hint="default"/>
      </w:rPr>
    </w:lvl>
    <w:lvl w:ilvl="5" w:tplc="F92CD88C">
      <w:numFmt w:val="bullet"/>
      <w:lvlText w:val="•"/>
      <w:lvlJc w:val="left"/>
      <w:pPr>
        <w:ind w:left="1492" w:hanging="82"/>
      </w:pPr>
      <w:rPr>
        <w:rFonts w:hint="default"/>
      </w:rPr>
    </w:lvl>
    <w:lvl w:ilvl="6" w:tplc="043CB4D8">
      <w:numFmt w:val="bullet"/>
      <w:lvlText w:val="•"/>
      <w:lvlJc w:val="left"/>
      <w:pPr>
        <w:ind w:left="1758" w:hanging="82"/>
      </w:pPr>
      <w:rPr>
        <w:rFonts w:hint="default"/>
      </w:rPr>
    </w:lvl>
    <w:lvl w:ilvl="7" w:tplc="46B62DCA">
      <w:numFmt w:val="bullet"/>
      <w:lvlText w:val="•"/>
      <w:lvlJc w:val="left"/>
      <w:pPr>
        <w:ind w:left="2024" w:hanging="82"/>
      </w:pPr>
      <w:rPr>
        <w:rFonts w:hint="default"/>
      </w:rPr>
    </w:lvl>
    <w:lvl w:ilvl="8" w:tplc="F35C9F7E">
      <w:numFmt w:val="bullet"/>
      <w:lvlText w:val="•"/>
      <w:lvlJc w:val="left"/>
      <w:pPr>
        <w:ind w:left="2291" w:hanging="82"/>
      </w:pPr>
      <w:rPr>
        <w:rFonts w:hint="default"/>
      </w:rPr>
    </w:lvl>
  </w:abstractNum>
  <w:abstractNum w:abstractNumId="574" w15:restartNumberingAfterBreak="0">
    <w:nsid w:val="24811D35"/>
    <w:multiLevelType w:val="hybridMultilevel"/>
    <w:tmpl w:val="81DC378C"/>
    <w:lvl w:ilvl="0" w:tplc="7E1686DA">
      <w:numFmt w:val="bullet"/>
      <w:lvlText w:val=""/>
      <w:lvlJc w:val="left"/>
      <w:pPr>
        <w:ind w:left="156" w:hanging="100"/>
      </w:pPr>
      <w:rPr>
        <w:rFonts w:ascii="Symbol" w:eastAsia="Symbol" w:hAnsi="Symbol" w:cs="Symbol" w:hint="default"/>
        <w:color w:val="231F20"/>
        <w:w w:val="100"/>
        <w:sz w:val="14"/>
        <w:szCs w:val="14"/>
      </w:rPr>
    </w:lvl>
    <w:lvl w:ilvl="1" w:tplc="C22ED202">
      <w:numFmt w:val="bullet"/>
      <w:lvlText w:val="•"/>
      <w:lvlJc w:val="left"/>
      <w:pPr>
        <w:ind w:left="454" w:hanging="100"/>
      </w:pPr>
      <w:rPr>
        <w:rFonts w:hint="default"/>
      </w:rPr>
    </w:lvl>
    <w:lvl w:ilvl="2" w:tplc="4F8646C6">
      <w:numFmt w:val="bullet"/>
      <w:lvlText w:val="•"/>
      <w:lvlJc w:val="left"/>
      <w:pPr>
        <w:ind w:left="749" w:hanging="100"/>
      </w:pPr>
      <w:rPr>
        <w:rFonts w:hint="default"/>
      </w:rPr>
    </w:lvl>
    <w:lvl w:ilvl="3" w:tplc="704449B4">
      <w:numFmt w:val="bullet"/>
      <w:lvlText w:val="•"/>
      <w:lvlJc w:val="left"/>
      <w:pPr>
        <w:ind w:left="1044" w:hanging="100"/>
      </w:pPr>
      <w:rPr>
        <w:rFonts w:hint="default"/>
      </w:rPr>
    </w:lvl>
    <w:lvl w:ilvl="4" w:tplc="D21C2C06">
      <w:numFmt w:val="bullet"/>
      <w:lvlText w:val="•"/>
      <w:lvlJc w:val="left"/>
      <w:pPr>
        <w:ind w:left="1339" w:hanging="100"/>
      </w:pPr>
      <w:rPr>
        <w:rFonts w:hint="default"/>
      </w:rPr>
    </w:lvl>
    <w:lvl w:ilvl="5" w:tplc="51E066D0">
      <w:numFmt w:val="bullet"/>
      <w:lvlText w:val="•"/>
      <w:lvlJc w:val="left"/>
      <w:pPr>
        <w:ind w:left="1634" w:hanging="100"/>
      </w:pPr>
      <w:rPr>
        <w:rFonts w:hint="default"/>
      </w:rPr>
    </w:lvl>
    <w:lvl w:ilvl="6" w:tplc="D4C41F9A">
      <w:numFmt w:val="bullet"/>
      <w:lvlText w:val="•"/>
      <w:lvlJc w:val="left"/>
      <w:pPr>
        <w:ind w:left="1928" w:hanging="100"/>
      </w:pPr>
      <w:rPr>
        <w:rFonts w:hint="default"/>
      </w:rPr>
    </w:lvl>
    <w:lvl w:ilvl="7" w:tplc="E24C2D5A">
      <w:numFmt w:val="bullet"/>
      <w:lvlText w:val="•"/>
      <w:lvlJc w:val="left"/>
      <w:pPr>
        <w:ind w:left="2223" w:hanging="100"/>
      </w:pPr>
      <w:rPr>
        <w:rFonts w:hint="default"/>
      </w:rPr>
    </w:lvl>
    <w:lvl w:ilvl="8" w:tplc="1A6ADA2C">
      <w:numFmt w:val="bullet"/>
      <w:lvlText w:val="•"/>
      <w:lvlJc w:val="left"/>
      <w:pPr>
        <w:ind w:left="2518" w:hanging="100"/>
      </w:pPr>
      <w:rPr>
        <w:rFonts w:hint="default"/>
      </w:rPr>
    </w:lvl>
  </w:abstractNum>
  <w:abstractNum w:abstractNumId="575" w15:restartNumberingAfterBreak="0">
    <w:nsid w:val="24840235"/>
    <w:multiLevelType w:val="hybridMultilevel"/>
    <w:tmpl w:val="A2A07A74"/>
    <w:lvl w:ilvl="0" w:tplc="527496D8">
      <w:numFmt w:val="bullet"/>
      <w:lvlText w:val=""/>
      <w:lvlJc w:val="left"/>
      <w:pPr>
        <w:ind w:left="156" w:hanging="100"/>
      </w:pPr>
      <w:rPr>
        <w:rFonts w:ascii="Symbol" w:eastAsia="Symbol" w:hAnsi="Symbol" w:cs="Symbol" w:hint="default"/>
        <w:color w:val="231F20"/>
        <w:w w:val="100"/>
        <w:sz w:val="14"/>
        <w:szCs w:val="14"/>
      </w:rPr>
    </w:lvl>
    <w:lvl w:ilvl="1" w:tplc="55ECC8EE">
      <w:numFmt w:val="bullet"/>
      <w:lvlText w:val="•"/>
      <w:lvlJc w:val="left"/>
      <w:pPr>
        <w:ind w:left="301" w:hanging="100"/>
      </w:pPr>
      <w:rPr>
        <w:rFonts w:hint="default"/>
      </w:rPr>
    </w:lvl>
    <w:lvl w:ilvl="2" w:tplc="E1F65F66">
      <w:numFmt w:val="bullet"/>
      <w:lvlText w:val="•"/>
      <w:lvlJc w:val="left"/>
      <w:pPr>
        <w:ind w:left="443" w:hanging="100"/>
      </w:pPr>
      <w:rPr>
        <w:rFonts w:hint="default"/>
      </w:rPr>
    </w:lvl>
    <w:lvl w:ilvl="3" w:tplc="42121998">
      <w:numFmt w:val="bullet"/>
      <w:lvlText w:val="•"/>
      <w:lvlJc w:val="left"/>
      <w:pPr>
        <w:ind w:left="585" w:hanging="100"/>
      </w:pPr>
      <w:rPr>
        <w:rFonts w:hint="default"/>
      </w:rPr>
    </w:lvl>
    <w:lvl w:ilvl="4" w:tplc="395C113C">
      <w:numFmt w:val="bullet"/>
      <w:lvlText w:val="•"/>
      <w:lvlJc w:val="left"/>
      <w:pPr>
        <w:ind w:left="726" w:hanging="100"/>
      </w:pPr>
      <w:rPr>
        <w:rFonts w:hint="default"/>
      </w:rPr>
    </w:lvl>
    <w:lvl w:ilvl="5" w:tplc="ABF8EB90">
      <w:numFmt w:val="bullet"/>
      <w:lvlText w:val="•"/>
      <w:lvlJc w:val="left"/>
      <w:pPr>
        <w:ind w:left="868" w:hanging="100"/>
      </w:pPr>
      <w:rPr>
        <w:rFonts w:hint="default"/>
      </w:rPr>
    </w:lvl>
    <w:lvl w:ilvl="6" w:tplc="7CBA74BA">
      <w:numFmt w:val="bullet"/>
      <w:lvlText w:val="•"/>
      <w:lvlJc w:val="left"/>
      <w:pPr>
        <w:ind w:left="1010" w:hanging="100"/>
      </w:pPr>
      <w:rPr>
        <w:rFonts w:hint="default"/>
      </w:rPr>
    </w:lvl>
    <w:lvl w:ilvl="7" w:tplc="5E8CA1EA">
      <w:numFmt w:val="bullet"/>
      <w:lvlText w:val="•"/>
      <w:lvlJc w:val="left"/>
      <w:pPr>
        <w:ind w:left="1151" w:hanging="100"/>
      </w:pPr>
      <w:rPr>
        <w:rFonts w:hint="default"/>
      </w:rPr>
    </w:lvl>
    <w:lvl w:ilvl="8" w:tplc="18CA5A84">
      <w:numFmt w:val="bullet"/>
      <w:lvlText w:val="•"/>
      <w:lvlJc w:val="left"/>
      <w:pPr>
        <w:ind w:left="1293" w:hanging="100"/>
      </w:pPr>
      <w:rPr>
        <w:rFonts w:hint="default"/>
      </w:rPr>
    </w:lvl>
  </w:abstractNum>
  <w:abstractNum w:abstractNumId="576" w15:restartNumberingAfterBreak="0">
    <w:nsid w:val="248F345E"/>
    <w:multiLevelType w:val="hybridMultilevel"/>
    <w:tmpl w:val="7F5A395A"/>
    <w:lvl w:ilvl="0" w:tplc="B672A1EA">
      <w:numFmt w:val="bullet"/>
      <w:lvlText w:val=""/>
      <w:lvlJc w:val="left"/>
      <w:pPr>
        <w:ind w:left="157" w:hanging="100"/>
      </w:pPr>
      <w:rPr>
        <w:rFonts w:ascii="Symbol" w:eastAsia="Symbol" w:hAnsi="Symbol" w:cs="Symbol" w:hint="default"/>
        <w:color w:val="231F20"/>
        <w:w w:val="100"/>
        <w:sz w:val="14"/>
        <w:szCs w:val="14"/>
      </w:rPr>
    </w:lvl>
    <w:lvl w:ilvl="1" w:tplc="40B6FD64">
      <w:numFmt w:val="bullet"/>
      <w:lvlText w:val="•"/>
      <w:lvlJc w:val="left"/>
      <w:pPr>
        <w:ind w:left="369" w:hanging="100"/>
      </w:pPr>
      <w:rPr>
        <w:rFonts w:hint="default"/>
      </w:rPr>
    </w:lvl>
    <w:lvl w:ilvl="2" w:tplc="AB124B0C">
      <w:numFmt w:val="bullet"/>
      <w:lvlText w:val="•"/>
      <w:lvlJc w:val="left"/>
      <w:pPr>
        <w:ind w:left="579" w:hanging="100"/>
      </w:pPr>
      <w:rPr>
        <w:rFonts w:hint="default"/>
      </w:rPr>
    </w:lvl>
    <w:lvl w:ilvl="3" w:tplc="5A2233DE">
      <w:numFmt w:val="bullet"/>
      <w:lvlText w:val="•"/>
      <w:lvlJc w:val="left"/>
      <w:pPr>
        <w:ind w:left="789" w:hanging="100"/>
      </w:pPr>
      <w:rPr>
        <w:rFonts w:hint="default"/>
      </w:rPr>
    </w:lvl>
    <w:lvl w:ilvl="4" w:tplc="45E00310">
      <w:numFmt w:val="bullet"/>
      <w:lvlText w:val="•"/>
      <w:lvlJc w:val="left"/>
      <w:pPr>
        <w:ind w:left="998" w:hanging="100"/>
      </w:pPr>
      <w:rPr>
        <w:rFonts w:hint="default"/>
      </w:rPr>
    </w:lvl>
    <w:lvl w:ilvl="5" w:tplc="F42AAB30">
      <w:numFmt w:val="bullet"/>
      <w:lvlText w:val="•"/>
      <w:lvlJc w:val="left"/>
      <w:pPr>
        <w:ind w:left="1208" w:hanging="100"/>
      </w:pPr>
      <w:rPr>
        <w:rFonts w:hint="default"/>
      </w:rPr>
    </w:lvl>
    <w:lvl w:ilvl="6" w:tplc="BD58523C">
      <w:numFmt w:val="bullet"/>
      <w:lvlText w:val="•"/>
      <w:lvlJc w:val="left"/>
      <w:pPr>
        <w:ind w:left="1418" w:hanging="100"/>
      </w:pPr>
      <w:rPr>
        <w:rFonts w:hint="default"/>
      </w:rPr>
    </w:lvl>
    <w:lvl w:ilvl="7" w:tplc="5D6431BE">
      <w:numFmt w:val="bullet"/>
      <w:lvlText w:val="•"/>
      <w:lvlJc w:val="left"/>
      <w:pPr>
        <w:ind w:left="1627" w:hanging="100"/>
      </w:pPr>
      <w:rPr>
        <w:rFonts w:hint="default"/>
      </w:rPr>
    </w:lvl>
    <w:lvl w:ilvl="8" w:tplc="93280338">
      <w:numFmt w:val="bullet"/>
      <w:lvlText w:val="•"/>
      <w:lvlJc w:val="left"/>
      <w:pPr>
        <w:ind w:left="1837" w:hanging="100"/>
      </w:pPr>
      <w:rPr>
        <w:rFonts w:hint="default"/>
      </w:rPr>
    </w:lvl>
  </w:abstractNum>
  <w:abstractNum w:abstractNumId="577" w15:restartNumberingAfterBreak="0">
    <w:nsid w:val="249100EF"/>
    <w:multiLevelType w:val="hybridMultilevel"/>
    <w:tmpl w:val="FB048920"/>
    <w:lvl w:ilvl="0" w:tplc="F4F62B9C">
      <w:numFmt w:val="bullet"/>
      <w:lvlText w:val=""/>
      <w:lvlJc w:val="left"/>
      <w:pPr>
        <w:ind w:left="156" w:hanging="100"/>
      </w:pPr>
      <w:rPr>
        <w:rFonts w:ascii="Symbol" w:eastAsia="Symbol" w:hAnsi="Symbol" w:cs="Symbol" w:hint="default"/>
        <w:color w:val="231F20"/>
        <w:w w:val="100"/>
        <w:sz w:val="14"/>
        <w:szCs w:val="14"/>
      </w:rPr>
    </w:lvl>
    <w:lvl w:ilvl="1" w:tplc="4D8C67D8">
      <w:numFmt w:val="bullet"/>
      <w:lvlText w:val="•"/>
      <w:lvlJc w:val="left"/>
      <w:pPr>
        <w:ind w:left="426" w:hanging="100"/>
      </w:pPr>
      <w:rPr>
        <w:rFonts w:hint="default"/>
      </w:rPr>
    </w:lvl>
    <w:lvl w:ilvl="2" w:tplc="273C710E">
      <w:numFmt w:val="bullet"/>
      <w:lvlText w:val="•"/>
      <w:lvlJc w:val="left"/>
      <w:pPr>
        <w:ind w:left="692" w:hanging="100"/>
      </w:pPr>
      <w:rPr>
        <w:rFonts w:hint="default"/>
      </w:rPr>
    </w:lvl>
    <w:lvl w:ilvl="3" w:tplc="8862AFEE">
      <w:numFmt w:val="bullet"/>
      <w:lvlText w:val="•"/>
      <w:lvlJc w:val="left"/>
      <w:pPr>
        <w:ind w:left="959" w:hanging="100"/>
      </w:pPr>
      <w:rPr>
        <w:rFonts w:hint="default"/>
      </w:rPr>
    </w:lvl>
    <w:lvl w:ilvl="4" w:tplc="E29C3AE8">
      <w:numFmt w:val="bullet"/>
      <w:lvlText w:val="•"/>
      <w:lvlJc w:val="left"/>
      <w:pPr>
        <w:ind w:left="1225" w:hanging="100"/>
      </w:pPr>
      <w:rPr>
        <w:rFonts w:hint="default"/>
      </w:rPr>
    </w:lvl>
    <w:lvl w:ilvl="5" w:tplc="55E0F60E">
      <w:numFmt w:val="bullet"/>
      <w:lvlText w:val="•"/>
      <w:lvlJc w:val="left"/>
      <w:pPr>
        <w:ind w:left="1492" w:hanging="100"/>
      </w:pPr>
      <w:rPr>
        <w:rFonts w:hint="default"/>
      </w:rPr>
    </w:lvl>
    <w:lvl w:ilvl="6" w:tplc="413A9932">
      <w:numFmt w:val="bullet"/>
      <w:lvlText w:val="•"/>
      <w:lvlJc w:val="left"/>
      <w:pPr>
        <w:ind w:left="1758" w:hanging="100"/>
      </w:pPr>
      <w:rPr>
        <w:rFonts w:hint="default"/>
      </w:rPr>
    </w:lvl>
    <w:lvl w:ilvl="7" w:tplc="BCB61D8E">
      <w:numFmt w:val="bullet"/>
      <w:lvlText w:val="•"/>
      <w:lvlJc w:val="left"/>
      <w:pPr>
        <w:ind w:left="2024" w:hanging="100"/>
      </w:pPr>
      <w:rPr>
        <w:rFonts w:hint="default"/>
      </w:rPr>
    </w:lvl>
    <w:lvl w:ilvl="8" w:tplc="561C086C">
      <w:numFmt w:val="bullet"/>
      <w:lvlText w:val="•"/>
      <w:lvlJc w:val="left"/>
      <w:pPr>
        <w:ind w:left="2291" w:hanging="100"/>
      </w:pPr>
      <w:rPr>
        <w:rFonts w:hint="default"/>
      </w:rPr>
    </w:lvl>
  </w:abstractNum>
  <w:abstractNum w:abstractNumId="578" w15:restartNumberingAfterBreak="0">
    <w:nsid w:val="249F2947"/>
    <w:multiLevelType w:val="hybridMultilevel"/>
    <w:tmpl w:val="7630A0E4"/>
    <w:lvl w:ilvl="0" w:tplc="F880D1BC">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AC8E60FC">
      <w:numFmt w:val="bullet"/>
      <w:lvlText w:val="•"/>
      <w:lvlJc w:val="left"/>
      <w:pPr>
        <w:ind w:left="1636" w:hanging="116"/>
      </w:pPr>
      <w:rPr>
        <w:rFonts w:hint="default"/>
      </w:rPr>
    </w:lvl>
    <w:lvl w:ilvl="2" w:tplc="27F8CD9E">
      <w:numFmt w:val="bullet"/>
      <w:lvlText w:val="•"/>
      <w:lvlJc w:val="left"/>
      <w:pPr>
        <w:ind w:left="2653" w:hanging="116"/>
      </w:pPr>
      <w:rPr>
        <w:rFonts w:hint="default"/>
      </w:rPr>
    </w:lvl>
    <w:lvl w:ilvl="3" w:tplc="BD969DFE">
      <w:numFmt w:val="bullet"/>
      <w:lvlText w:val="•"/>
      <w:lvlJc w:val="left"/>
      <w:pPr>
        <w:ind w:left="3669" w:hanging="116"/>
      </w:pPr>
      <w:rPr>
        <w:rFonts w:hint="default"/>
      </w:rPr>
    </w:lvl>
    <w:lvl w:ilvl="4" w:tplc="A6162C04">
      <w:numFmt w:val="bullet"/>
      <w:lvlText w:val="•"/>
      <w:lvlJc w:val="left"/>
      <w:pPr>
        <w:ind w:left="4686" w:hanging="116"/>
      </w:pPr>
      <w:rPr>
        <w:rFonts w:hint="default"/>
      </w:rPr>
    </w:lvl>
    <w:lvl w:ilvl="5" w:tplc="EFD6700E">
      <w:numFmt w:val="bullet"/>
      <w:lvlText w:val="•"/>
      <w:lvlJc w:val="left"/>
      <w:pPr>
        <w:ind w:left="5702" w:hanging="116"/>
      </w:pPr>
      <w:rPr>
        <w:rFonts w:hint="default"/>
      </w:rPr>
    </w:lvl>
    <w:lvl w:ilvl="6" w:tplc="32DEFC94">
      <w:numFmt w:val="bullet"/>
      <w:lvlText w:val="•"/>
      <w:lvlJc w:val="left"/>
      <w:pPr>
        <w:ind w:left="6719" w:hanging="116"/>
      </w:pPr>
      <w:rPr>
        <w:rFonts w:hint="default"/>
      </w:rPr>
    </w:lvl>
    <w:lvl w:ilvl="7" w:tplc="4A3E8E00">
      <w:numFmt w:val="bullet"/>
      <w:lvlText w:val="•"/>
      <w:lvlJc w:val="left"/>
      <w:pPr>
        <w:ind w:left="7735" w:hanging="116"/>
      </w:pPr>
      <w:rPr>
        <w:rFonts w:hint="default"/>
      </w:rPr>
    </w:lvl>
    <w:lvl w:ilvl="8" w:tplc="1E76E0C2">
      <w:numFmt w:val="bullet"/>
      <w:lvlText w:val="•"/>
      <w:lvlJc w:val="left"/>
      <w:pPr>
        <w:ind w:left="8752" w:hanging="116"/>
      </w:pPr>
      <w:rPr>
        <w:rFonts w:hint="default"/>
      </w:rPr>
    </w:lvl>
  </w:abstractNum>
  <w:abstractNum w:abstractNumId="579" w15:restartNumberingAfterBreak="0">
    <w:nsid w:val="24A33455"/>
    <w:multiLevelType w:val="hybridMultilevel"/>
    <w:tmpl w:val="9CCA8B34"/>
    <w:lvl w:ilvl="0" w:tplc="D396B7B8">
      <w:numFmt w:val="bullet"/>
      <w:lvlText w:val=""/>
      <w:lvlJc w:val="left"/>
      <w:pPr>
        <w:ind w:left="156" w:hanging="100"/>
      </w:pPr>
      <w:rPr>
        <w:rFonts w:ascii="Symbol" w:eastAsia="Symbol" w:hAnsi="Symbol" w:cs="Symbol" w:hint="default"/>
        <w:color w:val="231F20"/>
        <w:w w:val="100"/>
        <w:sz w:val="14"/>
        <w:szCs w:val="14"/>
      </w:rPr>
    </w:lvl>
    <w:lvl w:ilvl="1" w:tplc="BAE44C5C">
      <w:numFmt w:val="bullet"/>
      <w:lvlText w:val="•"/>
      <w:lvlJc w:val="left"/>
      <w:pPr>
        <w:ind w:left="398" w:hanging="100"/>
      </w:pPr>
      <w:rPr>
        <w:rFonts w:hint="default"/>
      </w:rPr>
    </w:lvl>
    <w:lvl w:ilvl="2" w:tplc="B4408E6A">
      <w:numFmt w:val="bullet"/>
      <w:lvlText w:val="•"/>
      <w:lvlJc w:val="left"/>
      <w:pPr>
        <w:ind w:left="636" w:hanging="100"/>
      </w:pPr>
      <w:rPr>
        <w:rFonts w:hint="default"/>
      </w:rPr>
    </w:lvl>
    <w:lvl w:ilvl="3" w:tplc="213C4BFC">
      <w:numFmt w:val="bullet"/>
      <w:lvlText w:val="•"/>
      <w:lvlJc w:val="left"/>
      <w:pPr>
        <w:ind w:left="874" w:hanging="100"/>
      </w:pPr>
      <w:rPr>
        <w:rFonts w:hint="default"/>
      </w:rPr>
    </w:lvl>
    <w:lvl w:ilvl="4" w:tplc="6E5E68E2">
      <w:numFmt w:val="bullet"/>
      <w:lvlText w:val="•"/>
      <w:lvlJc w:val="left"/>
      <w:pPr>
        <w:ind w:left="1112" w:hanging="100"/>
      </w:pPr>
      <w:rPr>
        <w:rFonts w:hint="default"/>
      </w:rPr>
    </w:lvl>
    <w:lvl w:ilvl="5" w:tplc="2CC0281C">
      <w:numFmt w:val="bullet"/>
      <w:lvlText w:val="•"/>
      <w:lvlJc w:val="left"/>
      <w:pPr>
        <w:ind w:left="1350" w:hanging="100"/>
      </w:pPr>
      <w:rPr>
        <w:rFonts w:hint="default"/>
      </w:rPr>
    </w:lvl>
    <w:lvl w:ilvl="6" w:tplc="17D24C86">
      <w:numFmt w:val="bullet"/>
      <w:lvlText w:val="•"/>
      <w:lvlJc w:val="left"/>
      <w:pPr>
        <w:ind w:left="1588" w:hanging="100"/>
      </w:pPr>
      <w:rPr>
        <w:rFonts w:hint="default"/>
      </w:rPr>
    </w:lvl>
    <w:lvl w:ilvl="7" w:tplc="2916B53A">
      <w:numFmt w:val="bullet"/>
      <w:lvlText w:val="•"/>
      <w:lvlJc w:val="left"/>
      <w:pPr>
        <w:ind w:left="1826" w:hanging="100"/>
      </w:pPr>
      <w:rPr>
        <w:rFonts w:hint="default"/>
      </w:rPr>
    </w:lvl>
    <w:lvl w:ilvl="8" w:tplc="E810604C">
      <w:numFmt w:val="bullet"/>
      <w:lvlText w:val="•"/>
      <w:lvlJc w:val="left"/>
      <w:pPr>
        <w:ind w:left="2064" w:hanging="100"/>
      </w:pPr>
      <w:rPr>
        <w:rFonts w:hint="default"/>
      </w:rPr>
    </w:lvl>
  </w:abstractNum>
  <w:abstractNum w:abstractNumId="580" w15:restartNumberingAfterBreak="0">
    <w:nsid w:val="24AE5DAD"/>
    <w:multiLevelType w:val="hybridMultilevel"/>
    <w:tmpl w:val="1B46A3E4"/>
    <w:lvl w:ilvl="0" w:tplc="ED2C3930">
      <w:numFmt w:val="bullet"/>
      <w:lvlText w:val=""/>
      <w:lvlJc w:val="left"/>
      <w:pPr>
        <w:ind w:left="156" w:hanging="100"/>
      </w:pPr>
      <w:rPr>
        <w:rFonts w:ascii="Symbol" w:eastAsia="Symbol" w:hAnsi="Symbol" w:cs="Symbol" w:hint="default"/>
        <w:color w:val="231F20"/>
        <w:w w:val="100"/>
        <w:sz w:val="14"/>
        <w:szCs w:val="14"/>
      </w:rPr>
    </w:lvl>
    <w:lvl w:ilvl="1" w:tplc="63F63C1A">
      <w:numFmt w:val="bullet"/>
      <w:lvlText w:val="•"/>
      <w:lvlJc w:val="left"/>
      <w:pPr>
        <w:ind w:left="398" w:hanging="100"/>
      </w:pPr>
      <w:rPr>
        <w:rFonts w:hint="default"/>
      </w:rPr>
    </w:lvl>
    <w:lvl w:ilvl="2" w:tplc="09DA3702">
      <w:numFmt w:val="bullet"/>
      <w:lvlText w:val="•"/>
      <w:lvlJc w:val="left"/>
      <w:pPr>
        <w:ind w:left="636" w:hanging="100"/>
      </w:pPr>
      <w:rPr>
        <w:rFonts w:hint="default"/>
      </w:rPr>
    </w:lvl>
    <w:lvl w:ilvl="3" w:tplc="D564E8E4">
      <w:numFmt w:val="bullet"/>
      <w:lvlText w:val="•"/>
      <w:lvlJc w:val="left"/>
      <w:pPr>
        <w:ind w:left="874" w:hanging="100"/>
      </w:pPr>
      <w:rPr>
        <w:rFonts w:hint="default"/>
      </w:rPr>
    </w:lvl>
    <w:lvl w:ilvl="4" w:tplc="07A83690">
      <w:numFmt w:val="bullet"/>
      <w:lvlText w:val="•"/>
      <w:lvlJc w:val="left"/>
      <w:pPr>
        <w:ind w:left="1112" w:hanging="100"/>
      </w:pPr>
      <w:rPr>
        <w:rFonts w:hint="default"/>
      </w:rPr>
    </w:lvl>
    <w:lvl w:ilvl="5" w:tplc="91E2F900">
      <w:numFmt w:val="bullet"/>
      <w:lvlText w:val="•"/>
      <w:lvlJc w:val="left"/>
      <w:pPr>
        <w:ind w:left="1350" w:hanging="100"/>
      </w:pPr>
      <w:rPr>
        <w:rFonts w:hint="default"/>
      </w:rPr>
    </w:lvl>
    <w:lvl w:ilvl="6" w:tplc="034A6964">
      <w:numFmt w:val="bullet"/>
      <w:lvlText w:val="•"/>
      <w:lvlJc w:val="left"/>
      <w:pPr>
        <w:ind w:left="1588" w:hanging="100"/>
      </w:pPr>
      <w:rPr>
        <w:rFonts w:hint="default"/>
      </w:rPr>
    </w:lvl>
    <w:lvl w:ilvl="7" w:tplc="840C5414">
      <w:numFmt w:val="bullet"/>
      <w:lvlText w:val="•"/>
      <w:lvlJc w:val="left"/>
      <w:pPr>
        <w:ind w:left="1826" w:hanging="100"/>
      </w:pPr>
      <w:rPr>
        <w:rFonts w:hint="default"/>
      </w:rPr>
    </w:lvl>
    <w:lvl w:ilvl="8" w:tplc="076E556C">
      <w:numFmt w:val="bullet"/>
      <w:lvlText w:val="•"/>
      <w:lvlJc w:val="left"/>
      <w:pPr>
        <w:ind w:left="2064" w:hanging="100"/>
      </w:pPr>
      <w:rPr>
        <w:rFonts w:hint="default"/>
      </w:rPr>
    </w:lvl>
  </w:abstractNum>
  <w:abstractNum w:abstractNumId="581" w15:restartNumberingAfterBreak="0">
    <w:nsid w:val="24B266B6"/>
    <w:multiLevelType w:val="hybridMultilevel"/>
    <w:tmpl w:val="4C467CA2"/>
    <w:lvl w:ilvl="0" w:tplc="BA363C72">
      <w:numFmt w:val="bullet"/>
      <w:lvlText w:val=""/>
      <w:lvlJc w:val="left"/>
      <w:pPr>
        <w:ind w:left="156" w:hanging="100"/>
      </w:pPr>
      <w:rPr>
        <w:rFonts w:ascii="Symbol" w:eastAsia="Symbol" w:hAnsi="Symbol" w:cs="Symbol" w:hint="default"/>
        <w:color w:val="231F20"/>
        <w:w w:val="100"/>
        <w:sz w:val="14"/>
        <w:szCs w:val="14"/>
      </w:rPr>
    </w:lvl>
    <w:lvl w:ilvl="1" w:tplc="6DEE9C80">
      <w:numFmt w:val="bullet"/>
      <w:lvlText w:val="•"/>
      <w:lvlJc w:val="left"/>
      <w:pPr>
        <w:ind w:left="301" w:hanging="100"/>
      </w:pPr>
      <w:rPr>
        <w:rFonts w:hint="default"/>
      </w:rPr>
    </w:lvl>
    <w:lvl w:ilvl="2" w:tplc="779AD346">
      <w:numFmt w:val="bullet"/>
      <w:lvlText w:val="•"/>
      <w:lvlJc w:val="left"/>
      <w:pPr>
        <w:ind w:left="443" w:hanging="100"/>
      </w:pPr>
      <w:rPr>
        <w:rFonts w:hint="default"/>
      </w:rPr>
    </w:lvl>
    <w:lvl w:ilvl="3" w:tplc="9A449ED6">
      <w:numFmt w:val="bullet"/>
      <w:lvlText w:val="•"/>
      <w:lvlJc w:val="left"/>
      <w:pPr>
        <w:ind w:left="585" w:hanging="100"/>
      </w:pPr>
      <w:rPr>
        <w:rFonts w:hint="default"/>
      </w:rPr>
    </w:lvl>
    <w:lvl w:ilvl="4" w:tplc="29F0555C">
      <w:numFmt w:val="bullet"/>
      <w:lvlText w:val="•"/>
      <w:lvlJc w:val="left"/>
      <w:pPr>
        <w:ind w:left="726" w:hanging="100"/>
      </w:pPr>
      <w:rPr>
        <w:rFonts w:hint="default"/>
      </w:rPr>
    </w:lvl>
    <w:lvl w:ilvl="5" w:tplc="FEC6B8D4">
      <w:numFmt w:val="bullet"/>
      <w:lvlText w:val="•"/>
      <w:lvlJc w:val="left"/>
      <w:pPr>
        <w:ind w:left="868" w:hanging="100"/>
      </w:pPr>
      <w:rPr>
        <w:rFonts w:hint="default"/>
      </w:rPr>
    </w:lvl>
    <w:lvl w:ilvl="6" w:tplc="23CCAB60">
      <w:numFmt w:val="bullet"/>
      <w:lvlText w:val="•"/>
      <w:lvlJc w:val="left"/>
      <w:pPr>
        <w:ind w:left="1010" w:hanging="100"/>
      </w:pPr>
      <w:rPr>
        <w:rFonts w:hint="default"/>
      </w:rPr>
    </w:lvl>
    <w:lvl w:ilvl="7" w:tplc="F2B6CEEE">
      <w:numFmt w:val="bullet"/>
      <w:lvlText w:val="•"/>
      <w:lvlJc w:val="left"/>
      <w:pPr>
        <w:ind w:left="1151" w:hanging="100"/>
      </w:pPr>
      <w:rPr>
        <w:rFonts w:hint="default"/>
      </w:rPr>
    </w:lvl>
    <w:lvl w:ilvl="8" w:tplc="27AE9524">
      <w:numFmt w:val="bullet"/>
      <w:lvlText w:val="•"/>
      <w:lvlJc w:val="left"/>
      <w:pPr>
        <w:ind w:left="1293" w:hanging="100"/>
      </w:pPr>
      <w:rPr>
        <w:rFonts w:hint="default"/>
      </w:rPr>
    </w:lvl>
  </w:abstractNum>
  <w:abstractNum w:abstractNumId="582" w15:restartNumberingAfterBreak="0">
    <w:nsid w:val="24B97AD8"/>
    <w:multiLevelType w:val="hybridMultilevel"/>
    <w:tmpl w:val="EA08EE32"/>
    <w:lvl w:ilvl="0" w:tplc="8D1AC5CE">
      <w:numFmt w:val="bullet"/>
      <w:lvlText w:val=""/>
      <w:lvlJc w:val="left"/>
      <w:pPr>
        <w:ind w:left="157" w:hanging="100"/>
      </w:pPr>
      <w:rPr>
        <w:rFonts w:ascii="Symbol" w:eastAsia="Symbol" w:hAnsi="Symbol" w:cs="Symbol" w:hint="default"/>
        <w:color w:val="231F20"/>
        <w:w w:val="100"/>
        <w:sz w:val="14"/>
        <w:szCs w:val="14"/>
      </w:rPr>
    </w:lvl>
    <w:lvl w:ilvl="1" w:tplc="F28A2558">
      <w:numFmt w:val="bullet"/>
      <w:lvlText w:val="•"/>
      <w:lvlJc w:val="left"/>
      <w:pPr>
        <w:ind w:left="398" w:hanging="100"/>
      </w:pPr>
      <w:rPr>
        <w:rFonts w:hint="default"/>
      </w:rPr>
    </w:lvl>
    <w:lvl w:ilvl="2" w:tplc="1BAAC972">
      <w:numFmt w:val="bullet"/>
      <w:lvlText w:val="•"/>
      <w:lvlJc w:val="left"/>
      <w:pPr>
        <w:ind w:left="636" w:hanging="100"/>
      </w:pPr>
      <w:rPr>
        <w:rFonts w:hint="default"/>
      </w:rPr>
    </w:lvl>
    <w:lvl w:ilvl="3" w:tplc="99189F7E">
      <w:numFmt w:val="bullet"/>
      <w:lvlText w:val="•"/>
      <w:lvlJc w:val="left"/>
      <w:pPr>
        <w:ind w:left="874" w:hanging="100"/>
      </w:pPr>
      <w:rPr>
        <w:rFonts w:hint="default"/>
      </w:rPr>
    </w:lvl>
    <w:lvl w:ilvl="4" w:tplc="164004E2">
      <w:numFmt w:val="bullet"/>
      <w:lvlText w:val="•"/>
      <w:lvlJc w:val="left"/>
      <w:pPr>
        <w:ind w:left="1112" w:hanging="100"/>
      </w:pPr>
      <w:rPr>
        <w:rFonts w:hint="default"/>
      </w:rPr>
    </w:lvl>
    <w:lvl w:ilvl="5" w:tplc="AEE28E56">
      <w:numFmt w:val="bullet"/>
      <w:lvlText w:val="•"/>
      <w:lvlJc w:val="left"/>
      <w:pPr>
        <w:ind w:left="1350" w:hanging="100"/>
      </w:pPr>
      <w:rPr>
        <w:rFonts w:hint="default"/>
      </w:rPr>
    </w:lvl>
    <w:lvl w:ilvl="6" w:tplc="09AA12D6">
      <w:numFmt w:val="bullet"/>
      <w:lvlText w:val="•"/>
      <w:lvlJc w:val="left"/>
      <w:pPr>
        <w:ind w:left="1588" w:hanging="100"/>
      </w:pPr>
      <w:rPr>
        <w:rFonts w:hint="default"/>
      </w:rPr>
    </w:lvl>
    <w:lvl w:ilvl="7" w:tplc="FE747500">
      <w:numFmt w:val="bullet"/>
      <w:lvlText w:val="•"/>
      <w:lvlJc w:val="left"/>
      <w:pPr>
        <w:ind w:left="1826" w:hanging="100"/>
      </w:pPr>
      <w:rPr>
        <w:rFonts w:hint="default"/>
      </w:rPr>
    </w:lvl>
    <w:lvl w:ilvl="8" w:tplc="2384D32C">
      <w:numFmt w:val="bullet"/>
      <w:lvlText w:val="•"/>
      <w:lvlJc w:val="left"/>
      <w:pPr>
        <w:ind w:left="2064" w:hanging="100"/>
      </w:pPr>
      <w:rPr>
        <w:rFonts w:hint="default"/>
      </w:rPr>
    </w:lvl>
  </w:abstractNum>
  <w:abstractNum w:abstractNumId="583" w15:restartNumberingAfterBreak="0">
    <w:nsid w:val="24BF5C07"/>
    <w:multiLevelType w:val="hybridMultilevel"/>
    <w:tmpl w:val="8FE6E548"/>
    <w:lvl w:ilvl="0" w:tplc="821A911A">
      <w:numFmt w:val="bullet"/>
      <w:lvlText w:val=""/>
      <w:lvlJc w:val="left"/>
      <w:pPr>
        <w:ind w:left="157" w:hanging="100"/>
      </w:pPr>
      <w:rPr>
        <w:rFonts w:ascii="Symbol" w:eastAsia="Symbol" w:hAnsi="Symbol" w:cs="Symbol" w:hint="default"/>
        <w:color w:val="231F20"/>
        <w:w w:val="100"/>
        <w:sz w:val="14"/>
        <w:szCs w:val="14"/>
      </w:rPr>
    </w:lvl>
    <w:lvl w:ilvl="1" w:tplc="0F6CFF28">
      <w:numFmt w:val="bullet"/>
      <w:lvlText w:val="•"/>
      <w:lvlJc w:val="left"/>
      <w:pPr>
        <w:ind w:left="426" w:hanging="100"/>
      </w:pPr>
      <w:rPr>
        <w:rFonts w:hint="default"/>
      </w:rPr>
    </w:lvl>
    <w:lvl w:ilvl="2" w:tplc="683C6678">
      <w:numFmt w:val="bullet"/>
      <w:lvlText w:val="•"/>
      <w:lvlJc w:val="left"/>
      <w:pPr>
        <w:ind w:left="692" w:hanging="100"/>
      </w:pPr>
      <w:rPr>
        <w:rFonts w:hint="default"/>
      </w:rPr>
    </w:lvl>
    <w:lvl w:ilvl="3" w:tplc="84424906">
      <w:numFmt w:val="bullet"/>
      <w:lvlText w:val="•"/>
      <w:lvlJc w:val="left"/>
      <w:pPr>
        <w:ind w:left="959" w:hanging="100"/>
      </w:pPr>
      <w:rPr>
        <w:rFonts w:hint="default"/>
      </w:rPr>
    </w:lvl>
    <w:lvl w:ilvl="4" w:tplc="CD88956E">
      <w:numFmt w:val="bullet"/>
      <w:lvlText w:val="•"/>
      <w:lvlJc w:val="left"/>
      <w:pPr>
        <w:ind w:left="1225" w:hanging="100"/>
      </w:pPr>
      <w:rPr>
        <w:rFonts w:hint="default"/>
      </w:rPr>
    </w:lvl>
    <w:lvl w:ilvl="5" w:tplc="1CBA5E2A">
      <w:numFmt w:val="bullet"/>
      <w:lvlText w:val="•"/>
      <w:lvlJc w:val="left"/>
      <w:pPr>
        <w:ind w:left="1492" w:hanging="100"/>
      </w:pPr>
      <w:rPr>
        <w:rFonts w:hint="default"/>
      </w:rPr>
    </w:lvl>
    <w:lvl w:ilvl="6" w:tplc="DC10D280">
      <w:numFmt w:val="bullet"/>
      <w:lvlText w:val="•"/>
      <w:lvlJc w:val="left"/>
      <w:pPr>
        <w:ind w:left="1758" w:hanging="100"/>
      </w:pPr>
      <w:rPr>
        <w:rFonts w:hint="default"/>
      </w:rPr>
    </w:lvl>
    <w:lvl w:ilvl="7" w:tplc="0E286844">
      <w:numFmt w:val="bullet"/>
      <w:lvlText w:val="•"/>
      <w:lvlJc w:val="left"/>
      <w:pPr>
        <w:ind w:left="2024" w:hanging="100"/>
      </w:pPr>
      <w:rPr>
        <w:rFonts w:hint="default"/>
      </w:rPr>
    </w:lvl>
    <w:lvl w:ilvl="8" w:tplc="6BFC0B62">
      <w:numFmt w:val="bullet"/>
      <w:lvlText w:val="•"/>
      <w:lvlJc w:val="left"/>
      <w:pPr>
        <w:ind w:left="2291" w:hanging="100"/>
      </w:pPr>
      <w:rPr>
        <w:rFonts w:hint="default"/>
      </w:rPr>
    </w:lvl>
  </w:abstractNum>
  <w:abstractNum w:abstractNumId="584" w15:restartNumberingAfterBreak="0">
    <w:nsid w:val="24C13213"/>
    <w:multiLevelType w:val="hybridMultilevel"/>
    <w:tmpl w:val="819E1D1A"/>
    <w:lvl w:ilvl="0" w:tplc="DC0C3C78">
      <w:numFmt w:val="bullet"/>
      <w:lvlText w:val=""/>
      <w:lvlJc w:val="left"/>
      <w:pPr>
        <w:ind w:left="156" w:hanging="100"/>
      </w:pPr>
      <w:rPr>
        <w:rFonts w:ascii="Symbol" w:eastAsia="Symbol" w:hAnsi="Symbol" w:cs="Symbol" w:hint="default"/>
        <w:color w:val="231F20"/>
        <w:w w:val="100"/>
        <w:sz w:val="14"/>
        <w:szCs w:val="14"/>
      </w:rPr>
    </w:lvl>
    <w:lvl w:ilvl="1" w:tplc="1B68C1C2">
      <w:numFmt w:val="bullet"/>
      <w:lvlText w:val="•"/>
      <w:lvlJc w:val="left"/>
      <w:pPr>
        <w:ind w:left="398" w:hanging="100"/>
      </w:pPr>
      <w:rPr>
        <w:rFonts w:hint="default"/>
      </w:rPr>
    </w:lvl>
    <w:lvl w:ilvl="2" w:tplc="C7A0C65E">
      <w:numFmt w:val="bullet"/>
      <w:lvlText w:val="•"/>
      <w:lvlJc w:val="left"/>
      <w:pPr>
        <w:ind w:left="636" w:hanging="100"/>
      </w:pPr>
      <w:rPr>
        <w:rFonts w:hint="default"/>
      </w:rPr>
    </w:lvl>
    <w:lvl w:ilvl="3" w:tplc="81B0D388">
      <w:numFmt w:val="bullet"/>
      <w:lvlText w:val="•"/>
      <w:lvlJc w:val="left"/>
      <w:pPr>
        <w:ind w:left="874" w:hanging="100"/>
      </w:pPr>
      <w:rPr>
        <w:rFonts w:hint="default"/>
      </w:rPr>
    </w:lvl>
    <w:lvl w:ilvl="4" w:tplc="86B2D1A4">
      <w:numFmt w:val="bullet"/>
      <w:lvlText w:val="•"/>
      <w:lvlJc w:val="left"/>
      <w:pPr>
        <w:ind w:left="1112" w:hanging="100"/>
      </w:pPr>
      <w:rPr>
        <w:rFonts w:hint="default"/>
      </w:rPr>
    </w:lvl>
    <w:lvl w:ilvl="5" w:tplc="399C68BA">
      <w:numFmt w:val="bullet"/>
      <w:lvlText w:val="•"/>
      <w:lvlJc w:val="left"/>
      <w:pPr>
        <w:ind w:left="1350" w:hanging="100"/>
      </w:pPr>
      <w:rPr>
        <w:rFonts w:hint="default"/>
      </w:rPr>
    </w:lvl>
    <w:lvl w:ilvl="6" w:tplc="047EA4E0">
      <w:numFmt w:val="bullet"/>
      <w:lvlText w:val="•"/>
      <w:lvlJc w:val="left"/>
      <w:pPr>
        <w:ind w:left="1588" w:hanging="100"/>
      </w:pPr>
      <w:rPr>
        <w:rFonts w:hint="default"/>
      </w:rPr>
    </w:lvl>
    <w:lvl w:ilvl="7" w:tplc="9B20938A">
      <w:numFmt w:val="bullet"/>
      <w:lvlText w:val="•"/>
      <w:lvlJc w:val="left"/>
      <w:pPr>
        <w:ind w:left="1826" w:hanging="100"/>
      </w:pPr>
      <w:rPr>
        <w:rFonts w:hint="default"/>
      </w:rPr>
    </w:lvl>
    <w:lvl w:ilvl="8" w:tplc="BF84D6D0">
      <w:numFmt w:val="bullet"/>
      <w:lvlText w:val="•"/>
      <w:lvlJc w:val="left"/>
      <w:pPr>
        <w:ind w:left="2064" w:hanging="100"/>
      </w:pPr>
      <w:rPr>
        <w:rFonts w:hint="default"/>
      </w:rPr>
    </w:lvl>
  </w:abstractNum>
  <w:abstractNum w:abstractNumId="585" w15:restartNumberingAfterBreak="0">
    <w:nsid w:val="24C254AE"/>
    <w:multiLevelType w:val="hybridMultilevel"/>
    <w:tmpl w:val="E0A2646C"/>
    <w:lvl w:ilvl="0" w:tplc="E1E6C616">
      <w:numFmt w:val="bullet"/>
      <w:lvlText w:val=""/>
      <w:lvlJc w:val="left"/>
      <w:pPr>
        <w:ind w:left="157" w:hanging="100"/>
      </w:pPr>
      <w:rPr>
        <w:rFonts w:ascii="Symbol" w:eastAsia="Symbol" w:hAnsi="Symbol" w:cs="Symbol" w:hint="default"/>
        <w:color w:val="231F20"/>
        <w:w w:val="100"/>
        <w:sz w:val="14"/>
        <w:szCs w:val="14"/>
      </w:rPr>
    </w:lvl>
    <w:lvl w:ilvl="1" w:tplc="B8145D8E">
      <w:numFmt w:val="bullet"/>
      <w:lvlText w:val="•"/>
      <w:lvlJc w:val="left"/>
      <w:pPr>
        <w:ind w:left="398" w:hanging="100"/>
      </w:pPr>
      <w:rPr>
        <w:rFonts w:hint="default"/>
      </w:rPr>
    </w:lvl>
    <w:lvl w:ilvl="2" w:tplc="927C41D6">
      <w:numFmt w:val="bullet"/>
      <w:lvlText w:val="•"/>
      <w:lvlJc w:val="left"/>
      <w:pPr>
        <w:ind w:left="636" w:hanging="100"/>
      </w:pPr>
      <w:rPr>
        <w:rFonts w:hint="default"/>
      </w:rPr>
    </w:lvl>
    <w:lvl w:ilvl="3" w:tplc="23143C3A">
      <w:numFmt w:val="bullet"/>
      <w:lvlText w:val="•"/>
      <w:lvlJc w:val="left"/>
      <w:pPr>
        <w:ind w:left="874" w:hanging="100"/>
      </w:pPr>
      <w:rPr>
        <w:rFonts w:hint="default"/>
      </w:rPr>
    </w:lvl>
    <w:lvl w:ilvl="4" w:tplc="DC6A5F96">
      <w:numFmt w:val="bullet"/>
      <w:lvlText w:val="•"/>
      <w:lvlJc w:val="left"/>
      <w:pPr>
        <w:ind w:left="1112" w:hanging="100"/>
      </w:pPr>
      <w:rPr>
        <w:rFonts w:hint="default"/>
      </w:rPr>
    </w:lvl>
    <w:lvl w:ilvl="5" w:tplc="6FF6D2F8">
      <w:numFmt w:val="bullet"/>
      <w:lvlText w:val="•"/>
      <w:lvlJc w:val="left"/>
      <w:pPr>
        <w:ind w:left="1350" w:hanging="100"/>
      </w:pPr>
      <w:rPr>
        <w:rFonts w:hint="default"/>
      </w:rPr>
    </w:lvl>
    <w:lvl w:ilvl="6" w:tplc="EFB6C634">
      <w:numFmt w:val="bullet"/>
      <w:lvlText w:val="•"/>
      <w:lvlJc w:val="left"/>
      <w:pPr>
        <w:ind w:left="1588" w:hanging="100"/>
      </w:pPr>
      <w:rPr>
        <w:rFonts w:hint="default"/>
      </w:rPr>
    </w:lvl>
    <w:lvl w:ilvl="7" w:tplc="512EA43A">
      <w:numFmt w:val="bullet"/>
      <w:lvlText w:val="•"/>
      <w:lvlJc w:val="left"/>
      <w:pPr>
        <w:ind w:left="1826" w:hanging="100"/>
      </w:pPr>
      <w:rPr>
        <w:rFonts w:hint="default"/>
      </w:rPr>
    </w:lvl>
    <w:lvl w:ilvl="8" w:tplc="AE244F78">
      <w:numFmt w:val="bullet"/>
      <w:lvlText w:val="•"/>
      <w:lvlJc w:val="left"/>
      <w:pPr>
        <w:ind w:left="2064" w:hanging="100"/>
      </w:pPr>
      <w:rPr>
        <w:rFonts w:hint="default"/>
      </w:rPr>
    </w:lvl>
  </w:abstractNum>
  <w:abstractNum w:abstractNumId="586" w15:restartNumberingAfterBreak="0">
    <w:nsid w:val="24C83DBD"/>
    <w:multiLevelType w:val="hybridMultilevel"/>
    <w:tmpl w:val="6B46FAB0"/>
    <w:lvl w:ilvl="0" w:tplc="FCD8AA54">
      <w:numFmt w:val="bullet"/>
      <w:lvlText w:val=""/>
      <w:lvlJc w:val="left"/>
      <w:pPr>
        <w:ind w:left="156" w:hanging="100"/>
      </w:pPr>
      <w:rPr>
        <w:rFonts w:ascii="Symbol" w:eastAsia="Symbol" w:hAnsi="Symbol" w:cs="Symbol" w:hint="default"/>
        <w:color w:val="231F20"/>
        <w:w w:val="100"/>
        <w:sz w:val="14"/>
        <w:szCs w:val="14"/>
      </w:rPr>
    </w:lvl>
    <w:lvl w:ilvl="1" w:tplc="09E0287A">
      <w:numFmt w:val="bullet"/>
      <w:lvlText w:val="•"/>
      <w:lvlJc w:val="left"/>
      <w:pPr>
        <w:ind w:left="454" w:hanging="100"/>
      </w:pPr>
      <w:rPr>
        <w:rFonts w:hint="default"/>
      </w:rPr>
    </w:lvl>
    <w:lvl w:ilvl="2" w:tplc="295063C8">
      <w:numFmt w:val="bullet"/>
      <w:lvlText w:val="•"/>
      <w:lvlJc w:val="left"/>
      <w:pPr>
        <w:ind w:left="749" w:hanging="100"/>
      </w:pPr>
      <w:rPr>
        <w:rFonts w:hint="default"/>
      </w:rPr>
    </w:lvl>
    <w:lvl w:ilvl="3" w:tplc="683E9BBE">
      <w:numFmt w:val="bullet"/>
      <w:lvlText w:val="•"/>
      <w:lvlJc w:val="left"/>
      <w:pPr>
        <w:ind w:left="1044" w:hanging="100"/>
      </w:pPr>
      <w:rPr>
        <w:rFonts w:hint="default"/>
      </w:rPr>
    </w:lvl>
    <w:lvl w:ilvl="4" w:tplc="72F469F0">
      <w:numFmt w:val="bullet"/>
      <w:lvlText w:val="•"/>
      <w:lvlJc w:val="left"/>
      <w:pPr>
        <w:ind w:left="1339" w:hanging="100"/>
      </w:pPr>
      <w:rPr>
        <w:rFonts w:hint="default"/>
      </w:rPr>
    </w:lvl>
    <w:lvl w:ilvl="5" w:tplc="7BE21306">
      <w:numFmt w:val="bullet"/>
      <w:lvlText w:val="•"/>
      <w:lvlJc w:val="left"/>
      <w:pPr>
        <w:ind w:left="1634" w:hanging="100"/>
      </w:pPr>
      <w:rPr>
        <w:rFonts w:hint="default"/>
      </w:rPr>
    </w:lvl>
    <w:lvl w:ilvl="6" w:tplc="0C5811D6">
      <w:numFmt w:val="bullet"/>
      <w:lvlText w:val="•"/>
      <w:lvlJc w:val="left"/>
      <w:pPr>
        <w:ind w:left="1928" w:hanging="100"/>
      </w:pPr>
      <w:rPr>
        <w:rFonts w:hint="default"/>
      </w:rPr>
    </w:lvl>
    <w:lvl w:ilvl="7" w:tplc="BAF27EFC">
      <w:numFmt w:val="bullet"/>
      <w:lvlText w:val="•"/>
      <w:lvlJc w:val="left"/>
      <w:pPr>
        <w:ind w:left="2223" w:hanging="100"/>
      </w:pPr>
      <w:rPr>
        <w:rFonts w:hint="default"/>
      </w:rPr>
    </w:lvl>
    <w:lvl w:ilvl="8" w:tplc="F3162F66">
      <w:numFmt w:val="bullet"/>
      <w:lvlText w:val="•"/>
      <w:lvlJc w:val="left"/>
      <w:pPr>
        <w:ind w:left="2518" w:hanging="100"/>
      </w:pPr>
      <w:rPr>
        <w:rFonts w:hint="default"/>
      </w:rPr>
    </w:lvl>
  </w:abstractNum>
  <w:abstractNum w:abstractNumId="587" w15:restartNumberingAfterBreak="0">
    <w:nsid w:val="24D232FC"/>
    <w:multiLevelType w:val="hybridMultilevel"/>
    <w:tmpl w:val="3398BF8A"/>
    <w:lvl w:ilvl="0" w:tplc="91E6953E">
      <w:numFmt w:val="bullet"/>
      <w:lvlText w:val="–"/>
      <w:lvlJc w:val="left"/>
      <w:pPr>
        <w:ind w:left="163" w:hanging="105"/>
      </w:pPr>
      <w:rPr>
        <w:rFonts w:ascii="Times New Roman" w:eastAsia="Times New Roman" w:hAnsi="Times New Roman" w:cs="Times New Roman" w:hint="default"/>
        <w:color w:val="231F20"/>
        <w:spacing w:val="-8"/>
        <w:w w:val="100"/>
        <w:sz w:val="14"/>
        <w:szCs w:val="14"/>
      </w:rPr>
    </w:lvl>
    <w:lvl w:ilvl="1" w:tplc="EB164862">
      <w:numFmt w:val="bullet"/>
      <w:lvlText w:val="•"/>
      <w:lvlJc w:val="left"/>
      <w:pPr>
        <w:ind w:left="426" w:hanging="105"/>
      </w:pPr>
      <w:rPr>
        <w:rFonts w:hint="default"/>
      </w:rPr>
    </w:lvl>
    <w:lvl w:ilvl="2" w:tplc="34784DD4">
      <w:numFmt w:val="bullet"/>
      <w:lvlText w:val="•"/>
      <w:lvlJc w:val="left"/>
      <w:pPr>
        <w:ind w:left="692" w:hanging="105"/>
      </w:pPr>
      <w:rPr>
        <w:rFonts w:hint="default"/>
      </w:rPr>
    </w:lvl>
    <w:lvl w:ilvl="3" w:tplc="17823F5E">
      <w:numFmt w:val="bullet"/>
      <w:lvlText w:val="•"/>
      <w:lvlJc w:val="left"/>
      <w:pPr>
        <w:ind w:left="959" w:hanging="105"/>
      </w:pPr>
      <w:rPr>
        <w:rFonts w:hint="default"/>
      </w:rPr>
    </w:lvl>
    <w:lvl w:ilvl="4" w:tplc="789441BE">
      <w:numFmt w:val="bullet"/>
      <w:lvlText w:val="•"/>
      <w:lvlJc w:val="left"/>
      <w:pPr>
        <w:ind w:left="1225" w:hanging="105"/>
      </w:pPr>
      <w:rPr>
        <w:rFonts w:hint="default"/>
      </w:rPr>
    </w:lvl>
    <w:lvl w:ilvl="5" w:tplc="8D3E2A76">
      <w:numFmt w:val="bullet"/>
      <w:lvlText w:val="•"/>
      <w:lvlJc w:val="left"/>
      <w:pPr>
        <w:ind w:left="1492" w:hanging="105"/>
      </w:pPr>
      <w:rPr>
        <w:rFonts w:hint="default"/>
      </w:rPr>
    </w:lvl>
    <w:lvl w:ilvl="6" w:tplc="591AD504">
      <w:numFmt w:val="bullet"/>
      <w:lvlText w:val="•"/>
      <w:lvlJc w:val="left"/>
      <w:pPr>
        <w:ind w:left="1758" w:hanging="105"/>
      </w:pPr>
      <w:rPr>
        <w:rFonts w:hint="default"/>
      </w:rPr>
    </w:lvl>
    <w:lvl w:ilvl="7" w:tplc="881074A4">
      <w:numFmt w:val="bullet"/>
      <w:lvlText w:val="•"/>
      <w:lvlJc w:val="left"/>
      <w:pPr>
        <w:ind w:left="2024" w:hanging="105"/>
      </w:pPr>
      <w:rPr>
        <w:rFonts w:hint="default"/>
      </w:rPr>
    </w:lvl>
    <w:lvl w:ilvl="8" w:tplc="5D2E1152">
      <w:numFmt w:val="bullet"/>
      <w:lvlText w:val="•"/>
      <w:lvlJc w:val="left"/>
      <w:pPr>
        <w:ind w:left="2291" w:hanging="105"/>
      </w:pPr>
      <w:rPr>
        <w:rFonts w:hint="default"/>
      </w:rPr>
    </w:lvl>
  </w:abstractNum>
  <w:abstractNum w:abstractNumId="588" w15:restartNumberingAfterBreak="0">
    <w:nsid w:val="24E80DF9"/>
    <w:multiLevelType w:val="hybridMultilevel"/>
    <w:tmpl w:val="6A8CDC06"/>
    <w:lvl w:ilvl="0" w:tplc="6F3E30DA">
      <w:numFmt w:val="bullet"/>
      <w:lvlText w:val=""/>
      <w:lvlJc w:val="left"/>
      <w:pPr>
        <w:ind w:left="156" w:hanging="100"/>
      </w:pPr>
      <w:rPr>
        <w:rFonts w:ascii="Symbol" w:eastAsia="Symbol" w:hAnsi="Symbol" w:cs="Symbol" w:hint="default"/>
        <w:color w:val="231F20"/>
        <w:w w:val="100"/>
        <w:sz w:val="14"/>
        <w:szCs w:val="14"/>
      </w:rPr>
    </w:lvl>
    <w:lvl w:ilvl="1" w:tplc="9DE270A8">
      <w:numFmt w:val="bullet"/>
      <w:lvlText w:val="•"/>
      <w:lvlJc w:val="left"/>
      <w:pPr>
        <w:ind w:left="273" w:hanging="100"/>
      </w:pPr>
      <w:rPr>
        <w:rFonts w:hint="default"/>
      </w:rPr>
    </w:lvl>
    <w:lvl w:ilvl="2" w:tplc="5A5ABF38">
      <w:numFmt w:val="bullet"/>
      <w:lvlText w:val="•"/>
      <w:lvlJc w:val="left"/>
      <w:pPr>
        <w:ind w:left="386" w:hanging="100"/>
      </w:pPr>
      <w:rPr>
        <w:rFonts w:hint="default"/>
      </w:rPr>
    </w:lvl>
    <w:lvl w:ilvl="3" w:tplc="5FACB7D8">
      <w:numFmt w:val="bullet"/>
      <w:lvlText w:val="•"/>
      <w:lvlJc w:val="left"/>
      <w:pPr>
        <w:ind w:left="500" w:hanging="100"/>
      </w:pPr>
      <w:rPr>
        <w:rFonts w:hint="default"/>
      </w:rPr>
    </w:lvl>
    <w:lvl w:ilvl="4" w:tplc="5ED455DE">
      <w:numFmt w:val="bullet"/>
      <w:lvlText w:val="•"/>
      <w:lvlJc w:val="left"/>
      <w:pPr>
        <w:ind w:left="613" w:hanging="100"/>
      </w:pPr>
      <w:rPr>
        <w:rFonts w:hint="default"/>
      </w:rPr>
    </w:lvl>
    <w:lvl w:ilvl="5" w:tplc="88245EC4">
      <w:numFmt w:val="bullet"/>
      <w:lvlText w:val="•"/>
      <w:lvlJc w:val="left"/>
      <w:pPr>
        <w:ind w:left="727" w:hanging="100"/>
      </w:pPr>
      <w:rPr>
        <w:rFonts w:hint="default"/>
      </w:rPr>
    </w:lvl>
    <w:lvl w:ilvl="6" w:tplc="E732EE76">
      <w:numFmt w:val="bullet"/>
      <w:lvlText w:val="•"/>
      <w:lvlJc w:val="left"/>
      <w:pPr>
        <w:ind w:left="840" w:hanging="100"/>
      </w:pPr>
      <w:rPr>
        <w:rFonts w:hint="default"/>
      </w:rPr>
    </w:lvl>
    <w:lvl w:ilvl="7" w:tplc="ACA26166">
      <w:numFmt w:val="bullet"/>
      <w:lvlText w:val="•"/>
      <w:lvlJc w:val="left"/>
      <w:pPr>
        <w:ind w:left="953" w:hanging="100"/>
      </w:pPr>
      <w:rPr>
        <w:rFonts w:hint="default"/>
      </w:rPr>
    </w:lvl>
    <w:lvl w:ilvl="8" w:tplc="03DA053C">
      <w:numFmt w:val="bullet"/>
      <w:lvlText w:val="•"/>
      <w:lvlJc w:val="left"/>
      <w:pPr>
        <w:ind w:left="1067" w:hanging="100"/>
      </w:pPr>
      <w:rPr>
        <w:rFonts w:hint="default"/>
      </w:rPr>
    </w:lvl>
  </w:abstractNum>
  <w:abstractNum w:abstractNumId="589" w15:restartNumberingAfterBreak="0">
    <w:nsid w:val="250D23DF"/>
    <w:multiLevelType w:val="hybridMultilevel"/>
    <w:tmpl w:val="B7000E60"/>
    <w:lvl w:ilvl="0" w:tplc="F6A01B9C">
      <w:numFmt w:val="bullet"/>
      <w:lvlText w:val=""/>
      <w:lvlJc w:val="left"/>
      <w:pPr>
        <w:ind w:left="156" w:hanging="100"/>
      </w:pPr>
      <w:rPr>
        <w:rFonts w:ascii="Symbol" w:eastAsia="Symbol" w:hAnsi="Symbol" w:cs="Symbol" w:hint="default"/>
        <w:color w:val="231F20"/>
        <w:w w:val="100"/>
        <w:sz w:val="14"/>
        <w:szCs w:val="14"/>
      </w:rPr>
    </w:lvl>
    <w:lvl w:ilvl="1" w:tplc="88A0D122">
      <w:numFmt w:val="bullet"/>
      <w:lvlText w:val="•"/>
      <w:lvlJc w:val="left"/>
      <w:pPr>
        <w:ind w:left="426" w:hanging="100"/>
      </w:pPr>
      <w:rPr>
        <w:rFonts w:hint="default"/>
      </w:rPr>
    </w:lvl>
    <w:lvl w:ilvl="2" w:tplc="A8322708">
      <w:numFmt w:val="bullet"/>
      <w:lvlText w:val="•"/>
      <w:lvlJc w:val="left"/>
      <w:pPr>
        <w:ind w:left="692" w:hanging="100"/>
      </w:pPr>
      <w:rPr>
        <w:rFonts w:hint="default"/>
      </w:rPr>
    </w:lvl>
    <w:lvl w:ilvl="3" w:tplc="C0AC1EDE">
      <w:numFmt w:val="bullet"/>
      <w:lvlText w:val="•"/>
      <w:lvlJc w:val="left"/>
      <w:pPr>
        <w:ind w:left="959" w:hanging="100"/>
      </w:pPr>
      <w:rPr>
        <w:rFonts w:hint="default"/>
      </w:rPr>
    </w:lvl>
    <w:lvl w:ilvl="4" w:tplc="6B3C7152">
      <w:numFmt w:val="bullet"/>
      <w:lvlText w:val="•"/>
      <w:lvlJc w:val="left"/>
      <w:pPr>
        <w:ind w:left="1225" w:hanging="100"/>
      </w:pPr>
      <w:rPr>
        <w:rFonts w:hint="default"/>
      </w:rPr>
    </w:lvl>
    <w:lvl w:ilvl="5" w:tplc="E92CFBD2">
      <w:numFmt w:val="bullet"/>
      <w:lvlText w:val="•"/>
      <w:lvlJc w:val="left"/>
      <w:pPr>
        <w:ind w:left="1492" w:hanging="100"/>
      </w:pPr>
      <w:rPr>
        <w:rFonts w:hint="default"/>
      </w:rPr>
    </w:lvl>
    <w:lvl w:ilvl="6" w:tplc="69CC1072">
      <w:numFmt w:val="bullet"/>
      <w:lvlText w:val="•"/>
      <w:lvlJc w:val="left"/>
      <w:pPr>
        <w:ind w:left="1758" w:hanging="100"/>
      </w:pPr>
      <w:rPr>
        <w:rFonts w:hint="default"/>
      </w:rPr>
    </w:lvl>
    <w:lvl w:ilvl="7" w:tplc="53B84512">
      <w:numFmt w:val="bullet"/>
      <w:lvlText w:val="•"/>
      <w:lvlJc w:val="left"/>
      <w:pPr>
        <w:ind w:left="2024" w:hanging="100"/>
      </w:pPr>
      <w:rPr>
        <w:rFonts w:hint="default"/>
      </w:rPr>
    </w:lvl>
    <w:lvl w:ilvl="8" w:tplc="20F602BE">
      <w:numFmt w:val="bullet"/>
      <w:lvlText w:val="•"/>
      <w:lvlJc w:val="left"/>
      <w:pPr>
        <w:ind w:left="2291" w:hanging="100"/>
      </w:pPr>
      <w:rPr>
        <w:rFonts w:hint="default"/>
      </w:rPr>
    </w:lvl>
  </w:abstractNum>
  <w:abstractNum w:abstractNumId="590" w15:restartNumberingAfterBreak="0">
    <w:nsid w:val="252402BC"/>
    <w:multiLevelType w:val="hybridMultilevel"/>
    <w:tmpl w:val="1F6E441E"/>
    <w:lvl w:ilvl="0" w:tplc="AC06CFC4">
      <w:numFmt w:val="bullet"/>
      <w:lvlText w:val=""/>
      <w:lvlJc w:val="left"/>
      <w:pPr>
        <w:ind w:left="156" w:hanging="100"/>
      </w:pPr>
      <w:rPr>
        <w:rFonts w:ascii="Symbol" w:eastAsia="Symbol" w:hAnsi="Symbol" w:cs="Symbol" w:hint="default"/>
        <w:color w:val="231F20"/>
        <w:w w:val="100"/>
        <w:sz w:val="14"/>
        <w:szCs w:val="14"/>
      </w:rPr>
    </w:lvl>
    <w:lvl w:ilvl="1" w:tplc="48DEC56C">
      <w:numFmt w:val="bullet"/>
      <w:lvlText w:val="•"/>
      <w:lvlJc w:val="left"/>
      <w:pPr>
        <w:ind w:left="301" w:hanging="100"/>
      </w:pPr>
      <w:rPr>
        <w:rFonts w:hint="default"/>
      </w:rPr>
    </w:lvl>
    <w:lvl w:ilvl="2" w:tplc="549C6964">
      <w:numFmt w:val="bullet"/>
      <w:lvlText w:val="•"/>
      <w:lvlJc w:val="left"/>
      <w:pPr>
        <w:ind w:left="443" w:hanging="100"/>
      </w:pPr>
      <w:rPr>
        <w:rFonts w:hint="default"/>
      </w:rPr>
    </w:lvl>
    <w:lvl w:ilvl="3" w:tplc="C19609BC">
      <w:numFmt w:val="bullet"/>
      <w:lvlText w:val="•"/>
      <w:lvlJc w:val="left"/>
      <w:pPr>
        <w:ind w:left="585" w:hanging="100"/>
      </w:pPr>
      <w:rPr>
        <w:rFonts w:hint="default"/>
      </w:rPr>
    </w:lvl>
    <w:lvl w:ilvl="4" w:tplc="BF386628">
      <w:numFmt w:val="bullet"/>
      <w:lvlText w:val="•"/>
      <w:lvlJc w:val="left"/>
      <w:pPr>
        <w:ind w:left="726" w:hanging="100"/>
      </w:pPr>
      <w:rPr>
        <w:rFonts w:hint="default"/>
      </w:rPr>
    </w:lvl>
    <w:lvl w:ilvl="5" w:tplc="A816022E">
      <w:numFmt w:val="bullet"/>
      <w:lvlText w:val="•"/>
      <w:lvlJc w:val="left"/>
      <w:pPr>
        <w:ind w:left="868" w:hanging="100"/>
      </w:pPr>
      <w:rPr>
        <w:rFonts w:hint="default"/>
      </w:rPr>
    </w:lvl>
    <w:lvl w:ilvl="6" w:tplc="FC063E64">
      <w:numFmt w:val="bullet"/>
      <w:lvlText w:val="•"/>
      <w:lvlJc w:val="left"/>
      <w:pPr>
        <w:ind w:left="1010" w:hanging="100"/>
      </w:pPr>
      <w:rPr>
        <w:rFonts w:hint="default"/>
      </w:rPr>
    </w:lvl>
    <w:lvl w:ilvl="7" w:tplc="E5BAC294">
      <w:numFmt w:val="bullet"/>
      <w:lvlText w:val="•"/>
      <w:lvlJc w:val="left"/>
      <w:pPr>
        <w:ind w:left="1151" w:hanging="100"/>
      </w:pPr>
      <w:rPr>
        <w:rFonts w:hint="default"/>
      </w:rPr>
    </w:lvl>
    <w:lvl w:ilvl="8" w:tplc="2AF0A670">
      <w:numFmt w:val="bullet"/>
      <w:lvlText w:val="•"/>
      <w:lvlJc w:val="left"/>
      <w:pPr>
        <w:ind w:left="1293" w:hanging="100"/>
      </w:pPr>
      <w:rPr>
        <w:rFonts w:hint="default"/>
      </w:rPr>
    </w:lvl>
  </w:abstractNum>
  <w:abstractNum w:abstractNumId="591" w15:restartNumberingAfterBreak="0">
    <w:nsid w:val="25277AA2"/>
    <w:multiLevelType w:val="hybridMultilevel"/>
    <w:tmpl w:val="DE064DB2"/>
    <w:lvl w:ilvl="0" w:tplc="FF7E3B38">
      <w:numFmt w:val="bullet"/>
      <w:lvlText w:val=""/>
      <w:lvlJc w:val="left"/>
      <w:pPr>
        <w:ind w:left="156" w:hanging="100"/>
      </w:pPr>
      <w:rPr>
        <w:rFonts w:ascii="Symbol" w:eastAsia="Symbol" w:hAnsi="Symbol" w:cs="Symbol" w:hint="default"/>
        <w:color w:val="231F20"/>
        <w:w w:val="100"/>
        <w:sz w:val="14"/>
        <w:szCs w:val="14"/>
      </w:rPr>
    </w:lvl>
    <w:lvl w:ilvl="1" w:tplc="2FBC99DE">
      <w:numFmt w:val="bullet"/>
      <w:lvlText w:val="•"/>
      <w:lvlJc w:val="left"/>
      <w:pPr>
        <w:ind w:left="301" w:hanging="100"/>
      </w:pPr>
      <w:rPr>
        <w:rFonts w:hint="default"/>
      </w:rPr>
    </w:lvl>
    <w:lvl w:ilvl="2" w:tplc="6AFE0114">
      <w:numFmt w:val="bullet"/>
      <w:lvlText w:val="•"/>
      <w:lvlJc w:val="left"/>
      <w:pPr>
        <w:ind w:left="443" w:hanging="100"/>
      </w:pPr>
      <w:rPr>
        <w:rFonts w:hint="default"/>
      </w:rPr>
    </w:lvl>
    <w:lvl w:ilvl="3" w:tplc="C72434F0">
      <w:numFmt w:val="bullet"/>
      <w:lvlText w:val="•"/>
      <w:lvlJc w:val="left"/>
      <w:pPr>
        <w:ind w:left="585" w:hanging="100"/>
      </w:pPr>
      <w:rPr>
        <w:rFonts w:hint="default"/>
      </w:rPr>
    </w:lvl>
    <w:lvl w:ilvl="4" w:tplc="4A44A816">
      <w:numFmt w:val="bullet"/>
      <w:lvlText w:val="•"/>
      <w:lvlJc w:val="left"/>
      <w:pPr>
        <w:ind w:left="726" w:hanging="100"/>
      </w:pPr>
      <w:rPr>
        <w:rFonts w:hint="default"/>
      </w:rPr>
    </w:lvl>
    <w:lvl w:ilvl="5" w:tplc="F64C7958">
      <w:numFmt w:val="bullet"/>
      <w:lvlText w:val="•"/>
      <w:lvlJc w:val="left"/>
      <w:pPr>
        <w:ind w:left="868" w:hanging="100"/>
      </w:pPr>
      <w:rPr>
        <w:rFonts w:hint="default"/>
      </w:rPr>
    </w:lvl>
    <w:lvl w:ilvl="6" w:tplc="AA96B66A">
      <w:numFmt w:val="bullet"/>
      <w:lvlText w:val="•"/>
      <w:lvlJc w:val="left"/>
      <w:pPr>
        <w:ind w:left="1010" w:hanging="100"/>
      </w:pPr>
      <w:rPr>
        <w:rFonts w:hint="default"/>
      </w:rPr>
    </w:lvl>
    <w:lvl w:ilvl="7" w:tplc="7C2C3E66">
      <w:numFmt w:val="bullet"/>
      <w:lvlText w:val="•"/>
      <w:lvlJc w:val="left"/>
      <w:pPr>
        <w:ind w:left="1151" w:hanging="100"/>
      </w:pPr>
      <w:rPr>
        <w:rFonts w:hint="default"/>
      </w:rPr>
    </w:lvl>
    <w:lvl w:ilvl="8" w:tplc="45E6F84E">
      <w:numFmt w:val="bullet"/>
      <w:lvlText w:val="•"/>
      <w:lvlJc w:val="left"/>
      <w:pPr>
        <w:ind w:left="1293" w:hanging="100"/>
      </w:pPr>
      <w:rPr>
        <w:rFonts w:hint="default"/>
      </w:rPr>
    </w:lvl>
  </w:abstractNum>
  <w:abstractNum w:abstractNumId="592" w15:restartNumberingAfterBreak="0">
    <w:nsid w:val="25323766"/>
    <w:multiLevelType w:val="hybridMultilevel"/>
    <w:tmpl w:val="DF94EEFC"/>
    <w:lvl w:ilvl="0" w:tplc="B882E5F8">
      <w:numFmt w:val="bullet"/>
      <w:lvlText w:val=""/>
      <w:lvlJc w:val="left"/>
      <w:pPr>
        <w:ind w:left="157" w:hanging="100"/>
      </w:pPr>
      <w:rPr>
        <w:rFonts w:ascii="Symbol" w:eastAsia="Symbol" w:hAnsi="Symbol" w:cs="Symbol" w:hint="default"/>
        <w:color w:val="231F20"/>
        <w:w w:val="100"/>
        <w:sz w:val="14"/>
        <w:szCs w:val="14"/>
      </w:rPr>
    </w:lvl>
    <w:lvl w:ilvl="1" w:tplc="0F88176E">
      <w:numFmt w:val="bullet"/>
      <w:lvlText w:val="•"/>
      <w:lvlJc w:val="left"/>
      <w:pPr>
        <w:ind w:left="369" w:hanging="100"/>
      </w:pPr>
      <w:rPr>
        <w:rFonts w:hint="default"/>
      </w:rPr>
    </w:lvl>
    <w:lvl w:ilvl="2" w:tplc="16CCF40C">
      <w:numFmt w:val="bullet"/>
      <w:lvlText w:val="•"/>
      <w:lvlJc w:val="left"/>
      <w:pPr>
        <w:ind w:left="579" w:hanging="100"/>
      </w:pPr>
      <w:rPr>
        <w:rFonts w:hint="default"/>
      </w:rPr>
    </w:lvl>
    <w:lvl w:ilvl="3" w:tplc="227AE494">
      <w:numFmt w:val="bullet"/>
      <w:lvlText w:val="•"/>
      <w:lvlJc w:val="left"/>
      <w:pPr>
        <w:ind w:left="789" w:hanging="100"/>
      </w:pPr>
      <w:rPr>
        <w:rFonts w:hint="default"/>
      </w:rPr>
    </w:lvl>
    <w:lvl w:ilvl="4" w:tplc="98E2AE86">
      <w:numFmt w:val="bullet"/>
      <w:lvlText w:val="•"/>
      <w:lvlJc w:val="left"/>
      <w:pPr>
        <w:ind w:left="998" w:hanging="100"/>
      </w:pPr>
      <w:rPr>
        <w:rFonts w:hint="default"/>
      </w:rPr>
    </w:lvl>
    <w:lvl w:ilvl="5" w:tplc="D674A59A">
      <w:numFmt w:val="bullet"/>
      <w:lvlText w:val="•"/>
      <w:lvlJc w:val="left"/>
      <w:pPr>
        <w:ind w:left="1208" w:hanging="100"/>
      </w:pPr>
      <w:rPr>
        <w:rFonts w:hint="default"/>
      </w:rPr>
    </w:lvl>
    <w:lvl w:ilvl="6" w:tplc="962ECAE0">
      <w:numFmt w:val="bullet"/>
      <w:lvlText w:val="•"/>
      <w:lvlJc w:val="left"/>
      <w:pPr>
        <w:ind w:left="1418" w:hanging="100"/>
      </w:pPr>
      <w:rPr>
        <w:rFonts w:hint="default"/>
      </w:rPr>
    </w:lvl>
    <w:lvl w:ilvl="7" w:tplc="764A57A0">
      <w:numFmt w:val="bullet"/>
      <w:lvlText w:val="•"/>
      <w:lvlJc w:val="left"/>
      <w:pPr>
        <w:ind w:left="1627" w:hanging="100"/>
      </w:pPr>
      <w:rPr>
        <w:rFonts w:hint="default"/>
      </w:rPr>
    </w:lvl>
    <w:lvl w:ilvl="8" w:tplc="FAFC57BE">
      <w:numFmt w:val="bullet"/>
      <w:lvlText w:val="•"/>
      <w:lvlJc w:val="left"/>
      <w:pPr>
        <w:ind w:left="1837" w:hanging="100"/>
      </w:pPr>
      <w:rPr>
        <w:rFonts w:hint="default"/>
      </w:rPr>
    </w:lvl>
  </w:abstractNum>
  <w:abstractNum w:abstractNumId="593" w15:restartNumberingAfterBreak="0">
    <w:nsid w:val="25613085"/>
    <w:multiLevelType w:val="hybridMultilevel"/>
    <w:tmpl w:val="42B0DEBC"/>
    <w:lvl w:ilvl="0" w:tplc="68C85FC4">
      <w:numFmt w:val="bullet"/>
      <w:lvlText w:val=""/>
      <w:lvlJc w:val="left"/>
      <w:pPr>
        <w:ind w:left="156" w:hanging="100"/>
      </w:pPr>
      <w:rPr>
        <w:rFonts w:ascii="Symbol" w:eastAsia="Symbol" w:hAnsi="Symbol" w:cs="Symbol" w:hint="default"/>
        <w:color w:val="231F20"/>
        <w:w w:val="100"/>
        <w:sz w:val="14"/>
        <w:szCs w:val="14"/>
      </w:rPr>
    </w:lvl>
    <w:lvl w:ilvl="1" w:tplc="49EA10AE">
      <w:numFmt w:val="bullet"/>
      <w:lvlText w:val="•"/>
      <w:lvlJc w:val="left"/>
      <w:pPr>
        <w:ind w:left="301" w:hanging="100"/>
      </w:pPr>
      <w:rPr>
        <w:rFonts w:hint="default"/>
      </w:rPr>
    </w:lvl>
    <w:lvl w:ilvl="2" w:tplc="22E88158">
      <w:numFmt w:val="bullet"/>
      <w:lvlText w:val="•"/>
      <w:lvlJc w:val="left"/>
      <w:pPr>
        <w:ind w:left="443" w:hanging="100"/>
      </w:pPr>
      <w:rPr>
        <w:rFonts w:hint="default"/>
      </w:rPr>
    </w:lvl>
    <w:lvl w:ilvl="3" w:tplc="8C448506">
      <w:numFmt w:val="bullet"/>
      <w:lvlText w:val="•"/>
      <w:lvlJc w:val="left"/>
      <w:pPr>
        <w:ind w:left="585" w:hanging="100"/>
      </w:pPr>
      <w:rPr>
        <w:rFonts w:hint="default"/>
      </w:rPr>
    </w:lvl>
    <w:lvl w:ilvl="4" w:tplc="B22CDA08">
      <w:numFmt w:val="bullet"/>
      <w:lvlText w:val="•"/>
      <w:lvlJc w:val="left"/>
      <w:pPr>
        <w:ind w:left="726" w:hanging="100"/>
      </w:pPr>
      <w:rPr>
        <w:rFonts w:hint="default"/>
      </w:rPr>
    </w:lvl>
    <w:lvl w:ilvl="5" w:tplc="E47AD184">
      <w:numFmt w:val="bullet"/>
      <w:lvlText w:val="•"/>
      <w:lvlJc w:val="left"/>
      <w:pPr>
        <w:ind w:left="868" w:hanging="100"/>
      </w:pPr>
      <w:rPr>
        <w:rFonts w:hint="default"/>
      </w:rPr>
    </w:lvl>
    <w:lvl w:ilvl="6" w:tplc="6748D108">
      <w:numFmt w:val="bullet"/>
      <w:lvlText w:val="•"/>
      <w:lvlJc w:val="left"/>
      <w:pPr>
        <w:ind w:left="1010" w:hanging="100"/>
      </w:pPr>
      <w:rPr>
        <w:rFonts w:hint="default"/>
      </w:rPr>
    </w:lvl>
    <w:lvl w:ilvl="7" w:tplc="DDEE80F4">
      <w:numFmt w:val="bullet"/>
      <w:lvlText w:val="•"/>
      <w:lvlJc w:val="left"/>
      <w:pPr>
        <w:ind w:left="1151" w:hanging="100"/>
      </w:pPr>
      <w:rPr>
        <w:rFonts w:hint="default"/>
      </w:rPr>
    </w:lvl>
    <w:lvl w:ilvl="8" w:tplc="95CAD42C">
      <w:numFmt w:val="bullet"/>
      <w:lvlText w:val="•"/>
      <w:lvlJc w:val="left"/>
      <w:pPr>
        <w:ind w:left="1293" w:hanging="100"/>
      </w:pPr>
      <w:rPr>
        <w:rFonts w:hint="default"/>
      </w:rPr>
    </w:lvl>
  </w:abstractNum>
  <w:abstractNum w:abstractNumId="594" w15:restartNumberingAfterBreak="0">
    <w:nsid w:val="25637115"/>
    <w:multiLevelType w:val="hybridMultilevel"/>
    <w:tmpl w:val="259AF1D2"/>
    <w:lvl w:ilvl="0" w:tplc="A650E164">
      <w:numFmt w:val="bullet"/>
      <w:lvlText w:val=""/>
      <w:lvlJc w:val="left"/>
      <w:pPr>
        <w:ind w:left="156" w:hanging="100"/>
      </w:pPr>
      <w:rPr>
        <w:rFonts w:ascii="Symbol" w:eastAsia="Symbol" w:hAnsi="Symbol" w:cs="Symbol" w:hint="default"/>
        <w:color w:val="231F20"/>
        <w:w w:val="100"/>
        <w:sz w:val="14"/>
        <w:szCs w:val="14"/>
      </w:rPr>
    </w:lvl>
    <w:lvl w:ilvl="1" w:tplc="43F47434">
      <w:numFmt w:val="bullet"/>
      <w:lvlText w:val="•"/>
      <w:lvlJc w:val="left"/>
      <w:pPr>
        <w:ind w:left="426" w:hanging="100"/>
      </w:pPr>
      <w:rPr>
        <w:rFonts w:hint="default"/>
      </w:rPr>
    </w:lvl>
    <w:lvl w:ilvl="2" w:tplc="84E49750">
      <w:numFmt w:val="bullet"/>
      <w:lvlText w:val="•"/>
      <w:lvlJc w:val="left"/>
      <w:pPr>
        <w:ind w:left="692" w:hanging="100"/>
      </w:pPr>
      <w:rPr>
        <w:rFonts w:hint="default"/>
      </w:rPr>
    </w:lvl>
    <w:lvl w:ilvl="3" w:tplc="668A1FB2">
      <w:numFmt w:val="bullet"/>
      <w:lvlText w:val="•"/>
      <w:lvlJc w:val="left"/>
      <w:pPr>
        <w:ind w:left="959" w:hanging="100"/>
      </w:pPr>
      <w:rPr>
        <w:rFonts w:hint="default"/>
      </w:rPr>
    </w:lvl>
    <w:lvl w:ilvl="4" w:tplc="4C98CCEA">
      <w:numFmt w:val="bullet"/>
      <w:lvlText w:val="•"/>
      <w:lvlJc w:val="left"/>
      <w:pPr>
        <w:ind w:left="1225" w:hanging="100"/>
      </w:pPr>
      <w:rPr>
        <w:rFonts w:hint="default"/>
      </w:rPr>
    </w:lvl>
    <w:lvl w:ilvl="5" w:tplc="CD02491E">
      <w:numFmt w:val="bullet"/>
      <w:lvlText w:val="•"/>
      <w:lvlJc w:val="left"/>
      <w:pPr>
        <w:ind w:left="1492" w:hanging="100"/>
      </w:pPr>
      <w:rPr>
        <w:rFonts w:hint="default"/>
      </w:rPr>
    </w:lvl>
    <w:lvl w:ilvl="6" w:tplc="7DB623F8">
      <w:numFmt w:val="bullet"/>
      <w:lvlText w:val="•"/>
      <w:lvlJc w:val="left"/>
      <w:pPr>
        <w:ind w:left="1758" w:hanging="100"/>
      </w:pPr>
      <w:rPr>
        <w:rFonts w:hint="default"/>
      </w:rPr>
    </w:lvl>
    <w:lvl w:ilvl="7" w:tplc="4720205C">
      <w:numFmt w:val="bullet"/>
      <w:lvlText w:val="•"/>
      <w:lvlJc w:val="left"/>
      <w:pPr>
        <w:ind w:left="2024" w:hanging="100"/>
      </w:pPr>
      <w:rPr>
        <w:rFonts w:hint="default"/>
      </w:rPr>
    </w:lvl>
    <w:lvl w:ilvl="8" w:tplc="F5D6B392">
      <w:numFmt w:val="bullet"/>
      <w:lvlText w:val="•"/>
      <w:lvlJc w:val="left"/>
      <w:pPr>
        <w:ind w:left="2291" w:hanging="100"/>
      </w:pPr>
      <w:rPr>
        <w:rFonts w:hint="default"/>
      </w:rPr>
    </w:lvl>
  </w:abstractNum>
  <w:abstractNum w:abstractNumId="595" w15:restartNumberingAfterBreak="0">
    <w:nsid w:val="257C40F8"/>
    <w:multiLevelType w:val="hybridMultilevel"/>
    <w:tmpl w:val="429E0004"/>
    <w:lvl w:ilvl="0" w:tplc="F89AD482">
      <w:numFmt w:val="bullet"/>
      <w:lvlText w:val=""/>
      <w:lvlJc w:val="left"/>
      <w:pPr>
        <w:ind w:left="156" w:hanging="100"/>
      </w:pPr>
      <w:rPr>
        <w:rFonts w:ascii="Symbol" w:eastAsia="Symbol" w:hAnsi="Symbol" w:cs="Symbol" w:hint="default"/>
        <w:color w:val="231F20"/>
        <w:w w:val="100"/>
        <w:sz w:val="14"/>
        <w:szCs w:val="14"/>
      </w:rPr>
    </w:lvl>
    <w:lvl w:ilvl="1" w:tplc="2AFA1272">
      <w:numFmt w:val="bullet"/>
      <w:lvlText w:val="•"/>
      <w:lvlJc w:val="left"/>
      <w:pPr>
        <w:ind w:left="426" w:hanging="100"/>
      </w:pPr>
      <w:rPr>
        <w:rFonts w:hint="default"/>
      </w:rPr>
    </w:lvl>
    <w:lvl w:ilvl="2" w:tplc="FFB8ED6A">
      <w:numFmt w:val="bullet"/>
      <w:lvlText w:val="•"/>
      <w:lvlJc w:val="left"/>
      <w:pPr>
        <w:ind w:left="692" w:hanging="100"/>
      </w:pPr>
      <w:rPr>
        <w:rFonts w:hint="default"/>
      </w:rPr>
    </w:lvl>
    <w:lvl w:ilvl="3" w:tplc="87CE87D6">
      <w:numFmt w:val="bullet"/>
      <w:lvlText w:val="•"/>
      <w:lvlJc w:val="left"/>
      <w:pPr>
        <w:ind w:left="959" w:hanging="100"/>
      </w:pPr>
      <w:rPr>
        <w:rFonts w:hint="default"/>
      </w:rPr>
    </w:lvl>
    <w:lvl w:ilvl="4" w:tplc="BBE821FA">
      <w:numFmt w:val="bullet"/>
      <w:lvlText w:val="•"/>
      <w:lvlJc w:val="left"/>
      <w:pPr>
        <w:ind w:left="1225" w:hanging="100"/>
      </w:pPr>
      <w:rPr>
        <w:rFonts w:hint="default"/>
      </w:rPr>
    </w:lvl>
    <w:lvl w:ilvl="5" w:tplc="BF605D6A">
      <w:numFmt w:val="bullet"/>
      <w:lvlText w:val="•"/>
      <w:lvlJc w:val="left"/>
      <w:pPr>
        <w:ind w:left="1492" w:hanging="100"/>
      </w:pPr>
      <w:rPr>
        <w:rFonts w:hint="default"/>
      </w:rPr>
    </w:lvl>
    <w:lvl w:ilvl="6" w:tplc="184A3FFE">
      <w:numFmt w:val="bullet"/>
      <w:lvlText w:val="•"/>
      <w:lvlJc w:val="left"/>
      <w:pPr>
        <w:ind w:left="1758" w:hanging="100"/>
      </w:pPr>
      <w:rPr>
        <w:rFonts w:hint="default"/>
      </w:rPr>
    </w:lvl>
    <w:lvl w:ilvl="7" w:tplc="5CB622F0">
      <w:numFmt w:val="bullet"/>
      <w:lvlText w:val="•"/>
      <w:lvlJc w:val="left"/>
      <w:pPr>
        <w:ind w:left="2024" w:hanging="100"/>
      </w:pPr>
      <w:rPr>
        <w:rFonts w:hint="default"/>
      </w:rPr>
    </w:lvl>
    <w:lvl w:ilvl="8" w:tplc="92ECFF48">
      <w:numFmt w:val="bullet"/>
      <w:lvlText w:val="•"/>
      <w:lvlJc w:val="left"/>
      <w:pPr>
        <w:ind w:left="2291" w:hanging="100"/>
      </w:pPr>
      <w:rPr>
        <w:rFonts w:hint="default"/>
      </w:rPr>
    </w:lvl>
  </w:abstractNum>
  <w:abstractNum w:abstractNumId="596" w15:restartNumberingAfterBreak="0">
    <w:nsid w:val="258177BA"/>
    <w:multiLevelType w:val="hybridMultilevel"/>
    <w:tmpl w:val="B608C992"/>
    <w:lvl w:ilvl="0" w:tplc="92123DCE">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95FA20E2">
      <w:numFmt w:val="bullet"/>
      <w:lvlText w:val="•"/>
      <w:lvlJc w:val="left"/>
      <w:pPr>
        <w:ind w:left="426" w:hanging="105"/>
      </w:pPr>
      <w:rPr>
        <w:rFonts w:hint="default"/>
      </w:rPr>
    </w:lvl>
    <w:lvl w:ilvl="2" w:tplc="D16001AA">
      <w:numFmt w:val="bullet"/>
      <w:lvlText w:val="•"/>
      <w:lvlJc w:val="left"/>
      <w:pPr>
        <w:ind w:left="692" w:hanging="105"/>
      </w:pPr>
      <w:rPr>
        <w:rFonts w:hint="default"/>
      </w:rPr>
    </w:lvl>
    <w:lvl w:ilvl="3" w:tplc="3A0AE58A">
      <w:numFmt w:val="bullet"/>
      <w:lvlText w:val="•"/>
      <w:lvlJc w:val="left"/>
      <w:pPr>
        <w:ind w:left="959" w:hanging="105"/>
      </w:pPr>
      <w:rPr>
        <w:rFonts w:hint="default"/>
      </w:rPr>
    </w:lvl>
    <w:lvl w:ilvl="4" w:tplc="A5F2C964">
      <w:numFmt w:val="bullet"/>
      <w:lvlText w:val="•"/>
      <w:lvlJc w:val="left"/>
      <w:pPr>
        <w:ind w:left="1225" w:hanging="105"/>
      </w:pPr>
      <w:rPr>
        <w:rFonts w:hint="default"/>
      </w:rPr>
    </w:lvl>
    <w:lvl w:ilvl="5" w:tplc="9C667D16">
      <w:numFmt w:val="bullet"/>
      <w:lvlText w:val="•"/>
      <w:lvlJc w:val="left"/>
      <w:pPr>
        <w:ind w:left="1492" w:hanging="105"/>
      </w:pPr>
      <w:rPr>
        <w:rFonts w:hint="default"/>
      </w:rPr>
    </w:lvl>
    <w:lvl w:ilvl="6" w:tplc="550E8D7E">
      <w:numFmt w:val="bullet"/>
      <w:lvlText w:val="•"/>
      <w:lvlJc w:val="left"/>
      <w:pPr>
        <w:ind w:left="1758" w:hanging="105"/>
      </w:pPr>
      <w:rPr>
        <w:rFonts w:hint="default"/>
      </w:rPr>
    </w:lvl>
    <w:lvl w:ilvl="7" w:tplc="9ADC50D8">
      <w:numFmt w:val="bullet"/>
      <w:lvlText w:val="•"/>
      <w:lvlJc w:val="left"/>
      <w:pPr>
        <w:ind w:left="2024" w:hanging="105"/>
      </w:pPr>
      <w:rPr>
        <w:rFonts w:hint="default"/>
      </w:rPr>
    </w:lvl>
    <w:lvl w:ilvl="8" w:tplc="01B27B14">
      <w:numFmt w:val="bullet"/>
      <w:lvlText w:val="•"/>
      <w:lvlJc w:val="left"/>
      <w:pPr>
        <w:ind w:left="2291" w:hanging="105"/>
      </w:pPr>
      <w:rPr>
        <w:rFonts w:hint="default"/>
      </w:rPr>
    </w:lvl>
  </w:abstractNum>
  <w:abstractNum w:abstractNumId="597" w15:restartNumberingAfterBreak="0">
    <w:nsid w:val="258762BD"/>
    <w:multiLevelType w:val="hybridMultilevel"/>
    <w:tmpl w:val="54CEF3B2"/>
    <w:lvl w:ilvl="0" w:tplc="A6F2FA96">
      <w:numFmt w:val="bullet"/>
      <w:lvlText w:val=""/>
      <w:lvlJc w:val="left"/>
      <w:pPr>
        <w:ind w:left="156" w:hanging="100"/>
      </w:pPr>
      <w:rPr>
        <w:rFonts w:ascii="Symbol" w:eastAsia="Symbol" w:hAnsi="Symbol" w:cs="Symbol" w:hint="default"/>
        <w:color w:val="231F20"/>
        <w:w w:val="100"/>
        <w:sz w:val="14"/>
        <w:szCs w:val="14"/>
      </w:rPr>
    </w:lvl>
    <w:lvl w:ilvl="1" w:tplc="E0BC3F3E">
      <w:numFmt w:val="bullet"/>
      <w:lvlText w:val="•"/>
      <w:lvlJc w:val="left"/>
      <w:pPr>
        <w:ind w:left="398" w:hanging="100"/>
      </w:pPr>
      <w:rPr>
        <w:rFonts w:hint="default"/>
      </w:rPr>
    </w:lvl>
    <w:lvl w:ilvl="2" w:tplc="984886C4">
      <w:numFmt w:val="bullet"/>
      <w:lvlText w:val="•"/>
      <w:lvlJc w:val="left"/>
      <w:pPr>
        <w:ind w:left="636" w:hanging="100"/>
      </w:pPr>
      <w:rPr>
        <w:rFonts w:hint="default"/>
      </w:rPr>
    </w:lvl>
    <w:lvl w:ilvl="3" w:tplc="9AA081DA">
      <w:numFmt w:val="bullet"/>
      <w:lvlText w:val="•"/>
      <w:lvlJc w:val="left"/>
      <w:pPr>
        <w:ind w:left="874" w:hanging="100"/>
      </w:pPr>
      <w:rPr>
        <w:rFonts w:hint="default"/>
      </w:rPr>
    </w:lvl>
    <w:lvl w:ilvl="4" w:tplc="1F1E01C2">
      <w:numFmt w:val="bullet"/>
      <w:lvlText w:val="•"/>
      <w:lvlJc w:val="left"/>
      <w:pPr>
        <w:ind w:left="1112" w:hanging="100"/>
      </w:pPr>
      <w:rPr>
        <w:rFonts w:hint="default"/>
      </w:rPr>
    </w:lvl>
    <w:lvl w:ilvl="5" w:tplc="AFCE0708">
      <w:numFmt w:val="bullet"/>
      <w:lvlText w:val="•"/>
      <w:lvlJc w:val="left"/>
      <w:pPr>
        <w:ind w:left="1350" w:hanging="100"/>
      </w:pPr>
      <w:rPr>
        <w:rFonts w:hint="default"/>
      </w:rPr>
    </w:lvl>
    <w:lvl w:ilvl="6" w:tplc="38BAA134">
      <w:numFmt w:val="bullet"/>
      <w:lvlText w:val="•"/>
      <w:lvlJc w:val="left"/>
      <w:pPr>
        <w:ind w:left="1588" w:hanging="100"/>
      </w:pPr>
      <w:rPr>
        <w:rFonts w:hint="default"/>
      </w:rPr>
    </w:lvl>
    <w:lvl w:ilvl="7" w:tplc="C8B0C59E">
      <w:numFmt w:val="bullet"/>
      <w:lvlText w:val="•"/>
      <w:lvlJc w:val="left"/>
      <w:pPr>
        <w:ind w:left="1826" w:hanging="100"/>
      </w:pPr>
      <w:rPr>
        <w:rFonts w:hint="default"/>
      </w:rPr>
    </w:lvl>
    <w:lvl w:ilvl="8" w:tplc="E37A642A">
      <w:numFmt w:val="bullet"/>
      <w:lvlText w:val="•"/>
      <w:lvlJc w:val="left"/>
      <w:pPr>
        <w:ind w:left="2064" w:hanging="100"/>
      </w:pPr>
      <w:rPr>
        <w:rFonts w:hint="default"/>
      </w:rPr>
    </w:lvl>
  </w:abstractNum>
  <w:abstractNum w:abstractNumId="598" w15:restartNumberingAfterBreak="0">
    <w:nsid w:val="25934181"/>
    <w:multiLevelType w:val="hybridMultilevel"/>
    <w:tmpl w:val="556A4292"/>
    <w:lvl w:ilvl="0" w:tplc="66E6F44C">
      <w:numFmt w:val="bullet"/>
      <w:lvlText w:val=""/>
      <w:lvlJc w:val="left"/>
      <w:pPr>
        <w:ind w:left="156" w:hanging="100"/>
      </w:pPr>
      <w:rPr>
        <w:rFonts w:ascii="Symbol" w:eastAsia="Symbol" w:hAnsi="Symbol" w:cs="Symbol" w:hint="default"/>
        <w:color w:val="231F20"/>
        <w:w w:val="100"/>
        <w:sz w:val="14"/>
        <w:szCs w:val="14"/>
      </w:rPr>
    </w:lvl>
    <w:lvl w:ilvl="1" w:tplc="A45CCA30">
      <w:numFmt w:val="bullet"/>
      <w:lvlText w:val="•"/>
      <w:lvlJc w:val="left"/>
      <w:pPr>
        <w:ind w:left="426" w:hanging="100"/>
      </w:pPr>
      <w:rPr>
        <w:rFonts w:hint="default"/>
      </w:rPr>
    </w:lvl>
    <w:lvl w:ilvl="2" w:tplc="3EFCB3EE">
      <w:numFmt w:val="bullet"/>
      <w:lvlText w:val="•"/>
      <w:lvlJc w:val="left"/>
      <w:pPr>
        <w:ind w:left="692" w:hanging="100"/>
      </w:pPr>
      <w:rPr>
        <w:rFonts w:hint="default"/>
      </w:rPr>
    </w:lvl>
    <w:lvl w:ilvl="3" w:tplc="67FEE066">
      <w:numFmt w:val="bullet"/>
      <w:lvlText w:val="•"/>
      <w:lvlJc w:val="left"/>
      <w:pPr>
        <w:ind w:left="959" w:hanging="100"/>
      </w:pPr>
      <w:rPr>
        <w:rFonts w:hint="default"/>
      </w:rPr>
    </w:lvl>
    <w:lvl w:ilvl="4" w:tplc="68B4313E">
      <w:numFmt w:val="bullet"/>
      <w:lvlText w:val="•"/>
      <w:lvlJc w:val="left"/>
      <w:pPr>
        <w:ind w:left="1225" w:hanging="100"/>
      </w:pPr>
      <w:rPr>
        <w:rFonts w:hint="default"/>
      </w:rPr>
    </w:lvl>
    <w:lvl w:ilvl="5" w:tplc="9F62DFA6">
      <w:numFmt w:val="bullet"/>
      <w:lvlText w:val="•"/>
      <w:lvlJc w:val="left"/>
      <w:pPr>
        <w:ind w:left="1492" w:hanging="100"/>
      </w:pPr>
      <w:rPr>
        <w:rFonts w:hint="default"/>
      </w:rPr>
    </w:lvl>
    <w:lvl w:ilvl="6" w:tplc="631CC172">
      <w:numFmt w:val="bullet"/>
      <w:lvlText w:val="•"/>
      <w:lvlJc w:val="left"/>
      <w:pPr>
        <w:ind w:left="1758" w:hanging="100"/>
      </w:pPr>
      <w:rPr>
        <w:rFonts w:hint="default"/>
      </w:rPr>
    </w:lvl>
    <w:lvl w:ilvl="7" w:tplc="C79A1112">
      <w:numFmt w:val="bullet"/>
      <w:lvlText w:val="•"/>
      <w:lvlJc w:val="left"/>
      <w:pPr>
        <w:ind w:left="2024" w:hanging="100"/>
      </w:pPr>
      <w:rPr>
        <w:rFonts w:hint="default"/>
      </w:rPr>
    </w:lvl>
    <w:lvl w:ilvl="8" w:tplc="312CC6A4">
      <w:numFmt w:val="bullet"/>
      <w:lvlText w:val="•"/>
      <w:lvlJc w:val="left"/>
      <w:pPr>
        <w:ind w:left="2291" w:hanging="100"/>
      </w:pPr>
      <w:rPr>
        <w:rFonts w:hint="default"/>
      </w:rPr>
    </w:lvl>
  </w:abstractNum>
  <w:abstractNum w:abstractNumId="599" w15:restartNumberingAfterBreak="0">
    <w:nsid w:val="25C23FF9"/>
    <w:multiLevelType w:val="hybridMultilevel"/>
    <w:tmpl w:val="09D45886"/>
    <w:lvl w:ilvl="0" w:tplc="74B854E6">
      <w:numFmt w:val="bullet"/>
      <w:lvlText w:val=""/>
      <w:lvlJc w:val="left"/>
      <w:pPr>
        <w:ind w:left="156" w:hanging="100"/>
      </w:pPr>
      <w:rPr>
        <w:rFonts w:ascii="Symbol" w:eastAsia="Symbol" w:hAnsi="Symbol" w:cs="Symbol" w:hint="default"/>
        <w:color w:val="231F20"/>
        <w:w w:val="100"/>
        <w:sz w:val="14"/>
        <w:szCs w:val="14"/>
      </w:rPr>
    </w:lvl>
    <w:lvl w:ilvl="1" w:tplc="684CA7E6">
      <w:numFmt w:val="bullet"/>
      <w:lvlText w:val="•"/>
      <w:lvlJc w:val="left"/>
      <w:pPr>
        <w:ind w:left="301" w:hanging="100"/>
      </w:pPr>
      <w:rPr>
        <w:rFonts w:hint="default"/>
      </w:rPr>
    </w:lvl>
    <w:lvl w:ilvl="2" w:tplc="B29CBD3A">
      <w:numFmt w:val="bullet"/>
      <w:lvlText w:val="•"/>
      <w:lvlJc w:val="left"/>
      <w:pPr>
        <w:ind w:left="443" w:hanging="100"/>
      </w:pPr>
      <w:rPr>
        <w:rFonts w:hint="default"/>
      </w:rPr>
    </w:lvl>
    <w:lvl w:ilvl="3" w:tplc="EC76185C">
      <w:numFmt w:val="bullet"/>
      <w:lvlText w:val="•"/>
      <w:lvlJc w:val="left"/>
      <w:pPr>
        <w:ind w:left="585" w:hanging="100"/>
      </w:pPr>
      <w:rPr>
        <w:rFonts w:hint="default"/>
      </w:rPr>
    </w:lvl>
    <w:lvl w:ilvl="4" w:tplc="03D08132">
      <w:numFmt w:val="bullet"/>
      <w:lvlText w:val="•"/>
      <w:lvlJc w:val="left"/>
      <w:pPr>
        <w:ind w:left="726" w:hanging="100"/>
      </w:pPr>
      <w:rPr>
        <w:rFonts w:hint="default"/>
      </w:rPr>
    </w:lvl>
    <w:lvl w:ilvl="5" w:tplc="E3DAD282">
      <w:numFmt w:val="bullet"/>
      <w:lvlText w:val="•"/>
      <w:lvlJc w:val="left"/>
      <w:pPr>
        <w:ind w:left="868" w:hanging="100"/>
      </w:pPr>
      <w:rPr>
        <w:rFonts w:hint="default"/>
      </w:rPr>
    </w:lvl>
    <w:lvl w:ilvl="6" w:tplc="57EC6B16">
      <w:numFmt w:val="bullet"/>
      <w:lvlText w:val="•"/>
      <w:lvlJc w:val="left"/>
      <w:pPr>
        <w:ind w:left="1010" w:hanging="100"/>
      </w:pPr>
      <w:rPr>
        <w:rFonts w:hint="default"/>
      </w:rPr>
    </w:lvl>
    <w:lvl w:ilvl="7" w:tplc="C1D24CBC">
      <w:numFmt w:val="bullet"/>
      <w:lvlText w:val="•"/>
      <w:lvlJc w:val="left"/>
      <w:pPr>
        <w:ind w:left="1151" w:hanging="100"/>
      </w:pPr>
      <w:rPr>
        <w:rFonts w:hint="default"/>
      </w:rPr>
    </w:lvl>
    <w:lvl w:ilvl="8" w:tplc="1D7C6444">
      <w:numFmt w:val="bullet"/>
      <w:lvlText w:val="•"/>
      <w:lvlJc w:val="left"/>
      <w:pPr>
        <w:ind w:left="1293" w:hanging="100"/>
      </w:pPr>
      <w:rPr>
        <w:rFonts w:hint="default"/>
      </w:rPr>
    </w:lvl>
  </w:abstractNum>
  <w:abstractNum w:abstractNumId="600" w15:restartNumberingAfterBreak="0">
    <w:nsid w:val="25C370D0"/>
    <w:multiLevelType w:val="hybridMultilevel"/>
    <w:tmpl w:val="73DC246C"/>
    <w:lvl w:ilvl="0" w:tplc="B088FB28">
      <w:numFmt w:val="bullet"/>
      <w:lvlText w:val=""/>
      <w:lvlJc w:val="left"/>
      <w:pPr>
        <w:ind w:left="156" w:hanging="100"/>
      </w:pPr>
      <w:rPr>
        <w:rFonts w:ascii="Symbol" w:eastAsia="Symbol" w:hAnsi="Symbol" w:cs="Symbol" w:hint="default"/>
        <w:color w:val="231F20"/>
        <w:w w:val="100"/>
        <w:sz w:val="14"/>
        <w:szCs w:val="14"/>
      </w:rPr>
    </w:lvl>
    <w:lvl w:ilvl="1" w:tplc="C1F09D58">
      <w:numFmt w:val="bullet"/>
      <w:lvlText w:val="•"/>
      <w:lvlJc w:val="left"/>
      <w:pPr>
        <w:ind w:left="273" w:hanging="100"/>
      </w:pPr>
      <w:rPr>
        <w:rFonts w:hint="default"/>
      </w:rPr>
    </w:lvl>
    <w:lvl w:ilvl="2" w:tplc="D8FA7F00">
      <w:numFmt w:val="bullet"/>
      <w:lvlText w:val="•"/>
      <w:lvlJc w:val="left"/>
      <w:pPr>
        <w:ind w:left="386" w:hanging="100"/>
      </w:pPr>
      <w:rPr>
        <w:rFonts w:hint="default"/>
      </w:rPr>
    </w:lvl>
    <w:lvl w:ilvl="3" w:tplc="8896443E">
      <w:numFmt w:val="bullet"/>
      <w:lvlText w:val="•"/>
      <w:lvlJc w:val="left"/>
      <w:pPr>
        <w:ind w:left="500" w:hanging="100"/>
      </w:pPr>
      <w:rPr>
        <w:rFonts w:hint="default"/>
      </w:rPr>
    </w:lvl>
    <w:lvl w:ilvl="4" w:tplc="4A36722E">
      <w:numFmt w:val="bullet"/>
      <w:lvlText w:val="•"/>
      <w:lvlJc w:val="left"/>
      <w:pPr>
        <w:ind w:left="613" w:hanging="100"/>
      </w:pPr>
      <w:rPr>
        <w:rFonts w:hint="default"/>
      </w:rPr>
    </w:lvl>
    <w:lvl w:ilvl="5" w:tplc="E04E9DB2">
      <w:numFmt w:val="bullet"/>
      <w:lvlText w:val="•"/>
      <w:lvlJc w:val="left"/>
      <w:pPr>
        <w:ind w:left="727" w:hanging="100"/>
      </w:pPr>
      <w:rPr>
        <w:rFonts w:hint="default"/>
      </w:rPr>
    </w:lvl>
    <w:lvl w:ilvl="6" w:tplc="4D18208E">
      <w:numFmt w:val="bullet"/>
      <w:lvlText w:val="•"/>
      <w:lvlJc w:val="left"/>
      <w:pPr>
        <w:ind w:left="840" w:hanging="100"/>
      </w:pPr>
      <w:rPr>
        <w:rFonts w:hint="default"/>
      </w:rPr>
    </w:lvl>
    <w:lvl w:ilvl="7" w:tplc="50DC762A">
      <w:numFmt w:val="bullet"/>
      <w:lvlText w:val="•"/>
      <w:lvlJc w:val="left"/>
      <w:pPr>
        <w:ind w:left="953" w:hanging="100"/>
      </w:pPr>
      <w:rPr>
        <w:rFonts w:hint="default"/>
      </w:rPr>
    </w:lvl>
    <w:lvl w:ilvl="8" w:tplc="C56E9E4C">
      <w:numFmt w:val="bullet"/>
      <w:lvlText w:val="•"/>
      <w:lvlJc w:val="left"/>
      <w:pPr>
        <w:ind w:left="1067" w:hanging="100"/>
      </w:pPr>
      <w:rPr>
        <w:rFonts w:hint="default"/>
      </w:rPr>
    </w:lvl>
  </w:abstractNum>
  <w:abstractNum w:abstractNumId="601" w15:restartNumberingAfterBreak="0">
    <w:nsid w:val="25DC1F4F"/>
    <w:multiLevelType w:val="hybridMultilevel"/>
    <w:tmpl w:val="B6D22168"/>
    <w:lvl w:ilvl="0" w:tplc="0DE8C8CA">
      <w:numFmt w:val="bullet"/>
      <w:lvlText w:val=""/>
      <w:lvlJc w:val="left"/>
      <w:pPr>
        <w:ind w:left="157" w:hanging="100"/>
      </w:pPr>
      <w:rPr>
        <w:rFonts w:ascii="Symbol" w:eastAsia="Symbol" w:hAnsi="Symbol" w:cs="Symbol" w:hint="default"/>
        <w:color w:val="231F20"/>
        <w:w w:val="100"/>
        <w:sz w:val="14"/>
        <w:szCs w:val="14"/>
      </w:rPr>
    </w:lvl>
    <w:lvl w:ilvl="1" w:tplc="76ECAC08">
      <w:numFmt w:val="bullet"/>
      <w:lvlText w:val="•"/>
      <w:lvlJc w:val="left"/>
      <w:pPr>
        <w:ind w:left="369" w:hanging="100"/>
      </w:pPr>
      <w:rPr>
        <w:rFonts w:hint="default"/>
      </w:rPr>
    </w:lvl>
    <w:lvl w:ilvl="2" w:tplc="5BD0BD76">
      <w:numFmt w:val="bullet"/>
      <w:lvlText w:val="•"/>
      <w:lvlJc w:val="left"/>
      <w:pPr>
        <w:ind w:left="579" w:hanging="100"/>
      </w:pPr>
      <w:rPr>
        <w:rFonts w:hint="default"/>
      </w:rPr>
    </w:lvl>
    <w:lvl w:ilvl="3" w:tplc="F1A61D1E">
      <w:numFmt w:val="bullet"/>
      <w:lvlText w:val="•"/>
      <w:lvlJc w:val="left"/>
      <w:pPr>
        <w:ind w:left="789" w:hanging="100"/>
      </w:pPr>
      <w:rPr>
        <w:rFonts w:hint="default"/>
      </w:rPr>
    </w:lvl>
    <w:lvl w:ilvl="4" w:tplc="53262A3E">
      <w:numFmt w:val="bullet"/>
      <w:lvlText w:val="•"/>
      <w:lvlJc w:val="left"/>
      <w:pPr>
        <w:ind w:left="998" w:hanging="100"/>
      </w:pPr>
      <w:rPr>
        <w:rFonts w:hint="default"/>
      </w:rPr>
    </w:lvl>
    <w:lvl w:ilvl="5" w:tplc="FA820784">
      <w:numFmt w:val="bullet"/>
      <w:lvlText w:val="•"/>
      <w:lvlJc w:val="left"/>
      <w:pPr>
        <w:ind w:left="1208" w:hanging="100"/>
      </w:pPr>
      <w:rPr>
        <w:rFonts w:hint="default"/>
      </w:rPr>
    </w:lvl>
    <w:lvl w:ilvl="6" w:tplc="A37EC5F4">
      <w:numFmt w:val="bullet"/>
      <w:lvlText w:val="•"/>
      <w:lvlJc w:val="left"/>
      <w:pPr>
        <w:ind w:left="1418" w:hanging="100"/>
      </w:pPr>
      <w:rPr>
        <w:rFonts w:hint="default"/>
      </w:rPr>
    </w:lvl>
    <w:lvl w:ilvl="7" w:tplc="D78A5E8A">
      <w:numFmt w:val="bullet"/>
      <w:lvlText w:val="•"/>
      <w:lvlJc w:val="left"/>
      <w:pPr>
        <w:ind w:left="1627" w:hanging="100"/>
      </w:pPr>
      <w:rPr>
        <w:rFonts w:hint="default"/>
      </w:rPr>
    </w:lvl>
    <w:lvl w:ilvl="8" w:tplc="4E52FF42">
      <w:numFmt w:val="bullet"/>
      <w:lvlText w:val="•"/>
      <w:lvlJc w:val="left"/>
      <w:pPr>
        <w:ind w:left="1837" w:hanging="100"/>
      </w:pPr>
      <w:rPr>
        <w:rFonts w:hint="default"/>
      </w:rPr>
    </w:lvl>
  </w:abstractNum>
  <w:abstractNum w:abstractNumId="602" w15:restartNumberingAfterBreak="0">
    <w:nsid w:val="25DD5AAE"/>
    <w:multiLevelType w:val="hybridMultilevel"/>
    <w:tmpl w:val="F73C661A"/>
    <w:lvl w:ilvl="0" w:tplc="7906818C">
      <w:numFmt w:val="bullet"/>
      <w:lvlText w:val=""/>
      <w:lvlJc w:val="left"/>
      <w:pPr>
        <w:ind w:left="157" w:hanging="100"/>
      </w:pPr>
      <w:rPr>
        <w:rFonts w:ascii="Symbol" w:eastAsia="Symbol" w:hAnsi="Symbol" w:cs="Symbol" w:hint="default"/>
        <w:color w:val="231F20"/>
        <w:w w:val="100"/>
        <w:sz w:val="14"/>
        <w:szCs w:val="14"/>
      </w:rPr>
    </w:lvl>
    <w:lvl w:ilvl="1" w:tplc="372869D0">
      <w:numFmt w:val="bullet"/>
      <w:lvlText w:val="•"/>
      <w:lvlJc w:val="left"/>
      <w:pPr>
        <w:ind w:left="369" w:hanging="100"/>
      </w:pPr>
      <w:rPr>
        <w:rFonts w:hint="default"/>
      </w:rPr>
    </w:lvl>
    <w:lvl w:ilvl="2" w:tplc="CA3A946A">
      <w:numFmt w:val="bullet"/>
      <w:lvlText w:val="•"/>
      <w:lvlJc w:val="left"/>
      <w:pPr>
        <w:ind w:left="579" w:hanging="100"/>
      </w:pPr>
      <w:rPr>
        <w:rFonts w:hint="default"/>
      </w:rPr>
    </w:lvl>
    <w:lvl w:ilvl="3" w:tplc="2A4C2300">
      <w:numFmt w:val="bullet"/>
      <w:lvlText w:val="•"/>
      <w:lvlJc w:val="left"/>
      <w:pPr>
        <w:ind w:left="789" w:hanging="100"/>
      </w:pPr>
      <w:rPr>
        <w:rFonts w:hint="default"/>
      </w:rPr>
    </w:lvl>
    <w:lvl w:ilvl="4" w:tplc="36E0BB78">
      <w:numFmt w:val="bullet"/>
      <w:lvlText w:val="•"/>
      <w:lvlJc w:val="left"/>
      <w:pPr>
        <w:ind w:left="998" w:hanging="100"/>
      </w:pPr>
      <w:rPr>
        <w:rFonts w:hint="default"/>
      </w:rPr>
    </w:lvl>
    <w:lvl w:ilvl="5" w:tplc="756E96E2">
      <w:numFmt w:val="bullet"/>
      <w:lvlText w:val="•"/>
      <w:lvlJc w:val="left"/>
      <w:pPr>
        <w:ind w:left="1208" w:hanging="100"/>
      </w:pPr>
      <w:rPr>
        <w:rFonts w:hint="default"/>
      </w:rPr>
    </w:lvl>
    <w:lvl w:ilvl="6" w:tplc="DCC62F52">
      <w:numFmt w:val="bullet"/>
      <w:lvlText w:val="•"/>
      <w:lvlJc w:val="left"/>
      <w:pPr>
        <w:ind w:left="1418" w:hanging="100"/>
      </w:pPr>
      <w:rPr>
        <w:rFonts w:hint="default"/>
      </w:rPr>
    </w:lvl>
    <w:lvl w:ilvl="7" w:tplc="A9D27F02">
      <w:numFmt w:val="bullet"/>
      <w:lvlText w:val="•"/>
      <w:lvlJc w:val="left"/>
      <w:pPr>
        <w:ind w:left="1627" w:hanging="100"/>
      </w:pPr>
      <w:rPr>
        <w:rFonts w:hint="default"/>
      </w:rPr>
    </w:lvl>
    <w:lvl w:ilvl="8" w:tplc="10E6905A">
      <w:numFmt w:val="bullet"/>
      <w:lvlText w:val="•"/>
      <w:lvlJc w:val="left"/>
      <w:pPr>
        <w:ind w:left="1837" w:hanging="100"/>
      </w:pPr>
      <w:rPr>
        <w:rFonts w:hint="default"/>
      </w:rPr>
    </w:lvl>
  </w:abstractNum>
  <w:abstractNum w:abstractNumId="603" w15:restartNumberingAfterBreak="0">
    <w:nsid w:val="261E756E"/>
    <w:multiLevelType w:val="hybridMultilevel"/>
    <w:tmpl w:val="AAA6340A"/>
    <w:lvl w:ilvl="0" w:tplc="CFBC17BC">
      <w:numFmt w:val="bullet"/>
      <w:lvlText w:val=""/>
      <w:lvlJc w:val="left"/>
      <w:pPr>
        <w:ind w:left="157" w:hanging="100"/>
      </w:pPr>
      <w:rPr>
        <w:rFonts w:ascii="Symbol" w:eastAsia="Symbol" w:hAnsi="Symbol" w:cs="Symbol" w:hint="default"/>
        <w:color w:val="231F20"/>
        <w:w w:val="100"/>
        <w:sz w:val="14"/>
        <w:szCs w:val="14"/>
      </w:rPr>
    </w:lvl>
    <w:lvl w:ilvl="1" w:tplc="F51AA8EC">
      <w:numFmt w:val="bullet"/>
      <w:lvlText w:val="•"/>
      <w:lvlJc w:val="left"/>
      <w:pPr>
        <w:ind w:left="426" w:hanging="100"/>
      </w:pPr>
      <w:rPr>
        <w:rFonts w:hint="default"/>
      </w:rPr>
    </w:lvl>
    <w:lvl w:ilvl="2" w:tplc="E746FD0E">
      <w:numFmt w:val="bullet"/>
      <w:lvlText w:val="•"/>
      <w:lvlJc w:val="left"/>
      <w:pPr>
        <w:ind w:left="692" w:hanging="100"/>
      </w:pPr>
      <w:rPr>
        <w:rFonts w:hint="default"/>
      </w:rPr>
    </w:lvl>
    <w:lvl w:ilvl="3" w:tplc="C068CD9A">
      <w:numFmt w:val="bullet"/>
      <w:lvlText w:val="•"/>
      <w:lvlJc w:val="left"/>
      <w:pPr>
        <w:ind w:left="959" w:hanging="100"/>
      </w:pPr>
      <w:rPr>
        <w:rFonts w:hint="default"/>
      </w:rPr>
    </w:lvl>
    <w:lvl w:ilvl="4" w:tplc="43F4753A">
      <w:numFmt w:val="bullet"/>
      <w:lvlText w:val="•"/>
      <w:lvlJc w:val="left"/>
      <w:pPr>
        <w:ind w:left="1225" w:hanging="100"/>
      </w:pPr>
      <w:rPr>
        <w:rFonts w:hint="default"/>
      </w:rPr>
    </w:lvl>
    <w:lvl w:ilvl="5" w:tplc="A928CFBE">
      <w:numFmt w:val="bullet"/>
      <w:lvlText w:val="•"/>
      <w:lvlJc w:val="left"/>
      <w:pPr>
        <w:ind w:left="1492" w:hanging="100"/>
      </w:pPr>
      <w:rPr>
        <w:rFonts w:hint="default"/>
      </w:rPr>
    </w:lvl>
    <w:lvl w:ilvl="6" w:tplc="50B6CFD8">
      <w:numFmt w:val="bullet"/>
      <w:lvlText w:val="•"/>
      <w:lvlJc w:val="left"/>
      <w:pPr>
        <w:ind w:left="1758" w:hanging="100"/>
      </w:pPr>
      <w:rPr>
        <w:rFonts w:hint="default"/>
      </w:rPr>
    </w:lvl>
    <w:lvl w:ilvl="7" w:tplc="27AEBFE6">
      <w:numFmt w:val="bullet"/>
      <w:lvlText w:val="•"/>
      <w:lvlJc w:val="left"/>
      <w:pPr>
        <w:ind w:left="2024" w:hanging="100"/>
      </w:pPr>
      <w:rPr>
        <w:rFonts w:hint="default"/>
      </w:rPr>
    </w:lvl>
    <w:lvl w:ilvl="8" w:tplc="64826310">
      <w:numFmt w:val="bullet"/>
      <w:lvlText w:val="•"/>
      <w:lvlJc w:val="left"/>
      <w:pPr>
        <w:ind w:left="2291" w:hanging="100"/>
      </w:pPr>
      <w:rPr>
        <w:rFonts w:hint="default"/>
      </w:rPr>
    </w:lvl>
  </w:abstractNum>
  <w:abstractNum w:abstractNumId="604" w15:restartNumberingAfterBreak="0">
    <w:nsid w:val="26216DE4"/>
    <w:multiLevelType w:val="hybridMultilevel"/>
    <w:tmpl w:val="1A1ADACE"/>
    <w:lvl w:ilvl="0" w:tplc="88F255E0">
      <w:numFmt w:val="bullet"/>
      <w:lvlText w:val=""/>
      <w:lvlJc w:val="left"/>
      <w:pPr>
        <w:ind w:left="157" w:hanging="100"/>
      </w:pPr>
      <w:rPr>
        <w:rFonts w:ascii="Symbol" w:eastAsia="Symbol" w:hAnsi="Symbol" w:cs="Symbol" w:hint="default"/>
        <w:color w:val="231F20"/>
        <w:w w:val="100"/>
        <w:sz w:val="14"/>
        <w:szCs w:val="14"/>
      </w:rPr>
    </w:lvl>
    <w:lvl w:ilvl="1" w:tplc="CAC683C2">
      <w:numFmt w:val="bullet"/>
      <w:lvlText w:val="•"/>
      <w:lvlJc w:val="left"/>
      <w:pPr>
        <w:ind w:left="398" w:hanging="100"/>
      </w:pPr>
      <w:rPr>
        <w:rFonts w:hint="default"/>
      </w:rPr>
    </w:lvl>
    <w:lvl w:ilvl="2" w:tplc="3A7886C6">
      <w:numFmt w:val="bullet"/>
      <w:lvlText w:val="•"/>
      <w:lvlJc w:val="left"/>
      <w:pPr>
        <w:ind w:left="636" w:hanging="100"/>
      </w:pPr>
      <w:rPr>
        <w:rFonts w:hint="default"/>
      </w:rPr>
    </w:lvl>
    <w:lvl w:ilvl="3" w:tplc="C98449EE">
      <w:numFmt w:val="bullet"/>
      <w:lvlText w:val="•"/>
      <w:lvlJc w:val="left"/>
      <w:pPr>
        <w:ind w:left="874" w:hanging="100"/>
      </w:pPr>
      <w:rPr>
        <w:rFonts w:hint="default"/>
      </w:rPr>
    </w:lvl>
    <w:lvl w:ilvl="4" w:tplc="A0A08DF4">
      <w:numFmt w:val="bullet"/>
      <w:lvlText w:val="•"/>
      <w:lvlJc w:val="left"/>
      <w:pPr>
        <w:ind w:left="1112" w:hanging="100"/>
      </w:pPr>
      <w:rPr>
        <w:rFonts w:hint="default"/>
      </w:rPr>
    </w:lvl>
    <w:lvl w:ilvl="5" w:tplc="522E3E84">
      <w:numFmt w:val="bullet"/>
      <w:lvlText w:val="•"/>
      <w:lvlJc w:val="left"/>
      <w:pPr>
        <w:ind w:left="1350" w:hanging="100"/>
      </w:pPr>
      <w:rPr>
        <w:rFonts w:hint="default"/>
      </w:rPr>
    </w:lvl>
    <w:lvl w:ilvl="6" w:tplc="D218771A">
      <w:numFmt w:val="bullet"/>
      <w:lvlText w:val="•"/>
      <w:lvlJc w:val="left"/>
      <w:pPr>
        <w:ind w:left="1588" w:hanging="100"/>
      </w:pPr>
      <w:rPr>
        <w:rFonts w:hint="default"/>
      </w:rPr>
    </w:lvl>
    <w:lvl w:ilvl="7" w:tplc="C1ECF4CA">
      <w:numFmt w:val="bullet"/>
      <w:lvlText w:val="•"/>
      <w:lvlJc w:val="left"/>
      <w:pPr>
        <w:ind w:left="1826" w:hanging="100"/>
      </w:pPr>
      <w:rPr>
        <w:rFonts w:hint="default"/>
      </w:rPr>
    </w:lvl>
    <w:lvl w:ilvl="8" w:tplc="9C7E0494">
      <w:numFmt w:val="bullet"/>
      <w:lvlText w:val="•"/>
      <w:lvlJc w:val="left"/>
      <w:pPr>
        <w:ind w:left="2064" w:hanging="100"/>
      </w:pPr>
      <w:rPr>
        <w:rFonts w:hint="default"/>
      </w:rPr>
    </w:lvl>
  </w:abstractNum>
  <w:abstractNum w:abstractNumId="605" w15:restartNumberingAfterBreak="0">
    <w:nsid w:val="26304837"/>
    <w:multiLevelType w:val="hybridMultilevel"/>
    <w:tmpl w:val="571AEC24"/>
    <w:lvl w:ilvl="0" w:tplc="A9824AB8">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E60E6416">
      <w:numFmt w:val="bullet"/>
      <w:lvlText w:val="•"/>
      <w:lvlJc w:val="left"/>
      <w:pPr>
        <w:ind w:left="426" w:hanging="105"/>
      </w:pPr>
      <w:rPr>
        <w:rFonts w:hint="default"/>
      </w:rPr>
    </w:lvl>
    <w:lvl w:ilvl="2" w:tplc="3B9051EA">
      <w:numFmt w:val="bullet"/>
      <w:lvlText w:val="•"/>
      <w:lvlJc w:val="left"/>
      <w:pPr>
        <w:ind w:left="692" w:hanging="105"/>
      </w:pPr>
      <w:rPr>
        <w:rFonts w:hint="default"/>
      </w:rPr>
    </w:lvl>
    <w:lvl w:ilvl="3" w:tplc="074EB618">
      <w:numFmt w:val="bullet"/>
      <w:lvlText w:val="•"/>
      <w:lvlJc w:val="left"/>
      <w:pPr>
        <w:ind w:left="959" w:hanging="105"/>
      </w:pPr>
      <w:rPr>
        <w:rFonts w:hint="default"/>
      </w:rPr>
    </w:lvl>
    <w:lvl w:ilvl="4" w:tplc="35428626">
      <w:numFmt w:val="bullet"/>
      <w:lvlText w:val="•"/>
      <w:lvlJc w:val="left"/>
      <w:pPr>
        <w:ind w:left="1225" w:hanging="105"/>
      </w:pPr>
      <w:rPr>
        <w:rFonts w:hint="default"/>
      </w:rPr>
    </w:lvl>
    <w:lvl w:ilvl="5" w:tplc="DFF65C42">
      <w:numFmt w:val="bullet"/>
      <w:lvlText w:val="•"/>
      <w:lvlJc w:val="left"/>
      <w:pPr>
        <w:ind w:left="1492" w:hanging="105"/>
      </w:pPr>
      <w:rPr>
        <w:rFonts w:hint="default"/>
      </w:rPr>
    </w:lvl>
    <w:lvl w:ilvl="6" w:tplc="C6006F9C">
      <w:numFmt w:val="bullet"/>
      <w:lvlText w:val="•"/>
      <w:lvlJc w:val="left"/>
      <w:pPr>
        <w:ind w:left="1758" w:hanging="105"/>
      </w:pPr>
      <w:rPr>
        <w:rFonts w:hint="default"/>
      </w:rPr>
    </w:lvl>
    <w:lvl w:ilvl="7" w:tplc="28B8A392">
      <w:numFmt w:val="bullet"/>
      <w:lvlText w:val="•"/>
      <w:lvlJc w:val="left"/>
      <w:pPr>
        <w:ind w:left="2024" w:hanging="105"/>
      </w:pPr>
      <w:rPr>
        <w:rFonts w:hint="default"/>
      </w:rPr>
    </w:lvl>
    <w:lvl w:ilvl="8" w:tplc="A71EA1F4">
      <w:numFmt w:val="bullet"/>
      <w:lvlText w:val="•"/>
      <w:lvlJc w:val="left"/>
      <w:pPr>
        <w:ind w:left="2291" w:hanging="105"/>
      </w:pPr>
      <w:rPr>
        <w:rFonts w:hint="default"/>
      </w:rPr>
    </w:lvl>
  </w:abstractNum>
  <w:abstractNum w:abstractNumId="606" w15:restartNumberingAfterBreak="0">
    <w:nsid w:val="2631729A"/>
    <w:multiLevelType w:val="hybridMultilevel"/>
    <w:tmpl w:val="927E9810"/>
    <w:lvl w:ilvl="0" w:tplc="1D944124">
      <w:numFmt w:val="bullet"/>
      <w:lvlText w:val=""/>
      <w:lvlJc w:val="left"/>
      <w:pPr>
        <w:ind w:left="156" w:hanging="100"/>
      </w:pPr>
      <w:rPr>
        <w:rFonts w:ascii="Symbol" w:eastAsia="Symbol" w:hAnsi="Symbol" w:cs="Symbol" w:hint="default"/>
        <w:color w:val="231F20"/>
        <w:w w:val="100"/>
        <w:sz w:val="14"/>
        <w:szCs w:val="14"/>
      </w:rPr>
    </w:lvl>
    <w:lvl w:ilvl="1" w:tplc="7FB027B8">
      <w:numFmt w:val="bullet"/>
      <w:lvlText w:val="•"/>
      <w:lvlJc w:val="left"/>
      <w:pPr>
        <w:ind w:left="426" w:hanging="100"/>
      </w:pPr>
      <w:rPr>
        <w:rFonts w:hint="default"/>
      </w:rPr>
    </w:lvl>
    <w:lvl w:ilvl="2" w:tplc="17764A92">
      <w:numFmt w:val="bullet"/>
      <w:lvlText w:val="•"/>
      <w:lvlJc w:val="left"/>
      <w:pPr>
        <w:ind w:left="692" w:hanging="100"/>
      </w:pPr>
      <w:rPr>
        <w:rFonts w:hint="default"/>
      </w:rPr>
    </w:lvl>
    <w:lvl w:ilvl="3" w:tplc="4F6A04E0">
      <w:numFmt w:val="bullet"/>
      <w:lvlText w:val="•"/>
      <w:lvlJc w:val="left"/>
      <w:pPr>
        <w:ind w:left="959" w:hanging="100"/>
      </w:pPr>
      <w:rPr>
        <w:rFonts w:hint="default"/>
      </w:rPr>
    </w:lvl>
    <w:lvl w:ilvl="4" w:tplc="3E083C76">
      <w:numFmt w:val="bullet"/>
      <w:lvlText w:val="•"/>
      <w:lvlJc w:val="left"/>
      <w:pPr>
        <w:ind w:left="1225" w:hanging="100"/>
      </w:pPr>
      <w:rPr>
        <w:rFonts w:hint="default"/>
      </w:rPr>
    </w:lvl>
    <w:lvl w:ilvl="5" w:tplc="04FA2466">
      <w:numFmt w:val="bullet"/>
      <w:lvlText w:val="•"/>
      <w:lvlJc w:val="left"/>
      <w:pPr>
        <w:ind w:left="1492" w:hanging="100"/>
      </w:pPr>
      <w:rPr>
        <w:rFonts w:hint="default"/>
      </w:rPr>
    </w:lvl>
    <w:lvl w:ilvl="6" w:tplc="D8BA08CA">
      <w:numFmt w:val="bullet"/>
      <w:lvlText w:val="•"/>
      <w:lvlJc w:val="left"/>
      <w:pPr>
        <w:ind w:left="1758" w:hanging="100"/>
      </w:pPr>
      <w:rPr>
        <w:rFonts w:hint="default"/>
      </w:rPr>
    </w:lvl>
    <w:lvl w:ilvl="7" w:tplc="98C8D64C">
      <w:numFmt w:val="bullet"/>
      <w:lvlText w:val="•"/>
      <w:lvlJc w:val="left"/>
      <w:pPr>
        <w:ind w:left="2024" w:hanging="100"/>
      </w:pPr>
      <w:rPr>
        <w:rFonts w:hint="default"/>
      </w:rPr>
    </w:lvl>
    <w:lvl w:ilvl="8" w:tplc="99F6057A">
      <w:numFmt w:val="bullet"/>
      <w:lvlText w:val="•"/>
      <w:lvlJc w:val="left"/>
      <w:pPr>
        <w:ind w:left="2291" w:hanging="100"/>
      </w:pPr>
      <w:rPr>
        <w:rFonts w:hint="default"/>
      </w:rPr>
    </w:lvl>
  </w:abstractNum>
  <w:abstractNum w:abstractNumId="607" w15:restartNumberingAfterBreak="0">
    <w:nsid w:val="26467A0A"/>
    <w:multiLevelType w:val="hybridMultilevel"/>
    <w:tmpl w:val="26BEB1F4"/>
    <w:lvl w:ilvl="0" w:tplc="6D4692FC">
      <w:numFmt w:val="bullet"/>
      <w:lvlText w:val=""/>
      <w:lvlJc w:val="left"/>
      <w:pPr>
        <w:ind w:left="156" w:hanging="100"/>
      </w:pPr>
      <w:rPr>
        <w:rFonts w:ascii="Symbol" w:eastAsia="Symbol" w:hAnsi="Symbol" w:cs="Symbol" w:hint="default"/>
        <w:color w:val="231F20"/>
        <w:w w:val="100"/>
        <w:sz w:val="14"/>
        <w:szCs w:val="14"/>
      </w:rPr>
    </w:lvl>
    <w:lvl w:ilvl="1" w:tplc="63482BDE">
      <w:numFmt w:val="bullet"/>
      <w:lvlText w:val="•"/>
      <w:lvlJc w:val="left"/>
      <w:pPr>
        <w:ind w:left="301" w:hanging="100"/>
      </w:pPr>
      <w:rPr>
        <w:rFonts w:hint="default"/>
      </w:rPr>
    </w:lvl>
    <w:lvl w:ilvl="2" w:tplc="381AC636">
      <w:numFmt w:val="bullet"/>
      <w:lvlText w:val="•"/>
      <w:lvlJc w:val="left"/>
      <w:pPr>
        <w:ind w:left="443" w:hanging="100"/>
      </w:pPr>
      <w:rPr>
        <w:rFonts w:hint="default"/>
      </w:rPr>
    </w:lvl>
    <w:lvl w:ilvl="3" w:tplc="7FB83E8A">
      <w:numFmt w:val="bullet"/>
      <w:lvlText w:val="•"/>
      <w:lvlJc w:val="left"/>
      <w:pPr>
        <w:ind w:left="585" w:hanging="100"/>
      </w:pPr>
      <w:rPr>
        <w:rFonts w:hint="default"/>
      </w:rPr>
    </w:lvl>
    <w:lvl w:ilvl="4" w:tplc="BC0EEBB6">
      <w:numFmt w:val="bullet"/>
      <w:lvlText w:val="•"/>
      <w:lvlJc w:val="left"/>
      <w:pPr>
        <w:ind w:left="726" w:hanging="100"/>
      </w:pPr>
      <w:rPr>
        <w:rFonts w:hint="default"/>
      </w:rPr>
    </w:lvl>
    <w:lvl w:ilvl="5" w:tplc="543ACF6E">
      <w:numFmt w:val="bullet"/>
      <w:lvlText w:val="•"/>
      <w:lvlJc w:val="left"/>
      <w:pPr>
        <w:ind w:left="868" w:hanging="100"/>
      </w:pPr>
      <w:rPr>
        <w:rFonts w:hint="default"/>
      </w:rPr>
    </w:lvl>
    <w:lvl w:ilvl="6" w:tplc="481A7840">
      <w:numFmt w:val="bullet"/>
      <w:lvlText w:val="•"/>
      <w:lvlJc w:val="left"/>
      <w:pPr>
        <w:ind w:left="1010" w:hanging="100"/>
      </w:pPr>
      <w:rPr>
        <w:rFonts w:hint="default"/>
      </w:rPr>
    </w:lvl>
    <w:lvl w:ilvl="7" w:tplc="941EB242">
      <w:numFmt w:val="bullet"/>
      <w:lvlText w:val="•"/>
      <w:lvlJc w:val="left"/>
      <w:pPr>
        <w:ind w:left="1151" w:hanging="100"/>
      </w:pPr>
      <w:rPr>
        <w:rFonts w:hint="default"/>
      </w:rPr>
    </w:lvl>
    <w:lvl w:ilvl="8" w:tplc="087E39BA">
      <w:numFmt w:val="bullet"/>
      <w:lvlText w:val="•"/>
      <w:lvlJc w:val="left"/>
      <w:pPr>
        <w:ind w:left="1293" w:hanging="100"/>
      </w:pPr>
      <w:rPr>
        <w:rFonts w:hint="default"/>
      </w:rPr>
    </w:lvl>
  </w:abstractNum>
  <w:abstractNum w:abstractNumId="608" w15:restartNumberingAfterBreak="0">
    <w:nsid w:val="26485A96"/>
    <w:multiLevelType w:val="hybridMultilevel"/>
    <w:tmpl w:val="096A9AC8"/>
    <w:lvl w:ilvl="0" w:tplc="887A3BAC">
      <w:numFmt w:val="bullet"/>
      <w:lvlText w:val=""/>
      <w:lvlJc w:val="left"/>
      <w:pPr>
        <w:ind w:left="156" w:hanging="100"/>
      </w:pPr>
      <w:rPr>
        <w:rFonts w:ascii="Symbol" w:eastAsia="Symbol" w:hAnsi="Symbol" w:cs="Symbol" w:hint="default"/>
        <w:color w:val="231F20"/>
        <w:w w:val="100"/>
        <w:sz w:val="14"/>
        <w:szCs w:val="14"/>
      </w:rPr>
    </w:lvl>
    <w:lvl w:ilvl="1" w:tplc="AF30533C">
      <w:numFmt w:val="bullet"/>
      <w:lvlText w:val="•"/>
      <w:lvlJc w:val="left"/>
      <w:pPr>
        <w:ind w:left="301" w:hanging="100"/>
      </w:pPr>
      <w:rPr>
        <w:rFonts w:hint="default"/>
      </w:rPr>
    </w:lvl>
    <w:lvl w:ilvl="2" w:tplc="9A949594">
      <w:numFmt w:val="bullet"/>
      <w:lvlText w:val="•"/>
      <w:lvlJc w:val="left"/>
      <w:pPr>
        <w:ind w:left="443" w:hanging="100"/>
      </w:pPr>
      <w:rPr>
        <w:rFonts w:hint="default"/>
      </w:rPr>
    </w:lvl>
    <w:lvl w:ilvl="3" w:tplc="B2444868">
      <w:numFmt w:val="bullet"/>
      <w:lvlText w:val="•"/>
      <w:lvlJc w:val="left"/>
      <w:pPr>
        <w:ind w:left="585" w:hanging="100"/>
      </w:pPr>
      <w:rPr>
        <w:rFonts w:hint="default"/>
      </w:rPr>
    </w:lvl>
    <w:lvl w:ilvl="4" w:tplc="0EFC33AA">
      <w:numFmt w:val="bullet"/>
      <w:lvlText w:val="•"/>
      <w:lvlJc w:val="left"/>
      <w:pPr>
        <w:ind w:left="726" w:hanging="100"/>
      </w:pPr>
      <w:rPr>
        <w:rFonts w:hint="default"/>
      </w:rPr>
    </w:lvl>
    <w:lvl w:ilvl="5" w:tplc="76249DAE">
      <w:numFmt w:val="bullet"/>
      <w:lvlText w:val="•"/>
      <w:lvlJc w:val="left"/>
      <w:pPr>
        <w:ind w:left="868" w:hanging="100"/>
      </w:pPr>
      <w:rPr>
        <w:rFonts w:hint="default"/>
      </w:rPr>
    </w:lvl>
    <w:lvl w:ilvl="6" w:tplc="C3D2D890">
      <w:numFmt w:val="bullet"/>
      <w:lvlText w:val="•"/>
      <w:lvlJc w:val="left"/>
      <w:pPr>
        <w:ind w:left="1010" w:hanging="100"/>
      </w:pPr>
      <w:rPr>
        <w:rFonts w:hint="default"/>
      </w:rPr>
    </w:lvl>
    <w:lvl w:ilvl="7" w:tplc="C91CCE0E">
      <w:numFmt w:val="bullet"/>
      <w:lvlText w:val="•"/>
      <w:lvlJc w:val="left"/>
      <w:pPr>
        <w:ind w:left="1151" w:hanging="100"/>
      </w:pPr>
      <w:rPr>
        <w:rFonts w:hint="default"/>
      </w:rPr>
    </w:lvl>
    <w:lvl w:ilvl="8" w:tplc="88F81402">
      <w:numFmt w:val="bullet"/>
      <w:lvlText w:val="•"/>
      <w:lvlJc w:val="left"/>
      <w:pPr>
        <w:ind w:left="1293" w:hanging="100"/>
      </w:pPr>
      <w:rPr>
        <w:rFonts w:hint="default"/>
      </w:rPr>
    </w:lvl>
  </w:abstractNum>
  <w:abstractNum w:abstractNumId="609" w15:restartNumberingAfterBreak="0">
    <w:nsid w:val="267D38DF"/>
    <w:multiLevelType w:val="hybridMultilevel"/>
    <w:tmpl w:val="F99427E0"/>
    <w:lvl w:ilvl="0" w:tplc="11A68078">
      <w:numFmt w:val="bullet"/>
      <w:lvlText w:val=""/>
      <w:lvlJc w:val="left"/>
      <w:pPr>
        <w:ind w:left="156" w:hanging="100"/>
      </w:pPr>
      <w:rPr>
        <w:rFonts w:ascii="Symbol" w:eastAsia="Symbol" w:hAnsi="Symbol" w:cs="Symbol" w:hint="default"/>
        <w:color w:val="231F20"/>
        <w:w w:val="100"/>
        <w:sz w:val="14"/>
        <w:szCs w:val="14"/>
      </w:rPr>
    </w:lvl>
    <w:lvl w:ilvl="1" w:tplc="D96C8458">
      <w:numFmt w:val="bullet"/>
      <w:lvlText w:val="•"/>
      <w:lvlJc w:val="left"/>
      <w:pPr>
        <w:ind w:left="398" w:hanging="100"/>
      </w:pPr>
      <w:rPr>
        <w:rFonts w:hint="default"/>
      </w:rPr>
    </w:lvl>
    <w:lvl w:ilvl="2" w:tplc="A7B0852C">
      <w:numFmt w:val="bullet"/>
      <w:lvlText w:val="•"/>
      <w:lvlJc w:val="left"/>
      <w:pPr>
        <w:ind w:left="636" w:hanging="100"/>
      </w:pPr>
      <w:rPr>
        <w:rFonts w:hint="default"/>
      </w:rPr>
    </w:lvl>
    <w:lvl w:ilvl="3" w:tplc="5DBC723C">
      <w:numFmt w:val="bullet"/>
      <w:lvlText w:val="•"/>
      <w:lvlJc w:val="left"/>
      <w:pPr>
        <w:ind w:left="874" w:hanging="100"/>
      </w:pPr>
      <w:rPr>
        <w:rFonts w:hint="default"/>
      </w:rPr>
    </w:lvl>
    <w:lvl w:ilvl="4" w:tplc="C53E5E96">
      <w:numFmt w:val="bullet"/>
      <w:lvlText w:val="•"/>
      <w:lvlJc w:val="left"/>
      <w:pPr>
        <w:ind w:left="1112" w:hanging="100"/>
      </w:pPr>
      <w:rPr>
        <w:rFonts w:hint="default"/>
      </w:rPr>
    </w:lvl>
    <w:lvl w:ilvl="5" w:tplc="119A8110">
      <w:numFmt w:val="bullet"/>
      <w:lvlText w:val="•"/>
      <w:lvlJc w:val="left"/>
      <w:pPr>
        <w:ind w:left="1350" w:hanging="100"/>
      </w:pPr>
      <w:rPr>
        <w:rFonts w:hint="default"/>
      </w:rPr>
    </w:lvl>
    <w:lvl w:ilvl="6" w:tplc="AE3821F8">
      <w:numFmt w:val="bullet"/>
      <w:lvlText w:val="•"/>
      <w:lvlJc w:val="left"/>
      <w:pPr>
        <w:ind w:left="1588" w:hanging="100"/>
      </w:pPr>
      <w:rPr>
        <w:rFonts w:hint="default"/>
      </w:rPr>
    </w:lvl>
    <w:lvl w:ilvl="7" w:tplc="9B8CF8B6">
      <w:numFmt w:val="bullet"/>
      <w:lvlText w:val="•"/>
      <w:lvlJc w:val="left"/>
      <w:pPr>
        <w:ind w:left="1826" w:hanging="100"/>
      </w:pPr>
      <w:rPr>
        <w:rFonts w:hint="default"/>
      </w:rPr>
    </w:lvl>
    <w:lvl w:ilvl="8" w:tplc="DF3A758C">
      <w:numFmt w:val="bullet"/>
      <w:lvlText w:val="•"/>
      <w:lvlJc w:val="left"/>
      <w:pPr>
        <w:ind w:left="2064" w:hanging="100"/>
      </w:pPr>
      <w:rPr>
        <w:rFonts w:hint="default"/>
      </w:rPr>
    </w:lvl>
  </w:abstractNum>
  <w:abstractNum w:abstractNumId="610" w15:restartNumberingAfterBreak="0">
    <w:nsid w:val="26A3664B"/>
    <w:multiLevelType w:val="hybridMultilevel"/>
    <w:tmpl w:val="29A4C2B0"/>
    <w:lvl w:ilvl="0" w:tplc="913048FA">
      <w:numFmt w:val="bullet"/>
      <w:lvlText w:val=""/>
      <w:lvlJc w:val="left"/>
      <w:pPr>
        <w:ind w:left="156" w:hanging="100"/>
      </w:pPr>
      <w:rPr>
        <w:rFonts w:ascii="Symbol" w:eastAsia="Symbol" w:hAnsi="Symbol" w:cs="Symbol" w:hint="default"/>
        <w:color w:val="231F20"/>
        <w:w w:val="100"/>
        <w:sz w:val="14"/>
        <w:szCs w:val="14"/>
      </w:rPr>
    </w:lvl>
    <w:lvl w:ilvl="1" w:tplc="18689450">
      <w:numFmt w:val="bullet"/>
      <w:lvlText w:val="•"/>
      <w:lvlJc w:val="left"/>
      <w:pPr>
        <w:ind w:left="398" w:hanging="100"/>
      </w:pPr>
      <w:rPr>
        <w:rFonts w:hint="default"/>
      </w:rPr>
    </w:lvl>
    <w:lvl w:ilvl="2" w:tplc="2E74692A">
      <w:numFmt w:val="bullet"/>
      <w:lvlText w:val="•"/>
      <w:lvlJc w:val="left"/>
      <w:pPr>
        <w:ind w:left="636" w:hanging="100"/>
      </w:pPr>
      <w:rPr>
        <w:rFonts w:hint="default"/>
      </w:rPr>
    </w:lvl>
    <w:lvl w:ilvl="3" w:tplc="CDBC4A6A">
      <w:numFmt w:val="bullet"/>
      <w:lvlText w:val="•"/>
      <w:lvlJc w:val="left"/>
      <w:pPr>
        <w:ind w:left="874" w:hanging="100"/>
      </w:pPr>
      <w:rPr>
        <w:rFonts w:hint="default"/>
      </w:rPr>
    </w:lvl>
    <w:lvl w:ilvl="4" w:tplc="58841170">
      <w:numFmt w:val="bullet"/>
      <w:lvlText w:val="•"/>
      <w:lvlJc w:val="left"/>
      <w:pPr>
        <w:ind w:left="1112" w:hanging="100"/>
      </w:pPr>
      <w:rPr>
        <w:rFonts w:hint="default"/>
      </w:rPr>
    </w:lvl>
    <w:lvl w:ilvl="5" w:tplc="4B1A712A">
      <w:numFmt w:val="bullet"/>
      <w:lvlText w:val="•"/>
      <w:lvlJc w:val="left"/>
      <w:pPr>
        <w:ind w:left="1350" w:hanging="100"/>
      </w:pPr>
      <w:rPr>
        <w:rFonts w:hint="default"/>
      </w:rPr>
    </w:lvl>
    <w:lvl w:ilvl="6" w:tplc="D674A1C6">
      <w:numFmt w:val="bullet"/>
      <w:lvlText w:val="•"/>
      <w:lvlJc w:val="left"/>
      <w:pPr>
        <w:ind w:left="1588" w:hanging="100"/>
      </w:pPr>
      <w:rPr>
        <w:rFonts w:hint="default"/>
      </w:rPr>
    </w:lvl>
    <w:lvl w:ilvl="7" w:tplc="9CB4191A">
      <w:numFmt w:val="bullet"/>
      <w:lvlText w:val="•"/>
      <w:lvlJc w:val="left"/>
      <w:pPr>
        <w:ind w:left="1826" w:hanging="100"/>
      </w:pPr>
      <w:rPr>
        <w:rFonts w:hint="default"/>
      </w:rPr>
    </w:lvl>
    <w:lvl w:ilvl="8" w:tplc="416AE82E">
      <w:numFmt w:val="bullet"/>
      <w:lvlText w:val="•"/>
      <w:lvlJc w:val="left"/>
      <w:pPr>
        <w:ind w:left="2064" w:hanging="100"/>
      </w:pPr>
      <w:rPr>
        <w:rFonts w:hint="default"/>
      </w:rPr>
    </w:lvl>
  </w:abstractNum>
  <w:abstractNum w:abstractNumId="611" w15:restartNumberingAfterBreak="0">
    <w:nsid w:val="26CD42F4"/>
    <w:multiLevelType w:val="hybridMultilevel"/>
    <w:tmpl w:val="89724BE0"/>
    <w:lvl w:ilvl="0" w:tplc="3DC4EEC2">
      <w:numFmt w:val="bullet"/>
      <w:lvlText w:val=""/>
      <w:lvlJc w:val="left"/>
      <w:pPr>
        <w:ind w:left="156" w:hanging="100"/>
      </w:pPr>
      <w:rPr>
        <w:rFonts w:ascii="Symbol" w:eastAsia="Symbol" w:hAnsi="Symbol" w:cs="Symbol" w:hint="default"/>
        <w:color w:val="231F20"/>
        <w:w w:val="100"/>
        <w:sz w:val="14"/>
        <w:szCs w:val="14"/>
      </w:rPr>
    </w:lvl>
    <w:lvl w:ilvl="1" w:tplc="171CCCBA">
      <w:numFmt w:val="bullet"/>
      <w:lvlText w:val="•"/>
      <w:lvlJc w:val="left"/>
      <w:pPr>
        <w:ind w:left="398" w:hanging="100"/>
      </w:pPr>
      <w:rPr>
        <w:rFonts w:hint="default"/>
      </w:rPr>
    </w:lvl>
    <w:lvl w:ilvl="2" w:tplc="B1E64936">
      <w:numFmt w:val="bullet"/>
      <w:lvlText w:val="•"/>
      <w:lvlJc w:val="left"/>
      <w:pPr>
        <w:ind w:left="636" w:hanging="100"/>
      </w:pPr>
      <w:rPr>
        <w:rFonts w:hint="default"/>
      </w:rPr>
    </w:lvl>
    <w:lvl w:ilvl="3" w:tplc="F5F8CF6C">
      <w:numFmt w:val="bullet"/>
      <w:lvlText w:val="•"/>
      <w:lvlJc w:val="left"/>
      <w:pPr>
        <w:ind w:left="874" w:hanging="100"/>
      </w:pPr>
      <w:rPr>
        <w:rFonts w:hint="default"/>
      </w:rPr>
    </w:lvl>
    <w:lvl w:ilvl="4" w:tplc="10943ACC">
      <w:numFmt w:val="bullet"/>
      <w:lvlText w:val="•"/>
      <w:lvlJc w:val="left"/>
      <w:pPr>
        <w:ind w:left="1112" w:hanging="100"/>
      </w:pPr>
      <w:rPr>
        <w:rFonts w:hint="default"/>
      </w:rPr>
    </w:lvl>
    <w:lvl w:ilvl="5" w:tplc="F9E43AFC">
      <w:numFmt w:val="bullet"/>
      <w:lvlText w:val="•"/>
      <w:lvlJc w:val="left"/>
      <w:pPr>
        <w:ind w:left="1350" w:hanging="100"/>
      </w:pPr>
      <w:rPr>
        <w:rFonts w:hint="default"/>
      </w:rPr>
    </w:lvl>
    <w:lvl w:ilvl="6" w:tplc="52E2FBDA">
      <w:numFmt w:val="bullet"/>
      <w:lvlText w:val="•"/>
      <w:lvlJc w:val="left"/>
      <w:pPr>
        <w:ind w:left="1588" w:hanging="100"/>
      </w:pPr>
      <w:rPr>
        <w:rFonts w:hint="default"/>
      </w:rPr>
    </w:lvl>
    <w:lvl w:ilvl="7" w:tplc="759A08EE">
      <w:numFmt w:val="bullet"/>
      <w:lvlText w:val="•"/>
      <w:lvlJc w:val="left"/>
      <w:pPr>
        <w:ind w:left="1826" w:hanging="100"/>
      </w:pPr>
      <w:rPr>
        <w:rFonts w:hint="default"/>
      </w:rPr>
    </w:lvl>
    <w:lvl w:ilvl="8" w:tplc="147E85C0">
      <w:numFmt w:val="bullet"/>
      <w:lvlText w:val="•"/>
      <w:lvlJc w:val="left"/>
      <w:pPr>
        <w:ind w:left="2064" w:hanging="100"/>
      </w:pPr>
      <w:rPr>
        <w:rFonts w:hint="default"/>
      </w:rPr>
    </w:lvl>
  </w:abstractNum>
  <w:abstractNum w:abstractNumId="612" w15:restartNumberingAfterBreak="0">
    <w:nsid w:val="26EA17C0"/>
    <w:multiLevelType w:val="hybridMultilevel"/>
    <w:tmpl w:val="931285AE"/>
    <w:lvl w:ilvl="0" w:tplc="07743270">
      <w:numFmt w:val="bullet"/>
      <w:lvlText w:val=""/>
      <w:lvlJc w:val="left"/>
      <w:pPr>
        <w:ind w:left="156" w:hanging="100"/>
      </w:pPr>
      <w:rPr>
        <w:rFonts w:ascii="Symbol" w:eastAsia="Symbol" w:hAnsi="Symbol" w:cs="Symbol" w:hint="default"/>
        <w:color w:val="231F20"/>
        <w:w w:val="100"/>
        <w:sz w:val="14"/>
        <w:szCs w:val="14"/>
      </w:rPr>
    </w:lvl>
    <w:lvl w:ilvl="1" w:tplc="4E7C7D82">
      <w:numFmt w:val="bullet"/>
      <w:lvlText w:val="•"/>
      <w:lvlJc w:val="left"/>
      <w:pPr>
        <w:ind w:left="301" w:hanging="100"/>
      </w:pPr>
      <w:rPr>
        <w:rFonts w:hint="default"/>
      </w:rPr>
    </w:lvl>
    <w:lvl w:ilvl="2" w:tplc="528AF1DE">
      <w:numFmt w:val="bullet"/>
      <w:lvlText w:val="•"/>
      <w:lvlJc w:val="left"/>
      <w:pPr>
        <w:ind w:left="443" w:hanging="100"/>
      </w:pPr>
      <w:rPr>
        <w:rFonts w:hint="default"/>
      </w:rPr>
    </w:lvl>
    <w:lvl w:ilvl="3" w:tplc="75747592">
      <w:numFmt w:val="bullet"/>
      <w:lvlText w:val="•"/>
      <w:lvlJc w:val="left"/>
      <w:pPr>
        <w:ind w:left="585" w:hanging="100"/>
      </w:pPr>
      <w:rPr>
        <w:rFonts w:hint="default"/>
      </w:rPr>
    </w:lvl>
    <w:lvl w:ilvl="4" w:tplc="D08AC35C">
      <w:numFmt w:val="bullet"/>
      <w:lvlText w:val="•"/>
      <w:lvlJc w:val="left"/>
      <w:pPr>
        <w:ind w:left="726" w:hanging="100"/>
      </w:pPr>
      <w:rPr>
        <w:rFonts w:hint="default"/>
      </w:rPr>
    </w:lvl>
    <w:lvl w:ilvl="5" w:tplc="231066E6">
      <w:numFmt w:val="bullet"/>
      <w:lvlText w:val="•"/>
      <w:lvlJc w:val="left"/>
      <w:pPr>
        <w:ind w:left="868" w:hanging="100"/>
      </w:pPr>
      <w:rPr>
        <w:rFonts w:hint="default"/>
      </w:rPr>
    </w:lvl>
    <w:lvl w:ilvl="6" w:tplc="DF1AA272">
      <w:numFmt w:val="bullet"/>
      <w:lvlText w:val="•"/>
      <w:lvlJc w:val="left"/>
      <w:pPr>
        <w:ind w:left="1010" w:hanging="100"/>
      </w:pPr>
      <w:rPr>
        <w:rFonts w:hint="default"/>
      </w:rPr>
    </w:lvl>
    <w:lvl w:ilvl="7" w:tplc="9336FB06">
      <w:numFmt w:val="bullet"/>
      <w:lvlText w:val="•"/>
      <w:lvlJc w:val="left"/>
      <w:pPr>
        <w:ind w:left="1151" w:hanging="100"/>
      </w:pPr>
      <w:rPr>
        <w:rFonts w:hint="default"/>
      </w:rPr>
    </w:lvl>
    <w:lvl w:ilvl="8" w:tplc="C490739C">
      <w:numFmt w:val="bullet"/>
      <w:lvlText w:val="•"/>
      <w:lvlJc w:val="left"/>
      <w:pPr>
        <w:ind w:left="1293" w:hanging="100"/>
      </w:pPr>
      <w:rPr>
        <w:rFonts w:hint="default"/>
      </w:rPr>
    </w:lvl>
  </w:abstractNum>
  <w:abstractNum w:abstractNumId="613" w15:restartNumberingAfterBreak="0">
    <w:nsid w:val="26F379F2"/>
    <w:multiLevelType w:val="hybridMultilevel"/>
    <w:tmpl w:val="F568575E"/>
    <w:lvl w:ilvl="0" w:tplc="37FAD26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57E21188">
      <w:numFmt w:val="bullet"/>
      <w:lvlText w:val="•"/>
      <w:lvlJc w:val="left"/>
      <w:pPr>
        <w:ind w:left="408" w:hanging="84"/>
      </w:pPr>
      <w:rPr>
        <w:rFonts w:hint="default"/>
      </w:rPr>
    </w:lvl>
    <w:lvl w:ilvl="2" w:tplc="00308F4C">
      <w:numFmt w:val="bullet"/>
      <w:lvlText w:val="•"/>
      <w:lvlJc w:val="left"/>
      <w:pPr>
        <w:ind w:left="676" w:hanging="84"/>
      </w:pPr>
      <w:rPr>
        <w:rFonts w:hint="default"/>
      </w:rPr>
    </w:lvl>
    <w:lvl w:ilvl="3" w:tplc="B9FC9874">
      <w:numFmt w:val="bullet"/>
      <w:lvlText w:val="•"/>
      <w:lvlJc w:val="left"/>
      <w:pPr>
        <w:ind w:left="945" w:hanging="84"/>
      </w:pPr>
      <w:rPr>
        <w:rFonts w:hint="default"/>
      </w:rPr>
    </w:lvl>
    <w:lvl w:ilvl="4" w:tplc="0194F85C">
      <w:numFmt w:val="bullet"/>
      <w:lvlText w:val="•"/>
      <w:lvlJc w:val="left"/>
      <w:pPr>
        <w:ind w:left="1213" w:hanging="84"/>
      </w:pPr>
      <w:rPr>
        <w:rFonts w:hint="default"/>
      </w:rPr>
    </w:lvl>
    <w:lvl w:ilvl="5" w:tplc="73E46E24">
      <w:numFmt w:val="bullet"/>
      <w:lvlText w:val="•"/>
      <w:lvlJc w:val="left"/>
      <w:pPr>
        <w:ind w:left="1482" w:hanging="84"/>
      </w:pPr>
      <w:rPr>
        <w:rFonts w:hint="default"/>
      </w:rPr>
    </w:lvl>
    <w:lvl w:ilvl="6" w:tplc="D528E73C">
      <w:numFmt w:val="bullet"/>
      <w:lvlText w:val="•"/>
      <w:lvlJc w:val="left"/>
      <w:pPr>
        <w:ind w:left="1750" w:hanging="84"/>
      </w:pPr>
      <w:rPr>
        <w:rFonts w:hint="default"/>
      </w:rPr>
    </w:lvl>
    <w:lvl w:ilvl="7" w:tplc="6CE889C4">
      <w:numFmt w:val="bullet"/>
      <w:lvlText w:val="•"/>
      <w:lvlJc w:val="left"/>
      <w:pPr>
        <w:ind w:left="2018" w:hanging="84"/>
      </w:pPr>
      <w:rPr>
        <w:rFonts w:hint="default"/>
      </w:rPr>
    </w:lvl>
    <w:lvl w:ilvl="8" w:tplc="846815A0">
      <w:numFmt w:val="bullet"/>
      <w:lvlText w:val="•"/>
      <w:lvlJc w:val="left"/>
      <w:pPr>
        <w:ind w:left="2287" w:hanging="84"/>
      </w:pPr>
      <w:rPr>
        <w:rFonts w:hint="default"/>
      </w:rPr>
    </w:lvl>
  </w:abstractNum>
  <w:abstractNum w:abstractNumId="614" w15:restartNumberingAfterBreak="0">
    <w:nsid w:val="270E7C96"/>
    <w:multiLevelType w:val="hybridMultilevel"/>
    <w:tmpl w:val="C60AF176"/>
    <w:lvl w:ilvl="0" w:tplc="E396916C">
      <w:numFmt w:val="bullet"/>
      <w:lvlText w:val=""/>
      <w:lvlJc w:val="left"/>
      <w:pPr>
        <w:ind w:left="156" w:hanging="100"/>
      </w:pPr>
      <w:rPr>
        <w:rFonts w:ascii="Symbol" w:eastAsia="Symbol" w:hAnsi="Symbol" w:cs="Symbol" w:hint="default"/>
        <w:color w:val="231F20"/>
        <w:w w:val="100"/>
        <w:sz w:val="14"/>
        <w:szCs w:val="14"/>
      </w:rPr>
    </w:lvl>
    <w:lvl w:ilvl="1" w:tplc="5BC62140">
      <w:numFmt w:val="bullet"/>
      <w:lvlText w:val="•"/>
      <w:lvlJc w:val="left"/>
      <w:pPr>
        <w:ind w:left="398" w:hanging="100"/>
      </w:pPr>
      <w:rPr>
        <w:rFonts w:hint="default"/>
      </w:rPr>
    </w:lvl>
    <w:lvl w:ilvl="2" w:tplc="FDE8687A">
      <w:numFmt w:val="bullet"/>
      <w:lvlText w:val="•"/>
      <w:lvlJc w:val="left"/>
      <w:pPr>
        <w:ind w:left="636" w:hanging="100"/>
      </w:pPr>
      <w:rPr>
        <w:rFonts w:hint="default"/>
      </w:rPr>
    </w:lvl>
    <w:lvl w:ilvl="3" w:tplc="951CBC04">
      <w:numFmt w:val="bullet"/>
      <w:lvlText w:val="•"/>
      <w:lvlJc w:val="left"/>
      <w:pPr>
        <w:ind w:left="874" w:hanging="100"/>
      </w:pPr>
      <w:rPr>
        <w:rFonts w:hint="default"/>
      </w:rPr>
    </w:lvl>
    <w:lvl w:ilvl="4" w:tplc="7B2E0320">
      <w:numFmt w:val="bullet"/>
      <w:lvlText w:val="•"/>
      <w:lvlJc w:val="left"/>
      <w:pPr>
        <w:ind w:left="1112" w:hanging="100"/>
      </w:pPr>
      <w:rPr>
        <w:rFonts w:hint="default"/>
      </w:rPr>
    </w:lvl>
    <w:lvl w:ilvl="5" w:tplc="5D12DBBC">
      <w:numFmt w:val="bullet"/>
      <w:lvlText w:val="•"/>
      <w:lvlJc w:val="left"/>
      <w:pPr>
        <w:ind w:left="1350" w:hanging="100"/>
      </w:pPr>
      <w:rPr>
        <w:rFonts w:hint="default"/>
      </w:rPr>
    </w:lvl>
    <w:lvl w:ilvl="6" w:tplc="4A4CD1A4">
      <w:numFmt w:val="bullet"/>
      <w:lvlText w:val="•"/>
      <w:lvlJc w:val="left"/>
      <w:pPr>
        <w:ind w:left="1588" w:hanging="100"/>
      </w:pPr>
      <w:rPr>
        <w:rFonts w:hint="default"/>
      </w:rPr>
    </w:lvl>
    <w:lvl w:ilvl="7" w:tplc="0E4A9658">
      <w:numFmt w:val="bullet"/>
      <w:lvlText w:val="•"/>
      <w:lvlJc w:val="left"/>
      <w:pPr>
        <w:ind w:left="1826" w:hanging="100"/>
      </w:pPr>
      <w:rPr>
        <w:rFonts w:hint="default"/>
      </w:rPr>
    </w:lvl>
    <w:lvl w:ilvl="8" w:tplc="3264B53E">
      <w:numFmt w:val="bullet"/>
      <w:lvlText w:val="•"/>
      <w:lvlJc w:val="left"/>
      <w:pPr>
        <w:ind w:left="2064" w:hanging="100"/>
      </w:pPr>
      <w:rPr>
        <w:rFonts w:hint="default"/>
      </w:rPr>
    </w:lvl>
  </w:abstractNum>
  <w:abstractNum w:abstractNumId="615" w15:restartNumberingAfterBreak="0">
    <w:nsid w:val="27470F6C"/>
    <w:multiLevelType w:val="hybridMultilevel"/>
    <w:tmpl w:val="9266C2D4"/>
    <w:lvl w:ilvl="0" w:tplc="E0E09236">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8C24CE50">
      <w:numFmt w:val="bullet"/>
      <w:lvlText w:val="•"/>
      <w:lvlJc w:val="left"/>
      <w:pPr>
        <w:ind w:left="351" w:hanging="84"/>
      </w:pPr>
      <w:rPr>
        <w:rFonts w:hint="default"/>
      </w:rPr>
    </w:lvl>
    <w:lvl w:ilvl="2" w:tplc="53E4EA32">
      <w:numFmt w:val="bullet"/>
      <w:lvlText w:val="•"/>
      <w:lvlJc w:val="left"/>
      <w:pPr>
        <w:ind w:left="563" w:hanging="84"/>
      </w:pPr>
      <w:rPr>
        <w:rFonts w:hint="default"/>
      </w:rPr>
    </w:lvl>
    <w:lvl w:ilvl="3" w:tplc="3D0ECF60">
      <w:numFmt w:val="bullet"/>
      <w:lvlText w:val="•"/>
      <w:lvlJc w:val="left"/>
      <w:pPr>
        <w:ind w:left="775" w:hanging="84"/>
      </w:pPr>
      <w:rPr>
        <w:rFonts w:hint="default"/>
      </w:rPr>
    </w:lvl>
    <w:lvl w:ilvl="4" w:tplc="300E0C32">
      <w:numFmt w:val="bullet"/>
      <w:lvlText w:val="•"/>
      <w:lvlJc w:val="left"/>
      <w:pPr>
        <w:ind w:left="986" w:hanging="84"/>
      </w:pPr>
      <w:rPr>
        <w:rFonts w:hint="default"/>
      </w:rPr>
    </w:lvl>
    <w:lvl w:ilvl="5" w:tplc="23DE5ADE">
      <w:numFmt w:val="bullet"/>
      <w:lvlText w:val="•"/>
      <w:lvlJc w:val="left"/>
      <w:pPr>
        <w:ind w:left="1198" w:hanging="84"/>
      </w:pPr>
      <w:rPr>
        <w:rFonts w:hint="default"/>
      </w:rPr>
    </w:lvl>
    <w:lvl w:ilvl="6" w:tplc="8FC272FC">
      <w:numFmt w:val="bullet"/>
      <w:lvlText w:val="•"/>
      <w:lvlJc w:val="left"/>
      <w:pPr>
        <w:ind w:left="1410" w:hanging="84"/>
      </w:pPr>
      <w:rPr>
        <w:rFonts w:hint="default"/>
      </w:rPr>
    </w:lvl>
    <w:lvl w:ilvl="7" w:tplc="9990909A">
      <w:numFmt w:val="bullet"/>
      <w:lvlText w:val="•"/>
      <w:lvlJc w:val="left"/>
      <w:pPr>
        <w:ind w:left="1621" w:hanging="84"/>
      </w:pPr>
      <w:rPr>
        <w:rFonts w:hint="default"/>
      </w:rPr>
    </w:lvl>
    <w:lvl w:ilvl="8" w:tplc="E9A4F188">
      <w:numFmt w:val="bullet"/>
      <w:lvlText w:val="•"/>
      <w:lvlJc w:val="left"/>
      <w:pPr>
        <w:ind w:left="1833" w:hanging="84"/>
      </w:pPr>
      <w:rPr>
        <w:rFonts w:hint="default"/>
      </w:rPr>
    </w:lvl>
  </w:abstractNum>
  <w:abstractNum w:abstractNumId="616" w15:restartNumberingAfterBreak="0">
    <w:nsid w:val="27593200"/>
    <w:multiLevelType w:val="hybridMultilevel"/>
    <w:tmpl w:val="D992759C"/>
    <w:lvl w:ilvl="0" w:tplc="86B420EA">
      <w:numFmt w:val="bullet"/>
      <w:lvlText w:val="–"/>
      <w:lvlJc w:val="left"/>
      <w:pPr>
        <w:ind w:left="163" w:hanging="105"/>
      </w:pPr>
      <w:rPr>
        <w:rFonts w:ascii="Times New Roman" w:eastAsia="Times New Roman" w:hAnsi="Times New Roman" w:cs="Times New Roman" w:hint="default"/>
        <w:color w:val="231F20"/>
        <w:spacing w:val="-8"/>
        <w:w w:val="100"/>
        <w:sz w:val="14"/>
        <w:szCs w:val="14"/>
      </w:rPr>
    </w:lvl>
    <w:lvl w:ilvl="1" w:tplc="F594B728">
      <w:numFmt w:val="bullet"/>
      <w:lvlText w:val="•"/>
      <w:lvlJc w:val="left"/>
      <w:pPr>
        <w:ind w:left="426" w:hanging="105"/>
      </w:pPr>
      <w:rPr>
        <w:rFonts w:hint="default"/>
      </w:rPr>
    </w:lvl>
    <w:lvl w:ilvl="2" w:tplc="2046A3B6">
      <w:numFmt w:val="bullet"/>
      <w:lvlText w:val="•"/>
      <w:lvlJc w:val="left"/>
      <w:pPr>
        <w:ind w:left="692" w:hanging="105"/>
      </w:pPr>
      <w:rPr>
        <w:rFonts w:hint="default"/>
      </w:rPr>
    </w:lvl>
    <w:lvl w:ilvl="3" w:tplc="1F48899A">
      <w:numFmt w:val="bullet"/>
      <w:lvlText w:val="•"/>
      <w:lvlJc w:val="left"/>
      <w:pPr>
        <w:ind w:left="959" w:hanging="105"/>
      </w:pPr>
      <w:rPr>
        <w:rFonts w:hint="default"/>
      </w:rPr>
    </w:lvl>
    <w:lvl w:ilvl="4" w:tplc="4D6EE27E">
      <w:numFmt w:val="bullet"/>
      <w:lvlText w:val="•"/>
      <w:lvlJc w:val="left"/>
      <w:pPr>
        <w:ind w:left="1225" w:hanging="105"/>
      </w:pPr>
      <w:rPr>
        <w:rFonts w:hint="default"/>
      </w:rPr>
    </w:lvl>
    <w:lvl w:ilvl="5" w:tplc="BB7070B4">
      <w:numFmt w:val="bullet"/>
      <w:lvlText w:val="•"/>
      <w:lvlJc w:val="left"/>
      <w:pPr>
        <w:ind w:left="1492" w:hanging="105"/>
      </w:pPr>
      <w:rPr>
        <w:rFonts w:hint="default"/>
      </w:rPr>
    </w:lvl>
    <w:lvl w:ilvl="6" w:tplc="0CF462EC">
      <w:numFmt w:val="bullet"/>
      <w:lvlText w:val="•"/>
      <w:lvlJc w:val="left"/>
      <w:pPr>
        <w:ind w:left="1758" w:hanging="105"/>
      </w:pPr>
      <w:rPr>
        <w:rFonts w:hint="default"/>
      </w:rPr>
    </w:lvl>
    <w:lvl w:ilvl="7" w:tplc="78CE1668">
      <w:numFmt w:val="bullet"/>
      <w:lvlText w:val="•"/>
      <w:lvlJc w:val="left"/>
      <w:pPr>
        <w:ind w:left="2024" w:hanging="105"/>
      </w:pPr>
      <w:rPr>
        <w:rFonts w:hint="default"/>
      </w:rPr>
    </w:lvl>
    <w:lvl w:ilvl="8" w:tplc="00AC31CA">
      <w:numFmt w:val="bullet"/>
      <w:lvlText w:val="•"/>
      <w:lvlJc w:val="left"/>
      <w:pPr>
        <w:ind w:left="2291" w:hanging="105"/>
      </w:pPr>
      <w:rPr>
        <w:rFonts w:hint="default"/>
      </w:rPr>
    </w:lvl>
  </w:abstractNum>
  <w:abstractNum w:abstractNumId="617" w15:restartNumberingAfterBreak="0">
    <w:nsid w:val="27621C37"/>
    <w:multiLevelType w:val="hybridMultilevel"/>
    <w:tmpl w:val="1B0A9478"/>
    <w:lvl w:ilvl="0" w:tplc="591E548A">
      <w:numFmt w:val="bullet"/>
      <w:lvlText w:val=""/>
      <w:lvlJc w:val="left"/>
      <w:pPr>
        <w:ind w:left="156" w:hanging="100"/>
      </w:pPr>
      <w:rPr>
        <w:rFonts w:ascii="Symbol" w:eastAsia="Symbol" w:hAnsi="Symbol" w:cs="Symbol" w:hint="default"/>
        <w:color w:val="231F20"/>
        <w:w w:val="100"/>
        <w:sz w:val="14"/>
        <w:szCs w:val="14"/>
      </w:rPr>
    </w:lvl>
    <w:lvl w:ilvl="1" w:tplc="CB8C48C0">
      <w:numFmt w:val="bullet"/>
      <w:lvlText w:val="•"/>
      <w:lvlJc w:val="left"/>
      <w:pPr>
        <w:ind w:left="398" w:hanging="100"/>
      </w:pPr>
      <w:rPr>
        <w:rFonts w:hint="default"/>
      </w:rPr>
    </w:lvl>
    <w:lvl w:ilvl="2" w:tplc="67F8361C">
      <w:numFmt w:val="bullet"/>
      <w:lvlText w:val="•"/>
      <w:lvlJc w:val="left"/>
      <w:pPr>
        <w:ind w:left="636" w:hanging="100"/>
      </w:pPr>
      <w:rPr>
        <w:rFonts w:hint="default"/>
      </w:rPr>
    </w:lvl>
    <w:lvl w:ilvl="3" w:tplc="5CEE6C98">
      <w:numFmt w:val="bullet"/>
      <w:lvlText w:val="•"/>
      <w:lvlJc w:val="left"/>
      <w:pPr>
        <w:ind w:left="874" w:hanging="100"/>
      </w:pPr>
      <w:rPr>
        <w:rFonts w:hint="default"/>
      </w:rPr>
    </w:lvl>
    <w:lvl w:ilvl="4" w:tplc="74F0BFD2">
      <w:numFmt w:val="bullet"/>
      <w:lvlText w:val="•"/>
      <w:lvlJc w:val="left"/>
      <w:pPr>
        <w:ind w:left="1112" w:hanging="100"/>
      </w:pPr>
      <w:rPr>
        <w:rFonts w:hint="default"/>
      </w:rPr>
    </w:lvl>
    <w:lvl w:ilvl="5" w:tplc="7F2C51DC">
      <w:numFmt w:val="bullet"/>
      <w:lvlText w:val="•"/>
      <w:lvlJc w:val="left"/>
      <w:pPr>
        <w:ind w:left="1350" w:hanging="100"/>
      </w:pPr>
      <w:rPr>
        <w:rFonts w:hint="default"/>
      </w:rPr>
    </w:lvl>
    <w:lvl w:ilvl="6" w:tplc="DE1ECA32">
      <w:numFmt w:val="bullet"/>
      <w:lvlText w:val="•"/>
      <w:lvlJc w:val="left"/>
      <w:pPr>
        <w:ind w:left="1588" w:hanging="100"/>
      </w:pPr>
      <w:rPr>
        <w:rFonts w:hint="default"/>
      </w:rPr>
    </w:lvl>
    <w:lvl w:ilvl="7" w:tplc="6D9EA736">
      <w:numFmt w:val="bullet"/>
      <w:lvlText w:val="•"/>
      <w:lvlJc w:val="left"/>
      <w:pPr>
        <w:ind w:left="1826" w:hanging="100"/>
      </w:pPr>
      <w:rPr>
        <w:rFonts w:hint="default"/>
      </w:rPr>
    </w:lvl>
    <w:lvl w:ilvl="8" w:tplc="35F8BB8C">
      <w:numFmt w:val="bullet"/>
      <w:lvlText w:val="•"/>
      <w:lvlJc w:val="left"/>
      <w:pPr>
        <w:ind w:left="2064" w:hanging="100"/>
      </w:pPr>
      <w:rPr>
        <w:rFonts w:hint="default"/>
      </w:rPr>
    </w:lvl>
  </w:abstractNum>
  <w:abstractNum w:abstractNumId="618" w15:restartNumberingAfterBreak="0">
    <w:nsid w:val="27825BEF"/>
    <w:multiLevelType w:val="hybridMultilevel"/>
    <w:tmpl w:val="6C9AEF4E"/>
    <w:lvl w:ilvl="0" w:tplc="2702BC40">
      <w:numFmt w:val="bullet"/>
      <w:lvlText w:val=""/>
      <w:lvlJc w:val="left"/>
      <w:pPr>
        <w:ind w:left="156" w:hanging="100"/>
      </w:pPr>
      <w:rPr>
        <w:rFonts w:ascii="Symbol" w:eastAsia="Symbol" w:hAnsi="Symbol" w:cs="Symbol" w:hint="default"/>
        <w:color w:val="231F20"/>
        <w:w w:val="100"/>
        <w:sz w:val="14"/>
        <w:szCs w:val="14"/>
      </w:rPr>
    </w:lvl>
    <w:lvl w:ilvl="1" w:tplc="9C18ECB0">
      <w:numFmt w:val="bullet"/>
      <w:lvlText w:val="•"/>
      <w:lvlJc w:val="left"/>
      <w:pPr>
        <w:ind w:left="301" w:hanging="100"/>
      </w:pPr>
      <w:rPr>
        <w:rFonts w:hint="default"/>
      </w:rPr>
    </w:lvl>
    <w:lvl w:ilvl="2" w:tplc="A9DA9372">
      <w:numFmt w:val="bullet"/>
      <w:lvlText w:val="•"/>
      <w:lvlJc w:val="left"/>
      <w:pPr>
        <w:ind w:left="443" w:hanging="100"/>
      </w:pPr>
      <w:rPr>
        <w:rFonts w:hint="default"/>
      </w:rPr>
    </w:lvl>
    <w:lvl w:ilvl="3" w:tplc="043813E8">
      <w:numFmt w:val="bullet"/>
      <w:lvlText w:val="•"/>
      <w:lvlJc w:val="left"/>
      <w:pPr>
        <w:ind w:left="585" w:hanging="100"/>
      </w:pPr>
      <w:rPr>
        <w:rFonts w:hint="default"/>
      </w:rPr>
    </w:lvl>
    <w:lvl w:ilvl="4" w:tplc="ED58D538">
      <w:numFmt w:val="bullet"/>
      <w:lvlText w:val="•"/>
      <w:lvlJc w:val="left"/>
      <w:pPr>
        <w:ind w:left="726" w:hanging="100"/>
      </w:pPr>
      <w:rPr>
        <w:rFonts w:hint="default"/>
      </w:rPr>
    </w:lvl>
    <w:lvl w:ilvl="5" w:tplc="52F845CA">
      <w:numFmt w:val="bullet"/>
      <w:lvlText w:val="•"/>
      <w:lvlJc w:val="left"/>
      <w:pPr>
        <w:ind w:left="868" w:hanging="100"/>
      </w:pPr>
      <w:rPr>
        <w:rFonts w:hint="default"/>
      </w:rPr>
    </w:lvl>
    <w:lvl w:ilvl="6" w:tplc="BF9E8966">
      <w:numFmt w:val="bullet"/>
      <w:lvlText w:val="•"/>
      <w:lvlJc w:val="left"/>
      <w:pPr>
        <w:ind w:left="1010" w:hanging="100"/>
      </w:pPr>
      <w:rPr>
        <w:rFonts w:hint="default"/>
      </w:rPr>
    </w:lvl>
    <w:lvl w:ilvl="7" w:tplc="A1A25506">
      <w:numFmt w:val="bullet"/>
      <w:lvlText w:val="•"/>
      <w:lvlJc w:val="left"/>
      <w:pPr>
        <w:ind w:left="1151" w:hanging="100"/>
      </w:pPr>
      <w:rPr>
        <w:rFonts w:hint="default"/>
      </w:rPr>
    </w:lvl>
    <w:lvl w:ilvl="8" w:tplc="25F47C70">
      <w:numFmt w:val="bullet"/>
      <w:lvlText w:val="•"/>
      <w:lvlJc w:val="left"/>
      <w:pPr>
        <w:ind w:left="1293" w:hanging="100"/>
      </w:pPr>
      <w:rPr>
        <w:rFonts w:hint="default"/>
      </w:rPr>
    </w:lvl>
  </w:abstractNum>
  <w:abstractNum w:abstractNumId="619" w15:restartNumberingAfterBreak="0">
    <w:nsid w:val="27830A18"/>
    <w:multiLevelType w:val="hybridMultilevel"/>
    <w:tmpl w:val="DBC813FA"/>
    <w:lvl w:ilvl="0" w:tplc="C5F4A6A6">
      <w:numFmt w:val="bullet"/>
      <w:lvlText w:val=""/>
      <w:lvlJc w:val="left"/>
      <w:pPr>
        <w:ind w:left="156" w:hanging="100"/>
      </w:pPr>
      <w:rPr>
        <w:rFonts w:ascii="Symbol" w:eastAsia="Symbol" w:hAnsi="Symbol" w:cs="Symbol" w:hint="default"/>
        <w:color w:val="231F20"/>
        <w:w w:val="100"/>
        <w:sz w:val="14"/>
        <w:szCs w:val="14"/>
      </w:rPr>
    </w:lvl>
    <w:lvl w:ilvl="1" w:tplc="B602085A">
      <w:numFmt w:val="bullet"/>
      <w:lvlText w:val="•"/>
      <w:lvlJc w:val="left"/>
      <w:pPr>
        <w:ind w:left="426" w:hanging="100"/>
      </w:pPr>
      <w:rPr>
        <w:rFonts w:hint="default"/>
      </w:rPr>
    </w:lvl>
    <w:lvl w:ilvl="2" w:tplc="C224838E">
      <w:numFmt w:val="bullet"/>
      <w:lvlText w:val="•"/>
      <w:lvlJc w:val="left"/>
      <w:pPr>
        <w:ind w:left="692" w:hanging="100"/>
      </w:pPr>
      <w:rPr>
        <w:rFonts w:hint="default"/>
      </w:rPr>
    </w:lvl>
    <w:lvl w:ilvl="3" w:tplc="62BE78B2">
      <w:numFmt w:val="bullet"/>
      <w:lvlText w:val="•"/>
      <w:lvlJc w:val="left"/>
      <w:pPr>
        <w:ind w:left="959" w:hanging="100"/>
      </w:pPr>
      <w:rPr>
        <w:rFonts w:hint="default"/>
      </w:rPr>
    </w:lvl>
    <w:lvl w:ilvl="4" w:tplc="BDC6CFAE">
      <w:numFmt w:val="bullet"/>
      <w:lvlText w:val="•"/>
      <w:lvlJc w:val="left"/>
      <w:pPr>
        <w:ind w:left="1225" w:hanging="100"/>
      </w:pPr>
      <w:rPr>
        <w:rFonts w:hint="default"/>
      </w:rPr>
    </w:lvl>
    <w:lvl w:ilvl="5" w:tplc="FF3C47CE">
      <w:numFmt w:val="bullet"/>
      <w:lvlText w:val="•"/>
      <w:lvlJc w:val="left"/>
      <w:pPr>
        <w:ind w:left="1492" w:hanging="100"/>
      </w:pPr>
      <w:rPr>
        <w:rFonts w:hint="default"/>
      </w:rPr>
    </w:lvl>
    <w:lvl w:ilvl="6" w:tplc="33D25D04">
      <w:numFmt w:val="bullet"/>
      <w:lvlText w:val="•"/>
      <w:lvlJc w:val="left"/>
      <w:pPr>
        <w:ind w:left="1758" w:hanging="100"/>
      </w:pPr>
      <w:rPr>
        <w:rFonts w:hint="default"/>
      </w:rPr>
    </w:lvl>
    <w:lvl w:ilvl="7" w:tplc="CEFEA3C4">
      <w:numFmt w:val="bullet"/>
      <w:lvlText w:val="•"/>
      <w:lvlJc w:val="left"/>
      <w:pPr>
        <w:ind w:left="2024" w:hanging="100"/>
      </w:pPr>
      <w:rPr>
        <w:rFonts w:hint="default"/>
      </w:rPr>
    </w:lvl>
    <w:lvl w:ilvl="8" w:tplc="45A661A8">
      <w:numFmt w:val="bullet"/>
      <w:lvlText w:val="•"/>
      <w:lvlJc w:val="left"/>
      <w:pPr>
        <w:ind w:left="2291" w:hanging="100"/>
      </w:pPr>
      <w:rPr>
        <w:rFonts w:hint="default"/>
      </w:rPr>
    </w:lvl>
  </w:abstractNum>
  <w:abstractNum w:abstractNumId="620" w15:restartNumberingAfterBreak="0">
    <w:nsid w:val="278547DF"/>
    <w:multiLevelType w:val="hybridMultilevel"/>
    <w:tmpl w:val="01C430F6"/>
    <w:lvl w:ilvl="0" w:tplc="A580BE4C">
      <w:numFmt w:val="bullet"/>
      <w:lvlText w:val=""/>
      <w:lvlJc w:val="left"/>
      <w:pPr>
        <w:ind w:left="156" w:hanging="100"/>
      </w:pPr>
      <w:rPr>
        <w:rFonts w:ascii="Symbol" w:eastAsia="Symbol" w:hAnsi="Symbol" w:cs="Symbol" w:hint="default"/>
        <w:color w:val="231F20"/>
        <w:w w:val="100"/>
        <w:sz w:val="14"/>
        <w:szCs w:val="14"/>
      </w:rPr>
    </w:lvl>
    <w:lvl w:ilvl="1" w:tplc="122A5AF4">
      <w:numFmt w:val="bullet"/>
      <w:lvlText w:val="•"/>
      <w:lvlJc w:val="left"/>
      <w:pPr>
        <w:ind w:left="398" w:hanging="100"/>
      </w:pPr>
      <w:rPr>
        <w:rFonts w:hint="default"/>
      </w:rPr>
    </w:lvl>
    <w:lvl w:ilvl="2" w:tplc="BB2AF11A">
      <w:numFmt w:val="bullet"/>
      <w:lvlText w:val="•"/>
      <w:lvlJc w:val="left"/>
      <w:pPr>
        <w:ind w:left="636" w:hanging="100"/>
      </w:pPr>
      <w:rPr>
        <w:rFonts w:hint="default"/>
      </w:rPr>
    </w:lvl>
    <w:lvl w:ilvl="3" w:tplc="3C92FE74">
      <w:numFmt w:val="bullet"/>
      <w:lvlText w:val="•"/>
      <w:lvlJc w:val="left"/>
      <w:pPr>
        <w:ind w:left="874" w:hanging="100"/>
      </w:pPr>
      <w:rPr>
        <w:rFonts w:hint="default"/>
      </w:rPr>
    </w:lvl>
    <w:lvl w:ilvl="4" w:tplc="731430EC">
      <w:numFmt w:val="bullet"/>
      <w:lvlText w:val="•"/>
      <w:lvlJc w:val="left"/>
      <w:pPr>
        <w:ind w:left="1112" w:hanging="100"/>
      </w:pPr>
      <w:rPr>
        <w:rFonts w:hint="default"/>
      </w:rPr>
    </w:lvl>
    <w:lvl w:ilvl="5" w:tplc="335A7520">
      <w:numFmt w:val="bullet"/>
      <w:lvlText w:val="•"/>
      <w:lvlJc w:val="left"/>
      <w:pPr>
        <w:ind w:left="1350" w:hanging="100"/>
      </w:pPr>
      <w:rPr>
        <w:rFonts w:hint="default"/>
      </w:rPr>
    </w:lvl>
    <w:lvl w:ilvl="6" w:tplc="EE18CA3A">
      <w:numFmt w:val="bullet"/>
      <w:lvlText w:val="•"/>
      <w:lvlJc w:val="left"/>
      <w:pPr>
        <w:ind w:left="1588" w:hanging="100"/>
      </w:pPr>
      <w:rPr>
        <w:rFonts w:hint="default"/>
      </w:rPr>
    </w:lvl>
    <w:lvl w:ilvl="7" w:tplc="C674E234">
      <w:numFmt w:val="bullet"/>
      <w:lvlText w:val="•"/>
      <w:lvlJc w:val="left"/>
      <w:pPr>
        <w:ind w:left="1826" w:hanging="100"/>
      </w:pPr>
      <w:rPr>
        <w:rFonts w:hint="default"/>
      </w:rPr>
    </w:lvl>
    <w:lvl w:ilvl="8" w:tplc="8CC609C8">
      <w:numFmt w:val="bullet"/>
      <w:lvlText w:val="•"/>
      <w:lvlJc w:val="left"/>
      <w:pPr>
        <w:ind w:left="2064" w:hanging="100"/>
      </w:pPr>
      <w:rPr>
        <w:rFonts w:hint="default"/>
      </w:rPr>
    </w:lvl>
  </w:abstractNum>
  <w:abstractNum w:abstractNumId="621" w15:restartNumberingAfterBreak="0">
    <w:nsid w:val="27B62E52"/>
    <w:multiLevelType w:val="hybridMultilevel"/>
    <w:tmpl w:val="8A600DDE"/>
    <w:lvl w:ilvl="0" w:tplc="6262DFDC">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861201FC">
      <w:numFmt w:val="bullet"/>
      <w:lvlText w:val="•"/>
      <w:lvlJc w:val="left"/>
      <w:pPr>
        <w:ind w:left="1636" w:hanging="116"/>
      </w:pPr>
      <w:rPr>
        <w:rFonts w:hint="default"/>
      </w:rPr>
    </w:lvl>
    <w:lvl w:ilvl="2" w:tplc="9AC6196E">
      <w:numFmt w:val="bullet"/>
      <w:lvlText w:val="•"/>
      <w:lvlJc w:val="left"/>
      <w:pPr>
        <w:ind w:left="2653" w:hanging="116"/>
      </w:pPr>
      <w:rPr>
        <w:rFonts w:hint="default"/>
      </w:rPr>
    </w:lvl>
    <w:lvl w:ilvl="3" w:tplc="1396CAF8">
      <w:numFmt w:val="bullet"/>
      <w:lvlText w:val="•"/>
      <w:lvlJc w:val="left"/>
      <w:pPr>
        <w:ind w:left="3669" w:hanging="116"/>
      </w:pPr>
      <w:rPr>
        <w:rFonts w:hint="default"/>
      </w:rPr>
    </w:lvl>
    <w:lvl w:ilvl="4" w:tplc="3BA21AD0">
      <w:numFmt w:val="bullet"/>
      <w:lvlText w:val="•"/>
      <w:lvlJc w:val="left"/>
      <w:pPr>
        <w:ind w:left="4686" w:hanging="116"/>
      </w:pPr>
      <w:rPr>
        <w:rFonts w:hint="default"/>
      </w:rPr>
    </w:lvl>
    <w:lvl w:ilvl="5" w:tplc="0868DCA6">
      <w:numFmt w:val="bullet"/>
      <w:lvlText w:val="•"/>
      <w:lvlJc w:val="left"/>
      <w:pPr>
        <w:ind w:left="5702" w:hanging="116"/>
      </w:pPr>
      <w:rPr>
        <w:rFonts w:hint="default"/>
      </w:rPr>
    </w:lvl>
    <w:lvl w:ilvl="6" w:tplc="626892BC">
      <w:numFmt w:val="bullet"/>
      <w:lvlText w:val="•"/>
      <w:lvlJc w:val="left"/>
      <w:pPr>
        <w:ind w:left="6719" w:hanging="116"/>
      </w:pPr>
      <w:rPr>
        <w:rFonts w:hint="default"/>
      </w:rPr>
    </w:lvl>
    <w:lvl w:ilvl="7" w:tplc="BEC4DA44">
      <w:numFmt w:val="bullet"/>
      <w:lvlText w:val="•"/>
      <w:lvlJc w:val="left"/>
      <w:pPr>
        <w:ind w:left="7735" w:hanging="116"/>
      </w:pPr>
      <w:rPr>
        <w:rFonts w:hint="default"/>
      </w:rPr>
    </w:lvl>
    <w:lvl w:ilvl="8" w:tplc="179ADBD4">
      <w:numFmt w:val="bullet"/>
      <w:lvlText w:val="•"/>
      <w:lvlJc w:val="left"/>
      <w:pPr>
        <w:ind w:left="8752" w:hanging="116"/>
      </w:pPr>
      <w:rPr>
        <w:rFonts w:hint="default"/>
      </w:rPr>
    </w:lvl>
  </w:abstractNum>
  <w:abstractNum w:abstractNumId="622" w15:restartNumberingAfterBreak="0">
    <w:nsid w:val="27CC6CFB"/>
    <w:multiLevelType w:val="hybridMultilevel"/>
    <w:tmpl w:val="60E4A866"/>
    <w:lvl w:ilvl="0" w:tplc="F402A034">
      <w:numFmt w:val="bullet"/>
      <w:lvlText w:val=""/>
      <w:lvlJc w:val="left"/>
      <w:pPr>
        <w:ind w:left="156" w:hanging="100"/>
      </w:pPr>
      <w:rPr>
        <w:rFonts w:ascii="Symbol" w:eastAsia="Symbol" w:hAnsi="Symbol" w:cs="Symbol" w:hint="default"/>
        <w:color w:val="231F20"/>
        <w:w w:val="100"/>
        <w:sz w:val="14"/>
        <w:szCs w:val="14"/>
      </w:rPr>
    </w:lvl>
    <w:lvl w:ilvl="1" w:tplc="57D274D8">
      <w:numFmt w:val="bullet"/>
      <w:lvlText w:val="•"/>
      <w:lvlJc w:val="left"/>
      <w:pPr>
        <w:ind w:left="426" w:hanging="100"/>
      </w:pPr>
      <w:rPr>
        <w:rFonts w:hint="default"/>
      </w:rPr>
    </w:lvl>
    <w:lvl w:ilvl="2" w:tplc="2026BB70">
      <w:numFmt w:val="bullet"/>
      <w:lvlText w:val="•"/>
      <w:lvlJc w:val="left"/>
      <w:pPr>
        <w:ind w:left="692" w:hanging="100"/>
      </w:pPr>
      <w:rPr>
        <w:rFonts w:hint="default"/>
      </w:rPr>
    </w:lvl>
    <w:lvl w:ilvl="3" w:tplc="70CA81D8">
      <w:numFmt w:val="bullet"/>
      <w:lvlText w:val="•"/>
      <w:lvlJc w:val="left"/>
      <w:pPr>
        <w:ind w:left="959" w:hanging="100"/>
      </w:pPr>
      <w:rPr>
        <w:rFonts w:hint="default"/>
      </w:rPr>
    </w:lvl>
    <w:lvl w:ilvl="4" w:tplc="DF50C560">
      <w:numFmt w:val="bullet"/>
      <w:lvlText w:val="•"/>
      <w:lvlJc w:val="left"/>
      <w:pPr>
        <w:ind w:left="1225" w:hanging="100"/>
      </w:pPr>
      <w:rPr>
        <w:rFonts w:hint="default"/>
      </w:rPr>
    </w:lvl>
    <w:lvl w:ilvl="5" w:tplc="9064B93C">
      <w:numFmt w:val="bullet"/>
      <w:lvlText w:val="•"/>
      <w:lvlJc w:val="left"/>
      <w:pPr>
        <w:ind w:left="1492" w:hanging="100"/>
      </w:pPr>
      <w:rPr>
        <w:rFonts w:hint="default"/>
      </w:rPr>
    </w:lvl>
    <w:lvl w:ilvl="6" w:tplc="A6D4BB3A">
      <w:numFmt w:val="bullet"/>
      <w:lvlText w:val="•"/>
      <w:lvlJc w:val="left"/>
      <w:pPr>
        <w:ind w:left="1758" w:hanging="100"/>
      </w:pPr>
      <w:rPr>
        <w:rFonts w:hint="default"/>
      </w:rPr>
    </w:lvl>
    <w:lvl w:ilvl="7" w:tplc="3C48E384">
      <w:numFmt w:val="bullet"/>
      <w:lvlText w:val="•"/>
      <w:lvlJc w:val="left"/>
      <w:pPr>
        <w:ind w:left="2024" w:hanging="100"/>
      </w:pPr>
      <w:rPr>
        <w:rFonts w:hint="default"/>
      </w:rPr>
    </w:lvl>
    <w:lvl w:ilvl="8" w:tplc="DB24A902">
      <w:numFmt w:val="bullet"/>
      <w:lvlText w:val="•"/>
      <w:lvlJc w:val="left"/>
      <w:pPr>
        <w:ind w:left="2291" w:hanging="100"/>
      </w:pPr>
      <w:rPr>
        <w:rFonts w:hint="default"/>
      </w:rPr>
    </w:lvl>
  </w:abstractNum>
  <w:abstractNum w:abstractNumId="623" w15:restartNumberingAfterBreak="0">
    <w:nsid w:val="27D83F40"/>
    <w:multiLevelType w:val="hybridMultilevel"/>
    <w:tmpl w:val="60AE8254"/>
    <w:lvl w:ilvl="0" w:tplc="3828D9F0">
      <w:numFmt w:val="bullet"/>
      <w:lvlText w:val=""/>
      <w:lvlJc w:val="left"/>
      <w:pPr>
        <w:ind w:left="156" w:hanging="100"/>
      </w:pPr>
      <w:rPr>
        <w:rFonts w:ascii="Symbol" w:eastAsia="Symbol" w:hAnsi="Symbol" w:cs="Symbol" w:hint="default"/>
        <w:color w:val="231F20"/>
        <w:w w:val="100"/>
        <w:sz w:val="14"/>
        <w:szCs w:val="14"/>
      </w:rPr>
    </w:lvl>
    <w:lvl w:ilvl="1" w:tplc="727C645A">
      <w:numFmt w:val="bullet"/>
      <w:lvlText w:val="•"/>
      <w:lvlJc w:val="left"/>
      <w:pPr>
        <w:ind w:left="426" w:hanging="100"/>
      </w:pPr>
      <w:rPr>
        <w:rFonts w:hint="default"/>
      </w:rPr>
    </w:lvl>
    <w:lvl w:ilvl="2" w:tplc="260AA5F8">
      <w:numFmt w:val="bullet"/>
      <w:lvlText w:val="•"/>
      <w:lvlJc w:val="left"/>
      <w:pPr>
        <w:ind w:left="692" w:hanging="100"/>
      </w:pPr>
      <w:rPr>
        <w:rFonts w:hint="default"/>
      </w:rPr>
    </w:lvl>
    <w:lvl w:ilvl="3" w:tplc="AE348090">
      <w:numFmt w:val="bullet"/>
      <w:lvlText w:val="•"/>
      <w:lvlJc w:val="left"/>
      <w:pPr>
        <w:ind w:left="959" w:hanging="100"/>
      </w:pPr>
      <w:rPr>
        <w:rFonts w:hint="default"/>
      </w:rPr>
    </w:lvl>
    <w:lvl w:ilvl="4" w:tplc="B2A27912">
      <w:numFmt w:val="bullet"/>
      <w:lvlText w:val="•"/>
      <w:lvlJc w:val="left"/>
      <w:pPr>
        <w:ind w:left="1225" w:hanging="100"/>
      </w:pPr>
      <w:rPr>
        <w:rFonts w:hint="default"/>
      </w:rPr>
    </w:lvl>
    <w:lvl w:ilvl="5" w:tplc="3306F066">
      <w:numFmt w:val="bullet"/>
      <w:lvlText w:val="•"/>
      <w:lvlJc w:val="left"/>
      <w:pPr>
        <w:ind w:left="1492" w:hanging="100"/>
      </w:pPr>
      <w:rPr>
        <w:rFonts w:hint="default"/>
      </w:rPr>
    </w:lvl>
    <w:lvl w:ilvl="6" w:tplc="16BCABCE">
      <w:numFmt w:val="bullet"/>
      <w:lvlText w:val="•"/>
      <w:lvlJc w:val="left"/>
      <w:pPr>
        <w:ind w:left="1758" w:hanging="100"/>
      </w:pPr>
      <w:rPr>
        <w:rFonts w:hint="default"/>
      </w:rPr>
    </w:lvl>
    <w:lvl w:ilvl="7" w:tplc="975E9FA2">
      <w:numFmt w:val="bullet"/>
      <w:lvlText w:val="•"/>
      <w:lvlJc w:val="left"/>
      <w:pPr>
        <w:ind w:left="2024" w:hanging="100"/>
      </w:pPr>
      <w:rPr>
        <w:rFonts w:hint="default"/>
      </w:rPr>
    </w:lvl>
    <w:lvl w:ilvl="8" w:tplc="A2B69202">
      <w:numFmt w:val="bullet"/>
      <w:lvlText w:val="•"/>
      <w:lvlJc w:val="left"/>
      <w:pPr>
        <w:ind w:left="2291" w:hanging="100"/>
      </w:pPr>
      <w:rPr>
        <w:rFonts w:hint="default"/>
      </w:rPr>
    </w:lvl>
  </w:abstractNum>
  <w:abstractNum w:abstractNumId="624" w15:restartNumberingAfterBreak="0">
    <w:nsid w:val="27E82F63"/>
    <w:multiLevelType w:val="hybridMultilevel"/>
    <w:tmpl w:val="399A5B92"/>
    <w:lvl w:ilvl="0" w:tplc="8370D346">
      <w:numFmt w:val="bullet"/>
      <w:lvlText w:val=""/>
      <w:lvlJc w:val="left"/>
      <w:pPr>
        <w:ind w:left="157" w:hanging="100"/>
      </w:pPr>
      <w:rPr>
        <w:rFonts w:ascii="Symbol" w:eastAsia="Symbol" w:hAnsi="Symbol" w:cs="Symbol" w:hint="default"/>
        <w:color w:val="231F20"/>
        <w:w w:val="100"/>
        <w:sz w:val="14"/>
        <w:szCs w:val="14"/>
      </w:rPr>
    </w:lvl>
    <w:lvl w:ilvl="1" w:tplc="BBDA10C4">
      <w:numFmt w:val="bullet"/>
      <w:lvlText w:val="•"/>
      <w:lvlJc w:val="left"/>
      <w:pPr>
        <w:ind w:left="426" w:hanging="100"/>
      </w:pPr>
      <w:rPr>
        <w:rFonts w:hint="default"/>
      </w:rPr>
    </w:lvl>
    <w:lvl w:ilvl="2" w:tplc="B6EAE0E4">
      <w:numFmt w:val="bullet"/>
      <w:lvlText w:val="•"/>
      <w:lvlJc w:val="left"/>
      <w:pPr>
        <w:ind w:left="692" w:hanging="100"/>
      </w:pPr>
      <w:rPr>
        <w:rFonts w:hint="default"/>
      </w:rPr>
    </w:lvl>
    <w:lvl w:ilvl="3" w:tplc="30A48106">
      <w:numFmt w:val="bullet"/>
      <w:lvlText w:val="•"/>
      <w:lvlJc w:val="left"/>
      <w:pPr>
        <w:ind w:left="959" w:hanging="100"/>
      </w:pPr>
      <w:rPr>
        <w:rFonts w:hint="default"/>
      </w:rPr>
    </w:lvl>
    <w:lvl w:ilvl="4" w:tplc="4FB2D93E">
      <w:numFmt w:val="bullet"/>
      <w:lvlText w:val="•"/>
      <w:lvlJc w:val="left"/>
      <w:pPr>
        <w:ind w:left="1225" w:hanging="100"/>
      </w:pPr>
      <w:rPr>
        <w:rFonts w:hint="default"/>
      </w:rPr>
    </w:lvl>
    <w:lvl w:ilvl="5" w:tplc="C798B1FE">
      <w:numFmt w:val="bullet"/>
      <w:lvlText w:val="•"/>
      <w:lvlJc w:val="left"/>
      <w:pPr>
        <w:ind w:left="1492" w:hanging="100"/>
      </w:pPr>
      <w:rPr>
        <w:rFonts w:hint="default"/>
      </w:rPr>
    </w:lvl>
    <w:lvl w:ilvl="6" w:tplc="D00E26EE">
      <w:numFmt w:val="bullet"/>
      <w:lvlText w:val="•"/>
      <w:lvlJc w:val="left"/>
      <w:pPr>
        <w:ind w:left="1758" w:hanging="100"/>
      </w:pPr>
      <w:rPr>
        <w:rFonts w:hint="default"/>
      </w:rPr>
    </w:lvl>
    <w:lvl w:ilvl="7" w:tplc="C6FA0DE4">
      <w:numFmt w:val="bullet"/>
      <w:lvlText w:val="•"/>
      <w:lvlJc w:val="left"/>
      <w:pPr>
        <w:ind w:left="2024" w:hanging="100"/>
      </w:pPr>
      <w:rPr>
        <w:rFonts w:hint="default"/>
      </w:rPr>
    </w:lvl>
    <w:lvl w:ilvl="8" w:tplc="26AE43BA">
      <w:numFmt w:val="bullet"/>
      <w:lvlText w:val="•"/>
      <w:lvlJc w:val="left"/>
      <w:pPr>
        <w:ind w:left="2291" w:hanging="100"/>
      </w:pPr>
      <w:rPr>
        <w:rFonts w:hint="default"/>
      </w:rPr>
    </w:lvl>
  </w:abstractNum>
  <w:abstractNum w:abstractNumId="625" w15:restartNumberingAfterBreak="0">
    <w:nsid w:val="27F47206"/>
    <w:multiLevelType w:val="hybridMultilevel"/>
    <w:tmpl w:val="50765158"/>
    <w:lvl w:ilvl="0" w:tplc="0458E0A6">
      <w:numFmt w:val="bullet"/>
      <w:lvlText w:val=""/>
      <w:lvlJc w:val="left"/>
      <w:pPr>
        <w:ind w:left="156" w:hanging="98"/>
      </w:pPr>
      <w:rPr>
        <w:rFonts w:ascii="Symbol" w:eastAsia="Symbol" w:hAnsi="Symbol" w:cs="Symbol" w:hint="default"/>
        <w:color w:val="231F20"/>
        <w:w w:val="100"/>
        <w:sz w:val="14"/>
        <w:szCs w:val="14"/>
      </w:rPr>
    </w:lvl>
    <w:lvl w:ilvl="1" w:tplc="C226B7E4">
      <w:numFmt w:val="bullet"/>
      <w:lvlText w:val="•"/>
      <w:lvlJc w:val="left"/>
      <w:pPr>
        <w:ind w:left="398" w:hanging="98"/>
      </w:pPr>
      <w:rPr>
        <w:rFonts w:hint="default"/>
      </w:rPr>
    </w:lvl>
    <w:lvl w:ilvl="2" w:tplc="44F6FCD4">
      <w:numFmt w:val="bullet"/>
      <w:lvlText w:val="•"/>
      <w:lvlJc w:val="left"/>
      <w:pPr>
        <w:ind w:left="636" w:hanging="98"/>
      </w:pPr>
      <w:rPr>
        <w:rFonts w:hint="default"/>
      </w:rPr>
    </w:lvl>
    <w:lvl w:ilvl="3" w:tplc="FAAC655A">
      <w:numFmt w:val="bullet"/>
      <w:lvlText w:val="•"/>
      <w:lvlJc w:val="left"/>
      <w:pPr>
        <w:ind w:left="874" w:hanging="98"/>
      </w:pPr>
      <w:rPr>
        <w:rFonts w:hint="default"/>
      </w:rPr>
    </w:lvl>
    <w:lvl w:ilvl="4" w:tplc="BC06D170">
      <w:numFmt w:val="bullet"/>
      <w:lvlText w:val="•"/>
      <w:lvlJc w:val="left"/>
      <w:pPr>
        <w:ind w:left="1112" w:hanging="98"/>
      </w:pPr>
      <w:rPr>
        <w:rFonts w:hint="default"/>
      </w:rPr>
    </w:lvl>
    <w:lvl w:ilvl="5" w:tplc="3ECEE59A">
      <w:numFmt w:val="bullet"/>
      <w:lvlText w:val="•"/>
      <w:lvlJc w:val="left"/>
      <w:pPr>
        <w:ind w:left="1350" w:hanging="98"/>
      </w:pPr>
      <w:rPr>
        <w:rFonts w:hint="default"/>
      </w:rPr>
    </w:lvl>
    <w:lvl w:ilvl="6" w:tplc="01D6ADEE">
      <w:numFmt w:val="bullet"/>
      <w:lvlText w:val="•"/>
      <w:lvlJc w:val="left"/>
      <w:pPr>
        <w:ind w:left="1588" w:hanging="98"/>
      </w:pPr>
      <w:rPr>
        <w:rFonts w:hint="default"/>
      </w:rPr>
    </w:lvl>
    <w:lvl w:ilvl="7" w:tplc="F7D08686">
      <w:numFmt w:val="bullet"/>
      <w:lvlText w:val="•"/>
      <w:lvlJc w:val="left"/>
      <w:pPr>
        <w:ind w:left="1826" w:hanging="98"/>
      </w:pPr>
      <w:rPr>
        <w:rFonts w:hint="default"/>
      </w:rPr>
    </w:lvl>
    <w:lvl w:ilvl="8" w:tplc="2C3AFD9A">
      <w:numFmt w:val="bullet"/>
      <w:lvlText w:val="•"/>
      <w:lvlJc w:val="left"/>
      <w:pPr>
        <w:ind w:left="2064" w:hanging="98"/>
      </w:pPr>
      <w:rPr>
        <w:rFonts w:hint="default"/>
      </w:rPr>
    </w:lvl>
  </w:abstractNum>
  <w:abstractNum w:abstractNumId="626" w15:restartNumberingAfterBreak="0">
    <w:nsid w:val="27F926D1"/>
    <w:multiLevelType w:val="hybridMultilevel"/>
    <w:tmpl w:val="CD663A88"/>
    <w:lvl w:ilvl="0" w:tplc="F0C8A7E2">
      <w:numFmt w:val="bullet"/>
      <w:lvlText w:val=""/>
      <w:lvlJc w:val="left"/>
      <w:pPr>
        <w:ind w:left="156" w:hanging="100"/>
      </w:pPr>
      <w:rPr>
        <w:rFonts w:ascii="Symbol" w:eastAsia="Symbol" w:hAnsi="Symbol" w:cs="Symbol" w:hint="default"/>
        <w:color w:val="231F20"/>
        <w:w w:val="100"/>
        <w:sz w:val="14"/>
        <w:szCs w:val="14"/>
      </w:rPr>
    </w:lvl>
    <w:lvl w:ilvl="1" w:tplc="25D00B56">
      <w:numFmt w:val="bullet"/>
      <w:lvlText w:val="•"/>
      <w:lvlJc w:val="left"/>
      <w:pPr>
        <w:ind w:left="301" w:hanging="100"/>
      </w:pPr>
      <w:rPr>
        <w:rFonts w:hint="default"/>
      </w:rPr>
    </w:lvl>
    <w:lvl w:ilvl="2" w:tplc="3462EF10">
      <w:numFmt w:val="bullet"/>
      <w:lvlText w:val="•"/>
      <w:lvlJc w:val="left"/>
      <w:pPr>
        <w:ind w:left="443" w:hanging="100"/>
      </w:pPr>
      <w:rPr>
        <w:rFonts w:hint="default"/>
      </w:rPr>
    </w:lvl>
    <w:lvl w:ilvl="3" w:tplc="C9101402">
      <w:numFmt w:val="bullet"/>
      <w:lvlText w:val="•"/>
      <w:lvlJc w:val="left"/>
      <w:pPr>
        <w:ind w:left="585" w:hanging="100"/>
      </w:pPr>
      <w:rPr>
        <w:rFonts w:hint="default"/>
      </w:rPr>
    </w:lvl>
    <w:lvl w:ilvl="4" w:tplc="EE420BCE">
      <w:numFmt w:val="bullet"/>
      <w:lvlText w:val="•"/>
      <w:lvlJc w:val="left"/>
      <w:pPr>
        <w:ind w:left="726" w:hanging="100"/>
      </w:pPr>
      <w:rPr>
        <w:rFonts w:hint="default"/>
      </w:rPr>
    </w:lvl>
    <w:lvl w:ilvl="5" w:tplc="427043EA">
      <w:numFmt w:val="bullet"/>
      <w:lvlText w:val="•"/>
      <w:lvlJc w:val="left"/>
      <w:pPr>
        <w:ind w:left="868" w:hanging="100"/>
      </w:pPr>
      <w:rPr>
        <w:rFonts w:hint="default"/>
      </w:rPr>
    </w:lvl>
    <w:lvl w:ilvl="6" w:tplc="B5062DF0">
      <w:numFmt w:val="bullet"/>
      <w:lvlText w:val="•"/>
      <w:lvlJc w:val="left"/>
      <w:pPr>
        <w:ind w:left="1010" w:hanging="100"/>
      </w:pPr>
      <w:rPr>
        <w:rFonts w:hint="default"/>
      </w:rPr>
    </w:lvl>
    <w:lvl w:ilvl="7" w:tplc="BC4E8698">
      <w:numFmt w:val="bullet"/>
      <w:lvlText w:val="•"/>
      <w:lvlJc w:val="left"/>
      <w:pPr>
        <w:ind w:left="1151" w:hanging="100"/>
      </w:pPr>
      <w:rPr>
        <w:rFonts w:hint="default"/>
      </w:rPr>
    </w:lvl>
    <w:lvl w:ilvl="8" w:tplc="06764DBC">
      <w:numFmt w:val="bullet"/>
      <w:lvlText w:val="•"/>
      <w:lvlJc w:val="left"/>
      <w:pPr>
        <w:ind w:left="1293" w:hanging="100"/>
      </w:pPr>
      <w:rPr>
        <w:rFonts w:hint="default"/>
      </w:rPr>
    </w:lvl>
  </w:abstractNum>
  <w:abstractNum w:abstractNumId="627" w15:restartNumberingAfterBreak="0">
    <w:nsid w:val="28225C99"/>
    <w:multiLevelType w:val="hybridMultilevel"/>
    <w:tmpl w:val="2BE41B3A"/>
    <w:lvl w:ilvl="0" w:tplc="097658E2">
      <w:numFmt w:val="bullet"/>
      <w:lvlText w:val=""/>
      <w:lvlJc w:val="left"/>
      <w:pPr>
        <w:ind w:left="156" w:hanging="100"/>
      </w:pPr>
      <w:rPr>
        <w:rFonts w:ascii="Symbol" w:eastAsia="Symbol" w:hAnsi="Symbol" w:cs="Symbol" w:hint="default"/>
        <w:color w:val="231F20"/>
        <w:w w:val="100"/>
        <w:sz w:val="14"/>
        <w:szCs w:val="14"/>
      </w:rPr>
    </w:lvl>
    <w:lvl w:ilvl="1" w:tplc="4D2284D8">
      <w:numFmt w:val="bullet"/>
      <w:lvlText w:val="•"/>
      <w:lvlJc w:val="left"/>
      <w:pPr>
        <w:ind w:left="301" w:hanging="100"/>
      </w:pPr>
      <w:rPr>
        <w:rFonts w:hint="default"/>
      </w:rPr>
    </w:lvl>
    <w:lvl w:ilvl="2" w:tplc="F0E06282">
      <w:numFmt w:val="bullet"/>
      <w:lvlText w:val="•"/>
      <w:lvlJc w:val="left"/>
      <w:pPr>
        <w:ind w:left="443" w:hanging="100"/>
      </w:pPr>
      <w:rPr>
        <w:rFonts w:hint="default"/>
      </w:rPr>
    </w:lvl>
    <w:lvl w:ilvl="3" w:tplc="9D265B48">
      <w:numFmt w:val="bullet"/>
      <w:lvlText w:val="•"/>
      <w:lvlJc w:val="left"/>
      <w:pPr>
        <w:ind w:left="585" w:hanging="100"/>
      </w:pPr>
      <w:rPr>
        <w:rFonts w:hint="default"/>
      </w:rPr>
    </w:lvl>
    <w:lvl w:ilvl="4" w:tplc="65409D20">
      <w:numFmt w:val="bullet"/>
      <w:lvlText w:val="•"/>
      <w:lvlJc w:val="left"/>
      <w:pPr>
        <w:ind w:left="726" w:hanging="100"/>
      </w:pPr>
      <w:rPr>
        <w:rFonts w:hint="default"/>
      </w:rPr>
    </w:lvl>
    <w:lvl w:ilvl="5" w:tplc="4F028304">
      <w:numFmt w:val="bullet"/>
      <w:lvlText w:val="•"/>
      <w:lvlJc w:val="left"/>
      <w:pPr>
        <w:ind w:left="868" w:hanging="100"/>
      </w:pPr>
      <w:rPr>
        <w:rFonts w:hint="default"/>
      </w:rPr>
    </w:lvl>
    <w:lvl w:ilvl="6" w:tplc="D40C882E">
      <w:numFmt w:val="bullet"/>
      <w:lvlText w:val="•"/>
      <w:lvlJc w:val="left"/>
      <w:pPr>
        <w:ind w:left="1010" w:hanging="100"/>
      </w:pPr>
      <w:rPr>
        <w:rFonts w:hint="default"/>
      </w:rPr>
    </w:lvl>
    <w:lvl w:ilvl="7" w:tplc="EBF0D4EA">
      <w:numFmt w:val="bullet"/>
      <w:lvlText w:val="•"/>
      <w:lvlJc w:val="left"/>
      <w:pPr>
        <w:ind w:left="1151" w:hanging="100"/>
      </w:pPr>
      <w:rPr>
        <w:rFonts w:hint="default"/>
      </w:rPr>
    </w:lvl>
    <w:lvl w:ilvl="8" w:tplc="A9EEB8CE">
      <w:numFmt w:val="bullet"/>
      <w:lvlText w:val="•"/>
      <w:lvlJc w:val="left"/>
      <w:pPr>
        <w:ind w:left="1293" w:hanging="100"/>
      </w:pPr>
      <w:rPr>
        <w:rFonts w:hint="default"/>
      </w:rPr>
    </w:lvl>
  </w:abstractNum>
  <w:abstractNum w:abstractNumId="628" w15:restartNumberingAfterBreak="0">
    <w:nsid w:val="28230EA4"/>
    <w:multiLevelType w:val="hybridMultilevel"/>
    <w:tmpl w:val="98BE362A"/>
    <w:lvl w:ilvl="0" w:tplc="48901BF2">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54DA883C">
      <w:numFmt w:val="bullet"/>
      <w:lvlText w:val="•"/>
      <w:lvlJc w:val="left"/>
      <w:pPr>
        <w:ind w:left="369" w:hanging="105"/>
      </w:pPr>
      <w:rPr>
        <w:rFonts w:hint="default"/>
      </w:rPr>
    </w:lvl>
    <w:lvl w:ilvl="2" w:tplc="EDE62F88">
      <w:numFmt w:val="bullet"/>
      <w:lvlText w:val="•"/>
      <w:lvlJc w:val="left"/>
      <w:pPr>
        <w:ind w:left="579" w:hanging="105"/>
      </w:pPr>
      <w:rPr>
        <w:rFonts w:hint="default"/>
      </w:rPr>
    </w:lvl>
    <w:lvl w:ilvl="3" w:tplc="FD7C4C74">
      <w:numFmt w:val="bullet"/>
      <w:lvlText w:val="•"/>
      <w:lvlJc w:val="left"/>
      <w:pPr>
        <w:ind w:left="789" w:hanging="105"/>
      </w:pPr>
      <w:rPr>
        <w:rFonts w:hint="default"/>
      </w:rPr>
    </w:lvl>
    <w:lvl w:ilvl="4" w:tplc="788C0FC8">
      <w:numFmt w:val="bullet"/>
      <w:lvlText w:val="•"/>
      <w:lvlJc w:val="left"/>
      <w:pPr>
        <w:ind w:left="998" w:hanging="105"/>
      </w:pPr>
      <w:rPr>
        <w:rFonts w:hint="default"/>
      </w:rPr>
    </w:lvl>
    <w:lvl w:ilvl="5" w:tplc="D30E4178">
      <w:numFmt w:val="bullet"/>
      <w:lvlText w:val="•"/>
      <w:lvlJc w:val="left"/>
      <w:pPr>
        <w:ind w:left="1208" w:hanging="105"/>
      </w:pPr>
      <w:rPr>
        <w:rFonts w:hint="default"/>
      </w:rPr>
    </w:lvl>
    <w:lvl w:ilvl="6" w:tplc="FFB42E20">
      <w:numFmt w:val="bullet"/>
      <w:lvlText w:val="•"/>
      <w:lvlJc w:val="left"/>
      <w:pPr>
        <w:ind w:left="1418" w:hanging="105"/>
      </w:pPr>
      <w:rPr>
        <w:rFonts w:hint="default"/>
      </w:rPr>
    </w:lvl>
    <w:lvl w:ilvl="7" w:tplc="FB74152C">
      <w:numFmt w:val="bullet"/>
      <w:lvlText w:val="•"/>
      <w:lvlJc w:val="left"/>
      <w:pPr>
        <w:ind w:left="1627" w:hanging="105"/>
      </w:pPr>
      <w:rPr>
        <w:rFonts w:hint="default"/>
      </w:rPr>
    </w:lvl>
    <w:lvl w:ilvl="8" w:tplc="7EEA5FE4">
      <w:numFmt w:val="bullet"/>
      <w:lvlText w:val="•"/>
      <w:lvlJc w:val="left"/>
      <w:pPr>
        <w:ind w:left="1837" w:hanging="105"/>
      </w:pPr>
      <w:rPr>
        <w:rFonts w:hint="default"/>
      </w:rPr>
    </w:lvl>
  </w:abstractNum>
  <w:abstractNum w:abstractNumId="629" w15:restartNumberingAfterBreak="0">
    <w:nsid w:val="282B3145"/>
    <w:multiLevelType w:val="hybridMultilevel"/>
    <w:tmpl w:val="D9BA4444"/>
    <w:lvl w:ilvl="0" w:tplc="781A0DAC">
      <w:numFmt w:val="bullet"/>
      <w:lvlText w:val=""/>
      <w:lvlJc w:val="left"/>
      <w:pPr>
        <w:ind w:left="156" w:hanging="100"/>
      </w:pPr>
      <w:rPr>
        <w:rFonts w:ascii="Symbol" w:eastAsia="Symbol" w:hAnsi="Symbol" w:cs="Symbol" w:hint="default"/>
        <w:color w:val="231F20"/>
        <w:w w:val="100"/>
        <w:sz w:val="14"/>
        <w:szCs w:val="14"/>
      </w:rPr>
    </w:lvl>
    <w:lvl w:ilvl="1" w:tplc="C8B6823E">
      <w:numFmt w:val="bullet"/>
      <w:lvlText w:val="•"/>
      <w:lvlJc w:val="left"/>
      <w:pPr>
        <w:ind w:left="301" w:hanging="100"/>
      </w:pPr>
      <w:rPr>
        <w:rFonts w:hint="default"/>
      </w:rPr>
    </w:lvl>
    <w:lvl w:ilvl="2" w:tplc="E1D664E6">
      <w:numFmt w:val="bullet"/>
      <w:lvlText w:val="•"/>
      <w:lvlJc w:val="left"/>
      <w:pPr>
        <w:ind w:left="443" w:hanging="100"/>
      </w:pPr>
      <w:rPr>
        <w:rFonts w:hint="default"/>
      </w:rPr>
    </w:lvl>
    <w:lvl w:ilvl="3" w:tplc="35F0B728">
      <w:numFmt w:val="bullet"/>
      <w:lvlText w:val="•"/>
      <w:lvlJc w:val="left"/>
      <w:pPr>
        <w:ind w:left="585" w:hanging="100"/>
      </w:pPr>
      <w:rPr>
        <w:rFonts w:hint="default"/>
      </w:rPr>
    </w:lvl>
    <w:lvl w:ilvl="4" w:tplc="0504C3BE">
      <w:numFmt w:val="bullet"/>
      <w:lvlText w:val="•"/>
      <w:lvlJc w:val="left"/>
      <w:pPr>
        <w:ind w:left="726" w:hanging="100"/>
      </w:pPr>
      <w:rPr>
        <w:rFonts w:hint="default"/>
      </w:rPr>
    </w:lvl>
    <w:lvl w:ilvl="5" w:tplc="061E1AAC">
      <w:numFmt w:val="bullet"/>
      <w:lvlText w:val="•"/>
      <w:lvlJc w:val="left"/>
      <w:pPr>
        <w:ind w:left="868" w:hanging="100"/>
      </w:pPr>
      <w:rPr>
        <w:rFonts w:hint="default"/>
      </w:rPr>
    </w:lvl>
    <w:lvl w:ilvl="6" w:tplc="92924FFE">
      <w:numFmt w:val="bullet"/>
      <w:lvlText w:val="•"/>
      <w:lvlJc w:val="left"/>
      <w:pPr>
        <w:ind w:left="1010" w:hanging="100"/>
      </w:pPr>
      <w:rPr>
        <w:rFonts w:hint="default"/>
      </w:rPr>
    </w:lvl>
    <w:lvl w:ilvl="7" w:tplc="269483C2">
      <w:numFmt w:val="bullet"/>
      <w:lvlText w:val="•"/>
      <w:lvlJc w:val="left"/>
      <w:pPr>
        <w:ind w:left="1151" w:hanging="100"/>
      </w:pPr>
      <w:rPr>
        <w:rFonts w:hint="default"/>
      </w:rPr>
    </w:lvl>
    <w:lvl w:ilvl="8" w:tplc="4BE06022">
      <w:numFmt w:val="bullet"/>
      <w:lvlText w:val="•"/>
      <w:lvlJc w:val="left"/>
      <w:pPr>
        <w:ind w:left="1293" w:hanging="100"/>
      </w:pPr>
      <w:rPr>
        <w:rFonts w:hint="default"/>
      </w:rPr>
    </w:lvl>
  </w:abstractNum>
  <w:abstractNum w:abstractNumId="630" w15:restartNumberingAfterBreak="0">
    <w:nsid w:val="283232FF"/>
    <w:multiLevelType w:val="hybridMultilevel"/>
    <w:tmpl w:val="5206308A"/>
    <w:lvl w:ilvl="0" w:tplc="7830536E">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0E66AC30">
      <w:numFmt w:val="bullet"/>
      <w:lvlText w:val="•"/>
      <w:lvlJc w:val="left"/>
      <w:pPr>
        <w:ind w:left="426" w:hanging="105"/>
      </w:pPr>
      <w:rPr>
        <w:rFonts w:hint="default"/>
      </w:rPr>
    </w:lvl>
    <w:lvl w:ilvl="2" w:tplc="54AA9098">
      <w:numFmt w:val="bullet"/>
      <w:lvlText w:val="•"/>
      <w:lvlJc w:val="left"/>
      <w:pPr>
        <w:ind w:left="692" w:hanging="105"/>
      </w:pPr>
      <w:rPr>
        <w:rFonts w:hint="default"/>
      </w:rPr>
    </w:lvl>
    <w:lvl w:ilvl="3" w:tplc="7C76465A">
      <w:numFmt w:val="bullet"/>
      <w:lvlText w:val="•"/>
      <w:lvlJc w:val="left"/>
      <w:pPr>
        <w:ind w:left="959" w:hanging="105"/>
      </w:pPr>
      <w:rPr>
        <w:rFonts w:hint="default"/>
      </w:rPr>
    </w:lvl>
    <w:lvl w:ilvl="4" w:tplc="36C460A0">
      <w:numFmt w:val="bullet"/>
      <w:lvlText w:val="•"/>
      <w:lvlJc w:val="left"/>
      <w:pPr>
        <w:ind w:left="1225" w:hanging="105"/>
      </w:pPr>
      <w:rPr>
        <w:rFonts w:hint="default"/>
      </w:rPr>
    </w:lvl>
    <w:lvl w:ilvl="5" w:tplc="6430FCC2">
      <w:numFmt w:val="bullet"/>
      <w:lvlText w:val="•"/>
      <w:lvlJc w:val="left"/>
      <w:pPr>
        <w:ind w:left="1492" w:hanging="105"/>
      </w:pPr>
      <w:rPr>
        <w:rFonts w:hint="default"/>
      </w:rPr>
    </w:lvl>
    <w:lvl w:ilvl="6" w:tplc="512A1A92">
      <w:numFmt w:val="bullet"/>
      <w:lvlText w:val="•"/>
      <w:lvlJc w:val="left"/>
      <w:pPr>
        <w:ind w:left="1758" w:hanging="105"/>
      </w:pPr>
      <w:rPr>
        <w:rFonts w:hint="default"/>
      </w:rPr>
    </w:lvl>
    <w:lvl w:ilvl="7" w:tplc="BCA21946">
      <w:numFmt w:val="bullet"/>
      <w:lvlText w:val="•"/>
      <w:lvlJc w:val="left"/>
      <w:pPr>
        <w:ind w:left="2024" w:hanging="105"/>
      </w:pPr>
      <w:rPr>
        <w:rFonts w:hint="default"/>
      </w:rPr>
    </w:lvl>
    <w:lvl w:ilvl="8" w:tplc="E6E47308">
      <w:numFmt w:val="bullet"/>
      <w:lvlText w:val="•"/>
      <w:lvlJc w:val="left"/>
      <w:pPr>
        <w:ind w:left="2291" w:hanging="105"/>
      </w:pPr>
      <w:rPr>
        <w:rFonts w:hint="default"/>
      </w:rPr>
    </w:lvl>
  </w:abstractNum>
  <w:abstractNum w:abstractNumId="631" w15:restartNumberingAfterBreak="0">
    <w:nsid w:val="283523CA"/>
    <w:multiLevelType w:val="hybridMultilevel"/>
    <w:tmpl w:val="6A14EBF2"/>
    <w:lvl w:ilvl="0" w:tplc="24B2408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FFCCE5F0">
      <w:numFmt w:val="bullet"/>
      <w:lvlText w:val="•"/>
      <w:lvlJc w:val="left"/>
      <w:pPr>
        <w:ind w:left="408" w:hanging="84"/>
      </w:pPr>
      <w:rPr>
        <w:rFonts w:hint="default"/>
      </w:rPr>
    </w:lvl>
    <w:lvl w:ilvl="2" w:tplc="D96228AE">
      <w:numFmt w:val="bullet"/>
      <w:lvlText w:val="•"/>
      <w:lvlJc w:val="left"/>
      <w:pPr>
        <w:ind w:left="676" w:hanging="84"/>
      </w:pPr>
      <w:rPr>
        <w:rFonts w:hint="default"/>
      </w:rPr>
    </w:lvl>
    <w:lvl w:ilvl="3" w:tplc="263A0ADA">
      <w:numFmt w:val="bullet"/>
      <w:lvlText w:val="•"/>
      <w:lvlJc w:val="left"/>
      <w:pPr>
        <w:ind w:left="945" w:hanging="84"/>
      </w:pPr>
      <w:rPr>
        <w:rFonts w:hint="default"/>
      </w:rPr>
    </w:lvl>
    <w:lvl w:ilvl="4" w:tplc="B0BC9D32">
      <w:numFmt w:val="bullet"/>
      <w:lvlText w:val="•"/>
      <w:lvlJc w:val="left"/>
      <w:pPr>
        <w:ind w:left="1213" w:hanging="84"/>
      </w:pPr>
      <w:rPr>
        <w:rFonts w:hint="default"/>
      </w:rPr>
    </w:lvl>
    <w:lvl w:ilvl="5" w:tplc="0D2A4E68">
      <w:numFmt w:val="bullet"/>
      <w:lvlText w:val="•"/>
      <w:lvlJc w:val="left"/>
      <w:pPr>
        <w:ind w:left="1482" w:hanging="84"/>
      </w:pPr>
      <w:rPr>
        <w:rFonts w:hint="default"/>
      </w:rPr>
    </w:lvl>
    <w:lvl w:ilvl="6" w:tplc="54580C7E">
      <w:numFmt w:val="bullet"/>
      <w:lvlText w:val="•"/>
      <w:lvlJc w:val="left"/>
      <w:pPr>
        <w:ind w:left="1750" w:hanging="84"/>
      </w:pPr>
      <w:rPr>
        <w:rFonts w:hint="default"/>
      </w:rPr>
    </w:lvl>
    <w:lvl w:ilvl="7" w:tplc="A490CA5C">
      <w:numFmt w:val="bullet"/>
      <w:lvlText w:val="•"/>
      <w:lvlJc w:val="left"/>
      <w:pPr>
        <w:ind w:left="2018" w:hanging="84"/>
      </w:pPr>
      <w:rPr>
        <w:rFonts w:hint="default"/>
      </w:rPr>
    </w:lvl>
    <w:lvl w:ilvl="8" w:tplc="D7069880">
      <w:numFmt w:val="bullet"/>
      <w:lvlText w:val="•"/>
      <w:lvlJc w:val="left"/>
      <w:pPr>
        <w:ind w:left="2287" w:hanging="84"/>
      </w:pPr>
      <w:rPr>
        <w:rFonts w:hint="default"/>
      </w:rPr>
    </w:lvl>
  </w:abstractNum>
  <w:abstractNum w:abstractNumId="632" w15:restartNumberingAfterBreak="0">
    <w:nsid w:val="2858017C"/>
    <w:multiLevelType w:val="hybridMultilevel"/>
    <w:tmpl w:val="1E283BF6"/>
    <w:lvl w:ilvl="0" w:tplc="AB649F62">
      <w:numFmt w:val="bullet"/>
      <w:lvlText w:val=""/>
      <w:lvlJc w:val="left"/>
      <w:pPr>
        <w:ind w:left="156" w:hanging="100"/>
      </w:pPr>
      <w:rPr>
        <w:rFonts w:ascii="Symbol" w:eastAsia="Symbol" w:hAnsi="Symbol" w:cs="Symbol" w:hint="default"/>
        <w:color w:val="231F20"/>
        <w:w w:val="100"/>
        <w:sz w:val="14"/>
        <w:szCs w:val="14"/>
      </w:rPr>
    </w:lvl>
    <w:lvl w:ilvl="1" w:tplc="EE606EFE">
      <w:numFmt w:val="bullet"/>
      <w:lvlText w:val="•"/>
      <w:lvlJc w:val="left"/>
      <w:pPr>
        <w:ind w:left="426" w:hanging="100"/>
      </w:pPr>
      <w:rPr>
        <w:rFonts w:hint="default"/>
      </w:rPr>
    </w:lvl>
    <w:lvl w:ilvl="2" w:tplc="6E5E7C40">
      <w:numFmt w:val="bullet"/>
      <w:lvlText w:val="•"/>
      <w:lvlJc w:val="left"/>
      <w:pPr>
        <w:ind w:left="692" w:hanging="100"/>
      </w:pPr>
      <w:rPr>
        <w:rFonts w:hint="default"/>
      </w:rPr>
    </w:lvl>
    <w:lvl w:ilvl="3" w:tplc="1F78CAB6">
      <w:numFmt w:val="bullet"/>
      <w:lvlText w:val="•"/>
      <w:lvlJc w:val="left"/>
      <w:pPr>
        <w:ind w:left="959" w:hanging="100"/>
      </w:pPr>
      <w:rPr>
        <w:rFonts w:hint="default"/>
      </w:rPr>
    </w:lvl>
    <w:lvl w:ilvl="4" w:tplc="20F48F42">
      <w:numFmt w:val="bullet"/>
      <w:lvlText w:val="•"/>
      <w:lvlJc w:val="left"/>
      <w:pPr>
        <w:ind w:left="1225" w:hanging="100"/>
      </w:pPr>
      <w:rPr>
        <w:rFonts w:hint="default"/>
      </w:rPr>
    </w:lvl>
    <w:lvl w:ilvl="5" w:tplc="59BE6422">
      <w:numFmt w:val="bullet"/>
      <w:lvlText w:val="•"/>
      <w:lvlJc w:val="left"/>
      <w:pPr>
        <w:ind w:left="1492" w:hanging="100"/>
      </w:pPr>
      <w:rPr>
        <w:rFonts w:hint="default"/>
      </w:rPr>
    </w:lvl>
    <w:lvl w:ilvl="6" w:tplc="DCD46716">
      <w:numFmt w:val="bullet"/>
      <w:lvlText w:val="•"/>
      <w:lvlJc w:val="left"/>
      <w:pPr>
        <w:ind w:left="1758" w:hanging="100"/>
      </w:pPr>
      <w:rPr>
        <w:rFonts w:hint="default"/>
      </w:rPr>
    </w:lvl>
    <w:lvl w:ilvl="7" w:tplc="54709E62">
      <w:numFmt w:val="bullet"/>
      <w:lvlText w:val="•"/>
      <w:lvlJc w:val="left"/>
      <w:pPr>
        <w:ind w:left="2024" w:hanging="100"/>
      </w:pPr>
      <w:rPr>
        <w:rFonts w:hint="default"/>
      </w:rPr>
    </w:lvl>
    <w:lvl w:ilvl="8" w:tplc="C0C4BFDA">
      <w:numFmt w:val="bullet"/>
      <w:lvlText w:val="•"/>
      <w:lvlJc w:val="left"/>
      <w:pPr>
        <w:ind w:left="2291" w:hanging="100"/>
      </w:pPr>
      <w:rPr>
        <w:rFonts w:hint="default"/>
      </w:rPr>
    </w:lvl>
  </w:abstractNum>
  <w:abstractNum w:abstractNumId="633" w15:restartNumberingAfterBreak="0">
    <w:nsid w:val="286D0824"/>
    <w:multiLevelType w:val="hybridMultilevel"/>
    <w:tmpl w:val="E702F830"/>
    <w:lvl w:ilvl="0" w:tplc="CE52B302">
      <w:numFmt w:val="bullet"/>
      <w:lvlText w:val=""/>
      <w:lvlJc w:val="left"/>
      <w:pPr>
        <w:ind w:left="156" w:hanging="100"/>
      </w:pPr>
      <w:rPr>
        <w:rFonts w:ascii="Symbol" w:eastAsia="Symbol" w:hAnsi="Symbol" w:cs="Symbol" w:hint="default"/>
        <w:color w:val="231F20"/>
        <w:w w:val="100"/>
        <w:sz w:val="14"/>
        <w:szCs w:val="14"/>
      </w:rPr>
    </w:lvl>
    <w:lvl w:ilvl="1" w:tplc="C9A071CA">
      <w:numFmt w:val="bullet"/>
      <w:lvlText w:val="•"/>
      <w:lvlJc w:val="left"/>
      <w:pPr>
        <w:ind w:left="301" w:hanging="100"/>
      </w:pPr>
      <w:rPr>
        <w:rFonts w:hint="default"/>
      </w:rPr>
    </w:lvl>
    <w:lvl w:ilvl="2" w:tplc="E086081E">
      <w:numFmt w:val="bullet"/>
      <w:lvlText w:val="•"/>
      <w:lvlJc w:val="left"/>
      <w:pPr>
        <w:ind w:left="443" w:hanging="100"/>
      </w:pPr>
      <w:rPr>
        <w:rFonts w:hint="default"/>
      </w:rPr>
    </w:lvl>
    <w:lvl w:ilvl="3" w:tplc="BB72BDDC">
      <w:numFmt w:val="bullet"/>
      <w:lvlText w:val="•"/>
      <w:lvlJc w:val="left"/>
      <w:pPr>
        <w:ind w:left="585" w:hanging="100"/>
      </w:pPr>
      <w:rPr>
        <w:rFonts w:hint="default"/>
      </w:rPr>
    </w:lvl>
    <w:lvl w:ilvl="4" w:tplc="336C10DA">
      <w:numFmt w:val="bullet"/>
      <w:lvlText w:val="•"/>
      <w:lvlJc w:val="left"/>
      <w:pPr>
        <w:ind w:left="726" w:hanging="100"/>
      </w:pPr>
      <w:rPr>
        <w:rFonts w:hint="default"/>
      </w:rPr>
    </w:lvl>
    <w:lvl w:ilvl="5" w:tplc="F9C494CE">
      <w:numFmt w:val="bullet"/>
      <w:lvlText w:val="•"/>
      <w:lvlJc w:val="left"/>
      <w:pPr>
        <w:ind w:left="868" w:hanging="100"/>
      </w:pPr>
      <w:rPr>
        <w:rFonts w:hint="default"/>
      </w:rPr>
    </w:lvl>
    <w:lvl w:ilvl="6" w:tplc="4576241E">
      <w:numFmt w:val="bullet"/>
      <w:lvlText w:val="•"/>
      <w:lvlJc w:val="left"/>
      <w:pPr>
        <w:ind w:left="1010" w:hanging="100"/>
      </w:pPr>
      <w:rPr>
        <w:rFonts w:hint="default"/>
      </w:rPr>
    </w:lvl>
    <w:lvl w:ilvl="7" w:tplc="045C95E6">
      <w:numFmt w:val="bullet"/>
      <w:lvlText w:val="•"/>
      <w:lvlJc w:val="left"/>
      <w:pPr>
        <w:ind w:left="1151" w:hanging="100"/>
      </w:pPr>
      <w:rPr>
        <w:rFonts w:hint="default"/>
      </w:rPr>
    </w:lvl>
    <w:lvl w:ilvl="8" w:tplc="3FF89476">
      <w:numFmt w:val="bullet"/>
      <w:lvlText w:val="•"/>
      <w:lvlJc w:val="left"/>
      <w:pPr>
        <w:ind w:left="1293" w:hanging="100"/>
      </w:pPr>
      <w:rPr>
        <w:rFonts w:hint="default"/>
      </w:rPr>
    </w:lvl>
  </w:abstractNum>
  <w:abstractNum w:abstractNumId="634" w15:restartNumberingAfterBreak="0">
    <w:nsid w:val="28797480"/>
    <w:multiLevelType w:val="hybridMultilevel"/>
    <w:tmpl w:val="5FB2A746"/>
    <w:lvl w:ilvl="0" w:tplc="D534AC98">
      <w:numFmt w:val="bullet"/>
      <w:lvlText w:val=""/>
      <w:lvlJc w:val="left"/>
      <w:pPr>
        <w:ind w:left="156" w:hanging="100"/>
      </w:pPr>
      <w:rPr>
        <w:rFonts w:ascii="Symbol" w:eastAsia="Symbol" w:hAnsi="Symbol" w:cs="Symbol" w:hint="default"/>
        <w:color w:val="231F20"/>
        <w:w w:val="100"/>
        <w:sz w:val="14"/>
        <w:szCs w:val="14"/>
      </w:rPr>
    </w:lvl>
    <w:lvl w:ilvl="1" w:tplc="D4AA15F4">
      <w:numFmt w:val="bullet"/>
      <w:lvlText w:val="•"/>
      <w:lvlJc w:val="left"/>
      <w:pPr>
        <w:ind w:left="426" w:hanging="100"/>
      </w:pPr>
      <w:rPr>
        <w:rFonts w:hint="default"/>
      </w:rPr>
    </w:lvl>
    <w:lvl w:ilvl="2" w:tplc="B026424C">
      <w:numFmt w:val="bullet"/>
      <w:lvlText w:val="•"/>
      <w:lvlJc w:val="left"/>
      <w:pPr>
        <w:ind w:left="692" w:hanging="100"/>
      </w:pPr>
      <w:rPr>
        <w:rFonts w:hint="default"/>
      </w:rPr>
    </w:lvl>
    <w:lvl w:ilvl="3" w:tplc="AC40A5E8">
      <w:numFmt w:val="bullet"/>
      <w:lvlText w:val="•"/>
      <w:lvlJc w:val="left"/>
      <w:pPr>
        <w:ind w:left="959" w:hanging="100"/>
      </w:pPr>
      <w:rPr>
        <w:rFonts w:hint="default"/>
      </w:rPr>
    </w:lvl>
    <w:lvl w:ilvl="4" w:tplc="62A24232">
      <w:numFmt w:val="bullet"/>
      <w:lvlText w:val="•"/>
      <w:lvlJc w:val="left"/>
      <w:pPr>
        <w:ind w:left="1225" w:hanging="100"/>
      </w:pPr>
      <w:rPr>
        <w:rFonts w:hint="default"/>
      </w:rPr>
    </w:lvl>
    <w:lvl w:ilvl="5" w:tplc="0838A55C">
      <w:numFmt w:val="bullet"/>
      <w:lvlText w:val="•"/>
      <w:lvlJc w:val="left"/>
      <w:pPr>
        <w:ind w:left="1492" w:hanging="100"/>
      </w:pPr>
      <w:rPr>
        <w:rFonts w:hint="default"/>
      </w:rPr>
    </w:lvl>
    <w:lvl w:ilvl="6" w:tplc="6AACE95C">
      <w:numFmt w:val="bullet"/>
      <w:lvlText w:val="•"/>
      <w:lvlJc w:val="left"/>
      <w:pPr>
        <w:ind w:left="1758" w:hanging="100"/>
      </w:pPr>
      <w:rPr>
        <w:rFonts w:hint="default"/>
      </w:rPr>
    </w:lvl>
    <w:lvl w:ilvl="7" w:tplc="36363156">
      <w:numFmt w:val="bullet"/>
      <w:lvlText w:val="•"/>
      <w:lvlJc w:val="left"/>
      <w:pPr>
        <w:ind w:left="2024" w:hanging="100"/>
      </w:pPr>
      <w:rPr>
        <w:rFonts w:hint="default"/>
      </w:rPr>
    </w:lvl>
    <w:lvl w:ilvl="8" w:tplc="37BEF20A">
      <w:numFmt w:val="bullet"/>
      <w:lvlText w:val="•"/>
      <w:lvlJc w:val="left"/>
      <w:pPr>
        <w:ind w:left="2291" w:hanging="100"/>
      </w:pPr>
      <w:rPr>
        <w:rFonts w:hint="default"/>
      </w:rPr>
    </w:lvl>
  </w:abstractNum>
  <w:abstractNum w:abstractNumId="635" w15:restartNumberingAfterBreak="0">
    <w:nsid w:val="28811D25"/>
    <w:multiLevelType w:val="hybridMultilevel"/>
    <w:tmpl w:val="84529EF8"/>
    <w:lvl w:ilvl="0" w:tplc="11ECFBFC">
      <w:numFmt w:val="bullet"/>
      <w:lvlText w:val=""/>
      <w:lvlJc w:val="left"/>
      <w:pPr>
        <w:ind w:left="156" w:hanging="100"/>
      </w:pPr>
      <w:rPr>
        <w:rFonts w:ascii="Symbol" w:eastAsia="Symbol" w:hAnsi="Symbol" w:cs="Symbol" w:hint="default"/>
        <w:color w:val="231F20"/>
        <w:w w:val="100"/>
        <w:sz w:val="14"/>
        <w:szCs w:val="14"/>
      </w:rPr>
    </w:lvl>
    <w:lvl w:ilvl="1" w:tplc="B5622812">
      <w:numFmt w:val="bullet"/>
      <w:lvlText w:val="•"/>
      <w:lvlJc w:val="left"/>
      <w:pPr>
        <w:ind w:left="301" w:hanging="100"/>
      </w:pPr>
      <w:rPr>
        <w:rFonts w:hint="default"/>
      </w:rPr>
    </w:lvl>
    <w:lvl w:ilvl="2" w:tplc="BD32DAA2">
      <w:numFmt w:val="bullet"/>
      <w:lvlText w:val="•"/>
      <w:lvlJc w:val="left"/>
      <w:pPr>
        <w:ind w:left="443" w:hanging="100"/>
      </w:pPr>
      <w:rPr>
        <w:rFonts w:hint="default"/>
      </w:rPr>
    </w:lvl>
    <w:lvl w:ilvl="3" w:tplc="F33010D0">
      <w:numFmt w:val="bullet"/>
      <w:lvlText w:val="•"/>
      <w:lvlJc w:val="left"/>
      <w:pPr>
        <w:ind w:left="585" w:hanging="100"/>
      </w:pPr>
      <w:rPr>
        <w:rFonts w:hint="default"/>
      </w:rPr>
    </w:lvl>
    <w:lvl w:ilvl="4" w:tplc="52F6091E">
      <w:numFmt w:val="bullet"/>
      <w:lvlText w:val="•"/>
      <w:lvlJc w:val="left"/>
      <w:pPr>
        <w:ind w:left="726" w:hanging="100"/>
      </w:pPr>
      <w:rPr>
        <w:rFonts w:hint="default"/>
      </w:rPr>
    </w:lvl>
    <w:lvl w:ilvl="5" w:tplc="42066198">
      <w:numFmt w:val="bullet"/>
      <w:lvlText w:val="•"/>
      <w:lvlJc w:val="left"/>
      <w:pPr>
        <w:ind w:left="868" w:hanging="100"/>
      </w:pPr>
      <w:rPr>
        <w:rFonts w:hint="default"/>
      </w:rPr>
    </w:lvl>
    <w:lvl w:ilvl="6" w:tplc="97BEC6D6">
      <w:numFmt w:val="bullet"/>
      <w:lvlText w:val="•"/>
      <w:lvlJc w:val="left"/>
      <w:pPr>
        <w:ind w:left="1010" w:hanging="100"/>
      </w:pPr>
      <w:rPr>
        <w:rFonts w:hint="default"/>
      </w:rPr>
    </w:lvl>
    <w:lvl w:ilvl="7" w:tplc="72D60A8A">
      <w:numFmt w:val="bullet"/>
      <w:lvlText w:val="•"/>
      <w:lvlJc w:val="left"/>
      <w:pPr>
        <w:ind w:left="1151" w:hanging="100"/>
      </w:pPr>
      <w:rPr>
        <w:rFonts w:hint="default"/>
      </w:rPr>
    </w:lvl>
    <w:lvl w:ilvl="8" w:tplc="AE4AC51A">
      <w:numFmt w:val="bullet"/>
      <w:lvlText w:val="•"/>
      <w:lvlJc w:val="left"/>
      <w:pPr>
        <w:ind w:left="1293" w:hanging="100"/>
      </w:pPr>
      <w:rPr>
        <w:rFonts w:hint="default"/>
      </w:rPr>
    </w:lvl>
  </w:abstractNum>
  <w:abstractNum w:abstractNumId="636" w15:restartNumberingAfterBreak="0">
    <w:nsid w:val="28A86456"/>
    <w:multiLevelType w:val="hybridMultilevel"/>
    <w:tmpl w:val="2108B4D6"/>
    <w:lvl w:ilvl="0" w:tplc="2572FC88">
      <w:numFmt w:val="bullet"/>
      <w:lvlText w:val=""/>
      <w:lvlJc w:val="left"/>
      <w:pPr>
        <w:ind w:left="156" w:hanging="100"/>
      </w:pPr>
      <w:rPr>
        <w:rFonts w:ascii="Symbol" w:eastAsia="Symbol" w:hAnsi="Symbol" w:cs="Symbol" w:hint="default"/>
        <w:color w:val="231F20"/>
        <w:w w:val="100"/>
        <w:sz w:val="14"/>
        <w:szCs w:val="14"/>
      </w:rPr>
    </w:lvl>
    <w:lvl w:ilvl="1" w:tplc="B79C82F8">
      <w:numFmt w:val="bullet"/>
      <w:lvlText w:val="•"/>
      <w:lvlJc w:val="left"/>
      <w:pPr>
        <w:ind w:left="426" w:hanging="100"/>
      </w:pPr>
      <w:rPr>
        <w:rFonts w:hint="default"/>
      </w:rPr>
    </w:lvl>
    <w:lvl w:ilvl="2" w:tplc="E6D05E60">
      <w:numFmt w:val="bullet"/>
      <w:lvlText w:val="•"/>
      <w:lvlJc w:val="left"/>
      <w:pPr>
        <w:ind w:left="692" w:hanging="100"/>
      </w:pPr>
      <w:rPr>
        <w:rFonts w:hint="default"/>
      </w:rPr>
    </w:lvl>
    <w:lvl w:ilvl="3" w:tplc="DE864328">
      <w:numFmt w:val="bullet"/>
      <w:lvlText w:val="•"/>
      <w:lvlJc w:val="left"/>
      <w:pPr>
        <w:ind w:left="959" w:hanging="100"/>
      </w:pPr>
      <w:rPr>
        <w:rFonts w:hint="default"/>
      </w:rPr>
    </w:lvl>
    <w:lvl w:ilvl="4" w:tplc="D3CA9340">
      <w:numFmt w:val="bullet"/>
      <w:lvlText w:val="•"/>
      <w:lvlJc w:val="left"/>
      <w:pPr>
        <w:ind w:left="1225" w:hanging="100"/>
      </w:pPr>
      <w:rPr>
        <w:rFonts w:hint="default"/>
      </w:rPr>
    </w:lvl>
    <w:lvl w:ilvl="5" w:tplc="96CCB9CE">
      <w:numFmt w:val="bullet"/>
      <w:lvlText w:val="•"/>
      <w:lvlJc w:val="left"/>
      <w:pPr>
        <w:ind w:left="1492" w:hanging="100"/>
      </w:pPr>
      <w:rPr>
        <w:rFonts w:hint="default"/>
      </w:rPr>
    </w:lvl>
    <w:lvl w:ilvl="6" w:tplc="964EACCA">
      <w:numFmt w:val="bullet"/>
      <w:lvlText w:val="•"/>
      <w:lvlJc w:val="left"/>
      <w:pPr>
        <w:ind w:left="1758" w:hanging="100"/>
      </w:pPr>
      <w:rPr>
        <w:rFonts w:hint="default"/>
      </w:rPr>
    </w:lvl>
    <w:lvl w:ilvl="7" w:tplc="616E0EAA">
      <w:numFmt w:val="bullet"/>
      <w:lvlText w:val="•"/>
      <w:lvlJc w:val="left"/>
      <w:pPr>
        <w:ind w:left="2024" w:hanging="100"/>
      </w:pPr>
      <w:rPr>
        <w:rFonts w:hint="default"/>
      </w:rPr>
    </w:lvl>
    <w:lvl w:ilvl="8" w:tplc="E6CCD0A0">
      <w:numFmt w:val="bullet"/>
      <w:lvlText w:val="•"/>
      <w:lvlJc w:val="left"/>
      <w:pPr>
        <w:ind w:left="2291" w:hanging="100"/>
      </w:pPr>
      <w:rPr>
        <w:rFonts w:hint="default"/>
      </w:rPr>
    </w:lvl>
  </w:abstractNum>
  <w:abstractNum w:abstractNumId="637" w15:restartNumberingAfterBreak="0">
    <w:nsid w:val="28B0329C"/>
    <w:multiLevelType w:val="hybridMultilevel"/>
    <w:tmpl w:val="ACD4D244"/>
    <w:lvl w:ilvl="0" w:tplc="263C479E">
      <w:numFmt w:val="bullet"/>
      <w:lvlText w:val=""/>
      <w:lvlJc w:val="left"/>
      <w:pPr>
        <w:ind w:left="156" w:hanging="100"/>
      </w:pPr>
      <w:rPr>
        <w:rFonts w:ascii="Symbol" w:eastAsia="Symbol" w:hAnsi="Symbol" w:cs="Symbol" w:hint="default"/>
        <w:color w:val="231F20"/>
        <w:w w:val="100"/>
        <w:sz w:val="14"/>
        <w:szCs w:val="14"/>
      </w:rPr>
    </w:lvl>
    <w:lvl w:ilvl="1" w:tplc="F0627390">
      <w:numFmt w:val="bullet"/>
      <w:lvlText w:val="•"/>
      <w:lvlJc w:val="left"/>
      <w:pPr>
        <w:ind w:left="301" w:hanging="100"/>
      </w:pPr>
      <w:rPr>
        <w:rFonts w:hint="default"/>
      </w:rPr>
    </w:lvl>
    <w:lvl w:ilvl="2" w:tplc="EC284434">
      <w:numFmt w:val="bullet"/>
      <w:lvlText w:val="•"/>
      <w:lvlJc w:val="left"/>
      <w:pPr>
        <w:ind w:left="443" w:hanging="100"/>
      </w:pPr>
      <w:rPr>
        <w:rFonts w:hint="default"/>
      </w:rPr>
    </w:lvl>
    <w:lvl w:ilvl="3" w:tplc="F2263C98">
      <w:numFmt w:val="bullet"/>
      <w:lvlText w:val="•"/>
      <w:lvlJc w:val="left"/>
      <w:pPr>
        <w:ind w:left="585" w:hanging="100"/>
      </w:pPr>
      <w:rPr>
        <w:rFonts w:hint="default"/>
      </w:rPr>
    </w:lvl>
    <w:lvl w:ilvl="4" w:tplc="1F5A4B08">
      <w:numFmt w:val="bullet"/>
      <w:lvlText w:val="•"/>
      <w:lvlJc w:val="left"/>
      <w:pPr>
        <w:ind w:left="726" w:hanging="100"/>
      </w:pPr>
      <w:rPr>
        <w:rFonts w:hint="default"/>
      </w:rPr>
    </w:lvl>
    <w:lvl w:ilvl="5" w:tplc="D10C4BF4">
      <w:numFmt w:val="bullet"/>
      <w:lvlText w:val="•"/>
      <w:lvlJc w:val="left"/>
      <w:pPr>
        <w:ind w:left="868" w:hanging="100"/>
      </w:pPr>
      <w:rPr>
        <w:rFonts w:hint="default"/>
      </w:rPr>
    </w:lvl>
    <w:lvl w:ilvl="6" w:tplc="5C56AA44">
      <w:numFmt w:val="bullet"/>
      <w:lvlText w:val="•"/>
      <w:lvlJc w:val="left"/>
      <w:pPr>
        <w:ind w:left="1010" w:hanging="100"/>
      </w:pPr>
      <w:rPr>
        <w:rFonts w:hint="default"/>
      </w:rPr>
    </w:lvl>
    <w:lvl w:ilvl="7" w:tplc="6A06D544">
      <w:numFmt w:val="bullet"/>
      <w:lvlText w:val="•"/>
      <w:lvlJc w:val="left"/>
      <w:pPr>
        <w:ind w:left="1151" w:hanging="100"/>
      </w:pPr>
      <w:rPr>
        <w:rFonts w:hint="default"/>
      </w:rPr>
    </w:lvl>
    <w:lvl w:ilvl="8" w:tplc="3C2E2554">
      <w:numFmt w:val="bullet"/>
      <w:lvlText w:val="•"/>
      <w:lvlJc w:val="left"/>
      <w:pPr>
        <w:ind w:left="1293" w:hanging="100"/>
      </w:pPr>
      <w:rPr>
        <w:rFonts w:hint="default"/>
      </w:rPr>
    </w:lvl>
  </w:abstractNum>
  <w:abstractNum w:abstractNumId="638" w15:restartNumberingAfterBreak="0">
    <w:nsid w:val="28C12D60"/>
    <w:multiLevelType w:val="hybridMultilevel"/>
    <w:tmpl w:val="0AACE5B2"/>
    <w:lvl w:ilvl="0" w:tplc="7A64E7C2">
      <w:numFmt w:val="bullet"/>
      <w:lvlText w:val=""/>
      <w:lvlJc w:val="left"/>
      <w:pPr>
        <w:ind w:left="156" w:hanging="100"/>
      </w:pPr>
      <w:rPr>
        <w:rFonts w:ascii="Symbol" w:eastAsia="Symbol" w:hAnsi="Symbol" w:cs="Symbol" w:hint="default"/>
        <w:color w:val="231F20"/>
        <w:w w:val="100"/>
        <w:sz w:val="14"/>
        <w:szCs w:val="14"/>
      </w:rPr>
    </w:lvl>
    <w:lvl w:ilvl="1" w:tplc="9990D392">
      <w:numFmt w:val="bullet"/>
      <w:lvlText w:val="•"/>
      <w:lvlJc w:val="left"/>
      <w:pPr>
        <w:ind w:left="301" w:hanging="100"/>
      </w:pPr>
      <w:rPr>
        <w:rFonts w:hint="default"/>
      </w:rPr>
    </w:lvl>
    <w:lvl w:ilvl="2" w:tplc="098481DE">
      <w:numFmt w:val="bullet"/>
      <w:lvlText w:val="•"/>
      <w:lvlJc w:val="left"/>
      <w:pPr>
        <w:ind w:left="443" w:hanging="100"/>
      </w:pPr>
      <w:rPr>
        <w:rFonts w:hint="default"/>
      </w:rPr>
    </w:lvl>
    <w:lvl w:ilvl="3" w:tplc="C4D6C162">
      <w:numFmt w:val="bullet"/>
      <w:lvlText w:val="•"/>
      <w:lvlJc w:val="left"/>
      <w:pPr>
        <w:ind w:left="585" w:hanging="100"/>
      </w:pPr>
      <w:rPr>
        <w:rFonts w:hint="default"/>
      </w:rPr>
    </w:lvl>
    <w:lvl w:ilvl="4" w:tplc="6A56D0D4">
      <w:numFmt w:val="bullet"/>
      <w:lvlText w:val="•"/>
      <w:lvlJc w:val="left"/>
      <w:pPr>
        <w:ind w:left="726" w:hanging="100"/>
      </w:pPr>
      <w:rPr>
        <w:rFonts w:hint="default"/>
      </w:rPr>
    </w:lvl>
    <w:lvl w:ilvl="5" w:tplc="E7B0FD0A">
      <w:numFmt w:val="bullet"/>
      <w:lvlText w:val="•"/>
      <w:lvlJc w:val="left"/>
      <w:pPr>
        <w:ind w:left="868" w:hanging="100"/>
      </w:pPr>
      <w:rPr>
        <w:rFonts w:hint="default"/>
      </w:rPr>
    </w:lvl>
    <w:lvl w:ilvl="6" w:tplc="0898F746">
      <w:numFmt w:val="bullet"/>
      <w:lvlText w:val="•"/>
      <w:lvlJc w:val="left"/>
      <w:pPr>
        <w:ind w:left="1010" w:hanging="100"/>
      </w:pPr>
      <w:rPr>
        <w:rFonts w:hint="default"/>
      </w:rPr>
    </w:lvl>
    <w:lvl w:ilvl="7" w:tplc="DF80ECA4">
      <w:numFmt w:val="bullet"/>
      <w:lvlText w:val="•"/>
      <w:lvlJc w:val="left"/>
      <w:pPr>
        <w:ind w:left="1151" w:hanging="100"/>
      </w:pPr>
      <w:rPr>
        <w:rFonts w:hint="default"/>
      </w:rPr>
    </w:lvl>
    <w:lvl w:ilvl="8" w:tplc="ED7EBB3A">
      <w:numFmt w:val="bullet"/>
      <w:lvlText w:val="•"/>
      <w:lvlJc w:val="left"/>
      <w:pPr>
        <w:ind w:left="1293" w:hanging="100"/>
      </w:pPr>
      <w:rPr>
        <w:rFonts w:hint="default"/>
      </w:rPr>
    </w:lvl>
  </w:abstractNum>
  <w:abstractNum w:abstractNumId="639" w15:restartNumberingAfterBreak="0">
    <w:nsid w:val="28D235F6"/>
    <w:multiLevelType w:val="hybridMultilevel"/>
    <w:tmpl w:val="D9147622"/>
    <w:lvl w:ilvl="0" w:tplc="4FF60E32">
      <w:numFmt w:val="bullet"/>
      <w:lvlText w:val=""/>
      <w:lvlJc w:val="left"/>
      <w:pPr>
        <w:ind w:left="157" w:hanging="100"/>
      </w:pPr>
      <w:rPr>
        <w:rFonts w:ascii="Symbol" w:eastAsia="Symbol" w:hAnsi="Symbol" w:cs="Symbol" w:hint="default"/>
        <w:color w:val="231F20"/>
        <w:w w:val="100"/>
        <w:sz w:val="14"/>
        <w:szCs w:val="14"/>
      </w:rPr>
    </w:lvl>
    <w:lvl w:ilvl="1" w:tplc="E528C70C">
      <w:numFmt w:val="bullet"/>
      <w:lvlText w:val="•"/>
      <w:lvlJc w:val="left"/>
      <w:pPr>
        <w:ind w:left="426" w:hanging="100"/>
      </w:pPr>
      <w:rPr>
        <w:rFonts w:hint="default"/>
      </w:rPr>
    </w:lvl>
    <w:lvl w:ilvl="2" w:tplc="B0D8E990">
      <w:numFmt w:val="bullet"/>
      <w:lvlText w:val="•"/>
      <w:lvlJc w:val="left"/>
      <w:pPr>
        <w:ind w:left="692" w:hanging="100"/>
      </w:pPr>
      <w:rPr>
        <w:rFonts w:hint="default"/>
      </w:rPr>
    </w:lvl>
    <w:lvl w:ilvl="3" w:tplc="DEFE4F0E">
      <w:numFmt w:val="bullet"/>
      <w:lvlText w:val="•"/>
      <w:lvlJc w:val="left"/>
      <w:pPr>
        <w:ind w:left="959" w:hanging="100"/>
      </w:pPr>
      <w:rPr>
        <w:rFonts w:hint="default"/>
      </w:rPr>
    </w:lvl>
    <w:lvl w:ilvl="4" w:tplc="4D3A105E">
      <w:numFmt w:val="bullet"/>
      <w:lvlText w:val="•"/>
      <w:lvlJc w:val="left"/>
      <w:pPr>
        <w:ind w:left="1225" w:hanging="100"/>
      </w:pPr>
      <w:rPr>
        <w:rFonts w:hint="default"/>
      </w:rPr>
    </w:lvl>
    <w:lvl w:ilvl="5" w:tplc="49CA3DBA">
      <w:numFmt w:val="bullet"/>
      <w:lvlText w:val="•"/>
      <w:lvlJc w:val="left"/>
      <w:pPr>
        <w:ind w:left="1492" w:hanging="100"/>
      </w:pPr>
      <w:rPr>
        <w:rFonts w:hint="default"/>
      </w:rPr>
    </w:lvl>
    <w:lvl w:ilvl="6" w:tplc="5E02CBC6">
      <w:numFmt w:val="bullet"/>
      <w:lvlText w:val="•"/>
      <w:lvlJc w:val="left"/>
      <w:pPr>
        <w:ind w:left="1758" w:hanging="100"/>
      </w:pPr>
      <w:rPr>
        <w:rFonts w:hint="default"/>
      </w:rPr>
    </w:lvl>
    <w:lvl w:ilvl="7" w:tplc="1C80D086">
      <w:numFmt w:val="bullet"/>
      <w:lvlText w:val="•"/>
      <w:lvlJc w:val="left"/>
      <w:pPr>
        <w:ind w:left="2024" w:hanging="100"/>
      </w:pPr>
      <w:rPr>
        <w:rFonts w:hint="default"/>
      </w:rPr>
    </w:lvl>
    <w:lvl w:ilvl="8" w:tplc="2AF0AFCE">
      <w:numFmt w:val="bullet"/>
      <w:lvlText w:val="•"/>
      <w:lvlJc w:val="left"/>
      <w:pPr>
        <w:ind w:left="2291" w:hanging="100"/>
      </w:pPr>
      <w:rPr>
        <w:rFonts w:hint="default"/>
      </w:rPr>
    </w:lvl>
  </w:abstractNum>
  <w:abstractNum w:abstractNumId="640" w15:restartNumberingAfterBreak="0">
    <w:nsid w:val="28D82B87"/>
    <w:multiLevelType w:val="hybridMultilevel"/>
    <w:tmpl w:val="3A961EB2"/>
    <w:lvl w:ilvl="0" w:tplc="FE521E0E">
      <w:numFmt w:val="bullet"/>
      <w:lvlText w:val=""/>
      <w:lvlJc w:val="left"/>
      <w:pPr>
        <w:ind w:left="156" w:hanging="100"/>
      </w:pPr>
      <w:rPr>
        <w:rFonts w:ascii="Symbol" w:eastAsia="Symbol" w:hAnsi="Symbol" w:cs="Symbol" w:hint="default"/>
        <w:color w:val="231F20"/>
        <w:w w:val="100"/>
        <w:sz w:val="14"/>
        <w:szCs w:val="14"/>
      </w:rPr>
    </w:lvl>
    <w:lvl w:ilvl="1" w:tplc="863E8958">
      <w:numFmt w:val="bullet"/>
      <w:lvlText w:val="•"/>
      <w:lvlJc w:val="left"/>
      <w:pPr>
        <w:ind w:left="426" w:hanging="100"/>
      </w:pPr>
      <w:rPr>
        <w:rFonts w:hint="default"/>
      </w:rPr>
    </w:lvl>
    <w:lvl w:ilvl="2" w:tplc="810ACFD2">
      <w:numFmt w:val="bullet"/>
      <w:lvlText w:val="•"/>
      <w:lvlJc w:val="left"/>
      <w:pPr>
        <w:ind w:left="692" w:hanging="100"/>
      </w:pPr>
      <w:rPr>
        <w:rFonts w:hint="default"/>
      </w:rPr>
    </w:lvl>
    <w:lvl w:ilvl="3" w:tplc="25603BEC">
      <w:numFmt w:val="bullet"/>
      <w:lvlText w:val="•"/>
      <w:lvlJc w:val="left"/>
      <w:pPr>
        <w:ind w:left="959" w:hanging="100"/>
      </w:pPr>
      <w:rPr>
        <w:rFonts w:hint="default"/>
      </w:rPr>
    </w:lvl>
    <w:lvl w:ilvl="4" w:tplc="595E0164">
      <w:numFmt w:val="bullet"/>
      <w:lvlText w:val="•"/>
      <w:lvlJc w:val="left"/>
      <w:pPr>
        <w:ind w:left="1225" w:hanging="100"/>
      </w:pPr>
      <w:rPr>
        <w:rFonts w:hint="default"/>
      </w:rPr>
    </w:lvl>
    <w:lvl w:ilvl="5" w:tplc="A86E330C">
      <w:numFmt w:val="bullet"/>
      <w:lvlText w:val="•"/>
      <w:lvlJc w:val="left"/>
      <w:pPr>
        <w:ind w:left="1492" w:hanging="100"/>
      </w:pPr>
      <w:rPr>
        <w:rFonts w:hint="default"/>
      </w:rPr>
    </w:lvl>
    <w:lvl w:ilvl="6" w:tplc="AC7485EE">
      <w:numFmt w:val="bullet"/>
      <w:lvlText w:val="•"/>
      <w:lvlJc w:val="left"/>
      <w:pPr>
        <w:ind w:left="1758" w:hanging="100"/>
      </w:pPr>
      <w:rPr>
        <w:rFonts w:hint="default"/>
      </w:rPr>
    </w:lvl>
    <w:lvl w:ilvl="7" w:tplc="670E1836">
      <w:numFmt w:val="bullet"/>
      <w:lvlText w:val="•"/>
      <w:lvlJc w:val="left"/>
      <w:pPr>
        <w:ind w:left="2024" w:hanging="100"/>
      </w:pPr>
      <w:rPr>
        <w:rFonts w:hint="default"/>
      </w:rPr>
    </w:lvl>
    <w:lvl w:ilvl="8" w:tplc="3DF0690C">
      <w:numFmt w:val="bullet"/>
      <w:lvlText w:val="•"/>
      <w:lvlJc w:val="left"/>
      <w:pPr>
        <w:ind w:left="2291" w:hanging="100"/>
      </w:pPr>
      <w:rPr>
        <w:rFonts w:hint="default"/>
      </w:rPr>
    </w:lvl>
  </w:abstractNum>
  <w:abstractNum w:abstractNumId="641" w15:restartNumberingAfterBreak="0">
    <w:nsid w:val="28F33356"/>
    <w:multiLevelType w:val="hybridMultilevel"/>
    <w:tmpl w:val="4CDCEB96"/>
    <w:lvl w:ilvl="0" w:tplc="6518BE3A">
      <w:numFmt w:val="bullet"/>
      <w:lvlText w:val=""/>
      <w:lvlJc w:val="left"/>
      <w:pPr>
        <w:ind w:left="157" w:hanging="100"/>
      </w:pPr>
      <w:rPr>
        <w:rFonts w:ascii="Symbol" w:eastAsia="Symbol" w:hAnsi="Symbol" w:cs="Symbol" w:hint="default"/>
        <w:color w:val="231F20"/>
        <w:w w:val="100"/>
        <w:sz w:val="14"/>
        <w:szCs w:val="14"/>
      </w:rPr>
    </w:lvl>
    <w:lvl w:ilvl="1" w:tplc="63729EB2">
      <w:numFmt w:val="bullet"/>
      <w:lvlText w:val="•"/>
      <w:lvlJc w:val="left"/>
      <w:pPr>
        <w:ind w:left="369" w:hanging="100"/>
      </w:pPr>
      <w:rPr>
        <w:rFonts w:hint="default"/>
      </w:rPr>
    </w:lvl>
    <w:lvl w:ilvl="2" w:tplc="87C07456">
      <w:numFmt w:val="bullet"/>
      <w:lvlText w:val="•"/>
      <w:lvlJc w:val="left"/>
      <w:pPr>
        <w:ind w:left="579" w:hanging="100"/>
      </w:pPr>
      <w:rPr>
        <w:rFonts w:hint="default"/>
      </w:rPr>
    </w:lvl>
    <w:lvl w:ilvl="3" w:tplc="8DF2E8D0">
      <w:numFmt w:val="bullet"/>
      <w:lvlText w:val="•"/>
      <w:lvlJc w:val="left"/>
      <w:pPr>
        <w:ind w:left="789" w:hanging="100"/>
      </w:pPr>
      <w:rPr>
        <w:rFonts w:hint="default"/>
      </w:rPr>
    </w:lvl>
    <w:lvl w:ilvl="4" w:tplc="F14EEA26">
      <w:numFmt w:val="bullet"/>
      <w:lvlText w:val="•"/>
      <w:lvlJc w:val="left"/>
      <w:pPr>
        <w:ind w:left="998" w:hanging="100"/>
      </w:pPr>
      <w:rPr>
        <w:rFonts w:hint="default"/>
      </w:rPr>
    </w:lvl>
    <w:lvl w:ilvl="5" w:tplc="320A2BCE">
      <w:numFmt w:val="bullet"/>
      <w:lvlText w:val="•"/>
      <w:lvlJc w:val="left"/>
      <w:pPr>
        <w:ind w:left="1208" w:hanging="100"/>
      </w:pPr>
      <w:rPr>
        <w:rFonts w:hint="default"/>
      </w:rPr>
    </w:lvl>
    <w:lvl w:ilvl="6" w:tplc="F050E882">
      <w:numFmt w:val="bullet"/>
      <w:lvlText w:val="•"/>
      <w:lvlJc w:val="left"/>
      <w:pPr>
        <w:ind w:left="1418" w:hanging="100"/>
      </w:pPr>
      <w:rPr>
        <w:rFonts w:hint="default"/>
      </w:rPr>
    </w:lvl>
    <w:lvl w:ilvl="7" w:tplc="58F2928C">
      <w:numFmt w:val="bullet"/>
      <w:lvlText w:val="•"/>
      <w:lvlJc w:val="left"/>
      <w:pPr>
        <w:ind w:left="1627" w:hanging="100"/>
      </w:pPr>
      <w:rPr>
        <w:rFonts w:hint="default"/>
      </w:rPr>
    </w:lvl>
    <w:lvl w:ilvl="8" w:tplc="95124658">
      <w:numFmt w:val="bullet"/>
      <w:lvlText w:val="•"/>
      <w:lvlJc w:val="left"/>
      <w:pPr>
        <w:ind w:left="1837" w:hanging="100"/>
      </w:pPr>
      <w:rPr>
        <w:rFonts w:hint="default"/>
      </w:rPr>
    </w:lvl>
  </w:abstractNum>
  <w:abstractNum w:abstractNumId="642" w15:restartNumberingAfterBreak="0">
    <w:nsid w:val="28FF7C0A"/>
    <w:multiLevelType w:val="hybridMultilevel"/>
    <w:tmpl w:val="D8C0ECA2"/>
    <w:lvl w:ilvl="0" w:tplc="AF0267E6">
      <w:numFmt w:val="bullet"/>
      <w:lvlText w:val=""/>
      <w:lvlJc w:val="left"/>
      <w:pPr>
        <w:ind w:left="156" w:hanging="100"/>
      </w:pPr>
      <w:rPr>
        <w:rFonts w:ascii="Symbol" w:eastAsia="Symbol" w:hAnsi="Symbol" w:cs="Symbol" w:hint="default"/>
        <w:color w:val="231F20"/>
        <w:w w:val="100"/>
        <w:sz w:val="14"/>
        <w:szCs w:val="14"/>
      </w:rPr>
    </w:lvl>
    <w:lvl w:ilvl="1" w:tplc="52528242">
      <w:numFmt w:val="bullet"/>
      <w:lvlText w:val="•"/>
      <w:lvlJc w:val="left"/>
      <w:pPr>
        <w:ind w:left="454" w:hanging="100"/>
      </w:pPr>
      <w:rPr>
        <w:rFonts w:hint="default"/>
      </w:rPr>
    </w:lvl>
    <w:lvl w:ilvl="2" w:tplc="BF5A5A56">
      <w:numFmt w:val="bullet"/>
      <w:lvlText w:val="•"/>
      <w:lvlJc w:val="left"/>
      <w:pPr>
        <w:ind w:left="749" w:hanging="100"/>
      </w:pPr>
      <w:rPr>
        <w:rFonts w:hint="default"/>
      </w:rPr>
    </w:lvl>
    <w:lvl w:ilvl="3" w:tplc="090C7306">
      <w:numFmt w:val="bullet"/>
      <w:lvlText w:val="•"/>
      <w:lvlJc w:val="left"/>
      <w:pPr>
        <w:ind w:left="1044" w:hanging="100"/>
      </w:pPr>
      <w:rPr>
        <w:rFonts w:hint="default"/>
      </w:rPr>
    </w:lvl>
    <w:lvl w:ilvl="4" w:tplc="2440F4A2">
      <w:numFmt w:val="bullet"/>
      <w:lvlText w:val="•"/>
      <w:lvlJc w:val="left"/>
      <w:pPr>
        <w:ind w:left="1339" w:hanging="100"/>
      </w:pPr>
      <w:rPr>
        <w:rFonts w:hint="default"/>
      </w:rPr>
    </w:lvl>
    <w:lvl w:ilvl="5" w:tplc="A19A10E0">
      <w:numFmt w:val="bullet"/>
      <w:lvlText w:val="•"/>
      <w:lvlJc w:val="left"/>
      <w:pPr>
        <w:ind w:left="1634" w:hanging="100"/>
      </w:pPr>
      <w:rPr>
        <w:rFonts w:hint="default"/>
      </w:rPr>
    </w:lvl>
    <w:lvl w:ilvl="6" w:tplc="C67AD7CC">
      <w:numFmt w:val="bullet"/>
      <w:lvlText w:val="•"/>
      <w:lvlJc w:val="left"/>
      <w:pPr>
        <w:ind w:left="1928" w:hanging="100"/>
      </w:pPr>
      <w:rPr>
        <w:rFonts w:hint="default"/>
      </w:rPr>
    </w:lvl>
    <w:lvl w:ilvl="7" w:tplc="6846B820">
      <w:numFmt w:val="bullet"/>
      <w:lvlText w:val="•"/>
      <w:lvlJc w:val="left"/>
      <w:pPr>
        <w:ind w:left="2223" w:hanging="100"/>
      </w:pPr>
      <w:rPr>
        <w:rFonts w:hint="default"/>
      </w:rPr>
    </w:lvl>
    <w:lvl w:ilvl="8" w:tplc="24543626">
      <w:numFmt w:val="bullet"/>
      <w:lvlText w:val="•"/>
      <w:lvlJc w:val="left"/>
      <w:pPr>
        <w:ind w:left="2518" w:hanging="100"/>
      </w:pPr>
      <w:rPr>
        <w:rFonts w:hint="default"/>
      </w:rPr>
    </w:lvl>
  </w:abstractNum>
  <w:abstractNum w:abstractNumId="643" w15:restartNumberingAfterBreak="0">
    <w:nsid w:val="29056752"/>
    <w:multiLevelType w:val="hybridMultilevel"/>
    <w:tmpl w:val="E79AA3AE"/>
    <w:lvl w:ilvl="0" w:tplc="DF240A5E">
      <w:numFmt w:val="bullet"/>
      <w:lvlText w:val=""/>
      <w:lvlJc w:val="left"/>
      <w:pPr>
        <w:ind w:left="156" w:hanging="100"/>
      </w:pPr>
      <w:rPr>
        <w:rFonts w:ascii="Symbol" w:eastAsia="Symbol" w:hAnsi="Symbol" w:cs="Symbol" w:hint="default"/>
        <w:color w:val="231F20"/>
        <w:w w:val="100"/>
        <w:sz w:val="14"/>
        <w:szCs w:val="14"/>
      </w:rPr>
    </w:lvl>
    <w:lvl w:ilvl="1" w:tplc="051C573A">
      <w:numFmt w:val="bullet"/>
      <w:lvlText w:val="•"/>
      <w:lvlJc w:val="left"/>
      <w:pPr>
        <w:ind w:left="301" w:hanging="100"/>
      </w:pPr>
      <w:rPr>
        <w:rFonts w:hint="default"/>
      </w:rPr>
    </w:lvl>
    <w:lvl w:ilvl="2" w:tplc="B614CE6C">
      <w:numFmt w:val="bullet"/>
      <w:lvlText w:val="•"/>
      <w:lvlJc w:val="left"/>
      <w:pPr>
        <w:ind w:left="443" w:hanging="100"/>
      </w:pPr>
      <w:rPr>
        <w:rFonts w:hint="default"/>
      </w:rPr>
    </w:lvl>
    <w:lvl w:ilvl="3" w:tplc="9536DD18">
      <w:numFmt w:val="bullet"/>
      <w:lvlText w:val="•"/>
      <w:lvlJc w:val="left"/>
      <w:pPr>
        <w:ind w:left="585" w:hanging="100"/>
      </w:pPr>
      <w:rPr>
        <w:rFonts w:hint="default"/>
      </w:rPr>
    </w:lvl>
    <w:lvl w:ilvl="4" w:tplc="5D3AF840">
      <w:numFmt w:val="bullet"/>
      <w:lvlText w:val="•"/>
      <w:lvlJc w:val="left"/>
      <w:pPr>
        <w:ind w:left="726" w:hanging="100"/>
      </w:pPr>
      <w:rPr>
        <w:rFonts w:hint="default"/>
      </w:rPr>
    </w:lvl>
    <w:lvl w:ilvl="5" w:tplc="61EE7F92">
      <w:numFmt w:val="bullet"/>
      <w:lvlText w:val="•"/>
      <w:lvlJc w:val="left"/>
      <w:pPr>
        <w:ind w:left="868" w:hanging="100"/>
      </w:pPr>
      <w:rPr>
        <w:rFonts w:hint="default"/>
      </w:rPr>
    </w:lvl>
    <w:lvl w:ilvl="6" w:tplc="7876AAF8">
      <w:numFmt w:val="bullet"/>
      <w:lvlText w:val="•"/>
      <w:lvlJc w:val="left"/>
      <w:pPr>
        <w:ind w:left="1010" w:hanging="100"/>
      </w:pPr>
      <w:rPr>
        <w:rFonts w:hint="default"/>
      </w:rPr>
    </w:lvl>
    <w:lvl w:ilvl="7" w:tplc="6A2EEFE4">
      <w:numFmt w:val="bullet"/>
      <w:lvlText w:val="•"/>
      <w:lvlJc w:val="left"/>
      <w:pPr>
        <w:ind w:left="1151" w:hanging="100"/>
      </w:pPr>
      <w:rPr>
        <w:rFonts w:hint="default"/>
      </w:rPr>
    </w:lvl>
    <w:lvl w:ilvl="8" w:tplc="BDDE5F40">
      <w:numFmt w:val="bullet"/>
      <w:lvlText w:val="•"/>
      <w:lvlJc w:val="left"/>
      <w:pPr>
        <w:ind w:left="1293" w:hanging="100"/>
      </w:pPr>
      <w:rPr>
        <w:rFonts w:hint="default"/>
      </w:rPr>
    </w:lvl>
  </w:abstractNum>
  <w:abstractNum w:abstractNumId="644" w15:restartNumberingAfterBreak="0">
    <w:nsid w:val="290735EC"/>
    <w:multiLevelType w:val="hybridMultilevel"/>
    <w:tmpl w:val="CA0A9554"/>
    <w:lvl w:ilvl="0" w:tplc="41BACF0E">
      <w:numFmt w:val="bullet"/>
      <w:lvlText w:val=""/>
      <w:lvlJc w:val="left"/>
      <w:pPr>
        <w:ind w:left="156" w:hanging="100"/>
      </w:pPr>
      <w:rPr>
        <w:rFonts w:ascii="Symbol" w:eastAsia="Symbol" w:hAnsi="Symbol" w:cs="Symbol" w:hint="default"/>
        <w:color w:val="231F20"/>
        <w:w w:val="100"/>
        <w:sz w:val="14"/>
        <w:szCs w:val="14"/>
      </w:rPr>
    </w:lvl>
    <w:lvl w:ilvl="1" w:tplc="E4AAEBEC">
      <w:numFmt w:val="bullet"/>
      <w:lvlText w:val="•"/>
      <w:lvlJc w:val="left"/>
      <w:pPr>
        <w:ind w:left="398" w:hanging="100"/>
      </w:pPr>
      <w:rPr>
        <w:rFonts w:hint="default"/>
      </w:rPr>
    </w:lvl>
    <w:lvl w:ilvl="2" w:tplc="50E249C8">
      <w:numFmt w:val="bullet"/>
      <w:lvlText w:val="•"/>
      <w:lvlJc w:val="left"/>
      <w:pPr>
        <w:ind w:left="636" w:hanging="100"/>
      </w:pPr>
      <w:rPr>
        <w:rFonts w:hint="default"/>
      </w:rPr>
    </w:lvl>
    <w:lvl w:ilvl="3" w:tplc="FF68C512">
      <w:numFmt w:val="bullet"/>
      <w:lvlText w:val="•"/>
      <w:lvlJc w:val="left"/>
      <w:pPr>
        <w:ind w:left="874" w:hanging="100"/>
      </w:pPr>
      <w:rPr>
        <w:rFonts w:hint="default"/>
      </w:rPr>
    </w:lvl>
    <w:lvl w:ilvl="4" w:tplc="FED6FC0A">
      <w:numFmt w:val="bullet"/>
      <w:lvlText w:val="•"/>
      <w:lvlJc w:val="left"/>
      <w:pPr>
        <w:ind w:left="1112" w:hanging="100"/>
      </w:pPr>
      <w:rPr>
        <w:rFonts w:hint="default"/>
      </w:rPr>
    </w:lvl>
    <w:lvl w:ilvl="5" w:tplc="992C91B0">
      <w:numFmt w:val="bullet"/>
      <w:lvlText w:val="•"/>
      <w:lvlJc w:val="left"/>
      <w:pPr>
        <w:ind w:left="1350" w:hanging="100"/>
      </w:pPr>
      <w:rPr>
        <w:rFonts w:hint="default"/>
      </w:rPr>
    </w:lvl>
    <w:lvl w:ilvl="6" w:tplc="A106077C">
      <w:numFmt w:val="bullet"/>
      <w:lvlText w:val="•"/>
      <w:lvlJc w:val="left"/>
      <w:pPr>
        <w:ind w:left="1588" w:hanging="100"/>
      </w:pPr>
      <w:rPr>
        <w:rFonts w:hint="default"/>
      </w:rPr>
    </w:lvl>
    <w:lvl w:ilvl="7" w:tplc="7F3227C8">
      <w:numFmt w:val="bullet"/>
      <w:lvlText w:val="•"/>
      <w:lvlJc w:val="left"/>
      <w:pPr>
        <w:ind w:left="1826" w:hanging="100"/>
      </w:pPr>
      <w:rPr>
        <w:rFonts w:hint="default"/>
      </w:rPr>
    </w:lvl>
    <w:lvl w:ilvl="8" w:tplc="708E79CE">
      <w:numFmt w:val="bullet"/>
      <w:lvlText w:val="•"/>
      <w:lvlJc w:val="left"/>
      <w:pPr>
        <w:ind w:left="2064" w:hanging="100"/>
      </w:pPr>
      <w:rPr>
        <w:rFonts w:hint="default"/>
      </w:rPr>
    </w:lvl>
  </w:abstractNum>
  <w:abstractNum w:abstractNumId="645" w15:restartNumberingAfterBreak="0">
    <w:nsid w:val="2910149A"/>
    <w:multiLevelType w:val="hybridMultilevel"/>
    <w:tmpl w:val="382C37BE"/>
    <w:lvl w:ilvl="0" w:tplc="FE3031AC">
      <w:numFmt w:val="bullet"/>
      <w:lvlText w:val=""/>
      <w:lvlJc w:val="left"/>
      <w:pPr>
        <w:ind w:left="156" w:hanging="100"/>
      </w:pPr>
      <w:rPr>
        <w:rFonts w:ascii="Symbol" w:eastAsia="Symbol" w:hAnsi="Symbol" w:cs="Symbol" w:hint="default"/>
        <w:color w:val="231F20"/>
        <w:w w:val="100"/>
        <w:sz w:val="14"/>
        <w:szCs w:val="14"/>
      </w:rPr>
    </w:lvl>
    <w:lvl w:ilvl="1" w:tplc="E10AFEDE">
      <w:numFmt w:val="bullet"/>
      <w:lvlText w:val="•"/>
      <w:lvlJc w:val="left"/>
      <w:pPr>
        <w:ind w:left="454" w:hanging="100"/>
      </w:pPr>
      <w:rPr>
        <w:rFonts w:hint="default"/>
      </w:rPr>
    </w:lvl>
    <w:lvl w:ilvl="2" w:tplc="0F323DF4">
      <w:numFmt w:val="bullet"/>
      <w:lvlText w:val="•"/>
      <w:lvlJc w:val="left"/>
      <w:pPr>
        <w:ind w:left="749" w:hanging="100"/>
      </w:pPr>
      <w:rPr>
        <w:rFonts w:hint="default"/>
      </w:rPr>
    </w:lvl>
    <w:lvl w:ilvl="3" w:tplc="338AA866">
      <w:numFmt w:val="bullet"/>
      <w:lvlText w:val="•"/>
      <w:lvlJc w:val="left"/>
      <w:pPr>
        <w:ind w:left="1044" w:hanging="100"/>
      </w:pPr>
      <w:rPr>
        <w:rFonts w:hint="default"/>
      </w:rPr>
    </w:lvl>
    <w:lvl w:ilvl="4" w:tplc="BAE6A9A2">
      <w:numFmt w:val="bullet"/>
      <w:lvlText w:val="•"/>
      <w:lvlJc w:val="left"/>
      <w:pPr>
        <w:ind w:left="1339" w:hanging="100"/>
      </w:pPr>
      <w:rPr>
        <w:rFonts w:hint="default"/>
      </w:rPr>
    </w:lvl>
    <w:lvl w:ilvl="5" w:tplc="48820D72">
      <w:numFmt w:val="bullet"/>
      <w:lvlText w:val="•"/>
      <w:lvlJc w:val="left"/>
      <w:pPr>
        <w:ind w:left="1634" w:hanging="100"/>
      </w:pPr>
      <w:rPr>
        <w:rFonts w:hint="default"/>
      </w:rPr>
    </w:lvl>
    <w:lvl w:ilvl="6" w:tplc="251C2720">
      <w:numFmt w:val="bullet"/>
      <w:lvlText w:val="•"/>
      <w:lvlJc w:val="left"/>
      <w:pPr>
        <w:ind w:left="1928" w:hanging="100"/>
      </w:pPr>
      <w:rPr>
        <w:rFonts w:hint="default"/>
      </w:rPr>
    </w:lvl>
    <w:lvl w:ilvl="7" w:tplc="708C0AAE">
      <w:numFmt w:val="bullet"/>
      <w:lvlText w:val="•"/>
      <w:lvlJc w:val="left"/>
      <w:pPr>
        <w:ind w:left="2223" w:hanging="100"/>
      </w:pPr>
      <w:rPr>
        <w:rFonts w:hint="default"/>
      </w:rPr>
    </w:lvl>
    <w:lvl w:ilvl="8" w:tplc="32F68546">
      <w:numFmt w:val="bullet"/>
      <w:lvlText w:val="•"/>
      <w:lvlJc w:val="left"/>
      <w:pPr>
        <w:ind w:left="2518" w:hanging="100"/>
      </w:pPr>
      <w:rPr>
        <w:rFonts w:hint="default"/>
      </w:rPr>
    </w:lvl>
  </w:abstractNum>
  <w:abstractNum w:abstractNumId="646" w15:restartNumberingAfterBreak="0">
    <w:nsid w:val="29223CC8"/>
    <w:multiLevelType w:val="hybridMultilevel"/>
    <w:tmpl w:val="01903540"/>
    <w:lvl w:ilvl="0" w:tplc="686EBB2C">
      <w:numFmt w:val="bullet"/>
      <w:lvlText w:val=""/>
      <w:lvlJc w:val="left"/>
      <w:pPr>
        <w:ind w:left="156" w:hanging="100"/>
      </w:pPr>
      <w:rPr>
        <w:rFonts w:ascii="Symbol" w:eastAsia="Symbol" w:hAnsi="Symbol" w:cs="Symbol" w:hint="default"/>
        <w:color w:val="231F20"/>
        <w:w w:val="100"/>
        <w:sz w:val="14"/>
        <w:szCs w:val="14"/>
      </w:rPr>
    </w:lvl>
    <w:lvl w:ilvl="1" w:tplc="10DE6544">
      <w:numFmt w:val="bullet"/>
      <w:lvlText w:val="•"/>
      <w:lvlJc w:val="left"/>
      <w:pPr>
        <w:ind w:left="398" w:hanging="100"/>
      </w:pPr>
      <w:rPr>
        <w:rFonts w:hint="default"/>
      </w:rPr>
    </w:lvl>
    <w:lvl w:ilvl="2" w:tplc="5B4E3DA6">
      <w:numFmt w:val="bullet"/>
      <w:lvlText w:val="•"/>
      <w:lvlJc w:val="left"/>
      <w:pPr>
        <w:ind w:left="636" w:hanging="100"/>
      </w:pPr>
      <w:rPr>
        <w:rFonts w:hint="default"/>
      </w:rPr>
    </w:lvl>
    <w:lvl w:ilvl="3" w:tplc="5D3C585A">
      <w:numFmt w:val="bullet"/>
      <w:lvlText w:val="•"/>
      <w:lvlJc w:val="left"/>
      <w:pPr>
        <w:ind w:left="874" w:hanging="100"/>
      </w:pPr>
      <w:rPr>
        <w:rFonts w:hint="default"/>
      </w:rPr>
    </w:lvl>
    <w:lvl w:ilvl="4" w:tplc="CDBA1128">
      <w:numFmt w:val="bullet"/>
      <w:lvlText w:val="•"/>
      <w:lvlJc w:val="left"/>
      <w:pPr>
        <w:ind w:left="1112" w:hanging="100"/>
      </w:pPr>
      <w:rPr>
        <w:rFonts w:hint="default"/>
      </w:rPr>
    </w:lvl>
    <w:lvl w:ilvl="5" w:tplc="7500EEF8">
      <w:numFmt w:val="bullet"/>
      <w:lvlText w:val="•"/>
      <w:lvlJc w:val="left"/>
      <w:pPr>
        <w:ind w:left="1350" w:hanging="100"/>
      </w:pPr>
      <w:rPr>
        <w:rFonts w:hint="default"/>
      </w:rPr>
    </w:lvl>
    <w:lvl w:ilvl="6" w:tplc="652A6676">
      <w:numFmt w:val="bullet"/>
      <w:lvlText w:val="•"/>
      <w:lvlJc w:val="left"/>
      <w:pPr>
        <w:ind w:left="1588" w:hanging="100"/>
      </w:pPr>
      <w:rPr>
        <w:rFonts w:hint="default"/>
      </w:rPr>
    </w:lvl>
    <w:lvl w:ilvl="7" w:tplc="2ABA66B0">
      <w:numFmt w:val="bullet"/>
      <w:lvlText w:val="•"/>
      <w:lvlJc w:val="left"/>
      <w:pPr>
        <w:ind w:left="1826" w:hanging="100"/>
      </w:pPr>
      <w:rPr>
        <w:rFonts w:hint="default"/>
      </w:rPr>
    </w:lvl>
    <w:lvl w:ilvl="8" w:tplc="EE8E7F94">
      <w:numFmt w:val="bullet"/>
      <w:lvlText w:val="•"/>
      <w:lvlJc w:val="left"/>
      <w:pPr>
        <w:ind w:left="2064" w:hanging="100"/>
      </w:pPr>
      <w:rPr>
        <w:rFonts w:hint="default"/>
      </w:rPr>
    </w:lvl>
  </w:abstractNum>
  <w:abstractNum w:abstractNumId="647" w15:restartNumberingAfterBreak="0">
    <w:nsid w:val="293F0FA5"/>
    <w:multiLevelType w:val="hybridMultilevel"/>
    <w:tmpl w:val="C4381C34"/>
    <w:lvl w:ilvl="0" w:tplc="5BB4934E">
      <w:numFmt w:val="bullet"/>
      <w:lvlText w:val=""/>
      <w:lvlJc w:val="left"/>
      <w:pPr>
        <w:ind w:left="157" w:hanging="100"/>
      </w:pPr>
      <w:rPr>
        <w:rFonts w:ascii="Symbol" w:eastAsia="Symbol" w:hAnsi="Symbol" w:cs="Symbol" w:hint="default"/>
        <w:color w:val="231F20"/>
        <w:w w:val="100"/>
        <w:sz w:val="14"/>
        <w:szCs w:val="14"/>
      </w:rPr>
    </w:lvl>
    <w:lvl w:ilvl="1" w:tplc="BEE4A2CC">
      <w:numFmt w:val="bullet"/>
      <w:lvlText w:val="•"/>
      <w:lvlJc w:val="left"/>
      <w:pPr>
        <w:ind w:left="398" w:hanging="100"/>
      </w:pPr>
      <w:rPr>
        <w:rFonts w:hint="default"/>
      </w:rPr>
    </w:lvl>
    <w:lvl w:ilvl="2" w:tplc="1DE2BC2A">
      <w:numFmt w:val="bullet"/>
      <w:lvlText w:val="•"/>
      <w:lvlJc w:val="left"/>
      <w:pPr>
        <w:ind w:left="636" w:hanging="100"/>
      </w:pPr>
      <w:rPr>
        <w:rFonts w:hint="default"/>
      </w:rPr>
    </w:lvl>
    <w:lvl w:ilvl="3" w:tplc="3990B3E8">
      <w:numFmt w:val="bullet"/>
      <w:lvlText w:val="•"/>
      <w:lvlJc w:val="left"/>
      <w:pPr>
        <w:ind w:left="874" w:hanging="100"/>
      </w:pPr>
      <w:rPr>
        <w:rFonts w:hint="default"/>
      </w:rPr>
    </w:lvl>
    <w:lvl w:ilvl="4" w:tplc="595CA4C8">
      <w:numFmt w:val="bullet"/>
      <w:lvlText w:val="•"/>
      <w:lvlJc w:val="left"/>
      <w:pPr>
        <w:ind w:left="1112" w:hanging="100"/>
      </w:pPr>
      <w:rPr>
        <w:rFonts w:hint="default"/>
      </w:rPr>
    </w:lvl>
    <w:lvl w:ilvl="5" w:tplc="05D2857A">
      <w:numFmt w:val="bullet"/>
      <w:lvlText w:val="•"/>
      <w:lvlJc w:val="left"/>
      <w:pPr>
        <w:ind w:left="1350" w:hanging="100"/>
      </w:pPr>
      <w:rPr>
        <w:rFonts w:hint="default"/>
      </w:rPr>
    </w:lvl>
    <w:lvl w:ilvl="6" w:tplc="0B6C916C">
      <w:numFmt w:val="bullet"/>
      <w:lvlText w:val="•"/>
      <w:lvlJc w:val="left"/>
      <w:pPr>
        <w:ind w:left="1588" w:hanging="100"/>
      </w:pPr>
      <w:rPr>
        <w:rFonts w:hint="default"/>
      </w:rPr>
    </w:lvl>
    <w:lvl w:ilvl="7" w:tplc="62749928">
      <w:numFmt w:val="bullet"/>
      <w:lvlText w:val="•"/>
      <w:lvlJc w:val="left"/>
      <w:pPr>
        <w:ind w:left="1826" w:hanging="100"/>
      </w:pPr>
      <w:rPr>
        <w:rFonts w:hint="default"/>
      </w:rPr>
    </w:lvl>
    <w:lvl w:ilvl="8" w:tplc="1D50CB0C">
      <w:numFmt w:val="bullet"/>
      <w:lvlText w:val="•"/>
      <w:lvlJc w:val="left"/>
      <w:pPr>
        <w:ind w:left="2064" w:hanging="100"/>
      </w:pPr>
      <w:rPr>
        <w:rFonts w:hint="default"/>
      </w:rPr>
    </w:lvl>
  </w:abstractNum>
  <w:abstractNum w:abstractNumId="648" w15:restartNumberingAfterBreak="0">
    <w:nsid w:val="294046FC"/>
    <w:multiLevelType w:val="hybridMultilevel"/>
    <w:tmpl w:val="F7CC13CE"/>
    <w:lvl w:ilvl="0" w:tplc="4B2C323A">
      <w:numFmt w:val="bullet"/>
      <w:lvlText w:val="–"/>
      <w:lvlJc w:val="left"/>
      <w:pPr>
        <w:ind w:left="162" w:hanging="105"/>
      </w:pPr>
      <w:rPr>
        <w:rFonts w:ascii="Times New Roman" w:eastAsia="Times New Roman" w:hAnsi="Times New Roman" w:cs="Times New Roman" w:hint="default"/>
        <w:color w:val="231F20"/>
        <w:spacing w:val="-2"/>
        <w:w w:val="100"/>
        <w:sz w:val="14"/>
        <w:szCs w:val="14"/>
      </w:rPr>
    </w:lvl>
    <w:lvl w:ilvl="1" w:tplc="23086938">
      <w:numFmt w:val="bullet"/>
      <w:lvlText w:val="•"/>
      <w:lvlJc w:val="left"/>
      <w:pPr>
        <w:ind w:left="426" w:hanging="105"/>
      </w:pPr>
      <w:rPr>
        <w:rFonts w:hint="default"/>
      </w:rPr>
    </w:lvl>
    <w:lvl w:ilvl="2" w:tplc="ECC01158">
      <w:numFmt w:val="bullet"/>
      <w:lvlText w:val="•"/>
      <w:lvlJc w:val="left"/>
      <w:pPr>
        <w:ind w:left="692" w:hanging="105"/>
      </w:pPr>
      <w:rPr>
        <w:rFonts w:hint="default"/>
      </w:rPr>
    </w:lvl>
    <w:lvl w:ilvl="3" w:tplc="BD7A74C2">
      <w:numFmt w:val="bullet"/>
      <w:lvlText w:val="•"/>
      <w:lvlJc w:val="left"/>
      <w:pPr>
        <w:ind w:left="959" w:hanging="105"/>
      </w:pPr>
      <w:rPr>
        <w:rFonts w:hint="default"/>
      </w:rPr>
    </w:lvl>
    <w:lvl w:ilvl="4" w:tplc="A00438AC">
      <w:numFmt w:val="bullet"/>
      <w:lvlText w:val="•"/>
      <w:lvlJc w:val="left"/>
      <w:pPr>
        <w:ind w:left="1225" w:hanging="105"/>
      </w:pPr>
      <w:rPr>
        <w:rFonts w:hint="default"/>
      </w:rPr>
    </w:lvl>
    <w:lvl w:ilvl="5" w:tplc="68E8E42C">
      <w:numFmt w:val="bullet"/>
      <w:lvlText w:val="•"/>
      <w:lvlJc w:val="left"/>
      <w:pPr>
        <w:ind w:left="1492" w:hanging="105"/>
      </w:pPr>
      <w:rPr>
        <w:rFonts w:hint="default"/>
      </w:rPr>
    </w:lvl>
    <w:lvl w:ilvl="6" w:tplc="1824853A">
      <w:numFmt w:val="bullet"/>
      <w:lvlText w:val="•"/>
      <w:lvlJc w:val="left"/>
      <w:pPr>
        <w:ind w:left="1758" w:hanging="105"/>
      </w:pPr>
      <w:rPr>
        <w:rFonts w:hint="default"/>
      </w:rPr>
    </w:lvl>
    <w:lvl w:ilvl="7" w:tplc="6F9061C0">
      <w:numFmt w:val="bullet"/>
      <w:lvlText w:val="•"/>
      <w:lvlJc w:val="left"/>
      <w:pPr>
        <w:ind w:left="2024" w:hanging="105"/>
      </w:pPr>
      <w:rPr>
        <w:rFonts w:hint="default"/>
      </w:rPr>
    </w:lvl>
    <w:lvl w:ilvl="8" w:tplc="6A3C1390">
      <w:numFmt w:val="bullet"/>
      <w:lvlText w:val="•"/>
      <w:lvlJc w:val="left"/>
      <w:pPr>
        <w:ind w:left="2291" w:hanging="105"/>
      </w:pPr>
      <w:rPr>
        <w:rFonts w:hint="default"/>
      </w:rPr>
    </w:lvl>
  </w:abstractNum>
  <w:abstractNum w:abstractNumId="649" w15:restartNumberingAfterBreak="0">
    <w:nsid w:val="294E45CE"/>
    <w:multiLevelType w:val="hybridMultilevel"/>
    <w:tmpl w:val="58C264EA"/>
    <w:lvl w:ilvl="0" w:tplc="D39CAFE4">
      <w:numFmt w:val="bullet"/>
      <w:lvlText w:val=""/>
      <w:lvlJc w:val="left"/>
      <w:pPr>
        <w:ind w:left="156" w:hanging="100"/>
      </w:pPr>
      <w:rPr>
        <w:rFonts w:ascii="Symbol" w:eastAsia="Symbol" w:hAnsi="Symbol" w:cs="Symbol" w:hint="default"/>
        <w:color w:val="231F20"/>
        <w:w w:val="100"/>
        <w:sz w:val="14"/>
        <w:szCs w:val="14"/>
      </w:rPr>
    </w:lvl>
    <w:lvl w:ilvl="1" w:tplc="4260CB52">
      <w:numFmt w:val="bullet"/>
      <w:lvlText w:val="•"/>
      <w:lvlJc w:val="left"/>
      <w:pPr>
        <w:ind w:left="426" w:hanging="100"/>
      </w:pPr>
      <w:rPr>
        <w:rFonts w:hint="default"/>
      </w:rPr>
    </w:lvl>
    <w:lvl w:ilvl="2" w:tplc="C53E5B72">
      <w:numFmt w:val="bullet"/>
      <w:lvlText w:val="•"/>
      <w:lvlJc w:val="left"/>
      <w:pPr>
        <w:ind w:left="692" w:hanging="100"/>
      </w:pPr>
      <w:rPr>
        <w:rFonts w:hint="default"/>
      </w:rPr>
    </w:lvl>
    <w:lvl w:ilvl="3" w:tplc="9E76A38A">
      <w:numFmt w:val="bullet"/>
      <w:lvlText w:val="•"/>
      <w:lvlJc w:val="left"/>
      <w:pPr>
        <w:ind w:left="959" w:hanging="100"/>
      </w:pPr>
      <w:rPr>
        <w:rFonts w:hint="default"/>
      </w:rPr>
    </w:lvl>
    <w:lvl w:ilvl="4" w:tplc="7C3685A0">
      <w:numFmt w:val="bullet"/>
      <w:lvlText w:val="•"/>
      <w:lvlJc w:val="left"/>
      <w:pPr>
        <w:ind w:left="1225" w:hanging="100"/>
      </w:pPr>
      <w:rPr>
        <w:rFonts w:hint="default"/>
      </w:rPr>
    </w:lvl>
    <w:lvl w:ilvl="5" w:tplc="DED633EA">
      <w:numFmt w:val="bullet"/>
      <w:lvlText w:val="•"/>
      <w:lvlJc w:val="left"/>
      <w:pPr>
        <w:ind w:left="1492" w:hanging="100"/>
      </w:pPr>
      <w:rPr>
        <w:rFonts w:hint="default"/>
      </w:rPr>
    </w:lvl>
    <w:lvl w:ilvl="6" w:tplc="E40636B8">
      <w:numFmt w:val="bullet"/>
      <w:lvlText w:val="•"/>
      <w:lvlJc w:val="left"/>
      <w:pPr>
        <w:ind w:left="1758" w:hanging="100"/>
      </w:pPr>
      <w:rPr>
        <w:rFonts w:hint="default"/>
      </w:rPr>
    </w:lvl>
    <w:lvl w:ilvl="7" w:tplc="82AC7336">
      <w:numFmt w:val="bullet"/>
      <w:lvlText w:val="•"/>
      <w:lvlJc w:val="left"/>
      <w:pPr>
        <w:ind w:left="2024" w:hanging="100"/>
      </w:pPr>
      <w:rPr>
        <w:rFonts w:hint="default"/>
      </w:rPr>
    </w:lvl>
    <w:lvl w:ilvl="8" w:tplc="702247EE">
      <w:numFmt w:val="bullet"/>
      <w:lvlText w:val="•"/>
      <w:lvlJc w:val="left"/>
      <w:pPr>
        <w:ind w:left="2291" w:hanging="100"/>
      </w:pPr>
      <w:rPr>
        <w:rFonts w:hint="default"/>
      </w:rPr>
    </w:lvl>
  </w:abstractNum>
  <w:abstractNum w:abstractNumId="650" w15:restartNumberingAfterBreak="0">
    <w:nsid w:val="295D7D63"/>
    <w:multiLevelType w:val="hybridMultilevel"/>
    <w:tmpl w:val="184C8B98"/>
    <w:lvl w:ilvl="0" w:tplc="C05E8D56">
      <w:numFmt w:val="bullet"/>
      <w:lvlText w:val=""/>
      <w:lvlJc w:val="left"/>
      <w:pPr>
        <w:ind w:left="157" w:hanging="100"/>
      </w:pPr>
      <w:rPr>
        <w:rFonts w:ascii="Symbol" w:eastAsia="Symbol" w:hAnsi="Symbol" w:cs="Symbol" w:hint="default"/>
        <w:color w:val="231F20"/>
        <w:w w:val="100"/>
        <w:sz w:val="14"/>
        <w:szCs w:val="14"/>
      </w:rPr>
    </w:lvl>
    <w:lvl w:ilvl="1" w:tplc="BEE00AE8">
      <w:numFmt w:val="bullet"/>
      <w:lvlText w:val="•"/>
      <w:lvlJc w:val="left"/>
      <w:pPr>
        <w:ind w:left="369" w:hanging="100"/>
      </w:pPr>
      <w:rPr>
        <w:rFonts w:hint="default"/>
      </w:rPr>
    </w:lvl>
    <w:lvl w:ilvl="2" w:tplc="C8CCC58E">
      <w:numFmt w:val="bullet"/>
      <w:lvlText w:val="•"/>
      <w:lvlJc w:val="left"/>
      <w:pPr>
        <w:ind w:left="579" w:hanging="100"/>
      </w:pPr>
      <w:rPr>
        <w:rFonts w:hint="default"/>
      </w:rPr>
    </w:lvl>
    <w:lvl w:ilvl="3" w:tplc="5E0EB2E8">
      <w:numFmt w:val="bullet"/>
      <w:lvlText w:val="•"/>
      <w:lvlJc w:val="left"/>
      <w:pPr>
        <w:ind w:left="789" w:hanging="100"/>
      </w:pPr>
      <w:rPr>
        <w:rFonts w:hint="default"/>
      </w:rPr>
    </w:lvl>
    <w:lvl w:ilvl="4" w:tplc="01708E26">
      <w:numFmt w:val="bullet"/>
      <w:lvlText w:val="•"/>
      <w:lvlJc w:val="left"/>
      <w:pPr>
        <w:ind w:left="998" w:hanging="100"/>
      </w:pPr>
      <w:rPr>
        <w:rFonts w:hint="default"/>
      </w:rPr>
    </w:lvl>
    <w:lvl w:ilvl="5" w:tplc="DFB22A98">
      <w:numFmt w:val="bullet"/>
      <w:lvlText w:val="•"/>
      <w:lvlJc w:val="left"/>
      <w:pPr>
        <w:ind w:left="1208" w:hanging="100"/>
      </w:pPr>
      <w:rPr>
        <w:rFonts w:hint="default"/>
      </w:rPr>
    </w:lvl>
    <w:lvl w:ilvl="6" w:tplc="751663B8">
      <w:numFmt w:val="bullet"/>
      <w:lvlText w:val="•"/>
      <w:lvlJc w:val="left"/>
      <w:pPr>
        <w:ind w:left="1418" w:hanging="100"/>
      </w:pPr>
      <w:rPr>
        <w:rFonts w:hint="default"/>
      </w:rPr>
    </w:lvl>
    <w:lvl w:ilvl="7" w:tplc="175C66E6">
      <w:numFmt w:val="bullet"/>
      <w:lvlText w:val="•"/>
      <w:lvlJc w:val="left"/>
      <w:pPr>
        <w:ind w:left="1627" w:hanging="100"/>
      </w:pPr>
      <w:rPr>
        <w:rFonts w:hint="default"/>
      </w:rPr>
    </w:lvl>
    <w:lvl w:ilvl="8" w:tplc="0274725A">
      <w:numFmt w:val="bullet"/>
      <w:lvlText w:val="•"/>
      <w:lvlJc w:val="left"/>
      <w:pPr>
        <w:ind w:left="1837" w:hanging="100"/>
      </w:pPr>
      <w:rPr>
        <w:rFonts w:hint="default"/>
      </w:rPr>
    </w:lvl>
  </w:abstractNum>
  <w:abstractNum w:abstractNumId="651" w15:restartNumberingAfterBreak="0">
    <w:nsid w:val="295E47E8"/>
    <w:multiLevelType w:val="hybridMultilevel"/>
    <w:tmpl w:val="C5AA997E"/>
    <w:lvl w:ilvl="0" w:tplc="12583FBA">
      <w:numFmt w:val="bullet"/>
      <w:lvlText w:val=""/>
      <w:lvlJc w:val="left"/>
      <w:pPr>
        <w:ind w:left="156" w:hanging="100"/>
      </w:pPr>
      <w:rPr>
        <w:rFonts w:ascii="Symbol" w:eastAsia="Symbol" w:hAnsi="Symbol" w:cs="Symbol" w:hint="default"/>
        <w:color w:val="231F20"/>
        <w:w w:val="100"/>
        <w:sz w:val="14"/>
        <w:szCs w:val="14"/>
      </w:rPr>
    </w:lvl>
    <w:lvl w:ilvl="1" w:tplc="39667042">
      <w:numFmt w:val="bullet"/>
      <w:lvlText w:val="•"/>
      <w:lvlJc w:val="left"/>
      <w:pPr>
        <w:ind w:left="301" w:hanging="100"/>
      </w:pPr>
      <w:rPr>
        <w:rFonts w:hint="default"/>
      </w:rPr>
    </w:lvl>
    <w:lvl w:ilvl="2" w:tplc="34AE6772">
      <w:numFmt w:val="bullet"/>
      <w:lvlText w:val="•"/>
      <w:lvlJc w:val="left"/>
      <w:pPr>
        <w:ind w:left="443" w:hanging="100"/>
      </w:pPr>
      <w:rPr>
        <w:rFonts w:hint="default"/>
      </w:rPr>
    </w:lvl>
    <w:lvl w:ilvl="3" w:tplc="F7A4EF6E">
      <w:numFmt w:val="bullet"/>
      <w:lvlText w:val="•"/>
      <w:lvlJc w:val="left"/>
      <w:pPr>
        <w:ind w:left="585" w:hanging="100"/>
      </w:pPr>
      <w:rPr>
        <w:rFonts w:hint="default"/>
      </w:rPr>
    </w:lvl>
    <w:lvl w:ilvl="4" w:tplc="104218A8">
      <w:numFmt w:val="bullet"/>
      <w:lvlText w:val="•"/>
      <w:lvlJc w:val="left"/>
      <w:pPr>
        <w:ind w:left="726" w:hanging="100"/>
      </w:pPr>
      <w:rPr>
        <w:rFonts w:hint="default"/>
      </w:rPr>
    </w:lvl>
    <w:lvl w:ilvl="5" w:tplc="4202BE5A">
      <w:numFmt w:val="bullet"/>
      <w:lvlText w:val="•"/>
      <w:lvlJc w:val="left"/>
      <w:pPr>
        <w:ind w:left="868" w:hanging="100"/>
      </w:pPr>
      <w:rPr>
        <w:rFonts w:hint="default"/>
      </w:rPr>
    </w:lvl>
    <w:lvl w:ilvl="6" w:tplc="3C10B3A4">
      <w:numFmt w:val="bullet"/>
      <w:lvlText w:val="•"/>
      <w:lvlJc w:val="left"/>
      <w:pPr>
        <w:ind w:left="1010" w:hanging="100"/>
      </w:pPr>
      <w:rPr>
        <w:rFonts w:hint="default"/>
      </w:rPr>
    </w:lvl>
    <w:lvl w:ilvl="7" w:tplc="4C443D1E">
      <w:numFmt w:val="bullet"/>
      <w:lvlText w:val="•"/>
      <w:lvlJc w:val="left"/>
      <w:pPr>
        <w:ind w:left="1151" w:hanging="100"/>
      </w:pPr>
      <w:rPr>
        <w:rFonts w:hint="default"/>
      </w:rPr>
    </w:lvl>
    <w:lvl w:ilvl="8" w:tplc="FD265D86">
      <w:numFmt w:val="bullet"/>
      <w:lvlText w:val="•"/>
      <w:lvlJc w:val="left"/>
      <w:pPr>
        <w:ind w:left="1293" w:hanging="100"/>
      </w:pPr>
      <w:rPr>
        <w:rFonts w:hint="default"/>
      </w:rPr>
    </w:lvl>
  </w:abstractNum>
  <w:abstractNum w:abstractNumId="652" w15:restartNumberingAfterBreak="0">
    <w:nsid w:val="298F0E35"/>
    <w:multiLevelType w:val="hybridMultilevel"/>
    <w:tmpl w:val="69068182"/>
    <w:lvl w:ilvl="0" w:tplc="F258C94E">
      <w:numFmt w:val="bullet"/>
      <w:lvlText w:val=""/>
      <w:lvlJc w:val="left"/>
      <w:pPr>
        <w:ind w:left="157" w:hanging="100"/>
      </w:pPr>
      <w:rPr>
        <w:rFonts w:ascii="Symbol" w:eastAsia="Symbol" w:hAnsi="Symbol" w:cs="Symbol" w:hint="default"/>
        <w:color w:val="231F20"/>
        <w:w w:val="100"/>
        <w:sz w:val="14"/>
        <w:szCs w:val="14"/>
      </w:rPr>
    </w:lvl>
    <w:lvl w:ilvl="1" w:tplc="5A2EF344">
      <w:numFmt w:val="bullet"/>
      <w:lvlText w:val="•"/>
      <w:lvlJc w:val="left"/>
      <w:pPr>
        <w:ind w:left="426" w:hanging="100"/>
      </w:pPr>
      <w:rPr>
        <w:rFonts w:hint="default"/>
      </w:rPr>
    </w:lvl>
    <w:lvl w:ilvl="2" w:tplc="0ECAA160">
      <w:numFmt w:val="bullet"/>
      <w:lvlText w:val="•"/>
      <w:lvlJc w:val="left"/>
      <w:pPr>
        <w:ind w:left="692" w:hanging="100"/>
      </w:pPr>
      <w:rPr>
        <w:rFonts w:hint="default"/>
      </w:rPr>
    </w:lvl>
    <w:lvl w:ilvl="3" w:tplc="62ACE076">
      <w:numFmt w:val="bullet"/>
      <w:lvlText w:val="•"/>
      <w:lvlJc w:val="left"/>
      <w:pPr>
        <w:ind w:left="959" w:hanging="100"/>
      </w:pPr>
      <w:rPr>
        <w:rFonts w:hint="default"/>
      </w:rPr>
    </w:lvl>
    <w:lvl w:ilvl="4" w:tplc="A35201F8">
      <w:numFmt w:val="bullet"/>
      <w:lvlText w:val="•"/>
      <w:lvlJc w:val="left"/>
      <w:pPr>
        <w:ind w:left="1225" w:hanging="100"/>
      </w:pPr>
      <w:rPr>
        <w:rFonts w:hint="default"/>
      </w:rPr>
    </w:lvl>
    <w:lvl w:ilvl="5" w:tplc="CCD81F7C">
      <w:numFmt w:val="bullet"/>
      <w:lvlText w:val="•"/>
      <w:lvlJc w:val="left"/>
      <w:pPr>
        <w:ind w:left="1492" w:hanging="100"/>
      </w:pPr>
      <w:rPr>
        <w:rFonts w:hint="default"/>
      </w:rPr>
    </w:lvl>
    <w:lvl w:ilvl="6" w:tplc="3A32E9A4">
      <w:numFmt w:val="bullet"/>
      <w:lvlText w:val="•"/>
      <w:lvlJc w:val="left"/>
      <w:pPr>
        <w:ind w:left="1758" w:hanging="100"/>
      </w:pPr>
      <w:rPr>
        <w:rFonts w:hint="default"/>
      </w:rPr>
    </w:lvl>
    <w:lvl w:ilvl="7" w:tplc="00DA25CA">
      <w:numFmt w:val="bullet"/>
      <w:lvlText w:val="•"/>
      <w:lvlJc w:val="left"/>
      <w:pPr>
        <w:ind w:left="2024" w:hanging="100"/>
      </w:pPr>
      <w:rPr>
        <w:rFonts w:hint="default"/>
      </w:rPr>
    </w:lvl>
    <w:lvl w:ilvl="8" w:tplc="222EC980">
      <w:numFmt w:val="bullet"/>
      <w:lvlText w:val="•"/>
      <w:lvlJc w:val="left"/>
      <w:pPr>
        <w:ind w:left="2291" w:hanging="100"/>
      </w:pPr>
      <w:rPr>
        <w:rFonts w:hint="default"/>
      </w:rPr>
    </w:lvl>
  </w:abstractNum>
  <w:abstractNum w:abstractNumId="653" w15:restartNumberingAfterBreak="0">
    <w:nsid w:val="29960A78"/>
    <w:multiLevelType w:val="hybridMultilevel"/>
    <w:tmpl w:val="956A9326"/>
    <w:lvl w:ilvl="0" w:tplc="BFC466E6">
      <w:numFmt w:val="bullet"/>
      <w:lvlText w:val=""/>
      <w:lvlJc w:val="left"/>
      <w:pPr>
        <w:ind w:left="156" w:hanging="100"/>
      </w:pPr>
      <w:rPr>
        <w:rFonts w:ascii="Symbol" w:eastAsia="Symbol" w:hAnsi="Symbol" w:cs="Symbol" w:hint="default"/>
        <w:color w:val="231F20"/>
        <w:w w:val="100"/>
        <w:sz w:val="14"/>
        <w:szCs w:val="14"/>
      </w:rPr>
    </w:lvl>
    <w:lvl w:ilvl="1" w:tplc="0A082A76">
      <w:numFmt w:val="bullet"/>
      <w:lvlText w:val="•"/>
      <w:lvlJc w:val="left"/>
      <w:pPr>
        <w:ind w:left="426" w:hanging="100"/>
      </w:pPr>
      <w:rPr>
        <w:rFonts w:hint="default"/>
      </w:rPr>
    </w:lvl>
    <w:lvl w:ilvl="2" w:tplc="7AFCB46A">
      <w:numFmt w:val="bullet"/>
      <w:lvlText w:val="•"/>
      <w:lvlJc w:val="left"/>
      <w:pPr>
        <w:ind w:left="692" w:hanging="100"/>
      </w:pPr>
      <w:rPr>
        <w:rFonts w:hint="default"/>
      </w:rPr>
    </w:lvl>
    <w:lvl w:ilvl="3" w:tplc="CB6C96D8">
      <w:numFmt w:val="bullet"/>
      <w:lvlText w:val="•"/>
      <w:lvlJc w:val="left"/>
      <w:pPr>
        <w:ind w:left="959" w:hanging="100"/>
      </w:pPr>
      <w:rPr>
        <w:rFonts w:hint="default"/>
      </w:rPr>
    </w:lvl>
    <w:lvl w:ilvl="4" w:tplc="64BE4468">
      <w:numFmt w:val="bullet"/>
      <w:lvlText w:val="•"/>
      <w:lvlJc w:val="left"/>
      <w:pPr>
        <w:ind w:left="1225" w:hanging="100"/>
      </w:pPr>
      <w:rPr>
        <w:rFonts w:hint="default"/>
      </w:rPr>
    </w:lvl>
    <w:lvl w:ilvl="5" w:tplc="B9744BE2">
      <w:numFmt w:val="bullet"/>
      <w:lvlText w:val="•"/>
      <w:lvlJc w:val="left"/>
      <w:pPr>
        <w:ind w:left="1492" w:hanging="100"/>
      </w:pPr>
      <w:rPr>
        <w:rFonts w:hint="default"/>
      </w:rPr>
    </w:lvl>
    <w:lvl w:ilvl="6" w:tplc="B55AE876">
      <w:numFmt w:val="bullet"/>
      <w:lvlText w:val="•"/>
      <w:lvlJc w:val="left"/>
      <w:pPr>
        <w:ind w:left="1758" w:hanging="100"/>
      </w:pPr>
      <w:rPr>
        <w:rFonts w:hint="default"/>
      </w:rPr>
    </w:lvl>
    <w:lvl w:ilvl="7" w:tplc="9AFE8CBC">
      <w:numFmt w:val="bullet"/>
      <w:lvlText w:val="•"/>
      <w:lvlJc w:val="left"/>
      <w:pPr>
        <w:ind w:left="2024" w:hanging="100"/>
      </w:pPr>
      <w:rPr>
        <w:rFonts w:hint="default"/>
      </w:rPr>
    </w:lvl>
    <w:lvl w:ilvl="8" w:tplc="A9A6C0A8">
      <w:numFmt w:val="bullet"/>
      <w:lvlText w:val="•"/>
      <w:lvlJc w:val="left"/>
      <w:pPr>
        <w:ind w:left="2291" w:hanging="100"/>
      </w:pPr>
      <w:rPr>
        <w:rFonts w:hint="default"/>
      </w:rPr>
    </w:lvl>
  </w:abstractNum>
  <w:abstractNum w:abstractNumId="654" w15:restartNumberingAfterBreak="0">
    <w:nsid w:val="29974D35"/>
    <w:multiLevelType w:val="hybridMultilevel"/>
    <w:tmpl w:val="74100AEC"/>
    <w:lvl w:ilvl="0" w:tplc="4E0EE18E">
      <w:numFmt w:val="bullet"/>
      <w:lvlText w:val=""/>
      <w:lvlJc w:val="left"/>
      <w:pPr>
        <w:ind w:left="156" w:hanging="100"/>
      </w:pPr>
      <w:rPr>
        <w:rFonts w:ascii="Symbol" w:eastAsia="Symbol" w:hAnsi="Symbol" w:cs="Symbol" w:hint="default"/>
        <w:color w:val="231F20"/>
        <w:w w:val="100"/>
        <w:sz w:val="14"/>
        <w:szCs w:val="14"/>
      </w:rPr>
    </w:lvl>
    <w:lvl w:ilvl="1" w:tplc="9DFA1E84">
      <w:numFmt w:val="bullet"/>
      <w:lvlText w:val="•"/>
      <w:lvlJc w:val="left"/>
      <w:pPr>
        <w:ind w:left="301" w:hanging="100"/>
      </w:pPr>
      <w:rPr>
        <w:rFonts w:hint="default"/>
      </w:rPr>
    </w:lvl>
    <w:lvl w:ilvl="2" w:tplc="2DBCFB12">
      <w:numFmt w:val="bullet"/>
      <w:lvlText w:val="•"/>
      <w:lvlJc w:val="left"/>
      <w:pPr>
        <w:ind w:left="443" w:hanging="100"/>
      </w:pPr>
      <w:rPr>
        <w:rFonts w:hint="default"/>
      </w:rPr>
    </w:lvl>
    <w:lvl w:ilvl="3" w:tplc="86620786">
      <w:numFmt w:val="bullet"/>
      <w:lvlText w:val="•"/>
      <w:lvlJc w:val="left"/>
      <w:pPr>
        <w:ind w:left="585" w:hanging="100"/>
      </w:pPr>
      <w:rPr>
        <w:rFonts w:hint="default"/>
      </w:rPr>
    </w:lvl>
    <w:lvl w:ilvl="4" w:tplc="1ABCE24A">
      <w:numFmt w:val="bullet"/>
      <w:lvlText w:val="•"/>
      <w:lvlJc w:val="left"/>
      <w:pPr>
        <w:ind w:left="726" w:hanging="100"/>
      </w:pPr>
      <w:rPr>
        <w:rFonts w:hint="default"/>
      </w:rPr>
    </w:lvl>
    <w:lvl w:ilvl="5" w:tplc="C9FEB052">
      <w:numFmt w:val="bullet"/>
      <w:lvlText w:val="•"/>
      <w:lvlJc w:val="left"/>
      <w:pPr>
        <w:ind w:left="868" w:hanging="100"/>
      </w:pPr>
      <w:rPr>
        <w:rFonts w:hint="default"/>
      </w:rPr>
    </w:lvl>
    <w:lvl w:ilvl="6" w:tplc="CA48D4DC">
      <w:numFmt w:val="bullet"/>
      <w:lvlText w:val="•"/>
      <w:lvlJc w:val="left"/>
      <w:pPr>
        <w:ind w:left="1010" w:hanging="100"/>
      </w:pPr>
      <w:rPr>
        <w:rFonts w:hint="default"/>
      </w:rPr>
    </w:lvl>
    <w:lvl w:ilvl="7" w:tplc="9CF6FF48">
      <w:numFmt w:val="bullet"/>
      <w:lvlText w:val="•"/>
      <w:lvlJc w:val="left"/>
      <w:pPr>
        <w:ind w:left="1151" w:hanging="100"/>
      </w:pPr>
      <w:rPr>
        <w:rFonts w:hint="default"/>
      </w:rPr>
    </w:lvl>
    <w:lvl w:ilvl="8" w:tplc="202EFDC6">
      <w:numFmt w:val="bullet"/>
      <w:lvlText w:val="•"/>
      <w:lvlJc w:val="left"/>
      <w:pPr>
        <w:ind w:left="1293" w:hanging="100"/>
      </w:pPr>
      <w:rPr>
        <w:rFonts w:hint="default"/>
      </w:rPr>
    </w:lvl>
  </w:abstractNum>
  <w:abstractNum w:abstractNumId="655" w15:restartNumberingAfterBreak="0">
    <w:nsid w:val="29A96C48"/>
    <w:multiLevelType w:val="hybridMultilevel"/>
    <w:tmpl w:val="C60428E4"/>
    <w:lvl w:ilvl="0" w:tplc="13B2EC5E">
      <w:numFmt w:val="bullet"/>
      <w:lvlText w:val=""/>
      <w:lvlJc w:val="left"/>
      <w:pPr>
        <w:ind w:left="156" w:hanging="100"/>
      </w:pPr>
      <w:rPr>
        <w:rFonts w:ascii="Symbol" w:eastAsia="Symbol" w:hAnsi="Symbol" w:cs="Symbol" w:hint="default"/>
        <w:color w:val="231F20"/>
        <w:w w:val="100"/>
        <w:sz w:val="14"/>
        <w:szCs w:val="14"/>
      </w:rPr>
    </w:lvl>
    <w:lvl w:ilvl="1" w:tplc="83D64A34">
      <w:numFmt w:val="bullet"/>
      <w:lvlText w:val="•"/>
      <w:lvlJc w:val="left"/>
      <w:pPr>
        <w:ind w:left="301" w:hanging="100"/>
      </w:pPr>
      <w:rPr>
        <w:rFonts w:hint="default"/>
      </w:rPr>
    </w:lvl>
    <w:lvl w:ilvl="2" w:tplc="FA428292">
      <w:numFmt w:val="bullet"/>
      <w:lvlText w:val="•"/>
      <w:lvlJc w:val="left"/>
      <w:pPr>
        <w:ind w:left="443" w:hanging="100"/>
      </w:pPr>
      <w:rPr>
        <w:rFonts w:hint="default"/>
      </w:rPr>
    </w:lvl>
    <w:lvl w:ilvl="3" w:tplc="B7CE12CE">
      <w:numFmt w:val="bullet"/>
      <w:lvlText w:val="•"/>
      <w:lvlJc w:val="left"/>
      <w:pPr>
        <w:ind w:left="585" w:hanging="100"/>
      </w:pPr>
      <w:rPr>
        <w:rFonts w:hint="default"/>
      </w:rPr>
    </w:lvl>
    <w:lvl w:ilvl="4" w:tplc="A7B6A540">
      <w:numFmt w:val="bullet"/>
      <w:lvlText w:val="•"/>
      <w:lvlJc w:val="left"/>
      <w:pPr>
        <w:ind w:left="726" w:hanging="100"/>
      </w:pPr>
      <w:rPr>
        <w:rFonts w:hint="default"/>
      </w:rPr>
    </w:lvl>
    <w:lvl w:ilvl="5" w:tplc="09EAA1B4">
      <w:numFmt w:val="bullet"/>
      <w:lvlText w:val="•"/>
      <w:lvlJc w:val="left"/>
      <w:pPr>
        <w:ind w:left="868" w:hanging="100"/>
      </w:pPr>
      <w:rPr>
        <w:rFonts w:hint="default"/>
      </w:rPr>
    </w:lvl>
    <w:lvl w:ilvl="6" w:tplc="236E756E">
      <w:numFmt w:val="bullet"/>
      <w:lvlText w:val="•"/>
      <w:lvlJc w:val="left"/>
      <w:pPr>
        <w:ind w:left="1010" w:hanging="100"/>
      </w:pPr>
      <w:rPr>
        <w:rFonts w:hint="default"/>
      </w:rPr>
    </w:lvl>
    <w:lvl w:ilvl="7" w:tplc="6F0C8664">
      <w:numFmt w:val="bullet"/>
      <w:lvlText w:val="•"/>
      <w:lvlJc w:val="left"/>
      <w:pPr>
        <w:ind w:left="1151" w:hanging="100"/>
      </w:pPr>
      <w:rPr>
        <w:rFonts w:hint="default"/>
      </w:rPr>
    </w:lvl>
    <w:lvl w:ilvl="8" w:tplc="3286869C">
      <w:numFmt w:val="bullet"/>
      <w:lvlText w:val="•"/>
      <w:lvlJc w:val="left"/>
      <w:pPr>
        <w:ind w:left="1293" w:hanging="100"/>
      </w:pPr>
      <w:rPr>
        <w:rFonts w:hint="default"/>
      </w:rPr>
    </w:lvl>
  </w:abstractNum>
  <w:abstractNum w:abstractNumId="656" w15:restartNumberingAfterBreak="0">
    <w:nsid w:val="29B55017"/>
    <w:multiLevelType w:val="hybridMultilevel"/>
    <w:tmpl w:val="80A49774"/>
    <w:lvl w:ilvl="0" w:tplc="E98AF608">
      <w:numFmt w:val="bullet"/>
      <w:lvlText w:val=""/>
      <w:lvlJc w:val="left"/>
      <w:pPr>
        <w:ind w:left="156" w:hanging="100"/>
      </w:pPr>
      <w:rPr>
        <w:rFonts w:ascii="Symbol" w:eastAsia="Symbol" w:hAnsi="Symbol" w:cs="Symbol" w:hint="default"/>
        <w:color w:val="231F20"/>
        <w:w w:val="100"/>
        <w:sz w:val="14"/>
        <w:szCs w:val="14"/>
      </w:rPr>
    </w:lvl>
    <w:lvl w:ilvl="1" w:tplc="3B904EEC">
      <w:numFmt w:val="bullet"/>
      <w:lvlText w:val="•"/>
      <w:lvlJc w:val="left"/>
      <w:pPr>
        <w:ind w:left="273" w:hanging="100"/>
      </w:pPr>
      <w:rPr>
        <w:rFonts w:hint="default"/>
      </w:rPr>
    </w:lvl>
    <w:lvl w:ilvl="2" w:tplc="36F24EB8">
      <w:numFmt w:val="bullet"/>
      <w:lvlText w:val="•"/>
      <w:lvlJc w:val="left"/>
      <w:pPr>
        <w:ind w:left="386" w:hanging="100"/>
      </w:pPr>
      <w:rPr>
        <w:rFonts w:hint="default"/>
      </w:rPr>
    </w:lvl>
    <w:lvl w:ilvl="3" w:tplc="668ECB90">
      <w:numFmt w:val="bullet"/>
      <w:lvlText w:val="•"/>
      <w:lvlJc w:val="left"/>
      <w:pPr>
        <w:ind w:left="500" w:hanging="100"/>
      </w:pPr>
      <w:rPr>
        <w:rFonts w:hint="default"/>
      </w:rPr>
    </w:lvl>
    <w:lvl w:ilvl="4" w:tplc="0276AAA2">
      <w:numFmt w:val="bullet"/>
      <w:lvlText w:val="•"/>
      <w:lvlJc w:val="left"/>
      <w:pPr>
        <w:ind w:left="613" w:hanging="100"/>
      </w:pPr>
      <w:rPr>
        <w:rFonts w:hint="default"/>
      </w:rPr>
    </w:lvl>
    <w:lvl w:ilvl="5" w:tplc="AAA87412">
      <w:numFmt w:val="bullet"/>
      <w:lvlText w:val="•"/>
      <w:lvlJc w:val="left"/>
      <w:pPr>
        <w:ind w:left="727" w:hanging="100"/>
      </w:pPr>
      <w:rPr>
        <w:rFonts w:hint="default"/>
      </w:rPr>
    </w:lvl>
    <w:lvl w:ilvl="6" w:tplc="413A9EE2">
      <w:numFmt w:val="bullet"/>
      <w:lvlText w:val="•"/>
      <w:lvlJc w:val="left"/>
      <w:pPr>
        <w:ind w:left="840" w:hanging="100"/>
      </w:pPr>
      <w:rPr>
        <w:rFonts w:hint="default"/>
      </w:rPr>
    </w:lvl>
    <w:lvl w:ilvl="7" w:tplc="BA723306">
      <w:numFmt w:val="bullet"/>
      <w:lvlText w:val="•"/>
      <w:lvlJc w:val="left"/>
      <w:pPr>
        <w:ind w:left="953" w:hanging="100"/>
      </w:pPr>
      <w:rPr>
        <w:rFonts w:hint="default"/>
      </w:rPr>
    </w:lvl>
    <w:lvl w:ilvl="8" w:tplc="F61C4176">
      <w:numFmt w:val="bullet"/>
      <w:lvlText w:val="•"/>
      <w:lvlJc w:val="left"/>
      <w:pPr>
        <w:ind w:left="1067" w:hanging="100"/>
      </w:pPr>
      <w:rPr>
        <w:rFonts w:hint="default"/>
      </w:rPr>
    </w:lvl>
  </w:abstractNum>
  <w:abstractNum w:abstractNumId="657" w15:restartNumberingAfterBreak="0">
    <w:nsid w:val="29BF3DDC"/>
    <w:multiLevelType w:val="hybridMultilevel"/>
    <w:tmpl w:val="D180984E"/>
    <w:lvl w:ilvl="0" w:tplc="8CC02476">
      <w:numFmt w:val="bullet"/>
      <w:lvlText w:val=""/>
      <w:lvlJc w:val="left"/>
      <w:pPr>
        <w:ind w:left="157" w:hanging="100"/>
      </w:pPr>
      <w:rPr>
        <w:rFonts w:ascii="Symbol" w:eastAsia="Symbol" w:hAnsi="Symbol" w:cs="Symbol" w:hint="default"/>
        <w:color w:val="231F20"/>
        <w:w w:val="100"/>
        <w:sz w:val="14"/>
        <w:szCs w:val="14"/>
      </w:rPr>
    </w:lvl>
    <w:lvl w:ilvl="1" w:tplc="4C40900A">
      <w:numFmt w:val="bullet"/>
      <w:lvlText w:val="•"/>
      <w:lvlJc w:val="left"/>
      <w:pPr>
        <w:ind w:left="398" w:hanging="100"/>
      </w:pPr>
      <w:rPr>
        <w:rFonts w:hint="default"/>
      </w:rPr>
    </w:lvl>
    <w:lvl w:ilvl="2" w:tplc="3640B96A">
      <w:numFmt w:val="bullet"/>
      <w:lvlText w:val="•"/>
      <w:lvlJc w:val="left"/>
      <w:pPr>
        <w:ind w:left="636" w:hanging="100"/>
      </w:pPr>
      <w:rPr>
        <w:rFonts w:hint="default"/>
      </w:rPr>
    </w:lvl>
    <w:lvl w:ilvl="3" w:tplc="A7D04B12">
      <w:numFmt w:val="bullet"/>
      <w:lvlText w:val="•"/>
      <w:lvlJc w:val="left"/>
      <w:pPr>
        <w:ind w:left="874" w:hanging="100"/>
      </w:pPr>
      <w:rPr>
        <w:rFonts w:hint="default"/>
      </w:rPr>
    </w:lvl>
    <w:lvl w:ilvl="4" w:tplc="43CC60B6">
      <w:numFmt w:val="bullet"/>
      <w:lvlText w:val="•"/>
      <w:lvlJc w:val="left"/>
      <w:pPr>
        <w:ind w:left="1112" w:hanging="100"/>
      </w:pPr>
      <w:rPr>
        <w:rFonts w:hint="default"/>
      </w:rPr>
    </w:lvl>
    <w:lvl w:ilvl="5" w:tplc="A16E8A0E">
      <w:numFmt w:val="bullet"/>
      <w:lvlText w:val="•"/>
      <w:lvlJc w:val="left"/>
      <w:pPr>
        <w:ind w:left="1350" w:hanging="100"/>
      </w:pPr>
      <w:rPr>
        <w:rFonts w:hint="default"/>
      </w:rPr>
    </w:lvl>
    <w:lvl w:ilvl="6" w:tplc="BBDC6158">
      <w:numFmt w:val="bullet"/>
      <w:lvlText w:val="•"/>
      <w:lvlJc w:val="left"/>
      <w:pPr>
        <w:ind w:left="1588" w:hanging="100"/>
      </w:pPr>
      <w:rPr>
        <w:rFonts w:hint="default"/>
      </w:rPr>
    </w:lvl>
    <w:lvl w:ilvl="7" w:tplc="DD92ED80">
      <w:numFmt w:val="bullet"/>
      <w:lvlText w:val="•"/>
      <w:lvlJc w:val="left"/>
      <w:pPr>
        <w:ind w:left="1826" w:hanging="100"/>
      </w:pPr>
      <w:rPr>
        <w:rFonts w:hint="default"/>
      </w:rPr>
    </w:lvl>
    <w:lvl w:ilvl="8" w:tplc="FE78F896">
      <w:numFmt w:val="bullet"/>
      <w:lvlText w:val="•"/>
      <w:lvlJc w:val="left"/>
      <w:pPr>
        <w:ind w:left="2064" w:hanging="100"/>
      </w:pPr>
      <w:rPr>
        <w:rFonts w:hint="default"/>
      </w:rPr>
    </w:lvl>
  </w:abstractNum>
  <w:abstractNum w:abstractNumId="658" w15:restartNumberingAfterBreak="0">
    <w:nsid w:val="29D75C3C"/>
    <w:multiLevelType w:val="hybridMultilevel"/>
    <w:tmpl w:val="655AC450"/>
    <w:lvl w:ilvl="0" w:tplc="E8C69D2E">
      <w:numFmt w:val="bullet"/>
      <w:lvlText w:val=""/>
      <w:lvlJc w:val="left"/>
      <w:pPr>
        <w:ind w:left="156" w:hanging="100"/>
      </w:pPr>
      <w:rPr>
        <w:rFonts w:ascii="Symbol" w:eastAsia="Symbol" w:hAnsi="Symbol" w:cs="Symbol" w:hint="default"/>
        <w:color w:val="231F20"/>
        <w:w w:val="100"/>
        <w:sz w:val="14"/>
        <w:szCs w:val="14"/>
      </w:rPr>
    </w:lvl>
    <w:lvl w:ilvl="1" w:tplc="7AE6360E">
      <w:numFmt w:val="bullet"/>
      <w:lvlText w:val="•"/>
      <w:lvlJc w:val="left"/>
      <w:pPr>
        <w:ind w:left="301" w:hanging="100"/>
      </w:pPr>
      <w:rPr>
        <w:rFonts w:hint="default"/>
      </w:rPr>
    </w:lvl>
    <w:lvl w:ilvl="2" w:tplc="245EA49C">
      <w:numFmt w:val="bullet"/>
      <w:lvlText w:val="•"/>
      <w:lvlJc w:val="left"/>
      <w:pPr>
        <w:ind w:left="443" w:hanging="100"/>
      </w:pPr>
      <w:rPr>
        <w:rFonts w:hint="default"/>
      </w:rPr>
    </w:lvl>
    <w:lvl w:ilvl="3" w:tplc="80B4DD30">
      <w:numFmt w:val="bullet"/>
      <w:lvlText w:val="•"/>
      <w:lvlJc w:val="left"/>
      <w:pPr>
        <w:ind w:left="585" w:hanging="100"/>
      </w:pPr>
      <w:rPr>
        <w:rFonts w:hint="default"/>
      </w:rPr>
    </w:lvl>
    <w:lvl w:ilvl="4" w:tplc="3F680934">
      <w:numFmt w:val="bullet"/>
      <w:lvlText w:val="•"/>
      <w:lvlJc w:val="left"/>
      <w:pPr>
        <w:ind w:left="726" w:hanging="100"/>
      </w:pPr>
      <w:rPr>
        <w:rFonts w:hint="default"/>
      </w:rPr>
    </w:lvl>
    <w:lvl w:ilvl="5" w:tplc="7090D46C">
      <w:numFmt w:val="bullet"/>
      <w:lvlText w:val="•"/>
      <w:lvlJc w:val="left"/>
      <w:pPr>
        <w:ind w:left="868" w:hanging="100"/>
      </w:pPr>
      <w:rPr>
        <w:rFonts w:hint="default"/>
      </w:rPr>
    </w:lvl>
    <w:lvl w:ilvl="6" w:tplc="B72A561E">
      <w:numFmt w:val="bullet"/>
      <w:lvlText w:val="•"/>
      <w:lvlJc w:val="left"/>
      <w:pPr>
        <w:ind w:left="1010" w:hanging="100"/>
      </w:pPr>
      <w:rPr>
        <w:rFonts w:hint="default"/>
      </w:rPr>
    </w:lvl>
    <w:lvl w:ilvl="7" w:tplc="0E1C94BC">
      <w:numFmt w:val="bullet"/>
      <w:lvlText w:val="•"/>
      <w:lvlJc w:val="left"/>
      <w:pPr>
        <w:ind w:left="1151" w:hanging="100"/>
      </w:pPr>
      <w:rPr>
        <w:rFonts w:hint="default"/>
      </w:rPr>
    </w:lvl>
    <w:lvl w:ilvl="8" w:tplc="62248460">
      <w:numFmt w:val="bullet"/>
      <w:lvlText w:val="•"/>
      <w:lvlJc w:val="left"/>
      <w:pPr>
        <w:ind w:left="1293" w:hanging="100"/>
      </w:pPr>
      <w:rPr>
        <w:rFonts w:hint="default"/>
      </w:rPr>
    </w:lvl>
  </w:abstractNum>
  <w:abstractNum w:abstractNumId="659" w15:restartNumberingAfterBreak="0">
    <w:nsid w:val="29F255A1"/>
    <w:multiLevelType w:val="hybridMultilevel"/>
    <w:tmpl w:val="7090A3C0"/>
    <w:lvl w:ilvl="0" w:tplc="78FCC4F6">
      <w:numFmt w:val="bullet"/>
      <w:lvlText w:val=""/>
      <w:lvlJc w:val="left"/>
      <w:pPr>
        <w:ind w:left="156" w:hanging="100"/>
      </w:pPr>
      <w:rPr>
        <w:rFonts w:ascii="Symbol" w:eastAsia="Symbol" w:hAnsi="Symbol" w:cs="Symbol" w:hint="default"/>
        <w:color w:val="231F20"/>
        <w:w w:val="100"/>
        <w:sz w:val="14"/>
        <w:szCs w:val="14"/>
      </w:rPr>
    </w:lvl>
    <w:lvl w:ilvl="1" w:tplc="A36A8F74">
      <w:numFmt w:val="bullet"/>
      <w:lvlText w:val="•"/>
      <w:lvlJc w:val="left"/>
      <w:pPr>
        <w:ind w:left="301" w:hanging="100"/>
      </w:pPr>
      <w:rPr>
        <w:rFonts w:hint="default"/>
      </w:rPr>
    </w:lvl>
    <w:lvl w:ilvl="2" w:tplc="C000404E">
      <w:numFmt w:val="bullet"/>
      <w:lvlText w:val="•"/>
      <w:lvlJc w:val="left"/>
      <w:pPr>
        <w:ind w:left="443" w:hanging="100"/>
      </w:pPr>
      <w:rPr>
        <w:rFonts w:hint="default"/>
      </w:rPr>
    </w:lvl>
    <w:lvl w:ilvl="3" w:tplc="63983630">
      <w:numFmt w:val="bullet"/>
      <w:lvlText w:val="•"/>
      <w:lvlJc w:val="left"/>
      <w:pPr>
        <w:ind w:left="585" w:hanging="100"/>
      </w:pPr>
      <w:rPr>
        <w:rFonts w:hint="default"/>
      </w:rPr>
    </w:lvl>
    <w:lvl w:ilvl="4" w:tplc="1BC6BA52">
      <w:numFmt w:val="bullet"/>
      <w:lvlText w:val="•"/>
      <w:lvlJc w:val="left"/>
      <w:pPr>
        <w:ind w:left="726" w:hanging="100"/>
      </w:pPr>
      <w:rPr>
        <w:rFonts w:hint="default"/>
      </w:rPr>
    </w:lvl>
    <w:lvl w:ilvl="5" w:tplc="6F92B0DE">
      <w:numFmt w:val="bullet"/>
      <w:lvlText w:val="•"/>
      <w:lvlJc w:val="left"/>
      <w:pPr>
        <w:ind w:left="868" w:hanging="100"/>
      </w:pPr>
      <w:rPr>
        <w:rFonts w:hint="default"/>
      </w:rPr>
    </w:lvl>
    <w:lvl w:ilvl="6" w:tplc="D33AEA60">
      <w:numFmt w:val="bullet"/>
      <w:lvlText w:val="•"/>
      <w:lvlJc w:val="left"/>
      <w:pPr>
        <w:ind w:left="1010" w:hanging="100"/>
      </w:pPr>
      <w:rPr>
        <w:rFonts w:hint="default"/>
      </w:rPr>
    </w:lvl>
    <w:lvl w:ilvl="7" w:tplc="FEF46FDC">
      <w:numFmt w:val="bullet"/>
      <w:lvlText w:val="•"/>
      <w:lvlJc w:val="left"/>
      <w:pPr>
        <w:ind w:left="1151" w:hanging="100"/>
      </w:pPr>
      <w:rPr>
        <w:rFonts w:hint="default"/>
      </w:rPr>
    </w:lvl>
    <w:lvl w:ilvl="8" w:tplc="D33432FC">
      <w:numFmt w:val="bullet"/>
      <w:lvlText w:val="•"/>
      <w:lvlJc w:val="left"/>
      <w:pPr>
        <w:ind w:left="1293" w:hanging="100"/>
      </w:pPr>
      <w:rPr>
        <w:rFonts w:hint="default"/>
      </w:rPr>
    </w:lvl>
  </w:abstractNum>
  <w:abstractNum w:abstractNumId="660" w15:restartNumberingAfterBreak="0">
    <w:nsid w:val="2A000F27"/>
    <w:multiLevelType w:val="hybridMultilevel"/>
    <w:tmpl w:val="DABA8EAA"/>
    <w:lvl w:ilvl="0" w:tplc="960E0218">
      <w:numFmt w:val="bullet"/>
      <w:lvlText w:val="–"/>
      <w:lvlJc w:val="left"/>
      <w:pPr>
        <w:ind w:left="497" w:hanging="135"/>
      </w:pPr>
      <w:rPr>
        <w:rFonts w:ascii="Times New Roman" w:eastAsia="Times New Roman" w:hAnsi="Times New Roman" w:cs="Times New Roman" w:hint="default"/>
        <w:color w:val="231F20"/>
        <w:spacing w:val="-3"/>
        <w:w w:val="100"/>
        <w:sz w:val="18"/>
        <w:szCs w:val="18"/>
      </w:rPr>
    </w:lvl>
    <w:lvl w:ilvl="1" w:tplc="B55E70A0">
      <w:numFmt w:val="bullet"/>
      <w:lvlText w:val="•"/>
      <w:lvlJc w:val="left"/>
      <w:pPr>
        <w:ind w:left="1528" w:hanging="135"/>
      </w:pPr>
      <w:rPr>
        <w:rFonts w:hint="default"/>
      </w:rPr>
    </w:lvl>
    <w:lvl w:ilvl="2" w:tplc="2D187F80">
      <w:numFmt w:val="bullet"/>
      <w:lvlText w:val="•"/>
      <w:lvlJc w:val="left"/>
      <w:pPr>
        <w:ind w:left="2557" w:hanging="135"/>
      </w:pPr>
      <w:rPr>
        <w:rFonts w:hint="default"/>
      </w:rPr>
    </w:lvl>
    <w:lvl w:ilvl="3" w:tplc="F6A48910">
      <w:numFmt w:val="bullet"/>
      <w:lvlText w:val="•"/>
      <w:lvlJc w:val="left"/>
      <w:pPr>
        <w:ind w:left="3585" w:hanging="135"/>
      </w:pPr>
      <w:rPr>
        <w:rFonts w:hint="default"/>
      </w:rPr>
    </w:lvl>
    <w:lvl w:ilvl="4" w:tplc="D21E6192">
      <w:numFmt w:val="bullet"/>
      <w:lvlText w:val="•"/>
      <w:lvlJc w:val="left"/>
      <w:pPr>
        <w:ind w:left="4614" w:hanging="135"/>
      </w:pPr>
      <w:rPr>
        <w:rFonts w:hint="default"/>
      </w:rPr>
    </w:lvl>
    <w:lvl w:ilvl="5" w:tplc="9ECEC1EA">
      <w:numFmt w:val="bullet"/>
      <w:lvlText w:val="•"/>
      <w:lvlJc w:val="left"/>
      <w:pPr>
        <w:ind w:left="5642" w:hanging="135"/>
      </w:pPr>
      <w:rPr>
        <w:rFonts w:hint="default"/>
      </w:rPr>
    </w:lvl>
    <w:lvl w:ilvl="6" w:tplc="E4E60204">
      <w:numFmt w:val="bullet"/>
      <w:lvlText w:val="•"/>
      <w:lvlJc w:val="left"/>
      <w:pPr>
        <w:ind w:left="6671" w:hanging="135"/>
      </w:pPr>
      <w:rPr>
        <w:rFonts w:hint="default"/>
      </w:rPr>
    </w:lvl>
    <w:lvl w:ilvl="7" w:tplc="AB80D99A">
      <w:numFmt w:val="bullet"/>
      <w:lvlText w:val="•"/>
      <w:lvlJc w:val="left"/>
      <w:pPr>
        <w:ind w:left="7699" w:hanging="135"/>
      </w:pPr>
      <w:rPr>
        <w:rFonts w:hint="default"/>
      </w:rPr>
    </w:lvl>
    <w:lvl w:ilvl="8" w:tplc="A3A69D70">
      <w:numFmt w:val="bullet"/>
      <w:lvlText w:val="•"/>
      <w:lvlJc w:val="left"/>
      <w:pPr>
        <w:ind w:left="8728" w:hanging="135"/>
      </w:pPr>
      <w:rPr>
        <w:rFonts w:hint="default"/>
      </w:rPr>
    </w:lvl>
  </w:abstractNum>
  <w:abstractNum w:abstractNumId="661" w15:restartNumberingAfterBreak="0">
    <w:nsid w:val="2A012B19"/>
    <w:multiLevelType w:val="hybridMultilevel"/>
    <w:tmpl w:val="349229EC"/>
    <w:lvl w:ilvl="0" w:tplc="C87A816E">
      <w:numFmt w:val="bullet"/>
      <w:lvlText w:val=""/>
      <w:lvlJc w:val="left"/>
      <w:pPr>
        <w:ind w:left="157" w:hanging="100"/>
      </w:pPr>
      <w:rPr>
        <w:rFonts w:ascii="Symbol" w:eastAsia="Symbol" w:hAnsi="Symbol" w:cs="Symbol" w:hint="default"/>
        <w:color w:val="231F20"/>
        <w:w w:val="100"/>
        <w:sz w:val="14"/>
        <w:szCs w:val="14"/>
      </w:rPr>
    </w:lvl>
    <w:lvl w:ilvl="1" w:tplc="B6E6163E">
      <w:numFmt w:val="bullet"/>
      <w:lvlText w:val="•"/>
      <w:lvlJc w:val="left"/>
      <w:pPr>
        <w:ind w:left="369" w:hanging="100"/>
      </w:pPr>
      <w:rPr>
        <w:rFonts w:hint="default"/>
      </w:rPr>
    </w:lvl>
    <w:lvl w:ilvl="2" w:tplc="AB7C68D4">
      <w:numFmt w:val="bullet"/>
      <w:lvlText w:val="•"/>
      <w:lvlJc w:val="left"/>
      <w:pPr>
        <w:ind w:left="579" w:hanging="100"/>
      </w:pPr>
      <w:rPr>
        <w:rFonts w:hint="default"/>
      </w:rPr>
    </w:lvl>
    <w:lvl w:ilvl="3" w:tplc="2A86E4D0">
      <w:numFmt w:val="bullet"/>
      <w:lvlText w:val="•"/>
      <w:lvlJc w:val="left"/>
      <w:pPr>
        <w:ind w:left="789" w:hanging="100"/>
      </w:pPr>
      <w:rPr>
        <w:rFonts w:hint="default"/>
      </w:rPr>
    </w:lvl>
    <w:lvl w:ilvl="4" w:tplc="9DE03A36">
      <w:numFmt w:val="bullet"/>
      <w:lvlText w:val="•"/>
      <w:lvlJc w:val="left"/>
      <w:pPr>
        <w:ind w:left="998" w:hanging="100"/>
      </w:pPr>
      <w:rPr>
        <w:rFonts w:hint="default"/>
      </w:rPr>
    </w:lvl>
    <w:lvl w:ilvl="5" w:tplc="A74A7532">
      <w:numFmt w:val="bullet"/>
      <w:lvlText w:val="•"/>
      <w:lvlJc w:val="left"/>
      <w:pPr>
        <w:ind w:left="1208" w:hanging="100"/>
      </w:pPr>
      <w:rPr>
        <w:rFonts w:hint="default"/>
      </w:rPr>
    </w:lvl>
    <w:lvl w:ilvl="6" w:tplc="74CAD1E0">
      <w:numFmt w:val="bullet"/>
      <w:lvlText w:val="•"/>
      <w:lvlJc w:val="left"/>
      <w:pPr>
        <w:ind w:left="1418" w:hanging="100"/>
      </w:pPr>
      <w:rPr>
        <w:rFonts w:hint="default"/>
      </w:rPr>
    </w:lvl>
    <w:lvl w:ilvl="7" w:tplc="03FA0952">
      <w:numFmt w:val="bullet"/>
      <w:lvlText w:val="•"/>
      <w:lvlJc w:val="left"/>
      <w:pPr>
        <w:ind w:left="1627" w:hanging="100"/>
      </w:pPr>
      <w:rPr>
        <w:rFonts w:hint="default"/>
      </w:rPr>
    </w:lvl>
    <w:lvl w:ilvl="8" w:tplc="FA74FB58">
      <w:numFmt w:val="bullet"/>
      <w:lvlText w:val="•"/>
      <w:lvlJc w:val="left"/>
      <w:pPr>
        <w:ind w:left="1837" w:hanging="100"/>
      </w:pPr>
      <w:rPr>
        <w:rFonts w:hint="default"/>
      </w:rPr>
    </w:lvl>
  </w:abstractNum>
  <w:abstractNum w:abstractNumId="662" w15:restartNumberingAfterBreak="0">
    <w:nsid w:val="2A2C0243"/>
    <w:multiLevelType w:val="hybridMultilevel"/>
    <w:tmpl w:val="05DAD26E"/>
    <w:lvl w:ilvl="0" w:tplc="5CC44516">
      <w:numFmt w:val="bullet"/>
      <w:lvlText w:val="–"/>
      <w:lvlJc w:val="left"/>
      <w:pPr>
        <w:ind w:left="632" w:hanging="135"/>
      </w:pPr>
      <w:rPr>
        <w:rFonts w:ascii="Times New Roman" w:eastAsia="Times New Roman" w:hAnsi="Times New Roman" w:cs="Times New Roman" w:hint="default"/>
        <w:color w:val="231F20"/>
        <w:spacing w:val="-3"/>
        <w:w w:val="100"/>
        <w:sz w:val="18"/>
        <w:szCs w:val="18"/>
      </w:rPr>
    </w:lvl>
    <w:lvl w:ilvl="1" w:tplc="C5F87624">
      <w:numFmt w:val="bullet"/>
      <w:lvlText w:val="–"/>
      <w:lvlJc w:val="left"/>
      <w:pPr>
        <w:ind w:left="1565" w:hanging="105"/>
      </w:pPr>
      <w:rPr>
        <w:rFonts w:ascii="Times New Roman" w:eastAsia="Times New Roman" w:hAnsi="Times New Roman" w:cs="Times New Roman" w:hint="default"/>
        <w:color w:val="231F20"/>
        <w:spacing w:val="-5"/>
        <w:w w:val="100"/>
        <w:sz w:val="14"/>
        <w:szCs w:val="14"/>
      </w:rPr>
    </w:lvl>
    <w:lvl w:ilvl="2" w:tplc="A4920166">
      <w:numFmt w:val="bullet"/>
      <w:lvlText w:val="•"/>
      <w:lvlJc w:val="left"/>
      <w:pPr>
        <w:ind w:left="2585" w:hanging="105"/>
      </w:pPr>
      <w:rPr>
        <w:rFonts w:hint="default"/>
      </w:rPr>
    </w:lvl>
    <w:lvl w:ilvl="3" w:tplc="1EDA0C34">
      <w:numFmt w:val="bullet"/>
      <w:lvlText w:val="•"/>
      <w:lvlJc w:val="left"/>
      <w:pPr>
        <w:ind w:left="3610" w:hanging="105"/>
      </w:pPr>
      <w:rPr>
        <w:rFonts w:hint="default"/>
      </w:rPr>
    </w:lvl>
    <w:lvl w:ilvl="4" w:tplc="790C4404">
      <w:numFmt w:val="bullet"/>
      <w:lvlText w:val="•"/>
      <w:lvlJc w:val="left"/>
      <w:pPr>
        <w:ind w:left="4635" w:hanging="105"/>
      </w:pPr>
      <w:rPr>
        <w:rFonts w:hint="default"/>
      </w:rPr>
    </w:lvl>
    <w:lvl w:ilvl="5" w:tplc="D27EA4BC">
      <w:numFmt w:val="bullet"/>
      <w:lvlText w:val="•"/>
      <w:lvlJc w:val="left"/>
      <w:pPr>
        <w:ind w:left="5660" w:hanging="105"/>
      </w:pPr>
      <w:rPr>
        <w:rFonts w:hint="default"/>
      </w:rPr>
    </w:lvl>
    <w:lvl w:ilvl="6" w:tplc="6B8C55BE">
      <w:numFmt w:val="bullet"/>
      <w:lvlText w:val="•"/>
      <w:lvlJc w:val="left"/>
      <w:pPr>
        <w:ind w:left="6685" w:hanging="105"/>
      </w:pPr>
      <w:rPr>
        <w:rFonts w:hint="default"/>
      </w:rPr>
    </w:lvl>
    <w:lvl w:ilvl="7" w:tplc="AC606C36">
      <w:numFmt w:val="bullet"/>
      <w:lvlText w:val="•"/>
      <w:lvlJc w:val="left"/>
      <w:pPr>
        <w:ind w:left="7710" w:hanging="105"/>
      </w:pPr>
      <w:rPr>
        <w:rFonts w:hint="default"/>
      </w:rPr>
    </w:lvl>
    <w:lvl w:ilvl="8" w:tplc="C91CCB1A">
      <w:numFmt w:val="bullet"/>
      <w:lvlText w:val="•"/>
      <w:lvlJc w:val="left"/>
      <w:pPr>
        <w:ind w:left="8735" w:hanging="105"/>
      </w:pPr>
      <w:rPr>
        <w:rFonts w:hint="default"/>
      </w:rPr>
    </w:lvl>
  </w:abstractNum>
  <w:abstractNum w:abstractNumId="663" w15:restartNumberingAfterBreak="0">
    <w:nsid w:val="2A3562C9"/>
    <w:multiLevelType w:val="hybridMultilevel"/>
    <w:tmpl w:val="0E2E6E1A"/>
    <w:lvl w:ilvl="0" w:tplc="5EF8D7BC">
      <w:numFmt w:val="bullet"/>
      <w:lvlText w:val=""/>
      <w:lvlJc w:val="left"/>
      <w:pPr>
        <w:ind w:left="157" w:hanging="100"/>
      </w:pPr>
      <w:rPr>
        <w:rFonts w:ascii="Symbol" w:eastAsia="Symbol" w:hAnsi="Symbol" w:cs="Symbol" w:hint="default"/>
        <w:color w:val="231F20"/>
        <w:w w:val="100"/>
        <w:sz w:val="14"/>
        <w:szCs w:val="14"/>
      </w:rPr>
    </w:lvl>
    <w:lvl w:ilvl="1" w:tplc="C396E352">
      <w:numFmt w:val="bullet"/>
      <w:lvlText w:val="•"/>
      <w:lvlJc w:val="left"/>
      <w:pPr>
        <w:ind w:left="369" w:hanging="100"/>
      </w:pPr>
      <w:rPr>
        <w:rFonts w:hint="default"/>
      </w:rPr>
    </w:lvl>
    <w:lvl w:ilvl="2" w:tplc="79E6DC8C">
      <w:numFmt w:val="bullet"/>
      <w:lvlText w:val="•"/>
      <w:lvlJc w:val="left"/>
      <w:pPr>
        <w:ind w:left="579" w:hanging="100"/>
      </w:pPr>
      <w:rPr>
        <w:rFonts w:hint="default"/>
      </w:rPr>
    </w:lvl>
    <w:lvl w:ilvl="3" w:tplc="A0F45B38">
      <w:numFmt w:val="bullet"/>
      <w:lvlText w:val="•"/>
      <w:lvlJc w:val="left"/>
      <w:pPr>
        <w:ind w:left="789" w:hanging="100"/>
      </w:pPr>
      <w:rPr>
        <w:rFonts w:hint="default"/>
      </w:rPr>
    </w:lvl>
    <w:lvl w:ilvl="4" w:tplc="CA3A96BE">
      <w:numFmt w:val="bullet"/>
      <w:lvlText w:val="•"/>
      <w:lvlJc w:val="left"/>
      <w:pPr>
        <w:ind w:left="998" w:hanging="100"/>
      </w:pPr>
      <w:rPr>
        <w:rFonts w:hint="default"/>
      </w:rPr>
    </w:lvl>
    <w:lvl w:ilvl="5" w:tplc="8A72AF2E">
      <w:numFmt w:val="bullet"/>
      <w:lvlText w:val="•"/>
      <w:lvlJc w:val="left"/>
      <w:pPr>
        <w:ind w:left="1208" w:hanging="100"/>
      </w:pPr>
      <w:rPr>
        <w:rFonts w:hint="default"/>
      </w:rPr>
    </w:lvl>
    <w:lvl w:ilvl="6" w:tplc="20A0F99A">
      <w:numFmt w:val="bullet"/>
      <w:lvlText w:val="•"/>
      <w:lvlJc w:val="left"/>
      <w:pPr>
        <w:ind w:left="1418" w:hanging="100"/>
      </w:pPr>
      <w:rPr>
        <w:rFonts w:hint="default"/>
      </w:rPr>
    </w:lvl>
    <w:lvl w:ilvl="7" w:tplc="384039B0">
      <w:numFmt w:val="bullet"/>
      <w:lvlText w:val="•"/>
      <w:lvlJc w:val="left"/>
      <w:pPr>
        <w:ind w:left="1627" w:hanging="100"/>
      </w:pPr>
      <w:rPr>
        <w:rFonts w:hint="default"/>
      </w:rPr>
    </w:lvl>
    <w:lvl w:ilvl="8" w:tplc="9312ADBC">
      <w:numFmt w:val="bullet"/>
      <w:lvlText w:val="•"/>
      <w:lvlJc w:val="left"/>
      <w:pPr>
        <w:ind w:left="1837" w:hanging="100"/>
      </w:pPr>
      <w:rPr>
        <w:rFonts w:hint="default"/>
      </w:rPr>
    </w:lvl>
  </w:abstractNum>
  <w:abstractNum w:abstractNumId="664" w15:restartNumberingAfterBreak="0">
    <w:nsid w:val="2A3C7851"/>
    <w:multiLevelType w:val="hybridMultilevel"/>
    <w:tmpl w:val="2A06A29A"/>
    <w:lvl w:ilvl="0" w:tplc="835CEDF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0FF0ACF2">
      <w:numFmt w:val="bullet"/>
      <w:lvlText w:val="•"/>
      <w:lvlJc w:val="left"/>
      <w:pPr>
        <w:ind w:left="408" w:hanging="84"/>
      </w:pPr>
      <w:rPr>
        <w:rFonts w:hint="default"/>
      </w:rPr>
    </w:lvl>
    <w:lvl w:ilvl="2" w:tplc="6C00B306">
      <w:numFmt w:val="bullet"/>
      <w:lvlText w:val="•"/>
      <w:lvlJc w:val="left"/>
      <w:pPr>
        <w:ind w:left="676" w:hanging="84"/>
      </w:pPr>
      <w:rPr>
        <w:rFonts w:hint="default"/>
      </w:rPr>
    </w:lvl>
    <w:lvl w:ilvl="3" w:tplc="605ADD0C">
      <w:numFmt w:val="bullet"/>
      <w:lvlText w:val="•"/>
      <w:lvlJc w:val="left"/>
      <w:pPr>
        <w:ind w:left="945" w:hanging="84"/>
      </w:pPr>
      <w:rPr>
        <w:rFonts w:hint="default"/>
      </w:rPr>
    </w:lvl>
    <w:lvl w:ilvl="4" w:tplc="A872ACA0">
      <w:numFmt w:val="bullet"/>
      <w:lvlText w:val="•"/>
      <w:lvlJc w:val="left"/>
      <w:pPr>
        <w:ind w:left="1213" w:hanging="84"/>
      </w:pPr>
      <w:rPr>
        <w:rFonts w:hint="default"/>
      </w:rPr>
    </w:lvl>
    <w:lvl w:ilvl="5" w:tplc="F426EF0A">
      <w:numFmt w:val="bullet"/>
      <w:lvlText w:val="•"/>
      <w:lvlJc w:val="left"/>
      <w:pPr>
        <w:ind w:left="1482" w:hanging="84"/>
      </w:pPr>
      <w:rPr>
        <w:rFonts w:hint="default"/>
      </w:rPr>
    </w:lvl>
    <w:lvl w:ilvl="6" w:tplc="FB6877D8">
      <w:numFmt w:val="bullet"/>
      <w:lvlText w:val="•"/>
      <w:lvlJc w:val="left"/>
      <w:pPr>
        <w:ind w:left="1750" w:hanging="84"/>
      </w:pPr>
      <w:rPr>
        <w:rFonts w:hint="default"/>
      </w:rPr>
    </w:lvl>
    <w:lvl w:ilvl="7" w:tplc="1410085E">
      <w:numFmt w:val="bullet"/>
      <w:lvlText w:val="•"/>
      <w:lvlJc w:val="left"/>
      <w:pPr>
        <w:ind w:left="2018" w:hanging="84"/>
      </w:pPr>
      <w:rPr>
        <w:rFonts w:hint="default"/>
      </w:rPr>
    </w:lvl>
    <w:lvl w:ilvl="8" w:tplc="3FE6DF0E">
      <w:numFmt w:val="bullet"/>
      <w:lvlText w:val="•"/>
      <w:lvlJc w:val="left"/>
      <w:pPr>
        <w:ind w:left="2287" w:hanging="84"/>
      </w:pPr>
      <w:rPr>
        <w:rFonts w:hint="default"/>
      </w:rPr>
    </w:lvl>
  </w:abstractNum>
  <w:abstractNum w:abstractNumId="665" w15:restartNumberingAfterBreak="0">
    <w:nsid w:val="2A6D4B82"/>
    <w:multiLevelType w:val="hybridMultilevel"/>
    <w:tmpl w:val="F074360A"/>
    <w:lvl w:ilvl="0" w:tplc="73669D68">
      <w:numFmt w:val="bullet"/>
      <w:lvlText w:val=""/>
      <w:lvlJc w:val="left"/>
      <w:pPr>
        <w:ind w:left="156" w:hanging="100"/>
      </w:pPr>
      <w:rPr>
        <w:rFonts w:ascii="Symbol" w:eastAsia="Symbol" w:hAnsi="Symbol" w:cs="Symbol" w:hint="default"/>
        <w:color w:val="231F20"/>
        <w:w w:val="100"/>
        <w:sz w:val="14"/>
        <w:szCs w:val="14"/>
      </w:rPr>
    </w:lvl>
    <w:lvl w:ilvl="1" w:tplc="09E622F4">
      <w:numFmt w:val="bullet"/>
      <w:lvlText w:val="•"/>
      <w:lvlJc w:val="left"/>
      <w:pPr>
        <w:ind w:left="398" w:hanging="100"/>
      </w:pPr>
      <w:rPr>
        <w:rFonts w:hint="default"/>
      </w:rPr>
    </w:lvl>
    <w:lvl w:ilvl="2" w:tplc="2DF22676">
      <w:numFmt w:val="bullet"/>
      <w:lvlText w:val="•"/>
      <w:lvlJc w:val="left"/>
      <w:pPr>
        <w:ind w:left="636" w:hanging="100"/>
      </w:pPr>
      <w:rPr>
        <w:rFonts w:hint="default"/>
      </w:rPr>
    </w:lvl>
    <w:lvl w:ilvl="3" w:tplc="F09C397A">
      <w:numFmt w:val="bullet"/>
      <w:lvlText w:val="•"/>
      <w:lvlJc w:val="left"/>
      <w:pPr>
        <w:ind w:left="874" w:hanging="100"/>
      </w:pPr>
      <w:rPr>
        <w:rFonts w:hint="default"/>
      </w:rPr>
    </w:lvl>
    <w:lvl w:ilvl="4" w:tplc="678CD5A6">
      <w:numFmt w:val="bullet"/>
      <w:lvlText w:val="•"/>
      <w:lvlJc w:val="left"/>
      <w:pPr>
        <w:ind w:left="1112" w:hanging="100"/>
      </w:pPr>
      <w:rPr>
        <w:rFonts w:hint="default"/>
      </w:rPr>
    </w:lvl>
    <w:lvl w:ilvl="5" w:tplc="C226C62C">
      <w:numFmt w:val="bullet"/>
      <w:lvlText w:val="•"/>
      <w:lvlJc w:val="left"/>
      <w:pPr>
        <w:ind w:left="1350" w:hanging="100"/>
      </w:pPr>
      <w:rPr>
        <w:rFonts w:hint="default"/>
      </w:rPr>
    </w:lvl>
    <w:lvl w:ilvl="6" w:tplc="099A9E04">
      <w:numFmt w:val="bullet"/>
      <w:lvlText w:val="•"/>
      <w:lvlJc w:val="left"/>
      <w:pPr>
        <w:ind w:left="1588" w:hanging="100"/>
      </w:pPr>
      <w:rPr>
        <w:rFonts w:hint="default"/>
      </w:rPr>
    </w:lvl>
    <w:lvl w:ilvl="7" w:tplc="9B3E0E66">
      <w:numFmt w:val="bullet"/>
      <w:lvlText w:val="•"/>
      <w:lvlJc w:val="left"/>
      <w:pPr>
        <w:ind w:left="1826" w:hanging="100"/>
      </w:pPr>
      <w:rPr>
        <w:rFonts w:hint="default"/>
      </w:rPr>
    </w:lvl>
    <w:lvl w:ilvl="8" w:tplc="D0469C90">
      <w:numFmt w:val="bullet"/>
      <w:lvlText w:val="•"/>
      <w:lvlJc w:val="left"/>
      <w:pPr>
        <w:ind w:left="2064" w:hanging="100"/>
      </w:pPr>
      <w:rPr>
        <w:rFonts w:hint="default"/>
      </w:rPr>
    </w:lvl>
  </w:abstractNum>
  <w:abstractNum w:abstractNumId="666" w15:restartNumberingAfterBreak="0">
    <w:nsid w:val="2A7179FA"/>
    <w:multiLevelType w:val="hybridMultilevel"/>
    <w:tmpl w:val="6DA821D0"/>
    <w:lvl w:ilvl="0" w:tplc="A926A9DE">
      <w:numFmt w:val="bullet"/>
      <w:lvlText w:val=""/>
      <w:lvlJc w:val="left"/>
      <w:pPr>
        <w:ind w:left="156" w:hanging="100"/>
      </w:pPr>
      <w:rPr>
        <w:rFonts w:ascii="Symbol" w:eastAsia="Symbol" w:hAnsi="Symbol" w:cs="Symbol" w:hint="default"/>
        <w:color w:val="231F20"/>
        <w:w w:val="100"/>
        <w:sz w:val="14"/>
        <w:szCs w:val="14"/>
      </w:rPr>
    </w:lvl>
    <w:lvl w:ilvl="1" w:tplc="403459E8">
      <w:numFmt w:val="bullet"/>
      <w:lvlText w:val="•"/>
      <w:lvlJc w:val="left"/>
      <w:pPr>
        <w:ind w:left="301" w:hanging="100"/>
      </w:pPr>
      <w:rPr>
        <w:rFonts w:hint="default"/>
      </w:rPr>
    </w:lvl>
    <w:lvl w:ilvl="2" w:tplc="9F1A2152">
      <w:numFmt w:val="bullet"/>
      <w:lvlText w:val="•"/>
      <w:lvlJc w:val="left"/>
      <w:pPr>
        <w:ind w:left="443" w:hanging="100"/>
      </w:pPr>
      <w:rPr>
        <w:rFonts w:hint="default"/>
      </w:rPr>
    </w:lvl>
    <w:lvl w:ilvl="3" w:tplc="C4322F5E">
      <w:numFmt w:val="bullet"/>
      <w:lvlText w:val="•"/>
      <w:lvlJc w:val="left"/>
      <w:pPr>
        <w:ind w:left="585" w:hanging="100"/>
      </w:pPr>
      <w:rPr>
        <w:rFonts w:hint="default"/>
      </w:rPr>
    </w:lvl>
    <w:lvl w:ilvl="4" w:tplc="84008A34">
      <w:numFmt w:val="bullet"/>
      <w:lvlText w:val="•"/>
      <w:lvlJc w:val="left"/>
      <w:pPr>
        <w:ind w:left="726" w:hanging="100"/>
      </w:pPr>
      <w:rPr>
        <w:rFonts w:hint="default"/>
      </w:rPr>
    </w:lvl>
    <w:lvl w:ilvl="5" w:tplc="5C12704A">
      <w:numFmt w:val="bullet"/>
      <w:lvlText w:val="•"/>
      <w:lvlJc w:val="left"/>
      <w:pPr>
        <w:ind w:left="868" w:hanging="100"/>
      </w:pPr>
      <w:rPr>
        <w:rFonts w:hint="default"/>
      </w:rPr>
    </w:lvl>
    <w:lvl w:ilvl="6" w:tplc="493E46D4">
      <w:numFmt w:val="bullet"/>
      <w:lvlText w:val="•"/>
      <w:lvlJc w:val="left"/>
      <w:pPr>
        <w:ind w:left="1010" w:hanging="100"/>
      </w:pPr>
      <w:rPr>
        <w:rFonts w:hint="default"/>
      </w:rPr>
    </w:lvl>
    <w:lvl w:ilvl="7" w:tplc="95AA4062">
      <w:numFmt w:val="bullet"/>
      <w:lvlText w:val="•"/>
      <w:lvlJc w:val="left"/>
      <w:pPr>
        <w:ind w:left="1151" w:hanging="100"/>
      </w:pPr>
      <w:rPr>
        <w:rFonts w:hint="default"/>
      </w:rPr>
    </w:lvl>
    <w:lvl w:ilvl="8" w:tplc="7A602E18">
      <w:numFmt w:val="bullet"/>
      <w:lvlText w:val="•"/>
      <w:lvlJc w:val="left"/>
      <w:pPr>
        <w:ind w:left="1293" w:hanging="100"/>
      </w:pPr>
      <w:rPr>
        <w:rFonts w:hint="default"/>
      </w:rPr>
    </w:lvl>
  </w:abstractNum>
  <w:abstractNum w:abstractNumId="667" w15:restartNumberingAfterBreak="0">
    <w:nsid w:val="2A8732C1"/>
    <w:multiLevelType w:val="hybridMultilevel"/>
    <w:tmpl w:val="8E4C829C"/>
    <w:lvl w:ilvl="0" w:tplc="380EEA8C">
      <w:numFmt w:val="bullet"/>
      <w:lvlText w:val=""/>
      <w:lvlJc w:val="left"/>
      <w:pPr>
        <w:ind w:left="156" w:hanging="100"/>
      </w:pPr>
      <w:rPr>
        <w:rFonts w:ascii="Symbol" w:eastAsia="Symbol" w:hAnsi="Symbol" w:cs="Symbol" w:hint="default"/>
        <w:color w:val="231F20"/>
        <w:w w:val="100"/>
        <w:sz w:val="14"/>
        <w:szCs w:val="14"/>
      </w:rPr>
    </w:lvl>
    <w:lvl w:ilvl="1" w:tplc="B4907E40">
      <w:numFmt w:val="bullet"/>
      <w:lvlText w:val="•"/>
      <w:lvlJc w:val="left"/>
      <w:pPr>
        <w:ind w:left="398" w:hanging="100"/>
      </w:pPr>
      <w:rPr>
        <w:rFonts w:hint="default"/>
      </w:rPr>
    </w:lvl>
    <w:lvl w:ilvl="2" w:tplc="F59AE122">
      <w:numFmt w:val="bullet"/>
      <w:lvlText w:val="•"/>
      <w:lvlJc w:val="left"/>
      <w:pPr>
        <w:ind w:left="636" w:hanging="100"/>
      </w:pPr>
      <w:rPr>
        <w:rFonts w:hint="default"/>
      </w:rPr>
    </w:lvl>
    <w:lvl w:ilvl="3" w:tplc="6AEC455C">
      <w:numFmt w:val="bullet"/>
      <w:lvlText w:val="•"/>
      <w:lvlJc w:val="left"/>
      <w:pPr>
        <w:ind w:left="874" w:hanging="100"/>
      </w:pPr>
      <w:rPr>
        <w:rFonts w:hint="default"/>
      </w:rPr>
    </w:lvl>
    <w:lvl w:ilvl="4" w:tplc="40F43076">
      <w:numFmt w:val="bullet"/>
      <w:lvlText w:val="•"/>
      <w:lvlJc w:val="left"/>
      <w:pPr>
        <w:ind w:left="1112" w:hanging="100"/>
      </w:pPr>
      <w:rPr>
        <w:rFonts w:hint="default"/>
      </w:rPr>
    </w:lvl>
    <w:lvl w:ilvl="5" w:tplc="A9B03F78">
      <w:numFmt w:val="bullet"/>
      <w:lvlText w:val="•"/>
      <w:lvlJc w:val="left"/>
      <w:pPr>
        <w:ind w:left="1350" w:hanging="100"/>
      </w:pPr>
      <w:rPr>
        <w:rFonts w:hint="default"/>
      </w:rPr>
    </w:lvl>
    <w:lvl w:ilvl="6" w:tplc="61D0CF60">
      <w:numFmt w:val="bullet"/>
      <w:lvlText w:val="•"/>
      <w:lvlJc w:val="left"/>
      <w:pPr>
        <w:ind w:left="1588" w:hanging="100"/>
      </w:pPr>
      <w:rPr>
        <w:rFonts w:hint="default"/>
      </w:rPr>
    </w:lvl>
    <w:lvl w:ilvl="7" w:tplc="4620ABE2">
      <w:numFmt w:val="bullet"/>
      <w:lvlText w:val="•"/>
      <w:lvlJc w:val="left"/>
      <w:pPr>
        <w:ind w:left="1826" w:hanging="100"/>
      </w:pPr>
      <w:rPr>
        <w:rFonts w:hint="default"/>
      </w:rPr>
    </w:lvl>
    <w:lvl w:ilvl="8" w:tplc="A2449CE6">
      <w:numFmt w:val="bullet"/>
      <w:lvlText w:val="•"/>
      <w:lvlJc w:val="left"/>
      <w:pPr>
        <w:ind w:left="2064" w:hanging="100"/>
      </w:pPr>
      <w:rPr>
        <w:rFonts w:hint="default"/>
      </w:rPr>
    </w:lvl>
  </w:abstractNum>
  <w:abstractNum w:abstractNumId="668" w15:restartNumberingAfterBreak="0">
    <w:nsid w:val="2A9C6042"/>
    <w:multiLevelType w:val="hybridMultilevel"/>
    <w:tmpl w:val="05EA32B6"/>
    <w:lvl w:ilvl="0" w:tplc="BDF4F160">
      <w:numFmt w:val="bullet"/>
      <w:lvlText w:val=""/>
      <w:lvlJc w:val="left"/>
      <w:pPr>
        <w:ind w:left="156" w:hanging="100"/>
      </w:pPr>
      <w:rPr>
        <w:rFonts w:ascii="Symbol" w:eastAsia="Symbol" w:hAnsi="Symbol" w:cs="Symbol" w:hint="default"/>
        <w:color w:val="231F20"/>
        <w:w w:val="100"/>
        <w:sz w:val="14"/>
        <w:szCs w:val="14"/>
      </w:rPr>
    </w:lvl>
    <w:lvl w:ilvl="1" w:tplc="6FD6C20C">
      <w:numFmt w:val="bullet"/>
      <w:lvlText w:val="•"/>
      <w:lvlJc w:val="left"/>
      <w:pPr>
        <w:ind w:left="301" w:hanging="100"/>
      </w:pPr>
      <w:rPr>
        <w:rFonts w:hint="default"/>
      </w:rPr>
    </w:lvl>
    <w:lvl w:ilvl="2" w:tplc="B9941AC8">
      <w:numFmt w:val="bullet"/>
      <w:lvlText w:val="•"/>
      <w:lvlJc w:val="left"/>
      <w:pPr>
        <w:ind w:left="443" w:hanging="100"/>
      </w:pPr>
      <w:rPr>
        <w:rFonts w:hint="default"/>
      </w:rPr>
    </w:lvl>
    <w:lvl w:ilvl="3" w:tplc="BBE869F4">
      <w:numFmt w:val="bullet"/>
      <w:lvlText w:val="•"/>
      <w:lvlJc w:val="left"/>
      <w:pPr>
        <w:ind w:left="585" w:hanging="100"/>
      </w:pPr>
      <w:rPr>
        <w:rFonts w:hint="default"/>
      </w:rPr>
    </w:lvl>
    <w:lvl w:ilvl="4" w:tplc="2630630A">
      <w:numFmt w:val="bullet"/>
      <w:lvlText w:val="•"/>
      <w:lvlJc w:val="left"/>
      <w:pPr>
        <w:ind w:left="726" w:hanging="100"/>
      </w:pPr>
      <w:rPr>
        <w:rFonts w:hint="default"/>
      </w:rPr>
    </w:lvl>
    <w:lvl w:ilvl="5" w:tplc="FCC48A12">
      <w:numFmt w:val="bullet"/>
      <w:lvlText w:val="•"/>
      <w:lvlJc w:val="left"/>
      <w:pPr>
        <w:ind w:left="868" w:hanging="100"/>
      </w:pPr>
      <w:rPr>
        <w:rFonts w:hint="default"/>
      </w:rPr>
    </w:lvl>
    <w:lvl w:ilvl="6" w:tplc="806641A8">
      <w:numFmt w:val="bullet"/>
      <w:lvlText w:val="•"/>
      <w:lvlJc w:val="left"/>
      <w:pPr>
        <w:ind w:left="1010" w:hanging="100"/>
      </w:pPr>
      <w:rPr>
        <w:rFonts w:hint="default"/>
      </w:rPr>
    </w:lvl>
    <w:lvl w:ilvl="7" w:tplc="5B621C0E">
      <w:numFmt w:val="bullet"/>
      <w:lvlText w:val="•"/>
      <w:lvlJc w:val="left"/>
      <w:pPr>
        <w:ind w:left="1151" w:hanging="100"/>
      </w:pPr>
      <w:rPr>
        <w:rFonts w:hint="default"/>
      </w:rPr>
    </w:lvl>
    <w:lvl w:ilvl="8" w:tplc="BC909732">
      <w:numFmt w:val="bullet"/>
      <w:lvlText w:val="•"/>
      <w:lvlJc w:val="left"/>
      <w:pPr>
        <w:ind w:left="1293" w:hanging="100"/>
      </w:pPr>
      <w:rPr>
        <w:rFonts w:hint="default"/>
      </w:rPr>
    </w:lvl>
  </w:abstractNum>
  <w:abstractNum w:abstractNumId="669" w15:restartNumberingAfterBreak="0">
    <w:nsid w:val="2A9D0D33"/>
    <w:multiLevelType w:val="hybridMultilevel"/>
    <w:tmpl w:val="1A1274DA"/>
    <w:lvl w:ilvl="0" w:tplc="6DAE32E4">
      <w:numFmt w:val="bullet"/>
      <w:lvlText w:val=""/>
      <w:lvlJc w:val="left"/>
      <w:pPr>
        <w:ind w:left="156" w:hanging="100"/>
      </w:pPr>
      <w:rPr>
        <w:rFonts w:ascii="Symbol" w:eastAsia="Symbol" w:hAnsi="Symbol" w:cs="Symbol" w:hint="default"/>
        <w:color w:val="231F20"/>
        <w:w w:val="100"/>
        <w:sz w:val="14"/>
        <w:szCs w:val="14"/>
      </w:rPr>
    </w:lvl>
    <w:lvl w:ilvl="1" w:tplc="D01A1644">
      <w:numFmt w:val="bullet"/>
      <w:lvlText w:val="•"/>
      <w:lvlJc w:val="left"/>
      <w:pPr>
        <w:ind w:left="301" w:hanging="100"/>
      </w:pPr>
      <w:rPr>
        <w:rFonts w:hint="default"/>
      </w:rPr>
    </w:lvl>
    <w:lvl w:ilvl="2" w:tplc="6E5C5964">
      <w:numFmt w:val="bullet"/>
      <w:lvlText w:val="•"/>
      <w:lvlJc w:val="left"/>
      <w:pPr>
        <w:ind w:left="443" w:hanging="100"/>
      </w:pPr>
      <w:rPr>
        <w:rFonts w:hint="default"/>
      </w:rPr>
    </w:lvl>
    <w:lvl w:ilvl="3" w:tplc="DBBC4358">
      <w:numFmt w:val="bullet"/>
      <w:lvlText w:val="•"/>
      <w:lvlJc w:val="left"/>
      <w:pPr>
        <w:ind w:left="585" w:hanging="100"/>
      </w:pPr>
      <w:rPr>
        <w:rFonts w:hint="default"/>
      </w:rPr>
    </w:lvl>
    <w:lvl w:ilvl="4" w:tplc="0456B728">
      <w:numFmt w:val="bullet"/>
      <w:lvlText w:val="•"/>
      <w:lvlJc w:val="left"/>
      <w:pPr>
        <w:ind w:left="726" w:hanging="100"/>
      </w:pPr>
      <w:rPr>
        <w:rFonts w:hint="default"/>
      </w:rPr>
    </w:lvl>
    <w:lvl w:ilvl="5" w:tplc="0750F6D0">
      <w:numFmt w:val="bullet"/>
      <w:lvlText w:val="•"/>
      <w:lvlJc w:val="left"/>
      <w:pPr>
        <w:ind w:left="868" w:hanging="100"/>
      </w:pPr>
      <w:rPr>
        <w:rFonts w:hint="default"/>
      </w:rPr>
    </w:lvl>
    <w:lvl w:ilvl="6" w:tplc="25EA0E14">
      <w:numFmt w:val="bullet"/>
      <w:lvlText w:val="•"/>
      <w:lvlJc w:val="left"/>
      <w:pPr>
        <w:ind w:left="1010" w:hanging="100"/>
      </w:pPr>
      <w:rPr>
        <w:rFonts w:hint="default"/>
      </w:rPr>
    </w:lvl>
    <w:lvl w:ilvl="7" w:tplc="7004EDB4">
      <w:numFmt w:val="bullet"/>
      <w:lvlText w:val="•"/>
      <w:lvlJc w:val="left"/>
      <w:pPr>
        <w:ind w:left="1151" w:hanging="100"/>
      </w:pPr>
      <w:rPr>
        <w:rFonts w:hint="default"/>
      </w:rPr>
    </w:lvl>
    <w:lvl w:ilvl="8" w:tplc="C4742D62">
      <w:numFmt w:val="bullet"/>
      <w:lvlText w:val="•"/>
      <w:lvlJc w:val="left"/>
      <w:pPr>
        <w:ind w:left="1293" w:hanging="100"/>
      </w:pPr>
      <w:rPr>
        <w:rFonts w:hint="default"/>
      </w:rPr>
    </w:lvl>
  </w:abstractNum>
  <w:abstractNum w:abstractNumId="670" w15:restartNumberingAfterBreak="0">
    <w:nsid w:val="2AAA6E23"/>
    <w:multiLevelType w:val="hybridMultilevel"/>
    <w:tmpl w:val="0030AE12"/>
    <w:lvl w:ilvl="0" w:tplc="7F7C3314">
      <w:numFmt w:val="bullet"/>
      <w:lvlText w:val=""/>
      <w:lvlJc w:val="left"/>
      <w:pPr>
        <w:ind w:left="156" w:hanging="100"/>
      </w:pPr>
      <w:rPr>
        <w:rFonts w:ascii="Symbol" w:eastAsia="Symbol" w:hAnsi="Symbol" w:cs="Symbol" w:hint="default"/>
        <w:color w:val="231F20"/>
        <w:w w:val="100"/>
        <w:sz w:val="14"/>
        <w:szCs w:val="14"/>
      </w:rPr>
    </w:lvl>
    <w:lvl w:ilvl="1" w:tplc="0D1E74E0">
      <w:numFmt w:val="bullet"/>
      <w:lvlText w:val="•"/>
      <w:lvlJc w:val="left"/>
      <w:pPr>
        <w:ind w:left="471" w:hanging="100"/>
      </w:pPr>
      <w:rPr>
        <w:rFonts w:hint="default"/>
      </w:rPr>
    </w:lvl>
    <w:lvl w:ilvl="2" w:tplc="3404E1F8">
      <w:numFmt w:val="bullet"/>
      <w:lvlText w:val="•"/>
      <w:lvlJc w:val="left"/>
      <w:pPr>
        <w:ind w:left="783" w:hanging="100"/>
      </w:pPr>
      <w:rPr>
        <w:rFonts w:hint="default"/>
      </w:rPr>
    </w:lvl>
    <w:lvl w:ilvl="3" w:tplc="A95CDD14">
      <w:numFmt w:val="bullet"/>
      <w:lvlText w:val="•"/>
      <w:lvlJc w:val="left"/>
      <w:pPr>
        <w:ind w:left="1095" w:hanging="100"/>
      </w:pPr>
      <w:rPr>
        <w:rFonts w:hint="default"/>
      </w:rPr>
    </w:lvl>
    <w:lvl w:ilvl="4" w:tplc="005074D2">
      <w:numFmt w:val="bullet"/>
      <w:lvlText w:val="•"/>
      <w:lvlJc w:val="left"/>
      <w:pPr>
        <w:ind w:left="1407" w:hanging="100"/>
      </w:pPr>
      <w:rPr>
        <w:rFonts w:hint="default"/>
      </w:rPr>
    </w:lvl>
    <w:lvl w:ilvl="5" w:tplc="34B0AAE6">
      <w:numFmt w:val="bullet"/>
      <w:lvlText w:val="•"/>
      <w:lvlJc w:val="left"/>
      <w:pPr>
        <w:ind w:left="1719" w:hanging="100"/>
      </w:pPr>
      <w:rPr>
        <w:rFonts w:hint="default"/>
      </w:rPr>
    </w:lvl>
    <w:lvl w:ilvl="6" w:tplc="CD62C88A">
      <w:numFmt w:val="bullet"/>
      <w:lvlText w:val="•"/>
      <w:lvlJc w:val="left"/>
      <w:pPr>
        <w:ind w:left="2030" w:hanging="100"/>
      </w:pPr>
      <w:rPr>
        <w:rFonts w:hint="default"/>
      </w:rPr>
    </w:lvl>
    <w:lvl w:ilvl="7" w:tplc="F31E5B1E">
      <w:numFmt w:val="bullet"/>
      <w:lvlText w:val="•"/>
      <w:lvlJc w:val="left"/>
      <w:pPr>
        <w:ind w:left="2342" w:hanging="100"/>
      </w:pPr>
      <w:rPr>
        <w:rFonts w:hint="default"/>
      </w:rPr>
    </w:lvl>
    <w:lvl w:ilvl="8" w:tplc="E7BA78D6">
      <w:numFmt w:val="bullet"/>
      <w:lvlText w:val="•"/>
      <w:lvlJc w:val="left"/>
      <w:pPr>
        <w:ind w:left="2654" w:hanging="100"/>
      </w:pPr>
      <w:rPr>
        <w:rFonts w:hint="default"/>
      </w:rPr>
    </w:lvl>
  </w:abstractNum>
  <w:abstractNum w:abstractNumId="671" w15:restartNumberingAfterBreak="0">
    <w:nsid w:val="2AB812A3"/>
    <w:multiLevelType w:val="hybridMultilevel"/>
    <w:tmpl w:val="3BAE0BEA"/>
    <w:lvl w:ilvl="0" w:tplc="57FCE7DE">
      <w:numFmt w:val="bullet"/>
      <w:lvlText w:val=""/>
      <w:lvlJc w:val="left"/>
      <w:pPr>
        <w:ind w:left="156" w:hanging="100"/>
      </w:pPr>
      <w:rPr>
        <w:rFonts w:ascii="Symbol" w:eastAsia="Symbol" w:hAnsi="Symbol" w:cs="Symbol" w:hint="default"/>
        <w:color w:val="231F20"/>
        <w:w w:val="100"/>
        <w:sz w:val="14"/>
        <w:szCs w:val="14"/>
      </w:rPr>
    </w:lvl>
    <w:lvl w:ilvl="1" w:tplc="B56A27C0">
      <w:numFmt w:val="bullet"/>
      <w:lvlText w:val="•"/>
      <w:lvlJc w:val="left"/>
      <w:pPr>
        <w:ind w:left="398" w:hanging="100"/>
      </w:pPr>
      <w:rPr>
        <w:rFonts w:hint="default"/>
      </w:rPr>
    </w:lvl>
    <w:lvl w:ilvl="2" w:tplc="740E9750">
      <w:numFmt w:val="bullet"/>
      <w:lvlText w:val="•"/>
      <w:lvlJc w:val="left"/>
      <w:pPr>
        <w:ind w:left="636" w:hanging="100"/>
      </w:pPr>
      <w:rPr>
        <w:rFonts w:hint="default"/>
      </w:rPr>
    </w:lvl>
    <w:lvl w:ilvl="3" w:tplc="65923318">
      <w:numFmt w:val="bullet"/>
      <w:lvlText w:val="•"/>
      <w:lvlJc w:val="left"/>
      <w:pPr>
        <w:ind w:left="874" w:hanging="100"/>
      </w:pPr>
      <w:rPr>
        <w:rFonts w:hint="default"/>
      </w:rPr>
    </w:lvl>
    <w:lvl w:ilvl="4" w:tplc="ADC0356E">
      <w:numFmt w:val="bullet"/>
      <w:lvlText w:val="•"/>
      <w:lvlJc w:val="left"/>
      <w:pPr>
        <w:ind w:left="1112" w:hanging="100"/>
      </w:pPr>
      <w:rPr>
        <w:rFonts w:hint="default"/>
      </w:rPr>
    </w:lvl>
    <w:lvl w:ilvl="5" w:tplc="1880310C">
      <w:numFmt w:val="bullet"/>
      <w:lvlText w:val="•"/>
      <w:lvlJc w:val="left"/>
      <w:pPr>
        <w:ind w:left="1350" w:hanging="100"/>
      </w:pPr>
      <w:rPr>
        <w:rFonts w:hint="default"/>
      </w:rPr>
    </w:lvl>
    <w:lvl w:ilvl="6" w:tplc="20A6F820">
      <w:numFmt w:val="bullet"/>
      <w:lvlText w:val="•"/>
      <w:lvlJc w:val="left"/>
      <w:pPr>
        <w:ind w:left="1588" w:hanging="100"/>
      </w:pPr>
      <w:rPr>
        <w:rFonts w:hint="default"/>
      </w:rPr>
    </w:lvl>
    <w:lvl w:ilvl="7" w:tplc="770465F8">
      <w:numFmt w:val="bullet"/>
      <w:lvlText w:val="•"/>
      <w:lvlJc w:val="left"/>
      <w:pPr>
        <w:ind w:left="1826" w:hanging="100"/>
      </w:pPr>
      <w:rPr>
        <w:rFonts w:hint="default"/>
      </w:rPr>
    </w:lvl>
    <w:lvl w:ilvl="8" w:tplc="50345038">
      <w:numFmt w:val="bullet"/>
      <w:lvlText w:val="•"/>
      <w:lvlJc w:val="left"/>
      <w:pPr>
        <w:ind w:left="2064" w:hanging="100"/>
      </w:pPr>
      <w:rPr>
        <w:rFonts w:hint="default"/>
      </w:rPr>
    </w:lvl>
  </w:abstractNum>
  <w:abstractNum w:abstractNumId="672" w15:restartNumberingAfterBreak="0">
    <w:nsid w:val="2AC57490"/>
    <w:multiLevelType w:val="hybridMultilevel"/>
    <w:tmpl w:val="FA5668BC"/>
    <w:lvl w:ilvl="0" w:tplc="4C326D44">
      <w:numFmt w:val="bullet"/>
      <w:lvlText w:val=""/>
      <w:lvlJc w:val="left"/>
      <w:pPr>
        <w:ind w:left="156" w:hanging="100"/>
      </w:pPr>
      <w:rPr>
        <w:rFonts w:ascii="Symbol" w:eastAsia="Symbol" w:hAnsi="Symbol" w:cs="Symbol" w:hint="default"/>
        <w:color w:val="231F20"/>
        <w:w w:val="100"/>
        <w:sz w:val="14"/>
        <w:szCs w:val="14"/>
      </w:rPr>
    </w:lvl>
    <w:lvl w:ilvl="1" w:tplc="2A5C724E">
      <w:numFmt w:val="bullet"/>
      <w:lvlText w:val="•"/>
      <w:lvlJc w:val="left"/>
      <w:pPr>
        <w:ind w:left="398" w:hanging="100"/>
      </w:pPr>
      <w:rPr>
        <w:rFonts w:hint="default"/>
      </w:rPr>
    </w:lvl>
    <w:lvl w:ilvl="2" w:tplc="9E9A18BE">
      <w:numFmt w:val="bullet"/>
      <w:lvlText w:val="•"/>
      <w:lvlJc w:val="left"/>
      <w:pPr>
        <w:ind w:left="636" w:hanging="100"/>
      </w:pPr>
      <w:rPr>
        <w:rFonts w:hint="default"/>
      </w:rPr>
    </w:lvl>
    <w:lvl w:ilvl="3" w:tplc="87B0FC7C">
      <w:numFmt w:val="bullet"/>
      <w:lvlText w:val="•"/>
      <w:lvlJc w:val="left"/>
      <w:pPr>
        <w:ind w:left="874" w:hanging="100"/>
      </w:pPr>
      <w:rPr>
        <w:rFonts w:hint="default"/>
      </w:rPr>
    </w:lvl>
    <w:lvl w:ilvl="4" w:tplc="AC164ECA">
      <w:numFmt w:val="bullet"/>
      <w:lvlText w:val="•"/>
      <w:lvlJc w:val="left"/>
      <w:pPr>
        <w:ind w:left="1112" w:hanging="100"/>
      </w:pPr>
      <w:rPr>
        <w:rFonts w:hint="default"/>
      </w:rPr>
    </w:lvl>
    <w:lvl w:ilvl="5" w:tplc="2040A998">
      <w:numFmt w:val="bullet"/>
      <w:lvlText w:val="•"/>
      <w:lvlJc w:val="left"/>
      <w:pPr>
        <w:ind w:left="1350" w:hanging="100"/>
      </w:pPr>
      <w:rPr>
        <w:rFonts w:hint="default"/>
      </w:rPr>
    </w:lvl>
    <w:lvl w:ilvl="6" w:tplc="BA607650">
      <w:numFmt w:val="bullet"/>
      <w:lvlText w:val="•"/>
      <w:lvlJc w:val="left"/>
      <w:pPr>
        <w:ind w:left="1588" w:hanging="100"/>
      </w:pPr>
      <w:rPr>
        <w:rFonts w:hint="default"/>
      </w:rPr>
    </w:lvl>
    <w:lvl w:ilvl="7" w:tplc="78B89B48">
      <w:numFmt w:val="bullet"/>
      <w:lvlText w:val="•"/>
      <w:lvlJc w:val="left"/>
      <w:pPr>
        <w:ind w:left="1826" w:hanging="100"/>
      </w:pPr>
      <w:rPr>
        <w:rFonts w:hint="default"/>
      </w:rPr>
    </w:lvl>
    <w:lvl w:ilvl="8" w:tplc="A43AB070">
      <w:numFmt w:val="bullet"/>
      <w:lvlText w:val="•"/>
      <w:lvlJc w:val="left"/>
      <w:pPr>
        <w:ind w:left="2064" w:hanging="100"/>
      </w:pPr>
      <w:rPr>
        <w:rFonts w:hint="default"/>
      </w:rPr>
    </w:lvl>
  </w:abstractNum>
  <w:abstractNum w:abstractNumId="673" w15:restartNumberingAfterBreak="0">
    <w:nsid w:val="2AF4053C"/>
    <w:multiLevelType w:val="hybridMultilevel"/>
    <w:tmpl w:val="0E842E34"/>
    <w:lvl w:ilvl="0" w:tplc="F0F8188A">
      <w:numFmt w:val="bullet"/>
      <w:lvlText w:val=""/>
      <w:lvlJc w:val="left"/>
      <w:pPr>
        <w:ind w:left="157" w:hanging="100"/>
      </w:pPr>
      <w:rPr>
        <w:rFonts w:ascii="Symbol" w:eastAsia="Symbol" w:hAnsi="Symbol" w:cs="Symbol" w:hint="default"/>
        <w:color w:val="231F20"/>
        <w:w w:val="100"/>
        <w:sz w:val="14"/>
        <w:szCs w:val="14"/>
      </w:rPr>
    </w:lvl>
    <w:lvl w:ilvl="1" w:tplc="BD90B9DE">
      <w:numFmt w:val="bullet"/>
      <w:lvlText w:val="•"/>
      <w:lvlJc w:val="left"/>
      <w:pPr>
        <w:ind w:left="398" w:hanging="100"/>
      </w:pPr>
      <w:rPr>
        <w:rFonts w:hint="default"/>
      </w:rPr>
    </w:lvl>
    <w:lvl w:ilvl="2" w:tplc="F73C69F2">
      <w:numFmt w:val="bullet"/>
      <w:lvlText w:val="•"/>
      <w:lvlJc w:val="left"/>
      <w:pPr>
        <w:ind w:left="636" w:hanging="100"/>
      </w:pPr>
      <w:rPr>
        <w:rFonts w:hint="default"/>
      </w:rPr>
    </w:lvl>
    <w:lvl w:ilvl="3" w:tplc="D79AC7E6">
      <w:numFmt w:val="bullet"/>
      <w:lvlText w:val="•"/>
      <w:lvlJc w:val="left"/>
      <w:pPr>
        <w:ind w:left="874" w:hanging="100"/>
      </w:pPr>
      <w:rPr>
        <w:rFonts w:hint="default"/>
      </w:rPr>
    </w:lvl>
    <w:lvl w:ilvl="4" w:tplc="6C1CFA60">
      <w:numFmt w:val="bullet"/>
      <w:lvlText w:val="•"/>
      <w:lvlJc w:val="left"/>
      <w:pPr>
        <w:ind w:left="1112" w:hanging="100"/>
      </w:pPr>
      <w:rPr>
        <w:rFonts w:hint="default"/>
      </w:rPr>
    </w:lvl>
    <w:lvl w:ilvl="5" w:tplc="FE0A80D8">
      <w:numFmt w:val="bullet"/>
      <w:lvlText w:val="•"/>
      <w:lvlJc w:val="left"/>
      <w:pPr>
        <w:ind w:left="1350" w:hanging="100"/>
      </w:pPr>
      <w:rPr>
        <w:rFonts w:hint="default"/>
      </w:rPr>
    </w:lvl>
    <w:lvl w:ilvl="6" w:tplc="73260D10">
      <w:numFmt w:val="bullet"/>
      <w:lvlText w:val="•"/>
      <w:lvlJc w:val="left"/>
      <w:pPr>
        <w:ind w:left="1588" w:hanging="100"/>
      </w:pPr>
      <w:rPr>
        <w:rFonts w:hint="default"/>
      </w:rPr>
    </w:lvl>
    <w:lvl w:ilvl="7" w:tplc="6F6AA102">
      <w:numFmt w:val="bullet"/>
      <w:lvlText w:val="•"/>
      <w:lvlJc w:val="left"/>
      <w:pPr>
        <w:ind w:left="1826" w:hanging="100"/>
      </w:pPr>
      <w:rPr>
        <w:rFonts w:hint="default"/>
      </w:rPr>
    </w:lvl>
    <w:lvl w:ilvl="8" w:tplc="664621D4">
      <w:numFmt w:val="bullet"/>
      <w:lvlText w:val="•"/>
      <w:lvlJc w:val="left"/>
      <w:pPr>
        <w:ind w:left="2064" w:hanging="100"/>
      </w:pPr>
      <w:rPr>
        <w:rFonts w:hint="default"/>
      </w:rPr>
    </w:lvl>
  </w:abstractNum>
  <w:abstractNum w:abstractNumId="674" w15:restartNumberingAfterBreak="0">
    <w:nsid w:val="2B0B7B2F"/>
    <w:multiLevelType w:val="hybridMultilevel"/>
    <w:tmpl w:val="33EE9984"/>
    <w:lvl w:ilvl="0" w:tplc="E19A5A0A">
      <w:numFmt w:val="bullet"/>
      <w:lvlText w:val=""/>
      <w:lvlJc w:val="left"/>
      <w:pPr>
        <w:ind w:left="156" w:hanging="100"/>
      </w:pPr>
      <w:rPr>
        <w:rFonts w:ascii="Symbol" w:eastAsia="Symbol" w:hAnsi="Symbol" w:cs="Symbol" w:hint="default"/>
        <w:color w:val="231F20"/>
        <w:w w:val="100"/>
        <w:sz w:val="14"/>
        <w:szCs w:val="14"/>
      </w:rPr>
    </w:lvl>
    <w:lvl w:ilvl="1" w:tplc="8B5476E6">
      <w:numFmt w:val="bullet"/>
      <w:lvlText w:val="•"/>
      <w:lvlJc w:val="left"/>
      <w:pPr>
        <w:ind w:left="301" w:hanging="100"/>
      </w:pPr>
      <w:rPr>
        <w:rFonts w:hint="default"/>
      </w:rPr>
    </w:lvl>
    <w:lvl w:ilvl="2" w:tplc="B25CEAF6">
      <w:numFmt w:val="bullet"/>
      <w:lvlText w:val="•"/>
      <w:lvlJc w:val="left"/>
      <w:pPr>
        <w:ind w:left="443" w:hanging="100"/>
      </w:pPr>
      <w:rPr>
        <w:rFonts w:hint="default"/>
      </w:rPr>
    </w:lvl>
    <w:lvl w:ilvl="3" w:tplc="A050C0B0">
      <w:numFmt w:val="bullet"/>
      <w:lvlText w:val="•"/>
      <w:lvlJc w:val="left"/>
      <w:pPr>
        <w:ind w:left="585" w:hanging="100"/>
      </w:pPr>
      <w:rPr>
        <w:rFonts w:hint="default"/>
      </w:rPr>
    </w:lvl>
    <w:lvl w:ilvl="4" w:tplc="906287F0">
      <w:numFmt w:val="bullet"/>
      <w:lvlText w:val="•"/>
      <w:lvlJc w:val="left"/>
      <w:pPr>
        <w:ind w:left="726" w:hanging="100"/>
      </w:pPr>
      <w:rPr>
        <w:rFonts w:hint="default"/>
      </w:rPr>
    </w:lvl>
    <w:lvl w:ilvl="5" w:tplc="90E2B43A">
      <w:numFmt w:val="bullet"/>
      <w:lvlText w:val="•"/>
      <w:lvlJc w:val="left"/>
      <w:pPr>
        <w:ind w:left="868" w:hanging="100"/>
      </w:pPr>
      <w:rPr>
        <w:rFonts w:hint="default"/>
      </w:rPr>
    </w:lvl>
    <w:lvl w:ilvl="6" w:tplc="90463856">
      <w:numFmt w:val="bullet"/>
      <w:lvlText w:val="•"/>
      <w:lvlJc w:val="left"/>
      <w:pPr>
        <w:ind w:left="1010" w:hanging="100"/>
      </w:pPr>
      <w:rPr>
        <w:rFonts w:hint="default"/>
      </w:rPr>
    </w:lvl>
    <w:lvl w:ilvl="7" w:tplc="A10262A8">
      <w:numFmt w:val="bullet"/>
      <w:lvlText w:val="•"/>
      <w:lvlJc w:val="left"/>
      <w:pPr>
        <w:ind w:left="1151" w:hanging="100"/>
      </w:pPr>
      <w:rPr>
        <w:rFonts w:hint="default"/>
      </w:rPr>
    </w:lvl>
    <w:lvl w:ilvl="8" w:tplc="20FA70A6">
      <w:numFmt w:val="bullet"/>
      <w:lvlText w:val="•"/>
      <w:lvlJc w:val="left"/>
      <w:pPr>
        <w:ind w:left="1293" w:hanging="100"/>
      </w:pPr>
      <w:rPr>
        <w:rFonts w:hint="default"/>
      </w:rPr>
    </w:lvl>
  </w:abstractNum>
  <w:abstractNum w:abstractNumId="675" w15:restartNumberingAfterBreak="0">
    <w:nsid w:val="2B1B6343"/>
    <w:multiLevelType w:val="hybridMultilevel"/>
    <w:tmpl w:val="8B6ACC52"/>
    <w:lvl w:ilvl="0" w:tplc="1E46CA94">
      <w:numFmt w:val="bullet"/>
      <w:lvlText w:val=""/>
      <w:lvlJc w:val="left"/>
      <w:pPr>
        <w:ind w:left="157" w:hanging="100"/>
      </w:pPr>
      <w:rPr>
        <w:rFonts w:ascii="Symbol" w:eastAsia="Symbol" w:hAnsi="Symbol" w:cs="Symbol" w:hint="default"/>
        <w:color w:val="231F20"/>
        <w:w w:val="100"/>
        <w:sz w:val="14"/>
        <w:szCs w:val="14"/>
      </w:rPr>
    </w:lvl>
    <w:lvl w:ilvl="1" w:tplc="25A806B8">
      <w:numFmt w:val="bullet"/>
      <w:lvlText w:val="•"/>
      <w:lvlJc w:val="left"/>
      <w:pPr>
        <w:ind w:left="369" w:hanging="100"/>
      </w:pPr>
      <w:rPr>
        <w:rFonts w:hint="default"/>
      </w:rPr>
    </w:lvl>
    <w:lvl w:ilvl="2" w:tplc="2A72AB04">
      <w:numFmt w:val="bullet"/>
      <w:lvlText w:val="•"/>
      <w:lvlJc w:val="left"/>
      <w:pPr>
        <w:ind w:left="579" w:hanging="100"/>
      </w:pPr>
      <w:rPr>
        <w:rFonts w:hint="default"/>
      </w:rPr>
    </w:lvl>
    <w:lvl w:ilvl="3" w:tplc="66764412">
      <w:numFmt w:val="bullet"/>
      <w:lvlText w:val="•"/>
      <w:lvlJc w:val="left"/>
      <w:pPr>
        <w:ind w:left="789" w:hanging="100"/>
      </w:pPr>
      <w:rPr>
        <w:rFonts w:hint="default"/>
      </w:rPr>
    </w:lvl>
    <w:lvl w:ilvl="4" w:tplc="B684538C">
      <w:numFmt w:val="bullet"/>
      <w:lvlText w:val="•"/>
      <w:lvlJc w:val="left"/>
      <w:pPr>
        <w:ind w:left="998" w:hanging="100"/>
      </w:pPr>
      <w:rPr>
        <w:rFonts w:hint="default"/>
      </w:rPr>
    </w:lvl>
    <w:lvl w:ilvl="5" w:tplc="90F69068">
      <w:numFmt w:val="bullet"/>
      <w:lvlText w:val="•"/>
      <w:lvlJc w:val="left"/>
      <w:pPr>
        <w:ind w:left="1208" w:hanging="100"/>
      </w:pPr>
      <w:rPr>
        <w:rFonts w:hint="default"/>
      </w:rPr>
    </w:lvl>
    <w:lvl w:ilvl="6" w:tplc="849A910E">
      <w:numFmt w:val="bullet"/>
      <w:lvlText w:val="•"/>
      <w:lvlJc w:val="left"/>
      <w:pPr>
        <w:ind w:left="1418" w:hanging="100"/>
      </w:pPr>
      <w:rPr>
        <w:rFonts w:hint="default"/>
      </w:rPr>
    </w:lvl>
    <w:lvl w:ilvl="7" w:tplc="3FA4F15A">
      <w:numFmt w:val="bullet"/>
      <w:lvlText w:val="•"/>
      <w:lvlJc w:val="left"/>
      <w:pPr>
        <w:ind w:left="1627" w:hanging="100"/>
      </w:pPr>
      <w:rPr>
        <w:rFonts w:hint="default"/>
      </w:rPr>
    </w:lvl>
    <w:lvl w:ilvl="8" w:tplc="88A21C9C">
      <w:numFmt w:val="bullet"/>
      <w:lvlText w:val="•"/>
      <w:lvlJc w:val="left"/>
      <w:pPr>
        <w:ind w:left="1837" w:hanging="100"/>
      </w:pPr>
      <w:rPr>
        <w:rFonts w:hint="default"/>
      </w:rPr>
    </w:lvl>
  </w:abstractNum>
  <w:abstractNum w:abstractNumId="676" w15:restartNumberingAfterBreak="0">
    <w:nsid w:val="2B453035"/>
    <w:multiLevelType w:val="hybridMultilevel"/>
    <w:tmpl w:val="5B72AC6C"/>
    <w:lvl w:ilvl="0" w:tplc="3DAA183A">
      <w:numFmt w:val="bullet"/>
      <w:lvlText w:val=""/>
      <w:lvlJc w:val="left"/>
      <w:pPr>
        <w:ind w:left="156" w:hanging="100"/>
      </w:pPr>
      <w:rPr>
        <w:rFonts w:ascii="Symbol" w:eastAsia="Symbol" w:hAnsi="Symbol" w:cs="Symbol" w:hint="default"/>
        <w:color w:val="231F20"/>
        <w:w w:val="100"/>
        <w:sz w:val="14"/>
        <w:szCs w:val="14"/>
      </w:rPr>
    </w:lvl>
    <w:lvl w:ilvl="1" w:tplc="A8BCC858">
      <w:numFmt w:val="bullet"/>
      <w:lvlText w:val="•"/>
      <w:lvlJc w:val="left"/>
      <w:pPr>
        <w:ind w:left="301" w:hanging="100"/>
      </w:pPr>
      <w:rPr>
        <w:rFonts w:hint="default"/>
      </w:rPr>
    </w:lvl>
    <w:lvl w:ilvl="2" w:tplc="780614FE">
      <w:numFmt w:val="bullet"/>
      <w:lvlText w:val="•"/>
      <w:lvlJc w:val="left"/>
      <w:pPr>
        <w:ind w:left="443" w:hanging="100"/>
      </w:pPr>
      <w:rPr>
        <w:rFonts w:hint="default"/>
      </w:rPr>
    </w:lvl>
    <w:lvl w:ilvl="3" w:tplc="C30C2F26">
      <w:numFmt w:val="bullet"/>
      <w:lvlText w:val="•"/>
      <w:lvlJc w:val="left"/>
      <w:pPr>
        <w:ind w:left="585" w:hanging="100"/>
      </w:pPr>
      <w:rPr>
        <w:rFonts w:hint="default"/>
      </w:rPr>
    </w:lvl>
    <w:lvl w:ilvl="4" w:tplc="1316B410">
      <w:numFmt w:val="bullet"/>
      <w:lvlText w:val="•"/>
      <w:lvlJc w:val="left"/>
      <w:pPr>
        <w:ind w:left="726" w:hanging="100"/>
      </w:pPr>
      <w:rPr>
        <w:rFonts w:hint="default"/>
      </w:rPr>
    </w:lvl>
    <w:lvl w:ilvl="5" w:tplc="37369C8E">
      <w:numFmt w:val="bullet"/>
      <w:lvlText w:val="•"/>
      <w:lvlJc w:val="left"/>
      <w:pPr>
        <w:ind w:left="868" w:hanging="100"/>
      </w:pPr>
      <w:rPr>
        <w:rFonts w:hint="default"/>
      </w:rPr>
    </w:lvl>
    <w:lvl w:ilvl="6" w:tplc="5A2CCC22">
      <w:numFmt w:val="bullet"/>
      <w:lvlText w:val="•"/>
      <w:lvlJc w:val="left"/>
      <w:pPr>
        <w:ind w:left="1010" w:hanging="100"/>
      </w:pPr>
      <w:rPr>
        <w:rFonts w:hint="default"/>
      </w:rPr>
    </w:lvl>
    <w:lvl w:ilvl="7" w:tplc="E71E2D8A">
      <w:numFmt w:val="bullet"/>
      <w:lvlText w:val="•"/>
      <w:lvlJc w:val="left"/>
      <w:pPr>
        <w:ind w:left="1151" w:hanging="100"/>
      </w:pPr>
      <w:rPr>
        <w:rFonts w:hint="default"/>
      </w:rPr>
    </w:lvl>
    <w:lvl w:ilvl="8" w:tplc="74962BC0">
      <w:numFmt w:val="bullet"/>
      <w:lvlText w:val="•"/>
      <w:lvlJc w:val="left"/>
      <w:pPr>
        <w:ind w:left="1293" w:hanging="100"/>
      </w:pPr>
      <w:rPr>
        <w:rFonts w:hint="default"/>
      </w:rPr>
    </w:lvl>
  </w:abstractNum>
  <w:abstractNum w:abstractNumId="677" w15:restartNumberingAfterBreak="0">
    <w:nsid w:val="2B4A036B"/>
    <w:multiLevelType w:val="hybridMultilevel"/>
    <w:tmpl w:val="B7408902"/>
    <w:lvl w:ilvl="0" w:tplc="A7C25C7E">
      <w:numFmt w:val="bullet"/>
      <w:lvlText w:val=""/>
      <w:lvlJc w:val="left"/>
      <w:pPr>
        <w:ind w:left="156" w:hanging="100"/>
      </w:pPr>
      <w:rPr>
        <w:rFonts w:ascii="Symbol" w:eastAsia="Symbol" w:hAnsi="Symbol" w:cs="Symbol" w:hint="default"/>
        <w:color w:val="231F20"/>
        <w:w w:val="100"/>
        <w:sz w:val="14"/>
        <w:szCs w:val="14"/>
      </w:rPr>
    </w:lvl>
    <w:lvl w:ilvl="1" w:tplc="B44C5496">
      <w:numFmt w:val="bullet"/>
      <w:lvlText w:val="•"/>
      <w:lvlJc w:val="left"/>
      <w:pPr>
        <w:ind w:left="301" w:hanging="100"/>
      </w:pPr>
      <w:rPr>
        <w:rFonts w:hint="default"/>
      </w:rPr>
    </w:lvl>
    <w:lvl w:ilvl="2" w:tplc="5FE695F8">
      <w:numFmt w:val="bullet"/>
      <w:lvlText w:val="•"/>
      <w:lvlJc w:val="left"/>
      <w:pPr>
        <w:ind w:left="443" w:hanging="100"/>
      </w:pPr>
      <w:rPr>
        <w:rFonts w:hint="default"/>
      </w:rPr>
    </w:lvl>
    <w:lvl w:ilvl="3" w:tplc="F58A6E6C">
      <w:numFmt w:val="bullet"/>
      <w:lvlText w:val="•"/>
      <w:lvlJc w:val="left"/>
      <w:pPr>
        <w:ind w:left="585" w:hanging="100"/>
      </w:pPr>
      <w:rPr>
        <w:rFonts w:hint="default"/>
      </w:rPr>
    </w:lvl>
    <w:lvl w:ilvl="4" w:tplc="B1FA681C">
      <w:numFmt w:val="bullet"/>
      <w:lvlText w:val="•"/>
      <w:lvlJc w:val="left"/>
      <w:pPr>
        <w:ind w:left="726" w:hanging="100"/>
      </w:pPr>
      <w:rPr>
        <w:rFonts w:hint="default"/>
      </w:rPr>
    </w:lvl>
    <w:lvl w:ilvl="5" w:tplc="5E008416">
      <w:numFmt w:val="bullet"/>
      <w:lvlText w:val="•"/>
      <w:lvlJc w:val="left"/>
      <w:pPr>
        <w:ind w:left="868" w:hanging="100"/>
      </w:pPr>
      <w:rPr>
        <w:rFonts w:hint="default"/>
      </w:rPr>
    </w:lvl>
    <w:lvl w:ilvl="6" w:tplc="BFF24AE8">
      <w:numFmt w:val="bullet"/>
      <w:lvlText w:val="•"/>
      <w:lvlJc w:val="left"/>
      <w:pPr>
        <w:ind w:left="1010" w:hanging="100"/>
      </w:pPr>
      <w:rPr>
        <w:rFonts w:hint="default"/>
      </w:rPr>
    </w:lvl>
    <w:lvl w:ilvl="7" w:tplc="071E73E2">
      <w:numFmt w:val="bullet"/>
      <w:lvlText w:val="•"/>
      <w:lvlJc w:val="left"/>
      <w:pPr>
        <w:ind w:left="1151" w:hanging="100"/>
      </w:pPr>
      <w:rPr>
        <w:rFonts w:hint="default"/>
      </w:rPr>
    </w:lvl>
    <w:lvl w:ilvl="8" w:tplc="3B325C4E">
      <w:numFmt w:val="bullet"/>
      <w:lvlText w:val="•"/>
      <w:lvlJc w:val="left"/>
      <w:pPr>
        <w:ind w:left="1293" w:hanging="100"/>
      </w:pPr>
      <w:rPr>
        <w:rFonts w:hint="default"/>
      </w:rPr>
    </w:lvl>
  </w:abstractNum>
  <w:abstractNum w:abstractNumId="678" w15:restartNumberingAfterBreak="0">
    <w:nsid w:val="2B4D72D3"/>
    <w:multiLevelType w:val="hybridMultilevel"/>
    <w:tmpl w:val="B5E23362"/>
    <w:lvl w:ilvl="0" w:tplc="BEBEF9B0">
      <w:numFmt w:val="bullet"/>
      <w:lvlText w:val=""/>
      <w:lvlJc w:val="left"/>
      <w:pPr>
        <w:ind w:left="156" w:hanging="100"/>
      </w:pPr>
      <w:rPr>
        <w:rFonts w:ascii="Symbol" w:eastAsia="Symbol" w:hAnsi="Symbol" w:cs="Symbol" w:hint="default"/>
        <w:color w:val="231F20"/>
        <w:w w:val="100"/>
        <w:sz w:val="14"/>
        <w:szCs w:val="14"/>
      </w:rPr>
    </w:lvl>
    <w:lvl w:ilvl="1" w:tplc="592ED13E">
      <w:numFmt w:val="bullet"/>
      <w:lvlText w:val="•"/>
      <w:lvlJc w:val="left"/>
      <w:pPr>
        <w:ind w:left="301" w:hanging="100"/>
      </w:pPr>
      <w:rPr>
        <w:rFonts w:hint="default"/>
      </w:rPr>
    </w:lvl>
    <w:lvl w:ilvl="2" w:tplc="D85283E6">
      <w:numFmt w:val="bullet"/>
      <w:lvlText w:val="•"/>
      <w:lvlJc w:val="left"/>
      <w:pPr>
        <w:ind w:left="443" w:hanging="100"/>
      </w:pPr>
      <w:rPr>
        <w:rFonts w:hint="default"/>
      </w:rPr>
    </w:lvl>
    <w:lvl w:ilvl="3" w:tplc="7812D86E">
      <w:numFmt w:val="bullet"/>
      <w:lvlText w:val="•"/>
      <w:lvlJc w:val="left"/>
      <w:pPr>
        <w:ind w:left="585" w:hanging="100"/>
      </w:pPr>
      <w:rPr>
        <w:rFonts w:hint="default"/>
      </w:rPr>
    </w:lvl>
    <w:lvl w:ilvl="4" w:tplc="A5C87B74">
      <w:numFmt w:val="bullet"/>
      <w:lvlText w:val="•"/>
      <w:lvlJc w:val="left"/>
      <w:pPr>
        <w:ind w:left="726" w:hanging="100"/>
      </w:pPr>
      <w:rPr>
        <w:rFonts w:hint="default"/>
      </w:rPr>
    </w:lvl>
    <w:lvl w:ilvl="5" w:tplc="A26A69E2">
      <w:numFmt w:val="bullet"/>
      <w:lvlText w:val="•"/>
      <w:lvlJc w:val="left"/>
      <w:pPr>
        <w:ind w:left="868" w:hanging="100"/>
      </w:pPr>
      <w:rPr>
        <w:rFonts w:hint="default"/>
      </w:rPr>
    </w:lvl>
    <w:lvl w:ilvl="6" w:tplc="947038EC">
      <w:numFmt w:val="bullet"/>
      <w:lvlText w:val="•"/>
      <w:lvlJc w:val="left"/>
      <w:pPr>
        <w:ind w:left="1010" w:hanging="100"/>
      </w:pPr>
      <w:rPr>
        <w:rFonts w:hint="default"/>
      </w:rPr>
    </w:lvl>
    <w:lvl w:ilvl="7" w:tplc="449A1832">
      <w:numFmt w:val="bullet"/>
      <w:lvlText w:val="•"/>
      <w:lvlJc w:val="left"/>
      <w:pPr>
        <w:ind w:left="1151" w:hanging="100"/>
      </w:pPr>
      <w:rPr>
        <w:rFonts w:hint="default"/>
      </w:rPr>
    </w:lvl>
    <w:lvl w:ilvl="8" w:tplc="8A3E04FC">
      <w:numFmt w:val="bullet"/>
      <w:lvlText w:val="•"/>
      <w:lvlJc w:val="left"/>
      <w:pPr>
        <w:ind w:left="1293" w:hanging="100"/>
      </w:pPr>
      <w:rPr>
        <w:rFonts w:hint="default"/>
      </w:rPr>
    </w:lvl>
  </w:abstractNum>
  <w:abstractNum w:abstractNumId="679" w15:restartNumberingAfterBreak="0">
    <w:nsid w:val="2B673D96"/>
    <w:multiLevelType w:val="hybridMultilevel"/>
    <w:tmpl w:val="D9761C76"/>
    <w:lvl w:ilvl="0" w:tplc="5C0A559A">
      <w:numFmt w:val="bullet"/>
      <w:lvlText w:val=""/>
      <w:lvlJc w:val="left"/>
      <w:pPr>
        <w:ind w:left="156" w:hanging="100"/>
      </w:pPr>
      <w:rPr>
        <w:rFonts w:ascii="Symbol" w:eastAsia="Symbol" w:hAnsi="Symbol" w:cs="Symbol" w:hint="default"/>
        <w:color w:val="231F20"/>
        <w:w w:val="100"/>
        <w:sz w:val="14"/>
        <w:szCs w:val="14"/>
      </w:rPr>
    </w:lvl>
    <w:lvl w:ilvl="1" w:tplc="6CCA210C">
      <w:numFmt w:val="bullet"/>
      <w:lvlText w:val="•"/>
      <w:lvlJc w:val="left"/>
      <w:pPr>
        <w:ind w:left="398" w:hanging="100"/>
      </w:pPr>
      <w:rPr>
        <w:rFonts w:hint="default"/>
      </w:rPr>
    </w:lvl>
    <w:lvl w:ilvl="2" w:tplc="11B0E3F4">
      <w:numFmt w:val="bullet"/>
      <w:lvlText w:val="•"/>
      <w:lvlJc w:val="left"/>
      <w:pPr>
        <w:ind w:left="636" w:hanging="100"/>
      </w:pPr>
      <w:rPr>
        <w:rFonts w:hint="default"/>
      </w:rPr>
    </w:lvl>
    <w:lvl w:ilvl="3" w:tplc="9412E09E">
      <w:numFmt w:val="bullet"/>
      <w:lvlText w:val="•"/>
      <w:lvlJc w:val="left"/>
      <w:pPr>
        <w:ind w:left="874" w:hanging="100"/>
      </w:pPr>
      <w:rPr>
        <w:rFonts w:hint="default"/>
      </w:rPr>
    </w:lvl>
    <w:lvl w:ilvl="4" w:tplc="8C0AEC92">
      <w:numFmt w:val="bullet"/>
      <w:lvlText w:val="•"/>
      <w:lvlJc w:val="left"/>
      <w:pPr>
        <w:ind w:left="1112" w:hanging="100"/>
      </w:pPr>
      <w:rPr>
        <w:rFonts w:hint="default"/>
      </w:rPr>
    </w:lvl>
    <w:lvl w:ilvl="5" w:tplc="4C303C7C">
      <w:numFmt w:val="bullet"/>
      <w:lvlText w:val="•"/>
      <w:lvlJc w:val="left"/>
      <w:pPr>
        <w:ind w:left="1350" w:hanging="100"/>
      </w:pPr>
      <w:rPr>
        <w:rFonts w:hint="default"/>
      </w:rPr>
    </w:lvl>
    <w:lvl w:ilvl="6" w:tplc="B4C0DFBC">
      <w:numFmt w:val="bullet"/>
      <w:lvlText w:val="•"/>
      <w:lvlJc w:val="left"/>
      <w:pPr>
        <w:ind w:left="1588" w:hanging="100"/>
      </w:pPr>
      <w:rPr>
        <w:rFonts w:hint="default"/>
      </w:rPr>
    </w:lvl>
    <w:lvl w:ilvl="7" w:tplc="B7140D0C">
      <w:numFmt w:val="bullet"/>
      <w:lvlText w:val="•"/>
      <w:lvlJc w:val="left"/>
      <w:pPr>
        <w:ind w:left="1826" w:hanging="100"/>
      </w:pPr>
      <w:rPr>
        <w:rFonts w:hint="default"/>
      </w:rPr>
    </w:lvl>
    <w:lvl w:ilvl="8" w:tplc="C4D0DC3C">
      <w:numFmt w:val="bullet"/>
      <w:lvlText w:val="•"/>
      <w:lvlJc w:val="left"/>
      <w:pPr>
        <w:ind w:left="2064" w:hanging="100"/>
      </w:pPr>
      <w:rPr>
        <w:rFonts w:hint="default"/>
      </w:rPr>
    </w:lvl>
  </w:abstractNum>
  <w:abstractNum w:abstractNumId="680" w15:restartNumberingAfterBreak="0">
    <w:nsid w:val="2B78440D"/>
    <w:multiLevelType w:val="hybridMultilevel"/>
    <w:tmpl w:val="F6C0E3F8"/>
    <w:lvl w:ilvl="0" w:tplc="656AF33C">
      <w:numFmt w:val="bullet"/>
      <w:lvlText w:val=""/>
      <w:lvlJc w:val="left"/>
      <w:pPr>
        <w:ind w:left="156" w:hanging="100"/>
      </w:pPr>
      <w:rPr>
        <w:rFonts w:ascii="Symbol" w:eastAsia="Symbol" w:hAnsi="Symbol" w:cs="Symbol" w:hint="default"/>
        <w:color w:val="231F20"/>
        <w:w w:val="100"/>
        <w:sz w:val="14"/>
        <w:szCs w:val="14"/>
      </w:rPr>
    </w:lvl>
    <w:lvl w:ilvl="1" w:tplc="D3BA30A0">
      <w:numFmt w:val="bullet"/>
      <w:lvlText w:val="•"/>
      <w:lvlJc w:val="left"/>
      <w:pPr>
        <w:ind w:left="301" w:hanging="100"/>
      </w:pPr>
      <w:rPr>
        <w:rFonts w:hint="default"/>
      </w:rPr>
    </w:lvl>
    <w:lvl w:ilvl="2" w:tplc="F1CA5976">
      <w:numFmt w:val="bullet"/>
      <w:lvlText w:val="•"/>
      <w:lvlJc w:val="left"/>
      <w:pPr>
        <w:ind w:left="443" w:hanging="100"/>
      </w:pPr>
      <w:rPr>
        <w:rFonts w:hint="default"/>
      </w:rPr>
    </w:lvl>
    <w:lvl w:ilvl="3" w:tplc="6240B540">
      <w:numFmt w:val="bullet"/>
      <w:lvlText w:val="•"/>
      <w:lvlJc w:val="left"/>
      <w:pPr>
        <w:ind w:left="585" w:hanging="100"/>
      </w:pPr>
      <w:rPr>
        <w:rFonts w:hint="default"/>
      </w:rPr>
    </w:lvl>
    <w:lvl w:ilvl="4" w:tplc="F81AB6B2">
      <w:numFmt w:val="bullet"/>
      <w:lvlText w:val="•"/>
      <w:lvlJc w:val="left"/>
      <w:pPr>
        <w:ind w:left="726" w:hanging="100"/>
      </w:pPr>
      <w:rPr>
        <w:rFonts w:hint="default"/>
      </w:rPr>
    </w:lvl>
    <w:lvl w:ilvl="5" w:tplc="546295BC">
      <w:numFmt w:val="bullet"/>
      <w:lvlText w:val="•"/>
      <w:lvlJc w:val="left"/>
      <w:pPr>
        <w:ind w:left="868" w:hanging="100"/>
      </w:pPr>
      <w:rPr>
        <w:rFonts w:hint="default"/>
      </w:rPr>
    </w:lvl>
    <w:lvl w:ilvl="6" w:tplc="E6B2D410">
      <w:numFmt w:val="bullet"/>
      <w:lvlText w:val="•"/>
      <w:lvlJc w:val="left"/>
      <w:pPr>
        <w:ind w:left="1010" w:hanging="100"/>
      </w:pPr>
      <w:rPr>
        <w:rFonts w:hint="default"/>
      </w:rPr>
    </w:lvl>
    <w:lvl w:ilvl="7" w:tplc="24868D22">
      <w:numFmt w:val="bullet"/>
      <w:lvlText w:val="•"/>
      <w:lvlJc w:val="left"/>
      <w:pPr>
        <w:ind w:left="1151" w:hanging="100"/>
      </w:pPr>
      <w:rPr>
        <w:rFonts w:hint="default"/>
      </w:rPr>
    </w:lvl>
    <w:lvl w:ilvl="8" w:tplc="D6203D60">
      <w:numFmt w:val="bullet"/>
      <w:lvlText w:val="•"/>
      <w:lvlJc w:val="left"/>
      <w:pPr>
        <w:ind w:left="1293" w:hanging="100"/>
      </w:pPr>
      <w:rPr>
        <w:rFonts w:hint="default"/>
      </w:rPr>
    </w:lvl>
  </w:abstractNum>
  <w:abstractNum w:abstractNumId="681" w15:restartNumberingAfterBreak="0">
    <w:nsid w:val="2B796CD5"/>
    <w:multiLevelType w:val="hybridMultilevel"/>
    <w:tmpl w:val="10C8403A"/>
    <w:lvl w:ilvl="0" w:tplc="48D80A68">
      <w:numFmt w:val="bullet"/>
      <w:lvlText w:val=""/>
      <w:lvlJc w:val="left"/>
      <w:pPr>
        <w:ind w:left="157" w:hanging="100"/>
      </w:pPr>
      <w:rPr>
        <w:rFonts w:ascii="Symbol" w:eastAsia="Symbol" w:hAnsi="Symbol" w:cs="Symbol" w:hint="default"/>
        <w:color w:val="231F20"/>
        <w:w w:val="100"/>
        <w:sz w:val="14"/>
        <w:szCs w:val="14"/>
      </w:rPr>
    </w:lvl>
    <w:lvl w:ilvl="1" w:tplc="902C912A">
      <w:numFmt w:val="bullet"/>
      <w:lvlText w:val="•"/>
      <w:lvlJc w:val="left"/>
      <w:pPr>
        <w:ind w:left="369" w:hanging="100"/>
      </w:pPr>
      <w:rPr>
        <w:rFonts w:hint="default"/>
      </w:rPr>
    </w:lvl>
    <w:lvl w:ilvl="2" w:tplc="7B80841A">
      <w:numFmt w:val="bullet"/>
      <w:lvlText w:val="•"/>
      <w:lvlJc w:val="left"/>
      <w:pPr>
        <w:ind w:left="579" w:hanging="100"/>
      </w:pPr>
      <w:rPr>
        <w:rFonts w:hint="default"/>
      </w:rPr>
    </w:lvl>
    <w:lvl w:ilvl="3" w:tplc="477E4470">
      <w:numFmt w:val="bullet"/>
      <w:lvlText w:val="•"/>
      <w:lvlJc w:val="left"/>
      <w:pPr>
        <w:ind w:left="789" w:hanging="100"/>
      </w:pPr>
      <w:rPr>
        <w:rFonts w:hint="default"/>
      </w:rPr>
    </w:lvl>
    <w:lvl w:ilvl="4" w:tplc="D496311A">
      <w:numFmt w:val="bullet"/>
      <w:lvlText w:val="•"/>
      <w:lvlJc w:val="left"/>
      <w:pPr>
        <w:ind w:left="998" w:hanging="100"/>
      </w:pPr>
      <w:rPr>
        <w:rFonts w:hint="default"/>
      </w:rPr>
    </w:lvl>
    <w:lvl w:ilvl="5" w:tplc="247AD1E2">
      <w:numFmt w:val="bullet"/>
      <w:lvlText w:val="•"/>
      <w:lvlJc w:val="left"/>
      <w:pPr>
        <w:ind w:left="1208" w:hanging="100"/>
      </w:pPr>
      <w:rPr>
        <w:rFonts w:hint="default"/>
      </w:rPr>
    </w:lvl>
    <w:lvl w:ilvl="6" w:tplc="7072631C">
      <w:numFmt w:val="bullet"/>
      <w:lvlText w:val="•"/>
      <w:lvlJc w:val="left"/>
      <w:pPr>
        <w:ind w:left="1418" w:hanging="100"/>
      </w:pPr>
      <w:rPr>
        <w:rFonts w:hint="default"/>
      </w:rPr>
    </w:lvl>
    <w:lvl w:ilvl="7" w:tplc="A8EC0F88">
      <w:numFmt w:val="bullet"/>
      <w:lvlText w:val="•"/>
      <w:lvlJc w:val="left"/>
      <w:pPr>
        <w:ind w:left="1627" w:hanging="100"/>
      </w:pPr>
      <w:rPr>
        <w:rFonts w:hint="default"/>
      </w:rPr>
    </w:lvl>
    <w:lvl w:ilvl="8" w:tplc="51A6BCC6">
      <w:numFmt w:val="bullet"/>
      <w:lvlText w:val="•"/>
      <w:lvlJc w:val="left"/>
      <w:pPr>
        <w:ind w:left="1837" w:hanging="100"/>
      </w:pPr>
      <w:rPr>
        <w:rFonts w:hint="default"/>
      </w:rPr>
    </w:lvl>
  </w:abstractNum>
  <w:abstractNum w:abstractNumId="682" w15:restartNumberingAfterBreak="0">
    <w:nsid w:val="2B8F4476"/>
    <w:multiLevelType w:val="hybridMultilevel"/>
    <w:tmpl w:val="2B3ABB7A"/>
    <w:lvl w:ilvl="0" w:tplc="B28C2EB8">
      <w:numFmt w:val="bullet"/>
      <w:lvlText w:val=""/>
      <w:lvlJc w:val="left"/>
      <w:pPr>
        <w:ind w:left="156" w:hanging="100"/>
      </w:pPr>
      <w:rPr>
        <w:rFonts w:ascii="Symbol" w:eastAsia="Symbol" w:hAnsi="Symbol" w:cs="Symbol" w:hint="default"/>
        <w:color w:val="231F20"/>
        <w:w w:val="100"/>
        <w:sz w:val="14"/>
        <w:szCs w:val="14"/>
      </w:rPr>
    </w:lvl>
    <w:lvl w:ilvl="1" w:tplc="91E6AA7C">
      <w:numFmt w:val="bullet"/>
      <w:lvlText w:val="•"/>
      <w:lvlJc w:val="left"/>
      <w:pPr>
        <w:ind w:left="301" w:hanging="100"/>
      </w:pPr>
      <w:rPr>
        <w:rFonts w:hint="default"/>
      </w:rPr>
    </w:lvl>
    <w:lvl w:ilvl="2" w:tplc="FAA42FB4">
      <w:numFmt w:val="bullet"/>
      <w:lvlText w:val="•"/>
      <w:lvlJc w:val="left"/>
      <w:pPr>
        <w:ind w:left="443" w:hanging="100"/>
      </w:pPr>
      <w:rPr>
        <w:rFonts w:hint="default"/>
      </w:rPr>
    </w:lvl>
    <w:lvl w:ilvl="3" w:tplc="959E55D0">
      <w:numFmt w:val="bullet"/>
      <w:lvlText w:val="•"/>
      <w:lvlJc w:val="left"/>
      <w:pPr>
        <w:ind w:left="585" w:hanging="100"/>
      </w:pPr>
      <w:rPr>
        <w:rFonts w:hint="default"/>
      </w:rPr>
    </w:lvl>
    <w:lvl w:ilvl="4" w:tplc="64B0153E">
      <w:numFmt w:val="bullet"/>
      <w:lvlText w:val="•"/>
      <w:lvlJc w:val="left"/>
      <w:pPr>
        <w:ind w:left="726" w:hanging="100"/>
      </w:pPr>
      <w:rPr>
        <w:rFonts w:hint="default"/>
      </w:rPr>
    </w:lvl>
    <w:lvl w:ilvl="5" w:tplc="691250E2">
      <w:numFmt w:val="bullet"/>
      <w:lvlText w:val="•"/>
      <w:lvlJc w:val="left"/>
      <w:pPr>
        <w:ind w:left="868" w:hanging="100"/>
      </w:pPr>
      <w:rPr>
        <w:rFonts w:hint="default"/>
      </w:rPr>
    </w:lvl>
    <w:lvl w:ilvl="6" w:tplc="53FECEE2">
      <w:numFmt w:val="bullet"/>
      <w:lvlText w:val="•"/>
      <w:lvlJc w:val="left"/>
      <w:pPr>
        <w:ind w:left="1010" w:hanging="100"/>
      </w:pPr>
      <w:rPr>
        <w:rFonts w:hint="default"/>
      </w:rPr>
    </w:lvl>
    <w:lvl w:ilvl="7" w:tplc="3760D582">
      <w:numFmt w:val="bullet"/>
      <w:lvlText w:val="•"/>
      <w:lvlJc w:val="left"/>
      <w:pPr>
        <w:ind w:left="1151" w:hanging="100"/>
      </w:pPr>
      <w:rPr>
        <w:rFonts w:hint="default"/>
      </w:rPr>
    </w:lvl>
    <w:lvl w:ilvl="8" w:tplc="5F92EEA2">
      <w:numFmt w:val="bullet"/>
      <w:lvlText w:val="•"/>
      <w:lvlJc w:val="left"/>
      <w:pPr>
        <w:ind w:left="1293" w:hanging="100"/>
      </w:pPr>
      <w:rPr>
        <w:rFonts w:hint="default"/>
      </w:rPr>
    </w:lvl>
  </w:abstractNum>
  <w:abstractNum w:abstractNumId="683" w15:restartNumberingAfterBreak="0">
    <w:nsid w:val="2B981BA0"/>
    <w:multiLevelType w:val="hybridMultilevel"/>
    <w:tmpl w:val="E190F14C"/>
    <w:lvl w:ilvl="0" w:tplc="8250947E">
      <w:numFmt w:val="bullet"/>
      <w:lvlText w:val=""/>
      <w:lvlJc w:val="left"/>
      <w:pPr>
        <w:ind w:left="157" w:hanging="100"/>
      </w:pPr>
      <w:rPr>
        <w:rFonts w:ascii="Symbol" w:eastAsia="Symbol" w:hAnsi="Symbol" w:cs="Symbol" w:hint="default"/>
        <w:color w:val="231F20"/>
        <w:w w:val="100"/>
        <w:sz w:val="14"/>
        <w:szCs w:val="14"/>
      </w:rPr>
    </w:lvl>
    <w:lvl w:ilvl="1" w:tplc="237A4FA2">
      <w:numFmt w:val="bullet"/>
      <w:lvlText w:val="•"/>
      <w:lvlJc w:val="left"/>
      <w:pPr>
        <w:ind w:left="369" w:hanging="100"/>
      </w:pPr>
      <w:rPr>
        <w:rFonts w:hint="default"/>
      </w:rPr>
    </w:lvl>
    <w:lvl w:ilvl="2" w:tplc="75140A42">
      <w:numFmt w:val="bullet"/>
      <w:lvlText w:val="•"/>
      <w:lvlJc w:val="left"/>
      <w:pPr>
        <w:ind w:left="579" w:hanging="100"/>
      </w:pPr>
      <w:rPr>
        <w:rFonts w:hint="default"/>
      </w:rPr>
    </w:lvl>
    <w:lvl w:ilvl="3" w:tplc="E1FADEB8">
      <w:numFmt w:val="bullet"/>
      <w:lvlText w:val="•"/>
      <w:lvlJc w:val="left"/>
      <w:pPr>
        <w:ind w:left="789" w:hanging="100"/>
      </w:pPr>
      <w:rPr>
        <w:rFonts w:hint="default"/>
      </w:rPr>
    </w:lvl>
    <w:lvl w:ilvl="4" w:tplc="D3388C6C">
      <w:numFmt w:val="bullet"/>
      <w:lvlText w:val="•"/>
      <w:lvlJc w:val="left"/>
      <w:pPr>
        <w:ind w:left="998" w:hanging="100"/>
      </w:pPr>
      <w:rPr>
        <w:rFonts w:hint="default"/>
      </w:rPr>
    </w:lvl>
    <w:lvl w:ilvl="5" w:tplc="B672AAD2">
      <w:numFmt w:val="bullet"/>
      <w:lvlText w:val="•"/>
      <w:lvlJc w:val="left"/>
      <w:pPr>
        <w:ind w:left="1208" w:hanging="100"/>
      </w:pPr>
      <w:rPr>
        <w:rFonts w:hint="default"/>
      </w:rPr>
    </w:lvl>
    <w:lvl w:ilvl="6" w:tplc="D7DE176A">
      <w:numFmt w:val="bullet"/>
      <w:lvlText w:val="•"/>
      <w:lvlJc w:val="left"/>
      <w:pPr>
        <w:ind w:left="1418" w:hanging="100"/>
      </w:pPr>
      <w:rPr>
        <w:rFonts w:hint="default"/>
      </w:rPr>
    </w:lvl>
    <w:lvl w:ilvl="7" w:tplc="9AF65C6E">
      <w:numFmt w:val="bullet"/>
      <w:lvlText w:val="•"/>
      <w:lvlJc w:val="left"/>
      <w:pPr>
        <w:ind w:left="1627" w:hanging="100"/>
      </w:pPr>
      <w:rPr>
        <w:rFonts w:hint="default"/>
      </w:rPr>
    </w:lvl>
    <w:lvl w:ilvl="8" w:tplc="70026022">
      <w:numFmt w:val="bullet"/>
      <w:lvlText w:val="•"/>
      <w:lvlJc w:val="left"/>
      <w:pPr>
        <w:ind w:left="1837" w:hanging="100"/>
      </w:pPr>
      <w:rPr>
        <w:rFonts w:hint="default"/>
      </w:rPr>
    </w:lvl>
  </w:abstractNum>
  <w:abstractNum w:abstractNumId="684" w15:restartNumberingAfterBreak="0">
    <w:nsid w:val="2BAC1426"/>
    <w:multiLevelType w:val="hybridMultilevel"/>
    <w:tmpl w:val="3AAAE4AE"/>
    <w:lvl w:ilvl="0" w:tplc="A39890D6">
      <w:numFmt w:val="bullet"/>
      <w:lvlText w:val=""/>
      <w:lvlJc w:val="left"/>
      <w:pPr>
        <w:ind w:left="156" w:hanging="100"/>
      </w:pPr>
      <w:rPr>
        <w:rFonts w:ascii="Symbol" w:eastAsia="Symbol" w:hAnsi="Symbol" w:cs="Symbol" w:hint="default"/>
        <w:color w:val="231F20"/>
        <w:w w:val="100"/>
        <w:sz w:val="14"/>
        <w:szCs w:val="14"/>
      </w:rPr>
    </w:lvl>
    <w:lvl w:ilvl="1" w:tplc="C7BE5DC2">
      <w:numFmt w:val="bullet"/>
      <w:lvlText w:val="•"/>
      <w:lvlJc w:val="left"/>
      <w:pPr>
        <w:ind w:left="301" w:hanging="100"/>
      </w:pPr>
      <w:rPr>
        <w:rFonts w:hint="default"/>
      </w:rPr>
    </w:lvl>
    <w:lvl w:ilvl="2" w:tplc="58181FAE">
      <w:numFmt w:val="bullet"/>
      <w:lvlText w:val="•"/>
      <w:lvlJc w:val="left"/>
      <w:pPr>
        <w:ind w:left="443" w:hanging="100"/>
      </w:pPr>
      <w:rPr>
        <w:rFonts w:hint="default"/>
      </w:rPr>
    </w:lvl>
    <w:lvl w:ilvl="3" w:tplc="9836EF26">
      <w:numFmt w:val="bullet"/>
      <w:lvlText w:val="•"/>
      <w:lvlJc w:val="left"/>
      <w:pPr>
        <w:ind w:left="585" w:hanging="100"/>
      </w:pPr>
      <w:rPr>
        <w:rFonts w:hint="default"/>
      </w:rPr>
    </w:lvl>
    <w:lvl w:ilvl="4" w:tplc="3B6C075A">
      <w:numFmt w:val="bullet"/>
      <w:lvlText w:val="•"/>
      <w:lvlJc w:val="left"/>
      <w:pPr>
        <w:ind w:left="726" w:hanging="100"/>
      </w:pPr>
      <w:rPr>
        <w:rFonts w:hint="default"/>
      </w:rPr>
    </w:lvl>
    <w:lvl w:ilvl="5" w:tplc="74D20262">
      <w:numFmt w:val="bullet"/>
      <w:lvlText w:val="•"/>
      <w:lvlJc w:val="left"/>
      <w:pPr>
        <w:ind w:left="868" w:hanging="100"/>
      </w:pPr>
      <w:rPr>
        <w:rFonts w:hint="default"/>
      </w:rPr>
    </w:lvl>
    <w:lvl w:ilvl="6" w:tplc="EA5A461E">
      <w:numFmt w:val="bullet"/>
      <w:lvlText w:val="•"/>
      <w:lvlJc w:val="left"/>
      <w:pPr>
        <w:ind w:left="1010" w:hanging="100"/>
      </w:pPr>
      <w:rPr>
        <w:rFonts w:hint="default"/>
      </w:rPr>
    </w:lvl>
    <w:lvl w:ilvl="7" w:tplc="62F238E8">
      <w:numFmt w:val="bullet"/>
      <w:lvlText w:val="•"/>
      <w:lvlJc w:val="left"/>
      <w:pPr>
        <w:ind w:left="1151" w:hanging="100"/>
      </w:pPr>
      <w:rPr>
        <w:rFonts w:hint="default"/>
      </w:rPr>
    </w:lvl>
    <w:lvl w:ilvl="8" w:tplc="666CDDBE">
      <w:numFmt w:val="bullet"/>
      <w:lvlText w:val="•"/>
      <w:lvlJc w:val="left"/>
      <w:pPr>
        <w:ind w:left="1293" w:hanging="100"/>
      </w:pPr>
      <w:rPr>
        <w:rFonts w:hint="default"/>
      </w:rPr>
    </w:lvl>
  </w:abstractNum>
  <w:abstractNum w:abstractNumId="685" w15:restartNumberingAfterBreak="0">
    <w:nsid w:val="2BB4664E"/>
    <w:multiLevelType w:val="hybridMultilevel"/>
    <w:tmpl w:val="3822BDAE"/>
    <w:lvl w:ilvl="0" w:tplc="59E62AD2">
      <w:numFmt w:val="bullet"/>
      <w:lvlText w:val="–"/>
      <w:lvlJc w:val="left"/>
      <w:pPr>
        <w:ind w:left="497" w:hanging="135"/>
      </w:pPr>
      <w:rPr>
        <w:rFonts w:ascii="Times New Roman" w:eastAsia="Times New Roman" w:hAnsi="Times New Roman" w:cs="Times New Roman" w:hint="default"/>
        <w:color w:val="231F20"/>
        <w:spacing w:val="-3"/>
        <w:w w:val="100"/>
        <w:sz w:val="18"/>
        <w:szCs w:val="18"/>
      </w:rPr>
    </w:lvl>
    <w:lvl w:ilvl="1" w:tplc="15C80D80">
      <w:numFmt w:val="bullet"/>
      <w:lvlText w:val="•"/>
      <w:lvlJc w:val="left"/>
      <w:pPr>
        <w:ind w:left="1528" w:hanging="135"/>
      </w:pPr>
      <w:rPr>
        <w:rFonts w:hint="default"/>
      </w:rPr>
    </w:lvl>
    <w:lvl w:ilvl="2" w:tplc="2610B720">
      <w:numFmt w:val="bullet"/>
      <w:lvlText w:val="•"/>
      <w:lvlJc w:val="left"/>
      <w:pPr>
        <w:ind w:left="2557" w:hanging="135"/>
      </w:pPr>
      <w:rPr>
        <w:rFonts w:hint="default"/>
      </w:rPr>
    </w:lvl>
    <w:lvl w:ilvl="3" w:tplc="BFB29026">
      <w:numFmt w:val="bullet"/>
      <w:lvlText w:val="•"/>
      <w:lvlJc w:val="left"/>
      <w:pPr>
        <w:ind w:left="3585" w:hanging="135"/>
      </w:pPr>
      <w:rPr>
        <w:rFonts w:hint="default"/>
      </w:rPr>
    </w:lvl>
    <w:lvl w:ilvl="4" w:tplc="6E32E8CC">
      <w:numFmt w:val="bullet"/>
      <w:lvlText w:val="•"/>
      <w:lvlJc w:val="left"/>
      <w:pPr>
        <w:ind w:left="4614" w:hanging="135"/>
      </w:pPr>
      <w:rPr>
        <w:rFonts w:hint="default"/>
      </w:rPr>
    </w:lvl>
    <w:lvl w:ilvl="5" w:tplc="5E0E9196">
      <w:numFmt w:val="bullet"/>
      <w:lvlText w:val="•"/>
      <w:lvlJc w:val="left"/>
      <w:pPr>
        <w:ind w:left="5642" w:hanging="135"/>
      </w:pPr>
      <w:rPr>
        <w:rFonts w:hint="default"/>
      </w:rPr>
    </w:lvl>
    <w:lvl w:ilvl="6" w:tplc="8FFC5EAA">
      <w:numFmt w:val="bullet"/>
      <w:lvlText w:val="•"/>
      <w:lvlJc w:val="left"/>
      <w:pPr>
        <w:ind w:left="6671" w:hanging="135"/>
      </w:pPr>
      <w:rPr>
        <w:rFonts w:hint="default"/>
      </w:rPr>
    </w:lvl>
    <w:lvl w:ilvl="7" w:tplc="22D22B5E">
      <w:numFmt w:val="bullet"/>
      <w:lvlText w:val="•"/>
      <w:lvlJc w:val="left"/>
      <w:pPr>
        <w:ind w:left="7699" w:hanging="135"/>
      </w:pPr>
      <w:rPr>
        <w:rFonts w:hint="default"/>
      </w:rPr>
    </w:lvl>
    <w:lvl w:ilvl="8" w:tplc="0B90D176">
      <w:numFmt w:val="bullet"/>
      <w:lvlText w:val="•"/>
      <w:lvlJc w:val="left"/>
      <w:pPr>
        <w:ind w:left="8728" w:hanging="135"/>
      </w:pPr>
      <w:rPr>
        <w:rFonts w:hint="default"/>
      </w:rPr>
    </w:lvl>
  </w:abstractNum>
  <w:abstractNum w:abstractNumId="686" w15:restartNumberingAfterBreak="0">
    <w:nsid w:val="2BC03020"/>
    <w:multiLevelType w:val="hybridMultilevel"/>
    <w:tmpl w:val="153AC0CA"/>
    <w:lvl w:ilvl="0" w:tplc="7F06A36C">
      <w:numFmt w:val="bullet"/>
      <w:lvlText w:val=""/>
      <w:lvlJc w:val="left"/>
      <w:pPr>
        <w:ind w:left="156" w:hanging="100"/>
      </w:pPr>
      <w:rPr>
        <w:rFonts w:ascii="Symbol" w:eastAsia="Symbol" w:hAnsi="Symbol" w:cs="Symbol" w:hint="default"/>
        <w:color w:val="231F20"/>
        <w:w w:val="100"/>
        <w:sz w:val="14"/>
        <w:szCs w:val="14"/>
      </w:rPr>
    </w:lvl>
    <w:lvl w:ilvl="1" w:tplc="FCA63342">
      <w:numFmt w:val="bullet"/>
      <w:lvlText w:val="•"/>
      <w:lvlJc w:val="left"/>
      <w:pPr>
        <w:ind w:left="398" w:hanging="100"/>
      </w:pPr>
      <w:rPr>
        <w:rFonts w:hint="default"/>
      </w:rPr>
    </w:lvl>
    <w:lvl w:ilvl="2" w:tplc="F9FC0302">
      <w:numFmt w:val="bullet"/>
      <w:lvlText w:val="•"/>
      <w:lvlJc w:val="left"/>
      <w:pPr>
        <w:ind w:left="636" w:hanging="100"/>
      </w:pPr>
      <w:rPr>
        <w:rFonts w:hint="default"/>
      </w:rPr>
    </w:lvl>
    <w:lvl w:ilvl="3" w:tplc="E29AD34C">
      <w:numFmt w:val="bullet"/>
      <w:lvlText w:val="•"/>
      <w:lvlJc w:val="left"/>
      <w:pPr>
        <w:ind w:left="874" w:hanging="100"/>
      </w:pPr>
      <w:rPr>
        <w:rFonts w:hint="default"/>
      </w:rPr>
    </w:lvl>
    <w:lvl w:ilvl="4" w:tplc="B100FC94">
      <w:numFmt w:val="bullet"/>
      <w:lvlText w:val="•"/>
      <w:lvlJc w:val="left"/>
      <w:pPr>
        <w:ind w:left="1112" w:hanging="100"/>
      </w:pPr>
      <w:rPr>
        <w:rFonts w:hint="default"/>
      </w:rPr>
    </w:lvl>
    <w:lvl w:ilvl="5" w:tplc="6E66DFCE">
      <w:numFmt w:val="bullet"/>
      <w:lvlText w:val="•"/>
      <w:lvlJc w:val="left"/>
      <w:pPr>
        <w:ind w:left="1350" w:hanging="100"/>
      </w:pPr>
      <w:rPr>
        <w:rFonts w:hint="default"/>
      </w:rPr>
    </w:lvl>
    <w:lvl w:ilvl="6" w:tplc="775C6CB6">
      <w:numFmt w:val="bullet"/>
      <w:lvlText w:val="•"/>
      <w:lvlJc w:val="left"/>
      <w:pPr>
        <w:ind w:left="1588" w:hanging="100"/>
      </w:pPr>
      <w:rPr>
        <w:rFonts w:hint="default"/>
      </w:rPr>
    </w:lvl>
    <w:lvl w:ilvl="7" w:tplc="E2904D3C">
      <w:numFmt w:val="bullet"/>
      <w:lvlText w:val="•"/>
      <w:lvlJc w:val="left"/>
      <w:pPr>
        <w:ind w:left="1826" w:hanging="100"/>
      </w:pPr>
      <w:rPr>
        <w:rFonts w:hint="default"/>
      </w:rPr>
    </w:lvl>
    <w:lvl w:ilvl="8" w:tplc="5220E64E">
      <w:numFmt w:val="bullet"/>
      <w:lvlText w:val="•"/>
      <w:lvlJc w:val="left"/>
      <w:pPr>
        <w:ind w:left="2064" w:hanging="100"/>
      </w:pPr>
      <w:rPr>
        <w:rFonts w:hint="default"/>
      </w:rPr>
    </w:lvl>
  </w:abstractNum>
  <w:abstractNum w:abstractNumId="687" w15:restartNumberingAfterBreak="0">
    <w:nsid w:val="2BC32658"/>
    <w:multiLevelType w:val="hybridMultilevel"/>
    <w:tmpl w:val="826C0860"/>
    <w:lvl w:ilvl="0" w:tplc="CC789CE8">
      <w:numFmt w:val="bullet"/>
      <w:lvlText w:val=""/>
      <w:lvlJc w:val="left"/>
      <w:pPr>
        <w:ind w:left="157" w:hanging="100"/>
      </w:pPr>
      <w:rPr>
        <w:rFonts w:ascii="Symbol" w:eastAsia="Symbol" w:hAnsi="Symbol" w:cs="Symbol" w:hint="default"/>
        <w:color w:val="231F20"/>
        <w:w w:val="100"/>
        <w:sz w:val="14"/>
        <w:szCs w:val="14"/>
      </w:rPr>
    </w:lvl>
    <w:lvl w:ilvl="1" w:tplc="E2D80F52">
      <w:numFmt w:val="bullet"/>
      <w:lvlText w:val="•"/>
      <w:lvlJc w:val="left"/>
      <w:pPr>
        <w:ind w:left="426" w:hanging="100"/>
      </w:pPr>
      <w:rPr>
        <w:rFonts w:hint="default"/>
      </w:rPr>
    </w:lvl>
    <w:lvl w:ilvl="2" w:tplc="3C6EBFE4">
      <w:numFmt w:val="bullet"/>
      <w:lvlText w:val="•"/>
      <w:lvlJc w:val="left"/>
      <w:pPr>
        <w:ind w:left="692" w:hanging="100"/>
      </w:pPr>
      <w:rPr>
        <w:rFonts w:hint="default"/>
      </w:rPr>
    </w:lvl>
    <w:lvl w:ilvl="3" w:tplc="043A5F62">
      <w:numFmt w:val="bullet"/>
      <w:lvlText w:val="•"/>
      <w:lvlJc w:val="left"/>
      <w:pPr>
        <w:ind w:left="959" w:hanging="100"/>
      </w:pPr>
      <w:rPr>
        <w:rFonts w:hint="default"/>
      </w:rPr>
    </w:lvl>
    <w:lvl w:ilvl="4" w:tplc="A81EF684">
      <w:numFmt w:val="bullet"/>
      <w:lvlText w:val="•"/>
      <w:lvlJc w:val="left"/>
      <w:pPr>
        <w:ind w:left="1225" w:hanging="100"/>
      </w:pPr>
      <w:rPr>
        <w:rFonts w:hint="default"/>
      </w:rPr>
    </w:lvl>
    <w:lvl w:ilvl="5" w:tplc="CF7EBD0E">
      <w:numFmt w:val="bullet"/>
      <w:lvlText w:val="•"/>
      <w:lvlJc w:val="left"/>
      <w:pPr>
        <w:ind w:left="1492" w:hanging="100"/>
      </w:pPr>
      <w:rPr>
        <w:rFonts w:hint="default"/>
      </w:rPr>
    </w:lvl>
    <w:lvl w:ilvl="6" w:tplc="73E24744">
      <w:numFmt w:val="bullet"/>
      <w:lvlText w:val="•"/>
      <w:lvlJc w:val="left"/>
      <w:pPr>
        <w:ind w:left="1758" w:hanging="100"/>
      </w:pPr>
      <w:rPr>
        <w:rFonts w:hint="default"/>
      </w:rPr>
    </w:lvl>
    <w:lvl w:ilvl="7" w:tplc="87F44190">
      <w:numFmt w:val="bullet"/>
      <w:lvlText w:val="•"/>
      <w:lvlJc w:val="left"/>
      <w:pPr>
        <w:ind w:left="2024" w:hanging="100"/>
      </w:pPr>
      <w:rPr>
        <w:rFonts w:hint="default"/>
      </w:rPr>
    </w:lvl>
    <w:lvl w:ilvl="8" w:tplc="AE2438CE">
      <w:numFmt w:val="bullet"/>
      <w:lvlText w:val="•"/>
      <w:lvlJc w:val="left"/>
      <w:pPr>
        <w:ind w:left="2291" w:hanging="100"/>
      </w:pPr>
      <w:rPr>
        <w:rFonts w:hint="default"/>
      </w:rPr>
    </w:lvl>
  </w:abstractNum>
  <w:abstractNum w:abstractNumId="688" w15:restartNumberingAfterBreak="0">
    <w:nsid w:val="2BC85398"/>
    <w:multiLevelType w:val="hybridMultilevel"/>
    <w:tmpl w:val="8F821916"/>
    <w:lvl w:ilvl="0" w:tplc="E1228410">
      <w:numFmt w:val="bullet"/>
      <w:lvlText w:val=""/>
      <w:lvlJc w:val="left"/>
      <w:pPr>
        <w:ind w:left="156" w:hanging="100"/>
      </w:pPr>
      <w:rPr>
        <w:rFonts w:ascii="Symbol" w:eastAsia="Symbol" w:hAnsi="Symbol" w:cs="Symbol" w:hint="default"/>
        <w:color w:val="231F20"/>
        <w:w w:val="100"/>
        <w:sz w:val="14"/>
        <w:szCs w:val="14"/>
      </w:rPr>
    </w:lvl>
    <w:lvl w:ilvl="1" w:tplc="FAB234E2">
      <w:numFmt w:val="bullet"/>
      <w:lvlText w:val="•"/>
      <w:lvlJc w:val="left"/>
      <w:pPr>
        <w:ind w:left="398" w:hanging="100"/>
      </w:pPr>
      <w:rPr>
        <w:rFonts w:hint="default"/>
      </w:rPr>
    </w:lvl>
    <w:lvl w:ilvl="2" w:tplc="11460CD0">
      <w:numFmt w:val="bullet"/>
      <w:lvlText w:val="•"/>
      <w:lvlJc w:val="left"/>
      <w:pPr>
        <w:ind w:left="636" w:hanging="100"/>
      </w:pPr>
      <w:rPr>
        <w:rFonts w:hint="default"/>
      </w:rPr>
    </w:lvl>
    <w:lvl w:ilvl="3" w:tplc="02888AD2">
      <w:numFmt w:val="bullet"/>
      <w:lvlText w:val="•"/>
      <w:lvlJc w:val="left"/>
      <w:pPr>
        <w:ind w:left="874" w:hanging="100"/>
      </w:pPr>
      <w:rPr>
        <w:rFonts w:hint="default"/>
      </w:rPr>
    </w:lvl>
    <w:lvl w:ilvl="4" w:tplc="3DB23BE4">
      <w:numFmt w:val="bullet"/>
      <w:lvlText w:val="•"/>
      <w:lvlJc w:val="left"/>
      <w:pPr>
        <w:ind w:left="1112" w:hanging="100"/>
      </w:pPr>
      <w:rPr>
        <w:rFonts w:hint="default"/>
      </w:rPr>
    </w:lvl>
    <w:lvl w:ilvl="5" w:tplc="03AE78AC">
      <w:numFmt w:val="bullet"/>
      <w:lvlText w:val="•"/>
      <w:lvlJc w:val="left"/>
      <w:pPr>
        <w:ind w:left="1350" w:hanging="100"/>
      </w:pPr>
      <w:rPr>
        <w:rFonts w:hint="default"/>
      </w:rPr>
    </w:lvl>
    <w:lvl w:ilvl="6" w:tplc="CA0A8B56">
      <w:numFmt w:val="bullet"/>
      <w:lvlText w:val="•"/>
      <w:lvlJc w:val="left"/>
      <w:pPr>
        <w:ind w:left="1588" w:hanging="100"/>
      </w:pPr>
      <w:rPr>
        <w:rFonts w:hint="default"/>
      </w:rPr>
    </w:lvl>
    <w:lvl w:ilvl="7" w:tplc="F5B81D26">
      <w:numFmt w:val="bullet"/>
      <w:lvlText w:val="•"/>
      <w:lvlJc w:val="left"/>
      <w:pPr>
        <w:ind w:left="1826" w:hanging="100"/>
      </w:pPr>
      <w:rPr>
        <w:rFonts w:hint="default"/>
      </w:rPr>
    </w:lvl>
    <w:lvl w:ilvl="8" w:tplc="B5922BFE">
      <w:numFmt w:val="bullet"/>
      <w:lvlText w:val="•"/>
      <w:lvlJc w:val="left"/>
      <w:pPr>
        <w:ind w:left="2064" w:hanging="100"/>
      </w:pPr>
      <w:rPr>
        <w:rFonts w:hint="default"/>
      </w:rPr>
    </w:lvl>
  </w:abstractNum>
  <w:abstractNum w:abstractNumId="689" w15:restartNumberingAfterBreak="0">
    <w:nsid w:val="2BCC7604"/>
    <w:multiLevelType w:val="hybridMultilevel"/>
    <w:tmpl w:val="B8064BCC"/>
    <w:lvl w:ilvl="0" w:tplc="49886ADC">
      <w:numFmt w:val="bullet"/>
      <w:lvlText w:val="–"/>
      <w:lvlJc w:val="left"/>
      <w:pPr>
        <w:ind w:left="162" w:hanging="105"/>
      </w:pPr>
      <w:rPr>
        <w:rFonts w:ascii="Times New Roman" w:eastAsia="Times New Roman" w:hAnsi="Times New Roman" w:cs="Times New Roman" w:hint="default"/>
        <w:color w:val="231F20"/>
        <w:spacing w:val="-9"/>
        <w:w w:val="100"/>
        <w:sz w:val="14"/>
        <w:szCs w:val="14"/>
      </w:rPr>
    </w:lvl>
    <w:lvl w:ilvl="1" w:tplc="FCD0443A">
      <w:numFmt w:val="bullet"/>
      <w:lvlText w:val="•"/>
      <w:lvlJc w:val="left"/>
      <w:pPr>
        <w:ind w:left="426" w:hanging="105"/>
      </w:pPr>
      <w:rPr>
        <w:rFonts w:hint="default"/>
      </w:rPr>
    </w:lvl>
    <w:lvl w:ilvl="2" w:tplc="D35E5894">
      <w:numFmt w:val="bullet"/>
      <w:lvlText w:val="•"/>
      <w:lvlJc w:val="left"/>
      <w:pPr>
        <w:ind w:left="692" w:hanging="105"/>
      </w:pPr>
      <w:rPr>
        <w:rFonts w:hint="default"/>
      </w:rPr>
    </w:lvl>
    <w:lvl w:ilvl="3" w:tplc="95545044">
      <w:numFmt w:val="bullet"/>
      <w:lvlText w:val="•"/>
      <w:lvlJc w:val="left"/>
      <w:pPr>
        <w:ind w:left="959" w:hanging="105"/>
      </w:pPr>
      <w:rPr>
        <w:rFonts w:hint="default"/>
      </w:rPr>
    </w:lvl>
    <w:lvl w:ilvl="4" w:tplc="BF887D9A">
      <w:numFmt w:val="bullet"/>
      <w:lvlText w:val="•"/>
      <w:lvlJc w:val="left"/>
      <w:pPr>
        <w:ind w:left="1225" w:hanging="105"/>
      </w:pPr>
      <w:rPr>
        <w:rFonts w:hint="default"/>
      </w:rPr>
    </w:lvl>
    <w:lvl w:ilvl="5" w:tplc="1C682B00">
      <w:numFmt w:val="bullet"/>
      <w:lvlText w:val="•"/>
      <w:lvlJc w:val="left"/>
      <w:pPr>
        <w:ind w:left="1492" w:hanging="105"/>
      </w:pPr>
      <w:rPr>
        <w:rFonts w:hint="default"/>
      </w:rPr>
    </w:lvl>
    <w:lvl w:ilvl="6" w:tplc="F6DCDBE2">
      <w:numFmt w:val="bullet"/>
      <w:lvlText w:val="•"/>
      <w:lvlJc w:val="left"/>
      <w:pPr>
        <w:ind w:left="1758" w:hanging="105"/>
      </w:pPr>
      <w:rPr>
        <w:rFonts w:hint="default"/>
      </w:rPr>
    </w:lvl>
    <w:lvl w:ilvl="7" w:tplc="06369968">
      <w:numFmt w:val="bullet"/>
      <w:lvlText w:val="•"/>
      <w:lvlJc w:val="left"/>
      <w:pPr>
        <w:ind w:left="2024" w:hanging="105"/>
      </w:pPr>
      <w:rPr>
        <w:rFonts w:hint="default"/>
      </w:rPr>
    </w:lvl>
    <w:lvl w:ilvl="8" w:tplc="CCCADCC4">
      <w:numFmt w:val="bullet"/>
      <w:lvlText w:val="•"/>
      <w:lvlJc w:val="left"/>
      <w:pPr>
        <w:ind w:left="2291" w:hanging="105"/>
      </w:pPr>
      <w:rPr>
        <w:rFonts w:hint="default"/>
      </w:rPr>
    </w:lvl>
  </w:abstractNum>
  <w:abstractNum w:abstractNumId="690" w15:restartNumberingAfterBreak="0">
    <w:nsid w:val="2BDC4D36"/>
    <w:multiLevelType w:val="hybridMultilevel"/>
    <w:tmpl w:val="93523C46"/>
    <w:lvl w:ilvl="0" w:tplc="9C4CBD9A">
      <w:numFmt w:val="bullet"/>
      <w:lvlText w:val="–"/>
      <w:lvlJc w:val="left"/>
      <w:pPr>
        <w:ind w:left="57" w:hanging="105"/>
      </w:pPr>
      <w:rPr>
        <w:rFonts w:ascii="Times New Roman" w:eastAsia="Times New Roman" w:hAnsi="Times New Roman" w:cs="Times New Roman" w:hint="default"/>
        <w:color w:val="231F20"/>
        <w:spacing w:val="-1"/>
        <w:w w:val="100"/>
        <w:sz w:val="14"/>
        <w:szCs w:val="14"/>
      </w:rPr>
    </w:lvl>
    <w:lvl w:ilvl="1" w:tplc="6072672E">
      <w:numFmt w:val="bullet"/>
      <w:lvlText w:val="•"/>
      <w:lvlJc w:val="left"/>
      <w:pPr>
        <w:ind w:left="336" w:hanging="105"/>
      </w:pPr>
      <w:rPr>
        <w:rFonts w:hint="default"/>
      </w:rPr>
    </w:lvl>
    <w:lvl w:ilvl="2" w:tplc="AEB839BC">
      <w:numFmt w:val="bullet"/>
      <w:lvlText w:val="•"/>
      <w:lvlJc w:val="left"/>
      <w:pPr>
        <w:ind w:left="612" w:hanging="105"/>
      </w:pPr>
      <w:rPr>
        <w:rFonts w:hint="default"/>
      </w:rPr>
    </w:lvl>
    <w:lvl w:ilvl="3" w:tplc="6C14B20C">
      <w:numFmt w:val="bullet"/>
      <w:lvlText w:val="•"/>
      <w:lvlJc w:val="left"/>
      <w:pPr>
        <w:ind w:left="889" w:hanging="105"/>
      </w:pPr>
      <w:rPr>
        <w:rFonts w:hint="default"/>
      </w:rPr>
    </w:lvl>
    <w:lvl w:ilvl="4" w:tplc="F6D61320">
      <w:numFmt w:val="bullet"/>
      <w:lvlText w:val="•"/>
      <w:lvlJc w:val="left"/>
      <w:pPr>
        <w:ind w:left="1165" w:hanging="105"/>
      </w:pPr>
      <w:rPr>
        <w:rFonts w:hint="default"/>
      </w:rPr>
    </w:lvl>
    <w:lvl w:ilvl="5" w:tplc="000E7E6E">
      <w:numFmt w:val="bullet"/>
      <w:lvlText w:val="•"/>
      <w:lvlJc w:val="left"/>
      <w:pPr>
        <w:ind w:left="1442" w:hanging="105"/>
      </w:pPr>
      <w:rPr>
        <w:rFonts w:hint="default"/>
      </w:rPr>
    </w:lvl>
    <w:lvl w:ilvl="6" w:tplc="C316DC00">
      <w:numFmt w:val="bullet"/>
      <w:lvlText w:val="•"/>
      <w:lvlJc w:val="left"/>
      <w:pPr>
        <w:ind w:left="1718" w:hanging="105"/>
      </w:pPr>
      <w:rPr>
        <w:rFonts w:hint="default"/>
      </w:rPr>
    </w:lvl>
    <w:lvl w:ilvl="7" w:tplc="6DEA2D32">
      <w:numFmt w:val="bullet"/>
      <w:lvlText w:val="•"/>
      <w:lvlJc w:val="left"/>
      <w:pPr>
        <w:ind w:left="1994" w:hanging="105"/>
      </w:pPr>
      <w:rPr>
        <w:rFonts w:hint="default"/>
      </w:rPr>
    </w:lvl>
    <w:lvl w:ilvl="8" w:tplc="4C3600D0">
      <w:numFmt w:val="bullet"/>
      <w:lvlText w:val="•"/>
      <w:lvlJc w:val="left"/>
      <w:pPr>
        <w:ind w:left="2271" w:hanging="105"/>
      </w:pPr>
      <w:rPr>
        <w:rFonts w:hint="default"/>
      </w:rPr>
    </w:lvl>
  </w:abstractNum>
  <w:abstractNum w:abstractNumId="691" w15:restartNumberingAfterBreak="0">
    <w:nsid w:val="2BEF2B03"/>
    <w:multiLevelType w:val="hybridMultilevel"/>
    <w:tmpl w:val="A56802A6"/>
    <w:lvl w:ilvl="0" w:tplc="E362D36E">
      <w:numFmt w:val="bullet"/>
      <w:lvlText w:val=""/>
      <w:lvlJc w:val="left"/>
      <w:pPr>
        <w:ind w:left="156" w:hanging="100"/>
      </w:pPr>
      <w:rPr>
        <w:rFonts w:ascii="Symbol" w:eastAsia="Symbol" w:hAnsi="Symbol" w:cs="Symbol" w:hint="default"/>
        <w:color w:val="231F20"/>
        <w:w w:val="100"/>
        <w:sz w:val="14"/>
        <w:szCs w:val="14"/>
      </w:rPr>
    </w:lvl>
    <w:lvl w:ilvl="1" w:tplc="D5ACB620">
      <w:numFmt w:val="bullet"/>
      <w:lvlText w:val="•"/>
      <w:lvlJc w:val="left"/>
      <w:pPr>
        <w:ind w:left="398" w:hanging="100"/>
      </w:pPr>
      <w:rPr>
        <w:rFonts w:hint="default"/>
      </w:rPr>
    </w:lvl>
    <w:lvl w:ilvl="2" w:tplc="9278AB1A">
      <w:numFmt w:val="bullet"/>
      <w:lvlText w:val="•"/>
      <w:lvlJc w:val="left"/>
      <w:pPr>
        <w:ind w:left="636" w:hanging="100"/>
      </w:pPr>
      <w:rPr>
        <w:rFonts w:hint="default"/>
      </w:rPr>
    </w:lvl>
    <w:lvl w:ilvl="3" w:tplc="A6FA4FBA">
      <w:numFmt w:val="bullet"/>
      <w:lvlText w:val="•"/>
      <w:lvlJc w:val="left"/>
      <w:pPr>
        <w:ind w:left="874" w:hanging="100"/>
      </w:pPr>
      <w:rPr>
        <w:rFonts w:hint="default"/>
      </w:rPr>
    </w:lvl>
    <w:lvl w:ilvl="4" w:tplc="E4C05080">
      <w:numFmt w:val="bullet"/>
      <w:lvlText w:val="•"/>
      <w:lvlJc w:val="left"/>
      <w:pPr>
        <w:ind w:left="1112" w:hanging="100"/>
      </w:pPr>
      <w:rPr>
        <w:rFonts w:hint="default"/>
      </w:rPr>
    </w:lvl>
    <w:lvl w:ilvl="5" w:tplc="C0AC0E14">
      <w:numFmt w:val="bullet"/>
      <w:lvlText w:val="•"/>
      <w:lvlJc w:val="left"/>
      <w:pPr>
        <w:ind w:left="1350" w:hanging="100"/>
      </w:pPr>
      <w:rPr>
        <w:rFonts w:hint="default"/>
      </w:rPr>
    </w:lvl>
    <w:lvl w:ilvl="6" w:tplc="85EAE9B4">
      <w:numFmt w:val="bullet"/>
      <w:lvlText w:val="•"/>
      <w:lvlJc w:val="left"/>
      <w:pPr>
        <w:ind w:left="1588" w:hanging="100"/>
      </w:pPr>
      <w:rPr>
        <w:rFonts w:hint="default"/>
      </w:rPr>
    </w:lvl>
    <w:lvl w:ilvl="7" w:tplc="1AF44100">
      <w:numFmt w:val="bullet"/>
      <w:lvlText w:val="•"/>
      <w:lvlJc w:val="left"/>
      <w:pPr>
        <w:ind w:left="1826" w:hanging="100"/>
      </w:pPr>
      <w:rPr>
        <w:rFonts w:hint="default"/>
      </w:rPr>
    </w:lvl>
    <w:lvl w:ilvl="8" w:tplc="2D4AB5DC">
      <w:numFmt w:val="bullet"/>
      <w:lvlText w:val="•"/>
      <w:lvlJc w:val="left"/>
      <w:pPr>
        <w:ind w:left="2064" w:hanging="100"/>
      </w:pPr>
      <w:rPr>
        <w:rFonts w:hint="default"/>
      </w:rPr>
    </w:lvl>
  </w:abstractNum>
  <w:abstractNum w:abstractNumId="692" w15:restartNumberingAfterBreak="0">
    <w:nsid w:val="2BFB0A05"/>
    <w:multiLevelType w:val="hybridMultilevel"/>
    <w:tmpl w:val="29D8B25E"/>
    <w:lvl w:ilvl="0" w:tplc="7548EC36">
      <w:numFmt w:val="bullet"/>
      <w:lvlText w:val=""/>
      <w:lvlJc w:val="left"/>
      <w:pPr>
        <w:ind w:left="156" w:hanging="100"/>
      </w:pPr>
      <w:rPr>
        <w:rFonts w:ascii="Symbol" w:eastAsia="Symbol" w:hAnsi="Symbol" w:cs="Symbol" w:hint="default"/>
        <w:color w:val="231F20"/>
        <w:w w:val="100"/>
        <w:sz w:val="14"/>
        <w:szCs w:val="14"/>
      </w:rPr>
    </w:lvl>
    <w:lvl w:ilvl="1" w:tplc="6B60BE2C">
      <w:numFmt w:val="bullet"/>
      <w:lvlText w:val="•"/>
      <w:lvlJc w:val="left"/>
      <w:pPr>
        <w:ind w:left="398" w:hanging="100"/>
      </w:pPr>
      <w:rPr>
        <w:rFonts w:hint="default"/>
      </w:rPr>
    </w:lvl>
    <w:lvl w:ilvl="2" w:tplc="4E42AD30">
      <w:numFmt w:val="bullet"/>
      <w:lvlText w:val="•"/>
      <w:lvlJc w:val="left"/>
      <w:pPr>
        <w:ind w:left="636" w:hanging="100"/>
      </w:pPr>
      <w:rPr>
        <w:rFonts w:hint="default"/>
      </w:rPr>
    </w:lvl>
    <w:lvl w:ilvl="3" w:tplc="79F2D582">
      <w:numFmt w:val="bullet"/>
      <w:lvlText w:val="•"/>
      <w:lvlJc w:val="left"/>
      <w:pPr>
        <w:ind w:left="874" w:hanging="100"/>
      </w:pPr>
      <w:rPr>
        <w:rFonts w:hint="default"/>
      </w:rPr>
    </w:lvl>
    <w:lvl w:ilvl="4" w:tplc="644E8240">
      <w:numFmt w:val="bullet"/>
      <w:lvlText w:val="•"/>
      <w:lvlJc w:val="left"/>
      <w:pPr>
        <w:ind w:left="1112" w:hanging="100"/>
      </w:pPr>
      <w:rPr>
        <w:rFonts w:hint="default"/>
      </w:rPr>
    </w:lvl>
    <w:lvl w:ilvl="5" w:tplc="678283F4">
      <w:numFmt w:val="bullet"/>
      <w:lvlText w:val="•"/>
      <w:lvlJc w:val="left"/>
      <w:pPr>
        <w:ind w:left="1350" w:hanging="100"/>
      </w:pPr>
      <w:rPr>
        <w:rFonts w:hint="default"/>
      </w:rPr>
    </w:lvl>
    <w:lvl w:ilvl="6" w:tplc="8C424012">
      <w:numFmt w:val="bullet"/>
      <w:lvlText w:val="•"/>
      <w:lvlJc w:val="left"/>
      <w:pPr>
        <w:ind w:left="1588" w:hanging="100"/>
      </w:pPr>
      <w:rPr>
        <w:rFonts w:hint="default"/>
      </w:rPr>
    </w:lvl>
    <w:lvl w:ilvl="7" w:tplc="752454F8">
      <w:numFmt w:val="bullet"/>
      <w:lvlText w:val="•"/>
      <w:lvlJc w:val="left"/>
      <w:pPr>
        <w:ind w:left="1826" w:hanging="100"/>
      </w:pPr>
      <w:rPr>
        <w:rFonts w:hint="default"/>
      </w:rPr>
    </w:lvl>
    <w:lvl w:ilvl="8" w:tplc="1ED2BD5C">
      <w:numFmt w:val="bullet"/>
      <w:lvlText w:val="•"/>
      <w:lvlJc w:val="left"/>
      <w:pPr>
        <w:ind w:left="2064" w:hanging="100"/>
      </w:pPr>
      <w:rPr>
        <w:rFonts w:hint="default"/>
      </w:rPr>
    </w:lvl>
  </w:abstractNum>
  <w:abstractNum w:abstractNumId="693" w15:restartNumberingAfterBreak="0">
    <w:nsid w:val="2C305ED7"/>
    <w:multiLevelType w:val="hybridMultilevel"/>
    <w:tmpl w:val="2E8642FE"/>
    <w:lvl w:ilvl="0" w:tplc="A0740FCA">
      <w:numFmt w:val="bullet"/>
      <w:lvlText w:val=""/>
      <w:lvlJc w:val="left"/>
      <w:pPr>
        <w:ind w:left="156" w:hanging="100"/>
      </w:pPr>
      <w:rPr>
        <w:rFonts w:ascii="Symbol" w:eastAsia="Symbol" w:hAnsi="Symbol" w:cs="Symbol" w:hint="default"/>
        <w:color w:val="231F20"/>
        <w:w w:val="100"/>
        <w:sz w:val="14"/>
        <w:szCs w:val="14"/>
      </w:rPr>
    </w:lvl>
    <w:lvl w:ilvl="1" w:tplc="132844A0">
      <w:numFmt w:val="bullet"/>
      <w:lvlText w:val="•"/>
      <w:lvlJc w:val="left"/>
      <w:pPr>
        <w:ind w:left="426" w:hanging="100"/>
      </w:pPr>
      <w:rPr>
        <w:rFonts w:hint="default"/>
      </w:rPr>
    </w:lvl>
    <w:lvl w:ilvl="2" w:tplc="1D468BB4">
      <w:numFmt w:val="bullet"/>
      <w:lvlText w:val="•"/>
      <w:lvlJc w:val="left"/>
      <w:pPr>
        <w:ind w:left="692" w:hanging="100"/>
      </w:pPr>
      <w:rPr>
        <w:rFonts w:hint="default"/>
      </w:rPr>
    </w:lvl>
    <w:lvl w:ilvl="3" w:tplc="0D8AE908">
      <w:numFmt w:val="bullet"/>
      <w:lvlText w:val="•"/>
      <w:lvlJc w:val="left"/>
      <w:pPr>
        <w:ind w:left="959" w:hanging="100"/>
      </w:pPr>
      <w:rPr>
        <w:rFonts w:hint="default"/>
      </w:rPr>
    </w:lvl>
    <w:lvl w:ilvl="4" w:tplc="99E8F7A6">
      <w:numFmt w:val="bullet"/>
      <w:lvlText w:val="•"/>
      <w:lvlJc w:val="left"/>
      <w:pPr>
        <w:ind w:left="1225" w:hanging="100"/>
      </w:pPr>
      <w:rPr>
        <w:rFonts w:hint="default"/>
      </w:rPr>
    </w:lvl>
    <w:lvl w:ilvl="5" w:tplc="1DB88C72">
      <w:numFmt w:val="bullet"/>
      <w:lvlText w:val="•"/>
      <w:lvlJc w:val="left"/>
      <w:pPr>
        <w:ind w:left="1492" w:hanging="100"/>
      </w:pPr>
      <w:rPr>
        <w:rFonts w:hint="default"/>
      </w:rPr>
    </w:lvl>
    <w:lvl w:ilvl="6" w:tplc="92EC0C98">
      <w:numFmt w:val="bullet"/>
      <w:lvlText w:val="•"/>
      <w:lvlJc w:val="left"/>
      <w:pPr>
        <w:ind w:left="1758" w:hanging="100"/>
      </w:pPr>
      <w:rPr>
        <w:rFonts w:hint="default"/>
      </w:rPr>
    </w:lvl>
    <w:lvl w:ilvl="7" w:tplc="6D78156A">
      <w:numFmt w:val="bullet"/>
      <w:lvlText w:val="•"/>
      <w:lvlJc w:val="left"/>
      <w:pPr>
        <w:ind w:left="2024" w:hanging="100"/>
      </w:pPr>
      <w:rPr>
        <w:rFonts w:hint="default"/>
      </w:rPr>
    </w:lvl>
    <w:lvl w:ilvl="8" w:tplc="DD48B3FA">
      <w:numFmt w:val="bullet"/>
      <w:lvlText w:val="•"/>
      <w:lvlJc w:val="left"/>
      <w:pPr>
        <w:ind w:left="2291" w:hanging="100"/>
      </w:pPr>
      <w:rPr>
        <w:rFonts w:hint="default"/>
      </w:rPr>
    </w:lvl>
  </w:abstractNum>
  <w:abstractNum w:abstractNumId="694" w15:restartNumberingAfterBreak="0">
    <w:nsid w:val="2C557CB8"/>
    <w:multiLevelType w:val="hybridMultilevel"/>
    <w:tmpl w:val="0450E220"/>
    <w:lvl w:ilvl="0" w:tplc="6674E712">
      <w:numFmt w:val="bullet"/>
      <w:lvlText w:val=""/>
      <w:lvlJc w:val="left"/>
      <w:pPr>
        <w:ind w:left="157" w:hanging="100"/>
      </w:pPr>
      <w:rPr>
        <w:rFonts w:ascii="Symbol" w:eastAsia="Symbol" w:hAnsi="Symbol" w:cs="Symbol" w:hint="default"/>
        <w:color w:val="231F20"/>
        <w:w w:val="100"/>
        <w:sz w:val="14"/>
        <w:szCs w:val="14"/>
      </w:rPr>
    </w:lvl>
    <w:lvl w:ilvl="1" w:tplc="57EEA7E2">
      <w:numFmt w:val="bullet"/>
      <w:lvlText w:val="•"/>
      <w:lvlJc w:val="left"/>
      <w:pPr>
        <w:ind w:left="426" w:hanging="100"/>
      </w:pPr>
      <w:rPr>
        <w:rFonts w:hint="default"/>
      </w:rPr>
    </w:lvl>
    <w:lvl w:ilvl="2" w:tplc="1C30DC62">
      <w:numFmt w:val="bullet"/>
      <w:lvlText w:val="•"/>
      <w:lvlJc w:val="left"/>
      <w:pPr>
        <w:ind w:left="692" w:hanging="100"/>
      </w:pPr>
      <w:rPr>
        <w:rFonts w:hint="default"/>
      </w:rPr>
    </w:lvl>
    <w:lvl w:ilvl="3" w:tplc="5C024102">
      <w:numFmt w:val="bullet"/>
      <w:lvlText w:val="•"/>
      <w:lvlJc w:val="left"/>
      <w:pPr>
        <w:ind w:left="959" w:hanging="100"/>
      </w:pPr>
      <w:rPr>
        <w:rFonts w:hint="default"/>
      </w:rPr>
    </w:lvl>
    <w:lvl w:ilvl="4" w:tplc="609489CA">
      <w:numFmt w:val="bullet"/>
      <w:lvlText w:val="•"/>
      <w:lvlJc w:val="left"/>
      <w:pPr>
        <w:ind w:left="1225" w:hanging="100"/>
      </w:pPr>
      <w:rPr>
        <w:rFonts w:hint="default"/>
      </w:rPr>
    </w:lvl>
    <w:lvl w:ilvl="5" w:tplc="9612C8CA">
      <w:numFmt w:val="bullet"/>
      <w:lvlText w:val="•"/>
      <w:lvlJc w:val="left"/>
      <w:pPr>
        <w:ind w:left="1492" w:hanging="100"/>
      </w:pPr>
      <w:rPr>
        <w:rFonts w:hint="default"/>
      </w:rPr>
    </w:lvl>
    <w:lvl w:ilvl="6" w:tplc="704A597E">
      <w:numFmt w:val="bullet"/>
      <w:lvlText w:val="•"/>
      <w:lvlJc w:val="left"/>
      <w:pPr>
        <w:ind w:left="1758" w:hanging="100"/>
      </w:pPr>
      <w:rPr>
        <w:rFonts w:hint="default"/>
      </w:rPr>
    </w:lvl>
    <w:lvl w:ilvl="7" w:tplc="B1ACADAA">
      <w:numFmt w:val="bullet"/>
      <w:lvlText w:val="•"/>
      <w:lvlJc w:val="left"/>
      <w:pPr>
        <w:ind w:left="2024" w:hanging="100"/>
      </w:pPr>
      <w:rPr>
        <w:rFonts w:hint="default"/>
      </w:rPr>
    </w:lvl>
    <w:lvl w:ilvl="8" w:tplc="05469CA0">
      <w:numFmt w:val="bullet"/>
      <w:lvlText w:val="•"/>
      <w:lvlJc w:val="left"/>
      <w:pPr>
        <w:ind w:left="2291" w:hanging="100"/>
      </w:pPr>
      <w:rPr>
        <w:rFonts w:hint="default"/>
      </w:rPr>
    </w:lvl>
  </w:abstractNum>
  <w:abstractNum w:abstractNumId="695" w15:restartNumberingAfterBreak="0">
    <w:nsid w:val="2C7078F0"/>
    <w:multiLevelType w:val="hybridMultilevel"/>
    <w:tmpl w:val="DCC64CAE"/>
    <w:lvl w:ilvl="0" w:tplc="3F76EC6A">
      <w:numFmt w:val="bullet"/>
      <w:lvlText w:val=""/>
      <w:lvlJc w:val="left"/>
      <w:pPr>
        <w:ind w:left="156" w:hanging="100"/>
      </w:pPr>
      <w:rPr>
        <w:rFonts w:ascii="Symbol" w:eastAsia="Symbol" w:hAnsi="Symbol" w:cs="Symbol" w:hint="default"/>
        <w:color w:val="231F20"/>
        <w:w w:val="100"/>
        <w:sz w:val="14"/>
        <w:szCs w:val="14"/>
      </w:rPr>
    </w:lvl>
    <w:lvl w:ilvl="1" w:tplc="23DCF35C">
      <w:numFmt w:val="bullet"/>
      <w:lvlText w:val="•"/>
      <w:lvlJc w:val="left"/>
      <w:pPr>
        <w:ind w:left="398" w:hanging="100"/>
      </w:pPr>
      <w:rPr>
        <w:rFonts w:hint="default"/>
      </w:rPr>
    </w:lvl>
    <w:lvl w:ilvl="2" w:tplc="969EC9CC">
      <w:numFmt w:val="bullet"/>
      <w:lvlText w:val="•"/>
      <w:lvlJc w:val="left"/>
      <w:pPr>
        <w:ind w:left="636" w:hanging="100"/>
      </w:pPr>
      <w:rPr>
        <w:rFonts w:hint="default"/>
      </w:rPr>
    </w:lvl>
    <w:lvl w:ilvl="3" w:tplc="5282CDEE">
      <w:numFmt w:val="bullet"/>
      <w:lvlText w:val="•"/>
      <w:lvlJc w:val="left"/>
      <w:pPr>
        <w:ind w:left="874" w:hanging="100"/>
      </w:pPr>
      <w:rPr>
        <w:rFonts w:hint="default"/>
      </w:rPr>
    </w:lvl>
    <w:lvl w:ilvl="4" w:tplc="A240097C">
      <w:numFmt w:val="bullet"/>
      <w:lvlText w:val="•"/>
      <w:lvlJc w:val="left"/>
      <w:pPr>
        <w:ind w:left="1112" w:hanging="100"/>
      </w:pPr>
      <w:rPr>
        <w:rFonts w:hint="default"/>
      </w:rPr>
    </w:lvl>
    <w:lvl w:ilvl="5" w:tplc="3FB42ABA">
      <w:numFmt w:val="bullet"/>
      <w:lvlText w:val="•"/>
      <w:lvlJc w:val="left"/>
      <w:pPr>
        <w:ind w:left="1350" w:hanging="100"/>
      </w:pPr>
      <w:rPr>
        <w:rFonts w:hint="default"/>
      </w:rPr>
    </w:lvl>
    <w:lvl w:ilvl="6" w:tplc="82906CC8">
      <w:numFmt w:val="bullet"/>
      <w:lvlText w:val="•"/>
      <w:lvlJc w:val="left"/>
      <w:pPr>
        <w:ind w:left="1588" w:hanging="100"/>
      </w:pPr>
      <w:rPr>
        <w:rFonts w:hint="default"/>
      </w:rPr>
    </w:lvl>
    <w:lvl w:ilvl="7" w:tplc="B1C67770">
      <w:numFmt w:val="bullet"/>
      <w:lvlText w:val="•"/>
      <w:lvlJc w:val="left"/>
      <w:pPr>
        <w:ind w:left="1826" w:hanging="100"/>
      </w:pPr>
      <w:rPr>
        <w:rFonts w:hint="default"/>
      </w:rPr>
    </w:lvl>
    <w:lvl w:ilvl="8" w:tplc="780CE264">
      <w:numFmt w:val="bullet"/>
      <w:lvlText w:val="•"/>
      <w:lvlJc w:val="left"/>
      <w:pPr>
        <w:ind w:left="2064" w:hanging="100"/>
      </w:pPr>
      <w:rPr>
        <w:rFonts w:hint="default"/>
      </w:rPr>
    </w:lvl>
  </w:abstractNum>
  <w:abstractNum w:abstractNumId="696" w15:restartNumberingAfterBreak="0">
    <w:nsid w:val="2C8225A1"/>
    <w:multiLevelType w:val="hybridMultilevel"/>
    <w:tmpl w:val="9D14B19C"/>
    <w:lvl w:ilvl="0" w:tplc="5D26D562">
      <w:numFmt w:val="bullet"/>
      <w:lvlText w:val=""/>
      <w:lvlJc w:val="left"/>
      <w:pPr>
        <w:ind w:left="156" w:hanging="100"/>
      </w:pPr>
      <w:rPr>
        <w:rFonts w:ascii="Symbol" w:eastAsia="Symbol" w:hAnsi="Symbol" w:cs="Symbol" w:hint="default"/>
        <w:color w:val="231F20"/>
        <w:w w:val="100"/>
        <w:sz w:val="14"/>
        <w:szCs w:val="14"/>
      </w:rPr>
    </w:lvl>
    <w:lvl w:ilvl="1" w:tplc="9B64F73A">
      <w:numFmt w:val="bullet"/>
      <w:lvlText w:val="•"/>
      <w:lvlJc w:val="left"/>
      <w:pPr>
        <w:ind w:left="273" w:hanging="100"/>
      </w:pPr>
      <w:rPr>
        <w:rFonts w:hint="default"/>
      </w:rPr>
    </w:lvl>
    <w:lvl w:ilvl="2" w:tplc="05CEEADA">
      <w:numFmt w:val="bullet"/>
      <w:lvlText w:val="•"/>
      <w:lvlJc w:val="left"/>
      <w:pPr>
        <w:ind w:left="386" w:hanging="100"/>
      </w:pPr>
      <w:rPr>
        <w:rFonts w:hint="default"/>
      </w:rPr>
    </w:lvl>
    <w:lvl w:ilvl="3" w:tplc="6A3CFCF4">
      <w:numFmt w:val="bullet"/>
      <w:lvlText w:val="•"/>
      <w:lvlJc w:val="left"/>
      <w:pPr>
        <w:ind w:left="500" w:hanging="100"/>
      </w:pPr>
      <w:rPr>
        <w:rFonts w:hint="default"/>
      </w:rPr>
    </w:lvl>
    <w:lvl w:ilvl="4" w:tplc="B96ACA52">
      <w:numFmt w:val="bullet"/>
      <w:lvlText w:val="•"/>
      <w:lvlJc w:val="left"/>
      <w:pPr>
        <w:ind w:left="613" w:hanging="100"/>
      </w:pPr>
      <w:rPr>
        <w:rFonts w:hint="default"/>
      </w:rPr>
    </w:lvl>
    <w:lvl w:ilvl="5" w:tplc="609EF91A">
      <w:numFmt w:val="bullet"/>
      <w:lvlText w:val="•"/>
      <w:lvlJc w:val="left"/>
      <w:pPr>
        <w:ind w:left="727" w:hanging="100"/>
      </w:pPr>
      <w:rPr>
        <w:rFonts w:hint="default"/>
      </w:rPr>
    </w:lvl>
    <w:lvl w:ilvl="6" w:tplc="100CF446">
      <w:numFmt w:val="bullet"/>
      <w:lvlText w:val="•"/>
      <w:lvlJc w:val="left"/>
      <w:pPr>
        <w:ind w:left="840" w:hanging="100"/>
      </w:pPr>
      <w:rPr>
        <w:rFonts w:hint="default"/>
      </w:rPr>
    </w:lvl>
    <w:lvl w:ilvl="7" w:tplc="A2FC37F8">
      <w:numFmt w:val="bullet"/>
      <w:lvlText w:val="•"/>
      <w:lvlJc w:val="left"/>
      <w:pPr>
        <w:ind w:left="953" w:hanging="100"/>
      </w:pPr>
      <w:rPr>
        <w:rFonts w:hint="default"/>
      </w:rPr>
    </w:lvl>
    <w:lvl w:ilvl="8" w:tplc="9A04F6C6">
      <w:numFmt w:val="bullet"/>
      <w:lvlText w:val="•"/>
      <w:lvlJc w:val="left"/>
      <w:pPr>
        <w:ind w:left="1067" w:hanging="100"/>
      </w:pPr>
      <w:rPr>
        <w:rFonts w:hint="default"/>
      </w:rPr>
    </w:lvl>
  </w:abstractNum>
  <w:abstractNum w:abstractNumId="697" w15:restartNumberingAfterBreak="0">
    <w:nsid w:val="2C834C5E"/>
    <w:multiLevelType w:val="hybridMultilevel"/>
    <w:tmpl w:val="E9028CF2"/>
    <w:lvl w:ilvl="0" w:tplc="8F6A6C9E">
      <w:numFmt w:val="bullet"/>
      <w:lvlText w:val=""/>
      <w:lvlJc w:val="left"/>
      <w:pPr>
        <w:ind w:left="157" w:hanging="100"/>
      </w:pPr>
      <w:rPr>
        <w:rFonts w:ascii="Symbol" w:eastAsia="Symbol" w:hAnsi="Symbol" w:cs="Symbol" w:hint="default"/>
        <w:color w:val="231F20"/>
        <w:w w:val="100"/>
        <w:sz w:val="14"/>
        <w:szCs w:val="14"/>
      </w:rPr>
    </w:lvl>
    <w:lvl w:ilvl="1" w:tplc="4928E8F4">
      <w:numFmt w:val="bullet"/>
      <w:lvlText w:val="•"/>
      <w:lvlJc w:val="left"/>
      <w:pPr>
        <w:ind w:left="369" w:hanging="100"/>
      </w:pPr>
      <w:rPr>
        <w:rFonts w:hint="default"/>
      </w:rPr>
    </w:lvl>
    <w:lvl w:ilvl="2" w:tplc="71CC4110">
      <w:numFmt w:val="bullet"/>
      <w:lvlText w:val="•"/>
      <w:lvlJc w:val="left"/>
      <w:pPr>
        <w:ind w:left="579" w:hanging="100"/>
      </w:pPr>
      <w:rPr>
        <w:rFonts w:hint="default"/>
      </w:rPr>
    </w:lvl>
    <w:lvl w:ilvl="3" w:tplc="75B2A748">
      <w:numFmt w:val="bullet"/>
      <w:lvlText w:val="•"/>
      <w:lvlJc w:val="left"/>
      <w:pPr>
        <w:ind w:left="789" w:hanging="100"/>
      </w:pPr>
      <w:rPr>
        <w:rFonts w:hint="default"/>
      </w:rPr>
    </w:lvl>
    <w:lvl w:ilvl="4" w:tplc="1C72B234">
      <w:numFmt w:val="bullet"/>
      <w:lvlText w:val="•"/>
      <w:lvlJc w:val="left"/>
      <w:pPr>
        <w:ind w:left="998" w:hanging="100"/>
      </w:pPr>
      <w:rPr>
        <w:rFonts w:hint="default"/>
      </w:rPr>
    </w:lvl>
    <w:lvl w:ilvl="5" w:tplc="1A0822FA">
      <w:numFmt w:val="bullet"/>
      <w:lvlText w:val="•"/>
      <w:lvlJc w:val="left"/>
      <w:pPr>
        <w:ind w:left="1208" w:hanging="100"/>
      </w:pPr>
      <w:rPr>
        <w:rFonts w:hint="default"/>
      </w:rPr>
    </w:lvl>
    <w:lvl w:ilvl="6" w:tplc="30EA079C">
      <w:numFmt w:val="bullet"/>
      <w:lvlText w:val="•"/>
      <w:lvlJc w:val="left"/>
      <w:pPr>
        <w:ind w:left="1418" w:hanging="100"/>
      </w:pPr>
      <w:rPr>
        <w:rFonts w:hint="default"/>
      </w:rPr>
    </w:lvl>
    <w:lvl w:ilvl="7" w:tplc="4474A686">
      <w:numFmt w:val="bullet"/>
      <w:lvlText w:val="•"/>
      <w:lvlJc w:val="left"/>
      <w:pPr>
        <w:ind w:left="1627" w:hanging="100"/>
      </w:pPr>
      <w:rPr>
        <w:rFonts w:hint="default"/>
      </w:rPr>
    </w:lvl>
    <w:lvl w:ilvl="8" w:tplc="0CE861CA">
      <w:numFmt w:val="bullet"/>
      <w:lvlText w:val="•"/>
      <w:lvlJc w:val="left"/>
      <w:pPr>
        <w:ind w:left="1837" w:hanging="100"/>
      </w:pPr>
      <w:rPr>
        <w:rFonts w:hint="default"/>
      </w:rPr>
    </w:lvl>
  </w:abstractNum>
  <w:abstractNum w:abstractNumId="698" w15:restartNumberingAfterBreak="0">
    <w:nsid w:val="2CA26CE2"/>
    <w:multiLevelType w:val="hybridMultilevel"/>
    <w:tmpl w:val="EDB8524C"/>
    <w:lvl w:ilvl="0" w:tplc="9CC4A456">
      <w:numFmt w:val="bullet"/>
      <w:lvlText w:val=""/>
      <w:lvlJc w:val="left"/>
      <w:pPr>
        <w:ind w:left="156" w:hanging="100"/>
      </w:pPr>
      <w:rPr>
        <w:rFonts w:ascii="Symbol" w:eastAsia="Symbol" w:hAnsi="Symbol" w:cs="Symbol" w:hint="default"/>
        <w:color w:val="231F20"/>
        <w:w w:val="100"/>
        <w:sz w:val="14"/>
        <w:szCs w:val="14"/>
      </w:rPr>
    </w:lvl>
    <w:lvl w:ilvl="1" w:tplc="1BE818B6">
      <w:numFmt w:val="bullet"/>
      <w:lvlText w:val="•"/>
      <w:lvlJc w:val="left"/>
      <w:pPr>
        <w:ind w:left="301" w:hanging="100"/>
      </w:pPr>
      <w:rPr>
        <w:rFonts w:hint="default"/>
      </w:rPr>
    </w:lvl>
    <w:lvl w:ilvl="2" w:tplc="4AAAC996">
      <w:numFmt w:val="bullet"/>
      <w:lvlText w:val="•"/>
      <w:lvlJc w:val="left"/>
      <w:pPr>
        <w:ind w:left="443" w:hanging="100"/>
      </w:pPr>
      <w:rPr>
        <w:rFonts w:hint="default"/>
      </w:rPr>
    </w:lvl>
    <w:lvl w:ilvl="3" w:tplc="080AB93E">
      <w:numFmt w:val="bullet"/>
      <w:lvlText w:val="•"/>
      <w:lvlJc w:val="left"/>
      <w:pPr>
        <w:ind w:left="585" w:hanging="100"/>
      </w:pPr>
      <w:rPr>
        <w:rFonts w:hint="default"/>
      </w:rPr>
    </w:lvl>
    <w:lvl w:ilvl="4" w:tplc="F42C001C">
      <w:numFmt w:val="bullet"/>
      <w:lvlText w:val="•"/>
      <w:lvlJc w:val="left"/>
      <w:pPr>
        <w:ind w:left="726" w:hanging="100"/>
      </w:pPr>
      <w:rPr>
        <w:rFonts w:hint="default"/>
      </w:rPr>
    </w:lvl>
    <w:lvl w:ilvl="5" w:tplc="6FE65C90">
      <w:numFmt w:val="bullet"/>
      <w:lvlText w:val="•"/>
      <w:lvlJc w:val="left"/>
      <w:pPr>
        <w:ind w:left="868" w:hanging="100"/>
      </w:pPr>
      <w:rPr>
        <w:rFonts w:hint="default"/>
      </w:rPr>
    </w:lvl>
    <w:lvl w:ilvl="6" w:tplc="5AC6AFFA">
      <w:numFmt w:val="bullet"/>
      <w:lvlText w:val="•"/>
      <w:lvlJc w:val="left"/>
      <w:pPr>
        <w:ind w:left="1010" w:hanging="100"/>
      </w:pPr>
      <w:rPr>
        <w:rFonts w:hint="default"/>
      </w:rPr>
    </w:lvl>
    <w:lvl w:ilvl="7" w:tplc="75C69436">
      <w:numFmt w:val="bullet"/>
      <w:lvlText w:val="•"/>
      <w:lvlJc w:val="left"/>
      <w:pPr>
        <w:ind w:left="1151" w:hanging="100"/>
      </w:pPr>
      <w:rPr>
        <w:rFonts w:hint="default"/>
      </w:rPr>
    </w:lvl>
    <w:lvl w:ilvl="8" w:tplc="828CA908">
      <w:numFmt w:val="bullet"/>
      <w:lvlText w:val="•"/>
      <w:lvlJc w:val="left"/>
      <w:pPr>
        <w:ind w:left="1293" w:hanging="100"/>
      </w:pPr>
      <w:rPr>
        <w:rFonts w:hint="default"/>
      </w:rPr>
    </w:lvl>
  </w:abstractNum>
  <w:abstractNum w:abstractNumId="699" w15:restartNumberingAfterBreak="0">
    <w:nsid w:val="2CA3375C"/>
    <w:multiLevelType w:val="hybridMultilevel"/>
    <w:tmpl w:val="2182D4D4"/>
    <w:lvl w:ilvl="0" w:tplc="3F8C2D8C">
      <w:numFmt w:val="bullet"/>
      <w:lvlText w:val=""/>
      <w:lvlJc w:val="left"/>
      <w:pPr>
        <w:ind w:left="157" w:hanging="100"/>
      </w:pPr>
      <w:rPr>
        <w:rFonts w:ascii="Symbol" w:eastAsia="Symbol" w:hAnsi="Symbol" w:cs="Symbol" w:hint="default"/>
        <w:color w:val="231F20"/>
        <w:w w:val="100"/>
        <w:sz w:val="14"/>
        <w:szCs w:val="14"/>
      </w:rPr>
    </w:lvl>
    <w:lvl w:ilvl="1" w:tplc="C3CAB662">
      <w:numFmt w:val="bullet"/>
      <w:lvlText w:val="•"/>
      <w:lvlJc w:val="left"/>
      <w:pPr>
        <w:ind w:left="398" w:hanging="100"/>
      </w:pPr>
      <w:rPr>
        <w:rFonts w:hint="default"/>
      </w:rPr>
    </w:lvl>
    <w:lvl w:ilvl="2" w:tplc="674C26E0">
      <w:numFmt w:val="bullet"/>
      <w:lvlText w:val="•"/>
      <w:lvlJc w:val="left"/>
      <w:pPr>
        <w:ind w:left="636" w:hanging="100"/>
      </w:pPr>
      <w:rPr>
        <w:rFonts w:hint="default"/>
      </w:rPr>
    </w:lvl>
    <w:lvl w:ilvl="3" w:tplc="B0C88604">
      <w:numFmt w:val="bullet"/>
      <w:lvlText w:val="•"/>
      <w:lvlJc w:val="left"/>
      <w:pPr>
        <w:ind w:left="874" w:hanging="100"/>
      </w:pPr>
      <w:rPr>
        <w:rFonts w:hint="default"/>
      </w:rPr>
    </w:lvl>
    <w:lvl w:ilvl="4" w:tplc="D8908C18">
      <w:numFmt w:val="bullet"/>
      <w:lvlText w:val="•"/>
      <w:lvlJc w:val="left"/>
      <w:pPr>
        <w:ind w:left="1112" w:hanging="100"/>
      </w:pPr>
      <w:rPr>
        <w:rFonts w:hint="default"/>
      </w:rPr>
    </w:lvl>
    <w:lvl w:ilvl="5" w:tplc="EAF2C3AA">
      <w:numFmt w:val="bullet"/>
      <w:lvlText w:val="•"/>
      <w:lvlJc w:val="left"/>
      <w:pPr>
        <w:ind w:left="1350" w:hanging="100"/>
      </w:pPr>
      <w:rPr>
        <w:rFonts w:hint="default"/>
      </w:rPr>
    </w:lvl>
    <w:lvl w:ilvl="6" w:tplc="FC583E36">
      <w:numFmt w:val="bullet"/>
      <w:lvlText w:val="•"/>
      <w:lvlJc w:val="left"/>
      <w:pPr>
        <w:ind w:left="1588" w:hanging="100"/>
      </w:pPr>
      <w:rPr>
        <w:rFonts w:hint="default"/>
      </w:rPr>
    </w:lvl>
    <w:lvl w:ilvl="7" w:tplc="F10E2B10">
      <w:numFmt w:val="bullet"/>
      <w:lvlText w:val="•"/>
      <w:lvlJc w:val="left"/>
      <w:pPr>
        <w:ind w:left="1826" w:hanging="100"/>
      </w:pPr>
      <w:rPr>
        <w:rFonts w:hint="default"/>
      </w:rPr>
    </w:lvl>
    <w:lvl w:ilvl="8" w:tplc="4C42EBBC">
      <w:numFmt w:val="bullet"/>
      <w:lvlText w:val="•"/>
      <w:lvlJc w:val="left"/>
      <w:pPr>
        <w:ind w:left="2064" w:hanging="100"/>
      </w:pPr>
      <w:rPr>
        <w:rFonts w:hint="default"/>
      </w:rPr>
    </w:lvl>
  </w:abstractNum>
  <w:abstractNum w:abstractNumId="700" w15:restartNumberingAfterBreak="0">
    <w:nsid w:val="2CB317F5"/>
    <w:multiLevelType w:val="hybridMultilevel"/>
    <w:tmpl w:val="B35093A0"/>
    <w:lvl w:ilvl="0" w:tplc="CBD66184">
      <w:numFmt w:val="bullet"/>
      <w:lvlText w:val=""/>
      <w:lvlJc w:val="left"/>
      <w:pPr>
        <w:ind w:left="156" w:hanging="100"/>
      </w:pPr>
      <w:rPr>
        <w:rFonts w:ascii="Symbol" w:eastAsia="Symbol" w:hAnsi="Symbol" w:cs="Symbol" w:hint="default"/>
        <w:color w:val="231F20"/>
        <w:w w:val="100"/>
        <w:sz w:val="14"/>
        <w:szCs w:val="14"/>
      </w:rPr>
    </w:lvl>
    <w:lvl w:ilvl="1" w:tplc="858494F2">
      <w:numFmt w:val="bullet"/>
      <w:lvlText w:val="•"/>
      <w:lvlJc w:val="left"/>
      <w:pPr>
        <w:ind w:left="398" w:hanging="100"/>
      </w:pPr>
      <w:rPr>
        <w:rFonts w:hint="default"/>
      </w:rPr>
    </w:lvl>
    <w:lvl w:ilvl="2" w:tplc="B72A368A">
      <w:numFmt w:val="bullet"/>
      <w:lvlText w:val="•"/>
      <w:lvlJc w:val="left"/>
      <w:pPr>
        <w:ind w:left="636" w:hanging="100"/>
      </w:pPr>
      <w:rPr>
        <w:rFonts w:hint="default"/>
      </w:rPr>
    </w:lvl>
    <w:lvl w:ilvl="3" w:tplc="D25E1884">
      <w:numFmt w:val="bullet"/>
      <w:lvlText w:val="•"/>
      <w:lvlJc w:val="left"/>
      <w:pPr>
        <w:ind w:left="874" w:hanging="100"/>
      </w:pPr>
      <w:rPr>
        <w:rFonts w:hint="default"/>
      </w:rPr>
    </w:lvl>
    <w:lvl w:ilvl="4" w:tplc="E7CC1C88">
      <w:numFmt w:val="bullet"/>
      <w:lvlText w:val="•"/>
      <w:lvlJc w:val="left"/>
      <w:pPr>
        <w:ind w:left="1112" w:hanging="100"/>
      </w:pPr>
      <w:rPr>
        <w:rFonts w:hint="default"/>
      </w:rPr>
    </w:lvl>
    <w:lvl w:ilvl="5" w:tplc="1678546C">
      <w:numFmt w:val="bullet"/>
      <w:lvlText w:val="•"/>
      <w:lvlJc w:val="left"/>
      <w:pPr>
        <w:ind w:left="1350" w:hanging="100"/>
      </w:pPr>
      <w:rPr>
        <w:rFonts w:hint="default"/>
      </w:rPr>
    </w:lvl>
    <w:lvl w:ilvl="6" w:tplc="0B46DE48">
      <w:numFmt w:val="bullet"/>
      <w:lvlText w:val="•"/>
      <w:lvlJc w:val="left"/>
      <w:pPr>
        <w:ind w:left="1588" w:hanging="100"/>
      </w:pPr>
      <w:rPr>
        <w:rFonts w:hint="default"/>
      </w:rPr>
    </w:lvl>
    <w:lvl w:ilvl="7" w:tplc="25383640">
      <w:numFmt w:val="bullet"/>
      <w:lvlText w:val="•"/>
      <w:lvlJc w:val="left"/>
      <w:pPr>
        <w:ind w:left="1826" w:hanging="100"/>
      </w:pPr>
      <w:rPr>
        <w:rFonts w:hint="default"/>
      </w:rPr>
    </w:lvl>
    <w:lvl w:ilvl="8" w:tplc="B816B2F2">
      <w:numFmt w:val="bullet"/>
      <w:lvlText w:val="•"/>
      <w:lvlJc w:val="left"/>
      <w:pPr>
        <w:ind w:left="2064" w:hanging="100"/>
      </w:pPr>
      <w:rPr>
        <w:rFonts w:hint="default"/>
      </w:rPr>
    </w:lvl>
  </w:abstractNum>
  <w:abstractNum w:abstractNumId="701" w15:restartNumberingAfterBreak="0">
    <w:nsid w:val="2CC52F0B"/>
    <w:multiLevelType w:val="hybridMultilevel"/>
    <w:tmpl w:val="DEEC855C"/>
    <w:lvl w:ilvl="0" w:tplc="A71C7A52">
      <w:numFmt w:val="bullet"/>
      <w:lvlText w:val=""/>
      <w:lvlJc w:val="left"/>
      <w:pPr>
        <w:ind w:left="156" w:hanging="100"/>
      </w:pPr>
      <w:rPr>
        <w:rFonts w:ascii="Symbol" w:eastAsia="Symbol" w:hAnsi="Symbol" w:cs="Symbol" w:hint="default"/>
        <w:color w:val="231F20"/>
        <w:w w:val="100"/>
        <w:sz w:val="14"/>
        <w:szCs w:val="14"/>
      </w:rPr>
    </w:lvl>
    <w:lvl w:ilvl="1" w:tplc="256861C6">
      <w:numFmt w:val="bullet"/>
      <w:lvlText w:val="•"/>
      <w:lvlJc w:val="left"/>
      <w:pPr>
        <w:ind w:left="301" w:hanging="100"/>
      </w:pPr>
      <w:rPr>
        <w:rFonts w:hint="default"/>
      </w:rPr>
    </w:lvl>
    <w:lvl w:ilvl="2" w:tplc="505C4764">
      <w:numFmt w:val="bullet"/>
      <w:lvlText w:val="•"/>
      <w:lvlJc w:val="left"/>
      <w:pPr>
        <w:ind w:left="443" w:hanging="100"/>
      </w:pPr>
      <w:rPr>
        <w:rFonts w:hint="default"/>
      </w:rPr>
    </w:lvl>
    <w:lvl w:ilvl="3" w:tplc="44222D04">
      <w:numFmt w:val="bullet"/>
      <w:lvlText w:val="•"/>
      <w:lvlJc w:val="left"/>
      <w:pPr>
        <w:ind w:left="585" w:hanging="100"/>
      </w:pPr>
      <w:rPr>
        <w:rFonts w:hint="default"/>
      </w:rPr>
    </w:lvl>
    <w:lvl w:ilvl="4" w:tplc="5A3E8AA8">
      <w:numFmt w:val="bullet"/>
      <w:lvlText w:val="•"/>
      <w:lvlJc w:val="left"/>
      <w:pPr>
        <w:ind w:left="726" w:hanging="100"/>
      </w:pPr>
      <w:rPr>
        <w:rFonts w:hint="default"/>
      </w:rPr>
    </w:lvl>
    <w:lvl w:ilvl="5" w:tplc="E9087F30">
      <w:numFmt w:val="bullet"/>
      <w:lvlText w:val="•"/>
      <w:lvlJc w:val="left"/>
      <w:pPr>
        <w:ind w:left="868" w:hanging="100"/>
      </w:pPr>
      <w:rPr>
        <w:rFonts w:hint="default"/>
      </w:rPr>
    </w:lvl>
    <w:lvl w:ilvl="6" w:tplc="B204F4B8">
      <w:numFmt w:val="bullet"/>
      <w:lvlText w:val="•"/>
      <w:lvlJc w:val="left"/>
      <w:pPr>
        <w:ind w:left="1010" w:hanging="100"/>
      </w:pPr>
      <w:rPr>
        <w:rFonts w:hint="default"/>
      </w:rPr>
    </w:lvl>
    <w:lvl w:ilvl="7" w:tplc="FDC4D796">
      <w:numFmt w:val="bullet"/>
      <w:lvlText w:val="•"/>
      <w:lvlJc w:val="left"/>
      <w:pPr>
        <w:ind w:left="1151" w:hanging="100"/>
      </w:pPr>
      <w:rPr>
        <w:rFonts w:hint="default"/>
      </w:rPr>
    </w:lvl>
    <w:lvl w:ilvl="8" w:tplc="1E68F138">
      <w:numFmt w:val="bullet"/>
      <w:lvlText w:val="•"/>
      <w:lvlJc w:val="left"/>
      <w:pPr>
        <w:ind w:left="1293" w:hanging="100"/>
      </w:pPr>
      <w:rPr>
        <w:rFonts w:hint="default"/>
      </w:rPr>
    </w:lvl>
  </w:abstractNum>
  <w:abstractNum w:abstractNumId="702" w15:restartNumberingAfterBreak="0">
    <w:nsid w:val="2CEA3E62"/>
    <w:multiLevelType w:val="hybridMultilevel"/>
    <w:tmpl w:val="D04A45E6"/>
    <w:lvl w:ilvl="0" w:tplc="1456A3DE">
      <w:numFmt w:val="bullet"/>
      <w:lvlText w:val=""/>
      <w:lvlJc w:val="left"/>
      <w:pPr>
        <w:ind w:left="156" w:hanging="100"/>
      </w:pPr>
      <w:rPr>
        <w:rFonts w:ascii="Symbol" w:eastAsia="Symbol" w:hAnsi="Symbol" w:cs="Symbol" w:hint="default"/>
        <w:color w:val="231F20"/>
        <w:w w:val="100"/>
        <w:sz w:val="14"/>
        <w:szCs w:val="14"/>
      </w:rPr>
    </w:lvl>
    <w:lvl w:ilvl="1" w:tplc="EE06E488">
      <w:numFmt w:val="bullet"/>
      <w:lvlText w:val="•"/>
      <w:lvlJc w:val="left"/>
      <w:pPr>
        <w:ind w:left="301" w:hanging="100"/>
      </w:pPr>
      <w:rPr>
        <w:rFonts w:hint="default"/>
      </w:rPr>
    </w:lvl>
    <w:lvl w:ilvl="2" w:tplc="C83AF892">
      <w:numFmt w:val="bullet"/>
      <w:lvlText w:val="•"/>
      <w:lvlJc w:val="left"/>
      <w:pPr>
        <w:ind w:left="443" w:hanging="100"/>
      </w:pPr>
      <w:rPr>
        <w:rFonts w:hint="default"/>
      </w:rPr>
    </w:lvl>
    <w:lvl w:ilvl="3" w:tplc="85CEA046">
      <w:numFmt w:val="bullet"/>
      <w:lvlText w:val="•"/>
      <w:lvlJc w:val="left"/>
      <w:pPr>
        <w:ind w:left="585" w:hanging="100"/>
      </w:pPr>
      <w:rPr>
        <w:rFonts w:hint="default"/>
      </w:rPr>
    </w:lvl>
    <w:lvl w:ilvl="4" w:tplc="1D2EEC9C">
      <w:numFmt w:val="bullet"/>
      <w:lvlText w:val="•"/>
      <w:lvlJc w:val="left"/>
      <w:pPr>
        <w:ind w:left="726" w:hanging="100"/>
      </w:pPr>
      <w:rPr>
        <w:rFonts w:hint="default"/>
      </w:rPr>
    </w:lvl>
    <w:lvl w:ilvl="5" w:tplc="D0C25B54">
      <w:numFmt w:val="bullet"/>
      <w:lvlText w:val="•"/>
      <w:lvlJc w:val="left"/>
      <w:pPr>
        <w:ind w:left="868" w:hanging="100"/>
      </w:pPr>
      <w:rPr>
        <w:rFonts w:hint="default"/>
      </w:rPr>
    </w:lvl>
    <w:lvl w:ilvl="6" w:tplc="0D2E0C9A">
      <w:numFmt w:val="bullet"/>
      <w:lvlText w:val="•"/>
      <w:lvlJc w:val="left"/>
      <w:pPr>
        <w:ind w:left="1010" w:hanging="100"/>
      </w:pPr>
      <w:rPr>
        <w:rFonts w:hint="default"/>
      </w:rPr>
    </w:lvl>
    <w:lvl w:ilvl="7" w:tplc="DF461B74">
      <w:numFmt w:val="bullet"/>
      <w:lvlText w:val="•"/>
      <w:lvlJc w:val="left"/>
      <w:pPr>
        <w:ind w:left="1151" w:hanging="100"/>
      </w:pPr>
      <w:rPr>
        <w:rFonts w:hint="default"/>
      </w:rPr>
    </w:lvl>
    <w:lvl w:ilvl="8" w:tplc="7E6679AE">
      <w:numFmt w:val="bullet"/>
      <w:lvlText w:val="•"/>
      <w:lvlJc w:val="left"/>
      <w:pPr>
        <w:ind w:left="1293" w:hanging="100"/>
      </w:pPr>
      <w:rPr>
        <w:rFonts w:hint="default"/>
      </w:rPr>
    </w:lvl>
  </w:abstractNum>
  <w:abstractNum w:abstractNumId="703" w15:restartNumberingAfterBreak="0">
    <w:nsid w:val="2CF31B22"/>
    <w:multiLevelType w:val="hybridMultilevel"/>
    <w:tmpl w:val="45AC457A"/>
    <w:lvl w:ilvl="0" w:tplc="B8F4F794">
      <w:numFmt w:val="bullet"/>
      <w:lvlText w:val=""/>
      <w:lvlJc w:val="left"/>
      <w:pPr>
        <w:ind w:left="156" w:hanging="100"/>
      </w:pPr>
      <w:rPr>
        <w:rFonts w:ascii="Symbol" w:eastAsia="Symbol" w:hAnsi="Symbol" w:cs="Symbol" w:hint="default"/>
        <w:color w:val="231F20"/>
        <w:w w:val="100"/>
        <w:sz w:val="14"/>
        <w:szCs w:val="14"/>
      </w:rPr>
    </w:lvl>
    <w:lvl w:ilvl="1" w:tplc="731EE94C">
      <w:numFmt w:val="bullet"/>
      <w:lvlText w:val="•"/>
      <w:lvlJc w:val="left"/>
      <w:pPr>
        <w:ind w:left="301" w:hanging="100"/>
      </w:pPr>
      <w:rPr>
        <w:rFonts w:hint="default"/>
      </w:rPr>
    </w:lvl>
    <w:lvl w:ilvl="2" w:tplc="BCFE0CEE">
      <w:numFmt w:val="bullet"/>
      <w:lvlText w:val="•"/>
      <w:lvlJc w:val="left"/>
      <w:pPr>
        <w:ind w:left="443" w:hanging="100"/>
      </w:pPr>
      <w:rPr>
        <w:rFonts w:hint="default"/>
      </w:rPr>
    </w:lvl>
    <w:lvl w:ilvl="3" w:tplc="88C0C0B4">
      <w:numFmt w:val="bullet"/>
      <w:lvlText w:val="•"/>
      <w:lvlJc w:val="left"/>
      <w:pPr>
        <w:ind w:left="585" w:hanging="100"/>
      </w:pPr>
      <w:rPr>
        <w:rFonts w:hint="default"/>
      </w:rPr>
    </w:lvl>
    <w:lvl w:ilvl="4" w:tplc="4ED48BB6">
      <w:numFmt w:val="bullet"/>
      <w:lvlText w:val="•"/>
      <w:lvlJc w:val="left"/>
      <w:pPr>
        <w:ind w:left="726" w:hanging="100"/>
      </w:pPr>
      <w:rPr>
        <w:rFonts w:hint="default"/>
      </w:rPr>
    </w:lvl>
    <w:lvl w:ilvl="5" w:tplc="62B2BBAE">
      <w:numFmt w:val="bullet"/>
      <w:lvlText w:val="•"/>
      <w:lvlJc w:val="left"/>
      <w:pPr>
        <w:ind w:left="868" w:hanging="100"/>
      </w:pPr>
      <w:rPr>
        <w:rFonts w:hint="default"/>
      </w:rPr>
    </w:lvl>
    <w:lvl w:ilvl="6" w:tplc="AC801EA6">
      <w:numFmt w:val="bullet"/>
      <w:lvlText w:val="•"/>
      <w:lvlJc w:val="left"/>
      <w:pPr>
        <w:ind w:left="1010" w:hanging="100"/>
      </w:pPr>
      <w:rPr>
        <w:rFonts w:hint="default"/>
      </w:rPr>
    </w:lvl>
    <w:lvl w:ilvl="7" w:tplc="5000896C">
      <w:numFmt w:val="bullet"/>
      <w:lvlText w:val="•"/>
      <w:lvlJc w:val="left"/>
      <w:pPr>
        <w:ind w:left="1151" w:hanging="100"/>
      </w:pPr>
      <w:rPr>
        <w:rFonts w:hint="default"/>
      </w:rPr>
    </w:lvl>
    <w:lvl w:ilvl="8" w:tplc="56567B80">
      <w:numFmt w:val="bullet"/>
      <w:lvlText w:val="•"/>
      <w:lvlJc w:val="left"/>
      <w:pPr>
        <w:ind w:left="1293" w:hanging="100"/>
      </w:pPr>
      <w:rPr>
        <w:rFonts w:hint="default"/>
      </w:rPr>
    </w:lvl>
  </w:abstractNum>
  <w:abstractNum w:abstractNumId="704" w15:restartNumberingAfterBreak="0">
    <w:nsid w:val="2CF60F9B"/>
    <w:multiLevelType w:val="hybridMultilevel"/>
    <w:tmpl w:val="CB146740"/>
    <w:lvl w:ilvl="0" w:tplc="8C3C5050">
      <w:numFmt w:val="bullet"/>
      <w:lvlText w:val=""/>
      <w:lvlJc w:val="left"/>
      <w:pPr>
        <w:ind w:left="156" w:hanging="100"/>
      </w:pPr>
      <w:rPr>
        <w:rFonts w:ascii="Symbol" w:eastAsia="Symbol" w:hAnsi="Symbol" w:cs="Symbol" w:hint="default"/>
        <w:color w:val="231F20"/>
        <w:w w:val="100"/>
        <w:sz w:val="14"/>
        <w:szCs w:val="14"/>
      </w:rPr>
    </w:lvl>
    <w:lvl w:ilvl="1" w:tplc="9B8AA00A">
      <w:numFmt w:val="bullet"/>
      <w:lvlText w:val="•"/>
      <w:lvlJc w:val="left"/>
      <w:pPr>
        <w:ind w:left="301" w:hanging="100"/>
      </w:pPr>
      <w:rPr>
        <w:rFonts w:hint="default"/>
      </w:rPr>
    </w:lvl>
    <w:lvl w:ilvl="2" w:tplc="457285CA">
      <w:numFmt w:val="bullet"/>
      <w:lvlText w:val="•"/>
      <w:lvlJc w:val="left"/>
      <w:pPr>
        <w:ind w:left="443" w:hanging="100"/>
      </w:pPr>
      <w:rPr>
        <w:rFonts w:hint="default"/>
      </w:rPr>
    </w:lvl>
    <w:lvl w:ilvl="3" w:tplc="26CEF7DC">
      <w:numFmt w:val="bullet"/>
      <w:lvlText w:val="•"/>
      <w:lvlJc w:val="left"/>
      <w:pPr>
        <w:ind w:left="585" w:hanging="100"/>
      </w:pPr>
      <w:rPr>
        <w:rFonts w:hint="default"/>
      </w:rPr>
    </w:lvl>
    <w:lvl w:ilvl="4" w:tplc="420AC470">
      <w:numFmt w:val="bullet"/>
      <w:lvlText w:val="•"/>
      <w:lvlJc w:val="left"/>
      <w:pPr>
        <w:ind w:left="726" w:hanging="100"/>
      </w:pPr>
      <w:rPr>
        <w:rFonts w:hint="default"/>
      </w:rPr>
    </w:lvl>
    <w:lvl w:ilvl="5" w:tplc="8B862812">
      <w:numFmt w:val="bullet"/>
      <w:lvlText w:val="•"/>
      <w:lvlJc w:val="left"/>
      <w:pPr>
        <w:ind w:left="868" w:hanging="100"/>
      </w:pPr>
      <w:rPr>
        <w:rFonts w:hint="default"/>
      </w:rPr>
    </w:lvl>
    <w:lvl w:ilvl="6" w:tplc="AB1614FA">
      <w:numFmt w:val="bullet"/>
      <w:lvlText w:val="•"/>
      <w:lvlJc w:val="left"/>
      <w:pPr>
        <w:ind w:left="1010" w:hanging="100"/>
      </w:pPr>
      <w:rPr>
        <w:rFonts w:hint="default"/>
      </w:rPr>
    </w:lvl>
    <w:lvl w:ilvl="7" w:tplc="2764930C">
      <w:numFmt w:val="bullet"/>
      <w:lvlText w:val="•"/>
      <w:lvlJc w:val="left"/>
      <w:pPr>
        <w:ind w:left="1151" w:hanging="100"/>
      </w:pPr>
      <w:rPr>
        <w:rFonts w:hint="default"/>
      </w:rPr>
    </w:lvl>
    <w:lvl w:ilvl="8" w:tplc="D444DA5E">
      <w:numFmt w:val="bullet"/>
      <w:lvlText w:val="•"/>
      <w:lvlJc w:val="left"/>
      <w:pPr>
        <w:ind w:left="1293" w:hanging="100"/>
      </w:pPr>
      <w:rPr>
        <w:rFonts w:hint="default"/>
      </w:rPr>
    </w:lvl>
  </w:abstractNum>
  <w:abstractNum w:abstractNumId="705" w15:restartNumberingAfterBreak="0">
    <w:nsid w:val="2CF62671"/>
    <w:multiLevelType w:val="hybridMultilevel"/>
    <w:tmpl w:val="E04AFE4E"/>
    <w:lvl w:ilvl="0" w:tplc="7BA04494">
      <w:numFmt w:val="bullet"/>
      <w:lvlText w:val=""/>
      <w:lvlJc w:val="left"/>
      <w:pPr>
        <w:ind w:left="157" w:hanging="100"/>
      </w:pPr>
      <w:rPr>
        <w:rFonts w:ascii="Symbol" w:eastAsia="Symbol" w:hAnsi="Symbol" w:cs="Symbol" w:hint="default"/>
        <w:color w:val="231F20"/>
        <w:w w:val="100"/>
        <w:sz w:val="14"/>
        <w:szCs w:val="14"/>
      </w:rPr>
    </w:lvl>
    <w:lvl w:ilvl="1" w:tplc="6FACB356">
      <w:numFmt w:val="bullet"/>
      <w:lvlText w:val="•"/>
      <w:lvlJc w:val="left"/>
      <w:pPr>
        <w:ind w:left="369" w:hanging="100"/>
      </w:pPr>
      <w:rPr>
        <w:rFonts w:hint="default"/>
      </w:rPr>
    </w:lvl>
    <w:lvl w:ilvl="2" w:tplc="95E87834">
      <w:numFmt w:val="bullet"/>
      <w:lvlText w:val="•"/>
      <w:lvlJc w:val="left"/>
      <w:pPr>
        <w:ind w:left="579" w:hanging="100"/>
      </w:pPr>
      <w:rPr>
        <w:rFonts w:hint="default"/>
      </w:rPr>
    </w:lvl>
    <w:lvl w:ilvl="3" w:tplc="EF148518">
      <w:numFmt w:val="bullet"/>
      <w:lvlText w:val="•"/>
      <w:lvlJc w:val="left"/>
      <w:pPr>
        <w:ind w:left="789" w:hanging="100"/>
      </w:pPr>
      <w:rPr>
        <w:rFonts w:hint="default"/>
      </w:rPr>
    </w:lvl>
    <w:lvl w:ilvl="4" w:tplc="7B1447B6">
      <w:numFmt w:val="bullet"/>
      <w:lvlText w:val="•"/>
      <w:lvlJc w:val="left"/>
      <w:pPr>
        <w:ind w:left="998" w:hanging="100"/>
      </w:pPr>
      <w:rPr>
        <w:rFonts w:hint="default"/>
      </w:rPr>
    </w:lvl>
    <w:lvl w:ilvl="5" w:tplc="82CE9348">
      <w:numFmt w:val="bullet"/>
      <w:lvlText w:val="•"/>
      <w:lvlJc w:val="left"/>
      <w:pPr>
        <w:ind w:left="1208" w:hanging="100"/>
      </w:pPr>
      <w:rPr>
        <w:rFonts w:hint="default"/>
      </w:rPr>
    </w:lvl>
    <w:lvl w:ilvl="6" w:tplc="D35ABD76">
      <w:numFmt w:val="bullet"/>
      <w:lvlText w:val="•"/>
      <w:lvlJc w:val="left"/>
      <w:pPr>
        <w:ind w:left="1418" w:hanging="100"/>
      </w:pPr>
      <w:rPr>
        <w:rFonts w:hint="default"/>
      </w:rPr>
    </w:lvl>
    <w:lvl w:ilvl="7" w:tplc="C778FCF6">
      <w:numFmt w:val="bullet"/>
      <w:lvlText w:val="•"/>
      <w:lvlJc w:val="left"/>
      <w:pPr>
        <w:ind w:left="1627" w:hanging="100"/>
      </w:pPr>
      <w:rPr>
        <w:rFonts w:hint="default"/>
      </w:rPr>
    </w:lvl>
    <w:lvl w:ilvl="8" w:tplc="0B04EF56">
      <w:numFmt w:val="bullet"/>
      <w:lvlText w:val="•"/>
      <w:lvlJc w:val="left"/>
      <w:pPr>
        <w:ind w:left="1837" w:hanging="100"/>
      </w:pPr>
      <w:rPr>
        <w:rFonts w:hint="default"/>
      </w:rPr>
    </w:lvl>
  </w:abstractNum>
  <w:abstractNum w:abstractNumId="706" w15:restartNumberingAfterBreak="0">
    <w:nsid w:val="2CFA2899"/>
    <w:multiLevelType w:val="hybridMultilevel"/>
    <w:tmpl w:val="7FFC5DA2"/>
    <w:lvl w:ilvl="0" w:tplc="8D941396">
      <w:numFmt w:val="bullet"/>
      <w:lvlText w:val=""/>
      <w:lvlJc w:val="left"/>
      <w:pPr>
        <w:ind w:left="157" w:hanging="100"/>
      </w:pPr>
      <w:rPr>
        <w:rFonts w:ascii="Symbol" w:eastAsia="Symbol" w:hAnsi="Symbol" w:cs="Symbol" w:hint="default"/>
        <w:color w:val="231F20"/>
        <w:w w:val="100"/>
        <w:sz w:val="14"/>
        <w:szCs w:val="14"/>
      </w:rPr>
    </w:lvl>
    <w:lvl w:ilvl="1" w:tplc="BF42F968">
      <w:numFmt w:val="bullet"/>
      <w:lvlText w:val="•"/>
      <w:lvlJc w:val="left"/>
      <w:pPr>
        <w:ind w:left="426" w:hanging="100"/>
      </w:pPr>
      <w:rPr>
        <w:rFonts w:hint="default"/>
      </w:rPr>
    </w:lvl>
    <w:lvl w:ilvl="2" w:tplc="9C002AE0">
      <w:numFmt w:val="bullet"/>
      <w:lvlText w:val="•"/>
      <w:lvlJc w:val="left"/>
      <w:pPr>
        <w:ind w:left="692" w:hanging="100"/>
      </w:pPr>
      <w:rPr>
        <w:rFonts w:hint="default"/>
      </w:rPr>
    </w:lvl>
    <w:lvl w:ilvl="3" w:tplc="3E9E7E4A">
      <w:numFmt w:val="bullet"/>
      <w:lvlText w:val="•"/>
      <w:lvlJc w:val="left"/>
      <w:pPr>
        <w:ind w:left="959" w:hanging="100"/>
      </w:pPr>
      <w:rPr>
        <w:rFonts w:hint="default"/>
      </w:rPr>
    </w:lvl>
    <w:lvl w:ilvl="4" w:tplc="6388E8D2">
      <w:numFmt w:val="bullet"/>
      <w:lvlText w:val="•"/>
      <w:lvlJc w:val="left"/>
      <w:pPr>
        <w:ind w:left="1225" w:hanging="100"/>
      </w:pPr>
      <w:rPr>
        <w:rFonts w:hint="default"/>
      </w:rPr>
    </w:lvl>
    <w:lvl w:ilvl="5" w:tplc="6534E11A">
      <w:numFmt w:val="bullet"/>
      <w:lvlText w:val="•"/>
      <w:lvlJc w:val="left"/>
      <w:pPr>
        <w:ind w:left="1492" w:hanging="100"/>
      </w:pPr>
      <w:rPr>
        <w:rFonts w:hint="default"/>
      </w:rPr>
    </w:lvl>
    <w:lvl w:ilvl="6" w:tplc="57FA6DDA">
      <w:numFmt w:val="bullet"/>
      <w:lvlText w:val="•"/>
      <w:lvlJc w:val="left"/>
      <w:pPr>
        <w:ind w:left="1758" w:hanging="100"/>
      </w:pPr>
      <w:rPr>
        <w:rFonts w:hint="default"/>
      </w:rPr>
    </w:lvl>
    <w:lvl w:ilvl="7" w:tplc="D47AC5B0">
      <w:numFmt w:val="bullet"/>
      <w:lvlText w:val="•"/>
      <w:lvlJc w:val="left"/>
      <w:pPr>
        <w:ind w:left="2024" w:hanging="100"/>
      </w:pPr>
      <w:rPr>
        <w:rFonts w:hint="default"/>
      </w:rPr>
    </w:lvl>
    <w:lvl w:ilvl="8" w:tplc="9EC43C80">
      <w:numFmt w:val="bullet"/>
      <w:lvlText w:val="•"/>
      <w:lvlJc w:val="left"/>
      <w:pPr>
        <w:ind w:left="2291" w:hanging="100"/>
      </w:pPr>
      <w:rPr>
        <w:rFonts w:hint="default"/>
      </w:rPr>
    </w:lvl>
  </w:abstractNum>
  <w:abstractNum w:abstractNumId="707" w15:restartNumberingAfterBreak="0">
    <w:nsid w:val="2CFF69E6"/>
    <w:multiLevelType w:val="hybridMultilevel"/>
    <w:tmpl w:val="F384AE68"/>
    <w:lvl w:ilvl="0" w:tplc="75E40E92">
      <w:numFmt w:val="bullet"/>
      <w:lvlText w:val=""/>
      <w:lvlJc w:val="left"/>
      <w:pPr>
        <w:ind w:left="156" w:hanging="100"/>
      </w:pPr>
      <w:rPr>
        <w:rFonts w:ascii="Symbol" w:eastAsia="Symbol" w:hAnsi="Symbol" w:cs="Symbol" w:hint="default"/>
        <w:color w:val="231F20"/>
        <w:w w:val="100"/>
        <w:sz w:val="14"/>
        <w:szCs w:val="14"/>
      </w:rPr>
    </w:lvl>
    <w:lvl w:ilvl="1" w:tplc="6AD4CAD0">
      <w:numFmt w:val="bullet"/>
      <w:lvlText w:val="•"/>
      <w:lvlJc w:val="left"/>
      <w:pPr>
        <w:ind w:left="426" w:hanging="100"/>
      </w:pPr>
      <w:rPr>
        <w:rFonts w:hint="default"/>
      </w:rPr>
    </w:lvl>
    <w:lvl w:ilvl="2" w:tplc="42B45806">
      <w:numFmt w:val="bullet"/>
      <w:lvlText w:val="•"/>
      <w:lvlJc w:val="left"/>
      <w:pPr>
        <w:ind w:left="692" w:hanging="100"/>
      </w:pPr>
      <w:rPr>
        <w:rFonts w:hint="default"/>
      </w:rPr>
    </w:lvl>
    <w:lvl w:ilvl="3" w:tplc="6CFA4616">
      <w:numFmt w:val="bullet"/>
      <w:lvlText w:val="•"/>
      <w:lvlJc w:val="left"/>
      <w:pPr>
        <w:ind w:left="959" w:hanging="100"/>
      </w:pPr>
      <w:rPr>
        <w:rFonts w:hint="default"/>
      </w:rPr>
    </w:lvl>
    <w:lvl w:ilvl="4" w:tplc="400C77C8">
      <w:numFmt w:val="bullet"/>
      <w:lvlText w:val="•"/>
      <w:lvlJc w:val="left"/>
      <w:pPr>
        <w:ind w:left="1225" w:hanging="100"/>
      </w:pPr>
      <w:rPr>
        <w:rFonts w:hint="default"/>
      </w:rPr>
    </w:lvl>
    <w:lvl w:ilvl="5" w:tplc="BC6614DC">
      <w:numFmt w:val="bullet"/>
      <w:lvlText w:val="•"/>
      <w:lvlJc w:val="left"/>
      <w:pPr>
        <w:ind w:left="1492" w:hanging="100"/>
      </w:pPr>
      <w:rPr>
        <w:rFonts w:hint="default"/>
      </w:rPr>
    </w:lvl>
    <w:lvl w:ilvl="6" w:tplc="A2122B86">
      <w:numFmt w:val="bullet"/>
      <w:lvlText w:val="•"/>
      <w:lvlJc w:val="left"/>
      <w:pPr>
        <w:ind w:left="1758" w:hanging="100"/>
      </w:pPr>
      <w:rPr>
        <w:rFonts w:hint="default"/>
      </w:rPr>
    </w:lvl>
    <w:lvl w:ilvl="7" w:tplc="071CFA3E">
      <w:numFmt w:val="bullet"/>
      <w:lvlText w:val="•"/>
      <w:lvlJc w:val="left"/>
      <w:pPr>
        <w:ind w:left="2024" w:hanging="100"/>
      </w:pPr>
      <w:rPr>
        <w:rFonts w:hint="default"/>
      </w:rPr>
    </w:lvl>
    <w:lvl w:ilvl="8" w:tplc="DE365460">
      <w:numFmt w:val="bullet"/>
      <w:lvlText w:val="•"/>
      <w:lvlJc w:val="left"/>
      <w:pPr>
        <w:ind w:left="2291" w:hanging="100"/>
      </w:pPr>
      <w:rPr>
        <w:rFonts w:hint="default"/>
      </w:rPr>
    </w:lvl>
  </w:abstractNum>
  <w:abstractNum w:abstractNumId="708" w15:restartNumberingAfterBreak="0">
    <w:nsid w:val="2D0B4BC9"/>
    <w:multiLevelType w:val="hybridMultilevel"/>
    <w:tmpl w:val="5FCEB858"/>
    <w:lvl w:ilvl="0" w:tplc="B7DAD4B6">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E6F0278E">
      <w:numFmt w:val="bullet"/>
      <w:lvlText w:val="•"/>
      <w:lvlJc w:val="left"/>
      <w:pPr>
        <w:ind w:left="1528" w:hanging="180"/>
      </w:pPr>
      <w:rPr>
        <w:rFonts w:hint="default"/>
      </w:rPr>
    </w:lvl>
    <w:lvl w:ilvl="2" w:tplc="E55C7F92">
      <w:numFmt w:val="bullet"/>
      <w:lvlText w:val="•"/>
      <w:lvlJc w:val="left"/>
      <w:pPr>
        <w:ind w:left="2557" w:hanging="180"/>
      </w:pPr>
      <w:rPr>
        <w:rFonts w:hint="default"/>
      </w:rPr>
    </w:lvl>
    <w:lvl w:ilvl="3" w:tplc="9A6A53A6">
      <w:numFmt w:val="bullet"/>
      <w:lvlText w:val="•"/>
      <w:lvlJc w:val="left"/>
      <w:pPr>
        <w:ind w:left="3585" w:hanging="180"/>
      </w:pPr>
      <w:rPr>
        <w:rFonts w:hint="default"/>
      </w:rPr>
    </w:lvl>
    <w:lvl w:ilvl="4" w:tplc="66067686">
      <w:numFmt w:val="bullet"/>
      <w:lvlText w:val="•"/>
      <w:lvlJc w:val="left"/>
      <w:pPr>
        <w:ind w:left="4614" w:hanging="180"/>
      </w:pPr>
      <w:rPr>
        <w:rFonts w:hint="default"/>
      </w:rPr>
    </w:lvl>
    <w:lvl w:ilvl="5" w:tplc="84B0D18A">
      <w:numFmt w:val="bullet"/>
      <w:lvlText w:val="•"/>
      <w:lvlJc w:val="left"/>
      <w:pPr>
        <w:ind w:left="5642" w:hanging="180"/>
      </w:pPr>
      <w:rPr>
        <w:rFonts w:hint="default"/>
      </w:rPr>
    </w:lvl>
    <w:lvl w:ilvl="6" w:tplc="15EEC552">
      <w:numFmt w:val="bullet"/>
      <w:lvlText w:val="•"/>
      <w:lvlJc w:val="left"/>
      <w:pPr>
        <w:ind w:left="6671" w:hanging="180"/>
      </w:pPr>
      <w:rPr>
        <w:rFonts w:hint="default"/>
      </w:rPr>
    </w:lvl>
    <w:lvl w:ilvl="7" w:tplc="905EEDC6">
      <w:numFmt w:val="bullet"/>
      <w:lvlText w:val="•"/>
      <w:lvlJc w:val="left"/>
      <w:pPr>
        <w:ind w:left="7699" w:hanging="180"/>
      </w:pPr>
      <w:rPr>
        <w:rFonts w:hint="default"/>
      </w:rPr>
    </w:lvl>
    <w:lvl w:ilvl="8" w:tplc="7E781F96">
      <w:numFmt w:val="bullet"/>
      <w:lvlText w:val="•"/>
      <w:lvlJc w:val="left"/>
      <w:pPr>
        <w:ind w:left="8728" w:hanging="180"/>
      </w:pPr>
      <w:rPr>
        <w:rFonts w:hint="default"/>
      </w:rPr>
    </w:lvl>
  </w:abstractNum>
  <w:abstractNum w:abstractNumId="709" w15:restartNumberingAfterBreak="0">
    <w:nsid w:val="2D1835AE"/>
    <w:multiLevelType w:val="hybridMultilevel"/>
    <w:tmpl w:val="4128F1DA"/>
    <w:lvl w:ilvl="0" w:tplc="F07C8594">
      <w:numFmt w:val="bullet"/>
      <w:lvlText w:val="–"/>
      <w:lvlJc w:val="left"/>
      <w:pPr>
        <w:ind w:left="162" w:hanging="105"/>
      </w:pPr>
      <w:rPr>
        <w:rFonts w:ascii="Times New Roman" w:eastAsia="Times New Roman" w:hAnsi="Times New Roman" w:cs="Times New Roman" w:hint="default"/>
        <w:color w:val="231F20"/>
        <w:spacing w:val="-11"/>
        <w:w w:val="100"/>
        <w:sz w:val="14"/>
        <w:szCs w:val="14"/>
      </w:rPr>
    </w:lvl>
    <w:lvl w:ilvl="1" w:tplc="EF68F5F8">
      <w:numFmt w:val="bullet"/>
      <w:lvlText w:val="•"/>
      <w:lvlJc w:val="left"/>
      <w:pPr>
        <w:ind w:left="426" w:hanging="105"/>
      </w:pPr>
      <w:rPr>
        <w:rFonts w:hint="default"/>
      </w:rPr>
    </w:lvl>
    <w:lvl w:ilvl="2" w:tplc="AF82955C">
      <w:numFmt w:val="bullet"/>
      <w:lvlText w:val="•"/>
      <w:lvlJc w:val="left"/>
      <w:pPr>
        <w:ind w:left="692" w:hanging="105"/>
      </w:pPr>
      <w:rPr>
        <w:rFonts w:hint="default"/>
      </w:rPr>
    </w:lvl>
    <w:lvl w:ilvl="3" w:tplc="8CF03B32">
      <w:numFmt w:val="bullet"/>
      <w:lvlText w:val="•"/>
      <w:lvlJc w:val="left"/>
      <w:pPr>
        <w:ind w:left="959" w:hanging="105"/>
      </w:pPr>
      <w:rPr>
        <w:rFonts w:hint="default"/>
      </w:rPr>
    </w:lvl>
    <w:lvl w:ilvl="4" w:tplc="6E4E0414">
      <w:numFmt w:val="bullet"/>
      <w:lvlText w:val="•"/>
      <w:lvlJc w:val="left"/>
      <w:pPr>
        <w:ind w:left="1225" w:hanging="105"/>
      </w:pPr>
      <w:rPr>
        <w:rFonts w:hint="default"/>
      </w:rPr>
    </w:lvl>
    <w:lvl w:ilvl="5" w:tplc="C8E6B1F6">
      <w:numFmt w:val="bullet"/>
      <w:lvlText w:val="•"/>
      <w:lvlJc w:val="left"/>
      <w:pPr>
        <w:ind w:left="1492" w:hanging="105"/>
      </w:pPr>
      <w:rPr>
        <w:rFonts w:hint="default"/>
      </w:rPr>
    </w:lvl>
    <w:lvl w:ilvl="6" w:tplc="B094A1CC">
      <w:numFmt w:val="bullet"/>
      <w:lvlText w:val="•"/>
      <w:lvlJc w:val="left"/>
      <w:pPr>
        <w:ind w:left="1758" w:hanging="105"/>
      </w:pPr>
      <w:rPr>
        <w:rFonts w:hint="default"/>
      </w:rPr>
    </w:lvl>
    <w:lvl w:ilvl="7" w:tplc="B8922F8A">
      <w:numFmt w:val="bullet"/>
      <w:lvlText w:val="•"/>
      <w:lvlJc w:val="left"/>
      <w:pPr>
        <w:ind w:left="2024" w:hanging="105"/>
      </w:pPr>
      <w:rPr>
        <w:rFonts w:hint="default"/>
      </w:rPr>
    </w:lvl>
    <w:lvl w:ilvl="8" w:tplc="39C49F96">
      <w:numFmt w:val="bullet"/>
      <w:lvlText w:val="•"/>
      <w:lvlJc w:val="left"/>
      <w:pPr>
        <w:ind w:left="2291" w:hanging="105"/>
      </w:pPr>
      <w:rPr>
        <w:rFonts w:hint="default"/>
      </w:rPr>
    </w:lvl>
  </w:abstractNum>
  <w:abstractNum w:abstractNumId="710" w15:restartNumberingAfterBreak="0">
    <w:nsid w:val="2D1944DF"/>
    <w:multiLevelType w:val="hybridMultilevel"/>
    <w:tmpl w:val="D826C8D8"/>
    <w:lvl w:ilvl="0" w:tplc="BFAE26A6">
      <w:numFmt w:val="bullet"/>
      <w:lvlText w:val=""/>
      <w:lvlJc w:val="left"/>
      <w:pPr>
        <w:ind w:left="156" w:hanging="100"/>
      </w:pPr>
      <w:rPr>
        <w:rFonts w:ascii="Symbol" w:eastAsia="Symbol" w:hAnsi="Symbol" w:cs="Symbol" w:hint="default"/>
        <w:color w:val="231F20"/>
        <w:w w:val="100"/>
        <w:sz w:val="14"/>
        <w:szCs w:val="14"/>
      </w:rPr>
    </w:lvl>
    <w:lvl w:ilvl="1" w:tplc="F4504BB8">
      <w:numFmt w:val="bullet"/>
      <w:lvlText w:val="•"/>
      <w:lvlJc w:val="left"/>
      <w:pPr>
        <w:ind w:left="301" w:hanging="100"/>
      </w:pPr>
      <w:rPr>
        <w:rFonts w:hint="default"/>
      </w:rPr>
    </w:lvl>
    <w:lvl w:ilvl="2" w:tplc="37146E00">
      <w:numFmt w:val="bullet"/>
      <w:lvlText w:val="•"/>
      <w:lvlJc w:val="left"/>
      <w:pPr>
        <w:ind w:left="443" w:hanging="100"/>
      </w:pPr>
      <w:rPr>
        <w:rFonts w:hint="default"/>
      </w:rPr>
    </w:lvl>
    <w:lvl w:ilvl="3" w:tplc="6936BE5C">
      <w:numFmt w:val="bullet"/>
      <w:lvlText w:val="•"/>
      <w:lvlJc w:val="left"/>
      <w:pPr>
        <w:ind w:left="585" w:hanging="100"/>
      </w:pPr>
      <w:rPr>
        <w:rFonts w:hint="default"/>
      </w:rPr>
    </w:lvl>
    <w:lvl w:ilvl="4" w:tplc="72E8AC88">
      <w:numFmt w:val="bullet"/>
      <w:lvlText w:val="•"/>
      <w:lvlJc w:val="left"/>
      <w:pPr>
        <w:ind w:left="726" w:hanging="100"/>
      </w:pPr>
      <w:rPr>
        <w:rFonts w:hint="default"/>
      </w:rPr>
    </w:lvl>
    <w:lvl w:ilvl="5" w:tplc="797C29CA">
      <w:numFmt w:val="bullet"/>
      <w:lvlText w:val="•"/>
      <w:lvlJc w:val="left"/>
      <w:pPr>
        <w:ind w:left="868" w:hanging="100"/>
      </w:pPr>
      <w:rPr>
        <w:rFonts w:hint="default"/>
      </w:rPr>
    </w:lvl>
    <w:lvl w:ilvl="6" w:tplc="8C2CFE30">
      <w:numFmt w:val="bullet"/>
      <w:lvlText w:val="•"/>
      <w:lvlJc w:val="left"/>
      <w:pPr>
        <w:ind w:left="1010" w:hanging="100"/>
      </w:pPr>
      <w:rPr>
        <w:rFonts w:hint="default"/>
      </w:rPr>
    </w:lvl>
    <w:lvl w:ilvl="7" w:tplc="1D2A4E6C">
      <w:numFmt w:val="bullet"/>
      <w:lvlText w:val="•"/>
      <w:lvlJc w:val="left"/>
      <w:pPr>
        <w:ind w:left="1151" w:hanging="100"/>
      </w:pPr>
      <w:rPr>
        <w:rFonts w:hint="default"/>
      </w:rPr>
    </w:lvl>
    <w:lvl w:ilvl="8" w:tplc="D33057CE">
      <w:numFmt w:val="bullet"/>
      <w:lvlText w:val="•"/>
      <w:lvlJc w:val="left"/>
      <w:pPr>
        <w:ind w:left="1293" w:hanging="100"/>
      </w:pPr>
      <w:rPr>
        <w:rFonts w:hint="default"/>
      </w:rPr>
    </w:lvl>
  </w:abstractNum>
  <w:abstractNum w:abstractNumId="711" w15:restartNumberingAfterBreak="0">
    <w:nsid w:val="2D221ABC"/>
    <w:multiLevelType w:val="hybridMultilevel"/>
    <w:tmpl w:val="C9485112"/>
    <w:lvl w:ilvl="0" w:tplc="6EAC2B72">
      <w:numFmt w:val="bullet"/>
      <w:lvlText w:val=""/>
      <w:lvlJc w:val="left"/>
      <w:pPr>
        <w:ind w:left="156" w:hanging="100"/>
      </w:pPr>
      <w:rPr>
        <w:rFonts w:ascii="Symbol" w:eastAsia="Symbol" w:hAnsi="Symbol" w:cs="Symbol" w:hint="default"/>
        <w:color w:val="231F20"/>
        <w:w w:val="100"/>
        <w:sz w:val="14"/>
        <w:szCs w:val="14"/>
      </w:rPr>
    </w:lvl>
    <w:lvl w:ilvl="1" w:tplc="1A10210A">
      <w:numFmt w:val="bullet"/>
      <w:lvlText w:val="•"/>
      <w:lvlJc w:val="left"/>
      <w:pPr>
        <w:ind w:left="273" w:hanging="100"/>
      </w:pPr>
      <w:rPr>
        <w:rFonts w:hint="default"/>
      </w:rPr>
    </w:lvl>
    <w:lvl w:ilvl="2" w:tplc="F7C83C14">
      <w:numFmt w:val="bullet"/>
      <w:lvlText w:val="•"/>
      <w:lvlJc w:val="left"/>
      <w:pPr>
        <w:ind w:left="386" w:hanging="100"/>
      </w:pPr>
      <w:rPr>
        <w:rFonts w:hint="default"/>
      </w:rPr>
    </w:lvl>
    <w:lvl w:ilvl="3" w:tplc="1792893A">
      <w:numFmt w:val="bullet"/>
      <w:lvlText w:val="•"/>
      <w:lvlJc w:val="left"/>
      <w:pPr>
        <w:ind w:left="500" w:hanging="100"/>
      </w:pPr>
      <w:rPr>
        <w:rFonts w:hint="default"/>
      </w:rPr>
    </w:lvl>
    <w:lvl w:ilvl="4" w:tplc="110AEE70">
      <w:numFmt w:val="bullet"/>
      <w:lvlText w:val="•"/>
      <w:lvlJc w:val="left"/>
      <w:pPr>
        <w:ind w:left="613" w:hanging="100"/>
      </w:pPr>
      <w:rPr>
        <w:rFonts w:hint="default"/>
      </w:rPr>
    </w:lvl>
    <w:lvl w:ilvl="5" w:tplc="D684422E">
      <w:numFmt w:val="bullet"/>
      <w:lvlText w:val="•"/>
      <w:lvlJc w:val="left"/>
      <w:pPr>
        <w:ind w:left="727" w:hanging="100"/>
      </w:pPr>
      <w:rPr>
        <w:rFonts w:hint="default"/>
      </w:rPr>
    </w:lvl>
    <w:lvl w:ilvl="6" w:tplc="6AC47A6A">
      <w:numFmt w:val="bullet"/>
      <w:lvlText w:val="•"/>
      <w:lvlJc w:val="left"/>
      <w:pPr>
        <w:ind w:left="840" w:hanging="100"/>
      </w:pPr>
      <w:rPr>
        <w:rFonts w:hint="default"/>
      </w:rPr>
    </w:lvl>
    <w:lvl w:ilvl="7" w:tplc="B600CC2E">
      <w:numFmt w:val="bullet"/>
      <w:lvlText w:val="•"/>
      <w:lvlJc w:val="left"/>
      <w:pPr>
        <w:ind w:left="953" w:hanging="100"/>
      </w:pPr>
      <w:rPr>
        <w:rFonts w:hint="default"/>
      </w:rPr>
    </w:lvl>
    <w:lvl w:ilvl="8" w:tplc="74B4A3DA">
      <w:numFmt w:val="bullet"/>
      <w:lvlText w:val="•"/>
      <w:lvlJc w:val="left"/>
      <w:pPr>
        <w:ind w:left="1067" w:hanging="100"/>
      </w:pPr>
      <w:rPr>
        <w:rFonts w:hint="default"/>
      </w:rPr>
    </w:lvl>
  </w:abstractNum>
  <w:abstractNum w:abstractNumId="712" w15:restartNumberingAfterBreak="0">
    <w:nsid w:val="2D6247A4"/>
    <w:multiLevelType w:val="hybridMultilevel"/>
    <w:tmpl w:val="45984AFC"/>
    <w:lvl w:ilvl="0" w:tplc="13EC9716">
      <w:numFmt w:val="bullet"/>
      <w:lvlText w:val=""/>
      <w:lvlJc w:val="left"/>
      <w:pPr>
        <w:ind w:left="156" w:hanging="100"/>
      </w:pPr>
      <w:rPr>
        <w:rFonts w:ascii="Symbol" w:eastAsia="Symbol" w:hAnsi="Symbol" w:cs="Symbol" w:hint="default"/>
        <w:color w:val="231F20"/>
        <w:w w:val="100"/>
        <w:sz w:val="14"/>
        <w:szCs w:val="14"/>
      </w:rPr>
    </w:lvl>
    <w:lvl w:ilvl="1" w:tplc="B4026050">
      <w:numFmt w:val="bullet"/>
      <w:lvlText w:val="•"/>
      <w:lvlJc w:val="left"/>
      <w:pPr>
        <w:ind w:left="398" w:hanging="100"/>
      </w:pPr>
      <w:rPr>
        <w:rFonts w:hint="default"/>
      </w:rPr>
    </w:lvl>
    <w:lvl w:ilvl="2" w:tplc="34503EAC">
      <w:numFmt w:val="bullet"/>
      <w:lvlText w:val="•"/>
      <w:lvlJc w:val="left"/>
      <w:pPr>
        <w:ind w:left="636" w:hanging="100"/>
      </w:pPr>
      <w:rPr>
        <w:rFonts w:hint="default"/>
      </w:rPr>
    </w:lvl>
    <w:lvl w:ilvl="3" w:tplc="9B9664A2">
      <w:numFmt w:val="bullet"/>
      <w:lvlText w:val="•"/>
      <w:lvlJc w:val="left"/>
      <w:pPr>
        <w:ind w:left="874" w:hanging="100"/>
      </w:pPr>
      <w:rPr>
        <w:rFonts w:hint="default"/>
      </w:rPr>
    </w:lvl>
    <w:lvl w:ilvl="4" w:tplc="1660A0DA">
      <w:numFmt w:val="bullet"/>
      <w:lvlText w:val="•"/>
      <w:lvlJc w:val="left"/>
      <w:pPr>
        <w:ind w:left="1112" w:hanging="100"/>
      </w:pPr>
      <w:rPr>
        <w:rFonts w:hint="default"/>
      </w:rPr>
    </w:lvl>
    <w:lvl w:ilvl="5" w:tplc="36B65D96">
      <w:numFmt w:val="bullet"/>
      <w:lvlText w:val="•"/>
      <w:lvlJc w:val="left"/>
      <w:pPr>
        <w:ind w:left="1350" w:hanging="100"/>
      </w:pPr>
      <w:rPr>
        <w:rFonts w:hint="default"/>
      </w:rPr>
    </w:lvl>
    <w:lvl w:ilvl="6" w:tplc="B0A06C58">
      <w:numFmt w:val="bullet"/>
      <w:lvlText w:val="•"/>
      <w:lvlJc w:val="left"/>
      <w:pPr>
        <w:ind w:left="1588" w:hanging="100"/>
      </w:pPr>
      <w:rPr>
        <w:rFonts w:hint="default"/>
      </w:rPr>
    </w:lvl>
    <w:lvl w:ilvl="7" w:tplc="EDFA1EC0">
      <w:numFmt w:val="bullet"/>
      <w:lvlText w:val="•"/>
      <w:lvlJc w:val="left"/>
      <w:pPr>
        <w:ind w:left="1826" w:hanging="100"/>
      </w:pPr>
      <w:rPr>
        <w:rFonts w:hint="default"/>
      </w:rPr>
    </w:lvl>
    <w:lvl w:ilvl="8" w:tplc="0F6E436C">
      <w:numFmt w:val="bullet"/>
      <w:lvlText w:val="•"/>
      <w:lvlJc w:val="left"/>
      <w:pPr>
        <w:ind w:left="2064" w:hanging="100"/>
      </w:pPr>
      <w:rPr>
        <w:rFonts w:hint="default"/>
      </w:rPr>
    </w:lvl>
  </w:abstractNum>
  <w:abstractNum w:abstractNumId="713" w15:restartNumberingAfterBreak="0">
    <w:nsid w:val="2D637A8D"/>
    <w:multiLevelType w:val="hybridMultilevel"/>
    <w:tmpl w:val="7466F162"/>
    <w:lvl w:ilvl="0" w:tplc="C22EDC72">
      <w:numFmt w:val="bullet"/>
      <w:lvlText w:val=""/>
      <w:lvlJc w:val="left"/>
      <w:pPr>
        <w:ind w:left="156" w:hanging="100"/>
      </w:pPr>
      <w:rPr>
        <w:rFonts w:ascii="Symbol" w:eastAsia="Symbol" w:hAnsi="Symbol" w:cs="Symbol" w:hint="default"/>
        <w:color w:val="231F20"/>
        <w:w w:val="100"/>
        <w:sz w:val="14"/>
        <w:szCs w:val="14"/>
      </w:rPr>
    </w:lvl>
    <w:lvl w:ilvl="1" w:tplc="B076342C">
      <w:numFmt w:val="bullet"/>
      <w:lvlText w:val="•"/>
      <w:lvlJc w:val="left"/>
      <w:pPr>
        <w:ind w:left="426" w:hanging="100"/>
      </w:pPr>
      <w:rPr>
        <w:rFonts w:hint="default"/>
      </w:rPr>
    </w:lvl>
    <w:lvl w:ilvl="2" w:tplc="FBFA4CD2">
      <w:numFmt w:val="bullet"/>
      <w:lvlText w:val="•"/>
      <w:lvlJc w:val="left"/>
      <w:pPr>
        <w:ind w:left="692" w:hanging="100"/>
      </w:pPr>
      <w:rPr>
        <w:rFonts w:hint="default"/>
      </w:rPr>
    </w:lvl>
    <w:lvl w:ilvl="3" w:tplc="82BAAE9A">
      <w:numFmt w:val="bullet"/>
      <w:lvlText w:val="•"/>
      <w:lvlJc w:val="left"/>
      <w:pPr>
        <w:ind w:left="959" w:hanging="100"/>
      </w:pPr>
      <w:rPr>
        <w:rFonts w:hint="default"/>
      </w:rPr>
    </w:lvl>
    <w:lvl w:ilvl="4" w:tplc="D284C000">
      <w:numFmt w:val="bullet"/>
      <w:lvlText w:val="•"/>
      <w:lvlJc w:val="left"/>
      <w:pPr>
        <w:ind w:left="1225" w:hanging="100"/>
      </w:pPr>
      <w:rPr>
        <w:rFonts w:hint="default"/>
      </w:rPr>
    </w:lvl>
    <w:lvl w:ilvl="5" w:tplc="3416BD58">
      <w:numFmt w:val="bullet"/>
      <w:lvlText w:val="•"/>
      <w:lvlJc w:val="left"/>
      <w:pPr>
        <w:ind w:left="1492" w:hanging="100"/>
      </w:pPr>
      <w:rPr>
        <w:rFonts w:hint="default"/>
      </w:rPr>
    </w:lvl>
    <w:lvl w:ilvl="6" w:tplc="5086AF24">
      <w:numFmt w:val="bullet"/>
      <w:lvlText w:val="•"/>
      <w:lvlJc w:val="left"/>
      <w:pPr>
        <w:ind w:left="1758" w:hanging="100"/>
      </w:pPr>
      <w:rPr>
        <w:rFonts w:hint="default"/>
      </w:rPr>
    </w:lvl>
    <w:lvl w:ilvl="7" w:tplc="93EE798A">
      <w:numFmt w:val="bullet"/>
      <w:lvlText w:val="•"/>
      <w:lvlJc w:val="left"/>
      <w:pPr>
        <w:ind w:left="2024" w:hanging="100"/>
      </w:pPr>
      <w:rPr>
        <w:rFonts w:hint="default"/>
      </w:rPr>
    </w:lvl>
    <w:lvl w:ilvl="8" w:tplc="1C680DBA">
      <w:numFmt w:val="bullet"/>
      <w:lvlText w:val="•"/>
      <w:lvlJc w:val="left"/>
      <w:pPr>
        <w:ind w:left="2291" w:hanging="100"/>
      </w:pPr>
      <w:rPr>
        <w:rFonts w:hint="default"/>
      </w:rPr>
    </w:lvl>
  </w:abstractNum>
  <w:abstractNum w:abstractNumId="714" w15:restartNumberingAfterBreak="0">
    <w:nsid w:val="2D7527B0"/>
    <w:multiLevelType w:val="hybridMultilevel"/>
    <w:tmpl w:val="9C2EF63E"/>
    <w:lvl w:ilvl="0" w:tplc="466AC0F2">
      <w:numFmt w:val="bullet"/>
      <w:lvlText w:val=""/>
      <w:lvlJc w:val="left"/>
      <w:pPr>
        <w:ind w:left="157" w:hanging="100"/>
      </w:pPr>
      <w:rPr>
        <w:rFonts w:ascii="Symbol" w:eastAsia="Symbol" w:hAnsi="Symbol" w:cs="Symbol" w:hint="default"/>
        <w:color w:val="231F20"/>
        <w:w w:val="100"/>
        <w:sz w:val="14"/>
        <w:szCs w:val="14"/>
      </w:rPr>
    </w:lvl>
    <w:lvl w:ilvl="1" w:tplc="8CBC9DE8">
      <w:numFmt w:val="bullet"/>
      <w:lvlText w:val="•"/>
      <w:lvlJc w:val="left"/>
      <w:pPr>
        <w:ind w:left="426" w:hanging="100"/>
      </w:pPr>
      <w:rPr>
        <w:rFonts w:hint="default"/>
      </w:rPr>
    </w:lvl>
    <w:lvl w:ilvl="2" w:tplc="3CFE2768">
      <w:numFmt w:val="bullet"/>
      <w:lvlText w:val="•"/>
      <w:lvlJc w:val="left"/>
      <w:pPr>
        <w:ind w:left="692" w:hanging="100"/>
      </w:pPr>
      <w:rPr>
        <w:rFonts w:hint="default"/>
      </w:rPr>
    </w:lvl>
    <w:lvl w:ilvl="3" w:tplc="1F2E76E4">
      <w:numFmt w:val="bullet"/>
      <w:lvlText w:val="•"/>
      <w:lvlJc w:val="left"/>
      <w:pPr>
        <w:ind w:left="959" w:hanging="100"/>
      </w:pPr>
      <w:rPr>
        <w:rFonts w:hint="default"/>
      </w:rPr>
    </w:lvl>
    <w:lvl w:ilvl="4" w:tplc="8ADCACD4">
      <w:numFmt w:val="bullet"/>
      <w:lvlText w:val="•"/>
      <w:lvlJc w:val="left"/>
      <w:pPr>
        <w:ind w:left="1225" w:hanging="100"/>
      </w:pPr>
      <w:rPr>
        <w:rFonts w:hint="default"/>
      </w:rPr>
    </w:lvl>
    <w:lvl w:ilvl="5" w:tplc="C01EDE44">
      <w:numFmt w:val="bullet"/>
      <w:lvlText w:val="•"/>
      <w:lvlJc w:val="left"/>
      <w:pPr>
        <w:ind w:left="1492" w:hanging="100"/>
      </w:pPr>
      <w:rPr>
        <w:rFonts w:hint="default"/>
      </w:rPr>
    </w:lvl>
    <w:lvl w:ilvl="6" w:tplc="8CE236D6">
      <w:numFmt w:val="bullet"/>
      <w:lvlText w:val="•"/>
      <w:lvlJc w:val="left"/>
      <w:pPr>
        <w:ind w:left="1758" w:hanging="100"/>
      </w:pPr>
      <w:rPr>
        <w:rFonts w:hint="default"/>
      </w:rPr>
    </w:lvl>
    <w:lvl w:ilvl="7" w:tplc="2D52EE76">
      <w:numFmt w:val="bullet"/>
      <w:lvlText w:val="•"/>
      <w:lvlJc w:val="left"/>
      <w:pPr>
        <w:ind w:left="2024" w:hanging="100"/>
      </w:pPr>
      <w:rPr>
        <w:rFonts w:hint="default"/>
      </w:rPr>
    </w:lvl>
    <w:lvl w:ilvl="8" w:tplc="D75A218C">
      <w:numFmt w:val="bullet"/>
      <w:lvlText w:val="•"/>
      <w:lvlJc w:val="left"/>
      <w:pPr>
        <w:ind w:left="2291" w:hanging="100"/>
      </w:pPr>
      <w:rPr>
        <w:rFonts w:hint="default"/>
      </w:rPr>
    </w:lvl>
  </w:abstractNum>
  <w:abstractNum w:abstractNumId="715" w15:restartNumberingAfterBreak="0">
    <w:nsid w:val="2D777366"/>
    <w:multiLevelType w:val="hybridMultilevel"/>
    <w:tmpl w:val="9E42EE34"/>
    <w:lvl w:ilvl="0" w:tplc="D76AAB92">
      <w:numFmt w:val="bullet"/>
      <w:lvlText w:val=""/>
      <w:lvlJc w:val="left"/>
      <w:pPr>
        <w:ind w:left="156" w:hanging="100"/>
      </w:pPr>
      <w:rPr>
        <w:rFonts w:ascii="Symbol" w:eastAsia="Symbol" w:hAnsi="Symbol" w:cs="Symbol" w:hint="default"/>
        <w:color w:val="231F20"/>
        <w:w w:val="100"/>
        <w:sz w:val="14"/>
        <w:szCs w:val="14"/>
      </w:rPr>
    </w:lvl>
    <w:lvl w:ilvl="1" w:tplc="87147106">
      <w:numFmt w:val="bullet"/>
      <w:lvlText w:val="•"/>
      <w:lvlJc w:val="left"/>
      <w:pPr>
        <w:ind w:left="301" w:hanging="100"/>
      </w:pPr>
      <w:rPr>
        <w:rFonts w:hint="default"/>
      </w:rPr>
    </w:lvl>
    <w:lvl w:ilvl="2" w:tplc="85DCB160">
      <w:numFmt w:val="bullet"/>
      <w:lvlText w:val="•"/>
      <w:lvlJc w:val="left"/>
      <w:pPr>
        <w:ind w:left="443" w:hanging="100"/>
      </w:pPr>
      <w:rPr>
        <w:rFonts w:hint="default"/>
      </w:rPr>
    </w:lvl>
    <w:lvl w:ilvl="3" w:tplc="40EE65C2">
      <w:numFmt w:val="bullet"/>
      <w:lvlText w:val="•"/>
      <w:lvlJc w:val="left"/>
      <w:pPr>
        <w:ind w:left="585" w:hanging="100"/>
      </w:pPr>
      <w:rPr>
        <w:rFonts w:hint="default"/>
      </w:rPr>
    </w:lvl>
    <w:lvl w:ilvl="4" w:tplc="2160CBD4">
      <w:numFmt w:val="bullet"/>
      <w:lvlText w:val="•"/>
      <w:lvlJc w:val="left"/>
      <w:pPr>
        <w:ind w:left="726" w:hanging="100"/>
      </w:pPr>
      <w:rPr>
        <w:rFonts w:hint="default"/>
      </w:rPr>
    </w:lvl>
    <w:lvl w:ilvl="5" w:tplc="27EAAA46">
      <w:numFmt w:val="bullet"/>
      <w:lvlText w:val="•"/>
      <w:lvlJc w:val="left"/>
      <w:pPr>
        <w:ind w:left="868" w:hanging="100"/>
      </w:pPr>
      <w:rPr>
        <w:rFonts w:hint="default"/>
      </w:rPr>
    </w:lvl>
    <w:lvl w:ilvl="6" w:tplc="D272DFB8">
      <w:numFmt w:val="bullet"/>
      <w:lvlText w:val="•"/>
      <w:lvlJc w:val="left"/>
      <w:pPr>
        <w:ind w:left="1010" w:hanging="100"/>
      </w:pPr>
      <w:rPr>
        <w:rFonts w:hint="default"/>
      </w:rPr>
    </w:lvl>
    <w:lvl w:ilvl="7" w:tplc="39BEB1F0">
      <w:numFmt w:val="bullet"/>
      <w:lvlText w:val="•"/>
      <w:lvlJc w:val="left"/>
      <w:pPr>
        <w:ind w:left="1151" w:hanging="100"/>
      </w:pPr>
      <w:rPr>
        <w:rFonts w:hint="default"/>
      </w:rPr>
    </w:lvl>
    <w:lvl w:ilvl="8" w:tplc="D8388C26">
      <w:numFmt w:val="bullet"/>
      <w:lvlText w:val="•"/>
      <w:lvlJc w:val="left"/>
      <w:pPr>
        <w:ind w:left="1293" w:hanging="100"/>
      </w:pPr>
      <w:rPr>
        <w:rFonts w:hint="default"/>
      </w:rPr>
    </w:lvl>
  </w:abstractNum>
  <w:abstractNum w:abstractNumId="716" w15:restartNumberingAfterBreak="0">
    <w:nsid w:val="2D7802FE"/>
    <w:multiLevelType w:val="hybridMultilevel"/>
    <w:tmpl w:val="DC3A2886"/>
    <w:lvl w:ilvl="0" w:tplc="FF24C10C">
      <w:numFmt w:val="bullet"/>
      <w:lvlText w:val=""/>
      <w:lvlJc w:val="left"/>
      <w:pPr>
        <w:ind w:left="156" w:hanging="100"/>
      </w:pPr>
      <w:rPr>
        <w:rFonts w:ascii="Symbol" w:eastAsia="Symbol" w:hAnsi="Symbol" w:cs="Symbol" w:hint="default"/>
        <w:color w:val="231F20"/>
        <w:w w:val="100"/>
        <w:sz w:val="14"/>
        <w:szCs w:val="14"/>
      </w:rPr>
    </w:lvl>
    <w:lvl w:ilvl="1" w:tplc="7CDC72BC">
      <w:numFmt w:val="bullet"/>
      <w:lvlText w:val="•"/>
      <w:lvlJc w:val="left"/>
      <w:pPr>
        <w:ind w:left="398" w:hanging="100"/>
      </w:pPr>
      <w:rPr>
        <w:rFonts w:hint="default"/>
      </w:rPr>
    </w:lvl>
    <w:lvl w:ilvl="2" w:tplc="F796F316">
      <w:numFmt w:val="bullet"/>
      <w:lvlText w:val="•"/>
      <w:lvlJc w:val="left"/>
      <w:pPr>
        <w:ind w:left="636" w:hanging="100"/>
      </w:pPr>
      <w:rPr>
        <w:rFonts w:hint="default"/>
      </w:rPr>
    </w:lvl>
    <w:lvl w:ilvl="3" w:tplc="3D240C56">
      <w:numFmt w:val="bullet"/>
      <w:lvlText w:val="•"/>
      <w:lvlJc w:val="left"/>
      <w:pPr>
        <w:ind w:left="874" w:hanging="100"/>
      </w:pPr>
      <w:rPr>
        <w:rFonts w:hint="default"/>
      </w:rPr>
    </w:lvl>
    <w:lvl w:ilvl="4" w:tplc="799A769C">
      <w:numFmt w:val="bullet"/>
      <w:lvlText w:val="•"/>
      <w:lvlJc w:val="left"/>
      <w:pPr>
        <w:ind w:left="1112" w:hanging="100"/>
      </w:pPr>
      <w:rPr>
        <w:rFonts w:hint="default"/>
      </w:rPr>
    </w:lvl>
    <w:lvl w:ilvl="5" w:tplc="B3B6DCD6">
      <w:numFmt w:val="bullet"/>
      <w:lvlText w:val="•"/>
      <w:lvlJc w:val="left"/>
      <w:pPr>
        <w:ind w:left="1350" w:hanging="100"/>
      </w:pPr>
      <w:rPr>
        <w:rFonts w:hint="default"/>
      </w:rPr>
    </w:lvl>
    <w:lvl w:ilvl="6" w:tplc="C20857C4">
      <w:numFmt w:val="bullet"/>
      <w:lvlText w:val="•"/>
      <w:lvlJc w:val="left"/>
      <w:pPr>
        <w:ind w:left="1588" w:hanging="100"/>
      </w:pPr>
      <w:rPr>
        <w:rFonts w:hint="default"/>
      </w:rPr>
    </w:lvl>
    <w:lvl w:ilvl="7" w:tplc="56709D10">
      <w:numFmt w:val="bullet"/>
      <w:lvlText w:val="•"/>
      <w:lvlJc w:val="left"/>
      <w:pPr>
        <w:ind w:left="1826" w:hanging="100"/>
      </w:pPr>
      <w:rPr>
        <w:rFonts w:hint="default"/>
      </w:rPr>
    </w:lvl>
    <w:lvl w:ilvl="8" w:tplc="F0C695AC">
      <w:numFmt w:val="bullet"/>
      <w:lvlText w:val="•"/>
      <w:lvlJc w:val="left"/>
      <w:pPr>
        <w:ind w:left="2064" w:hanging="100"/>
      </w:pPr>
      <w:rPr>
        <w:rFonts w:hint="default"/>
      </w:rPr>
    </w:lvl>
  </w:abstractNum>
  <w:abstractNum w:abstractNumId="717" w15:restartNumberingAfterBreak="0">
    <w:nsid w:val="2D7A4FCB"/>
    <w:multiLevelType w:val="hybridMultilevel"/>
    <w:tmpl w:val="EC946C02"/>
    <w:lvl w:ilvl="0" w:tplc="E610AACE">
      <w:numFmt w:val="bullet"/>
      <w:lvlText w:val=""/>
      <w:lvlJc w:val="left"/>
      <w:pPr>
        <w:ind w:left="156" w:hanging="100"/>
      </w:pPr>
      <w:rPr>
        <w:rFonts w:ascii="Symbol" w:eastAsia="Symbol" w:hAnsi="Symbol" w:cs="Symbol" w:hint="default"/>
        <w:color w:val="231F20"/>
        <w:w w:val="100"/>
        <w:sz w:val="14"/>
        <w:szCs w:val="14"/>
      </w:rPr>
    </w:lvl>
    <w:lvl w:ilvl="1" w:tplc="119E32D8">
      <w:numFmt w:val="bullet"/>
      <w:lvlText w:val="•"/>
      <w:lvlJc w:val="left"/>
      <w:pPr>
        <w:ind w:left="301" w:hanging="100"/>
      </w:pPr>
      <w:rPr>
        <w:rFonts w:hint="default"/>
      </w:rPr>
    </w:lvl>
    <w:lvl w:ilvl="2" w:tplc="DC7064CE">
      <w:numFmt w:val="bullet"/>
      <w:lvlText w:val="•"/>
      <w:lvlJc w:val="left"/>
      <w:pPr>
        <w:ind w:left="443" w:hanging="100"/>
      </w:pPr>
      <w:rPr>
        <w:rFonts w:hint="default"/>
      </w:rPr>
    </w:lvl>
    <w:lvl w:ilvl="3" w:tplc="99E0993E">
      <w:numFmt w:val="bullet"/>
      <w:lvlText w:val="•"/>
      <w:lvlJc w:val="left"/>
      <w:pPr>
        <w:ind w:left="585" w:hanging="100"/>
      </w:pPr>
      <w:rPr>
        <w:rFonts w:hint="default"/>
      </w:rPr>
    </w:lvl>
    <w:lvl w:ilvl="4" w:tplc="4484D014">
      <w:numFmt w:val="bullet"/>
      <w:lvlText w:val="•"/>
      <w:lvlJc w:val="left"/>
      <w:pPr>
        <w:ind w:left="726" w:hanging="100"/>
      </w:pPr>
      <w:rPr>
        <w:rFonts w:hint="default"/>
      </w:rPr>
    </w:lvl>
    <w:lvl w:ilvl="5" w:tplc="264CA5A4">
      <w:numFmt w:val="bullet"/>
      <w:lvlText w:val="•"/>
      <w:lvlJc w:val="left"/>
      <w:pPr>
        <w:ind w:left="868" w:hanging="100"/>
      </w:pPr>
      <w:rPr>
        <w:rFonts w:hint="default"/>
      </w:rPr>
    </w:lvl>
    <w:lvl w:ilvl="6" w:tplc="1E169144">
      <w:numFmt w:val="bullet"/>
      <w:lvlText w:val="•"/>
      <w:lvlJc w:val="left"/>
      <w:pPr>
        <w:ind w:left="1010" w:hanging="100"/>
      </w:pPr>
      <w:rPr>
        <w:rFonts w:hint="default"/>
      </w:rPr>
    </w:lvl>
    <w:lvl w:ilvl="7" w:tplc="7D12A7E6">
      <w:numFmt w:val="bullet"/>
      <w:lvlText w:val="•"/>
      <w:lvlJc w:val="left"/>
      <w:pPr>
        <w:ind w:left="1151" w:hanging="100"/>
      </w:pPr>
      <w:rPr>
        <w:rFonts w:hint="default"/>
      </w:rPr>
    </w:lvl>
    <w:lvl w:ilvl="8" w:tplc="D4463D38">
      <w:numFmt w:val="bullet"/>
      <w:lvlText w:val="•"/>
      <w:lvlJc w:val="left"/>
      <w:pPr>
        <w:ind w:left="1293" w:hanging="100"/>
      </w:pPr>
      <w:rPr>
        <w:rFonts w:hint="default"/>
      </w:rPr>
    </w:lvl>
  </w:abstractNum>
  <w:abstractNum w:abstractNumId="718" w15:restartNumberingAfterBreak="0">
    <w:nsid w:val="2D7B0134"/>
    <w:multiLevelType w:val="hybridMultilevel"/>
    <w:tmpl w:val="99BAEFF0"/>
    <w:lvl w:ilvl="0" w:tplc="58A087CE">
      <w:numFmt w:val="bullet"/>
      <w:lvlText w:val=""/>
      <w:lvlJc w:val="left"/>
      <w:pPr>
        <w:ind w:left="156" w:hanging="100"/>
      </w:pPr>
      <w:rPr>
        <w:rFonts w:ascii="Symbol" w:eastAsia="Symbol" w:hAnsi="Symbol" w:cs="Symbol" w:hint="default"/>
        <w:color w:val="231F20"/>
        <w:w w:val="100"/>
        <w:sz w:val="14"/>
        <w:szCs w:val="14"/>
      </w:rPr>
    </w:lvl>
    <w:lvl w:ilvl="1" w:tplc="8A1CBBF6">
      <w:numFmt w:val="bullet"/>
      <w:lvlText w:val="•"/>
      <w:lvlJc w:val="left"/>
      <w:pPr>
        <w:ind w:left="454" w:hanging="100"/>
      </w:pPr>
      <w:rPr>
        <w:rFonts w:hint="default"/>
      </w:rPr>
    </w:lvl>
    <w:lvl w:ilvl="2" w:tplc="5660F548">
      <w:numFmt w:val="bullet"/>
      <w:lvlText w:val="•"/>
      <w:lvlJc w:val="left"/>
      <w:pPr>
        <w:ind w:left="749" w:hanging="100"/>
      </w:pPr>
      <w:rPr>
        <w:rFonts w:hint="default"/>
      </w:rPr>
    </w:lvl>
    <w:lvl w:ilvl="3" w:tplc="6A14FA06">
      <w:numFmt w:val="bullet"/>
      <w:lvlText w:val="•"/>
      <w:lvlJc w:val="left"/>
      <w:pPr>
        <w:ind w:left="1044" w:hanging="100"/>
      </w:pPr>
      <w:rPr>
        <w:rFonts w:hint="default"/>
      </w:rPr>
    </w:lvl>
    <w:lvl w:ilvl="4" w:tplc="79121AE8">
      <w:numFmt w:val="bullet"/>
      <w:lvlText w:val="•"/>
      <w:lvlJc w:val="left"/>
      <w:pPr>
        <w:ind w:left="1339" w:hanging="100"/>
      </w:pPr>
      <w:rPr>
        <w:rFonts w:hint="default"/>
      </w:rPr>
    </w:lvl>
    <w:lvl w:ilvl="5" w:tplc="BD3086AA">
      <w:numFmt w:val="bullet"/>
      <w:lvlText w:val="•"/>
      <w:lvlJc w:val="left"/>
      <w:pPr>
        <w:ind w:left="1634" w:hanging="100"/>
      </w:pPr>
      <w:rPr>
        <w:rFonts w:hint="default"/>
      </w:rPr>
    </w:lvl>
    <w:lvl w:ilvl="6" w:tplc="8CBA5248">
      <w:numFmt w:val="bullet"/>
      <w:lvlText w:val="•"/>
      <w:lvlJc w:val="left"/>
      <w:pPr>
        <w:ind w:left="1928" w:hanging="100"/>
      </w:pPr>
      <w:rPr>
        <w:rFonts w:hint="default"/>
      </w:rPr>
    </w:lvl>
    <w:lvl w:ilvl="7" w:tplc="F5E03984">
      <w:numFmt w:val="bullet"/>
      <w:lvlText w:val="•"/>
      <w:lvlJc w:val="left"/>
      <w:pPr>
        <w:ind w:left="2223" w:hanging="100"/>
      </w:pPr>
      <w:rPr>
        <w:rFonts w:hint="default"/>
      </w:rPr>
    </w:lvl>
    <w:lvl w:ilvl="8" w:tplc="FCEEF4BA">
      <w:numFmt w:val="bullet"/>
      <w:lvlText w:val="•"/>
      <w:lvlJc w:val="left"/>
      <w:pPr>
        <w:ind w:left="2518" w:hanging="100"/>
      </w:pPr>
      <w:rPr>
        <w:rFonts w:hint="default"/>
      </w:rPr>
    </w:lvl>
  </w:abstractNum>
  <w:abstractNum w:abstractNumId="719" w15:restartNumberingAfterBreak="0">
    <w:nsid w:val="2D7C2930"/>
    <w:multiLevelType w:val="hybridMultilevel"/>
    <w:tmpl w:val="8E4ED962"/>
    <w:lvl w:ilvl="0" w:tplc="FFE464FC">
      <w:numFmt w:val="bullet"/>
      <w:lvlText w:val=""/>
      <w:lvlJc w:val="left"/>
      <w:pPr>
        <w:ind w:left="157" w:hanging="100"/>
      </w:pPr>
      <w:rPr>
        <w:rFonts w:ascii="Symbol" w:eastAsia="Symbol" w:hAnsi="Symbol" w:cs="Symbol" w:hint="default"/>
        <w:color w:val="231F20"/>
        <w:w w:val="100"/>
        <w:sz w:val="14"/>
        <w:szCs w:val="14"/>
      </w:rPr>
    </w:lvl>
    <w:lvl w:ilvl="1" w:tplc="752ED048">
      <w:numFmt w:val="bullet"/>
      <w:lvlText w:val="•"/>
      <w:lvlJc w:val="left"/>
      <w:pPr>
        <w:ind w:left="369" w:hanging="100"/>
      </w:pPr>
      <w:rPr>
        <w:rFonts w:hint="default"/>
      </w:rPr>
    </w:lvl>
    <w:lvl w:ilvl="2" w:tplc="FB5CA4F6">
      <w:numFmt w:val="bullet"/>
      <w:lvlText w:val="•"/>
      <w:lvlJc w:val="left"/>
      <w:pPr>
        <w:ind w:left="579" w:hanging="100"/>
      </w:pPr>
      <w:rPr>
        <w:rFonts w:hint="default"/>
      </w:rPr>
    </w:lvl>
    <w:lvl w:ilvl="3" w:tplc="1CBE157C">
      <w:numFmt w:val="bullet"/>
      <w:lvlText w:val="•"/>
      <w:lvlJc w:val="left"/>
      <w:pPr>
        <w:ind w:left="789" w:hanging="100"/>
      </w:pPr>
      <w:rPr>
        <w:rFonts w:hint="default"/>
      </w:rPr>
    </w:lvl>
    <w:lvl w:ilvl="4" w:tplc="89A05FD6">
      <w:numFmt w:val="bullet"/>
      <w:lvlText w:val="•"/>
      <w:lvlJc w:val="left"/>
      <w:pPr>
        <w:ind w:left="998" w:hanging="100"/>
      </w:pPr>
      <w:rPr>
        <w:rFonts w:hint="default"/>
      </w:rPr>
    </w:lvl>
    <w:lvl w:ilvl="5" w:tplc="070243B4">
      <w:numFmt w:val="bullet"/>
      <w:lvlText w:val="•"/>
      <w:lvlJc w:val="left"/>
      <w:pPr>
        <w:ind w:left="1208" w:hanging="100"/>
      </w:pPr>
      <w:rPr>
        <w:rFonts w:hint="default"/>
      </w:rPr>
    </w:lvl>
    <w:lvl w:ilvl="6" w:tplc="D40A2F14">
      <w:numFmt w:val="bullet"/>
      <w:lvlText w:val="•"/>
      <w:lvlJc w:val="left"/>
      <w:pPr>
        <w:ind w:left="1418" w:hanging="100"/>
      </w:pPr>
      <w:rPr>
        <w:rFonts w:hint="default"/>
      </w:rPr>
    </w:lvl>
    <w:lvl w:ilvl="7" w:tplc="9496DA20">
      <w:numFmt w:val="bullet"/>
      <w:lvlText w:val="•"/>
      <w:lvlJc w:val="left"/>
      <w:pPr>
        <w:ind w:left="1627" w:hanging="100"/>
      </w:pPr>
      <w:rPr>
        <w:rFonts w:hint="default"/>
      </w:rPr>
    </w:lvl>
    <w:lvl w:ilvl="8" w:tplc="A836CF1A">
      <w:numFmt w:val="bullet"/>
      <w:lvlText w:val="•"/>
      <w:lvlJc w:val="left"/>
      <w:pPr>
        <w:ind w:left="1837" w:hanging="100"/>
      </w:pPr>
      <w:rPr>
        <w:rFonts w:hint="default"/>
      </w:rPr>
    </w:lvl>
  </w:abstractNum>
  <w:abstractNum w:abstractNumId="720" w15:restartNumberingAfterBreak="0">
    <w:nsid w:val="2D832FFE"/>
    <w:multiLevelType w:val="hybridMultilevel"/>
    <w:tmpl w:val="CEA04F70"/>
    <w:lvl w:ilvl="0" w:tplc="D6004084">
      <w:numFmt w:val="bullet"/>
      <w:lvlText w:val=""/>
      <w:lvlJc w:val="left"/>
      <w:pPr>
        <w:ind w:left="156" w:hanging="100"/>
      </w:pPr>
      <w:rPr>
        <w:rFonts w:ascii="Symbol" w:eastAsia="Symbol" w:hAnsi="Symbol" w:cs="Symbol" w:hint="default"/>
        <w:color w:val="231F20"/>
        <w:w w:val="100"/>
        <w:sz w:val="14"/>
        <w:szCs w:val="14"/>
      </w:rPr>
    </w:lvl>
    <w:lvl w:ilvl="1" w:tplc="8D1CF78A">
      <w:numFmt w:val="bullet"/>
      <w:lvlText w:val="•"/>
      <w:lvlJc w:val="left"/>
      <w:pPr>
        <w:ind w:left="426" w:hanging="100"/>
      </w:pPr>
      <w:rPr>
        <w:rFonts w:hint="default"/>
      </w:rPr>
    </w:lvl>
    <w:lvl w:ilvl="2" w:tplc="F1BEBDE2">
      <w:numFmt w:val="bullet"/>
      <w:lvlText w:val="•"/>
      <w:lvlJc w:val="left"/>
      <w:pPr>
        <w:ind w:left="692" w:hanging="100"/>
      </w:pPr>
      <w:rPr>
        <w:rFonts w:hint="default"/>
      </w:rPr>
    </w:lvl>
    <w:lvl w:ilvl="3" w:tplc="06AA233C">
      <w:numFmt w:val="bullet"/>
      <w:lvlText w:val="•"/>
      <w:lvlJc w:val="left"/>
      <w:pPr>
        <w:ind w:left="959" w:hanging="100"/>
      </w:pPr>
      <w:rPr>
        <w:rFonts w:hint="default"/>
      </w:rPr>
    </w:lvl>
    <w:lvl w:ilvl="4" w:tplc="39028F74">
      <w:numFmt w:val="bullet"/>
      <w:lvlText w:val="•"/>
      <w:lvlJc w:val="left"/>
      <w:pPr>
        <w:ind w:left="1225" w:hanging="100"/>
      </w:pPr>
      <w:rPr>
        <w:rFonts w:hint="default"/>
      </w:rPr>
    </w:lvl>
    <w:lvl w:ilvl="5" w:tplc="F5E86104">
      <w:numFmt w:val="bullet"/>
      <w:lvlText w:val="•"/>
      <w:lvlJc w:val="left"/>
      <w:pPr>
        <w:ind w:left="1492" w:hanging="100"/>
      </w:pPr>
      <w:rPr>
        <w:rFonts w:hint="default"/>
      </w:rPr>
    </w:lvl>
    <w:lvl w:ilvl="6" w:tplc="713EB400">
      <w:numFmt w:val="bullet"/>
      <w:lvlText w:val="•"/>
      <w:lvlJc w:val="left"/>
      <w:pPr>
        <w:ind w:left="1758" w:hanging="100"/>
      </w:pPr>
      <w:rPr>
        <w:rFonts w:hint="default"/>
      </w:rPr>
    </w:lvl>
    <w:lvl w:ilvl="7" w:tplc="168689FA">
      <w:numFmt w:val="bullet"/>
      <w:lvlText w:val="•"/>
      <w:lvlJc w:val="left"/>
      <w:pPr>
        <w:ind w:left="2024" w:hanging="100"/>
      </w:pPr>
      <w:rPr>
        <w:rFonts w:hint="default"/>
      </w:rPr>
    </w:lvl>
    <w:lvl w:ilvl="8" w:tplc="CD942934">
      <w:numFmt w:val="bullet"/>
      <w:lvlText w:val="•"/>
      <w:lvlJc w:val="left"/>
      <w:pPr>
        <w:ind w:left="2291" w:hanging="100"/>
      </w:pPr>
      <w:rPr>
        <w:rFonts w:hint="default"/>
      </w:rPr>
    </w:lvl>
  </w:abstractNum>
  <w:abstractNum w:abstractNumId="721" w15:restartNumberingAfterBreak="0">
    <w:nsid w:val="2D8574AF"/>
    <w:multiLevelType w:val="hybridMultilevel"/>
    <w:tmpl w:val="5132522A"/>
    <w:lvl w:ilvl="0" w:tplc="9D08AD24">
      <w:numFmt w:val="bullet"/>
      <w:lvlText w:val=""/>
      <w:lvlJc w:val="left"/>
      <w:pPr>
        <w:ind w:left="157" w:hanging="100"/>
      </w:pPr>
      <w:rPr>
        <w:rFonts w:ascii="Symbol" w:eastAsia="Symbol" w:hAnsi="Symbol" w:cs="Symbol" w:hint="default"/>
        <w:color w:val="231F20"/>
        <w:w w:val="100"/>
        <w:sz w:val="14"/>
        <w:szCs w:val="14"/>
      </w:rPr>
    </w:lvl>
    <w:lvl w:ilvl="1" w:tplc="DBF006B8">
      <w:numFmt w:val="bullet"/>
      <w:lvlText w:val="•"/>
      <w:lvlJc w:val="left"/>
      <w:pPr>
        <w:ind w:left="369" w:hanging="100"/>
      </w:pPr>
      <w:rPr>
        <w:rFonts w:hint="default"/>
      </w:rPr>
    </w:lvl>
    <w:lvl w:ilvl="2" w:tplc="134E13D8">
      <w:numFmt w:val="bullet"/>
      <w:lvlText w:val="•"/>
      <w:lvlJc w:val="left"/>
      <w:pPr>
        <w:ind w:left="579" w:hanging="100"/>
      </w:pPr>
      <w:rPr>
        <w:rFonts w:hint="default"/>
      </w:rPr>
    </w:lvl>
    <w:lvl w:ilvl="3" w:tplc="AEA805FA">
      <w:numFmt w:val="bullet"/>
      <w:lvlText w:val="•"/>
      <w:lvlJc w:val="left"/>
      <w:pPr>
        <w:ind w:left="789" w:hanging="100"/>
      </w:pPr>
      <w:rPr>
        <w:rFonts w:hint="default"/>
      </w:rPr>
    </w:lvl>
    <w:lvl w:ilvl="4" w:tplc="AE521C1A">
      <w:numFmt w:val="bullet"/>
      <w:lvlText w:val="•"/>
      <w:lvlJc w:val="left"/>
      <w:pPr>
        <w:ind w:left="998" w:hanging="100"/>
      </w:pPr>
      <w:rPr>
        <w:rFonts w:hint="default"/>
      </w:rPr>
    </w:lvl>
    <w:lvl w:ilvl="5" w:tplc="5C745D48">
      <w:numFmt w:val="bullet"/>
      <w:lvlText w:val="•"/>
      <w:lvlJc w:val="left"/>
      <w:pPr>
        <w:ind w:left="1208" w:hanging="100"/>
      </w:pPr>
      <w:rPr>
        <w:rFonts w:hint="default"/>
      </w:rPr>
    </w:lvl>
    <w:lvl w:ilvl="6" w:tplc="009A5954">
      <w:numFmt w:val="bullet"/>
      <w:lvlText w:val="•"/>
      <w:lvlJc w:val="left"/>
      <w:pPr>
        <w:ind w:left="1418" w:hanging="100"/>
      </w:pPr>
      <w:rPr>
        <w:rFonts w:hint="default"/>
      </w:rPr>
    </w:lvl>
    <w:lvl w:ilvl="7" w:tplc="69FA06B8">
      <w:numFmt w:val="bullet"/>
      <w:lvlText w:val="•"/>
      <w:lvlJc w:val="left"/>
      <w:pPr>
        <w:ind w:left="1627" w:hanging="100"/>
      </w:pPr>
      <w:rPr>
        <w:rFonts w:hint="default"/>
      </w:rPr>
    </w:lvl>
    <w:lvl w:ilvl="8" w:tplc="2BB40054">
      <w:numFmt w:val="bullet"/>
      <w:lvlText w:val="•"/>
      <w:lvlJc w:val="left"/>
      <w:pPr>
        <w:ind w:left="1837" w:hanging="100"/>
      </w:pPr>
      <w:rPr>
        <w:rFonts w:hint="default"/>
      </w:rPr>
    </w:lvl>
  </w:abstractNum>
  <w:abstractNum w:abstractNumId="722" w15:restartNumberingAfterBreak="0">
    <w:nsid w:val="2DB12027"/>
    <w:multiLevelType w:val="hybridMultilevel"/>
    <w:tmpl w:val="7694A9AE"/>
    <w:lvl w:ilvl="0" w:tplc="2C52A26E">
      <w:numFmt w:val="bullet"/>
      <w:lvlText w:val=""/>
      <w:lvlJc w:val="left"/>
      <w:pPr>
        <w:ind w:left="157" w:hanging="100"/>
      </w:pPr>
      <w:rPr>
        <w:rFonts w:ascii="Symbol" w:eastAsia="Symbol" w:hAnsi="Symbol" w:cs="Symbol" w:hint="default"/>
        <w:color w:val="231F20"/>
        <w:w w:val="100"/>
        <w:sz w:val="14"/>
        <w:szCs w:val="14"/>
      </w:rPr>
    </w:lvl>
    <w:lvl w:ilvl="1" w:tplc="0264F554">
      <w:numFmt w:val="bullet"/>
      <w:lvlText w:val="•"/>
      <w:lvlJc w:val="left"/>
      <w:pPr>
        <w:ind w:left="369" w:hanging="100"/>
      </w:pPr>
      <w:rPr>
        <w:rFonts w:hint="default"/>
      </w:rPr>
    </w:lvl>
    <w:lvl w:ilvl="2" w:tplc="49525EC0">
      <w:numFmt w:val="bullet"/>
      <w:lvlText w:val="•"/>
      <w:lvlJc w:val="left"/>
      <w:pPr>
        <w:ind w:left="579" w:hanging="100"/>
      </w:pPr>
      <w:rPr>
        <w:rFonts w:hint="default"/>
      </w:rPr>
    </w:lvl>
    <w:lvl w:ilvl="3" w:tplc="765C2F1E">
      <w:numFmt w:val="bullet"/>
      <w:lvlText w:val="•"/>
      <w:lvlJc w:val="left"/>
      <w:pPr>
        <w:ind w:left="789" w:hanging="100"/>
      </w:pPr>
      <w:rPr>
        <w:rFonts w:hint="default"/>
      </w:rPr>
    </w:lvl>
    <w:lvl w:ilvl="4" w:tplc="19649322">
      <w:numFmt w:val="bullet"/>
      <w:lvlText w:val="•"/>
      <w:lvlJc w:val="left"/>
      <w:pPr>
        <w:ind w:left="998" w:hanging="100"/>
      </w:pPr>
      <w:rPr>
        <w:rFonts w:hint="default"/>
      </w:rPr>
    </w:lvl>
    <w:lvl w:ilvl="5" w:tplc="E4AE62CC">
      <w:numFmt w:val="bullet"/>
      <w:lvlText w:val="•"/>
      <w:lvlJc w:val="left"/>
      <w:pPr>
        <w:ind w:left="1208" w:hanging="100"/>
      </w:pPr>
      <w:rPr>
        <w:rFonts w:hint="default"/>
      </w:rPr>
    </w:lvl>
    <w:lvl w:ilvl="6" w:tplc="C4A21C1A">
      <w:numFmt w:val="bullet"/>
      <w:lvlText w:val="•"/>
      <w:lvlJc w:val="left"/>
      <w:pPr>
        <w:ind w:left="1418" w:hanging="100"/>
      </w:pPr>
      <w:rPr>
        <w:rFonts w:hint="default"/>
      </w:rPr>
    </w:lvl>
    <w:lvl w:ilvl="7" w:tplc="769CA6E4">
      <w:numFmt w:val="bullet"/>
      <w:lvlText w:val="•"/>
      <w:lvlJc w:val="left"/>
      <w:pPr>
        <w:ind w:left="1627" w:hanging="100"/>
      </w:pPr>
      <w:rPr>
        <w:rFonts w:hint="default"/>
      </w:rPr>
    </w:lvl>
    <w:lvl w:ilvl="8" w:tplc="15B2CA0A">
      <w:numFmt w:val="bullet"/>
      <w:lvlText w:val="•"/>
      <w:lvlJc w:val="left"/>
      <w:pPr>
        <w:ind w:left="1837" w:hanging="100"/>
      </w:pPr>
      <w:rPr>
        <w:rFonts w:hint="default"/>
      </w:rPr>
    </w:lvl>
  </w:abstractNum>
  <w:abstractNum w:abstractNumId="723" w15:restartNumberingAfterBreak="0">
    <w:nsid w:val="2DD8767F"/>
    <w:multiLevelType w:val="hybridMultilevel"/>
    <w:tmpl w:val="8DD0EBEA"/>
    <w:lvl w:ilvl="0" w:tplc="33BE6244">
      <w:numFmt w:val="bullet"/>
      <w:lvlText w:val=""/>
      <w:lvlJc w:val="left"/>
      <w:pPr>
        <w:ind w:left="157" w:hanging="100"/>
      </w:pPr>
      <w:rPr>
        <w:rFonts w:ascii="Symbol" w:eastAsia="Symbol" w:hAnsi="Symbol" w:cs="Symbol" w:hint="default"/>
        <w:color w:val="231F20"/>
        <w:w w:val="100"/>
        <w:sz w:val="14"/>
        <w:szCs w:val="14"/>
      </w:rPr>
    </w:lvl>
    <w:lvl w:ilvl="1" w:tplc="5B0C47DE">
      <w:numFmt w:val="bullet"/>
      <w:lvlText w:val="•"/>
      <w:lvlJc w:val="left"/>
      <w:pPr>
        <w:ind w:left="426" w:hanging="100"/>
      </w:pPr>
      <w:rPr>
        <w:rFonts w:hint="default"/>
      </w:rPr>
    </w:lvl>
    <w:lvl w:ilvl="2" w:tplc="95B0EF48">
      <w:numFmt w:val="bullet"/>
      <w:lvlText w:val="•"/>
      <w:lvlJc w:val="left"/>
      <w:pPr>
        <w:ind w:left="692" w:hanging="100"/>
      </w:pPr>
      <w:rPr>
        <w:rFonts w:hint="default"/>
      </w:rPr>
    </w:lvl>
    <w:lvl w:ilvl="3" w:tplc="39F24AD4">
      <w:numFmt w:val="bullet"/>
      <w:lvlText w:val="•"/>
      <w:lvlJc w:val="left"/>
      <w:pPr>
        <w:ind w:left="959" w:hanging="100"/>
      </w:pPr>
      <w:rPr>
        <w:rFonts w:hint="default"/>
      </w:rPr>
    </w:lvl>
    <w:lvl w:ilvl="4" w:tplc="0D783604">
      <w:numFmt w:val="bullet"/>
      <w:lvlText w:val="•"/>
      <w:lvlJc w:val="left"/>
      <w:pPr>
        <w:ind w:left="1225" w:hanging="100"/>
      </w:pPr>
      <w:rPr>
        <w:rFonts w:hint="default"/>
      </w:rPr>
    </w:lvl>
    <w:lvl w:ilvl="5" w:tplc="890C34AA">
      <w:numFmt w:val="bullet"/>
      <w:lvlText w:val="•"/>
      <w:lvlJc w:val="left"/>
      <w:pPr>
        <w:ind w:left="1492" w:hanging="100"/>
      </w:pPr>
      <w:rPr>
        <w:rFonts w:hint="default"/>
      </w:rPr>
    </w:lvl>
    <w:lvl w:ilvl="6" w:tplc="CDAE037E">
      <w:numFmt w:val="bullet"/>
      <w:lvlText w:val="•"/>
      <w:lvlJc w:val="left"/>
      <w:pPr>
        <w:ind w:left="1758" w:hanging="100"/>
      </w:pPr>
      <w:rPr>
        <w:rFonts w:hint="default"/>
      </w:rPr>
    </w:lvl>
    <w:lvl w:ilvl="7" w:tplc="3CB42770">
      <w:numFmt w:val="bullet"/>
      <w:lvlText w:val="•"/>
      <w:lvlJc w:val="left"/>
      <w:pPr>
        <w:ind w:left="2024" w:hanging="100"/>
      </w:pPr>
      <w:rPr>
        <w:rFonts w:hint="default"/>
      </w:rPr>
    </w:lvl>
    <w:lvl w:ilvl="8" w:tplc="4F3071D2">
      <w:numFmt w:val="bullet"/>
      <w:lvlText w:val="•"/>
      <w:lvlJc w:val="left"/>
      <w:pPr>
        <w:ind w:left="2291" w:hanging="100"/>
      </w:pPr>
      <w:rPr>
        <w:rFonts w:hint="default"/>
      </w:rPr>
    </w:lvl>
  </w:abstractNum>
  <w:abstractNum w:abstractNumId="724" w15:restartNumberingAfterBreak="0">
    <w:nsid w:val="2DDA52B6"/>
    <w:multiLevelType w:val="hybridMultilevel"/>
    <w:tmpl w:val="A2DC7D40"/>
    <w:lvl w:ilvl="0" w:tplc="6480233C">
      <w:numFmt w:val="bullet"/>
      <w:lvlText w:val="–"/>
      <w:lvlJc w:val="left"/>
      <w:pPr>
        <w:ind w:left="57" w:hanging="105"/>
      </w:pPr>
      <w:rPr>
        <w:rFonts w:ascii="Times New Roman" w:eastAsia="Times New Roman" w:hAnsi="Times New Roman" w:cs="Times New Roman" w:hint="default"/>
        <w:color w:val="231F20"/>
        <w:spacing w:val="-1"/>
        <w:w w:val="100"/>
        <w:sz w:val="14"/>
        <w:szCs w:val="14"/>
      </w:rPr>
    </w:lvl>
    <w:lvl w:ilvl="1" w:tplc="FED24EE2">
      <w:numFmt w:val="bullet"/>
      <w:lvlText w:val="•"/>
      <w:lvlJc w:val="left"/>
      <w:pPr>
        <w:ind w:left="336" w:hanging="105"/>
      </w:pPr>
      <w:rPr>
        <w:rFonts w:hint="default"/>
      </w:rPr>
    </w:lvl>
    <w:lvl w:ilvl="2" w:tplc="938E4C8C">
      <w:numFmt w:val="bullet"/>
      <w:lvlText w:val="•"/>
      <w:lvlJc w:val="left"/>
      <w:pPr>
        <w:ind w:left="612" w:hanging="105"/>
      </w:pPr>
      <w:rPr>
        <w:rFonts w:hint="default"/>
      </w:rPr>
    </w:lvl>
    <w:lvl w:ilvl="3" w:tplc="F9B2E5AA">
      <w:numFmt w:val="bullet"/>
      <w:lvlText w:val="•"/>
      <w:lvlJc w:val="left"/>
      <w:pPr>
        <w:ind w:left="889" w:hanging="105"/>
      </w:pPr>
      <w:rPr>
        <w:rFonts w:hint="default"/>
      </w:rPr>
    </w:lvl>
    <w:lvl w:ilvl="4" w:tplc="36E688FA">
      <w:numFmt w:val="bullet"/>
      <w:lvlText w:val="•"/>
      <w:lvlJc w:val="left"/>
      <w:pPr>
        <w:ind w:left="1165" w:hanging="105"/>
      </w:pPr>
      <w:rPr>
        <w:rFonts w:hint="default"/>
      </w:rPr>
    </w:lvl>
    <w:lvl w:ilvl="5" w:tplc="7C460876">
      <w:numFmt w:val="bullet"/>
      <w:lvlText w:val="•"/>
      <w:lvlJc w:val="left"/>
      <w:pPr>
        <w:ind w:left="1442" w:hanging="105"/>
      </w:pPr>
      <w:rPr>
        <w:rFonts w:hint="default"/>
      </w:rPr>
    </w:lvl>
    <w:lvl w:ilvl="6" w:tplc="EC0C3156">
      <w:numFmt w:val="bullet"/>
      <w:lvlText w:val="•"/>
      <w:lvlJc w:val="left"/>
      <w:pPr>
        <w:ind w:left="1718" w:hanging="105"/>
      </w:pPr>
      <w:rPr>
        <w:rFonts w:hint="default"/>
      </w:rPr>
    </w:lvl>
    <w:lvl w:ilvl="7" w:tplc="04988FD0">
      <w:numFmt w:val="bullet"/>
      <w:lvlText w:val="•"/>
      <w:lvlJc w:val="left"/>
      <w:pPr>
        <w:ind w:left="1994" w:hanging="105"/>
      </w:pPr>
      <w:rPr>
        <w:rFonts w:hint="default"/>
      </w:rPr>
    </w:lvl>
    <w:lvl w:ilvl="8" w:tplc="97A2B1D4">
      <w:numFmt w:val="bullet"/>
      <w:lvlText w:val="•"/>
      <w:lvlJc w:val="left"/>
      <w:pPr>
        <w:ind w:left="2271" w:hanging="105"/>
      </w:pPr>
      <w:rPr>
        <w:rFonts w:hint="default"/>
      </w:rPr>
    </w:lvl>
  </w:abstractNum>
  <w:abstractNum w:abstractNumId="725" w15:restartNumberingAfterBreak="0">
    <w:nsid w:val="2E0E15F0"/>
    <w:multiLevelType w:val="hybridMultilevel"/>
    <w:tmpl w:val="B3122D58"/>
    <w:lvl w:ilvl="0" w:tplc="F4202C9E">
      <w:numFmt w:val="bullet"/>
      <w:lvlText w:val=""/>
      <w:lvlJc w:val="left"/>
      <w:pPr>
        <w:ind w:left="156" w:hanging="100"/>
      </w:pPr>
      <w:rPr>
        <w:rFonts w:ascii="Symbol" w:eastAsia="Symbol" w:hAnsi="Symbol" w:cs="Symbol" w:hint="default"/>
        <w:color w:val="231F20"/>
        <w:w w:val="100"/>
        <w:sz w:val="14"/>
        <w:szCs w:val="14"/>
      </w:rPr>
    </w:lvl>
    <w:lvl w:ilvl="1" w:tplc="F050BF32">
      <w:numFmt w:val="bullet"/>
      <w:lvlText w:val="•"/>
      <w:lvlJc w:val="left"/>
      <w:pPr>
        <w:ind w:left="301" w:hanging="100"/>
      </w:pPr>
      <w:rPr>
        <w:rFonts w:hint="default"/>
      </w:rPr>
    </w:lvl>
    <w:lvl w:ilvl="2" w:tplc="99B8D712">
      <w:numFmt w:val="bullet"/>
      <w:lvlText w:val="•"/>
      <w:lvlJc w:val="left"/>
      <w:pPr>
        <w:ind w:left="443" w:hanging="100"/>
      </w:pPr>
      <w:rPr>
        <w:rFonts w:hint="default"/>
      </w:rPr>
    </w:lvl>
    <w:lvl w:ilvl="3" w:tplc="61186FDE">
      <w:numFmt w:val="bullet"/>
      <w:lvlText w:val="•"/>
      <w:lvlJc w:val="left"/>
      <w:pPr>
        <w:ind w:left="585" w:hanging="100"/>
      </w:pPr>
      <w:rPr>
        <w:rFonts w:hint="default"/>
      </w:rPr>
    </w:lvl>
    <w:lvl w:ilvl="4" w:tplc="07CA29DE">
      <w:numFmt w:val="bullet"/>
      <w:lvlText w:val="•"/>
      <w:lvlJc w:val="left"/>
      <w:pPr>
        <w:ind w:left="726" w:hanging="100"/>
      </w:pPr>
      <w:rPr>
        <w:rFonts w:hint="default"/>
      </w:rPr>
    </w:lvl>
    <w:lvl w:ilvl="5" w:tplc="74AA28FA">
      <w:numFmt w:val="bullet"/>
      <w:lvlText w:val="•"/>
      <w:lvlJc w:val="left"/>
      <w:pPr>
        <w:ind w:left="868" w:hanging="100"/>
      </w:pPr>
      <w:rPr>
        <w:rFonts w:hint="default"/>
      </w:rPr>
    </w:lvl>
    <w:lvl w:ilvl="6" w:tplc="74DEFB36">
      <w:numFmt w:val="bullet"/>
      <w:lvlText w:val="•"/>
      <w:lvlJc w:val="left"/>
      <w:pPr>
        <w:ind w:left="1010" w:hanging="100"/>
      </w:pPr>
      <w:rPr>
        <w:rFonts w:hint="default"/>
      </w:rPr>
    </w:lvl>
    <w:lvl w:ilvl="7" w:tplc="FA3C5CF2">
      <w:numFmt w:val="bullet"/>
      <w:lvlText w:val="•"/>
      <w:lvlJc w:val="left"/>
      <w:pPr>
        <w:ind w:left="1151" w:hanging="100"/>
      </w:pPr>
      <w:rPr>
        <w:rFonts w:hint="default"/>
      </w:rPr>
    </w:lvl>
    <w:lvl w:ilvl="8" w:tplc="2E168120">
      <w:numFmt w:val="bullet"/>
      <w:lvlText w:val="•"/>
      <w:lvlJc w:val="left"/>
      <w:pPr>
        <w:ind w:left="1293" w:hanging="100"/>
      </w:pPr>
      <w:rPr>
        <w:rFonts w:hint="default"/>
      </w:rPr>
    </w:lvl>
  </w:abstractNum>
  <w:abstractNum w:abstractNumId="726" w15:restartNumberingAfterBreak="0">
    <w:nsid w:val="2E2F0A0E"/>
    <w:multiLevelType w:val="hybridMultilevel"/>
    <w:tmpl w:val="CEFAE8E2"/>
    <w:lvl w:ilvl="0" w:tplc="E80C9756">
      <w:numFmt w:val="bullet"/>
      <w:lvlText w:val=""/>
      <w:lvlJc w:val="left"/>
      <w:pPr>
        <w:ind w:left="156" w:hanging="100"/>
      </w:pPr>
      <w:rPr>
        <w:rFonts w:ascii="Symbol" w:eastAsia="Symbol" w:hAnsi="Symbol" w:cs="Symbol" w:hint="default"/>
        <w:color w:val="231F20"/>
        <w:w w:val="100"/>
        <w:sz w:val="14"/>
        <w:szCs w:val="14"/>
      </w:rPr>
    </w:lvl>
    <w:lvl w:ilvl="1" w:tplc="2980796C">
      <w:numFmt w:val="bullet"/>
      <w:lvlText w:val="•"/>
      <w:lvlJc w:val="left"/>
      <w:pPr>
        <w:ind w:left="398" w:hanging="100"/>
      </w:pPr>
      <w:rPr>
        <w:rFonts w:hint="default"/>
      </w:rPr>
    </w:lvl>
    <w:lvl w:ilvl="2" w:tplc="C30A04CE">
      <w:numFmt w:val="bullet"/>
      <w:lvlText w:val="•"/>
      <w:lvlJc w:val="left"/>
      <w:pPr>
        <w:ind w:left="636" w:hanging="100"/>
      </w:pPr>
      <w:rPr>
        <w:rFonts w:hint="default"/>
      </w:rPr>
    </w:lvl>
    <w:lvl w:ilvl="3" w:tplc="A5843D86">
      <w:numFmt w:val="bullet"/>
      <w:lvlText w:val="•"/>
      <w:lvlJc w:val="left"/>
      <w:pPr>
        <w:ind w:left="874" w:hanging="100"/>
      </w:pPr>
      <w:rPr>
        <w:rFonts w:hint="default"/>
      </w:rPr>
    </w:lvl>
    <w:lvl w:ilvl="4" w:tplc="CC84881C">
      <w:numFmt w:val="bullet"/>
      <w:lvlText w:val="•"/>
      <w:lvlJc w:val="left"/>
      <w:pPr>
        <w:ind w:left="1112" w:hanging="100"/>
      </w:pPr>
      <w:rPr>
        <w:rFonts w:hint="default"/>
      </w:rPr>
    </w:lvl>
    <w:lvl w:ilvl="5" w:tplc="02B2E076">
      <w:numFmt w:val="bullet"/>
      <w:lvlText w:val="•"/>
      <w:lvlJc w:val="left"/>
      <w:pPr>
        <w:ind w:left="1350" w:hanging="100"/>
      </w:pPr>
      <w:rPr>
        <w:rFonts w:hint="default"/>
      </w:rPr>
    </w:lvl>
    <w:lvl w:ilvl="6" w:tplc="C2DE570A">
      <w:numFmt w:val="bullet"/>
      <w:lvlText w:val="•"/>
      <w:lvlJc w:val="left"/>
      <w:pPr>
        <w:ind w:left="1588" w:hanging="100"/>
      </w:pPr>
      <w:rPr>
        <w:rFonts w:hint="default"/>
      </w:rPr>
    </w:lvl>
    <w:lvl w:ilvl="7" w:tplc="9656E7E4">
      <w:numFmt w:val="bullet"/>
      <w:lvlText w:val="•"/>
      <w:lvlJc w:val="left"/>
      <w:pPr>
        <w:ind w:left="1826" w:hanging="100"/>
      </w:pPr>
      <w:rPr>
        <w:rFonts w:hint="default"/>
      </w:rPr>
    </w:lvl>
    <w:lvl w:ilvl="8" w:tplc="AE66F91E">
      <w:numFmt w:val="bullet"/>
      <w:lvlText w:val="•"/>
      <w:lvlJc w:val="left"/>
      <w:pPr>
        <w:ind w:left="2064" w:hanging="100"/>
      </w:pPr>
      <w:rPr>
        <w:rFonts w:hint="default"/>
      </w:rPr>
    </w:lvl>
  </w:abstractNum>
  <w:abstractNum w:abstractNumId="727" w15:restartNumberingAfterBreak="0">
    <w:nsid w:val="2E565B53"/>
    <w:multiLevelType w:val="hybridMultilevel"/>
    <w:tmpl w:val="7F4022E8"/>
    <w:lvl w:ilvl="0" w:tplc="762CD732">
      <w:numFmt w:val="bullet"/>
      <w:lvlText w:val="–"/>
      <w:lvlJc w:val="left"/>
      <w:pPr>
        <w:ind w:left="632" w:hanging="135"/>
      </w:pPr>
      <w:rPr>
        <w:rFonts w:ascii="Times New Roman" w:eastAsia="Times New Roman" w:hAnsi="Times New Roman" w:cs="Times New Roman" w:hint="default"/>
        <w:color w:val="231F20"/>
        <w:spacing w:val="-3"/>
        <w:w w:val="100"/>
        <w:sz w:val="18"/>
        <w:szCs w:val="18"/>
      </w:rPr>
    </w:lvl>
    <w:lvl w:ilvl="1" w:tplc="3F864E08">
      <w:numFmt w:val="bullet"/>
      <w:lvlText w:val="–"/>
      <w:lvlJc w:val="left"/>
      <w:pPr>
        <w:ind w:left="1565" w:hanging="105"/>
      </w:pPr>
      <w:rPr>
        <w:rFonts w:ascii="Times New Roman" w:eastAsia="Times New Roman" w:hAnsi="Times New Roman" w:cs="Times New Roman" w:hint="default"/>
        <w:color w:val="231F20"/>
        <w:spacing w:val="-8"/>
        <w:w w:val="100"/>
        <w:sz w:val="14"/>
        <w:szCs w:val="14"/>
      </w:rPr>
    </w:lvl>
    <w:lvl w:ilvl="2" w:tplc="EA08F034">
      <w:numFmt w:val="bullet"/>
      <w:lvlText w:val="•"/>
      <w:lvlJc w:val="left"/>
      <w:pPr>
        <w:ind w:left="2585" w:hanging="105"/>
      </w:pPr>
      <w:rPr>
        <w:rFonts w:hint="default"/>
      </w:rPr>
    </w:lvl>
    <w:lvl w:ilvl="3" w:tplc="8BEC5202">
      <w:numFmt w:val="bullet"/>
      <w:lvlText w:val="•"/>
      <w:lvlJc w:val="left"/>
      <w:pPr>
        <w:ind w:left="3610" w:hanging="105"/>
      </w:pPr>
      <w:rPr>
        <w:rFonts w:hint="default"/>
      </w:rPr>
    </w:lvl>
    <w:lvl w:ilvl="4" w:tplc="79843CA8">
      <w:numFmt w:val="bullet"/>
      <w:lvlText w:val="•"/>
      <w:lvlJc w:val="left"/>
      <w:pPr>
        <w:ind w:left="4635" w:hanging="105"/>
      </w:pPr>
      <w:rPr>
        <w:rFonts w:hint="default"/>
      </w:rPr>
    </w:lvl>
    <w:lvl w:ilvl="5" w:tplc="6026E73A">
      <w:numFmt w:val="bullet"/>
      <w:lvlText w:val="•"/>
      <w:lvlJc w:val="left"/>
      <w:pPr>
        <w:ind w:left="5660" w:hanging="105"/>
      </w:pPr>
      <w:rPr>
        <w:rFonts w:hint="default"/>
      </w:rPr>
    </w:lvl>
    <w:lvl w:ilvl="6" w:tplc="29864D22">
      <w:numFmt w:val="bullet"/>
      <w:lvlText w:val="•"/>
      <w:lvlJc w:val="left"/>
      <w:pPr>
        <w:ind w:left="6685" w:hanging="105"/>
      </w:pPr>
      <w:rPr>
        <w:rFonts w:hint="default"/>
      </w:rPr>
    </w:lvl>
    <w:lvl w:ilvl="7" w:tplc="6BCE5258">
      <w:numFmt w:val="bullet"/>
      <w:lvlText w:val="•"/>
      <w:lvlJc w:val="left"/>
      <w:pPr>
        <w:ind w:left="7710" w:hanging="105"/>
      </w:pPr>
      <w:rPr>
        <w:rFonts w:hint="default"/>
      </w:rPr>
    </w:lvl>
    <w:lvl w:ilvl="8" w:tplc="813AF2F2">
      <w:numFmt w:val="bullet"/>
      <w:lvlText w:val="•"/>
      <w:lvlJc w:val="left"/>
      <w:pPr>
        <w:ind w:left="8735" w:hanging="105"/>
      </w:pPr>
      <w:rPr>
        <w:rFonts w:hint="default"/>
      </w:rPr>
    </w:lvl>
  </w:abstractNum>
  <w:abstractNum w:abstractNumId="728" w15:restartNumberingAfterBreak="0">
    <w:nsid w:val="2E67680A"/>
    <w:multiLevelType w:val="hybridMultilevel"/>
    <w:tmpl w:val="216A5F3A"/>
    <w:lvl w:ilvl="0" w:tplc="9C6A0BDC">
      <w:numFmt w:val="bullet"/>
      <w:lvlText w:val=""/>
      <w:lvlJc w:val="left"/>
      <w:pPr>
        <w:ind w:left="156" w:hanging="100"/>
      </w:pPr>
      <w:rPr>
        <w:rFonts w:ascii="Symbol" w:eastAsia="Symbol" w:hAnsi="Symbol" w:cs="Symbol" w:hint="default"/>
        <w:color w:val="231F20"/>
        <w:w w:val="100"/>
        <w:sz w:val="14"/>
        <w:szCs w:val="14"/>
      </w:rPr>
    </w:lvl>
    <w:lvl w:ilvl="1" w:tplc="40E85454">
      <w:numFmt w:val="bullet"/>
      <w:lvlText w:val="•"/>
      <w:lvlJc w:val="left"/>
      <w:pPr>
        <w:ind w:left="273" w:hanging="100"/>
      </w:pPr>
      <w:rPr>
        <w:rFonts w:hint="default"/>
      </w:rPr>
    </w:lvl>
    <w:lvl w:ilvl="2" w:tplc="B0345EDA">
      <w:numFmt w:val="bullet"/>
      <w:lvlText w:val="•"/>
      <w:lvlJc w:val="left"/>
      <w:pPr>
        <w:ind w:left="386" w:hanging="100"/>
      </w:pPr>
      <w:rPr>
        <w:rFonts w:hint="default"/>
      </w:rPr>
    </w:lvl>
    <w:lvl w:ilvl="3" w:tplc="6468854E">
      <w:numFmt w:val="bullet"/>
      <w:lvlText w:val="•"/>
      <w:lvlJc w:val="left"/>
      <w:pPr>
        <w:ind w:left="500" w:hanging="100"/>
      </w:pPr>
      <w:rPr>
        <w:rFonts w:hint="default"/>
      </w:rPr>
    </w:lvl>
    <w:lvl w:ilvl="4" w:tplc="9AB6BB94">
      <w:numFmt w:val="bullet"/>
      <w:lvlText w:val="•"/>
      <w:lvlJc w:val="left"/>
      <w:pPr>
        <w:ind w:left="613" w:hanging="100"/>
      </w:pPr>
      <w:rPr>
        <w:rFonts w:hint="default"/>
      </w:rPr>
    </w:lvl>
    <w:lvl w:ilvl="5" w:tplc="8E5499D2">
      <w:numFmt w:val="bullet"/>
      <w:lvlText w:val="•"/>
      <w:lvlJc w:val="left"/>
      <w:pPr>
        <w:ind w:left="727" w:hanging="100"/>
      </w:pPr>
      <w:rPr>
        <w:rFonts w:hint="default"/>
      </w:rPr>
    </w:lvl>
    <w:lvl w:ilvl="6" w:tplc="78C20932">
      <w:numFmt w:val="bullet"/>
      <w:lvlText w:val="•"/>
      <w:lvlJc w:val="left"/>
      <w:pPr>
        <w:ind w:left="840" w:hanging="100"/>
      </w:pPr>
      <w:rPr>
        <w:rFonts w:hint="default"/>
      </w:rPr>
    </w:lvl>
    <w:lvl w:ilvl="7" w:tplc="FD1A90B0">
      <w:numFmt w:val="bullet"/>
      <w:lvlText w:val="•"/>
      <w:lvlJc w:val="left"/>
      <w:pPr>
        <w:ind w:left="953" w:hanging="100"/>
      </w:pPr>
      <w:rPr>
        <w:rFonts w:hint="default"/>
      </w:rPr>
    </w:lvl>
    <w:lvl w:ilvl="8" w:tplc="4F420DB0">
      <w:numFmt w:val="bullet"/>
      <w:lvlText w:val="•"/>
      <w:lvlJc w:val="left"/>
      <w:pPr>
        <w:ind w:left="1067" w:hanging="100"/>
      </w:pPr>
      <w:rPr>
        <w:rFonts w:hint="default"/>
      </w:rPr>
    </w:lvl>
  </w:abstractNum>
  <w:abstractNum w:abstractNumId="729" w15:restartNumberingAfterBreak="0">
    <w:nsid w:val="2E6B7AC3"/>
    <w:multiLevelType w:val="hybridMultilevel"/>
    <w:tmpl w:val="C4F6ACAA"/>
    <w:lvl w:ilvl="0" w:tplc="990CD7D6">
      <w:numFmt w:val="bullet"/>
      <w:lvlText w:val=""/>
      <w:lvlJc w:val="left"/>
      <w:pPr>
        <w:ind w:left="156" w:hanging="100"/>
      </w:pPr>
      <w:rPr>
        <w:rFonts w:ascii="Symbol" w:eastAsia="Symbol" w:hAnsi="Symbol" w:cs="Symbol" w:hint="default"/>
        <w:color w:val="231F20"/>
        <w:w w:val="100"/>
        <w:sz w:val="14"/>
        <w:szCs w:val="14"/>
      </w:rPr>
    </w:lvl>
    <w:lvl w:ilvl="1" w:tplc="EB5258F6">
      <w:numFmt w:val="bullet"/>
      <w:lvlText w:val="•"/>
      <w:lvlJc w:val="left"/>
      <w:pPr>
        <w:ind w:left="301" w:hanging="100"/>
      </w:pPr>
      <w:rPr>
        <w:rFonts w:hint="default"/>
      </w:rPr>
    </w:lvl>
    <w:lvl w:ilvl="2" w:tplc="71786FEC">
      <w:numFmt w:val="bullet"/>
      <w:lvlText w:val="•"/>
      <w:lvlJc w:val="left"/>
      <w:pPr>
        <w:ind w:left="443" w:hanging="100"/>
      </w:pPr>
      <w:rPr>
        <w:rFonts w:hint="default"/>
      </w:rPr>
    </w:lvl>
    <w:lvl w:ilvl="3" w:tplc="530C6760">
      <w:numFmt w:val="bullet"/>
      <w:lvlText w:val="•"/>
      <w:lvlJc w:val="left"/>
      <w:pPr>
        <w:ind w:left="585" w:hanging="100"/>
      </w:pPr>
      <w:rPr>
        <w:rFonts w:hint="default"/>
      </w:rPr>
    </w:lvl>
    <w:lvl w:ilvl="4" w:tplc="3A5C4B2E">
      <w:numFmt w:val="bullet"/>
      <w:lvlText w:val="•"/>
      <w:lvlJc w:val="left"/>
      <w:pPr>
        <w:ind w:left="726" w:hanging="100"/>
      </w:pPr>
      <w:rPr>
        <w:rFonts w:hint="default"/>
      </w:rPr>
    </w:lvl>
    <w:lvl w:ilvl="5" w:tplc="8CA06C10">
      <w:numFmt w:val="bullet"/>
      <w:lvlText w:val="•"/>
      <w:lvlJc w:val="left"/>
      <w:pPr>
        <w:ind w:left="868" w:hanging="100"/>
      </w:pPr>
      <w:rPr>
        <w:rFonts w:hint="default"/>
      </w:rPr>
    </w:lvl>
    <w:lvl w:ilvl="6" w:tplc="3E34CC34">
      <w:numFmt w:val="bullet"/>
      <w:lvlText w:val="•"/>
      <w:lvlJc w:val="left"/>
      <w:pPr>
        <w:ind w:left="1010" w:hanging="100"/>
      </w:pPr>
      <w:rPr>
        <w:rFonts w:hint="default"/>
      </w:rPr>
    </w:lvl>
    <w:lvl w:ilvl="7" w:tplc="71509FF0">
      <w:numFmt w:val="bullet"/>
      <w:lvlText w:val="•"/>
      <w:lvlJc w:val="left"/>
      <w:pPr>
        <w:ind w:left="1151" w:hanging="100"/>
      </w:pPr>
      <w:rPr>
        <w:rFonts w:hint="default"/>
      </w:rPr>
    </w:lvl>
    <w:lvl w:ilvl="8" w:tplc="40241206">
      <w:numFmt w:val="bullet"/>
      <w:lvlText w:val="•"/>
      <w:lvlJc w:val="left"/>
      <w:pPr>
        <w:ind w:left="1293" w:hanging="100"/>
      </w:pPr>
      <w:rPr>
        <w:rFonts w:hint="default"/>
      </w:rPr>
    </w:lvl>
  </w:abstractNum>
  <w:abstractNum w:abstractNumId="730" w15:restartNumberingAfterBreak="0">
    <w:nsid w:val="2E867EB1"/>
    <w:multiLevelType w:val="hybridMultilevel"/>
    <w:tmpl w:val="31D04D36"/>
    <w:lvl w:ilvl="0" w:tplc="A2BA21A4">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055A95F8">
      <w:numFmt w:val="bullet"/>
      <w:lvlText w:val="•"/>
      <w:lvlJc w:val="left"/>
      <w:pPr>
        <w:ind w:left="351" w:hanging="84"/>
      </w:pPr>
      <w:rPr>
        <w:rFonts w:hint="default"/>
      </w:rPr>
    </w:lvl>
    <w:lvl w:ilvl="2" w:tplc="EC2C1380">
      <w:numFmt w:val="bullet"/>
      <w:lvlText w:val="•"/>
      <w:lvlJc w:val="left"/>
      <w:pPr>
        <w:ind w:left="563" w:hanging="84"/>
      </w:pPr>
      <w:rPr>
        <w:rFonts w:hint="default"/>
      </w:rPr>
    </w:lvl>
    <w:lvl w:ilvl="3" w:tplc="6CCA0126">
      <w:numFmt w:val="bullet"/>
      <w:lvlText w:val="•"/>
      <w:lvlJc w:val="left"/>
      <w:pPr>
        <w:ind w:left="775" w:hanging="84"/>
      </w:pPr>
      <w:rPr>
        <w:rFonts w:hint="default"/>
      </w:rPr>
    </w:lvl>
    <w:lvl w:ilvl="4" w:tplc="65B65A7C">
      <w:numFmt w:val="bullet"/>
      <w:lvlText w:val="•"/>
      <w:lvlJc w:val="left"/>
      <w:pPr>
        <w:ind w:left="986" w:hanging="84"/>
      </w:pPr>
      <w:rPr>
        <w:rFonts w:hint="default"/>
      </w:rPr>
    </w:lvl>
    <w:lvl w:ilvl="5" w:tplc="9B14F308">
      <w:numFmt w:val="bullet"/>
      <w:lvlText w:val="•"/>
      <w:lvlJc w:val="left"/>
      <w:pPr>
        <w:ind w:left="1198" w:hanging="84"/>
      </w:pPr>
      <w:rPr>
        <w:rFonts w:hint="default"/>
      </w:rPr>
    </w:lvl>
    <w:lvl w:ilvl="6" w:tplc="0810B19C">
      <w:numFmt w:val="bullet"/>
      <w:lvlText w:val="•"/>
      <w:lvlJc w:val="left"/>
      <w:pPr>
        <w:ind w:left="1410" w:hanging="84"/>
      </w:pPr>
      <w:rPr>
        <w:rFonts w:hint="default"/>
      </w:rPr>
    </w:lvl>
    <w:lvl w:ilvl="7" w:tplc="31D055D8">
      <w:numFmt w:val="bullet"/>
      <w:lvlText w:val="•"/>
      <w:lvlJc w:val="left"/>
      <w:pPr>
        <w:ind w:left="1621" w:hanging="84"/>
      </w:pPr>
      <w:rPr>
        <w:rFonts w:hint="default"/>
      </w:rPr>
    </w:lvl>
    <w:lvl w:ilvl="8" w:tplc="936E5852">
      <w:numFmt w:val="bullet"/>
      <w:lvlText w:val="•"/>
      <w:lvlJc w:val="left"/>
      <w:pPr>
        <w:ind w:left="1833" w:hanging="84"/>
      </w:pPr>
      <w:rPr>
        <w:rFonts w:hint="default"/>
      </w:rPr>
    </w:lvl>
  </w:abstractNum>
  <w:abstractNum w:abstractNumId="731" w15:restartNumberingAfterBreak="0">
    <w:nsid w:val="2EA40BA5"/>
    <w:multiLevelType w:val="hybridMultilevel"/>
    <w:tmpl w:val="D64A7102"/>
    <w:lvl w:ilvl="0" w:tplc="DA207A38">
      <w:numFmt w:val="bullet"/>
      <w:lvlText w:val=""/>
      <w:lvlJc w:val="left"/>
      <w:pPr>
        <w:ind w:left="156" w:hanging="100"/>
      </w:pPr>
      <w:rPr>
        <w:rFonts w:ascii="Symbol" w:eastAsia="Symbol" w:hAnsi="Symbol" w:cs="Symbol" w:hint="default"/>
        <w:color w:val="231F20"/>
        <w:w w:val="100"/>
        <w:sz w:val="14"/>
        <w:szCs w:val="14"/>
      </w:rPr>
    </w:lvl>
    <w:lvl w:ilvl="1" w:tplc="3DE289EC">
      <w:numFmt w:val="bullet"/>
      <w:lvlText w:val="•"/>
      <w:lvlJc w:val="left"/>
      <w:pPr>
        <w:ind w:left="273" w:hanging="100"/>
      </w:pPr>
      <w:rPr>
        <w:rFonts w:hint="default"/>
      </w:rPr>
    </w:lvl>
    <w:lvl w:ilvl="2" w:tplc="AE2087E8">
      <w:numFmt w:val="bullet"/>
      <w:lvlText w:val="•"/>
      <w:lvlJc w:val="left"/>
      <w:pPr>
        <w:ind w:left="386" w:hanging="100"/>
      </w:pPr>
      <w:rPr>
        <w:rFonts w:hint="default"/>
      </w:rPr>
    </w:lvl>
    <w:lvl w:ilvl="3" w:tplc="47FE3F5C">
      <w:numFmt w:val="bullet"/>
      <w:lvlText w:val="•"/>
      <w:lvlJc w:val="left"/>
      <w:pPr>
        <w:ind w:left="500" w:hanging="100"/>
      </w:pPr>
      <w:rPr>
        <w:rFonts w:hint="default"/>
      </w:rPr>
    </w:lvl>
    <w:lvl w:ilvl="4" w:tplc="41D4B5B0">
      <w:numFmt w:val="bullet"/>
      <w:lvlText w:val="•"/>
      <w:lvlJc w:val="left"/>
      <w:pPr>
        <w:ind w:left="613" w:hanging="100"/>
      </w:pPr>
      <w:rPr>
        <w:rFonts w:hint="default"/>
      </w:rPr>
    </w:lvl>
    <w:lvl w:ilvl="5" w:tplc="92EE4A52">
      <w:numFmt w:val="bullet"/>
      <w:lvlText w:val="•"/>
      <w:lvlJc w:val="left"/>
      <w:pPr>
        <w:ind w:left="727" w:hanging="100"/>
      </w:pPr>
      <w:rPr>
        <w:rFonts w:hint="default"/>
      </w:rPr>
    </w:lvl>
    <w:lvl w:ilvl="6" w:tplc="ACF6DE0E">
      <w:numFmt w:val="bullet"/>
      <w:lvlText w:val="•"/>
      <w:lvlJc w:val="left"/>
      <w:pPr>
        <w:ind w:left="840" w:hanging="100"/>
      </w:pPr>
      <w:rPr>
        <w:rFonts w:hint="default"/>
      </w:rPr>
    </w:lvl>
    <w:lvl w:ilvl="7" w:tplc="68B8BF20">
      <w:numFmt w:val="bullet"/>
      <w:lvlText w:val="•"/>
      <w:lvlJc w:val="left"/>
      <w:pPr>
        <w:ind w:left="953" w:hanging="100"/>
      </w:pPr>
      <w:rPr>
        <w:rFonts w:hint="default"/>
      </w:rPr>
    </w:lvl>
    <w:lvl w:ilvl="8" w:tplc="B5B211B4">
      <w:numFmt w:val="bullet"/>
      <w:lvlText w:val="•"/>
      <w:lvlJc w:val="left"/>
      <w:pPr>
        <w:ind w:left="1067" w:hanging="100"/>
      </w:pPr>
      <w:rPr>
        <w:rFonts w:hint="default"/>
      </w:rPr>
    </w:lvl>
  </w:abstractNum>
  <w:abstractNum w:abstractNumId="732" w15:restartNumberingAfterBreak="0">
    <w:nsid w:val="2ECC12B6"/>
    <w:multiLevelType w:val="hybridMultilevel"/>
    <w:tmpl w:val="0B9EEBF4"/>
    <w:lvl w:ilvl="0" w:tplc="71786198">
      <w:numFmt w:val="bullet"/>
      <w:lvlText w:val=""/>
      <w:lvlJc w:val="left"/>
      <w:pPr>
        <w:ind w:left="156" w:hanging="100"/>
      </w:pPr>
      <w:rPr>
        <w:rFonts w:ascii="Symbol" w:eastAsia="Symbol" w:hAnsi="Symbol" w:cs="Symbol" w:hint="default"/>
        <w:color w:val="231F20"/>
        <w:w w:val="100"/>
        <w:sz w:val="14"/>
        <w:szCs w:val="14"/>
      </w:rPr>
    </w:lvl>
    <w:lvl w:ilvl="1" w:tplc="A43E4B04">
      <w:numFmt w:val="bullet"/>
      <w:lvlText w:val="•"/>
      <w:lvlJc w:val="left"/>
      <w:pPr>
        <w:ind w:left="426" w:hanging="100"/>
      </w:pPr>
      <w:rPr>
        <w:rFonts w:hint="default"/>
      </w:rPr>
    </w:lvl>
    <w:lvl w:ilvl="2" w:tplc="32985AEC">
      <w:numFmt w:val="bullet"/>
      <w:lvlText w:val="•"/>
      <w:lvlJc w:val="left"/>
      <w:pPr>
        <w:ind w:left="692" w:hanging="100"/>
      </w:pPr>
      <w:rPr>
        <w:rFonts w:hint="default"/>
      </w:rPr>
    </w:lvl>
    <w:lvl w:ilvl="3" w:tplc="AA60B35A">
      <w:numFmt w:val="bullet"/>
      <w:lvlText w:val="•"/>
      <w:lvlJc w:val="left"/>
      <w:pPr>
        <w:ind w:left="959" w:hanging="100"/>
      </w:pPr>
      <w:rPr>
        <w:rFonts w:hint="default"/>
      </w:rPr>
    </w:lvl>
    <w:lvl w:ilvl="4" w:tplc="266EA35A">
      <w:numFmt w:val="bullet"/>
      <w:lvlText w:val="•"/>
      <w:lvlJc w:val="left"/>
      <w:pPr>
        <w:ind w:left="1225" w:hanging="100"/>
      </w:pPr>
      <w:rPr>
        <w:rFonts w:hint="default"/>
      </w:rPr>
    </w:lvl>
    <w:lvl w:ilvl="5" w:tplc="4816DD8E">
      <w:numFmt w:val="bullet"/>
      <w:lvlText w:val="•"/>
      <w:lvlJc w:val="left"/>
      <w:pPr>
        <w:ind w:left="1492" w:hanging="100"/>
      </w:pPr>
      <w:rPr>
        <w:rFonts w:hint="default"/>
      </w:rPr>
    </w:lvl>
    <w:lvl w:ilvl="6" w:tplc="3D08E40C">
      <w:numFmt w:val="bullet"/>
      <w:lvlText w:val="•"/>
      <w:lvlJc w:val="left"/>
      <w:pPr>
        <w:ind w:left="1758" w:hanging="100"/>
      </w:pPr>
      <w:rPr>
        <w:rFonts w:hint="default"/>
      </w:rPr>
    </w:lvl>
    <w:lvl w:ilvl="7" w:tplc="37867F82">
      <w:numFmt w:val="bullet"/>
      <w:lvlText w:val="•"/>
      <w:lvlJc w:val="left"/>
      <w:pPr>
        <w:ind w:left="2024" w:hanging="100"/>
      </w:pPr>
      <w:rPr>
        <w:rFonts w:hint="default"/>
      </w:rPr>
    </w:lvl>
    <w:lvl w:ilvl="8" w:tplc="2E641EB4">
      <w:numFmt w:val="bullet"/>
      <w:lvlText w:val="•"/>
      <w:lvlJc w:val="left"/>
      <w:pPr>
        <w:ind w:left="2291" w:hanging="100"/>
      </w:pPr>
      <w:rPr>
        <w:rFonts w:hint="default"/>
      </w:rPr>
    </w:lvl>
  </w:abstractNum>
  <w:abstractNum w:abstractNumId="733" w15:restartNumberingAfterBreak="0">
    <w:nsid w:val="2ECF6B42"/>
    <w:multiLevelType w:val="hybridMultilevel"/>
    <w:tmpl w:val="1CEE3548"/>
    <w:lvl w:ilvl="0" w:tplc="661E07BE">
      <w:numFmt w:val="bullet"/>
      <w:lvlText w:val=""/>
      <w:lvlJc w:val="left"/>
      <w:pPr>
        <w:ind w:left="156" w:hanging="100"/>
      </w:pPr>
      <w:rPr>
        <w:rFonts w:ascii="Symbol" w:eastAsia="Symbol" w:hAnsi="Symbol" w:cs="Symbol" w:hint="default"/>
        <w:color w:val="231F20"/>
        <w:w w:val="100"/>
        <w:sz w:val="14"/>
        <w:szCs w:val="14"/>
      </w:rPr>
    </w:lvl>
    <w:lvl w:ilvl="1" w:tplc="5C4E7D7C">
      <w:numFmt w:val="bullet"/>
      <w:lvlText w:val="•"/>
      <w:lvlJc w:val="left"/>
      <w:pPr>
        <w:ind w:left="301" w:hanging="100"/>
      </w:pPr>
      <w:rPr>
        <w:rFonts w:hint="default"/>
      </w:rPr>
    </w:lvl>
    <w:lvl w:ilvl="2" w:tplc="70C0D362">
      <w:numFmt w:val="bullet"/>
      <w:lvlText w:val="•"/>
      <w:lvlJc w:val="left"/>
      <w:pPr>
        <w:ind w:left="443" w:hanging="100"/>
      </w:pPr>
      <w:rPr>
        <w:rFonts w:hint="default"/>
      </w:rPr>
    </w:lvl>
    <w:lvl w:ilvl="3" w:tplc="F0A6991E">
      <w:numFmt w:val="bullet"/>
      <w:lvlText w:val="•"/>
      <w:lvlJc w:val="left"/>
      <w:pPr>
        <w:ind w:left="585" w:hanging="100"/>
      </w:pPr>
      <w:rPr>
        <w:rFonts w:hint="default"/>
      </w:rPr>
    </w:lvl>
    <w:lvl w:ilvl="4" w:tplc="9458699C">
      <w:numFmt w:val="bullet"/>
      <w:lvlText w:val="•"/>
      <w:lvlJc w:val="left"/>
      <w:pPr>
        <w:ind w:left="726" w:hanging="100"/>
      </w:pPr>
      <w:rPr>
        <w:rFonts w:hint="default"/>
      </w:rPr>
    </w:lvl>
    <w:lvl w:ilvl="5" w:tplc="1116C602">
      <w:numFmt w:val="bullet"/>
      <w:lvlText w:val="•"/>
      <w:lvlJc w:val="left"/>
      <w:pPr>
        <w:ind w:left="868" w:hanging="100"/>
      </w:pPr>
      <w:rPr>
        <w:rFonts w:hint="default"/>
      </w:rPr>
    </w:lvl>
    <w:lvl w:ilvl="6" w:tplc="E23E14C6">
      <w:numFmt w:val="bullet"/>
      <w:lvlText w:val="•"/>
      <w:lvlJc w:val="left"/>
      <w:pPr>
        <w:ind w:left="1010" w:hanging="100"/>
      </w:pPr>
      <w:rPr>
        <w:rFonts w:hint="default"/>
      </w:rPr>
    </w:lvl>
    <w:lvl w:ilvl="7" w:tplc="535ED594">
      <w:numFmt w:val="bullet"/>
      <w:lvlText w:val="•"/>
      <w:lvlJc w:val="left"/>
      <w:pPr>
        <w:ind w:left="1151" w:hanging="100"/>
      </w:pPr>
      <w:rPr>
        <w:rFonts w:hint="default"/>
      </w:rPr>
    </w:lvl>
    <w:lvl w:ilvl="8" w:tplc="0DC0EC2C">
      <w:numFmt w:val="bullet"/>
      <w:lvlText w:val="•"/>
      <w:lvlJc w:val="left"/>
      <w:pPr>
        <w:ind w:left="1293" w:hanging="100"/>
      </w:pPr>
      <w:rPr>
        <w:rFonts w:hint="default"/>
      </w:rPr>
    </w:lvl>
  </w:abstractNum>
  <w:abstractNum w:abstractNumId="734" w15:restartNumberingAfterBreak="0">
    <w:nsid w:val="2EDA16FB"/>
    <w:multiLevelType w:val="hybridMultilevel"/>
    <w:tmpl w:val="A330DB84"/>
    <w:lvl w:ilvl="0" w:tplc="0954288A">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A12A3FB6">
      <w:numFmt w:val="bullet"/>
      <w:lvlText w:val="•"/>
      <w:lvlJc w:val="left"/>
      <w:pPr>
        <w:ind w:left="408" w:hanging="84"/>
      </w:pPr>
      <w:rPr>
        <w:rFonts w:hint="default"/>
      </w:rPr>
    </w:lvl>
    <w:lvl w:ilvl="2" w:tplc="910A9F6E">
      <w:numFmt w:val="bullet"/>
      <w:lvlText w:val="•"/>
      <w:lvlJc w:val="left"/>
      <w:pPr>
        <w:ind w:left="676" w:hanging="84"/>
      </w:pPr>
      <w:rPr>
        <w:rFonts w:hint="default"/>
      </w:rPr>
    </w:lvl>
    <w:lvl w:ilvl="3" w:tplc="E4509548">
      <w:numFmt w:val="bullet"/>
      <w:lvlText w:val="•"/>
      <w:lvlJc w:val="left"/>
      <w:pPr>
        <w:ind w:left="945" w:hanging="84"/>
      </w:pPr>
      <w:rPr>
        <w:rFonts w:hint="default"/>
      </w:rPr>
    </w:lvl>
    <w:lvl w:ilvl="4" w:tplc="63CE6E8A">
      <w:numFmt w:val="bullet"/>
      <w:lvlText w:val="•"/>
      <w:lvlJc w:val="left"/>
      <w:pPr>
        <w:ind w:left="1213" w:hanging="84"/>
      </w:pPr>
      <w:rPr>
        <w:rFonts w:hint="default"/>
      </w:rPr>
    </w:lvl>
    <w:lvl w:ilvl="5" w:tplc="098A5A16">
      <w:numFmt w:val="bullet"/>
      <w:lvlText w:val="•"/>
      <w:lvlJc w:val="left"/>
      <w:pPr>
        <w:ind w:left="1482" w:hanging="84"/>
      </w:pPr>
      <w:rPr>
        <w:rFonts w:hint="default"/>
      </w:rPr>
    </w:lvl>
    <w:lvl w:ilvl="6" w:tplc="6310BBC4">
      <w:numFmt w:val="bullet"/>
      <w:lvlText w:val="•"/>
      <w:lvlJc w:val="left"/>
      <w:pPr>
        <w:ind w:left="1750" w:hanging="84"/>
      </w:pPr>
      <w:rPr>
        <w:rFonts w:hint="default"/>
      </w:rPr>
    </w:lvl>
    <w:lvl w:ilvl="7" w:tplc="BE9ABF0A">
      <w:numFmt w:val="bullet"/>
      <w:lvlText w:val="•"/>
      <w:lvlJc w:val="left"/>
      <w:pPr>
        <w:ind w:left="2018" w:hanging="84"/>
      </w:pPr>
      <w:rPr>
        <w:rFonts w:hint="default"/>
      </w:rPr>
    </w:lvl>
    <w:lvl w:ilvl="8" w:tplc="77C6873C">
      <w:numFmt w:val="bullet"/>
      <w:lvlText w:val="•"/>
      <w:lvlJc w:val="left"/>
      <w:pPr>
        <w:ind w:left="2287" w:hanging="84"/>
      </w:pPr>
      <w:rPr>
        <w:rFonts w:hint="default"/>
      </w:rPr>
    </w:lvl>
  </w:abstractNum>
  <w:abstractNum w:abstractNumId="735" w15:restartNumberingAfterBreak="0">
    <w:nsid w:val="2EEC428C"/>
    <w:multiLevelType w:val="hybridMultilevel"/>
    <w:tmpl w:val="547CA4E6"/>
    <w:lvl w:ilvl="0" w:tplc="84BC9604">
      <w:numFmt w:val="bullet"/>
      <w:lvlText w:val=""/>
      <w:lvlJc w:val="left"/>
      <w:pPr>
        <w:ind w:left="156" w:hanging="100"/>
      </w:pPr>
      <w:rPr>
        <w:rFonts w:ascii="Symbol" w:eastAsia="Symbol" w:hAnsi="Symbol" w:cs="Symbol" w:hint="default"/>
        <w:color w:val="231F20"/>
        <w:w w:val="100"/>
        <w:sz w:val="14"/>
        <w:szCs w:val="14"/>
      </w:rPr>
    </w:lvl>
    <w:lvl w:ilvl="1" w:tplc="8042CF30">
      <w:numFmt w:val="bullet"/>
      <w:lvlText w:val="•"/>
      <w:lvlJc w:val="left"/>
      <w:pPr>
        <w:ind w:left="301" w:hanging="100"/>
      </w:pPr>
      <w:rPr>
        <w:rFonts w:hint="default"/>
      </w:rPr>
    </w:lvl>
    <w:lvl w:ilvl="2" w:tplc="00D68108">
      <w:numFmt w:val="bullet"/>
      <w:lvlText w:val="•"/>
      <w:lvlJc w:val="left"/>
      <w:pPr>
        <w:ind w:left="443" w:hanging="100"/>
      </w:pPr>
      <w:rPr>
        <w:rFonts w:hint="default"/>
      </w:rPr>
    </w:lvl>
    <w:lvl w:ilvl="3" w:tplc="6DCCA8B6">
      <w:numFmt w:val="bullet"/>
      <w:lvlText w:val="•"/>
      <w:lvlJc w:val="left"/>
      <w:pPr>
        <w:ind w:left="585" w:hanging="100"/>
      </w:pPr>
      <w:rPr>
        <w:rFonts w:hint="default"/>
      </w:rPr>
    </w:lvl>
    <w:lvl w:ilvl="4" w:tplc="B8621E00">
      <w:numFmt w:val="bullet"/>
      <w:lvlText w:val="•"/>
      <w:lvlJc w:val="left"/>
      <w:pPr>
        <w:ind w:left="726" w:hanging="100"/>
      </w:pPr>
      <w:rPr>
        <w:rFonts w:hint="default"/>
      </w:rPr>
    </w:lvl>
    <w:lvl w:ilvl="5" w:tplc="2D6E2FDE">
      <w:numFmt w:val="bullet"/>
      <w:lvlText w:val="•"/>
      <w:lvlJc w:val="left"/>
      <w:pPr>
        <w:ind w:left="868" w:hanging="100"/>
      </w:pPr>
      <w:rPr>
        <w:rFonts w:hint="default"/>
      </w:rPr>
    </w:lvl>
    <w:lvl w:ilvl="6" w:tplc="B6322B90">
      <w:numFmt w:val="bullet"/>
      <w:lvlText w:val="•"/>
      <w:lvlJc w:val="left"/>
      <w:pPr>
        <w:ind w:left="1010" w:hanging="100"/>
      </w:pPr>
      <w:rPr>
        <w:rFonts w:hint="default"/>
      </w:rPr>
    </w:lvl>
    <w:lvl w:ilvl="7" w:tplc="ACA26074">
      <w:numFmt w:val="bullet"/>
      <w:lvlText w:val="•"/>
      <w:lvlJc w:val="left"/>
      <w:pPr>
        <w:ind w:left="1151" w:hanging="100"/>
      </w:pPr>
      <w:rPr>
        <w:rFonts w:hint="default"/>
      </w:rPr>
    </w:lvl>
    <w:lvl w:ilvl="8" w:tplc="DD908462">
      <w:numFmt w:val="bullet"/>
      <w:lvlText w:val="•"/>
      <w:lvlJc w:val="left"/>
      <w:pPr>
        <w:ind w:left="1293" w:hanging="100"/>
      </w:pPr>
      <w:rPr>
        <w:rFonts w:hint="default"/>
      </w:rPr>
    </w:lvl>
  </w:abstractNum>
  <w:abstractNum w:abstractNumId="736" w15:restartNumberingAfterBreak="0">
    <w:nsid w:val="2F103F6C"/>
    <w:multiLevelType w:val="hybridMultilevel"/>
    <w:tmpl w:val="C9E2855E"/>
    <w:lvl w:ilvl="0" w:tplc="F92CCA78">
      <w:numFmt w:val="bullet"/>
      <w:lvlText w:val=""/>
      <w:lvlJc w:val="left"/>
      <w:pPr>
        <w:ind w:left="156" w:hanging="100"/>
      </w:pPr>
      <w:rPr>
        <w:rFonts w:ascii="Symbol" w:eastAsia="Symbol" w:hAnsi="Symbol" w:cs="Symbol" w:hint="default"/>
        <w:color w:val="231F20"/>
        <w:w w:val="100"/>
        <w:sz w:val="14"/>
        <w:szCs w:val="14"/>
      </w:rPr>
    </w:lvl>
    <w:lvl w:ilvl="1" w:tplc="F41429AC">
      <w:numFmt w:val="bullet"/>
      <w:lvlText w:val="•"/>
      <w:lvlJc w:val="left"/>
      <w:pPr>
        <w:ind w:left="398" w:hanging="100"/>
      </w:pPr>
      <w:rPr>
        <w:rFonts w:hint="default"/>
      </w:rPr>
    </w:lvl>
    <w:lvl w:ilvl="2" w:tplc="1772F4D4">
      <w:numFmt w:val="bullet"/>
      <w:lvlText w:val="•"/>
      <w:lvlJc w:val="left"/>
      <w:pPr>
        <w:ind w:left="636" w:hanging="100"/>
      </w:pPr>
      <w:rPr>
        <w:rFonts w:hint="default"/>
      </w:rPr>
    </w:lvl>
    <w:lvl w:ilvl="3" w:tplc="2C3A17D6">
      <w:numFmt w:val="bullet"/>
      <w:lvlText w:val="•"/>
      <w:lvlJc w:val="left"/>
      <w:pPr>
        <w:ind w:left="874" w:hanging="100"/>
      </w:pPr>
      <w:rPr>
        <w:rFonts w:hint="default"/>
      </w:rPr>
    </w:lvl>
    <w:lvl w:ilvl="4" w:tplc="B6185F88">
      <w:numFmt w:val="bullet"/>
      <w:lvlText w:val="•"/>
      <w:lvlJc w:val="left"/>
      <w:pPr>
        <w:ind w:left="1112" w:hanging="100"/>
      </w:pPr>
      <w:rPr>
        <w:rFonts w:hint="default"/>
      </w:rPr>
    </w:lvl>
    <w:lvl w:ilvl="5" w:tplc="6B6EDE04">
      <w:numFmt w:val="bullet"/>
      <w:lvlText w:val="•"/>
      <w:lvlJc w:val="left"/>
      <w:pPr>
        <w:ind w:left="1350" w:hanging="100"/>
      </w:pPr>
      <w:rPr>
        <w:rFonts w:hint="default"/>
      </w:rPr>
    </w:lvl>
    <w:lvl w:ilvl="6" w:tplc="F3EAFE9A">
      <w:numFmt w:val="bullet"/>
      <w:lvlText w:val="•"/>
      <w:lvlJc w:val="left"/>
      <w:pPr>
        <w:ind w:left="1588" w:hanging="100"/>
      </w:pPr>
      <w:rPr>
        <w:rFonts w:hint="default"/>
      </w:rPr>
    </w:lvl>
    <w:lvl w:ilvl="7" w:tplc="ECCAA470">
      <w:numFmt w:val="bullet"/>
      <w:lvlText w:val="•"/>
      <w:lvlJc w:val="left"/>
      <w:pPr>
        <w:ind w:left="1826" w:hanging="100"/>
      </w:pPr>
      <w:rPr>
        <w:rFonts w:hint="default"/>
      </w:rPr>
    </w:lvl>
    <w:lvl w:ilvl="8" w:tplc="D5AA5438">
      <w:numFmt w:val="bullet"/>
      <w:lvlText w:val="•"/>
      <w:lvlJc w:val="left"/>
      <w:pPr>
        <w:ind w:left="2064" w:hanging="100"/>
      </w:pPr>
      <w:rPr>
        <w:rFonts w:hint="default"/>
      </w:rPr>
    </w:lvl>
  </w:abstractNum>
  <w:abstractNum w:abstractNumId="737" w15:restartNumberingAfterBreak="0">
    <w:nsid w:val="2F1329E1"/>
    <w:multiLevelType w:val="hybridMultilevel"/>
    <w:tmpl w:val="BA48F69C"/>
    <w:lvl w:ilvl="0" w:tplc="68DAE9D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7B90D52C">
      <w:numFmt w:val="bullet"/>
      <w:lvlText w:val="•"/>
      <w:lvlJc w:val="left"/>
      <w:pPr>
        <w:ind w:left="408" w:hanging="84"/>
      </w:pPr>
      <w:rPr>
        <w:rFonts w:hint="default"/>
      </w:rPr>
    </w:lvl>
    <w:lvl w:ilvl="2" w:tplc="9112E988">
      <w:numFmt w:val="bullet"/>
      <w:lvlText w:val="•"/>
      <w:lvlJc w:val="left"/>
      <w:pPr>
        <w:ind w:left="676" w:hanging="84"/>
      </w:pPr>
      <w:rPr>
        <w:rFonts w:hint="default"/>
      </w:rPr>
    </w:lvl>
    <w:lvl w:ilvl="3" w:tplc="A93E19B8">
      <w:numFmt w:val="bullet"/>
      <w:lvlText w:val="•"/>
      <w:lvlJc w:val="left"/>
      <w:pPr>
        <w:ind w:left="945" w:hanging="84"/>
      </w:pPr>
      <w:rPr>
        <w:rFonts w:hint="default"/>
      </w:rPr>
    </w:lvl>
    <w:lvl w:ilvl="4" w:tplc="23FE51C8">
      <w:numFmt w:val="bullet"/>
      <w:lvlText w:val="•"/>
      <w:lvlJc w:val="left"/>
      <w:pPr>
        <w:ind w:left="1213" w:hanging="84"/>
      </w:pPr>
      <w:rPr>
        <w:rFonts w:hint="default"/>
      </w:rPr>
    </w:lvl>
    <w:lvl w:ilvl="5" w:tplc="ED7440D2">
      <w:numFmt w:val="bullet"/>
      <w:lvlText w:val="•"/>
      <w:lvlJc w:val="left"/>
      <w:pPr>
        <w:ind w:left="1482" w:hanging="84"/>
      </w:pPr>
      <w:rPr>
        <w:rFonts w:hint="default"/>
      </w:rPr>
    </w:lvl>
    <w:lvl w:ilvl="6" w:tplc="3D044576">
      <w:numFmt w:val="bullet"/>
      <w:lvlText w:val="•"/>
      <w:lvlJc w:val="left"/>
      <w:pPr>
        <w:ind w:left="1750" w:hanging="84"/>
      </w:pPr>
      <w:rPr>
        <w:rFonts w:hint="default"/>
      </w:rPr>
    </w:lvl>
    <w:lvl w:ilvl="7" w:tplc="19B6C9AA">
      <w:numFmt w:val="bullet"/>
      <w:lvlText w:val="•"/>
      <w:lvlJc w:val="left"/>
      <w:pPr>
        <w:ind w:left="2018" w:hanging="84"/>
      </w:pPr>
      <w:rPr>
        <w:rFonts w:hint="default"/>
      </w:rPr>
    </w:lvl>
    <w:lvl w:ilvl="8" w:tplc="348C5246">
      <w:numFmt w:val="bullet"/>
      <w:lvlText w:val="•"/>
      <w:lvlJc w:val="left"/>
      <w:pPr>
        <w:ind w:left="2287" w:hanging="84"/>
      </w:pPr>
      <w:rPr>
        <w:rFonts w:hint="default"/>
      </w:rPr>
    </w:lvl>
  </w:abstractNum>
  <w:abstractNum w:abstractNumId="738" w15:restartNumberingAfterBreak="0">
    <w:nsid w:val="2F174CD7"/>
    <w:multiLevelType w:val="hybridMultilevel"/>
    <w:tmpl w:val="3AB0E854"/>
    <w:lvl w:ilvl="0" w:tplc="6AC44DBA">
      <w:numFmt w:val="bullet"/>
      <w:lvlText w:val=""/>
      <w:lvlJc w:val="left"/>
      <w:pPr>
        <w:ind w:left="156" w:hanging="100"/>
      </w:pPr>
      <w:rPr>
        <w:rFonts w:ascii="Symbol" w:eastAsia="Symbol" w:hAnsi="Symbol" w:cs="Symbol" w:hint="default"/>
        <w:color w:val="231F20"/>
        <w:w w:val="100"/>
        <w:sz w:val="14"/>
        <w:szCs w:val="14"/>
      </w:rPr>
    </w:lvl>
    <w:lvl w:ilvl="1" w:tplc="45624AFC">
      <w:numFmt w:val="bullet"/>
      <w:lvlText w:val="•"/>
      <w:lvlJc w:val="left"/>
      <w:pPr>
        <w:ind w:left="426" w:hanging="100"/>
      </w:pPr>
      <w:rPr>
        <w:rFonts w:hint="default"/>
      </w:rPr>
    </w:lvl>
    <w:lvl w:ilvl="2" w:tplc="3774A732">
      <w:numFmt w:val="bullet"/>
      <w:lvlText w:val="•"/>
      <w:lvlJc w:val="left"/>
      <w:pPr>
        <w:ind w:left="692" w:hanging="100"/>
      </w:pPr>
      <w:rPr>
        <w:rFonts w:hint="default"/>
      </w:rPr>
    </w:lvl>
    <w:lvl w:ilvl="3" w:tplc="C83420AE">
      <w:numFmt w:val="bullet"/>
      <w:lvlText w:val="•"/>
      <w:lvlJc w:val="left"/>
      <w:pPr>
        <w:ind w:left="959" w:hanging="100"/>
      </w:pPr>
      <w:rPr>
        <w:rFonts w:hint="default"/>
      </w:rPr>
    </w:lvl>
    <w:lvl w:ilvl="4" w:tplc="0DDAD718">
      <w:numFmt w:val="bullet"/>
      <w:lvlText w:val="•"/>
      <w:lvlJc w:val="left"/>
      <w:pPr>
        <w:ind w:left="1225" w:hanging="100"/>
      </w:pPr>
      <w:rPr>
        <w:rFonts w:hint="default"/>
      </w:rPr>
    </w:lvl>
    <w:lvl w:ilvl="5" w:tplc="67A23B58">
      <w:numFmt w:val="bullet"/>
      <w:lvlText w:val="•"/>
      <w:lvlJc w:val="left"/>
      <w:pPr>
        <w:ind w:left="1492" w:hanging="100"/>
      </w:pPr>
      <w:rPr>
        <w:rFonts w:hint="default"/>
      </w:rPr>
    </w:lvl>
    <w:lvl w:ilvl="6" w:tplc="1CB8065E">
      <w:numFmt w:val="bullet"/>
      <w:lvlText w:val="•"/>
      <w:lvlJc w:val="left"/>
      <w:pPr>
        <w:ind w:left="1758" w:hanging="100"/>
      </w:pPr>
      <w:rPr>
        <w:rFonts w:hint="default"/>
      </w:rPr>
    </w:lvl>
    <w:lvl w:ilvl="7" w:tplc="8CE01494">
      <w:numFmt w:val="bullet"/>
      <w:lvlText w:val="•"/>
      <w:lvlJc w:val="left"/>
      <w:pPr>
        <w:ind w:left="2024" w:hanging="100"/>
      </w:pPr>
      <w:rPr>
        <w:rFonts w:hint="default"/>
      </w:rPr>
    </w:lvl>
    <w:lvl w:ilvl="8" w:tplc="B4F6D186">
      <w:numFmt w:val="bullet"/>
      <w:lvlText w:val="•"/>
      <w:lvlJc w:val="left"/>
      <w:pPr>
        <w:ind w:left="2291" w:hanging="100"/>
      </w:pPr>
      <w:rPr>
        <w:rFonts w:hint="default"/>
      </w:rPr>
    </w:lvl>
  </w:abstractNum>
  <w:abstractNum w:abstractNumId="739" w15:restartNumberingAfterBreak="0">
    <w:nsid w:val="2F300DCC"/>
    <w:multiLevelType w:val="hybridMultilevel"/>
    <w:tmpl w:val="F998E8D4"/>
    <w:lvl w:ilvl="0" w:tplc="BA54DFBC">
      <w:numFmt w:val="bullet"/>
      <w:lvlText w:val=""/>
      <w:lvlJc w:val="left"/>
      <w:pPr>
        <w:ind w:left="157" w:hanging="100"/>
      </w:pPr>
      <w:rPr>
        <w:rFonts w:ascii="Symbol" w:eastAsia="Symbol" w:hAnsi="Symbol" w:cs="Symbol" w:hint="default"/>
        <w:color w:val="231F20"/>
        <w:w w:val="100"/>
        <w:sz w:val="14"/>
        <w:szCs w:val="14"/>
      </w:rPr>
    </w:lvl>
    <w:lvl w:ilvl="1" w:tplc="C4FC759A">
      <w:numFmt w:val="bullet"/>
      <w:lvlText w:val="•"/>
      <w:lvlJc w:val="left"/>
      <w:pPr>
        <w:ind w:left="301" w:hanging="100"/>
      </w:pPr>
      <w:rPr>
        <w:rFonts w:hint="default"/>
      </w:rPr>
    </w:lvl>
    <w:lvl w:ilvl="2" w:tplc="1CE867EE">
      <w:numFmt w:val="bullet"/>
      <w:lvlText w:val="•"/>
      <w:lvlJc w:val="left"/>
      <w:pPr>
        <w:ind w:left="443" w:hanging="100"/>
      </w:pPr>
      <w:rPr>
        <w:rFonts w:hint="default"/>
      </w:rPr>
    </w:lvl>
    <w:lvl w:ilvl="3" w:tplc="AE162EAE">
      <w:numFmt w:val="bullet"/>
      <w:lvlText w:val="•"/>
      <w:lvlJc w:val="left"/>
      <w:pPr>
        <w:ind w:left="585" w:hanging="100"/>
      </w:pPr>
      <w:rPr>
        <w:rFonts w:hint="default"/>
      </w:rPr>
    </w:lvl>
    <w:lvl w:ilvl="4" w:tplc="15D013D4">
      <w:numFmt w:val="bullet"/>
      <w:lvlText w:val="•"/>
      <w:lvlJc w:val="left"/>
      <w:pPr>
        <w:ind w:left="726" w:hanging="100"/>
      </w:pPr>
      <w:rPr>
        <w:rFonts w:hint="default"/>
      </w:rPr>
    </w:lvl>
    <w:lvl w:ilvl="5" w:tplc="2DB26DB4">
      <w:numFmt w:val="bullet"/>
      <w:lvlText w:val="•"/>
      <w:lvlJc w:val="left"/>
      <w:pPr>
        <w:ind w:left="868" w:hanging="100"/>
      </w:pPr>
      <w:rPr>
        <w:rFonts w:hint="default"/>
      </w:rPr>
    </w:lvl>
    <w:lvl w:ilvl="6" w:tplc="F56CDC7A">
      <w:numFmt w:val="bullet"/>
      <w:lvlText w:val="•"/>
      <w:lvlJc w:val="left"/>
      <w:pPr>
        <w:ind w:left="1010" w:hanging="100"/>
      </w:pPr>
      <w:rPr>
        <w:rFonts w:hint="default"/>
      </w:rPr>
    </w:lvl>
    <w:lvl w:ilvl="7" w:tplc="AE04461A">
      <w:numFmt w:val="bullet"/>
      <w:lvlText w:val="•"/>
      <w:lvlJc w:val="left"/>
      <w:pPr>
        <w:ind w:left="1151" w:hanging="100"/>
      </w:pPr>
      <w:rPr>
        <w:rFonts w:hint="default"/>
      </w:rPr>
    </w:lvl>
    <w:lvl w:ilvl="8" w:tplc="B78ADE2E">
      <w:numFmt w:val="bullet"/>
      <w:lvlText w:val="•"/>
      <w:lvlJc w:val="left"/>
      <w:pPr>
        <w:ind w:left="1293" w:hanging="100"/>
      </w:pPr>
      <w:rPr>
        <w:rFonts w:hint="default"/>
      </w:rPr>
    </w:lvl>
  </w:abstractNum>
  <w:abstractNum w:abstractNumId="740" w15:restartNumberingAfterBreak="0">
    <w:nsid w:val="2F575E22"/>
    <w:multiLevelType w:val="hybridMultilevel"/>
    <w:tmpl w:val="18FCE262"/>
    <w:lvl w:ilvl="0" w:tplc="83F01156">
      <w:numFmt w:val="bullet"/>
      <w:lvlText w:val=""/>
      <w:lvlJc w:val="left"/>
      <w:pPr>
        <w:ind w:left="157" w:hanging="100"/>
      </w:pPr>
      <w:rPr>
        <w:rFonts w:ascii="Symbol" w:eastAsia="Symbol" w:hAnsi="Symbol" w:cs="Symbol" w:hint="default"/>
        <w:color w:val="231F20"/>
        <w:w w:val="100"/>
        <w:sz w:val="14"/>
        <w:szCs w:val="14"/>
      </w:rPr>
    </w:lvl>
    <w:lvl w:ilvl="1" w:tplc="8DEE6540">
      <w:numFmt w:val="bullet"/>
      <w:lvlText w:val="•"/>
      <w:lvlJc w:val="left"/>
      <w:pPr>
        <w:ind w:left="426" w:hanging="100"/>
      </w:pPr>
      <w:rPr>
        <w:rFonts w:hint="default"/>
      </w:rPr>
    </w:lvl>
    <w:lvl w:ilvl="2" w:tplc="CA4E9234">
      <w:numFmt w:val="bullet"/>
      <w:lvlText w:val="•"/>
      <w:lvlJc w:val="left"/>
      <w:pPr>
        <w:ind w:left="692" w:hanging="100"/>
      </w:pPr>
      <w:rPr>
        <w:rFonts w:hint="default"/>
      </w:rPr>
    </w:lvl>
    <w:lvl w:ilvl="3" w:tplc="5406BCD4">
      <w:numFmt w:val="bullet"/>
      <w:lvlText w:val="•"/>
      <w:lvlJc w:val="left"/>
      <w:pPr>
        <w:ind w:left="959" w:hanging="100"/>
      </w:pPr>
      <w:rPr>
        <w:rFonts w:hint="default"/>
      </w:rPr>
    </w:lvl>
    <w:lvl w:ilvl="4" w:tplc="A65A353C">
      <w:numFmt w:val="bullet"/>
      <w:lvlText w:val="•"/>
      <w:lvlJc w:val="left"/>
      <w:pPr>
        <w:ind w:left="1225" w:hanging="100"/>
      </w:pPr>
      <w:rPr>
        <w:rFonts w:hint="default"/>
      </w:rPr>
    </w:lvl>
    <w:lvl w:ilvl="5" w:tplc="CF0EF1BC">
      <w:numFmt w:val="bullet"/>
      <w:lvlText w:val="•"/>
      <w:lvlJc w:val="left"/>
      <w:pPr>
        <w:ind w:left="1492" w:hanging="100"/>
      </w:pPr>
      <w:rPr>
        <w:rFonts w:hint="default"/>
      </w:rPr>
    </w:lvl>
    <w:lvl w:ilvl="6" w:tplc="61E62630">
      <w:numFmt w:val="bullet"/>
      <w:lvlText w:val="•"/>
      <w:lvlJc w:val="left"/>
      <w:pPr>
        <w:ind w:left="1758" w:hanging="100"/>
      </w:pPr>
      <w:rPr>
        <w:rFonts w:hint="default"/>
      </w:rPr>
    </w:lvl>
    <w:lvl w:ilvl="7" w:tplc="45CAE5B2">
      <w:numFmt w:val="bullet"/>
      <w:lvlText w:val="•"/>
      <w:lvlJc w:val="left"/>
      <w:pPr>
        <w:ind w:left="2024" w:hanging="100"/>
      </w:pPr>
      <w:rPr>
        <w:rFonts w:hint="default"/>
      </w:rPr>
    </w:lvl>
    <w:lvl w:ilvl="8" w:tplc="6CCEAE7A">
      <w:numFmt w:val="bullet"/>
      <w:lvlText w:val="•"/>
      <w:lvlJc w:val="left"/>
      <w:pPr>
        <w:ind w:left="2291" w:hanging="100"/>
      </w:pPr>
      <w:rPr>
        <w:rFonts w:hint="default"/>
      </w:rPr>
    </w:lvl>
  </w:abstractNum>
  <w:abstractNum w:abstractNumId="741" w15:restartNumberingAfterBreak="0">
    <w:nsid w:val="2F580871"/>
    <w:multiLevelType w:val="hybridMultilevel"/>
    <w:tmpl w:val="F068679A"/>
    <w:lvl w:ilvl="0" w:tplc="E996CB32">
      <w:numFmt w:val="bullet"/>
      <w:lvlText w:val=""/>
      <w:lvlJc w:val="left"/>
      <w:pPr>
        <w:ind w:left="156" w:hanging="100"/>
      </w:pPr>
      <w:rPr>
        <w:rFonts w:ascii="Symbol" w:eastAsia="Symbol" w:hAnsi="Symbol" w:cs="Symbol" w:hint="default"/>
        <w:color w:val="231F20"/>
        <w:w w:val="100"/>
        <w:sz w:val="14"/>
        <w:szCs w:val="14"/>
      </w:rPr>
    </w:lvl>
    <w:lvl w:ilvl="1" w:tplc="F1C0D474">
      <w:numFmt w:val="bullet"/>
      <w:lvlText w:val="•"/>
      <w:lvlJc w:val="left"/>
      <w:pPr>
        <w:ind w:left="426" w:hanging="100"/>
      </w:pPr>
      <w:rPr>
        <w:rFonts w:hint="default"/>
      </w:rPr>
    </w:lvl>
    <w:lvl w:ilvl="2" w:tplc="12FEFF32">
      <w:numFmt w:val="bullet"/>
      <w:lvlText w:val="•"/>
      <w:lvlJc w:val="left"/>
      <w:pPr>
        <w:ind w:left="692" w:hanging="100"/>
      </w:pPr>
      <w:rPr>
        <w:rFonts w:hint="default"/>
      </w:rPr>
    </w:lvl>
    <w:lvl w:ilvl="3" w:tplc="C506F0B2">
      <w:numFmt w:val="bullet"/>
      <w:lvlText w:val="•"/>
      <w:lvlJc w:val="left"/>
      <w:pPr>
        <w:ind w:left="959" w:hanging="100"/>
      </w:pPr>
      <w:rPr>
        <w:rFonts w:hint="default"/>
      </w:rPr>
    </w:lvl>
    <w:lvl w:ilvl="4" w:tplc="79703BDE">
      <w:numFmt w:val="bullet"/>
      <w:lvlText w:val="•"/>
      <w:lvlJc w:val="left"/>
      <w:pPr>
        <w:ind w:left="1225" w:hanging="100"/>
      </w:pPr>
      <w:rPr>
        <w:rFonts w:hint="default"/>
      </w:rPr>
    </w:lvl>
    <w:lvl w:ilvl="5" w:tplc="29E003BE">
      <w:numFmt w:val="bullet"/>
      <w:lvlText w:val="•"/>
      <w:lvlJc w:val="left"/>
      <w:pPr>
        <w:ind w:left="1492" w:hanging="100"/>
      </w:pPr>
      <w:rPr>
        <w:rFonts w:hint="default"/>
      </w:rPr>
    </w:lvl>
    <w:lvl w:ilvl="6" w:tplc="DD88512C">
      <w:numFmt w:val="bullet"/>
      <w:lvlText w:val="•"/>
      <w:lvlJc w:val="left"/>
      <w:pPr>
        <w:ind w:left="1758" w:hanging="100"/>
      </w:pPr>
      <w:rPr>
        <w:rFonts w:hint="default"/>
      </w:rPr>
    </w:lvl>
    <w:lvl w:ilvl="7" w:tplc="57944A4C">
      <w:numFmt w:val="bullet"/>
      <w:lvlText w:val="•"/>
      <w:lvlJc w:val="left"/>
      <w:pPr>
        <w:ind w:left="2024" w:hanging="100"/>
      </w:pPr>
      <w:rPr>
        <w:rFonts w:hint="default"/>
      </w:rPr>
    </w:lvl>
    <w:lvl w:ilvl="8" w:tplc="C570D092">
      <w:numFmt w:val="bullet"/>
      <w:lvlText w:val="•"/>
      <w:lvlJc w:val="left"/>
      <w:pPr>
        <w:ind w:left="2291" w:hanging="100"/>
      </w:pPr>
      <w:rPr>
        <w:rFonts w:hint="default"/>
      </w:rPr>
    </w:lvl>
  </w:abstractNum>
  <w:abstractNum w:abstractNumId="742" w15:restartNumberingAfterBreak="0">
    <w:nsid w:val="2F593300"/>
    <w:multiLevelType w:val="hybridMultilevel"/>
    <w:tmpl w:val="ACFE1DAA"/>
    <w:lvl w:ilvl="0" w:tplc="835AB7A2">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504E11D6">
      <w:numFmt w:val="bullet"/>
      <w:lvlText w:val="•"/>
      <w:lvlJc w:val="left"/>
      <w:pPr>
        <w:ind w:left="426" w:hanging="105"/>
      </w:pPr>
      <w:rPr>
        <w:rFonts w:hint="default"/>
      </w:rPr>
    </w:lvl>
    <w:lvl w:ilvl="2" w:tplc="B5505B7E">
      <w:numFmt w:val="bullet"/>
      <w:lvlText w:val="•"/>
      <w:lvlJc w:val="left"/>
      <w:pPr>
        <w:ind w:left="692" w:hanging="105"/>
      </w:pPr>
      <w:rPr>
        <w:rFonts w:hint="default"/>
      </w:rPr>
    </w:lvl>
    <w:lvl w:ilvl="3" w:tplc="86C4B1E6">
      <w:numFmt w:val="bullet"/>
      <w:lvlText w:val="•"/>
      <w:lvlJc w:val="left"/>
      <w:pPr>
        <w:ind w:left="959" w:hanging="105"/>
      </w:pPr>
      <w:rPr>
        <w:rFonts w:hint="default"/>
      </w:rPr>
    </w:lvl>
    <w:lvl w:ilvl="4" w:tplc="3E6E69D0">
      <w:numFmt w:val="bullet"/>
      <w:lvlText w:val="•"/>
      <w:lvlJc w:val="left"/>
      <w:pPr>
        <w:ind w:left="1225" w:hanging="105"/>
      </w:pPr>
      <w:rPr>
        <w:rFonts w:hint="default"/>
      </w:rPr>
    </w:lvl>
    <w:lvl w:ilvl="5" w:tplc="C8947E50">
      <w:numFmt w:val="bullet"/>
      <w:lvlText w:val="•"/>
      <w:lvlJc w:val="left"/>
      <w:pPr>
        <w:ind w:left="1492" w:hanging="105"/>
      </w:pPr>
      <w:rPr>
        <w:rFonts w:hint="default"/>
      </w:rPr>
    </w:lvl>
    <w:lvl w:ilvl="6" w:tplc="41560D54">
      <w:numFmt w:val="bullet"/>
      <w:lvlText w:val="•"/>
      <w:lvlJc w:val="left"/>
      <w:pPr>
        <w:ind w:left="1758" w:hanging="105"/>
      </w:pPr>
      <w:rPr>
        <w:rFonts w:hint="default"/>
      </w:rPr>
    </w:lvl>
    <w:lvl w:ilvl="7" w:tplc="C1F098D8">
      <w:numFmt w:val="bullet"/>
      <w:lvlText w:val="•"/>
      <w:lvlJc w:val="left"/>
      <w:pPr>
        <w:ind w:left="2024" w:hanging="105"/>
      </w:pPr>
      <w:rPr>
        <w:rFonts w:hint="default"/>
      </w:rPr>
    </w:lvl>
    <w:lvl w:ilvl="8" w:tplc="1DF4818A">
      <w:numFmt w:val="bullet"/>
      <w:lvlText w:val="•"/>
      <w:lvlJc w:val="left"/>
      <w:pPr>
        <w:ind w:left="2291" w:hanging="105"/>
      </w:pPr>
      <w:rPr>
        <w:rFonts w:hint="default"/>
      </w:rPr>
    </w:lvl>
  </w:abstractNum>
  <w:abstractNum w:abstractNumId="743" w15:restartNumberingAfterBreak="0">
    <w:nsid w:val="2F5E65B3"/>
    <w:multiLevelType w:val="hybridMultilevel"/>
    <w:tmpl w:val="84763A6E"/>
    <w:lvl w:ilvl="0" w:tplc="F8E0665A">
      <w:numFmt w:val="bullet"/>
      <w:lvlText w:val=""/>
      <w:lvlJc w:val="left"/>
      <w:pPr>
        <w:ind w:left="156" w:hanging="100"/>
      </w:pPr>
      <w:rPr>
        <w:rFonts w:ascii="Symbol" w:eastAsia="Symbol" w:hAnsi="Symbol" w:cs="Symbol" w:hint="default"/>
        <w:color w:val="231F20"/>
        <w:w w:val="100"/>
        <w:sz w:val="14"/>
        <w:szCs w:val="14"/>
      </w:rPr>
    </w:lvl>
    <w:lvl w:ilvl="1" w:tplc="15363BE0">
      <w:numFmt w:val="bullet"/>
      <w:lvlText w:val="•"/>
      <w:lvlJc w:val="left"/>
      <w:pPr>
        <w:ind w:left="426" w:hanging="100"/>
      </w:pPr>
      <w:rPr>
        <w:rFonts w:hint="default"/>
      </w:rPr>
    </w:lvl>
    <w:lvl w:ilvl="2" w:tplc="5CAA3E4E">
      <w:numFmt w:val="bullet"/>
      <w:lvlText w:val="•"/>
      <w:lvlJc w:val="left"/>
      <w:pPr>
        <w:ind w:left="692" w:hanging="100"/>
      </w:pPr>
      <w:rPr>
        <w:rFonts w:hint="default"/>
      </w:rPr>
    </w:lvl>
    <w:lvl w:ilvl="3" w:tplc="B33A5FDC">
      <w:numFmt w:val="bullet"/>
      <w:lvlText w:val="•"/>
      <w:lvlJc w:val="left"/>
      <w:pPr>
        <w:ind w:left="959" w:hanging="100"/>
      </w:pPr>
      <w:rPr>
        <w:rFonts w:hint="default"/>
      </w:rPr>
    </w:lvl>
    <w:lvl w:ilvl="4" w:tplc="15A840C0">
      <w:numFmt w:val="bullet"/>
      <w:lvlText w:val="•"/>
      <w:lvlJc w:val="left"/>
      <w:pPr>
        <w:ind w:left="1225" w:hanging="100"/>
      </w:pPr>
      <w:rPr>
        <w:rFonts w:hint="default"/>
      </w:rPr>
    </w:lvl>
    <w:lvl w:ilvl="5" w:tplc="8500C7E4">
      <w:numFmt w:val="bullet"/>
      <w:lvlText w:val="•"/>
      <w:lvlJc w:val="left"/>
      <w:pPr>
        <w:ind w:left="1492" w:hanging="100"/>
      </w:pPr>
      <w:rPr>
        <w:rFonts w:hint="default"/>
      </w:rPr>
    </w:lvl>
    <w:lvl w:ilvl="6" w:tplc="2B5E2054">
      <w:numFmt w:val="bullet"/>
      <w:lvlText w:val="•"/>
      <w:lvlJc w:val="left"/>
      <w:pPr>
        <w:ind w:left="1758" w:hanging="100"/>
      </w:pPr>
      <w:rPr>
        <w:rFonts w:hint="default"/>
      </w:rPr>
    </w:lvl>
    <w:lvl w:ilvl="7" w:tplc="A4DC268E">
      <w:numFmt w:val="bullet"/>
      <w:lvlText w:val="•"/>
      <w:lvlJc w:val="left"/>
      <w:pPr>
        <w:ind w:left="2024" w:hanging="100"/>
      </w:pPr>
      <w:rPr>
        <w:rFonts w:hint="default"/>
      </w:rPr>
    </w:lvl>
    <w:lvl w:ilvl="8" w:tplc="6B38C014">
      <w:numFmt w:val="bullet"/>
      <w:lvlText w:val="•"/>
      <w:lvlJc w:val="left"/>
      <w:pPr>
        <w:ind w:left="2291" w:hanging="100"/>
      </w:pPr>
      <w:rPr>
        <w:rFonts w:hint="default"/>
      </w:rPr>
    </w:lvl>
  </w:abstractNum>
  <w:abstractNum w:abstractNumId="744" w15:restartNumberingAfterBreak="0">
    <w:nsid w:val="2F726B61"/>
    <w:multiLevelType w:val="hybridMultilevel"/>
    <w:tmpl w:val="74020B04"/>
    <w:lvl w:ilvl="0" w:tplc="0F3859B8">
      <w:numFmt w:val="bullet"/>
      <w:lvlText w:val=""/>
      <w:lvlJc w:val="left"/>
      <w:pPr>
        <w:ind w:left="156" w:hanging="100"/>
      </w:pPr>
      <w:rPr>
        <w:rFonts w:ascii="Symbol" w:eastAsia="Symbol" w:hAnsi="Symbol" w:cs="Symbol" w:hint="default"/>
        <w:color w:val="231F20"/>
        <w:w w:val="100"/>
        <w:sz w:val="14"/>
        <w:szCs w:val="14"/>
      </w:rPr>
    </w:lvl>
    <w:lvl w:ilvl="1" w:tplc="41246C40">
      <w:numFmt w:val="bullet"/>
      <w:lvlText w:val="•"/>
      <w:lvlJc w:val="left"/>
      <w:pPr>
        <w:ind w:left="301" w:hanging="100"/>
      </w:pPr>
      <w:rPr>
        <w:rFonts w:hint="default"/>
      </w:rPr>
    </w:lvl>
    <w:lvl w:ilvl="2" w:tplc="65FC0C18">
      <w:numFmt w:val="bullet"/>
      <w:lvlText w:val="•"/>
      <w:lvlJc w:val="left"/>
      <w:pPr>
        <w:ind w:left="443" w:hanging="100"/>
      </w:pPr>
      <w:rPr>
        <w:rFonts w:hint="default"/>
      </w:rPr>
    </w:lvl>
    <w:lvl w:ilvl="3" w:tplc="4AFC1900">
      <w:numFmt w:val="bullet"/>
      <w:lvlText w:val="•"/>
      <w:lvlJc w:val="left"/>
      <w:pPr>
        <w:ind w:left="585" w:hanging="100"/>
      </w:pPr>
      <w:rPr>
        <w:rFonts w:hint="default"/>
      </w:rPr>
    </w:lvl>
    <w:lvl w:ilvl="4" w:tplc="594AF2B8">
      <w:numFmt w:val="bullet"/>
      <w:lvlText w:val="•"/>
      <w:lvlJc w:val="left"/>
      <w:pPr>
        <w:ind w:left="726" w:hanging="100"/>
      </w:pPr>
      <w:rPr>
        <w:rFonts w:hint="default"/>
      </w:rPr>
    </w:lvl>
    <w:lvl w:ilvl="5" w:tplc="00C0096E">
      <w:numFmt w:val="bullet"/>
      <w:lvlText w:val="•"/>
      <w:lvlJc w:val="left"/>
      <w:pPr>
        <w:ind w:left="868" w:hanging="100"/>
      </w:pPr>
      <w:rPr>
        <w:rFonts w:hint="default"/>
      </w:rPr>
    </w:lvl>
    <w:lvl w:ilvl="6" w:tplc="1D0A6374">
      <w:numFmt w:val="bullet"/>
      <w:lvlText w:val="•"/>
      <w:lvlJc w:val="left"/>
      <w:pPr>
        <w:ind w:left="1010" w:hanging="100"/>
      </w:pPr>
      <w:rPr>
        <w:rFonts w:hint="default"/>
      </w:rPr>
    </w:lvl>
    <w:lvl w:ilvl="7" w:tplc="D4A4473E">
      <w:numFmt w:val="bullet"/>
      <w:lvlText w:val="•"/>
      <w:lvlJc w:val="left"/>
      <w:pPr>
        <w:ind w:left="1151" w:hanging="100"/>
      </w:pPr>
      <w:rPr>
        <w:rFonts w:hint="default"/>
      </w:rPr>
    </w:lvl>
    <w:lvl w:ilvl="8" w:tplc="6C2C702E">
      <w:numFmt w:val="bullet"/>
      <w:lvlText w:val="•"/>
      <w:lvlJc w:val="left"/>
      <w:pPr>
        <w:ind w:left="1293" w:hanging="100"/>
      </w:pPr>
      <w:rPr>
        <w:rFonts w:hint="default"/>
      </w:rPr>
    </w:lvl>
  </w:abstractNum>
  <w:abstractNum w:abstractNumId="745" w15:restartNumberingAfterBreak="0">
    <w:nsid w:val="2F737A90"/>
    <w:multiLevelType w:val="hybridMultilevel"/>
    <w:tmpl w:val="7F487B3E"/>
    <w:lvl w:ilvl="0" w:tplc="8CE4A4EA">
      <w:numFmt w:val="bullet"/>
      <w:lvlText w:val=""/>
      <w:lvlJc w:val="left"/>
      <w:pPr>
        <w:ind w:left="156" w:hanging="100"/>
      </w:pPr>
      <w:rPr>
        <w:rFonts w:ascii="Symbol" w:eastAsia="Symbol" w:hAnsi="Symbol" w:cs="Symbol" w:hint="default"/>
        <w:color w:val="231F20"/>
        <w:w w:val="100"/>
        <w:sz w:val="14"/>
        <w:szCs w:val="14"/>
      </w:rPr>
    </w:lvl>
    <w:lvl w:ilvl="1" w:tplc="2542C08E">
      <w:numFmt w:val="bullet"/>
      <w:lvlText w:val="•"/>
      <w:lvlJc w:val="left"/>
      <w:pPr>
        <w:ind w:left="301" w:hanging="100"/>
      </w:pPr>
      <w:rPr>
        <w:rFonts w:hint="default"/>
      </w:rPr>
    </w:lvl>
    <w:lvl w:ilvl="2" w:tplc="A6441A40">
      <w:numFmt w:val="bullet"/>
      <w:lvlText w:val="•"/>
      <w:lvlJc w:val="left"/>
      <w:pPr>
        <w:ind w:left="443" w:hanging="100"/>
      </w:pPr>
      <w:rPr>
        <w:rFonts w:hint="default"/>
      </w:rPr>
    </w:lvl>
    <w:lvl w:ilvl="3" w:tplc="5504164C">
      <w:numFmt w:val="bullet"/>
      <w:lvlText w:val="•"/>
      <w:lvlJc w:val="left"/>
      <w:pPr>
        <w:ind w:left="585" w:hanging="100"/>
      </w:pPr>
      <w:rPr>
        <w:rFonts w:hint="default"/>
      </w:rPr>
    </w:lvl>
    <w:lvl w:ilvl="4" w:tplc="E580F3A4">
      <w:numFmt w:val="bullet"/>
      <w:lvlText w:val="•"/>
      <w:lvlJc w:val="left"/>
      <w:pPr>
        <w:ind w:left="726" w:hanging="100"/>
      </w:pPr>
      <w:rPr>
        <w:rFonts w:hint="default"/>
      </w:rPr>
    </w:lvl>
    <w:lvl w:ilvl="5" w:tplc="7B143DAA">
      <w:numFmt w:val="bullet"/>
      <w:lvlText w:val="•"/>
      <w:lvlJc w:val="left"/>
      <w:pPr>
        <w:ind w:left="868" w:hanging="100"/>
      </w:pPr>
      <w:rPr>
        <w:rFonts w:hint="default"/>
      </w:rPr>
    </w:lvl>
    <w:lvl w:ilvl="6" w:tplc="01125F18">
      <w:numFmt w:val="bullet"/>
      <w:lvlText w:val="•"/>
      <w:lvlJc w:val="left"/>
      <w:pPr>
        <w:ind w:left="1010" w:hanging="100"/>
      </w:pPr>
      <w:rPr>
        <w:rFonts w:hint="default"/>
      </w:rPr>
    </w:lvl>
    <w:lvl w:ilvl="7" w:tplc="88DA75F4">
      <w:numFmt w:val="bullet"/>
      <w:lvlText w:val="•"/>
      <w:lvlJc w:val="left"/>
      <w:pPr>
        <w:ind w:left="1151" w:hanging="100"/>
      </w:pPr>
      <w:rPr>
        <w:rFonts w:hint="default"/>
      </w:rPr>
    </w:lvl>
    <w:lvl w:ilvl="8" w:tplc="8A44CD0E">
      <w:numFmt w:val="bullet"/>
      <w:lvlText w:val="•"/>
      <w:lvlJc w:val="left"/>
      <w:pPr>
        <w:ind w:left="1293" w:hanging="100"/>
      </w:pPr>
      <w:rPr>
        <w:rFonts w:hint="default"/>
      </w:rPr>
    </w:lvl>
  </w:abstractNum>
  <w:abstractNum w:abstractNumId="746" w15:restartNumberingAfterBreak="0">
    <w:nsid w:val="2F935837"/>
    <w:multiLevelType w:val="hybridMultilevel"/>
    <w:tmpl w:val="0234C9C6"/>
    <w:lvl w:ilvl="0" w:tplc="680E7740">
      <w:numFmt w:val="bullet"/>
      <w:lvlText w:val=""/>
      <w:lvlJc w:val="left"/>
      <w:pPr>
        <w:ind w:left="156" w:hanging="100"/>
      </w:pPr>
      <w:rPr>
        <w:rFonts w:ascii="Symbol" w:eastAsia="Symbol" w:hAnsi="Symbol" w:cs="Symbol" w:hint="default"/>
        <w:color w:val="231F20"/>
        <w:w w:val="100"/>
        <w:sz w:val="14"/>
        <w:szCs w:val="14"/>
      </w:rPr>
    </w:lvl>
    <w:lvl w:ilvl="1" w:tplc="50008C1C">
      <w:numFmt w:val="bullet"/>
      <w:lvlText w:val="•"/>
      <w:lvlJc w:val="left"/>
      <w:pPr>
        <w:ind w:left="398" w:hanging="100"/>
      </w:pPr>
      <w:rPr>
        <w:rFonts w:hint="default"/>
      </w:rPr>
    </w:lvl>
    <w:lvl w:ilvl="2" w:tplc="A8C2AD46">
      <w:numFmt w:val="bullet"/>
      <w:lvlText w:val="•"/>
      <w:lvlJc w:val="left"/>
      <w:pPr>
        <w:ind w:left="636" w:hanging="100"/>
      </w:pPr>
      <w:rPr>
        <w:rFonts w:hint="default"/>
      </w:rPr>
    </w:lvl>
    <w:lvl w:ilvl="3" w:tplc="D1A2D358">
      <w:numFmt w:val="bullet"/>
      <w:lvlText w:val="•"/>
      <w:lvlJc w:val="left"/>
      <w:pPr>
        <w:ind w:left="874" w:hanging="100"/>
      </w:pPr>
      <w:rPr>
        <w:rFonts w:hint="default"/>
      </w:rPr>
    </w:lvl>
    <w:lvl w:ilvl="4" w:tplc="8E98E1BE">
      <w:numFmt w:val="bullet"/>
      <w:lvlText w:val="•"/>
      <w:lvlJc w:val="left"/>
      <w:pPr>
        <w:ind w:left="1112" w:hanging="100"/>
      </w:pPr>
      <w:rPr>
        <w:rFonts w:hint="default"/>
      </w:rPr>
    </w:lvl>
    <w:lvl w:ilvl="5" w:tplc="C7F831E2">
      <w:numFmt w:val="bullet"/>
      <w:lvlText w:val="•"/>
      <w:lvlJc w:val="left"/>
      <w:pPr>
        <w:ind w:left="1350" w:hanging="100"/>
      </w:pPr>
      <w:rPr>
        <w:rFonts w:hint="default"/>
      </w:rPr>
    </w:lvl>
    <w:lvl w:ilvl="6" w:tplc="39F611E0">
      <w:numFmt w:val="bullet"/>
      <w:lvlText w:val="•"/>
      <w:lvlJc w:val="left"/>
      <w:pPr>
        <w:ind w:left="1588" w:hanging="100"/>
      </w:pPr>
      <w:rPr>
        <w:rFonts w:hint="default"/>
      </w:rPr>
    </w:lvl>
    <w:lvl w:ilvl="7" w:tplc="4550719C">
      <w:numFmt w:val="bullet"/>
      <w:lvlText w:val="•"/>
      <w:lvlJc w:val="left"/>
      <w:pPr>
        <w:ind w:left="1826" w:hanging="100"/>
      </w:pPr>
      <w:rPr>
        <w:rFonts w:hint="default"/>
      </w:rPr>
    </w:lvl>
    <w:lvl w:ilvl="8" w:tplc="D12E7916">
      <w:numFmt w:val="bullet"/>
      <w:lvlText w:val="•"/>
      <w:lvlJc w:val="left"/>
      <w:pPr>
        <w:ind w:left="2064" w:hanging="100"/>
      </w:pPr>
      <w:rPr>
        <w:rFonts w:hint="default"/>
      </w:rPr>
    </w:lvl>
  </w:abstractNum>
  <w:abstractNum w:abstractNumId="747" w15:restartNumberingAfterBreak="0">
    <w:nsid w:val="2FBB4DED"/>
    <w:multiLevelType w:val="hybridMultilevel"/>
    <w:tmpl w:val="85E4F352"/>
    <w:lvl w:ilvl="0" w:tplc="27B6FBE8">
      <w:numFmt w:val="bullet"/>
      <w:lvlText w:val=""/>
      <w:lvlJc w:val="left"/>
      <w:pPr>
        <w:ind w:left="156" w:hanging="100"/>
      </w:pPr>
      <w:rPr>
        <w:rFonts w:ascii="Symbol" w:eastAsia="Symbol" w:hAnsi="Symbol" w:cs="Symbol" w:hint="default"/>
        <w:color w:val="231F20"/>
        <w:w w:val="100"/>
        <w:sz w:val="14"/>
        <w:szCs w:val="14"/>
      </w:rPr>
    </w:lvl>
    <w:lvl w:ilvl="1" w:tplc="8EDAED82">
      <w:numFmt w:val="bullet"/>
      <w:lvlText w:val="•"/>
      <w:lvlJc w:val="left"/>
      <w:pPr>
        <w:ind w:left="301" w:hanging="100"/>
      </w:pPr>
      <w:rPr>
        <w:rFonts w:hint="default"/>
      </w:rPr>
    </w:lvl>
    <w:lvl w:ilvl="2" w:tplc="320C6592">
      <w:numFmt w:val="bullet"/>
      <w:lvlText w:val="•"/>
      <w:lvlJc w:val="left"/>
      <w:pPr>
        <w:ind w:left="443" w:hanging="100"/>
      </w:pPr>
      <w:rPr>
        <w:rFonts w:hint="default"/>
      </w:rPr>
    </w:lvl>
    <w:lvl w:ilvl="3" w:tplc="1F962326">
      <w:numFmt w:val="bullet"/>
      <w:lvlText w:val="•"/>
      <w:lvlJc w:val="left"/>
      <w:pPr>
        <w:ind w:left="585" w:hanging="100"/>
      </w:pPr>
      <w:rPr>
        <w:rFonts w:hint="default"/>
      </w:rPr>
    </w:lvl>
    <w:lvl w:ilvl="4" w:tplc="F37A2B36">
      <w:numFmt w:val="bullet"/>
      <w:lvlText w:val="•"/>
      <w:lvlJc w:val="left"/>
      <w:pPr>
        <w:ind w:left="726" w:hanging="100"/>
      </w:pPr>
      <w:rPr>
        <w:rFonts w:hint="default"/>
      </w:rPr>
    </w:lvl>
    <w:lvl w:ilvl="5" w:tplc="29FE6446">
      <w:numFmt w:val="bullet"/>
      <w:lvlText w:val="•"/>
      <w:lvlJc w:val="left"/>
      <w:pPr>
        <w:ind w:left="868" w:hanging="100"/>
      </w:pPr>
      <w:rPr>
        <w:rFonts w:hint="default"/>
      </w:rPr>
    </w:lvl>
    <w:lvl w:ilvl="6" w:tplc="6F381262">
      <w:numFmt w:val="bullet"/>
      <w:lvlText w:val="•"/>
      <w:lvlJc w:val="left"/>
      <w:pPr>
        <w:ind w:left="1010" w:hanging="100"/>
      </w:pPr>
      <w:rPr>
        <w:rFonts w:hint="default"/>
      </w:rPr>
    </w:lvl>
    <w:lvl w:ilvl="7" w:tplc="7910F272">
      <w:numFmt w:val="bullet"/>
      <w:lvlText w:val="•"/>
      <w:lvlJc w:val="left"/>
      <w:pPr>
        <w:ind w:left="1151" w:hanging="100"/>
      </w:pPr>
      <w:rPr>
        <w:rFonts w:hint="default"/>
      </w:rPr>
    </w:lvl>
    <w:lvl w:ilvl="8" w:tplc="8FC2A59C">
      <w:numFmt w:val="bullet"/>
      <w:lvlText w:val="•"/>
      <w:lvlJc w:val="left"/>
      <w:pPr>
        <w:ind w:left="1293" w:hanging="100"/>
      </w:pPr>
      <w:rPr>
        <w:rFonts w:hint="default"/>
      </w:rPr>
    </w:lvl>
  </w:abstractNum>
  <w:abstractNum w:abstractNumId="748" w15:restartNumberingAfterBreak="0">
    <w:nsid w:val="2FC30F35"/>
    <w:multiLevelType w:val="hybridMultilevel"/>
    <w:tmpl w:val="0FEE81A2"/>
    <w:lvl w:ilvl="0" w:tplc="83C0C11E">
      <w:numFmt w:val="bullet"/>
      <w:lvlText w:val=""/>
      <w:lvlJc w:val="left"/>
      <w:pPr>
        <w:ind w:left="156" w:hanging="100"/>
      </w:pPr>
      <w:rPr>
        <w:rFonts w:ascii="Symbol" w:eastAsia="Symbol" w:hAnsi="Symbol" w:cs="Symbol" w:hint="default"/>
        <w:color w:val="231F20"/>
        <w:w w:val="100"/>
        <w:sz w:val="14"/>
        <w:szCs w:val="14"/>
      </w:rPr>
    </w:lvl>
    <w:lvl w:ilvl="1" w:tplc="58066ADC">
      <w:numFmt w:val="bullet"/>
      <w:lvlText w:val="•"/>
      <w:lvlJc w:val="left"/>
      <w:pPr>
        <w:ind w:left="301" w:hanging="100"/>
      </w:pPr>
      <w:rPr>
        <w:rFonts w:hint="default"/>
      </w:rPr>
    </w:lvl>
    <w:lvl w:ilvl="2" w:tplc="0D469F2A">
      <w:numFmt w:val="bullet"/>
      <w:lvlText w:val="•"/>
      <w:lvlJc w:val="left"/>
      <w:pPr>
        <w:ind w:left="443" w:hanging="100"/>
      </w:pPr>
      <w:rPr>
        <w:rFonts w:hint="default"/>
      </w:rPr>
    </w:lvl>
    <w:lvl w:ilvl="3" w:tplc="7D6AAA2A">
      <w:numFmt w:val="bullet"/>
      <w:lvlText w:val="•"/>
      <w:lvlJc w:val="left"/>
      <w:pPr>
        <w:ind w:left="585" w:hanging="100"/>
      </w:pPr>
      <w:rPr>
        <w:rFonts w:hint="default"/>
      </w:rPr>
    </w:lvl>
    <w:lvl w:ilvl="4" w:tplc="A3C41374">
      <w:numFmt w:val="bullet"/>
      <w:lvlText w:val="•"/>
      <w:lvlJc w:val="left"/>
      <w:pPr>
        <w:ind w:left="726" w:hanging="100"/>
      </w:pPr>
      <w:rPr>
        <w:rFonts w:hint="default"/>
      </w:rPr>
    </w:lvl>
    <w:lvl w:ilvl="5" w:tplc="A412CAE2">
      <w:numFmt w:val="bullet"/>
      <w:lvlText w:val="•"/>
      <w:lvlJc w:val="left"/>
      <w:pPr>
        <w:ind w:left="868" w:hanging="100"/>
      </w:pPr>
      <w:rPr>
        <w:rFonts w:hint="default"/>
      </w:rPr>
    </w:lvl>
    <w:lvl w:ilvl="6" w:tplc="EA1859F6">
      <w:numFmt w:val="bullet"/>
      <w:lvlText w:val="•"/>
      <w:lvlJc w:val="left"/>
      <w:pPr>
        <w:ind w:left="1010" w:hanging="100"/>
      </w:pPr>
      <w:rPr>
        <w:rFonts w:hint="default"/>
      </w:rPr>
    </w:lvl>
    <w:lvl w:ilvl="7" w:tplc="AAB0C1A0">
      <w:numFmt w:val="bullet"/>
      <w:lvlText w:val="•"/>
      <w:lvlJc w:val="left"/>
      <w:pPr>
        <w:ind w:left="1151" w:hanging="100"/>
      </w:pPr>
      <w:rPr>
        <w:rFonts w:hint="default"/>
      </w:rPr>
    </w:lvl>
    <w:lvl w:ilvl="8" w:tplc="A9628AFE">
      <w:numFmt w:val="bullet"/>
      <w:lvlText w:val="•"/>
      <w:lvlJc w:val="left"/>
      <w:pPr>
        <w:ind w:left="1293" w:hanging="100"/>
      </w:pPr>
      <w:rPr>
        <w:rFonts w:hint="default"/>
      </w:rPr>
    </w:lvl>
  </w:abstractNum>
  <w:abstractNum w:abstractNumId="749" w15:restartNumberingAfterBreak="0">
    <w:nsid w:val="2FD072B6"/>
    <w:multiLevelType w:val="hybridMultilevel"/>
    <w:tmpl w:val="2786B536"/>
    <w:lvl w:ilvl="0" w:tplc="54E0A5E4">
      <w:numFmt w:val="bullet"/>
      <w:lvlText w:val=""/>
      <w:lvlJc w:val="left"/>
      <w:pPr>
        <w:ind w:left="156" w:hanging="100"/>
      </w:pPr>
      <w:rPr>
        <w:rFonts w:ascii="Symbol" w:eastAsia="Symbol" w:hAnsi="Symbol" w:cs="Symbol" w:hint="default"/>
        <w:color w:val="231F20"/>
        <w:w w:val="100"/>
        <w:sz w:val="14"/>
        <w:szCs w:val="14"/>
      </w:rPr>
    </w:lvl>
    <w:lvl w:ilvl="1" w:tplc="B30C41CC">
      <w:numFmt w:val="bullet"/>
      <w:lvlText w:val="•"/>
      <w:lvlJc w:val="left"/>
      <w:pPr>
        <w:ind w:left="301" w:hanging="100"/>
      </w:pPr>
      <w:rPr>
        <w:rFonts w:hint="default"/>
      </w:rPr>
    </w:lvl>
    <w:lvl w:ilvl="2" w:tplc="81CE30A4">
      <w:numFmt w:val="bullet"/>
      <w:lvlText w:val="•"/>
      <w:lvlJc w:val="left"/>
      <w:pPr>
        <w:ind w:left="443" w:hanging="100"/>
      </w:pPr>
      <w:rPr>
        <w:rFonts w:hint="default"/>
      </w:rPr>
    </w:lvl>
    <w:lvl w:ilvl="3" w:tplc="6E2E77DE">
      <w:numFmt w:val="bullet"/>
      <w:lvlText w:val="•"/>
      <w:lvlJc w:val="left"/>
      <w:pPr>
        <w:ind w:left="585" w:hanging="100"/>
      </w:pPr>
      <w:rPr>
        <w:rFonts w:hint="default"/>
      </w:rPr>
    </w:lvl>
    <w:lvl w:ilvl="4" w:tplc="01021E66">
      <w:numFmt w:val="bullet"/>
      <w:lvlText w:val="•"/>
      <w:lvlJc w:val="left"/>
      <w:pPr>
        <w:ind w:left="726" w:hanging="100"/>
      </w:pPr>
      <w:rPr>
        <w:rFonts w:hint="default"/>
      </w:rPr>
    </w:lvl>
    <w:lvl w:ilvl="5" w:tplc="A3DCAE58">
      <w:numFmt w:val="bullet"/>
      <w:lvlText w:val="•"/>
      <w:lvlJc w:val="left"/>
      <w:pPr>
        <w:ind w:left="868" w:hanging="100"/>
      </w:pPr>
      <w:rPr>
        <w:rFonts w:hint="default"/>
      </w:rPr>
    </w:lvl>
    <w:lvl w:ilvl="6" w:tplc="EC3A223C">
      <w:numFmt w:val="bullet"/>
      <w:lvlText w:val="•"/>
      <w:lvlJc w:val="left"/>
      <w:pPr>
        <w:ind w:left="1010" w:hanging="100"/>
      </w:pPr>
      <w:rPr>
        <w:rFonts w:hint="default"/>
      </w:rPr>
    </w:lvl>
    <w:lvl w:ilvl="7" w:tplc="9AC03982">
      <w:numFmt w:val="bullet"/>
      <w:lvlText w:val="•"/>
      <w:lvlJc w:val="left"/>
      <w:pPr>
        <w:ind w:left="1151" w:hanging="100"/>
      </w:pPr>
      <w:rPr>
        <w:rFonts w:hint="default"/>
      </w:rPr>
    </w:lvl>
    <w:lvl w:ilvl="8" w:tplc="84E828CA">
      <w:numFmt w:val="bullet"/>
      <w:lvlText w:val="•"/>
      <w:lvlJc w:val="left"/>
      <w:pPr>
        <w:ind w:left="1293" w:hanging="100"/>
      </w:pPr>
      <w:rPr>
        <w:rFonts w:hint="default"/>
      </w:rPr>
    </w:lvl>
  </w:abstractNum>
  <w:abstractNum w:abstractNumId="750" w15:restartNumberingAfterBreak="0">
    <w:nsid w:val="2FD37F15"/>
    <w:multiLevelType w:val="hybridMultilevel"/>
    <w:tmpl w:val="51F0BD7C"/>
    <w:lvl w:ilvl="0" w:tplc="DCF8B748">
      <w:numFmt w:val="bullet"/>
      <w:lvlText w:val=""/>
      <w:lvlJc w:val="left"/>
      <w:pPr>
        <w:ind w:left="156" w:hanging="100"/>
      </w:pPr>
      <w:rPr>
        <w:rFonts w:ascii="Symbol" w:eastAsia="Symbol" w:hAnsi="Symbol" w:cs="Symbol" w:hint="default"/>
        <w:color w:val="231F20"/>
        <w:w w:val="100"/>
        <w:sz w:val="14"/>
        <w:szCs w:val="14"/>
      </w:rPr>
    </w:lvl>
    <w:lvl w:ilvl="1" w:tplc="C046DA88">
      <w:numFmt w:val="bullet"/>
      <w:lvlText w:val="•"/>
      <w:lvlJc w:val="left"/>
      <w:pPr>
        <w:ind w:left="398" w:hanging="100"/>
      </w:pPr>
      <w:rPr>
        <w:rFonts w:hint="default"/>
      </w:rPr>
    </w:lvl>
    <w:lvl w:ilvl="2" w:tplc="57ACBF48">
      <w:numFmt w:val="bullet"/>
      <w:lvlText w:val="•"/>
      <w:lvlJc w:val="left"/>
      <w:pPr>
        <w:ind w:left="636" w:hanging="100"/>
      </w:pPr>
      <w:rPr>
        <w:rFonts w:hint="default"/>
      </w:rPr>
    </w:lvl>
    <w:lvl w:ilvl="3" w:tplc="D8E2FA40">
      <w:numFmt w:val="bullet"/>
      <w:lvlText w:val="•"/>
      <w:lvlJc w:val="left"/>
      <w:pPr>
        <w:ind w:left="874" w:hanging="100"/>
      </w:pPr>
      <w:rPr>
        <w:rFonts w:hint="default"/>
      </w:rPr>
    </w:lvl>
    <w:lvl w:ilvl="4" w:tplc="0CCEACD6">
      <w:numFmt w:val="bullet"/>
      <w:lvlText w:val="•"/>
      <w:lvlJc w:val="left"/>
      <w:pPr>
        <w:ind w:left="1112" w:hanging="100"/>
      </w:pPr>
      <w:rPr>
        <w:rFonts w:hint="default"/>
      </w:rPr>
    </w:lvl>
    <w:lvl w:ilvl="5" w:tplc="3C62E706">
      <w:numFmt w:val="bullet"/>
      <w:lvlText w:val="•"/>
      <w:lvlJc w:val="left"/>
      <w:pPr>
        <w:ind w:left="1350" w:hanging="100"/>
      </w:pPr>
      <w:rPr>
        <w:rFonts w:hint="default"/>
      </w:rPr>
    </w:lvl>
    <w:lvl w:ilvl="6" w:tplc="865E2734">
      <w:numFmt w:val="bullet"/>
      <w:lvlText w:val="•"/>
      <w:lvlJc w:val="left"/>
      <w:pPr>
        <w:ind w:left="1588" w:hanging="100"/>
      </w:pPr>
      <w:rPr>
        <w:rFonts w:hint="default"/>
      </w:rPr>
    </w:lvl>
    <w:lvl w:ilvl="7" w:tplc="3C2A69E4">
      <w:numFmt w:val="bullet"/>
      <w:lvlText w:val="•"/>
      <w:lvlJc w:val="left"/>
      <w:pPr>
        <w:ind w:left="1826" w:hanging="100"/>
      </w:pPr>
      <w:rPr>
        <w:rFonts w:hint="default"/>
      </w:rPr>
    </w:lvl>
    <w:lvl w:ilvl="8" w:tplc="E88E2A22">
      <w:numFmt w:val="bullet"/>
      <w:lvlText w:val="•"/>
      <w:lvlJc w:val="left"/>
      <w:pPr>
        <w:ind w:left="2064" w:hanging="100"/>
      </w:pPr>
      <w:rPr>
        <w:rFonts w:hint="default"/>
      </w:rPr>
    </w:lvl>
  </w:abstractNum>
  <w:abstractNum w:abstractNumId="751" w15:restartNumberingAfterBreak="0">
    <w:nsid w:val="2FE06148"/>
    <w:multiLevelType w:val="hybridMultilevel"/>
    <w:tmpl w:val="CA48BA7A"/>
    <w:lvl w:ilvl="0" w:tplc="62C6E160">
      <w:numFmt w:val="bullet"/>
      <w:lvlText w:val=""/>
      <w:lvlJc w:val="left"/>
      <w:pPr>
        <w:ind w:left="156" w:hanging="100"/>
      </w:pPr>
      <w:rPr>
        <w:rFonts w:ascii="Symbol" w:eastAsia="Symbol" w:hAnsi="Symbol" w:cs="Symbol" w:hint="default"/>
        <w:color w:val="231F20"/>
        <w:w w:val="100"/>
        <w:sz w:val="14"/>
        <w:szCs w:val="14"/>
      </w:rPr>
    </w:lvl>
    <w:lvl w:ilvl="1" w:tplc="DB90B908">
      <w:numFmt w:val="bullet"/>
      <w:lvlText w:val="•"/>
      <w:lvlJc w:val="left"/>
      <w:pPr>
        <w:ind w:left="426" w:hanging="100"/>
      </w:pPr>
      <w:rPr>
        <w:rFonts w:hint="default"/>
      </w:rPr>
    </w:lvl>
    <w:lvl w:ilvl="2" w:tplc="146002DA">
      <w:numFmt w:val="bullet"/>
      <w:lvlText w:val="•"/>
      <w:lvlJc w:val="left"/>
      <w:pPr>
        <w:ind w:left="692" w:hanging="100"/>
      </w:pPr>
      <w:rPr>
        <w:rFonts w:hint="default"/>
      </w:rPr>
    </w:lvl>
    <w:lvl w:ilvl="3" w:tplc="D170306A">
      <w:numFmt w:val="bullet"/>
      <w:lvlText w:val="•"/>
      <w:lvlJc w:val="left"/>
      <w:pPr>
        <w:ind w:left="959" w:hanging="100"/>
      </w:pPr>
      <w:rPr>
        <w:rFonts w:hint="default"/>
      </w:rPr>
    </w:lvl>
    <w:lvl w:ilvl="4" w:tplc="E27A0160">
      <w:numFmt w:val="bullet"/>
      <w:lvlText w:val="•"/>
      <w:lvlJc w:val="left"/>
      <w:pPr>
        <w:ind w:left="1225" w:hanging="100"/>
      </w:pPr>
      <w:rPr>
        <w:rFonts w:hint="default"/>
      </w:rPr>
    </w:lvl>
    <w:lvl w:ilvl="5" w:tplc="42E6E9C0">
      <w:numFmt w:val="bullet"/>
      <w:lvlText w:val="•"/>
      <w:lvlJc w:val="left"/>
      <w:pPr>
        <w:ind w:left="1492" w:hanging="100"/>
      </w:pPr>
      <w:rPr>
        <w:rFonts w:hint="default"/>
      </w:rPr>
    </w:lvl>
    <w:lvl w:ilvl="6" w:tplc="121870FA">
      <w:numFmt w:val="bullet"/>
      <w:lvlText w:val="•"/>
      <w:lvlJc w:val="left"/>
      <w:pPr>
        <w:ind w:left="1758" w:hanging="100"/>
      </w:pPr>
      <w:rPr>
        <w:rFonts w:hint="default"/>
      </w:rPr>
    </w:lvl>
    <w:lvl w:ilvl="7" w:tplc="C2F816C8">
      <w:numFmt w:val="bullet"/>
      <w:lvlText w:val="•"/>
      <w:lvlJc w:val="left"/>
      <w:pPr>
        <w:ind w:left="2024" w:hanging="100"/>
      </w:pPr>
      <w:rPr>
        <w:rFonts w:hint="default"/>
      </w:rPr>
    </w:lvl>
    <w:lvl w:ilvl="8" w:tplc="3A1CD7C4">
      <w:numFmt w:val="bullet"/>
      <w:lvlText w:val="•"/>
      <w:lvlJc w:val="left"/>
      <w:pPr>
        <w:ind w:left="2291" w:hanging="100"/>
      </w:pPr>
      <w:rPr>
        <w:rFonts w:hint="default"/>
      </w:rPr>
    </w:lvl>
  </w:abstractNum>
  <w:abstractNum w:abstractNumId="752" w15:restartNumberingAfterBreak="0">
    <w:nsid w:val="2FE106FF"/>
    <w:multiLevelType w:val="hybridMultilevel"/>
    <w:tmpl w:val="40E64054"/>
    <w:lvl w:ilvl="0" w:tplc="392476D4">
      <w:numFmt w:val="bullet"/>
      <w:lvlText w:val=""/>
      <w:lvlJc w:val="left"/>
      <w:pPr>
        <w:ind w:left="157" w:hanging="100"/>
      </w:pPr>
      <w:rPr>
        <w:rFonts w:ascii="Symbol" w:eastAsia="Symbol" w:hAnsi="Symbol" w:cs="Symbol" w:hint="default"/>
        <w:color w:val="231F20"/>
        <w:w w:val="100"/>
        <w:sz w:val="14"/>
        <w:szCs w:val="14"/>
      </w:rPr>
    </w:lvl>
    <w:lvl w:ilvl="1" w:tplc="1630A7E8">
      <w:numFmt w:val="bullet"/>
      <w:lvlText w:val="•"/>
      <w:lvlJc w:val="left"/>
      <w:pPr>
        <w:ind w:left="426" w:hanging="100"/>
      </w:pPr>
      <w:rPr>
        <w:rFonts w:hint="default"/>
      </w:rPr>
    </w:lvl>
    <w:lvl w:ilvl="2" w:tplc="06625E8A">
      <w:numFmt w:val="bullet"/>
      <w:lvlText w:val="•"/>
      <w:lvlJc w:val="left"/>
      <w:pPr>
        <w:ind w:left="692" w:hanging="100"/>
      </w:pPr>
      <w:rPr>
        <w:rFonts w:hint="default"/>
      </w:rPr>
    </w:lvl>
    <w:lvl w:ilvl="3" w:tplc="54C22CA4">
      <w:numFmt w:val="bullet"/>
      <w:lvlText w:val="•"/>
      <w:lvlJc w:val="left"/>
      <w:pPr>
        <w:ind w:left="959" w:hanging="100"/>
      </w:pPr>
      <w:rPr>
        <w:rFonts w:hint="default"/>
      </w:rPr>
    </w:lvl>
    <w:lvl w:ilvl="4" w:tplc="141CF9C2">
      <w:numFmt w:val="bullet"/>
      <w:lvlText w:val="•"/>
      <w:lvlJc w:val="left"/>
      <w:pPr>
        <w:ind w:left="1225" w:hanging="100"/>
      </w:pPr>
      <w:rPr>
        <w:rFonts w:hint="default"/>
      </w:rPr>
    </w:lvl>
    <w:lvl w:ilvl="5" w:tplc="1BC4A366">
      <w:numFmt w:val="bullet"/>
      <w:lvlText w:val="•"/>
      <w:lvlJc w:val="left"/>
      <w:pPr>
        <w:ind w:left="1492" w:hanging="100"/>
      </w:pPr>
      <w:rPr>
        <w:rFonts w:hint="default"/>
      </w:rPr>
    </w:lvl>
    <w:lvl w:ilvl="6" w:tplc="007E2F14">
      <w:numFmt w:val="bullet"/>
      <w:lvlText w:val="•"/>
      <w:lvlJc w:val="left"/>
      <w:pPr>
        <w:ind w:left="1758" w:hanging="100"/>
      </w:pPr>
      <w:rPr>
        <w:rFonts w:hint="default"/>
      </w:rPr>
    </w:lvl>
    <w:lvl w:ilvl="7" w:tplc="64C8D0D0">
      <w:numFmt w:val="bullet"/>
      <w:lvlText w:val="•"/>
      <w:lvlJc w:val="left"/>
      <w:pPr>
        <w:ind w:left="2024" w:hanging="100"/>
      </w:pPr>
      <w:rPr>
        <w:rFonts w:hint="default"/>
      </w:rPr>
    </w:lvl>
    <w:lvl w:ilvl="8" w:tplc="58B2338A">
      <w:numFmt w:val="bullet"/>
      <w:lvlText w:val="•"/>
      <w:lvlJc w:val="left"/>
      <w:pPr>
        <w:ind w:left="2291" w:hanging="100"/>
      </w:pPr>
      <w:rPr>
        <w:rFonts w:hint="default"/>
      </w:rPr>
    </w:lvl>
  </w:abstractNum>
  <w:abstractNum w:abstractNumId="753" w15:restartNumberingAfterBreak="0">
    <w:nsid w:val="2FE80106"/>
    <w:multiLevelType w:val="hybridMultilevel"/>
    <w:tmpl w:val="E28EFA74"/>
    <w:lvl w:ilvl="0" w:tplc="BBC64746">
      <w:numFmt w:val="bullet"/>
      <w:lvlText w:val=""/>
      <w:lvlJc w:val="left"/>
      <w:pPr>
        <w:ind w:left="156" w:hanging="100"/>
      </w:pPr>
      <w:rPr>
        <w:rFonts w:ascii="Symbol" w:eastAsia="Symbol" w:hAnsi="Symbol" w:cs="Symbol" w:hint="default"/>
        <w:color w:val="231F20"/>
        <w:w w:val="100"/>
        <w:sz w:val="14"/>
        <w:szCs w:val="14"/>
      </w:rPr>
    </w:lvl>
    <w:lvl w:ilvl="1" w:tplc="A2484350">
      <w:numFmt w:val="bullet"/>
      <w:lvlText w:val="•"/>
      <w:lvlJc w:val="left"/>
      <w:pPr>
        <w:ind w:left="426" w:hanging="100"/>
      </w:pPr>
      <w:rPr>
        <w:rFonts w:hint="default"/>
      </w:rPr>
    </w:lvl>
    <w:lvl w:ilvl="2" w:tplc="E7C04A78">
      <w:numFmt w:val="bullet"/>
      <w:lvlText w:val="•"/>
      <w:lvlJc w:val="left"/>
      <w:pPr>
        <w:ind w:left="692" w:hanging="100"/>
      </w:pPr>
      <w:rPr>
        <w:rFonts w:hint="default"/>
      </w:rPr>
    </w:lvl>
    <w:lvl w:ilvl="3" w:tplc="3DD0B0F8">
      <w:numFmt w:val="bullet"/>
      <w:lvlText w:val="•"/>
      <w:lvlJc w:val="left"/>
      <w:pPr>
        <w:ind w:left="959" w:hanging="100"/>
      </w:pPr>
      <w:rPr>
        <w:rFonts w:hint="default"/>
      </w:rPr>
    </w:lvl>
    <w:lvl w:ilvl="4" w:tplc="BC64B7E0">
      <w:numFmt w:val="bullet"/>
      <w:lvlText w:val="•"/>
      <w:lvlJc w:val="left"/>
      <w:pPr>
        <w:ind w:left="1225" w:hanging="100"/>
      </w:pPr>
      <w:rPr>
        <w:rFonts w:hint="default"/>
      </w:rPr>
    </w:lvl>
    <w:lvl w:ilvl="5" w:tplc="A33E0984">
      <w:numFmt w:val="bullet"/>
      <w:lvlText w:val="•"/>
      <w:lvlJc w:val="left"/>
      <w:pPr>
        <w:ind w:left="1492" w:hanging="100"/>
      </w:pPr>
      <w:rPr>
        <w:rFonts w:hint="default"/>
      </w:rPr>
    </w:lvl>
    <w:lvl w:ilvl="6" w:tplc="70841442">
      <w:numFmt w:val="bullet"/>
      <w:lvlText w:val="•"/>
      <w:lvlJc w:val="left"/>
      <w:pPr>
        <w:ind w:left="1758" w:hanging="100"/>
      </w:pPr>
      <w:rPr>
        <w:rFonts w:hint="default"/>
      </w:rPr>
    </w:lvl>
    <w:lvl w:ilvl="7" w:tplc="84342794">
      <w:numFmt w:val="bullet"/>
      <w:lvlText w:val="•"/>
      <w:lvlJc w:val="left"/>
      <w:pPr>
        <w:ind w:left="2024" w:hanging="100"/>
      </w:pPr>
      <w:rPr>
        <w:rFonts w:hint="default"/>
      </w:rPr>
    </w:lvl>
    <w:lvl w:ilvl="8" w:tplc="E49CB6AA">
      <w:numFmt w:val="bullet"/>
      <w:lvlText w:val="•"/>
      <w:lvlJc w:val="left"/>
      <w:pPr>
        <w:ind w:left="2291" w:hanging="100"/>
      </w:pPr>
      <w:rPr>
        <w:rFonts w:hint="default"/>
      </w:rPr>
    </w:lvl>
  </w:abstractNum>
  <w:abstractNum w:abstractNumId="754" w15:restartNumberingAfterBreak="0">
    <w:nsid w:val="30001BFA"/>
    <w:multiLevelType w:val="hybridMultilevel"/>
    <w:tmpl w:val="19669FE8"/>
    <w:lvl w:ilvl="0" w:tplc="34C02EEA">
      <w:numFmt w:val="bullet"/>
      <w:lvlText w:val=""/>
      <w:lvlJc w:val="left"/>
      <w:pPr>
        <w:ind w:left="156" w:hanging="100"/>
      </w:pPr>
      <w:rPr>
        <w:rFonts w:ascii="Symbol" w:eastAsia="Symbol" w:hAnsi="Symbol" w:cs="Symbol" w:hint="default"/>
        <w:color w:val="231F20"/>
        <w:w w:val="100"/>
        <w:sz w:val="14"/>
        <w:szCs w:val="14"/>
      </w:rPr>
    </w:lvl>
    <w:lvl w:ilvl="1" w:tplc="480C58D4">
      <w:numFmt w:val="bullet"/>
      <w:lvlText w:val="•"/>
      <w:lvlJc w:val="left"/>
      <w:pPr>
        <w:ind w:left="273" w:hanging="100"/>
      </w:pPr>
      <w:rPr>
        <w:rFonts w:hint="default"/>
      </w:rPr>
    </w:lvl>
    <w:lvl w:ilvl="2" w:tplc="4EFEFD52">
      <w:numFmt w:val="bullet"/>
      <w:lvlText w:val="•"/>
      <w:lvlJc w:val="left"/>
      <w:pPr>
        <w:ind w:left="386" w:hanging="100"/>
      </w:pPr>
      <w:rPr>
        <w:rFonts w:hint="default"/>
      </w:rPr>
    </w:lvl>
    <w:lvl w:ilvl="3" w:tplc="F6F6FADC">
      <w:numFmt w:val="bullet"/>
      <w:lvlText w:val="•"/>
      <w:lvlJc w:val="left"/>
      <w:pPr>
        <w:ind w:left="500" w:hanging="100"/>
      </w:pPr>
      <w:rPr>
        <w:rFonts w:hint="default"/>
      </w:rPr>
    </w:lvl>
    <w:lvl w:ilvl="4" w:tplc="59F47A98">
      <w:numFmt w:val="bullet"/>
      <w:lvlText w:val="•"/>
      <w:lvlJc w:val="left"/>
      <w:pPr>
        <w:ind w:left="613" w:hanging="100"/>
      </w:pPr>
      <w:rPr>
        <w:rFonts w:hint="default"/>
      </w:rPr>
    </w:lvl>
    <w:lvl w:ilvl="5" w:tplc="9FA898EE">
      <w:numFmt w:val="bullet"/>
      <w:lvlText w:val="•"/>
      <w:lvlJc w:val="left"/>
      <w:pPr>
        <w:ind w:left="727" w:hanging="100"/>
      </w:pPr>
      <w:rPr>
        <w:rFonts w:hint="default"/>
      </w:rPr>
    </w:lvl>
    <w:lvl w:ilvl="6" w:tplc="781C6E9C">
      <w:numFmt w:val="bullet"/>
      <w:lvlText w:val="•"/>
      <w:lvlJc w:val="left"/>
      <w:pPr>
        <w:ind w:left="840" w:hanging="100"/>
      </w:pPr>
      <w:rPr>
        <w:rFonts w:hint="default"/>
      </w:rPr>
    </w:lvl>
    <w:lvl w:ilvl="7" w:tplc="B980DCB6">
      <w:numFmt w:val="bullet"/>
      <w:lvlText w:val="•"/>
      <w:lvlJc w:val="left"/>
      <w:pPr>
        <w:ind w:left="953" w:hanging="100"/>
      </w:pPr>
      <w:rPr>
        <w:rFonts w:hint="default"/>
      </w:rPr>
    </w:lvl>
    <w:lvl w:ilvl="8" w:tplc="ADA4EF7E">
      <w:numFmt w:val="bullet"/>
      <w:lvlText w:val="•"/>
      <w:lvlJc w:val="left"/>
      <w:pPr>
        <w:ind w:left="1067" w:hanging="100"/>
      </w:pPr>
      <w:rPr>
        <w:rFonts w:hint="default"/>
      </w:rPr>
    </w:lvl>
  </w:abstractNum>
  <w:abstractNum w:abstractNumId="755" w15:restartNumberingAfterBreak="0">
    <w:nsid w:val="300742C0"/>
    <w:multiLevelType w:val="hybridMultilevel"/>
    <w:tmpl w:val="19D8E7D2"/>
    <w:lvl w:ilvl="0" w:tplc="26AAB3E0">
      <w:numFmt w:val="bullet"/>
      <w:lvlText w:val=""/>
      <w:lvlJc w:val="left"/>
      <w:pPr>
        <w:ind w:left="156" w:hanging="100"/>
      </w:pPr>
      <w:rPr>
        <w:rFonts w:ascii="Symbol" w:eastAsia="Symbol" w:hAnsi="Symbol" w:cs="Symbol" w:hint="default"/>
        <w:color w:val="231F20"/>
        <w:w w:val="100"/>
        <w:sz w:val="14"/>
        <w:szCs w:val="14"/>
      </w:rPr>
    </w:lvl>
    <w:lvl w:ilvl="1" w:tplc="0FB011CE">
      <w:numFmt w:val="bullet"/>
      <w:lvlText w:val="•"/>
      <w:lvlJc w:val="left"/>
      <w:pPr>
        <w:ind w:left="398" w:hanging="100"/>
      </w:pPr>
      <w:rPr>
        <w:rFonts w:hint="default"/>
      </w:rPr>
    </w:lvl>
    <w:lvl w:ilvl="2" w:tplc="7464AF80">
      <w:numFmt w:val="bullet"/>
      <w:lvlText w:val="•"/>
      <w:lvlJc w:val="left"/>
      <w:pPr>
        <w:ind w:left="636" w:hanging="100"/>
      </w:pPr>
      <w:rPr>
        <w:rFonts w:hint="default"/>
      </w:rPr>
    </w:lvl>
    <w:lvl w:ilvl="3" w:tplc="44CE0694">
      <w:numFmt w:val="bullet"/>
      <w:lvlText w:val="•"/>
      <w:lvlJc w:val="left"/>
      <w:pPr>
        <w:ind w:left="874" w:hanging="100"/>
      </w:pPr>
      <w:rPr>
        <w:rFonts w:hint="default"/>
      </w:rPr>
    </w:lvl>
    <w:lvl w:ilvl="4" w:tplc="BD3E8C20">
      <w:numFmt w:val="bullet"/>
      <w:lvlText w:val="•"/>
      <w:lvlJc w:val="left"/>
      <w:pPr>
        <w:ind w:left="1112" w:hanging="100"/>
      </w:pPr>
      <w:rPr>
        <w:rFonts w:hint="default"/>
      </w:rPr>
    </w:lvl>
    <w:lvl w:ilvl="5" w:tplc="2DF809A4">
      <w:numFmt w:val="bullet"/>
      <w:lvlText w:val="•"/>
      <w:lvlJc w:val="left"/>
      <w:pPr>
        <w:ind w:left="1350" w:hanging="100"/>
      </w:pPr>
      <w:rPr>
        <w:rFonts w:hint="default"/>
      </w:rPr>
    </w:lvl>
    <w:lvl w:ilvl="6" w:tplc="504AA4F2">
      <w:numFmt w:val="bullet"/>
      <w:lvlText w:val="•"/>
      <w:lvlJc w:val="left"/>
      <w:pPr>
        <w:ind w:left="1588" w:hanging="100"/>
      </w:pPr>
      <w:rPr>
        <w:rFonts w:hint="default"/>
      </w:rPr>
    </w:lvl>
    <w:lvl w:ilvl="7" w:tplc="87A2C9DC">
      <w:numFmt w:val="bullet"/>
      <w:lvlText w:val="•"/>
      <w:lvlJc w:val="left"/>
      <w:pPr>
        <w:ind w:left="1826" w:hanging="100"/>
      </w:pPr>
      <w:rPr>
        <w:rFonts w:hint="default"/>
      </w:rPr>
    </w:lvl>
    <w:lvl w:ilvl="8" w:tplc="714007BC">
      <w:numFmt w:val="bullet"/>
      <w:lvlText w:val="•"/>
      <w:lvlJc w:val="left"/>
      <w:pPr>
        <w:ind w:left="2064" w:hanging="100"/>
      </w:pPr>
      <w:rPr>
        <w:rFonts w:hint="default"/>
      </w:rPr>
    </w:lvl>
  </w:abstractNum>
  <w:abstractNum w:abstractNumId="756" w15:restartNumberingAfterBreak="0">
    <w:nsid w:val="301A12F5"/>
    <w:multiLevelType w:val="hybridMultilevel"/>
    <w:tmpl w:val="02FCE92C"/>
    <w:lvl w:ilvl="0" w:tplc="ED6A96A6">
      <w:numFmt w:val="bullet"/>
      <w:lvlText w:val=""/>
      <w:lvlJc w:val="left"/>
      <w:pPr>
        <w:ind w:left="156" w:hanging="100"/>
      </w:pPr>
      <w:rPr>
        <w:rFonts w:ascii="Symbol" w:eastAsia="Symbol" w:hAnsi="Symbol" w:cs="Symbol" w:hint="default"/>
        <w:color w:val="231F20"/>
        <w:w w:val="100"/>
        <w:sz w:val="14"/>
        <w:szCs w:val="14"/>
      </w:rPr>
    </w:lvl>
    <w:lvl w:ilvl="1" w:tplc="C46018AA">
      <w:numFmt w:val="bullet"/>
      <w:lvlText w:val="•"/>
      <w:lvlJc w:val="left"/>
      <w:pPr>
        <w:ind w:left="301" w:hanging="100"/>
      </w:pPr>
      <w:rPr>
        <w:rFonts w:hint="default"/>
      </w:rPr>
    </w:lvl>
    <w:lvl w:ilvl="2" w:tplc="91F8616C">
      <w:numFmt w:val="bullet"/>
      <w:lvlText w:val="•"/>
      <w:lvlJc w:val="left"/>
      <w:pPr>
        <w:ind w:left="443" w:hanging="100"/>
      </w:pPr>
      <w:rPr>
        <w:rFonts w:hint="default"/>
      </w:rPr>
    </w:lvl>
    <w:lvl w:ilvl="3" w:tplc="D09ED2B6">
      <w:numFmt w:val="bullet"/>
      <w:lvlText w:val="•"/>
      <w:lvlJc w:val="left"/>
      <w:pPr>
        <w:ind w:left="585" w:hanging="100"/>
      </w:pPr>
      <w:rPr>
        <w:rFonts w:hint="default"/>
      </w:rPr>
    </w:lvl>
    <w:lvl w:ilvl="4" w:tplc="3384C448">
      <w:numFmt w:val="bullet"/>
      <w:lvlText w:val="•"/>
      <w:lvlJc w:val="left"/>
      <w:pPr>
        <w:ind w:left="726" w:hanging="100"/>
      </w:pPr>
      <w:rPr>
        <w:rFonts w:hint="default"/>
      </w:rPr>
    </w:lvl>
    <w:lvl w:ilvl="5" w:tplc="823261AE">
      <w:numFmt w:val="bullet"/>
      <w:lvlText w:val="•"/>
      <w:lvlJc w:val="left"/>
      <w:pPr>
        <w:ind w:left="868" w:hanging="100"/>
      </w:pPr>
      <w:rPr>
        <w:rFonts w:hint="default"/>
      </w:rPr>
    </w:lvl>
    <w:lvl w:ilvl="6" w:tplc="BEDED41E">
      <w:numFmt w:val="bullet"/>
      <w:lvlText w:val="•"/>
      <w:lvlJc w:val="left"/>
      <w:pPr>
        <w:ind w:left="1010" w:hanging="100"/>
      </w:pPr>
      <w:rPr>
        <w:rFonts w:hint="default"/>
      </w:rPr>
    </w:lvl>
    <w:lvl w:ilvl="7" w:tplc="1974F7CE">
      <w:numFmt w:val="bullet"/>
      <w:lvlText w:val="•"/>
      <w:lvlJc w:val="left"/>
      <w:pPr>
        <w:ind w:left="1151" w:hanging="100"/>
      </w:pPr>
      <w:rPr>
        <w:rFonts w:hint="default"/>
      </w:rPr>
    </w:lvl>
    <w:lvl w:ilvl="8" w:tplc="46A457C4">
      <w:numFmt w:val="bullet"/>
      <w:lvlText w:val="•"/>
      <w:lvlJc w:val="left"/>
      <w:pPr>
        <w:ind w:left="1293" w:hanging="100"/>
      </w:pPr>
      <w:rPr>
        <w:rFonts w:hint="default"/>
      </w:rPr>
    </w:lvl>
  </w:abstractNum>
  <w:abstractNum w:abstractNumId="757" w15:restartNumberingAfterBreak="0">
    <w:nsid w:val="30294F42"/>
    <w:multiLevelType w:val="hybridMultilevel"/>
    <w:tmpl w:val="C9044C16"/>
    <w:lvl w:ilvl="0" w:tplc="4A1C9878">
      <w:numFmt w:val="bullet"/>
      <w:lvlText w:val=""/>
      <w:lvlJc w:val="left"/>
      <w:pPr>
        <w:ind w:left="156" w:hanging="100"/>
      </w:pPr>
      <w:rPr>
        <w:rFonts w:ascii="Symbol" w:eastAsia="Symbol" w:hAnsi="Symbol" w:cs="Symbol" w:hint="default"/>
        <w:color w:val="231F20"/>
        <w:w w:val="100"/>
        <w:sz w:val="14"/>
        <w:szCs w:val="14"/>
      </w:rPr>
    </w:lvl>
    <w:lvl w:ilvl="1" w:tplc="AA9A823A">
      <w:numFmt w:val="bullet"/>
      <w:lvlText w:val="•"/>
      <w:lvlJc w:val="left"/>
      <w:pPr>
        <w:ind w:left="426" w:hanging="100"/>
      </w:pPr>
      <w:rPr>
        <w:rFonts w:hint="default"/>
      </w:rPr>
    </w:lvl>
    <w:lvl w:ilvl="2" w:tplc="8B70B4BA">
      <w:numFmt w:val="bullet"/>
      <w:lvlText w:val="•"/>
      <w:lvlJc w:val="left"/>
      <w:pPr>
        <w:ind w:left="692" w:hanging="100"/>
      </w:pPr>
      <w:rPr>
        <w:rFonts w:hint="default"/>
      </w:rPr>
    </w:lvl>
    <w:lvl w:ilvl="3" w:tplc="D106487A">
      <w:numFmt w:val="bullet"/>
      <w:lvlText w:val="•"/>
      <w:lvlJc w:val="left"/>
      <w:pPr>
        <w:ind w:left="959" w:hanging="100"/>
      </w:pPr>
      <w:rPr>
        <w:rFonts w:hint="default"/>
      </w:rPr>
    </w:lvl>
    <w:lvl w:ilvl="4" w:tplc="C0506C50">
      <w:numFmt w:val="bullet"/>
      <w:lvlText w:val="•"/>
      <w:lvlJc w:val="left"/>
      <w:pPr>
        <w:ind w:left="1225" w:hanging="100"/>
      </w:pPr>
      <w:rPr>
        <w:rFonts w:hint="default"/>
      </w:rPr>
    </w:lvl>
    <w:lvl w:ilvl="5" w:tplc="CA60686A">
      <w:numFmt w:val="bullet"/>
      <w:lvlText w:val="•"/>
      <w:lvlJc w:val="left"/>
      <w:pPr>
        <w:ind w:left="1492" w:hanging="100"/>
      </w:pPr>
      <w:rPr>
        <w:rFonts w:hint="default"/>
      </w:rPr>
    </w:lvl>
    <w:lvl w:ilvl="6" w:tplc="3944423E">
      <w:numFmt w:val="bullet"/>
      <w:lvlText w:val="•"/>
      <w:lvlJc w:val="left"/>
      <w:pPr>
        <w:ind w:left="1758" w:hanging="100"/>
      </w:pPr>
      <w:rPr>
        <w:rFonts w:hint="default"/>
      </w:rPr>
    </w:lvl>
    <w:lvl w:ilvl="7" w:tplc="BFEA1FA6">
      <w:numFmt w:val="bullet"/>
      <w:lvlText w:val="•"/>
      <w:lvlJc w:val="left"/>
      <w:pPr>
        <w:ind w:left="2024" w:hanging="100"/>
      </w:pPr>
      <w:rPr>
        <w:rFonts w:hint="default"/>
      </w:rPr>
    </w:lvl>
    <w:lvl w:ilvl="8" w:tplc="88AE03C4">
      <w:numFmt w:val="bullet"/>
      <w:lvlText w:val="•"/>
      <w:lvlJc w:val="left"/>
      <w:pPr>
        <w:ind w:left="2291" w:hanging="100"/>
      </w:pPr>
      <w:rPr>
        <w:rFonts w:hint="default"/>
      </w:rPr>
    </w:lvl>
  </w:abstractNum>
  <w:abstractNum w:abstractNumId="758" w15:restartNumberingAfterBreak="0">
    <w:nsid w:val="3030587C"/>
    <w:multiLevelType w:val="hybridMultilevel"/>
    <w:tmpl w:val="97B6B104"/>
    <w:lvl w:ilvl="0" w:tplc="82B6F764">
      <w:numFmt w:val="bullet"/>
      <w:lvlText w:val=""/>
      <w:lvlJc w:val="left"/>
      <w:pPr>
        <w:ind w:left="156" w:hanging="100"/>
      </w:pPr>
      <w:rPr>
        <w:rFonts w:ascii="Symbol" w:eastAsia="Symbol" w:hAnsi="Symbol" w:cs="Symbol" w:hint="default"/>
        <w:color w:val="231F20"/>
        <w:w w:val="100"/>
        <w:sz w:val="14"/>
        <w:szCs w:val="14"/>
      </w:rPr>
    </w:lvl>
    <w:lvl w:ilvl="1" w:tplc="4FC6E37A">
      <w:numFmt w:val="bullet"/>
      <w:lvlText w:val="•"/>
      <w:lvlJc w:val="left"/>
      <w:pPr>
        <w:ind w:left="426" w:hanging="100"/>
      </w:pPr>
      <w:rPr>
        <w:rFonts w:hint="default"/>
      </w:rPr>
    </w:lvl>
    <w:lvl w:ilvl="2" w:tplc="43A0B7E8">
      <w:numFmt w:val="bullet"/>
      <w:lvlText w:val="•"/>
      <w:lvlJc w:val="left"/>
      <w:pPr>
        <w:ind w:left="692" w:hanging="100"/>
      </w:pPr>
      <w:rPr>
        <w:rFonts w:hint="default"/>
      </w:rPr>
    </w:lvl>
    <w:lvl w:ilvl="3" w:tplc="E318B66E">
      <w:numFmt w:val="bullet"/>
      <w:lvlText w:val="•"/>
      <w:lvlJc w:val="left"/>
      <w:pPr>
        <w:ind w:left="959" w:hanging="100"/>
      </w:pPr>
      <w:rPr>
        <w:rFonts w:hint="default"/>
      </w:rPr>
    </w:lvl>
    <w:lvl w:ilvl="4" w:tplc="47260E06">
      <w:numFmt w:val="bullet"/>
      <w:lvlText w:val="•"/>
      <w:lvlJc w:val="left"/>
      <w:pPr>
        <w:ind w:left="1225" w:hanging="100"/>
      </w:pPr>
      <w:rPr>
        <w:rFonts w:hint="default"/>
      </w:rPr>
    </w:lvl>
    <w:lvl w:ilvl="5" w:tplc="56124546">
      <w:numFmt w:val="bullet"/>
      <w:lvlText w:val="•"/>
      <w:lvlJc w:val="left"/>
      <w:pPr>
        <w:ind w:left="1492" w:hanging="100"/>
      </w:pPr>
      <w:rPr>
        <w:rFonts w:hint="default"/>
      </w:rPr>
    </w:lvl>
    <w:lvl w:ilvl="6" w:tplc="1BEC9442">
      <w:numFmt w:val="bullet"/>
      <w:lvlText w:val="•"/>
      <w:lvlJc w:val="left"/>
      <w:pPr>
        <w:ind w:left="1758" w:hanging="100"/>
      </w:pPr>
      <w:rPr>
        <w:rFonts w:hint="default"/>
      </w:rPr>
    </w:lvl>
    <w:lvl w:ilvl="7" w:tplc="3F4E21FC">
      <w:numFmt w:val="bullet"/>
      <w:lvlText w:val="•"/>
      <w:lvlJc w:val="left"/>
      <w:pPr>
        <w:ind w:left="2024" w:hanging="100"/>
      </w:pPr>
      <w:rPr>
        <w:rFonts w:hint="default"/>
      </w:rPr>
    </w:lvl>
    <w:lvl w:ilvl="8" w:tplc="4BBE0C40">
      <w:numFmt w:val="bullet"/>
      <w:lvlText w:val="•"/>
      <w:lvlJc w:val="left"/>
      <w:pPr>
        <w:ind w:left="2291" w:hanging="100"/>
      </w:pPr>
      <w:rPr>
        <w:rFonts w:hint="default"/>
      </w:rPr>
    </w:lvl>
  </w:abstractNum>
  <w:abstractNum w:abstractNumId="759" w15:restartNumberingAfterBreak="0">
    <w:nsid w:val="30394502"/>
    <w:multiLevelType w:val="hybridMultilevel"/>
    <w:tmpl w:val="3518629A"/>
    <w:lvl w:ilvl="0" w:tplc="458EE6C0">
      <w:numFmt w:val="bullet"/>
      <w:lvlText w:val=""/>
      <w:lvlJc w:val="left"/>
      <w:pPr>
        <w:ind w:left="157" w:hanging="100"/>
      </w:pPr>
      <w:rPr>
        <w:rFonts w:ascii="Symbol" w:eastAsia="Symbol" w:hAnsi="Symbol" w:cs="Symbol" w:hint="default"/>
        <w:color w:val="231F20"/>
        <w:w w:val="100"/>
        <w:sz w:val="14"/>
        <w:szCs w:val="14"/>
      </w:rPr>
    </w:lvl>
    <w:lvl w:ilvl="1" w:tplc="D55A9016">
      <w:numFmt w:val="bullet"/>
      <w:lvlText w:val="•"/>
      <w:lvlJc w:val="left"/>
      <w:pPr>
        <w:ind w:left="426" w:hanging="100"/>
      </w:pPr>
      <w:rPr>
        <w:rFonts w:hint="default"/>
      </w:rPr>
    </w:lvl>
    <w:lvl w:ilvl="2" w:tplc="2286DA04">
      <w:numFmt w:val="bullet"/>
      <w:lvlText w:val="•"/>
      <w:lvlJc w:val="left"/>
      <w:pPr>
        <w:ind w:left="692" w:hanging="100"/>
      </w:pPr>
      <w:rPr>
        <w:rFonts w:hint="default"/>
      </w:rPr>
    </w:lvl>
    <w:lvl w:ilvl="3" w:tplc="818C71CE">
      <w:numFmt w:val="bullet"/>
      <w:lvlText w:val="•"/>
      <w:lvlJc w:val="left"/>
      <w:pPr>
        <w:ind w:left="959" w:hanging="100"/>
      </w:pPr>
      <w:rPr>
        <w:rFonts w:hint="default"/>
      </w:rPr>
    </w:lvl>
    <w:lvl w:ilvl="4" w:tplc="49269414">
      <w:numFmt w:val="bullet"/>
      <w:lvlText w:val="•"/>
      <w:lvlJc w:val="left"/>
      <w:pPr>
        <w:ind w:left="1225" w:hanging="100"/>
      </w:pPr>
      <w:rPr>
        <w:rFonts w:hint="default"/>
      </w:rPr>
    </w:lvl>
    <w:lvl w:ilvl="5" w:tplc="2656F780">
      <w:numFmt w:val="bullet"/>
      <w:lvlText w:val="•"/>
      <w:lvlJc w:val="left"/>
      <w:pPr>
        <w:ind w:left="1492" w:hanging="100"/>
      </w:pPr>
      <w:rPr>
        <w:rFonts w:hint="default"/>
      </w:rPr>
    </w:lvl>
    <w:lvl w:ilvl="6" w:tplc="A95263F6">
      <w:numFmt w:val="bullet"/>
      <w:lvlText w:val="•"/>
      <w:lvlJc w:val="left"/>
      <w:pPr>
        <w:ind w:left="1758" w:hanging="100"/>
      </w:pPr>
      <w:rPr>
        <w:rFonts w:hint="default"/>
      </w:rPr>
    </w:lvl>
    <w:lvl w:ilvl="7" w:tplc="59D47788">
      <w:numFmt w:val="bullet"/>
      <w:lvlText w:val="•"/>
      <w:lvlJc w:val="left"/>
      <w:pPr>
        <w:ind w:left="2024" w:hanging="100"/>
      </w:pPr>
      <w:rPr>
        <w:rFonts w:hint="default"/>
      </w:rPr>
    </w:lvl>
    <w:lvl w:ilvl="8" w:tplc="078017D4">
      <w:numFmt w:val="bullet"/>
      <w:lvlText w:val="•"/>
      <w:lvlJc w:val="left"/>
      <w:pPr>
        <w:ind w:left="2291" w:hanging="100"/>
      </w:pPr>
      <w:rPr>
        <w:rFonts w:hint="default"/>
      </w:rPr>
    </w:lvl>
  </w:abstractNum>
  <w:abstractNum w:abstractNumId="760" w15:restartNumberingAfterBreak="0">
    <w:nsid w:val="303D5FF2"/>
    <w:multiLevelType w:val="hybridMultilevel"/>
    <w:tmpl w:val="412A33B0"/>
    <w:lvl w:ilvl="0" w:tplc="6DD4C078">
      <w:numFmt w:val="bullet"/>
      <w:lvlText w:val=""/>
      <w:lvlJc w:val="left"/>
      <w:pPr>
        <w:ind w:left="157" w:hanging="100"/>
      </w:pPr>
      <w:rPr>
        <w:rFonts w:ascii="Symbol" w:eastAsia="Symbol" w:hAnsi="Symbol" w:cs="Symbol" w:hint="default"/>
        <w:color w:val="231F20"/>
        <w:w w:val="100"/>
        <w:sz w:val="14"/>
        <w:szCs w:val="14"/>
      </w:rPr>
    </w:lvl>
    <w:lvl w:ilvl="1" w:tplc="62A8513C">
      <w:numFmt w:val="bullet"/>
      <w:lvlText w:val="•"/>
      <w:lvlJc w:val="left"/>
      <w:pPr>
        <w:ind w:left="426" w:hanging="100"/>
      </w:pPr>
      <w:rPr>
        <w:rFonts w:hint="default"/>
      </w:rPr>
    </w:lvl>
    <w:lvl w:ilvl="2" w:tplc="D508319C">
      <w:numFmt w:val="bullet"/>
      <w:lvlText w:val="•"/>
      <w:lvlJc w:val="left"/>
      <w:pPr>
        <w:ind w:left="692" w:hanging="100"/>
      </w:pPr>
      <w:rPr>
        <w:rFonts w:hint="default"/>
      </w:rPr>
    </w:lvl>
    <w:lvl w:ilvl="3" w:tplc="9112EF62">
      <w:numFmt w:val="bullet"/>
      <w:lvlText w:val="•"/>
      <w:lvlJc w:val="left"/>
      <w:pPr>
        <w:ind w:left="959" w:hanging="100"/>
      </w:pPr>
      <w:rPr>
        <w:rFonts w:hint="default"/>
      </w:rPr>
    </w:lvl>
    <w:lvl w:ilvl="4" w:tplc="4A528E4C">
      <w:numFmt w:val="bullet"/>
      <w:lvlText w:val="•"/>
      <w:lvlJc w:val="left"/>
      <w:pPr>
        <w:ind w:left="1225" w:hanging="100"/>
      </w:pPr>
      <w:rPr>
        <w:rFonts w:hint="default"/>
      </w:rPr>
    </w:lvl>
    <w:lvl w:ilvl="5" w:tplc="88DE0CEE">
      <w:numFmt w:val="bullet"/>
      <w:lvlText w:val="•"/>
      <w:lvlJc w:val="left"/>
      <w:pPr>
        <w:ind w:left="1492" w:hanging="100"/>
      </w:pPr>
      <w:rPr>
        <w:rFonts w:hint="default"/>
      </w:rPr>
    </w:lvl>
    <w:lvl w:ilvl="6" w:tplc="74986A7A">
      <w:numFmt w:val="bullet"/>
      <w:lvlText w:val="•"/>
      <w:lvlJc w:val="left"/>
      <w:pPr>
        <w:ind w:left="1758" w:hanging="100"/>
      </w:pPr>
      <w:rPr>
        <w:rFonts w:hint="default"/>
      </w:rPr>
    </w:lvl>
    <w:lvl w:ilvl="7" w:tplc="4D6C9102">
      <w:numFmt w:val="bullet"/>
      <w:lvlText w:val="•"/>
      <w:lvlJc w:val="left"/>
      <w:pPr>
        <w:ind w:left="2024" w:hanging="100"/>
      </w:pPr>
      <w:rPr>
        <w:rFonts w:hint="default"/>
      </w:rPr>
    </w:lvl>
    <w:lvl w:ilvl="8" w:tplc="649C53DC">
      <w:numFmt w:val="bullet"/>
      <w:lvlText w:val="•"/>
      <w:lvlJc w:val="left"/>
      <w:pPr>
        <w:ind w:left="2291" w:hanging="100"/>
      </w:pPr>
      <w:rPr>
        <w:rFonts w:hint="default"/>
      </w:rPr>
    </w:lvl>
  </w:abstractNum>
  <w:abstractNum w:abstractNumId="761" w15:restartNumberingAfterBreak="0">
    <w:nsid w:val="30630C33"/>
    <w:multiLevelType w:val="hybridMultilevel"/>
    <w:tmpl w:val="6FDA611C"/>
    <w:lvl w:ilvl="0" w:tplc="098489EA">
      <w:numFmt w:val="bullet"/>
      <w:lvlText w:val=""/>
      <w:lvlJc w:val="left"/>
      <w:pPr>
        <w:ind w:left="156" w:hanging="100"/>
      </w:pPr>
      <w:rPr>
        <w:rFonts w:ascii="Symbol" w:eastAsia="Symbol" w:hAnsi="Symbol" w:cs="Symbol" w:hint="default"/>
        <w:color w:val="231F20"/>
        <w:w w:val="100"/>
        <w:sz w:val="14"/>
        <w:szCs w:val="14"/>
      </w:rPr>
    </w:lvl>
    <w:lvl w:ilvl="1" w:tplc="4766A094">
      <w:numFmt w:val="bullet"/>
      <w:lvlText w:val="•"/>
      <w:lvlJc w:val="left"/>
      <w:pPr>
        <w:ind w:left="301" w:hanging="100"/>
      </w:pPr>
      <w:rPr>
        <w:rFonts w:hint="default"/>
      </w:rPr>
    </w:lvl>
    <w:lvl w:ilvl="2" w:tplc="C4522CEC">
      <w:numFmt w:val="bullet"/>
      <w:lvlText w:val="•"/>
      <w:lvlJc w:val="left"/>
      <w:pPr>
        <w:ind w:left="443" w:hanging="100"/>
      </w:pPr>
      <w:rPr>
        <w:rFonts w:hint="default"/>
      </w:rPr>
    </w:lvl>
    <w:lvl w:ilvl="3" w:tplc="D716EB00">
      <w:numFmt w:val="bullet"/>
      <w:lvlText w:val="•"/>
      <w:lvlJc w:val="left"/>
      <w:pPr>
        <w:ind w:left="585" w:hanging="100"/>
      </w:pPr>
      <w:rPr>
        <w:rFonts w:hint="default"/>
      </w:rPr>
    </w:lvl>
    <w:lvl w:ilvl="4" w:tplc="E4588CEA">
      <w:numFmt w:val="bullet"/>
      <w:lvlText w:val="•"/>
      <w:lvlJc w:val="left"/>
      <w:pPr>
        <w:ind w:left="726" w:hanging="100"/>
      </w:pPr>
      <w:rPr>
        <w:rFonts w:hint="default"/>
      </w:rPr>
    </w:lvl>
    <w:lvl w:ilvl="5" w:tplc="6E368E14">
      <w:numFmt w:val="bullet"/>
      <w:lvlText w:val="•"/>
      <w:lvlJc w:val="left"/>
      <w:pPr>
        <w:ind w:left="868" w:hanging="100"/>
      </w:pPr>
      <w:rPr>
        <w:rFonts w:hint="default"/>
      </w:rPr>
    </w:lvl>
    <w:lvl w:ilvl="6" w:tplc="14068CC6">
      <w:numFmt w:val="bullet"/>
      <w:lvlText w:val="•"/>
      <w:lvlJc w:val="left"/>
      <w:pPr>
        <w:ind w:left="1010" w:hanging="100"/>
      </w:pPr>
      <w:rPr>
        <w:rFonts w:hint="default"/>
      </w:rPr>
    </w:lvl>
    <w:lvl w:ilvl="7" w:tplc="EC7AA5CC">
      <w:numFmt w:val="bullet"/>
      <w:lvlText w:val="•"/>
      <w:lvlJc w:val="left"/>
      <w:pPr>
        <w:ind w:left="1151" w:hanging="100"/>
      </w:pPr>
      <w:rPr>
        <w:rFonts w:hint="default"/>
      </w:rPr>
    </w:lvl>
    <w:lvl w:ilvl="8" w:tplc="EB7805EE">
      <w:numFmt w:val="bullet"/>
      <w:lvlText w:val="•"/>
      <w:lvlJc w:val="left"/>
      <w:pPr>
        <w:ind w:left="1293" w:hanging="100"/>
      </w:pPr>
      <w:rPr>
        <w:rFonts w:hint="default"/>
      </w:rPr>
    </w:lvl>
  </w:abstractNum>
  <w:abstractNum w:abstractNumId="762" w15:restartNumberingAfterBreak="0">
    <w:nsid w:val="30B07DEE"/>
    <w:multiLevelType w:val="hybridMultilevel"/>
    <w:tmpl w:val="A89869EE"/>
    <w:lvl w:ilvl="0" w:tplc="5F769F6A">
      <w:numFmt w:val="bullet"/>
      <w:lvlText w:val=""/>
      <w:lvlJc w:val="left"/>
      <w:pPr>
        <w:ind w:left="156" w:hanging="100"/>
      </w:pPr>
      <w:rPr>
        <w:rFonts w:ascii="Symbol" w:eastAsia="Symbol" w:hAnsi="Symbol" w:cs="Symbol" w:hint="default"/>
        <w:color w:val="231F20"/>
        <w:w w:val="100"/>
        <w:sz w:val="14"/>
        <w:szCs w:val="14"/>
      </w:rPr>
    </w:lvl>
    <w:lvl w:ilvl="1" w:tplc="4BCC501E">
      <w:numFmt w:val="bullet"/>
      <w:lvlText w:val="•"/>
      <w:lvlJc w:val="left"/>
      <w:pPr>
        <w:ind w:left="471" w:hanging="100"/>
      </w:pPr>
      <w:rPr>
        <w:rFonts w:hint="default"/>
      </w:rPr>
    </w:lvl>
    <w:lvl w:ilvl="2" w:tplc="EF926A02">
      <w:numFmt w:val="bullet"/>
      <w:lvlText w:val="•"/>
      <w:lvlJc w:val="left"/>
      <w:pPr>
        <w:ind w:left="783" w:hanging="100"/>
      </w:pPr>
      <w:rPr>
        <w:rFonts w:hint="default"/>
      </w:rPr>
    </w:lvl>
    <w:lvl w:ilvl="3" w:tplc="7138D25C">
      <w:numFmt w:val="bullet"/>
      <w:lvlText w:val="•"/>
      <w:lvlJc w:val="left"/>
      <w:pPr>
        <w:ind w:left="1095" w:hanging="100"/>
      </w:pPr>
      <w:rPr>
        <w:rFonts w:hint="default"/>
      </w:rPr>
    </w:lvl>
    <w:lvl w:ilvl="4" w:tplc="B7DE4B28">
      <w:numFmt w:val="bullet"/>
      <w:lvlText w:val="•"/>
      <w:lvlJc w:val="left"/>
      <w:pPr>
        <w:ind w:left="1407" w:hanging="100"/>
      </w:pPr>
      <w:rPr>
        <w:rFonts w:hint="default"/>
      </w:rPr>
    </w:lvl>
    <w:lvl w:ilvl="5" w:tplc="ABEAD0D0">
      <w:numFmt w:val="bullet"/>
      <w:lvlText w:val="•"/>
      <w:lvlJc w:val="left"/>
      <w:pPr>
        <w:ind w:left="1719" w:hanging="100"/>
      </w:pPr>
      <w:rPr>
        <w:rFonts w:hint="default"/>
      </w:rPr>
    </w:lvl>
    <w:lvl w:ilvl="6" w:tplc="361C43F6">
      <w:numFmt w:val="bullet"/>
      <w:lvlText w:val="•"/>
      <w:lvlJc w:val="left"/>
      <w:pPr>
        <w:ind w:left="2030" w:hanging="100"/>
      </w:pPr>
      <w:rPr>
        <w:rFonts w:hint="default"/>
      </w:rPr>
    </w:lvl>
    <w:lvl w:ilvl="7" w:tplc="7FF6737A">
      <w:numFmt w:val="bullet"/>
      <w:lvlText w:val="•"/>
      <w:lvlJc w:val="left"/>
      <w:pPr>
        <w:ind w:left="2342" w:hanging="100"/>
      </w:pPr>
      <w:rPr>
        <w:rFonts w:hint="default"/>
      </w:rPr>
    </w:lvl>
    <w:lvl w:ilvl="8" w:tplc="A768C288">
      <w:numFmt w:val="bullet"/>
      <w:lvlText w:val="•"/>
      <w:lvlJc w:val="left"/>
      <w:pPr>
        <w:ind w:left="2654" w:hanging="100"/>
      </w:pPr>
      <w:rPr>
        <w:rFonts w:hint="default"/>
      </w:rPr>
    </w:lvl>
  </w:abstractNum>
  <w:abstractNum w:abstractNumId="763" w15:restartNumberingAfterBreak="0">
    <w:nsid w:val="30D51277"/>
    <w:multiLevelType w:val="hybridMultilevel"/>
    <w:tmpl w:val="2F4848D8"/>
    <w:lvl w:ilvl="0" w:tplc="FBFA38B6">
      <w:numFmt w:val="bullet"/>
      <w:lvlText w:val="–"/>
      <w:lvlJc w:val="left"/>
      <w:pPr>
        <w:ind w:left="162" w:hanging="105"/>
      </w:pPr>
      <w:rPr>
        <w:rFonts w:ascii="Times New Roman" w:eastAsia="Times New Roman" w:hAnsi="Times New Roman" w:cs="Times New Roman" w:hint="default"/>
        <w:color w:val="231F20"/>
        <w:spacing w:val="-5"/>
        <w:w w:val="100"/>
        <w:sz w:val="14"/>
        <w:szCs w:val="14"/>
      </w:rPr>
    </w:lvl>
    <w:lvl w:ilvl="1" w:tplc="286AC2EE">
      <w:numFmt w:val="bullet"/>
      <w:lvlText w:val="•"/>
      <w:lvlJc w:val="left"/>
      <w:pPr>
        <w:ind w:left="426" w:hanging="105"/>
      </w:pPr>
      <w:rPr>
        <w:rFonts w:hint="default"/>
      </w:rPr>
    </w:lvl>
    <w:lvl w:ilvl="2" w:tplc="BD76EB38">
      <w:numFmt w:val="bullet"/>
      <w:lvlText w:val="•"/>
      <w:lvlJc w:val="left"/>
      <w:pPr>
        <w:ind w:left="692" w:hanging="105"/>
      </w:pPr>
      <w:rPr>
        <w:rFonts w:hint="default"/>
      </w:rPr>
    </w:lvl>
    <w:lvl w:ilvl="3" w:tplc="641CEAEE">
      <w:numFmt w:val="bullet"/>
      <w:lvlText w:val="•"/>
      <w:lvlJc w:val="left"/>
      <w:pPr>
        <w:ind w:left="959" w:hanging="105"/>
      </w:pPr>
      <w:rPr>
        <w:rFonts w:hint="default"/>
      </w:rPr>
    </w:lvl>
    <w:lvl w:ilvl="4" w:tplc="596E440A">
      <w:numFmt w:val="bullet"/>
      <w:lvlText w:val="•"/>
      <w:lvlJc w:val="left"/>
      <w:pPr>
        <w:ind w:left="1225" w:hanging="105"/>
      </w:pPr>
      <w:rPr>
        <w:rFonts w:hint="default"/>
      </w:rPr>
    </w:lvl>
    <w:lvl w:ilvl="5" w:tplc="846ED588">
      <w:numFmt w:val="bullet"/>
      <w:lvlText w:val="•"/>
      <w:lvlJc w:val="left"/>
      <w:pPr>
        <w:ind w:left="1492" w:hanging="105"/>
      </w:pPr>
      <w:rPr>
        <w:rFonts w:hint="default"/>
      </w:rPr>
    </w:lvl>
    <w:lvl w:ilvl="6" w:tplc="6748A2C0">
      <w:numFmt w:val="bullet"/>
      <w:lvlText w:val="•"/>
      <w:lvlJc w:val="left"/>
      <w:pPr>
        <w:ind w:left="1758" w:hanging="105"/>
      </w:pPr>
      <w:rPr>
        <w:rFonts w:hint="default"/>
      </w:rPr>
    </w:lvl>
    <w:lvl w:ilvl="7" w:tplc="1734A0E0">
      <w:numFmt w:val="bullet"/>
      <w:lvlText w:val="•"/>
      <w:lvlJc w:val="left"/>
      <w:pPr>
        <w:ind w:left="2024" w:hanging="105"/>
      </w:pPr>
      <w:rPr>
        <w:rFonts w:hint="default"/>
      </w:rPr>
    </w:lvl>
    <w:lvl w:ilvl="8" w:tplc="466869F4">
      <w:numFmt w:val="bullet"/>
      <w:lvlText w:val="•"/>
      <w:lvlJc w:val="left"/>
      <w:pPr>
        <w:ind w:left="2291" w:hanging="105"/>
      </w:pPr>
      <w:rPr>
        <w:rFonts w:hint="default"/>
      </w:rPr>
    </w:lvl>
  </w:abstractNum>
  <w:abstractNum w:abstractNumId="764" w15:restartNumberingAfterBreak="0">
    <w:nsid w:val="30D76AE5"/>
    <w:multiLevelType w:val="hybridMultilevel"/>
    <w:tmpl w:val="6254ADB2"/>
    <w:lvl w:ilvl="0" w:tplc="1C9C025C">
      <w:numFmt w:val="bullet"/>
      <w:lvlText w:val=""/>
      <w:lvlJc w:val="left"/>
      <w:pPr>
        <w:ind w:left="156" w:hanging="100"/>
      </w:pPr>
      <w:rPr>
        <w:rFonts w:ascii="Symbol" w:eastAsia="Symbol" w:hAnsi="Symbol" w:cs="Symbol" w:hint="default"/>
        <w:color w:val="231F20"/>
        <w:w w:val="100"/>
        <w:sz w:val="14"/>
        <w:szCs w:val="14"/>
      </w:rPr>
    </w:lvl>
    <w:lvl w:ilvl="1" w:tplc="FC38987C">
      <w:numFmt w:val="bullet"/>
      <w:lvlText w:val="•"/>
      <w:lvlJc w:val="left"/>
      <w:pPr>
        <w:ind w:left="301" w:hanging="100"/>
      </w:pPr>
      <w:rPr>
        <w:rFonts w:hint="default"/>
      </w:rPr>
    </w:lvl>
    <w:lvl w:ilvl="2" w:tplc="5792D13E">
      <w:numFmt w:val="bullet"/>
      <w:lvlText w:val="•"/>
      <w:lvlJc w:val="left"/>
      <w:pPr>
        <w:ind w:left="443" w:hanging="100"/>
      </w:pPr>
      <w:rPr>
        <w:rFonts w:hint="default"/>
      </w:rPr>
    </w:lvl>
    <w:lvl w:ilvl="3" w:tplc="BEC40C78">
      <w:numFmt w:val="bullet"/>
      <w:lvlText w:val="•"/>
      <w:lvlJc w:val="left"/>
      <w:pPr>
        <w:ind w:left="585" w:hanging="100"/>
      </w:pPr>
      <w:rPr>
        <w:rFonts w:hint="default"/>
      </w:rPr>
    </w:lvl>
    <w:lvl w:ilvl="4" w:tplc="D12E8880">
      <w:numFmt w:val="bullet"/>
      <w:lvlText w:val="•"/>
      <w:lvlJc w:val="left"/>
      <w:pPr>
        <w:ind w:left="726" w:hanging="100"/>
      </w:pPr>
      <w:rPr>
        <w:rFonts w:hint="default"/>
      </w:rPr>
    </w:lvl>
    <w:lvl w:ilvl="5" w:tplc="31E4836C">
      <w:numFmt w:val="bullet"/>
      <w:lvlText w:val="•"/>
      <w:lvlJc w:val="left"/>
      <w:pPr>
        <w:ind w:left="868" w:hanging="100"/>
      </w:pPr>
      <w:rPr>
        <w:rFonts w:hint="default"/>
      </w:rPr>
    </w:lvl>
    <w:lvl w:ilvl="6" w:tplc="2EFE4B82">
      <w:numFmt w:val="bullet"/>
      <w:lvlText w:val="•"/>
      <w:lvlJc w:val="left"/>
      <w:pPr>
        <w:ind w:left="1010" w:hanging="100"/>
      </w:pPr>
      <w:rPr>
        <w:rFonts w:hint="default"/>
      </w:rPr>
    </w:lvl>
    <w:lvl w:ilvl="7" w:tplc="2842D1E0">
      <w:numFmt w:val="bullet"/>
      <w:lvlText w:val="•"/>
      <w:lvlJc w:val="left"/>
      <w:pPr>
        <w:ind w:left="1151" w:hanging="100"/>
      </w:pPr>
      <w:rPr>
        <w:rFonts w:hint="default"/>
      </w:rPr>
    </w:lvl>
    <w:lvl w:ilvl="8" w:tplc="0BB6AC04">
      <w:numFmt w:val="bullet"/>
      <w:lvlText w:val="•"/>
      <w:lvlJc w:val="left"/>
      <w:pPr>
        <w:ind w:left="1293" w:hanging="100"/>
      </w:pPr>
      <w:rPr>
        <w:rFonts w:hint="default"/>
      </w:rPr>
    </w:lvl>
  </w:abstractNum>
  <w:abstractNum w:abstractNumId="765" w15:restartNumberingAfterBreak="0">
    <w:nsid w:val="30D8075C"/>
    <w:multiLevelType w:val="hybridMultilevel"/>
    <w:tmpl w:val="0E74C48E"/>
    <w:lvl w:ilvl="0" w:tplc="04CC700A">
      <w:numFmt w:val="bullet"/>
      <w:lvlText w:val=""/>
      <w:lvlJc w:val="left"/>
      <w:pPr>
        <w:ind w:left="156" w:hanging="100"/>
      </w:pPr>
      <w:rPr>
        <w:rFonts w:ascii="Symbol" w:eastAsia="Symbol" w:hAnsi="Symbol" w:cs="Symbol" w:hint="default"/>
        <w:color w:val="231F20"/>
        <w:w w:val="100"/>
        <w:sz w:val="14"/>
        <w:szCs w:val="14"/>
      </w:rPr>
    </w:lvl>
    <w:lvl w:ilvl="1" w:tplc="A3C66C98">
      <w:numFmt w:val="bullet"/>
      <w:lvlText w:val="•"/>
      <w:lvlJc w:val="left"/>
      <w:pPr>
        <w:ind w:left="426" w:hanging="100"/>
      </w:pPr>
      <w:rPr>
        <w:rFonts w:hint="default"/>
      </w:rPr>
    </w:lvl>
    <w:lvl w:ilvl="2" w:tplc="81BEEB12">
      <w:numFmt w:val="bullet"/>
      <w:lvlText w:val="•"/>
      <w:lvlJc w:val="left"/>
      <w:pPr>
        <w:ind w:left="692" w:hanging="100"/>
      </w:pPr>
      <w:rPr>
        <w:rFonts w:hint="default"/>
      </w:rPr>
    </w:lvl>
    <w:lvl w:ilvl="3" w:tplc="C4545028">
      <w:numFmt w:val="bullet"/>
      <w:lvlText w:val="•"/>
      <w:lvlJc w:val="left"/>
      <w:pPr>
        <w:ind w:left="959" w:hanging="100"/>
      </w:pPr>
      <w:rPr>
        <w:rFonts w:hint="default"/>
      </w:rPr>
    </w:lvl>
    <w:lvl w:ilvl="4" w:tplc="8306F490">
      <w:numFmt w:val="bullet"/>
      <w:lvlText w:val="•"/>
      <w:lvlJc w:val="left"/>
      <w:pPr>
        <w:ind w:left="1225" w:hanging="100"/>
      </w:pPr>
      <w:rPr>
        <w:rFonts w:hint="default"/>
      </w:rPr>
    </w:lvl>
    <w:lvl w:ilvl="5" w:tplc="B8E000FA">
      <w:numFmt w:val="bullet"/>
      <w:lvlText w:val="•"/>
      <w:lvlJc w:val="left"/>
      <w:pPr>
        <w:ind w:left="1492" w:hanging="100"/>
      </w:pPr>
      <w:rPr>
        <w:rFonts w:hint="default"/>
      </w:rPr>
    </w:lvl>
    <w:lvl w:ilvl="6" w:tplc="C67AC210">
      <w:numFmt w:val="bullet"/>
      <w:lvlText w:val="•"/>
      <w:lvlJc w:val="left"/>
      <w:pPr>
        <w:ind w:left="1758" w:hanging="100"/>
      </w:pPr>
      <w:rPr>
        <w:rFonts w:hint="default"/>
      </w:rPr>
    </w:lvl>
    <w:lvl w:ilvl="7" w:tplc="68D05DFE">
      <w:numFmt w:val="bullet"/>
      <w:lvlText w:val="•"/>
      <w:lvlJc w:val="left"/>
      <w:pPr>
        <w:ind w:left="2024" w:hanging="100"/>
      </w:pPr>
      <w:rPr>
        <w:rFonts w:hint="default"/>
      </w:rPr>
    </w:lvl>
    <w:lvl w:ilvl="8" w:tplc="41305CCE">
      <w:numFmt w:val="bullet"/>
      <w:lvlText w:val="•"/>
      <w:lvlJc w:val="left"/>
      <w:pPr>
        <w:ind w:left="2291" w:hanging="100"/>
      </w:pPr>
      <w:rPr>
        <w:rFonts w:hint="default"/>
      </w:rPr>
    </w:lvl>
  </w:abstractNum>
  <w:abstractNum w:abstractNumId="766" w15:restartNumberingAfterBreak="0">
    <w:nsid w:val="30E03FA3"/>
    <w:multiLevelType w:val="hybridMultilevel"/>
    <w:tmpl w:val="3FF06FCA"/>
    <w:lvl w:ilvl="0" w:tplc="FB688D72">
      <w:numFmt w:val="bullet"/>
      <w:lvlText w:val=""/>
      <w:lvlJc w:val="left"/>
      <w:pPr>
        <w:ind w:left="156" w:hanging="100"/>
      </w:pPr>
      <w:rPr>
        <w:rFonts w:ascii="Symbol" w:eastAsia="Symbol" w:hAnsi="Symbol" w:cs="Symbol" w:hint="default"/>
        <w:color w:val="231F20"/>
        <w:w w:val="100"/>
        <w:sz w:val="14"/>
        <w:szCs w:val="14"/>
      </w:rPr>
    </w:lvl>
    <w:lvl w:ilvl="1" w:tplc="C52A67AA">
      <w:numFmt w:val="bullet"/>
      <w:lvlText w:val="•"/>
      <w:lvlJc w:val="left"/>
      <w:pPr>
        <w:ind w:left="301" w:hanging="100"/>
      </w:pPr>
      <w:rPr>
        <w:rFonts w:hint="default"/>
      </w:rPr>
    </w:lvl>
    <w:lvl w:ilvl="2" w:tplc="478E75E8">
      <w:numFmt w:val="bullet"/>
      <w:lvlText w:val="•"/>
      <w:lvlJc w:val="left"/>
      <w:pPr>
        <w:ind w:left="443" w:hanging="100"/>
      </w:pPr>
      <w:rPr>
        <w:rFonts w:hint="default"/>
      </w:rPr>
    </w:lvl>
    <w:lvl w:ilvl="3" w:tplc="E8CEA700">
      <w:numFmt w:val="bullet"/>
      <w:lvlText w:val="•"/>
      <w:lvlJc w:val="left"/>
      <w:pPr>
        <w:ind w:left="585" w:hanging="100"/>
      </w:pPr>
      <w:rPr>
        <w:rFonts w:hint="default"/>
      </w:rPr>
    </w:lvl>
    <w:lvl w:ilvl="4" w:tplc="1374B2A6">
      <w:numFmt w:val="bullet"/>
      <w:lvlText w:val="•"/>
      <w:lvlJc w:val="left"/>
      <w:pPr>
        <w:ind w:left="726" w:hanging="100"/>
      </w:pPr>
      <w:rPr>
        <w:rFonts w:hint="default"/>
      </w:rPr>
    </w:lvl>
    <w:lvl w:ilvl="5" w:tplc="06BA4BDC">
      <w:numFmt w:val="bullet"/>
      <w:lvlText w:val="•"/>
      <w:lvlJc w:val="left"/>
      <w:pPr>
        <w:ind w:left="868" w:hanging="100"/>
      </w:pPr>
      <w:rPr>
        <w:rFonts w:hint="default"/>
      </w:rPr>
    </w:lvl>
    <w:lvl w:ilvl="6" w:tplc="B9569588">
      <w:numFmt w:val="bullet"/>
      <w:lvlText w:val="•"/>
      <w:lvlJc w:val="left"/>
      <w:pPr>
        <w:ind w:left="1010" w:hanging="100"/>
      </w:pPr>
      <w:rPr>
        <w:rFonts w:hint="default"/>
      </w:rPr>
    </w:lvl>
    <w:lvl w:ilvl="7" w:tplc="2AC05C6E">
      <w:numFmt w:val="bullet"/>
      <w:lvlText w:val="•"/>
      <w:lvlJc w:val="left"/>
      <w:pPr>
        <w:ind w:left="1151" w:hanging="100"/>
      </w:pPr>
      <w:rPr>
        <w:rFonts w:hint="default"/>
      </w:rPr>
    </w:lvl>
    <w:lvl w:ilvl="8" w:tplc="403CA78E">
      <w:numFmt w:val="bullet"/>
      <w:lvlText w:val="•"/>
      <w:lvlJc w:val="left"/>
      <w:pPr>
        <w:ind w:left="1293" w:hanging="100"/>
      </w:pPr>
      <w:rPr>
        <w:rFonts w:hint="default"/>
      </w:rPr>
    </w:lvl>
  </w:abstractNum>
  <w:abstractNum w:abstractNumId="767" w15:restartNumberingAfterBreak="0">
    <w:nsid w:val="30E31FAD"/>
    <w:multiLevelType w:val="hybridMultilevel"/>
    <w:tmpl w:val="F1A28E9C"/>
    <w:lvl w:ilvl="0" w:tplc="90C8E55E">
      <w:numFmt w:val="bullet"/>
      <w:lvlText w:val=""/>
      <w:lvlJc w:val="left"/>
      <w:pPr>
        <w:ind w:left="156" w:hanging="100"/>
      </w:pPr>
      <w:rPr>
        <w:rFonts w:ascii="Symbol" w:eastAsia="Symbol" w:hAnsi="Symbol" w:cs="Symbol" w:hint="default"/>
        <w:color w:val="231F20"/>
        <w:w w:val="100"/>
        <w:sz w:val="14"/>
        <w:szCs w:val="14"/>
      </w:rPr>
    </w:lvl>
    <w:lvl w:ilvl="1" w:tplc="E3EEB40A">
      <w:numFmt w:val="bullet"/>
      <w:lvlText w:val="•"/>
      <w:lvlJc w:val="left"/>
      <w:pPr>
        <w:ind w:left="398" w:hanging="100"/>
      </w:pPr>
      <w:rPr>
        <w:rFonts w:hint="default"/>
      </w:rPr>
    </w:lvl>
    <w:lvl w:ilvl="2" w:tplc="6878454A">
      <w:numFmt w:val="bullet"/>
      <w:lvlText w:val="•"/>
      <w:lvlJc w:val="left"/>
      <w:pPr>
        <w:ind w:left="636" w:hanging="100"/>
      </w:pPr>
      <w:rPr>
        <w:rFonts w:hint="default"/>
      </w:rPr>
    </w:lvl>
    <w:lvl w:ilvl="3" w:tplc="8A985922">
      <w:numFmt w:val="bullet"/>
      <w:lvlText w:val="•"/>
      <w:lvlJc w:val="left"/>
      <w:pPr>
        <w:ind w:left="874" w:hanging="100"/>
      </w:pPr>
      <w:rPr>
        <w:rFonts w:hint="default"/>
      </w:rPr>
    </w:lvl>
    <w:lvl w:ilvl="4" w:tplc="E6E20A32">
      <w:numFmt w:val="bullet"/>
      <w:lvlText w:val="•"/>
      <w:lvlJc w:val="left"/>
      <w:pPr>
        <w:ind w:left="1112" w:hanging="100"/>
      </w:pPr>
      <w:rPr>
        <w:rFonts w:hint="default"/>
      </w:rPr>
    </w:lvl>
    <w:lvl w:ilvl="5" w:tplc="9FBEEDBA">
      <w:numFmt w:val="bullet"/>
      <w:lvlText w:val="•"/>
      <w:lvlJc w:val="left"/>
      <w:pPr>
        <w:ind w:left="1350" w:hanging="100"/>
      </w:pPr>
      <w:rPr>
        <w:rFonts w:hint="default"/>
      </w:rPr>
    </w:lvl>
    <w:lvl w:ilvl="6" w:tplc="95F45668">
      <w:numFmt w:val="bullet"/>
      <w:lvlText w:val="•"/>
      <w:lvlJc w:val="left"/>
      <w:pPr>
        <w:ind w:left="1588" w:hanging="100"/>
      </w:pPr>
      <w:rPr>
        <w:rFonts w:hint="default"/>
      </w:rPr>
    </w:lvl>
    <w:lvl w:ilvl="7" w:tplc="40C88DC4">
      <w:numFmt w:val="bullet"/>
      <w:lvlText w:val="•"/>
      <w:lvlJc w:val="left"/>
      <w:pPr>
        <w:ind w:left="1826" w:hanging="100"/>
      </w:pPr>
      <w:rPr>
        <w:rFonts w:hint="default"/>
      </w:rPr>
    </w:lvl>
    <w:lvl w:ilvl="8" w:tplc="05A26C16">
      <w:numFmt w:val="bullet"/>
      <w:lvlText w:val="•"/>
      <w:lvlJc w:val="left"/>
      <w:pPr>
        <w:ind w:left="2064" w:hanging="100"/>
      </w:pPr>
      <w:rPr>
        <w:rFonts w:hint="default"/>
      </w:rPr>
    </w:lvl>
  </w:abstractNum>
  <w:abstractNum w:abstractNumId="768" w15:restartNumberingAfterBreak="0">
    <w:nsid w:val="30E6309A"/>
    <w:multiLevelType w:val="hybridMultilevel"/>
    <w:tmpl w:val="6BF8777A"/>
    <w:lvl w:ilvl="0" w:tplc="187E1538">
      <w:numFmt w:val="bullet"/>
      <w:lvlText w:val=""/>
      <w:lvlJc w:val="left"/>
      <w:pPr>
        <w:ind w:left="156" w:hanging="100"/>
      </w:pPr>
      <w:rPr>
        <w:rFonts w:ascii="Symbol" w:eastAsia="Symbol" w:hAnsi="Symbol" w:cs="Symbol" w:hint="default"/>
        <w:color w:val="231F20"/>
        <w:w w:val="100"/>
        <w:sz w:val="14"/>
        <w:szCs w:val="14"/>
      </w:rPr>
    </w:lvl>
    <w:lvl w:ilvl="1" w:tplc="64F0CD9E">
      <w:numFmt w:val="bullet"/>
      <w:lvlText w:val="•"/>
      <w:lvlJc w:val="left"/>
      <w:pPr>
        <w:ind w:left="398" w:hanging="100"/>
      </w:pPr>
      <w:rPr>
        <w:rFonts w:hint="default"/>
      </w:rPr>
    </w:lvl>
    <w:lvl w:ilvl="2" w:tplc="A9F4707E">
      <w:numFmt w:val="bullet"/>
      <w:lvlText w:val="•"/>
      <w:lvlJc w:val="left"/>
      <w:pPr>
        <w:ind w:left="636" w:hanging="100"/>
      </w:pPr>
      <w:rPr>
        <w:rFonts w:hint="default"/>
      </w:rPr>
    </w:lvl>
    <w:lvl w:ilvl="3" w:tplc="21EA707E">
      <w:numFmt w:val="bullet"/>
      <w:lvlText w:val="•"/>
      <w:lvlJc w:val="left"/>
      <w:pPr>
        <w:ind w:left="874" w:hanging="100"/>
      </w:pPr>
      <w:rPr>
        <w:rFonts w:hint="default"/>
      </w:rPr>
    </w:lvl>
    <w:lvl w:ilvl="4" w:tplc="0C6A834E">
      <w:numFmt w:val="bullet"/>
      <w:lvlText w:val="•"/>
      <w:lvlJc w:val="left"/>
      <w:pPr>
        <w:ind w:left="1112" w:hanging="100"/>
      </w:pPr>
      <w:rPr>
        <w:rFonts w:hint="default"/>
      </w:rPr>
    </w:lvl>
    <w:lvl w:ilvl="5" w:tplc="DD5A50CC">
      <w:numFmt w:val="bullet"/>
      <w:lvlText w:val="•"/>
      <w:lvlJc w:val="left"/>
      <w:pPr>
        <w:ind w:left="1350" w:hanging="100"/>
      </w:pPr>
      <w:rPr>
        <w:rFonts w:hint="default"/>
      </w:rPr>
    </w:lvl>
    <w:lvl w:ilvl="6" w:tplc="00F65602">
      <w:numFmt w:val="bullet"/>
      <w:lvlText w:val="•"/>
      <w:lvlJc w:val="left"/>
      <w:pPr>
        <w:ind w:left="1588" w:hanging="100"/>
      </w:pPr>
      <w:rPr>
        <w:rFonts w:hint="default"/>
      </w:rPr>
    </w:lvl>
    <w:lvl w:ilvl="7" w:tplc="0014365C">
      <w:numFmt w:val="bullet"/>
      <w:lvlText w:val="•"/>
      <w:lvlJc w:val="left"/>
      <w:pPr>
        <w:ind w:left="1826" w:hanging="100"/>
      </w:pPr>
      <w:rPr>
        <w:rFonts w:hint="default"/>
      </w:rPr>
    </w:lvl>
    <w:lvl w:ilvl="8" w:tplc="AEF6A608">
      <w:numFmt w:val="bullet"/>
      <w:lvlText w:val="•"/>
      <w:lvlJc w:val="left"/>
      <w:pPr>
        <w:ind w:left="2064" w:hanging="100"/>
      </w:pPr>
      <w:rPr>
        <w:rFonts w:hint="default"/>
      </w:rPr>
    </w:lvl>
  </w:abstractNum>
  <w:abstractNum w:abstractNumId="769" w15:restartNumberingAfterBreak="0">
    <w:nsid w:val="30E91444"/>
    <w:multiLevelType w:val="hybridMultilevel"/>
    <w:tmpl w:val="3E5241C0"/>
    <w:lvl w:ilvl="0" w:tplc="EA9ABB1A">
      <w:numFmt w:val="bullet"/>
      <w:lvlText w:val=""/>
      <w:lvlJc w:val="left"/>
      <w:pPr>
        <w:ind w:left="157" w:hanging="100"/>
      </w:pPr>
      <w:rPr>
        <w:rFonts w:ascii="Symbol" w:eastAsia="Symbol" w:hAnsi="Symbol" w:cs="Symbol" w:hint="default"/>
        <w:color w:val="231F20"/>
        <w:w w:val="100"/>
        <w:sz w:val="14"/>
        <w:szCs w:val="14"/>
      </w:rPr>
    </w:lvl>
    <w:lvl w:ilvl="1" w:tplc="64A8E24A">
      <w:numFmt w:val="bullet"/>
      <w:lvlText w:val="•"/>
      <w:lvlJc w:val="left"/>
      <w:pPr>
        <w:ind w:left="369" w:hanging="100"/>
      </w:pPr>
      <w:rPr>
        <w:rFonts w:hint="default"/>
      </w:rPr>
    </w:lvl>
    <w:lvl w:ilvl="2" w:tplc="DAF816F4">
      <w:numFmt w:val="bullet"/>
      <w:lvlText w:val="•"/>
      <w:lvlJc w:val="left"/>
      <w:pPr>
        <w:ind w:left="579" w:hanging="100"/>
      </w:pPr>
      <w:rPr>
        <w:rFonts w:hint="default"/>
      </w:rPr>
    </w:lvl>
    <w:lvl w:ilvl="3" w:tplc="FE4AF15A">
      <w:numFmt w:val="bullet"/>
      <w:lvlText w:val="•"/>
      <w:lvlJc w:val="left"/>
      <w:pPr>
        <w:ind w:left="789" w:hanging="100"/>
      </w:pPr>
      <w:rPr>
        <w:rFonts w:hint="default"/>
      </w:rPr>
    </w:lvl>
    <w:lvl w:ilvl="4" w:tplc="90FEFEFE">
      <w:numFmt w:val="bullet"/>
      <w:lvlText w:val="•"/>
      <w:lvlJc w:val="left"/>
      <w:pPr>
        <w:ind w:left="998" w:hanging="100"/>
      </w:pPr>
      <w:rPr>
        <w:rFonts w:hint="default"/>
      </w:rPr>
    </w:lvl>
    <w:lvl w:ilvl="5" w:tplc="25105006">
      <w:numFmt w:val="bullet"/>
      <w:lvlText w:val="•"/>
      <w:lvlJc w:val="left"/>
      <w:pPr>
        <w:ind w:left="1208" w:hanging="100"/>
      </w:pPr>
      <w:rPr>
        <w:rFonts w:hint="default"/>
      </w:rPr>
    </w:lvl>
    <w:lvl w:ilvl="6" w:tplc="49269FD0">
      <w:numFmt w:val="bullet"/>
      <w:lvlText w:val="•"/>
      <w:lvlJc w:val="left"/>
      <w:pPr>
        <w:ind w:left="1418" w:hanging="100"/>
      </w:pPr>
      <w:rPr>
        <w:rFonts w:hint="default"/>
      </w:rPr>
    </w:lvl>
    <w:lvl w:ilvl="7" w:tplc="9ACC1020">
      <w:numFmt w:val="bullet"/>
      <w:lvlText w:val="•"/>
      <w:lvlJc w:val="left"/>
      <w:pPr>
        <w:ind w:left="1627" w:hanging="100"/>
      </w:pPr>
      <w:rPr>
        <w:rFonts w:hint="default"/>
      </w:rPr>
    </w:lvl>
    <w:lvl w:ilvl="8" w:tplc="E7322DE8">
      <w:numFmt w:val="bullet"/>
      <w:lvlText w:val="•"/>
      <w:lvlJc w:val="left"/>
      <w:pPr>
        <w:ind w:left="1837" w:hanging="100"/>
      </w:pPr>
      <w:rPr>
        <w:rFonts w:hint="default"/>
      </w:rPr>
    </w:lvl>
  </w:abstractNum>
  <w:abstractNum w:abstractNumId="770" w15:restartNumberingAfterBreak="0">
    <w:nsid w:val="30EA383A"/>
    <w:multiLevelType w:val="hybridMultilevel"/>
    <w:tmpl w:val="9CA4BD8E"/>
    <w:lvl w:ilvl="0" w:tplc="9F04D59A">
      <w:numFmt w:val="bullet"/>
      <w:lvlText w:val=""/>
      <w:lvlJc w:val="left"/>
      <w:pPr>
        <w:ind w:left="157" w:hanging="100"/>
      </w:pPr>
      <w:rPr>
        <w:rFonts w:ascii="Symbol" w:eastAsia="Symbol" w:hAnsi="Symbol" w:cs="Symbol" w:hint="default"/>
        <w:color w:val="231F20"/>
        <w:w w:val="100"/>
        <w:sz w:val="14"/>
        <w:szCs w:val="14"/>
      </w:rPr>
    </w:lvl>
    <w:lvl w:ilvl="1" w:tplc="23DAADA8">
      <w:numFmt w:val="bullet"/>
      <w:lvlText w:val="•"/>
      <w:lvlJc w:val="left"/>
      <w:pPr>
        <w:ind w:left="369" w:hanging="100"/>
      </w:pPr>
      <w:rPr>
        <w:rFonts w:hint="default"/>
      </w:rPr>
    </w:lvl>
    <w:lvl w:ilvl="2" w:tplc="8DFC9E12">
      <w:numFmt w:val="bullet"/>
      <w:lvlText w:val="•"/>
      <w:lvlJc w:val="left"/>
      <w:pPr>
        <w:ind w:left="579" w:hanging="100"/>
      </w:pPr>
      <w:rPr>
        <w:rFonts w:hint="default"/>
      </w:rPr>
    </w:lvl>
    <w:lvl w:ilvl="3" w:tplc="A09896CE">
      <w:numFmt w:val="bullet"/>
      <w:lvlText w:val="•"/>
      <w:lvlJc w:val="left"/>
      <w:pPr>
        <w:ind w:left="789" w:hanging="100"/>
      </w:pPr>
      <w:rPr>
        <w:rFonts w:hint="default"/>
      </w:rPr>
    </w:lvl>
    <w:lvl w:ilvl="4" w:tplc="E4901548">
      <w:numFmt w:val="bullet"/>
      <w:lvlText w:val="•"/>
      <w:lvlJc w:val="left"/>
      <w:pPr>
        <w:ind w:left="998" w:hanging="100"/>
      </w:pPr>
      <w:rPr>
        <w:rFonts w:hint="default"/>
      </w:rPr>
    </w:lvl>
    <w:lvl w:ilvl="5" w:tplc="BD3C6076">
      <w:numFmt w:val="bullet"/>
      <w:lvlText w:val="•"/>
      <w:lvlJc w:val="left"/>
      <w:pPr>
        <w:ind w:left="1208" w:hanging="100"/>
      </w:pPr>
      <w:rPr>
        <w:rFonts w:hint="default"/>
      </w:rPr>
    </w:lvl>
    <w:lvl w:ilvl="6" w:tplc="1A6E61C2">
      <w:numFmt w:val="bullet"/>
      <w:lvlText w:val="•"/>
      <w:lvlJc w:val="left"/>
      <w:pPr>
        <w:ind w:left="1418" w:hanging="100"/>
      </w:pPr>
      <w:rPr>
        <w:rFonts w:hint="default"/>
      </w:rPr>
    </w:lvl>
    <w:lvl w:ilvl="7" w:tplc="B0B4728C">
      <w:numFmt w:val="bullet"/>
      <w:lvlText w:val="•"/>
      <w:lvlJc w:val="left"/>
      <w:pPr>
        <w:ind w:left="1627" w:hanging="100"/>
      </w:pPr>
      <w:rPr>
        <w:rFonts w:hint="default"/>
      </w:rPr>
    </w:lvl>
    <w:lvl w:ilvl="8" w:tplc="E7B22A3E">
      <w:numFmt w:val="bullet"/>
      <w:lvlText w:val="•"/>
      <w:lvlJc w:val="left"/>
      <w:pPr>
        <w:ind w:left="1837" w:hanging="100"/>
      </w:pPr>
      <w:rPr>
        <w:rFonts w:hint="default"/>
      </w:rPr>
    </w:lvl>
  </w:abstractNum>
  <w:abstractNum w:abstractNumId="771" w15:restartNumberingAfterBreak="0">
    <w:nsid w:val="30F724BB"/>
    <w:multiLevelType w:val="hybridMultilevel"/>
    <w:tmpl w:val="A88ED916"/>
    <w:lvl w:ilvl="0" w:tplc="D6AE8D00">
      <w:numFmt w:val="bullet"/>
      <w:lvlText w:val=""/>
      <w:lvlJc w:val="left"/>
      <w:pPr>
        <w:ind w:left="156" w:hanging="100"/>
      </w:pPr>
      <w:rPr>
        <w:rFonts w:ascii="Symbol" w:eastAsia="Symbol" w:hAnsi="Symbol" w:cs="Symbol" w:hint="default"/>
        <w:color w:val="231F20"/>
        <w:w w:val="100"/>
        <w:sz w:val="14"/>
        <w:szCs w:val="14"/>
      </w:rPr>
    </w:lvl>
    <w:lvl w:ilvl="1" w:tplc="BBEE2804">
      <w:numFmt w:val="bullet"/>
      <w:lvlText w:val="•"/>
      <w:lvlJc w:val="left"/>
      <w:pPr>
        <w:ind w:left="398" w:hanging="100"/>
      </w:pPr>
      <w:rPr>
        <w:rFonts w:hint="default"/>
      </w:rPr>
    </w:lvl>
    <w:lvl w:ilvl="2" w:tplc="65C008E0">
      <w:numFmt w:val="bullet"/>
      <w:lvlText w:val="•"/>
      <w:lvlJc w:val="left"/>
      <w:pPr>
        <w:ind w:left="636" w:hanging="100"/>
      </w:pPr>
      <w:rPr>
        <w:rFonts w:hint="default"/>
      </w:rPr>
    </w:lvl>
    <w:lvl w:ilvl="3" w:tplc="BBB0E230">
      <w:numFmt w:val="bullet"/>
      <w:lvlText w:val="•"/>
      <w:lvlJc w:val="left"/>
      <w:pPr>
        <w:ind w:left="874" w:hanging="100"/>
      </w:pPr>
      <w:rPr>
        <w:rFonts w:hint="default"/>
      </w:rPr>
    </w:lvl>
    <w:lvl w:ilvl="4" w:tplc="E43EC5CC">
      <w:numFmt w:val="bullet"/>
      <w:lvlText w:val="•"/>
      <w:lvlJc w:val="left"/>
      <w:pPr>
        <w:ind w:left="1112" w:hanging="100"/>
      </w:pPr>
      <w:rPr>
        <w:rFonts w:hint="default"/>
      </w:rPr>
    </w:lvl>
    <w:lvl w:ilvl="5" w:tplc="AD04DF00">
      <w:numFmt w:val="bullet"/>
      <w:lvlText w:val="•"/>
      <w:lvlJc w:val="left"/>
      <w:pPr>
        <w:ind w:left="1350" w:hanging="100"/>
      </w:pPr>
      <w:rPr>
        <w:rFonts w:hint="default"/>
      </w:rPr>
    </w:lvl>
    <w:lvl w:ilvl="6" w:tplc="7D185DF2">
      <w:numFmt w:val="bullet"/>
      <w:lvlText w:val="•"/>
      <w:lvlJc w:val="left"/>
      <w:pPr>
        <w:ind w:left="1588" w:hanging="100"/>
      </w:pPr>
      <w:rPr>
        <w:rFonts w:hint="default"/>
      </w:rPr>
    </w:lvl>
    <w:lvl w:ilvl="7" w:tplc="631A3B80">
      <w:numFmt w:val="bullet"/>
      <w:lvlText w:val="•"/>
      <w:lvlJc w:val="left"/>
      <w:pPr>
        <w:ind w:left="1826" w:hanging="100"/>
      </w:pPr>
      <w:rPr>
        <w:rFonts w:hint="default"/>
      </w:rPr>
    </w:lvl>
    <w:lvl w:ilvl="8" w:tplc="2C1EC0A8">
      <w:numFmt w:val="bullet"/>
      <w:lvlText w:val="•"/>
      <w:lvlJc w:val="left"/>
      <w:pPr>
        <w:ind w:left="2064" w:hanging="100"/>
      </w:pPr>
      <w:rPr>
        <w:rFonts w:hint="default"/>
      </w:rPr>
    </w:lvl>
  </w:abstractNum>
  <w:abstractNum w:abstractNumId="772" w15:restartNumberingAfterBreak="0">
    <w:nsid w:val="31082D0E"/>
    <w:multiLevelType w:val="hybridMultilevel"/>
    <w:tmpl w:val="78AE33FE"/>
    <w:lvl w:ilvl="0" w:tplc="1FE277AE">
      <w:numFmt w:val="bullet"/>
      <w:lvlText w:val=""/>
      <w:lvlJc w:val="left"/>
      <w:pPr>
        <w:ind w:left="157" w:hanging="100"/>
      </w:pPr>
      <w:rPr>
        <w:rFonts w:ascii="Symbol" w:eastAsia="Symbol" w:hAnsi="Symbol" w:cs="Symbol" w:hint="default"/>
        <w:color w:val="231F20"/>
        <w:w w:val="100"/>
        <w:sz w:val="14"/>
        <w:szCs w:val="14"/>
      </w:rPr>
    </w:lvl>
    <w:lvl w:ilvl="1" w:tplc="B5D8AEA2">
      <w:numFmt w:val="bullet"/>
      <w:lvlText w:val="•"/>
      <w:lvlJc w:val="left"/>
      <w:pPr>
        <w:ind w:left="369" w:hanging="100"/>
      </w:pPr>
      <w:rPr>
        <w:rFonts w:hint="default"/>
      </w:rPr>
    </w:lvl>
    <w:lvl w:ilvl="2" w:tplc="29C85E06">
      <w:numFmt w:val="bullet"/>
      <w:lvlText w:val="•"/>
      <w:lvlJc w:val="left"/>
      <w:pPr>
        <w:ind w:left="579" w:hanging="100"/>
      </w:pPr>
      <w:rPr>
        <w:rFonts w:hint="default"/>
      </w:rPr>
    </w:lvl>
    <w:lvl w:ilvl="3" w:tplc="9318647E">
      <w:numFmt w:val="bullet"/>
      <w:lvlText w:val="•"/>
      <w:lvlJc w:val="left"/>
      <w:pPr>
        <w:ind w:left="789" w:hanging="100"/>
      </w:pPr>
      <w:rPr>
        <w:rFonts w:hint="default"/>
      </w:rPr>
    </w:lvl>
    <w:lvl w:ilvl="4" w:tplc="C1963DE0">
      <w:numFmt w:val="bullet"/>
      <w:lvlText w:val="•"/>
      <w:lvlJc w:val="left"/>
      <w:pPr>
        <w:ind w:left="998" w:hanging="100"/>
      </w:pPr>
      <w:rPr>
        <w:rFonts w:hint="default"/>
      </w:rPr>
    </w:lvl>
    <w:lvl w:ilvl="5" w:tplc="4BF21332">
      <w:numFmt w:val="bullet"/>
      <w:lvlText w:val="•"/>
      <w:lvlJc w:val="left"/>
      <w:pPr>
        <w:ind w:left="1208" w:hanging="100"/>
      </w:pPr>
      <w:rPr>
        <w:rFonts w:hint="default"/>
      </w:rPr>
    </w:lvl>
    <w:lvl w:ilvl="6" w:tplc="B87E495A">
      <w:numFmt w:val="bullet"/>
      <w:lvlText w:val="•"/>
      <w:lvlJc w:val="left"/>
      <w:pPr>
        <w:ind w:left="1418" w:hanging="100"/>
      </w:pPr>
      <w:rPr>
        <w:rFonts w:hint="default"/>
      </w:rPr>
    </w:lvl>
    <w:lvl w:ilvl="7" w:tplc="9022E582">
      <w:numFmt w:val="bullet"/>
      <w:lvlText w:val="•"/>
      <w:lvlJc w:val="left"/>
      <w:pPr>
        <w:ind w:left="1627" w:hanging="100"/>
      </w:pPr>
      <w:rPr>
        <w:rFonts w:hint="default"/>
      </w:rPr>
    </w:lvl>
    <w:lvl w:ilvl="8" w:tplc="507061E8">
      <w:numFmt w:val="bullet"/>
      <w:lvlText w:val="•"/>
      <w:lvlJc w:val="left"/>
      <w:pPr>
        <w:ind w:left="1837" w:hanging="100"/>
      </w:pPr>
      <w:rPr>
        <w:rFonts w:hint="default"/>
      </w:rPr>
    </w:lvl>
  </w:abstractNum>
  <w:abstractNum w:abstractNumId="773" w15:restartNumberingAfterBreak="0">
    <w:nsid w:val="31194D0B"/>
    <w:multiLevelType w:val="hybridMultilevel"/>
    <w:tmpl w:val="ABC8C69E"/>
    <w:lvl w:ilvl="0" w:tplc="4E1E2A9A">
      <w:numFmt w:val="bullet"/>
      <w:lvlText w:val=""/>
      <w:lvlJc w:val="left"/>
      <w:pPr>
        <w:ind w:left="156" w:hanging="100"/>
      </w:pPr>
      <w:rPr>
        <w:rFonts w:ascii="Symbol" w:eastAsia="Symbol" w:hAnsi="Symbol" w:cs="Symbol" w:hint="default"/>
        <w:color w:val="231F20"/>
        <w:w w:val="100"/>
        <w:sz w:val="14"/>
        <w:szCs w:val="14"/>
      </w:rPr>
    </w:lvl>
    <w:lvl w:ilvl="1" w:tplc="D30E3880">
      <w:numFmt w:val="bullet"/>
      <w:lvlText w:val="•"/>
      <w:lvlJc w:val="left"/>
      <w:pPr>
        <w:ind w:left="301" w:hanging="100"/>
      </w:pPr>
      <w:rPr>
        <w:rFonts w:hint="default"/>
      </w:rPr>
    </w:lvl>
    <w:lvl w:ilvl="2" w:tplc="F05A5210">
      <w:numFmt w:val="bullet"/>
      <w:lvlText w:val="•"/>
      <w:lvlJc w:val="left"/>
      <w:pPr>
        <w:ind w:left="443" w:hanging="100"/>
      </w:pPr>
      <w:rPr>
        <w:rFonts w:hint="default"/>
      </w:rPr>
    </w:lvl>
    <w:lvl w:ilvl="3" w:tplc="B2004202">
      <w:numFmt w:val="bullet"/>
      <w:lvlText w:val="•"/>
      <w:lvlJc w:val="left"/>
      <w:pPr>
        <w:ind w:left="585" w:hanging="100"/>
      </w:pPr>
      <w:rPr>
        <w:rFonts w:hint="default"/>
      </w:rPr>
    </w:lvl>
    <w:lvl w:ilvl="4" w:tplc="9EBC05E8">
      <w:numFmt w:val="bullet"/>
      <w:lvlText w:val="•"/>
      <w:lvlJc w:val="left"/>
      <w:pPr>
        <w:ind w:left="726" w:hanging="100"/>
      </w:pPr>
      <w:rPr>
        <w:rFonts w:hint="default"/>
      </w:rPr>
    </w:lvl>
    <w:lvl w:ilvl="5" w:tplc="FDF8C312">
      <w:numFmt w:val="bullet"/>
      <w:lvlText w:val="•"/>
      <w:lvlJc w:val="left"/>
      <w:pPr>
        <w:ind w:left="868" w:hanging="100"/>
      </w:pPr>
      <w:rPr>
        <w:rFonts w:hint="default"/>
      </w:rPr>
    </w:lvl>
    <w:lvl w:ilvl="6" w:tplc="104E021E">
      <w:numFmt w:val="bullet"/>
      <w:lvlText w:val="•"/>
      <w:lvlJc w:val="left"/>
      <w:pPr>
        <w:ind w:left="1010" w:hanging="100"/>
      </w:pPr>
      <w:rPr>
        <w:rFonts w:hint="default"/>
      </w:rPr>
    </w:lvl>
    <w:lvl w:ilvl="7" w:tplc="82D83434">
      <w:numFmt w:val="bullet"/>
      <w:lvlText w:val="•"/>
      <w:lvlJc w:val="left"/>
      <w:pPr>
        <w:ind w:left="1151" w:hanging="100"/>
      </w:pPr>
      <w:rPr>
        <w:rFonts w:hint="default"/>
      </w:rPr>
    </w:lvl>
    <w:lvl w:ilvl="8" w:tplc="FBE2A684">
      <w:numFmt w:val="bullet"/>
      <w:lvlText w:val="•"/>
      <w:lvlJc w:val="left"/>
      <w:pPr>
        <w:ind w:left="1293" w:hanging="100"/>
      </w:pPr>
      <w:rPr>
        <w:rFonts w:hint="default"/>
      </w:rPr>
    </w:lvl>
  </w:abstractNum>
  <w:abstractNum w:abstractNumId="774" w15:restartNumberingAfterBreak="0">
    <w:nsid w:val="31292D3B"/>
    <w:multiLevelType w:val="hybridMultilevel"/>
    <w:tmpl w:val="B7B8A5BC"/>
    <w:lvl w:ilvl="0" w:tplc="BFFE13BE">
      <w:numFmt w:val="bullet"/>
      <w:lvlText w:val=""/>
      <w:lvlJc w:val="left"/>
      <w:pPr>
        <w:ind w:left="157" w:hanging="100"/>
      </w:pPr>
      <w:rPr>
        <w:rFonts w:ascii="Symbol" w:eastAsia="Symbol" w:hAnsi="Symbol" w:cs="Symbol" w:hint="default"/>
        <w:color w:val="231F20"/>
        <w:w w:val="100"/>
        <w:sz w:val="14"/>
        <w:szCs w:val="14"/>
      </w:rPr>
    </w:lvl>
    <w:lvl w:ilvl="1" w:tplc="E39C8FB0">
      <w:numFmt w:val="bullet"/>
      <w:lvlText w:val="•"/>
      <w:lvlJc w:val="left"/>
      <w:pPr>
        <w:ind w:left="426" w:hanging="100"/>
      </w:pPr>
      <w:rPr>
        <w:rFonts w:hint="default"/>
      </w:rPr>
    </w:lvl>
    <w:lvl w:ilvl="2" w:tplc="E0C8E050">
      <w:numFmt w:val="bullet"/>
      <w:lvlText w:val="•"/>
      <w:lvlJc w:val="left"/>
      <w:pPr>
        <w:ind w:left="692" w:hanging="100"/>
      </w:pPr>
      <w:rPr>
        <w:rFonts w:hint="default"/>
      </w:rPr>
    </w:lvl>
    <w:lvl w:ilvl="3" w:tplc="0FD0E950">
      <w:numFmt w:val="bullet"/>
      <w:lvlText w:val="•"/>
      <w:lvlJc w:val="left"/>
      <w:pPr>
        <w:ind w:left="959" w:hanging="100"/>
      </w:pPr>
      <w:rPr>
        <w:rFonts w:hint="default"/>
      </w:rPr>
    </w:lvl>
    <w:lvl w:ilvl="4" w:tplc="696840A8">
      <w:numFmt w:val="bullet"/>
      <w:lvlText w:val="•"/>
      <w:lvlJc w:val="left"/>
      <w:pPr>
        <w:ind w:left="1225" w:hanging="100"/>
      </w:pPr>
      <w:rPr>
        <w:rFonts w:hint="default"/>
      </w:rPr>
    </w:lvl>
    <w:lvl w:ilvl="5" w:tplc="ED268BBA">
      <w:numFmt w:val="bullet"/>
      <w:lvlText w:val="•"/>
      <w:lvlJc w:val="left"/>
      <w:pPr>
        <w:ind w:left="1492" w:hanging="100"/>
      </w:pPr>
      <w:rPr>
        <w:rFonts w:hint="default"/>
      </w:rPr>
    </w:lvl>
    <w:lvl w:ilvl="6" w:tplc="E4180B96">
      <w:numFmt w:val="bullet"/>
      <w:lvlText w:val="•"/>
      <w:lvlJc w:val="left"/>
      <w:pPr>
        <w:ind w:left="1758" w:hanging="100"/>
      </w:pPr>
      <w:rPr>
        <w:rFonts w:hint="default"/>
      </w:rPr>
    </w:lvl>
    <w:lvl w:ilvl="7" w:tplc="FF32ABA4">
      <w:numFmt w:val="bullet"/>
      <w:lvlText w:val="•"/>
      <w:lvlJc w:val="left"/>
      <w:pPr>
        <w:ind w:left="2024" w:hanging="100"/>
      </w:pPr>
      <w:rPr>
        <w:rFonts w:hint="default"/>
      </w:rPr>
    </w:lvl>
    <w:lvl w:ilvl="8" w:tplc="5F78F358">
      <w:numFmt w:val="bullet"/>
      <w:lvlText w:val="•"/>
      <w:lvlJc w:val="left"/>
      <w:pPr>
        <w:ind w:left="2291" w:hanging="100"/>
      </w:pPr>
      <w:rPr>
        <w:rFonts w:hint="default"/>
      </w:rPr>
    </w:lvl>
  </w:abstractNum>
  <w:abstractNum w:abstractNumId="775" w15:restartNumberingAfterBreak="0">
    <w:nsid w:val="313E5042"/>
    <w:multiLevelType w:val="hybridMultilevel"/>
    <w:tmpl w:val="79AAE530"/>
    <w:lvl w:ilvl="0" w:tplc="0388C092">
      <w:numFmt w:val="bullet"/>
      <w:lvlText w:val=""/>
      <w:lvlJc w:val="left"/>
      <w:pPr>
        <w:ind w:left="156" w:hanging="100"/>
      </w:pPr>
      <w:rPr>
        <w:rFonts w:ascii="Symbol" w:eastAsia="Symbol" w:hAnsi="Symbol" w:cs="Symbol" w:hint="default"/>
        <w:color w:val="231F20"/>
        <w:w w:val="100"/>
        <w:sz w:val="14"/>
        <w:szCs w:val="14"/>
      </w:rPr>
    </w:lvl>
    <w:lvl w:ilvl="1" w:tplc="59A0B91C">
      <w:numFmt w:val="bullet"/>
      <w:lvlText w:val="•"/>
      <w:lvlJc w:val="left"/>
      <w:pPr>
        <w:ind w:left="301" w:hanging="100"/>
      </w:pPr>
      <w:rPr>
        <w:rFonts w:hint="default"/>
      </w:rPr>
    </w:lvl>
    <w:lvl w:ilvl="2" w:tplc="F0A45BAE">
      <w:numFmt w:val="bullet"/>
      <w:lvlText w:val="•"/>
      <w:lvlJc w:val="left"/>
      <w:pPr>
        <w:ind w:left="443" w:hanging="100"/>
      </w:pPr>
      <w:rPr>
        <w:rFonts w:hint="default"/>
      </w:rPr>
    </w:lvl>
    <w:lvl w:ilvl="3" w:tplc="BCFA4C70">
      <w:numFmt w:val="bullet"/>
      <w:lvlText w:val="•"/>
      <w:lvlJc w:val="left"/>
      <w:pPr>
        <w:ind w:left="585" w:hanging="100"/>
      </w:pPr>
      <w:rPr>
        <w:rFonts w:hint="default"/>
      </w:rPr>
    </w:lvl>
    <w:lvl w:ilvl="4" w:tplc="D6F6441A">
      <w:numFmt w:val="bullet"/>
      <w:lvlText w:val="•"/>
      <w:lvlJc w:val="left"/>
      <w:pPr>
        <w:ind w:left="726" w:hanging="100"/>
      </w:pPr>
      <w:rPr>
        <w:rFonts w:hint="default"/>
      </w:rPr>
    </w:lvl>
    <w:lvl w:ilvl="5" w:tplc="02CE0CBA">
      <w:numFmt w:val="bullet"/>
      <w:lvlText w:val="•"/>
      <w:lvlJc w:val="left"/>
      <w:pPr>
        <w:ind w:left="868" w:hanging="100"/>
      </w:pPr>
      <w:rPr>
        <w:rFonts w:hint="default"/>
      </w:rPr>
    </w:lvl>
    <w:lvl w:ilvl="6" w:tplc="BBE4D022">
      <w:numFmt w:val="bullet"/>
      <w:lvlText w:val="•"/>
      <w:lvlJc w:val="left"/>
      <w:pPr>
        <w:ind w:left="1010" w:hanging="100"/>
      </w:pPr>
      <w:rPr>
        <w:rFonts w:hint="default"/>
      </w:rPr>
    </w:lvl>
    <w:lvl w:ilvl="7" w:tplc="56C2C658">
      <w:numFmt w:val="bullet"/>
      <w:lvlText w:val="•"/>
      <w:lvlJc w:val="left"/>
      <w:pPr>
        <w:ind w:left="1151" w:hanging="100"/>
      </w:pPr>
      <w:rPr>
        <w:rFonts w:hint="default"/>
      </w:rPr>
    </w:lvl>
    <w:lvl w:ilvl="8" w:tplc="B9D4866A">
      <w:numFmt w:val="bullet"/>
      <w:lvlText w:val="•"/>
      <w:lvlJc w:val="left"/>
      <w:pPr>
        <w:ind w:left="1293" w:hanging="100"/>
      </w:pPr>
      <w:rPr>
        <w:rFonts w:hint="default"/>
      </w:rPr>
    </w:lvl>
  </w:abstractNum>
  <w:abstractNum w:abstractNumId="776" w15:restartNumberingAfterBreak="0">
    <w:nsid w:val="3148422F"/>
    <w:multiLevelType w:val="hybridMultilevel"/>
    <w:tmpl w:val="AB649512"/>
    <w:lvl w:ilvl="0" w:tplc="764CD7AE">
      <w:numFmt w:val="bullet"/>
      <w:lvlText w:val=""/>
      <w:lvlJc w:val="left"/>
      <w:pPr>
        <w:ind w:left="156" w:hanging="100"/>
      </w:pPr>
      <w:rPr>
        <w:rFonts w:ascii="Symbol" w:eastAsia="Symbol" w:hAnsi="Symbol" w:cs="Symbol" w:hint="default"/>
        <w:color w:val="231F20"/>
        <w:w w:val="100"/>
        <w:sz w:val="14"/>
        <w:szCs w:val="14"/>
      </w:rPr>
    </w:lvl>
    <w:lvl w:ilvl="1" w:tplc="E5A8E6BA">
      <w:numFmt w:val="bullet"/>
      <w:lvlText w:val="•"/>
      <w:lvlJc w:val="left"/>
      <w:pPr>
        <w:ind w:left="426" w:hanging="100"/>
      </w:pPr>
      <w:rPr>
        <w:rFonts w:hint="default"/>
      </w:rPr>
    </w:lvl>
    <w:lvl w:ilvl="2" w:tplc="078E13B6">
      <w:numFmt w:val="bullet"/>
      <w:lvlText w:val="•"/>
      <w:lvlJc w:val="left"/>
      <w:pPr>
        <w:ind w:left="692" w:hanging="100"/>
      </w:pPr>
      <w:rPr>
        <w:rFonts w:hint="default"/>
      </w:rPr>
    </w:lvl>
    <w:lvl w:ilvl="3" w:tplc="B114F40C">
      <w:numFmt w:val="bullet"/>
      <w:lvlText w:val="•"/>
      <w:lvlJc w:val="left"/>
      <w:pPr>
        <w:ind w:left="959" w:hanging="100"/>
      </w:pPr>
      <w:rPr>
        <w:rFonts w:hint="default"/>
      </w:rPr>
    </w:lvl>
    <w:lvl w:ilvl="4" w:tplc="12B89D54">
      <w:numFmt w:val="bullet"/>
      <w:lvlText w:val="•"/>
      <w:lvlJc w:val="left"/>
      <w:pPr>
        <w:ind w:left="1225" w:hanging="100"/>
      </w:pPr>
      <w:rPr>
        <w:rFonts w:hint="default"/>
      </w:rPr>
    </w:lvl>
    <w:lvl w:ilvl="5" w:tplc="317A8C3E">
      <w:numFmt w:val="bullet"/>
      <w:lvlText w:val="•"/>
      <w:lvlJc w:val="left"/>
      <w:pPr>
        <w:ind w:left="1492" w:hanging="100"/>
      </w:pPr>
      <w:rPr>
        <w:rFonts w:hint="default"/>
      </w:rPr>
    </w:lvl>
    <w:lvl w:ilvl="6" w:tplc="AB627862">
      <w:numFmt w:val="bullet"/>
      <w:lvlText w:val="•"/>
      <w:lvlJc w:val="left"/>
      <w:pPr>
        <w:ind w:left="1758" w:hanging="100"/>
      </w:pPr>
      <w:rPr>
        <w:rFonts w:hint="default"/>
      </w:rPr>
    </w:lvl>
    <w:lvl w:ilvl="7" w:tplc="D424E0D2">
      <w:numFmt w:val="bullet"/>
      <w:lvlText w:val="•"/>
      <w:lvlJc w:val="left"/>
      <w:pPr>
        <w:ind w:left="2024" w:hanging="100"/>
      </w:pPr>
      <w:rPr>
        <w:rFonts w:hint="default"/>
      </w:rPr>
    </w:lvl>
    <w:lvl w:ilvl="8" w:tplc="75E0A63C">
      <w:numFmt w:val="bullet"/>
      <w:lvlText w:val="•"/>
      <w:lvlJc w:val="left"/>
      <w:pPr>
        <w:ind w:left="2291" w:hanging="100"/>
      </w:pPr>
      <w:rPr>
        <w:rFonts w:hint="default"/>
      </w:rPr>
    </w:lvl>
  </w:abstractNum>
  <w:abstractNum w:abstractNumId="777" w15:restartNumberingAfterBreak="0">
    <w:nsid w:val="315D6A14"/>
    <w:multiLevelType w:val="hybridMultilevel"/>
    <w:tmpl w:val="AA8681F8"/>
    <w:lvl w:ilvl="0" w:tplc="A9E40822">
      <w:numFmt w:val="bullet"/>
      <w:lvlText w:val=""/>
      <w:lvlJc w:val="left"/>
      <w:pPr>
        <w:ind w:left="156" w:hanging="100"/>
      </w:pPr>
      <w:rPr>
        <w:rFonts w:ascii="Symbol" w:eastAsia="Symbol" w:hAnsi="Symbol" w:cs="Symbol" w:hint="default"/>
        <w:color w:val="231F20"/>
        <w:w w:val="100"/>
        <w:sz w:val="14"/>
        <w:szCs w:val="14"/>
      </w:rPr>
    </w:lvl>
    <w:lvl w:ilvl="1" w:tplc="3E2ED8C8">
      <w:numFmt w:val="bullet"/>
      <w:lvlText w:val="•"/>
      <w:lvlJc w:val="left"/>
      <w:pPr>
        <w:ind w:left="454" w:hanging="100"/>
      </w:pPr>
      <w:rPr>
        <w:rFonts w:hint="default"/>
      </w:rPr>
    </w:lvl>
    <w:lvl w:ilvl="2" w:tplc="3440D994">
      <w:numFmt w:val="bullet"/>
      <w:lvlText w:val="•"/>
      <w:lvlJc w:val="left"/>
      <w:pPr>
        <w:ind w:left="749" w:hanging="100"/>
      </w:pPr>
      <w:rPr>
        <w:rFonts w:hint="default"/>
      </w:rPr>
    </w:lvl>
    <w:lvl w:ilvl="3" w:tplc="A8A40744">
      <w:numFmt w:val="bullet"/>
      <w:lvlText w:val="•"/>
      <w:lvlJc w:val="left"/>
      <w:pPr>
        <w:ind w:left="1044" w:hanging="100"/>
      </w:pPr>
      <w:rPr>
        <w:rFonts w:hint="default"/>
      </w:rPr>
    </w:lvl>
    <w:lvl w:ilvl="4" w:tplc="3C04DC1C">
      <w:numFmt w:val="bullet"/>
      <w:lvlText w:val="•"/>
      <w:lvlJc w:val="left"/>
      <w:pPr>
        <w:ind w:left="1339" w:hanging="100"/>
      </w:pPr>
      <w:rPr>
        <w:rFonts w:hint="default"/>
      </w:rPr>
    </w:lvl>
    <w:lvl w:ilvl="5" w:tplc="A54A9584">
      <w:numFmt w:val="bullet"/>
      <w:lvlText w:val="•"/>
      <w:lvlJc w:val="left"/>
      <w:pPr>
        <w:ind w:left="1634" w:hanging="100"/>
      </w:pPr>
      <w:rPr>
        <w:rFonts w:hint="default"/>
      </w:rPr>
    </w:lvl>
    <w:lvl w:ilvl="6" w:tplc="67BAC7BE">
      <w:numFmt w:val="bullet"/>
      <w:lvlText w:val="•"/>
      <w:lvlJc w:val="left"/>
      <w:pPr>
        <w:ind w:left="1928" w:hanging="100"/>
      </w:pPr>
      <w:rPr>
        <w:rFonts w:hint="default"/>
      </w:rPr>
    </w:lvl>
    <w:lvl w:ilvl="7" w:tplc="67E059F2">
      <w:numFmt w:val="bullet"/>
      <w:lvlText w:val="•"/>
      <w:lvlJc w:val="left"/>
      <w:pPr>
        <w:ind w:left="2223" w:hanging="100"/>
      </w:pPr>
      <w:rPr>
        <w:rFonts w:hint="default"/>
      </w:rPr>
    </w:lvl>
    <w:lvl w:ilvl="8" w:tplc="341A54BC">
      <w:numFmt w:val="bullet"/>
      <w:lvlText w:val="•"/>
      <w:lvlJc w:val="left"/>
      <w:pPr>
        <w:ind w:left="2518" w:hanging="100"/>
      </w:pPr>
      <w:rPr>
        <w:rFonts w:hint="default"/>
      </w:rPr>
    </w:lvl>
  </w:abstractNum>
  <w:abstractNum w:abstractNumId="778" w15:restartNumberingAfterBreak="0">
    <w:nsid w:val="31607BC1"/>
    <w:multiLevelType w:val="hybridMultilevel"/>
    <w:tmpl w:val="E28A5F0E"/>
    <w:lvl w:ilvl="0" w:tplc="33F83FB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A45C0006">
      <w:numFmt w:val="bullet"/>
      <w:lvlText w:val="•"/>
      <w:lvlJc w:val="left"/>
      <w:pPr>
        <w:ind w:left="351" w:hanging="84"/>
      </w:pPr>
      <w:rPr>
        <w:rFonts w:hint="default"/>
      </w:rPr>
    </w:lvl>
    <w:lvl w:ilvl="2" w:tplc="57F82340">
      <w:numFmt w:val="bullet"/>
      <w:lvlText w:val="•"/>
      <w:lvlJc w:val="left"/>
      <w:pPr>
        <w:ind w:left="563" w:hanging="84"/>
      </w:pPr>
      <w:rPr>
        <w:rFonts w:hint="default"/>
      </w:rPr>
    </w:lvl>
    <w:lvl w:ilvl="3" w:tplc="D950646C">
      <w:numFmt w:val="bullet"/>
      <w:lvlText w:val="•"/>
      <w:lvlJc w:val="left"/>
      <w:pPr>
        <w:ind w:left="775" w:hanging="84"/>
      </w:pPr>
      <w:rPr>
        <w:rFonts w:hint="default"/>
      </w:rPr>
    </w:lvl>
    <w:lvl w:ilvl="4" w:tplc="E1AC2BDE">
      <w:numFmt w:val="bullet"/>
      <w:lvlText w:val="•"/>
      <w:lvlJc w:val="left"/>
      <w:pPr>
        <w:ind w:left="986" w:hanging="84"/>
      </w:pPr>
      <w:rPr>
        <w:rFonts w:hint="default"/>
      </w:rPr>
    </w:lvl>
    <w:lvl w:ilvl="5" w:tplc="3E709C08">
      <w:numFmt w:val="bullet"/>
      <w:lvlText w:val="•"/>
      <w:lvlJc w:val="left"/>
      <w:pPr>
        <w:ind w:left="1198" w:hanging="84"/>
      </w:pPr>
      <w:rPr>
        <w:rFonts w:hint="default"/>
      </w:rPr>
    </w:lvl>
    <w:lvl w:ilvl="6" w:tplc="79F638DC">
      <w:numFmt w:val="bullet"/>
      <w:lvlText w:val="•"/>
      <w:lvlJc w:val="left"/>
      <w:pPr>
        <w:ind w:left="1410" w:hanging="84"/>
      </w:pPr>
      <w:rPr>
        <w:rFonts w:hint="default"/>
      </w:rPr>
    </w:lvl>
    <w:lvl w:ilvl="7" w:tplc="A986F2D8">
      <w:numFmt w:val="bullet"/>
      <w:lvlText w:val="•"/>
      <w:lvlJc w:val="left"/>
      <w:pPr>
        <w:ind w:left="1621" w:hanging="84"/>
      </w:pPr>
      <w:rPr>
        <w:rFonts w:hint="default"/>
      </w:rPr>
    </w:lvl>
    <w:lvl w:ilvl="8" w:tplc="D9343648">
      <w:numFmt w:val="bullet"/>
      <w:lvlText w:val="•"/>
      <w:lvlJc w:val="left"/>
      <w:pPr>
        <w:ind w:left="1833" w:hanging="84"/>
      </w:pPr>
      <w:rPr>
        <w:rFonts w:hint="default"/>
      </w:rPr>
    </w:lvl>
  </w:abstractNum>
  <w:abstractNum w:abstractNumId="779" w15:restartNumberingAfterBreak="0">
    <w:nsid w:val="316B1D5D"/>
    <w:multiLevelType w:val="hybridMultilevel"/>
    <w:tmpl w:val="814EEF60"/>
    <w:lvl w:ilvl="0" w:tplc="BB00821E">
      <w:numFmt w:val="bullet"/>
      <w:lvlText w:val=""/>
      <w:lvlJc w:val="left"/>
      <w:pPr>
        <w:ind w:left="157" w:hanging="100"/>
      </w:pPr>
      <w:rPr>
        <w:rFonts w:ascii="Symbol" w:eastAsia="Symbol" w:hAnsi="Symbol" w:cs="Symbol" w:hint="default"/>
        <w:color w:val="231F20"/>
        <w:w w:val="100"/>
        <w:sz w:val="14"/>
        <w:szCs w:val="14"/>
      </w:rPr>
    </w:lvl>
    <w:lvl w:ilvl="1" w:tplc="1B587B44">
      <w:numFmt w:val="bullet"/>
      <w:lvlText w:val="•"/>
      <w:lvlJc w:val="left"/>
      <w:pPr>
        <w:ind w:left="426" w:hanging="100"/>
      </w:pPr>
      <w:rPr>
        <w:rFonts w:hint="default"/>
      </w:rPr>
    </w:lvl>
    <w:lvl w:ilvl="2" w:tplc="5B901116">
      <w:numFmt w:val="bullet"/>
      <w:lvlText w:val="•"/>
      <w:lvlJc w:val="left"/>
      <w:pPr>
        <w:ind w:left="692" w:hanging="100"/>
      </w:pPr>
      <w:rPr>
        <w:rFonts w:hint="default"/>
      </w:rPr>
    </w:lvl>
    <w:lvl w:ilvl="3" w:tplc="C7E40144">
      <w:numFmt w:val="bullet"/>
      <w:lvlText w:val="•"/>
      <w:lvlJc w:val="left"/>
      <w:pPr>
        <w:ind w:left="959" w:hanging="100"/>
      </w:pPr>
      <w:rPr>
        <w:rFonts w:hint="default"/>
      </w:rPr>
    </w:lvl>
    <w:lvl w:ilvl="4" w:tplc="EADA2B3A">
      <w:numFmt w:val="bullet"/>
      <w:lvlText w:val="•"/>
      <w:lvlJc w:val="left"/>
      <w:pPr>
        <w:ind w:left="1225" w:hanging="100"/>
      </w:pPr>
      <w:rPr>
        <w:rFonts w:hint="default"/>
      </w:rPr>
    </w:lvl>
    <w:lvl w:ilvl="5" w:tplc="A0A67598">
      <w:numFmt w:val="bullet"/>
      <w:lvlText w:val="•"/>
      <w:lvlJc w:val="left"/>
      <w:pPr>
        <w:ind w:left="1492" w:hanging="100"/>
      </w:pPr>
      <w:rPr>
        <w:rFonts w:hint="default"/>
      </w:rPr>
    </w:lvl>
    <w:lvl w:ilvl="6" w:tplc="CE5AC908">
      <w:numFmt w:val="bullet"/>
      <w:lvlText w:val="•"/>
      <w:lvlJc w:val="left"/>
      <w:pPr>
        <w:ind w:left="1758" w:hanging="100"/>
      </w:pPr>
      <w:rPr>
        <w:rFonts w:hint="default"/>
      </w:rPr>
    </w:lvl>
    <w:lvl w:ilvl="7" w:tplc="C03A076E">
      <w:numFmt w:val="bullet"/>
      <w:lvlText w:val="•"/>
      <w:lvlJc w:val="left"/>
      <w:pPr>
        <w:ind w:left="2024" w:hanging="100"/>
      </w:pPr>
      <w:rPr>
        <w:rFonts w:hint="default"/>
      </w:rPr>
    </w:lvl>
    <w:lvl w:ilvl="8" w:tplc="7C2E5348">
      <w:numFmt w:val="bullet"/>
      <w:lvlText w:val="•"/>
      <w:lvlJc w:val="left"/>
      <w:pPr>
        <w:ind w:left="2291" w:hanging="100"/>
      </w:pPr>
      <w:rPr>
        <w:rFonts w:hint="default"/>
      </w:rPr>
    </w:lvl>
  </w:abstractNum>
  <w:abstractNum w:abstractNumId="780" w15:restartNumberingAfterBreak="0">
    <w:nsid w:val="317C2097"/>
    <w:multiLevelType w:val="hybridMultilevel"/>
    <w:tmpl w:val="E9063CF8"/>
    <w:lvl w:ilvl="0" w:tplc="7212B8EE">
      <w:numFmt w:val="bullet"/>
      <w:lvlText w:val=""/>
      <w:lvlJc w:val="left"/>
      <w:pPr>
        <w:ind w:left="156" w:hanging="100"/>
      </w:pPr>
      <w:rPr>
        <w:rFonts w:ascii="Symbol" w:eastAsia="Symbol" w:hAnsi="Symbol" w:cs="Symbol" w:hint="default"/>
        <w:color w:val="231F20"/>
        <w:w w:val="100"/>
        <w:sz w:val="14"/>
        <w:szCs w:val="14"/>
      </w:rPr>
    </w:lvl>
    <w:lvl w:ilvl="1" w:tplc="F2D68F74">
      <w:numFmt w:val="bullet"/>
      <w:lvlText w:val="•"/>
      <w:lvlJc w:val="left"/>
      <w:pPr>
        <w:ind w:left="454" w:hanging="100"/>
      </w:pPr>
      <w:rPr>
        <w:rFonts w:hint="default"/>
      </w:rPr>
    </w:lvl>
    <w:lvl w:ilvl="2" w:tplc="C9381016">
      <w:numFmt w:val="bullet"/>
      <w:lvlText w:val="•"/>
      <w:lvlJc w:val="left"/>
      <w:pPr>
        <w:ind w:left="749" w:hanging="100"/>
      </w:pPr>
      <w:rPr>
        <w:rFonts w:hint="default"/>
      </w:rPr>
    </w:lvl>
    <w:lvl w:ilvl="3" w:tplc="8C3ED1F0">
      <w:numFmt w:val="bullet"/>
      <w:lvlText w:val="•"/>
      <w:lvlJc w:val="left"/>
      <w:pPr>
        <w:ind w:left="1044" w:hanging="100"/>
      </w:pPr>
      <w:rPr>
        <w:rFonts w:hint="default"/>
      </w:rPr>
    </w:lvl>
    <w:lvl w:ilvl="4" w:tplc="71CCF98A">
      <w:numFmt w:val="bullet"/>
      <w:lvlText w:val="•"/>
      <w:lvlJc w:val="left"/>
      <w:pPr>
        <w:ind w:left="1339" w:hanging="100"/>
      </w:pPr>
      <w:rPr>
        <w:rFonts w:hint="default"/>
      </w:rPr>
    </w:lvl>
    <w:lvl w:ilvl="5" w:tplc="C652D9B8">
      <w:numFmt w:val="bullet"/>
      <w:lvlText w:val="•"/>
      <w:lvlJc w:val="left"/>
      <w:pPr>
        <w:ind w:left="1634" w:hanging="100"/>
      </w:pPr>
      <w:rPr>
        <w:rFonts w:hint="default"/>
      </w:rPr>
    </w:lvl>
    <w:lvl w:ilvl="6" w:tplc="06A68352">
      <w:numFmt w:val="bullet"/>
      <w:lvlText w:val="•"/>
      <w:lvlJc w:val="left"/>
      <w:pPr>
        <w:ind w:left="1928" w:hanging="100"/>
      </w:pPr>
      <w:rPr>
        <w:rFonts w:hint="default"/>
      </w:rPr>
    </w:lvl>
    <w:lvl w:ilvl="7" w:tplc="52FADC40">
      <w:numFmt w:val="bullet"/>
      <w:lvlText w:val="•"/>
      <w:lvlJc w:val="left"/>
      <w:pPr>
        <w:ind w:left="2223" w:hanging="100"/>
      </w:pPr>
      <w:rPr>
        <w:rFonts w:hint="default"/>
      </w:rPr>
    </w:lvl>
    <w:lvl w:ilvl="8" w:tplc="FFCAA446">
      <w:numFmt w:val="bullet"/>
      <w:lvlText w:val="•"/>
      <w:lvlJc w:val="left"/>
      <w:pPr>
        <w:ind w:left="2518" w:hanging="100"/>
      </w:pPr>
      <w:rPr>
        <w:rFonts w:hint="default"/>
      </w:rPr>
    </w:lvl>
  </w:abstractNum>
  <w:abstractNum w:abstractNumId="781" w15:restartNumberingAfterBreak="0">
    <w:nsid w:val="31996AA3"/>
    <w:multiLevelType w:val="hybridMultilevel"/>
    <w:tmpl w:val="5F96934C"/>
    <w:lvl w:ilvl="0" w:tplc="6FC8EED0">
      <w:numFmt w:val="bullet"/>
      <w:lvlText w:val=""/>
      <w:lvlJc w:val="left"/>
      <w:pPr>
        <w:ind w:left="156" w:hanging="100"/>
      </w:pPr>
      <w:rPr>
        <w:rFonts w:ascii="Symbol" w:eastAsia="Symbol" w:hAnsi="Symbol" w:cs="Symbol" w:hint="default"/>
        <w:color w:val="231F20"/>
        <w:w w:val="100"/>
        <w:sz w:val="14"/>
        <w:szCs w:val="14"/>
      </w:rPr>
    </w:lvl>
    <w:lvl w:ilvl="1" w:tplc="28EA24C2">
      <w:numFmt w:val="bullet"/>
      <w:lvlText w:val="•"/>
      <w:lvlJc w:val="left"/>
      <w:pPr>
        <w:ind w:left="301" w:hanging="100"/>
      </w:pPr>
      <w:rPr>
        <w:rFonts w:hint="default"/>
      </w:rPr>
    </w:lvl>
    <w:lvl w:ilvl="2" w:tplc="7FE608C8">
      <w:numFmt w:val="bullet"/>
      <w:lvlText w:val="•"/>
      <w:lvlJc w:val="left"/>
      <w:pPr>
        <w:ind w:left="443" w:hanging="100"/>
      </w:pPr>
      <w:rPr>
        <w:rFonts w:hint="default"/>
      </w:rPr>
    </w:lvl>
    <w:lvl w:ilvl="3" w:tplc="50540450">
      <w:numFmt w:val="bullet"/>
      <w:lvlText w:val="•"/>
      <w:lvlJc w:val="left"/>
      <w:pPr>
        <w:ind w:left="585" w:hanging="100"/>
      </w:pPr>
      <w:rPr>
        <w:rFonts w:hint="default"/>
      </w:rPr>
    </w:lvl>
    <w:lvl w:ilvl="4" w:tplc="B938165E">
      <w:numFmt w:val="bullet"/>
      <w:lvlText w:val="•"/>
      <w:lvlJc w:val="left"/>
      <w:pPr>
        <w:ind w:left="726" w:hanging="100"/>
      </w:pPr>
      <w:rPr>
        <w:rFonts w:hint="default"/>
      </w:rPr>
    </w:lvl>
    <w:lvl w:ilvl="5" w:tplc="666CAB9A">
      <w:numFmt w:val="bullet"/>
      <w:lvlText w:val="•"/>
      <w:lvlJc w:val="left"/>
      <w:pPr>
        <w:ind w:left="868" w:hanging="100"/>
      </w:pPr>
      <w:rPr>
        <w:rFonts w:hint="default"/>
      </w:rPr>
    </w:lvl>
    <w:lvl w:ilvl="6" w:tplc="AEB28FE2">
      <w:numFmt w:val="bullet"/>
      <w:lvlText w:val="•"/>
      <w:lvlJc w:val="left"/>
      <w:pPr>
        <w:ind w:left="1010" w:hanging="100"/>
      </w:pPr>
      <w:rPr>
        <w:rFonts w:hint="default"/>
      </w:rPr>
    </w:lvl>
    <w:lvl w:ilvl="7" w:tplc="4EEE6668">
      <w:numFmt w:val="bullet"/>
      <w:lvlText w:val="•"/>
      <w:lvlJc w:val="left"/>
      <w:pPr>
        <w:ind w:left="1151" w:hanging="100"/>
      </w:pPr>
      <w:rPr>
        <w:rFonts w:hint="default"/>
      </w:rPr>
    </w:lvl>
    <w:lvl w:ilvl="8" w:tplc="33EADEC4">
      <w:numFmt w:val="bullet"/>
      <w:lvlText w:val="•"/>
      <w:lvlJc w:val="left"/>
      <w:pPr>
        <w:ind w:left="1293" w:hanging="100"/>
      </w:pPr>
      <w:rPr>
        <w:rFonts w:hint="default"/>
      </w:rPr>
    </w:lvl>
  </w:abstractNum>
  <w:abstractNum w:abstractNumId="782" w15:restartNumberingAfterBreak="0">
    <w:nsid w:val="31A07129"/>
    <w:multiLevelType w:val="hybridMultilevel"/>
    <w:tmpl w:val="DE32E7DA"/>
    <w:lvl w:ilvl="0" w:tplc="4816EC78">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5EC8B59E">
      <w:numFmt w:val="bullet"/>
      <w:lvlText w:val="•"/>
      <w:lvlJc w:val="left"/>
      <w:pPr>
        <w:ind w:left="426" w:hanging="105"/>
      </w:pPr>
      <w:rPr>
        <w:rFonts w:hint="default"/>
      </w:rPr>
    </w:lvl>
    <w:lvl w:ilvl="2" w:tplc="199E4BFC">
      <w:numFmt w:val="bullet"/>
      <w:lvlText w:val="•"/>
      <w:lvlJc w:val="left"/>
      <w:pPr>
        <w:ind w:left="692" w:hanging="105"/>
      </w:pPr>
      <w:rPr>
        <w:rFonts w:hint="default"/>
      </w:rPr>
    </w:lvl>
    <w:lvl w:ilvl="3" w:tplc="829ABAC2">
      <w:numFmt w:val="bullet"/>
      <w:lvlText w:val="•"/>
      <w:lvlJc w:val="left"/>
      <w:pPr>
        <w:ind w:left="959" w:hanging="105"/>
      </w:pPr>
      <w:rPr>
        <w:rFonts w:hint="default"/>
      </w:rPr>
    </w:lvl>
    <w:lvl w:ilvl="4" w:tplc="4C885284">
      <w:numFmt w:val="bullet"/>
      <w:lvlText w:val="•"/>
      <w:lvlJc w:val="left"/>
      <w:pPr>
        <w:ind w:left="1225" w:hanging="105"/>
      </w:pPr>
      <w:rPr>
        <w:rFonts w:hint="default"/>
      </w:rPr>
    </w:lvl>
    <w:lvl w:ilvl="5" w:tplc="FBA6A384">
      <w:numFmt w:val="bullet"/>
      <w:lvlText w:val="•"/>
      <w:lvlJc w:val="left"/>
      <w:pPr>
        <w:ind w:left="1492" w:hanging="105"/>
      </w:pPr>
      <w:rPr>
        <w:rFonts w:hint="default"/>
      </w:rPr>
    </w:lvl>
    <w:lvl w:ilvl="6" w:tplc="79ECC066">
      <w:numFmt w:val="bullet"/>
      <w:lvlText w:val="•"/>
      <w:lvlJc w:val="left"/>
      <w:pPr>
        <w:ind w:left="1758" w:hanging="105"/>
      </w:pPr>
      <w:rPr>
        <w:rFonts w:hint="default"/>
      </w:rPr>
    </w:lvl>
    <w:lvl w:ilvl="7" w:tplc="9C4CAE56">
      <w:numFmt w:val="bullet"/>
      <w:lvlText w:val="•"/>
      <w:lvlJc w:val="left"/>
      <w:pPr>
        <w:ind w:left="2024" w:hanging="105"/>
      </w:pPr>
      <w:rPr>
        <w:rFonts w:hint="default"/>
      </w:rPr>
    </w:lvl>
    <w:lvl w:ilvl="8" w:tplc="AADE81C4">
      <w:numFmt w:val="bullet"/>
      <w:lvlText w:val="•"/>
      <w:lvlJc w:val="left"/>
      <w:pPr>
        <w:ind w:left="2291" w:hanging="105"/>
      </w:pPr>
      <w:rPr>
        <w:rFonts w:hint="default"/>
      </w:rPr>
    </w:lvl>
  </w:abstractNum>
  <w:abstractNum w:abstractNumId="783" w15:restartNumberingAfterBreak="0">
    <w:nsid w:val="31AA14AE"/>
    <w:multiLevelType w:val="hybridMultilevel"/>
    <w:tmpl w:val="1708FAD2"/>
    <w:lvl w:ilvl="0" w:tplc="0C0452F8">
      <w:numFmt w:val="bullet"/>
      <w:lvlText w:val=""/>
      <w:lvlJc w:val="left"/>
      <w:pPr>
        <w:ind w:left="156" w:hanging="100"/>
      </w:pPr>
      <w:rPr>
        <w:rFonts w:ascii="Symbol" w:eastAsia="Symbol" w:hAnsi="Symbol" w:cs="Symbol" w:hint="default"/>
        <w:color w:val="231F20"/>
        <w:w w:val="100"/>
        <w:sz w:val="14"/>
        <w:szCs w:val="14"/>
      </w:rPr>
    </w:lvl>
    <w:lvl w:ilvl="1" w:tplc="4FA6E616">
      <w:numFmt w:val="bullet"/>
      <w:lvlText w:val="•"/>
      <w:lvlJc w:val="left"/>
      <w:pPr>
        <w:ind w:left="398" w:hanging="100"/>
      </w:pPr>
      <w:rPr>
        <w:rFonts w:hint="default"/>
      </w:rPr>
    </w:lvl>
    <w:lvl w:ilvl="2" w:tplc="7D1C206A">
      <w:numFmt w:val="bullet"/>
      <w:lvlText w:val="•"/>
      <w:lvlJc w:val="left"/>
      <w:pPr>
        <w:ind w:left="636" w:hanging="100"/>
      </w:pPr>
      <w:rPr>
        <w:rFonts w:hint="default"/>
      </w:rPr>
    </w:lvl>
    <w:lvl w:ilvl="3" w:tplc="FF2499BE">
      <w:numFmt w:val="bullet"/>
      <w:lvlText w:val="•"/>
      <w:lvlJc w:val="left"/>
      <w:pPr>
        <w:ind w:left="874" w:hanging="100"/>
      </w:pPr>
      <w:rPr>
        <w:rFonts w:hint="default"/>
      </w:rPr>
    </w:lvl>
    <w:lvl w:ilvl="4" w:tplc="AEF0A04A">
      <w:numFmt w:val="bullet"/>
      <w:lvlText w:val="•"/>
      <w:lvlJc w:val="left"/>
      <w:pPr>
        <w:ind w:left="1112" w:hanging="100"/>
      </w:pPr>
      <w:rPr>
        <w:rFonts w:hint="default"/>
      </w:rPr>
    </w:lvl>
    <w:lvl w:ilvl="5" w:tplc="C7B4E404">
      <w:numFmt w:val="bullet"/>
      <w:lvlText w:val="•"/>
      <w:lvlJc w:val="left"/>
      <w:pPr>
        <w:ind w:left="1350" w:hanging="100"/>
      </w:pPr>
      <w:rPr>
        <w:rFonts w:hint="default"/>
      </w:rPr>
    </w:lvl>
    <w:lvl w:ilvl="6" w:tplc="1534AE74">
      <w:numFmt w:val="bullet"/>
      <w:lvlText w:val="•"/>
      <w:lvlJc w:val="left"/>
      <w:pPr>
        <w:ind w:left="1588" w:hanging="100"/>
      </w:pPr>
      <w:rPr>
        <w:rFonts w:hint="default"/>
      </w:rPr>
    </w:lvl>
    <w:lvl w:ilvl="7" w:tplc="438828F4">
      <w:numFmt w:val="bullet"/>
      <w:lvlText w:val="•"/>
      <w:lvlJc w:val="left"/>
      <w:pPr>
        <w:ind w:left="1826" w:hanging="100"/>
      </w:pPr>
      <w:rPr>
        <w:rFonts w:hint="default"/>
      </w:rPr>
    </w:lvl>
    <w:lvl w:ilvl="8" w:tplc="662CFBE6">
      <w:numFmt w:val="bullet"/>
      <w:lvlText w:val="•"/>
      <w:lvlJc w:val="left"/>
      <w:pPr>
        <w:ind w:left="2064" w:hanging="100"/>
      </w:pPr>
      <w:rPr>
        <w:rFonts w:hint="default"/>
      </w:rPr>
    </w:lvl>
  </w:abstractNum>
  <w:abstractNum w:abstractNumId="784" w15:restartNumberingAfterBreak="0">
    <w:nsid w:val="31B70741"/>
    <w:multiLevelType w:val="hybridMultilevel"/>
    <w:tmpl w:val="D20E0838"/>
    <w:lvl w:ilvl="0" w:tplc="AE70B392">
      <w:numFmt w:val="bullet"/>
      <w:lvlText w:val=""/>
      <w:lvlJc w:val="left"/>
      <w:pPr>
        <w:ind w:left="156" w:hanging="100"/>
      </w:pPr>
      <w:rPr>
        <w:rFonts w:ascii="Symbol" w:eastAsia="Symbol" w:hAnsi="Symbol" w:cs="Symbol" w:hint="default"/>
        <w:color w:val="231F20"/>
        <w:w w:val="100"/>
        <w:sz w:val="14"/>
        <w:szCs w:val="14"/>
      </w:rPr>
    </w:lvl>
    <w:lvl w:ilvl="1" w:tplc="9F1C6F22">
      <w:numFmt w:val="bullet"/>
      <w:lvlText w:val="•"/>
      <w:lvlJc w:val="left"/>
      <w:pPr>
        <w:ind w:left="398" w:hanging="100"/>
      </w:pPr>
      <w:rPr>
        <w:rFonts w:hint="default"/>
      </w:rPr>
    </w:lvl>
    <w:lvl w:ilvl="2" w:tplc="F6441802">
      <w:numFmt w:val="bullet"/>
      <w:lvlText w:val="•"/>
      <w:lvlJc w:val="left"/>
      <w:pPr>
        <w:ind w:left="636" w:hanging="100"/>
      </w:pPr>
      <w:rPr>
        <w:rFonts w:hint="default"/>
      </w:rPr>
    </w:lvl>
    <w:lvl w:ilvl="3" w:tplc="7AF487A6">
      <w:numFmt w:val="bullet"/>
      <w:lvlText w:val="•"/>
      <w:lvlJc w:val="left"/>
      <w:pPr>
        <w:ind w:left="874" w:hanging="100"/>
      </w:pPr>
      <w:rPr>
        <w:rFonts w:hint="default"/>
      </w:rPr>
    </w:lvl>
    <w:lvl w:ilvl="4" w:tplc="7980A85A">
      <w:numFmt w:val="bullet"/>
      <w:lvlText w:val="•"/>
      <w:lvlJc w:val="left"/>
      <w:pPr>
        <w:ind w:left="1112" w:hanging="100"/>
      </w:pPr>
      <w:rPr>
        <w:rFonts w:hint="default"/>
      </w:rPr>
    </w:lvl>
    <w:lvl w:ilvl="5" w:tplc="1C149C2E">
      <w:numFmt w:val="bullet"/>
      <w:lvlText w:val="•"/>
      <w:lvlJc w:val="left"/>
      <w:pPr>
        <w:ind w:left="1350" w:hanging="100"/>
      </w:pPr>
      <w:rPr>
        <w:rFonts w:hint="default"/>
      </w:rPr>
    </w:lvl>
    <w:lvl w:ilvl="6" w:tplc="FC363924">
      <w:numFmt w:val="bullet"/>
      <w:lvlText w:val="•"/>
      <w:lvlJc w:val="left"/>
      <w:pPr>
        <w:ind w:left="1588" w:hanging="100"/>
      </w:pPr>
      <w:rPr>
        <w:rFonts w:hint="default"/>
      </w:rPr>
    </w:lvl>
    <w:lvl w:ilvl="7" w:tplc="797886C2">
      <w:numFmt w:val="bullet"/>
      <w:lvlText w:val="•"/>
      <w:lvlJc w:val="left"/>
      <w:pPr>
        <w:ind w:left="1826" w:hanging="100"/>
      </w:pPr>
      <w:rPr>
        <w:rFonts w:hint="default"/>
      </w:rPr>
    </w:lvl>
    <w:lvl w:ilvl="8" w:tplc="220C7CCC">
      <w:numFmt w:val="bullet"/>
      <w:lvlText w:val="•"/>
      <w:lvlJc w:val="left"/>
      <w:pPr>
        <w:ind w:left="2064" w:hanging="100"/>
      </w:pPr>
      <w:rPr>
        <w:rFonts w:hint="default"/>
      </w:rPr>
    </w:lvl>
  </w:abstractNum>
  <w:abstractNum w:abstractNumId="785" w15:restartNumberingAfterBreak="0">
    <w:nsid w:val="31CA4DBC"/>
    <w:multiLevelType w:val="hybridMultilevel"/>
    <w:tmpl w:val="DFA43D94"/>
    <w:lvl w:ilvl="0" w:tplc="D3FAD2E4">
      <w:numFmt w:val="bullet"/>
      <w:lvlText w:val=""/>
      <w:lvlJc w:val="left"/>
      <w:pPr>
        <w:ind w:left="157" w:hanging="100"/>
      </w:pPr>
      <w:rPr>
        <w:rFonts w:ascii="Symbol" w:eastAsia="Symbol" w:hAnsi="Symbol" w:cs="Symbol" w:hint="default"/>
        <w:color w:val="231F20"/>
        <w:w w:val="100"/>
        <w:sz w:val="14"/>
        <w:szCs w:val="14"/>
      </w:rPr>
    </w:lvl>
    <w:lvl w:ilvl="1" w:tplc="0A9C6F34">
      <w:numFmt w:val="bullet"/>
      <w:lvlText w:val="•"/>
      <w:lvlJc w:val="left"/>
      <w:pPr>
        <w:ind w:left="369" w:hanging="100"/>
      </w:pPr>
      <w:rPr>
        <w:rFonts w:hint="default"/>
      </w:rPr>
    </w:lvl>
    <w:lvl w:ilvl="2" w:tplc="BD6096F6">
      <w:numFmt w:val="bullet"/>
      <w:lvlText w:val="•"/>
      <w:lvlJc w:val="left"/>
      <w:pPr>
        <w:ind w:left="579" w:hanging="100"/>
      </w:pPr>
      <w:rPr>
        <w:rFonts w:hint="default"/>
      </w:rPr>
    </w:lvl>
    <w:lvl w:ilvl="3" w:tplc="CB0406B4">
      <w:numFmt w:val="bullet"/>
      <w:lvlText w:val="•"/>
      <w:lvlJc w:val="left"/>
      <w:pPr>
        <w:ind w:left="789" w:hanging="100"/>
      </w:pPr>
      <w:rPr>
        <w:rFonts w:hint="default"/>
      </w:rPr>
    </w:lvl>
    <w:lvl w:ilvl="4" w:tplc="A88EE310">
      <w:numFmt w:val="bullet"/>
      <w:lvlText w:val="•"/>
      <w:lvlJc w:val="left"/>
      <w:pPr>
        <w:ind w:left="998" w:hanging="100"/>
      </w:pPr>
      <w:rPr>
        <w:rFonts w:hint="default"/>
      </w:rPr>
    </w:lvl>
    <w:lvl w:ilvl="5" w:tplc="9170E8D2">
      <w:numFmt w:val="bullet"/>
      <w:lvlText w:val="•"/>
      <w:lvlJc w:val="left"/>
      <w:pPr>
        <w:ind w:left="1208" w:hanging="100"/>
      </w:pPr>
      <w:rPr>
        <w:rFonts w:hint="default"/>
      </w:rPr>
    </w:lvl>
    <w:lvl w:ilvl="6" w:tplc="42CC1BDC">
      <w:numFmt w:val="bullet"/>
      <w:lvlText w:val="•"/>
      <w:lvlJc w:val="left"/>
      <w:pPr>
        <w:ind w:left="1418" w:hanging="100"/>
      </w:pPr>
      <w:rPr>
        <w:rFonts w:hint="default"/>
      </w:rPr>
    </w:lvl>
    <w:lvl w:ilvl="7" w:tplc="358E0ED8">
      <w:numFmt w:val="bullet"/>
      <w:lvlText w:val="•"/>
      <w:lvlJc w:val="left"/>
      <w:pPr>
        <w:ind w:left="1627" w:hanging="100"/>
      </w:pPr>
      <w:rPr>
        <w:rFonts w:hint="default"/>
      </w:rPr>
    </w:lvl>
    <w:lvl w:ilvl="8" w:tplc="DB18AF14">
      <w:numFmt w:val="bullet"/>
      <w:lvlText w:val="•"/>
      <w:lvlJc w:val="left"/>
      <w:pPr>
        <w:ind w:left="1837" w:hanging="100"/>
      </w:pPr>
      <w:rPr>
        <w:rFonts w:hint="default"/>
      </w:rPr>
    </w:lvl>
  </w:abstractNum>
  <w:abstractNum w:abstractNumId="786" w15:restartNumberingAfterBreak="0">
    <w:nsid w:val="31E66EBB"/>
    <w:multiLevelType w:val="hybridMultilevel"/>
    <w:tmpl w:val="7B8884F6"/>
    <w:lvl w:ilvl="0" w:tplc="5FD83F54">
      <w:numFmt w:val="bullet"/>
      <w:lvlText w:val=""/>
      <w:lvlJc w:val="left"/>
      <w:pPr>
        <w:ind w:left="156" w:hanging="100"/>
      </w:pPr>
      <w:rPr>
        <w:rFonts w:ascii="Symbol" w:eastAsia="Symbol" w:hAnsi="Symbol" w:cs="Symbol" w:hint="default"/>
        <w:color w:val="231F20"/>
        <w:w w:val="100"/>
        <w:sz w:val="14"/>
        <w:szCs w:val="14"/>
      </w:rPr>
    </w:lvl>
    <w:lvl w:ilvl="1" w:tplc="CD1A1002">
      <w:numFmt w:val="bullet"/>
      <w:lvlText w:val="•"/>
      <w:lvlJc w:val="left"/>
      <w:pPr>
        <w:ind w:left="398" w:hanging="100"/>
      </w:pPr>
      <w:rPr>
        <w:rFonts w:hint="default"/>
      </w:rPr>
    </w:lvl>
    <w:lvl w:ilvl="2" w:tplc="9084B366">
      <w:numFmt w:val="bullet"/>
      <w:lvlText w:val="•"/>
      <w:lvlJc w:val="left"/>
      <w:pPr>
        <w:ind w:left="636" w:hanging="100"/>
      </w:pPr>
      <w:rPr>
        <w:rFonts w:hint="default"/>
      </w:rPr>
    </w:lvl>
    <w:lvl w:ilvl="3" w:tplc="F926B642">
      <w:numFmt w:val="bullet"/>
      <w:lvlText w:val="•"/>
      <w:lvlJc w:val="left"/>
      <w:pPr>
        <w:ind w:left="874" w:hanging="100"/>
      </w:pPr>
      <w:rPr>
        <w:rFonts w:hint="default"/>
      </w:rPr>
    </w:lvl>
    <w:lvl w:ilvl="4" w:tplc="88D60350">
      <w:numFmt w:val="bullet"/>
      <w:lvlText w:val="•"/>
      <w:lvlJc w:val="left"/>
      <w:pPr>
        <w:ind w:left="1112" w:hanging="100"/>
      </w:pPr>
      <w:rPr>
        <w:rFonts w:hint="default"/>
      </w:rPr>
    </w:lvl>
    <w:lvl w:ilvl="5" w:tplc="537E64C6">
      <w:numFmt w:val="bullet"/>
      <w:lvlText w:val="•"/>
      <w:lvlJc w:val="left"/>
      <w:pPr>
        <w:ind w:left="1350" w:hanging="100"/>
      </w:pPr>
      <w:rPr>
        <w:rFonts w:hint="default"/>
      </w:rPr>
    </w:lvl>
    <w:lvl w:ilvl="6" w:tplc="69928E3A">
      <w:numFmt w:val="bullet"/>
      <w:lvlText w:val="•"/>
      <w:lvlJc w:val="left"/>
      <w:pPr>
        <w:ind w:left="1588" w:hanging="100"/>
      </w:pPr>
      <w:rPr>
        <w:rFonts w:hint="default"/>
      </w:rPr>
    </w:lvl>
    <w:lvl w:ilvl="7" w:tplc="D846AF56">
      <w:numFmt w:val="bullet"/>
      <w:lvlText w:val="•"/>
      <w:lvlJc w:val="left"/>
      <w:pPr>
        <w:ind w:left="1826" w:hanging="100"/>
      </w:pPr>
      <w:rPr>
        <w:rFonts w:hint="default"/>
      </w:rPr>
    </w:lvl>
    <w:lvl w:ilvl="8" w:tplc="EFC637C0">
      <w:numFmt w:val="bullet"/>
      <w:lvlText w:val="•"/>
      <w:lvlJc w:val="left"/>
      <w:pPr>
        <w:ind w:left="2064" w:hanging="100"/>
      </w:pPr>
      <w:rPr>
        <w:rFonts w:hint="default"/>
      </w:rPr>
    </w:lvl>
  </w:abstractNum>
  <w:abstractNum w:abstractNumId="787" w15:restartNumberingAfterBreak="0">
    <w:nsid w:val="31E970C4"/>
    <w:multiLevelType w:val="hybridMultilevel"/>
    <w:tmpl w:val="BF7CAA60"/>
    <w:lvl w:ilvl="0" w:tplc="A8D0E15C">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18E0D0E0">
      <w:numFmt w:val="bullet"/>
      <w:lvlText w:val="•"/>
      <w:lvlJc w:val="left"/>
      <w:pPr>
        <w:ind w:left="426" w:hanging="105"/>
      </w:pPr>
      <w:rPr>
        <w:rFonts w:hint="default"/>
      </w:rPr>
    </w:lvl>
    <w:lvl w:ilvl="2" w:tplc="9DCC1528">
      <w:numFmt w:val="bullet"/>
      <w:lvlText w:val="•"/>
      <w:lvlJc w:val="left"/>
      <w:pPr>
        <w:ind w:left="692" w:hanging="105"/>
      </w:pPr>
      <w:rPr>
        <w:rFonts w:hint="default"/>
      </w:rPr>
    </w:lvl>
    <w:lvl w:ilvl="3" w:tplc="244E295E">
      <w:numFmt w:val="bullet"/>
      <w:lvlText w:val="•"/>
      <w:lvlJc w:val="left"/>
      <w:pPr>
        <w:ind w:left="959" w:hanging="105"/>
      </w:pPr>
      <w:rPr>
        <w:rFonts w:hint="default"/>
      </w:rPr>
    </w:lvl>
    <w:lvl w:ilvl="4" w:tplc="8A2E8E02">
      <w:numFmt w:val="bullet"/>
      <w:lvlText w:val="•"/>
      <w:lvlJc w:val="left"/>
      <w:pPr>
        <w:ind w:left="1225" w:hanging="105"/>
      </w:pPr>
      <w:rPr>
        <w:rFonts w:hint="default"/>
      </w:rPr>
    </w:lvl>
    <w:lvl w:ilvl="5" w:tplc="5E600DEA">
      <w:numFmt w:val="bullet"/>
      <w:lvlText w:val="•"/>
      <w:lvlJc w:val="left"/>
      <w:pPr>
        <w:ind w:left="1492" w:hanging="105"/>
      </w:pPr>
      <w:rPr>
        <w:rFonts w:hint="default"/>
      </w:rPr>
    </w:lvl>
    <w:lvl w:ilvl="6" w:tplc="454A8C00">
      <w:numFmt w:val="bullet"/>
      <w:lvlText w:val="•"/>
      <w:lvlJc w:val="left"/>
      <w:pPr>
        <w:ind w:left="1758" w:hanging="105"/>
      </w:pPr>
      <w:rPr>
        <w:rFonts w:hint="default"/>
      </w:rPr>
    </w:lvl>
    <w:lvl w:ilvl="7" w:tplc="8642F8F8">
      <w:numFmt w:val="bullet"/>
      <w:lvlText w:val="•"/>
      <w:lvlJc w:val="left"/>
      <w:pPr>
        <w:ind w:left="2024" w:hanging="105"/>
      </w:pPr>
      <w:rPr>
        <w:rFonts w:hint="default"/>
      </w:rPr>
    </w:lvl>
    <w:lvl w:ilvl="8" w:tplc="017C615C">
      <w:numFmt w:val="bullet"/>
      <w:lvlText w:val="•"/>
      <w:lvlJc w:val="left"/>
      <w:pPr>
        <w:ind w:left="2291" w:hanging="105"/>
      </w:pPr>
      <w:rPr>
        <w:rFonts w:hint="default"/>
      </w:rPr>
    </w:lvl>
  </w:abstractNum>
  <w:abstractNum w:abstractNumId="788" w15:restartNumberingAfterBreak="0">
    <w:nsid w:val="31EC5B9A"/>
    <w:multiLevelType w:val="hybridMultilevel"/>
    <w:tmpl w:val="BFC0CA9C"/>
    <w:lvl w:ilvl="0" w:tplc="5928B326">
      <w:numFmt w:val="bullet"/>
      <w:lvlText w:val=""/>
      <w:lvlJc w:val="left"/>
      <w:pPr>
        <w:ind w:left="156" w:hanging="100"/>
      </w:pPr>
      <w:rPr>
        <w:rFonts w:ascii="Symbol" w:eastAsia="Symbol" w:hAnsi="Symbol" w:cs="Symbol" w:hint="default"/>
        <w:color w:val="231F20"/>
        <w:w w:val="100"/>
        <w:sz w:val="14"/>
        <w:szCs w:val="14"/>
      </w:rPr>
    </w:lvl>
    <w:lvl w:ilvl="1" w:tplc="5E1E0E8C">
      <w:numFmt w:val="bullet"/>
      <w:lvlText w:val="•"/>
      <w:lvlJc w:val="left"/>
      <w:pPr>
        <w:ind w:left="301" w:hanging="100"/>
      </w:pPr>
      <w:rPr>
        <w:rFonts w:hint="default"/>
      </w:rPr>
    </w:lvl>
    <w:lvl w:ilvl="2" w:tplc="965A7A6C">
      <w:numFmt w:val="bullet"/>
      <w:lvlText w:val="•"/>
      <w:lvlJc w:val="left"/>
      <w:pPr>
        <w:ind w:left="443" w:hanging="100"/>
      </w:pPr>
      <w:rPr>
        <w:rFonts w:hint="default"/>
      </w:rPr>
    </w:lvl>
    <w:lvl w:ilvl="3" w:tplc="188C1A88">
      <w:numFmt w:val="bullet"/>
      <w:lvlText w:val="•"/>
      <w:lvlJc w:val="left"/>
      <w:pPr>
        <w:ind w:left="585" w:hanging="100"/>
      </w:pPr>
      <w:rPr>
        <w:rFonts w:hint="default"/>
      </w:rPr>
    </w:lvl>
    <w:lvl w:ilvl="4" w:tplc="34B20FB8">
      <w:numFmt w:val="bullet"/>
      <w:lvlText w:val="•"/>
      <w:lvlJc w:val="left"/>
      <w:pPr>
        <w:ind w:left="726" w:hanging="100"/>
      </w:pPr>
      <w:rPr>
        <w:rFonts w:hint="default"/>
      </w:rPr>
    </w:lvl>
    <w:lvl w:ilvl="5" w:tplc="8C145B78">
      <w:numFmt w:val="bullet"/>
      <w:lvlText w:val="•"/>
      <w:lvlJc w:val="left"/>
      <w:pPr>
        <w:ind w:left="868" w:hanging="100"/>
      </w:pPr>
      <w:rPr>
        <w:rFonts w:hint="default"/>
      </w:rPr>
    </w:lvl>
    <w:lvl w:ilvl="6" w:tplc="69E27C00">
      <w:numFmt w:val="bullet"/>
      <w:lvlText w:val="•"/>
      <w:lvlJc w:val="left"/>
      <w:pPr>
        <w:ind w:left="1010" w:hanging="100"/>
      </w:pPr>
      <w:rPr>
        <w:rFonts w:hint="default"/>
      </w:rPr>
    </w:lvl>
    <w:lvl w:ilvl="7" w:tplc="6B5E4BD2">
      <w:numFmt w:val="bullet"/>
      <w:lvlText w:val="•"/>
      <w:lvlJc w:val="left"/>
      <w:pPr>
        <w:ind w:left="1151" w:hanging="100"/>
      </w:pPr>
      <w:rPr>
        <w:rFonts w:hint="default"/>
      </w:rPr>
    </w:lvl>
    <w:lvl w:ilvl="8" w:tplc="2A9AA3EE">
      <w:numFmt w:val="bullet"/>
      <w:lvlText w:val="•"/>
      <w:lvlJc w:val="left"/>
      <w:pPr>
        <w:ind w:left="1293" w:hanging="100"/>
      </w:pPr>
      <w:rPr>
        <w:rFonts w:hint="default"/>
      </w:rPr>
    </w:lvl>
  </w:abstractNum>
  <w:abstractNum w:abstractNumId="789" w15:restartNumberingAfterBreak="0">
    <w:nsid w:val="31EF5A5D"/>
    <w:multiLevelType w:val="hybridMultilevel"/>
    <w:tmpl w:val="D7321650"/>
    <w:lvl w:ilvl="0" w:tplc="6116E24C">
      <w:numFmt w:val="bullet"/>
      <w:lvlText w:val="–"/>
      <w:lvlJc w:val="left"/>
      <w:pPr>
        <w:ind w:left="262" w:hanging="105"/>
      </w:pPr>
      <w:rPr>
        <w:rFonts w:ascii="Times New Roman" w:eastAsia="Times New Roman" w:hAnsi="Times New Roman" w:cs="Times New Roman" w:hint="default"/>
        <w:color w:val="231F20"/>
        <w:spacing w:val="-13"/>
        <w:w w:val="100"/>
        <w:sz w:val="14"/>
        <w:szCs w:val="14"/>
      </w:rPr>
    </w:lvl>
    <w:lvl w:ilvl="1" w:tplc="2BD25CD0">
      <w:numFmt w:val="bullet"/>
      <w:lvlText w:val="–"/>
      <w:lvlJc w:val="left"/>
      <w:pPr>
        <w:ind w:left="632" w:hanging="135"/>
      </w:pPr>
      <w:rPr>
        <w:rFonts w:ascii="Times New Roman" w:eastAsia="Times New Roman" w:hAnsi="Times New Roman" w:cs="Times New Roman" w:hint="default"/>
        <w:color w:val="231F20"/>
        <w:spacing w:val="-3"/>
        <w:w w:val="100"/>
        <w:sz w:val="18"/>
        <w:szCs w:val="18"/>
      </w:rPr>
    </w:lvl>
    <w:lvl w:ilvl="2" w:tplc="F8F0CD6C">
      <w:numFmt w:val="bullet"/>
      <w:lvlText w:val="–"/>
      <w:lvlJc w:val="left"/>
      <w:pPr>
        <w:ind w:left="1565" w:hanging="105"/>
      </w:pPr>
      <w:rPr>
        <w:rFonts w:ascii="Times New Roman" w:eastAsia="Times New Roman" w:hAnsi="Times New Roman" w:cs="Times New Roman" w:hint="default"/>
        <w:color w:val="231F20"/>
        <w:spacing w:val="-9"/>
        <w:w w:val="100"/>
        <w:sz w:val="14"/>
        <w:szCs w:val="14"/>
      </w:rPr>
    </w:lvl>
    <w:lvl w:ilvl="3" w:tplc="35964C44">
      <w:numFmt w:val="bullet"/>
      <w:lvlText w:val="•"/>
      <w:lvlJc w:val="left"/>
      <w:pPr>
        <w:ind w:left="2550" w:hanging="105"/>
      </w:pPr>
      <w:rPr>
        <w:rFonts w:hint="default"/>
      </w:rPr>
    </w:lvl>
    <w:lvl w:ilvl="4" w:tplc="5B984CAC">
      <w:numFmt w:val="bullet"/>
      <w:lvlText w:val="•"/>
      <w:lvlJc w:val="left"/>
      <w:pPr>
        <w:ind w:left="3540" w:hanging="105"/>
      </w:pPr>
      <w:rPr>
        <w:rFonts w:hint="default"/>
      </w:rPr>
    </w:lvl>
    <w:lvl w:ilvl="5" w:tplc="BD4826FC">
      <w:numFmt w:val="bullet"/>
      <w:lvlText w:val="•"/>
      <w:lvlJc w:val="left"/>
      <w:pPr>
        <w:ind w:left="4530" w:hanging="105"/>
      </w:pPr>
      <w:rPr>
        <w:rFonts w:hint="default"/>
      </w:rPr>
    </w:lvl>
    <w:lvl w:ilvl="6" w:tplc="03D680B2">
      <w:numFmt w:val="bullet"/>
      <w:lvlText w:val="•"/>
      <w:lvlJc w:val="left"/>
      <w:pPr>
        <w:ind w:left="5520" w:hanging="105"/>
      </w:pPr>
      <w:rPr>
        <w:rFonts w:hint="default"/>
      </w:rPr>
    </w:lvl>
    <w:lvl w:ilvl="7" w:tplc="8BAE2E52">
      <w:numFmt w:val="bullet"/>
      <w:lvlText w:val="•"/>
      <w:lvlJc w:val="left"/>
      <w:pPr>
        <w:ind w:left="6510" w:hanging="105"/>
      </w:pPr>
      <w:rPr>
        <w:rFonts w:hint="default"/>
      </w:rPr>
    </w:lvl>
    <w:lvl w:ilvl="8" w:tplc="78ACBDFC">
      <w:numFmt w:val="bullet"/>
      <w:lvlText w:val="•"/>
      <w:lvlJc w:val="left"/>
      <w:pPr>
        <w:ind w:left="7501" w:hanging="105"/>
      </w:pPr>
      <w:rPr>
        <w:rFonts w:hint="default"/>
      </w:rPr>
    </w:lvl>
  </w:abstractNum>
  <w:abstractNum w:abstractNumId="790" w15:restartNumberingAfterBreak="0">
    <w:nsid w:val="32052023"/>
    <w:multiLevelType w:val="hybridMultilevel"/>
    <w:tmpl w:val="176E20C6"/>
    <w:lvl w:ilvl="0" w:tplc="CC824A16">
      <w:numFmt w:val="bullet"/>
      <w:lvlText w:val=""/>
      <w:lvlJc w:val="left"/>
      <w:pPr>
        <w:ind w:left="156" w:hanging="100"/>
      </w:pPr>
      <w:rPr>
        <w:rFonts w:ascii="Symbol" w:eastAsia="Symbol" w:hAnsi="Symbol" w:cs="Symbol" w:hint="default"/>
        <w:color w:val="231F20"/>
        <w:w w:val="100"/>
        <w:sz w:val="14"/>
        <w:szCs w:val="14"/>
      </w:rPr>
    </w:lvl>
    <w:lvl w:ilvl="1" w:tplc="823EEBC0">
      <w:numFmt w:val="bullet"/>
      <w:lvlText w:val="•"/>
      <w:lvlJc w:val="left"/>
      <w:pPr>
        <w:ind w:left="426" w:hanging="100"/>
      </w:pPr>
      <w:rPr>
        <w:rFonts w:hint="default"/>
      </w:rPr>
    </w:lvl>
    <w:lvl w:ilvl="2" w:tplc="B27018B6">
      <w:numFmt w:val="bullet"/>
      <w:lvlText w:val="•"/>
      <w:lvlJc w:val="left"/>
      <w:pPr>
        <w:ind w:left="692" w:hanging="100"/>
      </w:pPr>
      <w:rPr>
        <w:rFonts w:hint="default"/>
      </w:rPr>
    </w:lvl>
    <w:lvl w:ilvl="3" w:tplc="7E028992">
      <w:numFmt w:val="bullet"/>
      <w:lvlText w:val="•"/>
      <w:lvlJc w:val="left"/>
      <w:pPr>
        <w:ind w:left="959" w:hanging="100"/>
      </w:pPr>
      <w:rPr>
        <w:rFonts w:hint="default"/>
      </w:rPr>
    </w:lvl>
    <w:lvl w:ilvl="4" w:tplc="3C781A4A">
      <w:numFmt w:val="bullet"/>
      <w:lvlText w:val="•"/>
      <w:lvlJc w:val="left"/>
      <w:pPr>
        <w:ind w:left="1225" w:hanging="100"/>
      </w:pPr>
      <w:rPr>
        <w:rFonts w:hint="default"/>
      </w:rPr>
    </w:lvl>
    <w:lvl w:ilvl="5" w:tplc="D7B6DD50">
      <w:numFmt w:val="bullet"/>
      <w:lvlText w:val="•"/>
      <w:lvlJc w:val="left"/>
      <w:pPr>
        <w:ind w:left="1492" w:hanging="100"/>
      </w:pPr>
      <w:rPr>
        <w:rFonts w:hint="default"/>
      </w:rPr>
    </w:lvl>
    <w:lvl w:ilvl="6" w:tplc="C01ED166">
      <w:numFmt w:val="bullet"/>
      <w:lvlText w:val="•"/>
      <w:lvlJc w:val="left"/>
      <w:pPr>
        <w:ind w:left="1758" w:hanging="100"/>
      </w:pPr>
      <w:rPr>
        <w:rFonts w:hint="default"/>
      </w:rPr>
    </w:lvl>
    <w:lvl w:ilvl="7" w:tplc="BECC26FC">
      <w:numFmt w:val="bullet"/>
      <w:lvlText w:val="•"/>
      <w:lvlJc w:val="left"/>
      <w:pPr>
        <w:ind w:left="2024" w:hanging="100"/>
      </w:pPr>
      <w:rPr>
        <w:rFonts w:hint="default"/>
      </w:rPr>
    </w:lvl>
    <w:lvl w:ilvl="8" w:tplc="E7483190">
      <w:numFmt w:val="bullet"/>
      <w:lvlText w:val="•"/>
      <w:lvlJc w:val="left"/>
      <w:pPr>
        <w:ind w:left="2291" w:hanging="100"/>
      </w:pPr>
      <w:rPr>
        <w:rFonts w:hint="default"/>
      </w:rPr>
    </w:lvl>
  </w:abstractNum>
  <w:abstractNum w:abstractNumId="791" w15:restartNumberingAfterBreak="0">
    <w:nsid w:val="32201FED"/>
    <w:multiLevelType w:val="hybridMultilevel"/>
    <w:tmpl w:val="22405480"/>
    <w:lvl w:ilvl="0" w:tplc="4A9A793E">
      <w:numFmt w:val="bullet"/>
      <w:lvlText w:val=""/>
      <w:lvlJc w:val="left"/>
      <w:pPr>
        <w:ind w:left="157" w:hanging="100"/>
      </w:pPr>
      <w:rPr>
        <w:rFonts w:ascii="Symbol" w:eastAsia="Symbol" w:hAnsi="Symbol" w:cs="Symbol" w:hint="default"/>
        <w:color w:val="231F20"/>
        <w:w w:val="100"/>
        <w:sz w:val="14"/>
        <w:szCs w:val="14"/>
      </w:rPr>
    </w:lvl>
    <w:lvl w:ilvl="1" w:tplc="D4D23B74">
      <w:numFmt w:val="bullet"/>
      <w:lvlText w:val="•"/>
      <w:lvlJc w:val="left"/>
      <w:pPr>
        <w:ind w:left="426" w:hanging="100"/>
      </w:pPr>
      <w:rPr>
        <w:rFonts w:hint="default"/>
      </w:rPr>
    </w:lvl>
    <w:lvl w:ilvl="2" w:tplc="1C7655E8">
      <w:numFmt w:val="bullet"/>
      <w:lvlText w:val="•"/>
      <w:lvlJc w:val="left"/>
      <w:pPr>
        <w:ind w:left="692" w:hanging="100"/>
      </w:pPr>
      <w:rPr>
        <w:rFonts w:hint="default"/>
      </w:rPr>
    </w:lvl>
    <w:lvl w:ilvl="3" w:tplc="28C46EF4">
      <w:numFmt w:val="bullet"/>
      <w:lvlText w:val="•"/>
      <w:lvlJc w:val="left"/>
      <w:pPr>
        <w:ind w:left="959" w:hanging="100"/>
      </w:pPr>
      <w:rPr>
        <w:rFonts w:hint="default"/>
      </w:rPr>
    </w:lvl>
    <w:lvl w:ilvl="4" w:tplc="1FE6FAA4">
      <w:numFmt w:val="bullet"/>
      <w:lvlText w:val="•"/>
      <w:lvlJc w:val="left"/>
      <w:pPr>
        <w:ind w:left="1225" w:hanging="100"/>
      </w:pPr>
      <w:rPr>
        <w:rFonts w:hint="default"/>
      </w:rPr>
    </w:lvl>
    <w:lvl w:ilvl="5" w:tplc="FFD65738">
      <w:numFmt w:val="bullet"/>
      <w:lvlText w:val="•"/>
      <w:lvlJc w:val="left"/>
      <w:pPr>
        <w:ind w:left="1492" w:hanging="100"/>
      </w:pPr>
      <w:rPr>
        <w:rFonts w:hint="default"/>
      </w:rPr>
    </w:lvl>
    <w:lvl w:ilvl="6" w:tplc="7BA83A88">
      <w:numFmt w:val="bullet"/>
      <w:lvlText w:val="•"/>
      <w:lvlJc w:val="left"/>
      <w:pPr>
        <w:ind w:left="1758" w:hanging="100"/>
      </w:pPr>
      <w:rPr>
        <w:rFonts w:hint="default"/>
      </w:rPr>
    </w:lvl>
    <w:lvl w:ilvl="7" w:tplc="045A2C5C">
      <w:numFmt w:val="bullet"/>
      <w:lvlText w:val="•"/>
      <w:lvlJc w:val="left"/>
      <w:pPr>
        <w:ind w:left="2024" w:hanging="100"/>
      </w:pPr>
      <w:rPr>
        <w:rFonts w:hint="default"/>
      </w:rPr>
    </w:lvl>
    <w:lvl w:ilvl="8" w:tplc="1776628A">
      <w:numFmt w:val="bullet"/>
      <w:lvlText w:val="•"/>
      <w:lvlJc w:val="left"/>
      <w:pPr>
        <w:ind w:left="2291" w:hanging="100"/>
      </w:pPr>
      <w:rPr>
        <w:rFonts w:hint="default"/>
      </w:rPr>
    </w:lvl>
  </w:abstractNum>
  <w:abstractNum w:abstractNumId="792" w15:restartNumberingAfterBreak="0">
    <w:nsid w:val="322C0354"/>
    <w:multiLevelType w:val="hybridMultilevel"/>
    <w:tmpl w:val="BDD2CE54"/>
    <w:lvl w:ilvl="0" w:tplc="020E395E">
      <w:numFmt w:val="bullet"/>
      <w:lvlText w:val=""/>
      <w:lvlJc w:val="left"/>
      <w:pPr>
        <w:ind w:left="156" w:hanging="100"/>
      </w:pPr>
      <w:rPr>
        <w:rFonts w:ascii="Symbol" w:eastAsia="Symbol" w:hAnsi="Symbol" w:cs="Symbol" w:hint="default"/>
        <w:color w:val="231F20"/>
        <w:w w:val="100"/>
        <w:sz w:val="14"/>
        <w:szCs w:val="14"/>
      </w:rPr>
    </w:lvl>
    <w:lvl w:ilvl="1" w:tplc="591AB762">
      <w:numFmt w:val="bullet"/>
      <w:lvlText w:val="•"/>
      <w:lvlJc w:val="left"/>
      <w:pPr>
        <w:ind w:left="398" w:hanging="100"/>
      </w:pPr>
      <w:rPr>
        <w:rFonts w:hint="default"/>
      </w:rPr>
    </w:lvl>
    <w:lvl w:ilvl="2" w:tplc="C9F2DBB4">
      <w:numFmt w:val="bullet"/>
      <w:lvlText w:val="•"/>
      <w:lvlJc w:val="left"/>
      <w:pPr>
        <w:ind w:left="636" w:hanging="100"/>
      </w:pPr>
      <w:rPr>
        <w:rFonts w:hint="default"/>
      </w:rPr>
    </w:lvl>
    <w:lvl w:ilvl="3" w:tplc="37DEC638">
      <w:numFmt w:val="bullet"/>
      <w:lvlText w:val="•"/>
      <w:lvlJc w:val="left"/>
      <w:pPr>
        <w:ind w:left="874" w:hanging="100"/>
      </w:pPr>
      <w:rPr>
        <w:rFonts w:hint="default"/>
      </w:rPr>
    </w:lvl>
    <w:lvl w:ilvl="4" w:tplc="E78A5354">
      <w:numFmt w:val="bullet"/>
      <w:lvlText w:val="•"/>
      <w:lvlJc w:val="left"/>
      <w:pPr>
        <w:ind w:left="1112" w:hanging="100"/>
      </w:pPr>
      <w:rPr>
        <w:rFonts w:hint="default"/>
      </w:rPr>
    </w:lvl>
    <w:lvl w:ilvl="5" w:tplc="163EA18E">
      <w:numFmt w:val="bullet"/>
      <w:lvlText w:val="•"/>
      <w:lvlJc w:val="left"/>
      <w:pPr>
        <w:ind w:left="1350" w:hanging="100"/>
      </w:pPr>
      <w:rPr>
        <w:rFonts w:hint="default"/>
      </w:rPr>
    </w:lvl>
    <w:lvl w:ilvl="6" w:tplc="6B227CB8">
      <w:numFmt w:val="bullet"/>
      <w:lvlText w:val="•"/>
      <w:lvlJc w:val="left"/>
      <w:pPr>
        <w:ind w:left="1588" w:hanging="100"/>
      </w:pPr>
      <w:rPr>
        <w:rFonts w:hint="default"/>
      </w:rPr>
    </w:lvl>
    <w:lvl w:ilvl="7" w:tplc="01600C38">
      <w:numFmt w:val="bullet"/>
      <w:lvlText w:val="•"/>
      <w:lvlJc w:val="left"/>
      <w:pPr>
        <w:ind w:left="1826" w:hanging="100"/>
      </w:pPr>
      <w:rPr>
        <w:rFonts w:hint="default"/>
      </w:rPr>
    </w:lvl>
    <w:lvl w:ilvl="8" w:tplc="0032F638">
      <w:numFmt w:val="bullet"/>
      <w:lvlText w:val="•"/>
      <w:lvlJc w:val="left"/>
      <w:pPr>
        <w:ind w:left="2064" w:hanging="100"/>
      </w:pPr>
      <w:rPr>
        <w:rFonts w:hint="default"/>
      </w:rPr>
    </w:lvl>
  </w:abstractNum>
  <w:abstractNum w:abstractNumId="793" w15:restartNumberingAfterBreak="0">
    <w:nsid w:val="322D1B89"/>
    <w:multiLevelType w:val="hybridMultilevel"/>
    <w:tmpl w:val="22DA8938"/>
    <w:lvl w:ilvl="0" w:tplc="BC06B162">
      <w:numFmt w:val="bullet"/>
      <w:lvlText w:val=""/>
      <w:lvlJc w:val="left"/>
      <w:pPr>
        <w:ind w:left="157" w:hanging="100"/>
      </w:pPr>
      <w:rPr>
        <w:rFonts w:ascii="Symbol" w:eastAsia="Symbol" w:hAnsi="Symbol" w:cs="Symbol" w:hint="default"/>
        <w:color w:val="231F20"/>
        <w:w w:val="100"/>
        <w:sz w:val="14"/>
        <w:szCs w:val="14"/>
      </w:rPr>
    </w:lvl>
    <w:lvl w:ilvl="1" w:tplc="832A5E86">
      <w:numFmt w:val="bullet"/>
      <w:lvlText w:val="•"/>
      <w:lvlJc w:val="left"/>
      <w:pPr>
        <w:ind w:left="426" w:hanging="100"/>
      </w:pPr>
      <w:rPr>
        <w:rFonts w:hint="default"/>
      </w:rPr>
    </w:lvl>
    <w:lvl w:ilvl="2" w:tplc="B492C204">
      <w:numFmt w:val="bullet"/>
      <w:lvlText w:val="•"/>
      <w:lvlJc w:val="left"/>
      <w:pPr>
        <w:ind w:left="692" w:hanging="100"/>
      </w:pPr>
      <w:rPr>
        <w:rFonts w:hint="default"/>
      </w:rPr>
    </w:lvl>
    <w:lvl w:ilvl="3" w:tplc="A43C1BC8">
      <w:numFmt w:val="bullet"/>
      <w:lvlText w:val="•"/>
      <w:lvlJc w:val="left"/>
      <w:pPr>
        <w:ind w:left="959" w:hanging="100"/>
      </w:pPr>
      <w:rPr>
        <w:rFonts w:hint="default"/>
      </w:rPr>
    </w:lvl>
    <w:lvl w:ilvl="4" w:tplc="22100BBC">
      <w:numFmt w:val="bullet"/>
      <w:lvlText w:val="•"/>
      <w:lvlJc w:val="left"/>
      <w:pPr>
        <w:ind w:left="1225" w:hanging="100"/>
      </w:pPr>
      <w:rPr>
        <w:rFonts w:hint="default"/>
      </w:rPr>
    </w:lvl>
    <w:lvl w:ilvl="5" w:tplc="8B56F582">
      <w:numFmt w:val="bullet"/>
      <w:lvlText w:val="•"/>
      <w:lvlJc w:val="left"/>
      <w:pPr>
        <w:ind w:left="1492" w:hanging="100"/>
      </w:pPr>
      <w:rPr>
        <w:rFonts w:hint="default"/>
      </w:rPr>
    </w:lvl>
    <w:lvl w:ilvl="6" w:tplc="12280882">
      <w:numFmt w:val="bullet"/>
      <w:lvlText w:val="•"/>
      <w:lvlJc w:val="left"/>
      <w:pPr>
        <w:ind w:left="1758" w:hanging="100"/>
      </w:pPr>
      <w:rPr>
        <w:rFonts w:hint="default"/>
      </w:rPr>
    </w:lvl>
    <w:lvl w:ilvl="7" w:tplc="C1101588">
      <w:numFmt w:val="bullet"/>
      <w:lvlText w:val="•"/>
      <w:lvlJc w:val="left"/>
      <w:pPr>
        <w:ind w:left="2024" w:hanging="100"/>
      </w:pPr>
      <w:rPr>
        <w:rFonts w:hint="default"/>
      </w:rPr>
    </w:lvl>
    <w:lvl w:ilvl="8" w:tplc="4B16FC30">
      <w:numFmt w:val="bullet"/>
      <w:lvlText w:val="•"/>
      <w:lvlJc w:val="left"/>
      <w:pPr>
        <w:ind w:left="2291" w:hanging="100"/>
      </w:pPr>
      <w:rPr>
        <w:rFonts w:hint="default"/>
      </w:rPr>
    </w:lvl>
  </w:abstractNum>
  <w:abstractNum w:abstractNumId="794" w15:restartNumberingAfterBreak="0">
    <w:nsid w:val="323849FB"/>
    <w:multiLevelType w:val="hybridMultilevel"/>
    <w:tmpl w:val="CB3A0962"/>
    <w:lvl w:ilvl="0" w:tplc="35A2E0A8">
      <w:numFmt w:val="bullet"/>
      <w:lvlText w:val=""/>
      <w:lvlJc w:val="left"/>
      <w:pPr>
        <w:ind w:left="156" w:hanging="100"/>
      </w:pPr>
      <w:rPr>
        <w:rFonts w:ascii="Symbol" w:eastAsia="Symbol" w:hAnsi="Symbol" w:cs="Symbol" w:hint="default"/>
        <w:color w:val="231F20"/>
        <w:w w:val="100"/>
        <w:sz w:val="14"/>
        <w:szCs w:val="14"/>
      </w:rPr>
    </w:lvl>
    <w:lvl w:ilvl="1" w:tplc="2612F166">
      <w:numFmt w:val="bullet"/>
      <w:lvlText w:val="•"/>
      <w:lvlJc w:val="left"/>
      <w:pPr>
        <w:ind w:left="301" w:hanging="100"/>
      </w:pPr>
      <w:rPr>
        <w:rFonts w:hint="default"/>
      </w:rPr>
    </w:lvl>
    <w:lvl w:ilvl="2" w:tplc="65409CDE">
      <w:numFmt w:val="bullet"/>
      <w:lvlText w:val="•"/>
      <w:lvlJc w:val="left"/>
      <w:pPr>
        <w:ind w:left="443" w:hanging="100"/>
      </w:pPr>
      <w:rPr>
        <w:rFonts w:hint="default"/>
      </w:rPr>
    </w:lvl>
    <w:lvl w:ilvl="3" w:tplc="8A94DC82">
      <w:numFmt w:val="bullet"/>
      <w:lvlText w:val="•"/>
      <w:lvlJc w:val="left"/>
      <w:pPr>
        <w:ind w:left="585" w:hanging="100"/>
      </w:pPr>
      <w:rPr>
        <w:rFonts w:hint="default"/>
      </w:rPr>
    </w:lvl>
    <w:lvl w:ilvl="4" w:tplc="EB9ECDA0">
      <w:numFmt w:val="bullet"/>
      <w:lvlText w:val="•"/>
      <w:lvlJc w:val="left"/>
      <w:pPr>
        <w:ind w:left="726" w:hanging="100"/>
      </w:pPr>
      <w:rPr>
        <w:rFonts w:hint="default"/>
      </w:rPr>
    </w:lvl>
    <w:lvl w:ilvl="5" w:tplc="0226A8AC">
      <w:numFmt w:val="bullet"/>
      <w:lvlText w:val="•"/>
      <w:lvlJc w:val="left"/>
      <w:pPr>
        <w:ind w:left="868" w:hanging="100"/>
      </w:pPr>
      <w:rPr>
        <w:rFonts w:hint="default"/>
      </w:rPr>
    </w:lvl>
    <w:lvl w:ilvl="6" w:tplc="38E646CA">
      <w:numFmt w:val="bullet"/>
      <w:lvlText w:val="•"/>
      <w:lvlJc w:val="left"/>
      <w:pPr>
        <w:ind w:left="1010" w:hanging="100"/>
      </w:pPr>
      <w:rPr>
        <w:rFonts w:hint="default"/>
      </w:rPr>
    </w:lvl>
    <w:lvl w:ilvl="7" w:tplc="43D6D51A">
      <w:numFmt w:val="bullet"/>
      <w:lvlText w:val="•"/>
      <w:lvlJc w:val="left"/>
      <w:pPr>
        <w:ind w:left="1151" w:hanging="100"/>
      </w:pPr>
      <w:rPr>
        <w:rFonts w:hint="default"/>
      </w:rPr>
    </w:lvl>
    <w:lvl w:ilvl="8" w:tplc="F9B2B86E">
      <w:numFmt w:val="bullet"/>
      <w:lvlText w:val="•"/>
      <w:lvlJc w:val="left"/>
      <w:pPr>
        <w:ind w:left="1293" w:hanging="100"/>
      </w:pPr>
      <w:rPr>
        <w:rFonts w:hint="default"/>
      </w:rPr>
    </w:lvl>
  </w:abstractNum>
  <w:abstractNum w:abstractNumId="795" w15:restartNumberingAfterBreak="0">
    <w:nsid w:val="323C5BCD"/>
    <w:multiLevelType w:val="hybridMultilevel"/>
    <w:tmpl w:val="14C888B4"/>
    <w:lvl w:ilvl="0" w:tplc="D988ED7C">
      <w:numFmt w:val="bullet"/>
      <w:lvlText w:val=""/>
      <w:lvlJc w:val="left"/>
      <w:pPr>
        <w:ind w:left="156" w:hanging="100"/>
      </w:pPr>
      <w:rPr>
        <w:rFonts w:ascii="Symbol" w:eastAsia="Symbol" w:hAnsi="Symbol" w:cs="Symbol" w:hint="default"/>
        <w:color w:val="231F20"/>
        <w:w w:val="100"/>
        <w:sz w:val="14"/>
        <w:szCs w:val="14"/>
      </w:rPr>
    </w:lvl>
    <w:lvl w:ilvl="1" w:tplc="73D638FE">
      <w:numFmt w:val="bullet"/>
      <w:lvlText w:val="•"/>
      <w:lvlJc w:val="left"/>
      <w:pPr>
        <w:ind w:left="301" w:hanging="100"/>
      </w:pPr>
      <w:rPr>
        <w:rFonts w:hint="default"/>
      </w:rPr>
    </w:lvl>
    <w:lvl w:ilvl="2" w:tplc="D0EEF556">
      <w:numFmt w:val="bullet"/>
      <w:lvlText w:val="•"/>
      <w:lvlJc w:val="left"/>
      <w:pPr>
        <w:ind w:left="443" w:hanging="100"/>
      </w:pPr>
      <w:rPr>
        <w:rFonts w:hint="default"/>
      </w:rPr>
    </w:lvl>
    <w:lvl w:ilvl="3" w:tplc="80C8E9AC">
      <w:numFmt w:val="bullet"/>
      <w:lvlText w:val="•"/>
      <w:lvlJc w:val="left"/>
      <w:pPr>
        <w:ind w:left="585" w:hanging="100"/>
      </w:pPr>
      <w:rPr>
        <w:rFonts w:hint="default"/>
      </w:rPr>
    </w:lvl>
    <w:lvl w:ilvl="4" w:tplc="0DE6AF32">
      <w:numFmt w:val="bullet"/>
      <w:lvlText w:val="•"/>
      <w:lvlJc w:val="left"/>
      <w:pPr>
        <w:ind w:left="726" w:hanging="100"/>
      </w:pPr>
      <w:rPr>
        <w:rFonts w:hint="default"/>
      </w:rPr>
    </w:lvl>
    <w:lvl w:ilvl="5" w:tplc="8CE24ABE">
      <w:numFmt w:val="bullet"/>
      <w:lvlText w:val="•"/>
      <w:lvlJc w:val="left"/>
      <w:pPr>
        <w:ind w:left="868" w:hanging="100"/>
      </w:pPr>
      <w:rPr>
        <w:rFonts w:hint="default"/>
      </w:rPr>
    </w:lvl>
    <w:lvl w:ilvl="6" w:tplc="D2DA90E8">
      <w:numFmt w:val="bullet"/>
      <w:lvlText w:val="•"/>
      <w:lvlJc w:val="left"/>
      <w:pPr>
        <w:ind w:left="1010" w:hanging="100"/>
      </w:pPr>
      <w:rPr>
        <w:rFonts w:hint="default"/>
      </w:rPr>
    </w:lvl>
    <w:lvl w:ilvl="7" w:tplc="8FB0E998">
      <w:numFmt w:val="bullet"/>
      <w:lvlText w:val="•"/>
      <w:lvlJc w:val="left"/>
      <w:pPr>
        <w:ind w:left="1151" w:hanging="100"/>
      </w:pPr>
      <w:rPr>
        <w:rFonts w:hint="default"/>
      </w:rPr>
    </w:lvl>
    <w:lvl w:ilvl="8" w:tplc="0316A186">
      <w:numFmt w:val="bullet"/>
      <w:lvlText w:val="•"/>
      <w:lvlJc w:val="left"/>
      <w:pPr>
        <w:ind w:left="1293" w:hanging="100"/>
      </w:pPr>
      <w:rPr>
        <w:rFonts w:hint="default"/>
      </w:rPr>
    </w:lvl>
  </w:abstractNum>
  <w:abstractNum w:abstractNumId="796" w15:restartNumberingAfterBreak="0">
    <w:nsid w:val="323D7B27"/>
    <w:multiLevelType w:val="hybridMultilevel"/>
    <w:tmpl w:val="924019C8"/>
    <w:lvl w:ilvl="0" w:tplc="5D201014">
      <w:numFmt w:val="bullet"/>
      <w:lvlText w:val=""/>
      <w:lvlJc w:val="left"/>
      <w:pPr>
        <w:ind w:left="156" w:hanging="100"/>
      </w:pPr>
      <w:rPr>
        <w:rFonts w:ascii="Symbol" w:eastAsia="Symbol" w:hAnsi="Symbol" w:cs="Symbol" w:hint="default"/>
        <w:color w:val="231F20"/>
        <w:w w:val="100"/>
        <w:sz w:val="14"/>
        <w:szCs w:val="14"/>
      </w:rPr>
    </w:lvl>
    <w:lvl w:ilvl="1" w:tplc="21D2FCE2">
      <w:numFmt w:val="bullet"/>
      <w:lvlText w:val="•"/>
      <w:lvlJc w:val="left"/>
      <w:pPr>
        <w:ind w:left="454" w:hanging="100"/>
      </w:pPr>
      <w:rPr>
        <w:rFonts w:hint="default"/>
      </w:rPr>
    </w:lvl>
    <w:lvl w:ilvl="2" w:tplc="F306CE1C">
      <w:numFmt w:val="bullet"/>
      <w:lvlText w:val="•"/>
      <w:lvlJc w:val="left"/>
      <w:pPr>
        <w:ind w:left="749" w:hanging="100"/>
      </w:pPr>
      <w:rPr>
        <w:rFonts w:hint="default"/>
      </w:rPr>
    </w:lvl>
    <w:lvl w:ilvl="3" w:tplc="8F80CCA8">
      <w:numFmt w:val="bullet"/>
      <w:lvlText w:val="•"/>
      <w:lvlJc w:val="left"/>
      <w:pPr>
        <w:ind w:left="1044" w:hanging="100"/>
      </w:pPr>
      <w:rPr>
        <w:rFonts w:hint="default"/>
      </w:rPr>
    </w:lvl>
    <w:lvl w:ilvl="4" w:tplc="E35821C8">
      <w:numFmt w:val="bullet"/>
      <w:lvlText w:val="•"/>
      <w:lvlJc w:val="left"/>
      <w:pPr>
        <w:ind w:left="1339" w:hanging="100"/>
      </w:pPr>
      <w:rPr>
        <w:rFonts w:hint="default"/>
      </w:rPr>
    </w:lvl>
    <w:lvl w:ilvl="5" w:tplc="76922902">
      <w:numFmt w:val="bullet"/>
      <w:lvlText w:val="•"/>
      <w:lvlJc w:val="left"/>
      <w:pPr>
        <w:ind w:left="1634" w:hanging="100"/>
      </w:pPr>
      <w:rPr>
        <w:rFonts w:hint="default"/>
      </w:rPr>
    </w:lvl>
    <w:lvl w:ilvl="6" w:tplc="7FFC5AE6">
      <w:numFmt w:val="bullet"/>
      <w:lvlText w:val="•"/>
      <w:lvlJc w:val="left"/>
      <w:pPr>
        <w:ind w:left="1928" w:hanging="100"/>
      </w:pPr>
      <w:rPr>
        <w:rFonts w:hint="default"/>
      </w:rPr>
    </w:lvl>
    <w:lvl w:ilvl="7" w:tplc="BA8E6CB0">
      <w:numFmt w:val="bullet"/>
      <w:lvlText w:val="•"/>
      <w:lvlJc w:val="left"/>
      <w:pPr>
        <w:ind w:left="2223" w:hanging="100"/>
      </w:pPr>
      <w:rPr>
        <w:rFonts w:hint="default"/>
      </w:rPr>
    </w:lvl>
    <w:lvl w:ilvl="8" w:tplc="23C2318A">
      <w:numFmt w:val="bullet"/>
      <w:lvlText w:val="•"/>
      <w:lvlJc w:val="left"/>
      <w:pPr>
        <w:ind w:left="2518" w:hanging="100"/>
      </w:pPr>
      <w:rPr>
        <w:rFonts w:hint="default"/>
      </w:rPr>
    </w:lvl>
  </w:abstractNum>
  <w:abstractNum w:abstractNumId="797" w15:restartNumberingAfterBreak="0">
    <w:nsid w:val="32412034"/>
    <w:multiLevelType w:val="hybridMultilevel"/>
    <w:tmpl w:val="54B4D9B4"/>
    <w:lvl w:ilvl="0" w:tplc="47B08804">
      <w:numFmt w:val="bullet"/>
      <w:lvlText w:val=""/>
      <w:lvlJc w:val="left"/>
      <w:pPr>
        <w:ind w:left="156" w:hanging="100"/>
      </w:pPr>
      <w:rPr>
        <w:rFonts w:ascii="Symbol" w:eastAsia="Symbol" w:hAnsi="Symbol" w:cs="Symbol" w:hint="default"/>
        <w:color w:val="231F20"/>
        <w:w w:val="100"/>
        <w:sz w:val="14"/>
        <w:szCs w:val="14"/>
      </w:rPr>
    </w:lvl>
    <w:lvl w:ilvl="1" w:tplc="9D3809E0">
      <w:numFmt w:val="bullet"/>
      <w:lvlText w:val="•"/>
      <w:lvlJc w:val="left"/>
      <w:pPr>
        <w:ind w:left="454" w:hanging="100"/>
      </w:pPr>
      <w:rPr>
        <w:rFonts w:hint="default"/>
      </w:rPr>
    </w:lvl>
    <w:lvl w:ilvl="2" w:tplc="372C0C6C">
      <w:numFmt w:val="bullet"/>
      <w:lvlText w:val="•"/>
      <w:lvlJc w:val="left"/>
      <w:pPr>
        <w:ind w:left="749" w:hanging="100"/>
      </w:pPr>
      <w:rPr>
        <w:rFonts w:hint="default"/>
      </w:rPr>
    </w:lvl>
    <w:lvl w:ilvl="3" w:tplc="070C9C1C">
      <w:numFmt w:val="bullet"/>
      <w:lvlText w:val="•"/>
      <w:lvlJc w:val="left"/>
      <w:pPr>
        <w:ind w:left="1044" w:hanging="100"/>
      </w:pPr>
      <w:rPr>
        <w:rFonts w:hint="default"/>
      </w:rPr>
    </w:lvl>
    <w:lvl w:ilvl="4" w:tplc="7BFE5836">
      <w:numFmt w:val="bullet"/>
      <w:lvlText w:val="•"/>
      <w:lvlJc w:val="left"/>
      <w:pPr>
        <w:ind w:left="1339" w:hanging="100"/>
      </w:pPr>
      <w:rPr>
        <w:rFonts w:hint="default"/>
      </w:rPr>
    </w:lvl>
    <w:lvl w:ilvl="5" w:tplc="8EA4CB82">
      <w:numFmt w:val="bullet"/>
      <w:lvlText w:val="•"/>
      <w:lvlJc w:val="left"/>
      <w:pPr>
        <w:ind w:left="1634" w:hanging="100"/>
      </w:pPr>
      <w:rPr>
        <w:rFonts w:hint="default"/>
      </w:rPr>
    </w:lvl>
    <w:lvl w:ilvl="6" w:tplc="D9902A20">
      <w:numFmt w:val="bullet"/>
      <w:lvlText w:val="•"/>
      <w:lvlJc w:val="left"/>
      <w:pPr>
        <w:ind w:left="1928" w:hanging="100"/>
      </w:pPr>
      <w:rPr>
        <w:rFonts w:hint="default"/>
      </w:rPr>
    </w:lvl>
    <w:lvl w:ilvl="7" w:tplc="7A3CC658">
      <w:numFmt w:val="bullet"/>
      <w:lvlText w:val="•"/>
      <w:lvlJc w:val="left"/>
      <w:pPr>
        <w:ind w:left="2223" w:hanging="100"/>
      </w:pPr>
      <w:rPr>
        <w:rFonts w:hint="default"/>
      </w:rPr>
    </w:lvl>
    <w:lvl w:ilvl="8" w:tplc="98A2FE9A">
      <w:numFmt w:val="bullet"/>
      <w:lvlText w:val="•"/>
      <w:lvlJc w:val="left"/>
      <w:pPr>
        <w:ind w:left="2518" w:hanging="100"/>
      </w:pPr>
      <w:rPr>
        <w:rFonts w:hint="default"/>
      </w:rPr>
    </w:lvl>
  </w:abstractNum>
  <w:abstractNum w:abstractNumId="798" w15:restartNumberingAfterBreak="0">
    <w:nsid w:val="324364FB"/>
    <w:multiLevelType w:val="hybridMultilevel"/>
    <w:tmpl w:val="62501056"/>
    <w:lvl w:ilvl="0" w:tplc="F2789296">
      <w:numFmt w:val="bullet"/>
      <w:lvlText w:val=""/>
      <w:lvlJc w:val="left"/>
      <w:pPr>
        <w:ind w:left="157" w:hanging="100"/>
      </w:pPr>
      <w:rPr>
        <w:rFonts w:ascii="Symbol" w:eastAsia="Symbol" w:hAnsi="Symbol" w:cs="Symbol" w:hint="default"/>
        <w:color w:val="231F20"/>
        <w:w w:val="100"/>
        <w:sz w:val="14"/>
        <w:szCs w:val="14"/>
      </w:rPr>
    </w:lvl>
    <w:lvl w:ilvl="1" w:tplc="FBDAA5C2">
      <w:numFmt w:val="bullet"/>
      <w:lvlText w:val="•"/>
      <w:lvlJc w:val="left"/>
      <w:pPr>
        <w:ind w:left="426" w:hanging="100"/>
      </w:pPr>
      <w:rPr>
        <w:rFonts w:hint="default"/>
      </w:rPr>
    </w:lvl>
    <w:lvl w:ilvl="2" w:tplc="AD8C5F5C">
      <w:numFmt w:val="bullet"/>
      <w:lvlText w:val="•"/>
      <w:lvlJc w:val="left"/>
      <w:pPr>
        <w:ind w:left="692" w:hanging="100"/>
      </w:pPr>
      <w:rPr>
        <w:rFonts w:hint="default"/>
      </w:rPr>
    </w:lvl>
    <w:lvl w:ilvl="3" w:tplc="D08E8A8C">
      <w:numFmt w:val="bullet"/>
      <w:lvlText w:val="•"/>
      <w:lvlJc w:val="left"/>
      <w:pPr>
        <w:ind w:left="959" w:hanging="100"/>
      </w:pPr>
      <w:rPr>
        <w:rFonts w:hint="default"/>
      </w:rPr>
    </w:lvl>
    <w:lvl w:ilvl="4" w:tplc="B7ACB9F4">
      <w:numFmt w:val="bullet"/>
      <w:lvlText w:val="•"/>
      <w:lvlJc w:val="left"/>
      <w:pPr>
        <w:ind w:left="1225" w:hanging="100"/>
      </w:pPr>
      <w:rPr>
        <w:rFonts w:hint="default"/>
      </w:rPr>
    </w:lvl>
    <w:lvl w:ilvl="5" w:tplc="3A345FE6">
      <w:numFmt w:val="bullet"/>
      <w:lvlText w:val="•"/>
      <w:lvlJc w:val="left"/>
      <w:pPr>
        <w:ind w:left="1492" w:hanging="100"/>
      </w:pPr>
      <w:rPr>
        <w:rFonts w:hint="default"/>
      </w:rPr>
    </w:lvl>
    <w:lvl w:ilvl="6" w:tplc="6E0A17D4">
      <w:numFmt w:val="bullet"/>
      <w:lvlText w:val="•"/>
      <w:lvlJc w:val="left"/>
      <w:pPr>
        <w:ind w:left="1758" w:hanging="100"/>
      </w:pPr>
      <w:rPr>
        <w:rFonts w:hint="default"/>
      </w:rPr>
    </w:lvl>
    <w:lvl w:ilvl="7" w:tplc="A5961AB8">
      <w:numFmt w:val="bullet"/>
      <w:lvlText w:val="•"/>
      <w:lvlJc w:val="left"/>
      <w:pPr>
        <w:ind w:left="2024" w:hanging="100"/>
      </w:pPr>
      <w:rPr>
        <w:rFonts w:hint="default"/>
      </w:rPr>
    </w:lvl>
    <w:lvl w:ilvl="8" w:tplc="795E7AF4">
      <w:numFmt w:val="bullet"/>
      <w:lvlText w:val="•"/>
      <w:lvlJc w:val="left"/>
      <w:pPr>
        <w:ind w:left="2291" w:hanging="100"/>
      </w:pPr>
      <w:rPr>
        <w:rFonts w:hint="default"/>
      </w:rPr>
    </w:lvl>
  </w:abstractNum>
  <w:abstractNum w:abstractNumId="799" w15:restartNumberingAfterBreak="0">
    <w:nsid w:val="32495E9A"/>
    <w:multiLevelType w:val="hybridMultilevel"/>
    <w:tmpl w:val="2E18ADF6"/>
    <w:lvl w:ilvl="0" w:tplc="491AE87A">
      <w:numFmt w:val="bullet"/>
      <w:lvlText w:val=""/>
      <w:lvlJc w:val="left"/>
      <w:pPr>
        <w:ind w:left="157" w:hanging="100"/>
      </w:pPr>
      <w:rPr>
        <w:rFonts w:ascii="Symbol" w:eastAsia="Symbol" w:hAnsi="Symbol" w:cs="Symbol" w:hint="default"/>
        <w:color w:val="231F20"/>
        <w:w w:val="100"/>
        <w:sz w:val="14"/>
        <w:szCs w:val="14"/>
      </w:rPr>
    </w:lvl>
    <w:lvl w:ilvl="1" w:tplc="129EB34C">
      <w:numFmt w:val="bullet"/>
      <w:lvlText w:val="•"/>
      <w:lvlJc w:val="left"/>
      <w:pPr>
        <w:ind w:left="426" w:hanging="100"/>
      </w:pPr>
      <w:rPr>
        <w:rFonts w:hint="default"/>
      </w:rPr>
    </w:lvl>
    <w:lvl w:ilvl="2" w:tplc="0352B1EC">
      <w:numFmt w:val="bullet"/>
      <w:lvlText w:val="•"/>
      <w:lvlJc w:val="left"/>
      <w:pPr>
        <w:ind w:left="692" w:hanging="100"/>
      </w:pPr>
      <w:rPr>
        <w:rFonts w:hint="default"/>
      </w:rPr>
    </w:lvl>
    <w:lvl w:ilvl="3" w:tplc="3684C1C4">
      <w:numFmt w:val="bullet"/>
      <w:lvlText w:val="•"/>
      <w:lvlJc w:val="left"/>
      <w:pPr>
        <w:ind w:left="959" w:hanging="100"/>
      </w:pPr>
      <w:rPr>
        <w:rFonts w:hint="default"/>
      </w:rPr>
    </w:lvl>
    <w:lvl w:ilvl="4" w:tplc="0DE0AA8E">
      <w:numFmt w:val="bullet"/>
      <w:lvlText w:val="•"/>
      <w:lvlJc w:val="left"/>
      <w:pPr>
        <w:ind w:left="1225" w:hanging="100"/>
      </w:pPr>
      <w:rPr>
        <w:rFonts w:hint="default"/>
      </w:rPr>
    </w:lvl>
    <w:lvl w:ilvl="5" w:tplc="7B26F226">
      <w:numFmt w:val="bullet"/>
      <w:lvlText w:val="•"/>
      <w:lvlJc w:val="left"/>
      <w:pPr>
        <w:ind w:left="1492" w:hanging="100"/>
      </w:pPr>
      <w:rPr>
        <w:rFonts w:hint="default"/>
      </w:rPr>
    </w:lvl>
    <w:lvl w:ilvl="6" w:tplc="32901430">
      <w:numFmt w:val="bullet"/>
      <w:lvlText w:val="•"/>
      <w:lvlJc w:val="left"/>
      <w:pPr>
        <w:ind w:left="1758" w:hanging="100"/>
      </w:pPr>
      <w:rPr>
        <w:rFonts w:hint="default"/>
      </w:rPr>
    </w:lvl>
    <w:lvl w:ilvl="7" w:tplc="EF60B5EA">
      <w:numFmt w:val="bullet"/>
      <w:lvlText w:val="•"/>
      <w:lvlJc w:val="left"/>
      <w:pPr>
        <w:ind w:left="2024" w:hanging="100"/>
      </w:pPr>
      <w:rPr>
        <w:rFonts w:hint="default"/>
      </w:rPr>
    </w:lvl>
    <w:lvl w:ilvl="8" w:tplc="688E88B8">
      <w:numFmt w:val="bullet"/>
      <w:lvlText w:val="•"/>
      <w:lvlJc w:val="left"/>
      <w:pPr>
        <w:ind w:left="2291" w:hanging="100"/>
      </w:pPr>
      <w:rPr>
        <w:rFonts w:hint="default"/>
      </w:rPr>
    </w:lvl>
  </w:abstractNum>
  <w:abstractNum w:abstractNumId="800" w15:restartNumberingAfterBreak="0">
    <w:nsid w:val="324D701D"/>
    <w:multiLevelType w:val="hybridMultilevel"/>
    <w:tmpl w:val="B5E0028C"/>
    <w:lvl w:ilvl="0" w:tplc="EBFCEB64">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1DEC602C">
      <w:numFmt w:val="bullet"/>
      <w:lvlText w:val="•"/>
      <w:lvlJc w:val="left"/>
      <w:pPr>
        <w:ind w:left="408" w:hanging="84"/>
      </w:pPr>
      <w:rPr>
        <w:rFonts w:hint="default"/>
      </w:rPr>
    </w:lvl>
    <w:lvl w:ilvl="2" w:tplc="D654CC1E">
      <w:numFmt w:val="bullet"/>
      <w:lvlText w:val="•"/>
      <w:lvlJc w:val="left"/>
      <w:pPr>
        <w:ind w:left="676" w:hanging="84"/>
      </w:pPr>
      <w:rPr>
        <w:rFonts w:hint="default"/>
      </w:rPr>
    </w:lvl>
    <w:lvl w:ilvl="3" w:tplc="5088075E">
      <w:numFmt w:val="bullet"/>
      <w:lvlText w:val="•"/>
      <w:lvlJc w:val="left"/>
      <w:pPr>
        <w:ind w:left="945" w:hanging="84"/>
      </w:pPr>
      <w:rPr>
        <w:rFonts w:hint="default"/>
      </w:rPr>
    </w:lvl>
    <w:lvl w:ilvl="4" w:tplc="DBC46B2A">
      <w:numFmt w:val="bullet"/>
      <w:lvlText w:val="•"/>
      <w:lvlJc w:val="left"/>
      <w:pPr>
        <w:ind w:left="1213" w:hanging="84"/>
      </w:pPr>
      <w:rPr>
        <w:rFonts w:hint="default"/>
      </w:rPr>
    </w:lvl>
    <w:lvl w:ilvl="5" w:tplc="A4E6AE84">
      <w:numFmt w:val="bullet"/>
      <w:lvlText w:val="•"/>
      <w:lvlJc w:val="left"/>
      <w:pPr>
        <w:ind w:left="1482" w:hanging="84"/>
      </w:pPr>
      <w:rPr>
        <w:rFonts w:hint="default"/>
      </w:rPr>
    </w:lvl>
    <w:lvl w:ilvl="6" w:tplc="814E3512">
      <w:numFmt w:val="bullet"/>
      <w:lvlText w:val="•"/>
      <w:lvlJc w:val="left"/>
      <w:pPr>
        <w:ind w:left="1750" w:hanging="84"/>
      </w:pPr>
      <w:rPr>
        <w:rFonts w:hint="default"/>
      </w:rPr>
    </w:lvl>
    <w:lvl w:ilvl="7" w:tplc="830036A4">
      <w:numFmt w:val="bullet"/>
      <w:lvlText w:val="•"/>
      <w:lvlJc w:val="left"/>
      <w:pPr>
        <w:ind w:left="2018" w:hanging="84"/>
      </w:pPr>
      <w:rPr>
        <w:rFonts w:hint="default"/>
      </w:rPr>
    </w:lvl>
    <w:lvl w:ilvl="8" w:tplc="A560CD6C">
      <w:numFmt w:val="bullet"/>
      <w:lvlText w:val="•"/>
      <w:lvlJc w:val="left"/>
      <w:pPr>
        <w:ind w:left="2287" w:hanging="84"/>
      </w:pPr>
      <w:rPr>
        <w:rFonts w:hint="default"/>
      </w:rPr>
    </w:lvl>
  </w:abstractNum>
  <w:abstractNum w:abstractNumId="801" w15:restartNumberingAfterBreak="0">
    <w:nsid w:val="32633F18"/>
    <w:multiLevelType w:val="hybridMultilevel"/>
    <w:tmpl w:val="543E4512"/>
    <w:lvl w:ilvl="0" w:tplc="3E4C42D8">
      <w:numFmt w:val="bullet"/>
      <w:lvlText w:val=""/>
      <w:lvlJc w:val="left"/>
      <w:pPr>
        <w:ind w:left="156" w:hanging="100"/>
      </w:pPr>
      <w:rPr>
        <w:rFonts w:ascii="Symbol" w:eastAsia="Symbol" w:hAnsi="Symbol" w:cs="Symbol" w:hint="default"/>
        <w:color w:val="231F20"/>
        <w:w w:val="100"/>
        <w:sz w:val="14"/>
        <w:szCs w:val="14"/>
      </w:rPr>
    </w:lvl>
    <w:lvl w:ilvl="1" w:tplc="DD405CB2">
      <w:numFmt w:val="bullet"/>
      <w:lvlText w:val="•"/>
      <w:lvlJc w:val="left"/>
      <w:pPr>
        <w:ind w:left="301" w:hanging="100"/>
      </w:pPr>
      <w:rPr>
        <w:rFonts w:hint="default"/>
      </w:rPr>
    </w:lvl>
    <w:lvl w:ilvl="2" w:tplc="778A8F30">
      <w:numFmt w:val="bullet"/>
      <w:lvlText w:val="•"/>
      <w:lvlJc w:val="left"/>
      <w:pPr>
        <w:ind w:left="443" w:hanging="100"/>
      </w:pPr>
      <w:rPr>
        <w:rFonts w:hint="default"/>
      </w:rPr>
    </w:lvl>
    <w:lvl w:ilvl="3" w:tplc="8A78ABAA">
      <w:numFmt w:val="bullet"/>
      <w:lvlText w:val="•"/>
      <w:lvlJc w:val="left"/>
      <w:pPr>
        <w:ind w:left="585" w:hanging="100"/>
      </w:pPr>
      <w:rPr>
        <w:rFonts w:hint="default"/>
      </w:rPr>
    </w:lvl>
    <w:lvl w:ilvl="4" w:tplc="141CBD5C">
      <w:numFmt w:val="bullet"/>
      <w:lvlText w:val="•"/>
      <w:lvlJc w:val="left"/>
      <w:pPr>
        <w:ind w:left="726" w:hanging="100"/>
      </w:pPr>
      <w:rPr>
        <w:rFonts w:hint="default"/>
      </w:rPr>
    </w:lvl>
    <w:lvl w:ilvl="5" w:tplc="F5B01D4E">
      <w:numFmt w:val="bullet"/>
      <w:lvlText w:val="•"/>
      <w:lvlJc w:val="left"/>
      <w:pPr>
        <w:ind w:left="868" w:hanging="100"/>
      </w:pPr>
      <w:rPr>
        <w:rFonts w:hint="default"/>
      </w:rPr>
    </w:lvl>
    <w:lvl w:ilvl="6" w:tplc="A41E89FE">
      <w:numFmt w:val="bullet"/>
      <w:lvlText w:val="•"/>
      <w:lvlJc w:val="left"/>
      <w:pPr>
        <w:ind w:left="1010" w:hanging="100"/>
      </w:pPr>
      <w:rPr>
        <w:rFonts w:hint="default"/>
      </w:rPr>
    </w:lvl>
    <w:lvl w:ilvl="7" w:tplc="6C5ED508">
      <w:numFmt w:val="bullet"/>
      <w:lvlText w:val="•"/>
      <w:lvlJc w:val="left"/>
      <w:pPr>
        <w:ind w:left="1151" w:hanging="100"/>
      </w:pPr>
      <w:rPr>
        <w:rFonts w:hint="default"/>
      </w:rPr>
    </w:lvl>
    <w:lvl w:ilvl="8" w:tplc="0F56CD42">
      <w:numFmt w:val="bullet"/>
      <w:lvlText w:val="•"/>
      <w:lvlJc w:val="left"/>
      <w:pPr>
        <w:ind w:left="1293" w:hanging="100"/>
      </w:pPr>
      <w:rPr>
        <w:rFonts w:hint="default"/>
      </w:rPr>
    </w:lvl>
  </w:abstractNum>
  <w:abstractNum w:abstractNumId="802" w15:restartNumberingAfterBreak="0">
    <w:nsid w:val="326E5426"/>
    <w:multiLevelType w:val="hybridMultilevel"/>
    <w:tmpl w:val="DABCDBA8"/>
    <w:lvl w:ilvl="0" w:tplc="7FAC4F98">
      <w:numFmt w:val="bullet"/>
      <w:lvlText w:val=""/>
      <w:lvlJc w:val="left"/>
      <w:pPr>
        <w:ind w:left="156" w:hanging="100"/>
      </w:pPr>
      <w:rPr>
        <w:rFonts w:ascii="Symbol" w:eastAsia="Symbol" w:hAnsi="Symbol" w:cs="Symbol" w:hint="default"/>
        <w:color w:val="231F20"/>
        <w:w w:val="100"/>
        <w:sz w:val="14"/>
        <w:szCs w:val="14"/>
      </w:rPr>
    </w:lvl>
    <w:lvl w:ilvl="1" w:tplc="0A8AA07A">
      <w:numFmt w:val="bullet"/>
      <w:lvlText w:val="•"/>
      <w:lvlJc w:val="left"/>
      <w:pPr>
        <w:ind w:left="301" w:hanging="100"/>
      </w:pPr>
      <w:rPr>
        <w:rFonts w:hint="default"/>
      </w:rPr>
    </w:lvl>
    <w:lvl w:ilvl="2" w:tplc="DFE61236">
      <w:numFmt w:val="bullet"/>
      <w:lvlText w:val="•"/>
      <w:lvlJc w:val="left"/>
      <w:pPr>
        <w:ind w:left="443" w:hanging="100"/>
      </w:pPr>
      <w:rPr>
        <w:rFonts w:hint="default"/>
      </w:rPr>
    </w:lvl>
    <w:lvl w:ilvl="3" w:tplc="E918D150">
      <w:numFmt w:val="bullet"/>
      <w:lvlText w:val="•"/>
      <w:lvlJc w:val="left"/>
      <w:pPr>
        <w:ind w:left="585" w:hanging="100"/>
      </w:pPr>
      <w:rPr>
        <w:rFonts w:hint="default"/>
      </w:rPr>
    </w:lvl>
    <w:lvl w:ilvl="4" w:tplc="64E8848C">
      <w:numFmt w:val="bullet"/>
      <w:lvlText w:val="•"/>
      <w:lvlJc w:val="left"/>
      <w:pPr>
        <w:ind w:left="726" w:hanging="100"/>
      </w:pPr>
      <w:rPr>
        <w:rFonts w:hint="default"/>
      </w:rPr>
    </w:lvl>
    <w:lvl w:ilvl="5" w:tplc="670E0130">
      <w:numFmt w:val="bullet"/>
      <w:lvlText w:val="•"/>
      <w:lvlJc w:val="left"/>
      <w:pPr>
        <w:ind w:left="868" w:hanging="100"/>
      </w:pPr>
      <w:rPr>
        <w:rFonts w:hint="default"/>
      </w:rPr>
    </w:lvl>
    <w:lvl w:ilvl="6" w:tplc="DF066F92">
      <w:numFmt w:val="bullet"/>
      <w:lvlText w:val="•"/>
      <w:lvlJc w:val="left"/>
      <w:pPr>
        <w:ind w:left="1010" w:hanging="100"/>
      </w:pPr>
      <w:rPr>
        <w:rFonts w:hint="default"/>
      </w:rPr>
    </w:lvl>
    <w:lvl w:ilvl="7" w:tplc="9E801B3E">
      <w:numFmt w:val="bullet"/>
      <w:lvlText w:val="•"/>
      <w:lvlJc w:val="left"/>
      <w:pPr>
        <w:ind w:left="1151" w:hanging="100"/>
      </w:pPr>
      <w:rPr>
        <w:rFonts w:hint="default"/>
      </w:rPr>
    </w:lvl>
    <w:lvl w:ilvl="8" w:tplc="83A6EE24">
      <w:numFmt w:val="bullet"/>
      <w:lvlText w:val="•"/>
      <w:lvlJc w:val="left"/>
      <w:pPr>
        <w:ind w:left="1293" w:hanging="100"/>
      </w:pPr>
      <w:rPr>
        <w:rFonts w:hint="default"/>
      </w:rPr>
    </w:lvl>
  </w:abstractNum>
  <w:abstractNum w:abstractNumId="803" w15:restartNumberingAfterBreak="0">
    <w:nsid w:val="328D07A5"/>
    <w:multiLevelType w:val="hybridMultilevel"/>
    <w:tmpl w:val="D53844E0"/>
    <w:lvl w:ilvl="0" w:tplc="94D8B1B8">
      <w:numFmt w:val="bullet"/>
      <w:lvlText w:val=""/>
      <w:lvlJc w:val="left"/>
      <w:pPr>
        <w:ind w:left="156" w:hanging="100"/>
      </w:pPr>
      <w:rPr>
        <w:rFonts w:ascii="Symbol" w:eastAsia="Symbol" w:hAnsi="Symbol" w:cs="Symbol" w:hint="default"/>
        <w:color w:val="231F20"/>
        <w:w w:val="100"/>
        <w:sz w:val="14"/>
        <w:szCs w:val="14"/>
      </w:rPr>
    </w:lvl>
    <w:lvl w:ilvl="1" w:tplc="967C8D52">
      <w:numFmt w:val="bullet"/>
      <w:lvlText w:val="•"/>
      <w:lvlJc w:val="left"/>
      <w:pPr>
        <w:ind w:left="426" w:hanging="100"/>
      </w:pPr>
      <w:rPr>
        <w:rFonts w:hint="default"/>
      </w:rPr>
    </w:lvl>
    <w:lvl w:ilvl="2" w:tplc="248C641A">
      <w:numFmt w:val="bullet"/>
      <w:lvlText w:val="•"/>
      <w:lvlJc w:val="left"/>
      <w:pPr>
        <w:ind w:left="692" w:hanging="100"/>
      </w:pPr>
      <w:rPr>
        <w:rFonts w:hint="default"/>
      </w:rPr>
    </w:lvl>
    <w:lvl w:ilvl="3" w:tplc="9B6AA5A4">
      <w:numFmt w:val="bullet"/>
      <w:lvlText w:val="•"/>
      <w:lvlJc w:val="left"/>
      <w:pPr>
        <w:ind w:left="959" w:hanging="100"/>
      </w:pPr>
      <w:rPr>
        <w:rFonts w:hint="default"/>
      </w:rPr>
    </w:lvl>
    <w:lvl w:ilvl="4" w:tplc="24728C10">
      <w:numFmt w:val="bullet"/>
      <w:lvlText w:val="•"/>
      <w:lvlJc w:val="left"/>
      <w:pPr>
        <w:ind w:left="1225" w:hanging="100"/>
      </w:pPr>
      <w:rPr>
        <w:rFonts w:hint="default"/>
      </w:rPr>
    </w:lvl>
    <w:lvl w:ilvl="5" w:tplc="E800C836">
      <w:numFmt w:val="bullet"/>
      <w:lvlText w:val="•"/>
      <w:lvlJc w:val="left"/>
      <w:pPr>
        <w:ind w:left="1492" w:hanging="100"/>
      </w:pPr>
      <w:rPr>
        <w:rFonts w:hint="default"/>
      </w:rPr>
    </w:lvl>
    <w:lvl w:ilvl="6" w:tplc="52FE5B0A">
      <w:numFmt w:val="bullet"/>
      <w:lvlText w:val="•"/>
      <w:lvlJc w:val="left"/>
      <w:pPr>
        <w:ind w:left="1758" w:hanging="100"/>
      </w:pPr>
      <w:rPr>
        <w:rFonts w:hint="default"/>
      </w:rPr>
    </w:lvl>
    <w:lvl w:ilvl="7" w:tplc="1360C398">
      <w:numFmt w:val="bullet"/>
      <w:lvlText w:val="•"/>
      <w:lvlJc w:val="left"/>
      <w:pPr>
        <w:ind w:left="2024" w:hanging="100"/>
      </w:pPr>
      <w:rPr>
        <w:rFonts w:hint="default"/>
      </w:rPr>
    </w:lvl>
    <w:lvl w:ilvl="8" w:tplc="587C24FA">
      <w:numFmt w:val="bullet"/>
      <w:lvlText w:val="•"/>
      <w:lvlJc w:val="left"/>
      <w:pPr>
        <w:ind w:left="2291" w:hanging="100"/>
      </w:pPr>
      <w:rPr>
        <w:rFonts w:hint="default"/>
      </w:rPr>
    </w:lvl>
  </w:abstractNum>
  <w:abstractNum w:abstractNumId="804" w15:restartNumberingAfterBreak="0">
    <w:nsid w:val="328D10E8"/>
    <w:multiLevelType w:val="hybridMultilevel"/>
    <w:tmpl w:val="6F4AC47E"/>
    <w:lvl w:ilvl="0" w:tplc="ABA69F70">
      <w:numFmt w:val="bullet"/>
      <w:lvlText w:val=""/>
      <w:lvlJc w:val="left"/>
      <w:pPr>
        <w:ind w:left="156" w:hanging="100"/>
      </w:pPr>
      <w:rPr>
        <w:rFonts w:ascii="Symbol" w:eastAsia="Symbol" w:hAnsi="Symbol" w:cs="Symbol" w:hint="default"/>
        <w:color w:val="231F20"/>
        <w:w w:val="100"/>
        <w:sz w:val="14"/>
        <w:szCs w:val="14"/>
      </w:rPr>
    </w:lvl>
    <w:lvl w:ilvl="1" w:tplc="2B5A6740">
      <w:numFmt w:val="bullet"/>
      <w:lvlText w:val="•"/>
      <w:lvlJc w:val="left"/>
      <w:pPr>
        <w:ind w:left="398" w:hanging="100"/>
      </w:pPr>
      <w:rPr>
        <w:rFonts w:hint="default"/>
      </w:rPr>
    </w:lvl>
    <w:lvl w:ilvl="2" w:tplc="A06A6D72">
      <w:numFmt w:val="bullet"/>
      <w:lvlText w:val="•"/>
      <w:lvlJc w:val="left"/>
      <w:pPr>
        <w:ind w:left="636" w:hanging="100"/>
      </w:pPr>
      <w:rPr>
        <w:rFonts w:hint="default"/>
      </w:rPr>
    </w:lvl>
    <w:lvl w:ilvl="3" w:tplc="213ED146">
      <w:numFmt w:val="bullet"/>
      <w:lvlText w:val="•"/>
      <w:lvlJc w:val="left"/>
      <w:pPr>
        <w:ind w:left="874" w:hanging="100"/>
      </w:pPr>
      <w:rPr>
        <w:rFonts w:hint="default"/>
      </w:rPr>
    </w:lvl>
    <w:lvl w:ilvl="4" w:tplc="E8FCA1A0">
      <w:numFmt w:val="bullet"/>
      <w:lvlText w:val="•"/>
      <w:lvlJc w:val="left"/>
      <w:pPr>
        <w:ind w:left="1112" w:hanging="100"/>
      </w:pPr>
      <w:rPr>
        <w:rFonts w:hint="default"/>
      </w:rPr>
    </w:lvl>
    <w:lvl w:ilvl="5" w:tplc="E2C8D34A">
      <w:numFmt w:val="bullet"/>
      <w:lvlText w:val="•"/>
      <w:lvlJc w:val="left"/>
      <w:pPr>
        <w:ind w:left="1350" w:hanging="100"/>
      </w:pPr>
      <w:rPr>
        <w:rFonts w:hint="default"/>
      </w:rPr>
    </w:lvl>
    <w:lvl w:ilvl="6" w:tplc="6AC8FAE4">
      <w:numFmt w:val="bullet"/>
      <w:lvlText w:val="•"/>
      <w:lvlJc w:val="left"/>
      <w:pPr>
        <w:ind w:left="1588" w:hanging="100"/>
      </w:pPr>
      <w:rPr>
        <w:rFonts w:hint="default"/>
      </w:rPr>
    </w:lvl>
    <w:lvl w:ilvl="7" w:tplc="C950A270">
      <w:numFmt w:val="bullet"/>
      <w:lvlText w:val="•"/>
      <w:lvlJc w:val="left"/>
      <w:pPr>
        <w:ind w:left="1826" w:hanging="100"/>
      </w:pPr>
      <w:rPr>
        <w:rFonts w:hint="default"/>
      </w:rPr>
    </w:lvl>
    <w:lvl w:ilvl="8" w:tplc="154A040C">
      <w:numFmt w:val="bullet"/>
      <w:lvlText w:val="•"/>
      <w:lvlJc w:val="left"/>
      <w:pPr>
        <w:ind w:left="2064" w:hanging="100"/>
      </w:pPr>
      <w:rPr>
        <w:rFonts w:hint="default"/>
      </w:rPr>
    </w:lvl>
  </w:abstractNum>
  <w:abstractNum w:abstractNumId="805" w15:restartNumberingAfterBreak="0">
    <w:nsid w:val="32A75C89"/>
    <w:multiLevelType w:val="hybridMultilevel"/>
    <w:tmpl w:val="57C2151C"/>
    <w:lvl w:ilvl="0" w:tplc="183069B8">
      <w:numFmt w:val="bullet"/>
      <w:lvlText w:val=""/>
      <w:lvlJc w:val="left"/>
      <w:pPr>
        <w:ind w:left="157" w:hanging="100"/>
      </w:pPr>
      <w:rPr>
        <w:rFonts w:ascii="Symbol" w:eastAsia="Symbol" w:hAnsi="Symbol" w:cs="Symbol" w:hint="default"/>
        <w:color w:val="231F20"/>
        <w:w w:val="100"/>
        <w:sz w:val="14"/>
        <w:szCs w:val="14"/>
      </w:rPr>
    </w:lvl>
    <w:lvl w:ilvl="1" w:tplc="45B6B866">
      <w:numFmt w:val="bullet"/>
      <w:lvlText w:val="•"/>
      <w:lvlJc w:val="left"/>
      <w:pPr>
        <w:ind w:left="369" w:hanging="100"/>
      </w:pPr>
      <w:rPr>
        <w:rFonts w:hint="default"/>
      </w:rPr>
    </w:lvl>
    <w:lvl w:ilvl="2" w:tplc="D86C33EE">
      <w:numFmt w:val="bullet"/>
      <w:lvlText w:val="•"/>
      <w:lvlJc w:val="left"/>
      <w:pPr>
        <w:ind w:left="579" w:hanging="100"/>
      </w:pPr>
      <w:rPr>
        <w:rFonts w:hint="default"/>
      </w:rPr>
    </w:lvl>
    <w:lvl w:ilvl="3" w:tplc="B2141944">
      <w:numFmt w:val="bullet"/>
      <w:lvlText w:val="•"/>
      <w:lvlJc w:val="left"/>
      <w:pPr>
        <w:ind w:left="789" w:hanging="100"/>
      </w:pPr>
      <w:rPr>
        <w:rFonts w:hint="default"/>
      </w:rPr>
    </w:lvl>
    <w:lvl w:ilvl="4" w:tplc="C9D21D60">
      <w:numFmt w:val="bullet"/>
      <w:lvlText w:val="•"/>
      <w:lvlJc w:val="left"/>
      <w:pPr>
        <w:ind w:left="998" w:hanging="100"/>
      </w:pPr>
      <w:rPr>
        <w:rFonts w:hint="default"/>
      </w:rPr>
    </w:lvl>
    <w:lvl w:ilvl="5" w:tplc="43B01D24">
      <w:numFmt w:val="bullet"/>
      <w:lvlText w:val="•"/>
      <w:lvlJc w:val="left"/>
      <w:pPr>
        <w:ind w:left="1208" w:hanging="100"/>
      </w:pPr>
      <w:rPr>
        <w:rFonts w:hint="default"/>
      </w:rPr>
    </w:lvl>
    <w:lvl w:ilvl="6" w:tplc="530C74AA">
      <w:numFmt w:val="bullet"/>
      <w:lvlText w:val="•"/>
      <w:lvlJc w:val="left"/>
      <w:pPr>
        <w:ind w:left="1418" w:hanging="100"/>
      </w:pPr>
      <w:rPr>
        <w:rFonts w:hint="default"/>
      </w:rPr>
    </w:lvl>
    <w:lvl w:ilvl="7" w:tplc="2E049AF0">
      <w:numFmt w:val="bullet"/>
      <w:lvlText w:val="•"/>
      <w:lvlJc w:val="left"/>
      <w:pPr>
        <w:ind w:left="1627" w:hanging="100"/>
      </w:pPr>
      <w:rPr>
        <w:rFonts w:hint="default"/>
      </w:rPr>
    </w:lvl>
    <w:lvl w:ilvl="8" w:tplc="8A5EBD40">
      <w:numFmt w:val="bullet"/>
      <w:lvlText w:val="•"/>
      <w:lvlJc w:val="left"/>
      <w:pPr>
        <w:ind w:left="1837" w:hanging="100"/>
      </w:pPr>
      <w:rPr>
        <w:rFonts w:hint="default"/>
      </w:rPr>
    </w:lvl>
  </w:abstractNum>
  <w:abstractNum w:abstractNumId="806" w15:restartNumberingAfterBreak="0">
    <w:nsid w:val="32A77A82"/>
    <w:multiLevelType w:val="hybridMultilevel"/>
    <w:tmpl w:val="5846D8A0"/>
    <w:lvl w:ilvl="0" w:tplc="06D8EBF2">
      <w:numFmt w:val="bullet"/>
      <w:lvlText w:val=""/>
      <w:lvlJc w:val="left"/>
      <w:pPr>
        <w:ind w:left="157" w:hanging="100"/>
      </w:pPr>
      <w:rPr>
        <w:rFonts w:ascii="Symbol" w:eastAsia="Symbol" w:hAnsi="Symbol" w:cs="Symbol" w:hint="default"/>
        <w:color w:val="231F20"/>
        <w:w w:val="100"/>
        <w:sz w:val="14"/>
        <w:szCs w:val="14"/>
      </w:rPr>
    </w:lvl>
    <w:lvl w:ilvl="1" w:tplc="3B161A2C">
      <w:numFmt w:val="bullet"/>
      <w:lvlText w:val="•"/>
      <w:lvlJc w:val="left"/>
      <w:pPr>
        <w:ind w:left="398" w:hanging="100"/>
      </w:pPr>
      <w:rPr>
        <w:rFonts w:hint="default"/>
      </w:rPr>
    </w:lvl>
    <w:lvl w:ilvl="2" w:tplc="84C0526A">
      <w:numFmt w:val="bullet"/>
      <w:lvlText w:val="•"/>
      <w:lvlJc w:val="left"/>
      <w:pPr>
        <w:ind w:left="636" w:hanging="100"/>
      </w:pPr>
      <w:rPr>
        <w:rFonts w:hint="default"/>
      </w:rPr>
    </w:lvl>
    <w:lvl w:ilvl="3" w:tplc="1BFA9BCA">
      <w:numFmt w:val="bullet"/>
      <w:lvlText w:val="•"/>
      <w:lvlJc w:val="left"/>
      <w:pPr>
        <w:ind w:left="874" w:hanging="100"/>
      </w:pPr>
      <w:rPr>
        <w:rFonts w:hint="default"/>
      </w:rPr>
    </w:lvl>
    <w:lvl w:ilvl="4" w:tplc="06E288B8">
      <w:numFmt w:val="bullet"/>
      <w:lvlText w:val="•"/>
      <w:lvlJc w:val="left"/>
      <w:pPr>
        <w:ind w:left="1112" w:hanging="100"/>
      </w:pPr>
      <w:rPr>
        <w:rFonts w:hint="default"/>
      </w:rPr>
    </w:lvl>
    <w:lvl w:ilvl="5" w:tplc="7C426620">
      <w:numFmt w:val="bullet"/>
      <w:lvlText w:val="•"/>
      <w:lvlJc w:val="left"/>
      <w:pPr>
        <w:ind w:left="1350" w:hanging="100"/>
      </w:pPr>
      <w:rPr>
        <w:rFonts w:hint="default"/>
      </w:rPr>
    </w:lvl>
    <w:lvl w:ilvl="6" w:tplc="58C61456">
      <w:numFmt w:val="bullet"/>
      <w:lvlText w:val="•"/>
      <w:lvlJc w:val="left"/>
      <w:pPr>
        <w:ind w:left="1588" w:hanging="100"/>
      </w:pPr>
      <w:rPr>
        <w:rFonts w:hint="default"/>
      </w:rPr>
    </w:lvl>
    <w:lvl w:ilvl="7" w:tplc="79BA60B0">
      <w:numFmt w:val="bullet"/>
      <w:lvlText w:val="•"/>
      <w:lvlJc w:val="left"/>
      <w:pPr>
        <w:ind w:left="1826" w:hanging="100"/>
      </w:pPr>
      <w:rPr>
        <w:rFonts w:hint="default"/>
      </w:rPr>
    </w:lvl>
    <w:lvl w:ilvl="8" w:tplc="C3A8B958">
      <w:numFmt w:val="bullet"/>
      <w:lvlText w:val="•"/>
      <w:lvlJc w:val="left"/>
      <w:pPr>
        <w:ind w:left="2064" w:hanging="100"/>
      </w:pPr>
      <w:rPr>
        <w:rFonts w:hint="default"/>
      </w:rPr>
    </w:lvl>
  </w:abstractNum>
  <w:abstractNum w:abstractNumId="807" w15:restartNumberingAfterBreak="0">
    <w:nsid w:val="32B87FBE"/>
    <w:multiLevelType w:val="hybridMultilevel"/>
    <w:tmpl w:val="C3D8E2FE"/>
    <w:lvl w:ilvl="0" w:tplc="EEF6F054">
      <w:numFmt w:val="bullet"/>
      <w:lvlText w:val=""/>
      <w:lvlJc w:val="left"/>
      <w:pPr>
        <w:ind w:left="156" w:hanging="100"/>
      </w:pPr>
      <w:rPr>
        <w:rFonts w:ascii="Symbol" w:eastAsia="Symbol" w:hAnsi="Symbol" w:cs="Symbol" w:hint="default"/>
        <w:color w:val="231F20"/>
        <w:w w:val="100"/>
        <w:sz w:val="14"/>
        <w:szCs w:val="14"/>
      </w:rPr>
    </w:lvl>
    <w:lvl w:ilvl="1" w:tplc="5F1E8056">
      <w:numFmt w:val="bullet"/>
      <w:lvlText w:val="•"/>
      <w:lvlJc w:val="left"/>
      <w:pPr>
        <w:ind w:left="426" w:hanging="100"/>
      </w:pPr>
      <w:rPr>
        <w:rFonts w:hint="default"/>
      </w:rPr>
    </w:lvl>
    <w:lvl w:ilvl="2" w:tplc="F08E2D0E">
      <w:numFmt w:val="bullet"/>
      <w:lvlText w:val="•"/>
      <w:lvlJc w:val="left"/>
      <w:pPr>
        <w:ind w:left="692" w:hanging="100"/>
      </w:pPr>
      <w:rPr>
        <w:rFonts w:hint="default"/>
      </w:rPr>
    </w:lvl>
    <w:lvl w:ilvl="3" w:tplc="FB907312">
      <w:numFmt w:val="bullet"/>
      <w:lvlText w:val="•"/>
      <w:lvlJc w:val="left"/>
      <w:pPr>
        <w:ind w:left="959" w:hanging="100"/>
      </w:pPr>
      <w:rPr>
        <w:rFonts w:hint="default"/>
      </w:rPr>
    </w:lvl>
    <w:lvl w:ilvl="4" w:tplc="13AE7FF6">
      <w:numFmt w:val="bullet"/>
      <w:lvlText w:val="•"/>
      <w:lvlJc w:val="left"/>
      <w:pPr>
        <w:ind w:left="1225" w:hanging="100"/>
      </w:pPr>
      <w:rPr>
        <w:rFonts w:hint="default"/>
      </w:rPr>
    </w:lvl>
    <w:lvl w:ilvl="5" w:tplc="A5C87CB2">
      <w:numFmt w:val="bullet"/>
      <w:lvlText w:val="•"/>
      <w:lvlJc w:val="left"/>
      <w:pPr>
        <w:ind w:left="1492" w:hanging="100"/>
      </w:pPr>
      <w:rPr>
        <w:rFonts w:hint="default"/>
      </w:rPr>
    </w:lvl>
    <w:lvl w:ilvl="6" w:tplc="51CC4DBE">
      <w:numFmt w:val="bullet"/>
      <w:lvlText w:val="•"/>
      <w:lvlJc w:val="left"/>
      <w:pPr>
        <w:ind w:left="1758" w:hanging="100"/>
      </w:pPr>
      <w:rPr>
        <w:rFonts w:hint="default"/>
      </w:rPr>
    </w:lvl>
    <w:lvl w:ilvl="7" w:tplc="E8E427F0">
      <w:numFmt w:val="bullet"/>
      <w:lvlText w:val="•"/>
      <w:lvlJc w:val="left"/>
      <w:pPr>
        <w:ind w:left="2024" w:hanging="100"/>
      </w:pPr>
      <w:rPr>
        <w:rFonts w:hint="default"/>
      </w:rPr>
    </w:lvl>
    <w:lvl w:ilvl="8" w:tplc="7EFE61A0">
      <w:numFmt w:val="bullet"/>
      <w:lvlText w:val="•"/>
      <w:lvlJc w:val="left"/>
      <w:pPr>
        <w:ind w:left="2291" w:hanging="100"/>
      </w:pPr>
      <w:rPr>
        <w:rFonts w:hint="default"/>
      </w:rPr>
    </w:lvl>
  </w:abstractNum>
  <w:abstractNum w:abstractNumId="808" w15:restartNumberingAfterBreak="0">
    <w:nsid w:val="32CF7939"/>
    <w:multiLevelType w:val="hybridMultilevel"/>
    <w:tmpl w:val="A386D6B2"/>
    <w:lvl w:ilvl="0" w:tplc="0C30CB74">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C0A8877E">
      <w:numFmt w:val="bullet"/>
      <w:lvlText w:val="•"/>
      <w:lvlJc w:val="left"/>
      <w:pPr>
        <w:ind w:left="408" w:hanging="84"/>
      </w:pPr>
      <w:rPr>
        <w:rFonts w:hint="default"/>
      </w:rPr>
    </w:lvl>
    <w:lvl w:ilvl="2" w:tplc="52DADCFC">
      <w:numFmt w:val="bullet"/>
      <w:lvlText w:val="•"/>
      <w:lvlJc w:val="left"/>
      <w:pPr>
        <w:ind w:left="676" w:hanging="84"/>
      </w:pPr>
      <w:rPr>
        <w:rFonts w:hint="default"/>
      </w:rPr>
    </w:lvl>
    <w:lvl w:ilvl="3" w:tplc="34E21E94">
      <w:numFmt w:val="bullet"/>
      <w:lvlText w:val="•"/>
      <w:lvlJc w:val="left"/>
      <w:pPr>
        <w:ind w:left="945" w:hanging="84"/>
      </w:pPr>
      <w:rPr>
        <w:rFonts w:hint="default"/>
      </w:rPr>
    </w:lvl>
    <w:lvl w:ilvl="4" w:tplc="633C4DAA">
      <w:numFmt w:val="bullet"/>
      <w:lvlText w:val="•"/>
      <w:lvlJc w:val="left"/>
      <w:pPr>
        <w:ind w:left="1213" w:hanging="84"/>
      </w:pPr>
      <w:rPr>
        <w:rFonts w:hint="default"/>
      </w:rPr>
    </w:lvl>
    <w:lvl w:ilvl="5" w:tplc="DAA44D4A">
      <w:numFmt w:val="bullet"/>
      <w:lvlText w:val="•"/>
      <w:lvlJc w:val="left"/>
      <w:pPr>
        <w:ind w:left="1482" w:hanging="84"/>
      </w:pPr>
      <w:rPr>
        <w:rFonts w:hint="default"/>
      </w:rPr>
    </w:lvl>
    <w:lvl w:ilvl="6" w:tplc="74C4F7B8">
      <w:numFmt w:val="bullet"/>
      <w:lvlText w:val="•"/>
      <w:lvlJc w:val="left"/>
      <w:pPr>
        <w:ind w:left="1750" w:hanging="84"/>
      </w:pPr>
      <w:rPr>
        <w:rFonts w:hint="default"/>
      </w:rPr>
    </w:lvl>
    <w:lvl w:ilvl="7" w:tplc="F31629D6">
      <w:numFmt w:val="bullet"/>
      <w:lvlText w:val="•"/>
      <w:lvlJc w:val="left"/>
      <w:pPr>
        <w:ind w:left="2018" w:hanging="84"/>
      </w:pPr>
      <w:rPr>
        <w:rFonts w:hint="default"/>
      </w:rPr>
    </w:lvl>
    <w:lvl w:ilvl="8" w:tplc="60D09D42">
      <w:numFmt w:val="bullet"/>
      <w:lvlText w:val="•"/>
      <w:lvlJc w:val="left"/>
      <w:pPr>
        <w:ind w:left="2287" w:hanging="84"/>
      </w:pPr>
      <w:rPr>
        <w:rFonts w:hint="default"/>
      </w:rPr>
    </w:lvl>
  </w:abstractNum>
  <w:abstractNum w:abstractNumId="809" w15:restartNumberingAfterBreak="0">
    <w:nsid w:val="32EE01F8"/>
    <w:multiLevelType w:val="hybridMultilevel"/>
    <w:tmpl w:val="71FC3722"/>
    <w:lvl w:ilvl="0" w:tplc="7D46739A">
      <w:numFmt w:val="bullet"/>
      <w:lvlText w:val=""/>
      <w:lvlJc w:val="left"/>
      <w:pPr>
        <w:ind w:left="156" w:hanging="100"/>
      </w:pPr>
      <w:rPr>
        <w:rFonts w:ascii="Symbol" w:eastAsia="Symbol" w:hAnsi="Symbol" w:cs="Symbol" w:hint="default"/>
        <w:color w:val="231F20"/>
        <w:w w:val="100"/>
        <w:sz w:val="14"/>
        <w:szCs w:val="14"/>
      </w:rPr>
    </w:lvl>
    <w:lvl w:ilvl="1" w:tplc="5DEEDC9C">
      <w:numFmt w:val="bullet"/>
      <w:lvlText w:val="•"/>
      <w:lvlJc w:val="left"/>
      <w:pPr>
        <w:ind w:left="398" w:hanging="100"/>
      </w:pPr>
      <w:rPr>
        <w:rFonts w:hint="default"/>
      </w:rPr>
    </w:lvl>
    <w:lvl w:ilvl="2" w:tplc="FB2E9696">
      <w:numFmt w:val="bullet"/>
      <w:lvlText w:val="•"/>
      <w:lvlJc w:val="left"/>
      <w:pPr>
        <w:ind w:left="636" w:hanging="100"/>
      </w:pPr>
      <w:rPr>
        <w:rFonts w:hint="default"/>
      </w:rPr>
    </w:lvl>
    <w:lvl w:ilvl="3" w:tplc="8C4227F4">
      <w:numFmt w:val="bullet"/>
      <w:lvlText w:val="•"/>
      <w:lvlJc w:val="left"/>
      <w:pPr>
        <w:ind w:left="874" w:hanging="100"/>
      </w:pPr>
      <w:rPr>
        <w:rFonts w:hint="default"/>
      </w:rPr>
    </w:lvl>
    <w:lvl w:ilvl="4" w:tplc="1AA21A36">
      <w:numFmt w:val="bullet"/>
      <w:lvlText w:val="•"/>
      <w:lvlJc w:val="left"/>
      <w:pPr>
        <w:ind w:left="1112" w:hanging="100"/>
      </w:pPr>
      <w:rPr>
        <w:rFonts w:hint="default"/>
      </w:rPr>
    </w:lvl>
    <w:lvl w:ilvl="5" w:tplc="E864D94E">
      <w:numFmt w:val="bullet"/>
      <w:lvlText w:val="•"/>
      <w:lvlJc w:val="left"/>
      <w:pPr>
        <w:ind w:left="1350" w:hanging="100"/>
      </w:pPr>
      <w:rPr>
        <w:rFonts w:hint="default"/>
      </w:rPr>
    </w:lvl>
    <w:lvl w:ilvl="6" w:tplc="2A707AA6">
      <w:numFmt w:val="bullet"/>
      <w:lvlText w:val="•"/>
      <w:lvlJc w:val="left"/>
      <w:pPr>
        <w:ind w:left="1588" w:hanging="100"/>
      </w:pPr>
      <w:rPr>
        <w:rFonts w:hint="default"/>
      </w:rPr>
    </w:lvl>
    <w:lvl w:ilvl="7" w:tplc="D182ED20">
      <w:numFmt w:val="bullet"/>
      <w:lvlText w:val="•"/>
      <w:lvlJc w:val="left"/>
      <w:pPr>
        <w:ind w:left="1826" w:hanging="100"/>
      </w:pPr>
      <w:rPr>
        <w:rFonts w:hint="default"/>
      </w:rPr>
    </w:lvl>
    <w:lvl w:ilvl="8" w:tplc="72F8EFB4">
      <w:numFmt w:val="bullet"/>
      <w:lvlText w:val="•"/>
      <w:lvlJc w:val="left"/>
      <w:pPr>
        <w:ind w:left="2064" w:hanging="100"/>
      </w:pPr>
      <w:rPr>
        <w:rFonts w:hint="default"/>
      </w:rPr>
    </w:lvl>
  </w:abstractNum>
  <w:abstractNum w:abstractNumId="810" w15:restartNumberingAfterBreak="0">
    <w:nsid w:val="32F52DE3"/>
    <w:multiLevelType w:val="hybridMultilevel"/>
    <w:tmpl w:val="3B00D900"/>
    <w:lvl w:ilvl="0" w:tplc="859653B8">
      <w:numFmt w:val="bullet"/>
      <w:lvlText w:val=""/>
      <w:lvlJc w:val="left"/>
      <w:pPr>
        <w:ind w:left="156" w:hanging="100"/>
      </w:pPr>
      <w:rPr>
        <w:rFonts w:ascii="Symbol" w:eastAsia="Symbol" w:hAnsi="Symbol" w:cs="Symbol" w:hint="default"/>
        <w:color w:val="231F20"/>
        <w:w w:val="100"/>
        <w:sz w:val="14"/>
        <w:szCs w:val="14"/>
      </w:rPr>
    </w:lvl>
    <w:lvl w:ilvl="1" w:tplc="4ECC367A">
      <w:numFmt w:val="bullet"/>
      <w:lvlText w:val="•"/>
      <w:lvlJc w:val="left"/>
      <w:pPr>
        <w:ind w:left="426" w:hanging="100"/>
      </w:pPr>
      <w:rPr>
        <w:rFonts w:hint="default"/>
      </w:rPr>
    </w:lvl>
    <w:lvl w:ilvl="2" w:tplc="6026E66C">
      <w:numFmt w:val="bullet"/>
      <w:lvlText w:val="•"/>
      <w:lvlJc w:val="left"/>
      <w:pPr>
        <w:ind w:left="692" w:hanging="100"/>
      </w:pPr>
      <w:rPr>
        <w:rFonts w:hint="default"/>
      </w:rPr>
    </w:lvl>
    <w:lvl w:ilvl="3" w:tplc="4B6602C0">
      <w:numFmt w:val="bullet"/>
      <w:lvlText w:val="•"/>
      <w:lvlJc w:val="left"/>
      <w:pPr>
        <w:ind w:left="959" w:hanging="100"/>
      </w:pPr>
      <w:rPr>
        <w:rFonts w:hint="default"/>
      </w:rPr>
    </w:lvl>
    <w:lvl w:ilvl="4" w:tplc="CB089336">
      <w:numFmt w:val="bullet"/>
      <w:lvlText w:val="•"/>
      <w:lvlJc w:val="left"/>
      <w:pPr>
        <w:ind w:left="1225" w:hanging="100"/>
      </w:pPr>
      <w:rPr>
        <w:rFonts w:hint="default"/>
      </w:rPr>
    </w:lvl>
    <w:lvl w:ilvl="5" w:tplc="0D2A7884">
      <w:numFmt w:val="bullet"/>
      <w:lvlText w:val="•"/>
      <w:lvlJc w:val="left"/>
      <w:pPr>
        <w:ind w:left="1492" w:hanging="100"/>
      </w:pPr>
      <w:rPr>
        <w:rFonts w:hint="default"/>
      </w:rPr>
    </w:lvl>
    <w:lvl w:ilvl="6" w:tplc="E09673BE">
      <w:numFmt w:val="bullet"/>
      <w:lvlText w:val="•"/>
      <w:lvlJc w:val="left"/>
      <w:pPr>
        <w:ind w:left="1758" w:hanging="100"/>
      </w:pPr>
      <w:rPr>
        <w:rFonts w:hint="default"/>
      </w:rPr>
    </w:lvl>
    <w:lvl w:ilvl="7" w:tplc="BA2CDAE8">
      <w:numFmt w:val="bullet"/>
      <w:lvlText w:val="•"/>
      <w:lvlJc w:val="left"/>
      <w:pPr>
        <w:ind w:left="2024" w:hanging="100"/>
      </w:pPr>
      <w:rPr>
        <w:rFonts w:hint="default"/>
      </w:rPr>
    </w:lvl>
    <w:lvl w:ilvl="8" w:tplc="9A22AB96">
      <w:numFmt w:val="bullet"/>
      <w:lvlText w:val="•"/>
      <w:lvlJc w:val="left"/>
      <w:pPr>
        <w:ind w:left="2291" w:hanging="100"/>
      </w:pPr>
      <w:rPr>
        <w:rFonts w:hint="default"/>
      </w:rPr>
    </w:lvl>
  </w:abstractNum>
  <w:abstractNum w:abstractNumId="811" w15:restartNumberingAfterBreak="0">
    <w:nsid w:val="33073EC3"/>
    <w:multiLevelType w:val="hybridMultilevel"/>
    <w:tmpl w:val="F6C6D67A"/>
    <w:lvl w:ilvl="0" w:tplc="97FC4C70">
      <w:numFmt w:val="bullet"/>
      <w:lvlText w:val=""/>
      <w:lvlJc w:val="left"/>
      <w:pPr>
        <w:ind w:left="157" w:hanging="100"/>
      </w:pPr>
      <w:rPr>
        <w:rFonts w:ascii="Symbol" w:eastAsia="Symbol" w:hAnsi="Symbol" w:cs="Symbol" w:hint="default"/>
        <w:color w:val="231F20"/>
        <w:w w:val="100"/>
        <w:sz w:val="14"/>
        <w:szCs w:val="14"/>
      </w:rPr>
    </w:lvl>
    <w:lvl w:ilvl="1" w:tplc="FAEE1386">
      <w:numFmt w:val="bullet"/>
      <w:lvlText w:val="•"/>
      <w:lvlJc w:val="left"/>
      <w:pPr>
        <w:ind w:left="369" w:hanging="100"/>
      </w:pPr>
      <w:rPr>
        <w:rFonts w:hint="default"/>
      </w:rPr>
    </w:lvl>
    <w:lvl w:ilvl="2" w:tplc="54F0EA64">
      <w:numFmt w:val="bullet"/>
      <w:lvlText w:val="•"/>
      <w:lvlJc w:val="left"/>
      <w:pPr>
        <w:ind w:left="579" w:hanging="100"/>
      </w:pPr>
      <w:rPr>
        <w:rFonts w:hint="default"/>
      </w:rPr>
    </w:lvl>
    <w:lvl w:ilvl="3" w:tplc="88C439FA">
      <w:numFmt w:val="bullet"/>
      <w:lvlText w:val="•"/>
      <w:lvlJc w:val="left"/>
      <w:pPr>
        <w:ind w:left="789" w:hanging="100"/>
      </w:pPr>
      <w:rPr>
        <w:rFonts w:hint="default"/>
      </w:rPr>
    </w:lvl>
    <w:lvl w:ilvl="4" w:tplc="9228ADB8">
      <w:numFmt w:val="bullet"/>
      <w:lvlText w:val="•"/>
      <w:lvlJc w:val="left"/>
      <w:pPr>
        <w:ind w:left="998" w:hanging="100"/>
      </w:pPr>
      <w:rPr>
        <w:rFonts w:hint="default"/>
      </w:rPr>
    </w:lvl>
    <w:lvl w:ilvl="5" w:tplc="10B447E6">
      <w:numFmt w:val="bullet"/>
      <w:lvlText w:val="•"/>
      <w:lvlJc w:val="left"/>
      <w:pPr>
        <w:ind w:left="1208" w:hanging="100"/>
      </w:pPr>
      <w:rPr>
        <w:rFonts w:hint="default"/>
      </w:rPr>
    </w:lvl>
    <w:lvl w:ilvl="6" w:tplc="BF7EC72E">
      <w:numFmt w:val="bullet"/>
      <w:lvlText w:val="•"/>
      <w:lvlJc w:val="left"/>
      <w:pPr>
        <w:ind w:left="1418" w:hanging="100"/>
      </w:pPr>
      <w:rPr>
        <w:rFonts w:hint="default"/>
      </w:rPr>
    </w:lvl>
    <w:lvl w:ilvl="7" w:tplc="D2E08D3A">
      <w:numFmt w:val="bullet"/>
      <w:lvlText w:val="•"/>
      <w:lvlJc w:val="left"/>
      <w:pPr>
        <w:ind w:left="1627" w:hanging="100"/>
      </w:pPr>
      <w:rPr>
        <w:rFonts w:hint="default"/>
      </w:rPr>
    </w:lvl>
    <w:lvl w:ilvl="8" w:tplc="5E44AF56">
      <w:numFmt w:val="bullet"/>
      <w:lvlText w:val="•"/>
      <w:lvlJc w:val="left"/>
      <w:pPr>
        <w:ind w:left="1837" w:hanging="100"/>
      </w:pPr>
      <w:rPr>
        <w:rFonts w:hint="default"/>
      </w:rPr>
    </w:lvl>
  </w:abstractNum>
  <w:abstractNum w:abstractNumId="812" w15:restartNumberingAfterBreak="0">
    <w:nsid w:val="330A4785"/>
    <w:multiLevelType w:val="hybridMultilevel"/>
    <w:tmpl w:val="0378920A"/>
    <w:lvl w:ilvl="0" w:tplc="F984FCAC">
      <w:numFmt w:val="bullet"/>
      <w:lvlText w:val="–"/>
      <w:lvlJc w:val="left"/>
      <w:pPr>
        <w:ind w:left="632" w:hanging="135"/>
      </w:pPr>
      <w:rPr>
        <w:rFonts w:ascii="Times New Roman" w:eastAsia="Times New Roman" w:hAnsi="Times New Roman" w:cs="Times New Roman" w:hint="default"/>
        <w:i/>
        <w:color w:val="231F20"/>
        <w:spacing w:val="-17"/>
        <w:w w:val="100"/>
        <w:sz w:val="18"/>
        <w:szCs w:val="18"/>
      </w:rPr>
    </w:lvl>
    <w:lvl w:ilvl="1" w:tplc="F3A47434">
      <w:numFmt w:val="bullet"/>
      <w:lvlText w:val="•"/>
      <w:lvlJc w:val="left"/>
      <w:pPr>
        <w:ind w:left="1654" w:hanging="135"/>
      </w:pPr>
      <w:rPr>
        <w:rFonts w:hint="default"/>
      </w:rPr>
    </w:lvl>
    <w:lvl w:ilvl="2" w:tplc="765883A4">
      <w:numFmt w:val="bullet"/>
      <w:lvlText w:val="•"/>
      <w:lvlJc w:val="left"/>
      <w:pPr>
        <w:ind w:left="2669" w:hanging="135"/>
      </w:pPr>
      <w:rPr>
        <w:rFonts w:hint="default"/>
      </w:rPr>
    </w:lvl>
    <w:lvl w:ilvl="3" w:tplc="CB948EF8">
      <w:numFmt w:val="bullet"/>
      <w:lvlText w:val="•"/>
      <w:lvlJc w:val="left"/>
      <w:pPr>
        <w:ind w:left="3683" w:hanging="135"/>
      </w:pPr>
      <w:rPr>
        <w:rFonts w:hint="default"/>
      </w:rPr>
    </w:lvl>
    <w:lvl w:ilvl="4" w:tplc="4D6ECBEA">
      <w:numFmt w:val="bullet"/>
      <w:lvlText w:val="•"/>
      <w:lvlJc w:val="left"/>
      <w:pPr>
        <w:ind w:left="4698" w:hanging="135"/>
      </w:pPr>
      <w:rPr>
        <w:rFonts w:hint="default"/>
      </w:rPr>
    </w:lvl>
    <w:lvl w:ilvl="5" w:tplc="4BEE3AF0">
      <w:numFmt w:val="bullet"/>
      <w:lvlText w:val="•"/>
      <w:lvlJc w:val="left"/>
      <w:pPr>
        <w:ind w:left="5712" w:hanging="135"/>
      </w:pPr>
      <w:rPr>
        <w:rFonts w:hint="default"/>
      </w:rPr>
    </w:lvl>
    <w:lvl w:ilvl="6" w:tplc="8E107172">
      <w:numFmt w:val="bullet"/>
      <w:lvlText w:val="•"/>
      <w:lvlJc w:val="left"/>
      <w:pPr>
        <w:ind w:left="6727" w:hanging="135"/>
      </w:pPr>
      <w:rPr>
        <w:rFonts w:hint="default"/>
      </w:rPr>
    </w:lvl>
    <w:lvl w:ilvl="7" w:tplc="A3265998">
      <w:numFmt w:val="bullet"/>
      <w:lvlText w:val="•"/>
      <w:lvlJc w:val="left"/>
      <w:pPr>
        <w:ind w:left="7741" w:hanging="135"/>
      </w:pPr>
      <w:rPr>
        <w:rFonts w:hint="default"/>
      </w:rPr>
    </w:lvl>
    <w:lvl w:ilvl="8" w:tplc="8110D988">
      <w:numFmt w:val="bullet"/>
      <w:lvlText w:val="•"/>
      <w:lvlJc w:val="left"/>
      <w:pPr>
        <w:ind w:left="8756" w:hanging="135"/>
      </w:pPr>
      <w:rPr>
        <w:rFonts w:hint="default"/>
      </w:rPr>
    </w:lvl>
  </w:abstractNum>
  <w:abstractNum w:abstractNumId="813" w15:restartNumberingAfterBreak="0">
    <w:nsid w:val="33213159"/>
    <w:multiLevelType w:val="hybridMultilevel"/>
    <w:tmpl w:val="A80A0098"/>
    <w:lvl w:ilvl="0" w:tplc="15EE8A7C">
      <w:numFmt w:val="bullet"/>
      <w:lvlText w:val=""/>
      <w:lvlJc w:val="left"/>
      <w:pPr>
        <w:ind w:left="156" w:hanging="100"/>
      </w:pPr>
      <w:rPr>
        <w:rFonts w:ascii="Symbol" w:eastAsia="Symbol" w:hAnsi="Symbol" w:cs="Symbol" w:hint="default"/>
        <w:color w:val="231F20"/>
        <w:w w:val="100"/>
        <w:sz w:val="14"/>
        <w:szCs w:val="14"/>
      </w:rPr>
    </w:lvl>
    <w:lvl w:ilvl="1" w:tplc="28BE8CCA">
      <w:numFmt w:val="bullet"/>
      <w:lvlText w:val="•"/>
      <w:lvlJc w:val="left"/>
      <w:pPr>
        <w:ind w:left="426" w:hanging="100"/>
      </w:pPr>
      <w:rPr>
        <w:rFonts w:hint="default"/>
      </w:rPr>
    </w:lvl>
    <w:lvl w:ilvl="2" w:tplc="C57CE072">
      <w:numFmt w:val="bullet"/>
      <w:lvlText w:val="•"/>
      <w:lvlJc w:val="left"/>
      <w:pPr>
        <w:ind w:left="692" w:hanging="100"/>
      </w:pPr>
      <w:rPr>
        <w:rFonts w:hint="default"/>
      </w:rPr>
    </w:lvl>
    <w:lvl w:ilvl="3" w:tplc="3B2E9D18">
      <w:numFmt w:val="bullet"/>
      <w:lvlText w:val="•"/>
      <w:lvlJc w:val="left"/>
      <w:pPr>
        <w:ind w:left="959" w:hanging="100"/>
      </w:pPr>
      <w:rPr>
        <w:rFonts w:hint="default"/>
      </w:rPr>
    </w:lvl>
    <w:lvl w:ilvl="4" w:tplc="1924F438">
      <w:numFmt w:val="bullet"/>
      <w:lvlText w:val="•"/>
      <w:lvlJc w:val="left"/>
      <w:pPr>
        <w:ind w:left="1225" w:hanging="100"/>
      </w:pPr>
      <w:rPr>
        <w:rFonts w:hint="default"/>
      </w:rPr>
    </w:lvl>
    <w:lvl w:ilvl="5" w:tplc="97761982">
      <w:numFmt w:val="bullet"/>
      <w:lvlText w:val="•"/>
      <w:lvlJc w:val="left"/>
      <w:pPr>
        <w:ind w:left="1492" w:hanging="100"/>
      </w:pPr>
      <w:rPr>
        <w:rFonts w:hint="default"/>
      </w:rPr>
    </w:lvl>
    <w:lvl w:ilvl="6" w:tplc="EB604FFA">
      <w:numFmt w:val="bullet"/>
      <w:lvlText w:val="•"/>
      <w:lvlJc w:val="left"/>
      <w:pPr>
        <w:ind w:left="1758" w:hanging="100"/>
      </w:pPr>
      <w:rPr>
        <w:rFonts w:hint="default"/>
      </w:rPr>
    </w:lvl>
    <w:lvl w:ilvl="7" w:tplc="8D100D68">
      <w:numFmt w:val="bullet"/>
      <w:lvlText w:val="•"/>
      <w:lvlJc w:val="left"/>
      <w:pPr>
        <w:ind w:left="2024" w:hanging="100"/>
      </w:pPr>
      <w:rPr>
        <w:rFonts w:hint="default"/>
      </w:rPr>
    </w:lvl>
    <w:lvl w:ilvl="8" w:tplc="C19056B2">
      <w:numFmt w:val="bullet"/>
      <w:lvlText w:val="•"/>
      <w:lvlJc w:val="left"/>
      <w:pPr>
        <w:ind w:left="2291" w:hanging="100"/>
      </w:pPr>
      <w:rPr>
        <w:rFonts w:hint="default"/>
      </w:rPr>
    </w:lvl>
  </w:abstractNum>
  <w:abstractNum w:abstractNumId="814" w15:restartNumberingAfterBreak="0">
    <w:nsid w:val="33335730"/>
    <w:multiLevelType w:val="hybridMultilevel"/>
    <w:tmpl w:val="1C8A31AE"/>
    <w:lvl w:ilvl="0" w:tplc="2DA2F0F8">
      <w:numFmt w:val="bullet"/>
      <w:lvlText w:val=""/>
      <w:lvlJc w:val="left"/>
      <w:pPr>
        <w:ind w:left="156" w:hanging="100"/>
      </w:pPr>
      <w:rPr>
        <w:rFonts w:ascii="Symbol" w:eastAsia="Symbol" w:hAnsi="Symbol" w:cs="Symbol" w:hint="default"/>
        <w:color w:val="231F20"/>
        <w:w w:val="100"/>
        <w:sz w:val="14"/>
        <w:szCs w:val="14"/>
      </w:rPr>
    </w:lvl>
    <w:lvl w:ilvl="1" w:tplc="190EB424">
      <w:start w:val="1"/>
      <w:numFmt w:val="upperRoman"/>
      <w:lvlText w:val="%2"/>
      <w:lvlJc w:val="left"/>
      <w:pPr>
        <w:ind w:left="156" w:hanging="82"/>
        <w:jc w:val="left"/>
      </w:pPr>
      <w:rPr>
        <w:rFonts w:ascii="Times New Roman" w:eastAsia="Times New Roman" w:hAnsi="Times New Roman" w:cs="Times New Roman" w:hint="default"/>
        <w:color w:val="231F20"/>
        <w:spacing w:val="-8"/>
        <w:w w:val="100"/>
        <w:sz w:val="14"/>
        <w:szCs w:val="14"/>
      </w:rPr>
    </w:lvl>
    <w:lvl w:ilvl="2" w:tplc="6EB6AD1E">
      <w:numFmt w:val="bullet"/>
      <w:lvlText w:val="•"/>
      <w:lvlJc w:val="left"/>
      <w:pPr>
        <w:ind w:left="692" w:hanging="82"/>
      </w:pPr>
      <w:rPr>
        <w:rFonts w:hint="default"/>
      </w:rPr>
    </w:lvl>
    <w:lvl w:ilvl="3" w:tplc="E2AA4AB4">
      <w:numFmt w:val="bullet"/>
      <w:lvlText w:val="•"/>
      <w:lvlJc w:val="left"/>
      <w:pPr>
        <w:ind w:left="959" w:hanging="82"/>
      </w:pPr>
      <w:rPr>
        <w:rFonts w:hint="default"/>
      </w:rPr>
    </w:lvl>
    <w:lvl w:ilvl="4" w:tplc="5C8841AC">
      <w:numFmt w:val="bullet"/>
      <w:lvlText w:val="•"/>
      <w:lvlJc w:val="left"/>
      <w:pPr>
        <w:ind w:left="1225" w:hanging="82"/>
      </w:pPr>
      <w:rPr>
        <w:rFonts w:hint="default"/>
      </w:rPr>
    </w:lvl>
    <w:lvl w:ilvl="5" w:tplc="C2328114">
      <w:numFmt w:val="bullet"/>
      <w:lvlText w:val="•"/>
      <w:lvlJc w:val="left"/>
      <w:pPr>
        <w:ind w:left="1492" w:hanging="82"/>
      </w:pPr>
      <w:rPr>
        <w:rFonts w:hint="default"/>
      </w:rPr>
    </w:lvl>
    <w:lvl w:ilvl="6" w:tplc="74460FEC">
      <w:numFmt w:val="bullet"/>
      <w:lvlText w:val="•"/>
      <w:lvlJc w:val="left"/>
      <w:pPr>
        <w:ind w:left="1758" w:hanging="82"/>
      </w:pPr>
      <w:rPr>
        <w:rFonts w:hint="default"/>
      </w:rPr>
    </w:lvl>
    <w:lvl w:ilvl="7" w:tplc="13F4E418">
      <w:numFmt w:val="bullet"/>
      <w:lvlText w:val="•"/>
      <w:lvlJc w:val="left"/>
      <w:pPr>
        <w:ind w:left="2024" w:hanging="82"/>
      </w:pPr>
      <w:rPr>
        <w:rFonts w:hint="default"/>
      </w:rPr>
    </w:lvl>
    <w:lvl w:ilvl="8" w:tplc="FE6AB8F8">
      <w:numFmt w:val="bullet"/>
      <w:lvlText w:val="•"/>
      <w:lvlJc w:val="left"/>
      <w:pPr>
        <w:ind w:left="2291" w:hanging="82"/>
      </w:pPr>
      <w:rPr>
        <w:rFonts w:hint="default"/>
      </w:rPr>
    </w:lvl>
  </w:abstractNum>
  <w:abstractNum w:abstractNumId="815" w15:restartNumberingAfterBreak="0">
    <w:nsid w:val="334A4A88"/>
    <w:multiLevelType w:val="hybridMultilevel"/>
    <w:tmpl w:val="F5848D68"/>
    <w:lvl w:ilvl="0" w:tplc="4422387C">
      <w:numFmt w:val="bullet"/>
      <w:lvlText w:val=""/>
      <w:lvlJc w:val="left"/>
      <w:pPr>
        <w:ind w:left="156" w:hanging="100"/>
      </w:pPr>
      <w:rPr>
        <w:rFonts w:ascii="Symbol" w:eastAsia="Symbol" w:hAnsi="Symbol" w:cs="Symbol" w:hint="default"/>
        <w:color w:val="231F20"/>
        <w:w w:val="100"/>
        <w:sz w:val="14"/>
        <w:szCs w:val="14"/>
      </w:rPr>
    </w:lvl>
    <w:lvl w:ilvl="1" w:tplc="5BDC8816">
      <w:numFmt w:val="bullet"/>
      <w:lvlText w:val="•"/>
      <w:lvlJc w:val="left"/>
      <w:pPr>
        <w:ind w:left="301" w:hanging="100"/>
      </w:pPr>
      <w:rPr>
        <w:rFonts w:hint="default"/>
      </w:rPr>
    </w:lvl>
    <w:lvl w:ilvl="2" w:tplc="1DD25AC6">
      <w:numFmt w:val="bullet"/>
      <w:lvlText w:val="•"/>
      <w:lvlJc w:val="left"/>
      <w:pPr>
        <w:ind w:left="443" w:hanging="100"/>
      </w:pPr>
      <w:rPr>
        <w:rFonts w:hint="default"/>
      </w:rPr>
    </w:lvl>
    <w:lvl w:ilvl="3" w:tplc="BA8869DE">
      <w:numFmt w:val="bullet"/>
      <w:lvlText w:val="•"/>
      <w:lvlJc w:val="left"/>
      <w:pPr>
        <w:ind w:left="585" w:hanging="100"/>
      </w:pPr>
      <w:rPr>
        <w:rFonts w:hint="default"/>
      </w:rPr>
    </w:lvl>
    <w:lvl w:ilvl="4" w:tplc="D638CC84">
      <w:numFmt w:val="bullet"/>
      <w:lvlText w:val="•"/>
      <w:lvlJc w:val="left"/>
      <w:pPr>
        <w:ind w:left="726" w:hanging="100"/>
      </w:pPr>
      <w:rPr>
        <w:rFonts w:hint="default"/>
      </w:rPr>
    </w:lvl>
    <w:lvl w:ilvl="5" w:tplc="82928C94">
      <w:numFmt w:val="bullet"/>
      <w:lvlText w:val="•"/>
      <w:lvlJc w:val="left"/>
      <w:pPr>
        <w:ind w:left="868" w:hanging="100"/>
      </w:pPr>
      <w:rPr>
        <w:rFonts w:hint="default"/>
      </w:rPr>
    </w:lvl>
    <w:lvl w:ilvl="6" w:tplc="AC105F60">
      <w:numFmt w:val="bullet"/>
      <w:lvlText w:val="•"/>
      <w:lvlJc w:val="left"/>
      <w:pPr>
        <w:ind w:left="1010" w:hanging="100"/>
      </w:pPr>
      <w:rPr>
        <w:rFonts w:hint="default"/>
      </w:rPr>
    </w:lvl>
    <w:lvl w:ilvl="7" w:tplc="648E2BE6">
      <w:numFmt w:val="bullet"/>
      <w:lvlText w:val="•"/>
      <w:lvlJc w:val="left"/>
      <w:pPr>
        <w:ind w:left="1151" w:hanging="100"/>
      </w:pPr>
      <w:rPr>
        <w:rFonts w:hint="default"/>
      </w:rPr>
    </w:lvl>
    <w:lvl w:ilvl="8" w:tplc="A00A3904">
      <w:numFmt w:val="bullet"/>
      <w:lvlText w:val="•"/>
      <w:lvlJc w:val="left"/>
      <w:pPr>
        <w:ind w:left="1293" w:hanging="100"/>
      </w:pPr>
      <w:rPr>
        <w:rFonts w:hint="default"/>
      </w:rPr>
    </w:lvl>
  </w:abstractNum>
  <w:abstractNum w:abstractNumId="816" w15:restartNumberingAfterBreak="0">
    <w:nsid w:val="33691031"/>
    <w:multiLevelType w:val="hybridMultilevel"/>
    <w:tmpl w:val="D090AA2C"/>
    <w:lvl w:ilvl="0" w:tplc="096A6328">
      <w:numFmt w:val="bullet"/>
      <w:lvlText w:val=""/>
      <w:lvlJc w:val="left"/>
      <w:pPr>
        <w:ind w:left="156" w:hanging="100"/>
      </w:pPr>
      <w:rPr>
        <w:rFonts w:ascii="Symbol" w:eastAsia="Symbol" w:hAnsi="Symbol" w:cs="Symbol" w:hint="default"/>
        <w:color w:val="231F20"/>
        <w:w w:val="100"/>
        <w:sz w:val="14"/>
        <w:szCs w:val="14"/>
      </w:rPr>
    </w:lvl>
    <w:lvl w:ilvl="1" w:tplc="678823C8">
      <w:numFmt w:val="bullet"/>
      <w:lvlText w:val="•"/>
      <w:lvlJc w:val="left"/>
      <w:pPr>
        <w:ind w:left="426" w:hanging="100"/>
      </w:pPr>
      <w:rPr>
        <w:rFonts w:hint="default"/>
      </w:rPr>
    </w:lvl>
    <w:lvl w:ilvl="2" w:tplc="05141B06">
      <w:numFmt w:val="bullet"/>
      <w:lvlText w:val="•"/>
      <w:lvlJc w:val="left"/>
      <w:pPr>
        <w:ind w:left="692" w:hanging="100"/>
      </w:pPr>
      <w:rPr>
        <w:rFonts w:hint="default"/>
      </w:rPr>
    </w:lvl>
    <w:lvl w:ilvl="3" w:tplc="F57ACA5C">
      <w:numFmt w:val="bullet"/>
      <w:lvlText w:val="•"/>
      <w:lvlJc w:val="left"/>
      <w:pPr>
        <w:ind w:left="959" w:hanging="100"/>
      </w:pPr>
      <w:rPr>
        <w:rFonts w:hint="default"/>
      </w:rPr>
    </w:lvl>
    <w:lvl w:ilvl="4" w:tplc="A232D42A">
      <w:numFmt w:val="bullet"/>
      <w:lvlText w:val="•"/>
      <w:lvlJc w:val="left"/>
      <w:pPr>
        <w:ind w:left="1225" w:hanging="100"/>
      </w:pPr>
      <w:rPr>
        <w:rFonts w:hint="default"/>
      </w:rPr>
    </w:lvl>
    <w:lvl w:ilvl="5" w:tplc="E556C4FA">
      <w:numFmt w:val="bullet"/>
      <w:lvlText w:val="•"/>
      <w:lvlJc w:val="left"/>
      <w:pPr>
        <w:ind w:left="1492" w:hanging="100"/>
      </w:pPr>
      <w:rPr>
        <w:rFonts w:hint="default"/>
      </w:rPr>
    </w:lvl>
    <w:lvl w:ilvl="6" w:tplc="674C52B0">
      <w:numFmt w:val="bullet"/>
      <w:lvlText w:val="•"/>
      <w:lvlJc w:val="left"/>
      <w:pPr>
        <w:ind w:left="1758" w:hanging="100"/>
      </w:pPr>
      <w:rPr>
        <w:rFonts w:hint="default"/>
      </w:rPr>
    </w:lvl>
    <w:lvl w:ilvl="7" w:tplc="BF1AED04">
      <w:numFmt w:val="bullet"/>
      <w:lvlText w:val="•"/>
      <w:lvlJc w:val="left"/>
      <w:pPr>
        <w:ind w:left="2024" w:hanging="100"/>
      </w:pPr>
      <w:rPr>
        <w:rFonts w:hint="default"/>
      </w:rPr>
    </w:lvl>
    <w:lvl w:ilvl="8" w:tplc="5914A7BA">
      <w:numFmt w:val="bullet"/>
      <w:lvlText w:val="•"/>
      <w:lvlJc w:val="left"/>
      <w:pPr>
        <w:ind w:left="2291" w:hanging="100"/>
      </w:pPr>
      <w:rPr>
        <w:rFonts w:hint="default"/>
      </w:rPr>
    </w:lvl>
  </w:abstractNum>
  <w:abstractNum w:abstractNumId="817" w15:restartNumberingAfterBreak="0">
    <w:nsid w:val="336D0A97"/>
    <w:multiLevelType w:val="hybridMultilevel"/>
    <w:tmpl w:val="D212935C"/>
    <w:lvl w:ilvl="0" w:tplc="C2B05A42">
      <w:numFmt w:val="bullet"/>
      <w:lvlText w:val=""/>
      <w:lvlJc w:val="left"/>
      <w:pPr>
        <w:ind w:left="157" w:hanging="100"/>
      </w:pPr>
      <w:rPr>
        <w:rFonts w:ascii="Symbol" w:eastAsia="Symbol" w:hAnsi="Symbol" w:cs="Symbol" w:hint="default"/>
        <w:color w:val="231F20"/>
        <w:w w:val="100"/>
        <w:sz w:val="14"/>
        <w:szCs w:val="14"/>
      </w:rPr>
    </w:lvl>
    <w:lvl w:ilvl="1" w:tplc="2C16A442">
      <w:numFmt w:val="bullet"/>
      <w:lvlText w:val="•"/>
      <w:lvlJc w:val="left"/>
      <w:pPr>
        <w:ind w:left="426" w:hanging="100"/>
      </w:pPr>
      <w:rPr>
        <w:rFonts w:hint="default"/>
      </w:rPr>
    </w:lvl>
    <w:lvl w:ilvl="2" w:tplc="2A92AB9E">
      <w:numFmt w:val="bullet"/>
      <w:lvlText w:val="•"/>
      <w:lvlJc w:val="left"/>
      <w:pPr>
        <w:ind w:left="692" w:hanging="100"/>
      </w:pPr>
      <w:rPr>
        <w:rFonts w:hint="default"/>
      </w:rPr>
    </w:lvl>
    <w:lvl w:ilvl="3" w:tplc="6DACFEA2">
      <w:numFmt w:val="bullet"/>
      <w:lvlText w:val="•"/>
      <w:lvlJc w:val="left"/>
      <w:pPr>
        <w:ind w:left="959" w:hanging="100"/>
      </w:pPr>
      <w:rPr>
        <w:rFonts w:hint="default"/>
      </w:rPr>
    </w:lvl>
    <w:lvl w:ilvl="4" w:tplc="1CC8AFD6">
      <w:numFmt w:val="bullet"/>
      <w:lvlText w:val="•"/>
      <w:lvlJc w:val="left"/>
      <w:pPr>
        <w:ind w:left="1225" w:hanging="100"/>
      </w:pPr>
      <w:rPr>
        <w:rFonts w:hint="default"/>
      </w:rPr>
    </w:lvl>
    <w:lvl w:ilvl="5" w:tplc="2DAED4F8">
      <w:numFmt w:val="bullet"/>
      <w:lvlText w:val="•"/>
      <w:lvlJc w:val="left"/>
      <w:pPr>
        <w:ind w:left="1492" w:hanging="100"/>
      </w:pPr>
      <w:rPr>
        <w:rFonts w:hint="default"/>
      </w:rPr>
    </w:lvl>
    <w:lvl w:ilvl="6" w:tplc="CD48F776">
      <w:numFmt w:val="bullet"/>
      <w:lvlText w:val="•"/>
      <w:lvlJc w:val="left"/>
      <w:pPr>
        <w:ind w:left="1758" w:hanging="100"/>
      </w:pPr>
      <w:rPr>
        <w:rFonts w:hint="default"/>
      </w:rPr>
    </w:lvl>
    <w:lvl w:ilvl="7" w:tplc="28F8FF68">
      <w:numFmt w:val="bullet"/>
      <w:lvlText w:val="•"/>
      <w:lvlJc w:val="left"/>
      <w:pPr>
        <w:ind w:left="2024" w:hanging="100"/>
      </w:pPr>
      <w:rPr>
        <w:rFonts w:hint="default"/>
      </w:rPr>
    </w:lvl>
    <w:lvl w:ilvl="8" w:tplc="C80C2AF4">
      <w:numFmt w:val="bullet"/>
      <w:lvlText w:val="•"/>
      <w:lvlJc w:val="left"/>
      <w:pPr>
        <w:ind w:left="2291" w:hanging="100"/>
      </w:pPr>
      <w:rPr>
        <w:rFonts w:hint="default"/>
      </w:rPr>
    </w:lvl>
  </w:abstractNum>
  <w:abstractNum w:abstractNumId="818" w15:restartNumberingAfterBreak="0">
    <w:nsid w:val="33947B03"/>
    <w:multiLevelType w:val="hybridMultilevel"/>
    <w:tmpl w:val="ED86ADBE"/>
    <w:lvl w:ilvl="0" w:tplc="F4E0EB82">
      <w:numFmt w:val="bullet"/>
      <w:lvlText w:val=""/>
      <w:lvlJc w:val="left"/>
      <w:pPr>
        <w:ind w:left="156" w:hanging="100"/>
      </w:pPr>
      <w:rPr>
        <w:rFonts w:ascii="Symbol" w:eastAsia="Symbol" w:hAnsi="Symbol" w:cs="Symbol" w:hint="default"/>
        <w:color w:val="231F20"/>
        <w:w w:val="100"/>
        <w:sz w:val="14"/>
        <w:szCs w:val="14"/>
      </w:rPr>
    </w:lvl>
    <w:lvl w:ilvl="1" w:tplc="A0627012">
      <w:numFmt w:val="bullet"/>
      <w:lvlText w:val="•"/>
      <w:lvlJc w:val="left"/>
      <w:pPr>
        <w:ind w:left="398" w:hanging="100"/>
      </w:pPr>
      <w:rPr>
        <w:rFonts w:hint="default"/>
      </w:rPr>
    </w:lvl>
    <w:lvl w:ilvl="2" w:tplc="EC7604C6">
      <w:numFmt w:val="bullet"/>
      <w:lvlText w:val="•"/>
      <w:lvlJc w:val="left"/>
      <w:pPr>
        <w:ind w:left="636" w:hanging="100"/>
      </w:pPr>
      <w:rPr>
        <w:rFonts w:hint="default"/>
      </w:rPr>
    </w:lvl>
    <w:lvl w:ilvl="3" w:tplc="928CA740">
      <w:numFmt w:val="bullet"/>
      <w:lvlText w:val="•"/>
      <w:lvlJc w:val="left"/>
      <w:pPr>
        <w:ind w:left="874" w:hanging="100"/>
      </w:pPr>
      <w:rPr>
        <w:rFonts w:hint="default"/>
      </w:rPr>
    </w:lvl>
    <w:lvl w:ilvl="4" w:tplc="BADE5E16">
      <w:numFmt w:val="bullet"/>
      <w:lvlText w:val="•"/>
      <w:lvlJc w:val="left"/>
      <w:pPr>
        <w:ind w:left="1112" w:hanging="100"/>
      </w:pPr>
      <w:rPr>
        <w:rFonts w:hint="default"/>
      </w:rPr>
    </w:lvl>
    <w:lvl w:ilvl="5" w:tplc="0A98DD70">
      <w:numFmt w:val="bullet"/>
      <w:lvlText w:val="•"/>
      <w:lvlJc w:val="left"/>
      <w:pPr>
        <w:ind w:left="1350" w:hanging="100"/>
      </w:pPr>
      <w:rPr>
        <w:rFonts w:hint="default"/>
      </w:rPr>
    </w:lvl>
    <w:lvl w:ilvl="6" w:tplc="A706409E">
      <w:numFmt w:val="bullet"/>
      <w:lvlText w:val="•"/>
      <w:lvlJc w:val="left"/>
      <w:pPr>
        <w:ind w:left="1588" w:hanging="100"/>
      </w:pPr>
      <w:rPr>
        <w:rFonts w:hint="default"/>
      </w:rPr>
    </w:lvl>
    <w:lvl w:ilvl="7" w:tplc="79E01B56">
      <w:numFmt w:val="bullet"/>
      <w:lvlText w:val="•"/>
      <w:lvlJc w:val="left"/>
      <w:pPr>
        <w:ind w:left="1826" w:hanging="100"/>
      </w:pPr>
      <w:rPr>
        <w:rFonts w:hint="default"/>
      </w:rPr>
    </w:lvl>
    <w:lvl w:ilvl="8" w:tplc="0EAE8302">
      <w:numFmt w:val="bullet"/>
      <w:lvlText w:val="•"/>
      <w:lvlJc w:val="left"/>
      <w:pPr>
        <w:ind w:left="2064" w:hanging="100"/>
      </w:pPr>
      <w:rPr>
        <w:rFonts w:hint="default"/>
      </w:rPr>
    </w:lvl>
  </w:abstractNum>
  <w:abstractNum w:abstractNumId="819" w15:restartNumberingAfterBreak="0">
    <w:nsid w:val="33C53CBA"/>
    <w:multiLevelType w:val="hybridMultilevel"/>
    <w:tmpl w:val="DCBCD82A"/>
    <w:lvl w:ilvl="0" w:tplc="63B6C168">
      <w:numFmt w:val="bullet"/>
      <w:lvlText w:val=""/>
      <w:lvlJc w:val="left"/>
      <w:pPr>
        <w:ind w:left="156" w:hanging="100"/>
      </w:pPr>
      <w:rPr>
        <w:rFonts w:ascii="Symbol" w:eastAsia="Symbol" w:hAnsi="Symbol" w:cs="Symbol" w:hint="default"/>
        <w:color w:val="231F20"/>
        <w:w w:val="100"/>
        <w:sz w:val="14"/>
        <w:szCs w:val="14"/>
      </w:rPr>
    </w:lvl>
    <w:lvl w:ilvl="1" w:tplc="52C0E9EA">
      <w:numFmt w:val="bullet"/>
      <w:lvlText w:val="•"/>
      <w:lvlJc w:val="left"/>
      <w:pPr>
        <w:ind w:left="426" w:hanging="100"/>
      </w:pPr>
      <w:rPr>
        <w:rFonts w:hint="default"/>
      </w:rPr>
    </w:lvl>
    <w:lvl w:ilvl="2" w:tplc="5C6C0294">
      <w:numFmt w:val="bullet"/>
      <w:lvlText w:val="•"/>
      <w:lvlJc w:val="left"/>
      <w:pPr>
        <w:ind w:left="692" w:hanging="100"/>
      </w:pPr>
      <w:rPr>
        <w:rFonts w:hint="default"/>
      </w:rPr>
    </w:lvl>
    <w:lvl w:ilvl="3" w:tplc="68641FDC">
      <w:numFmt w:val="bullet"/>
      <w:lvlText w:val="•"/>
      <w:lvlJc w:val="left"/>
      <w:pPr>
        <w:ind w:left="959" w:hanging="100"/>
      </w:pPr>
      <w:rPr>
        <w:rFonts w:hint="default"/>
      </w:rPr>
    </w:lvl>
    <w:lvl w:ilvl="4" w:tplc="A1142BD2">
      <w:numFmt w:val="bullet"/>
      <w:lvlText w:val="•"/>
      <w:lvlJc w:val="left"/>
      <w:pPr>
        <w:ind w:left="1225" w:hanging="100"/>
      </w:pPr>
      <w:rPr>
        <w:rFonts w:hint="default"/>
      </w:rPr>
    </w:lvl>
    <w:lvl w:ilvl="5" w:tplc="7186812A">
      <w:numFmt w:val="bullet"/>
      <w:lvlText w:val="•"/>
      <w:lvlJc w:val="left"/>
      <w:pPr>
        <w:ind w:left="1492" w:hanging="100"/>
      </w:pPr>
      <w:rPr>
        <w:rFonts w:hint="default"/>
      </w:rPr>
    </w:lvl>
    <w:lvl w:ilvl="6" w:tplc="9DEAC9C4">
      <w:numFmt w:val="bullet"/>
      <w:lvlText w:val="•"/>
      <w:lvlJc w:val="left"/>
      <w:pPr>
        <w:ind w:left="1758" w:hanging="100"/>
      </w:pPr>
      <w:rPr>
        <w:rFonts w:hint="default"/>
      </w:rPr>
    </w:lvl>
    <w:lvl w:ilvl="7" w:tplc="0F9E7EC2">
      <w:numFmt w:val="bullet"/>
      <w:lvlText w:val="•"/>
      <w:lvlJc w:val="left"/>
      <w:pPr>
        <w:ind w:left="2024" w:hanging="100"/>
      </w:pPr>
      <w:rPr>
        <w:rFonts w:hint="default"/>
      </w:rPr>
    </w:lvl>
    <w:lvl w:ilvl="8" w:tplc="37BCB452">
      <w:numFmt w:val="bullet"/>
      <w:lvlText w:val="•"/>
      <w:lvlJc w:val="left"/>
      <w:pPr>
        <w:ind w:left="2291" w:hanging="100"/>
      </w:pPr>
      <w:rPr>
        <w:rFonts w:hint="default"/>
      </w:rPr>
    </w:lvl>
  </w:abstractNum>
  <w:abstractNum w:abstractNumId="820" w15:restartNumberingAfterBreak="0">
    <w:nsid w:val="33C969AE"/>
    <w:multiLevelType w:val="hybridMultilevel"/>
    <w:tmpl w:val="27BA548A"/>
    <w:lvl w:ilvl="0" w:tplc="CA7442E8">
      <w:numFmt w:val="bullet"/>
      <w:lvlText w:val=""/>
      <w:lvlJc w:val="left"/>
      <w:pPr>
        <w:ind w:left="157" w:hanging="100"/>
      </w:pPr>
      <w:rPr>
        <w:rFonts w:ascii="Symbol" w:eastAsia="Symbol" w:hAnsi="Symbol" w:cs="Symbol" w:hint="default"/>
        <w:color w:val="231F20"/>
        <w:w w:val="100"/>
        <w:sz w:val="14"/>
        <w:szCs w:val="14"/>
      </w:rPr>
    </w:lvl>
    <w:lvl w:ilvl="1" w:tplc="4BD8066E">
      <w:numFmt w:val="bullet"/>
      <w:lvlText w:val="•"/>
      <w:lvlJc w:val="left"/>
      <w:pPr>
        <w:ind w:left="369" w:hanging="100"/>
      </w:pPr>
      <w:rPr>
        <w:rFonts w:hint="default"/>
      </w:rPr>
    </w:lvl>
    <w:lvl w:ilvl="2" w:tplc="E5E651E2">
      <w:numFmt w:val="bullet"/>
      <w:lvlText w:val="•"/>
      <w:lvlJc w:val="left"/>
      <w:pPr>
        <w:ind w:left="579" w:hanging="100"/>
      </w:pPr>
      <w:rPr>
        <w:rFonts w:hint="default"/>
      </w:rPr>
    </w:lvl>
    <w:lvl w:ilvl="3" w:tplc="AD7CF0FC">
      <w:numFmt w:val="bullet"/>
      <w:lvlText w:val="•"/>
      <w:lvlJc w:val="left"/>
      <w:pPr>
        <w:ind w:left="789" w:hanging="100"/>
      </w:pPr>
      <w:rPr>
        <w:rFonts w:hint="default"/>
      </w:rPr>
    </w:lvl>
    <w:lvl w:ilvl="4" w:tplc="8528E6B2">
      <w:numFmt w:val="bullet"/>
      <w:lvlText w:val="•"/>
      <w:lvlJc w:val="left"/>
      <w:pPr>
        <w:ind w:left="998" w:hanging="100"/>
      </w:pPr>
      <w:rPr>
        <w:rFonts w:hint="default"/>
      </w:rPr>
    </w:lvl>
    <w:lvl w:ilvl="5" w:tplc="FE6AB7A2">
      <w:numFmt w:val="bullet"/>
      <w:lvlText w:val="•"/>
      <w:lvlJc w:val="left"/>
      <w:pPr>
        <w:ind w:left="1208" w:hanging="100"/>
      </w:pPr>
      <w:rPr>
        <w:rFonts w:hint="default"/>
      </w:rPr>
    </w:lvl>
    <w:lvl w:ilvl="6" w:tplc="7B7E0ECA">
      <w:numFmt w:val="bullet"/>
      <w:lvlText w:val="•"/>
      <w:lvlJc w:val="left"/>
      <w:pPr>
        <w:ind w:left="1418" w:hanging="100"/>
      </w:pPr>
      <w:rPr>
        <w:rFonts w:hint="default"/>
      </w:rPr>
    </w:lvl>
    <w:lvl w:ilvl="7" w:tplc="D7708372">
      <w:numFmt w:val="bullet"/>
      <w:lvlText w:val="•"/>
      <w:lvlJc w:val="left"/>
      <w:pPr>
        <w:ind w:left="1627" w:hanging="100"/>
      </w:pPr>
      <w:rPr>
        <w:rFonts w:hint="default"/>
      </w:rPr>
    </w:lvl>
    <w:lvl w:ilvl="8" w:tplc="29668D04">
      <w:numFmt w:val="bullet"/>
      <w:lvlText w:val="•"/>
      <w:lvlJc w:val="left"/>
      <w:pPr>
        <w:ind w:left="1837" w:hanging="100"/>
      </w:pPr>
      <w:rPr>
        <w:rFonts w:hint="default"/>
      </w:rPr>
    </w:lvl>
  </w:abstractNum>
  <w:abstractNum w:abstractNumId="821" w15:restartNumberingAfterBreak="0">
    <w:nsid w:val="33DC2FEE"/>
    <w:multiLevelType w:val="hybridMultilevel"/>
    <w:tmpl w:val="EF22795C"/>
    <w:lvl w:ilvl="0" w:tplc="5BE600CE">
      <w:numFmt w:val="bullet"/>
      <w:lvlText w:val=""/>
      <w:lvlJc w:val="left"/>
      <w:pPr>
        <w:ind w:left="156" w:hanging="100"/>
      </w:pPr>
      <w:rPr>
        <w:rFonts w:ascii="Symbol" w:eastAsia="Symbol" w:hAnsi="Symbol" w:cs="Symbol" w:hint="default"/>
        <w:color w:val="231F20"/>
        <w:w w:val="100"/>
        <w:sz w:val="14"/>
        <w:szCs w:val="14"/>
      </w:rPr>
    </w:lvl>
    <w:lvl w:ilvl="1" w:tplc="4B627D60">
      <w:numFmt w:val="bullet"/>
      <w:lvlText w:val="•"/>
      <w:lvlJc w:val="left"/>
      <w:pPr>
        <w:ind w:left="426" w:hanging="100"/>
      </w:pPr>
      <w:rPr>
        <w:rFonts w:hint="default"/>
      </w:rPr>
    </w:lvl>
    <w:lvl w:ilvl="2" w:tplc="478AD066">
      <w:numFmt w:val="bullet"/>
      <w:lvlText w:val="•"/>
      <w:lvlJc w:val="left"/>
      <w:pPr>
        <w:ind w:left="692" w:hanging="100"/>
      </w:pPr>
      <w:rPr>
        <w:rFonts w:hint="default"/>
      </w:rPr>
    </w:lvl>
    <w:lvl w:ilvl="3" w:tplc="63E25684">
      <w:numFmt w:val="bullet"/>
      <w:lvlText w:val="•"/>
      <w:lvlJc w:val="left"/>
      <w:pPr>
        <w:ind w:left="959" w:hanging="100"/>
      </w:pPr>
      <w:rPr>
        <w:rFonts w:hint="default"/>
      </w:rPr>
    </w:lvl>
    <w:lvl w:ilvl="4" w:tplc="758CDFF6">
      <w:numFmt w:val="bullet"/>
      <w:lvlText w:val="•"/>
      <w:lvlJc w:val="left"/>
      <w:pPr>
        <w:ind w:left="1225" w:hanging="100"/>
      </w:pPr>
      <w:rPr>
        <w:rFonts w:hint="default"/>
      </w:rPr>
    </w:lvl>
    <w:lvl w:ilvl="5" w:tplc="618818B2">
      <w:numFmt w:val="bullet"/>
      <w:lvlText w:val="•"/>
      <w:lvlJc w:val="left"/>
      <w:pPr>
        <w:ind w:left="1492" w:hanging="100"/>
      </w:pPr>
      <w:rPr>
        <w:rFonts w:hint="default"/>
      </w:rPr>
    </w:lvl>
    <w:lvl w:ilvl="6" w:tplc="BE86C952">
      <w:numFmt w:val="bullet"/>
      <w:lvlText w:val="•"/>
      <w:lvlJc w:val="left"/>
      <w:pPr>
        <w:ind w:left="1758" w:hanging="100"/>
      </w:pPr>
      <w:rPr>
        <w:rFonts w:hint="default"/>
      </w:rPr>
    </w:lvl>
    <w:lvl w:ilvl="7" w:tplc="C99883A0">
      <w:numFmt w:val="bullet"/>
      <w:lvlText w:val="•"/>
      <w:lvlJc w:val="left"/>
      <w:pPr>
        <w:ind w:left="2024" w:hanging="100"/>
      </w:pPr>
      <w:rPr>
        <w:rFonts w:hint="default"/>
      </w:rPr>
    </w:lvl>
    <w:lvl w:ilvl="8" w:tplc="0E4854DA">
      <w:numFmt w:val="bullet"/>
      <w:lvlText w:val="•"/>
      <w:lvlJc w:val="left"/>
      <w:pPr>
        <w:ind w:left="2291" w:hanging="100"/>
      </w:pPr>
      <w:rPr>
        <w:rFonts w:hint="default"/>
      </w:rPr>
    </w:lvl>
  </w:abstractNum>
  <w:abstractNum w:abstractNumId="822" w15:restartNumberingAfterBreak="0">
    <w:nsid w:val="34060048"/>
    <w:multiLevelType w:val="hybridMultilevel"/>
    <w:tmpl w:val="FF12F7DC"/>
    <w:lvl w:ilvl="0" w:tplc="3D066EE8">
      <w:numFmt w:val="bullet"/>
      <w:lvlText w:val=""/>
      <w:lvlJc w:val="left"/>
      <w:pPr>
        <w:ind w:left="156" w:hanging="100"/>
      </w:pPr>
      <w:rPr>
        <w:rFonts w:ascii="Symbol" w:eastAsia="Symbol" w:hAnsi="Symbol" w:cs="Symbol" w:hint="default"/>
        <w:color w:val="231F20"/>
        <w:w w:val="100"/>
        <w:sz w:val="14"/>
        <w:szCs w:val="14"/>
      </w:rPr>
    </w:lvl>
    <w:lvl w:ilvl="1" w:tplc="18AAA958">
      <w:numFmt w:val="bullet"/>
      <w:lvlText w:val="•"/>
      <w:lvlJc w:val="left"/>
      <w:pPr>
        <w:ind w:left="301" w:hanging="100"/>
      </w:pPr>
      <w:rPr>
        <w:rFonts w:hint="default"/>
      </w:rPr>
    </w:lvl>
    <w:lvl w:ilvl="2" w:tplc="0720D710">
      <w:numFmt w:val="bullet"/>
      <w:lvlText w:val="•"/>
      <w:lvlJc w:val="left"/>
      <w:pPr>
        <w:ind w:left="443" w:hanging="100"/>
      </w:pPr>
      <w:rPr>
        <w:rFonts w:hint="default"/>
      </w:rPr>
    </w:lvl>
    <w:lvl w:ilvl="3" w:tplc="440A8406">
      <w:numFmt w:val="bullet"/>
      <w:lvlText w:val="•"/>
      <w:lvlJc w:val="left"/>
      <w:pPr>
        <w:ind w:left="585" w:hanging="100"/>
      </w:pPr>
      <w:rPr>
        <w:rFonts w:hint="default"/>
      </w:rPr>
    </w:lvl>
    <w:lvl w:ilvl="4" w:tplc="5E4E29DA">
      <w:numFmt w:val="bullet"/>
      <w:lvlText w:val="•"/>
      <w:lvlJc w:val="left"/>
      <w:pPr>
        <w:ind w:left="726" w:hanging="100"/>
      </w:pPr>
      <w:rPr>
        <w:rFonts w:hint="default"/>
      </w:rPr>
    </w:lvl>
    <w:lvl w:ilvl="5" w:tplc="F15281B2">
      <w:numFmt w:val="bullet"/>
      <w:lvlText w:val="•"/>
      <w:lvlJc w:val="left"/>
      <w:pPr>
        <w:ind w:left="868" w:hanging="100"/>
      </w:pPr>
      <w:rPr>
        <w:rFonts w:hint="default"/>
      </w:rPr>
    </w:lvl>
    <w:lvl w:ilvl="6" w:tplc="FD70773A">
      <w:numFmt w:val="bullet"/>
      <w:lvlText w:val="•"/>
      <w:lvlJc w:val="left"/>
      <w:pPr>
        <w:ind w:left="1010" w:hanging="100"/>
      </w:pPr>
      <w:rPr>
        <w:rFonts w:hint="default"/>
      </w:rPr>
    </w:lvl>
    <w:lvl w:ilvl="7" w:tplc="659C9072">
      <w:numFmt w:val="bullet"/>
      <w:lvlText w:val="•"/>
      <w:lvlJc w:val="left"/>
      <w:pPr>
        <w:ind w:left="1151" w:hanging="100"/>
      </w:pPr>
      <w:rPr>
        <w:rFonts w:hint="default"/>
      </w:rPr>
    </w:lvl>
    <w:lvl w:ilvl="8" w:tplc="F68840D6">
      <w:numFmt w:val="bullet"/>
      <w:lvlText w:val="•"/>
      <w:lvlJc w:val="left"/>
      <w:pPr>
        <w:ind w:left="1293" w:hanging="100"/>
      </w:pPr>
      <w:rPr>
        <w:rFonts w:hint="default"/>
      </w:rPr>
    </w:lvl>
  </w:abstractNum>
  <w:abstractNum w:abstractNumId="823" w15:restartNumberingAfterBreak="0">
    <w:nsid w:val="3442013C"/>
    <w:multiLevelType w:val="hybridMultilevel"/>
    <w:tmpl w:val="1B76DD82"/>
    <w:lvl w:ilvl="0" w:tplc="55DADDAA">
      <w:numFmt w:val="bullet"/>
      <w:lvlText w:val=""/>
      <w:lvlJc w:val="left"/>
      <w:pPr>
        <w:ind w:left="156" w:hanging="100"/>
      </w:pPr>
      <w:rPr>
        <w:rFonts w:ascii="Symbol" w:eastAsia="Symbol" w:hAnsi="Symbol" w:cs="Symbol" w:hint="default"/>
        <w:color w:val="231F20"/>
        <w:w w:val="100"/>
        <w:sz w:val="14"/>
        <w:szCs w:val="14"/>
      </w:rPr>
    </w:lvl>
    <w:lvl w:ilvl="1" w:tplc="5AAAC1D4">
      <w:numFmt w:val="bullet"/>
      <w:lvlText w:val="•"/>
      <w:lvlJc w:val="left"/>
      <w:pPr>
        <w:ind w:left="398" w:hanging="100"/>
      </w:pPr>
      <w:rPr>
        <w:rFonts w:hint="default"/>
      </w:rPr>
    </w:lvl>
    <w:lvl w:ilvl="2" w:tplc="7F3C8A0A">
      <w:numFmt w:val="bullet"/>
      <w:lvlText w:val="•"/>
      <w:lvlJc w:val="left"/>
      <w:pPr>
        <w:ind w:left="636" w:hanging="100"/>
      </w:pPr>
      <w:rPr>
        <w:rFonts w:hint="default"/>
      </w:rPr>
    </w:lvl>
    <w:lvl w:ilvl="3" w:tplc="31E451F0">
      <w:numFmt w:val="bullet"/>
      <w:lvlText w:val="•"/>
      <w:lvlJc w:val="left"/>
      <w:pPr>
        <w:ind w:left="874" w:hanging="100"/>
      </w:pPr>
      <w:rPr>
        <w:rFonts w:hint="default"/>
      </w:rPr>
    </w:lvl>
    <w:lvl w:ilvl="4" w:tplc="CF5C96C0">
      <w:numFmt w:val="bullet"/>
      <w:lvlText w:val="•"/>
      <w:lvlJc w:val="left"/>
      <w:pPr>
        <w:ind w:left="1112" w:hanging="100"/>
      </w:pPr>
      <w:rPr>
        <w:rFonts w:hint="default"/>
      </w:rPr>
    </w:lvl>
    <w:lvl w:ilvl="5" w:tplc="DD58152A">
      <w:numFmt w:val="bullet"/>
      <w:lvlText w:val="•"/>
      <w:lvlJc w:val="left"/>
      <w:pPr>
        <w:ind w:left="1350" w:hanging="100"/>
      </w:pPr>
      <w:rPr>
        <w:rFonts w:hint="default"/>
      </w:rPr>
    </w:lvl>
    <w:lvl w:ilvl="6" w:tplc="2D2A0592">
      <w:numFmt w:val="bullet"/>
      <w:lvlText w:val="•"/>
      <w:lvlJc w:val="left"/>
      <w:pPr>
        <w:ind w:left="1588" w:hanging="100"/>
      </w:pPr>
      <w:rPr>
        <w:rFonts w:hint="default"/>
      </w:rPr>
    </w:lvl>
    <w:lvl w:ilvl="7" w:tplc="15583FE8">
      <w:numFmt w:val="bullet"/>
      <w:lvlText w:val="•"/>
      <w:lvlJc w:val="left"/>
      <w:pPr>
        <w:ind w:left="1826" w:hanging="100"/>
      </w:pPr>
      <w:rPr>
        <w:rFonts w:hint="default"/>
      </w:rPr>
    </w:lvl>
    <w:lvl w:ilvl="8" w:tplc="01DA6F7E">
      <w:numFmt w:val="bullet"/>
      <w:lvlText w:val="•"/>
      <w:lvlJc w:val="left"/>
      <w:pPr>
        <w:ind w:left="2064" w:hanging="100"/>
      </w:pPr>
      <w:rPr>
        <w:rFonts w:hint="default"/>
      </w:rPr>
    </w:lvl>
  </w:abstractNum>
  <w:abstractNum w:abstractNumId="824" w15:restartNumberingAfterBreak="0">
    <w:nsid w:val="34641AC2"/>
    <w:multiLevelType w:val="hybridMultilevel"/>
    <w:tmpl w:val="8B687634"/>
    <w:lvl w:ilvl="0" w:tplc="3DD0E78A">
      <w:numFmt w:val="bullet"/>
      <w:lvlText w:val=""/>
      <w:lvlJc w:val="left"/>
      <w:pPr>
        <w:ind w:left="156" w:hanging="100"/>
      </w:pPr>
      <w:rPr>
        <w:rFonts w:ascii="Symbol" w:eastAsia="Symbol" w:hAnsi="Symbol" w:cs="Symbol" w:hint="default"/>
        <w:color w:val="231F20"/>
        <w:w w:val="100"/>
        <w:sz w:val="14"/>
        <w:szCs w:val="14"/>
      </w:rPr>
    </w:lvl>
    <w:lvl w:ilvl="1" w:tplc="4B648968">
      <w:numFmt w:val="bullet"/>
      <w:lvlText w:val="•"/>
      <w:lvlJc w:val="left"/>
      <w:pPr>
        <w:ind w:left="398" w:hanging="100"/>
      </w:pPr>
      <w:rPr>
        <w:rFonts w:hint="default"/>
      </w:rPr>
    </w:lvl>
    <w:lvl w:ilvl="2" w:tplc="CEBA301A">
      <w:numFmt w:val="bullet"/>
      <w:lvlText w:val="•"/>
      <w:lvlJc w:val="left"/>
      <w:pPr>
        <w:ind w:left="636" w:hanging="100"/>
      </w:pPr>
      <w:rPr>
        <w:rFonts w:hint="default"/>
      </w:rPr>
    </w:lvl>
    <w:lvl w:ilvl="3" w:tplc="AF90C1E0">
      <w:numFmt w:val="bullet"/>
      <w:lvlText w:val="•"/>
      <w:lvlJc w:val="left"/>
      <w:pPr>
        <w:ind w:left="874" w:hanging="100"/>
      </w:pPr>
      <w:rPr>
        <w:rFonts w:hint="default"/>
      </w:rPr>
    </w:lvl>
    <w:lvl w:ilvl="4" w:tplc="62408A9E">
      <w:numFmt w:val="bullet"/>
      <w:lvlText w:val="•"/>
      <w:lvlJc w:val="left"/>
      <w:pPr>
        <w:ind w:left="1112" w:hanging="100"/>
      </w:pPr>
      <w:rPr>
        <w:rFonts w:hint="default"/>
      </w:rPr>
    </w:lvl>
    <w:lvl w:ilvl="5" w:tplc="4A3A100C">
      <w:numFmt w:val="bullet"/>
      <w:lvlText w:val="•"/>
      <w:lvlJc w:val="left"/>
      <w:pPr>
        <w:ind w:left="1350" w:hanging="100"/>
      </w:pPr>
      <w:rPr>
        <w:rFonts w:hint="default"/>
      </w:rPr>
    </w:lvl>
    <w:lvl w:ilvl="6" w:tplc="23FCC79C">
      <w:numFmt w:val="bullet"/>
      <w:lvlText w:val="•"/>
      <w:lvlJc w:val="left"/>
      <w:pPr>
        <w:ind w:left="1588" w:hanging="100"/>
      </w:pPr>
      <w:rPr>
        <w:rFonts w:hint="default"/>
      </w:rPr>
    </w:lvl>
    <w:lvl w:ilvl="7" w:tplc="64F8D794">
      <w:numFmt w:val="bullet"/>
      <w:lvlText w:val="•"/>
      <w:lvlJc w:val="left"/>
      <w:pPr>
        <w:ind w:left="1826" w:hanging="100"/>
      </w:pPr>
      <w:rPr>
        <w:rFonts w:hint="default"/>
      </w:rPr>
    </w:lvl>
    <w:lvl w:ilvl="8" w:tplc="E2C8C226">
      <w:numFmt w:val="bullet"/>
      <w:lvlText w:val="•"/>
      <w:lvlJc w:val="left"/>
      <w:pPr>
        <w:ind w:left="2064" w:hanging="100"/>
      </w:pPr>
      <w:rPr>
        <w:rFonts w:hint="default"/>
      </w:rPr>
    </w:lvl>
  </w:abstractNum>
  <w:abstractNum w:abstractNumId="825" w15:restartNumberingAfterBreak="0">
    <w:nsid w:val="34654F51"/>
    <w:multiLevelType w:val="hybridMultilevel"/>
    <w:tmpl w:val="57A4B544"/>
    <w:lvl w:ilvl="0" w:tplc="848C68D8">
      <w:numFmt w:val="bullet"/>
      <w:lvlText w:val=""/>
      <w:lvlJc w:val="left"/>
      <w:pPr>
        <w:ind w:left="156" w:hanging="100"/>
      </w:pPr>
      <w:rPr>
        <w:rFonts w:ascii="Symbol" w:eastAsia="Symbol" w:hAnsi="Symbol" w:cs="Symbol" w:hint="default"/>
        <w:color w:val="231F20"/>
        <w:w w:val="100"/>
        <w:sz w:val="14"/>
        <w:szCs w:val="14"/>
      </w:rPr>
    </w:lvl>
    <w:lvl w:ilvl="1" w:tplc="7CD0DDFC">
      <w:numFmt w:val="bullet"/>
      <w:lvlText w:val="•"/>
      <w:lvlJc w:val="left"/>
      <w:pPr>
        <w:ind w:left="398" w:hanging="100"/>
      </w:pPr>
      <w:rPr>
        <w:rFonts w:hint="default"/>
      </w:rPr>
    </w:lvl>
    <w:lvl w:ilvl="2" w:tplc="A4B8BE86">
      <w:numFmt w:val="bullet"/>
      <w:lvlText w:val="•"/>
      <w:lvlJc w:val="left"/>
      <w:pPr>
        <w:ind w:left="636" w:hanging="100"/>
      </w:pPr>
      <w:rPr>
        <w:rFonts w:hint="default"/>
      </w:rPr>
    </w:lvl>
    <w:lvl w:ilvl="3" w:tplc="A704C69C">
      <w:numFmt w:val="bullet"/>
      <w:lvlText w:val="•"/>
      <w:lvlJc w:val="left"/>
      <w:pPr>
        <w:ind w:left="874" w:hanging="100"/>
      </w:pPr>
      <w:rPr>
        <w:rFonts w:hint="default"/>
      </w:rPr>
    </w:lvl>
    <w:lvl w:ilvl="4" w:tplc="D0C478D6">
      <w:numFmt w:val="bullet"/>
      <w:lvlText w:val="•"/>
      <w:lvlJc w:val="left"/>
      <w:pPr>
        <w:ind w:left="1112" w:hanging="100"/>
      </w:pPr>
      <w:rPr>
        <w:rFonts w:hint="default"/>
      </w:rPr>
    </w:lvl>
    <w:lvl w:ilvl="5" w:tplc="47969D20">
      <w:numFmt w:val="bullet"/>
      <w:lvlText w:val="•"/>
      <w:lvlJc w:val="left"/>
      <w:pPr>
        <w:ind w:left="1350" w:hanging="100"/>
      </w:pPr>
      <w:rPr>
        <w:rFonts w:hint="default"/>
      </w:rPr>
    </w:lvl>
    <w:lvl w:ilvl="6" w:tplc="7D2802A6">
      <w:numFmt w:val="bullet"/>
      <w:lvlText w:val="•"/>
      <w:lvlJc w:val="left"/>
      <w:pPr>
        <w:ind w:left="1588" w:hanging="100"/>
      </w:pPr>
      <w:rPr>
        <w:rFonts w:hint="default"/>
      </w:rPr>
    </w:lvl>
    <w:lvl w:ilvl="7" w:tplc="FB84A1EE">
      <w:numFmt w:val="bullet"/>
      <w:lvlText w:val="•"/>
      <w:lvlJc w:val="left"/>
      <w:pPr>
        <w:ind w:left="1826" w:hanging="100"/>
      </w:pPr>
      <w:rPr>
        <w:rFonts w:hint="default"/>
      </w:rPr>
    </w:lvl>
    <w:lvl w:ilvl="8" w:tplc="D5BA01EA">
      <w:numFmt w:val="bullet"/>
      <w:lvlText w:val="•"/>
      <w:lvlJc w:val="left"/>
      <w:pPr>
        <w:ind w:left="2064" w:hanging="100"/>
      </w:pPr>
      <w:rPr>
        <w:rFonts w:hint="default"/>
      </w:rPr>
    </w:lvl>
  </w:abstractNum>
  <w:abstractNum w:abstractNumId="826" w15:restartNumberingAfterBreak="0">
    <w:nsid w:val="346660E0"/>
    <w:multiLevelType w:val="hybridMultilevel"/>
    <w:tmpl w:val="884C36FE"/>
    <w:lvl w:ilvl="0" w:tplc="FE88591E">
      <w:numFmt w:val="bullet"/>
      <w:lvlText w:val=""/>
      <w:lvlJc w:val="left"/>
      <w:pPr>
        <w:ind w:left="157" w:hanging="100"/>
      </w:pPr>
      <w:rPr>
        <w:rFonts w:ascii="Symbol" w:eastAsia="Symbol" w:hAnsi="Symbol" w:cs="Symbol" w:hint="default"/>
        <w:color w:val="231F20"/>
        <w:w w:val="100"/>
        <w:sz w:val="14"/>
        <w:szCs w:val="14"/>
      </w:rPr>
    </w:lvl>
    <w:lvl w:ilvl="1" w:tplc="660C3482">
      <w:numFmt w:val="bullet"/>
      <w:lvlText w:val="•"/>
      <w:lvlJc w:val="left"/>
      <w:pPr>
        <w:ind w:left="398" w:hanging="100"/>
      </w:pPr>
      <w:rPr>
        <w:rFonts w:hint="default"/>
      </w:rPr>
    </w:lvl>
    <w:lvl w:ilvl="2" w:tplc="C548D794">
      <w:numFmt w:val="bullet"/>
      <w:lvlText w:val="•"/>
      <w:lvlJc w:val="left"/>
      <w:pPr>
        <w:ind w:left="636" w:hanging="100"/>
      </w:pPr>
      <w:rPr>
        <w:rFonts w:hint="default"/>
      </w:rPr>
    </w:lvl>
    <w:lvl w:ilvl="3" w:tplc="D4EA8DB8">
      <w:numFmt w:val="bullet"/>
      <w:lvlText w:val="•"/>
      <w:lvlJc w:val="left"/>
      <w:pPr>
        <w:ind w:left="874" w:hanging="100"/>
      </w:pPr>
      <w:rPr>
        <w:rFonts w:hint="default"/>
      </w:rPr>
    </w:lvl>
    <w:lvl w:ilvl="4" w:tplc="4ED6C7CE">
      <w:numFmt w:val="bullet"/>
      <w:lvlText w:val="•"/>
      <w:lvlJc w:val="left"/>
      <w:pPr>
        <w:ind w:left="1112" w:hanging="100"/>
      </w:pPr>
      <w:rPr>
        <w:rFonts w:hint="default"/>
      </w:rPr>
    </w:lvl>
    <w:lvl w:ilvl="5" w:tplc="D6B096D4">
      <w:numFmt w:val="bullet"/>
      <w:lvlText w:val="•"/>
      <w:lvlJc w:val="left"/>
      <w:pPr>
        <w:ind w:left="1350" w:hanging="100"/>
      </w:pPr>
      <w:rPr>
        <w:rFonts w:hint="default"/>
      </w:rPr>
    </w:lvl>
    <w:lvl w:ilvl="6" w:tplc="BAD2BB36">
      <w:numFmt w:val="bullet"/>
      <w:lvlText w:val="•"/>
      <w:lvlJc w:val="left"/>
      <w:pPr>
        <w:ind w:left="1588" w:hanging="100"/>
      </w:pPr>
      <w:rPr>
        <w:rFonts w:hint="default"/>
      </w:rPr>
    </w:lvl>
    <w:lvl w:ilvl="7" w:tplc="C1601FF0">
      <w:numFmt w:val="bullet"/>
      <w:lvlText w:val="•"/>
      <w:lvlJc w:val="left"/>
      <w:pPr>
        <w:ind w:left="1826" w:hanging="100"/>
      </w:pPr>
      <w:rPr>
        <w:rFonts w:hint="default"/>
      </w:rPr>
    </w:lvl>
    <w:lvl w:ilvl="8" w:tplc="C30AD5C0">
      <w:numFmt w:val="bullet"/>
      <w:lvlText w:val="•"/>
      <w:lvlJc w:val="left"/>
      <w:pPr>
        <w:ind w:left="2064" w:hanging="100"/>
      </w:pPr>
      <w:rPr>
        <w:rFonts w:hint="default"/>
      </w:rPr>
    </w:lvl>
  </w:abstractNum>
  <w:abstractNum w:abstractNumId="827" w15:restartNumberingAfterBreak="0">
    <w:nsid w:val="346C5FE7"/>
    <w:multiLevelType w:val="hybridMultilevel"/>
    <w:tmpl w:val="B8BECF0A"/>
    <w:lvl w:ilvl="0" w:tplc="515EE70E">
      <w:numFmt w:val="bullet"/>
      <w:lvlText w:val=""/>
      <w:lvlJc w:val="left"/>
      <w:pPr>
        <w:ind w:left="157" w:hanging="100"/>
      </w:pPr>
      <w:rPr>
        <w:rFonts w:ascii="Symbol" w:eastAsia="Symbol" w:hAnsi="Symbol" w:cs="Symbol" w:hint="default"/>
        <w:color w:val="231F20"/>
        <w:w w:val="100"/>
        <w:sz w:val="14"/>
        <w:szCs w:val="14"/>
      </w:rPr>
    </w:lvl>
    <w:lvl w:ilvl="1" w:tplc="B32C356A">
      <w:numFmt w:val="bullet"/>
      <w:lvlText w:val="•"/>
      <w:lvlJc w:val="left"/>
      <w:pPr>
        <w:ind w:left="369" w:hanging="100"/>
      </w:pPr>
      <w:rPr>
        <w:rFonts w:hint="default"/>
      </w:rPr>
    </w:lvl>
    <w:lvl w:ilvl="2" w:tplc="8DFA5248">
      <w:numFmt w:val="bullet"/>
      <w:lvlText w:val="•"/>
      <w:lvlJc w:val="left"/>
      <w:pPr>
        <w:ind w:left="579" w:hanging="100"/>
      </w:pPr>
      <w:rPr>
        <w:rFonts w:hint="default"/>
      </w:rPr>
    </w:lvl>
    <w:lvl w:ilvl="3" w:tplc="136A3266">
      <w:numFmt w:val="bullet"/>
      <w:lvlText w:val="•"/>
      <w:lvlJc w:val="left"/>
      <w:pPr>
        <w:ind w:left="789" w:hanging="100"/>
      </w:pPr>
      <w:rPr>
        <w:rFonts w:hint="default"/>
      </w:rPr>
    </w:lvl>
    <w:lvl w:ilvl="4" w:tplc="FF761F8A">
      <w:numFmt w:val="bullet"/>
      <w:lvlText w:val="•"/>
      <w:lvlJc w:val="left"/>
      <w:pPr>
        <w:ind w:left="998" w:hanging="100"/>
      </w:pPr>
      <w:rPr>
        <w:rFonts w:hint="default"/>
      </w:rPr>
    </w:lvl>
    <w:lvl w:ilvl="5" w:tplc="6160243C">
      <w:numFmt w:val="bullet"/>
      <w:lvlText w:val="•"/>
      <w:lvlJc w:val="left"/>
      <w:pPr>
        <w:ind w:left="1208" w:hanging="100"/>
      </w:pPr>
      <w:rPr>
        <w:rFonts w:hint="default"/>
      </w:rPr>
    </w:lvl>
    <w:lvl w:ilvl="6" w:tplc="5AB66940">
      <w:numFmt w:val="bullet"/>
      <w:lvlText w:val="•"/>
      <w:lvlJc w:val="left"/>
      <w:pPr>
        <w:ind w:left="1418" w:hanging="100"/>
      </w:pPr>
      <w:rPr>
        <w:rFonts w:hint="default"/>
      </w:rPr>
    </w:lvl>
    <w:lvl w:ilvl="7" w:tplc="45D444D6">
      <w:numFmt w:val="bullet"/>
      <w:lvlText w:val="•"/>
      <w:lvlJc w:val="left"/>
      <w:pPr>
        <w:ind w:left="1627" w:hanging="100"/>
      </w:pPr>
      <w:rPr>
        <w:rFonts w:hint="default"/>
      </w:rPr>
    </w:lvl>
    <w:lvl w:ilvl="8" w:tplc="3B48AF4A">
      <w:numFmt w:val="bullet"/>
      <w:lvlText w:val="•"/>
      <w:lvlJc w:val="left"/>
      <w:pPr>
        <w:ind w:left="1837" w:hanging="100"/>
      </w:pPr>
      <w:rPr>
        <w:rFonts w:hint="default"/>
      </w:rPr>
    </w:lvl>
  </w:abstractNum>
  <w:abstractNum w:abstractNumId="828" w15:restartNumberingAfterBreak="0">
    <w:nsid w:val="34781E98"/>
    <w:multiLevelType w:val="hybridMultilevel"/>
    <w:tmpl w:val="CC707558"/>
    <w:lvl w:ilvl="0" w:tplc="468E0E74">
      <w:numFmt w:val="bullet"/>
      <w:lvlText w:val=""/>
      <w:lvlJc w:val="left"/>
      <w:pPr>
        <w:ind w:left="156" w:hanging="100"/>
      </w:pPr>
      <w:rPr>
        <w:rFonts w:ascii="Symbol" w:eastAsia="Symbol" w:hAnsi="Symbol" w:cs="Symbol" w:hint="default"/>
        <w:color w:val="231F20"/>
        <w:w w:val="100"/>
        <w:sz w:val="14"/>
        <w:szCs w:val="14"/>
      </w:rPr>
    </w:lvl>
    <w:lvl w:ilvl="1" w:tplc="C8667B2C">
      <w:numFmt w:val="bullet"/>
      <w:lvlText w:val="•"/>
      <w:lvlJc w:val="left"/>
      <w:pPr>
        <w:ind w:left="301" w:hanging="100"/>
      </w:pPr>
      <w:rPr>
        <w:rFonts w:hint="default"/>
      </w:rPr>
    </w:lvl>
    <w:lvl w:ilvl="2" w:tplc="ED8228B4">
      <w:numFmt w:val="bullet"/>
      <w:lvlText w:val="•"/>
      <w:lvlJc w:val="left"/>
      <w:pPr>
        <w:ind w:left="443" w:hanging="100"/>
      </w:pPr>
      <w:rPr>
        <w:rFonts w:hint="default"/>
      </w:rPr>
    </w:lvl>
    <w:lvl w:ilvl="3" w:tplc="E1168472">
      <w:numFmt w:val="bullet"/>
      <w:lvlText w:val="•"/>
      <w:lvlJc w:val="left"/>
      <w:pPr>
        <w:ind w:left="585" w:hanging="100"/>
      </w:pPr>
      <w:rPr>
        <w:rFonts w:hint="default"/>
      </w:rPr>
    </w:lvl>
    <w:lvl w:ilvl="4" w:tplc="6DD2AA06">
      <w:numFmt w:val="bullet"/>
      <w:lvlText w:val="•"/>
      <w:lvlJc w:val="left"/>
      <w:pPr>
        <w:ind w:left="726" w:hanging="100"/>
      </w:pPr>
      <w:rPr>
        <w:rFonts w:hint="default"/>
      </w:rPr>
    </w:lvl>
    <w:lvl w:ilvl="5" w:tplc="24D8CBD4">
      <w:numFmt w:val="bullet"/>
      <w:lvlText w:val="•"/>
      <w:lvlJc w:val="left"/>
      <w:pPr>
        <w:ind w:left="868" w:hanging="100"/>
      </w:pPr>
      <w:rPr>
        <w:rFonts w:hint="default"/>
      </w:rPr>
    </w:lvl>
    <w:lvl w:ilvl="6" w:tplc="FD9E439A">
      <w:numFmt w:val="bullet"/>
      <w:lvlText w:val="•"/>
      <w:lvlJc w:val="left"/>
      <w:pPr>
        <w:ind w:left="1010" w:hanging="100"/>
      </w:pPr>
      <w:rPr>
        <w:rFonts w:hint="default"/>
      </w:rPr>
    </w:lvl>
    <w:lvl w:ilvl="7" w:tplc="BAACD0D0">
      <w:numFmt w:val="bullet"/>
      <w:lvlText w:val="•"/>
      <w:lvlJc w:val="left"/>
      <w:pPr>
        <w:ind w:left="1151" w:hanging="100"/>
      </w:pPr>
      <w:rPr>
        <w:rFonts w:hint="default"/>
      </w:rPr>
    </w:lvl>
    <w:lvl w:ilvl="8" w:tplc="59DE268C">
      <w:numFmt w:val="bullet"/>
      <w:lvlText w:val="•"/>
      <w:lvlJc w:val="left"/>
      <w:pPr>
        <w:ind w:left="1293" w:hanging="100"/>
      </w:pPr>
      <w:rPr>
        <w:rFonts w:hint="default"/>
      </w:rPr>
    </w:lvl>
  </w:abstractNum>
  <w:abstractNum w:abstractNumId="829" w15:restartNumberingAfterBreak="0">
    <w:nsid w:val="347E142C"/>
    <w:multiLevelType w:val="hybridMultilevel"/>
    <w:tmpl w:val="0D942BE0"/>
    <w:lvl w:ilvl="0" w:tplc="89D8C748">
      <w:numFmt w:val="bullet"/>
      <w:lvlText w:val=""/>
      <w:lvlJc w:val="left"/>
      <w:pPr>
        <w:ind w:left="156" w:hanging="100"/>
      </w:pPr>
      <w:rPr>
        <w:rFonts w:ascii="Symbol" w:eastAsia="Symbol" w:hAnsi="Symbol" w:cs="Symbol" w:hint="default"/>
        <w:color w:val="231F20"/>
        <w:w w:val="100"/>
        <w:sz w:val="14"/>
        <w:szCs w:val="14"/>
      </w:rPr>
    </w:lvl>
    <w:lvl w:ilvl="1" w:tplc="B9A69660">
      <w:numFmt w:val="bullet"/>
      <w:lvlText w:val="•"/>
      <w:lvlJc w:val="left"/>
      <w:pPr>
        <w:ind w:left="301" w:hanging="100"/>
      </w:pPr>
      <w:rPr>
        <w:rFonts w:hint="default"/>
      </w:rPr>
    </w:lvl>
    <w:lvl w:ilvl="2" w:tplc="75EAF44C">
      <w:numFmt w:val="bullet"/>
      <w:lvlText w:val="•"/>
      <w:lvlJc w:val="left"/>
      <w:pPr>
        <w:ind w:left="443" w:hanging="100"/>
      </w:pPr>
      <w:rPr>
        <w:rFonts w:hint="default"/>
      </w:rPr>
    </w:lvl>
    <w:lvl w:ilvl="3" w:tplc="C006254E">
      <w:numFmt w:val="bullet"/>
      <w:lvlText w:val="•"/>
      <w:lvlJc w:val="left"/>
      <w:pPr>
        <w:ind w:left="585" w:hanging="100"/>
      </w:pPr>
      <w:rPr>
        <w:rFonts w:hint="default"/>
      </w:rPr>
    </w:lvl>
    <w:lvl w:ilvl="4" w:tplc="7D522C96">
      <w:numFmt w:val="bullet"/>
      <w:lvlText w:val="•"/>
      <w:lvlJc w:val="left"/>
      <w:pPr>
        <w:ind w:left="726" w:hanging="100"/>
      </w:pPr>
      <w:rPr>
        <w:rFonts w:hint="default"/>
      </w:rPr>
    </w:lvl>
    <w:lvl w:ilvl="5" w:tplc="C87E0B80">
      <w:numFmt w:val="bullet"/>
      <w:lvlText w:val="•"/>
      <w:lvlJc w:val="left"/>
      <w:pPr>
        <w:ind w:left="868" w:hanging="100"/>
      </w:pPr>
      <w:rPr>
        <w:rFonts w:hint="default"/>
      </w:rPr>
    </w:lvl>
    <w:lvl w:ilvl="6" w:tplc="9DB2459E">
      <w:numFmt w:val="bullet"/>
      <w:lvlText w:val="•"/>
      <w:lvlJc w:val="left"/>
      <w:pPr>
        <w:ind w:left="1010" w:hanging="100"/>
      </w:pPr>
      <w:rPr>
        <w:rFonts w:hint="default"/>
      </w:rPr>
    </w:lvl>
    <w:lvl w:ilvl="7" w:tplc="51BC2346">
      <w:numFmt w:val="bullet"/>
      <w:lvlText w:val="•"/>
      <w:lvlJc w:val="left"/>
      <w:pPr>
        <w:ind w:left="1151" w:hanging="100"/>
      </w:pPr>
      <w:rPr>
        <w:rFonts w:hint="default"/>
      </w:rPr>
    </w:lvl>
    <w:lvl w:ilvl="8" w:tplc="967A631A">
      <w:numFmt w:val="bullet"/>
      <w:lvlText w:val="•"/>
      <w:lvlJc w:val="left"/>
      <w:pPr>
        <w:ind w:left="1293" w:hanging="100"/>
      </w:pPr>
      <w:rPr>
        <w:rFonts w:hint="default"/>
      </w:rPr>
    </w:lvl>
  </w:abstractNum>
  <w:abstractNum w:abstractNumId="830" w15:restartNumberingAfterBreak="0">
    <w:nsid w:val="3494427B"/>
    <w:multiLevelType w:val="hybridMultilevel"/>
    <w:tmpl w:val="69C89946"/>
    <w:lvl w:ilvl="0" w:tplc="9EC0CCA2">
      <w:numFmt w:val="bullet"/>
      <w:lvlText w:val=""/>
      <w:lvlJc w:val="left"/>
      <w:pPr>
        <w:ind w:left="156" w:hanging="100"/>
      </w:pPr>
      <w:rPr>
        <w:rFonts w:ascii="Symbol" w:eastAsia="Symbol" w:hAnsi="Symbol" w:cs="Symbol" w:hint="default"/>
        <w:color w:val="231F20"/>
        <w:w w:val="100"/>
        <w:sz w:val="14"/>
        <w:szCs w:val="14"/>
      </w:rPr>
    </w:lvl>
    <w:lvl w:ilvl="1" w:tplc="DC2E7F5E">
      <w:numFmt w:val="bullet"/>
      <w:lvlText w:val="•"/>
      <w:lvlJc w:val="left"/>
      <w:pPr>
        <w:ind w:left="398" w:hanging="100"/>
      </w:pPr>
      <w:rPr>
        <w:rFonts w:hint="default"/>
      </w:rPr>
    </w:lvl>
    <w:lvl w:ilvl="2" w:tplc="CC2ADBD8">
      <w:numFmt w:val="bullet"/>
      <w:lvlText w:val="•"/>
      <w:lvlJc w:val="left"/>
      <w:pPr>
        <w:ind w:left="636" w:hanging="100"/>
      </w:pPr>
      <w:rPr>
        <w:rFonts w:hint="default"/>
      </w:rPr>
    </w:lvl>
    <w:lvl w:ilvl="3" w:tplc="6C0EDF50">
      <w:numFmt w:val="bullet"/>
      <w:lvlText w:val="•"/>
      <w:lvlJc w:val="left"/>
      <w:pPr>
        <w:ind w:left="874" w:hanging="100"/>
      </w:pPr>
      <w:rPr>
        <w:rFonts w:hint="default"/>
      </w:rPr>
    </w:lvl>
    <w:lvl w:ilvl="4" w:tplc="B7829A74">
      <w:numFmt w:val="bullet"/>
      <w:lvlText w:val="•"/>
      <w:lvlJc w:val="left"/>
      <w:pPr>
        <w:ind w:left="1112" w:hanging="100"/>
      </w:pPr>
      <w:rPr>
        <w:rFonts w:hint="default"/>
      </w:rPr>
    </w:lvl>
    <w:lvl w:ilvl="5" w:tplc="F8185ACA">
      <w:numFmt w:val="bullet"/>
      <w:lvlText w:val="•"/>
      <w:lvlJc w:val="left"/>
      <w:pPr>
        <w:ind w:left="1350" w:hanging="100"/>
      </w:pPr>
      <w:rPr>
        <w:rFonts w:hint="default"/>
      </w:rPr>
    </w:lvl>
    <w:lvl w:ilvl="6" w:tplc="4CDAC8B4">
      <w:numFmt w:val="bullet"/>
      <w:lvlText w:val="•"/>
      <w:lvlJc w:val="left"/>
      <w:pPr>
        <w:ind w:left="1588" w:hanging="100"/>
      </w:pPr>
      <w:rPr>
        <w:rFonts w:hint="default"/>
      </w:rPr>
    </w:lvl>
    <w:lvl w:ilvl="7" w:tplc="3ADC8892">
      <w:numFmt w:val="bullet"/>
      <w:lvlText w:val="•"/>
      <w:lvlJc w:val="left"/>
      <w:pPr>
        <w:ind w:left="1826" w:hanging="100"/>
      </w:pPr>
      <w:rPr>
        <w:rFonts w:hint="default"/>
      </w:rPr>
    </w:lvl>
    <w:lvl w:ilvl="8" w:tplc="CF6A8C02">
      <w:numFmt w:val="bullet"/>
      <w:lvlText w:val="•"/>
      <w:lvlJc w:val="left"/>
      <w:pPr>
        <w:ind w:left="2064" w:hanging="100"/>
      </w:pPr>
      <w:rPr>
        <w:rFonts w:hint="default"/>
      </w:rPr>
    </w:lvl>
  </w:abstractNum>
  <w:abstractNum w:abstractNumId="831" w15:restartNumberingAfterBreak="0">
    <w:nsid w:val="34944F4F"/>
    <w:multiLevelType w:val="hybridMultilevel"/>
    <w:tmpl w:val="A65ED2A2"/>
    <w:lvl w:ilvl="0" w:tplc="520CF0F2">
      <w:numFmt w:val="bullet"/>
      <w:lvlText w:val=""/>
      <w:lvlJc w:val="left"/>
      <w:pPr>
        <w:ind w:left="156" w:hanging="100"/>
      </w:pPr>
      <w:rPr>
        <w:rFonts w:ascii="Symbol" w:eastAsia="Symbol" w:hAnsi="Symbol" w:cs="Symbol" w:hint="default"/>
        <w:color w:val="231F20"/>
        <w:w w:val="100"/>
        <w:sz w:val="14"/>
        <w:szCs w:val="14"/>
      </w:rPr>
    </w:lvl>
    <w:lvl w:ilvl="1" w:tplc="0D7A48DC">
      <w:numFmt w:val="bullet"/>
      <w:lvlText w:val="•"/>
      <w:lvlJc w:val="left"/>
      <w:pPr>
        <w:ind w:left="426" w:hanging="100"/>
      </w:pPr>
      <w:rPr>
        <w:rFonts w:hint="default"/>
      </w:rPr>
    </w:lvl>
    <w:lvl w:ilvl="2" w:tplc="787A8310">
      <w:numFmt w:val="bullet"/>
      <w:lvlText w:val="•"/>
      <w:lvlJc w:val="left"/>
      <w:pPr>
        <w:ind w:left="692" w:hanging="100"/>
      </w:pPr>
      <w:rPr>
        <w:rFonts w:hint="default"/>
      </w:rPr>
    </w:lvl>
    <w:lvl w:ilvl="3" w:tplc="8B7C7E46">
      <w:numFmt w:val="bullet"/>
      <w:lvlText w:val="•"/>
      <w:lvlJc w:val="left"/>
      <w:pPr>
        <w:ind w:left="959" w:hanging="100"/>
      </w:pPr>
      <w:rPr>
        <w:rFonts w:hint="default"/>
      </w:rPr>
    </w:lvl>
    <w:lvl w:ilvl="4" w:tplc="D61201F6">
      <w:numFmt w:val="bullet"/>
      <w:lvlText w:val="•"/>
      <w:lvlJc w:val="left"/>
      <w:pPr>
        <w:ind w:left="1225" w:hanging="100"/>
      </w:pPr>
      <w:rPr>
        <w:rFonts w:hint="default"/>
      </w:rPr>
    </w:lvl>
    <w:lvl w:ilvl="5" w:tplc="851ACBA6">
      <w:numFmt w:val="bullet"/>
      <w:lvlText w:val="•"/>
      <w:lvlJc w:val="left"/>
      <w:pPr>
        <w:ind w:left="1492" w:hanging="100"/>
      </w:pPr>
      <w:rPr>
        <w:rFonts w:hint="default"/>
      </w:rPr>
    </w:lvl>
    <w:lvl w:ilvl="6" w:tplc="18225272">
      <w:numFmt w:val="bullet"/>
      <w:lvlText w:val="•"/>
      <w:lvlJc w:val="left"/>
      <w:pPr>
        <w:ind w:left="1758" w:hanging="100"/>
      </w:pPr>
      <w:rPr>
        <w:rFonts w:hint="default"/>
      </w:rPr>
    </w:lvl>
    <w:lvl w:ilvl="7" w:tplc="3FE462DA">
      <w:numFmt w:val="bullet"/>
      <w:lvlText w:val="•"/>
      <w:lvlJc w:val="left"/>
      <w:pPr>
        <w:ind w:left="2024" w:hanging="100"/>
      </w:pPr>
      <w:rPr>
        <w:rFonts w:hint="default"/>
      </w:rPr>
    </w:lvl>
    <w:lvl w:ilvl="8" w:tplc="DAB272EA">
      <w:numFmt w:val="bullet"/>
      <w:lvlText w:val="•"/>
      <w:lvlJc w:val="left"/>
      <w:pPr>
        <w:ind w:left="2291" w:hanging="100"/>
      </w:pPr>
      <w:rPr>
        <w:rFonts w:hint="default"/>
      </w:rPr>
    </w:lvl>
  </w:abstractNum>
  <w:abstractNum w:abstractNumId="832" w15:restartNumberingAfterBreak="0">
    <w:nsid w:val="34A00E18"/>
    <w:multiLevelType w:val="hybridMultilevel"/>
    <w:tmpl w:val="E7A66968"/>
    <w:lvl w:ilvl="0" w:tplc="272C4AFA">
      <w:numFmt w:val="bullet"/>
      <w:lvlText w:val=""/>
      <w:lvlJc w:val="left"/>
      <w:pPr>
        <w:ind w:left="156" w:hanging="100"/>
      </w:pPr>
      <w:rPr>
        <w:rFonts w:ascii="Symbol" w:eastAsia="Symbol" w:hAnsi="Symbol" w:cs="Symbol" w:hint="default"/>
        <w:color w:val="231F20"/>
        <w:w w:val="100"/>
        <w:sz w:val="14"/>
        <w:szCs w:val="14"/>
      </w:rPr>
    </w:lvl>
    <w:lvl w:ilvl="1" w:tplc="CE88B464">
      <w:numFmt w:val="bullet"/>
      <w:lvlText w:val="•"/>
      <w:lvlJc w:val="left"/>
      <w:pPr>
        <w:ind w:left="301" w:hanging="100"/>
      </w:pPr>
      <w:rPr>
        <w:rFonts w:hint="default"/>
      </w:rPr>
    </w:lvl>
    <w:lvl w:ilvl="2" w:tplc="CD3AEA38">
      <w:numFmt w:val="bullet"/>
      <w:lvlText w:val="•"/>
      <w:lvlJc w:val="left"/>
      <w:pPr>
        <w:ind w:left="443" w:hanging="100"/>
      </w:pPr>
      <w:rPr>
        <w:rFonts w:hint="default"/>
      </w:rPr>
    </w:lvl>
    <w:lvl w:ilvl="3" w:tplc="2C60EE2C">
      <w:numFmt w:val="bullet"/>
      <w:lvlText w:val="•"/>
      <w:lvlJc w:val="left"/>
      <w:pPr>
        <w:ind w:left="585" w:hanging="100"/>
      </w:pPr>
      <w:rPr>
        <w:rFonts w:hint="default"/>
      </w:rPr>
    </w:lvl>
    <w:lvl w:ilvl="4" w:tplc="D19CF620">
      <w:numFmt w:val="bullet"/>
      <w:lvlText w:val="•"/>
      <w:lvlJc w:val="left"/>
      <w:pPr>
        <w:ind w:left="726" w:hanging="100"/>
      </w:pPr>
      <w:rPr>
        <w:rFonts w:hint="default"/>
      </w:rPr>
    </w:lvl>
    <w:lvl w:ilvl="5" w:tplc="AD3A0B0C">
      <w:numFmt w:val="bullet"/>
      <w:lvlText w:val="•"/>
      <w:lvlJc w:val="left"/>
      <w:pPr>
        <w:ind w:left="868" w:hanging="100"/>
      </w:pPr>
      <w:rPr>
        <w:rFonts w:hint="default"/>
      </w:rPr>
    </w:lvl>
    <w:lvl w:ilvl="6" w:tplc="0F50C1F0">
      <w:numFmt w:val="bullet"/>
      <w:lvlText w:val="•"/>
      <w:lvlJc w:val="left"/>
      <w:pPr>
        <w:ind w:left="1010" w:hanging="100"/>
      </w:pPr>
      <w:rPr>
        <w:rFonts w:hint="default"/>
      </w:rPr>
    </w:lvl>
    <w:lvl w:ilvl="7" w:tplc="B77A459E">
      <w:numFmt w:val="bullet"/>
      <w:lvlText w:val="•"/>
      <w:lvlJc w:val="left"/>
      <w:pPr>
        <w:ind w:left="1151" w:hanging="100"/>
      </w:pPr>
      <w:rPr>
        <w:rFonts w:hint="default"/>
      </w:rPr>
    </w:lvl>
    <w:lvl w:ilvl="8" w:tplc="2F0C6EB6">
      <w:numFmt w:val="bullet"/>
      <w:lvlText w:val="•"/>
      <w:lvlJc w:val="left"/>
      <w:pPr>
        <w:ind w:left="1293" w:hanging="100"/>
      </w:pPr>
      <w:rPr>
        <w:rFonts w:hint="default"/>
      </w:rPr>
    </w:lvl>
  </w:abstractNum>
  <w:abstractNum w:abstractNumId="833" w15:restartNumberingAfterBreak="0">
    <w:nsid w:val="34A01FBF"/>
    <w:multiLevelType w:val="hybridMultilevel"/>
    <w:tmpl w:val="1638C9EA"/>
    <w:lvl w:ilvl="0" w:tplc="D39CAC08">
      <w:numFmt w:val="bullet"/>
      <w:lvlText w:val=""/>
      <w:lvlJc w:val="left"/>
      <w:pPr>
        <w:ind w:left="157" w:hanging="100"/>
      </w:pPr>
      <w:rPr>
        <w:rFonts w:ascii="Symbol" w:eastAsia="Symbol" w:hAnsi="Symbol" w:cs="Symbol" w:hint="default"/>
        <w:color w:val="231F20"/>
        <w:w w:val="100"/>
        <w:sz w:val="14"/>
        <w:szCs w:val="14"/>
      </w:rPr>
    </w:lvl>
    <w:lvl w:ilvl="1" w:tplc="55C2618C">
      <w:numFmt w:val="bullet"/>
      <w:lvlText w:val="•"/>
      <w:lvlJc w:val="left"/>
      <w:pPr>
        <w:ind w:left="369" w:hanging="100"/>
      </w:pPr>
      <w:rPr>
        <w:rFonts w:hint="default"/>
      </w:rPr>
    </w:lvl>
    <w:lvl w:ilvl="2" w:tplc="9756431A">
      <w:numFmt w:val="bullet"/>
      <w:lvlText w:val="•"/>
      <w:lvlJc w:val="left"/>
      <w:pPr>
        <w:ind w:left="579" w:hanging="100"/>
      </w:pPr>
      <w:rPr>
        <w:rFonts w:hint="default"/>
      </w:rPr>
    </w:lvl>
    <w:lvl w:ilvl="3" w:tplc="9698D4EE">
      <w:numFmt w:val="bullet"/>
      <w:lvlText w:val="•"/>
      <w:lvlJc w:val="left"/>
      <w:pPr>
        <w:ind w:left="789" w:hanging="100"/>
      </w:pPr>
      <w:rPr>
        <w:rFonts w:hint="default"/>
      </w:rPr>
    </w:lvl>
    <w:lvl w:ilvl="4" w:tplc="394EBB4A">
      <w:numFmt w:val="bullet"/>
      <w:lvlText w:val="•"/>
      <w:lvlJc w:val="left"/>
      <w:pPr>
        <w:ind w:left="998" w:hanging="100"/>
      </w:pPr>
      <w:rPr>
        <w:rFonts w:hint="default"/>
      </w:rPr>
    </w:lvl>
    <w:lvl w:ilvl="5" w:tplc="8AA07F2A">
      <w:numFmt w:val="bullet"/>
      <w:lvlText w:val="•"/>
      <w:lvlJc w:val="left"/>
      <w:pPr>
        <w:ind w:left="1208" w:hanging="100"/>
      </w:pPr>
      <w:rPr>
        <w:rFonts w:hint="default"/>
      </w:rPr>
    </w:lvl>
    <w:lvl w:ilvl="6" w:tplc="16227312">
      <w:numFmt w:val="bullet"/>
      <w:lvlText w:val="•"/>
      <w:lvlJc w:val="left"/>
      <w:pPr>
        <w:ind w:left="1418" w:hanging="100"/>
      </w:pPr>
      <w:rPr>
        <w:rFonts w:hint="default"/>
      </w:rPr>
    </w:lvl>
    <w:lvl w:ilvl="7" w:tplc="DBB2CA22">
      <w:numFmt w:val="bullet"/>
      <w:lvlText w:val="•"/>
      <w:lvlJc w:val="left"/>
      <w:pPr>
        <w:ind w:left="1627" w:hanging="100"/>
      </w:pPr>
      <w:rPr>
        <w:rFonts w:hint="default"/>
      </w:rPr>
    </w:lvl>
    <w:lvl w:ilvl="8" w:tplc="FC3290E2">
      <w:numFmt w:val="bullet"/>
      <w:lvlText w:val="•"/>
      <w:lvlJc w:val="left"/>
      <w:pPr>
        <w:ind w:left="1837" w:hanging="100"/>
      </w:pPr>
      <w:rPr>
        <w:rFonts w:hint="default"/>
      </w:rPr>
    </w:lvl>
  </w:abstractNum>
  <w:abstractNum w:abstractNumId="834" w15:restartNumberingAfterBreak="0">
    <w:nsid w:val="34C34FF7"/>
    <w:multiLevelType w:val="hybridMultilevel"/>
    <w:tmpl w:val="0434C210"/>
    <w:lvl w:ilvl="0" w:tplc="7AF21A5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C75A6946">
      <w:numFmt w:val="bullet"/>
      <w:lvlText w:val="•"/>
      <w:lvlJc w:val="left"/>
      <w:pPr>
        <w:ind w:left="408" w:hanging="84"/>
      </w:pPr>
      <w:rPr>
        <w:rFonts w:hint="default"/>
      </w:rPr>
    </w:lvl>
    <w:lvl w:ilvl="2" w:tplc="27F8DC60">
      <w:numFmt w:val="bullet"/>
      <w:lvlText w:val="•"/>
      <w:lvlJc w:val="left"/>
      <w:pPr>
        <w:ind w:left="676" w:hanging="84"/>
      </w:pPr>
      <w:rPr>
        <w:rFonts w:hint="default"/>
      </w:rPr>
    </w:lvl>
    <w:lvl w:ilvl="3" w:tplc="E432E0C0">
      <w:numFmt w:val="bullet"/>
      <w:lvlText w:val="•"/>
      <w:lvlJc w:val="left"/>
      <w:pPr>
        <w:ind w:left="945" w:hanging="84"/>
      </w:pPr>
      <w:rPr>
        <w:rFonts w:hint="default"/>
      </w:rPr>
    </w:lvl>
    <w:lvl w:ilvl="4" w:tplc="C0E00B3E">
      <w:numFmt w:val="bullet"/>
      <w:lvlText w:val="•"/>
      <w:lvlJc w:val="left"/>
      <w:pPr>
        <w:ind w:left="1213" w:hanging="84"/>
      </w:pPr>
      <w:rPr>
        <w:rFonts w:hint="default"/>
      </w:rPr>
    </w:lvl>
    <w:lvl w:ilvl="5" w:tplc="96E8E7C6">
      <w:numFmt w:val="bullet"/>
      <w:lvlText w:val="•"/>
      <w:lvlJc w:val="left"/>
      <w:pPr>
        <w:ind w:left="1482" w:hanging="84"/>
      </w:pPr>
      <w:rPr>
        <w:rFonts w:hint="default"/>
      </w:rPr>
    </w:lvl>
    <w:lvl w:ilvl="6" w:tplc="2E26E5C6">
      <w:numFmt w:val="bullet"/>
      <w:lvlText w:val="•"/>
      <w:lvlJc w:val="left"/>
      <w:pPr>
        <w:ind w:left="1750" w:hanging="84"/>
      </w:pPr>
      <w:rPr>
        <w:rFonts w:hint="default"/>
      </w:rPr>
    </w:lvl>
    <w:lvl w:ilvl="7" w:tplc="87E4BCB6">
      <w:numFmt w:val="bullet"/>
      <w:lvlText w:val="•"/>
      <w:lvlJc w:val="left"/>
      <w:pPr>
        <w:ind w:left="2018" w:hanging="84"/>
      </w:pPr>
      <w:rPr>
        <w:rFonts w:hint="default"/>
      </w:rPr>
    </w:lvl>
    <w:lvl w:ilvl="8" w:tplc="3A02A8E4">
      <w:numFmt w:val="bullet"/>
      <w:lvlText w:val="•"/>
      <w:lvlJc w:val="left"/>
      <w:pPr>
        <w:ind w:left="2287" w:hanging="84"/>
      </w:pPr>
      <w:rPr>
        <w:rFonts w:hint="default"/>
      </w:rPr>
    </w:lvl>
  </w:abstractNum>
  <w:abstractNum w:abstractNumId="835" w15:restartNumberingAfterBreak="0">
    <w:nsid w:val="34CA7514"/>
    <w:multiLevelType w:val="hybridMultilevel"/>
    <w:tmpl w:val="A7C6ECC4"/>
    <w:lvl w:ilvl="0" w:tplc="AEF0E29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89226F84">
      <w:numFmt w:val="bullet"/>
      <w:lvlText w:val="•"/>
      <w:lvlJc w:val="left"/>
      <w:pPr>
        <w:ind w:left="408" w:hanging="84"/>
      </w:pPr>
      <w:rPr>
        <w:rFonts w:hint="default"/>
      </w:rPr>
    </w:lvl>
    <w:lvl w:ilvl="2" w:tplc="73D084E2">
      <w:numFmt w:val="bullet"/>
      <w:lvlText w:val="•"/>
      <w:lvlJc w:val="left"/>
      <w:pPr>
        <w:ind w:left="676" w:hanging="84"/>
      </w:pPr>
      <w:rPr>
        <w:rFonts w:hint="default"/>
      </w:rPr>
    </w:lvl>
    <w:lvl w:ilvl="3" w:tplc="3EAE1B28">
      <w:numFmt w:val="bullet"/>
      <w:lvlText w:val="•"/>
      <w:lvlJc w:val="left"/>
      <w:pPr>
        <w:ind w:left="945" w:hanging="84"/>
      </w:pPr>
      <w:rPr>
        <w:rFonts w:hint="default"/>
      </w:rPr>
    </w:lvl>
    <w:lvl w:ilvl="4" w:tplc="239215A0">
      <w:numFmt w:val="bullet"/>
      <w:lvlText w:val="•"/>
      <w:lvlJc w:val="left"/>
      <w:pPr>
        <w:ind w:left="1213" w:hanging="84"/>
      </w:pPr>
      <w:rPr>
        <w:rFonts w:hint="default"/>
      </w:rPr>
    </w:lvl>
    <w:lvl w:ilvl="5" w:tplc="0B9A57D0">
      <w:numFmt w:val="bullet"/>
      <w:lvlText w:val="•"/>
      <w:lvlJc w:val="left"/>
      <w:pPr>
        <w:ind w:left="1482" w:hanging="84"/>
      </w:pPr>
      <w:rPr>
        <w:rFonts w:hint="default"/>
      </w:rPr>
    </w:lvl>
    <w:lvl w:ilvl="6" w:tplc="4ACE54D2">
      <w:numFmt w:val="bullet"/>
      <w:lvlText w:val="•"/>
      <w:lvlJc w:val="left"/>
      <w:pPr>
        <w:ind w:left="1750" w:hanging="84"/>
      </w:pPr>
      <w:rPr>
        <w:rFonts w:hint="default"/>
      </w:rPr>
    </w:lvl>
    <w:lvl w:ilvl="7" w:tplc="900829D4">
      <w:numFmt w:val="bullet"/>
      <w:lvlText w:val="•"/>
      <w:lvlJc w:val="left"/>
      <w:pPr>
        <w:ind w:left="2018" w:hanging="84"/>
      </w:pPr>
      <w:rPr>
        <w:rFonts w:hint="default"/>
      </w:rPr>
    </w:lvl>
    <w:lvl w:ilvl="8" w:tplc="ED28AB4E">
      <w:numFmt w:val="bullet"/>
      <w:lvlText w:val="•"/>
      <w:lvlJc w:val="left"/>
      <w:pPr>
        <w:ind w:left="2287" w:hanging="84"/>
      </w:pPr>
      <w:rPr>
        <w:rFonts w:hint="default"/>
      </w:rPr>
    </w:lvl>
  </w:abstractNum>
  <w:abstractNum w:abstractNumId="836" w15:restartNumberingAfterBreak="0">
    <w:nsid w:val="34DA473A"/>
    <w:multiLevelType w:val="hybridMultilevel"/>
    <w:tmpl w:val="A44ED466"/>
    <w:lvl w:ilvl="0" w:tplc="C43256A2">
      <w:numFmt w:val="bullet"/>
      <w:lvlText w:val=""/>
      <w:lvlJc w:val="left"/>
      <w:pPr>
        <w:ind w:left="156" w:hanging="100"/>
      </w:pPr>
      <w:rPr>
        <w:rFonts w:ascii="Symbol" w:eastAsia="Symbol" w:hAnsi="Symbol" w:cs="Symbol" w:hint="default"/>
        <w:color w:val="231F20"/>
        <w:w w:val="100"/>
        <w:sz w:val="14"/>
        <w:szCs w:val="14"/>
      </w:rPr>
    </w:lvl>
    <w:lvl w:ilvl="1" w:tplc="DEEEFCE6">
      <w:numFmt w:val="bullet"/>
      <w:lvlText w:val="•"/>
      <w:lvlJc w:val="left"/>
      <w:pPr>
        <w:ind w:left="301" w:hanging="100"/>
      </w:pPr>
      <w:rPr>
        <w:rFonts w:hint="default"/>
      </w:rPr>
    </w:lvl>
    <w:lvl w:ilvl="2" w:tplc="BF500F6C">
      <w:numFmt w:val="bullet"/>
      <w:lvlText w:val="•"/>
      <w:lvlJc w:val="left"/>
      <w:pPr>
        <w:ind w:left="443" w:hanging="100"/>
      </w:pPr>
      <w:rPr>
        <w:rFonts w:hint="default"/>
      </w:rPr>
    </w:lvl>
    <w:lvl w:ilvl="3" w:tplc="2976F91C">
      <w:numFmt w:val="bullet"/>
      <w:lvlText w:val="•"/>
      <w:lvlJc w:val="left"/>
      <w:pPr>
        <w:ind w:left="585" w:hanging="100"/>
      </w:pPr>
      <w:rPr>
        <w:rFonts w:hint="default"/>
      </w:rPr>
    </w:lvl>
    <w:lvl w:ilvl="4" w:tplc="4BE4FD6A">
      <w:numFmt w:val="bullet"/>
      <w:lvlText w:val="•"/>
      <w:lvlJc w:val="left"/>
      <w:pPr>
        <w:ind w:left="726" w:hanging="100"/>
      </w:pPr>
      <w:rPr>
        <w:rFonts w:hint="default"/>
      </w:rPr>
    </w:lvl>
    <w:lvl w:ilvl="5" w:tplc="75FE261A">
      <w:numFmt w:val="bullet"/>
      <w:lvlText w:val="•"/>
      <w:lvlJc w:val="left"/>
      <w:pPr>
        <w:ind w:left="868" w:hanging="100"/>
      </w:pPr>
      <w:rPr>
        <w:rFonts w:hint="default"/>
      </w:rPr>
    </w:lvl>
    <w:lvl w:ilvl="6" w:tplc="0C7AE4B0">
      <w:numFmt w:val="bullet"/>
      <w:lvlText w:val="•"/>
      <w:lvlJc w:val="left"/>
      <w:pPr>
        <w:ind w:left="1010" w:hanging="100"/>
      </w:pPr>
      <w:rPr>
        <w:rFonts w:hint="default"/>
      </w:rPr>
    </w:lvl>
    <w:lvl w:ilvl="7" w:tplc="BD063B48">
      <w:numFmt w:val="bullet"/>
      <w:lvlText w:val="•"/>
      <w:lvlJc w:val="left"/>
      <w:pPr>
        <w:ind w:left="1151" w:hanging="100"/>
      </w:pPr>
      <w:rPr>
        <w:rFonts w:hint="default"/>
      </w:rPr>
    </w:lvl>
    <w:lvl w:ilvl="8" w:tplc="AD7AB99A">
      <w:numFmt w:val="bullet"/>
      <w:lvlText w:val="•"/>
      <w:lvlJc w:val="left"/>
      <w:pPr>
        <w:ind w:left="1293" w:hanging="100"/>
      </w:pPr>
      <w:rPr>
        <w:rFonts w:hint="default"/>
      </w:rPr>
    </w:lvl>
  </w:abstractNum>
  <w:abstractNum w:abstractNumId="837" w15:restartNumberingAfterBreak="0">
    <w:nsid w:val="34E5667A"/>
    <w:multiLevelType w:val="hybridMultilevel"/>
    <w:tmpl w:val="34C857F4"/>
    <w:lvl w:ilvl="0" w:tplc="8870A822">
      <w:numFmt w:val="bullet"/>
      <w:lvlText w:val=""/>
      <w:lvlJc w:val="left"/>
      <w:pPr>
        <w:ind w:left="156" w:hanging="100"/>
      </w:pPr>
      <w:rPr>
        <w:rFonts w:ascii="Symbol" w:eastAsia="Symbol" w:hAnsi="Symbol" w:cs="Symbol" w:hint="default"/>
        <w:color w:val="231F20"/>
        <w:w w:val="100"/>
        <w:sz w:val="14"/>
        <w:szCs w:val="14"/>
      </w:rPr>
    </w:lvl>
    <w:lvl w:ilvl="1" w:tplc="AFACF986">
      <w:numFmt w:val="bullet"/>
      <w:lvlText w:val="•"/>
      <w:lvlJc w:val="left"/>
      <w:pPr>
        <w:ind w:left="301" w:hanging="100"/>
      </w:pPr>
      <w:rPr>
        <w:rFonts w:hint="default"/>
      </w:rPr>
    </w:lvl>
    <w:lvl w:ilvl="2" w:tplc="0B9808AA">
      <w:numFmt w:val="bullet"/>
      <w:lvlText w:val="•"/>
      <w:lvlJc w:val="left"/>
      <w:pPr>
        <w:ind w:left="443" w:hanging="100"/>
      </w:pPr>
      <w:rPr>
        <w:rFonts w:hint="default"/>
      </w:rPr>
    </w:lvl>
    <w:lvl w:ilvl="3" w:tplc="C9D8DFD2">
      <w:numFmt w:val="bullet"/>
      <w:lvlText w:val="•"/>
      <w:lvlJc w:val="left"/>
      <w:pPr>
        <w:ind w:left="585" w:hanging="100"/>
      </w:pPr>
      <w:rPr>
        <w:rFonts w:hint="default"/>
      </w:rPr>
    </w:lvl>
    <w:lvl w:ilvl="4" w:tplc="107A7A72">
      <w:numFmt w:val="bullet"/>
      <w:lvlText w:val="•"/>
      <w:lvlJc w:val="left"/>
      <w:pPr>
        <w:ind w:left="726" w:hanging="100"/>
      </w:pPr>
      <w:rPr>
        <w:rFonts w:hint="default"/>
      </w:rPr>
    </w:lvl>
    <w:lvl w:ilvl="5" w:tplc="09926B5E">
      <w:numFmt w:val="bullet"/>
      <w:lvlText w:val="•"/>
      <w:lvlJc w:val="left"/>
      <w:pPr>
        <w:ind w:left="868" w:hanging="100"/>
      </w:pPr>
      <w:rPr>
        <w:rFonts w:hint="default"/>
      </w:rPr>
    </w:lvl>
    <w:lvl w:ilvl="6" w:tplc="5D6C8FB4">
      <w:numFmt w:val="bullet"/>
      <w:lvlText w:val="•"/>
      <w:lvlJc w:val="left"/>
      <w:pPr>
        <w:ind w:left="1010" w:hanging="100"/>
      </w:pPr>
      <w:rPr>
        <w:rFonts w:hint="default"/>
      </w:rPr>
    </w:lvl>
    <w:lvl w:ilvl="7" w:tplc="9226669E">
      <w:numFmt w:val="bullet"/>
      <w:lvlText w:val="•"/>
      <w:lvlJc w:val="left"/>
      <w:pPr>
        <w:ind w:left="1151" w:hanging="100"/>
      </w:pPr>
      <w:rPr>
        <w:rFonts w:hint="default"/>
      </w:rPr>
    </w:lvl>
    <w:lvl w:ilvl="8" w:tplc="4C94599E">
      <w:numFmt w:val="bullet"/>
      <w:lvlText w:val="•"/>
      <w:lvlJc w:val="left"/>
      <w:pPr>
        <w:ind w:left="1293" w:hanging="100"/>
      </w:pPr>
      <w:rPr>
        <w:rFonts w:hint="default"/>
      </w:rPr>
    </w:lvl>
  </w:abstractNum>
  <w:abstractNum w:abstractNumId="838" w15:restartNumberingAfterBreak="0">
    <w:nsid w:val="350D7EF2"/>
    <w:multiLevelType w:val="hybridMultilevel"/>
    <w:tmpl w:val="CE7643B0"/>
    <w:lvl w:ilvl="0" w:tplc="39FCE568">
      <w:numFmt w:val="bullet"/>
      <w:lvlText w:val=""/>
      <w:lvlJc w:val="left"/>
      <w:pPr>
        <w:ind w:left="157" w:hanging="100"/>
      </w:pPr>
      <w:rPr>
        <w:rFonts w:ascii="Symbol" w:eastAsia="Symbol" w:hAnsi="Symbol" w:cs="Symbol" w:hint="default"/>
        <w:color w:val="231F20"/>
        <w:w w:val="100"/>
        <w:sz w:val="14"/>
        <w:szCs w:val="14"/>
      </w:rPr>
    </w:lvl>
    <w:lvl w:ilvl="1" w:tplc="6A70D8CA">
      <w:numFmt w:val="bullet"/>
      <w:lvlText w:val="•"/>
      <w:lvlJc w:val="left"/>
      <w:pPr>
        <w:ind w:left="398" w:hanging="100"/>
      </w:pPr>
      <w:rPr>
        <w:rFonts w:hint="default"/>
      </w:rPr>
    </w:lvl>
    <w:lvl w:ilvl="2" w:tplc="49E683CA">
      <w:numFmt w:val="bullet"/>
      <w:lvlText w:val="•"/>
      <w:lvlJc w:val="left"/>
      <w:pPr>
        <w:ind w:left="636" w:hanging="100"/>
      </w:pPr>
      <w:rPr>
        <w:rFonts w:hint="default"/>
      </w:rPr>
    </w:lvl>
    <w:lvl w:ilvl="3" w:tplc="6CF09898">
      <w:numFmt w:val="bullet"/>
      <w:lvlText w:val="•"/>
      <w:lvlJc w:val="left"/>
      <w:pPr>
        <w:ind w:left="874" w:hanging="100"/>
      </w:pPr>
      <w:rPr>
        <w:rFonts w:hint="default"/>
      </w:rPr>
    </w:lvl>
    <w:lvl w:ilvl="4" w:tplc="89B2F950">
      <w:numFmt w:val="bullet"/>
      <w:lvlText w:val="•"/>
      <w:lvlJc w:val="left"/>
      <w:pPr>
        <w:ind w:left="1112" w:hanging="100"/>
      </w:pPr>
      <w:rPr>
        <w:rFonts w:hint="default"/>
      </w:rPr>
    </w:lvl>
    <w:lvl w:ilvl="5" w:tplc="3A3A16F0">
      <w:numFmt w:val="bullet"/>
      <w:lvlText w:val="•"/>
      <w:lvlJc w:val="left"/>
      <w:pPr>
        <w:ind w:left="1350" w:hanging="100"/>
      </w:pPr>
      <w:rPr>
        <w:rFonts w:hint="default"/>
      </w:rPr>
    </w:lvl>
    <w:lvl w:ilvl="6" w:tplc="46F0BDB4">
      <w:numFmt w:val="bullet"/>
      <w:lvlText w:val="•"/>
      <w:lvlJc w:val="left"/>
      <w:pPr>
        <w:ind w:left="1588" w:hanging="100"/>
      </w:pPr>
      <w:rPr>
        <w:rFonts w:hint="default"/>
      </w:rPr>
    </w:lvl>
    <w:lvl w:ilvl="7" w:tplc="58507632">
      <w:numFmt w:val="bullet"/>
      <w:lvlText w:val="•"/>
      <w:lvlJc w:val="left"/>
      <w:pPr>
        <w:ind w:left="1826" w:hanging="100"/>
      </w:pPr>
      <w:rPr>
        <w:rFonts w:hint="default"/>
      </w:rPr>
    </w:lvl>
    <w:lvl w:ilvl="8" w:tplc="CEE859AC">
      <w:numFmt w:val="bullet"/>
      <w:lvlText w:val="•"/>
      <w:lvlJc w:val="left"/>
      <w:pPr>
        <w:ind w:left="2064" w:hanging="100"/>
      </w:pPr>
      <w:rPr>
        <w:rFonts w:hint="default"/>
      </w:rPr>
    </w:lvl>
  </w:abstractNum>
  <w:abstractNum w:abstractNumId="839" w15:restartNumberingAfterBreak="0">
    <w:nsid w:val="353502C7"/>
    <w:multiLevelType w:val="hybridMultilevel"/>
    <w:tmpl w:val="5B007D2C"/>
    <w:lvl w:ilvl="0" w:tplc="66AE7BD6">
      <w:numFmt w:val="bullet"/>
      <w:lvlText w:val=""/>
      <w:lvlJc w:val="left"/>
      <w:pPr>
        <w:ind w:left="157" w:hanging="100"/>
      </w:pPr>
      <w:rPr>
        <w:rFonts w:ascii="Symbol" w:eastAsia="Symbol" w:hAnsi="Symbol" w:cs="Symbol" w:hint="default"/>
        <w:color w:val="231F20"/>
        <w:w w:val="100"/>
        <w:sz w:val="14"/>
        <w:szCs w:val="14"/>
      </w:rPr>
    </w:lvl>
    <w:lvl w:ilvl="1" w:tplc="5DACE400">
      <w:numFmt w:val="bullet"/>
      <w:lvlText w:val="•"/>
      <w:lvlJc w:val="left"/>
      <w:pPr>
        <w:ind w:left="426" w:hanging="100"/>
      </w:pPr>
      <w:rPr>
        <w:rFonts w:hint="default"/>
      </w:rPr>
    </w:lvl>
    <w:lvl w:ilvl="2" w:tplc="8702F78E">
      <w:numFmt w:val="bullet"/>
      <w:lvlText w:val="•"/>
      <w:lvlJc w:val="left"/>
      <w:pPr>
        <w:ind w:left="692" w:hanging="100"/>
      </w:pPr>
      <w:rPr>
        <w:rFonts w:hint="default"/>
      </w:rPr>
    </w:lvl>
    <w:lvl w:ilvl="3" w:tplc="870EC9D2">
      <w:numFmt w:val="bullet"/>
      <w:lvlText w:val="•"/>
      <w:lvlJc w:val="left"/>
      <w:pPr>
        <w:ind w:left="959" w:hanging="100"/>
      </w:pPr>
      <w:rPr>
        <w:rFonts w:hint="default"/>
      </w:rPr>
    </w:lvl>
    <w:lvl w:ilvl="4" w:tplc="3B08167E">
      <w:numFmt w:val="bullet"/>
      <w:lvlText w:val="•"/>
      <w:lvlJc w:val="left"/>
      <w:pPr>
        <w:ind w:left="1225" w:hanging="100"/>
      </w:pPr>
      <w:rPr>
        <w:rFonts w:hint="default"/>
      </w:rPr>
    </w:lvl>
    <w:lvl w:ilvl="5" w:tplc="1DAA6CCC">
      <w:numFmt w:val="bullet"/>
      <w:lvlText w:val="•"/>
      <w:lvlJc w:val="left"/>
      <w:pPr>
        <w:ind w:left="1492" w:hanging="100"/>
      </w:pPr>
      <w:rPr>
        <w:rFonts w:hint="default"/>
      </w:rPr>
    </w:lvl>
    <w:lvl w:ilvl="6" w:tplc="51163940">
      <w:numFmt w:val="bullet"/>
      <w:lvlText w:val="•"/>
      <w:lvlJc w:val="left"/>
      <w:pPr>
        <w:ind w:left="1758" w:hanging="100"/>
      </w:pPr>
      <w:rPr>
        <w:rFonts w:hint="default"/>
      </w:rPr>
    </w:lvl>
    <w:lvl w:ilvl="7" w:tplc="97809EB0">
      <w:numFmt w:val="bullet"/>
      <w:lvlText w:val="•"/>
      <w:lvlJc w:val="left"/>
      <w:pPr>
        <w:ind w:left="2024" w:hanging="100"/>
      </w:pPr>
      <w:rPr>
        <w:rFonts w:hint="default"/>
      </w:rPr>
    </w:lvl>
    <w:lvl w:ilvl="8" w:tplc="4EDA6A00">
      <w:numFmt w:val="bullet"/>
      <w:lvlText w:val="•"/>
      <w:lvlJc w:val="left"/>
      <w:pPr>
        <w:ind w:left="2291" w:hanging="100"/>
      </w:pPr>
      <w:rPr>
        <w:rFonts w:hint="default"/>
      </w:rPr>
    </w:lvl>
  </w:abstractNum>
  <w:abstractNum w:abstractNumId="840" w15:restartNumberingAfterBreak="0">
    <w:nsid w:val="353C7301"/>
    <w:multiLevelType w:val="hybridMultilevel"/>
    <w:tmpl w:val="68EEECEA"/>
    <w:lvl w:ilvl="0" w:tplc="56A68DFC">
      <w:numFmt w:val="bullet"/>
      <w:lvlText w:val=""/>
      <w:lvlJc w:val="left"/>
      <w:pPr>
        <w:ind w:left="156" w:hanging="100"/>
      </w:pPr>
      <w:rPr>
        <w:rFonts w:ascii="Symbol" w:eastAsia="Symbol" w:hAnsi="Symbol" w:cs="Symbol" w:hint="default"/>
        <w:color w:val="231F20"/>
        <w:w w:val="100"/>
        <w:sz w:val="14"/>
        <w:szCs w:val="14"/>
      </w:rPr>
    </w:lvl>
    <w:lvl w:ilvl="1" w:tplc="6292D39A">
      <w:numFmt w:val="bullet"/>
      <w:lvlText w:val="•"/>
      <w:lvlJc w:val="left"/>
      <w:pPr>
        <w:ind w:left="426" w:hanging="100"/>
      </w:pPr>
      <w:rPr>
        <w:rFonts w:hint="default"/>
      </w:rPr>
    </w:lvl>
    <w:lvl w:ilvl="2" w:tplc="74066A8E">
      <w:numFmt w:val="bullet"/>
      <w:lvlText w:val="•"/>
      <w:lvlJc w:val="left"/>
      <w:pPr>
        <w:ind w:left="692" w:hanging="100"/>
      </w:pPr>
      <w:rPr>
        <w:rFonts w:hint="default"/>
      </w:rPr>
    </w:lvl>
    <w:lvl w:ilvl="3" w:tplc="5DB0B64E">
      <w:numFmt w:val="bullet"/>
      <w:lvlText w:val="•"/>
      <w:lvlJc w:val="left"/>
      <w:pPr>
        <w:ind w:left="959" w:hanging="100"/>
      </w:pPr>
      <w:rPr>
        <w:rFonts w:hint="default"/>
      </w:rPr>
    </w:lvl>
    <w:lvl w:ilvl="4" w:tplc="58C0481E">
      <w:numFmt w:val="bullet"/>
      <w:lvlText w:val="•"/>
      <w:lvlJc w:val="left"/>
      <w:pPr>
        <w:ind w:left="1225" w:hanging="100"/>
      </w:pPr>
      <w:rPr>
        <w:rFonts w:hint="default"/>
      </w:rPr>
    </w:lvl>
    <w:lvl w:ilvl="5" w:tplc="35486ACA">
      <w:numFmt w:val="bullet"/>
      <w:lvlText w:val="•"/>
      <w:lvlJc w:val="left"/>
      <w:pPr>
        <w:ind w:left="1492" w:hanging="100"/>
      </w:pPr>
      <w:rPr>
        <w:rFonts w:hint="default"/>
      </w:rPr>
    </w:lvl>
    <w:lvl w:ilvl="6" w:tplc="4E881F42">
      <w:numFmt w:val="bullet"/>
      <w:lvlText w:val="•"/>
      <w:lvlJc w:val="left"/>
      <w:pPr>
        <w:ind w:left="1758" w:hanging="100"/>
      </w:pPr>
      <w:rPr>
        <w:rFonts w:hint="default"/>
      </w:rPr>
    </w:lvl>
    <w:lvl w:ilvl="7" w:tplc="A19A0EA2">
      <w:numFmt w:val="bullet"/>
      <w:lvlText w:val="•"/>
      <w:lvlJc w:val="left"/>
      <w:pPr>
        <w:ind w:left="2024" w:hanging="100"/>
      </w:pPr>
      <w:rPr>
        <w:rFonts w:hint="default"/>
      </w:rPr>
    </w:lvl>
    <w:lvl w:ilvl="8" w:tplc="D9B80F2A">
      <w:numFmt w:val="bullet"/>
      <w:lvlText w:val="•"/>
      <w:lvlJc w:val="left"/>
      <w:pPr>
        <w:ind w:left="2291" w:hanging="100"/>
      </w:pPr>
      <w:rPr>
        <w:rFonts w:hint="default"/>
      </w:rPr>
    </w:lvl>
  </w:abstractNum>
  <w:abstractNum w:abstractNumId="841" w15:restartNumberingAfterBreak="0">
    <w:nsid w:val="3550048D"/>
    <w:multiLevelType w:val="hybridMultilevel"/>
    <w:tmpl w:val="A94C3ACE"/>
    <w:lvl w:ilvl="0" w:tplc="63BECD8E">
      <w:numFmt w:val="bullet"/>
      <w:lvlText w:val=""/>
      <w:lvlJc w:val="left"/>
      <w:pPr>
        <w:ind w:left="156" w:hanging="100"/>
      </w:pPr>
      <w:rPr>
        <w:rFonts w:ascii="Symbol" w:eastAsia="Symbol" w:hAnsi="Symbol" w:cs="Symbol" w:hint="default"/>
        <w:color w:val="231F20"/>
        <w:w w:val="100"/>
        <w:sz w:val="14"/>
        <w:szCs w:val="14"/>
      </w:rPr>
    </w:lvl>
    <w:lvl w:ilvl="1" w:tplc="4790E780">
      <w:numFmt w:val="bullet"/>
      <w:lvlText w:val="•"/>
      <w:lvlJc w:val="left"/>
      <w:pPr>
        <w:ind w:left="426" w:hanging="100"/>
      </w:pPr>
      <w:rPr>
        <w:rFonts w:hint="default"/>
      </w:rPr>
    </w:lvl>
    <w:lvl w:ilvl="2" w:tplc="D6D2EBFA">
      <w:numFmt w:val="bullet"/>
      <w:lvlText w:val="•"/>
      <w:lvlJc w:val="left"/>
      <w:pPr>
        <w:ind w:left="692" w:hanging="100"/>
      </w:pPr>
      <w:rPr>
        <w:rFonts w:hint="default"/>
      </w:rPr>
    </w:lvl>
    <w:lvl w:ilvl="3" w:tplc="7C646CBA">
      <w:numFmt w:val="bullet"/>
      <w:lvlText w:val="•"/>
      <w:lvlJc w:val="left"/>
      <w:pPr>
        <w:ind w:left="959" w:hanging="100"/>
      </w:pPr>
      <w:rPr>
        <w:rFonts w:hint="default"/>
      </w:rPr>
    </w:lvl>
    <w:lvl w:ilvl="4" w:tplc="BC8866BE">
      <w:numFmt w:val="bullet"/>
      <w:lvlText w:val="•"/>
      <w:lvlJc w:val="left"/>
      <w:pPr>
        <w:ind w:left="1225" w:hanging="100"/>
      </w:pPr>
      <w:rPr>
        <w:rFonts w:hint="default"/>
      </w:rPr>
    </w:lvl>
    <w:lvl w:ilvl="5" w:tplc="0000501E">
      <w:numFmt w:val="bullet"/>
      <w:lvlText w:val="•"/>
      <w:lvlJc w:val="left"/>
      <w:pPr>
        <w:ind w:left="1492" w:hanging="100"/>
      </w:pPr>
      <w:rPr>
        <w:rFonts w:hint="default"/>
      </w:rPr>
    </w:lvl>
    <w:lvl w:ilvl="6" w:tplc="F588F512">
      <w:numFmt w:val="bullet"/>
      <w:lvlText w:val="•"/>
      <w:lvlJc w:val="left"/>
      <w:pPr>
        <w:ind w:left="1758" w:hanging="100"/>
      </w:pPr>
      <w:rPr>
        <w:rFonts w:hint="default"/>
      </w:rPr>
    </w:lvl>
    <w:lvl w:ilvl="7" w:tplc="6294619A">
      <w:numFmt w:val="bullet"/>
      <w:lvlText w:val="•"/>
      <w:lvlJc w:val="left"/>
      <w:pPr>
        <w:ind w:left="2024" w:hanging="100"/>
      </w:pPr>
      <w:rPr>
        <w:rFonts w:hint="default"/>
      </w:rPr>
    </w:lvl>
    <w:lvl w:ilvl="8" w:tplc="AA7E1420">
      <w:numFmt w:val="bullet"/>
      <w:lvlText w:val="•"/>
      <w:lvlJc w:val="left"/>
      <w:pPr>
        <w:ind w:left="2291" w:hanging="100"/>
      </w:pPr>
      <w:rPr>
        <w:rFonts w:hint="default"/>
      </w:rPr>
    </w:lvl>
  </w:abstractNum>
  <w:abstractNum w:abstractNumId="842" w15:restartNumberingAfterBreak="0">
    <w:nsid w:val="355A7ECC"/>
    <w:multiLevelType w:val="hybridMultilevel"/>
    <w:tmpl w:val="340E5ED2"/>
    <w:lvl w:ilvl="0" w:tplc="0C40701C">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6742AB28">
      <w:numFmt w:val="bullet"/>
      <w:lvlText w:val="•"/>
      <w:lvlJc w:val="left"/>
      <w:pPr>
        <w:ind w:left="1690" w:hanging="180"/>
      </w:pPr>
      <w:rPr>
        <w:rFonts w:hint="default"/>
      </w:rPr>
    </w:lvl>
    <w:lvl w:ilvl="2" w:tplc="CBF62B10">
      <w:numFmt w:val="bullet"/>
      <w:lvlText w:val="•"/>
      <w:lvlJc w:val="left"/>
      <w:pPr>
        <w:ind w:left="2701" w:hanging="180"/>
      </w:pPr>
      <w:rPr>
        <w:rFonts w:hint="default"/>
      </w:rPr>
    </w:lvl>
    <w:lvl w:ilvl="3" w:tplc="4B685424">
      <w:numFmt w:val="bullet"/>
      <w:lvlText w:val="•"/>
      <w:lvlJc w:val="left"/>
      <w:pPr>
        <w:ind w:left="3711" w:hanging="180"/>
      </w:pPr>
      <w:rPr>
        <w:rFonts w:hint="default"/>
      </w:rPr>
    </w:lvl>
    <w:lvl w:ilvl="4" w:tplc="469883B8">
      <w:numFmt w:val="bullet"/>
      <w:lvlText w:val="•"/>
      <w:lvlJc w:val="left"/>
      <w:pPr>
        <w:ind w:left="4722" w:hanging="180"/>
      </w:pPr>
      <w:rPr>
        <w:rFonts w:hint="default"/>
      </w:rPr>
    </w:lvl>
    <w:lvl w:ilvl="5" w:tplc="C31A46D8">
      <w:numFmt w:val="bullet"/>
      <w:lvlText w:val="•"/>
      <w:lvlJc w:val="left"/>
      <w:pPr>
        <w:ind w:left="5732" w:hanging="180"/>
      </w:pPr>
      <w:rPr>
        <w:rFonts w:hint="default"/>
      </w:rPr>
    </w:lvl>
    <w:lvl w:ilvl="6" w:tplc="4FF86A0E">
      <w:numFmt w:val="bullet"/>
      <w:lvlText w:val="•"/>
      <w:lvlJc w:val="left"/>
      <w:pPr>
        <w:ind w:left="6743" w:hanging="180"/>
      </w:pPr>
      <w:rPr>
        <w:rFonts w:hint="default"/>
      </w:rPr>
    </w:lvl>
    <w:lvl w:ilvl="7" w:tplc="FF1448B8">
      <w:numFmt w:val="bullet"/>
      <w:lvlText w:val="•"/>
      <w:lvlJc w:val="left"/>
      <w:pPr>
        <w:ind w:left="7753" w:hanging="180"/>
      </w:pPr>
      <w:rPr>
        <w:rFonts w:hint="default"/>
      </w:rPr>
    </w:lvl>
    <w:lvl w:ilvl="8" w:tplc="27B6FB06">
      <w:numFmt w:val="bullet"/>
      <w:lvlText w:val="•"/>
      <w:lvlJc w:val="left"/>
      <w:pPr>
        <w:ind w:left="8764" w:hanging="180"/>
      </w:pPr>
      <w:rPr>
        <w:rFonts w:hint="default"/>
      </w:rPr>
    </w:lvl>
  </w:abstractNum>
  <w:abstractNum w:abstractNumId="843" w15:restartNumberingAfterBreak="0">
    <w:nsid w:val="356B13E6"/>
    <w:multiLevelType w:val="hybridMultilevel"/>
    <w:tmpl w:val="0F74474C"/>
    <w:lvl w:ilvl="0" w:tplc="8E0AB1EC">
      <w:numFmt w:val="bullet"/>
      <w:lvlText w:val=""/>
      <w:lvlJc w:val="left"/>
      <w:pPr>
        <w:ind w:left="156" w:hanging="100"/>
      </w:pPr>
      <w:rPr>
        <w:rFonts w:ascii="Symbol" w:eastAsia="Symbol" w:hAnsi="Symbol" w:cs="Symbol" w:hint="default"/>
        <w:color w:val="231F20"/>
        <w:w w:val="100"/>
        <w:sz w:val="14"/>
        <w:szCs w:val="14"/>
      </w:rPr>
    </w:lvl>
    <w:lvl w:ilvl="1" w:tplc="447A5710">
      <w:numFmt w:val="bullet"/>
      <w:lvlText w:val="•"/>
      <w:lvlJc w:val="left"/>
      <w:pPr>
        <w:ind w:left="426" w:hanging="100"/>
      </w:pPr>
      <w:rPr>
        <w:rFonts w:hint="default"/>
      </w:rPr>
    </w:lvl>
    <w:lvl w:ilvl="2" w:tplc="6C2C7350">
      <w:numFmt w:val="bullet"/>
      <w:lvlText w:val="•"/>
      <w:lvlJc w:val="left"/>
      <w:pPr>
        <w:ind w:left="692" w:hanging="100"/>
      </w:pPr>
      <w:rPr>
        <w:rFonts w:hint="default"/>
      </w:rPr>
    </w:lvl>
    <w:lvl w:ilvl="3" w:tplc="5148AE3E">
      <w:numFmt w:val="bullet"/>
      <w:lvlText w:val="•"/>
      <w:lvlJc w:val="left"/>
      <w:pPr>
        <w:ind w:left="959" w:hanging="100"/>
      </w:pPr>
      <w:rPr>
        <w:rFonts w:hint="default"/>
      </w:rPr>
    </w:lvl>
    <w:lvl w:ilvl="4" w:tplc="1C706D6A">
      <w:numFmt w:val="bullet"/>
      <w:lvlText w:val="•"/>
      <w:lvlJc w:val="left"/>
      <w:pPr>
        <w:ind w:left="1225" w:hanging="100"/>
      </w:pPr>
      <w:rPr>
        <w:rFonts w:hint="default"/>
      </w:rPr>
    </w:lvl>
    <w:lvl w:ilvl="5" w:tplc="D398259A">
      <w:numFmt w:val="bullet"/>
      <w:lvlText w:val="•"/>
      <w:lvlJc w:val="left"/>
      <w:pPr>
        <w:ind w:left="1492" w:hanging="100"/>
      </w:pPr>
      <w:rPr>
        <w:rFonts w:hint="default"/>
      </w:rPr>
    </w:lvl>
    <w:lvl w:ilvl="6" w:tplc="FE2A23FE">
      <w:numFmt w:val="bullet"/>
      <w:lvlText w:val="•"/>
      <w:lvlJc w:val="left"/>
      <w:pPr>
        <w:ind w:left="1758" w:hanging="100"/>
      </w:pPr>
      <w:rPr>
        <w:rFonts w:hint="default"/>
      </w:rPr>
    </w:lvl>
    <w:lvl w:ilvl="7" w:tplc="23FCC352">
      <w:numFmt w:val="bullet"/>
      <w:lvlText w:val="•"/>
      <w:lvlJc w:val="left"/>
      <w:pPr>
        <w:ind w:left="2024" w:hanging="100"/>
      </w:pPr>
      <w:rPr>
        <w:rFonts w:hint="default"/>
      </w:rPr>
    </w:lvl>
    <w:lvl w:ilvl="8" w:tplc="9618A7E4">
      <w:numFmt w:val="bullet"/>
      <w:lvlText w:val="•"/>
      <w:lvlJc w:val="left"/>
      <w:pPr>
        <w:ind w:left="2291" w:hanging="100"/>
      </w:pPr>
      <w:rPr>
        <w:rFonts w:hint="default"/>
      </w:rPr>
    </w:lvl>
  </w:abstractNum>
  <w:abstractNum w:abstractNumId="844" w15:restartNumberingAfterBreak="0">
    <w:nsid w:val="35762B80"/>
    <w:multiLevelType w:val="hybridMultilevel"/>
    <w:tmpl w:val="076C329C"/>
    <w:lvl w:ilvl="0" w:tplc="05F00CC4">
      <w:numFmt w:val="bullet"/>
      <w:lvlText w:val="–"/>
      <w:lvlJc w:val="left"/>
      <w:pPr>
        <w:ind w:left="497" w:hanging="135"/>
      </w:pPr>
      <w:rPr>
        <w:rFonts w:ascii="Times New Roman" w:eastAsia="Times New Roman" w:hAnsi="Times New Roman" w:cs="Times New Roman" w:hint="default"/>
        <w:color w:val="231F20"/>
        <w:spacing w:val="-3"/>
        <w:w w:val="100"/>
        <w:sz w:val="18"/>
        <w:szCs w:val="18"/>
      </w:rPr>
    </w:lvl>
    <w:lvl w:ilvl="1" w:tplc="11F648D2">
      <w:numFmt w:val="bullet"/>
      <w:lvlText w:val="•"/>
      <w:lvlJc w:val="left"/>
      <w:pPr>
        <w:ind w:left="1528" w:hanging="135"/>
      </w:pPr>
      <w:rPr>
        <w:rFonts w:hint="default"/>
      </w:rPr>
    </w:lvl>
    <w:lvl w:ilvl="2" w:tplc="21866294">
      <w:numFmt w:val="bullet"/>
      <w:lvlText w:val="•"/>
      <w:lvlJc w:val="left"/>
      <w:pPr>
        <w:ind w:left="2557" w:hanging="135"/>
      </w:pPr>
      <w:rPr>
        <w:rFonts w:hint="default"/>
      </w:rPr>
    </w:lvl>
    <w:lvl w:ilvl="3" w:tplc="32E4D81C">
      <w:numFmt w:val="bullet"/>
      <w:lvlText w:val="•"/>
      <w:lvlJc w:val="left"/>
      <w:pPr>
        <w:ind w:left="3585" w:hanging="135"/>
      </w:pPr>
      <w:rPr>
        <w:rFonts w:hint="default"/>
      </w:rPr>
    </w:lvl>
    <w:lvl w:ilvl="4" w:tplc="26F6014E">
      <w:numFmt w:val="bullet"/>
      <w:lvlText w:val="•"/>
      <w:lvlJc w:val="left"/>
      <w:pPr>
        <w:ind w:left="4614" w:hanging="135"/>
      </w:pPr>
      <w:rPr>
        <w:rFonts w:hint="default"/>
      </w:rPr>
    </w:lvl>
    <w:lvl w:ilvl="5" w:tplc="540E112E">
      <w:numFmt w:val="bullet"/>
      <w:lvlText w:val="•"/>
      <w:lvlJc w:val="left"/>
      <w:pPr>
        <w:ind w:left="5642" w:hanging="135"/>
      </w:pPr>
      <w:rPr>
        <w:rFonts w:hint="default"/>
      </w:rPr>
    </w:lvl>
    <w:lvl w:ilvl="6" w:tplc="79C6FE3A">
      <w:numFmt w:val="bullet"/>
      <w:lvlText w:val="•"/>
      <w:lvlJc w:val="left"/>
      <w:pPr>
        <w:ind w:left="6671" w:hanging="135"/>
      </w:pPr>
      <w:rPr>
        <w:rFonts w:hint="default"/>
      </w:rPr>
    </w:lvl>
    <w:lvl w:ilvl="7" w:tplc="ADF04FF6">
      <w:numFmt w:val="bullet"/>
      <w:lvlText w:val="•"/>
      <w:lvlJc w:val="left"/>
      <w:pPr>
        <w:ind w:left="7699" w:hanging="135"/>
      </w:pPr>
      <w:rPr>
        <w:rFonts w:hint="default"/>
      </w:rPr>
    </w:lvl>
    <w:lvl w:ilvl="8" w:tplc="EAF66E28">
      <w:numFmt w:val="bullet"/>
      <w:lvlText w:val="•"/>
      <w:lvlJc w:val="left"/>
      <w:pPr>
        <w:ind w:left="8728" w:hanging="135"/>
      </w:pPr>
      <w:rPr>
        <w:rFonts w:hint="default"/>
      </w:rPr>
    </w:lvl>
  </w:abstractNum>
  <w:abstractNum w:abstractNumId="845" w15:restartNumberingAfterBreak="0">
    <w:nsid w:val="357D2B5D"/>
    <w:multiLevelType w:val="hybridMultilevel"/>
    <w:tmpl w:val="A8426644"/>
    <w:lvl w:ilvl="0" w:tplc="BFCC8FFC">
      <w:numFmt w:val="bullet"/>
      <w:lvlText w:val=""/>
      <w:lvlJc w:val="left"/>
      <w:pPr>
        <w:ind w:left="156" w:hanging="100"/>
      </w:pPr>
      <w:rPr>
        <w:rFonts w:ascii="Symbol" w:eastAsia="Symbol" w:hAnsi="Symbol" w:cs="Symbol" w:hint="default"/>
        <w:color w:val="231F20"/>
        <w:w w:val="100"/>
        <w:sz w:val="14"/>
        <w:szCs w:val="14"/>
      </w:rPr>
    </w:lvl>
    <w:lvl w:ilvl="1" w:tplc="61020D0E">
      <w:numFmt w:val="bullet"/>
      <w:lvlText w:val="•"/>
      <w:lvlJc w:val="left"/>
      <w:pPr>
        <w:ind w:left="398" w:hanging="100"/>
      </w:pPr>
      <w:rPr>
        <w:rFonts w:hint="default"/>
      </w:rPr>
    </w:lvl>
    <w:lvl w:ilvl="2" w:tplc="3A286552">
      <w:numFmt w:val="bullet"/>
      <w:lvlText w:val="•"/>
      <w:lvlJc w:val="left"/>
      <w:pPr>
        <w:ind w:left="636" w:hanging="100"/>
      </w:pPr>
      <w:rPr>
        <w:rFonts w:hint="default"/>
      </w:rPr>
    </w:lvl>
    <w:lvl w:ilvl="3" w:tplc="7A42D5C4">
      <w:numFmt w:val="bullet"/>
      <w:lvlText w:val="•"/>
      <w:lvlJc w:val="left"/>
      <w:pPr>
        <w:ind w:left="874" w:hanging="100"/>
      </w:pPr>
      <w:rPr>
        <w:rFonts w:hint="default"/>
      </w:rPr>
    </w:lvl>
    <w:lvl w:ilvl="4" w:tplc="75E69670">
      <w:numFmt w:val="bullet"/>
      <w:lvlText w:val="•"/>
      <w:lvlJc w:val="left"/>
      <w:pPr>
        <w:ind w:left="1112" w:hanging="100"/>
      </w:pPr>
      <w:rPr>
        <w:rFonts w:hint="default"/>
      </w:rPr>
    </w:lvl>
    <w:lvl w:ilvl="5" w:tplc="E2465090">
      <w:numFmt w:val="bullet"/>
      <w:lvlText w:val="•"/>
      <w:lvlJc w:val="left"/>
      <w:pPr>
        <w:ind w:left="1350" w:hanging="100"/>
      </w:pPr>
      <w:rPr>
        <w:rFonts w:hint="default"/>
      </w:rPr>
    </w:lvl>
    <w:lvl w:ilvl="6" w:tplc="2FA653C6">
      <w:numFmt w:val="bullet"/>
      <w:lvlText w:val="•"/>
      <w:lvlJc w:val="left"/>
      <w:pPr>
        <w:ind w:left="1588" w:hanging="100"/>
      </w:pPr>
      <w:rPr>
        <w:rFonts w:hint="default"/>
      </w:rPr>
    </w:lvl>
    <w:lvl w:ilvl="7" w:tplc="4678C898">
      <w:numFmt w:val="bullet"/>
      <w:lvlText w:val="•"/>
      <w:lvlJc w:val="left"/>
      <w:pPr>
        <w:ind w:left="1826" w:hanging="100"/>
      </w:pPr>
      <w:rPr>
        <w:rFonts w:hint="default"/>
      </w:rPr>
    </w:lvl>
    <w:lvl w:ilvl="8" w:tplc="EF64776E">
      <w:numFmt w:val="bullet"/>
      <w:lvlText w:val="•"/>
      <w:lvlJc w:val="left"/>
      <w:pPr>
        <w:ind w:left="2064" w:hanging="100"/>
      </w:pPr>
      <w:rPr>
        <w:rFonts w:hint="default"/>
      </w:rPr>
    </w:lvl>
  </w:abstractNum>
  <w:abstractNum w:abstractNumId="846" w15:restartNumberingAfterBreak="0">
    <w:nsid w:val="358B5C71"/>
    <w:multiLevelType w:val="hybridMultilevel"/>
    <w:tmpl w:val="593231AA"/>
    <w:lvl w:ilvl="0" w:tplc="BD8E7FBA">
      <w:numFmt w:val="bullet"/>
      <w:lvlText w:val=""/>
      <w:lvlJc w:val="left"/>
      <w:pPr>
        <w:ind w:left="156" w:hanging="100"/>
      </w:pPr>
      <w:rPr>
        <w:rFonts w:ascii="Symbol" w:eastAsia="Symbol" w:hAnsi="Symbol" w:cs="Symbol" w:hint="default"/>
        <w:color w:val="231F20"/>
        <w:w w:val="100"/>
        <w:sz w:val="14"/>
        <w:szCs w:val="14"/>
      </w:rPr>
    </w:lvl>
    <w:lvl w:ilvl="1" w:tplc="7D268CA6">
      <w:numFmt w:val="bullet"/>
      <w:lvlText w:val="•"/>
      <w:lvlJc w:val="left"/>
      <w:pPr>
        <w:ind w:left="398" w:hanging="100"/>
      </w:pPr>
      <w:rPr>
        <w:rFonts w:hint="default"/>
      </w:rPr>
    </w:lvl>
    <w:lvl w:ilvl="2" w:tplc="38FA4EE2">
      <w:numFmt w:val="bullet"/>
      <w:lvlText w:val="•"/>
      <w:lvlJc w:val="left"/>
      <w:pPr>
        <w:ind w:left="636" w:hanging="100"/>
      </w:pPr>
      <w:rPr>
        <w:rFonts w:hint="default"/>
      </w:rPr>
    </w:lvl>
    <w:lvl w:ilvl="3" w:tplc="A64A18AE">
      <w:numFmt w:val="bullet"/>
      <w:lvlText w:val="•"/>
      <w:lvlJc w:val="left"/>
      <w:pPr>
        <w:ind w:left="874" w:hanging="100"/>
      </w:pPr>
      <w:rPr>
        <w:rFonts w:hint="default"/>
      </w:rPr>
    </w:lvl>
    <w:lvl w:ilvl="4" w:tplc="33943CD4">
      <w:numFmt w:val="bullet"/>
      <w:lvlText w:val="•"/>
      <w:lvlJc w:val="left"/>
      <w:pPr>
        <w:ind w:left="1112" w:hanging="100"/>
      </w:pPr>
      <w:rPr>
        <w:rFonts w:hint="default"/>
      </w:rPr>
    </w:lvl>
    <w:lvl w:ilvl="5" w:tplc="112ACD72">
      <w:numFmt w:val="bullet"/>
      <w:lvlText w:val="•"/>
      <w:lvlJc w:val="left"/>
      <w:pPr>
        <w:ind w:left="1350" w:hanging="100"/>
      </w:pPr>
      <w:rPr>
        <w:rFonts w:hint="default"/>
      </w:rPr>
    </w:lvl>
    <w:lvl w:ilvl="6" w:tplc="0BDA252A">
      <w:numFmt w:val="bullet"/>
      <w:lvlText w:val="•"/>
      <w:lvlJc w:val="left"/>
      <w:pPr>
        <w:ind w:left="1588" w:hanging="100"/>
      </w:pPr>
      <w:rPr>
        <w:rFonts w:hint="default"/>
      </w:rPr>
    </w:lvl>
    <w:lvl w:ilvl="7" w:tplc="2BEC82F0">
      <w:numFmt w:val="bullet"/>
      <w:lvlText w:val="•"/>
      <w:lvlJc w:val="left"/>
      <w:pPr>
        <w:ind w:left="1826" w:hanging="100"/>
      </w:pPr>
      <w:rPr>
        <w:rFonts w:hint="default"/>
      </w:rPr>
    </w:lvl>
    <w:lvl w:ilvl="8" w:tplc="C19C0652">
      <w:numFmt w:val="bullet"/>
      <w:lvlText w:val="•"/>
      <w:lvlJc w:val="left"/>
      <w:pPr>
        <w:ind w:left="2064" w:hanging="100"/>
      </w:pPr>
      <w:rPr>
        <w:rFonts w:hint="default"/>
      </w:rPr>
    </w:lvl>
  </w:abstractNum>
  <w:abstractNum w:abstractNumId="847" w15:restartNumberingAfterBreak="0">
    <w:nsid w:val="35966854"/>
    <w:multiLevelType w:val="hybridMultilevel"/>
    <w:tmpl w:val="4B80EA0A"/>
    <w:lvl w:ilvl="0" w:tplc="37DEA81E">
      <w:numFmt w:val="bullet"/>
      <w:lvlText w:val=""/>
      <w:lvlJc w:val="left"/>
      <w:pPr>
        <w:ind w:left="156" w:hanging="100"/>
      </w:pPr>
      <w:rPr>
        <w:rFonts w:ascii="Symbol" w:eastAsia="Symbol" w:hAnsi="Symbol" w:cs="Symbol" w:hint="default"/>
        <w:color w:val="231F20"/>
        <w:w w:val="100"/>
        <w:sz w:val="14"/>
        <w:szCs w:val="14"/>
      </w:rPr>
    </w:lvl>
    <w:lvl w:ilvl="1" w:tplc="3462EB1A">
      <w:numFmt w:val="bullet"/>
      <w:lvlText w:val="•"/>
      <w:lvlJc w:val="left"/>
      <w:pPr>
        <w:ind w:left="273" w:hanging="100"/>
      </w:pPr>
      <w:rPr>
        <w:rFonts w:hint="default"/>
      </w:rPr>
    </w:lvl>
    <w:lvl w:ilvl="2" w:tplc="F19C74AA">
      <w:numFmt w:val="bullet"/>
      <w:lvlText w:val="•"/>
      <w:lvlJc w:val="left"/>
      <w:pPr>
        <w:ind w:left="386" w:hanging="100"/>
      </w:pPr>
      <w:rPr>
        <w:rFonts w:hint="default"/>
      </w:rPr>
    </w:lvl>
    <w:lvl w:ilvl="3" w:tplc="208AA56C">
      <w:numFmt w:val="bullet"/>
      <w:lvlText w:val="•"/>
      <w:lvlJc w:val="left"/>
      <w:pPr>
        <w:ind w:left="500" w:hanging="100"/>
      </w:pPr>
      <w:rPr>
        <w:rFonts w:hint="default"/>
      </w:rPr>
    </w:lvl>
    <w:lvl w:ilvl="4" w:tplc="B4188740">
      <w:numFmt w:val="bullet"/>
      <w:lvlText w:val="•"/>
      <w:lvlJc w:val="left"/>
      <w:pPr>
        <w:ind w:left="613" w:hanging="100"/>
      </w:pPr>
      <w:rPr>
        <w:rFonts w:hint="default"/>
      </w:rPr>
    </w:lvl>
    <w:lvl w:ilvl="5" w:tplc="153E5DF8">
      <w:numFmt w:val="bullet"/>
      <w:lvlText w:val="•"/>
      <w:lvlJc w:val="left"/>
      <w:pPr>
        <w:ind w:left="727" w:hanging="100"/>
      </w:pPr>
      <w:rPr>
        <w:rFonts w:hint="default"/>
      </w:rPr>
    </w:lvl>
    <w:lvl w:ilvl="6" w:tplc="90988C88">
      <w:numFmt w:val="bullet"/>
      <w:lvlText w:val="•"/>
      <w:lvlJc w:val="left"/>
      <w:pPr>
        <w:ind w:left="840" w:hanging="100"/>
      </w:pPr>
      <w:rPr>
        <w:rFonts w:hint="default"/>
      </w:rPr>
    </w:lvl>
    <w:lvl w:ilvl="7" w:tplc="B8005498">
      <w:numFmt w:val="bullet"/>
      <w:lvlText w:val="•"/>
      <w:lvlJc w:val="left"/>
      <w:pPr>
        <w:ind w:left="953" w:hanging="100"/>
      </w:pPr>
      <w:rPr>
        <w:rFonts w:hint="default"/>
      </w:rPr>
    </w:lvl>
    <w:lvl w:ilvl="8" w:tplc="DF600C76">
      <w:numFmt w:val="bullet"/>
      <w:lvlText w:val="•"/>
      <w:lvlJc w:val="left"/>
      <w:pPr>
        <w:ind w:left="1067" w:hanging="100"/>
      </w:pPr>
      <w:rPr>
        <w:rFonts w:hint="default"/>
      </w:rPr>
    </w:lvl>
  </w:abstractNum>
  <w:abstractNum w:abstractNumId="848" w15:restartNumberingAfterBreak="0">
    <w:nsid w:val="359B4A2E"/>
    <w:multiLevelType w:val="hybridMultilevel"/>
    <w:tmpl w:val="FECA15EE"/>
    <w:lvl w:ilvl="0" w:tplc="998C328C">
      <w:numFmt w:val="bullet"/>
      <w:lvlText w:val=""/>
      <w:lvlJc w:val="left"/>
      <w:pPr>
        <w:ind w:left="157" w:hanging="100"/>
      </w:pPr>
      <w:rPr>
        <w:rFonts w:ascii="Symbol" w:eastAsia="Symbol" w:hAnsi="Symbol" w:cs="Symbol" w:hint="default"/>
        <w:color w:val="231F20"/>
        <w:w w:val="100"/>
        <w:sz w:val="14"/>
        <w:szCs w:val="14"/>
      </w:rPr>
    </w:lvl>
    <w:lvl w:ilvl="1" w:tplc="9D483A20">
      <w:numFmt w:val="bullet"/>
      <w:lvlText w:val="•"/>
      <w:lvlJc w:val="left"/>
      <w:pPr>
        <w:ind w:left="426" w:hanging="100"/>
      </w:pPr>
      <w:rPr>
        <w:rFonts w:hint="default"/>
      </w:rPr>
    </w:lvl>
    <w:lvl w:ilvl="2" w:tplc="5046122C">
      <w:numFmt w:val="bullet"/>
      <w:lvlText w:val="•"/>
      <w:lvlJc w:val="left"/>
      <w:pPr>
        <w:ind w:left="692" w:hanging="100"/>
      </w:pPr>
      <w:rPr>
        <w:rFonts w:hint="default"/>
      </w:rPr>
    </w:lvl>
    <w:lvl w:ilvl="3" w:tplc="753E3854">
      <w:numFmt w:val="bullet"/>
      <w:lvlText w:val="•"/>
      <w:lvlJc w:val="left"/>
      <w:pPr>
        <w:ind w:left="959" w:hanging="100"/>
      </w:pPr>
      <w:rPr>
        <w:rFonts w:hint="default"/>
      </w:rPr>
    </w:lvl>
    <w:lvl w:ilvl="4" w:tplc="5BAC71A0">
      <w:numFmt w:val="bullet"/>
      <w:lvlText w:val="•"/>
      <w:lvlJc w:val="left"/>
      <w:pPr>
        <w:ind w:left="1225" w:hanging="100"/>
      </w:pPr>
      <w:rPr>
        <w:rFonts w:hint="default"/>
      </w:rPr>
    </w:lvl>
    <w:lvl w:ilvl="5" w:tplc="751AFCE6">
      <w:numFmt w:val="bullet"/>
      <w:lvlText w:val="•"/>
      <w:lvlJc w:val="left"/>
      <w:pPr>
        <w:ind w:left="1492" w:hanging="100"/>
      </w:pPr>
      <w:rPr>
        <w:rFonts w:hint="default"/>
      </w:rPr>
    </w:lvl>
    <w:lvl w:ilvl="6" w:tplc="A34656D4">
      <w:numFmt w:val="bullet"/>
      <w:lvlText w:val="•"/>
      <w:lvlJc w:val="left"/>
      <w:pPr>
        <w:ind w:left="1758" w:hanging="100"/>
      </w:pPr>
      <w:rPr>
        <w:rFonts w:hint="default"/>
      </w:rPr>
    </w:lvl>
    <w:lvl w:ilvl="7" w:tplc="5B5AEF7C">
      <w:numFmt w:val="bullet"/>
      <w:lvlText w:val="•"/>
      <w:lvlJc w:val="left"/>
      <w:pPr>
        <w:ind w:left="2024" w:hanging="100"/>
      </w:pPr>
      <w:rPr>
        <w:rFonts w:hint="default"/>
      </w:rPr>
    </w:lvl>
    <w:lvl w:ilvl="8" w:tplc="0970835C">
      <w:numFmt w:val="bullet"/>
      <w:lvlText w:val="•"/>
      <w:lvlJc w:val="left"/>
      <w:pPr>
        <w:ind w:left="2291" w:hanging="100"/>
      </w:pPr>
      <w:rPr>
        <w:rFonts w:hint="default"/>
      </w:rPr>
    </w:lvl>
  </w:abstractNum>
  <w:abstractNum w:abstractNumId="849" w15:restartNumberingAfterBreak="0">
    <w:nsid w:val="35C87117"/>
    <w:multiLevelType w:val="hybridMultilevel"/>
    <w:tmpl w:val="AD5E6412"/>
    <w:lvl w:ilvl="0" w:tplc="88B4CB26">
      <w:numFmt w:val="bullet"/>
      <w:lvlText w:val=""/>
      <w:lvlJc w:val="left"/>
      <w:pPr>
        <w:ind w:left="157" w:hanging="100"/>
      </w:pPr>
      <w:rPr>
        <w:rFonts w:ascii="Symbol" w:eastAsia="Symbol" w:hAnsi="Symbol" w:cs="Symbol" w:hint="default"/>
        <w:color w:val="231F20"/>
        <w:w w:val="100"/>
        <w:sz w:val="14"/>
        <w:szCs w:val="14"/>
      </w:rPr>
    </w:lvl>
    <w:lvl w:ilvl="1" w:tplc="09845EF0">
      <w:numFmt w:val="bullet"/>
      <w:lvlText w:val="•"/>
      <w:lvlJc w:val="left"/>
      <w:pPr>
        <w:ind w:left="398" w:hanging="100"/>
      </w:pPr>
      <w:rPr>
        <w:rFonts w:hint="default"/>
      </w:rPr>
    </w:lvl>
    <w:lvl w:ilvl="2" w:tplc="BAACEB66">
      <w:numFmt w:val="bullet"/>
      <w:lvlText w:val="•"/>
      <w:lvlJc w:val="left"/>
      <w:pPr>
        <w:ind w:left="636" w:hanging="100"/>
      </w:pPr>
      <w:rPr>
        <w:rFonts w:hint="default"/>
      </w:rPr>
    </w:lvl>
    <w:lvl w:ilvl="3" w:tplc="2F02CD08">
      <w:numFmt w:val="bullet"/>
      <w:lvlText w:val="•"/>
      <w:lvlJc w:val="left"/>
      <w:pPr>
        <w:ind w:left="874" w:hanging="100"/>
      </w:pPr>
      <w:rPr>
        <w:rFonts w:hint="default"/>
      </w:rPr>
    </w:lvl>
    <w:lvl w:ilvl="4" w:tplc="4EFA3EA6">
      <w:numFmt w:val="bullet"/>
      <w:lvlText w:val="•"/>
      <w:lvlJc w:val="left"/>
      <w:pPr>
        <w:ind w:left="1112" w:hanging="100"/>
      </w:pPr>
      <w:rPr>
        <w:rFonts w:hint="default"/>
      </w:rPr>
    </w:lvl>
    <w:lvl w:ilvl="5" w:tplc="F958510E">
      <w:numFmt w:val="bullet"/>
      <w:lvlText w:val="•"/>
      <w:lvlJc w:val="left"/>
      <w:pPr>
        <w:ind w:left="1350" w:hanging="100"/>
      </w:pPr>
      <w:rPr>
        <w:rFonts w:hint="default"/>
      </w:rPr>
    </w:lvl>
    <w:lvl w:ilvl="6" w:tplc="DA5EC75A">
      <w:numFmt w:val="bullet"/>
      <w:lvlText w:val="•"/>
      <w:lvlJc w:val="left"/>
      <w:pPr>
        <w:ind w:left="1588" w:hanging="100"/>
      </w:pPr>
      <w:rPr>
        <w:rFonts w:hint="default"/>
      </w:rPr>
    </w:lvl>
    <w:lvl w:ilvl="7" w:tplc="468E359A">
      <w:numFmt w:val="bullet"/>
      <w:lvlText w:val="•"/>
      <w:lvlJc w:val="left"/>
      <w:pPr>
        <w:ind w:left="1826" w:hanging="100"/>
      </w:pPr>
      <w:rPr>
        <w:rFonts w:hint="default"/>
      </w:rPr>
    </w:lvl>
    <w:lvl w:ilvl="8" w:tplc="C504C3AC">
      <w:numFmt w:val="bullet"/>
      <w:lvlText w:val="•"/>
      <w:lvlJc w:val="left"/>
      <w:pPr>
        <w:ind w:left="2064" w:hanging="100"/>
      </w:pPr>
      <w:rPr>
        <w:rFonts w:hint="default"/>
      </w:rPr>
    </w:lvl>
  </w:abstractNum>
  <w:abstractNum w:abstractNumId="850" w15:restartNumberingAfterBreak="0">
    <w:nsid w:val="35EE286C"/>
    <w:multiLevelType w:val="hybridMultilevel"/>
    <w:tmpl w:val="EB14E3DE"/>
    <w:lvl w:ilvl="0" w:tplc="4F167AF0">
      <w:numFmt w:val="bullet"/>
      <w:lvlText w:val=""/>
      <w:lvlJc w:val="left"/>
      <w:pPr>
        <w:ind w:left="156" w:hanging="100"/>
      </w:pPr>
      <w:rPr>
        <w:rFonts w:ascii="Symbol" w:eastAsia="Symbol" w:hAnsi="Symbol" w:cs="Symbol" w:hint="default"/>
        <w:color w:val="231F20"/>
        <w:w w:val="100"/>
        <w:sz w:val="14"/>
        <w:szCs w:val="14"/>
      </w:rPr>
    </w:lvl>
    <w:lvl w:ilvl="1" w:tplc="AB7887FE">
      <w:numFmt w:val="bullet"/>
      <w:lvlText w:val="•"/>
      <w:lvlJc w:val="left"/>
      <w:pPr>
        <w:ind w:left="426" w:hanging="100"/>
      </w:pPr>
      <w:rPr>
        <w:rFonts w:hint="default"/>
      </w:rPr>
    </w:lvl>
    <w:lvl w:ilvl="2" w:tplc="9D58E6AA">
      <w:numFmt w:val="bullet"/>
      <w:lvlText w:val="•"/>
      <w:lvlJc w:val="left"/>
      <w:pPr>
        <w:ind w:left="692" w:hanging="100"/>
      </w:pPr>
      <w:rPr>
        <w:rFonts w:hint="default"/>
      </w:rPr>
    </w:lvl>
    <w:lvl w:ilvl="3" w:tplc="9B60329C">
      <w:numFmt w:val="bullet"/>
      <w:lvlText w:val="•"/>
      <w:lvlJc w:val="left"/>
      <w:pPr>
        <w:ind w:left="959" w:hanging="100"/>
      </w:pPr>
      <w:rPr>
        <w:rFonts w:hint="default"/>
      </w:rPr>
    </w:lvl>
    <w:lvl w:ilvl="4" w:tplc="DF1E047C">
      <w:numFmt w:val="bullet"/>
      <w:lvlText w:val="•"/>
      <w:lvlJc w:val="left"/>
      <w:pPr>
        <w:ind w:left="1225" w:hanging="100"/>
      </w:pPr>
      <w:rPr>
        <w:rFonts w:hint="default"/>
      </w:rPr>
    </w:lvl>
    <w:lvl w:ilvl="5" w:tplc="52701086">
      <w:numFmt w:val="bullet"/>
      <w:lvlText w:val="•"/>
      <w:lvlJc w:val="left"/>
      <w:pPr>
        <w:ind w:left="1492" w:hanging="100"/>
      </w:pPr>
      <w:rPr>
        <w:rFonts w:hint="default"/>
      </w:rPr>
    </w:lvl>
    <w:lvl w:ilvl="6" w:tplc="2F3EBC28">
      <w:numFmt w:val="bullet"/>
      <w:lvlText w:val="•"/>
      <w:lvlJc w:val="left"/>
      <w:pPr>
        <w:ind w:left="1758" w:hanging="100"/>
      </w:pPr>
      <w:rPr>
        <w:rFonts w:hint="default"/>
      </w:rPr>
    </w:lvl>
    <w:lvl w:ilvl="7" w:tplc="EF6CCA9E">
      <w:numFmt w:val="bullet"/>
      <w:lvlText w:val="•"/>
      <w:lvlJc w:val="left"/>
      <w:pPr>
        <w:ind w:left="2024" w:hanging="100"/>
      </w:pPr>
      <w:rPr>
        <w:rFonts w:hint="default"/>
      </w:rPr>
    </w:lvl>
    <w:lvl w:ilvl="8" w:tplc="874A85C4">
      <w:numFmt w:val="bullet"/>
      <w:lvlText w:val="•"/>
      <w:lvlJc w:val="left"/>
      <w:pPr>
        <w:ind w:left="2291" w:hanging="100"/>
      </w:pPr>
      <w:rPr>
        <w:rFonts w:hint="default"/>
      </w:rPr>
    </w:lvl>
  </w:abstractNum>
  <w:abstractNum w:abstractNumId="851" w15:restartNumberingAfterBreak="0">
    <w:nsid w:val="35FE14F0"/>
    <w:multiLevelType w:val="hybridMultilevel"/>
    <w:tmpl w:val="FAF2DFA2"/>
    <w:lvl w:ilvl="0" w:tplc="E162282E">
      <w:numFmt w:val="bullet"/>
      <w:lvlText w:val=""/>
      <w:lvlJc w:val="left"/>
      <w:pPr>
        <w:ind w:left="157" w:hanging="100"/>
      </w:pPr>
      <w:rPr>
        <w:rFonts w:ascii="Symbol" w:eastAsia="Symbol" w:hAnsi="Symbol" w:cs="Symbol" w:hint="default"/>
        <w:color w:val="231F20"/>
        <w:w w:val="100"/>
        <w:sz w:val="14"/>
        <w:szCs w:val="14"/>
      </w:rPr>
    </w:lvl>
    <w:lvl w:ilvl="1" w:tplc="B3E87C04">
      <w:numFmt w:val="bullet"/>
      <w:lvlText w:val="•"/>
      <w:lvlJc w:val="left"/>
      <w:pPr>
        <w:ind w:left="369" w:hanging="100"/>
      </w:pPr>
      <w:rPr>
        <w:rFonts w:hint="default"/>
      </w:rPr>
    </w:lvl>
    <w:lvl w:ilvl="2" w:tplc="1ECA76BA">
      <w:numFmt w:val="bullet"/>
      <w:lvlText w:val="•"/>
      <w:lvlJc w:val="left"/>
      <w:pPr>
        <w:ind w:left="579" w:hanging="100"/>
      </w:pPr>
      <w:rPr>
        <w:rFonts w:hint="default"/>
      </w:rPr>
    </w:lvl>
    <w:lvl w:ilvl="3" w:tplc="17AC8D08">
      <w:numFmt w:val="bullet"/>
      <w:lvlText w:val="•"/>
      <w:lvlJc w:val="left"/>
      <w:pPr>
        <w:ind w:left="789" w:hanging="100"/>
      </w:pPr>
      <w:rPr>
        <w:rFonts w:hint="default"/>
      </w:rPr>
    </w:lvl>
    <w:lvl w:ilvl="4" w:tplc="F0908EFC">
      <w:numFmt w:val="bullet"/>
      <w:lvlText w:val="•"/>
      <w:lvlJc w:val="left"/>
      <w:pPr>
        <w:ind w:left="998" w:hanging="100"/>
      </w:pPr>
      <w:rPr>
        <w:rFonts w:hint="default"/>
      </w:rPr>
    </w:lvl>
    <w:lvl w:ilvl="5" w:tplc="E6ECA9BE">
      <w:numFmt w:val="bullet"/>
      <w:lvlText w:val="•"/>
      <w:lvlJc w:val="left"/>
      <w:pPr>
        <w:ind w:left="1208" w:hanging="100"/>
      </w:pPr>
      <w:rPr>
        <w:rFonts w:hint="default"/>
      </w:rPr>
    </w:lvl>
    <w:lvl w:ilvl="6" w:tplc="5DEA430C">
      <w:numFmt w:val="bullet"/>
      <w:lvlText w:val="•"/>
      <w:lvlJc w:val="left"/>
      <w:pPr>
        <w:ind w:left="1418" w:hanging="100"/>
      </w:pPr>
      <w:rPr>
        <w:rFonts w:hint="default"/>
      </w:rPr>
    </w:lvl>
    <w:lvl w:ilvl="7" w:tplc="7B4EE126">
      <w:numFmt w:val="bullet"/>
      <w:lvlText w:val="•"/>
      <w:lvlJc w:val="left"/>
      <w:pPr>
        <w:ind w:left="1627" w:hanging="100"/>
      </w:pPr>
      <w:rPr>
        <w:rFonts w:hint="default"/>
      </w:rPr>
    </w:lvl>
    <w:lvl w:ilvl="8" w:tplc="2354ABC2">
      <w:numFmt w:val="bullet"/>
      <w:lvlText w:val="•"/>
      <w:lvlJc w:val="left"/>
      <w:pPr>
        <w:ind w:left="1837" w:hanging="100"/>
      </w:pPr>
      <w:rPr>
        <w:rFonts w:hint="default"/>
      </w:rPr>
    </w:lvl>
  </w:abstractNum>
  <w:abstractNum w:abstractNumId="852" w15:restartNumberingAfterBreak="0">
    <w:nsid w:val="363A1849"/>
    <w:multiLevelType w:val="hybridMultilevel"/>
    <w:tmpl w:val="A2FABAA0"/>
    <w:lvl w:ilvl="0" w:tplc="03B2338A">
      <w:numFmt w:val="bullet"/>
      <w:lvlText w:val="•"/>
      <w:lvlJc w:val="left"/>
      <w:pPr>
        <w:ind w:left="57" w:hanging="84"/>
      </w:pPr>
      <w:rPr>
        <w:rFonts w:ascii="Times New Roman" w:eastAsia="Times New Roman" w:hAnsi="Times New Roman" w:cs="Times New Roman" w:hint="default"/>
        <w:b/>
        <w:bCs/>
        <w:color w:val="231F20"/>
        <w:w w:val="100"/>
        <w:sz w:val="14"/>
        <w:szCs w:val="14"/>
      </w:rPr>
    </w:lvl>
    <w:lvl w:ilvl="1" w:tplc="85E2C73C">
      <w:numFmt w:val="bullet"/>
      <w:lvlText w:val="•"/>
      <w:lvlJc w:val="left"/>
      <w:pPr>
        <w:ind w:left="336" w:hanging="84"/>
      </w:pPr>
      <w:rPr>
        <w:rFonts w:hint="default"/>
      </w:rPr>
    </w:lvl>
    <w:lvl w:ilvl="2" w:tplc="0556F7B6">
      <w:numFmt w:val="bullet"/>
      <w:lvlText w:val="•"/>
      <w:lvlJc w:val="left"/>
      <w:pPr>
        <w:ind w:left="612" w:hanging="84"/>
      </w:pPr>
      <w:rPr>
        <w:rFonts w:hint="default"/>
      </w:rPr>
    </w:lvl>
    <w:lvl w:ilvl="3" w:tplc="C7CC7782">
      <w:numFmt w:val="bullet"/>
      <w:lvlText w:val="•"/>
      <w:lvlJc w:val="left"/>
      <w:pPr>
        <w:ind w:left="889" w:hanging="84"/>
      </w:pPr>
      <w:rPr>
        <w:rFonts w:hint="default"/>
      </w:rPr>
    </w:lvl>
    <w:lvl w:ilvl="4" w:tplc="59CECF5E">
      <w:numFmt w:val="bullet"/>
      <w:lvlText w:val="•"/>
      <w:lvlJc w:val="left"/>
      <w:pPr>
        <w:ind w:left="1165" w:hanging="84"/>
      </w:pPr>
      <w:rPr>
        <w:rFonts w:hint="default"/>
      </w:rPr>
    </w:lvl>
    <w:lvl w:ilvl="5" w:tplc="D2629AC2">
      <w:numFmt w:val="bullet"/>
      <w:lvlText w:val="•"/>
      <w:lvlJc w:val="left"/>
      <w:pPr>
        <w:ind w:left="1442" w:hanging="84"/>
      </w:pPr>
      <w:rPr>
        <w:rFonts w:hint="default"/>
      </w:rPr>
    </w:lvl>
    <w:lvl w:ilvl="6" w:tplc="7524677C">
      <w:numFmt w:val="bullet"/>
      <w:lvlText w:val="•"/>
      <w:lvlJc w:val="left"/>
      <w:pPr>
        <w:ind w:left="1718" w:hanging="84"/>
      </w:pPr>
      <w:rPr>
        <w:rFonts w:hint="default"/>
      </w:rPr>
    </w:lvl>
    <w:lvl w:ilvl="7" w:tplc="5B32F5F0">
      <w:numFmt w:val="bullet"/>
      <w:lvlText w:val="•"/>
      <w:lvlJc w:val="left"/>
      <w:pPr>
        <w:ind w:left="1994" w:hanging="84"/>
      </w:pPr>
      <w:rPr>
        <w:rFonts w:hint="default"/>
      </w:rPr>
    </w:lvl>
    <w:lvl w:ilvl="8" w:tplc="88AA799A">
      <w:numFmt w:val="bullet"/>
      <w:lvlText w:val="•"/>
      <w:lvlJc w:val="left"/>
      <w:pPr>
        <w:ind w:left="2271" w:hanging="84"/>
      </w:pPr>
      <w:rPr>
        <w:rFonts w:hint="default"/>
      </w:rPr>
    </w:lvl>
  </w:abstractNum>
  <w:abstractNum w:abstractNumId="853" w15:restartNumberingAfterBreak="0">
    <w:nsid w:val="364B2943"/>
    <w:multiLevelType w:val="hybridMultilevel"/>
    <w:tmpl w:val="695206B8"/>
    <w:lvl w:ilvl="0" w:tplc="03BE0278">
      <w:numFmt w:val="bullet"/>
      <w:lvlText w:val=""/>
      <w:lvlJc w:val="left"/>
      <w:pPr>
        <w:ind w:left="157" w:hanging="100"/>
      </w:pPr>
      <w:rPr>
        <w:rFonts w:ascii="Symbol" w:eastAsia="Symbol" w:hAnsi="Symbol" w:cs="Symbol" w:hint="default"/>
        <w:color w:val="231F20"/>
        <w:w w:val="100"/>
        <w:sz w:val="14"/>
        <w:szCs w:val="14"/>
      </w:rPr>
    </w:lvl>
    <w:lvl w:ilvl="1" w:tplc="17D0C8C0">
      <w:numFmt w:val="bullet"/>
      <w:lvlText w:val="•"/>
      <w:lvlJc w:val="left"/>
      <w:pPr>
        <w:ind w:left="369" w:hanging="100"/>
      </w:pPr>
      <w:rPr>
        <w:rFonts w:hint="default"/>
      </w:rPr>
    </w:lvl>
    <w:lvl w:ilvl="2" w:tplc="EF6ED764">
      <w:numFmt w:val="bullet"/>
      <w:lvlText w:val="•"/>
      <w:lvlJc w:val="left"/>
      <w:pPr>
        <w:ind w:left="579" w:hanging="100"/>
      </w:pPr>
      <w:rPr>
        <w:rFonts w:hint="default"/>
      </w:rPr>
    </w:lvl>
    <w:lvl w:ilvl="3" w:tplc="D4B4A8F8">
      <w:numFmt w:val="bullet"/>
      <w:lvlText w:val="•"/>
      <w:lvlJc w:val="left"/>
      <w:pPr>
        <w:ind w:left="789" w:hanging="100"/>
      </w:pPr>
      <w:rPr>
        <w:rFonts w:hint="default"/>
      </w:rPr>
    </w:lvl>
    <w:lvl w:ilvl="4" w:tplc="D0A4A438">
      <w:numFmt w:val="bullet"/>
      <w:lvlText w:val="•"/>
      <w:lvlJc w:val="left"/>
      <w:pPr>
        <w:ind w:left="998" w:hanging="100"/>
      </w:pPr>
      <w:rPr>
        <w:rFonts w:hint="default"/>
      </w:rPr>
    </w:lvl>
    <w:lvl w:ilvl="5" w:tplc="8CC60C40">
      <w:numFmt w:val="bullet"/>
      <w:lvlText w:val="•"/>
      <w:lvlJc w:val="left"/>
      <w:pPr>
        <w:ind w:left="1208" w:hanging="100"/>
      </w:pPr>
      <w:rPr>
        <w:rFonts w:hint="default"/>
      </w:rPr>
    </w:lvl>
    <w:lvl w:ilvl="6" w:tplc="2E04C634">
      <w:numFmt w:val="bullet"/>
      <w:lvlText w:val="•"/>
      <w:lvlJc w:val="left"/>
      <w:pPr>
        <w:ind w:left="1418" w:hanging="100"/>
      </w:pPr>
      <w:rPr>
        <w:rFonts w:hint="default"/>
      </w:rPr>
    </w:lvl>
    <w:lvl w:ilvl="7" w:tplc="57A81C9A">
      <w:numFmt w:val="bullet"/>
      <w:lvlText w:val="•"/>
      <w:lvlJc w:val="left"/>
      <w:pPr>
        <w:ind w:left="1627" w:hanging="100"/>
      </w:pPr>
      <w:rPr>
        <w:rFonts w:hint="default"/>
      </w:rPr>
    </w:lvl>
    <w:lvl w:ilvl="8" w:tplc="81066B22">
      <w:numFmt w:val="bullet"/>
      <w:lvlText w:val="•"/>
      <w:lvlJc w:val="left"/>
      <w:pPr>
        <w:ind w:left="1837" w:hanging="100"/>
      </w:pPr>
      <w:rPr>
        <w:rFonts w:hint="default"/>
      </w:rPr>
    </w:lvl>
  </w:abstractNum>
  <w:abstractNum w:abstractNumId="854" w15:restartNumberingAfterBreak="0">
    <w:nsid w:val="364D6A76"/>
    <w:multiLevelType w:val="hybridMultilevel"/>
    <w:tmpl w:val="E8F46FBC"/>
    <w:lvl w:ilvl="0" w:tplc="E8EAE344">
      <w:numFmt w:val="bullet"/>
      <w:lvlText w:val=""/>
      <w:lvlJc w:val="left"/>
      <w:pPr>
        <w:ind w:left="157" w:hanging="100"/>
      </w:pPr>
      <w:rPr>
        <w:rFonts w:ascii="Symbol" w:eastAsia="Symbol" w:hAnsi="Symbol" w:cs="Symbol" w:hint="default"/>
        <w:color w:val="231F20"/>
        <w:w w:val="100"/>
        <w:sz w:val="14"/>
        <w:szCs w:val="14"/>
      </w:rPr>
    </w:lvl>
    <w:lvl w:ilvl="1" w:tplc="51606356">
      <w:numFmt w:val="bullet"/>
      <w:lvlText w:val="•"/>
      <w:lvlJc w:val="left"/>
      <w:pPr>
        <w:ind w:left="369" w:hanging="100"/>
      </w:pPr>
      <w:rPr>
        <w:rFonts w:hint="default"/>
      </w:rPr>
    </w:lvl>
    <w:lvl w:ilvl="2" w:tplc="79005A3E">
      <w:numFmt w:val="bullet"/>
      <w:lvlText w:val="•"/>
      <w:lvlJc w:val="left"/>
      <w:pPr>
        <w:ind w:left="579" w:hanging="100"/>
      </w:pPr>
      <w:rPr>
        <w:rFonts w:hint="default"/>
      </w:rPr>
    </w:lvl>
    <w:lvl w:ilvl="3" w:tplc="6BB67BA8">
      <w:numFmt w:val="bullet"/>
      <w:lvlText w:val="•"/>
      <w:lvlJc w:val="left"/>
      <w:pPr>
        <w:ind w:left="789" w:hanging="100"/>
      </w:pPr>
      <w:rPr>
        <w:rFonts w:hint="default"/>
      </w:rPr>
    </w:lvl>
    <w:lvl w:ilvl="4" w:tplc="7E52AD30">
      <w:numFmt w:val="bullet"/>
      <w:lvlText w:val="•"/>
      <w:lvlJc w:val="left"/>
      <w:pPr>
        <w:ind w:left="998" w:hanging="100"/>
      </w:pPr>
      <w:rPr>
        <w:rFonts w:hint="default"/>
      </w:rPr>
    </w:lvl>
    <w:lvl w:ilvl="5" w:tplc="8048E56C">
      <w:numFmt w:val="bullet"/>
      <w:lvlText w:val="•"/>
      <w:lvlJc w:val="left"/>
      <w:pPr>
        <w:ind w:left="1208" w:hanging="100"/>
      </w:pPr>
      <w:rPr>
        <w:rFonts w:hint="default"/>
      </w:rPr>
    </w:lvl>
    <w:lvl w:ilvl="6" w:tplc="21AC24EE">
      <w:numFmt w:val="bullet"/>
      <w:lvlText w:val="•"/>
      <w:lvlJc w:val="left"/>
      <w:pPr>
        <w:ind w:left="1418" w:hanging="100"/>
      </w:pPr>
      <w:rPr>
        <w:rFonts w:hint="default"/>
      </w:rPr>
    </w:lvl>
    <w:lvl w:ilvl="7" w:tplc="4BC886FA">
      <w:numFmt w:val="bullet"/>
      <w:lvlText w:val="•"/>
      <w:lvlJc w:val="left"/>
      <w:pPr>
        <w:ind w:left="1627" w:hanging="100"/>
      </w:pPr>
      <w:rPr>
        <w:rFonts w:hint="default"/>
      </w:rPr>
    </w:lvl>
    <w:lvl w:ilvl="8" w:tplc="B3D0D03E">
      <w:numFmt w:val="bullet"/>
      <w:lvlText w:val="•"/>
      <w:lvlJc w:val="left"/>
      <w:pPr>
        <w:ind w:left="1837" w:hanging="100"/>
      </w:pPr>
      <w:rPr>
        <w:rFonts w:hint="default"/>
      </w:rPr>
    </w:lvl>
  </w:abstractNum>
  <w:abstractNum w:abstractNumId="855" w15:restartNumberingAfterBreak="0">
    <w:nsid w:val="36772E96"/>
    <w:multiLevelType w:val="hybridMultilevel"/>
    <w:tmpl w:val="D9067950"/>
    <w:lvl w:ilvl="0" w:tplc="6D609D68">
      <w:numFmt w:val="bullet"/>
      <w:lvlText w:val=""/>
      <w:lvlJc w:val="left"/>
      <w:pPr>
        <w:ind w:left="156" w:hanging="100"/>
      </w:pPr>
      <w:rPr>
        <w:rFonts w:ascii="Symbol" w:eastAsia="Symbol" w:hAnsi="Symbol" w:cs="Symbol" w:hint="default"/>
        <w:color w:val="231F20"/>
        <w:w w:val="100"/>
        <w:sz w:val="14"/>
        <w:szCs w:val="14"/>
      </w:rPr>
    </w:lvl>
    <w:lvl w:ilvl="1" w:tplc="298C497C">
      <w:numFmt w:val="bullet"/>
      <w:lvlText w:val="•"/>
      <w:lvlJc w:val="left"/>
      <w:pPr>
        <w:ind w:left="398" w:hanging="100"/>
      </w:pPr>
      <w:rPr>
        <w:rFonts w:hint="default"/>
      </w:rPr>
    </w:lvl>
    <w:lvl w:ilvl="2" w:tplc="A3F67D5A">
      <w:numFmt w:val="bullet"/>
      <w:lvlText w:val="•"/>
      <w:lvlJc w:val="left"/>
      <w:pPr>
        <w:ind w:left="636" w:hanging="100"/>
      </w:pPr>
      <w:rPr>
        <w:rFonts w:hint="default"/>
      </w:rPr>
    </w:lvl>
    <w:lvl w:ilvl="3" w:tplc="67C6A30A">
      <w:numFmt w:val="bullet"/>
      <w:lvlText w:val="•"/>
      <w:lvlJc w:val="left"/>
      <w:pPr>
        <w:ind w:left="874" w:hanging="100"/>
      </w:pPr>
      <w:rPr>
        <w:rFonts w:hint="default"/>
      </w:rPr>
    </w:lvl>
    <w:lvl w:ilvl="4" w:tplc="42EE0604">
      <w:numFmt w:val="bullet"/>
      <w:lvlText w:val="•"/>
      <w:lvlJc w:val="left"/>
      <w:pPr>
        <w:ind w:left="1112" w:hanging="100"/>
      </w:pPr>
      <w:rPr>
        <w:rFonts w:hint="default"/>
      </w:rPr>
    </w:lvl>
    <w:lvl w:ilvl="5" w:tplc="0F209014">
      <w:numFmt w:val="bullet"/>
      <w:lvlText w:val="•"/>
      <w:lvlJc w:val="left"/>
      <w:pPr>
        <w:ind w:left="1350" w:hanging="100"/>
      </w:pPr>
      <w:rPr>
        <w:rFonts w:hint="default"/>
      </w:rPr>
    </w:lvl>
    <w:lvl w:ilvl="6" w:tplc="F7366CFC">
      <w:numFmt w:val="bullet"/>
      <w:lvlText w:val="•"/>
      <w:lvlJc w:val="left"/>
      <w:pPr>
        <w:ind w:left="1588" w:hanging="100"/>
      </w:pPr>
      <w:rPr>
        <w:rFonts w:hint="default"/>
      </w:rPr>
    </w:lvl>
    <w:lvl w:ilvl="7" w:tplc="A282D74C">
      <w:numFmt w:val="bullet"/>
      <w:lvlText w:val="•"/>
      <w:lvlJc w:val="left"/>
      <w:pPr>
        <w:ind w:left="1826" w:hanging="100"/>
      </w:pPr>
      <w:rPr>
        <w:rFonts w:hint="default"/>
      </w:rPr>
    </w:lvl>
    <w:lvl w:ilvl="8" w:tplc="32263EFC">
      <w:numFmt w:val="bullet"/>
      <w:lvlText w:val="•"/>
      <w:lvlJc w:val="left"/>
      <w:pPr>
        <w:ind w:left="2064" w:hanging="100"/>
      </w:pPr>
      <w:rPr>
        <w:rFonts w:hint="default"/>
      </w:rPr>
    </w:lvl>
  </w:abstractNum>
  <w:abstractNum w:abstractNumId="856" w15:restartNumberingAfterBreak="0">
    <w:nsid w:val="3688453D"/>
    <w:multiLevelType w:val="hybridMultilevel"/>
    <w:tmpl w:val="D3DAF9D8"/>
    <w:lvl w:ilvl="0" w:tplc="5C8603F2">
      <w:numFmt w:val="bullet"/>
      <w:lvlText w:val=""/>
      <w:lvlJc w:val="left"/>
      <w:pPr>
        <w:ind w:left="156" w:hanging="100"/>
      </w:pPr>
      <w:rPr>
        <w:rFonts w:ascii="Symbol" w:eastAsia="Symbol" w:hAnsi="Symbol" w:cs="Symbol" w:hint="default"/>
        <w:color w:val="231F20"/>
        <w:w w:val="100"/>
        <w:sz w:val="14"/>
        <w:szCs w:val="14"/>
      </w:rPr>
    </w:lvl>
    <w:lvl w:ilvl="1" w:tplc="A4E2F5B0">
      <w:numFmt w:val="bullet"/>
      <w:lvlText w:val="•"/>
      <w:lvlJc w:val="left"/>
      <w:pPr>
        <w:ind w:left="454" w:hanging="100"/>
      </w:pPr>
      <w:rPr>
        <w:rFonts w:hint="default"/>
      </w:rPr>
    </w:lvl>
    <w:lvl w:ilvl="2" w:tplc="2042DC2A">
      <w:numFmt w:val="bullet"/>
      <w:lvlText w:val="•"/>
      <w:lvlJc w:val="left"/>
      <w:pPr>
        <w:ind w:left="749" w:hanging="100"/>
      </w:pPr>
      <w:rPr>
        <w:rFonts w:hint="default"/>
      </w:rPr>
    </w:lvl>
    <w:lvl w:ilvl="3" w:tplc="B75A9B8E">
      <w:numFmt w:val="bullet"/>
      <w:lvlText w:val="•"/>
      <w:lvlJc w:val="left"/>
      <w:pPr>
        <w:ind w:left="1044" w:hanging="100"/>
      </w:pPr>
      <w:rPr>
        <w:rFonts w:hint="default"/>
      </w:rPr>
    </w:lvl>
    <w:lvl w:ilvl="4" w:tplc="0F42954A">
      <w:numFmt w:val="bullet"/>
      <w:lvlText w:val="•"/>
      <w:lvlJc w:val="left"/>
      <w:pPr>
        <w:ind w:left="1339" w:hanging="100"/>
      </w:pPr>
      <w:rPr>
        <w:rFonts w:hint="default"/>
      </w:rPr>
    </w:lvl>
    <w:lvl w:ilvl="5" w:tplc="D5500890">
      <w:numFmt w:val="bullet"/>
      <w:lvlText w:val="•"/>
      <w:lvlJc w:val="left"/>
      <w:pPr>
        <w:ind w:left="1634" w:hanging="100"/>
      </w:pPr>
      <w:rPr>
        <w:rFonts w:hint="default"/>
      </w:rPr>
    </w:lvl>
    <w:lvl w:ilvl="6" w:tplc="F40635DC">
      <w:numFmt w:val="bullet"/>
      <w:lvlText w:val="•"/>
      <w:lvlJc w:val="left"/>
      <w:pPr>
        <w:ind w:left="1928" w:hanging="100"/>
      </w:pPr>
      <w:rPr>
        <w:rFonts w:hint="default"/>
      </w:rPr>
    </w:lvl>
    <w:lvl w:ilvl="7" w:tplc="A382316E">
      <w:numFmt w:val="bullet"/>
      <w:lvlText w:val="•"/>
      <w:lvlJc w:val="left"/>
      <w:pPr>
        <w:ind w:left="2223" w:hanging="100"/>
      </w:pPr>
      <w:rPr>
        <w:rFonts w:hint="default"/>
      </w:rPr>
    </w:lvl>
    <w:lvl w:ilvl="8" w:tplc="CA6079F8">
      <w:numFmt w:val="bullet"/>
      <w:lvlText w:val="•"/>
      <w:lvlJc w:val="left"/>
      <w:pPr>
        <w:ind w:left="2518" w:hanging="100"/>
      </w:pPr>
      <w:rPr>
        <w:rFonts w:hint="default"/>
      </w:rPr>
    </w:lvl>
  </w:abstractNum>
  <w:abstractNum w:abstractNumId="857" w15:restartNumberingAfterBreak="0">
    <w:nsid w:val="36911329"/>
    <w:multiLevelType w:val="hybridMultilevel"/>
    <w:tmpl w:val="9D8EBF2E"/>
    <w:lvl w:ilvl="0" w:tplc="C9F8B02E">
      <w:numFmt w:val="bullet"/>
      <w:lvlText w:val=""/>
      <w:lvlJc w:val="left"/>
      <w:pPr>
        <w:ind w:left="157" w:hanging="100"/>
      </w:pPr>
      <w:rPr>
        <w:rFonts w:ascii="Symbol" w:eastAsia="Symbol" w:hAnsi="Symbol" w:cs="Symbol" w:hint="default"/>
        <w:color w:val="231F20"/>
        <w:w w:val="100"/>
        <w:sz w:val="14"/>
        <w:szCs w:val="14"/>
      </w:rPr>
    </w:lvl>
    <w:lvl w:ilvl="1" w:tplc="6E702FC2">
      <w:numFmt w:val="bullet"/>
      <w:lvlText w:val="•"/>
      <w:lvlJc w:val="left"/>
      <w:pPr>
        <w:ind w:left="369" w:hanging="100"/>
      </w:pPr>
      <w:rPr>
        <w:rFonts w:hint="default"/>
      </w:rPr>
    </w:lvl>
    <w:lvl w:ilvl="2" w:tplc="83642200">
      <w:numFmt w:val="bullet"/>
      <w:lvlText w:val="•"/>
      <w:lvlJc w:val="left"/>
      <w:pPr>
        <w:ind w:left="579" w:hanging="100"/>
      </w:pPr>
      <w:rPr>
        <w:rFonts w:hint="default"/>
      </w:rPr>
    </w:lvl>
    <w:lvl w:ilvl="3" w:tplc="CF4079D0">
      <w:numFmt w:val="bullet"/>
      <w:lvlText w:val="•"/>
      <w:lvlJc w:val="left"/>
      <w:pPr>
        <w:ind w:left="789" w:hanging="100"/>
      </w:pPr>
      <w:rPr>
        <w:rFonts w:hint="default"/>
      </w:rPr>
    </w:lvl>
    <w:lvl w:ilvl="4" w:tplc="B944EFD8">
      <w:numFmt w:val="bullet"/>
      <w:lvlText w:val="•"/>
      <w:lvlJc w:val="left"/>
      <w:pPr>
        <w:ind w:left="998" w:hanging="100"/>
      </w:pPr>
      <w:rPr>
        <w:rFonts w:hint="default"/>
      </w:rPr>
    </w:lvl>
    <w:lvl w:ilvl="5" w:tplc="CC185012">
      <w:numFmt w:val="bullet"/>
      <w:lvlText w:val="•"/>
      <w:lvlJc w:val="left"/>
      <w:pPr>
        <w:ind w:left="1208" w:hanging="100"/>
      </w:pPr>
      <w:rPr>
        <w:rFonts w:hint="default"/>
      </w:rPr>
    </w:lvl>
    <w:lvl w:ilvl="6" w:tplc="4B6A98EE">
      <w:numFmt w:val="bullet"/>
      <w:lvlText w:val="•"/>
      <w:lvlJc w:val="left"/>
      <w:pPr>
        <w:ind w:left="1418" w:hanging="100"/>
      </w:pPr>
      <w:rPr>
        <w:rFonts w:hint="default"/>
      </w:rPr>
    </w:lvl>
    <w:lvl w:ilvl="7" w:tplc="599E79E6">
      <w:numFmt w:val="bullet"/>
      <w:lvlText w:val="•"/>
      <w:lvlJc w:val="left"/>
      <w:pPr>
        <w:ind w:left="1627" w:hanging="100"/>
      </w:pPr>
      <w:rPr>
        <w:rFonts w:hint="default"/>
      </w:rPr>
    </w:lvl>
    <w:lvl w:ilvl="8" w:tplc="FB26A22A">
      <w:numFmt w:val="bullet"/>
      <w:lvlText w:val="•"/>
      <w:lvlJc w:val="left"/>
      <w:pPr>
        <w:ind w:left="1837" w:hanging="100"/>
      </w:pPr>
      <w:rPr>
        <w:rFonts w:hint="default"/>
      </w:rPr>
    </w:lvl>
  </w:abstractNum>
  <w:abstractNum w:abstractNumId="858" w15:restartNumberingAfterBreak="0">
    <w:nsid w:val="36965910"/>
    <w:multiLevelType w:val="hybridMultilevel"/>
    <w:tmpl w:val="2190E640"/>
    <w:lvl w:ilvl="0" w:tplc="CD06DC68">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1A2C883A">
      <w:numFmt w:val="bullet"/>
      <w:lvlText w:val="•"/>
      <w:lvlJc w:val="left"/>
      <w:pPr>
        <w:ind w:left="351" w:hanging="84"/>
      </w:pPr>
      <w:rPr>
        <w:rFonts w:hint="default"/>
      </w:rPr>
    </w:lvl>
    <w:lvl w:ilvl="2" w:tplc="91CCB088">
      <w:numFmt w:val="bullet"/>
      <w:lvlText w:val="•"/>
      <w:lvlJc w:val="left"/>
      <w:pPr>
        <w:ind w:left="563" w:hanging="84"/>
      </w:pPr>
      <w:rPr>
        <w:rFonts w:hint="default"/>
      </w:rPr>
    </w:lvl>
    <w:lvl w:ilvl="3" w:tplc="DD105498">
      <w:numFmt w:val="bullet"/>
      <w:lvlText w:val="•"/>
      <w:lvlJc w:val="left"/>
      <w:pPr>
        <w:ind w:left="775" w:hanging="84"/>
      </w:pPr>
      <w:rPr>
        <w:rFonts w:hint="default"/>
      </w:rPr>
    </w:lvl>
    <w:lvl w:ilvl="4" w:tplc="AF68CFE8">
      <w:numFmt w:val="bullet"/>
      <w:lvlText w:val="•"/>
      <w:lvlJc w:val="left"/>
      <w:pPr>
        <w:ind w:left="986" w:hanging="84"/>
      </w:pPr>
      <w:rPr>
        <w:rFonts w:hint="default"/>
      </w:rPr>
    </w:lvl>
    <w:lvl w:ilvl="5" w:tplc="744297C6">
      <w:numFmt w:val="bullet"/>
      <w:lvlText w:val="•"/>
      <w:lvlJc w:val="left"/>
      <w:pPr>
        <w:ind w:left="1198" w:hanging="84"/>
      </w:pPr>
      <w:rPr>
        <w:rFonts w:hint="default"/>
      </w:rPr>
    </w:lvl>
    <w:lvl w:ilvl="6" w:tplc="EC40EB08">
      <w:numFmt w:val="bullet"/>
      <w:lvlText w:val="•"/>
      <w:lvlJc w:val="left"/>
      <w:pPr>
        <w:ind w:left="1410" w:hanging="84"/>
      </w:pPr>
      <w:rPr>
        <w:rFonts w:hint="default"/>
      </w:rPr>
    </w:lvl>
    <w:lvl w:ilvl="7" w:tplc="3B1033A2">
      <w:numFmt w:val="bullet"/>
      <w:lvlText w:val="•"/>
      <w:lvlJc w:val="left"/>
      <w:pPr>
        <w:ind w:left="1621" w:hanging="84"/>
      </w:pPr>
      <w:rPr>
        <w:rFonts w:hint="default"/>
      </w:rPr>
    </w:lvl>
    <w:lvl w:ilvl="8" w:tplc="278EEF98">
      <w:numFmt w:val="bullet"/>
      <w:lvlText w:val="•"/>
      <w:lvlJc w:val="left"/>
      <w:pPr>
        <w:ind w:left="1833" w:hanging="84"/>
      </w:pPr>
      <w:rPr>
        <w:rFonts w:hint="default"/>
      </w:rPr>
    </w:lvl>
  </w:abstractNum>
  <w:abstractNum w:abstractNumId="859" w15:restartNumberingAfterBreak="0">
    <w:nsid w:val="36993E13"/>
    <w:multiLevelType w:val="hybridMultilevel"/>
    <w:tmpl w:val="5232C4C0"/>
    <w:lvl w:ilvl="0" w:tplc="8EF4C992">
      <w:numFmt w:val="bullet"/>
      <w:lvlText w:val=""/>
      <w:lvlJc w:val="left"/>
      <w:pPr>
        <w:ind w:left="156" w:hanging="100"/>
      </w:pPr>
      <w:rPr>
        <w:rFonts w:ascii="Symbol" w:eastAsia="Symbol" w:hAnsi="Symbol" w:cs="Symbol" w:hint="default"/>
        <w:color w:val="231F20"/>
        <w:w w:val="100"/>
        <w:sz w:val="14"/>
        <w:szCs w:val="14"/>
      </w:rPr>
    </w:lvl>
    <w:lvl w:ilvl="1" w:tplc="98B2801E">
      <w:numFmt w:val="bullet"/>
      <w:lvlText w:val="•"/>
      <w:lvlJc w:val="left"/>
      <w:pPr>
        <w:ind w:left="398" w:hanging="100"/>
      </w:pPr>
      <w:rPr>
        <w:rFonts w:hint="default"/>
      </w:rPr>
    </w:lvl>
    <w:lvl w:ilvl="2" w:tplc="5E648F9E">
      <w:numFmt w:val="bullet"/>
      <w:lvlText w:val="•"/>
      <w:lvlJc w:val="left"/>
      <w:pPr>
        <w:ind w:left="636" w:hanging="100"/>
      </w:pPr>
      <w:rPr>
        <w:rFonts w:hint="default"/>
      </w:rPr>
    </w:lvl>
    <w:lvl w:ilvl="3" w:tplc="4D449088">
      <w:numFmt w:val="bullet"/>
      <w:lvlText w:val="•"/>
      <w:lvlJc w:val="left"/>
      <w:pPr>
        <w:ind w:left="874" w:hanging="100"/>
      </w:pPr>
      <w:rPr>
        <w:rFonts w:hint="default"/>
      </w:rPr>
    </w:lvl>
    <w:lvl w:ilvl="4" w:tplc="427CE47A">
      <w:numFmt w:val="bullet"/>
      <w:lvlText w:val="•"/>
      <w:lvlJc w:val="left"/>
      <w:pPr>
        <w:ind w:left="1112" w:hanging="100"/>
      </w:pPr>
      <w:rPr>
        <w:rFonts w:hint="default"/>
      </w:rPr>
    </w:lvl>
    <w:lvl w:ilvl="5" w:tplc="D444BD52">
      <w:numFmt w:val="bullet"/>
      <w:lvlText w:val="•"/>
      <w:lvlJc w:val="left"/>
      <w:pPr>
        <w:ind w:left="1350" w:hanging="100"/>
      </w:pPr>
      <w:rPr>
        <w:rFonts w:hint="default"/>
      </w:rPr>
    </w:lvl>
    <w:lvl w:ilvl="6" w:tplc="9940CBA8">
      <w:numFmt w:val="bullet"/>
      <w:lvlText w:val="•"/>
      <w:lvlJc w:val="left"/>
      <w:pPr>
        <w:ind w:left="1588" w:hanging="100"/>
      </w:pPr>
      <w:rPr>
        <w:rFonts w:hint="default"/>
      </w:rPr>
    </w:lvl>
    <w:lvl w:ilvl="7" w:tplc="63AC15EE">
      <w:numFmt w:val="bullet"/>
      <w:lvlText w:val="•"/>
      <w:lvlJc w:val="left"/>
      <w:pPr>
        <w:ind w:left="1826" w:hanging="100"/>
      </w:pPr>
      <w:rPr>
        <w:rFonts w:hint="default"/>
      </w:rPr>
    </w:lvl>
    <w:lvl w:ilvl="8" w:tplc="8882516A">
      <w:numFmt w:val="bullet"/>
      <w:lvlText w:val="•"/>
      <w:lvlJc w:val="left"/>
      <w:pPr>
        <w:ind w:left="2064" w:hanging="100"/>
      </w:pPr>
      <w:rPr>
        <w:rFonts w:hint="default"/>
      </w:rPr>
    </w:lvl>
  </w:abstractNum>
  <w:abstractNum w:abstractNumId="860" w15:restartNumberingAfterBreak="0">
    <w:nsid w:val="36A054F4"/>
    <w:multiLevelType w:val="hybridMultilevel"/>
    <w:tmpl w:val="AD5049C8"/>
    <w:lvl w:ilvl="0" w:tplc="0DC6EAA4">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37620122">
      <w:numFmt w:val="bullet"/>
      <w:lvlText w:val="•"/>
      <w:lvlJc w:val="left"/>
      <w:pPr>
        <w:ind w:left="408" w:hanging="84"/>
      </w:pPr>
      <w:rPr>
        <w:rFonts w:hint="default"/>
      </w:rPr>
    </w:lvl>
    <w:lvl w:ilvl="2" w:tplc="D6925E2C">
      <w:numFmt w:val="bullet"/>
      <w:lvlText w:val="•"/>
      <w:lvlJc w:val="left"/>
      <w:pPr>
        <w:ind w:left="676" w:hanging="84"/>
      </w:pPr>
      <w:rPr>
        <w:rFonts w:hint="default"/>
      </w:rPr>
    </w:lvl>
    <w:lvl w:ilvl="3" w:tplc="4B50D124">
      <w:numFmt w:val="bullet"/>
      <w:lvlText w:val="•"/>
      <w:lvlJc w:val="left"/>
      <w:pPr>
        <w:ind w:left="945" w:hanging="84"/>
      </w:pPr>
      <w:rPr>
        <w:rFonts w:hint="default"/>
      </w:rPr>
    </w:lvl>
    <w:lvl w:ilvl="4" w:tplc="FA5E90DC">
      <w:numFmt w:val="bullet"/>
      <w:lvlText w:val="•"/>
      <w:lvlJc w:val="left"/>
      <w:pPr>
        <w:ind w:left="1213" w:hanging="84"/>
      </w:pPr>
      <w:rPr>
        <w:rFonts w:hint="default"/>
      </w:rPr>
    </w:lvl>
    <w:lvl w:ilvl="5" w:tplc="E86E4646">
      <w:numFmt w:val="bullet"/>
      <w:lvlText w:val="•"/>
      <w:lvlJc w:val="left"/>
      <w:pPr>
        <w:ind w:left="1482" w:hanging="84"/>
      </w:pPr>
      <w:rPr>
        <w:rFonts w:hint="default"/>
      </w:rPr>
    </w:lvl>
    <w:lvl w:ilvl="6" w:tplc="62246AEE">
      <w:numFmt w:val="bullet"/>
      <w:lvlText w:val="•"/>
      <w:lvlJc w:val="left"/>
      <w:pPr>
        <w:ind w:left="1750" w:hanging="84"/>
      </w:pPr>
      <w:rPr>
        <w:rFonts w:hint="default"/>
      </w:rPr>
    </w:lvl>
    <w:lvl w:ilvl="7" w:tplc="A952487C">
      <w:numFmt w:val="bullet"/>
      <w:lvlText w:val="•"/>
      <w:lvlJc w:val="left"/>
      <w:pPr>
        <w:ind w:left="2018" w:hanging="84"/>
      </w:pPr>
      <w:rPr>
        <w:rFonts w:hint="default"/>
      </w:rPr>
    </w:lvl>
    <w:lvl w:ilvl="8" w:tplc="558EC154">
      <w:numFmt w:val="bullet"/>
      <w:lvlText w:val="•"/>
      <w:lvlJc w:val="left"/>
      <w:pPr>
        <w:ind w:left="2287" w:hanging="84"/>
      </w:pPr>
      <w:rPr>
        <w:rFonts w:hint="default"/>
      </w:rPr>
    </w:lvl>
  </w:abstractNum>
  <w:abstractNum w:abstractNumId="861" w15:restartNumberingAfterBreak="0">
    <w:nsid w:val="36AE6A40"/>
    <w:multiLevelType w:val="hybridMultilevel"/>
    <w:tmpl w:val="B708314C"/>
    <w:lvl w:ilvl="0" w:tplc="821CF6A4">
      <w:numFmt w:val="bullet"/>
      <w:lvlText w:val=""/>
      <w:lvlJc w:val="left"/>
      <w:pPr>
        <w:ind w:left="157" w:hanging="100"/>
      </w:pPr>
      <w:rPr>
        <w:rFonts w:ascii="Symbol" w:eastAsia="Symbol" w:hAnsi="Symbol" w:cs="Symbol" w:hint="default"/>
        <w:color w:val="231F20"/>
        <w:w w:val="100"/>
        <w:sz w:val="14"/>
        <w:szCs w:val="14"/>
      </w:rPr>
    </w:lvl>
    <w:lvl w:ilvl="1" w:tplc="7FDA3C5E">
      <w:numFmt w:val="bullet"/>
      <w:lvlText w:val="•"/>
      <w:lvlJc w:val="left"/>
      <w:pPr>
        <w:ind w:left="369" w:hanging="100"/>
      </w:pPr>
      <w:rPr>
        <w:rFonts w:hint="default"/>
      </w:rPr>
    </w:lvl>
    <w:lvl w:ilvl="2" w:tplc="666497A0">
      <w:numFmt w:val="bullet"/>
      <w:lvlText w:val="•"/>
      <w:lvlJc w:val="left"/>
      <w:pPr>
        <w:ind w:left="579" w:hanging="100"/>
      </w:pPr>
      <w:rPr>
        <w:rFonts w:hint="default"/>
      </w:rPr>
    </w:lvl>
    <w:lvl w:ilvl="3" w:tplc="3AE03616">
      <w:numFmt w:val="bullet"/>
      <w:lvlText w:val="•"/>
      <w:lvlJc w:val="left"/>
      <w:pPr>
        <w:ind w:left="789" w:hanging="100"/>
      </w:pPr>
      <w:rPr>
        <w:rFonts w:hint="default"/>
      </w:rPr>
    </w:lvl>
    <w:lvl w:ilvl="4" w:tplc="5E2ACF18">
      <w:numFmt w:val="bullet"/>
      <w:lvlText w:val="•"/>
      <w:lvlJc w:val="left"/>
      <w:pPr>
        <w:ind w:left="998" w:hanging="100"/>
      </w:pPr>
      <w:rPr>
        <w:rFonts w:hint="default"/>
      </w:rPr>
    </w:lvl>
    <w:lvl w:ilvl="5" w:tplc="7996CC72">
      <w:numFmt w:val="bullet"/>
      <w:lvlText w:val="•"/>
      <w:lvlJc w:val="left"/>
      <w:pPr>
        <w:ind w:left="1208" w:hanging="100"/>
      </w:pPr>
      <w:rPr>
        <w:rFonts w:hint="default"/>
      </w:rPr>
    </w:lvl>
    <w:lvl w:ilvl="6" w:tplc="A926C0DE">
      <w:numFmt w:val="bullet"/>
      <w:lvlText w:val="•"/>
      <w:lvlJc w:val="left"/>
      <w:pPr>
        <w:ind w:left="1418" w:hanging="100"/>
      </w:pPr>
      <w:rPr>
        <w:rFonts w:hint="default"/>
      </w:rPr>
    </w:lvl>
    <w:lvl w:ilvl="7" w:tplc="9DE84B04">
      <w:numFmt w:val="bullet"/>
      <w:lvlText w:val="•"/>
      <w:lvlJc w:val="left"/>
      <w:pPr>
        <w:ind w:left="1627" w:hanging="100"/>
      </w:pPr>
      <w:rPr>
        <w:rFonts w:hint="default"/>
      </w:rPr>
    </w:lvl>
    <w:lvl w:ilvl="8" w:tplc="4B7417D2">
      <w:numFmt w:val="bullet"/>
      <w:lvlText w:val="•"/>
      <w:lvlJc w:val="left"/>
      <w:pPr>
        <w:ind w:left="1837" w:hanging="100"/>
      </w:pPr>
      <w:rPr>
        <w:rFonts w:hint="default"/>
      </w:rPr>
    </w:lvl>
  </w:abstractNum>
  <w:abstractNum w:abstractNumId="862" w15:restartNumberingAfterBreak="0">
    <w:nsid w:val="36B2058D"/>
    <w:multiLevelType w:val="hybridMultilevel"/>
    <w:tmpl w:val="359A9F8E"/>
    <w:lvl w:ilvl="0" w:tplc="A2DA3194">
      <w:numFmt w:val="bullet"/>
      <w:lvlText w:val=""/>
      <w:lvlJc w:val="left"/>
      <w:pPr>
        <w:ind w:left="156" w:hanging="100"/>
      </w:pPr>
      <w:rPr>
        <w:rFonts w:ascii="Symbol" w:eastAsia="Symbol" w:hAnsi="Symbol" w:cs="Symbol" w:hint="default"/>
        <w:color w:val="231F20"/>
        <w:w w:val="100"/>
        <w:sz w:val="14"/>
        <w:szCs w:val="14"/>
      </w:rPr>
    </w:lvl>
    <w:lvl w:ilvl="1" w:tplc="6FD6FAE6">
      <w:numFmt w:val="bullet"/>
      <w:lvlText w:val="•"/>
      <w:lvlJc w:val="left"/>
      <w:pPr>
        <w:ind w:left="301" w:hanging="100"/>
      </w:pPr>
      <w:rPr>
        <w:rFonts w:hint="default"/>
      </w:rPr>
    </w:lvl>
    <w:lvl w:ilvl="2" w:tplc="008448FA">
      <w:numFmt w:val="bullet"/>
      <w:lvlText w:val="•"/>
      <w:lvlJc w:val="left"/>
      <w:pPr>
        <w:ind w:left="443" w:hanging="100"/>
      </w:pPr>
      <w:rPr>
        <w:rFonts w:hint="default"/>
      </w:rPr>
    </w:lvl>
    <w:lvl w:ilvl="3" w:tplc="16F89E04">
      <w:numFmt w:val="bullet"/>
      <w:lvlText w:val="•"/>
      <w:lvlJc w:val="left"/>
      <w:pPr>
        <w:ind w:left="585" w:hanging="100"/>
      </w:pPr>
      <w:rPr>
        <w:rFonts w:hint="default"/>
      </w:rPr>
    </w:lvl>
    <w:lvl w:ilvl="4" w:tplc="98D00AC2">
      <w:numFmt w:val="bullet"/>
      <w:lvlText w:val="•"/>
      <w:lvlJc w:val="left"/>
      <w:pPr>
        <w:ind w:left="726" w:hanging="100"/>
      </w:pPr>
      <w:rPr>
        <w:rFonts w:hint="default"/>
      </w:rPr>
    </w:lvl>
    <w:lvl w:ilvl="5" w:tplc="1E3AEF22">
      <w:numFmt w:val="bullet"/>
      <w:lvlText w:val="•"/>
      <w:lvlJc w:val="left"/>
      <w:pPr>
        <w:ind w:left="868" w:hanging="100"/>
      </w:pPr>
      <w:rPr>
        <w:rFonts w:hint="default"/>
      </w:rPr>
    </w:lvl>
    <w:lvl w:ilvl="6" w:tplc="8E4A570A">
      <w:numFmt w:val="bullet"/>
      <w:lvlText w:val="•"/>
      <w:lvlJc w:val="left"/>
      <w:pPr>
        <w:ind w:left="1010" w:hanging="100"/>
      </w:pPr>
      <w:rPr>
        <w:rFonts w:hint="default"/>
      </w:rPr>
    </w:lvl>
    <w:lvl w:ilvl="7" w:tplc="A03CAD30">
      <w:numFmt w:val="bullet"/>
      <w:lvlText w:val="•"/>
      <w:lvlJc w:val="left"/>
      <w:pPr>
        <w:ind w:left="1151" w:hanging="100"/>
      </w:pPr>
      <w:rPr>
        <w:rFonts w:hint="default"/>
      </w:rPr>
    </w:lvl>
    <w:lvl w:ilvl="8" w:tplc="B3AC6CDE">
      <w:numFmt w:val="bullet"/>
      <w:lvlText w:val="•"/>
      <w:lvlJc w:val="left"/>
      <w:pPr>
        <w:ind w:left="1293" w:hanging="100"/>
      </w:pPr>
      <w:rPr>
        <w:rFonts w:hint="default"/>
      </w:rPr>
    </w:lvl>
  </w:abstractNum>
  <w:abstractNum w:abstractNumId="863" w15:restartNumberingAfterBreak="0">
    <w:nsid w:val="36BE4B70"/>
    <w:multiLevelType w:val="hybridMultilevel"/>
    <w:tmpl w:val="77848D68"/>
    <w:lvl w:ilvl="0" w:tplc="4558B79C">
      <w:numFmt w:val="bullet"/>
      <w:lvlText w:val=""/>
      <w:lvlJc w:val="left"/>
      <w:pPr>
        <w:ind w:left="156" w:hanging="100"/>
      </w:pPr>
      <w:rPr>
        <w:rFonts w:ascii="Symbol" w:eastAsia="Symbol" w:hAnsi="Symbol" w:cs="Symbol" w:hint="default"/>
        <w:color w:val="231F20"/>
        <w:w w:val="100"/>
        <w:sz w:val="14"/>
        <w:szCs w:val="14"/>
      </w:rPr>
    </w:lvl>
    <w:lvl w:ilvl="1" w:tplc="52E0C740">
      <w:numFmt w:val="bullet"/>
      <w:lvlText w:val="•"/>
      <w:lvlJc w:val="left"/>
      <w:pPr>
        <w:ind w:left="301" w:hanging="100"/>
      </w:pPr>
      <w:rPr>
        <w:rFonts w:hint="default"/>
      </w:rPr>
    </w:lvl>
    <w:lvl w:ilvl="2" w:tplc="7CC88D70">
      <w:numFmt w:val="bullet"/>
      <w:lvlText w:val="•"/>
      <w:lvlJc w:val="left"/>
      <w:pPr>
        <w:ind w:left="443" w:hanging="100"/>
      </w:pPr>
      <w:rPr>
        <w:rFonts w:hint="default"/>
      </w:rPr>
    </w:lvl>
    <w:lvl w:ilvl="3" w:tplc="A7A4DF2C">
      <w:numFmt w:val="bullet"/>
      <w:lvlText w:val="•"/>
      <w:lvlJc w:val="left"/>
      <w:pPr>
        <w:ind w:left="585" w:hanging="100"/>
      </w:pPr>
      <w:rPr>
        <w:rFonts w:hint="default"/>
      </w:rPr>
    </w:lvl>
    <w:lvl w:ilvl="4" w:tplc="324E410C">
      <w:numFmt w:val="bullet"/>
      <w:lvlText w:val="•"/>
      <w:lvlJc w:val="left"/>
      <w:pPr>
        <w:ind w:left="726" w:hanging="100"/>
      </w:pPr>
      <w:rPr>
        <w:rFonts w:hint="default"/>
      </w:rPr>
    </w:lvl>
    <w:lvl w:ilvl="5" w:tplc="F480800A">
      <w:numFmt w:val="bullet"/>
      <w:lvlText w:val="•"/>
      <w:lvlJc w:val="left"/>
      <w:pPr>
        <w:ind w:left="868" w:hanging="100"/>
      </w:pPr>
      <w:rPr>
        <w:rFonts w:hint="default"/>
      </w:rPr>
    </w:lvl>
    <w:lvl w:ilvl="6" w:tplc="898099C8">
      <w:numFmt w:val="bullet"/>
      <w:lvlText w:val="•"/>
      <w:lvlJc w:val="left"/>
      <w:pPr>
        <w:ind w:left="1010" w:hanging="100"/>
      </w:pPr>
      <w:rPr>
        <w:rFonts w:hint="default"/>
      </w:rPr>
    </w:lvl>
    <w:lvl w:ilvl="7" w:tplc="2128708A">
      <w:numFmt w:val="bullet"/>
      <w:lvlText w:val="•"/>
      <w:lvlJc w:val="left"/>
      <w:pPr>
        <w:ind w:left="1151" w:hanging="100"/>
      </w:pPr>
      <w:rPr>
        <w:rFonts w:hint="default"/>
      </w:rPr>
    </w:lvl>
    <w:lvl w:ilvl="8" w:tplc="DB18A520">
      <w:numFmt w:val="bullet"/>
      <w:lvlText w:val="•"/>
      <w:lvlJc w:val="left"/>
      <w:pPr>
        <w:ind w:left="1293" w:hanging="100"/>
      </w:pPr>
      <w:rPr>
        <w:rFonts w:hint="default"/>
      </w:rPr>
    </w:lvl>
  </w:abstractNum>
  <w:abstractNum w:abstractNumId="864" w15:restartNumberingAfterBreak="0">
    <w:nsid w:val="36C55565"/>
    <w:multiLevelType w:val="hybridMultilevel"/>
    <w:tmpl w:val="A0E4F1EC"/>
    <w:lvl w:ilvl="0" w:tplc="6E0E8C90">
      <w:numFmt w:val="bullet"/>
      <w:lvlText w:val=""/>
      <w:lvlJc w:val="left"/>
      <w:pPr>
        <w:ind w:left="156" w:hanging="100"/>
      </w:pPr>
      <w:rPr>
        <w:rFonts w:ascii="Symbol" w:eastAsia="Symbol" w:hAnsi="Symbol" w:cs="Symbol" w:hint="default"/>
        <w:color w:val="231F20"/>
        <w:w w:val="100"/>
        <w:sz w:val="14"/>
        <w:szCs w:val="14"/>
      </w:rPr>
    </w:lvl>
    <w:lvl w:ilvl="1" w:tplc="1B00556A">
      <w:numFmt w:val="bullet"/>
      <w:lvlText w:val="•"/>
      <w:lvlJc w:val="left"/>
      <w:pPr>
        <w:ind w:left="454" w:hanging="100"/>
      </w:pPr>
      <w:rPr>
        <w:rFonts w:hint="default"/>
      </w:rPr>
    </w:lvl>
    <w:lvl w:ilvl="2" w:tplc="5210AA46">
      <w:numFmt w:val="bullet"/>
      <w:lvlText w:val="•"/>
      <w:lvlJc w:val="left"/>
      <w:pPr>
        <w:ind w:left="749" w:hanging="100"/>
      </w:pPr>
      <w:rPr>
        <w:rFonts w:hint="default"/>
      </w:rPr>
    </w:lvl>
    <w:lvl w:ilvl="3" w:tplc="E72413F4">
      <w:numFmt w:val="bullet"/>
      <w:lvlText w:val="•"/>
      <w:lvlJc w:val="left"/>
      <w:pPr>
        <w:ind w:left="1044" w:hanging="100"/>
      </w:pPr>
      <w:rPr>
        <w:rFonts w:hint="default"/>
      </w:rPr>
    </w:lvl>
    <w:lvl w:ilvl="4" w:tplc="F0D6E85C">
      <w:numFmt w:val="bullet"/>
      <w:lvlText w:val="•"/>
      <w:lvlJc w:val="left"/>
      <w:pPr>
        <w:ind w:left="1339" w:hanging="100"/>
      </w:pPr>
      <w:rPr>
        <w:rFonts w:hint="default"/>
      </w:rPr>
    </w:lvl>
    <w:lvl w:ilvl="5" w:tplc="CC8A4A00">
      <w:numFmt w:val="bullet"/>
      <w:lvlText w:val="•"/>
      <w:lvlJc w:val="left"/>
      <w:pPr>
        <w:ind w:left="1634" w:hanging="100"/>
      </w:pPr>
      <w:rPr>
        <w:rFonts w:hint="default"/>
      </w:rPr>
    </w:lvl>
    <w:lvl w:ilvl="6" w:tplc="70E4722E">
      <w:numFmt w:val="bullet"/>
      <w:lvlText w:val="•"/>
      <w:lvlJc w:val="left"/>
      <w:pPr>
        <w:ind w:left="1928" w:hanging="100"/>
      </w:pPr>
      <w:rPr>
        <w:rFonts w:hint="default"/>
      </w:rPr>
    </w:lvl>
    <w:lvl w:ilvl="7" w:tplc="B3DCB0E6">
      <w:numFmt w:val="bullet"/>
      <w:lvlText w:val="•"/>
      <w:lvlJc w:val="left"/>
      <w:pPr>
        <w:ind w:left="2223" w:hanging="100"/>
      </w:pPr>
      <w:rPr>
        <w:rFonts w:hint="default"/>
      </w:rPr>
    </w:lvl>
    <w:lvl w:ilvl="8" w:tplc="D7C2AA76">
      <w:numFmt w:val="bullet"/>
      <w:lvlText w:val="•"/>
      <w:lvlJc w:val="left"/>
      <w:pPr>
        <w:ind w:left="2518" w:hanging="100"/>
      </w:pPr>
      <w:rPr>
        <w:rFonts w:hint="default"/>
      </w:rPr>
    </w:lvl>
  </w:abstractNum>
  <w:abstractNum w:abstractNumId="865" w15:restartNumberingAfterBreak="0">
    <w:nsid w:val="36D96CDE"/>
    <w:multiLevelType w:val="hybridMultilevel"/>
    <w:tmpl w:val="B860CC3E"/>
    <w:lvl w:ilvl="0" w:tplc="0E040AB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8EE67C14">
      <w:numFmt w:val="bullet"/>
      <w:lvlText w:val="•"/>
      <w:lvlJc w:val="left"/>
      <w:pPr>
        <w:ind w:left="408" w:hanging="84"/>
      </w:pPr>
      <w:rPr>
        <w:rFonts w:hint="default"/>
      </w:rPr>
    </w:lvl>
    <w:lvl w:ilvl="2" w:tplc="7CB6DFA4">
      <w:numFmt w:val="bullet"/>
      <w:lvlText w:val="•"/>
      <w:lvlJc w:val="left"/>
      <w:pPr>
        <w:ind w:left="676" w:hanging="84"/>
      </w:pPr>
      <w:rPr>
        <w:rFonts w:hint="default"/>
      </w:rPr>
    </w:lvl>
    <w:lvl w:ilvl="3" w:tplc="48402AB4">
      <w:numFmt w:val="bullet"/>
      <w:lvlText w:val="•"/>
      <w:lvlJc w:val="left"/>
      <w:pPr>
        <w:ind w:left="945" w:hanging="84"/>
      </w:pPr>
      <w:rPr>
        <w:rFonts w:hint="default"/>
      </w:rPr>
    </w:lvl>
    <w:lvl w:ilvl="4" w:tplc="A8B487F2">
      <w:numFmt w:val="bullet"/>
      <w:lvlText w:val="•"/>
      <w:lvlJc w:val="left"/>
      <w:pPr>
        <w:ind w:left="1213" w:hanging="84"/>
      </w:pPr>
      <w:rPr>
        <w:rFonts w:hint="default"/>
      </w:rPr>
    </w:lvl>
    <w:lvl w:ilvl="5" w:tplc="EA3465B4">
      <w:numFmt w:val="bullet"/>
      <w:lvlText w:val="•"/>
      <w:lvlJc w:val="left"/>
      <w:pPr>
        <w:ind w:left="1482" w:hanging="84"/>
      </w:pPr>
      <w:rPr>
        <w:rFonts w:hint="default"/>
      </w:rPr>
    </w:lvl>
    <w:lvl w:ilvl="6" w:tplc="3AB4720C">
      <w:numFmt w:val="bullet"/>
      <w:lvlText w:val="•"/>
      <w:lvlJc w:val="left"/>
      <w:pPr>
        <w:ind w:left="1750" w:hanging="84"/>
      </w:pPr>
      <w:rPr>
        <w:rFonts w:hint="default"/>
      </w:rPr>
    </w:lvl>
    <w:lvl w:ilvl="7" w:tplc="B58AF47A">
      <w:numFmt w:val="bullet"/>
      <w:lvlText w:val="•"/>
      <w:lvlJc w:val="left"/>
      <w:pPr>
        <w:ind w:left="2018" w:hanging="84"/>
      </w:pPr>
      <w:rPr>
        <w:rFonts w:hint="default"/>
      </w:rPr>
    </w:lvl>
    <w:lvl w:ilvl="8" w:tplc="78583A40">
      <w:numFmt w:val="bullet"/>
      <w:lvlText w:val="•"/>
      <w:lvlJc w:val="left"/>
      <w:pPr>
        <w:ind w:left="2287" w:hanging="84"/>
      </w:pPr>
      <w:rPr>
        <w:rFonts w:hint="default"/>
      </w:rPr>
    </w:lvl>
  </w:abstractNum>
  <w:abstractNum w:abstractNumId="866" w15:restartNumberingAfterBreak="0">
    <w:nsid w:val="36DD7170"/>
    <w:multiLevelType w:val="hybridMultilevel"/>
    <w:tmpl w:val="48A4304E"/>
    <w:lvl w:ilvl="0" w:tplc="B16E5DF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43EAE038">
      <w:numFmt w:val="bullet"/>
      <w:lvlText w:val="•"/>
      <w:lvlJc w:val="left"/>
      <w:pPr>
        <w:ind w:left="408" w:hanging="84"/>
      </w:pPr>
      <w:rPr>
        <w:rFonts w:hint="default"/>
      </w:rPr>
    </w:lvl>
    <w:lvl w:ilvl="2" w:tplc="685022FA">
      <w:numFmt w:val="bullet"/>
      <w:lvlText w:val="•"/>
      <w:lvlJc w:val="left"/>
      <w:pPr>
        <w:ind w:left="676" w:hanging="84"/>
      </w:pPr>
      <w:rPr>
        <w:rFonts w:hint="default"/>
      </w:rPr>
    </w:lvl>
    <w:lvl w:ilvl="3" w:tplc="272649D0">
      <w:numFmt w:val="bullet"/>
      <w:lvlText w:val="•"/>
      <w:lvlJc w:val="left"/>
      <w:pPr>
        <w:ind w:left="945" w:hanging="84"/>
      </w:pPr>
      <w:rPr>
        <w:rFonts w:hint="default"/>
      </w:rPr>
    </w:lvl>
    <w:lvl w:ilvl="4" w:tplc="21E46FFC">
      <w:numFmt w:val="bullet"/>
      <w:lvlText w:val="•"/>
      <w:lvlJc w:val="left"/>
      <w:pPr>
        <w:ind w:left="1213" w:hanging="84"/>
      </w:pPr>
      <w:rPr>
        <w:rFonts w:hint="default"/>
      </w:rPr>
    </w:lvl>
    <w:lvl w:ilvl="5" w:tplc="B13AAD00">
      <w:numFmt w:val="bullet"/>
      <w:lvlText w:val="•"/>
      <w:lvlJc w:val="left"/>
      <w:pPr>
        <w:ind w:left="1482" w:hanging="84"/>
      </w:pPr>
      <w:rPr>
        <w:rFonts w:hint="default"/>
      </w:rPr>
    </w:lvl>
    <w:lvl w:ilvl="6" w:tplc="601CABC4">
      <w:numFmt w:val="bullet"/>
      <w:lvlText w:val="•"/>
      <w:lvlJc w:val="left"/>
      <w:pPr>
        <w:ind w:left="1750" w:hanging="84"/>
      </w:pPr>
      <w:rPr>
        <w:rFonts w:hint="default"/>
      </w:rPr>
    </w:lvl>
    <w:lvl w:ilvl="7" w:tplc="F9ACBE74">
      <w:numFmt w:val="bullet"/>
      <w:lvlText w:val="•"/>
      <w:lvlJc w:val="left"/>
      <w:pPr>
        <w:ind w:left="2018" w:hanging="84"/>
      </w:pPr>
      <w:rPr>
        <w:rFonts w:hint="default"/>
      </w:rPr>
    </w:lvl>
    <w:lvl w:ilvl="8" w:tplc="E2FEC028">
      <w:numFmt w:val="bullet"/>
      <w:lvlText w:val="•"/>
      <w:lvlJc w:val="left"/>
      <w:pPr>
        <w:ind w:left="2287" w:hanging="84"/>
      </w:pPr>
      <w:rPr>
        <w:rFonts w:hint="default"/>
      </w:rPr>
    </w:lvl>
  </w:abstractNum>
  <w:abstractNum w:abstractNumId="867" w15:restartNumberingAfterBreak="0">
    <w:nsid w:val="36F22231"/>
    <w:multiLevelType w:val="hybridMultilevel"/>
    <w:tmpl w:val="ED5A3E8A"/>
    <w:lvl w:ilvl="0" w:tplc="B12C93D8">
      <w:numFmt w:val="bullet"/>
      <w:lvlText w:val=""/>
      <w:lvlJc w:val="left"/>
      <w:pPr>
        <w:ind w:left="157" w:hanging="100"/>
      </w:pPr>
      <w:rPr>
        <w:rFonts w:ascii="Symbol" w:eastAsia="Symbol" w:hAnsi="Symbol" w:cs="Symbol" w:hint="default"/>
        <w:color w:val="231F20"/>
        <w:w w:val="100"/>
        <w:sz w:val="14"/>
        <w:szCs w:val="14"/>
      </w:rPr>
    </w:lvl>
    <w:lvl w:ilvl="1" w:tplc="2A4853B4">
      <w:numFmt w:val="bullet"/>
      <w:lvlText w:val="•"/>
      <w:lvlJc w:val="left"/>
      <w:pPr>
        <w:ind w:left="426" w:hanging="100"/>
      </w:pPr>
      <w:rPr>
        <w:rFonts w:hint="default"/>
      </w:rPr>
    </w:lvl>
    <w:lvl w:ilvl="2" w:tplc="A2C6FF18">
      <w:numFmt w:val="bullet"/>
      <w:lvlText w:val="•"/>
      <w:lvlJc w:val="left"/>
      <w:pPr>
        <w:ind w:left="692" w:hanging="100"/>
      </w:pPr>
      <w:rPr>
        <w:rFonts w:hint="default"/>
      </w:rPr>
    </w:lvl>
    <w:lvl w:ilvl="3" w:tplc="F6FCCE6E">
      <w:numFmt w:val="bullet"/>
      <w:lvlText w:val="•"/>
      <w:lvlJc w:val="left"/>
      <w:pPr>
        <w:ind w:left="959" w:hanging="100"/>
      </w:pPr>
      <w:rPr>
        <w:rFonts w:hint="default"/>
      </w:rPr>
    </w:lvl>
    <w:lvl w:ilvl="4" w:tplc="EFB0EF3A">
      <w:numFmt w:val="bullet"/>
      <w:lvlText w:val="•"/>
      <w:lvlJc w:val="left"/>
      <w:pPr>
        <w:ind w:left="1225" w:hanging="100"/>
      </w:pPr>
      <w:rPr>
        <w:rFonts w:hint="default"/>
      </w:rPr>
    </w:lvl>
    <w:lvl w:ilvl="5" w:tplc="064C076A">
      <w:numFmt w:val="bullet"/>
      <w:lvlText w:val="•"/>
      <w:lvlJc w:val="left"/>
      <w:pPr>
        <w:ind w:left="1492" w:hanging="100"/>
      </w:pPr>
      <w:rPr>
        <w:rFonts w:hint="default"/>
      </w:rPr>
    </w:lvl>
    <w:lvl w:ilvl="6" w:tplc="D03C0494">
      <w:numFmt w:val="bullet"/>
      <w:lvlText w:val="•"/>
      <w:lvlJc w:val="left"/>
      <w:pPr>
        <w:ind w:left="1758" w:hanging="100"/>
      </w:pPr>
      <w:rPr>
        <w:rFonts w:hint="default"/>
      </w:rPr>
    </w:lvl>
    <w:lvl w:ilvl="7" w:tplc="239EB9E0">
      <w:numFmt w:val="bullet"/>
      <w:lvlText w:val="•"/>
      <w:lvlJc w:val="left"/>
      <w:pPr>
        <w:ind w:left="2024" w:hanging="100"/>
      </w:pPr>
      <w:rPr>
        <w:rFonts w:hint="default"/>
      </w:rPr>
    </w:lvl>
    <w:lvl w:ilvl="8" w:tplc="7B8C22DC">
      <w:numFmt w:val="bullet"/>
      <w:lvlText w:val="•"/>
      <w:lvlJc w:val="left"/>
      <w:pPr>
        <w:ind w:left="2291" w:hanging="100"/>
      </w:pPr>
      <w:rPr>
        <w:rFonts w:hint="default"/>
      </w:rPr>
    </w:lvl>
  </w:abstractNum>
  <w:abstractNum w:abstractNumId="868" w15:restartNumberingAfterBreak="0">
    <w:nsid w:val="370860A0"/>
    <w:multiLevelType w:val="hybridMultilevel"/>
    <w:tmpl w:val="46A6B2E2"/>
    <w:lvl w:ilvl="0" w:tplc="3D729572">
      <w:numFmt w:val="bullet"/>
      <w:lvlText w:val=""/>
      <w:lvlJc w:val="left"/>
      <w:pPr>
        <w:ind w:left="157" w:hanging="100"/>
      </w:pPr>
      <w:rPr>
        <w:rFonts w:ascii="Symbol" w:eastAsia="Symbol" w:hAnsi="Symbol" w:cs="Symbol" w:hint="default"/>
        <w:color w:val="231F20"/>
        <w:w w:val="100"/>
        <w:sz w:val="14"/>
        <w:szCs w:val="14"/>
      </w:rPr>
    </w:lvl>
    <w:lvl w:ilvl="1" w:tplc="D3063EEA">
      <w:numFmt w:val="bullet"/>
      <w:lvlText w:val="•"/>
      <w:lvlJc w:val="left"/>
      <w:pPr>
        <w:ind w:left="398" w:hanging="100"/>
      </w:pPr>
      <w:rPr>
        <w:rFonts w:hint="default"/>
      </w:rPr>
    </w:lvl>
    <w:lvl w:ilvl="2" w:tplc="F71236C8">
      <w:numFmt w:val="bullet"/>
      <w:lvlText w:val="•"/>
      <w:lvlJc w:val="left"/>
      <w:pPr>
        <w:ind w:left="636" w:hanging="100"/>
      </w:pPr>
      <w:rPr>
        <w:rFonts w:hint="default"/>
      </w:rPr>
    </w:lvl>
    <w:lvl w:ilvl="3" w:tplc="DE8C58C0">
      <w:numFmt w:val="bullet"/>
      <w:lvlText w:val="•"/>
      <w:lvlJc w:val="left"/>
      <w:pPr>
        <w:ind w:left="874" w:hanging="100"/>
      </w:pPr>
      <w:rPr>
        <w:rFonts w:hint="default"/>
      </w:rPr>
    </w:lvl>
    <w:lvl w:ilvl="4" w:tplc="220688A8">
      <w:numFmt w:val="bullet"/>
      <w:lvlText w:val="•"/>
      <w:lvlJc w:val="left"/>
      <w:pPr>
        <w:ind w:left="1112" w:hanging="100"/>
      </w:pPr>
      <w:rPr>
        <w:rFonts w:hint="default"/>
      </w:rPr>
    </w:lvl>
    <w:lvl w:ilvl="5" w:tplc="1D00DA58">
      <w:numFmt w:val="bullet"/>
      <w:lvlText w:val="•"/>
      <w:lvlJc w:val="left"/>
      <w:pPr>
        <w:ind w:left="1350" w:hanging="100"/>
      </w:pPr>
      <w:rPr>
        <w:rFonts w:hint="default"/>
      </w:rPr>
    </w:lvl>
    <w:lvl w:ilvl="6" w:tplc="0E9A7532">
      <w:numFmt w:val="bullet"/>
      <w:lvlText w:val="•"/>
      <w:lvlJc w:val="left"/>
      <w:pPr>
        <w:ind w:left="1588" w:hanging="100"/>
      </w:pPr>
      <w:rPr>
        <w:rFonts w:hint="default"/>
      </w:rPr>
    </w:lvl>
    <w:lvl w:ilvl="7" w:tplc="9BC8F3B0">
      <w:numFmt w:val="bullet"/>
      <w:lvlText w:val="•"/>
      <w:lvlJc w:val="left"/>
      <w:pPr>
        <w:ind w:left="1826" w:hanging="100"/>
      </w:pPr>
      <w:rPr>
        <w:rFonts w:hint="default"/>
      </w:rPr>
    </w:lvl>
    <w:lvl w:ilvl="8" w:tplc="55D0A24C">
      <w:numFmt w:val="bullet"/>
      <w:lvlText w:val="•"/>
      <w:lvlJc w:val="left"/>
      <w:pPr>
        <w:ind w:left="2064" w:hanging="100"/>
      </w:pPr>
      <w:rPr>
        <w:rFonts w:hint="default"/>
      </w:rPr>
    </w:lvl>
  </w:abstractNum>
  <w:abstractNum w:abstractNumId="869" w15:restartNumberingAfterBreak="0">
    <w:nsid w:val="37212469"/>
    <w:multiLevelType w:val="hybridMultilevel"/>
    <w:tmpl w:val="01A6857C"/>
    <w:lvl w:ilvl="0" w:tplc="8ED643DA">
      <w:numFmt w:val="bullet"/>
      <w:lvlText w:val=""/>
      <w:lvlJc w:val="left"/>
      <w:pPr>
        <w:ind w:left="156" w:hanging="100"/>
      </w:pPr>
      <w:rPr>
        <w:rFonts w:ascii="Symbol" w:eastAsia="Symbol" w:hAnsi="Symbol" w:cs="Symbol" w:hint="default"/>
        <w:color w:val="231F20"/>
        <w:w w:val="100"/>
        <w:sz w:val="14"/>
        <w:szCs w:val="14"/>
      </w:rPr>
    </w:lvl>
    <w:lvl w:ilvl="1" w:tplc="685E6788">
      <w:numFmt w:val="bullet"/>
      <w:lvlText w:val="•"/>
      <w:lvlJc w:val="left"/>
      <w:pPr>
        <w:ind w:left="301" w:hanging="100"/>
      </w:pPr>
      <w:rPr>
        <w:rFonts w:hint="default"/>
      </w:rPr>
    </w:lvl>
    <w:lvl w:ilvl="2" w:tplc="3774DB18">
      <w:numFmt w:val="bullet"/>
      <w:lvlText w:val="•"/>
      <w:lvlJc w:val="left"/>
      <w:pPr>
        <w:ind w:left="443" w:hanging="100"/>
      </w:pPr>
      <w:rPr>
        <w:rFonts w:hint="default"/>
      </w:rPr>
    </w:lvl>
    <w:lvl w:ilvl="3" w:tplc="DE68C784">
      <w:numFmt w:val="bullet"/>
      <w:lvlText w:val="•"/>
      <w:lvlJc w:val="left"/>
      <w:pPr>
        <w:ind w:left="585" w:hanging="100"/>
      </w:pPr>
      <w:rPr>
        <w:rFonts w:hint="default"/>
      </w:rPr>
    </w:lvl>
    <w:lvl w:ilvl="4" w:tplc="980EE356">
      <w:numFmt w:val="bullet"/>
      <w:lvlText w:val="•"/>
      <w:lvlJc w:val="left"/>
      <w:pPr>
        <w:ind w:left="726" w:hanging="100"/>
      </w:pPr>
      <w:rPr>
        <w:rFonts w:hint="default"/>
      </w:rPr>
    </w:lvl>
    <w:lvl w:ilvl="5" w:tplc="18887A6C">
      <w:numFmt w:val="bullet"/>
      <w:lvlText w:val="•"/>
      <w:lvlJc w:val="left"/>
      <w:pPr>
        <w:ind w:left="868" w:hanging="100"/>
      </w:pPr>
      <w:rPr>
        <w:rFonts w:hint="default"/>
      </w:rPr>
    </w:lvl>
    <w:lvl w:ilvl="6" w:tplc="1EB420A2">
      <w:numFmt w:val="bullet"/>
      <w:lvlText w:val="•"/>
      <w:lvlJc w:val="left"/>
      <w:pPr>
        <w:ind w:left="1010" w:hanging="100"/>
      </w:pPr>
      <w:rPr>
        <w:rFonts w:hint="default"/>
      </w:rPr>
    </w:lvl>
    <w:lvl w:ilvl="7" w:tplc="70D05B14">
      <w:numFmt w:val="bullet"/>
      <w:lvlText w:val="•"/>
      <w:lvlJc w:val="left"/>
      <w:pPr>
        <w:ind w:left="1151" w:hanging="100"/>
      </w:pPr>
      <w:rPr>
        <w:rFonts w:hint="default"/>
      </w:rPr>
    </w:lvl>
    <w:lvl w:ilvl="8" w:tplc="A474A11A">
      <w:numFmt w:val="bullet"/>
      <w:lvlText w:val="•"/>
      <w:lvlJc w:val="left"/>
      <w:pPr>
        <w:ind w:left="1293" w:hanging="100"/>
      </w:pPr>
      <w:rPr>
        <w:rFonts w:hint="default"/>
      </w:rPr>
    </w:lvl>
  </w:abstractNum>
  <w:abstractNum w:abstractNumId="870" w15:restartNumberingAfterBreak="0">
    <w:nsid w:val="372D7B99"/>
    <w:multiLevelType w:val="hybridMultilevel"/>
    <w:tmpl w:val="EAF42622"/>
    <w:lvl w:ilvl="0" w:tplc="63BA5674">
      <w:numFmt w:val="bullet"/>
      <w:lvlText w:val=""/>
      <w:lvlJc w:val="left"/>
      <w:pPr>
        <w:ind w:left="157" w:hanging="100"/>
      </w:pPr>
      <w:rPr>
        <w:rFonts w:ascii="Symbol" w:eastAsia="Symbol" w:hAnsi="Symbol" w:cs="Symbol" w:hint="default"/>
        <w:color w:val="231F20"/>
        <w:w w:val="100"/>
        <w:sz w:val="14"/>
        <w:szCs w:val="14"/>
      </w:rPr>
    </w:lvl>
    <w:lvl w:ilvl="1" w:tplc="0BC61954">
      <w:numFmt w:val="bullet"/>
      <w:lvlText w:val="•"/>
      <w:lvlJc w:val="left"/>
      <w:pPr>
        <w:ind w:left="426" w:hanging="100"/>
      </w:pPr>
      <w:rPr>
        <w:rFonts w:hint="default"/>
      </w:rPr>
    </w:lvl>
    <w:lvl w:ilvl="2" w:tplc="0DD871AC">
      <w:numFmt w:val="bullet"/>
      <w:lvlText w:val="•"/>
      <w:lvlJc w:val="left"/>
      <w:pPr>
        <w:ind w:left="692" w:hanging="100"/>
      </w:pPr>
      <w:rPr>
        <w:rFonts w:hint="default"/>
      </w:rPr>
    </w:lvl>
    <w:lvl w:ilvl="3" w:tplc="7824A09C">
      <w:numFmt w:val="bullet"/>
      <w:lvlText w:val="•"/>
      <w:lvlJc w:val="left"/>
      <w:pPr>
        <w:ind w:left="959" w:hanging="100"/>
      </w:pPr>
      <w:rPr>
        <w:rFonts w:hint="default"/>
      </w:rPr>
    </w:lvl>
    <w:lvl w:ilvl="4" w:tplc="F7528918">
      <w:numFmt w:val="bullet"/>
      <w:lvlText w:val="•"/>
      <w:lvlJc w:val="left"/>
      <w:pPr>
        <w:ind w:left="1225" w:hanging="100"/>
      </w:pPr>
      <w:rPr>
        <w:rFonts w:hint="default"/>
      </w:rPr>
    </w:lvl>
    <w:lvl w:ilvl="5" w:tplc="C8026C22">
      <w:numFmt w:val="bullet"/>
      <w:lvlText w:val="•"/>
      <w:lvlJc w:val="left"/>
      <w:pPr>
        <w:ind w:left="1492" w:hanging="100"/>
      </w:pPr>
      <w:rPr>
        <w:rFonts w:hint="default"/>
      </w:rPr>
    </w:lvl>
    <w:lvl w:ilvl="6" w:tplc="D6C85A26">
      <w:numFmt w:val="bullet"/>
      <w:lvlText w:val="•"/>
      <w:lvlJc w:val="left"/>
      <w:pPr>
        <w:ind w:left="1758" w:hanging="100"/>
      </w:pPr>
      <w:rPr>
        <w:rFonts w:hint="default"/>
      </w:rPr>
    </w:lvl>
    <w:lvl w:ilvl="7" w:tplc="BAB8C386">
      <w:numFmt w:val="bullet"/>
      <w:lvlText w:val="•"/>
      <w:lvlJc w:val="left"/>
      <w:pPr>
        <w:ind w:left="2024" w:hanging="100"/>
      </w:pPr>
      <w:rPr>
        <w:rFonts w:hint="default"/>
      </w:rPr>
    </w:lvl>
    <w:lvl w:ilvl="8" w:tplc="74A0B05A">
      <w:numFmt w:val="bullet"/>
      <w:lvlText w:val="•"/>
      <w:lvlJc w:val="left"/>
      <w:pPr>
        <w:ind w:left="2291" w:hanging="100"/>
      </w:pPr>
      <w:rPr>
        <w:rFonts w:hint="default"/>
      </w:rPr>
    </w:lvl>
  </w:abstractNum>
  <w:abstractNum w:abstractNumId="871" w15:restartNumberingAfterBreak="0">
    <w:nsid w:val="37351FB5"/>
    <w:multiLevelType w:val="hybridMultilevel"/>
    <w:tmpl w:val="14BE1042"/>
    <w:lvl w:ilvl="0" w:tplc="F7ECBD4A">
      <w:numFmt w:val="bullet"/>
      <w:lvlText w:val=""/>
      <w:lvlJc w:val="left"/>
      <w:pPr>
        <w:ind w:left="156" w:hanging="100"/>
      </w:pPr>
      <w:rPr>
        <w:rFonts w:ascii="Symbol" w:eastAsia="Symbol" w:hAnsi="Symbol" w:cs="Symbol" w:hint="default"/>
        <w:color w:val="231F20"/>
        <w:w w:val="100"/>
        <w:sz w:val="14"/>
        <w:szCs w:val="14"/>
      </w:rPr>
    </w:lvl>
    <w:lvl w:ilvl="1" w:tplc="4F5014BE">
      <w:numFmt w:val="bullet"/>
      <w:lvlText w:val="•"/>
      <w:lvlJc w:val="left"/>
      <w:pPr>
        <w:ind w:left="301" w:hanging="100"/>
      </w:pPr>
      <w:rPr>
        <w:rFonts w:hint="default"/>
      </w:rPr>
    </w:lvl>
    <w:lvl w:ilvl="2" w:tplc="1C22C1E4">
      <w:numFmt w:val="bullet"/>
      <w:lvlText w:val="•"/>
      <w:lvlJc w:val="left"/>
      <w:pPr>
        <w:ind w:left="443" w:hanging="100"/>
      </w:pPr>
      <w:rPr>
        <w:rFonts w:hint="default"/>
      </w:rPr>
    </w:lvl>
    <w:lvl w:ilvl="3" w:tplc="CB2046FC">
      <w:numFmt w:val="bullet"/>
      <w:lvlText w:val="•"/>
      <w:lvlJc w:val="left"/>
      <w:pPr>
        <w:ind w:left="585" w:hanging="100"/>
      </w:pPr>
      <w:rPr>
        <w:rFonts w:hint="default"/>
      </w:rPr>
    </w:lvl>
    <w:lvl w:ilvl="4" w:tplc="908814AA">
      <w:numFmt w:val="bullet"/>
      <w:lvlText w:val="•"/>
      <w:lvlJc w:val="left"/>
      <w:pPr>
        <w:ind w:left="726" w:hanging="100"/>
      </w:pPr>
      <w:rPr>
        <w:rFonts w:hint="default"/>
      </w:rPr>
    </w:lvl>
    <w:lvl w:ilvl="5" w:tplc="2A988C50">
      <w:numFmt w:val="bullet"/>
      <w:lvlText w:val="•"/>
      <w:lvlJc w:val="left"/>
      <w:pPr>
        <w:ind w:left="868" w:hanging="100"/>
      </w:pPr>
      <w:rPr>
        <w:rFonts w:hint="default"/>
      </w:rPr>
    </w:lvl>
    <w:lvl w:ilvl="6" w:tplc="39F25C66">
      <w:numFmt w:val="bullet"/>
      <w:lvlText w:val="•"/>
      <w:lvlJc w:val="left"/>
      <w:pPr>
        <w:ind w:left="1010" w:hanging="100"/>
      </w:pPr>
      <w:rPr>
        <w:rFonts w:hint="default"/>
      </w:rPr>
    </w:lvl>
    <w:lvl w:ilvl="7" w:tplc="27E2575E">
      <w:numFmt w:val="bullet"/>
      <w:lvlText w:val="•"/>
      <w:lvlJc w:val="left"/>
      <w:pPr>
        <w:ind w:left="1151" w:hanging="100"/>
      </w:pPr>
      <w:rPr>
        <w:rFonts w:hint="default"/>
      </w:rPr>
    </w:lvl>
    <w:lvl w:ilvl="8" w:tplc="0686A180">
      <w:numFmt w:val="bullet"/>
      <w:lvlText w:val="•"/>
      <w:lvlJc w:val="left"/>
      <w:pPr>
        <w:ind w:left="1293" w:hanging="100"/>
      </w:pPr>
      <w:rPr>
        <w:rFonts w:hint="default"/>
      </w:rPr>
    </w:lvl>
  </w:abstractNum>
  <w:abstractNum w:abstractNumId="872" w15:restartNumberingAfterBreak="0">
    <w:nsid w:val="37492A98"/>
    <w:multiLevelType w:val="hybridMultilevel"/>
    <w:tmpl w:val="8AA6980E"/>
    <w:lvl w:ilvl="0" w:tplc="D11E1BE8">
      <w:numFmt w:val="bullet"/>
      <w:lvlText w:val=""/>
      <w:lvlJc w:val="left"/>
      <w:pPr>
        <w:ind w:left="156" w:hanging="100"/>
      </w:pPr>
      <w:rPr>
        <w:rFonts w:ascii="Symbol" w:eastAsia="Symbol" w:hAnsi="Symbol" w:cs="Symbol" w:hint="default"/>
        <w:color w:val="231F20"/>
        <w:w w:val="100"/>
        <w:sz w:val="14"/>
        <w:szCs w:val="14"/>
      </w:rPr>
    </w:lvl>
    <w:lvl w:ilvl="1" w:tplc="E834A802">
      <w:numFmt w:val="bullet"/>
      <w:lvlText w:val="•"/>
      <w:lvlJc w:val="left"/>
      <w:pPr>
        <w:ind w:left="301" w:hanging="100"/>
      </w:pPr>
      <w:rPr>
        <w:rFonts w:hint="default"/>
      </w:rPr>
    </w:lvl>
    <w:lvl w:ilvl="2" w:tplc="C81C6AC2">
      <w:numFmt w:val="bullet"/>
      <w:lvlText w:val="•"/>
      <w:lvlJc w:val="left"/>
      <w:pPr>
        <w:ind w:left="443" w:hanging="100"/>
      </w:pPr>
      <w:rPr>
        <w:rFonts w:hint="default"/>
      </w:rPr>
    </w:lvl>
    <w:lvl w:ilvl="3" w:tplc="0D549972">
      <w:numFmt w:val="bullet"/>
      <w:lvlText w:val="•"/>
      <w:lvlJc w:val="left"/>
      <w:pPr>
        <w:ind w:left="585" w:hanging="100"/>
      </w:pPr>
      <w:rPr>
        <w:rFonts w:hint="default"/>
      </w:rPr>
    </w:lvl>
    <w:lvl w:ilvl="4" w:tplc="2E3636A6">
      <w:numFmt w:val="bullet"/>
      <w:lvlText w:val="•"/>
      <w:lvlJc w:val="left"/>
      <w:pPr>
        <w:ind w:left="726" w:hanging="100"/>
      </w:pPr>
      <w:rPr>
        <w:rFonts w:hint="default"/>
      </w:rPr>
    </w:lvl>
    <w:lvl w:ilvl="5" w:tplc="FCCCBB74">
      <w:numFmt w:val="bullet"/>
      <w:lvlText w:val="•"/>
      <w:lvlJc w:val="left"/>
      <w:pPr>
        <w:ind w:left="868" w:hanging="100"/>
      </w:pPr>
      <w:rPr>
        <w:rFonts w:hint="default"/>
      </w:rPr>
    </w:lvl>
    <w:lvl w:ilvl="6" w:tplc="F7D449F2">
      <w:numFmt w:val="bullet"/>
      <w:lvlText w:val="•"/>
      <w:lvlJc w:val="left"/>
      <w:pPr>
        <w:ind w:left="1010" w:hanging="100"/>
      </w:pPr>
      <w:rPr>
        <w:rFonts w:hint="default"/>
      </w:rPr>
    </w:lvl>
    <w:lvl w:ilvl="7" w:tplc="495600C8">
      <w:numFmt w:val="bullet"/>
      <w:lvlText w:val="•"/>
      <w:lvlJc w:val="left"/>
      <w:pPr>
        <w:ind w:left="1151" w:hanging="100"/>
      </w:pPr>
      <w:rPr>
        <w:rFonts w:hint="default"/>
      </w:rPr>
    </w:lvl>
    <w:lvl w:ilvl="8" w:tplc="557E5E8E">
      <w:numFmt w:val="bullet"/>
      <w:lvlText w:val="•"/>
      <w:lvlJc w:val="left"/>
      <w:pPr>
        <w:ind w:left="1293" w:hanging="100"/>
      </w:pPr>
      <w:rPr>
        <w:rFonts w:hint="default"/>
      </w:rPr>
    </w:lvl>
  </w:abstractNum>
  <w:abstractNum w:abstractNumId="873" w15:restartNumberingAfterBreak="0">
    <w:nsid w:val="37742250"/>
    <w:multiLevelType w:val="hybridMultilevel"/>
    <w:tmpl w:val="1972A442"/>
    <w:lvl w:ilvl="0" w:tplc="298064EA">
      <w:numFmt w:val="bullet"/>
      <w:lvlText w:val=""/>
      <w:lvlJc w:val="left"/>
      <w:pPr>
        <w:ind w:left="157" w:hanging="100"/>
      </w:pPr>
      <w:rPr>
        <w:rFonts w:ascii="Symbol" w:eastAsia="Symbol" w:hAnsi="Symbol" w:cs="Symbol" w:hint="default"/>
        <w:color w:val="231F20"/>
        <w:w w:val="100"/>
        <w:sz w:val="14"/>
        <w:szCs w:val="14"/>
      </w:rPr>
    </w:lvl>
    <w:lvl w:ilvl="1" w:tplc="BF801B30">
      <w:numFmt w:val="bullet"/>
      <w:lvlText w:val="•"/>
      <w:lvlJc w:val="left"/>
      <w:pPr>
        <w:ind w:left="426" w:hanging="100"/>
      </w:pPr>
      <w:rPr>
        <w:rFonts w:hint="default"/>
      </w:rPr>
    </w:lvl>
    <w:lvl w:ilvl="2" w:tplc="607294B4">
      <w:numFmt w:val="bullet"/>
      <w:lvlText w:val="•"/>
      <w:lvlJc w:val="left"/>
      <w:pPr>
        <w:ind w:left="692" w:hanging="100"/>
      </w:pPr>
      <w:rPr>
        <w:rFonts w:hint="default"/>
      </w:rPr>
    </w:lvl>
    <w:lvl w:ilvl="3" w:tplc="53FAFB88">
      <w:numFmt w:val="bullet"/>
      <w:lvlText w:val="•"/>
      <w:lvlJc w:val="left"/>
      <w:pPr>
        <w:ind w:left="959" w:hanging="100"/>
      </w:pPr>
      <w:rPr>
        <w:rFonts w:hint="default"/>
      </w:rPr>
    </w:lvl>
    <w:lvl w:ilvl="4" w:tplc="475CF42C">
      <w:numFmt w:val="bullet"/>
      <w:lvlText w:val="•"/>
      <w:lvlJc w:val="left"/>
      <w:pPr>
        <w:ind w:left="1225" w:hanging="100"/>
      </w:pPr>
      <w:rPr>
        <w:rFonts w:hint="default"/>
      </w:rPr>
    </w:lvl>
    <w:lvl w:ilvl="5" w:tplc="EBB41C1A">
      <w:numFmt w:val="bullet"/>
      <w:lvlText w:val="•"/>
      <w:lvlJc w:val="left"/>
      <w:pPr>
        <w:ind w:left="1492" w:hanging="100"/>
      </w:pPr>
      <w:rPr>
        <w:rFonts w:hint="default"/>
      </w:rPr>
    </w:lvl>
    <w:lvl w:ilvl="6" w:tplc="7FCAE7E2">
      <w:numFmt w:val="bullet"/>
      <w:lvlText w:val="•"/>
      <w:lvlJc w:val="left"/>
      <w:pPr>
        <w:ind w:left="1758" w:hanging="100"/>
      </w:pPr>
      <w:rPr>
        <w:rFonts w:hint="default"/>
      </w:rPr>
    </w:lvl>
    <w:lvl w:ilvl="7" w:tplc="4D8ED684">
      <w:numFmt w:val="bullet"/>
      <w:lvlText w:val="•"/>
      <w:lvlJc w:val="left"/>
      <w:pPr>
        <w:ind w:left="2024" w:hanging="100"/>
      </w:pPr>
      <w:rPr>
        <w:rFonts w:hint="default"/>
      </w:rPr>
    </w:lvl>
    <w:lvl w:ilvl="8" w:tplc="3E8006FA">
      <w:numFmt w:val="bullet"/>
      <w:lvlText w:val="•"/>
      <w:lvlJc w:val="left"/>
      <w:pPr>
        <w:ind w:left="2291" w:hanging="100"/>
      </w:pPr>
      <w:rPr>
        <w:rFonts w:hint="default"/>
      </w:rPr>
    </w:lvl>
  </w:abstractNum>
  <w:abstractNum w:abstractNumId="874" w15:restartNumberingAfterBreak="0">
    <w:nsid w:val="377825E6"/>
    <w:multiLevelType w:val="hybridMultilevel"/>
    <w:tmpl w:val="2A30F956"/>
    <w:lvl w:ilvl="0" w:tplc="0DD29B7A">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2D5C6B3C">
      <w:numFmt w:val="bullet"/>
      <w:lvlText w:val="•"/>
      <w:lvlJc w:val="left"/>
      <w:pPr>
        <w:ind w:left="351" w:hanging="84"/>
      </w:pPr>
      <w:rPr>
        <w:rFonts w:hint="default"/>
      </w:rPr>
    </w:lvl>
    <w:lvl w:ilvl="2" w:tplc="4080D0F4">
      <w:numFmt w:val="bullet"/>
      <w:lvlText w:val="•"/>
      <w:lvlJc w:val="left"/>
      <w:pPr>
        <w:ind w:left="563" w:hanging="84"/>
      </w:pPr>
      <w:rPr>
        <w:rFonts w:hint="default"/>
      </w:rPr>
    </w:lvl>
    <w:lvl w:ilvl="3" w:tplc="BEB8328E">
      <w:numFmt w:val="bullet"/>
      <w:lvlText w:val="•"/>
      <w:lvlJc w:val="left"/>
      <w:pPr>
        <w:ind w:left="775" w:hanging="84"/>
      </w:pPr>
      <w:rPr>
        <w:rFonts w:hint="default"/>
      </w:rPr>
    </w:lvl>
    <w:lvl w:ilvl="4" w:tplc="B8FAD436">
      <w:numFmt w:val="bullet"/>
      <w:lvlText w:val="•"/>
      <w:lvlJc w:val="left"/>
      <w:pPr>
        <w:ind w:left="986" w:hanging="84"/>
      </w:pPr>
      <w:rPr>
        <w:rFonts w:hint="default"/>
      </w:rPr>
    </w:lvl>
    <w:lvl w:ilvl="5" w:tplc="A44CAAA6">
      <w:numFmt w:val="bullet"/>
      <w:lvlText w:val="•"/>
      <w:lvlJc w:val="left"/>
      <w:pPr>
        <w:ind w:left="1198" w:hanging="84"/>
      </w:pPr>
      <w:rPr>
        <w:rFonts w:hint="default"/>
      </w:rPr>
    </w:lvl>
    <w:lvl w:ilvl="6" w:tplc="578269FA">
      <w:numFmt w:val="bullet"/>
      <w:lvlText w:val="•"/>
      <w:lvlJc w:val="left"/>
      <w:pPr>
        <w:ind w:left="1410" w:hanging="84"/>
      </w:pPr>
      <w:rPr>
        <w:rFonts w:hint="default"/>
      </w:rPr>
    </w:lvl>
    <w:lvl w:ilvl="7" w:tplc="268A0354">
      <w:numFmt w:val="bullet"/>
      <w:lvlText w:val="•"/>
      <w:lvlJc w:val="left"/>
      <w:pPr>
        <w:ind w:left="1621" w:hanging="84"/>
      </w:pPr>
      <w:rPr>
        <w:rFonts w:hint="default"/>
      </w:rPr>
    </w:lvl>
    <w:lvl w:ilvl="8" w:tplc="161EF7B0">
      <w:numFmt w:val="bullet"/>
      <w:lvlText w:val="•"/>
      <w:lvlJc w:val="left"/>
      <w:pPr>
        <w:ind w:left="1833" w:hanging="84"/>
      </w:pPr>
      <w:rPr>
        <w:rFonts w:hint="default"/>
      </w:rPr>
    </w:lvl>
  </w:abstractNum>
  <w:abstractNum w:abstractNumId="875" w15:restartNumberingAfterBreak="0">
    <w:nsid w:val="37A20DB4"/>
    <w:multiLevelType w:val="hybridMultilevel"/>
    <w:tmpl w:val="A5B0DE20"/>
    <w:lvl w:ilvl="0" w:tplc="0F76A37E">
      <w:numFmt w:val="bullet"/>
      <w:lvlText w:val=""/>
      <w:lvlJc w:val="left"/>
      <w:pPr>
        <w:ind w:left="156" w:hanging="100"/>
      </w:pPr>
      <w:rPr>
        <w:rFonts w:ascii="Symbol" w:eastAsia="Symbol" w:hAnsi="Symbol" w:cs="Symbol" w:hint="default"/>
        <w:color w:val="231F20"/>
        <w:w w:val="100"/>
        <w:sz w:val="14"/>
        <w:szCs w:val="14"/>
      </w:rPr>
    </w:lvl>
    <w:lvl w:ilvl="1" w:tplc="809C7A4A">
      <w:numFmt w:val="bullet"/>
      <w:lvlText w:val="•"/>
      <w:lvlJc w:val="left"/>
      <w:pPr>
        <w:ind w:left="398" w:hanging="100"/>
      </w:pPr>
      <w:rPr>
        <w:rFonts w:hint="default"/>
      </w:rPr>
    </w:lvl>
    <w:lvl w:ilvl="2" w:tplc="03B6AF7E">
      <w:numFmt w:val="bullet"/>
      <w:lvlText w:val="•"/>
      <w:lvlJc w:val="left"/>
      <w:pPr>
        <w:ind w:left="636" w:hanging="100"/>
      </w:pPr>
      <w:rPr>
        <w:rFonts w:hint="default"/>
      </w:rPr>
    </w:lvl>
    <w:lvl w:ilvl="3" w:tplc="FECEE8AE">
      <w:numFmt w:val="bullet"/>
      <w:lvlText w:val="•"/>
      <w:lvlJc w:val="left"/>
      <w:pPr>
        <w:ind w:left="874" w:hanging="100"/>
      </w:pPr>
      <w:rPr>
        <w:rFonts w:hint="default"/>
      </w:rPr>
    </w:lvl>
    <w:lvl w:ilvl="4" w:tplc="F2D8F64C">
      <w:numFmt w:val="bullet"/>
      <w:lvlText w:val="•"/>
      <w:lvlJc w:val="left"/>
      <w:pPr>
        <w:ind w:left="1112" w:hanging="100"/>
      </w:pPr>
      <w:rPr>
        <w:rFonts w:hint="default"/>
      </w:rPr>
    </w:lvl>
    <w:lvl w:ilvl="5" w:tplc="72045EA6">
      <w:numFmt w:val="bullet"/>
      <w:lvlText w:val="•"/>
      <w:lvlJc w:val="left"/>
      <w:pPr>
        <w:ind w:left="1350" w:hanging="100"/>
      </w:pPr>
      <w:rPr>
        <w:rFonts w:hint="default"/>
      </w:rPr>
    </w:lvl>
    <w:lvl w:ilvl="6" w:tplc="A1D26932">
      <w:numFmt w:val="bullet"/>
      <w:lvlText w:val="•"/>
      <w:lvlJc w:val="left"/>
      <w:pPr>
        <w:ind w:left="1588" w:hanging="100"/>
      </w:pPr>
      <w:rPr>
        <w:rFonts w:hint="default"/>
      </w:rPr>
    </w:lvl>
    <w:lvl w:ilvl="7" w:tplc="3580C746">
      <w:numFmt w:val="bullet"/>
      <w:lvlText w:val="•"/>
      <w:lvlJc w:val="left"/>
      <w:pPr>
        <w:ind w:left="1826" w:hanging="100"/>
      </w:pPr>
      <w:rPr>
        <w:rFonts w:hint="default"/>
      </w:rPr>
    </w:lvl>
    <w:lvl w:ilvl="8" w:tplc="7B8C1A52">
      <w:numFmt w:val="bullet"/>
      <w:lvlText w:val="•"/>
      <w:lvlJc w:val="left"/>
      <w:pPr>
        <w:ind w:left="2064" w:hanging="100"/>
      </w:pPr>
      <w:rPr>
        <w:rFonts w:hint="default"/>
      </w:rPr>
    </w:lvl>
  </w:abstractNum>
  <w:abstractNum w:abstractNumId="876" w15:restartNumberingAfterBreak="0">
    <w:nsid w:val="37A85B69"/>
    <w:multiLevelType w:val="hybridMultilevel"/>
    <w:tmpl w:val="49548F40"/>
    <w:lvl w:ilvl="0" w:tplc="1F0A1406">
      <w:numFmt w:val="bullet"/>
      <w:lvlText w:val=""/>
      <w:lvlJc w:val="left"/>
      <w:pPr>
        <w:ind w:left="157" w:hanging="100"/>
      </w:pPr>
      <w:rPr>
        <w:rFonts w:ascii="Symbol" w:eastAsia="Symbol" w:hAnsi="Symbol" w:cs="Symbol" w:hint="default"/>
        <w:color w:val="231F20"/>
        <w:w w:val="100"/>
        <w:sz w:val="14"/>
        <w:szCs w:val="14"/>
      </w:rPr>
    </w:lvl>
    <w:lvl w:ilvl="1" w:tplc="9E78FC5C">
      <w:numFmt w:val="bullet"/>
      <w:lvlText w:val="•"/>
      <w:lvlJc w:val="left"/>
      <w:pPr>
        <w:ind w:left="426" w:hanging="100"/>
      </w:pPr>
      <w:rPr>
        <w:rFonts w:hint="default"/>
      </w:rPr>
    </w:lvl>
    <w:lvl w:ilvl="2" w:tplc="DC1EF564">
      <w:numFmt w:val="bullet"/>
      <w:lvlText w:val="•"/>
      <w:lvlJc w:val="left"/>
      <w:pPr>
        <w:ind w:left="692" w:hanging="100"/>
      </w:pPr>
      <w:rPr>
        <w:rFonts w:hint="default"/>
      </w:rPr>
    </w:lvl>
    <w:lvl w:ilvl="3" w:tplc="B782747A">
      <w:numFmt w:val="bullet"/>
      <w:lvlText w:val="•"/>
      <w:lvlJc w:val="left"/>
      <w:pPr>
        <w:ind w:left="959" w:hanging="100"/>
      </w:pPr>
      <w:rPr>
        <w:rFonts w:hint="default"/>
      </w:rPr>
    </w:lvl>
    <w:lvl w:ilvl="4" w:tplc="072C6E8A">
      <w:numFmt w:val="bullet"/>
      <w:lvlText w:val="•"/>
      <w:lvlJc w:val="left"/>
      <w:pPr>
        <w:ind w:left="1225" w:hanging="100"/>
      </w:pPr>
      <w:rPr>
        <w:rFonts w:hint="default"/>
      </w:rPr>
    </w:lvl>
    <w:lvl w:ilvl="5" w:tplc="191CBFA6">
      <w:numFmt w:val="bullet"/>
      <w:lvlText w:val="•"/>
      <w:lvlJc w:val="left"/>
      <w:pPr>
        <w:ind w:left="1492" w:hanging="100"/>
      </w:pPr>
      <w:rPr>
        <w:rFonts w:hint="default"/>
      </w:rPr>
    </w:lvl>
    <w:lvl w:ilvl="6" w:tplc="D4429222">
      <w:numFmt w:val="bullet"/>
      <w:lvlText w:val="•"/>
      <w:lvlJc w:val="left"/>
      <w:pPr>
        <w:ind w:left="1758" w:hanging="100"/>
      </w:pPr>
      <w:rPr>
        <w:rFonts w:hint="default"/>
      </w:rPr>
    </w:lvl>
    <w:lvl w:ilvl="7" w:tplc="A748F288">
      <w:numFmt w:val="bullet"/>
      <w:lvlText w:val="•"/>
      <w:lvlJc w:val="left"/>
      <w:pPr>
        <w:ind w:left="2024" w:hanging="100"/>
      </w:pPr>
      <w:rPr>
        <w:rFonts w:hint="default"/>
      </w:rPr>
    </w:lvl>
    <w:lvl w:ilvl="8" w:tplc="D542C5C2">
      <w:numFmt w:val="bullet"/>
      <w:lvlText w:val="•"/>
      <w:lvlJc w:val="left"/>
      <w:pPr>
        <w:ind w:left="2291" w:hanging="100"/>
      </w:pPr>
      <w:rPr>
        <w:rFonts w:hint="default"/>
      </w:rPr>
    </w:lvl>
  </w:abstractNum>
  <w:abstractNum w:abstractNumId="877" w15:restartNumberingAfterBreak="0">
    <w:nsid w:val="37B563CA"/>
    <w:multiLevelType w:val="hybridMultilevel"/>
    <w:tmpl w:val="20769958"/>
    <w:lvl w:ilvl="0" w:tplc="429CDC28">
      <w:numFmt w:val="bullet"/>
      <w:lvlText w:val=""/>
      <w:lvlJc w:val="left"/>
      <w:pPr>
        <w:ind w:left="156" w:hanging="100"/>
      </w:pPr>
      <w:rPr>
        <w:rFonts w:ascii="Symbol" w:eastAsia="Symbol" w:hAnsi="Symbol" w:cs="Symbol" w:hint="default"/>
        <w:color w:val="231F20"/>
        <w:w w:val="100"/>
        <w:sz w:val="14"/>
        <w:szCs w:val="14"/>
      </w:rPr>
    </w:lvl>
    <w:lvl w:ilvl="1" w:tplc="9202DE08">
      <w:numFmt w:val="bullet"/>
      <w:lvlText w:val="•"/>
      <w:lvlJc w:val="left"/>
      <w:pPr>
        <w:ind w:left="398" w:hanging="100"/>
      </w:pPr>
      <w:rPr>
        <w:rFonts w:hint="default"/>
      </w:rPr>
    </w:lvl>
    <w:lvl w:ilvl="2" w:tplc="79D2ED64">
      <w:numFmt w:val="bullet"/>
      <w:lvlText w:val="•"/>
      <w:lvlJc w:val="left"/>
      <w:pPr>
        <w:ind w:left="636" w:hanging="100"/>
      </w:pPr>
      <w:rPr>
        <w:rFonts w:hint="default"/>
      </w:rPr>
    </w:lvl>
    <w:lvl w:ilvl="3" w:tplc="BFAA55A2">
      <w:numFmt w:val="bullet"/>
      <w:lvlText w:val="•"/>
      <w:lvlJc w:val="left"/>
      <w:pPr>
        <w:ind w:left="874" w:hanging="100"/>
      </w:pPr>
      <w:rPr>
        <w:rFonts w:hint="default"/>
      </w:rPr>
    </w:lvl>
    <w:lvl w:ilvl="4" w:tplc="A14EB15A">
      <w:numFmt w:val="bullet"/>
      <w:lvlText w:val="•"/>
      <w:lvlJc w:val="left"/>
      <w:pPr>
        <w:ind w:left="1112" w:hanging="100"/>
      </w:pPr>
      <w:rPr>
        <w:rFonts w:hint="default"/>
      </w:rPr>
    </w:lvl>
    <w:lvl w:ilvl="5" w:tplc="80A2525C">
      <w:numFmt w:val="bullet"/>
      <w:lvlText w:val="•"/>
      <w:lvlJc w:val="left"/>
      <w:pPr>
        <w:ind w:left="1350" w:hanging="100"/>
      </w:pPr>
      <w:rPr>
        <w:rFonts w:hint="default"/>
      </w:rPr>
    </w:lvl>
    <w:lvl w:ilvl="6" w:tplc="FD844F92">
      <w:numFmt w:val="bullet"/>
      <w:lvlText w:val="•"/>
      <w:lvlJc w:val="left"/>
      <w:pPr>
        <w:ind w:left="1588" w:hanging="100"/>
      </w:pPr>
      <w:rPr>
        <w:rFonts w:hint="default"/>
      </w:rPr>
    </w:lvl>
    <w:lvl w:ilvl="7" w:tplc="0E402D6E">
      <w:numFmt w:val="bullet"/>
      <w:lvlText w:val="•"/>
      <w:lvlJc w:val="left"/>
      <w:pPr>
        <w:ind w:left="1826" w:hanging="100"/>
      </w:pPr>
      <w:rPr>
        <w:rFonts w:hint="default"/>
      </w:rPr>
    </w:lvl>
    <w:lvl w:ilvl="8" w:tplc="2F10C530">
      <w:numFmt w:val="bullet"/>
      <w:lvlText w:val="•"/>
      <w:lvlJc w:val="left"/>
      <w:pPr>
        <w:ind w:left="2064" w:hanging="100"/>
      </w:pPr>
      <w:rPr>
        <w:rFonts w:hint="default"/>
      </w:rPr>
    </w:lvl>
  </w:abstractNum>
  <w:abstractNum w:abstractNumId="878" w15:restartNumberingAfterBreak="0">
    <w:nsid w:val="37C9650B"/>
    <w:multiLevelType w:val="hybridMultilevel"/>
    <w:tmpl w:val="33628052"/>
    <w:lvl w:ilvl="0" w:tplc="29B453A0">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9D78921C">
      <w:numFmt w:val="bullet"/>
      <w:lvlText w:val="•"/>
      <w:lvlJc w:val="left"/>
      <w:pPr>
        <w:ind w:left="351" w:hanging="84"/>
      </w:pPr>
      <w:rPr>
        <w:rFonts w:hint="default"/>
      </w:rPr>
    </w:lvl>
    <w:lvl w:ilvl="2" w:tplc="D00E2956">
      <w:numFmt w:val="bullet"/>
      <w:lvlText w:val="•"/>
      <w:lvlJc w:val="left"/>
      <w:pPr>
        <w:ind w:left="563" w:hanging="84"/>
      </w:pPr>
      <w:rPr>
        <w:rFonts w:hint="default"/>
      </w:rPr>
    </w:lvl>
    <w:lvl w:ilvl="3" w:tplc="3F52B7A0">
      <w:numFmt w:val="bullet"/>
      <w:lvlText w:val="•"/>
      <w:lvlJc w:val="left"/>
      <w:pPr>
        <w:ind w:left="775" w:hanging="84"/>
      </w:pPr>
      <w:rPr>
        <w:rFonts w:hint="default"/>
      </w:rPr>
    </w:lvl>
    <w:lvl w:ilvl="4" w:tplc="FFE238B6">
      <w:numFmt w:val="bullet"/>
      <w:lvlText w:val="•"/>
      <w:lvlJc w:val="left"/>
      <w:pPr>
        <w:ind w:left="986" w:hanging="84"/>
      </w:pPr>
      <w:rPr>
        <w:rFonts w:hint="default"/>
      </w:rPr>
    </w:lvl>
    <w:lvl w:ilvl="5" w:tplc="25DCDE74">
      <w:numFmt w:val="bullet"/>
      <w:lvlText w:val="•"/>
      <w:lvlJc w:val="left"/>
      <w:pPr>
        <w:ind w:left="1198" w:hanging="84"/>
      </w:pPr>
      <w:rPr>
        <w:rFonts w:hint="default"/>
      </w:rPr>
    </w:lvl>
    <w:lvl w:ilvl="6" w:tplc="B3FC5F40">
      <w:numFmt w:val="bullet"/>
      <w:lvlText w:val="•"/>
      <w:lvlJc w:val="left"/>
      <w:pPr>
        <w:ind w:left="1410" w:hanging="84"/>
      </w:pPr>
      <w:rPr>
        <w:rFonts w:hint="default"/>
      </w:rPr>
    </w:lvl>
    <w:lvl w:ilvl="7" w:tplc="8A9E76A4">
      <w:numFmt w:val="bullet"/>
      <w:lvlText w:val="•"/>
      <w:lvlJc w:val="left"/>
      <w:pPr>
        <w:ind w:left="1621" w:hanging="84"/>
      </w:pPr>
      <w:rPr>
        <w:rFonts w:hint="default"/>
      </w:rPr>
    </w:lvl>
    <w:lvl w:ilvl="8" w:tplc="CBB43678">
      <w:numFmt w:val="bullet"/>
      <w:lvlText w:val="•"/>
      <w:lvlJc w:val="left"/>
      <w:pPr>
        <w:ind w:left="1833" w:hanging="84"/>
      </w:pPr>
      <w:rPr>
        <w:rFonts w:hint="default"/>
      </w:rPr>
    </w:lvl>
  </w:abstractNum>
  <w:abstractNum w:abstractNumId="879" w15:restartNumberingAfterBreak="0">
    <w:nsid w:val="37D77C8E"/>
    <w:multiLevelType w:val="hybridMultilevel"/>
    <w:tmpl w:val="2A50A5AE"/>
    <w:lvl w:ilvl="0" w:tplc="72768246">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4254F42E">
      <w:numFmt w:val="bullet"/>
      <w:lvlText w:val="•"/>
      <w:lvlJc w:val="left"/>
      <w:pPr>
        <w:ind w:left="1690" w:hanging="180"/>
      </w:pPr>
      <w:rPr>
        <w:rFonts w:hint="default"/>
      </w:rPr>
    </w:lvl>
    <w:lvl w:ilvl="2" w:tplc="45CE64F4">
      <w:numFmt w:val="bullet"/>
      <w:lvlText w:val="•"/>
      <w:lvlJc w:val="left"/>
      <w:pPr>
        <w:ind w:left="2701" w:hanging="180"/>
      </w:pPr>
      <w:rPr>
        <w:rFonts w:hint="default"/>
      </w:rPr>
    </w:lvl>
    <w:lvl w:ilvl="3" w:tplc="488EDBB0">
      <w:numFmt w:val="bullet"/>
      <w:lvlText w:val="•"/>
      <w:lvlJc w:val="left"/>
      <w:pPr>
        <w:ind w:left="3711" w:hanging="180"/>
      </w:pPr>
      <w:rPr>
        <w:rFonts w:hint="default"/>
      </w:rPr>
    </w:lvl>
    <w:lvl w:ilvl="4" w:tplc="AE16142C">
      <w:numFmt w:val="bullet"/>
      <w:lvlText w:val="•"/>
      <w:lvlJc w:val="left"/>
      <w:pPr>
        <w:ind w:left="4722" w:hanging="180"/>
      </w:pPr>
      <w:rPr>
        <w:rFonts w:hint="default"/>
      </w:rPr>
    </w:lvl>
    <w:lvl w:ilvl="5" w:tplc="38F45132">
      <w:numFmt w:val="bullet"/>
      <w:lvlText w:val="•"/>
      <w:lvlJc w:val="left"/>
      <w:pPr>
        <w:ind w:left="5732" w:hanging="180"/>
      </w:pPr>
      <w:rPr>
        <w:rFonts w:hint="default"/>
      </w:rPr>
    </w:lvl>
    <w:lvl w:ilvl="6" w:tplc="5CCED128">
      <w:numFmt w:val="bullet"/>
      <w:lvlText w:val="•"/>
      <w:lvlJc w:val="left"/>
      <w:pPr>
        <w:ind w:left="6743" w:hanging="180"/>
      </w:pPr>
      <w:rPr>
        <w:rFonts w:hint="default"/>
      </w:rPr>
    </w:lvl>
    <w:lvl w:ilvl="7" w:tplc="649ACB08">
      <w:numFmt w:val="bullet"/>
      <w:lvlText w:val="•"/>
      <w:lvlJc w:val="left"/>
      <w:pPr>
        <w:ind w:left="7753" w:hanging="180"/>
      </w:pPr>
      <w:rPr>
        <w:rFonts w:hint="default"/>
      </w:rPr>
    </w:lvl>
    <w:lvl w:ilvl="8" w:tplc="7442A6E8">
      <w:numFmt w:val="bullet"/>
      <w:lvlText w:val="•"/>
      <w:lvlJc w:val="left"/>
      <w:pPr>
        <w:ind w:left="8764" w:hanging="180"/>
      </w:pPr>
      <w:rPr>
        <w:rFonts w:hint="default"/>
      </w:rPr>
    </w:lvl>
  </w:abstractNum>
  <w:abstractNum w:abstractNumId="880" w15:restartNumberingAfterBreak="0">
    <w:nsid w:val="37DA580A"/>
    <w:multiLevelType w:val="hybridMultilevel"/>
    <w:tmpl w:val="73D671CC"/>
    <w:lvl w:ilvl="0" w:tplc="3454CEA4">
      <w:numFmt w:val="bullet"/>
      <w:lvlText w:val=""/>
      <w:lvlJc w:val="left"/>
      <w:pPr>
        <w:ind w:left="157" w:hanging="100"/>
      </w:pPr>
      <w:rPr>
        <w:rFonts w:ascii="Symbol" w:eastAsia="Symbol" w:hAnsi="Symbol" w:cs="Symbol" w:hint="default"/>
        <w:color w:val="231F20"/>
        <w:w w:val="100"/>
        <w:sz w:val="14"/>
        <w:szCs w:val="14"/>
      </w:rPr>
    </w:lvl>
    <w:lvl w:ilvl="1" w:tplc="0E7E40AC">
      <w:numFmt w:val="bullet"/>
      <w:lvlText w:val="•"/>
      <w:lvlJc w:val="left"/>
      <w:pPr>
        <w:ind w:left="369" w:hanging="100"/>
      </w:pPr>
      <w:rPr>
        <w:rFonts w:hint="default"/>
      </w:rPr>
    </w:lvl>
    <w:lvl w:ilvl="2" w:tplc="83585564">
      <w:numFmt w:val="bullet"/>
      <w:lvlText w:val="•"/>
      <w:lvlJc w:val="left"/>
      <w:pPr>
        <w:ind w:left="579" w:hanging="100"/>
      </w:pPr>
      <w:rPr>
        <w:rFonts w:hint="default"/>
      </w:rPr>
    </w:lvl>
    <w:lvl w:ilvl="3" w:tplc="761EC426">
      <w:numFmt w:val="bullet"/>
      <w:lvlText w:val="•"/>
      <w:lvlJc w:val="left"/>
      <w:pPr>
        <w:ind w:left="789" w:hanging="100"/>
      </w:pPr>
      <w:rPr>
        <w:rFonts w:hint="default"/>
      </w:rPr>
    </w:lvl>
    <w:lvl w:ilvl="4" w:tplc="8DC6764E">
      <w:numFmt w:val="bullet"/>
      <w:lvlText w:val="•"/>
      <w:lvlJc w:val="left"/>
      <w:pPr>
        <w:ind w:left="998" w:hanging="100"/>
      </w:pPr>
      <w:rPr>
        <w:rFonts w:hint="default"/>
      </w:rPr>
    </w:lvl>
    <w:lvl w:ilvl="5" w:tplc="F86E5174">
      <w:numFmt w:val="bullet"/>
      <w:lvlText w:val="•"/>
      <w:lvlJc w:val="left"/>
      <w:pPr>
        <w:ind w:left="1208" w:hanging="100"/>
      </w:pPr>
      <w:rPr>
        <w:rFonts w:hint="default"/>
      </w:rPr>
    </w:lvl>
    <w:lvl w:ilvl="6" w:tplc="6A6051C0">
      <w:numFmt w:val="bullet"/>
      <w:lvlText w:val="•"/>
      <w:lvlJc w:val="left"/>
      <w:pPr>
        <w:ind w:left="1418" w:hanging="100"/>
      </w:pPr>
      <w:rPr>
        <w:rFonts w:hint="default"/>
      </w:rPr>
    </w:lvl>
    <w:lvl w:ilvl="7" w:tplc="85569BBC">
      <w:numFmt w:val="bullet"/>
      <w:lvlText w:val="•"/>
      <w:lvlJc w:val="left"/>
      <w:pPr>
        <w:ind w:left="1627" w:hanging="100"/>
      </w:pPr>
      <w:rPr>
        <w:rFonts w:hint="default"/>
      </w:rPr>
    </w:lvl>
    <w:lvl w:ilvl="8" w:tplc="130AED32">
      <w:numFmt w:val="bullet"/>
      <w:lvlText w:val="•"/>
      <w:lvlJc w:val="left"/>
      <w:pPr>
        <w:ind w:left="1837" w:hanging="100"/>
      </w:pPr>
      <w:rPr>
        <w:rFonts w:hint="default"/>
      </w:rPr>
    </w:lvl>
  </w:abstractNum>
  <w:abstractNum w:abstractNumId="881" w15:restartNumberingAfterBreak="0">
    <w:nsid w:val="380D0953"/>
    <w:multiLevelType w:val="hybridMultilevel"/>
    <w:tmpl w:val="B4FCD9A8"/>
    <w:lvl w:ilvl="0" w:tplc="7F36AD56">
      <w:numFmt w:val="bullet"/>
      <w:lvlText w:val=""/>
      <w:lvlJc w:val="left"/>
      <w:pPr>
        <w:ind w:left="156" w:hanging="100"/>
      </w:pPr>
      <w:rPr>
        <w:rFonts w:ascii="Symbol" w:eastAsia="Symbol" w:hAnsi="Symbol" w:cs="Symbol" w:hint="default"/>
        <w:color w:val="231F20"/>
        <w:w w:val="100"/>
        <w:sz w:val="14"/>
        <w:szCs w:val="14"/>
      </w:rPr>
    </w:lvl>
    <w:lvl w:ilvl="1" w:tplc="53BA5D3C">
      <w:numFmt w:val="bullet"/>
      <w:lvlText w:val="•"/>
      <w:lvlJc w:val="left"/>
      <w:pPr>
        <w:ind w:left="301" w:hanging="100"/>
      </w:pPr>
      <w:rPr>
        <w:rFonts w:hint="default"/>
      </w:rPr>
    </w:lvl>
    <w:lvl w:ilvl="2" w:tplc="479800A2">
      <w:numFmt w:val="bullet"/>
      <w:lvlText w:val="•"/>
      <w:lvlJc w:val="left"/>
      <w:pPr>
        <w:ind w:left="443" w:hanging="100"/>
      </w:pPr>
      <w:rPr>
        <w:rFonts w:hint="default"/>
      </w:rPr>
    </w:lvl>
    <w:lvl w:ilvl="3" w:tplc="A1C22A20">
      <w:numFmt w:val="bullet"/>
      <w:lvlText w:val="•"/>
      <w:lvlJc w:val="left"/>
      <w:pPr>
        <w:ind w:left="585" w:hanging="100"/>
      </w:pPr>
      <w:rPr>
        <w:rFonts w:hint="default"/>
      </w:rPr>
    </w:lvl>
    <w:lvl w:ilvl="4" w:tplc="5BAAFDD2">
      <w:numFmt w:val="bullet"/>
      <w:lvlText w:val="•"/>
      <w:lvlJc w:val="left"/>
      <w:pPr>
        <w:ind w:left="726" w:hanging="100"/>
      </w:pPr>
      <w:rPr>
        <w:rFonts w:hint="default"/>
      </w:rPr>
    </w:lvl>
    <w:lvl w:ilvl="5" w:tplc="13CE4A04">
      <w:numFmt w:val="bullet"/>
      <w:lvlText w:val="•"/>
      <w:lvlJc w:val="left"/>
      <w:pPr>
        <w:ind w:left="868" w:hanging="100"/>
      </w:pPr>
      <w:rPr>
        <w:rFonts w:hint="default"/>
      </w:rPr>
    </w:lvl>
    <w:lvl w:ilvl="6" w:tplc="FEC463C2">
      <w:numFmt w:val="bullet"/>
      <w:lvlText w:val="•"/>
      <w:lvlJc w:val="left"/>
      <w:pPr>
        <w:ind w:left="1010" w:hanging="100"/>
      </w:pPr>
      <w:rPr>
        <w:rFonts w:hint="default"/>
      </w:rPr>
    </w:lvl>
    <w:lvl w:ilvl="7" w:tplc="71F2AD0E">
      <w:numFmt w:val="bullet"/>
      <w:lvlText w:val="•"/>
      <w:lvlJc w:val="left"/>
      <w:pPr>
        <w:ind w:left="1151" w:hanging="100"/>
      </w:pPr>
      <w:rPr>
        <w:rFonts w:hint="default"/>
      </w:rPr>
    </w:lvl>
    <w:lvl w:ilvl="8" w:tplc="76122F54">
      <w:numFmt w:val="bullet"/>
      <w:lvlText w:val="•"/>
      <w:lvlJc w:val="left"/>
      <w:pPr>
        <w:ind w:left="1293" w:hanging="100"/>
      </w:pPr>
      <w:rPr>
        <w:rFonts w:hint="default"/>
      </w:rPr>
    </w:lvl>
  </w:abstractNum>
  <w:abstractNum w:abstractNumId="882" w15:restartNumberingAfterBreak="0">
    <w:nsid w:val="38211756"/>
    <w:multiLevelType w:val="hybridMultilevel"/>
    <w:tmpl w:val="EFBECAB8"/>
    <w:lvl w:ilvl="0" w:tplc="A8A2E1EC">
      <w:numFmt w:val="bullet"/>
      <w:lvlText w:val=""/>
      <w:lvlJc w:val="left"/>
      <w:pPr>
        <w:ind w:left="157" w:hanging="100"/>
      </w:pPr>
      <w:rPr>
        <w:rFonts w:ascii="Symbol" w:eastAsia="Symbol" w:hAnsi="Symbol" w:cs="Symbol" w:hint="default"/>
        <w:color w:val="231F20"/>
        <w:w w:val="100"/>
        <w:sz w:val="14"/>
        <w:szCs w:val="14"/>
      </w:rPr>
    </w:lvl>
    <w:lvl w:ilvl="1" w:tplc="AD9007BA">
      <w:numFmt w:val="bullet"/>
      <w:lvlText w:val="•"/>
      <w:lvlJc w:val="left"/>
      <w:pPr>
        <w:ind w:left="369" w:hanging="100"/>
      </w:pPr>
      <w:rPr>
        <w:rFonts w:hint="default"/>
      </w:rPr>
    </w:lvl>
    <w:lvl w:ilvl="2" w:tplc="DB98ECC8">
      <w:numFmt w:val="bullet"/>
      <w:lvlText w:val="•"/>
      <w:lvlJc w:val="left"/>
      <w:pPr>
        <w:ind w:left="579" w:hanging="100"/>
      </w:pPr>
      <w:rPr>
        <w:rFonts w:hint="default"/>
      </w:rPr>
    </w:lvl>
    <w:lvl w:ilvl="3" w:tplc="532E86D8">
      <w:numFmt w:val="bullet"/>
      <w:lvlText w:val="•"/>
      <w:lvlJc w:val="left"/>
      <w:pPr>
        <w:ind w:left="789" w:hanging="100"/>
      </w:pPr>
      <w:rPr>
        <w:rFonts w:hint="default"/>
      </w:rPr>
    </w:lvl>
    <w:lvl w:ilvl="4" w:tplc="AE7E8A82">
      <w:numFmt w:val="bullet"/>
      <w:lvlText w:val="•"/>
      <w:lvlJc w:val="left"/>
      <w:pPr>
        <w:ind w:left="998" w:hanging="100"/>
      </w:pPr>
      <w:rPr>
        <w:rFonts w:hint="default"/>
      </w:rPr>
    </w:lvl>
    <w:lvl w:ilvl="5" w:tplc="44724226">
      <w:numFmt w:val="bullet"/>
      <w:lvlText w:val="•"/>
      <w:lvlJc w:val="left"/>
      <w:pPr>
        <w:ind w:left="1208" w:hanging="100"/>
      </w:pPr>
      <w:rPr>
        <w:rFonts w:hint="default"/>
      </w:rPr>
    </w:lvl>
    <w:lvl w:ilvl="6" w:tplc="F920C94C">
      <w:numFmt w:val="bullet"/>
      <w:lvlText w:val="•"/>
      <w:lvlJc w:val="left"/>
      <w:pPr>
        <w:ind w:left="1418" w:hanging="100"/>
      </w:pPr>
      <w:rPr>
        <w:rFonts w:hint="default"/>
      </w:rPr>
    </w:lvl>
    <w:lvl w:ilvl="7" w:tplc="22D6BC6A">
      <w:numFmt w:val="bullet"/>
      <w:lvlText w:val="•"/>
      <w:lvlJc w:val="left"/>
      <w:pPr>
        <w:ind w:left="1627" w:hanging="100"/>
      </w:pPr>
      <w:rPr>
        <w:rFonts w:hint="default"/>
      </w:rPr>
    </w:lvl>
    <w:lvl w:ilvl="8" w:tplc="C324D22A">
      <w:numFmt w:val="bullet"/>
      <w:lvlText w:val="•"/>
      <w:lvlJc w:val="left"/>
      <w:pPr>
        <w:ind w:left="1837" w:hanging="100"/>
      </w:pPr>
      <w:rPr>
        <w:rFonts w:hint="default"/>
      </w:rPr>
    </w:lvl>
  </w:abstractNum>
  <w:abstractNum w:abstractNumId="883" w15:restartNumberingAfterBreak="0">
    <w:nsid w:val="382A665E"/>
    <w:multiLevelType w:val="hybridMultilevel"/>
    <w:tmpl w:val="F2CE7E74"/>
    <w:lvl w:ilvl="0" w:tplc="9AC62508">
      <w:numFmt w:val="bullet"/>
      <w:lvlText w:val=""/>
      <w:lvlJc w:val="left"/>
      <w:pPr>
        <w:ind w:left="156" w:hanging="100"/>
      </w:pPr>
      <w:rPr>
        <w:rFonts w:ascii="Symbol" w:eastAsia="Symbol" w:hAnsi="Symbol" w:cs="Symbol" w:hint="default"/>
        <w:color w:val="231F20"/>
        <w:w w:val="100"/>
        <w:sz w:val="14"/>
        <w:szCs w:val="14"/>
      </w:rPr>
    </w:lvl>
    <w:lvl w:ilvl="1" w:tplc="15C471B0">
      <w:numFmt w:val="bullet"/>
      <w:lvlText w:val="•"/>
      <w:lvlJc w:val="left"/>
      <w:pPr>
        <w:ind w:left="301" w:hanging="100"/>
      </w:pPr>
      <w:rPr>
        <w:rFonts w:hint="default"/>
      </w:rPr>
    </w:lvl>
    <w:lvl w:ilvl="2" w:tplc="E738DEB6">
      <w:numFmt w:val="bullet"/>
      <w:lvlText w:val="•"/>
      <w:lvlJc w:val="left"/>
      <w:pPr>
        <w:ind w:left="443" w:hanging="100"/>
      </w:pPr>
      <w:rPr>
        <w:rFonts w:hint="default"/>
      </w:rPr>
    </w:lvl>
    <w:lvl w:ilvl="3" w:tplc="894A6DD6">
      <w:numFmt w:val="bullet"/>
      <w:lvlText w:val="•"/>
      <w:lvlJc w:val="left"/>
      <w:pPr>
        <w:ind w:left="585" w:hanging="100"/>
      </w:pPr>
      <w:rPr>
        <w:rFonts w:hint="default"/>
      </w:rPr>
    </w:lvl>
    <w:lvl w:ilvl="4" w:tplc="067C31DA">
      <w:numFmt w:val="bullet"/>
      <w:lvlText w:val="•"/>
      <w:lvlJc w:val="left"/>
      <w:pPr>
        <w:ind w:left="726" w:hanging="100"/>
      </w:pPr>
      <w:rPr>
        <w:rFonts w:hint="default"/>
      </w:rPr>
    </w:lvl>
    <w:lvl w:ilvl="5" w:tplc="DD9C54B8">
      <w:numFmt w:val="bullet"/>
      <w:lvlText w:val="•"/>
      <w:lvlJc w:val="left"/>
      <w:pPr>
        <w:ind w:left="868" w:hanging="100"/>
      </w:pPr>
      <w:rPr>
        <w:rFonts w:hint="default"/>
      </w:rPr>
    </w:lvl>
    <w:lvl w:ilvl="6" w:tplc="B22607E2">
      <w:numFmt w:val="bullet"/>
      <w:lvlText w:val="•"/>
      <w:lvlJc w:val="left"/>
      <w:pPr>
        <w:ind w:left="1010" w:hanging="100"/>
      </w:pPr>
      <w:rPr>
        <w:rFonts w:hint="default"/>
      </w:rPr>
    </w:lvl>
    <w:lvl w:ilvl="7" w:tplc="E5707508">
      <w:numFmt w:val="bullet"/>
      <w:lvlText w:val="•"/>
      <w:lvlJc w:val="left"/>
      <w:pPr>
        <w:ind w:left="1151" w:hanging="100"/>
      </w:pPr>
      <w:rPr>
        <w:rFonts w:hint="default"/>
      </w:rPr>
    </w:lvl>
    <w:lvl w:ilvl="8" w:tplc="1898FDAE">
      <w:numFmt w:val="bullet"/>
      <w:lvlText w:val="•"/>
      <w:lvlJc w:val="left"/>
      <w:pPr>
        <w:ind w:left="1293" w:hanging="100"/>
      </w:pPr>
      <w:rPr>
        <w:rFonts w:hint="default"/>
      </w:rPr>
    </w:lvl>
  </w:abstractNum>
  <w:abstractNum w:abstractNumId="884" w15:restartNumberingAfterBreak="0">
    <w:nsid w:val="383D48A8"/>
    <w:multiLevelType w:val="hybridMultilevel"/>
    <w:tmpl w:val="5628BA58"/>
    <w:lvl w:ilvl="0" w:tplc="4808F30C">
      <w:numFmt w:val="bullet"/>
      <w:lvlText w:val=""/>
      <w:lvlJc w:val="left"/>
      <w:pPr>
        <w:ind w:left="156" w:hanging="100"/>
      </w:pPr>
      <w:rPr>
        <w:rFonts w:ascii="Symbol" w:eastAsia="Symbol" w:hAnsi="Symbol" w:cs="Symbol" w:hint="default"/>
        <w:color w:val="231F20"/>
        <w:w w:val="100"/>
        <w:sz w:val="14"/>
        <w:szCs w:val="14"/>
      </w:rPr>
    </w:lvl>
    <w:lvl w:ilvl="1" w:tplc="B0AAE4FA">
      <w:numFmt w:val="bullet"/>
      <w:lvlText w:val="•"/>
      <w:lvlJc w:val="left"/>
      <w:pPr>
        <w:ind w:left="471" w:hanging="100"/>
      </w:pPr>
      <w:rPr>
        <w:rFonts w:hint="default"/>
      </w:rPr>
    </w:lvl>
    <w:lvl w:ilvl="2" w:tplc="C6BEE30E">
      <w:numFmt w:val="bullet"/>
      <w:lvlText w:val="•"/>
      <w:lvlJc w:val="left"/>
      <w:pPr>
        <w:ind w:left="783" w:hanging="100"/>
      </w:pPr>
      <w:rPr>
        <w:rFonts w:hint="default"/>
      </w:rPr>
    </w:lvl>
    <w:lvl w:ilvl="3" w:tplc="21D42B4E">
      <w:numFmt w:val="bullet"/>
      <w:lvlText w:val="•"/>
      <w:lvlJc w:val="left"/>
      <w:pPr>
        <w:ind w:left="1095" w:hanging="100"/>
      </w:pPr>
      <w:rPr>
        <w:rFonts w:hint="default"/>
      </w:rPr>
    </w:lvl>
    <w:lvl w:ilvl="4" w:tplc="B8365F34">
      <w:numFmt w:val="bullet"/>
      <w:lvlText w:val="•"/>
      <w:lvlJc w:val="left"/>
      <w:pPr>
        <w:ind w:left="1407" w:hanging="100"/>
      </w:pPr>
      <w:rPr>
        <w:rFonts w:hint="default"/>
      </w:rPr>
    </w:lvl>
    <w:lvl w:ilvl="5" w:tplc="B9C6792E">
      <w:numFmt w:val="bullet"/>
      <w:lvlText w:val="•"/>
      <w:lvlJc w:val="left"/>
      <w:pPr>
        <w:ind w:left="1719" w:hanging="100"/>
      </w:pPr>
      <w:rPr>
        <w:rFonts w:hint="default"/>
      </w:rPr>
    </w:lvl>
    <w:lvl w:ilvl="6" w:tplc="5EB0EE9E">
      <w:numFmt w:val="bullet"/>
      <w:lvlText w:val="•"/>
      <w:lvlJc w:val="left"/>
      <w:pPr>
        <w:ind w:left="2030" w:hanging="100"/>
      </w:pPr>
      <w:rPr>
        <w:rFonts w:hint="default"/>
      </w:rPr>
    </w:lvl>
    <w:lvl w:ilvl="7" w:tplc="A27AAEEA">
      <w:numFmt w:val="bullet"/>
      <w:lvlText w:val="•"/>
      <w:lvlJc w:val="left"/>
      <w:pPr>
        <w:ind w:left="2342" w:hanging="100"/>
      </w:pPr>
      <w:rPr>
        <w:rFonts w:hint="default"/>
      </w:rPr>
    </w:lvl>
    <w:lvl w:ilvl="8" w:tplc="CB588D4E">
      <w:numFmt w:val="bullet"/>
      <w:lvlText w:val="•"/>
      <w:lvlJc w:val="left"/>
      <w:pPr>
        <w:ind w:left="2654" w:hanging="100"/>
      </w:pPr>
      <w:rPr>
        <w:rFonts w:hint="default"/>
      </w:rPr>
    </w:lvl>
  </w:abstractNum>
  <w:abstractNum w:abstractNumId="885" w15:restartNumberingAfterBreak="0">
    <w:nsid w:val="383E5D50"/>
    <w:multiLevelType w:val="hybridMultilevel"/>
    <w:tmpl w:val="1F64B330"/>
    <w:lvl w:ilvl="0" w:tplc="D6700C02">
      <w:numFmt w:val="bullet"/>
      <w:lvlText w:val=""/>
      <w:lvlJc w:val="left"/>
      <w:pPr>
        <w:ind w:left="156" w:hanging="100"/>
      </w:pPr>
      <w:rPr>
        <w:rFonts w:ascii="Symbol" w:eastAsia="Symbol" w:hAnsi="Symbol" w:cs="Symbol" w:hint="default"/>
        <w:color w:val="231F20"/>
        <w:w w:val="100"/>
        <w:sz w:val="14"/>
        <w:szCs w:val="14"/>
      </w:rPr>
    </w:lvl>
    <w:lvl w:ilvl="1" w:tplc="EDB6F02E">
      <w:numFmt w:val="bullet"/>
      <w:lvlText w:val="•"/>
      <w:lvlJc w:val="left"/>
      <w:pPr>
        <w:ind w:left="426" w:hanging="100"/>
      </w:pPr>
      <w:rPr>
        <w:rFonts w:hint="default"/>
      </w:rPr>
    </w:lvl>
    <w:lvl w:ilvl="2" w:tplc="C160F3F2">
      <w:numFmt w:val="bullet"/>
      <w:lvlText w:val="•"/>
      <w:lvlJc w:val="left"/>
      <w:pPr>
        <w:ind w:left="692" w:hanging="100"/>
      </w:pPr>
      <w:rPr>
        <w:rFonts w:hint="default"/>
      </w:rPr>
    </w:lvl>
    <w:lvl w:ilvl="3" w:tplc="0ED2D8EC">
      <w:numFmt w:val="bullet"/>
      <w:lvlText w:val="•"/>
      <w:lvlJc w:val="left"/>
      <w:pPr>
        <w:ind w:left="959" w:hanging="100"/>
      </w:pPr>
      <w:rPr>
        <w:rFonts w:hint="default"/>
      </w:rPr>
    </w:lvl>
    <w:lvl w:ilvl="4" w:tplc="85BE6FBA">
      <w:numFmt w:val="bullet"/>
      <w:lvlText w:val="•"/>
      <w:lvlJc w:val="left"/>
      <w:pPr>
        <w:ind w:left="1225" w:hanging="100"/>
      </w:pPr>
      <w:rPr>
        <w:rFonts w:hint="default"/>
      </w:rPr>
    </w:lvl>
    <w:lvl w:ilvl="5" w:tplc="A5CE70EA">
      <w:numFmt w:val="bullet"/>
      <w:lvlText w:val="•"/>
      <w:lvlJc w:val="left"/>
      <w:pPr>
        <w:ind w:left="1492" w:hanging="100"/>
      </w:pPr>
      <w:rPr>
        <w:rFonts w:hint="default"/>
      </w:rPr>
    </w:lvl>
    <w:lvl w:ilvl="6" w:tplc="3D88F81A">
      <w:numFmt w:val="bullet"/>
      <w:lvlText w:val="•"/>
      <w:lvlJc w:val="left"/>
      <w:pPr>
        <w:ind w:left="1758" w:hanging="100"/>
      </w:pPr>
      <w:rPr>
        <w:rFonts w:hint="default"/>
      </w:rPr>
    </w:lvl>
    <w:lvl w:ilvl="7" w:tplc="AF781C56">
      <w:numFmt w:val="bullet"/>
      <w:lvlText w:val="•"/>
      <w:lvlJc w:val="left"/>
      <w:pPr>
        <w:ind w:left="2024" w:hanging="100"/>
      </w:pPr>
      <w:rPr>
        <w:rFonts w:hint="default"/>
      </w:rPr>
    </w:lvl>
    <w:lvl w:ilvl="8" w:tplc="944C8D5E">
      <w:numFmt w:val="bullet"/>
      <w:lvlText w:val="•"/>
      <w:lvlJc w:val="left"/>
      <w:pPr>
        <w:ind w:left="2291" w:hanging="100"/>
      </w:pPr>
      <w:rPr>
        <w:rFonts w:hint="default"/>
      </w:rPr>
    </w:lvl>
  </w:abstractNum>
  <w:abstractNum w:abstractNumId="886" w15:restartNumberingAfterBreak="0">
    <w:nsid w:val="387A6359"/>
    <w:multiLevelType w:val="hybridMultilevel"/>
    <w:tmpl w:val="3E18A6B2"/>
    <w:lvl w:ilvl="0" w:tplc="A9047F7E">
      <w:numFmt w:val="bullet"/>
      <w:lvlText w:val=""/>
      <w:lvlJc w:val="left"/>
      <w:pPr>
        <w:ind w:left="156" w:hanging="100"/>
      </w:pPr>
      <w:rPr>
        <w:rFonts w:ascii="Symbol" w:eastAsia="Symbol" w:hAnsi="Symbol" w:cs="Symbol" w:hint="default"/>
        <w:color w:val="231F20"/>
        <w:w w:val="100"/>
        <w:sz w:val="14"/>
        <w:szCs w:val="14"/>
      </w:rPr>
    </w:lvl>
    <w:lvl w:ilvl="1" w:tplc="63B235A0">
      <w:numFmt w:val="bullet"/>
      <w:lvlText w:val="•"/>
      <w:lvlJc w:val="left"/>
      <w:pPr>
        <w:ind w:left="426" w:hanging="100"/>
      </w:pPr>
      <w:rPr>
        <w:rFonts w:hint="default"/>
      </w:rPr>
    </w:lvl>
    <w:lvl w:ilvl="2" w:tplc="C54A4EAA">
      <w:numFmt w:val="bullet"/>
      <w:lvlText w:val="•"/>
      <w:lvlJc w:val="left"/>
      <w:pPr>
        <w:ind w:left="692" w:hanging="100"/>
      </w:pPr>
      <w:rPr>
        <w:rFonts w:hint="default"/>
      </w:rPr>
    </w:lvl>
    <w:lvl w:ilvl="3" w:tplc="5212E20A">
      <w:numFmt w:val="bullet"/>
      <w:lvlText w:val="•"/>
      <w:lvlJc w:val="left"/>
      <w:pPr>
        <w:ind w:left="959" w:hanging="100"/>
      </w:pPr>
      <w:rPr>
        <w:rFonts w:hint="default"/>
      </w:rPr>
    </w:lvl>
    <w:lvl w:ilvl="4" w:tplc="5CACCE84">
      <w:numFmt w:val="bullet"/>
      <w:lvlText w:val="•"/>
      <w:lvlJc w:val="left"/>
      <w:pPr>
        <w:ind w:left="1225" w:hanging="100"/>
      </w:pPr>
      <w:rPr>
        <w:rFonts w:hint="default"/>
      </w:rPr>
    </w:lvl>
    <w:lvl w:ilvl="5" w:tplc="465A6C08">
      <w:numFmt w:val="bullet"/>
      <w:lvlText w:val="•"/>
      <w:lvlJc w:val="left"/>
      <w:pPr>
        <w:ind w:left="1492" w:hanging="100"/>
      </w:pPr>
      <w:rPr>
        <w:rFonts w:hint="default"/>
      </w:rPr>
    </w:lvl>
    <w:lvl w:ilvl="6" w:tplc="03AA0BCC">
      <w:numFmt w:val="bullet"/>
      <w:lvlText w:val="•"/>
      <w:lvlJc w:val="left"/>
      <w:pPr>
        <w:ind w:left="1758" w:hanging="100"/>
      </w:pPr>
      <w:rPr>
        <w:rFonts w:hint="default"/>
      </w:rPr>
    </w:lvl>
    <w:lvl w:ilvl="7" w:tplc="DC84595C">
      <w:numFmt w:val="bullet"/>
      <w:lvlText w:val="•"/>
      <w:lvlJc w:val="left"/>
      <w:pPr>
        <w:ind w:left="2024" w:hanging="100"/>
      </w:pPr>
      <w:rPr>
        <w:rFonts w:hint="default"/>
      </w:rPr>
    </w:lvl>
    <w:lvl w:ilvl="8" w:tplc="7D88497A">
      <w:numFmt w:val="bullet"/>
      <w:lvlText w:val="•"/>
      <w:lvlJc w:val="left"/>
      <w:pPr>
        <w:ind w:left="2291" w:hanging="100"/>
      </w:pPr>
      <w:rPr>
        <w:rFonts w:hint="default"/>
      </w:rPr>
    </w:lvl>
  </w:abstractNum>
  <w:abstractNum w:abstractNumId="887" w15:restartNumberingAfterBreak="0">
    <w:nsid w:val="38C50A43"/>
    <w:multiLevelType w:val="hybridMultilevel"/>
    <w:tmpl w:val="A27C1634"/>
    <w:lvl w:ilvl="0" w:tplc="40EC03E6">
      <w:numFmt w:val="bullet"/>
      <w:lvlText w:val=""/>
      <w:lvlJc w:val="left"/>
      <w:pPr>
        <w:ind w:left="156" w:hanging="100"/>
      </w:pPr>
      <w:rPr>
        <w:rFonts w:ascii="Symbol" w:eastAsia="Symbol" w:hAnsi="Symbol" w:cs="Symbol" w:hint="default"/>
        <w:color w:val="231F20"/>
        <w:w w:val="100"/>
        <w:sz w:val="14"/>
        <w:szCs w:val="14"/>
      </w:rPr>
    </w:lvl>
    <w:lvl w:ilvl="1" w:tplc="E00CEC6C">
      <w:numFmt w:val="bullet"/>
      <w:lvlText w:val="•"/>
      <w:lvlJc w:val="left"/>
      <w:pPr>
        <w:ind w:left="301" w:hanging="100"/>
      </w:pPr>
      <w:rPr>
        <w:rFonts w:hint="default"/>
      </w:rPr>
    </w:lvl>
    <w:lvl w:ilvl="2" w:tplc="8E409EEE">
      <w:numFmt w:val="bullet"/>
      <w:lvlText w:val="•"/>
      <w:lvlJc w:val="left"/>
      <w:pPr>
        <w:ind w:left="443" w:hanging="100"/>
      </w:pPr>
      <w:rPr>
        <w:rFonts w:hint="default"/>
      </w:rPr>
    </w:lvl>
    <w:lvl w:ilvl="3" w:tplc="7A20A168">
      <w:numFmt w:val="bullet"/>
      <w:lvlText w:val="•"/>
      <w:lvlJc w:val="left"/>
      <w:pPr>
        <w:ind w:left="585" w:hanging="100"/>
      </w:pPr>
      <w:rPr>
        <w:rFonts w:hint="default"/>
      </w:rPr>
    </w:lvl>
    <w:lvl w:ilvl="4" w:tplc="8F8ECCDC">
      <w:numFmt w:val="bullet"/>
      <w:lvlText w:val="•"/>
      <w:lvlJc w:val="left"/>
      <w:pPr>
        <w:ind w:left="726" w:hanging="100"/>
      </w:pPr>
      <w:rPr>
        <w:rFonts w:hint="default"/>
      </w:rPr>
    </w:lvl>
    <w:lvl w:ilvl="5" w:tplc="C1C06F4A">
      <w:numFmt w:val="bullet"/>
      <w:lvlText w:val="•"/>
      <w:lvlJc w:val="left"/>
      <w:pPr>
        <w:ind w:left="868" w:hanging="100"/>
      </w:pPr>
      <w:rPr>
        <w:rFonts w:hint="default"/>
      </w:rPr>
    </w:lvl>
    <w:lvl w:ilvl="6" w:tplc="E62E3862">
      <w:numFmt w:val="bullet"/>
      <w:lvlText w:val="•"/>
      <w:lvlJc w:val="left"/>
      <w:pPr>
        <w:ind w:left="1010" w:hanging="100"/>
      </w:pPr>
      <w:rPr>
        <w:rFonts w:hint="default"/>
      </w:rPr>
    </w:lvl>
    <w:lvl w:ilvl="7" w:tplc="99026030">
      <w:numFmt w:val="bullet"/>
      <w:lvlText w:val="•"/>
      <w:lvlJc w:val="left"/>
      <w:pPr>
        <w:ind w:left="1151" w:hanging="100"/>
      </w:pPr>
      <w:rPr>
        <w:rFonts w:hint="default"/>
      </w:rPr>
    </w:lvl>
    <w:lvl w:ilvl="8" w:tplc="8334F61E">
      <w:numFmt w:val="bullet"/>
      <w:lvlText w:val="•"/>
      <w:lvlJc w:val="left"/>
      <w:pPr>
        <w:ind w:left="1293" w:hanging="100"/>
      </w:pPr>
      <w:rPr>
        <w:rFonts w:hint="default"/>
      </w:rPr>
    </w:lvl>
  </w:abstractNum>
  <w:abstractNum w:abstractNumId="888" w15:restartNumberingAfterBreak="0">
    <w:nsid w:val="38E26918"/>
    <w:multiLevelType w:val="hybridMultilevel"/>
    <w:tmpl w:val="26AC0268"/>
    <w:lvl w:ilvl="0" w:tplc="86981D44">
      <w:numFmt w:val="bullet"/>
      <w:lvlText w:val=""/>
      <w:lvlJc w:val="left"/>
      <w:pPr>
        <w:ind w:left="156" w:hanging="100"/>
      </w:pPr>
      <w:rPr>
        <w:rFonts w:ascii="Symbol" w:eastAsia="Symbol" w:hAnsi="Symbol" w:cs="Symbol" w:hint="default"/>
        <w:color w:val="231F20"/>
        <w:w w:val="100"/>
        <w:sz w:val="14"/>
        <w:szCs w:val="14"/>
      </w:rPr>
    </w:lvl>
    <w:lvl w:ilvl="1" w:tplc="01C2CAF0">
      <w:numFmt w:val="bullet"/>
      <w:lvlText w:val="•"/>
      <w:lvlJc w:val="left"/>
      <w:pPr>
        <w:ind w:left="398" w:hanging="100"/>
      </w:pPr>
      <w:rPr>
        <w:rFonts w:hint="default"/>
      </w:rPr>
    </w:lvl>
    <w:lvl w:ilvl="2" w:tplc="F3CA407A">
      <w:numFmt w:val="bullet"/>
      <w:lvlText w:val="•"/>
      <w:lvlJc w:val="left"/>
      <w:pPr>
        <w:ind w:left="636" w:hanging="100"/>
      </w:pPr>
      <w:rPr>
        <w:rFonts w:hint="default"/>
      </w:rPr>
    </w:lvl>
    <w:lvl w:ilvl="3" w:tplc="1DE6809E">
      <w:numFmt w:val="bullet"/>
      <w:lvlText w:val="•"/>
      <w:lvlJc w:val="left"/>
      <w:pPr>
        <w:ind w:left="874" w:hanging="100"/>
      </w:pPr>
      <w:rPr>
        <w:rFonts w:hint="default"/>
      </w:rPr>
    </w:lvl>
    <w:lvl w:ilvl="4" w:tplc="B4D6F1B0">
      <w:numFmt w:val="bullet"/>
      <w:lvlText w:val="•"/>
      <w:lvlJc w:val="left"/>
      <w:pPr>
        <w:ind w:left="1112" w:hanging="100"/>
      </w:pPr>
      <w:rPr>
        <w:rFonts w:hint="default"/>
      </w:rPr>
    </w:lvl>
    <w:lvl w:ilvl="5" w:tplc="6C427808">
      <w:numFmt w:val="bullet"/>
      <w:lvlText w:val="•"/>
      <w:lvlJc w:val="left"/>
      <w:pPr>
        <w:ind w:left="1350" w:hanging="100"/>
      </w:pPr>
      <w:rPr>
        <w:rFonts w:hint="default"/>
      </w:rPr>
    </w:lvl>
    <w:lvl w:ilvl="6" w:tplc="4002EAB6">
      <w:numFmt w:val="bullet"/>
      <w:lvlText w:val="•"/>
      <w:lvlJc w:val="left"/>
      <w:pPr>
        <w:ind w:left="1588" w:hanging="100"/>
      </w:pPr>
      <w:rPr>
        <w:rFonts w:hint="default"/>
      </w:rPr>
    </w:lvl>
    <w:lvl w:ilvl="7" w:tplc="EAB8283A">
      <w:numFmt w:val="bullet"/>
      <w:lvlText w:val="•"/>
      <w:lvlJc w:val="left"/>
      <w:pPr>
        <w:ind w:left="1826" w:hanging="100"/>
      </w:pPr>
      <w:rPr>
        <w:rFonts w:hint="default"/>
      </w:rPr>
    </w:lvl>
    <w:lvl w:ilvl="8" w:tplc="A9F80ABA">
      <w:numFmt w:val="bullet"/>
      <w:lvlText w:val="•"/>
      <w:lvlJc w:val="left"/>
      <w:pPr>
        <w:ind w:left="2064" w:hanging="100"/>
      </w:pPr>
      <w:rPr>
        <w:rFonts w:hint="default"/>
      </w:rPr>
    </w:lvl>
  </w:abstractNum>
  <w:abstractNum w:abstractNumId="889" w15:restartNumberingAfterBreak="0">
    <w:nsid w:val="38F415CE"/>
    <w:multiLevelType w:val="hybridMultilevel"/>
    <w:tmpl w:val="56D22A14"/>
    <w:lvl w:ilvl="0" w:tplc="B20CF602">
      <w:numFmt w:val="bullet"/>
      <w:lvlText w:val=""/>
      <w:lvlJc w:val="left"/>
      <w:pPr>
        <w:ind w:left="156" w:hanging="100"/>
      </w:pPr>
      <w:rPr>
        <w:rFonts w:ascii="Symbol" w:eastAsia="Symbol" w:hAnsi="Symbol" w:cs="Symbol" w:hint="default"/>
        <w:color w:val="231F20"/>
        <w:w w:val="100"/>
        <w:sz w:val="14"/>
        <w:szCs w:val="14"/>
      </w:rPr>
    </w:lvl>
    <w:lvl w:ilvl="1" w:tplc="414C73EA">
      <w:numFmt w:val="bullet"/>
      <w:lvlText w:val="•"/>
      <w:lvlJc w:val="left"/>
      <w:pPr>
        <w:ind w:left="454" w:hanging="100"/>
      </w:pPr>
      <w:rPr>
        <w:rFonts w:hint="default"/>
      </w:rPr>
    </w:lvl>
    <w:lvl w:ilvl="2" w:tplc="3FAE568A">
      <w:numFmt w:val="bullet"/>
      <w:lvlText w:val="•"/>
      <w:lvlJc w:val="left"/>
      <w:pPr>
        <w:ind w:left="749" w:hanging="100"/>
      </w:pPr>
      <w:rPr>
        <w:rFonts w:hint="default"/>
      </w:rPr>
    </w:lvl>
    <w:lvl w:ilvl="3" w:tplc="3CE8DA2E">
      <w:numFmt w:val="bullet"/>
      <w:lvlText w:val="•"/>
      <w:lvlJc w:val="left"/>
      <w:pPr>
        <w:ind w:left="1044" w:hanging="100"/>
      </w:pPr>
      <w:rPr>
        <w:rFonts w:hint="default"/>
      </w:rPr>
    </w:lvl>
    <w:lvl w:ilvl="4" w:tplc="BF7463B6">
      <w:numFmt w:val="bullet"/>
      <w:lvlText w:val="•"/>
      <w:lvlJc w:val="left"/>
      <w:pPr>
        <w:ind w:left="1339" w:hanging="100"/>
      </w:pPr>
      <w:rPr>
        <w:rFonts w:hint="default"/>
      </w:rPr>
    </w:lvl>
    <w:lvl w:ilvl="5" w:tplc="A3C8B350">
      <w:numFmt w:val="bullet"/>
      <w:lvlText w:val="•"/>
      <w:lvlJc w:val="left"/>
      <w:pPr>
        <w:ind w:left="1634" w:hanging="100"/>
      </w:pPr>
      <w:rPr>
        <w:rFonts w:hint="default"/>
      </w:rPr>
    </w:lvl>
    <w:lvl w:ilvl="6" w:tplc="96B4ECD2">
      <w:numFmt w:val="bullet"/>
      <w:lvlText w:val="•"/>
      <w:lvlJc w:val="left"/>
      <w:pPr>
        <w:ind w:left="1928" w:hanging="100"/>
      </w:pPr>
      <w:rPr>
        <w:rFonts w:hint="default"/>
      </w:rPr>
    </w:lvl>
    <w:lvl w:ilvl="7" w:tplc="E8DC03EE">
      <w:numFmt w:val="bullet"/>
      <w:lvlText w:val="•"/>
      <w:lvlJc w:val="left"/>
      <w:pPr>
        <w:ind w:left="2223" w:hanging="100"/>
      </w:pPr>
      <w:rPr>
        <w:rFonts w:hint="default"/>
      </w:rPr>
    </w:lvl>
    <w:lvl w:ilvl="8" w:tplc="28328C0E">
      <w:numFmt w:val="bullet"/>
      <w:lvlText w:val="•"/>
      <w:lvlJc w:val="left"/>
      <w:pPr>
        <w:ind w:left="2518" w:hanging="100"/>
      </w:pPr>
      <w:rPr>
        <w:rFonts w:hint="default"/>
      </w:rPr>
    </w:lvl>
  </w:abstractNum>
  <w:abstractNum w:abstractNumId="890" w15:restartNumberingAfterBreak="0">
    <w:nsid w:val="390770F4"/>
    <w:multiLevelType w:val="hybridMultilevel"/>
    <w:tmpl w:val="463E15DE"/>
    <w:lvl w:ilvl="0" w:tplc="5986F03A">
      <w:numFmt w:val="bullet"/>
      <w:lvlText w:val=""/>
      <w:lvlJc w:val="left"/>
      <w:pPr>
        <w:ind w:left="156" w:hanging="100"/>
      </w:pPr>
      <w:rPr>
        <w:rFonts w:ascii="Symbol" w:eastAsia="Symbol" w:hAnsi="Symbol" w:cs="Symbol" w:hint="default"/>
        <w:color w:val="231F20"/>
        <w:w w:val="100"/>
        <w:sz w:val="14"/>
        <w:szCs w:val="14"/>
      </w:rPr>
    </w:lvl>
    <w:lvl w:ilvl="1" w:tplc="88F466B4">
      <w:numFmt w:val="bullet"/>
      <w:lvlText w:val="•"/>
      <w:lvlJc w:val="left"/>
      <w:pPr>
        <w:ind w:left="398" w:hanging="100"/>
      </w:pPr>
      <w:rPr>
        <w:rFonts w:hint="default"/>
      </w:rPr>
    </w:lvl>
    <w:lvl w:ilvl="2" w:tplc="7D6877AA">
      <w:numFmt w:val="bullet"/>
      <w:lvlText w:val="•"/>
      <w:lvlJc w:val="left"/>
      <w:pPr>
        <w:ind w:left="636" w:hanging="100"/>
      </w:pPr>
      <w:rPr>
        <w:rFonts w:hint="default"/>
      </w:rPr>
    </w:lvl>
    <w:lvl w:ilvl="3" w:tplc="53CAFE1C">
      <w:numFmt w:val="bullet"/>
      <w:lvlText w:val="•"/>
      <w:lvlJc w:val="left"/>
      <w:pPr>
        <w:ind w:left="874" w:hanging="100"/>
      </w:pPr>
      <w:rPr>
        <w:rFonts w:hint="default"/>
      </w:rPr>
    </w:lvl>
    <w:lvl w:ilvl="4" w:tplc="01661736">
      <w:numFmt w:val="bullet"/>
      <w:lvlText w:val="•"/>
      <w:lvlJc w:val="left"/>
      <w:pPr>
        <w:ind w:left="1112" w:hanging="100"/>
      </w:pPr>
      <w:rPr>
        <w:rFonts w:hint="default"/>
      </w:rPr>
    </w:lvl>
    <w:lvl w:ilvl="5" w:tplc="E79AA06A">
      <w:numFmt w:val="bullet"/>
      <w:lvlText w:val="•"/>
      <w:lvlJc w:val="left"/>
      <w:pPr>
        <w:ind w:left="1350" w:hanging="100"/>
      </w:pPr>
      <w:rPr>
        <w:rFonts w:hint="default"/>
      </w:rPr>
    </w:lvl>
    <w:lvl w:ilvl="6" w:tplc="9EBACA4C">
      <w:numFmt w:val="bullet"/>
      <w:lvlText w:val="•"/>
      <w:lvlJc w:val="left"/>
      <w:pPr>
        <w:ind w:left="1588" w:hanging="100"/>
      </w:pPr>
      <w:rPr>
        <w:rFonts w:hint="default"/>
      </w:rPr>
    </w:lvl>
    <w:lvl w:ilvl="7" w:tplc="50D0A408">
      <w:numFmt w:val="bullet"/>
      <w:lvlText w:val="•"/>
      <w:lvlJc w:val="left"/>
      <w:pPr>
        <w:ind w:left="1826" w:hanging="100"/>
      </w:pPr>
      <w:rPr>
        <w:rFonts w:hint="default"/>
      </w:rPr>
    </w:lvl>
    <w:lvl w:ilvl="8" w:tplc="33B06AFA">
      <w:numFmt w:val="bullet"/>
      <w:lvlText w:val="•"/>
      <w:lvlJc w:val="left"/>
      <w:pPr>
        <w:ind w:left="2064" w:hanging="100"/>
      </w:pPr>
      <w:rPr>
        <w:rFonts w:hint="default"/>
      </w:rPr>
    </w:lvl>
  </w:abstractNum>
  <w:abstractNum w:abstractNumId="891" w15:restartNumberingAfterBreak="0">
    <w:nsid w:val="39082E97"/>
    <w:multiLevelType w:val="hybridMultilevel"/>
    <w:tmpl w:val="255A721A"/>
    <w:lvl w:ilvl="0" w:tplc="ED3A7D2C">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70028BA0">
      <w:numFmt w:val="bullet"/>
      <w:lvlText w:val="•"/>
      <w:lvlJc w:val="left"/>
      <w:pPr>
        <w:ind w:left="1690" w:hanging="180"/>
      </w:pPr>
      <w:rPr>
        <w:rFonts w:hint="default"/>
      </w:rPr>
    </w:lvl>
    <w:lvl w:ilvl="2" w:tplc="1026E95C">
      <w:numFmt w:val="bullet"/>
      <w:lvlText w:val="•"/>
      <w:lvlJc w:val="left"/>
      <w:pPr>
        <w:ind w:left="2701" w:hanging="180"/>
      </w:pPr>
      <w:rPr>
        <w:rFonts w:hint="default"/>
      </w:rPr>
    </w:lvl>
    <w:lvl w:ilvl="3" w:tplc="2ECCAA78">
      <w:numFmt w:val="bullet"/>
      <w:lvlText w:val="•"/>
      <w:lvlJc w:val="left"/>
      <w:pPr>
        <w:ind w:left="3711" w:hanging="180"/>
      </w:pPr>
      <w:rPr>
        <w:rFonts w:hint="default"/>
      </w:rPr>
    </w:lvl>
    <w:lvl w:ilvl="4" w:tplc="3E9AEFD2">
      <w:numFmt w:val="bullet"/>
      <w:lvlText w:val="•"/>
      <w:lvlJc w:val="left"/>
      <w:pPr>
        <w:ind w:left="4722" w:hanging="180"/>
      </w:pPr>
      <w:rPr>
        <w:rFonts w:hint="default"/>
      </w:rPr>
    </w:lvl>
    <w:lvl w:ilvl="5" w:tplc="15721F18">
      <w:numFmt w:val="bullet"/>
      <w:lvlText w:val="•"/>
      <w:lvlJc w:val="left"/>
      <w:pPr>
        <w:ind w:left="5732" w:hanging="180"/>
      </w:pPr>
      <w:rPr>
        <w:rFonts w:hint="default"/>
      </w:rPr>
    </w:lvl>
    <w:lvl w:ilvl="6" w:tplc="4C62B788">
      <w:numFmt w:val="bullet"/>
      <w:lvlText w:val="•"/>
      <w:lvlJc w:val="left"/>
      <w:pPr>
        <w:ind w:left="6743" w:hanging="180"/>
      </w:pPr>
      <w:rPr>
        <w:rFonts w:hint="default"/>
      </w:rPr>
    </w:lvl>
    <w:lvl w:ilvl="7" w:tplc="82F8F82E">
      <w:numFmt w:val="bullet"/>
      <w:lvlText w:val="•"/>
      <w:lvlJc w:val="left"/>
      <w:pPr>
        <w:ind w:left="7753" w:hanging="180"/>
      </w:pPr>
      <w:rPr>
        <w:rFonts w:hint="default"/>
      </w:rPr>
    </w:lvl>
    <w:lvl w:ilvl="8" w:tplc="B3008A3C">
      <w:numFmt w:val="bullet"/>
      <w:lvlText w:val="•"/>
      <w:lvlJc w:val="left"/>
      <w:pPr>
        <w:ind w:left="8764" w:hanging="180"/>
      </w:pPr>
      <w:rPr>
        <w:rFonts w:hint="default"/>
      </w:rPr>
    </w:lvl>
  </w:abstractNum>
  <w:abstractNum w:abstractNumId="892" w15:restartNumberingAfterBreak="0">
    <w:nsid w:val="3909446D"/>
    <w:multiLevelType w:val="hybridMultilevel"/>
    <w:tmpl w:val="AFCCD7E8"/>
    <w:lvl w:ilvl="0" w:tplc="7ECCF816">
      <w:numFmt w:val="bullet"/>
      <w:lvlText w:val=""/>
      <w:lvlJc w:val="left"/>
      <w:pPr>
        <w:ind w:left="156" w:hanging="100"/>
      </w:pPr>
      <w:rPr>
        <w:rFonts w:ascii="Symbol" w:eastAsia="Symbol" w:hAnsi="Symbol" w:cs="Symbol" w:hint="default"/>
        <w:color w:val="231F20"/>
        <w:w w:val="100"/>
        <w:sz w:val="14"/>
        <w:szCs w:val="14"/>
      </w:rPr>
    </w:lvl>
    <w:lvl w:ilvl="1" w:tplc="20720A5C">
      <w:numFmt w:val="bullet"/>
      <w:lvlText w:val="•"/>
      <w:lvlJc w:val="left"/>
      <w:pPr>
        <w:ind w:left="301" w:hanging="100"/>
      </w:pPr>
      <w:rPr>
        <w:rFonts w:hint="default"/>
      </w:rPr>
    </w:lvl>
    <w:lvl w:ilvl="2" w:tplc="A96E7388">
      <w:numFmt w:val="bullet"/>
      <w:lvlText w:val="•"/>
      <w:lvlJc w:val="left"/>
      <w:pPr>
        <w:ind w:left="443" w:hanging="100"/>
      </w:pPr>
      <w:rPr>
        <w:rFonts w:hint="default"/>
      </w:rPr>
    </w:lvl>
    <w:lvl w:ilvl="3" w:tplc="CDC6A628">
      <w:numFmt w:val="bullet"/>
      <w:lvlText w:val="•"/>
      <w:lvlJc w:val="left"/>
      <w:pPr>
        <w:ind w:left="585" w:hanging="100"/>
      </w:pPr>
      <w:rPr>
        <w:rFonts w:hint="default"/>
      </w:rPr>
    </w:lvl>
    <w:lvl w:ilvl="4" w:tplc="B63A411A">
      <w:numFmt w:val="bullet"/>
      <w:lvlText w:val="•"/>
      <w:lvlJc w:val="left"/>
      <w:pPr>
        <w:ind w:left="726" w:hanging="100"/>
      </w:pPr>
      <w:rPr>
        <w:rFonts w:hint="default"/>
      </w:rPr>
    </w:lvl>
    <w:lvl w:ilvl="5" w:tplc="FEDCCDDA">
      <w:numFmt w:val="bullet"/>
      <w:lvlText w:val="•"/>
      <w:lvlJc w:val="left"/>
      <w:pPr>
        <w:ind w:left="868" w:hanging="100"/>
      </w:pPr>
      <w:rPr>
        <w:rFonts w:hint="default"/>
      </w:rPr>
    </w:lvl>
    <w:lvl w:ilvl="6" w:tplc="CE1232D4">
      <w:numFmt w:val="bullet"/>
      <w:lvlText w:val="•"/>
      <w:lvlJc w:val="left"/>
      <w:pPr>
        <w:ind w:left="1010" w:hanging="100"/>
      </w:pPr>
      <w:rPr>
        <w:rFonts w:hint="default"/>
      </w:rPr>
    </w:lvl>
    <w:lvl w:ilvl="7" w:tplc="6FE06B50">
      <w:numFmt w:val="bullet"/>
      <w:lvlText w:val="•"/>
      <w:lvlJc w:val="left"/>
      <w:pPr>
        <w:ind w:left="1151" w:hanging="100"/>
      </w:pPr>
      <w:rPr>
        <w:rFonts w:hint="default"/>
      </w:rPr>
    </w:lvl>
    <w:lvl w:ilvl="8" w:tplc="5E821C22">
      <w:numFmt w:val="bullet"/>
      <w:lvlText w:val="•"/>
      <w:lvlJc w:val="left"/>
      <w:pPr>
        <w:ind w:left="1293" w:hanging="100"/>
      </w:pPr>
      <w:rPr>
        <w:rFonts w:hint="default"/>
      </w:rPr>
    </w:lvl>
  </w:abstractNum>
  <w:abstractNum w:abstractNumId="893" w15:restartNumberingAfterBreak="0">
    <w:nsid w:val="391639BE"/>
    <w:multiLevelType w:val="hybridMultilevel"/>
    <w:tmpl w:val="CF0C9564"/>
    <w:lvl w:ilvl="0" w:tplc="88D8691A">
      <w:numFmt w:val="bullet"/>
      <w:lvlText w:val=""/>
      <w:lvlJc w:val="left"/>
      <w:pPr>
        <w:ind w:left="156" w:hanging="100"/>
      </w:pPr>
      <w:rPr>
        <w:rFonts w:ascii="Symbol" w:eastAsia="Symbol" w:hAnsi="Symbol" w:cs="Symbol" w:hint="default"/>
        <w:color w:val="231F20"/>
        <w:w w:val="100"/>
        <w:sz w:val="14"/>
        <w:szCs w:val="14"/>
      </w:rPr>
    </w:lvl>
    <w:lvl w:ilvl="1" w:tplc="73AAD1D6">
      <w:numFmt w:val="bullet"/>
      <w:lvlText w:val="•"/>
      <w:lvlJc w:val="left"/>
      <w:pPr>
        <w:ind w:left="301" w:hanging="100"/>
      </w:pPr>
      <w:rPr>
        <w:rFonts w:hint="default"/>
      </w:rPr>
    </w:lvl>
    <w:lvl w:ilvl="2" w:tplc="9508E8A2">
      <w:numFmt w:val="bullet"/>
      <w:lvlText w:val="•"/>
      <w:lvlJc w:val="left"/>
      <w:pPr>
        <w:ind w:left="443" w:hanging="100"/>
      </w:pPr>
      <w:rPr>
        <w:rFonts w:hint="default"/>
      </w:rPr>
    </w:lvl>
    <w:lvl w:ilvl="3" w:tplc="43E664B0">
      <w:numFmt w:val="bullet"/>
      <w:lvlText w:val="•"/>
      <w:lvlJc w:val="left"/>
      <w:pPr>
        <w:ind w:left="585" w:hanging="100"/>
      </w:pPr>
      <w:rPr>
        <w:rFonts w:hint="default"/>
      </w:rPr>
    </w:lvl>
    <w:lvl w:ilvl="4" w:tplc="40B2810C">
      <w:numFmt w:val="bullet"/>
      <w:lvlText w:val="•"/>
      <w:lvlJc w:val="left"/>
      <w:pPr>
        <w:ind w:left="726" w:hanging="100"/>
      </w:pPr>
      <w:rPr>
        <w:rFonts w:hint="default"/>
      </w:rPr>
    </w:lvl>
    <w:lvl w:ilvl="5" w:tplc="22BABF50">
      <w:numFmt w:val="bullet"/>
      <w:lvlText w:val="•"/>
      <w:lvlJc w:val="left"/>
      <w:pPr>
        <w:ind w:left="868" w:hanging="100"/>
      </w:pPr>
      <w:rPr>
        <w:rFonts w:hint="default"/>
      </w:rPr>
    </w:lvl>
    <w:lvl w:ilvl="6" w:tplc="D96804EA">
      <w:numFmt w:val="bullet"/>
      <w:lvlText w:val="•"/>
      <w:lvlJc w:val="left"/>
      <w:pPr>
        <w:ind w:left="1010" w:hanging="100"/>
      </w:pPr>
      <w:rPr>
        <w:rFonts w:hint="default"/>
      </w:rPr>
    </w:lvl>
    <w:lvl w:ilvl="7" w:tplc="D5A480C4">
      <w:numFmt w:val="bullet"/>
      <w:lvlText w:val="•"/>
      <w:lvlJc w:val="left"/>
      <w:pPr>
        <w:ind w:left="1151" w:hanging="100"/>
      </w:pPr>
      <w:rPr>
        <w:rFonts w:hint="default"/>
      </w:rPr>
    </w:lvl>
    <w:lvl w:ilvl="8" w:tplc="843EDB6A">
      <w:numFmt w:val="bullet"/>
      <w:lvlText w:val="•"/>
      <w:lvlJc w:val="left"/>
      <w:pPr>
        <w:ind w:left="1293" w:hanging="100"/>
      </w:pPr>
      <w:rPr>
        <w:rFonts w:hint="default"/>
      </w:rPr>
    </w:lvl>
  </w:abstractNum>
  <w:abstractNum w:abstractNumId="894" w15:restartNumberingAfterBreak="0">
    <w:nsid w:val="394417A3"/>
    <w:multiLevelType w:val="hybridMultilevel"/>
    <w:tmpl w:val="10A841B2"/>
    <w:lvl w:ilvl="0" w:tplc="9624511E">
      <w:numFmt w:val="bullet"/>
      <w:lvlText w:val=""/>
      <w:lvlJc w:val="left"/>
      <w:pPr>
        <w:ind w:left="157" w:hanging="100"/>
      </w:pPr>
      <w:rPr>
        <w:rFonts w:ascii="Symbol" w:eastAsia="Symbol" w:hAnsi="Symbol" w:cs="Symbol" w:hint="default"/>
        <w:color w:val="231F20"/>
        <w:w w:val="100"/>
        <w:sz w:val="14"/>
        <w:szCs w:val="14"/>
      </w:rPr>
    </w:lvl>
    <w:lvl w:ilvl="1" w:tplc="76AE83DC">
      <w:numFmt w:val="bullet"/>
      <w:lvlText w:val="•"/>
      <w:lvlJc w:val="left"/>
      <w:pPr>
        <w:ind w:left="369" w:hanging="100"/>
      </w:pPr>
      <w:rPr>
        <w:rFonts w:hint="default"/>
      </w:rPr>
    </w:lvl>
    <w:lvl w:ilvl="2" w:tplc="22709202">
      <w:numFmt w:val="bullet"/>
      <w:lvlText w:val="•"/>
      <w:lvlJc w:val="left"/>
      <w:pPr>
        <w:ind w:left="579" w:hanging="100"/>
      </w:pPr>
      <w:rPr>
        <w:rFonts w:hint="default"/>
      </w:rPr>
    </w:lvl>
    <w:lvl w:ilvl="3" w:tplc="E12E5670">
      <w:numFmt w:val="bullet"/>
      <w:lvlText w:val="•"/>
      <w:lvlJc w:val="left"/>
      <w:pPr>
        <w:ind w:left="789" w:hanging="100"/>
      </w:pPr>
      <w:rPr>
        <w:rFonts w:hint="default"/>
      </w:rPr>
    </w:lvl>
    <w:lvl w:ilvl="4" w:tplc="5EC4F802">
      <w:numFmt w:val="bullet"/>
      <w:lvlText w:val="•"/>
      <w:lvlJc w:val="left"/>
      <w:pPr>
        <w:ind w:left="998" w:hanging="100"/>
      </w:pPr>
      <w:rPr>
        <w:rFonts w:hint="default"/>
      </w:rPr>
    </w:lvl>
    <w:lvl w:ilvl="5" w:tplc="2C18167E">
      <w:numFmt w:val="bullet"/>
      <w:lvlText w:val="•"/>
      <w:lvlJc w:val="left"/>
      <w:pPr>
        <w:ind w:left="1208" w:hanging="100"/>
      </w:pPr>
      <w:rPr>
        <w:rFonts w:hint="default"/>
      </w:rPr>
    </w:lvl>
    <w:lvl w:ilvl="6" w:tplc="3C88B06A">
      <w:numFmt w:val="bullet"/>
      <w:lvlText w:val="•"/>
      <w:lvlJc w:val="left"/>
      <w:pPr>
        <w:ind w:left="1418" w:hanging="100"/>
      </w:pPr>
      <w:rPr>
        <w:rFonts w:hint="default"/>
      </w:rPr>
    </w:lvl>
    <w:lvl w:ilvl="7" w:tplc="7E342864">
      <w:numFmt w:val="bullet"/>
      <w:lvlText w:val="•"/>
      <w:lvlJc w:val="left"/>
      <w:pPr>
        <w:ind w:left="1627" w:hanging="100"/>
      </w:pPr>
      <w:rPr>
        <w:rFonts w:hint="default"/>
      </w:rPr>
    </w:lvl>
    <w:lvl w:ilvl="8" w:tplc="D6728FAE">
      <w:numFmt w:val="bullet"/>
      <w:lvlText w:val="•"/>
      <w:lvlJc w:val="left"/>
      <w:pPr>
        <w:ind w:left="1837" w:hanging="100"/>
      </w:pPr>
      <w:rPr>
        <w:rFonts w:hint="default"/>
      </w:rPr>
    </w:lvl>
  </w:abstractNum>
  <w:abstractNum w:abstractNumId="895" w15:restartNumberingAfterBreak="0">
    <w:nsid w:val="394851BB"/>
    <w:multiLevelType w:val="hybridMultilevel"/>
    <w:tmpl w:val="54F226F4"/>
    <w:lvl w:ilvl="0" w:tplc="EBA843F2">
      <w:numFmt w:val="bullet"/>
      <w:lvlText w:val=""/>
      <w:lvlJc w:val="left"/>
      <w:pPr>
        <w:ind w:left="156" w:hanging="100"/>
      </w:pPr>
      <w:rPr>
        <w:rFonts w:ascii="Symbol" w:eastAsia="Symbol" w:hAnsi="Symbol" w:cs="Symbol" w:hint="default"/>
        <w:color w:val="231F20"/>
        <w:w w:val="100"/>
        <w:sz w:val="14"/>
        <w:szCs w:val="14"/>
      </w:rPr>
    </w:lvl>
    <w:lvl w:ilvl="1" w:tplc="13BC941E">
      <w:numFmt w:val="bullet"/>
      <w:lvlText w:val="•"/>
      <w:lvlJc w:val="left"/>
      <w:pPr>
        <w:ind w:left="301" w:hanging="100"/>
      </w:pPr>
      <w:rPr>
        <w:rFonts w:hint="default"/>
      </w:rPr>
    </w:lvl>
    <w:lvl w:ilvl="2" w:tplc="E6D8B04E">
      <w:numFmt w:val="bullet"/>
      <w:lvlText w:val="•"/>
      <w:lvlJc w:val="left"/>
      <w:pPr>
        <w:ind w:left="443" w:hanging="100"/>
      </w:pPr>
      <w:rPr>
        <w:rFonts w:hint="default"/>
      </w:rPr>
    </w:lvl>
    <w:lvl w:ilvl="3" w:tplc="30FC8BB4">
      <w:numFmt w:val="bullet"/>
      <w:lvlText w:val="•"/>
      <w:lvlJc w:val="left"/>
      <w:pPr>
        <w:ind w:left="585" w:hanging="100"/>
      </w:pPr>
      <w:rPr>
        <w:rFonts w:hint="default"/>
      </w:rPr>
    </w:lvl>
    <w:lvl w:ilvl="4" w:tplc="D9869ED6">
      <w:numFmt w:val="bullet"/>
      <w:lvlText w:val="•"/>
      <w:lvlJc w:val="left"/>
      <w:pPr>
        <w:ind w:left="726" w:hanging="100"/>
      </w:pPr>
      <w:rPr>
        <w:rFonts w:hint="default"/>
      </w:rPr>
    </w:lvl>
    <w:lvl w:ilvl="5" w:tplc="E542DB40">
      <w:numFmt w:val="bullet"/>
      <w:lvlText w:val="•"/>
      <w:lvlJc w:val="left"/>
      <w:pPr>
        <w:ind w:left="868" w:hanging="100"/>
      </w:pPr>
      <w:rPr>
        <w:rFonts w:hint="default"/>
      </w:rPr>
    </w:lvl>
    <w:lvl w:ilvl="6" w:tplc="C696DE58">
      <w:numFmt w:val="bullet"/>
      <w:lvlText w:val="•"/>
      <w:lvlJc w:val="left"/>
      <w:pPr>
        <w:ind w:left="1010" w:hanging="100"/>
      </w:pPr>
      <w:rPr>
        <w:rFonts w:hint="default"/>
      </w:rPr>
    </w:lvl>
    <w:lvl w:ilvl="7" w:tplc="600C36FE">
      <w:numFmt w:val="bullet"/>
      <w:lvlText w:val="•"/>
      <w:lvlJc w:val="left"/>
      <w:pPr>
        <w:ind w:left="1151" w:hanging="100"/>
      </w:pPr>
      <w:rPr>
        <w:rFonts w:hint="default"/>
      </w:rPr>
    </w:lvl>
    <w:lvl w:ilvl="8" w:tplc="39C6B76E">
      <w:numFmt w:val="bullet"/>
      <w:lvlText w:val="•"/>
      <w:lvlJc w:val="left"/>
      <w:pPr>
        <w:ind w:left="1293" w:hanging="100"/>
      </w:pPr>
      <w:rPr>
        <w:rFonts w:hint="default"/>
      </w:rPr>
    </w:lvl>
  </w:abstractNum>
  <w:abstractNum w:abstractNumId="896" w15:restartNumberingAfterBreak="0">
    <w:nsid w:val="39570D37"/>
    <w:multiLevelType w:val="hybridMultilevel"/>
    <w:tmpl w:val="78606EA6"/>
    <w:lvl w:ilvl="0" w:tplc="787E1D24">
      <w:numFmt w:val="bullet"/>
      <w:lvlText w:val=""/>
      <w:lvlJc w:val="left"/>
      <w:pPr>
        <w:ind w:left="156" w:hanging="100"/>
      </w:pPr>
      <w:rPr>
        <w:rFonts w:ascii="Symbol" w:eastAsia="Symbol" w:hAnsi="Symbol" w:cs="Symbol" w:hint="default"/>
        <w:color w:val="231F20"/>
        <w:w w:val="100"/>
        <w:sz w:val="14"/>
        <w:szCs w:val="14"/>
      </w:rPr>
    </w:lvl>
    <w:lvl w:ilvl="1" w:tplc="680AE2AC">
      <w:numFmt w:val="bullet"/>
      <w:lvlText w:val="•"/>
      <w:lvlJc w:val="left"/>
      <w:pPr>
        <w:ind w:left="398" w:hanging="100"/>
      </w:pPr>
      <w:rPr>
        <w:rFonts w:hint="default"/>
      </w:rPr>
    </w:lvl>
    <w:lvl w:ilvl="2" w:tplc="61241790">
      <w:numFmt w:val="bullet"/>
      <w:lvlText w:val="•"/>
      <w:lvlJc w:val="left"/>
      <w:pPr>
        <w:ind w:left="636" w:hanging="100"/>
      </w:pPr>
      <w:rPr>
        <w:rFonts w:hint="default"/>
      </w:rPr>
    </w:lvl>
    <w:lvl w:ilvl="3" w:tplc="433CACCE">
      <w:numFmt w:val="bullet"/>
      <w:lvlText w:val="•"/>
      <w:lvlJc w:val="left"/>
      <w:pPr>
        <w:ind w:left="874" w:hanging="100"/>
      </w:pPr>
      <w:rPr>
        <w:rFonts w:hint="default"/>
      </w:rPr>
    </w:lvl>
    <w:lvl w:ilvl="4" w:tplc="D2361088">
      <w:numFmt w:val="bullet"/>
      <w:lvlText w:val="•"/>
      <w:lvlJc w:val="left"/>
      <w:pPr>
        <w:ind w:left="1112" w:hanging="100"/>
      </w:pPr>
      <w:rPr>
        <w:rFonts w:hint="default"/>
      </w:rPr>
    </w:lvl>
    <w:lvl w:ilvl="5" w:tplc="6D967E1A">
      <w:numFmt w:val="bullet"/>
      <w:lvlText w:val="•"/>
      <w:lvlJc w:val="left"/>
      <w:pPr>
        <w:ind w:left="1350" w:hanging="100"/>
      </w:pPr>
      <w:rPr>
        <w:rFonts w:hint="default"/>
      </w:rPr>
    </w:lvl>
    <w:lvl w:ilvl="6" w:tplc="4014B468">
      <w:numFmt w:val="bullet"/>
      <w:lvlText w:val="•"/>
      <w:lvlJc w:val="left"/>
      <w:pPr>
        <w:ind w:left="1588" w:hanging="100"/>
      </w:pPr>
      <w:rPr>
        <w:rFonts w:hint="default"/>
      </w:rPr>
    </w:lvl>
    <w:lvl w:ilvl="7" w:tplc="7E9E0C1C">
      <w:numFmt w:val="bullet"/>
      <w:lvlText w:val="•"/>
      <w:lvlJc w:val="left"/>
      <w:pPr>
        <w:ind w:left="1826" w:hanging="100"/>
      </w:pPr>
      <w:rPr>
        <w:rFonts w:hint="default"/>
      </w:rPr>
    </w:lvl>
    <w:lvl w:ilvl="8" w:tplc="0C4AE0FA">
      <w:numFmt w:val="bullet"/>
      <w:lvlText w:val="•"/>
      <w:lvlJc w:val="left"/>
      <w:pPr>
        <w:ind w:left="2064" w:hanging="100"/>
      </w:pPr>
      <w:rPr>
        <w:rFonts w:hint="default"/>
      </w:rPr>
    </w:lvl>
  </w:abstractNum>
  <w:abstractNum w:abstractNumId="897" w15:restartNumberingAfterBreak="0">
    <w:nsid w:val="39693AF9"/>
    <w:multiLevelType w:val="hybridMultilevel"/>
    <w:tmpl w:val="50ECC17A"/>
    <w:lvl w:ilvl="0" w:tplc="EA2A031C">
      <w:numFmt w:val="bullet"/>
      <w:lvlText w:val=""/>
      <w:lvlJc w:val="left"/>
      <w:pPr>
        <w:ind w:left="156" w:hanging="100"/>
      </w:pPr>
      <w:rPr>
        <w:rFonts w:ascii="Symbol" w:eastAsia="Symbol" w:hAnsi="Symbol" w:cs="Symbol" w:hint="default"/>
        <w:color w:val="231F20"/>
        <w:w w:val="100"/>
        <w:sz w:val="14"/>
        <w:szCs w:val="14"/>
      </w:rPr>
    </w:lvl>
    <w:lvl w:ilvl="1" w:tplc="96D8412C">
      <w:numFmt w:val="bullet"/>
      <w:lvlText w:val="•"/>
      <w:lvlJc w:val="left"/>
      <w:pPr>
        <w:ind w:left="301" w:hanging="100"/>
      </w:pPr>
      <w:rPr>
        <w:rFonts w:hint="default"/>
      </w:rPr>
    </w:lvl>
    <w:lvl w:ilvl="2" w:tplc="A3987D26">
      <w:numFmt w:val="bullet"/>
      <w:lvlText w:val="•"/>
      <w:lvlJc w:val="left"/>
      <w:pPr>
        <w:ind w:left="443" w:hanging="100"/>
      </w:pPr>
      <w:rPr>
        <w:rFonts w:hint="default"/>
      </w:rPr>
    </w:lvl>
    <w:lvl w:ilvl="3" w:tplc="9BBAD402">
      <w:numFmt w:val="bullet"/>
      <w:lvlText w:val="•"/>
      <w:lvlJc w:val="left"/>
      <w:pPr>
        <w:ind w:left="585" w:hanging="100"/>
      </w:pPr>
      <w:rPr>
        <w:rFonts w:hint="default"/>
      </w:rPr>
    </w:lvl>
    <w:lvl w:ilvl="4" w:tplc="DD360A96">
      <w:numFmt w:val="bullet"/>
      <w:lvlText w:val="•"/>
      <w:lvlJc w:val="left"/>
      <w:pPr>
        <w:ind w:left="726" w:hanging="100"/>
      </w:pPr>
      <w:rPr>
        <w:rFonts w:hint="default"/>
      </w:rPr>
    </w:lvl>
    <w:lvl w:ilvl="5" w:tplc="69B23652">
      <w:numFmt w:val="bullet"/>
      <w:lvlText w:val="•"/>
      <w:lvlJc w:val="left"/>
      <w:pPr>
        <w:ind w:left="868" w:hanging="100"/>
      </w:pPr>
      <w:rPr>
        <w:rFonts w:hint="default"/>
      </w:rPr>
    </w:lvl>
    <w:lvl w:ilvl="6" w:tplc="6E3E9B00">
      <w:numFmt w:val="bullet"/>
      <w:lvlText w:val="•"/>
      <w:lvlJc w:val="left"/>
      <w:pPr>
        <w:ind w:left="1010" w:hanging="100"/>
      </w:pPr>
      <w:rPr>
        <w:rFonts w:hint="default"/>
      </w:rPr>
    </w:lvl>
    <w:lvl w:ilvl="7" w:tplc="CCA69D5A">
      <w:numFmt w:val="bullet"/>
      <w:lvlText w:val="•"/>
      <w:lvlJc w:val="left"/>
      <w:pPr>
        <w:ind w:left="1151" w:hanging="100"/>
      </w:pPr>
      <w:rPr>
        <w:rFonts w:hint="default"/>
      </w:rPr>
    </w:lvl>
    <w:lvl w:ilvl="8" w:tplc="1EE80F10">
      <w:numFmt w:val="bullet"/>
      <w:lvlText w:val="•"/>
      <w:lvlJc w:val="left"/>
      <w:pPr>
        <w:ind w:left="1293" w:hanging="100"/>
      </w:pPr>
      <w:rPr>
        <w:rFonts w:hint="default"/>
      </w:rPr>
    </w:lvl>
  </w:abstractNum>
  <w:abstractNum w:abstractNumId="898" w15:restartNumberingAfterBreak="0">
    <w:nsid w:val="39720DCF"/>
    <w:multiLevelType w:val="hybridMultilevel"/>
    <w:tmpl w:val="D4CAD6B0"/>
    <w:lvl w:ilvl="0" w:tplc="DAE0514E">
      <w:numFmt w:val="bullet"/>
      <w:lvlText w:val=""/>
      <w:lvlJc w:val="left"/>
      <w:pPr>
        <w:ind w:left="156" w:hanging="100"/>
      </w:pPr>
      <w:rPr>
        <w:rFonts w:ascii="Symbol" w:eastAsia="Symbol" w:hAnsi="Symbol" w:cs="Symbol" w:hint="default"/>
        <w:color w:val="231F20"/>
        <w:w w:val="100"/>
        <w:sz w:val="14"/>
        <w:szCs w:val="14"/>
      </w:rPr>
    </w:lvl>
    <w:lvl w:ilvl="1" w:tplc="9B1ABFD2">
      <w:numFmt w:val="bullet"/>
      <w:lvlText w:val="•"/>
      <w:lvlJc w:val="left"/>
      <w:pPr>
        <w:ind w:left="398" w:hanging="100"/>
      </w:pPr>
      <w:rPr>
        <w:rFonts w:hint="default"/>
      </w:rPr>
    </w:lvl>
    <w:lvl w:ilvl="2" w:tplc="7BFCE9EE">
      <w:numFmt w:val="bullet"/>
      <w:lvlText w:val="•"/>
      <w:lvlJc w:val="left"/>
      <w:pPr>
        <w:ind w:left="636" w:hanging="100"/>
      </w:pPr>
      <w:rPr>
        <w:rFonts w:hint="default"/>
      </w:rPr>
    </w:lvl>
    <w:lvl w:ilvl="3" w:tplc="053A00FC">
      <w:numFmt w:val="bullet"/>
      <w:lvlText w:val="•"/>
      <w:lvlJc w:val="left"/>
      <w:pPr>
        <w:ind w:left="874" w:hanging="100"/>
      </w:pPr>
      <w:rPr>
        <w:rFonts w:hint="default"/>
      </w:rPr>
    </w:lvl>
    <w:lvl w:ilvl="4" w:tplc="0BBC6F2E">
      <w:numFmt w:val="bullet"/>
      <w:lvlText w:val="•"/>
      <w:lvlJc w:val="left"/>
      <w:pPr>
        <w:ind w:left="1112" w:hanging="100"/>
      </w:pPr>
      <w:rPr>
        <w:rFonts w:hint="default"/>
      </w:rPr>
    </w:lvl>
    <w:lvl w:ilvl="5" w:tplc="9AF41FB2">
      <w:numFmt w:val="bullet"/>
      <w:lvlText w:val="•"/>
      <w:lvlJc w:val="left"/>
      <w:pPr>
        <w:ind w:left="1350" w:hanging="100"/>
      </w:pPr>
      <w:rPr>
        <w:rFonts w:hint="default"/>
      </w:rPr>
    </w:lvl>
    <w:lvl w:ilvl="6" w:tplc="44A0012E">
      <w:numFmt w:val="bullet"/>
      <w:lvlText w:val="•"/>
      <w:lvlJc w:val="left"/>
      <w:pPr>
        <w:ind w:left="1588" w:hanging="100"/>
      </w:pPr>
      <w:rPr>
        <w:rFonts w:hint="default"/>
      </w:rPr>
    </w:lvl>
    <w:lvl w:ilvl="7" w:tplc="7A1C257C">
      <w:numFmt w:val="bullet"/>
      <w:lvlText w:val="•"/>
      <w:lvlJc w:val="left"/>
      <w:pPr>
        <w:ind w:left="1826" w:hanging="100"/>
      </w:pPr>
      <w:rPr>
        <w:rFonts w:hint="default"/>
      </w:rPr>
    </w:lvl>
    <w:lvl w:ilvl="8" w:tplc="4FFA867E">
      <w:numFmt w:val="bullet"/>
      <w:lvlText w:val="•"/>
      <w:lvlJc w:val="left"/>
      <w:pPr>
        <w:ind w:left="2064" w:hanging="100"/>
      </w:pPr>
      <w:rPr>
        <w:rFonts w:hint="default"/>
      </w:rPr>
    </w:lvl>
  </w:abstractNum>
  <w:abstractNum w:abstractNumId="899" w15:restartNumberingAfterBreak="0">
    <w:nsid w:val="39727F47"/>
    <w:multiLevelType w:val="hybridMultilevel"/>
    <w:tmpl w:val="4E6E672A"/>
    <w:lvl w:ilvl="0" w:tplc="27A8B390">
      <w:numFmt w:val="bullet"/>
      <w:lvlText w:val=""/>
      <w:lvlJc w:val="left"/>
      <w:pPr>
        <w:ind w:left="156" w:hanging="100"/>
      </w:pPr>
      <w:rPr>
        <w:rFonts w:ascii="Symbol" w:eastAsia="Symbol" w:hAnsi="Symbol" w:cs="Symbol" w:hint="default"/>
        <w:color w:val="231F20"/>
        <w:w w:val="100"/>
        <w:sz w:val="14"/>
        <w:szCs w:val="14"/>
      </w:rPr>
    </w:lvl>
    <w:lvl w:ilvl="1" w:tplc="11F6607A">
      <w:numFmt w:val="bullet"/>
      <w:lvlText w:val="•"/>
      <w:lvlJc w:val="left"/>
      <w:pPr>
        <w:ind w:left="301" w:hanging="100"/>
      </w:pPr>
      <w:rPr>
        <w:rFonts w:hint="default"/>
      </w:rPr>
    </w:lvl>
    <w:lvl w:ilvl="2" w:tplc="9F3410EA">
      <w:numFmt w:val="bullet"/>
      <w:lvlText w:val="•"/>
      <w:lvlJc w:val="left"/>
      <w:pPr>
        <w:ind w:left="443" w:hanging="100"/>
      </w:pPr>
      <w:rPr>
        <w:rFonts w:hint="default"/>
      </w:rPr>
    </w:lvl>
    <w:lvl w:ilvl="3" w:tplc="54CEEB68">
      <w:numFmt w:val="bullet"/>
      <w:lvlText w:val="•"/>
      <w:lvlJc w:val="left"/>
      <w:pPr>
        <w:ind w:left="585" w:hanging="100"/>
      </w:pPr>
      <w:rPr>
        <w:rFonts w:hint="default"/>
      </w:rPr>
    </w:lvl>
    <w:lvl w:ilvl="4" w:tplc="86C22B78">
      <w:numFmt w:val="bullet"/>
      <w:lvlText w:val="•"/>
      <w:lvlJc w:val="left"/>
      <w:pPr>
        <w:ind w:left="726" w:hanging="100"/>
      </w:pPr>
      <w:rPr>
        <w:rFonts w:hint="default"/>
      </w:rPr>
    </w:lvl>
    <w:lvl w:ilvl="5" w:tplc="248EA3F2">
      <w:numFmt w:val="bullet"/>
      <w:lvlText w:val="•"/>
      <w:lvlJc w:val="left"/>
      <w:pPr>
        <w:ind w:left="868" w:hanging="100"/>
      </w:pPr>
      <w:rPr>
        <w:rFonts w:hint="default"/>
      </w:rPr>
    </w:lvl>
    <w:lvl w:ilvl="6" w:tplc="23944B8E">
      <w:numFmt w:val="bullet"/>
      <w:lvlText w:val="•"/>
      <w:lvlJc w:val="left"/>
      <w:pPr>
        <w:ind w:left="1010" w:hanging="100"/>
      </w:pPr>
      <w:rPr>
        <w:rFonts w:hint="default"/>
      </w:rPr>
    </w:lvl>
    <w:lvl w:ilvl="7" w:tplc="DB283898">
      <w:numFmt w:val="bullet"/>
      <w:lvlText w:val="•"/>
      <w:lvlJc w:val="left"/>
      <w:pPr>
        <w:ind w:left="1151" w:hanging="100"/>
      </w:pPr>
      <w:rPr>
        <w:rFonts w:hint="default"/>
      </w:rPr>
    </w:lvl>
    <w:lvl w:ilvl="8" w:tplc="6694C62C">
      <w:numFmt w:val="bullet"/>
      <w:lvlText w:val="•"/>
      <w:lvlJc w:val="left"/>
      <w:pPr>
        <w:ind w:left="1293" w:hanging="100"/>
      </w:pPr>
      <w:rPr>
        <w:rFonts w:hint="default"/>
      </w:rPr>
    </w:lvl>
  </w:abstractNum>
  <w:abstractNum w:abstractNumId="900" w15:restartNumberingAfterBreak="0">
    <w:nsid w:val="399F462A"/>
    <w:multiLevelType w:val="hybridMultilevel"/>
    <w:tmpl w:val="058C14B8"/>
    <w:lvl w:ilvl="0" w:tplc="44AE532E">
      <w:numFmt w:val="bullet"/>
      <w:lvlText w:val=""/>
      <w:lvlJc w:val="left"/>
      <w:pPr>
        <w:ind w:left="156" w:hanging="100"/>
      </w:pPr>
      <w:rPr>
        <w:rFonts w:ascii="Symbol" w:eastAsia="Symbol" w:hAnsi="Symbol" w:cs="Symbol" w:hint="default"/>
        <w:color w:val="231F20"/>
        <w:w w:val="100"/>
        <w:sz w:val="14"/>
        <w:szCs w:val="14"/>
      </w:rPr>
    </w:lvl>
    <w:lvl w:ilvl="1" w:tplc="69BCE2C0">
      <w:numFmt w:val="bullet"/>
      <w:lvlText w:val="•"/>
      <w:lvlJc w:val="left"/>
      <w:pPr>
        <w:ind w:left="426" w:hanging="100"/>
      </w:pPr>
      <w:rPr>
        <w:rFonts w:hint="default"/>
      </w:rPr>
    </w:lvl>
    <w:lvl w:ilvl="2" w:tplc="8B8C038A">
      <w:numFmt w:val="bullet"/>
      <w:lvlText w:val="•"/>
      <w:lvlJc w:val="left"/>
      <w:pPr>
        <w:ind w:left="692" w:hanging="100"/>
      </w:pPr>
      <w:rPr>
        <w:rFonts w:hint="default"/>
      </w:rPr>
    </w:lvl>
    <w:lvl w:ilvl="3" w:tplc="2F1CA178">
      <w:numFmt w:val="bullet"/>
      <w:lvlText w:val="•"/>
      <w:lvlJc w:val="left"/>
      <w:pPr>
        <w:ind w:left="959" w:hanging="100"/>
      </w:pPr>
      <w:rPr>
        <w:rFonts w:hint="default"/>
      </w:rPr>
    </w:lvl>
    <w:lvl w:ilvl="4" w:tplc="2348C5C0">
      <w:numFmt w:val="bullet"/>
      <w:lvlText w:val="•"/>
      <w:lvlJc w:val="left"/>
      <w:pPr>
        <w:ind w:left="1225" w:hanging="100"/>
      </w:pPr>
      <w:rPr>
        <w:rFonts w:hint="default"/>
      </w:rPr>
    </w:lvl>
    <w:lvl w:ilvl="5" w:tplc="DA3A8E3A">
      <w:numFmt w:val="bullet"/>
      <w:lvlText w:val="•"/>
      <w:lvlJc w:val="left"/>
      <w:pPr>
        <w:ind w:left="1492" w:hanging="100"/>
      </w:pPr>
      <w:rPr>
        <w:rFonts w:hint="default"/>
      </w:rPr>
    </w:lvl>
    <w:lvl w:ilvl="6" w:tplc="DAEAC906">
      <w:numFmt w:val="bullet"/>
      <w:lvlText w:val="•"/>
      <w:lvlJc w:val="left"/>
      <w:pPr>
        <w:ind w:left="1758" w:hanging="100"/>
      </w:pPr>
      <w:rPr>
        <w:rFonts w:hint="default"/>
      </w:rPr>
    </w:lvl>
    <w:lvl w:ilvl="7" w:tplc="9BD0128C">
      <w:numFmt w:val="bullet"/>
      <w:lvlText w:val="•"/>
      <w:lvlJc w:val="left"/>
      <w:pPr>
        <w:ind w:left="2024" w:hanging="100"/>
      </w:pPr>
      <w:rPr>
        <w:rFonts w:hint="default"/>
      </w:rPr>
    </w:lvl>
    <w:lvl w:ilvl="8" w:tplc="D9AC2244">
      <w:numFmt w:val="bullet"/>
      <w:lvlText w:val="•"/>
      <w:lvlJc w:val="left"/>
      <w:pPr>
        <w:ind w:left="2291" w:hanging="100"/>
      </w:pPr>
      <w:rPr>
        <w:rFonts w:hint="default"/>
      </w:rPr>
    </w:lvl>
  </w:abstractNum>
  <w:abstractNum w:abstractNumId="901" w15:restartNumberingAfterBreak="0">
    <w:nsid w:val="39A12135"/>
    <w:multiLevelType w:val="hybridMultilevel"/>
    <w:tmpl w:val="367EC96E"/>
    <w:lvl w:ilvl="0" w:tplc="247E477C">
      <w:numFmt w:val="bullet"/>
      <w:lvlText w:val=""/>
      <w:lvlJc w:val="left"/>
      <w:pPr>
        <w:ind w:left="156" w:hanging="100"/>
      </w:pPr>
      <w:rPr>
        <w:rFonts w:ascii="Symbol" w:eastAsia="Symbol" w:hAnsi="Symbol" w:cs="Symbol" w:hint="default"/>
        <w:color w:val="231F20"/>
        <w:w w:val="100"/>
        <w:sz w:val="14"/>
        <w:szCs w:val="14"/>
      </w:rPr>
    </w:lvl>
    <w:lvl w:ilvl="1" w:tplc="BA9C88AC">
      <w:numFmt w:val="bullet"/>
      <w:lvlText w:val="•"/>
      <w:lvlJc w:val="left"/>
      <w:pPr>
        <w:ind w:left="426" w:hanging="100"/>
      </w:pPr>
      <w:rPr>
        <w:rFonts w:hint="default"/>
      </w:rPr>
    </w:lvl>
    <w:lvl w:ilvl="2" w:tplc="D688BBB0">
      <w:numFmt w:val="bullet"/>
      <w:lvlText w:val="•"/>
      <w:lvlJc w:val="left"/>
      <w:pPr>
        <w:ind w:left="692" w:hanging="100"/>
      </w:pPr>
      <w:rPr>
        <w:rFonts w:hint="default"/>
      </w:rPr>
    </w:lvl>
    <w:lvl w:ilvl="3" w:tplc="055A8856">
      <w:numFmt w:val="bullet"/>
      <w:lvlText w:val="•"/>
      <w:lvlJc w:val="left"/>
      <w:pPr>
        <w:ind w:left="959" w:hanging="100"/>
      </w:pPr>
      <w:rPr>
        <w:rFonts w:hint="default"/>
      </w:rPr>
    </w:lvl>
    <w:lvl w:ilvl="4" w:tplc="E2465418">
      <w:numFmt w:val="bullet"/>
      <w:lvlText w:val="•"/>
      <w:lvlJc w:val="left"/>
      <w:pPr>
        <w:ind w:left="1225" w:hanging="100"/>
      </w:pPr>
      <w:rPr>
        <w:rFonts w:hint="default"/>
      </w:rPr>
    </w:lvl>
    <w:lvl w:ilvl="5" w:tplc="79505E2A">
      <w:numFmt w:val="bullet"/>
      <w:lvlText w:val="•"/>
      <w:lvlJc w:val="left"/>
      <w:pPr>
        <w:ind w:left="1492" w:hanging="100"/>
      </w:pPr>
      <w:rPr>
        <w:rFonts w:hint="default"/>
      </w:rPr>
    </w:lvl>
    <w:lvl w:ilvl="6" w:tplc="C7826A68">
      <w:numFmt w:val="bullet"/>
      <w:lvlText w:val="•"/>
      <w:lvlJc w:val="left"/>
      <w:pPr>
        <w:ind w:left="1758" w:hanging="100"/>
      </w:pPr>
      <w:rPr>
        <w:rFonts w:hint="default"/>
      </w:rPr>
    </w:lvl>
    <w:lvl w:ilvl="7" w:tplc="BA7E0B5A">
      <w:numFmt w:val="bullet"/>
      <w:lvlText w:val="•"/>
      <w:lvlJc w:val="left"/>
      <w:pPr>
        <w:ind w:left="2024" w:hanging="100"/>
      </w:pPr>
      <w:rPr>
        <w:rFonts w:hint="default"/>
      </w:rPr>
    </w:lvl>
    <w:lvl w:ilvl="8" w:tplc="BC022FD6">
      <w:numFmt w:val="bullet"/>
      <w:lvlText w:val="•"/>
      <w:lvlJc w:val="left"/>
      <w:pPr>
        <w:ind w:left="2291" w:hanging="100"/>
      </w:pPr>
      <w:rPr>
        <w:rFonts w:hint="default"/>
      </w:rPr>
    </w:lvl>
  </w:abstractNum>
  <w:abstractNum w:abstractNumId="902" w15:restartNumberingAfterBreak="0">
    <w:nsid w:val="39A24959"/>
    <w:multiLevelType w:val="hybridMultilevel"/>
    <w:tmpl w:val="1904306A"/>
    <w:lvl w:ilvl="0" w:tplc="CB423EA6">
      <w:numFmt w:val="bullet"/>
      <w:lvlText w:val=""/>
      <w:lvlJc w:val="left"/>
      <w:pPr>
        <w:ind w:left="157" w:hanging="100"/>
      </w:pPr>
      <w:rPr>
        <w:rFonts w:ascii="Symbol" w:eastAsia="Symbol" w:hAnsi="Symbol" w:cs="Symbol" w:hint="default"/>
        <w:color w:val="231F20"/>
        <w:w w:val="100"/>
        <w:sz w:val="14"/>
        <w:szCs w:val="14"/>
      </w:rPr>
    </w:lvl>
    <w:lvl w:ilvl="1" w:tplc="CB588640">
      <w:numFmt w:val="bullet"/>
      <w:lvlText w:val="•"/>
      <w:lvlJc w:val="left"/>
      <w:pPr>
        <w:ind w:left="398" w:hanging="100"/>
      </w:pPr>
      <w:rPr>
        <w:rFonts w:hint="default"/>
      </w:rPr>
    </w:lvl>
    <w:lvl w:ilvl="2" w:tplc="D354C83A">
      <w:numFmt w:val="bullet"/>
      <w:lvlText w:val="•"/>
      <w:lvlJc w:val="left"/>
      <w:pPr>
        <w:ind w:left="636" w:hanging="100"/>
      </w:pPr>
      <w:rPr>
        <w:rFonts w:hint="default"/>
      </w:rPr>
    </w:lvl>
    <w:lvl w:ilvl="3" w:tplc="0442A6FA">
      <w:numFmt w:val="bullet"/>
      <w:lvlText w:val="•"/>
      <w:lvlJc w:val="left"/>
      <w:pPr>
        <w:ind w:left="874" w:hanging="100"/>
      </w:pPr>
      <w:rPr>
        <w:rFonts w:hint="default"/>
      </w:rPr>
    </w:lvl>
    <w:lvl w:ilvl="4" w:tplc="72AA5702">
      <w:numFmt w:val="bullet"/>
      <w:lvlText w:val="•"/>
      <w:lvlJc w:val="left"/>
      <w:pPr>
        <w:ind w:left="1112" w:hanging="100"/>
      </w:pPr>
      <w:rPr>
        <w:rFonts w:hint="default"/>
      </w:rPr>
    </w:lvl>
    <w:lvl w:ilvl="5" w:tplc="5720E642">
      <w:numFmt w:val="bullet"/>
      <w:lvlText w:val="•"/>
      <w:lvlJc w:val="left"/>
      <w:pPr>
        <w:ind w:left="1350" w:hanging="100"/>
      </w:pPr>
      <w:rPr>
        <w:rFonts w:hint="default"/>
      </w:rPr>
    </w:lvl>
    <w:lvl w:ilvl="6" w:tplc="FF12F246">
      <w:numFmt w:val="bullet"/>
      <w:lvlText w:val="•"/>
      <w:lvlJc w:val="left"/>
      <w:pPr>
        <w:ind w:left="1588" w:hanging="100"/>
      </w:pPr>
      <w:rPr>
        <w:rFonts w:hint="default"/>
      </w:rPr>
    </w:lvl>
    <w:lvl w:ilvl="7" w:tplc="21924D16">
      <w:numFmt w:val="bullet"/>
      <w:lvlText w:val="•"/>
      <w:lvlJc w:val="left"/>
      <w:pPr>
        <w:ind w:left="1826" w:hanging="100"/>
      </w:pPr>
      <w:rPr>
        <w:rFonts w:hint="default"/>
      </w:rPr>
    </w:lvl>
    <w:lvl w:ilvl="8" w:tplc="DDB03494">
      <w:numFmt w:val="bullet"/>
      <w:lvlText w:val="•"/>
      <w:lvlJc w:val="left"/>
      <w:pPr>
        <w:ind w:left="2064" w:hanging="100"/>
      </w:pPr>
      <w:rPr>
        <w:rFonts w:hint="default"/>
      </w:rPr>
    </w:lvl>
  </w:abstractNum>
  <w:abstractNum w:abstractNumId="903" w15:restartNumberingAfterBreak="0">
    <w:nsid w:val="39D02791"/>
    <w:multiLevelType w:val="hybridMultilevel"/>
    <w:tmpl w:val="5E24F164"/>
    <w:lvl w:ilvl="0" w:tplc="07EA014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4E4C4676">
      <w:numFmt w:val="bullet"/>
      <w:lvlText w:val="•"/>
      <w:lvlJc w:val="left"/>
      <w:pPr>
        <w:ind w:left="408" w:hanging="84"/>
      </w:pPr>
      <w:rPr>
        <w:rFonts w:hint="default"/>
      </w:rPr>
    </w:lvl>
    <w:lvl w:ilvl="2" w:tplc="850CB96E">
      <w:numFmt w:val="bullet"/>
      <w:lvlText w:val="•"/>
      <w:lvlJc w:val="left"/>
      <w:pPr>
        <w:ind w:left="676" w:hanging="84"/>
      </w:pPr>
      <w:rPr>
        <w:rFonts w:hint="default"/>
      </w:rPr>
    </w:lvl>
    <w:lvl w:ilvl="3" w:tplc="2A4E4CA4">
      <w:numFmt w:val="bullet"/>
      <w:lvlText w:val="•"/>
      <w:lvlJc w:val="left"/>
      <w:pPr>
        <w:ind w:left="945" w:hanging="84"/>
      </w:pPr>
      <w:rPr>
        <w:rFonts w:hint="default"/>
      </w:rPr>
    </w:lvl>
    <w:lvl w:ilvl="4" w:tplc="B4D28AD8">
      <w:numFmt w:val="bullet"/>
      <w:lvlText w:val="•"/>
      <w:lvlJc w:val="left"/>
      <w:pPr>
        <w:ind w:left="1213" w:hanging="84"/>
      </w:pPr>
      <w:rPr>
        <w:rFonts w:hint="default"/>
      </w:rPr>
    </w:lvl>
    <w:lvl w:ilvl="5" w:tplc="124A1C52">
      <w:numFmt w:val="bullet"/>
      <w:lvlText w:val="•"/>
      <w:lvlJc w:val="left"/>
      <w:pPr>
        <w:ind w:left="1482" w:hanging="84"/>
      </w:pPr>
      <w:rPr>
        <w:rFonts w:hint="default"/>
      </w:rPr>
    </w:lvl>
    <w:lvl w:ilvl="6" w:tplc="BE880F6E">
      <w:numFmt w:val="bullet"/>
      <w:lvlText w:val="•"/>
      <w:lvlJc w:val="left"/>
      <w:pPr>
        <w:ind w:left="1750" w:hanging="84"/>
      </w:pPr>
      <w:rPr>
        <w:rFonts w:hint="default"/>
      </w:rPr>
    </w:lvl>
    <w:lvl w:ilvl="7" w:tplc="6DF6E6B6">
      <w:numFmt w:val="bullet"/>
      <w:lvlText w:val="•"/>
      <w:lvlJc w:val="left"/>
      <w:pPr>
        <w:ind w:left="2018" w:hanging="84"/>
      </w:pPr>
      <w:rPr>
        <w:rFonts w:hint="default"/>
      </w:rPr>
    </w:lvl>
    <w:lvl w:ilvl="8" w:tplc="5070476A">
      <w:numFmt w:val="bullet"/>
      <w:lvlText w:val="•"/>
      <w:lvlJc w:val="left"/>
      <w:pPr>
        <w:ind w:left="2287" w:hanging="84"/>
      </w:pPr>
      <w:rPr>
        <w:rFonts w:hint="default"/>
      </w:rPr>
    </w:lvl>
  </w:abstractNum>
  <w:abstractNum w:abstractNumId="904" w15:restartNumberingAfterBreak="0">
    <w:nsid w:val="39D305A6"/>
    <w:multiLevelType w:val="hybridMultilevel"/>
    <w:tmpl w:val="B26678D2"/>
    <w:lvl w:ilvl="0" w:tplc="895E7B42">
      <w:numFmt w:val="bullet"/>
      <w:lvlText w:val=""/>
      <w:lvlJc w:val="left"/>
      <w:pPr>
        <w:ind w:left="156" w:hanging="100"/>
      </w:pPr>
      <w:rPr>
        <w:rFonts w:ascii="Symbol" w:eastAsia="Symbol" w:hAnsi="Symbol" w:cs="Symbol" w:hint="default"/>
        <w:color w:val="231F20"/>
        <w:w w:val="100"/>
        <w:sz w:val="14"/>
        <w:szCs w:val="14"/>
      </w:rPr>
    </w:lvl>
    <w:lvl w:ilvl="1" w:tplc="20F0FBC4">
      <w:numFmt w:val="bullet"/>
      <w:lvlText w:val="•"/>
      <w:lvlJc w:val="left"/>
      <w:pPr>
        <w:ind w:left="398" w:hanging="100"/>
      </w:pPr>
      <w:rPr>
        <w:rFonts w:hint="default"/>
      </w:rPr>
    </w:lvl>
    <w:lvl w:ilvl="2" w:tplc="42CE3ABE">
      <w:numFmt w:val="bullet"/>
      <w:lvlText w:val="•"/>
      <w:lvlJc w:val="left"/>
      <w:pPr>
        <w:ind w:left="636" w:hanging="100"/>
      </w:pPr>
      <w:rPr>
        <w:rFonts w:hint="default"/>
      </w:rPr>
    </w:lvl>
    <w:lvl w:ilvl="3" w:tplc="F5C4F7F2">
      <w:numFmt w:val="bullet"/>
      <w:lvlText w:val="•"/>
      <w:lvlJc w:val="left"/>
      <w:pPr>
        <w:ind w:left="874" w:hanging="100"/>
      </w:pPr>
      <w:rPr>
        <w:rFonts w:hint="default"/>
      </w:rPr>
    </w:lvl>
    <w:lvl w:ilvl="4" w:tplc="BDF03986">
      <w:numFmt w:val="bullet"/>
      <w:lvlText w:val="•"/>
      <w:lvlJc w:val="left"/>
      <w:pPr>
        <w:ind w:left="1112" w:hanging="100"/>
      </w:pPr>
      <w:rPr>
        <w:rFonts w:hint="default"/>
      </w:rPr>
    </w:lvl>
    <w:lvl w:ilvl="5" w:tplc="19A07A14">
      <w:numFmt w:val="bullet"/>
      <w:lvlText w:val="•"/>
      <w:lvlJc w:val="left"/>
      <w:pPr>
        <w:ind w:left="1350" w:hanging="100"/>
      </w:pPr>
      <w:rPr>
        <w:rFonts w:hint="default"/>
      </w:rPr>
    </w:lvl>
    <w:lvl w:ilvl="6" w:tplc="BD8E7620">
      <w:numFmt w:val="bullet"/>
      <w:lvlText w:val="•"/>
      <w:lvlJc w:val="left"/>
      <w:pPr>
        <w:ind w:left="1588" w:hanging="100"/>
      </w:pPr>
      <w:rPr>
        <w:rFonts w:hint="default"/>
      </w:rPr>
    </w:lvl>
    <w:lvl w:ilvl="7" w:tplc="2866451E">
      <w:numFmt w:val="bullet"/>
      <w:lvlText w:val="•"/>
      <w:lvlJc w:val="left"/>
      <w:pPr>
        <w:ind w:left="1826" w:hanging="100"/>
      </w:pPr>
      <w:rPr>
        <w:rFonts w:hint="default"/>
      </w:rPr>
    </w:lvl>
    <w:lvl w:ilvl="8" w:tplc="E3920742">
      <w:numFmt w:val="bullet"/>
      <w:lvlText w:val="•"/>
      <w:lvlJc w:val="left"/>
      <w:pPr>
        <w:ind w:left="2064" w:hanging="100"/>
      </w:pPr>
      <w:rPr>
        <w:rFonts w:hint="default"/>
      </w:rPr>
    </w:lvl>
  </w:abstractNum>
  <w:abstractNum w:abstractNumId="905" w15:restartNumberingAfterBreak="0">
    <w:nsid w:val="39E12AE2"/>
    <w:multiLevelType w:val="hybridMultilevel"/>
    <w:tmpl w:val="A98CE226"/>
    <w:lvl w:ilvl="0" w:tplc="55F61646">
      <w:numFmt w:val="bullet"/>
      <w:lvlText w:val=""/>
      <w:lvlJc w:val="left"/>
      <w:pPr>
        <w:ind w:left="157" w:hanging="100"/>
      </w:pPr>
      <w:rPr>
        <w:rFonts w:ascii="Symbol" w:eastAsia="Symbol" w:hAnsi="Symbol" w:cs="Symbol" w:hint="default"/>
        <w:color w:val="231F20"/>
        <w:w w:val="100"/>
        <w:sz w:val="14"/>
        <w:szCs w:val="14"/>
      </w:rPr>
    </w:lvl>
    <w:lvl w:ilvl="1" w:tplc="E104F8F0">
      <w:numFmt w:val="bullet"/>
      <w:lvlText w:val="•"/>
      <w:lvlJc w:val="left"/>
      <w:pPr>
        <w:ind w:left="426" w:hanging="100"/>
      </w:pPr>
      <w:rPr>
        <w:rFonts w:hint="default"/>
      </w:rPr>
    </w:lvl>
    <w:lvl w:ilvl="2" w:tplc="B4886530">
      <w:numFmt w:val="bullet"/>
      <w:lvlText w:val="•"/>
      <w:lvlJc w:val="left"/>
      <w:pPr>
        <w:ind w:left="692" w:hanging="100"/>
      </w:pPr>
      <w:rPr>
        <w:rFonts w:hint="default"/>
      </w:rPr>
    </w:lvl>
    <w:lvl w:ilvl="3" w:tplc="7B62D5F4">
      <w:numFmt w:val="bullet"/>
      <w:lvlText w:val="•"/>
      <w:lvlJc w:val="left"/>
      <w:pPr>
        <w:ind w:left="959" w:hanging="100"/>
      </w:pPr>
      <w:rPr>
        <w:rFonts w:hint="default"/>
      </w:rPr>
    </w:lvl>
    <w:lvl w:ilvl="4" w:tplc="991094B2">
      <w:numFmt w:val="bullet"/>
      <w:lvlText w:val="•"/>
      <w:lvlJc w:val="left"/>
      <w:pPr>
        <w:ind w:left="1225" w:hanging="100"/>
      </w:pPr>
      <w:rPr>
        <w:rFonts w:hint="default"/>
      </w:rPr>
    </w:lvl>
    <w:lvl w:ilvl="5" w:tplc="016028CA">
      <w:numFmt w:val="bullet"/>
      <w:lvlText w:val="•"/>
      <w:lvlJc w:val="left"/>
      <w:pPr>
        <w:ind w:left="1492" w:hanging="100"/>
      </w:pPr>
      <w:rPr>
        <w:rFonts w:hint="default"/>
      </w:rPr>
    </w:lvl>
    <w:lvl w:ilvl="6" w:tplc="29ECCF1A">
      <w:numFmt w:val="bullet"/>
      <w:lvlText w:val="•"/>
      <w:lvlJc w:val="left"/>
      <w:pPr>
        <w:ind w:left="1758" w:hanging="100"/>
      </w:pPr>
      <w:rPr>
        <w:rFonts w:hint="default"/>
      </w:rPr>
    </w:lvl>
    <w:lvl w:ilvl="7" w:tplc="D096B83E">
      <w:numFmt w:val="bullet"/>
      <w:lvlText w:val="•"/>
      <w:lvlJc w:val="left"/>
      <w:pPr>
        <w:ind w:left="2024" w:hanging="100"/>
      </w:pPr>
      <w:rPr>
        <w:rFonts w:hint="default"/>
      </w:rPr>
    </w:lvl>
    <w:lvl w:ilvl="8" w:tplc="C54A5E7C">
      <w:numFmt w:val="bullet"/>
      <w:lvlText w:val="•"/>
      <w:lvlJc w:val="left"/>
      <w:pPr>
        <w:ind w:left="2291" w:hanging="100"/>
      </w:pPr>
      <w:rPr>
        <w:rFonts w:hint="default"/>
      </w:rPr>
    </w:lvl>
  </w:abstractNum>
  <w:abstractNum w:abstractNumId="906" w15:restartNumberingAfterBreak="0">
    <w:nsid w:val="3A0523AC"/>
    <w:multiLevelType w:val="hybridMultilevel"/>
    <w:tmpl w:val="722439B6"/>
    <w:lvl w:ilvl="0" w:tplc="56E4F8E6">
      <w:numFmt w:val="bullet"/>
      <w:lvlText w:val=""/>
      <w:lvlJc w:val="left"/>
      <w:pPr>
        <w:ind w:left="156" w:hanging="100"/>
      </w:pPr>
      <w:rPr>
        <w:rFonts w:ascii="Symbol" w:eastAsia="Symbol" w:hAnsi="Symbol" w:cs="Symbol" w:hint="default"/>
        <w:color w:val="231F20"/>
        <w:w w:val="100"/>
        <w:sz w:val="14"/>
        <w:szCs w:val="14"/>
      </w:rPr>
    </w:lvl>
    <w:lvl w:ilvl="1" w:tplc="360235CC">
      <w:numFmt w:val="bullet"/>
      <w:lvlText w:val="•"/>
      <w:lvlJc w:val="left"/>
      <w:pPr>
        <w:ind w:left="301" w:hanging="100"/>
      </w:pPr>
      <w:rPr>
        <w:rFonts w:hint="default"/>
      </w:rPr>
    </w:lvl>
    <w:lvl w:ilvl="2" w:tplc="543279D2">
      <w:numFmt w:val="bullet"/>
      <w:lvlText w:val="•"/>
      <w:lvlJc w:val="left"/>
      <w:pPr>
        <w:ind w:left="443" w:hanging="100"/>
      </w:pPr>
      <w:rPr>
        <w:rFonts w:hint="default"/>
      </w:rPr>
    </w:lvl>
    <w:lvl w:ilvl="3" w:tplc="FC62C10A">
      <w:numFmt w:val="bullet"/>
      <w:lvlText w:val="•"/>
      <w:lvlJc w:val="left"/>
      <w:pPr>
        <w:ind w:left="585" w:hanging="100"/>
      </w:pPr>
      <w:rPr>
        <w:rFonts w:hint="default"/>
      </w:rPr>
    </w:lvl>
    <w:lvl w:ilvl="4" w:tplc="170C8B06">
      <w:numFmt w:val="bullet"/>
      <w:lvlText w:val="•"/>
      <w:lvlJc w:val="left"/>
      <w:pPr>
        <w:ind w:left="726" w:hanging="100"/>
      </w:pPr>
      <w:rPr>
        <w:rFonts w:hint="default"/>
      </w:rPr>
    </w:lvl>
    <w:lvl w:ilvl="5" w:tplc="E6D4D868">
      <w:numFmt w:val="bullet"/>
      <w:lvlText w:val="•"/>
      <w:lvlJc w:val="left"/>
      <w:pPr>
        <w:ind w:left="868" w:hanging="100"/>
      </w:pPr>
      <w:rPr>
        <w:rFonts w:hint="default"/>
      </w:rPr>
    </w:lvl>
    <w:lvl w:ilvl="6" w:tplc="C6A2D7E4">
      <w:numFmt w:val="bullet"/>
      <w:lvlText w:val="•"/>
      <w:lvlJc w:val="left"/>
      <w:pPr>
        <w:ind w:left="1010" w:hanging="100"/>
      </w:pPr>
      <w:rPr>
        <w:rFonts w:hint="default"/>
      </w:rPr>
    </w:lvl>
    <w:lvl w:ilvl="7" w:tplc="C158E4B2">
      <w:numFmt w:val="bullet"/>
      <w:lvlText w:val="•"/>
      <w:lvlJc w:val="left"/>
      <w:pPr>
        <w:ind w:left="1151" w:hanging="100"/>
      </w:pPr>
      <w:rPr>
        <w:rFonts w:hint="default"/>
      </w:rPr>
    </w:lvl>
    <w:lvl w:ilvl="8" w:tplc="0926644C">
      <w:numFmt w:val="bullet"/>
      <w:lvlText w:val="•"/>
      <w:lvlJc w:val="left"/>
      <w:pPr>
        <w:ind w:left="1293" w:hanging="100"/>
      </w:pPr>
      <w:rPr>
        <w:rFonts w:hint="default"/>
      </w:rPr>
    </w:lvl>
  </w:abstractNum>
  <w:abstractNum w:abstractNumId="907" w15:restartNumberingAfterBreak="0">
    <w:nsid w:val="3A1337DA"/>
    <w:multiLevelType w:val="hybridMultilevel"/>
    <w:tmpl w:val="C2E8E1AA"/>
    <w:lvl w:ilvl="0" w:tplc="E5883F78">
      <w:numFmt w:val="bullet"/>
      <w:lvlText w:val=""/>
      <w:lvlJc w:val="left"/>
      <w:pPr>
        <w:ind w:left="156" w:hanging="100"/>
      </w:pPr>
      <w:rPr>
        <w:rFonts w:ascii="Symbol" w:eastAsia="Symbol" w:hAnsi="Symbol" w:cs="Symbol" w:hint="default"/>
        <w:color w:val="231F20"/>
        <w:w w:val="100"/>
        <w:sz w:val="14"/>
        <w:szCs w:val="14"/>
      </w:rPr>
    </w:lvl>
    <w:lvl w:ilvl="1" w:tplc="71C651E2">
      <w:numFmt w:val="bullet"/>
      <w:lvlText w:val="•"/>
      <w:lvlJc w:val="left"/>
      <w:pPr>
        <w:ind w:left="398" w:hanging="100"/>
      </w:pPr>
      <w:rPr>
        <w:rFonts w:hint="default"/>
      </w:rPr>
    </w:lvl>
    <w:lvl w:ilvl="2" w:tplc="C4C6985E">
      <w:numFmt w:val="bullet"/>
      <w:lvlText w:val="•"/>
      <w:lvlJc w:val="left"/>
      <w:pPr>
        <w:ind w:left="636" w:hanging="100"/>
      </w:pPr>
      <w:rPr>
        <w:rFonts w:hint="default"/>
      </w:rPr>
    </w:lvl>
    <w:lvl w:ilvl="3" w:tplc="E7C61760">
      <w:numFmt w:val="bullet"/>
      <w:lvlText w:val="•"/>
      <w:lvlJc w:val="left"/>
      <w:pPr>
        <w:ind w:left="874" w:hanging="100"/>
      </w:pPr>
      <w:rPr>
        <w:rFonts w:hint="default"/>
      </w:rPr>
    </w:lvl>
    <w:lvl w:ilvl="4" w:tplc="3FA036EA">
      <w:numFmt w:val="bullet"/>
      <w:lvlText w:val="•"/>
      <w:lvlJc w:val="left"/>
      <w:pPr>
        <w:ind w:left="1112" w:hanging="100"/>
      </w:pPr>
      <w:rPr>
        <w:rFonts w:hint="default"/>
      </w:rPr>
    </w:lvl>
    <w:lvl w:ilvl="5" w:tplc="319E0A44">
      <w:numFmt w:val="bullet"/>
      <w:lvlText w:val="•"/>
      <w:lvlJc w:val="left"/>
      <w:pPr>
        <w:ind w:left="1350" w:hanging="100"/>
      </w:pPr>
      <w:rPr>
        <w:rFonts w:hint="default"/>
      </w:rPr>
    </w:lvl>
    <w:lvl w:ilvl="6" w:tplc="3C4E0A22">
      <w:numFmt w:val="bullet"/>
      <w:lvlText w:val="•"/>
      <w:lvlJc w:val="left"/>
      <w:pPr>
        <w:ind w:left="1588" w:hanging="100"/>
      </w:pPr>
      <w:rPr>
        <w:rFonts w:hint="default"/>
      </w:rPr>
    </w:lvl>
    <w:lvl w:ilvl="7" w:tplc="0D86401C">
      <w:numFmt w:val="bullet"/>
      <w:lvlText w:val="•"/>
      <w:lvlJc w:val="left"/>
      <w:pPr>
        <w:ind w:left="1826" w:hanging="100"/>
      </w:pPr>
      <w:rPr>
        <w:rFonts w:hint="default"/>
      </w:rPr>
    </w:lvl>
    <w:lvl w:ilvl="8" w:tplc="FAE6F234">
      <w:numFmt w:val="bullet"/>
      <w:lvlText w:val="•"/>
      <w:lvlJc w:val="left"/>
      <w:pPr>
        <w:ind w:left="2064" w:hanging="100"/>
      </w:pPr>
      <w:rPr>
        <w:rFonts w:hint="default"/>
      </w:rPr>
    </w:lvl>
  </w:abstractNum>
  <w:abstractNum w:abstractNumId="908" w15:restartNumberingAfterBreak="0">
    <w:nsid w:val="3A175265"/>
    <w:multiLevelType w:val="hybridMultilevel"/>
    <w:tmpl w:val="7ED4F624"/>
    <w:lvl w:ilvl="0" w:tplc="52260104">
      <w:numFmt w:val="bullet"/>
      <w:lvlText w:val=""/>
      <w:lvlJc w:val="left"/>
      <w:pPr>
        <w:ind w:left="157" w:hanging="100"/>
      </w:pPr>
      <w:rPr>
        <w:rFonts w:ascii="Symbol" w:eastAsia="Symbol" w:hAnsi="Symbol" w:cs="Symbol" w:hint="default"/>
        <w:color w:val="231F20"/>
        <w:w w:val="100"/>
        <w:sz w:val="14"/>
        <w:szCs w:val="14"/>
      </w:rPr>
    </w:lvl>
    <w:lvl w:ilvl="1" w:tplc="588EAAF6">
      <w:numFmt w:val="bullet"/>
      <w:lvlText w:val="•"/>
      <w:lvlJc w:val="left"/>
      <w:pPr>
        <w:ind w:left="369" w:hanging="100"/>
      </w:pPr>
      <w:rPr>
        <w:rFonts w:hint="default"/>
      </w:rPr>
    </w:lvl>
    <w:lvl w:ilvl="2" w:tplc="0DC45462">
      <w:numFmt w:val="bullet"/>
      <w:lvlText w:val="•"/>
      <w:lvlJc w:val="left"/>
      <w:pPr>
        <w:ind w:left="579" w:hanging="100"/>
      </w:pPr>
      <w:rPr>
        <w:rFonts w:hint="default"/>
      </w:rPr>
    </w:lvl>
    <w:lvl w:ilvl="3" w:tplc="C13E0C6C">
      <w:numFmt w:val="bullet"/>
      <w:lvlText w:val="•"/>
      <w:lvlJc w:val="left"/>
      <w:pPr>
        <w:ind w:left="789" w:hanging="100"/>
      </w:pPr>
      <w:rPr>
        <w:rFonts w:hint="default"/>
      </w:rPr>
    </w:lvl>
    <w:lvl w:ilvl="4" w:tplc="C874C76A">
      <w:numFmt w:val="bullet"/>
      <w:lvlText w:val="•"/>
      <w:lvlJc w:val="left"/>
      <w:pPr>
        <w:ind w:left="998" w:hanging="100"/>
      </w:pPr>
      <w:rPr>
        <w:rFonts w:hint="default"/>
      </w:rPr>
    </w:lvl>
    <w:lvl w:ilvl="5" w:tplc="E546631C">
      <w:numFmt w:val="bullet"/>
      <w:lvlText w:val="•"/>
      <w:lvlJc w:val="left"/>
      <w:pPr>
        <w:ind w:left="1208" w:hanging="100"/>
      </w:pPr>
      <w:rPr>
        <w:rFonts w:hint="default"/>
      </w:rPr>
    </w:lvl>
    <w:lvl w:ilvl="6" w:tplc="92C28C62">
      <w:numFmt w:val="bullet"/>
      <w:lvlText w:val="•"/>
      <w:lvlJc w:val="left"/>
      <w:pPr>
        <w:ind w:left="1418" w:hanging="100"/>
      </w:pPr>
      <w:rPr>
        <w:rFonts w:hint="default"/>
      </w:rPr>
    </w:lvl>
    <w:lvl w:ilvl="7" w:tplc="0EAC551A">
      <w:numFmt w:val="bullet"/>
      <w:lvlText w:val="•"/>
      <w:lvlJc w:val="left"/>
      <w:pPr>
        <w:ind w:left="1627" w:hanging="100"/>
      </w:pPr>
      <w:rPr>
        <w:rFonts w:hint="default"/>
      </w:rPr>
    </w:lvl>
    <w:lvl w:ilvl="8" w:tplc="183864F2">
      <w:numFmt w:val="bullet"/>
      <w:lvlText w:val="•"/>
      <w:lvlJc w:val="left"/>
      <w:pPr>
        <w:ind w:left="1837" w:hanging="100"/>
      </w:pPr>
      <w:rPr>
        <w:rFonts w:hint="default"/>
      </w:rPr>
    </w:lvl>
  </w:abstractNum>
  <w:abstractNum w:abstractNumId="909" w15:restartNumberingAfterBreak="0">
    <w:nsid w:val="3A1F7FD4"/>
    <w:multiLevelType w:val="hybridMultilevel"/>
    <w:tmpl w:val="54A6BAF0"/>
    <w:lvl w:ilvl="0" w:tplc="3C362D86">
      <w:numFmt w:val="bullet"/>
      <w:lvlText w:val=""/>
      <w:lvlJc w:val="left"/>
      <w:pPr>
        <w:ind w:left="156" w:hanging="100"/>
      </w:pPr>
      <w:rPr>
        <w:rFonts w:ascii="Symbol" w:eastAsia="Symbol" w:hAnsi="Symbol" w:cs="Symbol" w:hint="default"/>
        <w:color w:val="231F20"/>
        <w:w w:val="100"/>
        <w:sz w:val="14"/>
        <w:szCs w:val="14"/>
      </w:rPr>
    </w:lvl>
    <w:lvl w:ilvl="1" w:tplc="D3E471FA">
      <w:numFmt w:val="bullet"/>
      <w:lvlText w:val="•"/>
      <w:lvlJc w:val="left"/>
      <w:pPr>
        <w:ind w:left="398" w:hanging="100"/>
      </w:pPr>
      <w:rPr>
        <w:rFonts w:hint="default"/>
      </w:rPr>
    </w:lvl>
    <w:lvl w:ilvl="2" w:tplc="27181FEA">
      <w:numFmt w:val="bullet"/>
      <w:lvlText w:val="•"/>
      <w:lvlJc w:val="left"/>
      <w:pPr>
        <w:ind w:left="636" w:hanging="100"/>
      </w:pPr>
      <w:rPr>
        <w:rFonts w:hint="default"/>
      </w:rPr>
    </w:lvl>
    <w:lvl w:ilvl="3" w:tplc="A2D66350">
      <w:numFmt w:val="bullet"/>
      <w:lvlText w:val="•"/>
      <w:lvlJc w:val="left"/>
      <w:pPr>
        <w:ind w:left="874" w:hanging="100"/>
      </w:pPr>
      <w:rPr>
        <w:rFonts w:hint="default"/>
      </w:rPr>
    </w:lvl>
    <w:lvl w:ilvl="4" w:tplc="62EC7A30">
      <w:numFmt w:val="bullet"/>
      <w:lvlText w:val="•"/>
      <w:lvlJc w:val="left"/>
      <w:pPr>
        <w:ind w:left="1112" w:hanging="100"/>
      </w:pPr>
      <w:rPr>
        <w:rFonts w:hint="default"/>
      </w:rPr>
    </w:lvl>
    <w:lvl w:ilvl="5" w:tplc="EC7E4BE2">
      <w:numFmt w:val="bullet"/>
      <w:lvlText w:val="•"/>
      <w:lvlJc w:val="left"/>
      <w:pPr>
        <w:ind w:left="1350" w:hanging="100"/>
      </w:pPr>
      <w:rPr>
        <w:rFonts w:hint="default"/>
      </w:rPr>
    </w:lvl>
    <w:lvl w:ilvl="6" w:tplc="94284FEC">
      <w:numFmt w:val="bullet"/>
      <w:lvlText w:val="•"/>
      <w:lvlJc w:val="left"/>
      <w:pPr>
        <w:ind w:left="1588" w:hanging="100"/>
      </w:pPr>
      <w:rPr>
        <w:rFonts w:hint="default"/>
      </w:rPr>
    </w:lvl>
    <w:lvl w:ilvl="7" w:tplc="A4BE95F2">
      <w:numFmt w:val="bullet"/>
      <w:lvlText w:val="•"/>
      <w:lvlJc w:val="left"/>
      <w:pPr>
        <w:ind w:left="1826" w:hanging="100"/>
      </w:pPr>
      <w:rPr>
        <w:rFonts w:hint="default"/>
      </w:rPr>
    </w:lvl>
    <w:lvl w:ilvl="8" w:tplc="10DADC4E">
      <w:numFmt w:val="bullet"/>
      <w:lvlText w:val="•"/>
      <w:lvlJc w:val="left"/>
      <w:pPr>
        <w:ind w:left="2064" w:hanging="100"/>
      </w:pPr>
      <w:rPr>
        <w:rFonts w:hint="default"/>
      </w:rPr>
    </w:lvl>
  </w:abstractNum>
  <w:abstractNum w:abstractNumId="910" w15:restartNumberingAfterBreak="0">
    <w:nsid w:val="3A256F6F"/>
    <w:multiLevelType w:val="hybridMultilevel"/>
    <w:tmpl w:val="9932A1CE"/>
    <w:lvl w:ilvl="0" w:tplc="014C159E">
      <w:numFmt w:val="bullet"/>
      <w:lvlText w:val=""/>
      <w:lvlJc w:val="left"/>
      <w:pPr>
        <w:ind w:left="156" w:hanging="100"/>
      </w:pPr>
      <w:rPr>
        <w:rFonts w:ascii="Symbol" w:eastAsia="Symbol" w:hAnsi="Symbol" w:cs="Symbol" w:hint="default"/>
        <w:color w:val="231F20"/>
        <w:w w:val="100"/>
        <w:sz w:val="14"/>
        <w:szCs w:val="14"/>
      </w:rPr>
    </w:lvl>
    <w:lvl w:ilvl="1" w:tplc="9440DBD6">
      <w:numFmt w:val="bullet"/>
      <w:lvlText w:val="•"/>
      <w:lvlJc w:val="left"/>
      <w:pPr>
        <w:ind w:left="471" w:hanging="100"/>
      </w:pPr>
      <w:rPr>
        <w:rFonts w:hint="default"/>
      </w:rPr>
    </w:lvl>
    <w:lvl w:ilvl="2" w:tplc="5D249EDE">
      <w:numFmt w:val="bullet"/>
      <w:lvlText w:val="•"/>
      <w:lvlJc w:val="left"/>
      <w:pPr>
        <w:ind w:left="783" w:hanging="100"/>
      </w:pPr>
      <w:rPr>
        <w:rFonts w:hint="default"/>
      </w:rPr>
    </w:lvl>
    <w:lvl w:ilvl="3" w:tplc="31F85BE8">
      <w:numFmt w:val="bullet"/>
      <w:lvlText w:val="•"/>
      <w:lvlJc w:val="left"/>
      <w:pPr>
        <w:ind w:left="1095" w:hanging="100"/>
      </w:pPr>
      <w:rPr>
        <w:rFonts w:hint="default"/>
      </w:rPr>
    </w:lvl>
    <w:lvl w:ilvl="4" w:tplc="687CDFAA">
      <w:numFmt w:val="bullet"/>
      <w:lvlText w:val="•"/>
      <w:lvlJc w:val="left"/>
      <w:pPr>
        <w:ind w:left="1407" w:hanging="100"/>
      </w:pPr>
      <w:rPr>
        <w:rFonts w:hint="default"/>
      </w:rPr>
    </w:lvl>
    <w:lvl w:ilvl="5" w:tplc="10E2EBD6">
      <w:numFmt w:val="bullet"/>
      <w:lvlText w:val="•"/>
      <w:lvlJc w:val="left"/>
      <w:pPr>
        <w:ind w:left="1719" w:hanging="100"/>
      </w:pPr>
      <w:rPr>
        <w:rFonts w:hint="default"/>
      </w:rPr>
    </w:lvl>
    <w:lvl w:ilvl="6" w:tplc="2A429DFC">
      <w:numFmt w:val="bullet"/>
      <w:lvlText w:val="•"/>
      <w:lvlJc w:val="left"/>
      <w:pPr>
        <w:ind w:left="2030" w:hanging="100"/>
      </w:pPr>
      <w:rPr>
        <w:rFonts w:hint="default"/>
      </w:rPr>
    </w:lvl>
    <w:lvl w:ilvl="7" w:tplc="65805A14">
      <w:numFmt w:val="bullet"/>
      <w:lvlText w:val="•"/>
      <w:lvlJc w:val="left"/>
      <w:pPr>
        <w:ind w:left="2342" w:hanging="100"/>
      </w:pPr>
      <w:rPr>
        <w:rFonts w:hint="default"/>
      </w:rPr>
    </w:lvl>
    <w:lvl w:ilvl="8" w:tplc="1B6EC1B4">
      <w:numFmt w:val="bullet"/>
      <w:lvlText w:val="•"/>
      <w:lvlJc w:val="left"/>
      <w:pPr>
        <w:ind w:left="2654" w:hanging="100"/>
      </w:pPr>
      <w:rPr>
        <w:rFonts w:hint="default"/>
      </w:rPr>
    </w:lvl>
  </w:abstractNum>
  <w:abstractNum w:abstractNumId="911" w15:restartNumberingAfterBreak="0">
    <w:nsid w:val="3A2C7490"/>
    <w:multiLevelType w:val="hybridMultilevel"/>
    <w:tmpl w:val="234C771C"/>
    <w:lvl w:ilvl="0" w:tplc="DD1C27C8">
      <w:numFmt w:val="bullet"/>
      <w:lvlText w:val=""/>
      <w:lvlJc w:val="left"/>
      <w:pPr>
        <w:ind w:left="157" w:hanging="100"/>
      </w:pPr>
      <w:rPr>
        <w:rFonts w:ascii="Symbol" w:eastAsia="Symbol" w:hAnsi="Symbol" w:cs="Symbol" w:hint="default"/>
        <w:color w:val="231F20"/>
        <w:w w:val="100"/>
        <w:sz w:val="14"/>
        <w:szCs w:val="14"/>
      </w:rPr>
    </w:lvl>
    <w:lvl w:ilvl="1" w:tplc="824E8650">
      <w:numFmt w:val="bullet"/>
      <w:lvlText w:val="•"/>
      <w:lvlJc w:val="left"/>
      <w:pPr>
        <w:ind w:left="426" w:hanging="100"/>
      </w:pPr>
      <w:rPr>
        <w:rFonts w:hint="default"/>
      </w:rPr>
    </w:lvl>
    <w:lvl w:ilvl="2" w:tplc="39CCCB14">
      <w:numFmt w:val="bullet"/>
      <w:lvlText w:val="•"/>
      <w:lvlJc w:val="left"/>
      <w:pPr>
        <w:ind w:left="692" w:hanging="100"/>
      </w:pPr>
      <w:rPr>
        <w:rFonts w:hint="default"/>
      </w:rPr>
    </w:lvl>
    <w:lvl w:ilvl="3" w:tplc="3CCE3652">
      <w:numFmt w:val="bullet"/>
      <w:lvlText w:val="•"/>
      <w:lvlJc w:val="left"/>
      <w:pPr>
        <w:ind w:left="959" w:hanging="100"/>
      </w:pPr>
      <w:rPr>
        <w:rFonts w:hint="default"/>
      </w:rPr>
    </w:lvl>
    <w:lvl w:ilvl="4" w:tplc="45486D3A">
      <w:numFmt w:val="bullet"/>
      <w:lvlText w:val="•"/>
      <w:lvlJc w:val="left"/>
      <w:pPr>
        <w:ind w:left="1225" w:hanging="100"/>
      </w:pPr>
      <w:rPr>
        <w:rFonts w:hint="default"/>
      </w:rPr>
    </w:lvl>
    <w:lvl w:ilvl="5" w:tplc="D2AEDD54">
      <w:numFmt w:val="bullet"/>
      <w:lvlText w:val="•"/>
      <w:lvlJc w:val="left"/>
      <w:pPr>
        <w:ind w:left="1492" w:hanging="100"/>
      </w:pPr>
      <w:rPr>
        <w:rFonts w:hint="default"/>
      </w:rPr>
    </w:lvl>
    <w:lvl w:ilvl="6" w:tplc="85B63796">
      <w:numFmt w:val="bullet"/>
      <w:lvlText w:val="•"/>
      <w:lvlJc w:val="left"/>
      <w:pPr>
        <w:ind w:left="1758" w:hanging="100"/>
      </w:pPr>
      <w:rPr>
        <w:rFonts w:hint="default"/>
      </w:rPr>
    </w:lvl>
    <w:lvl w:ilvl="7" w:tplc="0304F76E">
      <w:numFmt w:val="bullet"/>
      <w:lvlText w:val="•"/>
      <w:lvlJc w:val="left"/>
      <w:pPr>
        <w:ind w:left="2024" w:hanging="100"/>
      </w:pPr>
      <w:rPr>
        <w:rFonts w:hint="default"/>
      </w:rPr>
    </w:lvl>
    <w:lvl w:ilvl="8" w:tplc="B784EF0A">
      <w:numFmt w:val="bullet"/>
      <w:lvlText w:val="•"/>
      <w:lvlJc w:val="left"/>
      <w:pPr>
        <w:ind w:left="2291" w:hanging="100"/>
      </w:pPr>
      <w:rPr>
        <w:rFonts w:hint="default"/>
      </w:rPr>
    </w:lvl>
  </w:abstractNum>
  <w:abstractNum w:abstractNumId="912" w15:restartNumberingAfterBreak="0">
    <w:nsid w:val="3A3544A4"/>
    <w:multiLevelType w:val="hybridMultilevel"/>
    <w:tmpl w:val="1B480988"/>
    <w:lvl w:ilvl="0" w:tplc="28A6C0FE">
      <w:numFmt w:val="bullet"/>
      <w:lvlText w:val=""/>
      <w:lvlJc w:val="left"/>
      <w:pPr>
        <w:ind w:left="156" w:hanging="100"/>
      </w:pPr>
      <w:rPr>
        <w:rFonts w:ascii="Symbol" w:eastAsia="Symbol" w:hAnsi="Symbol" w:cs="Symbol" w:hint="default"/>
        <w:color w:val="231F20"/>
        <w:w w:val="100"/>
        <w:sz w:val="14"/>
        <w:szCs w:val="14"/>
      </w:rPr>
    </w:lvl>
    <w:lvl w:ilvl="1" w:tplc="85ACAEDA">
      <w:numFmt w:val="bullet"/>
      <w:lvlText w:val="•"/>
      <w:lvlJc w:val="left"/>
      <w:pPr>
        <w:ind w:left="398" w:hanging="100"/>
      </w:pPr>
      <w:rPr>
        <w:rFonts w:hint="default"/>
      </w:rPr>
    </w:lvl>
    <w:lvl w:ilvl="2" w:tplc="71FA148A">
      <w:numFmt w:val="bullet"/>
      <w:lvlText w:val="•"/>
      <w:lvlJc w:val="left"/>
      <w:pPr>
        <w:ind w:left="636" w:hanging="100"/>
      </w:pPr>
      <w:rPr>
        <w:rFonts w:hint="default"/>
      </w:rPr>
    </w:lvl>
    <w:lvl w:ilvl="3" w:tplc="67443B4E">
      <w:numFmt w:val="bullet"/>
      <w:lvlText w:val="•"/>
      <w:lvlJc w:val="left"/>
      <w:pPr>
        <w:ind w:left="874" w:hanging="100"/>
      </w:pPr>
      <w:rPr>
        <w:rFonts w:hint="default"/>
      </w:rPr>
    </w:lvl>
    <w:lvl w:ilvl="4" w:tplc="7E6EA616">
      <w:numFmt w:val="bullet"/>
      <w:lvlText w:val="•"/>
      <w:lvlJc w:val="left"/>
      <w:pPr>
        <w:ind w:left="1112" w:hanging="100"/>
      </w:pPr>
      <w:rPr>
        <w:rFonts w:hint="default"/>
      </w:rPr>
    </w:lvl>
    <w:lvl w:ilvl="5" w:tplc="025A77D4">
      <w:numFmt w:val="bullet"/>
      <w:lvlText w:val="•"/>
      <w:lvlJc w:val="left"/>
      <w:pPr>
        <w:ind w:left="1350" w:hanging="100"/>
      </w:pPr>
      <w:rPr>
        <w:rFonts w:hint="default"/>
      </w:rPr>
    </w:lvl>
    <w:lvl w:ilvl="6" w:tplc="8F3EAD5A">
      <w:numFmt w:val="bullet"/>
      <w:lvlText w:val="•"/>
      <w:lvlJc w:val="left"/>
      <w:pPr>
        <w:ind w:left="1588" w:hanging="100"/>
      </w:pPr>
      <w:rPr>
        <w:rFonts w:hint="default"/>
      </w:rPr>
    </w:lvl>
    <w:lvl w:ilvl="7" w:tplc="DE9A4F9C">
      <w:numFmt w:val="bullet"/>
      <w:lvlText w:val="•"/>
      <w:lvlJc w:val="left"/>
      <w:pPr>
        <w:ind w:left="1826" w:hanging="100"/>
      </w:pPr>
      <w:rPr>
        <w:rFonts w:hint="default"/>
      </w:rPr>
    </w:lvl>
    <w:lvl w:ilvl="8" w:tplc="7AC66E70">
      <w:numFmt w:val="bullet"/>
      <w:lvlText w:val="•"/>
      <w:lvlJc w:val="left"/>
      <w:pPr>
        <w:ind w:left="2064" w:hanging="100"/>
      </w:pPr>
      <w:rPr>
        <w:rFonts w:hint="default"/>
      </w:rPr>
    </w:lvl>
  </w:abstractNum>
  <w:abstractNum w:abstractNumId="913" w15:restartNumberingAfterBreak="0">
    <w:nsid w:val="3A4A7638"/>
    <w:multiLevelType w:val="hybridMultilevel"/>
    <w:tmpl w:val="499EAE78"/>
    <w:lvl w:ilvl="0" w:tplc="C8ECA820">
      <w:numFmt w:val="bullet"/>
      <w:lvlText w:val=""/>
      <w:lvlJc w:val="left"/>
      <w:pPr>
        <w:ind w:left="156" w:hanging="100"/>
      </w:pPr>
      <w:rPr>
        <w:rFonts w:ascii="Symbol" w:eastAsia="Symbol" w:hAnsi="Symbol" w:cs="Symbol" w:hint="default"/>
        <w:color w:val="231F20"/>
        <w:w w:val="100"/>
        <w:sz w:val="14"/>
        <w:szCs w:val="14"/>
      </w:rPr>
    </w:lvl>
    <w:lvl w:ilvl="1" w:tplc="4656D264">
      <w:numFmt w:val="bullet"/>
      <w:lvlText w:val="•"/>
      <w:lvlJc w:val="left"/>
      <w:pPr>
        <w:ind w:left="398" w:hanging="100"/>
      </w:pPr>
      <w:rPr>
        <w:rFonts w:hint="default"/>
      </w:rPr>
    </w:lvl>
    <w:lvl w:ilvl="2" w:tplc="CB482CCE">
      <w:numFmt w:val="bullet"/>
      <w:lvlText w:val="•"/>
      <w:lvlJc w:val="left"/>
      <w:pPr>
        <w:ind w:left="636" w:hanging="100"/>
      </w:pPr>
      <w:rPr>
        <w:rFonts w:hint="default"/>
      </w:rPr>
    </w:lvl>
    <w:lvl w:ilvl="3" w:tplc="4E86CC96">
      <w:numFmt w:val="bullet"/>
      <w:lvlText w:val="•"/>
      <w:lvlJc w:val="left"/>
      <w:pPr>
        <w:ind w:left="874" w:hanging="100"/>
      </w:pPr>
      <w:rPr>
        <w:rFonts w:hint="default"/>
      </w:rPr>
    </w:lvl>
    <w:lvl w:ilvl="4" w:tplc="3E3CD8A2">
      <w:numFmt w:val="bullet"/>
      <w:lvlText w:val="•"/>
      <w:lvlJc w:val="left"/>
      <w:pPr>
        <w:ind w:left="1112" w:hanging="100"/>
      </w:pPr>
      <w:rPr>
        <w:rFonts w:hint="default"/>
      </w:rPr>
    </w:lvl>
    <w:lvl w:ilvl="5" w:tplc="526ED7B0">
      <w:numFmt w:val="bullet"/>
      <w:lvlText w:val="•"/>
      <w:lvlJc w:val="left"/>
      <w:pPr>
        <w:ind w:left="1350" w:hanging="100"/>
      </w:pPr>
      <w:rPr>
        <w:rFonts w:hint="default"/>
      </w:rPr>
    </w:lvl>
    <w:lvl w:ilvl="6" w:tplc="1BE2F552">
      <w:numFmt w:val="bullet"/>
      <w:lvlText w:val="•"/>
      <w:lvlJc w:val="left"/>
      <w:pPr>
        <w:ind w:left="1588" w:hanging="100"/>
      </w:pPr>
      <w:rPr>
        <w:rFonts w:hint="default"/>
      </w:rPr>
    </w:lvl>
    <w:lvl w:ilvl="7" w:tplc="FD147D30">
      <w:numFmt w:val="bullet"/>
      <w:lvlText w:val="•"/>
      <w:lvlJc w:val="left"/>
      <w:pPr>
        <w:ind w:left="1826" w:hanging="100"/>
      </w:pPr>
      <w:rPr>
        <w:rFonts w:hint="default"/>
      </w:rPr>
    </w:lvl>
    <w:lvl w:ilvl="8" w:tplc="05002F98">
      <w:numFmt w:val="bullet"/>
      <w:lvlText w:val="•"/>
      <w:lvlJc w:val="left"/>
      <w:pPr>
        <w:ind w:left="2064" w:hanging="100"/>
      </w:pPr>
      <w:rPr>
        <w:rFonts w:hint="default"/>
      </w:rPr>
    </w:lvl>
  </w:abstractNum>
  <w:abstractNum w:abstractNumId="914" w15:restartNumberingAfterBreak="0">
    <w:nsid w:val="3A725D0B"/>
    <w:multiLevelType w:val="hybridMultilevel"/>
    <w:tmpl w:val="5F7EFA58"/>
    <w:lvl w:ilvl="0" w:tplc="ABDCA10C">
      <w:numFmt w:val="bullet"/>
      <w:lvlText w:val=""/>
      <w:lvlJc w:val="left"/>
      <w:pPr>
        <w:ind w:left="156" w:hanging="100"/>
      </w:pPr>
      <w:rPr>
        <w:rFonts w:ascii="Symbol" w:eastAsia="Symbol" w:hAnsi="Symbol" w:cs="Symbol" w:hint="default"/>
        <w:color w:val="231F20"/>
        <w:w w:val="100"/>
        <w:sz w:val="14"/>
        <w:szCs w:val="14"/>
      </w:rPr>
    </w:lvl>
    <w:lvl w:ilvl="1" w:tplc="D5769A3E">
      <w:numFmt w:val="bullet"/>
      <w:lvlText w:val="•"/>
      <w:lvlJc w:val="left"/>
      <w:pPr>
        <w:ind w:left="398" w:hanging="100"/>
      </w:pPr>
      <w:rPr>
        <w:rFonts w:hint="default"/>
      </w:rPr>
    </w:lvl>
    <w:lvl w:ilvl="2" w:tplc="C5E6BF62">
      <w:numFmt w:val="bullet"/>
      <w:lvlText w:val="•"/>
      <w:lvlJc w:val="left"/>
      <w:pPr>
        <w:ind w:left="636" w:hanging="100"/>
      </w:pPr>
      <w:rPr>
        <w:rFonts w:hint="default"/>
      </w:rPr>
    </w:lvl>
    <w:lvl w:ilvl="3" w:tplc="A55EA13E">
      <w:numFmt w:val="bullet"/>
      <w:lvlText w:val="•"/>
      <w:lvlJc w:val="left"/>
      <w:pPr>
        <w:ind w:left="874" w:hanging="100"/>
      </w:pPr>
      <w:rPr>
        <w:rFonts w:hint="default"/>
      </w:rPr>
    </w:lvl>
    <w:lvl w:ilvl="4" w:tplc="471EB55A">
      <w:numFmt w:val="bullet"/>
      <w:lvlText w:val="•"/>
      <w:lvlJc w:val="left"/>
      <w:pPr>
        <w:ind w:left="1112" w:hanging="100"/>
      </w:pPr>
      <w:rPr>
        <w:rFonts w:hint="default"/>
      </w:rPr>
    </w:lvl>
    <w:lvl w:ilvl="5" w:tplc="DB56F21C">
      <w:numFmt w:val="bullet"/>
      <w:lvlText w:val="•"/>
      <w:lvlJc w:val="left"/>
      <w:pPr>
        <w:ind w:left="1350" w:hanging="100"/>
      </w:pPr>
      <w:rPr>
        <w:rFonts w:hint="default"/>
      </w:rPr>
    </w:lvl>
    <w:lvl w:ilvl="6" w:tplc="C276D164">
      <w:numFmt w:val="bullet"/>
      <w:lvlText w:val="•"/>
      <w:lvlJc w:val="left"/>
      <w:pPr>
        <w:ind w:left="1588" w:hanging="100"/>
      </w:pPr>
      <w:rPr>
        <w:rFonts w:hint="default"/>
      </w:rPr>
    </w:lvl>
    <w:lvl w:ilvl="7" w:tplc="92380C42">
      <w:numFmt w:val="bullet"/>
      <w:lvlText w:val="•"/>
      <w:lvlJc w:val="left"/>
      <w:pPr>
        <w:ind w:left="1826" w:hanging="100"/>
      </w:pPr>
      <w:rPr>
        <w:rFonts w:hint="default"/>
      </w:rPr>
    </w:lvl>
    <w:lvl w:ilvl="8" w:tplc="7E00682E">
      <w:numFmt w:val="bullet"/>
      <w:lvlText w:val="•"/>
      <w:lvlJc w:val="left"/>
      <w:pPr>
        <w:ind w:left="2064" w:hanging="100"/>
      </w:pPr>
      <w:rPr>
        <w:rFonts w:hint="default"/>
      </w:rPr>
    </w:lvl>
  </w:abstractNum>
  <w:abstractNum w:abstractNumId="915" w15:restartNumberingAfterBreak="0">
    <w:nsid w:val="3A784DCB"/>
    <w:multiLevelType w:val="hybridMultilevel"/>
    <w:tmpl w:val="68E69E32"/>
    <w:lvl w:ilvl="0" w:tplc="71565D26">
      <w:numFmt w:val="bullet"/>
      <w:lvlText w:val=""/>
      <w:lvlJc w:val="left"/>
      <w:pPr>
        <w:ind w:left="156" w:hanging="100"/>
      </w:pPr>
      <w:rPr>
        <w:rFonts w:ascii="Symbol" w:eastAsia="Symbol" w:hAnsi="Symbol" w:cs="Symbol" w:hint="default"/>
        <w:color w:val="231F20"/>
        <w:w w:val="100"/>
        <w:sz w:val="14"/>
        <w:szCs w:val="14"/>
      </w:rPr>
    </w:lvl>
    <w:lvl w:ilvl="1" w:tplc="00787BCA">
      <w:numFmt w:val="bullet"/>
      <w:lvlText w:val="•"/>
      <w:lvlJc w:val="left"/>
      <w:pPr>
        <w:ind w:left="301" w:hanging="100"/>
      </w:pPr>
      <w:rPr>
        <w:rFonts w:hint="default"/>
      </w:rPr>
    </w:lvl>
    <w:lvl w:ilvl="2" w:tplc="79DC81F8">
      <w:numFmt w:val="bullet"/>
      <w:lvlText w:val="•"/>
      <w:lvlJc w:val="left"/>
      <w:pPr>
        <w:ind w:left="443" w:hanging="100"/>
      </w:pPr>
      <w:rPr>
        <w:rFonts w:hint="default"/>
      </w:rPr>
    </w:lvl>
    <w:lvl w:ilvl="3" w:tplc="7A3E09BE">
      <w:numFmt w:val="bullet"/>
      <w:lvlText w:val="•"/>
      <w:lvlJc w:val="left"/>
      <w:pPr>
        <w:ind w:left="585" w:hanging="100"/>
      </w:pPr>
      <w:rPr>
        <w:rFonts w:hint="default"/>
      </w:rPr>
    </w:lvl>
    <w:lvl w:ilvl="4" w:tplc="1FE4EF34">
      <w:numFmt w:val="bullet"/>
      <w:lvlText w:val="•"/>
      <w:lvlJc w:val="left"/>
      <w:pPr>
        <w:ind w:left="726" w:hanging="100"/>
      </w:pPr>
      <w:rPr>
        <w:rFonts w:hint="default"/>
      </w:rPr>
    </w:lvl>
    <w:lvl w:ilvl="5" w:tplc="5BAE8600">
      <w:numFmt w:val="bullet"/>
      <w:lvlText w:val="•"/>
      <w:lvlJc w:val="left"/>
      <w:pPr>
        <w:ind w:left="868" w:hanging="100"/>
      </w:pPr>
      <w:rPr>
        <w:rFonts w:hint="default"/>
      </w:rPr>
    </w:lvl>
    <w:lvl w:ilvl="6" w:tplc="3A540900">
      <w:numFmt w:val="bullet"/>
      <w:lvlText w:val="•"/>
      <w:lvlJc w:val="left"/>
      <w:pPr>
        <w:ind w:left="1010" w:hanging="100"/>
      </w:pPr>
      <w:rPr>
        <w:rFonts w:hint="default"/>
      </w:rPr>
    </w:lvl>
    <w:lvl w:ilvl="7" w:tplc="C5D2BE88">
      <w:numFmt w:val="bullet"/>
      <w:lvlText w:val="•"/>
      <w:lvlJc w:val="left"/>
      <w:pPr>
        <w:ind w:left="1151" w:hanging="100"/>
      </w:pPr>
      <w:rPr>
        <w:rFonts w:hint="default"/>
      </w:rPr>
    </w:lvl>
    <w:lvl w:ilvl="8" w:tplc="FA36A092">
      <w:numFmt w:val="bullet"/>
      <w:lvlText w:val="•"/>
      <w:lvlJc w:val="left"/>
      <w:pPr>
        <w:ind w:left="1293" w:hanging="100"/>
      </w:pPr>
      <w:rPr>
        <w:rFonts w:hint="default"/>
      </w:rPr>
    </w:lvl>
  </w:abstractNum>
  <w:abstractNum w:abstractNumId="916" w15:restartNumberingAfterBreak="0">
    <w:nsid w:val="3A8C48F6"/>
    <w:multiLevelType w:val="hybridMultilevel"/>
    <w:tmpl w:val="8E8E5DF4"/>
    <w:lvl w:ilvl="0" w:tplc="E5548D88">
      <w:numFmt w:val="bullet"/>
      <w:lvlText w:val=""/>
      <w:lvlJc w:val="left"/>
      <w:pPr>
        <w:ind w:left="157" w:hanging="100"/>
      </w:pPr>
      <w:rPr>
        <w:rFonts w:ascii="Symbol" w:eastAsia="Symbol" w:hAnsi="Symbol" w:cs="Symbol" w:hint="default"/>
        <w:color w:val="231F20"/>
        <w:w w:val="100"/>
        <w:sz w:val="14"/>
        <w:szCs w:val="14"/>
      </w:rPr>
    </w:lvl>
    <w:lvl w:ilvl="1" w:tplc="2E3CF8DA">
      <w:numFmt w:val="bullet"/>
      <w:lvlText w:val="•"/>
      <w:lvlJc w:val="left"/>
      <w:pPr>
        <w:ind w:left="369" w:hanging="100"/>
      </w:pPr>
      <w:rPr>
        <w:rFonts w:hint="default"/>
      </w:rPr>
    </w:lvl>
    <w:lvl w:ilvl="2" w:tplc="5A004890">
      <w:numFmt w:val="bullet"/>
      <w:lvlText w:val="•"/>
      <w:lvlJc w:val="left"/>
      <w:pPr>
        <w:ind w:left="579" w:hanging="100"/>
      </w:pPr>
      <w:rPr>
        <w:rFonts w:hint="default"/>
      </w:rPr>
    </w:lvl>
    <w:lvl w:ilvl="3" w:tplc="1E6205FA">
      <w:numFmt w:val="bullet"/>
      <w:lvlText w:val="•"/>
      <w:lvlJc w:val="left"/>
      <w:pPr>
        <w:ind w:left="789" w:hanging="100"/>
      </w:pPr>
      <w:rPr>
        <w:rFonts w:hint="default"/>
      </w:rPr>
    </w:lvl>
    <w:lvl w:ilvl="4" w:tplc="7FDCA6F4">
      <w:numFmt w:val="bullet"/>
      <w:lvlText w:val="•"/>
      <w:lvlJc w:val="left"/>
      <w:pPr>
        <w:ind w:left="998" w:hanging="100"/>
      </w:pPr>
      <w:rPr>
        <w:rFonts w:hint="default"/>
      </w:rPr>
    </w:lvl>
    <w:lvl w:ilvl="5" w:tplc="6210951A">
      <w:numFmt w:val="bullet"/>
      <w:lvlText w:val="•"/>
      <w:lvlJc w:val="left"/>
      <w:pPr>
        <w:ind w:left="1208" w:hanging="100"/>
      </w:pPr>
      <w:rPr>
        <w:rFonts w:hint="default"/>
      </w:rPr>
    </w:lvl>
    <w:lvl w:ilvl="6" w:tplc="8CC83D14">
      <w:numFmt w:val="bullet"/>
      <w:lvlText w:val="•"/>
      <w:lvlJc w:val="left"/>
      <w:pPr>
        <w:ind w:left="1418" w:hanging="100"/>
      </w:pPr>
      <w:rPr>
        <w:rFonts w:hint="default"/>
      </w:rPr>
    </w:lvl>
    <w:lvl w:ilvl="7" w:tplc="ABC4F656">
      <w:numFmt w:val="bullet"/>
      <w:lvlText w:val="•"/>
      <w:lvlJc w:val="left"/>
      <w:pPr>
        <w:ind w:left="1627" w:hanging="100"/>
      </w:pPr>
      <w:rPr>
        <w:rFonts w:hint="default"/>
      </w:rPr>
    </w:lvl>
    <w:lvl w:ilvl="8" w:tplc="0C4E9106">
      <w:numFmt w:val="bullet"/>
      <w:lvlText w:val="•"/>
      <w:lvlJc w:val="left"/>
      <w:pPr>
        <w:ind w:left="1837" w:hanging="100"/>
      </w:pPr>
      <w:rPr>
        <w:rFonts w:hint="default"/>
      </w:rPr>
    </w:lvl>
  </w:abstractNum>
  <w:abstractNum w:abstractNumId="917" w15:restartNumberingAfterBreak="0">
    <w:nsid w:val="3AA1647E"/>
    <w:multiLevelType w:val="hybridMultilevel"/>
    <w:tmpl w:val="0824951C"/>
    <w:lvl w:ilvl="0" w:tplc="CC8A7852">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58763DBA">
      <w:numFmt w:val="bullet"/>
      <w:lvlText w:val="•"/>
      <w:lvlJc w:val="left"/>
      <w:pPr>
        <w:ind w:left="351" w:hanging="84"/>
      </w:pPr>
      <w:rPr>
        <w:rFonts w:hint="default"/>
      </w:rPr>
    </w:lvl>
    <w:lvl w:ilvl="2" w:tplc="6B8A252A">
      <w:numFmt w:val="bullet"/>
      <w:lvlText w:val="•"/>
      <w:lvlJc w:val="left"/>
      <w:pPr>
        <w:ind w:left="563" w:hanging="84"/>
      </w:pPr>
      <w:rPr>
        <w:rFonts w:hint="default"/>
      </w:rPr>
    </w:lvl>
    <w:lvl w:ilvl="3" w:tplc="06FA0E88">
      <w:numFmt w:val="bullet"/>
      <w:lvlText w:val="•"/>
      <w:lvlJc w:val="left"/>
      <w:pPr>
        <w:ind w:left="775" w:hanging="84"/>
      </w:pPr>
      <w:rPr>
        <w:rFonts w:hint="default"/>
      </w:rPr>
    </w:lvl>
    <w:lvl w:ilvl="4" w:tplc="D7B6FFCE">
      <w:numFmt w:val="bullet"/>
      <w:lvlText w:val="•"/>
      <w:lvlJc w:val="left"/>
      <w:pPr>
        <w:ind w:left="986" w:hanging="84"/>
      </w:pPr>
      <w:rPr>
        <w:rFonts w:hint="default"/>
      </w:rPr>
    </w:lvl>
    <w:lvl w:ilvl="5" w:tplc="12B8A336">
      <w:numFmt w:val="bullet"/>
      <w:lvlText w:val="•"/>
      <w:lvlJc w:val="left"/>
      <w:pPr>
        <w:ind w:left="1198" w:hanging="84"/>
      </w:pPr>
      <w:rPr>
        <w:rFonts w:hint="default"/>
      </w:rPr>
    </w:lvl>
    <w:lvl w:ilvl="6" w:tplc="E3FCEAEA">
      <w:numFmt w:val="bullet"/>
      <w:lvlText w:val="•"/>
      <w:lvlJc w:val="left"/>
      <w:pPr>
        <w:ind w:left="1410" w:hanging="84"/>
      </w:pPr>
      <w:rPr>
        <w:rFonts w:hint="default"/>
      </w:rPr>
    </w:lvl>
    <w:lvl w:ilvl="7" w:tplc="CB8EB794">
      <w:numFmt w:val="bullet"/>
      <w:lvlText w:val="•"/>
      <w:lvlJc w:val="left"/>
      <w:pPr>
        <w:ind w:left="1621" w:hanging="84"/>
      </w:pPr>
      <w:rPr>
        <w:rFonts w:hint="default"/>
      </w:rPr>
    </w:lvl>
    <w:lvl w:ilvl="8" w:tplc="37760388">
      <w:numFmt w:val="bullet"/>
      <w:lvlText w:val="•"/>
      <w:lvlJc w:val="left"/>
      <w:pPr>
        <w:ind w:left="1833" w:hanging="84"/>
      </w:pPr>
      <w:rPr>
        <w:rFonts w:hint="default"/>
      </w:rPr>
    </w:lvl>
  </w:abstractNum>
  <w:abstractNum w:abstractNumId="918" w15:restartNumberingAfterBreak="0">
    <w:nsid w:val="3AA20D42"/>
    <w:multiLevelType w:val="hybridMultilevel"/>
    <w:tmpl w:val="9E82516A"/>
    <w:lvl w:ilvl="0" w:tplc="E86AAC8E">
      <w:numFmt w:val="bullet"/>
      <w:lvlText w:val=""/>
      <w:lvlJc w:val="left"/>
      <w:pPr>
        <w:ind w:left="156" w:hanging="100"/>
      </w:pPr>
      <w:rPr>
        <w:rFonts w:ascii="Symbol" w:eastAsia="Symbol" w:hAnsi="Symbol" w:cs="Symbol" w:hint="default"/>
        <w:color w:val="231F20"/>
        <w:w w:val="100"/>
        <w:sz w:val="14"/>
        <w:szCs w:val="14"/>
      </w:rPr>
    </w:lvl>
    <w:lvl w:ilvl="1" w:tplc="3294DF0A">
      <w:numFmt w:val="bullet"/>
      <w:lvlText w:val="•"/>
      <w:lvlJc w:val="left"/>
      <w:pPr>
        <w:ind w:left="426" w:hanging="100"/>
      </w:pPr>
      <w:rPr>
        <w:rFonts w:hint="default"/>
      </w:rPr>
    </w:lvl>
    <w:lvl w:ilvl="2" w:tplc="0C462408">
      <w:numFmt w:val="bullet"/>
      <w:lvlText w:val="•"/>
      <w:lvlJc w:val="left"/>
      <w:pPr>
        <w:ind w:left="692" w:hanging="100"/>
      </w:pPr>
      <w:rPr>
        <w:rFonts w:hint="default"/>
      </w:rPr>
    </w:lvl>
    <w:lvl w:ilvl="3" w:tplc="BCFCB1F6">
      <w:numFmt w:val="bullet"/>
      <w:lvlText w:val="•"/>
      <w:lvlJc w:val="left"/>
      <w:pPr>
        <w:ind w:left="959" w:hanging="100"/>
      </w:pPr>
      <w:rPr>
        <w:rFonts w:hint="default"/>
      </w:rPr>
    </w:lvl>
    <w:lvl w:ilvl="4" w:tplc="A3A445EE">
      <w:numFmt w:val="bullet"/>
      <w:lvlText w:val="•"/>
      <w:lvlJc w:val="left"/>
      <w:pPr>
        <w:ind w:left="1225" w:hanging="100"/>
      </w:pPr>
      <w:rPr>
        <w:rFonts w:hint="default"/>
      </w:rPr>
    </w:lvl>
    <w:lvl w:ilvl="5" w:tplc="1D78C666">
      <w:numFmt w:val="bullet"/>
      <w:lvlText w:val="•"/>
      <w:lvlJc w:val="left"/>
      <w:pPr>
        <w:ind w:left="1492" w:hanging="100"/>
      </w:pPr>
      <w:rPr>
        <w:rFonts w:hint="default"/>
      </w:rPr>
    </w:lvl>
    <w:lvl w:ilvl="6" w:tplc="EA42A2E8">
      <w:numFmt w:val="bullet"/>
      <w:lvlText w:val="•"/>
      <w:lvlJc w:val="left"/>
      <w:pPr>
        <w:ind w:left="1758" w:hanging="100"/>
      </w:pPr>
      <w:rPr>
        <w:rFonts w:hint="default"/>
      </w:rPr>
    </w:lvl>
    <w:lvl w:ilvl="7" w:tplc="3B520778">
      <w:numFmt w:val="bullet"/>
      <w:lvlText w:val="•"/>
      <w:lvlJc w:val="left"/>
      <w:pPr>
        <w:ind w:left="2024" w:hanging="100"/>
      </w:pPr>
      <w:rPr>
        <w:rFonts w:hint="default"/>
      </w:rPr>
    </w:lvl>
    <w:lvl w:ilvl="8" w:tplc="C408DD90">
      <w:numFmt w:val="bullet"/>
      <w:lvlText w:val="•"/>
      <w:lvlJc w:val="left"/>
      <w:pPr>
        <w:ind w:left="2291" w:hanging="100"/>
      </w:pPr>
      <w:rPr>
        <w:rFonts w:hint="default"/>
      </w:rPr>
    </w:lvl>
  </w:abstractNum>
  <w:abstractNum w:abstractNumId="919" w15:restartNumberingAfterBreak="0">
    <w:nsid w:val="3AD12D15"/>
    <w:multiLevelType w:val="hybridMultilevel"/>
    <w:tmpl w:val="742E8A24"/>
    <w:lvl w:ilvl="0" w:tplc="F3A6EA9C">
      <w:numFmt w:val="bullet"/>
      <w:lvlText w:val=""/>
      <w:lvlJc w:val="left"/>
      <w:pPr>
        <w:ind w:left="156" w:hanging="100"/>
      </w:pPr>
      <w:rPr>
        <w:rFonts w:ascii="Symbol" w:eastAsia="Symbol" w:hAnsi="Symbol" w:cs="Symbol" w:hint="default"/>
        <w:color w:val="231F20"/>
        <w:w w:val="100"/>
        <w:sz w:val="14"/>
        <w:szCs w:val="14"/>
      </w:rPr>
    </w:lvl>
    <w:lvl w:ilvl="1" w:tplc="DF80E4DA">
      <w:numFmt w:val="bullet"/>
      <w:lvlText w:val="•"/>
      <w:lvlJc w:val="left"/>
      <w:pPr>
        <w:ind w:left="301" w:hanging="100"/>
      </w:pPr>
      <w:rPr>
        <w:rFonts w:hint="default"/>
      </w:rPr>
    </w:lvl>
    <w:lvl w:ilvl="2" w:tplc="0A722A2E">
      <w:numFmt w:val="bullet"/>
      <w:lvlText w:val="•"/>
      <w:lvlJc w:val="left"/>
      <w:pPr>
        <w:ind w:left="443" w:hanging="100"/>
      </w:pPr>
      <w:rPr>
        <w:rFonts w:hint="default"/>
      </w:rPr>
    </w:lvl>
    <w:lvl w:ilvl="3" w:tplc="799E1A92">
      <w:numFmt w:val="bullet"/>
      <w:lvlText w:val="•"/>
      <w:lvlJc w:val="left"/>
      <w:pPr>
        <w:ind w:left="585" w:hanging="100"/>
      </w:pPr>
      <w:rPr>
        <w:rFonts w:hint="default"/>
      </w:rPr>
    </w:lvl>
    <w:lvl w:ilvl="4" w:tplc="9CD66158">
      <w:numFmt w:val="bullet"/>
      <w:lvlText w:val="•"/>
      <w:lvlJc w:val="left"/>
      <w:pPr>
        <w:ind w:left="726" w:hanging="100"/>
      </w:pPr>
      <w:rPr>
        <w:rFonts w:hint="default"/>
      </w:rPr>
    </w:lvl>
    <w:lvl w:ilvl="5" w:tplc="CC86AA48">
      <w:numFmt w:val="bullet"/>
      <w:lvlText w:val="•"/>
      <w:lvlJc w:val="left"/>
      <w:pPr>
        <w:ind w:left="868" w:hanging="100"/>
      </w:pPr>
      <w:rPr>
        <w:rFonts w:hint="default"/>
      </w:rPr>
    </w:lvl>
    <w:lvl w:ilvl="6" w:tplc="28EC2B78">
      <w:numFmt w:val="bullet"/>
      <w:lvlText w:val="•"/>
      <w:lvlJc w:val="left"/>
      <w:pPr>
        <w:ind w:left="1010" w:hanging="100"/>
      </w:pPr>
      <w:rPr>
        <w:rFonts w:hint="default"/>
      </w:rPr>
    </w:lvl>
    <w:lvl w:ilvl="7" w:tplc="23AE15C0">
      <w:numFmt w:val="bullet"/>
      <w:lvlText w:val="•"/>
      <w:lvlJc w:val="left"/>
      <w:pPr>
        <w:ind w:left="1151" w:hanging="100"/>
      </w:pPr>
      <w:rPr>
        <w:rFonts w:hint="default"/>
      </w:rPr>
    </w:lvl>
    <w:lvl w:ilvl="8" w:tplc="C1EC2F3E">
      <w:numFmt w:val="bullet"/>
      <w:lvlText w:val="•"/>
      <w:lvlJc w:val="left"/>
      <w:pPr>
        <w:ind w:left="1293" w:hanging="100"/>
      </w:pPr>
      <w:rPr>
        <w:rFonts w:hint="default"/>
      </w:rPr>
    </w:lvl>
  </w:abstractNum>
  <w:abstractNum w:abstractNumId="920" w15:restartNumberingAfterBreak="0">
    <w:nsid w:val="3AF74D59"/>
    <w:multiLevelType w:val="hybridMultilevel"/>
    <w:tmpl w:val="48D439FE"/>
    <w:lvl w:ilvl="0" w:tplc="3B92BC2E">
      <w:numFmt w:val="bullet"/>
      <w:lvlText w:val=""/>
      <w:lvlJc w:val="left"/>
      <w:pPr>
        <w:ind w:left="156" w:hanging="100"/>
      </w:pPr>
      <w:rPr>
        <w:rFonts w:ascii="Symbol" w:eastAsia="Symbol" w:hAnsi="Symbol" w:cs="Symbol" w:hint="default"/>
        <w:color w:val="231F20"/>
        <w:w w:val="100"/>
        <w:sz w:val="14"/>
        <w:szCs w:val="14"/>
      </w:rPr>
    </w:lvl>
    <w:lvl w:ilvl="1" w:tplc="A1C6D7FE">
      <w:numFmt w:val="bullet"/>
      <w:lvlText w:val="•"/>
      <w:lvlJc w:val="left"/>
      <w:pPr>
        <w:ind w:left="301" w:hanging="100"/>
      </w:pPr>
      <w:rPr>
        <w:rFonts w:hint="default"/>
      </w:rPr>
    </w:lvl>
    <w:lvl w:ilvl="2" w:tplc="CF14CCD2">
      <w:numFmt w:val="bullet"/>
      <w:lvlText w:val="•"/>
      <w:lvlJc w:val="left"/>
      <w:pPr>
        <w:ind w:left="443" w:hanging="100"/>
      </w:pPr>
      <w:rPr>
        <w:rFonts w:hint="default"/>
      </w:rPr>
    </w:lvl>
    <w:lvl w:ilvl="3" w:tplc="2E421E36">
      <w:numFmt w:val="bullet"/>
      <w:lvlText w:val="•"/>
      <w:lvlJc w:val="left"/>
      <w:pPr>
        <w:ind w:left="585" w:hanging="100"/>
      </w:pPr>
      <w:rPr>
        <w:rFonts w:hint="default"/>
      </w:rPr>
    </w:lvl>
    <w:lvl w:ilvl="4" w:tplc="605E86B6">
      <w:numFmt w:val="bullet"/>
      <w:lvlText w:val="•"/>
      <w:lvlJc w:val="left"/>
      <w:pPr>
        <w:ind w:left="726" w:hanging="100"/>
      </w:pPr>
      <w:rPr>
        <w:rFonts w:hint="default"/>
      </w:rPr>
    </w:lvl>
    <w:lvl w:ilvl="5" w:tplc="94D2B894">
      <w:numFmt w:val="bullet"/>
      <w:lvlText w:val="•"/>
      <w:lvlJc w:val="left"/>
      <w:pPr>
        <w:ind w:left="868" w:hanging="100"/>
      </w:pPr>
      <w:rPr>
        <w:rFonts w:hint="default"/>
      </w:rPr>
    </w:lvl>
    <w:lvl w:ilvl="6" w:tplc="AB50C64C">
      <w:numFmt w:val="bullet"/>
      <w:lvlText w:val="•"/>
      <w:lvlJc w:val="left"/>
      <w:pPr>
        <w:ind w:left="1010" w:hanging="100"/>
      </w:pPr>
      <w:rPr>
        <w:rFonts w:hint="default"/>
      </w:rPr>
    </w:lvl>
    <w:lvl w:ilvl="7" w:tplc="D86C46F4">
      <w:numFmt w:val="bullet"/>
      <w:lvlText w:val="•"/>
      <w:lvlJc w:val="left"/>
      <w:pPr>
        <w:ind w:left="1151" w:hanging="100"/>
      </w:pPr>
      <w:rPr>
        <w:rFonts w:hint="default"/>
      </w:rPr>
    </w:lvl>
    <w:lvl w:ilvl="8" w:tplc="8974BB5A">
      <w:numFmt w:val="bullet"/>
      <w:lvlText w:val="•"/>
      <w:lvlJc w:val="left"/>
      <w:pPr>
        <w:ind w:left="1293" w:hanging="100"/>
      </w:pPr>
      <w:rPr>
        <w:rFonts w:hint="default"/>
      </w:rPr>
    </w:lvl>
  </w:abstractNum>
  <w:abstractNum w:abstractNumId="921" w15:restartNumberingAfterBreak="0">
    <w:nsid w:val="3B0611E5"/>
    <w:multiLevelType w:val="hybridMultilevel"/>
    <w:tmpl w:val="81AE6F78"/>
    <w:lvl w:ilvl="0" w:tplc="CBDA036A">
      <w:numFmt w:val="bullet"/>
      <w:lvlText w:val=""/>
      <w:lvlJc w:val="left"/>
      <w:pPr>
        <w:ind w:left="156" w:hanging="100"/>
      </w:pPr>
      <w:rPr>
        <w:rFonts w:ascii="Symbol" w:eastAsia="Symbol" w:hAnsi="Symbol" w:cs="Symbol" w:hint="default"/>
        <w:color w:val="231F20"/>
        <w:w w:val="100"/>
        <w:sz w:val="14"/>
        <w:szCs w:val="14"/>
      </w:rPr>
    </w:lvl>
    <w:lvl w:ilvl="1" w:tplc="3A902284">
      <w:numFmt w:val="bullet"/>
      <w:lvlText w:val="•"/>
      <w:lvlJc w:val="left"/>
      <w:pPr>
        <w:ind w:left="301" w:hanging="100"/>
      </w:pPr>
      <w:rPr>
        <w:rFonts w:hint="default"/>
      </w:rPr>
    </w:lvl>
    <w:lvl w:ilvl="2" w:tplc="A9C80776">
      <w:numFmt w:val="bullet"/>
      <w:lvlText w:val="•"/>
      <w:lvlJc w:val="left"/>
      <w:pPr>
        <w:ind w:left="443" w:hanging="100"/>
      </w:pPr>
      <w:rPr>
        <w:rFonts w:hint="default"/>
      </w:rPr>
    </w:lvl>
    <w:lvl w:ilvl="3" w:tplc="9FC278AC">
      <w:numFmt w:val="bullet"/>
      <w:lvlText w:val="•"/>
      <w:lvlJc w:val="left"/>
      <w:pPr>
        <w:ind w:left="585" w:hanging="100"/>
      </w:pPr>
      <w:rPr>
        <w:rFonts w:hint="default"/>
      </w:rPr>
    </w:lvl>
    <w:lvl w:ilvl="4" w:tplc="F41EBBF8">
      <w:numFmt w:val="bullet"/>
      <w:lvlText w:val="•"/>
      <w:lvlJc w:val="left"/>
      <w:pPr>
        <w:ind w:left="726" w:hanging="100"/>
      </w:pPr>
      <w:rPr>
        <w:rFonts w:hint="default"/>
      </w:rPr>
    </w:lvl>
    <w:lvl w:ilvl="5" w:tplc="CEFADF54">
      <w:numFmt w:val="bullet"/>
      <w:lvlText w:val="•"/>
      <w:lvlJc w:val="left"/>
      <w:pPr>
        <w:ind w:left="868" w:hanging="100"/>
      </w:pPr>
      <w:rPr>
        <w:rFonts w:hint="default"/>
      </w:rPr>
    </w:lvl>
    <w:lvl w:ilvl="6" w:tplc="4E8E11CE">
      <w:numFmt w:val="bullet"/>
      <w:lvlText w:val="•"/>
      <w:lvlJc w:val="left"/>
      <w:pPr>
        <w:ind w:left="1010" w:hanging="100"/>
      </w:pPr>
      <w:rPr>
        <w:rFonts w:hint="default"/>
      </w:rPr>
    </w:lvl>
    <w:lvl w:ilvl="7" w:tplc="67D26F74">
      <w:numFmt w:val="bullet"/>
      <w:lvlText w:val="•"/>
      <w:lvlJc w:val="left"/>
      <w:pPr>
        <w:ind w:left="1151" w:hanging="100"/>
      </w:pPr>
      <w:rPr>
        <w:rFonts w:hint="default"/>
      </w:rPr>
    </w:lvl>
    <w:lvl w:ilvl="8" w:tplc="20FCB3B0">
      <w:numFmt w:val="bullet"/>
      <w:lvlText w:val="•"/>
      <w:lvlJc w:val="left"/>
      <w:pPr>
        <w:ind w:left="1293" w:hanging="100"/>
      </w:pPr>
      <w:rPr>
        <w:rFonts w:hint="default"/>
      </w:rPr>
    </w:lvl>
  </w:abstractNum>
  <w:abstractNum w:abstractNumId="922" w15:restartNumberingAfterBreak="0">
    <w:nsid w:val="3B097EA4"/>
    <w:multiLevelType w:val="hybridMultilevel"/>
    <w:tmpl w:val="66CE607C"/>
    <w:lvl w:ilvl="0" w:tplc="09CE7434">
      <w:numFmt w:val="bullet"/>
      <w:lvlText w:val=""/>
      <w:lvlJc w:val="left"/>
      <w:pPr>
        <w:ind w:left="157" w:hanging="100"/>
      </w:pPr>
      <w:rPr>
        <w:rFonts w:ascii="Symbol" w:eastAsia="Symbol" w:hAnsi="Symbol" w:cs="Symbol" w:hint="default"/>
        <w:color w:val="231F20"/>
        <w:w w:val="100"/>
        <w:sz w:val="14"/>
        <w:szCs w:val="14"/>
      </w:rPr>
    </w:lvl>
    <w:lvl w:ilvl="1" w:tplc="5D96A348">
      <w:numFmt w:val="bullet"/>
      <w:lvlText w:val="•"/>
      <w:lvlJc w:val="left"/>
      <w:pPr>
        <w:ind w:left="369" w:hanging="100"/>
      </w:pPr>
      <w:rPr>
        <w:rFonts w:hint="default"/>
      </w:rPr>
    </w:lvl>
    <w:lvl w:ilvl="2" w:tplc="928A5982">
      <w:numFmt w:val="bullet"/>
      <w:lvlText w:val="•"/>
      <w:lvlJc w:val="left"/>
      <w:pPr>
        <w:ind w:left="579" w:hanging="100"/>
      </w:pPr>
      <w:rPr>
        <w:rFonts w:hint="default"/>
      </w:rPr>
    </w:lvl>
    <w:lvl w:ilvl="3" w:tplc="5686BBF4">
      <w:numFmt w:val="bullet"/>
      <w:lvlText w:val="•"/>
      <w:lvlJc w:val="left"/>
      <w:pPr>
        <w:ind w:left="789" w:hanging="100"/>
      </w:pPr>
      <w:rPr>
        <w:rFonts w:hint="default"/>
      </w:rPr>
    </w:lvl>
    <w:lvl w:ilvl="4" w:tplc="153CF70E">
      <w:numFmt w:val="bullet"/>
      <w:lvlText w:val="•"/>
      <w:lvlJc w:val="left"/>
      <w:pPr>
        <w:ind w:left="998" w:hanging="100"/>
      </w:pPr>
      <w:rPr>
        <w:rFonts w:hint="default"/>
      </w:rPr>
    </w:lvl>
    <w:lvl w:ilvl="5" w:tplc="9A4E3DA6">
      <w:numFmt w:val="bullet"/>
      <w:lvlText w:val="•"/>
      <w:lvlJc w:val="left"/>
      <w:pPr>
        <w:ind w:left="1208" w:hanging="100"/>
      </w:pPr>
      <w:rPr>
        <w:rFonts w:hint="default"/>
      </w:rPr>
    </w:lvl>
    <w:lvl w:ilvl="6" w:tplc="67C2FB5C">
      <w:numFmt w:val="bullet"/>
      <w:lvlText w:val="•"/>
      <w:lvlJc w:val="left"/>
      <w:pPr>
        <w:ind w:left="1418" w:hanging="100"/>
      </w:pPr>
      <w:rPr>
        <w:rFonts w:hint="default"/>
      </w:rPr>
    </w:lvl>
    <w:lvl w:ilvl="7" w:tplc="96A49A32">
      <w:numFmt w:val="bullet"/>
      <w:lvlText w:val="•"/>
      <w:lvlJc w:val="left"/>
      <w:pPr>
        <w:ind w:left="1627" w:hanging="100"/>
      </w:pPr>
      <w:rPr>
        <w:rFonts w:hint="default"/>
      </w:rPr>
    </w:lvl>
    <w:lvl w:ilvl="8" w:tplc="09624AF8">
      <w:numFmt w:val="bullet"/>
      <w:lvlText w:val="•"/>
      <w:lvlJc w:val="left"/>
      <w:pPr>
        <w:ind w:left="1837" w:hanging="100"/>
      </w:pPr>
      <w:rPr>
        <w:rFonts w:hint="default"/>
      </w:rPr>
    </w:lvl>
  </w:abstractNum>
  <w:abstractNum w:abstractNumId="923" w15:restartNumberingAfterBreak="0">
    <w:nsid w:val="3B0A3B6C"/>
    <w:multiLevelType w:val="hybridMultilevel"/>
    <w:tmpl w:val="B83C5492"/>
    <w:lvl w:ilvl="0" w:tplc="E0640CE8">
      <w:numFmt w:val="bullet"/>
      <w:lvlText w:val=""/>
      <w:lvlJc w:val="left"/>
      <w:pPr>
        <w:ind w:left="156" w:hanging="100"/>
      </w:pPr>
      <w:rPr>
        <w:rFonts w:ascii="Symbol" w:eastAsia="Symbol" w:hAnsi="Symbol" w:cs="Symbol" w:hint="default"/>
        <w:color w:val="231F20"/>
        <w:w w:val="100"/>
        <w:sz w:val="14"/>
        <w:szCs w:val="14"/>
      </w:rPr>
    </w:lvl>
    <w:lvl w:ilvl="1" w:tplc="A3E046B0">
      <w:numFmt w:val="bullet"/>
      <w:lvlText w:val="•"/>
      <w:lvlJc w:val="left"/>
      <w:pPr>
        <w:ind w:left="398" w:hanging="100"/>
      </w:pPr>
      <w:rPr>
        <w:rFonts w:hint="default"/>
      </w:rPr>
    </w:lvl>
    <w:lvl w:ilvl="2" w:tplc="448C0492">
      <w:numFmt w:val="bullet"/>
      <w:lvlText w:val="•"/>
      <w:lvlJc w:val="left"/>
      <w:pPr>
        <w:ind w:left="636" w:hanging="100"/>
      </w:pPr>
      <w:rPr>
        <w:rFonts w:hint="default"/>
      </w:rPr>
    </w:lvl>
    <w:lvl w:ilvl="3" w:tplc="93746C76">
      <w:numFmt w:val="bullet"/>
      <w:lvlText w:val="•"/>
      <w:lvlJc w:val="left"/>
      <w:pPr>
        <w:ind w:left="874" w:hanging="100"/>
      </w:pPr>
      <w:rPr>
        <w:rFonts w:hint="default"/>
      </w:rPr>
    </w:lvl>
    <w:lvl w:ilvl="4" w:tplc="7CC8A226">
      <w:numFmt w:val="bullet"/>
      <w:lvlText w:val="•"/>
      <w:lvlJc w:val="left"/>
      <w:pPr>
        <w:ind w:left="1112" w:hanging="100"/>
      </w:pPr>
      <w:rPr>
        <w:rFonts w:hint="default"/>
      </w:rPr>
    </w:lvl>
    <w:lvl w:ilvl="5" w:tplc="22F44F5C">
      <w:numFmt w:val="bullet"/>
      <w:lvlText w:val="•"/>
      <w:lvlJc w:val="left"/>
      <w:pPr>
        <w:ind w:left="1350" w:hanging="100"/>
      </w:pPr>
      <w:rPr>
        <w:rFonts w:hint="default"/>
      </w:rPr>
    </w:lvl>
    <w:lvl w:ilvl="6" w:tplc="F5AA3DE4">
      <w:numFmt w:val="bullet"/>
      <w:lvlText w:val="•"/>
      <w:lvlJc w:val="left"/>
      <w:pPr>
        <w:ind w:left="1588" w:hanging="100"/>
      </w:pPr>
      <w:rPr>
        <w:rFonts w:hint="default"/>
      </w:rPr>
    </w:lvl>
    <w:lvl w:ilvl="7" w:tplc="B8D68A82">
      <w:numFmt w:val="bullet"/>
      <w:lvlText w:val="•"/>
      <w:lvlJc w:val="left"/>
      <w:pPr>
        <w:ind w:left="1826" w:hanging="100"/>
      </w:pPr>
      <w:rPr>
        <w:rFonts w:hint="default"/>
      </w:rPr>
    </w:lvl>
    <w:lvl w:ilvl="8" w:tplc="39EEDBCE">
      <w:numFmt w:val="bullet"/>
      <w:lvlText w:val="•"/>
      <w:lvlJc w:val="left"/>
      <w:pPr>
        <w:ind w:left="2064" w:hanging="100"/>
      </w:pPr>
      <w:rPr>
        <w:rFonts w:hint="default"/>
      </w:rPr>
    </w:lvl>
  </w:abstractNum>
  <w:abstractNum w:abstractNumId="924" w15:restartNumberingAfterBreak="0">
    <w:nsid w:val="3B1E1C1C"/>
    <w:multiLevelType w:val="hybridMultilevel"/>
    <w:tmpl w:val="4EBC0764"/>
    <w:lvl w:ilvl="0" w:tplc="F920C200">
      <w:numFmt w:val="bullet"/>
      <w:lvlText w:val=""/>
      <w:lvlJc w:val="left"/>
      <w:pPr>
        <w:ind w:left="157" w:hanging="100"/>
      </w:pPr>
      <w:rPr>
        <w:rFonts w:ascii="Symbol" w:eastAsia="Symbol" w:hAnsi="Symbol" w:cs="Symbol" w:hint="default"/>
        <w:color w:val="231F20"/>
        <w:w w:val="100"/>
        <w:sz w:val="14"/>
        <w:szCs w:val="14"/>
      </w:rPr>
    </w:lvl>
    <w:lvl w:ilvl="1" w:tplc="206EA816">
      <w:numFmt w:val="bullet"/>
      <w:lvlText w:val="•"/>
      <w:lvlJc w:val="left"/>
      <w:pPr>
        <w:ind w:left="426" w:hanging="100"/>
      </w:pPr>
      <w:rPr>
        <w:rFonts w:hint="default"/>
      </w:rPr>
    </w:lvl>
    <w:lvl w:ilvl="2" w:tplc="C8C4A834">
      <w:numFmt w:val="bullet"/>
      <w:lvlText w:val="•"/>
      <w:lvlJc w:val="left"/>
      <w:pPr>
        <w:ind w:left="692" w:hanging="100"/>
      </w:pPr>
      <w:rPr>
        <w:rFonts w:hint="default"/>
      </w:rPr>
    </w:lvl>
    <w:lvl w:ilvl="3" w:tplc="7DE08224">
      <w:numFmt w:val="bullet"/>
      <w:lvlText w:val="•"/>
      <w:lvlJc w:val="left"/>
      <w:pPr>
        <w:ind w:left="959" w:hanging="100"/>
      </w:pPr>
      <w:rPr>
        <w:rFonts w:hint="default"/>
      </w:rPr>
    </w:lvl>
    <w:lvl w:ilvl="4" w:tplc="2E2809E0">
      <w:numFmt w:val="bullet"/>
      <w:lvlText w:val="•"/>
      <w:lvlJc w:val="left"/>
      <w:pPr>
        <w:ind w:left="1225" w:hanging="100"/>
      </w:pPr>
      <w:rPr>
        <w:rFonts w:hint="default"/>
      </w:rPr>
    </w:lvl>
    <w:lvl w:ilvl="5" w:tplc="23721314">
      <w:numFmt w:val="bullet"/>
      <w:lvlText w:val="•"/>
      <w:lvlJc w:val="left"/>
      <w:pPr>
        <w:ind w:left="1492" w:hanging="100"/>
      </w:pPr>
      <w:rPr>
        <w:rFonts w:hint="default"/>
      </w:rPr>
    </w:lvl>
    <w:lvl w:ilvl="6" w:tplc="3474CF8A">
      <w:numFmt w:val="bullet"/>
      <w:lvlText w:val="•"/>
      <w:lvlJc w:val="left"/>
      <w:pPr>
        <w:ind w:left="1758" w:hanging="100"/>
      </w:pPr>
      <w:rPr>
        <w:rFonts w:hint="default"/>
      </w:rPr>
    </w:lvl>
    <w:lvl w:ilvl="7" w:tplc="9D229D8A">
      <w:numFmt w:val="bullet"/>
      <w:lvlText w:val="•"/>
      <w:lvlJc w:val="left"/>
      <w:pPr>
        <w:ind w:left="2024" w:hanging="100"/>
      </w:pPr>
      <w:rPr>
        <w:rFonts w:hint="default"/>
      </w:rPr>
    </w:lvl>
    <w:lvl w:ilvl="8" w:tplc="497A63FC">
      <w:numFmt w:val="bullet"/>
      <w:lvlText w:val="•"/>
      <w:lvlJc w:val="left"/>
      <w:pPr>
        <w:ind w:left="2291" w:hanging="100"/>
      </w:pPr>
      <w:rPr>
        <w:rFonts w:hint="default"/>
      </w:rPr>
    </w:lvl>
  </w:abstractNum>
  <w:abstractNum w:abstractNumId="925" w15:restartNumberingAfterBreak="0">
    <w:nsid w:val="3B270EDB"/>
    <w:multiLevelType w:val="hybridMultilevel"/>
    <w:tmpl w:val="32CE6684"/>
    <w:lvl w:ilvl="0" w:tplc="3F0E7158">
      <w:numFmt w:val="bullet"/>
      <w:lvlText w:val=""/>
      <w:lvlJc w:val="left"/>
      <w:pPr>
        <w:ind w:left="156" w:hanging="100"/>
      </w:pPr>
      <w:rPr>
        <w:rFonts w:ascii="Symbol" w:eastAsia="Symbol" w:hAnsi="Symbol" w:cs="Symbol" w:hint="default"/>
        <w:color w:val="231F20"/>
        <w:w w:val="100"/>
        <w:sz w:val="14"/>
        <w:szCs w:val="14"/>
      </w:rPr>
    </w:lvl>
    <w:lvl w:ilvl="1" w:tplc="AE1C04F6">
      <w:numFmt w:val="bullet"/>
      <w:lvlText w:val="•"/>
      <w:lvlJc w:val="left"/>
      <w:pPr>
        <w:ind w:left="426" w:hanging="100"/>
      </w:pPr>
      <w:rPr>
        <w:rFonts w:hint="default"/>
      </w:rPr>
    </w:lvl>
    <w:lvl w:ilvl="2" w:tplc="B40EF67E">
      <w:numFmt w:val="bullet"/>
      <w:lvlText w:val="•"/>
      <w:lvlJc w:val="left"/>
      <w:pPr>
        <w:ind w:left="692" w:hanging="100"/>
      </w:pPr>
      <w:rPr>
        <w:rFonts w:hint="default"/>
      </w:rPr>
    </w:lvl>
    <w:lvl w:ilvl="3" w:tplc="D3588BAE">
      <w:numFmt w:val="bullet"/>
      <w:lvlText w:val="•"/>
      <w:lvlJc w:val="left"/>
      <w:pPr>
        <w:ind w:left="959" w:hanging="100"/>
      </w:pPr>
      <w:rPr>
        <w:rFonts w:hint="default"/>
      </w:rPr>
    </w:lvl>
    <w:lvl w:ilvl="4" w:tplc="FE8CD026">
      <w:numFmt w:val="bullet"/>
      <w:lvlText w:val="•"/>
      <w:lvlJc w:val="left"/>
      <w:pPr>
        <w:ind w:left="1225" w:hanging="100"/>
      </w:pPr>
      <w:rPr>
        <w:rFonts w:hint="default"/>
      </w:rPr>
    </w:lvl>
    <w:lvl w:ilvl="5" w:tplc="F454FEA8">
      <w:numFmt w:val="bullet"/>
      <w:lvlText w:val="•"/>
      <w:lvlJc w:val="left"/>
      <w:pPr>
        <w:ind w:left="1492" w:hanging="100"/>
      </w:pPr>
      <w:rPr>
        <w:rFonts w:hint="default"/>
      </w:rPr>
    </w:lvl>
    <w:lvl w:ilvl="6" w:tplc="2CCA9A74">
      <w:numFmt w:val="bullet"/>
      <w:lvlText w:val="•"/>
      <w:lvlJc w:val="left"/>
      <w:pPr>
        <w:ind w:left="1758" w:hanging="100"/>
      </w:pPr>
      <w:rPr>
        <w:rFonts w:hint="default"/>
      </w:rPr>
    </w:lvl>
    <w:lvl w:ilvl="7" w:tplc="F210E3AC">
      <w:numFmt w:val="bullet"/>
      <w:lvlText w:val="•"/>
      <w:lvlJc w:val="left"/>
      <w:pPr>
        <w:ind w:left="2024" w:hanging="100"/>
      </w:pPr>
      <w:rPr>
        <w:rFonts w:hint="default"/>
      </w:rPr>
    </w:lvl>
    <w:lvl w:ilvl="8" w:tplc="0392775A">
      <w:numFmt w:val="bullet"/>
      <w:lvlText w:val="•"/>
      <w:lvlJc w:val="left"/>
      <w:pPr>
        <w:ind w:left="2291" w:hanging="100"/>
      </w:pPr>
      <w:rPr>
        <w:rFonts w:hint="default"/>
      </w:rPr>
    </w:lvl>
  </w:abstractNum>
  <w:abstractNum w:abstractNumId="926" w15:restartNumberingAfterBreak="0">
    <w:nsid w:val="3B404591"/>
    <w:multiLevelType w:val="hybridMultilevel"/>
    <w:tmpl w:val="152ECDBE"/>
    <w:lvl w:ilvl="0" w:tplc="8F6A6BE2">
      <w:numFmt w:val="bullet"/>
      <w:lvlText w:val=""/>
      <w:lvlJc w:val="left"/>
      <w:pPr>
        <w:ind w:left="156" w:hanging="100"/>
      </w:pPr>
      <w:rPr>
        <w:rFonts w:ascii="Symbol" w:eastAsia="Symbol" w:hAnsi="Symbol" w:cs="Symbol" w:hint="default"/>
        <w:color w:val="231F20"/>
        <w:w w:val="100"/>
        <w:sz w:val="14"/>
        <w:szCs w:val="14"/>
      </w:rPr>
    </w:lvl>
    <w:lvl w:ilvl="1" w:tplc="57EEB786">
      <w:numFmt w:val="bullet"/>
      <w:lvlText w:val="•"/>
      <w:lvlJc w:val="left"/>
      <w:pPr>
        <w:ind w:left="398" w:hanging="100"/>
      </w:pPr>
      <w:rPr>
        <w:rFonts w:hint="default"/>
      </w:rPr>
    </w:lvl>
    <w:lvl w:ilvl="2" w:tplc="12FCA902">
      <w:numFmt w:val="bullet"/>
      <w:lvlText w:val="•"/>
      <w:lvlJc w:val="left"/>
      <w:pPr>
        <w:ind w:left="636" w:hanging="100"/>
      </w:pPr>
      <w:rPr>
        <w:rFonts w:hint="default"/>
      </w:rPr>
    </w:lvl>
    <w:lvl w:ilvl="3" w:tplc="46B2A888">
      <w:numFmt w:val="bullet"/>
      <w:lvlText w:val="•"/>
      <w:lvlJc w:val="left"/>
      <w:pPr>
        <w:ind w:left="874" w:hanging="100"/>
      </w:pPr>
      <w:rPr>
        <w:rFonts w:hint="default"/>
      </w:rPr>
    </w:lvl>
    <w:lvl w:ilvl="4" w:tplc="092C3BB4">
      <w:numFmt w:val="bullet"/>
      <w:lvlText w:val="•"/>
      <w:lvlJc w:val="left"/>
      <w:pPr>
        <w:ind w:left="1112" w:hanging="100"/>
      </w:pPr>
      <w:rPr>
        <w:rFonts w:hint="default"/>
      </w:rPr>
    </w:lvl>
    <w:lvl w:ilvl="5" w:tplc="E0A6ED4E">
      <w:numFmt w:val="bullet"/>
      <w:lvlText w:val="•"/>
      <w:lvlJc w:val="left"/>
      <w:pPr>
        <w:ind w:left="1350" w:hanging="100"/>
      </w:pPr>
      <w:rPr>
        <w:rFonts w:hint="default"/>
      </w:rPr>
    </w:lvl>
    <w:lvl w:ilvl="6" w:tplc="5C3E4AD4">
      <w:numFmt w:val="bullet"/>
      <w:lvlText w:val="•"/>
      <w:lvlJc w:val="left"/>
      <w:pPr>
        <w:ind w:left="1588" w:hanging="100"/>
      </w:pPr>
      <w:rPr>
        <w:rFonts w:hint="default"/>
      </w:rPr>
    </w:lvl>
    <w:lvl w:ilvl="7" w:tplc="21D2F950">
      <w:numFmt w:val="bullet"/>
      <w:lvlText w:val="•"/>
      <w:lvlJc w:val="left"/>
      <w:pPr>
        <w:ind w:left="1826" w:hanging="100"/>
      </w:pPr>
      <w:rPr>
        <w:rFonts w:hint="default"/>
      </w:rPr>
    </w:lvl>
    <w:lvl w:ilvl="8" w:tplc="FB2C69E2">
      <w:numFmt w:val="bullet"/>
      <w:lvlText w:val="•"/>
      <w:lvlJc w:val="left"/>
      <w:pPr>
        <w:ind w:left="2064" w:hanging="100"/>
      </w:pPr>
      <w:rPr>
        <w:rFonts w:hint="default"/>
      </w:rPr>
    </w:lvl>
  </w:abstractNum>
  <w:abstractNum w:abstractNumId="927" w15:restartNumberingAfterBreak="0">
    <w:nsid w:val="3B51423F"/>
    <w:multiLevelType w:val="hybridMultilevel"/>
    <w:tmpl w:val="49E8D3CA"/>
    <w:lvl w:ilvl="0" w:tplc="6A4EBC58">
      <w:numFmt w:val="bullet"/>
      <w:lvlText w:val=""/>
      <w:lvlJc w:val="left"/>
      <w:pPr>
        <w:ind w:left="157" w:hanging="100"/>
      </w:pPr>
      <w:rPr>
        <w:rFonts w:ascii="Symbol" w:eastAsia="Symbol" w:hAnsi="Symbol" w:cs="Symbol" w:hint="default"/>
        <w:color w:val="231F20"/>
        <w:w w:val="100"/>
        <w:sz w:val="14"/>
        <w:szCs w:val="14"/>
      </w:rPr>
    </w:lvl>
    <w:lvl w:ilvl="1" w:tplc="00BC6E2C">
      <w:numFmt w:val="bullet"/>
      <w:lvlText w:val="•"/>
      <w:lvlJc w:val="left"/>
      <w:pPr>
        <w:ind w:left="426" w:hanging="100"/>
      </w:pPr>
      <w:rPr>
        <w:rFonts w:hint="default"/>
      </w:rPr>
    </w:lvl>
    <w:lvl w:ilvl="2" w:tplc="317EFDF0">
      <w:numFmt w:val="bullet"/>
      <w:lvlText w:val="•"/>
      <w:lvlJc w:val="left"/>
      <w:pPr>
        <w:ind w:left="692" w:hanging="100"/>
      </w:pPr>
      <w:rPr>
        <w:rFonts w:hint="default"/>
      </w:rPr>
    </w:lvl>
    <w:lvl w:ilvl="3" w:tplc="6DE2DF04">
      <w:numFmt w:val="bullet"/>
      <w:lvlText w:val="•"/>
      <w:lvlJc w:val="left"/>
      <w:pPr>
        <w:ind w:left="959" w:hanging="100"/>
      </w:pPr>
      <w:rPr>
        <w:rFonts w:hint="default"/>
      </w:rPr>
    </w:lvl>
    <w:lvl w:ilvl="4" w:tplc="33165570">
      <w:numFmt w:val="bullet"/>
      <w:lvlText w:val="•"/>
      <w:lvlJc w:val="left"/>
      <w:pPr>
        <w:ind w:left="1225" w:hanging="100"/>
      </w:pPr>
      <w:rPr>
        <w:rFonts w:hint="default"/>
      </w:rPr>
    </w:lvl>
    <w:lvl w:ilvl="5" w:tplc="0F94DF6C">
      <w:numFmt w:val="bullet"/>
      <w:lvlText w:val="•"/>
      <w:lvlJc w:val="left"/>
      <w:pPr>
        <w:ind w:left="1492" w:hanging="100"/>
      </w:pPr>
      <w:rPr>
        <w:rFonts w:hint="default"/>
      </w:rPr>
    </w:lvl>
    <w:lvl w:ilvl="6" w:tplc="BF2C9FE6">
      <w:numFmt w:val="bullet"/>
      <w:lvlText w:val="•"/>
      <w:lvlJc w:val="left"/>
      <w:pPr>
        <w:ind w:left="1758" w:hanging="100"/>
      </w:pPr>
      <w:rPr>
        <w:rFonts w:hint="default"/>
      </w:rPr>
    </w:lvl>
    <w:lvl w:ilvl="7" w:tplc="C1C05400">
      <w:numFmt w:val="bullet"/>
      <w:lvlText w:val="•"/>
      <w:lvlJc w:val="left"/>
      <w:pPr>
        <w:ind w:left="2024" w:hanging="100"/>
      </w:pPr>
      <w:rPr>
        <w:rFonts w:hint="default"/>
      </w:rPr>
    </w:lvl>
    <w:lvl w:ilvl="8" w:tplc="E646A9C0">
      <w:numFmt w:val="bullet"/>
      <w:lvlText w:val="•"/>
      <w:lvlJc w:val="left"/>
      <w:pPr>
        <w:ind w:left="2291" w:hanging="100"/>
      </w:pPr>
      <w:rPr>
        <w:rFonts w:hint="default"/>
      </w:rPr>
    </w:lvl>
  </w:abstractNum>
  <w:abstractNum w:abstractNumId="928" w15:restartNumberingAfterBreak="0">
    <w:nsid w:val="3B6E3D6F"/>
    <w:multiLevelType w:val="hybridMultilevel"/>
    <w:tmpl w:val="206636E8"/>
    <w:lvl w:ilvl="0" w:tplc="BC908B42">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FAE27A02">
      <w:numFmt w:val="bullet"/>
      <w:lvlText w:val="•"/>
      <w:lvlJc w:val="left"/>
      <w:pPr>
        <w:ind w:left="369" w:hanging="105"/>
      </w:pPr>
      <w:rPr>
        <w:rFonts w:hint="default"/>
      </w:rPr>
    </w:lvl>
    <w:lvl w:ilvl="2" w:tplc="08CE2A16">
      <w:numFmt w:val="bullet"/>
      <w:lvlText w:val="•"/>
      <w:lvlJc w:val="left"/>
      <w:pPr>
        <w:ind w:left="579" w:hanging="105"/>
      </w:pPr>
      <w:rPr>
        <w:rFonts w:hint="default"/>
      </w:rPr>
    </w:lvl>
    <w:lvl w:ilvl="3" w:tplc="DB2225C4">
      <w:numFmt w:val="bullet"/>
      <w:lvlText w:val="•"/>
      <w:lvlJc w:val="left"/>
      <w:pPr>
        <w:ind w:left="789" w:hanging="105"/>
      </w:pPr>
      <w:rPr>
        <w:rFonts w:hint="default"/>
      </w:rPr>
    </w:lvl>
    <w:lvl w:ilvl="4" w:tplc="2EA61A84">
      <w:numFmt w:val="bullet"/>
      <w:lvlText w:val="•"/>
      <w:lvlJc w:val="left"/>
      <w:pPr>
        <w:ind w:left="998" w:hanging="105"/>
      </w:pPr>
      <w:rPr>
        <w:rFonts w:hint="default"/>
      </w:rPr>
    </w:lvl>
    <w:lvl w:ilvl="5" w:tplc="AEA4659C">
      <w:numFmt w:val="bullet"/>
      <w:lvlText w:val="•"/>
      <w:lvlJc w:val="left"/>
      <w:pPr>
        <w:ind w:left="1208" w:hanging="105"/>
      </w:pPr>
      <w:rPr>
        <w:rFonts w:hint="default"/>
      </w:rPr>
    </w:lvl>
    <w:lvl w:ilvl="6" w:tplc="9DCC1D4C">
      <w:numFmt w:val="bullet"/>
      <w:lvlText w:val="•"/>
      <w:lvlJc w:val="left"/>
      <w:pPr>
        <w:ind w:left="1418" w:hanging="105"/>
      </w:pPr>
      <w:rPr>
        <w:rFonts w:hint="default"/>
      </w:rPr>
    </w:lvl>
    <w:lvl w:ilvl="7" w:tplc="4686DC5C">
      <w:numFmt w:val="bullet"/>
      <w:lvlText w:val="•"/>
      <w:lvlJc w:val="left"/>
      <w:pPr>
        <w:ind w:left="1627" w:hanging="105"/>
      </w:pPr>
      <w:rPr>
        <w:rFonts w:hint="default"/>
      </w:rPr>
    </w:lvl>
    <w:lvl w:ilvl="8" w:tplc="3FE8FC98">
      <w:numFmt w:val="bullet"/>
      <w:lvlText w:val="•"/>
      <w:lvlJc w:val="left"/>
      <w:pPr>
        <w:ind w:left="1837" w:hanging="105"/>
      </w:pPr>
      <w:rPr>
        <w:rFonts w:hint="default"/>
      </w:rPr>
    </w:lvl>
  </w:abstractNum>
  <w:abstractNum w:abstractNumId="929" w15:restartNumberingAfterBreak="0">
    <w:nsid w:val="3B7E07D4"/>
    <w:multiLevelType w:val="hybridMultilevel"/>
    <w:tmpl w:val="11F2F256"/>
    <w:lvl w:ilvl="0" w:tplc="5F44514E">
      <w:numFmt w:val="bullet"/>
      <w:lvlText w:val=""/>
      <w:lvlJc w:val="left"/>
      <w:pPr>
        <w:ind w:left="156" w:hanging="100"/>
      </w:pPr>
      <w:rPr>
        <w:rFonts w:ascii="Symbol" w:eastAsia="Symbol" w:hAnsi="Symbol" w:cs="Symbol" w:hint="default"/>
        <w:color w:val="231F20"/>
        <w:w w:val="100"/>
        <w:sz w:val="14"/>
        <w:szCs w:val="14"/>
      </w:rPr>
    </w:lvl>
    <w:lvl w:ilvl="1" w:tplc="77CC2E18">
      <w:numFmt w:val="bullet"/>
      <w:lvlText w:val="•"/>
      <w:lvlJc w:val="left"/>
      <w:pPr>
        <w:ind w:left="454" w:hanging="100"/>
      </w:pPr>
      <w:rPr>
        <w:rFonts w:hint="default"/>
      </w:rPr>
    </w:lvl>
    <w:lvl w:ilvl="2" w:tplc="974EF7CC">
      <w:numFmt w:val="bullet"/>
      <w:lvlText w:val="•"/>
      <w:lvlJc w:val="left"/>
      <w:pPr>
        <w:ind w:left="749" w:hanging="100"/>
      </w:pPr>
      <w:rPr>
        <w:rFonts w:hint="default"/>
      </w:rPr>
    </w:lvl>
    <w:lvl w:ilvl="3" w:tplc="0E1212E0">
      <w:numFmt w:val="bullet"/>
      <w:lvlText w:val="•"/>
      <w:lvlJc w:val="left"/>
      <w:pPr>
        <w:ind w:left="1044" w:hanging="100"/>
      </w:pPr>
      <w:rPr>
        <w:rFonts w:hint="default"/>
      </w:rPr>
    </w:lvl>
    <w:lvl w:ilvl="4" w:tplc="6032DD6E">
      <w:numFmt w:val="bullet"/>
      <w:lvlText w:val="•"/>
      <w:lvlJc w:val="left"/>
      <w:pPr>
        <w:ind w:left="1339" w:hanging="100"/>
      </w:pPr>
      <w:rPr>
        <w:rFonts w:hint="default"/>
      </w:rPr>
    </w:lvl>
    <w:lvl w:ilvl="5" w:tplc="866EC25E">
      <w:numFmt w:val="bullet"/>
      <w:lvlText w:val="•"/>
      <w:lvlJc w:val="left"/>
      <w:pPr>
        <w:ind w:left="1634" w:hanging="100"/>
      </w:pPr>
      <w:rPr>
        <w:rFonts w:hint="default"/>
      </w:rPr>
    </w:lvl>
    <w:lvl w:ilvl="6" w:tplc="4C3048A4">
      <w:numFmt w:val="bullet"/>
      <w:lvlText w:val="•"/>
      <w:lvlJc w:val="left"/>
      <w:pPr>
        <w:ind w:left="1928" w:hanging="100"/>
      </w:pPr>
      <w:rPr>
        <w:rFonts w:hint="default"/>
      </w:rPr>
    </w:lvl>
    <w:lvl w:ilvl="7" w:tplc="28E4F7AC">
      <w:numFmt w:val="bullet"/>
      <w:lvlText w:val="•"/>
      <w:lvlJc w:val="left"/>
      <w:pPr>
        <w:ind w:left="2223" w:hanging="100"/>
      </w:pPr>
      <w:rPr>
        <w:rFonts w:hint="default"/>
      </w:rPr>
    </w:lvl>
    <w:lvl w:ilvl="8" w:tplc="2E48022C">
      <w:numFmt w:val="bullet"/>
      <w:lvlText w:val="•"/>
      <w:lvlJc w:val="left"/>
      <w:pPr>
        <w:ind w:left="2518" w:hanging="100"/>
      </w:pPr>
      <w:rPr>
        <w:rFonts w:hint="default"/>
      </w:rPr>
    </w:lvl>
  </w:abstractNum>
  <w:abstractNum w:abstractNumId="930" w15:restartNumberingAfterBreak="0">
    <w:nsid w:val="3B804C62"/>
    <w:multiLevelType w:val="hybridMultilevel"/>
    <w:tmpl w:val="33B8842A"/>
    <w:lvl w:ilvl="0" w:tplc="D486954E">
      <w:numFmt w:val="bullet"/>
      <w:lvlText w:val=""/>
      <w:lvlJc w:val="left"/>
      <w:pPr>
        <w:ind w:left="156" w:hanging="100"/>
      </w:pPr>
      <w:rPr>
        <w:rFonts w:ascii="Symbol" w:eastAsia="Symbol" w:hAnsi="Symbol" w:cs="Symbol" w:hint="default"/>
        <w:color w:val="231F20"/>
        <w:w w:val="100"/>
        <w:sz w:val="14"/>
        <w:szCs w:val="14"/>
      </w:rPr>
    </w:lvl>
    <w:lvl w:ilvl="1" w:tplc="6B5ABC68">
      <w:numFmt w:val="bullet"/>
      <w:lvlText w:val="•"/>
      <w:lvlJc w:val="left"/>
      <w:pPr>
        <w:ind w:left="301" w:hanging="100"/>
      </w:pPr>
      <w:rPr>
        <w:rFonts w:hint="default"/>
      </w:rPr>
    </w:lvl>
    <w:lvl w:ilvl="2" w:tplc="79B48AD0">
      <w:numFmt w:val="bullet"/>
      <w:lvlText w:val="•"/>
      <w:lvlJc w:val="left"/>
      <w:pPr>
        <w:ind w:left="443" w:hanging="100"/>
      </w:pPr>
      <w:rPr>
        <w:rFonts w:hint="default"/>
      </w:rPr>
    </w:lvl>
    <w:lvl w:ilvl="3" w:tplc="E374769A">
      <w:numFmt w:val="bullet"/>
      <w:lvlText w:val="•"/>
      <w:lvlJc w:val="left"/>
      <w:pPr>
        <w:ind w:left="585" w:hanging="100"/>
      </w:pPr>
      <w:rPr>
        <w:rFonts w:hint="default"/>
      </w:rPr>
    </w:lvl>
    <w:lvl w:ilvl="4" w:tplc="605E4D18">
      <w:numFmt w:val="bullet"/>
      <w:lvlText w:val="•"/>
      <w:lvlJc w:val="left"/>
      <w:pPr>
        <w:ind w:left="726" w:hanging="100"/>
      </w:pPr>
      <w:rPr>
        <w:rFonts w:hint="default"/>
      </w:rPr>
    </w:lvl>
    <w:lvl w:ilvl="5" w:tplc="FB8005FA">
      <w:numFmt w:val="bullet"/>
      <w:lvlText w:val="•"/>
      <w:lvlJc w:val="left"/>
      <w:pPr>
        <w:ind w:left="868" w:hanging="100"/>
      </w:pPr>
      <w:rPr>
        <w:rFonts w:hint="default"/>
      </w:rPr>
    </w:lvl>
    <w:lvl w:ilvl="6" w:tplc="BDA87DDE">
      <w:numFmt w:val="bullet"/>
      <w:lvlText w:val="•"/>
      <w:lvlJc w:val="left"/>
      <w:pPr>
        <w:ind w:left="1010" w:hanging="100"/>
      </w:pPr>
      <w:rPr>
        <w:rFonts w:hint="default"/>
      </w:rPr>
    </w:lvl>
    <w:lvl w:ilvl="7" w:tplc="4DF65168">
      <w:numFmt w:val="bullet"/>
      <w:lvlText w:val="•"/>
      <w:lvlJc w:val="left"/>
      <w:pPr>
        <w:ind w:left="1151" w:hanging="100"/>
      </w:pPr>
      <w:rPr>
        <w:rFonts w:hint="default"/>
      </w:rPr>
    </w:lvl>
    <w:lvl w:ilvl="8" w:tplc="61988822">
      <w:numFmt w:val="bullet"/>
      <w:lvlText w:val="•"/>
      <w:lvlJc w:val="left"/>
      <w:pPr>
        <w:ind w:left="1293" w:hanging="100"/>
      </w:pPr>
      <w:rPr>
        <w:rFonts w:hint="default"/>
      </w:rPr>
    </w:lvl>
  </w:abstractNum>
  <w:abstractNum w:abstractNumId="931" w15:restartNumberingAfterBreak="0">
    <w:nsid w:val="3B81060E"/>
    <w:multiLevelType w:val="hybridMultilevel"/>
    <w:tmpl w:val="03B20086"/>
    <w:lvl w:ilvl="0" w:tplc="6428E33A">
      <w:numFmt w:val="bullet"/>
      <w:lvlText w:val=""/>
      <w:lvlJc w:val="left"/>
      <w:pPr>
        <w:ind w:left="156" w:hanging="100"/>
      </w:pPr>
      <w:rPr>
        <w:rFonts w:ascii="Symbol" w:eastAsia="Symbol" w:hAnsi="Symbol" w:cs="Symbol" w:hint="default"/>
        <w:color w:val="231F20"/>
        <w:w w:val="100"/>
        <w:sz w:val="14"/>
        <w:szCs w:val="14"/>
      </w:rPr>
    </w:lvl>
    <w:lvl w:ilvl="1" w:tplc="EE8AA7B8">
      <w:numFmt w:val="bullet"/>
      <w:lvlText w:val="•"/>
      <w:lvlJc w:val="left"/>
      <w:pPr>
        <w:ind w:left="426" w:hanging="100"/>
      </w:pPr>
      <w:rPr>
        <w:rFonts w:hint="default"/>
      </w:rPr>
    </w:lvl>
    <w:lvl w:ilvl="2" w:tplc="E3607E0E">
      <w:numFmt w:val="bullet"/>
      <w:lvlText w:val="•"/>
      <w:lvlJc w:val="left"/>
      <w:pPr>
        <w:ind w:left="692" w:hanging="100"/>
      </w:pPr>
      <w:rPr>
        <w:rFonts w:hint="default"/>
      </w:rPr>
    </w:lvl>
    <w:lvl w:ilvl="3" w:tplc="3CBAFA8C">
      <w:numFmt w:val="bullet"/>
      <w:lvlText w:val="•"/>
      <w:lvlJc w:val="left"/>
      <w:pPr>
        <w:ind w:left="959" w:hanging="100"/>
      </w:pPr>
      <w:rPr>
        <w:rFonts w:hint="default"/>
      </w:rPr>
    </w:lvl>
    <w:lvl w:ilvl="4" w:tplc="8C5ABB24">
      <w:numFmt w:val="bullet"/>
      <w:lvlText w:val="•"/>
      <w:lvlJc w:val="left"/>
      <w:pPr>
        <w:ind w:left="1225" w:hanging="100"/>
      </w:pPr>
      <w:rPr>
        <w:rFonts w:hint="default"/>
      </w:rPr>
    </w:lvl>
    <w:lvl w:ilvl="5" w:tplc="D7CE98D2">
      <w:numFmt w:val="bullet"/>
      <w:lvlText w:val="•"/>
      <w:lvlJc w:val="left"/>
      <w:pPr>
        <w:ind w:left="1492" w:hanging="100"/>
      </w:pPr>
      <w:rPr>
        <w:rFonts w:hint="default"/>
      </w:rPr>
    </w:lvl>
    <w:lvl w:ilvl="6" w:tplc="17687562">
      <w:numFmt w:val="bullet"/>
      <w:lvlText w:val="•"/>
      <w:lvlJc w:val="left"/>
      <w:pPr>
        <w:ind w:left="1758" w:hanging="100"/>
      </w:pPr>
      <w:rPr>
        <w:rFonts w:hint="default"/>
      </w:rPr>
    </w:lvl>
    <w:lvl w:ilvl="7" w:tplc="D61C9408">
      <w:numFmt w:val="bullet"/>
      <w:lvlText w:val="•"/>
      <w:lvlJc w:val="left"/>
      <w:pPr>
        <w:ind w:left="2024" w:hanging="100"/>
      </w:pPr>
      <w:rPr>
        <w:rFonts w:hint="default"/>
      </w:rPr>
    </w:lvl>
    <w:lvl w:ilvl="8" w:tplc="62C0D0F8">
      <w:numFmt w:val="bullet"/>
      <w:lvlText w:val="•"/>
      <w:lvlJc w:val="left"/>
      <w:pPr>
        <w:ind w:left="2291" w:hanging="100"/>
      </w:pPr>
      <w:rPr>
        <w:rFonts w:hint="default"/>
      </w:rPr>
    </w:lvl>
  </w:abstractNum>
  <w:abstractNum w:abstractNumId="932" w15:restartNumberingAfterBreak="0">
    <w:nsid w:val="3B876A5A"/>
    <w:multiLevelType w:val="hybridMultilevel"/>
    <w:tmpl w:val="A7DE81EC"/>
    <w:lvl w:ilvl="0" w:tplc="E2FEC06C">
      <w:numFmt w:val="bullet"/>
      <w:lvlText w:val="–"/>
      <w:lvlJc w:val="left"/>
      <w:pPr>
        <w:ind w:left="632" w:hanging="135"/>
      </w:pPr>
      <w:rPr>
        <w:rFonts w:ascii="Times New Roman" w:eastAsia="Times New Roman" w:hAnsi="Times New Roman" w:cs="Times New Roman" w:hint="default"/>
        <w:color w:val="231F20"/>
        <w:spacing w:val="-3"/>
        <w:w w:val="100"/>
        <w:sz w:val="18"/>
        <w:szCs w:val="18"/>
      </w:rPr>
    </w:lvl>
    <w:lvl w:ilvl="1" w:tplc="8BA4A2D6">
      <w:numFmt w:val="bullet"/>
      <w:lvlText w:val="–"/>
      <w:lvlJc w:val="left"/>
      <w:pPr>
        <w:ind w:left="1565" w:hanging="105"/>
      </w:pPr>
      <w:rPr>
        <w:rFonts w:ascii="Times New Roman" w:eastAsia="Times New Roman" w:hAnsi="Times New Roman" w:cs="Times New Roman" w:hint="default"/>
        <w:color w:val="231F20"/>
        <w:spacing w:val="-8"/>
        <w:w w:val="100"/>
        <w:sz w:val="14"/>
        <w:szCs w:val="14"/>
      </w:rPr>
    </w:lvl>
    <w:lvl w:ilvl="2" w:tplc="8F3C9D1E">
      <w:numFmt w:val="bullet"/>
      <w:lvlText w:val="•"/>
      <w:lvlJc w:val="left"/>
      <w:pPr>
        <w:ind w:left="2585" w:hanging="105"/>
      </w:pPr>
      <w:rPr>
        <w:rFonts w:hint="default"/>
      </w:rPr>
    </w:lvl>
    <w:lvl w:ilvl="3" w:tplc="0FDCAB64">
      <w:numFmt w:val="bullet"/>
      <w:lvlText w:val="•"/>
      <w:lvlJc w:val="left"/>
      <w:pPr>
        <w:ind w:left="3610" w:hanging="105"/>
      </w:pPr>
      <w:rPr>
        <w:rFonts w:hint="default"/>
      </w:rPr>
    </w:lvl>
    <w:lvl w:ilvl="4" w:tplc="D00E3E96">
      <w:numFmt w:val="bullet"/>
      <w:lvlText w:val="•"/>
      <w:lvlJc w:val="left"/>
      <w:pPr>
        <w:ind w:left="4635" w:hanging="105"/>
      </w:pPr>
      <w:rPr>
        <w:rFonts w:hint="default"/>
      </w:rPr>
    </w:lvl>
    <w:lvl w:ilvl="5" w:tplc="5F9C74C8">
      <w:numFmt w:val="bullet"/>
      <w:lvlText w:val="•"/>
      <w:lvlJc w:val="left"/>
      <w:pPr>
        <w:ind w:left="5660" w:hanging="105"/>
      </w:pPr>
      <w:rPr>
        <w:rFonts w:hint="default"/>
      </w:rPr>
    </w:lvl>
    <w:lvl w:ilvl="6" w:tplc="9334D4D2">
      <w:numFmt w:val="bullet"/>
      <w:lvlText w:val="•"/>
      <w:lvlJc w:val="left"/>
      <w:pPr>
        <w:ind w:left="6685" w:hanging="105"/>
      </w:pPr>
      <w:rPr>
        <w:rFonts w:hint="default"/>
      </w:rPr>
    </w:lvl>
    <w:lvl w:ilvl="7" w:tplc="F9AE0C84">
      <w:numFmt w:val="bullet"/>
      <w:lvlText w:val="•"/>
      <w:lvlJc w:val="left"/>
      <w:pPr>
        <w:ind w:left="7710" w:hanging="105"/>
      </w:pPr>
      <w:rPr>
        <w:rFonts w:hint="default"/>
      </w:rPr>
    </w:lvl>
    <w:lvl w:ilvl="8" w:tplc="7876AA48">
      <w:numFmt w:val="bullet"/>
      <w:lvlText w:val="•"/>
      <w:lvlJc w:val="left"/>
      <w:pPr>
        <w:ind w:left="8735" w:hanging="105"/>
      </w:pPr>
      <w:rPr>
        <w:rFonts w:hint="default"/>
      </w:rPr>
    </w:lvl>
  </w:abstractNum>
  <w:abstractNum w:abstractNumId="933" w15:restartNumberingAfterBreak="0">
    <w:nsid w:val="3B9A3ECE"/>
    <w:multiLevelType w:val="hybridMultilevel"/>
    <w:tmpl w:val="5F141EB8"/>
    <w:lvl w:ilvl="0" w:tplc="FD125ED8">
      <w:numFmt w:val="bullet"/>
      <w:lvlText w:val=""/>
      <w:lvlJc w:val="left"/>
      <w:pPr>
        <w:ind w:left="156" w:hanging="100"/>
      </w:pPr>
      <w:rPr>
        <w:rFonts w:ascii="Symbol" w:eastAsia="Symbol" w:hAnsi="Symbol" w:cs="Symbol" w:hint="default"/>
        <w:color w:val="231F20"/>
        <w:w w:val="100"/>
        <w:sz w:val="14"/>
        <w:szCs w:val="14"/>
      </w:rPr>
    </w:lvl>
    <w:lvl w:ilvl="1" w:tplc="22C41FA0">
      <w:numFmt w:val="bullet"/>
      <w:lvlText w:val="•"/>
      <w:lvlJc w:val="left"/>
      <w:pPr>
        <w:ind w:left="398" w:hanging="100"/>
      </w:pPr>
      <w:rPr>
        <w:rFonts w:hint="default"/>
      </w:rPr>
    </w:lvl>
    <w:lvl w:ilvl="2" w:tplc="93EE7EE2">
      <w:numFmt w:val="bullet"/>
      <w:lvlText w:val="•"/>
      <w:lvlJc w:val="left"/>
      <w:pPr>
        <w:ind w:left="636" w:hanging="100"/>
      </w:pPr>
      <w:rPr>
        <w:rFonts w:hint="default"/>
      </w:rPr>
    </w:lvl>
    <w:lvl w:ilvl="3" w:tplc="08620194">
      <w:numFmt w:val="bullet"/>
      <w:lvlText w:val="•"/>
      <w:lvlJc w:val="left"/>
      <w:pPr>
        <w:ind w:left="874" w:hanging="100"/>
      </w:pPr>
      <w:rPr>
        <w:rFonts w:hint="default"/>
      </w:rPr>
    </w:lvl>
    <w:lvl w:ilvl="4" w:tplc="C7942040">
      <w:numFmt w:val="bullet"/>
      <w:lvlText w:val="•"/>
      <w:lvlJc w:val="left"/>
      <w:pPr>
        <w:ind w:left="1112" w:hanging="100"/>
      </w:pPr>
      <w:rPr>
        <w:rFonts w:hint="default"/>
      </w:rPr>
    </w:lvl>
    <w:lvl w:ilvl="5" w:tplc="7B54E308">
      <w:numFmt w:val="bullet"/>
      <w:lvlText w:val="•"/>
      <w:lvlJc w:val="left"/>
      <w:pPr>
        <w:ind w:left="1350" w:hanging="100"/>
      </w:pPr>
      <w:rPr>
        <w:rFonts w:hint="default"/>
      </w:rPr>
    </w:lvl>
    <w:lvl w:ilvl="6" w:tplc="6E60D4CC">
      <w:numFmt w:val="bullet"/>
      <w:lvlText w:val="•"/>
      <w:lvlJc w:val="left"/>
      <w:pPr>
        <w:ind w:left="1588" w:hanging="100"/>
      </w:pPr>
      <w:rPr>
        <w:rFonts w:hint="default"/>
      </w:rPr>
    </w:lvl>
    <w:lvl w:ilvl="7" w:tplc="342AB63A">
      <w:numFmt w:val="bullet"/>
      <w:lvlText w:val="•"/>
      <w:lvlJc w:val="left"/>
      <w:pPr>
        <w:ind w:left="1826" w:hanging="100"/>
      </w:pPr>
      <w:rPr>
        <w:rFonts w:hint="default"/>
      </w:rPr>
    </w:lvl>
    <w:lvl w:ilvl="8" w:tplc="6AD0474E">
      <w:numFmt w:val="bullet"/>
      <w:lvlText w:val="•"/>
      <w:lvlJc w:val="left"/>
      <w:pPr>
        <w:ind w:left="2064" w:hanging="100"/>
      </w:pPr>
      <w:rPr>
        <w:rFonts w:hint="default"/>
      </w:rPr>
    </w:lvl>
  </w:abstractNum>
  <w:abstractNum w:abstractNumId="934" w15:restartNumberingAfterBreak="0">
    <w:nsid w:val="3BB71DE4"/>
    <w:multiLevelType w:val="hybridMultilevel"/>
    <w:tmpl w:val="BFEA2DBA"/>
    <w:lvl w:ilvl="0" w:tplc="7FF8D9EC">
      <w:numFmt w:val="bullet"/>
      <w:lvlText w:val=""/>
      <w:lvlJc w:val="left"/>
      <w:pPr>
        <w:ind w:left="156" w:hanging="100"/>
      </w:pPr>
      <w:rPr>
        <w:rFonts w:ascii="Symbol" w:eastAsia="Symbol" w:hAnsi="Symbol" w:cs="Symbol" w:hint="default"/>
        <w:color w:val="231F20"/>
        <w:w w:val="100"/>
        <w:sz w:val="14"/>
        <w:szCs w:val="14"/>
      </w:rPr>
    </w:lvl>
    <w:lvl w:ilvl="1" w:tplc="E9F60020">
      <w:numFmt w:val="bullet"/>
      <w:lvlText w:val="•"/>
      <w:lvlJc w:val="left"/>
      <w:pPr>
        <w:ind w:left="301" w:hanging="100"/>
      </w:pPr>
      <w:rPr>
        <w:rFonts w:hint="default"/>
      </w:rPr>
    </w:lvl>
    <w:lvl w:ilvl="2" w:tplc="44EC5CBC">
      <w:numFmt w:val="bullet"/>
      <w:lvlText w:val="•"/>
      <w:lvlJc w:val="left"/>
      <w:pPr>
        <w:ind w:left="443" w:hanging="100"/>
      </w:pPr>
      <w:rPr>
        <w:rFonts w:hint="default"/>
      </w:rPr>
    </w:lvl>
    <w:lvl w:ilvl="3" w:tplc="36802232">
      <w:numFmt w:val="bullet"/>
      <w:lvlText w:val="•"/>
      <w:lvlJc w:val="left"/>
      <w:pPr>
        <w:ind w:left="585" w:hanging="100"/>
      </w:pPr>
      <w:rPr>
        <w:rFonts w:hint="default"/>
      </w:rPr>
    </w:lvl>
    <w:lvl w:ilvl="4" w:tplc="35BCEA58">
      <w:numFmt w:val="bullet"/>
      <w:lvlText w:val="•"/>
      <w:lvlJc w:val="left"/>
      <w:pPr>
        <w:ind w:left="726" w:hanging="100"/>
      </w:pPr>
      <w:rPr>
        <w:rFonts w:hint="default"/>
      </w:rPr>
    </w:lvl>
    <w:lvl w:ilvl="5" w:tplc="DE18C6DA">
      <w:numFmt w:val="bullet"/>
      <w:lvlText w:val="•"/>
      <w:lvlJc w:val="left"/>
      <w:pPr>
        <w:ind w:left="868" w:hanging="100"/>
      </w:pPr>
      <w:rPr>
        <w:rFonts w:hint="default"/>
      </w:rPr>
    </w:lvl>
    <w:lvl w:ilvl="6" w:tplc="2806B10A">
      <w:numFmt w:val="bullet"/>
      <w:lvlText w:val="•"/>
      <w:lvlJc w:val="left"/>
      <w:pPr>
        <w:ind w:left="1010" w:hanging="100"/>
      </w:pPr>
      <w:rPr>
        <w:rFonts w:hint="default"/>
      </w:rPr>
    </w:lvl>
    <w:lvl w:ilvl="7" w:tplc="5E90201C">
      <w:numFmt w:val="bullet"/>
      <w:lvlText w:val="•"/>
      <w:lvlJc w:val="left"/>
      <w:pPr>
        <w:ind w:left="1151" w:hanging="100"/>
      </w:pPr>
      <w:rPr>
        <w:rFonts w:hint="default"/>
      </w:rPr>
    </w:lvl>
    <w:lvl w:ilvl="8" w:tplc="50740170">
      <w:numFmt w:val="bullet"/>
      <w:lvlText w:val="•"/>
      <w:lvlJc w:val="left"/>
      <w:pPr>
        <w:ind w:left="1293" w:hanging="100"/>
      </w:pPr>
      <w:rPr>
        <w:rFonts w:hint="default"/>
      </w:rPr>
    </w:lvl>
  </w:abstractNum>
  <w:abstractNum w:abstractNumId="935" w15:restartNumberingAfterBreak="0">
    <w:nsid w:val="3BD16E29"/>
    <w:multiLevelType w:val="hybridMultilevel"/>
    <w:tmpl w:val="F98AC606"/>
    <w:lvl w:ilvl="0" w:tplc="6BB6A310">
      <w:numFmt w:val="bullet"/>
      <w:lvlText w:val=""/>
      <w:lvlJc w:val="left"/>
      <w:pPr>
        <w:ind w:left="156" w:hanging="100"/>
      </w:pPr>
      <w:rPr>
        <w:rFonts w:ascii="Symbol" w:eastAsia="Symbol" w:hAnsi="Symbol" w:cs="Symbol" w:hint="default"/>
        <w:color w:val="231F20"/>
        <w:w w:val="100"/>
        <w:sz w:val="14"/>
        <w:szCs w:val="14"/>
      </w:rPr>
    </w:lvl>
    <w:lvl w:ilvl="1" w:tplc="4E5A3F1E">
      <w:numFmt w:val="bullet"/>
      <w:lvlText w:val="•"/>
      <w:lvlJc w:val="left"/>
      <w:pPr>
        <w:ind w:left="301" w:hanging="100"/>
      </w:pPr>
      <w:rPr>
        <w:rFonts w:hint="default"/>
      </w:rPr>
    </w:lvl>
    <w:lvl w:ilvl="2" w:tplc="DE2E126A">
      <w:numFmt w:val="bullet"/>
      <w:lvlText w:val="•"/>
      <w:lvlJc w:val="left"/>
      <w:pPr>
        <w:ind w:left="443" w:hanging="100"/>
      </w:pPr>
      <w:rPr>
        <w:rFonts w:hint="default"/>
      </w:rPr>
    </w:lvl>
    <w:lvl w:ilvl="3" w:tplc="AEFA2AF8">
      <w:numFmt w:val="bullet"/>
      <w:lvlText w:val="•"/>
      <w:lvlJc w:val="left"/>
      <w:pPr>
        <w:ind w:left="585" w:hanging="100"/>
      </w:pPr>
      <w:rPr>
        <w:rFonts w:hint="default"/>
      </w:rPr>
    </w:lvl>
    <w:lvl w:ilvl="4" w:tplc="B4B88868">
      <w:numFmt w:val="bullet"/>
      <w:lvlText w:val="•"/>
      <w:lvlJc w:val="left"/>
      <w:pPr>
        <w:ind w:left="726" w:hanging="100"/>
      </w:pPr>
      <w:rPr>
        <w:rFonts w:hint="default"/>
      </w:rPr>
    </w:lvl>
    <w:lvl w:ilvl="5" w:tplc="A4B06182">
      <w:numFmt w:val="bullet"/>
      <w:lvlText w:val="•"/>
      <w:lvlJc w:val="left"/>
      <w:pPr>
        <w:ind w:left="868" w:hanging="100"/>
      </w:pPr>
      <w:rPr>
        <w:rFonts w:hint="default"/>
      </w:rPr>
    </w:lvl>
    <w:lvl w:ilvl="6" w:tplc="25767704">
      <w:numFmt w:val="bullet"/>
      <w:lvlText w:val="•"/>
      <w:lvlJc w:val="left"/>
      <w:pPr>
        <w:ind w:left="1010" w:hanging="100"/>
      </w:pPr>
      <w:rPr>
        <w:rFonts w:hint="default"/>
      </w:rPr>
    </w:lvl>
    <w:lvl w:ilvl="7" w:tplc="6C044BA0">
      <w:numFmt w:val="bullet"/>
      <w:lvlText w:val="•"/>
      <w:lvlJc w:val="left"/>
      <w:pPr>
        <w:ind w:left="1151" w:hanging="100"/>
      </w:pPr>
      <w:rPr>
        <w:rFonts w:hint="default"/>
      </w:rPr>
    </w:lvl>
    <w:lvl w:ilvl="8" w:tplc="B2BA25D6">
      <w:numFmt w:val="bullet"/>
      <w:lvlText w:val="•"/>
      <w:lvlJc w:val="left"/>
      <w:pPr>
        <w:ind w:left="1293" w:hanging="100"/>
      </w:pPr>
      <w:rPr>
        <w:rFonts w:hint="default"/>
      </w:rPr>
    </w:lvl>
  </w:abstractNum>
  <w:abstractNum w:abstractNumId="936" w15:restartNumberingAfterBreak="0">
    <w:nsid w:val="3BDC2974"/>
    <w:multiLevelType w:val="hybridMultilevel"/>
    <w:tmpl w:val="F7FAD694"/>
    <w:lvl w:ilvl="0" w:tplc="8D4E4B6A">
      <w:numFmt w:val="bullet"/>
      <w:lvlText w:val=""/>
      <w:lvlJc w:val="left"/>
      <w:pPr>
        <w:ind w:left="156" w:hanging="100"/>
      </w:pPr>
      <w:rPr>
        <w:rFonts w:ascii="Symbol" w:eastAsia="Symbol" w:hAnsi="Symbol" w:cs="Symbol" w:hint="default"/>
        <w:color w:val="231F20"/>
        <w:w w:val="100"/>
        <w:sz w:val="14"/>
        <w:szCs w:val="14"/>
      </w:rPr>
    </w:lvl>
    <w:lvl w:ilvl="1" w:tplc="B672AADC">
      <w:numFmt w:val="bullet"/>
      <w:lvlText w:val="•"/>
      <w:lvlJc w:val="left"/>
      <w:pPr>
        <w:ind w:left="398" w:hanging="100"/>
      </w:pPr>
      <w:rPr>
        <w:rFonts w:hint="default"/>
      </w:rPr>
    </w:lvl>
    <w:lvl w:ilvl="2" w:tplc="35E4CD5E">
      <w:numFmt w:val="bullet"/>
      <w:lvlText w:val="•"/>
      <w:lvlJc w:val="left"/>
      <w:pPr>
        <w:ind w:left="636" w:hanging="100"/>
      </w:pPr>
      <w:rPr>
        <w:rFonts w:hint="default"/>
      </w:rPr>
    </w:lvl>
    <w:lvl w:ilvl="3" w:tplc="334C755A">
      <w:numFmt w:val="bullet"/>
      <w:lvlText w:val="•"/>
      <w:lvlJc w:val="left"/>
      <w:pPr>
        <w:ind w:left="874" w:hanging="100"/>
      </w:pPr>
      <w:rPr>
        <w:rFonts w:hint="default"/>
      </w:rPr>
    </w:lvl>
    <w:lvl w:ilvl="4" w:tplc="5760643E">
      <w:numFmt w:val="bullet"/>
      <w:lvlText w:val="•"/>
      <w:lvlJc w:val="left"/>
      <w:pPr>
        <w:ind w:left="1112" w:hanging="100"/>
      </w:pPr>
      <w:rPr>
        <w:rFonts w:hint="default"/>
      </w:rPr>
    </w:lvl>
    <w:lvl w:ilvl="5" w:tplc="322C0FD2">
      <w:numFmt w:val="bullet"/>
      <w:lvlText w:val="•"/>
      <w:lvlJc w:val="left"/>
      <w:pPr>
        <w:ind w:left="1350" w:hanging="100"/>
      </w:pPr>
      <w:rPr>
        <w:rFonts w:hint="default"/>
      </w:rPr>
    </w:lvl>
    <w:lvl w:ilvl="6" w:tplc="522E19DC">
      <w:numFmt w:val="bullet"/>
      <w:lvlText w:val="•"/>
      <w:lvlJc w:val="left"/>
      <w:pPr>
        <w:ind w:left="1588" w:hanging="100"/>
      </w:pPr>
      <w:rPr>
        <w:rFonts w:hint="default"/>
      </w:rPr>
    </w:lvl>
    <w:lvl w:ilvl="7" w:tplc="8C308D16">
      <w:numFmt w:val="bullet"/>
      <w:lvlText w:val="•"/>
      <w:lvlJc w:val="left"/>
      <w:pPr>
        <w:ind w:left="1826" w:hanging="100"/>
      </w:pPr>
      <w:rPr>
        <w:rFonts w:hint="default"/>
      </w:rPr>
    </w:lvl>
    <w:lvl w:ilvl="8" w:tplc="1256C084">
      <w:numFmt w:val="bullet"/>
      <w:lvlText w:val="•"/>
      <w:lvlJc w:val="left"/>
      <w:pPr>
        <w:ind w:left="2064" w:hanging="100"/>
      </w:pPr>
      <w:rPr>
        <w:rFonts w:hint="default"/>
      </w:rPr>
    </w:lvl>
  </w:abstractNum>
  <w:abstractNum w:abstractNumId="937" w15:restartNumberingAfterBreak="0">
    <w:nsid w:val="3BE467F8"/>
    <w:multiLevelType w:val="hybridMultilevel"/>
    <w:tmpl w:val="E9481770"/>
    <w:lvl w:ilvl="0" w:tplc="87289976">
      <w:numFmt w:val="bullet"/>
      <w:lvlText w:val=""/>
      <w:lvlJc w:val="left"/>
      <w:pPr>
        <w:ind w:left="156" w:hanging="100"/>
      </w:pPr>
      <w:rPr>
        <w:rFonts w:ascii="Symbol" w:eastAsia="Symbol" w:hAnsi="Symbol" w:cs="Symbol" w:hint="default"/>
        <w:color w:val="231F20"/>
        <w:w w:val="100"/>
        <w:sz w:val="14"/>
        <w:szCs w:val="14"/>
      </w:rPr>
    </w:lvl>
    <w:lvl w:ilvl="1" w:tplc="D8E2E13C">
      <w:numFmt w:val="bullet"/>
      <w:lvlText w:val="•"/>
      <w:lvlJc w:val="left"/>
      <w:pPr>
        <w:ind w:left="398" w:hanging="100"/>
      </w:pPr>
      <w:rPr>
        <w:rFonts w:hint="default"/>
      </w:rPr>
    </w:lvl>
    <w:lvl w:ilvl="2" w:tplc="7D8247B8">
      <w:numFmt w:val="bullet"/>
      <w:lvlText w:val="•"/>
      <w:lvlJc w:val="left"/>
      <w:pPr>
        <w:ind w:left="636" w:hanging="100"/>
      </w:pPr>
      <w:rPr>
        <w:rFonts w:hint="default"/>
      </w:rPr>
    </w:lvl>
    <w:lvl w:ilvl="3" w:tplc="EA80BD82">
      <w:numFmt w:val="bullet"/>
      <w:lvlText w:val="•"/>
      <w:lvlJc w:val="left"/>
      <w:pPr>
        <w:ind w:left="874" w:hanging="100"/>
      </w:pPr>
      <w:rPr>
        <w:rFonts w:hint="default"/>
      </w:rPr>
    </w:lvl>
    <w:lvl w:ilvl="4" w:tplc="CBEA6C9A">
      <w:numFmt w:val="bullet"/>
      <w:lvlText w:val="•"/>
      <w:lvlJc w:val="left"/>
      <w:pPr>
        <w:ind w:left="1112" w:hanging="100"/>
      </w:pPr>
      <w:rPr>
        <w:rFonts w:hint="default"/>
      </w:rPr>
    </w:lvl>
    <w:lvl w:ilvl="5" w:tplc="C448948E">
      <w:numFmt w:val="bullet"/>
      <w:lvlText w:val="•"/>
      <w:lvlJc w:val="left"/>
      <w:pPr>
        <w:ind w:left="1350" w:hanging="100"/>
      </w:pPr>
      <w:rPr>
        <w:rFonts w:hint="default"/>
      </w:rPr>
    </w:lvl>
    <w:lvl w:ilvl="6" w:tplc="74EC0206">
      <w:numFmt w:val="bullet"/>
      <w:lvlText w:val="•"/>
      <w:lvlJc w:val="left"/>
      <w:pPr>
        <w:ind w:left="1588" w:hanging="100"/>
      </w:pPr>
      <w:rPr>
        <w:rFonts w:hint="default"/>
      </w:rPr>
    </w:lvl>
    <w:lvl w:ilvl="7" w:tplc="DF3A48EA">
      <w:numFmt w:val="bullet"/>
      <w:lvlText w:val="•"/>
      <w:lvlJc w:val="left"/>
      <w:pPr>
        <w:ind w:left="1826" w:hanging="100"/>
      </w:pPr>
      <w:rPr>
        <w:rFonts w:hint="default"/>
      </w:rPr>
    </w:lvl>
    <w:lvl w:ilvl="8" w:tplc="CC765094">
      <w:numFmt w:val="bullet"/>
      <w:lvlText w:val="•"/>
      <w:lvlJc w:val="left"/>
      <w:pPr>
        <w:ind w:left="2064" w:hanging="100"/>
      </w:pPr>
      <w:rPr>
        <w:rFonts w:hint="default"/>
      </w:rPr>
    </w:lvl>
  </w:abstractNum>
  <w:abstractNum w:abstractNumId="938" w15:restartNumberingAfterBreak="0">
    <w:nsid w:val="3C195C97"/>
    <w:multiLevelType w:val="hybridMultilevel"/>
    <w:tmpl w:val="B70AB260"/>
    <w:lvl w:ilvl="0" w:tplc="A282020C">
      <w:numFmt w:val="bullet"/>
      <w:lvlText w:val=""/>
      <w:lvlJc w:val="left"/>
      <w:pPr>
        <w:ind w:left="157" w:hanging="100"/>
      </w:pPr>
      <w:rPr>
        <w:rFonts w:ascii="Symbol" w:eastAsia="Symbol" w:hAnsi="Symbol" w:cs="Symbol" w:hint="default"/>
        <w:color w:val="231F20"/>
        <w:w w:val="100"/>
        <w:sz w:val="14"/>
        <w:szCs w:val="14"/>
      </w:rPr>
    </w:lvl>
    <w:lvl w:ilvl="1" w:tplc="D7080D58">
      <w:numFmt w:val="bullet"/>
      <w:lvlText w:val="•"/>
      <w:lvlJc w:val="left"/>
      <w:pPr>
        <w:ind w:left="369" w:hanging="100"/>
      </w:pPr>
      <w:rPr>
        <w:rFonts w:hint="default"/>
      </w:rPr>
    </w:lvl>
    <w:lvl w:ilvl="2" w:tplc="6EB8261C">
      <w:numFmt w:val="bullet"/>
      <w:lvlText w:val="•"/>
      <w:lvlJc w:val="left"/>
      <w:pPr>
        <w:ind w:left="579" w:hanging="100"/>
      </w:pPr>
      <w:rPr>
        <w:rFonts w:hint="default"/>
      </w:rPr>
    </w:lvl>
    <w:lvl w:ilvl="3" w:tplc="7154312A">
      <w:numFmt w:val="bullet"/>
      <w:lvlText w:val="•"/>
      <w:lvlJc w:val="left"/>
      <w:pPr>
        <w:ind w:left="789" w:hanging="100"/>
      </w:pPr>
      <w:rPr>
        <w:rFonts w:hint="default"/>
      </w:rPr>
    </w:lvl>
    <w:lvl w:ilvl="4" w:tplc="7BFC187E">
      <w:numFmt w:val="bullet"/>
      <w:lvlText w:val="•"/>
      <w:lvlJc w:val="left"/>
      <w:pPr>
        <w:ind w:left="998" w:hanging="100"/>
      </w:pPr>
      <w:rPr>
        <w:rFonts w:hint="default"/>
      </w:rPr>
    </w:lvl>
    <w:lvl w:ilvl="5" w:tplc="0C081474">
      <w:numFmt w:val="bullet"/>
      <w:lvlText w:val="•"/>
      <w:lvlJc w:val="left"/>
      <w:pPr>
        <w:ind w:left="1208" w:hanging="100"/>
      </w:pPr>
      <w:rPr>
        <w:rFonts w:hint="default"/>
      </w:rPr>
    </w:lvl>
    <w:lvl w:ilvl="6" w:tplc="2230D618">
      <w:numFmt w:val="bullet"/>
      <w:lvlText w:val="•"/>
      <w:lvlJc w:val="left"/>
      <w:pPr>
        <w:ind w:left="1418" w:hanging="100"/>
      </w:pPr>
      <w:rPr>
        <w:rFonts w:hint="default"/>
      </w:rPr>
    </w:lvl>
    <w:lvl w:ilvl="7" w:tplc="F1A4E69A">
      <w:numFmt w:val="bullet"/>
      <w:lvlText w:val="•"/>
      <w:lvlJc w:val="left"/>
      <w:pPr>
        <w:ind w:left="1627" w:hanging="100"/>
      </w:pPr>
      <w:rPr>
        <w:rFonts w:hint="default"/>
      </w:rPr>
    </w:lvl>
    <w:lvl w:ilvl="8" w:tplc="30BAB25A">
      <w:numFmt w:val="bullet"/>
      <w:lvlText w:val="•"/>
      <w:lvlJc w:val="left"/>
      <w:pPr>
        <w:ind w:left="1837" w:hanging="100"/>
      </w:pPr>
      <w:rPr>
        <w:rFonts w:hint="default"/>
      </w:rPr>
    </w:lvl>
  </w:abstractNum>
  <w:abstractNum w:abstractNumId="939" w15:restartNumberingAfterBreak="0">
    <w:nsid w:val="3C1D72D6"/>
    <w:multiLevelType w:val="hybridMultilevel"/>
    <w:tmpl w:val="9ABEFF00"/>
    <w:lvl w:ilvl="0" w:tplc="30EC4352">
      <w:numFmt w:val="bullet"/>
      <w:lvlText w:val=""/>
      <w:lvlJc w:val="left"/>
      <w:pPr>
        <w:ind w:left="156" w:hanging="100"/>
      </w:pPr>
      <w:rPr>
        <w:rFonts w:ascii="Symbol" w:eastAsia="Symbol" w:hAnsi="Symbol" w:cs="Symbol" w:hint="default"/>
        <w:color w:val="231F20"/>
        <w:w w:val="100"/>
        <w:sz w:val="14"/>
        <w:szCs w:val="14"/>
      </w:rPr>
    </w:lvl>
    <w:lvl w:ilvl="1" w:tplc="087A9156">
      <w:numFmt w:val="bullet"/>
      <w:lvlText w:val="•"/>
      <w:lvlJc w:val="left"/>
      <w:pPr>
        <w:ind w:left="301" w:hanging="100"/>
      </w:pPr>
      <w:rPr>
        <w:rFonts w:hint="default"/>
      </w:rPr>
    </w:lvl>
    <w:lvl w:ilvl="2" w:tplc="09DEE264">
      <w:numFmt w:val="bullet"/>
      <w:lvlText w:val="•"/>
      <w:lvlJc w:val="left"/>
      <w:pPr>
        <w:ind w:left="443" w:hanging="100"/>
      </w:pPr>
      <w:rPr>
        <w:rFonts w:hint="default"/>
      </w:rPr>
    </w:lvl>
    <w:lvl w:ilvl="3" w:tplc="93DA90A0">
      <w:numFmt w:val="bullet"/>
      <w:lvlText w:val="•"/>
      <w:lvlJc w:val="left"/>
      <w:pPr>
        <w:ind w:left="585" w:hanging="100"/>
      </w:pPr>
      <w:rPr>
        <w:rFonts w:hint="default"/>
      </w:rPr>
    </w:lvl>
    <w:lvl w:ilvl="4" w:tplc="F8100C52">
      <w:numFmt w:val="bullet"/>
      <w:lvlText w:val="•"/>
      <w:lvlJc w:val="left"/>
      <w:pPr>
        <w:ind w:left="726" w:hanging="100"/>
      </w:pPr>
      <w:rPr>
        <w:rFonts w:hint="default"/>
      </w:rPr>
    </w:lvl>
    <w:lvl w:ilvl="5" w:tplc="1220A136">
      <w:numFmt w:val="bullet"/>
      <w:lvlText w:val="•"/>
      <w:lvlJc w:val="left"/>
      <w:pPr>
        <w:ind w:left="868" w:hanging="100"/>
      </w:pPr>
      <w:rPr>
        <w:rFonts w:hint="default"/>
      </w:rPr>
    </w:lvl>
    <w:lvl w:ilvl="6" w:tplc="18F850FE">
      <w:numFmt w:val="bullet"/>
      <w:lvlText w:val="•"/>
      <w:lvlJc w:val="left"/>
      <w:pPr>
        <w:ind w:left="1010" w:hanging="100"/>
      </w:pPr>
      <w:rPr>
        <w:rFonts w:hint="default"/>
      </w:rPr>
    </w:lvl>
    <w:lvl w:ilvl="7" w:tplc="B77E0B1A">
      <w:numFmt w:val="bullet"/>
      <w:lvlText w:val="•"/>
      <w:lvlJc w:val="left"/>
      <w:pPr>
        <w:ind w:left="1151" w:hanging="100"/>
      </w:pPr>
      <w:rPr>
        <w:rFonts w:hint="default"/>
      </w:rPr>
    </w:lvl>
    <w:lvl w:ilvl="8" w:tplc="325EA50C">
      <w:numFmt w:val="bullet"/>
      <w:lvlText w:val="•"/>
      <w:lvlJc w:val="left"/>
      <w:pPr>
        <w:ind w:left="1293" w:hanging="100"/>
      </w:pPr>
      <w:rPr>
        <w:rFonts w:hint="default"/>
      </w:rPr>
    </w:lvl>
  </w:abstractNum>
  <w:abstractNum w:abstractNumId="940" w15:restartNumberingAfterBreak="0">
    <w:nsid w:val="3C204B37"/>
    <w:multiLevelType w:val="hybridMultilevel"/>
    <w:tmpl w:val="9580C8FA"/>
    <w:lvl w:ilvl="0" w:tplc="D36A4872">
      <w:numFmt w:val="bullet"/>
      <w:lvlText w:val=""/>
      <w:lvlJc w:val="left"/>
      <w:pPr>
        <w:ind w:left="156" w:hanging="100"/>
      </w:pPr>
      <w:rPr>
        <w:rFonts w:ascii="Symbol" w:eastAsia="Symbol" w:hAnsi="Symbol" w:cs="Symbol" w:hint="default"/>
        <w:color w:val="231F20"/>
        <w:w w:val="100"/>
        <w:sz w:val="14"/>
        <w:szCs w:val="14"/>
      </w:rPr>
    </w:lvl>
    <w:lvl w:ilvl="1" w:tplc="9F32EFE0">
      <w:numFmt w:val="bullet"/>
      <w:lvlText w:val="•"/>
      <w:lvlJc w:val="left"/>
      <w:pPr>
        <w:ind w:left="398" w:hanging="100"/>
      </w:pPr>
      <w:rPr>
        <w:rFonts w:hint="default"/>
      </w:rPr>
    </w:lvl>
    <w:lvl w:ilvl="2" w:tplc="F934C7C8">
      <w:numFmt w:val="bullet"/>
      <w:lvlText w:val="•"/>
      <w:lvlJc w:val="left"/>
      <w:pPr>
        <w:ind w:left="636" w:hanging="100"/>
      </w:pPr>
      <w:rPr>
        <w:rFonts w:hint="default"/>
      </w:rPr>
    </w:lvl>
    <w:lvl w:ilvl="3" w:tplc="D638ABEC">
      <w:numFmt w:val="bullet"/>
      <w:lvlText w:val="•"/>
      <w:lvlJc w:val="left"/>
      <w:pPr>
        <w:ind w:left="874" w:hanging="100"/>
      </w:pPr>
      <w:rPr>
        <w:rFonts w:hint="default"/>
      </w:rPr>
    </w:lvl>
    <w:lvl w:ilvl="4" w:tplc="05B8C90A">
      <w:numFmt w:val="bullet"/>
      <w:lvlText w:val="•"/>
      <w:lvlJc w:val="left"/>
      <w:pPr>
        <w:ind w:left="1112" w:hanging="100"/>
      </w:pPr>
      <w:rPr>
        <w:rFonts w:hint="default"/>
      </w:rPr>
    </w:lvl>
    <w:lvl w:ilvl="5" w:tplc="2B70BCAE">
      <w:numFmt w:val="bullet"/>
      <w:lvlText w:val="•"/>
      <w:lvlJc w:val="left"/>
      <w:pPr>
        <w:ind w:left="1350" w:hanging="100"/>
      </w:pPr>
      <w:rPr>
        <w:rFonts w:hint="default"/>
      </w:rPr>
    </w:lvl>
    <w:lvl w:ilvl="6" w:tplc="0C2C4536">
      <w:numFmt w:val="bullet"/>
      <w:lvlText w:val="•"/>
      <w:lvlJc w:val="left"/>
      <w:pPr>
        <w:ind w:left="1588" w:hanging="100"/>
      </w:pPr>
      <w:rPr>
        <w:rFonts w:hint="default"/>
      </w:rPr>
    </w:lvl>
    <w:lvl w:ilvl="7" w:tplc="7868BA82">
      <w:numFmt w:val="bullet"/>
      <w:lvlText w:val="•"/>
      <w:lvlJc w:val="left"/>
      <w:pPr>
        <w:ind w:left="1826" w:hanging="100"/>
      </w:pPr>
      <w:rPr>
        <w:rFonts w:hint="default"/>
      </w:rPr>
    </w:lvl>
    <w:lvl w:ilvl="8" w:tplc="8D7AE61E">
      <w:numFmt w:val="bullet"/>
      <w:lvlText w:val="•"/>
      <w:lvlJc w:val="left"/>
      <w:pPr>
        <w:ind w:left="2064" w:hanging="100"/>
      </w:pPr>
      <w:rPr>
        <w:rFonts w:hint="default"/>
      </w:rPr>
    </w:lvl>
  </w:abstractNum>
  <w:abstractNum w:abstractNumId="941" w15:restartNumberingAfterBreak="0">
    <w:nsid w:val="3C2A680A"/>
    <w:multiLevelType w:val="hybridMultilevel"/>
    <w:tmpl w:val="4238D6B2"/>
    <w:lvl w:ilvl="0" w:tplc="FFFC2ED4">
      <w:numFmt w:val="bullet"/>
      <w:lvlText w:val=""/>
      <w:lvlJc w:val="left"/>
      <w:pPr>
        <w:ind w:left="156" w:hanging="100"/>
      </w:pPr>
      <w:rPr>
        <w:rFonts w:ascii="Symbol" w:eastAsia="Symbol" w:hAnsi="Symbol" w:cs="Symbol" w:hint="default"/>
        <w:color w:val="231F20"/>
        <w:w w:val="100"/>
        <w:sz w:val="14"/>
        <w:szCs w:val="14"/>
      </w:rPr>
    </w:lvl>
    <w:lvl w:ilvl="1" w:tplc="F5AEBB44">
      <w:numFmt w:val="bullet"/>
      <w:lvlText w:val="•"/>
      <w:lvlJc w:val="left"/>
      <w:pPr>
        <w:ind w:left="398" w:hanging="100"/>
      </w:pPr>
      <w:rPr>
        <w:rFonts w:hint="default"/>
      </w:rPr>
    </w:lvl>
    <w:lvl w:ilvl="2" w:tplc="8E562472">
      <w:numFmt w:val="bullet"/>
      <w:lvlText w:val="•"/>
      <w:lvlJc w:val="left"/>
      <w:pPr>
        <w:ind w:left="636" w:hanging="100"/>
      </w:pPr>
      <w:rPr>
        <w:rFonts w:hint="default"/>
      </w:rPr>
    </w:lvl>
    <w:lvl w:ilvl="3" w:tplc="6D0E0DBC">
      <w:numFmt w:val="bullet"/>
      <w:lvlText w:val="•"/>
      <w:lvlJc w:val="left"/>
      <w:pPr>
        <w:ind w:left="874" w:hanging="100"/>
      </w:pPr>
      <w:rPr>
        <w:rFonts w:hint="default"/>
      </w:rPr>
    </w:lvl>
    <w:lvl w:ilvl="4" w:tplc="5E02EA7C">
      <w:numFmt w:val="bullet"/>
      <w:lvlText w:val="•"/>
      <w:lvlJc w:val="left"/>
      <w:pPr>
        <w:ind w:left="1112" w:hanging="100"/>
      </w:pPr>
      <w:rPr>
        <w:rFonts w:hint="default"/>
      </w:rPr>
    </w:lvl>
    <w:lvl w:ilvl="5" w:tplc="30DCD608">
      <w:numFmt w:val="bullet"/>
      <w:lvlText w:val="•"/>
      <w:lvlJc w:val="left"/>
      <w:pPr>
        <w:ind w:left="1350" w:hanging="100"/>
      </w:pPr>
      <w:rPr>
        <w:rFonts w:hint="default"/>
      </w:rPr>
    </w:lvl>
    <w:lvl w:ilvl="6" w:tplc="84FAF46C">
      <w:numFmt w:val="bullet"/>
      <w:lvlText w:val="•"/>
      <w:lvlJc w:val="left"/>
      <w:pPr>
        <w:ind w:left="1588" w:hanging="100"/>
      </w:pPr>
      <w:rPr>
        <w:rFonts w:hint="default"/>
      </w:rPr>
    </w:lvl>
    <w:lvl w:ilvl="7" w:tplc="6FF6A8EC">
      <w:numFmt w:val="bullet"/>
      <w:lvlText w:val="•"/>
      <w:lvlJc w:val="left"/>
      <w:pPr>
        <w:ind w:left="1826" w:hanging="100"/>
      </w:pPr>
      <w:rPr>
        <w:rFonts w:hint="default"/>
      </w:rPr>
    </w:lvl>
    <w:lvl w:ilvl="8" w:tplc="EDD8F696">
      <w:numFmt w:val="bullet"/>
      <w:lvlText w:val="•"/>
      <w:lvlJc w:val="left"/>
      <w:pPr>
        <w:ind w:left="2064" w:hanging="100"/>
      </w:pPr>
      <w:rPr>
        <w:rFonts w:hint="default"/>
      </w:rPr>
    </w:lvl>
  </w:abstractNum>
  <w:abstractNum w:abstractNumId="942" w15:restartNumberingAfterBreak="0">
    <w:nsid w:val="3C472AEE"/>
    <w:multiLevelType w:val="hybridMultilevel"/>
    <w:tmpl w:val="3604836E"/>
    <w:lvl w:ilvl="0" w:tplc="7D1400A0">
      <w:numFmt w:val="bullet"/>
      <w:lvlText w:val=""/>
      <w:lvlJc w:val="left"/>
      <w:pPr>
        <w:ind w:left="156" w:hanging="100"/>
      </w:pPr>
      <w:rPr>
        <w:rFonts w:ascii="Symbol" w:eastAsia="Symbol" w:hAnsi="Symbol" w:cs="Symbol" w:hint="default"/>
        <w:color w:val="231F20"/>
        <w:w w:val="100"/>
        <w:sz w:val="14"/>
        <w:szCs w:val="14"/>
      </w:rPr>
    </w:lvl>
    <w:lvl w:ilvl="1" w:tplc="54B665CA">
      <w:numFmt w:val="bullet"/>
      <w:lvlText w:val="•"/>
      <w:lvlJc w:val="left"/>
      <w:pPr>
        <w:ind w:left="301" w:hanging="100"/>
      </w:pPr>
      <w:rPr>
        <w:rFonts w:hint="default"/>
      </w:rPr>
    </w:lvl>
    <w:lvl w:ilvl="2" w:tplc="4D76FBA8">
      <w:numFmt w:val="bullet"/>
      <w:lvlText w:val="•"/>
      <w:lvlJc w:val="left"/>
      <w:pPr>
        <w:ind w:left="443" w:hanging="100"/>
      </w:pPr>
      <w:rPr>
        <w:rFonts w:hint="default"/>
      </w:rPr>
    </w:lvl>
    <w:lvl w:ilvl="3" w:tplc="19D2F580">
      <w:numFmt w:val="bullet"/>
      <w:lvlText w:val="•"/>
      <w:lvlJc w:val="left"/>
      <w:pPr>
        <w:ind w:left="585" w:hanging="100"/>
      </w:pPr>
      <w:rPr>
        <w:rFonts w:hint="default"/>
      </w:rPr>
    </w:lvl>
    <w:lvl w:ilvl="4" w:tplc="D0F0169C">
      <w:numFmt w:val="bullet"/>
      <w:lvlText w:val="•"/>
      <w:lvlJc w:val="left"/>
      <w:pPr>
        <w:ind w:left="726" w:hanging="100"/>
      </w:pPr>
      <w:rPr>
        <w:rFonts w:hint="default"/>
      </w:rPr>
    </w:lvl>
    <w:lvl w:ilvl="5" w:tplc="AA364F18">
      <w:numFmt w:val="bullet"/>
      <w:lvlText w:val="•"/>
      <w:lvlJc w:val="left"/>
      <w:pPr>
        <w:ind w:left="868" w:hanging="100"/>
      </w:pPr>
      <w:rPr>
        <w:rFonts w:hint="default"/>
      </w:rPr>
    </w:lvl>
    <w:lvl w:ilvl="6" w:tplc="B6100000">
      <w:numFmt w:val="bullet"/>
      <w:lvlText w:val="•"/>
      <w:lvlJc w:val="left"/>
      <w:pPr>
        <w:ind w:left="1010" w:hanging="100"/>
      </w:pPr>
      <w:rPr>
        <w:rFonts w:hint="default"/>
      </w:rPr>
    </w:lvl>
    <w:lvl w:ilvl="7" w:tplc="6A4EB7CC">
      <w:numFmt w:val="bullet"/>
      <w:lvlText w:val="•"/>
      <w:lvlJc w:val="left"/>
      <w:pPr>
        <w:ind w:left="1151" w:hanging="100"/>
      </w:pPr>
      <w:rPr>
        <w:rFonts w:hint="default"/>
      </w:rPr>
    </w:lvl>
    <w:lvl w:ilvl="8" w:tplc="8490FAB8">
      <w:numFmt w:val="bullet"/>
      <w:lvlText w:val="•"/>
      <w:lvlJc w:val="left"/>
      <w:pPr>
        <w:ind w:left="1293" w:hanging="100"/>
      </w:pPr>
      <w:rPr>
        <w:rFonts w:hint="default"/>
      </w:rPr>
    </w:lvl>
  </w:abstractNum>
  <w:abstractNum w:abstractNumId="943" w15:restartNumberingAfterBreak="0">
    <w:nsid w:val="3C497840"/>
    <w:multiLevelType w:val="hybridMultilevel"/>
    <w:tmpl w:val="02FA9344"/>
    <w:lvl w:ilvl="0" w:tplc="1ACECA8A">
      <w:numFmt w:val="bullet"/>
      <w:lvlText w:val=""/>
      <w:lvlJc w:val="left"/>
      <w:pPr>
        <w:ind w:left="156" w:hanging="100"/>
      </w:pPr>
      <w:rPr>
        <w:rFonts w:ascii="Symbol" w:eastAsia="Symbol" w:hAnsi="Symbol" w:cs="Symbol" w:hint="default"/>
        <w:color w:val="231F20"/>
        <w:w w:val="100"/>
        <w:sz w:val="14"/>
        <w:szCs w:val="14"/>
      </w:rPr>
    </w:lvl>
    <w:lvl w:ilvl="1" w:tplc="9AC6247A">
      <w:numFmt w:val="bullet"/>
      <w:lvlText w:val="•"/>
      <w:lvlJc w:val="left"/>
      <w:pPr>
        <w:ind w:left="426" w:hanging="100"/>
      </w:pPr>
      <w:rPr>
        <w:rFonts w:hint="default"/>
      </w:rPr>
    </w:lvl>
    <w:lvl w:ilvl="2" w:tplc="AA08A846">
      <w:numFmt w:val="bullet"/>
      <w:lvlText w:val="•"/>
      <w:lvlJc w:val="left"/>
      <w:pPr>
        <w:ind w:left="692" w:hanging="100"/>
      </w:pPr>
      <w:rPr>
        <w:rFonts w:hint="default"/>
      </w:rPr>
    </w:lvl>
    <w:lvl w:ilvl="3" w:tplc="0EECF6C6">
      <w:numFmt w:val="bullet"/>
      <w:lvlText w:val="•"/>
      <w:lvlJc w:val="left"/>
      <w:pPr>
        <w:ind w:left="959" w:hanging="100"/>
      </w:pPr>
      <w:rPr>
        <w:rFonts w:hint="default"/>
      </w:rPr>
    </w:lvl>
    <w:lvl w:ilvl="4" w:tplc="BB64637A">
      <w:numFmt w:val="bullet"/>
      <w:lvlText w:val="•"/>
      <w:lvlJc w:val="left"/>
      <w:pPr>
        <w:ind w:left="1225" w:hanging="100"/>
      </w:pPr>
      <w:rPr>
        <w:rFonts w:hint="default"/>
      </w:rPr>
    </w:lvl>
    <w:lvl w:ilvl="5" w:tplc="94FA9E12">
      <w:numFmt w:val="bullet"/>
      <w:lvlText w:val="•"/>
      <w:lvlJc w:val="left"/>
      <w:pPr>
        <w:ind w:left="1492" w:hanging="100"/>
      </w:pPr>
      <w:rPr>
        <w:rFonts w:hint="default"/>
      </w:rPr>
    </w:lvl>
    <w:lvl w:ilvl="6" w:tplc="A8F08630">
      <w:numFmt w:val="bullet"/>
      <w:lvlText w:val="•"/>
      <w:lvlJc w:val="left"/>
      <w:pPr>
        <w:ind w:left="1758" w:hanging="100"/>
      </w:pPr>
      <w:rPr>
        <w:rFonts w:hint="default"/>
      </w:rPr>
    </w:lvl>
    <w:lvl w:ilvl="7" w:tplc="7E2E46A4">
      <w:numFmt w:val="bullet"/>
      <w:lvlText w:val="•"/>
      <w:lvlJc w:val="left"/>
      <w:pPr>
        <w:ind w:left="2024" w:hanging="100"/>
      </w:pPr>
      <w:rPr>
        <w:rFonts w:hint="default"/>
      </w:rPr>
    </w:lvl>
    <w:lvl w:ilvl="8" w:tplc="6E985390">
      <w:numFmt w:val="bullet"/>
      <w:lvlText w:val="•"/>
      <w:lvlJc w:val="left"/>
      <w:pPr>
        <w:ind w:left="2291" w:hanging="100"/>
      </w:pPr>
      <w:rPr>
        <w:rFonts w:hint="default"/>
      </w:rPr>
    </w:lvl>
  </w:abstractNum>
  <w:abstractNum w:abstractNumId="944" w15:restartNumberingAfterBreak="0">
    <w:nsid w:val="3C51429B"/>
    <w:multiLevelType w:val="hybridMultilevel"/>
    <w:tmpl w:val="0F2A11A2"/>
    <w:lvl w:ilvl="0" w:tplc="F31C253C">
      <w:numFmt w:val="bullet"/>
      <w:lvlText w:val=""/>
      <w:lvlJc w:val="left"/>
      <w:pPr>
        <w:ind w:left="156" w:hanging="100"/>
      </w:pPr>
      <w:rPr>
        <w:rFonts w:ascii="Symbol" w:eastAsia="Symbol" w:hAnsi="Symbol" w:cs="Symbol" w:hint="default"/>
        <w:color w:val="231F20"/>
        <w:w w:val="100"/>
        <w:sz w:val="14"/>
        <w:szCs w:val="14"/>
      </w:rPr>
    </w:lvl>
    <w:lvl w:ilvl="1" w:tplc="DD989F48">
      <w:numFmt w:val="bullet"/>
      <w:lvlText w:val="•"/>
      <w:lvlJc w:val="left"/>
      <w:pPr>
        <w:ind w:left="301" w:hanging="100"/>
      </w:pPr>
      <w:rPr>
        <w:rFonts w:hint="default"/>
      </w:rPr>
    </w:lvl>
    <w:lvl w:ilvl="2" w:tplc="3B34C6CA">
      <w:numFmt w:val="bullet"/>
      <w:lvlText w:val="•"/>
      <w:lvlJc w:val="left"/>
      <w:pPr>
        <w:ind w:left="443" w:hanging="100"/>
      </w:pPr>
      <w:rPr>
        <w:rFonts w:hint="default"/>
      </w:rPr>
    </w:lvl>
    <w:lvl w:ilvl="3" w:tplc="D90AD156">
      <w:numFmt w:val="bullet"/>
      <w:lvlText w:val="•"/>
      <w:lvlJc w:val="left"/>
      <w:pPr>
        <w:ind w:left="585" w:hanging="100"/>
      </w:pPr>
      <w:rPr>
        <w:rFonts w:hint="default"/>
      </w:rPr>
    </w:lvl>
    <w:lvl w:ilvl="4" w:tplc="691CD5DE">
      <w:numFmt w:val="bullet"/>
      <w:lvlText w:val="•"/>
      <w:lvlJc w:val="left"/>
      <w:pPr>
        <w:ind w:left="726" w:hanging="100"/>
      </w:pPr>
      <w:rPr>
        <w:rFonts w:hint="default"/>
      </w:rPr>
    </w:lvl>
    <w:lvl w:ilvl="5" w:tplc="4AC240FE">
      <w:numFmt w:val="bullet"/>
      <w:lvlText w:val="•"/>
      <w:lvlJc w:val="left"/>
      <w:pPr>
        <w:ind w:left="868" w:hanging="100"/>
      </w:pPr>
      <w:rPr>
        <w:rFonts w:hint="default"/>
      </w:rPr>
    </w:lvl>
    <w:lvl w:ilvl="6" w:tplc="BB6A6A80">
      <w:numFmt w:val="bullet"/>
      <w:lvlText w:val="•"/>
      <w:lvlJc w:val="left"/>
      <w:pPr>
        <w:ind w:left="1010" w:hanging="100"/>
      </w:pPr>
      <w:rPr>
        <w:rFonts w:hint="default"/>
      </w:rPr>
    </w:lvl>
    <w:lvl w:ilvl="7" w:tplc="31DC362E">
      <w:numFmt w:val="bullet"/>
      <w:lvlText w:val="•"/>
      <w:lvlJc w:val="left"/>
      <w:pPr>
        <w:ind w:left="1151" w:hanging="100"/>
      </w:pPr>
      <w:rPr>
        <w:rFonts w:hint="default"/>
      </w:rPr>
    </w:lvl>
    <w:lvl w:ilvl="8" w:tplc="FD6807FC">
      <w:numFmt w:val="bullet"/>
      <w:lvlText w:val="•"/>
      <w:lvlJc w:val="left"/>
      <w:pPr>
        <w:ind w:left="1293" w:hanging="100"/>
      </w:pPr>
      <w:rPr>
        <w:rFonts w:hint="default"/>
      </w:rPr>
    </w:lvl>
  </w:abstractNum>
  <w:abstractNum w:abstractNumId="945" w15:restartNumberingAfterBreak="0">
    <w:nsid w:val="3C734182"/>
    <w:multiLevelType w:val="hybridMultilevel"/>
    <w:tmpl w:val="B5FC3610"/>
    <w:lvl w:ilvl="0" w:tplc="87F2C31C">
      <w:numFmt w:val="bullet"/>
      <w:lvlText w:val=""/>
      <w:lvlJc w:val="left"/>
      <w:pPr>
        <w:ind w:left="157" w:hanging="100"/>
      </w:pPr>
      <w:rPr>
        <w:rFonts w:ascii="Symbol" w:eastAsia="Symbol" w:hAnsi="Symbol" w:cs="Symbol" w:hint="default"/>
        <w:color w:val="231F20"/>
        <w:w w:val="100"/>
        <w:sz w:val="14"/>
        <w:szCs w:val="14"/>
      </w:rPr>
    </w:lvl>
    <w:lvl w:ilvl="1" w:tplc="93A46A88">
      <w:numFmt w:val="bullet"/>
      <w:lvlText w:val="•"/>
      <w:lvlJc w:val="left"/>
      <w:pPr>
        <w:ind w:left="426" w:hanging="100"/>
      </w:pPr>
      <w:rPr>
        <w:rFonts w:hint="default"/>
      </w:rPr>
    </w:lvl>
    <w:lvl w:ilvl="2" w:tplc="72BAAE80">
      <w:numFmt w:val="bullet"/>
      <w:lvlText w:val="•"/>
      <w:lvlJc w:val="left"/>
      <w:pPr>
        <w:ind w:left="692" w:hanging="100"/>
      </w:pPr>
      <w:rPr>
        <w:rFonts w:hint="default"/>
      </w:rPr>
    </w:lvl>
    <w:lvl w:ilvl="3" w:tplc="FFB2F6BE">
      <w:numFmt w:val="bullet"/>
      <w:lvlText w:val="•"/>
      <w:lvlJc w:val="left"/>
      <w:pPr>
        <w:ind w:left="959" w:hanging="100"/>
      </w:pPr>
      <w:rPr>
        <w:rFonts w:hint="default"/>
      </w:rPr>
    </w:lvl>
    <w:lvl w:ilvl="4" w:tplc="5EFA0510">
      <w:numFmt w:val="bullet"/>
      <w:lvlText w:val="•"/>
      <w:lvlJc w:val="left"/>
      <w:pPr>
        <w:ind w:left="1225" w:hanging="100"/>
      </w:pPr>
      <w:rPr>
        <w:rFonts w:hint="default"/>
      </w:rPr>
    </w:lvl>
    <w:lvl w:ilvl="5" w:tplc="7EBA3D6C">
      <w:numFmt w:val="bullet"/>
      <w:lvlText w:val="•"/>
      <w:lvlJc w:val="left"/>
      <w:pPr>
        <w:ind w:left="1492" w:hanging="100"/>
      </w:pPr>
      <w:rPr>
        <w:rFonts w:hint="default"/>
      </w:rPr>
    </w:lvl>
    <w:lvl w:ilvl="6" w:tplc="A304468A">
      <w:numFmt w:val="bullet"/>
      <w:lvlText w:val="•"/>
      <w:lvlJc w:val="left"/>
      <w:pPr>
        <w:ind w:left="1758" w:hanging="100"/>
      </w:pPr>
      <w:rPr>
        <w:rFonts w:hint="default"/>
      </w:rPr>
    </w:lvl>
    <w:lvl w:ilvl="7" w:tplc="9C2CD410">
      <w:numFmt w:val="bullet"/>
      <w:lvlText w:val="•"/>
      <w:lvlJc w:val="left"/>
      <w:pPr>
        <w:ind w:left="2024" w:hanging="100"/>
      </w:pPr>
      <w:rPr>
        <w:rFonts w:hint="default"/>
      </w:rPr>
    </w:lvl>
    <w:lvl w:ilvl="8" w:tplc="EE1666A8">
      <w:numFmt w:val="bullet"/>
      <w:lvlText w:val="•"/>
      <w:lvlJc w:val="left"/>
      <w:pPr>
        <w:ind w:left="2291" w:hanging="100"/>
      </w:pPr>
      <w:rPr>
        <w:rFonts w:hint="default"/>
      </w:rPr>
    </w:lvl>
  </w:abstractNum>
  <w:abstractNum w:abstractNumId="946" w15:restartNumberingAfterBreak="0">
    <w:nsid w:val="3C746352"/>
    <w:multiLevelType w:val="hybridMultilevel"/>
    <w:tmpl w:val="31DC427E"/>
    <w:lvl w:ilvl="0" w:tplc="619CF388">
      <w:numFmt w:val="bullet"/>
      <w:lvlText w:val=""/>
      <w:lvlJc w:val="left"/>
      <w:pPr>
        <w:ind w:left="157" w:hanging="100"/>
      </w:pPr>
      <w:rPr>
        <w:rFonts w:ascii="Symbol" w:eastAsia="Symbol" w:hAnsi="Symbol" w:cs="Symbol" w:hint="default"/>
        <w:color w:val="231F20"/>
        <w:w w:val="100"/>
        <w:sz w:val="14"/>
        <w:szCs w:val="14"/>
      </w:rPr>
    </w:lvl>
    <w:lvl w:ilvl="1" w:tplc="2C64502C">
      <w:numFmt w:val="bullet"/>
      <w:lvlText w:val="•"/>
      <w:lvlJc w:val="left"/>
      <w:pPr>
        <w:ind w:left="369" w:hanging="100"/>
      </w:pPr>
      <w:rPr>
        <w:rFonts w:hint="default"/>
      </w:rPr>
    </w:lvl>
    <w:lvl w:ilvl="2" w:tplc="1A0A3656">
      <w:numFmt w:val="bullet"/>
      <w:lvlText w:val="•"/>
      <w:lvlJc w:val="left"/>
      <w:pPr>
        <w:ind w:left="579" w:hanging="100"/>
      </w:pPr>
      <w:rPr>
        <w:rFonts w:hint="default"/>
      </w:rPr>
    </w:lvl>
    <w:lvl w:ilvl="3" w:tplc="0D5C0882">
      <w:numFmt w:val="bullet"/>
      <w:lvlText w:val="•"/>
      <w:lvlJc w:val="left"/>
      <w:pPr>
        <w:ind w:left="789" w:hanging="100"/>
      </w:pPr>
      <w:rPr>
        <w:rFonts w:hint="default"/>
      </w:rPr>
    </w:lvl>
    <w:lvl w:ilvl="4" w:tplc="BE288ABE">
      <w:numFmt w:val="bullet"/>
      <w:lvlText w:val="•"/>
      <w:lvlJc w:val="left"/>
      <w:pPr>
        <w:ind w:left="998" w:hanging="100"/>
      </w:pPr>
      <w:rPr>
        <w:rFonts w:hint="default"/>
      </w:rPr>
    </w:lvl>
    <w:lvl w:ilvl="5" w:tplc="25082FE0">
      <w:numFmt w:val="bullet"/>
      <w:lvlText w:val="•"/>
      <w:lvlJc w:val="left"/>
      <w:pPr>
        <w:ind w:left="1208" w:hanging="100"/>
      </w:pPr>
      <w:rPr>
        <w:rFonts w:hint="default"/>
      </w:rPr>
    </w:lvl>
    <w:lvl w:ilvl="6" w:tplc="1CF4024E">
      <w:numFmt w:val="bullet"/>
      <w:lvlText w:val="•"/>
      <w:lvlJc w:val="left"/>
      <w:pPr>
        <w:ind w:left="1418" w:hanging="100"/>
      </w:pPr>
      <w:rPr>
        <w:rFonts w:hint="default"/>
      </w:rPr>
    </w:lvl>
    <w:lvl w:ilvl="7" w:tplc="E4FC24F6">
      <w:numFmt w:val="bullet"/>
      <w:lvlText w:val="•"/>
      <w:lvlJc w:val="left"/>
      <w:pPr>
        <w:ind w:left="1627" w:hanging="100"/>
      </w:pPr>
      <w:rPr>
        <w:rFonts w:hint="default"/>
      </w:rPr>
    </w:lvl>
    <w:lvl w:ilvl="8" w:tplc="58A067CE">
      <w:numFmt w:val="bullet"/>
      <w:lvlText w:val="•"/>
      <w:lvlJc w:val="left"/>
      <w:pPr>
        <w:ind w:left="1837" w:hanging="100"/>
      </w:pPr>
      <w:rPr>
        <w:rFonts w:hint="default"/>
      </w:rPr>
    </w:lvl>
  </w:abstractNum>
  <w:abstractNum w:abstractNumId="947" w15:restartNumberingAfterBreak="0">
    <w:nsid w:val="3C7D43D3"/>
    <w:multiLevelType w:val="hybridMultilevel"/>
    <w:tmpl w:val="931AC228"/>
    <w:lvl w:ilvl="0" w:tplc="F372F33E">
      <w:numFmt w:val="bullet"/>
      <w:lvlText w:val=""/>
      <w:lvlJc w:val="left"/>
      <w:pPr>
        <w:ind w:left="157" w:hanging="100"/>
      </w:pPr>
      <w:rPr>
        <w:rFonts w:ascii="Symbol" w:eastAsia="Symbol" w:hAnsi="Symbol" w:cs="Symbol" w:hint="default"/>
        <w:color w:val="231F20"/>
        <w:w w:val="100"/>
        <w:sz w:val="14"/>
        <w:szCs w:val="14"/>
      </w:rPr>
    </w:lvl>
    <w:lvl w:ilvl="1" w:tplc="4D80AE6A">
      <w:numFmt w:val="bullet"/>
      <w:lvlText w:val="•"/>
      <w:lvlJc w:val="left"/>
      <w:pPr>
        <w:ind w:left="369" w:hanging="100"/>
      </w:pPr>
      <w:rPr>
        <w:rFonts w:hint="default"/>
      </w:rPr>
    </w:lvl>
    <w:lvl w:ilvl="2" w:tplc="CC600874">
      <w:numFmt w:val="bullet"/>
      <w:lvlText w:val="•"/>
      <w:lvlJc w:val="left"/>
      <w:pPr>
        <w:ind w:left="579" w:hanging="100"/>
      </w:pPr>
      <w:rPr>
        <w:rFonts w:hint="default"/>
      </w:rPr>
    </w:lvl>
    <w:lvl w:ilvl="3" w:tplc="964AF98A">
      <w:numFmt w:val="bullet"/>
      <w:lvlText w:val="•"/>
      <w:lvlJc w:val="left"/>
      <w:pPr>
        <w:ind w:left="789" w:hanging="100"/>
      </w:pPr>
      <w:rPr>
        <w:rFonts w:hint="default"/>
      </w:rPr>
    </w:lvl>
    <w:lvl w:ilvl="4" w:tplc="B3E4AA78">
      <w:numFmt w:val="bullet"/>
      <w:lvlText w:val="•"/>
      <w:lvlJc w:val="left"/>
      <w:pPr>
        <w:ind w:left="998" w:hanging="100"/>
      </w:pPr>
      <w:rPr>
        <w:rFonts w:hint="default"/>
      </w:rPr>
    </w:lvl>
    <w:lvl w:ilvl="5" w:tplc="307203F2">
      <w:numFmt w:val="bullet"/>
      <w:lvlText w:val="•"/>
      <w:lvlJc w:val="left"/>
      <w:pPr>
        <w:ind w:left="1208" w:hanging="100"/>
      </w:pPr>
      <w:rPr>
        <w:rFonts w:hint="default"/>
      </w:rPr>
    </w:lvl>
    <w:lvl w:ilvl="6" w:tplc="A5A41674">
      <w:numFmt w:val="bullet"/>
      <w:lvlText w:val="•"/>
      <w:lvlJc w:val="left"/>
      <w:pPr>
        <w:ind w:left="1418" w:hanging="100"/>
      </w:pPr>
      <w:rPr>
        <w:rFonts w:hint="default"/>
      </w:rPr>
    </w:lvl>
    <w:lvl w:ilvl="7" w:tplc="ACEC7D30">
      <w:numFmt w:val="bullet"/>
      <w:lvlText w:val="•"/>
      <w:lvlJc w:val="left"/>
      <w:pPr>
        <w:ind w:left="1627" w:hanging="100"/>
      </w:pPr>
      <w:rPr>
        <w:rFonts w:hint="default"/>
      </w:rPr>
    </w:lvl>
    <w:lvl w:ilvl="8" w:tplc="3738DC22">
      <w:numFmt w:val="bullet"/>
      <w:lvlText w:val="•"/>
      <w:lvlJc w:val="left"/>
      <w:pPr>
        <w:ind w:left="1837" w:hanging="100"/>
      </w:pPr>
      <w:rPr>
        <w:rFonts w:hint="default"/>
      </w:rPr>
    </w:lvl>
  </w:abstractNum>
  <w:abstractNum w:abstractNumId="948" w15:restartNumberingAfterBreak="0">
    <w:nsid w:val="3C92754E"/>
    <w:multiLevelType w:val="hybridMultilevel"/>
    <w:tmpl w:val="E2486BD6"/>
    <w:lvl w:ilvl="0" w:tplc="7494D636">
      <w:numFmt w:val="bullet"/>
      <w:lvlText w:val=""/>
      <w:lvlJc w:val="left"/>
      <w:pPr>
        <w:ind w:left="157" w:hanging="100"/>
      </w:pPr>
      <w:rPr>
        <w:rFonts w:ascii="Symbol" w:eastAsia="Symbol" w:hAnsi="Symbol" w:cs="Symbol" w:hint="default"/>
        <w:color w:val="231F20"/>
        <w:w w:val="100"/>
        <w:sz w:val="14"/>
        <w:szCs w:val="14"/>
      </w:rPr>
    </w:lvl>
    <w:lvl w:ilvl="1" w:tplc="8DE65BE6">
      <w:numFmt w:val="bullet"/>
      <w:lvlText w:val="•"/>
      <w:lvlJc w:val="left"/>
      <w:pPr>
        <w:ind w:left="398" w:hanging="100"/>
      </w:pPr>
      <w:rPr>
        <w:rFonts w:hint="default"/>
      </w:rPr>
    </w:lvl>
    <w:lvl w:ilvl="2" w:tplc="06BE11A4">
      <w:numFmt w:val="bullet"/>
      <w:lvlText w:val="•"/>
      <w:lvlJc w:val="left"/>
      <w:pPr>
        <w:ind w:left="636" w:hanging="100"/>
      </w:pPr>
      <w:rPr>
        <w:rFonts w:hint="default"/>
      </w:rPr>
    </w:lvl>
    <w:lvl w:ilvl="3" w:tplc="057A807A">
      <w:numFmt w:val="bullet"/>
      <w:lvlText w:val="•"/>
      <w:lvlJc w:val="left"/>
      <w:pPr>
        <w:ind w:left="874" w:hanging="100"/>
      </w:pPr>
      <w:rPr>
        <w:rFonts w:hint="default"/>
      </w:rPr>
    </w:lvl>
    <w:lvl w:ilvl="4" w:tplc="2C6445C4">
      <w:numFmt w:val="bullet"/>
      <w:lvlText w:val="•"/>
      <w:lvlJc w:val="left"/>
      <w:pPr>
        <w:ind w:left="1112" w:hanging="100"/>
      </w:pPr>
      <w:rPr>
        <w:rFonts w:hint="default"/>
      </w:rPr>
    </w:lvl>
    <w:lvl w:ilvl="5" w:tplc="BD086C6A">
      <w:numFmt w:val="bullet"/>
      <w:lvlText w:val="•"/>
      <w:lvlJc w:val="left"/>
      <w:pPr>
        <w:ind w:left="1350" w:hanging="100"/>
      </w:pPr>
      <w:rPr>
        <w:rFonts w:hint="default"/>
      </w:rPr>
    </w:lvl>
    <w:lvl w:ilvl="6" w:tplc="C0AC2350">
      <w:numFmt w:val="bullet"/>
      <w:lvlText w:val="•"/>
      <w:lvlJc w:val="left"/>
      <w:pPr>
        <w:ind w:left="1588" w:hanging="100"/>
      </w:pPr>
      <w:rPr>
        <w:rFonts w:hint="default"/>
      </w:rPr>
    </w:lvl>
    <w:lvl w:ilvl="7" w:tplc="2A34512C">
      <w:numFmt w:val="bullet"/>
      <w:lvlText w:val="•"/>
      <w:lvlJc w:val="left"/>
      <w:pPr>
        <w:ind w:left="1826" w:hanging="100"/>
      </w:pPr>
      <w:rPr>
        <w:rFonts w:hint="default"/>
      </w:rPr>
    </w:lvl>
    <w:lvl w:ilvl="8" w:tplc="6610EA50">
      <w:numFmt w:val="bullet"/>
      <w:lvlText w:val="•"/>
      <w:lvlJc w:val="left"/>
      <w:pPr>
        <w:ind w:left="2064" w:hanging="100"/>
      </w:pPr>
      <w:rPr>
        <w:rFonts w:hint="default"/>
      </w:rPr>
    </w:lvl>
  </w:abstractNum>
  <w:abstractNum w:abstractNumId="949" w15:restartNumberingAfterBreak="0">
    <w:nsid w:val="3C9D1020"/>
    <w:multiLevelType w:val="hybridMultilevel"/>
    <w:tmpl w:val="9CF01076"/>
    <w:lvl w:ilvl="0" w:tplc="D8327FFE">
      <w:numFmt w:val="bullet"/>
      <w:lvlText w:val=""/>
      <w:lvlJc w:val="left"/>
      <w:pPr>
        <w:ind w:left="156" w:hanging="100"/>
      </w:pPr>
      <w:rPr>
        <w:rFonts w:ascii="Symbol" w:eastAsia="Symbol" w:hAnsi="Symbol" w:cs="Symbol" w:hint="default"/>
        <w:color w:val="231F20"/>
        <w:w w:val="100"/>
        <w:sz w:val="14"/>
        <w:szCs w:val="14"/>
      </w:rPr>
    </w:lvl>
    <w:lvl w:ilvl="1" w:tplc="BD1A2382">
      <w:numFmt w:val="bullet"/>
      <w:lvlText w:val="•"/>
      <w:lvlJc w:val="left"/>
      <w:pPr>
        <w:ind w:left="301" w:hanging="100"/>
      </w:pPr>
      <w:rPr>
        <w:rFonts w:hint="default"/>
      </w:rPr>
    </w:lvl>
    <w:lvl w:ilvl="2" w:tplc="8D84A49E">
      <w:numFmt w:val="bullet"/>
      <w:lvlText w:val="•"/>
      <w:lvlJc w:val="left"/>
      <w:pPr>
        <w:ind w:left="443" w:hanging="100"/>
      </w:pPr>
      <w:rPr>
        <w:rFonts w:hint="default"/>
      </w:rPr>
    </w:lvl>
    <w:lvl w:ilvl="3" w:tplc="AA2A8F4A">
      <w:numFmt w:val="bullet"/>
      <w:lvlText w:val="•"/>
      <w:lvlJc w:val="left"/>
      <w:pPr>
        <w:ind w:left="585" w:hanging="100"/>
      </w:pPr>
      <w:rPr>
        <w:rFonts w:hint="default"/>
      </w:rPr>
    </w:lvl>
    <w:lvl w:ilvl="4" w:tplc="7F4865A6">
      <w:numFmt w:val="bullet"/>
      <w:lvlText w:val="•"/>
      <w:lvlJc w:val="left"/>
      <w:pPr>
        <w:ind w:left="726" w:hanging="100"/>
      </w:pPr>
      <w:rPr>
        <w:rFonts w:hint="default"/>
      </w:rPr>
    </w:lvl>
    <w:lvl w:ilvl="5" w:tplc="0904618E">
      <w:numFmt w:val="bullet"/>
      <w:lvlText w:val="•"/>
      <w:lvlJc w:val="left"/>
      <w:pPr>
        <w:ind w:left="868" w:hanging="100"/>
      </w:pPr>
      <w:rPr>
        <w:rFonts w:hint="default"/>
      </w:rPr>
    </w:lvl>
    <w:lvl w:ilvl="6" w:tplc="DEE47B0A">
      <w:numFmt w:val="bullet"/>
      <w:lvlText w:val="•"/>
      <w:lvlJc w:val="left"/>
      <w:pPr>
        <w:ind w:left="1010" w:hanging="100"/>
      </w:pPr>
      <w:rPr>
        <w:rFonts w:hint="default"/>
      </w:rPr>
    </w:lvl>
    <w:lvl w:ilvl="7" w:tplc="B09256E2">
      <w:numFmt w:val="bullet"/>
      <w:lvlText w:val="•"/>
      <w:lvlJc w:val="left"/>
      <w:pPr>
        <w:ind w:left="1151" w:hanging="100"/>
      </w:pPr>
      <w:rPr>
        <w:rFonts w:hint="default"/>
      </w:rPr>
    </w:lvl>
    <w:lvl w:ilvl="8" w:tplc="7EE226CE">
      <w:numFmt w:val="bullet"/>
      <w:lvlText w:val="•"/>
      <w:lvlJc w:val="left"/>
      <w:pPr>
        <w:ind w:left="1293" w:hanging="100"/>
      </w:pPr>
      <w:rPr>
        <w:rFonts w:hint="default"/>
      </w:rPr>
    </w:lvl>
  </w:abstractNum>
  <w:abstractNum w:abstractNumId="950" w15:restartNumberingAfterBreak="0">
    <w:nsid w:val="3CA37280"/>
    <w:multiLevelType w:val="hybridMultilevel"/>
    <w:tmpl w:val="AE14C674"/>
    <w:lvl w:ilvl="0" w:tplc="F160B1DA">
      <w:numFmt w:val="bullet"/>
      <w:lvlText w:val=""/>
      <w:lvlJc w:val="left"/>
      <w:pPr>
        <w:ind w:left="156" w:hanging="100"/>
      </w:pPr>
      <w:rPr>
        <w:rFonts w:ascii="Symbol" w:eastAsia="Symbol" w:hAnsi="Symbol" w:cs="Symbol" w:hint="default"/>
        <w:color w:val="231F20"/>
        <w:w w:val="100"/>
        <w:sz w:val="14"/>
        <w:szCs w:val="14"/>
      </w:rPr>
    </w:lvl>
    <w:lvl w:ilvl="1" w:tplc="A2B47E6E">
      <w:numFmt w:val="bullet"/>
      <w:lvlText w:val="•"/>
      <w:lvlJc w:val="left"/>
      <w:pPr>
        <w:ind w:left="426" w:hanging="100"/>
      </w:pPr>
      <w:rPr>
        <w:rFonts w:hint="default"/>
      </w:rPr>
    </w:lvl>
    <w:lvl w:ilvl="2" w:tplc="BD4221B2">
      <w:numFmt w:val="bullet"/>
      <w:lvlText w:val="•"/>
      <w:lvlJc w:val="left"/>
      <w:pPr>
        <w:ind w:left="692" w:hanging="100"/>
      </w:pPr>
      <w:rPr>
        <w:rFonts w:hint="default"/>
      </w:rPr>
    </w:lvl>
    <w:lvl w:ilvl="3" w:tplc="FA24C2BA">
      <w:numFmt w:val="bullet"/>
      <w:lvlText w:val="•"/>
      <w:lvlJc w:val="left"/>
      <w:pPr>
        <w:ind w:left="959" w:hanging="100"/>
      </w:pPr>
      <w:rPr>
        <w:rFonts w:hint="default"/>
      </w:rPr>
    </w:lvl>
    <w:lvl w:ilvl="4" w:tplc="0112821A">
      <w:numFmt w:val="bullet"/>
      <w:lvlText w:val="•"/>
      <w:lvlJc w:val="left"/>
      <w:pPr>
        <w:ind w:left="1225" w:hanging="100"/>
      </w:pPr>
      <w:rPr>
        <w:rFonts w:hint="default"/>
      </w:rPr>
    </w:lvl>
    <w:lvl w:ilvl="5" w:tplc="9CF2582E">
      <w:numFmt w:val="bullet"/>
      <w:lvlText w:val="•"/>
      <w:lvlJc w:val="left"/>
      <w:pPr>
        <w:ind w:left="1492" w:hanging="100"/>
      </w:pPr>
      <w:rPr>
        <w:rFonts w:hint="default"/>
      </w:rPr>
    </w:lvl>
    <w:lvl w:ilvl="6" w:tplc="58763780">
      <w:numFmt w:val="bullet"/>
      <w:lvlText w:val="•"/>
      <w:lvlJc w:val="left"/>
      <w:pPr>
        <w:ind w:left="1758" w:hanging="100"/>
      </w:pPr>
      <w:rPr>
        <w:rFonts w:hint="default"/>
      </w:rPr>
    </w:lvl>
    <w:lvl w:ilvl="7" w:tplc="95880A48">
      <w:numFmt w:val="bullet"/>
      <w:lvlText w:val="•"/>
      <w:lvlJc w:val="left"/>
      <w:pPr>
        <w:ind w:left="2024" w:hanging="100"/>
      </w:pPr>
      <w:rPr>
        <w:rFonts w:hint="default"/>
      </w:rPr>
    </w:lvl>
    <w:lvl w:ilvl="8" w:tplc="BD4EF032">
      <w:numFmt w:val="bullet"/>
      <w:lvlText w:val="•"/>
      <w:lvlJc w:val="left"/>
      <w:pPr>
        <w:ind w:left="2291" w:hanging="100"/>
      </w:pPr>
      <w:rPr>
        <w:rFonts w:hint="default"/>
      </w:rPr>
    </w:lvl>
  </w:abstractNum>
  <w:abstractNum w:abstractNumId="951" w15:restartNumberingAfterBreak="0">
    <w:nsid w:val="3CB52613"/>
    <w:multiLevelType w:val="hybridMultilevel"/>
    <w:tmpl w:val="A19A41F6"/>
    <w:lvl w:ilvl="0" w:tplc="0DA6F092">
      <w:numFmt w:val="bullet"/>
      <w:lvlText w:val=""/>
      <w:lvlJc w:val="left"/>
      <w:pPr>
        <w:ind w:left="157" w:hanging="100"/>
      </w:pPr>
      <w:rPr>
        <w:rFonts w:ascii="Symbol" w:eastAsia="Symbol" w:hAnsi="Symbol" w:cs="Symbol" w:hint="default"/>
        <w:color w:val="231F20"/>
        <w:w w:val="100"/>
        <w:sz w:val="14"/>
        <w:szCs w:val="14"/>
      </w:rPr>
    </w:lvl>
    <w:lvl w:ilvl="1" w:tplc="BDB66612">
      <w:numFmt w:val="bullet"/>
      <w:lvlText w:val="•"/>
      <w:lvlJc w:val="left"/>
      <w:pPr>
        <w:ind w:left="369" w:hanging="100"/>
      </w:pPr>
      <w:rPr>
        <w:rFonts w:hint="default"/>
      </w:rPr>
    </w:lvl>
    <w:lvl w:ilvl="2" w:tplc="4AE0E188">
      <w:numFmt w:val="bullet"/>
      <w:lvlText w:val="•"/>
      <w:lvlJc w:val="left"/>
      <w:pPr>
        <w:ind w:left="579" w:hanging="100"/>
      </w:pPr>
      <w:rPr>
        <w:rFonts w:hint="default"/>
      </w:rPr>
    </w:lvl>
    <w:lvl w:ilvl="3" w:tplc="DE3A134C">
      <w:numFmt w:val="bullet"/>
      <w:lvlText w:val="•"/>
      <w:lvlJc w:val="left"/>
      <w:pPr>
        <w:ind w:left="789" w:hanging="100"/>
      </w:pPr>
      <w:rPr>
        <w:rFonts w:hint="default"/>
      </w:rPr>
    </w:lvl>
    <w:lvl w:ilvl="4" w:tplc="B0AA1E30">
      <w:numFmt w:val="bullet"/>
      <w:lvlText w:val="•"/>
      <w:lvlJc w:val="left"/>
      <w:pPr>
        <w:ind w:left="998" w:hanging="100"/>
      </w:pPr>
      <w:rPr>
        <w:rFonts w:hint="default"/>
      </w:rPr>
    </w:lvl>
    <w:lvl w:ilvl="5" w:tplc="A2D2F98C">
      <w:numFmt w:val="bullet"/>
      <w:lvlText w:val="•"/>
      <w:lvlJc w:val="left"/>
      <w:pPr>
        <w:ind w:left="1208" w:hanging="100"/>
      </w:pPr>
      <w:rPr>
        <w:rFonts w:hint="default"/>
      </w:rPr>
    </w:lvl>
    <w:lvl w:ilvl="6" w:tplc="0DB6757C">
      <w:numFmt w:val="bullet"/>
      <w:lvlText w:val="•"/>
      <w:lvlJc w:val="left"/>
      <w:pPr>
        <w:ind w:left="1418" w:hanging="100"/>
      </w:pPr>
      <w:rPr>
        <w:rFonts w:hint="default"/>
      </w:rPr>
    </w:lvl>
    <w:lvl w:ilvl="7" w:tplc="94FE7896">
      <w:numFmt w:val="bullet"/>
      <w:lvlText w:val="•"/>
      <w:lvlJc w:val="left"/>
      <w:pPr>
        <w:ind w:left="1627" w:hanging="100"/>
      </w:pPr>
      <w:rPr>
        <w:rFonts w:hint="default"/>
      </w:rPr>
    </w:lvl>
    <w:lvl w:ilvl="8" w:tplc="9B4E9FC8">
      <w:numFmt w:val="bullet"/>
      <w:lvlText w:val="•"/>
      <w:lvlJc w:val="left"/>
      <w:pPr>
        <w:ind w:left="1837" w:hanging="100"/>
      </w:pPr>
      <w:rPr>
        <w:rFonts w:hint="default"/>
      </w:rPr>
    </w:lvl>
  </w:abstractNum>
  <w:abstractNum w:abstractNumId="952" w15:restartNumberingAfterBreak="0">
    <w:nsid w:val="3CBE0C4F"/>
    <w:multiLevelType w:val="hybridMultilevel"/>
    <w:tmpl w:val="AF54B598"/>
    <w:lvl w:ilvl="0" w:tplc="26167C36">
      <w:numFmt w:val="bullet"/>
      <w:lvlText w:val=""/>
      <w:lvlJc w:val="left"/>
      <w:pPr>
        <w:ind w:left="156" w:hanging="100"/>
      </w:pPr>
      <w:rPr>
        <w:rFonts w:ascii="Symbol" w:eastAsia="Symbol" w:hAnsi="Symbol" w:cs="Symbol" w:hint="default"/>
        <w:color w:val="231F20"/>
        <w:w w:val="100"/>
        <w:sz w:val="14"/>
        <w:szCs w:val="14"/>
      </w:rPr>
    </w:lvl>
    <w:lvl w:ilvl="1" w:tplc="A2A4E8DC">
      <w:numFmt w:val="bullet"/>
      <w:lvlText w:val="•"/>
      <w:lvlJc w:val="left"/>
      <w:pPr>
        <w:ind w:left="301" w:hanging="100"/>
      </w:pPr>
      <w:rPr>
        <w:rFonts w:hint="default"/>
      </w:rPr>
    </w:lvl>
    <w:lvl w:ilvl="2" w:tplc="DED63612">
      <w:numFmt w:val="bullet"/>
      <w:lvlText w:val="•"/>
      <w:lvlJc w:val="left"/>
      <w:pPr>
        <w:ind w:left="443" w:hanging="100"/>
      </w:pPr>
      <w:rPr>
        <w:rFonts w:hint="default"/>
      </w:rPr>
    </w:lvl>
    <w:lvl w:ilvl="3" w:tplc="AFB2B7F4">
      <w:numFmt w:val="bullet"/>
      <w:lvlText w:val="•"/>
      <w:lvlJc w:val="left"/>
      <w:pPr>
        <w:ind w:left="585" w:hanging="100"/>
      </w:pPr>
      <w:rPr>
        <w:rFonts w:hint="default"/>
      </w:rPr>
    </w:lvl>
    <w:lvl w:ilvl="4" w:tplc="B63A771A">
      <w:numFmt w:val="bullet"/>
      <w:lvlText w:val="•"/>
      <w:lvlJc w:val="left"/>
      <w:pPr>
        <w:ind w:left="726" w:hanging="100"/>
      </w:pPr>
      <w:rPr>
        <w:rFonts w:hint="default"/>
      </w:rPr>
    </w:lvl>
    <w:lvl w:ilvl="5" w:tplc="8CFE74B6">
      <w:numFmt w:val="bullet"/>
      <w:lvlText w:val="•"/>
      <w:lvlJc w:val="left"/>
      <w:pPr>
        <w:ind w:left="868" w:hanging="100"/>
      </w:pPr>
      <w:rPr>
        <w:rFonts w:hint="default"/>
      </w:rPr>
    </w:lvl>
    <w:lvl w:ilvl="6" w:tplc="03E4B002">
      <w:numFmt w:val="bullet"/>
      <w:lvlText w:val="•"/>
      <w:lvlJc w:val="left"/>
      <w:pPr>
        <w:ind w:left="1010" w:hanging="100"/>
      </w:pPr>
      <w:rPr>
        <w:rFonts w:hint="default"/>
      </w:rPr>
    </w:lvl>
    <w:lvl w:ilvl="7" w:tplc="B444302C">
      <w:numFmt w:val="bullet"/>
      <w:lvlText w:val="•"/>
      <w:lvlJc w:val="left"/>
      <w:pPr>
        <w:ind w:left="1151" w:hanging="100"/>
      </w:pPr>
      <w:rPr>
        <w:rFonts w:hint="default"/>
      </w:rPr>
    </w:lvl>
    <w:lvl w:ilvl="8" w:tplc="89B2EAB6">
      <w:numFmt w:val="bullet"/>
      <w:lvlText w:val="•"/>
      <w:lvlJc w:val="left"/>
      <w:pPr>
        <w:ind w:left="1293" w:hanging="100"/>
      </w:pPr>
      <w:rPr>
        <w:rFonts w:hint="default"/>
      </w:rPr>
    </w:lvl>
  </w:abstractNum>
  <w:abstractNum w:abstractNumId="953" w15:restartNumberingAfterBreak="0">
    <w:nsid w:val="3CC627BB"/>
    <w:multiLevelType w:val="hybridMultilevel"/>
    <w:tmpl w:val="B46E4E7C"/>
    <w:lvl w:ilvl="0" w:tplc="41303E60">
      <w:numFmt w:val="bullet"/>
      <w:lvlText w:val=""/>
      <w:lvlJc w:val="left"/>
      <w:pPr>
        <w:ind w:left="156" w:hanging="100"/>
      </w:pPr>
      <w:rPr>
        <w:rFonts w:ascii="Symbol" w:eastAsia="Symbol" w:hAnsi="Symbol" w:cs="Symbol" w:hint="default"/>
        <w:color w:val="231F20"/>
        <w:w w:val="100"/>
        <w:sz w:val="14"/>
        <w:szCs w:val="14"/>
      </w:rPr>
    </w:lvl>
    <w:lvl w:ilvl="1" w:tplc="4F4ED19C">
      <w:numFmt w:val="bullet"/>
      <w:lvlText w:val="•"/>
      <w:lvlJc w:val="left"/>
      <w:pPr>
        <w:ind w:left="426" w:hanging="100"/>
      </w:pPr>
      <w:rPr>
        <w:rFonts w:hint="default"/>
      </w:rPr>
    </w:lvl>
    <w:lvl w:ilvl="2" w:tplc="07824EFA">
      <w:numFmt w:val="bullet"/>
      <w:lvlText w:val="•"/>
      <w:lvlJc w:val="left"/>
      <w:pPr>
        <w:ind w:left="692" w:hanging="100"/>
      </w:pPr>
      <w:rPr>
        <w:rFonts w:hint="default"/>
      </w:rPr>
    </w:lvl>
    <w:lvl w:ilvl="3" w:tplc="2FD20696">
      <w:numFmt w:val="bullet"/>
      <w:lvlText w:val="•"/>
      <w:lvlJc w:val="left"/>
      <w:pPr>
        <w:ind w:left="959" w:hanging="100"/>
      </w:pPr>
      <w:rPr>
        <w:rFonts w:hint="default"/>
      </w:rPr>
    </w:lvl>
    <w:lvl w:ilvl="4" w:tplc="0F660EE2">
      <w:numFmt w:val="bullet"/>
      <w:lvlText w:val="•"/>
      <w:lvlJc w:val="left"/>
      <w:pPr>
        <w:ind w:left="1225" w:hanging="100"/>
      </w:pPr>
      <w:rPr>
        <w:rFonts w:hint="default"/>
      </w:rPr>
    </w:lvl>
    <w:lvl w:ilvl="5" w:tplc="41220E22">
      <w:numFmt w:val="bullet"/>
      <w:lvlText w:val="•"/>
      <w:lvlJc w:val="left"/>
      <w:pPr>
        <w:ind w:left="1492" w:hanging="100"/>
      </w:pPr>
      <w:rPr>
        <w:rFonts w:hint="default"/>
      </w:rPr>
    </w:lvl>
    <w:lvl w:ilvl="6" w:tplc="9864B3A4">
      <w:numFmt w:val="bullet"/>
      <w:lvlText w:val="•"/>
      <w:lvlJc w:val="left"/>
      <w:pPr>
        <w:ind w:left="1758" w:hanging="100"/>
      </w:pPr>
      <w:rPr>
        <w:rFonts w:hint="default"/>
      </w:rPr>
    </w:lvl>
    <w:lvl w:ilvl="7" w:tplc="3DECFE4A">
      <w:numFmt w:val="bullet"/>
      <w:lvlText w:val="•"/>
      <w:lvlJc w:val="left"/>
      <w:pPr>
        <w:ind w:left="2024" w:hanging="100"/>
      </w:pPr>
      <w:rPr>
        <w:rFonts w:hint="default"/>
      </w:rPr>
    </w:lvl>
    <w:lvl w:ilvl="8" w:tplc="ECF61858">
      <w:numFmt w:val="bullet"/>
      <w:lvlText w:val="•"/>
      <w:lvlJc w:val="left"/>
      <w:pPr>
        <w:ind w:left="2291" w:hanging="100"/>
      </w:pPr>
      <w:rPr>
        <w:rFonts w:hint="default"/>
      </w:rPr>
    </w:lvl>
  </w:abstractNum>
  <w:abstractNum w:abstractNumId="954" w15:restartNumberingAfterBreak="0">
    <w:nsid w:val="3CD33D6B"/>
    <w:multiLevelType w:val="hybridMultilevel"/>
    <w:tmpl w:val="030099E6"/>
    <w:lvl w:ilvl="0" w:tplc="7B4A5680">
      <w:numFmt w:val="bullet"/>
      <w:lvlText w:val=""/>
      <w:lvlJc w:val="left"/>
      <w:pPr>
        <w:ind w:left="156" w:hanging="100"/>
      </w:pPr>
      <w:rPr>
        <w:rFonts w:ascii="Symbol" w:eastAsia="Symbol" w:hAnsi="Symbol" w:cs="Symbol" w:hint="default"/>
        <w:color w:val="231F20"/>
        <w:w w:val="100"/>
        <w:sz w:val="14"/>
        <w:szCs w:val="14"/>
      </w:rPr>
    </w:lvl>
    <w:lvl w:ilvl="1" w:tplc="BFDABCF8">
      <w:numFmt w:val="bullet"/>
      <w:lvlText w:val="•"/>
      <w:lvlJc w:val="left"/>
      <w:pPr>
        <w:ind w:left="301" w:hanging="100"/>
      </w:pPr>
      <w:rPr>
        <w:rFonts w:hint="default"/>
      </w:rPr>
    </w:lvl>
    <w:lvl w:ilvl="2" w:tplc="175A1F56">
      <w:numFmt w:val="bullet"/>
      <w:lvlText w:val="•"/>
      <w:lvlJc w:val="left"/>
      <w:pPr>
        <w:ind w:left="443" w:hanging="100"/>
      </w:pPr>
      <w:rPr>
        <w:rFonts w:hint="default"/>
      </w:rPr>
    </w:lvl>
    <w:lvl w:ilvl="3" w:tplc="9CE6971C">
      <w:numFmt w:val="bullet"/>
      <w:lvlText w:val="•"/>
      <w:lvlJc w:val="left"/>
      <w:pPr>
        <w:ind w:left="585" w:hanging="100"/>
      </w:pPr>
      <w:rPr>
        <w:rFonts w:hint="default"/>
      </w:rPr>
    </w:lvl>
    <w:lvl w:ilvl="4" w:tplc="B2F88A62">
      <w:numFmt w:val="bullet"/>
      <w:lvlText w:val="•"/>
      <w:lvlJc w:val="left"/>
      <w:pPr>
        <w:ind w:left="726" w:hanging="100"/>
      </w:pPr>
      <w:rPr>
        <w:rFonts w:hint="default"/>
      </w:rPr>
    </w:lvl>
    <w:lvl w:ilvl="5" w:tplc="58309306">
      <w:numFmt w:val="bullet"/>
      <w:lvlText w:val="•"/>
      <w:lvlJc w:val="left"/>
      <w:pPr>
        <w:ind w:left="868" w:hanging="100"/>
      </w:pPr>
      <w:rPr>
        <w:rFonts w:hint="default"/>
      </w:rPr>
    </w:lvl>
    <w:lvl w:ilvl="6" w:tplc="C6789602">
      <w:numFmt w:val="bullet"/>
      <w:lvlText w:val="•"/>
      <w:lvlJc w:val="left"/>
      <w:pPr>
        <w:ind w:left="1010" w:hanging="100"/>
      </w:pPr>
      <w:rPr>
        <w:rFonts w:hint="default"/>
      </w:rPr>
    </w:lvl>
    <w:lvl w:ilvl="7" w:tplc="3BA450FA">
      <w:numFmt w:val="bullet"/>
      <w:lvlText w:val="•"/>
      <w:lvlJc w:val="left"/>
      <w:pPr>
        <w:ind w:left="1151" w:hanging="100"/>
      </w:pPr>
      <w:rPr>
        <w:rFonts w:hint="default"/>
      </w:rPr>
    </w:lvl>
    <w:lvl w:ilvl="8" w:tplc="01DA621A">
      <w:numFmt w:val="bullet"/>
      <w:lvlText w:val="•"/>
      <w:lvlJc w:val="left"/>
      <w:pPr>
        <w:ind w:left="1293" w:hanging="100"/>
      </w:pPr>
      <w:rPr>
        <w:rFonts w:hint="default"/>
      </w:rPr>
    </w:lvl>
  </w:abstractNum>
  <w:abstractNum w:abstractNumId="955" w15:restartNumberingAfterBreak="0">
    <w:nsid w:val="3CD44CD6"/>
    <w:multiLevelType w:val="hybridMultilevel"/>
    <w:tmpl w:val="EF3A3756"/>
    <w:lvl w:ilvl="0" w:tplc="6BFAC336">
      <w:numFmt w:val="bullet"/>
      <w:lvlText w:val=""/>
      <w:lvlJc w:val="left"/>
      <w:pPr>
        <w:ind w:left="156" w:hanging="100"/>
      </w:pPr>
      <w:rPr>
        <w:rFonts w:ascii="Symbol" w:eastAsia="Symbol" w:hAnsi="Symbol" w:cs="Symbol" w:hint="default"/>
        <w:color w:val="231F20"/>
        <w:w w:val="100"/>
        <w:sz w:val="14"/>
        <w:szCs w:val="14"/>
      </w:rPr>
    </w:lvl>
    <w:lvl w:ilvl="1" w:tplc="A1BAF6EC">
      <w:numFmt w:val="bullet"/>
      <w:lvlText w:val="•"/>
      <w:lvlJc w:val="left"/>
      <w:pPr>
        <w:ind w:left="398" w:hanging="100"/>
      </w:pPr>
      <w:rPr>
        <w:rFonts w:hint="default"/>
      </w:rPr>
    </w:lvl>
    <w:lvl w:ilvl="2" w:tplc="4E66099C">
      <w:numFmt w:val="bullet"/>
      <w:lvlText w:val="•"/>
      <w:lvlJc w:val="left"/>
      <w:pPr>
        <w:ind w:left="636" w:hanging="100"/>
      </w:pPr>
      <w:rPr>
        <w:rFonts w:hint="default"/>
      </w:rPr>
    </w:lvl>
    <w:lvl w:ilvl="3" w:tplc="E2B872B4">
      <w:numFmt w:val="bullet"/>
      <w:lvlText w:val="•"/>
      <w:lvlJc w:val="left"/>
      <w:pPr>
        <w:ind w:left="874" w:hanging="100"/>
      </w:pPr>
      <w:rPr>
        <w:rFonts w:hint="default"/>
      </w:rPr>
    </w:lvl>
    <w:lvl w:ilvl="4" w:tplc="009A83E0">
      <w:numFmt w:val="bullet"/>
      <w:lvlText w:val="•"/>
      <w:lvlJc w:val="left"/>
      <w:pPr>
        <w:ind w:left="1112" w:hanging="100"/>
      </w:pPr>
      <w:rPr>
        <w:rFonts w:hint="default"/>
      </w:rPr>
    </w:lvl>
    <w:lvl w:ilvl="5" w:tplc="8E7A7B46">
      <w:numFmt w:val="bullet"/>
      <w:lvlText w:val="•"/>
      <w:lvlJc w:val="left"/>
      <w:pPr>
        <w:ind w:left="1350" w:hanging="100"/>
      </w:pPr>
      <w:rPr>
        <w:rFonts w:hint="default"/>
      </w:rPr>
    </w:lvl>
    <w:lvl w:ilvl="6" w:tplc="8FCC1A6E">
      <w:numFmt w:val="bullet"/>
      <w:lvlText w:val="•"/>
      <w:lvlJc w:val="left"/>
      <w:pPr>
        <w:ind w:left="1588" w:hanging="100"/>
      </w:pPr>
      <w:rPr>
        <w:rFonts w:hint="default"/>
      </w:rPr>
    </w:lvl>
    <w:lvl w:ilvl="7" w:tplc="4E903B54">
      <w:numFmt w:val="bullet"/>
      <w:lvlText w:val="•"/>
      <w:lvlJc w:val="left"/>
      <w:pPr>
        <w:ind w:left="1826" w:hanging="100"/>
      </w:pPr>
      <w:rPr>
        <w:rFonts w:hint="default"/>
      </w:rPr>
    </w:lvl>
    <w:lvl w:ilvl="8" w:tplc="7C460AAC">
      <w:numFmt w:val="bullet"/>
      <w:lvlText w:val="•"/>
      <w:lvlJc w:val="left"/>
      <w:pPr>
        <w:ind w:left="2064" w:hanging="100"/>
      </w:pPr>
      <w:rPr>
        <w:rFonts w:hint="default"/>
      </w:rPr>
    </w:lvl>
  </w:abstractNum>
  <w:abstractNum w:abstractNumId="956" w15:restartNumberingAfterBreak="0">
    <w:nsid w:val="3CEA2EF8"/>
    <w:multiLevelType w:val="hybridMultilevel"/>
    <w:tmpl w:val="2A5A2E5E"/>
    <w:lvl w:ilvl="0" w:tplc="51A69DA8">
      <w:numFmt w:val="bullet"/>
      <w:lvlText w:val=""/>
      <w:lvlJc w:val="left"/>
      <w:pPr>
        <w:ind w:left="156" w:hanging="100"/>
      </w:pPr>
      <w:rPr>
        <w:rFonts w:ascii="Symbol" w:eastAsia="Symbol" w:hAnsi="Symbol" w:cs="Symbol" w:hint="default"/>
        <w:color w:val="231F20"/>
        <w:w w:val="100"/>
        <w:sz w:val="14"/>
        <w:szCs w:val="14"/>
      </w:rPr>
    </w:lvl>
    <w:lvl w:ilvl="1" w:tplc="CAA24034">
      <w:numFmt w:val="bullet"/>
      <w:lvlText w:val="•"/>
      <w:lvlJc w:val="left"/>
      <w:pPr>
        <w:ind w:left="398" w:hanging="100"/>
      </w:pPr>
      <w:rPr>
        <w:rFonts w:hint="default"/>
      </w:rPr>
    </w:lvl>
    <w:lvl w:ilvl="2" w:tplc="90720F6A">
      <w:numFmt w:val="bullet"/>
      <w:lvlText w:val="•"/>
      <w:lvlJc w:val="left"/>
      <w:pPr>
        <w:ind w:left="636" w:hanging="100"/>
      </w:pPr>
      <w:rPr>
        <w:rFonts w:hint="default"/>
      </w:rPr>
    </w:lvl>
    <w:lvl w:ilvl="3" w:tplc="BC30009A">
      <w:numFmt w:val="bullet"/>
      <w:lvlText w:val="•"/>
      <w:lvlJc w:val="left"/>
      <w:pPr>
        <w:ind w:left="874" w:hanging="100"/>
      </w:pPr>
      <w:rPr>
        <w:rFonts w:hint="default"/>
      </w:rPr>
    </w:lvl>
    <w:lvl w:ilvl="4" w:tplc="67FE057C">
      <w:numFmt w:val="bullet"/>
      <w:lvlText w:val="•"/>
      <w:lvlJc w:val="left"/>
      <w:pPr>
        <w:ind w:left="1112" w:hanging="100"/>
      </w:pPr>
      <w:rPr>
        <w:rFonts w:hint="default"/>
      </w:rPr>
    </w:lvl>
    <w:lvl w:ilvl="5" w:tplc="C1067E3E">
      <w:numFmt w:val="bullet"/>
      <w:lvlText w:val="•"/>
      <w:lvlJc w:val="left"/>
      <w:pPr>
        <w:ind w:left="1350" w:hanging="100"/>
      </w:pPr>
      <w:rPr>
        <w:rFonts w:hint="default"/>
      </w:rPr>
    </w:lvl>
    <w:lvl w:ilvl="6" w:tplc="75B2BC9C">
      <w:numFmt w:val="bullet"/>
      <w:lvlText w:val="•"/>
      <w:lvlJc w:val="left"/>
      <w:pPr>
        <w:ind w:left="1588" w:hanging="100"/>
      </w:pPr>
      <w:rPr>
        <w:rFonts w:hint="default"/>
      </w:rPr>
    </w:lvl>
    <w:lvl w:ilvl="7" w:tplc="3880DC7C">
      <w:numFmt w:val="bullet"/>
      <w:lvlText w:val="•"/>
      <w:lvlJc w:val="left"/>
      <w:pPr>
        <w:ind w:left="1826" w:hanging="100"/>
      </w:pPr>
      <w:rPr>
        <w:rFonts w:hint="default"/>
      </w:rPr>
    </w:lvl>
    <w:lvl w:ilvl="8" w:tplc="FE06E71C">
      <w:numFmt w:val="bullet"/>
      <w:lvlText w:val="•"/>
      <w:lvlJc w:val="left"/>
      <w:pPr>
        <w:ind w:left="2064" w:hanging="100"/>
      </w:pPr>
      <w:rPr>
        <w:rFonts w:hint="default"/>
      </w:rPr>
    </w:lvl>
  </w:abstractNum>
  <w:abstractNum w:abstractNumId="957" w15:restartNumberingAfterBreak="0">
    <w:nsid w:val="3D0111C5"/>
    <w:multiLevelType w:val="hybridMultilevel"/>
    <w:tmpl w:val="F2289BA6"/>
    <w:lvl w:ilvl="0" w:tplc="A8A8AC3A">
      <w:numFmt w:val="bullet"/>
      <w:lvlText w:val=""/>
      <w:lvlJc w:val="left"/>
      <w:pPr>
        <w:ind w:left="157" w:hanging="100"/>
      </w:pPr>
      <w:rPr>
        <w:rFonts w:ascii="Symbol" w:eastAsia="Symbol" w:hAnsi="Symbol" w:cs="Symbol" w:hint="default"/>
        <w:color w:val="231F20"/>
        <w:w w:val="100"/>
        <w:sz w:val="14"/>
        <w:szCs w:val="14"/>
      </w:rPr>
    </w:lvl>
    <w:lvl w:ilvl="1" w:tplc="9F12F07A">
      <w:numFmt w:val="bullet"/>
      <w:lvlText w:val="•"/>
      <w:lvlJc w:val="left"/>
      <w:pPr>
        <w:ind w:left="369" w:hanging="100"/>
      </w:pPr>
      <w:rPr>
        <w:rFonts w:hint="default"/>
      </w:rPr>
    </w:lvl>
    <w:lvl w:ilvl="2" w:tplc="29CCD116">
      <w:numFmt w:val="bullet"/>
      <w:lvlText w:val="•"/>
      <w:lvlJc w:val="left"/>
      <w:pPr>
        <w:ind w:left="579" w:hanging="100"/>
      </w:pPr>
      <w:rPr>
        <w:rFonts w:hint="default"/>
      </w:rPr>
    </w:lvl>
    <w:lvl w:ilvl="3" w:tplc="D9925B26">
      <w:numFmt w:val="bullet"/>
      <w:lvlText w:val="•"/>
      <w:lvlJc w:val="left"/>
      <w:pPr>
        <w:ind w:left="789" w:hanging="100"/>
      </w:pPr>
      <w:rPr>
        <w:rFonts w:hint="default"/>
      </w:rPr>
    </w:lvl>
    <w:lvl w:ilvl="4" w:tplc="4F2A6AD8">
      <w:numFmt w:val="bullet"/>
      <w:lvlText w:val="•"/>
      <w:lvlJc w:val="left"/>
      <w:pPr>
        <w:ind w:left="998" w:hanging="100"/>
      </w:pPr>
      <w:rPr>
        <w:rFonts w:hint="default"/>
      </w:rPr>
    </w:lvl>
    <w:lvl w:ilvl="5" w:tplc="6882A3C4">
      <w:numFmt w:val="bullet"/>
      <w:lvlText w:val="•"/>
      <w:lvlJc w:val="left"/>
      <w:pPr>
        <w:ind w:left="1208" w:hanging="100"/>
      </w:pPr>
      <w:rPr>
        <w:rFonts w:hint="default"/>
      </w:rPr>
    </w:lvl>
    <w:lvl w:ilvl="6" w:tplc="392E2A7E">
      <w:numFmt w:val="bullet"/>
      <w:lvlText w:val="•"/>
      <w:lvlJc w:val="left"/>
      <w:pPr>
        <w:ind w:left="1418" w:hanging="100"/>
      </w:pPr>
      <w:rPr>
        <w:rFonts w:hint="default"/>
      </w:rPr>
    </w:lvl>
    <w:lvl w:ilvl="7" w:tplc="9B406098">
      <w:numFmt w:val="bullet"/>
      <w:lvlText w:val="•"/>
      <w:lvlJc w:val="left"/>
      <w:pPr>
        <w:ind w:left="1627" w:hanging="100"/>
      </w:pPr>
      <w:rPr>
        <w:rFonts w:hint="default"/>
      </w:rPr>
    </w:lvl>
    <w:lvl w:ilvl="8" w:tplc="FFC009CE">
      <w:numFmt w:val="bullet"/>
      <w:lvlText w:val="•"/>
      <w:lvlJc w:val="left"/>
      <w:pPr>
        <w:ind w:left="1837" w:hanging="100"/>
      </w:pPr>
      <w:rPr>
        <w:rFonts w:hint="default"/>
      </w:rPr>
    </w:lvl>
  </w:abstractNum>
  <w:abstractNum w:abstractNumId="958" w15:restartNumberingAfterBreak="0">
    <w:nsid w:val="3D1173D2"/>
    <w:multiLevelType w:val="hybridMultilevel"/>
    <w:tmpl w:val="313AF7CC"/>
    <w:lvl w:ilvl="0" w:tplc="0B587EC4">
      <w:numFmt w:val="bullet"/>
      <w:lvlText w:val=""/>
      <w:lvlJc w:val="left"/>
      <w:pPr>
        <w:ind w:left="156" w:hanging="100"/>
      </w:pPr>
      <w:rPr>
        <w:rFonts w:ascii="Symbol" w:eastAsia="Symbol" w:hAnsi="Symbol" w:cs="Symbol" w:hint="default"/>
        <w:color w:val="231F20"/>
        <w:w w:val="100"/>
        <w:sz w:val="14"/>
        <w:szCs w:val="14"/>
      </w:rPr>
    </w:lvl>
    <w:lvl w:ilvl="1" w:tplc="B6BE2D94">
      <w:numFmt w:val="bullet"/>
      <w:lvlText w:val="•"/>
      <w:lvlJc w:val="left"/>
      <w:pPr>
        <w:ind w:left="398" w:hanging="100"/>
      </w:pPr>
      <w:rPr>
        <w:rFonts w:hint="default"/>
      </w:rPr>
    </w:lvl>
    <w:lvl w:ilvl="2" w:tplc="E4AA1034">
      <w:numFmt w:val="bullet"/>
      <w:lvlText w:val="•"/>
      <w:lvlJc w:val="left"/>
      <w:pPr>
        <w:ind w:left="636" w:hanging="100"/>
      </w:pPr>
      <w:rPr>
        <w:rFonts w:hint="default"/>
      </w:rPr>
    </w:lvl>
    <w:lvl w:ilvl="3" w:tplc="D97884B4">
      <w:numFmt w:val="bullet"/>
      <w:lvlText w:val="•"/>
      <w:lvlJc w:val="left"/>
      <w:pPr>
        <w:ind w:left="874" w:hanging="100"/>
      </w:pPr>
      <w:rPr>
        <w:rFonts w:hint="default"/>
      </w:rPr>
    </w:lvl>
    <w:lvl w:ilvl="4" w:tplc="4F783E80">
      <w:numFmt w:val="bullet"/>
      <w:lvlText w:val="•"/>
      <w:lvlJc w:val="left"/>
      <w:pPr>
        <w:ind w:left="1112" w:hanging="100"/>
      </w:pPr>
      <w:rPr>
        <w:rFonts w:hint="default"/>
      </w:rPr>
    </w:lvl>
    <w:lvl w:ilvl="5" w:tplc="34A2749C">
      <w:numFmt w:val="bullet"/>
      <w:lvlText w:val="•"/>
      <w:lvlJc w:val="left"/>
      <w:pPr>
        <w:ind w:left="1350" w:hanging="100"/>
      </w:pPr>
      <w:rPr>
        <w:rFonts w:hint="default"/>
      </w:rPr>
    </w:lvl>
    <w:lvl w:ilvl="6" w:tplc="2554894E">
      <w:numFmt w:val="bullet"/>
      <w:lvlText w:val="•"/>
      <w:lvlJc w:val="left"/>
      <w:pPr>
        <w:ind w:left="1588" w:hanging="100"/>
      </w:pPr>
      <w:rPr>
        <w:rFonts w:hint="default"/>
      </w:rPr>
    </w:lvl>
    <w:lvl w:ilvl="7" w:tplc="D666A316">
      <w:numFmt w:val="bullet"/>
      <w:lvlText w:val="•"/>
      <w:lvlJc w:val="left"/>
      <w:pPr>
        <w:ind w:left="1826" w:hanging="100"/>
      </w:pPr>
      <w:rPr>
        <w:rFonts w:hint="default"/>
      </w:rPr>
    </w:lvl>
    <w:lvl w:ilvl="8" w:tplc="1E7CBC5A">
      <w:numFmt w:val="bullet"/>
      <w:lvlText w:val="•"/>
      <w:lvlJc w:val="left"/>
      <w:pPr>
        <w:ind w:left="2064" w:hanging="100"/>
      </w:pPr>
      <w:rPr>
        <w:rFonts w:hint="default"/>
      </w:rPr>
    </w:lvl>
  </w:abstractNum>
  <w:abstractNum w:abstractNumId="959" w15:restartNumberingAfterBreak="0">
    <w:nsid w:val="3D133DA7"/>
    <w:multiLevelType w:val="hybridMultilevel"/>
    <w:tmpl w:val="D3529CF2"/>
    <w:lvl w:ilvl="0" w:tplc="7A44E518">
      <w:numFmt w:val="bullet"/>
      <w:lvlText w:val=""/>
      <w:lvlJc w:val="left"/>
      <w:pPr>
        <w:ind w:left="157" w:hanging="100"/>
      </w:pPr>
      <w:rPr>
        <w:rFonts w:ascii="Symbol" w:eastAsia="Symbol" w:hAnsi="Symbol" w:cs="Symbol" w:hint="default"/>
        <w:color w:val="231F20"/>
        <w:w w:val="100"/>
        <w:sz w:val="14"/>
        <w:szCs w:val="14"/>
      </w:rPr>
    </w:lvl>
    <w:lvl w:ilvl="1" w:tplc="4B3C8F94">
      <w:numFmt w:val="bullet"/>
      <w:lvlText w:val="•"/>
      <w:lvlJc w:val="left"/>
      <w:pPr>
        <w:ind w:left="369" w:hanging="100"/>
      </w:pPr>
      <w:rPr>
        <w:rFonts w:hint="default"/>
      </w:rPr>
    </w:lvl>
    <w:lvl w:ilvl="2" w:tplc="B1C8D6F4">
      <w:numFmt w:val="bullet"/>
      <w:lvlText w:val="•"/>
      <w:lvlJc w:val="left"/>
      <w:pPr>
        <w:ind w:left="579" w:hanging="100"/>
      </w:pPr>
      <w:rPr>
        <w:rFonts w:hint="default"/>
      </w:rPr>
    </w:lvl>
    <w:lvl w:ilvl="3" w:tplc="FA0435B8">
      <w:numFmt w:val="bullet"/>
      <w:lvlText w:val="•"/>
      <w:lvlJc w:val="left"/>
      <w:pPr>
        <w:ind w:left="789" w:hanging="100"/>
      </w:pPr>
      <w:rPr>
        <w:rFonts w:hint="default"/>
      </w:rPr>
    </w:lvl>
    <w:lvl w:ilvl="4" w:tplc="2F842586">
      <w:numFmt w:val="bullet"/>
      <w:lvlText w:val="•"/>
      <w:lvlJc w:val="left"/>
      <w:pPr>
        <w:ind w:left="998" w:hanging="100"/>
      </w:pPr>
      <w:rPr>
        <w:rFonts w:hint="default"/>
      </w:rPr>
    </w:lvl>
    <w:lvl w:ilvl="5" w:tplc="D5EE917C">
      <w:numFmt w:val="bullet"/>
      <w:lvlText w:val="•"/>
      <w:lvlJc w:val="left"/>
      <w:pPr>
        <w:ind w:left="1208" w:hanging="100"/>
      </w:pPr>
      <w:rPr>
        <w:rFonts w:hint="default"/>
      </w:rPr>
    </w:lvl>
    <w:lvl w:ilvl="6" w:tplc="D10680AE">
      <w:numFmt w:val="bullet"/>
      <w:lvlText w:val="•"/>
      <w:lvlJc w:val="left"/>
      <w:pPr>
        <w:ind w:left="1418" w:hanging="100"/>
      </w:pPr>
      <w:rPr>
        <w:rFonts w:hint="default"/>
      </w:rPr>
    </w:lvl>
    <w:lvl w:ilvl="7" w:tplc="165AB9E0">
      <w:numFmt w:val="bullet"/>
      <w:lvlText w:val="•"/>
      <w:lvlJc w:val="left"/>
      <w:pPr>
        <w:ind w:left="1627" w:hanging="100"/>
      </w:pPr>
      <w:rPr>
        <w:rFonts w:hint="default"/>
      </w:rPr>
    </w:lvl>
    <w:lvl w:ilvl="8" w:tplc="524ED2FE">
      <w:numFmt w:val="bullet"/>
      <w:lvlText w:val="•"/>
      <w:lvlJc w:val="left"/>
      <w:pPr>
        <w:ind w:left="1837" w:hanging="100"/>
      </w:pPr>
      <w:rPr>
        <w:rFonts w:hint="default"/>
      </w:rPr>
    </w:lvl>
  </w:abstractNum>
  <w:abstractNum w:abstractNumId="960" w15:restartNumberingAfterBreak="0">
    <w:nsid w:val="3D1A5749"/>
    <w:multiLevelType w:val="hybridMultilevel"/>
    <w:tmpl w:val="9B06B4D0"/>
    <w:lvl w:ilvl="0" w:tplc="300497F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5044B428">
      <w:numFmt w:val="bullet"/>
      <w:lvlText w:val="•"/>
      <w:lvlJc w:val="left"/>
      <w:pPr>
        <w:ind w:left="408" w:hanging="84"/>
      </w:pPr>
      <w:rPr>
        <w:rFonts w:hint="default"/>
      </w:rPr>
    </w:lvl>
    <w:lvl w:ilvl="2" w:tplc="1340BD0A">
      <w:numFmt w:val="bullet"/>
      <w:lvlText w:val="•"/>
      <w:lvlJc w:val="left"/>
      <w:pPr>
        <w:ind w:left="676" w:hanging="84"/>
      </w:pPr>
      <w:rPr>
        <w:rFonts w:hint="default"/>
      </w:rPr>
    </w:lvl>
    <w:lvl w:ilvl="3" w:tplc="AEF8CFD0">
      <w:numFmt w:val="bullet"/>
      <w:lvlText w:val="•"/>
      <w:lvlJc w:val="left"/>
      <w:pPr>
        <w:ind w:left="945" w:hanging="84"/>
      </w:pPr>
      <w:rPr>
        <w:rFonts w:hint="default"/>
      </w:rPr>
    </w:lvl>
    <w:lvl w:ilvl="4" w:tplc="F23C810C">
      <w:numFmt w:val="bullet"/>
      <w:lvlText w:val="•"/>
      <w:lvlJc w:val="left"/>
      <w:pPr>
        <w:ind w:left="1213" w:hanging="84"/>
      </w:pPr>
      <w:rPr>
        <w:rFonts w:hint="default"/>
      </w:rPr>
    </w:lvl>
    <w:lvl w:ilvl="5" w:tplc="19E24B22">
      <w:numFmt w:val="bullet"/>
      <w:lvlText w:val="•"/>
      <w:lvlJc w:val="left"/>
      <w:pPr>
        <w:ind w:left="1482" w:hanging="84"/>
      </w:pPr>
      <w:rPr>
        <w:rFonts w:hint="default"/>
      </w:rPr>
    </w:lvl>
    <w:lvl w:ilvl="6" w:tplc="E256AC9A">
      <w:numFmt w:val="bullet"/>
      <w:lvlText w:val="•"/>
      <w:lvlJc w:val="left"/>
      <w:pPr>
        <w:ind w:left="1750" w:hanging="84"/>
      </w:pPr>
      <w:rPr>
        <w:rFonts w:hint="default"/>
      </w:rPr>
    </w:lvl>
    <w:lvl w:ilvl="7" w:tplc="0E9E1AB0">
      <w:numFmt w:val="bullet"/>
      <w:lvlText w:val="•"/>
      <w:lvlJc w:val="left"/>
      <w:pPr>
        <w:ind w:left="2018" w:hanging="84"/>
      </w:pPr>
      <w:rPr>
        <w:rFonts w:hint="default"/>
      </w:rPr>
    </w:lvl>
    <w:lvl w:ilvl="8" w:tplc="35BE246A">
      <w:numFmt w:val="bullet"/>
      <w:lvlText w:val="•"/>
      <w:lvlJc w:val="left"/>
      <w:pPr>
        <w:ind w:left="2287" w:hanging="84"/>
      </w:pPr>
      <w:rPr>
        <w:rFonts w:hint="default"/>
      </w:rPr>
    </w:lvl>
  </w:abstractNum>
  <w:abstractNum w:abstractNumId="961" w15:restartNumberingAfterBreak="0">
    <w:nsid w:val="3D2044B1"/>
    <w:multiLevelType w:val="hybridMultilevel"/>
    <w:tmpl w:val="1FB24444"/>
    <w:lvl w:ilvl="0" w:tplc="5F9A259C">
      <w:numFmt w:val="bullet"/>
      <w:lvlText w:val=""/>
      <w:lvlJc w:val="left"/>
      <w:pPr>
        <w:ind w:left="156" w:hanging="100"/>
      </w:pPr>
      <w:rPr>
        <w:rFonts w:ascii="Symbol" w:eastAsia="Symbol" w:hAnsi="Symbol" w:cs="Symbol" w:hint="default"/>
        <w:color w:val="231F20"/>
        <w:w w:val="100"/>
        <w:sz w:val="14"/>
        <w:szCs w:val="14"/>
      </w:rPr>
    </w:lvl>
    <w:lvl w:ilvl="1" w:tplc="54EEBA6C">
      <w:numFmt w:val="bullet"/>
      <w:lvlText w:val="•"/>
      <w:lvlJc w:val="left"/>
      <w:pPr>
        <w:ind w:left="454" w:hanging="100"/>
      </w:pPr>
      <w:rPr>
        <w:rFonts w:hint="default"/>
      </w:rPr>
    </w:lvl>
    <w:lvl w:ilvl="2" w:tplc="442CD43A">
      <w:numFmt w:val="bullet"/>
      <w:lvlText w:val="•"/>
      <w:lvlJc w:val="left"/>
      <w:pPr>
        <w:ind w:left="749" w:hanging="100"/>
      </w:pPr>
      <w:rPr>
        <w:rFonts w:hint="default"/>
      </w:rPr>
    </w:lvl>
    <w:lvl w:ilvl="3" w:tplc="65FE5FB8">
      <w:numFmt w:val="bullet"/>
      <w:lvlText w:val="•"/>
      <w:lvlJc w:val="left"/>
      <w:pPr>
        <w:ind w:left="1044" w:hanging="100"/>
      </w:pPr>
      <w:rPr>
        <w:rFonts w:hint="default"/>
      </w:rPr>
    </w:lvl>
    <w:lvl w:ilvl="4" w:tplc="7D48DB24">
      <w:numFmt w:val="bullet"/>
      <w:lvlText w:val="•"/>
      <w:lvlJc w:val="left"/>
      <w:pPr>
        <w:ind w:left="1339" w:hanging="100"/>
      </w:pPr>
      <w:rPr>
        <w:rFonts w:hint="default"/>
      </w:rPr>
    </w:lvl>
    <w:lvl w:ilvl="5" w:tplc="6E7E76C4">
      <w:numFmt w:val="bullet"/>
      <w:lvlText w:val="•"/>
      <w:lvlJc w:val="left"/>
      <w:pPr>
        <w:ind w:left="1634" w:hanging="100"/>
      </w:pPr>
      <w:rPr>
        <w:rFonts w:hint="default"/>
      </w:rPr>
    </w:lvl>
    <w:lvl w:ilvl="6" w:tplc="DEBC8D58">
      <w:numFmt w:val="bullet"/>
      <w:lvlText w:val="•"/>
      <w:lvlJc w:val="left"/>
      <w:pPr>
        <w:ind w:left="1928" w:hanging="100"/>
      </w:pPr>
      <w:rPr>
        <w:rFonts w:hint="default"/>
      </w:rPr>
    </w:lvl>
    <w:lvl w:ilvl="7" w:tplc="DF2AF072">
      <w:numFmt w:val="bullet"/>
      <w:lvlText w:val="•"/>
      <w:lvlJc w:val="left"/>
      <w:pPr>
        <w:ind w:left="2223" w:hanging="100"/>
      </w:pPr>
      <w:rPr>
        <w:rFonts w:hint="default"/>
      </w:rPr>
    </w:lvl>
    <w:lvl w:ilvl="8" w:tplc="D11CAEDA">
      <w:numFmt w:val="bullet"/>
      <w:lvlText w:val="•"/>
      <w:lvlJc w:val="left"/>
      <w:pPr>
        <w:ind w:left="2518" w:hanging="100"/>
      </w:pPr>
      <w:rPr>
        <w:rFonts w:hint="default"/>
      </w:rPr>
    </w:lvl>
  </w:abstractNum>
  <w:abstractNum w:abstractNumId="962" w15:restartNumberingAfterBreak="0">
    <w:nsid w:val="3D551B2F"/>
    <w:multiLevelType w:val="hybridMultilevel"/>
    <w:tmpl w:val="2F845EEE"/>
    <w:lvl w:ilvl="0" w:tplc="3B3A95FA">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40765B3E">
      <w:numFmt w:val="bullet"/>
      <w:lvlText w:val="•"/>
      <w:lvlJc w:val="left"/>
      <w:pPr>
        <w:ind w:left="351" w:hanging="84"/>
      </w:pPr>
      <w:rPr>
        <w:rFonts w:hint="default"/>
      </w:rPr>
    </w:lvl>
    <w:lvl w:ilvl="2" w:tplc="BBB4588C">
      <w:numFmt w:val="bullet"/>
      <w:lvlText w:val="•"/>
      <w:lvlJc w:val="left"/>
      <w:pPr>
        <w:ind w:left="563" w:hanging="84"/>
      </w:pPr>
      <w:rPr>
        <w:rFonts w:hint="default"/>
      </w:rPr>
    </w:lvl>
    <w:lvl w:ilvl="3" w:tplc="750022F8">
      <w:numFmt w:val="bullet"/>
      <w:lvlText w:val="•"/>
      <w:lvlJc w:val="left"/>
      <w:pPr>
        <w:ind w:left="775" w:hanging="84"/>
      </w:pPr>
      <w:rPr>
        <w:rFonts w:hint="default"/>
      </w:rPr>
    </w:lvl>
    <w:lvl w:ilvl="4" w:tplc="E6386FCC">
      <w:numFmt w:val="bullet"/>
      <w:lvlText w:val="•"/>
      <w:lvlJc w:val="left"/>
      <w:pPr>
        <w:ind w:left="986" w:hanging="84"/>
      </w:pPr>
      <w:rPr>
        <w:rFonts w:hint="default"/>
      </w:rPr>
    </w:lvl>
    <w:lvl w:ilvl="5" w:tplc="7CF40E1C">
      <w:numFmt w:val="bullet"/>
      <w:lvlText w:val="•"/>
      <w:lvlJc w:val="left"/>
      <w:pPr>
        <w:ind w:left="1198" w:hanging="84"/>
      </w:pPr>
      <w:rPr>
        <w:rFonts w:hint="default"/>
      </w:rPr>
    </w:lvl>
    <w:lvl w:ilvl="6" w:tplc="991E8706">
      <w:numFmt w:val="bullet"/>
      <w:lvlText w:val="•"/>
      <w:lvlJc w:val="left"/>
      <w:pPr>
        <w:ind w:left="1410" w:hanging="84"/>
      </w:pPr>
      <w:rPr>
        <w:rFonts w:hint="default"/>
      </w:rPr>
    </w:lvl>
    <w:lvl w:ilvl="7" w:tplc="981009B8">
      <w:numFmt w:val="bullet"/>
      <w:lvlText w:val="•"/>
      <w:lvlJc w:val="left"/>
      <w:pPr>
        <w:ind w:left="1621" w:hanging="84"/>
      </w:pPr>
      <w:rPr>
        <w:rFonts w:hint="default"/>
      </w:rPr>
    </w:lvl>
    <w:lvl w:ilvl="8" w:tplc="2F3EE4DC">
      <w:numFmt w:val="bullet"/>
      <w:lvlText w:val="•"/>
      <w:lvlJc w:val="left"/>
      <w:pPr>
        <w:ind w:left="1833" w:hanging="84"/>
      </w:pPr>
      <w:rPr>
        <w:rFonts w:hint="default"/>
      </w:rPr>
    </w:lvl>
  </w:abstractNum>
  <w:abstractNum w:abstractNumId="963" w15:restartNumberingAfterBreak="0">
    <w:nsid w:val="3D565721"/>
    <w:multiLevelType w:val="hybridMultilevel"/>
    <w:tmpl w:val="A63CC5DE"/>
    <w:lvl w:ilvl="0" w:tplc="66763902">
      <w:numFmt w:val="bullet"/>
      <w:lvlText w:val=""/>
      <w:lvlJc w:val="left"/>
      <w:pPr>
        <w:ind w:left="156" w:hanging="100"/>
      </w:pPr>
      <w:rPr>
        <w:rFonts w:ascii="Symbol" w:eastAsia="Symbol" w:hAnsi="Symbol" w:cs="Symbol" w:hint="default"/>
        <w:color w:val="231F20"/>
        <w:w w:val="100"/>
        <w:sz w:val="14"/>
        <w:szCs w:val="14"/>
      </w:rPr>
    </w:lvl>
    <w:lvl w:ilvl="1" w:tplc="68342716">
      <w:numFmt w:val="bullet"/>
      <w:lvlText w:val="•"/>
      <w:lvlJc w:val="left"/>
      <w:pPr>
        <w:ind w:left="301" w:hanging="100"/>
      </w:pPr>
      <w:rPr>
        <w:rFonts w:hint="default"/>
      </w:rPr>
    </w:lvl>
    <w:lvl w:ilvl="2" w:tplc="FA6ECFAA">
      <w:numFmt w:val="bullet"/>
      <w:lvlText w:val="•"/>
      <w:lvlJc w:val="left"/>
      <w:pPr>
        <w:ind w:left="443" w:hanging="100"/>
      </w:pPr>
      <w:rPr>
        <w:rFonts w:hint="default"/>
      </w:rPr>
    </w:lvl>
    <w:lvl w:ilvl="3" w:tplc="28A21ECC">
      <w:numFmt w:val="bullet"/>
      <w:lvlText w:val="•"/>
      <w:lvlJc w:val="left"/>
      <w:pPr>
        <w:ind w:left="585" w:hanging="100"/>
      </w:pPr>
      <w:rPr>
        <w:rFonts w:hint="default"/>
      </w:rPr>
    </w:lvl>
    <w:lvl w:ilvl="4" w:tplc="CE38CA9A">
      <w:numFmt w:val="bullet"/>
      <w:lvlText w:val="•"/>
      <w:lvlJc w:val="left"/>
      <w:pPr>
        <w:ind w:left="726" w:hanging="100"/>
      </w:pPr>
      <w:rPr>
        <w:rFonts w:hint="default"/>
      </w:rPr>
    </w:lvl>
    <w:lvl w:ilvl="5" w:tplc="06B8073A">
      <w:numFmt w:val="bullet"/>
      <w:lvlText w:val="•"/>
      <w:lvlJc w:val="left"/>
      <w:pPr>
        <w:ind w:left="868" w:hanging="100"/>
      </w:pPr>
      <w:rPr>
        <w:rFonts w:hint="default"/>
      </w:rPr>
    </w:lvl>
    <w:lvl w:ilvl="6" w:tplc="7974CE6E">
      <w:numFmt w:val="bullet"/>
      <w:lvlText w:val="•"/>
      <w:lvlJc w:val="left"/>
      <w:pPr>
        <w:ind w:left="1010" w:hanging="100"/>
      </w:pPr>
      <w:rPr>
        <w:rFonts w:hint="default"/>
      </w:rPr>
    </w:lvl>
    <w:lvl w:ilvl="7" w:tplc="D6366D86">
      <w:numFmt w:val="bullet"/>
      <w:lvlText w:val="•"/>
      <w:lvlJc w:val="left"/>
      <w:pPr>
        <w:ind w:left="1151" w:hanging="100"/>
      </w:pPr>
      <w:rPr>
        <w:rFonts w:hint="default"/>
      </w:rPr>
    </w:lvl>
    <w:lvl w:ilvl="8" w:tplc="0C8E19C4">
      <w:numFmt w:val="bullet"/>
      <w:lvlText w:val="•"/>
      <w:lvlJc w:val="left"/>
      <w:pPr>
        <w:ind w:left="1293" w:hanging="100"/>
      </w:pPr>
      <w:rPr>
        <w:rFonts w:hint="default"/>
      </w:rPr>
    </w:lvl>
  </w:abstractNum>
  <w:abstractNum w:abstractNumId="964" w15:restartNumberingAfterBreak="0">
    <w:nsid w:val="3D8C624C"/>
    <w:multiLevelType w:val="hybridMultilevel"/>
    <w:tmpl w:val="76D2D01C"/>
    <w:lvl w:ilvl="0" w:tplc="628864EA">
      <w:numFmt w:val="bullet"/>
      <w:lvlText w:val=""/>
      <w:lvlJc w:val="left"/>
      <w:pPr>
        <w:ind w:left="156" w:hanging="100"/>
      </w:pPr>
      <w:rPr>
        <w:rFonts w:ascii="Symbol" w:eastAsia="Symbol" w:hAnsi="Symbol" w:cs="Symbol" w:hint="default"/>
        <w:color w:val="231F20"/>
        <w:w w:val="100"/>
        <w:sz w:val="14"/>
        <w:szCs w:val="14"/>
      </w:rPr>
    </w:lvl>
    <w:lvl w:ilvl="1" w:tplc="D05AB52A">
      <w:numFmt w:val="bullet"/>
      <w:lvlText w:val="•"/>
      <w:lvlJc w:val="left"/>
      <w:pPr>
        <w:ind w:left="273" w:hanging="100"/>
      </w:pPr>
      <w:rPr>
        <w:rFonts w:hint="default"/>
      </w:rPr>
    </w:lvl>
    <w:lvl w:ilvl="2" w:tplc="BF8E200E">
      <w:numFmt w:val="bullet"/>
      <w:lvlText w:val="•"/>
      <w:lvlJc w:val="left"/>
      <w:pPr>
        <w:ind w:left="386" w:hanging="100"/>
      </w:pPr>
      <w:rPr>
        <w:rFonts w:hint="default"/>
      </w:rPr>
    </w:lvl>
    <w:lvl w:ilvl="3" w:tplc="448639DC">
      <w:numFmt w:val="bullet"/>
      <w:lvlText w:val="•"/>
      <w:lvlJc w:val="left"/>
      <w:pPr>
        <w:ind w:left="500" w:hanging="100"/>
      </w:pPr>
      <w:rPr>
        <w:rFonts w:hint="default"/>
      </w:rPr>
    </w:lvl>
    <w:lvl w:ilvl="4" w:tplc="2EBE7CBE">
      <w:numFmt w:val="bullet"/>
      <w:lvlText w:val="•"/>
      <w:lvlJc w:val="left"/>
      <w:pPr>
        <w:ind w:left="613" w:hanging="100"/>
      </w:pPr>
      <w:rPr>
        <w:rFonts w:hint="default"/>
      </w:rPr>
    </w:lvl>
    <w:lvl w:ilvl="5" w:tplc="19DC89D2">
      <w:numFmt w:val="bullet"/>
      <w:lvlText w:val="•"/>
      <w:lvlJc w:val="left"/>
      <w:pPr>
        <w:ind w:left="727" w:hanging="100"/>
      </w:pPr>
      <w:rPr>
        <w:rFonts w:hint="default"/>
      </w:rPr>
    </w:lvl>
    <w:lvl w:ilvl="6" w:tplc="B4ACB11C">
      <w:numFmt w:val="bullet"/>
      <w:lvlText w:val="•"/>
      <w:lvlJc w:val="left"/>
      <w:pPr>
        <w:ind w:left="840" w:hanging="100"/>
      </w:pPr>
      <w:rPr>
        <w:rFonts w:hint="default"/>
      </w:rPr>
    </w:lvl>
    <w:lvl w:ilvl="7" w:tplc="1F7C5C00">
      <w:numFmt w:val="bullet"/>
      <w:lvlText w:val="•"/>
      <w:lvlJc w:val="left"/>
      <w:pPr>
        <w:ind w:left="953" w:hanging="100"/>
      </w:pPr>
      <w:rPr>
        <w:rFonts w:hint="default"/>
      </w:rPr>
    </w:lvl>
    <w:lvl w:ilvl="8" w:tplc="D8328A70">
      <w:numFmt w:val="bullet"/>
      <w:lvlText w:val="•"/>
      <w:lvlJc w:val="left"/>
      <w:pPr>
        <w:ind w:left="1067" w:hanging="100"/>
      </w:pPr>
      <w:rPr>
        <w:rFonts w:hint="default"/>
      </w:rPr>
    </w:lvl>
  </w:abstractNum>
  <w:abstractNum w:abstractNumId="965" w15:restartNumberingAfterBreak="0">
    <w:nsid w:val="3D8F56EA"/>
    <w:multiLevelType w:val="hybridMultilevel"/>
    <w:tmpl w:val="31062BCE"/>
    <w:lvl w:ilvl="0" w:tplc="C3AADFC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C3343D56">
      <w:numFmt w:val="bullet"/>
      <w:lvlText w:val="•"/>
      <w:lvlJc w:val="left"/>
      <w:pPr>
        <w:ind w:left="408" w:hanging="84"/>
      </w:pPr>
      <w:rPr>
        <w:rFonts w:hint="default"/>
      </w:rPr>
    </w:lvl>
    <w:lvl w:ilvl="2" w:tplc="9076946C">
      <w:numFmt w:val="bullet"/>
      <w:lvlText w:val="•"/>
      <w:lvlJc w:val="left"/>
      <w:pPr>
        <w:ind w:left="676" w:hanging="84"/>
      </w:pPr>
      <w:rPr>
        <w:rFonts w:hint="default"/>
      </w:rPr>
    </w:lvl>
    <w:lvl w:ilvl="3" w:tplc="6B9228EE">
      <w:numFmt w:val="bullet"/>
      <w:lvlText w:val="•"/>
      <w:lvlJc w:val="left"/>
      <w:pPr>
        <w:ind w:left="945" w:hanging="84"/>
      </w:pPr>
      <w:rPr>
        <w:rFonts w:hint="default"/>
      </w:rPr>
    </w:lvl>
    <w:lvl w:ilvl="4" w:tplc="AA4EF06A">
      <w:numFmt w:val="bullet"/>
      <w:lvlText w:val="•"/>
      <w:lvlJc w:val="left"/>
      <w:pPr>
        <w:ind w:left="1213" w:hanging="84"/>
      </w:pPr>
      <w:rPr>
        <w:rFonts w:hint="default"/>
      </w:rPr>
    </w:lvl>
    <w:lvl w:ilvl="5" w:tplc="D7EAB238">
      <w:numFmt w:val="bullet"/>
      <w:lvlText w:val="•"/>
      <w:lvlJc w:val="left"/>
      <w:pPr>
        <w:ind w:left="1482" w:hanging="84"/>
      </w:pPr>
      <w:rPr>
        <w:rFonts w:hint="default"/>
      </w:rPr>
    </w:lvl>
    <w:lvl w:ilvl="6" w:tplc="7E422976">
      <w:numFmt w:val="bullet"/>
      <w:lvlText w:val="•"/>
      <w:lvlJc w:val="left"/>
      <w:pPr>
        <w:ind w:left="1750" w:hanging="84"/>
      </w:pPr>
      <w:rPr>
        <w:rFonts w:hint="default"/>
      </w:rPr>
    </w:lvl>
    <w:lvl w:ilvl="7" w:tplc="1E1A2D5E">
      <w:numFmt w:val="bullet"/>
      <w:lvlText w:val="•"/>
      <w:lvlJc w:val="left"/>
      <w:pPr>
        <w:ind w:left="2018" w:hanging="84"/>
      </w:pPr>
      <w:rPr>
        <w:rFonts w:hint="default"/>
      </w:rPr>
    </w:lvl>
    <w:lvl w:ilvl="8" w:tplc="D5D8584C">
      <w:numFmt w:val="bullet"/>
      <w:lvlText w:val="•"/>
      <w:lvlJc w:val="left"/>
      <w:pPr>
        <w:ind w:left="2287" w:hanging="84"/>
      </w:pPr>
      <w:rPr>
        <w:rFonts w:hint="default"/>
      </w:rPr>
    </w:lvl>
  </w:abstractNum>
  <w:abstractNum w:abstractNumId="966" w15:restartNumberingAfterBreak="0">
    <w:nsid w:val="3D95476D"/>
    <w:multiLevelType w:val="hybridMultilevel"/>
    <w:tmpl w:val="CAAE10DC"/>
    <w:lvl w:ilvl="0" w:tplc="437C6086">
      <w:numFmt w:val="bullet"/>
      <w:lvlText w:val=""/>
      <w:lvlJc w:val="left"/>
      <w:pPr>
        <w:ind w:left="156" w:hanging="100"/>
      </w:pPr>
      <w:rPr>
        <w:rFonts w:ascii="Symbol" w:eastAsia="Symbol" w:hAnsi="Symbol" w:cs="Symbol" w:hint="default"/>
        <w:color w:val="231F20"/>
        <w:w w:val="100"/>
        <w:sz w:val="14"/>
        <w:szCs w:val="14"/>
      </w:rPr>
    </w:lvl>
    <w:lvl w:ilvl="1" w:tplc="8B76B7B0">
      <w:numFmt w:val="bullet"/>
      <w:lvlText w:val="•"/>
      <w:lvlJc w:val="left"/>
      <w:pPr>
        <w:ind w:left="398" w:hanging="100"/>
      </w:pPr>
      <w:rPr>
        <w:rFonts w:hint="default"/>
      </w:rPr>
    </w:lvl>
    <w:lvl w:ilvl="2" w:tplc="6A3849C6">
      <w:numFmt w:val="bullet"/>
      <w:lvlText w:val="•"/>
      <w:lvlJc w:val="left"/>
      <w:pPr>
        <w:ind w:left="636" w:hanging="100"/>
      </w:pPr>
      <w:rPr>
        <w:rFonts w:hint="default"/>
      </w:rPr>
    </w:lvl>
    <w:lvl w:ilvl="3" w:tplc="9F28279C">
      <w:numFmt w:val="bullet"/>
      <w:lvlText w:val="•"/>
      <w:lvlJc w:val="left"/>
      <w:pPr>
        <w:ind w:left="874" w:hanging="100"/>
      </w:pPr>
      <w:rPr>
        <w:rFonts w:hint="default"/>
      </w:rPr>
    </w:lvl>
    <w:lvl w:ilvl="4" w:tplc="16CAA884">
      <w:numFmt w:val="bullet"/>
      <w:lvlText w:val="•"/>
      <w:lvlJc w:val="left"/>
      <w:pPr>
        <w:ind w:left="1112" w:hanging="100"/>
      </w:pPr>
      <w:rPr>
        <w:rFonts w:hint="default"/>
      </w:rPr>
    </w:lvl>
    <w:lvl w:ilvl="5" w:tplc="5E2E9828">
      <w:numFmt w:val="bullet"/>
      <w:lvlText w:val="•"/>
      <w:lvlJc w:val="left"/>
      <w:pPr>
        <w:ind w:left="1350" w:hanging="100"/>
      </w:pPr>
      <w:rPr>
        <w:rFonts w:hint="default"/>
      </w:rPr>
    </w:lvl>
    <w:lvl w:ilvl="6" w:tplc="BCDCC166">
      <w:numFmt w:val="bullet"/>
      <w:lvlText w:val="•"/>
      <w:lvlJc w:val="left"/>
      <w:pPr>
        <w:ind w:left="1588" w:hanging="100"/>
      </w:pPr>
      <w:rPr>
        <w:rFonts w:hint="default"/>
      </w:rPr>
    </w:lvl>
    <w:lvl w:ilvl="7" w:tplc="F35236CE">
      <w:numFmt w:val="bullet"/>
      <w:lvlText w:val="•"/>
      <w:lvlJc w:val="left"/>
      <w:pPr>
        <w:ind w:left="1826" w:hanging="100"/>
      </w:pPr>
      <w:rPr>
        <w:rFonts w:hint="default"/>
      </w:rPr>
    </w:lvl>
    <w:lvl w:ilvl="8" w:tplc="C93810E8">
      <w:numFmt w:val="bullet"/>
      <w:lvlText w:val="•"/>
      <w:lvlJc w:val="left"/>
      <w:pPr>
        <w:ind w:left="2064" w:hanging="100"/>
      </w:pPr>
      <w:rPr>
        <w:rFonts w:hint="default"/>
      </w:rPr>
    </w:lvl>
  </w:abstractNum>
  <w:abstractNum w:abstractNumId="967" w15:restartNumberingAfterBreak="0">
    <w:nsid w:val="3DA76618"/>
    <w:multiLevelType w:val="hybridMultilevel"/>
    <w:tmpl w:val="E49E365E"/>
    <w:lvl w:ilvl="0" w:tplc="43B4CC84">
      <w:numFmt w:val="bullet"/>
      <w:lvlText w:val=""/>
      <w:lvlJc w:val="left"/>
      <w:pPr>
        <w:ind w:left="156" w:hanging="100"/>
      </w:pPr>
      <w:rPr>
        <w:rFonts w:ascii="Symbol" w:eastAsia="Symbol" w:hAnsi="Symbol" w:cs="Symbol" w:hint="default"/>
        <w:color w:val="231F20"/>
        <w:w w:val="100"/>
        <w:sz w:val="14"/>
        <w:szCs w:val="14"/>
      </w:rPr>
    </w:lvl>
    <w:lvl w:ilvl="1" w:tplc="97F41964">
      <w:numFmt w:val="bullet"/>
      <w:lvlText w:val="•"/>
      <w:lvlJc w:val="left"/>
      <w:pPr>
        <w:ind w:left="398" w:hanging="100"/>
      </w:pPr>
      <w:rPr>
        <w:rFonts w:hint="default"/>
      </w:rPr>
    </w:lvl>
    <w:lvl w:ilvl="2" w:tplc="6E4E1598">
      <w:numFmt w:val="bullet"/>
      <w:lvlText w:val="•"/>
      <w:lvlJc w:val="left"/>
      <w:pPr>
        <w:ind w:left="636" w:hanging="100"/>
      </w:pPr>
      <w:rPr>
        <w:rFonts w:hint="default"/>
      </w:rPr>
    </w:lvl>
    <w:lvl w:ilvl="3" w:tplc="C68A54C0">
      <w:numFmt w:val="bullet"/>
      <w:lvlText w:val="•"/>
      <w:lvlJc w:val="left"/>
      <w:pPr>
        <w:ind w:left="874" w:hanging="100"/>
      </w:pPr>
      <w:rPr>
        <w:rFonts w:hint="default"/>
      </w:rPr>
    </w:lvl>
    <w:lvl w:ilvl="4" w:tplc="B99C157A">
      <w:numFmt w:val="bullet"/>
      <w:lvlText w:val="•"/>
      <w:lvlJc w:val="left"/>
      <w:pPr>
        <w:ind w:left="1112" w:hanging="100"/>
      </w:pPr>
      <w:rPr>
        <w:rFonts w:hint="default"/>
      </w:rPr>
    </w:lvl>
    <w:lvl w:ilvl="5" w:tplc="661CB814">
      <w:numFmt w:val="bullet"/>
      <w:lvlText w:val="•"/>
      <w:lvlJc w:val="left"/>
      <w:pPr>
        <w:ind w:left="1350" w:hanging="100"/>
      </w:pPr>
      <w:rPr>
        <w:rFonts w:hint="default"/>
      </w:rPr>
    </w:lvl>
    <w:lvl w:ilvl="6" w:tplc="73283FDE">
      <w:numFmt w:val="bullet"/>
      <w:lvlText w:val="•"/>
      <w:lvlJc w:val="left"/>
      <w:pPr>
        <w:ind w:left="1588" w:hanging="100"/>
      </w:pPr>
      <w:rPr>
        <w:rFonts w:hint="default"/>
      </w:rPr>
    </w:lvl>
    <w:lvl w:ilvl="7" w:tplc="9DCC0738">
      <w:numFmt w:val="bullet"/>
      <w:lvlText w:val="•"/>
      <w:lvlJc w:val="left"/>
      <w:pPr>
        <w:ind w:left="1826" w:hanging="100"/>
      </w:pPr>
      <w:rPr>
        <w:rFonts w:hint="default"/>
      </w:rPr>
    </w:lvl>
    <w:lvl w:ilvl="8" w:tplc="33E41684">
      <w:numFmt w:val="bullet"/>
      <w:lvlText w:val="•"/>
      <w:lvlJc w:val="left"/>
      <w:pPr>
        <w:ind w:left="2064" w:hanging="100"/>
      </w:pPr>
      <w:rPr>
        <w:rFonts w:hint="default"/>
      </w:rPr>
    </w:lvl>
  </w:abstractNum>
  <w:abstractNum w:abstractNumId="968" w15:restartNumberingAfterBreak="0">
    <w:nsid w:val="3DC56D44"/>
    <w:multiLevelType w:val="hybridMultilevel"/>
    <w:tmpl w:val="2BAE32D0"/>
    <w:lvl w:ilvl="0" w:tplc="C1C63CBA">
      <w:numFmt w:val="bullet"/>
      <w:lvlText w:val=""/>
      <w:lvlJc w:val="left"/>
      <w:pPr>
        <w:ind w:left="157" w:hanging="100"/>
      </w:pPr>
      <w:rPr>
        <w:rFonts w:ascii="Symbol" w:eastAsia="Symbol" w:hAnsi="Symbol" w:cs="Symbol" w:hint="default"/>
        <w:color w:val="231F20"/>
        <w:w w:val="100"/>
        <w:sz w:val="14"/>
        <w:szCs w:val="14"/>
      </w:rPr>
    </w:lvl>
    <w:lvl w:ilvl="1" w:tplc="368C09EA">
      <w:numFmt w:val="bullet"/>
      <w:lvlText w:val="•"/>
      <w:lvlJc w:val="left"/>
      <w:pPr>
        <w:ind w:left="369" w:hanging="100"/>
      </w:pPr>
      <w:rPr>
        <w:rFonts w:hint="default"/>
      </w:rPr>
    </w:lvl>
    <w:lvl w:ilvl="2" w:tplc="D4DEFAAC">
      <w:numFmt w:val="bullet"/>
      <w:lvlText w:val="•"/>
      <w:lvlJc w:val="left"/>
      <w:pPr>
        <w:ind w:left="579" w:hanging="100"/>
      </w:pPr>
      <w:rPr>
        <w:rFonts w:hint="default"/>
      </w:rPr>
    </w:lvl>
    <w:lvl w:ilvl="3" w:tplc="2EEC6CF8">
      <w:numFmt w:val="bullet"/>
      <w:lvlText w:val="•"/>
      <w:lvlJc w:val="left"/>
      <w:pPr>
        <w:ind w:left="789" w:hanging="100"/>
      </w:pPr>
      <w:rPr>
        <w:rFonts w:hint="default"/>
      </w:rPr>
    </w:lvl>
    <w:lvl w:ilvl="4" w:tplc="E502343E">
      <w:numFmt w:val="bullet"/>
      <w:lvlText w:val="•"/>
      <w:lvlJc w:val="left"/>
      <w:pPr>
        <w:ind w:left="998" w:hanging="100"/>
      </w:pPr>
      <w:rPr>
        <w:rFonts w:hint="default"/>
      </w:rPr>
    </w:lvl>
    <w:lvl w:ilvl="5" w:tplc="90904F52">
      <w:numFmt w:val="bullet"/>
      <w:lvlText w:val="•"/>
      <w:lvlJc w:val="left"/>
      <w:pPr>
        <w:ind w:left="1208" w:hanging="100"/>
      </w:pPr>
      <w:rPr>
        <w:rFonts w:hint="default"/>
      </w:rPr>
    </w:lvl>
    <w:lvl w:ilvl="6" w:tplc="8D06C9E0">
      <w:numFmt w:val="bullet"/>
      <w:lvlText w:val="•"/>
      <w:lvlJc w:val="left"/>
      <w:pPr>
        <w:ind w:left="1418" w:hanging="100"/>
      </w:pPr>
      <w:rPr>
        <w:rFonts w:hint="default"/>
      </w:rPr>
    </w:lvl>
    <w:lvl w:ilvl="7" w:tplc="4D82FD42">
      <w:numFmt w:val="bullet"/>
      <w:lvlText w:val="•"/>
      <w:lvlJc w:val="left"/>
      <w:pPr>
        <w:ind w:left="1627" w:hanging="100"/>
      </w:pPr>
      <w:rPr>
        <w:rFonts w:hint="default"/>
      </w:rPr>
    </w:lvl>
    <w:lvl w:ilvl="8" w:tplc="72FA3F9C">
      <w:numFmt w:val="bullet"/>
      <w:lvlText w:val="•"/>
      <w:lvlJc w:val="left"/>
      <w:pPr>
        <w:ind w:left="1837" w:hanging="100"/>
      </w:pPr>
      <w:rPr>
        <w:rFonts w:hint="default"/>
      </w:rPr>
    </w:lvl>
  </w:abstractNum>
  <w:abstractNum w:abstractNumId="969" w15:restartNumberingAfterBreak="0">
    <w:nsid w:val="3DD96E16"/>
    <w:multiLevelType w:val="hybridMultilevel"/>
    <w:tmpl w:val="33D837EA"/>
    <w:lvl w:ilvl="0" w:tplc="5C14D0BE">
      <w:numFmt w:val="bullet"/>
      <w:lvlText w:val=""/>
      <w:lvlJc w:val="left"/>
      <w:pPr>
        <w:ind w:left="156" w:hanging="100"/>
      </w:pPr>
      <w:rPr>
        <w:rFonts w:ascii="Symbol" w:eastAsia="Symbol" w:hAnsi="Symbol" w:cs="Symbol" w:hint="default"/>
        <w:color w:val="231F20"/>
        <w:w w:val="100"/>
        <w:sz w:val="14"/>
        <w:szCs w:val="14"/>
      </w:rPr>
    </w:lvl>
    <w:lvl w:ilvl="1" w:tplc="AF68A408">
      <w:numFmt w:val="bullet"/>
      <w:lvlText w:val="•"/>
      <w:lvlJc w:val="left"/>
      <w:pPr>
        <w:ind w:left="301" w:hanging="100"/>
      </w:pPr>
      <w:rPr>
        <w:rFonts w:hint="default"/>
      </w:rPr>
    </w:lvl>
    <w:lvl w:ilvl="2" w:tplc="442A9388">
      <w:numFmt w:val="bullet"/>
      <w:lvlText w:val="•"/>
      <w:lvlJc w:val="left"/>
      <w:pPr>
        <w:ind w:left="443" w:hanging="100"/>
      </w:pPr>
      <w:rPr>
        <w:rFonts w:hint="default"/>
      </w:rPr>
    </w:lvl>
    <w:lvl w:ilvl="3" w:tplc="385A50EA">
      <w:numFmt w:val="bullet"/>
      <w:lvlText w:val="•"/>
      <w:lvlJc w:val="left"/>
      <w:pPr>
        <w:ind w:left="585" w:hanging="100"/>
      </w:pPr>
      <w:rPr>
        <w:rFonts w:hint="default"/>
      </w:rPr>
    </w:lvl>
    <w:lvl w:ilvl="4" w:tplc="AEA6B2DC">
      <w:numFmt w:val="bullet"/>
      <w:lvlText w:val="•"/>
      <w:lvlJc w:val="left"/>
      <w:pPr>
        <w:ind w:left="726" w:hanging="100"/>
      </w:pPr>
      <w:rPr>
        <w:rFonts w:hint="default"/>
      </w:rPr>
    </w:lvl>
    <w:lvl w:ilvl="5" w:tplc="57061B44">
      <w:numFmt w:val="bullet"/>
      <w:lvlText w:val="•"/>
      <w:lvlJc w:val="left"/>
      <w:pPr>
        <w:ind w:left="868" w:hanging="100"/>
      </w:pPr>
      <w:rPr>
        <w:rFonts w:hint="default"/>
      </w:rPr>
    </w:lvl>
    <w:lvl w:ilvl="6" w:tplc="5900B3FE">
      <w:numFmt w:val="bullet"/>
      <w:lvlText w:val="•"/>
      <w:lvlJc w:val="left"/>
      <w:pPr>
        <w:ind w:left="1010" w:hanging="100"/>
      </w:pPr>
      <w:rPr>
        <w:rFonts w:hint="default"/>
      </w:rPr>
    </w:lvl>
    <w:lvl w:ilvl="7" w:tplc="83C48E7A">
      <w:numFmt w:val="bullet"/>
      <w:lvlText w:val="•"/>
      <w:lvlJc w:val="left"/>
      <w:pPr>
        <w:ind w:left="1151" w:hanging="100"/>
      </w:pPr>
      <w:rPr>
        <w:rFonts w:hint="default"/>
      </w:rPr>
    </w:lvl>
    <w:lvl w:ilvl="8" w:tplc="7FD211CE">
      <w:numFmt w:val="bullet"/>
      <w:lvlText w:val="•"/>
      <w:lvlJc w:val="left"/>
      <w:pPr>
        <w:ind w:left="1293" w:hanging="100"/>
      </w:pPr>
      <w:rPr>
        <w:rFonts w:hint="default"/>
      </w:rPr>
    </w:lvl>
  </w:abstractNum>
  <w:abstractNum w:abstractNumId="970" w15:restartNumberingAfterBreak="0">
    <w:nsid w:val="3E1D2B58"/>
    <w:multiLevelType w:val="hybridMultilevel"/>
    <w:tmpl w:val="EF1A3D3C"/>
    <w:lvl w:ilvl="0" w:tplc="7946086C">
      <w:numFmt w:val="bullet"/>
      <w:lvlText w:val="–"/>
      <w:lvlJc w:val="left"/>
      <w:pPr>
        <w:ind w:left="162" w:hanging="105"/>
      </w:pPr>
      <w:rPr>
        <w:rFonts w:ascii="Times New Roman" w:eastAsia="Times New Roman" w:hAnsi="Times New Roman" w:cs="Times New Roman" w:hint="default"/>
        <w:color w:val="231F20"/>
        <w:spacing w:val="-13"/>
        <w:w w:val="100"/>
        <w:sz w:val="14"/>
        <w:szCs w:val="14"/>
      </w:rPr>
    </w:lvl>
    <w:lvl w:ilvl="1" w:tplc="7E7CF23C">
      <w:numFmt w:val="bullet"/>
      <w:lvlText w:val="•"/>
      <w:lvlJc w:val="left"/>
      <w:pPr>
        <w:ind w:left="426" w:hanging="105"/>
      </w:pPr>
      <w:rPr>
        <w:rFonts w:hint="default"/>
      </w:rPr>
    </w:lvl>
    <w:lvl w:ilvl="2" w:tplc="B2E48CC2">
      <w:numFmt w:val="bullet"/>
      <w:lvlText w:val="•"/>
      <w:lvlJc w:val="left"/>
      <w:pPr>
        <w:ind w:left="692" w:hanging="105"/>
      </w:pPr>
      <w:rPr>
        <w:rFonts w:hint="default"/>
      </w:rPr>
    </w:lvl>
    <w:lvl w:ilvl="3" w:tplc="5D086BC0">
      <w:numFmt w:val="bullet"/>
      <w:lvlText w:val="•"/>
      <w:lvlJc w:val="left"/>
      <w:pPr>
        <w:ind w:left="959" w:hanging="105"/>
      </w:pPr>
      <w:rPr>
        <w:rFonts w:hint="default"/>
      </w:rPr>
    </w:lvl>
    <w:lvl w:ilvl="4" w:tplc="1FA4582A">
      <w:numFmt w:val="bullet"/>
      <w:lvlText w:val="•"/>
      <w:lvlJc w:val="left"/>
      <w:pPr>
        <w:ind w:left="1225" w:hanging="105"/>
      </w:pPr>
      <w:rPr>
        <w:rFonts w:hint="default"/>
      </w:rPr>
    </w:lvl>
    <w:lvl w:ilvl="5" w:tplc="BE7AD076">
      <w:numFmt w:val="bullet"/>
      <w:lvlText w:val="•"/>
      <w:lvlJc w:val="left"/>
      <w:pPr>
        <w:ind w:left="1492" w:hanging="105"/>
      </w:pPr>
      <w:rPr>
        <w:rFonts w:hint="default"/>
      </w:rPr>
    </w:lvl>
    <w:lvl w:ilvl="6" w:tplc="CCEE8478">
      <w:numFmt w:val="bullet"/>
      <w:lvlText w:val="•"/>
      <w:lvlJc w:val="left"/>
      <w:pPr>
        <w:ind w:left="1758" w:hanging="105"/>
      </w:pPr>
      <w:rPr>
        <w:rFonts w:hint="default"/>
      </w:rPr>
    </w:lvl>
    <w:lvl w:ilvl="7" w:tplc="94E0C0F6">
      <w:numFmt w:val="bullet"/>
      <w:lvlText w:val="•"/>
      <w:lvlJc w:val="left"/>
      <w:pPr>
        <w:ind w:left="2024" w:hanging="105"/>
      </w:pPr>
      <w:rPr>
        <w:rFonts w:hint="default"/>
      </w:rPr>
    </w:lvl>
    <w:lvl w:ilvl="8" w:tplc="3E827402">
      <w:numFmt w:val="bullet"/>
      <w:lvlText w:val="•"/>
      <w:lvlJc w:val="left"/>
      <w:pPr>
        <w:ind w:left="2291" w:hanging="105"/>
      </w:pPr>
      <w:rPr>
        <w:rFonts w:hint="default"/>
      </w:rPr>
    </w:lvl>
  </w:abstractNum>
  <w:abstractNum w:abstractNumId="971" w15:restartNumberingAfterBreak="0">
    <w:nsid w:val="3E214502"/>
    <w:multiLevelType w:val="hybridMultilevel"/>
    <w:tmpl w:val="43184066"/>
    <w:lvl w:ilvl="0" w:tplc="064268DC">
      <w:numFmt w:val="bullet"/>
      <w:lvlText w:val=""/>
      <w:lvlJc w:val="left"/>
      <w:pPr>
        <w:ind w:left="156" w:hanging="100"/>
      </w:pPr>
      <w:rPr>
        <w:rFonts w:ascii="Symbol" w:eastAsia="Symbol" w:hAnsi="Symbol" w:cs="Symbol" w:hint="default"/>
        <w:color w:val="231F20"/>
        <w:w w:val="100"/>
        <w:sz w:val="14"/>
        <w:szCs w:val="14"/>
      </w:rPr>
    </w:lvl>
    <w:lvl w:ilvl="1" w:tplc="19DA1EFE">
      <w:numFmt w:val="bullet"/>
      <w:lvlText w:val="•"/>
      <w:lvlJc w:val="left"/>
      <w:pPr>
        <w:ind w:left="398" w:hanging="100"/>
      </w:pPr>
      <w:rPr>
        <w:rFonts w:hint="default"/>
      </w:rPr>
    </w:lvl>
    <w:lvl w:ilvl="2" w:tplc="78EA09CC">
      <w:numFmt w:val="bullet"/>
      <w:lvlText w:val="•"/>
      <w:lvlJc w:val="left"/>
      <w:pPr>
        <w:ind w:left="636" w:hanging="100"/>
      </w:pPr>
      <w:rPr>
        <w:rFonts w:hint="default"/>
      </w:rPr>
    </w:lvl>
    <w:lvl w:ilvl="3" w:tplc="396EAC76">
      <w:numFmt w:val="bullet"/>
      <w:lvlText w:val="•"/>
      <w:lvlJc w:val="left"/>
      <w:pPr>
        <w:ind w:left="874" w:hanging="100"/>
      </w:pPr>
      <w:rPr>
        <w:rFonts w:hint="default"/>
      </w:rPr>
    </w:lvl>
    <w:lvl w:ilvl="4" w:tplc="BA946588">
      <w:numFmt w:val="bullet"/>
      <w:lvlText w:val="•"/>
      <w:lvlJc w:val="left"/>
      <w:pPr>
        <w:ind w:left="1112" w:hanging="100"/>
      </w:pPr>
      <w:rPr>
        <w:rFonts w:hint="default"/>
      </w:rPr>
    </w:lvl>
    <w:lvl w:ilvl="5" w:tplc="90349BB4">
      <w:numFmt w:val="bullet"/>
      <w:lvlText w:val="•"/>
      <w:lvlJc w:val="left"/>
      <w:pPr>
        <w:ind w:left="1350" w:hanging="100"/>
      </w:pPr>
      <w:rPr>
        <w:rFonts w:hint="default"/>
      </w:rPr>
    </w:lvl>
    <w:lvl w:ilvl="6" w:tplc="DC52C6B6">
      <w:numFmt w:val="bullet"/>
      <w:lvlText w:val="•"/>
      <w:lvlJc w:val="left"/>
      <w:pPr>
        <w:ind w:left="1588" w:hanging="100"/>
      </w:pPr>
      <w:rPr>
        <w:rFonts w:hint="default"/>
      </w:rPr>
    </w:lvl>
    <w:lvl w:ilvl="7" w:tplc="ACA60932">
      <w:numFmt w:val="bullet"/>
      <w:lvlText w:val="•"/>
      <w:lvlJc w:val="left"/>
      <w:pPr>
        <w:ind w:left="1826" w:hanging="100"/>
      </w:pPr>
      <w:rPr>
        <w:rFonts w:hint="default"/>
      </w:rPr>
    </w:lvl>
    <w:lvl w:ilvl="8" w:tplc="36D2A056">
      <w:numFmt w:val="bullet"/>
      <w:lvlText w:val="•"/>
      <w:lvlJc w:val="left"/>
      <w:pPr>
        <w:ind w:left="2064" w:hanging="100"/>
      </w:pPr>
      <w:rPr>
        <w:rFonts w:hint="default"/>
      </w:rPr>
    </w:lvl>
  </w:abstractNum>
  <w:abstractNum w:abstractNumId="972" w15:restartNumberingAfterBreak="0">
    <w:nsid w:val="3E340D96"/>
    <w:multiLevelType w:val="hybridMultilevel"/>
    <w:tmpl w:val="B25C2712"/>
    <w:lvl w:ilvl="0" w:tplc="62864BDA">
      <w:numFmt w:val="bullet"/>
      <w:lvlText w:val=""/>
      <w:lvlJc w:val="left"/>
      <w:pPr>
        <w:ind w:left="156" w:hanging="100"/>
      </w:pPr>
      <w:rPr>
        <w:rFonts w:ascii="Symbol" w:eastAsia="Symbol" w:hAnsi="Symbol" w:cs="Symbol" w:hint="default"/>
        <w:color w:val="231F20"/>
        <w:w w:val="100"/>
        <w:sz w:val="14"/>
        <w:szCs w:val="14"/>
      </w:rPr>
    </w:lvl>
    <w:lvl w:ilvl="1" w:tplc="5D3EA494">
      <w:numFmt w:val="bullet"/>
      <w:lvlText w:val="•"/>
      <w:lvlJc w:val="left"/>
      <w:pPr>
        <w:ind w:left="398" w:hanging="100"/>
      </w:pPr>
      <w:rPr>
        <w:rFonts w:hint="default"/>
      </w:rPr>
    </w:lvl>
    <w:lvl w:ilvl="2" w:tplc="2DBE5D8A">
      <w:numFmt w:val="bullet"/>
      <w:lvlText w:val="•"/>
      <w:lvlJc w:val="left"/>
      <w:pPr>
        <w:ind w:left="636" w:hanging="100"/>
      </w:pPr>
      <w:rPr>
        <w:rFonts w:hint="default"/>
      </w:rPr>
    </w:lvl>
    <w:lvl w:ilvl="3" w:tplc="DB76FB72">
      <w:numFmt w:val="bullet"/>
      <w:lvlText w:val="•"/>
      <w:lvlJc w:val="left"/>
      <w:pPr>
        <w:ind w:left="874" w:hanging="100"/>
      </w:pPr>
      <w:rPr>
        <w:rFonts w:hint="default"/>
      </w:rPr>
    </w:lvl>
    <w:lvl w:ilvl="4" w:tplc="1218A31E">
      <w:numFmt w:val="bullet"/>
      <w:lvlText w:val="•"/>
      <w:lvlJc w:val="left"/>
      <w:pPr>
        <w:ind w:left="1112" w:hanging="100"/>
      </w:pPr>
      <w:rPr>
        <w:rFonts w:hint="default"/>
      </w:rPr>
    </w:lvl>
    <w:lvl w:ilvl="5" w:tplc="33640952">
      <w:numFmt w:val="bullet"/>
      <w:lvlText w:val="•"/>
      <w:lvlJc w:val="left"/>
      <w:pPr>
        <w:ind w:left="1350" w:hanging="100"/>
      </w:pPr>
      <w:rPr>
        <w:rFonts w:hint="default"/>
      </w:rPr>
    </w:lvl>
    <w:lvl w:ilvl="6" w:tplc="EEBA09C2">
      <w:numFmt w:val="bullet"/>
      <w:lvlText w:val="•"/>
      <w:lvlJc w:val="left"/>
      <w:pPr>
        <w:ind w:left="1588" w:hanging="100"/>
      </w:pPr>
      <w:rPr>
        <w:rFonts w:hint="default"/>
      </w:rPr>
    </w:lvl>
    <w:lvl w:ilvl="7" w:tplc="C302BF4C">
      <w:numFmt w:val="bullet"/>
      <w:lvlText w:val="•"/>
      <w:lvlJc w:val="left"/>
      <w:pPr>
        <w:ind w:left="1826" w:hanging="100"/>
      </w:pPr>
      <w:rPr>
        <w:rFonts w:hint="default"/>
      </w:rPr>
    </w:lvl>
    <w:lvl w:ilvl="8" w:tplc="6FA69D30">
      <w:numFmt w:val="bullet"/>
      <w:lvlText w:val="•"/>
      <w:lvlJc w:val="left"/>
      <w:pPr>
        <w:ind w:left="2064" w:hanging="100"/>
      </w:pPr>
      <w:rPr>
        <w:rFonts w:hint="default"/>
      </w:rPr>
    </w:lvl>
  </w:abstractNum>
  <w:abstractNum w:abstractNumId="973" w15:restartNumberingAfterBreak="0">
    <w:nsid w:val="3E3C50B9"/>
    <w:multiLevelType w:val="hybridMultilevel"/>
    <w:tmpl w:val="306E49BA"/>
    <w:lvl w:ilvl="0" w:tplc="CB24B1F4">
      <w:numFmt w:val="bullet"/>
      <w:lvlText w:val=""/>
      <w:lvlJc w:val="left"/>
      <w:pPr>
        <w:ind w:left="156" w:hanging="100"/>
      </w:pPr>
      <w:rPr>
        <w:rFonts w:ascii="Symbol" w:eastAsia="Symbol" w:hAnsi="Symbol" w:cs="Symbol" w:hint="default"/>
        <w:color w:val="231F20"/>
        <w:w w:val="100"/>
        <w:sz w:val="14"/>
        <w:szCs w:val="14"/>
      </w:rPr>
    </w:lvl>
    <w:lvl w:ilvl="1" w:tplc="9542A5DA">
      <w:numFmt w:val="bullet"/>
      <w:lvlText w:val="•"/>
      <w:lvlJc w:val="left"/>
      <w:pPr>
        <w:ind w:left="426" w:hanging="100"/>
      </w:pPr>
      <w:rPr>
        <w:rFonts w:hint="default"/>
      </w:rPr>
    </w:lvl>
    <w:lvl w:ilvl="2" w:tplc="4818330A">
      <w:numFmt w:val="bullet"/>
      <w:lvlText w:val="•"/>
      <w:lvlJc w:val="left"/>
      <w:pPr>
        <w:ind w:left="692" w:hanging="100"/>
      </w:pPr>
      <w:rPr>
        <w:rFonts w:hint="default"/>
      </w:rPr>
    </w:lvl>
    <w:lvl w:ilvl="3" w:tplc="55BA363E">
      <w:numFmt w:val="bullet"/>
      <w:lvlText w:val="•"/>
      <w:lvlJc w:val="left"/>
      <w:pPr>
        <w:ind w:left="959" w:hanging="100"/>
      </w:pPr>
      <w:rPr>
        <w:rFonts w:hint="default"/>
      </w:rPr>
    </w:lvl>
    <w:lvl w:ilvl="4" w:tplc="72EAEDEC">
      <w:numFmt w:val="bullet"/>
      <w:lvlText w:val="•"/>
      <w:lvlJc w:val="left"/>
      <w:pPr>
        <w:ind w:left="1225" w:hanging="100"/>
      </w:pPr>
      <w:rPr>
        <w:rFonts w:hint="default"/>
      </w:rPr>
    </w:lvl>
    <w:lvl w:ilvl="5" w:tplc="28106C46">
      <w:numFmt w:val="bullet"/>
      <w:lvlText w:val="•"/>
      <w:lvlJc w:val="left"/>
      <w:pPr>
        <w:ind w:left="1492" w:hanging="100"/>
      </w:pPr>
      <w:rPr>
        <w:rFonts w:hint="default"/>
      </w:rPr>
    </w:lvl>
    <w:lvl w:ilvl="6" w:tplc="27FE7EBA">
      <w:numFmt w:val="bullet"/>
      <w:lvlText w:val="•"/>
      <w:lvlJc w:val="left"/>
      <w:pPr>
        <w:ind w:left="1758" w:hanging="100"/>
      </w:pPr>
      <w:rPr>
        <w:rFonts w:hint="default"/>
      </w:rPr>
    </w:lvl>
    <w:lvl w:ilvl="7" w:tplc="35600976">
      <w:numFmt w:val="bullet"/>
      <w:lvlText w:val="•"/>
      <w:lvlJc w:val="left"/>
      <w:pPr>
        <w:ind w:left="2024" w:hanging="100"/>
      </w:pPr>
      <w:rPr>
        <w:rFonts w:hint="default"/>
      </w:rPr>
    </w:lvl>
    <w:lvl w:ilvl="8" w:tplc="2D2662CC">
      <w:numFmt w:val="bullet"/>
      <w:lvlText w:val="•"/>
      <w:lvlJc w:val="left"/>
      <w:pPr>
        <w:ind w:left="2291" w:hanging="100"/>
      </w:pPr>
      <w:rPr>
        <w:rFonts w:hint="default"/>
      </w:rPr>
    </w:lvl>
  </w:abstractNum>
  <w:abstractNum w:abstractNumId="974" w15:restartNumberingAfterBreak="0">
    <w:nsid w:val="3E4E71C5"/>
    <w:multiLevelType w:val="hybridMultilevel"/>
    <w:tmpl w:val="B596D78E"/>
    <w:lvl w:ilvl="0" w:tplc="E9DEAB8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E59645AE">
      <w:numFmt w:val="bullet"/>
      <w:lvlText w:val="•"/>
      <w:lvlJc w:val="left"/>
      <w:pPr>
        <w:ind w:left="408" w:hanging="84"/>
      </w:pPr>
      <w:rPr>
        <w:rFonts w:hint="default"/>
      </w:rPr>
    </w:lvl>
    <w:lvl w:ilvl="2" w:tplc="A1827434">
      <w:numFmt w:val="bullet"/>
      <w:lvlText w:val="•"/>
      <w:lvlJc w:val="left"/>
      <w:pPr>
        <w:ind w:left="676" w:hanging="84"/>
      </w:pPr>
      <w:rPr>
        <w:rFonts w:hint="default"/>
      </w:rPr>
    </w:lvl>
    <w:lvl w:ilvl="3" w:tplc="4EDA5D32">
      <w:numFmt w:val="bullet"/>
      <w:lvlText w:val="•"/>
      <w:lvlJc w:val="left"/>
      <w:pPr>
        <w:ind w:left="945" w:hanging="84"/>
      </w:pPr>
      <w:rPr>
        <w:rFonts w:hint="default"/>
      </w:rPr>
    </w:lvl>
    <w:lvl w:ilvl="4" w:tplc="D3BEDB8A">
      <w:numFmt w:val="bullet"/>
      <w:lvlText w:val="•"/>
      <w:lvlJc w:val="left"/>
      <w:pPr>
        <w:ind w:left="1213" w:hanging="84"/>
      </w:pPr>
      <w:rPr>
        <w:rFonts w:hint="default"/>
      </w:rPr>
    </w:lvl>
    <w:lvl w:ilvl="5" w:tplc="EBA01238">
      <w:numFmt w:val="bullet"/>
      <w:lvlText w:val="•"/>
      <w:lvlJc w:val="left"/>
      <w:pPr>
        <w:ind w:left="1482" w:hanging="84"/>
      </w:pPr>
      <w:rPr>
        <w:rFonts w:hint="default"/>
      </w:rPr>
    </w:lvl>
    <w:lvl w:ilvl="6" w:tplc="64020A36">
      <w:numFmt w:val="bullet"/>
      <w:lvlText w:val="•"/>
      <w:lvlJc w:val="left"/>
      <w:pPr>
        <w:ind w:left="1750" w:hanging="84"/>
      </w:pPr>
      <w:rPr>
        <w:rFonts w:hint="default"/>
      </w:rPr>
    </w:lvl>
    <w:lvl w:ilvl="7" w:tplc="16C6F24A">
      <w:numFmt w:val="bullet"/>
      <w:lvlText w:val="•"/>
      <w:lvlJc w:val="left"/>
      <w:pPr>
        <w:ind w:left="2018" w:hanging="84"/>
      </w:pPr>
      <w:rPr>
        <w:rFonts w:hint="default"/>
      </w:rPr>
    </w:lvl>
    <w:lvl w:ilvl="8" w:tplc="A65493FA">
      <w:numFmt w:val="bullet"/>
      <w:lvlText w:val="•"/>
      <w:lvlJc w:val="left"/>
      <w:pPr>
        <w:ind w:left="2287" w:hanging="84"/>
      </w:pPr>
      <w:rPr>
        <w:rFonts w:hint="default"/>
      </w:rPr>
    </w:lvl>
  </w:abstractNum>
  <w:abstractNum w:abstractNumId="975" w15:restartNumberingAfterBreak="0">
    <w:nsid w:val="3E6263C4"/>
    <w:multiLevelType w:val="hybridMultilevel"/>
    <w:tmpl w:val="2B1082B0"/>
    <w:lvl w:ilvl="0" w:tplc="FA96172C">
      <w:numFmt w:val="bullet"/>
      <w:lvlText w:val=""/>
      <w:lvlJc w:val="left"/>
      <w:pPr>
        <w:ind w:left="157" w:hanging="100"/>
      </w:pPr>
      <w:rPr>
        <w:rFonts w:ascii="Symbol" w:eastAsia="Symbol" w:hAnsi="Symbol" w:cs="Symbol" w:hint="default"/>
        <w:color w:val="231F20"/>
        <w:w w:val="100"/>
        <w:sz w:val="14"/>
        <w:szCs w:val="14"/>
      </w:rPr>
    </w:lvl>
    <w:lvl w:ilvl="1" w:tplc="32AC803A">
      <w:numFmt w:val="bullet"/>
      <w:lvlText w:val="•"/>
      <w:lvlJc w:val="left"/>
      <w:pPr>
        <w:ind w:left="369" w:hanging="100"/>
      </w:pPr>
      <w:rPr>
        <w:rFonts w:hint="default"/>
      </w:rPr>
    </w:lvl>
    <w:lvl w:ilvl="2" w:tplc="B7B8BF1E">
      <w:numFmt w:val="bullet"/>
      <w:lvlText w:val="•"/>
      <w:lvlJc w:val="left"/>
      <w:pPr>
        <w:ind w:left="579" w:hanging="100"/>
      </w:pPr>
      <w:rPr>
        <w:rFonts w:hint="default"/>
      </w:rPr>
    </w:lvl>
    <w:lvl w:ilvl="3" w:tplc="57B2B848">
      <w:numFmt w:val="bullet"/>
      <w:lvlText w:val="•"/>
      <w:lvlJc w:val="left"/>
      <w:pPr>
        <w:ind w:left="789" w:hanging="100"/>
      </w:pPr>
      <w:rPr>
        <w:rFonts w:hint="default"/>
      </w:rPr>
    </w:lvl>
    <w:lvl w:ilvl="4" w:tplc="257C6602">
      <w:numFmt w:val="bullet"/>
      <w:lvlText w:val="•"/>
      <w:lvlJc w:val="left"/>
      <w:pPr>
        <w:ind w:left="998" w:hanging="100"/>
      </w:pPr>
      <w:rPr>
        <w:rFonts w:hint="default"/>
      </w:rPr>
    </w:lvl>
    <w:lvl w:ilvl="5" w:tplc="C718972E">
      <w:numFmt w:val="bullet"/>
      <w:lvlText w:val="•"/>
      <w:lvlJc w:val="left"/>
      <w:pPr>
        <w:ind w:left="1208" w:hanging="100"/>
      </w:pPr>
      <w:rPr>
        <w:rFonts w:hint="default"/>
      </w:rPr>
    </w:lvl>
    <w:lvl w:ilvl="6" w:tplc="57F4AB54">
      <w:numFmt w:val="bullet"/>
      <w:lvlText w:val="•"/>
      <w:lvlJc w:val="left"/>
      <w:pPr>
        <w:ind w:left="1418" w:hanging="100"/>
      </w:pPr>
      <w:rPr>
        <w:rFonts w:hint="default"/>
      </w:rPr>
    </w:lvl>
    <w:lvl w:ilvl="7" w:tplc="38AA2312">
      <w:numFmt w:val="bullet"/>
      <w:lvlText w:val="•"/>
      <w:lvlJc w:val="left"/>
      <w:pPr>
        <w:ind w:left="1627" w:hanging="100"/>
      </w:pPr>
      <w:rPr>
        <w:rFonts w:hint="default"/>
      </w:rPr>
    </w:lvl>
    <w:lvl w:ilvl="8" w:tplc="EB3044DC">
      <w:numFmt w:val="bullet"/>
      <w:lvlText w:val="•"/>
      <w:lvlJc w:val="left"/>
      <w:pPr>
        <w:ind w:left="1837" w:hanging="100"/>
      </w:pPr>
      <w:rPr>
        <w:rFonts w:hint="default"/>
      </w:rPr>
    </w:lvl>
  </w:abstractNum>
  <w:abstractNum w:abstractNumId="976" w15:restartNumberingAfterBreak="0">
    <w:nsid w:val="3E632344"/>
    <w:multiLevelType w:val="hybridMultilevel"/>
    <w:tmpl w:val="4FEC891C"/>
    <w:lvl w:ilvl="0" w:tplc="5E7E6EC4">
      <w:numFmt w:val="bullet"/>
      <w:lvlText w:val=""/>
      <w:lvlJc w:val="left"/>
      <w:pPr>
        <w:ind w:left="156" w:hanging="100"/>
      </w:pPr>
      <w:rPr>
        <w:rFonts w:ascii="Symbol" w:eastAsia="Symbol" w:hAnsi="Symbol" w:cs="Symbol" w:hint="default"/>
        <w:color w:val="231F20"/>
        <w:w w:val="100"/>
        <w:sz w:val="14"/>
        <w:szCs w:val="14"/>
      </w:rPr>
    </w:lvl>
    <w:lvl w:ilvl="1" w:tplc="E1086B7C">
      <w:numFmt w:val="bullet"/>
      <w:lvlText w:val="•"/>
      <w:lvlJc w:val="left"/>
      <w:pPr>
        <w:ind w:left="426" w:hanging="100"/>
      </w:pPr>
      <w:rPr>
        <w:rFonts w:hint="default"/>
      </w:rPr>
    </w:lvl>
    <w:lvl w:ilvl="2" w:tplc="E9B093D4">
      <w:numFmt w:val="bullet"/>
      <w:lvlText w:val="•"/>
      <w:lvlJc w:val="left"/>
      <w:pPr>
        <w:ind w:left="692" w:hanging="100"/>
      </w:pPr>
      <w:rPr>
        <w:rFonts w:hint="default"/>
      </w:rPr>
    </w:lvl>
    <w:lvl w:ilvl="3" w:tplc="A2FA010E">
      <w:numFmt w:val="bullet"/>
      <w:lvlText w:val="•"/>
      <w:lvlJc w:val="left"/>
      <w:pPr>
        <w:ind w:left="959" w:hanging="100"/>
      </w:pPr>
      <w:rPr>
        <w:rFonts w:hint="default"/>
      </w:rPr>
    </w:lvl>
    <w:lvl w:ilvl="4" w:tplc="B7DE41B8">
      <w:numFmt w:val="bullet"/>
      <w:lvlText w:val="•"/>
      <w:lvlJc w:val="left"/>
      <w:pPr>
        <w:ind w:left="1225" w:hanging="100"/>
      </w:pPr>
      <w:rPr>
        <w:rFonts w:hint="default"/>
      </w:rPr>
    </w:lvl>
    <w:lvl w:ilvl="5" w:tplc="A29CEAB4">
      <w:numFmt w:val="bullet"/>
      <w:lvlText w:val="•"/>
      <w:lvlJc w:val="left"/>
      <w:pPr>
        <w:ind w:left="1492" w:hanging="100"/>
      </w:pPr>
      <w:rPr>
        <w:rFonts w:hint="default"/>
      </w:rPr>
    </w:lvl>
    <w:lvl w:ilvl="6" w:tplc="9C38C16A">
      <w:numFmt w:val="bullet"/>
      <w:lvlText w:val="•"/>
      <w:lvlJc w:val="left"/>
      <w:pPr>
        <w:ind w:left="1758" w:hanging="100"/>
      </w:pPr>
      <w:rPr>
        <w:rFonts w:hint="default"/>
      </w:rPr>
    </w:lvl>
    <w:lvl w:ilvl="7" w:tplc="B4326C92">
      <w:numFmt w:val="bullet"/>
      <w:lvlText w:val="•"/>
      <w:lvlJc w:val="left"/>
      <w:pPr>
        <w:ind w:left="2024" w:hanging="100"/>
      </w:pPr>
      <w:rPr>
        <w:rFonts w:hint="default"/>
      </w:rPr>
    </w:lvl>
    <w:lvl w:ilvl="8" w:tplc="7C82F450">
      <w:numFmt w:val="bullet"/>
      <w:lvlText w:val="•"/>
      <w:lvlJc w:val="left"/>
      <w:pPr>
        <w:ind w:left="2291" w:hanging="100"/>
      </w:pPr>
      <w:rPr>
        <w:rFonts w:hint="default"/>
      </w:rPr>
    </w:lvl>
  </w:abstractNum>
  <w:abstractNum w:abstractNumId="977" w15:restartNumberingAfterBreak="0">
    <w:nsid w:val="3E64484F"/>
    <w:multiLevelType w:val="hybridMultilevel"/>
    <w:tmpl w:val="8B745FCA"/>
    <w:lvl w:ilvl="0" w:tplc="6618FE8A">
      <w:numFmt w:val="bullet"/>
      <w:lvlText w:val=""/>
      <w:lvlJc w:val="left"/>
      <w:pPr>
        <w:ind w:left="156" w:hanging="100"/>
      </w:pPr>
      <w:rPr>
        <w:rFonts w:ascii="Symbol" w:eastAsia="Symbol" w:hAnsi="Symbol" w:cs="Symbol" w:hint="default"/>
        <w:color w:val="231F20"/>
        <w:w w:val="100"/>
        <w:sz w:val="14"/>
        <w:szCs w:val="14"/>
      </w:rPr>
    </w:lvl>
    <w:lvl w:ilvl="1" w:tplc="7D0A6046">
      <w:numFmt w:val="bullet"/>
      <w:lvlText w:val="•"/>
      <w:lvlJc w:val="left"/>
      <w:pPr>
        <w:ind w:left="426" w:hanging="100"/>
      </w:pPr>
      <w:rPr>
        <w:rFonts w:hint="default"/>
      </w:rPr>
    </w:lvl>
    <w:lvl w:ilvl="2" w:tplc="B5424C92">
      <w:numFmt w:val="bullet"/>
      <w:lvlText w:val="•"/>
      <w:lvlJc w:val="left"/>
      <w:pPr>
        <w:ind w:left="692" w:hanging="100"/>
      </w:pPr>
      <w:rPr>
        <w:rFonts w:hint="default"/>
      </w:rPr>
    </w:lvl>
    <w:lvl w:ilvl="3" w:tplc="DE52B462">
      <w:numFmt w:val="bullet"/>
      <w:lvlText w:val="•"/>
      <w:lvlJc w:val="left"/>
      <w:pPr>
        <w:ind w:left="959" w:hanging="100"/>
      </w:pPr>
      <w:rPr>
        <w:rFonts w:hint="default"/>
      </w:rPr>
    </w:lvl>
    <w:lvl w:ilvl="4" w:tplc="A63CFCDE">
      <w:numFmt w:val="bullet"/>
      <w:lvlText w:val="•"/>
      <w:lvlJc w:val="left"/>
      <w:pPr>
        <w:ind w:left="1225" w:hanging="100"/>
      </w:pPr>
      <w:rPr>
        <w:rFonts w:hint="default"/>
      </w:rPr>
    </w:lvl>
    <w:lvl w:ilvl="5" w:tplc="5F9685EA">
      <w:numFmt w:val="bullet"/>
      <w:lvlText w:val="•"/>
      <w:lvlJc w:val="left"/>
      <w:pPr>
        <w:ind w:left="1492" w:hanging="100"/>
      </w:pPr>
      <w:rPr>
        <w:rFonts w:hint="default"/>
      </w:rPr>
    </w:lvl>
    <w:lvl w:ilvl="6" w:tplc="F594FA44">
      <w:numFmt w:val="bullet"/>
      <w:lvlText w:val="•"/>
      <w:lvlJc w:val="left"/>
      <w:pPr>
        <w:ind w:left="1758" w:hanging="100"/>
      </w:pPr>
      <w:rPr>
        <w:rFonts w:hint="default"/>
      </w:rPr>
    </w:lvl>
    <w:lvl w:ilvl="7" w:tplc="9DFEA5F0">
      <w:numFmt w:val="bullet"/>
      <w:lvlText w:val="•"/>
      <w:lvlJc w:val="left"/>
      <w:pPr>
        <w:ind w:left="2024" w:hanging="100"/>
      </w:pPr>
      <w:rPr>
        <w:rFonts w:hint="default"/>
      </w:rPr>
    </w:lvl>
    <w:lvl w:ilvl="8" w:tplc="70B8B0FA">
      <w:numFmt w:val="bullet"/>
      <w:lvlText w:val="•"/>
      <w:lvlJc w:val="left"/>
      <w:pPr>
        <w:ind w:left="2291" w:hanging="100"/>
      </w:pPr>
      <w:rPr>
        <w:rFonts w:hint="default"/>
      </w:rPr>
    </w:lvl>
  </w:abstractNum>
  <w:abstractNum w:abstractNumId="978" w15:restartNumberingAfterBreak="0">
    <w:nsid w:val="3E866B59"/>
    <w:multiLevelType w:val="hybridMultilevel"/>
    <w:tmpl w:val="EF00832A"/>
    <w:lvl w:ilvl="0" w:tplc="6EA66A16">
      <w:numFmt w:val="bullet"/>
      <w:lvlText w:val=""/>
      <w:lvlJc w:val="left"/>
      <w:pPr>
        <w:ind w:left="156" w:hanging="100"/>
      </w:pPr>
      <w:rPr>
        <w:rFonts w:ascii="Symbol" w:eastAsia="Symbol" w:hAnsi="Symbol" w:cs="Symbol" w:hint="default"/>
        <w:color w:val="231F20"/>
        <w:w w:val="100"/>
        <w:sz w:val="14"/>
        <w:szCs w:val="14"/>
      </w:rPr>
    </w:lvl>
    <w:lvl w:ilvl="1" w:tplc="48287368">
      <w:numFmt w:val="bullet"/>
      <w:lvlText w:val="•"/>
      <w:lvlJc w:val="left"/>
      <w:pPr>
        <w:ind w:left="426" w:hanging="100"/>
      </w:pPr>
      <w:rPr>
        <w:rFonts w:hint="default"/>
      </w:rPr>
    </w:lvl>
    <w:lvl w:ilvl="2" w:tplc="DE027730">
      <w:numFmt w:val="bullet"/>
      <w:lvlText w:val="•"/>
      <w:lvlJc w:val="left"/>
      <w:pPr>
        <w:ind w:left="692" w:hanging="100"/>
      </w:pPr>
      <w:rPr>
        <w:rFonts w:hint="default"/>
      </w:rPr>
    </w:lvl>
    <w:lvl w:ilvl="3" w:tplc="FCFC1CD6">
      <w:numFmt w:val="bullet"/>
      <w:lvlText w:val="•"/>
      <w:lvlJc w:val="left"/>
      <w:pPr>
        <w:ind w:left="959" w:hanging="100"/>
      </w:pPr>
      <w:rPr>
        <w:rFonts w:hint="default"/>
      </w:rPr>
    </w:lvl>
    <w:lvl w:ilvl="4" w:tplc="8FC4E070">
      <w:numFmt w:val="bullet"/>
      <w:lvlText w:val="•"/>
      <w:lvlJc w:val="left"/>
      <w:pPr>
        <w:ind w:left="1225" w:hanging="100"/>
      </w:pPr>
      <w:rPr>
        <w:rFonts w:hint="default"/>
      </w:rPr>
    </w:lvl>
    <w:lvl w:ilvl="5" w:tplc="CBF29EFA">
      <w:numFmt w:val="bullet"/>
      <w:lvlText w:val="•"/>
      <w:lvlJc w:val="left"/>
      <w:pPr>
        <w:ind w:left="1492" w:hanging="100"/>
      </w:pPr>
      <w:rPr>
        <w:rFonts w:hint="default"/>
      </w:rPr>
    </w:lvl>
    <w:lvl w:ilvl="6" w:tplc="5CCA1FF8">
      <w:numFmt w:val="bullet"/>
      <w:lvlText w:val="•"/>
      <w:lvlJc w:val="left"/>
      <w:pPr>
        <w:ind w:left="1758" w:hanging="100"/>
      </w:pPr>
      <w:rPr>
        <w:rFonts w:hint="default"/>
      </w:rPr>
    </w:lvl>
    <w:lvl w:ilvl="7" w:tplc="C44AEE16">
      <w:numFmt w:val="bullet"/>
      <w:lvlText w:val="•"/>
      <w:lvlJc w:val="left"/>
      <w:pPr>
        <w:ind w:left="2024" w:hanging="100"/>
      </w:pPr>
      <w:rPr>
        <w:rFonts w:hint="default"/>
      </w:rPr>
    </w:lvl>
    <w:lvl w:ilvl="8" w:tplc="424E13C0">
      <w:numFmt w:val="bullet"/>
      <w:lvlText w:val="•"/>
      <w:lvlJc w:val="left"/>
      <w:pPr>
        <w:ind w:left="2291" w:hanging="100"/>
      </w:pPr>
      <w:rPr>
        <w:rFonts w:hint="default"/>
      </w:rPr>
    </w:lvl>
  </w:abstractNum>
  <w:abstractNum w:abstractNumId="979" w15:restartNumberingAfterBreak="0">
    <w:nsid w:val="3E881637"/>
    <w:multiLevelType w:val="hybridMultilevel"/>
    <w:tmpl w:val="FA400DCA"/>
    <w:lvl w:ilvl="0" w:tplc="7F10F008">
      <w:numFmt w:val="bullet"/>
      <w:lvlText w:val=""/>
      <w:lvlJc w:val="left"/>
      <w:pPr>
        <w:ind w:left="156" w:hanging="100"/>
      </w:pPr>
      <w:rPr>
        <w:rFonts w:ascii="Symbol" w:eastAsia="Symbol" w:hAnsi="Symbol" w:cs="Symbol" w:hint="default"/>
        <w:color w:val="231F20"/>
        <w:w w:val="100"/>
        <w:sz w:val="14"/>
        <w:szCs w:val="14"/>
      </w:rPr>
    </w:lvl>
    <w:lvl w:ilvl="1" w:tplc="1818B0BC">
      <w:numFmt w:val="bullet"/>
      <w:lvlText w:val="•"/>
      <w:lvlJc w:val="left"/>
      <w:pPr>
        <w:ind w:left="454" w:hanging="100"/>
      </w:pPr>
      <w:rPr>
        <w:rFonts w:hint="default"/>
      </w:rPr>
    </w:lvl>
    <w:lvl w:ilvl="2" w:tplc="AAF4F496">
      <w:numFmt w:val="bullet"/>
      <w:lvlText w:val="•"/>
      <w:lvlJc w:val="left"/>
      <w:pPr>
        <w:ind w:left="749" w:hanging="100"/>
      </w:pPr>
      <w:rPr>
        <w:rFonts w:hint="default"/>
      </w:rPr>
    </w:lvl>
    <w:lvl w:ilvl="3" w:tplc="C05E5CBA">
      <w:numFmt w:val="bullet"/>
      <w:lvlText w:val="•"/>
      <w:lvlJc w:val="left"/>
      <w:pPr>
        <w:ind w:left="1044" w:hanging="100"/>
      </w:pPr>
      <w:rPr>
        <w:rFonts w:hint="default"/>
      </w:rPr>
    </w:lvl>
    <w:lvl w:ilvl="4" w:tplc="C0C625A4">
      <w:numFmt w:val="bullet"/>
      <w:lvlText w:val="•"/>
      <w:lvlJc w:val="left"/>
      <w:pPr>
        <w:ind w:left="1339" w:hanging="100"/>
      </w:pPr>
      <w:rPr>
        <w:rFonts w:hint="default"/>
      </w:rPr>
    </w:lvl>
    <w:lvl w:ilvl="5" w:tplc="5A5E2722">
      <w:numFmt w:val="bullet"/>
      <w:lvlText w:val="•"/>
      <w:lvlJc w:val="left"/>
      <w:pPr>
        <w:ind w:left="1634" w:hanging="100"/>
      </w:pPr>
      <w:rPr>
        <w:rFonts w:hint="default"/>
      </w:rPr>
    </w:lvl>
    <w:lvl w:ilvl="6" w:tplc="9A869B8C">
      <w:numFmt w:val="bullet"/>
      <w:lvlText w:val="•"/>
      <w:lvlJc w:val="left"/>
      <w:pPr>
        <w:ind w:left="1928" w:hanging="100"/>
      </w:pPr>
      <w:rPr>
        <w:rFonts w:hint="default"/>
      </w:rPr>
    </w:lvl>
    <w:lvl w:ilvl="7" w:tplc="F09047A2">
      <w:numFmt w:val="bullet"/>
      <w:lvlText w:val="•"/>
      <w:lvlJc w:val="left"/>
      <w:pPr>
        <w:ind w:left="2223" w:hanging="100"/>
      </w:pPr>
      <w:rPr>
        <w:rFonts w:hint="default"/>
      </w:rPr>
    </w:lvl>
    <w:lvl w:ilvl="8" w:tplc="9326A9B8">
      <w:numFmt w:val="bullet"/>
      <w:lvlText w:val="•"/>
      <w:lvlJc w:val="left"/>
      <w:pPr>
        <w:ind w:left="2518" w:hanging="100"/>
      </w:pPr>
      <w:rPr>
        <w:rFonts w:hint="default"/>
      </w:rPr>
    </w:lvl>
  </w:abstractNum>
  <w:abstractNum w:abstractNumId="980" w15:restartNumberingAfterBreak="0">
    <w:nsid w:val="3E964D2E"/>
    <w:multiLevelType w:val="hybridMultilevel"/>
    <w:tmpl w:val="3BDA8766"/>
    <w:lvl w:ilvl="0" w:tplc="CD92FBA2">
      <w:numFmt w:val="bullet"/>
      <w:lvlText w:val=""/>
      <w:lvlJc w:val="left"/>
      <w:pPr>
        <w:ind w:left="156" w:hanging="100"/>
      </w:pPr>
      <w:rPr>
        <w:rFonts w:ascii="Symbol" w:eastAsia="Symbol" w:hAnsi="Symbol" w:cs="Symbol" w:hint="default"/>
        <w:color w:val="231F20"/>
        <w:w w:val="100"/>
        <w:sz w:val="14"/>
        <w:szCs w:val="14"/>
      </w:rPr>
    </w:lvl>
    <w:lvl w:ilvl="1" w:tplc="42040470">
      <w:numFmt w:val="bullet"/>
      <w:lvlText w:val="•"/>
      <w:lvlJc w:val="left"/>
      <w:pPr>
        <w:ind w:left="301" w:hanging="100"/>
      </w:pPr>
      <w:rPr>
        <w:rFonts w:hint="default"/>
      </w:rPr>
    </w:lvl>
    <w:lvl w:ilvl="2" w:tplc="98D22DC8">
      <w:numFmt w:val="bullet"/>
      <w:lvlText w:val="•"/>
      <w:lvlJc w:val="left"/>
      <w:pPr>
        <w:ind w:left="443" w:hanging="100"/>
      </w:pPr>
      <w:rPr>
        <w:rFonts w:hint="default"/>
      </w:rPr>
    </w:lvl>
    <w:lvl w:ilvl="3" w:tplc="AD16CBB0">
      <w:numFmt w:val="bullet"/>
      <w:lvlText w:val="•"/>
      <w:lvlJc w:val="left"/>
      <w:pPr>
        <w:ind w:left="585" w:hanging="100"/>
      </w:pPr>
      <w:rPr>
        <w:rFonts w:hint="default"/>
      </w:rPr>
    </w:lvl>
    <w:lvl w:ilvl="4" w:tplc="B6CC327C">
      <w:numFmt w:val="bullet"/>
      <w:lvlText w:val="•"/>
      <w:lvlJc w:val="left"/>
      <w:pPr>
        <w:ind w:left="726" w:hanging="100"/>
      </w:pPr>
      <w:rPr>
        <w:rFonts w:hint="default"/>
      </w:rPr>
    </w:lvl>
    <w:lvl w:ilvl="5" w:tplc="09AEBEEC">
      <w:numFmt w:val="bullet"/>
      <w:lvlText w:val="•"/>
      <w:lvlJc w:val="left"/>
      <w:pPr>
        <w:ind w:left="868" w:hanging="100"/>
      </w:pPr>
      <w:rPr>
        <w:rFonts w:hint="default"/>
      </w:rPr>
    </w:lvl>
    <w:lvl w:ilvl="6" w:tplc="EE7E0F90">
      <w:numFmt w:val="bullet"/>
      <w:lvlText w:val="•"/>
      <w:lvlJc w:val="left"/>
      <w:pPr>
        <w:ind w:left="1010" w:hanging="100"/>
      </w:pPr>
      <w:rPr>
        <w:rFonts w:hint="default"/>
      </w:rPr>
    </w:lvl>
    <w:lvl w:ilvl="7" w:tplc="8EBE9C46">
      <w:numFmt w:val="bullet"/>
      <w:lvlText w:val="•"/>
      <w:lvlJc w:val="left"/>
      <w:pPr>
        <w:ind w:left="1151" w:hanging="100"/>
      </w:pPr>
      <w:rPr>
        <w:rFonts w:hint="default"/>
      </w:rPr>
    </w:lvl>
    <w:lvl w:ilvl="8" w:tplc="AF665C10">
      <w:numFmt w:val="bullet"/>
      <w:lvlText w:val="•"/>
      <w:lvlJc w:val="left"/>
      <w:pPr>
        <w:ind w:left="1293" w:hanging="100"/>
      </w:pPr>
      <w:rPr>
        <w:rFonts w:hint="default"/>
      </w:rPr>
    </w:lvl>
  </w:abstractNum>
  <w:abstractNum w:abstractNumId="981" w15:restartNumberingAfterBreak="0">
    <w:nsid w:val="3E98119C"/>
    <w:multiLevelType w:val="hybridMultilevel"/>
    <w:tmpl w:val="7D3020BC"/>
    <w:lvl w:ilvl="0" w:tplc="38F2F224">
      <w:numFmt w:val="bullet"/>
      <w:lvlText w:val=""/>
      <w:lvlJc w:val="left"/>
      <w:pPr>
        <w:ind w:left="157" w:hanging="100"/>
      </w:pPr>
      <w:rPr>
        <w:rFonts w:ascii="Symbol" w:eastAsia="Symbol" w:hAnsi="Symbol" w:cs="Symbol" w:hint="default"/>
        <w:color w:val="231F20"/>
        <w:w w:val="100"/>
        <w:sz w:val="14"/>
        <w:szCs w:val="14"/>
      </w:rPr>
    </w:lvl>
    <w:lvl w:ilvl="1" w:tplc="F78A2EE2">
      <w:numFmt w:val="bullet"/>
      <w:lvlText w:val="•"/>
      <w:lvlJc w:val="left"/>
      <w:pPr>
        <w:ind w:left="426" w:hanging="100"/>
      </w:pPr>
      <w:rPr>
        <w:rFonts w:hint="default"/>
      </w:rPr>
    </w:lvl>
    <w:lvl w:ilvl="2" w:tplc="F17E1FE0">
      <w:numFmt w:val="bullet"/>
      <w:lvlText w:val="•"/>
      <w:lvlJc w:val="left"/>
      <w:pPr>
        <w:ind w:left="692" w:hanging="100"/>
      </w:pPr>
      <w:rPr>
        <w:rFonts w:hint="default"/>
      </w:rPr>
    </w:lvl>
    <w:lvl w:ilvl="3" w:tplc="5C36E620">
      <w:numFmt w:val="bullet"/>
      <w:lvlText w:val="•"/>
      <w:lvlJc w:val="left"/>
      <w:pPr>
        <w:ind w:left="959" w:hanging="100"/>
      </w:pPr>
      <w:rPr>
        <w:rFonts w:hint="default"/>
      </w:rPr>
    </w:lvl>
    <w:lvl w:ilvl="4" w:tplc="EFAE9110">
      <w:numFmt w:val="bullet"/>
      <w:lvlText w:val="•"/>
      <w:lvlJc w:val="left"/>
      <w:pPr>
        <w:ind w:left="1225" w:hanging="100"/>
      </w:pPr>
      <w:rPr>
        <w:rFonts w:hint="default"/>
      </w:rPr>
    </w:lvl>
    <w:lvl w:ilvl="5" w:tplc="9A68F7DE">
      <w:numFmt w:val="bullet"/>
      <w:lvlText w:val="•"/>
      <w:lvlJc w:val="left"/>
      <w:pPr>
        <w:ind w:left="1492" w:hanging="100"/>
      </w:pPr>
      <w:rPr>
        <w:rFonts w:hint="default"/>
      </w:rPr>
    </w:lvl>
    <w:lvl w:ilvl="6" w:tplc="91E8D3AE">
      <w:numFmt w:val="bullet"/>
      <w:lvlText w:val="•"/>
      <w:lvlJc w:val="left"/>
      <w:pPr>
        <w:ind w:left="1758" w:hanging="100"/>
      </w:pPr>
      <w:rPr>
        <w:rFonts w:hint="default"/>
      </w:rPr>
    </w:lvl>
    <w:lvl w:ilvl="7" w:tplc="52307F9A">
      <w:numFmt w:val="bullet"/>
      <w:lvlText w:val="•"/>
      <w:lvlJc w:val="left"/>
      <w:pPr>
        <w:ind w:left="2024" w:hanging="100"/>
      </w:pPr>
      <w:rPr>
        <w:rFonts w:hint="default"/>
      </w:rPr>
    </w:lvl>
    <w:lvl w:ilvl="8" w:tplc="CA0E0786">
      <w:numFmt w:val="bullet"/>
      <w:lvlText w:val="•"/>
      <w:lvlJc w:val="left"/>
      <w:pPr>
        <w:ind w:left="2291" w:hanging="100"/>
      </w:pPr>
      <w:rPr>
        <w:rFonts w:hint="default"/>
      </w:rPr>
    </w:lvl>
  </w:abstractNum>
  <w:abstractNum w:abstractNumId="982" w15:restartNumberingAfterBreak="0">
    <w:nsid w:val="3EA91EDA"/>
    <w:multiLevelType w:val="hybridMultilevel"/>
    <w:tmpl w:val="AB324DCC"/>
    <w:lvl w:ilvl="0" w:tplc="DBACFF30">
      <w:numFmt w:val="bullet"/>
      <w:lvlText w:val=""/>
      <w:lvlJc w:val="left"/>
      <w:pPr>
        <w:ind w:left="157" w:hanging="100"/>
      </w:pPr>
      <w:rPr>
        <w:rFonts w:ascii="Symbol" w:eastAsia="Symbol" w:hAnsi="Symbol" w:cs="Symbol" w:hint="default"/>
        <w:color w:val="231F20"/>
        <w:w w:val="100"/>
        <w:sz w:val="14"/>
        <w:szCs w:val="14"/>
      </w:rPr>
    </w:lvl>
    <w:lvl w:ilvl="1" w:tplc="8C46D3F4">
      <w:numFmt w:val="bullet"/>
      <w:lvlText w:val="•"/>
      <w:lvlJc w:val="left"/>
      <w:pPr>
        <w:ind w:left="426" w:hanging="100"/>
      </w:pPr>
      <w:rPr>
        <w:rFonts w:hint="default"/>
      </w:rPr>
    </w:lvl>
    <w:lvl w:ilvl="2" w:tplc="DCA43082">
      <w:numFmt w:val="bullet"/>
      <w:lvlText w:val="•"/>
      <w:lvlJc w:val="left"/>
      <w:pPr>
        <w:ind w:left="692" w:hanging="100"/>
      </w:pPr>
      <w:rPr>
        <w:rFonts w:hint="default"/>
      </w:rPr>
    </w:lvl>
    <w:lvl w:ilvl="3" w:tplc="58A89636">
      <w:numFmt w:val="bullet"/>
      <w:lvlText w:val="•"/>
      <w:lvlJc w:val="left"/>
      <w:pPr>
        <w:ind w:left="959" w:hanging="100"/>
      </w:pPr>
      <w:rPr>
        <w:rFonts w:hint="default"/>
      </w:rPr>
    </w:lvl>
    <w:lvl w:ilvl="4" w:tplc="07F0FDD4">
      <w:numFmt w:val="bullet"/>
      <w:lvlText w:val="•"/>
      <w:lvlJc w:val="left"/>
      <w:pPr>
        <w:ind w:left="1225" w:hanging="100"/>
      </w:pPr>
      <w:rPr>
        <w:rFonts w:hint="default"/>
      </w:rPr>
    </w:lvl>
    <w:lvl w:ilvl="5" w:tplc="703E6A42">
      <w:numFmt w:val="bullet"/>
      <w:lvlText w:val="•"/>
      <w:lvlJc w:val="left"/>
      <w:pPr>
        <w:ind w:left="1492" w:hanging="100"/>
      </w:pPr>
      <w:rPr>
        <w:rFonts w:hint="default"/>
      </w:rPr>
    </w:lvl>
    <w:lvl w:ilvl="6" w:tplc="04C43698">
      <w:numFmt w:val="bullet"/>
      <w:lvlText w:val="•"/>
      <w:lvlJc w:val="left"/>
      <w:pPr>
        <w:ind w:left="1758" w:hanging="100"/>
      </w:pPr>
      <w:rPr>
        <w:rFonts w:hint="default"/>
      </w:rPr>
    </w:lvl>
    <w:lvl w:ilvl="7" w:tplc="DEF61916">
      <w:numFmt w:val="bullet"/>
      <w:lvlText w:val="•"/>
      <w:lvlJc w:val="left"/>
      <w:pPr>
        <w:ind w:left="2024" w:hanging="100"/>
      </w:pPr>
      <w:rPr>
        <w:rFonts w:hint="default"/>
      </w:rPr>
    </w:lvl>
    <w:lvl w:ilvl="8" w:tplc="AAFCFBA4">
      <w:numFmt w:val="bullet"/>
      <w:lvlText w:val="•"/>
      <w:lvlJc w:val="left"/>
      <w:pPr>
        <w:ind w:left="2291" w:hanging="100"/>
      </w:pPr>
      <w:rPr>
        <w:rFonts w:hint="default"/>
      </w:rPr>
    </w:lvl>
  </w:abstractNum>
  <w:abstractNum w:abstractNumId="983" w15:restartNumberingAfterBreak="0">
    <w:nsid w:val="3EAC0740"/>
    <w:multiLevelType w:val="hybridMultilevel"/>
    <w:tmpl w:val="8D1CE8A4"/>
    <w:lvl w:ilvl="0" w:tplc="7B1EBC1E">
      <w:numFmt w:val="bullet"/>
      <w:lvlText w:val=""/>
      <w:lvlJc w:val="left"/>
      <w:pPr>
        <w:ind w:left="157" w:hanging="100"/>
      </w:pPr>
      <w:rPr>
        <w:rFonts w:ascii="Symbol" w:eastAsia="Symbol" w:hAnsi="Symbol" w:cs="Symbol" w:hint="default"/>
        <w:color w:val="231F20"/>
        <w:w w:val="100"/>
        <w:sz w:val="14"/>
        <w:szCs w:val="14"/>
      </w:rPr>
    </w:lvl>
    <w:lvl w:ilvl="1" w:tplc="7B98EDD2">
      <w:numFmt w:val="bullet"/>
      <w:lvlText w:val="•"/>
      <w:lvlJc w:val="left"/>
      <w:pPr>
        <w:ind w:left="369" w:hanging="100"/>
      </w:pPr>
      <w:rPr>
        <w:rFonts w:hint="default"/>
      </w:rPr>
    </w:lvl>
    <w:lvl w:ilvl="2" w:tplc="0FF45F02">
      <w:numFmt w:val="bullet"/>
      <w:lvlText w:val="•"/>
      <w:lvlJc w:val="left"/>
      <w:pPr>
        <w:ind w:left="579" w:hanging="100"/>
      </w:pPr>
      <w:rPr>
        <w:rFonts w:hint="default"/>
      </w:rPr>
    </w:lvl>
    <w:lvl w:ilvl="3" w:tplc="343E906E">
      <w:numFmt w:val="bullet"/>
      <w:lvlText w:val="•"/>
      <w:lvlJc w:val="left"/>
      <w:pPr>
        <w:ind w:left="789" w:hanging="100"/>
      </w:pPr>
      <w:rPr>
        <w:rFonts w:hint="default"/>
      </w:rPr>
    </w:lvl>
    <w:lvl w:ilvl="4" w:tplc="578ABB64">
      <w:numFmt w:val="bullet"/>
      <w:lvlText w:val="•"/>
      <w:lvlJc w:val="left"/>
      <w:pPr>
        <w:ind w:left="998" w:hanging="100"/>
      </w:pPr>
      <w:rPr>
        <w:rFonts w:hint="default"/>
      </w:rPr>
    </w:lvl>
    <w:lvl w:ilvl="5" w:tplc="9604B34A">
      <w:numFmt w:val="bullet"/>
      <w:lvlText w:val="•"/>
      <w:lvlJc w:val="left"/>
      <w:pPr>
        <w:ind w:left="1208" w:hanging="100"/>
      </w:pPr>
      <w:rPr>
        <w:rFonts w:hint="default"/>
      </w:rPr>
    </w:lvl>
    <w:lvl w:ilvl="6" w:tplc="C100C620">
      <w:numFmt w:val="bullet"/>
      <w:lvlText w:val="•"/>
      <w:lvlJc w:val="left"/>
      <w:pPr>
        <w:ind w:left="1418" w:hanging="100"/>
      </w:pPr>
      <w:rPr>
        <w:rFonts w:hint="default"/>
      </w:rPr>
    </w:lvl>
    <w:lvl w:ilvl="7" w:tplc="583080D2">
      <w:numFmt w:val="bullet"/>
      <w:lvlText w:val="•"/>
      <w:lvlJc w:val="left"/>
      <w:pPr>
        <w:ind w:left="1627" w:hanging="100"/>
      </w:pPr>
      <w:rPr>
        <w:rFonts w:hint="default"/>
      </w:rPr>
    </w:lvl>
    <w:lvl w:ilvl="8" w:tplc="8AE2AC80">
      <w:numFmt w:val="bullet"/>
      <w:lvlText w:val="•"/>
      <w:lvlJc w:val="left"/>
      <w:pPr>
        <w:ind w:left="1837" w:hanging="100"/>
      </w:pPr>
      <w:rPr>
        <w:rFonts w:hint="default"/>
      </w:rPr>
    </w:lvl>
  </w:abstractNum>
  <w:abstractNum w:abstractNumId="984" w15:restartNumberingAfterBreak="0">
    <w:nsid w:val="3EAD24B7"/>
    <w:multiLevelType w:val="hybridMultilevel"/>
    <w:tmpl w:val="7E7841F2"/>
    <w:lvl w:ilvl="0" w:tplc="3B18993E">
      <w:numFmt w:val="bullet"/>
      <w:lvlText w:val=""/>
      <w:lvlJc w:val="left"/>
      <w:pPr>
        <w:ind w:left="156" w:hanging="100"/>
      </w:pPr>
      <w:rPr>
        <w:rFonts w:ascii="Symbol" w:eastAsia="Symbol" w:hAnsi="Symbol" w:cs="Symbol" w:hint="default"/>
        <w:color w:val="231F20"/>
        <w:w w:val="100"/>
        <w:sz w:val="14"/>
        <w:szCs w:val="14"/>
      </w:rPr>
    </w:lvl>
    <w:lvl w:ilvl="1" w:tplc="51D6E78E">
      <w:numFmt w:val="bullet"/>
      <w:lvlText w:val="•"/>
      <w:lvlJc w:val="left"/>
      <w:pPr>
        <w:ind w:left="426" w:hanging="100"/>
      </w:pPr>
      <w:rPr>
        <w:rFonts w:hint="default"/>
      </w:rPr>
    </w:lvl>
    <w:lvl w:ilvl="2" w:tplc="F6B078F8">
      <w:numFmt w:val="bullet"/>
      <w:lvlText w:val="•"/>
      <w:lvlJc w:val="left"/>
      <w:pPr>
        <w:ind w:left="692" w:hanging="100"/>
      </w:pPr>
      <w:rPr>
        <w:rFonts w:hint="default"/>
      </w:rPr>
    </w:lvl>
    <w:lvl w:ilvl="3" w:tplc="5C6E6E74">
      <w:numFmt w:val="bullet"/>
      <w:lvlText w:val="•"/>
      <w:lvlJc w:val="left"/>
      <w:pPr>
        <w:ind w:left="959" w:hanging="100"/>
      </w:pPr>
      <w:rPr>
        <w:rFonts w:hint="default"/>
      </w:rPr>
    </w:lvl>
    <w:lvl w:ilvl="4" w:tplc="F0C6875C">
      <w:numFmt w:val="bullet"/>
      <w:lvlText w:val="•"/>
      <w:lvlJc w:val="left"/>
      <w:pPr>
        <w:ind w:left="1225" w:hanging="100"/>
      </w:pPr>
      <w:rPr>
        <w:rFonts w:hint="default"/>
      </w:rPr>
    </w:lvl>
    <w:lvl w:ilvl="5" w:tplc="7B54EB0C">
      <w:numFmt w:val="bullet"/>
      <w:lvlText w:val="•"/>
      <w:lvlJc w:val="left"/>
      <w:pPr>
        <w:ind w:left="1492" w:hanging="100"/>
      </w:pPr>
      <w:rPr>
        <w:rFonts w:hint="default"/>
      </w:rPr>
    </w:lvl>
    <w:lvl w:ilvl="6" w:tplc="AB16FDF2">
      <w:numFmt w:val="bullet"/>
      <w:lvlText w:val="•"/>
      <w:lvlJc w:val="left"/>
      <w:pPr>
        <w:ind w:left="1758" w:hanging="100"/>
      </w:pPr>
      <w:rPr>
        <w:rFonts w:hint="default"/>
      </w:rPr>
    </w:lvl>
    <w:lvl w:ilvl="7" w:tplc="AF4ED4E6">
      <w:numFmt w:val="bullet"/>
      <w:lvlText w:val="•"/>
      <w:lvlJc w:val="left"/>
      <w:pPr>
        <w:ind w:left="2024" w:hanging="100"/>
      </w:pPr>
      <w:rPr>
        <w:rFonts w:hint="default"/>
      </w:rPr>
    </w:lvl>
    <w:lvl w:ilvl="8" w:tplc="2B54C3BA">
      <w:numFmt w:val="bullet"/>
      <w:lvlText w:val="•"/>
      <w:lvlJc w:val="left"/>
      <w:pPr>
        <w:ind w:left="2291" w:hanging="100"/>
      </w:pPr>
      <w:rPr>
        <w:rFonts w:hint="default"/>
      </w:rPr>
    </w:lvl>
  </w:abstractNum>
  <w:abstractNum w:abstractNumId="985" w15:restartNumberingAfterBreak="0">
    <w:nsid w:val="3EBD2967"/>
    <w:multiLevelType w:val="hybridMultilevel"/>
    <w:tmpl w:val="418AAE6C"/>
    <w:lvl w:ilvl="0" w:tplc="09601604">
      <w:numFmt w:val="bullet"/>
      <w:lvlText w:val=""/>
      <w:lvlJc w:val="left"/>
      <w:pPr>
        <w:ind w:left="156" w:hanging="100"/>
      </w:pPr>
      <w:rPr>
        <w:rFonts w:ascii="Symbol" w:eastAsia="Symbol" w:hAnsi="Symbol" w:cs="Symbol" w:hint="default"/>
        <w:color w:val="231F20"/>
        <w:w w:val="100"/>
        <w:sz w:val="14"/>
        <w:szCs w:val="14"/>
      </w:rPr>
    </w:lvl>
    <w:lvl w:ilvl="1" w:tplc="20A6EA80">
      <w:numFmt w:val="bullet"/>
      <w:lvlText w:val="•"/>
      <w:lvlJc w:val="left"/>
      <w:pPr>
        <w:ind w:left="301" w:hanging="100"/>
      </w:pPr>
      <w:rPr>
        <w:rFonts w:hint="default"/>
      </w:rPr>
    </w:lvl>
    <w:lvl w:ilvl="2" w:tplc="F6CCA744">
      <w:numFmt w:val="bullet"/>
      <w:lvlText w:val="•"/>
      <w:lvlJc w:val="left"/>
      <w:pPr>
        <w:ind w:left="443" w:hanging="100"/>
      </w:pPr>
      <w:rPr>
        <w:rFonts w:hint="default"/>
      </w:rPr>
    </w:lvl>
    <w:lvl w:ilvl="3" w:tplc="56042954">
      <w:numFmt w:val="bullet"/>
      <w:lvlText w:val="•"/>
      <w:lvlJc w:val="left"/>
      <w:pPr>
        <w:ind w:left="585" w:hanging="100"/>
      </w:pPr>
      <w:rPr>
        <w:rFonts w:hint="default"/>
      </w:rPr>
    </w:lvl>
    <w:lvl w:ilvl="4" w:tplc="F0BE4ADE">
      <w:numFmt w:val="bullet"/>
      <w:lvlText w:val="•"/>
      <w:lvlJc w:val="left"/>
      <w:pPr>
        <w:ind w:left="726" w:hanging="100"/>
      </w:pPr>
      <w:rPr>
        <w:rFonts w:hint="default"/>
      </w:rPr>
    </w:lvl>
    <w:lvl w:ilvl="5" w:tplc="7B34DE1E">
      <w:numFmt w:val="bullet"/>
      <w:lvlText w:val="•"/>
      <w:lvlJc w:val="left"/>
      <w:pPr>
        <w:ind w:left="868" w:hanging="100"/>
      </w:pPr>
      <w:rPr>
        <w:rFonts w:hint="default"/>
      </w:rPr>
    </w:lvl>
    <w:lvl w:ilvl="6" w:tplc="D93A123E">
      <w:numFmt w:val="bullet"/>
      <w:lvlText w:val="•"/>
      <w:lvlJc w:val="left"/>
      <w:pPr>
        <w:ind w:left="1010" w:hanging="100"/>
      </w:pPr>
      <w:rPr>
        <w:rFonts w:hint="default"/>
      </w:rPr>
    </w:lvl>
    <w:lvl w:ilvl="7" w:tplc="32902824">
      <w:numFmt w:val="bullet"/>
      <w:lvlText w:val="•"/>
      <w:lvlJc w:val="left"/>
      <w:pPr>
        <w:ind w:left="1151" w:hanging="100"/>
      </w:pPr>
      <w:rPr>
        <w:rFonts w:hint="default"/>
      </w:rPr>
    </w:lvl>
    <w:lvl w:ilvl="8" w:tplc="6914886E">
      <w:numFmt w:val="bullet"/>
      <w:lvlText w:val="•"/>
      <w:lvlJc w:val="left"/>
      <w:pPr>
        <w:ind w:left="1293" w:hanging="100"/>
      </w:pPr>
      <w:rPr>
        <w:rFonts w:hint="default"/>
      </w:rPr>
    </w:lvl>
  </w:abstractNum>
  <w:abstractNum w:abstractNumId="986" w15:restartNumberingAfterBreak="0">
    <w:nsid w:val="3ED77DB2"/>
    <w:multiLevelType w:val="hybridMultilevel"/>
    <w:tmpl w:val="F09A04AA"/>
    <w:lvl w:ilvl="0" w:tplc="42E820DC">
      <w:numFmt w:val="bullet"/>
      <w:lvlText w:val=""/>
      <w:lvlJc w:val="left"/>
      <w:pPr>
        <w:ind w:left="157" w:hanging="100"/>
      </w:pPr>
      <w:rPr>
        <w:rFonts w:ascii="Symbol" w:eastAsia="Symbol" w:hAnsi="Symbol" w:cs="Symbol" w:hint="default"/>
        <w:color w:val="231F20"/>
        <w:w w:val="100"/>
        <w:sz w:val="14"/>
        <w:szCs w:val="14"/>
      </w:rPr>
    </w:lvl>
    <w:lvl w:ilvl="1" w:tplc="1B44826C">
      <w:numFmt w:val="bullet"/>
      <w:lvlText w:val="•"/>
      <w:lvlJc w:val="left"/>
      <w:pPr>
        <w:ind w:left="398" w:hanging="100"/>
      </w:pPr>
      <w:rPr>
        <w:rFonts w:hint="default"/>
      </w:rPr>
    </w:lvl>
    <w:lvl w:ilvl="2" w:tplc="E06E76BE">
      <w:numFmt w:val="bullet"/>
      <w:lvlText w:val="•"/>
      <w:lvlJc w:val="left"/>
      <w:pPr>
        <w:ind w:left="636" w:hanging="100"/>
      </w:pPr>
      <w:rPr>
        <w:rFonts w:hint="default"/>
      </w:rPr>
    </w:lvl>
    <w:lvl w:ilvl="3" w:tplc="D84C9986">
      <w:numFmt w:val="bullet"/>
      <w:lvlText w:val="•"/>
      <w:lvlJc w:val="left"/>
      <w:pPr>
        <w:ind w:left="874" w:hanging="100"/>
      </w:pPr>
      <w:rPr>
        <w:rFonts w:hint="default"/>
      </w:rPr>
    </w:lvl>
    <w:lvl w:ilvl="4" w:tplc="42088F1E">
      <w:numFmt w:val="bullet"/>
      <w:lvlText w:val="•"/>
      <w:lvlJc w:val="left"/>
      <w:pPr>
        <w:ind w:left="1112" w:hanging="100"/>
      </w:pPr>
      <w:rPr>
        <w:rFonts w:hint="default"/>
      </w:rPr>
    </w:lvl>
    <w:lvl w:ilvl="5" w:tplc="1B561C08">
      <w:numFmt w:val="bullet"/>
      <w:lvlText w:val="•"/>
      <w:lvlJc w:val="left"/>
      <w:pPr>
        <w:ind w:left="1350" w:hanging="100"/>
      </w:pPr>
      <w:rPr>
        <w:rFonts w:hint="default"/>
      </w:rPr>
    </w:lvl>
    <w:lvl w:ilvl="6" w:tplc="AE6AAD10">
      <w:numFmt w:val="bullet"/>
      <w:lvlText w:val="•"/>
      <w:lvlJc w:val="left"/>
      <w:pPr>
        <w:ind w:left="1588" w:hanging="100"/>
      </w:pPr>
      <w:rPr>
        <w:rFonts w:hint="default"/>
      </w:rPr>
    </w:lvl>
    <w:lvl w:ilvl="7" w:tplc="C58E8C86">
      <w:numFmt w:val="bullet"/>
      <w:lvlText w:val="•"/>
      <w:lvlJc w:val="left"/>
      <w:pPr>
        <w:ind w:left="1826" w:hanging="100"/>
      </w:pPr>
      <w:rPr>
        <w:rFonts w:hint="default"/>
      </w:rPr>
    </w:lvl>
    <w:lvl w:ilvl="8" w:tplc="8B28E372">
      <w:numFmt w:val="bullet"/>
      <w:lvlText w:val="•"/>
      <w:lvlJc w:val="left"/>
      <w:pPr>
        <w:ind w:left="2064" w:hanging="100"/>
      </w:pPr>
      <w:rPr>
        <w:rFonts w:hint="default"/>
      </w:rPr>
    </w:lvl>
  </w:abstractNum>
  <w:abstractNum w:abstractNumId="987" w15:restartNumberingAfterBreak="0">
    <w:nsid w:val="3ED818CC"/>
    <w:multiLevelType w:val="hybridMultilevel"/>
    <w:tmpl w:val="F3F0FB5E"/>
    <w:lvl w:ilvl="0" w:tplc="07082E48">
      <w:numFmt w:val="bullet"/>
      <w:lvlText w:val=""/>
      <w:lvlJc w:val="left"/>
      <w:pPr>
        <w:ind w:left="157" w:hanging="100"/>
      </w:pPr>
      <w:rPr>
        <w:rFonts w:ascii="Symbol" w:eastAsia="Symbol" w:hAnsi="Symbol" w:cs="Symbol" w:hint="default"/>
        <w:color w:val="231F20"/>
        <w:w w:val="100"/>
        <w:sz w:val="14"/>
        <w:szCs w:val="14"/>
      </w:rPr>
    </w:lvl>
    <w:lvl w:ilvl="1" w:tplc="065AFC90">
      <w:numFmt w:val="bullet"/>
      <w:lvlText w:val="•"/>
      <w:lvlJc w:val="left"/>
      <w:pPr>
        <w:ind w:left="369" w:hanging="100"/>
      </w:pPr>
      <w:rPr>
        <w:rFonts w:hint="default"/>
      </w:rPr>
    </w:lvl>
    <w:lvl w:ilvl="2" w:tplc="C65A0CC4">
      <w:numFmt w:val="bullet"/>
      <w:lvlText w:val="•"/>
      <w:lvlJc w:val="left"/>
      <w:pPr>
        <w:ind w:left="579" w:hanging="100"/>
      </w:pPr>
      <w:rPr>
        <w:rFonts w:hint="default"/>
      </w:rPr>
    </w:lvl>
    <w:lvl w:ilvl="3" w:tplc="0B424142">
      <w:numFmt w:val="bullet"/>
      <w:lvlText w:val="•"/>
      <w:lvlJc w:val="left"/>
      <w:pPr>
        <w:ind w:left="789" w:hanging="100"/>
      </w:pPr>
      <w:rPr>
        <w:rFonts w:hint="default"/>
      </w:rPr>
    </w:lvl>
    <w:lvl w:ilvl="4" w:tplc="D032CACE">
      <w:numFmt w:val="bullet"/>
      <w:lvlText w:val="•"/>
      <w:lvlJc w:val="left"/>
      <w:pPr>
        <w:ind w:left="998" w:hanging="100"/>
      </w:pPr>
      <w:rPr>
        <w:rFonts w:hint="default"/>
      </w:rPr>
    </w:lvl>
    <w:lvl w:ilvl="5" w:tplc="F476095E">
      <w:numFmt w:val="bullet"/>
      <w:lvlText w:val="•"/>
      <w:lvlJc w:val="left"/>
      <w:pPr>
        <w:ind w:left="1208" w:hanging="100"/>
      </w:pPr>
      <w:rPr>
        <w:rFonts w:hint="default"/>
      </w:rPr>
    </w:lvl>
    <w:lvl w:ilvl="6" w:tplc="E078E5EC">
      <w:numFmt w:val="bullet"/>
      <w:lvlText w:val="•"/>
      <w:lvlJc w:val="left"/>
      <w:pPr>
        <w:ind w:left="1418" w:hanging="100"/>
      </w:pPr>
      <w:rPr>
        <w:rFonts w:hint="default"/>
      </w:rPr>
    </w:lvl>
    <w:lvl w:ilvl="7" w:tplc="418ACC3A">
      <w:numFmt w:val="bullet"/>
      <w:lvlText w:val="•"/>
      <w:lvlJc w:val="left"/>
      <w:pPr>
        <w:ind w:left="1627" w:hanging="100"/>
      </w:pPr>
      <w:rPr>
        <w:rFonts w:hint="default"/>
      </w:rPr>
    </w:lvl>
    <w:lvl w:ilvl="8" w:tplc="7D102E7A">
      <w:numFmt w:val="bullet"/>
      <w:lvlText w:val="•"/>
      <w:lvlJc w:val="left"/>
      <w:pPr>
        <w:ind w:left="1837" w:hanging="100"/>
      </w:pPr>
      <w:rPr>
        <w:rFonts w:hint="default"/>
      </w:rPr>
    </w:lvl>
  </w:abstractNum>
  <w:abstractNum w:abstractNumId="988" w15:restartNumberingAfterBreak="0">
    <w:nsid w:val="3EE50666"/>
    <w:multiLevelType w:val="hybridMultilevel"/>
    <w:tmpl w:val="4CB29706"/>
    <w:lvl w:ilvl="0" w:tplc="5DA60D04">
      <w:numFmt w:val="bullet"/>
      <w:lvlText w:val=""/>
      <w:lvlJc w:val="left"/>
      <w:pPr>
        <w:ind w:left="156" w:hanging="100"/>
      </w:pPr>
      <w:rPr>
        <w:rFonts w:ascii="Symbol" w:eastAsia="Symbol" w:hAnsi="Symbol" w:cs="Symbol" w:hint="default"/>
        <w:color w:val="231F20"/>
        <w:w w:val="100"/>
        <w:sz w:val="14"/>
        <w:szCs w:val="14"/>
      </w:rPr>
    </w:lvl>
    <w:lvl w:ilvl="1" w:tplc="D4E4EDDA">
      <w:numFmt w:val="bullet"/>
      <w:lvlText w:val="•"/>
      <w:lvlJc w:val="left"/>
      <w:pPr>
        <w:ind w:left="398" w:hanging="100"/>
      </w:pPr>
      <w:rPr>
        <w:rFonts w:hint="default"/>
      </w:rPr>
    </w:lvl>
    <w:lvl w:ilvl="2" w:tplc="7D48AC2E">
      <w:numFmt w:val="bullet"/>
      <w:lvlText w:val="•"/>
      <w:lvlJc w:val="left"/>
      <w:pPr>
        <w:ind w:left="636" w:hanging="100"/>
      </w:pPr>
      <w:rPr>
        <w:rFonts w:hint="default"/>
      </w:rPr>
    </w:lvl>
    <w:lvl w:ilvl="3" w:tplc="CC2AECE4">
      <w:numFmt w:val="bullet"/>
      <w:lvlText w:val="•"/>
      <w:lvlJc w:val="left"/>
      <w:pPr>
        <w:ind w:left="874" w:hanging="100"/>
      </w:pPr>
      <w:rPr>
        <w:rFonts w:hint="default"/>
      </w:rPr>
    </w:lvl>
    <w:lvl w:ilvl="4" w:tplc="735C2932">
      <w:numFmt w:val="bullet"/>
      <w:lvlText w:val="•"/>
      <w:lvlJc w:val="left"/>
      <w:pPr>
        <w:ind w:left="1112" w:hanging="100"/>
      </w:pPr>
      <w:rPr>
        <w:rFonts w:hint="default"/>
      </w:rPr>
    </w:lvl>
    <w:lvl w:ilvl="5" w:tplc="C5E8EE2A">
      <w:numFmt w:val="bullet"/>
      <w:lvlText w:val="•"/>
      <w:lvlJc w:val="left"/>
      <w:pPr>
        <w:ind w:left="1350" w:hanging="100"/>
      </w:pPr>
      <w:rPr>
        <w:rFonts w:hint="default"/>
      </w:rPr>
    </w:lvl>
    <w:lvl w:ilvl="6" w:tplc="781E984C">
      <w:numFmt w:val="bullet"/>
      <w:lvlText w:val="•"/>
      <w:lvlJc w:val="left"/>
      <w:pPr>
        <w:ind w:left="1588" w:hanging="100"/>
      </w:pPr>
      <w:rPr>
        <w:rFonts w:hint="default"/>
      </w:rPr>
    </w:lvl>
    <w:lvl w:ilvl="7" w:tplc="2B18B768">
      <w:numFmt w:val="bullet"/>
      <w:lvlText w:val="•"/>
      <w:lvlJc w:val="left"/>
      <w:pPr>
        <w:ind w:left="1826" w:hanging="100"/>
      </w:pPr>
      <w:rPr>
        <w:rFonts w:hint="default"/>
      </w:rPr>
    </w:lvl>
    <w:lvl w:ilvl="8" w:tplc="914C966A">
      <w:numFmt w:val="bullet"/>
      <w:lvlText w:val="•"/>
      <w:lvlJc w:val="left"/>
      <w:pPr>
        <w:ind w:left="2064" w:hanging="100"/>
      </w:pPr>
      <w:rPr>
        <w:rFonts w:hint="default"/>
      </w:rPr>
    </w:lvl>
  </w:abstractNum>
  <w:abstractNum w:abstractNumId="989" w15:restartNumberingAfterBreak="0">
    <w:nsid w:val="3EEA46DF"/>
    <w:multiLevelType w:val="hybridMultilevel"/>
    <w:tmpl w:val="3200B452"/>
    <w:lvl w:ilvl="0" w:tplc="5D38959C">
      <w:numFmt w:val="bullet"/>
      <w:lvlText w:val="–"/>
      <w:lvlJc w:val="left"/>
      <w:pPr>
        <w:ind w:left="162" w:hanging="105"/>
      </w:pPr>
      <w:rPr>
        <w:rFonts w:ascii="Times New Roman" w:eastAsia="Times New Roman" w:hAnsi="Times New Roman" w:cs="Times New Roman" w:hint="default"/>
        <w:color w:val="231F20"/>
        <w:spacing w:val="-16"/>
        <w:w w:val="100"/>
        <w:sz w:val="14"/>
        <w:szCs w:val="14"/>
      </w:rPr>
    </w:lvl>
    <w:lvl w:ilvl="1" w:tplc="2356E972">
      <w:numFmt w:val="bullet"/>
      <w:lvlText w:val="•"/>
      <w:lvlJc w:val="left"/>
      <w:pPr>
        <w:ind w:left="426" w:hanging="105"/>
      </w:pPr>
      <w:rPr>
        <w:rFonts w:hint="default"/>
      </w:rPr>
    </w:lvl>
    <w:lvl w:ilvl="2" w:tplc="3710DC2C">
      <w:numFmt w:val="bullet"/>
      <w:lvlText w:val="•"/>
      <w:lvlJc w:val="left"/>
      <w:pPr>
        <w:ind w:left="692" w:hanging="105"/>
      </w:pPr>
      <w:rPr>
        <w:rFonts w:hint="default"/>
      </w:rPr>
    </w:lvl>
    <w:lvl w:ilvl="3" w:tplc="28C42AB2">
      <w:numFmt w:val="bullet"/>
      <w:lvlText w:val="•"/>
      <w:lvlJc w:val="left"/>
      <w:pPr>
        <w:ind w:left="959" w:hanging="105"/>
      </w:pPr>
      <w:rPr>
        <w:rFonts w:hint="default"/>
      </w:rPr>
    </w:lvl>
    <w:lvl w:ilvl="4" w:tplc="5F300C7E">
      <w:numFmt w:val="bullet"/>
      <w:lvlText w:val="•"/>
      <w:lvlJc w:val="left"/>
      <w:pPr>
        <w:ind w:left="1225" w:hanging="105"/>
      </w:pPr>
      <w:rPr>
        <w:rFonts w:hint="default"/>
      </w:rPr>
    </w:lvl>
    <w:lvl w:ilvl="5" w:tplc="BF22FDB8">
      <w:numFmt w:val="bullet"/>
      <w:lvlText w:val="•"/>
      <w:lvlJc w:val="left"/>
      <w:pPr>
        <w:ind w:left="1492" w:hanging="105"/>
      </w:pPr>
      <w:rPr>
        <w:rFonts w:hint="default"/>
      </w:rPr>
    </w:lvl>
    <w:lvl w:ilvl="6" w:tplc="128E1CA6">
      <w:numFmt w:val="bullet"/>
      <w:lvlText w:val="•"/>
      <w:lvlJc w:val="left"/>
      <w:pPr>
        <w:ind w:left="1758" w:hanging="105"/>
      </w:pPr>
      <w:rPr>
        <w:rFonts w:hint="default"/>
      </w:rPr>
    </w:lvl>
    <w:lvl w:ilvl="7" w:tplc="977627D8">
      <w:numFmt w:val="bullet"/>
      <w:lvlText w:val="•"/>
      <w:lvlJc w:val="left"/>
      <w:pPr>
        <w:ind w:left="2024" w:hanging="105"/>
      </w:pPr>
      <w:rPr>
        <w:rFonts w:hint="default"/>
      </w:rPr>
    </w:lvl>
    <w:lvl w:ilvl="8" w:tplc="E52A0D24">
      <w:numFmt w:val="bullet"/>
      <w:lvlText w:val="•"/>
      <w:lvlJc w:val="left"/>
      <w:pPr>
        <w:ind w:left="2291" w:hanging="105"/>
      </w:pPr>
      <w:rPr>
        <w:rFonts w:hint="default"/>
      </w:rPr>
    </w:lvl>
  </w:abstractNum>
  <w:abstractNum w:abstractNumId="990" w15:restartNumberingAfterBreak="0">
    <w:nsid w:val="3EEC2414"/>
    <w:multiLevelType w:val="hybridMultilevel"/>
    <w:tmpl w:val="93E641B2"/>
    <w:lvl w:ilvl="0" w:tplc="B24CB5DE">
      <w:numFmt w:val="bullet"/>
      <w:lvlText w:val=""/>
      <w:lvlJc w:val="left"/>
      <w:pPr>
        <w:ind w:left="156" w:hanging="100"/>
      </w:pPr>
      <w:rPr>
        <w:rFonts w:ascii="Symbol" w:eastAsia="Symbol" w:hAnsi="Symbol" w:cs="Symbol" w:hint="default"/>
        <w:color w:val="231F20"/>
        <w:w w:val="100"/>
        <w:sz w:val="14"/>
        <w:szCs w:val="14"/>
      </w:rPr>
    </w:lvl>
    <w:lvl w:ilvl="1" w:tplc="79AAF95A">
      <w:numFmt w:val="bullet"/>
      <w:lvlText w:val="•"/>
      <w:lvlJc w:val="left"/>
      <w:pPr>
        <w:ind w:left="398" w:hanging="100"/>
      </w:pPr>
      <w:rPr>
        <w:rFonts w:hint="default"/>
      </w:rPr>
    </w:lvl>
    <w:lvl w:ilvl="2" w:tplc="96F84594">
      <w:numFmt w:val="bullet"/>
      <w:lvlText w:val="•"/>
      <w:lvlJc w:val="left"/>
      <w:pPr>
        <w:ind w:left="636" w:hanging="100"/>
      </w:pPr>
      <w:rPr>
        <w:rFonts w:hint="default"/>
      </w:rPr>
    </w:lvl>
    <w:lvl w:ilvl="3" w:tplc="9190E09A">
      <w:numFmt w:val="bullet"/>
      <w:lvlText w:val="•"/>
      <w:lvlJc w:val="left"/>
      <w:pPr>
        <w:ind w:left="874" w:hanging="100"/>
      </w:pPr>
      <w:rPr>
        <w:rFonts w:hint="default"/>
      </w:rPr>
    </w:lvl>
    <w:lvl w:ilvl="4" w:tplc="336C36DE">
      <w:numFmt w:val="bullet"/>
      <w:lvlText w:val="•"/>
      <w:lvlJc w:val="left"/>
      <w:pPr>
        <w:ind w:left="1112" w:hanging="100"/>
      </w:pPr>
      <w:rPr>
        <w:rFonts w:hint="default"/>
      </w:rPr>
    </w:lvl>
    <w:lvl w:ilvl="5" w:tplc="5E86C12A">
      <w:numFmt w:val="bullet"/>
      <w:lvlText w:val="•"/>
      <w:lvlJc w:val="left"/>
      <w:pPr>
        <w:ind w:left="1350" w:hanging="100"/>
      </w:pPr>
      <w:rPr>
        <w:rFonts w:hint="default"/>
      </w:rPr>
    </w:lvl>
    <w:lvl w:ilvl="6" w:tplc="16728E38">
      <w:numFmt w:val="bullet"/>
      <w:lvlText w:val="•"/>
      <w:lvlJc w:val="left"/>
      <w:pPr>
        <w:ind w:left="1588" w:hanging="100"/>
      </w:pPr>
      <w:rPr>
        <w:rFonts w:hint="default"/>
      </w:rPr>
    </w:lvl>
    <w:lvl w:ilvl="7" w:tplc="8A123FDE">
      <w:numFmt w:val="bullet"/>
      <w:lvlText w:val="•"/>
      <w:lvlJc w:val="left"/>
      <w:pPr>
        <w:ind w:left="1826" w:hanging="100"/>
      </w:pPr>
      <w:rPr>
        <w:rFonts w:hint="default"/>
      </w:rPr>
    </w:lvl>
    <w:lvl w:ilvl="8" w:tplc="A47EFD98">
      <w:numFmt w:val="bullet"/>
      <w:lvlText w:val="•"/>
      <w:lvlJc w:val="left"/>
      <w:pPr>
        <w:ind w:left="2064" w:hanging="100"/>
      </w:pPr>
      <w:rPr>
        <w:rFonts w:hint="default"/>
      </w:rPr>
    </w:lvl>
  </w:abstractNum>
  <w:abstractNum w:abstractNumId="991" w15:restartNumberingAfterBreak="0">
    <w:nsid w:val="3EFA47D2"/>
    <w:multiLevelType w:val="hybridMultilevel"/>
    <w:tmpl w:val="316A20A0"/>
    <w:lvl w:ilvl="0" w:tplc="1A1E6C94">
      <w:numFmt w:val="bullet"/>
      <w:lvlText w:val=""/>
      <w:lvlJc w:val="left"/>
      <w:pPr>
        <w:ind w:left="156" w:hanging="100"/>
      </w:pPr>
      <w:rPr>
        <w:rFonts w:ascii="Symbol" w:eastAsia="Symbol" w:hAnsi="Symbol" w:cs="Symbol" w:hint="default"/>
        <w:color w:val="231F20"/>
        <w:w w:val="100"/>
        <w:sz w:val="14"/>
        <w:szCs w:val="14"/>
      </w:rPr>
    </w:lvl>
    <w:lvl w:ilvl="1" w:tplc="DFD6B138">
      <w:numFmt w:val="bullet"/>
      <w:lvlText w:val="•"/>
      <w:lvlJc w:val="left"/>
      <w:pPr>
        <w:ind w:left="426" w:hanging="100"/>
      </w:pPr>
      <w:rPr>
        <w:rFonts w:hint="default"/>
      </w:rPr>
    </w:lvl>
    <w:lvl w:ilvl="2" w:tplc="2970FBAA">
      <w:numFmt w:val="bullet"/>
      <w:lvlText w:val="•"/>
      <w:lvlJc w:val="left"/>
      <w:pPr>
        <w:ind w:left="692" w:hanging="100"/>
      </w:pPr>
      <w:rPr>
        <w:rFonts w:hint="default"/>
      </w:rPr>
    </w:lvl>
    <w:lvl w:ilvl="3" w:tplc="32BC9C74">
      <w:numFmt w:val="bullet"/>
      <w:lvlText w:val="•"/>
      <w:lvlJc w:val="left"/>
      <w:pPr>
        <w:ind w:left="959" w:hanging="100"/>
      </w:pPr>
      <w:rPr>
        <w:rFonts w:hint="default"/>
      </w:rPr>
    </w:lvl>
    <w:lvl w:ilvl="4" w:tplc="A18AC850">
      <w:numFmt w:val="bullet"/>
      <w:lvlText w:val="•"/>
      <w:lvlJc w:val="left"/>
      <w:pPr>
        <w:ind w:left="1225" w:hanging="100"/>
      </w:pPr>
      <w:rPr>
        <w:rFonts w:hint="default"/>
      </w:rPr>
    </w:lvl>
    <w:lvl w:ilvl="5" w:tplc="1B10AF6E">
      <w:numFmt w:val="bullet"/>
      <w:lvlText w:val="•"/>
      <w:lvlJc w:val="left"/>
      <w:pPr>
        <w:ind w:left="1492" w:hanging="100"/>
      </w:pPr>
      <w:rPr>
        <w:rFonts w:hint="default"/>
      </w:rPr>
    </w:lvl>
    <w:lvl w:ilvl="6" w:tplc="A7525E90">
      <w:numFmt w:val="bullet"/>
      <w:lvlText w:val="•"/>
      <w:lvlJc w:val="left"/>
      <w:pPr>
        <w:ind w:left="1758" w:hanging="100"/>
      </w:pPr>
      <w:rPr>
        <w:rFonts w:hint="default"/>
      </w:rPr>
    </w:lvl>
    <w:lvl w:ilvl="7" w:tplc="156A09F8">
      <w:numFmt w:val="bullet"/>
      <w:lvlText w:val="•"/>
      <w:lvlJc w:val="left"/>
      <w:pPr>
        <w:ind w:left="2024" w:hanging="100"/>
      </w:pPr>
      <w:rPr>
        <w:rFonts w:hint="default"/>
      </w:rPr>
    </w:lvl>
    <w:lvl w:ilvl="8" w:tplc="AE1C170E">
      <w:numFmt w:val="bullet"/>
      <w:lvlText w:val="•"/>
      <w:lvlJc w:val="left"/>
      <w:pPr>
        <w:ind w:left="2291" w:hanging="100"/>
      </w:pPr>
      <w:rPr>
        <w:rFonts w:hint="default"/>
      </w:rPr>
    </w:lvl>
  </w:abstractNum>
  <w:abstractNum w:abstractNumId="992" w15:restartNumberingAfterBreak="0">
    <w:nsid w:val="3F026C62"/>
    <w:multiLevelType w:val="hybridMultilevel"/>
    <w:tmpl w:val="52CCED40"/>
    <w:lvl w:ilvl="0" w:tplc="734227A0">
      <w:numFmt w:val="bullet"/>
      <w:lvlText w:val=""/>
      <w:lvlJc w:val="left"/>
      <w:pPr>
        <w:ind w:left="156" w:hanging="100"/>
      </w:pPr>
      <w:rPr>
        <w:rFonts w:ascii="Symbol" w:eastAsia="Symbol" w:hAnsi="Symbol" w:cs="Symbol" w:hint="default"/>
        <w:color w:val="231F20"/>
        <w:w w:val="100"/>
        <w:sz w:val="14"/>
        <w:szCs w:val="14"/>
      </w:rPr>
    </w:lvl>
    <w:lvl w:ilvl="1" w:tplc="AF9A2800">
      <w:numFmt w:val="bullet"/>
      <w:lvlText w:val="•"/>
      <w:lvlJc w:val="left"/>
      <w:pPr>
        <w:ind w:left="398" w:hanging="100"/>
      </w:pPr>
      <w:rPr>
        <w:rFonts w:hint="default"/>
      </w:rPr>
    </w:lvl>
    <w:lvl w:ilvl="2" w:tplc="FBA4812E">
      <w:numFmt w:val="bullet"/>
      <w:lvlText w:val="•"/>
      <w:lvlJc w:val="left"/>
      <w:pPr>
        <w:ind w:left="636" w:hanging="100"/>
      </w:pPr>
      <w:rPr>
        <w:rFonts w:hint="default"/>
      </w:rPr>
    </w:lvl>
    <w:lvl w:ilvl="3" w:tplc="57DE3188">
      <w:numFmt w:val="bullet"/>
      <w:lvlText w:val="•"/>
      <w:lvlJc w:val="left"/>
      <w:pPr>
        <w:ind w:left="874" w:hanging="100"/>
      </w:pPr>
      <w:rPr>
        <w:rFonts w:hint="default"/>
      </w:rPr>
    </w:lvl>
    <w:lvl w:ilvl="4" w:tplc="A7AAAE4E">
      <w:numFmt w:val="bullet"/>
      <w:lvlText w:val="•"/>
      <w:lvlJc w:val="left"/>
      <w:pPr>
        <w:ind w:left="1112" w:hanging="100"/>
      </w:pPr>
      <w:rPr>
        <w:rFonts w:hint="default"/>
      </w:rPr>
    </w:lvl>
    <w:lvl w:ilvl="5" w:tplc="5C1AE394">
      <w:numFmt w:val="bullet"/>
      <w:lvlText w:val="•"/>
      <w:lvlJc w:val="left"/>
      <w:pPr>
        <w:ind w:left="1350" w:hanging="100"/>
      </w:pPr>
      <w:rPr>
        <w:rFonts w:hint="default"/>
      </w:rPr>
    </w:lvl>
    <w:lvl w:ilvl="6" w:tplc="206C4E16">
      <w:numFmt w:val="bullet"/>
      <w:lvlText w:val="•"/>
      <w:lvlJc w:val="left"/>
      <w:pPr>
        <w:ind w:left="1588" w:hanging="100"/>
      </w:pPr>
      <w:rPr>
        <w:rFonts w:hint="default"/>
      </w:rPr>
    </w:lvl>
    <w:lvl w:ilvl="7" w:tplc="0D0CF168">
      <w:numFmt w:val="bullet"/>
      <w:lvlText w:val="•"/>
      <w:lvlJc w:val="left"/>
      <w:pPr>
        <w:ind w:left="1826" w:hanging="100"/>
      </w:pPr>
      <w:rPr>
        <w:rFonts w:hint="default"/>
      </w:rPr>
    </w:lvl>
    <w:lvl w:ilvl="8" w:tplc="A3E89EE2">
      <w:numFmt w:val="bullet"/>
      <w:lvlText w:val="•"/>
      <w:lvlJc w:val="left"/>
      <w:pPr>
        <w:ind w:left="2064" w:hanging="100"/>
      </w:pPr>
      <w:rPr>
        <w:rFonts w:hint="default"/>
      </w:rPr>
    </w:lvl>
  </w:abstractNum>
  <w:abstractNum w:abstractNumId="993" w15:restartNumberingAfterBreak="0">
    <w:nsid w:val="3F13769A"/>
    <w:multiLevelType w:val="hybridMultilevel"/>
    <w:tmpl w:val="6DD4FABE"/>
    <w:lvl w:ilvl="0" w:tplc="EC6CA978">
      <w:numFmt w:val="bullet"/>
      <w:lvlText w:val=""/>
      <w:lvlJc w:val="left"/>
      <w:pPr>
        <w:ind w:left="156" w:hanging="100"/>
      </w:pPr>
      <w:rPr>
        <w:rFonts w:ascii="Symbol" w:eastAsia="Symbol" w:hAnsi="Symbol" w:cs="Symbol" w:hint="default"/>
        <w:color w:val="231F20"/>
        <w:w w:val="100"/>
        <w:sz w:val="14"/>
        <w:szCs w:val="14"/>
      </w:rPr>
    </w:lvl>
    <w:lvl w:ilvl="1" w:tplc="11E25DDC">
      <w:numFmt w:val="bullet"/>
      <w:lvlText w:val="•"/>
      <w:lvlJc w:val="left"/>
      <w:pPr>
        <w:ind w:left="301" w:hanging="100"/>
      </w:pPr>
      <w:rPr>
        <w:rFonts w:hint="default"/>
      </w:rPr>
    </w:lvl>
    <w:lvl w:ilvl="2" w:tplc="41BEA0FA">
      <w:numFmt w:val="bullet"/>
      <w:lvlText w:val="•"/>
      <w:lvlJc w:val="left"/>
      <w:pPr>
        <w:ind w:left="443" w:hanging="100"/>
      </w:pPr>
      <w:rPr>
        <w:rFonts w:hint="default"/>
      </w:rPr>
    </w:lvl>
    <w:lvl w:ilvl="3" w:tplc="42AAE788">
      <w:numFmt w:val="bullet"/>
      <w:lvlText w:val="•"/>
      <w:lvlJc w:val="left"/>
      <w:pPr>
        <w:ind w:left="585" w:hanging="100"/>
      </w:pPr>
      <w:rPr>
        <w:rFonts w:hint="default"/>
      </w:rPr>
    </w:lvl>
    <w:lvl w:ilvl="4" w:tplc="08C48D76">
      <w:numFmt w:val="bullet"/>
      <w:lvlText w:val="•"/>
      <w:lvlJc w:val="left"/>
      <w:pPr>
        <w:ind w:left="726" w:hanging="100"/>
      </w:pPr>
      <w:rPr>
        <w:rFonts w:hint="default"/>
      </w:rPr>
    </w:lvl>
    <w:lvl w:ilvl="5" w:tplc="590CB1A2">
      <w:numFmt w:val="bullet"/>
      <w:lvlText w:val="•"/>
      <w:lvlJc w:val="left"/>
      <w:pPr>
        <w:ind w:left="868" w:hanging="100"/>
      </w:pPr>
      <w:rPr>
        <w:rFonts w:hint="default"/>
      </w:rPr>
    </w:lvl>
    <w:lvl w:ilvl="6" w:tplc="3BB4CDBE">
      <w:numFmt w:val="bullet"/>
      <w:lvlText w:val="•"/>
      <w:lvlJc w:val="left"/>
      <w:pPr>
        <w:ind w:left="1010" w:hanging="100"/>
      </w:pPr>
      <w:rPr>
        <w:rFonts w:hint="default"/>
      </w:rPr>
    </w:lvl>
    <w:lvl w:ilvl="7" w:tplc="A93C169E">
      <w:numFmt w:val="bullet"/>
      <w:lvlText w:val="•"/>
      <w:lvlJc w:val="left"/>
      <w:pPr>
        <w:ind w:left="1151" w:hanging="100"/>
      </w:pPr>
      <w:rPr>
        <w:rFonts w:hint="default"/>
      </w:rPr>
    </w:lvl>
    <w:lvl w:ilvl="8" w:tplc="FD32254A">
      <w:numFmt w:val="bullet"/>
      <w:lvlText w:val="•"/>
      <w:lvlJc w:val="left"/>
      <w:pPr>
        <w:ind w:left="1293" w:hanging="100"/>
      </w:pPr>
      <w:rPr>
        <w:rFonts w:hint="default"/>
      </w:rPr>
    </w:lvl>
  </w:abstractNum>
  <w:abstractNum w:abstractNumId="994" w15:restartNumberingAfterBreak="0">
    <w:nsid w:val="3F1E2063"/>
    <w:multiLevelType w:val="hybridMultilevel"/>
    <w:tmpl w:val="3B187CB0"/>
    <w:lvl w:ilvl="0" w:tplc="E1C0466A">
      <w:numFmt w:val="bullet"/>
      <w:lvlText w:val=""/>
      <w:lvlJc w:val="left"/>
      <w:pPr>
        <w:ind w:left="156" w:hanging="100"/>
      </w:pPr>
      <w:rPr>
        <w:rFonts w:ascii="Symbol" w:eastAsia="Symbol" w:hAnsi="Symbol" w:cs="Symbol" w:hint="default"/>
        <w:color w:val="231F20"/>
        <w:w w:val="100"/>
        <w:sz w:val="14"/>
        <w:szCs w:val="14"/>
      </w:rPr>
    </w:lvl>
    <w:lvl w:ilvl="1" w:tplc="9E8040C8">
      <w:numFmt w:val="bullet"/>
      <w:lvlText w:val="•"/>
      <w:lvlJc w:val="left"/>
      <w:pPr>
        <w:ind w:left="301" w:hanging="100"/>
      </w:pPr>
      <w:rPr>
        <w:rFonts w:hint="default"/>
      </w:rPr>
    </w:lvl>
    <w:lvl w:ilvl="2" w:tplc="B0C64E6E">
      <w:numFmt w:val="bullet"/>
      <w:lvlText w:val="•"/>
      <w:lvlJc w:val="left"/>
      <w:pPr>
        <w:ind w:left="443" w:hanging="100"/>
      </w:pPr>
      <w:rPr>
        <w:rFonts w:hint="default"/>
      </w:rPr>
    </w:lvl>
    <w:lvl w:ilvl="3" w:tplc="4D6A30A0">
      <w:numFmt w:val="bullet"/>
      <w:lvlText w:val="•"/>
      <w:lvlJc w:val="left"/>
      <w:pPr>
        <w:ind w:left="585" w:hanging="100"/>
      </w:pPr>
      <w:rPr>
        <w:rFonts w:hint="default"/>
      </w:rPr>
    </w:lvl>
    <w:lvl w:ilvl="4" w:tplc="DA1E45AC">
      <w:numFmt w:val="bullet"/>
      <w:lvlText w:val="•"/>
      <w:lvlJc w:val="left"/>
      <w:pPr>
        <w:ind w:left="726" w:hanging="100"/>
      </w:pPr>
      <w:rPr>
        <w:rFonts w:hint="default"/>
      </w:rPr>
    </w:lvl>
    <w:lvl w:ilvl="5" w:tplc="6292FB26">
      <w:numFmt w:val="bullet"/>
      <w:lvlText w:val="•"/>
      <w:lvlJc w:val="left"/>
      <w:pPr>
        <w:ind w:left="868" w:hanging="100"/>
      </w:pPr>
      <w:rPr>
        <w:rFonts w:hint="default"/>
      </w:rPr>
    </w:lvl>
    <w:lvl w:ilvl="6" w:tplc="8F6A659E">
      <w:numFmt w:val="bullet"/>
      <w:lvlText w:val="•"/>
      <w:lvlJc w:val="left"/>
      <w:pPr>
        <w:ind w:left="1010" w:hanging="100"/>
      </w:pPr>
      <w:rPr>
        <w:rFonts w:hint="default"/>
      </w:rPr>
    </w:lvl>
    <w:lvl w:ilvl="7" w:tplc="D6841704">
      <w:numFmt w:val="bullet"/>
      <w:lvlText w:val="•"/>
      <w:lvlJc w:val="left"/>
      <w:pPr>
        <w:ind w:left="1151" w:hanging="100"/>
      </w:pPr>
      <w:rPr>
        <w:rFonts w:hint="default"/>
      </w:rPr>
    </w:lvl>
    <w:lvl w:ilvl="8" w:tplc="667CFF9E">
      <w:numFmt w:val="bullet"/>
      <w:lvlText w:val="•"/>
      <w:lvlJc w:val="left"/>
      <w:pPr>
        <w:ind w:left="1293" w:hanging="100"/>
      </w:pPr>
      <w:rPr>
        <w:rFonts w:hint="default"/>
      </w:rPr>
    </w:lvl>
  </w:abstractNum>
  <w:abstractNum w:abstractNumId="995" w15:restartNumberingAfterBreak="0">
    <w:nsid w:val="3F49206E"/>
    <w:multiLevelType w:val="hybridMultilevel"/>
    <w:tmpl w:val="A6440A9A"/>
    <w:lvl w:ilvl="0" w:tplc="25022002">
      <w:numFmt w:val="bullet"/>
      <w:lvlText w:val=""/>
      <w:lvlJc w:val="left"/>
      <w:pPr>
        <w:ind w:left="157" w:hanging="100"/>
      </w:pPr>
      <w:rPr>
        <w:rFonts w:ascii="Symbol" w:eastAsia="Symbol" w:hAnsi="Symbol" w:cs="Symbol" w:hint="default"/>
        <w:color w:val="231F20"/>
        <w:w w:val="100"/>
        <w:sz w:val="14"/>
        <w:szCs w:val="14"/>
      </w:rPr>
    </w:lvl>
    <w:lvl w:ilvl="1" w:tplc="53B49A5E">
      <w:numFmt w:val="bullet"/>
      <w:lvlText w:val="•"/>
      <w:lvlJc w:val="left"/>
      <w:pPr>
        <w:ind w:left="369" w:hanging="100"/>
      </w:pPr>
      <w:rPr>
        <w:rFonts w:hint="default"/>
      </w:rPr>
    </w:lvl>
    <w:lvl w:ilvl="2" w:tplc="9ED876A8">
      <w:numFmt w:val="bullet"/>
      <w:lvlText w:val="•"/>
      <w:lvlJc w:val="left"/>
      <w:pPr>
        <w:ind w:left="579" w:hanging="100"/>
      </w:pPr>
      <w:rPr>
        <w:rFonts w:hint="default"/>
      </w:rPr>
    </w:lvl>
    <w:lvl w:ilvl="3" w:tplc="A9DE5E30">
      <w:numFmt w:val="bullet"/>
      <w:lvlText w:val="•"/>
      <w:lvlJc w:val="left"/>
      <w:pPr>
        <w:ind w:left="789" w:hanging="100"/>
      </w:pPr>
      <w:rPr>
        <w:rFonts w:hint="default"/>
      </w:rPr>
    </w:lvl>
    <w:lvl w:ilvl="4" w:tplc="B9AC9078">
      <w:numFmt w:val="bullet"/>
      <w:lvlText w:val="•"/>
      <w:lvlJc w:val="left"/>
      <w:pPr>
        <w:ind w:left="998" w:hanging="100"/>
      </w:pPr>
      <w:rPr>
        <w:rFonts w:hint="default"/>
      </w:rPr>
    </w:lvl>
    <w:lvl w:ilvl="5" w:tplc="AE4064F6">
      <w:numFmt w:val="bullet"/>
      <w:lvlText w:val="•"/>
      <w:lvlJc w:val="left"/>
      <w:pPr>
        <w:ind w:left="1208" w:hanging="100"/>
      </w:pPr>
      <w:rPr>
        <w:rFonts w:hint="default"/>
      </w:rPr>
    </w:lvl>
    <w:lvl w:ilvl="6" w:tplc="B93A5A8E">
      <w:numFmt w:val="bullet"/>
      <w:lvlText w:val="•"/>
      <w:lvlJc w:val="left"/>
      <w:pPr>
        <w:ind w:left="1418" w:hanging="100"/>
      </w:pPr>
      <w:rPr>
        <w:rFonts w:hint="default"/>
      </w:rPr>
    </w:lvl>
    <w:lvl w:ilvl="7" w:tplc="4FCA8A02">
      <w:numFmt w:val="bullet"/>
      <w:lvlText w:val="•"/>
      <w:lvlJc w:val="left"/>
      <w:pPr>
        <w:ind w:left="1627" w:hanging="100"/>
      </w:pPr>
      <w:rPr>
        <w:rFonts w:hint="default"/>
      </w:rPr>
    </w:lvl>
    <w:lvl w:ilvl="8" w:tplc="ECE0D67A">
      <w:numFmt w:val="bullet"/>
      <w:lvlText w:val="•"/>
      <w:lvlJc w:val="left"/>
      <w:pPr>
        <w:ind w:left="1837" w:hanging="100"/>
      </w:pPr>
      <w:rPr>
        <w:rFonts w:hint="default"/>
      </w:rPr>
    </w:lvl>
  </w:abstractNum>
  <w:abstractNum w:abstractNumId="996" w15:restartNumberingAfterBreak="0">
    <w:nsid w:val="3F573898"/>
    <w:multiLevelType w:val="hybridMultilevel"/>
    <w:tmpl w:val="C1E86C00"/>
    <w:lvl w:ilvl="0" w:tplc="D6088F4E">
      <w:numFmt w:val="bullet"/>
      <w:lvlText w:val=""/>
      <w:lvlJc w:val="left"/>
      <w:pPr>
        <w:ind w:left="156" w:hanging="100"/>
      </w:pPr>
      <w:rPr>
        <w:rFonts w:ascii="Symbol" w:eastAsia="Symbol" w:hAnsi="Symbol" w:cs="Symbol" w:hint="default"/>
        <w:color w:val="231F20"/>
        <w:w w:val="100"/>
        <w:sz w:val="14"/>
        <w:szCs w:val="14"/>
      </w:rPr>
    </w:lvl>
    <w:lvl w:ilvl="1" w:tplc="213447BC">
      <w:numFmt w:val="bullet"/>
      <w:lvlText w:val="•"/>
      <w:lvlJc w:val="left"/>
      <w:pPr>
        <w:ind w:left="398" w:hanging="100"/>
      </w:pPr>
      <w:rPr>
        <w:rFonts w:hint="default"/>
      </w:rPr>
    </w:lvl>
    <w:lvl w:ilvl="2" w:tplc="50C2BA34">
      <w:numFmt w:val="bullet"/>
      <w:lvlText w:val="•"/>
      <w:lvlJc w:val="left"/>
      <w:pPr>
        <w:ind w:left="636" w:hanging="100"/>
      </w:pPr>
      <w:rPr>
        <w:rFonts w:hint="default"/>
      </w:rPr>
    </w:lvl>
    <w:lvl w:ilvl="3" w:tplc="D146F106">
      <w:numFmt w:val="bullet"/>
      <w:lvlText w:val="•"/>
      <w:lvlJc w:val="left"/>
      <w:pPr>
        <w:ind w:left="874" w:hanging="100"/>
      </w:pPr>
      <w:rPr>
        <w:rFonts w:hint="default"/>
      </w:rPr>
    </w:lvl>
    <w:lvl w:ilvl="4" w:tplc="02D86512">
      <w:numFmt w:val="bullet"/>
      <w:lvlText w:val="•"/>
      <w:lvlJc w:val="left"/>
      <w:pPr>
        <w:ind w:left="1112" w:hanging="100"/>
      </w:pPr>
      <w:rPr>
        <w:rFonts w:hint="default"/>
      </w:rPr>
    </w:lvl>
    <w:lvl w:ilvl="5" w:tplc="E9EEE0DC">
      <w:numFmt w:val="bullet"/>
      <w:lvlText w:val="•"/>
      <w:lvlJc w:val="left"/>
      <w:pPr>
        <w:ind w:left="1350" w:hanging="100"/>
      </w:pPr>
      <w:rPr>
        <w:rFonts w:hint="default"/>
      </w:rPr>
    </w:lvl>
    <w:lvl w:ilvl="6" w:tplc="FB580704">
      <w:numFmt w:val="bullet"/>
      <w:lvlText w:val="•"/>
      <w:lvlJc w:val="left"/>
      <w:pPr>
        <w:ind w:left="1588" w:hanging="100"/>
      </w:pPr>
      <w:rPr>
        <w:rFonts w:hint="default"/>
      </w:rPr>
    </w:lvl>
    <w:lvl w:ilvl="7" w:tplc="69B25E84">
      <w:numFmt w:val="bullet"/>
      <w:lvlText w:val="•"/>
      <w:lvlJc w:val="left"/>
      <w:pPr>
        <w:ind w:left="1826" w:hanging="100"/>
      </w:pPr>
      <w:rPr>
        <w:rFonts w:hint="default"/>
      </w:rPr>
    </w:lvl>
    <w:lvl w:ilvl="8" w:tplc="5868F288">
      <w:numFmt w:val="bullet"/>
      <w:lvlText w:val="•"/>
      <w:lvlJc w:val="left"/>
      <w:pPr>
        <w:ind w:left="2064" w:hanging="100"/>
      </w:pPr>
      <w:rPr>
        <w:rFonts w:hint="default"/>
      </w:rPr>
    </w:lvl>
  </w:abstractNum>
  <w:abstractNum w:abstractNumId="997" w15:restartNumberingAfterBreak="0">
    <w:nsid w:val="3F666E94"/>
    <w:multiLevelType w:val="hybridMultilevel"/>
    <w:tmpl w:val="D55823AC"/>
    <w:lvl w:ilvl="0" w:tplc="BF7EF75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490A59E8">
      <w:numFmt w:val="bullet"/>
      <w:lvlText w:val="•"/>
      <w:lvlJc w:val="left"/>
      <w:pPr>
        <w:ind w:left="408" w:hanging="84"/>
      </w:pPr>
      <w:rPr>
        <w:rFonts w:hint="default"/>
      </w:rPr>
    </w:lvl>
    <w:lvl w:ilvl="2" w:tplc="7CFE94C4">
      <w:numFmt w:val="bullet"/>
      <w:lvlText w:val="•"/>
      <w:lvlJc w:val="left"/>
      <w:pPr>
        <w:ind w:left="676" w:hanging="84"/>
      </w:pPr>
      <w:rPr>
        <w:rFonts w:hint="default"/>
      </w:rPr>
    </w:lvl>
    <w:lvl w:ilvl="3" w:tplc="C372930C">
      <w:numFmt w:val="bullet"/>
      <w:lvlText w:val="•"/>
      <w:lvlJc w:val="left"/>
      <w:pPr>
        <w:ind w:left="945" w:hanging="84"/>
      </w:pPr>
      <w:rPr>
        <w:rFonts w:hint="default"/>
      </w:rPr>
    </w:lvl>
    <w:lvl w:ilvl="4" w:tplc="BC9E7CA6">
      <w:numFmt w:val="bullet"/>
      <w:lvlText w:val="•"/>
      <w:lvlJc w:val="left"/>
      <w:pPr>
        <w:ind w:left="1213" w:hanging="84"/>
      </w:pPr>
      <w:rPr>
        <w:rFonts w:hint="default"/>
      </w:rPr>
    </w:lvl>
    <w:lvl w:ilvl="5" w:tplc="4964F36C">
      <w:numFmt w:val="bullet"/>
      <w:lvlText w:val="•"/>
      <w:lvlJc w:val="left"/>
      <w:pPr>
        <w:ind w:left="1482" w:hanging="84"/>
      </w:pPr>
      <w:rPr>
        <w:rFonts w:hint="default"/>
      </w:rPr>
    </w:lvl>
    <w:lvl w:ilvl="6" w:tplc="1966A6AC">
      <w:numFmt w:val="bullet"/>
      <w:lvlText w:val="•"/>
      <w:lvlJc w:val="left"/>
      <w:pPr>
        <w:ind w:left="1750" w:hanging="84"/>
      </w:pPr>
      <w:rPr>
        <w:rFonts w:hint="default"/>
      </w:rPr>
    </w:lvl>
    <w:lvl w:ilvl="7" w:tplc="91B8BB46">
      <w:numFmt w:val="bullet"/>
      <w:lvlText w:val="•"/>
      <w:lvlJc w:val="left"/>
      <w:pPr>
        <w:ind w:left="2018" w:hanging="84"/>
      </w:pPr>
      <w:rPr>
        <w:rFonts w:hint="default"/>
      </w:rPr>
    </w:lvl>
    <w:lvl w:ilvl="8" w:tplc="EE8ADA62">
      <w:numFmt w:val="bullet"/>
      <w:lvlText w:val="•"/>
      <w:lvlJc w:val="left"/>
      <w:pPr>
        <w:ind w:left="2287" w:hanging="84"/>
      </w:pPr>
      <w:rPr>
        <w:rFonts w:hint="default"/>
      </w:rPr>
    </w:lvl>
  </w:abstractNum>
  <w:abstractNum w:abstractNumId="998" w15:restartNumberingAfterBreak="0">
    <w:nsid w:val="3F7653F3"/>
    <w:multiLevelType w:val="hybridMultilevel"/>
    <w:tmpl w:val="B38ECB7A"/>
    <w:lvl w:ilvl="0" w:tplc="98B292E6">
      <w:numFmt w:val="bullet"/>
      <w:lvlText w:val=""/>
      <w:lvlJc w:val="left"/>
      <w:pPr>
        <w:ind w:left="156" w:hanging="100"/>
      </w:pPr>
      <w:rPr>
        <w:rFonts w:ascii="Symbol" w:eastAsia="Symbol" w:hAnsi="Symbol" w:cs="Symbol" w:hint="default"/>
        <w:color w:val="231F20"/>
        <w:w w:val="100"/>
        <w:sz w:val="14"/>
        <w:szCs w:val="14"/>
      </w:rPr>
    </w:lvl>
    <w:lvl w:ilvl="1" w:tplc="03006330">
      <w:numFmt w:val="bullet"/>
      <w:lvlText w:val="•"/>
      <w:lvlJc w:val="left"/>
      <w:pPr>
        <w:ind w:left="426" w:hanging="100"/>
      </w:pPr>
      <w:rPr>
        <w:rFonts w:hint="default"/>
      </w:rPr>
    </w:lvl>
    <w:lvl w:ilvl="2" w:tplc="BDD4E3D2">
      <w:numFmt w:val="bullet"/>
      <w:lvlText w:val="•"/>
      <w:lvlJc w:val="left"/>
      <w:pPr>
        <w:ind w:left="692" w:hanging="100"/>
      </w:pPr>
      <w:rPr>
        <w:rFonts w:hint="default"/>
      </w:rPr>
    </w:lvl>
    <w:lvl w:ilvl="3" w:tplc="A2CE2F42">
      <w:numFmt w:val="bullet"/>
      <w:lvlText w:val="•"/>
      <w:lvlJc w:val="left"/>
      <w:pPr>
        <w:ind w:left="959" w:hanging="100"/>
      </w:pPr>
      <w:rPr>
        <w:rFonts w:hint="default"/>
      </w:rPr>
    </w:lvl>
    <w:lvl w:ilvl="4" w:tplc="4AE6A866">
      <w:numFmt w:val="bullet"/>
      <w:lvlText w:val="•"/>
      <w:lvlJc w:val="left"/>
      <w:pPr>
        <w:ind w:left="1225" w:hanging="100"/>
      </w:pPr>
      <w:rPr>
        <w:rFonts w:hint="default"/>
      </w:rPr>
    </w:lvl>
    <w:lvl w:ilvl="5" w:tplc="D83E8398">
      <w:numFmt w:val="bullet"/>
      <w:lvlText w:val="•"/>
      <w:lvlJc w:val="left"/>
      <w:pPr>
        <w:ind w:left="1492" w:hanging="100"/>
      </w:pPr>
      <w:rPr>
        <w:rFonts w:hint="default"/>
      </w:rPr>
    </w:lvl>
    <w:lvl w:ilvl="6" w:tplc="F4B0A88C">
      <w:numFmt w:val="bullet"/>
      <w:lvlText w:val="•"/>
      <w:lvlJc w:val="left"/>
      <w:pPr>
        <w:ind w:left="1758" w:hanging="100"/>
      </w:pPr>
      <w:rPr>
        <w:rFonts w:hint="default"/>
      </w:rPr>
    </w:lvl>
    <w:lvl w:ilvl="7" w:tplc="AA169006">
      <w:numFmt w:val="bullet"/>
      <w:lvlText w:val="•"/>
      <w:lvlJc w:val="left"/>
      <w:pPr>
        <w:ind w:left="2024" w:hanging="100"/>
      </w:pPr>
      <w:rPr>
        <w:rFonts w:hint="default"/>
      </w:rPr>
    </w:lvl>
    <w:lvl w:ilvl="8" w:tplc="DEC60B80">
      <w:numFmt w:val="bullet"/>
      <w:lvlText w:val="•"/>
      <w:lvlJc w:val="left"/>
      <w:pPr>
        <w:ind w:left="2291" w:hanging="100"/>
      </w:pPr>
      <w:rPr>
        <w:rFonts w:hint="default"/>
      </w:rPr>
    </w:lvl>
  </w:abstractNum>
  <w:abstractNum w:abstractNumId="999" w15:restartNumberingAfterBreak="0">
    <w:nsid w:val="3F78193F"/>
    <w:multiLevelType w:val="hybridMultilevel"/>
    <w:tmpl w:val="9516117A"/>
    <w:lvl w:ilvl="0" w:tplc="B91E5A88">
      <w:numFmt w:val="bullet"/>
      <w:lvlText w:val=""/>
      <w:lvlJc w:val="left"/>
      <w:pPr>
        <w:ind w:left="156" w:hanging="100"/>
      </w:pPr>
      <w:rPr>
        <w:rFonts w:ascii="Symbol" w:eastAsia="Symbol" w:hAnsi="Symbol" w:cs="Symbol" w:hint="default"/>
        <w:color w:val="231F20"/>
        <w:w w:val="100"/>
        <w:sz w:val="14"/>
        <w:szCs w:val="14"/>
      </w:rPr>
    </w:lvl>
    <w:lvl w:ilvl="1" w:tplc="85D85A18">
      <w:numFmt w:val="bullet"/>
      <w:lvlText w:val="•"/>
      <w:lvlJc w:val="left"/>
      <w:pPr>
        <w:ind w:left="398" w:hanging="100"/>
      </w:pPr>
      <w:rPr>
        <w:rFonts w:hint="default"/>
      </w:rPr>
    </w:lvl>
    <w:lvl w:ilvl="2" w:tplc="E11216FC">
      <w:numFmt w:val="bullet"/>
      <w:lvlText w:val="•"/>
      <w:lvlJc w:val="left"/>
      <w:pPr>
        <w:ind w:left="636" w:hanging="100"/>
      </w:pPr>
      <w:rPr>
        <w:rFonts w:hint="default"/>
      </w:rPr>
    </w:lvl>
    <w:lvl w:ilvl="3" w:tplc="2B7EED18">
      <w:numFmt w:val="bullet"/>
      <w:lvlText w:val="•"/>
      <w:lvlJc w:val="left"/>
      <w:pPr>
        <w:ind w:left="874" w:hanging="100"/>
      </w:pPr>
      <w:rPr>
        <w:rFonts w:hint="default"/>
      </w:rPr>
    </w:lvl>
    <w:lvl w:ilvl="4" w:tplc="42FABC60">
      <w:numFmt w:val="bullet"/>
      <w:lvlText w:val="•"/>
      <w:lvlJc w:val="left"/>
      <w:pPr>
        <w:ind w:left="1112" w:hanging="100"/>
      </w:pPr>
      <w:rPr>
        <w:rFonts w:hint="default"/>
      </w:rPr>
    </w:lvl>
    <w:lvl w:ilvl="5" w:tplc="55868B82">
      <w:numFmt w:val="bullet"/>
      <w:lvlText w:val="•"/>
      <w:lvlJc w:val="left"/>
      <w:pPr>
        <w:ind w:left="1350" w:hanging="100"/>
      </w:pPr>
      <w:rPr>
        <w:rFonts w:hint="default"/>
      </w:rPr>
    </w:lvl>
    <w:lvl w:ilvl="6" w:tplc="883AC362">
      <w:numFmt w:val="bullet"/>
      <w:lvlText w:val="•"/>
      <w:lvlJc w:val="left"/>
      <w:pPr>
        <w:ind w:left="1588" w:hanging="100"/>
      </w:pPr>
      <w:rPr>
        <w:rFonts w:hint="default"/>
      </w:rPr>
    </w:lvl>
    <w:lvl w:ilvl="7" w:tplc="059C6B08">
      <w:numFmt w:val="bullet"/>
      <w:lvlText w:val="•"/>
      <w:lvlJc w:val="left"/>
      <w:pPr>
        <w:ind w:left="1826" w:hanging="100"/>
      </w:pPr>
      <w:rPr>
        <w:rFonts w:hint="default"/>
      </w:rPr>
    </w:lvl>
    <w:lvl w:ilvl="8" w:tplc="68B44EBC">
      <w:numFmt w:val="bullet"/>
      <w:lvlText w:val="•"/>
      <w:lvlJc w:val="left"/>
      <w:pPr>
        <w:ind w:left="2064" w:hanging="100"/>
      </w:pPr>
      <w:rPr>
        <w:rFonts w:hint="default"/>
      </w:rPr>
    </w:lvl>
  </w:abstractNum>
  <w:abstractNum w:abstractNumId="1000" w15:restartNumberingAfterBreak="0">
    <w:nsid w:val="3F80477C"/>
    <w:multiLevelType w:val="hybridMultilevel"/>
    <w:tmpl w:val="5D3AF7B2"/>
    <w:lvl w:ilvl="0" w:tplc="F06E4CC8">
      <w:numFmt w:val="bullet"/>
      <w:lvlText w:val=""/>
      <w:lvlJc w:val="left"/>
      <w:pPr>
        <w:ind w:left="156" w:hanging="100"/>
      </w:pPr>
      <w:rPr>
        <w:rFonts w:ascii="Symbol" w:eastAsia="Symbol" w:hAnsi="Symbol" w:cs="Symbol" w:hint="default"/>
        <w:color w:val="231F20"/>
        <w:w w:val="100"/>
        <w:sz w:val="14"/>
        <w:szCs w:val="14"/>
      </w:rPr>
    </w:lvl>
    <w:lvl w:ilvl="1" w:tplc="00EC9790">
      <w:numFmt w:val="bullet"/>
      <w:lvlText w:val="•"/>
      <w:lvlJc w:val="left"/>
      <w:pPr>
        <w:ind w:left="426" w:hanging="100"/>
      </w:pPr>
      <w:rPr>
        <w:rFonts w:hint="default"/>
      </w:rPr>
    </w:lvl>
    <w:lvl w:ilvl="2" w:tplc="14EABF42">
      <w:numFmt w:val="bullet"/>
      <w:lvlText w:val="•"/>
      <w:lvlJc w:val="left"/>
      <w:pPr>
        <w:ind w:left="692" w:hanging="100"/>
      </w:pPr>
      <w:rPr>
        <w:rFonts w:hint="default"/>
      </w:rPr>
    </w:lvl>
    <w:lvl w:ilvl="3" w:tplc="CFE058F4">
      <w:numFmt w:val="bullet"/>
      <w:lvlText w:val="•"/>
      <w:lvlJc w:val="left"/>
      <w:pPr>
        <w:ind w:left="959" w:hanging="100"/>
      </w:pPr>
      <w:rPr>
        <w:rFonts w:hint="default"/>
      </w:rPr>
    </w:lvl>
    <w:lvl w:ilvl="4" w:tplc="E62E1CFA">
      <w:numFmt w:val="bullet"/>
      <w:lvlText w:val="•"/>
      <w:lvlJc w:val="left"/>
      <w:pPr>
        <w:ind w:left="1225" w:hanging="100"/>
      </w:pPr>
      <w:rPr>
        <w:rFonts w:hint="default"/>
      </w:rPr>
    </w:lvl>
    <w:lvl w:ilvl="5" w:tplc="297E47C4">
      <w:numFmt w:val="bullet"/>
      <w:lvlText w:val="•"/>
      <w:lvlJc w:val="left"/>
      <w:pPr>
        <w:ind w:left="1492" w:hanging="100"/>
      </w:pPr>
      <w:rPr>
        <w:rFonts w:hint="default"/>
      </w:rPr>
    </w:lvl>
    <w:lvl w:ilvl="6" w:tplc="BF4EA63C">
      <w:numFmt w:val="bullet"/>
      <w:lvlText w:val="•"/>
      <w:lvlJc w:val="left"/>
      <w:pPr>
        <w:ind w:left="1758" w:hanging="100"/>
      </w:pPr>
      <w:rPr>
        <w:rFonts w:hint="default"/>
      </w:rPr>
    </w:lvl>
    <w:lvl w:ilvl="7" w:tplc="B5783BFC">
      <w:numFmt w:val="bullet"/>
      <w:lvlText w:val="•"/>
      <w:lvlJc w:val="left"/>
      <w:pPr>
        <w:ind w:left="2024" w:hanging="100"/>
      </w:pPr>
      <w:rPr>
        <w:rFonts w:hint="default"/>
      </w:rPr>
    </w:lvl>
    <w:lvl w:ilvl="8" w:tplc="9BF823E6">
      <w:numFmt w:val="bullet"/>
      <w:lvlText w:val="•"/>
      <w:lvlJc w:val="left"/>
      <w:pPr>
        <w:ind w:left="2291" w:hanging="100"/>
      </w:pPr>
      <w:rPr>
        <w:rFonts w:hint="default"/>
      </w:rPr>
    </w:lvl>
  </w:abstractNum>
  <w:abstractNum w:abstractNumId="1001" w15:restartNumberingAfterBreak="0">
    <w:nsid w:val="3F9A49C3"/>
    <w:multiLevelType w:val="hybridMultilevel"/>
    <w:tmpl w:val="EF762E32"/>
    <w:lvl w:ilvl="0" w:tplc="B4B28628">
      <w:numFmt w:val="bullet"/>
      <w:lvlText w:val=""/>
      <w:lvlJc w:val="left"/>
      <w:pPr>
        <w:ind w:left="156" w:hanging="100"/>
      </w:pPr>
      <w:rPr>
        <w:rFonts w:ascii="Symbol" w:eastAsia="Symbol" w:hAnsi="Symbol" w:cs="Symbol" w:hint="default"/>
        <w:color w:val="231F20"/>
        <w:w w:val="100"/>
        <w:sz w:val="14"/>
        <w:szCs w:val="14"/>
      </w:rPr>
    </w:lvl>
    <w:lvl w:ilvl="1" w:tplc="3946BA10">
      <w:numFmt w:val="bullet"/>
      <w:lvlText w:val="•"/>
      <w:lvlJc w:val="left"/>
      <w:pPr>
        <w:ind w:left="426" w:hanging="100"/>
      </w:pPr>
      <w:rPr>
        <w:rFonts w:hint="default"/>
      </w:rPr>
    </w:lvl>
    <w:lvl w:ilvl="2" w:tplc="66BCA7D2">
      <w:numFmt w:val="bullet"/>
      <w:lvlText w:val="•"/>
      <w:lvlJc w:val="left"/>
      <w:pPr>
        <w:ind w:left="692" w:hanging="100"/>
      </w:pPr>
      <w:rPr>
        <w:rFonts w:hint="default"/>
      </w:rPr>
    </w:lvl>
    <w:lvl w:ilvl="3" w:tplc="B59CA0D8">
      <w:numFmt w:val="bullet"/>
      <w:lvlText w:val="•"/>
      <w:lvlJc w:val="left"/>
      <w:pPr>
        <w:ind w:left="959" w:hanging="100"/>
      </w:pPr>
      <w:rPr>
        <w:rFonts w:hint="default"/>
      </w:rPr>
    </w:lvl>
    <w:lvl w:ilvl="4" w:tplc="06AEBCDA">
      <w:numFmt w:val="bullet"/>
      <w:lvlText w:val="•"/>
      <w:lvlJc w:val="left"/>
      <w:pPr>
        <w:ind w:left="1225" w:hanging="100"/>
      </w:pPr>
      <w:rPr>
        <w:rFonts w:hint="default"/>
      </w:rPr>
    </w:lvl>
    <w:lvl w:ilvl="5" w:tplc="93EA154C">
      <w:numFmt w:val="bullet"/>
      <w:lvlText w:val="•"/>
      <w:lvlJc w:val="left"/>
      <w:pPr>
        <w:ind w:left="1492" w:hanging="100"/>
      </w:pPr>
      <w:rPr>
        <w:rFonts w:hint="default"/>
      </w:rPr>
    </w:lvl>
    <w:lvl w:ilvl="6" w:tplc="68363D78">
      <w:numFmt w:val="bullet"/>
      <w:lvlText w:val="•"/>
      <w:lvlJc w:val="left"/>
      <w:pPr>
        <w:ind w:left="1758" w:hanging="100"/>
      </w:pPr>
      <w:rPr>
        <w:rFonts w:hint="default"/>
      </w:rPr>
    </w:lvl>
    <w:lvl w:ilvl="7" w:tplc="82BAC0AE">
      <w:numFmt w:val="bullet"/>
      <w:lvlText w:val="•"/>
      <w:lvlJc w:val="left"/>
      <w:pPr>
        <w:ind w:left="2024" w:hanging="100"/>
      </w:pPr>
      <w:rPr>
        <w:rFonts w:hint="default"/>
      </w:rPr>
    </w:lvl>
    <w:lvl w:ilvl="8" w:tplc="4844DF4E">
      <w:numFmt w:val="bullet"/>
      <w:lvlText w:val="•"/>
      <w:lvlJc w:val="left"/>
      <w:pPr>
        <w:ind w:left="2291" w:hanging="100"/>
      </w:pPr>
      <w:rPr>
        <w:rFonts w:hint="default"/>
      </w:rPr>
    </w:lvl>
  </w:abstractNum>
  <w:abstractNum w:abstractNumId="1002" w15:restartNumberingAfterBreak="0">
    <w:nsid w:val="3FBC55A7"/>
    <w:multiLevelType w:val="hybridMultilevel"/>
    <w:tmpl w:val="54A49654"/>
    <w:lvl w:ilvl="0" w:tplc="947E35AC">
      <w:numFmt w:val="bullet"/>
      <w:lvlText w:val=""/>
      <w:lvlJc w:val="left"/>
      <w:pPr>
        <w:ind w:left="156" w:hanging="100"/>
      </w:pPr>
      <w:rPr>
        <w:rFonts w:ascii="Symbol" w:eastAsia="Symbol" w:hAnsi="Symbol" w:cs="Symbol" w:hint="default"/>
        <w:color w:val="231F20"/>
        <w:w w:val="100"/>
        <w:sz w:val="14"/>
        <w:szCs w:val="14"/>
      </w:rPr>
    </w:lvl>
    <w:lvl w:ilvl="1" w:tplc="609255EE">
      <w:numFmt w:val="bullet"/>
      <w:lvlText w:val="•"/>
      <w:lvlJc w:val="left"/>
      <w:pPr>
        <w:ind w:left="398" w:hanging="100"/>
      </w:pPr>
      <w:rPr>
        <w:rFonts w:hint="default"/>
      </w:rPr>
    </w:lvl>
    <w:lvl w:ilvl="2" w:tplc="15D4E638">
      <w:numFmt w:val="bullet"/>
      <w:lvlText w:val="•"/>
      <w:lvlJc w:val="left"/>
      <w:pPr>
        <w:ind w:left="636" w:hanging="100"/>
      </w:pPr>
      <w:rPr>
        <w:rFonts w:hint="default"/>
      </w:rPr>
    </w:lvl>
    <w:lvl w:ilvl="3" w:tplc="AD9240E2">
      <w:numFmt w:val="bullet"/>
      <w:lvlText w:val="•"/>
      <w:lvlJc w:val="left"/>
      <w:pPr>
        <w:ind w:left="874" w:hanging="100"/>
      </w:pPr>
      <w:rPr>
        <w:rFonts w:hint="default"/>
      </w:rPr>
    </w:lvl>
    <w:lvl w:ilvl="4" w:tplc="9DFE8C14">
      <w:numFmt w:val="bullet"/>
      <w:lvlText w:val="•"/>
      <w:lvlJc w:val="left"/>
      <w:pPr>
        <w:ind w:left="1112" w:hanging="100"/>
      </w:pPr>
      <w:rPr>
        <w:rFonts w:hint="default"/>
      </w:rPr>
    </w:lvl>
    <w:lvl w:ilvl="5" w:tplc="524EF6E2">
      <w:numFmt w:val="bullet"/>
      <w:lvlText w:val="•"/>
      <w:lvlJc w:val="left"/>
      <w:pPr>
        <w:ind w:left="1350" w:hanging="100"/>
      </w:pPr>
      <w:rPr>
        <w:rFonts w:hint="default"/>
      </w:rPr>
    </w:lvl>
    <w:lvl w:ilvl="6" w:tplc="0644B9CE">
      <w:numFmt w:val="bullet"/>
      <w:lvlText w:val="•"/>
      <w:lvlJc w:val="left"/>
      <w:pPr>
        <w:ind w:left="1588" w:hanging="100"/>
      </w:pPr>
      <w:rPr>
        <w:rFonts w:hint="default"/>
      </w:rPr>
    </w:lvl>
    <w:lvl w:ilvl="7" w:tplc="8A98601C">
      <w:numFmt w:val="bullet"/>
      <w:lvlText w:val="•"/>
      <w:lvlJc w:val="left"/>
      <w:pPr>
        <w:ind w:left="1826" w:hanging="100"/>
      </w:pPr>
      <w:rPr>
        <w:rFonts w:hint="default"/>
      </w:rPr>
    </w:lvl>
    <w:lvl w:ilvl="8" w:tplc="7128AC2E">
      <w:numFmt w:val="bullet"/>
      <w:lvlText w:val="•"/>
      <w:lvlJc w:val="left"/>
      <w:pPr>
        <w:ind w:left="2064" w:hanging="100"/>
      </w:pPr>
      <w:rPr>
        <w:rFonts w:hint="default"/>
      </w:rPr>
    </w:lvl>
  </w:abstractNum>
  <w:abstractNum w:abstractNumId="1003" w15:restartNumberingAfterBreak="0">
    <w:nsid w:val="3FEA31FA"/>
    <w:multiLevelType w:val="hybridMultilevel"/>
    <w:tmpl w:val="0704A0EE"/>
    <w:lvl w:ilvl="0" w:tplc="33EEB960">
      <w:numFmt w:val="bullet"/>
      <w:lvlText w:val=""/>
      <w:lvlJc w:val="left"/>
      <w:pPr>
        <w:ind w:left="156" w:hanging="100"/>
      </w:pPr>
      <w:rPr>
        <w:rFonts w:ascii="Symbol" w:eastAsia="Symbol" w:hAnsi="Symbol" w:cs="Symbol" w:hint="default"/>
        <w:color w:val="231F20"/>
        <w:w w:val="100"/>
        <w:sz w:val="14"/>
        <w:szCs w:val="14"/>
      </w:rPr>
    </w:lvl>
    <w:lvl w:ilvl="1" w:tplc="0F6E565A">
      <w:numFmt w:val="bullet"/>
      <w:lvlText w:val="•"/>
      <w:lvlJc w:val="left"/>
      <w:pPr>
        <w:ind w:left="426" w:hanging="100"/>
      </w:pPr>
      <w:rPr>
        <w:rFonts w:hint="default"/>
      </w:rPr>
    </w:lvl>
    <w:lvl w:ilvl="2" w:tplc="0CD234D0">
      <w:numFmt w:val="bullet"/>
      <w:lvlText w:val="•"/>
      <w:lvlJc w:val="left"/>
      <w:pPr>
        <w:ind w:left="692" w:hanging="100"/>
      </w:pPr>
      <w:rPr>
        <w:rFonts w:hint="default"/>
      </w:rPr>
    </w:lvl>
    <w:lvl w:ilvl="3" w:tplc="6D0AAA98">
      <w:numFmt w:val="bullet"/>
      <w:lvlText w:val="•"/>
      <w:lvlJc w:val="left"/>
      <w:pPr>
        <w:ind w:left="959" w:hanging="100"/>
      </w:pPr>
      <w:rPr>
        <w:rFonts w:hint="default"/>
      </w:rPr>
    </w:lvl>
    <w:lvl w:ilvl="4" w:tplc="21842368">
      <w:numFmt w:val="bullet"/>
      <w:lvlText w:val="•"/>
      <w:lvlJc w:val="left"/>
      <w:pPr>
        <w:ind w:left="1225" w:hanging="100"/>
      </w:pPr>
      <w:rPr>
        <w:rFonts w:hint="default"/>
      </w:rPr>
    </w:lvl>
    <w:lvl w:ilvl="5" w:tplc="8FECBAE6">
      <w:numFmt w:val="bullet"/>
      <w:lvlText w:val="•"/>
      <w:lvlJc w:val="left"/>
      <w:pPr>
        <w:ind w:left="1492" w:hanging="100"/>
      </w:pPr>
      <w:rPr>
        <w:rFonts w:hint="default"/>
      </w:rPr>
    </w:lvl>
    <w:lvl w:ilvl="6" w:tplc="8CCA8EB6">
      <w:numFmt w:val="bullet"/>
      <w:lvlText w:val="•"/>
      <w:lvlJc w:val="left"/>
      <w:pPr>
        <w:ind w:left="1758" w:hanging="100"/>
      </w:pPr>
      <w:rPr>
        <w:rFonts w:hint="default"/>
      </w:rPr>
    </w:lvl>
    <w:lvl w:ilvl="7" w:tplc="41AE3B68">
      <w:numFmt w:val="bullet"/>
      <w:lvlText w:val="•"/>
      <w:lvlJc w:val="left"/>
      <w:pPr>
        <w:ind w:left="2024" w:hanging="100"/>
      </w:pPr>
      <w:rPr>
        <w:rFonts w:hint="default"/>
      </w:rPr>
    </w:lvl>
    <w:lvl w:ilvl="8" w:tplc="89ACF552">
      <w:numFmt w:val="bullet"/>
      <w:lvlText w:val="•"/>
      <w:lvlJc w:val="left"/>
      <w:pPr>
        <w:ind w:left="2291" w:hanging="100"/>
      </w:pPr>
      <w:rPr>
        <w:rFonts w:hint="default"/>
      </w:rPr>
    </w:lvl>
  </w:abstractNum>
  <w:abstractNum w:abstractNumId="1004" w15:restartNumberingAfterBreak="0">
    <w:nsid w:val="3FF67FE6"/>
    <w:multiLevelType w:val="hybridMultilevel"/>
    <w:tmpl w:val="C10ECB0A"/>
    <w:lvl w:ilvl="0" w:tplc="C0E6AE1E">
      <w:numFmt w:val="bullet"/>
      <w:lvlText w:val=""/>
      <w:lvlJc w:val="left"/>
      <w:pPr>
        <w:ind w:left="156" w:hanging="100"/>
      </w:pPr>
      <w:rPr>
        <w:rFonts w:ascii="Symbol" w:eastAsia="Symbol" w:hAnsi="Symbol" w:cs="Symbol" w:hint="default"/>
        <w:color w:val="231F20"/>
        <w:w w:val="100"/>
        <w:sz w:val="14"/>
        <w:szCs w:val="14"/>
      </w:rPr>
    </w:lvl>
    <w:lvl w:ilvl="1" w:tplc="4F7257F4">
      <w:numFmt w:val="bullet"/>
      <w:lvlText w:val="•"/>
      <w:lvlJc w:val="left"/>
      <w:pPr>
        <w:ind w:left="398" w:hanging="100"/>
      </w:pPr>
      <w:rPr>
        <w:rFonts w:hint="default"/>
      </w:rPr>
    </w:lvl>
    <w:lvl w:ilvl="2" w:tplc="B6707DB0">
      <w:numFmt w:val="bullet"/>
      <w:lvlText w:val="•"/>
      <w:lvlJc w:val="left"/>
      <w:pPr>
        <w:ind w:left="636" w:hanging="100"/>
      </w:pPr>
      <w:rPr>
        <w:rFonts w:hint="default"/>
      </w:rPr>
    </w:lvl>
    <w:lvl w:ilvl="3" w:tplc="62365034">
      <w:numFmt w:val="bullet"/>
      <w:lvlText w:val="•"/>
      <w:lvlJc w:val="left"/>
      <w:pPr>
        <w:ind w:left="874" w:hanging="100"/>
      </w:pPr>
      <w:rPr>
        <w:rFonts w:hint="default"/>
      </w:rPr>
    </w:lvl>
    <w:lvl w:ilvl="4" w:tplc="3F3E7F52">
      <w:numFmt w:val="bullet"/>
      <w:lvlText w:val="•"/>
      <w:lvlJc w:val="left"/>
      <w:pPr>
        <w:ind w:left="1112" w:hanging="100"/>
      </w:pPr>
      <w:rPr>
        <w:rFonts w:hint="default"/>
      </w:rPr>
    </w:lvl>
    <w:lvl w:ilvl="5" w:tplc="ED7E9328">
      <w:numFmt w:val="bullet"/>
      <w:lvlText w:val="•"/>
      <w:lvlJc w:val="left"/>
      <w:pPr>
        <w:ind w:left="1350" w:hanging="100"/>
      </w:pPr>
      <w:rPr>
        <w:rFonts w:hint="default"/>
      </w:rPr>
    </w:lvl>
    <w:lvl w:ilvl="6" w:tplc="0E869AE4">
      <w:numFmt w:val="bullet"/>
      <w:lvlText w:val="•"/>
      <w:lvlJc w:val="left"/>
      <w:pPr>
        <w:ind w:left="1588" w:hanging="100"/>
      </w:pPr>
      <w:rPr>
        <w:rFonts w:hint="default"/>
      </w:rPr>
    </w:lvl>
    <w:lvl w:ilvl="7" w:tplc="A4E676A4">
      <w:numFmt w:val="bullet"/>
      <w:lvlText w:val="•"/>
      <w:lvlJc w:val="left"/>
      <w:pPr>
        <w:ind w:left="1826" w:hanging="100"/>
      </w:pPr>
      <w:rPr>
        <w:rFonts w:hint="default"/>
      </w:rPr>
    </w:lvl>
    <w:lvl w:ilvl="8" w:tplc="09BA7424">
      <w:numFmt w:val="bullet"/>
      <w:lvlText w:val="•"/>
      <w:lvlJc w:val="left"/>
      <w:pPr>
        <w:ind w:left="2064" w:hanging="100"/>
      </w:pPr>
      <w:rPr>
        <w:rFonts w:hint="default"/>
      </w:rPr>
    </w:lvl>
  </w:abstractNum>
  <w:abstractNum w:abstractNumId="1005" w15:restartNumberingAfterBreak="0">
    <w:nsid w:val="3FF853F9"/>
    <w:multiLevelType w:val="hybridMultilevel"/>
    <w:tmpl w:val="92EE3530"/>
    <w:lvl w:ilvl="0" w:tplc="F7A054D2">
      <w:numFmt w:val="bullet"/>
      <w:lvlText w:val=""/>
      <w:lvlJc w:val="left"/>
      <w:pPr>
        <w:ind w:left="156" w:hanging="100"/>
      </w:pPr>
      <w:rPr>
        <w:rFonts w:ascii="Symbol" w:eastAsia="Symbol" w:hAnsi="Symbol" w:cs="Symbol" w:hint="default"/>
        <w:color w:val="231F20"/>
        <w:w w:val="100"/>
        <w:sz w:val="14"/>
        <w:szCs w:val="14"/>
      </w:rPr>
    </w:lvl>
    <w:lvl w:ilvl="1" w:tplc="7482014C">
      <w:numFmt w:val="bullet"/>
      <w:lvlText w:val="•"/>
      <w:lvlJc w:val="left"/>
      <w:pPr>
        <w:ind w:left="398" w:hanging="100"/>
      </w:pPr>
      <w:rPr>
        <w:rFonts w:hint="default"/>
      </w:rPr>
    </w:lvl>
    <w:lvl w:ilvl="2" w:tplc="F8A6B7EC">
      <w:numFmt w:val="bullet"/>
      <w:lvlText w:val="•"/>
      <w:lvlJc w:val="left"/>
      <w:pPr>
        <w:ind w:left="636" w:hanging="100"/>
      </w:pPr>
      <w:rPr>
        <w:rFonts w:hint="default"/>
      </w:rPr>
    </w:lvl>
    <w:lvl w:ilvl="3" w:tplc="4644ED12">
      <w:numFmt w:val="bullet"/>
      <w:lvlText w:val="•"/>
      <w:lvlJc w:val="left"/>
      <w:pPr>
        <w:ind w:left="874" w:hanging="100"/>
      </w:pPr>
      <w:rPr>
        <w:rFonts w:hint="default"/>
      </w:rPr>
    </w:lvl>
    <w:lvl w:ilvl="4" w:tplc="91E0B1FA">
      <w:numFmt w:val="bullet"/>
      <w:lvlText w:val="•"/>
      <w:lvlJc w:val="left"/>
      <w:pPr>
        <w:ind w:left="1112" w:hanging="100"/>
      </w:pPr>
      <w:rPr>
        <w:rFonts w:hint="default"/>
      </w:rPr>
    </w:lvl>
    <w:lvl w:ilvl="5" w:tplc="65A28688">
      <w:numFmt w:val="bullet"/>
      <w:lvlText w:val="•"/>
      <w:lvlJc w:val="left"/>
      <w:pPr>
        <w:ind w:left="1350" w:hanging="100"/>
      </w:pPr>
      <w:rPr>
        <w:rFonts w:hint="default"/>
      </w:rPr>
    </w:lvl>
    <w:lvl w:ilvl="6" w:tplc="8E364E8A">
      <w:numFmt w:val="bullet"/>
      <w:lvlText w:val="•"/>
      <w:lvlJc w:val="left"/>
      <w:pPr>
        <w:ind w:left="1588" w:hanging="100"/>
      </w:pPr>
      <w:rPr>
        <w:rFonts w:hint="default"/>
      </w:rPr>
    </w:lvl>
    <w:lvl w:ilvl="7" w:tplc="5E7ADEFE">
      <w:numFmt w:val="bullet"/>
      <w:lvlText w:val="•"/>
      <w:lvlJc w:val="left"/>
      <w:pPr>
        <w:ind w:left="1826" w:hanging="100"/>
      </w:pPr>
      <w:rPr>
        <w:rFonts w:hint="default"/>
      </w:rPr>
    </w:lvl>
    <w:lvl w:ilvl="8" w:tplc="61985C00">
      <w:numFmt w:val="bullet"/>
      <w:lvlText w:val="•"/>
      <w:lvlJc w:val="left"/>
      <w:pPr>
        <w:ind w:left="2064" w:hanging="100"/>
      </w:pPr>
      <w:rPr>
        <w:rFonts w:hint="default"/>
      </w:rPr>
    </w:lvl>
  </w:abstractNum>
  <w:abstractNum w:abstractNumId="1006" w15:restartNumberingAfterBreak="0">
    <w:nsid w:val="3FFA1161"/>
    <w:multiLevelType w:val="hybridMultilevel"/>
    <w:tmpl w:val="B88C850A"/>
    <w:lvl w:ilvl="0" w:tplc="4F72228A">
      <w:numFmt w:val="bullet"/>
      <w:lvlText w:val=""/>
      <w:lvlJc w:val="left"/>
      <w:pPr>
        <w:ind w:left="156" w:hanging="100"/>
      </w:pPr>
      <w:rPr>
        <w:rFonts w:ascii="Symbol" w:eastAsia="Symbol" w:hAnsi="Symbol" w:cs="Symbol" w:hint="default"/>
        <w:color w:val="231F20"/>
        <w:w w:val="100"/>
        <w:sz w:val="14"/>
        <w:szCs w:val="14"/>
      </w:rPr>
    </w:lvl>
    <w:lvl w:ilvl="1" w:tplc="583EC286">
      <w:numFmt w:val="bullet"/>
      <w:lvlText w:val="•"/>
      <w:lvlJc w:val="left"/>
      <w:pPr>
        <w:ind w:left="398" w:hanging="100"/>
      </w:pPr>
      <w:rPr>
        <w:rFonts w:hint="default"/>
      </w:rPr>
    </w:lvl>
    <w:lvl w:ilvl="2" w:tplc="23AE299C">
      <w:numFmt w:val="bullet"/>
      <w:lvlText w:val="•"/>
      <w:lvlJc w:val="left"/>
      <w:pPr>
        <w:ind w:left="636" w:hanging="100"/>
      </w:pPr>
      <w:rPr>
        <w:rFonts w:hint="default"/>
      </w:rPr>
    </w:lvl>
    <w:lvl w:ilvl="3" w:tplc="C054FC92">
      <w:numFmt w:val="bullet"/>
      <w:lvlText w:val="•"/>
      <w:lvlJc w:val="left"/>
      <w:pPr>
        <w:ind w:left="874" w:hanging="100"/>
      </w:pPr>
      <w:rPr>
        <w:rFonts w:hint="default"/>
      </w:rPr>
    </w:lvl>
    <w:lvl w:ilvl="4" w:tplc="F8522C3C">
      <w:numFmt w:val="bullet"/>
      <w:lvlText w:val="•"/>
      <w:lvlJc w:val="left"/>
      <w:pPr>
        <w:ind w:left="1112" w:hanging="100"/>
      </w:pPr>
      <w:rPr>
        <w:rFonts w:hint="default"/>
      </w:rPr>
    </w:lvl>
    <w:lvl w:ilvl="5" w:tplc="861C610C">
      <w:numFmt w:val="bullet"/>
      <w:lvlText w:val="•"/>
      <w:lvlJc w:val="left"/>
      <w:pPr>
        <w:ind w:left="1350" w:hanging="100"/>
      </w:pPr>
      <w:rPr>
        <w:rFonts w:hint="default"/>
      </w:rPr>
    </w:lvl>
    <w:lvl w:ilvl="6" w:tplc="6B60B16A">
      <w:numFmt w:val="bullet"/>
      <w:lvlText w:val="•"/>
      <w:lvlJc w:val="left"/>
      <w:pPr>
        <w:ind w:left="1588" w:hanging="100"/>
      </w:pPr>
      <w:rPr>
        <w:rFonts w:hint="default"/>
      </w:rPr>
    </w:lvl>
    <w:lvl w:ilvl="7" w:tplc="C5945978">
      <w:numFmt w:val="bullet"/>
      <w:lvlText w:val="•"/>
      <w:lvlJc w:val="left"/>
      <w:pPr>
        <w:ind w:left="1826" w:hanging="100"/>
      </w:pPr>
      <w:rPr>
        <w:rFonts w:hint="default"/>
      </w:rPr>
    </w:lvl>
    <w:lvl w:ilvl="8" w:tplc="BE2E61DC">
      <w:numFmt w:val="bullet"/>
      <w:lvlText w:val="•"/>
      <w:lvlJc w:val="left"/>
      <w:pPr>
        <w:ind w:left="2064" w:hanging="100"/>
      </w:pPr>
      <w:rPr>
        <w:rFonts w:hint="default"/>
      </w:rPr>
    </w:lvl>
  </w:abstractNum>
  <w:abstractNum w:abstractNumId="1007" w15:restartNumberingAfterBreak="0">
    <w:nsid w:val="401E0214"/>
    <w:multiLevelType w:val="hybridMultilevel"/>
    <w:tmpl w:val="D86065A8"/>
    <w:lvl w:ilvl="0" w:tplc="3C727612">
      <w:numFmt w:val="bullet"/>
      <w:lvlText w:val=""/>
      <w:lvlJc w:val="left"/>
      <w:pPr>
        <w:ind w:left="156" w:hanging="100"/>
      </w:pPr>
      <w:rPr>
        <w:rFonts w:ascii="Symbol" w:eastAsia="Symbol" w:hAnsi="Symbol" w:cs="Symbol" w:hint="default"/>
        <w:color w:val="231F20"/>
        <w:w w:val="100"/>
        <w:sz w:val="14"/>
        <w:szCs w:val="14"/>
      </w:rPr>
    </w:lvl>
    <w:lvl w:ilvl="1" w:tplc="1B060788">
      <w:numFmt w:val="bullet"/>
      <w:lvlText w:val="•"/>
      <w:lvlJc w:val="left"/>
      <w:pPr>
        <w:ind w:left="301" w:hanging="100"/>
      </w:pPr>
      <w:rPr>
        <w:rFonts w:hint="default"/>
      </w:rPr>
    </w:lvl>
    <w:lvl w:ilvl="2" w:tplc="6F5EDD5E">
      <w:numFmt w:val="bullet"/>
      <w:lvlText w:val="•"/>
      <w:lvlJc w:val="left"/>
      <w:pPr>
        <w:ind w:left="443" w:hanging="100"/>
      </w:pPr>
      <w:rPr>
        <w:rFonts w:hint="default"/>
      </w:rPr>
    </w:lvl>
    <w:lvl w:ilvl="3" w:tplc="EB70B6CA">
      <w:numFmt w:val="bullet"/>
      <w:lvlText w:val="•"/>
      <w:lvlJc w:val="left"/>
      <w:pPr>
        <w:ind w:left="585" w:hanging="100"/>
      </w:pPr>
      <w:rPr>
        <w:rFonts w:hint="default"/>
      </w:rPr>
    </w:lvl>
    <w:lvl w:ilvl="4" w:tplc="073E13B6">
      <w:numFmt w:val="bullet"/>
      <w:lvlText w:val="•"/>
      <w:lvlJc w:val="left"/>
      <w:pPr>
        <w:ind w:left="726" w:hanging="100"/>
      </w:pPr>
      <w:rPr>
        <w:rFonts w:hint="default"/>
      </w:rPr>
    </w:lvl>
    <w:lvl w:ilvl="5" w:tplc="AA005742">
      <w:numFmt w:val="bullet"/>
      <w:lvlText w:val="•"/>
      <w:lvlJc w:val="left"/>
      <w:pPr>
        <w:ind w:left="868" w:hanging="100"/>
      </w:pPr>
      <w:rPr>
        <w:rFonts w:hint="default"/>
      </w:rPr>
    </w:lvl>
    <w:lvl w:ilvl="6" w:tplc="EB220596">
      <w:numFmt w:val="bullet"/>
      <w:lvlText w:val="•"/>
      <w:lvlJc w:val="left"/>
      <w:pPr>
        <w:ind w:left="1010" w:hanging="100"/>
      </w:pPr>
      <w:rPr>
        <w:rFonts w:hint="default"/>
      </w:rPr>
    </w:lvl>
    <w:lvl w:ilvl="7" w:tplc="CBE6C216">
      <w:numFmt w:val="bullet"/>
      <w:lvlText w:val="•"/>
      <w:lvlJc w:val="left"/>
      <w:pPr>
        <w:ind w:left="1151" w:hanging="100"/>
      </w:pPr>
      <w:rPr>
        <w:rFonts w:hint="default"/>
      </w:rPr>
    </w:lvl>
    <w:lvl w:ilvl="8" w:tplc="82509752">
      <w:numFmt w:val="bullet"/>
      <w:lvlText w:val="•"/>
      <w:lvlJc w:val="left"/>
      <w:pPr>
        <w:ind w:left="1293" w:hanging="100"/>
      </w:pPr>
      <w:rPr>
        <w:rFonts w:hint="default"/>
      </w:rPr>
    </w:lvl>
  </w:abstractNum>
  <w:abstractNum w:abstractNumId="1008" w15:restartNumberingAfterBreak="0">
    <w:nsid w:val="402464A3"/>
    <w:multiLevelType w:val="hybridMultilevel"/>
    <w:tmpl w:val="03540288"/>
    <w:lvl w:ilvl="0" w:tplc="9D50B0B2">
      <w:numFmt w:val="bullet"/>
      <w:lvlText w:val=""/>
      <w:lvlJc w:val="left"/>
      <w:pPr>
        <w:ind w:left="156" w:hanging="100"/>
      </w:pPr>
      <w:rPr>
        <w:rFonts w:ascii="Symbol" w:eastAsia="Symbol" w:hAnsi="Symbol" w:cs="Symbol" w:hint="default"/>
        <w:color w:val="231F20"/>
        <w:w w:val="100"/>
        <w:sz w:val="14"/>
        <w:szCs w:val="14"/>
      </w:rPr>
    </w:lvl>
    <w:lvl w:ilvl="1" w:tplc="328EF742">
      <w:numFmt w:val="bullet"/>
      <w:lvlText w:val="•"/>
      <w:lvlJc w:val="left"/>
      <w:pPr>
        <w:ind w:left="240" w:hanging="100"/>
      </w:pPr>
      <w:rPr>
        <w:rFonts w:hint="default"/>
      </w:rPr>
    </w:lvl>
    <w:lvl w:ilvl="2" w:tplc="5338DF34">
      <w:numFmt w:val="bullet"/>
      <w:lvlText w:val="•"/>
      <w:lvlJc w:val="left"/>
      <w:pPr>
        <w:ind w:left="495" w:hanging="100"/>
      </w:pPr>
      <w:rPr>
        <w:rFonts w:hint="default"/>
      </w:rPr>
    </w:lvl>
    <w:lvl w:ilvl="3" w:tplc="527E30F2">
      <w:numFmt w:val="bullet"/>
      <w:lvlText w:val="•"/>
      <w:lvlJc w:val="left"/>
      <w:pPr>
        <w:ind w:left="751" w:hanging="100"/>
      </w:pPr>
      <w:rPr>
        <w:rFonts w:hint="default"/>
      </w:rPr>
    </w:lvl>
    <w:lvl w:ilvl="4" w:tplc="42E832E0">
      <w:numFmt w:val="bullet"/>
      <w:lvlText w:val="•"/>
      <w:lvlJc w:val="left"/>
      <w:pPr>
        <w:ind w:left="1007" w:hanging="100"/>
      </w:pPr>
      <w:rPr>
        <w:rFonts w:hint="default"/>
      </w:rPr>
    </w:lvl>
    <w:lvl w:ilvl="5" w:tplc="14902844">
      <w:numFmt w:val="bullet"/>
      <w:lvlText w:val="•"/>
      <w:lvlJc w:val="left"/>
      <w:pPr>
        <w:ind w:left="1262" w:hanging="100"/>
      </w:pPr>
      <w:rPr>
        <w:rFonts w:hint="default"/>
      </w:rPr>
    </w:lvl>
    <w:lvl w:ilvl="6" w:tplc="388CE010">
      <w:numFmt w:val="bullet"/>
      <w:lvlText w:val="•"/>
      <w:lvlJc w:val="left"/>
      <w:pPr>
        <w:ind w:left="1518" w:hanging="100"/>
      </w:pPr>
      <w:rPr>
        <w:rFonts w:hint="default"/>
      </w:rPr>
    </w:lvl>
    <w:lvl w:ilvl="7" w:tplc="50F662FA">
      <w:numFmt w:val="bullet"/>
      <w:lvlText w:val="•"/>
      <w:lvlJc w:val="left"/>
      <w:pPr>
        <w:ind w:left="1774" w:hanging="100"/>
      </w:pPr>
      <w:rPr>
        <w:rFonts w:hint="default"/>
      </w:rPr>
    </w:lvl>
    <w:lvl w:ilvl="8" w:tplc="89FAE41A">
      <w:numFmt w:val="bullet"/>
      <w:lvlText w:val="•"/>
      <w:lvlJc w:val="left"/>
      <w:pPr>
        <w:ind w:left="2029" w:hanging="100"/>
      </w:pPr>
      <w:rPr>
        <w:rFonts w:hint="default"/>
      </w:rPr>
    </w:lvl>
  </w:abstractNum>
  <w:abstractNum w:abstractNumId="1009" w15:restartNumberingAfterBreak="0">
    <w:nsid w:val="40257DB5"/>
    <w:multiLevelType w:val="hybridMultilevel"/>
    <w:tmpl w:val="CC848FA4"/>
    <w:lvl w:ilvl="0" w:tplc="2CC04F04">
      <w:numFmt w:val="bullet"/>
      <w:lvlText w:val=""/>
      <w:lvlJc w:val="left"/>
      <w:pPr>
        <w:ind w:left="156" w:hanging="100"/>
      </w:pPr>
      <w:rPr>
        <w:rFonts w:ascii="Symbol" w:eastAsia="Symbol" w:hAnsi="Symbol" w:cs="Symbol" w:hint="default"/>
        <w:color w:val="231F20"/>
        <w:w w:val="100"/>
        <w:sz w:val="14"/>
        <w:szCs w:val="14"/>
      </w:rPr>
    </w:lvl>
    <w:lvl w:ilvl="1" w:tplc="C59EBB6A">
      <w:numFmt w:val="bullet"/>
      <w:lvlText w:val="•"/>
      <w:lvlJc w:val="left"/>
      <w:pPr>
        <w:ind w:left="426" w:hanging="100"/>
      </w:pPr>
      <w:rPr>
        <w:rFonts w:hint="default"/>
      </w:rPr>
    </w:lvl>
    <w:lvl w:ilvl="2" w:tplc="76C013A2">
      <w:numFmt w:val="bullet"/>
      <w:lvlText w:val="•"/>
      <w:lvlJc w:val="left"/>
      <w:pPr>
        <w:ind w:left="692" w:hanging="100"/>
      </w:pPr>
      <w:rPr>
        <w:rFonts w:hint="default"/>
      </w:rPr>
    </w:lvl>
    <w:lvl w:ilvl="3" w:tplc="84D66E9C">
      <w:numFmt w:val="bullet"/>
      <w:lvlText w:val="•"/>
      <w:lvlJc w:val="left"/>
      <w:pPr>
        <w:ind w:left="959" w:hanging="100"/>
      </w:pPr>
      <w:rPr>
        <w:rFonts w:hint="default"/>
      </w:rPr>
    </w:lvl>
    <w:lvl w:ilvl="4" w:tplc="BD389094">
      <w:numFmt w:val="bullet"/>
      <w:lvlText w:val="•"/>
      <w:lvlJc w:val="left"/>
      <w:pPr>
        <w:ind w:left="1225" w:hanging="100"/>
      </w:pPr>
      <w:rPr>
        <w:rFonts w:hint="default"/>
      </w:rPr>
    </w:lvl>
    <w:lvl w:ilvl="5" w:tplc="E2545EBE">
      <w:numFmt w:val="bullet"/>
      <w:lvlText w:val="•"/>
      <w:lvlJc w:val="left"/>
      <w:pPr>
        <w:ind w:left="1492" w:hanging="100"/>
      </w:pPr>
      <w:rPr>
        <w:rFonts w:hint="default"/>
      </w:rPr>
    </w:lvl>
    <w:lvl w:ilvl="6" w:tplc="11D6B58A">
      <w:numFmt w:val="bullet"/>
      <w:lvlText w:val="•"/>
      <w:lvlJc w:val="left"/>
      <w:pPr>
        <w:ind w:left="1758" w:hanging="100"/>
      </w:pPr>
      <w:rPr>
        <w:rFonts w:hint="default"/>
      </w:rPr>
    </w:lvl>
    <w:lvl w:ilvl="7" w:tplc="144E65AA">
      <w:numFmt w:val="bullet"/>
      <w:lvlText w:val="•"/>
      <w:lvlJc w:val="left"/>
      <w:pPr>
        <w:ind w:left="2024" w:hanging="100"/>
      </w:pPr>
      <w:rPr>
        <w:rFonts w:hint="default"/>
      </w:rPr>
    </w:lvl>
    <w:lvl w:ilvl="8" w:tplc="8B70DE68">
      <w:numFmt w:val="bullet"/>
      <w:lvlText w:val="•"/>
      <w:lvlJc w:val="left"/>
      <w:pPr>
        <w:ind w:left="2291" w:hanging="100"/>
      </w:pPr>
      <w:rPr>
        <w:rFonts w:hint="default"/>
      </w:rPr>
    </w:lvl>
  </w:abstractNum>
  <w:abstractNum w:abstractNumId="1010" w15:restartNumberingAfterBreak="0">
    <w:nsid w:val="40326E84"/>
    <w:multiLevelType w:val="hybridMultilevel"/>
    <w:tmpl w:val="0C300544"/>
    <w:lvl w:ilvl="0" w:tplc="48BA9876">
      <w:numFmt w:val="bullet"/>
      <w:lvlText w:val=""/>
      <w:lvlJc w:val="left"/>
      <w:pPr>
        <w:ind w:left="156" w:hanging="100"/>
      </w:pPr>
      <w:rPr>
        <w:rFonts w:ascii="Symbol" w:eastAsia="Symbol" w:hAnsi="Symbol" w:cs="Symbol" w:hint="default"/>
        <w:color w:val="231F20"/>
        <w:w w:val="100"/>
        <w:sz w:val="14"/>
        <w:szCs w:val="14"/>
      </w:rPr>
    </w:lvl>
    <w:lvl w:ilvl="1" w:tplc="8B6891FA">
      <w:numFmt w:val="bullet"/>
      <w:lvlText w:val="•"/>
      <w:lvlJc w:val="left"/>
      <w:pPr>
        <w:ind w:left="301" w:hanging="100"/>
      </w:pPr>
      <w:rPr>
        <w:rFonts w:hint="default"/>
      </w:rPr>
    </w:lvl>
    <w:lvl w:ilvl="2" w:tplc="ADD2FDC2">
      <w:numFmt w:val="bullet"/>
      <w:lvlText w:val="•"/>
      <w:lvlJc w:val="left"/>
      <w:pPr>
        <w:ind w:left="443" w:hanging="100"/>
      </w:pPr>
      <w:rPr>
        <w:rFonts w:hint="default"/>
      </w:rPr>
    </w:lvl>
    <w:lvl w:ilvl="3" w:tplc="C9F45260">
      <w:numFmt w:val="bullet"/>
      <w:lvlText w:val="•"/>
      <w:lvlJc w:val="left"/>
      <w:pPr>
        <w:ind w:left="585" w:hanging="100"/>
      </w:pPr>
      <w:rPr>
        <w:rFonts w:hint="default"/>
      </w:rPr>
    </w:lvl>
    <w:lvl w:ilvl="4" w:tplc="B15CC14C">
      <w:numFmt w:val="bullet"/>
      <w:lvlText w:val="•"/>
      <w:lvlJc w:val="left"/>
      <w:pPr>
        <w:ind w:left="726" w:hanging="100"/>
      </w:pPr>
      <w:rPr>
        <w:rFonts w:hint="default"/>
      </w:rPr>
    </w:lvl>
    <w:lvl w:ilvl="5" w:tplc="25F2F72C">
      <w:numFmt w:val="bullet"/>
      <w:lvlText w:val="•"/>
      <w:lvlJc w:val="left"/>
      <w:pPr>
        <w:ind w:left="868" w:hanging="100"/>
      </w:pPr>
      <w:rPr>
        <w:rFonts w:hint="default"/>
      </w:rPr>
    </w:lvl>
    <w:lvl w:ilvl="6" w:tplc="0ECE3ABE">
      <w:numFmt w:val="bullet"/>
      <w:lvlText w:val="•"/>
      <w:lvlJc w:val="left"/>
      <w:pPr>
        <w:ind w:left="1010" w:hanging="100"/>
      </w:pPr>
      <w:rPr>
        <w:rFonts w:hint="default"/>
      </w:rPr>
    </w:lvl>
    <w:lvl w:ilvl="7" w:tplc="0D92DFD6">
      <w:numFmt w:val="bullet"/>
      <w:lvlText w:val="•"/>
      <w:lvlJc w:val="left"/>
      <w:pPr>
        <w:ind w:left="1151" w:hanging="100"/>
      </w:pPr>
      <w:rPr>
        <w:rFonts w:hint="default"/>
      </w:rPr>
    </w:lvl>
    <w:lvl w:ilvl="8" w:tplc="99223614">
      <w:numFmt w:val="bullet"/>
      <w:lvlText w:val="•"/>
      <w:lvlJc w:val="left"/>
      <w:pPr>
        <w:ind w:left="1293" w:hanging="100"/>
      </w:pPr>
      <w:rPr>
        <w:rFonts w:hint="default"/>
      </w:rPr>
    </w:lvl>
  </w:abstractNum>
  <w:abstractNum w:abstractNumId="1011" w15:restartNumberingAfterBreak="0">
    <w:nsid w:val="40386756"/>
    <w:multiLevelType w:val="hybridMultilevel"/>
    <w:tmpl w:val="4F889738"/>
    <w:lvl w:ilvl="0" w:tplc="CF209840">
      <w:numFmt w:val="bullet"/>
      <w:lvlText w:val=""/>
      <w:lvlJc w:val="left"/>
      <w:pPr>
        <w:ind w:left="156" w:hanging="100"/>
      </w:pPr>
      <w:rPr>
        <w:rFonts w:ascii="Symbol" w:eastAsia="Symbol" w:hAnsi="Symbol" w:cs="Symbol" w:hint="default"/>
        <w:color w:val="231F20"/>
        <w:w w:val="100"/>
        <w:sz w:val="14"/>
        <w:szCs w:val="14"/>
      </w:rPr>
    </w:lvl>
    <w:lvl w:ilvl="1" w:tplc="7C2AB29E">
      <w:numFmt w:val="bullet"/>
      <w:lvlText w:val="•"/>
      <w:lvlJc w:val="left"/>
      <w:pPr>
        <w:ind w:left="398" w:hanging="100"/>
      </w:pPr>
      <w:rPr>
        <w:rFonts w:hint="default"/>
      </w:rPr>
    </w:lvl>
    <w:lvl w:ilvl="2" w:tplc="FDB82A22">
      <w:numFmt w:val="bullet"/>
      <w:lvlText w:val="•"/>
      <w:lvlJc w:val="left"/>
      <w:pPr>
        <w:ind w:left="636" w:hanging="100"/>
      </w:pPr>
      <w:rPr>
        <w:rFonts w:hint="default"/>
      </w:rPr>
    </w:lvl>
    <w:lvl w:ilvl="3" w:tplc="E3DE66B8">
      <w:numFmt w:val="bullet"/>
      <w:lvlText w:val="•"/>
      <w:lvlJc w:val="left"/>
      <w:pPr>
        <w:ind w:left="874" w:hanging="100"/>
      </w:pPr>
      <w:rPr>
        <w:rFonts w:hint="default"/>
      </w:rPr>
    </w:lvl>
    <w:lvl w:ilvl="4" w:tplc="FF90F192">
      <w:numFmt w:val="bullet"/>
      <w:lvlText w:val="•"/>
      <w:lvlJc w:val="left"/>
      <w:pPr>
        <w:ind w:left="1112" w:hanging="100"/>
      </w:pPr>
      <w:rPr>
        <w:rFonts w:hint="default"/>
      </w:rPr>
    </w:lvl>
    <w:lvl w:ilvl="5" w:tplc="25CEC9CE">
      <w:numFmt w:val="bullet"/>
      <w:lvlText w:val="•"/>
      <w:lvlJc w:val="left"/>
      <w:pPr>
        <w:ind w:left="1350" w:hanging="100"/>
      </w:pPr>
      <w:rPr>
        <w:rFonts w:hint="default"/>
      </w:rPr>
    </w:lvl>
    <w:lvl w:ilvl="6" w:tplc="9F949120">
      <w:numFmt w:val="bullet"/>
      <w:lvlText w:val="•"/>
      <w:lvlJc w:val="left"/>
      <w:pPr>
        <w:ind w:left="1588" w:hanging="100"/>
      </w:pPr>
      <w:rPr>
        <w:rFonts w:hint="default"/>
      </w:rPr>
    </w:lvl>
    <w:lvl w:ilvl="7" w:tplc="1F9E77E4">
      <w:numFmt w:val="bullet"/>
      <w:lvlText w:val="•"/>
      <w:lvlJc w:val="left"/>
      <w:pPr>
        <w:ind w:left="1826" w:hanging="100"/>
      </w:pPr>
      <w:rPr>
        <w:rFonts w:hint="default"/>
      </w:rPr>
    </w:lvl>
    <w:lvl w:ilvl="8" w:tplc="EA86BA24">
      <w:numFmt w:val="bullet"/>
      <w:lvlText w:val="•"/>
      <w:lvlJc w:val="left"/>
      <w:pPr>
        <w:ind w:left="2064" w:hanging="100"/>
      </w:pPr>
      <w:rPr>
        <w:rFonts w:hint="default"/>
      </w:rPr>
    </w:lvl>
  </w:abstractNum>
  <w:abstractNum w:abstractNumId="1012" w15:restartNumberingAfterBreak="0">
    <w:nsid w:val="406949C9"/>
    <w:multiLevelType w:val="hybridMultilevel"/>
    <w:tmpl w:val="D1B49896"/>
    <w:lvl w:ilvl="0" w:tplc="57DCE7BA">
      <w:numFmt w:val="bullet"/>
      <w:lvlText w:val=""/>
      <w:lvlJc w:val="left"/>
      <w:pPr>
        <w:ind w:left="156" w:hanging="100"/>
      </w:pPr>
      <w:rPr>
        <w:rFonts w:ascii="Symbol" w:eastAsia="Symbol" w:hAnsi="Symbol" w:cs="Symbol" w:hint="default"/>
        <w:color w:val="231F20"/>
        <w:w w:val="100"/>
        <w:sz w:val="14"/>
        <w:szCs w:val="14"/>
      </w:rPr>
    </w:lvl>
    <w:lvl w:ilvl="1" w:tplc="47642C42">
      <w:numFmt w:val="bullet"/>
      <w:lvlText w:val="•"/>
      <w:lvlJc w:val="left"/>
      <w:pPr>
        <w:ind w:left="398" w:hanging="100"/>
      </w:pPr>
      <w:rPr>
        <w:rFonts w:hint="default"/>
      </w:rPr>
    </w:lvl>
    <w:lvl w:ilvl="2" w:tplc="2752FFF6">
      <w:numFmt w:val="bullet"/>
      <w:lvlText w:val="•"/>
      <w:lvlJc w:val="left"/>
      <w:pPr>
        <w:ind w:left="636" w:hanging="100"/>
      </w:pPr>
      <w:rPr>
        <w:rFonts w:hint="default"/>
      </w:rPr>
    </w:lvl>
    <w:lvl w:ilvl="3" w:tplc="2D906260">
      <w:numFmt w:val="bullet"/>
      <w:lvlText w:val="•"/>
      <w:lvlJc w:val="left"/>
      <w:pPr>
        <w:ind w:left="874" w:hanging="100"/>
      </w:pPr>
      <w:rPr>
        <w:rFonts w:hint="default"/>
      </w:rPr>
    </w:lvl>
    <w:lvl w:ilvl="4" w:tplc="7F9AC0E2">
      <w:numFmt w:val="bullet"/>
      <w:lvlText w:val="•"/>
      <w:lvlJc w:val="left"/>
      <w:pPr>
        <w:ind w:left="1112" w:hanging="100"/>
      </w:pPr>
      <w:rPr>
        <w:rFonts w:hint="default"/>
      </w:rPr>
    </w:lvl>
    <w:lvl w:ilvl="5" w:tplc="10CCB298">
      <w:numFmt w:val="bullet"/>
      <w:lvlText w:val="•"/>
      <w:lvlJc w:val="left"/>
      <w:pPr>
        <w:ind w:left="1350" w:hanging="100"/>
      </w:pPr>
      <w:rPr>
        <w:rFonts w:hint="default"/>
      </w:rPr>
    </w:lvl>
    <w:lvl w:ilvl="6" w:tplc="201E8B68">
      <w:numFmt w:val="bullet"/>
      <w:lvlText w:val="•"/>
      <w:lvlJc w:val="left"/>
      <w:pPr>
        <w:ind w:left="1588" w:hanging="100"/>
      </w:pPr>
      <w:rPr>
        <w:rFonts w:hint="default"/>
      </w:rPr>
    </w:lvl>
    <w:lvl w:ilvl="7" w:tplc="A4F8414A">
      <w:numFmt w:val="bullet"/>
      <w:lvlText w:val="•"/>
      <w:lvlJc w:val="left"/>
      <w:pPr>
        <w:ind w:left="1826" w:hanging="100"/>
      </w:pPr>
      <w:rPr>
        <w:rFonts w:hint="default"/>
      </w:rPr>
    </w:lvl>
    <w:lvl w:ilvl="8" w:tplc="011E5C76">
      <w:numFmt w:val="bullet"/>
      <w:lvlText w:val="•"/>
      <w:lvlJc w:val="left"/>
      <w:pPr>
        <w:ind w:left="2064" w:hanging="100"/>
      </w:pPr>
      <w:rPr>
        <w:rFonts w:hint="default"/>
      </w:rPr>
    </w:lvl>
  </w:abstractNum>
  <w:abstractNum w:abstractNumId="1013" w15:restartNumberingAfterBreak="0">
    <w:nsid w:val="407474A5"/>
    <w:multiLevelType w:val="hybridMultilevel"/>
    <w:tmpl w:val="4CE8F36E"/>
    <w:lvl w:ilvl="0" w:tplc="636CB1F2">
      <w:numFmt w:val="bullet"/>
      <w:lvlText w:val=""/>
      <w:lvlJc w:val="left"/>
      <w:pPr>
        <w:ind w:left="156" w:hanging="100"/>
      </w:pPr>
      <w:rPr>
        <w:rFonts w:ascii="Symbol" w:eastAsia="Symbol" w:hAnsi="Symbol" w:cs="Symbol" w:hint="default"/>
        <w:color w:val="231F20"/>
        <w:w w:val="100"/>
        <w:sz w:val="14"/>
        <w:szCs w:val="14"/>
      </w:rPr>
    </w:lvl>
    <w:lvl w:ilvl="1" w:tplc="1C5AF0EE">
      <w:numFmt w:val="bullet"/>
      <w:lvlText w:val="•"/>
      <w:lvlJc w:val="left"/>
      <w:pPr>
        <w:ind w:left="471" w:hanging="100"/>
      </w:pPr>
      <w:rPr>
        <w:rFonts w:hint="default"/>
      </w:rPr>
    </w:lvl>
    <w:lvl w:ilvl="2" w:tplc="99585B04">
      <w:numFmt w:val="bullet"/>
      <w:lvlText w:val="•"/>
      <w:lvlJc w:val="left"/>
      <w:pPr>
        <w:ind w:left="783" w:hanging="100"/>
      </w:pPr>
      <w:rPr>
        <w:rFonts w:hint="default"/>
      </w:rPr>
    </w:lvl>
    <w:lvl w:ilvl="3" w:tplc="3336E8A8">
      <w:numFmt w:val="bullet"/>
      <w:lvlText w:val="•"/>
      <w:lvlJc w:val="left"/>
      <w:pPr>
        <w:ind w:left="1095" w:hanging="100"/>
      </w:pPr>
      <w:rPr>
        <w:rFonts w:hint="default"/>
      </w:rPr>
    </w:lvl>
    <w:lvl w:ilvl="4" w:tplc="16D8C840">
      <w:numFmt w:val="bullet"/>
      <w:lvlText w:val="•"/>
      <w:lvlJc w:val="left"/>
      <w:pPr>
        <w:ind w:left="1407" w:hanging="100"/>
      </w:pPr>
      <w:rPr>
        <w:rFonts w:hint="default"/>
      </w:rPr>
    </w:lvl>
    <w:lvl w:ilvl="5" w:tplc="C0BEEA18">
      <w:numFmt w:val="bullet"/>
      <w:lvlText w:val="•"/>
      <w:lvlJc w:val="left"/>
      <w:pPr>
        <w:ind w:left="1719" w:hanging="100"/>
      </w:pPr>
      <w:rPr>
        <w:rFonts w:hint="default"/>
      </w:rPr>
    </w:lvl>
    <w:lvl w:ilvl="6" w:tplc="4CDA9C78">
      <w:numFmt w:val="bullet"/>
      <w:lvlText w:val="•"/>
      <w:lvlJc w:val="left"/>
      <w:pPr>
        <w:ind w:left="2030" w:hanging="100"/>
      </w:pPr>
      <w:rPr>
        <w:rFonts w:hint="default"/>
      </w:rPr>
    </w:lvl>
    <w:lvl w:ilvl="7" w:tplc="47F0451E">
      <w:numFmt w:val="bullet"/>
      <w:lvlText w:val="•"/>
      <w:lvlJc w:val="left"/>
      <w:pPr>
        <w:ind w:left="2342" w:hanging="100"/>
      </w:pPr>
      <w:rPr>
        <w:rFonts w:hint="default"/>
      </w:rPr>
    </w:lvl>
    <w:lvl w:ilvl="8" w:tplc="2200AB5A">
      <w:numFmt w:val="bullet"/>
      <w:lvlText w:val="•"/>
      <w:lvlJc w:val="left"/>
      <w:pPr>
        <w:ind w:left="2654" w:hanging="100"/>
      </w:pPr>
      <w:rPr>
        <w:rFonts w:hint="default"/>
      </w:rPr>
    </w:lvl>
  </w:abstractNum>
  <w:abstractNum w:abstractNumId="1014" w15:restartNumberingAfterBreak="0">
    <w:nsid w:val="4087364B"/>
    <w:multiLevelType w:val="hybridMultilevel"/>
    <w:tmpl w:val="2D6613A8"/>
    <w:lvl w:ilvl="0" w:tplc="85102EA6">
      <w:numFmt w:val="bullet"/>
      <w:lvlText w:val=""/>
      <w:lvlJc w:val="left"/>
      <w:pPr>
        <w:ind w:left="157" w:hanging="100"/>
      </w:pPr>
      <w:rPr>
        <w:rFonts w:ascii="Symbol" w:eastAsia="Symbol" w:hAnsi="Symbol" w:cs="Symbol" w:hint="default"/>
        <w:color w:val="231F20"/>
        <w:w w:val="100"/>
        <w:sz w:val="14"/>
        <w:szCs w:val="14"/>
      </w:rPr>
    </w:lvl>
    <w:lvl w:ilvl="1" w:tplc="E572CB24">
      <w:numFmt w:val="bullet"/>
      <w:lvlText w:val="•"/>
      <w:lvlJc w:val="left"/>
      <w:pPr>
        <w:ind w:left="369" w:hanging="100"/>
      </w:pPr>
      <w:rPr>
        <w:rFonts w:hint="default"/>
      </w:rPr>
    </w:lvl>
    <w:lvl w:ilvl="2" w:tplc="B2B695D0">
      <w:numFmt w:val="bullet"/>
      <w:lvlText w:val="•"/>
      <w:lvlJc w:val="left"/>
      <w:pPr>
        <w:ind w:left="579" w:hanging="100"/>
      </w:pPr>
      <w:rPr>
        <w:rFonts w:hint="default"/>
      </w:rPr>
    </w:lvl>
    <w:lvl w:ilvl="3" w:tplc="C5ACF62A">
      <w:numFmt w:val="bullet"/>
      <w:lvlText w:val="•"/>
      <w:lvlJc w:val="left"/>
      <w:pPr>
        <w:ind w:left="789" w:hanging="100"/>
      </w:pPr>
      <w:rPr>
        <w:rFonts w:hint="default"/>
      </w:rPr>
    </w:lvl>
    <w:lvl w:ilvl="4" w:tplc="70FE5938">
      <w:numFmt w:val="bullet"/>
      <w:lvlText w:val="•"/>
      <w:lvlJc w:val="left"/>
      <w:pPr>
        <w:ind w:left="998" w:hanging="100"/>
      </w:pPr>
      <w:rPr>
        <w:rFonts w:hint="default"/>
      </w:rPr>
    </w:lvl>
    <w:lvl w:ilvl="5" w:tplc="0B226FC2">
      <w:numFmt w:val="bullet"/>
      <w:lvlText w:val="•"/>
      <w:lvlJc w:val="left"/>
      <w:pPr>
        <w:ind w:left="1208" w:hanging="100"/>
      </w:pPr>
      <w:rPr>
        <w:rFonts w:hint="default"/>
      </w:rPr>
    </w:lvl>
    <w:lvl w:ilvl="6" w:tplc="FE7094D6">
      <w:numFmt w:val="bullet"/>
      <w:lvlText w:val="•"/>
      <w:lvlJc w:val="left"/>
      <w:pPr>
        <w:ind w:left="1418" w:hanging="100"/>
      </w:pPr>
      <w:rPr>
        <w:rFonts w:hint="default"/>
      </w:rPr>
    </w:lvl>
    <w:lvl w:ilvl="7" w:tplc="6750FEA0">
      <w:numFmt w:val="bullet"/>
      <w:lvlText w:val="•"/>
      <w:lvlJc w:val="left"/>
      <w:pPr>
        <w:ind w:left="1627" w:hanging="100"/>
      </w:pPr>
      <w:rPr>
        <w:rFonts w:hint="default"/>
      </w:rPr>
    </w:lvl>
    <w:lvl w:ilvl="8" w:tplc="D5547920">
      <w:numFmt w:val="bullet"/>
      <w:lvlText w:val="•"/>
      <w:lvlJc w:val="left"/>
      <w:pPr>
        <w:ind w:left="1837" w:hanging="100"/>
      </w:pPr>
      <w:rPr>
        <w:rFonts w:hint="default"/>
      </w:rPr>
    </w:lvl>
  </w:abstractNum>
  <w:abstractNum w:abstractNumId="1015" w15:restartNumberingAfterBreak="0">
    <w:nsid w:val="408D210E"/>
    <w:multiLevelType w:val="hybridMultilevel"/>
    <w:tmpl w:val="A282F0A8"/>
    <w:lvl w:ilvl="0" w:tplc="025CF8EC">
      <w:numFmt w:val="bullet"/>
      <w:lvlText w:val=""/>
      <w:lvlJc w:val="left"/>
      <w:pPr>
        <w:ind w:left="156" w:hanging="100"/>
      </w:pPr>
      <w:rPr>
        <w:rFonts w:ascii="Symbol" w:eastAsia="Symbol" w:hAnsi="Symbol" w:cs="Symbol" w:hint="default"/>
        <w:color w:val="231F20"/>
        <w:w w:val="100"/>
        <w:sz w:val="14"/>
        <w:szCs w:val="14"/>
      </w:rPr>
    </w:lvl>
    <w:lvl w:ilvl="1" w:tplc="074086B8">
      <w:numFmt w:val="bullet"/>
      <w:lvlText w:val="•"/>
      <w:lvlJc w:val="left"/>
      <w:pPr>
        <w:ind w:left="398" w:hanging="100"/>
      </w:pPr>
      <w:rPr>
        <w:rFonts w:hint="default"/>
      </w:rPr>
    </w:lvl>
    <w:lvl w:ilvl="2" w:tplc="B994FF04">
      <w:numFmt w:val="bullet"/>
      <w:lvlText w:val="•"/>
      <w:lvlJc w:val="left"/>
      <w:pPr>
        <w:ind w:left="636" w:hanging="100"/>
      </w:pPr>
      <w:rPr>
        <w:rFonts w:hint="default"/>
      </w:rPr>
    </w:lvl>
    <w:lvl w:ilvl="3" w:tplc="064CF99C">
      <w:numFmt w:val="bullet"/>
      <w:lvlText w:val="•"/>
      <w:lvlJc w:val="left"/>
      <w:pPr>
        <w:ind w:left="874" w:hanging="100"/>
      </w:pPr>
      <w:rPr>
        <w:rFonts w:hint="default"/>
      </w:rPr>
    </w:lvl>
    <w:lvl w:ilvl="4" w:tplc="840C67A0">
      <w:numFmt w:val="bullet"/>
      <w:lvlText w:val="•"/>
      <w:lvlJc w:val="left"/>
      <w:pPr>
        <w:ind w:left="1112" w:hanging="100"/>
      </w:pPr>
      <w:rPr>
        <w:rFonts w:hint="default"/>
      </w:rPr>
    </w:lvl>
    <w:lvl w:ilvl="5" w:tplc="C80E5BDA">
      <w:numFmt w:val="bullet"/>
      <w:lvlText w:val="•"/>
      <w:lvlJc w:val="left"/>
      <w:pPr>
        <w:ind w:left="1350" w:hanging="100"/>
      </w:pPr>
      <w:rPr>
        <w:rFonts w:hint="default"/>
      </w:rPr>
    </w:lvl>
    <w:lvl w:ilvl="6" w:tplc="3A1CC732">
      <w:numFmt w:val="bullet"/>
      <w:lvlText w:val="•"/>
      <w:lvlJc w:val="left"/>
      <w:pPr>
        <w:ind w:left="1588" w:hanging="100"/>
      </w:pPr>
      <w:rPr>
        <w:rFonts w:hint="default"/>
      </w:rPr>
    </w:lvl>
    <w:lvl w:ilvl="7" w:tplc="3CEC78D6">
      <w:numFmt w:val="bullet"/>
      <w:lvlText w:val="•"/>
      <w:lvlJc w:val="left"/>
      <w:pPr>
        <w:ind w:left="1826" w:hanging="100"/>
      </w:pPr>
      <w:rPr>
        <w:rFonts w:hint="default"/>
      </w:rPr>
    </w:lvl>
    <w:lvl w:ilvl="8" w:tplc="48F8D9BC">
      <w:numFmt w:val="bullet"/>
      <w:lvlText w:val="•"/>
      <w:lvlJc w:val="left"/>
      <w:pPr>
        <w:ind w:left="2064" w:hanging="100"/>
      </w:pPr>
      <w:rPr>
        <w:rFonts w:hint="default"/>
      </w:rPr>
    </w:lvl>
  </w:abstractNum>
  <w:abstractNum w:abstractNumId="1016" w15:restartNumberingAfterBreak="0">
    <w:nsid w:val="40A236BE"/>
    <w:multiLevelType w:val="hybridMultilevel"/>
    <w:tmpl w:val="C526D878"/>
    <w:lvl w:ilvl="0" w:tplc="0068CEC2">
      <w:numFmt w:val="bullet"/>
      <w:lvlText w:val=""/>
      <w:lvlJc w:val="left"/>
      <w:pPr>
        <w:ind w:left="156" w:hanging="100"/>
      </w:pPr>
      <w:rPr>
        <w:rFonts w:ascii="Symbol" w:eastAsia="Symbol" w:hAnsi="Symbol" w:cs="Symbol" w:hint="default"/>
        <w:color w:val="231F20"/>
        <w:w w:val="100"/>
        <w:sz w:val="14"/>
        <w:szCs w:val="14"/>
      </w:rPr>
    </w:lvl>
    <w:lvl w:ilvl="1" w:tplc="730C19BC">
      <w:numFmt w:val="bullet"/>
      <w:lvlText w:val="•"/>
      <w:lvlJc w:val="left"/>
      <w:pPr>
        <w:ind w:left="301" w:hanging="100"/>
      </w:pPr>
      <w:rPr>
        <w:rFonts w:hint="default"/>
      </w:rPr>
    </w:lvl>
    <w:lvl w:ilvl="2" w:tplc="9FD08C5E">
      <w:numFmt w:val="bullet"/>
      <w:lvlText w:val="•"/>
      <w:lvlJc w:val="left"/>
      <w:pPr>
        <w:ind w:left="443" w:hanging="100"/>
      </w:pPr>
      <w:rPr>
        <w:rFonts w:hint="default"/>
      </w:rPr>
    </w:lvl>
    <w:lvl w:ilvl="3" w:tplc="54D6053A">
      <w:numFmt w:val="bullet"/>
      <w:lvlText w:val="•"/>
      <w:lvlJc w:val="left"/>
      <w:pPr>
        <w:ind w:left="585" w:hanging="100"/>
      </w:pPr>
      <w:rPr>
        <w:rFonts w:hint="default"/>
      </w:rPr>
    </w:lvl>
    <w:lvl w:ilvl="4" w:tplc="ED3A852C">
      <w:numFmt w:val="bullet"/>
      <w:lvlText w:val="•"/>
      <w:lvlJc w:val="left"/>
      <w:pPr>
        <w:ind w:left="726" w:hanging="100"/>
      </w:pPr>
      <w:rPr>
        <w:rFonts w:hint="default"/>
      </w:rPr>
    </w:lvl>
    <w:lvl w:ilvl="5" w:tplc="5986C980">
      <w:numFmt w:val="bullet"/>
      <w:lvlText w:val="•"/>
      <w:lvlJc w:val="left"/>
      <w:pPr>
        <w:ind w:left="868" w:hanging="100"/>
      </w:pPr>
      <w:rPr>
        <w:rFonts w:hint="default"/>
      </w:rPr>
    </w:lvl>
    <w:lvl w:ilvl="6" w:tplc="B4BAEB6C">
      <w:numFmt w:val="bullet"/>
      <w:lvlText w:val="•"/>
      <w:lvlJc w:val="left"/>
      <w:pPr>
        <w:ind w:left="1010" w:hanging="100"/>
      </w:pPr>
      <w:rPr>
        <w:rFonts w:hint="default"/>
      </w:rPr>
    </w:lvl>
    <w:lvl w:ilvl="7" w:tplc="2E6EA9FC">
      <w:numFmt w:val="bullet"/>
      <w:lvlText w:val="•"/>
      <w:lvlJc w:val="left"/>
      <w:pPr>
        <w:ind w:left="1151" w:hanging="100"/>
      </w:pPr>
      <w:rPr>
        <w:rFonts w:hint="default"/>
      </w:rPr>
    </w:lvl>
    <w:lvl w:ilvl="8" w:tplc="C7440332">
      <w:numFmt w:val="bullet"/>
      <w:lvlText w:val="•"/>
      <w:lvlJc w:val="left"/>
      <w:pPr>
        <w:ind w:left="1293" w:hanging="100"/>
      </w:pPr>
      <w:rPr>
        <w:rFonts w:hint="default"/>
      </w:rPr>
    </w:lvl>
  </w:abstractNum>
  <w:abstractNum w:abstractNumId="1017" w15:restartNumberingAfterBreak="0">
    <w:nsid w:val="40B76EFC"/>
    <w:multiLevelType w:val="hybridMultilevel"/>
    <w:tmpl w:val="2E6EA66C"/>
    <w:lvl w:ilvl="0" w:tplc="2368B85C">
      <w:numFmt w:val="bullet"/>
      <w:lvlText w:val=""/>
      <w:lvlJc w:val="left"/>
      <w:pPr>
        <w:ind w:left="156" w:hanging="100"/>
      </w:pPr>
      <w:rPr>
        <w:rFonts w:ascii="Symbol" w:eastAsia="Symbol" w:hAnsi="Symbol" w:cs="Symbol" w:hint="default"/>
        <w:color w:val="231F20"/>
        <w:w w:val="100"/>
        <w:sz w:val="14"/>
        <w:szCs w:val="14"/>
      </w:rPr>
    </w:lvl>
    <w:lvl w:ilvl="1" w:tplc="2E5E2668">
      <w:numFmt w:val="bullet"/>
      <w:lvlText w:val="•"/>
      <w:lvlJc w:val="left"/>
      <w:pPr>
        <w:ind w:left="240" w:hanging="100"/>
      </w:pPr>
      <w:rPr>
        <w:rFonts w:hint="default"/>
      </w:rPr>
    </w:lvl>
    <w:lvl w:ilvl="2" w:tplc="C10C5ECA">
      <w:numFmt w:val="bullet"/>
      <w:lvlText w:val="•"/>
      <w:lvlJc w:val="left"/>
      <w:pPr>
        <w:ind w:left="495" w:hanging="100"/>
      </w:pPr>
      <w:rPr>
        <w:rFonts w:hint="default"/>
      </w:rPr>
    </w:lvl>
    <w:lvl w:ilvl="3" w:tplc="C012E2B0">
      <w:numFmt w:val="bullet"/>
      <w:lvlText w:val="•"/>
      <w:lvlJc w:val="left"/>
      <w:pPr>
        <w:ind w:left="751" w:hanging="100"/>
      </w:pPr>
      <w:rPr>
        <w:rFonts w:hint="default"/>
      </w:rPr>
    </w:lvl>
    <w:lvl w:ilvl="4" w:tplc="1C3C88D6">
      <w:numFmt w:val="bullet"/>
      <w:lvlText w:val="•"/>
      <w:lvlJc w:val="left"/>
      <w:pPr>
        <w:ind w:left="1007" w:hanging="100"/>
      </w:pPr>
      <w:rPr>
        <w:rFonts w:hint="default"/>
      </w:rPr>
    </w:lvl>
    <w:lvl w:ilvl="5" w:tplc="238E71A0">
      <w:numFmt w:val="bullet"/>
      <w:lvlText w:val="•"/>
      <w:lvlJc w:val="left"/>
      <w:pPr>
        <w:ind w:left="1262" w:hanging="100"/>
      </w:pPr>
      <w:rPr>
        <w:rFonts w:hint="default"/>
      </w:rPr>
    </w:lvl>
    <w:lvl w:ilvl="6" w:tplc="957ACE88">
      <w:numFmt w:val="bullet"/>
      <w:lvlText w:val="•"/>
      <w:lvlJc w:val="left"/>
      <w:pPr>
        <w:ind w:left="1518" w:hanging="100"/>
      </w:pPr>
      <w:rPr>
        <w:rFonts w:hint="default"/>
      </w:rPr>
    </w:lvl>
    <w:lvl w:ilvl="7" w:tplc="C0BC949C">
      <w:numFmt w:val="bullet"/>
      <w:lvlText w:val="•"/>
      <w:lvlJc w:val="left"/>
      <w:pPr>
        <w:ind w:left="1774" w:hanging="100"/>
      </w:pPr>
      <w:rPr>
        <w:rFonts w:hint="default"/>
      </w:rPr>
    </w:lvl>
    <w:lvl w:ilvl="8" w:tplc="B2423C76">
      <w:numFmt w:val="bullet"/>
      <w:lvlText w:val="•"/>
      <w:lvlJc w:val="left"/>
      <w:pPr>
        <w:ind w:left="2029" w:hanging="100"/>
      </w:pPr>
      <w:rPr>
        <w:rFonts w:hint="default"/>
      </w:rPr>
    </w:lvl>
  </w:abstractNum>
  <w:abstractNum w:abstractNumId="1018" w15:restartNumberingAfterBreak="0">
    <w:nsid w:val="40C807F9"/>
    <w:multiLevelType w:val="hybridMultilevel"/>
    <w:tmpl w:val="1E8E7504"/>
    <w:lvl w:ilvl="0" w:tplc="853CC1E4">
      <w:numFmt w:val="bullet"/>
      <w:lvlText w:val=""/>
      <w:lvlJc w:val="left"/>
      <w:pPr>
        <w:ind w:left="157" w:hanging="100"/>
      </w:pPr>
      <w:rPr>
        <w:rFonts w:ascii="Symbol" w:eastAsia="Symbol" w:hAnsi="Symbol" w:cs="Symbol" w:hint="default"/>
        <w:color w:val="231F20"/>
        <w:w w:val="100"/>
        <w:sz w:val="14"/>
        <w:szCs w:val="14"/>
      </w:rPr>
    </w:lvl>
    <w:lvl w:ilvl="1" w:tplc="F9001480">
      <w:numFmt w:val="bullet"/>
      <w:lvlText w:val="•"/>
      <w:lvlJc w:val="left"/>
      <w:pPr>
        <w:ind w:left="369" w:hanging="100"/>
      </w:pPr>
      <w:rPr>
        <w:rFonts w:hint="default"/>
      </w:rPr>
    </w:lvl>
    <w:lvl w:ilvl="2" w:tplc="B3288FE0">
      <w:numFmt w:val="bullet"/>
      <w:lvlText w:val="•"/>
      <w:lvlJc w:val="left"/>
      <w:pPr>
        <w:ind w:left="579" w:hanging="100"/>
      </w:pPr>
      <w:rPr>
        <w:rFonts w:hint="default"/>
      </w:rPr>
    </w:lvl>
    <w:lvl w:ilvl="3" w:tplc="FF5E517E">
      <w:numFmt w:val="bullet"/>
      <w:lvlText w:val="•"/>
      <w:lvlJc w:val="left"/>
      <w:pPr>
        <w:ind w:left="789" w:hanging="100"/>
      </w:pPr>
      <w:rPr>
        <w:rFonts w:hint="default"/>
      </w:rPr>
    </w:lvl>
    <w:lvl w:ilvl="4" w:tplc="9DE4B93E">
      <w:numFmt w:val="bullet"/>
      <w:lvlText w:val="•"/>
      <w:lvlJc w:val="left"/>
      <w:pPr>
        <w:ind w:left="998" w:hanging="100"/>
      </w:pPr>
      <w:rPr>
        <w:rFonts w:hint="default"/>
      </w:rPr>
    </w:lvl>
    <w:lvl w:ilvl="5" w:tplc="3766A196">
      <w:numFmt w:val="bullet"/>
      <w:lvlText w:val="•"/>
      <w:lvlJc w:val="left"/>
      <w:pPr>
        <w:ind w:left="1208" w:hanging="100"/>
      </w:pPr>
      <w:rPr>
        <w:rFonts w:hint="default"/>
      </w:rPr>
    </w:lvl>
    <w:lvl w:ilvl="6" w:tplc="9E2EC28A">
      <w:numFmt w:val="bullet"/>
      <w:lvlText w:val="•"/>
      <w:lvlJc w:val="left"/>
      <w:pPr>
        <w:ind w:left="1418" w:hanging="100"/>
      </w:pPr>
      <w:rPr>
        <w:rFonts w:hint="default"/>
      </w:rPr>
    </w:lvl>
    <w:lvl w:ilvl="7" w:tplc="9CD05CCA">
      <w:numFmt w:val="bullet"/>
      <w:lvlText w:val="•"/>
      <w:lvlJc w:val="left"/>
      <w:pPr>
        <w:ind w:left="1627" w:hanging="100"/>
      </w:pPr>
      <w:rPr>
        <w:rFonts w:hint="default"/>
      </w:rPr>
    </w:lvl>
    <w:lvl w:ilvl="8" w:tplc="4FD881D8">
      <w:numFmt w:val="bullet"/>
      <w:lvlText w:val="•"/>
      <w:lvlJc w:val="left"/>
      <w:pPr>
        <w:ind w:left="1837" w:hanging="100"/>
      </w:pPr>
      <w:rPr>
        <w:rFonts w:hint="default"/>
      </w:rPr>
    </w:lvl>
  </w:abstractNum>
  <w:abstractNum w:abstractNumId="1019" w15:restartNumberingAfterBreak="0">
    <w:nsid w:val="40CE527D"/>
    <w:multiLevelType w:val="hybridMultilevel"/>
    <w:tmpl w:val="AE3493E4"/>
    <w:lvl w:ilvl="0" w:tplc="055860F4">
      <w:numFmt w:val="bullet"/>
      <w:lvlText w:val=""/>
      <w:lvlJc w:val="left"/>
      <w:pPr>
        <w:ind w:left="156" w:hanging="100"/>
      </w:pPr>
      <w:rPr>
        <w:rFonts w:ascii="Symbol" w:eastAsia="Symbol" w:hAnsi="Symbol" w:cs="Symbol" w:hint="default"/>
        <w:color w:val="231F20"/>
        <w:w w:val="100"/>
        <w:sz w:val="14"/>
        <w:szCs w:val="14"/>
      </w:rPr>
    </w:lvl>
    <w:lvl w:ilvl="1" w:tplc="E998E920">
      <w:numFmt w:val="bullet"/>
      <w:lvlText w:val="•"/>
      <w:lvlJc w:val="left"/>
      <w:pPr>
        <w:ind w:left="301" w:hanging="100"/>
      </w:pPr>
      <w:rPr>
        <w:rFonts w:hint="default"/>
      </w:rPr>
    </w:lvl>
    <w:lvl w:ilvl="2" w:tplc="2E5ABE74">
      <w:numFmt w:val="bullet"/>
      <w:lvlText w:val="•"/>
      <w:lvlJc w:val="left"/>
      <w:pPr>
        <w:ind w:left="443" w:hanging="100"/>
      </w:pPr>
      <w:rPr>
        <w:rFonts w:hint="default"/>
      </w:rPr>
    </w:lvl>
    <w:lvl w:ilvl="3" w:tplc="F70AC17C">
      <w:numFmt w:val="bullet"/>
      <w:lvlText w:val="•"/>
      <w:lvlJc w:val="left"/>
      <w:pPr>
        <w:ind w:left="585" w:hanging="100"/>
      </w:pPr>
      <w:rPr>
        <w:rFonts w:hint="default"/>
      </w:rPr>
    </w:lvl>
    <w:lvl w:ilvl="4" w:tplc="35848AA0">
      <w:numFmt w:val="bullet"/>
      <w:lvlText w:val="•"/>
      <w:lvlJc w:val="left"/>
      <w:pPr>
        <w:ind w:left="726" w:hanging="100"/>
      </w:pPr>
      <w:rPr>
        <w:rFonts w:hint="default"/>
      </w:rPr>
    </w:lvl>
    <w:lvl w:ilvl="5" w:tplc="95D44F16">
      <w:numFmt w:val="bullet"/>
      <w:lvlText w:val="•"/>
      <w:lvlJc w:val="left"/>
      <w:pPr>
        <w:ind w:left="868" w:hanging="100"/>
      </w:pPr>
      <w:rPr>
        <w:rFonts w:hint="default"/>
      </w:rPr>
    </w:lvl>
    <w:lvl w:ilvl="6" w:tplc="692AED2A">
      <w:numFmt w:val="bullet"/>
      <w:lvlText w:val="•"/>
      <w:lvlJc w:val="left"/>
      <w:pPr>
        <w:ind w:left="1010" w:hanging="100"/>
      </w:pPr>
      <w:rPr>
        <w:rFonts w:hint="default"/>
      </w:rPr>
    </w:lvl>
    <w:lvl w:ilvl="7" w:tplc="FB1C000E">
      <w:numFmt w:val="bullet"/>
      <w:lvlText w:val="•"/>
      <w:lvlJc w:val="left"/>
      <w:pPr>
        <w:ind w:left="1151" w:hanging="100"/>
      </w:pPr>
      <w:rPr>
        <w:rFonts w:hint="default"/>
      </w:rPr>
    </w:lvl>
    <w:lvl w:ilvl="8" w:tplc="64AA69F2">
      <w:numFmt w:val="bullet"/>
      <w:lvlText w:val="•"/>
      <w:lvlJc w:val="left"/>
      <w:pPr>
        <w:ind w:left="1293" w:hanging="100"/>
      </w:pPr>
      <w:rPr>
        <w:rFonts w:hint="default"/>
      </w:rPr>
    </w:lvl>
  </w:abstractNum>
  <w:abstractNum w:abstractNumId="1020" w15:restartNumberingAfterBreak="0">
    <w:nsid w:val="40DE589C"/>
    <w:multiLevelType w:val="hybridMultilevel"/>
    <w:tmpl w:val="50D0A8A6"/>
    <w:lvl w:ilvl="0" w:tplc="6B480BA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B152071C">
      <w:numFmt w:val="bullet"/>
      <w:lvlText w:val="•"/>
      <w:lvlJc w:val="left"/>
      <w:pPr>
        <w:ind w:left="408" w:hanging="84"/>
      </w:pPr>
      <w:rPr>
        <w:rFonts w:hint="default"/>
      </w:rPr>
    </w:lvl>
    <w:lvl w:ilvl="2" w:tplc="25745EEC">
      <w:numFmt w:val="bullet"/>
      <w:lvlText w:val="•"/>
      <w:lvlJc w:val="left"/>
      <w:pPr>
        <w:ind w:left="676" w:hanging="84"/>
      </w:pPr>
      <w:rPr>
        <w:rFonts w:hint="default"/>
      </w:rPr>
    </w:lvl>
    <w:lvl w:ilvl="3" w:tplc="05FA9D52">
      <w:numFmt w:val="bullet"/>
      <w:lvlText w:val="•"/>
      <w:lvlJc w:val="left"/>
      <w:pPr>
        <w:ind w:left="945" w:hanging="84"/>
      </w:pPr>
      <w:rPr>
        <w:rFonts w:hint="default"/>
      </w:rPr>
    </w:lvl>
    <w:lvl w:ilvl="4" w:tplc="FA82F8D4">
      <w:numFmt w:val="bullet"/>
      <w:lvlText w:val="•"/>
      <w:lvlJc w:val="left"/>
      <w:pPr>
        <w:ind w:left="1213" w:hanging="84"/>
      </w:pPr>
      <w:rPr>
        <w:rFonts w:hint="default"/>
      </w:rPr>
    </w:lvl>
    <w:lvl w:ilvl="5" w:tplc="9C04D6C8">
      <w:numFmt w:val="bullet"/>
      <w:lvlText w:val="•"/>
      <w:lvlJc w:val="left"/>
      <w:pPr>
        <w:ind w:left="1482" w:hanging="84"/>
      </w:pPr>
      <w:rPr>
        <w:rFonts w:hint="default"/>
      </w:rPr>
    </w:lvl>
    <w:lvl w:ilvl="6" w:tplc="5B9CD950">
      <w:numFmt w:val="bullet"/>
      <w:lvlText w:val="•"/>
      <w:lvlJc w:val="left"/>
      <w:pPr>
        <w:ind w:left="1750" w:hanging="84"/>
      </w:pPr>
      <w:rPr>
        <w:rFonts w:hint="default"/>
      </w:rPr>
    </w:lvl>
    <w:lvl w:ilvl="7" w:tplc="4F9EEBFA">
      <w:numFmt w:val="bullet"/>
      <w:lvlText w:val="•"/>
      <w:lvlJc w:val="left"/>
      <w:pPr>
        <w:ind w:left="2018" w:hanging="84"/>
      </w:pPr>
      <w:rPr>
        <w:rFonts w:hint="default"/>
      </w:rPr>
    </w:lvl>
    <w:lvl w:ilvl="8" w:tplc="9ACACFFE">
      <w:numFmt w:val="bullet"/>
      <w:lvlText w:val="•"/>
      <w:lvlJc w:val="left"/>
      <w:pPr>
        <w:ind w:left="2287" w:hanging="84"/>
      </w:pPr>
      <w:rPr>
        <w:rFonts w:hint="default"/>
      </w:rPr>
    </w:lvl>
  </w:abstractNum>
  <w:abstractNum w:abstractNumId="1021" w15:restartNumberingAfterBreak="0">
    <w:nsid w:val="40F81930"/>
    <w:multiLevelType w:val="hybridMultilevel"/>
    <w:tmpl w:val="E578AFC8"/>
    <w:lvl w:ilvl="0" w:tplc="33A23640">
      <w:numFmt w:val="bullet"/>
      <w:lvlText w:val=""/>
      <w:lvlJc w:val="left"/>
      <w:pPr>
        <w:ind w:left="156" w:hanging="100"/>
      </w:pPr>
      <w:rPr>
        <w:rFonts w:ascii="Symbol" w:eastAsia="Symbol" w:hAnsi="Symbol" w:cs="Symbol" w:hint="default"/>
        <w:color w:val="231F20"/>
        <w:w w:val="100"/>
        <w:sz w:val="14"/>
        <w:szCs w:val="14"/>
      </w:rPr>
    </w:lvl>
    <w:lvl w:ilvl="1" w:tplc="AE5EE3DC">
      <w:numFmt w:val="bullet"/>
      <w:lvlText w:val="•"/>
      <w:lvlJc w:val="left"/>
      <w:pPr>
        <w:ind w:left="398" w:hanging="100"/>
      </w:pPr>
      <w:rPr>
        <w:rFonts w:hint="default"/>
      </w:rPr>
    </w:lvl>
    <w:lvl w:ilvl="2" w:tplc="F7D06C72">
      <w:numFmt w:val="bullet"/>
      <w:lvlText w:val="•"/>
      <w:lvlJc w:val="left"/>
      <w:pPr>
        <w:ind w:left="636" w:hanging="100"/>
      </w:pPr>
      <w:rPr>
        <w:rFonts w:hint="default"/>
      </w:rPr>
    </w:lvl>
    <w:lvl w:ilvl="3" w:tplc="A9BAEC28">
      <w:numFmt w:val="bullet"/>
      <w:lvlText w:val="•"/>
      <w:lvlJc w:val="left"/>
      <w:pPr>
        <w:ind w:left="874" w:hanging="100"/>
      </w:pPr>
      <w:rPr>
        <w:rFonts w:hint="default"/>
      </w:rPr>
    </w:lvl>
    <w:lvl w:ilvl="4" w:tplc="37B46A40">
      <w:numFmt w:val="bullet"/>
      <w:lvlText w:val="•"/>
      <w:lvlJc w:val="left"/>
      <w:pPr>
        <w:ind w:left="1112" w:hanging="100"/>
      </w:pPr>
      <w:rPr>
        <w:rFonts w:hint="default"/>
      </w:rPr>
    </w:lvl>
    <w:lvl w:ilvl="5" w:tplc="7980AB72">
      <w:numFmt w:val="bullet"/>
      <w:lvlText w:val="•"/>
      <w:lvlJc w:val="left"/>
      <w:pPr>
        <w:ind w:left="1350" w:hanging="100"/>
      </w:pPr>
      <w:rPr>
        <w:rFonts w:hint="default"/>
      </w:rPr>
    </w:lvl>
    <w:lvl w:ilvl="6" w:tplc="AFB437D2">
      <w:numFmt w:val="bullet"/>
      <w:lvlText w:val="•"/>
      <w:lvlJc w:val="left"/>
      <w:pPr>
        <w:ind w:left="1588" w:hanging="100"/>
      </w:pPr>
      <w:rPr>
        <w:rFonts w:hint="default"/>
      </w:rPr>
    </w:lvl>
    <w:lvl w:ilvl="7" w:tplc="04382724">
      <w:numFmt w:val="bullet"/>
      <w:lvlText w:val="•"/>
      <w:lvlJc w:val="left"/>
      <w:pPr>
        <w:ind w:left="1826" w:hanging="100"/>
      </w:pPr>
      <w:rPr>
        <w:rFonts w:hint="default"/>
      </w:rPr>
    </w:lvl>
    <w:lvl w:ilvl="8" w:tplc="13B8D618">
      <w:numFmt w:val="bullet"/>
      <w:lvlText w:val="•"/>
      <w:lvlJc w:val="left"/>
      <w:pPr>
        <w:ind w:left="2064" w:hanging="100"/>
      </w:pPr>
      <w:rPr>
        <w:rFonts w:hint="default"/>
      </w:rPr>
    </w:lvl>
  </w:abstractNum>
  <w:abstractNum w:abstractNumId="1022" w15:restartNumberingAfterBreak="0">
    <w:nsid w:val="41035F96"/>
    <w:multiLevelType w:val="hybridMultilevel"/>
    <w:tmpl w:val="6CAA46BA"/>
    <w:lvl w:ilvl="0" w:tplc="A0B48B92">
      <w:numFmt w:val="bullet"/>
      <w:lvlText w:val=""/>
      <w:lvlJc w:val="left"/>
      <w:pPr>
        <w:ind w:left="156" w:hanging="100"/>
      </w:pPr>
      <w:rPr>
        <w:rFonts w:ascii="Symbol" w:eastAsia="Symbol" w:hAnsi="Symbol" w:cs="Symbol" w:hint="default"/>
        <w:color w:val="231F20"/>
        <w:w w:val="100"/>
        <w:sz w:val="14"/>
        <w:szCs w:val="14"/>
      </w:rPr>
    </w:lvl>
    <w:lvl w:ilvl="1" w:tplc="065A1EE8">
      <w:numFmt w:val="bullet"/>
      <w:lvlText w:val="•"/>
      <w:lvlJc w:val="left"/>
      <w:pPr>
        <w:ind w:left="398" w:hanging="100"/>
      </w:pPr>
      <w:rPr>
        <w:rFonts w:hint="default"/>
      </w:rPr>
    </w:lvl>
    <w:lvl w:ilvl="2" w:tplc="065A04EE">
      <w:numFmt w:val="bullet"/>
      <w:lvlText w:val="•"/>
      <w:lvlJc w:val="left"/>
      <w:pPr>
        <w:ind w:left="636" w:hanging="100"/>
      </w:pPr>
      <w:rPr>
        <w:rFonts w:hint="default"/>
      </w:rPr>
    </w:lvl>
    <w:lvl w:ilvl="3" w:tplc="589A6BC0">
      <w:numFmt w:val="bullet"/>
      <w:lvlText w:val="•"/>
      <w:lvlJc w:val="left"/>
      <w:pPr>
        <w:ind w:left="874" w:hanging="100"/>
      </w:pPr>
      <w:rPr>
        <w:rFonts w:hint="default"/>
      </w:rPr>
    </w:lvl>
    <w:lvl w:ilvl="4" w:tplc="183890EE">
      <w:numFmt w:val="bullet"/>
      <w:lvlText w:val="•"/>
      <w:lvlJc w:val="left"/>
      <w:pPr>
        <w:ind w:left="1112" w:hanging="100"/>
      </w:pPr>
      <w:rPr>
        <w:rFonts w:hint="default"/>
      </w:rPr>
    </w:lvl>
    <w:lvl w:ilvl="5" w:tplc="A4B41900">
      <w:numFmt w:val="bullet"/>
      <w:lvlText w:val="•"/>
      <w:lvlJc w:val="left"/>
      <w:pPr>
        <w:ind w:left="1350" w:hanging="100"/>
      </w:pPr>
      <w:rPr>
        <w:rFonts w:hint="default"/>
      </w:rPr>
    </w:lvl>
    <w:lvl w:ilvl="6" w:tplc="87EE19A6">
      <w:numFmt w:val="bullet"/>
      <w:lvlText w:val="•"/>
      <w:lvlJc w:val="left"/>
      <w:pPr>
        <w:ind w:left="1588" w:hanging="100"/>
      </w:pPr>
      <w:rPr>
        <w:rFonts w:hint="default"/>
      </w:rPr>
    </w:lvl>
    <w:lvl w:ilvl="7" w:tplc="4FF627D4">
      <w:numFmt w:val="bullet"/>
      <w:lvlText w:val="•"/>
      <w:lvlJc w:val="left"/>
      <w:pPr>
        <w:ind w:left="1826" w:hanging="100"/>
      </w:pPr>
      <w:rPr>
        <w:rFonts w:hint="default"/>
      </w:rPr>
    </w:lvl>
    <w:lvl w:ilvl="8" w:tplc="5EEE483E">
      <w:numFmt w:val="bullet"/>
      <w:lvlText w:val="•"/>
      <w:lvlJc w:val="left"/>
      <w:pPr>
        <w:ind w:left="2064" w:hanging="100"/>
      </w:pPr>
      <w:rPr>
        <w:rFonts w:hint="default"/>
      </w:rPr>
    </w:lvl>
  </w:abstractNum>
  <w:abstractNum w:abstractNumId="1023" w15:restartNumberingAfterBreak="0">
    <w:nsid w:val="41157AA0"/>
    <w:multiLevelType w:val="hybridMultilevel"/>
    <w:tmpl w:val="47EEE54A"/>
    <w:lvl w:ilvl="0" w:tplc="F11A26A6">
      <w:numFmt w:val="bullet"/>
      <w:lvlText w:val=""/>
      <w:lvlJc w:val="left"/>
      <w:pPr>
        <w:ind w:left="157" w:hanging="100"/>
      </w:pPr>
      <w:rPr>
        <w:rFonts w:ascii="Symbol" w:eastAsia="Symbol" w:hAnsi="Symbol" w:cs="Symbol" w:hint="default"/>
        <w:color w:val="231F20"/>
        <w:w w:val="100"/>
        <w:sz w:val="14"/>
        <w:szCs w:val="14"/>
      </w:rPr>
    </w:lvl>
    <w:lvl w:ilvl="1" w:tplc="2670E6AA">
      <w:numFmt w:val="bullet"/>
      <w:lvlText w:val="•"/>
      <w:lvlJc w:val="left"/>
      <w:pPr>
        <w:ind w:left="369" w:hanging="100"/>
      </w:pPr>
      <w:rPr>
        <w:rFonts w:hint="default"/>
      </w:rPr>
    </w:lvl>
    <w:lvl w:ilvl="2" w:tplc="844E332A">
      <w:numFmt w:val="bullet"/>
      <w:lvlText w:val="•"/>
      <w:lvlJc w:val="left"/>
      <w:pPr>
        <w:ind w:left="579" w:hanging="100"/>
      </w:pPr>
      <w:rPr>
        <w:rFonts w:hint="default"/>
      </w:rPr>
    </w:lvl>
    <w:lvl w:ilvl="3" w:tplc="5A3E770E">
      <w:numFmt w:val="bullet"/>
      <w:lvlText w:val="•"/>
      <w:lvlJc w:val="left"/>
      <w:pPr>
        <w:ind w:left="789" w:hanging="100"/>
      </w:pPr>
      <w:rPr>
        <w:rFonts w:hint="default"/>
      </w:rPr>
    </w:lvl>
    <w:lvl w:ilvl="4" w:tplc="C6E84894">
      <w:numFmt w:val="bullet"/>
      <w:lvlText w:val="•"/>
      <w:lvlJc w:val="left"/>
      <w:pPr>
        <w:ind w:left="998" w:hanging="100"/>
      </w:pPr>
      <w:rPr>
        <w:rFonts w:hint="default"/>
      </w:rPr>
    </w:lvl>
    <w:lvl w:ilvl="5" w:tplc="BCD49A0C">
      <w:numFmt w:val="bullet"/>
      <w:lvlText w:val="•"/>
      <w:lvlJc w:val="left"/>
      <w:pPr>
        <w:ind w:left="1208" w:hanging="100"/>
      </w:pPr>
      <w:rPr>
        <w:rFonts w:hint="default"/>
      </w:rPr>
    </w:lvl>
    <w:lvl w:ilvl="6" w:tplc="58EEF832">
      <w:numFmt w:val="bullet"/>
      <w:lvlText w:val="•"/>
      <w:lvlJc w:val="left"/>
      <w:pPr>
        <w:ind w:left="1418" w:hanging="100"/>
      </w:pPr>
      <w:rPr>
        <w:rFonts w:hint="default"/>
      </w:rPr>
    </w:lvl>
    <w:lvl w:ilvl="7" w:tplc="50B6A568">
      <w:numFmt w:val="bullet"/>
      <w:lvlText w:val="•"/>
      <w:lvlJc w:val="left"/>
      <w:pPr>
        <w:ind w:left="1627" w:hanging="100"/>
      </w:pPr>
      <w:rPr>
        <w:rFonts w:hint="default"/>
      </w:rPr>
    </w:lvl>
    <w:lvl w:ilvl="8" w:tplc="13006EEE">
      <w:numFmt w:val="bullet"/>
      <w:lvlText w:val="•"/>
      <w:lvlJc w:val="left"/>
      <w:pPr>
        <w:ind w:left="1837" w:hanging="100"/>
      </w:pPr>
      <w:rPr>
        <w:rFonts w:hint="default"/>
      </w:rPr>
    </w:lvl>
  </w:abstractNum>
  <w:abstractNum w:abstractNumId="1024" w15:restartNumberingAfterBreak="0">
    <w:nsid w:val="41440288"/>
    <w:multiLevelType w:val="hybridMultilevel"/>
    <w:tmpl w:val="9B52401A"/>
    <w:lvl w:ilvl="0" w:tplc="AA7A8F5C">
      <w:numFmt w:val="bullet"/>
      <w:lvlText w:val=""/>
      <w:lvlJc w:val="left"/>
      <w:pPr>
        <w:ind w:left="156" w:hanging="100"/>
      </w:pPr>
      <w:rPr>
        <w:rFonts w:ascii="Symbol" w:eastAsia="Symbol" w:hAnsi="Symbol" w:cs="Symbol" w:hint="default"/>
        <w:color w:val="231F20"/>
        <w:w w:val="100"/>
        <w:sz w:val="14"/>
        <w:szCs w:val="14"/>
      </w:rPr>
    </w:lvl>
    <w:lvl w:ilvl="1" w:tplc="3438CF3E">
      <w:numFmt w:val="bullet"/>
      <w:lvlText w:val="•"/>
      <w:lvlJc w:val="left"/>
      <w:pPr>
        <w:ind w:left="426" w:hanging="100"/>
      </w:pPr>
      <w:rPr>
        <w:rFonts w:hint="default"/>
      </w:rPr>
    </w:lvl>
    <w:lvl w:ilvl="2" w:tplc="1F127E46">
      <w:numFmt w:val="bullet"/>
      <w:lvlText w:val="•"/>
      <w:lvlJc w:val="left"/>
      <w:pPr>
        <w:ind w:left="692" w:hanging="100"/>
      </w:pPr>
      <w:rPr>
        <w:rFonts w:hint="default"/>
      </w:rPr>
    </w:lvl>
    <w:lvl w:ilvl="3" w:tplc="E4309A5C">
      <w:numFmt w:val="bullet"/>
      <w:lvlText w:val="•"/>
      <w:lvlJc w:val="left"/>
      <w:pPr>
        <w:ind w:left="959" w:hanging="100"/>
      </w:pPr>
      <w:rPr>
        <w:rFonts w:hint="default"/>
      </w:rPr>
    </w:lvl>
    <w:lvl w:ilvl="4" w:tplc="4CF25198">
      <w:numFmt w:val="bullet"/>
      <w:lvlText w:val="•"/>
      <w:lvlJc w:val="left"/>
      <w:pPr>
        <w:ind w:left="1225" w:hanging="100"/>
      </w:pPr>
      <w:rPr>
        <w:rFonts w:hint="default"/>
      </w:rPr>
    </w:lvl>
    <w:lvl w:ilvl="5" w:tplc="C47C6084">
      <w:numFmt w:val="bullet"/>
      <w:lvlText w:val="•"/>
      <w:lvlJc w:val="left"/>
      <w:pPr>
        <w:ind w:left="1492" w:hanging="100"/>
      </w:pPr>
      <w:rPr>
        <w:rFonts w:hint="default"/>
      </w:rPr>
    </w:lvl>
    <w:lvl w:ilvl="6" w:tplc="27BE13B4">
      <w:numFmt w:val="bullet"/>
      <w:lvlText w:val="•"/>
      <w:lvlJc w:val="left"/>
      <w:pPr>
        <w:ind w:left="1758" w:hanging="100"/>
      </w:pPr>
      <w:rPr>
        <w:rFonts w:hint="default"/>
      </w:rPr>
    </w:lvl>
    <w:lvl w:ilvl="7" w:tplc="4E7AF290">
      <w:numFmt w:val="bullet"/>
      <w:lvlText w:val="•"/>
      <w:lvlJc w:val="left"/>
      <w:pPr>
        <w:ind w:left="2024" w:hanging="100"/>
      </w:pPr>
      <w:rPr>
        <w:rFonts w:hint="default"/>
      </w:rPr>
    </w:lvl>
    <w:lvl w:ilvl="8" w:tplc="10A634E4">
      <w:numFmt w:val="bullet"/>
      <w:lvlText w:val="•"/>
      <w:lvlJc w:val="left"/>
      <w:pPr>
        <w:ind w:left="2291" w:hanging="100"/>
      </w:pPr>
      <w:rPr>
        <w:rFonts w:hint="default"/>
      </w:rPr>
    </w:lvl>
  </w:abstractNum>
  <w:abstractNum w:abstractNumId="1025" w15:restartNumberingAfterBreak="0">
    <w:nsid w:val="415462C7"/>
    <w:multiLevelType w:val="hybridMultilevel"/>
    <w:tmpl w:val="8BD85682"/>
    <w:lvl w:ilvl="0" w:tplc="487AC574">
      <w:numFmt w:val="bullet"/>
      <w:lvlText w:val=""/>
      <w:lvlJc w:val="left"/>
      <w:pPr>
        <w:ind w:left="156" w:hanging="100"/>
      </w:pPr>
      <w:rPr>
        <w:rFonts w:ascii="Symbol" w:eastAsia="Symbol" w:hAnsi="Symbol" w:cs="Symbol" w:hint="default"/>
        <w:color w:val="231F20"/>
        <w:w w:val="100"/>
        <w:sz w:val="14"/>
        <w:szCs w:val="14"/>
      </w:rPr>
    </w:lvl>
    <w:lvl w:ilvl="1" w:tplc="6914C5A4">
      <w:numFmt w:val="bullet"/>
      <w:lvlText w:val="•"/>
      <w:lvlJc w:val="left"/>
      <w:pPr>
        <w:ind w:left="426" w:hanging="100"/>
      </w:pPr>
      <w:rPr>
        <w:rFonts w:hint="default"/>
      </w:rPr>
    </w:lvl>
    <w:lvl w:ilvl="2" w:tplc="AE72B81E">
      <w:numFmt w:val="bullet"/>
      <w:lvlText w:val="•"/>
      <w:lvlJc w:val="left"/>
      <w:pPr>
        <w:ind w:left="692" w:hanging="100"/>
      </w:pPr>
      <w:rPr>
        <w:rFonts w:hint="default"/>
      </w:rPr>
    </w:lvl>
    <w:lvl w:ilvl="3" w:tplc="DAB0289E">
      <w:numFmt w:val="bullet"/>
      <w:lvlText w:val="•"/>
      <w:lvlJc w:val="left"/>
      <w:pPr>
        <w:ind w:left="959" w:hanging="100"/>
      </w:pPr>
      <w:rPr>
        <w:rFonts w:hint="default"/>
      </w:rPr>
    </w:lvl>
    <w:lvl w:ilvl="4" w:tplc="9CD050CA">
      <w:numFmt w:val="bullet"/>
      <w:lvlText w:val="•"/>
      <w:lvlJc w:val="left"/>
      <w:pPr>
        <w:ind w:left="1225" w:hanging="100"/>
      </w:pPr>
      <w:rPr>
        <w:rFonts w:hint="default"/>
      </w:rPr>
    </w:lvl>
    <w:lvl w:ilvl="5" w:tplc="BB12443C">
      <w:numFmt w:val="bullet"/>
      <w:lvlText w:val="•"/>
      <w:lvlJc w:val="left"/>
      <w:pPr>
        <w:ind w:left="1492" w:hanging="100"/>
      </w:pPr>
      <w:rPr>
        <w:rFonts w:hint="default"/>
      </w:rPr>
    </w:lvl>
    <w:lvl w:ilvl="6" w:tplc="2B98F302">
      <w:numFmt w:val="bullet"/>
      <w:lvlText w:val="•"/>
      <w:lvlJc w:val="left"/>
      <w:pPr>
        <w:ind w:left="1758" w:hanging="100"/>
      </w:pPr>
      <w:rPr>
        <w:rFonts w:hint="default"/>
      </w:rPr>
    </w:lvl>
    <w:lvl w:ilvl="7" w:tplc="36409D94">
      <w:numFmt w:val="bullet"/>
      <w:lvlText w:val="•"/>
      <w:lvlJc w:val="left"/>
      <w:pPr>
        <w:ind w:left="2024" w:hanging="100"/>
      </w:pPr>
      <w:rPr>
        <w:rFonts w:hint="default"/>
      </w:rPr>
    </w:lvl>
    <w:lvl w:ilvl="8" w:tplc="D5FA86B4">
      <w:numFmt w:val="bullet"/>
      <w:lvlText w:val="•"/>
      <w:lvlJc w:val="left"/>
      <w:pPr>
        <w:ind w:left="2291" w:hanging="100"/>
      </w:pPr>
      <w:rPr>
        <w:rFonts w:hint="default"/>
      </w:rPr>
    </w:lvl>
  </w:abstractNum>
  <w:abstractNum w:abstractNumId="1026" w15:restartNumberingAfterBreak="0">
    <w:nsid w:val="415527AB"/>
    <w:multiLevelType w:val="hybridMultilevel"/>
    <w:tmpl w:val="ECC2558C"/>
    <w:lvl w:ilvl="0" w:tplc="55FE604A">
      <w:numFmt w:val="bullet"/>
      <w:lvlText w:val=""/>
      <w:lvlJc w:val="left"/>
      <w:pPr>
        <w:ind w:left="157" w:hanging="100"/>
      </w:pPr>
      <w:rPr>
        <w:rFonts w:ascii="Symbol" w:eastAsia="Symbol" w:hAnsi="Symbol" w:cs="Symbol" w:hint="default"/>
        <w:color w:val="231F20"/>
        <w:w w:val="100"/>
        <w:sz w:val="14"/>
        <w:szCs w:val="14"/>
      </w:rPr>
    </w:lvl>
    <w:lvl w:ilvl="1" w:tplc="95B8371C">
      <w:numFmt w:val="bullet"/>
      <w:lvlText w:val="•"/>
      <w:lvlJc w:val="left"/>
      <w:pPr>
        <w:ind w:left="426" w:hanging="100"/>
      </w:pPr>
      <w:rPr>
        <w:rFonts w:hint="default"/>
      </w:rPr>
    </w:lvl>
    <w:lvl w:ilvl="2" w:tplc="AAE8F3AA">
      <w:numFmt w:val="bullet"/>
      <w:lvlText w:val="•"/>
      <w:lvlJc w:val="left"/>
      <w:pPr>
        <w:ind w:left="692" w:hanging="100"/>
      </w:pPr>
      <w:rPr>
        <w:rFonts w:hint="default"/>
      </w:rPr>
    </w:lvl>
    <w:lvl w:ilvl="3" w:tplc="5450DCF4">
      <w:numFmt w:val="bullet"/>
      <w:lvlText w:val="•"/>
      <w:lvlJc w:val="left"/>
      <w:pPr>
        <w:ind w:left="959" w:hanging="100"/>
      </w:pPr>
      <w:rPr>
        <w:rFonts w:hint="default"/>
      </w:rPr>
    </w:lvl>
    <w:lvl w:ilvl="4" w:tplc="31DC3D4C">
      <w:numFmt w:val="bullet"/>
      <w:lvlText w:val="•"/>
      <w:lvlJc w:val="left"/>
      <w:pPr>
        <w:ind w:left="1225" w:hanging="100"/>
      </w:pPr>
      <w:rPr>
        <w:rFonts w:hint="default"/>
      </w:rPr>
    </w:lvl>
    <w:lvl w:ilvl="5" w:tplc="022C8D38">
      <w:numFmt w:val="bullet"/>
      <w:lvlText w:val="•"/>
      <w:lvlJc w:val="left"/>
      <w:pPr>
        <w:ind w:left="1492" w:hanging="100"/>
      </w:pPr>
      <w:rPr>
        <w:rFonts w:hint="default"/>
      </w:rPr>
    </w:lvl>
    <w:lvl w:ilvl="6" w:tplc="3BF6AB56">
      <w:numFmt w:val="bullet"/>
      <w:lvlText w:val="•"/>
      <w:lvlJc w:val="left"/>
      <w:pPr>
        <w:ind w:left="1758" w:hanging="100"/>
      </w:pPr>
      <w:rPr>
        <w:rFonts w:hint="default"/>
      </w:rPr>
    </w:lvl>
    <w:lvl w:ilvl="7" w:tplc="98149F70">
      <w:numFmt w:val="bullet"/>
      <w:lvlText w:val="•"/>
      <w:lvlJc w:val="left"/>
      <w:pPr>
        <w:ind w:left="2024" w:hanging="100"/>
      </w:pPr>
      <w:rPr>
        <w:rFonts w:hint="default"/>
      </w:rPr>
    </w:lvl>
    <w:lvl w:ilvl="8" w:tplc="193C6508">
      <w:numFmt w:val="bullet"/>
      <w:lvlText w:val="•"/>
      <w:lvlJc w:val="left"/>
      <w:pPr>
        <w:ind w:left="2291" w:hanging="100"/>
      </w:pPr>
      <w:rPr>
        <w:rFonts w:hint="default"/>
      </w:rPr>
    </w:lvl>
  </w:abstractNum>
  <w:abstractNum w:abstractNumId="1027" w15:restartNumberingAfterBreak="0">
    <w:nsid w:val="41644A21"/>
    <w:multiLevelType w:val="hybridMultilevel"/>
    <w:tmpl w:val="23DE6786"/>
    <w:lvl w:ilvl="0" w:tplc="EC669030">
      <w:numFmt w:val="bullet"/>
      <w:lvlText w:val=""/>
      <w:lvlJc w:val="left"/>
      <w:pPr>
        <w:ind w:left="156" w:hanging="100"/>
      </w:pPr>
      <w:rPr>
        <w:rFonts w:ascii="Symbol" w:eastAsia="Symbol" w:hAnsi="Symbol" w:cs="Symbol" w:hint="default"/>
        <w:color w:val="231F20"/>
        <w:w w:val="100"/>
        <w:sz w:val="14"/>
        <w:szCs w:val="14"/>
      </w:rPr>
    </w:lvl>
    <w:lvl w:ilvl="1" w:tplc="E8C43EF0">
      <w:numFmt w:val="bullet"/>
      <w:lvlText w:val="•"/>
      <w:lvlJc w:val="left"/>
      <w:pPr>
        <w:ind w:left="301" w:hanging="100"/>
      </w:pPr>
      <w:rPr>
        <w:rFonts w:hint="default"/>
      </w:rPr>
    </w:lvl>
    <w:lvl w:ilvl="2" w:tplc="F9DC33D0">
      <w:numFmt w:val="bullet"/>
      <w:lvlText w:val="•"/>
      <w:lvlJc w:val="left"/>
      <w:pPr>
        <w:ind w:left="443" w:hanging="100"/>
      </w:pPr>
      <w:rPr>
        <w:rFonts w:hint="default"/>
      </w:rPr>
    </w:lvl>
    <w:lvl w:ilvl="3" w:tplc="30C8B18A">
      <w:numFmt w:val="bullet"/>
      <w:lvlText w:val="•"/>
      <w:lvlJc w:val="left"/>
      <w:pPr>
        <w:ind w:left="585" w:hanging="100"/>
      </w:pPr>
      <w:rPr>
        <w:rFonts w:hint="default"/>
      </w:rPr>
    </w:lvl>
    <w:lvl w:ilvl="4" w:tplc="A66ACB08">
      <w:numFmt w:val="bullet"/>
      <w:lvlText w:val="•"/>
      <w:lvlJc w:val="left"/>
      <w:pPr>
        <w:ind w:left="726" w:hanging="100"/>
      </w:pPr>
      <w:rPr>
        <w:rFonts w:hint="default"/>
      </w:rPr>
    </w:lvl>
    <w:lvl w:ilvl="5" w:tplc="6D0E0DD6">
      <w:numFmt w:val="bullet"/>
      <w:lvlText w:val="•"/>
      <w:lvlJc w:val="left"/>
      <w:pPr>
        <w:ind w:left="868" w:hanging="100"/>
      </w:pPr>
      <w:rPr>
        <w:rFonts w:hint="default"/>
      </w:rPr>
    </w:lvl>
    <w:lvl w:ilvl="6" w:tplc="475E43BE">
      <w:numFmt w:val="bullet"/>
      <w:lvlText w:val="•"/>
      <w:lvlJc w:val="left"/>
      <w:pPr>
        <w:ind w:left="1010" w:hanging="100"/>
      </w:pPr>
      <w:rPr>
        <w:rFonts w:hint="default"/>
      </w:rPr>
    </w:lvl>
    <w:lvl w:ilvl="7" w:tplc="1D50DC9A">
      <w:numFmt w:val="bullet"/>
      <w:lvlText w:val="•"/>
      <w:lvlJc w:val="left"/>
      <w:pPr>
        <w:ind w:left="1151" w:hanging="100"/>
      </w:pPr>
      <w:rPr>
        <w:rFonts w:hint="default"/>
      </w:rPr>
    </w:lvl>
    <w:lvl w:ilvl="8" w:tplc="8CA8888A">
      <w:numFmt w:val="bullet"/>
      <w:lvlText w:val="•"/>
      <w:lvlJc w:val="left"/>
      <w:pPr>
        <w:ind w:left="1293" w:hanging="100"/>
      </w:pPr>
      <w:rPr>
        <w:rFonts w:hint="default"/>
      </w:rPr>
    </w:lvl>
  </w:abstractNum>
  <w:abstractNum w:abstractNumId="1028" w15:restartNumberingAfterBreak="0">
    <w:nsid w:val="416C0234"/>
    <w:multiLevelType w:val="hybridMultilevel"/>
    <w:tmpl w:val="6E16B0D6"/>
    <w:lvl w:ilvl="0" w:tplc="A52AC5F0">
      <w:numFmt w:val="bullet"/>
      <w:lvlText w:val=""/>
      <w:lvlJc w:val="left"/>
      <w:pPr>
        <w:ind w:left="156" w:hanging="100"/>
      </w:pPr>
      <w:rPr>
        <w:rFonts w:ascii="Symbol" w:eastAsia="Symbol" w:hAnsi="Symbol" w:cs="Symbol" w:hint="default"/>
        <w:color w:val="231F20"/>
        <w:w w:val="100"/>
        <w:sz w:val="14"/>
        <w:szCs w:val="14"/>
      </w:rPr>
    </w:lvl>
    <w:lvl w:ilvl="1" w:tplc="01D20CFC">
      <w:numFmt w:val="bullet"/>
      <w:lvlText w:val="•"/>
      <w:lvlJc w:val="left"/>
      <w:pPr>
        <w:ind w:left="398" w:hanging="100"/>
      </w:pPr>
      <w:rPr>
        <w:rFonts w:hint="default"/>
      </w:rPr>
    </w:lvl>
    <w:lvl w:ilvl="2" w:tplc="94D095F6">
      <w:numFmt w:val="bullet"/>
      <w:lvlText w:val="•"/>
      <w:lvlJc w:val="left"/>
      <w:pPr>
        <w:ind w:left="636" w:hanging="100"/>
      </w:pPr>
      <w:rPr>
        <w:rFonts w:hint="default"/>
      </w:rPr>
    </w:lvl>
    <w:lvl w:ilvl="3" w:tplc="7E12E8D0">
      <w:numFmt w:val="bullet"/>
      <w:lvlText w:val="•"/>
      <w:lvlJc w:val="left"/>
      <w:pPr>
        <w:ind w:left="874" w:hanging="100"/>
      </w:pPr>
      <w:rPr>
        <w:rFonts w:hint="default"/>
      </w:rPr>
    </w:lvl>
    <w:lvl w:ilvl="4" w:tplc="05E6C3D6">
      <w:numFmt w:val="bullet"/>
      <w:lvlText w:val="•"/>
      <w:lvlJc w:val="left"/>
      <w:pPr>
        <w:ind w:left="1112" w:hanging="100"/>
      </w:pPr>
      <w:rPr>
        <w:rFonts w:hint="default"/>
      </w:rPr>
    </w:lvl>
    <w:lvl w:ilvl="5" w:tplc="7B607572">
      <w:numFmt w:val="bullet"/>
      <w:lvlText w:val="•"/>
      <w:lvlJc w:val="left"/>
      <w:pPr>
        <w:ind w:left="1350" w:hanging="100"/>
      </w:pPr>
      <w:rPr>
        <w:rFonts w:hint="default"/>
      </w:rPr>
    </w:lvl>
    <w:lvl w:ilvl="6" w:tplc="35546106">
      <w:numFmt w:val="bullet"/>
      <w:lvlText w:val="•"/>
      <w:lvlJc w:val="left"/>
      <w:pPr>
        <w:ind w:left="1588" w:hanging="100"/>
      </w:pPr>
      <w:rPr>
        <w:rFonts w:hint="default"/>
      </w:rPr>
    </w:lvl>
    <w:lvl w:ilvl="7" w:tplc="A88ED0C0">
      <w:numFmt w:val="bullet"/>
      <w:lvlText w:val="•"/>
      <w:lvlJc w:val="left"/>
      <w:pPr>
        <w:ind w:left="1826" w:hanging="100"/>
      </w:pPr>
      <w:rPr>
        <w:rFonts w:hint="default"/>
      </w:rPr>
    </w:lvl>
    <w:lvl w:ilvl="8" w:tplc="EBB8ABC2">
      <w:numFmt w:val="bullet"/>
      <w:lvlText w:val="•"/>
      <w:lvlJc w:val="left"/>
      <w:pPr>
        <w:ind w:left="2064" w:hanging="100"/>
      </w:pPr>
      <w:rPr>
        <w:rFonts w:hint="default"/>
      </w:rPr>
    </w:lvl>
  </w:abstractNum>
  <w:abstractNum w:abstractNumId="1029" w15:restartNumberingAfterBreak="0">
    <w:nsid w:val="4170224C"/>
    <w:multiLevelType w:val="hybridMultilevel"/>
    <w:tmpl w:val="F90A9232"/>
    <w:lvl w:ilvl="0" w:tplc="165E68FA">
      <w:numFmt w:val="bullet"/>
      <w:lvlText w:val=""/>
      <w:lvlJc w:val="left"/>
      <w:pPr>
        <w:ind w:left="156" w:hanging="100"/>
      </w:pPr>
      <w:rPr>
        <w:rFonts w:ascii="Symbol" w:eastAsia="Symbol" w:hAnsi="Symbol" w:cs="Symbol" w:hint="default"/>
        <w:color w:val="231F20"/>
        <w:w w:val="100"/>
        <w:sz w:val="14"/>
        <w:szCs w:val="14"/>
      </w:rPr>
    </w:lvl>
    <w:lvl w:ilvl="1" w:tplc="B7D87A6A">
      <w:numFmt w:val="bullet"/>
      <w:lvlText w:val="•"/>
      <w:lvlJc w:val="left"/>
      <w:pPr>
        <w:ind w:left="454" w:hanging="100"/>
      </w:pPr>
      <w:rPr>
        <w:rFonts w:hint="default"/>
      </w:rPr>
    </w:lvl>
    <w:lvl w:ilvl="2" w:tplc="BDB8DDD2">
      <w:numFmt w:val="bullet"/>
      <w:lvlText w:val="•"/>
      <w:lvlJc w:val="left"/>
      <w:pPr>
        <w:ind w:left="749" w:hanging="100"/>
      </w:pPr>
      <w:rPr>
        <w:rFonts w:hint="default"/>
      </w:rPr>
    </w:lvl>
    <w:lvl w:ilvl="3" w:tplc="6E24B950">
      <w:numFmt w:val="bullet"/>
      <w:lvlText w:val="•"/>
      <w:lvlJc w:val="left"/>
      <w:pPr>
        <w:ind w:left="1044" w:hanging="100"/>
      </w:pPr>
      <w:rPr>
        <w:rFonts w:hint="default"/>
      </w:rPr>
    </w:lvl>
    <w:lvl w:ilvl="4" w:tplc="A7F29752">
      <w:numFmt w:val="bullet"/>
      <w:lvlText w:val="•"/>
      <w:lvlJc w:val="left"/>
      <w:pPr>
        <w:ind w:left="1339" w:hanging="100"/>
      </w:pPr>
      <w:rPr>
        <w:rFonts w:hint="default"/>
      </w:rPr>
    </w:lvl>
    <w:lvl w:ilvl="5" w:tplc="C59228AE">
      <w:numFmt w:val="bullet"/>
      <w:lvlText w:val="•"/>
      <w:lvlJc w:val="left"/>
      <w:pPr>
        <w:ind w:left="1634" w:hanging="100"/>
      </w:pPr>
      <w:rPr>
        <w:rFonts w:hint="default"/>
      </w:rPr>
    </w:lvl>
    <w:lvl w:ilvl="6" w:tplc="EE7A6044">
      <w:numFmt w:val="bullet"/>
      <w:lvlText w:val="•"/>
      <w:lvlJc w:val="left"/>
      <w:pPr>
        <w:ind w:left="1928" w:hanging="100"/>
      </w:pPr>
      <w:rPr>
        <w:rFonts w:hint="default"/>
      </w:rPr>
    </w:lvl>
    <w:lvl w:ilvl="7" w:tplc="8D7A2198">
      <w:numFmt w:val="bullet"/>
      <w:lvlText w:val="•"/>
      <w:lvlJc w:val="left"/>
      <w:pPr>
        <w:ind w:left="2223" w:hanging="100"/>
      </w:pPr>
      <w:rPr>
        <w:rFonts w:hint="default"/>
      </w:rPr>
    </w:lvl>
    <w:lvl w:ilvl="8" w:tplc="16C4D254">
      <w:numFmt w:val="bullet"/>
      <w:lvlText w:val="•"/>
      <w:lvlJc w:val="left"/>
      <w:pPr>
        <w:ind w:left="2518" w:hanging="100"/>
      </w:pPr>
      <w:rPr>
        <w:rFonts w:hint="default"/>
      </w:rPr>
    </w:lvl>
  </w:abstractNum>
  <w:abstractNum w:abstractNumId="1030" w15:restartNumberingAfterBreak="0">
    <w:nsid w:val="417325AD"/>
    <w:multiLevelType w:val="hybridMultilevel"/>
    <w:tmpl w:val="4940A64C"/>
    <w:lvl w:ilvl="0" w:tplc="2F46048A">
      <w:numFmt w:val="bullet"/>
      <w:lvlText w:val=""/>
      <w:lvlJc w:val="left"/>
      <w:pPr>
        <w:ind w:left="156" w:hanging="100"/>
      </w:pPr>
      <w:rPr>
        <w:rFonts w:ascii="Symbol" w:eastAsia="Symbol" w:hAnsi="Symbol" w:cs="Symbol" w:hint="default"/>
        <w:color w:val="231F20"/>
        <w:w w:val="100"/>
        <w:sz w:val="14"/>
        <w:szCs w:val="14"/>
      </w:rPr>
    </w:lvl>
    <w:lvl w:ilvl="1" w:tplc="99805CEE">
      <w:numFmt w:val="bullet"/>
      <w:lvlText w:val="•"/>
      <w:lvlJc w:val="left"/>
      <w:pPr>
        <w:ind w:left="301" w:hanging="100"/>
      </w:pPr>
      <w:rPr>
        <w:rFonts w:hint="default"/>
      </w:rPr>
    </w:lvl>
    <w:lvl w:ilvl="2" w:tplc="92A41C50">
      <w:numFmt w:val="bullet"/>
      <w:lvlText w:val="•"/>
      <w:lvlJc w:val="left"/>
      <w:pPr>
        <w:ind w:left="443" w:hanging="100"/>
      </w:pPr>
      <w:rPr>
        <w:rFonts w:hint="default"/>
      </w:rPr>
    </w:lvl>
    <w:lvl w:ilvl="3" w:tplc="93047922">
      <w:numFmt w:val="bullet"/>
      <w:lvlText w:val="•"/>
      <w:lvlJc w:val="left"/>
      <w:pPr>
        <w:ind w:left="585" w:hanging="100"/>
      </w:pPr>
      <w:rPr>
        <w:rFonts w:hint="default"/>
      </w:rPr>
    </w:lvl>
    <w:lvl w:ilvl="4" w:tplc="A7E21914">
      <w:numFmt w:val="bullet"/>
      <w:lvlText w:val="•"/>
      <w:lvlJc w:val="left"/>
      <w:pPr>
        <w:ind w:left="726" w:hanging="100"/>
      </w:pPr>
      <w:rPr>
        <w:rFonts w:hint="default"/>
      </w:rPr>
    </w:lvl>
    <w:lvl w:ilvl="5" w:tplc="61184578">
      <w:numFmt w:val="bullet"/>
      <w:lvlText w:val="•"/>
      <w:lvlJc w:val="left"/>
      <w:pPr>
        <w:ind w:left="868" w:hanging="100"/>
      </w:pPr>
      <w:rPr>
        <w:rFonts w:hint="default"/>
      </w:rPr>
    </w:lvl>
    <w:lvl w:ilvl="6" w:tplc="6AA23FC6">
      <w:numFmt w:val="bullet"/>
      <w:lvlText w:val="•"/>
      <w:lvlJc w:val="left"/>
      <w:pPr>
        <w:ind w:left="1010" w:hanging="100"/>
      </w:pPr>
      <w:rPr>
        <w:rFonts w:hint="default"/>
      </w:rPr>
    </w:lvl>
    <w:lvl w:ilvl="7" w:tplc="FDEAB65C">
      <w:numFmt w:val="bullet"/>
      <w:lvlText w:val="•"/>
      <w:lvlJc w:val="left"/>
      <w:pPr>
        <w:ind w:left="1151" w:hanging="100"/>
      </w:pPr>
      <w:rPr>
        <w:rFonts w:hint="default"/>
      </w:rPr>
    </w:lvl>
    <w:lvl w:ilvl="8" w:tplc="7D1ABAFA">
      <w:numFmt w:val="bullet"/>
      <w:lvlText w:val="•"/>
      <w:lvlJc w:val="left"/>
      <w:pPr>
        <w:ind w:left="1293" w:hanging="100"/>
      </w:pPr>
      <w:rPr>
        <w:rFonts w:hint="default"/>
      </w:rPr>
    </w:lvl>
  </w:abstractNum>
  <w:abstractNum w:abstractNumId="1031" w15:restartNumberingAfterBreak="0">
    <w:nsid w:val="417D1FAA"/>
    <w:multiLevelType w:val="hybridMultilevel"/>
    <w:tmpl w:val="D25A5A44"/>
    <w:lvl w:ilvl="0" w:tplc="6DF4CA52">
      <w:numFmt w:val="bullet"/>
      <w:lvlText w:val=""/>
      <w:lvlJc w:val="left"/>
      <w:pPr>
        <w:ind w:left="157" w:hanging="100"/>
      </w:pPr>
      <w:rPr>
        <w:rFonts w:ascii="Symbol" w:eastAsia="Symbol" w:hAnsi="Symbol" w:cs="Symbol" w:hint="default"/>
        <w:color w:val="231F20"/>
        <w:w w:val="100"/>
        <w:sz w:val="14"/>
        <w:szCs w:val="14"/>
      </w:rPr>
    </w:lvl>
    <w:lvl w:ilvl="1" w:tplc="65A270C8">
      <w:numFmt w:val="bullet"/>
      <w:lvlText w:val="•"/>
      <w:lvlJc w:val="left"/>
      <w:pPr>
        <w:ind w:left="369" w:hanging="100"/>
      </w:pPr>
      <w:rPr>
        <w:rFonts w:hint="default"/>
      </w:rPr>
    </w:lvl>
    <w:lvl w:ilvl="2" w:tplc="07129D38">
      <w:numFmt w:val="bullet"/>
      <w:lvlText w:val="•"/>
      <w:lvlJc w:val="left"/>
      <w:pPr>
        <w:ind w:left="579" w:hanging="100"/>
      </w:pPr>
      <w:rPr>
        <w:rFonts w:hint="default"/>
      </w:rPr>
    </w:lvl>
    <w:lvl w:ilvl="3" w:tplc="FCF0343A">
      <w:numFmt w:val="bullet"/>
      <w:lvlText w:val="•"/>
      <w:lvlJc w:val="left"/>
      <w:pPr>
        <w:ind w:left="789" w:hanging="100"/>
      </w:pPr>
      <w:rPr>
        <w:rFonts w:hint="default"/>
      </w:rPr>
    </w:lvl>
    <w:lvl w:ilvl="4" w:tplc="13BEA6DE">
      <w:numFmt w:val="bullet"/>
      <w:lvlText w:val="•"/>
      <w:lvlJc w:val="left"/>
      <w:pPr>
        <w:ind w:left="998" w:hanging="100"/>
      </w:pPr>
      <w:rPr>
        <w:rFonts w:hint="default"/>
      </w:rPr>
    </w:lvl>
    <w:lvl w:ilvl="5" w:tplc="3930619E">
      <w:numFmt w:val="bullet"/>
      <w:lvlText w:val="•"/>
      <w:lvlJc w:val="left"/>
      <w:pPr>
        <w:ind w:left="1208" w:hanging="100"/>
      </w:pPr>
      <w:rPr>
        <w:rFonts w:hint="default"/>
      </w:rPr>
    </w:lvl>
    <w:lvl w:ilvl="6" w:tplc="8306DB3C">
      <w:numFmt w:val="bullet"/>
      <w:lvlText w:val="•"/>
      <w:lvlJc w:val="left"/>
      <w:pPr>
        <w:ind w:left="1418" w:hanging="100"/>
      </w:pPr>
      <w:rPr>
        <w:rFonts w:hint="default"/>
      </w:rPr>
    </w:lvl>
    <w:lvl w:ilvl="7" w:tplc="4452873A">
      <w:numFmt w:val="bullet"/>
      <w:lvlText w:val="•"/>
      <w:lvlJc w:val="left"/>
      <w:pPr>
        <w:ind w:left="1627" w:hanging="100"/>
      </w:pPr>
      <w:rPr>
        <w:rFonts w:hint="default"/>
      </w:rPr>
    </w:lvl>
    <w:lvl w:ilvl="8" w:tplc="4A646F6E">
      <w:numFmt w:val="bullet"/>
      <w:lvlText w:val="•"/>
      <w:lvlJc w:val="left"/>
      <w:pPr>
        <w:ind w:left="1837" w:hanging="100"/>
      </w:pPr>
      <w:rPr>
        <w:rFonts w:hint="default"/>
      </w:rPr>
    </w:lvl>
  </w:abstractNum>
  <w:abstractNum w:abstractNumId="1032" w15:restartNumberingAfterBreak="0">
    <w:nsid w:val="41953048"/>
    <w:multiLevelType w:val="hybridMultilevel"/>
    <w:tmpl w:val="E5348992"/>
    <w:lvl w:ilvl="0" w:tplc="0E3C631E">
      <w:numFmt w:val="bullet"/>
      <w:lvlText w:val=""/>
      <w:lvlJc w:val="left"/>
      <w:pPr>
        <w:ind w:left="157" w:hanging="100"/>
      </w:pPr>
      <w:rPr>
        <w:rFonts w:ascii="Symbol" w:eastAsia="Symbol" w:hAnsi="Symbol" w:cs="Symbol" w:hint="default"/>
        <w:color w:val="231F20"/>
        <w:w w:val="100"/>
        <w:sz w:val="14"/>
        <w:szCs w:val="14"/>
      </w:rPr>
    </w:lvl>
    <w:lvl w:ilvl="1" w:tplc="E2BCDBCC">
      <w:numFmt w:val="bullet"/>
      <w:lvlText w:val="•"/>
      <w:lvlJc w:val="left"/>
      <w:pPr>
        <w:ind w:left="369" w:hanging="100"/>
      </w:pPr>
      <w:rPr>
        <w:rFonts w:hint="default"/>
      </w:rPr>
    </w:lvl>
    <w:lvl w:ilvl="2" w:tplc="D54A3608">
      <w:numFmt w:val="bullet"/>
      <w:lvlText w:val="•"/>
      <w:lvlJc w:val="left"/>
      <w:pPr>
        <w:ind w:left="579" w:hanging="100"/>
      </w:pPr>
      <w:rPr>
        <w:rFonts w:hint="default"/>
      </w:rPr>
    </w:lvl>
    <w:lvl w:ilvl="3" w:tplc="28C8F98A">
      <w:numFmt w:val="bullet"/>
      <w:lvlText w:val="•"/>
      <w:lvlJc w:val="left"/>
      <w:pPr>
        <w:ind w:left="789" w:hanging="100"/>
      </w:pPr>
      <w:rPr>
        <w:rFonts w:hint="default"/>
      </w:rPr>
    </w:lvl>
    <w:lvl w:ilvl="4" w:tplc="E014E3BA">
      <w:numFmt w:val="bullet"/>
      <w:lvlText w:val="•"/>
      <w:lvlJc w:val="left"/>
      <w:pPr>
        <w:ind w:left="998" w:hanging="100"/>
      </w:pPr>
      <w:rPr>
        <w:rFonts w:hint="default"/>
      </w:rPr>
    </w:lvl>
    <w:lvl w:ilvl="5" w:tplc="DCE838DE">
      <w:numFmt w:val="bullet"/>
      <w:lvlText w:val="•"/>
      <w:lvlJc w:val="left"/>
      <w:pPr>
        <w:ind w:left="1208" w:hanging="100"/>
      </w:pPr>
      <w:rPr>
        <w:rFonts w:hint="default"/>
      </w:rPr>
    </w:lvl>
    <w:lvl w:ilvl="6" w:tplc="E8AA494C">
      <w:numFmt w:val="bullet"/>
      <w:lvlText w:val="•"/>
      <w:lvlJc w:val="left"/>
      <w:pPr>
        <w:ind w:left="1418" w:hanging="100"/>
      </w:pPr>
      <w:rPr>
        <w:rFonts w:hint="default"/>
      </w:rPr>
    </w:lvl>
    <w:lvl w:ilvl="7" w:tplc="60FE4A9A">
      <w:numFmt w:val="bullet"/>
      <w:lvlText w:val="•"/>
      <w:lvlJc w:val="left"/>
      <w:pPr>
        <w:ind w:left="1627" w:hanging="100"/>
      </w:pPr>
      <w:rPr>
        <w:rFonts w:hint="default"/>
      </w:rPr>
    </w:lvl>
    <w:lvl w:ilvl="8" w:tplc="4ED8386A">
      <w:numFmt w:val="bullet"/>
      <w:lvlText w:val="•"/>
      <w:lvlJc w:val="left"/>
      <w:pPr>
        <w:ind w:left="1837" w:hanging="100"/>
      </w:pPr>
      <w:rPr>
        <w:rFonts w:hint="default"/>
      </w:rPr>
    </w:lvl>
  </w:abstractNum>
  <w:abstractNum w:abstractNumId="1033" w15:restartNumberingAfterBreak="0">
    <w:nsid w:val="41A62EE9"/>
    <w:multiLevelType w:val="hybridMultilevel"/>
    <w:tmpl w:val="D9B464B6"/>
    <w:lvl w:ilvl="0" w:tplc="1522FF24">
      <w:numFmt w:val="bullet"/>
      <w:lvlText w:val=""/>
      <w:lvlJc w:val="left"/>
      <w:pPr>
        <w:ind w:left="156" w:hanging="100"/>
      </w:pPr>
      <w:rPr>
        <w:rFonts w:ascii="Symbol" w:eastAsia="Symbol" w:hAnsi="Symbol" w:cs="Symbol" w:hint="default"/>
        <w:color w:val="231F20"/>
        <w:w w:val="100"/>
        <w:sz w:val="14"/>
        <w:szCs w:val="14"/>
      </w:rPr>
    </w:lvl>
    <w:lvl w:ilvl="1" w:tplc="9E78F95C">
      <w:numFmt w:val="bullet"/>
      <w:lvlText w:val="•"/>
      <w:lvlJc w:val="left"/>
      <w:pPr>
        <w:ind w:left="301" w:hanging="100"/>
      </w:pPr>
      <w:rPr>
        <w:rFonts w:hint="default"/>
      </w:rPr>
    </w:lvl>
    <w:lvl w:ilvl="2" w:tplc="D63E8B1E">
      <w:numFmt w:val="bullet"/>
      <w:lvlText w:val="•"/>
      <w:lvlJc w:val="left"/>
      <w:pPr>
        <w:ind w:left="443" w:hanging="100"/>
      </w:pPr>
      <w:rPr>
        <w:rFonts w:hint="default"/>
      </w:rPr>
    </w:lvl>
    <w:lvl w:ilvl="3" w:tplc="8212537C">
      <w:numFmt w:val="bullet"/>
      <w:lvlText w:val="•"/>
      <w:lvlJc w:val="left"/>
      <w:pPr>
        <w:ind w:left="585" w:hanging="100"/>
      </w:pPr>
      <w:rPr>
        <w:rFonts w:hint="default"/>
      </w:rPr>
    </w:lvl>
    <w:lvl w:ilvl="4" w:tplc="49D2740C">
      <w:numFmt w:val="bullet"/>
      <w:lvlText w:val="•"/>
      <w:lvlJc w:val="left"/>
      <w:pPr>
        <w:ind w:left="726" w:hanging="100"/>
      </w:pPr>
      <w:rPr>
        <w:rFonts w:hint="default"/>
      </w:rPr>
    </w:lvl>
    <w:lvl w:ilvl="5" w:tplc="89562568">
      <w:numFmt w:val="bullet"/>
      <w:lvlText w:val="•"/>
      <w:lvlJc w:val="left"/>
      <w:pPr>
        <w:ind w:left="868" w:hanging="100"/>
      </w:pPr>
      <w:rPr>
        <w:rFonts w:hint="default"/>
      </w:rPr>
    </w:lvl>
    <w:lvl w:ilvl="6" w:tplc="7B98065C">
      <w:numFmt w:val="bullet"/>
      <w:lvlText w:val="•"/>
      <w:lvlJc w:val="left"/>
      <w:pPr>
        <w:ind w:left="1010" w:hanging="100"/>
      </w:pPr>
      <w:rPr>
        <w:rFonts w:hint="default"/>
      </w:rPr>
    </w:lvl>
    <w:lvl w:ilvl="7" w:tplc="68D2A130">
      <w:numFmt w:val="bullet"/>
      <w:lvlText w:val="•"/>
      <w:lvlJc w:val="left"/>
      <w:pPr>
        <w:ind w:left="1151" w:hanging="100"/>
      </w:pPr>
      <w:rPr>
        <w:rFonts w:hint="default"/>
      </w:rPr>
    </w:lvl>
    <w:lvl w:ilvl="8" w:tplc="256AA5AE">
      <w:numFmt w:val="bullet"/>
      <w:lvlText w:val="•"/>
      <w:lvlJc w:val="left"/>
      <w:pPr>
        <w:ind w:left="1293" w:hanging="100"/>
      </w:pPr>
      <w:rPr>
        <w:rFonts w:hint="default"/>
      </w:rPr>
    </w:lvl>
  </w:abstractNum>
  <w:abstractNum w:abstractNumId="1034" w15:restartNumberingAfterBreak="0">
    <w:nsid w:val="41A63C16"/>
    <w:multiLevelType w:val="hybridMultilevel"/>
    <w:tmpl w:val="B30662CA"/>
    <w:lvl w:ilvl="0" w:tplc="7BB09756">
      <w:numFmt w:val="bullet"/>
      <w:lvlText w:val=""/>
      <w:lvlJc w:val="left"/>
      <w:pPr>
        <w:ind w:left="156" w:hanging="100"/>
      </w:pPr>
      <w:rPr>
        <w:rFonts w:ascii="Symbol" w:eastAsia="Symbol" w:hAnsi="Symbol" w:cs="Symbol" w:hint="default"/>
        <w:color w:val="231F20"/>
        <w:w w:val="100"/>
        <w:sz w:val="14"/>
        <w:szCs w:val="14"/>
      </w:rPr>
    </w:lvl>
    <w:lvl w:ilvl="1" w:tplc="3102887A">
      <w:numFmt w:val="bullet"/>
      <w:lvlText w:val="•"/>
      <w:lvlJc w:val="left"/>
      <w:pPr>
        <w:ind w:left="273" w:hanging="100"/>
      </w:pPr>
      <w:rPr>
        <w:rFonts w:hint="default"/>
      </w:rPr>
    </w:lvl>
    <w:lvl w:ilvl="2" w:tplc="45265244">
      <w:numFmt w:val="bullet"/>
      <w:lvlText w:val="•"/>
      <w:lvlJc w:val="left"/>
      <w:pPr>
        <w:ind w:left="386" w:hanging="100"/>
      </w:pPr>
      <w:rPr>
        <w:rFonts w:hint="default"/>
      </w:rPr>
    </w:lvl>
    <w:lvl w:ilvl="3" w:tplc="76922D72">
      <w:numFmt w:val="bullet"/>
      <w:lvlText w:val="•"/>
      <w:lvlJc w:val="left"/>
      <w:pPr>
        <w:ind w:left="500" w:hanging="100"/>
      </w:pPr>
      <w:rPr>
        <w:rFonts w:hint="default"/>
      </w:rPr>
    </w:lvl>
    <w:lvl w:ilvl="4" w:tplc="EE024C2A">
      <w:numFmt w:val="bullet"/>
      <w:lvlText w:val="•"/>
      <w:lvlJc w:val="left"/>
      <w:pPr>
        <w:ind w:left="613" w:hanging="100"/>
      </w:pPr>
      <w:rPr>
        <w:rFonts w:hint="default"/>
      </w:rPr>
    </w:lvl>
    <w:lvl w:ilvl="5" w:tplc="5ABEBA88">
      <w:numFmt w:val="bullet"/>
      <w:lvlText w:val="•"/>
      <w:lvlJc w:val="left"/>
      <w:pPr>
        <w:ind w:left="727" w:hanging="100"/>
      </w:pPr>
      <w:rPr>
        <w:rFonts w:hint="default"/>
      </w:rPr>
    </w:lvl>
    <w:lvl w:ilvl="6" w:tplc="993AEA32">
      <w:numFmt w:val="bullet"/>
      <w:lvlText w:val="•"/>
      <w:lvlJc w:val="left"/>
      <w:pPr>
        <w:ind w:left="840" w:hanging="100"/>
      </w:pPr>
      <w:rPr>
        <w:rFonts w:hint="default"/>
      </w:rPr>
    </w:lvl>
    <w:lvl w:ilvl="7" w:tplc="0EDA34E6">
      <w:numFmt w:val="bullet"/>
      <w:lvlText w:val="•"/>
      <w:lvlJc w:val="left"/>
      <w:pPr>
        <w:ind w:left="953" w:hanging="100"/>
      </w:pPr>
      <w:rPr>
        <w:rFonts w:hint="default"/>
      </w:rPr>
    </w:lvl>
    <w:lvl w:ilvl="8" w:tplc="C4C8AEAC">
      <w:numFmt w:val="bullet"/>
      <w:lvlText w:val="•"/>
      <w:lvlJc w:val="left"/>
      <w:pPr>
        <w:ind w:left="1067" w:hanging="100"/>
      </w:pPr>
      <w:rPr>
        <w:rFonts w:hint="default"/>
      </w:rPr>
    </w:lvl>
  </w:abstractNum>
  <w:abstractNum w:abstractNumId="1035" w15:restartNumberingAfterBreak="0">
    <w:nsid w:val="41D84987"/>
    <w:multiLevelType w:val="hybridMultilevel"/>
    <w:tmpl w:val="FAC4E5BE"/>
    <w:lvl w:ilvl="0" w:tplc="64F8D9E0">
      <w:numFmt w:val="bullet"/>
      <w:lvlText w:val=""/>
      <w:lvlJc w:val="left"/>
      <w:pPr>
        <w:ind w:left="156" w:hanging="100"/>
      </w:pPr>
      <w:rPr>
        <w:rFonts w:ascii="Symbol" w:eastAsia="Symbol" w:hAnsi="Symbol" w:cs="Symbol" w:hint="default"/>
        <w:color w:val="231F20"/>
        <w:w w:val="100"/>
        <w:sz w:val="14"/>
        <w:szCs w:val="14"/>
      </w:rPr>
    </w:lvl>
    <w:lvl w:ilvl="1" w:tplc="0B0899E6">
      <w:numFmt w:val="bullet"/>
      <w:lvlText w:val="•"/>
      <w:lvlJc w:val="left"/>
      <w:pPr>
        <w:ind w:left="301" w:hanging="100"/>
      </w:pPr>
      <w:rPr>
        <w:rFonts w:hint="default"/>
      </w:rPr>
    </w:lvl>
    <w:lvl w:ilvl="2" w:tplc="BA0CF220">
      <w:numFmt w:val="bullet"/>
      <w:lvlText w:val="•"/>
      <w:lvlJc w:val="left"/>
      <w:pPr>
        <w:ind w:left="443" w:hanging="100"/>
      </w:pPr>
      <w:rPr>
        <w:rFonts w:hint="default"/>
      </w:rPr>
    </w:lvl>
    <w:lvl w:ilvl="3" w:tplc="362C7DC0">
      <w:numFmt w:val="bullet"/>
      <w:lvlText w:val="•"/>
      <w:lvlJc w:val="left"/>
      <w:pPr>
        <w:ind w:left="585" w:hanging="100"/>
      </w:pPr>
      <w:rPr>
        <w:rFonts w:hint="default"/>
      </w:rPr>
    </w:lvl>
    <w:lvl w:ilvl="4" w:tplc="B7C80B54">
      <w:numFmt w:val="bullet"/>
      <w:lvlText w:val="•"/>
      <w:lvlJc w:val="left"/>
      <w:pPr>
        <w:ind w:left="726" w:hanging="100"/>
      </w:pPr>
      <w:rPr>
        <w:rFonts w:hint="default"/>
      </w:rPr>
    </w:lvl>
    <w:lvl w:ilvl="5" w:tplc="F9D87278">
      <w:numFmt w:val="bullet"/>
      <w:lvlText w:val="•"/>
      <w:lvlJc w:val="left"/>
      <w:pPr>
        <w:ind w:left="868" w:hanging="100"/>
      </w:pPr>
      <w:rPr>
        <w:rFonts w:hint="default"/>
      </w:rPr>
    </w:lvl>
    <w:lvl w:ilvl="6" w:tplc="E1CAB302">
      <w:numFmt w:val="bullet"/>
      <w:lvlText w:val="•"/>
      <w:lvlJc w:val="left"/>
      <w:pPr>
        <w:ind w:left="1010" w:hanging="100"/>
      </w:pPr>
      <w:rPr>
        <w:rFonts w:hint="default"/>
      </w:rPr>
    </w:lvl>
    <w:lvl w:ilvl="7" w:tplc="E7ECE56A">
      <w:numFmt w:val="bullet"/>
      <w:lvlText w:val="•"/>
      <w:lvlJc w:val="left"/>
      <w:pPr>
        <w:ind w:left="1151" w:hanging="100"/>
      </w:pPr>
      <w:rPr>
        <w:rFonts w:hint="default"/>
      </w:rPr>
    </w:lvl>
    <w:lvl w:ilvl="8" w:tplc="900212FC">
      <w:numFmt w:val="bullet"/>
      <w:lvlText w:val="•"/>
      <w:lvlJc w:val="left"/>
      <w:pPr>
        <w:ind w:left="1293" w:hanging="100"/>
      </w:pPr>
      <w:rPr>
        <w:rFonts w:hint="default"/>
      </w:rPr>
    </w:lvl>
  </w:abstractNum>
  <w:abstractNum w:abstractNumId="1036" w15:restartNumberingAfterBreak="0">
    <w:nsid w:val="41F62C96"/>
    <w:multiLevelType w:val="hybridMultilevel"/>
    <w:tmpl w:val="82741C38"/>
    <w:lvl w:ilvl="0" w:tplc="D79E43B0">
      <w:numFmt w:val="bullet"/>
      <w:lvlText w:val=""/>
      <w:lvlJc w:val="left"/>
      <w:pPr>
        <w:ind w:left="157" w:hanging="100"/>
      </w:pPr>
      <w:rPr>
        <w:rFonts w:ascii="Symbol" w:eastAsia="Symbol" w:hAnsi="Symbol" w:cs="Symbol" w:hint="default"/>
        <w:color w:val="231F20"/>
        <w:w w:val="100"/>
        <w:sz w:val="14"/>
        <w:szCs w:val="14"/>
      </w:rPr>
    </w:lvl>
    <w:lvl w:ilvl="1" w:tplc="18AABBA0">
      <w:numFmt w:val="bullet"/>
      <w:lvlText w:val="•"/>
      <w:lvlJc w:val="left"/>
      <w:pPr>
        <w:ind w:left="426" w:hanging="100"/>
      </w:pPr>
      <w:rPr>
        <w:rFonts w:hint="default"/>
      </w:rPr>
    </w:lvl>
    <w:lvl w:ilvl="2" w:tplc="5A585462">
      <w:numFmt w:val="bullet"/>
      <w:lvlText w:val="•"/>
      <w:lvlJc w:val="left"/>
      <w:pPr>
        <w:ind w:left="692" w:hanging="100"/>
      </w:pPr>
      <w:rPr>
        <w:rFonts w:hint="default"/>
      </w:rPr>
    </w:lvl>
    <w:lvl w:ilvl="3" w:tplc="885A49F0">
      <w:numFmt w:val="bullet"/>
      <w:lvlText w:val="•"/>
      <w:lvlJc w:val="left"/>
      <w:pPr>
        <w:ind w:left="959" w:hanging="100"/>
      </w:pPr>
      <w:rPr>
        <w:rFonts w:hint="default"/>
      </w:rPr>
    </w:lvl>
    <w:lvl w:ilvl="4" w:tplc="FCE8F20C">
      <w:numFmt w:val="bullet"/>
      <w:lvlText w:val="•"/>
      <w:lvlJc w:val="left"/>
      <w:pPr>
        <w:ind w:left="1225" w:hanging="100"/>
      </w:pPr>
      <w:rPr>
        <w:rFonts w:hint="default"/>
      </w:rPr>
    </w:lvl>
    <w:lvl w:ilvl="5" w:tplc="5C6E6CE4">
      <w:numFmt w:val="bullet"/>
      <w:lvlText w:val="•"/>
      <w:lvlJc w:val="left"/>
      <w:pPr>
        <w:ind w:left="1492" w:hanging="100"/>
      </w:pPr>
      <w:rPr>
        <w:rFonts w:hint="default"/>
      </w:rPr>
    </w:lvl>
    <w:lvl w:ilvl="6" w:tplc="E00CC6F8">
      <w:numFmt w:val="bullet"/>
      <w:lvlText w:val="•"/>
      <w:lvlJc w:val="left"/>
      <w:pPr>
        <w:ind w:left="1758" w:hanging="100"/>
      </w:pPr>
      <w:rPr>
        <w:rFonts w:hint="default"/>
      </w:rPr>
    </w:lvl>
    <w:lvl w:ilvl="7" w:tplc="BD82C7FA">
      <w:numFmt w:val="bullet"/>
      <w:lvlText w:val="•"/>
      <w:lvlJc w:val="left"/>
      <w:pPr>
        <w:ind w:left="2024" w:hanging="100"/>
      </w:pPr>
      <w:rPr>
        <w:rFonts w:hint="default"/>
      </w:rPr>
    </w:lvl>
    <w:lvl w:ilvl="8" w:tplc="3E1C3FF2">
      <w:numFmt w:val="bullet"/>
      <w:lvlText w:val="•"/>
      <w:lvlJc w:val="left"/>
      <w:pPr>
        <w:ind w:left="2291" w:hanging="100"/>
      </w:pPr>
      <w:rPr>
        <w:rFonts w:hint="default"/>
      </w:rPr>
    </w:lvl>
  </w:abstractNum>
  <w:abstractNum w:abstractNumId="1037" w15:restartNumberingAfterBreak="0">
    <w:nsid w:val="41F9219D"/>
    <w:multiLevelType w:val="hybridMultilevel"/>
    <w:tmpl w:val="73E825A8"/>
    <w:lvl w:ilvl="0" w:tplc="1DE2BE1A">
      <w:numFmt w:val="bullet"/>
      <w:lvlText w:val=""/>
      <w:lvlJc w:val="left"/>
      <w:pPr>
        <w:ind w:left="156" w:hanging="100"/>
      </w:pPr>
      <w:rPr>
        <w:rFonts w:ascii="Symbol" w:eastAsia="Symbol" w:hAnsi="Symbol" w:cs="Symbol" w:hint="default"/>
        <w:color w:val="231F20"/>
        <w:w w:val="100"/>
        <w:sz w:val="14"/>
        <w:szCs w:val="14"/>
      </w:rPr>
    </w:lvl>
    <w:lvl w:ilvl="1" w:tplc="7FAC559A">
      <w:numFmt w:val="bullet"/>
      <w:lvlText w:val="•"/>
      <w:lvlJc w:val="left"/>
      <w:pPr>
        <w:ind w:left="426" w:hanging="100"/>
      </w:pPr>
      <w:rPr>
        <w:rFonts w:hint="default"/>
      </w:rPr>
    </w:lvl>
    <w:lvl w:ilvl="2" w:tplc="7FE63430">
      <w:numFmt w:val="bullet"/>
      <w:lvlText w:val="•"/>
      <w:lvlJc w:val="left"/>
      <w:pPr>
        <w:ind w:left="692" w:hanging="100"/>
      </w:pPr>
      <w:rPr>
        <w:rFonts w:hint="default"/>
      </w:rPr>
    </w:lvl>
    <w:lvl w:ilvl="3" w:tplc="78B2DDDA">
      <w:numFmt w:val="bullet"/>
      <w:lvlText w:val="•"/>
      <w:lvlJc w:val="left"/>
      <w:pPr>
        <w:ind w:left="959" w:hanging="100"/>
      </w:pPr>
      <w:rPr>
        <w:rFonts w:hint="default"/>
      </w:rPr>
    </w:lvl>
    <w:lvl w:ilvl="4" w:tplc="810C5198">
      <w:numFmt w:val="bullet"/>
      <w:lvlText w:val="•"/>
      <w:lvlJc w:val="left"/>
      <w:pPr>
        <w:ind w:left="1225" w:hanging="100"/>
      </w:pPr>
      <w:rPr>
        <w:rFonts w:hint="default"/>
      </w:rPr>
    </w:lvl>
    <w:lvl w:ilvl="5" w:tplc="84AE99B2">
      <w:numFmt w:val="bullet"/>
      <w:lvlText w:val="•"/>
      <w:lvlJc w:val="left"/>
      <w:pPr>
        <w:ind w:left="1492" w:hanging="100"/>
      </w:pPr>
      <w:rPr>
        <w:rFonts w:hint="default"/>
      </w:rPr>
    </w:lvl>
    <w:lvl w:ilvl="6" w:tplc="BCEAEC4C">
      <w:numFmt w:val="bullet"/>
      <w:lvlText w:val="•"/>
      <w:lvlJc w:val="left"/>
      <w:pPr>
        <w:ind w:left="1758" w:hanging="100"/>
      </w:pPr>
      <w:rPr>
        <w:rFonts w:hint="default"/>
      </w:rPr>
    </w:lvl>
    <w:lvl w:ilvl="7" w:tplc="C4B6F582">
      <w:numFmt w:val="bullet"/>
      <w:lvlText w:val="•"/>
      <w:lvlJc w:val="left"/>
      <w:pPr>
        <w:ind w:left="2024" w:hanging="100"/>
      </w:pPr>
      <w:rPr>
        <w:rFonts w:hint="default"/>
      </w:rPr>
    </w:lvl>
    <w:lvl w:ilvl="8" w:tplc="2474E168">
      <w:numFmt w:val="bullet"/>
      <w:lvlText w:val="•"/>
      <w:lvlJc w:val="left"/>
      <w:pPr>
        <w:ind w:left="2291" w:hanging="100"/>
      </w:pPr>
      <w:rPr>
        <w:rFonts w:hint="default"/>
      </w:rPr>
    </w:lvl>
  </w:abstractNum>
  <w:abstractNum w:abstractNumId="1038" w15:restartNumberingAfterBreak="0">
    <w:nsid w:val="41FB7A66"/>
    <w:multiLevelType w:val="hybridMultilevel"/>
    <w:tmpl w:val="F996A716"/>
    <w:lvl w:ilvl="0" w:tplc="A6FA6DE8">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F50EB71A">
      <w:numFmt w:val="bullet"/>
      <w:lvlText w:val="•"/>
      <w:lvlJc w:val="left"/>
      <w:pPr>
        <w:ind w:left="408" w:hanging="84"/>
      </w:pPr>
      <w:rPr>
        <w:rFonts w:hint="default"/>
      </w:rPr>
    </w:lvl>
    <w:lvl w:ilvl="2" w:tplc="EF18EB6E">
      <w:numFmt w:val="bullet"/>
      <w:lvlText w:val="•"/>
      <w:lvlJc w:val="left"/>
      <w:pPr>
        <w:ind w:left="676" w:hanging="84"/>
      </w:pPr>
      <w:rPr>
        <w:rFonts w:hint="default"/>
      </w:rPr>
    </w:lvl>
    <w:lvl w:ilvl="3" w:tplc="862011B4">
      <w:numFmt w:val="bullet"/>
      <w:lvlText w:val="•"/>
      <w:lvlJc w:val="left"/>
      <w:pPr>
        <w:ind w:left="945" w:hanging="84"/>
      </w:pPr>
      <w:rPr>
        <w:rFonts w:hint="default"/>
      </w:rPr>
    </w:lvl>
    <w:lvl w:ilvl="4" w:tplc="8A289A02">
      <w:numFmt w:val="bullet"/>
      <w:lvlText w:val="•"/>
      <w:lvlJc w:val="left"/>
      <w:pPr>
        <w:ind w:left="1213" w:hanging="84"/>
      </w:pPr>
      <w:rPr>
        <w:rFonts w:hint="default"/>
      </w:rPr>
    </w:lvl>
    <w:lvl w:ilvl="5" w:tplc="D6FC117E">
      <w:numFmt w:val="bullet"/>
      <w:lvlText w:val="•"/>
      <w:lvlJc w:val="left"/>
      <w:pPr>
        <w:ind w:left="1482" w:hanging="84"/>
      </w:pPr>
      <w:rPr>
        <w:rFonts w:hint="default"/>
      </w:rPr>
    </w:lvl>
    <w:lvl w:ilvl="6" w:tplc="6FF475A2">
      <w:numFmt w:val="bullet"/>
      <w:lvlText w:val="•"/>
      <w:lvlJc w:val="left"/>
      <w:pPr>
        <w:ind w:left="1750" w:hanging="84"/>
      </w:pPr>
      <w:rPr>
        <w:rFonts w:hint="default"/>
      </w:rPr>
    </w:lvl>
    <w:lvl w:ilvl="7" w:tplc="69EE3794">
      <w:numFmt w:val="bullet"/>
      <w:lvlText w:val="•"/>
      <w:lvlJc w:val="left"/>
      <w:pPr>
        <w:ind w:left="2018" w:hanging="84"/>
      </w:pPr>
      <w:rPr>
        <w:rFonts w:hint="default"/>
      </w:rPr>
    </w:lvl>
    <w:lvl w:ilvl="8" w:tplc="728A85B8">
      <w:numFmt w:val="bullet"/>
      <w:lvlText w:val="•"/>
      <w:lvlJc w:val="left"/>
      <w:pPr>
        <w:ind w:left="2287" w:hanging="84"/>
      </w:pPr>
      <w:rPr>
        <w:rFonts w:hint="default"/>
      </w:rPr>
    </w:lvl>
  </w:abstractNum>
  <w:abstractNum w:abstractNumId="1039" w15:restartNumberingAfterBreak="0">
    <w:nsid w:val="423C4C53"/>
    <w:multiLevelType w:val="hybridMultilevel"/>
    <w:tmpl w:val="BF2ED67A"/>
    <w:lvl w:ilvl="0" w:tplc="A5F8A12E">
      <w:numFmt w:val="bullet"/>
      <w:lvlText w:val=""/>
      <w:lvlJc w:val="left"/>
      <w:pPr>
        <w:ind w:left="157" w:hanging="100"/>
      </w:pPr>
      <w:rPr>
        <w:rFonts w:ascii="Symbol" w:eastAsia="Symbol" w:hAnsi="Symbol" w:cs="Symbol" w:hint="default"/>
        <w:color w:val="231F20"/>
        <w:w w:val="100"/>
        <w:sz w:val="14"/>
        <w:szCs w:val="14"/>
      </w:rPr>
    </w:lvl>
    <w:lvl w:ilvl="1" w:tplc="DA545508">
      <w:numFmt w:val="bullet"/>
      <w:lvlText w:val="•"/>
      <w:lvlJc w:val="left"/>
      <w:pPr>
        <w:ind w:left="426" w:hanging="100"/>
      </w:pPr>
      <w:rPr>
        <w:rFonts w:hint="default"/>
      </w:rPr>
    </w:lvl>
    <w:lvl w:ilvl="2" w:tplc="90907D82">
      <w:numFmt w:val="bullet"/>
      <w:lvlText w:val="•"/>
      <w:lvlJc w:val="left"/>
      <w:pPr>
        <w:ind w:left="692" w:hanging="100"/>
      </w:pPr>
      <w:rPr>
        <w:rFonts w:hint="default"/>
      </w:rPr>
    </w:lvl>
    <w:lvl w:ilvl="3" w:tplc="60E6E402">
      <w:numFmt w:val="bullet"/>
      <w:lvlText w:val="•"/>
      <w:lvlJc w:val="left"/>
      <w:pPr>
        <w:ind w:left="959" w:hanging="100"/>
      </w:pPr>
      <w:rPr>
        <w:rFonts w:hint="default"/>
      </w:rPr>
    </w:lvl>
    <w:lvl w:ilvl="4" w:tplc="CA407964">
      <w:numFmt w:val="bullet"/>
      <w:lvlText w:val="•"/>
      <w:lvlJc w:val="left"/>
      <w:pPr>
        <w:ind w:left="1225" w:hanging="100"/>
      </w:pPr>
      <w:rPr>
        <w:rFonts w:hint="default"/>
      </w:rPr>
    </w:lvl>
    <w:lvl w:ilvl="5" w:tplc="54E897DE">
      <w:numFmt w:val="bullet"/>
      <w:lvlText w:val="•"/>
      <w:lvlJc w:val="left"/>
      <w:pPr>
        <w:ind w:left="1492" w:hanging="100"/>
      </w:pPr>
      <w:rPr>
        <w:rFonts w:hint="default"/>
      </w:rPr>
    </w:lvl>
    <w:lvl w:ilvl="6" w:tplc="874AA8A8">
      <w:numFmt w:val="bullet"/>
      <w:lvlText w:val="•"/>
      <w:lvlJc w:val="left"/>
      <w:pPr>
        <w:ind w:left="1758" w:hanging="100"/>
      </w:pPr>
      <w:rPr>
        <w:rFonts w:hint="default"/>
      </w:rPr>
    </w:lvl>
    <w:lvl w:ilvl="7" w:tplc="E8B05D72">
      <w:numFmt w:val="bullet"/>
      <w:lvlText w:val="•"/>
      <w:lvlJc w:val="left"/>
      <w:pPr>
        <w:ind w:left="2024" w:hanging="100"/>
      </w:pPr>
      <w:rPr>
        <w:rFonts w:hint="default"/>
      </w:rPr>
    </w:lvl>
    <w:lvl w:ilvl="8" w:tplc="3348B84E">
      <w:numFmt w:val="bullet"/>
      <w:lvlText w:val="•"/>
      <w:lvlJc w:val="left"/>
      <w:pPr>
        <w:ind w:left="2291" w:hanging="100"/>
      </w:pPr>
      <w:rPr>
        <w:rFonts w:hint="default"/>
      </w:rPr>
    </w:lvl>
  </w:abstractNum>
  <w:abstractNum w:abstractNumId="1040" w15:restartNumberingAfterBreak="0">
    <w:nsid w:val="42655AAA"/>
    <w:multiLevelType w:val="hybridMultilevel"/>
    <w:tmpl w:val="D0A25FF8"/>
    <w:lvl w:ilvl="0" w:tplc="15A4783E">
      <w:numFmt w:val="bullet"/>
      <w:lvlText w:val=""/>
      <w:lvlJc w:val="left"/>
      <w:pPr>
        <w:ind w:left="156" w:hanging="100"/>
      </w:pPr>
      <w:rPr>
        <w:rFonts w:ascii="Symbol" w:eastAsia="Symbol" w:hAnsi="Symbol" w:cs="Symbol" w:hint="default"/>
        <w:color w:val="231F20"/>
        <w:w w:val="100"/>
        <w:sz w:val="14"/>
        <w:szCs w:val="14"/>
      </w:rPr>
    </w:lvl>
    <w:lvl w:ilvl="1" w:tplc="5674113E">
      <w:numFmt w:val="bullet"/>
      <w:lvlText w:val="•"/>
      <w:lvlJc w:val="left"/>
      <w:pPr>
        <w:ind w:left="398" w:hanging="100"/>
      </w:pPr>
      <w:rPr>
        <w:rFonts w:hint="default"/>
      </w:rPr>
    </w:lvl>
    <w:lvl w:ilvl="2" w:tplc="E7D2F65E">
      <w:numFmt w:val="bullet"/>
      <w:lvlText w:val="•"/>
      <w:lvlJc w:val="left"/>
      <w:pPr>
        <w:ind w:left="636" w:hanging="100"/>
      </w:pPr>
      <w:rPr>
        <w:rFonts w:hint="default"/>
      </w:rPr>
    </w:lvl>
    <w:lvl w:ilvl="3" w:tplc="10724AFA">
      <w:numFmt w:val="bullet"/>
      <w:lvlText w:val="•"/>
      <w:lvlJc w:val="left"/>
      <w:pPr>
        <w:ind w:left="874" w:hanging="100"/>
      </w:pPr>
      <w:rPr>
        <w:rFonts w:hint="default"/>
      </w:rPr>
    </w:lvl>
    <w:lvl w:ilvl="4" w:tplc="A5FE6AF2">
      <w:numFmt w:val="bullet"/>
      <w:lvlText w:val="•"/>
      <w:lvlJc w:val="left"/>
      <w:pPr>
        <w:ind w:left="1112" w:hanging="100"/>
      </w:pPr>
      <w:rPr>
        <w:rFonts w:hint="default"/>
      </w:rPr>
    </w:lvl>
    <w:lvl w:ilvl="5" w:tplc="591C07F6">
      <w:numFmt w:val="bullet"/>
      <w:lvlText w:val="•"/>
      <w:lvlJc w:val="left"/>
      <w:pPr>
        <w:ind w:left="1350" w:hanging="100"/>
      </w:pPr>
      <w:rPr>
        <w:rFonts w:hint="default"/>
      </w:rPr>
    </w:lvl>
    <w:lvl w:ilvl="6" w:tplc="B9208348">
      <w:numFmt w:val="bullet"/>
      <w:lvlText w:val="•"/>
      <w:lvlJc w:val="left"/>
      <w:pPr>
        <w:ind w:left="1588" w:hanging="100"/>
      </w:pPr>
      <w:rPr>
        <w:rFonts w:hint="default"/>
      </w:rPr>
    </w:lvl>
    <w:lvl w:ilvl="7" w:tplc="DDCEBDA6">
      <w:numFmt w:val="bullet"/>
      <w:lvlText w:val="•"/>
      <w:lvlJc w:val="left"/>
      <w:pPr>
        <w:ind w:left="1826" w:hanging="100"/>
      </w:pPr>
      <w:rPr>
        <w:rFonts w:hint="default"/>
      </w:rPr>
    </w:lvl>
    <w:lvl w:ilvl="8" w:tplc="39EC7DA6">
      <w:numFmt w:val="bullet"/>
      <w:lvlText w:val="•"/>
      <w:lvlJc w:val="left"/>
      <w:pPr>
        <w:ind w:left="2064" w:hanging="100"/>
      </w:pPr>
      <w:rPr>
        <w:rFonts w:hint="default"/>
      </w:rPr>
    </w:lvl>
  </w:abstractNum>
  <w:abstractNum w:abstractNumId="1041" w15:restartNumberingAfterBreak="0">
    <w:nsid w:val="426616F2"/>
    <w:multiLevelType w:val="hybridMultilevel"/>
    <w:tmpl w:val="0F269384"/>
    <w:lvl w:ilvl="0" w:tplc="A2FE8C58">
      <w:numFmt w:val="bullet"/>
      <w:lvlText w:val=""/>
      <w:lvlJc w:val="left"/>
      <w:pPr>
        <w:ind w:left="156" w:hanging="100"/>
      </w:pPr>
      <w:rPr>
        <w:rFonts w:ascii="Symbol" w:eastAsia="Symbol" w:hAnsi="Symbol" w:cs="Symbol" w:hint="default"/>
        <w:color w:val="231F20"/>
        <w:w w:val="100"/>
        <w:sz w:val="14"/>
        <w:szCs w:val="14"/>
      </w:rPr>
    </w:lvl>
    <w:lvl w:ilvl="1" w:tplc="84AA0C26">
      <w:numFmt w:val="bullet"/>
      <w:lvlText w:val="•"/>
      <w:lvlJc w:val="left"/>
      <w:pPr>
        <w:ind w:left="273" w:hanging="100"/>
      </w:pPr>
      <w:rPr>
        <w:rFonts w:hint="default"/>
      </w:rPr>
    </w:lvl>
    <w:lvl w:ilvl="2" w:tplc="9136390A">
      <w:numFmt w:val="bullet"/>
      <w:lvlText w:val="•"/>
      <w:lvlJc w:val="left"/>
      <w:pPr>
        <w:ind w:left="386" w:hanging="100"/>
      </w:pPr>
      <w:rPr>
        <w:rFonts w:hint="default"/>
      </w:rPr>
    </w:lvl>
    <w:lvl w:ilvl="3" w:tplc="86863040">
      <w:numFmt w:val="bullet"/>
      <w:lvlText w:val="•"/>
      <w:lvlJc w:val="left"/>
      <w:pPr>
        <w:ind w:left="500" w:hanging="100"/>
      </w:pPr>
      <w:rPr>
        <w:rFonts w:hint="default"/>
      </w:rPr>
    </w:lvl>
    <w:lvl w:ilvl="4" w:tplc="6D46839C">
      <w:numFmt w:val="bullet"/>
      <w:lvlText w:val="•"/>
      <w:lvlJc w:val="left"/>
      <w:pPr>
        <w:ind w:left="613" w:hanging="100"/>
      </w:pPr>
      <w:rPr>
        <w:rFonts w:hint="default"/>
      </w:rPr>
    </w:lvl>
    <w:lvl w:ilvl="5" w:tplc="A058E760">
      <w:numFmt w:val="bullet"/>
      <w:lvlText w:val="•"/>
      <w:lvlJc w:val="left"/>
      <w:pPr>
        <w:ind w:left="727" w:hanging="100"/>
      </w:pPr>
      <w:rPr>
        <w:rFonts w:hint="default"/>
      </w:rPr>
    </w:lvl>
    <w:lvl w:ilvl="6" w:tplc="102E0C5A">
      <w:numFmt w:val="bullet"/>
      <w:lvlText w:val="•"/>
      <w:lvlJc w:val="left"/>
      <w:pPr>
        <w:ind w:left="840" w:hanging="100"/>
      </w:pPr>
      <w:rPr>
        <w:rFonts w:hint="default"/>
      </w:rPr>
    </w:lvl>
    <w:lvl w:ilvl="7" w:tplc="5D260950">
      <w:numFmt w:val="bullet"/>
      <w:lvlText w:val="•"/>
      <w:lvlJc w:val="left"/>
      <w:pPr>
        <w:ind w:left="953" w:hanging="100"/>
      </w:pPr>
      <w:rPr>
        <w:rFonts w:hint="default"/>
      </w:rPr>
    </w:lvl>
    <w:lvl w:ilvl="8" w:tplc="8ABCB10C">
      <w:numFmt w:val="bullet"/>
      <w:lvlText w:val="•"/>
      <w:lvlJc w:val="left"/>
      <w:pPr>
        <w:ind w:left="1067" w:hanging="100"/>
      </w:pPr>
      <w:rPr>
        <w:rFonts w:hint="default"/>
      </w:rPr>
    </w:lvl>
  </w:abstractNum>
  <w:abstractNum w:abstractNumId="1042" w15:restartNumberingAfterBreak="0">
    <w:nsid w:val="42736AE0"/>
    <w:multiLevelType w:val="hybridMultilevel"/>
    <w:tmpl w:val="E88A71F2"/>
    <w:lvl w:ilvl="0" w:tplc="C0726C8E">
      <w:numFmt w:val="bullet"/>
      <w:lvlText w:val=""/>
      <w:lvlJc w:val="left"/>
      <w:pPr>
        <w:ind w:left="156" w:hanging="100"/>
      </w:pPr>
      <w:rPr>
        <w:rFonts w:ascii="Symbol" w:eastAsia="Symbol" w:hAnsi="Symbol" w:cs="Symbol" w:hint="default"/>
        <w:color w:val="231F20"/>
        <w:w w:val="100"/>
        <w:sz w:val="14"/>
        <w:szCs w:val="14"/>
      </w:rPr>
    </w:lvl>
    <w:lvl w:ilvl="1" w:tplc="11040ACA">
      <w:numFmt w:val="bullet"/>
      <w:lvlText w:val="•"/>
      <w:lvlJc w:val="left"/>
      <w:pPr>
        <w:ind w:left="426" w:hanging="100"/>
      </w:pPr>
      <w:rPr>
        <w:rFonts w:hint="default"/>
      </w:rPr>
    </w:lvl>
    <w:lvl w:ilvl="2" w:tplc="39A285A8">
      <w:numFmt w:val="bullet"/>
      <w:lvlText w:val="•"/>
      <w:lvlJc w:val="left"/>
      <w:pPr>
        <w:ind w:left="692" w:hanging="100"/>
      </w:pPr>
      <w:rPr>
        <w:rFonts w:hint="default"/>
      </w:rPr>
    </w:lvl>
    <w:lvl w:ilvl="3" w:tplc="FE72F194">
      <w:numFmt w:val="bullet"/>
      <w:lvlText w:val="•"/>
      <w:lvlJc w:val="left"/>
      <w:pPr>
        <w:ind w:left="959" w:hanging="100"/>
      </w:pPr>
      <w:rPr>
        <w:rFonts w:hint="default"/>
      </w:rPr>
    </w:lvl>
    <w:lvl w:ilvl="4" w:tplc="66949856">
      <w:numFmt w:val="bullet"/>
      <w:lvlText w:val="•"/>
      <w:lvlJc w:val="left"/>
      <w:pPr>
        <w:ind w:left="1225" w:hanging="100"/>
      </w:pPr>
      <w:rPr>
        <w:rFonts w:hint="default"/>
      </w:rPr>
    </w:lvl>
    <w:lvl w:ilvl="5" w:tplc="853A69A2">
      <w:numFmt w:val="bullet"/>
      <w:lvlText w:val="•"/>
      <w:lvlJc w:val="left"/>
      <w:pPr>
        <w:ind w:left="1492" w:hanging="100"/>
      </w:pPr>
      <w:rPr>
        <w:rFonts w:hint="default"/>
      </w:rPr>
    </w:lvl>
    <w:lvl w:ilvl="6" w:tplc="DE92414E">
      <w:numFmt w:val="bullet"/>
      <w:lvlText w:val="•"/>
      <w:lvlJc w:val="left"/>
      <w:pPr>
        <w:ind w:left="1758" w:hanging="100"/>
      </w:pPr>
      <w:rPr>
        <w:rFonts w:hint="default"/>
      </w:rPr>
    </w:lvl>
    <w:lvl w:ilvl="7" w:tplc="D174074C">
      <w:numFmt w:val="bullet"/>
      <w:lvlText w:val="•"/>
      <w:lvlJc w:val="left"/>
      <w:pPr>
        <w:ind w:left="2024" w:hanging="100"/>
      </w:pPr>
      <w:rPr>
        <w:rFonts w:hint="default"/>
      </w:rPr>
    </w:lvl>
    <w:lvl w:ilvl="8" w:tplc="6998726E">
      <w:numFmt w:val="bullet"/>
      <w:lvlText w:val="•"/>
      <w:lvlJc w:val="left"/>
      <w:pPr>
        <w:ind w:left="2291" w:hanging="100"/>
      </w:pPr>
      <w:rPr>
        <w:rFonts w:hint="default"/>
      </w:rPr>
    </w:lvl>
  </w:abstractNum>
  <w:abstractNum w:abstractNumId="1043" w15:restartNumberingAfterBreak="0">
    <w:nsid w:val="427672E4"/>
    <w:multiLevelType w:val="hybridMultilevel"/>
    <w:tmpl w:val="A5C279A2"/>
    <w:lvl w:ilvl="0" w:tplc="A230BBAC">
      <w:numFmt w:val="bullet"/>
      <w:lvlText w:val=""/>
      <w:lvlJc w:val="left"/>
      <w:pPr>
        <w:ind w:left="156" w:hanging="100"/>
      </w:pPr>
      <w:rPr>
        <w:rFonts w:ascii="Symbol" w:eastAsia="Symbol" w:hAnsi="Symbol" w:cs="Symbol" w:hint="default"/>
        <w:color w:val="231F20"/>
        <w:w w:val="100"/>
        <w:sz w:val="14"/>
        <w:szCs w:val="14"/>
      </w:rPr>
    </w:lvl>
    <w:lvl w:ilvl="1" w:tplc="6DA48562">
      <w:numFmt w:val="bullet"/>
      <w:lvlText w:val="•"/>
      <w:lvlJc w:val="left"/>
      <w:pPr>
        <w:ind w:left="426" w:hanging="100"/>
      </w:pPr>
      <w:rPr>
        <w:rFonts w:hint="default"/>
      </w:rPr>
    </w:lvl>
    <w:lvl w:ilvl="2" w:tplc="8842C7A8">
      <w:numFmt w:val="bullet"/>
      <w:lvlText w:val="•"/>
      <w:lvlJc w:val="left"/>
      <w:pPr>
        <w:ind w:left="692" w:hanging="100"/>
      </w:pPr>
      <w:rPr>
        <w:rFonts w:hint="default"/>
      </w:rPr>
    </w:lvl>
    <w:lvl w:ilvl="3" w:tplc="FB6ADA22">
      <w:numFmt w:val="bullet"/>
      <w:lvlText w:val="•"/>
      <w:lvlJc w:val="left"/>
      <w:pPr>
        <w:ind w:left="959" w:hanging="100"/>
      </w:pPr>
      <w:rPr>
        <w:rFonts w:hint="default"/>
      </w:rPr>
    </w:lvl>
    <w:lvl w:ilvl="4" w:tplc="D85E1820">
      <w:numFmt w:val="bullet"/>
      <w:lvlText w:val="•"/>
      <w:lvlJc w:val="left"/>
      <w:pPr>
        <w:ind w:left="1225" w:hanging="100"/>
      </w:pPr>
      <w:rPr>
        <w:rFonts w:hint="default"/>
      </w:rPr>
    </w:lvl>
    <w:lvl w:ilvl="5" w:tplc="C178CD84">
      <w:numFmt w:val="bullet"/>
      <w:lvlText w:val="•"/>
      <w:lvlJc w:val="left"/>
      <w:pPr>
        <w:ind w:left="1492" w:hanging="100"/>
      </w:pPr>
      <w:rPr>
        <w:rFonts w:hint="default"/>
      </w:rPr>
    </w:lvl>
    <w:lvl w:ilvl="6" w:tplc="DAAC74C6">
      <w:numFmt w:val="bullet"/>
      <w:lvlText w:val="•"/>
      <w:lvlJc w:val="left"/>
      <w:pPr>
        <w:ind w:left="1758" w:hanging="100"/>
      </w:pPr>
      <w:rPr>
        <w:rFonts w:hint="default"/>
      </w:rPr>
    </w:lvl>
    <w:lvl w:ilvl="7" w:tplc="356A861A">
      <w:numFmt w:val="bullet"/>
      <w:lvlText w:val="•"/>
      <w:lvlJc w:val="left"/>
      <w:pPr>
        <w:ind w:left="2024" w:hanging="100"/>
      </w:pPr>
      <w:rPr>
        <w:rFonts w:hint="default"/>
      </w:rPr>
    </w:lvl>
    <w:lvl w:ilvl="8" w:tplc="12744CC6">
      <w:numFmt w:val="bullet"/>
      <w:lvlText w:val="•"/>
      <w:lvlJc w:val="left"/>
      <w:pPr>
        <w:ind w:left="2291" w:hanging="100"/>
      </w:pPr>
      <w:rPr>
        <w:rFonts w:hint="default"/>
      </w:rPr>
    </w:lvl>
  </w:abstractNum>
  <w:abstractNum w:abstractNumId="1044" w15:restartNumberingAfterBreak="0">
    <w:nsid w:val="427C5C87"/>
    <w:multiLevelType w:val="hybridMultilevel"/>
    <w:tmpl w:val="D0723F14"/>
    <w:lvl w:ilvl="0" w:tplc="432AF094">
      <w:numFmt w:val="bullet"/>
      <w:lvlText w:val=""/>
      <w:lvlJc w:val="left"/>
      <w:pPr>
        <w:ind w:left="156" w:hanging="100"/>
      </w:pPr>
      <w:rPr>
        <w:rFonts w:ascii="Symbol" w:eastAsia="Symbol" w:hAnsi="Symbol" w:cs="Symbol" w:hint="default"/>
        <w:color w:val="231F20"/>
        <w:w w:val="100"/>
        <w:sz w:val="14"/>
        <w:szCs w:val="14"/>
      </w:rPr>
    </w:lvl>
    <w:lvl w:ilvl="1" w:tplc="0264EF94">
      <w:numFmt w:val="bullet"/>
      <w:lvlText w:val="•"/>
      <w:lvlJc w:val="left"/>
      <w:pPr>
        <w:ind w:left="426" w:hanging="100"/>
      </w:pPr>
      <w:rPr>
        <w:rFonts w:hint="default"/>
      </w:rPr>
    </w:lvl>
    <w:lvl w:ilvl="2" w:tplc="847C222A">
      <w:numFmt w:val="bullet"/>
      <w:lvlText w:val="•"/>
      <w:lvlJc w:val="left"/>
      <w:pPr>
        <w:ind w:left="692" w:hanging="100"/>
      </w:pPr>
      <w:rPr>
        <w:rFonts w:hint="default"/>
      </w:rPr>
    </w:lvl>
    <w:lvl w:ilvl="3" w:tplc="F1C23CB4">
      <w:numFmt w:val="bullet"/>
      <w:lvlText w:val="•"/>
      <w:lvlJc w:val="left"/>
      <w:pPr>
        <w:ind w:left="959" w:hanging="100"/>
      </w:pPr>
      <w:rPr>
        <w:rFonts w:hint="default"/>
      </w:rPr>
    </w:lvl>
    <w:lvl w:ilvl="4" w:tplc="47644B7E">
      <w:numFmt w:val="bullet"/>
      <w:lvlText w:val="•"/>
      <w:lvlJc w:val="left"/>
      <w:pPr>
        <w:ind w:left="1225" w:hanging="100"/>
      </w:pPr>
      <w:rPr>
        <w:rFonts w:hint="default"/>
      </w:rPr>
    </w:lvl>
    <w:lvl w:ilvl="5" w:tplc="8202FFBE">
      <w:numFmt w:val="bullet"/>
      <w:lvlText w:val="•"/>
      <w:lvlJc w:val="left"/>
      <w:pPr>
        <w:ind w:left="1492" w:hanging="100"/>
      </w:pPr>
      <w:rPr>
        <w:rFonts w:hint="default"/>
      </w:rPr>
    </w:lvl>
    <w:lvl w:ilvl="6" w:tplc="BC8E2544">
      <w:numFmt w:val="bullet"/>
      <w:lvlText w:val="•"/>
      <w:lvlJc w:val="left"/>
      <w:pPr>
        <w:ind w:left="1758" w:hanging="100"/>
      </w:pPr>
      <w:rPr>
        <w:rFonts w:hint="default"/>
      </w:rPr>
    </w:lvl>
    <w:lvl w:ilvl="7" w:tplc="037276C4">
      <w:numFmt w:val="bullet"/>
      <w:lvlText w:val="•"/>
      <w:lvlJc w:val="left"/>
      <w:pPr>
        <w:ind w:left="2024" w:hanging="100"/>
      </w:pPr>
      <w:rPr>
        <w:rFonts w:hint="default"/>
      </w:rPr>
    </w:lvl>
    <w:lvl w:ilvl="8" w:tplc="C9683BFA">
      <w:numFmt w:val="bullet"/>
      <w:lvlText w:val="•"/>
      <w:lvlJc w:val="left"/>
      <w:pPr>
        <w:ind w:left="2291" w:hanging="100"/>
      </w:pPr>
      <w:rPr>
        <w:rFonts w:hint="default"/>
      </w:rPr>
    </w:lvl>
  </w:abstractNum>
  <w:abstractNum w:abstractNumId="1045" w15:restartNumberingAfterBreak="0">
    <w:nsid w:val="42A3174B"/>
    <w:multiLevelType w:val="hybridMultilevel"/>
    <w:tmpl w:val="A9046B16"/>
    <w:lvl w:ilvl="0" w:tplc="98A0CB48">
      <w:numFmt w:val="bullet"/>
      <w:lvlText w:val=""/>
      <w:lvlJc w:val="left"/>
      <w:pPr>
        <w:ind w:left="156" w:hanging="100"/>
      </w:pPr>
      <w:rPr>
        <w:rFonts w:ascii="Symbol" w:eastAsia="Symbol" w:hAnsi="Symbol" w:cs="Symbol" w:hint="default"/>
        <w:color w:val="231F20"/>
        <w:w w:val="100"/>
        <w:sz w:val="14"/>
        <w:szCs w:val="14"/>
      </w:rPr>
    </w:lvl>
    <w:lvl w:ilvl="1" w:tplc="33161B52">
      <w:numFmt w:val="bullet"/>
      <w:lvlText w:val="•"/>
      <w:lvlJc w:val="left"/>
      <w:pPr>
        <w:ind w:left="398" w:hanging="100"/>
      </w:pPr>
      <w:rPr>
        <w:rFonts w:hint="default"/>
      </w:rPr>
    </w:lvl>
    <w:lvl w:ilvl="2" w:tplc="8FCE6A2A">
      <w:numFmt w:val="bullet"/>
      <w:lvlText w:val="•"/>
      <w:lvlJc w:val="left"/>
      <w:pPr>
        <w:ind w:left="636" w:hanging="100"/>
      </w:pPr>
      <w:rPr>
        <w:rFonts w:hint="default"/>
      </w:rPr>
    </w:lvl>
    <w:lvl w:ilvl="3" w:tplc="585E61E4">
      <w:numFmt w:val="bullet"/>
      <w:lvlText w:val="•"/>
      <w:lvlJc w:val="left"/>
      <w:pPr>
        <w:ind w:left="874" w:hanging="100"/>
      </w:pPr>
      <w:rPr>
        <w:rFonts w:hint="default"/>
      </w:rPr>
    </w:lvl>
    <w:lvl w:ilvl="4" w:tplc="F574136C">
      <w:numFmt w:val="bullet"/>
      <w:lvlText w:val="•"/>
      <w:lvlJc w:val="left"/>
      <w:pPr>
        <w:ind w:left="1112" w:hanging="100"/>
      </w:pPr>
      <w:rPr>
        <w:rFonts w:hint="default"/>
      </w:rPr>
    </w:lvl>
    <w:lvl w:ilvl="5" w:tplc="9C061D0E">
      <w:numFmt w:val="bullet"/>
      <w:lvlText w:val="•"/>
      <w:lvlJc w:val="left"/>
      <w:pPr>
        <w:ind w:left="1350" w:hanging="100"/>
      </w:pPr>
      <w:rPr>
        <w:rFonts w:hint="default"/>
      </w:rPr>
    </w:lvl>
    <w:lvl w:ilvl="6" w:tplc="02A8440C">
      <w:numFmt w:val="bullet"/>
      <w:lvlText w:val="•"/>
      <w:lvlJc w:val="left"/>
      <w:pPr>
        <w:ind w:left="1588" w:hanging="100"/>
      </w:pPr>
      <w:rPr>
        <w:rFonts w:hint="default"/>
      </w:rPr>
    </w:lvl>
    <w:lvl w:ilvl="7" w:tplc="01683208">
      <w:numFmt w:val="bullet"/>
      <w:lvlText w:val="•"/>
      <w:lvlJc w:val="left"/>
      <w:pPr>
        <w:ind w:left="1826" w:hanging="100"/>
      </w:pPr>
      <w:rPr>
        <w:rFonts w:hint="default"/>
      </w:rPr>
    </w:lvl>
    <w:lvl w:ilvl="8" w:tplc="B7BE7D3C">
      <w:numFmt w:val="bullet"/>
      <w:lvlText w:val="•"/>
      <w:lvlJc w:val="left"/>
      <w:pPr>
        <w:ind w:left="2064" w:hanging="100"/>
      </w:pPr>
      <w:rPr>
        <w:rFonts w:hint="default"/>
      </w:rPr>
    </w:lvl>
  </w:abstractNum>
  <w:abstractNum w:abstractNumId="1046" w15:restartNumberingAfterBreak="0">
    <w:nsid w:val="42A74EA0"/>
    <w:multiLevelType w:val="hybridMultilevel"/>
    <w:tmpl w:val="4D80A19C"/>
    <w:lvl w:ilvl="0" w:tplc="6E2CF71A">
      <w:numFmt w:val="bullet"/>
      <w:lvlText w:val=""/>
      <w:lvlJc w:val="left"/>
      <w:pPr>
        <w:ind w:left="156" w:hanging="100"/>
      </w:pPr>
      <w:rPr>
        <w:rFonts w:ascii="Symbol" w:eastAsia="Symbol" w:hAnsi="Symbol" w:cs="Symbol" w:hint="default"/>
        <w:color w:val="231F20"/>
        <w:w w:val="100"/>
        <w:sz w:val="14"/>
        <w:szCs w:val="14"/>
      </w:rPr>
    </w:lvl>
    <w:lvl w:ilvl="1" w:tplc="2138D57A">
      <w:numFmt w:val="bullet"/>
      <w:lvlText w:val="•"/>
      <w:lvlJc w:val="left"/>
      <w:pPr>
        <w:ind w:left="301" w:hanging="100"/>
      </w:pPr>
      <w:rPr>
        <w:rFonts w:hint="default"/>
      </w:rPr>
    </w:lvl>
    <w:lvl w:ilvl="2" w:tplc="24CE6DEA">
      <w:numFmt w:val="bullet"/>
      <w:lvlText w:val="•"/>
      <w:lvlJc w:val="left"/>
      <w:pPr>
        <w:ind w:left="443" w:hanging="100"/>
      </w:pPr>
      <w:rPr>
        <w:rFonts w:hint="default"/>
      </w:rPr>
    </w:lvl>
    <w:lvl w:ilvl="3" w:tplc="49580C48">
      <w:numFmt w:val="bullet"/>
      <w:lvlText w:val="•"/>
      <w:lvlJc w:val="left"/>
      <w:pPr>
        <w:ind w:left="585" w:hanging="100"/>
      </w:pPr>
      <w:rPr>
        <w:rFonts w:hint="default"/>
      </w:rPr>
    </w:lvl>
    <w:lvl w:ilvl="4" w:tplc="75DE284C">
      <w:numFmt w:val="bullet"/>
      <w:lvlText w:val="•"/>
      <w:lvlJc w:val="left"/>
      <w:pPr>
        <w:ind w:left="726" w:hanging="100"/>
      </w:pPr>
      <w:rPr>
        <w:rFonts w:hint="default"/>
      </w:rPr>
    </w:lvl>
    <w:lvl w:ilvl="5" w:tplc="2EFE0ADC">
      <w:numFmt w:val="bullet"/>
      <w:lvlText w:val="•"/>
      <w:lvlJc w:val="left"/>
      <w:pPr>
        <w:ind w:left="868" w:hanging="100"/>
      </w:pPr>
      <w:rPr>
        <w:rFonts w:hint="default"/>
      </w:rPr>
    </w:lvl>
    <w:lvl w:ilvl="6" w:tplc="E0E43316">
      <w:numFmt w:val="bullet"/>
      <w:lvlText w:val="•"/>
      <w:lvlJc w:val="left"/>
      <w:pPr>
        <w:ind w:left="1010" w:hanging="100"/>
      </w:pPr>
      <w:rPr>
        <w:rFonts w:hint="default"/>
      </w:rPr>
    </w:lvl>
    <w:lvl w:ilvl="7" w:tplc="2F24D594">
      <w:numFmt w:val="bullet"/>
      <w:lvlText w:val="•"/>
      <w:lvlJc w:val="left"/>
      <w:pPr>
        <w:ind w:left="1151" w:hanging="100"/>
      </w:pPr>
      <w:rPr>
        <w:rFonts w:hint="default"/>
      </w:rPr>
    </w:lvl>
    <w:lvl w:ilvl="8" w:tplc="41DC0328">
      <w:numFmt w:val="bullet"/>
      <w:lvlText w:val="•"/>
      <w:lvlJc w:val="left"/>
      <w:pPr>
        <w:ind w:left="1293" w:hanging="100"/>
      </w:pPr>
      <w:rPr>
        <w:rFonts w:hint="default"/>
      </w:rPr>
    </w:lvl>
  </w:abstractNum>
  <w:abstractNum w:abstractNumId="1047" w15:restartNumberingAfterBreak="0">
    <w:nsid w:val="42B42EA7"/>
    <w:multiLevelType w:val="hybridMultilevel"/>
    <w:tmpl w:val="D37A7B52"/>
    <w:lvl w:ilvl="0" w:tplc="61D6C02A">
      <w:numFmt w:val="bullet"/>
      <w:lvlText w:val=""/>
      <w:lvlJc w:val="left"/>
      <w:pPr>
        <w:ind w:left="157" w:hanging="100"/>
      </w:pPr>
      <w:rPr>
        <w:rFonts w:ascii="Symbol" w:eastAsia="Symbol" w:hAnsi="Symbol" w:cs="Symbol" w:hint="default"/>
        <w:color w:val="231F20"/>
        <w:w w:val="100"/>
        <w:sz w:val="14"/>
        <w:szCs w:val="14"/>
      </w:rPr>
    </w:lvl>
    <w:lvl w:ilvl="1" w:tplc="7FB84088">
      <w:numFmt w:val="bullet"/>
      <w:lvlText w:val="•"/>
      <w:lvlJc w:val="left"/>
      <w:pPr>
        <w:ind w:left="426" w:hanging="100"/>
      </w:pPr>
      <w:rPr>
        <w:rFonts w:hint="default"/>
      </w:rPr>
    </w:lvl>
    <w:lvl w:ilvl="2" w:tplc="EFB2431A">
      <w:numFmt w:val="bullet"/>
      <w:lvlText w:val="•"/>
      <w:lvlJc w:val="left"/>
      <w:pPr>
        <w:ind w:left="692" w:hanging="100"/>
      </w:pPr>
      <w:rPr>
        <w:rFonts w:hint="default"/>
      </w:rPr>
    </w:lvl>
    <w:lvl w:ilvl="3" w:tplc="BF686A88">
      <w:numFmt w:val="bullet"/>
      <w:lvlText w:val="•"/>
      <w:lvlJc w:val="left"/>
      <w:pPr>
        <w:ind w:left="959" w:hanging="100"/>
      </w:pPr>
      <w:rPr>
        <w:rFonts w:hint="default"/>
      </w:rPr>
    </w:lvl>
    <w:lvl w:ilvl="4" w:tplc="60C84168">
      <w:numFmt w:val="bullet"/>
      <w:lvlText w:val="•"/>
      <w:lvlJc w:val="left"/>
      <w:pPr>
        <w:ind w:left="1225" w:hanging="100"/>
      </w:pPr>
      <w:rPr>
        <w:rFonts w:hint="default"/>
      </w:rPr>
    </w:lvl>
    <w:lvl w:ilvl="5" w:tplc="B3267084">
      <w:numFmt w:val="bullet"/>
      <w:lvlText w:val="•"/>
      <w:lvlJc w:val="left"/>
      <w:pPr>
        <w:ind w:left="1492" w:hanging="100"/>
      </w:pPr>
      <w:rPr>
        <w:rFonts w:hint="default"/>
      </w:rPr>
    </w:lvl>
    <w:lvl w:ilvl="6" w:tplc="F20068C0">
      <w:numFmt w:val="bullet"/>
      <w:lvlText w:val="•"/>
      <w:lvlJc w:val="left"/>
      <w:pPr>
        <w:ind w:left="1758" w:hanging="100"/>
      </w:pPr>
      <w:rPr>
        <w:rFonts w:hint="default"/>
      </w:rPr>
    </w:lvl>
    <w:lvl w:ilvl="7" w:tplc="238AB29E">
      <w:numFmt w:val="bullet"/>
      <w:lvlText w:val="•"/>
      <w:lvlJc w:val="left"/>
      <w:pPr>
        <w:ind w:left="2024" w:hanging="100"/>
      </w:pPr>
      <w:rPr>
        <w:rFonts w:hint="default"/>
      </w:rPr>
    </w:lvl>
    <w:lvl w:ilvl="8" w:tplc="E196DC3C">
      <w:numFmt w:val="bullet"/>
      <w:lvlText w:val="•"/>
      <w:lvlJc w:val="left"/>
      <w:pPr>
        <w:ind w:left="2291" w:hanging="100"/>
      </w:pPr>
      <w:rPr>
        <w:rFonts w:hint="default"/>
      </w:rPr>
    </w:lvl>
  </w:abstractNum>
  <w:abstractNum w:abstractNumId="1048" w15:restartNumberingAfterBreak="0">
    <w:nsid w:val="42DA6ADB"/>
    <w:multiLevelType w:val="hybridMultilevel"/>
    <w:tmpl w:val="335CC172"/>
    <w:lvl w:ilvl="0" w:tplc="CF28A89E">
      <w:numFmt w:val="bullet"/>
      <w:lvlText w:val=""/>
      <w:lvlJc w:val="left"/>
      <w:pPr>
        <w:ind w:left="157" w:hanging="100"/>
      </w:pPr>
      <w:rPr>
        <w:rFonts w:ascii="Symbol" w:eastAsia="Symbol" w:hAnsi="Symbol" w:cs="Symbol" w:hint="default"/>
        <w:color w:val="231F20"/>
        <w:w w:val="100"/>
        <w:sz w:val="14"/>
        <w:szCs w:val="14"/>
      </w:rPr>
    </w:lvl>
    <w:lvl w:ilvl="1" w:tplc="6A0A6C74">
      <w:numFmt w:val="bullet"/>
      <w:lvlText w:val="•"/>
      <w:lvlJc w:val="left"/>
      <w:pPr>
        <w:ind w:left="426" w:hanging="100"/>
      </w:pPr>
      <w:rPr>
        <w:rFonts w:hint="default"/>
      </w:rPr>
    </w:lvl>
    <w:lvl w:ilvl="2" w:tplc="15E43176">
      <w:numFmt w:val="bullet"/>
      <w:lvlText w:val="•"/>
      <w:lvlJc w:val="left"/>
      <w:pPr>
        <w:ind w:left="692" w:hanging="100"/>
      </w:pPr>
      <w:rPr>
        <w:rFonts w:hint="default"/>
      </w:rPr>
    </w:lvl>
    <w:lvl w:ilvl="3" w:tplc="08A647DA">
      <w:numFmt w:val="bullet"/>
      <w:lvlText w:val="•"/>
      <w:lvlJc w:val="left"/>
      <w:pPr>
        <w:ind w:left="959" w:hanging="100"/>
      </w:pPr>
      <w:rPr>
        <w:rFonts w:hint="default"/>
      </w:rPr>
    </w:lvl>
    <w:lvl w:ilvl="4" w:tplc="F2AEC8B6">
      <w:numFmt w:val="bullet"/>
      <w:lvlText w:val="•"/>
      <w:lvlJc w:val="left"/>
      <w:pPr>
        <w:ind w:left="1225" w:hanging="100"/>
      </w:pPr>
      <w:rPr>
        <w:rFonts w:hint="default"/>
      </w:rPr>
    </w:lvl>
    <w:lvl w:ilvl="5" w:tplc="8E7C9BC4">
      <w:numFmt w:val="bullet"/>
      <w:lvlText w:val="•"/>
      <w:lvlJc w:val="left"/>
      <w:pPr>
        <w:ind w:left="1492" w:hanging="100"/>
      </w:pPr>
      <w:rPr>
        <w:rFonts w:hint="default"/>
      </w:rPr>
    </w:lvl>
    <w:lvl w:ilvl="6" w:tplc="5BAAF17A">
      <w:numFmt w:val="bullet"/>
      <w:lvlText w:val="•"/>
      <w:lvlJc w:val="left"/>
      <w:pPr>
        <w:ind w:left="1758" w:hanging="100"/>
      </w:pPr>
      <w:rPr>
        <w:rFonts w:hint="default"/>
      </w:rPr>
    </w:lvl>
    <w:lvl w:ilvl="7" w:tplc="8F30D172">
      <w:numFmt w:val="bullet"/>
      <w:lvlText w:val="•"/>
      <w:lvlJc w:val="left"/>
      <w:pPr>
        <w:ind w:left="2024" w:hanging="100"/>
      </w:pPr>
      <w:rPr>
        <w:rFonts w:hint="default"/>
      </w:rPr>
    </w:lvl>
    <w:lvl w:ilvl="8" w:tplc="89286508">
      <w:numFmt w:val="bullet"/>
      <w:lvlText w:val="•"/>
      <w:lvlJc w:val="left"/>
      <w:pPr>
        <w:ind w:left="2291" w:hanging="100"/>
      </w:pPr>
      <w:rPr>
        <w:rFonts w:hint="default"/>
      </w:rPr>
    </w:lvl>
  </w:abstractNum>
  <w:abstractNum w:abstractNumId="1049" w15:restartNumberingAfterBreak="0">
    <w:nsid w:val="42E04CF2"/>
    <w:multiLevelType w:val="hybridMultilevel"/>
    <w:tmpl w:val="6A3865DC"/>
    <w:lvl w:ilvl="0" w:tplc="36F027E6">
      <w:numFmt w:val="bullet"/>
      <w:lvlText w:val=""/>
      <w:lvlJc w:val="left"/>
      <w:pPr>
        <w:ind w:left="157" w:hanging="100"/>
      </w:pPr>
      <w:rPr>
        <w:rFonts w:ascii="Symbol" w:eastAsia="Symbol" w:hAnsi="Symbol" w:cs="Symbol" w:hint="default"/>
        <w:color w:val="231F20"/>
        <w:w w:val="100"/>
        <w:sz w:val="14"/>
        <w:szCs w:val="14"/>
      </w:rPr>
    </w:lvl>
    <w:lvl w:ilvl="1" w:tplc="EE12DFB8">
      <w:numFmt w:val="bullet"/>
      <w:lvlText w:val="•"/>
      <w:lvlJc w:val="left"/>
      <w:pPr>
        <w:ind w:left="369" w:hanging="100"/>
      </w:pPr>
      <w:rPr>
        <w:rFonts w:hint="default"/>
      </w:rPr>
    </w:lvl>
    <w:lvl w:ilvl="2" w:tplc="0F882CE2">
      <w:numFmt w:val="bullet"/>
      <w:lvlText w:val="•"/>
      <w:lvlJc w:val="left"/>
      <w:pPr>
        <w:ind w:left="579" w:hanging="100"/>
      </w:pPr>
      <w:rPr>
        <w:rFonts w:hint="default"/>
      </w:rPr>
    </w:lvl>
    <w:lvl w:ilvl="3" w:tplc="5D40CFE6">
      <w:numFmt w:val="bullet"/>
      <w:lvlText w:val="•"/>
      <w:lvlJc w:val="left"/>
      <w:pPr>
        <w:ind w:left="789" w:hanging="100"/>
      </w:pPr>
      <w:rPr>
        <w:rFonts w:hint="default"/>
      </w:rPr>
    </w:lvl>
    <w:lvl w:ilvl="4" w:tplc="4E2AFB40">
      <w:numFmt w:val="bullet"/>
      <w:lvlText w:val="•"/>
      <w:lvlJc w:val="left"/>
      <w:pPr>
        <w:ind w:left="998" w:hanging="100"/>
      </w:pPr>
      <w:rPr>
        <w:rFonts w:hint="default"/>
      </w:rPr>
    </w:lvl>
    <w:lvl w:ilvl="5" w:tplc="54E2F054">
      <w:numFmt w:val="bullet"/>
      <w:lvlText w:val="•"/>
      <w:lvlJc w:val="left"/>
      <w:pPr>
        <w:ind w:left="1208" w:hanging="100"/>
      </w:pPr>
      <w:rPr>
        <w:rFonts w:hint="default"/>
      </w:rPr>
    </w:lvl>
    <w:lvl w:ilvl="6" w:tplc="4B5C9400">
      <w:numFmt w:val="bullet"/>
      <w:lvlText w:val="•"/>
      <w:lvlJc w:val="left"/>
      <w:pPr>
        <w:ind w:left="1418" w:hanging="100"/>
      </w:pPr>
      <w:rPr>
        <w:rFonts w:hint="default"/>
      </w:rPr>
    </w:lvl>
    <w:lvl w:ilvl="7" w:tplc="6DD8722E">
      <w:numFmt w:val="bullet"/>
      <w:lvlText w:val="•"/>
      <w:lvlJc w:val="left"/>
      <w:pPr>
        <w:ind w:left="1627" w:hanging="100"/>
      </w:pPr>
      <w:rPr>
        <w:rFonts w:hint="default"/>
      </w:rPr>
    </w:lvl>
    <w:lvl w:ilvl="8" w:tplc="D72EC15A">
      <w:numFmt w:val="bullet"/>
      <w:lvlText w:val="•"/>
      <w:lvlJc w:val="left"/>
      <w:pPr>
        <w:ind w:left="1837" w:hanging="100"/>
      </w:pPr>
      <w:rPr>
        <w:rFonts w:hint="default"/>
      </w:rPr>
    </w:lvl>
  </w:abstractNum>
  <w:abstractNum w:abstractNumId="1050" w15:restartNumberingAfterBreak="0">
    <w:nsid w:val="42EF7B7C"/>
    <w:multiLevelType w:val="hybridMultilevel"/>
    <w:tmpl w:val="42A297BE"/>
    <w:lvl w:ilvl="0" w:tplc="F7AE8294">
      <w:numFmt w:val="bullet"/>
      <w:lvlText w:val=""/>
      <w:lvlJc w:val="left"/>
      <w:pPr>
        <w:ind w:left="156" w:hanging="100"/>
      </w:pPr>
      <w:rPr>
        <w:rFonts w:ascii="Symbol" w:eastAsia="Symbol" w:hAnsi="Symbol" w:cs="Symbol" w:hint="default"/>
        <w:color w:val="231F20"/>
        <w:w w:val="100"/>
        <w:sz w:val="14"/>
        <w:szCs w:val="14"/>
      </w:rPr>
    </w:lvl>
    <w:lvl w:ilvl="1" w:tplc="FEEAE4D8">
      <w:numFmt w:val="bullet"/>
      <w:lvlText w:val="•"/>
      <w:lvlJc w:val="left"/>
      <w:pPr>
        <w:ind w:left="301" w:hanging="100"/>
      </w:pPr>
      <w:rPr>
        <w:rFonts w:hint="default"/>
      </w:rPr>
    </w:lvl>
    <w:lvl w:ilvl="2" w:tplc="BB10E754">
      <w:numFmt w:val="bullet"/>
      <w:lvlText w:val="•"/>
      <w:lvlJc w:val="left"/>
      <w:pPr>
        <w:ind w:left="443" w:hanging="100"/>
      </w:pPr>
      <w:rPr>
        <w:rFonts w:hint="default"/>
      </w:rPr>
    </w:lvl>
    <w:lvl w:ilvl="3" w:tplc="177C589A">
      <w:numFmt w:val="bullet"/>
      <w:lvlText w:val="•"/>
      <w:lvlJc w:val="left"/>
      <w:pPr>
        <w:ind w:left="585" w:hanging="100"/>
      </w:pPr>
      <w:rPr>
        <w:rFonts w:hint="default"/>
      </w:rPr>
    </w:lvl>
    <w:lvl w:ilvl="4" w:tplc="61E04AFC">
      <w:numFmt w:val="bullet"/>
      <w:lvlText w:val="•"/>
      <w:lvlJc w:val="left"/>
      <w:pPr>
        <w:ind w:left="726" w:hanging="100"/>
      </w:pPr>
      <w:rPr>
        <w:rFonts w:hint="default"/>
      </w:rPr>
    </w:lvl>
    <w:lvl w:ilvl="5" w:tplc="FDEAC854">
      <w:numFmt w:val="bullet"/>
      <w:lvlText w:val="•"/>
      <w:lvlJc w:val="left"/>
      <w:pPr>
        <w:ind w:left="868" w:hanging="100"/>
      </w:pPr>
      <w:rPr>
        <w:rFonts w:hint="default"/>
      </w:rPr>
    </w:lvl>
    <w:lvl w:ilvl="6" w:tplc="B5AE4C0A">
      <w:numFmt w:val="bullet"/>
      <w:lvlText w:val="•"/>
      <w:lvlJc w:val="left"/>
      <w:pPr>
        <w:ind w:left="1010" w:hanging="100"/>
      </w:pPr>
      <w:rPr>
        <w:rFonts w:hint="default"/>
      </w:rPr>
    </w:lvl>
    <w:lvl w:ilvl="7" w:tplc="7B90C5FE">
      <w:numFmt w:val="bullet"/>
      <w:lvlText w:val="•"/>
      <w:lvlJc w:val="left"/>
      <w:pPr>
        <w:ind w:left="1151" w:hanging="100"/>
      </w:pPr>
      <w:rPr>
        <w:rFonts w:hint="default"/>
      </w:rPr>
    </w:lvl>
    <w:lvl w:ilvl="8" w:tplc="30766A46">
      <w:numFmt w:val="bullet"/>
      <w:lvlText w:val="•"/>
      <w:lvlJc w:val="left"/>
      <w:pPr>
        <w:ind w:left="1293" w:hanging="100"/>
      </w:pPr>
      <w:rPr>
        <w:rFonts w:hint="default"/>
      </w:rPr>
    </w:lvl>
  </w:abstractNum>
  <w:abstractNum w:abstractNumId="1051" w15:restartNumberingAfterBreak="0">
    <w:nsid w:val="42F61696"/>
    <w:multiLevelType w:val="hybridMultilevel"/>
    <w:tmpl w:val="5BFE7684"/>
    <w:lvl w:ilvl="0" w:tplc="2CC287B8">
      <w:numFmt w:val="bullet"/>
      <w:lvlText w:val=""/>
      <w:lvlJc w:val="left"/>
      <w:pPr>
        <w:ind w:left="156" w:hanging="100"/>
      </w:pPr>
      <w:rPr>
        <w:rFonts w:ascii="Symbol" w:eastAsia="Symbol" w:hAnsi="Symbol" w:cs="Symbol" w:hint="default"/>
        <w:color w:val="231F20"/>
        <w:w w:val="100"/>
        <w:sz w:val="14"/>
        <w:szCs w:val="14"/>
      </w:rPr>
    </w:lvl>
    <w:lvl w:ilvl="1" w:tplc="1C82F28E">
      <w:numFmt w:val="bullet"/>
      <w:lvlText w:val="•"/>
      <w:lvlJc w:val="left"/>
      <w:pPr>
        <w:ind w:left="426" w:hanging="100"/>
      </w:pPr>
      <w:rPr>
        <w:rFonts w:hint="default"/>
      </w:rPr>
    </w:lvl>
    <w:lvl w:ilvl="2" w:tplc="C4F45986">
      <w:numFmt w:val="bullet"/>
      <w:lvlText w:val="•"/>
      <w:lvlJc w:val="left"/>
      <w:pPr>
        <w:ind w:left="692" w:hanging="100"/>
      </w:pPr>
      <w:rPr>
        <w:rFonts w:hint="default"/>
      </w:rPr>
    </w:lvl>
    <w:lvl w:ilvl="3" w:tplc="C046C86E">
      <w:numFmt w:val="bullet"/>
      <w:lvlText w:val="•"/>
      <w:lvlJc w:val="left"/>
      <w:pPr>
        <w:ind w:left="959" w:hanging="100"/>
      </w:pPr>
      <w:rPr>
        <w:rFonts w:hint="default"/>
      </w:rPr>
    </w:lvl>
    <w:lvl w:ilvl="4" w:tplc="A022D980">
      <w:numFmt w:val="bullet"/>
      <w:lvlText w:val="•"/>
      <w:lvlJc w:val="left"/>
      <w:pPr>
        <w:ind w:left="1225" w:hanging="100"/>
      </w:pPr>
      <w:rPr>
        <w:rFonts w:hint="default"/>
      </w:rPr>
    </w:lvl>
    <w:lvl w:ilvl="5" w:tplc="901E3166">
      <w:numFmt w:val="bullet"/>
      <w:lvlText w:val="•"/>
      <w:lvlJc w:val="left"/>
      <w:pPr>
        <w:ind w:left="1492" w:hanging="100"/>
      </w:pPr>
      <w:rPr>
        <w:rFonts w:hint="default"/>
      </w:rPr>
    </w:lvl>
    <w:lvl w:ilvl="6" w:tplc="9E0CB084">
      <w:numFmt w:val="bullet"/>
      <w:lvlText w:val="•"/>
      <w:lvlJc w:val="left"/>
      <w:pPr>
        <w:ind w:left="1758" w:hanging="100"/>
      </w:pPr>
      <w:rPr>
        <w:rFonts w:hint="default"/>
      </w:rPr>
    </w:lvl>
    <w:lvl w:ilvl="7" w:tplc="265E2CC2">
      <w:numFmt w:val="bullet"/>
      <w:lvlText w:val="•"/>
      <w:lvlJc w:val="left"/>
      <w:pPr>
        <w:ind w:left="2024" w:hanging="100"/>
      </w:pPr>
      <w:rPr>
        <w:rFonts w:hint="default"/>
      </w:rPr>
    </w:lvl>
    <w:lvl w:ilvl="8" w:tplc="7264F86E">
      <w:numFmt w:val="bullet"/>
      <w:lvlText w:val="•"/>
      <w:lvlJc w:val="left"/>
      <w:pPr>
        <w:ind w:left="2291" w:hanging="100"/>
      </w:pPr>
      <w:rPr>
        <w:rFonts w:hint="default"/>
      </w:rPr>
    </w:lvl>
  </w:abstractNum>
  <w:abstractNum w:abstractNumId="1052" w15:restartNumberingAfterBreak="0">
    <w:nsid w:val="430F6788"/>
    <w:multiLevelType w:val="hybridMultilevel"/>
    <w:tmpl w:val="35C09976"/>
    <w:lvl w:ilvl="0" w:tplc="DA1AA3FC">
      <w:numFmt w:val="bullet"/>
      <w:lvlText w:val=""/>
      <w:lvlJc w:val="left"/>
      <w:pPr>
        <w:ind w:left="156" w:hanging="100"/>
      </w:pPr>
      <w:rPr>
        <w:rFonts w:ascii="Symbol" w:eastAsia="Symbol" w:hAnsi="Symbol" w:cs="Symbol" w:hint="default"/>
        <w:color w:val="231F20"/>
        <w:w w:val="100"/>
        <w:sz w:val="14"/>
        <w:szCs w:val="14"/>
      </w:rPr>
    </w:lvl>
    <w:lvl w:ilvl="1" w:tplc="80E41C0A">
      <w:numFmt w:val="bullet"/>
      <w:lvlText w:val="•"/>
      <w:lvlJc w:val="left"/>
      <w:pPr>
        <w:ind w:left="301" w:hanging="100"/>
      </w:pPr>
      <w:rPr>
        <w:rFonts w:hint="default"/>
      </w:rPr>
    </w:lvl>
    <w:lvl w:ilvl="2" w:tplc="34FC292C">
      <w:numFmt w:val="bullet"/>
      <w:lvlText w:val="•"/>
      <w:lvlJc w:val="left"/>
      <w:pPr>
        <w:ind w:left="443" w:hanging="100"/>
      </w:pPr>
      <w:rPr>
        <w:rFonts w:hint="default"/>
      </w:rPr>
    </w:lvl>
    <w:lvl w:ilvl="3" w:tplc="FC8E875E">
      <w:numFmt w:val="bullet"/>
      <w:lvlText w:val="•"/>
      <w:lvlJc w:val="left"/>
      <w:pPr>
        <w:ind w:left="585" w:hanging="100"/>
      </w:pPr>
      <w:rPr>
        <w:rFonts w:hint="default"/>
      </w:rPr>
    </w:lvl>
    <w:lvl w:ilvl="4" w:tplc="CC4890CA">
      <w:numFmt w:val="bullet"/>
      <w:lvlText w:val="•"/>
      <w:lvlJc w:val="left"/>
      <w:pPr>
        <w:ind w:left="726" w:hanging="100"/>
      </w:pPr>
      <w:rPr>
        <w:rFonts w:hint="default"/>
      </w:rPr>
    </w:lvl>
    <w:lvl w:ilvl="5" w:tplc="1E74C538">
      <w:numFmt w:val="bullet"/>
      <w:lvlText w:val="•"/>
      <w:lvlJc w:val="left"/>
      <w:pPr>
        <w:ind w:left="868" w:hanging="100"/>
      </w:pPr>
      <w:rPr>
        <w:rFonts w:hint="default"/>
      </w:rPr>
    </w:lvl>
    <w:lvl w:ilvl="6" w:tplc="8730AC94">
      <w:numFmt w:val="bullet"/>
      <w:lvlText w:val="•"/>
      <w:lvlJc w:val="left"/>
      <w:pPr>
        <w:ind w:left="1010" w:hanging="100"/>
      </w:pPr>
      <w:rPr>
        <w:rFonts w:hint="default"/>
      </w:rPr>
    </w:lvl>
    <w:lvl w:ilvl="7" w:tplc="284E7CF2">
      <w:numFmt w:val="bullet"/>
      <w:lvlText w:val="•"/>
      <w:lvlJc w:val="left"/>
      <w:pPr>
        <w:ind w:left="1151" w:hanging="100"/>
      </w:pPr>
      <w:rPr>
        <w:rFonts w:hint="default"/>
      </w:rPr>
    </w:lvl>
    <w:lvl w:ilvl="8" w:tplc="B4A6B520">
      <w:numFmt w:val="bullet"/>
      <w:lvlText w:val="•"/>
      <w:lvlJc w:val="left"/>
      <w:pPr>
        <w:ind w:left="1293" w:hanging="100"/>
      </w:pPr>
      <w:rPr>
        <w:rFonts w:hint="default"/>
      </w:rPr>
    </w:lvl>
  </w:abstractNum>
  <w:abstractNum w:abstractNumId="1053" w15:restartNumberingAfterBreak="0">
    <w:nsid w:val="431534AD"/>
    <w:multiLevelType w:val="hybridMultilevel"/>
    <w:tmpl w:val="183AD6CC"/>
    <w:lvl w:ilvl="0" w:tplc="12745B80">
      <w:numFmt w:val="bullet"/>
      <w:lvlText w:val=""/>
      <w:lvlJc w:val="left"/>
      <w:pPr>
        <w:ind w:left="156" w:hanging="100"/>
      </w:pPr>
      <w:rPr>
        <w:rFonts w:ascii="Symbol" w:eastAsia="Symbol" w:hAnsi="Symbol" w:cs="Symbol" w:hint="default"/>
        <w:color w:val="231F20"/>
        <w:w w:val="100"/>
        <w:sz w:val="14"/>
        <w:szCs w:val="14"/>
      </w:rPr>
    </w:lvl>
    <w:lvl w:ilvl="1" w:tplc="98AA3176">
      <w:numFmt w:val="bullet"/>
      <w:lvlText w:val="•"/>
      <w:lvlJc w:val="left"/>
      <w:pPr>
        <w:ind w:left="398" w:hanging="100"/>
      </w:pPr>
      <w:rPr>
        <w:rFonts w:hint="default"/>
      </w:rPr>
    </w:lvl>
    <w:lvl w:ilvl="2" w:tplc="D548AB68">
      <w:numFmt w:val="bullet"/>
      <w:lvlText w:val="•"/>
      <w:lvlJc w:val="left"/>
      <w:pPr>
        <w:ind w:left="636" w:hanging="100"/>
      </w:pPr>
      <w:rPr>
        <w:rFonts w:hint="default"/>
      </w:rPr>
    </w:lvl>
    <w:lvl w:ilvl="3" w:tplc="29DE74CC">
      <w:numFmt w:val="bullet"/>
      <w:lvlText w:val="•"/>
      <w:lvlJc w:val="left"/>
      <w:pPr>
        <w:ind w:left="874" w:hanging="100"/>
      </w:pPr>
      <w:rPr>
        <w:rFonts w:hint="default"/>
      </w:rPr>
    </w:lvl>
    <w:lvl w:ilvl="4" w:tplc="4F2E0B94">
      <w:numFmt w:val="bullet"/>
      <w:lvlText w:val="•"/>
      <w:lvlJc w:val="left"/>
      <w:pPr>
        <w:ind w:left="1112" w:hanging="100"/>
      </w:pPr>
      <w:rPr>
        <w:rFonts w:hint="default"/>
      </w:rPr>
    </w:lvl>
    <w:lvl w:ilvl="5" w:tplc="716C9DCA">
      <w:numFmt w:val="bullet"/>
      <w:lvlText w:val="•"/>
      <w:lvlJc w:val="left"/>
      <w:pPr>
        <w:ind w:left="1350" w:hanging="100"/>
      </w:pPr>
      <w:rPr>
        <w:rFonts w:hint="default"/>
      </w:rPr>
    </w:lvl>
    <w:lvl w:ilvl="6" w:tplc="BC906BFA">
      <w:numFmt w:val="bullet"/>
      <w:lvlText w:val="•"/>
      <w:lvlJc w:val="left"/>
      <w:pPr>
        <w:ind w:left="1588" w:hanging="100"/>
      </w:pPr>
      <w:rPr>
        <w:rFonts w:hint="default"/>
      </w:rPr>
    </w:lvl>
    <w:lvl w:ilvl="7" w:tplc="CE8EC7C4">
      <w:numFmt w:val="bullet"/>
      <w:lvlText w:val="•"/>
      <w:lvlJc w:val="left"/>
      <w:pPr>
        <w:ind w:left="1826" w:hanging="100"/>
      </w:pPr>
      <w:rPr>
        <w:rFonts w:hint="default"/>
      </w:rPr>
    </w:lvl>
    <w:lvl w:ilvl="8" w:tplc="35A6AC24">
      <w:numFmt w:val="bullet"/>
      <w:lvlText w:val="•"/>
      <w:lvlJc w:val="left"/>
      <w:pPr>
        <w:ind w:left="2064" w:hanging="100"/>
      </w:pPr>
      <w:rPr>
        <w:rFonts w:hint="default"/>
      </w:rPr>
    </w:lvl>
  </w:abstractNum>
  <w:abstractNum w:abstractNumId="1054" w15:restartNumberingAfterBreak="0">
    <w:nsid w:val="43362F04"/>
    <w:multiLevelType w:val="hybridMultilevel"/>
    <w:tmpl w:val="D59EBA1E"/>
    <w:lvl w:ilvl="0" w:tplc="8416B98E">
      <w:numFmt w:val="bullet"/>
      <w:lvlText w:val=""/>
      <w:lvlJc w:val="left"/>
      <w:pPr>
        <w:ind w:left="156" w:hanging="100"/>
      </w:pPr>
      <w:rPr>
        <w:rFonts w:ascii="Symbol" w:eastAsia="Symbol" w:hAnsi="Symbol" w:cs="Symbol" w:hint="default"/>
        <w:color w:val="231F20"/>
        <w:w w:val="100"/>
        <w:sz w:val="14"/>
        <w:szCs w:val="14"/>
      </w:rPr>
    </w:lvl>
    <w:lvl w:ilvl="1" w:tplc="28AA66FC">
      <w:numFmt w:val="bullet"/>
      <w:lvlText w:val="•"/>
      <w:lvlJc w:val="left"/>
      <w:pPr>
        <w:ind w:left="426" w:hanging="100"/>
      </w:pPr>
      <w:rPr>
        <w:rFonts w:hint="default"/>
      </w:rPr>
    </w:lvl>
    <w:lvl w:ilvl="2" w:tplc="58007904">
      <w:numFmt w:val="bullet"/>
      <w:lvlText w:val="•"/>
      <w:lvlJc w:val="left"/>
      <w:pPr>
        <w:ind w:left="692" w:hanging="100"/>
      </w:pPr>
      <w:rPr>
        <w:rFonts w:hint="default"/>
      </w:rPr>
    </w:lvl>
    <w:lvl w:ilvl="3" w:tplc="EFF4F536">
      <w:numFmt w:val="bullet"/>
      <w:lvlText w:val="•"/>
      <w:lvlJc w:val="left"/>
      <w:pPr>
        <w:ind w:left="959" w:hanging="100"/>
      </w:pPr>
      <w:rPr>
        <w:rFonts w:hint="default"/>
      </w:rPr>
    </w:lvl>
    <w:lvl w:ilvl="4" w:tplc="E0908A9A">
      <w:numFmt w:val="bullet"/>
      <w:lvlText w:val="•"/>
      <w:lvlJc w:val="left"/>
      <w:pPr>
        <w:ind w:left="1225" w:hanging="100"/>
      </w:pPr>
      <w:rPr>
        <w:rFonts w:hint="default"/>
      </w:rPr>
    </w:lvl>
    <w:lvl w:ilvl="5" w:tplc="97AE5844">
      <w:numFmt w:val="bullet"/>
      <w:lvlText w:val="•"/>
      <w:lvlJc w:val="left"/>
      <w:pPr>
        <w:ind w:left="1492" w:hanging="100"/>
      </w:pPr>
      <w:rPr>
        <w:rFonts w:hint="default"/>
      </w:rPr>
    </w:lvl>
    <w:lvl w:ilvl="6" w:tplc="9920E7D0">
      <w:numFmt w:val="bullet"/>
      <w:lvlText w:val="•"/>
      <w:lvlJc w:val="left"/>
      <w:pPr>
        <w:ind w:left="1758" w:hanging="100"/>
      </w:pPr>
      <w:rPr>
        <w:rFonts w:hint="default"/>
      </w:rPr>
    </w:lvl>
    <w:lvl w:ilvl="7" w:tplc="982094A0">
      <w:numFmt w:val="bullet"/>
      <w:lvlText w:val="•"/>
      <w:lvlJc w:val="left"/>
      <w:pPr>
        <w:ind w:left="2024" w:hanging="100"/>
      </w:pPr>
      <w:rPr>
        <w:rFonts w:hint="default"/>
      </w:rPr>
    </w:lvl>
    <w:lvl w:ilvl="8" w:tplc="285CACB2">
      <w:numFmt w:val="bullet"/>
      <w:lvlText w:val="•"/>
      <w:lvlJc w:val="left"/>
      <w:pPr>
        <w:ind w:left="2291" w:hanging="100"/>
      </w:pPr>
      <w:rPr>
        <w:rFonts w:hint="default"/>
      </w:rPr>
    </w:lvl>
  </w:abstractNum>
  <w:abstractNum w:abstractNumId="1055" w15:restartNumberingAfterBreak="0">
    <w:nsid w:val="433F15A8"/>
    <w:multiLevelType w:val="hybridMultilevel"/>
    <w:tmpl w:val="F454D220"/>
    <w:lvl w:ilvl="0" w:tplc="99BA0792">
      <w:numFmt w:val="bullet"/>
      <w:lvlText w:val=""/>
      <w:lvlJc w:val="left"/>
      <w:pPr>
        <w:ind w:left="156" w:hanging="100"/>
      </w:pPr>
      <w:rPr>
        <w:rFonts w:ascii="Symbol" w:eastAsia="Symbol" w:hAnsi="Symbol" w:cs="Symbol" w:hint="default"/>
        <w:color w:val="231F20"/>
        <w:w w:val="100"/>
        <w:sz w:val="14"/>
        <w:szCs w:val="14"/>
      </w:rPr>
    </w:lvl>
    <w:lvl w:ilvl="1" w:tplc="B0647758">
      <w:numFmt w:val="bullet"/>
      <w:lvlText w:val="•"/>
      <w:lvlJc w:val="left"/>
      <w:pPr>
        <w:ind w:left="301" w:hanging="100"/>
      </w:pPr>
      <w:rPr>
        <w:rFonts w:hint="default"/>
      </w:rPr>
    </w:lvl>
    <w:lvl w:ilvl="2" w:tplc="FFFA9D62">
      <w:numFmt w:val="bullet"/>
      <w:lvlText w:val="•"/>
      <w:lvlJc w:val="left"/>
      <w:pPr>
        <w:ind w:left="443" w:hanging="100"/>
      </w:pPr>
      <w:rPr>
        <w:rFonts w:hint="default"/>
      </w:rPr>
    </w:lvl>
    <w:lvl w:ilvl="3" w:tplc="39D2A126">
      <w:numFmt w:val="bullet"/>
      <w:lvlText w:val="•"/>
      <w:lvlJc w:val="left"/>
      <w:pPr>
        <w:ind w:left="585" w:hanging="100"/>
      </w:pPr>
      <w:rPr>
        <w:rFonts w:hint="default"/>
      </w:rPr>
    </w:lvl>
    <w:lvl w:ilvl="4" w:tplc="A0A2E216">
      <w:numFmt w:val="bullet"/>
      <w:lvlText w:val="•"/>
      <w:lvlJc w:val="left"/>
      <w:pPr>
        <w:ind w:left="726" w:hanging="100"/>
      </w:pPr>
      <w:rPr>
        <w:rFonts w:hint="default"/>
      </w:rPr>
    </w:lvl>
    <w:lvl w:ilvl="5" w:tplc="14CC5452">
      <w:numFmt w:val="bullet"/>
      <w:lvlText w:val="•"/>
      <w:lvlJc w:val="left"/>
      <w:pPr>
        <w:ind w:left="868" w:hanging="100"/>
      </w:pPr>
      <w:rPr>
        <w:rFonts w:hint="default"/>
      </w:rPr>
    </w:lvl>
    <w:lvl w:ilvl="6" w:tplc="461E7E00">
      <w:numFmt w:val="bullet"/>
      <w:lvlText w:val="•"/>
      <w:lvlJc w:val="left"/>
      <w:pPr>
        <w:ind w:left="1010" w:hanging="100"/>
      </w:pPr>
      <w:rPr>
        <w:rFonts w:hint="default"/>
      </w:rPr>
    </w:lvl>
    <w:lvl w:ilvl="7" w:tplc="43543FC8">
      <w:numFmt w:val="bullet"/>
      <w:lvlText w:val="•"/>
      <w:lvlJc w:val="left"/>
      <w:pPr>
        <w:ind w:left="1151" w:hanging="100"/>
      </w:pPr>
      <w:rPr>
        <w:rFonts w:hint="default"/>
      </w:rPr>
    </w:lvl>
    <w:lvl w:ilvl="8" w:tplc="34A89CA4">
      <w:numFmt w:val="bullet"/>
      <w:lvlText w:val="•"/>
      <w:lvlJc w:val="left"/>
      <w:pPr>
        <w:ind w:left="1293" w:hanging="100"/>
      </w:pPr>
      <w:rPr>
        <w:rFonts w:hint="default"/>
      </w:rPr>
    </w:lvl>
  </w:abstractNum>
  <w:abstractNum w:abstractNumId="1056" w15:restartNumberingAfterBreak="0">
    <w:nsid w:val="43487636"/>
    <w:multiLevelType w:val="hybridMultilevel"/>
    <w:tmpl w:val="A7D8B522"/>
    <w:lvl w:ilvl="0" w:tplc="7974FC88">
      <w:numFmt w:val="bullet"/>
      <w:lvlText w:val=""/>
      <w:lvlJc w:val="left"/>
      <w:pPr>
        <w:ind w:left="156" w:hanging="100"/>
      </w:pPr>
      <w:rPr>
        <w:rFonts w:ascii="Symbol" w:eastAsia="Symbol" w:hAnsi="Symbol" w:cs="Symbol" w:hint="default"/>
        <w:color w:val="231F20"/>
        <w:w w:val="100"/>
        <w:sz w:val="14"/>
        <w:szCs w:val="14"/>
      </w:rPr>
    </w:lvl>
    <w:lvl w:ilvl="1" w:tplc="9132B50A">
      <w:numFmt w:val="bullet"/>
      <w:lvlText w:val="•"/>
      <w:lvlJc w:val="left"/>
      <w:pPr>
        <w:ind w:left="301" w:hanging="100"/>
      </w:pPr>
      <w:rPr>
        <w:rFonts w:hint="default"/>
      </w:rPr>
    </w:lvl>
    <w:lvl w:ilvl="2" w:tplc="CD584414">
      <w:numFmt w:val="bullet"/>
      <w:lvlText w:val="•"/>
      <w:lvlJc w:val="left"/>
      <w:pPr>
        <w:ind w:left="443" w:hanging="100"/>
      </w:pPr>
      <w:rPr>
        <w:rFonts w:hint="default"/>
      </w:rPr>
    </w:lvl>
    <w:lvl w:ilvl="3" w:tplc="3C56139A">
      <w:numFmt w:val="bullet"/>
      <w:lvlText w:val="•"/>
      <w:lvlJc w:val="left"/>
      <w:pPr>
        <w:ind w:left="585" w:hanging="100"/>
      </w:pPr>
      <w:rPr>
        <w:rFonts w:hint="default"/>
      </w:rPr>
    </w:lvl>
    <w:lvl w:ilvl="4" w:tplc="4DF87394">
      <w:numFmt w:val="bullet"/>
      <w:lvlText w:val="•"/>
      <w:lvlJc w:val="left"/>
      <w:pPr>
        <w:ind w:left="726" w:hanging="100"/>
      </w:pPr>
      <w:rPr>
        <w:rFonts w:hint="default"/>
      </w:rPr>
    </w:lvl>
    <w:lvl w:ilvl="5" w:tplc="78525F90">
      <w:numFmt w:val="bullet"/>
      <w:lvlText w:val="•"/>
      <w:lvlJc w:val="left"/>
      <w:pPr>
        <w:ind w:left="868" w:hanging="100"/>
      </w:pPr>
      <w:rPr>
        <w:rFonts w:hint="default"/>
      </w:rPr>
    </w:lvl>
    <w:lvl w:ilvl="6" w:tplc="8F3A41D6">
      <w:numFmt w:val="bullet"/>
      <w:lvlText w:val="•"/>
      <w:lvlJc w:val="left"/>
      <w:pPr>
        <w:ind w:left="1010" w:hanging="100"/>
      </w:pPr>
      <w:rPr>
        <w:rFonts w:hint="default"/>
      </w:rPr>
    </w:lvl>
    <w:lvl w:ilvl="7" w:tplc="14822032">
      <w:numFmt w:val="bullet"/>
      <w:lvlText w:val="•"/>
      <w:lvlJc w:val="left"/>
      <w:pPr>
        <w:ind w:left="1151" w:hanging="100"/>
      </w:pPr>
      <w:rPr>
        <w:rFonts w:hint="default"/>
      </w:rPr>
    </w:lvl>
    <w:lvl w:ilvl="8" w:tplc="659C7C6C">
      <w:numFmt w:val="bullet"/>
      <w:lvlText w:val="•"/>
      <w:lvlJc w:val="left"/>
      <w:pPr>
        <w:ind w:left="1293" w:hanging="100"/>
      </w:pPr>
      <w:rPr>
        <w:rFonts w:hint="default"/>
      </w:rPr>
    </w:lvl>
  </w:abstractNum>
  <w:abstractNum w:abstractNumId="1057" w15:restartNumberingAfterBreak="0">
    <w:nsid w:val="43501D7C"/>
    <w:multiLevelType w:val="hybridMultilevel"/>
    <w:tmpl w:val="A0E608DE"/>
    <w:lvl w:ilvl="0" w:tplc="81E231F2">
      <w:numFmt w:val="bullet"/>
      <w:lvlText w:val=""/>
      <w:lvlJc w:val="left"/>
      <w:pPr>
        <w:ind w:left="156" w:hanging="100"/>
      </w:pPr>
      <w:rPr>
        <w:rFonts w:ascii="Symbol" w:eastAsia="Symbol" w:hAnsi="Symbol" w:cs="Symbol" w:hint="default"/>
        <w:color w:val="231F20"/>
        <w:w w:val="100"/>
        <w:sz w:val="14"/>
        <w:szCs w:val="14"/>
      </w:rPr>
    </w:lvl>
    <w:lvl w:ilvl="1" w:tplc="8F2274A4">
      <w:numFmt w:val="bullet"/>
      <w:lvlText w:val="•"/>
      <w:lvlJc w:val="left"/>
      <w:pPr>
        <w:ind w:left="454" w:hanging="100"/>
      </w:pPr>
      <w:rPr>
        <w:rFonts w:hint="default"/>
      </w:rPr>
    </w:lvl>
    <w:lvl w:ilvl="2" w:tplc="5AE2211A">
      <w:numFmt w:val="bullet"/>
      <w:lvlText w:val="•"/>
      <w:lvlJc w:val="left"/>
      <w:pPr>
        <w:ind w:left="749" w:hanging="100"/>
      </w:pPr>
      <w:rPr>
        <w:rFonts w:hint="default"/>
      </w:rPr>
    </w:lvl>
    <w:lvl w:ilvl="3" w:tplc="63C4AFFE">
      <w:numFmt w:val="bullet"/>
      <w:lvlText w:val="•"/>
      <w:lvlJc w:val="left"/>
      <w:pPr>
        <w:ind w:left="1044" w:hanging="100"/>
      </w:pPr>
      <w:rPr>
        <w:rFonts w:hint="default"/>
      </w:rPr>
    </w:lvl>
    <w:lvl w:ilvl="4" w:tplc="2A16F9D6">
      <w:numFmt w:val="bullet"/>
      <w:lvlText w:val="•"/>
      <w:lvlJc w:val="left"/>
      <w:pPr>
        <w:ind w:left="1339" w:hanging="100"/>
      </w:pPr>
      <w:rPr>
        <w:rFonts w:hint="default"/>
      </w:rPr>
    </w:lvl>
    <w:lvl w:ilvl="5" w:tplc="0B309E70">
      <w:numFmt w:val="bullet"/>
      <w:lvlText w:val="•"/>
      <w:lvlJc w:val="left"/>
      <w:pPr>
        <w:ind w:left="1634" w:hanging="100"/>
      </w:pPr>
      <w:rPr>
        <w:rFonts w:hint="default"/>
      </w:rPr>
    </w:lvl>
    <w:lvl w:ilvl="6" w:tplc="9A7ADC7A">
      <w:numFmt w:val="bullet"/>
      <w:lvlText w:val="•"/>
      <w:lvlJc w:val="left"/>
      <w:pPr>
        <w:ind w:left="1928" w:hanging="100"/>
      </w:pPr>
      <w:rPr>
        <w:rFonts w:hint="default"/>
      </w:rPr>
    </w:lvl>
    <w:lvl w:ilvl="7" w:tplc="CBA2AA04">
      <w:numFmt w:val="bullet"/>
      <w:lvlText w:val="•"/>
      <w:lvlJc w:val="left"/>
      <w:pPr>
        <w:ind w:left="2223" w:hanging="100"/>
      </w:pPr>
      <w:rPr>
        <w:rFonts w:hint="default"/>
      </w:rPr>
    </w:lvl>
    <w:lvl w:ilvl="8" w:tplc="00F6294E">
      <w:numFmt w:val="bullet"/>
      <w:lvlText w:val="•"/>
      <w:lvlJc w:val="left"/>
      <w:pPr>
        <w:ind w:left="2518" w:hanging="100"/>
      </w:pPr>
      <w:rPr>
        <w:rFonts w:hint="default"/>
      </w:rPr>
    </w:lvl>
  </w:abstractNum>
  <w:abstractNum w:abstractNumId="1058" w15:restartNumberingAfterBreak="0">
    <w:nsid w:val="43530A83"/>
    <w:multiLevelType w:val="hybridMultilevel"/>
    <w:tmpl w:val="D5407D36"/>
    <w:lvl w:ilvl="0" w:tplc="E586F788">
      <w:numFmt w:val="bullet"/>
      <w:lvlText w:val=""/>
      <w:lvlJc w:val="left"/>
      <w:pPr>
        <w:ind w:left="156" w:hanging="100"/>
      </w:pPr>
      <w:rPr>
        <w:rFonts w:ascii="Symbol" w:eastAsia="Symbol" w:hAnsi="Symbol" w:cs="Symbol" w:hint="default"/>
        <w:color w:val="231F20"/>
        <w:w w:val="100"/>
        <w:sz w:val="14"/>
        <w:szCs w:val="14"/>
      </w:rPr>
    </w:lvl>
    <w:lvl w:ilvl="1" w:tplc="B3A0B6C4">
      <w:numFmt w:val="bullet"/>
      <w:lvlText w:val="•"/>
      <w:lvlJc w:val="left"/>
      <w:pPr>
        <w:ind w:left="426" w:hanging="100"/>
      </w:pPr>
      <w:rPr>
        <w:rFonts w:hint="default"/>
      </w:rPr>
    </w:lvl>
    <w:lvl w:ilvl="2" w:tplc="1E6C64A0">
      <w:numFmt w:val="bullet"/>
      <w:lvlText w:val="•"/>
      <w:lvlJc w:val="left"/>
      <w:pPr>
        <w:ind w:left="692" w:hanging="100"/>
      </w:pPr>
      <w:rPr>
        <w:rFonts w:hint="default"/>
      </w:rPr>
    </w:lvl>
    <w:lvl w:ilvl="3" w:tplc="AE325382">
      <w:numFmt w:val="bullet"/>
      <w:lvlText w:val="•"/>
      <w:lvlJc w:val="left"/>
      <w:pPr>
        <w:ind w:left="959" w:hanging="100"/>
      </w:pPr>
      <w:rPr>
        <w:rFonts w:hint="default"/>
      </w:rPr>
    </w:lvl>
    <w:lvl w:ilvl="4" w:tplc="0454530A">
      <w:numFmt w:val="bullet"/>
      <w:lvlText w:val="•"/>
      <w:lvlJc w:val="left"/>
      <w:pPr>
        <w:ind w:left="1225" w:hanging="100"/>
      </w:pPr>
      <w:rPr>
        <w:rFonts w:hint="default"/>
      </w:rPr>
    </w:lvl>
    <w:lvl w:ilvl="5" w:tplc="04765E82">
      <w:numFmt w:val="bullet"/>
      <w:lvlText w:val="•"/>
      <w:lvlJc w:val="left"/>
      <w:pPr>
        <w:ind w:left="1492" w:hanging="100"/>
      </w:pPr>
      <w:rPr>
        <w:rFonts w:hint="default"/>
      </w:rPr>
    </w:lvl>
    <w:lvl w:ilvl="6" w:tplc="122A1972">
      <w:numFmt w:val="bullet"/>
      <w:lvlText w:val="•"/>
      <w:lvlJc w:val="left"/>
      <w:pPr>
        <w:ind w:left="1758" w:hanging="100"/>
      </w:pPr>
      <w:rPr>
        <w:rFonts w:hint="default"/>
      </w:rPr>
    </w:lvl>
    <w:lvl w:ilvl="7" w:tplc="9388713E">
      <w:numFmt w:val="bullet"/>
      <w:lvlText w:val="•"/>
      <w:lvlJc w:val="left"/>
      <w:pPr>
        <w:ind w:left="2024" w:hanging="100"/>
      </w:pPr>
      <w:rPr>
        <w:rFonts w:hint="default"/>
      </w:rPr>
    </w:lvl>
    <w:lvl w:ilvl="8" w:tplc="D33C1A8C">
      <w:numFmt w:val="bullet"/>
      <w:lvlText w:val="•"/>
      <w:lvlJc w:val="left"/>
      <w:pPr>
        <w:ind w:left="2291" w:hanging="100"/>
      </w:pPr>
      <w:rPr>
        <w:rFonts w:hint="default"/>
      </w:rPr>
    </w:lvl>
  </w:abstractNum>
  <w:abstractNum w:abstractNumId="1059" w15:restartNumberingAfterBreak="0">
    <w:nsid w:val="4371161D"/>
    <w:multiLevelType w:val="hybridMultilevel"/>
    <w:tmpl w:val="25F0E1AC"/>
    <w:lvl w:ilvl="0" w:tplc="358E143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BC84B860">
      <w:numFmt w:val="bullet"/>
      <w:lvlText w:val="•"/>
      <w:lvlJc w:val="left"/>
      <w:pPr>
        <w:ind w:left="408" w:hanging="84"/>
      </w:pPr>
      <w:rPr>
        <w:rFonts w:hint="default"/>
      </w:rPr>
    </w:lvl>
    <w:lvl w:ilvl="2" w:tplc="F0F4531C">
      <w:numFmt w:val="bullet"/>
      <w:lvlText w:val="•"/>
      <w:lvlJc w:val="left"/>
      <w:pPr>
        <w:ind w:left="676" w:hanging="84"/>
      </w:pPr>
      <w:rPr>
        <w:rFonts w:hint="default"/>
      </w:rPr>
    </w:lvl>
    <w:lvl w:ilvl="3" w:tplc="D2D4C3C0">
      <w:numFmt w:val="bullet"/>
      <w:lvlText w:val="•"/>
      <w:lvlJc w:val="left"/>
      <w:pPr>
        <w:ind w:left="945" w:hanging="84"/>
      </w:pPr>
      <w:rPr>
        <w:rFonts w:hint="default"/>
      </w:rPr>
    </w:lvl>
    <w:lvl w:ilvl="4" w:tplc="4C441D8A">
      <w:numFmt w:val="bullet"/>
      <w:lvlText w:val="•"/>
      <w:lvlJc w:val="left"/>
      <w:pPr>
        <w:ind w:left="1213" w:hanging="84"/>
      </w:pPr>
      <w:rPr>
        <w:rFonts w:hint="default"/>
      </w:rPr>
    </w:lvl>
    <w:lvl w:ilvl="5" w:tplc="98D23EB8">
      <w:numFmt w:val="bullet"/>
      <w:lvlText w:val="•"/>
      <w:lvlJc w:val="left"/>
      <w:pPr>
        <w:ind w:left="1482" w:hanging="84"/>
      </w:pPr>
      <w:rPr>
        <w:rFonts w:hint="default"/>
      </w:rPr>
    </w:lvl>
    <w:lvl w:ilvl="6" w:tplc="65CEF58A">
      <w:numFmt w:val="bullet"/>
      <w:lvlText w:val="•"/>
      <w:lvlJc w:val="left"/>
      <w:pPr>
        <w:ind w:left="1750" w:hanging="84"/>
      </w:pPr>
      <w:rPr>
        <w:rFonts w:hint="default"/>
      </w:rPr>
    </w:lvl>
    <w:lvl w:ilvl="7" w:tplc="343A0284">
      <w:numFmt w:val="bullet"/>
      <w:lvlText w:val="•"/>
      <w:lvlJc w:val="left"/>
      <w:pPr>
        <w:ind w:left="2018" w:hanging="84"/>
      </w:pPr>
      <w:rPr>
        <w:rFonts w:hint="default"/>
      </w:rPr>
    </w:lvl>
    <w:lvl w:ilvl="8" w:tplc="D1540D80">
      <w:numFmt w:val="bullet"/>
      <w:lvlText w:val="•"/>
      <w:lvlJc w:val="left"/>
      <w:pPr>
        <w:ind w:left="2287" w:hanging="84"/>
      </w:pPr>
      <w:rPr>
        <w:rFonts w:hint="default"/>
      </w:rPr>
    </w:lvl>
  </w:abstractNum>
  <w:abstractNum w:abstractNumId="1060" w15:restartNumberingAfterBreak="0">
    <w:nsid w:val="4386311C"/>
    <w:multiLevelType w:val="hybridMultilevel"/>
    <w:tmpl w:val="70805306"/>
    <w:lvl w:ilvl="0" w:tplc="684EE450">
      <w:numFmt w:val="bullet"/>
      <w:lvlText w:val=""/>
      <w:lvlJc w:val="left"/>
      <w:pPr>
        <w:ind w:left="156" w:hanging="100"/>
      </w:pPr>
      <w:rPr>
        <w:rFonts w:ascii="Symbol" w:eastAsia="Symbol" w:hAnsi="Symbol" w:cs="Symbol" w:hint="default"/>
        <w:color w:val="231F20"/>
        <w:w w:val="100"/>
        <w:sz w:val="14"/>
        <w:szCs w:val="14"/>
      </w:rPr>
    </w:lvl>
    <w:lvl w:ilvl="1" w:tplc="8670DF7E">
      <w:numFmt w:val="bullet"/>
      <w:lvlText w:val="•"/>
      <w:lvlJc w:val="left"/>
      <w:pPr>
        <w:ind w:left="301" w:hanging="100"/>
      </w:pPr>
      <w:rPr>
        <w:rFonts w:hint="default"/>
      </w:rPr>
    </w:lvl>
    <w:lvl w:ilvl="2" w:tplc="A3A44018">
      <w:numFmt w:val="bullet"/>
      <w:lvlText w:val="•"/>
      <w:lvlJc w:val="left"/>
      <w:pPr>
        <w:ind w:left="443" w:hanging="100"/>
      </w:pPr>
      <w:rPr>
        <w:rFonts w:hint="default"/>
      </w:rPr>
    </w:lvl>
    <w:lvl w:ilvl="3" w:tplc="3816EF9C">
      <w:numFmt w:val="bullet"/>
      <w:lvlText w:val="•"/>
      <w:lvlJc w:val="left"/>
      <w:pPr>
        <w:ind w:left="585" w:hanging="100"/>
      </w:pPr>
      <w:rPr>
        <w:rFonts w:hint="default"/>
      </w:rPr>
    </w:lvl>
    <w:lvl w:ilvl="4" w:tplc="E068B632">
      <w:numFmt w:val="bullet"/>
      <w:lvlText w:val="•"/>
      <w:lvlJc w:val="left"/>
      <w:pPr>
        <w:ind w:left="726" w:hanging="100"/>
      </w:pPr>
      <w:rPr>
        <w:rFonts w:hint="default"/>
      </w:rPr>
    </w:lvl>
    <w:lvl w:ilvl="5" w:tplc="2988ACC0">
      <w:numFmt w:val="bullet"/>
      <w:lvlText w:val="•"/>
      <w:lvlJc w:val="left"/>
      <w:pPr>
        <w:ind w:left="868" w:hanging="100"/>
      </w:pPr>
      <w:rPr>
        <w:rFonts w:hint="default"/>
      </w:rPr>
    </w:lvl>
    <w:lvl w:ilvl="6" w:tplc="F72E63EC">
      <w:numFmt w:val="bullet"/>
      <w:lvlText w:val="•"/>
      <w:lvlJc w:val="left"/>
      <w:pPr>
        <w:ind w:left="1010" w:hanging="100"/>
      </w:pPr>
      <w:rPr>
        <w:rFonts w:hint="default"/>
      </w:rPr>
    </w:lvl>
    <w:lvl w:ilvl="7" w:tplc="A916302A">
      <w:numFmt w:val="bullet"/>
      <w:lvlText w:val="•"/>
      <w:lvlJc w:val="left"/>
      <w:pPr>
        <w:ind w:left="1151" w:hanging="100"/>
      </w:pPr>
      <w:rPr>
        <w:rFonts w:hint="default"/>
      </w:rPr>
    </w:lvl>
    <w:lvl w:ilvl="8" w:tplc="379232AE">
      <w:numFmt w:val="bullet"/>
      <w:lvlText w:val="•"/>
      <w:lvlJc w:val="left"/>
      <w:pPr>
        <w:ind w:left="1293" w:hanging="100"/>
      </w:pPr>
      <w:rPr>
        <w:rFonts w:hint="default"/>
      </w:rPr>
    </w:lvl>
  </w:abstractNum>
  <w:abstractNum w:abstractNumId="1061" w15:restartNumberingAfterBreak="0">
    <w:nsid w:val="438B5E3F"/>
    <w:multiLevelType w:val="hybridMultilevel"/>
    <w:tmpl w:val="D5EEB91E"/>
    <w:lvl w:ilvl="0" w:tplc="52ECBB84">
      <w:numFmt w:val="bullet"/>
      <w:lvlText w:val=""/>
      <w:lvlJc w:val="left"/>
      <w:pPr>
        <w:ind w:left="156" w:hanging="100"/>
      </w:pPr>
      <w:rPr>
        <w:rFonts w:ascii="Symbol" w:eastAsia="Symbol" w:hAnsi="Symbol" w:cs="Symbol" w:hint="default"/>
        <w:color w:val="231F20"/>
        <w:w w:val="100"/>
        <w:sz w:val="14"/>
        <w:szCs w:val="14"/>
      </w:rPr>
    </w:lvl>
    <w:lvl w:ilvl="1" w:tplc="5790868E">
      <w:numFmt w:val="bullet"/>
      <w:lvlText w:val="•"/>
      <w:lvlJc w:val="left"/>
      <w:pPr>
        <w:ind w:left="301" w:hanging="100"/>
      </w:pPr>
      <w:rPr>
        <w:rFonts w:hint="default"/>
      </w:rPr>
    </w:lvl>
    <w:lvl w:ilvl="2" w:tplc="81D8DB3E">
      <w:numFmt w:val="bullet"/>
      <w:lvlText w:val="•"/>
      <w:lvlJc w:val="left"/>
      <w:pPr>
        <w:ind w:left="443" w:hanging="100"/>
      </w:pPr>
      <w:rPr>
        <w:rFonts w:hint="default"/>
      </w:rPr>
    </w:lvl>
    <w:lvl w:ilvl="3" w:tplc="7F92A610">
      <w:numFmt w:val="bullet"/>
      <w:lvlText w:val="•"/>
      <w:lvlJc w:val="left"/>
      <w:pPr>
        <w:ind w:left="585" w:hanging="100"/>
      </w:pPr>
      <w:rPr>
        <w:rFonts w:hint="default"/>
      </w:rPr>
    </w:lvl>
    <w:lvl w:ilvl="4" w:tplc="68609070">
      <w:numFmt w:val="bullet"/>
      <w:lvlText w:val="•"/>
      <w:lvlJc w:val="left"/>
      <w:pPr>
        <w:ind w:left="726" w:hanging="100"/>
      </w:pPr>
      <w:rPr>
        <w:rFonts w:hint="default"/>
      </w:rPr>
    </w:lvl>
    <w:lvl w:ilvl="5" w:tplc="AD729C56">
      <w:numFmt w:val="bullet"/>
      <w:lvlText w:val="•"/>
      <w:lvlJc w:val="left"/>
      <w:pPr>
        <w:ind w:left="868" w:hanging="100"/>
      </w:pPr>
      <w:rPr>
        <w:rFonts w:hint="default"/>
      </w:rPr>
    </w:lvl>
    <w:lvl w:ilvl="6" w:tplc="09184D40">
      <w:numFmt w:val="bullet"/>
      <w:lvlText w:val="•"/>
      <w:lvlJc w:val="left"/>
      <w:pPr>
        <w:ind w:left="1010" w:hanging="100"/>
      </w:pPr>
      <w:rPr>
        <w:rFonts w:hint="default"/>
      </w:rPr>
    </w:lvl>
    <w:lvl w:ilvl="7" w:tplc="E250A8A0">
      <w:numFmt w:val="bullet"/>
      <w:lvlText w:val="•"/>
      <w:lvlJc w:val="left"/>
      <w:pPr>
        <w:ind w:left="1151" w:hanging="100"/>
      </w:pPr>
      <w:rPr>
        <w:rFonts w:hint="default"/>
      </w:rPr>
    </w:lvl>
    <w:lvl w:ilvl="8" w:tplc="78E8C69E">
      <w:numFmt w:val="bullet"/>
      <w:lvlText w:val="•"/>
      <w:lvlJc w:val="left"/>
      <w:pPr>
        <w:ind w:left="1293" w:hanging="100"/>
      </w:pPr>
      <w:rPr>
        <w:rFonts w:hint="default"/>
      </w:rPr>
    </w:lvl>
  </w:abstractNum>
  <w:abstractNum w:abstractNumId="1062" w15:restartNumberingAfterBreak="0">
    <w:nsid w:val="43A25EE8"/>
    <w:multiLevelType w:val="hybridMultilevel"/>
    <w:tmpl w:val="73FAC358"/>
    <w:lvl w:ilvl="0" w:tplc="8C6A49BA">
      <w:numFmt w:val="bullet"/>
      <w:lvlText w:val=""/>
      <w:lvlJc w:val="left"/>
      <w:pPr>
        <w:ind w:left="157" w:hanging="100"/>
      </w:pPr>
      <w:rPr>
        <w:rFonts w:ascii="Symbol" w:eastAsia="Symbol" w:hAnsi="Symbol" w:cs="Symbol" w:hint="default"/>
        <w:color w:val="231F20"/>
        <w:w w:val="100"/>
        <w:sz w:val="14"/>
        <w:szCs w:val="14"/>
      </w:rPr>
    </w:lvl>
    <w:lvl w:ilvl="1" w:tplc="DD00C446">
      <w:numFmt w:val="bullet"/>
      <w:lvlText w:val="•"/>
      <w:lvlJc w:val="left"/>
      <w:pPr>
        <w:ind w:left="369" w:hanging="100"/>
      </w:pPr>
      <w:rPr>
        <w:rFonts w:hint="default"/>
      </w:rPr>
    </w:lvl>
    <w:lvl w:ilvl="2" w:tplc="592ED6EA">
      <w:numFmt w:val="bullet"/>
      <w:lvlText w:val="•"/>
      <w:lvlJc w:val="left"/>
      <w:pPr>
        <w:ind w:left="579" w:hanging="100"/>
      </w:pPr>
      <w:rPr>
        <w:rFonts w:hint="default"/>
      </w:rPr>
    </w:lvl>
    <w:lvl w:ilvl="3" w:tplc="5108EE88">
      <w:numFmt w:val="bullet"/>
      <w:lvlText w:val="•"/>
      <w:lvlJc w:val="left"/>
      <w:pPr>
        <w:ind w:left="789" w:hanging="100"/>
      </w:pPr>
      <w:rPr>
        <w:rFonts w:hint="default"/>
      </w:rPr>
    </w:lvl>
    <w:lvl w:ilvl="4" w:tplc="74382A12">
      <w:numFmt w:val="bullet"/>
      <w:lvlText w:val="•"/>
      <w:lvlJc w:val="left"/>
      <w:pPr>
        <w:ind w:left="998" w:hanging="100"/>
      </w:pPr>
      <w:rPr>
        <w:rFonts w:hint="default"/>
      </w:rPr>
    </w:lvl>
    <w:lvl w:ilvl="5" w:tplc="8364072E">
      <w:numFmt w:val="bullet"/>
      <w:lvlText w:val="•"/>
      <w:lvlJc w:val="left"/>
      <w:pPr>
        <w:ind w:left="1208" w:hanging="100"/>
      </w:pPr>
      <w:rPr>
        <w:rFonts w:hint="default"/>
      </w:rPr>
    </w:lvl>
    <w:lvl w:ilvl="6" w:tplc="A906F628">
      <w:numFmt w:val="bullet"/>
      <w:lvlText w:val="•"/>
      <w:lvlJc w:val="left"/>
      <w:pPr>
        <w:ind w:left="1418" w:hanging="100"/>
      </w:pPr>
      <w:rPr>
        <w:rFonts w:hint="default"/>
      </w:rPr>
    </w:lvl>
    <w:lvl w:ilvl="7" w:tplc="03C26D3E">
      <w:numFmt w:val="bullet"/>
      <w:lvlText w:val="•"/>
      <w:lvlJc w:val="left"/>
      <w:pPr>
        <w:ind w:left="1627" w:hanging="100"/>
      </w:pPr>
      <w:rPr>
        <w:rFonts w:hint="default"/>
      </w:rPr>
    </w:lvl>
    <w:lvl w:ilvl="8" w:tplc="416E71B4">
      <w:numFmt w:val="bullet"/>
      <w:lvlText w:val="•"/>
      <w:lvlJc w:val="left"/>
      <w:pPr>
        <w:ind w:left="1837" w:hanging="100"/>
      </w:pPr>
      <w:rPr>
        <w:rFonts w:hint="default"/>
      </w:rPr>
    </w:lvl>
  </w:abstractNum>
  <w:abstractNum w:abstractNumId="1063" w15:restartNumberingAfterBreak="0">
    <w:nsid w:val="43A725D6"/>
    <w:multiLevelType w:val="hybridMultilevel"/>
    <w:tmpl w:val="79EA695A"/>
    <w:lvl w:ilvl="0" w:tplc="3FB43210">
      <w:numFmt w:val="bullet"/>
      <w:lvlText w:val=""/>
      <w:lvlJc w:val="left"/>
      <w:pPr>
        <w:ind w:left="157" w:hanging="100"/>
      </w:pPr>
      <w:rPr>
        <w:rFonts w:ascii="Symbol" w:eastAsia="Symbol" w:hAnsi="Symbol" w:cs="Symbol" w:hint="default"/>
        <w:color w:val="231F20"/>
        <w:w w:val="100"/>
        <w:sz w:val="14"/>
        <w:szCs w:val="14"/>
      </w:rPr>
    </w:lvl>
    <w:lvl w:ilvl="1" w:tplc="F8EAEC86">
      <w:numFmt w:val="bullet"/>
      <w:lvlText w:val="•"/>
      <w:lvlJc w:val="left"/>
      <w:pPr>
        <w:ind w:left="426" w:hanging="100"/>
      </w:pPr>
      <w:rPr>
        <w:rFonts w:hint="default"/>
      </w:rPr>
    </w:lvl>
    <w:lvl w:ilvl="2" w:tplc="70F85202">
      <w:numFmt w:val="bullet"/>
      <w:lvlText w:val="•"/>
      <w:lvlJc w:val="left"/>
      <w:pPr>
        <w:ind w:left="692" w:hanging="100"/>
      </w:pPr>
      <w:rPr>
        <w:rFonts w:hint="default"/>
      </w:rPr>
    </w:lvl>
    <w:lvl w:ilvl="3" w:tplc="6BD8A3F0">
      <w:numFmt w:val="bullet"/>
      <w:lvlText w:val="•"/>
      <w:lvlJc w:val="left"/>
      <w:pPr>
        <w:ind w:left="959" w:hanging="100"/>
      </w:pPr>
      <w:rPr>
        <w:rFonts w:hint="default"/>
      </w:rPr>
    </w:lvl>
    <w:lvl w:ilvl="4" w:tplc="D3645DE0">
      <w:numFmt w:val="bullet"/>
      <w:lvlText w:val="•"/>
      <w:lvlJc w:val="left"/>
      <w:pPr>
        <w:ind w:left="1225" w:hanging="100"/>
      </w:pPr>
      <w:rPr>
        <w:rFonts w:hint="default"/>
      </w:rPr>
    </w:lvl>
    <w:lvl w:ilvl="5" w:tplc="E714AF84">
      <w:numFmt w:val="bullet"/>
      <w:lvlText w:val="•"/>
      <w:lvlJc w:val="left"/>
      <w:pPr>
        <w:ind w:left="1492" w:hanging="100"/>
      </w:pPr>
      <w:rPr>
        <w:rFonts w:hint="default"/>
      </w:rPr>
    </w:lvl>
    <w:lvl w:ilvl="6" w:tplc="F9585630">
      <w:numFmt w:val="bullet"/>
      <w:lvlText w:val="•"/>
      <w:lvlJc w:val="left"/>
      <w:pPr>
        <w:ind w:left="1758" w:hanging="100"/>
      </w:pPr>
      <w:rPr>
        <w:rFonts w:hint="default"/>
      </w:rPr>
    </w:lvl>
    <w:lvl w:ilvl="7" w:tplc="E182C8BE">
      <w:numFmt w:val="bullet"/>
      <w:lvlText w:val="•"/>
      <w:lvlJc w:val="left"/>
      <w:pPr>
        <w:ind w:left="2024" w:hanging="100"/>
      </w:pPr>
      <w:rPr>
        <w:rFonts w:hint="default"/>
      </w:rPr>
    </w:lvl>
    <w:lvl w:ilvl="8" w:tplc="977A9A66">
      <w:numFmt w:val="bullet"/>
      <w:lvlText w:val="•"/>
      <w:lvlJc w:val="left"/>
      <w:pPr>
        <w:ind w:left="2291" w:hanging="100"/>
      </w:pPr>
      <w:rPr>
        <w:rFonts w:hint="default"/>
      </w:rPr>
    </w:lvl>
  </w:abstractNum>
  <w:abstractNum w:abstractNumId="1064" w15:restartNumberingAfterBreak="0">
    <w:nsid w:val="43B6641E"/>
    <w:multiLevelType w:val="hybridMultilevel"/>
    <w:tmpl w:val="4744506E"/>
    <w:lvl w:ilvl="0" w:tplc="142A1140">
      <w:numFmt w:val="bullet"/>
      <w:lvlText w:val=""/>
      <w:lvlJc w:val="left"/>
      <w:pPr>
        <w:ind w:left="156" w:hanging="100"/>
      </w:pPr>
      <w:rPr>
        <w:rFonts w:ascii="Symbol" w:eastAsia="Symbol" w:hAnsi="Symbol" w:cs="Symbol" w:hint="default"/>
        <w:color w:val="231F20"/>
        <w:w w:val="100"/>
        <w:sz w:val="14"/>
        <w:szCs w:val="14"/>
      </w:rPr>
    </w:lvl>
    <w:lvl w:ilvl="1" w:tplc="2DD00846">
      <w:numFmt w:val="bullet"/>
      <w:lvlText w:val="•"/>
      <w:lvlJc w:val="left"/>
      <w:pPr>
        <w:ind w:left="273" w:hanging="100"/>
      </w:pPr>
      <w:rPr>
        <w:rFonts w:hint="default"/>
      </w:rPr>
    </w:lvl>
    <w:lvl w:ilvl="2" w:tplc="D3FA9B4E">
      <w:numFmt w:val="bullet"/>
      <w:lvlText w:val="•"/>
      <w:lvlJc w:val="left"/>
      <w:pPr>
        <w:ind w:left="386" w:hanging="100"/>
      </w:pPr>
      <w:rPr>
        <w:rFonts w:hint="default"/>
      </w:rPr>
    </w:lvl>
    <w:lvl w:ilvl="3" w:tplc="A3F8EA34">
      <w:numFmt w:val="bullet"/>
      <w:lvlText w:val="•"/>
      <w:lvlJc w:val="left"/>
      <w:pPr>
        <w:ind w:left="500" w:hanging="100"/>
      </w:pPr>
      <w:rPr>
        <w:rFonts w:hint="default"/>
      </w:rPr>
    </w:lvl>
    <w:lvl w:ilvl="4" w:tplc="91F84C32">
      <w:numFmt w:val="bullet"/>
      <w:lvlText w:val="•"/>
      <w:lvlJc w:val="left"/>
      <w:pPr>
        <w:ind w:left="613" w:hanging="100"/>
      </w:pPr>
      <w:rPr>
        <w:rFonts w:hint="default"/>
      </w:rPr>
    </w:lvl>
    <w:lvl w:ilvl="5" w:tplc="9D68310A">
      <w:numFmt w:val="bullet"/>
      <w:lvlText w:val="•"/>
      <w:lvlJc w:val="left"/>
      <w:pPr>
        <w:ind w:left="727" w:hanging="100"/>
      </w:pPr>
      <w:rPr>
        <w:rFonts w:hint="default"/>
      </w:rPr>
    </w:lvl>
    <w:lvl w:ilvl="6" w:tplc="A440D5CE">
      <w:numFmt w:val="bullet"/>
      <w:lvlText w:val="•"/>
      <w:lvlJc w:val="left"/>
      <w:pPr>
        <w:ind w:left="840" w:hanging="100"/>
      </w:pPr>
      <w:rPr>
        <w:rFonts w:hint="default"/>
      </w:rPr>
    </w:lvl>
    <w:lvl w:ilvl="7" w:tplc="F08A8110">
      <w:numFmt w:val="bullet"/>
      <w:lvlText w:val="•"/>
      <w:lvlJc w:val="left"/>
      <w:pPr>
        <w:ind w:left="953" w:hanging="100"/>
      </w:pPr>
      <w:rPr>
        <w:rFonts w:hint="default"/>
      </w:rPr>
    </w:lvl>
    <w:lvl w:ilvl="8" w:tplc="C542E6FC">
      <w:numFmt w:val="bullet"/>
      <w:lvlText w:val="•"/>
      <w:lvlJc w:val="left"/>
      <w:pPr>
        <w:ind w:left="1067" w:hanging="100"/>
      </w:pPr>
      <w:rPr>
        <w:rFonts w:hint="default"/>
      </w:rPr>
    </w:lvl>
  </w:abstractNum>
  <w:abstractNum w:abstractNumId="1065" w15:restartNumberingAfterBreak="0">
    <w:nsid w:val="43ED1E77"/>
    <w:multiLevelType w:val="hybridMultilevel"/>
    <w:tmpl w:val="D108CC82"/>
    <w:lvl w:ilvl="0" w:tplc="36E2F2BE">
      <w:numFmt w:val="bullet"/>
      <w:lvlText w:val=""/>
      <w:lvlJc w:val="left"/>
      <w:pPr>
        <w:ind w:left="157" w:hanging="100"/>
      </w:pPr>
      <w:rPr>
        <w:rFonts w:ascii="Symbol" w:eastAsia="Symbol" w:hAnsi="Symbol" w:cs="Symbol" w:hint="default"/>
        <w:color w:val="231F20"/>
        <w:w w:val="100"/>
        <w:sz w:val="14"/>
        <w:szCs w:val="14"/>
      </w:rPr>
    </w:lvl>
    <w:lvl w:ilvl="1" w:tplc="01B6DE08">
      <w:numFmt w:val="bullet"/>
      <w:lvlText w:val="•"/>
      <w:lvlJc w:val="left"/>
      <w:pPr>
        <w:ind w:left="426" w:hanging="100"/>
      </w:pPr>
      <w:rPr>
        <w:rFonts w:hint="default"/>
      </w:rPr>
    </w:lvl>
    <w:lvl w:ilvl="2" w:tplc="80908B40">
      <w:numFmt w:val="bullet"/>
      <w:lvlText w:val="•"/>
      <w:lvlJc w:val="left"/>
      <w:pPr>
        <w:ind w:left="692" w:hanging="100"/>
      </w:pPr>
      <w:rPr>
        <w:rFonts w:hint="default"/>
      </w:rPr>
    </w:lvl>
    <w:lvl w:ilvl="3" w:tplc="BE126336">
      <w:numFmt w:val="bullet"/>
      <w:lvlText w:val="•"/>
      <w:lvlJc w:val="left"/>
      <w:pPr>
        <w:ind w:left="959" w:hanging="100"/>
      </w:pPr>
      <w:rPr>
        <w:rFonts w:hint="default"/>
      </w:rPr>
    </w:lvl>
    <w:lvl w:ilvl="4" w:tplc="6D32B6D6">
      <w:numFmt w:val="bullet"/>
      <w:lvlText w:val="•"/>
      <w:lvlJc w:val="left"/>
      <w:pPr>
        <w:ind w:left="1225" w:hanging="100"/>
      </w:pPr>
      <w:rPr>
        <w:rFonts w:hint="default"/>
      </w:rPr>
    </w:lvl>
    <w:lvl w:ilvl="5" w:tplc="9DF0812E">
      <w:numFmt w:val="bullet"/>
      <w:lvlText w:val="•"/>
      <w:lvlJc w:val="left"/>
      <w:pPr>
        <w:ind w:left="1492" w:hanging="100"/>
      </w:pPr>
      <w:rPr>
        <w:rFonts w:hint="default"/>
      </w:rPr>
    </w:lvl>
    <w:lvl w:ilvl="6" w:tplc="3D60E130">
      <w:numFmt w:val="bullet"/>
      <w:lvlText w:val="•"/>
      <w:lvlJc w:val="left"/>
      <w:pPr>
        <w:ind w:left="1758" w:hanging="100"/>
      </w:pPr>
      <w:rPr>
        <w:rFonts w:hint="default"/>
      </w:rPr>
    </w:lvl>
    <w:lvl w:ilvl="7" w:tplc="730C15D4">
      <w:numFmt w:val="bullet"/>
      <w:lvlText w:val="•"/>
      <w:lvlJc w:val="left"/>
      <w:pPr>
        <w:ind w:left="2024" w:hanging="100"/>
      </w:pPr>
      <w:rPr>
        <w:rFonts w:hint="default"/>
      </w:rPr>
    </w:lvl>
    <w:lvl w:ilvl="8" w:tplc="C1FA22AC">
      <w:numFmt w:val="bullet"/>
      <w:lvlText w:val="•"/>
      <w:lvlJc w:val="left"/>
      <w:pPr>
        <w:ind w:left="2291" w:hanging="100"/>
      </w:pPr>
      <w:rPr>
        <w:rFonts w:hint="default"/>
      </w:rPr>
    </w:lvl>
  </w:abstractNum>
  <w:abstractNum w:abstractNumId="1066" w15:restartNumberingAfterBreak="0">
    <w:nsid w:val="43EF6A4A"/>
    <w:multiLevelType w:val="hybridMultilevel"/>
    <w:tmpl w:val="DA5237CA"/>
    <w:lvl w:ilvl="0" w:tplc="94BC6784">
      <w:numFmt w:val="bullet"/>
      <w:lvlText w:val=""/>
      <w:lvlJc w:val="left"/>
      <w:pPr>
        <w:ind w:left="156" w:hanging="100"/>
      </w:pPr>
      <w:rPr>
        <w:rFonts w:ascii="Symbol" w:eastAsia="Symbol" w:hAnsi="Symbol" w:cs="Symbol" w:hint="default"/>
        <w:color w:val="231F20"/>
        <w:w w:val="100"/>
        <w:sz w:val="14"/>
        <w:szCs w:val="14"/>
      </w:rPr>
    </w:lvl>
    <w:lvl w:ilvl="1" w:tplc="D02A5DDE">
      <w:numFmt w:val="bullet"/>
      <w:lvlText w:val="•"/>
      <w:lvlJc w:val="left"/>
      <w:pPr>
        <w:ind w:left="301" w:hanging="100"/>
      </w:pPr>
      <w:rPr>
        <w:rFonts w:hint="default"/>
      </w:rPr>
    </w:lvl>
    <w:lvl w:ilvl="2" w:tplc="A03A791E">
      <w:numFmt w:val="bullet"/>
      <w:lvlText w:val="•"/>
      <w:lvlJc w:val="left"/>
      <w:pPr>
        <w:ind w:left="443" w:hanging="100"/>
      </w:pPr>
      <w:rPr>
        <w:rFonts w:hint="default"/>
      </w:rPr>
    </w:lvl>
    <w:lvl w:ilvl="3" w:tplc="058631D2">
      <w:numFmt w:val="bullet"/>
      <w:lvlText w:val="•"/>
      <w:lvlJc w:val="left"/>
      <w:pPr>
        <w:ind w:left="585" w:hanging="100"/>
      </w:pPr>
      <w:rPr>
        <w:rFonts w:hint="default"/>
      </w:rPr>
    </w:lvl>
    <w:lvl w:ilvl="4" w:tplc="A808A6C4">
      <w:numFmt w:val="bullet"/>
      <w:lvlText w:val="•"/>
      <w:lvlJc w:val="left"/>
      <w:pPr>
        <w:ind w:left="726" w:hanging="100"/>
      </w:pPr>
      <w:rPr>
        <w:rFonts w:hint="default"/>
      </w:rPr>
    </w:lvl>
    <w:lvl w:ilvl="5" w:tplc="4F2CD66E">
      <w:numFmt w:val="bullet"/>
      <w:lvlText w:val="•"/>
      <w:lvlJc w:val="left"/>
      <w:pPr>
        <w:ind w:left="868" w:hanging="100"/>
      </w:pPr>
      <w:rPr>
        <w:rFonts w:hint="default"/>
      </w:rPr>
    </w:lvl>
    <w:lvl w:ilvl="6" w:tplc="BCD262F8">
      <w:numFmt w:val="bullet"/>
      <w:lvlText w:val="•"/>
      <w:lvlJc w:val="left"/>
      <w:pPr>
        <w:ind w:left="1010" w:hanging="100"/>
      </w:pPr>
      <w:rPr>
        <w:rFonts w:hint="default"/>
      </w:rPr>
    </w:lvl>
    <w:lvl w:ilvl="7" w:tplc="58A67344">
      <w:numFmt w:val="bullet"/>
      <w:lvlText w:val="•"/>
      <w:lvlJc w:val="left"/>
      <w:pPr>
        <w:ind w:left="1151" w:hanging="100"/>
      </w:pPr>
      <w:rPr>
        <w:rFonts w:hint="default"/>
      </w:rPr>
    </w:lvl>
    <w:lvl w:ilvl="8" w:tplc="626645AA">
      <w:numFmt w:val="bullet"/>
      <w:lvlText w:val="•"/>
      <w:lvlJc w:val="left"/>
      <w:pPr>
        <w:ind w:left="1293" w:hanging="100"/>
      </w:pPr>
      <w:rPr>
        <w:rFonts w:hint="default"/>
      </w:rPr>
    </w:lvl>
  </w:abstractNum>
  <w:abstractNum w:abstractNumId="1067" w15:restartNumberingAfterBreak="0">
    <w:nsid w:val="43FA1549"/>
    <w:multiLevelType w:val="hybridMultilevel"/>
    <w:tmpl w:val="95E01CA2"/>
    <w:lvl w:ilvl="0" w:tplc="B686CD7C">
      <w:numFmt w:val="bullet"/>
      <w:lvlText w:val=""/>
      <w:lvlJc w:val="left"/>
      <w:pPr>
        <w:ind w:left="156" w:hanging="100"/>
      </w:pPr>
      <w:rPr>
        <w:rFonts w:ascii="Symbol" w:eastAsia="Symbol" w:hAnsi="Symbol" w:cs="Symbol" w:hint="default"/>
        <w:color w:val="231F20"/>
        <w:w w:val="100"/>
        <w:sz w:val="14"/>
        <w:szCs w:val="14"/>
      </w:rPr>
    </w:lvl>
    <w:lvl w:ilvl="1" w:tplc="C426746A">
      <w:numFmt w:val="bullet"/>
      <w:lvlText w:val="•"/>
      <w:lvlJc w:val="left"/>
      <w:pPr>
        <w:ind w:left="301" w:hanging="100"/>
      </w:pPr>
      <w:rPr>
        <w:rFonts w:hint="default"/>
      </w:rPr>
    </w:lvl>
    <w:lvl w:ilvl="2" w:tplc="8C5AF012">
      <w:numFmt w:val="bullet"/>
      <w:lvlText w:val="•"/>
      <w:lvlJc w:val="left"/>
      <w:pPr>
        <w:ind w:left="443" w:hanging="100"/>
      </w:pPr>
      <w:rPr>
        <w:rFonts w:hint="default"/>
      </w:rPr>
    </w:lvl>
    <w:lvl w:ilvl="3" w:tplc="6A5E3A28">
      <w:numFmt w:val="bullet"/>
      <w:lvlText w:val="•"/>
      <w:lvlJc w:val="left"/>
      <w:pPr>
        <w:ind w:left="585" w:hanging="100"/>
      </w:pPr>
      <w:rPr>
        <w:rFonts w:hint="default"/>
      </w:rPr>
    </w:lvl>
    <w:lvl w:ilvl="4" w:tplc="A0B233D4">
      <w:numFmt w:val="bullet"/>
      <w:lvlText w:val="•"/>
      <w:lvlJc w:val="left"/>
      <w:pPr>
        <w:ind w:left="726" w:hanging="100"/>
      </w:pPr>
      <w:rPr>
        <w:rFonts w:hint="default"/>
      </w:rPr>
    </w:lvl>
    <w:lvl w:ilvl="5" w:tplc="9DBE0422">
      <w:numFmt w:val="bullet"/>
      <w:lvlText w:val="•"/>
      <w:lvlJc w:val="left"/>
      <w:pPr>
        <w:ind w:left="868" w:hanging="100"/>
      </w:pPr>
      <w:rPr>
        <w:rFonts w:hint="default"/>
      </w:rPr>
    </w:lvl>
    <w:lvl w:ilvl="6" w:tplc="F4F86578">
      <w:numFmt w:val="bullet"/>
      <w:lvlText w:val="•"/>
      <w:lvlJc w:val="left"/>
      <w:pPr>
        <w:ind w:left="1010" w:hanging="100"/>
      </w:pPr>
      <w:rPr>
        <w:rFonts w:hint="default"/>
      </w:rPr>
    </w:lvl>
    <w:lvl w:ilvl="7" w:tplc="1D4C5D88">
      <w:numFmt w:val="bullet"/>
      <w:lvlText w:val="•"/>
      <w:lvlJc w:val="left"/>
      <w:pPr>
        <w:ind w:left="1151" w:hanging="100"/>
      </w:pPr>
      <w:rPr>
        <w:rFonts w:hint="default"/>
      </w:rPr>
    </w:lvl>
    <w:lvl w:ilvl="8" w:tplc="8E70EFC2">
      <w:numFmt w:val="bullet"/>
      <w:lvlText w:val="•"/>
      <w:lvlJc w:val="left"/>
      <w:pPr>
        <w:ind w:left="1293" w:hanging="100"/>
      </w:pPr>
      <w:rPr>
        <w:rFonts w:hint="default"/>
      </w:rPr>
    </w:lvl>
  </w:abstractNum>
  <w:abstractNum w:abstractNumId="1068" w15:restartNumberingAfterBreak="0">
    <w:nsid w:val="441B736B"/>
    <w:multiLevelType w:val="hybridMultilevel"/>
    <w:tmpl w:val="2D6E22D8"/>
    <w:lvl w:ilvl="0" w:tplc="1A4C1B02">
      <w:numFmt w:val="bullet"/>
      <w:lvlText w:val=""/>
      <w:lvlJc w:val="left"/>
      <w:pPr>
        <w:ind w:left="156" w:hanging="100"/>
      </w:pPr>
      <w:rPr>
        <w:rFonts w:ascii="Symbol" w:eastAsia="Symbol" w:hAnsi="Symbol" w:cs="Symbol" w:hint="default"/>
        <w:color w:val="231F20"/>
        <w:w w:val="100"/>
        <w:sz w:val="14"/>
        <w:szCs w:val="14"/>
      </w:rPr>
    </w:lvl>
    <w:lvl w:ilvl="1" w:tplc="9E627CF0">
      <w:numFmt w:val="bullet"/>
      <w:lvlText w:val="•"/>
      <w:lvlJc w:val="left"/>
      <w:pPr>
        <w:ind w:left="398" w:hanging="100"/>
      </w:pPr>
      <w:rPr>
        <w:rFonts w:hint="default"/>
      </w:rPr>
    </w:lvl>
    <w:lvl w:ilvl="2" w:tplc="A1049DA2">
      <w:numFmt w:val="bullet"/>
      <w:lvlText w:val="•"/>
      <w:lvlJc w:val="left"/>
      <w:pPr>
        <w:ind w:left="636" w:hanging="100"/>
      </w:pPr>
      <w:rPr>
        <w:rFonts w:hint="default"/>
      </w:rPr>
    </w:lvl>
    <w:lvl w:ilvl="3" w:tplc="EF5C4E34">
      <w:numFmt w:val="bullet"/>
      <w:lvlText w:val="•"/>
      <w:lvlJc w:val="left"/>
      <w:pPr>
        <w:ind w:left="874" w:hanging="100"/>
      </w:pPr>
      <w:rPr>
        <w:rFonts w:hint="default"/>
      </w:rPr>
    </w:lvl>
    <w:lvl w:ilvl="4" w:tplc="A998B0CE">
      <w:numFmt w:val="bullet"/>
      <w:lvlText w:val="•"/>
      <w:lvlJc w:val="left"/>
      <w:pPr>
        <w:ind w:left="1112" w:hanging="100"/>
      </w:pPr>
      <w:rPr>
        <w:rFonts w:hint="default"/>
      </w:rPr>
    </w:lvl>
    <w:lvl w:ilvl="5" w:tplc="49E4FFD6">
      <w:numFmt w:val="bullet"/>
      <w:lvlText w:val="•"/>
      <w:lvlJc w:val="left"/>
      <w:pPr>
        <w:ind w:left="1350" w:hanging="100"/>
      </w:pPr>
      <w:rPr>
        <w:rFonts w:hint="default"/>
      </w:rPr>
    </w:lvl>
    <w:lvl w:ilvl="6" w:tplc="42B6A512">
      <w:numFmt w:val="bullet"/>
      <w:lvlText w:val="•"/>
      <w:lvlJc w:val="left"/>
      <w:pPr>
        <w:ind w:left="1588" w:hanging="100"/>
      </w:pPr>
      <w:rPr>
        <w:rFonts w:hint="default"/>
      </w:rPr>
    </w:lvl>
    <w:lvl w:ilvl="7" w:tplc="163C54DE">
      <w:numFmt w:val="bullet"/>
      <w:lvlText w:val="•"/>
      <w:lvlJc w:val="left"/>
      <w:pPr>
        <w:ind w:left="1826" w:hanging="100"/>
      </w:pPr>
      <w:rPr>
        <w:rFonts w:hint="default"/>
      </w:rPr>
    </w:lvl>
    <w:lvl w:ilvl="8" w:tplc="2F32FE56">
      <w:numFmt w:val="bullet"/>
      <w:lvlText w:val="•"/>
      <w:lvlJc w:val="left"/>
      <w:pPr>
        <w:ind w:left="2064" w:hanging="100"/>
      </w:pPr>
      <w:rPr>
        <w:rFonts w:hint="default"/>
      </w:rPr>
    </w:lvl>
  </w:abstractNum>
  <w:abstractNum w:abstractNumId="1069" w15:restartNumberingAfterBreak="0">
    <w:nsid w:val="441E0007"/>
    <w:multiLevelType w:val="hybridMultilevel"/>
    <w:tmpl w:val="9AD2E58A"/>
    <w:lvl w:ilvl="0" w:tplc="8DCC5AEC">
      <w:numFmt w:val="bullet"/>
      <w:lvlText w:val=""/>
      <w:lvlJc w:val="left"/>
      <w:pPr>
        <w:ind w:left="156" w:hanging="100"/>
      </w:pPr>
      <w:rPr>
        <w:rFonts w:ascii="Symbol" w:eastAsia="Symbol" w:hAnsi="Symbol" w:cs="Symbol" w:hint="default"/>
        <w:color w:val="231F20"/>
        <w:w w:val="100"/>
        <w:sz w:val="14"/>
        <w:szCs w:val="14"/>
      </w:rPr>
    </w:lvl>
    <w:lvl w:ilvl="1" w:tplc="8BA4B704">
      <w:numFmt w:val="bullet"/>
      <w:lvlText w:val="•"/>
      <w:lvlJc w:val="left"/>
      <w:pPr>
        <w:ind w:left="301" w:hanging="100"/>
      </w:pPr>
      <w:rPr>
        <w:rFonts w:hint="default"/>
      </w:rPr>
    </w:lvl>
    <w:lvl w:ilvl="2" w:tplc="96501E9E">
      <w:numFmt w:val="bullet"/>
      <w:lvlText w:val="•"/>
      <w:lvlJc w:val="left"/>
      <w:pPr>
        <w:ind w:left="443" w:hanging="100"/>
      </w:pPr>
      <w:rPr>
        <w:rFonts w:hint="default"/>
      </w:rPr>
    </w:lvl>
    <w:lvl w:ilvl="3" w:tplc="F39E74FC">
      <w:numFmt w:val="bullet"/>
      <w:lvlText w:val="•"/>
      <w:lvlJc w:val="left"/>
      <w:pPr>
        <w:ind w:left="585" w:hanging="100"/>
      </w:pPr>
      <w:rPr>
        <w:rFonts w:hint="default"/>
      </w:rPr>
    </w:lvl>
    <w:lvl w:ilvl="4" w:tplc="7B5AB766">
      <w:numFmt w:val="bullet"/>
      <w:lvlText w:val="•"/>
      <w:lvlJc w:val="left"/>
      <w:pPr>
        <w:ind w:left="726" w:hanging="100"/>
      </w:pPr>
      <w:rPr>
        <w:rFonts w:hint="default"/>
      </w:rPr>
    </w:lvl>
    <w:lvl w:ilvl="5" w:tplc="3B50DEE0">
      <w:numFmt w:val="bullet"/>
      <w:lvlText w:val="•"/>
      <w:lvlJc w:val="left"/>
      <w:pPr>
        <w:ind w:left="868" w:hanging="100"/>
      </w:pPr>
      <w:rPr>
        <w:rFonts w:hint="default"/>
      </w:rPr>
    </w:lvl>
    <w:lvl w:ilvl="6" w:tplc="B60ED83E">
      <w:numFmt w:val="bullet"/>
      <w:lvlText w:val="•"/>
      <w:lvlJc w:val="left"/>
      <w:pPr>
        <w:ind w:left="1010" w:hanging="100"/>
      </w:pPr>
      <w:rPr>
        <w:rFonts w:hint="default"/>
      </w:rPr>
    </w:lvl>
    <w:lvl w:ilvl="7" w:tplc="42260036">
      <w:numFmt w:val="bullet"/>
      <w:lvlText w:val="•"/>
      <w:lvlJc w:val="left"/>
      <w:pPr>
        <w:ind w:left="1151" w:hanging="100"/>
      </w:pPr>
      <w:rPr>
        <w:rFonts w:hint="default"/>
      </w:rPr>
    </w:lvl>
    <w:lvl w:ilvl="8" w:tplc="97AE890C">
      <w:numFmt w:val="bullet"/>
      <w:lvlText w:val="•"/>
      <w:lvlJc w:val="left"/>
      <w:pPr>
        <w:ind w:left="1293" w:hanging="100"/>
      </w:pPr>
      <w:rPr>
        <w:rFonts w:hint="default"/>
      </w:rPr>
    </w:lvl>
  </w:abstractNum>
  <w:abstractNum w:abstractNumId="1070" w15:restartNumberingAfterBreak="0">
    <w:nsid w:val="442C0199"/>
    <w:multiLevelType w:val="hybridMultilevel"/>
    <w:tmpl w:val="FB5EC8EE"/>
    <w:lvl w:ilvl="0" w:tplc="C4F2329C">
      <w:numFmt w:val="bullet"/>
      <w:lvlText w:val=""/>
      <w:lvlJc w:val="left"/>
      <w:pPr>
        <w:ind w:left="157" w:hanging="100"/>
      </w:pPr>
      <w:rPr>
        <w:rFonts w:ascii="Symbol" w:eastAsia="Symbol" w:hAnsi="Symbol" w:cs="Symbol" w:hint="default"/>
        <w:color w:val="231F20"/>
        <w:w w:val="100"/>
        <w:sz w:val="14"/>
        <w:szCs w:val="14"/>
      </w:rPr>
    </w:lvl>
    <w:lvl w:ilvl="1" w:tplc="F392E496">
      <w:numFmt w:val="bullet"/>
      <w:lvlText w:val="•"/>
      <w:lvlJc w:val="left"/>
      <w:pPr>
        <w:ind w:left="398" w:hanging="100"/>
      </w:pPr>
      <w:rPr>
        <w:rFonts w:hint="default"/>
      </w:rPr>
    </w:lvl>
    <w:lvl w:ilvl="2" w:tplc="DE1A3A1A">
      <w:numFmt w:val="bullet"/>
      <w:lvlText w:val="•"/>
      <w:lvlJc w:val="left"/>
      <w:pPr>
        <w:ind w:left="636" w:hanging="100"/>
      </w:pPr>
      <w:rPr>
        <w:rFonts w:hint="default"/>
      </w:rPr>
    </w:lvl>
    <w:lvl w:ilvl="3" w:tplc="612AEDC8">
      <w:numFmt w:val="bullet"/>
      <w:lvlText w:val="•"/>
      <w:lvlJc w:val="left"/>
      <w:pPr>
        <w:ind w:left="874" w:hanging="100"/>
      </w:pPr>
      <w:rPr>
        <w:rFonts w:hint="default"/>
      </w:rPr>
    </w:lvl>
    <w:lvl w:ilvl="4" w:tplc="B2C4B55E">
      <w:numFmt w:val="bullet"/>
      <w:lvlText w:val="•"/>
      <w:lvlJc w:val="left"/>
      <w:pPr>
        <w:ind w:left="1112" w:hanging="100"/>
      </w:pPr>
      <w:rPr>
        <w:rFonts w:hint="default"/>
      </w:rPr>
    </w:lvl>
    <w:lvl w:ilvl="5" w:tplc="6D18B1E4">
      <w:numFmt w:val="bullet"/>
      <w:lvlText w:val="•"/>
      <w:lvlJc w:val="left"/>
      <w:pPr>
        <w:ind w:left="1350" w:hanging="100"/>
      </w:pPr>
      <w:rPr>
        <w:rFonts w:hint="default"/>
      </w:rPr>
    </w:lvl>
    <w:lvl w:ilvl="6" w:tplc="EC24CE38">
      <w:numFmt w:val="bullet"/>
      <w:lvlText w:val="•"/>
      <w:lvlJc w:val="left"/>
      <w:pPr>
        <w:ind w:left="1588" w:hanging="100"/>
      </w:pPr>
      <w:rPr>
        <w:rFonts w:hint="default"/>
      </w:rPr>
    </w:lvl>
    <w:lvl w:ilvl="7" w:tplc="BA085860">
      <w:numFmt w:val="bullet"/>
      <w:lvlText w:val="•"/>
      <w:lvlJc w:val="left"/>
      <w:pPr>
        <w:ind w:left="1826" w:hanging="100"/>
      </w:pPr>
      <w:rPr>
        <w:rFonts w:hint="default"/>
      </w:rPr>
    </w:lvl>
    <w:lvl w:ilvl="8" w:tplc="E6529024">
      <w:numFmt w:val="bullet"/>
      <w:lvlText w:val="•"/>
      <w:lvlJc w:val="left"/>
      <w:pPr>
        <w:ind w:left="2064" w:hanging="100"/>
      </w:pPr>
      <w:rPr>
        <w:rFonts w:hint="default"/>
      </w:rPr>
    </w:lvl>
  </w:abstractNum>
  <w:abstractNum w:abstractNumId="1071" w15:restartNumberingAfterBreak="0">
    <w:nsid w:val="443B60E3"/>
    <w:multiLevelType w:val="hybridMultilevel"/>
    <w:tmpl w:val="3C04D5DA"/>
    <w:lvl w:ilvl="0" w:tplc="9CF84B2E">
      <w:numFmt w:val="bullet"/>
      <w:lvlText w:val=""/>
      <w:lvlJc w:val="left"/>
      <w:pPr>
        <w:ind w:left="156" w:hanging="100"/>
      </w:pPr>
      <w:rPr>
        <w:rFonts w:ascii="Symbol" w:eastAsia="Symbol" w:hAnsi="Symbol" w:cs="Symbol" w:hint="default"/>
        <w:color w:val="231F20"/>
        <w:w w:val="100"/>
        <w:sz w:val="14"/>
        <w:szCs w:val="14"/>
      </w:rPr>
    </w:lvl>
    <w:lvl w:ilvl="1" w:tplc="A9F23252">
      <w:numFmt w:val="bullet"/>
      <w:lvlText w:val="•"/>
      <w:lvlJc w:val="left"/>
      <w:pPr>
        <w:ind w:left="454" w:hanging="100"/>
      </w:pPr>
      <w:rPr>
        <w:rFonts w:hint="default"/>
      </w:rPr>
    </w:lvl>
    <w:lvl w:ilvl="2" w:tplc="FCBA11C6">
      <w:numFmt w:val="bullet"/>
      <w:lvlText w:val="•"/>
      <w:lvlJc w:val="left"/>
      <w:pPr>
        <w:ind w:left="749" w:hanging="100"/>
      </w:pPr>
      <w:rPr>
        <w:rFonts w:hint="default"/>
      </w:rPr>
    </w:lvl>
    <w:lvl w:ilvl="3" w:tplc="5ACCE1EA">
      <w:numFmt w:val="bullet"/>
      <w:lvlText w:val="•"/>
      <w:lvlJc w:val="left"/>
      <w:pPr>
        <w:ind w:left="1044" w:hanging="100"/>
      </w:pPr>
      <w:rPr>
        <w:rFonts w:hint="default"/>
      </w:rPr>
    </w:lvl>
    <w:lvl w:ilvl="4" w:tplc="904A0DF4">
      <w:numFmt w:val="bullet"/>
      <w:lvlText w:val="•"/>
      <w:lvlJc w:val="left"/>
      <w:pPr>
        <w:ind w:left="1339" w:hanging="100"/>
      </w:pPr>
      <w:rPr>
        <w:rFonts w:hint="default"/>
      </w:rPr>
    </w:lvl>
    <w:lvl w:ilvl="5" w:tplc="A900FE3E">
      <w:numFmt w:val="bullet"/>
      <w:lvlText w:val="•"/>
      <w:lvlJc w:val="left"/>
      <w:pPr>
        <w:ind w:left="1634" w:hanging="100"/>
      </w:pPr>
      <w:rPr>
        <w:rFonts w:hint="default"/>
      </w:rPr>
    </w:lvl>
    <w:lvl w:ilvl="6" w:tplc="3BB852A8">
      <w:numFmt w:val="bullet"/>
      <w:lvlText w:val="•"/>
      <w:lvlJc w:val="left"/>
      <w:pPr>
        <w:ind w:left="1928" w:hanging="100"/>
      </w:pPr>
      <w:rPr>
        <w:rFonts w:hint="default"/>
      </w:rPr>
    </w:lvl>
    <w:lvl w:ilvl="7" w:tplc="6076272E">
      <w:numFmt w:val="bullet"/>
      <w:lvlText w:val="•"/>
      <w:lvlJc w:val="left"/>
      <w:pPr>
        <w:ind w:left="2223" w:hanging="100"/>
      </w:pPr>
      <w:rPr>
        <w:rFonts w:hint="default"/>
      </w:rPr>
    </w:lvl>
    <w:lvl w:ilvl="8" w:tplc="582CE994">
      <w:numFmt w:val="bullet"/>
      <w:lvlText w:val="•"/>
      <w:lvlJc w:val="left"/>
      <w:pPr>
        <w:ind w:left="2518" w:hanging="100"/>
      </w:pPr>
      <w:rPr>
        <w:rFonts w:hint="default"/>
      </w:rPr>
    </w:lvl>
  </w:abstractNum>
  <w:abstractNum w:abstractNumId="1072" w15:restartNumberingAfterBreak="0">
    <w:nsid w:val="443F5FC3"/>
    <w:multiLevelType w:val="hybridMultilevel"/>
    <w:tmpl w:val="0144DAE4"/>
    <w:lvl w:ilvl="0" w:tplc="DE4CBA8C">
      <w:numFmt w:val="bullet"/>
      <w:lvlText w:val="–"/>
      <w:lvlJc w:val="left"/>
      <w:pPr>
        <w:ind w:left="163" w:hanging="105"/>
      </w:pPr>
      <w:rPr>
        <w:rFonts w:ascii="Times New Roman" w:eastAsia="Times New Roman" w:hAnsi="Times New Roman" w:cs="Times New Roman" w:hint="default"/>
        <w:color w:val="231F20"/>
        <w:spacing w:val="-6"/>
        <w:w w:val="100"/>
        <w:sz w:val="14"/>
        <w:szCs w:val="14"/>
      </w:rPr>
    </w:lvl>
    <w:lvl w:ilvl="1" w:tplc="039E3A80">
      <w:numFmt w:val="bullet"/>
      <w:lvlText w:val="•"/>
      <w:lvlJc w:val="left"/>
      <w:pPr>
        <w:ind w:left="426" w:hanging="105"/>
      </w:pPr>
      <w:rPr>
        <w:rFonts w:hint="default"/>
      </w:rPr>
    </w:lvl>
    <w:lvl w:ilvl="2" w:tplc="B6B8558E">
      <w:numFmt w:val="bullet"/>
      <w:lvlText w:val="•"/>
      <w:lvlJc w:val="left"/>
      <w:pPr>
        <w:ind w:left="692" w:hanging="105"/>
      </w:pPr>
      <w:rPr>
        <w:rFonts w:hint="default"/>
      </w:rPr>
    </w:lvl>
    <w:lvl w:ilvl="3" w:tplc="95FE9F26">
      <w:numFmt w:val="bullet"/>
      <w:lvlText w:val="•"/>
      <w:lvlJc w:val="left"/>
      <w:pPr>
        <w:ind w:left="959" w:hanging="105"/>
      </w:pPr>
      <w:rPr>
        <w:rFonts w:hint="default"/>
      </w:rPr>
    </w:lvl>
    <w:lvl w:ilvl="4" w:tplc="DDB62BF8">
      <w:numFmt w:val="bullet"/>
      <w:lvlText w:val="•"/>
      <w:lvlJc w:val="left"/>
      <w:pPr>
        <w:ind w:left="1225" w:hanging="105"/>
      </w:pPr>
      <w:rPr>
        <w:rFonts w:hint="default"/>
      </w:rPr>
    </w:lvl>
    <w:lvl w:ilvl="5" w:tplc="27C4061E">
      <w:numFmt w:val="bullet"/>
      <w:lvlText w:val="•"/>
      <w:lvlJc w:val="left"/>
      <w:pPr>
        <w:ind w:left="1492" w:hanging="105"/>
      </w:pPr>
      <w:rPr>
        <w:rFonts w:hint="default"/>
      </w:rPr>
    </w:lvl>
    <w:lvl w:ilvl="6" w:tplc="2BC6D5EA">
      <w:numFmt w:val="bullet"/>
      <w:lvlText w:val="•"/>
      <w:lvlJc w:val="left"/>
      <w:pPr>
        <w:ind w:left="1758" w:hanging="105"/>
      </w:pPr>
      <w:rPr>
        <w:rFonts w:hint="default"/>
      </w:rPr>
    </w:lvl>
    <w:lvl w:ilvl="7" w:tplc="32BA8DF2">
      <w:numFmt w:val="bullet"/>
      <w:lvlText w:val="•"/>
      <w:lvlJc w:val="left"/>
      <w:pPr>
        <w:ind w:left="2024" w:hanging="105"/>
      </w:pPr>
      <w:rPr>
        <w:rFonts w:hint="default"/>
      </w:rPr>
    </w:lvl>
    <w:lvl w:ilvl="8" w:tplc="E4508DEE">
      <w:numFmt w:val="bullet"/>
      <w:lvlText w:val="•"/>
      <w:lvlJc w:val="left"/>
      <w:pPr>
        <w:ind w:left="2291" w:hanging="105"/>
      </w:pPr>
      <w:rPr>
        <w:rFonts w:hint="default"/>
      </w:rPr>
    </w:lvl>
  </w:abstractNum>
  <w:abstractNum w:abstractNumId="1073" w15:restartNumberingAfterBreak="0">
    <w:nsid w:val="444B4380"/>
    <w:multiLevelType w:val="hybridMultilevel"/>
    <w:tmpl w:val="7AA46C6E"/>
    <w:lvl w:ilvl="0" w:tplc="3828A44A">
      <w:numFmt w:val="bullet"/>
      <w:lvlText w:val=""/>
      <w:lvlJc w:val="left"/>
      <w:pPr>
        <w:ind w:left="157" w:hanging="100"/>
      </w:pPr>
      <w:rPr>
        <w:rFonts w:ascii="Symbol" w:eastAsia="Symbol" w:hAnsi="Symbol" w:cs="Symbol" w:hint="default"/>
        <w:color w:val="231F20"/>
        <w:w w:val="100"/>
        <w:sz w:val="14"/>
        <w:szCs w:val="14"/>
      </w:rPr>
    </w:lvl>
    <w:lvl w:ilvl="1" w:tplc="5CF6A698">
      <w:numFmt w:val="bullet"/>
      <w:lvlText w:val="•"/>
      <w:lvlJc w:val="left"/>
      <w:pPr>
        <w:ind w:left="369" w:hanging="100"/>
      </w:pPr>
      <w:rPr>
        <w:rFonts w:hint="default"/>
      </w:rPr>
    </w:lvl>
    <w:lvl w:ilvl="2" w:tplc="C14E4A56">
      <w:numFmt w:val="bullet"/>
      <w:lvlText w:val="•"/>
      <w:lvlJc w:val="left"/>
      <w:pPr>
        <w:ind w:left="579" w:hanging="100"/>
      </w:pPr>
      <w:rPr>
        <w:rFonts w:hint="default"/>
      </w:rPr>
    </w:lvl>
    <w:lvl w:ilvl="3" w:tplc="1AEC522A">
      <w:numFmt w:val="bullet"/>
      <w:lvlText w:val="•"/>
      <w:lvlJc w:val="left"/>
      <w:pPr>
        <w:ind w:left="789" w:hanging="100"/>
      </w:pPr>
      <w:rPr>
        <w:rFonts w:hint="default"/>
      </w:rPr>
    </w:lvl>
    <w:lvl w:ilvl="4" w:tplc="7560625A">
      <w:numFmt w:val="bullet"/>
      <w:lvlText w:val="•"/>
      <w:lvlJc w:val="left"/>
      <w:pPr>
        <w:ind w:left="998" w:hanging="100"/>
      </w:pPr>
      <w:rPr>
        <w:rFonts w:hint="default"/>
      </w:rPr>
    </w:lvl>
    <w:lvl w:ilvl="5" w:tplc="6FD843EC">
      <w:numFmt w:val="bullet"/>
      <w:lvlText w:val="•"/>
      <w:lvlJc w:val="left"/>
      <w:pPr>
        <w:ind w:left="1208" w:hanging="100"/>
      </w:pPr>
      <w:rPr>
        <w:rFonts w:hint="default"/>
      </w:rPr>
    </w:lvl>
    <w:lvl w:ilvl="6" w:tplc="0554D928">
      <w:numFmt w:val="bullet"/>
      <w:lvlText w:val="•"/>
      <w:lvlJc w:val="left"/>
      <w:pPr>
        <w:ind w:left="1418" w:hanging="100"/>
      </w:pPr>
      <w:rPr>
        <w:rFonts w:hint="default"/>
      </w:rPr>
    </w:lvl>
    <w:lvl w:ilvl="7" w:tplc="93967396">
      <w:numFmt w:val="bullet"/>
      <w:lvlText w:val="•"/>
      <w:lvlJc w:val="left"/>
      <w:pPr>
        <w:ind w:left="1627" w:hanging="100"/>
      </w:pPr>
      <w:rPr>
        <w:rFonts w:hint="default"/>
      </w:rPr>
    </w:lvl>
    <w:lvl w:ilvl="8" w:tplc="CE88ABD2">
      <w:numFmt w:val="bullet"/>
      <w:lvlText w:val="•"/>
      <w:lvlJc w:val="left"/>
      <w:pPr>
        <w:ind w:left="1837" w:hanging="100"/>
      </w:pPr>
      <w:rPr>
        <w:rFonts w:hint="default"/>
      </w:rPr>
    </w:lvl>
  </w:abstractNum>
  <w:abstractNum w:abstractNumId="1074" w15:restartNumberingAfterBreak="0">
    <w:nsid w:val="444C4EE8"/>
    <w:multiLevelType w:val="hybridMultilevel"/>
    <w:tmpl w:val="D562A012"/>
    <w:lvl w:ilvl="0" w:tplc="69069A34">
      <w:numFmt w:val="bullet"/>
      <w:lvlText w:val=""/>
      <w:lvlJc w:val="left"/>
      <w:pPr>
        <w:ind w:left="156" w:hanging="100"/>
      </w:pPr>
      <w:rPr>
        <w:rFonts w:ascii="Symbol" w:eastAsia="Symbol" w:hAnsi="Symbol" w:cs="Symbol" w:hint="default"/>
        <w:color w:val="231F20"/>
        <w:w w:val="100"/>
        <w:sz w:val="14"/>
        <w:szCs w:val="14"/>
      </w:rPr>
    </w:lvl>
    <w:lvl w:ilvl="1" w:tplc="66B23276">
      <w:numFmt w:val="bullet"/>
      <w:lvlText w:val="•"/>
      <w:lvlJc w:val="left"/>
      <w:pPr>
        <w:ind w:left="301" w:hanging="100"/>
      </w:pPr>
      <w:rPr>
        <w:rFonts w:hint="default"/>
      </w:rPr>
    </w:lvl>
    <w:lvl w:ilvl="2" w:tplc="2D383976">
      <w:numFmt w:val="bullet"/>
      <w:lvlText w:val="•"/>
      <w:lvlJc w:val="left"/>
      <w:pPr>
        <w:ind w:left="443" w:hanging="100"/>
      </w:pPr>
      <w:rPr>
        <w:rFonts w:hint="default"/>
      </w:rPr>
    </w:lvl>
    <w:lvl w:ilvl="3" w:tplc="E572D642">
      <w:numFmt w:val="bullet"/>
      <w:lvlText w:val="•"/>
      <w:lvlJc w:val="left"/>
      <w:pPr>
        <w:ind w:left="585" w:hanging="100"/>
      </w:pPr>
      <w:rPr>
        <w:rFonts w:hint="default"/>
      </w:rPr>
    </w:lvl>
    <w:lvl w:ilvl="4" w:tplc="4B660216">
      <w:numFmt w:val="bullet"/>
      <w:lvlText w:val="•"/>
      <w:lvlJc w:val="left"/>
      <w:pPr>
        <w:ind w:left="726" w:hanging="100"/>
      </w:pPr>
      <w:rPr>
        <w:rFonts w:hint="default"/>
      </w:rPr>
    </w:lvl>
    <w:lvl w:ilvl="5" w:tplc="48FEAB3C">
      <w:numFmt w:val="bullet"/>
      <w:lvlText w:val="•"/>
      <w:lvlJc w:val="left"/>
      <w:pPr>
        <w:ind w:left="868" w:hanging="100"/>
      </w:pPr>
      <w:rPr>
        <w:rFonts w:hint="default"/>
      </w:rPr>
    </w:lvl>
    <w:lvl w:ilvl="6" w:tplc="B2D4DE5C">
      <w:numFmt w:val="bullet"/>
      <w:lvlText w:val="•"/>
      <w:lvlJc w:val="left"/>
      <w:pPr>
        <w:ind w:left="1010" w:hanging="100"/>
      </w:pPr>
      <w:rPr>
        <w:rFonts w:hint="default"/>
      </w:rPr>
    </w:lvl>
    <w:lvl w:ilvl="7" w:tplc="19D2FD3A">
      <w:numFmt w:val="bullet"/>
      <w:lvlText w:val="•"/>
      <w:lvlJc w:val="left"/>
      <w:pPr>
        <w:ind w:left="1151" w:hanging="100"/>
      </w:pPr>
      <w:rPr>
        <w:rFonts w:hint="default"/>
      </w:rPr>
    </w:lvl>
    <w:lvl w:ilvl="8" w:tplc="3B405BDC">
      <w:numFmt w:val="bullet"/>
      <w:lvlText w:val="•"/>
      <w:lvlJc w:val="left"/>
      <w:pPr>
        <w:ind w:left="1293" w:hanging="100"/>
      </w:pPr>
      <w:rPr>
        <w:rFonts w:hint="default"/>
      </w:rPr>
    </w:lvl>
  </w:abstractNum>
  <w:abstractNum w:abstractNumId="1075" w15:restartNumberingAfterBreak="0">
    <w:nsid w:val="446A4F02"/>
    <w:multiLevelType w:val="hybridMultilevel"/>
    <w:tmpl w:val="AFE203D2"/>
    <w:lvl w:ilvl="0" w:tplc="F6D84EB2">
      <w:numFmt w:val="bullet"/>
      <w:lvlText w:val=""/>
      <w:lvlJc w:val="left"/>
      <w:pPr>
        <w:ind w:left="156" w:hanging="100"/>
      </w:pPr>
      <w:rPr>
        <w:rFonts w:ascii="Symbol" w:eastAsia="Symbol" w:hAnsi="Symbol" w:cs="Symbol" w:hint="default"/>
        <w:color w:val="231F20"/>
        <w:w w:val="100"/>
        <w:sz w:val="14"/>
        <w:szCs w:val="14"/>
      </w:rPr>
    </w:lvl>
    <w:lvl w:ilvl="1" w:tplc="5E5C75BA">
      <w:numFmt w:val="bullet"/>
      <w:lvlText w:val="•"/>
      <w:lvlJc w:val="left"/>
      <w:pPr>
        <w:ind w:left="301" w:hanging="100"/>
      </w:pPr>
      <w:rPr>
        <w:rFonts w:hint="default"/>
      </w:rPr>
    </w:lvl>
    <w:lvl w:ilvl="2" w:tplc="E8B03080">
      <w:numFmt w:val="bullet"/>
      <w:lvlText w:val="•"/>
      <w:lvlJc w:val="left"/>
      <w:pPr>
        <w:ind w:left="443" w:hanging="100"/>
      </w:pPr>
      <w:rPr>
        <w:rFonts w:hint="default"/>
      </w:rPr>
    </w:lvl>
    <w:lvl w:ilvl="3" w:tplc="0ED43B28">
      <w:numFmt w:val="bullet"/>
      <w:lvlText w:val="•"/>
      <w:lvlJc w:val="left"/>
      <w:pPr>
        <w:ind w:left="585" w:hanging="100"/>
      </w:pPr>
      <w:rPr>
        <w:rFonts w:hint="default"/>
      </w:rPr>
    </w:lvl>
    <w:lvl w:ilvl="4" w:tplc="E2D80D52">
      <w:numFmt w:val="bullet"/>
      <w:lvlText w:val="•"/>
      <w:lvlJc w:val="left"/>
      <w:pPr>
        <w:ind w:left="726" w:hanging="100"/>
      </w:pPr>
      <w:rPr>
        <w:rFonts w:hint="default"/>
      </w:rPr>
    </w:lvl>
    <w:lvl w:ilvl="5" w:tplc="487C2DE6">
      <w:numFmt w:val="bullet"/>
      <w:lvlText w:val="•"/>
      <w:lvlJc w:val="left"/>
      <w:pPr>
        <w:ind w:left="868" w:hanging="100"/>
      </w:pPr>
      <w:rPr>
        <w:rFonts w:hint="default"/>
      </w:rPr>
    </w:lvl>
    <w:lvl w:ilvl="6" w:tplc="3CB44B10">
      <w:numFmt w:val="bullet"/>
      <w:lvlText w:val="•"/>
      <w:lvlJc w:val="left"/>
      <w:pPr>
        <w:ind w:left="1010" w:hanging="100"/>
      </w:pPr>
      <w:rPr>
        <w:rFonts w:hint="default"/>
      </w:rPr>
    </w:lvl>
    <w:lvl w:ilvl="7" w:tplc="0BCE1D96">
      <w:numFmt w:val="bullet"/>
      <w:lvlText w:val="•"/>
      <w:lvlJc w:val="left"/>
      <w:pPr>
        <w:ind w:left="1151" w:hanging="100"/>
      </w:pPr>
      <w:rPr>
        <w:rFonts w:hint="default"/>
      </w:rPr>
    </w:lvl>
    <w:lvl w:ilvl="8" w:tplc="42947EF8">
      <w:numFmt w:val="bullet"/>
      <w:lvlText w:val="•"/>
      <w:lvlJc w:val="left"/>
      <w:pPr>
        <w:ind w:left="1293" w:hanging="100"/>
      </w:pPr>
      <w:rPr>
        <w:rFonts w:hint="default"/>
      </w:rPr>
    </w:lvl>
  </w:abstractNum>
  <w:abstractNum w:abstractNumId="1076" w15:restartNumberingAfterBreak="0">
    <w:nsid w:val="44715692"/>
    <w:multiLevelType w:val="hybridMultilevel"/>
    <w:tmpl w:val="EC46BE48"/>
    <w:lvl w:ilvl="0" w:tplc="63900CB4">
      <w:numFmt w:val="bullet"/>
      <w:lvlText w:val=""/>
      <w:lvlJc w:val="left"/>
      <w:pPr>
        <w:ind w:left="156" w:hanging="100"/>
      </w:pPr>
      <w:rPr>
        <w:rFonts w:ascii="Symbol" w:eastAsia="Symbol" w:hAnsi="Symbol" w:cs="Symbol" w:hint="default"/>
        <w:color w:val="231F20"/>
        <w:w w:val="100"/>
        <w:sz w:val="14"/>
        <w:szCs w:val="14"/>
      </w:rPr>
    </w:lvl>
    <w:lvl w:ilvl="1" w:tplc="A6E2BEA0">
      <w:numFmt w:val="bullet"/>
      <w:lvlText w:val="•"/>
      <w:lvlJc w:val="left"/>
      <w:pPr>
        <w:ind w:left="301" w:hanging="100"/>
      </w:pPr>
      <w:rPr>
        <w:rFonts w:hint="default"/>
      </w:rPr>
    </w:lvl>
    <w:lvl w:ilvl="2" w:tplc="7EA8691A">
      <w:numFmt w:val="bullet"/>
      <w:lvlText w:val="•"/>
      <w:lvlJc w:val="left"/>
      <w:pPr>
        <w:ind w:left="443" w:hanging="100"/>
      </w:pPr>
      <w:rPr>
        <w:rFonts w:hint="default"/>
      </w:rPr>
    </w:lvl>
    <w:lvl w:ilvl="3" w:tplc="8B0EFD24">
      <w:numFmt w:val="bullet"/>
      <w:lvlText w:val="•"/>
      <w:lvlJc w:val="left"/>
      <w:pPr>
        <w:ind w:left="585" w:hanging="100"/>
      </w:pPr>
      <w:rPr>
        <w:rFonts w:hint="default"/>
      </w:rPr>
    </w:lvl>
    <w:lvl w:ilvl="4" w:tplc="D010A2BC">
      <w:numFmt w:val="bullet"/>
      <w:lvlText w:val="•"/>
      <w:lvlJc w:val="left"/>
      <w:pPr>
        <w:ind w:left="726" w:hanging="100"/>
      </w:pPr>
      <w:rPr>
        <w:rFonts w:hint="default"/>
      </w:rPr>
    </w:lvl>
    <w:lvl w:ilvl="5" w:tplc="A3C8BC02">
      <w:numFmt w:val="bullet"/>
      <w:lvlText w:val="•"/>
      <w:lvlJc w:val="left"/>
      <w:pPr>
        <w:ind w:left="868" w:hanging="100"/>
      </w:pPr>
      <w:rPr>
        <w:rFonts w:hint="default"/>
      </w:rPr>
    </w:lvl>
    <w:lvl w:ilvl="6" w:tplc="515CB47E">
      <w:numFmt w:val="bullet"/>
      <w:lvlText w:val="•"/>
      <w:lvlJc w:val="left"/>
      <w:pPr>
        <w:ind w:left="1010" w:hanging="100"/>
      </w:pPr>
      <w:rPr>
        <w:rFonts w:hint="default"/>
      </w:rPr>
    </w:lvl>
    <w:lvl w:ilvl="7" w:tplc="C3EA744A">
      <w:numFmt w:val="bullet"/>
      <w:lvlText w:val="•"/>
      <w:lvlJc w:val="left"/>
      <w:pPr>
        <w:ind w:left="1151" w:hanging="100"/>
      </w:pPr>
      <w:rPr>
        <w:rFonts w:hint="default"/>
      </w:rPr>
    </w:lvl>
    <w:lvl w:ilvl="8" w:tplc="B5BED896">
      <w:numFmt w:val="bullet"/>
      <w:lvlText w:val="•"/>
      <w:lvlJc w:val="left"/>
      <w:pPr>
        <w:ind w:left="1293" w:hanging="100"/>
      </w:pPr>
      <w:rPr>
        <w:rFonts w:hint="default"/>
      </w:rPr>
    </w:lvl>
  </w:abstractNum>
  <w:abstractNum w:abstractNumId="1077" w15:restartNumberingAfterBreak="0">
    <w:nsid w:val="447F0E95"/>
    <w:multiLevelType w:val="hybridMultilevel"/>
    <w:tmpl w:val="37F2A4CA"/>
    <w:lvl w:ilvl="0" w:tplc="511C12AA">
      <w:numFmt w:val="bullet"/>
      <w:lvlText w:val=""/>
      <w:lvlJc w:val="left"/>
      <w:pPr>
        <w:ind w:left="156" w:hanging="100"/>
      </w:pPr>
      <w:rPr>
        <w:rFonts w:ascii="Symbol" w:eastAsia="Symbol" w:hAnsi="Symbol" w:cs="Symbol" w:hint="default"/>
        <w:color w:val="231F20"/>
        <w:w w:val="100"/>
        <w:sz w:val="14"/>
        <w:szCs w:val="14"/>
      </w:rPr>
    </w:lvl>
    <w:lvl w:ilvl="1" w:tplc="4328AAE4">
      <w:numFmt w:val="bullet"/>
      <w:lvlText w:val="•"/>
      <w:lvlJc w:val="left"/>
      <w:pPr>
        <w:ind w:left="426" w:hanging="100"/>
      </w:pPr>
      <w:rPr>
        <w:rFonts w:hint="default"/>
      </w:rPr>
    </w:lvl>
    <w:lvl w:ilvl="2" w:tplc="6DBE8926">
      <w:numFmt w:val="bullet"/>
      <w:lvlText w:val="•"/>
      <w:lvlJc w:val="left"/>
      <w:pPr>
        <w:ind w:left="692" w:hanging="100"/>
      </w:pPr>
      <w:rPr>
        <w:rFonts w:hint="default"/>
      </w:rPr>
    </w:lvl>
    <w:lvl w:ilvl="3" w:tplc="E7E4A822">
      <w:numFmt w:val="bullet"/>
      <w:lvlText w:val="•"/>
      <w:lvlJc w:val="left"/>
      <w:pPr>
        <w:ind w:left="959" w:hanging="100"/>
      </w:pPr>
      <w:rPr>
        <w:rFonts w:hint="default"/>
      </w:rPr>
    </w:lvl>
    <w:lvl w:ilvl="4" w:tplc="91D404A2">
      <w:numFmt w:val="bullet"/>
      <w:lvlText w:val="•"/>
      <w:lvlJc w:val="left"/>
      <w:pPr>
        <w:ind w:left="1225" w:hanging="100"/>
      </w:pPr>
      <w:rPr>
        <w:rFonts w:hint="default"/>
      </w:rPr>
    </w:lvl>
    <w:lvl w:ilvl="5" w:tplc="3B28BD1A">
      <w:numFmt w:val="bullet"/>
      <w:lvlText w:val="•"/>
      <w:lvlJc w:val="left"/>
      <w:pPr>
        <w:ind w:left="1492" w:hanging="100"/>
      </w:pPr>
      <w:rPr>
        <w:rFonts w:hint="default"/>
      </w:rPr>
    </w:lvl>
    <w:lvl w:ilvl="6" w:tplc="273A6790">
      <w:numFmt w:val="bullet"/>
      <w:lvlText w:val="•"/>
      <w:lvlJc w:val="left"/>
      <w:pPr>
        <w:ind w:left="1758" w:hanging="100"/>
      </w:pPr>
      <w:rPr>
        <w:rFonts w:hint="default"/>
      </w:rPr>
    </w:lvl>
    <w:lvl w:ilvl="7" w:tplc="707CE6F0">
      <w:numFmt w:val="bullet"/>
      <w:lvlText w:val="•"/>
      <w:lvlJc w:val="left"/>
      <w:pPr>
        <w:ind w:left="2024" w:hanging="100"/>
      </w:pPr>
      <w:rPr>
        <w:rFonts w:hint="default"/>
      </w:rPr>
    </w:lvl>
    <w:lvl w:ilvl="8" w:tplc="465481C8">
      <w:numFmt w:val="bullet"/>
      <w:lvlText w:val="•"/>
      <w:lvlJc w:val="left"/>
      <w:pPr>
        <w:ind w:left="2291" w:hanging="100"/>
      </w:pPr>
      <w:rPr>
        <w:rFonts w:hint="default"/>
      </w:rPr>
    </w:lvl>
  </w:abstractNum>
  <w:abstractNum w:abstractNumId="1078" w15:restartNumberingAfterBreak="0">
    <w:nsid w:val="44843ED2"/>
    <w:multiLevelType w:val="hybridMultilevel"/>
    <w:tmpl w:val="A3021156"/>
    <w:lvl w:ilvl="0" w:tplc="6F488872">
      <w:numFmt w:val="bullet"/>
      <w:lvlText w:val=""/>
      <w:lvlJc w:val="left"/>
      <w:pPr>
        <w:ind w:left="157" w:hanging="100"/>
      </w:pPr>
      <w:rPr>
        <w:rFonts w:ascii="Symbol" w:eastAsia="Symbol" w:hAnsi="Symbol" w:cs="Symbol" w:hint="default"/>
        <w:color w:val="231F20"/>
        <w:w w:val="100"/>
        <w:sz w:val="14"/>
        <w:szCs w:val="14"/>
      </w:rPr>
    </w:lvl>
    <w:lvl w:ilvl="1" w:tplc="0FA469E2">
      <w:numFmt w:val="bullet"/>
      <w:lvlText w:val="•"/>
      <w:lvlJc w:val="left"/>
      <w:pPr>
        <w:ind w:left="369" w:hanging="100"/>
      </w:pPr>
      <w:rPr>
        <w:rFonts w:hint="default"/>
      </w:rPr>
    </w:lvl>
    <w:lvl w:ilvl="2" w:tplc="A54E2018">
      <w:numFmt w:val="bullet"/>
      <w:lvlText w:val="•"/>
      <w:lvlJc w:val="left"/>
      <w:pPr>
        <w:ind w:left="579" w:hanging="100"/>
      </w:pPr>
      <w:rPr>
        <w:rFonts w:hint="default"/>
      </w:rPr>
    </w:lvl>
    <w:lvl w:ilvl="3" w:tplc="B26A32AC">
      <w:numFmt w:val="bullet"/>
      <w:lvlText w:val="•"/>
      <w:lvlJc w:val="left"/>
      <w:pPr>
        <w:ind w:left="789" w:hanging="100"/>
      </w:pPr>
      <w:rPr>
        <w:rFonts w:hint="default"/>
      </w:rPr>
    </w:lvl>
    <w:lvl w:ilvl="4" w:tplc="75A24D2E">
      <w:numFmt w:val="bullet"/>
      <w:lvlText w:val="•"/>
      <w:lvlJc w:val="left"/>
      <w:pPr>
        <w:ind w:left="998" w:hanging="100"/>
      </w:pPr>
      <w:rPr>
        <w:rFonts w:hint="default"/>
      </w:rPr>
    </w:lvl>
    <w:lvl w:ilvl="5" w:tplc="70A26CB8">
      <w:numFmt w:val="bullet"/>
      <w:lvlText w:val="•"/>
      <w:lvlJc w:val="left"/>
      <w:pPr>
        <w:ind w:left="1208" w:hanging="100"/>
      </w:pPr>
      <w:rPr>
        <w:rFonts w:hint="default"/>
      </w:rPr>
    </w:lvl>
    <w:lvl w:ilvl="6" w:tplc="6EA8A89C">
      <w:numFmt w:val="bullet"/>
      <w:lvlText w:val="•"/>
      <w:lvlJc w:val="left"/>
      <w:pPr>
        <w:ind w:left="1418" w:hanging="100"/>
      </w:pPr>
      <w:rPr>
        <w:rFonts w:hint="default"/>
      </w:rPr>
    </w:lvl>
    <w:lvl w:ilvl="7" w:tplc="E27431F8">
      <w:numFmt w:val="bullet"/>
      <w:lvlText w:val="•"/>
      <w:lvlJc w:val="left"/>
      <w:pPr>
        <w:ind w:left="1627" w:hanging="100"/>
      </w:pPr>
      <w:rPr>
        <w:rFonts w:hint="default"/>
      </w:rPr>
    </w:lvl>
    <w:lvl w:ilvl="8" w:tplc="624A3364">
      <w:numFmt w:val="bullet"/>
      <w:lvlText w:val="•"/>
      <w:lvlJc w:val="left"/>
      <w:pPr>
        <w:ind w:left="1837" w:hanging="100"/>
      </w:pPr>
      <w:rPr>
        <w:rFonts w:hint="default"/>
      </w:rPr>
    </w:lvl>
  </w:abstractNum>
  <w:abstractNum w:abstractNumId="1079" w15:restartNumberingAfterBreak="0">
    <w:nsid w:val="44967537"/>
    <w:multiLevelType w:val="hybridMultilevel"/>
    <w:tmpl w:val="29AE784A"/>
    <w:lvl w:ilvl="0" w:tplc="2562A0B0">
      <w:numFmt w:val="bullet"/>
      <w:lvlText w:val=""/>
      <w:lvlJc w:val="left"/>
      <w:pPr>
        <w:ind w:left="157" w:hanging="100"/>
      </w:pPr>
      <w:rPr>
        <w:rFonts w:ascii="Symbol" w:eastAsia="Symbol" w:hAnsi="Symbol" w:cs="Symbol" w:hint="default"/>
        <w:color w:val="231F20"/>
        <w:w w:val="100"/>
        <w:sz w:val="14"/>
        <w:szCs w:val="14"/>
      </w:rPr>
    </w:lvl>
    <w:lvl w:ilvl="1" w:tplc="24D20AE4">
      <w:numFmt w:val="bullet"/>
      <w:lvlText w:val="•"/>
      <w:lvlJc w:val="left"/>
      <w:pPr>
        <w:ind w:left="369" w:hanging="100"/>
      </w:pPr>
      <w:rPr>
        <w:rFonts w:hint="default"/>
      </w:rPr>
    </w:lvl>
    <w:lvl w:ilvl="2" w:tplc="4F222110">
      <w:numFmt w:val="bullet"/>
      <w:lvlText w:val="•"/>
      <w:lvlJc w:val="left"/>
      <w:pPr>
        <w:ind w:left="579" w:hanging="100"/>
      </w:pPr>
      <w:rPr>
        <w:rFonts w:hint="default"/>
      </w:rPr>
    </w:lvl>
    <w:lvl w:ilvl="3" w:tplc="DF5EA78A">
      <w:numFmt w:val="bullet"/>
      <w:lvlText w:val="•"/>
      <w:lvlJc w:val="left"/>
      <w:pPr>
        <w:ind w:left="789" w:hanging="100"/>
      </w:pPr>
      <w:rPr>
        <w:rFonts w:hint="default"/>
      </w:rPr>
    </w:lvl>
    <w:lvl w:ilvl="4" w:tplc="C6ECD914">
      <w:numFmt w:val="bullet"/>
      <w:lvlText w:val="•"/>
      <w:lvlJc w:val="left"/>
      <w:pPr>
        <w:ind w:left="998" w:hanging="100"/>
      </w:pPr>
      <w:rPr>
        <w:rFonts w:hint="default"/>
      </w:rPr>
    </w:lvl>
    <w:lvl w:ilvl="5" w:tplc="7DDE3FCC">
      <w:numFmt w:val="bullet"/>
      <w:lvlText w:val="•"/>
      <w:lvlJc w:val="left"/>
      <w:pPr>
        <w:ind w:left="1208" w:hanging="100"/>
      </w:pPr>
      <w:rPr>
        <w:rFonts w:hint="default"/>
      </w:rPr>
    </w:lvl>
    <w:lvl w:ilvl="6" w:tplc="F260E964">
      <w:numFmt w:val="bullet"/>
      <w:lvlText w:val="•"/>
      <w:lvlJc w:val="left"/>
      <w:pPr>
        <w:ind w:left="1418" w:hanging="100"/>
      </w:pPr>
      <w:rPr>
        <w:rFonts w:hint="default"/>
      </w:rPr>
    </w:lvl>
    <w:lvl w:ilvl="7" w:tplc="64C8D7F6">
      <w:numFmt w:val="bullet"/>
      <w:lvlText w:val="•"/>
      <w:lvlJc w:val="left"/>
      <w:pPr>
        <w:ind w:left="1627" w:hanging="100"/>
      </w:pPr>
      <w:rPr>
        <w:rFonts w:hint="default"/>
      </w:rPr>
    </w:lvl>
    <w:lvl w:ilvl="8" w:tplc="A28C5B40">
      <w:numFmt w:val="bullet"/>
      <w:lvlText w:val="•"/>
      <w:lvlJc w:val="left"/>
      <w:pPr>
        <w:ind w:left="1837" w:hanging="100"/>
      </w:pPr>
      <w:rPr>
        <w:rFonts w:hint="default"/>
      </w:rPr>
    </w:lvl>
  </w:abstractNum>
  <w:abstractNum w:abstractNumId="1080" w15:restartNumberingAfterBreak="0">
    <w:nsid w:val="449C6241"/>
    <w:multiLevelType w:val="hybridMultilevel"/>
    <w:tmpl w:val="350A078E"/>
    <w:lvl w:ilvl="0" w:tplc="4E0ED3F0">
      <w:numFmt w:val="bullet"/>
      <w:lvlText w:val=""/>
      <w:lvlJc w:val="left"/>
      <w:pPr>
        <w:ind w:left="157" w:hanging="100"/>
      </w:pPr>
      <w:rPr>
        <w:rFonts w:ascii="Symbol" w:eastAsia="Symbol" w:hAnsi="Symbol" w:cs="Symbol" w:hint="default"/>
        <w:color w:val="231F20"/>
        <w:w w:val="100"/>
        <w:sz w:val="14"/>
        <w:szCs w:val="14"/>
      </w:rPr>
    </w:lvl>
    <w:lvl w:ilvl="1" w:tplc="3040688E">
      <w:numFmt w:val="bullet"/>
      <w:lvlText w:val="•"/>
      <w:lvlJc w:val="left"/>
      <w:pPr>
        <w:ind w:left="398" w:hanging="100"/>
      </w:pPr>
      <w:rPr>
        <w:rFonts w:hint="default"/>
      </w:rPr>
    </w:lvl>
    <w:lvl w:ilvl="2" w:tplc="68367252">
      <w:numFmt w:val="bullet"/>
      <w:lvlText w:val="•"/>
      <w:lvlJc w:val="left"/>
      <w:pPr>
        <w:ind w:left="636" w:hanging="100"/>
      </w:pPr>
      <w:rPr>
        <w:rFonts w:hint="default"/>
      </w:rPr>
    </w:lvl>
    <w:lvl w:ilvl="3" w:tplc="186AE164">
      <w:numFmt w:val="bullet"/>
      <w:lvlText w:val="•"/>
      <w:lvlJc w:val="left"/>
      <w:pPr>
        <w:ind w:left="874" w:hanging="100"/>
      </w:pPr>
      <w:rPr>
        <w:rFonts w:hint="default"/>
      </w:rPr>
    </w:lvl>
    <w:lvl w:ilvl="4" w:tplc="370425CE">
      <w:numFmt w:val="bullet"/>
      <w:lvlText w:val="•"/>
      <w:lvlJc w:val="left"/>
      <w:pPr>
        <w:ind w:left="1112" w:hanging="100"/>
      </w:pPr>
      <w:rPr>
        <w:rFonts w:hint="default"/>
      </w:rPr>
    </w:lvl>
    <w:lvl w:ilvl="5" w:tplc="D3D2C758">
      <w:numFmt w:val="bullet"/>
      <w:lvlText w:val="•"/>
      <w:lvlJc w:val="left"/>
      <w:pPr>
        <w:ind w:left="1350" w:hanging="100"/>
      </w:pPr>
      <w:rPr>
        <w:rFonts w:hint="default"/>
      </w:rPr>
    </w:lvl>
    <w:lvl w:ilvl="6" w:tplc="2262751A">
      <w:numFmt w:val="bullet"/>
      <w:lvlText w:val="•"/>
      <w:lvlJc w:val="left"/>
      <w:pPr>
        <w:ind w:left="1588" w:hanging="100"/>
      </w:pPr>
      <w:rPr>
        <w:rFonts w:hint="default"/>
      </w:rPr>
    </w:lvl>
    <w:lvl w:ilvl="7" w:tplc="F8A43712">
      <w:numFmt w:val="bullet"/>
      <w:lvlText w:val="•"/>
      <w:lvlJc w:val="left"/>
      <w:pPr>
        <w:ind w:left="1826" w:hanging="100"/>
      </w:pPr>
      <w:rPr>
        <w:rFonts w:hint="default"/>
      </w:rPr>
    </w:lvl>
    <w:lvl w:ilvl="8" w:tplc="32FAE63A">
      <w:numFmt w:val="bullet"/>
      <w:lvlText w:val="•"/>
      <w:lvlJc w:val="left"/>
      <w:pPr>
        <w:ind w:left="2064" w:hanging="100"/>
      </w:pPr>
      <w:rPr>
        <w:rFonts w:hint="default"/>
      </w:rPr>
    </w:lvl>
  </w:abstractNum>
  <w:abstractNum w:abstractNumId="1081" w15:restartNumberingAfterBreak="0">
    <w:nsid w:val="44B17B7C"/>
    <w:multiLevelType w:val="hybridMultilevel"/>
    <w:tmpl w:val="4ABA33E8"/>
    <w:lvl w:ilvl="0" w:tplc="DBE0AEF2">
      <w:numFmt w:val="bullet"/>
      <w:lvlText w:val=""/>
      <w:lvlJc w:val="left"/>
      <w:pPr>
        <w:ind w:left="156" w:hanging="100"/>
      </w:pPr>
      <w:rPr>
        <w:rFonts w:ascii="Symbol" w:eastAsia="Symbol" w:hAnsi="Symbol" w:cs="Symbol" w:hint="default"/>
        <w:color w:val="231F20"/>
        <w:w w:val="100"/>
        <w:sz w:val="14"/>
        <w:szCs w:val="14"/>
      </w:rPr>
    </w:lvl>
    <w:lvl w:ilvl="1" w:tplc="001A3982">
      <w:numFmt w:val="bullet"/>
      <w:lvlText w:val="•"/>
      <w:lvlJc w:val="left"/>
      <w:pPr>
        <w:ind w:left="301" w:hanging="100"/>
      </w:pPr>
      <w:rPr>
        <w:rFonts w:hint="default"/>
      </w:rPr>
    </w:lvl>
    <w:lvl w:ilvl="2" w:tplc="B3DEF8C4">
      <w:numFmt w:val="bullet"/>
      <w:lvlText w:val="•"/>
      <w:lvlJc w:val="left"/>
      <w:pPr>
        <w:ind w:left="443" w:hanging="100"/>
      </w:pPr>
      <w:rPr>
        <w:rFonts w:hint="default"/>
      </w:rPr>
    </w:lvl>
    <w:lvl w:ilvl="3" w:tplc="1F3E18F0">
      <w:numFmt w:val="bullet"/>
      <w:lvlText w:val="•"/>
      <w:lvlJc w:val="left"/>
      <w:pPr>
        <w:ind w:left="585" w:hanging="100"/>
      </w:pPr>
      <w:rPr>
        <w:rFonts w:hint="default"/>
      </w:rPr>
    </w:lvl>
    <w:lvl w:ilvl="4" w:tplc="20FE2B7C">
      <w:numFmt w:val="bullet"/>
      <w:lvlText w:val="•"/>
      <w:lvlJc w:val="left"/>
      <w:pPr>
        <w:ind w:left="726" w:hanging="100"/>
      </w:pPr>
      <w:rPr>
        <w:rFonts w:hint="default"/>
      </w:rPr>
    </w:lvl>
    <w:lvl w:ilvl="5" w:tplc="C09A449E">
      <w:numFmt w:val="bullet"/>
      <w:lvlText w:val="•"/>
      <w:lvlJc w:val="left"/>
      <w:pPr>
        <w:ind w:left="868" w:hanging="100"/>
      </w:pPr>
      <w:rPr>
        <w:rFonts w:hint="default"/>
      </w:rPr>
    </w:lvl>
    <w:lvl w:ilvl="6" w:tplc="AEFA467C">
      <w:numFmt w:val="bullet"/>
      <w:lvlText w:val="•"/>
      <w:lvlJc w:val="left"/>
      <w:pPr>
        <w:ind w:left="1010" w:hanging="100"/>
      </w:pPr>
      <w:rPr>
        <w:rFonts w:hint="default"/>
      </w:rPr>
    </w:lvl>
    <w:lvl w:ilvl="7" w:tplc="56789F2C">
      <w:numFmt w:val="bullet"/>
      <w:lvlText w:val="•"/>
      <w:lvlJc w:val="left"/>
      <w:pPr>
        <w:ind w:left="1151" w:hanging="100"/>
      </w:pPr>
      <w:rPr>
        <w:rFonts w:hint="default"/>
      </w:rPr>
    </w:lvl>
    <w:lvl w:ilvl="8" w:tplc="F1B2C18A">
      <w:numFmt w:val="bullet"/>
      <w:lvlText w:val="•"/>
      <w:lvlJc w:val="left"/>
      <w:pPr>
        <w:ind w:left="1293" w:hanging="100"/>
      </w:pPr>
      <w:rPr>
        <w:rFonts w:hint="default"/>
      </w:rPr>
    </w:lvl>
  </w:abstractNum>
  <w:abstractNum w:abstractNumId="1082" w15:restartNumberingAfterBreak="0">
    <w:nsid w:val="44B340EC"/>
    <w:multiLevelType w:val="hybridMultilevel"/>
    <w:tmpl w:val="D25C946E"/>
    <w:lvl w:ilvl="0" w:tplc="D1DED754">
      <w:numFmt w:val="bullet"/>
      <w:lvlText w:val=""/>
      <w:lvlJc w:val="left"/>
      <w:pPr>
        <w:ind w:left="156" w:hanging="100"/>
      </w:pPr>
      <w:rPr>
        <w:rFonts w:ascii="Symbol" w:eastAsia="Symbol" w:hAnsi="Symbol" w:cs="Symbol" w:hint="default"/>
        <w:color w:val="231F20"/>
        <w:w w:val="100"/>
        <w:sz w:val="14"/>
        <w:szCs w:val="14"/>
      </w:rPr>
    </w:lvl>
    <w:lvl w:ilvl="1" w:tplc="4BDE153C">
      <w:numFmt w:val="bullet"/>
      <w:lvlText w:val="•"/>
      <w:lvlJc w:val="left"/>
      <w:pPr>
        <w:ind w:left="301" w:hanging="100"/>
      </w:pPr>
      <w:rPr>
        <w:rFonts w:hint="default"/>
      </w:rPr>
    </w:lvl>
    <w:lvl w:ilvl="2" w:tplc="0B4017EA">
      <w:numFmt w:val="bullet"/>
      <w:lvlText w:val="•"/>
      <w:lvlJc w:val="left"/>
      <w:pPr>
        <w:ind w:left="443" w:hanging="100"/>
      </w:pPr>
      <w:rPr>
        <w:rFonts w:hint="default"/>
      </w:rPr>
    </w:lvl>
    <w:lvl w:ilvl="3" w:tplc="DE9A4A36">
      <w:numFmt w:val="bullet"/>
      <w:lvlText w:val="•"/>
      <w:lvlJc w:val="left"/>
      <w:pPr>
        <w:ind w:left="585" w:hanging="100"/>
      </w:pPr>
      <w:rPr>
        <w:rFonts w:hint="default"/>
      </w:rPr>
    </w:lvl>
    <w:lvl w:ilvl="4" w:tplc="5C0C8D74">
      <w:numFmt w:val="bullet"/>
      <w:lvlText w:val="•"/>
      <w:lvlJc w:val="left"/>
      <w:pPr>
        <w:ind w:left="726" w:hanging="100"/>
      </w:pPr>
      <w:rPr>
        <w:rFonts w:hint="default"/>
      </w:rPr>
    </w:lvl>
    <w:lvl w:ilvl="5" w:tplc="00AC07E6">
      <w:numFmt w:val="bullet"/>
      <w:lvlText w:val="•"/>
      <w:lvlJc w:val="left"/>
      <w:pPr>
        <w:ind w:left="868" w:hanging="100"/>
      </w:pPr>
      <w:rPr>
        <w:rFonts w:hint="default"/>
      </w:rPr>
    </w:lvl>
    <w:lvl w:ilvl="6" w:tplc="65FA95B2">
      <w:numFmt w:val="bullet"/>
      <w:lvlText w:val="•"/>
      <w:lvlJc w:val="left"/>
      <w:pPr>
        <w:ind w:left="1010" w:hanging="100"/>
      </w:pPr>
      <w:rPr>
        <w:rFonts w:hint="default"/>
      </w:rPr>
    </w:lvl>
    <w:lvl w:ilvl="7" w:tplc="705AA5F4">
      <w:numFmt w:val="bullet"/>
      <w:lvlText w:val="•"/>
      <w:lvlJc w:val="left"/>
      <w:pPr>
        <w:ind w:left="1151" w:hanging="100"/>
      </w:pPr>
      <w:rPr>
        <w:rFonts w:hint="default"/>
      </w:rPr>
    </w:lvl>
    <w:lvl w:ilvl="8" w:tplc="257C7E62">
      <w:numFmt w:val="bullet"/>
      <w:lvlText w:val="•"/>
      <w:lvlJc w:val="left"/>
      <w:pPr>
        <w:ind w:left="1293" w:hanging="100"/>
      </w:pPr>
      <w:rPr>
        <w:rFonts w:hint="default"/>
      </w:rPr>
    </w:lvl>
  </w:abstractNum>
  <w:abstractNum w:abstractNumId="1083" w15:restartNumberingAfterBreak="0">
    <w:nsid w:val="44E37D87"/>
    <w:multiLevelType w:val="hybridMultilevel"/>
    <w:tmpl w:val="E9B8F35C"/>
    <w:lvl w:ilvl="0" w:tplc="CDB88EA4">
      <w:numFmt w:val="bullet"/>
      <w:lvlText w:val=""/>
      <w:lvlJc w:val="left"/>
      <w:pPr>
        <w:ind w:left="156" w:hanging="100"/>
      </w:pPr>
      <w:rPr>
        <w:rFonts w:ascii="Symbol" w:eastAsia="Symbol" w:hAnsi="Symbol" w:cs="Symbol" w:hint="default"/>
        <w:color w:val="231F20"/>
        <w:w w:val="100"/>
        <w:sz w:val="14"/>
        <w:szCs w:val="14"/>
      </w:rPr>
    </w:lvl>
    <w:lvl w:ilvl="1" w:tplc="C28C2150">
      <w:numFmt w:val="bullet"/>
      <w:lvlText w:val="•"/>
      <w:lvlJc w:val="left"/>
      <w:pPr>
        <w:ind w:left="398" w:hanging="100"/>
      </w:pPr>
      <w:rPr>
        <w:rFonts w:hint="default"/>
      </w:rPr>
    </w:lvl>
    <w:lvl w:ilvl="2" w:tplc="4B601CD6">
      <w:numFmt w:val="bullet"/>
      <w:lvlText w:val="•"/>
      <w:lvlJc w:val="left"/>
      <w:pPr>
        <w:ind w:left="636" w:hanging="100"/>
      </w:pPr>
      <w:rPr>
        <w:rFonts w:hint="default"/>
      </w:rPr>
    </w:lvl>
    <w:lvl w:ilvl="3" w:tplc="C42A32A8">
      <w:numFmt w:val="bullet"/>
      <w:lvlText w:val="•"/>
      <w:lvlJc w:val="left"/>
      <w:pPr>
        <w:ind w:left="874" w:hanging="100"/>
      </w:pPr>
      <w:rPr>
        <w:rFonts w:hint="default"/>
      </w:rPr>
    </w:lvl>
    <w:lvl w:ilvl="4" w:tplc="9D58CDD4">
      <w:numFmt w:val="bullet"/>
      <w:lvlText w:val="•"/>
      <w:lvlJc w:val="left"/>
      <w:pPr>
        <w:ind w:left="1112" w:hanging="100"/>
      </w:pPr>
      <w:rPr>
        <w:rFonts w:hint="default"/>
      </w:rPr>
    </w:lvl>
    <w:lvl w:ilvl="5" w:tplc="CD8E56DC">
      <w:numFmt w:val="bullet"/>
      <w:lvlText w:val="•"/>
      <w:lvlJc w:val="left"/>
      <w:pPr>
        <w:ind w:left="1350" w:hanging="100"/>
      </w:pPr>
      <w:rPr>
        <w:rFonts w:hint="default"/>
      </w:rPr>
    </w:lvl>
    <w:lvl w:ilvl="6" w:tplc="C2B428E2">
      <w:numFmt w:val="bullet"/>
      <w:lvlText w:val="•"/>
      <w:lvlJc w:val="left"/>
      <w:pPr>
        <w:ind w:left="1588" w:hanging="100"/>
      </w:pPr>
      <w:rPr>
        <w:rFonts w:hint="default"/>
      </w:rPr>
    </w:lvl>
    <w:lvl w:ilvl="7" w:tplc="BF083F0E">
      <w:numFmt w:val="bullet"/>
      <w:lvlText w:val="•"/>
      <w:lvlJc w:val="left"/>
      <w:pPr>
        <w:ind w:left="1826" w:hanging="100"/>
      </w:pPr>
      <w:rPr>
        <w:rFonts w:hint="default"/>
      </w:rPr>
    </w:lvl>
    <w:lvl w:ilvl="8" w:tplc="7834C1B4">
      <w:numFmt w:val="bullet"/>
      <w:lvlText w:val="•"/>
      <w:lvlJc w:val="left"/>
      <w:pPr>
        <w:ind w:left="2064" w:hanging="100"/>
      </w:pPr>
      <w:rPr>
        <w:rFonts w:hint="default"/>
      </w:rPr>
    </w:lvl>
  </w:abstractNum>
  <w:abstractNum w:abstractNumId="1084" w15:restartNumberingAfterBreak="0">
    <w:nsid w:val="44E67E08"/>
    <w:multiLevelType w:val="hybridMultilevel"/>
    <w:tmpl w:val="8DBCE256"/>
    <w:lvl w:ilvl="0" w:tplc="A60829BA">
      <w:numFmt w:val="bullet"/>
      <w:lvlText w:val=""/>
      <w:lvlJc w:val="left"/>
      <w:pPr>
        <w:ind w:left="157" w:hanging="100"/>
      </w:pPr>
      <w:rPr>
        <w:rFonts w:ascii="Symbol" w:eastAsia="Symbol" w:hAnsi="Symbol" w:cs="Symbol" w:hint="default"/>
        <w:color w:val="231F20"/>
        <w:w w:val="100"/>
        <w:sz w:val="14"/>
        <w:szCs w:val="14"/>
      </w:rPr>
    </w:lvl>
    <w:lvl w:ilvl="1" w:tplc="249A69E4">
      <w:numFmt w:val="bullet"/>
      <w:lvlText w:val="•"/>
      <w:lvlJc w:val="left"/>
      <w:pPr>
        <w:ind w:left="369" w:hanging="100"/>
      </w:pPr>
      <w:rPr>
        <w:rFonts w:hint="default"/>
      </w:rPr>
    </w:lvl>
    <w:lvl w:ilvl="2" w:tplc="B0785ED6">
      <w:numFmt w:val="bullet"/>
      <w:lvlText w:val="•"/>
      <w:lvlJc w:val="left"/>
      <w:pPr>
        <w:ind w:left="579" w:hanging="100"/>
      </w:pPr>
      <w:rPr>
        <w:rFonts w:hint="default"/>
      </w:rPr>
    </w:lvl>
    <w:lvl w:ilvl="3" w:tplc="9968D374">
      <w:numFmt w:val="bullet"/>
      <w:lvlText w:val="•"/>
      <w:lvlJc w:val="left"/>
      <w:pPr>
        <w:ind w:left="789" w:hanging="100"/>
      </w:pPr>
      <w:rPr>
        <w:rFonts w:hint="default"/>
      </w:rPr>
    </w:lvl>
    <w:lvl w:ilvl="4" w:tplc="8CC4DC84">
      <w:numFmt w:val="bullet"/>
      <w:lvlText w:val="•"/>
      <w:lvlJc w:val="left"/>
      <w:pPr>
        <w:ind w:left="998" w:hanging="100"/>
      </w:pPr>
      <w:rPr>
        <w:rFonts w:hint="default"/>
      </w:rPr>
    </w:lvl>
    <w:lvl w:ilvl="5" w:tplc="38A6BBF8">
      <w:numFmt w:val="bullet"/>
      <w:lvlText w:val="•"/>
      <w:lvlJc w:val="left"/>
      <w:pPr>
        <w:ind w:left="1208" w:hanging="100"/>
      </w:pPr>
      <w:rPr>
        <w:rFonts w:hint="default"/>
      </w:rPr>
    </w:lvl>
    <w:lvl w:ilvl="6" w:tplc="9A6EDCBE">
      <w:numFmt w:val="bullet"/>
      <w:lvlText w:val="•"/>
      <w:lvlJc w:val="left"/>
      <w:pPr>
        <w:ind w:left="1418" w:hanging="100"/>
      </w:pPr>
      <w:rPr>
        <w:rFonts w:hint="default"/>
      </w:rPr>
    </w:lvl>
    <w:lvl w:ilvl="7" w:tplc="F1A4E256">
      <w:numFmt w:val="bullet"/>
      <w:lvlText w:val="•"/>
      <w:lvlJc w:val="left"/>
      <w:pPr>
        <w:ind w:left="1627" w:hanging="100"/>
      </w:pPr>
      <w:rPr>
        <w:rFonts w:hint="default"/>
      </w:rPr>
    </w:lvl>
    <w:lvl w:ilvl="8" w:tplc="B3C4DC1E">
      <w:numFmt w:val="bullet"/>
      <w:lvlText w:val="•"/>
      <w:lvlJc w:val="left"/>
      <w:pPr>
        <w:ind w:left="1837" w:hanging="100"/>
      </w:pPr>
      <w:rPr>
        <w:rFonts w:hint="default"/>
      </w:rPr>
    </w:lvl>
  </w:abstractNum>
  <w:abstractNum w:abstractNumId="1085" w15:restartNumberingAfterBreak="0">
    <w:nsid w:val="44F0713A"/>
    <w:multiLevelType w:val="hybridMultilevel"/>
    <w:tmpl w:val="013EDE2C"/>
    <w:lvl w:ilvl="0" w:tplc="F754EE78">
      <w:numFmt w:val="bullet"/>
      <w:lvlText w:val=""/>
      <w:lvlJc w:val="left"/>
      <w:pPr>
        <w:ind w:left="156" w:hanging="100"/>
      </w:pPr>
      <w:rPr>
        <w:rFonts w:ascii="Symbol" w:eastAsia="Symbol" w:hAnsi="Symbol" w:cs="Symbol" w:hint="default"/>
        <w:color w:val="231F20"/>
        <w:w w:val="100"/>
        <w:sz w:val="14"/>
        <w:szCs w:val="14"/>
      </w:rPr>
    </w:lvl>
    <w:lvl w:ilvl="1" w:tplc="18C4677A">
      <w:numFmt w:val="bullet"/>
      <w:lvlText w:val="•"/>
      <w:lvlJc w:val="left"/>
      <w:pPr>
        <w:ind w:left="398" w:hanging="100"/>
      </w:pPr>
      <w:rPr>
        <w:rFonts w:hint="default"/>
      </w:rPr>
    </w:lvl>
    <w:lvl w:ilvl="2" w:tplc="45089DE2">
      <w:numFmt w:val="bullet"/>
      <w:lvlText w:val="•"/>
      <w:lvlJc w:val="left"/>
      <w:pPr>
        <w:ind w:left="636" w:hanging="100"/>
      </w:pPr>
      <w:rPr>
        <w:rFonts w:hint="default"/>
      </w:rPr>
    </w:lvl>
    <w:lvl w:ilvl="3" w:tplc="89588408">
      <w:numFmt w:val="bullet"/>
      <w:lvlText w:val="•"/>
      <w:lvlJc w:val="left"/>
      <w:pPr>
        <w:ind w:left="874" w:hanging="100"/>
      </w:pPr>
      <w:rPr>
        <w:rFonts w:hint="default"/>
      </w:rPr>
    </w:lvl>
    <w:lvl w:ilvl="4" w:tplc="9744865A">
      <w:numFmt w:val="bullet"/>
      <w:lvlText w:val="•"/>
      <w:lvlJc w:val="left"/>
      <w:pPr>
        <w:ind w:left="1112" w:hanging="100"/>
      </w:pPr>
      <w:rPr>
        <w:rFonts w:hint="default"/>
      </w:rPr>
    </w:lvl>
    <w:lvl w:ilvl="5" w:tplc="CFEE8518">
      <w:numFmt w:val="bullet"/>
      <w:lvlText w:val="•"/>
      <w:lvlJc w:val="left"/>
      <w:pPr>
        <w:ind w:left="1350" w:hanging="100"/>
      </w:pPr>
      <w:rPr>
        <w:rFonts w:hint="default"/>
      </w:rPr>
    </w:lvl>
    <w:lvl w:ilvl="6" w:tplc="51BA9BB2">
      <w:numFmt w:val="bullet"/>
      <w:lvlText w:val="•"/>
      <w:lvlJc w:val="left"/>
      <w:pPr>
        <w:ind w:left="1588" w:hanging="100"/>
      </w:pPr>
      <w:rPr>
        <w:rFonts w:hint="default"/>
      </w:rPr>
    </w:lvl>
    <w:lvl w:ilvl="7" w:tplc="7FC417D4">
      <w:numFmt w:val="bullet"/>
      <w:lvlText w:val="•"/>
      <w:lvlJc w:val="left"/>
      <w:pPr>
        <w:ind w:left="1826" w:hanging="100"/>
      </w:pPr>
      <w:rPr>
        <w:rFonts w:hint="default"/>
      </w:rPr>
    </w:lvl>
    <w:lvl w:ilvl="8" w:tplc="7C9CC94C">
      <w:numFmt w:val="bullet"/>
      <w:lvlText w:val="•"/>
      <w:lvlJc w:val="left"/>
      <w:pPr>
        <w:ind w:left="2064" w:hanging="100"/>
      </w:pPr>
      <w:rPr>
        <w:rFonts w:hint="default"/>
      </w:rPr>
    </w:lvl>
  </w:abstractNum>
  <w:abstractNum w:abstractNumId="1086" w15:restartNumberingAfterBreak="0">
    <w:nsid w:val="45132FD5"/>
    <w:multiLevelType w:val="hybridMultilevel"/>
    <w:tmpl w:val="9118DB20"/>
    <w:lvl w:ilvl="0" w:tplc="E80EE27A">
      <w:numFmt w:val="bullet"/>
      <w:lvlText w:val=""/>
      <w:lvlJc w:val="left"/>
      <w:pPr>
        <w:ind w:left="156" w:hanging="100"/>
      </w:pPr>
      <w:rPr>
        <w:rFonts w:ascii="Symbol" w:eastAsia="Symbol" w:hAnsi="Symbol" w:cs="Symbol" w:hint="default"/>
        <w:color w:val="231F20"/>
        <w:w w:val="100"/>
        <w:sz w:val="14"/>
        <w:szCs w:val="14"/>
      </w:rPr>
    </w:lvl>
    <w:lvl w:ilvl="1" w:tplc="EE3897F0">
      <w:numFmt w:val="bullet"/>
      <w:lvlText w:val="•"/>
      <w:lvlJc w:val="left"/>
      <w:pPr>
        <w:ind w:left="398" w:hanging="100"/>
      </w:pPr>
      <w:rPr>
        <w:rFonts w:hint="default"/>
      </w:rPr>
    </w:lvl>
    <w:lvl w:ilvl="2" w:tplc="3CCE2D44">
      <w:numFmt w:val="bullet"/>
      <w:lvlText w:val="•"/>
      <w:lvlJc w:val="left"/>
      <w:pPr>
        <w:ind w:left="636" w:hanging="100"/>
      </w:pPr>
      <w:rPr>
        <w:rFonts w:hint="default"/>
      </w:rPr>
    </w:lvl>
    <w:lvl w:ilvl="3" w:tplc="F9BC6DCA">
      <w:numFmt w:val="bullet"/>
      <w:lvlText w:val="•"/>
      <w:lvlJc w:val="left"/>
      <w:pPr>
        <w:ind w:left="874" w:hanging="100"/>
      </w:pPr>
      <w:rPr>
        <w:rFonts w:hint="default"/>
      </w:rPr>
    </w:lvl>
    <w:lvl w:ilvl="4" w:tplc="4C10510E">
      <w:numFmt w:val="bullet"/>
      <w:lvlText w:val="•"/>
      <w:lvlJc w:val="left"/>
      <w:pPr>
        <w:ind w:left="1112" w:hanging="100"/>
      </w:pPr>
      <w:rPr>
        <w:rFonts w:hint="default"/>
      </w:rPr>
    </w:lvl>
    <w:lvl w:ilvl="5" w:tplc="FAD41FA4">
      <w:numFmt w:val="bullet"/>
      <w:lvlText w:val="•"/>
      <w:lvlJc w:val="left"/>
      <w:pPr>
        <w:ind w:left="1350" w:hanging="100"/>
      </w:pPr>
      <w:rPr>
        <w:rFonts w:hint="default"/>
      </w:rPr>
    </w:lvl>
    <w:lvl w:ilvl="6" w:tplc="578C2182">
      <w:numFmt w:val="bullet"/>
      <w:lvlText w:val="•"/>
      <w:lvlJc w:val="left"/>
      <w:pPr>
        <w:ind w:left="1588" w:hanging="100"/>
      </w:pPr>
      <w:rPr>
        <w:rFonts w:hint="default"/>
      </w:rPr>
    </w:lvl>
    <w:lvl w:ilvl="7" w:tplc="D2C80078">
      <w:numFmt w:val="bullet"/>
      <w:lvlText w:val="•"/>
      <w:lvlJc w:val="left"/>
      <w:pPr>
        <w:ind w:left="1826" w:hanging="100"/>
      </w:pPr>
      <w:rPr>
        <w:rFonts w:hint="default"/>
      </w:rPr>
    </w:lvl>
    <w:lvl w:ilvl="8" w:tplc="7046C870">
      <w:numFmt w:val="bullet"/>
      <w:lvlText w:val="•"/>
      <w:lvlJc w:val="left"/>
      <w:pPr>
        <w:ind w:left="2064" w:hanging="100"/>
      </w:pPr>
      <w:rPr>
        <w:rFonts w:hint="default"/>
      </w:rPr>
    </w:lvl>
  </w:abstractNum>
  <w:abstractNum w:abstractNumId="1087" w15:restartNumberingAfterBreak="0">
    <w:nsid w:val="451F680D"/>
    <w:multiLevelType w:val="hybridMultilevel"/>
    <w:tmpl w:val="F41EC91E"/>
    <w:lvl w:ilvl="0" w:tplc="28DE3192">
      <w:numFmt w:val="bullet"/>
      <w:lvlText w:val=""/>
      <w:lvlJc w:val="left"/>
      <w:pPr>
        <w:ind w:left="156" w:hanging="100"/>
      </w:pPr>
      <w:rPr>
        <w:rFonts w:ascii="Symbol" w:eastAsia="Symbol" w:hAnsi="Symbol" w:cs="Symbol" w:hint="default"/>
        <w:color w:val="231F20"/>
        <w:w w:val="100"/>
        <w:sz w:val="14"/>
        <w:szCs w:val="14"/>
      </w:rPr>
    </w:lvl>
    <w:lvl w:ilvl="1" w:tplc="1A9C4BB6">
      <w:numFmt w:val="bullet"/>
      <w:lvlText w:val="•"/>
      <w:lvlJc w:val="left"/>
      <w:pPr>
        <w:ind w:left="398" w:hanging="100"/>
      </w:pPr>
      <w:rPr>
        <w:rFonts w:hint="default"/>
      </w:rPr>
    </w:lvl>
    <w:lvl w:ilvl="2" w:tplc="0574A202">
      <w:numFmt w:val="bullet"/>
      <w:lvlText w:val="•"/>
      <w:lvlJc w:val="left"/>
      <w:pPr>
        <w:ind w:left="636" w:hanging="100"/>
      </w:pPr>
      <w:rPr>
        <w:rFonts w:hint="default"/>
      </w:rPr>
    </w:lvl>
    <w:lvl w:ilvl="3" w:tplc="B7387EBC">
      <w:numFmt w:val="bullet"/>
      <w:lvlText w:val="•"/>
      <w:lvlJc w:val="left"/>
      <w:pPr>
        <w:ind w:left="874" w:hanging="100"/>
      </w:pPr>
      <w:rPr>
        <w:rFonts w:hint="default"/>
      </w:rPr>
    </w:lvl>
    <w:lvl w:ilvl="4" w:tplc="5400EB6E">
      <w:numFmt w:val="bullet"/>
      <w:lvlText w:val="•"/>
      <w:lvlJc w:val="left"/>
      <w:pPr>
        <w:ind w:left="1112" w:hanging="100"/>
      </w:pPr>
      <w:rPr>
        <w:rFonts w:hint="default"/>
      </w:rPr>
    </w:lvl>
    <w:lvl w:ilvl="5" w:tplc="8BACC22E">
      <w:numFmt w:val="bullet"/>
      <w:lvlText w:val="•"/>
      <w:lvlJc w:val="left"/>
      <w:pPr>
        <w:ind w:left="1350" w:hanging="100"/>
      </w:pPr>
      <w:rPr>
        <w:rFonts w:hint="default"/>
      </w:rPr>
    </w:lvl>
    <w:lvl w:ilvl="6" w:tplc="D84ED192">
      <w:numFmt w:val="bullet"/>
      <w:lvlText w:val="•"/>
      <w:lvlJc w:val="left"/>
      <w:pPr>
        <w:ind w:left="1588" w:hanging="100"/>
      </w:pPr>
      <w:rPr>
        <w:rFonts w:hint="default"/>
      </w:rPr>
    </w:lvl>
    <w:lvl w:ilvl="7" w:tplc="65E69222">
      <w:numFmt w:val="bullet"/>
      <w:lvlText w:val="•"/>
      <w:lvlJc w:val="left"/>
      <w:pPr>
        <w:ind w:left="1826" w:hanging="100"/>
      </w:pPr>
      <w:rPr>
        <w:rFonts w:hint="default"/>
      </w:rPr>
    </w:lvl>
    <w:lvl w:ilvl="8" w:tplc="97C6083C">
      <w:numFmt w:val="bullet"/>
      <w:lvlText w:val="•"/>
      <w:lvlJc w:val="left"/>
      <w:pPr>
        <w:ind w:left="2064" w:hanging="100"/>
      </w:pPr>
      <w:rPr>
        <w:rFonts w:hint="default"/>
      </w:rPr>
    </w:lvl>
  </w:abstractNum>
  <w:abstractNum w:abstractNumId="1088" w15:restartNumberingAfterBreak="0">
    <w:nsid w:val="45226BD3"/>
    <w:multiLevelType w:val="hybridMultilevel"/>
    <w:tmpl w:val="B34A9C94"/>
    <w:lvl w:ilvl="0" w:tplc="5776AA74">
      <w:numFmt w:val="bullet"/>
      <w:lvlText w:val=""/>
      <w:lvlJc w:val="left"/>
      <w:pPr>
        <w:ind w:left="156" w:hanging="100"/>
      </w:pPr>
      <w:rPr>
        <w:rFonts w:ascii="Symbol" w:eastAsia="Symbol" w:hAnsi="Symbol" w:cs="Symbol" w:hint="default"/>
        <w:color w:val="231F20"/>
        <w:w w:val="100"/>
        <w:sz w:val="14"/>
        <w:szCs w:val="14"/>
      </w:rPr>
    </w:lvl>
    <w:lvl w:ilvl="1" w:tplc="94A02140">
      <w:numFmt w:val="bullet"/>
      <w:lvlText w:val="•"/>
      <w:lvlJc w:val="left"/>
      <w:pPr>
        <w:ind w:left="398" w:hanging="100"/>
      </w:pPr>
      <w:rPr>
        <w:rFonts w:hint="default"/>
      </w:rPr>
    </w:lvl>
    <w:lvl w:ilvl="2" w:tplc="1FA8E22E">
      <w:numFmt w:val="bullet"/>
      <w:lvlText w:val="•"/>
      <w:lvlJc w:val="left"/>
      <w:pPr>
        <w:ind w:left="636" w:hanging="100"/>
      </w:pPr>
      <w:rPr>
        <w:rFonts w:hint="default"/>
      </w:rPr>
    </w:lvl>
    <w:lvl w:ilvl="3" w:tplc="BA9C9090">
      <w:numFmt w:val="bullet"/>
      <w:lvlText w:val="•"/>
      <w:lvlJc w:val="left"/>
      <w:pPr>
        <w:ind w:left="874" w:hanging="100"/>
      </w:pPr>
      <w:rPr>
        <w:rFonts w:hint="default"/>
      </w:rPr>
    </w:lvl>
    <w:lvl w:ilvl="4" w:tplc="7ADCD40E">
      <w:numFmt w:val="bullet"/>
      <w:lvlText w:val="•"/>
      <w:lvlJc w:val="left"/>
      <w:pPr>
        <w:ind w:left="1112" w:hanging="100"/>
      </w:pPr>
      <w:rPr>
        <w:rFonts w:hint="default"/>
      </w:rPr>
    </w:lvl>
    <w:lvl w:ilvl="5" w:tplc="C14AE338">
      <w:numFmt w:val="bullet"/>
      <w:lvlText w:val="•"/>
      <w:lvlJc w:val="left"/>
      <w:pPr>
        <w:ind w:left="1350" w:hanging="100"/>
      </w:pPr>
      <w:rPr>
        <w:rFonts w:hint="default"/>
      </w:rPr>
    </w:lvl>
    <w:lvl w:ilvl="6" w:tplc="75D4E464">
      <w:numFmt w:val="bullet"/>
      <w:lvlText w:val="•"/>
      <w:lvlJc w:val="left"/>
      <w:pPr>
        <w:ind w:left="1588" w:hanging="100"/>
      </w:pPr>
      <w:rPr>
        <w:rFonts w:hint="default"/>
      </w:rPr>
    </w:lvl>
    <w:lvl w:ilvl="7" w:tplc="7F8EC93C">
      <w:numFmt w:val="bullet"/>
      <w:lvlText w:val="•"/>
      <w:lvlJc w:val="left"/>
      <w:pPr>
        <w:ind w:left="1826" w:hanging="100"/>
      </w:pPr>
      <w:rPr>
        <w:rFonts w:hint="default"/>
      </w:rPr>
    </w:lvl>
    <w:lvl w:ilvl="8" w:tplc="853836A6">
      <w:numFmt w:val="bullet"/>
      <w:lvlText w:val="•"/>
      <w:lvlJc w:val="left"/>
      <w:pPr>
        <w:ind w:left="2064" w:hanging="100"/>
      </w:pPr>
      <w:rPr>
        <w:rFonts w:hint="default"/>
      </w:rPr>
    </w:lvl>
  </w:abstractNum>
  <w:abstractNum w:abstractNumId="1089" w15:restartNumberingAfterBreak="0">
    <w:nsid w:val="453964A7"/>
    <w:multiLevelType w:val="hybridMultilevel"/>
    <w:tmpl w:val="2FE84EDE"/>
    <w:lvl w:ilvl="0" w:tplc="01FC7A20">
      <w:numFmt w:val="bullet"/>
      <w:lvlText w:val=""/>
      <w:lvlJc w:val="left"/>
      <w:pPr>
        <w:ind w:left="156" w:hanging="100"/>
      </w:pPr>
      <w:rPr>
        <w:rFonts w:ascii="Symbol" w:eastAsia="Symbol" w:hAnsi="Symbol" w:cs="Symbol" w:hint="default"/>
        <w:color w:val="231F20"/>
        <w:w w:val="100"/>
        <w:sz w:val="14"/>
        <w:szCs w:val="14"/>
      </w:rPr>
    </w:lvl>
    <w:lvl w:ilvl="1" w:tplc="C4489AC0">
      <w:numFmt w:val="bullet"/>
      <w:lvlText w:val="•"/>
      <w:lvlJc w:val="left"/>
      <w:pPr>
        <w:ind w:left="426" w:hanging="100"/>
      </w:pPr>
      <w:rPr>
        <w:rFonts w:hint="default"/>
      </w:rPr>
    </w:lvl>
    <w:lvl w:ilvl="2" w:tplc="65B689F6">
      <w:numFmt w:val="bullet"/>
      <w:lvlText w:val="•"/>
      <w:lvlJc w:val="left"/>
      <w:pPr>
        <w:ind w:left="692" w:hanging="100"/>
      </w:pPr>
      <w:rPr>
        <w:rFonts w:hint="default"/>
      </w:rPr>
    </w:lvl>
    <w:lvl w:ilvl="3" w:tplc="2982D968">
      <w:numFmt w:val="bullet"/>
      <w:lvlText w:val="•"/>
      <w:lvlJc w:val="left"/>
      <w:pPr>
        <w:ind w:left="959" w:hanging="100"/>
      </w:pPr>
      <w:rPr>
        <w:rFonts w:hint="default"/>
      </w:rPr>
    </w:lvl>
    <w:lvl w:ilvl="4" w:tplc="E26C0E9E">
      <w:numFmt w:val="bullet"/>
      <w:lvlText w:val="•"/>
      <w:lvlJc w:val="left"/>
      <w:pPr>
        <w:ind w:left="1225" w:hanging="100"/>
      </w:pPr>
      <w:rPr>
        <w:rFonts w:hint="default"/>
      </w:rPr>
    </w:lvl>
    <w:lvl w:ilvl="5" w:tplc="0DDAA5E4">
      <w:numFmt w:val="bullet"/>
      <w:lvlText w:val="•"/>
      <w:lvlJc w:val="left"/>
      <w:pPr>
        <w:ind w:left="1492" w:hanging="100"/>
      </w:pPr>
      <w:rPr>
        <w:rFonts w:hint="default"/>
      </w:rPr>
    </w:lvl>
    <w:lvl w:ilvl="6" w:tplc="BC1C3864">
      <w:numFmt w:val="bullet"/>
      <w:lvlText w:val="•"/>
      <w:lvlJc w:val="left"/>
      <w:pPr>
        <w:ind w:left="1758" w:hanging="100"/>
      </w:pPr>
      <w:rPr>
        <w:rFonts w:hint="default"/>
      </w:rPr>
    </w:lvl>
    <w:lvl w:ilvl="7" w:tplc="BB68FA7E">
      <w:numFmt w:val="bullet"/>
      <w:lvlText w:val="•"/>
      <w:lvlJc w:val="left"/>
      <w:pPr>
        <w:ind w:left="2024" w:hanging="100"/>
      </w:pPr>
      <w:rPr>
        <w:rFonts w:hint="default"/>
      </w:rPr>
    </w:lvl>
    <w:lvl w:ilvl="8" w:tplc="69C6581A">
      <w:numFmt w:val="bullet"/>
      <w:lvlText w:val="•"/>
      <w:lvlJc w:val="left"/>
      <w:pPr>
        <w:ind w:left="2291" w:hanging="100"/>
      </w:pPr>
      <w:rPr>
        <w:rFonts w:hint="default"/>
      </w:rPr>
    </w:lvl>
  </w:abstractNum>
  <w:abstractNum w:abstractNumId="1090" w15:restartNumberingAfterBreak="0">
    <w:nsid w:val="454E0C14"/>
    <w:multiLevelType w:val="hybridMultilevel"/>
    <w:tmpl w:val="0A90A6EC"/>
    <w:lvl w:ilvl="0" w:tplc="38CC6760">
      <w:numFmt w:val="bullet"/>
      <w:lvlText w:val=""/>
      <w:lvlJc w:val="left"/>
      <w:pPr>
        <w:ind w:left="156" w:hanging="100"/>
      </w:pPr>
      <w:rPr>
        <w:rFonts w:ascii="Symbol" w:eastAsia="Symbol" w:hAnsi="Symbol" w:cs="Symbol" w:hint="default"/>
        <w:color w:val="231F20"/>
        <w:w w:val="100"/>
        <w:sz w:val="14"/>
        <w:szCs w:val="14"/>
      </w:rPr>
    </w:lvl>
    <w:lvl w:ilvl="1" w:tplc="43E2BE58">
      <w:numFmt w:val="bullet"/>
      <w:lvlText w:val="•"/>
      <w:lvlJc w:val="left"/>
      <w:pPr>
        <w:ind w:left="398" w:hanging="100"/>
      </w:pPr>
      <w:rPr>
        <w:rFonts w:hint="default"/>
      </w:rPr>
    </w:lvl>
    <w:lvl w:ilvl="2" w:tplc="F0767BF4">
      <w:numFmt w:val="bullet"/>
      <w:lvlText w:val="•"/>
      <w:lvlJc w:val="left"/>
      <w:pPr>
        <w:ind w:left="636" w:hanging="100"/>
      </w:pPr>
      <w:rPr>
        <w:rFonts w:hint="default"/>
      </w:rPr>
    </w:lvl>
    <w:lvl w:ilvl="3" w:tplc="BEF6848A">
      <w:numFmt w:val="bullet"/>
      <w:lvlText w:val="•"/>
      <w:lvlJc w:val="left"/>
      <w:pPr>
        <w:ind w:left="874" w:hanging="100"/>
      </w:pPr>
      <w:rPr>
        <w:rFonts w:hint="default"/>
      </w:rPr>
    </w:lvl>
    <w:lvl w:ilvl="4" w:tplc="327630E6">
      <w:numFmt w:val="bullet"/>
      <w:lvlText w:val="•"/>
      <w:lvlJc w:val="left"/>
      <w:pPr>
        <w:ind w:left="1112" w:hanging="100"/>
      </w:pPr>
      <w:rPr>
        <w:rFonts w:hint="default"/>
      </w:rPr>
    </w:lvl>
    <w:lvl w:ilvl="5" w:tplc="707A84E2">
      <w:numFmt w:val="bullet"/>
      <w:lvlText w:val="•"/>
      <w:lvlJc w:val="left"/>
      <w:pPr>
        <w:ind w:left="1350" w:hanging="100"/>
      </w:pPr>
      <w:rPr>
        <w:rFonts w:hint="default"/>
      </w:rPr>
    </w:lvl>
    <w:lvl w:ilvl="6" w:tplc="4C98C80C">
      <w:numFmt w:val="bullet"/>
      <w:lvlText w:val="•"/>
      <w:lvlJc w:val="left"/>
      <w:pPr>
        <w:ind w:left="1588" w:hanging="100"/>
      </w:pPr>
      <w:rPr>
        <w:rFonts w:hint="default"/>
      </w:rPr>
    </w:lvl>
    <w:lvl w:ilvl="7" w:tplc="19985072">
      <w:numFmt w:val="bullet"/>
      <w:lvlText w:val="•"/>
      <w:lvlJc w:val="left"/>
      <w:pPr>
        <w:ind w:left="1826" w:hanging="100"/>
      </w:pPr>
      <w:rPr>
        <w:rFonts w:hint="default"/>
      </w:rPr>
    </w:lvl>
    <w:lvl w:ilvl="8" w:tplc="A300E152">
      <w:numFmt w:val="bullet"/>
      <w:lvlText w:val="•"/>
      <w:lvlJc w:val="left"/>
      <w:pPr>
        <w:ind w:left="2064" w:hanging="100"/>
      </w:pPr>
      <w:rPr>
        <w:rFonts w:hint="default"/>
      </w:rPr>
    </w:lvl>
  </w:abstractNum>
  <w:abstractNum w:abstractNumId="1091" w15:restartNumberingAfterBreak="0">
    <w:nsid w:val="45977C29"/>
    <w:multiLevelType w:val="hybridMultilevel"/>
    <w:tmpl w:val="F17EF030"/>
    <w:lvl w:ilvl="0" w:tplc="25B8527C">
      <w:numFmt w:val="bullet"/>
      <w:lvlText w:val=""/>
      <w:lvlJc w:val="left"/>
      <w:pPr>
        <w:ind w:left="156" w:hanging="100"/>
      </w:pPr>
      <w:rPr>
        <w:rFonts w:ascii="Symbol" w:eastAsia="Symbol" w:hAnsi="Symbol" w:cs="Symbol" w:hint="default"/>
        <w:color w:val="231F20"/>
        <w:w w:val="100"/>
        <w:sz w:val="14"/>
        <w:szCs w:val="14"/>
      </w:rPr>
    </w:lvl>
    <w:lvl w:ilvl="1" w:tplc="C8B8EBCA">
      <w:numFmt w:val="bullet"/>
      <w:lvlText w:val="•"/>
      <w:lvlJc w:val="left"/>
      <w:pPr>
        <w:ind w:left="273" w:hanging="100"/>
      </w:pPr>
      <w:rPr>
        <w:rFonts w:hint="default"/>
      </w:rPr>
    </w:lvl>
    <w:lvl w:ilvl="2" w:tplc="5B5061F4">
      <w:numFmt w:val="bullet"/>
      <w:lvlText w:val="•"/>
      <w:lvlJc w:val="left"/>
      <w:pPr>
        <w:ind w:left="386" w:hanging="100"/>
      </w:pPr>
      <w:rPr>
        <w:rFonts w:hint="default"/>
      </w:rPr>
    </w:lvl>
    <w:lvl w:ilvl="3" w:tplc="58E488AE">
      <w:numFmt w:val="bullet"/>
      <w:lvlText w:val="•"/>
      <w:lvlJc w:val="left"/>
      <w:pPr>
        <w:ind w:left="500" w:hanging="100"/>
      </w:pPr>
      <w:rPr>
        <w:rFonts w:hint="default"/>
      </w:rPr>
    </w:lvl>
    <w:lvl w:ilvl="4" w:tplc="DACA056E">
      <w:numFmt w:val="bullet"/>
      <w:lvlText w:val="•"/>
      <w:lvlJc w:val="left"/>
      <w:pPr>
        <w:ind w:left="613" w:hanging="100"/>
      </w:pPr>
      <w:rPr>
        <w:rFonts w:hint="default"/>
      </w:rPr>
    </w:lvl>
    <w:lvl w:ilvl="5" w:tplc="B8C87044">
      <w:numFmt w:val="bullet"/>
      <w:lvlText w:val="•"/>
      <w:lvlJc w:val="left"/>
      <w:pPr>
        <w:ind w:left="727" w:hanging="100"/>
      </w:pPr>
      <w:rPr>
        <w:rFonts w:hint="default"/>
      </w:rPr>
    </w:lvl>
    <w:lvl w:ilvl="6" w:tplc="7A322E8C">
      <w:numFmt w:val="bullet"/>
      <w:lvlText w:val="•"/>
      <w:lvlJc w:val="left"/>
      <w:pPr>
        <w:ind w:left="840" w:hanging="100"/>
      </w:pPr>
      <w:rPr>
        <w:rFonts w:hint="default"/>
      </w:rPr>
    </w:lvl>
    <w:lvl w:ilvl="7" w:tplc="31525CDC">
      <w:numFmt w:val="bullet"/>
      <w:lvlText w:val="•"/>
      <w:lvlJc w:val="left"/>
      <w:pPr>
        <w:ind w:left="953" w:hanging="100"/>
      </w:pPr>
      <w:rPr>
        <w:rFonts w:hint="default"/>
      </w:rPr>
    </w:lvl>
    <w:lvl w:ilvl="8" w:tplc="01FC83E4">
      <w:numFmt w:val="bullet"/>
      <w:lvlText w:val="•"/>
      <w:lvlJc w:val="left"/>
      <w:pPr>
        <w:ind w:left="1067" w:hanging="100"/>
      </w:pPr>
      <w:rPr>
        <w:rFonts w:hint="default"/>
      </w:rPr>
    </w:lvl>
  </w:abstractNum>
  <w:abstractNum w:abstractNumId="1092" w15:restartNumberingAfterBreak="0">
    <w:nsid w:val="459D5F7A"/>
    <w:multiLevelType w:val="hybridMultilevel"/>
    <w:tmpl w:val="32CAD400"/>
    <w:lvl w:ilvl="0" w:tplc="BFA0F5A6">
      <w:numFmt w:val="bullet"/>
      <w:lvlText w:val=""/>
      <w:lvlJc w:val="left"/>
      <w:pPr>
        <w:ind w:left="156" w:hanging="100"/>
      </w:pPr>
      <w:rPr>
        <w:rFonts w:ascii="Symbol" w:eastAsia="Symbol" w:hAnsi="Symbol" w:cs="Symbol" w:hint="default"/>
        <w:color w:val="231F20"/>
        <w:w w:val="100"/>
        <w:sz w:val="14"/>
        <w:szCs w:val="14"/>
      </w:rPr>
    </w:lvl>
    <w:lvl w:ilvl="1" w:tplc="7A326A1C">
      <w:numFmt w:val="bullet"/>
      <w:lvlText w:val="•"/>
      <w:lvlJc w:val="left"/>
      <w:pPr>
        <w:ind w:left="398" w:hanging="100"/>
      </w:pPr>
      <w:rPr>
        <w:rFonts w:hint="default"/>
      </w:rPr>
    </w:lvl>
    <w:lvl w:ilvl="2" w:tplc="263C2B9E">
      <w:numFmt w:val="bullet"/>
      <w:lvlText w:val="•"/>
      <w:lvlJc w:val="left"/>
      <w:pPr>
        <w:ind w:left="636" w:hanging="100"/>
      </w:pPr>
      <w:rPr>
        <w:rFonts w:hint="default"/>
      </w:rPr>
    </w:lvl>
    <w:lvl w:ilvl="3" w:tplc="BEBCEA42">
      <w:numFmt w:val="bullet"/>
      <w:lvlText w:val="•"/>
      <w:lvlJc w:val="left"/>
      <w:pPr>
        <w:ind w:left="874" w:hanging="100"/>
      </w:pPr>
      <w:rPr>
        <w:rFonts w:hint="default"/>
      </w:rPr>
    </w:lvl>
    <w:lvl w:ilvl="4" w:tplc="73BC8160">
      <w:numFmt w:val="bullet"/>
      <w:lvlText w:val="•"/>
      <w:lvlJc w:val="left"/>
      <w:pPr>
        <w:ind w:left="1112" w:hanging="100"/>
      </w:pPr>
      <w:rPr>
        <w:rFonts w:hint="default"/>
      </w:rPr>
    </w:lvl>
    <w:lvl w:ilvl="5" w:tplc="A3624F30">
      <w:numFmt w:val="bullet"/>
      <w:lvlText w:val="•"/>
      <w:lvlJc w:val="left"/>
      <w:pPr>
        <w:ind w:left="1350" w:hanging="100"/>
      </w:pPr>
      <w:rPr>
        <w:rFonts w:hint="default"/>
      </w:rPr>
    </w:lvl>
    <w:lvl w:ilvl="6" w:tplc="7042F47A">
      <w:numFmt w:val="bullet"/>
      <w:lvlText w:val="•"/>
      <w:lvlJc w:val="left"/>
      <w:pPr>
        <w:ind w:left="1588" w:hanging="100"/>
      </w:pPr>
      <w:rPr>
        <w:rFonts w:hint="default"/>
      </w:rPr>
    </w:lvl>
    <w:lvl w:ilvl="7" w:tplc="B534285A">
      <w:numFmt w:val="bullet"/>
      <w:lvlText w:val="•"/>
      <w:lvlJc w:val="left"/>
      <w:pPr>
        <w:ind w:left="1826" w:hanging="100"/>
      </w:pPr>
      <w:rPr>
        <w:rFonts w:hint="default"/>
      </w:rPr>
    </w:lvl>
    <w:lvl w:ilvl="8" w:tplc="82941182">
      <w:numFmt w:val="bullet"/>
      <w:lvlText w:val="•"/>
      <w:lvlJc w:val="left"/>
      <w:pPr>
        <w:ind w:left="2064" w:hanging="100"/>
      </w:pPr>
      <w:rPr>
        <w:rFonts w:hint="default"/>
      </w:rPr>
    </w:lvl>
  </w:abstractNum>
  <w:abstractNum w:abstractNumId="1093" w15:restartNumberingAfterBreak="0">
    <w:nsid w:val="45AB68A2"/>
    <w:multiLevelType w:val="hybridMultilevel"/>
    <w:tmpl w:val="C8AC0E9A"/>
    <w:lvl w:ilvl="0" w:tplc="94E6DE64">
      <w:numFmt w:val="bullet"/>
      <w:lvlText w:val=""/>
      <w:lvlJc w:val="left"/>
      <w:pPr>
        <w:ind w:left="156" w:hanging="100"/>
      </w:pPr>
      <w:rPr>
        <w:rFonts w:ascii="Symbol" w:eastAsia="Symbol" w:hAnsi="Symbol" w:cs="Symbol" w:hint="default"/>
        <w:color w:val="231F20"/>
        <w:w w:val="100"/>
        <w:sz w:val="14"/>
        <w:szCs w:val="14"/>
      </w:rPr>
    </w:lvl>
    <w:lvl w:ilvl="1" w:tplc="333854AA">
      <w:numFmt w:val="bullet"/>
      <w:lvlText w:val="•"/>
      <w:lvlJc w:val="left"/>
      <w:pPr>
        <w:ind w:left="301" w:hanging="100"/>
      </w:pPr>
      <w:rPr>
        <w:rFonts w:hint="default"/>
      </w:rPr>
    </w:lvl>
    <w:lvl w:ilvl="2" w:tplc="70D28DA8">
      <w:numFmt w:val="bullet"/>
      <w:lvlText w:val="•"/>
      <w:lvlJc w:val="left"/>
      <w:pPr>
        <w:ind w:left="443" w:hanging="100"/>
      </w:pPr>
      <w:rPr>
        <w:rFonts w:hint="default"/>
      </w:rPr>
    </w:lvl>
    <w:lvl w:ilvl="3" w:tplc="FAB83190">
      <w:numFmt w:val="bullet"/>
      <w:lvlText w:val="•"/>
      <w:lvlJc w:val="left"/>
      <w:pPr>
        <w:ind w:left="585" w:hanging="100"/>
      </w:pPr>
      <w:rPr>
        <w:rFonts w:hint="default"/>
      </w:rPr>
    </w:lvl>
    <w:lvl w:ilvl="4" w:tplc="E22898E4">
      <w:numFmt w:val="bullet"/>
      <w:lvlText w:val="•"/>
      <w:lvlJc w:val="left"/>
      <w:pPr>
        <w:ind w:left="726" w:hanging="100"/>
      </w:pPr>
      <w:rPr>
        <w:rFonts w:hint="default"/>
      </w:rPr>
    </w:lvl>
    <w:lvl w:ilvl="5" w:tplc="00201B28">
      <w:numFmt w:val="bullet"/>
      <w:lvlText w:val="•"/>
      <w:lvlJc w:val="left"/>
      <w:pPr>
        <w:ind w:left="868" w:hanging="100"/>
      </w:pPr>
      <w:rPr>
        <w:rFonts w:hint="default"/>
      </w:rPr>
    </w:lvl>
    <w:lvl w:ilvl="6" w:tplc="46442B0A">
      <w:numFmt w:val="bullet"/>
      <w:lvlText w:val="•"/>
      <w:lvlJc w:val="left"/>
      <w:pPr>
        <w:ind w:left="1010" w:hanging="100"/>
      </w:pPr>
      <w:rPr>
        <w:rFonts w:hint="default"/>
      </w:rPr>
    </w:lvl>
    <w:lvl w:ilvl="7" w:tplc="9E8CF798">
      <w:numFmt w:val="bullet"/>
      <w:lvlText w:val="•"/>
      <w:lvlJc w:val="left"/>
      <w:pPr>
        <w:ind w:left="1151" w:hanging="100"/>
      </w:pPr>
      <w:rPr>
        <w:rFonts w:hint="default"/>
      </w:rPr>
    </w:lvl>
    <w:lvl w:ilvl="8" w:tplc="33DA8E7C">
      <w:numFmt w:val="bullet"/>
      <w:lvlText w:val="•"/>
      <w:lvlJc w:val="left"/>
      <w:pPr>
        <w:ind w:left="1293" w:hanging="100"/>
      </w:pPr>
      <w:rPr>
        <w:rFonts w:hint="default"/>
      </w:rPr>
    </w:lvl>
  </w:abstractNum>
  <w:abstractNum w:abstractNumId="1094" w15:restartNumberingAfterBreak="0">
    <w:nsid w:val="45CE3E10"/>
    <w:multiLevelType w:val="hybridMultilevel"/>
    <w:tmpl w:val="3A9A92CC"/>
    <w:lvl w:ilvl="0" w:tplc="0CD48886">
      <w:numFmt w:val="bullet"/>
      <w:lvlText w:val=""/>
      <w:lvlJc w:val="left"/>
      <w:pPr>
        <w:ind w:left="156" w:hanging="100"/>
      </w:pPr>
      <w:rPr>
        <w:rFonts w:ascii="Symbol" w:eastAsia="Symbol" w:hAnsi="Symbol" w:cs="Symbol" w:hint="default"/>
        <w:color w:val="231F20"/>
        <w:w w:val="100"/>
        <w:sz w:val="14"/>
        <w:szCs w:val="14"/>
      </w:rPr>
    </w:lvl>
    <w:lvl w:ilvl="1" w:tplc="E176015A">
      <w:numFmt w:val="bullet"/>
      <w:lvlText w:val="•"/>
      <w:lvlJc w:val="left"/>
      <w:pPr>
        <w:ind w:left="301" w:hanging="100"/>
      </w:pPr>
      <w:rPr>
        <w:rFonts w:hint="default"/>
      </w:rPr>
    </w:lvl>
    <w:lvl w:ilvl="2" w:tplc="414A0C60">
      <w:numFmt w:val="bullet"/>
      <w:lvlText w:val="•"/>
      <w:lvlJc w:val="left"/>
      <w:pPr>
        <w:ind w:left="443" w:hanging="100"/>
      </w:pPr>
      <w:rPr>
        <w:rFonts w:hint="default"/>
      </w:rPr>
    </w:lvl>
    <w:lvl w:ilvl="3" w:tplc="012A1250">
      <w:numFmt w:val="bullet"/>
      <w:lvlText w:val="•"/>
      <w:lvlJc w:val="left"/>
      <w:pPr>
        <w:ind w:left="585" w:hanging="100"/>
      </w:pPr>
      <w:rPr>
        <w:rFonts w:hint="default"/>
      </w:rPr>
    </w:lvl>
    <w:lvl w:ilvl="4" w:tplc="DFFC418C">
      <w:numFmt w:val="bullet"/>
      <w:lvlText w:val="•"/>
      <w:lvlJc w:val="left"/>
      <w:pPr>
        <w:ind w:left="726" w:hanging="100"/>
      </w:pPr>
      <w:rPr>
        <w:rFonts w:hint="default"/>
      </w:rPr>
    </w:lvl>
    <w:lvl w:ilvl="5" w:tplc="26E459E2">
      <w:numFmt w:val="bullet"/>
      <w:lvlText w:val="•"/>
      <w:lvlJc w:val="left"/>
      <w:pPr>
        <w:ind w:left="868" w:hanging="100"/>
      </w:pPr>
      <w:rPr>
        <w:rFonts w:hint="default"/>
      </w:rPr>
    </w:lvl>
    <w:lvl w:ilvl="6" w:tplc="9A726C24">
      <w:numFmt w:val="bullet"/>
      <w:lvlText w:val="•"/>
      <w:lvlJc w:val="left"/>
      <w:pPr>
        <w:ind w:left="1010" w:hanging="100"/>
      </w:pPr>
      <w:rPr>
        <w:rFonts w:hint="default"/>
      </w:rPr>
    </w:lvl>
    <w:lvl w:ilvl="7" w:tplc="3FEE07F2">
      <w:numFmt w:val="bullet"/>
      <w:lvlText w:val="•"/>
      <w:lvlJc w:val="left"/>
      <w:pPr>
        <w:ind w:left="1151" w:hanging="100"/>
      </w:pPr>
      <w:rPr>
        <w:rFonts w:hint="default"/>
      </w:rPr>
    </w:lvl>
    <w:lvl w:ilvl="8" w:tplc="25F4535A">
      <w:numFmt w:val="bullet"/>
      <w:lvlText w:val="•"/>
      <w:lvlJc w:val="left"/>
      <w:pPr>
        <w:ind w:left="1293" w:hanging="100"/>
      </w:pPr>
      <w:rPr>
        <w:rFonts w:hint="default"/>
      </w:rPr>
    </w:lvl>
  </w:abstractNum>
  <w:abstractNum w:abstractNumId="1095" w15:restartNumberingAfterBreak="0">
    <w:nsid w:val="45D65A68"/>
    <w:multiLevelType w:val="hybridMultilevel"/>
    <w:tmpl w:val="42922544"/>
    <w:lvl w:ilvl="0" w:tplc="FA16DE62">
      <w:numFmt w:val="bullet"/>
      <w:lvlText w:val=""/>
      <w:lvlJc w:val="left"/>
      <w:pPr>
        <w:ind w:left="156" w:hanging="100"/>
      </w:pPr>
      <w:rPr>
        <w:rFonts w:ascii="Symbol" w:eastAsia="Symbol" w:hAnsi="Symbol" w:cs="Symbol" w:hint="default"/>
        <w:color w:val="231F20"/>
        <w:w w:val="100"/>
        <w:sz w:val="14"/>
        <w:szCs w:val="14"/>
      </w:rPr>
    </w:lvl>
    <w:lvl w:ilvl="1" w:tplc="DEE48EF8">
      <w:numFmt w:val="bullet"/>
      <w:lvlText w:val="•"/>
      <w:lvlJc w:val="left"/>
      <w:pPr>
        <w:ind w:left="301" w:hanging="100"/>
      </w:pPr>
      <w:rPr>
        <w:rFonts w:hint="default"/>
      </w:rPr>
    </w:lvl>
    <w:lvl w:ilvl="2" w:tplc="4EC8A0AC">
      <w:numFmt w:val="bullet"/>
      <w:lvlText w:val="•"/>
      <w:lvlJc w:val="left"/>
      <w:pPr>
        <w:ind w:left="443" w:hanging="100"/>
      </w:pPr>
      <w:rPr>
        <w:rFonts w:hint="default"/>
      </w:rPr>
    </w:lvl>
    <w:lvl w:ilvl="3" w:tplc="63785B7A">
      <w:numFmt w:val="bullet"/>
      <w:lvlText w:val="•"/>
      <w:lvlJc w:val="left"/>
      <w:pPr>
        <w:ind w:left="585" w:hanging="100"/>
      </w:pPr>
      <w:rPr>
        <w:rFonts w:hint="default"/>
      </w:rPr>
    </w:lvl>
    <w:lvl w:ilvl="4" w:tplc="EE749B0C">
      <w:numFmt w:val="bullet"/>
      <w:lvlText w:val="•"/>
      <w:lvlJc w:val="left"/>
      <w:pPr>
        <w:ind w:left="726" w:hanging="100"/>
      </w:pPr>
      <w:rPr>
        <w:rFonts w:hint="default"/>
      </w:rPr>
    </w:lvl>
    <w:lvl w:ilvl="5" w:tplc="A4945826">
      <w:numFmt w:val="bullet"/>
      <w:lvlText w:val="•"/>
      <w:lvlJc w:val="left"/>
      <w:pPr>
        <w:ind w:left="868" w:hanging="100"/>
      </w:pPr>
      <w:rPr>
        <w:rFonts w:hint="default"/>
      </w:rPr>
    </w:lvl>
    <w:lvl w:ilvl="6" w:tplc="0C9E448C">
      <w:numFmt w:val="bullet"/>
      <w:lvlText w:val="•"/>
      <w:lvlJc w:val="left"/>
      <w:pPr>
        <w:ind w:left="1010" w:hanging="100"/>
      </w:pPr>
      <w:rPr>
        <w:rFonts w:hint="default"/>
      </w:rPr>
    </w:lvl>
    <w:lvl w:ilvl="7" w:tplc="01F8D774">
      <w:numFmt w:val="bullet"/>
      <w:lvlText w:val="•"/>
      <w:lvlJc w:val="left"/>
      <w:pPr>
        <w:ind w:left="1151" w:hanging="100"/>
      </w:pPr>
      <w:rPr>
        <w:rFonts w:hint="default"/>
      </w:rPr>
    </w:lvl>
    <w:lvl w:ilvl="8" w:tplc="F866EC72">
      <w:numFmt w:val="bullet"/>
      <w:lvlText w:val="•"/>
      <w:lvlJc w:val="left"/>
      <w:pPr>
        <w:ind w:left="1293" w:hanging="100"/>
      </w:pPr>
      <w:rPr>
        <w:rFonts w:hint="default"/>
      </w:rPr>
    </w:lvl>
  </w:abstractNum>
  <w:abstractNum w:abstractNumId="1096" w15:restartNumberingAfterBreak="0">
    <w:nsid w:val="45E80AED"/>
    <w:multiLevelType w:val="hybridMultilevel"/>
    <w:tmpl w:val="D5302274"/>
    <w:lvl w:ilvl="0" w:tplc="114E218C">
      <w:numFmt w:val="bullet"/>
      <w:lvlText w:val=""/>
      <w:lvlJc w:val="left"/>
      <w:pPr>
        <w:ind w:left="156" w:hanging="100"/>
      </w:pPr>
      <w:rPr>
        <w:rFonts w:ascii="Symbol" w:eastAsia="Symbol" w:hAnsi="Symbol" w:cs="Symbol" w:hint="default"/>
        <w:color w:val="231F20"/>
        <w:w w:val="100"/>
        <w:sz w:val="14"/>
        <w:szCs w:val="14"/>
      </w:rPr>
    </w:lvl>
    <w:lvl w:ilvl="1" w:tplc="83584D34">
      <w:numFmt w:val="bullet"/>
      <w:lvlText w:val="•"/>
      <w:lvlJc w:val="left"/>
      <w:pPr>
        <w:ind w:left="301" w:hanging="100"/>
      </w:pPr>
      <w:rPr>
        <w:rFonts w:hint="default"/>
      </w:rPr>
    </w:lvl>
    <w:lvl w:ilvl="2" w:tplc="22D6C14C">
      <w:numFmt w:val="bullet"/>
      <w:lvlText w:val="•"/>
      <w:lvlJc w:val="left"/>
      <w:pPr>
        <w:ind w:left="443" w:hanging="100"/>
      </w:pPr>
      <w:rPr>
        <w:rFonts w:hint="default"/>
      </w:rPr>
    </w:lvl>
    <w:lvl w:ilvl="3" w:tplc="18A84582">
      <w:numFmt w:val="bullet"/>
      <w:lvlText w:val="•"/>
      <w:lvlJc w:val="left"/>
      <w:pPr>
        <w:ind w:left="585" w:hanging="100"/>
      </w:pPr>
      <w:rPr>
        <w:rFonts w:hint="default"/>
      </w:rPr>
    </w:lvl>
    <w:lvl w:ilvl="4" w:tplc="E73EF0A0">
      <w:numFmt w:val="bullet"/>
      <w:lvlText w:val="•"/>
      <w:lvlJc w:val="left"/>
      <w:pPr>
        <w:ind w:left="726" w:hanging="100"/>
      </w:pPr>
      <w:rPr>
        <w:rFonts w:hint="default"/>
      </w:rPr>
    </w:lvl>
    <w:lvl w:ilvl="5" w:tplc="E0300BD6">
      <w:numFmt w:val="bullet"/>
      <w:lvlText w:val="•"/>
      <w:lvlJc w:val="left"/>
      <w:pPr>
        <w:ind w:left="868" w:hanging="100"/>
      </w:pPr>
      <w:rPr>
        <w:rFonts w:hint="default"/>
      </w:rPr>
    </w:lvl>
    <w:lvl w:ilvl="6" w:tplc="93849D9C">
      <w:numFmt w:val="bullet"/>
      <w:lvlText w:val="•"/>
      <w:lvlJc w:val="left"/>
      <w:pPr>
        <w:ind w:left="1010" w:hanging="100"/>
      </w:pPr>
      <w:rPr>
        <w:rFonts w:hint="default"/>
      </w:rPr>
    </w:lvl>
    <w:lvl w:ilvl="7" w:tplc="0CE86D9A">
      <w:numFmt w:val="bullet"/>
      <w:lvlText w:val="•"/>
      <w:lvlJc w:val="left"/>
      <w:pPr>
        <w:ind w:left="1151" w:hanging="100"/>
      </w:pPr>
      <w:rPr>
        <w:rFonts w:hint="default"/>
      </w:rPr>
    </w:lvl>
    <w:lvl w:ilvl="8" w:tplc="4F5CF70A">
      <w:numFmt w:val="bullet"/>
      <w:lvlText w:val="•"/>
      <w:lvlJc w:val="left"/>
      <w:pPr>
        <w:ind w:left="1293" w:hanging="100"/>
      </w:pPr>
      <w:rPr>
        <w:rFonts w:hint="default"/>
      </w:rPr>
    </w:lvl>
  </w:abstractNum>
  <w:abstractNum w:abstractNumId="1097" w15:restartNumberingAfterBreak="0">
    <w:nsid w:val="460023CA"/>
    <w:multiLevelType w:val="hybridMultilevel"/>
    <w:tmpl w:val="7F880618"/>
    <w:lvl w:ilvl="0" w:tplc="373095F2">
      <w:numFmt w:val="bullet"/>
      <w:lvlText w:val=""/>
      <w:lvlJc w:val="left"/>
      <w:pPr>
        <w:ind w:left="156" w:hanging="100"/>
      </w:pPr>
      <w:rPr>
        <w:rFonts w:ascii="Symbol" w:eastAsia="Symbol" w:hAnsi="Symbol" w:cs="Symbol" w:hint="default"/>
        <w:color w:val="231F20"/>
        <w:w w:val="100"/>
        <w:sz w:val="14"/>
        <w:szCs w:val="14"/>
      </w:rPr>
    </w:lvl>
    <w:lvl w:ilvl="1" w:tplc="EB36F778">
      <w:numFmt w:val="bullet"/>
      <w:lvlText w:val="•"/>
      <w:lvlJc w:val="left"/>
      <w:pPr>
        <w:ind w:left="426" w:hanging="100"/>
      </w:pPr>
      <w:rPr>
        <w:rFonts w:hint="default"/>
      </w:rPr>
    </w:lvl>
    <w:lvl w:ilvl="2" w:tplc="5D086C88">
      <w:numFmt w:val="bullet"/>
      <w:lvlText w:val="•"/>
      <w:lvlJc w:val="left"/>
      <w:pPr>
        <w:ind w:left="692" w:hanging="100"/>
      </w:pPr>
      <w:rPr>
        <w:rFonts w:hint="default"/>
      </w:rPr>
    </w:lvl>
    <w:lvl w:ilvl="3" w:tplc="09F8EE96">
      <w:numFmt w:val="bullet"/>
      <w:lvlText w:val="•"/>
      <w:lvlJc w:val="left"/>
      <w:pPr>
        <w:ind w:left="959" w:hanging="100"/>
      </w:pPr>
      <w:rPr>
        <w:rFonts w:hint="default"/>
      </w:rPr>
    </w:lvl>
    <w:lvl w:ilvl="4" w:tplc="A6F81F58">
      <w:numFmt w:val="bullet"/>
      <w:lvlText w:val="•"/>
      <w:lvlJc w:val="left"/>
      <w:pPr>
        <w:ind w:left="1225" w:hanging="100"/>
      </w:pPr>
      <w:rPr>
        <w:rFonts w:hint="default"/>
      </w:rPr>
    </w:lvl>
    <w:lvl w:ilvl="5" w:tplc="ED264CF2">
      <w:numFmt w:val="bullet"/>
      <w:lvlText w:val="•"/>
      <w:lvlJc w:val="left"/>
      <w:pPr>
        <w:ind w:left="1492" w:hanging="100"/>
      </w:pPr>
      <w:rPr>
        <w:rFonts w:hint="default"/>
      </w:rPr>
    </w:lvl>
    <w:lvl w:ilvl="6" w:tplc="4C082E18">
      <w:numFmt w:val="bullet"/>
      <w:lvlText w:val="•"/>
      <w:lvlJc w:val="left"/>
      <w:pPr>
        <w:ind w:left="1758" w:hanging="100"/>
      </w:pPr>
      <w:rPr>
        <w:rFonts w:hint="default"/>
      </w:rPr>
    </w:lvl>
    <w:lvl w:ilvl="7" w:tplc="CA6400DC">
      <w:numFmt w:val="bullet"/>
      <w:lvlText w:val="•"/>
      <w:lvlJc w:val="left"/>
      <w:pPr>
        <w:ind w:left="2024" w:hanging="100"/>
      </w:pPr>
      <w:rPr>
        <w:rFonts w:hint="default"/>
      </w:rPr>
    </w:lvl>
    <w:lvl w:ilvl="8" w:tplc="629A07CE">
      <w:numFmt w:val="bullet"/>
      <w:lvlText w:val="•"/>
      <w:lvlJc w:val="left"/>
      <w:pPr>
        <w:ind w:left="2291" w:hanging="100"/>
      </w:pPr>
      <w:rPr>
        <w:rFonts w:hint="default"/>
      </w:rPr>
    </w:lvl>
  </w:abstractNum>
  <w:abstractNum w:abstractNumId="1098" w15:restartNumberingAfterBreak="0">
    <w:nsid w:val="46197592"/>
    <w:multiLevelType w:val="hybridMultilevel"/>
    <w:tmpl w:val="89EEE6E2"/>
    <w:lvl w:ilvl="0" w:tplc="24F8A416">
      <w:numFmt w:val="bullet"/>
      <w:lvlText w:val=""/>
      <w:lvlJc w:val="left"/>
      <w:pPr>
        <w:ind w:left="156" w:hanging="100"/>
      </w:pPr>
      <w:rPr>
        <w:rFonts w:ascii="Symbol" w:eastAsia="Symbol" w:hAnsi="Symbol" w:cs="Symbol" w:hint="default"/>
        <w:color w:val="231F20"/>
        <w:w w:val="100"/>
        <w:sz w:val="14"/>
        <w:szCs w:val="14"/>
      </w:rPr>
    </w:lvl>
    <w:lvl w:ilvl="1" w:tplc="8570B032">
      <w:numFmt w:val="bullet"/>
      <w:lvlText w:val="•"/>
      <w:lvlJc w:val="left"/>
      <w:pPr>
        <w:ind w:left="301" w:hanging="100"/>
      </w:pPr>
      <w:rPr>
        <w:rFonts w:hint="default"/>
      </w:rPr>
    </w:lvl>
    <w:lvl w:ilvl="2" w:tplc="2572C9EA">
      <w:numFmt w:val="bullet"/>
      <w:lvlText w:val="•"/>
      <w:lvlJc w:val="left"/>
      <w:pPr>
        <w:ind w:left="443" w:hanging="100"/>
      </w:pPr>
      <w:rPr>
        <w:rFonts w:hint="default"/>
      </w:rPr>
    </w:lvl>
    <w:lvl w:ilvl="3" w:tplc="8D9C20E4">
      <w:numFmt w:val="bullet"/>
      <w:lvlText w:val="•"/>
      <w:lvlJc w:val="left"/>
      <w:pPr>
        <w:ind w:left="585" w:hanging="100"/>
      </w:pPr>
      <w:rPr>
        <w:rFonts w:hint="default"/>
      </w:rPr>
    </w:lvl>
    <w:lvl w:ilvl="4" w:tplc="3432F454">
      <w:numFmt w:val="bullet"/>
      <w:lvlText w:val="•"/>
      <w:lvlJc w:val="left"/>
      <w:pPr>
        <w:ind w:left="726" w:hanging="100"/>
      </w:pPr>
      <w:rPr>
        <w:rFonts w:hint="default"/>
      </w:rPr>
    </w:lvl>
    <w:lvl w:ilvl="5" w:tplc="051A1DF0">
      <w:numFmt w:val="bullet"/>
      <w:lvlText w:val="•"/>
      <w:lvlJc w:val="left"/>
      <w:pPr>
        <w:ind w:left="868" w:hanging="100"/>
      </w:pPr>
      <w:rPr>
        <w:rFonts w:hint="default"/>
      </w:rPr>
    </w:lvl>
    <w:lvl w:ilvl="6" w:tplc="D1EE2D5A">
      <w:numFmt w:val="bullet"/>
      <w:lvlText w:val="•"/>
      <w:lvlJc w:val="left"/>
      <w:pPr>
        <w:ind w:left="1010" w:hanging="100"/>
      </w:pPr>
      <w:rPr>
        <w:rFonts w:hint="default"/>
      </w:rPr>
    </w:lvl>
    <w:lvl w:ilvl="7" w:tplc="39F00A48">
      <w:numFmt w:val="bullet"/>
      <w:lvlText w:val="•"/>
      <w:lvlJc w:val="left"/>
      <w:pPr>
        <w:ind w:left="1151" w:hanging="100"/>
      </w:pPr>
      <w:rPr>
        <w:rFonts w:hint="default"/>
      </w:rPr>
    </w:lvl>
    <w:lvl w:ilvl="8" w:tplc="C7720BFC">
      <w:numFmt w:val="bullet"/>
      <w:lvlText w:val="•"/>
      <w:lvlJc w:val="left"/>
      <w:pPr>
        <w:ind w:left="1293" w:hanging="100"/>
      </w:pPr>
      <w:rPr>
        <w:rFonts w:hint="default"/>
      </w:rPr>
    </w:lvl>
  </w:abstractNum>
  <w:abstractNum w:abstractNumId="1099" w15:restartNumberingAfterBreak="0">
    <w:nsid w:val="462663B9"/>
    <w:multiLevelType w:val="hybridMultilevel"/>
    <w:tmpl w:val="EFDC568E"/>
    <w:lvl w:ilvl="0" w:tplc="183AE8D0">
      <w:numFmt w:val="bullet"/>
      <w:lvlText w:val=""/>
      <w:lvlJc w:val="left"/>
      <w:pPr>
        <w:ind w:left="157" w:hanging="100"/>
      </w:pPr>
      <w:rPr>
        <w:rFonts w:ascii="Symbol" w:eastAsia="Symbol" w:hAnsi="Symbol" w:cs="Symbol" w:hint="default"/>
        <w:color w:val="231F20"/>
        <w:w w:val="100"/>
        <w:sz w:val="14"/>
        <w:szCs w:val="14"/>
      </w:rPr>
    </w:lvl>
    <w:lvl w:ilvl="1" w:tplc="F9920F34">
      <w:numFmt w:val="bullet"/>
      <w:lvlText w:val="•"/>
      <w:lvlJc w:val="left"/>
      <w:pPr>
        <w:ind w:left="369" w:hanging="100"/>
      </w:pPr>
      <w:rPr>
        <w:rFonts w:hint="default"/>
      </w:rPr>
    </w:lvl>
    <w:lvl w:ilvl="2" w:tplc="95569F44">
      <w:numFmt w:val="bullet"/>
      <w:lvlText w:val="•"/>
      <w:lvlJc w:val="left"/>
      <w:pPr>
        <w:ind w:left="579" w:hanging="100"/>
      </w:pPr>
      <w:rPr>
        <w:rFonts w:hint="default"/>
      </w:rPr>
    </w:lvl>
    <w:lvl w:ilvl="3" w:tplc="79EE3798">
      <w:numFmt w:val="bullet"/>
      <w:lvlText w:val="•"/>
      <w:lvlJc w:val="left"/>
      <w:pPr>
        <w:ind w:left="789" w:hanging="100"/>
      </w:pPr>
      <w:rPr>
        <w:rFonts w:hint="default"/>
      </w:rPr>
    </w:lvl>
    <w:lvl w:ilvl="4" w:tplc="26526DA2">
      <w:numFmt w:val="bullet"/>
      <w:lvlText w:val="•"/>
      <w:lvlJc w:val="left"/>
      <w:pPr>
        <w:ind w:left="998" w:hanging="100"/>
      </w:pPr>
      <w:rPr>
        <w:rFonts w:hint="default"/>
      </w:rPr>
    </w:lvl>
    <w:lvl w:ilvl="5" w:tplc="61C64A3E">
      <w:numFmt w:val="bullet"/>
      <w:lvlText w:val="•"/>
      <w:lvlJc w:val="left"/>
      <w:pPr>
        <w:ind w:left="1208" w:hanging="100"/>
      </w:pPr>
      <w:rPr>
        <w:rFonts w:hint="default"/>
      </w:rPr>
    </w:lvl>
    <w:lvl w:ilvl="6" w:tplc="7DF46110">
      <w:numFmt w:val="bullet"/>
      <w:lvlText w:val="•"/>
      <w:lvlJc w:val="left"/>
      <w:pPr>
        <w:ind w:left="1418" w:hanging="100"/>
      </w:pPr>
      <w:rPr>
        <w:rFonts w:hint="default"/>
      </w:rPr>
    </w:lvl>
    <w:lvl w:ilvl="7" w:tplc="36A274CC">
      <w:numFmt w:val="bullet"/>
      <w:lvlText w:val="•"/>
      <w:lvlJc w:val="left"/>
      <w:pPr>
        <w:ind w:left="1627" w:hanging="100"/>
      </w:pPr>
      <w:rPr>
        <w:rFonts w:hint="default"/>
      </w:rPr>
    </w:lvl>
    <w:lvl w:ilvl="8" w:tplc="168E95B4">
      <w:numFmt w:val="bullet"/>
      <w:lvlText w:val="•"/>
      <w:lvlJc w:val="left"/>
      <w:pPr>
        <w:ind w:left="1837" w:hanging="100"/>
      </w:pPr>
      <w:rPr>
        <w:rFonts w:hint="default"/>
      </w:rPr>
    </w:lvl>
  </w:abstractNum>
  <w:abstractNum w:abstractNumId="1100" w15:restartNumberingAfterBreak="0">
    <w:nsid w:val="462A081D"/>
    <w:multiLevelType w:val="hybridMultilevel"/>
    <w:tmpl w:val="F8EAB42E"/>
    <w:lvl w:ilvl="0" w:tplc="011E20DA">
      <w:numFmt w:val="bullet"/>
      <w:lvlText w:val=""/>
      <w:lvlJc w:val="left"/>
      <w:pPr>
        <w:ind w:left="156" w:hanging="100"/>
      </w:pPr>
      <w:rPr>
        <w:rFonts w:ascii="Symbol" w:eastAsia="Symbol" w:hAnsi="Symbol" w:cs="Symbol" w:hint="default"/>
        <w:color w:val="231F20"/>
        <w:w w:val="100"/>
        <w:sz w:val="14"/>
        <w:szCs w:val="14"/>
      </w:rPr>
    </w:lvl>
    <w:lvl w:ilvl="1" w:tplc="A03241A2">
      <w:numFmt w:val="bullet"/>
      <w:lvlText w:val="•"/>
      <w:lvlJc w:val="left"/>
      <w:pPr>
        <w:ind w:left="426" w:hanging="100"/>
      </w:pPr>
      <w:rPr>
        <w:rFonts w:hint="default"/>
      </w:rPr>
    </w:lvl>
    <w:lvl w:ilvl="2" w:tplc="4ABEDD64">
      <w:numFmt w:val="bullet"/>
      <w:lvlText w:val="•"/>
      <w:lvlJc w:val="left"/>
      <w:pPr>
        <w:ind w:left="692" w:hanging="100"/>
      </w:pPr>
      <w:rPr>
        <w:rFonts w:hint="default"/>
      </w:rPr>
    </w:lvl>
    <w:lvl w:ilvl="3" w:tplc="D60E8C5E">
      <w:numFmt w:val="bullet"/>
      <w:lvlText w:val="•"/>
      <w:lvlJc w:val="left"/>
      <w:pPr>
        <w:ind w:left="959" w:hanging="100"/>
      </w:pPr>
      <w:rPr>
        <w:rFonts w:hint="default"/>
      </w:rPr>
    </w:lvl>
    <w:lvl w:ilvl="4" w:tplc="7B3077F0">
      <w:numFmt w:val="bullet"/>
      <w:lvlText w:val="•"/>
      <w:lvlJc w:val="left"/>
      <w:pPr>
        <w:ind w:left="1225" w:hanging="100"/>
      </w:pPr>
      <w:rPr>
        <w:rFonts w:hint="default"/>
      </w:rPr>
    </w:lvl>
    <w:lvl w:ilvl="5" w:tplc="A23EC9E6">
      <w:numFmt w:val="bullet"/>
      <w:lvlText w:val="•"/>
      <w:lvlJc w:val="left"/>
      <w:pPr>
        <w:ind w:left="1492" w:hanging="100"/>
      </w:pPr>
      <w:rPr>
        <w:rFonts w:hint="default"/>
      </w:rPr>
    </w:lvl>
    <w:lvl w:ilvl="6" w:tplc="F9B8B3EC">
      <w:numFmt w:val="bullet"/>
      <w:lvlText w:val="•"/>
      <w:lvlJc w:val="left"/>
      <w:pPr>
        <w:ind w:left="1758" w:hanging="100"/>
      </w:pPr>
      <w:rPr>
        <w:rFonts w:hint="default"/>
      </w:rPr>
    </w:lvl>
    <w:lvl w:ilvl="7" w:tplc="FEFA77AA">
      <w:numFmt w:val="bullet"/>
      <w:lvlText w:val="•"/>
      <w:lvlJc w:val="left"/>
      <w:pPr>
        <w:ind w:left="2024" w:hanging="100"/>
      </w:pPr>
      <w:rPr>
        <w:rFonts w:hint="default"/>
      </w:rPr>
    </w:lvl>
    <w:lvl w:ilvl="8" w:tplc="50067ED8">
      <w:numFmt w:val="bullet"/>
      <w:lvlText w:val="•"/>
      <w:lvlJc w:val="left"/>
      <w:pPr>
        <w:ind w:left="2291" w:hanging="100"/>
      </w:pPr>
      <w:rPr>
        <w:rFonts w:hint="default"/>
      </w:rPr>
    </w:lvl>
  </w:abstractNum>
  <w:abstractNum w:abstractNumId="1101" w15:restartNumberingAfterBreak="0">
    <w:nsid w:val="462D64E3"/>
    <w:multiLevelType w:val="hybridMultilevel"/>
    <w:tmpl w:val="46D822B4"/>
    <w:lvl w:ilvl="0" w:tplc="A8D20DCC">
      <w:numFmt w:val="bullet"/>
      <w:lvlText w:val=""/>
      <w:lvlJc w:val="left"/>
      <w:pPr>
        <w:ind w:left="157" w:hanging="100"/>
      </w:pPr>
      <w:rPr>
        <w:rFonts w:ascii="Symbol" w:eastAsia="Symbol" w:hAnsi="Symbol" w:cs="Symbol" w:hint="default"/>
        <w:color w:val="231F20"/>
        <w:w w:val="100"/>
        <w:sz w:val="14"/>
        <w:szCs w:val="14"/>
      </w:rPr>
    </w:lvl>
    <w:lvl w:ilvl="1" w:tplc="96B87C22">
      <w:numFmt w:val="bullet"/>
      <w:lvlText w:val="•"/>
      <w:lvlJc w:val="left"/>
      <w:pPr>
        <w:ind w:left="426" w:hanging="100"/>
      </w:pPr>
      <w:rPr>
        <w:rFonts w:hint="default"/>
      </w:rPr>
    </w:lvl>
    <w:lvl w:ilvl="2" w:tplc="C406BC96">
      <w:numFmt w:val="bullet"/>
      <w:lvlText w:val="•"/>
      <w:lvlJc w:val="left"/>
      <w:pPr>
        <w:ind w:left="692" w:hanging="100"/>
      </w:pPr>
      <w:rPr>
        <w:rFonts w:hint="default"/>
      </w:rPr>
    </w:lvl>
    <w:lvl w:ilvl="3" w:tplc="56DEE776">
      <w:numFmt w:val="bullet"/>
      <w:lvlText w:val="•"/>
      <w:lvlJc w:val="left"/>
      <w:pPr>
        <w:ind w:left="959" w:hanging="100"/>
      </w:pPr>
      <w:rPr>
        <w:rFonts w:hint="default"/>
      </w:rPr>
    </w:lvl>
    <w:lvl w:ilvl="4" w:tplc="5AE8F9F6">
      <w:numFmt w:val="bullet"/>
      <w:lvlText w:val="•"/>
      <w:lvlJc w:val="left"/>
      <w:pPr>
        <w:ind w:left="1225" w:hanging="100"/>
      </w:pPr>
      <w:rPr>
        <w:rFonts w:hint="default"/>
      </w:rPr>
    </w:lvl>
    <w:lvl w:ilvl="5" w:tplc="066E119A">
      <w:numFmt w:val="bullet"/>
      <w:lvlText w:val="•"/>
      <w:lvlJc w:val="left"/>
      <w:pPr>
        <w:ind w:left="1492" w:hanging="100"/>
      </w:pPr>
      <w:rPr>
        <w:rFonts w:hint="default"/>
      </w:rPr>
    </w:lvl>
    <w:lvl w:ilvl="6" w:tplc="BC349B4C">
      <w:numFmt w:val="bullet"/>
      <w:lvlText w:val="•"/>
      <w:lvlJc w:val="left"/>
      <w:pPr>
        <w:ind w:left="1758" w:hanging="100"/>
      </w:pPr>
      <w:rPr>
        <w:rFonts w:hint="default"/>
      </w:rPr>
    </w:lvl>
    <w:lvl w:ilvl="7" w:tplc="600C1F48">
      <w:numFmt w:val="bullet"/>
      <w:lvlText w:val="•"/>
      <w:lvlJc w:val="left"/>
      <w:pPr>
        <w:ind w:left="2024" w:hanging="100"/>
      </w:pPr>
      <w:rPr>
        <w:rFonts w:hint="default"/>
      </w:rPr>
    </w:lvl>
    <w:lvl w:ilvl="8" w:tplc="5002BF20">
      <w:numFmt w:val="bullet"/>
      <w:lvlText w:val="•"/>
      <w:lvlJc w:val="left"/>
      <w:pPr>
        <w:ind w:left="2291" w:hanging="100"/>
      </w:pPr>
      <w:rPr>
        <w:rFonts w:hint="default"/>
      </w:rPr>
    </w:lvl>
  </w:abstractNum>
  <w:abstractNum w:abstractNumId="1102" w15:restartNumberingAfterBreak="0">
    <w:nsid w:val="463815E7"/>
    <w:multiLevelType w:val="hybridMultilevel"/>
    <w:tmpl w:val="EE8E7A40"/>
    <w:lvl w:ilvl="0" w:tplc="54826EC4">
      <w:numFmt w:val="bullet"/>
      <w:lvlText w:val=""/>
      <w:lvlJc w:val="left"/>
      <w:pPr>
        <w:ind w:left="157" w:hanging="100"/>
      </w:pPr>
      <w:rPr>
        <w:rFonts w:ascii="Symbol" w:eastAsia="Symbol" w:hAnsi="Symbol" w:cs="Symbol" w:hint="default"/>
        <w:color w:val="231F20"/>
        <w:w w:val="100"/>
        <w:sz w:val="14"/>
        <w:szCs w:val="14"/>
      </w:rPr>
    </w:lvl>
    <w:lvl w:ilvl="1" w:tplc="BD0E7304">
      <w:numFmt w:val="bullet"/>
      <w:lvlText w:val="•"/>
      <w:lvlJc w:val="left"/>
      <w:pPr>
        <w:ind w:left="426" w:hanging="100"/>
      </w:pPr>
      <w:rPr>
        <w:rFonts w:hint="default"/>
      </w:rPr>
    </w:lvl>
    <w:lvl w:ilvl="2" w:tplc="B9F69C50">
      <w:numFmt w:val="bullet"/>
      <w:lvlText w:val="•"/>
      <w:lvlJc w:val="left"/>
      <w:pPr>
        <w:ind w:left="692" w:hanging="100"/>
      </w:pPr>
      <w:rPr>
        <w:rFonts w:hint="default"/>
      </w:rPr>
    </w:lvl>
    <w:lvl w:ilvl="3" w:tplc="2D1AA2CA">
      <w:numFmt w:val="bullet"/>
      <w:lvlText w:val="•"/>
      <w:lvlJc w:val="left"/>
      <w:pPr>
        <w:ind w:left="959" w:hanging="100"/>
      </w:pPr>
      <w:rPr>
        <w:rFonts w:hint="default"/>
      </w:rPr>
    </w:lvl>
    <w:lvl w:ilvl="4" w:tplc="B8B20E5E">
      <w:numFmt w:val="bullet"/>
      <w:lvlText w:val="•"/>
      <w:lvlJc w:val="left"/>
      <w:pPr>
        <w:ind w:left="1225" w:hanging="100"/>
      </w:pPr>
      <w:rPr>
        <w:rFonts w:hint="default"/>
      </w:rPr>
    </w:lvl>
    <w:lvl w:ilvl="5" w:tplc="7A9E73EE">
      <w:numFmt w:val="bullet"/>
      <w:lvlText w:val="•"/>
      <w:lvlJc w:val="left"/>
      <w:pPr>
        <w:ind w:left="1492" w:hanging="100"/>
      </w:pPr>
      <w:rPr>
        <w:rFonts w:hint="default"/>
      </w:rPr>
    </w:lvl>
    <w:lvl w:ilvl="6" w:tplc="D3FACB9A">
      <w:numFmt w:val="bullet"/>
      <w:lvlText w:val="•"/>
      <w:lvlJc w:val="left"/>
      <w:pPr>
        <w:ind w:left="1758" w:hanging="100"/>
      </w:pPr>
      <w:rPr>
        <w:rFonts w:hint="default"/>
      </w:rPr>
    </w:lvl>
    <w:lvl w:ilvl="7" w:tplc="60484064">
      <w:numFmt w:val="bullet"/>
      <w:lvlText w:val="•"/>
      <w:lvlJc w:val="left"/>
      <w:pPr>
        <w:ind w:left="2024" w:hanging="100"/>
      </w:pPr>
      <w:rPr>
        <w:rFonts w:hint="default"/>
      </w:rPr>
    </w:lvl>
    <w:lvl w:ilvl="8" w:tplc="D14A8548">
      <w:numFmt w:val="bullet"/>
      <w:lvlText w:val="•"/>
      <w:lvlJc w:val="left"/>
      <w:pPr>
        <w:ind w:left="2291" w:hanging="100"/>
      </w:pPr>
      <w:rPr>
        <w:rFonts w:hint="default"/>
      </w:rPr>
    </w:lvl>
  </w:abstractNum>
  <w:abstractNum w:abstractNumId="1103" w15:restartNumberingAfterBreak="0">
    <w:nsid w:val="463A6E75"/>
    <w:multiLevelType w:val="hybridMultilevel"/>
    <w:tmpl w:val="95A09ED0"/>
    <w:lvl w:ilvl="0" w:tplc="231EA164">
      <w:numFmt w:val="bullet"/>
      <w:lvlText w:val=""/>
      <w:lvlJc w:val="left"/>
      <w:pPr>
        <w:ind w:left="156" w:hanging="100"/>
      </w:pPr>
      <w:rPr>
        <w:rFonts w:ascii="Symbol" w:eastAsia="Symbol" w:hAnsi="Symbol" w:cs="Symbol" w:hint="default"/>
        <w:color w:val="231F20"/>
        <w:w w:val="100"/>
        <w:sz w:val="14"/>
        <w:szCs w:val="14"/>
      </w:rPr>
    </w:lvl>
    <w:lvl w:ilvl="1" w:tplc="253CB8E6">
      <w:numFmt w:val="bullet"/>
      <w:lvlText w:val="•"/>
      <w:lvlJc w:val="left"/>
      <w:pPr>
        <w:ind w:left="398" w:hanging="100"/>
      </w:pPr>
      <w:rPr>
        <w:rFonts w:hint="default"/>
      </w:rPr>
    </w:lvl>
    <w:lvl w:ilvl="2" w:tplc="E5E4FD52">
      <w:numFmt w:val="bullet"/>
      <w:lvlText w:val="•"/>
      <w:lvlJc w:val="left"/>
      <w:pPr>
        <w:ind w:left="636" w:hanging="100"/>
      </w:pPr>
      <w:rPr>
        <w:rFonts w:hint="default"/>
      </w:rPr>
    </w:lvl>
    <w:lvl w:ilvl="3" w:tplc="DCDA5178">
      <w:numFmt w:val="bullet"/>
      <w:lvlText w:val="•"/>
      <w:lvlJc w:val="left"/>
      <w:pPr>
        <w:ind w:left="874" w:hanging="100"/>
      </w:pPr>
      <w:rPr>
        <w:rFonts w:hint="default"/>
      </w:rPr>
    </w:lvl>
    <w:lvl w:ilvl="4" w:tplc="C08C745C">
      <w:numFmt w:val="bullet"/>
      <w:lvlText w:val="•"/>
      <w:lvlJc w:val="left"/>
      <w:pPr>
        <w:ind w:left="1112" w:hanging="100"/>
      </w:pPr>
      <w:rPr>
        <w:rFonts w:hint="default"/>
      </w:rPr>
    </w:lvl>
    <w:lvl w:ilvl="5" w:tplc="56DCD11C">
      <w:numFmt w:val="bullet"/>
      <w:lvlText w:val="•"/>
      <w:lvlJc w:val="left"/>
      <w:pPr>
        <w:ind w:left="1350" w:hanging="100"/>
      </w:pPr>
      <w:rPr>
        <w:rFonts w:hint="default"/>
      </w:rPr>
    </w:lvl>
    <w:lvl w:ilvl="6" w:tplc="BAD0310E">
      <w:numFmt w:val="bullet"/>
      <w:lvlText w:val="•"/>
      <w:lvlJc w:val="left"/>
      <w:pPr>
        <w:ind w:left="1588" w:hanging="100"/>
      </w:pPr>
      <w:rPr>
        <w:rFonts w:hint="default"/>
      </w:rPr>
    </w:lvl>
    <w:lvl w:ilvl="7" w:tplc="537AC206">
      <w:numFmt w:val="bullet"/>
      <w:lvlText w:val="•"/>
      <w:lvlJc w:val="left"/>
      <w:pPr>
        <w:ind w:left="1826" w:hanging="100"/>
      </w:pPr>
      <w:rPr>
        <w:rFonts w:hint="default"/>
      </w:rPr>
    </w:lvl>
    <w:lvl w:ilvl="8" w:tplc="EAB4A240">
      <w:numFmt w:val="bullet"/>
      <w:lvlText w:val="•"/>
      <w:lvlJc w:val="left"/>
      <w:pPr>
        <w:ind w:left="2064" w:hanging="100"/>
      </w:pPr>
      <w:rPr>
        <w:rFonts w:hint="default"/>
      </w:rPr>
    </w:lvl>
  </w:abstractNum>
  <w:abstractNum w:abstractNumId="1104" w15:restartNumberingAfterBreak="0">
    <w:nsid w:val="46446746"/>
    <w:multiLevelType w:val="hybridMultilevel"/>
    <w:tmpl w:val="6FA0A86C"/>
    <w:lvl w:ilvl="0" w:tplc="DFC65DD6">
      <w:numFmt w:val="bullet"/>
      <w:lvlText w:val=""/>
      <w:lvlJc w:val="left"/>
      <w:pPr>
        <w:ind w:left="156" w:hanging="100"/>
      </w:pPr>
      <w:rPr>
        <w:rFonts w:ascii="Symbol" w:eastAsia="Symbol" w:hAnsi="Symbol" w:cs="Symbol" w:hint="default"/>
        <w:color w:val="231F20"/>
        <w:w w:val="100"/>
        <w:sz w:val="14"/>
        <w:szCs w:val="14"/>
      </w:rPr>
    </w:lvl>
    <w:lvl w:ilvl="1" w:tplc="685C2D76">
      <w:numFmt w:val="bullet"/>
      <w:lvlText w:val="•"/>
      <w:lvlJc w:val="left"/>
      <w:pPr>
        <w:ind w:left="398" w:hanging="100"/>
      </w:pPr>
      <w:rPr>
        <w:rFonts w:hint="default"/>
      </w:rPr>
    </w:lvl>
    <w:lvl w:ilvl="2" w:tplc="8864E932">
      <w:numFmt w:val="bullet"/>
      <w:lvlText w:val="•"/>
      <w:lvlJc w:val="left"/>
      <w:pPr>
        <w:ind w:left="636" w:hanging="100"/>
      </w:pPr>
      <w:rPr>
        <w:rFonts w:hint="default"/>
      </w:rPr>
    </w:lvl>
    <w:lvl w:ilvl="3" w:tplc="A6B617C4">
      <w:numFmt w:val="bullet"/>
      <w:lvlText w:val="•"/>
      <w:lvlJc w:val="left"/>
      <w:pPr>
        <w:ind w:left="874" w:hanging="100"/>
      </w:pPr>
      <w:rPr>
        <w:rFonts w:hint="default"/>
      </w:rPr>
    </w:lvl>
    <w:lvl w:ilvl="4" w:tplc="2FC26B60">
      <w:numFmt w:val="bullet"/>
      <w:lvlText w:val="•"/>
      <w:lvlJc w:val="left"/>
      <w:pPr>
        <w:ind w:left="1112" w:hanging="100"/>
      </w:pPr>
      <w:rPr>
        <w:rFonts w:hint="default"/>
      </w:rPr>
    </w:lvl>
    <w:lvl w:ilvl="5" w:tplc="A5E2814A">
      <w:numFmt w:val="bullet"/>
      <w:lvlText w:val="•"/>
      <w:lvlJc w:val="left"/>
      <w:pPr>
        <w:ind w:left="1350" w:hanging="100"/>
      </w:pPr>
      <w:rPr>
        <w:rFonts w:hint="default"/>
      </w:rPr>
    </w:lvl>
    <w:lvl w:ilvl="6" w:tplc="9CE69694">
      <w:numFmt w:val="bullet"/>
      <w:lvlText w:val="•"/>
      <w:lvlJc w:val="left"/>
      <w:pPr>
        <w:ind w:left="1588" w:hanging="100"/>
      </w:pPr>
      <w:rPr>
        <w:rFonts w:hint="default"/>
      </w:rPr>
    </w:lvl>
    <w:lvl w:ilvl="7" w:tplc="2AEAE1F2">
      <w:numFmt w:val="bullet"/>
      <w:lvlText w:val="•"/>
      <w:lvlJc w:val="left"/>
      <w:pPr>
        <w:ind w:left="1826" w:hanging="100"/>
      </w:pPr>
      <w:rPr>
        <w:rFonts w:hint="default"/>
      </w:rPr>
    </w:lvl>
    <w:lvl w:ilvl="8" w:tplc="B822A638">
      <w:numFmt w:val="bullet"/>
      <w:lvlText w:val="•"/>
      <w:lvlJc w:val="left"/>
      <w:pPr>
        <w:ind w:left="2064" w:hanging="100"/>
      </w:pPr>
      <w:rPr>
        <w:rFonts w:hint="default"/>
      </w:rPr>
    </w:lvl>
  </w:abstractNum>
  <w:abstractNum w:abstractNumId="1105" w15:restartNumberingAfterBreak="0">
    <w:nsid w:val="46462B03"/>
    <w:multiLevelType w:val="hybridMultilevel"/>
    <w:tmpl w:val="BCAA3A18"/>
    <w:lvl w:ilvl="0" w:tplc="1110DC00">
      <w:numFmt w:val="bullet"/>
      <w:lvlText w:val=""/>
      <w:lvlJc w:val="left"/>
      <w:pPr>
        <w:ind w:left="157" w:hanging="100"/>
      </w:pPr>
      <w:rPr>
        <w:rFonts w:ascii="Symbol" w:eastAsia="Symbol" w:hAnsi="Symbol" w:cs="Symbol" w:hint="default"/>
        <w:color w:val="231F20"/>
        <w:w w:val="100"/>
        <w:sz w:val="14"/>
        <w:szCs w:val="14"/>
      </w:rPr>
    </w:lvl>
    <w:lvl w:ilvl="1" w:tplc="AB38ECF8">
      <w:numFmt w:val="bullet"/>
      <w:lvlText w:val="•"/>
      <w:lvlJc w:val="left"/>
      <w:pPr>
        <w:ind w:left="426" w:hanging="100"/>
      </w:pPr>
      <w:rPr>
        <w:rFonts w:hint="default"/>
      </w:rPr>
    </w:lvl>
    <w:lvl w:ilvl="2" w:tplc="ACCC8ADA">
      <w:numFmt w:val="bullet"/>
      <w:lvlText w:val="•"/>
      <w:lvlJc w:val="left"/>
      <w:pPr>
        <w:ind w:left="692" w:hanging="100"/>
      </w:pPr>
      <w:rPr>
        <w:rFonts w:hint="default"/>
      </w:rPr>
    </w:lvl>
    <w:lvl w:ilvl="3" w:tplc="3926E5EA">
      <w:numFmt w:val="bullet"/>
      <w:lvlText w:val="•"/>
      <w:lvlJc w:val="left"/>
      <w:pPr>
        <w:ind w:left="959" w:hanging="100"/>
      </w:pPr>
      <w:rPr>
        <w:rFonts w:hint="default"/>
      </w:rPr>
    </w:lvl>
    <w:lvl w:ilvl="4" w:tplc="DC94D078">
      <w:numFmt w:val="bullet"/>
      <w:lvlText w:val="•"/>
      <w:lvlJc w:val="left"/>
      <w:pPr>
        <w:ind w:left="1225" w:hanging="100"/>
      </w:pPr>
      <w:rPr>
        <w:rFonts w:hint="default"/>
      </w:rPr>
    </w:lvl>
    <w:lvl w:ilvl="5" w:tplc="4B682A0E">
      <w:numFmt w:val="bullet"/>
      <w:lvlText w:val="•"/>
      <w:lvlJc w:val="left"/>
      <w:pPr>
        <w:ind w:left="1492" w:hanging="100"/>
      </w:pPr>
      <w:rPr>
        <w:rFonts w:hint="default"/>
      </w:rPr>
    </w:lvl>
    <w:lvl w:ilvl="6" w:tplc="CDF497EC">
      <w:numFmt w:val="bullet"/>
      <w:lvlText w:val="•"/>
      <w:lvlJc w:val="left"/>
      <w:pPr>
        <w:ind w:left="1758" w:hanging="100"/>
      </w:pPr>
      <w:rPr>
        <w:rFonts w:hint="default"/>
      </w:rPr>
    </w:lvl>
    <w:lvl w:ilvl="7" w:tplc="E8A0C042">
      <w:numFmt w:val="bullet"/>
      <w:lvlText w:val="•"/>
      <w:lvlJc w:val="left"/>
      <w:pPr>
        <w:ind w:left="2024" w:hanging="100"/>
      </w:pPr>
      <w:rPr>
        <w:rFonts w:hint="default"/>
      </w:rPr>
    </w:lvl>
    <w:lvl w:ilvl="8" w:tplc="2312BFD4">
      <w:numFmt w:val="bullet"/>
      <w:lvlText w:val="•"/>
      <w:lvlJc w:val="left"/>
      <w:pPr>
        <w:ind w:left="2291" w:hanging="100"/>
      </w:pPr>
      <w:rPr>
        <w:rFonts w:hint="default"/>
      </w:rPr>
    </w:lvl>
  </w:abstractNum>
  <w:abstractNum w:abstractNumId="1106" w15:restartNumberingAfterBreak="0">
    <w:nsid w:val="465B5E9B"/>
    <w:multiLevelType w:val="hybridMultilevel"/>
    <w:tmpl w:val="3B2A0DA4"/>
    <w:lvl w:ilvl="0" w:tplc="A0264E70">
      <w:numFmt w:val="bullet"/>
      <w:lvlText w:val=""/>
      <w:lvlJc w:val="left"/>
      <w:pPr>
        <w:ind w:left="156" w:hanging="100"/>
      </w:pPr>
      <w:rPr>
        <w:rFonts w:ascii="Symbol" w:eastAsia="Symbol" w:hAnsi="Symbol" w:cs="Symbol" w:hint="default"/>
        <w:color w:val="231F20"/>
        <w:w w:val="100"/>
        <w:sz w:val="14"/>
        <w:szCs w:val="14"/>
      </w:rPr>
    </w:lvl>
    <w:lvl w:ilvl="1" w:tplc="B09A87A8">
      <w:numFmt w:val="bullet"/>
      <w:lvlText w:val="•"/>
      <w:lvlJc w:val="left"/>
      <w:pPr>
        <w:ind w:left="426" w:hanging="100"/>
      </w:pPr>
      <w:rPr>
        <w:rFonts w:hint="default"/>
      </w:rPr>
    </w:lvl>
    <w:lvl w:ilvl="2" w:tplc="D54ECE06">
      <w:numFmt w:val="bullet"/>
      <w:lvlText w:val="•"/>
      <w:lvlJc w:val="left"/>
      <w:pPr>
        <w:ind w:left="692" w:hanging="100"/>
      </w:pPr>
      <w:rPr>
        <w:rFonts w:hint="default"/>
      </w:rPr>
    </w:lvl>
    <w:lvl w:ilvl="3" w:tplc="4F921A26">
      <w:numFmt w:val="bullet"/>
      <w:lvlText w:val="•"/>
      <w:lvlJc w:val="left"/>
      <w:pPr>
        <w:ind w:left="959" w:hanging="100"/>
      </w:pPr>
      <w:rPr>
        <w:rFonts w:hint="default"/>
      </w:rPr>
    </w:lvl>
    <w:lvl w:ilvl="4" w:tplc="863E6420">
      <w:numFmt w:val="bullet"/>
      <w:lvlText w:val="•"/>
      <w:lvlJc w:val="left"/>
      <w:pPr>
        <w:ind w:left="1225" w:hanging="100"/>
      </w:pPr>
      <w:rPr>
        <w:rFonts w:hint="default"/>
      </w:rPr>
    </w:lvl>
    <w:lvl w:ilvl="5" w:tplc="A346376E">
      <w:numFmt w:val="bullet"/>
      <w:lvlText w:val="•"/>
      <w:lvlJc w:val="left"/>
      <w:pPr>
        <w:ind w:left="1492" w:hanging="100"/>
      </w:pPr>
      <w:rPr>
        <w:rFonts w:hint="default"/>
      </w:rPr>
    </w:lvl>
    <w:lvl w:ilvl="6" w:tplc="FBF45E8C">
      <w:numFmt w:val="bullet"/>
      <w:lvlText w:val="•"/>
      <w:lvlJc w:val="left"/>
      <w:pPr>
        <w:ind w:left="1758" w:hanging="100"/>
      </w:pPr>
      <w:rPr>
        <w:rFonts w:hint="default"/>
      </w:rPr>
    </w:lvl>
    <w:lvl w:ilvl="7" w:tplc="B91C0AD4">
      <w:numFmt w:val="bullet"/>
      <w:lvlText w:val="•"/>
      <w:lvlJc w:val="left"/>
      <w:pPr>
        <w:ind w:left="2024" w:hanging="100"/>
      </w:pPr>
      <w:rPr>
        <w:rFonts w:hint="default"/>
      </w:rPr>
    </w:lvl>
    <w:lvl w:ilvl="8" w:tplc="ADEE048A">
      <w:numFmt w:val="bullet"/>
      <w:lvlText w:val="•"/>
      <w:lvlJc w:val="left"/>
      <w:pPr>
        <w:ind w:left="2291" w:hanging="100"/>
      </w:pPr>
      <w:rPr>
        <w:rFonts w:hint="default"/>
      </w:rPr>
    </w:lvl>
  </w:abstractNum>
  <w:abstractNum w:abstractNumId="1107" w15:restartNumberingAfterBreak="0">
    <w:nsid w:val="465E371A"/>
    <w:multiLevelType w:val="hybridMultilevel"/>
    <w:tmpl w:val="4AC61966"/>
    <w:lvl w:ilvl="0" w:tplc="BA0612CA">
      <w:numFmt w:val="bullet"/>
      <w:lvlText w:val=""/>
      <w:lvlJc w:val="left"/>
      <w:pPr>
        <w:ind w:left="156" w:hanging="100"/>
      </w:pPr>
      <w:rPr>
        <w:rFonts w:ascii="Symbol" w:eastAsia="Symbol" w:hAnsi="Symbol" w:cs="Symbol" w:hint="default"/>
        <w:color w:val="231F20"/>
        <w:w w:val="100"/>
        <w:sz w:val="14"/>
        <w:szCs w:val="14"/>
      </w:rPr>
    </w:lvl>
    <w:lvl w:ilvl="1" w:tplc="31CA9052">
      <w:numFmt w:val="bullet"/>
      <w:lvlText w:val="•"/>
      <w:lvlJc w:val="left"/>
      <w:pPr>
        <w:ind w:left="398" w:hanging="100"/>
      </w:pPr>
      <w:rPr>
        <w:rFonts w:hint="default"/>
      </w:rPr>
    </w:lvl>
    <w:lvl w:ilvl="2" w:tplc="099C1830">
      <w:numFmt w:val="bullet"/>
      <w:lvlText w:val="•"/>
      <w:lvlJc w:val="left"/>
      <w:pPr>
        <w:ind w:left="636" w:hanging="100"/>
      </w:pPr>
      <w:rPr>
        <w:rFonts w:hint="default"/>
      </w:rPr>
    </w:lvl>
    <w:lvl w:ilvl="3" w:tplc="30D4AC7C">
      <w:numFmt w:val="bullet"/>
      <w:lvlText w:val="•"/>
      <w:lvlJc w:val="left"/>
      <w:pPr>
        <w:ind w:left="874" w:hanging="100"/>
      </w:pPr>
      <w:rPr>
        <w:rFonts w:hint="default"/>
      </w:rPr>
    </w:lvl>
    <w:lvl w:ilvl="4" w:tplc="8B665846">
      <w:numFmt w:val="bullet"/>
      <w:lvlText w:val="•"/>
      <w:lvlJc w:val="left"/>
      <w:pPr>
        <w:ind w:left="1112" w:hanging="100"/>
      </w:pPr>
      <w:rPr>
        <w:rFonts w:hint="default"/>
      </w:rPr>
    </w:lvl>
    <w:lvl w:ilvl="5" w:tplc="CB66C778">
      <w:numFmt w:val="bullet"/>
      <w:lvlText w:val="•"/>
      <w:lvlJc w:val="left"/>
      <w:pPr>
        <w:ind w:left="1350" w:hanging="100"/>
      </w:pPr>
      <w:rPr>
        <w:rFonts w:hint="default"/>
      </w:rPr>
    </w:lvl>
    <w:lvl w:ilvl="6" w:tplc="CE508A48">
      <w:numFmt w:val="bullet"/>
      <w:lvlText w:val="•"/>
      <w:lvlJc w:val="left"/>
      <w:pPr>
        <w:ind w:left="1588" w:hanging="100"/>
      </w:pPr>
      <w:rPr>
        <w:rFonts w:hint="default"/>
      </w:rPr>
    </w:lvl>
    <w:lvl w:ilvl="7" w:tplc="643E3C7C">
      <w:numFmt w:val="bullet"/>
      <w:lvlText w:val="•"/>
      <w:lvlJc w:val="left"/>
      <w:pPr>
        <w:ind w:left="1826" w:hanging="100"/>
      </w:pPr>
      <w:rPr>
        <w:rFonts w:hint="default"/>
      </w:rPr>
    </w:lvl>
    <w:lvl w:ilvl="8" w:tplc="DBCEFEF6">
      <w:numFmt w:val="bullet"/>
      <w:lvlText w:val="•"/>
      <w:lvlJc w:val="left"/>
      <w:pPr>
        <w:ind w:left="2064" w:hanging="100"/>
      </w:pPr>
      <w:rPr>
        <w:rFonts w:hint="default"/>
      </w:rPr>
    </w:lvl>
  </w:abstractNum>
  <w:abstractNum w:abstractNumId="1108" w15:restartNumberingAfterBreak="0">
    <w:nsid w:val="466608F1"/>
    <w:multiLevelType w:val="hybridMultilevel"/>
    <w:tmpl w:val="604CD13E"/>
    <w:lvl w:ilvl="0" w:tplc="E5186936">
      <w:numFmt w:val="bullet"/>
      <w:lvlText w:val=""/>
      <w:lvlJc w:val="left"/>
      <w:pPr>
        <w:ind w:left="156" w:hanging="100"/>
      </w:pPr>
      <w:rPr>
        <w:rFonts w:ascii="Symbol" w:eastAsia="Symbol" w:hAnsi="Symbol" w:cs="Symbol" w:hint="default"/>
        <w:color w:val="231F20"/>
        <w:w w:val="100"/>
        <w:sz w:val="14"/>
        <w:szCs w:val="14"/>
      </w:rPr>
    </w:lvl>
    <w:lvl w:ilvl="1" w:tplc="94FADD84">
      <w:numFmt w:val="bullet"/>
      <w:lvlText w:val="•"/>
      <w:lvlJc w:val="left"/>
      <w:pPr>
        <w:ind w:left="301" w:hanging="100"/>
      </w:pPr>
      <w:rPr>
        <w:rFonts w:hint="default"/>
      </w:rPr>
    </w:lvl>
    <w:lvl w:ilvl="2" w:tplc="B4CA3A58">
      <w:numFmt w:val="bullet"/>
      <w:lvlText w:val="•"/>
      <w:lvlJc w:val="left"/>
      <w:pPr>
        <w:ind w:left="443" w:hanging="100"/>
      </w:pPr>
      <w:rPr>
        <w:rFonts w:hint="default"/>
      </w:rPr>
    </w:lvl>
    <w:lvl w:ilvl="3" w:tplc="B0C28638">
      <w:numFmt w:val="bullet"/>
      <w:lvlText w:val="•"/>
      <w:lvlJc w:val="left"/>
      <w:pPr>
        <w:ind w:left="585" w:hanging="100"/>
      </w:pPr>
      <w:rPr>
        <w:rFonts w:hint="default"/>
      </w:rPr>
    </w:lvl>
    <w:lvl w:ilvl="4" w:tplc="7BC83EEC">
      <w:numFmt w:val="bullet"/>
      <w:lvlText w:val="•"/>
      <w:lvlJc w:val="left"/>
      <w:pPr>
        <w:ind w:left="726" w:hanging="100"/>
      </w:pPr>
      <w:rPr>
        <w:rFonts w:hint="default"/>
      </w:rPr>
    </w:lvl>
    <w:lvl w:ilvl="5" w:tplc="2FD8C754">
      <w:numFmt w:val="bullet"/>
      <w:lvlText w:val="•"/>
      <w:lvlJc w:val="left"/>
      <w:pPr>
        <w:ind w:left="868" w:hanging="100"/>
      </w:pPr>
      <w:rPr>
        <w:rFonts w:hint="default"/>
      </w:rPr>
    </w:lvl>
    <w:lvl w:ilvl="6" w:tplc="5C3E44B4">
      <w:numFmt w:val="bullet"/>
      <w:lvlText w:val="•"/>
      <w:lvlJc w:val="left"/>
      <w:pPr>
        <w:ind w:left="1010" w:hanging="100"/>
      </w:pPr>
      <w:rPr>
        <w:rFonts w:hint="default"/>
      </w:rPr>
    </w:lvl>
    <w:lvl w:ilvl="7" w:tplc="FF62DE2C">
      <w:numFmt w:val="bullet"/>
      <w:lvlText w:val="•"/>
      <w:lvlJc w:val="left"/>
      <w:pPr>
        <w:ind w:left="1151" w:hanging="100"/>
      </w:pPr>
      <w:rPr>
        <w:rFonts w:hint="default"/>
      </w:rPr>
    </w:lvl>
    <w:lvl w:ilvl="8" w:tplc="E8104CA8">
      <w:numFmt w:val="bullet"/>
      <w:lvlText w:val="•"/>
      <w:lvlJc w:val="left"/>
      <w:pPr>
        <w:ind w:left="1293" w:hanging="100"/>
      </w:pPr>
      <w:rPr>
        <w:rFonts w:hint="default"/>
      </w:rPr>
    </w:lvl>
  </w:abstractNum>
  <w:abstractNum w:abstractNumId="1109" w15:restartNumberingAfterBreak="0">
    <w:nsid w:val="46777ABD"/>
    <w:multiLevelType w:val="hybridMultilevel"/>
    <w:tmpl w:val="CC48A31C"/>
    <w:lvl w:ilvl="0" w:tplc="1AF6CC72">
      <w:numFmt w:val="bullet"/>
      <w:lvlText w:val=""/>
      <w:lvlJc w:val="left"/>
      <w:pPr>
        <w:ind w:left="156" w:hanging="100"/>
      </w:pPr>
      <w:rPr>
        <w:rFonts w:ascii="Symbol" w:eastAsia="Symbol" w:hAnsi="Symbol" w:cs="Symbol" w:hint="default"/>
        <w:color w:val="231F20"/>
        <w:w w:val="100"/>
        <w:sz w:val="14"/>
        <w:szCs w:val="14"/>
      </w:rPr>
    </w:lvl>
    <w:lvl w:ilvl="1" w:tplc="C24A1F78">
      <w:numFmt w:val="bullet"/>
      <w:lvlText w:val="•"/>
      <w:lvlJc w:val="left"/>
      <w:pPr>
        <w:ind w:left="301" w:hanging="100"/>
      </w:pPr>
      <w:rPr>
        <w:rFonts w:hint="default"/>
      </w:rPr>
    </w:lvl>
    <w:lvl w:ilvl="2" w:tplc="80CC7F42">
      <w:numFmt w:val="bullet"/>
      <w:lvlText w:val="•"/>
      <w:lvlJc w:val="left"/>
      <w:pPr>
        <w:ind w:left="443" w:hanging="100"/>
      </w:pPr>
      <w:rPr>
        <w:rFonts w:hint="default"/>
      </w:rPr>
    </w:lvl>
    <w:lvl w:ilvl="3" w:tplc="AAFC30D2">
      <w:numFmt w:val="bullet"/>
      <w:lvlText w:val="•"/>
      <w:lvlJc w:val="left"/>
      <w:pPr>
        <w:ind w:left="585" w:hanging="100"/>
      </w:pPr>
      <w:rPr>
        <w:rFonts w:hint="default"/>
      </w:rPr>
    </w:lvl>
    <w:lvl w:ilvl="4" w:tplc="6EEE15B8">
      <w:numFmt w:val="bullet"/>
      <w:lvlText w:val="•"/>
      <w:lvlJc w:val="left"/>
      <w:pPr>
        <w:ind w:left="726" w:hanging="100"/>
      </w:pPr>
      <w:rPr>
        <w:rFonts w:hint="default"/>
      </w:rPr>
    </w:lvl>
    <w:lvl w:ilvl="5" w:tplc="B9102822">
      <w:numFmt w:val="bullet"/>
      <w:lvlText w:val="•"/>
      <w:lvlJc w:val="left"/>
      <w:pPr>
        <w:ind w:left="868" w:hanging="100"/>
      </w:pPr>
      <w:rPr>
        <w:rFonts w:hint="default"/>
      </w:rPr>
    </w:lvl>
    <w:lvl w:ilvl="6" w:tplc="F2EE1440">
      <w:numFmt w:val="bullet"/>
      <w:lvlText w:val="•"/>
      <w:lvlJc w:val="left"/>
      <w:pPr>
        <w:ind w:left="1010" w:hanging="100"/>
      </w:pPr>
      <w:rPr>
        <w:rFonts w:hint="default"/>
      </w:rPr>
    </w:lvl>
    <w:lvl w:ilvl="7" w:tplc="2A76371C">
      <w:numFmt w:val="bullet"/>
      <w:lvlText w:val="•"/>
      <w:lvlJc w:val="left"/>
      <w:pPr>
        <w:ind w:left="1151" w:hanging="100"/>
      </w:pPr>
      <w:rPr>
        <w:rFonts w:hint="default"/>
      </w:rPr>
    </w:lvl>
    <w:lvl w:ilvl="8" w:tplc="BB8C9A60">
      <w:numFmt w:val="bullet"/>
      <w:lvlText w:val="•"/>
      <w:lvlJc w:val="left"/>
      <w:pPr>
        <w:ind w:left="1293" w:hanging="100"/>
      </w:pPr>
      <w:rPr>
        <w:rFonts w:hint="default"/>
      </w:rPr>
    </w:lvl>
  </w:abstractNum>
  <w:abstractNum w:abstractNumId="1110" w15:restartNumberingAfterBreak="0">
    <w:nsid w:val="46CD5910"/>
    <w:multiLevelType w:val="hybridMultilevel"/>
    <w:tmpl w:val="F3CEAA14"/>
    <w:lvl w:ilvl="0" w:tplc="3672094C">
      <w:numFmt w:val="bullet"/>
      <w:lvlText w:val=""/>
      <w:lvlJc w:val="left"/>
      <w:pPr>
        <w:ind w:left="156" w:hanging="100"/>
      </w:pPr>
      <w:rPr>
        <w:rFonts w:ascii="Symbol" w:eastAsia="Symbol" w:hAnsi="Symbol" w:cs="Symbol" w:hint="default"/>
        <w:color w:val="231F20"/>
        <w:w w:val="100"/>
        <w:sz w:val="14"/>
        <w:szCs w:val="14"/>
      </w:rPr>
    </w:lvl>
    <w:lvl w:ilvl="1" w:tplc="1550E07A">
      <w:numFmt w:val="bullet"/>
      <w:lvlText w:val="•"/>
      <w:lvlJc w:val="left"/>
      <w:pPr>
        <w:ind w:left="301" w:hanging="100"/>
      </w:pPr>
      <w:rPr>
        <w:rFonts w:hint="default"/>
      </w:rPr>
    </w:lvl>
    <w:lvl w:ilvl="2" w:tplc="59847D42">
      <w:numFmt w:val="bullet"/>
      <w:lvlText w:val="•"/>
      <w:lvlJc w:val="left"/>
      <w:pPr>
        <w:ind w:left="443" w:hanging="100"/>
      </w:pPr>
      <w:rPr>
        <w:rFonts w:hint="default"/>
      </w:rPr>
    </w:lvl>
    <w:lvl w:ilvl="3" w:tplc="C6B2582A">
      <w:numFmt w:val="bullet"/>
      <w:lvlText w:val="•"/>
      <w:lvlJc w:val="left"/>
      <w:pPr>
        <w:ind w:left="585" w:hanging="100"/>
      </w:pPr>
      <w:rPr>
        <w:rFonts w:hint="default"/>
      </w:rPr>
    </w:lvl>
    <w:lvl w:ilvl="4" w:tplc="D59A22F2">
      <w:numFmt w:val="bullet"/>
      <w:lvlText w:val="•"/>
      <w:lvlJc w:val="left"/>
      <w:pPr>
        <w:ind w:left="726" w:hanging="100"/>
      </w:pPr>
      <w:rPr>
        <w:rFonts w:hint="default"/>
      </w:rPr>
    </w:lvl>
    <w:lvl w:ilvl="5" w:tplc="1DF6F0D0">
      <w:numFmt w:val="bullet"/>
      <w:lvlText w:val="•"/>
      <w:lvlJc w:val="left"/>
      <w:pPr>
        <w:ind w:left="868" w:hanging="100"/>
      </w:pPr>
      <w:rPr>
        <w:rFonts w:hint="default"/>
      </w:rPr>
    </w:lvl>
    <w:lvl w:ilvl="6" w:tplc="11C2C31E">
      <w:numFmt w:val="bullet"/>
      <w:lvlText w:val="•"/>
      <w:lvlJc w:val="left"/>
      <w:pPr>
        <w:ind w:left="1010" w:hanging="100"/>
      </w:pPr>
      <w:rPr>
        <w:rFonts w:hint="default"/>
      </w:rPr>
    </w:lvl>
    <w:lvl w:ilvl="7" w:tplc="0E6242C2">
      <w:numFmt w:val="bullet"/>
      <w:lvlText w:val="•"/>
      <w:lvlJc w:val="left"/>
      <w:pPr>
        <w:ind w:left="1151" w:hanging="100"/>
      </w:pPr>
      <w:rPr>
        <w:rFonts w:hint="default"/>
      </w:rPr>
    </w:lvl>
    <w:lvl w:ilvl="8" w:tplc="A2BED788">
      <w:numFmt w:val="bullet"/>
      <w:lvlText w:val="•"/>
      <w:lvlJc w:val="left"/>
      <w:pPr>
        <w:ind w:left="1293" w:hanging="100"/>
      </w:pPr>
      <w:rPr>
        <w:rFonts w:hint="default"/>
      </w:rPr>
    </w:lvl>
  </w:abstractNum>
  <w:abstractNum w:abstractNumId="1111" w15:restartNumberingAfterBreak="0">
    <w:nsid w:val="46DA6D92"/>
    <w:multiLevelType w:val="hybridMultilevel"/>
    <w:tmpl w:val="8E64F88C"/>
    <w:lvl w:ilvl="0" w:tplc="9A8A3F86">
      <w:numFmt w:val="bullet"/>
      <w:lvlText w:val=""/>
      <w:lvlJc w:val="left"/>
      <w:pPr>
        <w:ind w:left="156" w:hanging="100"/>
      </w:pPr>
      <w:rPr>
        <w:rFonts w:ascii="Symbol" w:eastAsia="Symbol" w:hAnsi="Symbol" w:cs="Symbol" w:hint="default"/>
        <w:color w:val="231F20"/>
        <w:w w:val="100"/>
        <w:sz w:val="14"/>
        <w:szCs w:val="14"/>
      </w:rPr>
    </w:lvl>
    <w:lvl w:ilvl="1" w:tplc="7C8C9180">
      <w:numFmt w:val="bullet"/>
      <w:lvlText w:val="•"/>
      <w:lvlJc w:val="left"/>
      <w:pPr>
        <w:ind w:left="301" w:hanging="100"/>
      </w:pPr>
      <w:rPr>
        <w:rFonts w:hint="default"/>
      </w:rPr>
    </w:lvl>
    <w:lvl w:ilvl="2" w:tplc="794484E2">
      <w:numFmt w:val="bullet"/>
      <w:lvlText w:val="•"/>
      <w:lvlJc w:val="left"/>
      <w:pPr>
        <w:ind w:left="443" w:hanging="100"/>
      </w:pPr>
      <w:rPr>
        <w:rFonts w:hint="default"/>
      </w:rPr>
    </w:lvl>
    <w:lvl w:ilvl="3" w:tplc="6E60DE12">
      <w:numFmt w:val="bullet"/>
      <w:lvlText w:val="•"/>
      <w:lvlJc w:val="left"/>
      <w:pPr>
        <w:ind w:left="585" w:hanging="100"/>
      </w:pPr>
      <w:rPr>
        <w:rFonts w:hint="default"/>
      </w:rPr>
    </w:lvl>
    <w:lvl w:ilvl="4" w:tplc="D30E372E">
      <w:numFmt w:val="bullet"/>
      <w:lvlText w:val="•"/>
      <w:lvlJc w:val="left"/>
      <w:pPr>
        <w:ind w:left="726" w:hanging="100"/>
      </w:pPr>
      <w:rPr>
        <w:rFonts w:hint="default"/>
      </w:rPr>
    </w:lvl>
    <w:lvl w:ilvl="5" w:tplc="615C7E5E">
      <w:numFmt w:val="bullet"/>
      <w:lvlText w:val="•"/>
      <w:lvlJc w:val="left"/>
      <w:pPr>
        <w:ind w:left="868" w:hanging="100"/>
      </w:pPr>
      <w:rPr>
        <w:rFonts w:hint="default"/>
      </w:rPr>
    </w:lvl>
    <w:lvl w:ilvl="6" w:tplc="55E80D6E">
      <w:numFmt w:val="bullet"/>
      <w:lvlText w:val="•"/>
      <w:lvlJc w:val="left"/>
      <w:pPr>
        <w:ind w:left="1010" w:hanging="100"/>
      </w:pPr>
      <w:rPr>
        <w:rFonts w:hint="default"/>
      </w:rPr>
    </w:lvl>
    <w:lvl w:ilvl="7" w:tplc="7DAA8980">
      <w:numFmt w:val="bullet"/>
      <w:lvlText w:val="•"/>
      <w:lvlJc w:val="left"/>
      <w:pPr>
        <w:ind w:left="1151" w:hanging="100"/>
      </w:pPr>
      <w:rPr>
        <w:rFonts w:hint="default"/>
      </w:rPr>
    </w:lvl>
    <w:lvl w:ilvl="8" w:tplc="7EAE5FBE">
      <w:numFmt w:val="bullet"/>
      <w:lvlText w:val="•"/>
      <w:lvlJc w:val="left"/>
      <w:pPr>
        <w:ind w:left="1293" w:hanging="100"/>
      </w:pPr>
      <w:rPr>
        <w:rFonts w:hint="default"/>
      </w:rPr>
    </w:lvl>
  </w:abstractNum>
  <w:abstractNum w:abstractNumId="1112" w15:restartNumberingAfterBreak="0">
    <w:nsid w:val="46E04F46"/>
    <w:multiLevelType w:val="hybridMultilevel"/>
    <w:tmpl w:val="E56E37FC"/>
    <w:lvl w:ilvl="0" w:tplc="28DAAC02">
      <w:numFmt w:val="bullet"/>
      <w:lvlText w:val=""/>
      <w:lvlJc w:val="left"/>
      <w:pPr>
        <w:ind w:left="157" w:hanging="100"/>
      </w:pPr>
      <w:rPr>
        <w:rFonts w:ascii="Symbol" w:eastAsia="Symbol" w:hAnsi="Symbol" w:cs="Symbol" w:hint="default"/>
        <w:color w:val="231F20"/>
        <w:w w:val="100"/>
        <w:sz w:val="14"/>
        <w:szCs w:val="14"/>
      </w:rPr>
    </w:lvl>
    <w:lvl w:ilvl="1" w:tplc="72C68DAA">
      <w:numFmt w:val="bullet"/>
      <w:lvlText w:val="•"/>
      <w:lvlJc w:val="left"/>
      <w:pPr>
        <w:ind w:left="426" w:hanging="100"/>
      </w:pPr>
      <w:rPr>
        <w:rFonts w:hint="default"/>
      </w:rPr>
    </w:lvl>
    <w:lvl w:ilvl="2" w:tplc="2D209D1E">
      <w:numFmt w:val="bullet"/>
      <w:lvlText w:val="•"/>
      <w:lvlJc w:val="left"/>
      <w:pPr>
        <w:ind w:left="692" w:hanging="100"/>
      </w:pPr>
      <w:rPr>
        <w:rFonts w:hint="default"/>
      </w:rPr>
    </w:lvl>
    <w:lvl w:ilvl="3" w:tplc="2746FA40">
      <w:numFmt w:val="bullet"/>
      <w:lvlText w:val="•"/>
      <w:lvlJc w:val="left"/>
      <w:pPr>
        <w:ind w:left="959" w:hanging="100"/>
      </w:pPr>
      <w:rPr>
        <w:rFonts w:hint="default"/>
      </w:rPr>
    </w:lvl>
    <w:lvl w:ilvl="4" w:tplc="35207F1E">
      <w:numFmt w:val="bullet"/>
      <w:lvlText w:val="•"/>
      <w:lvlJc w:val="left"/>
      <w:pPr>
        <w:ind w:left="1225" w:hanging="100"/>
      </w:pPr>
      <w:rPr>
        <w:rFonts w:hint="default"/>
      </w:rPr>
    </w:lvl>
    <w:lvl w:ilvl="5" w:tplc="0D944072">
      <w:numFmt w:val="bullet"/>
      <w:lvlText w:val="•"/>
      <w:lvlJc w:val="left"/>
      <w:pPr>
        <w:ind w:left="1492" w:hanging="100"/>
      </w:pPr>
      <w:rPr>
        <w:rFonts w:hint="default"/>
      </w:rPr>
    </w:lvl>
    <w:lvl w:ilvl="6" w:tplc="B698783A">
      <w:numFmt w:val="bullet"/>
      <w:lvlText w:val="•"/>
      <w:lvlJc w:val="left"/>
      <w:pPr>
        <w:ind w:left="1758" w:hanging="100"/>
      </w:pPr>
      <w:rPr>
        <w:rFonts w:hint="default"/>
      </w:rPr>
    </w:lvl>
    <w:lvl w:ilvl="7" w:tplc="B972E19A">
      <w:numFmt w:val="bullet"/>
      <w:lvlText w:val="•"/>
      <w:lvlJc w:val="left"/>
      <w:pPr>
        <w:ind w:left="2024" w:hanging="100"/>
      </w:pPr>
      <w:rPr>
        <w:rFonts w:hint="default"/>
      </w:rPr>
    </w:lvl>
    <w:lvl w:ilvl="8" w:tplc="6EFACF7E">
      <w:numFmt w:val="bullet"/>
      <w:lvlText w:val="•"/>
      <w:lvlJc w:val="left"/>
      <w:pPr>
        <w:ind w:left="2291" w:hanging="100"/>
      </w:pPr>
      <w:rPr>
        <w:rFonts w:hint="default"/>
      </w:rPr>
    </w:lvl>
  </w:abstractNum>
  <w:abstractNum w:abstractNumId="1113" w15:restartNumberingAfterBreak="0">
    <w:nsid w:val="46F034DD"/>
    <w:multiLevelType w:val="hybridMultilevel"/>
    <w:tmpl w:val="A2C4E53A"/>
    <w:lvl w:ilvl="0" w:tplc="A224BEE2">
      <w:numFmt w:val="bullet"/>
      <w:lvlText w:val=""/>
      <w:lvlJc w:val="left"/>
      <w:pPr>
        <w:ind w:left="156" w:hanging="100"/>
      </w:pPr>
      <w:rPr>
        <w:rFonts w:ascii="Symbol" w:eastAsia="Symbol" w:hAnsi="Symbol" w:cs="Symbol" w:hint="default"/>
        <w:color w:val="231F20"/>
        <w:w w:val="100"/>
        <w:sz w:val="14"/>
        <w:szCs w:val="14"/>
      </w:rPr>
    </w:lvl>
    <w:lvl w:ilvl="1" w:tplc="97145E26">
      <w:numFmt w:val="bullet"/>
      <w:lvlText w:val="•"/>
      <w:lvlJc w:val="left"/>
      <w:pPr>
        <w:ind w:left="426" w:hanging="100"/>
      </w:pPr>
      <w:rPr>
        <w:rFonts w:hint="default"/>
      </w:rPr>
    </w:lvl>
    <w:lvl w:ilvl="2" w:tplc="2ED059E2">
      <w:numFmt w:val="bullet"/>
      <w:lvlText w:val="•"/>
      <w:lvlJc w:val="left"/>
      <w:pPr>
        <w:ind w:left="692" w:hanging="100"/>
      </w:pPr>
      <w:rPr>
        <w:rFonts w:hint="default"/>
      </w:rPr>
    </w:lvl>
    <w:lvl w:ilvl="3" w:tplc="AADC578E">
      <w:numFmt w:val="bullet"/>
      <w:lvlText w:val="•"/>
      <w:lvlJc w:val="left"/>
      <w:pPr>
        <w:ind w:left="959" w:hanging="100"/>
      </w:pPr>
      <w:rPr>
        <w:rFonts w:hint="default"/>
      </w:rPr>
    </w:lvl>
    <w:lvl w:ilvl="4" w:tplc="36EEA82E">
      <w:numFmt w:val="bullet"/>
      <w:lvlText w:val="•"/>
      <w:lvlJc w:val="left"/>
      <w:pPr>
        <w:ind w:left="1225" w:hanging="100"/>
      </w:pPr>
      <w:rPr>
        <w:rFonts w:hint="default"/>
      </w:rPr>
    </w:lvl>
    <w:lvl w:ilvl="5" w:tplc="93DE2A0E">
      <w:numFmt w:val="bullet"/>
      <w:lvlText w:val="•"/>
      <w:lvlJc w:val="left"/>
      <w:pPr>
        <w:ind w:left="1492" w:hanging="100"/>
      </w:pPr>
      <w:rPr>
        <w:rFonts w:hint="default"/>
      </w:rPr>
    </w:lvl>
    <w:lvl w:ilvl="6" w:tplc="DC9875B2">
      <w:numFmt w:val="bullet"/>
      <w:lvlText w:val="•"/>
      <w:lvlJc w:val="left"/>
      <w:pPr>
        <w:ind w:left="1758" w:hanging="100"/>
      </w:pPr>
      <w:rPr>
        <w:rFonts w:hint="default"/>
      </w:rPr>
    </w:lvl>
    <w:lvl w:ilvl="7" w:tplc="9F145F8C">
      <w:numFmt w:val="bullet"/>
      <w:lvlText w:val="•"/>
      <w:lvlJc w:val="left"/>
      <w:pPr>
        <w:ind w:left="2024" w:hanging="100"/>
      </w:pPr>
      <w:rPr>
        <w:rFonts w:hint="default"/>
      </w:rPr>
    </w:lvl>
    <w:lvl w:ilvl="8" w:tplc="F03276FE">
      <w:numFmt w:val="bullet"/>
      <w:lvlText w:val="•"/>
      <w:lvlJc w:val="left"/>
      <w:pPr>
        <w:ind w:left="2291" w:hanging="100"/>
      </w:pPr>
      <w:rPr>
        <w:rFonts w:hint="default"/>
      </w:rPr>
    </w:lvl>
  </w:abstractNum>
  <w:abstractNum w:abstractNumId="1114" w15:restartNumberingAfterBreak="0">
    <w:nsid w:val="46F26A5F"/>
    <w:multiLevelType w:val="hybridMultilevel"/>
    <w:tmpl w:val="101416F0"/>
    <w:lvl w:ilvl="0" w:tplc="7430D524">
      <w:numFmt w:val="bullet"/>
      <w:lvlText w:val=""/>
      <w:lvlJc w:val="left"/>
      <w:pPr>
        <w:ind w:left="156" w:hanging="100"/>
      </w:pPr>
      <w:rPr>
        <w:rFonts w:ascii="Symbol" w:eastAsia="Symbol" w:hAnsi="Symbol" w:cs="Symbol" w:hint="default"/>
        <w:color w:val="231F20"/>
        <w:w w:val="100"/>
        <w:sz w:val="14"/>
        <w:szCs w:val="14"/>
      </w:rPr>
    </w:lvl>
    <w:lvl w:ilvl="1" w:tplc="4E405658">
      <w:numFmt w:val="bullet"/>
      <w:lvlText w:val="•"/>
      <w:lvlJc w:val="left"/>
      <w:pPr>
        <w:ind w:left="426" w:hanging="100"/>
      </w:pPr>
      <w:rPr>
        <w:rFonts w:hint="default"/>
      </w:rPr>
    </w:lvl>
    <w:lvl w:ilvl="2" w:tplc="F18AE808">
      <w:numFmt w:val="bullet"/>
      <w:lvlText w:val="•"/>
      <w:lvlJc w:val="left"/>
      <w:pPr>
        <w:ind w:left="692" w:hanging="100"/>
      </w:pPr>
      <w:rPr>
        <w:rFonts w:hint="default"/>
      </w:rPr>
    </w:lvl>
    <w:lvl w:ilvl="3" w:tplc="3E9C651C">
      <w:numFmt w:val="bullet"/>
      <w:lvlText w:val="•"/>
      <w:lvlJc w:val="left"/>
      <w:pPr>
        <w:ind w:left="959" w:hanging="100"/>
      </w:pPr>
      <w:rPr>
        <w:rFonts w:hint="default"/>
      </w:rPr>
    </w:lvl>
    <w:lvl w:ilvl="4" w:tplc="583C8866">
      <w:numFmt w:val="bullet"/>
      <w:lvlText w:val="•"/>
      <w:lvlJc w:val="left"/>
      <w:pPr>
        <w:ind w:left="1225" w:hanging="100"/>
      </w:pPr>
      <w:rPr>
        <w:rFonts w:hint="default"/>
      </w:rPr>
    </w:lvl>
    <w:lvl w:ilvl="5" w:tplc="4F8AF598">
      <w:numFmt w:val="bullet"/>
      <w:lvlText w:val="•"/>
      <w:lvlJc w:val="left"/>
      <w:pPr>
        <w:ind w:left="1492" w:hanging="100"/>
      </w:pPr>
      <w:rPr>
        <w:rFonts w:hint="default"/>
      </w:rPr>
    </w:lvl>
    <w:lvl w:ilvl="6" w:tplc="8B9A31A0">
      <w:numFmt w:val="bullet"/>
      <w:lvlText w:val="•"/>
      <w:lvlJc w:val="left"/>
      <w:pPr>
        <w:ind w:left="1758" w:hanging="100"/>
      </w:pPr>
      <w:rPr>
        <w:rFonts w:hint="default"/>
      </w:rPr>
    </w:lvl>
    <w:lvl w:ilvl="7" w:tplc="228E05B4">
      <w:numFmt w:val="bullet"/>
      <w:lvlText w:val="•"/>
      <w:lvlJc w:val="left"/>
      <w:pPr>
        <w:ind w:left="2024" w:hanging="100"/>
      </w:pPr>
      <w:rPr>
        <w:rFonts w:hint="default"/>
      </w:rPr>
    </w:lvl>
    <w:lvl w:ilvl="8" w:tplc="1EF4D818">
      <w:numFmt w:val="bullet"/>
      <w:lvlText w:val="•"/>
      <w:lvlJc w:val="left"/>
      <w:pPr>
        <w:ind w:left="2291" w:hanging="100"/>
      </w:pPr>
      <w:rPr>
        <w:rFonts w:hint="default"/>
      </w:rPr>
    </w:lvl>
  </w:abstractNum>
  <w:abstractNum w:abstractNumId="1115" w15:restartNumberingAfterBreak="0">
    <w:nsid w:val="46F4461E"/>
    <w:multiLevelType w:val="hybridMultilevel"/>
    <w:tmpl w:val="502ABB5A"/>
    <w:lvl w:ilvl="0" w:tplc="E55A6988">
      <w:numFmt w:val="bullet"/>
      <w:lvlText w:val=""/>
      <w:lvlJc w:val="left"/>
      <w:pPr>
        <w:ind w:left="156" w:hanging="100"/>
      </w:pPr>
      <w:rPr>
        <w:rFonts w:ascii="Symbol" w:eastAsia="Symbol" w:hAnsi="Symbol" w:cs="Symbol" w:hint="default"/>
        <w:color w:val="231F20"/>
        <w:w w:val="100"/>
        <w:sz w:val="14"/>
        <w:szCs w:val="14"/>
      </w:rPr>
    </w:lvl>
    <w:lvl w:ilvl="1" w:tplc="03504E9A">
      <w:numFmt w:val="bullet"/>
      <w:lvlText w:val="•"/>
      <w:lvlJc w:val="left"/>
      <w:pPr>
        <w:ind w:left="426" w:hanging="100"/>
      </w:pPr>
      <w:rPr>
        <w:rFonts w:hint="default"/>
      </w:rPr>
    </w:lvl>
    <w:lvl w:ilvl="2" w:tplc="B866966A">
      <w:numFmt w:val="bullet"/>
      <w:lvlText w:val="•"/>
      <w:lvlJc w:val="left"/>
      <w:pPr>
        <w:ind w:left="692" w:hanging="100"/>
      </w:pPr>
      <w:rPr>
        <w:rFonts w:hint="default"/>
      </w:rPr>
    </w:lvl>
    <w:lvl w:ilvl="3" w:tplc="0E148342">
      <w:numFmt w:val="bullet"/>
      <w:lvlText w:val="•"/>
      <w:lvlJc w:val="left"/>
      <w:pPr>
        <w:ind w:left="959" w:hanging="100"/>
      </w:pPr>
      <w:rPr>
        <w:rFonts w:hint="default"/>
      </w:rPr>
    </w:lvl>
    <w:lvl w:ilvl="4" w:tplc="0268C066">
      <w:numFmt w:val="bullet"/>
      <w:lvlText w:val="•"/>
      <w:lvlJc w:val="left"/>
      <w:pPr>
        <w:ind w:left="1225" w:hanging="100"/>
      </w:pPr>
      <w:rPr>
        <w:rFonts w:hint="default"/>
      </w:rPr>
    </w:lvl>
    <w:lvl w:ilvl="5" w:tplc="907E943A">
      <w:numFmt w:val="bullet"/>
      <w:lvlText w:val="•"/>
      <w:lvlJc w:val="left"/>
      <w:pPr>
        <w:ind w:left="1492" w:hanging="100"/>
      </w:pPr>
      <w:rPr>
        <w:rFonts w:hint="default"/>
      </w:rPr>
    </w:lvl>
    <w:lvl w:ilvl="6" w:tplc="1A3A93CA">
      <w:numFmt w:val="bullet"/>
      <w:lvlText w:val="•"/>
      <w:lvlJc w:val="left"/>
      <w:pPr>
        <w:ind w:left="1758" w:hanging="100"/>
      </w:pPr>
      <w:rPr>
        <w:rFonts w:hint="default"/>
      </w:rPr>
    </w:lvl>
    <w:lvl w:ilvl="7" w:tplc="5726BA2E">
      <w:numFmt w:val="bullet"/>
      <w:lvlText w:val="•"/>
      <w:lvlJc w:val="left"/>
      <w:pPr>
        <w:ind w:left="2024" w:hanging="100"/>
      </w:pPr>
      <w:rPr>
        <w:rFonts w:hint="default"/>
      </w:rPr>
    </w:lvl>
    <w:lvl w:ilvl="8" w:tplc="FFC2818E">
      <w:numFmt w:val="bullet"/>
      <w:lvlText w:val="•"/>
      <w:lvlJc w:val="left"/>
      <w:pPr>
        <w:ind w:left="2291" w:hanging="100"/>
      </w:pPr>
      <w:rPr>
        <w:rFonts w:hint="default"/>
      </w:rPr>
    </w:lvl>
  </w:abstractNum>
  <w:abstractNum w:abstractNumId="1116" w15:restartNumberingAfterBreak="0">
    <w:nsid w:val="47083D4E"/>
    <w:multiLevelType w:val="hybridMultilevel"/>
    <w:tmpl w:val="1AAED672"/>
    <w:lvl w:ilvl="0" w:tplc="670E10A2">
      <w:numFmt w:val="bullet"/>
      <w:lvlText w:val=""/>
      <w:lvlJc w:val="left"/>
      <w:pPr>
        <w:ind w:left="156" w:hanging="100"/>
      </w:pPr>
      <w:rPr>
        <w:rFonts w:ascii="Symbol" w:eastAsia="Symbol" w:hAnsi="Symbol" w:cs="Symbol" w:hint="default"/>
        <w:color w:val="231F20"/>
        <w:w w:val="100"/>
        <w:sz w:val="14"/>
        <w:szCs w:val="14"/>
      </w:rPr>
    </w:lvl>
    <w:lvl w:ilvl="1" w:tplc="95F8E762">
      <w:numFmt w:val="bullet"/>
      <w:lvlText w:val="•"/>
      <w:lvlJc w:val="left"/>
      <w:pPr>
        <w:ind w:left="398" w:hanging="100"/>
      </w:pPr>
      <w:rPr>
        <w:rFonts w:hint="default"/>
      </w:rPr>
    </w:lvl>
    <w:lvl w:ilvl="2" w:tplc="336C1C28">
      <w:numFmt w:val="bullet"/>
      <w:lvlText w:val="•"/>
      <w:lvlJc w:val="left"/>
      <w:pPr>
        <w:ind w:left="636" w:hanging="100"/>
      </w:pPr>
      <w:rPr>
        <w:rFonts w:hint="default"/>
      </w:rPr>
    </w:lvl>
    <w:lvl w:ilvl="3" w:tplc="99087322">
      <w:numFmt w:val="bullet"/>
      <w:lvlText w:val="•"/>
      <w:lvlJc w:val="left"/>
      <w:pPr>
        <w:ind w:left="874" w:hanging="100"/>
      </w:pPr>
      <w:rPr>
        <w:rFonts w:hint="default"/>
      </w:rPr>
    </w:lvl>
    <w:lvl w:ilvl="4" w:tplc="46C45A20">
      <w:numFmt w:val="bullet"/>
      <w:lvlText w:val="•"/>
      <w:lvlJc w:val="left"/>
      <w:pPr>
        <w:ind w:left="1112" w:hanging="100"/>
      </w:pPr>
      <w:rPr>
        <w:rFonts w:hint="default"/>
      </w:rPr>
    </w:lvl>
    <w:lvl w:ilvl="5" w:tplc="DE18CEDC">
      <w:numFmt w:val="bullet"/>
      <w:lvlText w:val="•"/>
      <w:lvlJc w:val="left"/>
      <w:pPr>
        <w:ind w:left="1350" w:hanging="100"/>
      </w:pPr>
      <w:rPr>
        <w:rFonts w:hint="default"/>
      </w:rPr>
    </w:lvl>
    <w:lvl w:ilvl="6" w:tplc="81D08692">
      <w:numFmt w:val="bullet"/>
      <w:lvlText w:val="•"/>
      <w:lvlJc w:val="left"/>
      <w:pPr>
        <w:ind w:left="1588" w:hanging="100"/>
      </w:pPr>
      <w:rPr>
        <w:rFonts w:hint="default"/>
      </w:rPr>
    </w:lvl>
    <w:lvl w:ilvl="7" w:tplc="37CE2A98">
      <w:numFmt w:val="bullet"/>
      <w:lvlText w:val="•"/>
      <w:lvlJc w:val="left"/>
      <w:pPr>
        <w:ind w:left="1826" w:hanging="100"/>
      </w:pPr>
      <w:rPr>
        <w:rFonts w:hint="default"/>
      </w:rPr>
    </w:lvl>
    <w:lvl w:ilvl="8" w:tplc="922AC70E">
      <w:numFmt w:val="bullet"/>
      <w:lvlText w:val="•"/>
      <w:lvlJc w:val="left"/>
      <w:pPr>
        <w:ind w:left="2064" w:hanging="100"/>
      </w:pPr>
      <w:rPr>
        <w:rFonts w:hint="default"/>
      </w:rPr>
    </w:lvl>
  </w:abstractNum>
  <w:abstractNum w:abstractNumId="1117" w15:restartNumberingAfterBreak="0">
    <w:nsid w:val="470C54D5"/>
    <w:multiLevelType w:val="hybridMultilevel"/>
    <w:tmpl w:val="60C4BCFE"/>
    <w:lvl w:ilvl="0" w:tplc="FA4AA878">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8124C050">
      <w:numFmt w:val="bullet"/>
      <w:lvlText w:val="•"/>
      <w:lvlJc w:val="left"/>
      <w:pPr>
        <w:ind w:left="351" w:hanging="84"/>
      </w:pPr>
      <w:rPr>
        <w:rFonts w:hint="default"/>
      </w:rPr>
    </w:lvl>
    <w:lvl w:ilvl="2" w:tplc="540EF534">
      <w:numFmt w:val="bullet"/>
      <w:lvlText w:val="•"/>
      <w:lvlJc w:val="left"/>
      <w:pPr>
        <w:ind w:left="563" w:hanging="84"/>
      </w:pPr>
      <w:rPr>
        <w:rFonts w:hint="default"/>
      </w:rPr>
    </w:lvl>
    <w:lvl w:ilvl="3" w:tplc="6600A456">
      <w:numFmt w:val="bullet"/>
      <w:lvlText w:val="•"/>
      <w:lvlJc w:val="left"/>
      <w:pPr>
        <w:ind w:left="775" w:hanging="84"/>
      </w:pPr>
      <w:rPr>
        <w:rFonts w:hint="default"/>
      </w:rPr>
    </w:lvl>
    <w:lvl w:ilvl="4" w:tplc="F8B0295E">
      <w:numFmt w:val="bullet"/>
      <w:lvlText w:val="•"/>
      <w:lvlJc w:val="left"/>
      <w:pPr>
        <w:ind w:left="986" w:hanging="84"/>
      </w:pPr>
      <w:rPr>
        <w:rFonts w:hint="default"/>
      </w:rPr>
    </w:lvl>
    <w:lvl w:ilvl="5" w:tplc="54E657F2">
      <w:numFmt w:val="bullet"/>
      <w:lvlText w:val="•"/>
      <w:lvlJc w:val="left"/>
      <w:pPr>
        <w:ind w:left="1198" w:hanging="84"/>
      </w:pPr>
      <w:rPr>
        <w:rFonts w:hint="default"/>
      </w:rPr>
    </w:lvl>
    <w:lvl w:ilvl="6" w:tplc="513A7CDA">
      <w:numFmt w:val="bullet"/>
      <w:lvlText w:val="•"/>
      <w:lvlJc w:val="left"/>
      <w:pPr>
        <w:ind w:left="1410" w:hanging="84"/>
      </w:pPr>
      <w:rPr>
        <w:rFonts w:hint="default"/>
      </w:rPr>
    </w:lvl>
    <w:lvl w:ilvl="7" w:tplc="3650116E">
      <w:numFmt w:val="bullet"/>
      <w:lvlText w:val="•"/>
      <w:lvlJc w:val="left"/>
      <w:pPr>
        <w:ind w:left="1621" w:hanging="84"/>
      </w:pPr>
      <w:rPr>
        <w:rFonts w:hint="default"/>
      </w:rPr>
    </w:lvl>
    <w:lvl w:ilvl="8" w:tplc="F36278E6">
      <w:numFmt w:val="bullet"/>
      <w:lvlText w:val="•"/>
      <w:lvlJc w:val="left"/>
      <w:pPr>
        <w:ind w:left="1833" w:hanging="84"/>
      </w:pPr>
      <w:rPr>
        <w:rFonts w:hint="default"/>
      </w:rPr>
    </w:lvl>
  </w:abstractNum>
  <w:abstractNum w:abstractNumId="1118" w15:restartNumberingAfterBreak="0">
    <w:nsid w:val="471B0CA1"/>
    <w:multiLevelType w:val="hybridMultilevel"/>
    <w:tmpl w:val="6C30E610"/>
    <w:lvl w:ilvl="0" w:tplc="93DA955C">
      <w:numFmt w:val="bullet"/>
      <w:lvlText w:val=""/>
      <w:lvlJc w:val="left"/>
      <w:pPr>
        <w:ind w:left="156" w:hanging="100"/>
      </w:pPr>
      <w:rPr>
        <w:rFonts w:ascii="Symbol" w:eastAsia="Symbol" w:hAnsi="Symbol" w:cs="Symbol" w:hint="default"/>
        <w:color w:val="231F20"/>
        <w:w w:val="100"/>
        <w:sz w:val="14"/>
        <w:szCs w:val="14"/>
      </w:rPr>
    </w:lvl>
    <w:lvl w:ilvl="1" w:tplc="7772BB6C">
      <w:numFmt w:val="bullet"/>
      <w:lvlText w:val="•"/>
      <w:lvlJc w:val="left"/>
      <w:pPr>
        <w:ind w:left="301" w:hanging="100"/>
      </w:pPr>
      <w:rPr>
        <w:rFonts w:hint="default"/>
      </w:rPr>
    </w:lvl>
    <w:lvl w:ilvl="2" w:tplc="975E5A3C">
      <w:numFmt w:val="bullet"/>
      <w:lvlText w:val="•"/>
      <w:lvlJc w:val="left"/>
      <w:pPr>
        <w:ind w:left="443" w:hanging="100"/>
      </w:pPr>
      <w:rPr>
        <w:rFonts w:hint="default"/>
      </w:rPr>
    </w:lvl>
    <w:lvl w:ilvl="3" w:tplc="36886B7A">
      <w:numFmt w:val="bullet"/>
      <w:lvlText w:val="•"/>
      <w:lvlJc w:val="left"/>
      <w:pPr>
        <w:ind w:left="585" w:hanging="100"/>
      </w:pPr>
      <w:rPr>
        <w:rFonts w:hint="default"/>
      </w:rPr>
    </w:lvl>
    <w:lvl w:ilvl="4" w:tplc="98F67954">
      <w:numFmt w:val="bullet"/>
      <w:lvlText w:val="•"/>
      <w:lvlJc w:val="left"/>
      <w:pPr>
        <w:ind w:left="726" w:hanging="100"/>
      </w:pPr>
      <w:rPr>
        <w:rFonts w:hint="default"/>
      </w:rPr>
    </w:lvl>
    <w:lvl w:ilvl="5" w:tplc="0658CBA0">
      <w:numFmt w:val="bullet"/>
      <w:lvlText w:val="•"/>
      <w:lvlJc w:val="left"/>
      <w:pPr>
        <w:ind w:left="868" w:hanging="100"/>
      </w:pPr>
      <w:rPr>
        <w:rFonts w:hint="default"/>
      </w:rPr>
    </w:lvl>
    <w:lvl w:ilvl="6" w:tplc="6E5C5198">
      <w:numFmt w:val="bullet"/>
      <w:lvlText w:val="•"/>
      <w:lvlJc w:val="left"/>
      <w:pPr>
        <w:ind w:left="1010" w:hanging="100"/>
      </w:pPr>
      <w:rPr>
        <w:rFonts w:hint="default"/>
      </w:rPr>
    </w:lvl>
    <w:lvl w:ilvl="7" w:tplc="C15EC360">
      <w:numFmt w:val="bullet"/>
      <w:lvlText w:val="•"/>
      <w:lvlJc w:val="left"/>
      <w:pPr>
        <w:ind w:left="1151" w:hanging="100"/>
      </w:pPr>
      <w:rPr>
        <w:rFonts w:hint="default"/>
      </w:rPr>
    </w:lvl>
    <w:lvl w:ilvl="8" w:tplc="C03068DC">
      <w:numFmt w:val="bullet"/>
      <w:lvlText w:val="•"/>
      <w:lvlJc w:val="left"/>
      <w:pPr>
        <w:ind w:left="1293" w:hanging="100"/>
      </w:pPr>
      <w:rPr>
        <w:rFonts w:hint="default"/>
      </w:rPr>
    </w:lvl>
  </w:abstractNum>
  <w:abstractNum w:abstractNumId="1119" w15:restartNumberingAfterBreak="0">
    <w:nsid w:val="47204B52"/>
    <w:multiLevelType w:val="hybridMultilevel"/>
    <w:tmpl w:val="813C7CFA"/>
    <w:lvl w:ilvl="0" w:tplc="EAB6D092">
      <w:numFmt w:val="bullet"/>
      <w:lvlText w:val=""/>
      <w:lvlJc w:val="left"/>
      <w:pPr>
        <w:ind w:left="156" w:hanging="100"/>
      </w:pPr>
      <w:rPr>
        <w:rFonts w:ascii="Symbol" w:eastAsia="Symbol" w:hAnsi="Symbol" w:cs="Symbol" w:hint="default"/>
        <w:color w:val="231F20"/>
        <w:w w:val="100"/>
        <w:sz w:val="14"/>
        <w:szCs w:val="14"/>
      </w:rPr>
    </w:lvl>
    <w:lvl w:ilvl="1" w:tplc="2332ACEA">
      <w:numFmt w:val="bullet"/>
      <w:lvlText w:val="•"/>
      <w:lvlJc w:val="left"/>
      <w:pPr>
        <w:ind w:left="426" w:hanging="100"/>
      </w:pPr>
      <w:rPr>
        <w:rFonts w:hint="default"/>
      </w:rPr>
    </w:lvl>
    <w:lvl w:ilvl="2" w:tplc="27542CEA">
      <w:numFmt w:val="bullet"/>
      <w:lvlText w:val="•"/>
      <w:lvlJc w:val="left"/>
      <w:pPr>
        <w:ind w:left="692" w:hanging="100"/>
      </w:pPr>
      <w:rPr>
        <w:rFonts w:hint="default"/>
      </w:rPr>
    </w:lvl>
    <w:lvl w:ilvl="3" w:tplc="5DA62482">
      <w:numFmt w:val="bullet"/>
      <w:lvlText w:val="•"/>
      <w:lvlJc w:val="left"/>
      <w:pPr>
        <w:ind w:left="959" w:hanging="100"/>
      </w:pPr>
      <w:rPr>
        <w:rFonts w:hint="default"/>
      </w:rPr>
    </w:lvl>
    <w:lvl w:ilvl="4" w:tplc="F3860664">
      <w:numFmt w:val="bullet"/>
      <w:lvlText w:val="•"/>
      <w:lvlJc w:val="left"/>
      <w:pPr>
        <w:ind w:left="1225" w:hanging="100"/>
      </w:pPr>
      <w:rPr>
        <w:rFonts w:hint="default"/>
      </w:rPr>
    </w:lvl>
    <w:lvl w:ilvl="5" w:tplc="948A1092">
      <w:numFmt w:val="bullet"/>
      <w:lvlText w:val="•"/>
      <w:lvlJc w:val="left"/>
      <w:pPr>
        <w:ind w:left="1492" w:hanging="100"/>
      </w:pPr>
      <w:rPr>
        <w:rFonts w:hint="default"/>
      </w:rPr>
    </w:lvl>
    <w:lvl w:ilvl="6" w:tplc="2A6AB296">
      <w:numFmt w:val="bullet"/>
      <w:lvlText w:val="•"/>
      <w:lvlJc w:val="left"/>
      <w:pPr>
        <w:ind w:left="1758" w:hanging="100"/>
      </w:pPr>
      <w:rPr>
        <w:rFonts w:hint="default"/>
      </w:rPr>
    </w:lvl>
    <w:lvl w:ilvl="7" w:tplc="CAD4B5B4">
      <w:numFmt w:val="bullet"/>
      <w:lvlText w:val="•"/>
      <w:lvlJc w:val="left"/>
      <w:pPr>
        <w:ind w:left="2024" w:hanging="100"/>
      </w:pPr>
      <w:rPr>
        <w:rFonts w:hint="default"/>
      </w:rPr>
    </w:lvl>
    <w:lvl w:ilvl="8" w:tplc="4498F720">
      <w:numFmt w:val="bullet"/>
      <w:lvlText w:val="•"/>
      <w:lvlJc w:val="left"/>
      <w:pPr>
        <w:ind w:left="2291" w:hanging="100"/>
      </w:pPr>
      <w:rPr>
        <w:rFonts w:hint="default"/>
      </w:rPr>
    </w:lvl>
  </w:abstractNum>
  <w:abstractNum w:abstractNumId="1120" w15:restartNumberingAfterBreak="0">
    <w:nsid w:val="47264E5D"/>
    <w:multiLevelType w:val="hybridMultilevel"/>
    <w:tmpl w:val="F8CE8016"/>
    <w:lvl w:ilvl="0" w:tplc="6366A87C">
      <w:numFmt w:val="bullet"/>
      <w:lvlText w:val=""/>
      <w:lvlJc w:val="left"/>
      <w:pPr>
        <w:ind w:left="156" w:hanging="100"/>
      </w:pPr>
      <w:rPr>
        <w:rFonts w:ascii="Symbol" w:eastAsia="Symbol" w:hAnsi="Symbol" w:cs="Symbol" w:hint="default"/>
        <w:color w:val="231F20"/>
        <w:w w:val="100"/>
        <w:sz w:val="14"/>
        <w:szCs w:val="14"/>
      </w:rPr>
    </w:lvl>
    <w:lvl w:ilvl="1" w:tplc="098A5B4A">
      <w:numFmt w:val="bullet"/>
      <w:lvlText w:val="•"/>
      <w:lvlJc w:val="left"/>
      <w:pPr>
        <w:ind w:left="398" w:hanging="100"/>
      </w:pPr>
      <w:rPr>
        <w:rFonts w:hint="default"/>
      </w:rPr>
    </w:lvl>
    <w:lvl w:ilvl="2" w:tplc="77662706">
      <w:numFmt w:val="bullet"/>
      <w:lvlText w:val="•"/>
      <w:lvlJc w:val="left"/>
      <w:pPr>
        <w:ind w:left="636" w:hanging="100"/>
      </w:pPr>
      <w:rPr>
        <w:rFonts w:hint="default"/>
      </w:rPr>
    </w:lvl>
    <w:lvl w:ilvl="3" w:tplc="78DAE300">
      <w:numFmt w:val="bullet"/>
      <w:lvlText w:val="•"/>
      <w:lvlJc w:val="left"/>
      <w:pPr>
        <w:ind w:left="874" w:hanging="100"/>
      </w:pPr>
      <w:rPr>
        <w:rFonts w:hint="default"/>
      </w:rPr>
    </w:lvl>
    <w:lvl w:ilvl="4" w:tplc="239A2F7E">
      <w:numFmt w:val="bullet"/>
      <w:lvlText w:val="•"/>
      <w:lvlJc w:val="left"/>
      <w:pPr>
        <w:ind w:left="1112" w:hanging="100"/>
      </w:pPr>
      <w:rPr>
        <w:rFonts w:hint="default"/>
      </w:rPr>
    </w:lvl>
    <w:lvl w:ilvl="5" w:tplc="84BC8088">
      <w:numFmt w:val="bullet"/>
      <w:lvlText w:val="•"/>
      <w:lvlJc w:val="left"/>
      <w:pPr>
        <w:ind w:left="1350" w:hanging="100"/>
      </w:pPr>
      <w:rPr>
        <w:rFonts w:hint="default"/>
      </w:rPr>
    </w:lvl>
    <w:lvl w:ilvl="6" w:tplc="5BEE184A">
      <w:numFmt w:val="bullet"/>
      <w:lvlText w:val="•"/>
      <w:lvlJc w:val="left"/>
      <w:pPr>
        <w:ind w:left="1588" w:hanging="100"/>
      </w:pPr>
      <w:rPr>
        <w:rFonts w:hint="default"/>
      </w:rPr>
    </w:lvl>
    <w:lvl w:ilvl="7" w:tplc="42B6CB6A">
      <w:numFmt w:val="bullet"/>
      <w:lvlText w:val="•"/>
      <w:lvlJc w:val="left"/>
      <w:pPr>
        <w:ind w:left="1826" w:hanging="100"/>
      </w:pPr>
      <w:rPr>
        <w:rFonts w:hint="default"/>
      </w:rPr>
    </w:lvl>
    <w:lvl w:ilvl="8" w:tplc="5C801538">
      <w:numFmt w:val="bullet"/>
      <w:lvlText w:val="•"/>
      <w:lvlJc w:val="left"/>
      <w:pPr>
        <w:ind w:left="2064" w:hanging="100"/>
      </w:pPr>
      <w:rPr>
        <w:rFonts w:hint="default"/>
      </w:rPr>
    </w:lvl>
  </w:abstractNum>
  <w:abstractNum w:abstractNumId="1121" w15:restartNumberingAfterBreak="0">
    <w:nsid w:val="47375A4D"/>
    <w:multiLevelType w:val="hybridMultilevel"/>
    <w:tmpl w:val="2C96F0BC"/>
    <w:lvl w:ilvl="0" w:tplc="0FBC11CA">
      <w:numFmt w:val="bullet"/>
      <w:lvlText w:val=""/>
      <w:lvlJc w:val="left"/>
      <w:pPr>
        <w:ind w:left="156" w:hanging="100"/>
      </w:pPr>
      <w:rPr>
        <w:rFonts w:ascii="Symbol" w:eastAsia="Symbol" w:hAnsi="Symbol" w:cs="Symbol" w:hint="default"/>
        <w:color w:val="231F20"/>
        <w:w w:val="100"/>
        <w:sz w:val="14"/>
        <w:szCs w:val="14"/>
      </w:rPr>
    </w:lvl>
    <w:lvl w:ilvl="1" w:tplc="C43CA4DE">
      <w:numFmt w:val="bullet"/>
      <w:lvlText w:val="•"/>
      <w:lvlJc w:val="left"/>
      <w:pPr>
        <w:ind w:left="398" w:hanging="100"/>
      </w:pPr>
      <w:rPr>
        <w:rFonts w:hint="default"/>
      </w:rPr>
    </w:lvl>
    <w:lvl w:ilvl="2" w:tplc="5254DD96">
      <w:numFmt w:val="bullet"/>
      <w:lvlText w:val="•"/>
      <w:lvlJc w:val="left"/>
      <w:pPr>
        <w:ind w:left="636" w:hanging="100"/>
      </w:pPr>
      <w:rPr>
        <w:rFonts w:hint="default"/>
      </w:rPr>
    </w:lvl>
    <w:lvl w:ilvl="3" w:tplc="5BEE25FA">
      <w:numFmt w:val="bullet"/>
      <w:lvlText w:val="•"/>
      <w:lvlJc w:val="left"/>
      <w:pPr>
        <w:ind w:left="874" w:hanging="100"/>
      </w:pPr>
      <w:rPr>
        <w:rFonts w:hint="default"/>
      </w:rPr>
    </w:lvl>
    <w:lvl w:ilvl="4" w:tplc="2A404B0A">
      <w:numFmt w:val="bullet"/>
      <w:lvlText w:val="•"/>
      <w:lvlJc w:val="left"/>
      <w:pPr>
        <w:ind w:left="1112" w:hanging="100"/>
      </w:pPr>
      <w:rPr>
        <w:rFonts w:hint="default"/>
      </w:rPr>
    </w:lvl>
    <w:lvl w:ilvl="5" w:tplc="56821A3A">
      <w:numFmt w:val="bullet"/>
      <w:lvlText w:val="•"/>
      <w:lvlJc w:val="left"/>
      <w:pPr>
        <w:ind w:left="1350" w:hanging="100"/>
      </w:pPr>
      <w:rPr>
        <w:rFonts w:hint="default"/>
      </w:rPr>
    </w:lvl>
    <w:lvl w:ilvl="6" w:tplc="67DAB344">
      <w:numFmt w:val="bullet"/>
      <w:lvlText w:val="•"/>
      <w:lvlJc w:val="left"/>
      <w:pPr>
        <w:ind w:left="1588" w:hanging="100"/>
      </w:pPr>
      <w:rPr>
        <w:rFonts w:hint="default"/>
      </w:rPr>
    </w:lvl>
    <w:lvl w:ilvl="7" w:tplc="CFB6FF28">
      <w:numFmt w:val="bullet"/>
      <w:lvlText w:val="•"/>
      <w:lvlJc w:val="left"/>
      <w:pPr>
        <w:ind w:left="1826" w:hanging="100"/>
      </w:pPr>
      <w:rPr>
        <w:rFonts w:hint="default"/>
      </w:rPr>
    </w:lvl>
    <w:lvl w:ilvl="8" w:tplc="4BF434B2">
      <w:numFmt w:val="bullet"/>
      <w:lvlText w:val="•"/>
      <w:lvlJc w:val="left"/>
      <w:pPr>
        <w:ind w:left="2064" w:hanging="100"/>
      </w:pPr>
      <w:rPr>
        <w:rFonts w:hint="default"/>
      </w:rPr>
    </w:lvl>
  </w:abstractNum>
  <w:abstractNum w:abstractNumId="1122" w15:restartNumberingAfterBreak="0">
    <w:nsid w:val="474D1B4B"/>
    <w:multiLevelType w:val="hybridMultilevel"/>
    <w:tmpl w:val="786A02D8"/>
    <w:lvl w:ilvl="0" w:tplc="6C1AAD9A">
      <w:numFmt w:val="bullet"/>
      <w:lvlText w:val="–"/>
      <w:lvlJc w:val="left"/>
      <w:pPr>
        <w:ind w:left="497" w:hanging="135"/>
      </w:pPr>
      <w:rPr>
        <w:rFonts w:ascii="Times New Roman" w:eastAsia="Times New Roman" w:hAnsi="Times New Roman" w:cs="Times New Roman" w:hint="default"/>
        <w:color w:val="231F20"/>
        <w:spacing w:val="-3"/>
        <w:w w:val="100"/>
        <w:sz w:val="18"/>
        <w:szCs w:val="18"/>
      </w:rPr>
    </w:lvl>
    <w:lvl w:ilvl="1" w:tplc="72CEBA64">
      <w:numFmt w:val="bullet"/>
      <w:lvlText w:val="•"/>
      <w:lvlJc w:val="left"/>
      <w:pPr>
        <w:ind w:left="1528" w:hanging="135"/>
      </w:pPr>
      <w:rPr>
        <w:rFonts w:hint="default"/>
      </w:rPr>
    </w:lvl>
    <w:lvl w:ilvl="2" w:tplc="04D0E62A">
      <w:numFmt w:val="bullet"/>
      <w:lvlText w:val="•"/>
      <w:lvlJc w:val="left"/>
      <w:pPr>
        <w:ind w:left="2557" w:hanging="135"/>
      </w:pPr>
      <w:rPr>
        <w:rFonts w:hint="default"/>
      </w:rPr>
    </w:lvl>
    <w:lvl w:ilvl="3" w:tplc="742E7208">
      <w:numFmt w:val="bullet"/>
      <w:lvlText w:val="•"/>
      <w:lvlJc w:val="left"/>
      <w:pPr>
        <w:ind w:left="3585" w:hanging="135"/>
      </w:pPr>
      <w:rPr>
        <w:rFonts w:hint="default"/>
      </w:rPr>
    </w:lvl>
    <w:lvl w:ilvl="4" w:tplc="391C5242">
      <w:numFmt w:val="bullet"/>
      <w:lvlText w:val="•"/>
      <w:lvlJc w:val="left"/>
      <w:pPr>
        <w:ind w:left="4614" w:hanging="135"/>
      </w:pPr>
      <w:rPr>
        <w:rFonts w:hint="default"/>
      </w:rPr>
    </w:lvl>
    <w:lvl w:ilvl="5" w:tplc="31CCDB58">
      <w:numFmt w:val="bullet"/>
      <w:lvlText w:val="•"/>
      <w:lvlJc w:val="left"/>
      <w:pPr>
        <w:ind w:left="5642" w:hanging="135"/>
      </w:pPr>
      <w:rPr>
        <w:rFonts w:hint="default"/>
      </w:rPr>
    </w:lvl>
    <w:lvl w:ilvl="6" w:tplc="51CC700C">
      <w:numFmt w:val="bullet"/>
      <w:lvlText w:val="•"/>
      <w:lvlJc w:val="left"/>
      <w:pPr>
        <w:ind w:left="6671" w:hanging="135"/>
      </w:pPr>
      <w:rPr>
        <w:rFonts w:hint="default"/>
      </w:rPr>
    </w:lvl>
    <w:lvl w:ilvl="7" w:tplc="DEAE4754">
      <w:numFmt w:val="bullet"/>
      <w:lvlText w:val="•"/>
      <w:lvlJc w:val="left"/>
      <w:pPr>
        <w:ind w:left="7699" w:hanging="135"/>
      </w:pPr>
      <w:rPr>
        <w:rFonts w:hint="default"/>
      </w:rPr>
    </w:lvl>
    <w:lvl w:ilvl="8" w:tplc="EDDEFC0C">
      <w:numFmt w:val="bullet"/>
      <w:lvlText w:val="•"/>
      <w:lvlJc w:val="left"/>
      <w:pPr>
        <w:ind w:left="8728" w:hanging="135"/>
      </w:pPr>
      <w:rPr>
        <w:rFonts w:hint="default"/>
      </w:rPr>
    </w:lvl>
  </w:abstractNum>
  <w:abstractNum w:abstractNumId="1123" w15:restartNumberingAfterBreak="0">
    <w:nsid w:val="476C38BF"/>
    <w:multiLevelType w:val="hybridMultilevel"/>
    <w:tmpl w:val="5644F4AE"/>
    <w:lvl w:ilvl="0" w:tplc="52DADB6E">
      <w:numFmt w:val="bullet"/>
      <w:lvlText w:val=""/>
      <w:lvlJc w:val="left"/>
      <w:pPr>
        <w:ind w:left="156" w:hanging="100"/>
      </w:pPr>
      <w:rPr>
        <w:rFonts w:ascii="Symbol" w:eastAsia="Symbol" w:hAnsi="Symbol" w:cs="Symbol" w:hint="default"/>
        <w:color w:val="231F20"/>
        <w:w w:val="100"/>
        <w:sz w:val="14"/>
        <w:szCs w:val="14"/>
      </w:rPr>
    </w:lvl>
    <w:lvl w:ilvl="1" w:tplc="C8C83304">
      <w:numFmt w:val="bullet"/>
      <w:lvlText w:val="•"/>
      <w:lvlJc w:val="left"/>
      <w:pPr>
        <w:ind w:left="426" w:hanging="100"/>
      </w:pPr>
      <w:rPr>
        <w:rFonts w:hint="default"/>
      </w:rPr>
    </w:lvl>
    <w:lvl w:ilvl="2" w:tplc="8A22CA80">
      <w:numFmt w:val="bullet"/>
      <w:lvlText w:val="•"/>
      <w:lvlJc w:val="left"/>
      <w:pPr>
        <w:ind w:left="692" w:hanging="100"/>
      </w:pPr>
      <w:rPr>
        <w:rFonts w:hint="default"/>
      </w:rPr>
    </w:lvl>
    <w:lvl w:ilvl="3" w:tplc="21FACF26">
      <w:numFmt w:val="bullet"/>
      <w:lvlText w:val="•"/>
      <w:lvlJc w:val="left"/>
      <w:pPr>
        <w:ind w:left="959" w:hanging="100"/>
      </w:pPr>
      <w:rPr>
        <w:rFonts w:hint="default"/>
      </w:rPr>
    </w:lvl>
    <w:lvl w:ilvl="4" w:tplc="60A650A4">
      <w:numFmt w:val="bullet"/>
      <w:lvlText w:val="•"/>
      <w:lvlJc w:val="left"/>
      <w:pPr>
        <w:ind w:left="1225" w:hanging="100"/>
      </w:pPr>
      <w:rPr>
        <w:rFonts w:hint="default"/>
      </w:rPr>
    </w:lvl>
    <w:lvl w:ilvl="5" w:tplc="130C0280">
      <w:numFmt w:val="bullet"/>
      <w:lvlText w:val="•"/>
      <w:lvlJc w:val="left"/>
      <w:pPr>
        <w:ind w:left="1492" w:hanging="100"/>
      </w:pPr>
      <w:rPr>
        <w:rFonts w:hint="default"/>
      </w:rPr>
    </w:lvl>
    <w:lvl w:ilvl="6" w:tplc="66C896D4">
      <w:numFmt w:val="bullet"/>
      <w:lvlText w:val="•"/>
      <w:lvlJc w:val="left"/>
      <w:pPr>
        <w:ind w:left="1758" w:hanging="100"/>
      </w:pPr>
      <w:rPr>
        <w:rFonts w:hint="default"/>
      </w:rPr>
    </w:lvl>
    <w:lvl w:ilvl="7" w:tplc="B1F46A5E">
      <w:numFmt w:val="bullet"/>
      <w:lvlText w:val="•"/>
      <w:lvlJc w:val="left"/>
      <w:pPr>
        <w:ind w:left="2024" w:hanging="100"/>
      </w:pPr>
      <w:rPr>
        <w:rFonts w:hint="default"/>
      </w:rPr>
    </w:lvl>
    <w:lvl w:ilvl="8" w:tplc="06AEA7D2">
      <w:numFmt w:val="bullet"/>
      <w:lvlText w:val="•"/>
      <w:lvlJc w:val="left"/>
      <w:pPr>
        <w:ind w:left="2291" w:hanging="100"/>
      </w:pPr>
      <w:rPr>
        <w:rFonts w:hint="default"/>
      </w:rPr>
    </w:lvl>
  </w:abstractNum>
  <w:abstractNum w:abstractNumId="1124" w15:restartNumberingAfterBreak="0">
    <w:nsid w:val="478875DB"/>
    <w:multiLevelType w:val="hybridMultilevel"/>
    <w:tmpl w:val="29E6B6C0"/>
    <w:lvl w:ilvl="0" w:tplc="61042C48">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43D00452">
      <w:numFmt w:val="bullet"/>
      <w:lvlText w:val="•"/>
      <w:lvlJc w:val="left"/>
      <w:pPr>
        <w:ind w:left="408" w:hanging="84"/>
      </w:pPr>
      <w:rPr>
        <w:rFonts w:hint="default"/>
      </w:rPr>
    </w:lvl>
    <w:lvl w:ilvl="2" w:tplc="122EC2F2">
      <w:numFmt w:val="bullet"/>
      <w:lvlText w:val="•"/>
      <w:lvlJc w:val="left"/>
      <w:pPr>
        <w:ind w:left="676" w:hanging="84"/>
      </w:pPr>
      <w:rPr>
        <w:rFonts w:hint="default"/>
      </w:rPr>
    </w:lvl>
    <w:lvl w:ilvl="3" w:tplc="373A1DC4">
      <w:numFmt w:val="bullet"/>
      <w:lvlText w:val="•"/>
      <w:lvlJc w:val="left"/>
      <w:pPr>
        <w:ind w:left="945" w:hanging="84"/>
      </w:pPr>
      <w:rPr>
        <w:rFonts w:hint="default"/>
      </w:rPr>
    </w:lvl>
    <w:lvl w:ilvl="4" w:tplc="2BBC2B16">
      <w:numFmt w:val="bullet"/>
      <w:lvlText w:val="•"/>
      <w:lvlJc w:val="left"/>
      <w:pPr>
        <w:ind w:left="1213" w:hanging="84"/>
      </w:pPr>
      <w:rPr>
        <w:rFonts w:hint="default"/>
      </w:rPr>
    </w:lvl>
    <w:lvl w:ilvl="5" w:tplc="6922BCCE">
      <w:numFmt w:val="bullet"/>
      <w:lvlText w:val="•"/>
      <w:lvlJc w:val="left"/>
      <w:pPr>
        <w:ind w:left="1482" w:hanging="84"/>
      </w:pPr>
      <w:rPr>
        <w:rFonts w:hint="default"/>
      </w:rPr>
    </w:lvl>
    <w:lvl w:ilvl="6" w:tplc="D89A1C42">
      <w:numFmt w:val="bullet"/>
      <w:lvlText w:val="•"/>
      <w:lvlJc w:val="left"/>
      <w:pPr>
        <w:ind w:left="1750" w:hanging="84"/>
      </w:pPr>
      <w:rPr>
        <w:rFonts w:hint="default"/>
      </w:rPr>
    </w:lvl>
    <w:lvl w:ilvl="7" w:tplc="5A468940">
      <w:numFmt w:val="bullet"/>
      <w:lvlText w:val="•"/>
      <w:lvlJc w:val="left"/>
      <w:pPr>
        <w:ind w:left="2018" w:hanging="84"/>
      </w:pPr>
      <w:rPr>
        <w:rFonts w:hint="default"/>
      </w:rPr>
    </w:lvl>
    <w:lvl w:ilvl="8" w:tplc="C1405838">
      <w:numFmt w:val="bullet"/>
      <w:lvlText w:val="•"/>
      <w:lvlJc w:val="left"/>
      <w:pPr>
        <w:ind w:left="2287" w:hanging="84"/>
      </w:pPr>
      <w:rPr>
        <w:rFonts w:hint="default"/>
      </w:rPr>
    </w:lvl>
  </w:abstractNum>
  <w:abstractNum w:abstractNumId="1125" w15:restartNumberingAfterBreak="0">
    <w:nsid w:val="479C716D"/>
    <w:multiLevelType w:val="hybridMultilevel"/>
    <w:tmpl w:val="73CE4AE0"/>
    <w:lvl w:ilvl="0" w:tplc="EDBAB0A0">
      <w:numFmt w:val="bullet"/>
      <w:lvlText w:val=""/>
      <w:lvlJc w:val="left"/>
      <w:pPr>
        <w:ind w:left="156" w:hanging="100"/>
      </w:pPr>
      <w:rPr>
        <w:rFonts w:ascii="Symbol" w:eastAsia="Symbol" w:hAnsi="Symbol" w:cs="Symbol" w:hint="default"/>
        <w:color w:val="231F20"/>
        <w:w w:val="100"/>
        <w:sz w:val="14"/>
        <w:szCs w:val="14"/>
      </w:rPr>
    </w:lvl>
    <w:lvl w:ilvl="1" w:tplc="5B4008CA">
      <w:numFmt w:val="bullet"/>
      <w:lvlText w:val="•"/>
      <w:lvlJc w:val="left"/>
      <w:pPr>
        <w:ind w:left="301" w:hanging="100"/>
      </w:pPr>
      <w:rPr>
        <w:rFonts w:hint="default"/>
      </w:rPr>
    </w:lvl>
    <w:lvl w:ilvl="2" w:tplc="9A9AB1EC">
      <w:numFmt w:val="bullet"/>
      <w:lvlText w:val="•"/>
      <w:lvlJc w:val="left"/>
      <w:pPr>
        <w:ind w:left="443" w:hanging="100"/>
      </w:pPr>
      <w:rPr>
        <w:rFonts w:hint="default"/>
      </w:rPr>
    </w:lvl>
    <w:lvl w:ilvl="3" w:tplc="1F4C176E">
      <w:numFmt w:val="bullet"/>
      <w:lvlText w:val="•"/>
      <w:lvlJc w:val="left"/>
      <w:pPr>
        <w:ind w:left="585" w:hanging="100"/>
      </w:pPr>
      <w:rPr>
        <w:rFonts w:hint="default"/>
      </w:rPr>
    </w:lvl>
    <w:lvl w:ilvl="4" w:tplc="304E7260">
      <w:numFmt w:val="bullet"/>
      <w:lvlText w:val="•"/>
      <w:lvlJc w:val="left"/>
      <w:pPr>
        <w:ind w:left="726" w:hanging="100"/>
      </w:pPr>
      <w:rPr>
        <w:rFonts w:hint="default"/>
      </w:rPr>
    </w:lvl>
    <w:lvl w:ilvl="5" w:tplc="645CAAD0">
      <w:numFmt w:val="bullet"/>
      <w:lvlText w:val="•"/>
      <w:lvlJc w:val="left"/>
      <w:pPr>
        <w:ind w:left="868" w:hanging="100"/>
      </w:pPr>
      <w:rPr>
        <w:rFonts w:hint="default"/>
      </w:rPr>
    </w:lvl>
    <w:lvl w:ilvl="6" w:tplc="7966AEBA">
      <w:numFmt w:val="bullet"/>
      <w:lvlText w:val="•"/>
      <w:lvlJc w:val="left"/>
      <w:pPr>
        <w:ind w:left="1010" w:hanging="100"/>
      </w:pPr>
      <w:rPr>
        <w:rFonts w:hint="default"/>
      </w:rPr>
    </w:lvl>
    <w:lvl w:ilvl="7" w:tplc="9648F30E">
      <w:numFmt w:val="bullet"/>
      <w:lvlText w:val="•"/>
      <w:lvlJc w:val="left"/>
      <w:pPr>
        <w:ind w:left="1151" w:hanging="100"/>
      </w:pPr>
      <w:rPr>
        <w:rFonts w:hint="default"/>
      </w:rPr>
    </w:lvl>
    <w:lvl w:ilvl="8" w:tplc="F48E6D40">
      <w:numFmt w:val="bullet"/>
      <w:lvlText w:val="•"/>
      <w:lvlJc w:val="left"/>
      <w:pPr>
        <w:ind w:left="1293" w:hanging="100"/>
      </w:pPr>
      <w:rPr>
        <w:rFonts w:hint="default"/>
      </w:rPr>
    </w:lvl>
  </w:abstractNum>
  <w:abstractNum w:abstractNumId="1126" w15:restartNumberingAfterBreak="0">
    <w:nsid w:val="47AD78E0"/>
    <w:multiLevelType w:val="hybridMultilevel"/>
    <w:tmpl w:val="E4B6D9E8"/>
    <w:lvl w:ilvl="0" w:tplc="569E51CA">
      <w:numFmt w:val="bullet"/>
      <w:lvlText w:val=""/>
      <w:lvlJc w:val="left"/>
      <w:pPr>
        <w:ind w:left="156" w:hanging="100"/>
      </w:pPr>
      <w:rPr>
        <w:rFonts w:ascii="Symbol" w:eastAsia="Symbol" w:hAnsi="Symbol" w:cs="Symbol" w:hint="default"/>
        <w:color w:val="231F20"/>
        <w:w w:val="100"/>
        <w:sz w:val="14"/>
        <w:szCs w:val="14"/>
      </w:rPr>
    </w:lvl>
    <w:lvl w:ilvl="1" w:tplc="38E04042">
      <w:numFmt w:val="bullet"/>
      <w:lvlText w:val="•"/>
      <w:lvlJc w:val="left"/>
      <w:pPr>
        <w:ind w:left="301" w:hanging="100"/>
      </w:pPr>
      <w:rPr>
        <w:rFonts w:hint="default"/>
      </w:rPr>
    </w:lvl>
    <w:lvl w:ilvl="2" w:tplc="A7725DC6">
      <w:numFmt w:val="bullet"/>
      <w:lvlText w:val="•"/>
      <w:lvlJc w:val="left"/>
      <w:pPr>
        <w:ind w:left="443" w:hanging="100"/>
      </w:pPr>
      <w:rPr>
        <w:rFonts w:hint="default"/>
      </w:rPr>
    </w:lvl>
    <w:lvl w:ilvl="3" w:tplc="01FA3DD8">
      <w:numFmt w:val="bullet"/>
      <w:lvlText w:val="•"/>
      <w:lvlJc w:val="left"/>
      <w:pPr>
        <w:ind w:left="585" w:hanging="100"/>
      </w:pPr>
      <w:rPr>
        <w:rFonts w:hint="default"/>
      </w:rPr>
    </w:lvl>
    <w:lvl w:ilvl="4" w:tplc="07D49790">
      <w:numFmt w:val="bullet"/>
      <w:lvlText w:val="•"/>
      <w:lvlJc w:val="left"/>
      <w:pPr>
        <w:ind w:left="726" w:hanging="100"/>
      </w:pPr>
      <w:rPr>
        <w:rFonts w:hint="default"/>
      </w:rPr>
    </w:lvl>
    <w:lvl w:ilvl="5" w:tplc="1CB01604">
      <w:numFmt w:val="bullet"/>
      <w:lvlText w:val="•"/>
      <w:lvlJc w:val="left"/>
      <w:pPr>
        <w:ind w:left="868" w:hanging="100"/>
      </w:pPr>
      <w:rPr>
        <w:rFonts w:hint="default"/>
      </w:rPr>
    </w:lvl>
    <w:lvl w:ilvl="6" w:tplc="FEB06E7A">
      <w:numFmt w:val="bullet"/>
      <w:lvlText w:val="•"/>
      <w:lvlJc w:val="left"/>
      <w:pPr>
        <w:ind w:left="1010" w:hanging="100"/>
      </w:pPr>
      <w:rPr>
        <w:rFonts w:hint="default"/>
      </w:rPr>
    </w:lvl>
    <w:lvl w:ilvl="7" w:tplc="B09259E0">
      <w:numFmt w:val="bullet"/>
      <w:lvlText w:val="•"/>
      <w:lvlJc w:val="left"/>
      <w:pPr>
        <w:ind w:left="1151" w:hanging="100"/>
      </w:pPr>
      <w:rPr>
        <w:rFonts w:hint="default"/>
      </w:rPr>
    </w:lvl>
    <w:lvl w:ilvl="8" w:tplc="81422B44">
      <w:numFmt w:val="bullet"/>
      <w:lvlText w:val="•"/>
      <w:lvlJc w:val="left"/>
      <w:pPr>
        <w:ind w:left="1293" w:hanging="100"/>
      </w:pPr>
      <w:rPr>
        <w:rFonts w:hint="default"/>
      </w:rPr>
    </w:lvl>
  </w:abstractNum>
  <w:abstractNum w:abstractNumId="1127" w15:restartNumberingAfterBreak="0">
    <w:nsid w:val="47B70885"/>
    <w:multiLevelType w:val="hybridMultilevel"/>
    <w:tmpl w:val="160C4B6E"/>
    <w:lvl w:ilvl="0" w:tplc="27D80AB6">
      <w:numFmt w:val="bullet"/>
      <w:lvlText w:val=""/>
      <w:lvlJc w:val="left"/>
      <w:pPr>
        <w:ind w:left="156" w:hanging="100"/>
      </w:pPr>
      <w:rPr>
        <w:rFonts w:ascii="Symbol" w:eastAsia="Symbol" w:hAnsi="Symbol" w:cs="Symbol" w:hint="default"/>
        <w:color w:val="231F20"/>
        <w:w w:val="100"/>
        <w:sz w:val="14"/>
        <w:szCs w:val="14"/>
      </w:rPr>
    </w:lvl>
    <w:lvl w:ilvl="1" w:tplc="274C00FC">
      <w:numFmt w:val="bullet"/>
      <w:lvlText w:val="•"/>
      <w:lvlJc w:val="left"/>
      <w:pPr>
        <w:ind w:left="426" w:hanging="100"/>
      </w:pPr>
      <w:rPr>
        <w:rFonts w:hint="default"/>
      </w:rPr>
    </w:lvl>
    <w:lvl w:ilvl="2" w:tplc="0EC637FE">
      <w:numFmt w:val="bullet"/>
      <w:lvlText w:val="•"/>
      <w:lvlJc w:val="left"/>
      <w:pPr>
        <w:ind w:left="692" w:hanging="100"/>
      </w:pPr>
      <w:rPr>
        <w:rFonts w:hint="default"/>
      </w:rPr>
    </w:lvl>
    <w:lvl w:ilvl="3" w:tplc="647C5094">
      <w:numFmt w:val="bullet"/>
      <w:lvlText w:val="•"/>
      <w:lvlJc w:val="left"/>
      <w:pPr>
        <w:ind w:left="959" w:hanging="100"/>
      </w:pPr>
      <w:rPr>
        <w:rFonts w:hint="default"/>
      </w:rPr>
    </w:lvl>
    <w:lvl w:ilvl="4" w:tplc="8C10C54A">
      <w:numFmt w:val="bullet"/>
      <w:lvlText w:val="•"/>
      <w:lvlJc w:val="left"/>
      <w:pPr>
        <w:ind w:left="1225" w:hanging="100"/>
      </w:pPr>
      <w:rPr>
        <w:rFonts w:hint="default"/>
      </w:rPr>
    </w:lvl>
    <w:lvl w:ilvl="5" w:tplc="36607E46">
      <w:numFmt w:val="bullet"/>
      <w:lvlText w:val="•"/>
      <w:lvlJc w:val="left"/>
      <w:pPr>
        <w:ind w:left="1492" w:hanging="100"/>
      </w:pPr>
      <w:rPr>
        <w:rFonts w:hint="default"/>
      </w:rPr>
    </w:lvl>
    <w:lvl w:ilvl="6" w:tplc="EA86A410">
      <w:numFmt w:val="bullet"/>
      <w:lvlText w:val="•"/>
      <w:lvlJc w:val="left"/>
      <w:pPr>
        <w:ind w:left="1758" w:hanging="100"/>
      </w:pPr>
      <w:rPr>
        <w:rFonts w:hint="default"/>
      </w:rPr>
    </w:lvl>
    <w:lvl w:ilvl="7" w:tplc="65EED11A">
      <w:numFmt w:val="bullet"/>
      <w:lvlText w:val="•"/>
      <w:lvlJc w:val="left"/>
      <w:pPr>
        <w:ind w:left="2024" w:hanging="100"/>
      </w:pPr>
      <w:rPr>
        <w:rFonts w:hint="default"/>
      </w:rPr>
    </w:lvl>
    <w:lvl w:ilvl="8" w:tplc="7416F68C">
      <w:numFmt w:val="bullet"/>
      <w:lvlText w:val="•"/>
      <w:lvlJc w:val="left"/>
      <w:pPr>
        <w:ind w:left="2291" w:hanging="100"/>
      </w:pPr>
      <w:rPr>
        <w:rFonts w:hint="default"/>
      </w:rPr>
    </w:lvl>
  </w:abstractNum>
  <w:abstractNum w:abstractNumId="1128" w15:restartNumberingAfterBreak="0">
    <w:nsid w:val="47B821BC"/>
    <w:multiLevelType w:val="hybridMultilevel"/>
    <w:tmpl w:val="BAF2682E"/>
    <w:lvl w:ilvl="0" w:tplc="0DFAA536">
      <w:numFmt w:val="bullet"/>
      <w:lvlText w:val=""/>
      <w:lvlJc w:val="left"/>
      <w:pPr>
        <w:ind w:left="156" w:hanging="100"/>
      </w:pPr>
      <w:rPr>
        <w:rFonts w:ascii="Symbol" w:eastAsia="Symbol" w:hAnsi="Symbol" w:cs="Symbol" w:hint="default"/>
        <w:color w:val="231F20"/>
        <w:w w:val="100"/>
        <w:sz w:val="14"/>
        <w:szCs w:val="14"/>
      </w:rPr>
    </w:lvl>
    <w:lvl w:ilvl="1" w:tplc="AD2E5A9A">
      <w:numFmt w:val="bullet"/>
      <w:lvlText w:val="•"/>
      <w:lvlJc w:val="left"/>
      <w:pPr>
        <w:ind w:left="426" w:hanging="100"/>
      </w:pPr>
      <w:rPr>
        <w:rFonts w:hint="default"/>
      </w:rPr>
    </w:lvl>
    <w:lvl w:ilvl="2" w:tplc="285E1CC8">
      <w:numFmt w:val="bullet"/>
      <w:lvlText w:val="•"/>
      <w:lvlJc w:val="left"/>
      <w:pPr>
        <w:ind w:left="692" w:hanging="100"/>
      </w:pPr>
      <w:rPr>
        <w:rFonts w:hint="default"/>
      </w:rPr>
    </w:lvl>
    <w:lvl w:ilvl="3" w:tplc="709A454C">
      <w:numFmt w:val="bullet"/>
      <w:lvlText w:val="•"/>
      <w:lvlJc w:val="left"/>
      <w:pPr>
        <w:ind w:left="959" w:hanging="100"/>
      </w:pPr>
      <w:rPr>
        <w:rFonts w:hint="default"/>
      </w:rPr>
    </w:lvl>
    <w:lvl w:ilvl="4" w:tplc="DD801B90">
      <w:numFmt w:val="bullet"/>
      <w:lvlText w:val="•"/>
      <w:lvlJc w:val="left"/>
      <w:pPr>
        <w:ind w:left="1225" w:hanging="100"/>
      </w:pPr>
      <w:rPr>
        <w:rFonts w:hint="default"/>
      </w:rPr>
    </w:lvl>
    <w:lvl w:ilvl="5" w:tplc="D8362AB4">
      <w:numFmt w:val="bullet"/>
      <w:lvlText w:val="•"/>
      <w:lvlJc w:val="left"/>
      <w:pPr>
        <w:ind w:left="1492" w:hanging="100"/>
      </w:pPr>
      <w:rPr>
        <w:rFonts w:hint="default"/>
      </w:rPr>
    </w:lvl>
    <w:lvl w:ilvl="6" w:tplc="AE269D22">
      <w:numFmt w:val="bullet"/>
      <w:lvlText w:val="•"/>
      <w:lvlJc w:val="left"/>
      <w:pPr>
        <w:ind w:left="1758" w:hanging="100"/>
      </w:pPr>
      <w:rPr>
        <w:rFonts w:hint="default"/>
      </w:rPr>
    </w:lvl>
    <w:lvl w:ilvl="7" w:tplc="874264A6">
      <w:numFmt w:val="bullet"/>
      <w:lvlText w:val="•"/>
      <w:lvlJc w:val="left"/>
      <w:pPr>
        <w:ind w:left="2024" w:hanging="100"/>
      </w:pPr>
      <w:rPr>
        <w:rFonts w:hint="default"/>
      </w:rPr>
    </w:lvl>
    <w:lvl w:ilvl="8" w:tplc="BC4AF6B8">
      <w:numFmt w:val="bullet"/>
      <w:lvlText w:val="•"/>
      <w:lvlJc w:val="left"/>
      <w:pPr>
        <w:ind w:left="2291" w:hanging="100"/>
      </w:pPr>
      <w:rPr>
        <w:rFonts w:hint="default"/>
      </w:rPr>
    </w:lvl>
  </w:abstractNum>
  <w:abstractNum w:abstractNumId="1129" w15:restartNumberingAfterBreak="0">
    <w:nsid w:val="47BB1F56"/>
    <w:multiLevelType w:val="hybridMultilevel"/>
    <w:tmpl w:val="A5040F7C"/>
    <w:lvl w:ilvl="0" w:tplc="6E2AAB4A">
      <w:numFmt w:val="bullet"/>
      <w:lvlText w:val=""/>
      <w:lvlJc w:val="left"/>
      <w:pPr>
        <w:ind w:left="156" w:hanging="100"/>
      </w:pPr>
      <w:rPr>
        <w:rFonts w:ascii="Symbol" w:eastAsia="Symbol" w:hAnsi="Symbol" w:cs="Symbol" w:hint="default"/>
        <w:color w:val="231F20"/>
        <w:w w:val="100"/>
        <w:sz w:val="14"/>
        <w:szCs w:val="14"/>
      </w:rPr>
    </w:lvl>
    <w:lvl w:ilvl="1" w:tplc="DD521568">
      <w:numFmt w:val="bullet"/>
      <w:lvlText w:val="•"/>
      <w:lvlJc w:val="left"/>
      <w:pPr>
        <w:ind w:left="398" w:hanging="100"/>
      </w:pPr>
      <w:rPr>
        <w:rFonts w:hint="default"/>
      </w:rPr>
    </w:lvl>
    <w:lvl w:ilvl="2" w:tplc="9D044C28">
      <w:numFmt w:val="bullet"/>
      <w:lvlText w:val="•"/>
      <w:lvlJc w:val="left"/>
      <w:pPr>
        <w:ind w:left="636" w:hanging="100"/>
      </w:pPr>
      <w:rPr>
        <w:rFonts w:hint="default"/>
      </w:rPr>
    </w:lvl>
    <w:lvl w:ilvl="3" w:tplc="02E66BD4">
      <w:numFmt w:val="bullet"/>
      <w:lvlText w:val="•"/>
      <w:lvlJc w:val="left"/>
      <w:pPr>
        <w:ind w:left="874" w:hanging="100"/>
      </w:pPr>
      <w:rPr>
        <w:rFonts w:hint="default"/>
      </w:rPr>
    </w:lvl>
    <w:lvl w:ilvl="4" w:tplc="10FAA8D2">
      <w:numFmt w:val="bullet"/>
      <w:lvlText w:val="•"/>
      <w:lvlJc w:val="left"/>
      <w:pPr>
        <w:ind w:left="1112" w:hanging="100"/>
      </w:pPr>
      <w:rPr>
        <w:rFonts w:hint="default"/>
      </w:rPr>
    </w:lvl>
    <w:lvl w:ilvl="5" w:tplc="EE76CCCA">
      <w:numFmt w:val="bullet"/>
      <w:lvlText w:val="•"/>
      <w:lvlJc w:val="left"/>
      <w:pPr>
        <w:ind w:left="1350" w:hanging="100"/>
      </w:pPr>
      <w:rPr>
        <w:rFonts w:hint="default"/>
      </w:rPr>
    </w:lvl>
    <w:lvl w:ilvl="6" w:tplc="1A9666BA">
      <w:numFmt w:val="bullet"/>
      <w:lvlText w:val="•"/>
      <w:lvlJc w:val="left"/>
      <w:pPr>
        <w:ind w:left="1588" w:hanging="100"/>
      </w:pPr>
      <w:rPr>
        <w:rFonts w:hint="default"/>
      </w:rPr>
    </w:lvl>
    <w:lvl w:ilvl="7" w:tplc="68ECAA74">
      <w:numFmt w:val="bullet"/>
      <w:lvlText w:val="•"/>
      <w:lvlJc w:val="left"/>
      <w:pPr>
        <w:ind w:left="1826" w:hanging="100"/>
      </w:pPr>
      <w:rPr>
        <w:rFonts w:hint="default"/>
      </w:rPr>
    </w:lvl>
    <w:lvl w:ilvl="8" w:tplc="B04CDEF2">
      <w:numFmt w:val="bullet"/>
      <w:lvlText w:val="•"/>
      <w:lvlJc w:val="left"/>
      <w:pPr>
        <w:ind w:left="2064" w:hanging="100"/>
      </w:pPr>
      <w:rPr>
        <w:rFonts w:hint="default"/>
      </w:rPr>
    </w:lvl>
  </w:abstractNum>
  <w:abstractNum w:abstractNumId="1130" w15:restartNumberingAfterBreak="0">
    <w:nsid w:val="47BC4AE2"/>
    <w:multiLevelType w:val="hybridMultilevel"/>
    <w:tmpl w:val="FFD081A2"/>
    <w:lvl w:ilvl="0" w:tplc="831EB8A0">
      <w:numFmt w:val="bullet"/>
      <w:lvlText w:val=""/>
      <w:lvlJc w:val="left"/>
      <w:pPr>
        <w:ind w:left="156" w:hanging="100"/>
      </w:pPr>
      <w:rPr>
        <w:rFonts w:ascii="Symbol" w:eastAsia="Symbol" w:hAnsi="Symbol" w:cs="Symbol" w:hint="default"/>
        <w:color w:val="231F20"/>
        <w:w w:val="100"/>
        <w:sz w:val="14"/>
        <w:szCs w:val="14"/>
      </w:rPr>
    </w:lvl>
    <w:lvl w:ilvl="1" w:tplc="60703FCC">
      <w:numFmt w:val="bullet"/>
      <w:lvlText w:val="•"/>
      <w:lvlJc w:val="left"/>
      <w:pPr>
        <w:ind w:left="398" w:hanging="100"/>
      </w:pPr>
      <w:rPr>
        <w:rFonts w:hint="default"/>
      </w:rPr>
    </w:lvl>
    <w:lvl w:ilvl="2" w:tplc="089CA184">
      <w:numFmt w:val="bullet"/>
      <w:lvlText w:val="•"/>
      <w:lvlJc w:val="left"/>
      <w:pPr>
        <w:ind w:left="636" w:hanging="100"/>
      </w:pPr>
      <w:rPr>
        <w:rFonts w:hint="default"/>
      </w:rPr>
    </w:lvl>
    <w:lvl w:ilvl="3" w:tplc="DF567AC2">
      <w:numFmt w:val="bullet"/>
      <w:lvlText w:val="•"/>
      <w:lvlJc w:val="left"/>
      <w:pPr>
        <w:ind w:left="874" w:hanging="100"/>
      </w:pPr>
      <w:rPr>
        <w:rFonts w:hint="default"/>
      </w:rPr>
    </w:lvl>
    <w:lvl w:ilvl="4" w:tplc="EFF63FC8">
      <w:numFmt w:val="bullet"/>
      <w:lvlText w:val="•"/>
      <w:lvlJc w:val="left"/>
      <w:pPr>
        <w:ind w:left="1112" w:hanging="100"/>
      </w:pPr>
      <w:rPr>
        <w:rFonts w:hint="default"/>
      </w:rPr>
    </w:lvl>
    <w:lvl w:ilvl="5" w:tplc="6DE2DA46">
      <w:numFmt w:val="bullet"/>
      <w:lvlText w:val="•"/>
      <w:lvlJc w:val="left"/>
      <w:pPr>
        <w:ind w:left="1350" w:hanging="100"/>
      </w:pPr>
      <w:rPr>
        <w:rFonts w:hint="default"/>
      </w:rPr>
    </w:lvl>
    <w:lvl w:ilvl="6" w:tplc="3EB03FBA">
      <w:numFmt w:val="bullet"/>
      <w:lvlText w:val="•"/>
      <w:lvlJc w:val="left"/>
      <w:pPr>
        <w:ind w:left="1588" w:hanging="100"/>
      </w:pPr>
      <w:rPr>
        <w:rFonts w:hint="default"/>
      </w:rPr>
    </w:lvl>
    <w:lvl w:ilvl="7" w:tplc="458671D4">
      <w:numFmt w:val="bullet"/>
      <w:lvlText w:val="•"/>
      <w:lvlJc w:val="left"/>
      <w:pPr>
        <w:ind w:left="1826" w:hanging="100"/>
      </w:pPr>
      <w:rPr>
        <w:rFonts w:hint="default"/>
      </w:rPr>
    </w:lvl>
    <w:lvl w:ilvl="8" w:tplc="4B50B2CA">
      <w:numFmt w:val="bullet"/>
      <w:lvlText w:val="•"/>
      <w:lvlJc w:val="left"/>
      <w:pPr>
        <w:ind w:left="2064" w:hanging="100"/>
      </w:pPr>
      <w:rPr>
        <w:rFonts w:hint="default"/>
      </w:rPr>
    </w:lvl>
  </w:abstractNum>
  <w:abstractNum w:abstractNumId="1131" w15:restartNumberingAfterBreak="0">
    <w:nsid w:val="47D50BB0"/>
    <w:multiLevelType w:val="hybridMultilevel"/>
    <w:tmpl w:val="40460D98"/>
    <w:lvl w:ilvl="0" w:tplc="CFBAC504">
      <w:numFmt w:val="bullet"/>
      <w:lvlText w:val=""/>
      <w:lvlJc w:val="left"/>
      <w:pPr>
        <w:ind w:left="157" w:hanging="100"/>
      </w:pPr>
      <w:rPr>
        <w:rFonts w:ascii="Symbol" w:eastAsia="Symbol" w:hAnsi="Symbol" w:cs="Symbol" w:hint="default"/>
        <w:color w:val="231F20"/>
        <w:w w:val="100"/>
        <w:sz w:val="14"/>
        <w:szCs w:val="14"/>
      </w:rPr>
    </w:lvl>
    <w:lvl w:ilvl="1" w:tplc="AD90FEA0">
      <w:numFmt w:val="bullet"/>
      <w:lvlText w:val="•"/>
      <w:lvlJc w:val="left"/>
      <w:pPr>
        <w:ind w:left="369" w:hanging="100"/>
      </w:pPr>
      <w:rPr>
        <w:rFonts w:hint="default"/>
      </w:rPr>
    </w:lvl>
    <w:lvl w:ilvl="2" w:tplc="D9F651DE">
      <w:numFmt w:val="bullet"/>
      <w:lvlText w:val="•"/>
      <w:lvlJc w:val="left"/>
      <w:pPr>
        <w:ind w:left="579" w:hanging="100"/>
      </w:pPr>
      <w:rPr>
        <w:rFonts w:hint="default"/>
      </w:rPr>
    </w:lvl>
    <w:lvl w:ilvl="3" w:tplc="25FC8274">
      <w:numFmt w:val="bullet"/>
      <w:lvlText w:val="•"/>
      <w:lvlJc w:val="left"/>
      <w:pPr>
        <w:ind w:left="789" w:hanging="100"/>
      </w:pPr>
      <w:rPr>
        <w:rFonts w:hint="default"/>
      </w:rPr>
    </w:lvl>
    <w:lvl w:ilvl="4" w:tplc="0F825E02">
      <w:numFmt w:val="bullet"/>
      <w:lvlText w:val="•"/>
      <w:lvlJc w:val="left"/>
      <w:pPr>
        <w:ind w:left="998" w:hanging="100"/>
      </w:pPr>
      <w:rPr>
        <w:rFonts w:hint="default"/>
      </w:rPr>
    </w:lvl>
    <w:lvl w:ilvl="5" w:tplc="E6F619A8">
      <w:numFmt w:val="bullet"/>
      <w:lvlText w:val="•"/>
      <w:lvlJc w:val="left"/>
      <w:pPr>
        <w:ind w:left="1208" w:hanging="100"/>
      </w:pPr>
      <w:rPr>
        <w:rFonts w:hint="default"/>
      </w:rPr>
    </w:lvl>
    <w:lvl w:ilvl="6" w:tplc="A3BCE99C">
      <w:numFmt w:val="bullet"/>
      <w:lvlText w:val="•"/>
      <w:lvlJc w:val="left"/>
      <w:pPr>
        <w:ind w:left="1418" w:hanging="100"/>
      </w:pPr>
      <w:rPr>
        <w:rFonts w:hint="default"/>
      </w:rPr>
    </w:lvl>
    <w:lvl w:ilvl="7" w:tplc="8AAE9EA0">
      <w:numFmt w:val="bullet"/>
      <w:lvlText w:val="•"/>
      <w:lvlJc w:val="left"/>
      <w:pPr>
        <w:ind w:left="1627" w:hanging="100"/>
      </w:pPr>
      <w:rPr>
        <w:rFonts w:hint="default"/>
      </w:rPr>
    </w:lvl>
    <w:lvl w:ilvl="8" w:tplc="C88E9094">
      <w:numFmt w:val="bullet"/>
      <w:lvlText w:val="•"/>
      <w:lvlJc w:val="left"/>
      <w:pPr>
        <w:ind w:left="1837" w:hanging="100"/>
      </w:pPr>
      <w:rPr>
        <w:rFonts w:hint="default"/>
      </w:rPr>
    </w:lvl>
  </w:abstractNum>
  <w:abstractNum w:abstractNumId="1132" w15:restartNumberingAfterBreak="0">
    <w:nsid w:val="47D7506D"/>
    <w:multiLevelType w:val="hybridMultilevel"/>
    <w:tmpl w:val="4FFA9092"/>
    <w:lvl w:ilvl="0" w:tplc="A22E38DA">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4B6008EA">
      <w:numFmt w:val="bullet"/>
      <w:lvlText w:val="•"/>
      <w:lvlJc w:val="left"/>
      <w:pPr>
        <w:ind w:left="426" w:hanging="105"/>
      </w:pPr>
      <w:rPr>
        <w:rFonts w:hint="default"/>
      </w:rPr>
    </w:lvl>
    <w:lvl w:ilvl="2" w:tplc="6D28F0B8">
      <w:numFmt w:val="bullet"/>
      <w:lvlText w:val="•"/>
      <w:lvlJc w:val="left"/>
      <w:pPr>
        <w:ind w:left="692" w:hanging="105"/>
      </w:pPr>
      <w:rPr>
        <w:rFonts w:hint="default"/>
      </w:rPr>
    </w:lvl>
    <w:lvl w:ilvl="3" w:tplc="4342C714">
      <w:numFmt w:val="bullet"/>
      <w:lvlText w:val="•"/>
      <w:lvlJc w:val="left"/>
      <w:pPr>
        <w:ind w:left="959" w:hanging="105"/>
      </w:pPr>
      <w:rPr>
        <w:rFonts w:hint="default"/>
      </w:rPr>
    </w:lvl>
    <w:lvl w:ilvl="4" w:tplc="0778C1D8">
      <w:numFmt w:val="bullet"/>
      <w:lvlText w:val="•"/>
      <w:lvlJc w:val="left"/>
      <w:pPr>
        <w:ind w:left="1225" w:hanging="105"/>
      </w:pPr>
      <w:rPr>
        <w:rFonts w:hint="default"/>
      </w:rPr>
    </w:lvl>
    <w:lvl w:ilvl="5" w:tplc="36AAA8FC">
      <w:numFmt w:val="bullet"/>
      <w:lvlText w:val="•"/>
      <w:lvlJc w:val="left"/>
      <w:pPr>
        <w:ind w:left="1492" w:hanging="105"/>
      </w:pPr>
      <w:rPr>
        <w:rFonts w:hint="default"/>
      </w:rPr>
    </w:lvl>
    <w:lvl w:ilvl="6" w:tplc="5878486A">
      <w:numFmt w:val="bullet"/>
      <w:lvlText w:val="•"/>
      <w:lvlJc w:val="left"/>
      <w:pPr>
        <w:ind w:left="1758" w:hanging="105"/>
      </w:pPr>
      <w:rPr>
        <w:rFonts w:hint="default"/>
      </w:rPr>
    </w:lvl>
    <w:lvl w:ilvl="7" w:tplc="5874DA1A">
      <w:numFmt w:val="bullet"/>
      <w:lvlText w:val="•"/>
      <w:lvlJc w:val="left"/>
      <w:pPr>
        <w:ind w:left="2024" w:hanging="105"/>
      </w:pPr>
      <w:rPr>
        <w:rFonts w:hint="default"/>
      </w:rPr>
    </w:lvl>
    <w:lvl w:ilvl="8" w:tplc="B43CE414">
      <w:numFmt w:val="bullet"/>
      <w:lvlText w:val="•"/>
      <w:lvlJc w:val="left"/>
      <w:pPr>
        <w:ind w:left="2291" w:hanging="105"/>
      </w:pPr>
      <w:rPr>
        <w:rFonts w:hint="default"/>
      </w:rPr>
    </w:lvl>
  </w:abstractNum>
  <w:abstractNum w:abstractNumId="1133" w15:restartNumberingAfterBreak="0">
    <w:nsid w:val="47DA3280"/>
    <w:multiLevelType w:val="hybridMultilevel"/>
    <w:tmpl w:val="2B02302E"/>
    <w:lvl w:ilvl="0" w:tplc="DC682148">
      <w:numFmt w:val="bullet"/>
      <w:lvlText w:val=""/>
      <w:lvlJc w:val="left"/>
      <w:pPr>
        <w:ind w:left="156" w:hanging="100"/>
      </w:pPr>
      <w:rPr>
        <w:rFonts w:ascii="Symbol" w:eastAsia="Symbol" w:hAnsi="Symbol" w:cs="Symbol" w:hint="default"/>
        <w:color w:val="231F20"/>
        <w:w w:val="100"/>
        <w:sz w:val="14"/>
        <w:szCs w:val="14"/>
      </w:rPr>
    </w:lvl>
    <w:lvl w:ilvl="1" w:tplc="3C4CA27C">
      <w:numFmt w:val="bullet"/>
      <w:lvlText w:val="•"/>
      <w:lvlJc w:val="left"/>
      <w:pPr>
        <w:ind w:left="398" w:hanging="100"/>
      </w:pPr>
      <w:rPr>
        <w:rFonts w:hint="default"/>
      </w:rPr>
    </w:lvl>
    <w:lvl w:ilvl="2" w:tplc="DA0A36C8">
      <w:numFmt w:val="bullet"/>
      <w:lvlText w:val="•"/>
      <w:lvlJc w:val="left"/>
      <w:pPr>
        <w:ind w:left="636" w:hanging="100"/>
      </w:pPr>
      <w:rPr>
        <w:rFonts w:hint="default"/>
      </w:rPr>
    </w:lvl>
    <w:lvl w:ilvl="3" w:tplc="20DC18D8">
      <w:numFmt w:val="bullet"/>
      <w:lvlText w:val="•"/>
      <w:lvlJc w:val="left"/>
      <w:pPr>
        <w:ind w:left="874" w:hanging="100"/>
      </w:pPr>
      <w:rPr>
        <w:rFonts w:hint="default"/>
      </w:rPr>
    </w:lvl>
    <w:lvl w:ilvl="4" w:tplc="79D6A55A">
      <w:numFmt w:val="bullet"/>
      <w:lvlText w:val="•"/>
      <w:lvlJc w:val="left"/>
      <w:pPr>
        <w:ind w:left="1112" w:hanging="100"/>
      </w:pPr>
      <w:rPr>
        <w:rFonts w:hint="default"/>
      </w:rPr>
    </w:lvl>
    <w:lvl w:ilvl="5" w:tplc="1E28485A">
      <w:numFmt w:val="bullet"/>
      <w:lvlText w:val="•"/>
      <w:lvlJc w:val="left"/>
      <w:pPr>
        <w:ind w:left="1350" w:hanging="100"/>
      </w:pPr>
      <w:rPr>
        <w:rFonts w:hint="default"/>
      </w:rPr>
    </w:lvl>
    <w:lvl w:ilvl="6" w:tplc="04AA38AE">
      <w:numFmt w:val="bullet"/>
      <w:lvlText w:val="•"/>
      <w:lvlJc w:val="left"/>
      <w:pPr>
        <w:ind w:left="1588" w:hanging="100"/>
      </w:pPr>
      <w:rPr>
        <w:rFonts w:hint="default"/>
      </w:rPr>
    </w:lvl>
    <w:lvl w:ilvl="7" w:tplc="DD92C810">
      <w:numFmt w:val="bullet"/>
      <w:lvlText w:val="•"/>
      <w:lvlJc w:val="left"/>
      <w:pPr>
        <w:ind w:left="1826" w:hanging="100"/>
      </w:pPr>
      <w:rPr>
        <w:rFonts w:hint="default"/>
      </w:rPr>
    </w:lvl>
    <w:lvl w:ilvl="8" w:tplc="CB2870C2">
      <w:numFmt w:val="bullet"/>
      <w:lvlText w:val="•"/>
      <w:lvlJc w:val="left"/>
      <w:pPr>
        <w:ind w:left="2064" w:hanging="100"/>
      </w:pPr>
      <w:rPr>
        <w:rFonts w:hint="default"/>
      </w:rPr>
    </w:lvl>
  </w:abstractNum>
  <w:abstractNum w:abstractNumId="1134" w15:restartNumberingAfterBreak="0">
    <w:nsid w:val="47E97BA9"/>
    <w:multiLevelType w:val="hybridMultilevel"/>
    <w:tmpl w:val="9FBA11FA"/>
    <w:lvl w:ilvl="0" w:tplc="0BFAD6F8">
      <w:numFmt w:val="bullet"/>
      <w:lvlText w:val=""/>
      <w:lvlJc w:val="left"/>
      <w:pPr>
        <w:ind w:left="156" w:hanging="100"/>
      </w:pPr>
      <w:rPr>
        <w:rFonts w:ascii="Symbol" w:eastAsia="Symbol" w:hAnsi="Symbol" w:cs="Symbol" w:hint="default"/>
        <w:color w:val="231F20"/>
        <w:w w:val="100"/>
        <w:sz w:val="14"/>
        <w:szCs w:val="14"/>
      </w:rPr>
    </w:lvl>
    <w:lvl w:ilvl="1" w:tplc="70165B40">
      <w:numFmt w:val="bullet"/>
      <w:lvlText w:val="•"/>
      <w:lvlJc w:val="left"/>
      <w:pPr>
        <w:ind w:left="426" w:hanging="100"/>
      </w:pPr>
      <w:rPr>
        <w:rFonts w:hint="default"/>
      </w:rPr>
    </w:lvl>
    <w:lvl w:ilvl="2" w:tplc="FD4E5BAE">
      <w:numFmt w:val="bullet"/>
      <w:lvlText w:val="•"/>
      <w:lvlJc w:val="left"/>
      <w:pPr>
        <w:ind w:left="692" w:hanging="100"/>
      </w:pPr>
      <w:rPr>
        <w:rFonts w:hint="default"/>
      </w:rPr>
    </w:lvl>
    <w:lvl w:ilvl="3" w:tplc="BEB492EA">
      <w:numFmt w:val="bullet"/>
      <w:lvlText w:val="•"/>
      <w:lvlJc w:val="left"/>
      <w:pPr>
        <w:ind w:left="959" w:hanging="100"/>
      </w:pPr>
      <w:rPr>
        <w:rFonts w:hint="default"/>
      </w:rPr>
    </w:lvl>
    <w:lvl w:ilvl="4" w:tplc="B9F20958">
      <w:numFmt w:val="bullet"/>
      <w:lvlText w:val="•"/>
      <w:lvlJc w:val="left"/>
      <w:pPr>
        <w:ind w:left="1225" w:hanging="100"/>
      </w:pPr>
      <w:rPr>
        <w:rFonts w:hint="default"/>
      </w:rPr>
    </w:lvl>
    <w:lvl w:ilvl="5" w:tplc="F3EC3260">
      <w:numFmt w:val="bullet"/>
      <w:lvlText w:val="•"/>
      <w:lvlJc w:val="left"/>
      <w:pPr>
        <w:ind w:left="1492" w:hanging="100"/>
      </w:pPr>
      <w:rPr>
        <w:rFonts w:hint="default"/>
      </w:rPr>
    </w:lvl>
    <w:lvl w:ilvl="6" w:tplc="0EB6DF70">
      <w:numFmt w:val="bullet"/>
      <w:lvlText w:val="•"/>
      <w:lvlJc w:val="left"/>
      <w:pPr>
        <w:ind w:left="1758" w:hanging="100"/>
      </w:pPr>
      <w:rPr>
        <w:rFonts w:hint="default"/>
      </w:rPr>
    </w:lvl>
    <w:lvl w:ilvl="7" w:tplc="546C1A88">
      <w:numFmt w:val="bullet"/>
      <w:lvlText w:val="•"/>
      <w:lvlJc w:val="left"/>
      <w:pPr>
        <w:ind w:left="2024" w:hanging="100"/>
      </w:pPr>
      <w:rPr>
        <w:rFonts w:hint="default"/>
      </w:rPr>
    </w:lvl>
    <w:lvl w:ilvl="8" w:tplc="28801892">
      <w:numFmt w:val="bullet"/>
      <w:lvlText w:val="•"/>
      <w:lvlJc w:val="left"/>
      <w:pPr>
        <w:ind w:left="2291" w:hanging="100"/>
      </w:pPr>
      <w:rPr>
        <w:rFonts w:hint="default"/>
      </w:rPr>
    </w:lvl>
  </w:abstractNum>
  <w:abstractNum w:abstractNumId="1135" w15:restartNumberingAfterBreak="0">
    <w:nsid w:val="480F30B8"/>
    <w:multiLevelType w:val="hybridMultilevel"/>
    <w:tmpl w:val="9536CE94"/>
    <w:lvl w:ilvl="0" w:tplc="AA2C0314">
      <w:numFmt w:val="bullet"/>
      <w:lvlText w:val=""/>
      <w:lvlJc w:val="left"/>
      <w:pPr>
        <w:ind w:left="157" w:hanging="100"/>
      </w:pPr>
      <w:rPr>
        <w:rFonts w:ascii="Symbol" w:eastAsia="Symbol" w:hAnsi="Symbol" w:cs="Symbol" w:hint="default"/>
        <w:color w:val="231F20"/>
        <w:w w:val="100"/>
        <w:sz w:val="14"/>
        <w:szCs w:val="14"/>
      </w:rPr>
    </w:lvl>
    <w:lvl w:ilvl="1" w:tplc="66B49B1A">
      <w:numFmt w:val="bullet"/>
      <w:lvlText w:val="•"/>
      <w:lvlJc w:val="left"/>
      <w:pPr>
        <w:ind w:left="426" w:hanging="100"/>
      </w:pPr>
      <w:rPr>
        <w:rFonts w:hint="default"/>
      </w:rPr>
    </w:lvl>
    <w:lvl w:ilvl="2" w:tplc="D80009C0">
      <w:numFmt w:val="bullet"/>
      <w:lvlText w:val="•"/>
      <w:lvlJc w:val="left"/>
      <w:pPr>
        <w:ind w:left="692" w:hanging="100"/>
      </w:pPr>
      <w:rPr>
        <w:rFonts w:hint="default"/>
      </w:rPr>
    </w:lvl>
    <w:lvl w:ilvl="3" w:tplc="74346C80">
      <w:numFmt w:val="bullet"/>
      <w:lvlText w:val="•"/>
      <w:lvlJc w:val="left"/>
      <w:pPr>
        <w:ind w:left="959" w:hanging="100"/>
      </w:pPr>
      <w:rPr>
        <w:rFonts w:hint="default"/>
      </w:rPr>
    </w:lvl>
    <w:lvl w:ilvl="4" w:tplc="F0268452">
      <w:numFmt w:val="bullet"/>
      <w:lvlText w:val="•"/>
      <w:lvlJc w:val="left"/>
      <w:pPr>
        <w:ind w:left="1225" w:hanging="100"/>
      </w:pPr>
      <w:rPr>
        <w:rFonts w:hint="default"/>
      </w:rPr>
    </w:lvl>
    <w:lvl w:ilvl="5" w:tplc="B44E8F9E">
      <w:numFmt w:val="bullet"/>
      <w:lvlText w:val="•"/>
      <w:lvlJc w:val="left"/>
      <w:pPr>
        <w:ind w:left="1492" w:hanging="100"/>
      </w:pPr>
      <w:rPr>
        <w:rFonts w:hint="default"/>
      </w:rPr>
    </w:lvl>
    <w:lvl w:ilvl="6" w:tplc="0E22A1A8">
      <w:numFmt w:val="bullet"/>
      <w:lvlText w:val="•"/>
      <w:lvlJc w:val="left"/>
      <w:pPr>
        <w:ind w:left="1758" w:hanging="100"/>
      </w:pPr>
      <w:rPr>
        <w:rFonts w:hint="default"/>
      </w:rPr>
    </w:lvl>
    <w:lvl w:ilvl="7" w:tplc="13CAA5E0">
      <w:numFmt w:val="bullet"/>
      <w:lvlText w:val="•"/>
      <w:lvlJc w:val="left"/>
      <w:pPr>
        <w:ind w:left="2024" w:hanging="100"/>
      </w:pPr>
      <w:rPr>
        <w:rFonts w:hint="default"/>
      </w:rPr>
    </w:lvl>
    <w:lvl w:ilvl="8" w:tplc="F70E752A">
      <w:numFmt w:val="bullet"/>
      <w:lvlText w:val="•"/>
      <w:lvlJc w:val="left"/>
      <w:pPr>
        <w:ind w:left="2291" w:hanging="100"/>
      </w:pPr>
      <w:rPr>
        <w:rFonts w:hint="default"/>
      </w:rPr>
    </w:lvl>
  </w:abstractNum>
  <w:abstractNum w:abstractNumId="1136" w15:restartNumberingAfterBreak="0">
    <w:nsid w:val="4812202E"/>
    <w:multiLevelType w:val="hybridMultilevel"/>
    <w:tmpl w:val="56103644"/>
    <w:lvl w:ilvl="0" w:tplc="41524DAC">
      <w:numFmt w:val="bullet"/>
      <w:lvlText w:val=""/>
      <w:lvlJc w:val="left"/>
      <w:pPr>
        <w:ind w:left="156" w:hanging="100"/>
      </w:pPr>
      <w:rPr>
        <w:rFonts w:ascii="Symbol" w:eastAsia="Symbol" w:hAnsi="Symbol" w:cs="Symbol" w:hint="default"/>
        <w:color w:val="231F20"/>
        <w:w w:val="100"/>
        <w:sz w:val="14"/>
        <w:szCs w:val="14"/>
      </w:rPr>
    </w:lvl>
    <w:lvl w:ilvl="1" w:tplc="188C2924">
      <w:numFmt w:val="bullet"/>
      <w:lvlText w:val="•"/>
      <w:lvlJc w:val="left"/>
      <w:pPr>
        <w:ind w:left="301" w:hanging="100"/>
      </w:pPr>
      <w:rPr>
        <w:rFonts w:hint="default"/>
      </w:rPr>
    </w:lvl>
    <w:lvl w:ilvl="2" w:tplc="AD704496">
      <w:numFmt w:val="bullet"/>
      <w:lvlText w:val="•"/>
      <w:lvlJc w:val="left"/>
      <w:pPr>
        <w:ind w:left="443" w:hanging="100"/>
      </w:pPr>
      <w:rPr>
        <w:rFonts w:hint="default"/>
      </w:rPr>
    </w:lvl>
    <w:lvl w:ilvl="3" w:tplc="88FE0B10">
      <w:numFmt w:val="bullet"/>
      <w:lvlText w:val="•"/>
      <w:lvlJc w:val="left"/>
      <w:pPr>
        <w:ind w:left="585" w:hanging="100"/>
      </w:pPr>
      <w:rPr>
        <w:rFonts w:hint="default"/>
      </w:rPr>
    </w:lvl>
    <w:lvl w:ilvl="4" w:tplc="DD50DECA">
      <w:numFmt w:val="bullet"/>
      <w:lvlText w:val="•"/>
      <w:lvlJc w:val="left"/>
      <w:pPr>
        <w:ind w:left="726" w:hanging="100"/>
      </w:pPr>
      <w:rPr>
        <w:rFonts w:hint="default"/>
      </w:rPr>
    </w:lvl>
    <w:lvl w:ilvl="5" w:tplc="A0D460D6">
      <w:numFmt w:val="bullet"/>
      <w:lvlText w:val="•"/>
      <w:lvlJc w:val="left"/>
      <w:pPr>
        <w:ind w:left="868" w:hanging="100"/>
      </w:pPr>
      <w:rPr>
        <w:rFonts w:hint="default"/>
      </w:rPr>
    </w:lvl>
    <w:lvl w:ilvl="6" w:tplc="8D30F126">
      <w:numFmt w:val="bullet"/>
      <w:lvlText w:val="•"/>
      <w:lvlJc w:val="left"/>
      <w:pPr>
        <w:ind w:left="1010" w:hanging="100"/>
      </w:pPr>
      <w:rPr>
        <w:rFonts w:hint="default"/>
      </w:rPr>
    </w:lvl>
    <w:lvl w:ilvl="7" w:tplc="D9A42702">
      <w:numFmt w:val="bullet"/>
      <w:lvlText w:val="•"/>
      <w:lvlJc w:val="left"/>
      <w:pPr>
        <w:ind w:left="1151" w:hanging="100"/>
      </w:pPr>
      <w:rPr>
        <w:rFonts w:hint="default"/>
      </w:rPr>
    </w:lvl>
    <w:lvl w:ilvl="8" w:tplc="CF6277D4">
      <w:numFmt w:val="bullet"/>
      <w:lvlText w:val="•"/>
      <w:lvlJc w:val="left"/>
      <w:pPr>
        <w:ind w:left="1293" w:hanging="100"/>
      </w:pPr>
      <w:rPr>
        <w:rFonts w:hint="default"/>
      </w:rPr>
    </w:lvl>
  </w:abstractNum>
  <w:abstractNum w:abstractNumId="1137" w15:restartNumberingAfterBreak="0">
    <w:nsid w:val="48176396"/>
    <w:multiLevelType w:val="hybridMultilevel"/>
    <w:tmpl w:val="59ACA38A"/>
    <w:lvl w:ilvl="0" w:tplc="52285010">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D4DE0656">
      <w:numFmt w:val="bullet"/>
      <w:lvlText w:val="•"/>
      <w:lvlJc w:val="left"/>
      <w:pPr>
        <w:ind w:left="240" w:hanging="105"/>
      </w:pPr>
      <w:rPr>
        <w:rFonts w:hint="default"/>
      </w:rPr>
    </w:lvl>
    <w:lvl w:ilvl="2" w:tplc="527E0F02">
      <w:numFmt w:val="bullet"/>
      <w:lvlText w:val="•"/>
      <w:lvlJc w:val="left"/>
      <w:pPr>
        <w:ind w:left="464" w:hanging="105"/>
      </w:pPr>
      <w:rPr>
        <w:rFonts w:hint="default"/>
      </w:rPr>
    </w:lvl>
    <w:lvl w:ilvl="3" w:tplc="24088D60">
      <w:numFmt w:val="bullet"/>
      <w:lvlText w:val="•"/>
      <w:lvlJc w:val="left"/>
      <w:pPr>
        <w:ind w:left="688" w:hanging="105"/>
      </w:pPr>
      <w:rPr>
        <w:rFonts w:hint="default"/>
      </w:rPr>
    </w:lvl>
    <w:lvl w:ilvl="4" w:tplc="251608D0">
      <w:numFmt w:val="bullet"/>
      <w:lvlText w:val="•"/>
      <w:lvlJc w:val="left"/>
      <w:pPr>
        <w:ind w:left="912" w:hanging="105"/>
      </w:pPr>
      <w:rPr>
        <w:rFonts w:hint="default"/>
      </w:rPr>
    </w:lvl>
    <w:lvl w:ilvl="5" w:tplc="5230508A">
      <w:numFmt w:val="bullet"/>
      <w:lvlText w:val="•"/>
      <w:lvlJc w:val="left"/>
      <w:pPr>
        <w:ind w:left="1136" w:hanging="105"/>
      </w:pPr>
      <w:rPr>
        <w:rFonts w:hint="default"/>
      </w:rPr>
    </w:lvl>
    <w:lvl w:ilvl="6" w:tplc="2C342B5A">
      <w:numFmt w:val="bullet"/>
      <w:lvlText w:val="•"/>
      <w:lvlJc w:val="left"/>
      <w:pPr>
        <w:ind w:left="1360" w:hanging="105"/>
      </w:pPr>
      <w:rPr>
        <w:rFonts w:hint="default"/>
      </w:rPr>
    </w:lvl>
    <w:lvl w:ilvl="7" w:tplc="AB20843C">
      <w:numFmt w:val="bullet"/>
      <w:lvlText w:val="•"/>
      <w:lvlJc w:val="left"/>
      <w:pPr>
        <w:ind w:left="1584" w:hanging="105"/>
      </w:pPr>
      <w:rPr>
        <w:rFonts w:hint="default"/>
      </w:rPr>
    </w:lvl>
    <w:lvl w:ilvl="8" w:tplc="5F0CC830">
      <w:numFmt w:val="bullet"/>
      <w:lvlText w:val="•"/>
      <w:lvlJc w:val="left"/>
      <w:pPr>
        <w:ind w:left="1808" w:hanging="105"/>
      </w:pPr>
      <w:rPr>
        <w:rFonts w:hint="default"/>
      </w:rPr>
    </w:lvl>
  </w:abstractNum>
  <w:abstractNum w:abstractNumId="1138" w15:restartNumberingAfterBreak="0">
    <w:nsid w:val="48245786"/>
    <w:multiLevelType w:val="hybridMultilevel"/>
    <w:tmpl w:val="DFA431C8"/>
    <w:lvl w:ilvl="0" w:tplc="4978D438">
      <w:numFmt w:val="bullet"/>
      <w:lvlText w:val=""/>
      <w:lvlJc w:val="left"/>
      <w:pPr>
        <w:ind w:left="156" w:hanging="100"/>
      </w:pPr>
      <w:rPr>
        <w:rFonts w:ascii="Symbol" w:eastAsia="Symbol" w:hAnsi="Symbol" w:cs="Symbol" w:hint="default"/>
        <w:color w:val="231F20"/>
        <w:w w:val="100"/>
        <w:sz w:val="14"/>
        <w:szCs w:val="14"/>
      </w:rPr>
    </w:lvl>
    <w:lvl w:ilvl="1" w:tplc="E91A3550">
      <w:numFmt w:val="bullet"/>
      <w:lvlText w:val="•"/>
      <w:lvlJc w:val="left"/>
      <w:pPr>
        <w:ind w:left="398" w:hanging="100"/>
      </w:pPr>
      <w:rPr>
        <w:rFonts w:hint="default"/>
      </w:rPr>
    </w:lvl>
    <w:lvl w:ilvl="2" w:tplc="A41AE3F8">
      <w:numFmt w:val="bullet"/>
      <w:lvlText w:val="•"/>
      <w:lvlJc w:val="left"/>
      <w:pPr>
        <w:ind w:left="636" w:hanging="100"/>
      </w:pPr>
      <w:rPr>
        <w:rFonts w:hint="default"/>
      </w:rPr>
    </w:lvl>
    <w:lvl w:ilvl="3" w:tplc="5BA07EEA">
      <w:numFmt w:val="bullet"/>
      <w:lvlText w:val="•"/>
      <w:lvlJc w:val="left"/>
      <w:pPr>
        <w:ind w:left="874" w:hanging="100"/>
      </w:pPr>
      <w:rPr>
        <w:rFonts w:hint="default"/>
      </w:rPr>
    </w:lvl>
    <w:lvl w:ilvl="4" w:tplc="39E68C30">
      <w:numFmt w:val="bullet"/>
      <w:lvlText w:val="•"/>
      <w:lvlJc w:val="left"/>
      <w:pPr>
        <w:ind w:left="1112" w:hanging="100"/>
      </w:pPr>
      <w:rPr>
        <w:rFonts w:hint="default"/>
      </w:rPr>
    </w:lvl>
    <w:lvl w:ilvl="5" w:tplc="B0A88DFA">
      <w:numFmt w:val="bullet"/>
      <w:lvlText w:val="•"/>
      <w:lvlJc w:val="left"/>
      <w:pPr>
        <w:ind w:left="1350" w:hanging="100"/>
      </w:pPr>
      <w:rPr>
        <w:rFonts w:hint="default"/>
      </w:rPr>
    </w:lvl>
    <w:lvl w:ilvl="6" w:tplc="2DD817A0">
      <w:numFmt w:val="bullet"/>
      <w:lvlText w:val="•"/>
      <w:lvlJc w:val="left"/>
      <w:pPr>
        <w:ind w:left="1588" w:hanging="100"/>
      </w:pPr>
      <w:rPr>
        <w:rFonts w:hint="default"/>
      </w:rPr>
    </w:lvl>
    <w:lvl w:ilvl="7" w:tplc="B3CC28C4">
      <w:numFmt w:val="bullet"/>
      <w:lvlText w:val="•"/>
      <w:lvlJc w:val="left"/>
      <w:pPr>
        <w:ind w:left="1826" w:hanging="100"/>
      </w:pPr>
      <w:rPr>
        <w:rFonts w:hint="default"/>
      </w:rPr>
    </w:lvl>
    <w:lvl w:ilvl="8" w:tplc="4D9A7822">
      <w:numFmt w:val="bullet"/>
      <w:lvlText w:val="•"/>
      <w:lvlJc w:val="left"/>
      <w:pPr>
        <w:ind w:left="2064" w:hanging="100"/>
      </w:pPr>
      <w:rPr>
        <w:rFonts w:hint="default"/>
      </w:rPr>
    </w:lvl>
  </w:abstractNum>
  <w:abstractNum w:abstractNumId="1139" w15:restartNumberingAfterBreak="0">
    <w:nsid w:val="48337F6F"/>
    <w:multiLevelType w:val="hybridMultilevel"/>
    <w:tmpl w:val="1AF0E6AC"/>
    <w:lvl w:ilvl="0" w:tplc="1046B82C">
      <w:numFmt w:val="bullet"/>
      <w:lvlText w:val=""/>
      <w:lvlJc w:val="left"/>
      <w:pPr>
        <w:ind w:left="156" w:hanging="100"/>
      </w:pPr>
      <w:rPr>
        <w:rFonts w:ascii="Symbol" w:eastAsia="Symbol" w:hAnsi="Symbol" w:cs="Symbol" w:hint="default"/>
        <w:color w:val="231F20"/>
        <w:w w:val="100"/>
        <w:sz w:val="14"/>
        <w:szCs w:val="14"/>
      </w:rPr>
    </w:lvl>
    <w:lvl w:ilvl="1" w:tplc="0B88C290">
      <w:numFmt w:val="bullet"/>
      <w:lvlText w:val="•"/>
      <w:lvlJc w:val="left"/>
      <w:pPr>
        <w:ind w:left="398" w:hanging="100"/>
      </w:pPr>
      <w:rPr>
        <w:rFonts w:hint="default"/>
      </w:rPr>
    </w:lvl>
    <w:lvl w:ilvl="2" w:tplc="A0488C52">
      <w:numFmt w:val="bullet"/>
      <w:lvlText w:val="•"/>
      <w:lvlJc w:val="left"/>
      <w:pPr>
        <w:ind w:left="636" w:hanging="100"/>
      </w:pPr>
      <w:rPr>
        <w:rFonts w:hint="default"/>
      </w:rPr>
    </w:lvl>
    <w:lvl w:ilvl="3" w:tplc="883AA742">
      <w:numFmt w:val="bullet"/>
      <w:lvlText w:val="•"/>
      <w:lvlJc w:val="left"/>
      <w:pPr>
        <w:ind w:left="874" w:hanging="100"/>
      </w:pPr>
      <w:rPr>
        <w:rFonts w:hint="default"/>
      </w:rPr>
    </w:lvl>
    <w:lvl w:ilvl="4" w:tplc="FD4CCF7E">
      <w:numFmt w:val="bullet"/>
      <w:lvlText w:val="•"/>
      <w:lvlJc w:val="left"/>
      <w:pPr>
        <w:ind w:left="1112" w:hanging="100"/>
      </w:pPr>
      <w:rPr>
        <w:rFonts w:hint="default"/>
      </w:rPr>
    </w:lvl>
    <w:lvl w:ilvl="5" w:tplc="BDD05334">
      <w:numFmt w:val="bullet"/>
      <w:lvlText w:val="•"/>
      <w:lvlJc w:val="left"/>
      <w:pPr>
        <w:ind w:left="1350" w:hanging="100"/>
      </w:pPr>
      <w:rPr>
        <w:rFonts w:hint="default"/>
      </w:rPr>
    </w:lvl>
    <w:lvl w:ilvl="6" w:tplc="58EE13AA">
      <w:numFmt w:val="bullet"/>
      <w:lvlText w:val="•"/>
      <w:lvlJc w:val="left"/>
      <w:pPr>
        <w:ind w:left="1588" w:hanging="100"/>
      </w:pPr>
      <w:rPr>
        <w:rFonts w:hint="default"/>
      </w:rPr>
    </w:lvl>
    <w:lvl w:ilvl="7" w:tplc="DBCA933C">
      <w:numFmt w:val="bullet"/>
      <w:lvlText w:val="•"/>
      <w:lvlJc w:val="left"/>
      <w:pPr>
        <w:ind w:left="1826" w:hanging="100"/>
      </w:pPr>
      <w:rPr>
        <w:rFonts w:hint="default"/>
      </w:rPr>
    </w:lvl>
    <w:lvl w:ilvl="8" w:tplc="EDBCF286">
      <w:numFmt w:val="bullet"/>
      <w:lvlText w:val="•"/>
      <w:lvlJc w:val="left"/>
      <w:pPr>
        <w:ind w:left="2064" w:hanging="100"/>
      </w:pPr>
      <w:rPr>
        <w:rFonts w:hint="default"/>
      </w:rPr>
    </w:lvl>
  </w:abstractNum>
  <w:abstractNum w:abstractNumId="1140" w15:restartNumberingAfterBreak="0">
    <w:nsid w:val="483D1443"/>
    <w:multiLevelType w:val="hybridMultilevel"/>
    <w:tmpl w:val="10423306"/>
    <w:lvl w:ilvl="0" w:tplc="E59C57CC">
      <w:numFmt w:val="bullet"/>
      <w:lvlText w:val=""/>
      <w:lvlJc w:val="left"/>
      <w:pPr>
        <w:ind w:left="156" w:hanging="100"/>
      </w:pPr>
      <w:rPr>
        <w:rFonts w:ascii="Symbol" w:eastAsia="Symbol" w:hAnsi="Symbol" w:cs="Symbol" w:hint="default"/>
        <w:color w:val="231F20"/>
        <w:w w:val="100"/>
        <w:sz w:val="14"/>
        <w:szCs w:val="14"/>
      </w:rPr>
    </w:lvl>
    <w:lvl w:ilvl="1" w:tplc="BD2CC31C">
      <w:numFmt w:val="bullet"/>
      <w:lvlText w:val="•"/>
      <w:lvlJc w:val="left"/>
      <w:pPr>
        <w:ind w:left="301" w:hanging="100"/>
      </w:pPr>
      <w:rPr>
        <w:rFonts w:hint="default"/>
      </w:rPr>
    </w:lvl>
    <w:lvl w:ilvl="2" w:tplc="9118B458">
      <w:numFmt w:val="bullet"/>
      <w:lvlText w:val="•"/>
      <w:lvlJc w:val="left"/>
      <w:pPr>
        <w:ind w:left="443" w:hanging="100"/>
      </w:pPr>
      <w:rPr>
        <w:rFonts w:hint="default"/>
      </w:rPr>
    </w:lvl>
    <w:lvl w:ilvl="3" w:tplc="03063D4C">
      <w:numFmt w:val="bullet"/>
      <w:lvlText w:val="•"/>
      <w:lvlJc w:val="left"/>
      <w:pPr>
        <w:ind w:left="585" w:hanging="100"/>
      </w:pPr>
      <w:rPr>
        <w:rFonts w:hint="default"/>
      </w:rPr>
    </w:lvl>
    <w:lvl w:ilvl="4" w:tplc="DFFC6476">
      <w:numFmt w:val="bullet"/>
      <w:lvlText w:val="•"/>
      <w:lvlJc w:val="left"/>
      <w:pPr>
        <w:ind w:left="726" w:hanging="100"/>
      </w:pPr>
      <w:rPr>
        <w:rFonts w:hint="default"/>
      </w:rPr>
    </w:lvl>
    <w:lvl w:ilvl="5" w:tplc="9A3C9F9E">
      <w:numFmt w:val="bullet"/>
      <w:lvlText w:val="•"/>
      <w:lvlJc w:val="left"/>
      <w:pPr>
        <w:ind w:left="868" w:hanging="100"/>
      </w:pPr>
      <w:rPr>
        <w:rFonts w:hint="default"/>
      </w:rPr>
    </w:lvl>
    <w:lvl w:ilvl="6" w:tplc="DEBA2C22">
      <w:numFmt w:val="bullet"/>
      <w:lvlText w:val="•"/>
      <w:lvlJc w:val="left"/>
      <w:pPr>
        <w:ind w:left="1010" w:hanging="100"/>
      </w:pPr>
      <w:rPr>
        <w:rFonts w:hint="default"/>
      </w:rPr>
    </w:lvl>
    <w:lvl w:ilvl="7" w:tplc="64E41042">
      <w:numFmt w:val="bullet"/>
      <w:lvlText w:val="•"/>
      <w:lvlJc w:val="left"/>
      <w:pPr>
        <w:ind w:left="1151" w:hanging="100"/>
      </w:pPr>
      <w:rPr>
        <w:rFonts w:hint="default"/>
      </w:rPr>
    </w:lvl>
    <w:lvl w:ilvl="8" w:tplc="26B2FCA0">
      <w:numFmt w:val="bullet"/>
      <w:lvlText w:val="•"/>
      <w:lvlJc w:val="left"/>
      <w:pPr>
        <w:ind w:left="1293" w:hanging="100"/>
      </w:pPr>
      <w:rPr>
        <w:rFonts w:hint="default"/>
      </w:rPr>
    </w:lvl>
  </w:abstractNum>
  <w:abstractNum w:abstractNumId="1141" w15:restartNumberingAfterBreak="0">
    <w:nsid w:val="484133AE"/>
    <w:multiLevelType w:val="hybridMultilevel"/>
    <w:tmpl w:val="BEAA09F4"/>
    <w:lvl w:ilvl="0" w:tplc="4566A942">
      <w:numFmt w:val="bullet"/>
      <w:lvlText w:val=""/>
      <w:lvlJc w:val="left"/>
      <w:pPr>
        <w:ind w:left="156" w:hanging="100"/>
      </w:pPr>
      <w:rPr>
        <w:rFonts w:ascii="Symbol" w:eastAsia="Symbol" w:hAnsi="Symbol" w:cs="Symbol" w:hint="default"/>
        <w:color w:val="231F20"/>
        <w:w w:val="100"/>
        <w:sz w:val="14"/>
        <w:szCs w:val="14"/>
      </w:rPr>
    </w:lvl>
    <w:lvl w:ilvl="1" w:tplc="C82860A6">
      <w:numFmt w:val="bullet"/>
      <w:lvlText w:val="•"/>
      <w:lvlJc w:val="left"/>
      <w:pPr>
        <w:ind w:left="426" w:hanging="100"/>
      </w:pPr>
      <w:rPr>
        <w:rFonts w:hint="default"/>
      </w:rPr>
    </w:lvl>
    <w:lvl w:ilvl="2" w:tplc="51269466">
      <w:numFmt w:val="bullet"/>
      <w:lvlText w:val="•"/>
      <w:lvlJc w:val="left"/>
      <w:pPr>
        <w:ind w:left="692" w:hanging="100"/>
      </w:pPr>
      <w:rPr>
        <w:rFonts w:hint="default"/>
      </w:rPr>
    </w:lvl>
    <w:lvl w:ilvl="3" w:tplc="8FCA9C82">
      <w:numFmt w:val="bullet"/>
      <w:lvlText w:val="•"/>
      <w:lvlJc w:val="left"/>
      <w:pPr>
        <w:ind w:left="959" w:hanging="100"/>
      </w:pPr>
      <w:rPr>
        <w:rFonts w:hint="default"/>
      </w:rPr>
    </w:lvl>
    <w:lvl w:ilvl="4" w:tplc="C03E9AB4">
      <w:numFmt w:val="bullet"/>
      <w:lvlText w:val="•"/>
      <w:lvlJc w:val="left"/>
      <w:pPr>
        <w:ind w:left="1225" w:hanging="100"/>
      </w:pPr>
      <w:rPr>
        <w:rFonts w:hint="default"/>
      </w:rPr>
    </w:lvl>
    <w:lvl w:ilvl="5" w:tplc="95508684">
      <w:numFmt w:val="bullet"/>
      <w:lvlText w:val="•"/>
      <w:lvlJc w:val="left"/>
      <w:pPr>
        <w:ind w:left="1492" w:hanging="100"/>
      </w:pPr>
      <w:rPr>
        <w:rFonts w:hint="default"/>
      </w:rPr>
    </w:lvl>
    <w:lvl w:ilvl="6" w:tplc="0068094A">
      <w:numFmt w:val="bullet"/>
      <w:lvlText w:val="•"/>
      <w:lvlJc w:val="left"/>
      <w:pPr>
        <w:ind w:left="1758" w:hanging="100"/>
      </w:pPr>
      <w:rPr>
        <w:rFonts w:hint="default"/>
      </w:rPr>
    </w:lvl>
    <w:lvl w:ilvl="7" w:tplc="D7CA10CC">
      <w:numFmt w:val="bullet"/>
      <w:lvlText w:val="•"/>
      <w:lvlJc w:val="left"/>
      <w:pPr>
        <w:ind w:left="2024" w:hanging="100"/>
      </w:pPr>
      <w:rPr>
        <w:rFonts w:hint="default"/>
      </w:rPr>
    </w:lvl>
    <w:lvl w:ilvl="8" w:tplc="A3AA476E">
      <w:numFmt w:val="bullet"/>
      <w:lvlText w:val="•"/>
      <w:lvlJc w:val="left"/>
      <w:pPr>
        <w:ind w:left="2291" w:hanging="100"/>
      </w:pPr>
      <w:rPr>
        <w:rFonts w:hint="default"/>
      </w:rPr>
    </w:lvl>
  </w:abstractNum>
  <w:abstractNum w:abstractNumId="1142" w15:restartNumberingAfterBreak="0">
    <w:nsid w:val="48580DEA"/>
    <w:multiLevelType w:val="hybridMultilevel"/>
    <w:tmpl w:val="D7E06E86"/>
    <w:lvl w:ilvl="0" w:tplc="6F8CD9CE">
      <w:numFmt w:val="bullet"/>
      <w:lvlText w:val=""/>
      <w:lvlJc w:val="left"/>
      <w:pPr>
        <w:ind w:left="156" w:hanging="100"/>
      </w:pPr>
      <w:rPr>
        <w:rFonts w:ascii="Symbol" w:eastAsia="Symbol" w:hAnsi="Symbol" w:cs="Symbol" w:hint="default"/>
        <w:color w:val="231F20"/>
        <w:w w:val="100"/>
        <w:sz w:val="14"/>
        <w:szCs w:val="14"/>
      </w:rPr>
    </w:lvl>
    <w:lvl w:ilvl="1" w:tplc="40263FD6">
      <w:numFmt w:val="bullet"/>
      <w:lvlText w:val="•"/>
      <w:lvlJc w:val="left"/>
      <w:pPr>
        <w:ind w:left="301" w:hanging="100"/>
      </w:pPr>
      <w:rPr>
        <w:rFonts w:hint="default"/>
      </w:rPr>
    </w:lvl>
    <w:lvl w:ilvl="2" w:tplc="61CEAA5E">
      <w:numFmt w:val="bullet"/>
      <w:lvlText w:val="•"/>
      <w:lvlJc w:val="left"/>
      <w:pPr>
        <w:ind w:left="443" w:hanging="100"/>
      </w:pPr>
      <w:rPr>
        <w:rFonts w:hint="default"/>
      </w:rPr>
    </w:lvl>
    <w:lvl w:ilvl="3" w:tplc="7776693C">
      <w:numFmt w:val="bullet"/>
      <w:lvlText w:val="•"/>
      <w:lvlJc w:val="left"/>
      <w:pPr>
        <w:ind w:left="585" w:hanging="100"/>
      </w:pPr>
      <w:rPr>
        <w:rFonts w:hint="default"/>
      </w:rPr>
    </w:lvl>
    <w:lvl w:ilvl="4" w:tplc="9AEE0B96">
      <w:numFmt w:val="bullet"/>
      <w:lvlText w:val="•"/>
      <w:lvlJc w:val="left"/>
      <w:pPr>
        <w:ind w:left="726" w:hanging="100"/>
      </w:pPr>
      <w:rPr>
        <w:rFonts w:hint="default"/>
      </w:rPr>
    </w:lvl>
    <w:lvl w:ilvl="5" w:tplc="F03AA68C">
      <w:numFmt w:val="bullet"/>
      <w:lvlText w:val="•"/>
      <w:lvlJc w:val="left"/>
      <w:pPr>
        <w:ind w:left="868" w:hanging="100"/>
      </w:pPr>
      <w:rPr>
        <w:rFonts w:hint="default"/>
      </w:rPr>
    </w:lvl>
    <w:lvl w:ilvl="6" w:tplc="F9F27F46">
      <w:numFmt w:val="bullet"/>
      <w:lvlText w:val="•"/>
      <w:lvlJc w:val="left"/>
      <w:pPr>
        <w:ind w:left="1010" w:hanging="100"/>
      </w:pPr>
      <w:rPr>
        <w:rFonts w:hint="default"/>
      </w:rPr>
    </w:lvl>
    <w:lvl w:ilvl="7" w:tplc="10060E28">
      <w:numFmt w:val="bullet"/>
      <w:lvlText w:val="•"/>
      <w:lvlJc w:val="left"/>
      <w:pPr>
        <w:ind w:left="1151" w:hanging="100"/>
      </w:pPr>
      <w:rPr>
        <w:rFonts w:hint="default"/>
      </w:rPr>
    </w:lvl>
    <w:lvl w:ilvl="8" w:tplc="84448320">
      <w:numFmt w:val="bullet"/>
      <w:lvlText w:val="•"/>
      <w:lvlJc w:val="left"/>
      <w:pPr>
        <w:ind w:left="1293" w:hanging="100"/>
      </w:pPr>
      <w:rPr>
        <w:rFonts w:hint="default"/>
      </w:rPr>
    </w:lvl>
  </w:abstractNum>
  <w:abstractNum w:abstractNumId="1143" w15:restartNumberingAfterBreak="0">
    <w:nsid w:val="486171B6"/>
    <w:multiLevelType w:val="hybridMultilevel"/>
    <w:tmpl w:val="4B80D974"/>
    <w:lvl w:ilvl="0" w:tplc="B7385B7C">
      <w:numFmt w:val="bullet"/>
      <w:lvlText w:val=""/>
      <w:lvlJc w:val="left"/>
      <w:pPr>
        <w:ind w:left="156" w:hanging="100"/>
      </w:pPr>
      <w:rPr>
        <w:rFonts w:ascii="Symbol" w:eastAsia="Symbol" w:hAnsi="Symbol" w:cs="Symbol" w:hint="default"/>
        <w:color w:val="231F20"/>
        <w:w w:val="100"/>
        <w:sz w:val="14"/>
        <w:szCs w:val="14"/>
      </w:rPr>
    </w:lvl>
    <w:lvl w:ilvl="1" w:tplc="FDA2C71C">
      <w:numFmt w:val="bullet"/>
      <w:lvlText w:val="•"/>
      <w:lvlJc w:val="left"/>
      <w:pPr>
        <w:ind w:left="426" w:hanging="100"/>
      </w:pPr>
      <w:rPr>
        <w:rFonts w:hint="default"/>
      </w:rPr>
    </w:lvl>
    <w:lvl w:ilvl="2" w:tplc="2C985204">
      <w:numFmt w:val="bullet"/>
      <w:lvlText w:val="•"/>
      <w:lvlJc w:val="left"/>
      <w:pPr>
        <w:ind w:left="692" w:hanging="100"/>
      </w:pPr>
      <w:rPr>
        <w:rFonts w:hint="default"/>
      </w:rPr>
    </w:lvl>
    <w:lvl w:ilvl="3" w:tplc="DD8AB23A">
      <w:numFmt w:val="bullet"/>
      <w:lvlText w:val="•"/>
      <w:lvlJc w:val="left"/>
      <w:pPr>
        <w:ind w:left="959" w:hanging="100"/>
      </w:pPr>
      <w:rPr>
        <w:rFonts w:hint="default"/>
      </w:rPr>
    </w:lvl>
    <w:lvl w:ilvl="4" w:tplc="DEA4B2FC">
      <w:numFmt w:val="bullet"/>
      <w:lvlText w:val="•"/>
      <w:lvlJc w:val="left"/>
      <w:pPr>
        <w:ind w:left="1225" w:hanging="100"/>
      </w:pPr>
      <w:rPr>
        <w:rFonts w:hint="default"/>
      </w:rPr>
    </w:lvl>
    <w:lvl w:ilvl="5" w:tplc="20A24190">
      <w:numFmt w:val="bullet"/>
      <w:lvlText w:val="•"/>
      <w:lvlJc w:val="left"/>
      <w:pPr>
        <w:ind w:left="1492" w:hanging="100"/>
      </w:pPr>
      <w:rPr>
        <w:rFonts w:hint="default"/>
      </w:rPr>
    </w:lvl>
    <w:lvl w:ilvl="6" w:tplc="7FAC539A">
      <w:numFmt w:val="bullet"/>
      <w:lvlText w:val="•"/>
      <w:lvlJc w:val="left"/>
      <w:pPr>
        <w:ind w:left="1758" w:hanging="100"/>
      </w:pPr>
      <w:rPr>
        <w:rFonts w:hint="default"/>
      </w:rPr>
    </w:lvl>
    <w:lvl w:ilvl="7" w:tplc="BC024B78">
      <w:numFmt w:val="bullet"/>
      <w:lvlText w:val="•"/>
      <w:lvlJc w:val="left"/>
      <w:pPr>
        <w:ind w:left="2024" w:hanging="100"/>
      </w:pPr>
      <w:rPr>
        <w:rFonts w:hint="default"/>
      </w:rPr>
    </w:lvl>
    <w:lvl w:ilvl="8" w:tplc="8E24A7CA">
      <w:numFmt w:val="bullet"/>
      <w:lvlText w:val="•"/>
      <w:lvlJc w:val="left"/>
      <w:pPr>
        <w:ind w:left="2291" w:hanging="100"/>
      </w:pPr>
      <w:rPr>
        <w:rFonts w:hint="default"/>
      </w:rPr>
    </w:lvl>
  </w:abstractNum>
  <w:abstractNum w:abstractNumId="1144" w15:restartNumberingAfterBreak="0">
    <w:nsid w:val="48801E69"/>
    <w:multiLevelType w:val="hybridMultilevel"/>
    <w:tmpl w:val="B6BAAA9A"/>
    <w:lvl w:ilvl="0" w:tplc="4B625D30">
      <w:numFmt w:val="bullet"/>
      <w:lvlText w:val=""/>
      <w:lvlJc w:val="left"/>
      <w:pPr>
        <w:ind w:left="156" w:hanging="100"/>
      </w:pPr>
      <w:rPr>
        <w:rFonts w:ascii="Symbol" w:eastAsia="Symbol" w:hAnsi="Symbol" w:cs="Symbol" w:hint="default"/>
        <w:color w:val="231F20"/>
        <w:w w:val="100"/>
        <w:sz w:val="14"/>
        <w:szCs w:val="14"/>
      </w:rPr>
    </w:lvl>
    <w:lvl w:ilvl="1" w:tplc="8C74ABC8">
      <w:numFmt w:val="bullet"/>
      <w:lvlText w:val="•"/>
      <w:lvlJc w:val="left"/>
      <w:pPr>
        <w:ind w:left="398" w:hanging="100"/>
      </w:pPr>
      <w:rPr>
        <w:rFonts w:hint="default"/>
      </w:rPr>
    </w:lvl>
    <w:lvl w:ilvl="2" w:tplc="AFD6356E">
      <w:numFmt w:val="bullet"/>
      <w:lvlText w:val="•"/>
      <w:lvlJc w:val="left"/>
      <w:pPr>
        <w:ind w:left="636" w:hanging="100"/>
      </w:pPr>
      <w:rPr>
        <w:rFonts w:hint="default"/>
      </w:rPr>
    </w:lvl>
    <w:lvl w:ilvl="3" w:tplc="140A2640">
      <w:numFmt w:val="bullet"/>
      <w:lvlText w:val="•"/>
      <w:lvlJc w:val="left"/>
      <w:pPr>
        <w:ind w:left="874" w:hanging="100"/>
      </w:pPr>
      <w:rPr>
        <w:rFonts w:hint="default"/>
      </w:rPr>
    </w:lvl>
    <w:lvl w:ilvl="4" w:tplc="E31677E2">
      <w:numFmt w:val="bullet"/>
      <w:lvlText w:val="•"/>
      <w:lvlJc w:val="left"/>
      <w:pPr>
        <w:ind w:left="1112" w:hanging="100"/>
      </w:pPr>
      <w:rPr>
        <w:rFonts w:hint="default"/>
      </w:rPr>
    </w:lvl>
    <w:lvl w:ilvl="5" w:tplc="A9141068">
      <w:numFmt w:val="bullet"/>
      <w:lvlText w:val="•"/>
      <w:lvlJc w:val="left"/>
      <w:pPr>
        <w:ind w:left="1350" w:hanging="100"/>
      </w:pPr>
      <w:rPr>
        <w:rFonts w:hint="default"/>
      </w:rPr>
    </w:lvl>
    <w:lvl w:ilvl="6" w:tplc="A41E94E4">
      <w:numFmt w:val="bullet"/>
      <w:lvlText w:val="•"/>
      <w:lvlJc w:val="left"/>
      <w:pPr>
        <w:ind w:left="1588" w:hanging="100"/>
      </w:pPr>
      <w:rPr>
        <w:rFonts w:hint="default"/>
      </w:rPr>
    </w:lvl>
    <w:lvl w:ilvl="7" w:tplc="94AACC86">
      <w:numFmt w:val="bullet"/>
      <w:lvlText w:val="•"/>
      <w:lvlJc w:val="left"/>
      <w:pPr>
        <w:ind w:left="1826" w:hanging="100"/>
      </w:pPr>
      <w:rPr>
        <w:rFonts w:hint="default"/>
      </w:rPr>
    </w:lvl>
    <w:lvl w:ilvl="8" w:tplc="AE600CD8">
      <w:numFmt w:val="bullet"/>
      <w:lvlText w:val="•"/>
      <w:lvlJc w:val="left"/>
      <w:pPr>
        <w:ind w:left="2064" w:hanging="100"/>
      </w:pPr>
      <w:rPr>
        <w:rFonts w:hint="default"/>
      </w:rPr>
    </w:lvl>
  </w:abstractNum>
  <w:abstractNum w:abstractNumId="1145" w15:restartNumberingAfterBreak="0">
    <w:nsid w:val="48812DBA"/>
    <w:multiLevelType w:val="hybridMultilevel"/>
    <w:tmpl w:val="0562F316"/>
    <w:lvl w:ilvl="0" w:tplc="59C441CE">
      <w:numFmt w:val="bullet"/>
      <w:lvlText w:val=""/>
      <w:lvlJc w:val="left"/>
      <w:pPr>
        <w:ind w:left="156" w:hanging="100"/>
      </w:pPr>
      <w:rPr>
        <w:rFonts w:ascii="Symbol" w:eastAsia="Symbol" w:hAnsi="Symbol" w:cs="Symbol" w:hint="default"/>
        <w:color w:val="231F20"/>
        <w:w w:val="100"/>
        <w:sz w:val="14"/>
        <w:szCs w:val="14"/>
      </w:rPr>
    </w:lvl>
    <w:lvl w:ilvl="1" w:tplc="CEF63AF8">
      <w:numFmt w:val="bullet"/>
      <w:lvlText w:val="•"/>
      <w:lvlJc w:val="left"/>
      <w:pPr>
        <w:ind w:left="398" w:hanging="100"/>
      </w:pPr>
      <w:rPr>
        <w:rFonts w:hint="default"/>
      </w:rPr>
    </w:lvl>
    <w:lvl w:ilvl="2" w:tplc="9ED4AFCC">
      <w:numFmt w:val="bullet"/>
      <w:lvlText w:val="•"/>
      <w:lvlJc w:val="left"/>
      <w:pPr>
        <w:ind w:left="636" w:hanging="100"/>
      </w:pPr>
      <w:rPr>
        <w:rFonts w:hint="default"/>
      </w:rPr>
    </w:lvl>
    <w:lvl w:ilvl="3" w:tplc="9CECAA24">
      <w:numFmt w:val="bullet"/>
      <w:lvlText w:val="•"/>
      <w:lvlJc w:val="left"/>
      <w:pPr>
        <w:ind w:left="874" w:hanging="100"/>
      </w:pPr>
      <w:rPr>
        <w:rFonts w:hint="default"/>
      </w:rPr>
    </w:lvl>
    <w:lvl w:ilvl="4" w:tplc="BD0E5ED0">
      <w:numFmt w:val="bullet"/>
      <w:lvlText w:val="•"/>
      <w:lvlJc w:val="left"/>
      <w:pPr>
        <w:ind w:left="1112" w:hanging="100"/>
      </w:pPr>
      <w:rPr>
        <w:rFonts w:hint="default"/>
      </w:rPr>
    </w:lvl>
    <w:lvl w:ilvl="5" w:tplc="D58033DE">
      <w:numFmt w:val="bullet"/>
      <w:lvlText w:val="•"/>
      <w:lvlJc w:val="left"/>
      <w:pPr>
        <w:ind w:left="1350" w:hanging="100"/>
      </w:pPr>
      <w:rPr>
        <w:rFonts w:hint="default"/>
      </w:rPr>
    </w:lvl>
    <w:lvl w:ilvl="6" w:tplc="48065DE8">
      <w:numFmt w:val="bullet"/>
      <w:lvlText w:val="•"/>
      <w:lvlJc w:val="left"/>
      <w:pPr>
        <w:ind w:left="1588" w:hanging="100"/>
      </w:pPr>
      <w:rPr>
        <w:rFonts w:hint="default"/>
      </w:rPr>
    </w:lvl>
    <w:lvl w:ilvl="7" w:tplc="29AE6B74">
      <w:numFmt w:val="bullet"/>
      <w:lvlText w:val="•"/>
      <w:lvlJc w:val="left"/>
      <w:pPr>
        <w:ind w:left="1826" w:hanging="100"/>
      </w:pPr>
      <w:rPr>
        <w:rFonts w:hint="default"/>
      </w:rPr>
    </w:lvl>
    <w:lvl w:ilvl="8" w:tplc="9836BDDC">
      <w:numFmt w:val="bullet"/>
      <w:lvlText w:val="•"/>
      <w:lvlJc w:val="left"/>
      <w:pPr>
        <w:ind w:left="2064" w:hanging="100"/>
      </w:pPr>
      <w:rPr>
        <w:rFonts w:hint="default"/>
      </w:rPr>
    </w:lvl>
  </w:abstractNum>
  <w:abstractNum w:abstractNumId="1146" w15:restartNumberingAfterBreak="0">
    <w:nsid w:val="4881323C"/>
    <w:multiLevelType w:val="hybridMultilevel"/>
    <w:tmpl w:val="DE78436A"/>
    <w:lvl w:ilvl="0" w:tplc="A5AE86EC">
      <w:numFmt w:val="bullet"/>
      <w:lvlText w:val=""/>
      <w:lvlJc w:val="left"/>
      <w:pPr>
        <w:ind w:left="156" w:hanging="100"/>
      </w:pPr>
      <w:rPr>
        <w:rFonts w:ascii="Symbol" w:eastAsia="Symbol" w:hAnsi="Symbol" w:cs="Symbol" w:hint="default"/>
        <w:color w:val="231F20"/>
        <w:w w:val="100"/>
        <w:sz w:val="14"/>
        <w:szCs w:val="14"/>
      </w:rPr>
    </w:lvl>
    <w:lvl w:ilvl="1" w:tplc="7D5A7EAC">
      <w:numFmt w:val="bullet"/>
      <w:lvlText w:val="•"/>
      <w:lvlJc w:val="left"/>
      <w:pPr>
        <w:ind w:left="301" w:hanging="100"/>
      </w:pPr>
      <w:rPr>
        <w:rFonts w:hint="default"/>
      </w:rPr>
    </w:lvl>
    <w:lvl w:ilvl="2" w:tplc="0FC8CC4C">
      <w:numFmt w:val="bullet"/>
      <w:lvlText w:val="•"/>
      <w:lvlJc w:val="left"/>
      <w:pPr>
        <w:ind w:left="443" w:hanging="100"/>
      </w:pPr>
      <w:rPr>
        <w:rFonts w:hint="default"/>
      </w:rPr>
    </w:lvl>
    <w:lvl w:ilvl="3" w:tplc="09CE7112">
      <w:numFmt w:val="bullet"/>
      <w:lvlText w:val="•"/>
      <w:lvlJc w:val="left"/>
      <w:pPr>
        <w:ind w:left="585" w:hanging="100"/>
      </w:pPr>
      <w:rPr>
        <w:rFonts w:hint="default"/>
      </w:rPr>
    </w:lvl>
    <w:lvl w:ilvl="4" w:tplc="53E87D10">
      <w:numFmt w:val="bullet"/>
      <w:lvlText w:val="•"/>
      <w:lvlJc w:val="left"/>
      <w:pPr>
        <w:ind w:left="726" w:hanging="100"/>
      </w:pPr>
      <w:rPr>
        <w:rFonts w:hint="default"/>
      </w:rPr>
    </w:lvl>
    <w:lvl w:ilvl="5" w:tplc="6046EA08">
      <w:numFmt w:val="bullet"/>
      <w:lvlText w:val="•"/>
      <w:lvlJc w:val="left"/>
      <w:pPr>
        <w:ind w:left="868" w:hanging="100"/>
      </w:pPr>
      <w:rPr>
        <w:rFonts w:hint="default"/>
      </w:rPr>
    </w:lvl>
    <w:lvl w:ilvl="6" w:tplc="C1848070">
      <w:numFmt w:val="bullet"/>
      <w:lvlText w:val="•"/>
      <w:lvlJc w:val="left"/>
      <w:pPr>
        <w:ind w:left="1010" w:hanging="100"/>
      </w:pPr>
      <w:rPr>
        <w:rFonts w:hint="default"/>
      </w:rPr>
    </w:lvl>
    <w:lvl w:ilvl="7" w:tplc="E92264F0">
      <w:numFmt w:val="bullet"/>
      <w:lvlText w:val="•"/>
      <w:lvlJc w:val="left"/>
      <w:pPr>
        <w:ind w:left="1151" w:hanging="100"/>
      </w:pPr>
      <w:rPr>
        <w:rFonts w:hint="default"/>
      </w:rPr>
    </w:lvl>
    <w:lvl w:ilvl="8" w:tplc="C9240E8E">
      <w:numFmt w:val="bullet"/>
      <w:lvlText w:val="•"/>
      <w:lvlJc w:val="left"/>
      <w:pPr>
        <w:ind w:left="1293" w:hanging="100"/>
      </w:pPr>
      <w:rPr>
        <w:rFonts w:hint="default"/>
      </w:rPr>
    </w:lvl>
  </w:abstractNum>
  <w:abstractNum w:abstractNumId="1147" w15:restartNumberingAfterBreak="0">
    <w:nsid w:val="48856163"/>
    <w:multiLevelType w:val="hybridMultilevel"/>
    <w:tmpl w:val="D8ACCCB0"/>
    <w:lvl w:ilvl="0" w:tplc="36801C3C">
      <w:numFmt w:val="bullet"/>
      <w:lvlText w:val=""/>
      <w:lvlJc w:val="left"/>
      <w:pPr>
        <w:ind w:left="156" w:hanging="100"/>
      </w:pPr>
      <w:rPr>
        <w:rFonts w:ascii="Symbol" w:eastAsia="Symbol" w:hAnsi="Symbol" w:cs="Symbol" w:hint="default"/>
        <w:color w:val="231F20"/>
        <w:w w:val="100"/>
        <w:sz w:val="14"/>
        <w:szCs w:val="14"/>
      </w:rPr>
    </w:lvl>
    <w:lvl w:ilvl="1" w:tplc="AF582F8A">
      <w:numFmt w:val="bullet"/>
      <w:lvlText w:val="•"/>
      <w:lvlJc w:val="left"/>
      <w:pPr>
        <w:ind w:left="426" w:hanging="100"/>
      </w:pPr>
      <w:rPr>
        <w:rFonts w:hint="default"/>
      </w:rPr>
    </w:lvl>
    <w:lvl w:ilvl="2" w:tplc="30185752">
      <w:numFmt w:val="bullet"/>
      <w:lvlText w:val="•"/>
      <w:lvlJc w:val="left"/>
      <w:pPr>
        <w:ind w:left="692" w:hanging="100"/>
      </w:pPr>
      <w:rPr>
        <w:rFonts w:hint="default"/>
      </w:rPr>
    </w:lvl>
    <w:lvl w:ilvl="3" w:tplc="68F84F54">
      <w:numFmt w:val="bullet"/>
      <w:lvlText w:val="•"/>
      <w:lvlJc w:val="left"/>
      <w:pPr>
        <w:ind w:left="959" w:hanging="100"/>
      </w:pPr>
      <w:rPr>
        <w:rFonts w:hint="default"/>
      </w:rPr>
    </w:lvl>
    <w:lvl w:ilvl="4" w:tplc="B05AF98E">
      <w:numFmt w:val="bullet"/>
      <w:lvlText w:val="•"/>
      <w:lvlJc w:val="left"/>
      <w:pPr>
        <w:ind w:left="1225" w:hanging="100"/>
      </w:pPr>
      <w:rPr>
        <w:rFonts w:hint="default"/>
      </w:rPr>
    </w:lvl>
    <w:lvl w:ilvl="5" w:tplc="4B182674">
      <w:numFmt w:val="bullet"/>
      <w:lvlText w:val="•"/>
      <w:lvlJc w:val="left"/>
      <w:pPr>
        <w:ind w:left="1492" w:hanging="100"/>
      </w:pPr>
      <w:rPr>
        <w:rFonts w:hint="default"/>
      </w:rPr>
    </w:lvl>
    <w:lvl w:ilvl="6" w:tplc="9BA20D0C">
      <w:numFmt w:val="bullet"/>
      <w:lvlText w:val="•"/>
      <w:lvlJc w:val="left"/>
      <w:pPr>
        <w:ind w:left="1758" w:hanging="100"/>
      </w:pPr>
      <w:rPr>
        <w:rFonts w:hint="default"/>
      </w:rPr>
    </w:lvl>
    <w:lvl w:ilvl="7" w:tplc="FA7ABFD4">
      <w:numFmt w:val="bullet"/>
      <w:lvlText w:val="•"/>
      <w:lvlJc w:val="left"/>
      <w:pPr>
        <w:ind w:left="2024" w:hanging="100"/>
      </w:pPr>
      <w:rPr>
        <w:rFonts w:hint="default"/>
      </w:rPr>
    </w:lvl>
    <w:lvl w:ilvl="8" w:tplc="B2C48D38">
      <w:numFmt w:val="bullet"/>
      <w:lvlText w:val="•"/>
      <w:lvlJc w:val="left"/>
      <w:pPr>
        <w:ind w:left="2291" w:hanging="100"/>
      </w:pPr>
      <w:rPr>
        <w:rFonts w:hint="default"/>
      </w:rPr>
    </w:lvl>
  </w:abstractNum>
  <w:abstractNum w:abstractNumId="1148" w15:restartNumberingAfterBreak="0">
    <w:nsid w:val="48861221"/>
    <w:multiLevelType w:val="hybridMultilevel"/>
    <w:tmpl w:val="575CCEA0"/>
    <w:lvl w:ilvl="0" w:tplc="555C0A54">
      <w:numFmt w:val="bullet"/>
      <w:lvlText w:val=""/>
      <w:lvlJc w:val="left"/>
      <w:pPr>
        <w:ind w:left="156" w:hanging="100"/>
      </w:pPr>
      <w:rPr>
        <w:rFonts w:ascii="Symbol" w:eastAsia="Symbol" w:hAnsi="Symbol" w:cs="Symbol" w:hint="default"/>
        <w:color w:val="231F20"/>
        <w:w w:val="100"/>
        <w:sz w:val="14"/>
        <w:szCs w:val="14"/>
      </w:rPr>
    </w:lvl>
    <w:lvl w:ilvl="1" w:tplc="9A0657F6">
      <w:numFmt w:val="bullet"/>
      <w:lvlText w:val="•"/>
      <w:lvlJc w:val="left"/>
      <w:pPr>
        <w:ind w:left="426" w:hanging="100"/>
      </w:pPr>
      <w:rPr>
        <w:rFonts w:hint="default"/>
      </w:rPr>
    </w:lvl>
    <w:lvl w:ilvl="2" w:tplc="DA9AF954">
      <w:numFmt w:val="bullet"/>
      <w:lvlText w:val="•"/>
      <w:lvlJc w:val="left"/>
      <w:pPr>
        <w:ind w:left="692" w:hanging="100"/>
      </w:pPr>
      <w:rPr>
        <w:rFonts w:hint="default"/>
      </w:rPr>
    </w:lvl>
    <w:lvl w:ilvl="3" w:tplc="BFF6DCE8">
      <w:numFmt w:val="bullet"/>
      <w:lvlText w:val="•"/>
      <w:lvlJc w:val="left"/>
      <w:pPr>
        <w:ind w:left="959" w:hanging="100"/>
      </w:pPr>
      <w:rPr>
        <w:rFonts w:hint="default"/>
      </w:rPr>
    </w:lvl>
    <w:lvl w:ilvl="4" w:tplc="340E625C">
      <w:numFmt w:val="bullet"/>
      <w:lvlText w:val="•"/>
      <w:lvlJc w:val="left"/>
      <w:pPr>
        <w:ind w:left="1225" w:hanging="100"/>
      </w:pPr>
      <w:rPr>
        <w:rFonts w:hint="default"/>
      </w:rPr>
    </w:lvl>
    <w:lvl w:ilvl="5" w:tplc="FFB0994E">
      <w:numFmt w:val="bullet"/>
      <w:lvlText w:val="•"/>
      <w:lvlJc w:val="left"/>
      <w:pPr>
        <w:ind w:left="1492" w:hanging="100"/>
      </w:pPr>
      <w:rPr>
        <w:rFonts w:hint="default"/>
      </w:rPr>
    </w:lvl>
    <w:lvl w:ilvl="6" w:tplc="B38EC8B0">
      <w:numFmt w:val="bullet"/>
      <w:lvlText w:val="•"/>
      <w:lvlJc w:val="left"/>
      <w:pPr>
        <w:ind w:left="1758" w:hanging="100"/>
      </w:pPr>
      <w:rPr>
        <w:rFonts w:hint="default"/>
      </w:rPr>
    </w:lvl>
    <w:lvl w:ilvl="7" w:tplc="8B6C3F26">
      <w:numFmt w:val="bullet"/>
      <w:lvlText w:val="•"/>
      <w:lvlJc w:val="left"/>
      <w:pPr>
        <w:ind w:left="2024" w:hanging="100"/>
      </w:pPr>
      <w:rPr>
        <w:rFonts w:hint="default"/>
      </w:rPr>
    </w:lvl>
    <w:lvl w:ilvl="8" w:tplc="1E3EAB2C">
      <w:numFmt w:val="bullet"/>
      <w:lvlText w:val="•"/>
      <w:lvlJc w:val="left"/>
      <w:pPr>
        <w:ind w:left="2291" w:hanging="100"/>
      </w:pPr>
      <w:rPr>
        <w:rFonts w:hint="default"/>
      </w:rPr>
    </w:lvl>
  </w:abstractNum>
  <w:abstractNum w:abstractNumId="1149" w15:restartNumberingAfterBreak="0">
    <w:nsid w:val="48A063BF"/>
    <w:multiLevelType w:val="hybridMultilevel"/>
    <w:tmpl w:val="AC9C7A70"/>
    <w:lvl w:ilvl="0" w:tplc="B75AB01C">
      <w:numFmt w:val="bullet"/>
      <w:lvlText w:val=""/>
      <w:lvlJc w:val="left"/>
      <w:pPr>
        <w:ind w:left="156" w:hanging="100"/>
      </w:pPr>
      <w:rPr>
        <w:rFonts w:ascii="Symbol" w:eastAsia="Symbol" w:hAnsi="Symbol" w:cs="Symbol" w:hint="default"/>
        <w:color w:val="231F20"/>
        <w:w w:val="100"/>
        <w:sz w:val="14"/>
        <w:szCs w:val="14"/>
      </w:rPr>
    </w:lvl>
    <w:lvl w:ilvl="1" w:tplc="D050447A">
      <w:numFmt w:val="bullet"/>
      <w:lvlText w:val="•"/>
      <w:lvlJc w:val="left"/>
      <w:pPr>
        <w:ind w:left="426" w:hanging="100"/>
      </w:pPr>
      <w:rPr>
        <w:rFonts w:hint="default"/>
      </w:rPr>
    </w:lvl>
    <w:lvl w:ilvl="2" w:tplc="485A0686">
      <w:numFmt w:val="bullet"/>
      <w:lvlText w:val="•"/>
      <w:lvlJc w:val="left"/>
      <w:pPr>
        <w:ind w:left="692" w:hanging="100"/>
      </w:pPr>
      <w:rPr>
        <w:rFonts w:hint="default"/>
      </w:rPr>
    </w:lvl>
    <w:lvl w:ilvl="3" w:tplc="C64855B8">
      <w:numFmt w:val="bullet"/>
      <w:lvlText w:val="•"/>
      <w:lvlJc w:val="left"/>
      <w:pPr>
        <w:ind w:left="959" w:hanging="100"/>
      </w:pPr>
      <w:rPr>
        <w:rFonts w:hint="default"/>
      </w:rPr>
    </w:lvl>
    <w:lvl w:ilvl="4" w:tplc="C98A49F8">
      <w:numFmt w:val="bullet"/>
      <w:lvlText w:val="•"/>
      <w:lvlJc w:val="left"/>
      <w:pPr>
        <w:ind w:left="1225" w:hanging="100"/>
      </w:pPr>
      <w:rPr>
        <w:rFonts w:hint="default"/>
      </w:rPr>
    </w:lvl>
    <w:lvl w:ilvl="5" w:tplc="2938971E">
      <w:numFmt w:val="bullet"/>
      <w:lvlText w:val="•"/>
      <w:lvlJc w:val="left"/>
      <w:pPr>
        <w:ind w:left="1492" w:hanging="100"/>
      </w:pPr>
      <w:rPr>
        <w:rFonts w:hint="default"/>
      </w:rPr>
    </w:lvl>
    <w:lvl w:ilvl="6" w:tplc="D9F409B4">
      <w:numFmt w:val="bullet"/>
      <w:lvlText w:val="•"/>
      <w:lvlJc w:val="left"/>
      <w:pPr>
        <w:ind w:left="1758" w:hanging="100"/>
      </w:pPr>
      <w:rPr>
        <w:rFonts w:hint="default"/>
      </w:rPr>
    </w:lvl>
    <w:lvl w:ilvl="7" w:tplc="AD74B9F0">
      <w:numFmt w:val="bullet"/>
      <w:lvlText w:val="•"/>
      <w:lvlJc w:val="left"/>
      <w:pPr>
        <w:ind w:left="2024" w:hanging="100"/>
      </w:pPr>
      <w:rPr>
        <w:rFonts w:hint="default"/>
      </w:rPr>
    </w:lvl>
    <w:lvl w:ilvl="8" w:tplc="C1D80DC6">
      <w:numFmt w:val="bullet"/>
      <w:lvlText w:val="•"/>
      <w:lvlJc w:val="left"/>
      <w:pPr>
        <w:ind w:left="2291" w:hanging="100"/>
      </w:pPr>
      <w:rPr>
        <w:rFonts w:hint="default"/>
      </w:rPr>
    </w:lvl>
  </w:abstractNum>
  <w:abstractNum w:abstractNumId="1150" w15:restartNumberingAfterBreak="0">
    <w:nsid w:val="48C32C30"/>
    <w:multiLevelType w:val="hybridMultilevel"/>
    <w:tmpl w:val="B55E7D7C"/>
    <w:lvl w:ilvl="0" w:tplc="9FB0B2CA">
      <w:numFmt w:val="bullet"/>
      <w:lvlText w:val=""/>
      <w:lvlJc w:val="left"/>
      <w:pPr>
        <w:ind w:left="157" w:hanging="100"/>
      </w:pPr>
      <w:rPr>
        <w:rFonts w:ascii="Symbol" w:eastAsia="Symbol" w:hAnsi="Symbol" w:cs="Symbol" w:hint="default"/>
        <w:color w:val="231F20"/>
        <w:w w:val="100"/>
        <w:sz w:val="14"/>
        <w:szCs w:val="14"/>
      </w:rPr>
    </w:lvl>
    <w:lvl w:ilvl="1" w:tplc="739A5D7A">
      <w:numFmt w:val="bullet"/>
      <w:lvlText w:val="•"/>
      <w:lvlJc w:val="left"/>
      <w:pPr>
        <w:ind w:left="369" w:hanging="100"/>
      </w:pPr>
      <w:rPr>
        <w:rFonts w:hint="default"/>
      </w:rPr>
    </w:lvl>
    <w:lvl w:ilvl="2" w:tplc="A0E4E5A6">
      <w:numFmt w:val="bullet"/>
      <w:lvlText w:val="•"/>
      <w:lvlJc w:val="left"/>
      <w:pPr>
        <w:ind w:left="579" w:hanging="100"/>
      </w:pPr>
      <w:rPr>
        <w:rFonts w:hint="default"/>
      </w:rPr>
    </w:lvl>
    <w:lvl w:ilvl="3" w:tplc="BA609410">
      <w:numFmt w:val="bullet"/>
      <w:lvlText w:val="•"/>
      <w:lvlJc w:val="left"/>
      <w:pPr>
        <w:ind w:left="789" w:hanging="100"/>
      </w:pPr>
      <w:rPr>
        <w:rFonts w:hint="default"/>
      </w:rPr>
    </w:lvl>
    <w:lvl w:ilvl="4" w:tplc="D3249AFE">
      <w:numFmt w:val="bullet"/>
      <w:lvlText w:val="•"/>
      <w:lvlJc w:val="left"/>
      <w:pPr>
        <w:ind w:left="998" w:hanging="100"/>
      </w:pPr>
      <w:rPr>
        <w:rFonts w:hint="default"/>
      </w:rPr>
    </w:lvl>
    <w:lvl w:ilvl="5" w:tplc="87C636D4">
      <w:numFmt w:val="bullet"/>
      <w:lvlText w:val="•"/>
      <w:lvlJc w:val="left"/>
      <w:pPr>
        <w:ind w:left="1208" w:hanging="100"/>
      </w:pPr>
      <w:rPr>
        <w:rFonts w:hint="default"/>
      </w:rPr>
    </w:lvl>
    <w:lvl w:ilvl="6" w:tplc="C256DAFA">
      <w:numFmt w:val="bullet"/>
      <w:lvlText w:val="•"/>
      <w:lvlJc w:val="left"/>
      <w:pPr>
        <w:ind w:left="1418" w:hanging="100"/>
      </w:pPr>
      <w:rPr>
        <w:rFonts w:hint="default"/>
      </w:rPr>
    </w:lvl>
    <w:lvl w:ilvl="7" w:tplc="40BE1658">
      <w:numFmt w:val="bullet"/>
      <w:lvlText w:val="•"/>
      <w:lvlJc w:val="left"/>
      <w:pPr>
        <w:ind w:left="1627" w:hanging="100"/>
      </w:pPr>
      <w:rPr>
        <w:rFonts w:hint="default"/>
      </w:rPr>
    </w:lvl>
    <w:lvl w:ilvl="8" w:tplc="AA82C27A">
      <w:numFmt w:val="bullet"/>
      <w:lvlText w:val="•"/>
      <w:lvlJc w:val="left"/>
      <w:pPr>
        <w:ind w:left="1837" w:hanging="100"/>
      </w:pPr>
      <w:rPr>
        <w:rFonts w:hint="default"/>
      </w:rPr>
    </w:lvl>
  </w:abstractNum>
  <w:abstractNum w:abstractNumId="1151" w15:restartNumberingAfterBreak="0">
    <w:nsid w:val="48EF41BD"/>
    <w:multiLevelType w:val="hybridMultilevel"/>
    <w:tmpl w:val="851E3ADE"/>
    <w:lvl w:ilvl="0" w:tplc="D8F6F21E">
      <w:numFmt w:val="bullet"/>
      <w:lvlText w:val=""/>
      <w:lvlJc w:val="left"/>
      <w:pPr>
        <w:ind w:left="156" w:hanging="100"/>
      </w:pPr>
      <w:rPr>
        <w:rFonts w:ascii="Symbol" w:eastAsia="Symbol" w:hAnsi="Symbol" w:cs="Symbol" w:hint="default"/>
        <w:color w:val="231F20"/>
        <w:w w:val="100"/>
        <w:sz w:val="14"/>
        <w:szCs w:val="14"/>
      </w:rPr>
    </w:lvl>
    <w:lvl w:ilvl="1" w:tplc="F2F2F3A4">
      <w:numFmt w:val="bullet"/>
      <w:lvlText w:val="•"/>
      <w:lvlJc w:val="left"/>
      <w:pPr>
        <w:ind w:left="301" w:hanging="100"/>
      </w:pPr>
      <w:rPr>
        <w:rFonts w:hint="default"/>
      </w:rPr>
    </w:lvl>
    <w:lvl w:ilvl="2" w:tplc="62305484">
      <w:numFmt w:val="bullet"/>
      <w:lvlText w:val="•"/>
      <w:lvlJc w:val="left"/>
      <w:pPr>
        <w:ind w:left="443" w:hanging="100"/>
      </w:pPr>
      <w:rPr>
        <w:rFonts w:hint="default"/>
      </w:rPr>
    </w:lvl>
    <w:lvl w:ilvl="3" w:tplc="C9F67472">
      <w:numFmt w:val="bullet"/>
      <w:lvlText w:val="•"/>
      <w:lvlJc w:val="left"/>
      <w:pPr>
        <w:ind w:left="585" w:hanging="100"/>
      </w:pPr>
      <w:rPr>
        <w:rFonts w:hint="default"/>
      </w:rPr>
    </w:lvl>
    <w:lvl w:ilvl="4" w:tplc="C480FCF4">
      <w:numFmt w:val="bullet"/>
      <w:lvlText w:val="•"/>
      <w:lvlJc w:val="left"/>
      <w:pPr>
        <w:ind w:left="726" w:hanging="100"/>
      </w:pPr>
      <w:rPr>
        <w:rFonts w:hint="default"/>
      </w:rPr>
    </w:lvl>
    <w:lvl w:ilvl="5" w:tplc="BA8E789A">
      <w:numFmt w:val="bullet"/>
      <w:lvlText w:val="•"/>
      <w:lvlJc w:val="left"/>
      <w:pPr>
        <w:ind w:left="868" w:hanging="100"/>
      </w:pPr>
      <w:rPr>
        <w:rFonts w:hint="default"/>
      </w:rPr>
    </w:lvl>
    <w:lvl w:ilvl="6" w:tplc="49CEDE06">
      <w:numFmt w:val="bullet"/>
      <w:lvlText w:val="•"/>
      <w:lvlJc w:val="left"/>
      <w:pPr>
        <w:ind w:left="1010" w:hanging="100"/>
      </w:pPr>
      <w:rPr>
        <w:rFonts w:hint="default"/>
      </w:rPr>
    </w:lvl>
    <w:lvl w:ilvl="7" w:tplc="497A6508">
      <w:numFmt w:val="bullet"/>
      <w:lvlText w:val="•"/>
      <w:lvlJc w:val="left"/>
      <w:pPr>
        <w:ind w:left="1151" w:hanging="100"/>
      </w:pPr>
      <w:rPr>
        <w:rFonts w:hint="default"/>
      </w:rPr>
    </w:lvl>
    <w:lvl w:ilvl="8" w:tplc="3C003C9C">
      <w:numFmt w:val="bullet"/>
      <w:lvlText w:val="•"/>
      <w:lvlJc w:val="left"/>
      <w:pPr>
        <w:ind w:left="1293" w:hanging="100"/>
      </w:pPr>
      <w:rPr>
        <w:rFonts w:hint="default"/>
      </w:rPr>
    </w:lvl>
  </w:abstractNum>
  <w:abstractNum w:abstractNumId="1152" w15:restartNumberingAfterBreak="0">
    <w:nsid w:val="48FD4440"/>
    <w:multiLevelType w:val="hybridMultilevel"/>
    <w:tmpl w:val="0560A962"/>
    <w:lvl w:ilvl="0" w:tplc="B472307C">
      <w:numFmt w:val="bullet"/>
      <w:lvlText w:val=""/>
      <w:lvlJc w:val="left"/>
      <w:pPr>
        <w:ind w:left="156" w:hanging="100"/>
      </w:pPr>
      <w:rPr>
        <w:rFonts w:ascii="Symbol" w:eastAsia="Symbol" w:hAnsi="Symbol" w:cs="Symbol" w:hint="default"/>
        <w:color w:val="231F20"/>
        <w:w w:val="100"/>
        <w:sz w:val="14"/>
        <w:szCs w:val="14"/>
      </w:rPr>
    </w:lvl>
    <w:lvl w:ilvl="1" w:tplc="4ADE854C">
      <w:numFmt w:val="bullet"/>
      <w:lvlText w:val="•"/>
      <w:lvlJc w:val="left"/>
      <w:pPr>
        <w:ind w:left="301" w:hanging="100"/>
      </w:pPr>
      <w:rPr>
        <w:rFonts w:hint="default"/>
      </w:rPr>
    </w:lvl>
    <w:lvl w:ilvl="2" w:tplc="1A848C92">
      <w:numFmt w:val="bullet"/>
      <w:lvlText w:val="•"/>
      <w:lvlJc w:val="left"/>
      <w:pPr>
        <w:ind w:left="443" w:hanging="100"/>
      </w:pPr>
      <w:rPr>
        <w:rFonts w:hint="default"/>
      </w:rPr>
    </w:lvl>
    <w:lvl w:ilvl="3" w:tplc="3E662E5A">
      <w:numFmt w:val="bullet"/>
      <w:lvlText w:val="•"/>
      <w:lvlJc w:val="left"/>
      <w:pPr>
        <w:ind w:left="585" w:hanging="100"/>
      </w:pPr>
      <w:rPr>
        <w:rFonts w:hint="default"/>
      </w:rPr>
    </w:lvl>
    <w:lvl w:ilvl="4" w:tplc="7FAC79B8">
      <w:numFmt w:val="bullet"/>
      <w:lvlText w:val="•"/>
      <w:lvlJc w:val="left"/>
      <w:pPr>
        <w:ind w:left="726" w:hanging="100"/>
      </w:pPr>
      <w:rPr>
        <w:rFonts w:hint="default"/>
      </w:rPr>
    </w:lvl>
    <w:lvl w:ilvl="5" w:tplc="F72AB0C8">
      <w:numFmt w:val="bullet"/>
      <w:lvlText w:val="•"/>
      <w:lvlJc w:val="left"/>
      <w:pPr>
        <w:ind w:left="868" w:hanging="100"/>
      </w:pPr>
      <w:rPr>
        <w:rFonts w:hint="default"/>
      </w:rPr>
    </w:lvl>
    <w:lvl w:ilvl="6" w:tplc="8C6463F0">
      <w:numFmt w:val="bullet"/>
      <w:lvlText w:val="•"/>
      <w:lvlJc w:val="left"/>
      <w:pPr>
        <w:ind w:left="1010" w:hanging="100"/>
      </w:pPr>
      <w:rPr>
        <w:rFonts w:hint="default"/>
      </w:rPr>
    </w:lvl>
    <w:lvl w:ilvl="7" w:tplc="749CED92">
      <w:numFmt w:val="bullet"/>
      <w:lvlText w:val="•"/>
      <w:lvlJc w:val="left"/>
      <w:pPr>
        <w:ind w:left="1151" w:hanging="100"/>
      </w:pPr>
      <w:rPr>
        <w:rFonts w:hint="default"/>
      </w:rPr>
    </w:lvl>
    <w:lvl w:ilvl="8" w:tplc="A426D878">
      <w:numFmt w:val="bullet"/>
      <w:lvlText w:val="•"/>
      <w:lvlJc w:val="left"/>
      <w:pPr>
        <w:ind w:left="1293" w:hanging="100"/>
      </w:pPr>
      <w:rPr>
        <w:rFonts w:hint="default"/>
      </w:rPr>
    </w:lvl>
  </w:abstractNum>
  <w:abstractNum w:abstractNumId="1153" w15:restartNumberingAfterBreak="0">
    <w:nsid w:val="48FE763E"/>
    <w:multiLevelType w:val="hybridMultilevel"/>
    <w:tmpl w:val="F0B61AC4"/>
    <w:lvl w:ilvl="0" w:tplc="2BF23BEE">
      <w:numFmt w:val="bullet"/>
      <w:lvlText w:val=""/>
      <w:lvlJc w:val="left"/>
      <w:pPr>
        <w:ind w:left="156" w:hanging="100"/>
      </w:pPr>
      <w:rPr>
        <w:rFonts w:ascii="Symbol" w:eastAsia="Symbol" w:hAnsi="Symbol" w:cs="Symbol" w:hint="default"/>
        <w:color w:val="231F20"/>
        <w:w w:val="100"/>
        <w:sz w:val="14"/>
        <w:szCs w:val="14"/>
      </w:rPr>
    </w:lvl>
    <w:lvl w:ilvl="1" w:tplc="9552FC98">
      <w:numFmt w:val="bullet"/>
      <w:lvlText w:val="•"/>
      <w:lvlJc w:val="left"/>
      <w:pPr>
        <w:ind w:left="398" w:hanging="100"/>
      </w:pPr>
      <w:rPr>
        <w:rFonts w:hint="default"/>
      </w:rPr>
    </w:lvl>
    <w:lvl w:ilvl="2" w:tplc="1A220CF4">
      <w:numFmt w:val="bullet"/>
      <w:lvlText w:val="•"/>
      <w:lvlJc w:val="left"/>
      <w:pPr>
        <w:ind w:left="636" w:hanging="100"/>
      </w:pPr>
      <w:rPr>
        <w:rFonts w:hint="default"/>
      </w:rPr>
    </w:lvl>
    <w:lvl w:ilvl="3" w:tplc="3D0ECAA2">
      <w:numFmt w:val="bullet"/>
      <w:lvlText w:val="•"/>
      <w:lvlJc w:val="left"/>
      <w:pPr>
        <w:ind w:left="874" w:hanging="100"/>
      </w:pPr>
      <w:rPr>
        <w:rFonts w:hint="default"/>
      </w:rPr>
    </w:lvl>
    <w:lvl w:ilvl="4" w:tplc="3D624CD8">
      <w:numFmt w:val="bullet"/>
      <w:lvlText w:val="•"/>
      <w:lvlJc w:val="left"/>
      <w:pPr>
        <w:ind w:left="1112" w:hanging="100"/>
      </w:pPr>
      <w:rPr>
        <w:rFonts w:hint="default"/>
      </w:rPr>
    </w:lvl>
    <w:lvl w:ilvl="5" w:tplc="55BEC694">
      <w:numFmt w:val="bullet"/>
      <w:lvlText w:val="•"/>
      <w:lvlJc w:val="left"/>
      <w:pPr>
        <w:ind w:left="1350" w:hanging="100"/>
      </w:pPr>
      <w:rPr>
        <w:rFonts w:hint="default"/>
      </w:rPr>
    </w:lvl>
    <w:lvl w:ilvl="6" w:tplc="B0009D9C">
      <w:numFmt w:val="bullet"/>
      <w:lvlText w:val="•"/>
      <w:lvlJc w:val="left"/>
      <w:pPr>
        <w:ind w:left="1588" w:hanging="100"/>
      </w:pPr>
      <w:rPr>
        <w:rFonts w:hint="default"/>
      </w:rPr>
    </w:lvl>
    <w:lvl w:ilvl="7" w:tplc="021C6382">
      <w:numFmt w:val="bullet"/>
      <w:lvlText w:val="•"/>
      <w:lvlJc w:val="left"/>
      <w:pPr>
        <w:ind w:left="1826" w:hanging="100"/>
      </w:pPr>
      <w:rPr>
        <w:rFonts w:hint="default"/>
      </w:rPr>
    </w:lvl>
    <w:lvl w:ilvl="8" w:tplc="DB84E54E">
      <w:numFmt w:val="bullet"/>
      <w:lvlText w:val="•"/>
      <w:lvlJc w:val="left"/>
      <w:pPr>
        <w:ind w:left="2064" w:hanging="100"/>
      </w:pPr>
      <w:rPr>
        <w:rFonts w:hint="default"/>
      </w:rPr>
    </w:lvl>
  </w:abstractNum>
  <w:abstractNum w:abstractNumId="1154" w15:restartNumberingAfterBreak="0">
    <w:nsid w:val="4902235E"/>
    <w:multiLevelType w:val="hybridMultilevel"/>
    <w:tmpl w:val="F398C3C8"/>
    <w:lvl w:ilvl="0" w:tplc="49C6A7CA">
      <w:numFmt w:val="bullet"/>
      <w:lvlText w:val=""/>
      <w:lvlJc w:val="left"/>
      <w:pPr>
        <w:ind w:left="157" w:hanging="100"/>
      </w:pPr>
      <w:rPr>
        <w:rFonts w:ascii="Symbol" w:eastAsia="Symbol" w:hAnsi="Symbol" w:cs="Symbol" w:hint="default"/>
        <w:color w:val="231F20"/>
        <w:w w:val="100"/>
        <w:sz w:val="14"/>
        <w:szCs w:val="14"/>
      </w:rPr>
    </w:lvl>
    <w:lvl w:ilvl="1" w:tplc="7E00485A">
      <w:numFmt w:val="bullet"/>
      <w:lvlText w:val="•"/>
      <w:lvlJc w:val="left"/>
      <w:pPr>
        <w:ind w:left="369" w:hanging="100"/>
      </w:pPr>
      <w:rPr>
        <w:rFonts w:hint="default"/>
      </w:rPr>
    </w:lvl>
    <w:lvl w:ilvl="2" w:tplc="04D6FB58">
      <w:numFmt w:val="bullet"/>
      <w:lvlText w:val="•"/>
      <w:lvlJc w:val="left"/>
      <w:pPr>
        <w:ind w:left="579" w:hanging="100"/>
      </w:pPr>
      <w:rPr>
        <w:rFonts w:hint="default"/>
      </w:rPr>
    </w:lvl>
    <w:lvl w:ilvl="3" w:tplc="10167EA2">
      <w:numFmt w:val="bullet"/>
      <w:lvlText w:val="•"/>
      <w:lvlJc w:val="left"/>
      <w:pPr>
        <w:ind w:left="789" w:hanging="100"/>
      </w:pPr>
      <w:rPr>
        <w:rFonts w:hint="default"/>
      </w:rPr>
    </w:lvl>
    <w:lvl w:ilvl="4" w:tplc="8A2E920E">
      <w:numFmt w:val="bullet"/>
      <w:lvlText w:val="•"/>
      <w:lvlJc w:val="left"/>
      <w:pPr>
        <w:ind w:left="998" w:hanging="100"/>
      </w:pPr>
      <w:rPr>
        <w:rFonts w:hint="default"/>
      </w:rPr>
    </w:lvl>
    <w:lvl w:ilvl="5" w:tplc="C630CE6E">
      <w:numFmt w:val="bullet"/>
      <w:lvlText w:val="•"/>
      <w:lvlJc w:val="left"/>
      <w:pPr>
        <w:ind w:left="1208" w:hanging="100"/>
      </w:pPr>
      <w:rPr>
        <w:rFonts w:hint="default"/>
      </w:rPr>
    </w:lvl>
    <w:lvl w:ilvl="6" w:tplc="E2B6E4A0">
      <w:numFmt w:val="bullet"/>
      <w:lvlText w:val="•"/>
      <w:lvlJc w:val="left"/>
      <w:pPr>
        <w:ind w:left="1418" w:hanging="100"/>
      </w:pPr>
      <w:rPr>
        <w:rFonts w:hint="default"/>
      </w:rPr>
    </w:lvl>
    <w:lvl w:ilvl="7" w:tplc="64266B30">
      <w:numFmt w:val="bullet"/>
      <w:lvlText w:val="•"/>
      <w:lvlJc w:val="left"/>
      <w:pPr>
        <w:ind w:left="1627" w:hanging="100"/>
      </w:pPr>
      <w:rPr>
        <w:rFonts w:hint="default"/>
      </w:rPr>
    </w:lvl>
    <w:lvl w:ilvl="8" w:tplc="6F1E6614">
      <w:numFmt w:val="bullet"/>
      <w:lvlText w:val="•"/>
      <w:lvlJc w:val="left"/>
      <w:pPr>
        <w:ind w:left="1837" w:hanging="100"/>
      </w:pPr>
      <w:rPr>
        <w:rFonts w:hint="default"/>
      </w:rPr>
    </w:lvl>
  </w:abstractNum>
  <w:abstractNum w:abstractNumId="1155" w15:restartNumberingAfterBreak="0">
    <w:nsid w:val="490458FC"/>
    <w:multiLevelType w:val="hybridMultilevel"/>
    <w:tmpl w:val="2240356C"/>
    <w:lvl w:ilvl="0" w:tplc="BFEA0B86">
      <w:numFmt w:val="bullet"/>
      <w:lvlText w:val=""/>
      <w:lvlJc w:val="left"/>
      <w:pPr>
        <w:ind w:left="157" w:hanging="100"/>
      </w:pPr>
      <w:rPr>
        <w:rFonts w:ascii="Symbol" w:eastAsia="Symbol" w:hAnsi="Symbol" w:cs="Symbol" w:hint="default"/>
        <w:color w:val="231F20"/>
        <w:w w:val="100"/>
        <w:sz w:val="14"/>
        <w:szCs w:val="14"/>
      </w:rPr>
    </w:lvl>
    <w:lvl w:ilvl="1" w:tplc="8DE2A50E">
      <w:numFmt w:val="bullet"/>
      <w:lvlText w:val="•"/>
      <w:lvlJc w:val="left"/>
      <w:pPr>
        <w:ind w:left="426" w:hanging="100"/>
      </w:pPr>
      <w:rPr>
        <w:rFonts w:hint="default"/>
      </w:rPr>
    </w:lvl>
    <w:lvl w:ilvl="2" w:tplc="A0E02A40">
      <w:numFmt w:val="bullet"/>
      <w:lvlText w:val="•"/>
      <w:lvlJc w:val="left"/>
      <w:pPr>
        <w:ind w:left="692" w:hanging="100"/>
      </w:pPr>
      <w:rPr>
        <w:rFonts w:hint="default"/>
      </w:rPr>
    </w:lvl>
    <w:lvl w:ilvl="3" w:tplc="61428BE2">
      <w:numFmt w:val="bullet"/>
      <w:lvlText w:val="•"/>
      <w:lvlJc w:val="left"/>
      <w:pPr>
        <w:ind w:left="959" w:hanging="100"/>
      </w:pPr>
      <w:rPr>
        <w:rFonts w:hint="default"/>
      </w:rPr>
    </w:lvl>
    <w:lvl w:ilvl="4" w:tplc="CA0E079C">
      <w:numFmt w:val="bullet"/>
      <w:lvlText w:val="•"/>
      <w:lvlJc w:val="left"/>
      <w:pPr>
        <w:ind w:left="1225" w:hanging="100"/>
      </w:pPr>
      <w:rPr>
        <w:rFonts w:hint="default"/>
      </w:rPr>
    </w:lvl>
    <w:lvl w:ilvl="5" w:tplc="617E8C0C">
      <w:numFmt w:val="bullet"/>
      <w:lvlText w:val="•"/>
      <w:lvlJc w:val="left"/>
      <w:pPr>
        <w:ind w:left="1492" w:hanging="100"/>
      </w:pPr>
      <w:rPr>
        <w:rFonts w:hint="default"/>
      </w:rPr>
    </w:lvl>
    <w:lvl w:ilvl="6" w:tplc="40928B10">
      <w:numFmt w:val="bullet"/>
      <w:lvlText w:val="•"/>
      <w:lvlJc w:val="left"/>
      <w:pPr>
        <w:ind w:left="1758" w:hanging="100"/>
      </w:pPr>
      <w:rPr>
        <w:rFonts w:hint="default"/>
      </w:rPr>
    </w:lvl>
    <w:lvl w:ilvl="7" w:tplc="7C626158">
      <w:numFmt w:val="bullet"/>
      <w:lvlText w:val="•"/>
      <w:lvlJc w:val="left"/>
      <w:pPr>
        <w:ind w:left="2024" w:hanging="100"/>
      </w:pPr>
      <w:rPr>
        <w:rFonts w:hint="default"/>
      </w:rPr>
    </w:lvl>
    <w:lvl w:ilvl="8" w:tplc="FFCCF596">
      <w:numFmt w:val="bullet"/>
      <w:lvlText w:val="•"/>
      <w:lvlJc w:val="left"/>
      <w:pPr>
        <w:ind w:left="2291" w:hanging="100"/>
      </w:pPr>
      <w:rPr>
        <w:rFonts w:hint="default"/>
      </w:rPr>
    </w:lvl>
  </w:abstractNum>
  <w:abstractNum w:abstractNumId="1156" w15:restartNumberingAfterBreak="0">
    <w:nsid w:val="4910417C"/>
    <w:multiLevelType w:val="hybridMultilevel"/>
    <w:tmpl w:val="CF102998"/>
    <w:lvl w:ilvl="0" w:tplc="09A67FE2">
      <w:numFmt w:val="bullet"/>
      <w:lvlText w:val=""/>
      <w:lvlJc w:val="left"/>
      <w:pPr>
        <w:ind w:left="156" w:hanging="100"/>
      </w:pPr>
      <w:rPr>
        <w:rFonts w:ascii="Symbol" w:eastAsia="Symbol" w:hAnsi="Symbol" w:cs="Symbol" w:hint="default"/>
        <w:color w:val="231F20"/>
        <w:w w:val="100"/>
        <w:sz w:val="14"/>
        <w:szCs w:val="14"/>
      </w:rPr>
    </w:lvl>
    <w:lvl w:ilvl="1" w:tplc="67ACB268">
      <w:numFmt w:val="bullet"/>
      <w:lvlText w:val="•"/>
      <w:lvlJc w:val="left"/>
      <w:pPr>
        <w:ind w:left="398" w:hanging="100"/>
      </w:pPr>
      <w:rPr>
        <w:rFonts w:hint="default"/>
      </w:rPr>
    </w:lvl>
    <w:lvl w:ilvl="2" w:tplc="CAA01682">
      <w:numFmt w:val="bullet"/>
      <w:lvlText w:val="•"/>
      <w:lvlJc w:val="left"/>
      <w:pPr>
        <w:ind w:left="636" w:hanging="100"/>
      </w:pPr>
      <w:rPr>
        <w:rFonts w:hint="default"/>
      </w:rPr>
    </w:lvl>
    <w:lvl w:ilvl="3" w:tplc="EA149FF6">
      <w:numFmt w:val="bullet"/>
      <w:lvlText w:val="•"/>
      <w:lvlJc w:val="left"/>
      <w:pPr>
        <w:ind w:left="874" w:hanging="100"/>
      </w:pPr>
      <w:rPr>
        <w:rFonts w:hint="default"/>
      </w:rPr>
    </w:lvl>
    <w:lvl w:ilvl="4" w:tplc="4B78A8BC">
      <w:numFmt w:val="bullet"/>
      <w:lvlText w:val="•"/>
      <w:lvlJc w:val="left"/>
      <w:pPr>
        <w:ind w:left="1112" w:hanging="100"/>
      </w:pPr>
      <w:rPr>
        <w:rFonts w:hint="default"/>
      </w:rPr>
    </w:lvl>
    <w:lvl w:ilvl="5" w:tplc="D1AE7786">
      <w:numFmt w:val="bullet"/>
      <w:lvlText w:val="•"/>
      <w:lvlJc w:val="left"/>
      <w:pPr>
        <w:ind w:left="1350" w:hanging="100"/>
      </w:pPr>
      <w:rPr>
        <w:rFonts w:hint="default"/>
      </w:rPr>
    </w:lvl>
    <w:lvl w:ilvl="6" w:tplc="BE600526">
      <w:numFmt w:val="bullet"/>
      <w:lvlText w:val="•"/>
      <w:lvlJc w:val="left"/>
      <w:pPr>
        <w:ind w:left="1588" w:hanging="100"/>
      </w:pPr>
      <w:rPr>
        <w:rFonts w:hint="default"/>
      </w:rPr>
    </w:lvl>
    <w:lvl w:ilvl="7" w:tplc="C8947104">
      <w:numFmt w:val="bullet"/>
      <w:lvlText w:val="•"/>
      <w:lvlJc w:val="left"/>
      <w:pPr>
        <w:ind w:left="1826" w:hanging="100"/>
      </w:pPr>
      <w:rPr>
        <w:rFonts w:hint="default"/>
      </w:rPr>
    </w:lvl>
    <w:lvl w:ilvl="8" w:tplc="1564ED56">
      <w:numFmt w:val="bullet"/>
      <w:lvlText w:val="•"/>
      <w:lvlJc w:val="left"/>
      <w:pPr>
        <w:ind w:left="2064" w:hanging="100"/>
      </w:pPr>
      <w:rPr>
        <w:rFonts w:hint="default"/>
      </w:rPr>
    </w:lvl>
  </w:abstractNum>
  <w:abstractNum w:abstractNumId="1157" w15:restartNumberingAfterBreak="0">
    <w:nsid w:val="491C023F"/>
    <w:multiLevelType w:val="hybridMultilevel"/>
    <w:tmpl w:val="D6447F2A"/>
    <w:lvl w:ilvl="0" w:tplc="0FF81038">
      <w:numFmt w:val="bullet"/>
      <w:lvlText w:val=""/>
      <w:lvlJc w:val="left"/>
      <w:pPr>
        <w:ind w:left="157" w:hanging="100"/>
      </w:pPr>
      <w:rPr>
        <w:rFonts w:ascii="Symbol" w:eastAsia="Symbol" w:hAnsi="Symbol" w:cs="Symbol" w:hint="default"/>
        <w:color w:val="231F20"/>
        <w:w w:val="100"/>
        <w:sz w:val="14"/>
        <w:szCs w:val="14"/>
      </w:rPr>
    </w:lvl>
    <w:lvl w:ilvl="1" w:tplc="87A4147A">
      <w:numFmt w:val="bullet"/>
      <w:lvlText w:val="•"/>
      <w:lvlJc w:val="left"/>
      <w:pPr>
        <w:ind w:left="426" w:hanging="100"/>
      </w:pPr>
      <w:rPr>
        <w:rFonts w:hint="default"/>
      </w:rPr>
    </w:lvl>
    <w:lvl w:ilvl="2" w:tplc="062C47BA">
      <w:numFmt w:val="bullet"/>
      <w:lvlText w:val="•"/>
      <w:lvlJc w:val="left"/>
      <w:pPr>
        <w:ind w:left="692" w:hanging="100"/>
      </w:pPr>
      <w:rPr>
        <w:rFonts w:hint="default"/>
      </w:rPr>
    </w:lvl>
    <w:lvl w:ilvl="3" w:tplc="0D281F88">
      <w:numFmt w:val="bullet"/>
      <w:lvlText w:val="•"/>
      <w:lvlJc w:val="left"/>
      <w:pPr>
        <w:ind w:left="959" w:hanging="100"/>
      </w:pPr>
      <w:rPr>
        <w:rFonts w:hint="default"/>
      </w:rPr>
    </w:lvl>
    <w:lvl w:ilvl="4" w:tplc="2836F6EA">
      <w:numFmt w:val="bullet"/>
      <w:lvlText w:val="•"/>
      <w:lvlJc w:val="left"/>
      <w:pPr>
        <w:ind w:left="1225" w:hanging="100"/>
      </w:pPr>
      <w:rPr>
        <w:rFonts w:hint="default"/>
      </w:rPr>
    </w:lvl>
    <w:lvl w:ilvl="5" w:tplc="045CBDA0">
      <w:numFmt w:val="bullet"/>
      <w:lvlText w:val="•"/>
      <w:lvlJc w:val="left"/>
      <w:pPr>
        <w:ind w:left="1492" w:hanging="100"/>
      </w:pPr>
      <w:rPr>
        <w:rFonts w:hint="default"/>
      </w:rPr>
    </w:lvl>
    <w:lvl w:ilvl="6" w:tplc="4B3824DA">
      <w:numFmt w:val="bullet"/>
      <w:lvlText w:val="•"/>
      <w:lvlJc w:val="left"/>
      <w:pPr>
        <w:ind w:left="1758" w:hanging="100"/>
      </w:pPr>
      <w:rPr>
        <w:rFonts w:hint="default"/>
      </w:rPr>
    </w:lvl>
    <w:lvl w:ilvl="7" w:tplc="25EAE52A">
      <w:numFmt w:val="bullet"/>
      <w:lvlText w:val="•"/>
      <w:lvlJc w:val="left"/>
      <w:pPr>
        <w:ind w:left="2024" w:hanging="100"/>
      </w:pPr>
      <w:rPr>
        <w:rFonts w:hint="default"/>
      </w:rPr>
    </w:lvl>
    <w:lvl w:ilvl="8" w:tplc="10C0092E">
      <w:numFmt w:val="bullet"/>
      <w:lvlText w:val="•"/>
      <w:lvlJc w:val="left"/>
      <w:pPr>
        <w:ind w:left="2291" w:hanging="100"/>
      </w:pPr>
      <w:rPr>
        <w:rFonts w:hint="default"/>
      </w:rPr>
    </w:lvl>
  </w:abstractNum>
  <w:abstractNum w:abstractNumId="1158" w15:restartNumberingAfterBreak="0">
    <w:nsid w:val="492D12F5"/>
    <w:multiLevelType w:val="hybridMultilevel"/>
    <w:tmpl w:val="CFE29898"/>
    <w:lvl w:ilvl="0" w:tplc="A4CC90D4">
      <w:numFmt w:val="bullet"/>
      <w:lvlText w:val=""/>
      <w:lvlJc w:val="left"/>
      <w:pPr>
        <w:ind w:left="156" w:hanging="100"/>
      </w:pPr>
      <w:rPr>
        <w:rFonts w:ascii="Symbol" w:eastAsia="Symbol" w:hAnsi="Symbol" w:cs="Symbol" w:hint="default"/>
        <w:color w:val="231F20"/>
        <w:w w:val="100"/>
        <w:sz w:val="14"/>
        <w:szCs w:val="14"/>
      </w:rPr>
    </w:lvl>
    <w:lvl w:ilvl="1" w:tplc="8A8E07D0">
      <w:numFmt w:val="bullet"/>
      <w:lvlText w:val="•"/>
      <w:lvlJc w:val="left"/>
      <w:pPr>
        <w:ind w:left="398" w:hanging="100"/>
      </w:pPr>
      <w:rPr>
        <w:rFonts w:hint="default"/>
      </w:rPr>
    </w:lvl>
    <w:lvl w:ilvl="2" w:tplc="17E40E62">
      <w:numFmt w:val="bullet"/>
      <w:lvlText w:val="•"/>
      <w:lvlJc w:val="left"/>
      <w:pPr>
        <w:ind w:left="636" w:hanging="100"/>
      </w:pPr>
      <w:rPr>
        <w:rFonts w:hint="default"/>
      </w:rPr>
    </w:lvl>
    <w:lvl w:ilvl="3" w:tplc="44A61C48">
      <w:numFmt w:val="bullet"/>
      <w:lvlText w:val="•"/>
      <w:lvlJc w:val="left"/>
      <w:pPr>
        <w:ind w:left="874" w:hanging="100"/>
      </w:pPr>
      <w:rPr>
        <w:rFonts w:hint="default"/>
      </w:rPr>
    </w:lvl>
    <w:lvl w:ilvl="4" w:tplc="7B18E9DC">
      <w:numFmt w:val="bullet"/>
      <w:lvlText w:val="•"/>
      <w:lvlJc w:val="left"/>
      <w:pPr>
        <w:ind w:left="1112" w:hanging="100"/>
      </w:pPr>
      <w:rPr>
        <w:rFonts w:hint="default"/>
      </w:rPr>
    </w:lvl>
    <w:lvl w:ilvl="5" w:tplc="5C3E11F8">
      <w:numFmt w:val="bullet"/>
      <w:lvlText w:val="•"/>
      <w:lvlJc w:val="left"/>
      <w:pPr>
        <w:ind w:left="1350" w:hanging="100"/>
      </w:pPr>
      <w:rPr>
        <w:rFonts w:hint="default"/>
      </w:rPr>
    </w:lvl>
    <w:lvl w:ilvl="6" w:tplc="C7F48760">
      <w:numFmt w:val="bullet"/>
      <w:lvlText w:val="•"/>
      <w:lvlJc w:val="left"/>
      <w:pPr>
        <w:ind w:left="1588" w:hanging="100"/>
      </w:pPr>
      <w:rPr>
        <w:rFonts w:hint="default"/>
      </w:rPr>
    </w:lvl>
    <w:lvl w:ilvl="7" w:tplc="E78C6B14">
      <w:numFmt w:val="bullet"/>
      <w:lvlText w:val="•"/>
      <w:lvlJc w:val="left"/>
      <w:pPr>
        <w:ind w:left="1826" w:hanging="100"/>
      </w:pPr>
      <w:rPr>
        <w:rFonts w:hint="default"/>
      </w:rPr>
    </w:lvl>
    <w:lvl w:ilvl="8" w:tplc="4072AF56">
      <w:numFmt w:val="bullet"/>
      <w:lvlText w:val="•"/>
      <w:lvlJc w:val="left"/>
      <w:pPr>
        <w:ind w:left="2064" w:hanging="100"/>
      </w:pPr>
      <w:rPr>
        <w:rFonts w:hint="default"/>
      </w:rPr>
    </w:lvl>
  </w:abstractNum>
  <w:abstractNum w:abstractNumId="1159" w15:restartNumberingAfterBreak="0">
    <w:nsid w:val="492E2E68"/>
    <w:multiLevelType w:val="hybridMultilevel"/>
    <w:tmpl w:val="EE3E89D4"/>
    <w:lvl w:ilvl="0" w:tplc="053C29B6">
      <w:numFmt w:val="bullet"/>
      <w:lvlText w:val=""/>
      <w:lvlJc w:val="left"/>
      <w:pPr>
        <w:ind w:left="156" w:hanging="100"/>
      </w:pPr>
      <w:rPr>
        <w:rFonts w:ascii="Symbol" w:eastAsia="Symbol" w:hAnsi="Symbol" w:cs="Symbol" w:hint="default"/>
        <w:color w:val="231F20"/>
        <w:w w:val="100"/>
        <w:sz w:val="14"/>
        <w:szCs w:val="14"/>
      </w:rPr>
    </w:lvl>
    <w:lvl w:ilvl="1" w:tplc="803872B4">
      <w:numFmt w:val="bullet"/>
      <w:lvlText w:val="•"/>
      <w:lvlJc w:val="left"/>
      <w:pPr>
        <w:ind w:left="426" w:hanging="100"/>
      </w:pPr>
      <w:rPr>
        <w:rFonts w:hint="default"/>
      </w:rPr>
    </w:lvl>
    <w:lvl w:ilvl="2" w:tplc="F6EA13BE">
      <w:numFmt w:val="bullet"/>
      <w:lvlText w:val="•"/>
      <w:lvlJc w:val="left"/>
      <w:pPr>
        <w:ind w:left="692" w:hanging="100"/>
      </w:pPr>
      <w:rPr>
        <w:rFonts w:hint="default"/>
      </w:rPr>
    </w:lvl>
    <w:lvl w:ilvl="3" w:tplc="D3448DC4">
      <w:numFmt w:val="bullet"/>
      <w:lvlText w:val="•"/>
      <w:lvlJc w:val="left"/>
      <w:pPr>
        <w:ind w:left="959" w:hanging="100"/>
      </w:pPr>
      <w:rPr>
        <w:rFonts w:hint="default"/>
      </w:rPr>
    </w:lvl>
    <w:lvl w:ilvl="4" w:tplc="0F20976E">
      <w:numFmt w:val="bullet"/>
      <w:lvlText w:val="•"/>
      <w:lvlJc w:val="left"/>
      <w:pPr>
        <w:ind w:left="1225" w:hanging="100"/>
      </w:pPr>
      <w:rPr>
        <w:rFonts w:hint="default"/>
      </w:rPr>
    </w:lvl>
    <w:lvl w:ilvl="5" w:tplc="C68464D0">
      <w:numFmt w:val="bullet"/>
      <w:lvlText w:val="•"/>
      <w:lvlJc w:val="left"/>
      <w:pPr>
        <w:ind w:left="1492" w:hanging="100"/>
      </w:pPr>
      <w:rPr>
        <w:rFonts w:hint="default"/>
      </w:rPr>
    </w:lvl>
    <w:lvl w:ilvl="6" w:tplc="0FF0D9A0">
      <w:numFmt w:val="bullet"/>
      <w:lvlText w:val="•"/>
      <w:lvlJc w:val="left"/>
      <w:pPr>
        <w:ind w:left="1758" w:hanging="100"/>
      </w:pPr>
      <w:rPr>
        <w:rFonts w:hint="default"/>
      </w:rPr>
    </w:lvl>
    <w:lvl w:ilvl="7" w:tplc="743ED750">
      <w:numFmt w:val="bullet"/>
      <w:lvlText w:val="•"/>
      <w:lvlJc w:val="left"/>
      <w:pPr>
        <w:ind w:left="2024" w:hanging="100"/>
      </w:pPr>
      <w:rPr>
        <w:rFonts w:hint="default"/>
      </w:rPr>
    </w:lvl>
    <w:lvl w:ilvl="8" w:tplc="DA8005B4">
      <w:numFmt w:val="bullet"/>
      <w:lvlText w:val="•"/>
      <w:lvlJc w:val="left"/>
      <w:pPr>
        <w:ind w:left="2291" w:hanging="100"/>
      </w:pPr>
      <w:rPr>
        <w:rFonts w:hint="default"/>
      </w:rPr>
    </w:lvl>
  </w:abstractNum>
  <w:abstractNum w:abstractNumId="1160" w15:restartNumberingAfterBreak="0">
    <w:nsid w:val="49562887"/>
    <w:multiLevelType w:val="hybridMultilevel"/>
    <w:tmpl w:val="00D0A54C"/>
    <w:lvl w:ilvl="0" w:tplc="036CB27C">
      <w:numFmt w:val="bullet"/>
      <w:lvlText w:val=""/>
      <w:lvlJc w:val="left"/>
      <w:pPr>
        <w:ind w:left="156" w:hanging="100"/>
      </w:pPr>
      <w:rPr>
        <w:rFonts w:ascii="Symbol" w:eastAsia="Symbol" w:hAnsi="Symbol" w:cs="Symbol" w:hint="default"/>
        <w:color w:val="231F20"/>
        <w:w w:val="100"/>
        <w:sz w:val="14"/>
        <w:szCs w:val="14"/>
      </w:rPr>
    </w:lvl>
    <w:lvl w:ilvl="1" w:tplc="E6169268">
      <w:numFmt w:val="bullet"/>
      <w:lvlText w:val="•"/>
      <w:lvlJc w:val="left"/>
      <w:pPr>
        <w:ind w:left="301" w:hanging="100"/>
      </w:pPr>
      <w:rPr>
        <w:rFonts w:hint="default"/>
      </w:rPr>
    </w:lvl>
    <w:lvl w:ilvl="2" w:tplc="1B8ACBB4">
      <w:numFmt w:val="bullet"/>
      <w:lvlText w:val="•"/>
      <w:lvlJc w:val="left"/>
      <w:pPr>
        <w:ind w:left="443" w:hanging="100"/>
      </w:pPr>
      <w:rPr>
        <w:rFonts w:hint="default"/>
      </w:rPr>
    </w:lvl>
    <w:lvl w:ilvl="3" w:tplc="41F826D4">
      <w:numFmt w:val="bullet"/>
      <w:lvlText w:val="•"/>
      <w:lvlJc w:val="left"/>
      <w:pPr>
        <w:ind w:left="585" w:hanging="100"/>
      </w:pPr>
      <w:rPr>
        <w:rFonts w:hint="default"/>
      </w:rPr>
    </w:lvl>
    <w:lvl w:ilvl="4" w:tplc="D5E06B5A">
      <w:numFmt w:val="bullet"/>
      <w:lvlText w:val="•"/>
      <w:lvlJc w:val="left"/>
      <w:pPr>
        <w:ind w:left="726" w:hanging="100"/>
      </w:pPr>
      <w:rPr>
        <w:rFonts w:hint="default"/>
      </w:rPr>
    </w:lvl>
    <w:lvl w:ilvl="5" w:tplc="E2F6984E">
      <w:numFmt w:val="bullet"/>
      <w:lvlText w:val="•"/>
      <w:lvlJc w:val="left"/>
      <w:pPr>
        <w:ind w:left="868" w:hanging="100"/>
      </w:pPr>
      <w:rPr>
        <w:rFonts w:hint="default"/>
      </w:rPr>
    </w:lvl>
    <w:lvl w:ilvl="6" w:tplc="5F32744E">
      <w:numFmt w:val="bullet"/>
      <w:lvlText w:val="•"/>
      <w:lvlJc w:val="left"/>
      <w:pPr>
        <w:ind w:left="1010" w:hanging="100"/>
      </w:pPr>
      <w:rPr>
        <w:rFonts w:hint="default"/>
      </w:rPr>
    </w:lvl>
    <w:lvl w:ilvl="7" w:tplc="546E78F2">
      <w:numFmt w:val="bullet"/>
      <w:lvlText w:val="•"/>
      <w:lvlJc w:val="left"/>
      <w:pPr>
        <w:ind w:left="1151" w:hanging="100"/>
      </w:pPr>
      <w:rPr>
        <w:rFonts w:hint="default"/>
      </w:rPr>
    </w:lvl>
    <w:lvl w:ilvl="8" w:tplc="81C25D72">
      <w:numFmt w:val="bullet"/>
      <w:lvlText w:val="•"/>
      <w:lvlJc w:val="left"/>
      <w:pPr>
        <w:ind w:left="1293" w:hanging="100"/>
      </w:pPr>
      <w:rPr>
        <w:rFonts w:hint="default"/>
      </w:rPr>
    </w:lvl>
  </w:abstractNum>
  <w:abstractNum w:abstractNumId="1161" w15:restartNumberingAfterBreak="0">
    <w:nsid w:val="496D21B4"/>
    <w:multiLevelType w:val="hybridMultilevel"/>
    <w:tmpl w:val="4FA2661C"/>
    <w:lvl w:ilvl="0" w:tplc="BACEFB10">
      <w:numFmt w:val="bullet"/>
      <w:lvlText w:val=""/>
      <w:lvlJc w:val="left"/>
      <w:pPr>
        <w:ind w:left="156" w:hanging="100"/>
      </w:pPr>
      <w:rPr>
        <w:rFonts w:ascii="Symbol" w:eastAsia="Symbol" w:hAnsi="Symbol" w:cs="Symbol" w:hint="default"/>
        <w:color w:val="231F20"/>
        <w:w w:val="100"/>
        <w:sz w:val="14"/>
        <w:szCs w:val="14"/>
      </w:rPr>
    </w:lvl>
    <w:lvl w:ilvl="1" w:tplc="1AA80906">
      <w:numFmt w:val="bullet"/>
      <w:lvlText w:val="•"/>
      <w:lvlJc w:val="left"/>
      <w:pPr>
        <w:ind w:left="301" w:hanging="100"/>
      </w:pPr>
      <w:rPr>
        <w:rFonts w:hint="default"/>
      </w:rPr>
    </w:lvl>
    <w:lvl w:ilvl="2" w:tplc="97DEBB50">
      <w:numFmt w:val="bullet"/>
      <w:lvlText w:val="•"/>
      <w:lvlJc w:val="left"/>
      <w:pPr>
        <w:ind w:left="443" w:hanging="100"/>
      </w:pPr>
      <w:rPr>
        <w:rFonts w:hint="default"/>
      </w:rPr>
    </w:lvl>
    <w:lvl w:ilvl="3" w:tplc="8F646F94">
      <w:numFmt w:val="bullet"/>
      <w:lvlText w:val="•"/>
      <w:lvlJc w:val="left"/>
      <w:pPr>
        <w:ind w:left="585" w:hanging="100"/>
      </w:pPr>
      <w:rPr>
        <w:rFonts w:hint="default"/>
      </w:rPr>
    </w:lvl>
    <w:lvl w:ilvl="4" w:tplc="115678AE">
      <w:numFmt w:val="bullet"/>
      <w:lvlText w:val="•"/>
      <w:lvlJc w:val="left"/>
      <w:pPr>
        <w:ind w:left="726" w:hanging="100"/>
      </w:pPr>
      <w:rPr>
        <w:rFonts w:hint="default"/>
      </w:rPr>
    </w:lvl>
    <w:lvl w:ilvl="5" w:tplc="0DCA498A">
      <w:numFmt w:val="bullet"/>
      <w:lvlText w:val="•"/>
      <w:lvlJc w:val="left"/>
      <w:pPr>
        <w:ind w:left="868" w:hanging="100"/>
      </w:pPr>
      <w:rPr>
        <w:rFonts w:hint="default"/>
      </w:rPr>
    </w:lvl>
    <w:lvl w:ilvl="6" w:tplc="B0067C82">
      <w:numFmt w:val="bullet"/>
      <w:lvlText w:val="•"/>
      <w:lvlJc w:val="left"/>
      <w:pPr>
        <w:ind w:left="1010" w:hanging="100"/>
      </w:pPr>
      <w:rPr>
        <w:rFonts w:hint="default"/>
      </w:rPr>
    </w:lvl>
    <w:lvl w:ilvl="7" w:tplc="2E12E3FA">
      <w:numFmt w:val="bullet"/>
      <w:lvlText w:val="•"/>
      <w:lvlJc w:val="left"/>
      <w:pPr>
        <w:ind w:left="1151" w:hanging="100"/>
      </w:pPr>
      <w:rPr>
        <w:rFonts w:hint="default"/>
      </w:rPr>
    </w:lvl>
    <w:lvl w:ilvl="8" w:tplc="9DDEDCD2">
      <w:numFmt w:val="bullet"/>
      <w:lvlText w:val="•"/>
      <w:lvlJc w:val="left"/>
      <w:pPr>
        <w:ind w:left="1293" w:hanging="100"/>
      </w:pPr>
      <w:rPr>
        <w:rFonts w:hint="default"/>
      </w:rPr>
    </w:lvl>
  </w:abstractNum>
  <w:abstractNum w:abstractNumId="1162" w15:restartNumberingAfterBreak="0">
    <w:nsid w:val="497377D5"/>
    <w:multiLevelType w:val="hybridMultilevel"/>
    <w:tmpl w:val="E066502C"/>
    <w:lvl w:ilvl="0" w:tplc="02D2A4E0">
      <w:numFmt w:val="bullet"/>
      <w:lvlText w:val=""/>
      <w:lvlJc w:val="left"/>
      <w:pPr>
        <w:ind w:left="156" w:hanging="100"/>
      </w:pPr>
      <w:rPr>
        <w:rFonts w:ascii="Symbol" w:eastAsia="Symbol" w:hAnsi="Symbol" w:cs="Symbol" w:hint="default"/>
        <w:color w:val="231F20"/>
        <w:w w:val="100"/>
        <w:sz w:val="14"/>
        <w:szCs w:val="14"/>
      </w:rPr>
    </w:lvl>
    <w:lvl w:ilvl="1" w:tplc="C4BE2D16">
      <w:numFmt w:val="bullet"/>
      <w:lvlText w:val="•"/>
      <w:lvlJc w:val="left"/>
      <w:pPr>
        <w:ind w:left="301" w:hanging="100"/>
      </w:pPr>
      <w:rPr>
        <w:rFonts w:hint="default"/>
      </w:rPr>
    </w:lvl>
    <w:lvl w:ilvl="2" w:tplc="FC4CB506">
      <w:numFmt w:val="bullet"/>
      <w:lvlText w:val="•"/>
      <w:lvlJc w:val="left"/>
      <w:pPr>
        <w:ind w:left="443" w:hanging="100"/>
      </w:pPr>
      <w:rPr>
        <w:rFonts w:hint="default"/>
      </w:rPr>
    </w:lvl>
    <w:lvl w:ilvl="3" w:tplc="52F29530">
      <w:numFmt w:val="bullet"/>
      <w:lvlText w:val="•"/>
      <w:lvlJc w:val="left"/>
      <w:pPr>
        <w:ind w:left="585" w:hanging="100"/>
      </w:pPr>
      <w:rPr>
        <w:rFonts w:hint="default"/>
      </w:rPr>
    </w:lvl>
    <w:lvl w:ilvl="4" w:tplc="C78CC710">
      <w:numFmt w:val="bullet"/>
      <w:lvlText w:val="•"/>
      <w:lvlJc w:val="left"/>
      <w:pPr>
        <w:ind w:left="726" w:hanging="100"/>
      </w:pPr>
      <w:rPr>
        <w:rFonts w:hint="default"/>
      </w:rPr>
    </w:lvl>
    <w:lvl w:ilvl="5" w:tplc="6EC87FEE">
      <w:numFmt w:val="bullet"/>
      <w:lvlText w:val="•"/>
      <w:lvlJc w:val="left"/>
      <w:pPr>
        <w:ind w:left="868" w:hanging="100"/>
      </w:pPr>
      <w:rPr>
        <w:rFonts w:hint="default"/>
      </w:rPr>
    </w:lvl>
    <w:lvl w:ilvl="6" w:tplc="2C040236">
      <w:numFmt w:val="bullet"/>
      <w:lvlText w:val="•"/>
      <w:lvlJc w:val="left"/>
      <w:pPr>
        <w:ind w:left="1010" w:hanging="100"/>
      </w:pPr>
      <w:rPr>
        <w:rFonts w:hint="default"/>
      </w:rPr>
    </w:lvl>
    <w:lvl w:ilvl="7" w:tplc="3BDA76CA">
      <w:numFmt w:val="bullet"/>
      <w:lvlText w:val="•"/>
      <w:lvlJc w:val="left"/>
      <w:pPr>
        <w:ind w:left="1151" w:hanging="100"/>
      </w:pPr>
      <w:rPr>
        <w:rFonts w:hint="default"/>
      </w:rPr>
    </w:lvl>
    <w:lvl w:ilvl="8" w:tplc="C7325290">
      <w:numFmt w:val="bullet"/>
      <w:lvlText w:val="•"/>
      <w:lvlJc w:val="left"/>
      <w:pPr>
        <w:ind w:left="1293" w:hanging="100"/>
      </w:pPr>
      <w:rPr>
        <w:rFonts w:hint="default"/>
      </w:rPr>
    </w:lvl>
  </w:abstractNum>
  <w:abstractNum w:abstractNumId="1163" w15:restartNumberingAfterBreak="0">
    <w:nsid w:val="497D045C"/>
    <w:multiLevelType w:val="hybridMultilevel"/>
    <w:tmpl w:val="E2BE4B48"/>
    <w:lvl w:ilvl="0" w:tplc="744014FA">
      <w:numFmt w:val="bullet"/>
      <w:lvlText w:val=""/>
      <w:lvlJc w:val="left"/>
      <w:pPr>
        <w:ind w:left="156" w:hanging="100"/>
      </w:pPr>
      <w:rPr>
        <w:rFonts w:ascii="Symbol" w:eastAsia="Symbol" w:hAnsi="Symbol" w:cs="Symbol" w:hint="default"/>
        <w:color w:val="231F20"/>
        <w:w w:val="100"/>
        <w:sz w:val="14"/>
        <w:szCs w:val="14"/>
      </w:rPr>
    </w:lvl>
    <w:lvl w:ilvl="1" w:tplc="0E78970E">
      <w:numFmt w:val="bullet"/>
      <w:lvlText w:val="•"/>
      <w:lvlJc w:val="left"/>
      <w:pPr>
        <w:ind w:left="454" w:hanging="100"/>
      </w:pPr>
      <w:rPr>
        <w:rFonts w:hint="default"/>
      </w:rPr>
    </w:lvl>
    <w:lvl w:ilvl="2" w:tplc="6C6A94DC">
      <w:numFmt w:val="bullet"/>
      <w:lvlText w:val="•"/>
      <w:lvlJc w:val="left"/>
      <w:pPr>
        <w:ind w:left="749" w:hanging="100"/>
      </w:pPr>
      <w:rPr>
        <w:rFonts w:hint="default"/>
      </w:rPr>
    </w:lvl>
    <w:lvl w:ilvl="3" w:tplc="5DD2AF30">
      <w:numFmt w:val="bullet"/>
      <w:lvlText w:val="•"/>
      <w:lvlJc w:val="left"/>
      <w:pPr>
        <w:ind w:left="1044" w:hanging="100"/>
      </w:pPr>
      <w:rPr>
        <w:rFonts w:hint="default"/>
      </w:rPr>
    </w:lvl>
    <w:lvl w:ilvl="4" w:tplc="6020397E">
      <w:numFmt w:val="bullet"/>
      <w:lvlText w:val="•"/>
      <w:lvlJc w:val="left"/>
      <w:pPr>
        <w:ind w:left="1339" w:hanging="100"/>
      </w:pPr>
      <w:rPr>
        <w:rFonts w:hint="default"/>
      </w:rPr>
    </w:lvl>
    <w:lvl w:ilvl="5" w:tplc="F4DE9256">
      <w:numFmt w:val="bullet"/>
      <w:lvlText w:val="•"/>
      <w:lvlJc w:val="left"/>
      <w:pPr>
        <w:ind w:left="1634" w:hanging="100"/>
      </w:pPr>
      <w:rPr>
        <w:rFonts w:hint="default"/>
      </w:rPr>
    </w:lvl>
    <w:lvl w:ilvl="6" w:tplc="8E2CD5EC">
      <w:numFmt w:val="bullet"/>
      <w:lvlText w:val="•"/>
      <w:lvlJc w:val="left"/>
      <w:pPr>
        <w:ind w:left="1928" w:hanging="100"/>
      </w:pPr>
      <w:rPr>
        <w:rFonts w:hint="default"/>
      </w:rPr>
    </w:lvl>
    <w:lvl w:ilvl="7" w:tplc="57F4B0C8">
      <w:numFmt w:val="bullet"/>
      <w:lvlText w:val="•"/>
      <w:lvlJc w:val="left"/>
      <w:pPr>
        <w:ind w:left="2223" w:hanging="100"/>
      </w:pPr>
      <w:rPr>
        <w:rFonts w:hint="default"/>
      </w:rPr>
    </w:lvl>
    <w:lvl w:ilvl="8" w:tplc="88D01CB4">
      <w:numFmt w:val="bullet"/>
      <w:lvlText w:val="•"/>
      <w:lvlJc w:val="left"/>
      <w:pPr>
        <w:ind w:left="2518" w:hanging="100"/>
      </w:pPr>
      <w:rPr>
        <w:rFonts w:hint="default"/>
      </w:rPr>
    </w:lvl>
  </w:abstractNum>
  <w:abstractNum w:abstractNumId="1164" w15:restartNumberingAfterBreak="0">
    <w:nsid w:val="499C18BA"/>
    <w:multiLevelType w:val="hybridMultilevel"/>
    <w:tmpl w:val="7B46CC16"/>
    <w:lvl w:ilvl="0" w:tplc="EF24C3DC">
      <w:numFmt w:val="bullet"/>
      <w:lvlText w:val=""/>
      <w:lvlJc w:val="left"/>
      <w:pPr>
        <w:ind w:left="157" w:hanging="100"/>
      </w:pPr>
      <w:rPr>
        <w:rFonts w:ascii="Symbol" w:eastAsia="Symbol" w:hAnsi="Symbol" w:cs="Symbol" w:hint="default"/>
        <w:color w:val="231F20"/>
        <w:w w:val="100"/>
        <w:sz w:val="14"/>
        <w:szCs w:val="14"/>
      </w:rPr>
    </w:lvl>
    <w:lvl w:ilvl="1" w:tplc="58424B9E">
      <w:numFmt w:val="bullet"/>
      <w:lvlText w:val="•"/>
      <w:lvlJc w:val="left"/>
      <w:pPr>
        <w:ind w:left="369" w:hanging="100"/>
      </w:pPr>
      <w:rPr>
        <w:rFonts w:hint="default"/>
      </w:rPr>
    </w:lvl>
    <w:lvl w:ilvl="2" w:tplc="74265472">
      <w:numFmt w:val="bullet"/>
      <w:lvlText w:val="•"/>
      <w:lvlJc w:val="left"/>
      <w:pPr>
        <w:ind w:left="579" w:hanging="100"/>
      </w:pPr>
      <w:rPr>
        <w:rFonts w:hint="default"/>
      </w:rPr>
    </w:lvl>
    <w:lvl w:ilvl="3" w:tplc="1108A152">
      <w:numFmt w:val="bullet"/>
      <w:lvlText w:val="•"/>
      <w:lvlJc w:val="left"/>
      <w:pPr>
        <w:ind w:left="789" w:hanging="100"/>
      </w:pPr>
      <w:rPr>
        <w:rFonts w:hint="default"/>
      </w:rPr>
    </w:lvl>
    <w:lvl w:ilvl="4" w:tplc="5600C034">
      <w:numFmt w:val="bullet"/>
      <w:lvlText w:val="•"/>
      <w:lvlJc w:val="left"/>
      <w:pPr>
        <w:ind w:left="998" w:hanging="100"/>
      </w:pPr>
      <w:rPr>
        <w:rFonts w:hint="default"/>
      </w:rPr>
    </w:lvl>
    <w:lvl w:ilvl="5" w:tplc="09BE152E">
      <w:numFmt w:val="bullet"/>
      <w:lvlText w:val="•"/>
      <w:lvlJc w:val="left"/>
      <w:pPr>
        <w:ind w:left="1208" w:hanging="100"/>
      </w:pPr>
      <w:rPr>
        <w:rFonts w:hint="default"/>
      </w:rPr>
    </w:lvl>
    <w:lvl w:ilvl="6" w:tplc="00ECB9F6">
      <w:numFmt w:val="bullet"/>
      <w:lvlText w:val="•"/>
      <w:lvlJc w:val="left"/>
      <w:pPr>
        <w:ind w:left="1418" w:hanging="100"/>
      </w:pPr>
      <w:rPr>
        <w:rFonts w:hint="default"/>
      </w:rPr>
    </w:lvl>
    <w:lvl w:ilvl="7" w:tplc="89B8E726">
      <w:numFmt w:val="bullet"/>
      <w:lvlText w:val="•"/>
      <w:lvlJc w:val="left"/>
      <w:pPr>
        <w:ind w:left="1627" w:hanging="100"/>
      </w:pPr>
      <w:rPr>
        <w:rFonts w:hint="default"/>
      </w:rPr>
    </w:lvl>
    <w:lvl w:ilvl="8" w:tplc="2A36C80C">
      <w:numFmt w:val="bullet"/>
      <w:lvlText w:val="•"/>
      <w:lvlJc w:val="left"/>
      <w:pPr>
        <w:ind w:left="1837" w:hanging="100"/>
      </w:pPr>
      <w:rPr>
        <w:rFonts w:hint="default"/>
      </w:rPr>
    </w:lvl>
  </w:abstractNum>
  <w:abstractNum w:abstractNumId="1165" w15:restartNumberingAfterBreak="0">
    <w:nsid w:val="49AD4235"/>
    <w:multiLevelType w:val="hybridMultilevel"/>
    <w:tmpl w:val="43581AEE"/>
    <w:lvl w:ilvl="0" w:tplc="69D231E4">
      <w:numFmt w:val="bullet"/>
      <w:lvlText w:val=""/>
      <w:lvlJc w:val="left"/>
      <w:pPr>
        <w:ind w:left="157" w:hanging="100"/>
      </w:pPr>
      <w:rPr>
        <w:rFonts w:ascii="Symbol" w:eastAsia="Symbol" w:hAnsi="Symbol" w:cs="Symbol" w:hint="default"/>
        <w:color w:val="231F20"/>
        <w:w w:val="100"/>
        <w:sz w:val="14"/>
        <w:szCs w:val="14"/>
      </w:rPr>
    </w:lvl>
    <w:lvl w:ilvl="1" w:tplc="8050091A">
      <w:numFmt w:val="bullet"/>
      <w:lvlText w:val="-"/>
      <w:lvlJc w:val="left"/>
      <w:pPr>
        <w:ind w:left="157" w:hanging="82"/>
      </w:pPr>
      <w:rPr>
        <w:rFonts w:ascii="Times New Roman" w:eastAsia="Times New Roman" w:hAnsi="Times New Roman" w:cs="Times New Roman" w:hint="default"/>
        <w:color w:val="231F20"/>
        <w:spacing w:val="-8"/>
        <w:w w:val="100"/>
        <w:sz w:val="14"/>
        <w:szCs w:val="14"/>
      </w:rPr>
    </w:lvl>
    <w:lvl w:ilvl="2" w:tplc="95044F38">
      <w:numFmt w:val="bullet"/>
      <w:lvlText w:val="•"/>
      <w:lvlJc w:val="left"/>
      <w:pPr>
        <w:ind w:left="692" w:hanging="82"/>
      </w:pPr>
      <w:rPr>
        <w:rFonts w:hint="default"/>
      </w:rPr>
    </w:lvl>
    <w:lvl w:ilvl="3" w:tplc="9FD08E1E">
      <w:numFmt w:val="bullet"/>
      <w:lvlText w:val="•"/>
      <w:lvlJc w:val="left"/>
      <w:pPr>
        <w:ind w:left="959" w:hanging="82"/>
      </w:pPr>
      <w:rPr>
        <w:rFonts w:hint="default"/>
      </w:rPr>
    </w:lvl>
    <w:lvl w:ilvl="4" w:tplc="A6D26114">
      <w:numFmt w:val="bullet"/>
      <w:lvlText w:val="•"/>
      <w:lvlJc w:val="left"/>
      <w:pPr>
        <w:ind w:left="1225" w:hanging="82"/>
      </w:pPr>
      <w:rPr>
        <w:rFonts w:hint="default"/>
      </w:rPr>
    </w:lvl>
    <w:lvl w:ilvl="5" w:tplc="A0624E96">
      <w:numFmt w:val="bullet"/>
      <w:lvlText w:val="•"/>
      <w:lvlJc w:val="left"/>
      <w:pPr>
        <w:ind w:left="1492" w:hanging="82"/>
      </w:pPr>
      <w:rPr>
        <w:rFonts w:hint="default"/>
      </w:rPr>
    </w:lvl>
    <w:lvl w:ilvl="6" w:tplc="2BDE5086">
      <w:numFmt w:val="bullet"/>
      <w:lvlText w:val="•"/>
      <w:lvlJc w:val="left"/>
      <w:pPr>
        <w:ind w:left="1758" w:hanging="82"/>
      </w:pPr>
      <w:rPr>
        <w:rFonts w:hint="default"/>
      </w:rPr>
    </w:lvl>
    <w:lvl w:ilvl="7" w:tplc="A9F248CA">
      <w:numFmt w:val="bullet"/>
      <w:lvlText w:val="•"/>
      <w:lvlJc w:val="left"/>
      <w:pPr>
        <w:ind w:left="2024" w:hanging="82"/>
      </w:pPr>
      <w:rPr>
        <w:rFonts w:hint="default"/>
      </w:rPr>
    </w:lvl>
    <w:lvl w:ilvl="8" w:tplc="E48676F0">
      <w:numFmt w:val="bullet"/>
      <w:lvlText w:val="•"/>
      <w:lvlJc w:val="left"/>
      <w:pPr>
        <w:ind w:left="2291" w:hanging="82"/>
      </w:pPr>
      <w:rPr>
        <w:rFonts w:hint="default"/>
      </w:rPr>
    </w:lvl>
  </w:abstractNum>
  <w:abstractNum w:abstractNumId="1166" w15:restartNumberingAfterBreak="0">
    <w:nsid w:val="49D36324"/>
    <w:multiLevelType w:val="hybridMultilevel"/>
    <w:tmpl w:val="51DCF43A"/>
    <w:lvl w:ilvl="0" w:tplc="1C4E3D48">
      <w:numFmt w:val="bullet"/>
      <w:lvlText w:val=""/>
      <w:lvlJc w:val="left"/>
      <w:pPr>
        <w:ind w:left="156" w:hanging="100"/>
      </w:pPr>
      <w:rPr>
        <w:rFonts w:ascii="Symbol" w:eastAsia="Symbol" w:hAnsi="Symbol" w:cs="Symbol" w:hint="default"/>
        <w:color w:val="231F20"/>
        <w:w w:val="100"/>
        <w:sz w:val="14"/>
        <w:szCs w:val="14"/>
      </w:rPr>
    </w:lvl>
    <w:lvl w:ilvl="1" w:tplc="5616E624">
      <w:numFmt w:val="bullet"/>
      <w:lvlText w:val="•"/>
      <w:lvlJc w:val="left"/>
      <w:pPr>
        <w:ind w:left="301" w:hanging="100"/>
      </w:pPr>
      <w:rPr>
        <w:rFonts w:hint="default"/>
      </w:rPr>
    </w:lvl>
    <w:lvl w:ilvl="2" w:tplc="B8B2F726">
      <w:numFmt w:val="bullet"/>
      <w:lvlText w:val="•"/>
      <w:lvlJc w:val="left"/>
      <w:pPr>
        <w:ind w:left="443" w:hanging="100"/>
      </w:pPr>
      <w:rPr>
        <w:rFonts w:hint="default"/>
      </w:rPr>
    </w:lvl>
    <w:lvl w:ilvl="3" w:tplc="0A2C9BF6">
      <w:numFmt w:val="bullet"/>
      <w:lvlText w:val="•"/>
      <w:lvlJc w:val="left"/>
      <w:pPr>
        <w:ind w:left="585" w:hanging="100"/>
      </w:pPr>
      <w:rPr>
        <w:rFonts w:hint="default"/>
      </w:rPr>
    </w:lvl>
    <w:lvl w:ilvl="4" w:tplc="D902DE92">
      <w:numFmt w:val="bullet"/>
      <w:lvlText w:val="•"/>
      <w:lvlJc w:val="left"/>
      <w:pPr>
        <w:ind w:left="726" w:hanging="100"/>
      </w:pPr>
      <w:rPr>
        <w:rFonts w:hint="default"/>
      </w:rPr>
    </w:lvl>
    <w:lvl w:ilvl="5" w:tplc="3E0019F0">
      <w:numFmt w:val="bullet"/>
      <w:lvlText w:val="•"/>
      <w:lvlJc w:val="left"/>
      <w:pPr>
        <w:ind w:left="868" w:hanging="100"/>
      </w:pPr>
      <w:rPr>
        <w:rFonts w:hint="default"/>
      </w:rPr>
    </w:lvl>
    <w:lvl w:ilvl="6" w:tplc="50846370">
      <w:numFmt w:val="bullet"/>
      <w:lvlText w:val="•"/>
      <w:lvlJc w:val="left"/>
      <w:pPr>
        <w:ind w:left="1010" w:hanging="100"/>
      </w:pPr>
      <w:rPr>
        <w:rFonts w:hint="default"/>
      </w:rPr>
    </w:lvl>
    <w:lvl w:ilvl="7" w:tplc="44C6DD9E">
      <w:numFmt w:val="bullet"/>
      <w:lvlText w:val="•"/>
      <w:lvlJc w:val="left"/>
      <w:pPr>
        <w:ind w:left="1151" w:hanging="100"/>
      </w:pPr>
      <w:rPr>
        <w:rFonts w:hint="default"/>
      </w:rPr>
    </w:lvl>
    <w:lvl w:ilvl="8" w:tplc="915C102A">
      <w:numFmt w:val="bullet"/>
      <w:lvlText w:val="•"/>
      <w:lvlJc w:val="left"/>
      <w:pPr>
        <w:ind w:left="1293" w:hanging="100"/>
      </w:pPr>
      <w:rPr>
        <w:rFonts w:hint="default"/>
      </w:rPr>
    </w:lvl>
  </w:abstractNum>
  <w:abstractNum w:abstractNumId="1167" w15:restartNumberingAfterBreak="0">
    <w:nsid w:val="49DA6AEE"/>
    <w:multiLevelType w:val="hybridMultilevel"/>
    <w:tmpl w:val="132A7906"/>
    <w:lvl w:ilvl="0" w:tplc="5E42932C">
      <w:numFmt w:val="bullet"/>
      <w:lvlText w:val=""/>
      <w:lvlJc w:val="left"/>
      <w:pPr>
        <w:ind w:left="156" w:hanging="100"/>
      </w:pPr>
      <w:rPr>
        <w:rFonts w:ascii="Symbol" w:eastAsia="Symbol" w:hAnsi="Symbol" w:cs="Symbol" w:hint="default"/>
        <w:color w:val="231F20"/>
        <w:w w:val="100"/>
        <w:sz w:val="14"/>
        <w:szCs w:val="14"/>
      </w:rPr>
    </w:lvl>
    <w:lvl w:ilvl="1" w:tplc="791CA20A">
      <w:numFmt w:val="bullet"/>
      <w:lvlText w:val="•"/>
      <w:lvlJc w:val="left"/>
      <w:pPr>
        <w:ind w:left="471" w:hanging="100"/>
      </w:pPr>
      <w:rPr>
        <w:rFonts w:hint="default"/>
      </w:rPr>
    </w:lvl>
    <w:lvl w:ilvl="2" w:tplc="D8967652">
      <w:numFmt w:val="bullet"/>
      <w:lvlText w:val="•"/>
      <w:lvlJc w:val="left"/>
      <w:pPr>
        <w:ind w:left="783" w:hanging="100"/>
      </w:pPr>
      <w:rPr>
        <w:rFonts w:hint="default"/>
      </w:rPr>
    </w:lvl>
    <w:lvl w:ilvl="3" w:tplc="9DCAE43E">
      <w:numFmt w:val="bullet"/>
      <w:lvlText w:val="•"/>
      <w:lvlJc w:val="left"/>
      <w:pPr>
        <w:ind w:left="1095" w:hanging="100"/>
      </w:pPr>
      <w:rPr>
        <w:rFonts w:hint="default"/>
      </w:rPr>
    </w:lvl>
    <w:lvl w:ilvl="4" w:tplc="A4A27D62">
      <w:numFmt w:val="bullet"/>
      <w:lvlText w:val="•"/>
      <w:lvlJc w:val="left"/>
      <w:pPr>
        <w:ind w:left="1407" w:hanging="100"/>
      </w:pPr>
      <w:rPr>
        <w:rFonts w:hint="default"/>
      </w:rPr>
    </w:lvl>
    <w:lvl w:ilvl="5" w:tplc="75829DCA">
      <w:numFmt w:val="bullet"/>
      <w:lvlText w:val="•"/>
      <w:lvlJc w:val="left"/>
      <w:pPr>
        <w:ind w:left="1719" w:hanging="100"/>
      </w:pPr>
      <w:rPr>
        <w:rFonts w:hint="default"/>
      </w:rPr>
    </w:lvl>
    <w:lvl w:ilvl="6" w:tplc="FB84961E">
      <w:numFmt w:val="bullet"/>
      <w:lvlText w:val="•"/>
      <w:lvlJc w:val="left"/>
      <w:pPr>
        <w:ind w:left="2030" w:hanging="100"/>
      </w:pPr>
      <w:rPr>
        <w:rFonts w:hint="default"/>
      </w:rPr>
    </w:lvl>
    <w:lvl w:ilvl="7" w:tplc="8822F0FA">
      <w:numFmt w:val="bullet"/>
      <w:lvlText w:val="•"/>
      <w:lvlJc w:val="left"/>
      <w:pPr>
        <w:ind w:left="2342" w:hanging="100"/>
      </w:pPr>
      <w:rPr>
        <w:rFonts w:hint="default"/>
      </w:rPr>
    </w:lvl>
    <w:lvl w:ilvl="8" w:tplc="6CC8D012">
      <w:numFmt w:val="bullet"/>
      <w:lvlText w:val="•"/>
      <w:lvlJc w:val="left"/>
      <w:pPr>
        <w:ind w:left="2654" w:hanging="100"/>
      </w:pPr>
      <w:rPr>
        <w:rFonts w:hint="default"/>
      </w:rPr>
    </w:lvl>
  </w:abstractNum>
  <w:abstractNum w:abstractNumId="1168" w15:restartNumberingAfterBreak="0">
    <w:nsid w:val="49E0611A"/>
    <w:multiLevelType w:val="hybridMultilevel"/>
    <w:tmpl w:val="FD728D26"/>
    <w:lvl w:ilvl="0" w:tplc="602269D2">
      <w:numFmt w:val="bullet"/>
      <w:lvlText w:val=""/>
      <w:lvlJc w:val="left"/>
      <w:pPr>
        <w:ind w:left="156" w:hanging="100"/>
      </w:pPr>
      <w:rPr>
        <w:rFonts w:ascii="Symbol" w:eastAsia="Symbol" w:hAnsi="Symbol" w:cs="Symbol" w:hint="default"/>
        <w:color w:val="231F20"/>
        <w:w w:val="100"/>
        <w:sz w:val="14"/>
        <w:szCs w:val="14"/>
      </w:rPr>
    </w:lvl>
    <w:lvl w:ilvl="1" w:tplc="36E8CB12">
      <w:numFmt w:val="bullet"/>
      <w:lvlText w:val="•"/>
      <w:lvlJc w:val="left"/>
      <w:pPr>
        <w:ind w:left="273" w:hanging="100"/>
      </w:pPr>
      <w:rPr>
        <w:rFonts w:hint="default"/>
      </w:rPr>
    </w:lvl>
    <w:lvl w:ilvl="2" w:tplc="F3E8B592">
      <w:numFmt w:val="bullet"/>
      <w:lvlText w:val="•"/>
      <w:lvlJc w:val="left"/>
      <w:pPr>
        <w:ind w:left="386" w:hanging="100"/>
      </w:pPr>
      <w:rPr>
        <w:rFonts w:hint="default"/>
      </w:rPr>
    </w:lvl>
    <w:lvl w:ilvl="3" w:tplc="18085E4A">
      <w:numFmt w:val="bullet"/>
      <w:lvlText w:val="•"/>
      <w:lvlJc w:val="left"/>
      <w:pPr>
        <w:ind w:left="500" w:hanging="100"/>
      </w:pPr>
      <w:rPr>
        <w:rFonts w:hint="default"/>
      </w:rPr>
    </w:lvl>
    <w:lvl w:ilvl="4" w:tplc="9CC24842">
      <w:numFmt w:val="bullet"/>
      <w:lvlText w:val="•"/>
      <w:lvlJc w:val="left"/>
      <w:pPr>
        <w:ind w:left="613" w:hanging="100"/>
      </w:pPr>
      <w:rPr>
        <w:rFonts w:hint="default"/>
      </w:rPr>
    </w:lvl>
    <w:lvl w:ilvl="5" w:tplc="9530FA40">
      <w:numFmt w:val="bullet"/>
      <w:lvlText w:val="•"/>
      <w:lvlJc w:val="left"/>
      <w:pPr>
        <w:ind w:left="727" w:hanging="100"/>
      </w:pPr>
      <w:rPr>
        <w:rFonts w:hint="default"/>
      </w:rPr>
    </w:lvl>
    <w:lvl w:ilvl="6" w:tplc="326261AA">
      <w:numFmt w:val="bullet"/>
      <w:lvlText w:val="•"/>
      <w:lvlJc w:val="left"/>
      <w:pPr>
        <w:ind w:left="840" w:hanging="100"/>
      </w:pPr>
      <w:rPr>
        <w:rFonts w:hint="default"/>
      </w:rPr>
    </w:lvl>
    <w:lvl w:ilvl="7" w:tplc="4FA04124">
      <w:numFmt w:val="bullet"/>
      <w:lvlText w:val="•"/>
      <w:lvlJc w:val="left"/>
      <w:pPr>
        <w:ind w:left="953" w:hanging="100"/>
      </w:pPr>
      <w:rPr>
        <w:rFonts w:hint="default"/>
      </w:rPr>
    </w:lvl>
    <w:lvl w:ilvl="8" w:tplc="5272555C">
      <w:numFmt w:val="bullet"/>
      <w:lvlText w:val="•"/>
      <w:lvlJc w:val="left"/>
      <w:pPr>
        <w:ind w:left="1067" w:hanging="100"/>
      </w:pPr>
      <w:rPr>
        <w:rFonts w:hint="default"/>
      </w:rPr>
    </w:lvl>
  </w:abstractNum>
  <w:abstractNum w:abstractNumId="1169" w15:restartNumberingAfterBreak="0">
    <w:nsid w:val="49E51EE2"/>
    <w:multiLevelType w:val="hybridMultilevel"/>
    <w:tmpl w:val="1D7A3C8E"/>
    <w:lvl w:ilvl="0" w:tplc="80BC4C4A">
      <w:numFmt w:val="bullet"/>
      <w:lvlText w:val=""/>
      <w:lvlJc w:val="left"/>
      <w:pPr>
        <w:ind w:left="156" w:hanging="100"/>
      </w:pPr>
      <w:rPr>
        <w:rFonts w:ascii="Symbol" w:eastAsia="Symbol" w:hAnsi="Symbol" w:cs="Symbol" w:hint="default"/>
        <w:color w:val="231F20"/>
        <w:w w:val="100"/>
        <w:sz w:val="14"/>
        <w:szCs w:val="14"/>
      </w:rPr>
    </w:lvl>
    <w:lvl w:ilvl="1" w:tplc="35242998">
      <w:numFmt w:val="bullet"/>
      <w:lvlText w:val="•"/>
      <w:lvlJc w:val="left"/>
      <w:pPr>
        <w:ind w:left="398" w:hanging="100"/>
      </w:pPr>
      <w:rPr>
        <w:rFonts w:hint="default"/>
      </w:rPr>
    </w:lvl>
    <w:lvl w:ilvl="2" w:tplc="1B667000">
      <w:numFmt w:val="bullet"/>
      <w:lvlText w:val="•"/>
      <w:lvlJc w:val="left"/>
      <w:pPr>
        <w:ind w:left="636" w:hanging="100"/>
      </w:pPr>
      <w:rPr>
        <w:rFonts w:hint="default"/>
      </w:rPr>
    </w:lvl>
    <w:lvl w:ilvl="3" w:tplc="4E06C004">
      <w:numFmt w:val="bullet"/>
      <w:lvlText w:val="•"/>
      <w:lvlJc w:val="left"/>
      <w:pPr>
        <w:ind w:left="874" w:hanging="100"/>
      </w:pPr>
      <w:rPr>
        <w:rFonts w:hint="default"/>
      </w:rPr>
    </w:lvl>
    <w:lvl w:ilvl="4" w:tplc="E00E2DA8">
      <w:numFmt w:val="bullet"/>
      <w:lvlText w:val="•"/>
      <w:lvlJc w:val="left"/>
      <w:pPr>
        <w:ind w:left="1112" w:hanging="100"/>
      </w:pPr>
      <w:rPr>
        <w:rFonts w:hint="default"/>
      </w:rPr>
    </w:lvl>
    <w:lvl w:ilvl="5" w:tplc="CE52A5CE">
      <w:numFmt w:val="bullet"/>
      <w:lvlText w:val="•"/>
      <w:lvlJc w:val="left"/>
      <w:pPr>
        <w:ind w:left="1350" w:hanging="100"/>
      </w:pPr>
      <w:rPr>
        <w:rFonts w:hint="default"/>
      </w:rPr>
    </w:lvl>
    <w:lvl w:ilvl="6" w:tplc="7504B2F8">
      <w:numFmt w:val="bullet"/>
      <w:lvlText w:val="•"/>
      <w:lvlJc w:val="left"/>
      <w:pPr>
        <w:ind w:left="1588" w:hanging="100"/>
      </w:pPr>
      <w:rPr>
        <w:rFonts w:hint="default"/>
      </w:rPr>
    </w:lvl>
    <w:lvl w:ilvl="7" w:tplc="8C6A6380">
      <w:numFmt w:val="bullet"/>
      <w:lvlText w:val="•"/>
      <w:lvlJc w:val="left"/>
      <w:pPr>
        <w:ind w:left="1826" w:hanging="100"/>
      </w:pPr>
      <w:rPr>
        <w:rFonts w:hint="default"/>
      </w:rPr>
    </w:lvl>
    <w:lvl w:ilvl="8" w:tplc="804C5D96">
      <w:numFmt w:val="bullet"/>
      <w:lvlText w:val="•"/>
      <w:lvlJc w:val="left"/>
      <w:pPr>
        <w:ind w:left="2064" w:hanging="100"/>
      </w:pPr>
      <w:rPr>
        <w:rFonts w:hint="default"/>
      </w:rPr>
    </w:lvl>
  </w:abstractNum>
  <w:abstractNum w:abstractNumId="1170" w15:restartNumberingAfterBreak="0">
    <w:nsid w:val="49F339E2"/>
    <w:multiLevelType w:val="hybridMultilevel"/>
    <w:tmpl w:val="ACB2A210"/>
    <w:lvl w:ilvl="0" w:tplc="CAD84B3C">
      <w:numFmt w:val="bullet"/>
      <w:lvlText w:val=""/>
      <w:lvlJc w:val="left"/>
      <w:pPr>
        <w:ind w:left="156" w:hanging="100"/>
      </w:pPr>
      <w:rPr>
        <w:rFonts w:ascii="Symbol" w:eastAsia="Symbol" w:hAnsi="Symbol" w:cs="Symbol" w:hint="default"/>
        <w:color w:val="231F20"/>
        <w:w w:val="100"/>
        <w:sz w:val="14"/>
        <w:szCs w:val="14"/>
      </w:rPr>
    </w:lvl>
    <w:lvl w:ilvl="1" w:tplc="A5C60B32">
      <w:numFmt w:val="bullet"/>
      <w:lvlText w:val="•"/>
      <w:lvlJc w:val="left"/>
      <w:pPr>
        <w:ind w:left="301" w:hanging="100"/>
      </w:pPr>
      <w:rPr>
        <w:rFonts w:hint="default"/>
      </w:rPr>
    </w:lvl>
    <w:lvl w:ilvl="2" w:tplc="E6803806">
      <w:numFmt w:val="bullet"/>
      <w:lvlText w:val="•"/>
      <w:lvlJc w:val="left"/>
      <w:pPr>
        <w:ind w:left="443" w:hanging="100"/>
      </w:pPr>
      <w:rPr>
        <w:rFonts w:hint="default"/>
      </w:rPr>
    </w:lvl>
    <w:lvl w:ilvl="3" w:tplc="ABCEAA6A">
      <w:numFmt w:val="bullet"/>
      <w:lvlText w:val="•"/>
      <w:lvlJc w:val="left"/>
      <w:pPr>
        <w:ind w:left="585" w:hanging="100"/>
      </w:pPr>
      <w:rPr>
        <w:rFonts w:hint="default"/>
      </w:rPr>
    </w:lvl>
    <w:lvl w:ilvl="4" w:tplc="17E639C4">
      <w:numFmt w:val="bullet"/>
      <w:lvlText w:val="•"/>
      <w:lvlJc w:val="left"/>
      <w:pPr>
        <w:ind w:left="726" w:hanging="100"/>
      </w:pPr>
      <w:rPr>
        <w:rFonts w:hint="default"/>
      </w:rPr>
    </w:lvl>
    <w:lvl w:ilvl="5" w:tplc="6338F6C4">
      <w:numFmt w:val="bullet"/>
      <w:lvlText w:val="•"/>
      <w:lvlJc w:val="left"/>
      <w:pPr>
        <w:ind w:left="868" w:hanging="100"/>
      </w:pPr>
      <w:rPr>
        <w:rFonts w:hint="default"/>
      </w:rPr>
    </w:lvl>
    <w:lvl w:ilvl="6" w:tplc="4A563C4E">
      <w:numFmt w:val="bullet"/>
      <w:lvlText w:val="•"/>
      <w:lvlJc w:val="left"/>
      <w:pPr>
        <w:ind w:left="1010" w:hanging="100"/>
      </w:pPr>
      <w:rPr>
        <w:rFonts w:hint="default"/>
      </w:rPr>
    </w:lvl>
    <w:lvl w:ilvl="7" w:tplc="CA84E02C">
      <w:numFmt w:val="bullet"/>
      <w:lvlText w:val="•"/>
      <w:lvlJc w:val="left"/>
      <w:pPr>
        <w:ind w:left="1151" w:hanging="100"/>
      </w:pPr>
      <w:rPr>
        <w:rFonts w:hint="default"/>
      </w:rPr>
    </w:lvl>
    <w:lvl w:ilvl="8" w:tplc="8190FEB2">
      <w:numFmt w:val="bullet"/>
      <w:lvlText w:val="•"/>
      <w:lvlJc w:val="left"/>
      <w:pPr>
        <w:ind w:left="1293" w:hanging="100"/>
      </w:pPr>
      <w:rPr>
        <w:rFonts w:hint="default"/>
      </w:rPr>
    </w:lvl>
  </w:abstractNum>
  <w:abstractNum w:abstractNumId="1171" w15:restartNumberingAfterBreak="0">
    <w:nsid w:val="49F57203"/>
    <w:multiLevelType w:val="hybridMultilevel"/>
    <w:tmpl w:val="4B94D9BE"/>
    <w:lvl w:ilvl="0" w:tplc="E5B6FBF6">
      <w:numFmt w:val="bullet"/>
      <w:lvlText w:val=""/>
      <w:lvlJc w:val="left"/>
      <w:pPr>
        <w:ind w:left="156" w:hanging="100"/>
      </w:pPr>
      <w:rPr>
        <w:rFonts w:ascii="Symbol" w:eastAsia="Symbol" w:hAnsi="Symbol" w:cs="Symbol" w:hint="default"/>
        <w:color w:val="231F20"/>
        <w:w w:val="100"/>
        <w:sz w:val="14"/>
        <w:szCs w:val="14"/>
      </w:rPr>
    </w:lvl>
    <w:lvl w:ilvl="1" w:tplc="93C0ADDC">
      <w:numFmt w:val="bullet"/>
      <w:lvlText w:val="•"/>
      <w:lvlJc w:val="left"/>
      <w:pPr>
        <w:ind w:left="301" w:hanging="100"/>
      </w:pPr>
      <w:rPr>
        <w:rFonts w:hint="default"/>
      </w:rPr>
    </w:lvl>
    <w:lvl w:ilvl="2" w:tplc="872C21E4">
      <w:numFmt w:val="bullet"/>
      <w:lvlText w:val="•"/>
      <w:lvlJc w:val="left"/>
      <w:pPr>
        <w:ind w:left="443" w:hanging="100"/>
      </w:pPr>
      <w:rPr>
        <w:rFonts w:hint="default"/>
      </w:rPr>
    </w:lvl>
    <w:lvl w:ilvl="3" w:tplc="8BDE5BE0">
      <w:numFmt w:val="bullet"/>
      <w:lvlText w:val="•"/>
      <w:lvlJc w:val="left"/>
      <w:pPr>
        <w:ind w:left="585" w:hanging="100"/>
      </w:pPr>
      <w:rPr>
        <w:rFonts w:hint="default"/>
      </w:rPr>
    </w:lvl>
    <w:lvl w:ilvl="4" w:tplc="F74E0AC8">
      <w:numFmt w:val="bullet"/>
      <w:lvlText w:val="•"/>
      <w:lvlJc w:val="left"/>
      <w:pPr>
        <w:ind w:left="726" w:hanging="100"/>
      </w:pPr>
      <w:rPr>
        <w:rFonts w:hint="default"/>
      </w:rPr>
    </w:lvl>
    <w:lvl w:ilvl="5" w:tplc="E2D6DF50">
      <w:numFmt w:val="bullet"/>
      <w:lvlText w:val="•"/>
      <w:lvlJc w:val="left"/>
      <w:pPr>
        <w:ind w:left="868" w:hanging="100"/>
      </w:pPr>
      <w:rPr>
        <w:rFonts w:hint="default"/>
      </w:rPr>
    </w:lvl>
    <w:lvl w:ilvl="6" w:tplc="8990E5DC">
      <w:numFmt w:val="bullet"/>
      <w:lvlText w:val="•"/>
      <w:lvlJc w:val="left"/>
      <w:pPr>
        <w:ind w:left="1010" w:hanging="100"/>
      </w:pPr>
      <w:rPr>
        <w:rFonts w:hint="default"/>
      </w:rPr>
    </w:lvl>
    <w:lvl w:ilvl="7" w:tplc="DF042696">
      <w:numFmt w:val="bullet"/>
      <w:lvlText w:val="•"/>
      <w:lvlJc w:val="left"/>
      <w:pPr>
        <w:ind w:left="1151" w:hanging="100"/>
      </w:pPr>
      <w:rPr>
        <w:rFonts w:hint="default"/>
      </w:rPr>
    </w:lvl>
    <w:lvl w:ilvl="8" w:tplc="C11603B8">
      <w:numFmt w:val="bullet"/>
      <w:lvlText w:val="•"/>
      <w:lvlJc w:val="left"/>
      <w:pPr>
        <w:ind w:left="1293" w:hanging="100"/>
      </w:pPr>
      <w:rPr>
        <w:rFonts w:hint="default"/>
      </w:rPr>
    </w:lvl>
  </w:abstractNum>
  <w:abstractNum w:abstractNumId="1172" w15:restartNumberingAfterBreak="0">
    <w:nsid w:val="4A003150"/>
    <w:multiLevelType w:val="hybridMultilevel"/>
    <w:tmpl w:val="09E26012"/>
    <w:lvl w:ilvl="0" w:tplc="FC4EC30A">
      <w:numFmt w:val="bullet"/>
      <w:lvlText w:val=""/>
      <w:lvlJc w:val="left"/>
      <w:pPr>
        <w:ind w:left="157" w:hanging="100"/>
      </w:pPr>
      <w:rPr>
        <w:rFonts w:ascii="Symbol" w:eastAsia="Symbol" w:hAnsi="Symbol" w:cs="Symbol" w:hint="default"/>
        <w:color w:val="231F20"/>
        <w:w w:val="100"/>
        <w:sz w:val="14"/>
        <w:szCs w:val="14"/>
      </w:rPr>
    </w:lvl>
    <w:lvl w:ilvl="1" w:tplc="E64EC17E">
      <w:numFmt w:val="bullet"/>
      <w:lvlText w:val="•"/>
      <w:lvlJc w:val="left"/>
      <w:pPr>
        <w:ind w:left="426" w:hanging="100"/>
      </w:pPr>
      <w:rPr>
        <w:rFonts w:hint="default"/>
      </w:rPr>
    </w:lvl>
    <w:lvl w:ilvl="2" w:tplc="9BE8B6FE">
      <w:numFmt w:val="bullet"/>
      <w:lvlText w:val="•"/>
      <w:lvlJc w:val="left"/>
      <w:pPr>
        <w:ind w:left="692" w:hanging="100"/>
      </w:pPr>
      <w:rPr>
        <w:rFonts w:hint="default"/>
      </w:rPr>
    </w:lvl>
    <w:lvl w:ilvl="3" w:tplc="C2082954">
      <w:numFmt w:val="bullet"/>
      <w:lvlText w:val="•"/>
      <w:lvlJc w:val="left"/>
      <w:pPr>
        <w:ind w:left="959" w:hanging="100"/>
      </w:pPr>
      <w:rPr>
        <w:rFonts w:hint="default"/>
      </w:rPr>
    </w:lvl>
    <w:lvl w:ilvl="4" w:tplc="0218D50A">
      <w:numFmt w:val="bullet"/>
      <w:lvlText w:val="•"/>
      <w:lvlJc w:val="left"/>
      <w:pPr>
        <w:ind w:left="1225" w:hanging="100"/>
      </w:pPr>
      <w:rPr>
        <w:rFonts w:hint="default"/>
      </w:rPr>
    </w:lvl>
    <w:lvl w:ilvl="5" w:tplc="83B41162">
      <w:numFmt w:val="bullet"/>
      <w:lvlText w:val="•"/>
      <w:lvlJc w:val="left"/>
      <w:pPr>
        <w:ind w:left="1492" w:hanging="100"/>
      </w:pPr>
      <w:rPr>
        <w:rFonts w:hint="default"/>
      </w:rPr>
    </w:lvl>
    <w:lvl w:ilvl="6" w:tplc="3C26DD48">
      <w:numFmt w:val="bullet"/>
      <w:lvlText w:val="•"/>
      <w:lvlJc w:val="left"/>
      <w:pPr>
        <w:ind w:left="1758" w:hanging="100"/>
      </w:pPr>
      <w:rPr>
        <w:rFonts w:hint="default"/>
      </w:rPr>
    </w:lvl>
    <w:lvl w:ilvl="7" w:tplc="A1A0E70C">
      <w:numFmt w:val="bullet"/>
      <w:lvlText w:val="•"/>
      <w:lvlJc w:val="left"/>
      <w:pPr>
        <w:ind w:left="2024" w:hanging="100"/>
      </w:pPr>
      <w:rPr>
        <w:rFonts w:hint="default"/>
      </w:rPr>
    </w:lvl>
    <w:lvl w:ilvl="8" w:tplc="49E094C8">
      <w:numFmt w:val="bullet"/>
      <w:lvlText w:val="•"/>
      <w:lvlJc w:val="left"/>
      <w:pPr>
        <w:ind w:left="2291" w:hanging="100"/>
      </w:pPr>
      <w:rPr>
        <w:rFonts w:hint="default"/>
      </w:rPr>
    </w:lvl>
  </w:abstractNum>
  <w:abstractNum w:abstractNumId="1173" w15:restartNumberingAfterBreak="0">
    <w:nsid w:val="4A1602D2"/>
    <w:multiLevelType w:val="hybridMultilevel"/>
    <w:tmpl w:val="D1C65940"/>
    <w:lvl w:ilvl="0" w:tplc="4B5C7F6E">
      <w:numFmt w:val="bullet"/>
      <w:lvlText w:val=""/>
      <w:lvlJc w:val="left"/>
      <w:pPr>
        <w:ind w:left="156" w:hanging="100"/>
      </w:pPr>
      <w:rPr>
        <w:rFonts w:ascii="Symbol" w:eastAsia="Symbol" w:hAnsi="Symbol" w:cs="Symbol" w:hint="default"/>
        <w:color w:val="231F20"/>
        <w:w w:val="100"/>
        <w:sz w:val="14"/>
        <w:szCs w:val="14"/>
      </w:rPr>
    </w:lvl>
    <w:lvl w:ilvl="1" w:tplc="FD9603A0">
      <w:numFmt w:val="bullet"/>
      <w:lvlText w:val="•"/>
      <w:lvlJc w:val="left"/>
      <w:pPr>
        <w:ind w:left="301" w:hanging="100"/>
      </w:pPr>
      <w:rPr>
        <w:rFonts w:hint="default"/>
      </w:rPr>
    </w:lvl>
    <w:lvl w:ilvl="2" w:tplc="6338CCE4">
      <w:numFmt w:val="bullet"/>
      <w:lvlText w:val="•"/>
      <w:lvlJc w:val="left"/>
      <w:pPr>
        <w:ind w:left="443" w:hanging="100"/>
      </w:pPr>
      <w:rPr>
        <w:rFonts w:hint="default"/>
      </w:rPr>
    </w:lvl>
    <w:lvl w:ilvl="3" w:tplc="F2A2B9EC">
      <w:numFmt w:val="bullet"/>
      <w:lvlText w:val="•"/>
      <w:lvlJc w:val="left"/>
      <w:pPr>
        <w:ind w:left="585" w:hanging="100"/>
      </w:pPr>
      <w:rPr>
        <w:rFonts w:hint="default"/>
      </w:rPr>
    </w:lvl>
    <w:lvl w:ilvl="4" w:tplc="045ECFDE">
      <w:numFmt w:val="bullet"/>
      <w:lvlText w:val="•"/>
      <w:lvlJc w:val="left"/>
      <w:pPr>
        <w:ind w:left="726" w:hanging="100"/>
      </w:pPr>
      <w:rPr>
        <w:rFonts w:hint="default"/>
      </w:rPr>
    </w:lvl>
    <w:lvl w:ilvl="5" w:tplc="2E6AFB02">
      <w:numFmt w:val="bullet"/>
      <w:lvlText w:val="•"/>
      <w:lvlJc w:val="left"/>
      <w:pPr>
        <w:ind w:left="868" w:hanging="100"/>
      </w:pPr>
      <w:rPr>
        <w:rFonts w:hint="default"/>
      </w:rPr>
    </w:lvl>
    <w:lvl w:ilvl="6" w:tplc="27BE0A60">
      <w:numFmt w:val="bullet"/>
      <w:lvlText w:val="•"/>
      <w:lvlJc w:val="left"/>
      <w:pPr>
        <w:ind w:left="1010" w:hanging="100"/>
      </w:pPr>
      <w:rPr>
        <w:rFonts w:hint="default"/>
      </w:rPr>
    </w:lvl>
    <w:lvl w:ilvl="7" w:tplc="4AC251C2">
      <w:numFmt w:val="bullet"/>
      <w:lvlText w:val="•"/>
      <w:lvlJc w:val="left"/>
      <w:pPr>
        <w:ind w:left="1151" w:hanging="100"/>
      </w:pPr>
      <w:rPr>
        <w:rFonts w:hint="default"/>
      </w:rPr>
    </w:lvl>
    <w:lvl w:ilvl="8" w:tplc="F678DF36">
      <w:numFmt w:val="bullet"/>
      <w:lvlText w:val="•"/>
      <w:lvlJc w:val="left"/>
      <w:pPr>
        <w:ind w:left="1293" w:hanging="100"/>
      </w:pPr>
      <w:rPr>
        <w:rFonts w:hint="default"/>
      </w:rPr>
    </w:lvl>
  </w:abstractNum>
  <w:abstractNum w:abstractNumId="1174" w15:restartNumberingAfterBreak="0">
    <w:nsid w:val="4A1D0DF9"/>
    <w:multiLevelType w:val="hybridMultilevel"/>
    <w:tmpl w:val="76900FA8"/>
    <w:lvl w:ilvl="0" w:tplc="185005B4">
      <w:numFmt w:val="bullet"/>
      <w:lvlText w:val=""/>
      <w:lvlJc w:val="left"/>
      <w:pPr>
        <w:ind w:left="156" w:hanging="100"/>
      </w:pPr>
      <w:rPr>
        <w:rFonts w:ascii="Symbol" w:eastAsia="Symbol" w:hAnsi="Symbol" w:cs="Symbol" w:hint="default"/>
        <w:color w:val="231F20"/>
        <w:w w:val="100"/>
        <w:sz w:val="14"/>
        <w:szCs w:val="14"/>
      </w:rPr>
    </w:lvl>
    <w:lvl w:ilvl="1" w:tplc="4C04A1DA">
      <w:numFmt w:val="bullet"/>
      <w:lvlText w:val="•"/>
      <w:lvlJc w:val="left"/>
      <w:pPr>
        <w:ind w:left="426" w:hanging="100"/>
      </w:pPr>
      <w:rPr>
        <w:rFonts w:hint="default"/>
      </w:rPr>
    </w:lvl>
    <w:lvl w:ilvl="2" w:tplc="9D2C4040">
      <w:numFmt w:val="bullet"/>
      <w:lvlText w:val="•"/>
      <w:lvlJc w:val="left"/>
      <w:pPr>
        <w:ind w:left="692" w:hanging="100"/>
      </w:pPr>
      <w:rPr>
        <w:rFonts w:hint="default"/>
      </w:rPr>
    </w:lvl>
    <w:lvl w:ilvl="3" w:tplc="2EDC2614">
      <w:numFmt w:val="bullet"/>
      <w:lvlText w:val="•"/>
      <w:lvlJc w:val="left"/>
      <w:pPr>
        <w:ind w:left="959" w:hanging="100"/>
      </w:pPr>
      <w:rPr>
        <w:rFonts w:hint="default"/>
      </w:rPr>
    </w:lvl>
    <w:lvl w:ilvl="4" w:tplc="5672C912">
      <w:numFmt w:val="bullet"/>
      <w:lvlText w:val="•"/>
      <w:lvlJc w:val="left"/>
      <w:pPr>
        <w:ind w:left="1225" w:hanging="100"/>
      </w:pPr>
      <w:rPr>
        <w:rFonts w:hint="default"/>
      </w:rPr>
    </w:lvl>
    <w:lvl w:ilvl="5" w:tplc="5CCA4892">
      <w:numFmt w:val="bullet"/>
      <w:lvlText w:val="•"/>
      <w:lvlJc w:val="left"/>
      <w:pPr>
        <w:ind w:left="1492" w:hanging="100"/>
      </w:pPr>
      <w:rPr>
        <w:rFonts w:hint="default"/>
      </w:rPr>
    </w:lvl>
    <w:lvl w:ilvl="6" w:tplc="87844F52">
      <w:numFmt w:val="bullet"/>
      <w:lvlText w:val="•"/>
      <w:lvlJc w:val="left"/>
      <w:pPr>
        <w:ind w:left="1758" w:hanging="100"/>
      </w:pPr>
      <w:rPr>
        <w:rFonts w:hint="default"/>
      </w:rPr>
    </w:lvl>
    <w:lvl w:ilvl="7" w:tplc="5276F5FC">
      <w:numFmt w:val="bullet"/>
      <w:lvlText w:val="•"/>
      <w:lvlJc w:val="left"/>
      <w:pPr>
        <w:ind w:left="2024" w:hanging="100"/>
      </w:pPr>
      <w:rPr>
        <w:rFonts w:hint="default"/>
      </w:rPr>
    </w:lvl>
    <w:lvl w:ilvl="8" w:tplc="48C2B82C">
      <w:numFmt w:val="bullet"/>
      <w:lvlText w:val="•"/>
      <w:lvlJc w:val="left"/>
      <w:pPr>
        <w:ind w:left="2291" w:hanging="100"/>
      </w:pPr>
      <w:rPr>
        <w:rFonts w:hint="default"/>
      </w:rPr>
    </w:lvl>
  </w:abstractNum>
  <w:abstractNum w:abstractNumId="1175" w15:restartNumberingAfterBreak="0">
    <w:nsid w:val="4A1D7818"/>
    <w:multiLevelType w:val="hybridMultilevel"/>
    <w:tmpl w:val="F2204C30"/>
    <w:lvl w:ilvl="0" w:tplc="3F2E5698">
      <w:numFmt w:val="bullet"/>
      <w:lvlText w:val=""/>
      <w:lvlJc w:val="left"/>
      <w:pPr>
        <w:ind w:left="157" w:hanging="100"/>
      </w:pPr>
      <w:rPr>
        <w:rFonts w:ascii="Symbol" w:eastAsia="Symbol" w:hAnsi="Symbol" w:cs="Symbol" w:hint="default"/>
        <w:color w:val="231F20"/>
        <w:w w:val="100"/>
        <w:sz w:val="14"/>
        <w:szCs w:val="14"/>
      </w:rPr>
    </w:lvl>
    <w:lvl w:ilvl="1" w:tplc="6AAE2844">
      <w:numFmt w:val="bullet"/>
      <w:lvlText w:val="•"/>
      <w:lvlJc w:val="left"/>
      <w:pPr>
        <w:ind w:left="369" w:hanging="100"/>
      </w:pPr>
      <w:rPr>
        <w:rFonts w:hint="default"/>
      </w:rPr>
    </w:lvl>
    <w:lvl w:ilvl="2" w:tplc="1818A6CA">
      <w:numFmt w:val="bullet"/>
      <w:lvlText w:val="•"/>
      <w:lvlJc w:val="left"/>
      <w:pPr>
        <w:ind w:left="579" w:hanging="100"/>
      </w:pPr>
      <w:rPr>
        <w:rFonts w:hint="default"/>
      </w:rPr>
    </w:lvl>
    <w:lvl w:ilvl="3" w:tplc="03AA0C62">
      <w:numFmt w:val="bullet"/>
      <w:lvlText w:val="•"/>
      <w:lvlJc w:val="left"/>
      <w:pPr>
        <w:ind w:left="789" w:hanging="100"/>
      </w:pPr>
      <w:rPr>
        <w:rFonts w:hint="default"/>
      </w:rPr>
    </w:lvl>
    <w:lvl w:ilvl="4" w:tplc="4670B96C">
      <w:numFmt w:val="bullet"/>
      <w:lvlText w:val="•"/>
      <w:lvlJc w:val="left"/>
      <w:pPr>
        <w:ind w:left="998" w:hanging="100"/>
      </w:pPr>
      <w:rPr>
        <w:rFonts w:hint="default"/>
      </w:rPr>
    </w:lvl>
    <w:lvl w:ilvl="5" w:tplc="FC305486">
      <w:numFmt w:val="bullet"/>
      <w:lvlText w:val="•"/>
      <w:lvlJc w:val="left"/>
      <w:pPr>
        <w:ind w:left="1208" w:hanging="100"/>
      </w:pPr>
      <w:rPr>
        <w:rFonts w:hint="default"/>
      </w:rPr>
    </w:lvl>
    <w:lvl w:ilvl="6" w:tplc="EDA6922E">
      <w:numFmt w:val="bullet"/>
      <w:lvlText w:val="•"/>
      <w:lvlJc w:val="left"/>
      <w:pPr>
        <w:ind w:left="1418" w:hanging="100"/>
      </w:pPr>
      <w:rPr>
        <w:rFonts w:hint="default"/>
      </w:rPr>
    </w:lvl>
    <w:lvl w:ilvl="7" w:tplc="7040B962">
      <w:numFmt w:val="bullet"/>
      <w:lvlText w:val="•"/>
      <w:lvlJc w:val="left"/>
      <w:pPr>
        <w:ind w:left="1627" w:hanging="100"/>
      </w:pPr>
      <w:rPr>
        <w:rFonts w:hint="default"/>
      </w:rPr>
    </w:lvl>
    <w:lvl w:ilvl="8" w:tplc="91BA36B0">
      <w:numFmt w:val="bullet"/>
      <w:lvlText w:val="•"/>
      <w:lvlJc w:val="left"/>
      <w:pPr>
        <w:ind w:left="1837" w:hanging="100"/>
      </w:pPr>
      <w:rPr>
        <w:rFonts w:hint="default"/>
      </w:rPr>
    </w:lvl>
  </w:abstractNum>
  <w:abstractNum w:abstractNumId="1176" w15:restartNumberingAfterBreak="0">
    <w:nsid w:val="4A2A7D55"/>
    <w:multiLevelType w:val="hybridMultilevel"/>
    <w:tmpl w:val="D7C8B4BC"/>
    <w:lvl w:ilvl="0" w:tplc="233C0F06">
      <w:numFmt w:val="bullet"/>
      <w:lvlText w:val=""/>
      <w:lvlJc w:val="left"/>
      <w:pPr>
        <w:ind w:left="156" w:hanging="100"/>
      </w:pPr>
      <w:rPr>
        <w:rFonts w:ascii="Symbol" w:eastAsia="Symbol" w:hAnsi="Symbol" w:cs="Symbol" w:hint="default"/>
        <w:color w:val="231F20"/>
        <w:w w:val="100"/>
        <w:sz w:val="14"/>
        <w:szCs w:val="14"/>
      </w:rPr>
    </w:lvl>
    <w:lvl w:ilvl="1" w:tplc="A620AD70">
      <w:numFmt w:val="bullet"/>
      <w:lvlText w:val="•"/>
      <w:lvlJc w:val="left"/>
      <w:pPr>
        <w:ind w:left="398" w:hanging="100"/>
      </w:pPr>
      <w:rPr>
        <w:rFonts w:hint="default"/>
      </w:rPr>
    </w:lvl>
    <w:lvl w:ilvl="2" w:tplc="203E4A5E">
      <w:numFmt w:val="bullet"/>
      <w:lvlText w:val="•"/>
      <w:lvlJc w:val="left"/>
      <w:pPr>
        <w:ind w:left="636" w:hanging="100"/>
      </w:pPr>
      <w:rPr>
        <w:rFonts w:hint="default"/>
      </w:rPr>
    </w:lvl>
    <w:lvl w:ilvl="3" w:tplc="6B1A3DBE">
      <w:numFmt w:val="bullet"/>
      <w:lvlText w:val="•"/>
      <w:lvlJc w:val="left"/>
      <w:pPr>
        <w:ind w:left="874" w:hanging="100"/>
      </w:pPr>
      <w:rPr>
        <w:rFonts w:hint="default"/>
      </w:rPr>
    </w:lvl>
    <w:lvl w:ilvl="4" w:tplc="2A7E9B04">
      <w:numFmt w:val="bullet"/>
      <w:lvlText w:val="•"/>
      <w:lvlJc w:val="left"/>
      <w:pPr>
        <w:ind w:left="1112" w:hanging="100"/>
      </w:pPr>
      <w:rPr>
        <w:rFonts w:hint="default"/>
      </w:rPr>
    </w:lvl>
    <w:lvl w:ilvl="5" w:tplc="9000C64C">
      <w:numFmt w:val="bullet"/>
      <w:lvlText w:val="•"/>
      <w:lvlJc w:val="left"/>
      <w:pPr>
        <w:ind w:left="1350" w:hanging="100"/>
      </w:pPr>
      <w:rPr>
        <w:rFonts w:hint="default"/>
      </w:rPr>
    </w:lvl>
    <w:lvl w:ilvl="6" w:tplc="E6E22F9E">
      <w:numFmt w:val="bullet"/>
      <w:lvlText w:val="•"/>
      <w:lvlJc w:val="left"/>
      <w:pPr>
        <w:ind w:left="1588" w:hanging="100"/>
      </w:pPr>
      <w:rPr>
        <w:rFonts w:hint="default"/>
      </w:rPr>
    </w:lvl>
    <w:lvl w:ilvl="7" w:tplc="11DEC504">
      <w:numFmt w:val="bullet"/>
      <w:lvlText w:val="•"/>
      <w:lvlJc w:val="left"/>
      <w:pPr>
        <w:ind w:left="1826" w:hanging="100"/>
      </w:pPr>
      <w:rPr>
        <w:rFonts w:hint="default"/>
      </w:rPr>
    </w:lvl>
    <w:lvl w:ilvl="8" w:tplc="C3BC809C">
      <w:numFmt w:val="bullet"/>
      <w:lvlText w:val="•"/>
      <w:lvlJc w:val="left"/>
      <w:pPr>
        <w:ind w:left="2064" w:hanging="100"/>
      </w:pPr>
      <w:rPr>
        <w:rFonts w:hint="default"/>
      </w:rPr>
    </w:lvl>
  </w:abstractNum>
  <w:abstractNum w:abstractNumId="1177" w15:restartNumberingAfterBreak="0">
    <w:nsid w:val="4A2F3242"/>
    <w:multiLevelType w:val="hybridMultilevel"/>
    <w:tmpl w:val="7402FE2A"/>
    <w:lvl w:ilvl="0" w:tplc="385214E2">
      <w:numFmt w:val="bullet"/>
      <w:lvlText w:val=""/>
      <w:lvlJc w:val="left"/>
      <w:pPr>
        <w:ind w:left="156" w:hanging="100"/>
      </w:pPr>
      <w:rPr>
        <w:rFonts w:ascii="Symbol" w:eastAsia="Symbol" w:hAnsi="Symbol" w:cs="Symbol" w:hint="default"/>
        <w:color w:val="231F20"/>
        <w:w w:val="100"/>
        <w:sz w:val="14"/>
        <w:szCs w:val="14"/>
      </w:rPr>
    </w:lvl>
    <w:lvl w:ilvl="1" w:tplc="977A86FE">
      <w:numFmt w:val="bullet"/>
      <w:lvlText w:val="•"/>
      <w:lvlJc w:val="left"/>
      <w:pPr>
        <w:ind w:left="426" w:hanging="100"/>
      </w:pPr>
      <w:rPr>
        <w:rFonts w:hint="default"/>
      </w:rPr>
    </w:lvl>
    <w:lvl w:ilvl="2" w:tplc="24729CF2">
      <w:numFmt w:val="bullet"/>
      <w:lvlText w:val="•"/>
      <w:lvlJc w:val="left"/>
      <w:pPr>
        <w:ind w:left="692" w:hanging="100"/>
      </w:pPr>
      <w:rPr>
        <w:rFonts w:hint="default"/>
      </w:rPr>
    </w:lvl>
    <w:lvl w:ilvl="3" w:tplc="63E81564">
      <w:numFmt w:val="bullet"/>
      <w:lvlText w:val="•"/>
      <w:lvlJc w:val="left"/>
      <w:pPr>
        <w:ind w:left="959" w:hanging="100"/>
      </w:pPr>
      <w:rPr>
        <w:rFonts w:hint="default"/>
      </w:rPr>
    </w:lvl>
    <w:lvl w:ilvl="4" w:tplc="14183CB0">
      <w:numFmt w:val="bullet"/>
      <w:lvlText w:val="•"/>
      <w:lvlJc w:val="left"/>
      <w:pPr>
        <w:ind w:left="1225" w:hanging="100"/>
      </w:pPr>
      <w:rPr>
        <w:rFonts w:hint="default"/>
      </w:rPr>
    </w:lvl>
    <w:lvl w:ilvl="5" w:tplc="9A400B42">
      <w:numFmt w:val="bullet"/>
      <w:lvlText w:val="•"/>
      <w:lvlJc w:val="left"/>
      <w:pPr>
        <w:ind w:left="1492" w:hanging="100"/>
      </w:pPr>
      <w:rPr>
        <w:rFonts w:hint="default"/>
      </w:rPr>
    </w:lvl>
    <w:lvl w:ilvl="6" w:tplc="2BCC8786">
      <w:numFmt w:val="bullet"/>
      <w:lvlText w:val="•"/>
      <w:lvlJc w:val="left"/>
      <w:pPr>
        <w:ind w:left="1758" w:hanging="100"/>
      </w:pPr>
      <w:rPr>
        <w:rFonts w:hint="default"/>
      </w:rPr>
    </w:lvl>
    <w:lvl w:ilvl="7" w:tplc="A4803BC2">
      <w:numFmt w:val="bullet"/>
      <w:lvlText w:val="•"/>
      <w:lvlJc w:val="left"/>
      <w:pPr>
        <w:ind w:left="2024" w:hanging="100"/>
      </w:pPr>
      <w:rPr>
        <w:rFonts w:hint="default"/>
      </w:rPr>
    </w:lvl>
    <w:lvl w:ilvl="8" w:tplc="D24C2562">
      <w:numFmt w:val="bullet"/>
      <w:lvlText w:val="•"/>
      <w:lvlJc w:val="left"/>
      <w:pPr>
        <w:ind w:left="2291" w:hanging="100"/>
      </w:pPr>
      <w:rPr>
        <w:rFonts w:hint="default"/>
      </w:rPr>
    </w:lvl>
  </w:abstractNum>
  <w:abstractNum w:abstractNumId="1178" w15:restartNumberingAfterBreak="0">
    <w:nsid w:val="4A3344B5"/>
    <w:multiLevelType w:val="hybridMultilevel"/>
    <w:tmpl w:val="25C69546"/>
    <w:lvl w:ilvl="0" w:tplc="45FC4B94">
      <w:numFmt w:val="bullet"/>
      <w:lvlText w:val=""/>
      <w:lvlJc w:val="left"/>
      <w:pPr>
        <w:ind w:left="156" w:hanging="100"/>
      </w:pPr>
      <w:rPr>
        <w:rFonts w:ascii="Symbol" w:eastAsia="Symbol" w:hAnsi="Symbol" w:cs="Symbol" w:hint="default"/>
        <w:color w:val="231F20"/>
        <w:w w:val="100"/>
        <w:sz w:val="14"/>
        <w:szCs w:val="14"/>
      </w:rPr>
    </w:lvl>
    <w:lvl w:ilvl="1" w:tplc="BF7EEBC6">
      <w:numFmt w:val="bullet"/>
      <w:lvlText w:val="•"/>
      <w:lvlJc w:val="left"/>
      <w:pPr>
        <w:ind w:left="454" w:hanging="100"/>
      </w:pPr>
      <w:rPr>
        <w:rFonts w:hint="default"/>
      </w:rPr>
    </w:lvl>
    <w:lvl w:ilvl="2" w:tplc="D2E2A8E2">
      <w:numFmt w:val="bullet"/>
      <w:lvlText w:val="•"/>
      <w:lvlJc w:val="left"/>
      <w:pPr>
        <w:ind w:left="749" w:hanging="100"/>
      </w:pPr>
      <w:rPr>
        <w:rFonts w:hint="default"/>
      </w:rPr>
    </w:lvl>
    <w:lvl w:ilvl="3" w:tplc="653ACC66">
      <w:numFmt w:val="bullet"/>
      <w:lvlText w:val="•"/>
      <w:lvlJc w:val="left"/>
      <w:pPr>
        <w:ind w:left="1044" w:hanging="100"/>
      </w:pPr>
      <w:rPr>
        <w:rFonts w:hint="default"/>
      </w:rPr>
    </w:lvl>
    <w:lvl w:ilvl="4" w:tplc="1C66DF12">
      <w:numFmt w:val="bullet"/>
      <w:lvlText w:val="•"/>
      <w:lvlJc w:val="left"/>
      <w:pPr>
        <w:ind w:left="1339" w:hanging="100"/>
      </w:pPr>
      <w:rPr>
        <w:rFonts w:hint="default"/>
      </w:rPr>
    </w:lvl>
    <w:lvl w:ilvl="5" w:tplc="462089B0">
      <w:numFmt w:val="bullet"/>
      <w:lvlText w:val="•"/>
      <w:lvlJc w:val="left"/>
      <w:pPr>
        <w:ind w:left="1634" w:hanging="100"/>
      </w:pPr>
      <w:rPr>
        <w:rFonts w:hint="default"/>
      </w:rPr>
    </w:lvl>
    <w:lvl w:ilvl="6" w:tplc="B54CD572">
      <w:numFmt w:val="bullet"/>
      <w:lvlText w:val="•"/>
      <w:lvlJc w:val="left"/>
      <w:pPr>
        <w:ind w:left="1928" w:hanging="100"/>
      </w:pPr>
      <w:rPr>
        <w:rFonts w:hint="default"/>
      </w:rPr>
    </w:lvl>
    <w:lvl w:ilvl="7" w:tplc="23A60A82">
      <w:numFmt w:val="bullet"/>
      <w:lvlText w:val="•"/>
      <w:lvlJc w:val="left"/>
      <w:pPr>
        <w:ind w:left="2223" w:hanging="100"/>
      </w:pPr>
      <w:rPr>
        <w:rFonts w:hint="default"/>
      </w:rPr>
    </w:lvl>
    <w:lvl w:ilvl="8" w:tplc="72D6F678">
      <w:numFmt w:val="bullet"/>
      <w:lvlText w:val="•"/>
      <w:lvlJc w:val="left"/>
      <w:pPr>
        <w:ind w:left="2518" w:hanging="100"/>
      </w:pPr>
      <w:rPr>
        <w:rFonts w:hint="default"/>
      </w:rPr>
    </w:lvl>
  </w:abstractNum>
  <w:abstractNum w:abstractNumId="1179" w15:restartNumberingAfterBreak="0">
    <w:nsid w:val="4A462B87"/>
    <w:multiLevelType w:val="hybridMultilevel"/>
    <w:tmpl w:val="1A6AB53E"/>
    <w:lvl w:ilvl="0" w:tplc="81A87CD0">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93442124">
      <w:numFmt w:val="bullet"/>
      <w:lvlText w:val="•"/>
      <w:lvlJc w:val="left"/>
      <w:pPr>
        <w:ind w:left="369" w:hanging="105"/>
      </w:pPr>
      <w:rPr>
        <w:rFonts w:hint="default"/>
      </w:rPr>
    </w:lvl>
    <w:lvl w:ilvl="2" w:tplc="D3748912">
      <w:numFmt w:val="bullet"/>
      <w:lvlText w:val="•"/>
      <w:lvlJc w:val="left"/>
      <w:pPr>
        <w:ind w:left="579" w:hanging="105"/>
      </w:pPr>
      <w:rPr>
        <w:rFonts w:hint="default"/>
      </w:rPr>
    </w:lvl>
    <w:lvl w:ilvl="3" w:tplc="ECF874FC">
      <w:numFmt w:val="bullet"/>
      <w:lvlText w:val="•"/>
      <w:lvlJc w:val="left"/>
      <w:pPr>
        <w:ind w:left="789" w:hanging="105"/>
      </w:pPr>
      <w:rPr>
        <w:rFonts w:hint="default"/>
      </w:rPr>
    </w:lvl>
    <w:lvl w:ilvl="4" w:tplc="8CB09C78">
      <w:numFmt w:val="bullet"/>
      <w:lvlText w:val="•"/>
      <w:lvlJc w:val="left"/>
      <w:pPr>
        <w:ind w:left="998" w:hanging="105"/>
      </w:pPr>
      <w:rPr>
        <w:rFonts w:hint="default"/>
      </w:rPr>
    </w:lvl>
    <w:lvl w:ilvl="5" w:tplc="576EA2E2">
      <w:numFmt w:val="bullet"/>
      <w:lvlText w:val="•"/>
      <w:lvlJc w:val="left"/>
      <w:pPr>
        <w:ind w:left="1208" w:hanging="105"/>
      </w:pPr>
      <w:rPr>
        <w:rFonts w:hint="default"/>
      </w:rPr>
    </w:lvl>
    <w:lvl w:ilvl="6" w:tplc="5F38617C">
      <w:numFmt w:val="bullet"/>
      <w:lvlText w:val="•"/>
      <w:lvlJc w:val="left"/>
      <w:pPr>
        <w:ind w:left="1418" w:hanging="105"/>
      </w:pPr>
      <w:rPr>
        <w:rFonts w:hint="default"/>
      </w:rPr>
    </w:lvl>
    <w:lvl w:ilvl="7" w:tplc="48207E86">
      <w:numFmt w:val="bullet"/>
      <w:lvlText w:val="•"/>
      <w:lvlJc w:val="left"/>
      <w:pPr>
        <w:ind w:left="1627" w:hanging="105"/>
      </w:pPr>
      <w:rPr>
        <w:rFonts w:hint="default"/>
      </w:rPr>
    </w:lvl>
    <w:lvl w:ilvl="8" w:tplc="72F2236A">
      <w:numFmt w:val="bullet"/>
      <w:lvlText w:val="•"/>
      <w:lvlJc w:val="left"/>
      <w:pPr>
        <w:ind w:left="1837" w:hanging="105"/>
      </w:pPr>
      <w:rPr>
        <w:rFonts w:hint="default"/>
      </w:rPr>
    </w:lvl>
  </w:abstractNum>
  <w:abstractNum w:abstractNumId="1180" w15:restartNumberingAfterBreak="0">
    <w:nsid w:val="4A4B526B"/>
    <w:multiLevelType w:val="hybridMultilevel"/>
    <w:tmpl w:val="58AAED94"/>
    <w:lvl w:ilvl="0" w:tplc="CEBEC762">
      <w:numFmt w:val="bullet"/>
      <w:lvlText w:val=""/>
      <w:lvlJc w:val="left"/>
      <w:pPr>
        <w:ind w:left="156" w:hanging="100"/>
      </w:pPr>
      <w:rPr>
        <w:rFonts w:ascii="Symbol" w:eastAsia="Symbol" w:hAnsi="Symbol" w:cs="Symbol" w:hint="default"/>
        <w:color w:val="231F20"/>
        <w:w w:val="100"/>
        <w:sz w:val="14"/>
        <w:szCs w:val="14"/>
      </w:rPr>
    </w:lvl>
    <w:lvl w:ilvl="1" w:tplc="B27A7738">
      <w:numFmt w:val="bullet"/>
      <w:lvlText w:val="•"/>
      <w:lvlJc w:val="left"/>
      <w:pPr>
        <w:ind w:left="426" w:hanging="100"/>
      </w:pPr>
      <w:rPr>
        <w:rFonts w:hint="default"/>
      </w:rPr>
    </w:lvl>
    <w:lvl w:ilvl="2" w:tplc="4538F510">
      <w:numFmt w:val="bullet"/>
      <w:lvlText w:val="•"/>
      <w:lvlJc w:val="left"/>
      <w:pPr>
        <w:ind w:left="692" w:hanging="100"/>
      </w:pPr>
      <w:rPr>
        <w:rFonts w:hint="default"/>
      </w:rPr>
    </w:lvl>
    <w:lvl w:ilvl="3" w:tplc="EAE886CE">
      <w:numFmt w:val="bullet"/>
      <w:lvlText w:val="•"/>
      <w:lvlJc w:val="left"/>
      <w:pPr>
        <w:ind w:left="959" w:hanging="100"/>
      </w:pPr>
      <w:rPr>
        <w:rFonts w:hint="default"/>
      </w:rPr>
    </w:lvl>
    <w:lvl w:ilvl="4" w:tplc="37087C4A">
      <w:numFmt w:val="bullet"/>
      <w:lvlText w:val="•"/>
      <w:lvlJc w:val="left"/>
      <w:pPr>
        <w:ind w:left="1225" w:hanging="100"/>
      </w:pPr>
      <w:rPr>
        <w:rFonts w:hint="default"/>
      </w:rPr>
    </w:lvl>
    <w:lvl w:ilvl="5" w:tplc="9486823C">
      <w:numFmt w:val="bullet"/>
      <w:lvlText w:val="•"/>
      <w:lvlJc w:val="left"/>
      <w:pPr>
        <w:ind w:left="1492" w:hanging="100"/>
      </w:pPr>
      <w:rPr>
        <w:rFonts w:hint="default"/>
      </w:rPr>
    </w:lvl>
    <w:lvl w:ilvl="6" w:tplc="B72E0F10">
      <w:numFmt w:val="bullet"/>
      <w:lvlText w:val="•"/>
      <w:lvlJc w:val="left"/>
      <w:pPr>
        <w:ind w:left="1758" w:hanging="100"/>
      </w:pPr>
      <w:rPr>
        <w:rFonts w:hint="default"/>
      </w:rPr>
    </w:lvl>
    <w:lvl w:ilvl="7" w:tplc="390CD1C0">
      <w:numFmt w:val="bullet"/>
      <w:lvlText w:val="•"/>
      <w:lvlJc w:val="left"/>
      <w:pPr>
        <w:ind w:left="2024" w:hanging="100"/>
      </w:pPr>
      <w:rPr>
        <w:rFonts w:hint="default"/>
      </w:rPr>
    </w:lvl>
    <w:lvl w:ilvl="8" w:tplc="33EEA6D2">
      <w:numFmt w:val="bullet"/>
      <w:lvlText w:val="•"/>
      <w:lvlJc w:val="left"/>
      <w:pPr>
        <w:ind w:left="2291" w:hanging="100"/>
      </w:pPr>
      <w:rPr>
        <w:rFonts w:hint="default"/>
      </w:rPr>
    </w:lvl>
  </w:abstractNum>
  <w:abstractNum w:abstractNumId="1181" w15:restartNumberingAfterBreak="0">
    <w:nsid w:val="4A5308AB"/>
    <w:multiLevelType w:val="hybridMultilevel"/>
    <w:tmpl w:val="5B148B32"/>
    <w:lvl w:ilvl="0" w:tplc="87E0129C">
      <w:numFmt w:val="bullet"/>
      <w:lvlText w:val=""/>
      <w:lvlJc w:val="left"/>
      <w:pPr>
        <w:ind w:left="156" w:hanging="100"/>
      </w:pPr>
      <w:rPr>
        <w:rFonts w:ascii="Symbol" w:eastAsia="Symbol" w:hAnsi="Symbol" w:cs="Symbol" w:hint="default"/>
        <w:color w:val="231F20"/>
        <w:w w:val="100"/>
        <w:sz w:val="14"/>
        <w:szCs w:val="14"/>
      </w:rPr>
    </w:lvl>
    <w:lvl w:ilvl="1" w:tplc="352C1F12">
      <w:numFmt w:val="bullet"/>
      <w:lvlText w:val="•"/>
      <w:lvlJc w:val="left"/>
      <w:pPr>
        <w:ind w:left="301" w:hanging="100"/>
      </w:pPr>
      <w:rPr>
        <w:rFonts w:hint="default"/>
      </w:rPr>
    </w:lvl>
    <w:lvl w:ilvl="2" w:tplc="7C88E910">
      <w:numFmt w:val="bullet"/>
      <w:lvlText w:val="•"/>
      <w:lvlJc w:val="left"/>
      <w:pPr>
        <w:ind w:left="443" w:hanging="100"/>
      </w:pPr>
      <w:rPr>
        <w:rFonts w:hint="default"/>
      </w:rPr>
    </w:lvl>
    <w:lvl w:ilvl="3" w:tplc="9E5243E4">
      <w:numFmt w:val="bullet"/>
      <w:lvlText w:val="•"/>
      <w:lvlJc w:val="left"/>
      <w:pPr>
        <w:ind w:left="585" w:hanging="100"/>
      </w:pPr>
      <w:rPr>
        <w:rFonts w:hint="default"/>
      </w:rPr>
    </w:lvl>
    <w:lvl w:ilvl="4" w:tplc="D48E0B42">
      <w:numFmt w:val="bullet"/>
      <w:lvlText w:val="•"/>
      <w:lvlJc w:val="left"/>
      <w:pPr>
        <w:ind w:left="726" w:hanging="100"/>
      </w:pPr>
      <w:rPr>
        <w:rFonts w:hint="default"/>
      </w:rPr>
    </w:lvl>
    <w:lvl w:ilvl="5" w:tplc="2078DCD2">
      <w:numFmt w:val="bullet"/>
      <w:lvlText w:val="•"/>
      <w:lvlJc w:val="left"/>
      <w:pPr>
        <w:ind w:left="868" w:hanging="100"/>
      </w:pPr>
      <w:rPr>
        <w:rFonts w:hint="default"/>
      </w:rPr>
    </w:lvl>
    <w:lvl w:ilvl="6" w:tplc="E2F46054">
      <w:numFmt w:val="bullet"/>
      <w:lvlText w:val="•"/>
      <w:lvlJc w:val="left"/>
      <w:pPr>
        <w:ind w:left="1010" w:hanging="100"/>
      </w:pPr>
      <w:rPr>
        <w:rFonts w:hint="default"/>
      </w:rPr>
    </w:lvl>
    <w:lvl w:ilvl="7" w:tplc="EBD00A76">
      <w:numFmt w:val="bullet"/>
      <w:lvlText w:val="•"/>
      <w:lvlJc w:val="left"/>
      <w:pPr>
        <w:ind w:left="1151" w:hanging="100"/>
      </w:pPr>
      <w:rPr>
        <w:rFonts w:hint="default"/>
      </w:rPr>
    </w:lvl>
    <w:lvl w:ilvl="8" w:tplc="CA3620CC">
      <w:numFmt w:val="bullet"/>
      <w:lvlText w:val="•"/>
      <w:lvlJc w:val="left"/>
      <w:pPr>
        <w:ind w:left="1293" w:hanging="100"/>
      </w:pPr>
      <w:rPr>
        <w:rFonts w:hint="default"/>
      </w:rPr>
    </w:lvl>
  </w:abstractNum>
  <w:abstractNum w:abstractNumId="1182" w15:restartNumberingAfterBreak="0">
    <w:nsid w:val="4A5607BF"/>
    <w:multiLevelType w:val="hybridMultilevel"/>
    <w:tmpl w:val="A6F0F27C"/>
    <w:lvl w:ilvl="0" w:tplc="2108903A">
      <w:numFmt w:val="bullet"/>
      <w:lvlText w:val=""/>
      <w:lvlJc w:val="left"/>
      <w:pPr>
        <w:ind w:left="156" w:hanging="100"/>
      </w:pPr>
      <w:rPr>
        <w:rFonts w:ascii="Symbol" w:eastAsia="Symbol" w:hAnsi="Symbol" w:cs="Symbol" w:hint="default"/>
        <w:color w:val="231F20"/>
        <w:w w:val="100"/>
        <w:sz w:val="14"/>
        <w:szCs w:val="14"/>
      </w:rPr>
    </w:lvl>
    <w:lvl w:ilvl="1" w:tplc="A21CAFDC">
      <w:numFmt w:val="bullet"/>
      <w:lvlText w:val="•"/>
      <w:lvlJc w:val="left"/>
      <w:pPr>
        <w:ind w:left="301" w:hanging="100"/>
      </w:pPr>
      <w:rPr>
        <w:rFonts w:hint="default"/>
      </w:rPr>
    </w:lvl>
    <w:lvl w:ilvl="2" w:tplc="02224A92">
      <w:numFmt w:val="bullet"/>
      <w:lvlText w:val="•"/>
      <w:lvlJc w:val="left"/>
      <w:pPr>
        <w:ind w:left="443" w:hanging="100"/>
      </w:pPr>
      <w:rPr>
        <w:rFonts w:hint="default"/>
      </w:rPr>
    </w:lvl>
    <w:lvl w:ilvl="3" w:tplc="23C22A36">
      <w:numFmt w:val="bullet"/>
      <w:lvlText w:val="•"/>
      <w:lvlJc w:val="left"/>
      <w:pPr>
        <w:ind w:left="585" w:hanging="100"/>
      </w:pPr>
      <w:rPr>
        <w:rFonts w:hint="default"/>
      </w:rPr>
    </w:lvl>
    <w:lvl w:ilvl="4" w:tplc="DDE89C5E">
      <w:numFmt w:val="bullet"/>
      <w:lvlText w:val="•"/>
      <w:lvlJc w:val="left"/>
      <w:pPr>
        <w:ind w:left="726" w:hanging="100"/>
      </w:pPr>
      <w:rPr>
        <w:rFonts w:hint="default"/>
      </w:rPr>
    </w:lvl>
    <w:lvl w:ilvl="5" w:tplc="5B040DEA">
      <w:numFmt w:val="bullet"/>
      <w:lvlText w:val="•"/>
      <w:lvlJc w:val="left"/>
      <w:pPr>
        <w:ind w:left="868" w:hanging="100"/>
      </w:pPr>
      <w:rPr>
        <w:rFonts w:hint="default"/>
      </w:rPr>
    </w:lvl>
    <w:lvl w:ilvl="6" w:tplc="27984466">
      <w:numFmt w:val="bullet"/>
      <w:lvlText w:val="•"/>
      <w:lvlJc w:val="left"/>
      <w:pPr>
        <w:ind w:left="1010" w:hanging="100"/>
      </w:pPr>
      <w:rPr>
        <w:rFonts w:hint="default"/>
      </w:rPr>
    </w:lvl>
    <w:lvl w:ilvl="7" w:tplc="5D6A1FC0">
      <w:numFmt w:val="bullet"/>
      <w:lvlText w:val="•"/>
      <w:lvlJc w:val="left"/>
      <w:pPr>
        <w:ind w:left="1151" w:hanging="100"/>
      </w:pPr>
      <w:rPr>
        <w:rFonts w:hint="default"/>
      </w:rPr>
    </w:lvl>
    <w:lvl w:ilvl="8" w:tplc="7CB4774E">
      <w:numFmt w:val="bullet"/>
      <w:lvlText w:val="•"/>
      <w:lvlJc w:val="left"/>
      <w:pPr>
        <w:ind w:left="1293" w:hanging="100"/>
      </w:pPr>
      <w:rPr>
        <w:rFonts w:hint="default"/>
      </w:rPr>
    </w:lvl>
  </w:abstractNum>
  <w:abstractNum w:abstractNumId="1183" w15:restartNumberingAfterBreak="0">
    <w:nsid w:val="4A5B4CF0"/>
    <w:multiLevelType w:val="hybridMultilevel"/>
    <w:tmpl w:val="B932365A"/>
    <w:lvl w:ilvl="0" w:tplc="6ED0BAC2">
      <w:numFmt w:val="bullet"/>
      <w:lvlText w:val=""/>
      <w:lvlJc w:val="left"/>
      <w:pPr>
        <w:ind w:left="156" w:hanging="100"/>
      </w:pPr>
      <w:rPr>
        <w:rFonts w:ascii="Symbol" w:eastAsia="Symbol" w:hAnsi="Symbol" w:cs="Symbol" w:hint="default"/>
        <w:color w:val="231F20"/>
        <w:w w:val="100"/>
        <w:sz w:val="14"/>
        <w:szCs w:val="14"/>
      </w:rPr>
    </w:lvl>
    <w:lvl w:ilvl="1" w:tplc="4C781C6C">
      <w:numFmt w:val="bullet"/>
      <w:lvlText w:val="•"/>
      <w:lvlJc w:val="left"/>
      <w:pPr>
        <w:ind w:left="240" w:hanging="100"/>
      </w:pPr>
      <w:rPr>
        <w:rFonts w:hint="default"/>
      </w:rPr>
    </w:lvl>
    <w:lvl w:ilvl="2" w:tplc="B0901E92">
      <w:numFmt w:val="bullet"/>
      <w:lvlText w:val="•"/>
      <w:lvlJc w:val="left"/>
      <w:pPr>
        <w:ind w:left="495" w:hanging="100"/>
      </w:pPr>
      <w:rPr>
        <w:rFonts w:hint="default"/>
      </w:rPr>
    </w:lvl>
    <w:lvl w:ilvl="3" w:tplc="1E3E9548">
      <w:numFmt w:val="bullet"/>
      <w:lvlText w:val="•"/>
      <w:lvlJc w:val="left"/>
      <w:pPr>
        <w:ind w:left="751" w:hanging="100"/>
      </w:pPr>
      <w:rPr>
        <w:rFonts w:hint="default"/>
      </w:rPr>
    </w:lvl>
    <w:lvl w:ilvl="4" w:tplc="792E48A8">
      <w:numFmt w:val="bullet"/>
      <w:lvlText w:val="•"/>
      <w:lvlJc w:val="left"/>
      <w:pPr>
        <w:ind w:left="1007" w:hanging="100"/>
      </w:pPr>
      <w:rPr>
        <w:rFonts w:hint="default"/>
      </w:rPr>
    </w:lvl>
    <w:lvl w:ilvl="5" w:tplc="A6940A5C">
      <w:numFmt w:val="bullet"/>
      <w:lvlText w:val="•"/>
      <w:lvlJc w:val="left"/>
      <w:pPr>
        <w:ind w:left="1262" w:hanging="100"/>
      </w:pPr>
      <w:rPr>
        <w:rFonts w:hint="default"/>
      </w:rPr>
    </w:lvl>
    <w:lvl w:ilvl="6" w:tplc="BA803FA2">
      <w:numFmt w:val="bullet"/>
      <w:lvlText w:val="•"/>
      <w:lvlJc w:val="left"/>
      <w:pPr>
        <w:ind w:left="1518" w:hanging="100"/>
      </w:pPr>
      <w:rPr>
        <w:rFonts w:hint="default"/>
      </w:rPr>
    </w:lvl>
    <w:lvl w:ilvl="7" w:tplc="A03A7F0E">
      <w:numFmt w:val="bullet"/>
      <w:lvlText w:val="•"/>
      <w:lvlJc w:val="left"/>
      <w:pPr>
        <w:ind w:left="1774" w:hanging="100"/>
      </w:pPr>
      <w:rPr>
        <w:rFonts w:hint="default"/>
      </w:rPr>
    </w:lvl>
    <w:lvl w:ilvl="8" w:tplc="ADD450A0">
      <w:numFmt w:val="bullet"/>
      <w:lvlText w:val="•"/>
      <w:lvlJc w:val="left"/>
      <w:pPr>
        <w:ind w:left="2029" w:hanging="100"/>
      </w:pPr>
      <w:rPr>
        <w:rFonts w:hint="default"/>
      </w:rPr>
    </w:lvl>
  </w:abstractNum>
  <w:abstractNum w:abstractNumId="1184" w15:restartNumberingAfterBreak="0">
    <w:nsid w:val="4A5D2115"/>
    <w:multiLevelType w:val="hybridMultilevel"/>
    <w:tmpl w:val="D80E113C"/>
    <w:lvl w:ilvl="0" w:tplc="9B684FAA">
      <w:numFmt w:val="bullet"/>
      <w:lvlText w:val="–"/>
      <w:lvlJc w:val="left"/>
      <w:pPr>
        <w:ind w:left="57" w:hanging="105"/>
      </w:pPr>
      <w:rPr>
        <w:rFonts w:ascii="Times New Roman" w:eastAsia="Times New Roman" w:hAnsi="Times New Roman" w:cs="Times New Roman" w:hint="default"/>
        <w:color w:val="231F20"/>
        <w:spacing w:val="-1"/>
        <w:w w:val="100"/>
        <w:sz w:val="14"/>
        <w:szCs w:val="14"/>
      </w:rPr>
    </w:lvl>
    <w:lvl w:ilvl="1" w:tplc="AB78B2E4">
      <w:numFmt w:val="bullet"/>
      <w:lvlText w:val="•"/>
      <w:lvlJc w:val="left"/>
      <w:pPr>
        <w:ind w:left="336" w:hanging="105"/>
      </w:pPr>
      <w:rPr>
        <w:rFonts w:hint="default"/>
      </w:rPr>
    </w:lvl>
    <w:lvl w:ilvl="2" w:tplc="6B147750">
      <w:numFmt w:val="bullet"/>
      <w:lvlText w:val="•"/>
      <w:lvlJc w:val="left"/>
      <w:pPr>
        <w:ind w:left="612" w:hanging="105"/>
      </w:pPr>
      <w:rPr>
        <w:rFonts w:hint="default"/>
      </w:rPr>
    </w:lvl>
    <w:lvl w:ilvl="3" w:tplc="99528ABE">
      <w:numFmt w:val="bullet"/>
      <w:lvlText w:val="•"/>
      <w:lvlJc w:val="left"/>
      <w:pPr>
        <w:ind w:left="889" w:hanging="105"/>
      </w:pPr>
      <w:rPr>
        <w:rFonts w:hint="default"/>
      </w:rPr>
    </w:lvl>
    <w:lvl w:ilvl="4" w:tplc="35E4F4E8">
      <w:numFmt w:val="bullet"/>
      <w:lvlText w:val="•"/>
      <w:lvlJc w:val="left"/>
      <w:pPr>
        <w:ind w:left="1165" w:hanging="105"/>
      </w:pPr>
      <w:rPr>
        <w:rFonts w:hint="default"/>
      </w:rPr>
    </w:lvl>
    <w:lvl w:ilvl="5" w:tplc="069CF290">
      <w:numFmt w:val="bullet"/>
      <w:lvlText w:val="•"/>
      <w:lvlJc w:val="left"/>
      <w:pPr>
        <w:ind w:left="1442" w:hanging="105"/>
      </w:pPr>
      <w:rPr>
        <w:rFonts w:hint="default"/>
      </w:rPr>
    </w:lvl>
    <w:lvl w:ilvl="6" w:tplc="1A688B5A">
      <w:numFmt w:val="bullet"/>
      <w:lvlText w:val="•"/>
      <w:lvlJc w:val="left"/>
      <w:pPr>
        <w:ind w:left="1718" w:hanging="105"/>
      </w:pPr>
      <w:rPr>
        <w:rFonts w:hint="default"/>
      </w:rPr>
    </w:lvl>
    <w:lvl w:ilvl="7" w:tplc="A24A7C58">
      <w:numFmt w:val="bullet"/>
      <w:lvlText w:val="•"/>
      <w:lvlJc w:val="left"/>
      <w:pPr>
        <w:ind w:left="1994" w:hanging="105"/>
      </w:pPr>
      <w:rPr>
        <w:rFonts w:hint="default"/>
      </w:rPr>
    </w:lvl>
    <w:lvl w:ilvl="8" w:tplc="A89E3162">
      <w:numFmt w:val="bullet"/>
      <w:lvlText w:val="•"/>
      <w:lvlJc w:val="left"/>
      <w:pPr>
        <w:ind w:left="2271" w:hanging="105"/>
      </w:pPr>
      <w:rPr>
        <w:rFonts w:hint="default"/>
      </w:rPr>
    </w:lvl>
  </w:abstractNum>
  <w:abstractNum w:abstractNumId="1185" w15:restartNumberingAfterBreak="0">
    <w:nsid w:val="4A6679CE"/>
    <w:multiLevelType w:val="hybridMultilevel"/>
    <w:tmpl w:val="3BB01E24"/>
    <w:lvl w:ilvl="0" w:tplc="9CB2F7EC">
      <w:numFmt w:val="bullet"/>
      <w:lvlText w:val=""/>
      <w:lvlJc w:val="left"/>
      <w:pPr>
        <w:ind w:left="156" w:hanging="100"/>
      </w:pPr>
      <w:rPr>
        <w:rFonts w:ascii="Symbol" w:eastAsia="Symbol" w:hAnsi="Symbol" w:cs="Symbol" w:hint="default"/>
        <w:color w:val="231F20"/>
        <w:w w:val="100"/>
        <w:sz w:val="14"/>
        <w:szCs w:val="14"/>
      </w:rPr>
    </w:lvl>
    <w:lvl w:ilvl="1" w:tplc="E1E0DD52">
      <w:numFmt w:val="bullet"/>
      <w:lvlText w:val="•"/>
      <w:lvlJc w:val="left"/>
      <w:pPr>
        <w:ind w:left="398" w:hanging="100"/>
      </w:pPr>
      <w:rPr>
        <w:rFonts w:hint="default"/>
      </w:rPr>
    </w:lvl>
    <w:lvl w:ilvl="2" w:tplc="18049FAC">
      <w:numFmt w:val="bullet"/>
      <w:lvlText w:val="•"/>
      <w:lvlJc w:val="left"/>
      <w:pPr>
        <w:ind w:left="636" w:hanging="100"/>
      </w:pPr>
      <w:rPr>
        <w:rFonts w:hint="default"/>
      </w:rPr>
    </w:lvl>
    <w:lvl w:ilvl="3" w:tplc="1AE07F6A">
      <w:numFmt w:val="bullet"/>
      <w:lvlText w:val="•"/>
      <w:lvlJc w:val="left"/>
      <w:pPr>
        <w:ind w:left="874" w:hanging="100"/>
      </w:pPr>
      <w:rPr>
        <w:rFonts w:hint="default"/>
      </w:rPr>
    </w:lvl>
    <w:lvl w:ilvl="4" w:tplc="815C3754">
      <w:numFmt w:val="bullet"/>
      <w:lvlText w:val="•"/>
      <w:lvlJc w:val="left"/>
      <w:pPr>
        <w:ind w:left="1112" w:hanging="100"/>
      </w:pPr>
      <w:rPr>
        <w:rFonts w:hint="default"/>
      </w:rPr>
    </w:lvl>
    <w:lvl w:ilvl="5" w:tplc="01D8F620">
      <w:numFmt w:val="bullet"/>
      <w:lvlText w:val="•"/>
      <w:lvlJc w:val="left"/>
      <w:pPr>
        <w:ind w:left="1350" w:hanging="100"/>
      </w:pPr>
      <w:rPr>
        <w:rFonts w:hint="default"/>
      </w:rPr>
    </w:lvl>
    <w:lvl w:ilvl="6" w:tplc="C2DCEB56">
      <w:numFmt w:val="bullet"/>
      <w:lvlText w:val="•"/>
      <w:lvlJc w:val="left"/>
      <w:pPr>
        <w:ind w:left="1588" w:hanging="100"/>
      </w:pPr>
      <w:rPr>
        <w:rFonts w:hint="default"/>
      </w:rPr>
    </w:lvl>
    <w:lvl w:ilvl="7" w:tplc="E0FCBFEC">
      <w:numFmt w:val="bullet"/>
      <w:lvlText w:val="•"/>
      <w:lvlJc w:val="left"/>
      <w:pPr>
        <w:ind w:left="1826" w:hanging="100"/>
      </w:pPr>
      <w:rPr>
        <w:rFonts w:hint="default"/>
      </w:rPr>
    </w:lvl>
    <w:lvl w:ilvl="8" w:tplc="5358B586">
      <w:numFmt w:val="bullet"/>
      <w:lvlText w:val="•"/>
      <w:lvlJc w:val="left"/>
      <w:pPr>
        <w:ind w:left="2064" w:hanging="100"/>
      </w:pPr>
      <w:rPr>
        <w:rFonts w:hint="default"/>
      </w:rPr>
    </w:lvl>
  </w:abstractNum>
  <w:abstractNum w:abstractNumId="1186" w15:restartNumberingAfterBreak="0">
    <w:nsid w:val="4A7F25C2"/>
    <w:multiLevelType w:val="hybridMultilevel"/>
    <w:tmpl w:val="683C2584"/>
    <w:lvl w:ilvl="0" w:tplc="B9E2C04C">
      <w:numFmt w:val="bullet"/>
      <w:lvlText w:val=""/>
      <w:lvlJc w:val="left"/>
      <w:pPr>
        <w:ind w:left="157" w:hanging="100"/>
      </w:pPr>
      <w:rPr>
        <w:rFonts w:ascii="Symbol" w:eastAsia="Symbol" w:hAnsi="Symbol" w:cs="Symbol" w:hint="default"/>
        <w:color w:val="231F20"/>
        <w:w w:val="100"/>
        <w:sz w:val="14"/>
        <w:szCs w:val="14"/>
      </w:rPr>
    </w:lvl>
    <w:lvl w:ilvl="1" w:tplc="A48C4038">
      <w:numFmt w:val="bullet"/>
      <w:lvlText w:val="•"/>
      <w:lvlJc w:val="left"/>
      <w:pPr>
        <w:ind w:left="369" w:hanging="100"/>
      </w:pPr>
      <w:rPr>
        <w:rFonts w:hint="default"/>
      </w:rPr>
    </w:lvl>
    <w:lvl w:ilvl="2" w:tplc="1FF2E500">
      <w:numFmt w:val="bullet"/>
      <w:lvlText w:val="•"/>
      <w:lvlJc w:val="left"/>
      <w:pPr>
        <w:ind w:left="579" w:hanging="100"/>
      </w:pPr>
      <w:rPr>
        <w:rFonts w:hint="default"/>
      </w:rPr>
    </w:lvl>
    <w:lvl w:ilvl="3" w:tplc="D146E03A">
      <w:numFmt w:val="bullet"/>
      <w:lvlText w:val="•"/>
      <w:lvlJc w:val="left"/>
      <w:pPr>
        <w:ind w:left="789" w:hanging="100"/>
      </w:pPr>
      <w:rPr>
        <w:rFonts w:hint="default"/>
      </w:rPr>
    </w:lvl>
    <w:lvl w:ilvl="4" w:tplc="CF9C3D22">
      <w:numFmt w:val="bullet"/>
      <w:lvlText w:val="•"/>
      <w:lvlJc w:val="left"/>
      <w:pPr>
        <w:ind w:left="998" w:hanging="100"/>
      </w:pPr>
      <w:rPr>
        <w:rFonts w:hint="default"/>
      </w:rPr>
    </w:lvl>
    <w:lvl w:ilvl="5" w:tplc="B9825F8A">
      <w:numFmt w:val="bullet"/>
      <w:lvlText w:val="•"/>
      <w:lvlJc w:val="left"/>
      <w:pPr>
        <w:ind w:left="1208" w:hanging="100"/>
      </w:pPr>
      <w:rPr>
        <w:rFonts w:hint="default"/>
      </w:rPr>
    </w:lvl>
    <w:lvl w:ilvl="6" w:tplc="9E86EE48">
      <w:numFmt w:val="bullet"/>
      <w:lvlText w:val="•"/>
      <w:lvlJc w:val="left"/>
      <w:pPr>
        <w:ind w:left="1418" w:hanging="100"/>
      </w:pPr>
      <w:rPr>
        <w:rFonts w:hint="default"/>
      </w:rPr>
    </w:lvl>
    <w:lvl w:ilvl="7" w:tplc="D50838EA">
      <w:numFmt w:val="bullet"/>
      <w:lvlText w:val="•"/>
      <w:lvlJc w:val="left"/>
      <w:pPr>
        <w:ind w:left="1627" w:hanging="100"/>
      </w:pPr>
      <w:rPr>
        <w:rFonts w:hint="default"/>
      </w:rPr>
    </w:lvl>
    <w:lvl w:ilvl="8" w:tplc="D45ED186">
      <w:numFmt w:val="bullet"/>
      <w:lvlText w:val="•"/>
      <w:lvlJc w:val="left"/>
      <w:pPr>
        <w:ind w:left="1837" w:hanging="100"/>
      </w:pPr>
      <w:rPr>
        <w:rFonts w:hint="default"/>
      </w:rPr>
    </w:lvl>
  </w:abstractNum>
  <w:abstractNum w:abstractNumId="1187" w15:restartNumberingAfterBreak="0">
    <w:nsid w:val="4A7F3045"/>
    <w:multiLevelType w:val="hybridMultilevel"/>
    <w:tmpl w:val="F5E29AF6"/>
    <w:lvl w:ilvl="0" w:tplc="4134C49E">
      <w:numFmt w:val="bullet"/>
      <w:lvlText w:val="–"/>
      <w:lvlJc w:val="left"/>
      <w:pPr>
        <w:ind w:left="163" w:hanging="105"/>
      </w:pPr>
      <w:rPr>
        <w:rFonts w:ascii="Times New Roman" w:eastAsia="Times New Roman" w:hAnsi="Times New Roman" w:cs="Times New Roman" w:hint="default"/>
        <w:color w:val="231F20"/>
        <w:spacing w:val="-5"/>
        <w:w w:val="100"/>
        <w:sz w:val="14"/>
        <w:szCs w:val="14"/>
      </w:rPr>
    </w:lvl>
    <w:lvl w:ilvl="1" w:tplc="79FAFE1A">
      <w:numFmt w:val="bullet"/>
      <w:lvlText w:val="•"/>
      <w:lvlJc w:val="left"/>
      <w:pPr>
        <w:ind w:left="426" w:hanging="105"/>
      </w:pPr>
      <w:rPr>
        <w:rFonts w:hint="default"/>
      </w:rPr>
    </w:lvl>
    <w:lvl w:ilvl="2" w:tplc="DDAE12F0">
      <w:numFmt w:val="bullet"/>
      <w:lvlText w:val="•"/>
      <w:lvlJc w:val="left"/>
      <w:pPr>
        <w:ind w:left="692" w:hanging="105"/>
      </w:pPr>
      <w:rPr>
        <w:rFonts w:hint="default"/>
      </w:rPr>
    </w:lvl>
    <w:lvl w:ilvl="3" w:tplc="D47082F0">
      <w:numFmt w:val="bullet"/>
      <w:lvlText w:val="•"/>
      <w:lvlJc w:val="left"/>
      <w:pPr>
        <w:ind w:left="959" w:hanging="105"/>
      </w:pPr>
      <w:rPr>
        <w:rFonts w:hint="default"/>
      </w:rPr>
    </w:lvl>
    <w:lvl w:ilvl="4" w:tplc="B7302A98">
      <w:numFmt w:val="bullet"/>
      <w:lvlText w:val="•"/>
      <w:lvlJc w:val="left"/>
      <w:pPr>
        <w:ind w:left="1225" w:hanging="105"/>
      </w:pPr>
      <w:rPr>
        <w:rFonts w:hint="default"/>
      </w:rPr>
    </w:lvl>
    <w:lvl w:ilvl="5" w:tplc="8B18BB66">
      <w:numFmt w:val="bullet"/>
      <w:lvlText w:val="•"/>
      <w:lvlJc w:val="left"/>
      <w:pPr>
        <w:ind w:left="1492" w:hanging="105"/>
      </w:pPr>
      <w:rPr>
        <w:rFonts w:hint="default"/>
      </w:rPr>
    </w:lvl>
    <w:lvl w:ilvl="6" w:tplc="CBB09436">
      <w:numFmt w:val="bullet"/>
      <w:lvlText w:val="•"/>
      <w:lvlJc w:val="left"/>
      <w:pPr>
        <w:ind w:left="1758" w:hanging="105"/>
      </w:pPr>
      <w:rPr>
        <w:rFonts w:hint="default"/>
      </w:rPr>
    </w:lvl>
    <w:lvl w:ilvl="7" w:tplc="5112889E">
      <w:numFmt w:val="bullet"/>
      <w:lvlText w:val="•"/>
      <w:lvlJc w:val="left"/>
      <w:pPr>
        <w:ind w:left="2024" w:hanging="105"/>
      </w:pPr>
      <w:rPr>
        <w:rFonts w:hint="default"/>
      </w:rPr>
    </w:lvl>
    <w:lvl w:ilvl="8" w:tplc="B49AE7E4">
      <w:numFmt w:val="bullet"/>
      <w:lvlText w:val="•"/>
      <w:lvlJc w:val="left"/>
      <w:pPr>
        <w:ind w:left="2291" w:hanging="105"/>
      </w:pPr>
      <w:rPr>
        <w:rFonts w:hint="default"/>
      </w:rPr>
    </w:lvl>
  </w:abstractNum>
  <w:abstractNum w:abstractNumId="1188" w15:restartNumberingAfterBreak="0">
    <w:nsid w:val="4A87744E"/>
    <w:multiLevelType w:val="hybridMultilevel"/>
    <w:tmpl w:val="4F46B094"/>
    <w:lvl w:ilvl="0" w:tplc="A964CD88">
      <w:numFmt w:val="bullet"/>
      <w:lvlText w:val=""/>
      <w:lvlJc w:val="left"/>
      <w:pPr>
        <w:ind w:left="157" w:hanging="100"/>
      </w:pPr>
      <w:rPr>
        <w:rFonts w:ascii="Symbol" w:eastAsia="Symbol" w:hAnsi="Symbol" w:cs="Symbol" w:hint="default"/>
        <w:color w:val="231F20"/>
        <w:w w:val="100"/>
        <w:sz w:val="14"/>
        <w:szCs w:val="14"/>
      </w:rPr>
    </w:lvl>
    <w:lvl w:ilvl="1" w:tplc="876A7D64">
      <w:numFmt w:val="bullet"/>
      <w:lvlText w:val="•"/>
      <w:lvlJc w:val="left"/>
      <w:pPr>
        <w:ind w:left="398" w:hanging="100"/>
      </w:pPr>
      <w:rPr>
        <w:rFonts w:hint="default"/>
      </w:rPr>
    </w:lvl>
    <w:lvl w:ilvl="2" w:tplc="00A64BEE">
      <w:numFmt w:val="bullet"/>
      <w:lvlText w:val="•"/>
      <w:lvlJc w:val="left"/>
      <w:pPr>
        <w:ind w:left="636" w:hanging="100"/>
      </w:pPr>
      <w:rPr>
        <w:rFonts w:hint="default"/>
      </w:rPr>
    </w:lvl>
    <w:lvl w:ilvl="3" w:tplc="48DEFA2E">
      <w:numFmt w:val="bullet"/>
      <w:lvlText w:val="•"/>
      <w:lvlJc w:val="left"/>
      <w:pPr>
        <w:ind w:left="874" w:hanging="100"/>
      </w:pPr>
      <w:rPr>
        <w:rFonts w:hint="default"/>
      </w:rPr>
    </w:lvl>
    <w:lvl w:ilvl="4" w:tplc="4BF0AE36">
      <w:numFmt w:val="bullet"/>
      <w:lvlText w:val="•"/>
      <w:lvlJc w:val="left"/>
      <w:pPr>
        <w:ind w:left="1112" w:hanging="100"/>
      </w:pPr>
      <w:rPr>
        <w:rFonts w:hint="default"/>
      </w:rPr>
    </w:lvl>
    <w:lvl w:ilvl="5" w:tplc="D33AF7B4">
      <w:numFmt w:val="bullet"/>
      <w:lvlText w:val="•"/>
      <w:lvlJc w:val="left"/>
      <w:pPr>
        <w:ind w:left="1350" w:hanging="100"/>
      </w:pPr>
      <w:rPr>
        <w:rFonts w:hint="default"/>
      </w:rPr>
    </w:lvl>
    <w:lvl w:ilvl="6" w:tplc="7CFAF80A">
      <w:numFmt w:val="bullet"/>
      <w:lvlText w:val="•"/>
      <w:lvlJc w:val="left"/>
      <w:pPr>
        <w:ind w:left="1588" w:hanging="100"/>
      </w:pPr>
      <w:rPr>
        <w:rFonts w:hint="default"/>
      </w:rPr>
    </w:lvl>
    <w:lvl w:ilvl="7" w:tplc="4CC20646">
      <w:numFmt w:val="bullet"/>
      <w:lvlText w:val="•"/>
      <w:lvlJc w:val="left"/>
      <w:pPr>
        <w:ind w:left="1826" w:hanging="100"/>
      </w:pPr>
      <w:rPr>
        <w:rFonts w:hint="default"/>
      </w:rPr>
    </w:lvl>
    <w:lvl w:ilvl="8" w:tplc="099E74B2">
      <w:numFmt w:val="bullet"/>
      <w:lvlText w:val="•"/>
      <w:lvlJc w:val="left"/>
      <w:pPr>
        <w:ind w:left="2064" w:hanging="100"/>
      </w:pPr>
      <w:rPr>
        <w:rFonts w:hint="default"/>
      </w:rPr>
    </w:lvl>
  </w:abstractNum>
  <w:abstractNum w:abstractNumId="1189" w15:restartNumberingAfterBreak="0">
    <w:nsid w:val="4AA56B55"/>
    <w:multiLevelType w:val="hybridMultilevel"/>
    <w:tmpl w:val="AEFA4A70"/>
    <w:lvl w:ilvl="0" w:tplc="1978655E">
      <w:numFmt w:val="bullet"/>
      <w:lvlText w:val=""/>
      <w:lvlJc w:val="left"/>
      <w:pPr>
        <w:ind w:left="156" w:hanging="100"/>
      </w:pPr>
      <w:rPr>
        <w:rFonts w:ascii="Symbol" w:eastAsia="Symbol" w:hAnsi="Symbol" w:cs="Symbol" w:hint="default"/>
        <w:color w:val="231F20"/>
        <w:w w:val="100"/>
        <w:sz w:val="14"/>
        <w:szCs w:val="14"/>
      </w:rPr>
    </w:lvl>
    <w:lvl w:ilvl="1" w:tplc="46441EA8">
      <w:numFmt w:val="bullet"/>
      <w:lvlText w:val="•"/>
      <w:lvlJc w:val="left"/>
      <w:pPr>
        <w:ind w:left="301" w:hanging="100"/>
      </w:pPr>
      <w:rPr>
        <w:rFonts w:hint="default"/>
      </w:rPr>
    </w:lvl>
    <w:lvl w:ilvl="2" w:tplc="7CDC693C">
      <w:numFmt w:val="bullet"/>
      <w:lvlText w:val="•"/>
      <w:lvlJc w:val="left"/>
      <w:pPr>
        <w:ind w:left="443" w:hanging="100"/>
      </w:pPr>
      <w:rPr>
        <w:rFonts w:hint="default"/>
      </w:rPr>
    </w:lvl>
    <w:lvl w:ilvl="3" w:tplc="C14AA942">
      <w:numFmt w:val="bullet"/>
      <w:lvlText w:val="•"/>
      <w:lvlJc w:val="left"/>
      <w:pPr>
        <w:ind w:left="585" w:hanging="100"/>
      </w:pPr>
      <w:rPr>
        <w:rFonts w:hint="default"/>
      </w:rPr>
    </w:lvl>
    <w:lvl w:ilvl="4" w:tplc="BD9A35CE">
      <w:numFmt w:val="bullet"/>
      <w:lvlText w:val="•"/>
      <w:lvlJc w:val="left"/>
      <w:pPr>
        <w:ind w:left="726" w:hanging="100"/>
      </w:pPr>
      <w:rPr>
        <w:rFonts w:hint="default"/>
      </w:rPr>
    </w:lvl>
    <w:lvl w:ilvl="5" w:tplc="A9FA78E6">
      <w:numFmt w:val="bullet"/>
      <w:lvlText w:val="•"/>
      <w:lvlJc w:val="left"/>
      <w:pPr>
        <w:ind w:left="868" w:hanging="100"/>
      </w:pPr>
      <w:rPr>
        <w:rFonts w:hint="default"/>
      </w:rPr>
    </w:lvl>
    <w:lvl w:ilvl="6" w:tplc="76BA4D04">
      <w:numFmt w:val="bullet"/>
      <w:lvlText w:val="•"/>
      <w:lvlJc w:val="left"/>
      <w:pPr>
        <w:ind w:left="1010" w:hanging="100"/>
      </w:pPr>
      <w:rPr>
        <w:rFonts w:hint="default"/>
      </w:rPr>
    </w:lvl>
    <w:lvl w:ilvl="7" w:tplc="288E3CFC">
      <w:numFmt w:val="bullet"/>
      <w:lvlText w:val="•"/>
      <w:lvlJc w:val="left"/>
      <w:pPr>
        <w:ind w:left="1151" w:hanging="100"/>
      </w:pPr>
      <w:rPr>
        <w:rFonts w:hint="default"/>
      </w:rPr>
    </w:lvl>
    <w:lvl w:ilvl="8" w:tplc="FC6087B2">
      <w:numFmt w:val="bullet"/>
      <w:lvlText w:val="•"/>
      <w:lvlJc w:val="left"/>
      <w:pPr>
        <w:ind w:left="1293" w:hanging="100"/>
      </w:pPr>
      <w:rPr>
        <w:rFonts w:hint="default"/>
      </w:rPr>
    </w:lvl>
  </w:abstractNum>
  <w:abstractNum w:abstractNumId="1190" w15:restartNumberingAfterBreak="0">
    <w:nsid w:val="4AC352C7"/>
    <w:multiLevelType w:val="hybridMultilevel"/>
    <w:tmpl w:val="D6900834"/>
    <w:lvl w:ilvl="0" w:tplc="F4D64174">
      <w:numFmt w:val="bullet"/>
      <w:lvlText w:val=""/>
      <w:lvlJc w:val="left"/>
      <w:pPr>
        <w:ind w:left="157" w:hanging="100"/>
      </w:pPr>
      <w:rPr>
        <w:rFonts w:ascii="Symbol" w:eastAsia="Symbol" w:hAnsi="Symbol" w:cs="Symbol" w:hint="default"/>
        <w:color w:val="231F20"/>
        <w:w w:val="100"/>
        <w:sz w:val="14"/>
        <w:szCs w:val="14"/>
      </w:rPr>
    </w:lvl>
    <w:lvl w:ilvl="1" w:tplc="87F2CBB0">
      <w:numFmt w:val="bullet"/>
      <w:lvlText w:val="•"/>
      <w:lvlJc w:val="left"/>
      <w:pPr>
        <w:ind w:left="369" w:hanging="100"/>
      </w:pPr>
      <w:rPr>
        <w:rFonts w:hint="default"/>
      </w:rPr>
    </w:lvl>
    <w:lvl w:ilvl="2" w:tplc="AC3AD052">
      <w:numFmt w:val="bullet"/>
      <w:lvlText w:val="•"/>
      <w:lvlJc w:val="left"/>
      <w:pPr>
        <w:ind w:left="579" w:hanging="100"/>
      </w:pPr>
      <w:rPr>
        <w:rFonts w:hint="default"/>
      </w:rPr>
    </w:lvl>
    <w:lvl w:ilvl="3" w:tplc="73982CFC">
      <w:numFmt w:val="bullet"/>
      <w:lvlText w:val="•"/>
      <w:lvlJc w:val="left"/>
      <w:pPr>
        <w:ind w:left="789" w:hanging="100"/>
      </w:pPr>
      <w:rPr>
        <w:rFonts w:hint="default"/>
      </w:rPr>
    </w:lvl>
    <w:lvl w:ilvl="4" w:tplc="4A80A056">
      <w:numFmt w:val="bullet"/>
      <w:lvlText w:val="•"/>
      <w:lvlJc w:val="left"/>
      <w:pPr>
        <w:ind w:left="998" w:hanging="100"/>
      </w:pPr>
      <w:rPr>
        <w:rFonts w:hint="default"/>
      </w:rPr>
    </w:lvl>
    <w:lvl w:ilvl="5" w:tplc="9DC4E6EA">
      <w:numFmt w:val="bullet"/>
      <w:lvlText w:val="•"/>
      <w:lvlJc w:val="left"/>
      <w:pPr>
        <w:ind w:left="1208" w:hanging="100"/>
      </w:pPr>
      <w:rPr>
        <w:rFonts w:hint="default"/>
      </w:rPr>
    </w:lvl>
    <w:lvl w:ilvl="6" w:tplc="4AEA5DD6">
      <w:numFmt w:val="bullet"/>
      <w:lvlText w:val="•"/>
      <w:lvlJc w:val="left"/>
      <w:pPr>
        <w:ind w:left="1418" w:hanging="100"/>
      </w:pPr>
      <w:rPr>
        <w:rFonts w:hint="default"/>
      </w:rPr>
    </w:lvl>
    <w:lvl w:ilvl="7" w:tplc="2F0A10F0">
      <w:numFmt w:val="bullet"/>
      <w:lvlText w:val="•"/>
      <w:lvlJc w:val="left"/>
      <w:pPr>
        <w:ind w:left="1627" w:hanging="100"/>
      </w:pPr>
      <w:rPr>
        <w:rFonts w:hint="default"/>
      </w:rPr>
    </w:lvl>
    <w:lvl w:ilvl="8" w:tplc="1B5624D0">
      <w:numFmt w:val="bullet"/>
      <w:lvlText w:val="•"/>
      <w:lvlJc w:val="left"/>
      <w:pPr>
        <w:ind w:left="1837" w:hanging="100"/>
      </w:pPr>
      <w:rPr>
        <w:rFonts w:hint="default"/>
      </w:rPr>
    </w:lvl>
  </w:abstractNum>
  <w:abstractNum w:abstractNumId="1191" w15:restartNumberingAfterBreak="0">
    <w:nsid w:val="4AD92A63"/>
    <w:multiLevelType w:val="hybridMultilevel"/>
    <w:tmpl w:val="886C0664"/>
    <w:lvl w:ilvl="0" w:tplc="A366E8FA">
      <w:numFmt w:val="bullet"/>
      <w:lvlText w:val=""/>
      <w:lvlJc w:val="left"/>
      <w:pPr>
        <w:ind w:left="157" w:hanging="100"/>
      </w:pPr>
      <w:rPr>
        <w:rFonts w:ascii="Symbol" w:eastAsia="Symbol" w:hAnsi="Symbol" w:cs="Symbol" w:hint="default"/>
        <w:color w:val="231F20"/>
        <w:w w:val="100"/>
        <w:sz w:val="14"/>
        <w:szCs w:val="14"/>
      </w:rPr>
    </w:lvl>
    <w:lvl w:ilvl="1" w:tplc="5D76FACA">
      <w:numFmt w:val="bullet"/>
      <w:lvlText w:val="•"/>
      <w:lvlJc w:val="left"/>
      <w:pPr>
        <w:ind w:left="426" w:hanging="100"/>
      </w:pPr>
      <w:rPr>
        <w:rFonts w:hint="default"/>
      </w:rPr>
    </w:lvl>
    <w:lvl w:ilvl="2" w:tplc="DAC2FEBE">
      <w:numFmt w:val="bullet"/>
      <w:lvlText w:val="•"/>
      <w:lvlJc w:val="left"/>
      <w:pPr>
        <w:ind w:left="692" w:hanging="100"/>
      </w:pPr>
      <w:rPr>
        <w:rFonts w:hint="default"/>
      </w:rPr>
    </w:lvl>
    <w:lvl w:ilvl="3" w:tplc="48E60110">
      <w:numFmt w:val="bullet"/>
      <w:lvlText w:val="•"/>
      <w:lvlJc w:val="left"/>
      <w:pPr>
        <w:ind w:left="959" w:hanging="100"/>
      </w:pPr>
      <w:rPr>
        <w:rFonts w:hint="default"/>
      </w:rPr>
    </w:lvl>
    <w:lvl w:ilvl="4" w:tplc="356E4918">
      <w:numFmt w:val="bullet"/>
      <w:lvlText w:val="•"/>
      <w:lvlJc w:val="left"/>
      <w:pPr>
        <w:ind w:left="1225" w:hanging="100"/>
      </w:pPr>
      <w:rPr>
        <w:rFonts w:hint="default"/>
      </w:rPr>
    </w:lvl>
    <w:lvl w:ilvl="5" w:tplc="B328903A">
      <w:numFmt w:val="bullet"/>
      <w:lvlText w:val="•"/>
      <w:lvlJc w:val="left"/>
      <w:pPr>
        <w:ind w:left="1492" w:hanging="100"/>
      </w:pPr>
      <w:rPr>
        <w:rFonts w:hint="default"/>
      </w:rPr>
    </w:lvl>
    <w:lvl w:ilvl="6" w:tplc="6366A46E">
      <w:numFmt w:val="bullet"/>
      <w:lvlText w:val="•"/>
      <w:lvlJc w:val="left"/>
      <w:pPr>
        <w:ind w:left="1758" w:hanging="100"/>
      </w:pPr>
      <w:rPr>
        <w:rFonts w:hint="default"/>
      </w:rPr>
    </w:lvl>
    <w:lvl w:ilvl="7" w:tplc="BFD6E874">
      <w:numFmt w:val="bullet"/>
      <w:lvlText w:val="•"/>
      <w:lvlJc w:val="left"/>
      <w:pPr>
        <w:ind w:left="2024" w:hanging="100"/>
      </w:pPr>
      <w:rPr>
        <w:rFonts w:hint="default"/>
      </w:rPr>
    </w:lvl>
    <w:lvl w:ilvl="8" w:tplc="677A3F76">
      <w:numFmt w:val="bullet"/>
      <w:lvlText w:val="•"/>
      <w:lvlJc w:val="left"/>
      <w:pPr>
        <w:ind w:left="2291" w:hanging="100"/>
      </w:pPr>
      <w:rPr>
        <w:rFonts w:hint="default"/>
      </w:rPr>
    </w:lvl>
  </w:abstractNum>
  <w:abstractNum w:abstractNumId="1192" w15:restartNumberingAfterBreak="0">
    <w:nsid w:val="4AEB66B8"/>
    <w:multiLevelType w:val="hybridMultilevel"/>
    <w:tmpl w:val="E3B2D7EE"/>
    <w:lvl w:ilvl="0" w:tplc="87BE2C2C">
      <w:numFmt w:val="bullet"/>
      <w:lvlText w:val=""/>
      <w:lvlJc w:val="left"/>
      <w:pPr>
        <w:ind w:left="156" w:hanging="100"/>
      </w:pPr>
      <w:rPr>
        <w:rFonts w:ascii="Symbol" w:eastAsia="Symbol" w:hAnsi="Symbol" w:cs="Symbol" w:hint="default"/>
        <w:color w:val="231F20"/>
        <w:w w:val="100"/>
        <w:sz w:val="14"/>
        <w:szCs w:val="14"/>
      </w:rPr>
    </w:lvl>
    <w:lvl w:ilvl="1" w:tplc="F17CB020">
      <w:numFmt w:val="bullet"/>
      <w:lvlText w:val="•"/>
      <w:lvlJc w:val="left"/>
      <w:pPr>
        <w:ind w:left="398" w:hanging="100"/>
      </w:pPr>
      <w:rPr>
        <w:rFonts w:hint="default"/>
      </w:rPr>
    </w:lvl>
    <w:lvl w:ilvl="2" w:tplc="69BCBF6A">
      <w:numFmt w:val="bullet"/>
      <w:lvlText w:val="•"/>
      <w:lvlJc w:val="left"/>
      <w:pPr>
        <w:ind w:left="636" w:hanging="100"/>
      </w:pPr>
      <w:rPr>
        <w:rFonts w:hint="default"/>
      </w:rPr>
    </w:lvl>
    <w:lvl w:ilvl="3" w:tplc="CF1E6C2A">
      <w:numFmt w:val="bullet"/>
      <w:lvlText w:val="•"/>
      <w:lvlJc w:val="left"/>
      <w:pPr>
        <w:ind w:left="874" w:hanging="100"/>
      </w:pPr>
      <w:rPr>
        <w:rFonts w:hint="default"/>
      </w:rPr>
    </w:lvl>
    <w:lvl w:ilvl="4" w:tplc="0838A072">
      <w:numFmt w:val="bullet"/>
      <w:lvlText w:val="•"/>
      <w:lvlJc w:val="left"/>
      <w:pPr>
        <w:ind w:left="1112" w:hanging="100"/>
      </w:pPr>
      <w:rPr>
        <w:rFonts w:hint="default"/>
      </w:rPr>
    </w:lvl>
    <w:lvl w:ilvl="5" w:tplc="A146A042">
      <w:numFmt w:val="bullet"/>
      <w:lvlText w:val="•"/>
      <w:lvlJc w:val="left"/>
      <w:pPr>
        <w:ind w:left="1350" w:hanging="100"/>
      </w:pPr>
      <w:rPr>
        <w:rFonts w:hint="default"/>
      </w:rPr>
    </w:lvl>
    <w:lvl w:ilvl="6" w:tplc="AF1E9FE8">
      <w:numFmt w:val="bullet"/>
      <w:lvlText w:val="•"/>
      <w:lvlJc w:val="left"/>
      <w:pPr>
        <w:ind w:left="1588" w:hanging="100"/>
      </w:pPr>
      <w:rPr>
        <w:rFonts w:hint="default"/>
      </w:rPr>
    </w:lvl>
    <w:lvl w:ilvl="7" w:tplc="1D3C046C">
      <w:numFmt w:val="bullet"/>
      <w:lvlText w:val="•"/>
      <w:lvlJc w:val="left"/>
      <w:pPr>
        <w:ind w:left="1826" w:hanging="100"/>
      </w:pPr>
      <w:rPr>
        <w:rFonts w:hint="default"/>
      </w:rPr>
    </w:lvl>
    <w:lvl w:ilvl="8" w:tplc="EDD6EA1E">
      <w:numFmt w:val="bullet"/>
      <w:lvlText w:val="•"/>
      <w:lvlJc w:val="left"/>
      <w:pPr>
        <w:ind w:left="2064" w:hanging="100"/>
      </w:pPr>
      <w:rPr>
        <w:rFonts w:hint="default"/>
      </w:rPr>
    </w:lvl>
  </w:abstractNum>
  <w:abstractNum w:abstractNumId="1193" w15:restartNumberingAfterBreak="0">
    <w:nsid w:val="4AF96A4F"/>
    <w:multiLevelType w:val="hybridMultilevel"/>
    <w:tmpl w:val="5A48D05A"/>
    <w:lvl w:ilvl="0" w:tplc="84F8C49A">
      <w:numFmt w:val="bullet"/>
      <w:lvlText w:val=""/>
      <w:lvlJc w:val="left"/>
      <w:pPr>
        <w:ind w:left="157" w:hanging="100"/>
      </w:pPr>
      <w:rPr>
        <w:rFonts w:ascii="Symbol" w:eastAsia="Symbol" w:hAnsi="Symbol" w:cs="Symbol" w:hint="default"/>
        <w:color w:val="231F20"/>
        <w:w w:val="100"/>
        <w:sz w:val="14"/>
        <w:szCs w:val="14"/>
      </w:rPr>
    </w:lvl>
    <w:lvl w:ilvl="1" w:tplc="C3620DD4">
      <w:numFmt w:val="bullet"/>
      <w:lvlText w:val="•"/>
      <w:lvlJc w:val="left"/>
      <w:pPr>
        <w:ind w:left="426" w:hanging="100"/>
      </w:pPr>
      <w:rPr>
        <w:rFonts w:hint="default"/>
      </w:rPr>
    </w:lvl>
    <w:lvl w:ilvl="2" w:tplc="CD62DFE4">
      <w:numFmt w:val="bullet"/>
      <w:lvlText w:val="•"/>
      <w:lvlJc w:val="left"/>
      <w:pPr>
        <w:ind w:left="692" w:hanging="100"/>
      </w:pPr>
      <w:rPr>
        <w:rFonts w:hint="default"/>
      </w:rPr>
    </w:lvl>
    <w:lvl w:ilvl="3" w:tplc="CA8E48D6">
      <w:numFmt w:val="bullet"/>
      <w:lvlText w:val="•"/>
      <w:lvlJc w:val="left"/>
      <w:pPr>
        <w:ind w:left="959" w:hanging="100"/>
      </w:pPr>
      <w:rPr>
        <w:rFonts w:hint="default"/>
      </w:rPr>
    </w:lvl>
    <w:lvl w:ilvl="4" w:tplc="AF000442">
      <w:numFmt w:val="bullet"/>
      <w:lvlText w:val="•"/>
      <w:lvlJc w:val="left"/>
      <w:pPr>
        <w:ind w:left="1225" w:hanging="100"/>
      </w:pPr>
      <w:rPr>
        <w:rFonts w:hint="default"/>
      </w:rPr>
    </w:lvl>
    <w:lvl w:ilvl="5" w:tplc="C49C4952">
      <w:numFmt w:val="bullet"/>
      <w:lvlText w:val="•"/>
      <w:lvlJc w:val="left"/>
      <w:pPr>
        <w:ind w:left="1492" w:hanging="100"/>
      </w:pPr>
      <w:rPr>
        <w:rFonts w:hint="default"/>
      </w:rPr>
    </w:lvl>
    <w:lvl w:ilvl="6" w:tplc="26F022C6">
      <w:numFmt w:val="bullet"/>
      <w:lvlText w:val="•"/>
      <w:lvlJc w:val="left"/>
      <w:pPr>
        <w:ind w:left="1758" w:hanging="100"/>
      </w:pPr>
      <w:rPr>
        <w:rFonts w:hint="default"/>
      </w:rPr>
    </w:lvl>
    <w:lvl w:ilvl="7" w:tplc="55E24012">
      <w:numFmt w:val="bullet"/>
      <w:lvlText w:val="•"/>
      <w:lvlJc w:val="left"/>
      <w:pPr>
        <w:ind w:left="2024" w:hanging="100"/>
      </w:pPr>
      <w:rPr>
        <w:rFonts w:hint="default"/>
      </w:rPr>
    </w:lvl>
    <w:lvl w:ilvl="8" w:tplc="6AA0EEDA">
      <w:numFmt w:val="bullet"/>
      <w:lvlText w:val="•"/>
      <w:lvlJc w:val="left"/>
      <w:pPr>
        <w:ind w:left="2291" w:hanging="100"/>
      </w:pPr>
      <w:rPr>
        <w:rFonts w:hint="default"/>
      </w:rPr>
    </w:lvl>
  </w:abstractNum>
  <w:abstractNum w:abstractNumId="1194" w15:restartNumberingAfterBreak="0">
    <w:nsid w:val="4AFE4411"/>
    <w:multiLevelType w:val="hybridMultilevel"/>
    <w:tmpl w:val="1C3C7ABC"/>
    <w:lvl w:ilvl="0" w:tplc="0082FCA4">
      <w:numFmt w:val="bullet"/>
      <w:lvlText w:val=""/>
      <w:lvlJc w:val="left"/>
      <w:pPr>
        <w:ind w:left="156" w:hanging="100"/>
      </w:pPr>
      <w:rPr>
        <w:rFonts w:ascii="Symbol" w:eastAsia="Symbol" w:hAnsi="Symbol" w:cs="Symbol" w:hint="default"/>
        <w:color w:val="231F20"/>
        <w:w w:val="100"/>
        <w:sz w:val="14"/>
        <w:szCs w:val="14"/>
      </w:rPr>
    </w:lvl>
    <w:lvl w:ilvl="1" w:tplc="B7469D94">
      <w:numFmt w:val="bullet"/>
      <w:lvlText w:val="•"/>
      <w:lvlJc w:val="left"/>
      <w:pPr>
        <w:ind w:left="454" w:hanging="100"/>
      </w:pPr>
      <w:rPr>
        <w:rFonts w:hint="default"/>
      </w:rPr>
    </w:lvl>
    <w:lvl w:ilvl="2" w:tplc="A94C5B3A">
      <w:numFmt w:val="bullet"/>
      <w:lvlText w:val="•"/>
      <w:lvlJc w:val="left"/>
      <w:pPr>
        <w:ind w:left="749" w:hanging="100"/>
      </w:pPr>
      <w:rPr>
        <w:rFonts w:hint="default"/>
      </w:rPr>
    </w:lvl>
    <w:lvl w:ilvl="3" w:tplc="361081F2">
      <w:numFmt w:val="bullet"/>
      <w:lvlText w:val="•"/>
      <w:lvlJc w:val="left"/>
      <w:pPr>
        <w:ind w:left="1044" w:hanging="100"/>
      </w:pPr>
      <w:rPr>
        <w:rFonts w:hint="default"/>
      </w:rPr>
    </w:lvl>
    <w:lvl w:ilvl="4" w:tplc="C48A75FE">
      <w:numFmt w:val="bullet"/>
      <w:lvlText w:val="•"/>
      <w:lvlJc w:val="left"/>
      <w:pPr>
        <w:ind w:left="1339" w:hanging="100"/>
      </w:pPr>
      <w:rPr>
        <w:rFonts w:hint="default"/>
      </w:rPr>
    </w:lvl>
    <w:lvl w:ilvl="5" w:tplc="1FA09658">
      <w:numFmt w:val="bullet"/>
      <w:lvlText w:val="•"/>
      <w:lvlJc w:val="left"/>
      <w:pPr>
        <w:ind w:left="1634" w:hanging="100"/>
      </w:pPr>
      <w:rPr>
        <w:rFonts w:hint="default"/>
      </w:rPr>
    </w:lvl>
    <w:lvl w:ilvl="6" w:tplc="38D234FC">
      <w:numFmt w:val="bullet"/>
      <w:lvlText w:val="•"/>
      <w:lvlJc w:val="left"/>
      <w:pPr>
        <w:ind w:left="1928" w:hanging="100"/>
      </w:pPr>
      <w:rPr>
        <w:rFonts w:hint="default"/>
      </w:rPr>
    </w:lvl>
    <w:lvl w:ilvl="7" w:tplc="1E48FF04">
      <w:numFmt w:val="bullet"/>
      <w:lvlText w:val="•"/>
      <w:lvlJc w:val="left"/>
      <w:pPr>
        <w:ind w:left="2223" w:hanging="100"/>
      </w:pPr>
      <w:rPr>
        <w:rFonts w:hint="default"/>
      </w:rPr>
    </w:lvl>
    <w:lvl w:ilvl="8" w:tplc="E7483C68">
      <w:numFmt w:val="bullet"/>
      <w:lvlText w:val="•"/>
      <w:lvlJc w:val="left"/>
      <w:pPr>
        <w:ind w:left="2518" w:hanging="100"/>
      </w:pPr>
      <w:rPr>
        <w:rFonts w:hint="default"/>
      </w:rPr>
    </w:lvl>
  </w:abstractNum>
  <w:abstractNum w:abstractNumId="1195" w15:restartNumberingAfterBreak="0">
    <w:nsid w:val="4B1828D5"/>
    <w:multiLevelType w:val="hybridMultilevel"/>
    <w:tmpl w:val="7DE2DF66"/>
    <w:lvl w:ilvl="0" w:tplc="D040B918">
      <w:numFmt w:val="bullet"/>
      <w:lvlText w:val=""/>
      <w:lvlJc w:val="left"/>
      <w:pPr>
        <w:ind w:left="156" w:hanging="100"/>
      </w:pPr>
      <w:rPr>
        <w:rFonts w:ascii="Symbol" w:eastAsia="Symbol" w:hAnsi="Symbol" w:cs="Symbol" w:hint="default"/>
        <w:color w:val="231F20"/>
        <w:w w:val="100"/>
        <w:sz w:val="14"/>
        <w:szCs w:val="14"/>
      </w:rPr>
    </w:lvl>
    <w:lvl w:ilvl="1" w:tplc="508C6924">
      <w:numFmt w:val="bullet"/>
      <w:lvlText w:val="•"/>
      <w:lvlJc w:val="left"/>
      <w:pPr>
        <w:ind w:left="426" w:hanging="100"/>
      </w:pPr>
      <w:rPr>
        <w:rFonts w:hint="default"/>
      </w:rPr>
    </w:lvl>
    <w:lvl w:ilvl="2" w:tplc="2684E084">
      <w:numFmt w:val="bullet"/>
      <w:lvlText w:val="•"/>
      <w:lvlJc w:val="left"/>
      <w:pPr>
        <w:ind w:left="692" w:hanging="100"/>
      </w:pPr>
      <w:rPr>
        <w:rFonts w:hint="default"/>
      </w:rPr>
    </w:lvl>
    <w:lvl w:ilvl="3" w:tplc="E19A8EF8">
      <w:numFmt w:val="bullet"/>
      <w:lvlText w:val="•"/>
      <w:lvlJc w:val="left"/>
      <w:pPr>
        <w:ind w:left="959" w:hanging="100"/>
      </w:pPr>
      <w:rPr>
        <w:rFonts w:hint="default"/>
      </w:rPr>
    </w:lvl>
    <w:lvl w:ilvl="4" w:tplc="5F6C0574">
      <w:numFmt w:val="bullet"/>
      <w:lvlText w:val="•"/>
      <w:lvlJc w:val="left"/>
      <w:pPr>
        <w:ind w:left="1225" w:hanging="100"/>
      </w:pPr>
      <w:rPr>
        <w:rFonts w:hint="default"/>
      </w:rPr>
    </w:lvl>
    <w:lvl w:ilvl="5" w:tplc="6B4E0B02">
      <w:numFmt w:val="bullet"/>
      <w:lvlText w:val="•"/>
      <w:lvlJc w:val="left"/>
      <w:pPr>
        <w:ind w:left="1492" w:hanging="100"/>
      </w:pPr>
      <w:rPr>
        <w:rFonts w:hint="default"/>
      </w:rPr>
    </w:lvl>
    <w:lvl w:ilvl="6" w:tplc="B28A00D2">
      <w:numFmt w:val="bullet"/>
      <w:lvlText w:val="•"/>
      <w:lvlJc w:val="left"/>
      <w:pPr>
        <w:ind w:left="1758" w:hanging="100"/>
      </w:pPr>
      <w:rPr>
        <w:rFonts w:hint="default"/>
      </w:rPr>
    </w:lvl>
    <w:lvl w:ilvl="7" w:tplc="B47A332C">
      <w:numFmt w:val="bullet"/>
      <w:lvlText w:val="•"/>
      <w:lvlJc w:val="left"/>
      <w:pPr>
        <w:ind w:left="2024" w:hanging="100"/>
      </w:pPr>
      <w:rPr>
        <w:rFonts w:hint="default"/>
      </w:rPr>
    </w:lvl>
    <w:lvl w:ilvl="8" w:tplc="84B819C4">
      <w:numFmt w:val="bullet"/>
      <w:lvlText w:val="•"/>
      <w:lvlJc w:val="left"/>
      <w:pPr>
        <w:ind w:left="2291" w:hanging="100"/>
      </w:pPr>
      <w:rPr>
        <w:rFonts w:hint="default"/>
      </w:rPr>
    </w:lvl>
  </w:abstractNum>
  <w:abstractNum w:abstractNumId="1196" w15:restartNumberingAfterBreak="0">
    <w:nsid w:val="4B1C2F1E"/>
    <w:multiLevelType w:val="hybridMultilevel"/>
    <w:tmpl w:val="8626DCF4"/>
    <w:lvl w:ilvl="0" w:tplc="373C6CBA">
      <w:numFmt w:val="bullet"/>
      <w:lvlText w:val=""/>
      <w:lvlJc w:val="left"/>
      <w:pPr>
        <w:ind w:left="156" w:hanging="100"/>
      </w:pPr>
      <w:rPr>
        <w:rFonts w:ascii="Symbol" w:eastAsia="Symbol" w:hAnsi="Symbol" w:cs="Symbol" w:hint="default"/>
        <w:color w:val="231F20"/>
        <w:w w:val="100"/>
        <w:sz w:val="14"/>
        <w:szCs w:val="14"/>
      </w:rPr>
    </w:lvl>
    <w:lvl w:ilvl="1" w:tplc="7D385850">
      <w:numFmt w:val="bullet"/>
      <w:lvlText w:val="•"/>
      <w:lvlJc w:val="left"/>
      <w:pPr>
        <w:ind w:left="426" w:hanging="100"/>
      </w:pPr>
      <w:rPr>
        <w:rFonts w:hint="default"/>
      </w:rPr>
    </w:lvl>
    <w:lvl w:ilvl="2" w:tplc="5B8EC912">
      <w:numFmt w:val="bullet"/>
      <w:lvlText w:val="•"/>
      <w:lvlJc w:val="left"/>
      <w:pPr>
        <w:ind w:left="692" w:hanging="100"/>
      </w:pPr>
      <w:rPr>
        <w:rFonts w:hint="default"/>
      </w:rPr>
    </w:lvl>
    <w:lvl w:ilvl="3" w:tplc="2C202346">
      <w:numFmt w:val="bullet"/>
      <w:lvlText w:val="•"/>
      <w:lvlJc w:val="left"/>
      <w:pPr>
        <w:ind w:left="959" w:hanging="100"/>
      </w:pPr>
      <w:rPr>
        <w:rFonts w:hint="default"/>
      </w:rPr>
    </w:lvl>
    <w:lvl w:ilvl="4" w:tplc="87E27136">
      <w:numFmt w:val="bullet"/>
      <w:lvlText w:val="•"/>
      <w:lvlJc w:val="left"/>
      <w:pPr>
        <w:ind w:left="1225" w:hanging="100"/>
      </w:pPr>
      <w:rPr>
        <w:rFonts w:hint="default"/>
      </w:rPr>
    </w:lvl>
    <w:lvl w:ilvl="5" w:tplc="AD76090C">
      <w:numFmt w:val="bullet"/>
      <w:lvlText w:val="•"/>
      <w:lvlJc w:val="left"/>
      <w:pPr>
        <w:ind w:left="1492" w:hanging="100"/>
      </w:pPr>
      <w:rPr>
        <w:rFonts w:hint="default"/>
      </w:rPr>
    </w:lvl>
    <w:lvl w:ilvl="6" w:tplc="70501368">
      <w:numFmt w:val="bullet"/>
      <w:lvlText w:val="•"/>
      <w:lvlJc w:val="left"/>
      <w:pPr>
        <w:ind w:left="1758" w:hanging="100"/>
      </w:pPr>
      <w:rPr>
        <w:rFonts w:hint="default"/>
      </w:rPr>
    </w:lvl>
    <w:lvl w:ilvl="7" w:tplc="E684D36A">
      <w:numFmt w:val="bullet"/>
      <w:lvlText w:val="•"/>
      <w:lvlJc w:val="left"/>
      <w:pPr>
        <w:ind w:left="2024" w:hanging="100"/>
      </w:pPr>
      <w:rPr>
        <w:rFonts w:hint="default"/>
      </w:rPr>
    </w:lvl>
    <w:lvl w:ilvl="8" w:tplc="0E960770">
      <w:numFmt w:val="bullet"/>
      <w:lvlText w:val="•"/>
      <w:lvlJc w:val="left"/>
      <w:pPr>
        <w:ind w:left="2291" w:hanging="100"/>
      </w:pPr>
      <w:rPr>
        <w:rFonts w:hint="default"/>
      </w:rPr>
    </w:lvl>
  </w:abstractNum>
  <w:abstractNum w:abstractNumId="1197" w15:restartNumberingAfterBreak="0">
    <w:nsid w:val="4B1F3379"/>
    <w:multiLevelType w:val="hybridMultilevel"/>
    <w:tmpl w:val="BA2E0E28"/>
    <w:lvl w:ilvl="0" w:tplc="6BC844A6">
      <w:numFmt w:val="bullet"/>
      <w:lvlText w:val=""/>
      <w:lvlJc w:val="left"/>
      <w:pPr>
        <w:ind w:left="156" w:hanging="100"/>
      </w:pPr>
      <w:rPr>
        <w:rFonts w:ascii="Symbol" w:eastAsia="Symbol" w:hAnsi="Symbol" w:cs="Symbol" w:hint="default"/>
        <w:color w:val="231F20"/>
        <w:w w:val="100"/>
        <w:sz w:val="14"/>
        <w:szCs w:val="14"/>
      </w:rPr>
    </w:lvl>
    <w:lvl w:ilvl="1" w:tplc="E5A0E05E">
      <w:numFmt w:val="bullet"/>
      <w:lvlText w:val="•"/>
      <w:lvlJc w:val="left"/>
      <w:pPr>
        <w:ind w:left="398" w:hanging="100"/>
      </w:pPr>
      <w:rPr>
        <w:rFonts w:hint="default"/>
      </w:rPr>
    </w:lvl>
    <w:lvl w:ilvl="2" w:tplc="20188E3A">
      <w:numFmt w:val="bullet"/>
      <w:lvlText w:val="•"/>
      <w:lvlJc w:val="left"/>
      <w:pPr>
        <w:ind w:left="636" w:hanging="100"/>
      </w:pPr>
      <w:rPr>
        <w:rFonts w:hint="default"/>
      </w:rPr>
    </w:lvl>
    <w:lvl w:ilvl="3" w:tplc="AB0C8776">
      <w:numFmt w:val="bullet"/>
      <w:lvlText w:val="•"/>
      <w:lvlJc w:val="left"/>
      <w:pPr>
        <w:ind w:left="874" w:hanging="100"/>
      </w:pPr>
      <w:rPr>
        <w:rFonts w:hint="default"/>
      </w:rPr>
    </w:lvl>
    <w:lvl w:ilvl="4" w:tplc="48184642">
      <w:numFmt w:val="bullet"/>
      <w:lvlText w:val="•"/>
      <w:lvlJc w:val="left"/>
      <w:pPr>
        <w:ind w:left="1112" w:hanging="100"/>
      </w:pPr>
      <w:rPr>
        <w:rFonts w:hint="default"/>
      </w:rPr>
    </w:lvl>
    <w:lvl w:ilvl="5" w:tplc="E5F2111C">
      <w:numFmt w:val="bullet"/>
      <w:lvlText w:val="•"/>
      <w:lvlJc w:val="left"/>
      <w:pPr>
        <w:ind w:left="1350" w:hanging="100"/>
      </w:pPr>
      <w:rPr>
        <w:rFonts w:hint="default"/>
      </w:rPr>
    </w:lvl>
    <w:lvl w:ilvl="6" w:tplc="D70C833C">
      <w:numFmt w:val="bullet"/>
      <w:lvlText w:val="•"/>
      <w:lvlJc w:val="left"/>
      <w:pPr>
        <w:ind w:left="1588" w:hanging="100"/>
      </w:pPr>
      <w:rPr>
        <w:rFonts w:hint="default"/>
      </w:rPr>
    </w:lvl>
    <w:lvl w:ilvl="7" w:tplc="2490129C">
      <w:numFmt w:val="bullet"/>
      <w:lvlText w:val="•"/>
      <w:lvlJc w:val="left"/>
      <w:pPr>
        <w:ind w:left="1826" w:hanging="100"/>
      </w:pPr>
      <w:rPr>
        <w:rFonts w:hint="default"/>
      </w:rPr>
    </w:lvl>
    <w:lvl w:ilvl="8" w:tplc="55BC9D48">
      <w:numFmt w:val="bullet"/>
      <w:lvlText w:val="•"/>
      <w:lvlJc w:val="left"/>
      <w:pPr>
        <w:ind w:left="2064" w:hanging="100"/>
      </w:pPr>
      <w:rPr>
        <w:rFonts w:hint="default"/>
      </w:rPr>
    </w:lvl>
  </w:abstractNum>
  <w:abstractNum w:abstractNumId="1198" w15:restartNumberingAfterBreak="0">
    <w:nsid w:val="4B374E4A"/>
    <w:multiLevelType w:val="hybridMultilevel"/>
    <w:tmpl w:val="4B5ED414"/>
    <w:lvl w:ilvl="0" w:tplc="930E1F0C">
      <w:numFmt w:val="bullet"/>
      <w:lvlText w:val=""/>
      <w:lvlJc w:val="left"/>
      <w:pPr>
        <w:ind w:left="156" w:hanging="100"/>
      </w:pPr>
      <w:rPr>
        <w:rFonts w:ascii="Symbol" w:eastAsia="Symbol" w:hAnsi="Symbol" w:cs="Symbol" w:hint="default"/>
        <w:color w:val="231F20"/>
        <w:w w:val="100"/>
        <w:sz w:val="14"/>
        <w:szCs w:val="14"/>
      </w:rPr>
    </w:lvl>
    <w:lvl w:ilvl="1" w:tplc="8E8C0CBE">
      <w:numFmt w:val="bullet"/>
      <w:lvlText w:val="•"/>
      <w:lvlJc w:val="left"/>
      <w:pPr>
        <w:ind w:left="398" w:hanging="100"/>
      </w:pPr>
      <w:rPr>
        <w:rFonts w:hint="default"/>
      </w:rPr>
    </w:lvl>
    <w:lvl w:ilvl="2" w:tplc="1CEAA2DC">
      <w:numFmt w:val="bullet"/>
      <w:lvlText w:val="•"/>
      <w:lvlJc w:val="left"/>
      <w:pPr>
        <w:ind w:left="636" w:hanging="100"/>
      </w:pPr>
      <w:rPr>
        <w:rFonts w:hint="default"/>
      </w:rPr>
    </w:lvl>
    <w:lvl w:ilvl="3" w:tplc="5A48108A">
      <w:numFmt w:val="bullet"/>
      <w:lvlText w:val="•"/>
      <w:lvlJc w:val="left"/>
      <w:pPr>
        <w:ind w:left="874" w:hanging="100"/>
      </w:pPr>
      <w:rPr>
        <w:rFonts w:hint="default"/>
      </w:rPr>
    </w:lvl>
    <w:lvl w:ilvl="4" w:tplc="F6605BBC">
      <w:numFmt w:val="bullet"/>
      <w:lvlText w:val="•"/>
      <w:lvlJc w:val="left"/>
      <w:pPr>
        <w:ind w:left="1112" w:hanging="100"/>
      </w:pPr>
      <w:rPr>
        <w:rFonts w:hint="default"/>
      </w:rPr>
    </w:lvl>
    <w:lvl w:ilvl="5" w:tplc="CD0E45F8">
      <w:numFmt w:val="bullet"/>
      <w:lvlText w:val="•"/>
      <w:lvlJc w:val="left"/>
      <w:pPr>
        <w:ind w:left="1350" w:hanging="100"/>
      </w:pPr>
      <w:rPr>
        <w:rFonts w:hint="default"/>
      </w:rPr>
    </w:lvl>
    <w:lvl w:ilvl="6" w:tplc="C9E4D68A">
      <w:numFmt w:val="bullet"/>
      <w:lvlText w:val="•"/>
      <w:lvlJc w:val="left"/>
      <w:pPr>
        <w:ind w:left="1588" w:hanging="100"/>
      </w:pPr>
      <w:rPr>
        <w:rFonts w:hint="default"/>
      </w:rPr>
    </w:lvl>
    <w:lvl w:ilvl="7" w:tplc="0A2A68A8">
      <w:numFmt w:val="bullet"/>
      <w:lvlText w:val="•"/>
      <w:lvlJc w:val="left"/>
      <w:pPr>
        <w:ind w:left="1826" w:hanging="100"/>
      </w:pPr>
      <w:rPr>
        <w:rFonts w:hint="default"/>
      </w:rPr>
    </w:lvl>
    <w:lvl w:ilvl="8" w:tplc="95A6A1E6">
      <w:numFmt w:val="bullet"/>
      <w:lvlText w:val="•"/>
      <w:lvlJc w:val="left"/>
      <w:pPr>
        <w:ind w:left="2064" w:hanging="100"/>
      </w:pPr>
      <w:rPr>
        <w:rFonts w:hint="default"/>
      </w:rPr>
    </w:lvl>
  </w:abstractNum>
  <w:abstractNum w:abstractNumId="1199" w15:restartNumberingAfterBreak="0">
    <w:nsid w:val="4B437DF2"/>
    <w:multiLevelType w:val="hybridMultilevel"/>
    <w:tmpl w:val="2390A458"/>
    <w:lvl w:ilvl="0" w:tplc="68D63210">
      <w:numFmt w:val="bullet"/>
      <w:lvlText w:val=""/>
      <w:lvlJc w:val="left"/>
      <w:pPr>
        <w:ind w:left="156" w:hanging="100"/>
      </w:pPr>
      <w:rPr>
        <w:rFonts w:ascii="Symbol" w:eastAsia="Symbol" w:hAnsi="Symbol" w:cs="Symbol" w:hint="default"/>
        <w:color w:val="231F20"/>
        <w:w w:val="100"/>
        <w:sz w:val="14"/>
        <w:szCs w:val="14"/>
      </w:rPr>
    </w:lvl>
    <w:lvl w:ilvl="1" w:tplc="F098B6E2">
      <w:numFmt w:val="bullet"/>
      <w:lvlText w:val="•"/>
      <w:lvlJc w:val="left"/>
      <w:pPr>
        <w:ind w:left="273" w:hanging="100"/>
      </w:pPr>
      <w:rPr>
        <w:rFonts w:hint="default"/>
      </w:rPr>
    </w:lvl>
    <w:lvl w:ilvl="2" w:tplc="81483DD0">
      <w:numFmt w:val="bullet"/>
      <w:lvlText w:val="•"/>
      <w:lvlJc w:val="left"/>
      <w:pPr>
        <w:ind w:left="386" w:hanging="100"/>
      </w:pPr>
      <w:rPr>
        <w:rFonts w:hint="default"/>
      </w:rPr>
    </w:lvl>
    <w:lvl w:ilvl="3" w:tplc="E4201AB6">
      <w:numFmt w:val="bullet"/>
      <w:lvlText w:val="•"/>
      <w:lvlJc w:val="left"/>
      <w:pPr>
        <w:ind w:left="500" w:hanging="100"/>
      </w:pPr>
      <w:rPr>
        <w:rFonts w:hint="default"/>
      </w:rPr>
    </w:lvl>
    <w:lvl w:ilvl="4" w:tplc="230CE0B0">
      <w:numFmt w:val="bullet"/>
      <w:lvlText w:val="•"/>
      <w:lvlJc w:val="left"/>
      <w:pPr>
        <w:ind w:left="613" w:hanging="100"/>
      </w:pPr>
      <w:rPr>
        <w:rFonts w:hint="default"/>
      </w:rPr>
    </w:lvl>
    <w:lvl w:ilvl="5" w:tplc="4698A144">
      <w:numFmt w:val="bullet"/>
      <w:lvlText w:val="•"/>
      <w:lvlJc w:val="left"/>
      <w:pPr>
        <w:ind w:left="727" w:hanging="100"/>
      </w:pPr>
      <w:rPr>
        <w:rFonts w:hint="default"/>
      </w:rPr>
    </w:lvl>
    <w:lvl w:ilvl="6" w:tplc="29C26A4C">
      <w:numFmt w:val="bullet"/>
      <w:lvlText w:val="•"/>
      <w:lvlJc w:val="left"/>
      <w:pPr>
        <w:ind w:left="840" w:hanging="100"/>
      </w:pPr>
      <w:rPr>
        <w:rFonts w:hint="default"/>
      </w:rPr>
    </w:lvl>
    <w:lvl w:ilvl="7" w:tplc="6D04A9A0">
      <w:numFmt w:val="bullet"/>
      <w:lvlText w:val="•"/>
      <w:lvlJc w:val="left"/>
      <w:pPr>
        <w:ind w:left="953" w:hanging="100"/>
      </w:pPr>
      <w:rPr>
        <w:rFonts w:hint="default"/>
      </w:rPr>
    </w:lvl>
    <w:lvl w:ilvl="8" w:tplc="D5B8A474">
      <w:numFmt w:val="bullet"/>
      <w:lvlText w:val="•"/>
      <w:lvlJc w:val="left"/>
      <w:pPr>
        <w:ind w:left="1067" w:hanging="100"/>
      </w:pPr>
      <w:rPr>
        <w:rFonts w:hint="default"/>
      </w:rPr>
    </w:lvl>
  </w:abstractNum>
  <w:abstractNum w:abstractNumId="1200" w15:restartNumberingAfterBreak="0">
    <w:nsid w:val="4B47183E"/>
    <w:multiLevelType w:val="hybridMultilevel"/>
    <w:tmpl w:val="4EDA5576"/>
    <w:lvl w:ilvl="0" w:tplc="1A48B72A">
      <w:numFmt w:val="bullet"/>
      <w:lvlText w:val=""/>
      <w:lvlJc w:val="left"/>
      <w:pPr>
        <w:ind w:left="156" w:hanging="100"/>
      </w:pPr>
      <w:rPr>
        <w:rFonts w:ascii="Symbol" w:eastAsia="Symbol" w:hAnsi="Symbol" w:cs="Symbol" w:hint="default"/>
        <w:color w:val="231F20"/>
        <w:w w:val="100"/>
        <w:sz w:val="14"/>
        <w:szCs w:val="14"/>
      </w:rPr>
    </w:lvl>
    <w:lvl w:ilvl="1" w:tplc="48CAD2A4">
      <w:numFmt w:val="bullet"/>
      <w:lvlText w:val="•"/>
      <w:lvlJc w:val="left"/>
      <w:pPr>
        <w:ind w:left="398" w:hanging="100"/>
      </w:pPr>
      <w:rPr>
        <w:rFonts w:hint="default"/>
      </w:rPr>
    </w:lvl>
    <w:lvl w:ilvl="2" w:tplc="9B1047B4">
      <w:numFmt w:val="bullet"/>
      <w:lvlText w:val="•"/>
      <w:lvlJc w:val="left"/>
      <w:pPr>
        <w:ind w:left="636" w:hanging="100"/>
      </w:pPr>
      <w:rPr>
        <w:rFonts w:hint="default"/>
      </w:rPr>
    </w:lvl>
    <w:lvl w:ilvl="3" w:tplc="5100CB06">
      <w:numFmt w:val="bullet"/>
      <w:lvlText w:val="•"/>
      <w:lvlJc w:val="left"/>
      <w:pPr>
        <w:ind w:left="874" w:hanging="100"/>
      </w:pPr>
      <w:rPr>
        <w:rFonts w:hint="default"/>
      </w:rPr>
    </w:lvl>
    <w:lvl w:ilvl="4" w:tplc="1FD6B004">
      <w:numFmt w:val="bullet"/>
      <w:lvlText w:val="•"/>
      <w:lvlJc w:val="left"/>
      <w:pPr>
        <w:ind w:left="1112" w:hanging="100"/>
      </w:pPr>
      <w:rPr>
        <w:rFonts w:hint="default"/>
      </w:rPr>
    </w:lvl>
    <w:lvl w:ilvl="5" w:tplc="0F8CCC70">
      <w:numFmt w:val="bullet"/>
      <w:lvlText w:val="•"/>
      <w:lvlJc w:val="left"/>
      <w:pPr>
        <w:ind w:left="1350" w:hanging="100"/>
      </w:pPr>
      <w:rPr>
        <w:rFonts w:hint="default"/>
      </w:rPr>
    </w:lvl>
    <w:lvl w:ilvl="6" w:tplc="5CDCBFFA">
      <w:numFmt w:val="bullet"/>
      <w:lvlText w:val="•"/>
      <w:lvlJc w:val="left"/>
      <w:pPr>
        <w:ind w:left="1588" w:hanging="100"/>
      </w:pPr>
      <w:rPr>
        <w:rFonts w:hint="default"/>
      </w:rPr>
    </w:lvl>
    <w:lvl w:ilvl="7" w:tplc="7AAEDAAC">
      <w:numFmt w:val="bullet"/>
      <w:lvlText w:val="•"/>
      <w:lvlJc w:val="left"/>
      <w:pPr>
        <w:ind w:left="1826" w:hanging="100"/>
      </w:pPr>
      <w:rPr>
        <w:rFonts w:hint="default"/>
      </w:rPr>
    </w:lvl>
    <w:lvl w:ilvl="8" w:tplc="A84AB8F0">
      <w:numFmt w:val="bullet"/>
      <w:lvlText w:val="•"/>
      <w:lvlJc w:val="left"/>
      <w:pPr>
        <w:ind w:left="2064" w:hanging="100"/>
      </w:pPr>
      <w:rPr>
        <w:rFonts w:hint="default"/>
      </w:rPr>
    </w:lvl>
  </w:abstractNum>
  <w:abstractNum w:abstractNumId="1201" w15:restartNumberingAfterBreak="0">
    <w:nsid w:val="4B5426C1"/>
    <w:multiLevelType w:val="hybridMultilevel"/>
    <w:tmpl w:val="F01ADE28"/>
    <w:lvl w:ilvl="0" w:tplc="49EA0258">
      <w:numFmt w:val="bullet"/>
      <w:lvlText w:val=""/>
      <w:lvlJc w:val="left"/>
      <w:pPr>
        <w:ind w:left="156" w:hanging="100"/>
      </w:pPr>
      <w:rPr>
        <w:rFonts w:ascii="Symbol" w:eastAsia="Symbol" w:hAnsi="Symbol" w:cs="Symbol" w:hint="default"/>
        <w:color w:val="231F20"/>
        <w:w w:val="100"/>
        <w:sz w:val="14"/>
        <w:szCs w:val="14"/>
      </w:rPr>
    </w:lvl>
    <w:lvl w:ilvl="1" w:tplc="5EA6A3A2">
      <w:numFmt w:val="bullet"/>
      <w:lvlText w:val="•"/>
      <w:lvlJc w:val="left"/>
      <w:pPr>
        <w:ind w:left="273" w:hanging="100"/>
      </w:pPr>
      <w:rPr>
        <w:rFonts w:hint="default"/>
      </w:rPr>
    </w:lvl>
    <w:lvl w:ilvl="2" w:tplc="E9202432">
      <w:numFmt w:val="bullet"/>
      <w:lvlText w:val="•"/>
      <w:lvlJc w:val="left"/>
      <w:pPr>
        <w:ind w:left="386" w:hanging="100"/>
      </w:pPr>
      <w:rPr>
        <w:rFonts w:hint="default"/>
      </w:rPr>
    </w:lvl>
    <w:lvl w:ilvl="3" w:tplc="E362DAC8">
      <w:numFmt w:val="bullet"/>
      <w:lvlText w:val="•"/>
      <w:lvlJc w:val="left"/>
      <w:pPr>
        <w:ind w:left="500" w:hanging="100"/>
      </w:pPr>
      <w:rPr>
        <w:rFonts w:hint="default"/>
      </w:rPr>
    </w:lvl>
    <w:lvl w:ilvl="4" w:tplc="EE70BCCE">
      <w:numFmt w:val="bullet"/>
      <w:lvlText w:val="•"/>
      <w:lvlJc w:val="left"/>
      <w:pPr>
        <w:ind w:left="613" w:hanging="100"/>
      </w:pPr>
      <w:rPr>
        <w:rFonts w:hint="default"/>
      </w:rPr>
    </w:lvl>
    <w:lvl w:ilvl="5" w:tplc="D938F082">
      <w:numFmt w:val="bullet"/>
      <w:lvlText w:val="•"/>
      <w:lvlJc w:val="left"/>
      <w:pPr>
        <w:ind w:left="727" w:hanging="100"/>
      </w:pPr>
      <w:rPr>
        <w:rFonts w:hint="default"/>
      </w:rPr>
    </w:lvl>
    <w:lvl w:ilvl="6" w:tplc="6A4EC598">
      <w:numFmt w:val="bullet"/>
      <w:lvlText w:val="•"/>
      <w:lvlJc w:val="left"/>
      <w:pPr>
        <w:ind w:left="840" w:hanging="100"/>
      </w:pPr>
      <w:rPr>
        <w:rFonts w:hint="default"/>
      </w:rPr>
    </w:lvl>
    <w:lvl w:ilvl="7" w:tplc="0C429D54">
      <w:numFmt w:val="bullet"/>
      <w:lvlText w:val="•"/>
      <w:lvlJc w:val="left"/>
      <w:pPr>
        <w:ind w:left="953" w:hanging="100"/>
      </w:pPr>
      <w:rPr>
        <w:rFonts w:hint="default"/>
      </w:rPr>
    </w:lvl>
    <w:lvl w:ilvl="8" w:tplc="13C86760">
      <w:numFmt w:val="bullet"/>
      <w:lvlText w:val="•"/>
      <w:lvlJc w:val="left"/>
      <w:pPr>
        <w:ind w:left="1067" w:hanging="100"/>
      </w:pPr>
      <w:rPr>
        <w:rFonts w:hint="default"/>
      </w:rPr>
    </w:lvl>
  </w:abstractNum>
  <w:abstractNum w:abstractNumId="1202" w15:restartNumberingAfterBreak="0">
    <w:nsid w:val="4B7172F1"/>
    <w:multiLevelType w:val="hybridMultilevel"/>
    <w:tmpl w:val="915ACA58"/>
    <w:lvl w:ilvl="0" w:tplc="49B6404E">
      <w:numFmt w:val="bullet"/>
      <w:lvlText w:val=""/>
      <w:lvlJc w:val="left"/>
      <w:pPr>
        <w:ind w:left="156" w:hanging="100"/>
      </w:pPr>
      <w:rPr>
        <w:rFonts w:ascii="Symbol" w:eastAsia="Symbol" w:hAnsi="Symbol" w:cs="Symbol" w:hint="default"/>
        <w:color w:val="231F20"/>
        <w:w w:val="100"/>
        <w:sz w:val="14"/>
        <w:szCs w:val="14"/>
      </w:rPr>
    </w:lvl>
    <w:lvl w:ilvl="1" w:tplc="6BAAC036">
      <w:numFmt w:val="bullet"/>
      <w:lvlText w:val="•"/>
      <w:lvlJc w:val="left"/>
      <w:pPr>
        <w:ind w:left="301" w:hanging="100"/>
      </w:pPr>
      <w:rPr>
        <w:rFonts w:hint="default"/>
      </w:rPr>
    </w:lvl>
    <w:lvl w:ilvl="2" w:tplc="60D05EE8">
      <w:numFmt w:val="bullet"/>
      <w:lvlText w:val="•"/>
      <w:lvlJc w:val="left"/>
      <w:pPr>
        <w:ind w:left="443" w:hanging="100"/>
      </w:pPr>
      <w:rPr>
        <w:rFonts w:hint="default"/>
      </w:rPr>
    </w:lvl>
    <w:lvl w:ilvl="3" w:tplc="51C67D28">
      <w:numFmt w:val="bullet"/>
      <w:lvlText w:val="•"/>
      <w:lvlJc w:val="left"/>
      <w:pPr>
        <w:ind w:left="585" w:hanging="100"/>
      </w:pPr>
      <w:rPr>
        <w:rFonts w:hint="default"/>
      </w:rPr>
    </w:lvl>
    <w:lvl w:ilvl="4" w:tplc="E71C9AE4">
      <w:numFmt w:val="bullet"/>
      <w:lvlText w:val="•"/>
      <w:lvlJc w:val="left"/>
      <w:pPr>
        <w:ind w:left="726" w:hanging="100"/>
      </w:pPr>
      <w:rPr>
        <w:rFonts w:hint="default"/>
      </w:rPr>
    </w:lvl>
    <w:lvl w:ilvl="5" w:tplc="97448510">
      <w:numFmt w:val="bullet"/>
      <w:lvlText w:val="•"/>
      <w:lvlJc w:val="left"/>
      <w:pPr>
        <w:ind w:left="868" w:hanging="100"/>
      </w:pPr>
      <w:rPr>
        <w:rFonts w:hint="default"/>
      </w:rPr>
    </w:lvl>
    <w:lvl w:ilvl="6" w:tplc="52166858">
      <w:numFmt w:val="bullet"/>
      <w:lvlText w:val="•"/>
      <w:lvlJc w:val="left"/>
      <w:pPr>
        <w:ind w:left="1010" w:hanging="100"/>
      </w:pPr>
      <w:rPr>
        <w:rFonts w:hint="default"/>
      </w:rPr>
    </w:lvl>
    <w:lvl w:ilvl="7" w:tplc="5B2C3ED4">
      <w:numFmt w:val="bullet"/>
      <w:lvlText w:val="•"/>
      <w:lvlJc w:val="left"/>
      <w:pPr>
        <w:ind w:left="1151" w:hanging="100"/>
      </w:pPr>
      <w:rPr>
        <w:rFonts w:hint="default"/>
      </w:rPr>
    </w:lvl>
    <w:lvl w:ilvl="8" w:tplc="E07A37D0">
      <w:numFmt w:val="bullet"/>
      <w:lvlText w:val="•"/>
      <w:lvlJc w:val="left"/>
      <w:pPr>
        <w:ind w:left="1293" w:hanging="100"/>
      </w:pPr>
      <w:rPr>
        <w:rFonts w:hint="default"/>
      </w:rPr>
    </w:lvl>
  </w:abstractNum>
  <w:abstractNum w:abstractNumId="1203" w15:restartNumberingAfterBreak="0">
    <w:nsid w:val="4B7936DA"/>
    <w:multiLevelType w:val="hybridMultilevel"/>
    <w:tmpl w:val="EB34B194"/>
    <w:lvl w:ilvl="0" w:tplc="F83A8A4A">
      <w:numFmt w:val="bullet"/>
      <w:lvlText w:val=""/>
      <w:lvlJc w:val="left"/>
      <w:pPr>
        <w:ind w:left="156" w:hanging="100"/>
      </w:pPr>
      <w:rPr>
        <w:rFonts w:ascii="Symbol" w:eastAsia="Symbol" w:hAnsi="Symbol" w:cs="Symbol" w:hint="default"/>
        <w:color w:val="231F20"/>
        <w:w w:val="100"/>
        <w:sz w:val="14"/>
        <w:szCs w:val="14"/>
      </w:rPr>
    </w:lvl>
    <w:lvl w:ilvl="1" w:tplc="A7EA24AE">
      <w:numFmt w:val="bullet"/>
      <w:lvlText w:val="•"/>
      <w:lvlJc w:val="left"/>
      <w:pPr>
        <w:ind w:left="273" w:hanging="100"/>
      </w:pPr>
      <w:rPr>
        <w:rFonts w:hint="default"/>
      </w:rPr>
    </w:lvl>
    <w:lvl w:ilvl="2" w:tplc="689EDABC">
      <w:numFmt w:val="bullet"/>
      <w:lvlText w:val="•"/>
      <w:lvlJc w:val="left"/>
      <w:pPr>
        <w:ind w:left="386" w:hanging="100"/>
      </w:pPr>
      <w:rPr>
        <w:rFonts w:hint="default"/>
      </w:rPr>
    </w:lvl>
    <w:lvl w:ilvl="3" w:tplc="1D56CBBE">
      <w:numFmt w:val="bullet"/>
      <w:lvlText w:val="•"/>
      <w:lvlJc w:val="left"/>
      <w:pPr>
        <w:ind w:left="500" w:hanging="100"/>
      </w:pPr>
      <w:rPr>
        <w:rFonts w:hint="default"/>
      </w:rPr>
    </w:lvl>
    <w:lvl w:ilvl="4" w:tplc="B5EC9D9A">
      <w:numFmt w:val="bullet"/>
      <w:lvlText w:val="•"/>
      <w:lvlJc w:val="left"/>
      <w:pPr>
        <w:ind w:left="613" w:hanging="100"/>
      </w:pPr>
      <w:rPr>
        <w:rFonts w:hint="default"/>
      </w:rPr>
    </w:lvl>
    <w:lvl w:ilvl="5" w:tplc="890C25A4">
      <w:numFmt w:val="bullet"/>
      <w:lvlText w:val="•"/>
      <w:lvlJc w:val="left"/>
      <w:pPr>
        <w:ind w:left="727" w:hanging="100"/>
      </w:pPr>
      <w:rPr>
        <w:rFonts w:hint="default"/>
      </w:rPr>
    </w:lvl>
    <w:lvl w:ilvl="6" w:tplc="77404B9C">
      <w:numFmt w:val="bullet"/>
      <w:lvlText w:val="•"/>
      <w:lvlJc w:val="left"/>
      <w:pPr>
        <w:ind w:left="840" w:hanging="100"/>
      </w:pPr>
      <w:rPr>
        <w:rFonts w:hint="default"/>
      </w:rPr>
    </w:lvl>
    <w:lvl w:ilvl="7" w:tplc="0282A5D8">
      <w:numFmt w:val="bullet"/>
      <w:lvlText w:val="•"/>
      <w:lvlJc w:val="left"/>
      <w:pPr>
        <w:ind w:left="953" w:hanging="100"/>
      </w:pPr>
      <w:rPr>
        <w:rFonts w:hint="default"/>
      </w:rPr>
    </w:lvl>
    <w:lvl w:ilvl="8" w:tplc="DBAA895C">
      <w:numFmt w:val="bullet"/>
      <w:lvlText w:val="•"/>
      <w:lvlJc w:val="left"/>
      <w:pPr>
        <w:ind w:left="1067" w:hanging="100"/>
      </w:pPr>
      <w:rPr>
        <w:rFonts w:hint="default"/>
      </w:rPr>
    </w:lvl>
  </w:abstractNum>
  <w:abstractNum w:abstractNumId="1204" w15:restartNumberingAfterBreak="0">
    <w:nsid w:val="4B803752"/>
    <w:multiLevelType w:val="hybridMultilevel"/>
    <w:tmpl w:val="FAA2C75E"/>
    <w:lvl w:ilvl="0" w:tplc="FA784FA4">
      <w:numFmt w:val="bullet"/>
      <w:lvlText w:val=""/>
      <w:lvlJc w:val="left"/>
      <w:pPr>
        <w:ind w:left="157" w:hanging="100"/>
      </w:pPr>
      <w:rPr>
        <w:rFonts w:ascii="Symbol" w:eastAsia="Symbol" w:hAnsi="Symbol" w:cs="Symbol" w:hint="default"/>
        <w:color w:val="231F20"/>
        <w:w w:val="100"/>
        <w:sz w:val="14"/>
        <w:szCs w:val="14"/>
      </w:rPr>
    </w:lvl>
    <w:lvl w:ilvl="1" w:tplc="DDA21EB4">
      <w:numFmt w:val="bullet"/>
      <w:lvlText w:val="•"/>
      <w:lvlJc w:val="left"/>
      <w:pPr>
        <w:ind w:left="369" w:hanging="100"/>
      </w:pPr>
      <w:rPr>
        <w:rFonts w:hint="default"/>
      </w:rPr>
    </w:lvl>
    <w:lvl w:ilvl="2" w:tplc="635084C2">
      <w:numFmt w:val="bullet"/>
      <w:lvlText w:val="•"/>
      <w:lvlJc w:val="left"/>
      <w:pPr>
        <w:ind w:left="579" w:hanging="100"/>
      </w:pPr>
      <w:rPr>
        <w:rFonts w:hint="default"/>
      </w:rPr>
    </w:lvl>
    <w:lvl w:ilvl="3" w:tplc="AAB220F8">
      <w:numFmt w:val="bullet"/>
      <w:lvlText w:val="•"/>
      <w:lvlJc w:val="left"/>
      <w:pPr>
        <w:ind w:left="789" w:hanging="100"/>
      </w:pPr>
      <w:rPr>
        <w:rFonts w:hint="default"/>
      </w:rPr>
    </w:lvl>
    <w:lvl w:ilvl="4" w:tplc="0CD809DE">
      <w:numFmt w:val="bullet"/>
      <w:lvlText w:val="•"/>
      <w:lvlJc w:val="left"/>
      <w:pPr>
        <w:ind w:left="998" w:hanging="100"/>
      </w:pPr>
      <w:rPr>
        <w:rFonts w:hint="default"/>
      </w:rPr>
    </w:lvl>
    <w:lvl w:ilvl="5" w:tplc="F22C1E2C">
      <w:numFmt w:val="bullet"/>
      <w:lvlText w:val="•"/>
      <w:lvlJc w:val="left"/>
      <w:pPr>
        <w:ind w:left="1208" w:hanging="100"/>
      </w:pPr>
      <w:rPr>
        <w:rFonts w:hint="default"/>
      </w:rPr>
    </w:lvl>
    <w:lvl w:ilvl="6" w:tplc="D9DEC732">
      <w:numFmt w:val="bullet"/>
      <w:lvlText w:val="•"/>
      <w:lvlJc w:val="left"/>
      <w:pPr>
        <w:ind w:left="1418" w:hanging="100"/>
      </w:pPr>
      <w:rPr>
        <w:rFonts w:hint="default"/>
      </w:rPr>
    </w:lvl>
    <w:lvl w:ilvl="7" w:tplc="734A7E4E">
      <w:numFmt w:val="bullet"/>
      <w:lvlText w:val="•"/>
      <w:lvlJc w:val="left"/>
      <w:pPr>
        <w:ind w:left="1627" w:hanging="100"/>
      </w:pPr>
      <w:rPr>
        <w:rFonts w:hint="default"/>
      </w:rPr>
    </w:lvl>
    <w:lvl w:ilvl="8" w:tplc="1CCC254E">
      <w:numFmt w:val="bullet"/>
      <w:lvlText w:val="•"/>
      <w:lvlJc w:val="left"/>
      <w:pPr>
        <w:ind w:left="1837" w:hanging="100"/>
      </w:pPr>
      <w:rPr>
        <w:rFonts w:hint="default"/>
      </w:rPr>
    </w:lvl>
  </w:abstractNum>
  <w:abstractNum w:abstractNumId="1205" w15:restartNumberingAfterBreak="0">
    <w:nsid w:val="4B8162AF"/>
    <w:multiLevelType w:val="hybridMultilevel"/>
    <w:tmpl w:val="596AAD30"/>
    <w:lvl w:ilvl="0" w:tplc="756631EE">
      <w:numFmt w:val="bullet"/>
      <w:lvlText w:val=""/>
      <w:lvlJc w:val="left"/>
      <w:pPr>
        <w:ind w:left="157" w:hanging="100"/>
      </w:pPr>
      <w:rPr>
        <w:rFonts w:ascii="Symbol" w:eastAsia="Symbol" w:hAnsi="Symbol" w:cs="Symbol" w:hint="default"/>
        <w:color w:val="231F20"/>
        <w:w w:val="100"/>
        <w:sz w:val="14"/>
        <w:szCs w:val="14"/>
      </w:rPr>
    </w:lvl>
    <w:lvl w:ilvl="1" w:tplc="F34688B8">
      <w:numFmt w:val="bullet"/>
      <w:lvlText w:val="•"/>
      <w:lvlJc w:val="left"/>
      <w:pPr>
        <w:ind w:left="426" w:hanging="100"/>
      </w:pPr>
      <w:rPr>
        <w:rFonts w:hint="default"/>
      </w:rPr>
    </w:lvl>
    <w:lvl w:ilvl="2" w:tplc="5F969926">
      <w:numFmt w:val="bullet"/>
      <w:lvlText w:val="•"/>
      <w:lvlJc w:val="left"/>
      <w:pPr>
        <w:ind w:left="692" w:hanging="100"/>
      </w:pPr>
      <w:rPr>
        <w:rFonts w:hint="default"/>
      </w:rPr>
    </w:lvl>
    <w:lvl w:ilvl="3" w:tplc="D4123E42">
      <w:numFmt w:val="bullet"/>
      <w:lvlText w:val="•"/>
      <w:lvlJc w:val="left"/>
      <w:pPr>
        <w:ind w:left="959" w:hanging="100"/>
      </w:pPr>
      <w:rPr>
        <w:rFonts w:hint="default"/>
      </w:rPr>
    </w:lvl>
    <w:lvl w:ilvl="4" w:tplc="CDE0B25C">
      <w:numFmt w:val="bullet"/>
      <w:lvlText w:val="•"/>
      <w:lvlJc w:val="left"/>
      <w:pPr>
        <w:ind w:left="1225" w:hanging="100"/>
      </w:pPr>
      <w:rPr>
        <w:rFonts w:hint="default"/>
      </w:rPr>
    </w:lvl>
    <w:lvl w:ilvl="5" w:tplc="E450807E">
      <w:numFmt w:val="bullet"/>
      <w:lvlText w:val="•"/>
      <w:lvlJc w:val="left"/>
      <w:pPr>
        <w:ind w:left="1492" w:hanging="100"/>
      </w:pPr>
      <w:rPr>
        <w:rFonts w:hint="default"/>
      </w:rPr>
    </w:lvl>
    <w:lvl w:ilvl="6" w:tplc="E606F8B8">
      <w:numFmt w:val="bullet"/>
      <w:lvlText w:val="•"/>
      <w:lvlJc w:val="left"/>
      <w:pPr>
        <w:ind w:left="1758" w:hanging="100"/>
      </w:pPr>
      <w:rPr>
        <w:rFonts w:hint="default"/>
      </w:rPr>
    </w:lvl>
    <w:lvl w:ilvl="7" w:tplc="64ACB2F2">
      <w:numFmt w:val="bullet"/>
      <w:lvlText w:val="•"/>
      <w:lvlJc w:val="left"/>
      <w:pPr>
        <w:ind w:left="2024" w:hanging="100"/>
      </w:pPr>
      <w:rPr>
        <w:rFonts w:hint="default"/>
      </w:rPr>
    </w:lvl>
    <w:lvl w:ilvl="8" w:tplc="688E824A">
      <w:numFmt w:val="bullet"/>
      <w:lvlText w:val="•"/>
      <w:lvlJc w:val="left"/>
      <w:pPr>
        <w:ind w:left="2291" w:hanging="100"/>
      </w:pPr>
      <w:rPr>
        <w:rFonts w:hint="default"/>
      </w:rPr>
    </w:lvl>
  </w:abstractNum>
  <w:abstractNum w:abstractNumId="1206" w15:restartNumberingAfterBreak="0">
    <w:nsid w:val="4B9B38E4"/>
    <w:multiLevelType w:val="hybridMultilevel"/>
    <w:tmpl w:val="65D864DC"/>
    <w:lvl w:ilvl="0" w:tplc="C302CFF0">
      <w:numFmt w:val="bullet"/>
      <w:lvlText w:val=""/>
      <w:lvlJc w:val="left"/>
      <w:pPr>
        <w:ind w:left="157" w:hanging="100"/>
      </w:pPr>
      <w:rPr>
        <w:rFonts w:ascii="Symbol" w:eastAsia="Symbol" w:hAnsi="Symbol" w:cs="Symbol" w:hint="default"/>
        <w:color w:val="231F20"/>
        <w:w w:val="100"/>
        <w:sz w:val="14"/>
        <w:szCs w:val="14"/>
      </w:rPr>
    </w:lvl>
    <w:lvl w:ilvl="1" w:tplc="E6AC1046">
      <w:numFmt w:val="bullet"/>
      <w:lvlText w:val="•"/>
      <w:lvlJc w:val="left"/>
      <w:pPr>
        <w:ind w:left="398" w:hanging="100"/>
      </w:pPr>
      <w:rPr>
        <w:rFonts w:hint="default"/>
      </w:rPr>
    </w:lvl>
    <w:lvl w:ilvl="2" w:tplc="8DE4CBA8">
      <w:numFmt w:val="bullet"/>
      <w:lvlText w:val="•"/>
      <w:lvlJc w:val="left"/>
      <w:pPr>
        <w:ind w:left="636" w:hanging="100"/>
      </w:pPr>
      <w:rPr>
        <w:rFonts w:hint="default"/>
      </w:rPr>
    </w:lvl>
    <w:lvl w:ilvl="3" w:tplc="61601790">
      <w:numFmt w:val="bullet"/>
      <w:lvlText w:val="•"/>
      <w:lvlJc w:val="left"/>
      <w:pPr>
        <w:ind w:left="874" w:hanging="100"/>
      </w:pPr>
      <w:rPr>
        <w:rFonts w:hint="default"/>
      </w:rPr>
    </w:lvl>
    <w:lvl w:ilvl="4" w:tplc="6EB4542C">
      <w:numFmt w:val="bullet"/>
      <w:lvlText w:val="•"/>
      <w:lvlJc w:val="left"/>
      <w:pPr>
        <w:ind w:left="1112" w:hanging="100"/>
      </w:pPr>
      <w:rPr>
        <w:rFonts w:hint="default"/>
      </w:rPr>
    </w:lvl>
    <w:lvl w:ilvl="5" w:tplc="787E0092">
      <w:numFmt w:val="bullet"/>
      <w:lvlText w:val="•"/>
      <w:lvlJc w:val="left"/>
      <w:pPr>
        <w:ind w:left="1350" w:hanging="100"/>
      </w:pPr>
      <w:rPr>
        <w:rFonts w:hint="default"/>
      </w:rPr>
    </w:lvl>
    <w:lvl w:ilvl="6" w:tplc="1B54C8B8">
      <w:numFmt w:val="bullet"/>
      <w:lvlText w:val="•"/>
      <w:lvlJc w:val="left"/>
      <w:pPr>
        <w:ind w:left="1588" w:hanging="100"/>
      </w:pPr>
      <w:rPr>
        <w:rFonts w:hint="default"/>
      </w:rPr>
    </w:lvl>
    <w:lvl w:ilvl="7" w:tplc="E14E1DD4">
      <w:numFmt w:val="bullet"/>
      <w:lvlText w:val="•"/>
      <w:lvlJc w:val="left"/>
      <w:pPr>
        <w:ind w:left="1826" w:hanging="100"/>
      </w:pPr>
      <w:rPr>
        <w:rFonts w:hint="default"/>
      </w:rPr>
    </w:lvl>
    <w:lvl w:ilvl="8" w:tplc="B428FF68">
      <w:numFmt w:val="bullet"/>
      <w:lvlText w:val="•"/>
      <w:lvlJc w:val="left"/>
      <w:pPr>
        <w:ind w:left="2064" w:hanging="100"/>
      </w:pPr>
      <w:rPr>
        <w:rFonts w:hint="default"/>
      </w:rPr>
    </w:lvl>
  </w:abstractNum>
  <w:abstractNum w:abstractNumId="1207" w15:restartNumberingAfterBreak="0">
    <w:nsid w:val="4BAB2C86"/>
    <w:multiLevelType w:val="hybridMultilevel"/>
    <w:tmpl w:val="7BB428BE"/>
    <w:lvl w:ilvl="0" w:tplc="7E1A3A48">
      <w:numFmt w:val="bullet"/>
      <w:lvlText w:val=""/>
      <w:lvlJc w:val="left"/>
      <w:pPr>
        <w:ind w:left="156" w:hanging="100"/>
      </w:pPr>
      <w:rPr>
        <w:rFonts w:ascii="Symbol" w:eastAsia="Symbol" w:hAnsi="Symbol" w:cs="Symbol" w:hint="default"/>
        <w:color w:val="231F20"/>
        <w:w w:val="100"/>
        <w:sz w:val="14"/>
        <w:szCs w:val="14"/>
      </w:rPr>
    </w:lvl>
    <w:lvl w:ilvl="1" w:tplc="3E50E0D2">
      <w:numFmt w:val="bullet"/>
      <w:lvlText w:val="•"/>
      <w:lvlJc w:val="left"/>
      <w:pPr>
        <w:ind w:left="398" w:hanging="100"/>
      </w:pPr>
      <w:rPr>
        <w:rFonts w:hint="default"/>
      </w:rPr>
    </w:lvl>
    <w:lvl w:ilvl="2" w:tplc="6B120AD2">
      <w:numFmt w:val="bullet"/>
      <w:lvlText w:val="•"/>
      <w:lvlJc w:val="left"/>
      <w:pPr>
        <w:ind w:left="636" w:hanging="100"/>
      </w:pPr>
      <w:rPr>
        <w:rFonts w:hint="default"/>
      </w:rPr>
    </w:lvl>
    <w:lvl w:ilvl="3" w:tplc="898435AA">
      <w:numFmt w:val="bullet"/>
      <w:lvlText w:val="•"/>
      <w:lvlJc w:val="left"/>
      <w:pPr>
        <w:ind w:left="874" w:hanging="100"/>
      </w:pPr>
      <w:rPr>
        <w:rFonts w:hint="default"/>
      </w:rPr>
    </w:lvl>
    <w:lvl w:ilvl="4" w:tplc="4B86D458">
      <w:numFmt w:val="bullet"/>
      <w:lvlText w:val="•"/>
      <w:lvlJc w:val="left"/>
      <w:pPr>
        <w:ind w:left="1112" w:hanging="100"/>
      </w:pPr>
      <w:rPr>
        <w:rFonts w:hint="default"/>
      </w:rPr>
    </w:lvl>
    <w:lvl w:ilvl="5" w:tplc="C1207F04">
      <w:numFmt w:val="bullet"/>
      <w:lvlText w:val="•"/>
      <w:lvlJc w:val="left"/>
      <w:pPr>
        <w:ind w:left="1350" w:hanging="100"/>
      </w:pPr>
      <w:rPr>
        <w:rFonts w:hint="default"/>
      </w:rPr>
    </w:lvl>
    <w:lvl w:ilvl="6" w:tplc="3062822C">
      <w:numFmt w:val="bullet"/>
      <w:lvlText w:val="•"/>
      <w:lvlJc w:val="left"/>
      <w:pPr>
        <w:ind w:left="1588" w:hanging="100"/>
      </w:pPr>
      <w:rPr>
        <w:rFonts w:hint="default"/>
      </w:rPr>
    </w:lvl>
    <w:lvl w:ilvl="7" w:tplc="51C67C48">
      <w:numFmt w:val="bullet"/>
      <w:lvlText w:val="•"/>
      <w:lvlJc w:val="left"/>
      <w:pPr>
        <w:ind w:left="1826" w:hanging="100"/>
      </w:pPr>
      <w:rPr>
        <w:rFonts w:hint="default"/>
      </w:rPr>
    </w:lvl>
    <w:lvl w:ilvl="8" w:tplc="3CC0DF68">
      <w:numFmt w:val="bullet"/>
      <w:lvlText w:val="•"/>
      <w:lvlJc w:val="left"/>
      <w:pPr>
        <w:ind w:left="2064" w:hanging="100"/>
      </w:pPr>
      <w:rPr>
        <w:rFonts w:hint="default"/>
      </w:rPr>
    </w:lvl>
  </w:abstractNum>
  <w:abstractNum w:abstractNumId="1208" w15:restartNumberingAfterBreak="0">
    <w:nsid w:val="4BAD0302"/>
    <w:multiLevelType w:val="hybridMultilevel"/>
    <w:tmpl w:val="3FA6507C"/>
    <w:lvl w:ilvl="0" w:tplc="0040E44E">
      <w:numFmt w:val="bullet"/>
      <w:lvlText w:val=""/>
      <w:lvlJc w:val="left"/>
      <w:pPr>
        <w:ind w:left="156" w:hanging="100"/>
      </w:pPr>
      <w:rPr>
        <w:rFonts w:ascii="Symbol" w:eastAsia="Symbol" w:hAnsi="Symbol" w:cs="Symbol" w:hint="default"/>
        <w:color w:val="231F20"/>
        <w:w w:val="100"/>
        <w:sz w:val="14"/>
        <w:szCs w:val="14"/>
      </w:rPr>
    </w:lvl>
    <w:lvl w:ilvl="1" w:tplc="2B302190">
      <w:numFmt w:val="bullet"/>
      <w:lvlText w:val="•"/>
      <w:lvlJc w:val="left"/>
      <w:pPr>
        <w:ind w:left="426" w:hanging="100"/>
      </w:pPr>
      <w:rPr>
        <w:rFonts w:hint="default"/>
      </w:rPr>
    </w:lvl>
    <w:lvl w:ilvl="2" w:tplc="E3EC915E">
      <w:numFmt w:val="bullet"/>
      <w:lvlText w:val="•"/>
      <w:lvlJc w:val="left"/>
      <w:pPr>
        <w:ind w:left="692" w:hanging="100"/>
      </w:pPr>
      <w:rPr>
        <w:rFonts w:hint="default"/>
      </w:rPr>
    </w:lvl>
    <w:lvl w:ilvl="3" w:tplc="4A260F40">
      <w:numFmt w:val="bullet"/>
      <w:lvlText w:val="•"/>
      <w:lvlJc w:val="left"/>
      <w:pPr>
        <w:ind w:left="959" w:hanging="100"/>
      </w:pPr>
      <w:rPr>
        <w:rFonts w:hint="default"/>
      </w:rPr>
    </w:lvl>
    <w:lvl w:ilvl="4" w:tplc="7006F12C">
      <w:numFmt w:val="bullet"/>
      <w:lvlText w:val="•"/>
      <w:lvlJc w:val="left"/>
      <w:pPr>
        <w:ind w:left="1225" w:hanging="100"/>
      </w:pPr>
      <w:rPr>
        <w:rFonts w:hint="default"/>
      </w:rPr>
    </w:lvl>
    <w:lvl w:ilvl="5" w:tplc="E2100696">
      <w:numFmt w:val="bullet"/>
      <w:lvlText w:val="•"/>
      <w:lvlJc w:val="left"/>
      <w:pPr>
        <w:ind w:left="1492" w:hanging="100"/>
      </w:pPr>
      <w:rPr>
        <w:rFonts w:hint="default"/>
      </w:rPr>
    </w:lvl>
    <w:lvl w:ilvl="6" w:tplc="070CA66C">
      <w:numFmt w:val="bullet"/>
      <w:lvlText w:val="•"/>
      <w:lvlJc w:val="left"/>
      <w:pPr>
        <w:ind w:left="1758" w:hanging="100"/>
      </w:pPr>
      <w:rPr>
        <w:rFonts w:hint="default"/>
      </w:rPr>
    </w:lvl>
    <w:lvl w:ilvl="7" w:tplc="2DE4F4AA">
      <w:numFmt w:val="bullet"/>
      <w:lvlText w:val="•"/>
      <w:lvlJc w:val="left"/>
      <w:pPr>
        <w:ind w:left="2024" w:hanging="100"/>
      </w:pPr>
      <w:rPr>
        <w:rFonts w:hint="default"/>
      </w:rPr>
    </w:lvl>
    <w:lvl w:ilvl="8" w:tplc="BCD82ADC">
      <w:numFmt w:val="bullet"/>
      <w:lvlText w:val="•"/>
      <w:lvlJc w:val="left"/>
      <w:pPr>
        <w:ind w:left="2291" w:hanging="100"/>
      </w:pPr>
      <w:rPr>
        <w:rFonts w:hint="default"/>
      </w:rPr>
    </w:lvl>
  </w:abstractNum>
  <w:abstractNum w:abstractNumId="1209" w15:restartNumberingAfterBreak="0">
    <w:nsid w:val="4BD037D6"/>
    <w:multiLevelType w:val="hybridMultilevel"/>
    <w:tmpl w:val="ACD26EF2"/>
    <w:lvl w:ilvl="0" w:tplc="C994C7EC">
      <w:numFmt w:val="bullet"/>
      <w:lvlText w:val="–"/>
      <w:lvlJc w:val="left"/>
      <w:pPr>
        <w:ind w:left="163" w:hanging="105"/>
      </w:pPr>
      <w:rPr>
        <w:rFonts w:ascii="Times New Roman" w:eastAsia="Times New Roman" w:hAnsi="Times New Roman" w:cs="Times New Roman" w:hint="default"/>
        <w:color w:val="231F20"/>
        <w:spacing w:val="-8"/>
        <w:w w:val="100"/>
        <w:sz w:val="14"/>
        <w:szCs w:val="14"/>
      </w:rPr>
    </w:lvl>
    <w:lvl w:ilvl="1" w:tplc="54EA064E">
      <w:numFmt w:val="bullet"/>
      <w:lvlText w:val="•"/>
      <w:lvlJc w:val="left"/>
      <w:pPr>
        <w:ind w:left="240" w:hanging="105"/>
      </w:pPr>
      <w:rPr>
        <w:rFonts w:hint="default"/>
      </w:rPr>
    </w:lvl>
    <w:lvl w:ilvl="2" w:tplc="24C64CA0">
      <w:numFmt w:val="bullet"/>
      <w:lvlText w:val="•"/>
      <w:lvlJc w:val="left"/>
      <w:pPr>
        <w:ind w:left="464" w:hanging="105"/>
      </w:pPr>
      <w:rPr>
        <w:rFonts w:hint="default"/>
      </w:rPr>
    </w:lvl>
    <w:lvl w:ilvl="3" w:tplc="17B01D00">
      <w:numFmt w:val="bullet"/>
      <w:lvlText w:val="•"/>
      <w:lvlJc w:val="left"/>
      <w:pPr>
        <w:ind w:left="688" w:hanging="105"/>
      </w:pPr>
      <w:rPr>
        <w:rFonts w:hint="default"/>
      </w:rPr>
    </w:lvl>
    <w:lvl w:ilvl="4" w:tplc="0AAEF3E6">
      <w:numFmt w:val="bullet"/>
      <w:lvlText w:val="•"/>
      <w:lvlJc w:val="left"/>
      <w:pPr>
        <w:ind w:left="912" w:hanging="105"/>
      </w:pPr>
      <w:rPr>
        <w:rFonts w:hint="default"/>
      </w:rPr>
    </w:lvl>
    <w:lvl w:ilvl="5" w:tplc="728A9DCC">
      <w:numFmt w:val="bullet"/>
      <w:lvlText w:val="•"/>
      <w:lvlJc w:val="left"/>
      <w:pPr>
        <w:ind w:left="1136" w:hanging="105"/>
      </w:pPr>
      <w:rPr>
        <w:rFonts w:hint="default"/>
      </w:rPr>
    </w:lvl>
    <w:lvl w:ilvl="6" w:tplc="266C791E">
      <w:numFmt w:val="bullet"/>
      <w:lvlText w:val="•"/>
      <w:lvlJc w:val="left"/>
      <w:pPr>
        <w:ind w:left="1360" w:hanging="105"/>
      </w:pPr>
      <w:rPr>
        <w:rFonts w:hint="default"/>
      </w:rPr>
    </w:lvl>
    <w:lvl w:ilvl="7" w:tplc="F5B85582">
      <w:numFmt w:val="bullet"/>
      <w:lvlText w:val="•"/>
      <w:lvlJc w:val="left"/>
      <w:pPr>
        <w:ind w:left="1584" w:hanging="105"/>
      </w:pPr>
      <w:rPr>
        <w:rFonts w:hint="default"/>
      </w:rPr>
    </w:lvl>
    <w:lvl w:ilvl="8" w:tplc="F258C4E4">
      <w:numFmt w:val="bullet"/>
      <w:lvlText w:val="•"/>
      <w:lvlJc w:val="left"/>
      <w:pPr>
        <w:ind w:left="1808" w:hanging="105"/>
      </w:pPr>
      <w:rPr>
        <w:rFonts w:hint="default"/>
      </w:rPr>
    </w:lvl>
  </w:abstractNum>
  <w:abstractNum w:abstractNumId="1210" w15:restartNumberingAfterBreak="0">
    <w:nsid w:val="4BDB5067"/>
    <w:multiLevelType w:val="hybridMultilevel"/>
    <w:tmpl w:val="88665730"/>
    <w:lvl w:ilvl="0" w:tplc="651692D6">
      <w:numFmt w:val="bullet"/>
      <w:lvlText w:val=""/>
      <w:lvlJc w:val="left"/>
      <w:pPr>
        <w:ind w:left="156" w:hanging="100"/>
      </w:pPr>
      <w:rPr>
        <w:rFonts w:ascii="Symbol" w:eastAsia="Symbol" w:hAnsi="Symbol" w:cs="Symbol" w:hint="default"/>
        <w:color w:val="231F20"/>
        <w:w w:val="100"/>
        <w:sz w:val="14"/>
        <w:szCs w:val="14"/>
      </w:rPr>
    </w:lvl>
    <w:lvl w:ilvl="1" w:tplc="C53ADD66">
      <w:numFmt w:val="bullet"/>
      <w:lvlText w:val="•"/>
      <w:lvlJc w:val="left"/>
      <w:pPr>
        <w:ind w:left="426" w:hanging="100"/>
      </w:pPr>
      <w:rPr>
        <w:rFonts w:hint="default"/>
      </w:rPr>
    </w:lvl>
    <w:lvl w:ilvl="2" w:tplc="43BACB8A">
      <w:numFmt w:val="bullet"/>
      <w:lvlText w:val="•"/>
      <w:lvlJc w:val="left"/>
      <w:pPr>
        <w:ind w:left="692" w:hanging="100"/>
      </w:pPr>
      <w:rPr>
        <w:rFonts w:hint="default"/>
      </w:rPr>
    </w:lvl>
    <w:lvl w:ilvl="3" w:tplc="22AA4240">
      <w:numFmt w:val="bullet"/>
      <w:lvlText w:val="•"/>
      <w:lvlJc w:val="left"/>
      <w:pPr>
        <w:ind w:left="959" w:hanging="100"/>
      </w:pPr>
      <w:rPr>
        <w:rFonts w:hint="default"/>
      </w:rPr>
    </w:lvl>
    <w:lvl w:ilvl="4" w:tplc="14D0B01A">
      <w:numFmt w:val="bullet"/>
      <w:lvlText w:val="•"/>
      <w:lvlJc w:val="left"/>
      <w:pPr>
        <w:ind w:left="1225" w:hanging="100"/>
      </w:pPr>
      <w:rPr>
        <w:rFonts w:hint="default"/>
      </w:rPr>
    </w:lvl>
    <w:lvl w:ilvl="5" w:tplc="6C2AF7A0">
      <w:numFmt w:val="bullet"/>
      <w:lvlText w:val="•"/>
      <w:lvlJc w:val="left"/>
      <w:pPr>
        <w:ind w:left="1492" w:hanging="100"/>
      </w:pPr>
      <w:rPr>
        <w:rFonts w:hint="default"/>
      </w:rPr>
    </w:lvl>
    <w:lvl w:ilvl="6" w:tplc="74C6563E">
      <w:numFmt w:val="bullet"/>
      <w:lvlText w:val="•"/>
      <w:lvlJc w:val="left"/>
      <w:pPr>
        <w:ind w:left="1758" w:hanging="100"/>
      </w:pPr>
      <w:rPr>
        <w:rFonts w:hint="default"/>
      </w:rPr>
    </w:lvl>
    <w:lvl w:ilvl="7" w:tplc="E99EF032">
      <w:numFmt w:val="bullet"/>
      <w:lvlText w:val="•"/>
      <w:lvlJc w:val="left"/>
      <w:pPr>
        <w:ind w:left="2024" w:hanging="100"/>
      </w:pPr>
      <w:rPr>
        <w:rFonts w:hint="default"/>
      </w:rPr>
    </w:lvl>
    <w:lvl w:ilvl="8" w:tplc="4462C50C">
      <w:numFmt w:val="bullet"/>
      <w:lvlText w:val="•"/>
      <w:lvlJc w:val="left"/>
      <w:pPr>
        <w:ind w:left="2291" w:hanging="100"/>
      </w:pPr>
      <w:rPr>
        <w:rFonts w:hint="default"/>
      </w:rPr>
    </w:lvl>
  </w:abstractNum>
  <w:abstractNum w:abstractNumId="1211" w15:restartNumberingAfterBreak="0">
    <w:nsid w:val="4BDE36E3"/>
    <w:multiLevelType w:val="hybridMultilevel"/>
    <w:tmpl w:val="D4EC0932"/>
    <w:lvl w:ilvl="0" w:tplc="2A08C3D8">
      <w:numFmt w:val="bullet"/>
      <w:lvlText w:val=""/>
      <w:lvlJc w:val="left"/>
      <w:pPr>
        <w:ind w:left="156" w:hanging="100"/>
      </w:pPr>
      <w:rPr>
        <w:rFonts w:ascii="Symbol" w:eastAsia="Symbol" w:hAnsi="Symbol" w:cs="Symbol" w:hint="default"/>
        <w:color w:val="231F20"/>
        <w:w w:val="100"/>
        <w:sz w:val="14"/>
        <w:szCs w:val="14"/>
      </w:rPr>
    </w:lvl>
    <w:lvl w:ilvl="1" w:tplc="B9884C9E">
      <w:numFmt w:val="bullet"/>
      <w:lvlText w:val="•"/>
      <w:lvlJc w:val="left"/>
      <w:pPr>
        <w:ind w:left="301" w:hanging="100"/>
      </w:pPr>
      <w:rPr>
        <w:rFonts w:hint="default"/>
      </w:rPr>
    </w:lvl>
    <w:lvl w:ilvl="2" w:tplc="9E141290">
      <w:numFmt w:val="bullet"/>
      <w:lvlText w:val="•"/>
      <w:lvlJc w:val="left"/>
      <w:pPr>
        <w:ind w:left="443" w:hanging="100"/>
      </w:pPr>
      <w:rPr>
        <w:rFonts w:hint="default"/>
      </w:rPr>
    </w:lvl>
    <w:lvl w:ilvl="3" w:tplc="7B981D28">
      <w:numFmt w:val="bullet"/>
      <w:lvlText w:val="•"/>
      <w:lvlJc w:val="left"/>
      <w:pPr>
        <w:ind w:left="585" w:hanging="100"/>
      </w:pPr>
      <w:rPr>
        <w:rFonts w:hint="default"/>
      </w:rPr>
    </w:lvl>
    <w:lvl w:ilvl="4" w:tplc="10B8A7C8">
      <w:numFmt w:val="bullet"/>
      <w:lvlText w:val="•"/>
      <w:lvlJc w:val="left"/>
      <w:pPr>
        <w:ind w:left="726" w:hanging="100"/>
      </w:pPr>
      <w:rPr>
        <w:rFonts w:hint="default"/>
      </w:rPr>
    </w:lvl>
    <w:lvl w:ilvl="5" w:tplc="222A2D5C">
      <w:numFmt w:val="bullet"/>
      <w:lvlText w:val="•"/>
      <w:lvlJc w:val="left"/>
      <w:pPr>
        <w:ind w:left="868" w:hanging="100"/>
      </w:pPr>
      <w:rPr>
        <w:rFonts w:hint="default"/>
      </w:rPr>
    </w:lvl>
    <w:lvl w:ilvl="6" w:tplc="87FA0486">
      <w:numFmt w:val="bullet"/>
      <w:lvlText w:val="•"/>
      <w:lvlJc w:val="left"/>
      <w:pPr>
        <w:ind w:left="1010" w:hanging="100"/>
      </w:pPr>
      <w:rPr>
        <w:rFonts w:hint="default"/>
      </w:rPr>
    </w:lvl>
    <w:lvl w:ilvl="7" w:tplc="D7427C46">
      <w:numFmt w:val="bullet"/>
      <w:lvlText w:val="•"/>
      <w:lvlJc w:val="left"/>
      <w:pPr>
        <w:ind w:left="1151" w:hanging="100"/>
      </w:pPr>
      <w:rPr>
        <w:rFonts w:hint="default"/>
      </w:rPr>
    </w:lvl>
    <w:lvl w:ilvl="8" w:tplc="268E6998">
      <w:numFmt w:val="bullet"/>
      <w:lvlText w:val="•"/>
      <w:lvlJc w:val="left"/>
      <w:pPr>
        <w:ind w:left="1293" w:hanging="100"/>
      </w:pPr>
      <w:rPr>
        <w:rFonts w:hint="default"/>
      </w:rPr>
    </w:lvl>
  </w:abstractNum>
  <w:abstractNum w:abstractNumId="1212" w15:restartNumberingAfterBreak="0">
    <w:nsid w:val="4C0B03AD"/>
    <w:multiLevelType w:val="hybridMultilevel"/>
    <w:tmpl w:val="4858B508"/>
    <w:lvl w:ilvl="0" w:tplc="64E64E52">
      <w:numFmt w:val="bullet"/>
      <w:lvlText w:val=""/>
      <w:lvlJc w:val="left"/>
      <w:pPr>
        <w:ind w:left="156" w:hanging="100"/>
      </w:pPr>
      <w:rPr>
        <w:rFonts w:ascii="Symbol" w:eastAsia="Symbol" w:hAnsi="Symbol" w:cs="Symbol" w:hint="default"/>
        <w:color w:val="231F20"/>
        <w:w w:val="100"/>
        <w:sz w:val="14"/>
        <w:szCs w:val="14"/>
      </w:rPr>
    </w:lvl>
    <w:lvl w:ilvl="1" w:tplc="32C28C06">
      <w:numFmt w:val="bullet"/>
      <w:lvlText w:val="•"/>
      <w:lvlJc w:val="left"/>
      <w:pPr>
        <w:ind w:left="301" w:hanging="100"/>
      </w:pPr>
      <w:rPr>
        <w:rFonts w:hint="default"/>
      </w:rPr>
    </w:lvl>
    <w:lvl w:ilvl="2" w:tplc="32844D58">
      <w:numFmt w:val="bullet"/>
      <w:lvlText w:val="•"/>
      <w:lvlJc w:val="left"/>
      <w:pPr>
        <w:ind w:left="443" w:hanging="100"/>
      </w:pPr>
      <w:rPr>
        <w:rFonts w:hint="default"/>
      </w:rPr>
    </w:lvl>
    <w:lvl w:ilvl="3" w:tplc="8B8E4488">
      <w:numFmt w:val="bullet"/>
      <w:lvlText w:val="•"/>
      <w:lvlJc w:val="left"/>
      <w:pPr>
        <w:ind w:left="585" w:hanging="100"/>
      </w:pPr>
      <w:rPr>
        <w:rFonts w:hint="default"/>
      </w:rPr>
    </w:lvl>
    <w:lvl w:ilvl="4" w:tplc="62DACE82">
      <w:numFmt w:val="bullet"/>
      <w:lvlText w:val="•"/>
      <w:lvlJc w:val="left"/>
      <w:pPr>
        <w:ind w:left="726" w:hanging="100"/>
      </w:pPr>
      <w:rPr>
        <w:rFonts w:hint="default"/>
      </w:rPr>
    </w:lvl>
    <w:lvl w:ilvl="5" w:tplc="EE4460D6">
      <w:numFmt w:val="bullet"/>
      <w:lvlText w:val="•"/>
      <w:lvlJc w:val="left"/>
      <w:pPr>
        <w:ind w:left="868" w:hanging="100"/>
      </w:pPr>
      <w:rPr>
        <w:rFonts w:hint="default"/>
      </w:rPr>
    </w:lvl>
    <w:lvl w:ilvl="6" w:tplc="524CB71E">
      <w:numFmt w:val="bullet"/>
      <w:lvlText w:val="•"/>
      <w:lvlJc w:val="left"/>
      <w:pPr>
        <w:ind w:left="1010" w:hanging="100"/>
      </w:pPr>
      <w:rPr>
        <w:rFonts w:hint="default"/>
      </w:rPr>
    </w:lvl>
    <w:lvl w:ilvl="7" w:tplc="7730FB8E">
      <w:numFmt w:val="bullet"/>
      <w:lvlText w:val="•"/>
      <w:lvlJc w:val="left"/>
      <w:pPr>
        <w:ind w:left="1151" w:hanging="100"/>
      </w:pPr>
      <w:rPr>
        <w:rFonts w:hint="default"/>
      </w:rPr>
    </w:lvl>
    <w:lvl w:ilvl="8" w:tplc="1390F8FA">
      <w:numFmt w:val="bullet"/>
      <w:lvlText w:val="•"/>
      <w:lvlJc w:val="left"/>
      <w:pPr>
        <w:ind w:left="1293" w:hanging="100"/>
      </w:pPr>
      <w:rPr>
        <w:rFonts w:hint="default"/>
      </w:rPr>
    </w:lvl>
  </w:abstractNum>
  <w:abstractNum w:abstractNumId="1213" w15:restartNumberingAfterBreak="0">
    <w:nsid w:val="4C0D45EB"/>
    <w:multiLevelType w:val="hybridMultilevel"/>
    <w:tmpl w:val="1E0AF080"/>
    <w:lvl w:ilvl="0" w:tplc="1AA465BE">
      <w:numFmt w:val="bullet"/>
      <w:lvlText w:val=""/>
      <w:lvlJc w:val="left"/>
      <w:pPr>
        <w:ind w:left="157" w:hanging="100"/>
      </w:pPr>
      <w:rPr>
        <w:rFonts w:ascii="Symbol" w:eastAsia="Symbol" w:hAnsi="Symbol" w:cs="Symbol" w:hint="default"/>
        <w:color w:val="231F20"/>
        <w:w w:val="100"/>
        <w:sz w:val="14"/>
        <w:szCs w:val="14"/>
      </w:rPr>
    </w:lvl>
    <w:lvl w:ilvl="1" w:tplc="CACC736C">
      <w:numFmt w:val="bullet"/>
      <w:lvlText w:val="•"/>
      <w:lvlJc w:val="left"/>
      <w:pPr>
        <w:ind w:left="369" w:hanging="100"/>
      </w:pPr>
      <w:rPr>
        <w:rFonts w:hint="default"/>
      </w:rPr>
    </w:lvl>
    <w:lvl w:ilvl="2" w:tplc="93F6D8CA">
      <w:numFmt w:val="bullet"/>
      <w:lvlText w:val="•"/>
      <w:lvlJc w:val="left"/>
      <w:pPr>
        <w:ind w:left="579" w:hanging="100"/>
      </w:pPr>
      <w:rPr>
        <w:rFonts w:hint="default"/>
      </w:rPr>
    </w:lvl>
    <w:lvl w:ilvl="3" w:tplc="7AD2307C">
      <w:numFmt w:val="bullet"/>
      <w:lvlText w:val="•"/>
      <w:lvlJc w:val="left"/>
      <w:pPr>
        <w:ind w:left="789" w:hanging="100"/>
      </w:pPr>
      <w:rPr>
        <w:rFonts w:hint="default"/>
      </w:rPr>
    </w:lvl>
    <w:lvl w:ilvl="4" w:tplc="73E456AA">
      <w:numFmt w:val="bullet"/>
      <w:lvlText w:val="•"/>
      <w:lvlJc w:val="left"/>
      <w:pPr>
        <w:ind w:left="998" w:hanging="100"/>
      </w:pPr>
      <w:rPr>
        <w:rFonts w:hint="default"/>
      </w:rPr>
    </w:lvl>
    <w:lvl w:ilvl="5" w:tplc="29E4749A">
      <w:numFmt w:val="bullet"/>
      <w:lvlText w:val="•"/>
      <w:lvlJc w:val="left"/>
      <w:pPr>
        <w:ind w:left="1208" w:hanging="100"/>
      </w:pPr>
      <w:rPr>
        <w:rFonts w:hint="default"/>
      </w:rPr>
    </w:lvl>
    <w:lvl w:ilvl="6" w:tplc="B250286E">
      <w:numFmt w:val="bullet"/>
      <w:lvlText w:val="•"/>
      <w:lvlJc w:val="left"/>
      <w:pPr>
        <w:ind w:left="1418" w:hanging="100"/>
      </w:pPr>
      <w:rPr>
        <w:rFonts w:hint="default"/>
      </w:rPr>
    </w:lvl>
    <w:lvl w:ilvl="7" w:tplc="774041B2">
      <w:numFmt w:val="bullet"/>
      <w:lvlText w:val="•"/>
      <w:lvlJc w:val="left"/>
      <w:pPr>
        <w:ind w:left="1627" w:hanging="100"/>
      </w:pPr>
      <w:rPr>
        <w:rFonts w:hint="default"/>
      </w:rPr>
    </w:lvl>
    <w:lvl w:ilvl="8" w:tplc="B5A87820">
      <w:numFmt w:val="bullet"/>
      <w:lvlText w:val="•"/>
      <w:lvlJc w:val="left"/>
      <w:pPr>
        <w:ind w:left="1837" w:hanging="100"/>
      </w:pPr>
      <w:rPr>
        <w:rFonts w:hint="default"/>
      </w:rPr>
    </w:lvl>
  </w:abstractNum>
  <w:abstractNum w:abstractNumId="1214" w15:restartNumberingAfterBreak="0">
    <w:nsid w:val="4C1B66E0"/>
    <w:multiLevelType w:val="hybridMultilevel"/>
    <w:tmpl w:val="BCBC26C2"/>
    <w:lvl w:ilvl="0" w:tplc="5B6C9182">
      <w:numFmt w:val="bullet"/>
      <w:lvlText w:val=""/>
      <w:lvlJc w:val="left"/>
      <w:pPr>
        <w:ind w:left="156" w:hanging="100"/>
      </w:pPr>
      <w:rPr>
        <w:rFonts w:ascii="Symbol" w:eastAsia="Symbol" w:hAnsi="Symbol" w:cs="Symbol" w:hint="default"/>
        <w:color w:val="231F20"/>
        <w:w w:val="100"/>
        <w:sz w:val="14"/>
        <w:szCs w:val="14"/>
      </w:rPr>
    </w:lvl>
    <w:lvl w:ilvl="1" w:tplc="B38A6466">
      <w:numFmt w:val="bullet"/>
      <w:lvlText w:val="•"/>
      <w:lvlJc w:val="left"/>
      <w:pPr>
        <w:ind w:left="301" w:hanging="100"/>
      </w:pPr>
      <w:rPr>
        <w:rFonts w:hint="default"/>
      </w:rPr>
    </w:lvl>
    <w:lvl w:ilvl="2" w:tplc="12EE7B32">
      <w:numFmt w:val="bullet"/>
      <w:lvlText w:val="•"/>
      <w:lvlJc w:val="left"/>
      <w:pPr>
        <w:ind w:left="443" w:hanging="100"/>
      </w:pPr>
      <w:rPr>
        <w:rFonts w:hint="default"/>
      </w:rPr>
    </w:lvl>
    <w:lvl w:ilvl="3" w:tplc="B4E09590">
      <w:numFmt w:val="bullet"/>
      <w:lvlText w:val="•"/>
      <w:lvlJc w:val="left"/>
      <w:pPr>
        <w:ind w:left="585" w:hanging="100"/>
      </w:pPr>
      <w:rPr>
        <w:rFonts w:hint="default"/>
      </w:rPr>
    </w:lvl>
    <w:lvl w:ilvl="4" w:tplc="534E5906">
      <w:numFmt w:val="bullet"/>
      <w:lvlText w:val="•"/>
      <w:lvlJc w:val="left"/>
      <w:pPr>
        <w:ind w:left="726" w:hanging="100"/>
      </w:pPr>
      <w:rPr>
        <w:rFonts w:hint="default"/>
      </w:rPr>
    </w:lvl>
    <w:lvl w:ilvl="5" w:tplc="D14E2F58">
      <w:numFmt w:val="bullet"/>
      <w:lvlText w:val="•"/>
      <w:lvlJc w:val="left"/>
      <w:pPr>
        <w:ind w:left="868" w:hanging="100"/>
      </w:pPr>
      <w:rPr>
        <w:rFonts w:hint="default"/>
      </w:rPr>
    </w:lvl>
    <w:lvl w:ilvl="6" w:tplc="AFAE3E28">
      <w:numFmt w:val="bullet"/>
      <w:lvlText w:val="•"/>
      <w:lvlJc w:val="left"/>
      <w:pPr>
        <w:ind w:left="1010" w:hanging="100"/>
      </w:pPr>
      <w:rPr>
        <w:rFonts w:hint="default"/>
      </w:rPr>
    </w:lvl>
    <w:lvl w:ilvl="7" w:tplc="FA448A94">
      <w:numFmt w:val="bullet"/>
      <w:lvlText w:val="•"/>
      <w:lvlJc w:val="left"/>
      <w:pPr>
        <w:ind w:left="1151" w:hanging="100"/>
      </w:pPr>
      <w:rPr>
        <w:rFonts w:hint="default"/>
      </w:rPr>
    </w:lvl>
    <w:lvl w:ilvl="8" w:tplc="F2868EFC">
      <w:numFmt w:val="bullet"/>
      <w:lvlText w:val="•"/>
      <w:lvlJc w:val="left"/>
      <w:pPr>
        <w:ind w:left="1293" w:hanging="100"/>
      </w:pPr>
      <w:rPr>
        <w:rFonts w:hint="default"/>
      </w:rPr>
    </w:lvl>
  </w:abstractNum>
  <w:abstractNum w:abstractNumId="1215" w15:restartNumberingAfterBreak="0">
    <w:nsid w:val="4C1E711A"/>
    <w:multiLevelType w:val="hybridMultilevel"/>
    <w:tmpl w:val="8048B6E4"/>
    <w:lvl w:ilvl="0" w:tplc="D3AE68D6">
      <w:numFmt w:val="bullet"/>
      <w:lvlText w:val=""/>
      <w:lvlJc w:val="left"/>
      <w:pPr>
        <w:ind w:left="156" w:hanging="100"/>
      </w:pPr>
      <w:rPr>
        <w:rFonts w:ascii="Symbol" w:eastAsia="Symbol" w:hAnsi="Symbol" w:cs="Symbol" w:hint="default"/>
        <w:color w:val="231F20"/>
        <w:w w:val="100"/>
        <w:sz w:val="14"/>
        <w:szCs w:val="14"/>
      </w:rPr>
    </w:lvl>
    <w:lvl w:ilvl="1" w:tplc="43F6B800">
      <w:numFmt w:val="bullet"/>
      <w:lvlText w:val="•"/>
      <w:lvlJc w:val="left"/>
      <w:pPr>
        <w:ind w:left="426" w:hanging="100"/>
      </w:pPr>
      <w:rPr>
        <w:rFonts w:hint="default"/>
      </w:rPr>
    </w:lvl>
    <w:lvl w:ilvl="2" w:tplc="5188301E">
      <w:numFmt w:val="bullet"/>
      <w:lvlText w:val="•"/>
      <w:lvlJc w:val="left"/>
      <w:pPr>
        <w:ind w:left="692" w:hanging="100"/>
      </w:pPr>
      <w:rPr>
        <w:rFonts w:hint="default"/>
      </w:rPr>
    </w:lvl>
    <w:lvl w:ilvl="3" w:tplc="46DA69CC">
      <w:numFmt w:val="bullet"/>
      <w:lvlText w:val="•"/>
      <w:lvlJc w:val="left"/>
      <w:pPr>
        <w:ind w:left="959" w:hanging="100"/>
      </w:pPr>
      <w:rPr>
        <w:rFonts w:hint="default"/>
      </w:rPr>
    </w:lvl>
    <w:lvl w:ilvl="4" w:tplc="329005CC">
      <w:numFmt w:val="bullet"/>
      <w:lvlText w:val="•"/>
      <w:lvlJc w:val="left"/>
      <w:pPr>
        <w:ind w:left="1225" w:hanging="100"/>
      </w:pPr>
      <w:rPr>
        <w:rFonts w:hint="default"/>
      </w:rPr>
    </w:lvl>
    <w:lvl w:ilvl="5" w:tplc="E10ACB86">
      <w:numFmt w:val="bullet"/>
      <w:lvlText w:val="•"/>
      <w:lvlJc w:val="left"/>
      <w:pPr>
        <w:ind w:left="1492" w:hanging="100"/>
      </w:pPr>
      <w:rPr>
        <w:rFonts w:hint="default"/>
      </w:rPr>
    </w:lvl>
    <w:lvl w:ilvl="6" w:tplc="51DCB948">
      <w:numFmt w:val="bullet"/>
      <w:lvlText w:val="•"/>
      <w:lvlJc w:val="left"/>
      <w:pPr>
        <w:ind w:left="1758" w:hanging="100"/>
      </w:pPr>
      <w:rPr>
        <w:rFonts w:hint="default"/>
      </w:rPr>
    </w:lvl>
    <w:lvl w:ilvl="7" w:tplc="A09AE06E">
      <w:numFmt w:val="bullet"/>
      <w:lvlText w:val="•"/>
      <w:lvlJc w:val="left"/>
      <w:pPr>
        <w:ind w:left="2024" w:hanging="100"/>
      </w:pPr>
      <w:rPr>
        <w:rFonts w:hint="default"/>
      </w:rPr>
    </w:lvl>
    <w:lvl w:ilvl="8" w:tplc="60A046F6">
      <w:numFmt w:val="bullet"/>
      <w:lvlText w:val="•"/>
      <w:lvlJc w:val="left"/>
      <w:pPr>
        <w:ind w:left="2291" w:hanging="100"/>
      </w:pPr>
      <w:rPr>
        <w:rFonts w:hint="default"/>
      </w:rPr>
    </w:lvl>
  </w:abstractNum>
  <w:abstractNum w:abstractNumId="1216" w15:restartNumberingAfterBreak="0">
    <w:nsid w:val="4C31319C"/>
    <w:multiLevelType w:val="hybridMultilevel"/>
    <w:tmpl w:val="C9C078E6"/>
    <w:lvl w:ilvl="0" w:tplc="8BC6C22E">
      <w:numFmt w:val="bullet"/>
      <w:lvlText w:val=""/>
      <w:lvlJc w:val="left"/>
      <w:pPr>
        <w:ind w:left="156" w:hanging="100"/>
      </w:pPr>
      <w:rPr>
        <w:rFonts w:ascii="Symbol" w:eastAsia="Symbol" w:hAnsi="Symbol" w:cs="Symbol" w:hint="default"/>
        <w:color w:val="231F20"/>
        <w:w w:val="100"/>
        <w:sz w:val="14"/>
        <w:szCs w:val="14"/>
      </w:rPr>
    </w:lvl>
    <w:lvl w:ilvl="1" w:tplc="110C647E">
      <w:numFmt w:val="bullet"/>
      <w:lvlText w:val="•"/>
      <w:lvlJc w:val="left"/>
      <w:pPr>
        <w:ind w:left="398" w:hanging="100"/>
      </w:pPr>
      <w:rPr>
        <w:rFonts w:hint="default"/>
      </w:rPr>
    </w:lvl>
    <w:lvl w:ilvl="2" w:tplc="D6AE7C9A">
      <w:numFmt w:val="bullet"/>
      <w:lvlText w:val="•"/>
      <w:lvlJc w:val="left"/>
      <w:pPr>
        <w:ind w:left="636" w:hanging="100"/>
      </w:pPr>
      <w:rPr>
        <w:rFonts w:hint="default"/>
      </w:rPr>
    </w:lvl>
    <w:lvl w:ilvl="3" w:tplc="C0DC3846">
      <w:numFmt w:val="bullet"/>
      <w:lvlText w:val="•"/>
      <w:lvlJc w:val="left"/>
      <w:pPr>
        <w:ind w:left="874" w:hanging="100"/>
      </w:pPr>
      <w:rPr>
        <w:rFonts w:hint="default"/>
      </w:rPr>
    </w:lvl>
    <w:lvl w:ilvl="4" w:tplc="6292D162">
      <w:numFmt w:val="bullet"/>
      <w:lvlText w:val="•"/>
      <w:lvlJc w:val="left"/>
      <w:pPr>
        <w:ind w:left="1112" w:hanging="100"/>
      </w:pPr>
      <w:rPr>
        <w:rFonts w:hint="default"/>
      </w:rPr>
    </w:lvl>
    <w:lvl w:ilvl="5" w:tplc="38404D4E">
      <w:numFmt w:val="bullet"/>
      <w:lvlText w:val="•"/>
      <w:lvlJc w:val="left"/>
      <w:pPr>
        <w:ind w:left="1350" w:hanging="100"/>
      </w:pPr>
      <w:rPr>
        <w:rFonts w:hint="default"/>
      </w:rPr>
    </w:lvl>
    <w:lvl w:ilvl="6" w:tplc="17349502">
      <w:numFmt w:val="bullet"/>
      <w:lvlText w:val="•"/>
      <w:lvlJc w:val="left"/>
      <w:pPr>
        <w:ind w:left="1588" w:hanging="100"/>
      </w:pPr>
      <w:rPr>
        <w:rFonts w:hint="default"/>
      </w:rPr>
    </w:lvl>
    <w:lvl w:ilvl="7" w:tplc="11321806">
      <w:numFmt w:val="bullet"/>
      <w:lvlText w:val="•"/>
      <w:lvlJc w:val="left"/>
      <w:pPr>
        <w:ind w:left="1826" w:hanging="100"/>
      </w:pPr>
      <w:rPr>
        <w:rFonts w:hint="default"/>
      </w:rPr>
    </w:lvl>
    <w:lvl w:ilvl="8" w:tplc="E1842970">
      <w:numFmt w:val="bullet"/>
      <w:lvlText w:val="•"/>
      <w:lvlJc w:val="left"/>
      <w:pPr>
        <w:ind w:left="2064" w:hanging="100"/>
      </w:pPr>
      <w:rPr>
        <w:rFonts w:hint="default"/>
      </w:rPr>
    </w:lvl>
  </w:abstractNum>
  <w:abstractNum w:abstractNumId="1217" w15:restartNumberingAfterBreak="0">
    <w:nsid w:val="4C383AD7"/>
    <w:multiLevelType w:val="hybridMultilevel"/>
    <w:tmpl w:val="32C6459E"/>
    <w:lvl w:ilvl="0" w:tplc="13E20286">
      <w:numFmt w:val="bullet"/>
      <w:lvlText w:val=""/>
      <w:lvlJc w:val="left"/>
      <w:pPr>
        <w:ind w:left="157" w:hanging="100"/>
      </w:pPr>
      <w:rPr>
        <w:rFonts w:ascii="Symbol" w:eastAsia="Symbol" w:hAnsi="Symbol" w:cs="Symbol" w:hint="default"/>
        <w:color w:val="231F20"/>
        <w:w w:val="100"/>
        <w:sz w:val="14"/>
        <w:szCs w:val="14"/>
      </w:rPr>
    </w:lvl>
    <w:lvl w:ilvl="1" w:tplc="17F67BCC">
      <w:numFmt w:val="bullet"/>
      <w:lvlText w:val="•"/>
      <w:lvlJc w:val="left"/>
      <w:pPr>
        <w:ind w:left="426" w:hanging="100"/>
      </w:pPr>
      <w:rPr>
        <w:rFonts w:hint="default"/>
      </w:rPr>
    </w:lvl>
    <w:lvl w:ilvl="2" w:tplc="B9E8AAD8">
      <w:numFmt w:val="bullet"/>
      <w:lvlText w:val="•"/>
      <w:lvlJc w:val="left"/>
      <w:pPr>
        <w:ind w:left="692" w:hanging="100"/>
      </w:pPr>
      <w:rPr>
        <w:rFonts w:hint="default"/>
      </w:rPr>
    </w:lvl>
    <w:lvl w:ilvl="3" w:tplc="9F82E306">
      <w:numFmt w:val="bullet"/>
      <w:lvlText w:val="•"/>
      <w:lvlJc w:val="left"/>
      <w:pPr>
        <w:ind w:left="959" w:hanging="100"/>
      </w:pPr>
      <w:rPr>
        <w:rFonts w:hint="default"/>
      </w:rPr>
    </w:lvl>
    <w:lvl w:ilvl="4" w:tplc="18082A84">
      <w:numFmt w:val="bullet"/>
      <w:lvlText w:val="•"/>
      <w:lvlJc w:val="left"/>
      <w:pPr>
        <w:ind w:left="1225" w:hanging="100"/>
      </w:pPr>
      <w:rPr>
        <w:rFonts w:hint="default"/>
      </w:rPr>
    </w:lvl>
    <w:lvl w:ilvl="5" w:tplc="693C9DF4">
      <w:numFmt w:val="bullet"/>
      <w:lvlText w:val="•"/>
      <w:lvlJc w:val="left"/>
      <w:pPr>
        <w:ind w:left="1492" w:hanging="100"/>
      </w:pPr>
      <w:rPr>
        <w:rFonts w:hint="default"/>
      </w:rPr>
    </w:lvl>
    <w:lvl w:ilvl="6" w:tplc="0672B7A0">
      <w:numFmt w:val="bullet"/>
      <w:lvlText w:val="•"/>
      <w:lvlJc w:val="left"/>
      <w:pPr>
        <w:ind w:left="1758" w:hanging="100"/>
      </w:pPr>
      <w:rPr>
        <w:rFonts w:hint="default"/>
      </w:rPr>
    </w:lvl>
    <w:lvl w:ilvl="7" w:tplc="F1E802E6">
      <w:numFmt w:val="bullet"/>
      <w:lvlText w:val="•"/>
      <w:lvlJc w:val="left"/>
      <w:pPr>
        <w:ind w:left="2024" w:hanging="100"/>
      </w:pPr>
      <w:rPr>
        <w:rFonts w:hint="default"/>
      </w:rPr>
    </w:lvl>
    <w:lvl w:ilvl="8" w:tplc="9EDA94D6">
      <w:numFmt w:val="bullet"/>
      <w:lvlText w:val="•"/>
      <w:lvlJc w:val="left"/>
      <w:pPr>
        <w:ind w:left="2291" w:hanging="100"/>
      </w:pPr>
      <w:rPr>
        <w:rFonts w:hint="default"/>
      </w:rPr>
    </w:lvl>
  </w:abstractNum>
  <w:abstractNum w:abstractNumId="1218" w15:restartNumberingAfterBreak="0">
    <w:nsid w:val="4C396BC5"/>
    <w:multiLevelType w:val="hybridMultilevel"/>
    <w:tmpl w:val="87A6882A"/>
    <w:lvl w:ilvl="0" w:tplc="1EDA0BD0">
      <w:numFmt w:val="bullet"/>
      <w:lvlText w:val=""/>
      <w:lvlJc w:val="left"/>
      <w:pPr>
        <w:ind w:left="156" w:hanging="100"/>
      </w:pPr>
      <w:rPr>
        <w:rFonts w:ascii="Symbol" w:eastAsia="Symbol" w:hAnsi="Symbol" w:cs="Symbol" w:hint="default"/>
        <w:color w:val="231F20"/>
        <w:w w:val="100"/>
        <w:sz w:val="14"/>
        <w:szCs w:val="14"/>
      </w:rPr>
    </w:lvl>
    <w:lvl w:ilvl="1" w:tplc="782E1AC0">
      <w:numFmt w:val="bullet"/>
      <w:lvlText w:val="•"/>
      <w:lvlJc w:val="left"/>
      <w:pPr>
        <w:ind w:left="301" w:hanging="100"/>
      </w:pPr>
      <w:rPr>
        <w:rFonts w:hint="default"/>
      </w:rPr>
    </w:lvl>
    <w:lvl w:ilvl="2" w:tplc="B32E8E18">
      <w:numFmt w:val="bullet"/>
      <w:lvlText w:val="•"/>
      <w:lvlJc w:val="left"/>
      <w:pPr>
        <w:ind w:left="443" w:hanging="100"/>
      </w:pPr>
      <w:rPr>
        <w:rFonts w:hint="default"/>
      </w:rPr>
    </w:lvl>
    <w:lvl w:ilvl="3" w:tplc="CA0CA11C">
      <w:numFmt w:val="bullet"/>
      <w:lvlText w:val="•"/>
      <w:lvlJc w:val="left"/>
      <w:pPr>
        <w:ind w:left="585" w:hanging="100"/>
      </w:pPr>
      <w:rPr>
        <w:rFonts w:hint="default"/>
      </w:rPr>
    </w:lvl>
    <w:lvl w:ilvl="4" w:tplc="2A7C3F56">
      <w:numFmt w:val="bullet"/>
      <w:lvlText w:val="•"/>
      <w:lvlJc w:val="left"/>
      <w:pPr>
        <w:ind w:left="726" w:hanging="100"/>
      </w:pPr>
      <w:rPr>
        <w:rFonts w:hint="default"/>
      </w:rPr>
    </w:lvl>
    <w:lvl w:ilvl="5" w:tplc="4A502D54">
      <w:numFmt w:val="bullet"/>
      <w:lvlText w:val="•"/>
      <w:lvlJc w:val="left"/>
      <w:pPr>
        <w:ind w:left="868" w:hanging="100"/>
      </w:pPr>
      <w:rPr>
        <w:rFonts w:hint="default"/>
      </w:rPr>
    </w:lvl>
    <w:lvl w:ilvl="6" w:tplc="4CD05BD6">
      <w:numFmt w:val="bullet"/>
      <w:lvlText w:val="•"/>
      <w:lvlJc w:val="left"/>
      <w:pPr>
        <w:ind w:left="1010" w:hanging="100"/>
      </w:pPr>
      <w:rPr>
        <w:rFonts w:hint="default"/>
      </w:rPr>
    </w:lvl>
    <w:lvl w:ilvl="7" w:tplc="9448042E">
      <w:numFmt w:val="bullet"/>
      <w:lvlText w:val="•"/>
      <w:lvlJc w:val="left"/>
      <w:pPr>
        <w:ind w:left="1151" w:hanging="100"/>
      </w:pPr>
      <w:rPr>
        <w:rFonts w:hint="default"/>
      </w:rPr>
    </w:lvl>
    <w:lvl w:ilvl="8" w:tplc="A790E598">
      <w:numFmt w:val="bullet"/>
      <w:lvlText w:val="•"/>
      <w:lvlJc w:val="left"/>
      <w:pPr>
        <w:ind w:left="1293" w:hanging="100"/>
      </w:pPr>
      <w:rPr>
        <w:rFonts w:hint="default"/>
      </w:rPr>
    </w:lvl>
  </w:abstractNum>
  <w:abstractNum w:abstractNumId="1219" w15:restartNumberingAfterBreak="0">
    <w:nsid w:val="4C3A0CD6"/>
    <w:multiLevelType w:val="hybridMultilevel"/>
    <w:tmpl w:val="24E4C55E"/>
    <w:lvl w:ilvl="0" w:tplc="29806098">
      <w:numFmt w:val="bullet"/>
      <w:lvlText w:val=""/>
      <w:lvlJc w:val="left"/>
      <w:pPr>
        <w:ind w:left="156" w:hanging="100"/>
      </w:pPr>
      <w:rPr>
        <w:rFonts w:ascii="Symbol" w:eastAsia="Symbol" w:hAnsi="Symbol" w:cs="Symbol" w:hint="default"/>
        <w:color w:val="231F20"/>
        <w:w w:val="100"/>
        <w:sz w:val="14"/>
        <w:szCs w:val="14"/>
      </w:rPr>
    </w:lvl>
    <w:lvl w:ilvl="1" w:tplc="3DB24C40">
      <w:numFmt w:val="bullet"/>
      <w:lvlText w:val="•"/>
      <w:lvlJc w:val="left"/>
      <w:pPr>
        <w:ind w:left="398" w:hanging="100"/>
      </w:pPr>
      <w:rPr>
        <w:rFonts w:hint="default"/>
      </w:rPr>
    </w:lvl>
    <w:lvl w:ilvl="2" w:tplc="AF1435FC">
      <w:numFmt w:val="bullet"/>
      <w:lvlText w:val="•"/>
      <w:lvlJc w:val="left"/>
      <w:pPr>
        <w:ind w:left="636" w:hanging="100"/>
      </w:pPr>
      <w:rPr>
        <w:rFonts w:hint="default"/>
      </w:rPr>
    </w:lvl>
    <w:lvl w:ilvl="3" w:tplc="886AC76C">
      <w:numFmt w:val="bullet"/>
      <w:lvlText w:val="•"/>
      <w:lvlJc w:val="left"/>
      <w:pPr>
        <w:ind w:left="874" w:hanging="100"/>
      </w:pPr>
      <w:rPr>
        <w:rFonts w:hint="default"/>
      </w:rPr>
    </w:lvl>
    <w:lvl w:ilvl="4" w:tplc="2A1E2CD6">
      <w:numFmt w:val="bullet"/>
      <w:lvlText w:val="•"/>
      <w:lvlJc w:val="left"/>
      <w:pPr>
        <w:ind w:left="1112" w:hanging="100"/>
      </w:pPr>
      <w:rPr>
        <w:rFonts w:hint="default"/>
      </w:rPr>
    </w:lvl>
    <w:lvl w:ilvl="5" w:tplc="67441D28">
      <w:numFmt w:val="bullet"/>
      <w:lvlText w:val="•"/>
      <w:lvlJc w:val="left"/>
      <w:pPr>
        <w:ind w:left="1350" w:hanging="100"/>
      </w:pPr>
      <w:rPr>
        <w:rFonts w:hint="default"/>
      </w:rPr>
    </w:lvl>
    <w:lvl w:ilvl="6" w:tplc="012427B2">
      <w:numFmt w:val="bullet"/>
      <w:lvlText w:val="•"/>
      <w:lvlJc w:val="left"/>
      <w:pPr>
        <w:ind w:left="1588" w:hanging="100"/>
      </w:pPr>
      <w:rPr>
        <w:rFonts w:hint="default"/>
      </w:rPr>
    </w:lvl>
    <w:lvl w:ilvl="7" w:tplc="3B4AE8E0">
      <w:numFmt w:val="bullet"/>
      <w:lvlText w:val="•"/>
      <w:lvlJc w:val="left"/>
      <w:pPr>
        <w:ind w:left="1826" w:hanging="100"/>
      </w:pPr>
      <w:rPr>
        <w:rFonts w:hint="default"/>
      </w:rPr>
    </w:lvl>
    <w:lvl w:ilvl="8" w:tplc="7ABC0FF4">
      <w:numFmt w:val="bullet"/>
      <w:lvlText w:val="•"/>
      <w:lvlJc w:val="left"/>
      <w:pPr>
        <w:ind w:left="2064" w:hanging="100"/>
      </w:pPr>
      <w:rPr>
        <w:rFonts w:hint="default"/>
      </w:rPr>
    </w:lvl>
  </w:abstractNum>
  <w:abstractNum w:abstractNumId="1220" w15:restartNumberingAfterBreak="0">
    <w:nsid w:val="4C453D78"/>
    <w:multiLevelType w:val="hybridMultilevel"/>
    <w:tmpl w:val="CD769E56"/>
    <w:lvl w:ilvl="0" w:tplc="CA92FB2C">
      <w:numFmt w:val="bullet"/>
      <w:lvlText w:val=""/>
      <w:lvlJc w:val="left"/>
      <w:pPr>
        <w:ind w:left="156" w:hanging="100"/>
      </w:pPr>
      <w:rPr>
        <w:rFonts w:ascii="Symbol" w:eastAsia="Symbol" w:hAnsi="Symbol" w:cs="Symbol" w:hint="default"/>
        <w:color w:val="231F20"/>
        <w:w w:val="100"/>
        <w:sz w:val="14"/>
        <w:szCs w:val="14"/>
      </w:rPr>
    </w:lvl>
    <w:lvl w:ilvl="1" w:tplc="92F8A5A8">
      <w:numFmt w:val="bullet"/>
      <w:lvlText w:val="•"/>
      <w:lvlJc w:val="left"/>
      <w:pPr>
        <w:ind w:left="301" w:hanging="100"/>
      </w:pPr>
      <w:rPr>
        <w:rFonts w:hint="default"/>
      </w:rPr>
    </w:lvl>
    <w:lvl w:ilvl="2" w:tplc="8858388C">
      <w:numFmt w:val="bullet"/>
      <w:lvlText w:val="•"/>
      <w:lvlJc w:val="left"/>
      <w:pPr>
        <w:ind w:left="443" w:hanging="100"/>
      </w:pPr>
      <w:rPr>
        <w:rFonts w:hint="default"/>
      </w:rPr>
    </w:lvl>
    <w:lvl w:ilvl="3" w:tplc="B088F18E">
      <w:numFmt w:val="bullet"/>
      <w:lvlText w:val="•"/>
      <w:lvlJc w:val="left"/>
      <w:pPr>
        <w:ind w:left="585" w:hanging="100"/>
      </w:pPr>
      <w:rPr>
        <w:rFonts w:hint="default"/>
      </w:rPr>
    </w:lvl>
    <w:lvl w:ilvl="4" w:tplc="9F32F2E6">
      <w:numFmt w:val="bullet"/>
      <w:lvlText w:val="•"/>
      <w:lvlJc w:val="left"/>
      <w:pPr>
        <w:ind w:left="726" w:hanging="100"/>
      </w:pPr>
      <w:rPr>
        <w:rFonts w:hint="default"/>
      </w:rPr>
    </w:lvl>
    <w:lvl w:ilvl="5" w:tplc="E54E89C0">
      <w:numFmt w:val="bullet"/>
      <w:lvlText w:val="•"/>
      <w:lvlJc w:val="left"/>
      <w:pPr>
        <w:ind w:left="868" w:hanging="100"/>
      </w:pPr>
      <w:rPr>
        <w:rFonts w:hint="default"/>
      </w:rPr>
    </w:lvl>
    <w:lvl w:ilvl="6" w:tplc="33E2AF4C">
      <w:numFmt w:val="bullet"/>
      <w:lvlText w:val="•"/>
      <w:lvlJc w:val="left"/>
      <w:pPr>
        <w:ind w:left="1010" w:hanging="100"/>
      </w:pPr>
      <w:rPr>
        <w:rFonts w:hint="default"/>
      </w:rPr>
    </w:lvl>
    <w:lvl w:ilvl="7" w:tplc="818AECEE">
      <w:numFmt w:val="bullet"/>
      <w:lvlText w:val="•"/>
      <w:lvlJc w:val="left"/>
      <w:pPr>
        <w:ind w:left="1151" w:hanging="100"/>
      </w:pPr>
      <w:rPr>
        <w:rFonts w:hint="default"/>
      </w:rPr>
    </w:lvl>
    <w:lvl w:ilvl="8" w:tplc="EB048D00">
      <w:numFmt w:val="bullet"/>
      <w:lvlText w:val="•"/>
      <w:lvlJc w:val="left"/>
      <w:pPr>
        <w:ind w:left="1293" w:hanging="100"/>
      </w:pPr>
      <w:rPr>
        <w:rFonts w:hint="default"/>
      </w:rPr>
    </w:lvl>
  </w:abstractNum>
  <w:abstractNum w:abstractNumId="1221" w15:restartNumberingAfterBreak="0">
    <w:nsid w:val="4C465A79"/>
    <w:multiLevelType w:val="hybridMultilevel"/>
    <w:tmpl w:val="270EB8A8"/>
    <w:lvl w:ilvl="0" w:tplc="7E70F7D0">
      <w:numFmt w:val="bullet"/>
      <w:lvlText w:val=""/>
      <w:lvlJc w:val="left"/>
      <w:pPr>
        <w:ind w:left="156" w:hanging="100"/>
      </w:pPr>
      <w:rPr>
        <w:rFonts w:ascii="Symbol" w:eastAsia="Symbol" w:hAnsi="Symbol" w:cs="Symbol" w:hint="default"/>
        <w:color w:val="231F20"/>
        <w:w w:val="100"/>
        <w:sz w:val="14"/>
        <w:szCs w:val="14"/>
      </w:rPr>
    </w:lvl>
    <w:lvl w:ilvl="1" w:tplc="A416868E">
      <w:numFmt w:val="bullet"/>
      <w:lvlText w:val="•"/>
      <w:lvlJc w:val="left"/>
      <w:pPr>
        <w:ind w:left="454" w:hanging="100"/>
      </w:pPr>
      <w:rPr>
        <w:rFonts w:hint="default"/>
      </w:rPr>
    </w:lvl>
    <w:lvl w:ilvl="2" w:tplc="863E719C">
      <w:numFmt w:val="bullet"/>
      <w:lvlText w:val="•"/>
      <w:lvlJc w:val="left"/>
      <w:pPr>
        <w:ind w:left="749" w:hanging="100"/>
      </w:pPr>
      <w:rPr>
        <w:rFonts w:hint="default"/>
      </w:rPr>
    </w:lvl>
    <w:lvl w:ilvl="3" w:tplc="DAF21A52">
      <w:numFmt w:val="bullet"/>
      <w:lvlText w:val="•"/>
      <w:lvlJc w:val="left"/>
      <w:pPr>
        <w:ind w:left="1044" w:hanging="100"/>
      </w:pPr>
      <w:rPr>
        <w:rFonts w:hint="default"/>
      </w:rPr>
    </w:lvl>
    <w:lvl w:ilvl="4" w:tplc="1A5CB4A2">
      <w:numFmt w:val="bullet"/>
      <w:lvlText w:val="•"/>
      <w:lvlJc w:val="left"/>
      <w:pPr>
        <w:ind w:left="1339" w:hanging="100"/>
      </w:pPr>
      <w:rPr>
        <w:rFonts w:hint="default"/>
      </w:rPr>
    </w:lvl>
    <w:lvl w:ilvl="5" w:tplc="4FFE1B24">
      <w:numFmt w:val="bullet"/>
      <w:lvlText w:val="•"/>
      <w:lvlJc w:val="left"/>
      <w:pPr>
        <w:ind w:left="1634" w:hanging="100"/>
      </w:pPr>
      <w:rPr>
        <w:rFonts w:hint="default"/>
      </w:rPr>
    </w:lvl>
    <w:lvl w:ilvl="6" w:tplc="B9547148">
      <w:numFmt w:val="bullet"/>
      <w:lvlText w:val="•"/>
      <w:lvlJc w:val="left"/>
      <w:pPr>
        <w:ind w:left="1928" w:hanging="100"/>
      </w:pPr>
      <w:rPr>
        <w:rFonts w:hint="default"/>
      </w:rPr>
    </w:lvl>
    <w:lvl w:ilvl="7" w:tplc="36DC2450">
      <w:numFmt w:val="bullet"/>
      <w:lvlText w:val="•"/>
      <w:lvlJc w:val="left"/>
      <w:pPr>
        <w:ind w:left="2223" w:hanging="100"/>
      </w:pPr>
      <w:rPr>
        <w:rFonts w:hint="default"/>
      </w:rPr>
    </w:lvl>
    <w:lvl w:ilvl="8" w:tplc="902A3AA8">
      <w:numFmt w:val="bullet"/>
      <w:lvlText w:val="•"/>
      <w:lvlJc w:val="left"/>
      <w:pPr>
        <w:ind w:left="2518" w:hanging="100"/>
      </w:pPr>
      <w:rPr>
        <w:rFonts w:hint="default"/>
      </w:rPr>
    </w:lvl>
  </w:abstractNum>
  <w:abstractNum w:abstractNumId="1222" w15:restartNumberingAfterBreak="0">
    <w:nsid w:val="4C495DDC"/>
    <w:multiLevelType w:val="hybridMultilevel"/>
    <w:tmpl w:val="0AE67528"/>
    <w:lvl w:ilvl="0" w:tplc="FABE0024">
      <w:numFmt w:val="bullet"/>
      <w:lvlText w:val=""/>
      <w:lvlJc w:val="left"/>
      <w:pPr>
        <w:ind w:left="156" w:hanging="100"/>
      </w:pPr>
      <w:rPr>
        <w:rFonts w:ascii="Symbol" w:eastAsia="Symbol" w:hAnsi="Symbol" w:cs="Symbol" w:hint="default"/>
        <w:color w:val="231F20"/>
        <w:w w:val="100"/>
        <w:sz w:val="14"/>
        <w:szCs w:val="14"/>
      </w:rPr>
    </w:lvl>
    <w:lvl w:ilvl="1" w:tplc="A2ECD40C">
      <w:numFmt w:val="bullet"/>
      <w:lvlText w:val="•"/>
      <w:lvlJc w:val="left"/>
      <w:pPr>
        <w:ind w:left="398" w:hanging="100"/>
      </w:pPr>
      <w:rPr>
        <w:rFonts w:hint="default"/>
      </w:rPr>
    </w:lvl>
    <w:lvl w:ilvl="2" w:tplc="47D642B2">
      <w:numFmt w:val="bullet"/>
      <w:lvlText w:val="•"/>
      <w:lvlJc w:val="left"/>
      <w:pPr>
        <w:ind w:left="636" w:hanging="100"/>
      </w:pPr>
      <w:rPr>
        <w:rFonts w:hint="default"/>
      </w:rPr>
    </w:lvl>
    <w:lvl w:ilvl="3" w:tplc="FC063364">
      <w:numFmt w:val="bullet"/>
      <w:lvlText w:val="•"/>
      <w:lvlJc w:val="left"/>
      <w:pPr>
        <w:ind w:left="874" w:hanging="100"/>
      </w:pPr>
      <w:rPr>
        <w:rFonts w:hint="default"/>
      </w:rPr>
    </w:lvl>
    <w:lvl w:ilvl="4" w:tplc="E1CCD278">
      <w:numFmt w:val="bullet"/>
      <w:lvlText w:val="•"/>
      <w:lvlJc w:val="left"/>
      <w:pPr>
        <w:ind w:left="1112" w:hanging="100"/>
      </w:pPr>
      <w:rPr>
        <w:rFonts w:hint="default"/>
      </w:rPr>
    </w:lvl>
    <w:lvl w:ilvl="5" w:tplc="D47405A8">
      <w:numFmt w:val="bullet"/>
      <w:lvlText w:val="•"/>
      <w:lvlJc w:val="left"/>
      <w:pPr>
        <w:ind w:left="1350" w:hanging="100"/>
      </w:pPr>
      <w:rPr>
        <w:rFonts w:hint="default"/>
      </w:rPr>
    </w:lvl>
    <w:lvl w:ilvl="6" w:tplc="44249DA6">
      <w:numFmt w:val="bullet"/>
      <w:lvlText w:val="•"/>
      <w:lvlJc w:val="left"/>
      <w:pPr>
        <w:ind w:left="1588" w:hanging="100"/>
      </w:pPr>
      <w:rPr>
        <w:rFonts w:hint="default"/>
      </w:rPr>
    </w:lvl>
    <w:lvl w:ilvl="7" w:tplc="6EAA1118">
      <w:numFmt w:val="bullet"/>
      <w:lvlText w:val="•"/>
      <w:lvlJc w:val="left"/>
      <w:pPr>
        <w:ind w:left="1826" w:hanging="100"/>
      </w:pPr>
      <w:rPr>
        <w:rFonts w:hint="default"/>
      </w:rPr>
    </w:lvl>
    <w:lvl w:ilvl="8" w:tplc="03BA6052">
      <w:numFmt w:val="bullet"/>
      <w:lvlText w:val="•"/>
      <w:lvlJc w:val="left"/>
      <w:pPr>
        <w:ind w:left="2064" w:hanging="100"/>
      </w:pPr>
      <w:rPr>
        <w:rFonts w:hint="default"/>
      </w:rPr>
    </w:lvl>
  </w:abstractNum>
  <w:abstractNum w:abstractNumId="1223" w15:restartNumberingAfterBreak="0">
    <w:nsid w:val="4C645E25"/>
    <w:multiLevelType w:val="hybridMultilevel"/>
    <w:tmpl w:val="FF84F62C"/>
    <w:lvl w:ilvl="0" w:tplc="9474BFB0">
      <w:numFmt w:val="bullet"/>
      <w:lvlText w:val=""/>
      <w:lvlJc w:val="left"/>
      <w:pPr>
        <w:ind w:left="156" w:hanging="100"/>
      </w:pPr>
      <w:rPr>
        <w:rFonts w:ascii="Symbol" w:eastAsia="Symbol" w:hAnsi="Symbol" w:cs="Symbol" w:hint="default"/>
        <w:color w:val="231F20"/>
        <w:w w:val="100"/>
        <w:sz w:val="14"/>
        <w:szCs w:val="14"/>
      </w:rPr>
    </w:lvl>
    <w:lvl w:ilvl="1" w:tplc="49F219BE">
      <w:numFmt w:val="bullet"/>
      <w:lvlText w:val="•"/>
      <w:lvlJc w:val="left"/>
      <w:pPr>
        <w:ind w:left="273" w:hanging="100"/>
      </w:pPr>
      <w:rPr>
        <w:rFonts w:hint="default"/>
      </w:rPr>
    </w:lvl>
    <w:lvl w:ilvl="2" w:tplc="0F3CE3BE">
      <w:numFmt w:val="bullet"/>
      <w:lvlText w:val="•"/>
      <w:lvlJc w:val="left"/>
      <w:pPr>
        <w:ind w:left="386" w:hanging="100"/>
      </w:pPr>
      <w:rPr>
        <w:rFonts w:hint="default"/>
      </w:rPr>
    </w:lvl>
    <w:lvl w:ilvl="3" w:tplc="A4B65A26">
      <w:numFmt w:val="bullet"/>
      <w:lvlText w:val="•"/>
      <w:lvlJc w:val="left"/>
      <w:pPr>
        <w:ind w:left="500" w:hanging="100"/>
      </w:pPr>
      <w:rPr>
        <w:rFonts w:hint="default"/>
      </w:rPr>
    </w:lvl>
    <w:lvl w:ilvl="4" w:tplc="C1FEDF72">
      <w:numFmt w:val="bullet"/>
      <w:lvlText w:val="•"/>
      <w:lvlJc w:val="left"/>
      <w:pPr>
        <w:ind w:left="613" w:hanging="100"/>
      </w:pPr>
      <w:rPr>
        <w:rFonts w:hint="default"/>
      </w:rPr>
    </w:lvl>
    <w:lvl w:ilvl="5" w:tplc="B73639F4">
      <w:numFmt w:val="bullet"/>
      <w:lvlText w:val="•"/>
      <w:lvlJc w:val="left"/>
      <w:pPr>
        <w:ind w:left="727" w:hanging="100"/>
      </w:pPr>
      <w:rPr>
        <w:rFonts w:hint="default"/>
      </w:rPr>
    </w:lvl>
    <w:lvl w:ilvl="6" w:tplc="98B011FA">
      <w:numFmt w:val="bullet"/>
      <w:lvlText w:val="•"/>
      <w:lvlJc w:val="left"/>
      <w:pPr>
        <w:ind w:left="840" w:hanging="100"/>
      </w:pPr>
      <w:rPr>
        <w:rFonts w:hint="default"/>
      </w:rPr>
    </w:lvl>
    <w:lvl w:ilvl="7" w:tplc="F85CAB08">
      <w:numFmt w:val="bullet"/>
      <w:lvlText w:val="•"/>
      <w:lvlJc w:val="left"/>
      <w:pPr>
        <w:ind w:left="953" w:hanging="100"/>
      </w:pPr>
      <w:rPr>
        <w:rFonts w:hint="default"/>
      </w:rPr>
    </w:lvl>
    <w:lvl w:ilvl="8" w:tplc="BD14238A">
      <w:numFmt w:val="bullet"/>
      <w:lvlText w:val="•"/>
      <w:lvlJc w:val="left"/>
      <w:pPr>
        <w:ind w:left="1067" w:hanging="100"/>
      </w:pPr>
      <w:rPr>
        <w:rFonts w:hint="default"/>
      </w:rPr>
    </w:lvl>
  </w:abstractNum>
  <w:abstractNum w:abstractNumId="1224" w15:restartNumberingAfterBreak="0">
    <w:nsid w:val="4C6B7141"/>
    <w:multiLevelType w:val="hybridMultilevel"/>
    <w:tmpl w:val="3D100E84"/>
    <w:lvl w:ilvl="0" w:tplc="640E001C">
      <w:numFmt w:val="bullet"/>
      <w:lvlText w:val=""/>
      <w:lvlJc w:val="left"/>
      <w:pPr>
        <w:ind w:left="156" w:hanging="100"/>
      </w:pPr>
      <w:rPr>
        <w:rFonts w:ascii="Symbol" w:eastAsia="Symbol" w:hAnsi="Symbol" w:cs="Symbol" w:hint="default"/>
        <w:color w:val="231F20"/>
        <w:w w:val="100"/>
        <w:sz w:val="14"/>
        <w:szCs w:val="14"/>
      </w:rPr>
    </w:lvl>
    <w:lvl w:ilvl="1" w:tplc="B1929BCE">
      <w:numFmt w:val="bullet"/>
      <w:lvlText w:val="•"/>
      <w:lvlJc w:val="left"/>
      <w:pPr>
        <w:ind w:left="301" w:hanging="100"/>
      </w:pPr>
      <w:rPr>
        <w:rFonts w:hint="default"/>
      </w:rPr>
    </w:lvl>
    <w:lvl w:ilvl="2" w:tplc="D2FC8CA2">
      <w:numFmt w:val="bullet"/>
      <w:lvlText w:val="•"/>
      <w:lvlJc w:val="left"/>
      <w:pPr>
        <w:ind w:left="443" w:hanging="100"/>
      </w:pPr>
      <w:rPr>
        <w:rFonts w:hint="default"/>
      </w:rPr>
    </w:lvl>
    <w:lvl w:ilvl="3" w:tplc="A964E85E">
      <w:numFmt w:val="bullet"/>
      <w:lvlText w:val="•"/>
      <w:lvlJc w:val="left"/>
      <w:pPr>
        <w:ind w:left="585" w:hanging="100"/>
      </w:pPr>
      <w:rPr>
        <w:rFonts w:hint="default"/>
      </w:rPr>
    </w:lvl>
    <w:lvl w:ilvl="4" w:tplc="E646C46A">
      <w:numFmt w:val="bullet"/>
      <w:lvlText w:val="•"/>
      <w:lvlJc w:val="left"/>
      <w:pPr>
        <w:ind w:left="726" w:hanging="100"/>
      </w:pPr>
      <w:rPr>
        <w:rFonts w:hint="default"/>
      </w:rPr>
    </w:lvl>
    <w:lvl w:ilvl="5" w:tplc="B1C667A2">
      <w:numFmt w:val="bullet"/>
      <w:lvlText w:val="•"/>
      <w:lvlJc w:val="left"/>
      <w:pPr>
        <w:ind w:left="868" w:hanging="100"/>
      </w:pPr>
      <w:rPr>
        <w:rFonts w:hint="default"/>
      </w:rPr>
    </w:lvl>
    <w:lvl w:ilvl="6" w:tplc="2F02AD18">
      <w:numFmt w:val="bullet"/>
      <w:lvlText w:val="•"/>
      <w:lvlJc w:val="left"/>
      <w:pPr>
        <w:ind w:left="1010" w:hanging="100"/>
      </w:pPr>
      <w:rPr>
        <w:rFonts w:hint="default"/>
      </w:rPr>
    </w:lvl>
    <w:lvl w:ilvl="7" w:tplc="14242EBC">
      <w:numFmt w:val="bullet"/>
      <w:lvlText w:val="•"/>
      <w:lvlJc w:val="left"/>
      <w:pPr>
        <w:ind w:left="1151" w:hanging="100"/>
      </w:pPr>
      <w:rPr>
        <w:rFonts w:hint="default"/>
      </w:rPr>
    </w:lvl>
    <w:lvl w:ilvl="8" w:tplc="5D4CA608">
      <w:numFmt w:val="bullet"/>
      <w:lvlText w:val="•"/>
      <w:lvlJc w:val="left"/>
      <w:pPr>
        <w:ind w:left="1293" w:hanging="100"/>
      </w:pPr>
      <w:rPr>
        <w:rFonts w:hint="default"/>
      </w:rPr>
    </w:lvl>
  </w:abstractNum>
  <w:abstractNum w:abstractNumId="1225" w15:restartNumberingAfterBreak="0">
    <w:nsid w:val="4C6E4A8C"/>
    <w:multiLevelType w:val="hybridMultilevel"/>
    <w:tmpl w:val="68EA538A"/>
    <w:lvl w:ilvl="0" w:tplc="299E06BE">
      <w:numFmt w:val="bullet"/>
      <w:lvlText w:val=""/>
      <w:lvlJc w:val="left"/>
      <w:pPr>
        <w:ind w:left="157" w:hanging="100"/>
      </w:pPr>
      <w:rPr>
        <w:rFonts w:ascii="Symbol" w:eastAsia="Symbol" w:hAnsi="Symbol" w:cs="Symbol" w:hint="default"/>
        <w:color w:val="231F20"/>
        <w:w w:val="100"/>
        <w:sz w:val="14"/>
        <w:szCs w:val="14"/>
      </w:rPr>
    </w:lvl>
    <w:lvl w:ilvl="1" w:tplc="1BCA89A8">
      <w:numFmt w:val="bullet"/>
      <w:lvlText w:val="•"/>
      <w:lvlJc w:val="left"/>
      <w:pPr>
        <w:ind w:left="369" w:hanging="100"/>
      </w:pPr>
      <w:rPr>
        <w:rFonts w:hint="default"/>
      </w:rPr>
    </w:lvl>
    <w:lvl w:ilvl="2" w:tplc="60622B4C">
      <w:numFmt w:val="bullet"/>
      <w:lvlText w:val="•"/>
      <w:lvlJc w:val="left"/>
      <w:pPr>
        <w:ind w:left="579" w:hanging="100"/>
      </w:pPr>
      <w:rPr>
        <w:rFonts w:hint="default"/>
      </w:rPr>
    </w:lvl>
    <w:lvl w:ilvl="3" w:tplc="6B6ECAE2">
      <w:numFmt w:val="bullet"/>
      <w:lvlText w:val="•"/>
      <w:lvlJc w:val="left"/>
      <w:pPr>
        <w:ind w:left="789" w:hanging="100"/>
      </w:pPr>
      <w:rPr>
        <w:rFonts w:hint="default"/>
      </w:rPr>
    </w:lvl>
    <w:lvl w:ilvl="4" w:tplc="E1A4D1D4">
      <w:numFmt w:val="bullet"/>
      <w:lvlText w:val="•"/>
      <w:lvlJc w:val="left"/>
      <w:pPr>
        <w:ind w:left="998" w:hanging="100"/>
      </w:pPr>
      <w:rPr>
        <w:rFonts w:hint="default"/>
      </w:rPr>
    </w:lvl>
    <w:lvl w:ilvl="5" w:tplc="377E678E">
      <w:numFmt w:val="bullet"/>
      <w:lvlText w:val="•"/>
      <w:lvlJc w:val="left"/>
      <w:pPr>
        <w:ind w:left="1208" w:hanging="100"/>
      </w:pPr>
      <w:rPr>
        <w:rFonts w:hint="default"/>
      </w:rPr>
    </w:lvl>
    <w:lvl w:ilvl="6" w:tplc="3CBA1DD2">
      <w:numFmt w:val="bullet"/>
      <w:lvlText w:val="•"/>
      <w:lvlJc w:val="left"/>
      <w:pPr>
        <w:ind w:left="1418" w:hanging="100"/>
      </w:pPr>
      <w:rPr>
        <w:rFonts w:hint="default"/>
      </w:rPr>
    </w:lvl>
    <w:lvl w:ilvl="7" w:tplc="826C07D2">
      <w:numFmt w:val="bullet"/>
      <w:lvlText w:val="•"/>
      <w:lvlJc w:val="left"/>
      <w:pPr>
        <w:ind w:left="1627" w:hanging="100"/>
      </w:pPr>
      <w:rPr>
        <w:rFonts w:hint="default"/>
      </w:rPr>
    </w:lvl>
    <w:lvl w:ilvl="8" w:tplc="77047532">
      <w:numFmt w:val="bullet"/>
      <w:lvlText w:val="•"/>
      <w:lvlJc w:val="left"/>
      <w:pPr>
        <w:ind w:left="1837" w:hanging="100"/>
      </w:pPr>
      <w:rPr>
        <w:rFonts w:hint="default"/>
      </w:rPr>
    </w:lvl>
  </w:abstractNum>
  <w:abstractNum w:abstractNumId="1226" w15:restartNumberingAfterBreak="0">
    <w:nsid w:val="4C86002B"/>
    <w:multiLevelType w:val="hybridMultilevel"/>
    <w:tmpl w:val="61580B2C"/>
    <w:lvl w:ilvl="0" w:tplc="067C152C">
      <w:numFmt w:val="bullet"/>
      <w:lvlText w:val=""/>
      <w:lvlJc w:val="left"/>
      <w:pPr>
        <w:ind w:left="156" w:hanging="100"/>
      </w:pPr>
      <w:rPr>
        <w:rFonts w:ascii="Symbol" w:eastAsia="Symbol" w:hAnsi="Symbol" w:cs="Symbol" w:hint="default"/>
        <w:color w:val="231F20"/>
        <w:w w:val="100"/>
        <w:sz w:val="14"/>
        <w:szCs w:val="14"/>
      </w:rPr>
    </w:lvl>
    <w:lvl w:ilvl="1" w:tplc="765C24CA">
      <w:numFmt w:val="bullet"/>
      <w:lvlText w:val="•"/>
      <w:lvlJc w:val="left"/>
      <w:pPr>
        <w:ind w:left="398" w:hanging="100"/>
      </w:pPr>
      <w:rPr>
        <w:rFonts w:hint="default"/>
      </w:rPr>
    </w:lvl>
    <w:lvl w:ilvl="2" w:tplc="D8327FC2">
      <w:numFmt w:val="bullet"/>
      <w:lvlText w:val="•"/>
      <w:lvlJc w:val="left"/>
      <w:pPr>
        <w:ind w:left="636" w:hanging="100"/>
      </w:pPr>
      <w:rPr>
        <w:rFonts w:hint="default"/>
      </w:rPr>
    </w:lvl>
    <w:lvl w:ilvl="3" w:tplc="B9EAE6A8">
      <w:numFmt w:val="bullet"/>
      <w:lvlText w:val="•"/>
      <w:lvlJc w:val="left"/>
      <w:pPr>
        <w:ind w:left="874" w:hanging="100"/>
      </w:pPr>
      <w:rPr>
        <w:rFonts w:hint="default"/>
      </w:rPr>
    </w:lvl>
    <w:lvl w:ilvl="4" w:tplc="5D6082DE">
      <w:numFmt w:val="bullet"/>
      <w:lvlText w:val="•"/>
      <w:lvlJc w:val="left"/>
      <w:pPr>
        <w:ind w:left="1112" w:hanging="100"/>
      </w:pPr>
      <w:rPr>
        <w:rFonts w:hint="default"/>
      </w:rPr>
    </w:lvl>
    <w:lvl w:ilvl="5" w:tplc="EB129090">
      <w:numFmt w:val="bullet"/>
      <w:lvlText w:val="•"/>
      <w:lvlJc w:val="left"/>
      <w:pPr>
        <w:ind w:left="1350" w:hanging="100"/>
      </w:pPr>
      <w:rPr>
        <w:rFonts w:hint="default"/>
      </w:rPr>
    </w:lvl>
    <w:lvl w:ilvl="6" w:tplc="541ACF80">
      <w:numFmt w:val="bullet"/>
      <w:lvlText w:val="•"/>
      <w:lvlJc w:val="left"/>
      <w:pPr>
        <w:ind w:left="1588" w:hanging="100"/>
      </w:pPr>
      <w:rPr>
        <w:rFonts w:hint="default"/>
      </w:rPr>
    </w:lvl>
    <w:lvl w:ilvl="7" w:tplc="E6F86494">
      <w:numFmt w:val="bullet"/>
      <w:lvlText w:val="•"/>
      <w:lvlJc w:val="left"/>
      <w:pPr>
        <w:ind w:left="1826" w:hanging="100"/>
      </w:pPr>
      <w:rPr>
        <w:rFonts w:hint="default"/>
      </w:rPr>
    </w:lvl>
    <w:lvl w:ilvl="8" w:tplc="E3140CFA">
      <w:numFmt w:val="bullet"/>
      <w:lvlText w:val="•"/>
      <w:lvlJc w:val="left"/>
      <w:pPr>
        <w:ind w:left="2064" w:hanging="100"/>
      </w:pPr>
      <w:rPr>
        <w:rFonts w:hint="default"/>
      </w:rPr>
    </w:lvl>
  </w:abstractNum>
  <w:abstractNum w:abstractNumId="1227" w15:restartNumberingAfterBreak="0">
    <w:nsid w:val="4C8B3999"/>
    <w:multiLevelType w:val="hybridMultilevel"/>
    <w:tmpl w:val="DCA8A85C"/>
    <w:lvl w:ilvl="0" w:tplc="78861AAE">
      <w:numFmt w:val="bullet"/>
      <w:lvlText w:val=""/>
      <w:lvlJc w:val="left"/>
      <w:pPr>
        <w:ind w:left="156" w:hanging="100"/>
      </w:pPr>
      <w:rPr>
        <w:rFonts w:ascii="Symbol" w:eastAsia="Symbol" w:hAnsi="Symbol" w:cs="Symbol" w:hint="default"/>
        <w:color w:val="231F20"/>
        <w:w w:val="100"/>
        <w:sz w:val="14"/>
        <w:szCs w:val="14"/>
      </w:rPr>
    </w:lvl>
    <w:lvl w:ilvl="1" w:tplc="D3060CC6">
      <w:numFmt w:val="bullet"/>
      <w:lvlText w:val="•"/>
      <w:lvlJc w:val="left"/>
      <w:pPr>
        <w:ind w:left="301" w:hanging="100"/>
      </w:pPr>
      <w:rPr>
        <w:rFonts w:hint="default"/>
      </w:rPr>
    </w:lvl>
    <w:lvl w:ilvl="2" w:tplc="42ECE91C">
      <w:numFmt w:val="bullet"/>
      <w:lvlText w:val="•"/>
      <w:lvlJc w:val="left"/>
      <w:pPr>
        <w:ind w:left="443" w:hanging="100"/>
      </w:pPr>
      <w:rPr>
        <w:rFonts w:hint="default"/>
      </w:rPr>
    </w:lvl>
    <w:lvl w:ilvl="3" w:tplc="73CCF8F0">
      <w:numFmt w:val="bullet"/>
      <w:lvlText w:val="•"/>
      <w:lvlJc w:val="left"/>
      <w:pPr>
        <w:ind w:left="585" w:hanging="100"/>
      </w:pPr>
      <w:rPr>
        <w:rFonts w:hint="default"/>
      </w:rPr>
    </w:lvl>
    <w:lvl w:ilvl="4" w:tplc="91DC4DC4">
      <w:numFmt w:val="bullet"/>
      <w:lvlText w:val="•"/>
      <w:lvlJc w:val="left"/>
      <w:pPr>
        <w:ind w:left="726" w:hanging="100"/>
      </w:pPr>
      <w:rPr>
        <w:rFonts w:hint="default"/>
      </w:rPr>
    </w:lvl>
    <w:lvl w:ilvl="5" w:tplc="C23E80F8">
      <w:numFmt w:val="bullet"/>
      <w:lvlText w:val="•"/>
      <w:lvlJc w:val="left"/>
      <w:pPr>
        <w:ind w:left="868" w:hanging="100"/>
      </w:pPr>
      <w:rPr>
        <w:rFonts w:hint="default"/>
      </w:rPr>
    </w:lvl>
    <w:lvl w:ilvl="6" w:tplc="1D7A4266">
      <w:numFmt w:val="bullet"/>
      <w:lvlText w:val="•"/>
      <w:lvlJc w:val="left"/>
      <w:pPr>
        <w:ind w:left="1010" w:hanging="100"/>
      </w:pPr>
      <w:rPr>
        <w:rFonts w:hint="default"/>
      </w:rPr>
    </w:lvl>
    <w:lvl w:ilvl="7" w:tplc="C2548DD0">
      <w:numFmt w:val="bullet"/>
      <w:lvlText w:val="•"/>
      <w:lvlJc w:val="left"/>
      <w:pPr>
        <w:ind w:left="1151" w:hanging="100"/>
      </w:pPr>
      <w:rPr>
        <w:rFonts w:hint="default"/>
      </w:rPr>
    </w:lvl>
    <w:lvl w:ilvl="8" w:tplc="0AFCB5CA">
      <w:numFmt w:val="bullet"/>
      <w:lvlText w:val="•"/>
      <w:lvlJc w:val="left"/>
      <w:pPr>
        <w:ind w:left="1293" w:hanging="100"/>
      </w:pPr>
      <w:rPr>
        <w:rFonts w:hint="default"/>
      </w:rPr>
    </w:lvl>
  </w:abstractNum>
  <w:abstractNum w:abstractNumId="1228" w15:restartNumberingAfterBreak="0">
    <w:nsid w:val="4CA220A9"/>
    <w:multiLevelType w:val="hybridMultilevel"/>
    <w:tmpl w:val="6AE06C2A"/>
    <w:lvl w:ilvl="0" w:tplc="0F9E8400">
      <w:numFmt w:val="bullet"/>
      <w:lvlText w:val=""/>
      <w:lvlJc w:val="left"/>
      <w:pPr>
        <w:ind w:left="156" w:hanging="100"/>
      </w:pPr>
      <w:rPr>
        <w:rFonts w:ascii="Symbol" w:eastAsia="Symbol" w:hAnsi="Symbol" w:cs="Symbol" w:hint="default"/>
        <w:color w:val="231F20"/>
        <w:w w:val="100"/>
        <w:sz w:val="14"/>
        <w:szCs w:val="14"/>
      </w:rPr>
    </w:lvl>
    <w:lvl w:ilvl="1" w:tplc="9A121F7A">
      <w:numFmt w:val="bullet"/>
      <w:lvlText w:val="•"/>
      <w:lvlJc w:val="left"/>
      <w:pPr>
        <w:ind w:left="454" w:hanging="100"/>
      </w:pPr>
      <w:rPr>
        <w:rFonts w:hint="default"/>
      </w:rPr>
    </w:lvl>
    <w:lvl w:ilvl="2" w:tplc="F8FEC750">
      <w:numFmt w:val="bullet"/>
      <w:lvlText w:val="•"/>
      <w:lvlJc w:val="left"/>
      <w:pPr>
        <w:ind w:left="749" w:hanging="100"/>
      </w:pPr>
      <w:rPr>
        <w:rFonts w:hint="default"/>
      </w:rPr>
    </w:lvl>
    <w:lvl w:ilvl="3" w:tplc="FAA08808">
      <w:numFmt w:val="bullet"/>
      <w:lvlText w:val="•"/>
      <w:lvlJc w:val="left"/>
      <w:pPr>
        <w:ind w:left="1044" w:hanging="100"/>
      </w:pPr>
      <w:rPr>
        <w:rFonts w:hint="default"/>
      </w:rPr>
    </w:lvl>
    <w:lvl w:ilvl="4" w:tplc="0C30FFC8">
      <w:numFmt w:val="bullet"/>
      <w:lvlText w:val="•"/>
      <w:lvlJc w:val="left"/>
      <w:pPr>
        <w:ind w:left="1339" w:hanging="100"/>
      </w:pPr>
      <w:rPr>
        <w:rFonts w:hint="default"/>
      </w:rPr>
    </w:lvl>
    <w:lvl w:ilvl="5" w:tplc="38CC34EE">
      <w:numFmt w:val="bullet"/>
      <w:lvlText w:val="•"/>
      <w:lvlJc w:val="left"/>
      <w:pPr>
        <w:ind w:left="1634" w:hanging="100"/>
      </w:pPr>
      <w:rPr>
        <w:rFonts w:hint="default"/>
      </w:rPr>
    </w:lvl>
    <w:lvl w:ilvl="6" w:tplc="D756AF26">
      <w:numFmt w:val="bullet"/>
      <w:lvlText w:val="•"/>
      <w:lvlJc w:val="left"/>
      <w:pPr>
        <w:ind w:left="1928" w:hanging="100"/>
      </w:pPr>
      <w:rPr>
        <w:rFonts w:hint="default"/>
      </w:rPr>
    </w:lvl>
    <w:lvl w:ilvl="7" w:tplc="FA228688">
      <w:numFmt w:val="bullet"/>
      <w:lvlText w:val="•"/>
      <w:lvlJc w:val="left"/>
      <w:pPr>
        <w:ind w:left="2223" w:hanging="100"/>
      </w:pPr>
      <w:rPr>
        <w:rFonts w:hint="default"/>
      </w:rPr>
    </w:lvl>
    <w:lvl w:ilvl="8" w:tplc="B742D458">
      <w:numFmt w:val="bullet"/>
      <w:lvlText w:val="•"/>
      <w:lvlJc w:val="left"/>
      <w:pPr>
        <w:ind w:left="2518" w:hanging="100"/>
      </w:pPr>
      <w:rPr>
        <w:rFonts w:hint="default"/>
      </w:rPr>
    </w:lvl>
  </w:abstractNum>
  <w:abstractNum w:abstractNumId="1229" w15:restartNumberingAfterBreak="0">
    <w:nsid w:val="4CA46231"/>
    <w:multiLevelType w:val="hybridMultilevel"/>
    <w:tmpl w:val="54F24700"/>
    <w:lvl w:ilvl="0" w:tplc="3A869250">
      <w:numFmt w:val="bullet"/>
      <w:lvlText w:val=""/>
      <w:lvlJc w:val="left"/>
      <w:pPr>
        <w:ind w:left="156" w:hanging="100"/>
      </w:pPr>
      <w:rPr>
        <w:rFonts w:ascii="Symbol" w:eastAsia="Symbol" w:hAnsi="Symbol" w:cs="Symbol" w:hint="default"/>
        <w:color w:val="231F20"/>
        <w:w w:val="100"/>
        <w:sz w:val="14"/>
        <w:szCs w:val="14"/>
      </w:rPr>
    </w:lvl>
    <w:lvl w:ilvl="1" w:tplc="9104A92C">
      <w:numFmt w:val="bullet"/>
      <w:lvlText w:val="•"/>
      <w:lvlJc w:val="left"/>
      <w:pPr>
        <w:ind w:left="426" w:hanging="100"/>
      </w:pPr>
      <w:rPr>
        <w:rFonts w:hint="default"/>
      </w:rPr>
    </w:lvl>
    <w:lvl w:ilvl="2" w:tplc="7FE85EA0">
      <w:numFmt w:val="bullet"/>
      <w:lvlText w:val="•"/>
      <w:lvlJc w:val="left"/>
      <w:pPr>
        <w:ind w:left="692" w:hanging="100"/>
      </w:pPr>
      <w:rPr>
        <w:rFonts w:hint="default"/>
      </w:rPr>
    </w:lvl>
    <w:lvl w:ilvl="3" w:tplc="8AA213B6">
      <w:numFmt w:val="bullet"/>
      <w:lvlText w:val="•"/>
      <w:lvlJc w:val="left"/>
      <w:pPr>
        <w:ind w:left="959" w:hanging="100"/>
      </w:pPr>
      <w:rPr>
        <w:rFonts w:hint="default"/>
      </w:rPr>
    </w:lvl>
    <w:lvl w:ilvl="4" w:tplc="B0AC5F4E">
      <w:numFmt w:val="bullet"/>
      <w:lvlText w:val="•"/>
      <w:lvlJc w:val="left"/>
      <w:pPr>
        <w:ind w:left="1225" w:hanging="100"/>
      </w:pPr>
      <w:rPr>
        <w:rFonts w:hint="default"/>
      </w:rPr>
    </w:lvl>
    <w:lvl w:ilvl="5" w:tplc="CA721082">
      <w:numFmt w:val="bullet"/>
      <w:lvlText w:val="•"/>
      <w:lvlJc w:val="left"/>
      <w:pPr>
        <w:ind w:left="1492" w:hanging="100"/>
      </w:pPr>
      <w:rPr>
        <w:rFonts w:hint="default"/>
      </w:rPr>
    </w:lvl>
    <w:lvl w:ilvl="6" w:tplc="90D4AF08">
      <w:numFmt w:val="bullet"/>
      <w:lvlText w:val="•"/>
      <w:lvlJc w:val="left"/>
      <w:pPr>
        <w:ind w:left="1758" w:hanging="100"/>
      </w:pPr>
      <w:rPr>
        <w:rFonts w:hint="default"/>
      </w:rPr>
    </w:lvl>
    <w:lvl w:ilvl="7" w:tplc="5B2C0A94">
      <w:numFmt w:val="bullet"/>
      <w:lvlText w:val="•"/>
      <w:lvlJc w:val="left"/>
      <w:pPr>
        <w:ind w:left="2024" w:hanging="100"/>
      </w:pPr>
      <w:rPr>
        <w:rFonts w:hint="default"/>
      </w:rPr>
    </w:lvl>
    <w:lvl w:ilvl="8" w:tplc="185252E4">
      <w:numFmt w:val="bullet"/>
      <w:lvlText w:val="•"/>
      <w:lvlJc w:val="left"/>
      <w:pPr>
        <w:ind w:left="2291" w:hanging="100"/>
      </w:pPr>
      <w:rPr>
        <w:rFonts w:hint="default"/>
      </w:rPr>
    </w:lvl>
  </w:abstractNum>
  <w:abstractNum w:abstractNumId="1230" w15:restartNumberingAfterBreak="0">
    <w:nsid w:val="4CB461EB"/>
    <w:multiLevelType w:val="hybridMultilevel"/>
    <w:tmpl w:val="817CDCDC"/>
    <w:lvl w:ilvl="0" w:tplc="8448621E">
      <w:numFmt w:val="bullet"/>
      <w:lvlText w:val=""/>
      <w:lvlJc w:val="left"/>
      <w:pPr>
        <w:ind w:left="156" w:hanging="100"/>
      </w:pPr>
      <w:rPr>
        <w:rFonts w:ascii="Symbol" w:eastAsia="Symbol" w:hAnsi="Symbol" w:cs="Symbol" w:hint="default"/>
        <w:color w:val="231F20"/>
        <w:w w:val="100"/>
        <w:sz w:val="14"/>
        <w:szCs w:val="14"/>
      </w:rPr>
    </w:lvl>
    <w:lvl w:ilvl="1" w:tplc="9C1428EC">
      <w:numFmt w:val="bullet"/>
      <w:lvlText w:val="•"/>
      <w:lvlJc w:val="left"/>
      <w:pPr>
        <w:ind w:left="426" w:hanging="100"/>
      </w:pPr>
      <w:rPr>
        <w:rFonts w:hint="default"/>
      </w:rPr>
    </w:lvl>
    <w:lvl w:ilvl="2" w:tplc="655AC8E6">
      <w:numFmt w:val="bullet"/>
      <w:lvlText w:val="•"/>
      <w:lvlJc w:val="left"/>
      <w:pPr>
        <w:ind w:left="692" w:hanging="100"/>
      </w:pPr>
      <w:rPr>
        <w:rFonts w:hint="default"/>
      </w:rPr>
    </w:lvl>
    <w:lvl w:ilvl="3" w:tplc="A9DA9BB6">
      <w:numFmt w:val="bullet"/>
      <w:lvlText w:val="•"/>
      <w:lvlJc w:val="left"/>
      <w:pPr>
        <w:ind w:left="959" w:hanging="100"/>
      </w:pPr>
      <w:rPr>
        <w:rFonts w:hint="default"/>
      </w:rPr>
    </w:lvl>
    <w:lvl w:ilvl="4" w:tplc="05E690C2">
      <w:numFmt w:val="bullet"/>
      <w:lvlText w:val="•"/>
      <w:lvlJc w:val="left"/>
      <w:pPr>
        <w:ind w:left="1225" w:hanging="100"/>
      </w:pPr>
      <w:rPr>
        <w:rFonts w:hint="default"/>
      </w:rPr>
    </w:lvl>
    <w:lvl w:ilvl="5" w:tplc="EF3EC928">
      <w:numFmt w:val="bullet"/>
      <w:lvlText w:val="•"/>
      <w:lvlJc w:val="left"/>
      <w:pPr>
        <w:ind w:left="1492" w:hanging="100"/>
      </w:pPr>
      <w:rPr>
        <w:rFonts w:hint="default"/>
      </w:rPr>
    </w:lvl>
    <w:lvl w:ilvl="6" w:tplc="970C2B2A">
      <w:numFmt w:val="bullet"/>
      <w:lvlText w:val="•"/>
      <w:lvlJc w:val="left"/>
      <w:pPr>
        <w:ind w:left="1758" w:hanging="100"/>
      </w:pPr>
      <w:rPr>
        <w:rFonts w:hint="default"/>
      </w:rPr>
    </w:lvl>
    <w:lvl w:ilvl="7" w:tplc="515EFD36">
      <w:numFmt w:val="bullet"/>
      <w:lvlText w:val="•"/>
      <w:lvlJc w:val="left"/>
      <w:pPr>
        <w:ind w:left="2024" w:hanging="100"/>
      </w:pPr>
      <w:rPr>
        <w:rFonts w:hint="default"/>
      </w:rPr>
    </w:lvl>
    <w:lvl w:ilvl="8" w:tplc="901E550C">
      <w:numFmt w:val="bullet"/>
      <w:lvlText w:val="•"/>
      <w:lvlJc w:val="left"/>
      <w:pPr>
        <w:ind w:left="2291" w:hanging="100"/>
      </w:pPr>
      <w:rPr>
        <w:rFonts w:hint="default"/>
      </w:rPr>
    </w:lvl>
  </w:abstractNum>
  <w:abstractNum w:abstractNumId="1231" w15:restartNumberingAfterBreak="0">
    <w:nsid w:val="4CC14EB7"/>
    <w:multiLevelType w:val="hybridMultilevel"/>
    <w:tmpl w:val="2B420CDC"/>
    <w:lvl w:ilvl="0" w:tplc="D39EEB0A">
      <w:numFmt w:val="bullet"/>
      <w:lvlText w:val=""/>
      <w:lvlJc w:val="left"/>
      <w:pPr>
        <w:ind w:left="156" w:hanging="100"/>
      </w:pPr>
      <w:rPr>
        <w:rFonts w:ascii="Symbol" w:eastAsia="Symbol" w:hAnsi="Symbol" w:cs="Symbol" w:hint="default"/>
        <w:color w:val="231F20"/>
        <w:w w:val="100"/>
        <w:sz w:val="14"/>
        <w:szCs w:val="14"/>
      </w:rPr>
    </w:lvl>
    <w:lvl w:ilvl="1" w:tplc="8CCE5D4E">
      <w:numFmt w:val="bullet"/>
      <w:lvlText w:val="•"/>
      <w:lvlJc w:val="left"/>
      <w:pPr>
        <w:ind w:left="398" w:hanging="100"/>
      </w:pPr>
      <w:rPr>
        <w:rFonts w:hint="default"/>
      </w:rPr>
    </w:lvl>
    <w:lvl w:ilvl="2" w:tplc="0414DD5C">
      <w:numFmt w:val="bullet"/>
      <w:lvlText w:val="•"/>
      <w:lvlJc w:val="left"/>
      <w:pPr>
        <w:ind w:left="636" w:hanging="100"/>
      </w:pPr>
      <w:rPr>
        <w:rFonts w:hint="default"/>
      </w:rPr>
    </w:lvl>
    <w:lvl w:ilvl="3" w:tplc="8C6A21A0">
      <w:numFmt w:val="bullet"/>
      <w:lvlText w:val="•"/>
      <w:lvlJc w:val="left"/>
      <w:pPr>
        <w:ind w:left="874" w:hanging="100"/>
      </w:pPr>
      <w:rPr>
        <w:rFonts w:hint="default"/>
      </w:rPr>
    </w:lvl>
    <w:lvl w:ilvl="4" w:tplc="4D24DDD0">
      <w:numFmt w:val="bullet"/>
      <w:lvlText w:val="•"/>
      <w:lvlJc w:val="left"/>
      <w:pPr>
        <w:ind w:left="1112" w:hanging="100"/>
      </w:pPr>
      <w:rPr>
        <w:rFonts w:hint="default"/>
      </w:rPr>
    </w:lvl>
    <w:lvl w:ilvl="5" w:tplc="022A45FE">
      <w:numFmt w:val="bullet"/>
      <w:lvlText w:val="•"/>
      <w:lvlJc w:val="left"/>
      <w:pPr>
        <w:ind w:left="1350" w:hanging="100"/>
      </w:pPr>
      <w:rPr>
        <w:rFonts w:hint="default"/>
      </w:rPr>
    </w:lvl>
    <w:lvl w:ilvl="6" w:tplc="98B4DF70">
      <w:numFmt w:val="bullet"/>
      <w:lvlText w:val="•"/>
      <w:lvlJc w:val="left"/>
      <w:pPr>
        <w:ind w:left="1588" w:hanging="100"/>
      </w:pPr>
      <w:rPr>
        <w:rFonts w:hint="default"/>
      </w:rPr>
    </w:lvl>
    <w:lvl w:ilvl="7" w:tplc="666A5CC0">
      <w:numFmt w:val="bullet"/>
      <w:lvlText w:val="•"/>
      <w:lvlJc w:val="left"/>
      <w:pPr>
        <w:ind w:left="1826" w:hanging="100"/>
      </w:pPr>
      <w:rPr>
        <w:rFonts w:hint="default"/>
      </w:rPr>
    </w:lvl>
    <w:lvl w:ilvl="8" w:tplc="B0BE04D0">
      <w:numFmt w:val="bullet"/>
      <w:lvlText w:val="•"/>
      <w:lvlJc w:val="left"/>
      <w:pPr>
        <w:ind w:left="2064" w:hanging="100"/>
      </w:pPr>
      <w:rPr>
        <w:rFonts w:hint="default"/>
      </w:rPr>
    </w:lvl>
  </w:abstractNum>
  <w:abstractNum w:abstractNumId="1232" w15:restartNumberingAfterBreak="0">
    <w:nsid w:val="4CC84D28"/>
    <w:multiLevelType w:val="hybridMultilevel"/>
    <w:tmpl w:val="63AC1E02"/>
    <w:lvl w:ilvl="0" w:tplc="A00EE93A">
      <w:numFmt w:val="bullet"/>
      <w:lvlText w:val=""/>
      <w:lvlJc w:val="left"/>
      <w:pPr>
        <w:ind w:left="156" w:hanging="100"/>
      </w:pPr>
      <w:rPr>
        <w:rFonts w:ascii="Symbol" w:eastAsia="Symbol" w:hAnsi="Symbol" w:cs="Symbol" w:hint="default"/>
        <w:color w:val="231F20"/>
        <w:w w:val="100"/>
        <w:sz w:val="14"/>
        <w:szCs w:val="14"/>
      </w:rPr>
    </w:lvl>
    <w:lvl w:ilvl="1" w:tplc="F066325C">
      <w:numFmt w:val="bullet"/>
      <w:lvlText w:val="•"/>
      <w:lvlJc w:val="left"/>
      <w:pPr>
        <w:ind w:left="301" w:hanging="100"/>
      </w:pPr>
      <w:rPr>
        <w:rFonts w:hint="default"/>
      </w:rPr>
    </w:lvl>
    <w:lvl w:ilvl="2" w:tplc="7F44DBCE">
      <w:numFmt w:val="bullet"/>
      <w:lvlText w:val="•"/>
      <w:lvlJc w:val="left"/>
      <w:pPr>
        <w:ind w:left="443" w:hanging="100"/>
      </w:pPr>
      <w:rPr>
        <w:rFonts w:hint="default"/>
      </w:rPr>
    </w:lvl>
    <w:lvl w:ilvl="3" w:tplc="0180DB64">
      <w:numFmt w:val="bullet"/>
      <w:lvlText w:val="•"/>
      <w:lvlJc w:val="left"/>
      <w:pPr>
        <w:ind w:left="585" w:hanging="100"/>
      </w:pPr>
      <w:rPr>
        <w:rFonts w:hint="default"/>
      </w:rPr>
    </w:lvl>
    <w:lvl w:ilvl="4" w:tplc="3580F1A4">
      <w:numFmt w:val="bullet"/>
      <w:lvlText w:val="•"/>
      <w:lvlJc w:val="left"/>
      <w:pPr>
        <w:ind w:left="726" w:hanging="100"/>
      </w:pPr>
      <w:rPr>
        <w:rFonts w:hint="default"/>
      </w:rPr>
    </w:lvl>
    <w:lvl w:ilvl="5" w:tplc="A052E09E">
      <w:numFmt w:val="bullet"/>
      <w:lvlText w:val="•"/>
      <w:lvlJc w:val="left"/>
      <w:pPr>
        <w:ind w:left="868" w:hanging="100"/>
      </w:pPr>
      <w:rPr>
        <w:rFonts w:hint="default"/>
      </w:rPr>
    </w:lvl>
    <w:lvl w:ilvl="6" w:tplc="BA7008EE">
      <w:numFmt w:val="bullet"/>
      <w:lvlText w:val="•"/>
      <w:lvlJc w:val="left"/>
      <w:pPr>
        <w:ind w:left="1010" w:hanging="100"/>
      </w:pPr>
      <w:rPr>
        <w:rFonts w:hint="default"/>
      </w:rPr>
    </w:lvl>
    <w:lvl w:ilvl="7" w:tplc="ED9E69AE">
      <w:numFmt w:val="bullet"/>
      <w:lvlText w:val="•"/>
      <w:lvlJc w:val="left"/>
      <w:pPr>
        <w:ind w:left="1151" w:hanging="100"/>
      </w:pPr>
      <w:rPr>
        <w:rFonts w:hint="default"/>
      </w:rPr>
    </w:lvl>
    <w:lvl w:ilvl="8" w:tplc="D8A25000">
      <w:numFmt w:val="bullet"/>
      <w:lvlText w:val="•"/>
      <w:lvlJc w:val="left"/>
      <w:pPr>
        <w:ind w:left="1293" w:hanging="100"/>
      </w:pPr>
      <w:rPr>
        <w:rFonts w:hint="default"/>
      </w:rPr>
    </w:lvl>
  </w:abstractNum>
  <w:abstractNum w:abstractNumId="1233" w15:restartNumberingAfterBreak="0">
    <w:nsid w:val="4CCA367D"/>
    <w:multiLevelType w:val="hybridMultilevel"/>
    <w:tmpl w:val="3D7E9E4E"/>
    <w:lvl w:ilvl="0" w:tplc="BE7E608C">
      <w:numFmt w:val="bullet"/>
      <w:lvlText w:val=""/>
      <w:lvlJc w:val="left"/>
      <w:pPr>
        <w:ind w:left="156" w:hanging="100"/>
      </w:pPr>
      <w:rPr>
        <w:rFonts w:ascii="Symbol" w:eastAsia="Symbol" w:hAnsi="Symbol" w:cs="Symbol" w:hint="default"/>
        <w:color w:val="231F20"/>
        <w:w w:val="100"/>
        <w:sz w:val="14"/>
        <w:szCs w:val="14"/>
      </w:rPr>
    </w:lvl>
    <w:lvl w:ilvl="1" w:tplc="587C184A">
      <w:numFmt w:val="bullet"/>
      <w:lvlText w:val="•"/>
      <w:lvlJc w:val="left"/>
      <w:pPr>
        <w:ind w:left="398" w:hanging="100"/>
      </w:pPr>
      <w:rPr>
        <w:rFonts w:hint="default"/>
      </w:rPr>
    </w:lvl>
    <w:lvl w:ilvl="2" w:tplc="31E68A6C">
      <w:numFmt w:val="bullet"/>
      <w:lvlText w:val="•"/>
      <w:lvlJc w:val="left"/>
      <w:pPr>
        <w:ind w:left="636" w:hanging="100"/>
      </w:pPr>
      <w:rPr>
        <w:rFonts w:hint="default"/>
      </w:rPr>
    </w:lvl>
    <w:lvl w:ilvl="3" w:tplc="B8205CA8">
      <w:numFmt w:val="bullet"/>
      <w:lvlText w:val="•"/>
      <w:lvlJc w:val="left"/>
      <w:pPr>
        <w:ind w:left="874" w:hanging="100"/>
      </w:pPr>
      <w:rPr>
        <w:rFonts w:hint="default"/>
      </w:rPr>
    </w:lvl>
    <w:lvl w:ilvl="4" w:tplc="04F8F66C">
      <w:numFmt w:val="bullet"/>
      <w:lvlText w:val="•"/>
      <w:lvlJc w:val="left"/>
      <w:pPr>
        <w:ind w:left="1112" w:hanging="100"/>
      </w:pPr>
      <w:rPr>
        <w:rFonts w:hint="default"/>
      </w:rPr>
    </w:lvl>
    <w:lvl w:ilvl="5" w:tplc="40B26C34">
      <w:numFmt w:val="bullet"/>
      <w:lvlText w:val="•"/>
      <w:lvlJc w:val="left"/>
      <w:pPr>
        <w:ind w:left="1350" w:hanging="100"/>
      </w:pPr>
      <w:rPr>
        <w:rFonts w:hint="default"/>
      </w:rPr>
    </w:lvl>
    <w:lvl w:ilvl="6" w:tplc="91C4A9DA">
      <w:numFmt w:val="bullet"/>
      <w:lvlText w:val="•"/>
      <w:lvlJc w:val="left"/>
      <w:pPr>
        <w:ind w:left="1588" w:hanging="100"/>
      </w:pPr>
      <w:rPr>
        <w:rFonts w:hint="default"/>
      </w:rPr>
    </w:lvl>
    <w:lvl w:ilvl="7" w:tplc="9D3C8E9C">
      <w:numFmt w:val="bullet"/>
      <w:lvlText w:val="•"/>
      <w:lvlJc w:val="left"/>
      <w:pPr>
        <w:ind w:left="1826" w:hanging="100"/>
      </w:pPr>
      <w:rPr>
        <w:rFonts w:hint="default"/>
      </w:rPr>
    </w:lvl>
    <w:lvl w:ilvl="8" w:tplc="8E7EE5D6">
      <w:numFmt w:val="bullet"/>
      <w:lvlText w:val="•"/>
      <w:lvlJc w:val="left"/>
      <w:pPr>
        <w:ind w:left="2064" w:hanging="100"/>
      </w:pPr>
      <w:rPr>
        <w:rFonts w:hint="default"/>
      </w:rPr>
    </w:lvl>
  </w:abstractNum>
  <w:abstractNum w:abstractNumId="1234" w15:restartNumberingAfterBreak="0">
    <w:nsid w:val="4CDE2B87"/>
    <w:multiLevelType w:val="hybridMultilevel"/>
    <w:tmpl w:val="2F0ADA2C"/>
    <w:lvl w:ilvl="0" w:tplc="450AF7D6">
      <w:numFmt w:val="bullet"/>
      <w:lvlText w:val=""/>
      <w:lvlJc w:val="left"/>
      <w:pPr>
        <w:ind w:left="157" w:hanging="100"/>
      </w:pPr>
      <w:rPr>
        <w:rFonts w:ascii="Symbol" w:eastAsia="Symbol" w:hAnsi="Symbol" w:cs="Symbol" w:hint="default"/>
        <w:color w:val="231F20"/>
        <w:w w:val="100"/>
        <w:sz w:val="14"/>
        <w:szCs w:val="14"/>
      </w:rPr>
    </w:lvl>
    <w:lvl w:ilvl="1" w:tplc="75DA93C8">
      <w:numFmt w:val="bullet"/>
      <w:lvlText w:val="•"/>
      <w:lvlJc w:val="left"/>
      <w:pPr>
        <w:ind w:left="369" w:hanging="100"/>
      </w:pPr>
      <w:rPr>
        <w:rFonts w:hint="default"/>
      </w:rPr>
    </w:lvl>
    <w:lvl w:ilvl="2" w:tplc="F582FF62">
      <w:numFmt w:val="bullet"/>
      <w:lvlText w:val="•"/>
      <w:lvlJc w:val="left"/>
      <w:pPr>
        <w:ind w:left="579" w:hanging="100"/>
      </w:pPr>
      <w:rPr>
        <w:rFonts w:hint="default"/>
      </w:rPr>
    </w:lvl>
    <w:lvl w:ilvl="3" w:tplc="0B901092">
      <w:numFmt w:val="bullet"/>
      <w:lvlText w:val="•"/>
      <w:lvlJc w:val="left"/>
      <w:pPr>
        <w:ind w:left="789" w:hanging="100"/>
      </w:pPr>
      <w:rPr>
        <w:rFonts w:hint="default"/>
      </w:rPr>
    </w:lvl>
    <w:lvl w:ilvl="4" w:tplc="27A66B52">
      <w:numFmt w:val="bullet"/>
      <w:lvlText w:val="•"/>
      <w:lvlJc w:val="left"/>
      <w:pPr>
        <w:ind w:left="998" w:hanging="100"/>
      </w:pPr>
      <w:rPr>
        <w:rFonts w:hint="default"/>
      </w:rPr>
    </w:lvl>
    <w:lvl w:ilvl="5" w:tplc="855EFF9E">
      <w:numFmt w:val="bullet"/>
      <w:lvlText w:val="•"/>
      <w:lvlJc w:val="left"/>
      <w:pPr>
        <w:ind w:left="1208" w:hanging="100"/>
      </w:pPr>
      <w:rPr>
        <w:rFonts w:hint="default"/>
      </w:rPr>
    </w:lvl>
    <w:lvl w:ilvl="6" w:tplc="1FC89108">
      <w:numFmt w:val="bullet"/>
      <w:lvlText w:val="•"/>
      <w:lvlJc w:val="left"/>
      <w:pPr>
        <w:ind w:left="1418" w:hanging="100"/>
      </w:pPr>
      <w:rPr>
        <w:rFonts w:hint="default"/>
      </w:rPr>
    </w:lvl>
    <w:lvl w:ilvl="7" w:tplc="500437AC">
      <w:numFmt w:val="bullet"/>
      <w:lvlText w:val="•"/>
      <w:lvlJc w:val="left"/>
      <w:pPr>
        <w:ind w:left="1627" w:hanging="100"/>
      </w:pPr>
      <w:rPr>
        <w:rFonts w:hint="default"/>
      </w:rPr>
    </w:lvl>
    <w:lvl w:ilvl="8" w:tplc="30628280">
      <w:numFmt w:val="bullet"/>
      <w:lvlText w:val="•"/>
      <w:lvlJc w:val="left"/>
      <w:pPr>
        <w:ind w:left="1837" w:hanging="100"/>
      </w:pPr>
      <w:rPr>
        <w:rFonts w:hint="default"/>
      </w:rPr>
    </w:lvl>
  </w:abstractNum>
  <w:abstractNum w:abstractNumId="1235" w15:restartNumberingAfterBreak="0">
    <w:nsid w:val="4CE35D73"/>
    <w:multiLevelType w:val="hybridMultilevel"/>
    <w:tmpl w:val="C3E82ADE"/>
    <w:lvl w:ilvl="0" w:tplc="FC1EBE94">
      <w:numFmt w:val="bullet"/>
      <w:lvlText w:val=""/>
      <w:lvlJc w:val="left"/>
      <w:pPr>
        <w:ind w:left="156" w:hanging="100"/>
      </w:pPr>
      <w:rPr>
        <w:rFonts w:ascii="Symbol" w:eastAsia="Symbol" w:hAnsi="Symbol" w:cs="Symbol" w:hint="default"/>
        <w:color w:val="231F20"/>
        <w:w w:val="100"/>
        <w:sz w:val="14"/>
        <w:szCs w:val="14"/>
      </w:rPr>
    </w:lvl>
    <w:lvl w:ilvl="1" w:tplc="AC362776">
      <w:numFmt w:val="bullet"/>
      <w:lvlText w:val="•"/>
      <w:lvlJc w:val="left"/>
      <w:pPr>
        <w:ind w:left="301" w:hanging="100"/>
      </w:pPr>
      <w:rPr>
        <w:rFonts w:hint="default"/>
      </w:rPr>
    </w:lvl>
    <w:lvl w:ilvl="2" w:tplc="3E2232EE">
      <w:numFmt w:val="bullet"/>
      <w:lvlText w:val="•"/>
      <w:lvlJc w:val="left"/>
      <w:pPr>
        <w:ind w:left="443" w:hanging="100"/>
      </w:pPr>
      <w:rPr>
        <w:rFonts w:hint="default"/>
      </w:rPr>
    </w:lvl>
    <w:lvl w:ilvl="3" w:tplc="37261E3E">
      <w:numFmt w:val="bullet"/>
      <w:lvlText w:val="•"/>
      <w:lvlJc w:val="left"/>
      <w:pPr>
        <w:ind w:left="585" w:hanging="100"/>
      </w:pPr>
      <w:rPr>
        <w:rFonts w:hint="default"/>
      </w:rPr>
    </w:lvl>
    <w:lvl w:ilvl="4" w:tplc="A1E8AE9A">
      <w:numFmt w:val="bullet"/>
      <w:lvlText w:val="•"/>
      <w:lvlJc w:val="left"/>
      <w:pPr>
        <w:ind w:left="726" w:hanging="100"/>
      </w:pPr>
      <w:rPr>
        <w:rFonts w:hint="default"/>
      </w:rPr>
    </w:lvl>
    <w:lvl w:ilvl="5" w:tplc="CE263C2E">
      <w:numFmt w:val="bullet"/>
      <w:lvlText w:val="•"/>
      <w:lvlJc w:val="left"/>
      <w:pPr>
        <w:ind w:left="868" w:hanging="100"/>
      </w:pPr>
      <w:rPr>
        <w:rFonts w:hint="default"/>
      </w:rPr>
    </w:lvl>
    <w:lvl w:ilvl="6" w:tplc="F9C2479C">
      <w:numFmt w:val="bullet"/>
      <w:lvlText w:val="•"/>
      <w:lvlJc w:val="left"/>
      <w:pPr>
        <w:ind w:left="1010" w:hanging="100"/>
      </w:pPr>
      <w:rPr>
        <w:rFonts w:hint="default"/>
      </w:rPr>
    </w:lvl>
    <w:lvl w:ilvl="7" w:tplc="AC1E6538">
      <w:numFmt w:val="bullet"/>
      <w:lvlText w:val="•"/>
      <w:lvlJc w:val="left"/>
      <w:pPr>
        <w:ind w:left="1151" w:hanging="100"/>
      </w:pPr>
      <w:rPr>
        <w:rFonts w:hint="default"/>
      </w:rPr>
    </w:lvl>
    <w:lvl w:ilvl="8" w:tplc="B44AF064">
      <w:numFmt w:val="bullet"/>
      <w:lvlText w:val="•"/>
      <w:lvlJc w:val="left"/>
      <w:pPr>
        <w:ind w:left="1293" w:hanging="100"/>
      </w:pPr>
      <w:rPr>
        <w:rFonts w:hint="default"/>
      </w:rPr>
    </w:lvl>
  </w:abstractNum>
  <w:abstractNum w:abstractNumId="1236" w15:restartNumberingAfterBreak="0">
    <w:nsid w:val="4CFD42F4"/>
    <w:multiLevelType w:val="hybridMultilevel"/>
    <w:tmpl w:val="870E9658"/>
    <w:lvl w:ilvl="0" w:tplc="4C329B9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5AE2F5EE">
      <w:numFmt w:val="bullet"/>
      <w:lvlText w:val="•"/>
      <w:lvlJc w:val="left"/>
      <w:pPr>
        <w:ind w:left="351" w:hanging="84"/>
      </w:pPr>
      <w:rPr>
        <w:rFonts w:hint="default"/>
      </w:rPr>
    </w:lvl>
    <w:lvl w:ilvl="2" w:tplc="50AE76AE">
      <w:numFmt w:val="bullet"/>
      <w:lvlText w:val="•"/>
      <w:lvlJc w:val="left"/>
      <w:pPr>
        <w:ind w:left="563" w:hanging="84"/>
      </w:pPr>
      <w:rPr>
        <w:rFonts w:hint="default"/>
      </w:rPr>
    </w:lvl>
    <w:lvl w:ilvl="3" w:tplc="56F679B6">
      <w:numFmt w:val="bullet"/>
      <w:lvlText w:val="•"/>
      <w:lvlJc w:val="left"/>
      <w:pPr>
        <w:ind w:left="775" w:hanging="84"/>
      </w:pPr>
      <w:rPr>
        <w:rFonts w:hint="default"/>
      </w:rPr>
    </w:lvl>
    <w:lvl w:ilvl="4" w:tplc="96967532">
      <w:numFmt w:val="bullet"/>
      <w:lvlText w:val="•"/>
      <w:lvlJc w:val="left"/>
      <w:pPr>
        <w:ind w:left="986" w:hanging="84"/>
      </w:pPr>
      <w:rPr>
        <w:rFonts w:hint="default"/>
      </w:rPr>
    </w:lvl>
    <w:lvl w:ilvl="5" w:tplc="7F38EDBC">
      <w:numFmt w:val="bullet"/>
      <w:lvlText w:val="•"/>
      <w:lvlJc w:val="left"/>
      <w:pPr>
        <w:ind w:left="1198" w:hanging="84"/>
      </w:pPr>
      <w:rPr>
        <w:rFonts w:hint="default"/>
      </w:rPr>
    </w:lvl>
    <w:lvl w:ilvl="6" w:tplc="E5405316">
      <w:numFmt w:val="bullet"/>
      <w:lvlText w:val="•"/>
      <w:lvlJc w:val="left"/>
      <w:pPr>
        <w:ind w:left="1410" w:hanging="84"/>
      </w:pPr>
      <w:rPr>
        <w:rFonts w:hint="default"/>
      </w:rPr>
    </w:lvl>
    <w:lvl w:ilvl="7" w:tplc="FB42C552">
      <w:numFmt w:val="bullet"/>
      <w:lvlText w:val="•"/>
      <w:lvlJc w:val="left"/>
      <w:pPr>
        <w:ind w:left="1621" w:hanging="84"/>
      </w:pPr>
      <w:rPr>
        <w:rFonts w:hint="default"/>
      </w:rPr>
    </w:lvl>
    <w:lvl w:ilvl="8" w:tplc="5F8A8AF4">
      <w:numFmt w:val="bullet"/>
      <w:lvlText w:val="•"/>
      <w:lvlJc w:val="left"/>
      <w:pPr>
        <w:ind w:left="1833" w:hanging="84"/>
      </w:pPr>
      <w:rPr>
        <w:rFonts w:hint="default"/>
      </w:rPr>
    </w:lvl>
  </w:abstractNum>
  <w:abstractNum w:abstractNumId="1237" w15:restartNumberingAfterBreak="0">
    <w:nsid w:val="4D27219A"/>
    <w:multiLevelType w:val="hybridMultilevel"/>
    <w:tmpl w:val="74EACBC8"/>
    <w:lvl w:ilvl="0" w:tplc="482AD862">
      <w:numFmt w:val="bullet"/>
      <w:lvlText w:val=""/>
      <w:lvlJc w:val="left"/>
      <w:pPr>
        <w:ind w:left="156" w:hanging="100"/>
      </w:pPr>
      <w:rPr>
        <w:rFonts w:ascii="Symbol" w:eastAsia="Symbol" w:hAnsi="Symbol" w:cs="Symbol" w:hint="default"/>
        <w:color w:val="231F20"/>
        <w:w w:val="100"/>
        <w:sz w:val="14"/>
        <w:szCs w:val="14"/>
      </w:rPr>
    </w:lvl>
    <w:lvl w:ilvl="1" w:tplc="CDDE6C7C">
      <w:numFmt w:val="bullet"/>
      <w:lvlText w:val="•"/>
      <w:lvlJc w:val="left"/>
      <w:pPr>
        <w:ind w:left="454" w:hanging="100"/>
      </w:pPr>
      <w:rPr>
        <w:rFonts w:hint="default"/>
      </w:rPr>
    </w:lvl>
    <w:lvl w:ilvl="2" w:tplc="398E7B5A">
      <w:numFmt w:val="bullet"/>
      <w:lvlText w:val="•"/>
      <w:lvlJc w:val="left"/>
      <w:pPr>
        <w:ind w:left="749" w:hanging="100"/>
      </w:pPr>
      <w:rPr>
        <w:rFonts w:hint="default"/>
      </w:rPr>
    </w:lvl>
    <w:lvl w:ilvl="3" w:tplc="D3700B5C">
      <w:numFmt w:val="bullet"/>
      <w:lvlText w:val="•"/>
      <w:lvlJc w:val="left"/>
      <w:pPr>
        <w:ind w:left="1044" w:hanging="100"/>
      </w:pPr>
      <w:rPr>
        <w:rFonts w:hint="default"/>
      </w:rPr>
    </w:lvl>
    <w:lvl w:ilvl="4" w:tplc="1B4CA61C">
      <w:numFmt w:val="bullet"/>
      <w:lvlText w:val="•"/>
      <w:lvlJc w:val="left"/>
      <w:pPr>
        <w:ind w:left="1339" w:hanging="100"/>
      </w:pPr>
      <w:rPr>
        <w:rFonts w:hint="default"/>
      </w:rPr>
    </w:lvl>
    <w:lvl w:ilvl="5" w:tplc="2A903E40">
      <w:numFmt w:val="bullet"/>
      <w:lvlText w:val="•"/>
      <w:lvlJc w:val="left"/>
      <w:pPr>
        <w:ind w:left="1634" w:hanging="100"/>
      </w:pPr>
      <w:rPr>
        <w:rFonts w:hint="default"/>
      </w:rPr>
    </w:lvl>
    <w:lvl w:ilvl="6" w:tplc="9A6C9B9A">
      <w:numFmt w:val="bullet"/>
      <w:lvlText w:val="•"/>
      <w:lvlJc w:val="left"/>
      <w:pPr>
        <w:ind w:left="1928" w:hanging="100"/>
      </w:pPr>
      <w:rPr>
        <w:rFonts w:hint="default"/>
      </w:rPr>
    </w:lvl>
    <w:lvl w:ilvl="7" w:tplc="FE84AA52">
      <w:numFmt w:val="bullet"/>
      <w:lvlText w:val="•"/>
      <w:lvlJc w:val="left"/>
      <w:pPr>
        <w:ind w:left="2223" w:hanging="100"/>
      </w:pPr>
      <w:rPr>
        <w:rFonts w:hint="default"/>
      </w:rPr>
    </w:lvl>
    <w:lvl w:ilvl="8" w:tplc="B1E65F84">
      <w:numFmt w:val="bullet"/>
      <w:lvlText w:val="•"/>
      <w:lvlJc w:val="left"/>
      <w:pPr>
        <w:ind w:left="2518" w:hanging="100"/>
      </w:pPr>
      <w:rPr>
        <w:rFonts w:hint="default"/>
      </w:rPr>
    </w:lvl>
  </w:abstractNum>
  <w:abstractNum w:abstractNumId="1238" w15:restartNumberingAfterBreak="0">
    <w:nsid w:val="4D614899"/>
    <w:multiLevelType w:val="hybridMultilevel"/>
    <w:tmpl w:val="9C9A4FA4"/>
    <w:lvl w:ilvl="0" w:tplc="DF7AEED0">
      <w:numFmt w:val="bullet"/>
      <w:lvlText w:val=""/>
      <w:lvlJc w:val="left"/>
      <w:pPr>
        <w:ind w:left="157" w:hanging="100"/>
      </w:pPr>
      <w:rPr>
        <w:rFonts w:ascii="Symbol" w:eastAsia="Symbol" w:hAnsi="Symbol" w:cs="Symbol" w:hint="default"/>
        <w:color w:val="231F20"/>
        <w:w w:val="100"/>
        <w:sz w:val="14"/>
        <w:szCs w:val="14"/>
      </w:rPr>
    </w:lvl>
    <w:lvl w:ilvl="1" w:tplc="51A81B80">
      <w:numFmt w:val="bullet"/>
      <w:lvlText w:val="•"/>
      <w:lvlJc w:val="left"/>
      <w:pPr>
        <w:ind w:left="426" w:hanging="100"/>
      </w:pPr>
      <w:rPr>
        <w:rFonts w:hint="default"/>
      </w:rPr>
    </w:lvl>
    <w:lvl w:ilvl="2" w:tplc="5A06FA22">
      <w:numFmt w:val="bullet"/>
      <w:lvlText w:val="•"/>
      <w:lvlJc w:val="left"/>
      <w:pPr>
        <w:ind w:left="692" w:hanging="100"/>
      </w:pPr>
      <w:rPr>
        <w:rFonts w:hint="default"/>
      </w:rPr>
    </w:lvl>
    <w:lvl w:ilvl="3" w:tplc="84AC1E5C">
      <w:numFmt w:val="bullet"/>
      <w:lvlText w:val="•"/>
      <w:lvlJc w:val="left"/>
      <w:pPr>
        <w:ind w:left="959" w:hanging="100"/>
      </w:pPr>
      <w:rPr>
        <w:rFonts w:hint="default"/>
      </w:rPr>
    </w:lvl>
    <w:lvl w:ilvl="4" w:tplc="03761580">
      <w:numFmt w:val="bullet"/>
      <w:lvlText w:val="•"/>
      <w:lvlJc w:val="left"/>
      <w:pPr>
        <w:ind w:left="1225" w:hanging="100"/>
      </w:pPr>
      <w:rPr>
        <w:rFonts w:hint="default"/>
      </w:rPr>
    </w:lvl>
    <w:lvl w:ilvl="5" w:tplc="376C9538">
      <w:numFmt w:val="bullet"/>
      <w:lvlText w:val="•"/>
      <w:lvlJc w:val="left"/>
      <w:pPr>
        <w:ind w:left="1492" w:hanging="100"/>
      </w:pPr>
      <w:rPr>
        <w:rFonts w:hint="default"/>
      </w:rPr>
    </w:lvl>
    <w:lvl w:ilvl="6" w:tplc="18B8CF08">
      <w:numFmt w:val="bullet"/>
      <w:lvlText w:val="•"/>
      <w:lvlJc w:val="left"/>
      <w:pPr>
        <w:ind w:left="1758" w:hanging="100"/>
      </w:pPr>
      <w:rPr>
        <w:rFonts w:hint="default"/>
      </w:rPr>
    </w:lvl>
    <w:lvl w:ilvl="7" w:tplc="064CEFE0">
      <w:numFmt w:val="bullet"/>
      <w:lvlText w:val="•"/>
      <w:lvlJc w:val="left"/>
      <w:pPr>
        <w:ind w:left="2024" w:hanging="100"/>
      </w:pPr>
      <w:rPr>
        <w:rFonts w:hint="default"/>
      </w:rPr>
    </w:lvl>
    <w:lvl w:ilvl="8" w:tplc="FDAA0562">
      <w:numFmt w:val="bullet"/>
      <w:lvlText w:val="•"/>
      <w:lvlJc w:val="left"/>
      <w:pPr>
        <w:ind w:left="2291" w:hanging="100"/>
      </w:pPr>
      <w:rPr>
        <w:rFonts w:hint="default"/>
      </w:rPr>
    </w:lvl>
  </w:abstractNum>
  <w:abstractNum w:abstractNumId="1239" w15:restartNumberingAfterBreak="0">
    <w:nsid w:val="4D672ED7"/>
    <w:multiLevelType w:val="hybridMultilevel"/>
    <w:tmpl w:val="6E7E4C42"/>
    <w:lvl w:ilvl="0" w:tplc="F4A64AD4">
      <w:numFmt w:val="bullet"/>
      <w:lvlText w:val=""/>
      <w:lvlJc w:val="left"/>
      <w:pPr>
        <w:ind w:left="156" w:hanging="100"/>
      </w:pPr>
      <w:rPr>
        <w:rFonts w:ascii="Symbol" w:eastAsia="Symbol" w:hAnsi="Symbol" w:cs="Symbol" w:hint="default"/>
        <w:color w:val="231F20"/>
        <w:w w:val="100"/>
        <w:sz w:val="14"/>
        <w:szCs w:val="14"/>
      </w:rPr>
    </w:lvl>
    <w:lvl w:ilvl="1" w:tplc="3C6EDB9E">
      <w:numFmt w:val="bullet"/>
      <w:lvlText w:val="•"/>
      <w:lvlJc w:val="left"/>
      <w:pPr>
        <w:ind w:left="301" w:hanging="100"/>
      </w:pPr>
      <w:rPr>
        <w:rFonts w:hint="default"/>
      </w:rPr>
    </w:lvl>
    <w:lvl w:ilvl="2" w:tplc="DB3E6310">
      <w:numFmt w:val="bullet"/>
      <w:lvlText w:val="•"/>
      <w:lvlJc w:val="left"/>
      <w:pPr>
        <w:ind w:left="443" w:hanging="100"/>
      </w:pPr>
      <w:rPr>
        <w:rFonts w:hint="default"/>
      </w:rPr>
    </w:lvl>
    <w:lvl w:ilvl="3" w:tplc="E4C2875C">
      <w:numFmt w:val="bullet"/>
      <w:lvlText w:val="•"/>
      <w:lvlJc w:val="left"/>
      <w:pPr>
        <w:ind w:left="585" w:hanging="100"/>
      </w:pPr>
      <w:rPr>
        <w:rFonts w:hint="default"/>
      </w:rPr>
    </w:lvl>
    <w:lvl w:ilvl="4" w:tplc="7884C4D0">
      <w:numFmt w:val="bullet"/>
      <w:lvlText w:val="•"/>
      <w:lvlJc w:val="left"/>
      <w:pPr>
        <w:ind w:left="726" w:hanging="100"/>
      </w:pPr>
      <w:rPr>
        <w:rFonts w:hint="default"/>
      </w:rPr>
    </w:lvl>
    <w:lvl w:ilvl="5" w:tplc="D0F4BC2A">
      <w:numFmt w:val="bullet"/>
      <w:lvlText w:val="•"/>
      <w:lvlJc w:val="left"/>
      <w:pPr>
        <w:ind w:left="868" w:hanging="100"/>
      </w:pPr>
      <w:rPr>
        <w:rFonts w:hint="default"/>
      </w:rPr>
    </w:lvl>
    <w:lvl w:ilvl="6" w:tplc="1A4A02F6">
      <w:numFmt w:val="bullet"/>
      <w:lvlText w:val="•"/>
      <w:lvlJc w:val="left"/>
      <w:pPr>
        <w:ind w:left="1010" w:hanging="100"/>
      </w:pPr>
      <w:rPr>
        <w:rFonts w:hint="default"/>
      </w:rPr>
    </w:lvl>
    <w:lvl w:ilvl="7" w:tplc="DD686124">
      <w:numFmt w:val="bullet"/>
      <w:lvlText w:val="•"/>
      <w:lvlJc w:val="left"/>
      <w:pPr>
        <w:ind w:left="1151" w:hanging="100"/>
      </w:pPr>
      <w:rPr>
        <w:rFonts w:hint="default"/>
      </w:rPr>
    </w:lvl>
    <w:lvl w:ilvl="8" w:tplc="078264D4">
      <w:numFmt w:val="bullet"/>
      <w:lvlText w:val="•"/>
      <w:lvlJc w:val="left"/>
      <w:pPr>
        <w:ind w:left="1293" w:hanging="100"/>
      </w:pPr>
      <w:rPr>
        <w:rFonts w:hint="default"/>
      </w:rPr>
    </w:lvl>
  </w:abstractNum>
  <w:abstractNum w:abstractNumId="1240" w15:restartNumberingAfterBreak="0">
    <w:nsid w:val="4D6E4382"/>
    <w:multiLevelType w:val="hybridMultilevel"/>
    <w:tmpl w:val="31EA423E"/>
    <w:lvl w:ilvl="0" w:tplc="BD6456D4">
      <w:numFmt w:val="bullet"/>
      <w:lvlText w:val=""/>
      <w:lvlJc w:val="left"/>
      <w:pPr>
        <w:ind w:left="156" w:hanging="100"/>
      </w:pPr>
      <w:rPr>
        <w:rFonts w:ascii="Symbol" w:eastAsia="Symbol" w:hAnsi="Symbol" w:cs="Symbol" w:hint="default"/>
        <w:color w:val="231F20"/>
        <w:w w:val="100"/>
        <w:sz w:val="14"/>
        <w:szCs w:val="14"/>
      </w:rPr>
    </w:lvl>
    <w:lvl w:ilvl="1" w:tplc="679AEC5C">
      <w:numFmt w:val="bullet"/>
      <w:lvlText w:val="•"/>
      <w:lvlJc w:val="left"/>
      <w:pPr>
        <w:ind w:left="426" w:hanging="100"/>
      </w:pPr>
      <w:rPr>
        <w:rFonts w:hint="default"/>
      </w:rPr>
    </w:lvl>
    <w:lvl w:ilvl="2" w:tplc="34120E2C">
      <w:numFmt w:val="bullet"/>
      <w:lvlText w:val="•"/>
      <w:lvlJc w:val="left"/>
      <w:pPr>
        <w:ind w:left="692" w:hanging="100"/>
      </w:pPr>
      <w:rPr>
        <w:rFonts w:hint="default"/>
      </w:rPr>
    </w:lvl>
    <w:lvl w:ilvl="3" w:tplc="1674AFA2">
      <w:numFmt w:val="bullet"/>
      <w:lvlText w:val="•"/>
      <w:lvlJc w:val="left"/>
      <w:pPr>
        <w:ind w:left="959" w:hanging="100"/>
      </w:pPr>
      <w:rPr>
        <w:rFonts w:hint="default"/>
      </w:rPr>
    </w:lvl>
    <w:lvl w:ilvl="4" w:tplc="906E7434">
      <w:numFmt w:val="bullet"/>
      <w:lvlText w:val="•"/>
      <w:lvlJc w:val="left"/>
      <w:pPr>
        <w:ind w:left="1225" w:hanging="100"/>
      </w:pPr>
      <w:rPr>
        <w:rFonts w:hint="default"/>
      </w:rPr>
    </w:lvl>
    <w:lvl w:ilvl="5" w:tplc="6C1E4EB0">
      <w:numFmt w:val="bullet"/>
      <w:lvlText w:val="•"/>
      <w:lvlJc w:val="left"/>
      <w:pPr>
        <w:ind w:left="1492" w:hanging="100"/>
      </w:pPr>
      <w:rPr>
        <w:rFonts w:hint="default"/>
      </w:rPr>
    </w:lvl>
    <w:lvl w:ilvl="6" w:tplc="1F5A4816">
      <w:numFmt w:val="bullet"/>
      <w:lvlText w:val="•"/>
      <w:lvlJc w:val="left"/>
      <w:pPr>
        <w:ind w:left="1758" w:hanging="100"/>
      </w:pPr>
      <w:rPr>
        <w:rFonts w:hint="default"/>
      </w:rPr>
    </w:lvl>
    <w:lvl w:ilvl="7" w:tplc="E76A8F96">
      <w:numFmt w:val="bullet"/>
      <w:lvlText w:val="•"/>
      <w:lvlJc w:val="left"/>
      <w:pPr>
        <w:ind w:left="2024" w:hanging="100"/>
      </w:pPr>
      <w:rPr>
        <w:rFonts w:hint="default"/>
      </w:rPr>
    </w:lvl>
    <w:lvl w:ilvl="8" w:tplc="03A04AAA">
      <w:numFmt w:val="bullet"/>
      <w:lvlText w:val="•"/>
      <w:lvlJc w:val="left"/>
      <w:pPr>
        <w:ind w:left="2291" w:hanging="100"/>
      </w:pPr>
      <w:rPr>
        <w:rFonts w:hint="default"/>
      </w:rPr>
    </w:lvl>
  </w:abstractNum>
  <w:abstractNum w:abstractNumId="1241" w15:restartNumberingAfterBreak="0">
    <w:nsid w:val="4D9646C7"/>
    <w:multiLevelType w:val="hybridMultilevel"/>
    <w:tmpl w:val="E2FC8B88"/>
    <w:lvl w:ilvl="0" w:tplc="64F446E6">
      <w:numFmt w:val="bullet"/>
      <w:lvlText w:val=""/>
      <w:lvlJc w:val="left"/>
      <w:pPr>
        <w:ind w:left="156" w:hanging="100"/>
      </w:pPr>
      <w:rPr>
        <w:rFonts w:ascii="Symbol" w:eastAsia="Symbol" w:hAnsi="Symbol" w:cs="Symbol" w:hint="default"/>
        <w:color w:val="231F20"/>
        <w:w w:val="100"/>
        <w:sz w:val="14"/>
        <w:szCs w:val="14"/>
      </w:rPr>
    </w:lvl>
    <w:lvl w:ilvl="1" w:tplc="60BCAA9A">
      <w:numFmt w:val="bullet"/>
      <w:lvlText w:val="•"/>
      <w:lvlJc w:val="left"/>
      <w:pPr>
        <w:ind w:left="398" w:hanging="100"/>
      </w:pPr>
      <w:rPr>
        <w:rFonts w:hint="default"/>
      </w:rPr>
    </w:lvl>
    <w:lvl w:ilvl="2" w:tplc="46FA34C0">
      <w:numFmt w:val="bullet"/>
      <w:lvlText w:val="•"/>
      <w:lvlJc w:val="left"/>
      <w:pPr>
        <w:ind w:left="636" w:hanging="100"/>
      </w:pPr>
      <w:rPr>
        <w:rFonts w:hint="default"/>
      </w:rPr>
    </w:lvl>
    <w:lvl w:ilvl="3" w:tplc="FAA29B44">
      <w:numFmt w:val="bullet"/>
      <w:lvlText w:val="•"/>
      <w:lvlJc w:val="left"/>
      <w:pPr>
        <w:ind w:left="874" w:hanging="100"/>
      </w:pPr>
      <w:rPr>
        <w:rFonts w:hint="default"/>
      </w:rPr>
    </w:lvl>
    <w:lvl w:ilvl="4" w:tplc="23D4D7BE">
      <w:numFmt w:val="bullet"/>
      <w:lvlText w:val="•"/>
      <w:lvlJc w:val="left"/>
      <w:pPr>
        <w:ind w:left="1112" w:hanging="100"/>
      </w:pPr>
      <w:rPr>
        <w:rFonts w:hint="default"/>
      </w:rPr>
    </w:lvl>
    <w:lvl w:ilvl="5" w:tplc="42E6FE26">
      <w:numFmt w:val="bullet"/>
      <w:lvlText w:val="•"/>
      <w:lvlJc w:val="left"/>
      <w:pPr>
        <w:ind w:left="1350" w:hanging="100"/>
      </w:pPr>
      <w:rPr>
        <w:rFonts w:hint="default"/>
      </w:rPr>
    </w:lvl>
    <w:lvl w:ilvl="6" w:tplc="8E3E72CC">
      <w:numFmt w:val="bullet"/>
      <w:lvlText w:val="•"/>
      <w:lvlJc w:val="left"/>
      <w:pPr>
        <w:ind w:left="1588" w:hanging="100"/>
      </w:pPr>
      <w:rPr>
        <w:rFonts w:hint="default"/>
      </w:rPr>
    </w:lvl>
    <w:lvl w:ilvl="7" w:tplc="8BAA932E">
      <w:numFmt w:val="bullet"/>
      <w:lvlText w:val="•"/>
      <w:lvlJc w:val="left"/>
      <w:pPr>
        <w:ind w:left="1826" w:hanging="100"/>
      </w:pPr>
      <w:rPr>
        <w:rFonts w:hint="default"/>
      </w:rPr>
    </w:lvl>
    <w:lvl w:ilvl="8" w:tplc="E8327376">
      <w:numFmt w:val="bullet"/>
      <w:lvlText w:val="•"/>
      <w:lvlJc w:val="left"/>
      <w:pPr>
        <w:ind w:left="2064" w:hanging="100"/>
      </w:pPr>
      <w:rPr>
        <w:rFonts w:hint="default"/>
      </w:rPr>
    </w:lvl>
  </w:abstractNum>
  <w:abstractNum w:abstractNumId="1242" w15:restartNumberingAfterBreak="0">
    <w:nsid w:val="4D9F2102"/>
    <w:multiLevelType w:val="hybridMultilevel"/>
    <w:tmpl w:val="FA541118"/>
    <w:lvl w:ilvl="0" w:tplc="10D40EB8">
      <w:numFmt w:val="bullet"/>
      <w:lvlText w:val=""/>
      <w:lvlJc w:val="left"/>
      <w:pPr>
        <w:ind w:left="156" w:hanging="100"/>
      </w:pPr>
      <w:rPr>
        <w:rFonts w:ascii="Symbol" w:eastAsia="Symbol" w:hAnsi="Symbol" w:cs="Symbol" w:hint="default"/>
        <w:color w:val="231F20"/>
        <w:w w:val="100"/>
        <w:sz w:val="14"/>
        <w:szCs w:val="14"/>
      </w:rPr>
    </w:lvl>
    <w:lvl w:ilvl="1" w:tplc="E9BC640A">
      <w:numFmt w:val="bullet"/>
      <w:lvlText w:val="•"/>
      <w:lvlJc w:val="left"/>
      <w:pPr>
        <w:ind w:left="301" w:hanging="100"/>
      </w:pPr>
      <w:rPr>
        <w:rFonts w:hint="default"/>
      </w:rPr>
    </w:lvl>
    <w:lvl w:ilvl="2" w:tplc="5106C54A">
      <w:numFmt w:val="bullet"/>
      <w:lvlText w:val="•"/>
      <w:lvlJc w:val="left"/>
      <w:pPr>
        <w:ind w:left="443" w:hanging="100"/>
      </w:pPr>
      <w:rPr>
        <w:rFonts w:hint="default"/>
      </w:rPr>
    </w:lvl>
    <w:lvl w:ilvl="3" w:tplc="2EF84016">
      <w:numFmt w:val="bullet"/>
      <w:lvlText w:val="•"/>
      <w:lvlJc w:val="left"/>
      <w:pPr>
        <w:ind w:left="585" w:hanging="100"/>
      </w:pPr>
      <w:rPr>
        <w:rFonts w:hint="default"/>
      </w:rPr>
    </w:lvl>
    <w:lvl w:ilvl="4" w:tplc="D5802698">
      <w:numFmt w:val="bullet"/>
      <w:lvlText w:val="•"/>
      <w:lvlJc w:val="left"/>
      <w:pPr>
        <w:ind w:left="726" w:hanging="100"/>
      </w:pPr>
      <w:rPr>
        <w:rFonts w:hint="default"/>
      </w:rPr>
    </w:lvl>
    <w:lvl w:ilvl="5" w:tplc="1C88D13E">
      <w:numFmt w:val="bullet"/>
      <w:lvlText w:val="•"/>
      <w:lvlJc w:val="left"/>
      <w:pPr>
        <w:ind w:left="868" w:hanging="100"/>
      </w:pPr>
      <w:rPr>
        <w:rFonts w:hint="default"/>
      </w:rPr>
    </w:lvl>
    <w:lvl w:ilvl="6" w:tplc="D3D8A618">
      <w:numFmt w:val="bullet"/>
      <w:lvlText w:val="•"/>
      <w:lvlJc w:val="left"/>
      <w:pPr>
        <w:ind w:left="1010" w:hanging="100"/>
      </w:pPr>
      <w:rPr>
        <w:rFonts w:hint="default"/>
      </w:rPr>
    </w:lvl>
    <w:lvl w:ilvl="7" w:tplc="59B83E4C">
      <w:numFmt w:val="bullet"/>
      <w:lvlText w:val="•"/>
      <w:lvlJc w:val="left"/>
      <w:pPr>
        <w:ind w:left="1151" w:hanging="100"/>
      </w:pPr>
      <w:rPr>
        <w:rFonts w:hint="default"/>
      </w:rPr>
    </w:lvl>
    <w:lvl w:ilvl="8" w:tplc="6C8A8CA0">
      <w:numFmt w:val="bullet"/>
      <w:lvlText w:val="•"/>
      <w:lvlJc w:val="left"/>
      <w:pPr>
        <w:ind w:left="1293" w:hanging="100"/>
      </w:pPr>
      <w:rPr>
        <w:rFonts w:hint="default"/>
      </w:rPr>
    </w:lvl>
  </w:abstractNum>
  <w:abstractNum w:abstractNumId="1243" w15:restartNumberingAfterBreak="0">
    <w:nsid w:val="4DAD19B8"/>
    <w:multiLevelType w:val="hybridMultilevel"/>
    <w:tmpl w:val="DEB09CFC"/>
    <w:lvl w:ilvl="0" w:tplc="F89874E8">
      <w:numFmt w:val="bullet"/>
      <w:lvlText w:val=""/>
      <w:lvlJc w:val="left"/>
      <w:pPr>
        <w:ind w:left="156" w:hanging="100"/>
      </w:pPr>
      <w:rPr>
        <w:rFonts w:ascii="Symbol" w:eastAsia="Symbol" w:hAnsi="Symbol" w:cs="Symbol" w:hint="default"/>
        <w:color w:val="231F20"/>
        <w:w w:val="100"/>
        <w:sz w:val="14"/>
        <w:szCs w:val="14"/>
      </w:rPr>
    </w:lvl>
    <w:lvl w:ilvl="1" w:tplc="707CE1D8">
      <w:numFmt w:val="bullet"/>
      <w:lvlText w:val="•"/>
      <w:lvlJc w:val="left"/>
      <w:pPr>
        <w:ind w:left="301" w:hanging="100"/>
      </w:pPr>
      <w:rPr>
        <w:rFonts w:hint="default"/>
      </w:rPr>
    </w:lvl>
    <w:lvl w:ilvl="2" w:tplc="DD06A9BC">
      <w:numFmt w:val="bullet"/>
      <w:lvlText w:val="•"/>
      <w:lvlJc w:val="left"/>
      <w:pPr>
        <w:ind w:left="443" w:hanging="100"/>
      </w:pPr>
      <w:rPr>
        <w:rFonts w:hint="default"/>
      </w:rPr>
    </w:lvl>
    <w:lvl w:ilvl="3" w:tplc="054C81B4">
      <w:numFmt w:val="bullet"/>
      <w:lvlText w:val="•"/>
      <w:lvlJc w:val="left"/>
      <w:pPr>
        <w:ind w:left="585" w:hanging="100"/>
      </w:pPr>
      <w:rPr>
        <w:rFonts w:hint="default"/>
      </w:rPr>
    </w:lvl>
    <w:lvl w:ilvl="4" w:tplc="48B00D04">
      <w:numFmt w:val="bullet"/>
      <w:lvlText w:val="•"/>
      <w:lvlJc w:val="left"/>
      <w:pPr>
        <w:ind w:left="726" w:hanging="100"/>
      </w:pPr>
      <w:rPr>
        <w:rFonts w:hint="default"/>
      </w:rPr>
    </w:lvl>
    <w:lvl w:ilvl="5" w:tplc="B90C9264">
      <w:numFmt w:val="bullet"/>
      <w:lvlText w:val="•"/>
      <w:lvlJc w:val="left"/>
      <w:pPr>
        <w:ind w:left="868" w:hanging="100"/>
      </w:pPr>
      <w:rPr>
        <w:rFonts w:hint="default"/>
      </w:rPr>
    </w:lvl>
    <w:lvl w:ilvl="6" w:tplc="715091C4">
      <w:numFmt w:val="bullet"/>
      <w:lvlText w:val="•"/>
      <w:lvlJc w:val="left"/>
      <w:pPr>
        <w:ind w:left="1010" w:hanging="100"/>
      </w:pPr>
      <w:rPr>
        <w:rFonts w:hint="default"/>
      </w:rPr>
    </w:lvl>
    <w:lvl w:ilvl="7" w:tplc="73643202">
      <w:numFmt w:val="bullet"/>
      <w:lvlText w:val="•"/>
      <w:lvlJc w:val="left"/>
      <w:pPr>
        <w:ind w:left="1151" w:hanging="100"/>
      </w:pPr>
      <w:rPr>
        <w:rFonts w:hint="default"/>
      </w:rPr>
    </w:lvl>
    <w:lvl w:ilvl="8" w:tplc="E9285432">
      <w:numFmt w:val="bullet"/>
      <w:lvlText w:val="•"/>
      <w:lvlJc w:val="left"/>
      <w:pPr>
        <w:ind w:left="1293" w:hanging="100"/>
      </w:pPr>
      <w:rPr>
        <w:rFonts w:hint="default"/>
      </w:rPr>
    </w:lvl>
  </w:abstractNum>
  <w:abstractNum w:abstractNumId="1244" w15:restartNumberingAfterBreak="0">
    <w:nsid w:val="4DC00670"/>
    <w:multiLevelType w:val="hybridMultilevel"/>
    <w:tmpl w:val="5CC084B0"/>
    <w:lvl w:ilvl="0" w:tplc="EF1A5D10">
      <w:numFmt w:val="bullet"/>
      <w:lvlText w:val="–"/>
      <w:lvlJc w:val="left"/>
      <w:pPr>
        <w:ind w:left="162" w:hanging="105"/>
      </w:pPr>
      <w:rPr>
        <w:rFonts w:ascii="Times New Roman" w:eastAsia="Times New Roman" w:hAnsi="Times New Roman" w:cs="Times New Roman" w:hint="default"/>
        <w:color w:val="231F20"/>
        <w:spacing w:val="-5"/>
        <w:w w:val="100"/>
        <w:sz w:val="14"/>
        <w:szCs w:val="14"/>
      </w:rPr>
    </w:lvl>
    <w:lvl w:ilvl="1" w:tplc="B3A43D08">
      <w:numFmt w:val="bullet"/>
      <w:lvlText w:val="•"/>
      <w:lvlJc w:val="left"/>
      <w:pPr>
        <w:ind w:left="426" w:hanging="105"/>
      </w:pPr>
      <w:rPr>
        <w:rFonts w:hint="default"/>
      </w:rPr>
    </w:lvl>
    <w:lvl w:ilvl="2" w:tplc="AA9A4DAE">
      <w:numFmt w:val="bullet"/>
      <w:lvlText w:val="•"/>
      <w:lvlJc w:val="left"/>
      <w:pPr>
        <w:ind w:left="692" w:hanging="105"/>
      </w:pPr>
      <w:rPr>
        <w:rFonts w:hint="default"/>
      </w:rPr>
    </w:lvl>
    <w:lvl w:ilvl="3" w:tplc="6512EF80">
      <w:numFmt w:val="bullet"/>
      <w:lvlText w:val="•"/>
      <w:lvlJc w:val="left"/>
      <w:pPr>
        <w:ind w:left="959" w:hanging="105"/>
      </w:pPr>
      <w:rPr>
        <w:rFonts w:hint="default"/>
      </w:rPr>
    </w:lvl>
    <w:lvl w:ilvl="4" w:tplc="95D216B8">
      <w:numFmt w:val="bullet"/>
      <w:lvlText w:val="•"/>
      <w:lvlJc w:val="left"/>
      <w:pPr>
        <w:ind w:left="1225" w:hanging="105"/>
      </w:pPr>
      <w:rPr>
        <w:rFonts w:hint="default"/>
      </w:rPr>
    </w:lvl>
    <w:lvl w:ilvl="5" w:tplc="00DEB22E">
      <w:numFmt w:val="bullet"/>
      <w:lvlText w:val="•"/>
      <w:lvlJc w:val="left"/>
      <w:pPr>
        <w:ind w:left="1492" w:hanging="105"/>
      </w:pPr>
      <w:rPr>
        <w:rFonts w:hint="default"/>
      </w:rPr>
    </w:lvl>
    <w:lvl w:ilvl="6" w:tplc="21C298D4">
      <w:numFmt w:val="bullet"/>
      <w:lvlText w:val="•"/>
      <w:lvlJc w:val="left"/>
      <w:pPr>
        <w:ind w:left="1758" w:hanging="105"/>
      </w:pPr>
      <w:rPr>
        <w:rFonts w:hint="default"/>
      </w:rPr>
    </w:lvl>
    <w:lvl w:ilvl="7" w:tplc="6C28D06A">
      <w:numFmt w:val="bullet"/>
      <w:lvlText w:val="•"/>
      <w:lvlJc w:val="left"/>
      <w:pPr>
        <w:ind w:left="2024" w:hanging="105"/>
      </w:pPr>
      <w:rPr>
        <w:rFonts w:hint="default"/>
      </w:rPr>
    </w:lvl>
    <w:lvl w:ilvl="8" w:tplc="05EC9978">
      <w:numFmt w:val="bullet"/>
      <w:lvlText w:val="•"/>
      <w:lvlJc w:val="left"/>
      <w:pPr>
        <w:ind w:left="2291" w:hanging="105"/>
      </w:pPr>
      <w:rPr>
        <w:rFonts w:hint="default"/>
      </w:rPr>
    </w:lvl>
  </w:abstractNum>
  <w:abstractNum w:abstractNumId="1245" w15:restartNumberingAfterBreak="0">
    <w:nsid w:val="4DD516F7"/>
    <w:multiLevelType w:val="hybridMultilevel"/>
    <w:tmpl w:val="835CF308"/>
    <w:lvl w:ilvl="0" w:tplc="1234D91C">
      <w:numFmt w:val="bullet"/>
      <w:lvlText w:val=""/>
      <w:lvlJc w:val="left"/>
      <w:pPr>
        <w:ind w:left="156" w:hanging="100"/>
      </w:pPr>
      <w:rPr>
        <w:rFonts w:ascii="Symbol" w:eastAsia="Symbol" w:hAnsi="Symbol" w:cs="Symbol" w:hint="default"/>
        <w:color w:val="231F20"/>
        <w:w w:val="100"/>
        <w:sz w:val="14"/>
        <w:szCs w:val="14"/>
      </w:rPr>
    </w:lvl>
    <w:lvl w:ilvl="1" w:tplc="8F6821B2">
      <w:numFmt w:val="bullet"/>
      <w:lvlText w:val="•"/>
      <w:lvlJc w:val="left"/>
      <w:pPr>
        <w:ind w:left="273" w:hanging="100"/>
      </w:pPr>
      <w:rPr>
        <w:rFonts w:hint="default"/>
      </w:rPr>
    </w:lvl>
    <w:lvl w:ilvl="2" w:tplc="FCA00EAE">
      <w:numFmt w:val="bullet"/>
      <w:lvlText w:val="•"/>
      <w:lvlJc w:val="left"/>
      <w:pPr>
        <w:ind w:left="386" w:hanging="100"/>
      </w:pPr>
      <w:rPr>
        <w:rFonts w:hint="default"/>
      </w:rPr>
    </w:lvl>
    <w:lvl w:ilvl="3" w:tplc="B0589A04">
      <w:numFmt w:val="bullet"/>
      <w:lvlText w:val="•"/>
      <w:lvlJc w:val="left"/>
      <w:pPr>
        <w:ind w:left="500" w:hanging="100"/>
      </w:pPr>
      <w:rPr>
        <w:rFonts w:hint="default"/>
      </w:rPr>
    </w:lvl>
    <w:lvl w:ilvl="4" w:tplc="FFC266E0">
      <w:numFmt w:val="bullet"/>
      <w:lvlText w:val="•"/>
      <w:lvlJc w:val="left"/>
      <w:pPr>
        <w:ind w:left="613" w:hanging="100"/>
      </w:pPr>
      <w:rPr>
        <w:rFonts w:hint="default"/>
      </w:rPr>
    </w:lvl>
    <w:lvl w:ilvl="5" w:tplc="1F789498">
      <w:numFmt w:val="bullet"/>
      <w:lvlText w:val="•"/>
      <w:lvlJc w:val="left"/>
      <w:pPr>
        <w:ind w:left="727" w:hanging="100"/>
      </w:pPr>
      <w:rPr>
        <w:rFonts w:hint="default"/>
      </w:rPr>
    </w:lvl>
    <w:lvl w:ilvl="6" w:tplc="0D8CFFC2">
      <w:numFmt w:val="bullet"/>
      <w:lvlText w:val="•"/>
      <w:lvlJc w:val="left"/>
      <w:pPr>
        <w:ind w:left="840" w:hanging="100"/>
      </w:pPr>
      <w:rPr>
        <w:rFonts w:hint="default"/>
      </w:rPr>
    </w:lvl>
    <w:lvl w:ilvl="7" w:tplc="521457FA">
      <w:numFmt w:val="bullet"/>
      <w:lvlText w:val="•"/>
      <w:lvlJc w:val="left"/>
      <w:pPr>
        <w:ind w:left="953" w:hanging="100"/>
      </w:pPr>
      <w:rPr>
        <w:rFonts w:hint="default"/>
      </w:rPr>
    </w:lvl>
    <w:lvl w:ilvl="8" w:tplc="9954D7F4">
      <w:numFmt w:val="bullet"/>
      <w:lvlText w:val="•"/>
      <w:lvlJc w:val="left"/>
      <w:pPr>
        <w:ind w:left="1067" w:hanging="100"/>
      </w:pPr>
      <w:rPr>
        <w:rFonts w:hint="default"/>
      </w:rPr>
    </w:lvl>
  </w:abstractNum>
  <w:abstractNum w:abstractNumId="1246" w15:restartNumberingAfterBreak="0">
    <w:nsid w:val="4DF32016"/>
    <w:multiLevelType w:val="hybridMultilevel"/>
    <w:tmpl w:val="21CA8B20"/>
    <w:lvl w:ilvl="0" w:tplc="F2821E02">
      <w:numFmt w:val="bullet"/>
      <w:lvlText w:val=""/>
      <w:lvlJc w:val="left"/>
      <w:pPr>
        <w:ind w:left="156" w:hanging="100"/>
      </w:pPr>
      <w:rPr>
        <w:rFonts w:ascii="Symbol" w:eastAsia="Symbol" w:hAnsi="Symbol" w:cs="Symbol" w:hint="default"/>
        <w:color w:val="231F20"/>
        <w:w w:val="100"/>
        <w:sz w:val="14"/>
        <w:szCs w:val="14"/>
      </w:rPr>
    </w:lvl>
    <w:lvl w:ilvl="1" w:tplc="7E1A310A">
      <w:numFmt w:val="bullet"/>
      <w:lvlText w:val="•"/>
      <w:lvlJc w:val="left"/>
      <w:pPr>
        <w:ind w:left="398" w:hanging="100"/>
      </w:pPr>
      <w:rPr>
        <w:rFonts w:hint="default"/>
      </w:rPr>
    </w:lvl>
    <w:lvl w:ilvl="2" w:tplc="A470DDC2">
      <w:numFmt w:val="bullet"/>
      <w:lvlText w:val="•"/>
      <w:lvlJc w:val="left"/>
      <w:pPr>
        <w:ind w:left="636" w:hanging="100"/>
      </w:pPr>
      <w:rPr>
        <w:rFonts w:hint="default"/>
      </w:rPr>
    </w:lvl>
    <w:lvl w:ilvl="3" w:tplc="F020B4E4">
      <w:numFmt w:val="bullet"/>
      <w:lvlText w:val="•"/>
      <w:lvlJc w:val="left"/>
      <w:pPr>
        <w:ind w:left="874" w:hanging="100"/>
      </w:pPr>
      <w:rPr>
        <w:rFonts w:hint="default"/>
      </w:rPr>
    </w:lvl>
    <w:lvl w:ilvl="4" w:tplc="44D4D584">
      <w:numFmt w:val="bullet"/>
      <w:lvlText w:val="•"/>
      <w:lvlJc w:val="left"/>
      <w:pPr>
        <w:ind w:left="1112" w:hanging="100"/>
      </w:pPr>
      <w:rPr>
        <w:rFonts w:hint="default"/>
      </w:rPr>
    </w:lvl>
    <w:lvl w:ilvl="5" w:tplc="D090C726">
      <w:numFmt w:val="bullet"/>
      <w:lvlText w:val="•"/>
      <w:lvlJc w:val="left"/>
      <w:pPr>
        <w:ind w:left="1350" w:hanging="100"/>
      </w:pPr>
      <w:rPr>
        <w:rFonts w:hint="default"/>
      </w:rPr>
    </w:lvl>
    <w:lvl w:ilvl="6" w:tplc="7A50D03E">
      <w:numFmt w:val="bullet"/>
      <w:lvlText w:val="•"/>
      <w:lvlJc w:val="left"/>
      <w:pPr>
        <w:ind w:left="1588" w:hanging="100"/>
      </w:pPr>
      <w:rPr>
        <w:rFonts w:hint="default"/>
      </w:rPr>
    </w:lvl>
    <w:lvl w:ilvl="7" w:tplc="500C3886">
      <w:numFmt w:val="bullet"/>
      <w:lvlText w:val="•"/>
      <w:lvlJc w:val="left"/>
      <w:pPr>
        <w:ind w:left="1826" w:hanging="100"/>
      </w:pPr>
      <w:rPr>
        <w:rFonts w:hint="default"/>
      </w:rPr>
    </w:lvl>
    <w:lvl w:ilvl="8" w:tplc="BFAC9C16">
      <w:numFmt w:val="bullet"/>
      <w:lvlText w:val="•"/>
      <w:lvlJc w:val="left"/>
      <w:pPr>
        <w:ind w:left="2064" w:hanging="100"/>
      </w:pPr>
      <w:rPr>
        <w:rFonts w:hint="default"/>
      </w:rPr>
    </w:lvl>
  </w:abstractNum>
  <w:abstractNum w:abstractNumId="1247" w15:restartNumberingAfterBreak="0">
    <w:nsid w:val="4DF61265"/>
    <w:multiLevelType w:val="hybridMultilevel"/>
    <w:tmpl w:val="D70802A8"/>
    <w:lvl w:ilvl="0" w:tplc="2E4C6BDC">
      <w:numFmt w:val="bullet"/>
      <w:lvlText w:val="–"/>
      <w:lvlJc w:val="left"/>
      <w:pPr>
        <w:ind w:left="162" w:hanging="105"/>
      </w:pPr>
      <w:rPr>
        <w:rFonts w:ascii="Times New Roman" w:eastAsia="Times New Roman" w:hAnsi="Times New Roman" w:cs="Times New Roman" w:hint="default"/>
        <w:color w:val="231F20"/>
        <w:spacing w:val="-5"/>
        <w:w w:val="100"/>
        <w:sz w:val="14"/>
        <w:szCs w:val="14"/>
      </w:rPr>
    </w:lvl>
    <w:lvl w:ilvl="1" w:tplc="4418D20C">
      <w:numFmt w:val="bullet"/>
      <w:lvlText w:val="•"/>
      <w:lvlJc w:val="left"/>
      <w:pPr>
        <w:ind w:left="426" w:hanging="105"/>
      </w:pPr>
      <w:rPr>
        <w:rFonts w:hint="default"/>
      </w:rPr>
    </w:lvl>
    <w:lvl w:ilvl="2" w:tplc="A1049A96">
      <w:numFmt w:val="bullet"/>
      <w:lvlText w:val="•"/>
      <w:lvlJc w:val="left"/>
      <w:pPr>
        <w:ind w:left="692" w:hanging="105"/>
      </w:pPr>
      <w:rPr>
        <w:rFonts w:hint="default"/>
      </w:rPr>
    </w:lvl>
    <w:lvl w:ilvl="3" w:tplc="FB96656E">
      <w:numFmt w:val="bullet"/>
      <w:lvlText w:val="•"/>
      <w:lvlJc w:val="left"/>
      <w:pPr>
        <w:ind w:left="959" w:hanging="105"/>
      </w:pPr>
      <w:rPr>
        <w:rFonts w:hint="default"/>
      </w:rPr>
    </w:lvl>
    <w:lvl w:ilvl="4" w:tplc="C5FAB008">
      <w:numFmt w:val="bullet"/>
      <w:lvlText w:val="•"/>
      <w:lvlJc w:val="left"/>
      <w:pPr>
        <w:ind w:left="1225" w:hanging="105"/>
      </w:pPr>
      <w:rPr>
        <w:rFonts w:hint="default"/>
      </w:rPr>
    </w:lvl>
    <w:lvl w:ilvl="5" w:tplc="B6881520">
      <w:numFmt w:val="bullet"/>
      <w:lvlText w:val="•"/>
      <w:lvlJc w:val="left"/>
      <w:pPr>
        <w:ind w:left="1492" w:hanging="105"/>
      </w:pPr>
      <w:rPr>
        <w:rFonts w:hint="default"/>
      </w:rPr>
    </w:lvl>
    <w:lvl w:ilvl="6" w:tplc="BB6C9F2C">
      <w:numFmt w:val="bullet"/>
      <w:lvlText w:val="•"/>
      <w:lvlJc w:val="left"/>
      <w:pPr>
        <w:ind w:left="1758" w:hanging="105"/>
      </w:pPr>
      <w:rPr>
        <w:rFonts w:hint="default"/>
      </w:rPr>
    </w:lvl>
    <w:lvl w:ilvl="7" w:tplc="089E0440">
      <w:numFmt w:val="bullet"/>
      <w:lvlText w:val="•"/>
      <w:lvlJc w:val="left"/>
      <w:pPr>
        <w:ind w:left="2024" w:hanging="105"/>
      </w:pPr>
      <w:rPr>
        <w:rFonts w:hint="default"/>
      </w:rPr>
    </w:lvl>
    <w:lvl w:ilvl="8" w:tplc="8328354E">
      <w:numFmt w:val="bullet"/>
      <w:lvlText w:val="•"/>
      <w:lvlJc w:val="left"/>
      <w:pPr>
        <w:ind w:left="2291" w:hanging="105"/>
      </w:pPr>
      <w:rPr>
        <w:rFonts w:hint="default"/>
      </w:rPr>
    </w:lvl>
  </w:abstractNum>
  <w:abstractNum w:abstractNumId="1248" w15:restartNumberingAfterBreak="0">
    <w:nsid w:val="4E054DB4"/>
    <w:multiLevelType w:val="hybridMultilevel"/>
    <w:tmpl w:val="5C8A86F6"/>
    <w:lvl w:ilvl="0" w:tplc="172A130C">
      <w:numFmt w:val="bullet"/>
      <w:lvlText w:val=""/>
      <w:lvlJc w:val="left"/>
      <w:pPr>
        <w:ind w:left="157" w:hanging="100"/>
      </w:pPr>
      <w:rPr>
        <w:rFonts w:ascii="Symbol" w:eastAsia="Symbol" w:hAnsi="Symbol" w:cs="Symbol" w:hint="default"/>
        <w:color w:val="231F20"/>
        <w:w w:val="100"/>
        <w:sz w:val="14"/>
        <w:szCs w:val="14"/>
      </w:rPr>
    </w:lvl>
    <w:lvl w:ilvl="1" w:tplc="1E645818">
      <w:numFmt w:val="bullet"/>
      <w:lvlText w:val="•"/>
      <w:lvlJc w:val="left"/>
      <w:pPr>
        <w:ind w:left="369" w:hanging="100"/>
      </w:pPr>
      <w:rPr>
        <w:rFonts w:hint="default"/>
      </w:rPr>
    </w:lvl>
    <w:lvl w:ilvl="2" w:tplc="185272DA">
      <w:numFmt w:val="bullet"/>
      <w:lvlText w:val="•"/>
      <w:lvlJc w:val="left"/>
      <w:pPr>
        <w:ind w:left="579" w:hanging="100"/>
      </w:pPr>
      <w:rPr>
        <w:rFonts w:hint="default"/>
      </w:rPr>
    </w:lvl>
    <w:lvl w:ilvl="3" w:tplc="946EB00E">
      <w:numFmt w:val="bullet"/>
      <w:lvlText w:val="•"/>
      <w:lvlJc w:val="left"/>
      <w:pPr>
        <w:ind w:left="789" w:hanging="100"/>
      </w:pPr>
      <w:rPr>
        <w:rFonts w:hint="default"/>
      </w:rPr>
    </w:lvl>
    <w:lvl w:ilvl="4" w:tplc="A0509F16">
      <w:numFmt w:val="bullet"/>
      <w:lvlText w:val="•"/>
      <w:lvlJc w:val="left"/>
      <w:pPr>
        <w:ind w:left="998" w:hanging="100"/>
      </w:pPr>
      <w:rPr>
        <w:rFonts w:hint="default"/>
      </w:rPr>
    </w:lvl>
    <w:lvl w:ilvl="5" w:tplc="9808E604">
      <w:numFmt w:val="bullet"/>
      <w:lvlText w:val="•"/>
      <w:lvlJc w:val="left"/>
      <w:pPr>
        <w:ind w:left="1208" w:hanging="100"/>
      </w:pPr>
      <w:rPr>
        <w:rFonts w:hint="default"/>
      </w:rPr>
    </w:lvl>
    <w:lvl w:ilvl="6" w:tplc="C8808886">
      <w:numFmt w:val="bullet"/>
      <w:lvlText w:val="•"/>
      <w:lvlJc w:val="left"/>
      <w:pPr>
        <w:ind w:left="1418" w:hanging="100"/>
      </w:pPr>
      <w:rPr>
        <w:rFonts w:hint="default"/>
      </w:rPr>
    </w:lvl>
    <w:lvl w:ilvl="7" w:tplc="F9C8F29C">
      <w:numFmt w:val="bullet"/>
      <w:lvlText w:val="•"/>
      <w:lvlJc w:val="left"/>
      <w:pPr>
        <w:ind w:left="1627" w:hanging="100"/>
      </w:pPr>
      <w:rPr>
        <w:rFonts w:hint="default"/>
      </w:rPr>
    </w:lvl>
    <w:lvl w:ilvl="8" w:tplc="E9C24FD4">
      <w:numFmt w:val="bullet"/>
      <w:lvlText w:val="•"/>
      <w:lvlJc w:val="left"/>
      <w:pPr>
        <w:ind w:left="1837" w:hanging="100"/>
      </w:pPr>
      <w:rPr>
        <w:rFonts w:hint="default"/>
      </w:rPr>
    </w:lvl>
  </w:abstractNum>
  <w:abstractNum w:abstractNumId="1249" w15:restartNumberingAfterBreak="0">
    <w:nsid w:val="4E1D03D6"/>
    <w:multiLevelType w:val="hybridMultilevel"/>
    <w:tmpl w:val="CED69808"/>
    <w:lvl w:ilvl="0" w:tplc="16E8335E">
      <w:numFmt w:val="bullet"/>
      <w:lvlText w:val=""/>
      <w:lvlJc w:val="left"/>
      <w:pPr>
        <w:ind w:left="154" w:hanging="97"/>
      </w:pPr>
      <w:rPr>
        <w:rFonts w:ascii="Symbol" w:eastAsia="Symbol" w:hAnsi="Symbol" w:cs="Symbol" w:hint="default"/>
        <w:color w:val="231F20"/>
        <w:w w:val="100"/>
        <w:sz w:val="14"/>
        <w:szCs w:val="14"/>
      </w:rPr>
    </w:lvl>
    <w:lvl w:ilvl="1" w:tplc="0FE875B8">
      <w:numFmt w:val="bullet"/>
      <w:lvlText w:val="•"/>
      <w:lvlJc w:val="left"/>
      <w:pPr>
        <w:ind w:left="369" w:hanging="97"/>
      </w:pPr>
      <w:rPr>
        <w:rFonts w:hint="default"/>
      </w:rPr>
    </w:lvl>
    <w:lvl w:ilvl="2" w:tplc="9A50752C">
      <w:numFmt w:val="bullet"/>
      <w:lvlText w:val="•"/>
      <w:lvlJc w:val="left"/>
      <w:pPr>
        <w:ind w:left="579" w:hanging="97"/>
      </w:pPr>
      <w:rPr>
        <w:rFonts w:hint="default"/>
      </w:rPr>
    </w:lvl>
    <w:lvl w:ilvl="3" w:tplc="756089DC">
      <w:numFmt w:val="bullet"/>
      <w:lvlText w:val="•"/>
      <w:lvlJc w:val="left"/>
      <w:pPr>
        <w:ind w:left="789" w:hanging="97"/>
      </w:pPr>
      <w:rPr>
        <w:rFonts w:hint="default"/>
      </w:rPr>
    </w:lvl>
    <w:lvl w:ilvl="4" w:tplc="2C040350">
      <w:numFmt w:val="bullet"/>
      <w:lvlText w:val="•"/>
      <w:lvlJc w:val="left"/>
      <w:pPr>
        <w:ind w:left="998" w:hanging="97"/>
      </w:pPr>
      <w:rPr>
        <w:rFonts w:hint="default"/>
      </w:rPr>
    </w:lvl>
    <w:lvl w:ilvl="5" w:tplc="819A7886">
      <w:numFmt w:val="bullet"/>
      <w:lvlText w:val="•"/>
      <w:lvlJc w:val="left"/>
      <w:pPr>
        <w:ind w:left="1208" w:hanging="97"/>
      </w:pPr>
      <w:rPr>
        <w:rFonts w:hint="default"/>
      </w:rPr>
    </w:lvl>
    <w:lvl w:ilvl="6" w:tplc="4BAA29C8">
      <w:numFmt w:val="bullet"/>
      <w:lvlText w:val="•"/>
      <w:lvlJc w:val="left"/>
      <w:pPr>
        <w:ind w:left="1418" w:hanging="97"/>
      </w:pPr>
      <w:rPr>
        <w:rFonts w:hint="default"/>
      </w:rPr>
    </w:lvl>
    <w:lvl w:ilvl="7" w:tplc="478E94B4">
      <w:numFmt w:val="bullet"/>
      <w:lvlText w:val="•"/>
      <w:lvlJc w:val="left"/>
      <w:pPr>
        <w:ind w:left="1627" w:hanging="97"/>
      </w:pPr>
      <w:rPr>
        <w:rFonts w:hint="default"/>
      </w:rPr>
    </w:lvl>
    <w:lvl w:ilvl="8" w:tplc="4DEEF7C8">
      <w:numFmt w:val="bullet"/>
      <w:lvlText w:val="•"/>
      <w:lvlJc w:val="left"/>
      <w:pPr>
        <w:ind w:left="1837" w:hanging="97"/>
      </w:pPr>
      <w:rPr>
        <w:rFonts w:hint="default"/>
      </w:rPr>
    </w:lvl>
  </w:abstractNum>
  <w:abstractNum w:abstractNumId="1250" w15:restartNumberingAfterBreak="0">
    <w:nsid w:val="4E2360A1"/>
    <w:multiLevelType w:val="hybridMultilevel"/>
    <w:tmpl w:val="BC14EC6A"/>
    <w:lvl w:ilvl="0" w:tplc="59BE5326">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4A54C832">
      <w:numFmt w:val="bullet"/>
      <w:lvlText w:val="•"/>
      <w:lvlJc w:val="left"/>
      <w:pPr>
        <w:ind w:left="1690" w:hanging="180"/>
      </w:pPr>
      <w:rPr>
        <w:rFonts w:hint="default"/>
      </w:rPr>
    </w:lvl>
    <w:lvl w:ilvl="2" w:tplc="BB8C5E28">
      <w:numFmt w:val="bullet"/>
      <w:lvlText w:val="•"/>
      <w:lvlJc w:val="left"/>
      <w:pPr>
        <w:ind w:left="2701" w:hanging="180"/>
      </w:pPr>
      <w:rPr>
        <w:rFonts w:hint="default"/>
      </w:rPr>
    </w:lvl>
    <w:lvl w:ilvl="3" w:tplc="9BD27048">
      <w:numFmt w:val="bullet"/>
      <w:lvlText w:val="•"/>
      <w:lvlJc w:val="left"/>
      <w:pPr>
        <w:ind w:left="3711" w:hanging="180"/>
      </w:pPr>
      <w:rPr>
        <w:rFonts w:hint="default"/>
      </w:rPr>
    </w:lvl>
    <w:lvl w:ilvl="4" w:tplc="F90256E4">
      <w:numFmt w:val="bullet"/>
      <w:lvlText w:val="•"/>
      <w:lvlJc w:val="left"/>
      <w:pPr>
        <w:ind w:left="4722" w:hanging="180"/>
      </w:pPr>
      <w:rPr>
        <w:rFonts w:hint="default"/>
      </w:rPr>
    </w:lvl>
    <w:lvl w:ilvl="5" w:tplc="BC26AA6A">
      <w:numFmt w:val="bullet"/>
      <w:lvlText w:val="•"/>
      <w:lvlJc w:val="left"/>
      <w:pPr>
        <w:ind w:left="5732" w:hanging="180"/>
      </w:pPr>
      <w:rPr>
        <w:rFonts w:hint="default"/>
      </w:rPr>
    </w:lvl>
    <w:lvl w:ilvl="6" w:tplc="12300D82">
      <w:numFmt w:val="bullet"/>
      <w:lvlText w:val="•"/>
      <w:lvlJc w:val="left"/>
      <w:pPr>
        <w:ind w:left="6743" w:hanging="180"/>
      </w:pPr>
      <w:rPr>
        <w:rFonts w:hint="default"/>
      </w:rPr>
    </w:lvl>
    <w:lvl w:ilvl="7" w:tplc="B7443D64">
      <w:numFmt w:val="bullet"/>
      <w:lvlText w:val="•"/>
      <w:lvlJc w:val="left"/>
      <w:pPr>
        <w:ind w:left="7753" w:hanging="180"/>
      </w:pPr>
      <w:rPr>
        <w:rFonts w:hint="default"/>
      </w:rPr>
    </w:lvl>
    <w:lvl w:ilvl="8" w:tplc="7E0051CC">
      <w:numFmt w:val="bullet"/>
      <w:lvlText w:val="•"/>
      <w:lvlJc w:val="left"/>
      <w:pPr>
        <w:ind w:left="8764" w:hanging="180"/>
      </w:pPr>
      <w:rPr>
        <w:rFonts w:hint="default"/>
      </w:rPr>
    </w:lvl>
  </w:abstractNum>
  <w:abstractNum w:abstractNumId="1251" w15:restartNumberingAfterBreak="0">
    <w:nsid w:val="4E2519E6"/>
    <w:multiLevelType w:val="hybridMultilevel"/>
    <w:tmpl w:val="84BA38F2"/>
    <w:lvl w:ilvl="0" w:tplc="008A2308">
      <w:numFmt w:val="bullet"/>
      <w:lvlText w:val=""/>
      <w:lvlJc w:val="left"/>
      <w:pPr>
        <w:ind w:left="156" w:hanging="100"/>
      </w:pPr>
      <w:rPr>
        <w:rFonts w:ascii="Symbol" w:eastAsia="Symbol" w:hAnsi="Symbol" w:cs="Symbol" w:hint="default"/>
        <w:color w:val="231F20"/>
        <w:w w:val="100"/>
        <w:sz w:val="14"/>
        <w:szCs w:val="14"/>
      </w:rPr>
    </w:lvl>
    <w:lvl w:ilvl="1" w:tplc="5B507A0A">
      <w:numFmt w:val="bullet"/>
      <w:lvlText w:val="•"/>
      <w:lvlJc w:val="left"/>
      <w:pPr>
        <w:ind w:left="301" w:hanging="100"/>
      </w:pPr>
      <w:rPr>
        <w:rFonts w:hint="default"/>
      </w:rPr>
    </w:lvl>
    <w:lvl w:ilvl="2" w:tplc="54F477E4">
      <w:numFmt w:val="bullet"/>
      <w:lvlText w:val="•"/>
      <w:lvlJc w:val="left"/>
      <w:pPr>
        <w:ind w:left="443" w:hanging="100"/>
      </w:pPr>
      <w:rPr>
        <w:rFonts w:hint="default"/>
      </w:rPr>
    </w:lvl>
    <w:lvl w:ilvl="3" w:tplc="F10A9300">
      <w:numFmt w:val="bullet"/>
      <w:lvlText w:val="•"/>
      <w:lvlJc w:val="left"/>
      <w:pPr>
        <w:ind w:left="585" w:hanging="100"/>
      </w:pPr>
      <w:rPr>
        <w:rFonts w:hint="default"/>
      </w:rPr>
    </w:lvl>
    <w:lvl w:ilvl="4" w:tplc="DB90A2DC">
      <w:numFmt w:val="bullet"/>
      <w:lvlText w:val="•"/>
      <w:lvlJc w:val="left"/>
      <w:pPr>
        <w:ind w:left="726" w:hanging="100"/>
      </w:pPr>
      <w:rPr>
        <w:rFonts w:hint="default"/>
      </w:rPr>
    </w:lvl>
    <w:lvl w:ilvl="5" w:tplc="5E9026DC">
      <w:numFmt w:val="bullet"/>
      <w:lvlText w:val="•"/>
      <w:lvlJc w:val="left"/>
      <w:pPr>
        <w:ind w:left="868" w:hanging="100"/>
      </w:pPr>
      <w:rPr>
        <w:rFonts w:hint="default"/>
      </w:rPr>
    </w:lvl>
    <w:lvl w:ilvl="6" w:tplc="254AFF0C">
      <w:numFmt w:val="bullet"/>
      <w:lvlText w:val="•"/>
      <w:lvlJc w:val="left"/>
      <w:pPr>
        <w:ind w:left="1010" w:hanging="100"/>
      </w:pPr>
      <w:rPr>
        <w:rFonts w:hint="default"/>
      </w:rPr>
    </w:lvl>
    <w:lvl w:ilvl="7" w:tplc="00E6EE3C">
      <w:numFmt w:val="bullet"/>
      <w:lvlText w:val="•"/>
      <w:lvlJc w:val="left"/>
      <w:pPr>
        <w:ind w:left="1151" w:hanging="100"/>
      </w:pPr>
      <w:rPr>
        <w:rFonts w:hint="default"/>
      </w:rPr>
    </w:lvl>
    <w:lvl w:ilvl="8" w:tplc="25800F86">
      <w:numFmt w:val="bullet"/>
      <w:lvlText w:val="•"/>
      <w:lvlJc w:val="left"/>
      <w:pPr>
        <w:ind w:left="1293" w:hanging="100"/>
      </w:pPr>
      <w:rPr>
        <w:rFonts w:hint="default"/>
      </w:rPr>
    </w:lvl>
  </w:abstractNum>
  <w:abstractNum w:abstractNumId="1252" w15:restartNumberingAfterBreak="0">
    <w:nsid w:val="4E6F322F"/>
    <w:multiLevelType w:val="hybridMultilevel"/>
    <w:tmpl w:val="C66E22C6"/>
    <w:lvl w:ilvl="0" w:tplc="74488B6C">
      <w:numFmt w:val="bullet"/>
      <w:lvlText w:val=""/>
      <w:lvlJc w:val="left"/>
      <w:pPr>
        <w:ind w:left="156" w:hanging="100"/>
      </w:pPr>
      <w:rPr>
        <w:rFonts w:ascii="Symbol" w:eastAsia="Symbol" w:hAnsi="Symbol" w:cs="Symbol" w:hint="default"/>
        <w:color w:val="231F20"/>
        <w:w w:val="100"/>
        <w:sz w:val="14"/>
        <w:szCs w:val="14"/>
      </w:rPr>
    </w:lvl>
    <w:lvl w:ilvl="1" w:tplc="2786AC1C">
      <w:numFmt w:val="bullet"/>
      <w:lvlText w:val="•"/>
      <w:lvlJc w:val="left"/>
      <w:pPr>
        <w:ind w:left="398" w:hanging="100"/>
      </w:pPr>
      <w:rPr>
        <w:rFonts w:hint="default"/>
      </w:rPr>
    </w:lvl>
    <w:lvl w:ilvl="2" w:tplc="4A60BDAE">
      <w:numFmt w:val="bullet"/>
      <w:lvlText w:val="•"/>
      <w:lvlJc w:val="left"/>
      <w:pPr>
        <w:ind w:left="636" w:hanging="100"/>
      </w:pPr>
      <w:rPr>
        <w:rFonts w:hint="default"/>
      </w:rPr>
    </w:lvl>
    <w:lvl w:ilvl="3" w:tplc="584E0FF4">
      <w:numFmt w:val="bullet"/>
      <w:lvlText w:val="•"/>
      <w:lvlJc w:val="left"/>
      <w:pPr>
        <w:ind w:left="874" w:hanging="100"/>
      </w:pPr>
      <w:rPr>
        <w:rFonts w:hint="default"/>
      </w:rPr>
    </w:lvl>
    <w:lvl w:ilvl="4" w:tplc="6A14F422">
      <w:numFmt w:val="bullet"/>
      <w:lvlText w:val="•"/>
      <w:lvlJc w:val="left"/>
      <w:pPr>
        <w:ind w:left="1112" w:hanging="100"/>
      </w:pPr>
      <w:rPr>
        <w:rFonts w:hint="default"/>
      </w:rPr>
    </w:lvl>
    <w:lvl w:ilvl="5" w:tplc="535441A2">
      <w:numFmt w:val="bullet"/>
      <w:lvlText w:val="•"/>
      <w:lvlJc w:val="left"/>
      <w:pPr>
        <w:ind w:left="1350" w:hanging="100"/>
      </w:pPr>
      <w:rPr>
        <w:rFonts w:hint="default"/>
      </w:rPr>
    </w:lvl>
    <w:lvl w:ilvl="6" w:tplc="67E8B776">
      <w:numFmt w:val="bullet"/>
      <w:lvlText w:val="•"/>
      <w:lvlJc w:val="left"/>
      <w:pPr>
        <w:ind w:left="1588" w:hanging="100"/>
      </w:pPr>
      <w:rPr>
        <w:rFonts w:hint="default"/>
      </w:rPr>
    </w:lvl>
    <w:lvl w:ilvl="7" w:tplc="CC2433A8">
      <w:numFmt w:val="bullet"/>
      <w:lvlText w:val="•"/>
      <w:lvlJc w:val="left"/>
      <w:pPr>
        <w:ind w:left="1826" w:hanging="100"/>
      </w:pPr>
      <w:rPr>
        <w:rFonts w:hint="default"/>
      </w:rPr>
    </w:lvl>
    <w:lvl w:ilvl="8" w:tplc="3B2ED700">
      <w:numFmt w:val="bullet"/>
      <w:lvlText w:val="•"/>
      <w:lvlJc w:val="left"/>
      <w:pPr>
        <w:ind w:left="2064" w:hanging="100"/>
      </w:pPr>
      <w:rPr>
        <w:rFonts w:hint="default"/>
      </w:rPr>
    </w:lvl>
  </w:abstractNum>
  <w:abstractNum w:abstractNumId="1253" w15:restartNumberingAfterBreak="0">
    <w:nsid w:val="4E8A5B68"/>
    <w:multiLevelType w:val="hybridMultilevel"/>
    <w:tmpl w:val="EECC99BC"/>
    <w:lvl w:ilvl="0" w:tplc="28EC65C8">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22206B02">
      <w:numFmt w:val="bullet"/>
      <w:lvlText w:val="•"/>
      <w:lvlJc w:val="left"/>
      <w:pPr>
        <w:ind w:left="408" w:hanging="84"/>
      </w:pPr>
      <w:rPr>
        <w:rFonts w:hint="default"/>
      </w:rPr>
    </w:lvl>
    <w:lvl w:ilvl="2" w:tplc="96ACB44A">
      <w:numFmt w:val="bullet"/>
      <w:lvlText w:val="•"/>
      <w:lvlJc w:val="left"/>
      <w:pPr>
        <w:ind w:left="676" w:hanging="84"/>
      </w:pPr>
      <w:rPr>
        <w:rFonts w:hint="default"/>
      </w:rPr>
    </w:lvl>
    <w:lvl w:ilvl="3" w:tplc="0BB207CE">
      <w:numFmt w:val="bullet"/>
      <w:lvlText w:val="•"/>
      <w:lvlJc w:val="left"/>
      <w:pPr>
        <w:ind w:left="945" w:hanging="84"/>
      </w:pPr>
      <w:rPr>
        <w:rFonts w:hint="default"/>
      </w:rPr>
    </w:lvl>
    <w:lvl w:ilvl="4" w:tplc="C46A89AE">
      <w:numFmt w:val="bullet"/>
      <w:lvlText w:val="•"/>
      <w:lvlJc w:val="left"/>
      <w:pPr>
        <w:ind w:left="1213" w:hanging="84"/>
      </w:pPr>
      <w:rPr>
        <w:rFonts w:hint="default"/>
      </w:rPr>
    </w:lvl>
    <w:lvl w:ilvl="5" w:tplc="39CCD5C0">
      <w:numFmt w:val="bullet"/>
      <w:lvlText w:val="•"/>
      <w:lvlJc w:val="left"/>
      <w:pPr>
        <w:ind w:left="1482" w:hanging="84"/>
      </w:pPr>
      <w:rPr>
        <w:rFonts w:hint="default"/>
      </w:rPr>
    </w:lvl>
    <w:lvl w:ilvl="6" w:tplc="CE788C2E">
      <w:numFmt w:val="bullet"/>
      <w:lvlText w:val="•"/>
      <w:lvlJc w:val="left"/>
      <w:pPr>
        <w:ind w:left="1750" w:hanging="84"/>
      </w:pPr>
      <w:rPr>
        <w:rFonts w:hint="default"/>
      </w:rPr>
    </w:lvl>
    <w:lvl w:ilvl="7" w:tplc="4238B9E0">
      <w:numFmt w:val="bullet"/>
      <w:lvlText w:val="•"/>
      <w:lvlJc w:val="left"/>
      <w:pPr>
        <w:ind w:left="2018" w:hanging="84"/>
      </w:pPr>
      <w:rPr>
        <w:rFonts w:hint="default"/>
      </w:rPr>
    </w:lvl>
    <w:lvl w:ilvl="8" w:tplc="50043EAE">
      <w:numFmt w:val="bullet"/>
      <w:lvlText w:val="•"/>
      <w:lvlJc w:val="left"/>
      <w:pPr>
        <w:ind w:left="2287" w:hanging="84"/>
      </w:pPr>
      <w:rPr>
        <w:rFonts w:hint="default"/>
      </w:rPr>
    </w:lvl>
  </w:abstractNum>
  <w:abstractNum w:abstractNumId="1254" w15:restartNumberingAfterBreak="0">
    <w:nsid w:val="4E9F5CE1"/>
    <w:multiLevelType w:val="hybridMultilevel"/>
    <w:tmpl w:val="CD108580"/>
    <w:lvl w:ilvl="0" w:tplc="FCD8B586">
      <w:numFmt w:val="bullet"/>
      <w:lvlText w:val=""/>
      <w:lvlJc w:val="left"/>
      <w:pPr>
        <w:ind w:left="156" w:hanging="100"/>
      </w:pPr>
      <w:rPr>
        <w:rFonts w:ascii="Symbol" w:eastAsia="Symbol" w:hAnsi="Symbol" w:cs="Symbol" w:hint="default"/>
        <w:color w:val="231F20"/>
        <w:w w:val="100"/>
        <w:sz w:val="14"/>
        <w:szCs w:val="14"/>
      </w:rPr>
    </w:lvl>
    <w:lvl w:ilvl="1" w:tplc="4810E4EC">
      <w:numFmt w:val="bullet"/>
      <w:lvlText w:val="•"/>
      <w:lvlJc w:val="left"/>
      <w:pPr>
        <w:ind w:left="301" w:hanging="100"/>
      </w:pPr>
      <w:rPr>
        <w:rFonts w:hint="default"/>
      </w:rPr>
    </w:lvl>
    <w:lvl w:ilvl="2" w:tplc="E1D6846E">
      <w:numFmt w:val="bullet"/>
      <w:lvlText w:val="•"/>
      <w:lvlJc w:val="left"/>
      <w:pPr>
        <w:ind w:left="443" w:hanging="100"/>
      </w:pPr>
      <w:rPr>
        <w:rFonts w:hint="default"/>
      </w:rPr>
    </w:lvl>
    <w:lvl w:ilvl="3" w:tplc="E7461E62">
      <w:numFmt w:val="bullet"/>
      <w:lvlText w:val="•"/>
      <w:lvlJc w:val="left"/>
      <w:pPr>
        <w:ind w:left="585" w:hanging="100"/>
      </w:pPr>
      <w:rPr>
        <w:rFonts w:hint="default"/>
      </w:rPr>
    </w:lvl>
    <w:lvl w:ilvl="4" w:tplc="2062B910">
      <w:numFmt w:val="bullet"/>
      <w:lvlText w:val="•"/>
      <w:lvlJc w:val="left"/>
      <w:pPr>
        <w:ind w:left="726" w:hanging="100"/>
      </w:pPr>
      <w:rPr>
        <w:rFonts w:hint="default"/>
      </w:rPr>
    </w:lvl>
    <w:lvl w:ilvl="5" w:tplc="3BDE411A">
      <w:numFmt w:val="bullet"/>
      <w:lvlText w:val="•"/>
      <w:lvlJc w:val="left"/>
      <w:pPr>
        <w:ind w:left="868" w:hanging="100"/>
      </w:pPr>
      <w:rPr>
        <w:rFonts w:hint="default"/>
      </w:rPr>
    </w:lvl>
    <w:lvl w:ilvl="6" w:tplc="E09448DC">
      <w:numFmt w:val="bullet"/>
      <w:lvlText w:val="•"/>
      <w:lvlJc w:val="left"/>
      <w:pPr>
        <w:ind w:left="1010" w:hanging="100"/>
      </w:pPr>
      <w:rPr>
        <w:rFonts w:hint="default"/>
      </w:rPr>
    </w:lvl>
    <w:lvl w:ilvl="7" w:tplc="AC06F338">
      <w:numFmt w:val="bullet"/>
      <w:lvlText w:val="•"/>
      <w:lvlJc w:val="left"/>
      <w:pPr>
        <w:ind w:left="1151" w:hanging="100"/>
      </w:pPr>
      <w:rPr>
        <w:rFonts w:hint="default"/>
      </w:rPr>
    </w:lvl>
    <w:lvl w:ilvl="8" w:tplc="6C5A1746">
      <w:numFmt w:val="bullet"/>
      <w:lvlText w:val="•"/>
      <w:lvlJc w:val="left"/>
      <w:pPr>
        <w:ind w:left="1293" w:hanging="100"/>
      </w:pPr>
      <w:rPr>
        <w:rFonts w:hint="default"/>
      </w:rPr>
    </w:lvl>
  </w:abstractNum>
  <w:abstractNum w:abstractNumId="1255" w15:restartNumberingAfterBreak="0">
    <w:nsid w:val="4EBE21F8"/>
    <w:multiLevelType w:val="hybridMultilevel"/>
    <w:tmpl w:val="D6D09B82"/>
    <w:lvl w:ilvl="0" w:tplc="6AD6F8F4">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2FFAF272">
      <w:numFmt w:val="bullet"/>
      <w:lvlText w:val="•"/>
      <w:lvlJc w:val="left"/>
      <w:pPr>
        <w:ind w:left="1636" w:hanging="116"/>
      </w:pPr>
      <w:rPr>
        <w:rFonts w:hint="default"/>
      </w:rPr>
    </w:lvl>
    <w:lvl w:ilvl="2" w:tplc="9B54935A">
      <w:numFmt w:val="bullet"/>
      <w:lvlText w:val="•"/>
      <w:lvlJc w:val="left"/>
      <w:pPr>
        <w:ind w:left="2653" w:hanging="116"/>
      </w:pPr>
      <w:rPr>
        <w:rFonts w:hint="default"/>
      </w:rPr>
    </w:lvl>
    <w:lvl w:ilvl="3" w:tplc="499EB010">
      <w:numFmt w:val="bullet"/>
      <w:lvlText w:val="•"/>
      <w:lvlJc w:val="left"/>
      <w:pPr>
        <w:ind w:left="3669" w:hanging="116"/>
      </w:pPr>
      <w:rPr>
        <w:rFonts w:hint="default"/>
      </w:rPr>
    </w:lvl>
    <w:lvl w:ilvl="4" w:tplc="CA1ABE80">
      <w:numFmt w:val="bullet"/>
      <w:lvlText w:val="•"/>
      <w:lvlJc w:val="left"/>
      <w:pPr>
        <w:ind w:left="4686" w:hanging="116"/>
      </w:pPr>
      <w:rPr>
        <w:rFonts w:hint="default"/>
      </w:rPr>
    </w:lvl>
    <w:lvl w:ilvl="5" w:tplc="E5A4679C">
      <w:numFmt w:val="bullet"/>
      <w:lvlText w:val="•"/>
      <w:lvlJc w:val="left"/>
      <w:pPr>
        <w:ind w:left="5702" w:hanging="116"/>
      </w:pPr>
      <w:rPr>
        <w:rFonts w:hint="default"/>
      </w:rPr>
    </w:lvl>
    <w:lvl w:ilvl="6" w:tplc="2ED27B2E">
      <w:numFmt w:val="bullet"/>
      <w:lvlText w:val="•"/>
      <w:lvlJc w:val="left"/>
      <w:pPr>
        <w:ind w:left="6719" w:hanging="116"/>
      </w:pPr>
      <w:rPr>
        <w:rFonts w:hint="default"/>
      </w:rPr>
    </w:lvl>
    <w:lvl w:ilvl="7" w:tplc="0434BD8E">
      <w:numFmt w:val="bullet"/>
      <w:lvlText w:val="•"/>
      <w:lvlJc w:val="left"/>
      <w:pPr>
        <w:ind w:left="7735" w:hanging="116"/>
      </w:pPr>
      <w:rPr>
        <w:rFonts w:hint="default"/>
      </w:rPr>
    </w:lvl>
    <w:lvl w:ilvl="8" w:tplc="916EC22E">
      <w:numFmt w:val="bullet"/>
      <w:lvlText w:val="•"/>
      <w:lvlJc w:val="left"/>
      <w:pPr>
        <w:ind w:left="8752" w:hanging="116"/>
      </w:pPr>
      <w:rPr>
        <w:rFonts w:hint="default"/>
      </w:rPr>
    </w:lvl>
  </w:abstractNum>
  <w:abstractNum w:abstractNumId="1256" w15:restartNumberingAfterBreak="0">
    <w:nsid w:val="4EC4002D"/>
    <w:multiLevelType w:val="hybridMultilevel"/>
    <w:tmpl w:val="EDB4BDA4"/>
    <w:lvl w:ilvl="0" w:tplc="DA129110">
      <w:numFmt w:val="bullet"/>
      <w:lvlText w:val=""/>
      <w:lvlJc w:val="left"/>
      <w:pPr>
        <w:ind w:left="157" w:hanging="100"/>
      </w:pPr>
      <w:rPr>
        <w:rFonts w:ascii="Symbol" w:eastAsia="Symbol" w:hAnsi="Symbol" w:cs="Symbol" w:hint="default"/>
        <w:color w:val="231F20"/>
        <w:w w:val="100"/>
        <w:sz w:val="14"/>
        <w:szCs w:val="14"/>
      </w:rPr>
    </w:lvl>
    <w:lvl w:ilvl="1" w:tplc="9F5CF4E6">
      <w:numFmt w:val="bullet"/>
      <w:lvlText w:val="•"/>
      <w:lvlJc w:val="left"/>
      <w:pPr>
        <w:ind w:left="426" w:hanging="100"/>
      </w:pPr>
      <w:rPr>
        <w:rFonts w:hint="default"/>
      </w:rPr>
    </w:lvl>
    <w:lvl w:ilvl="2" w:tplc="DEEA5416">
      <w:numFmt w:val="bullet"/>
      <w:lvlText w:val="•"/>
      <w:lvlJc w:val="left"/>
      <w:pPr>
        <w:ind w:left="692" w:hanging="100"/>
      </w:pPr>
      <w:rPr>
        <w:rFonts w:hint="default"/>
      </w:rPr>
    </w:lvl>
    <w:lvl w:ilvl="3" w:tplc="45680A80">
      <w:numFmt w:val="bullet"/>
      <w:lvlText w:val="•"/>
      <w:lvlJc w:val="left"/>
      <w:pPr>
        <w:ind w:left="959" w:hanging="100"/>
      </w:pPr>
      <w:rPr>
        <w:rFonts w:hint="default"/>
      </w:rPr>
    </w:lvl>
    <w:lvl w:ilvl="4" w:tplc="23085A70">
      <w:numFmt w:val="bullet"/>
      <w:lvlText w:val="•"/>
      <w:lvlJc w:val="left"/>
      <w:pPr>
        <w:ind w:left="1225" w:hanging="100"/>
      </w:pPr>
      <w:rPr>
        <w:rFonts w:hint="default"/>
      </w:rPr>
    </w:lvl>
    <w:lvl w:ilvl="5" w:tplc="CF9622F6">
      <w:numFmt w:val="bullet"/>
      <w:lvlText w:val="•"/>
      <w:lvlJc w:val="left"/>
      <w:pPr>
        <w:ind w:left="1492" w:hanging="100"/>
      </w:pPr>
      <w:rPr>
        <w:rFonts w:hint="default"/>
      </w:rPr>
    </w:lvl>
    <w:lvl w:ilvl="6" w:tplc="BF12C6B2">
      <w:numFmt w:val="bullet"/>
      <w:lvlText w:val="•"/>
      <w:lvlJc w:val="left"/>
      <w:pPr>
        <w:ind w:left="1758" w:hanging="100"/>
      </w:pPr>
      <w:rPr>
        <w:rFonts w:hint="default"/>
      </w:rPr>
    </w:lvl>
    <w:lvl w:ilvl="7" w:tplc="364E9B8E">
      <w:numFmt w:val="bullet"/>
      <w:lvlText w:val="•"/>
      <w:lvlJc w:val="left"/>
      <w:pPr>
        <w:ind w:left="2024" w:hanging="100"/>
      </w:pPr>
      <w:rPr>
        <w:rFonts w:hint="default"/>
      </w:rPr>
    </w:lvl>
    <w:lvl w:ilvl="8" w:tplc="4606B390">
      <w:numFmt w:val="bullet"/>
      <w:lvlText w:val="•"/>
      <w:lvlJc w:val="left"/>
      <w:pPr>
        <w:ind w:left="2291" w:hanging="100"/>
      </w:pPr>
      <w:rPr>
        <w:rFonts w:hint="default"/>
      </w:rPr>
    </w:lvl>
  </w:abstractNum>
  <w:abstractNum w:abstractNumId="1257" w15:restartNumberingAfterBreak="0">
    <w:nsid w:val="4EC472AD"/>
    <w:multiLevelType w:val="hybridMultilevel"/>
    <w:tmpl w:val="3F66BEB4"/>
    <w:lvl w:ilvl="0" w:tplc="A780420E">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681EC50E">
      <w:numFmt w:val="bullet"/>
      <w:lvlText w:val="•"/>
      <w:lvlJc w:val="left"/>
      <w:pPr>
        <w:ind w:left="426" w:hanging="105"/>
      </w:pPr>
      <w:rPr>
        <w:rFonts w:hint="default"/>
      </w:rPr>
    </w:lvl>
    <w:lvl w:ilvl="2" w:tplc="2558F9C4">
      <w:numFmt w:val="bullet"/>
      <w:lvlText w:val="•"/>
      <w:lvlJc w:val="left"/>
      <w:pPr>
        <w:ind w:left="692" w:hanging="105"/>
      </w:pPr>
      <w:rPr>
        <w:rFonts w:hint="default"/>
      </w:rPr>
    </w:lvl>
    <w:lvl w:ilvl="3" w:tplc="661EE1DA">
      <w:numFmt w:val="bullet"/>
      <w:lvlText w:val="•"/>
      <w:lvlJc w:val="left"/>
      <w:pPr>
        <w:ind w:left="959" w:hanging="105"/>
      </w:pPr>
      <w:rPr>
        <w:rFonts w:hint="default"/>
      </w:rPr>
    </w:lvl>
    <w:lvl w:ilvl="4" w:tplc="1CAE8D6C">
      <w:numFmt w:val="bullet"/>
      <w:lvlText w:val="•"/>
      <w:lvlJc w:val="left"/>
      <w:pPr>
        <w:ind w:left="1225" w:hanging="105"/>
      </w:pPr>
      <w:rPr>
        <w:rFonts w:hint="default"/>
      </w:rPr>
    </w:lvl>
    <w:lvl w:ilvl="5" w:tplc="D964499E">
      <w:numFmt w:val="bullet"/>
      <w:lvlText w:val="•"/>
      <w:lvlJc w:val="left"/>
      <w:pPr>
        <w:ind w:left="1492" w:hanging="105"/>
      </w:pPr>
      <w:rPr>
        <w:rFonts w:hint="default"/>
      </w:rPr>
    </w:lvl>
    <w:lvl w:ilvl="6" w:tplc="B1661FD8">
      <w:numFmt w:val="bullet"/>
      <w:lvlText w:val="•"/>
      <w:lvlJc w:val="left"/>
      <w:pPr>
        <w:ind w:left="1758" w:hanging="105"/>
      </w:pPr>
      <w:rPr>
        <w:rFonts w:hint="default"/>
      </w:rPr>
    </w:lvl>
    <w:lvl w:ilvl="7" w:tplc="0EA64A18">
      <w:numFmt w:val="bullet"/>
      <w:lvlText w:val="•"/>
      <w:lvlJc w:val="left"/>
      <w:pPr>
        <w:ind w:left="2024" w:hanging="105"/>
      </w:pPr>
      <w:rPr>
        <w:rFonts w:hint="default"/>
      </w:rPr>
    </w:lvl>
    <w:lvl w:ilvl="8" w:tplc="E4D431BE">
      <w:numFmt w:val="bullet"/>
      <w:lvlText w:val="•"/>
      <w:lvlJc w:val="left"/>
      <w:pPr>
        <w:ind w:left="2291" w:hanging="105"/>
      </w:pPr>
      <w:rPr>
        <w:rFonts w:hint="default"/>
      </w:rPr>
    </w:lvl>
  </w:abstractNum>
  <w:abstractNum w:abstractNumId="1258" w15:restartNumberingAfterBreak="0">
    <w:nsid w:val="4EDA41CC"/>
    <w:multiLevelType w:val="hybridMultilevel"/>
    <w:tmpl w:val="0554E6B2"/>
    <w:lvl w:ilvl="0" w:tplc="DFBCEE0C">
      <w:numFmt w:val="bullet"/>
      <w:lvlText w:val=""/>
      <w:lvlJc w:val="left"/>
      <w:pPr>
        <w:ind w:left="157" w:hanging="100"/>
      </w:pPr>
      <w:rPr>
        <w:rFonts w:ascii="Symbol" w:eastAsia="Symbol" w:hAnsi="Symbol" w:cs="Symbol" w:hint="default"/>
        <w:color w:val="231F20"/>
        <w:w w:val="100"/>
        <w:sz w:val="14"/>
        <w:szCs w:val="14"/>
      </w:rPr>
    </w:lvl>
    <w:lvl w:ilvl="1" w:tplc="DF5AFBF2">
      <w:numFmt w:val="bullet"/>
      <w:lvlText w:val="•"/>
      <w:lvlJc w:val="left"/>
      <w:pPr>
        <w:ind w:left="369" w:hanging="100"/>
      </w:pPr>
      <w:rPr>
        <w:rFonts w:hint="default"/>
      </w:rPr>
    </w:lvl>
    <w:lvl w:ilvl="2" w:tplc="034AA6C2">
      <w:numFmt w:val="bullet"/>
      <w:lvlText w:val="•"/>
      <w:lvlJc w:val="left"/>
      <w:pPr>
        <w:ind w:left="579" w:hanging="100"/>
      </w:pPr>
      <w:rPr>
        <w:rFonts w:hint="default"/>
      </w:rPr>
    </w:lvl>
    <w:lvl w:ilvl="3" w:tplc="CEF89708">
      <w:numFmt w:val="bullet"/>
      <w:lvlText w:val="•"/>
      <w:lvlJc w:val="left"/>
      <w:pPr>
        <w:ind w:left="789" w:hanging="100"/>
      </w:pPr>
      <w:rPr>
        <w:rFonts w:hint="default"/>
      </w:rPr>
    </w:lvl>
    <w:lvl w:ilvl="4" w:tplc="86C0F870">
      <w:numFmt w:val="bullet"/>
      <w:lvlText w:val="•"/>
      <w:lvlJc w:val="left"/>
      <w:pPr>
        <w:ind w:left="998" w:hanging="100"/>
      </w:pPr>
      <w:rPr>
        <w:rFonts w:hint="default"/>
      </w:rPr>
    </w:lvl>
    <w:lvl w:ilvl="5" w:tplc="837EE8D6">
      <w:numFmt w:val="bullet"/>
      <w:lvlText w:val="•"/>
      <w:lvlJc w:val="left"/>
      <w:pPr>
        <w:ind w:left="1208" w:hanging="100"/>
      </w:pPr>
      <w:rPr>
        <w:rFonts w:hint="default"/>
      </w:rPr>
    </w:lvl>
    <w:lvl w:ilvl="6" w:tplc="F45E4BB6">
      <w:numFmt w:val="bullet"/>
      <w:lvlText w:val="•"/>
      <w:lvlJc w:val="left"/>
      <w:pPr>
        <w:ind w:left="1418" w:hanging="100"/>
      </w:pPr>
      <w:rPr>
        <w:rFonts w:hint="default"/>
      </w:rPr>
    </w:lvl>
    <w:lvl w:ilvl="7" w:tplc="F886D660">
      <w:numFmt w:val="bullet"/>
      <w:lvlText w:val="•"/>
      <w:lvlJc w:val="left"/>
      <w:pPr>
        <w:ind w:left="1627" w:hanging="100"/>
      </w:pPr>
      <w:rPr>
        <w:rFonts w:hint="default"/>
      </w:rPr>
    </w:lvl>
    <w:lvl w:ilvl="8" w:tplc="AD729504">
      <w:numFmt w:val="bullet"/>
      <w:lvlText w:val="•"/>
      <w:lvlJc w:val="left"/>
      <w:pPr>
        <w:ind w:left="1837" w:hanging="100"/>
      </w:pPr>
      <w:rPr>
        <w:rFonts w:hint="default"/>
      </w:rPr>
    </w:lvl>
  </w:abstractNum>
  <w:abstractNum w:abstractNumId="1259" w15:restartNumberingAfterBreak="0">
    <w:nsid w:val="4EDD355F"/>
    <w:multiLevelType w:val="hybridMultilevel"/>
    <w:tmpl w:val="96B66864"/>
    <w:lvl w:ilvl="0" w:tplc="5BA68A4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26B2041E">
      <w:numFmt w:val="bullet"/>
      <w:lvlText w:val="•"/>
      <w:lvlJc w:val="left"/>
      <w:pPr>
        <w:ind w:left="408" w:hanging="84"/>
      </w:pPr>
      <w:rPr>
        <w:rFonts w:hint="default"/>
      </w:rPr>
    </w:lvl>
    <w:lvl w:ilvl="2" w:tplc="3264B34E">
      <w:numFmt w:val="bullet"/>
      <w:lvlText w:val="•"/>
      <w:lvlJc w:val="left"/>
      <w:pPr>
        <w:ind w:left="676" w:hanging="84"/>
      </w:pPr>
      <w:rPr>
        <w:rFonts w:hint="default"/>
      </w:rPr>
    </w:lvl>
    <w:lvl w:ilvl="3" w:tplc="61709408">
      <w:numFmt w:val="bullet"/>
      <w:lvlText w:val="•"/>
      <w:lvlJc w:val="left"/>
      <w:pPr>
        <w:ind w:left="945" w:hanging="84"/>
      </w:pPr>
      <w:rPr>
        <w:rFonts w:hint="default"/>
      </w:rPr>
    </w:lvl>
    <w:lvl w:ilvl="4" w:tplc="73EA5334">
      <w:numFmt w:val="bullet"/>
      <w:lvlText w:val="•"/>
      <w:lvlJc w:val="left"/>
      <w:pPr>
        <w:ind w:left="1213" w:hanging="84"/>
      </w:pPr>
      <w:rPr>
        <w:rFonts w:hint="default"/>
      </w:rPr>
    </w:lvl>
    <w:lvl w:ilvl="5" w:tplc="52306816">
      <w:numFmt w:val="bullet"/>
      <w:lvlText w:val="•"/>
      <w:lvlJc w:val="left"/>
      <w:pPr>
        <w:ind w:left="1482" w:hanging="84"/>
      </w:pPr>
      <w:rPr>
        <w:rFonts w:hint="default"/>
      </w:rPr>
    </w:lvl>
    <w:lvl w:ilvl="6" w:tplc="7CBA741A">
      <w:numFmt w:val="bullet"/>
      <w:lvlText w:val="•"/>
      <w:lvlJc w:val="left"/>
      <w:pPr>
        <w:ind w:left="1750" w:hanging="84"/>
      </w:pPr>
      <w:rPr>
        <w:rFonts w:hint="default"/>
      </w:rPr>
    </w:lvl>
    <w:lvl w:ilvl="7" w:tplc="75DA9548">
      <w:numFmt w:val="bullet"/>
      <w:lvlText w:val="•"/>
      <w:lvlJc w:val="left"/>
      <w:pPr>
        <w:ind w:left="2018" w:hanging="84"/>
      </w:pPr>
      <w:rPr>
        <w:rFonts w:hint="default"/>
      </w:rPr>
    </w:lvl>
    <w:lvl w:ilvl="8" w:tplc="69F0A928">
      <w:numFmt w:val="bullet"/>
      <w:lvlText w:val="•"/>
      <w:lvlJc w:val="left"/>
      <w:pPr>
        <w:ind w:left="2287" w:hanging="84"/>
      </w:pPr>
      <w:rPr>
        <w:rFonts w:hint="default"/>
      </w:rPr>
    </w:lvl>
  </w:abstractNum>
  <w:abstractNum w:abstractNumId="1260" w15:restartNumberingAfterBreak="0">
    <w:nsid w:val="4EDD3F79"/>
    <w:multiLevelType w:val="hybridMultilevel"/>
    <w:tmpl w:val="A240DE06"/>
    <w:lvl w:ilvl="0" w:tplc="161EE996">
      <w:numFmt w:val="bullet"/>
      <w:lvlText w:val=""/>
      <w:lvlJc w:val="left"/>
      <w:pPr>
        <w:ind w:left="156" w:hanging="100"/>
      </w:pPr>
      <w:rPr>
        <w:rFonts w:ascii="Symbol" w:eastAsia="Symbol" w:hAnsi="Symbol" w:cs="Symbol" w:hint="default"/>
        <w:color w:val="231F20"/>
        <w:w w:val="100"/>
        <w:sz w:val="14"/>
        <w:szCs w:val="14"/>
      </w:rPr>
    </w:lvl>
    <w:lvl w:ilvl="1" w:tplc="E3DE8234">
      <w:numFmt w:val="bullet"/>
      <w:lvlText w:val="•"/>
      <w:lvlJc w:val="left"/>
      <w:pPr>
        <w:ind w:left="426" w:hanging="100"/>
      </w:pPr>
      <w:rPr>
        <w:rFonts w:hint="default"/>
      </w:rPr>
    </w:lvl>
    <w:lvl w:ilvl="2" w:tplc="7F206BD8">
      <w:numFmt w:val="bullet"/>
      <w:lvlText w:val="•"/>
      <w:lvlJc w:val="left"/>
      <w:pPr>
        <w:ind w:left="692" w:hanging="100"/>
      </w:pPr>
      <w:rPr>
        <w:rFonts w:hint="default"/>
      </w:rPr>
    </w:lvl>
    <w:lvl w:ilvl="3" w:tplc="A232FDC6">
      <w:numFmt w:val="bullet"/>
      <w:lvlText w:val="•"/>
      <w:lvlJc w:val="left"/>
      <w:pPr>
        <w:ind w:left="959" w:hanging="100"/>
      </w:pPr>
      <w:rPr>
        <w:rFonts w:hint="default"/>
      </w:rPr>
    </w:lvl>
    <w:lvl w:ilvl="4" w:tplc="2084E5AC">
      <w:numFmt w:val="bullet"/>
      <w:lvlText w:val="•"/>
      <w:lvlJc w:val="left"/>
      <w:pPr>
        <w:ind w:left="1225" w:hanging="100"/>
      </w:pPr>
      <w:rPr>
        <w:rFonts w:hint="default"/>
      </w:rPr>
    </w:lvl>
    <w:lvl w:ilvl="5" w:tplc="AD066BF4">
      <w:numFmt w:val="bullet"/>
      <w:lvlText w:val="•"/>
      <w:lvlJc w:val="left"/>
      <w:pPr>
        <w:ind w:left="1492" w:hanging="100"/>
      </w:pPr>
      <w:rPr>
        <w:rFonts w:hint="default"/>
      </w:rPr>
    </w:lvl>
    <w:lvl w:ilvl="6" w:tplc="FCACEB6C">
      <w:numFmt w:val="bullet"/>
      <w:lvlText w:val="•"/>
      <w:lvlJc w:val="left"/>
      <w:pPr>
        <w:ind w:left="1758" w:hanging="100"/>
      </w:pPr>
      <w:rPr>
        <w:rFonts w:hint="default"/>
      </w:rPr>
    </w:lvl>
    <w:lvl w:ilvl="7" w:tplc="2D0470C8">
      <w:numFmt w:val="bullet"/>
      <w:lvlText w:val="•"/>
      <w:lvlJc w:val="left"/>
      <w:pPr>
        <w:ind w:left="2024" w:hanging="100"/>
      </w:pPr>
      <w:rPr>
        <w:rFonts w:hint="default"/>
      </w:rPr>
    </w:lvl>
    <w:lvl w:ilvl="8" w:tplc="35382F26">
      <w:numFmt w:val="bullet"/>
      <w:lvlText w:val="•"/>
      <w:lvlJc w:val="left"/>
      <w:pPr>
        <w:ind w:left="2291" w:hanging="100"/>
      </w:pPr>
      <w:rPr>
        <w:rFonts w:hint="default"/>
      </w:rPr>
    </w:lvl>
  </w:abstractNum>
  <w:abstractNum w:abstractNumId="1261" w15:restartNumberingAfterBreak="0">
    <w:nsid w:val="4EE16063"/>
    <w:multiLevelType w:val="hybridMultilevel"/>
    <w:tmpl w:val="F766B4FA"/>
    <w:lvl w:ilvl="0" w:tplc="85D6013A">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907C5482">
      <w:numFmt w:val="bullet"/>
      <w:lvlText w:val="•"/>
      <w:lvlJc w:val="left"/>
      <w:pPr>
        <w:ind w:left="1528" w:hanging="180"/>
      </w:pPr>
      <w:rPr>
        <w:rFonts w:hint="default"/>
      </w:rPr>
    </w:lvl>
    <w:lvl w:ilvl="2" w:tplc="72B86458">
      <w:numFmt w:val="bullet"/>
      <w:lvlText w:val="•"/>
      <w:lvlJc w:val="left"/>
      <w:pPr>
        <w:ind w:left="2557" w:hanging="180"/>
      </w:pPr>
      <w:rPr>
        <w:rFonts w:hint="default"/>
      </w:rPr>
    </w:lvl>
    <w:lvl w:ilvl="3" w:tplc="1A6042D4">
      <w:numFmt w:val="bullet"/>
      <w:lvlText w:val="•"/>
      <w:lvlJc w:val="left"/>
      <w:pPr>
        <w:ind w:left="3585" w:hanging="180"/>
      </w:pPr>
      <w:rPr>
        <w:rFonts w:hint="default"/>
      </w:rPr>
    </w:lvl>
    <w:lvl w:ilvl="4" w:tplc="12D24FB8">
      <w:numFmt w:val="bullet"/>
      <w:lvlText w:val="•"/>
      <w:lvlJc w:val="left"/>
      <w:pPr>
        <w:ind w:left="4614" w:hanging="180"/>
      </w:pPr>
      <w:rPr>
        <w:rFonts w:hint="default"/>
      </w:rPr>
    </w:lvl>
    <w:lvl w:ilvl="5" w:tplc="C7081BB4">
      <w:numFmt w:val="bullet"/>
      <w:lvlText w:val="•"/>
      <w:lvlJc w:val="left"/>
      <w:pPr>
        <w:ind w:left="5642" w:hanging="180"/>
      </w:pPr>
      <w:rPr>
        <w:rFonts w:hint="default"/>
      </w:rPr>
    </w:lvl>
    <w:lvl w:ilvl="6" w:tplc="2D9C0FC4">
      <w:numFmt w:val="bullet"/>
      <w:lvlText w:val="•"/>
      <w:lvlJc w:val="left"/>
      <w:pPr>
        <w:ind w:left="6671" w:hanging="180"/>
      </w:pPr>
      <w:rPr>
        <w:rFonts w:hint="default"/>
      </w:rPr>
    </w:lvl>
    <w:lvl w:ilvl="7" w:tplc="581EDC4C">
      <w:numFmt w:val="bullet"/>
      <w:lvlText w:val="•"/>
      <w:lvlJc w:val="left"/>
      <w:pPr>
        <w:ind w:left="7699" w:hanging="180"/>
      </w:pPr>
      <w:rPr>
        <w:rFonts w:hint="default"/>
      </w:rPr>
    </w:lvl>
    <w:lvl w:ilvl="8" w:tplc="DE5E3A94">
      <w:numFmt w:val="bullet"/>
      <w:lvlText w:val="•"/>
      <w:lvlJc w:val="left"/>
      <w:pPr>
        <w:ind w:left="8728" w:hanging="180"/>
      </w:pPr>
      <w:rPr>
        <w:rFonts w:hint="default"/>
      </w:rPr>
    </w:lvl>
  </w:abstractNum>
  <w:abstractNum w:abstractNumId="1262" w15:restartNumberingAfterBreak="0">
    <w:nsid w:val="4EF01CB3"/>
    <w:multiLevelType w:val="hybridMultilevel"/>
    <w:tmpl w:val="5C8CF9F0"/>
    <w:lvl w:ilvl="0" w:tplc="322ADF9A">
      <w:numFmt w:val="bullet"/>
      <w:lvlText w:val=""/>
      <w:lvlJc w:val="left"/>
      <w:pPr>
        <w:ind w:left="156" w:hanging="100"/>
      </w:pPr>
      <w:rPr>
        <w:rFonts w:ascii="Symbol" w:eastAsia="Symbol" w:hAnsi="Symbol" w:cs="Symbol" w:hint="default"/>
        <w:color w:val="231F20"/>
        <w:w w:val="100"/>
        <w:sz w:val="14"/>
        <w:szCs w:val="14"/>
      </w:rPr>
    </w:lvl>
    <w:lvl w:ilvl="1" w:tplc="9A622F58">
      <w:numFmt w:val="bullet"/>
      <w:lvlText w:val="•"/>
      <w:lvlJc w:val="left"/>
      <w:pPr>
        <w:ind w:left="301" w:hanging="100"/>
      </w:pPr>
      <w:rPr>
        <w:rFonts w:hint="default"/>
      </w:rPr>
    </w:lvl>
    <w:lvl w:ilvl="2" w:tplc="AA1C6732">
      <w:numFmt w:val="bullet"/>
      <w:lvlText w:val="•"/>
      <w:lvlJc w:val="left"/>
      <w:pPr>
        <w:ind w:left="443" w:hanging="100"/>
      </w:pPr>
      <w:rPr>
        <w:rFonts w:hint="default"/>
      </w:rPr>
    </w:lvl>
    <w:lvl w:ilvl="3" w:tplc="82964FA2">
      <w:numFmt w:val="bullet"/>
      <w:lvlText w:val="•"/>
      <w:lvlJc w:val="left"/>
      <w:pPr>
        <w:ind w:left="585" w:hanging="100"/>
      </w:pPr>
      <w:rPr>
        <w:rFonts w:hint="default"/>
      </w:rPr>
    </w:lvl>
    <w:lvl w:ilvl="4" w:tplc="60C61F68">
      <w:numFmt w:val="bullet"/>
      <w:lvlText w:val="•"/>
      <w:lvlJc w:val="left"/>
      <w:pPr>
        <w:ind w:left="726" w:hanging="100"/>
      </w:pPr>
      <w:rPr>
        <w:rFonts w:hint="default"/>
      </w:rPr>
    </w:lvl>
    <w:lvl w:ilvl="5" w:tplc="2D00BC4E">
      <w:numFmt w:val="bullet"/>
      <w:lvlText w:val="•"/>
      <w:lvlJc w:val="left"/>
      <w:pPr>
        <w:ind w:left="868" w:hanging="100"/>
      </w:pPr>
      <w:rPr>
        <w:rFonts w:hint="default"/>
      </w:rPr>
    </w:lvl>
    <w:lvl w:ilvl="6" w:tplc="93049CB0">
      <w:numFmt w:val="bullet"/>
      <w:lvlText w:val="•"/>
      <w:lvlJc w:val="left"/>
      <w:pPr>
        <w:ind w:left="1010" w:hanging="100"/>
      </w:pPr>
      <w:rPr>
        <w:rFonts w:hint="default"/>
      </w:rPr>
    </w:lvl>
    <w:lvl w:ilvl="7" w:tplc="76AE603A">
      <w:numFmt w:val="bullet"/>
      <w:lvlText w:val="•"/>
      <w:lvlJc w:val="left"/>
      <w:pPr>
        <w:ind w:left="1151" w:hanging="100"/>
      </w:pPr>
      <w:rPr>
        <w:rFonts w:hint="default"/>
      </w:rPr>
    </w:lvl>
    <w:lvl w:ilvl="8" w:tplc="E9C6D090">
      <w:numFmt w:val="bullet"/>
      <w:lvlText w:val="•"/>
      <w:lvlJc w:val="left"/>
      <w:pPr>
        <w:ind w:left="1293" w:hanging="100"/>
      </w:pPr>
      <w:rPr>
        <w:rFonts w:hint="default"/>
      </w:rPr>
    </w:lvl>
  </w:abstractNum>
  <w:abstractNum w:abstractNumId="1263" w15:restartNumberingAfterBreak="0">
    <w:nsid w:val="4EFD7889"/>
    <w:multiLevelType w:val="hybridMultilevel"/>
    <w:tmpl w:val="F64677D6"/>
    <w:lvl w:ilvl="0" w:tplc="D34CBEDE">
      <w:numFmt w:val="bullet"/>
      <w:lvlText w:val=""/>
      <w:lvlJc w:val="left"/>
      <w:pPr>
        <w:ind w:left="156" w:hanging="100"/>
      </w:pPr>
      <w:rPr>
        <w:rFonts w:ascii="Symbol" w:eastAsia="Symbol" w:hAnsi="Symbol" w:cs="Symbol" w:hint="default"/>
        <w:color w:val="231F20"/>
        <w:w w:val="100"/>
        <w:sz w:val="14"/>
        <w:szCs w:val="14"/>
      </w:rPr>
    </w:lvl>
    <w:lvl w:ilvl="1" w:tplc="0518AA6E">
      <w:numFmt w:val="bullet"/>
      <w:lvlText w:val="•"/>
      <w:lvlJc w:val="left"/>
      <w:pPr>
        <w:ind w:left="301" w:hanging="100"/>
      </w:pPr>
      <w:rPr>
        <w:rFonts w:hint="default"/>
      </w:rPr>
    </w:lvl>
    <w:lvl w:ilvl="2" w:tplc="C1CEABB4">
      <w:numFmt w:val="bullet"/>
      <w:lvlText w:val="•"/>
      <w:lvlJc w:val="left"/>
      <w:pPr>
        <w:ind w:left="443" w:hanging="100"/>
      </w:pPr>
      <w:rPr>
        <w:rFonts w:hint="default"/>
      </w:rPr>
    </w:lvl>
    <w:lvl w:ilvl="3" w:tplc="B4D6F488">
      <w:numFmt w:val="bullet"/>
      <w:lvlText w:val="•"/>
      <w:lvlJc w:val="left"/>
      <w:pPr>
        <w:ind w:left="585" w:hanging="100"/>
      </w:pPr>
      <w:rPr>
        <w:rFonts w:hint="default"/>
      </w:rPr>
    </w:lvl>
    <w:lvl w:ilvl="4" w:tplc="8D22C9E6">
      <w:numFmt w:val="bullet"/>
      <w:lvlText w:val="•"/>
      <w:lvlJc w:val="left"/>
      <w:pPr>
        <w:ind w:left="726" w:hanging="100"/>
      </w:pPr>
      <w:rPr>
        <w:rFonts w:hint="default"/>
      </w:rPr>
    </w:lvl>
    <w:lvl w:ilvl="5" w:tplc="15EE97C4">
      <w:numFmt w:val="bullet"/>
      <w:lvlText w:val="•"/>
      <w:lvlJc w:val="left"/>
      <w:pPr>
        <w:ind w:left="868" w:hanging="100"/>
      </w:pPr>
      <w:rPr>
        <w:rFonts w:hint="default"/>
      </w:rPr>
    </w:lvl>
    <w:lvl w:ilvl="6" w:tplc="BE3C79A6">
      <w:numFmt w:val="bullet"/>
      <w:lvlText w:val="•"/>
      <w:lvlJc w:val="left"/>
      <w:pPr>
        <w:ind w:left="1010" w:hanging="100"/>
      </w:pPr>
      <w:rPr>
        <w:rFonts w:hint="default"/>
      </w:rPr>
    </w:lvl>
    <w:lvl w:ilvl="7" w:tplc="6B5411E6">
      <w:numFmt w:val="bullet"/>
      <w:lvlText w:val="•"/>
      <w:lvlJc w:val="left"/>
      <w:pPr>
        <w:ind w:left="1151" w:hanging="100"/>
      </w:pPr>
      <w:rPr>
        <w:rFonts w:hint="default"/>
      </w:rPr>
    </w:lvl>
    <w:lvl w:ilvl="8" w:tplc="E76CB782">
      <w:numFmt w:val="bullet"/>
      <w:lvlText w:val="•"/>
      <w:lvlJc w:val="left"/>
      <w:pPr>
        <w:ind w:left="1293" w:hanging="100"/>
      </w:pPr>
      <w:rPr>
        <w:rFonts w:hint="default"/>
      </w:rPr>
    </w:lvl>
  </w:abstractNum>
  <w:abstractNum w:abstractNumId="1264" w15:restartNumberingAfterBreak="0">
    <w:nsid w:val="4F0413C5"/>
    <w:multiLevelType w:val="hybridMultilevel"/>
    <w:tmpl w:val="519AE836"/>
    <w:lvl w:ilvl="0" w:tplc="F990D356">
      <w:numFmt w:val="bullet"/>
      <w:lvlText w:val=""/>
      <w:lvlJc w:val="left"/>
      <w:pPr>
        <w:ind w:left="156" w:hanging="100"/>
      </w:pPr>
      <w:rPr>
        <w:rFonts w:ascii="Symbol" w:eastAsia="Symbol" w:hAnsi="Symbol" w:cs="Symbol" w:hint="default"/>
        <w:color w:val="231F20"/>
        <w:w w:val="100"/>
        <w:sz w:val="14"/>
        <w:szCs w:val="14"/>
      </w:rPr>
    </w:lvl>
    <w:lvl w:ilvl="1" w:tplc="08761956">
      <w:numFmt w:val="bullet"/>
      <w:lvlText w:val="•"/>
      <w:lvlJc w:val="left"/>
      <w:pPr>
        <w:ind w:left="273" w:hanging="100"/>
      </w:pPr>
      <w:rPr>
        <w:rFonts w:hint="default"/>
      </w:rPr>
    </w:lvl>
    <w:lvl w:ilvl="2" w:tplc="66820216">
      <w:numFmt w:val="bullet"/>
      <w:lvlText w:val="•"/>
      <w:lvlJc w:val="left"/>
      <w:pPr>
        <w:ind w:left="386" w:hanging="100"/>
      </w:pPr>
      <w:rPr>
        <w:rFonts w:hint="default"/>
      </w:rPr>
    </w:lvl>
    <w:lvl w:ilvl="3" w:tplc="49F6C258">
      <w:numFmt w:val="bullet"/>
      <w:lvlText w:val="•"/>
      <w:lvlJc w:val="left"/>
      <w:pPr>
        <w:ind w:left="500" w:hanging="100"/>
      </w:pPr>
      <w:rPr>
        <w:rFonts w:hint="default"/>
      </w:rPr>
    </w:lvl>
    <w:lvl w:ilvl="4" w:tplc="2F043C76">
      <w:numFmt w:val="bullet"/>
      <w:lvlText w:val="•"/>
      <w:lvlJc w:val="left"/>
      <w:pPr>
        <w:ind w:left="613" w:hanging="100"/>
      </w:pPr>
      <w:rPr>
        <w:rFonts w:hint="default"/>
      </w:rPr>
    </w:lvl>
    <w:lvl w:ilvl="5" w:tplc="D50CAA32">
      <w:numFmt w:val="bullet"/>
      <w:lvlText w:val="•"/>
      <w:lvlJc w:val="left"/>
      <w:pPr>
        <w:ind w:left="727" w:hanging="100"/>
      </w:pPr>
      <w:rPr>
        <w:rFonts w:hint="default"/>
      </w:rPr>
    </w:lvl>
    <w:lvl w:ilvl="6" w:tplc="DFC2CE3A">
      <w:numFmt w:val="bullet"/>
      <w:lvlText w:val="•"/>
      <w:lvlJc w:val="left"/>
      <w:pPr>
        <w:ind w:left="840" w:hanging="100"/>
      </w:pPr>
      <w:rPr>
        <w:rFonts w:hint="default"/>
      </w:rPr>
    </w:lvl>
    <w:lvl w:ilvl="7" w:tplc="21984010">
      <w:numFmt w:val="bullet"/>
      <w:lvlText w:val="•"/>
      <w:lvlJc w:val="left"/>
      <w:pPr>
        <w:ind w:left="953" w:hanging="100"/>
      </w:pPr>
      <w:rPr>
        <w:rFonts w:hint="default"/>
      </w:rPr>
    </w:lvl>
    <w:lvl w:ilvl="8" w:tplc="09F444AA">
      <w:numFmt w:val="bullet"/>
      <w:lvlText w:val="•"/>
      <w:lvlJc w:val="left"/>
      <w:pPr>
        <w:ind w:left="1067" w:hanging="100"/>
      </w:pPr>
      <w:rPr>
        <w:rFonts w:hint="default"/>
      </w:rPr>
    </w:lvl>
  </w:abstractNum>
  <w:abstractNum w:abstractNumId="1265" w15:restartNumberingAfterBreak="0">
    <w:nsid w:val="4F08309F"/>
    <w:multiLevelType w:val="hybridMultilevel"/>
    <w:tmpl w:val="120A894C"/>
    <w:lvl w:ilvl="0" w:tplc="8B18AF0E">
      <w:numFmt w:val="bullet"/>
      <w:lvlText w:val=""/>
      <w:lvlJc w:val="left"/>
      <w:pPr>
        <w:ind w:left="157" w:hanging="100"/>
      </w:pPr>
      <w:rPr>
        <w:rFonts w:ascii="Symbol" w:eastAsia="Symbol" w:hAnsi="Symbol" w:cs="Symbol" w:hint="default"/>
        <w:color w:val="231F20"/>
        <w:w w:val="100"/>
        <w:sz w:val="14"/>
        <w:szCs w:val="14"/>
      </w:rPr>
    </w:lvl>
    <w:lvl w:ilvl="1" w:tplc="1F42A04C">
      <w:numFmt w:val="bullet"/>
      <w:lvlText w:val="•"/>
      <w:lvlJc w:val="left"/>
      <w:pPr>
        <w:ind w:left="369" w:hanging="100"/>
      </w:pPr>
      <w:rPr>
        <w:rFonts w:hint="default"/>
      </w:rPr>
    </w:lvl>
    <w:lvl w:ilvl="2" w:tplc="2C6C968C">
      <w:numFmt w:val="bullet"/>
      <w:lvlText w:val="•"/>
      <w:lvlJc w:val="left"/>
      <w:pPr>
        <w:ind w:left="579" w:hanging="100"/>
      </w:pPr>
      <w:rPr>
        <w:rFonts w:hint="default"/>
      </w:rPr>
    </w:lvl>
    <w:lvl w:ilvl="3" w:tplc="F23448AA">
      <w:numFmt w:val="bullet"/>
      <w:lvlText w:val="•"/>
      <w:lvlJc w:val="left"/>
      <w:pPr>
        <w:ind w:left="789" w:hanging="100"/>
      </w:pPr>
      <w:rPr>
        <w:rFonts w:hint="default"/>
      </w:rPr>
    </w:lvl>
    <w:lvl w:ilvl="4" w:tplc="1A22120E">
      <w:numFmt w:val="bullet"/>
      <w:lvlText w:val="•"/>
      <w:lvlJc w:val="left"/>
      <w:pPr>
        <w:ind w:left="998" w:hanging="100"/>
      </w:pPr>
      <w:rPr>
        <w:rFonts w:hint="default"/>
      </w:rPr>
    </w:lvl>
    <w:lvl w:ilvl="5" w:tplc="0BBC8DDE">
      <w:numFmt w:val="bullet"/>
      <w:lvlText w:val="•"/>
      <w:lvlJc w:val="left"/>
      <w:pPr>
        <w:ind w:left="1208" w:hanging="100"/>
      </w:pPr>
      <w:rPr>
        <w:rFonts w:hint="default"/>
      </w:rPr>
    </w:lvl>
    <w:lvl w:ilvl="6" w:tplc="E75C3448">
      <w:numFmt w:val="bullet"/>
      <w:lvlText w:val="•"/>
      <w:lvlJc w:val="left"/>
      <w:pPr>
        <w:ind w:left="1418" w:hanging="100"/>
      </w:pPr>
      <w:rPr>
        <w:rFonts w:hint="default"/>
      </w:rPr>
    </w:lvl>
    <w:lvl w:ilvl="7" w:tplc="332A2290">
      <w:numFmt w:val="bullet"/>
      <w:lvlText w:val="•"/>
      <w:lvlJc w:val="left"/>
      <w:pPr>
        <w:ind w:left="1627" w:hanging="100"/>
      </w:pPr>
      <w:rPr>
        <w:rFonts w:hint="default"/>
      </w:rPr>
    </w:lvl>
    <w:lvl w:ilvl="8" w:tplc="6EE00FE8">
      <w:numFmt w:val="bullet"/>
      <w:lvlText w:val="•"/>
      <w:lvlJc w:val="left"/>
      <w:pPr>
        <w:ind w:left="1837" w:hanging="100"/>
      </w:pPr>
      <w:rPr>
        <w:rFonts w:hint="default"/>
      </w:rPr>
    </w:lvl>
  </w:abstractNum>
  <w:abstractNum w:abstractNumId="1266" w15:restartNumberingAfterBreak="0">
    <w:nsid w:val="4F0E011D"/>
    <w:multiLevelType w:val="hybridMultilevel"/>
    <w:tmpl w:val="B6C083FC"/>
    <w:lvl w:ilvl="0" w:tplc="F28C9C24">
      <w:numFmt w:val="bullet"/>
      <w:lvlText w:val=""/>
      <w:lvlJc w:val="left"/>
      <w:pPr>
        <w:ind w:left="157" w:hanging="100"/>
      </w:pPr>
      <w:rPr>
        <w:rFonts w:ascii="Symbol" w:eastAsia="Symbol" w:hAnsi="Symbol" w:cs="Symbol" w:hint="default"/>
        <w:color w:val="231F20"/>
        <w:w w:val="100"/>
        <w:sz w:val="14"/>
        <w:szCs w:val="14"/>
      </w:rPr>
    </w:lvl>
    <w:lvl w:ilvl="1" w:tplc="9E361932">
      <w:numFmt w:val="bullet"/>
      <w:lvlText w:val="•"/>
      <w:lvlJc w:val="left"/>
      <w:pPr>
        <w:ind w:left="369" w:hanging="100"/>
      </w:pPr>
      <w:rPr>
        <w:rFonts w:hint="default"/>
      </w:rPr>
    </w:lvl>
    <w:lvl w:ilvl="2" w:tplc="DBD88C6A">
      <w:numFmt w:val="bullet"/>
      <w:lvlText w:val="•"/>
      <w:lvlJc w:val="left"/>
      <w:pPr>
        <w:ind w:left="579" w:hanging="100"/>
      </w:pPr>
      <w:rPr>
        <w:rFonts w:hint="default"/>
      </w:rPr>
    </w:lvl>
    <w:lvl w:ilvl="3" w:tplc="4808CADA">
      <w:numFmt w:val="bullet"/>
      <w:lvlText w:val="•"/>
      <w:lvlJc w:val="left"/>
      <w:pPr>
        <w:ind w:left="789" w:hanging="100"/>
      </w:pPr>
      <w:rPr>
        <w:rFonts w:hint="default"/>
      </w:rPr>
    </w:lvl>
    <w:lvl w:ilvl="4" w:tplc="9A4259BC">
      <w:numFmt w:val="bullet"/>
      <w:lvlText w:val="•"/>
      <w:lvlJc w:val="left"/>
      <w:pPr>
        <w:ind w:left="998" w:hanging="100"/>
      </w:pPr>
      <w:rPr>
        <w:rFonts w:hint="default"/>
      </w:rPr>
    </w:lvl>
    <w:lvl w:ilvl="5" w:tplc="E28247F4">
      <w:numFmt w:val="bullet"/>
      <w:lvlText w:val="•"/>
      <w:lvlJc w:val="left"/>
      <w:pPr>
        <w:ind w:left="1208" w:hanging="100"/>
      </w:pPr>
      <w:rPr>
        <w:rFonts w:hint="default"/>
      </w:rPr>
    </w:lvl>
    <w:lvl w:ilvl="6" w:tplc="F2F2D520">
      <w:numFmt w:val="bullet"/>
      <w:lvlText w:val="•"/>
      <w:lvlJc w:val="left"/>
      <w:pPr>
        <w:ind w:left="1418" w:hanging="100"/>
      </w:pPr>
      <w:rPr>
        <w:rFonts w:hint="default"/>
      </w:rPr>
    </w:lvl>
    <w:lvl w:ilvl="7" w:tplc="C17073D4">
      <w:numFmt w:val="bullet"/>
      <w:lvlText w:val="•"/>
      <w:lvlJc w:val="left"/>
      <w:pPr>
        <w:ind w:left="1627" w:hanging="100"/>
      </w:pPr>
      <w:rPr>
        <w:rFonts w:hint="default"/>
      </w:rPr>
    </w:lvl>
    <w:lvl w:ilvl="8" w:tplc="067AF5F8">
      <w:numFmt w:val="bullet"/>
      <w:lvlText w:val="•"/>
      <w:lvlJc w:val="left"/>
      <w:pPr>
        <w:ind w:left="1837" w:hanging="100"/>
      </w:pPr>
      <w:rPr>
        <w:rFonts w:hint="default"/>
      </w:rPr>
    </w:lvl>
  </w:abstractNum>
  <w:abstractNum w:abstractNumId="1267" w15:restartNumberingAfterBreak="0">
    <w:nsid w:val="4F136396"/>
    <w:multiLevelType w:val="hybridMultilevel"/>
    <w:tmpl w:val="7292D3A4"/>
    <w:lvl w:ilvl="0" w:tplc="F398A6B0">
      <w:numFmt w:val="bullet"/>
      <w:lvlText w:val=""/>
      <w:lvlJc w:val="left"/>
      <w:pPr>
        <w:ind w:left="157" w:hanging="100"/>
      </w:pPr>
      <w:rPr>
        <w:rFonts w:ascii="Symbol" w:eastAsia="Symbol" w:hAnsi="Symbol" w:cs="Symbol" w:hint="default"/>
        <w:color w:val="231F20"/>
        <w:w w:val="100"/>
        <w:sz w:val="14"/>
        <w:szCs w:val="14"/>
      </w:rPr>
    </w:lvl>
    <w:lvl w:ilvl="1" w:tplc="3BFEDBE6">
      <w:numFmt w:val="bullet"/>
      <w:lvlText w:val="•"/>
      <w:lvlJc w:val="left"/>
      <w:pPr>
        <w:ind w:left="426" w:hanging="100"/>
      </w:pPr>
      <w:rPr>
        <w:rFonts w:hint="default"/>
      </w:rPr>
    </w:lvl>
    <w:lvl w:ilvl="2" w:tplc="AF083800">
      <w:numFmt w:val="bullet"/>
      <w:lvlText w:val="•"/>
      <w:lvlJc w:val="left"/>
      <w:pPr>
        <w:ind w:left="692" w:hanging="100"/>
      </w:pPr>
      <w:rPr>
        <w:rFonts w:hint="default"/>
      </w:rPr>
    </w:lvl>
    <w:lvl w:ilvl="3" w:tplc="B0041A38">
      <w:numFmt w:val="bullet"/>
      <w:lvlText w:val="•"/>
      <w:lvlJc w:val="left"/>
      <w:pPr>
        <w:ind w:left="959" w:hanging="100"/>
      </w:pPr>
      <w:rPr>
        <w:rFonts w:hint="default"/>
      </w:rPr>
    </w:lvl>
    <w:lvl w:ilvl="4" w:tplc="51B04682">
      <w:numFmt w:val="bullet"/>
      <w:lvlText w:val="•"/>
      <w:lvlJc w:val="left"/>
      <w:pPr>
        <w:ind w:left="1225" w:hanging="100"/>
      </w:pPr>
      <w:rPr>
        <w:rFonts w:hint="default"/>
      </w:rPr>
    </w:lvl>
    <w:lvl w:ilvl="5" w:tplc="7D3247E4">
      <w:numFmt w:val="bullet"/>
      <w:lvlText w:val="•"/>
      <w:lvlJc w:val="left"/>
      <w:pPr>
        <w:ind w:left="1492" w:hanging="100"/>
      </w:pPr>
      <w:rPr>
        <w:rFonts w:hint="default"/>
      </w:rPr>
    </w:lvl>
    <w:lvl w:ilvl="6" w:tplc="879E3CBC">
      <w:numFmt w:val="bullet"/>
      <w:lvlText w:val="•"/>
      <w:lvlJc w:val="left"/>
      <w:pPr>
        <w:ind w:left="1758" w:hanging="100"/>
      </w:pPr>
      <w:rPr>
        <w:rFonts w:hint="default"/>
      </w:rPr>
    </w:lvl>
    <w:lvl w:ilvl="7" w:tplc="63DC4EB0">
      <w:numFmt w:val="bullet"/>
      <w:lvlText w:val="•"/>
      <w:lvlJc w:val="left"/>
      <w:pPr>
        <w:ind w:left="2024" w:hanging="100"/>
      </w:pPr>
      <w:rPr>
        <w:rFonts w:hint="default"/>
      </w:rPr>
    </w:lvl>
    <w:lvl w:ilvl="8" w:tplc="175A5342">
      <w:numFmt w:val="bullet"/>
      <w:lvlText w:val="•"/>
      <w:lvlJc w:val="left"/>
      <w:pPr>
        <w:ind w:left="2291" w:hanging="100"/>
      </w:pPr>
      <w:rPr>
        <w:rFonts w:hint="default"/>
      </w:rPr>
    </w:lvl>
  </w:abstractNum>
  <w:abstractNum w:abstractNumId="1268" w15:restartNumberingAfterBreak="0">
    <w:nsid w:val="4F192EEA"/>
    <w:multiLevelType w:val="hybridMultilevel"/>
    <w:tmpl w:val="2412136A"/>
    <w:lvl w:ilvl="0" w:tplc="16B46C2A">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F9A490F0">
      <w:numFmt w:val="bullet"/>
      <w:lvlText w:val="•"/>
      <w:lvlJc w:val="left"/>
      <w:pPr>
        <w:ind w:left="426" w:hanging="105"/>
      </w:pPr>
      <w:rPr>
        <w:rFonts w:hint="default"/>
      </w:rPr>
    </w:lvl>
    <w:lvl w:ilvl="2" w:tplc="E56C1DCE">
      <w:numFmt w:val="bullet"/>
      <w:lvlText w:val="•"/>
      <w:lvlJc w:val="left"/>
      <w:pPr>
        <w:ind w:left="692" w:hanging="105"/>
      </w:pPr>
      <w:rPr>
        <w:rFonts w:hint="default"/>
      </w:rPr>
    </w:lvl>
    <w:lvl w:ilvl="3" w:tplc="D94CC67E">
      <w:numFmt w:val="bullet"/>
      <w:lvlText w:val="•"/>
      <w:lvlJc w:val="left"/>
      <w:pPr>
        <w:ind w:left="959" w:hanging="105"/>
      </w:pPr>
      <w:rPr>
        <w:rFonts w:hint="default"/>
      </w:rPr>
    </w:lvl>
    <w:lvl w:ilvl="4" w:tplc="549082F4">
      <w:numFmt w:val="bullet"/>
      <w:lvlText w:val="•"/>
      <w:lvlJc w:val="left"/>
      <w:pPr>
        <w:ind w:left="1225" w:hanging="105"/>
      </w:pPr>
      <w:rPr>
        <w:rFonts w:hint="default"/>
      </w:rPr>
    </w:lvl>
    <w:lvl w:ilvl="5" w:tplc="5D447016">
      <w:numFmt w:val="bullet"/>
      <w:lvlText w:val="•"/>
      <w:lvlJc w:val="left"/>
      <w:pPr>
        <w:ind w:left="1492" w:hanging="105"/>
      </w:pPr>
      <w:rPr>
        <w:rFonts w:hint="default"/>
      </w:rPr>
    </w:lvl>
    <w:lvl w:ilvl="6" w:tplc="7B4C8A0A">
      <w:numFmt w:val="bullet"/>
      <w:lvlText w:val="•"/>
      <w:lvlJc w:val="left"/>
      <w:pPr>
        <w:ind w:left="1758" w:hanging="105"/>
      </w:pPr>
      <w:rPr>
        <w:rFonts w:hint="default"/>
      </w:rPr>
    </w:lvl>
    <w:lvl w:ilvl="7" w:tplc="29983882">
      <w:numFmt w:val="bullet"/>
      <w:lvlText w:val="•"/>
      <w:lvlJc w:val="left"/>
      <w:pPr>
        <w:ind w:left="2024" w:hanging="105"/>
      </w:pPr>
      <w:rPr>
        <w:rFonts w:hint="default"/>
      </w:rPr>
    </w:lvl>
    <w:lvl w:ilvl="8" w:tplc="51D49C04">
      <w:numFmt w:val="bullet"/>
      <w:lvlText w:val="•"/>
      <w:lvlJc w:val="left"/>
      <w:pPr>
        <w:ind w:left="2291" w:hanging="105"/>
      </w:pPr>
      <w:rPr>
        <w:rFonts w:hint="default"/>
      </w:rPr>
    </w:lvl>
  </w:abstractNum>
  <w:abstractNum w:abstractNumId="1269" w15:restartNumberingAfterBreak="0">
    <w:nsid w:val="4F314E3D"/>
    <w:multiLevelType w:val="hybridMultilevel"/>
    <w:tmpl w:val="94B8D272"/>
    <w:lvl w:ilvl="0" w:tplc="0B0C4F4A">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5568D90E">
      <w:numFmt w:val="bullet"/>
      <w:lvlText w:val="•"/>
      <w:lvlJc w:val="left"/>
      <w:pPr>
        <w:ind w:left="408" w:hanging="84"/>
      </w:pPr>
      <w:rPr>
        <w:rFonts w:hint="default"/>
      </w:rPr>
    </w:lvl>
    <w:lvl w:ilvl="2" w:tplc="944A75C0">
      <w:numFmt w:val="bullet"/>
      <w:lvlText w:val="•"/>
      <w:lvlJc w:val="left"/>
      <w:pPr>
        <w:ind w:left="676" w:hanging="84"/>
      </w:pPr>
      <w:rPr>
        <w:rFonts w:hint="default"/>
      </w:rPr>
    </w:lvl>
    <w:lvl w:ilvl="3" w:tplc="AFDAC6FC">
      <w:numFmt w:val="bullet"/>
      <w:lvlText w:val="•"/>
      <w:lvlJc w:val="left"/>
      <w:pPr>
        <w:ind w:left="945" w:hanging="84"/>
      </w:pPr>
      <w:rPr>
        <w:rFonts w:hint="default"/>
      </w:rPr>
    </w:lvl>
    <w:lvl w:ilvl="4" w:tplc="60E003A4">
      <w:numFmt w:val="bullet"/>
      <w:lvlText w:val="•"/>
      <w:lvlJc w:val="left"/>
      <w:pPr>
        <w:ind w:left="1213" w:hanging="84"/>
      </w:pPr>
      <w:rPr>
        <w:rFonts w:hint="default"/>
      </w:rPr>
    </w:lvl>
    <w:lvl w:ilvl="5" w:tplc="EBD04A6A">
      <w:numFmt w:val="bullet"/>
      <w:lvlText w:val="•"/>
      <w:lvlJc w:val="left"/>
      <w:pPr>
        <w:ind w:left="1482" w:hanging="84"/>
      </w:pPr>
      <w:rPr>
        <w:rFonts w:hint="default"/>
      </w:rPr>
    </w:lvl>
    <w:lvl w:ilvl="6" w:tplc="2850EEF4">
      <w:numFmt w:val="bullet"/>
      <w:lvlText w:val="•"/>
      <w:lvlJc w:val="left"/>
      <w:pPr>
        <w:ind w:left="1750" w:hanging="84"/>
      </w:pPr>
      <w:rPr>
        <w:rFonts w:hint="default"/>
      </w:rPr>
    </w:lvl>
    <w:lvl w:ilvl="7" w:tplc="A63CE128">
      <w:numFmt w:val="bullet"/>
      <w:lvlText w:val="•"/>
      <w:lvlJc w:val="left"/>
      <w:pPr>
        <w:ind w:left="2018" w:hanging="84"/>
      </w:pPr>
      <w:rPr>
        <w:rFonts w:hint="default"/>
      </w:rPr>
    </w:lvl>
    <w:lvl w:ilvl="8" w:tplc="4670B162">
      <w:numFmt w:val="bullet"/>
      <w:lvlText w:val="•"/>
      <w:lvlJc w:val="left"/>
      <w:pPr>
        <w:ind w:left="2287" w:hanging="84"/>
      </w:pPr>
      <w:rPr>
        <w:rFonts w:hint="default"/>
      </w:rPr>
    </w:lvl>
  </w:abstractNum>
  <w:abstractNum w:abstractNumId="1270" w15:restartNumberingAfterBreak="0">
    <w:nsid w:val="4F397B8C"/>
    <w:multiLevelType w:val="hybridMultilevel"/>
    <w:tmpl w:val="F2D2E7E6"/>
    <w:lvl w:ilvl="0" w:tplc="11508244">
      <w:numFmt w:val="bullet"/>
      <w:lvlText w:val=""/>
      <w:lvlJc w:val="left"/>
      <w:pPr>
        <w:ind w:left="157" w:hanging="100"/>
      </w:pPr>
      <w:rPr>
        <w:rFonts w:ascii="Symbol" w:eastAsia="Symbol" w:hAnsi="Symbol" w:cs="Symbol" w:hint="default"/>
        <w:color w:val="231F20"/>
        <w:w w:val="100"/>
        <w:sz w:val="14"/>
        <w:szCs w:val="14"/>
      </w:rPr>
    </w:lvl>
    <w:lvl w:ilvl="1" w:tplc="F3361E00">
      <w:numFmt w:val="bullet"/>
      <w:lvlText w:val="•"/>
      <w:lvlJc w:val="left"/>
      <w:pPr>
        <w:ind w:left="398" w:hanging="100"/>
      </w:pPr>
      <w:rPr>
        <w:rFonts w:hint="default"/>
      </w:rPr>
    </w:lvl>
    <w:lvl w:ilvl="2" w:tplc="37088F8C">
      <w:numFmt w:val="bullet"/>
      <w:lvlText w:val="•"/>
      <w:lvlJc w:val="left"/>
      <w:pPr>
        <w:ind w:left="636" w:hanging="100"/>
      </w:pPr>
      <w:rPr>
        <w:rFonts w:hint="default"/>
      </w:rPr>
    </w:lvl>
    <w:lvl w:ilvl="3" w:tplc="8DA20D50">
      <w:numFmt w:val="bullet"/>
      <w:lvlText w:val="•"/>
      <w:lvlJc w:val="left"/>
      <w:pPr>
        <w:ind w:left="874" w:hanging="100"/>
      </w:pPr>
      <w:rPr>
        <w:rFonts w:hint="default"/>
      </w:rPr>
    </w:lvl>
    <w:lvl w:ilvl="4" w:tplc="2C38CD76">
      <w:numFmt w:val="bullet"/>
      <w:lvlText w:val="•"/>
      <w:lvlJc w:val="left"/>
      <w:pPr>
        <w:ind w:left="1112" w:hanging="100"/>
      </w:pPr>
      <w:rPr>
        <w:rFonts w:hint="default"/>
      </w:rPr>
    </w:lvl>
    <w:lvl w:ilvl="5" w:tplc="DF94E29E">
      <w:numFmt w:val="bullet"/>
      <w:lvlText w:val="•"/>
      <w:lvlJc w:val="left"/>
      <w:pPr>
        <w:ind w:left="1350" w:hanging="100"/>
      </w:pPr>
      <w:rPr>
        <w:rFonts w:hint="default"/>
      </w:rPr>
    </w:lvl>
    <w:lvl w:ilvl="6" w:tplc="4F54D670">
      <w:numFmt w:val="bullet"/>
      <w:lvlText w:val="•"/>
      <w:lvlJc w:val="left"/>
      <w:pPr>
        <w:ind w:left="1588" w:hanging="100"/>
      </w:pPr>
      <w:rPr>
        <w:rFonts w:hint="default"/>
      </w:rPr>
    </w:lvl>
    <w:lvl w:ilvl="7" w:tplc="3664EE74">
      <w:numFmt w:val="bullet"/>
      <w:lvlText w:val="•"/>
      <w:lvlJc w:val="left"/>
      <w:pPr>
        <w:ind w:left="1826" w:hanging="100"/>
      </w:pPr>
      <w:rPr>
        <w:rFonts w:hint="default"/>
      </w:rPr>
    </w:lvl>
    <w:lvl w:ilvl="8" w:tplc="56CE9E26">
      <w:numFmt w:val="bullet"/>
      <w:lvlText w:val="•"/>
      <w:lvlJc w:val="left"/>
      <w:pPr>
        <w:ind w:left="2064" w:hanging="100"/>
      </w:pPr>
      <w:rPr>
        <w:rFonts w:hint="default"/>
      </w:rPr>
    </w:lvl>
  </w:abstractNum>
  <w:abstractNum w:abstractNumId="1271" w15:restartNumberingAfterBreak="0">
    <w:nsid w:val="4F413C90"/>
    <w:multiLevelType w:val="hybridMultilevel"/>
    <w:tmpl w:val="2E689CCC"/>
    <w:lvl w:ilvl="0" w:tplc="E47E74AA">
      <w:numFmt w:val="bullet"/>
      <w:lvlText w:val=""/>
      <w:lvlJc w:val="left"/>
      <w:pPr>
        <w:ind w:left="157" w:hanging="100"/>
      </w:pPr>
      <w:rPr>
        <w:rFonts w:ascii="Symbol" w:eastAsia="Symbol" w:hAnsi="Symbol" w:cs="Symbol" w:hint="default"/>
        <w:color w:val="231F20"/>
        <w:w w:val="100"/>
        <w:sz w:val="14"/>
        <w:szCs w:val="14"/>
      </w:rPr>
    </w:lvl>
    <w:lvl w:ilvl="1" w:tplc="195C68BA">
      <w:numFmt w:val="bullet"/>
      <w:lvlText w:val="•"/>
      <w:lvlJc w:val="left"/>
      <w:pPr>
        <w:ind w:left="369" w:hanging="100"/>
      </w:pPr>
      <w:rPr>
        <w:rFonts w:hint="default"/>
      </w:rPr>
    </w:lvl>
    <w:lvl w:ilvl="2" w:tplc="3EAA4B38">
      <w:numFmt w:val="bullet"/>
      <w:lvlText w:val="•"/>
      <w:lvlJc w:val="left"/>
      <w:pPr>
        <w:ind w:left="579" w:hanging="100"/>
      </w:pPr>
      <w:rPr>
        <w:rFonts w:hint="default"/>
      </w:rPr>
    </w:lvl>
    <w:lvl w:ilvl="3" w:tplc="0B58B154">
      <w:numFmt w:val="bullet"/>
      <w:lvlText w:val="•"/>
      <w:lvlJc w:val="left"/>
      <w:pPr>
        <w:ind w:left="789" w:hanging="100"/>
      </w:pPr>
      <w:rPr>
        <w:rFonts w:hint="default"/>
      </w:rPr>
    </w:lvl>
    <w:lvl w:ilvl="4" w:tplc="8A067944">
      <w:numFmt w:val="bullet"/>
      <w:lvlText w:val="•"/>
      <w:lvlJc w:val="left"/>
      <w:pPr>
        <w:ind w:left="998" w:hanging="100"/>
      </w:pPr>
      <w:rPr>
        <w:rFonts w:hint="default"/>
      </w:rPr>
    </w:lvl>
    <w:lvl w:ilvl="5" w:tplc="A20627A8">
      <w:numFmt w:val="bullet"/>
      <w:lvlText w:val="•"/>
      <w:lvlJc w:val="left"/>
      <w:pPr>
        <w:ind w:left="1208" w:hanging="100"/>
      </w:pPr>
      <w:rPr>
        <w:rFonts w:hint="default"/>
      </w:rPr>
    </w:lvl>
    <w:lvl w:ilvl="6" w:tplc="A1C81F3E">
      <w:numFmt w:val="bullet"/>
      <w:lvlText w:val="•"/>
      <w:lvlJc w:val="left"/>
      <w:pPr>
        <w:ind w:left="1418" w:hanging="100"/>
      </w:pPr>
      <w:rPr>
        <w:rFonts w:hint="default"/>
      </w:rPr>
    </w:lvl>
    <w:lvl w:ilvl="7" w:tplc="07A6DE60">
      <w:numFmt w:val="bullet"/>
      <w:lvlText w:val="•"/>
      <w:lvlJc w:val="left"/>
      <w:pPr>
        <w:ind w:left="1627" w:hanging="100"/>
      </w:pPr>
      <w:rPr>
        <w:rFonts w:hint="default"/>
      </w:rPr>
    </w:lvl>
    <w:lvl w:ilvl="8" w:tplc="B20C1E24">
      <w:numFmt w:val="bullet"/>
      <w:lvlText w:val="•"/>
      <w:lvlJc w:val="left"/>
      <w:pPr>
        <w:ind w:left="1837" w:hanging="100"/>
      </w:pPr>
      <w:rPr>
        <w:rFonts w:hint="default"/>
      </w:rPr>
    </w:lvl>
  </w:abstractNum>
  <w:abstractNum w:abstractNumId="1272" w15:restartNumberingAfterBreak="0">
    <w:nsid w:val="4F454941"/>
    <w:multiLevelType w:val="hybridMultilevel"/>
    <w:tmpl w:val="F7ECDA3A"/>
    <w:lvl w:ilvl="0" w:tplc="6860B71E">
      <w:numFmt w:val="bullet"/>
      <w:lvlText w:val=""/>
      <w:lvlJc w:val="left"/>
      <w:pPr>
        <w:ind w:left="156" w:hanging="100"/>
      </w:pPr>
      <w:rPr>
        <w:rFonts w:ascii="Symbol" w:eastAsia="Symbol" w:hAnsi="Symbol" w:cs="Symbol" w:hint="default"/>
        <w:color w:val="231F20"/>
        <w:w w:val="100"/>
        <w:sz w:val="14"/>
        <w:szCs w:val="14"/>
      </w:rPr>
    </w:lvl>
    <w:lvl w:ilvl="1" w:tplc="A5BCD134">
      <w:numFmt w:val="bullet"/>
      <w:lvlText w:val="•"/>
      <w:lvlJc w:val="left"/>
      <w:pPr>
        <w:ind w:left="301" w:hanging="100"/>
      </w:pPr>
      <w:rPr>
        <w:rFonts w:hint="default"/>
      </w:rPr>
    </w:lvl>
    <w:lvl w:ilvl="2" w:tplc="46DAA862">
      <w:numFmt w:val="bullet"/>
      <w:lvlText w:val="•"/>
      <w:lvlJc w:val="left"/>
      <w:pPr>
        <w:ind w:left="443" w:hanging="100"/>
      </w:pPr>
      <w:rPr>
        <w:rFonts w:hint="default"/>
      </w:rPr>
    </w:lvl>
    <w:lvl w:ilvl="3" w:tplc="3B6CEE68">
      <w:numFmt w:val="bullet"/>
      <w:lvlText w:val="•"/>
      <w:lvlJc w:val="left"/>
      <w:pPr>
        <w:ind w:left="585" w:hanging="100"/>
      </w:pPr>
      <w:rPr>
        <w:rFonts w:hint="default"/>
      </w:rPr>
    </w:lvl>
    <w:lvl w:ilvl="4" w:tplc="B11C126E">
      <w:numFmt w:val="bullet"/>
      <w:lvlText w:val="•"/>
      <w:lvlJc w:val="left"/>
      <w:pPr>
        <w:ind w:left="726" w:hanging="100"/>
      </w:pPr>
      <w:rPr>
        <w:rFonts w:hint="default"/>
      </w:rPr>
    </w:lvl>
    <w:lvl w:ilvl="5" w:tplc="80DE37E2">
      <w:numFmt w:val="bullet"/>
      <w:lvlText w:val="•"/>
      <w:lvlJc w:val="left"/>
      <w:pPr>
        <w:ind w:left="868" w:hanging="100"/>
      </w:pPr>
      <w:rPr>
        <w:rFonts w:hint="default"/>
      </w:rPr>
    </w:lvl>
    <w:lvl w:ilvl="6" w:tplc="373C7F5E">
      <w:numFmt w:val="bullet"/>
      <w:lvlText w:val="•"/>
      <w:lvlJc w:val="left"/>
      <w:pPr>
        <w:ind w:left="1010" w:hanging="100"/>
      </w:pPr>
      <w:rPr>
        <w:rFonts w:hint="default"/>
      </w:rPr>
    </w:lvl>
    <w:lvl w:ilvl="7" w:tplc="A33C9FF4">
      <w:numFmt w:val="bullet"/>
      <w:lvlText w:val="•"/>
      <w:lvlJc w:val="left"/>
      <w:pPr>
        <w:ind w:left="1151" w:hanging="100"/>
      </w:pPr>
      <w:rPr>
        <w:rFonts w:hint="default"/>
      </w:rPr>
    </w:lvl>
    <w:lvl w:ilvl="8" w:tplc="EB48A6F0">
      <w:numFmt w:val="bullet"/>
      <w:lvlText w:val="•"/>
      <w:lvlJc w:val="left"/>
      <w:pPr>
        <w:ind w:left="1293" w:hanging="100"/>
      </w:pPr>
      <w:rPr>
        <w:rFonts w:hint="default"/>
      </w:rPr>
    </w:lvl>
  </w:abstractNum>
  <w:abstractNum w:abstractNumId="1273" w15:restartNumberingAfterBreak="0">
    <w:nsid w:val="4F570B41"/>
    <w:multiLevelType w:val="hybridMultilevel"/>
    <w:tmpl w:val="D378259E"/>
    <w:lvl w:ilvl="0" w:tplc="755601DA">
      <w:numFmt w:val="bullet"/>
      <w:lvlText w:val=""/>
      <w:lvlJc w:val="left"/>
      <w:pPr>
        <w:ind w:left="157" w:hanging="100"/>
      </w:pPr>
      <w:rPr>
        <w:rFonts w:ascii="Symbol" w:eastAsia="Symbol" w:hAnsi="Symbol" w:cs="Symbol" w:hint="default"/>
        <w:color w:val="231F20"/>
        <w:w w:val="100"/>
        <w:sz w:val="14"/>
        <w:szCs w:val="14"/>
      </w:rPr>
    </w:lvl>
    <w:lvl w:ilvl="1" w:tplc="7228F3BA">
      <w:numFmt w:val="bullet"/>
      <w:lvlText w:val="•"/>
      <w:lvlJc w:val="left"/>
      <w:pPr>
        <w:ind w:left="369" w:hanging="100"/>
      </w:pPr>
      <w:rPr>
        <w:rFonts w:hint="default"/>
      </w:rPr>
    </w:lvl>
    <w:lvl w:ilvl="2" w:tplc="AC944EA6">
      <w:numFmt w:val="bullet"/>
      <w:lvlText w:val="•"/>
      <w:lvlJc w:val="left"/>
      <w:pPr>
        <w:ind w:left="579" w:hanging="100"/>
      </w:pPr>
      <w:rPr>
        <w:rFonts w:hint="default"/>
      </w:rPr>
    </w:lvl>
    <w:lvl w:ilvl="3" w:tplc="A7304678">
      <w:numFmt w:val="bullet"/>
      <w:lvlText w:val="•"/>
      <w:lvlJc w:val="left"/>
      <w:pPr>
        <w:ind w:left="789" w:hanging="100"/>
      </w:pPr>
      <w:rPr>
        <w:rFonts w:hint="default"/>
      </w:rPr>
    </w:lvl>
    <w:lvl w:ilvl="4" w:tplc="D3ECADAE">
      <w:numFmt w:val="bullet"/>
      <w:lvlText w:val="•"/>
      <w:lvlJc w:val="left"/>
      <w:pPr>
        <w:ind w:left="998" w:hanging="100"/>
      </w:pPr>
      <w:rPr>
        <w:rFonts w:hint="default"/>
      </w:rPr>
    </w:lvl>
    <w:lvl w:ilvl="5" w:tplc="78AA9792">
      <w:numFmt w:val="bullet"/>
      <w:lvlText w:val="•"/>
      <w:lvlJc w:val="left"/>
      <w:pPr>
        <w:ind w:left="1208" w:hanging="100"/>
      </w:pPr>
      <w:rPr>
        <w:rFonts w:hint="default"/>
      </w:rPr>
    </w:lvl>
    <w:lvl w:ilvl="6" w:tplc="66A08434">
      <w:numFmt w:val="bullet"/>
      <w:lvlText w:val="•"/>
      <w:lvlJc w:val="left"/>
      <w:pPr>
        <w:ind w:left="1418" w:hanging="100"/>
      </w:pPr>
      <w:rPr>
        <w:rFonts w:hint="default"/>
      </w:rPr>
    </w:lvl>
    <w:lvl w:ilvl="7" w:tplc="5A8629F4">
      <w:numFmt w:val="bullet"/>
      <w:lvlText w:val="•"/>
      <w:lvlJc w:val="left"/>
      <w:pPr>
        <w:ind w:left="1627" w:hanging="100"/>
      </w:pPr>
      <w:rPr>
        <w:rFonts w:hint="default"/>
      </w:rPr>
    </w:lvl>
    <w:lvl w:ilvl="8" w:tplc="BA0CFAF4">
      <w:numFmt w:val="bullet"/>
      <w:lvlText w:val="•"/>
      <w:lvlJc w:val="left"/>
      <w:pPr>
        <w:ind w:left="1837" w:hanging="100"/>
      </w:pPr>
      <w:rPr>
        <w:rFonts w:hint="default"/>
      </w:rPr>
    </w:lvl>
  </w:abstractNum>
  <w:abstractNum w:abstractNumId="1274" w15:restartNumberingAfterBreak="0">
    <w:nsid w:val="4F663613"/>
    <w:multiLevelType w:val="hybridMultilevel"/>
    <w:tmpl w:val="4C8C23DC"/>
    <w:lvl w:ilvl="0" w:tplc="FA86A3AA">
      <w:numFmt w:val="bullet"/>
      <w:lvlText w:val=""/>
      <w:lvlJc w:val="left"/>
      <w:pPr>
        <w:ind w:left="156" w:hanging="100"/>
      </w:pPr>
      <w:rPr>
        <w:rFonts w:ascii="Symbol" w:eastAsia="Symbol" w:hAnsi="Symbol" w:cs="Symbol" w:hint="default"/>
        <w:color w:val="231F20"/>
        <w:w w:val="100"/>
        <w:sz w:val="14"/>
        <w:szCs w:val="14"/>
      </w:rPr>
    </w:lvl>
    <w:lvl w:ilvl="1" w:tplc="17EAE174">
      <w:numFmt w:val="bullet"/>
      <w:lvlText w:val="•"/>
      <w:lvlJc w:val="left"/>
      <w:pPr>
        <w:ind w:left="454" w:hanging="100"/>
      </w:pPr>
      <w:rPr>
        <w:rFonts w:hint="default"/>
      </w:rPr>
    </w:lvl>
    <w:lvl w:ilvl="2" w:tplc="AE7A1CCA">
      <w:numFmt w:val="bullet"/>
      <w:lvlText w:val="•"/>
      <w:lvlJc w:val="left"/>
      <w:pPr>
        <w:ind w:left="749" w:hanging="100"/>
      </w:pPr>
      <w:rPr>
        <w:rFonts w:hint="default"/>
      </w:rPr>
    </w:lvl>
    <w:lvl w:ilvl="3" w:tplc="B694F13C">
      <w:numFmt w:val="bullet"/>
      <w:lvlText w:val="•"/>
      <w:lvlJc w:val="left"/>
      <w:pPr>
        <w:ind w:left="1044" w:hanging="100"/>
      </w:pPr>
      <w:rPr>
        <w:rFonts w:hint="default"/>
      </w:rPr>
    </w:lvl>
    <w:lvl w:ilvl="4" w:tplc="4F8E712A">
      <w:numFmt w:val="bullet"/>
      <w:lvlText w:val="•"/>
      <w:lvlJc w:val="left"/>
      <w:pPr>
        <w:ind w:left="1339" w:hanging="100"/>
      </w:pPr>
      <w:rPr>
        <w:rFonts w:hint="default"/>
      </w:rPr>
    </w:lvl>
    <w:lvl w:ilvl="5" w:tplc="BD6C5482">
      <w:numFmt w:val="bullet"/>
      <w:lvlText w:val="•"/>
      <w:lvlJc w:val="left"/>
      <w:pPr>
        <w:ind w:left="1634" w:hanging="100"/>
      </w:pPr>
      <w:rPr>
        <w:rFonts w:hint="default"/>
      </w:rPr>
    </w:lvl>
    <w:lvl w:ilvl="6" w:tplc="9640AE82">
      <w:numFmt w:val="bullet"/>
      <w:lvlText w:val="•"/>
      <w:lvlJc w:val="left"/>
      <w:pPr>
        <w:ind w:left="1928" w:hanging="100"/>
      </w:pPr>
      <w:rPr>
        <w:rFonts w:hint="default"/>
      </w:rPr>
    </w:lvl>
    <w:lvl w:ilvl="7" w:tplc="38989E5C">
      <w:numFmt w:val="bullet"/>
      <w:lvlText w:val="•"/>
      <w:lvlJc w:val="left"/>
      <w:pPr>
        <w:ind w:left="2223" w:hanging="100"/>
      </w:pPr>
      <w:rPr>
        <w:rFonts w:hint="default"/>
      </w:rPr>
    </w:lvl>
    <w:lvl w:ilvl="8" w:tplc="C898095A">
      <w:numFmt w:val="bullet"/>
      <w:lvlText w:val="•"/>
      <w:lvlJc w:val="left"/>
      <w:pPr>
        <w:ind w:left="2518" w:hanging="100"/>
      </w:pPr>
      <w:rPr>
        <w:rFonts w:hint="default"/>
      </w:rPr>
    </w:lvl>
  </w:abstractNum>
  <w:abstractNum w:abstractNumId="1275" w15:restartNumberingAfterBreak="0">
    <w:nsid w:val="4F687C3D"/>
    <w:multiLevelType w:val="hybridMultilevel"/>
    <w:tmpl w:val="F0F447DE"/>
    <w:lvl w:ilvl="0" w:tplc="9894E9B0">
      <w:numFmt w:val="bullet"/>
      <w:lvlText w:val=""/>
      <w:lvlJc w:val="left"/>
      <w:pPr>
        <w:ind w:left="156" w:hanging="100"/>
      </w:pPr>
      <w:rPr>
        <w:rFonts w:ascii="Symbol" w:eastAsia="Symbol" w:hAnsi="Symbol" w:cs="Symbol" w:hint="default"/>
        <w:color w:val="231F20"/>
        <w:w w:val="100"/>
        <w:sz w:val="14"/>
        <w:szCs w:val="14"/>
      </w:rPr>
    </w:lvl>
    <w:lvl w:ilvl="1" w:tplc="A35C7030">
      <w:numFmt w:val="bullet"/>
      <w:lvlText w:val="•"/>
      <w:lvlJc w:val="left"/>
      <w:pPr>
        <w:ind w:left="398" w:hanging="100"/>
      </w:pPr>
      <w:rPr>
        <w:rFonts w:hint="default"/>
      </w:rPr>
    </w:lvl>
    <w:lvl w:ilvl="2" w:tplc="7F22E186">
      <w:numFmt w:val="bullet"/>
      <w:lvlText w:val="•"/>
      <w:lvlJc w:val="left"/>
      <w:pPr>
        <w:ind w:left="636" w:hanging="100"/>
      </w:pPr>
      <w:rPr>
        <w:rFonts w:hint="default"/>
      </w:rPr>
    </w:lvl>
    <w:lvl w:ilvl="3" w:tplc="8F7AA3DC">
      <w:numFmt w:val="bullet"/>
      <w:lvlText w:val="•"/>
      <w:lvlJc w:val="left"/>
      <w:pPr>
        <w:ind w:left="874" w:hanging="100"/>
      </w:pPr>
      <w:rPr>
        <w:rFonts w:hint="default"/>
      </w:rPr>
    </w:lvl>
    <w:lvl w:ilvl="4" w:tplc="A1B656F4">
      <w:numFmt w:val="bullet"/>
      <w:lvlText w:val="•"/>
      <w:lvlJc w:val="left"/>
      <w:pPr>
        <w:ind w:left="1112" w:hanging="100"/>
      </w:pPr>
      <w:rPr>
        <w:rFonts w:hint="default"/>
      </w:rPr>
    </w:lvl>
    <w:lvl w:ilvl="5" w:tplc="32961B04">
      <w:numFmt w:val="bullet"/>
      <w:lvlText w:val="•"/>
      <w:lvlJc w:val="left"/>
      <w:pPr>
        <w:ind w:left="1350" w:hanging="100"/>
      </w:pPr>
      <w:rPr>
        <w:rFonts w:hint="default"/>
      </w:rPr>
    </w:lvl>
    <w:lvl w:ilvl="6" w:tplc="BD18BA70">
      <w:numFmt w:val="bullet"/>
      <w:lvlText w:val="•"/>
      <w:lvlJc w:val="left"/>
      <w:pPr>
        <w:ind w:left="1588" w:hanging="100"/>
      </w:pPr>
      <w:rPr>
        <w:rFonts w:hint="default"/>
      </w:rPr>
    </w:lvl>
    <w:lvl w:ilvl="7" w:tplc="F6522BE4">
      <w:numFmt w:val="bullet"/>
      <w:lvlText w:val="•"/>
      <w:lvlJc w:val="left"/>
      <w:pPr>
        <w:ind w:left="1826" w:hanging="100"/>
      </w:pPr>
      <w:rPr>
        <w:rFonts w:hint="default"/>
      </w:rPr>
    </w:lvl>
    <w:lvl w:ilvl="8" w:tplc="357A119C">
      <w:numFmt w:val="bullet"/>
      <w:lvlText w:val="•"/>
      <w:lvlJc w:val="left"/>
      <w:pPr>
        <w:ind w:left="2064" w:hanging="100"/>
      </w:pPr>
      <w:rPr>
        <w:rFonts w:hint="default"/>
      </w:rPr>
    </w:lvl>
  </w:abstractNum>
  <w:abstractNum w:abstractNumId="1276" w15:restartNumberingAfterBreak="0">
    <w:nsid w:val="4F6D56D5"/>
    <w:multiLevelType w:val="hybridMultilevel"/>
    <w:tmpl w:val="E85EEA5E"/>
    <w:lvl w:ilvl="0" w:tplc="DEAE7CB2">
      <w:numFmt w:val="bullet"/>
      <w:lvlText w:val=""/>
      <w:lvlJc w:val="left"/>
      <w:pPr>
        <w:ind w:left="156" w:hanging="100"/>
      </w:pPr>
      <w:rPr>
        <w:rFonts w:ascii="Symbol" w:eastAsia="Symbol" w:hAnsi="Symbol" w:cs="Symbol" w:hint="default"/>
        <w:color w:val="231F20"/>
        <w:w w:val="100"/>
        <w:sz w:val="14"/>
        <w:szCs w:val="14"/>
      </w:rPr>
    </w:lvl>
    <w:lvl w:ilvl="1" w:tplc="3832627E">
      <w:numFmt w:val="bullet"/>
      <w:lvlText w:val="•"/>
      <w:lvlJc w:val="left"/>
      <w:pPr>
        <w:ind w:left="273" w:hanging="100"/>
      </w:pPr>
      <w:rPr>
        <w:rFonts w:hint="default"/>
      </w:rPr>
    </w:lvl>
    <w:lvl w:ilvl="2" w:tplc="01E63AC8">
      <w:numFmt w:val="bullet"/>
      <w:lvlText w:val="•"/>
      <w:lvlJc w:val="left"/>
      <w:pPr>
        <w:ind w:left="386" w:hanging="100"/>
      </w:pPr>
      <w:rPr>
        <w:rFonts w:hint="default"/>
      </w:rPr>
    </w:lvl>
    <w:lvl w:ilvl="3" w:tplc="86947486">
      <w:numFmt w:val="bullet"/>
      <w:lvlText w:val="•"/>
      <w:lvlJc w:val="left"/>
      <w:pPr>
        <w:ind w:left="500" w:hanging="100"/>
      </w:pPr>
      <w:rPr>
        <w:rFonts w:hint="default"/>
      </w:rPr>
    </w:lvl>
    <w:lvl w:ilvl="4" w:tplc="A5E24D74">
      <w:numFmt w:val="bullet"/>
      <w:lvlText w:val="•"/>
      <w:lvlJc w:val="left"/>
      <w:pPr>
        <w:ind w:left="613" w:hanging="100"/>
      </w:pPr>
      <w:rPr>
        <w:rFonts w:hint="default"/>
      </w:rPr>
    </w:lvl>
    <w:lvl w:ilvl="5" w:tplc="B146449E">
      <w:numFmt w:val="bullet"/>
      <w:lvlText w:val="•"/>
      <w:lvlJc w:val="left"/>
      <w:pPr>
        <w:ind w:left="727" w:hanging="100"/>
      </w:pPr>
      <w:rPr>
        <w:rFonts w:hint="default"/>
      </w:rPr>
    </w:lvl>
    <w:lvl w:ilvl="6" w:tplc="EDD47D56">
      <w:numFmt w:val="bullet"/>
      <w:lvlText w:val="•"/>
      <w:lvlJc w:val="left"/>
      <w:pPr>
        <w:ind w:left="840" w:hanging="100"/>
      </w:pPr>
      <w:rPr>
        <w:rFonts w:hint="default"/>
      </w:rPr>
    </w:lvl>
    <w:lvl w:ilvl="7" w:tplc="EBA4786C">
      <w:numFmt w:val="bullet"/>
      <w:lvlText w:val="•"/>
      <w:lvlJc w:val="left"/>
      <w:pPr>
        <w:ind w:left="953" w:hanging="100"/>
      </w:pPr>
      <w:rPr>
        <w:rFonts w:hint="default"/>
      </w:rPr>
    </w:lvl>
    <w:lvl w:ilvl="8" w:tplc="3EDCDCB2">
      <w:numFmt w:val="bullet"/>
      <w:lvlText w:val="•"/>
      <w:lvlJc w:val="left"/>
      <w:pPr>
        <w:ind w:left="1067" w:hanging="100"/>
      </w:pPr>
      <w:rPr>
        <w:rFonts w:hint="default"/>
      </w:rPr>
    </w:lvl>
  </w:abstractNum>
  <w:abstractNum w:abstractNumId="1277" w15:restartNumberingAfterBreak="0">
    <w:nsid w:val="4F802B3B"/>
    <w:multiLevelType w:val="hybridMultilevel"/>
    <w:tmpl w:val="67941F72"/>
    <w:lvl w:ilvl="0" w:tplc="D06EBBFC">
      <w:numFmt w:val="bullet"/>
      <w:lvlText w:val=""/>
      <w:lvlJc w:val="left"/>
      <w:pPr>
        <w:ind w:left="156" w:hanging="100"/>
      </w:pPr>
      <w:rPr>
        <w:rFonts w:ascii="Symbol" w:eastAsia="Symbol" w:hAnsi="Symbol" w:cs="Symbol" w:hint="default"/>
        <w:color w:val="231F20"/>
        <w:w w:val="100"/>
        <w:sz w:val="14"/>
        <w:szCs w:val="14"/>
      </w:rPr>
    </w:lvl>
    <w:lvl w:ilvl="1" w:tplc="40B01920">
      <w:numFmt w:val="bullet"/>
      <w:lvlText w:val="•"/>
      <w:lvlJc w:val="left"/>
      <w:pPr>
        <w:ind w:left="398" w:hanging="100"/>
      </w:pPr>
      <w:rPr>
        <w:rFonts w:hint="default"/>
      </w:rPr>
    </w:lvl>
    <w:lvl w:ilvl="2" w:tplc="1F5C4FB4">
      <w:numFmt w:val="bullet"/>
      <w:lvlText w:val="•"/>
      <w:lvlJc w:val="left"/>
      <w:pPr>
        <w:ind w:left="636" w:hanging="100"/>
      </w:pPr>
      <w:rPr>
        <w:rFonts w:hint="default"/>
      </w:rPr>
    </w:lvl>
    <w:lvl w:ilvl="3" w:tplc="363AB334">
      <w:numFmt w:val="bullet"/>
      <w:lvlText w:val="•"/>
      <w:lvlJc w:val="left"/>
      <w:pPr>
        <w:ind w:left="874" w:hanging="100"/>
      </w:pPr>
      <w:rPr>
        <w:rFonts w:hint="default"/>
      </w:rPr>
    </w:lvl>
    <w:lvl w:ilvl="4" w:tplc="5D1C584C">
      <w:numFmt w:val="bullet"/>
      <w:lvlText w:val="•"/>
      <w:lvlJc w:val="left"/>
      <w:pPr>
        <w:ind w:left="1112" w:hanging="100"/>
      </w:pPr>
      <w:rPr>
        <w:rFonts w:hint="default"/>
      </w:rPr>
    </w:lvl>
    <w:lvl w:ilvl="5" w:tplc="B94AF51E">
      <w:numFmt w:val="bullet"/>
      <w:lvlText w:val="•"/>
      <w:lvlJc w:val="left"/>
      <w:pPr>
        <w:ind w:left="1350" w:hanging="100"/>
      </w:pPr>
      <w:rPr>
        <w:rFonts w:hint="default"/>
      </w:rPr>
    </w:lvl>
    <w:lvl w:ilvl="6" w:tplc="1FE892B8">
      <w:numFmt w:val="bullet"/>
      <w:lvlText w:val="•"/>
      <w:lvlJc w:val="left"/>
      <w:pPr>
        <w:ind w:left="1588" w:hanging="100"/>
      </w:pPr>
      <w:rPr>
        <w:rFonts w:hint="default"/>
      </w:rPr>
    </w:lvl>
    <w:lvl w:ilvl="7" w:tplc="2768039E">
      <w:numFmt w:val="bullet"/>
      <w:lvlText w:val="•"/>
      <w:lvlJc w:val="left"/>
      <w:pPr>
        <w:ind w:left="1826" w:hanging="100"/>
      </w:pPr>
      <w:rPr>
        <w:rFonts w:hint="default"/>
      </w:rPr>
    </w:lvl>
    <w:lvl w:ilvl="8" w:tplc="316E929C">
      <w:numFmt w:val="bullet"/>
      <w:lvlText w:val="•"/>
      <w:lvlJc w:val="left"/>
      <w:pPr>
        <w:ind w:left="2064" w:hanging="100"/>
      </w:pPr>
      <w:rPr>
        <w:rFonts w:hint="default"/>
      </w:rPr>
    </w:lvl>
  </w:abstractNum>
  <w:abstractNum w:abstractNumId="1278" w15:restartNumberingAfterBreak="0">
    <w:nsid w:val="4F955D6D"/>
    <w:multiLevelType w:val="hybridMultilevel"/>
    <w:tmpl w:val="E258C878"/>
    <w:lvl w:ilvl="0" w:tplc="3E5469B0">
      <w:numFmt w:val="bullet"/>
      <w:lvlText w:val=""/>
      <w:lvlJc w:val="left"/>
      <w:pPr>
        <w:ind w:left="156" w:hanging="100"/>
      </w:pPr>
      <w:rPr>
        <w:rFonts w:ascii="Symbol" w:eastAsia="Symbol" w:hAnsi="Symbol" w:cs="Symbol" w:hint="default"/>
        <w:color w:val="231F20"/>
        <w:w w:val="100"/>
        <w:sz w:val="14"/>
        <w:szCs w:val="14"/>
      </w:rPr>
    </w:lvl>
    <w:lvl w:ilvl="1" w:tplc="F844DE68">
      <w:numFmt w:val="bullet"/>
      <w:lvlText w:val="•"/>
      <w:lvlJc w:val="left"/>
      <w:pPr>
        <w:ind w:left="273" w:hanging="100"/>
      </w:pPr>
      <w:rPr>
        <w:rFonts w:hint="default"/>
      </w:rPr>
    </w:lvl>
    <w:lvl w:ilvl="2" w:tplc="FECC5FD2">
      <w:numFmt w:val="bullet"/>
      <w:lvlText w:val="•"/>
      <w:lvlJc w:val="left"/>
      <w:pPr>
        <w:ind w:left="386" w:hanging="100"/>
      </w:pPr>
      <w:rPr>
        <w:rFonts w:hint="default"/>
      </w:rPr>
    </w:lvl>
    <w:lvl w:ilvl="3" w:tplc="57BAFDA8">
      <w:numFmt w:val="bullet"/>
      <w:lvlText w:val="•"/>
      <w:lvlJc w:val="left"/>
      <w:pPr>
        <w:ind w:left="500" w:hanging="100"/>
      </w:pPr>
      <w:rPr>
        <w:rFonts w:hint="default"/>
      </w:rPr>
    </w:lvl>
    <w:lvl w:ilvl="4" w:tplc="DF928A64">
      <w:numFmt w:val="bullet"/>
      <w:lvlText w:val="•"/>
      <w:lvlJc w:val="left"/>
      <w:pPr>
        <w:ind w:left="613" w:hanging="100"/>
      </w:pPr>
      <w:rPr>
        <w:rFonts w:hint="default"/>
      </w:rPr>
    </w:lvl>
    <w:lvl w:ilvl="5" w:tplc="BC545F96">
      <w:numFmt w:val="bullet"/>
      <w:lvlText w:val="•"/>
      <w:lvlJc w:val="left"/>
      <w:pPr>
        <w:ind w:left="727" w:hanging="100"/>
      </w:pPr>
      <w:rPr>
        <w:rFonts w:hint="default"/>
      </w:rPr>
    </w:lvl>
    <w:lvl w:ilvl="6" w:tplc="93D618D0">
      <w:numFmt w:val="bullet"/>
      <w:lvlText w:val="•"/>
      <w:lvlJc w:val="left"/>
      <w:pPr>
        <w:ind w:left="840" w:hanging="100"/>
      </w:pPr>
      <w:rPr>
        <w:rFonts w:hint="default"/>
      </w:rPr>
    </w:lvl>
    <w:lvl w:ilvl="7" w:tplc="4ECE9C2E">
      <w:numFmt w:val="bullet"/>
      <w:lvlText w:val="•"/>
      <w:lvlJc w:val="left"/>
      <w:pPr>
        <w:ind w:left="953" w:hanging="100"/>
      </w:pPr>
      <w:rPr>
        <w:rFonts w:hint="default"/>
      </w:rPr>
    </w:lvl>
    <w:lvl w:ilvl="8" w:tplc="16365F26">
      <w:numFmt w:val="bullet"/>
      <w:lvlText w:val="•"/>
      <w:lvlJc w:val="left"/>
      <w:pPr>
        <w:ind w:left="1067" w:hanging="100"/>
      </w:pPr>
      <w:rPr>
        <w:rFonts w:hint="default"/>
      </w:rPr>
    </w:lvl>
  </w:abstractNum>
  <w:abstractNum w:abstractNumId="1279" w15:restartNumberingAfterBreak="0">
    <w:nsid w:val="4FA52C60"/>
    <w:multiLevelType w:val="hybridMultilevel"/>
    <w:tmpl w:val="5366F62C"/>
    <w:lvl w:ilvl="0" w:tplc="79F42C4A">
      <w:numFmt w:val="bullet"/>
      <w:lvlText w:val=""/>
      <w:lvlJc w:val="left"/>
      <w:pPr>
        <w:ind w:left="156" w:hanging="100"/>
      </w:pPr>
      <w:rPr>
        <w:rFonts w:ascii="Symbol" w:eastAsia="Symbol" w:hAnsi="Symbol" w:cs="Symbol" w:hint="default"/>
        <w:color w:val="231F20"/>
        <w:w w:val="100"/>
        <w:sz w:val="14"/>
        <w:szCs w:val="14"/>
      </w:rPr>
    </w:lvl>
    <w:lvl w:ilvl="1" w:tplc="92AEB478">
      <w:numFmt w:val="bullet"/>
      <w:lvlText w:val="•"/>
      <w:lvlJc w:val="left"/>
      <w:pPr>
        <w:ind w:left="398" w:hanging="100"/>
      </w:pPr>
      <w:rPr>
        <w:rFonts w:hint="default"/>
      </w:rPr>
    </w:lvl>
    <w:lvl w:ilvl="2" w:tplc="CE566AEC">
      <w:numFmt w:val="bullet"/>
      <w:lvlText w:val="•"/>
      <w:lvlJc w:val="left"/>
      <w:pPr>
        <w:ind w:left="636" w:hanging="100"/>
      </w:pPr>
      <w:rPr>
        <w:rFonts w:hint="default"/>
      </w:rPr>
    </w:lvl>
    <w:lvl w:ilvl="3" w:tplc="4EBE54D0">
      <w:numFmt w:val="bullet"/>
      <w:lvlText w:val="•"/>
      <w:lvlJc w:val="left"/>
      <w:pPr>
        <w:ind w:left="874" w:hanging="100"/>
      </w:pPr>
      <w:rPr>
        <w:rFonts w:hint="default"/>
      </w:rPr>
    </w:lvl>
    <w:lvl w:ilvl="4" w:tplc="22AEBD3E">
      <w:numFmt w:val="bullet"/>
      <w:lvlText w:val="•"/>
      <w:lvlJc w:val="left"/>
      <w:pPr>
        <w:ind w:left="1112" w:hanging="100"/>
      </w:pPr>
      <w:rPr>
        <w:rFonts w:hint="default"/>
      </w:rPr>
    </w:lvl>
    <w:lvl w:ilvl="5" w:tplc="6D385ADC">
      <w:numFmt w:val="bullet"/>
      <w:lvlText w:val="•"/>
      <w:lvlJc w:val="left"/>
      <w:pPr>
        <w:ind w:left="1350" w:hanging="100"/>
      </w:pPr>
      <w:rPr>
        <w:rFonts w:hint="default"/>
      </w:rPr>
    </w:lvl>
    <w:lvl w:ilvl="6" w:tplc="2FC88882">
      <w:numFmt w:val="bullet"/>
      <w:lvlText w:val="•"/>
      <w:lvlJc w:val="left"/>
      <w:pPr>
        <w:ind w:left="1588" w:hanging="100"/>
      </w:pPr>
      <w:rPr>
        <w:rFonts w:hint="default"/>
      </w:rPr>
    </w:lvl>
    <w:lvl w:ilvl="7" w:tplc="4FCCDCF0">
      <w:numFmt w:val="bullet"/>
      <w:lvlText w:val="•"/>
      <w:lvlJc w:val="left"/>
      <w:pPr>
        <w:ind w:left="1826" w:hanging="100"/>
      </w:pPr>
      <w:rPr>
        <w:rFonts w:hint="default"/>
      </w:rPr>
    </w:lvl>
    <w:lvl w:ilvl="8" w:tplc="5E567F56">
      <w:numFmt w:val="bullet"/>
      <w:lvlText w:val="•"/>
      <w:lvlJc w:val="left"/>
      <w:pPr>
        <w:ind w:left="2064" w:hanging="100"/>
      </w:pPr>
      <w:rPr>
        <w:rFonts w:hint="default"/>
      </w:rPr>
    </w:lvl>
  </w:abstractNum>
  <w:abstractNum w:abstractNumId="1280" w15:restartNumberingAfterBreak="0">
    <w:nsid w:val="4FC043E9"/>
    <w:multiLevelType w:val="hybridMultilevel"/>
    <w:tmpl w:val="2D488AEE"/>
    <w:lvl w:ilvl="0" w:tplc="38B83560">
      <w:numFmt w:val="bullet"/>
      <w:lvlText w:val=""/>
      <w:lvlJc w:val="left"/>
      <w:pPr>
        <w:ind w:left="156" w:hanging="100"/>
      </w:pPr>
      <w:rPr>
        <w:rFonts w:ascii="Symbol" w:eastAsia="Symbol" w:hAnsi="Symbol" w:cs="Symbol" w:hint="default"/>
        <w:color w:val="231F20"/>
        <w:w w:val="100"/>
        <w:sz w:val="14"/>
        <w:szCs w:val="14"/>
      </w:rPr>
    </w:lvl>
    <w:lvl w:ilvl="1" w:tplc="2138E6A4">
      <w:numFmt w:val="bullet"/>
      <w:lvlText w:val="•"/>
      <w:lvlJc w:val="left"/>
      <w:pPr>
        <w:ind w:left="426" w:hanging="100"/>
      </w:pPr>
      <w:rPr>
        <w:rFonts w:hint="default"/>
      </w:rPr>
    </w:lvl>
    <w:lvl w:ilvl="2" w:tplc="D2CC92FE">
      <w:numFmt w:val="bullet"/>
      <w:lvlText w:val="•"/>
      <w:lvlJc w:val="left"/>
      <w:pPr>
        <w:ind w:left="692" w:hanging="100"/>
      </w:pPr>
      <w:rPr>
        <w:rFonts w:hint="default"/>
      </w:rPr>
    </w:lvl>
    <w:lvl w:ilvl="3" w:tplc="80C0D944">
      <w:numFmt w:val="bullet"/>
      <w:lvlText w:val="•"/>
      <w:lvlJc w:val="left"/>
      <w:pPr>
        <w:ind w:left="959" w:hanging="100"/>
      </w:pPr>
      <w:rPr>
        <w:rFonts w:hint="default"/>
      </w:rPr>
    </w:lvl>
    <w:lvl w:ilvl="4" w:tplc="C3D8E482">
      <w:numFmt w:val="bullet"/>
      <w:lvlText w:val="•"/>
      <w:lvlJc w:val="left"/>
      <w:pPr>
        <w:ind w:left="1225" w:hanging="100"/>
      </w:pPr>
      <w:rPr>
        <w:rFonts w:hint="default"/>
      </w:rPr>
    </w:lvl>
    <w:lvl w:ilvl="5" w:tplc="F93AB06A">
      <w:numFmt w:val="bullet"/>
      <w:lvlText w:val="•"/>
      <w:lvlJc w:val="left"/>
      <w:pPr>
        <w:ind w:left="1492" w:hanging="100"/>
      </w:pPr>
      <w:rPr>
        <w:rFonts w:hint="default"/>
      </w:rPr>
    </w:lvl>
    <w:lvl w:ilvl="6" w:tplc="3E861CF2">
      <w:numFmt w:val="bullet"/>
      <w:lvlText w:val="•"/>
      <w:lvlJc w:val="left"/>
      <w:pPr>
        <w:ind w:left="1758" w:hanging="100"/>
      </w:pPr>
      <w:rPr>
        <w:rFonts w:hint="default"/>
      </w:rPr>
    </w:lvl>
    <w:lvl w:ilvl="7" w:tplc="BD784C60">
      <w:numFmt w:val="bullet"/>
      <w:lvlText w:val="•"/>
      <w:lvlJc w:val="left"/>
      <w:pPr>
        <w:ind w:left="2024" w:hanging="100"/>
      </w:pPr>
      <w:rPr>
        <w:rFonts w:hint="default"/>
      </w:rPr>
    </w:lvl>
    <w:lvl w:ilvl="8" w:tplc="778821BC">
      <w:numFmt w:val="bullet"/>
      <w:lvlText w:val="•"/>
      <w:lvlJc w:val="left"/>
      <w:pPr>
        <w:ind w:left="2291" w:hanging="100"/>
      </w:pPr>
      <w:rPr>
        <w:rFonts w:hint="default"/>
      </w:rPr>
    </w:lvl>
  </w:abstractNum>
  <w:abstractNum w:abstractNumId="1281" w15:restartNumberingAfterBreak="0">
    <w:nsid w:val="4FC73942"/>
    <w:multiLevelType w:val="hybridMultilevel"/>
    <w:tmpl w:val="B9D47340"/>
    <w:lvl w:ilvl="0" w:tplc="F3104326">
      <w:numFmt w:val="bullet"/>
      <w:lvlText w:val=""/>
      <w:lvlJc w:val="left"/>
      <w:pPr>
        <w:ind w:left="156" w:hanging="100"/>
      </w:pPr>
      <w:rPr>
        <w:rFonts w:ascii="Symbol" w:eastAsia="Symbol" w:hAnsi="Symbol" w:cs="Symbol" w:hint="default"/>
        <w:color w:val="231F20"/>
        <w:w w:val="100"/>
        <w:sz w:val="14"/>
        <w:szCs w:val="14"/>
      </w:rPr>
    </w:lvl>
    <w:lvl w:ilvl="1" w:tplc="91E455BC">
      <w:numFmt w:val="bullet"/>
      <w:lvlText w:val="•"/>
      <w:lvlJc w:val="left"/>
      <w:pPr>
        <w:ind w:left="426" w:hanging="100"/>
      </w:pPr>
      <w:rPr>
        <w:rFonts w:hint="default"/>
      </w:rPr>
    </w:lvl>
    <w:lvl w:ilvl="2" w:tplc="8E365190">
      <w:numFmt w:val="bullet"/>
      <w:lvlText w:val="•"/>
      <w:lvlJc w:val="left"/>
      <w:pPr>
        <w:ind w:left="692" w:hanging="100"/>
      </w:pPr>
      <w:rPr>
        <w:rFonts w:hint="default"/>
      </w:rPr>
    </w:lvl>
    <w:lvl w:ilvl="3" w:tplc="9820787C">
      <w:numFmt w:val="bullet"/>
      <w:lvlText w:val="•"/>
      <w:lvlJc w:val="left"/>
      <w:pPr>
        <w:ind w:left="959" w:hanging="100"/>
      </w:pPr>
      <w:rPr>
        <w:rFonts w:hint="default"/>
      </w:rPr>
    </w:lvl>
    <w:lvl w:ilvl="4" w:tplc="B7EA2E52">
      <w:numFmt w:val="bullet"/>
      <w:lvlText w:val="•"/>
      <w:lvlJc w:val="left"/>
      <w:pPr>
        <w:ind w:left="1225" w:hanging="100"/>
      </w:pPr>
      <w:rPr>
        <w:rFonts w:hint="default"/>
      </w:rPr>
    </w:lvl>
    <w:lvl w:ilvl="5" w:tplc="795ADE32">
      <w:numFmt w:val="bullet"/>
      <w:lvlText w:val="•"/>
      <w:lvlJc w:val="left"/>
      <w:pPr>
        <w:ind w:left="1492" w:hanging="100"/>
      </w:pPr>
      <w:rPr>
        <w:rFonts w:hint="default"/>
      </w:rPr>
    </w:lvl>
    <w:lvl w:ilvl="6" w:tplc="A0CE8526">
      <w:numFmt w:val="bullet"/>
      <w:lvlText w:val="•"/>
      <w:lvlJc w:val="left"/>
      <w:pPr>
        <w:ind w:left="1758" w:hanging="100"/>
      </w:pPr>
      <w:rPr>
        <w:rFonts w:hint="default"/>
      </w:rPr>
    </w:lvl>
    <w:lvl w:ilvl="7" w:tplc="893AE6A0">
      <w:numFmt w:val="bullet"/>
      <w:lvlText w:val="•"/>
      <w:lvlJc w:val="left"/>
      <w:pPr>
        <w:ind w:left="2024" w:hanging="100"/>
      </w:pPr>
      <w:rPr>
        <w:rFonts w:hint="default"/>
      </w:rPr>
    </w:lvl>
    <w:lvl w:ilvl="8" w:tplc="41CA78DC">
      <w:numFmt w:val="bullet"/>
      <w:lvlText w:val="•"/>
      <w:lvlJc w:val="left"/>
      <w:pPr>
        <w:ind w:left="2291" w:hanging="100"/>
      </w:pPr>
      <w:rPr>
        <w:rFonts w:hint="default"/>
      </w:rPr>
    </w:lvl>
  </w:abstractNum>
  <w:abstractNum w:abstractNumId="1282" w15:restartNumberingAfterBreak="0">
    <w:nsid w:val="4FCC1C9B"/>
    <w:multiLevelType w:val="hybridMultilevel"/>
    <w:tmpl w:val="34D656B8"/>
    <w:lvl w:ilvl="0" w:tplc="37EA9854">
      <w:numFmt w:val="bullet"/>
      <w:lvlText w:val=""/>
      <w:lvlJc w:val="left"/>
      <w:pPr>
        <w:ind w:left="156" w:hanging="100"/>
      </w:pPr>
      <w:rPr>
        <w:rFonts w:ascii="Symbol" w:eastAsia="Symbol" w:hAnsi="Symbol" w:cs="Symbol" w:hint="default"/>
        <w:color w:val="231F20"/>
        <w:w w:val="100"/>
        <w:sz w:val="14"/>
        <w:szCs w:val="14"/>
      </w:rPr>
    </w:lvl>
    <w:lvl w:ilvl="1" w:tplc="5BA8CDD8">
      <w:numFmt w:val="bullet"/>
      <w:lvlText w:val="•"/>
      <w:lvlJc w:val="left"/>
      <w:pPr>
        <w:ind w:left="426" w:hanging="100"/>
      </w:pPr>
      <w:rPr>
        <w:rFonts w:hint="default"/>
      </w:rPr>
    </w:lvl>
    <w:lvl w:ilvl="2" w:tplc="59349576">
      <w:numFmt w:val="bullet"/>
      <w:lvlText w:val="•"/>
      <w:lvlJc w:val="left"/>
      <w:pPr>
        <w:ind w:left="692" w:hanging="100"/>
      </w:pPr>
      <w:rPr>
        <w:rFonts w:hint="default"/>
      </w:rPr>
    </w:lvl>
    <w:lvl w:ilvl="3" w:tplc="6B9219EA">
      <w:numFmt w:val="bullet"/>
      <w:lvlText w:val="•"/>
      <w:lvlJc w:val="left"/>
      <w:pPr>
        <w:ind w:left="959" w:hanging="100"/>
      </w:pPr>
      <w:rPr>
        <w:rFonts w:hint="default"/>
      </w:rPr>
    </w:lvl>
    <w:lvl w:ilvl="4" w:tplc="819E251C">
      <w:numFmt w:val="bullet"/>
      <w:lvlText w:val="•"/>
      <w:lvlJc w:val="left"/>
      <w:pPr>
        <w:ind w:left="1225" w:hanging="100"/>
      </w:pPr>
      <w:rPr>
        <w:rFonts w:hint="default"/>
      </w:rPr>
    </w:lvl>
    <w:lvl w:ilvl="5" w:tplc="1A2EAC44">
      <w:numFmt w:val="bullet"/>
      <w:lvlText w:val="•"/>
      <w:lvlJc w:val="left"/>
      <w:pPr>
        <w:ind w:left="1492" w:hanging="100"/>
      </w:pPr>
      <w:rPr>
        <w:rFonts w:hint="default"/>
      </w:rPr>
    </w:lvl>
    <w:lvl w:ilvl="6" w:tplc="3622001C">
      <w:numFmt w:val="bullet"/>
      <w:lvlText w:val="•"/>
      <w:lvlJc w:val="left"/>
      <w:pPr>
        <w:ind w:left="1758" w:hanging="100"/>
      </w:pPr>
      <w:rPr>
        <w:rFonts w:hint="default"/>
      </w:rPr>
    </w:lvl>
    <w:lvl w:ilvl="7" w:tplc="77F8D712">
      <w:numFmt w:val="bullet"/>
      <w:lvlText w:val="•"/>
      <w:lvlJc w:val="left"/>
      <w:pPr>
        <w:ind w:left="2024" w:hanging="100"/>
      </w:pPr>
      <w:rPr>
        <w:rFonts w:hint="default"/>
      </w:rPr>
    </w:lvl>
    <w:lvl w:ilvl="8" w:tplc="4FB08696">
      <w:numFmt w:val="bullet"/>
      <w:lvlText w:val="•"/>
      <w:lvlJc w:val="left"/>
      <w:pPr>
        <w:ind w:left="2291" w:hanging="100"/>
      </w:pPr>
      <w:rPr>
        <w:rFonts w:hint="default"/>
      </w:rPr>
    </w:lvl>
  </w:abstractNum>
  <w:abstractNum w:abstractNumId="1283" w15:restartNumberingAfterBreak="0">
    <w:nsid w:val="4FCF0B31"/>
    <w:multiLevelType w:val="hybridMultilevel"/>
    <w:tmpl w:val="EEEC7D68"/>
    <w:lvl w:ilvl="0" w:tplc="6D2C9308">
      <w:numFmt w:val="bullet"/>
      <w:lvlText w:val=""/>
      <w:lvlJc w:val="left"/>
      <w:pPr>
        <w:ind w:left="156" w:hanging="100"/>
      </w:pPr>
      <w:rPr>
        <w:rFonts w:ascii="Symbol" w:eastAsia="Symbol" w:hAnsi="Symbol" w:cs="Symbol" w:hint="default"/>
        <w:color w:val="231F20"/>
        <w:w w:val="100"/>
        <w:sz w:val="14"/>
        <w:szCs w:val="14"/>
      </w:rPr>
    </w:lvl>
    <w:lvl w:ilvl="1" w:tplc="0F88110C">
      <w:numFmt w:val="bullet"/>
      <w:lvlText w:val="•"/>
      <w:lvlJc w:val="left"/>
      <w:pPr>
        <w:ind w:left="398" w:hanging="100"/>
      </w:pPr>
      <w:rPr>
        <w:rFonts w:hint="default"/>
      </w:rPr>
    </w:lvl>
    <w:lvl w:ilvl="2" w:tplc="3ACC2CA8">
      <w:numFmt w:val="bullet"/>
      <w:lvlText w:val="•"/>
      <w:lvlJc w:val="left"/>
      <w:pPr>
        <w:ind w:left="636" w:hanging="100"/>
      </w:pPr>
      <w:rPr>
        <w:rFonts w:hint="default"/>
      </w:rPr>
    </w:lvl>
    <w:lvl w:ilvl="3" w:tplc="9F7E1CF6">
      <w:numFmt w:val="bullet"/>
      <w:lvlText w:val="•"/>
      <w:lvlJc w:val="left"/>
      <w:pPr>
        <w:ind w:left="874" w:hanging="100"/>
      </w:pPr>
      <w:rPr>
        <w:rFonts w:hint="default"/>
      </w:rPr>
    </w:lvl>
    <w:lvl w:ilvl="4" w:tplc="6F8CE0EC">
      <w:numFmt w:val="bullet"/>
      <w:lvlText w:val="•"/>
      <w:lvlJc w:val="left"/>
      <w:pPr>
        <w:ind w:left="1112" w:hanging="100"/>
      </w:pPr>
      <w:rPr>
        <w:rFonts w:hint="default"/>
      </w:rPr>
    </w:lvl>
    <w:lvl w:ilvl="5" w:tplc="79D08520">
      <w:numFmt w:val="bullet"/>
      <w:lvlText w:val="•"/>
      <w:lvlJc w:val="left"/>
      <w:pPr>
        <w:ind w:left="1350" w:hanging="100"/>
      </w:pPr>
      <w:rPr>
        <w:rFonts w:hint="default"/>
      </w:rPr>
    </w:lvl>
    <w:lvl w:ilvl="6" w:tplc="B0A41A0A">
      <w:numFmt w:val="bullet"/>
      <w:lvlText w:val="•"/>
      <w:lvlJc w:val="left"/>
      <w:pPr>
        <w:ind w:left="1588" w:hanging="100"/>
      </w:pPr>
      <w:rPr>
        <w:rFonts w:hint="default"/>
      </w:rPr>
    </w:lvl>
    <w:lvl w:ilvl="7" w:tplc="31BEC5E0">
      <w:numFmt w:val="bullet"/>
      <w:lvlText w:val="•"/>
      <w:lvlJc w:val="left"/>
      <w:pPr>
        <w:ind w:left="1826" w:hanging="100"/>
      </w:pPr>
      <w:rPr>
        <w:rFonts w:hint="default"/>
      </w:rPr>
    </w:lvl>
    <w:lvl w:ilvl="8" w:tplc="D196FCEA">
      <w:numFmt w:val="bullet"/>
      <w:lvlText w:val="•"/>
      <w:lvlJc w:val="left"/>
      <w:pPr>
        <w:ind w:left="2064" w:hanging="100"/>
      </w:pPr>
      <w:rPr>
        <w:rFonts w:hint="default"/>
      </w:rPr>
    </w:lvl>
  </w:abstractNum>
  <w:abstractNum w:abstractNumId="1284" w15:restartNumberingAfterBreak="0">
    <w:nsid w:val="4FD43A73"/>
    <w:multiLevelType w:val="hybridMultilevel"/>
    <w:tmpl w:val="107CD1F8"/>
    <w:lvl w:ilvl="0" w:tplc="C41E52C0">
      <w:numFmt w:val="bullet"/>
      <w:lvlText w:val=""/>
      <w:lvlJc w:val="left"/>
      <w:pPr>
        <w:ind w:left="156" w:hanging="100"/>
      </w:pPr>
      <w:rPr>
        <w:rFonts w:ascii="Symbol" w:eastAsia="Symbol" w:hAnsi="Symbol" w:cs="Symbol" w:hint="default"/>
        <w:color w:val="231F20"/>
        <w:w w:val="100"/>
        <w:sz w:val="14"/>
        <w:szCs w:val="14"/>
      </w:rPr>
    </w:lvl>
    <w:lvl w:ilvl="1" w:tplc="ECD65D14">
      <w:numFmt w:val="bullet"/>
      <w:lvlText w:val="•"/>
      <w:lvlJc w:val="left"/>
      <w:pPr>
        <w:ind w:left="398" w:hanging="100"/>
      </w:pPr>
      <w:rPr>
        <w:rFonts w:hint="default"/>
      </w:rPr>
    </w:lvl>
    <w:lvl w:ilvl="2" w:tplc="4C24742C">
      <w:numFmt w:val="bullet"/>
      <w:lvlText w:val="•"/>
      <w:lvlJc w:val="left"/>
      <w:pPr>
        <w:ind w:left="636" w:hanging="100"/>
      </w:pPr>
      <w:rPr>
        <w:rFonts w:hint="default"/>
      </w:rPr>
    </w:lvl>
    <w:lvl w:ilvl="3" w:tplc="285A8180">
      <w:numFmt w:val="bullet"/>
      <w:lvlText w:val="•"/>
      <w:lvlJc w:val="left"/>
      <w:pPr>
        <w:ind w:left="874" w:hanging="100"/>
      </w:pPr>
      <w:rPr>
        <w:rFonts w:hint="default"/>
      </w:rPr>
    </w:lvl>
    <w:lvl w:ilvl="4" w:tplc="7BD06A7A">
      <w:numFmt w:val="bullet"/>
      <w:lvlText w:val="•"/>
      <w:lvlJc w:val="left"/>
      <w:pPr>
        <w:ind w:left="1112" w:hanging="100"/>
      </w:pPr>
      <w:rPr>
        <w:rFonts w:hint="default"/>
      </w:rPr>
    </w:lvl>
    <w:lvl w:ilvl="5" w:tplc="230CEC9A">
      <w:numFmt w:val="bullet"/>
      <w:lvlText w:val="•"/>
      <w:lvlJc w:val="left"/>
      <w:pPr>
        <w:ind w:left="1350" w:hanging="100"/>
      </w:pPr>
      <w:rPr>
        <w:rFonts w:hint="default"/>
      </w:rPr>
    </w:lvl>
    <w:lvl w:ilvl="6" w:tplc="940E4732">
      <w:numFmt w:val="bullet"/>
      <w:lvlText w:val="•"/>
      <w:lvlJc w:val="left"/>
      <w:pPr>
        <w:ind w:left="1588" w:hanging="100"/>
      </w:pPr>
      <w:rPr>
        <w:rFonts w:hint="default"/>
      </w:rPr>
    </w:lvl>
    <w:lvl w:ilvl="7" w:tplc="BAD06C4A">
      <w:numFmt w:val="bullet"/>
      <w:lvlText w:val="•"/>
      <w:lvlJc w:val="left"/>
      <w:pPr>
        <w:ind w:left="1826" w:hanging="100"/>
      </w:pPr>
      <w:rPr>
        <w:rFonts w:hint="default"/>
      </w:rPr>
    </w:lvl>
    <w:lvl w:ilvl="8" w:tplc="E7F406CE">
      <w:numFmt w:val="bullet"/>
      <w:lvlText w:val="•"/>
      <w:lvlJc w:val="left"/>
      <w:pPr>
        <w:ind w:left="2064" w:hanging="100"/>
      </w:pPr>
      <w:rPr>
        <w:rFonts w:hint="default"/>
      </w:rPr>
    </w:lvl>
  </w:abstractNum>
  <w:abstractNum w:abstractNumId="1285" w15:restartNumberingAfterBreak="0">
    <w:nsid w:val="4FE544B3"/>
    <w:multiLevelType w:val="hybridMultilevel"/>
    <w:tmpl w:val="6FAC7AEA"/>
    <w:lvl w:ilvl="0" w:tplc="E3749AE4">
      <w:numFmt w:val="bullet"/>
      <w:lvlText w:val=""/>
      <w:lvlJc w:val="left"/>
      <w:pPr>
        <w:ind w:left="156" w:hanging="100"/>
      </w:pPr>
      <w:rPr>
        <w:rFonts w:ascii="Symbol" w:eastAsia="Symbol" w:hAnsi="Symbol" w:cs="Symbol" w:hint="default"/>
        <w:color w:val="231F20"/>
        <w:w w:val="100"/>
        <w:sz w:val="14"/>
        <w:szCs w:val="14"/>
      </w:rPr>
    </w:lvl>
    <w:lvl w:ilvl="1" w:tplc="8E608418">
      <w:numFmt w:val="bullet"/>
      <w:lvlText w:val="•"/>
      <w:lvlJc w:val="left"/>
      <w:pPr>
        <w:ind w:left="301" w:hanging="100"/>
      </w:pPr>
      <w:rPr>
        <w:rFonts w:hint="default"/>
      </w:rPr>
    </w:lvl>
    <w:lvl w:ilvl="2" w:tplc="1730CBD0">
      <w:numFmt w:val="bullet"/>
      <w:lvlText w:val="•"/>
      <w:lvlJc w:val="left"/>
      <w:pPr>
        <w:ind w:left="443" w:hanging="100"/>
      </w:pPr>
      <w:rPr>
        <w:rFonts w:hint="default"/>
      </w:rPr>
    </w:lvl>
    <w:lvl w:ilvl="3" w:tplc="9DC4E4A8">
      <w:numFmt w:val="bullet"/>
      <w:lvlText w:val="•"/>
      <w:lvlJc w:val="left"/>
      <w:pPr>
        <w:ind w:left="585" w:hanging="100"/>
      </w:pPr>
      <w:rPr>
        <w:rFonts w:hint="default"/>
      </w:rPr>
    </w:lvl>
    <w:lvl w:ilvl="4" w:tplc="B7081F4C">
      <w:numFmt w:val="bullet"/>
      <w:lvlText w:val="•"/>
      <w:lvlJc w:val="left"/>
      <w:pPr>
        <w:ind w:left="726" w:hanging="100"/>
      </w:pPr>
      <w:rPr>
        <w:rFonts w:hint="default"/>
      </w:rPr>
    </w:lvl>
    <w:lvl w:ilvl="5" w:tplc="1704752E">
      <w:numFmt w:val="bullet"/>
      <w:lvlText w:val="•"/>
      <w:lvlJc w:val="left"/>
      <w:pPr>
        <w:ind w:left="868" w:hanging="100"/>
      </w:pPr>
      <w:rPr>
        <w:rFonts w:hint="default"/>
      </w:rPr>
    </w:lvl>
    <w:lvl w:ilvl="6" w:tplc="D1F8CEA0">
      <w:numFmt w:val="bullet"/>
      <w:lvlText w:val="•"/>
      <w:lvlJc w:val="left"/>
      <w:pPr>
        <w:ind w:left="1010" w:hanging="100"/>
      </w:pPr>
      <w:rPr>
        <w:rFonts w:hint="default"/>
      </w:rPr>
    </w:lvl>
    <w:lvl w:ilvl="7" w:tplc="8AB0F6D6">
      <w:numFmt w:val="bullet"/>
      <w:lvlText w:val="•"/>
      <w:lvlJc w:val="left"/>
      <w:pPr>
        <w:ind w:left="1151" w:hanging="100"/>
      </w:pPr>
      <w:rPr>
        <w:rFonts w:hint="default"/>
      </w:rPr>
    </w:lvl>
    <w:lvl w:ilvl="8" w:tplc="0B76F92E">
      <w:numFmt w:val="bullet"/>
      <w:lvlText w:val="•"/>
      <w:lvlJc w:val="left"/>
      <w:pPr>
        <w:ind w:left="1293" w:hanging="100"/>
      </w:pPr>
      <w:rPr>
        <w:rFonts w:hint="default"/>
      </w:rPr>
    </w:lvl>
  </w:abstractNum>
  <w:abstractNum w:abstractNumId="1286" w15:restartNumberingAfterBreak="0">
    <w:nsid w:val="4FEA0CF4"/>
    <w:multiLevelType w:val="hybridMultilevel"/>
    <w:tmpl w:val="517ED404"/>
    <w:lvl w:ilvl="0" w:tplc="3064CDEA">
      <w:numFmt w:val="bullet"/>
      <w:lvlText w:val=""/>
      <w:lvlJc w:val="left"/>
      <w:pPr>
        <w:ind w:left="156" w:hanging="100"/>
      </w:pPr>
      <w:rPr>
        <w:rFonts w:ascii="Symbol" w:eastAsia="Symbol" w:hAnsi="Symbol" w:cs="Symbol" w:hint="default"/>
        <w:color w:val="231F20"/>
        <w:w w:val="100"/>
        <w:sz w:val="14"/>
        <w:szCs w:val="14"/>
      </w:rPr>
    </w:lvl>
    <w:lvl w:ilvl="1" w:tplc="16F8A2C6">
      <w:numFmt w:val="bullet"/>
      <w:lvlText w:val="•"/>
      <w:lvlJc w:val="left"/>
      <w:pPr>
        <w:ind w:left="301" w:hanging="100"/>
      </w:pPr>
      <w:rPr>
        <w:rFonts w:hint="default"/>
      </w:rPr>
    </w:lvl>
    <w:lvl w:ilvl="2" w:tplc="F20C5E72">
      <w:numFmt w:val="bullet"/>
      <w:lvlText w:val="•"/>
      <w:lvlJc w:val="left"/>
      <w:pPr>
        <w:ind w:left="443" w:hanging="100"/>
      </w:pPr>
      <w:rPr>
        <w:rFonts w:hint="default"/>
      </w:rPr>
    </w:lvl>
    <w:lvl w:ilvl="3" w:tplc="992E023E">
      <w:numFmt w:val="bullet"/>
      <w:lvlText w:val="•"/>
      <w:lvlJc w:val="left"/>
      <w:pPr>
        <w:ind w:left="585" w:hanging="100"/>
      </w:pPr>
      <w:rPr>
        <w:rFonts w:hint="default"/>
      </w:rPr>
    </w:lvl>
    <w:lvl w:ilvl="4" w:tplc="57CCB7FA">
      <w:numFmt w:val="bullet"/>
      <w:lvlText w:val="•"/>
      <w:lvlJc w:val="left"/>
      <w:pPr>
        <w:ind w:left="726" w:hanging="100"/>
      </w:pPr>
      <w:rPr>
        <w:rFonts w:hint="default"/>
      </w:rPr>
    </w:lvl>
    <w:lvl w:ilvl="5" w:tplc="7B8041E4">
      <w:numFmt w:val="bullet"/>
      <w:lvlText w:val="•"/>
      <w:lvlJc w:val="left"/>
      <w:pPr>
        <w:ind w:left="868" w:hanging="100"/>
      </w:pPr>
      <w:rPr>
        <w:rFonts w:hint="default"/>
      </w:rPr>
    </w:lvl>
    <w:lvl w:ilvl="6" w:tplc="58EE3234">
      <w:numFmt w:val="bullet"/>
      <w:lvlText w:val="•"/>
      <w:lvlJc w:val="left"/>
      <w:pPr>
        <w:ind w:left="1010" w:hanging="100"/>
      </w:pPr>
      <w:rPr>
        <w:rFonts w:hint="default"/>
      </w:rPr>
    </w:lvl>
    <w:lvl w:ilvl="7" w:tplc="4DBC8C30">
      <w:numFmt w:val="bullet"/>
      <w:lvlText w:val="•"/>
      <w:lvlJc w:val="left"/>
      <w:pPr>
        <w:ind w:left="1151" w:hanging="100"/>
      </w:pPr>
      <w:rPr>
        <w:rFonts w:hint="default"/>
      </w:rPr>
    </w:lvl>
    <w:lvl w:ilvl="8" w:tplc="9156F7F8">
      <w:numFmt w:val="bullet"/>
      <w:lvlText w:val="•"/>
      <w:lvlJc w:val="left"/>
      <w:pPr>
        <w:ind w:left="1293" w:hanging="100"/>
      </w:pPr>
      <w:rPr>
        <w:rFonts w:hint="default"/>
      </w:rPr>
    </w:lvl>
  </w:abstractNum>
  <w:abstractNum w:abstractNumId="1287" w15:restartNumberingAfterBreak="0">
    <w:nsid w:val="50050D90"/>
    <w:multiLevelType w:val="hybridMultilevel"/>
    <w:tmpl w:val="0406B062"/>
    <w:lvl w:ilvl="0" w:tplc="193EE0B4">
      <w:numFmt w:val="bullet"/>
      <w:lvlText w:val=""/>
      <w:lvlJc w:val="left"/>
      <w:pPr>
        <w:ind w:left="156" w:hanging="100"/>
      </w:pPr>
      <w:rPr>
        <w:rFonts w:ascii="Symbol" w:eastAsia="Symbol" w:hAnsi="Symbol" w:cs="Symbol" w:hint="default"/>
        <w:color w:val="231F20"/>
        <w:w w:val="100"/>
        <w:sz w:val="14"/>
        <w:szCs w:val="14"/>
      </w:rPr>
    </w:lvl>
    <w:lvl w:ilvl="1" w:tplc="FB98B1E0">
      <w:numFmt w:val="bullet"/>
      <w:lvlText w:val="•"/>
      <w:lvlJc w:val="left"/>
      <w:pPr>
        <w:ind w:left="398" w:hanging="100"/>
      </w:pPr>
      <w:rPr>
        <w:rFonts w:hint="default"/>
      </w:rPr>
    </w:lvl>
    <w:lvl w:ilvl="2" w:tplc="886E6F94">
      <w:numFmt w:val="bullet"/>
      <w:lvlText w:val="•"/>
      <w:lvlJc w:val="left"/>
      <w:pPr>
        <w:ind w:left="636" w:hanging="100"/>
      </w:pPr>
      <w:rPr>
        <w:rFonts w:hint="default"/>
      </w:rPr>
    </w:lvl>
    <w:lvl w:ilvl="3" w:tplc="01069234">
      <w:numFmt w:val="bullet"/>
      <w:lvlText w:val="•"/>
      <w:lvlJc w:val="left"/>
      <w:pPr>
        <w:ind w:left="874" w:hanging="100"/>
      </w:pPr>
      <w:rPr>
        <w:rFonts w:hint="default"/>
      </w:rPr>
    </w:lvl>
    <w:lvl w:ilvl="4" w:tplc="639239E2">
      <w:numFmt w:val="bullet"/>
      <w:lvlText w:val="•"/>
      <w:lvlJc w:val="left"/>
      <w:pPr>
        <w:ind w:left="1112" w:hanging="100"/>
      </w:pPr>
      <w:rPr>
        <w:rFonts w:hint="default"/>
      </w:rPr>
    </w:lvl>
    <w:lvl w:ilvl="5" w:tplc="E32E12BE">
      <w:numFmt w:val="bullet"/>
      <w:lvlText w:val="•"/>
      <w:lvlJc w:val="left"/>
      <w:pPr>
        <w:ind w:left="1350" w:hanging="100"/>
      </w:pPr>
      <w:rPr>
        <w:rFonts w:hint="default"/>
      </w:rPr>
    </w:lvl>
    <w:lvl w:ilvl="6" w:tplc="7E66A186">
      <w:numFmt w:val="bullet"/>
      <w:lvlText w:val="•"/>
      <w:lvlJc w:val="left"/>
      <w:pPr>
        <w:ind w:left="1588" w:hanging="100"/>
      </w:pPr>
      <w:rPr>
        <w:rFonts w:hint="default"/>
      </w:rPr>
    </w:lvl>
    <w:lvl w:ilvl="7" w:tplc="0BA2CA1C">
      <w:numFmt w:val="bullet"/>
      <w:lvlText w:val="•"/>
      <w:lvlJc w:val="left"/>
      <w:pPr>
        <w:ind w:left="1826" w:hanging="100"/>
      </w:pPr>
      <w:rPr>
        <w:rFonts w:hint="default"/>
      </w:rPr>
    </w:lvl>
    <w:lvl w:ilvl="8" w:tplc="1D886DD0">
      <w:numFmt w:val="bullet"/>
      <w:lvlText w:val="•"/>
      <w:lvlJc w:val="left"/>
      <w:pPr>
        <w:ind w:left="2064" w:hanging="100"/>
      </w:pPr>
      <w:rPr>
        <w:rFonts w:hint="default"/>
      </w:rPr>
    </w:lvl>
  </w:abstractNum>
  <w:abstractNum w:abstractNumId="1288" w15:restartNumberingAfterBreak="0">
    <w:nsid w:val="50116000"/>
    <w:multiLevelType w:val="hybridMultilevel"/>
    <w:tmpl w:val="5AE80EA8"/>
    <w:lvl w:ilvl="0" w:tplc="BCFCB24C">
      <w:numFmt w:val="bullet"/>
      <w:lvlText w:val=""/>
      <w:lvlJc w:val="left"/>
      <w:pPr>
        <w:ind w:left="157" w:hanging="100"/>
      </w:pPr>
      <w:rPr>
        <w:rFonts w:ascii="Symbol" w:eastAsia="Symbol" w:hAnsi="Symbol" w:cs="Symbol" w:hint="default"/>
        <w:color w:val="231F20"/>
        <w:w w:val="100"/>
        <w:sz w:val="14"/>
        <w:szCs w:val="14"/>
      </w:rPr>
    </w:lvl>
    <w:lvl w:ilvl="1" w:tplc="C23C3236">
      <w:numFmt w:val="bullet"/>
      <w:lvlText w:val="•"/>
      <w:lvlJc w:val="left"/>
      <w:pPr>
        <w:ind w:left="398" w:hanging="100"/>
      </w:pPr>
      <w:rPr>
        <w:rFonts w:hint="default"/>
      </w:rPr>
    </w:lvl>
    <w:lvl w:ilvl="2" w:tplc="A8FC5BA0">
      <w:numFmt w:val="bullet"/>
      <w:lvlText w:val="•"/>
      <w:lvlJc w:val="left"/>
      <w:pPr>
        <w:ind w:left="636" w:hanging="100"/>
      </w:pPr>
      <w:rPr>
        <w:rFonts w:hint="default"/>
      </w:rPr>
    </w:lvl>
    <w:lvl w:ilvl="3" w:tplc="75DE4636">
      <w:numFmt w:val="bullet"/>
      <w:lvlText w:val="•"/>
      <w:lvlJc w:val="left"/>
      <w:pPr>
        <w:ind w:left="874" w:hanging="100"/>
      </w:pPr>
      <w:rPr>
        <w:rFonts w:hint="default"/>
      </w:rPr>
    </w:lvl>
    <w:lvl w:ilvl="4" w:tplc="D4C4F65A">
      <w:numFmt w:val="bullet"/>
      <w:lvlText w:val="•"/>
      <w:lvlJc w:val="left"/>
      <w:pPr>
        <w:ind w:left="1112" w:hanging="100"/>
      </w:pPr>
      <w:rPr>
        <w:rFonts w:hint="default"/>
      </w:rPr>
    </w:lvl>
    <w:lvl w:ilvl="5" w:tplc="95685852">
      <w:numFmt w:val="bullet"/>
      <w:lvlText w:val="•"/>
      <w:lvlJc w:val="left"/>
      <w:pPr>
        <w:ind w:left="1350" w:hanging="100"/>
      </w:pPr>
      <w:rPr>
        <w:rFonts w:hint="default"/>
      </w:rPr>
    </w:lvl>
    <w:lvl w:ilvl="6" w:tplc="A9E2F3FC">
      <w:numFmt w:val="bullet"/>
      <w:lvlText w:val="•"/>
      <w:lvlJc w:val="left"/>
      <w:pPr>
        <w:ind w:left="1588" w:hanging="100"/>
      </w:pPr>
      <w:rPr>
        <w:rFonts w:hint="default"/>
      </w:rPr>
    </w:lvl>
    <w:lvl w:ilvl="7" w:tplc="CD2A6A52">
      <w:numFmt w:val="bullet"/>
      <w:lvlText w:val="•"/>
      <w:lvlJc w:val="left"/>
      <w:pPr>
        <w:ind w:left="1826" w:hanging="100"/>
      </w:pPr>
      <w:rPr>
        <w:rFonts w:hint="default"/>
      </w:rPr>
    </w:lvl>
    <w:lvl w:ilvl="8" w:tplc="38EE6956">
      <w:numFmt w:val="bullet"/>
      <w:lvlText w:val="•"/>
      <w:lvlJc w:val="left"/>
      <w:pPr>
        <w:ind w:left="2064" w:hanging="100"/>
      </w:pPr>
      <w:rPr>
        <w:rFonts w:hint="default"/>
      </w:rPr>
    </w:lvl>
  </w:abstractNum>
  <w:abstractNum w:abstractNumId="1289" w15:restartNumberingAfterBreak="0">
    <w:nsid w:val="50424407"/>
    <w:multiLevelType w:val="hybridMultilevel"/>
    <w:tmpl w:val="17988964"/>
    <w:lvl w:ilvl="0" w:tplc="38C659F8">
      <w:numFmt w:val="bullet"/>
      <w:lvlText w:val=""/>
      <w:lvlJc w:val="left"/>
      <w:pPr>
        <w:ind w:left="157" w:hanging="100"/>
      </w:pPr>
      <w:rPr>
        <w:rFonts w:ascii="Symbol" w:eastAsia="Symbol" w:hAnsi="Symbol" w:cs="Symbol" w:hint="default"/>
        <w:color w:val="231F20"/>
        <w:w w:val="100"/>
        <w:sz w:val="14"/>
        <w:szCs w:val="14"/>
      </w:rPr>
    </w:lvl>
    <w:lvl w:ilvl="1" w:tplc="DEF643E4">
      <w:numFmt w:val="bullet"/>
      <w:lvlText w:val="•"/>
      <w:lvlJc w:val="left"/>
      <w:pPr>
        <w:ind w:left="426" w:hanging="100"/>
      </w:pPr>
      <w:rPr>
        <w:rFonts w:hint="default"/>
      </w:rPr>
    </w:lvl>
    <w:lvl w:ilvl="2" w:tplc="010A3BA8">
      <w:numFmt w:val="bullet"/>
      <w:lvlText w:val="•"/>
      <w:lvlJc w:val="left"/>
      <w:pPr>
        <w:ind w:left="692" w:hanging="100"/>
      </w:pPr>
      <w:rPr>
        <w:rFonts w:hint="default"/>
      </w:rPr>
    </w:lvl>
    <w:lvl w:ilvl="3" w:tplc="24D69E1E">
      <w:numFmt w:val="bullet"/>
      <w:lvlText w:val="•"/>
      <w:lvlJc w:val="left"/>
      <w:pPr>
        <w:ind w:left="959" w:hanging="100"/>
      </w:pPr>
      <w:rPr>
        <w:rFonts w:hint="default"/>
      </w:rPr>
    </w:lvl>
    <w:lvl w:ilvl="4" w:tplc="56E0325E">
      <w:numFmt w:val="bullet"/>
      <w:lvlText w:val="•"/>
      <w:lvlJc w:val="left"/>
      <w:pPr>
        <w:ind w:left="1225" w:hanging="100"/>
      </w:pPr>
      <w:rPr>
        <w:rFonts w:hint="default"/>
      </w:rPr>
    </w:lvl>
    <w:lvl w:ilvl="5" w:tplc="93FA60A2">
      <w:numFmt w:val="bullet"/>
      <w:lvlText w:val="•"/>
      <w:lvlJc w:val="left"/>
      <w:pPr>
        <w:ind w:left="1492" w:hanging="100"/>
      </w:pPr>
      <w:rPr>
        <w:rFonts w:hint="default"/>
      </w:rPr>
    </w:lvl>
    <w:lvl w:ilvl="6" w:tplc="BAEC8B8E">
      <w:numFmt w:val="bullet"/>
      <w:lvlText w:val="•"/>
      <w:lvlJc w:val="left"/>
      <w:pPr>
        <w:ind w:left="1758" w:hanging="100"/>
      </w:pPr>
      <w:rPr>
        <w:rFonts w:hint="default"/>
      </w:rPr>
    </w:lvl>
    <w:lvl w:ilvl="7" w:tplc="271CAC2A">
      <w:numFmt w:val="bullet"/>
      <w:lvlText w:val="•"/>
      <w:lvlJc w:val="left"/>
      <w:pPr>
        <w:ind w:left="2024" w:hanging="100"/>
      </w:pPr>
      <w:rPr>
        <w:rFonts w:hint="default"/>
      </w:rPr>
    </w:lvl>
    <w:lvl w:ilvl="8" w:tplc="55749E72">
      <w:numFmt w:val="bullet"/>
      <w:lvlText w:val="•"/>
      <w:lvlJc w:val="left"/>
      <w:pPr>
        <w:ind w:left="2291" w:hanging="100"/>
      </w:pPr>
      <w:rPr>
        <w:rFonts w:hint="default"/>
      </w:rPr>
    </w:lvl>
  </w:abstractNum>
  <w:abstractNum w:abstractNumId="1290" w15:restartNumberingAfterBreak="0">
    <w:nsid w:val="506917EF"/>
    <w:multiLevelType w:val="hybridMultilevel"/>
    <w:tmpl w:val="E3F4B878"/>
    <w:lvl w:ilvl="0" w:tplc="70DAD4F6">
      <w:numFmt w:val="bullet"/>
      <w:lvlText w:val=""/>
      <w:lvlJc w:val="left"/>
      <w:pPr>
        <w:ind w:left="157" w:hanging="100"/>
      </w:pPr>
      <w:rPr>
        <w:rFonts w:ascii="Symbol" w:eastAsia="Symbol" w:hAnsi="Symbol" w:cs="Symbol" w:hint="default"/>
        <w:color w:val="231F20"/>
        <w:w w:val="100"/>
        <w:sz w:val="14"/>
        <w:szCs w:val="14"/>
      </w:rPr>
    </w:lvl>
    <w:lvl w:ilvl="1" w:tplc="A170CB78">
      <w:numFmt w:val="bullet"/>
      <w:lvlText w:val="•"/>
      <w:lvlJc w:val="left"/>
      <w:pPr>
        <w:ind w:left="426" w:hanging="100"/>
      </w:pPr>
      <w:rPr>
        <w:rFonts w:hint="default"/>
      </w:rPr>
    </w:lvl>
    <w:lvl w:ilvl="2" w:tplc="500EB8AA">
      <w:numFmt w:val="bullet"/>
      <w:lvlText w:val="•"/>
      <w:lvlJc w:val="left"/>
      <w:pPr>
        <w:ind w:left="692" w:hanging="100"/>
      </w:pPr>
      <w:rPr>
        <w:rFonts w:hint="default"/>
      </w:rPr>
    </w:lvl>
    <w:lvl w:ilvl="3" w:tplc="EF82EA7E">
      <w:numFmt w:val="bullet"/>
      <w:lvlText w:val="•"/>
      <w:lvlJc w:val="left"/>
      <w:pPr>
        <w:ind w:left="959" w:hanging="100"/>
      </w:pPr>
      <w:rPr>
        <w:rFonts w:hint="default"/>
      </w:rPr>
    </w:lvl>
    <w:lvl w:ilvl="4" w:tplc="8F9CC33E">
      <w:numFmt w:val="bullet"/>
      <w:lvlText w:val="•"/>
      <w:lvlJc w:val="left"/>
      <w:pPr>
        <w:ind w:left="1225" w:hanging="100"/>
      </w:pPr>
      <w:rPr>
        <w:rFonts w:hint="default"/>
      </w:rPr>
    </w:lvl>
    <w:lvl w:ilvl="5" w:tplc="A9C6AE14">
      <w:numFmt w:val="bullet"/>
      <w:lvlText w:val="•"/>
      <w:lvlJc w:val="left"/>
      <w:pPr>
        <w:ind w:left="1492" w:hanging="100"/>
      </w:pPr>
      <w:rPr>
        <w:rFonts w:hint="default"/>
      </w:rPr>
    </w:lvl>
    <w:lvl w:ilvl="6" w:tplc="BE22D0F0">
      <w:numFmt w:val="bullet"/>
      <w:lvlText w:val="•"/>
      <w:lvlJc w:val="left"/>
      <w:pPr>
        <w:ind w:left="1758" w:hanging="100"/>
      </w:pPr>
      <w:rPr>
        <w:rFonts w:hint="default"/>
      </w:rPr>
    </w:lvl>
    <w:lvl w:ilvl="7" w:tplc="097AE14E">
      <w:numFmt w:val="bullet"/>
      <w:lvlText w:val="•"/>
      <w:lvlJc w:val="left"/>
      <w:pPr>
        <w:ind w:left="2024" w:hanging="100"/>
      </w:pPr>
      <w:rPr>
        <w:rFonts w:hint="default"/>
      </w:rPr>
    </w:lvl>
    <w:lvl w:ilvl="8" w:tplc="FC5C1F9C">
      <w:numFmt w:val="bullet"/>
      <w:lvlText w:val="•"/>
      <w:lvlJc w:val="left"/>
      <w:pPr>
        <w:ind w:left="2291" w:hanging="100"/>
      </w:pPr>
      <w:rPr>
        <w:rFonts w:hint="default"/>
      </w:rPr>
    </w:lvl>
  </w:abstractNum>
  <w:abstractNum w:abstractNumId="1291" w15:restartNumberingAfterBreak="0">
    <w:nsid w:val="507736B3"/>
    <w:multiLevelType w:val="hybridMultilevel"/>
    <w:tmpl w:val="4FB2B194"/>
    <w:lvl w:ilvl="0" w:tplc="F4DE781A">
      <w:numFmt w:val="bullet"/>
      <w:lvlText w:val=""/>
      <w:lvlJc w:val="left"/>
      <w:pPr>
        <w:ind w:left="157" w:hanging="100"/>
      </w:pPr>
      <w:rPr>
        <w:rFonts w:ascii="Symbol" w:eastAsia="Symbol" w:hAnsi="Symbol" w:cs="Symbol" w:hint="default"/>
        <w:color w:val="231F20"/>
        <w:w w:val="100"/>
        <w:sz w:val="14"/>
        <w:szCs w:val="14"/>
      </w:rPr>
    </w:lvl>
    <w:lvl w:ilvl="1" w:tplc="167AA6EA">
      <w:numFmt w:val="bullet"/>
      <w:lvlText w:val="•"/>
      <w:lvlJc w:val="left"/>
      <w:pPr>
        <w:ind w:left="369" w:hanging="100"/>
      </w:pPr>
      <w:rPr>
        <w:rFonts w:hint="default"/>
      </w:rPr>
    </w:lvl>
    <w:lvl w:ilvl="2" w:tplc="D87A6C16">
      <w:numFmt w:val="bullet"/>
      <w:lvlText w:val="•"/>
      <w:lvlJc w:val="left"/>
      <w:pPr>
        <w:ind w:left="579" w:hanging="100"/>
      </w:pPr>
      <w:rPr>
        <w:rFonts w:hint="default"/>
      </w:rPr>
    </w:lvl>
    <w:lvl w:ilvl="3" w:tplc="079C513A">
      <w:numFmt w:val="bullet"/>
      <w:lvlText w:val="•"/>
      <w:lvlJc w:val="left"/>
      <w:pPr>
        <w:ind w:left="789" w:hanging="100"/>
      </w:pPr>
      <w:rPr>
        <w:rFonts w:hint="default"/>
      </w:rPr>
    </w:lvl>
    <w:lvl w:ilvl="4" w:tplc="9B78C8AE">
      <w:numFmt w:val="bullet"/>
      <w:lvlText w:val="•"/>
      <w:lvlJc w:val="left"/>
      <w:pPr>
        <w:ind w:left="998" w:hanging="100"/>
      </w:pPr>
      <w:rPr>
        <w:rFonts w:hint="default"/>
      </w:rPr>
    </w:lvl>
    <w:lvl w:ilvl="5" w:tplc="55D4FB3E">
      <w:numFmt w:val="bullet"/>
      <w:lvlText w:val="•"/>
      <w:lvlJc w:val="left"/>
      <w:pPr>
        <w:ind w:left="1208" w:hanging="100"/>
      </w:pPr>
      <w:rPr>
        <w:rFonts w:hint="default"/>
      </w:rPr>
    </w:lvl>
    <w:lvl w:ilvl="6" w:tplc="36688400">
      <w:numFmt w:val="bullet"/>
      <w:lvlText w:val="•"/>
      <w:lvlJc w:val="left"/>
      <w:pPr>
        <w:ind w:left="1418" w:hanging="100"/>
      </w:pPr>
      <w:rPr>
        <w:rFonts w:hint="default"/>
      </w:rPr>
    </w:lvl>
    <w:lvl w:ilvl="7" w:tplc="95D6B0B8">
      <w:numFmt w:val="bullet"/>
      <w:lvlText w:val="•"/>
      <w:lvlJc w:val="left"/>
      <w:pPr>
        <w:ind w:left="1627" w:hanging="100"/>
      </w:pPr>
      <w:rPr>
        <w:rFonts w:hint="default"/>
      </w:rPr>
    </w:lvl>
    <w:lvl w:ilvl="8" w:tplc="FDA41EE4">
      <w:numFmt w:val="bullet"/>
      <w:lvlText w:val="•"/>
      <w:lvlJc w:val="left"/>
      <w:pPr>
        <w:ind w:left="1837" w:hanging="100"/>
      </w:pPr>
      <w:rPr>
        <w:rFonts w:hint="default"/>
      </w:rPr>
    </w:lvl>
  </w:abstractNum>
  <w:abstractNum w:abstractNumId="1292" w15:restartNumberingAfterBreak="0">
    <w:nsid w:val="50841C19"/>
    <w:multiLevelType w:val="hybridMultilevel"/>
    <w:tmpl w:val="2E829706"/>
    <w:lvl w:ilvl="0" w:tplc="60F2A95E">
      <w:numFmt w:val="bullet"/>
      <w:lvlText w:val=""/>
      <w:lvlJc w:val="left"/>
      <w:pPr>
        <w:ind w:left="157" w:hanging="100"/>
      </w:pPr>
      <w:rPr>
        <w:rFonts w:ascii="Symbol" w:eastAsia="Symbol" w:hAnsi="Symbol" w:cs="Symbol" w:hint="default"/>
        <w:color w:val="231F20"/>
        <w:w w:val="100"/>
        <w:sz w:val="14"/>
        <w:szCs w:val="14"/>
      </w:rPr>
    </w:lvl>
    <w:lvl w:ilvl="1" w:tplc="1A0CC69C">
      <w:numFmt w:val="bullet"/>
      <w:lvlText w:val="•"/>
      <w:lvlJc w:val="left"/>
      <w:pPr>
        <w:ind w:left="369" w:hanging="100"/>
      </w:pPr>
      <w:rPr>
        <w:rFonts w:hint="default"/>
      </w:rPr>
    </w:lvl>
    <w:lvl w:ilvl="2" w:tplc="027CA738">
      <w:numFmt w:val="bullet"/>
      <w:lvlText w:val="•"/>
      <w:lvlJc w:val="left"/>
      <w:pPr>
        <w:ind w:left="579" w:hanging="100"/>
      </w:pPr>
      <w:rPr>
        <w:rFonts w:hint="default"/>
      </w:rPr>
    </w:lvl>
    <w:lvl w:ilvl="3" w:tplc="90AEEE10">
      <w:numFmt w:val="bullet"/>
      <w:lvlText w:val="•"/>
      <w:lvlJc w:val="left"/>
      <w:pPr>
        <w:ind w:left="789" w:hanging="100"/>
      </w:pPr>
      <w:rPr>
        <w:rFonts w:hint="default"/>
      </w:rPr>
    </w:lvl>
    <w:lvl w:ilvl="4" w:tplc="74F8B700">
      <w:numFmt w:val="bullet"/>
      <w:lvlText w:val="•"/>
      <w:lvlJc w:val="left"/>
      <w:pPr>
        <w:ind w:left="998" w:hanging="100"/>
      </w:pPr>
      <w:rPr>
        <w:rFonts w:hint="default"/>
      </w:rPr>
    </w:lvl>
    <w:lvl w:ilvl="5" w:tplc="29FAA4CE">
      <w:numFmt w:val="bullet"/>
      <w:lvlText w:val="•"/>
      <w:lvlJc w:val="left"/>
      <w:pPr>
        <w:ind w:left="1208" w:hanging="100"/>
      </w:pPr>
      <w:rPr>
        <w:rFonts w:hint="default"/>
      </w:rPr>
    </w:lvl>
    <w:lvl w:ilvl="6" w:tplc="DFAC44B2">
      <w:numFmt w:val="bullet"/>
      <w:lvlText w:val="•"/>
      <w:lvlJc w:val="left"/>
      <w:pPr>
        <w:ind w:left="1418" w:hanging="100"/>
      </w:pPr>
      <w:rPr>
        <w:rFonts w:hint="default"/>
      </w:rPr>
    </w:lvl>
    <w:lvl w:ilvl="7" w:tplc="C58E7A8C">
      <w:numFmt w:val="bullet"/>
      <w:lvlText w:val="•"/>
      <w:lvlJc w:val="left"/>
      <w:pPr>
        <w:ind w:left="1627" w:hanging="100"/>
      </w:pPr>
      <w:rPr>
        <w:rFonts w:hint="default"/>
      </w:rPr>
    </w:lvl>
    <w:lvl w:ilvl="8" w:tplc="B8B2290E">
      <w:numFmt w:val="bullet"/>
      <w:lvlText w:val="•"/>
      <w:lvlJc w:val="left"/>
      <w:pPr>
        <w:ind w:left="1837" w:hanging="100"/>
      </w:pPr>
      <w:rPr>
        <w:rFonts w:hint="default"/>
      </w:rPr>
    </w:lvl>
  </w:abstractNum>
  <w:abstractNum w:abstractNumId="1293" w15:restartNumberingAfterBreak="0">
    <w:nsid w:val="50896E85"/>
    <w:multiLevelType w:val="hybridMultilevel"/>
    <w:tmpl w:val="7B26FAD4"/>
    <w:lvl w:ilvl="0" w:tplc="5E1A5E06">
      <w:numFmt w:val="bullet"/>
      <w:lvlText w:val="–"/>
      <w:lvlJc w:val="left"/>
      <w:pPr>
        <w:ind w:left="162" w:hanging="105"/>
      </w:pPr>
      <w:rPr>
        <w:rFonts w:ascii="Times New Roman" w:eastAsia="Times New Roman" w:hAnsi="Times New Roman" w:cs="Times New Roman" w:hint="default"/>
        <w:color w:val="231F20"/>
        <w:spacing w:val="-5"/>
        <w:w w:val="100"/>
        <w:sz w:val="14"/>
        <w:szCs w:val="14"/>
      </w:rPr>
    </w:lvl>
    <w:lvl w:ilvl="1" w:tplc="94E0FEB0">
      <w:numFmt w:val="bullet"/>
      <w:lvlText w:val="•"/>
      <w:lvlJc w:val="left"/>
      <w:pPr>
        <w:ind w:left="426" w:hanging="105"/>
      </w:pPr>
      <w:rPr>
        <w:rFonts w:hint="default"/>
      </w:rPr>
    </w:lvl>
    <w:lvl w:ilvl="2" w:tplc="49408474">
      <w:numFmt w:val="bullet"/>
      <w:lvlText w:val="•"/>
      <w:lvlJc w:val="left"/>
      <w:pPr>
        <w:ind w:left="692" w:hanging="105"/>
      </w:pPr>
      <w:rPr>
        <w:rFonts w:hint="default"/>
      </w:rPr>
    </w:lvl>
    <w:lvl w:ilvl="3" w:tplc="E62A71B4">
      <w:numFmt w:val="bullet"/>
      <w:lvlText w:val="•"/>
      <w:lvlJc w:val="left"/>
      <w:pPr>
        <w:ind w:left="959" w:hanging="105"/>
      </w:pPr>
      <w:rPr>
        <w:rFonts w:hint="default"/>
      </w:rPr>
    </w:lvl>
    <w:lvl w:ilvl="4" w:tplc="A1B6334C">
      <w:numFmt w:val="bullet"/>
      <w:lvlText w:val="•"/>
      <w:lvlJc w:val="left"/>
      <w:pPr>
        <w:ind w:left="1225" w:hanging="105"/>
      </w:pPr>
      <w:rPr>
        <w:rFonts w:hint="default"/>
      </w:rPr>
    </w:lvl>
    <w:lvl w:ilvl="5" w:tplc="721ADA84">
      <w:numFmt w:val="bullet"/>
      <w:lvlText w:val="•"/>
      <w:lvlJc w:val="left"/>
      <w:pPr>
        <w:ind w:left="1492" w:hanging="105"/>
      </w:pPr>
      <w:rPr>
        <w:rFonts w:hint="default"/>
      </w:rPr>
    </w:lvl>
    <w:lvl w:ilvl="6" w:tplc="B8C6F294">
      <w:numFmt w:val="bullet"/>
      <w:lvlText w:val="•"/>
      <w:lvlJc w:val="left"/>
      <w:pPr>
        <w:ind w:left="1758" w:hanging="105"/>
      </w:pPr>
      <w:rPr>
        <w:rFonts w:hint="default"/>
      </w:rPr>
    </w:lvl>
    <w:lvl w:ilvl="7" w:tplc="CE345B12">
      <w:numFmt w:val="bullet"/>
      <w:lvlText w:val="•"/>
      <w:lvlJc w:val="left"/>
      <w:pPr>
        <w:ind w:left="2024" w:hanging="105"/>
      </w:pPr>
      <w:rPr>
        <w:rFonts w:hint="default"/>
      </w:rPr>
    </w:lvl>
    <w:lvl w:ilvl="8" w:tplc="4B624F10">
      <w:numFmt w:val="bullet"/>
      <w:lvlText w:val="•"/>
      <w:lvlJc w:val="left"/>
      <w:pPr>
        <w:ind w:left="2291" w:hanging="105"/>
      </w:pPr>
      <w:rPr>
        <w:rFonts w:hint="default"/>
      </w:rPr>
    </w:lvl>
  </w:abstractNum>
  <w:abstractNum w:abstractNumId="1294" w15:restartNumberingAfterBreak="0">
    <w:nsid w:val="50A76D3C"/>
    <w:multiLevelType w:val="hybridMultilevel"/>
    <w:tmpl w:val="A6E6323C"/>
    <w:lvl w:ilvl="0" w:tplc="7A904F68">
      <w:numFmt w:val="bullet"/>
      <w:lvlText w:val=""/>
      <w:lvlJc w:val="left"/>
      <w:pPr>
        <w:ind w:left="157" w:hanging="100"/>
      </w:pPr>
      <w:rPr>
        <w:rFonts w:ascii="Symbol" w:eastAsia="Symbol" w:hAnsi="Symbol" w:cs="Symbol" w:hint="default"/>
        <w:color w:val="231F20"/>
        <w:w w:val="100"/>
        <w:sz w:val="14"/>
        <w:szCs w:val="14"/>
      </w:rPr>
    </w:lvl>
    <w:lvl w:ilvl="1" w:tplc="C4FCB12A">
      <w:numFmt w:val="bullet"/>
      <w:lvlText w:val="•"/>
      <w:lvlJc w:val="left"/>
      <w:pPr>
        <w:ind w:left="398" w:hanging="100"/>
      </w:pPr>
      <w:rPr>
        <w:rFonts w:hint="default"/>
      </w:rPr>
    </w:lvl>
    <w:lvl w:ilvl="2" w:tplc="28602EFE">
      <w:numFmt w:val="bullet"/>
      <w:lvlText w:val="•"/>
      <w:lvlJc w:val="left"/>
      <w:pPr>
        <w:ind w:left="636" w:hanging="100"/>
      </w:pPr>
      <w:rPr>
        <w:rFonts w:hint="default"/>
      </w:rPr>
    </w:lvl>
    <w:lvl w:ilvl="3" w:tplc="496E92A4">
      <w:numFmt w:val="bullet"/>
      <w:lvlText w:val="•"/>
      <w:lvlJc w:val="left"/>
      <w:pPr>
        <w:ind w:left="874" w:hanging="100"/>
      </w:pPr>
      <w:rPr>
        <w:rFonts w:hint="default"/>
      </w:rPr>
    </w:lvl>
    <w:lvl w:ilvl="4" w:tplc="41D60C90">
      <w:numFmt w:val="bullet"/>
      <w:lvlText w:val="•"/>
      <w:lvlJc w:val="left"/>
      <w:pPr>
        <w:ind w:left="1112" w:hanging="100"/>
      </w:pPr>
      <w:rPr>
        <w:rFonts w:hint="default"/>
      </w:rPr>
    </w:lvl>
    <w:lvl w:ilvl="5" w:tplc="3E3A8952">
      <w:numFmt w:val="bullet"/>
      <w:lvlText w:val="•"/>
      <w:lvlJc w:val="left"/>
      <w:pPr>
        <w:ind w:left="1350" w:hanging="100"/>
      </w:pPr>
      <w:rPr>
        <w:rFonts w:hint="default"/>
      </w:rPr>
    </w:lvl>
    <w:lvl w:ilvl="6" w:tplc="9334BB9C">
      <w:numFmt w:val="bullet"/>
      <w:lvlText w:val="•"/>
      <w:lvlJc w:val="left"/>
      <w:pPr>
        <w:ind w:left="1588" w:hanging="100"/>
      </w:pPr>
      <w:rPr>
        <w:rFonts w:hint="default"/>
      </w:rPr>
    </w:lvl>
    <w:lvl w:ilvl="7" w:tplc="D0EED7AE">
      <w:numFmt w:val="bullet"/>
      <w:lvlText w:val="•"/>
      <w:lvlJc w:val="left"/>
      <w:pPr>
        <w:ind w:left="1826" w:hanging="100"/>
      </w:pPr>
      <w:rPr>
        <w:rFonts w:hint="default"/>
      </w:rPr>
    </w:lvl>
    <w:lvl w:ilvl="8" w:tplc="DE88867C">
      <w:numFmt w:val="bullet"/>
      <w:lvlText w:val="•"/>
      <w:lvlJc w:val="left"/>
      <w:pPr>
        <w:ind w:left="2064" w:hanging="100"/>
      </w:pPr>
      <w:rPr>
        <w:rFonts w:hint="default"/>
      </w:rPr>
    </w:lvl>
  </w:abstractNum>
  <w:abstractNum w:abstractNumId="1295" w15:restartNumberingAfterBreak="0">
    <w:nsid w:val="50BC7705"/>
    <w:multiLevelType w:val="hybridMultilevel"/>
    <w:tmpl w:val="A82E9B20"/>
    <w:lvl w:ilvl="0" w:tplc="8C5AC402">
      <w:numFmt w:val="bullet"/>
      <w:lvlText w:val=""/>
      <w:lvlJc w:val="left"/>
      <w:pPr>
        <w:ind w:left="156" w:hanging="100"/>
      </w:pPr>
      <w:rPr>
        <w:rFonts w:ascii="Symbol" w:eastAsia="Symbol" w:hAnsi="Symbol" w:cs="Symbol" w:hint="default"/>
        <w:color w:val="231F20"/>
        <w:w w:val="100"/>
        <w:sz w:val="14"/>
        <w:szCs w:val="14"/>
      </w:rPr>
    </w:lvl>
    <w:lvl w:ilvl="1" w:tplc="03204A02">
      <w:numFmt w:val="bullet"/>
      <w:lvlText w:val="•"/>
      <w:lvlJc w:val="left"/>
      <w:pPr>
        <w:ind w:left="301" w:hanging="100"/>
      </w:pPr>
      <w:rPr>
        <w:rFonts w:hint="default"/>
      </w:rPr>
    </w:lvl>
    <w:lvl w:ilvl="2" w:tplc="8FB487BE">
      <w:numFmt w:val="bullet"/>
      <w:lvlText w:val="•"/>
      <w:lvlJc w:val="left"/>
      <w:pPr>
        <w:ind w:left="443" w:hanging="100"/>
      </w:pPr>
      <w:rPr>
        <w:rFonts w:hint="default"/>
      </w:rPr>
    </w:lvl>
    <w:lvl w:ilvl="3" w:tplc="064A92FA">
      <w:numFmt w:val="bullet"/>
      <w:lvlText w:val="•"/>
      <w:lvlJc w:val="left"/>
      <w:pPr>
        <w:ind w:left="585" w:hanging="100"/>
      </w:pPr>
      <w:rPr>
        <w:rFonts w:hint="default"/>
      </w:rPr>
    </w:lvl>
    <w:lvl w:ilvl="4" w:tplc="27AC6490">
      <w:numFmt w:val="bullet"/>
      <w:lvlText w:val="•"/>
      <w:lvlJc w:val="left"/>
      <w:pPr>
        <w:ind w:left="726" w:hanging="100"/>
      </w:pPr>
      <w:rPr>
        <w:rFonts w:hint="default"/>
      </w:rPr>
    </w:lvl>
    <w:lvl w:ilvl="5" w:tplc="4FA26880">
      <w:numFmt w:val="bullet"/>
      <w:lvlText w:val="•"/>
      <w:lvlJc w:val="left"/>
      <w:pPr>
        <w:ind w:left="868" w:hanging="100"/>
      </w:pPr>
      <w:rPr>
        <w:rFonts w:hint="default"/>
      </w:rPr>
    </w:lvl>
    <w:lvl w:ilvl="6" w:tplc="91E20A7E">
      <w:numFmt w:val="bullet"/>
      <w:lvlText w:val="•"/>
      <w:lvlJc w:val="left"/>
      <w:pPr>
        <w:ind w:left="1010" w:hanging="100"/>
      </w:pPr>
      <w:rPr>
        <w:rFonts w:hint="default"/>
      </w:rPr>
    </w:lvl>
    <w:lvl w:ilvl="7" w:tplc="EC922290">
      <w:numFmt w:val="bullet"/>
      <w:lvlText w:val="•"/>
      <w:lvlJc w:val="left"/>
      <w:pPr>
        <w:ind w:left="1151" w:hanging="100"/>
      </w:pPr>
      <w:rPr>
        <w:rFonts w:hint="default"/>
      </w:rPr>
    </w:lvl>
    <w:lvl w:ilvl="8" w:tplc="783AD62A">
      <w:numFmt w:val="bullet"/>
      <w:lvlText w:val="•"/>
      <w:lvlJc w:val="left"/>
      <w:pPr>
        <w:ind w:left="1293" w:hanging="100"/>
      </w:pPr>
      <w:rPr>
        <w:rFonts w:hint="default"/>
      </w:rPr>
    </w:lvl>
  </w:abstractNum>
  <w:abstractNum w:abstractNumId="1296" w15:restartNumberingAfterBreak="0">
    <w:nsid w:val="50BE40B9"/>
    <w:multiLevelType w:val="hybridMultilevel"/>
    <w:tmpl w:val="5FA82CEC"/>
    <w:lvl w:ilvl="0" w:tplc="BB98436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74AA3C5A">
      <w:numFmt w:val="bullet"/>
      <w:lvlText w:val="•"/>
      <w:lvlJc w:val="left"/>
      <w:pPr>
        <w:ind w:left="408" w:hanging="84"/>
      </w:pPr>
      <w:rPr>
        <w:rFonts w:hint="default"/>
      </w:rPr>
    </w:lvl>
    <w:lvl w:ilvl="2" w:tplc="D1DA58EC">
      <w:numFmt w:val="bullet"/>
      <w:lvlText w:val="•"/>
      <w:lvlJc w:val="left"/>
      <w:pPr>
        <w:ind w:left="676" w:hanging="84"/>
      </w:pPr>
      <w:rPr>
        <w:rFonts w:hint="default"/>
      </w:rPr>
    </w:lvl>
    <w:lvl w:ilvl="3" w:tplc="F092A9C8">
      <w:numFmt w:val="bullet"/>
      <w:lvlText w:val="•"/>
      <w:lvlJc w:val="left"/>
      <w:pPr>
        <w:ind w:left="945" w:hanging="84"/>
      </w:pPr>
      <w:rPr>
        <w:rFonts w:hint="default"/>
      </w:rPr>
    </w:lvl>
    <w:lvl w:ilvl="4" w:tplc="E32C9E0E">
      <w:numFmt w:val="bullet"/>
      <w:lvlText w:val="•"/>
      <w:lvlJc w:val="left"/>
      <w:pPr>
        <w:ind w:left="1213" w:hanging="84"/>
      </w:pPr>
      <w:rPr>
        <w:rFonts w:hint="default"/>
      </w:rPr>
    </w:lvl>
    <w:lvl w:ilvl="5" w:tplc="0B08AEBE">
      <w:numFmt w:val="bullet"/>
      <w:lvlText w:val="•"/>
      <w:lvlJc w:val="left"/>
      <w:pPr>
        <w:ind w:left="1482" w:hanging="84"/>
      </w:pPr>
      <w:rPr>
        <w:rFonts w:hint="default"/>
      </w:rPr>
    </w:lvl>
    <w:lvl w:ilvl="6" w:tplc="215AE722">
      <w:numFmt w:val="bullet"/>
      <w:lvlText w:val="•"/>
      <w:lvlJc w:val="left"/>
      <w:pPr>
        <w:ind w:left="1750" w:hanging="84"/>
      </w:pPr>
      <w:rPr>
        <w:rFonts w:hint="default"/>
      </w:rPr>
    </w:lvl>
    <w:lvl w:ilvl="7" w:tplc="A664E51A">
      <w:numFmt w:val="bullet"/>
      <w:lvlText w:val="•"/>
      <w:lvlJc w:val="left"/>
      <w:pPr>
        <w:ind w:left="2018" w:hanging="84"/>
      </w:pPr>
      <w:rPr>
        <w:rFonts w:hint="default"/>
      </w:rPr>
    </w:lvl>
    <w:lvl w:ilvl="8" w:tplc="C4F6CC0E">
      <w:numFmt w:val="bullet"/>
      <w:lvlText w:val="•"/>
      <w:lvlJc w:val="left"/>
      <w:pPr>
        <w:ind w:left="2287" w:hanging="84"/>
      </w:pPr>
      <w:rPr>
        <w:rFonts w:hint="default"/>
      </w:rPr>
    </w:lvl>
  </w:abstractNum>
  <w:abstractNum w:abstractNumId="1297" w15:restartNumberingAfterBreak="0">
    <w:nsid w:val="50E11E18"/>
    <w:multiLevelType w:val="hybridMultilevel"/>
    <w:tmpl w:val="5128EF28"/>
    <w:lvl w:ilvl="0" w:tplc="97228622">
      <w:numFmt w:val="bullet"/>
      <w:lvlText w:val="–"/>
      <w:lvlJc w:val="left"/>
      <w:pPr>
        <w:ind w:left="163" w:hanging="105"/>
      </w:pPr>
      <w:rPr>
        <w:rFonts w:ascii="Times New Roman" w:eastAsia="Times New Roman" w:hAnsi="Times New Roman" w:cs="Times New Roman" w:hint="default"/>
        <w:color w:val="231F20"/>
        <w:spacing w:val="-8"/>
        <w:w w:val="100"/>
        <w:sz w:val="14"/>
        <w:szCs w:val="14"/>
      </w:rPr>
    </w:lvl>
    <w:lvl w:ilvl="1" w:tplc="6B66B532">
      <w:numFmt w:val="bullet"/>
      <w:lvlText w:val="•"/>
      <w:lvlJc w:val="left"/>
      <w:pPr>
        <w:ind w:left="240" w:hanging="105"/>
      </w:pPr>
      <w:rPr>
        <w:rFonts w:hint="default"/>
      </w:rPr>
    </w:lvl>
    <w:lvl w:ilvl="2" w:tplc="BBDEB374">
      <w:numFmt w:val="bullet"/>
      <w:lvlText w:val="•"/>
      <w:lvlJc w:val="left"/>
      <w:pPr>
        <w:ind w:left="464" w:hanging="105"/>
      </w:pPr>
      <w:rPr>
        <w:rFonts w:hint="default"/>
      </w:rPr>
    </w:lvl>
    <w:lvl w:ilvl="3" w:tplc="ECBA5E0E">
      <w:numFmt w:val="bullet"/>
      <w:lvlText w:val="•"/>
      <w:lvlJc w:val="left"/>
      <w:pPr>
        <w:ind w:left="688" w:hanging="105"/>
      </w:pPr>
      <w:rPr>
        <w:rFonts w:hint="default"/>
      </w:rPr>
    </w:lvl>
    <w:lvl w:ilvl="4" w:tplc="A7B07FBC">
      <w:numFmt w:val="bullet"/>
      <w:lvlText w:val="•"/>
      <w:lvlJc w:val="left"/>
      <w:pPr>
        <w:ind w:left="912" w:hanging="105"/>
      </w:pPr>
      <w:rPr>
        <w:rFonts w:hint="default"/>
      </w:rPr>
    </w:lvl>
    <w:lvl w:ilvl="5" w:tplc="B4DCF656">
      <w:numFmt w:val="bullet"/>
      <w:lvlText w:val="•"/>
      <w:lvlJc w:val="left"/>
      <w:pPr>
        <w:ind w:left="1136" w:hanging="105"/>
      </w:pPr>
      <w:rPr>
        <w:rFonts w:hint="default"/>
      </w:rPr>
    </w:lvl>
    <w:lvl w:ilvl="6" w:tplc="0BC49D72">
      <w:numFmt w:val="bullet"/>
      <w:lvlText w:val="•"/>
      <w:lvlJc w:val="left"/>
      <w:pPr>
        <w:ind w:left="1360" w:hanging="105"/>
      </w:pPr>
      <w:rPr>
        <w:rFonts w:hint="default"/>
      </w:rPr>
    </w:lvl>
    <w:lvl w:ilvl="7" w:tplc="8A18502E">
      <w:numFmt w:val="bullet"/>
      <w:lvlText w:val="•"/>
      <w:lvlJc w:val="left"/>
      <w:pPr>
        <w:ind w:left="1584" w:hanging="105"/>
      </w:pPr>
      <w:rPr>
        <w:rFonts w:hint="default"/>
      </w:rPr>
    </w:lvl>
    <w:lvl w:ilvl="8" w:tplc="4EA09DE2">
      <w:numFmt w:val="bullet"/>
      <w:lvlText w:val="•"/>
      <w:lvlJc w:val="left"/>
      <w:pPr>
        <w:ind w:left="1808" w:hanging="105"/>
      </w:pPr>
      <w:rPr>
        <w:rFonts w:hint="default"/>
      </w:rPr>
    </w:lvl>
  </w:abstractNum>
  <w:abstractNum w:abstractNumId="1298" w15:restartNumberingAfterBreak="0">
    <w:nsid w:val="50F47277"/>
    <w:multiLevelType w:val="hybridMultilevel"/>
    <w:tmpl w:val="2BCC85D6"/>
    <w:lvl w:ilvl="0" w:tplc="FB50D4EE">
      <w:numFmt w:val="bullet"/>
      <w:lvlText w:val=""/>
      <w:lvlJc w:val="left"/>
      <w:pPr>
        <w:ind w:left="157" w:hanging="100"/>
      </w:pPr>
      <w:rPr>
        <w:rFonts w:ascii="Symbol" w:eastAsia="Symbol" w:hAnsi="Symbol" w:cs="Symbol" w:hint="default"/>
        <w:color w:val="231F20"/>
        <w:w w:val="100"/>
        <w:sz w:val="14"/>
        <w:szCs w:val="14"/>
      </w:rPr>
    </w:lvl>
    <w:lvl w:ilvl="1" w:tplc="417A3A3E">
      <w:numFmt w:val="bullet"/>
      <w:lvlText w:val="•"/>
      <w:lvlJc w:val="left"/>
      <w:pPr>
        <w:ind w:left="426" w:hanging="100"/>
      </w:pPr>
      <w:rPr>
        <w:rFonts w:hint="default"/>
      </w:rPr>
    </w:lvl>
    <w:lvl w:ilvl="2" w:tplc="D838553E">
      <w:numFmt w:val="bullet"/>
      <w:lvlText w:val="•"/>
      <w:lvlJc w:val="left"/>
      <w:pPr>
        <w:ind w:left="692" w:hanging="100"/>
      </w:pPr>
      <w:rPr>
        <w:rFonts w:hint="default"/>
      </w:rPr>
    </w:lvl>
    <w:lvl w:ilvl="3" w:tplc="AA08928A">
      <w:numFmt w:val="bullet"/>
      <w:lvlText w:val="•"/>
      <w:lvlJc w:val="left"/>
      <w:pPr>
        <w:ind w:left="959" w:hanging="100"/>
      </w:pPr>
      <w:rPr>
        <w:rFonts w:hint="default"/>
      </w:rPr>
    </w:lvl>
    <w:lvl w:ilvl="4" w:tplc="4ED6D19A">
      <w:numFmt w:val="bullet"/>
      <w:lvlText w:val="•"/>
      <w:lvlJc w:val="left"/>
      <w:pPr>
        <w:ind w:left="1225" w:hanging="100"/>
      </w:pPr>
      <w:rPr>
        <w:rFonts w:hint="default"/>
      </w:rPr>
    </w:lvl>
    <w:lvl w:ilvl="5" w:tplc="BE8CBAF6">
      <w:numFmt w:val="bullet"/>
      <w:lvlText w:val="•"/>
      <w:lvlJc w:val="left"/>
      <w:pPr>
        <w:ind w:left="1492" w:hanging="100"/>
      </w:pPr>
      <w:rPr>
        <w:rFonts w:hint="default"/>
      </w:rPr>
    </w:lvl>
    <w:lvl w:ilvl="6" w:tplc="F0B2695A">
      <w:numFmt w:val="bullet"/>
      <w:lvlText w:val="•"/>
      <w:lvlJc w:val="left"/>
      <w:pPr>
        <w:ind w:left="1758" w:hanging="100"/>
      </w:pPr>
      <w:rPr>
        <w:rFonts w:hint="default"/>
      </w:rPr>
    </w:lvl>
    <w:lvl w:ilvl="7" w:tplc="15A488A2">
      <w:numFmt w:val="bullet"/>
      <w:lvlText w:val="•"/>
      <w:lvlJc w:val="left"/>
      <w:pPr>
        <w:ind w:left="2024" w:hanging="100"/>
      </w:pPr>
      <w:rPr>
        <w:rFonts w:hint="default"/>
      </w:rPr>
    </w:lvl>
    <w:lvl w:ilvl="8" w:tplc="54F6D12A">
      <w:numFmt w:val="bullet"/>
      <w:lvlText w:val="•"/>
      <w:lvlJc w:val="left"/>
      <w:pPr>
        <w:ind w:left="2291" w:hanging="100"/>
      </w:pPr>
      <w:rPr>
        <w:rFonts w:hint="default"/>
      </w:rPr>
    </w:lvl>
  </w:abstractNum>
  <w:abstractNum w:abstractNumId="1299" w15:restartNumberingAfterBreak="0">
    <w:nsid w:val="510D15D5"/>
    <w:multiLevelType w:val="hybridMultilevel"/>
    <w:tmpl w:val="700CE410"/>
    <w:lvl w:ilvl="0" w:tplc="FD5C623E">
      <w:numFmt w:val="bullet"/>
      <w:lvlText w:val=""/>
      <w:lvlJc w:val="left"/>
      <w:pPr>
        <w:ind w:left="156" w:hanging="100"/>
      </w:pPr>
      <w:rPr>
        <w:rFonts w:ascii="Symbol" w:eastAsia="Symbol" w:hAnsi="Symbol" w:cs="Symbol" w:hint="default"/>
        <w:color w:val="231F20"/>
        <w:w w:val="100"/>
        <w:sz w:val="14"/>
        <w:szCs w:val="14"/>
      </w:rPr>
    </w:lvl>
    <w:lvl w:ilvl="1" w:tplc="5C385D2C">
      <w:numFmt w:val="bullet"/>
      <w:lvlText w:val="•"/>
      <w:lvlJc w:val="left"/>
      <w:pPr>
        <w:ind w:left="301" w:hanging="100"/>
      </w:pPr>
      <w:rPr>
        <w:rFonts w:hint="default"/>
      </w:rPr>
    </w:lvl>
    <w:lvl w:ilvl="2" w:tplc="CD2EF376">
      <w:numFmt w:val="bullet"/>
      <w:lvlText w:val="•"/>
      <w:lvlJc w:val="left"/>
      <w:pPr>
        <w:ind w:left="443" w:hanging="100"/>
      </w:pPr>
      <w:rPr>
        <w:rFonts w:hint="default"/>
      </w:rPr>
    </w:lvl>
    <w:lvl w:ilvl="3" w:tplc="BF3A88A8">
      <w:numFmt w:val="bullet"/>
      <w:lvlText w:val="•"/>
      <w:lvlJc w:val="left"/>
      <w:pPr>
        <w:ind w:left="585" w:hanging="100"/>
      </w:pPr>
      <w:rPr>
        <w:rFonts w:hint="default"/>
      </w:rPr>
    </w:lvl>
    <w:lvl w:ilvl="4" w:tplc="11D80F2C">
      <w:numFmt w:val="bullet"/>
      <w:lvlText w:val="•"/>
      <w:lvlJc w:val="left"/>
      <w:pPr>
        <w:ind w:left="726" w:hanging="100"/>
      </w:pPr>
      <w:rPr>
        <w:rFonts w:hint="default"/>
      </w:rPr>
    </w:lvl>
    <w:lvl w:ilvl="5" w:tplc="8E746C74">
      <w:numFmt w:val="bullet"/>
      <w:lvlText w:val="•"/>
      <w:lvlJc w:val="left"/>
      <w:pPr>
        <w:ind w:left="868" w:hanging="100"/>
      </w:pPr>
      <w:rPr>
        <w:rFonts w:hint="default"/>
      </w:rPr>
    </w:lvl>
    <w:lvl w:ilvl="6" w:tplc="FEF2370A">
      <w:numFmt w:val="bullet"/>
      <w:lvlText w:val="•"/>
      <w:lvlJc w:val="left"/>
      <w:pPr>
        <w:ind w:left="1010" w:hanging="100"/>
      </w:pPr>
      <w:rPr>
        <w:rFonts w:hint="default"/>
      </w:rPr>
    </w:lvl>
    <w:lvl w:ilvl="7" w:tplc="C570F804">
      <w:numFmt w:val="bullet"/>
      <w:lvlText w:val="•"/>
      <w:lvlJc w:val="left"/>
      <w:pPr>
        <w:ind w:left="1151" w:hanging="100"/>
      </w:pPr>
      <w:rPr>
        <w:rFonts w:hint="default"/>
      </w:rPr>
    </w:lvl>
    <w:lvl w:ilvl="8" w:tplc="64A47778">
      <w:numFmt w:val="bullet"/>
      <w:lvlText w:val="•"/>
      <w:lvlJc w:val="left"/>
      <w:pPr>
        <w:ind w:left="1293" w:hanging="100"/>
      </w:pPr>
      <w:rPr>
        <w:rFonts w:hint="default"/>
      </w:rPr>
    </w:lvl>
  </w:abstractNum>
  <w:abstractNum w:abstractNumId="1300" w15:restartNumberingAfterBreak="0">
    <w:nsid w:val="51643E1C"/>
    <w:multiLevelType w:val="hybridMultilevel"/>
    <w:tmpl w:val="0A220470"/>
    <w:lvl w:ilvl="0" w:tplc="BCAA4708">
      <w:numFmt w:val="bullet"/>
      <w:lvlText w:val=""/>
      <w:lvlJc w:val="left"/>
      <w:pPr>
        <w:ind w:left="156" w:hanging="100"/>
      </w:pPr>
      <w:rPr>
        <w:rFonts w:ascii="Symbol" w:eastAsia="Symbol" w:hAnsi="Symbol" w:cs="Symbol" w:hint="default"/>
        <w:color w:val="231F20"/>
        <w:w w:val="100"/>
        <w:sz w:val="14"/>
        <w:szCs w:val="14"/>
      </w:rPr>
    </w:lvl>
    <w:lvl w:ilvl="1" w:tplc="8D00BF8E">
      <w:numFmt w:val="bullet"/>
      <w:lvlText w:val="•"/>
      <w:lvlJc w:val="left"/>
      <w:pPr>
        <w:ind w:left="301" w:hanging="100"/>
      </w:pPr>
      <w:rPr>
        <w:rFonts w:hint="default"/>
      </w:rPr>
    </w:lvl>
    <w:lvl w:ilvl="2" w:tplc="5C9A17E6">
      <w:numFmt w:val="bullet"/>
      <w:lvlText w:val="•"/>
      <w:lvlJc w:val="left"/>
      <w:pPr>
        <w:ind w:left="443" w:hanging="100"/>
      </w:pPr>
      <w:rPr>
        <w:rFonts w:hint="default"/>
      </w:rPr>
    </w:lvl>
    <w:lvl w:ilvl="3" w:tplc="441A040A">
      <w:numFmt w:val="bullet"/>
      <w:lvlText w:val="•"/>
      <w:lvlJc w:val="left"/>
      <w:pPr>
        <w:ind w:left="585" w:hanging="100"/>
      </w:pPr>
      <w:rPr>
        <w:rFonts w:hint="default"/>
      </w:rPr>
    </w:lvl>
    <w:lvl w:ilvl="4" w:tplc="4CEA382E">
      <w:numFmt w:val="bullet"/>
      <w:lvlText w:val="•"/>
      <w:lvlJc w:val="left"/>
      <w:pPr>
        <w:ind w:left="726" w:hanging="100"/>
      </w:pPr>
      <w:rPr>
        <w:rFonts w:hint="default"/>
      </w:rPr>
    </w:lvl>
    <w:lvl w:ilvl="5" w:tplc="92D2E7EC">
      <w:numFmt w:val="bullet"/>
      <w:lvlText w:val="•"/>
      <w:lvlJc w:val="left"/>
      <w:pPr>
        <w:ind w:left="868" w:hanging="100"/>
      </w:pPr>
      <w:rPr>
        <w:rFonts w:hint="default"/>
      </w:rPr>
    </w:lvl>
    <w:lvl w:ilvl="6" w:tplc="E98646A6">
      <w:numFmt w:val="bullet"/>
      <w:lvlText w:val="•"/>
      <w:lvlJc w:val="left"/>
      <w:pPr>
        <w:ind w:left="1010" w:hanging="100"/>
      </w:pPr>
      <w:rPr>
        <w:rFonts w:hint="default"/>
      </w:rPr>
    </w:lvl>
    <w:lvl w:ilvl="7" w:tplc="A83A393C">
      <w:numFmt w:val="bullet"/>
      <w:lvlText w:val="•"/>
      <w:lvlJc w:val="left"/>
      <w:pPr>
        <w:ind w:left="1151" w:hanging="100"/>
      </w:pPr>
      <w:rPr>
        <w:rFonts w:hint="default"/>
      </w:rPr>
    </w:lvl>
    <w:lvl w:ilvl="8" w:tplc="FCB42392">
      <w:numFmt w:val="bullet"/>
      <w:lvlText w:val="•"/>
      <w:lvlJc w:val="left"/>
      <w:pPr>
        <w:ind w:left="1293" w:hanging="100"/>
      </w:pPr>
      <w:rPr>
        <w:rFonts w:hint="default"/>
      </w:rPr>
    </w:lvl>
  </w:abstractNum>
  <w:abstractNum w:abstractNumId="1301" w15:restartNumberingAfterBreak="0">
    <w:nsid w:val="5176613B"/>
    <w:multiLevelType w:val="hybridMultilevel"/>
    <w:tmpl w:val="C0E45E96"/>
    <w:lvl w:ilvl="0" w:tplc="2B06D106">
      <w:numFmt w:val="bullet"/>
      <w:lvlText w:val=""/>
      <w:lvlJc w:val="left"/>
      <w:pPr>
        <w:ind w:left="156" w:hanging="100"/>
      </w:pPr>
      <w:rPr>
        <w:rFonts w:ascii="Symbol" w:eastAsia="Symbol" w:hAnsi="Symbol" w:cs="Symbol" w:hint="default"/>
        <w:color w:val="231F20"/>
        <w:w w:val="100"/>
        <w:sz w:val="14"/>
        <w:szCs w:val="14"/>
      </w:rPr>
    </w:lvl>
    <w:lvl w:ilvl="1" w:tplc="7F988A4A">
      <w:numFmt w:val="bullet"/>
      <w:lvlText w:val="•"/>
      <w:lvlJc w:val="left"/>
      <w:pPr>
        <w:ind w:left="426" w:hanging="100"/>
      </w:pPr>
      <w:rPr>
        <w:rFonts w:hint="default"/>
      </w:rPr>
    </w:lvl>
    <w:lvl w:ilvl="2" w:tplc="A8F8DDCA">
      <w:numFmt w:val="bullet"/>
      <w:lvlText w:val="•"/>
      <w:lvlJc w:val="left"/>
      <w:pPr>
        <w:ind w:left="692" w:hanging="100"/>
      </w:pPr>
      <w:rPr>
        <w:rFonts w:hint="default"/>
      </w:rPr>
    </w:lvl>
    <w:lvl w:ilvl="3" w:tplc="2E5E492A">
      <w:numFmt w:val="bullet"/>
      <w:lvlText w:val="•"/>
      <w:lvlJc w:val="left"/>
      <w:pPr>
        <w:ind w:left="959" w:hanging="100"/>
      </w:pPr>
      <w:rPr>
        <w:rFonts w:hint="default"/>
      </w:rPr>
    </w:lvl>
    <w:lvl w:ilvl="4" w:tplc="5B008640">
      <w:numFmt w:val="bullet"/>
      <w:lvlText w:val="•"/>
      <w:lvlJc w:val="left"/>
      <w:pPr>
        <w:ind w:left="1225" w:hanging="100"/>
      </w:pPr>
      <w:rPr>
        <w:rFonts w:hint="default"/>
      </w:rPr>
    </w:lvl>
    <w:lvl w:ilvl="5" w:tplc="E2124D9A">
      <w:numFmt w:val="bullet"/>
      <w:lvlText w:val="•"/>
      <w:lvlJc w:val="left"/>
      <w:pPr>
        <w:ind w:left="1492" w:hanging="100"/>
      </w:pPr>
      <w:rPr>
        <w:rFonts w:hint="default"/>
      </w:rPr>
    </w:lvl>
    <w:lvl w:ilvl="6" w:tplc="8940C10E">
      <w:numFmt w:val="bullet"/>
      <w:lvlText w:val="•"/>
      <w:lvlJc w:val="left"/>
      <w:pPr>
        <w:ind w:left="1758" w:hanging="100"/>
      </w:pPr>
      <w:rPr>
        <w:rFonts w:hint="default"/>
      </w:rPr>
    </w:lvl>
    <w:lvl w:ilvl="7" w:tplc="A720F2AE">
      <w:numFmt w:val="bullet"/>
      <w:lvlText w:val="•"/>
      <w:lvlJc w:val="left"/>
      <w:pPr>
        <w:ind w:left="2024" w:hanging="100"/>
      </w:pPr>
      <w:rPr>
        <w:rFonts w:hint="default"/>
      </w:rPr>
    </w:lvl>
    <w:lvl w:ilvl="8" w:tplc="C39248B6">
      <w:numFmt w:val="bullet"/>
      <w:lvlText w:val="•"/>
      <w:lvlJc w:val="left"/>
      <w:pPr>
        <w:ind w:left="2291" w:hanging="100"/>
      </w:pPr>
      <w:rPr>
        <w:rFonts w:hint="default"/>
      </w:rPr>
    </w:lvl>
  </w:abstractNum>
  <w:abstractNum w:abstractNumId="1302" w15:restartNumberingAfterBreak="0">
    <w:nsid w:val="517B18E9"/>
    <w:multiLevelType w:val="hybridMultilevel"/>
    <w:tmpl w:val="B61617BA"/>
    <w:lvl w:ilvl="0" w:tplc="7BB42740">
      <w:numFmt w:val="bullet"/>
      <w:lvlText w:val=""/>
      <w:lvlJc w:val="left"/>
      <w:pPr>
        <w:ind w:left="156" w:hanging="100"/>
      </w:pPr>
      <w:rPr>
        <w:rFonts w:ascii="Symbol" w:eastAsia="Symbol" w:hAnsi="Symbol" w:cs="Symbol" w:hint="default"/>
        <w:color w:val="231F20"/>
        <w:w w:val="100"/>
        <w:sz w:val="14"/>
        <w:szCs w:val="14"/>
      </w:rPr>
    </w:lvl>
    <w:lvl w:ilvl="1" w:tplc="0B3425EA">
      <w:numFmt w:val="bullet"/>
      <w:lvlText w:val="•"/>
      <w:lvlJc w:val="left"/>
      <w:pPr>
        <w:ind w:left="301" w:hanging="100"/>
      </w:pPr>
      <w:rPr>
        <w:rFonts w:hint="default"/>
      </w:rPr>
    </w:lvl>
    <w:lvl w:ilvl="2" w:tplc="09484986">
      <w:numFmt w:val="bullet"/>
      <w:lvlText w:val="•"/>
      <w:lvlJc w:val="left"/>
      <w:pPr>
        <w:ind w:left="443" w:hanging="100"/>
      </w:pPr>
      <w:rPr>
        <w:rFonts w:hint="default"/>
      </w:rPr>
    </w:lvl>
    <w:lvl w:ilvl="3" w:tplc="E6D40B9A">
      <w:numFmt w:val="bullet"/>
      <w:lvlText w:val="•"/>
      <w:lvlJc w:val="left"/>
      <w:pPr>
        <w:ind w:left="585" w:hanging="100"/>
      </w:pPr>
      <w:rPr>
        <w:rFonts w:hint="default"/>
      </w:rPr>
    </w:lvl>
    <w:lvl w:ilvl="4" w:tplc="78549C4A">
      <w:numFmt w:val="bullet"/>
      <w:lvlText w:val="•"/>
      <w:lvlJc w:val="left"/>
      <w:pPr>
        <w:ind w:left="726" w:hanging="100"/>
      </w:pPr>
      <w:rPr>
        <w:rFonts w:hint="default"/>
      </w:rPr>
    </w:lvl>
    <w:lvl w:ilvl="5" w:tplc="3D04200C">
      <w:numFmt w:val="bullet"/>
      <w:lvlText w:val="•"/>
      <w:lvlJc w:val="left"/>
      <w:pPr>
        <w:ind w:left="868" w:hanging="100"/>
      </w:pPr>
      <w:rPr>
        <w:rFonts w:hint="default"/>
      </w:rPr>
    </w:lvl>
    <w:lvl w:ilvl="6" w:tplc="DC8C6B94">
      <w:numFmt w:val="bullet"/>
      <w:lvlText w:val="•"/>
      <w:lvlJc w:val="left"/>
      <w:pPr>
        <w:ind w:left="1010" w:hanging="100"/>
      </w:pPr>
      <w:rPr>
        <w:rFonts w:hint="default"/>
      </w:rPr>
    </w:lvl>
    <w:lvl w:ilvl="7" w:tplc="81B45044">
      <w:numFmt w:val="bullet"/>
      <w:lvlText w:val="•"/>
      <w:lvlJc w:val="left"/>
      <w:pPr>
        <w:ind w:left="1151" w:hanging="100"/>
      </w:pPr>
      <w:rPr>
        <w:rFonts w:hint="default"/>
      </w:rPr>
    </w:lvl>
    <w:lvl w:ilvl="8" w:tplc="96189B6A">
      <w:numFmt w:val="bullet"/>
      <w:lvlText w:val="•"/>
      <w:lvlJc w:val="left"/>
      <w:pPr>
        <w:ind w:left="1293" w:hanging="100"/>
      </w:pPr>
      <w:rPr>
        <w:rFonts w:hint="default"/>
      </w:rPr>
    </w:lvl>
  </w:abstractNum>
  <w:abstractNum w:abstractNumId="1303" w15:restartNumberingAfterBreak="0">
    <w:nsid w:val="51917ECD"/>
    <w:multiLevelType w:val="hybridMultilevel"/>
    <w:tmpl w:val="C21C3D60"/>
    <w:lvl w:ilvl="0" w:tplc="193EAE0C">
      <w:numFmt w:val="bullet"/>
      <w:lvlText w:val=""/>
      <w:lvlJc w:val="left"/>
      <w:pPr>
        <w:ind w:left="156" w:hanging="100"/>
      </w:pPr>
      <w:rPr>
        <w:rFonts w:ascii="Symbol" w:eastAsia="Symbol" w:hAnsi="Symbol" w:cs="Symbol" w:hint="default"/>
        <w:color w:val="231F20"/>
        <w:w w:val="100"/>
        <w:sz w:val="14"/>
        <w:szCs w:val="14"/>
      </w:rPr>
    </w:lvl>
    <w:lvl w:ilvl="1" w:tplc="776CEBE8">
      <w:numFmt w:val="bullet"/>
      <w:lvlText w:val="•"/>
      <w:lvlJc w:val="left"/>
      <w:pPr>
        <w:ind w:left="398" w:hanging="100"/>
      </w:pPr>
      <w:rPr>
        <w:rFonts w:hint="default"/>
      </w:rPr>
    </w:lvl>
    <w:lvl w:ilvl="2" w:tplc="A572A400">
      <w:numFmt w:val="bullet"/>
      <w:lvlText w:val="•"/>
      <w:lvlJc w:val="left"/>
      <w:pPr>
        <w:ind w:left="636" w:hanging="100"/>
      </w:pPr>
      <w:rPr>
        <w:rFonts w:hint="default"/>
      </w:rPr>
    </w:lvl>
    <w:lvl w:ilvl="3" w:tplc="46628FC6">
      <w:numFmt w:val="bullet"/>
      <w:lvlText w:val="•"/>
      <w:lvlJc w:val="left"/>
      <w:pPr>
        <w:ind w:left="874" w:hanging="100"/>
      </w:pPr>
      <w:rPr>
        <w:rFonts w:hint="default"/>
      </w:rPr>
    </w:lvl>
    <w:lvl w:ilvl="4" w:tplc="35289DB6">
      <w:numFmt w:val="bullet"/>
      <w:lvlText w:val="•"/>
      <w:lvlJc w:val="left"/>
      <w:pPr>
        <w:ind w:left="1112" w:hanging="100"/>
      </w:pPr>
      <w:rPr>
        <w:rFonts w:hint="default"/>
      </w:rPr>
    </w:lvl>
    <w:lvl w:ilvl="5" w:tplc="CD502998">
      <w:numFmt w:val="bullet"/>
      <w:lvlText w:val="•"/>
      <w:lvlJc w:val="left"/>
      <w:pPr>
        <w:ind w:left="1350" w:hanging="100"/>
      </w:pPr>
      <w:rPr>
        <w:rFonts w:hint="default"/>
      </w:rPr>
    </w:lvl>
    <w:lvl w:ilvl="6" w:tplc="29C60C20">
      <w:numFmt w:val="bullet"/>
      <w:lvlText w:val="•"/>
      <w:lvlJc w:val="left"/>
      <w:pPr>
        <w:ind w:left="1588" w:hanging="100"/>
      </w:pPr>
      <w:rPr>
        <w:rFonts w:hint="default"/>
      </w:rPr>
    </w:lvl>
    <w:lvl w:ilvl="7" w:tplc="8294CA74">
      <w:numFmt w:val="bullet"/>
      <w:lvlText w:val="•"/>
      <w:lvlJc w:val="left"/>
      <w:pPr>
        <w:ind w:left="1826" w:hanging="100"/>
      </w:pPr>
      <w:rPr>
        <w:rFonts w:hint="default"/>
      </w:rPr>
    </w:lvl>
    <w:lvl w:ilvl="8" w:tplc="57720DB6">
      <w:numFmt w:val="bullet"/>
      <w:lvlText w:val="•"/>
      <w:lvlJc w:val="left"/>
      <w:pPr>
        <w:ind w:left="2064" w:hanging="100"/>
      </w:pPr>
      <w:rPr>
        <w:rFonts w:hint="default"/>
      </w:rPr>
    </w:lvl>
  </w:abstractNum>
  <w:abstractNum w:abstractNumId="1304" w15:restartNumberingAfterBreak="0">
    <w:nsid w:val="519754C5"/>
    <w:multiLevelType w:val="hybridMultilevel"/>
    <w:tmpl w:val="853E064A"/>
    <w:lvl w:ilvl="0" w:tplc="B8F8B776">
      <w:numFmt w:val="bullet"/>
      <w:lvlText w:val=""/>
      <w:lvlJc w:val="left"/>
      <w:pPr>
        <w:ind w:left="156" w:hanging="100"/>
      </w:pPr>
      <w:rPr>
        <w:rFonts w:ascii="Symbol" w:eastAsia="Symbol" w:hAnsi="Symbol" w:cs="Symbol" w:hint="default"/>
        <w:color w:val="231F20"/>
        <w:w w:val="100"/>
        <w:sz w:val="14"/>
        <w:szCs w:val="14"/>
      </w:rPr>
    </w:lvl>
    <w:lvl w:ilvl="1" w:tplc="BC42C8E0">
      <w:numFmt w:val="bullet"/>
      <w:lvlText w:val="•"/>
      <w:lvlJc w:val="left"/>
      <w:pPr>
        <w:ind w:left="301" w:hanging="100"/>
      </w:pPr>
      <w:rPr>
        <w:rFonts w:hint="default"/>
      </w:rPr>
    </w:lvl>
    <w:lvl w:ilvl="2" w:tplc="C2884F78">
      <w:numFmt w:val="bullet"/>
      <w:lvlText w:val="•"/>
      <w:lvlJc w:val="left"/>
      <w:pPr>
        <w:ind w:left="443" w:hanging="100"/>
      </w:pPr>
      <w:rPr>
        <w:rFonts w:hint="default"/>
      </w:rPr>
    </w:lvl>
    <w:lvl w:ilvl="3" w:tplc="212255C4">
      <w:numFmt w:val="bullet"/>
      <w:lvlText w:val="•"/>
      <w:lvlJc w:val="left"/>
      <w:pPr>
        <w:ind w:left="585" w:hanging="100"/>
      </w:pPr>
      <w:rPr>
        <w:rFonts w:hint="default"/>
      </w:rPr>
    </w:lvl>
    <w:lvl w:ilvl="4" w:tplc="994A2F9E">
      <w:numFmt w:val="bullet"/>
      <w:lvlText w:val="•"/>
      <w:lvlJc w:val="left"/>
      <w:pPr>
        <w:ind w:left="726" w:hanging="100"/>
      </w:pPr>
      <w:rPr>
        <w:rFonts w:hint="default"/>
      </w:rPr>
    </w:lvl>
    <w:lvl w:ilvl="5" w:tplc="42041254">
      <w:numFmt w:val="bullet"/>
      <w:lvlText w:val="•"/>
      <w:lvlJc w:val="left"/>
      <w:pPr>
        <w:ind w:left="868" w:hanging="100"/>
      </w:pPr>
      <w:rPr>
        <w:rFonts w:hint="default"/>
      </w:rPr>
    </w:lvl>
    <w:lvl w:ilvl="6" w:tplc="73C4C0DA">
      <w:numFmt w:val="bullet"/>
      <w:lvlText w:val="•"/>
      <w:lvlJc w:val="left"/>
      <w:pPr>
        <w:ind w:left="1010" w:hanging="100"/>
      </w:pPr>
      <w:rPr>
        <w:rFonts w:hint="default"/>
      </w:rPr>
    </w:lvl>
    <w:lvl w:ilvl="7" w:tplc="04103C82">
      <w:numFmt w:val="bullet"/>
      <w:lvlText w:val="•"/>
      <w:lvlJc w:val="left"/>
      <w:pPr>
        <w:ind w:left="1151" w:hanging="100"/>
      </w:pPr>
      <w:rPr>
        <w:rFonts w:hint="default"/>
      </w:rPr>
    </w:lvl>
    <w:lvl w:ilvl="8" w:tplc="C658C64C">
      <w:numFmt w:val="bullet"/>
      <w:lvlText w:val="•"/>
      <w:lvlJc w:val="left"/>
      <w:pPr>
        <w:ind w:left="1293" w:hanging="100"/>
      </w:pPr>
      <w:rPr>
        <w:rFonts w:hint="default"/>
      </w:rPr>
    </w:lvl>
  </w:abstractNum>
  <w:abstractNum w:abstractNumId="1305" w15:restartNumberingAfterBreak="0">
    <w:nsid w:val="51B260D0"/>
    <w:multiLevelType w:val="hybridMultilevel"/>
    <w:tmpl w:val="8F46E8F4"/>
    <w:lvl w:ilvl="0" w:tplc="8F8EE7D0">
      <w:numFmt w:val="bullet"/>
      <w:lvlText w:val=""/>
      <w:lvlJc w:val="left"/>
      <w:pPr>
        <w:ind w:left="156" w:hanging="100"/>
      </w:pPr>
      <w:rPr>
        <w:rFonts w:ascii="Symbol" w:eastAsia="Symbol" w:hAnsi="Symbol" w:cs="Symbol" w:hint="default"/>
        <w:color w:val="231F20"/>
        <w:w w:val="100"/>
        <w:sz w:val="14"/>
        <w:szCs w:val="14"/>
      </w:rPr>
    </w:lvl>
    <w:lvl w:ilvl="1" w:tplc="C73242C2">
      <w:numFmt w:val="bullet"/>
      <w:lvlText w:val="•"/>
      <w:lvlJc w:val="left"/>
      <w:pPr>
        <w:ind w:left="426" w:hanging="100"/>
      </w:pPr>
      <w:rPr>
        <w:rFonts w:hint="default"/>
      </w:rPr>
    </w:lvl>
    <w:lvl w:ilvl="2" w:tplc="9F5E679E">
      <w:numFmt w:val="bullet"/>
      <w:lvlText w:val="•"/>
      <w:lvlJc w:val="left"/>
      <w:pPr>
        <w:ind w:left="692" w:hanging="100"/>
      </w:pPr>
      <w:rPr>
        <w:rFonts w:hint="default"/>
      </w:rPr>
    </w:lvl>
    <w:lvl w:ilvl="3" w:tplc="A328C9A2">
      <w:numFmt w:val="bullet"/>
      <w:lvlText w:val="•"/>
      <w:lvlJc w:val="left"/>
      <w:pPr>
        <w:ind w:left="959" w:hanging="100"/>
      </w:pPr>
      <w:rPr>
        <w:rFonts w:hint="default"/>
      </w:rPr>
    </w:lvl>
    <w:lvl w:ilvl="4" w:tplc="F418023E">
      <w:numFmt w:val="bullet"/>
      <w:lvlText w:val="•"/>
      <w:lvlJc w:val="left"/>
      <w:pPr>
        <w:ind w:left="1225" w:hanging="100"/>
      </w:pPr>
      <w:rPr>
        <w:rFonts w:hint="default"/>
      </w:rPr>
    </w:lvl>
    <w:lvl w:ilvl="5" w:tplc="4B7EAFFC">
      <w:numFmt w:val="bullet"/>
      <w:lvlText w:val="•"/>
      <w:lvlJc w:val="left"/>
      <w:pPr>
        <w:ind w:left="1492" w:hanging="100"/>
      </w:pPr>
      <w:rPr>
        <w:rFonts w:hint="default"/>
      </w:rPr>
    </w:lvl>
    <w:lvl w:ilvl="6" w:tplc="FAAE8342">
      <w:numFmt w:val="bullet"/>
      <w:lvlText w:val="•"/>
      <w:lvlJc w:val="left"/>
      <w:pPr>
        <w:ind w:left="1758" w:hanging="100"/>
      </w:pPr>
      <w:rPr>
        <w:rFonts w:hint="default"/>
      </w:rPr>
    </w:lvl>
    <w:lvl w:ilvl="7" w:tplc="E468FD2A">
      <w:numFmt w:val="bullet"/>
      <w:lvlText w:val="•"/>
      <w:lvlJc w:val="left"/>
      <w:pPr>
        <w:ind w:left="2024" w:hanging="100"/>
      </w:pPr>
      <w:rPr>
        <w:rFonts w:hint="default"/>
      </w:rPr>
    </w:lvl>
    <w:lvl w:ilvl="8" w:tplc="EEB2E8C8">
      <w:numFmt w:val="bullet"/>
      <w:lvlText w:val="•"/>
      <w:lvlJc w:val="left"/>
      <w:pPr>
        <w:ind w:left="2291" w:hanging="100"/>
      </w:pPr>
      <w:rPr>
        <w:rFonts w:hint="default"/>
      </w:rPr>
    </w:lvl>
  </w:abstractNum>
  <w:abstractNum w:abstractNumId="1306" w15:restartNumberingAfterBreak="0">
    <w:nsid w:val="51B5596C"/>
    <w:multiLevelType w:val="hybridMultilevel"/>
    <w:tmpl w:val="B350B84A"/>
    <w:lvl w:ilvl="0" w:tplc="79901EAE">
      <w:numFmt w:val="bullet"/>
      <w:lvlText w:val=""/>
      <w:lvlJc w:val="left"/>
      <w:pPr>
        <w:ind w:left="156" w:hanging="100"/>
      </w:pPr>
      <w:rPr>
        <w:rFonts w:ascii="Symbol" w:eastAsia="Symbol" w:hAnsi="Symbol" w:cs="Symbol" w:hint="default"/>
        <w:color w:val="231F20"/>
        <w:w w:val="100"/>
        <w:sz w:val="14"/>
        <w:szCs w:val="14"/>
      </w:rPr>
    </w:lvl>
    <w:lvl w:ilvl="1" w:tplc="53542E5C">
      <w:numFmt w:val="bullet"/>
      <w:lvlText w:val="•"/>
      <w:lvlJc w:val="left"/>
      <w:pPr>
        <w:ind w:left="398" w:hanging="100"/>
      </w:pPr>
      <w:rPr>
        <w:rFonts w:hint="default"/>
      </w:rPr>
    </w:lvl>
    <w:lvl w:ilvl="2" w:tplc="F508FDB4">
      <w:numFmt w:val="bullet"/>
      <w:lvlText w:val="•"/>
      <w:lvlJc w:val="left"/>
      <w:pPr>
        <w:ind w:left="636" w:hanging="100"/>
      </w:pPr>
      <w:rPr>
        <w:rFonts w:hint="default"/>
      </w:rPr>
    </w:lvl>
    <w:lvl w:ilvl="3" w:tplc="A288B022">
      <w:numFmt w:val="bullet"/>
      <w:lvlText w:val="•"/>
      <w:lvlJc w:val="left"/>
      <w:pPr>
        <w:ind w:left="874" w:hanging="100"/>
      </w:pPr>
      <w:rPr>
        <w:rFonts w:hint="default"/>
      </w:rPr>
    </w:lvl>
    <w:lvl w:ilvl="4" w:tplc="A57C064E">
      <w:numFmt w:val="bullet"/>
      <w:lvlText w:val="•"/>
      <w:lvlJc w:val="left"/>
      <w:pPr>
        <w:ind w:left="1112" w:hanging="100"/>
      </w:pPr>
      <w:rPr>
        <w:rFonts w:hint="default"/>
      </w:rPr>
    </w:lvl>
    <w:lvl w:ilvl="5" w:tplc="329E49D4">
      <w:numFmt w:val="bullet"/>
      <w:lvlText w:val="•"/>
      <w:lvlJc w:val="left"/>
      <w:pPr>
        <w:ind w:left="1350" w:hanging="100"/>
      </w:pPr>
      <w:rPr>
        <w:rFonts w:hint="default"/>
      </w:rPr>
    </w:lvl>
    <w:lvl w:ilvl="6" w:tplc="9BCC4C76">
      <w:numFmt w:val="bullet"/>
      <w:lvlText w:val="•"/>
      <w:lvlJc w:val="left"/>
      <w:pPr>
        <w:ind w:left="1588" w:hanging="100"/>
      </w:pPr>
      <w:rPr>
        <w:rFonts w:hint="default"/>
      </w:rPr>
    </w:lvl>
    <w:lvl w:ilvl="7" w:tplc="DE0E7C2E">
      <w:numFmt w:val="bullet"/>
      <w:lvlText w:val="•"/>
      <w:lvlJc w:val="left"/>
      <w:pPr>
        <w:ind w:left="1826" w:hanging="100"/>
      </w:pPr>
      <w:rPr>
        <w:rFonts w:hint="default"/>
      </w:rPr>
    </w:lvl>
    <w:lvl w:ilvl="8" w:tplc="7A94E63A">
      <w:numFmt w:val="bullet"/>
      <w:lvlText w:val="•"/>
      <w:lvlJc w:val="left"/>
      <w:pPr>
        <w:ind w:left="2064" w:hanging="100"/>
      </w:pPr>
      <w:rPr>
        <w:rFonts w:hint="default"/>
      </w:rPr>
    </w:lvl>
  </w:abstractNum>
  <w:abstractNum w:abstractNumId="1307" w15:restartNumberingAfterBreak="0">
    <w:nsid w:val="51BC606A"/>
    <w:multiLevelType w:val="hybridMultilevel"/>
    <w:tmpl w:val="124C32F0"/>
    <w:lvl w:ilvl="0" w:tplc="A50AFEDE">
      <w:numFmt w:val="bullet"/>
      <w:lvlText w:val=""/>
      <w:lvlJc w:val="left"/>
      <w:pPr>
        <w:ind w:left="157" w:hanging="100"/>
      </w:pPr>
      <w:rPr>
        <w:rFonts w:ascii="Symbol" w:eastAsia="Symbol" w:hAnsi="Symbol" w:cs="Symbol" w:hint="default"/>
        <w:color w:val="231F20"/>
        <w:w w:val="100"/>
        <w:sz w:val="14"/>
        <w:szCs w:val="14"/>
      </w:rPr>
    </w:lvl>
    <w:lvl w:ilvl="1" w:tplc="2C24A9E2">
      <w:numFmt w:val="bullet"/>
      <w:lvlText w:val="•"/>
      <w:lvlJc w:val="left"/>
      <w:pPr>
        <w:ind w:left="426" w:hanging="100"/>
      </w:pPr>
      <w:rPr>
        <w:rFonts w:hint="default"/>
      </w:rPr>
    </w:lvl>
    <w:lvl w:ilvl="2" w:tplc="DBDCFF0C">
      <w:numFmt w:val="bullet"/>
      <w:lvlText w:val="•"/>
      <w:lvlJc w:val="left"/>
      <w:pPr>
        <w:ind w:left="692" w:hanging="100"/>
      </w:pPr>
      <w:rPr>
        <w:rFonts w:hint="default"/>
      </w:rPr>
    </w:lvl>
    <w:lvl w:ilvl="3" w:tplc="0F9E5D4E">
      <w:numFmt w:val="bullet"/>
      <w:lvlText w:val="•"/>
      <w:lvlJc w:val="left"/>
      <w:pPr>
        <w:ind w:left="959" w:hanging="100"/>
      </w:pPr>
      <w:rPr>
        <w:rFonts w:hint="default"/>
      </w:rPr>
    </w:lvl>
    <w:lvl w:ilvl="4" w:tplc="CD06D6E4">
      <w:numFmt w:val="bullet"/>
      <w:lvlText w:val="•"/>
      <w:lvlJc w:val="left"/>
      <w:pPr>
        <w:ind w:left="1225" w:hanging="100"/>
      </w:pPr>
      <w:rPr>
        <w:rFonts w:hint="default"/>
      </w:rPr>
    </w:lvl>
    <w:lvl w:ilvl="5" w:tplc="9EDCD368">
      <w:numFmt w:val="bullet"/>
      <w:lvlText w:val="•"/>
      <w:lvlJc w:val="left"/>
      <w:pPr>
        <w:ind w:left="1492" w:hanging="100"/>
      </w:pPr>
      <w:rPr>
        <w:rFonts w:hint="default"/>
      </w:rPr>
    </w:lvl>
    <w:lvl w:ilvl="6" w:tplc="F0A20F74">
      <w:numFmt w:val="bullet"/>
      <w:lvlText w:val="•"/>
      <w:lvlJc w:val="left"/>
      <w:pPr>
        <w:ind w:left="1758" w:hanging="100"/>
      </w:pPr>
      <w:rPr>
        <w:rFonts w:hint="default"/>
      </w:rPr>
    </w:lvl>
    <w:lvl w:ilvl="7" w:tplc="50648BF8">
      <w:numFmt w:val="bullet"/>
      <w:lvlText w:val="•"/>
      <w:lvlJc w:val="left"/>
      <w:pPr>
        <w:ind w:left="2024" w:hanging="100"/>
      </w:pPr>
      <w:rPr>
        <w:rFonts w:hint="default"/>
      </w:rPr>
    </w:lvl>
    <w:lvl w:ilvl="8" w:tplc="26143158">
      <w:numFmt w:val="bullet"/>
      <w:lvlText w:val="•"/>
      <w:lvlJc w:val="left"/>
      <w:pPr>
        <w:ind w:left="2291" w:hanging="100"/>
      </w:pPr>
      <w:rPr>
        <w:rFonts w:hint="default"/>
      </w:rPr>
    </w:lvl>
  </w:abstractNum>
  <w:abstractNum w:abstractNumId="1308" w15:restartNumberingAfterBreak="0">
    <w:nsid w:val="51BF5516"/>
    <w:multiLevelType w:val="hybridMultilevel"/>
    <w:tmpl w:val="0B0E86FA"/>
    <w:lvl w:ilvl="0" w:tplc="B49AF7BA">
      <w:numFmt w:val="bullet"/>
      <w:lvlText w:val=""/>
      <w:lvlJc w:val="left"/>
      <w:pPr>
        <w:ind w:left="156" w:hanging="100"/>
      </w:pPr>
      <w:rPr>
        <w:rFonts w:ascii="Symbol" w:eastAsia="Symbol" w:hAnsi="Symbol" w:cs="Symbol" w:hint="default"/>
        <w:color w:val="231F20"/>
        <w:w w:val="100"/>
        <w:sz w:val="14"/>
        <w:szCs w:val="14"/>
      </w:rPr>
    </w:lvl>
    <w:lvl w:ilvl="1" w:tplc="1DC8D5C8">
      <w:numFmt w:val="bullet"/>
      <w:lvlText w:val="•"/>
      <w:lvlJc w:val="left"/>
      <w:pPr>
        <w:ind w:left="426" w:hanging="100"/>
      </w:pPr>
      <w:rPr>
        <w:rFonts w:hint="default"/>
      </w:rPr>
    </w:lvl>
    <w:lvl w:ilvl="2" w:tplc="D2080914">
      <w:numFmt w:val="bullet"/>
      <w:lvlText w:val="•"/>
      <w:lvlJc w:val="left"/>
      <w:pPr>
        <w:ind w:left="692" w:hanging="100"/>
      </w:pPr>
      <w:rPr>
        <w:rFonts w:hint="default"/>
      </w:rPr>
    </w:lvl>
    <w:lvl w:ilvl="3" w:tplc="AED4AF1A">
      <w:numFmt w:val="bullet"/>
      <w:lvlText w:val="•"/>
      <w:lvlJc w:val="left"/>
      <w:pPr>
        <w:ind w:left="959" w:hanging="100"/>
      </w:pPr>
      <w:rPr>
        <w:rFonts w:hint="default"/>
      </w:rPr>
    </w:lvl>
    <w:lvl w:ilvl="4" w:tplc="EF6205B6">
      <w:numFmt w:val="bullet"/>
      <w:lvlText w:val="•"/>
      <w:lvlJc w:val="left"/>
      <w:pPr>
        <w:ind w:left="1225" w:hanging="100"/>
      </w:pPr>
      <w:rPr>
        <w:rFonts w:hint="default"/>
      </w:rPr>
    </w:lvl>
    <w:lvl w:ilvl="5" w:tplc="847AD11A">
      <w:numFmt w:val="bullet"/>
      <w:lvlText w:val="•"/>
      <w:lvlJc w:val="left"/>
      <w:pPr>
        <w:ind w:left="1492" w:hanging="100"/>
      </w:pPr>
      <w:rPr>
        <w:rFonts w:hint="default"/>
      </w:rPr>
    </w:lvl>
    <w:lvl w:ilvl="6" w:tplc="56A68CAC">
      <w:numFmt w:val="bullet"/>
      <w:lvlText w:val="•"/>
      <w:lvlJc w:val="left"/>
      <w:pPr>
        <w:ind w:left="1758" w:hanging="100"/>
      </w:pPr>
      <w:rPr>
        <w:rFonts w:hint="default"/>
      </w:rPr>
    </w:lvl>
    <w:lvl w:ilvl="7" w:tplc="4796A1C2">
      <w:numFmt w:val="bullet"/>
      <w:lvlText w:val="•"/>
      <w:lvlJc w:val="left"/>
      <w:pPr>
        <w:ind w:left="2024" w:hanging="100"/>
      </w:pPr>
      <w:rPr>
        <w:rFonts w:hint="default"/>
      </w:rPr>
    </w:lvl>
    <w:lvl w:ilvl="8" w:tplc="33E2B974">
      <w:numFmt w:val="bullet"/>
      <w:lvlText w:val="•"/>
      <w:lvlJc w:val="left"/>
      <w:pPr>
        <w:ind w:left="2291" w:hanging="100"/>
      </w:pPr>
      <w:rPr>
        <w:rFonts w:hint="default"/>
      </w:rPr>
    </w:lvl>
  </w:abstractNum>
  <w:abstractNum w:abstractNumId="1309" w15:restartNumberingAfterBreak="0">
    <w:nsid w:val="51C7072F"/>
    <w:multiLevelType w:val="hybridMultilevel"/>
    <w:tmpl w:val="9ED02B68"/>
    <w:lvl w:ilvl="0" w:tplc="AA6EB930">
      <w:numFmt w:val="bullet"/>
      <w:lvlText w:val=""/>
      <w:lvlJc w:val="left"/>
      <w:pPr>
        <w:ind w:left="156" w:hanging="100"/>
      </w:pPr>
      <w:rPr>
        <w:rFonts w:ascii="Symbol" w:eastAsia="Symbol" w:hAnsi="Symbol" w:cs="Symbol" w:hint="default"/>
        <w:color w:val="231F20"/>
        <w:w w:val="100"/>
        <w:sz w:val="14"/>
        <w:szCs w:val="14"/>
      </w:rPr>
    </w:lvl>
    <w:lvl w:ilvl="1" w:tplc="E4681DAA">
      <w:numFmt w:val="bullet"/>
      <w:lvlText w:val="•"/>
      <w:lvlJc w:val="left"/>
      <w:pPr>
        <w:ind w:left="398" w:hanging="100"/>
      </w:pPr>
      <w:rPr>
        <w:rFonts w:hint="default"/>
      </w:rPr>
    </w:lvl>
    <w:lvl w:ilvl="2" w:tplc="4A4EFDD4">
      <w:numFmt w:val="bullet"/>
      <w:lvlText w:val="•"/>
      <w:lvlJc w:val="left"/>
      <w:pPr>
        <w:ind w:left="636" w:hanging="100"/>
      </w:pPr>
      <w:rPr>
        <w:rFonts w:hint="default"/>
      </w:rPr>
    </w:lvl>
    <w:lvl w:ilvl="3" w:tplc="6B74D678">
      <w:numFmt w:val="bullet"/>
      <w:lvlText w:val="•"/>
      <w:lvlJc w:val="left"/>
      <w:pPr>
        <w:ind w:left="874" w:hanging="100"/>
      </w:pPr>
      <w:rPr>
        <w:rFonts w:hint="default"/>
      </w:rPr>
    </w:lvl>
    <w:lvl w:ilvl="4" w:tplc="53BCD2B2">
      <w:numFmt w:val="bullet"/>
      <w:lvlText w:val="•"/>
      <w:lvlJc w:val="left"/>
      <w:pPr>
        <w:ind w:left="1112" w:hanging="100"/>
      </w:pPr>
      <w:rPr>
        <w:rFonts w:hint="default"/>
      </w:rPr>
    </w:lvl>
    <w:lvl w:ilvl="5" w:tplc="77186240">
      <w:numFmt w:val="bullet"/>
      <w:lvlText w:val="•"/>
      <w:lvlJc w:val="left"/>
      <w:pPr>
        <w:ind w:left="1350" w:hanging="100"/>
      </w:pPr>
      <w:rPr>
        <w:rFonts w:hint="default"/>
      </w:rPr>
    </w:lvl>
    <w:lvl w:ilvl="6" w:tplc="979CD09C">
      <w:numFmt w:val="bullet"/>
      <w:lvlText w:val="•"/>
      <w:lvlJc w:val="left"/>
      <w:pPr>
        <w:ind w:left="1588" w:hanging="100"/>
      </w:pPr>
      <w:rPr>
        <w:rFonts w:hint="default"/>
      </w:rPr>
    </w:lvl>
    <w:lvl w:ilvl="7" w:tplc="6A62C66C">
      <w:numFmt w:val="bullet"/>
      <w:lvlText w:val="•"/>
      <w:lvlJc w:val="left"/>
      <w:pPr>
        <w:ind w:left="1826" w:hanging="100"/>
      </w:pPr>
      <w:rPr>
        <w:rFonts w:hint="default"/>
      </w:rPr>
    </w:lvl>
    <w:lvl w:ilvl="8" w:tplc="BA68B080">
      <w:numFmt w:val="bullet"/>
      <w:lvlText w:val="•"/>
      <w:lvlJc w:val="left"/>
      <w:pPr>
        <w:ind w:left="2064" w:hanging="100"/>
      </w:pPr>
      <w:rPr>
        <w:rFonts w:hint="default"/>
      </w:rPr>
    </w:lvl>
  </w:abstractNum>
  <w:abstractNum w:abstractNumId="1310" w15:restartNumberingAfterBreak="0">
    <w:nsid w:val="51CE0254"/>
    <w:multiLevelType w:val="hybridMultilevel"/>
    <w:tmpl w:val="233E4D62"/>
    <w:lvl w:ilvl="0" w:tplc="0CE2BE36">
      <w:numFmt w:val="bullet"/>
      <w:lvlText w:val=""/>
      <w:lvlJc w:val="left"/>
      <w:pPr>
        <w:ind w:left="156" w:hanging="100"/>
      </w:pPr>
      <w:rPr>
        <w:rFonts w:ascii="Symbol" w:eastAsia="Symbol" w:hAnsi="Symbol" w:cs="Symbol" w:hint="default"/>
        <w:color w:val="231F20"/>
        <w:w w:val="100"/>
        <w:sz w:val="14"/>
        <w:szCs w:val="14"/>
      </w:rPr>
    </w:lvl>
    <w:lvl w:ilvl="1" w:tplc="A06834B8">
      <w:numFmt w:val="bullet"/>
      <w:lvlText w:val="•"/>
      <w:lvlJc w:val="left"/>
      <w:pPr>
        <w:ind w:left="301" w:hanging="100"/>
      </w:pPr>
      <w:rPr>
        <w:rFonts w:hint="default"/>
      </w:rPr>
    </w:lvl>
    <w:lvl w:ilvl="2" w:tplc="EE7A6C0A">
      <w:numFmt w:val="bullet"/>
      <w:lvlText w:val="•"/>
      <w:lvlJc w:val="left"/>
      <w:pPr>
        <w:ind w:left="443" w:hanging="100"/>
      </w:pPr>
      <w:rPr>
        <w:rFonts w:hint="default"/>
      </w:rPr>
    </w:lvl>
    <w:lvl w:ilvl="3" w:tplc="536A58AE">
      <w:numFmt w:val="bullet"/>
      <w:lvlText w:val="•"/>
      <w:lvlJc w:val="left"/>
      <w:pPr>
        <w:ind w:left="585" w:hanging="100"/>
      </w:pPr>
      <w:rPr>
        <w:rFonts w:hint="default"/>
      </w:rPr>
    </w:lvl>
    <w:lvl w:ilvl="4" w:tplc="6240C962">
      <w:numFmt w:val="bullet"/>
      <w:lvlText w:val="•"/>
      <w:lvlJc w:val="left"/>
      <w:pPr>
        <w:ind w:left="726" w:hanging="100"/>
      </w:pPr>
      <w:rPr>
        <w:rFonts w:hint="default"/>
      </w:rPr>
    </w:lvl>
    <w:lvl w:ilvl="5" w:tplc="2CC83B08">
      <w:numFmt w:val="bullet"/>
      <w:lvlText w:val="•"/>
      <w:lvlJc w:val="left"/>
      <w:pPr>
        <w:ind w:left="868" w:hanging="100"/>
      </w:pPr>
      <w:rPr>
        <w:rFonts w:hint="default"/>
      </w:rPr>
    </w:lvl>
    <w:lvl w:ilvl="6" w:tplc="13B8E186">
      <w:numFmt w:val="bullet"/>
      <w:lvlText w:val="•"/>
      <w:lvlJc w:val="left"/>
      <w:pPr>
        <w:ind w:left="1010" w:hanging="100"/>
      </w:pPr>
      <w:rPr>
        <w:rFonts w:hint="default"/>
      </w:rPr>
    </w:lvl>
    <w:lvl w:ilvl="7" w:tplc="783062B8">
      <w:numFmt w:val="bullet"/>
      <w:lvlText w:val="•"/>
      <w:lvlJc w:val="left"/>
      <w:pPr>
        <w:ind w:left="1151" w:hanging="100"/>
      </w:pPr>
      <w:rPr>
        <w:rFonts w:hint="default"/>
      </w:rPr>
    </w:lvl>
    <w:lvl w:ilvl="8" w:tplc="C3B69A36">
      <w:numFmt w:val="bullet"/>
      <w:lvlText w:val="•"/>
      <w:lvlJc w:val="left"/>
      <w:pPr>
        <w:ind w:left="1293" w:hanging="100"/>
      </w:pPr>
      <w:rPr>
        <w:rFonts w:hint="default"/>
      </w:rPr>
    </w:lvl>
  </w:abstractNum>
  <w:abstractNum w:abstractNumId="1311" w15:restartNumberingAfterBreak="0">
    <w:nsid w:val="51D644B0"/>
    <w:multiLevelType w:val="hybridMultilevel"/>
    <w:tmpl w:val="A49A2A56"/>
    <w:lvl w:ilvl="0" w:tplc="B37C2B32">
      <w:numFmt w:val="bullet"/>
      <w:lvlText w:val=""/>
      <w:lvlJc w:val="left"/>
      <w:pPr>
        <w:ind w:left="156" w:hanging="100"/>
      </w:pPr>
      <w:rPr>
        <w:rFonts w:ascii="Symbol" w:eastAsia="Symbol" w:hAnsi="Symbol" w:cs="Symbol" w:hint="default"/>
        <w:color w:val="231F20"/>
        <w:w w:val="100"/>
        <w:sz w:val="14"/>
        <w:szCs w:val="14"/>
      </w:rPr>
    </w:lvl>
    <w:lvl w:ilvl="1" w:tplc="9AA640FA">
      <w:numFmt w:val="bullet"/>
      <w:lvlText w:val="•"/>
      <w:lvlJc w:val="left"/>
      <w:pPr>
        <w:ind w:left="426" w:hanging="100"/>
      </w:pPr>
      <w:rPr>
        <w:rFonts w:hint="default"/>
      </w:rPr>
    </w:lvl>
    <w:lvl w:ilvl="2" w:tplc="20666406">
      <w:numFmt w:val="bullet"/>
      <w:lvlText w:val="•"/>
      <w:lvlJc w:val="left"/>
      <w:pPr>
        <w:ind w:left="692" w:hanging="100"/>
      </w:pPr>
      <w:rPr>
        <w:rFonts w:hint="default"/>
      </w:rPr>
    </w:lvl>
    <w:lvl w:ilvl="3" w:tplc="BB7E720E">
      <w:numFmt w:val="bullet"/>
      <w:lvlText w:val="•"/>
      <w:lvlJc w:val="left"/>
      <w:pPr>
        <w:ind w:left="959" w:hanging="100"/>
      </w:pPr>
      <w:rPr>
        <w:rFonts w:hint="default"/>
      </w:rPr>
    </w:lvl>
    <w:lvl w:ilvl="4" w:tplc="1C868F98">
      <w:numFmt w:val="bullet"/>
      <w:lvlText w:val="•"/>
      <w:lvlJc w:val="left"/>
      <w:pPr>
        <w:ind w:left="1225" w:hanging="100"/>
      </w:pPr>
      <w:rPr>
        <w:rFonts w:hint="default"/>
      </w:rPr>
    </w:lvl>
    <w:lvl w:ilvl="5" w:tplc="3EE41D56">
      <w:numFmt w:val="bullet"/>
      <w:lvlText w:val="•"/>
      <w:lvlJc w:val="left"/>
      <w:pPr>
        <w:ind w:left="1492" w:hanging="100"/>
      </w:pPr>
      <w:rPr>
        <w:rFonts w:hint="default"/>
      </w:rPr>
    </w:lvl>
    <w:lvl w:ilvl="6" w:tplc="E004B744">
      <w:numFmt w:val="bullet"/>
      <w:lvlText w:val="•"/>
      <w:lvlJc w:val="left"/>
      <w:pPr>
        <w:ind w:left="1758" w:hanging="100"/>
      </w:pPr>
      <w:rPr>
        <w:rFonts w:hint="default"/>
      </w:rPr>
    </w:lvl>
    <w:lvl w:ilvl="7" w:tplc="3294C03E">
      <w:numFmt w:val="bullet"/>
      <w:lvlText w:val="•"/>
      <w:lvlJc w:val="left"/>
      <w:pPr>
        <w:ind w:left="2024" w:hanging="100"/>
      </w:pPr>
      <w:rPr>
        <w:rFonts w:hint="default"/>
      </w:rPr>
    </w:lvl>
    <w:lvl w:ilvl="8" w:tplc="AD182106">
      <w:numFmt w:val="bullet"/>
      <w:lvlText w:val="•"/>
      <w:lvlJc w:val="left"/>
      <w:pPr>
        <w:ind w:left="2291" w:hanging="100"/>
      </w:pPr>
      <w:rPr>
        <w:rFonts w:hint="default"/>
      </w:rPr>
    </w:lvl>
  </w:abstractNum>
  <w:abstractNum w:abstractNumId="1312" w15:restartNumberingAfterBreak="0">
    <w:nsid w:val="51DC28D9"/>
    <w:multiLevelType w:val="hybridMultilevel"/>
    <w:tmpl w:val="8D20811C"/>
    <w:lvl w:ilvl="0" w:tplc="A05A383A">
      <w:numFmt w:val="bullet"/>
      <w:lvlText w:val=""/>
      <w:lvlJc w:val="left"/>
      <w:pPr>
        <w:ind w:left="157" w:hanging="100"/>
      </w:pPr>
      <w:rPr>
        <w:rFonts w:ascii="Symbol" w:eastAsia="Symbol" w:hAnsi="Symbol" w:cs="Symbol" w:hint="default"/>
        <w:color w:val="231F20"/>
        <w:w w:val="100"/>
        <w:sz w:val="14"/>
        <w:szCs w:val="14"/>
      </w:rPr>
    </w:lvl>
    <w:lvl w:ilvl="1" w:tplc="69928D98">
      <w:numFmt w:val="bullet"/>
      <w:lvlText w:val="•"/>
      <w:lvlJc w:val="left"/>
      <w:pPr>
        <w:ind w:left="369" w:hanging="100"/>
      </w:pPr>
      <w:rPr>
        <w:rFonts w:hint="default"/>
      </w:rPr>
    </w:lvl>
    <w:lvl w:ilvl="2" w:tplc="A3F097AA">
      <w:numFmt w:val="bullet"/>
      <w:lvlText w:val="•"/>
      <w:lvlJc w:val="left"/>
      <w:pPr>
        <w:ind w:left="579" w:hanging="100"/>
      </w:pPr>
      <w:rPr>
        <w:rFonts w:hint="default"/>
      </w:rPr>
    </w:lvl>
    <w:lvl w:ilvl="3" w:tplc="F5A0A958">
      <w:numFmt w:val="bullet"/>
      <w:lvlText w:val="•"/>
      <w:lvlJc w:val="left"/>
      <w:pPr>
        <w:ind w:left="789" w:hanging="100"/>
      </w:pPr>
      <w:rPr>
        <w:rFonts w:hint="default"/>
      </w:rPr>
    </w:lvl>
    <w:lvl w:ilvl="4" w:tplc="4490C772">
      <w:numFmt w:val="bullet"/>
      <w:lvlText w:val="•"/>
      <w:lvlJc w:val="left"/>
      <w:pPr>
        <w:ind w:left="998" w:hanging="100"/>
      </w:pPr>
      <w:rPr>
        <w:rFonts w:hint="default"/>
      </w:rPr>
    </w:lvl>
    <w:lvl w:ilvl="5" w:tplc="1E0E4EDA">
      <w:numFmt w:val="bullet"/>
      <w:lvlText w:val="•"/>
      <w:lvlJc w:val="left"/>
      <w:pPr>
        <w:ind w:left="1208" w:hanging="100"/>
      </w:pPr>
      <w:rPr>
        <w:rFonts w:hint="default"/>
      </w:rPr>
    </w:lvl>
    <w:lvl w:ilvl="6" w:tplc="96A2308C">
      <w:numFmt w:val="bullet"/>
      <w:lvlText w:val="•"/>
      <w:lvlJc w:val="left"/>
      <w:pPr>
        <w:ind w:left="1418" w:hanging="100"/>
      </w:pPr>
      <w:rPr>
        <w:rFonts w:hint="default"/>
      </w:rPr>
    </w:lvl>
    <w:lvl w:ilvl="7" w:tplc="BAC253C2">
      <w:numFmt w:val="bullet"/>
      <w:lvlText w:val="•"/>
      <w:lvlJc w:val="left"/>
      <w:pPr>
        <w:ind w:left="1627" w:hanging="100"/>
      </w:pPr>
      <w:rPr>
        <w:rFonts w:hint="default"/>
      </w:rPr>
    </w:lvl>
    <w:lvl w:ilvl="8" w:tplc="A176BE34">
      <w:numFmt w:val="bullet"/>
      <w:lvlText w:val="•"/>
      <w:lvlJc w:val="left"/>
      <w:pPr>
        <w:ind w:left="1837" w:hanging="100"/>
      </w:pPr>
      <w:rPr>
        <w:rFonts w:hint="default"/>
      </w:rPr>
    </w:lvl>
  </w:abstractNum>
  <w:abstractNum w:abstractNumId="1313" w15:restartNumberingAfterBreak="0">
    <w:nsid w:val="51E75DCD"/>
    <w:multiLevelType w:val="hybridMultilevel"/>
    <w:tmpl w:val="9DB0FAEC"/>
    <w:lvl w:ilvl="0" w:tplc="D12C0922">
      <w:numFmt w:val="bullet"/>
      <w:lvlText w:val=""/>
      <w:lvlJc w:val="left"/>
      <w:pPr>
        <w:ind w:left="156" w:hanging="100"/>
      </w:pPr>
      <w:rPr>
        <w:rFonts w:ascii="Symbol" w:eastAsia="Symbol" w:hAnsi="Symbol" w:cs="Symbol" w:hint="default"/>
        <w:color w:val="231F20"/>
        <w:w w:val="100"/>
        <w:sz w:val="14"/>
        <w:szCs w:val="14"/>
      </w:rPr>
    </w:lvl>
    <w:lvl w:ilvl="1" w:tplc="A91E87E0">
      <w:numFmt w:val="bullet"/>
      <w:lvlText w:val="•"/>
      <w:lvlJc w:val="left"/>
      <w:pPr>
        <w:ind w:left="398" w:hanging="100"/>
      </w:pPr>
      <w:rPr>
        <w:rFonts w:hint="default"/>
      </w:rPr>
    </w:lvl>
    <w:lvl w:ilvl="2" w:tplc="FF0C3BFA">
      <w:numFmt w:val="bullet"/>
      <w:lvlText w:val="•"/>
      <w:lvlJc w:val="left"/>
      <w:pPr>
        <w:ind w:left="636" w:hanging="100"/>
      </w:pPr>
      <w:rPr>
        <w:rFonts w:hint="default"/>
      </w:rPr>
    </w:lvl>
    <w:lvl w:ilvl="3" w:tplc="5930F2F0">
      <w:numFmt w:val="bullet"/>
      <w:lvlText w:val="•"/>
      <w:lvlJc w:val="left"/>
      <w:pPr>
        <w:ind w:left="874" w:hanging="100"/>
      </w:pPr>
      <w:rPr>
        <w:rFonts w:hint="default"/>
      </w:rPr>
    </w:lvl>
    <w:lvl w:ilvl="4" w:tplc="6E44B702">
      <w:numFmt w:val="bullet"/>
      <w:lvlText w:val="•"/>
      <w:lvlJc w:val="left"/>
      <w:pPr>
        <w:ind w:left="1112" w:hanging="100"/>
      </w:pPr>
      <w:rPr>
        <w:rFonts w:hint="default"/>
      </w:rPr>
    </w:lvl>
    <w:lvl w:ilvl="5" w:tplc="3D5A2F90">
      <w:numFmt w:val="bullet"/>
      <w:lvlText w:val="•"/>
      <w:lvlJc w:val="left"/>
      <w:pPr>
        <w:ind w:left="1350" w:hanging="100"/>
      </w:pPr>
      <w:rPr>
        <w:rFonts w:hint="default"/>
      </w:rPr>
    </w:lvl>
    <w:lvl w:ilvl="6" w:tplc="0680BE14">
      <w:numFmt w:val="bullet"/>
      <w:lvlText w:val="•"/>
      <w:lvlJc w:val="left"/>
      <w:pPr>
        <w:ind w:left="1588" w:hanging="100"/>
      </w:pPr>
      <w:rPr>
        <w:rFonts w:hint="default"/>
      </w:rPr>
    </w:lvl>
    <w:lvl w:ilvl="7" w:tplc="9B4AEBD8">
      <w:numFmt w:val="bullet"/>
      <w:lvlText w:val="•"/>
      <w:lvlJc w:val="left"/>
      <w:pPr>
        <w:ind w:left="1826" w:hanging="100"/>
      </w:pPr>
      <w:rPr>
        <w:rFonts w:hint="default"/>
      </w:rPr>
    </w:lvl>
    <w:lvl w:ilvl="8" w:tplc="67769D32">
      <w:numFmt w:val="bullet"/>
      <w:lvlText w:val="•"/>
      <w:lvlJc w:val="left"/>
      <w:pPr>
        <w:ind w:left="2064" w:hanging="100"/>
      </w:pPr>
      <w:rPr>
        <w:rFonts w:hint="default"/>
      </w:rPr>
    </w:lvl>
  </w:abstractNum>
  <w:abstractNum w:abstractNumId="1314" w15:restartNumberingAfterBreak="0">
    <w:nsid w:val="51E86D2D"/>
    <w:multiLevelType w:val="hybridMultilevel"/>
    <w:tmpl w:val="4516C532"/>
    <w:lvl w:ilvl="0" w:tplc="992CA974">
      <w:numFmt w:val="bullet"/>
      <w:lvlText w:val=""/>
      <w:lvlJc w:val="left"/>
      <w:pPr>
        <w:ind w:left="157" w:hanging="100"/>
      </w:pPr>
      <w:rPr>
        <w:rFonts w:ascii="Symbol" w:eastAsia="Symbol" w:hAnsi="Symbol" w:cs="Symbol" w:hint="default"/>
        <w:color w:val="231F20"/>
        <w:w w:val="100"/>
        <w:sz w:val="14"/>
        <w:szCs w:val="14"/>
      </w:rPr>
    </w:lvl>
    <w:lvl w:ilvl="1" w:tplc="6DA49FA2">
      <w:numFmt w:val="bullet"/>
      <w:lvlText w:val="•"/>
      <w:lvlJc w:val="left"/>
      <w:pPr>
        <w:ind w:left="426" w:hanging="100"/>
      </w:pPr>
      <w:rPr>
        <w:rFonts w:hint="default"/>
      </w:rPr>
    </w:lvl>
    <w:lvl w:ilvl="2" w:tplc="7758D308">
      <w:numFmt w:val="bullet"/>
      <w:lvlText w:val="•"/>
      <w:lvlJc w:val="left"/>
      <w:pPr>
        <w:ind w:left="692" w:hanging="100"/>
      </w:pPr>
      <w:rPr>
        <w:rFonts w:hint="default"/>
      </w:rPr>
    </w:lvl>
    <w:lvl w:ilvl="3" w:tplc="744866C6">
      <w:numFmt w:val="bullet"/>
      <w:lvlText w:val="•"/>
      <w:lvlJc w:val="left"/>
      <w:pPr>
        <w:ind w:left="959" w:hanging="100"/>
      </w:pPr>
      <w:rPr>
        <w:rFonts w:hint="default"/>
      </w:rPr>
    </w:lvl>
    <w:lvl w:ilvl="4" w:tplc="3098BCD2">
      <w:numFmt w:val="bullet"/>
      <w:lvlText w:val="•"/>
      <w:lvlJc w:val="left"/>
      <w:pPr>
        <w:ind w:left="1225" w:hanging="100"/>
      </w:pPr>
      <w:rPr>
        <w:rFonts w:hint="default"/>
      </w:rPr>
    </w:lvl>
    <w:lvl w:ilvl="5" w:tplc="399CA8C6">
      <w:numFmt w:val="bullet"/>
      <w:lvlText w:val="•"/>
      <w:lvlJc w:val="left"/>
      <w:pPr>
        <w:ind w:left="1492" w:hanging="100"/>
      </w:pPr>
      <w:rPr>
        <w:rFonts w:hint="default"/>
      </w:rPr>
    </w:lvl>
    <w:lvl w:ilvl="6" w:tplc="419C7864">
      <w:numFmt w:val="bullet"/>
      <w:lvlText w:val="•"/>
      <w:lvlJc w:val="left"/>
      <w:pPr>
        <w:ind w:left="1758" w:hanging="100"/>
      </w:pPr>
      <w:rPr>
        <w:rFonts w:hint="default"/>
      </w:rPr>
    </w:lvl>
    <w:lvl w:ilvl="7" w:tplc="06CAB03E">
      <w:numFmt w:val="bullet"/>
      <w:lvlText w:val="•"/>
      <w:lvlJc w:val="left"/>
      <w:pPr>
        <w:ind w:left="2024" w:hanging="100"/>
      </w:pPr>
      <w:rPr>
        <w:rFonts w:hint="default"/>
      </w:rPr>
    </w:lvl>
    <w:lvl w:ilvl="8" w:tplc="D40A2468">
      <w:numFmt w:val="bullet"/>
      <w:lvlText w:val="•"/>
      <w:lvlJc w:val="left"/>
      <w:pPr>
        <w:ind w:left="2291" w:hanging="100"/>
      </w:pPr>
      <w:rPr>
        <w:rFonts w:hint="default"/>
      </w:rPr>
    </w:lvl>
  </w:abstractNum>
  <w:abstractNum w:abstractNumId="1315" w15:restartNumberingAfterBreak="0">
    <w:nsid w:val="51F27652"/>
    <w:multiLevelType w:val="hybridMultilevel"/>
    <w:tmpl w:val="CF160160"/>
    <w:lvl w:ilvl="0" w:tplc="FB603150">
      <w:numFmt w:val="bullet"/>
      <w:lvlText w:val=""/>
      <w:lvlJc w:val="left"/>
      <w:pPr>
        <w:ind w:left="156" w:hanging="100"/>
      </w:pPr>
      <w:rPr>
        <w:rFonts w:ascii="Symbol" w:eastAsia="Symbol" w:hAnsi="Symbol" w:cs="Symbol" w:hint="default"/>
        <w:color w:val="231F20"/>
        <w:w w:val="100"/>
        <w:sz w:val="14"/>
        <w:szCs w:val="14"/>
      </w:rPr>
    </w:lvl>
    <w:lvl w:ilvl="1" w:tplc="3648F254">
      <w:numFmt w:val="bullet"/>
      <w:lvlText w:val="•"/>
      <w:lvlJc w:val="left"/>
      <w:pPr>
        <w:ind w:left="426" w:hanging="100"/>
      </w:pPr>
      <w:rPr>
        <w:rFonts w:hint="default"/>
      </w:rPr>
    </w:lvl>
    <w:lvl w:ilvl="2" w:tplc="16AC0570">
      <w:numFmt w:val="bullet"/>
      <w:lvlText w:val="•"/>
      <w:lvlJc w:val="left"/>
      <w:pPr>
        <w:ind w:left="692" w:hanging="100"/>
      </w:pPr>
      <w:rPr>
        <w:rFonts w:hint="default"/>
      </w:rPr>
    </w:lvl>
    <w:lvl w:ilvl="3" w:tplc="F6A6C758">
      <w:numFmt w:val="bullet"/>
      <w:lvlText w:val="•"/>
      <w:lvlJc w:val="left"/>
      <w:pPr>
        <w:ind w:left="959" w:hanging="100"/>
      </w:pPr>
      <w:rPr>
        <w:rFonts w:hint="default"/>
      </w:rPr>
    </w:lvl>
    <w:lvl w:ilvl="4" w:tplc="FF6C6A0E">
      <w:numFmt w:val="bullet"/>
      <w:lvlText w:val="•"/>
      <w:lvlJc w:val="left"/>
      <w:pPr>
        <w:ind w:left="1225" w:hanging="100"/>
      </w:pPr>
      <w:rPr>
        <w:rFonts w:hint="default"/>
      </w:rPr>
    </w:lvl>
    <w:lvl w:ilvl="5" w:tplc="29FE3DD8">
      <w:numFmt w:val="bullet"/>
      <w:lvlText w:val="•"/>
      <w:lvlJc w:val="left"/>
      <w:pPr>
        <w:ind w:left="1492" w:hanging="100"/>
      </w:pPr>
      <w:rPr>
        <w:rFonts w:hint="default"/>
      </w:rPr>
    </w:lvl>
    <w:lvl w:ilvl="6" w:tplc="D53E2AB0">
      <w:numFmt w:val="bullet"/>
      <w:lvlText w:val="•"/>
      <w:lvlJc w:val="left"/>
      <w:pPr>
        <w:ind w:left="1758" w:hanging="100"/>
      </w:pPr>
      <w:rPr>
        <w:rFonts w:hint="default"/>
      </w:rPr>
    </w:lvl>
    <w:lvl w:ilvl="7" w:tplc="FAD2DC3A">
      <w:numFmt w:val="bullet"/>
      <w:lvlText w:val="•"/>
      <w:lvlJc w:val="left"/>
      <w:pPr>
        <w:ind w:left="2024" w:hanging="100"/>
      </w:pPr>
      <w:rPr>
        <w:rFonts w:hint="default"/>
      </w:rPr>
    </w:lvl>
    <w:lvl w:ilvl="8" w:tplc="3FC84902">
      <w:numFmt w:val="bullet"/>
      <w:lvlText w:val="•"/>
      <w:lvlJc w:val="left"/>
      <w:pPr>
        <w:ind w:left="2291" w:hanging="100"/>
      </w:pPr>
      <w:rPr>
        <w:rFonts w:hint="default"/>
      </w:rPr>
    </w:lvl>
  </w:abstractNum>
  <w:abstractNum w:abstractNumId="1316" w15:restartNumberingAfterBreak="0">
    <w:nsid w:val="51FB4E86"/>
    <w:multiLevelType w:val="hybridMultilevel"/>
    <w:tmpl w:val="7B947824"/>
    <w:lvl w:ilvl="0" w:tplc="8F4CE9C8">
      <w:numFmt w:val="bullet"/>
      <w:lvlText w:val=""/>
      <w:lvlJc w:val="left"/>
      <w:pPr>
        <w:ind w:left="156" w:hanging="100"/>
      </w:pPr>
      <w:rPr>
        <w:rFonts w:ascii="Symbol" w:eastAsia="Symbol" w:hAnsi="Symbol" w:cs="Symbol" w:hint="default"/>
        <w:color w:val="231F20"/>
        <w:w w:val="100"/>
        <w:sz w:val="14"/>
        <w:szCs w:val="14"/>
      </w:rPr>
    </w:lvl>
    <w:lvl w:ilvl="1" w:tplc="54E6524C">
      <w:numFmt w:val="bullet"/>
      <w:lvlText w:val="•"/>
      <w:lvlJc w:val="left"/>
      <w:pPr>
        <w:ind w:left="273" w:hanging="100"/>
      </w:pPr>
      <w:rPr>
        <w:rFonts w:hint="default"/>
      </w:rPr>
    </w:lvl>
    <w:lvl w:ilvl="2" w:tplc="C78E218C">
      <w:numFmt w:val="bullet"/>
      <w:lvlText w:val="•"/>
      <w:lvlJc w:val="left"/>
      <w:pPr>
        <w:ind w:left="386" w:hanging="100"/>
      </w:pPr>
      <w:rPr>
        <w:rFonts w:hint="default"/>
      </w:rPr>
    </w:lvl>
    <w:lvl w:ilvl="3" w:tplc="7C1CCB46">
      <w:numFmt w:val="bullet"/>
      <w:lvlText w:val="•"/>
      <w:lvlJc w:val="left"/>
      <w:pPr>
        <w:ind w:left="500" w:hanging="100"/>
      </w:pPr>
      <w:rPr>
        <w:rFonts w:hint="default"/>
      </w:rPr>
    </w:lvl>
    <w:lvl w:ilvl="4" w:tplc="B78AA27A">
      <w:numFmt w:val="bullet"/>
      <w:lvlText w:val="•"/>
      <w:lvlJc w:val="left"/>
      <w:pPr>
        <w:ind w:left="613" w:hanging="100"/>
      </w:pPr>
      <w:rPr>
        <w:rFonts w:hint="default"/>
      </w:rPr>
    </w:lvl>
    <w:lvl w:ilvl="5" w:tplc="CC24334E">
      <w:numFmt w:val="bullet"/>
      <w:lvlText w:val="•"/>
      <w:lvlJc w:val="left"/>
      <w:pPr>
        <w:ind w:left="727" w:hanging="100"/>
      </w:pPr>
      <w:rPr>
        <w:rFonts w:hint="default"/>
      </w:rPr>
    </w:lvl>
    <w:lvl w:ilvl="6" w:tplc="80D83FBC">
      <w:numFmt w:val="bullet"/>
      <w:lvlText w:val="•"/>
      <w:lvlJc w:val="left"/>
      <w:pPr>
        <w:ind w:left="840" w:hanging="100"/>
      </w:pPr>
      <w:rPr>
        <w:rFonts w:hint="default"/>
      </w:rPr>
    </w:lvl>
    <w:lvl w:ilvl="7" w:tplc="8A0426E2">
      <w:numFmt w:val="bullet"/>
      <w:lvlText w:val="•"/>
      <w:lvlJc w:val="left"/>
      <w:pPr>
        <w:ind w:left="953" w:hanging="100"/>
      </w:pPr>
      <w:rPr>
        <w:rFonts w:hint="default"/>
      </w:rPr>
    </w:lvl>
    <w:lvl w:ilvl="8" w:tplc="FEAE1B90">
      <w:numFmt w:val="bullet"/>
      <w:lvlText w:val="•"/>
      <w:lvlJc w:val="left"/>
      <w:pPr>
        <w:ind w:left="1067" w:hanging="100"/>
      </w:pPr>
      <w:rPr>
        <w:rFonts w:hint="default"/>
      </w:rPr>
    </w:lvl>
  </w:abstractNum>
  <w:abstractNum w:abstractNumId="1317" w15:restartNumberingAfterBreak="0">
    <w:nsid w:val="51FD14AE"/>
    <w:multiLevelType w:val="hybridMultilevel"/>
    <w:tmpl w:val="24A66F5E"/>
    <w:lvl w:ilvl="0" w:tplc="CCA8E722">
      <w:numFmt w:val="bullet"/>
      <w:lvlText w:val=""/>
      <w:lvlJc w:val="left"/>
      <w:pPr>
        <w:ind w:left="156" w:hanging="100"/>
      </w:pPr>
      <w:rPr>
        <w:rFonts w:ascii="Symbol" w:eastAsia="Symbol" w:hAnsi="Symbol" w:cs="Symbol" w:hint="default"/>
        <w:color w:val="231F20"/>
        <w:w w:val="100"/>
        <w:sz w:val="14"/>
        <w:szCs w:val="14"/>
      </w:rPr>
    </w:lvl>
    <w:lvl w:ilvl="1" w:tplc="891ED996">
      <w:numFmt w:val="bullet"/>
      <w:lvlText w:val="•"/>
      <w:lvlJc w:val="left"/>
      <w:pPr>
        <w:ind w:left="426" w:hanging="100"/>
      </w:pPr>
      <w:rPr>
        <w:rFonts w:hint="default"/>
      </w:rPr>
    </w:lvl>
    <w:lvl w:ilvl="2" w:tplc="F7CA8286">
      <w:numFmt w:val="bullet"/>
      <w:lvlText w:val="•"/>
      <w:lvlJc w:val="left"/>
      <w:pPr>
        <w:ind w:left="692" w:hanging="100"/>
      </w:pPr>
      <w:rPr>
        <w:rFonts w:hint="default"/>
      </w:rPr>
    </w:lvl>
    <w:lvl w:ilvl="3" w:tplc="DD54895C">
      <w:numFmt w:val="bullet"/>
      <w:lvlText w:val="•"/>
      <w:lvlJc w:val="left"/>
      <w:pPr>
        <w:ind w:left="959" w:hanging="100"/>
      </w:pPr>
      <w:rPr>
        <w:rFonts w:hint="default"/>
      </w:rPr>
    </w:lvl>
    <w:lvl w:ilvl="4" w:tplc="173EEF56">
      <w:numFmt w:val="bullet"/>
      <w:lvlText w:val="•"/>
      <w:lvlJc w:val="left"/>
      <w:pPr>
        <w:ind w:left="1225" w:hanging="100"/>
      </w:pPr>
      <w:rPr>
        <w:rFonts w:hint="default"/>
      </w:rPr>
    </w:lvl>
    <w:lvl w:ilvl="5" w:tplc="527275C6">
      <w:numFmt w:val="bullet"/>
      <w:lvlText w:val="•"/>
      <w:lvlJc w:val="left"/>
      <w:pPr>
        <w:ind w:left="1492" w:hanging="100"/>
      </w:pPr>
      <w:rPr>
        <w:rFonts w:hint="default"/>
      </w:rPr>
    </w:lvl>
    <w:lvl w:ilvl="6" w:tplc="BC660D74">
      <w:numFmt w:val="bullet"/>
      <w:lvlText w:val="•"/>
      <w:lvlJc w:val="left"/>
      <w:pPr>
        <w:ind w:left="1758" w:hanging="100"/>
      </w:pPr>
      <w:rPr>
        <w:rFonts w:hint="default"/>
      </w:rPr>
    </w:lvl>
    <w:lvl w:ilvl="7" w:tplc="6B040D6E">
      <w:numFmt w:val="bullet"/>
      <w:lvlText w:val="•"/>
      <w:lvlJc w:val="left"/>
      <w:pPr>
        <w:ind w:left="2024" w:hanging="100"/>
      </w:pPr>
      <w:rPr>
        <w:rFonts w:hint="default"/>
      </w:rPr>
    </w:lvl>
    <w:lvl w:ilvl="8" w:tplc="BB3A2870">
      <w:numFmt w:val="bullet"/>
      <w:lvlText w:val="•"/>
      <w:lvlJc w:val="left"/>
      <w:pPr>
        <w:ind w:left="2291" w:hanging="100"/>
      </w:pPr>
      <w:rPr>
        <w:rFonts w:hint="default"/>
      </w:rPr>
    </w:lvl>
  </w:abstractNum>
  <w:abstractNum w:abstractNumId="1318" w15:restartNumberingAfterBreak="0">
    <w:nsid w:val="51FF7940"/>
    <w:multiLevelType w:val="hybridMultilevel"/>
    <w:tmpl w:val="C268B9CA"/>
    <w:lvl w:ilvl="0" w:tplc="164CCDDE">
      <w:numFmt w:val="bullet"/>
      <w:lvlText w:val=""/>
      <w:lvlJc w:val="left"/>
      <w:pPr>
        <w:ind w:left="156" w:hanging="100"/>
      </w:pPr>
      <w:rPr>
        <w:rFonts w:ascii="Symbol" w:eastAsia="Symbol" w:hAnsi="Symbol" w:cs="Symbol" w:hint="default"/>
        <w:color w:val="231F20"/>
        <w:w w:val="100"/>
        <w:sz w:val="14"/>
        <w:szCs w:val="14"/>
      </w:rPr>
    </w:lvl>
    <w:lvl w:ilvl="1" w:tplc="48069A02">
      <w:numFmt w:val="bullet"/>
      <w:lvlText w:val="-"/>
      <w:lvlJc w:val="left"/>
      <w:pPr>
        <w:ind w:left="156" w:hanging="82"/>
      </w:pPr>
      <w:rPr>
        <w:rFonts w:ascii="Times New Roman" w:eastAsia="Times New Roman" w:hAnsi="Times New Roman" w:cs="Times New Roman" w:hint="default"/>
        <w:color w:val="231F20"/>
        <w:spacing w:val="-8"/>
        <w:w w:val="100"/>
        <w:sz w:val="14"/>
        <w:szCs w:val="14"/>
      </w:rPr>
    </w:lvl>
    <w:lvl w:ilvl="2" w:tplc="C1601944">
      <w:numFmt w:val="bullet"/>
      <w:lvlText w:val="•"/>
      <w:lvlJc w:val="left"/>
      <w:pPr>
        <w:ind w:left="692" w:hanging="82"/>
      </w:pPr>
      <w:rPr>
        <w:rFonts w:hint="default"/>
      </w:rPr>
    </w:lvl>
    <w:lvl w:ilvl="3" w:tplc="9E7EB05A">
      <w:numFmt w:val="bullet"/>
      <w:lvlText w:val="•"/>
      <w:lvlJc w:val="left"/>
      <w:pPr>
        <w:ind w:left="959" w:hanging="82"/>
      </w:pPr>
      <w:rPr>
        <w:rFonts w:hint="default"/>
      </w:rPr>
    </w:lvl>
    <w:lvl w:ilvl="4" w:tplc="FD8EC016">
      <w:numFmt w:val="bullet"/>
      <w:lvlText w:val="•"/>
      <w:lvlJc w:val="left"/>
      <w:pPr>
        <w:ind w:left="1225" w:hanging="82"/>
      </w:pPr>
      <w:rPr>
        <w:rFonts w:hint="default"/>
      </w:rPr>
    </w:lvl>
    <w:lvl w:ilvl="5" w:tplc="BC00E650">
      <w:numFmt w:val="bullet"/>
      <w:lvlText w:val="•"/>
      <w:lvlJc w:val="left"/>
      <w:pPr>
        <w:ind w:left="1492" w:hanging="82"/>
      </w:pPr>
      <w:rPr>
        <w:rFonts w:hint="default"/>
      </w:rPr>
    </w:lvl>
    <w:lvl w:ilvl="6" w:tplc="2EAE46D4">
      <w:numFmt w:val="bullet"/>
      <w:lvlText w:val="•"/>
      <w:lvlJc w:val="left"/>
      <w:pPr>
        <w:ind w:left="1758" w:hanging="82"/>
      </w:pPr>
      <w:rPr>
        <w:rFonts w:hint="default"/>
      </w:rPr>
    </w:lvl>
    <w:lvl w:ilvl="7" w:tplc="C928A832">
      <w:numFmt w:val="bullet"/>
      <w:lvlText w:val="•"/>
      <w:lvlJc w:val="left"/>
      <w:pPr>
        <w:ind w:left="2024" w:hanging="82"/>
      </w:pPr>
      <w:rPr>
        <w:rFonts w:hint="default"/>
      </w:rPr>
    </w:lvl>
    <w:lvl w:ilvl="8" w:tplc="FCB8BE98">
      <w:numFmt w:val="bullet"/>
      <w:lvlText w:val="•"/>
      <w:lvlJc w:val="left"/>
      <w:pPr>
        <w:ind w:left="2291" w:hanging="82"/>
      </w:pPr>
      <w:rPr>
        <w:rFonts w:hint="default"/>
      </w:rPr>
    </w:lvl>
  </w:abstractNum>
  <w:abstractNum w:abstractNumId="1319" w15:restartNumberingAfterBreak="0">
    <w:nsid w:val="520D0DA5"/>
    <w:multiLevelType w:val="hybridMultilevel"/>
    <w:tmpl w:val="4F40E0DE"/>
    <w:lvl w:ilvl="0" w:tplc="2E04AF40">
      <w:numFmt w:val="bullet"/>
      <w:lvlText w:val=""/>
      <w:lvlJc w:val="left"/>
      <w:pPr>
        <w:ind w:left="156" w:hanging="100"/>
      </w:pPr>
      <w:rPr>
        <w:rFonts w:ascii="Symbol" w:eastAsia="Symbol" w:hAnsi="Symbol" w:cs="Symbol" w:hint="default"/>
        <w:color w:val="231F20"/>
        <w:w w:val="100"/>
        <w:sz w:val="14"/>
        <w:szCs w:val="14"/>
      </w:rPr>
    </w:lvl>
    <w:lvl w:ilvl="1" w:tplc="CB1EC664">
      <w:numFmt w:val="bullet"/>
      <w:lvlText w:val="•"/>
      <w:lvlJc w:val="left"/>
      <w:pPr>
        <w:ind w:left="301" w:hanging="100"/>
      </w:pPr>
      <w:rPr>
        <w:rFonts w:hint="default"/>
      </w:rPr>
    </w:lvl>
    <w:lvl w:ilvl="2" w:tplc="8E501948">
      <w:numFmt w:val="bullet"/>
      <w:lvlText w:val="•"/>
      <w:lvlJc w:val="left"/>
      <w:pPr>
        <w:ind w:left="443" w:hanging="100"/>
      </w:pPr>
      <w:rPr>
        <w:rFonts w:hint="default"/>
      </w:rPr>
    </w:lvl>
    <w:lvl w:ilvl="3" w:tplc="405437BA">
      <w:numFmt w:val="bullet"/>
      <w:lvlText w:val="•"/>
      <w:lvlJc w:val="left"/>
      <w:pPr>
        <w:ind w:left="585" w:hanging="100"/>
      </w:pPr>
      <w:rPr>
        <w:rFonts w:hint="default"/>
      </w:rPr>
    </w:lvl>
    <w:lvl w:ilvl="4" w:tplc="5254D756">
      <w:numFmt w:val="bullet"/>
      <w:lvlText w:val="•"/>
      <w:lvlJc w:val="left"/>
      <w:pPr>
        <w:ind w:left="726" w:hanging="100"/>
      </w:pPr>
      <w:rPr>
        <w:rFonts w:hint="default"/>
      </w:rPr>
    </w:lvl>
    <w:lvl w:ilvl="5" w:tplc="9590274C">
      <w:numFmt w:val="bullet"/>
      <w:lvlText w:val="•"/>
      <w:lvlJc w:val="left"/>
      <w:pPr>
        <w:ind w:left="868" w:hanging="100"/>
      </w:pPr>
      <w:rPr>
        <w:rFonts w:hint="default"/>
      </w:rPr>
    </w:lvl>
    <w:lvl w:ilvl="6" w:tplc="1986A8B8">
      <w:numFmt w:val="bullet"/>
      <w:lvlText w:val="•"/>
      <w:lvlJc w:val="left"/>
      <w:pPr>
        <w:ind w:left="1010" w:hanging="100"/>
      </w:pPr>
      <w:rPr>
        <w:rFonts w:hint="default"/>
      </w:rPr>
    </w:lvl>
    <w:lvl w:ilvl="7" w:tplc="2C620170">
      <w:numFmt w:val="bullet"/>
      <w:lvlText w:val="•"/>
      <w:lvlJc w:val="left"/>
      <w:pPr>
        <w:ind w:left="1151" w:hanging="100"/>
      </w:pPr>
      <w:rPr>
        <w:rFonts w:hint="default"/>
      </w:rPr>
    </w:lvl>
    <w:lvl w:ilvl="8" w:tplc="6D083A28">
      <w:numFmt w:val="bullet"/>
      <w:lvlText w:val="•"/>
      <w:lvlJc w:val="left"/>
      <w:pPr>
        <w:ind w:left="1293" w:hanging="100"/>
      </w:pPr>
      <w:rPr>
        <w:rFonts w:hint="default"/>
      </w:rPr>
    </w:lvl>
  </w:abstractNum>
  <w:abstractNum w:abstractNumId="1320" w15:restartNumberingAfterBreak="0">
    <w:nsid w:val="520D725F"/>
    <w:multiLevelType w:val="hybridMultilevel"/>
    <w:tmpl w:val="DD0EE7CA"/>
    <w:lvl w:ilvl="0" w:tplc="C7861D18">
      <w:numFmt w:val="bullet"/>
      <w:lvlText w:val=""/>
      <w:lvlJc w:val="left"/>
      <w:pPr>
        <w:ind w:left="156" w:hanging="100"/>
      </w:pPr>
      <w:rPr>
        <w:rFonts w:ascii="Symbol" w:eastAsia="Symbol" w:hAnsi="Symbol" w:cs="Symbol" w:hint="default"/>
        <w:color w:val="231F20"/>
        <w:w w:val="100"/>
        <w:sz w:val="14"/>
        <w:szCs w:val="14"/>
      </w:rPr>
    </w:lvl>
    <w:lvl w:ilvl="1" w:tplc="A31AAD1A">
      <w:numFmt w:val="bullet"/>
      <w:lvlText w:val="•"/>
      <w:lvlJc w:val="left"/>
      <w:pPr>
        <w:ind w:left="240" w:hanging="100"/>
      </w:pPr>
      <w:rPr>
        <w:rFonts w:hint="default"/>
      </w:rPr>
    </w:lvl>
    <w:lvl w:ilvl="2" w:tplc="42041E96">
      <w:numFmt w:val="bullet"/>
      <w:lvlText w:val="•"/>
      <w:lvlJc w:val="left"/>
      <w:pPr>
        <w:ind w:left="495" w:hanging="100"/>
      </w:pPr>
      <w:rPr>
        <w:rFonts w:hint="default"/>
      </w:rPr>
    </w:lvl>
    <w:lvl w:ilvl="3" w:tplc="C50A86CA">
      <w:numFmt w:val="bullet"/>
      <w:lvlText w:val="•"/>
      <w:lvlJc w:val="left"/>
      <w:pPr>
        <w:ind w:left="751" w:hanging="100"/>
      </w:pPr>
      <w:rPr>
        <w:rFonts w:hint="default"/>
      </w:rPr>
    </w:lvl>
    <w:lvl w:ilvl="4" w:tplc="63620CA2">
      <w:numFmt w:val="bullet"/>
      <w:lvlText w:val="•"/>
      <w:lvlJc w:val="left"/>
      <w:pPr>
        <w:ind w:left="1007" w:hanging="100"/>
      </w:pPr>
      <w:rPr>
        <w:rFonts w:hint="default"/>
      </w:rPr>
    </w:lvl>
    <w:lvl w:ilvl="5" w:tplc="03CA9F5E">
      <w:numFmt w:val="bullet"/>
      <w:lvlText w:val="•"/>
      <w:lvlJc w:val="left"/>
      <w:pPr>
        <w:ind w:left="1262" w:hanging="100"/>
      </w:pPr>
      <w:rPr>
        <w:rFonts w:hint="default"/>
      </w:rPr>
    </w:lvl>
    <w:lvl w:ilvl="6" w:tplc="4DD20A46">
      <w:numFmt w:val="bullet"/>
      <w:lvlText w:val="•"/>
      <w:lvlJc w:val="left"/>
      <w:pPr>
        <w:ind w:left="1518" w:hanging="100"/>
      </w:pPr>
      <w:rPr>
        <w:rFonts w:hint="default"/>
      </w:rPr>
    </w:lvl>
    <w:lvl w:ilvl="7" w:tplc="97423540">
      <w:numFmt w:val="bullet"/>
      <w:lvlText w:val="•"/>
      <w:lvlJc w:val="left"/>
      <w:pPr>
        <w:ind w:left="1774" w:hanging="100"/>
      </w:pPr>
      <w:rPr>
        <w:rFonts w:hint="default"/>
      </w:rPr>
    </w:lvl>
    <w:lvl w:ilvl="8" w:tplc="64520BC4">
      <w:numFmt w:val="bullet"/>
      <w:lvlText w:val="•"/>
      <w:lvlJc w:val="left"/>
      <w:pPr>
        <w:ind w:left="2029" w:hanging="100"/>
      </w:pPr>
      <w:rPr>
        <w:rFonts w:hint="default"/>
      </w:rPr>
    </w:lvl>
  </w:abstractNum>
  <w:abstractNum w:abstractNumId="1321" w15:restartNumberingAfterBreak="0">
    <w:nsid w:val="5211265B"/>
    <w:multiLevelType w:val="hybridMultilevel"/>
    <w:tmpl w:val="3CCE0968"/>
    <w:lvl w:ilvl="0" w:tplc="369443C6">
      <w:numFmt w:val="bullet"/>
      <w:lvlText w:val=""/>
      <w:lvlJc w:val="left"/>
      <w:pPr>
        <w:ind w:left="156" w:hanging="100"/>
      </w:pPr>
      <w:rPr>
        <w:rFonts w:ascii="Symbol" w:eastAsia="Symbol" w:hAnsi="Symbol" w:cs="Symbol" w:hint="default"/>
        <w:color w:val="231F20"/>
        <w:w w:val="100"/>
        <w:sz w:val="14"/>
        <w:szCs w:val="14"/>
      </w:rPr>
    </w:lvl>
    <w:lvl w:ilvl="1" w:tplc="655CE004">
      <w:numFmt w:val="bullet"/>
      <w:lvlText w:val="•"/>
      <w:lvlJc w:val="left"/>
      <w:pPr>
        <w:ind w:left="426" w:hanging="100"/>
      </w:pPr>
      <w:rPr>
        <w:rFonts w:hint="default"/>
      </w:rPr>
    </w:lvl>
    <w:lvl w:ilvl="2" w:tplc="98CEA6AA">
      <w:numFmt w:val="bullet"/>
      <w:lvlText w:val="•"/>
      <w:lvlJc w:val="left"/>
      <w:pPr>
        <w:ind w:left="692" w:hanging="100"/>
      </w:pPr>
      <w:rPr>
        <w:rFonts w:hint="default"/>
      </w:rPr>
    </w:lvl>
    <w:lvl w:ilvl="3" w:tplc="3FDEAFF6">
      <w:numFmt w:val="bullet"/>
      <w:lvlText w:val="•"/>
      <w:lvlJc w:val="left"/>
      <w:pPr>
        <w:ind w:left="959" w:hanging="100"/>
      </w:pPr>
      <w:rPr>
        <w:rFonts w:hint="default"/>
      </w:rPr>
    </w:lvl>
    <w:lvl w:ilvl="4" w:tplc="1604DD44">
      <w:numFmt w:val="bullet"/>
      <w:lvlText w:val="•"/>
      <w:lvlJc w:val="left"/>
      <w:pPr>
        <w:ind w:left="1225" w:hanging="100"/>
      </w:pPr>
      <w:rPr>
        <w:rFonts w:hint="default"/>
      </w:rPr>
    </w:lvl>
    <w:lvl w:ilvl="5" w:tplc="F2CAE27A">
      <w:numFmt w:val="bullet"/>
      <w:lvlText w:val="•"/>
      <w:lvlJc w:val="left"/>
      <w:pPr>
        <w:ind w:left="1492" w:hanging="100"/>
      </w:pPr>
      <w:rPr>
        <w:rFonts w:hint="default"/>
      </w:rPr>
    </w:lvl>
    <w:lvl w:ilvl="6" w:tplc="F7C264F6">
      <w:numFmt w:val="bullet"/>
      <w:lvlText w:val="•"/>
      <w:lvlJc w:val="left"/>
      <w:pPr>
        <w:ind w:left="1758" w:hanging="100"/>
      </w:pPr>
      <w:rPr>
        <w:rFonts w:hint="default"/>
      </w:rPr>
    </w:lvl>
    <w:lvl w:ilvl="7" w:tplc="959E548A">
      <w:numFmt w:val="bullet"/>
      <w:lvlText w:val="•"/>
      <w:lvlJc w:val="left"/>
      <w:pPr>
        <w:ind w:left="2024" w:hanging="100"/>
      </w:pPr>
      <w:rPr>
        <w:rFonts w:hint="default"/>
      </w:rPr>
    </w:lvl>
    <w:lvl w:ilvl="8" w:tplc="AA0C3292">
      <w:numFmt w:val="bullet"/>
      <w:lvlText w:val="•"/>
      <w:lvlJc w:val="left"/>
      <w:pPr>
        <w:ind w:left="2291" w:hanging="100"/>
      </w:pPr>
      <w:rPr>
        <w:rFonts w:hint="default"/>
      </w:rPr>
    </w:lvl>
  </w:abstractNum>
  <w:abstractNum w:abstractNumId="1322" w15:restartNumberingAfterBreak="0">
    <w:nsid w:val="52136DBD"/>
    <w:multiLevelType w:val="hybridMultilevel"/>
    <w:tmpl w:val="9AA2E894"/>
    <w:lvl w:ilvl="0" w:tplc="163A2C24">
      <w:numFmt w:val="bullet"/>
      <w:lvlText w:val=""/>
      <w:lvlJc w:val="left"/>
      <w:pPr>
        <w:ind w:left="157" w:hanging="100"/>
      </w:pPr>
      <w:rPr>
        <w:rFonts w:ascii="Symbol" w:eastAsia="Symbol" w:hAnsi="Symbol" w:cs="Symbol" w:hint="default"/>
        <w:color w:val="231F20"/>
        <w:w w:val="100"/>
        <w:sz w:val="14"/>
        <w:szCs w:val="14"/>
      </w:rPr>
    </w:lvl>
    <w:lvl w:ilvl="1" w:tplc="DF6A923C">
      <w:numFmt w:val="bullet"/>
      <w:lvlText w:val="•"/>
      <w:lvlJc w:val="left"/>
      <w:pPr>
        <w:ind w:left="398" w:hanging="100"/>
      </w:pPr>
      <w:rPr>
        <w:rFonts w:hint="default"/>
      </w:rPr>
    </w:lvl>
    <w:lvl w:ilvl="2" w:tplc="B23E62DC">
      <w:numFmt w:val="bullet"/>
      <w:lvlText w:val="•"/>
      <w:lvlJc w:val="left"/>
      <w:pPr>
        <w:ind w:left="636" w:hanging="100"/>
      </w:pPr>
      <w:rPr>
        <w:rFonts w:hint="default"/>
      </w:rPr>
    </w:lvl>
    <w:lvl w:ilvl="3" w:tplc="F42CD44E">
      <w:numFmt w:val="bullet"/>
      <w:lvlText w:val="•"/>
      <w:lvlJc w:val="left"/>
      <w:pPr>
        <w:ind w:left="874" w:hanging="100"/>
      </w:pPr>
      <w:rPr>
        <w:rFonts w:hint="default"/>
      </w:rPr>
    </w:lvl>
    <w:lvl w:ilvl="4" w:tplc="4E745014">
      <w:numFmt w:val="bullet"/>
      <w:lvlText w:val="•"/>
      <w:lvlJc w:val="left"/>
      <w:pPr>
        <w:ind w:left="1112" w:hanging="100"/>
      </w:pPr>
      <w:rPr>
        <w:rFonts w:hint="default"/>
      </w:rPr>
    </w:lvl>
    <w:lvl w:ilvl="5" w:tplc="A2F2C694">
      <w:numFmt w:val="bullet"/>
      <w:lvlText w:val="•"/>
      <w:lvlJc w:val="left"/>
      <w:pPr>
        <w:ind w:left="1350" w:hanging="100"/>
      </w:pPr>
      <w:rPr>
        <w:rFonts w:hint="default"/>
      </w:rPr>
    </w:lvl>
    <w:lvl w:ilvl="6" w:tplc="904C16D4">
      <w:numFmt w:val="bullet"/>
      <w:lvlText w:val="•"/>
      <w:lvlJc w:val="left"/>
      <w:pPr>
        <w:ind w:left="1588" w:hanging="100"/>
      </w:pPr>
      <w:rPr>
        <w:rFonts w:hint="default"/>
      </w:rPr>
    </w:lvl>
    <w:lvl w:ilvl="7" w:tplc="2C762A9A">
      <w:numFmt w:val="bullet"/>
      <w:lvlText w:val="•"/>
      <w:lvlJc w:val="left"/>
      <w:pPr>
        <w:ind w:left="1826" w:hanging="100"/>
      </w:pPr>
      <w:rPr>
        <w:rFonts w:hint="default"/>
      </w:rPr>
    </w:lvl>
    <w:lvl w:ilvl="8" w:tplc="D616A514">
      <w:numFmt w:val="bullet"/>
      <w:lvlText w:val="•"/>
      <w:lvlJc w:val="left"/>
      <w:pPr>
        <w:ind w:left="2064" w:hanging="100"/>
      </w:pPr>
      <w:rPr>
        <w:rFonts w:hint="default"/>
      </w:rPr>
    </w:lvl>
  </w:abstractNum>
  <w:abstractNum w:abstractNumId="1323" w15:restartNumberingAfterBreak="0">
    <w:nsid w:val="52223934"/>
    <w:multiLevelType w:val="hybridMultilevel"/>
    <w:tmpl w:val="7F8EF2A2"/>
    <w:lvl w:ilvl="0" w:tplc="BDEA2EC4">
      <w:numFmt w:val="bullet"/>
      <w:lvlText w:val=""/>
      <w:lvlJc w:val="left"/>
      <w:pPr>
        <w:ind w:left="156" w:hanging="100"/>
      </w:pPr>
      <w:rPr>
        <w:rFonts w:ascii="Symbol" w:eastAsia="Symbol" w:hAnsi="Symbol" w:cs="Symbol" w:hint="default"/>
        <w:color w:val="231F20"/>
        <w:w w:val="100"/>
        <w:sz w:val="14"/>
        <w:szCs w:val="14"/>
      </w:rPr>
    </w:lvl>
    <w:lvl w:ilvl="1" w:tplc="69F8E086">
      <w:numFmt w:val="bullet"/>
      <w:lvlText w:val="•"/>
      <w:lvlJc w:val="left"/>
      <w:pPr>
        <w:ind w:left="398" w:hanging="100"/>
      </w:pPr>
      <w:rPr>
        <w:rFonts w:hint="default"/>
      </w:rPr>
    </w:lvl>
    <w:lvl w:ilvl="2" w:tplc="16506F32">
      <w:numFmt w:val="bullet"/>
      <w:lvlText w:val="•"/>
      <w:lvlJc w:val="left"/>
      <w:pPr>
        <w:ind w:left="636" w:hanging="100"/>
      </w:pPr>
      <w:rPr>
        <w:rFonts w:hint="default"/>
      </w:rPr>
    </w:lvl>
    <w:lvl w:ilvl="3" w:tplc="404C20D4">
      <w:numFmt w:val="bullet"/>
      <w:lvlText w:val="•"/>
      <w:lvlJc w:val="left"/>
      <w:pPr>
        <w:ind w:left="874" w:hanging="100"/>
      </w:pPr>
      <w:rPr>
        <w:rFonts w:hint="default"/>
      </w:rPr>
    </w:lvl>
    <w:lvl w:ilvl="4" w:tplc="DE061862">
      <w:numFmt w:val="bullet"/>
      <w:lvlText w:val="•"/>
      <w:lvlJc w:val="left"/>
      <w:pPr>
        <w:ind w:left="1112" w:hanging="100"/>
      </w:pPr>
      <w:rPr>
        <w:rFonts w:hint="default"/>
      </w:rPr>
    </w:lvl>
    <w:lvl w:ilvl="5" w:tplc="CDCECE1E">
      <w:numFmt w:val="bullet"/>
      <w:lvlText w:val="•"/>
      <w:lvlJc w:val="left"/>
      <w:pPr>
        <w:ind w:left="1350" w:hanging="100"/>
      </w:pPr>
      <w:rPr>
        <w:rFonts w:hint="default"/>
      </w:rPr>
    </w:lvl>
    <w:lvl w:ilvl="6" w:tplc="E8464F00">
      <w:numFmt w:val="bullet"/>
      <w:lvlText w:val="•"/>
      <w:lvlJc w:val="left"/>
      <w:pPr>
        <w:ind w:left="1588" w:hanging="100"/>
      </w:pPr>
      <w:rPr>
        <w:rFonts w:hint="default"/>
      </w:rPr>
    </w:lvl>
    <w:lvl w:ilvl="7" w:tplc="288C07B8">
      <w:numFmt w:val="bullet"/>
      <w:lvlText w:val="•"/>
      <w:lvlJc w:val="left"/>
      <w:pPr>
        <w:ind w:left="1826" w:hanging="100"/>
      </w:pPr>
      <w:rPr>
        <w:rFonts w:hint="default"/>
      </w:rPr>
    </w:lvl>
    <w:lvl w:ilvl="8" w:tplc="7CD8F1CE">
      <w:numFmt w:val="bullet"/>
      <w:lvlText w:val="•"/>
      <w:lvlJc w:val="left"/>
      <w:pPr>
        <w:ind w:left="2064" w:hanging="100"/>
      </w:pPr>
      <w:rPr>
        <w:rFonts w:hint="default"/>
      </w:rPr>
    </w:lvl>
  </w:abstractNum>
  <w:abstractNum w:abstractNumId="1324" w15:restartNumberingAfterBreak="0">
    <w:nsid w:val="522E6C18"/>
    <w:multiLevelType w:val="hybridMultilevel"/>
    <w:tmpl w:val="552ABDF2"/>
    <w:lvl w:ilvl="0" w:tplc="9D30E540">
      <w:numFmt w:val="bullet"/>
      <w:lvlText w:val=""/>
      <w:lvlJc w:val="left"/>
      <w:pPr>
        <w:ind w:left="157" w:hanging="100"/>
      </w:pPr>
      <w:rPr>
        <w:rFonts w:ascii="Symbol" w:eastAsia="Symbol" w:hAnsi="Symbol" w:cs="Symbol" w:hint="default"/>
        <w:color w:val="231F20"/>
        <w:w w:val="100"/>
        <w:sz w:val="14"/>
        <w:szCs w:val="14"/>
      </w:rPr>
    </w:lvl>
    <w:lvl w:ilvl="1" w:tplc="4AE21C58">
      <w:numFmt w:val="bullet"/>
      <w:lvlText w:val="•"/>
      <w:lvlJc w:val="left"/>
      <w:pPr>
        <w:ind w:left="369" w:hanging="100"/>
      </w:pPr>
      <w:rPr>
        <w:rFonts w:hint="default"/>
      </w:rPr>
    </w:lvl>
    <w:lvl w:ilvl="2" w:tplc="CDE2D6B4">
      <w:numFmt w:val="bullet"/>
      <w:lvlText w:val="•"/>
      <w:lvlJc w:val="left"/>
      <w:pPr>
        <w:ind w:left="579" w:hanging="100"/>
      </w:pPr>
      <w:rPr>
        <w:rFonts w:hint="default"/>
      </w:rPr>
    </w:lvl>
    <w:lvl w:ilvl="3" w:tplc="562666B2">
      <w:numFmt w:val="bullet"/>
      <w:lvlText w:val="•"/>
      <w:lvlJc w:val="left"/>
      <w:pPr>
        <w:ind w:left="789" w:hanging="100"/>
      </w:pPr>
      <w:rPr>
        <w:rFonts w:hint="default"/>
      </w:rPr>
    </w:lvl>
    <w:lvl w:ilvl="4" w:tplc="44EEBE02">
      <w:numFmt w:val="bullet"/>
      <w:lvlText w:val="•"/>
      <w:lvlJc w:val="left"/>
      <w:pPr>
        <w:ind w:left="998" w:hanging="100"/>
      </w:pPr>
      <w:rPr>
        <w:rFonts w:hint="default"/>
      </w:rPr>
    </w:lvl>
    <w:lvl w:ilvl="5" w:tplc="0804E550">
      <w:numFmt w:val="bullet"/>
      <w:lvlText w:val="•"/>
      <w:lvlJc w:val="left"/>
      <w:pPr>
        <w:ind w:left="1208" w:hanging="100"/>
      </w:pPr>
      <w:rPr>
        <w:rFonts w:hint="default"/>
      </w:rPr>
    </w:lvl>
    <w:lvl w:ilvl="6" w:tplc="C46AAFCE">
      <w:numFmt w:val="bullet"/>
      <w:lvlText w:val="•"/>
      <w:lvlJc w:val="left"/>
      <w:pPr>
        <w:ind w:left="1418" w:hanging="100"/>
      </w:pPr>
      <w:rPr>
        <w:rFonts w:hint="default"/>
      </w:rPr>
    </w:lvl>
    <w:lvl w:ilvl="7" w:tplc="E10E9B4A">
      <w:numFmt w:val="bullet"/>
      <w:lvlText w:val="•"/>
      <w:lvlJc w:val="left"/>
      <w:pPr>
        <w:ind w:left="1627" w:hanging="100"/>
      </w:pPr>
      <w:rPr>
        <w:rFonts w:hint="default"/>
      </w:rPr>
    </w:lvl>
    <w:lvl w:ilvl="8" w:tplc="D6D09178">
      <w:numFmt w:val="bullet"/>
      <w:lvlText w:val="•"/>
      <w:lvlJc w:val="left"/>
      <w:pPr>
        <w:ind w:left="1837" w:hanging="100"/>
      </w:pPr>
      <w:rPr>
        <w:rFonts w:hint="default"/>
      </w:rPr>
    </w:lvl>
  </w:abstractNum>
  <w:abstractNum w:abstractNumId="1325" w15:restartNumberingAfterBreak="0">
    <w:nsid w:val="522E7834"/>
    <w:multiLevelType w:val="hybridMultilevel"/>
    <w:tmpl w:val="7E3E85AE"/>
    <w:lvl w:ilvl="0" w:tplc="02CE08C8">
      <w:numFmt w:val="bullet"/>
      <w:lvlText w:val="•"/>
      <w:lvlJc w:val="left"/>
      <w:pPr>
        <w:ind w:left="57" w:hanging="84"/>
      </w:pPr>
      <w:rPr>
        <w:rFonts w:ascii="Times New Roman" w:eastAsia="Times New Roman" w:hAnsi="Times New Roman" w:cs="Times New Roman" w:hint="default"/>
        <w:b/>
        <w:bCs/>
        <w:color w:val="231F20"/>
        <w:w w:val="100"/>
        <w:sz w:val="14"/>
        <w:szCs w:val="14"/>
      </w:rPr>
    </w:lvl>
    <w:lvl w:ilvl="1" w:tplc="503C814E">
      <w:numFmt w:val="bullet"/>
      <w:lvlText w:val="•"/>
      <w:lvlJc w:val="left"/>
      <w:pPr>
        <w:ind w:left="336" w:hanging="84"/>
      </w:pPr>
      <w:rPr>
        <w:rFonts w:hint="default"/>
      </w:rPr>
    </w:lvl>
    <w:lvl w:ilvl="2" w:tplc="36CECC08">
      <w:numFmt w:val="bullet"/>
      <w:lvlText w:val="•"/>
      <w:lvlJc w:val="left"/>
      <w:pPr>
        <w:ind w:left="612" w:hanging="84"/>
      </w:pPr>
      <w:rPr>
        <w:rFonts w:hint="default"/>
      </w:rPr>
    </w:lvl>
    <w:lvl w:ilvl="3" w:tplc="E20C6904">
      <w:numFmt w:val="bullet"/>
      <w:lvlText w:val="•"/>
      <w:lvlJc w:val="left"/>
      <w:pPr>
        <w:ind w:left="889" w:hanging="84"/>
      </w:pPr>
      <w:rPr>
        <w:rFonts w:hint="default"/>
      </w:rPr>
    </w:lvl>
    <w:lvl w:ilvl="4" w:tplc="1BDE891C">
      <w:numFmt w:val="bullet"/>
      <w:lvlText w:val="•"/>
      <w:lvlJc w:val="left"/>
      <w:pPr>
        <w:ind w:left="1165" w:hanging="84"/>
      </w:pPr>
      <w:rPr>
        <w:rFonts w:hint="default"/>
      </w:rPr>
    </w:lvl>
    <w:lvl w:ilvl="5" w:tplc="7862B568">
      <w:numFmt w:val="bullet"/>
      <w:lvlText w:val="•"/>
      <w:lvlJc w:val="left"/>
      <w:pPr>
        <w:ind w:left="1442" w:hanging="84"/>
      </w:pPr>
      <w:rPr>
        <w:rFonts w:hint="default"/>
      </w:rPr>
    </w:lvl>
    <w:lvl w:ilvl="6" w:tplc="F792315C">
      <w:numFmt w:val="bullet"/>
      <w:lvlText w:val="•"/>
      <w:lvlJc w:val="left"/>
      <w:pPr>
        <w:ind w:left="1718" w:hanging="84"/>
      </w:pPr>
      <w:rPr>
        <w:rFonts w:hint="default"/>
      </w:rPr>
    </w:lvl>
    <w:lvl w:ilvl="7" w:tplc="084498B8">
      <w:numFmt w:val="bullet"/>
      <w:lvlText w:val="•"/>
      <w:lvlJc w:val="left"/>
      <w:pPr>
        <w:ind w:left="1994" w:hanging="84"/>
      </w:pPr>
      <w:rPr>
        <w:rFonts w:hint="default"/>
      </w:rPr>
    </w:lvl>
    <w:lvl w:ilvl="8" w:tplc="61E85736">
      <w:numFmt w:val="bullet"/>
      <w:lvlText w:val="•"/>
      <w:lvlJc w:val="left"/>
      <w:pPr>
        <w:ind w:left="2271" w:hanging="84"/>
      </w:pPr>
      <w:rPr>
        <w:rFonts w:hint="default"/>
      </w:rPr>
    </w:lvl>
  </w:abstractNum>
  <w:abstractNum w:abstractNumId="1326" w15:restartNumberingAfterBreak="0">
    <w:nsid w:val="523B71C6"/>
    <w:multiLevelType w:val="hybridMultilevel"/>
    <w:tmpl w:val="147663F6"/>
    <w:lvl w:ilvl="0" w:tplc="2A28CF92">
      <w:numFmt w:val="bullet"/>
      <w:lvlText w:val=""/>
      <w:lvlJc w:val="left"/>
      <w:pPr>
        <w:ind w:left="157" w:hanging="100"/>
      </w:pPr>
      <w:rPr>
        <w:rFonts w:ascii="Symbol" w:eastAsia="Symbol" w:hAnsi="Symbol" w:cs="Symbol" w:hint="default"/>
        <w:color w:val="231F20"/>
        <w:w w:val="100"/>
        <w:sz w:val="14"/>
        <w:szCs w:val="14"/>
      </w:rPr>
    </w:lvl>
    <w:lvl w:ilvl="1" w:tplc="8B5A9E5C">
      <w:numFmt w:val="bullet"/>
      <w:lvlText w:val="•"/>
      <w:lvlJc w:val="left"/>
      <w:pPr>
        <w:ind w:left="369" w:hanging="100"/>
      </w:pPr>
      <w:rPr>
        <w:rFonts w:hint="default"/>
      </w:rPr>
    </w:lvl>
    <w:lvl w:ilvl="2" w:tplc="AB8A6B52">
      <w:numFmt w:val="bullet"/>
      <w:lvlText w:val="•"/>
      <w:lvlJc w:val="left"/>
      <w:pPr>
        <w:ind w:left="579" w:hanging="100"/>
      </w:pPr>
      <w:rPr>
        <w:rFonts w:hint="default"/>
      </w:rPr>
    </w:lvl>
    <w:lvl w:ilvl="3" w:tplc="C0CCF958">
      <w:numFmt w:val="bullet"/>
      <w:lvlText w:val="•"/>
      <w:lvlJc w:val="left"/>
      <w:pPr>
        <w:ind w:left="789" w:hanging="100"/>
      </w:pPr>
      <w:rPr>
        <w:rFonts w:hint="default"/>
      </w:rPr>
    </w:lvl>
    <w:lvl w:ilvl="4" w:tplc="29482F4E">
      <w:numFmt w:val="bullet"/>
      <w:lvlText w:val="•"/>
      <w:lvlJc w:val="left"/>
      <w:pPr>
        <w:ind w:left="998" w:hanging="100"/>
      </w:pPr>
      <w:rPr>
        <w:rFonts w:hint="default"/>
      </w:rPr>
    </w:lvl>
    <w:lvl w:ilvl="5" w:tplc="3D2C4BE4">
      <w:numFmt w:val="bullet"/>
      <w:lvlText w:val="•"/>
      <w:lvlJc w:val="left"/>
      <w:pPr>
        <w:ind w:left="1208" w:hanging="100"/>
      </w:pPr>
      <w:rPr>
        <w:rFonts w:hint="default"/>
      </w:rPr>
    </w:lvl>
    <w:lvl w:ilvl="6" w:tplc="E8DCC60A">
      <w:numFmt w:val="bullet"/>
      <w:lvlText w:val="•"/>
      <w:lvlJc w:val="left"/>
      <w:pPr>
        <w:ind w:left="1418" w:hanging="100"/>
      </w:pPr>
      <w:rPr>
        <w:rFonts w:hint="default"/>
      </w:rPr>
    </w:lvl>
    <w:lvl w:ilvl="7" w:tplc="F2183BB8">
      <w:numFmt w:val="bullet"/>
      <w:lvlText w:val="•"/>
      <w:lvlJc w:val="left"/>
      <w:pPr>
        <w:ind w:left="1627" w:hanging="100"/>
      </w:pPr>
      <w:rPr>
        <w:rFonts w:hint="default"/>
      </w:rPr>
    </w:lvl>
    <w:lvl w:ilvl="8" w:tplc="7FB0E4FE">
      <w:numFmt w:val="bullet"/>
      <w:lvlText w:val="•"/>
      <w:lvlJc w:val="left"/>
      <w:pPr>
        <w:ind w:left="1837" w:hanging="100"/>
      </w:pPr>
      <w:rPr>
        <w:rFonts w:hint="default"/>
      </w:rPr>
    </w:lvl>
  </w:abstractNum>
  <w:abstractNum w:abstractNumId="1327" w15:restartNumberingAfterBreak="0">
    <w:nsid w:val="525144C3"/>
    <w:multiLevelType w:val="hybridMultilevel"/>
    <w:tmpl w:val="58C60500"/>
    <w:lvl w:ilvl="0" w:tplc="3AA67D18">
      <w:numFmt w:val="bullet"/>
      <w:lvlText w:val=""/>
      <w:lvlJc w:val="left"/>
      <w:pPr>
        <w:ind w:left="157" w:hanging="100"/>
      </w:pPr>
      <w:rPr>
        <w:rFonts w:ascii="Symbol" w:eastAsia="Symbol" w:hAnsi="Symbol" w:cs="Symbol" w:hint="default"/>
        <w:color w:val="231F20"/>
        <w:w w:val="100"/>
        <w:sz w:val="14"/>
        <w:szCs w:val="14"/>
      </w:rPr>
    </w:lvl>
    <w:lvl w:ilvl="1" w:tplc="9EAA60A6">
      <w:numFmt w:val="bullet"/>
      <w:lvlText w:val="•"/>
      <w:lvlJc w:val="left"/>
      <w:pPr>
        <w:ind w:left="398" w:hanging="100"/>
      </w:pPr>
      <w:rPr>
        <w:rFonts w:hint="default"/>
      </w:rPr>
    </w:lvl>
    <w:lvl w:ilvl="2" w:tplc="47308658">
      <w:numFmt w:val="bullet"/>
      <w:lvlText w:val="•"/>
      <w:lvlJc w:val="left"/>
      <w:pPr>
        <w:ind w:left="636" w:hanging="100"/>
      </w:pPr>
      <w:rPr>
        <w:rFonts w:hint="default"/>
      </w:rPr>
    </w:lvl>
    <w:lvl w:ilvl="3" w:tplc="524A3A62">
      <w:numFmt w:val="bullet"/>
      <w:lvlText w:val="•"/>
      <w:lvlJc w:val="left"/>
      <w:pPr>
        <w:ind w:left="874" w:hanging="100"/>
      </w:pPr>
      <w:rPr>
        <w:rFonts w:hint="default"/>
      </w:rPr>
    </w:lvl>
    <w:lvl w:ilvl="4" w:tplc="26DE876E">
      <w:numFmt w:val="bullet"/>
      <w:lvlText w:val="•"/>
      <w:lvlJc w:val="left"/>
      <w:pPr>
        <w:ind w:left="1112" w:hanging="100"/>
      </w:pPr>
      <w:rPr>
        <w:rFonts w:hint="default"/>
      </w:rPr>
    </w:lvl>
    <w:lvl w:ilvl="5" w:tplc="F62452D0">
      <w:numFmt w:val="bullet"/>
      <w:lvlText w:val="•"/>
      <w:lvlJc w:val="left"/>
      <w:pPr>
        <w:ind w:left="1350" w:hanging="100"/>
      </w:pPr>
      <w:rPr>
        <w:rFonts w:hint="default"/>
      </w:rPr>
    </w:lvl>
    <w:lvl w:ilvl="6" w:tplc="59AC76B4">
      <w:numFmt w:val="bullet"/>
      <w:lvlText w:val="•"/>
      <w:lvlJc w:val="left"/>
      <w:pPr>
        <w:ind w:left="1588" w:hanging="100"/>
      </w:pPr>
      <w:rPr>
        <w:rFonts w:hint="default"/>
      </w:rPr>
    </w:lvl>
    <w:lvl w:ilvl="7" w:tplc="650E3EA8">
      <w:numFmt w:val="bullet"/>
      <w:lvlText w:val="•"/>
      <w:lvlJc w:val="left"/>
      <w:pPr>
        <w:ind w:left="1826" w:hanging="100"/>
      </w:pPr>
      <w:rPr>
        <w:rFonts w:hint="default"/>
      </w:rPr>
    </w:lvl>
    <w:lvl w:ilvl="8" w:tplc="22D47260">
      <w:numFmt w:val="bullet"/>
      <w:lvlText w:val="•"/>
      <w:lvlJc w:val="left"/>
      <w:pPr>
        <w:ind w:left="2064" w:hanging="100"/>
      </w:pPr>
      <w:rPr>
        <w:rFonts w:hint="default"/>
      </w:rPr>
    </w:lvl>
  </w:abstractNum>
  <w:abstractNum w:abstractNumId="1328" w15:restartNumberingAfterBreak="0">
    <w:nsid w:val="52536F84"/>
    <w:multiLevelType w:val="hybridMultilevel"/>
    <w:tmpl w:val="F362A0C6"/>
    <w:lvl w:ilvl="0" w:tplc="41B2D1BC">
      <w:numFmt w:val="bullet"/>
      <w:lvlText w:val=""/>
      <w:lvlJc w:val="left"/>
      <w:pPr>
        <w:ind w:left="157" w:hanging="100"/>
      </w:pPr>
      <w:rPr>
        <w:rFonts w:ascii="Symbol" w:eastAsia="Symbol" w:hAnsi="Symbol" w:cs="Symbol" w:hint="default"/>
        <w:color w:val="231F20"/>
        <w:w w:val="100"/>
        <w:sz w:val="14"/>
        <w:szCs w:val="14"/>
      </w:rPr>
    </w:lvl>
    <w:lvl w:ilvl="1" w:tplc="A650FEF4">
      <w:numFmt w:val="bullet"/>
      <w:lvlText w:val="•"/>
      <w:lvlJc w:val="left"/>
      <w:pPr>
        <w:ind w:left="369" w:hanging="100"/>
      </w:pPr>
      <w:rPr>
        <w:rFonts w:hint="default"/>
      </w:rPr>
    </w:lvl>
    <w:lvl w:ilvl="2" w:tplc="732CDCA8">
      <w:numFmt w:val="bullet"/>
      <w:lvlText w:val="•"/>
      <w:lvlJc w:val="left"/>
      <w:pPr>
        <w:ind w:left="579" w:hanging="100"/>
      </w:pPr>
      <w:rPr>
        <w:rFonts w:hint="default"/>
      </w:rPr>
    </w:lvl>
    <w:lvl w:ilvl="3" w:tplc="C08C74CA">
      <w:numFmt w:val="bullet"/>
      <w:lvlText w:val="•"/>
      <w:lvlJc w:val="left"/>
      <w:pPr>
        <w:ind w:left="789" w:hanging="100"/>
      </w:pPr>
      <w:rPr>
        <w:rFonts w:hint="default"/>
      </w:rPr>
    </w:lvl>
    <w:lvl w:ilvl="4" w:tplc="C5C0F11E">
      <w:numFmt w:val="bullet"/>
      <w:lvlText w:val="•"/>
      <w:lvlJc w:val="left"/>
      <w:pPr>
        <w:ind w:left="998" w:hanging="100"/>
      </w:pPr>
      <w:rPr>
        <w:rFonts w:hint="default"/>
      </w:rPr>
    </w:lvl>
    <w:lvl w:ilvl="5" w:tplc="931AD80A">
      <w:numFmt w:val="bullet"/>
      <w:lvlText w:val="•"/>
      <w:lvlJc w:val="left"/>
      <w:pPr>
        <w:ind w:left="1208" w:hanging="100"/>
      </w:pPr>
      <w:rPr>
        <w:rFonts w:hint="default"/>
      </w:rPr>
    </w:lvl>
    <w:lvl w:ilvl="6" w:tplc="A15CC504">
      <w:numFmt w:val="bullet"/>
      <w:lvlText w:val="•"/>
      <w:lvlJc w:val="left"/>
      <w:pPr>
        <w:ind w:left="1418" w:hanging="100"/>
      </w:pPr>
      <w:rPr>
        <w:rFonts w:hint="default"/>
      </w:rPr>
    </w:lvl>
    <w:lvl w:ilvl="7" w:tplc="CA2E013C">
      <w:numFmt w:val="bullet"/>
      <w:lvlText w:val="•"/>
      <w:lvlJc w:val="left"/>
      <w:pPr>
        <w:ind w:left="1627" w:hanging="100"/>
      </w:pPr>
      <w:rPr>
        <w:rFonts w:hint="default"/>
      </w:rPr>
    </w:lvl>
    <w:lvl w:ilvl="8" w:tplc="CE703CF4">
      <w:numFmt w:val="bullet"/>
      <w:lvlText w:val="•"/>
      <w:lvlJc w:val="left"/>
      <w:pPr>
        <w:ind w:left="1837" w:hanging="100"/>
      </w:pPr>
      <w:rPr>
        <w:rFonts w:hint="default"/>
      </w:rPr>
    </w:lvl>
  </w:abstractNum>
  <w:abstractNum w:abstractNumId="1329" w15:restartNumberingAfterBreak="0">
    <w:nsid w:val="52542356"/>
    <w:multiLevelType w:val="hybridMultilevel"/>
    <w:tmpl w:val="AF9A1C7C"/>
    <w:lvl w:ilvl="0" w:tplc="4356A56C">
      <w:numFmt w:val="bullet"/>
      <w:lvlText w:val=""/>
      <w:lvlJc w:val="left"/>
      <w:pPr>
        <w:ind w:left="156" w:hanging="100"/>
      </w:pPr>
      <w:rPr>
        <w:rFonts w:ascii="Symbol" w:eastAsia="Symbol" w:hAnsi="Symbol" w:cs="Symbol" w:hint="default"/>
        <w:color w:val="231F20"/>
        <w:w w:val="100"/>
        <w:sz w:val="14"/>
        <w:szCs w:val="14"/>
      </w:rPr>
    </w:lvl>
    <w:lvl w:ilvl="1" w:tplc="CA5CBEC6">
      <w:numFmt w:val="bullet"/>
      <w:lvlText w:val="•"/>
      <w:lvlJc w:val="left"/>
      <w:pPr>
        <w:ind w:left="301" w:hanging="100"/>
      </w:pPr>
      <w:rPr>
        <w:rFonts w:hint="default"/>
      </w:rPr>
    </w:lvl>
    <w:lvl w:ilvl="2" w:tplc="5BC4E9AA">
      <w:numFmt w:val="bullet"/>
      <w:lvlText w:val="•"/>
      <w:lvlJc w:val="left"/>
      <w:pPr>
        <w:ind w:left="443" w:hanging="100"/>
      </w:pPr>
      <w:rPr>
        <w:rFonts w:hint="default"/>
      </w:rPr>
    </w:lvl>
    <w:lvl w:ilvl="3" w:tplc="D40A2C12">
      <w:numFmt w:val="bullet"/>
      <w:lvlText w:val="•"/>
      <w:lvlJc w:val="left"/>
      <w:pPr>
        <w:ind w:left="585" w:hanging="100"/>
      </w:pPr>
      <w:rPr>
        <w:rFonts w:hint="default"/>
      </w:rPr>
    </w:lvl>
    <w:lvl w:ilvl="4" w:tplc="23086E18">
      <w:numFmt w:val="bullet"/>
      <w:lvlText w:val="•"/>
      <w:lvlJc w:val="left"/>
      <w:pPr>
        <w:ind w:left="726" w:hanging="100"/>
      </w:pPr>
      <w:rPr>
        <w:rFonts w:hint="default"/>
      </w:rPr>
    </w:lvl>
    <w:lvl w:ilvl="5" w:tplc="E60260D8">
      <w:numFmt w:val="bullet"/>
      <w:lvlText w:val="•"/>
      <w:lvlJc w:val="left"/>
      <w:pPr>
        <w:ind w:left="868" w:hanging="100"/>
      </w:pPr>
      <w:rPr>
        <w:rFonts w:hint="default"/>
      </w:rPr>
    </w:lvl>
    <w:lvl w:ilvl="6" w:tplc="BA5AC352">
      <w:numFmt w:val="bullet"/>
      <w:lvlText w:val="•"/>
      <w:lvlJc w:val="left"/>
      <w:pPr>
        <w:ind w:left="1010" w:hanging="100"/>
      </w:pPr>
      <w:rPr>
        <w:rFonts w:hint="default"/>
      </w:rPr>
    </w:lvl>
    <w:lvl w:ilvl="7" w:tplc="9DF6611E">
      <w:numFmt w:val="bullet"/>
      <w:lvlText w:val="•"/>
      <w:lvlJc w:val="left"/>
      <w:pPr>
        <w:ind w:left="1151" w:hanging="100"/>
      </w:pPr>
      <w:rPr>
        <w:rFonts w:hint="default"/>
      </w:rPr>
    </w:lvl>
    <w:lvl w:ilvl="8" w:tplc="4D3AFC26">
      <w:numFmt w:val="bullet"/>
      <w:lvlText w:val="•"/>
      <w:lvlJc w:val="left"/>
      <w:pPr>
        <w:ind w:left="1293" w:hanging="100"/>
      </w:pPr>
      <w:rPr>
        <w:rFonts w:hint="default"/>
      </w:rPr>
    </w:lvl>
  </w:abstractNum>
  <w:abstractNum w:abstractNumId="1330" w15:restartNumberingAfterBreak="0">
    <w:nsid w:val="52554745"/>
    <w:multiLevelType w:val="hybridMultilevel"/>
    <w:tmpl w:val="CACC9E26"/>
    <w:lvl w:ilvl="0" w:tplc="81005B70">
      <w:numFmt w:val="bullet"/>
      <w:lvlText w:val=""/>
      <w:lvlJc w:val="left"/>
      <w:pPr>
        <w:ind w:left="156" w:hanging="100"/>
      </w:pPr>
      <w:rPr>
        <w:rFonts w:ascii="Symbol" w:eastAsia="Symbol" w:hAnsi="Symbol" w:cs="Symbol" w:hint="default"/>
        <w:color w:val="231F20"/>
        <w:w w:val="100"/>
        <w:sz w:val="14"/>
        <w:szCs w:val="14"/>
      </w:rPr>
    </w:lvl>
    <w:lvl w:ilvl="1" w:tplc="4F168D90">
      <w:numFmt w:val="bullet"/>
      <w:lvlText w:val="•"/>
      <w:lvlJc w:val="left"/>
      <w:pPr>
        <w:ind w:left="426" w:hanging="100"/>
      </w:pPr>
      <w:rPr>
        <w:rFonts w:hint="default"/>
      </w:rPr>
    </w:lvl>
    <w:lvl w:ilvl="2" w:tplc="6D303EDE">
      <w:numFmt w:val="bullet"/>
      <w:lvlText w:val="•"/>
      <w:lvlJc w:val="left"/>
      <w:pPr>
        <w:ind w:left="692" w:hanging="100"/>
      </w:pPr>
      <w:rPr>
        <w:rFonts w:hint="default"/>
      </w:rPr>
    </w:lvl>
    <w:lvl w:ilvl="3" w:tplc="1A7680B0">
      <w:numFmt w:val="bullet"/>
      <w:lvlText w:val="•"/>
      <w:lvlJc w:val="left"/>
      <w:pPr>
        <w:ind w:left="959" w:hanging="100"/>
      </w:pPr>
      <w:rPr>
        <w:rFonts w:hint="default"/>
      </w:rPr>
    </w:lvl>
    <w:lvl w:ilvl="4" w:tplc="4022E2E8">
      <w:numFmt w:val="bullet"/>
      <w:lvlText w:val="•"/>
      <w:lvlJc w:val="left"/>
      <w:pPr>
        <w:ind w:left="1225" w:hanging="100"/>
      </w:pPr>
      <w:rPr>
        <w:rFonts w:hint="default"/>
      </w:rPr>
    </w:lvl>
    <w:lvl w:ilvl="5" w:tplc="5B5C5BC2">
      <w:numFmt w:val="bullet"/>
      <w:lvlText w:val="•"/>
      <w:lvlJc w:val="left"/>
      <w:pPr>
        <w:ind w:left="1492" w:hanging="100"/>
      </w:pPr>
      <w:rPr>
        <w:rFonts w:hint="default"/>
      </w:rPr>
    </w:lvl>
    <w:lvl w:ilvl="6" w:tplc="97844AF6">
      <w:numFmt w:val="bullet"/>
      <w:lvlText w:val="•"/>
      <w:lvlJc w:val="left"/>
      <w:pPr>
        <w:ind w:left="1758" w:hanging="100"/>
      </w:pPr>
      <w:rPr>
        <w:rFonts w:hint="default"/>
      </w:rPr>
    </w:lvl>
    <w:lvl w:ilvl="7" w:tplc="25C8DA62">
      <w:numFmt w:val="bullet"/>
      <w:lvlText w:val="•"/>
      <w:lvlJc w:val="left"/>
      <w:pPr>
        <w:ind w:left="2024" w:hanging="100"/>
      </w:pPr>
      <w:rPr>
        <w:rFonts w:hint="default"/>
      </w:rPr>
    </w:lvl>
    <w:lvl w:ilvl="8" w:tplc="9384AE9A">
      <w:numFmt w:val="bullet"/>
      <w:lvlText w:val="•"/>
      <w:lvlJc w:val="left"/>
      <w:pPr>
        <w:ind w:left="2291" w:hanging="100"/>
      </w:pPr>
      <w:rPr>
        <w:rFonts w:hint="default"/>
      </w:rPr>
    </w:lvl>
  </w:abstractNum>
  <w:abstractNum w:abstractNumId="1331" w15:restartNumberingAfterBreak="0">
    <w:nsid w:val="52597973"/>
    <w:multiLevelType w:val="hybridMultilevel"/>
    <w:tmpl w:val="1D942738"/>
    <w:lvl w:ilvl="0" w:tplc="E534A06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6552884E">
      <w:numFmt w:val="bullet"/>
      <w:lvlText w:val="•"/>
      <w:lvlJc w:val="left"/>
      <w:pPr>
        <w:ind w:left="426" w:hanging="105"/>
      </w:pPr>
      <w:rPr>
        <w:rFonts w:hint="default"/>
      </w:rPr>
    </w:lvl>
    <w:lvl w:ilvl="2" w:tplc="9D14B5D2">
      <w:numFmt w:val="bullet"/>
      <w:lvlText w:val="•"/>
      <w:lvlJc w:val="left"/>
      <w:pPr>
        <w:ind w:left="692" w:hanging="105"/>
      </w:pPr>
      <w:rPr>
        <w:rFonts w:hint="default"/>
      </w:rPr>
    </w:lvl>
    <w:lvl w:ilvl="3" w:tplc="C076ED84">
      <w:numFmt w:val="bullet"/>
      <w:lvlText w:val="•"/>
      <w:lvlJc w:val="left"/>
      <w:pPr>
        <w:ind w:left="959" w:hanging="105"/>
      </w:pPr>
      <w:rPr>
        <w:rFonts w:hint="default"/>
      </w:rPr>
    </w:lvl>
    <w:lvl w:ilvl="4" w:tplc="69B6CA54">
      <w:numFmt w:val="bullet"/>
      <w:lvlText w:val="•"/>
      <w:lvlJc w:val="left"/>
      <w:pPr>
        <w:ind w:left="1225" w:hanging="105"/>
      </w:pPr>
      <w:rPr>
        <w:rFonts w:hint="default"/>
      </w:rPr>
    </w:lvl>
    <w:lvl w:ilvl="5" w:tplc="8770774A">
      <w:numFmt w:val="bullet"/>
      <w:lvlText w:val="•"/>
      <w:lvlJc w:val="left"/>
      <w:pPr>
        <w:ind w:left="1492" w:hanging="105"/>
      </w:pPr>
      <w:rPr>
        <w:rFonts w:hint="default"/>
      </w:rPr>
    </w:lvl>
    <w:lvl w:ilvl="6" w:tplc="CF9E72A2">
      <w:numFmt w:val="bullet"/>
      <w:lvlText w:val="•"/>
      <w:lvlJc w:val="left"/>
      <w:pPr>
        <w:ind w:left="1758" w:hanging="105"/>
      </w:pPr>
      <w:rPr>
        <w:rFonts w:hint="default"/>
      </w:rPr>
    </w:lvl>
    <w:lvl w:ilvl="7" w:tplc="47EE0CE0">
      <w:numFmt w:val="bullet"/>
      <w:lvlText w:val="•"/>
      <w:lvlJc w:val="left"/>
      <w:pPr>
        <w:ind w:left="2024" w:hanging="105"/>
      </w:pPr>
      <w:rPr>
        <w:rFonts w:hint="default"/>
      </w:rPr>
    </w:lvl>
    <w:lvl w:ilvl="8" w:tplc="5E763444">
      <w:numFmt w:val="bullet"/>
      <w:lvlText w:val="•"/>
      <w:lvlJc w:val="left"/>
      <w:pPr>
        <w:ind w:left="2291" w:hanging="105"/>
      </w:pPr>
      <w:rPr>
        <w:rFonts w:hint="default"/>
      </w:rPr>
    </w:lvl>
  </w:abstractNum>
  <w:abstractNum w:abstractNumId="1332" w15:restartNumberingAfterBreak="0">
    <w:nsid w:val="525B3A73"/>
    <w:multiLevelType w:val="hybridMultilevel"/>
    <w:tmpl w:val="09C067A2"/>
    <w:lvl w:ilvl="0" w:tplc="1F1E0D92">
      <w:numFmt w:val="bullet"/>
      <w:lvlText w:val=""/>
      <w:lvlJc w:val="left"/>
      <w:pPr>
        <w:ind w:left="156" w:hanging="100"/>
      </w:pPr>
      <w:rPr>
        <w:rFonts w:ascii="Symbol" w:eastAsia="Symbol" w:hAnsi="Symbol" w:cs="Symbol" w:hint="default"/>
        <w:color w:val="231F20"/>
        <w:w w:val="100"/>
        <w:sz w:val="14"/>
        <w:szCs w:val="14"/>
      </w:rPr>
    </w:lvl>
    <w:lvl w:ilvl="1" w:tplc="E34A20BC">
      <w:numFmt w:val="bullet"/>
      <w:lvlText w:val="•"/>
      <w:lvlJc w:val="left"/>
      <w:pPr>
        <w:ind w:left="240" w:hanging="100"/>
      </w:pPr>
      <w:rPr>
        <w:rFonts w:hint="default"/>
      </w:rPr>
    </w:lvl>
    <w:lvl w:ilvl="2" w:tplc="14927CBC">
      <w:numFmt w:val="bullet"/>
      <w:lvlText w:val="•"/>
      <w:lvlJc w:val="left"/>
      <w:pPr>
        <w:ind w:left="495" w:hanging="100"/>
      </w:pPr>
      <w:rPr>
        <w:rFonts w:hint="default"/>
      </w:rPr>
    </w:lvl>
    <w:lvl w:ilvl="3" w:tplc="B6A8FA86">
      <w:numFmt w:val="bullet"/>
      <w:lvlText w:val="•"/>
      <w:lvlJc w:val="left"/>
      <w:pPr>
        <w:ind w:left="751" w:hanging="100"/>
      </w:pPr>
      <w:rPr>
        <w:rFonts w:hint="default"/>
      </w:rPr>
    </w:lvl>
    <w:lvl w:ilvl="4" w:tplc="9B769D48">
      <w:numFmt w:val="bullet"/>
      <w:lvlText w:val="•"/>
      <w:lvlJc w:val="left"/>
      <w:pPr>
        <w:ind w:left="1007" w:hanging="100"/>
      </w:pPr>
      <w:rPr>
        <w:rFonts w:hint="default"/>
      </w:rPr>
    </w:lvl>
    <w:lvl w:ilvl="5" w:tplc="7ACA3846">
      <w:numFmt w:val="bullet"/>
      <w:lvlText w:val="•"/>
      <w:lvlJc w:val="left"/>
      <w:pPr>
        <w:ind w:left="1262" w:hanging="100"/>
      </w:pPr>
      <w:rPr>
        <w:rFonts w:hint="default"/>
      </w:rPr>
    </w:lvl>
    <w:lvl w:ilvl="6" w:tplc="2BE0A06A">
      <w:numFmt w:val="bullet"/>
      <w:lvlText w:val="•"/>
      <w:lvlJc w:val="left"/>
      <w:pPr>
        <w:ind w:left="1518" w:hanging="100"/>
      </w:pPr>
      <w:rPr>
        <w:rFonts w:hint="default"/>
      </w:rPr>
    </w:lvl>
    <w:lvl w:ilvl="7" w:tplc="770C620E">
      <w:numFmt w:val="bullet"/>
      <w:lvlText w:val="•"/>
      <w:lvlJc w:val="left"/>
      <w:pPr>
        <w:ind w:left="1774" w:hanging="100"/>
      </w:pPr>
      <w:rPr>
        <w:rFonts w:hint="default"/>
      </w:rPr>
    </w:lvl>
    <w:lvl w:ilvl="8" w:tplc="10525CF8">
      <w:numFmt w:val="bullet"/>
      <w:lvlText w:val="•"/>
      <w:lvlJc w:val="left"/>
      <w:pPr>
        <w:ind w:left="2029" w:hanging="100"/>
      </w:pPr>
      <w:rPr>
        <w:rFonts w:hint="default"/>
      </w:rPr>
    </w:lvl>
  </w:abstractNum>
  <w:abstractNum w:abstractNumId="1333" w15:restartNumberingAfterBreak="0">
    <w:nsid w:val="52705842"/>
    <w:multiLevelType w:val="hybridMultilevel"/>
    <w:tmpl w:val="350214F8"/>
    <w:lvl w:ilvl="0" w:tplc="C4A692EE">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3CCA623A">
      <w:numFmt w:val="bullet"/>
      <w:lvlText w:val="•"/>
      <w:lvlJc w:val="left"/>
      <w:pPr>
        <w:ind w:left="369" w:hanging="105"/>
      </w:pPr>
      <w:rPr>
        <w:rFonts w:hint="default"/>
      </w:rPr>
    </w:lvl>
    <w:lvl w:ilvl="2" w:tplc="AA40F76E">
      <w:numFmt w:val="bullet"/>
      <w:lvlText w:val="•"/>
      <w:lvlJc w:val="left"/>
      <w:pPr>
        <w:ind w:left="579" w:hanging="105"/>
      </w:pPr>
      <w:rPr>
        <w:rFonts w:hint="default"/>
      </w:rPr>
    </w:lvl>
    <w:lvl w:ilvl="3" w:tplc="D5A22E92">
      <w:numFmt w:val="bullet"/>
      <w:lvlText w:val="•"/>
      <w:lvlJc w:val="left"/>
      <w:pPr>
        <w:ind w:left="789" w:hanging="105"/>
      </w:pPr>
      <w:rPr>
        <w:rFonts w:hint="default"/>
      </w:rPr>
    </w:lvl>
    <w:lvl w:ilvl="4" w:tplc="F1C6CE68">
      <w:numFmt w:val="bullet"/>
      <w:lvlText w:val="•"/>
      <w:lvlJc w:val="left"/>
      <w:pPr>
        <w:ind w:left="998" w:hanging="105"/>
      </w:pPr>
      <w:rPr>
        <w:rFonts w:hint="default"/>
      </w:rPr>
    </w:lvl>
    <w:lvl w:ilvl="5" w:tplc="2A12622E">
      <w:numFmt w:val="bullet"/>
      <w:lvlText w:val="•"/>
      <w:lvlJc w:val="left"/>
      <w:pPr>
        <w:ind w:left="1208" w:hanging="105"/>
      </w:pPr>
      <w:rPr>
        <w:rFonts w:hint="default"/>
      </w:rPr>
    </w:lvl>
    <w:lvl w:ilvl="6" w:tplc="F32EE6D6">
      <w:numFmt w:val="bullet"/>
      <w:lvlText w:val="•"/>
      <w:lvlJc w:val="left"/>
      <w:pPr>
        <w:ind w:left="1418" w:hanging="105"/>
      </w:pPr>
      <w:rPr>
        <w:rFonts w:hint="default"/>
      </w:rPr>
    </w:lvl>
    <w:lvl w:ilvl="7" w:tplc="5C14C392">
      <w:numFmt w:val="bullet"/>
      <w:lvlText w:val="•"/>
      <w:lvlJc w:val="left"/>
      <w:pPr>
        <w:ind w:left="1627" w:hanging="105"/>
      </w:pPr>
      <w:rPr>
        <w:rFonts w:hint="default"/>
      </w:rPr>
    </w:lvl>
    <w:lvl w:ilvl="8" w:tplc="51441EA4">
      <w:numFmt w:val="bullet"/>
      <w:lvlText w:val="•"/>
      <w:lvlJc w:val="left"/>
      <w:pPr>
        <w:ind w:left="1837" w:hanging="105"/>
      </w:pPr>
      <w:rPr>
        <w:rFonts w:hint="default"/>
      </w:rPr>
    </w:lvl>
  </w:abstractNum>
  <w:abstractNum w:abstractNumId="1334" w15:restartNumberingAfterBreak="0">
    <w:nsid w:val="52873ACD"/>
    <w:multiLevelType w:val="hybridMultilevel"/>
    <w:tmpl w:val="FDF2E668"/>
    <w:lvl w:ilvl="0" w:tplc="E3C80D1A">
      <w:numFmt w:val="bullet"/>
      <w:lvlText w:val="•"/>
      <w:lvlJc w:val="left"/>
      <w:pPr>
        <w:ind w:left="57" w:hanging="84"/>
      </w:pPr>
      <w:rPr>
        <w:rFonts w:ascii="Times New Roman" w:eastAsia="Times New Roman" w:hAnsi="Times New Roman" w:cs="Times New Roman" w:hint="default"/>
        <w:b/>
        <w:bCs/>
        <w:color w:val="231F20"/>
        <w:w w:val="100"/>
        <w:sz w:val="14"/>
        <w:szCs w:val="14"/>
      </w:rPr>
    </w:lvl>
    <w:lvl w:ilvl="1" w:tplc="E75688A0">
      <w:numFmt w:val="bullet"/>
      <w:lvlText w:val="•"/>
      <w:lvlJc w:val="left"/>
      <w:pPr>
        <w:ind w:left="336" w:hanging="84"/>
      </w:pPr>
      <w:rPr>
        <w:rFonts w:hint="default"/>
      </w:rPr>
    </w:lvl>
    <w:lvl w:ilvl="2" w:tplc="EE04A5E4">
      <w:numFmt w:val="bullet"/>
      <w:lvlText w:val="•"/>
      <w:lvlJc w:val="left"/>
      <w:pPr>
        <w:ind w:left="612" w:hanging="84"/>
      </w:pPr>
      <w:rPr>
        <w:rFonts w:hint="default"/>
      </w:rPr>
    </w:lvl>
    <w:lvl w:ilvl="3" w:tplc="B4FA4B62">
      <w:numFmt w:val="bullet"/>
      <w:lvlText w:val="•"/>
      <w:lvlJc w:val="left"/>
      <w:pPr>
        <w:ind w:left="889" w:hanging="84"/>
      </w:pPr>
      <w:rPr>
        <w:rFonts w:hint="default"/>
      </w:rPr>
    </w:lvl>
    <w:lvl w:ilvl="4" w:tplc="54F6E66C">
      <w:numFmt w:val="bullet"/>
      <w:lvlText w:val="•"/>
      <w:lvlJc w:val="left"/>
      <w:pPr>
        <w:ind w:left="1165" w:hanging="84"/>
      </w:pPr>
      <w:rPr>
        <w:rFonts w:hint="default"/>
      </w:rPr>
    </w:lvl>
    <w:lvl w:ilvl="5" w:tplc="6F2091AC">
      <w:numFmt w:val="bullet"/>
      <w:lvlText w:val="•"/>
      <w:lvlJc w:val="left"/>
      <w:pPr>
        <w:ind w:left="1442" w:hanging="84"/>
      </w:pPr>
      <w:rPr>
        <w:rFonts w:hint="default"/>
      </w:rPr>
    </w:lvl>
    <w:lvl w:ilvl="6" w:tplc="EA820C8A">
      <w:numFmt w:val="bullet"/>
      <w:lvlText w:val="•"/>
      <w:lvlJc w:val="left"/>
      <w:pPr>
        <w:ind w:left="1718" w:hanging="84"/>
      </w:pPr>
      <w:rPr>
        <w:rFonts w:hint="default"/>
      </w:rPr>
    </w:lvl>
    <w:lvl w:ilvl="7" w:tplc="76B2E6EC">
      <w:numFmt w:val="bullet"/>
      <w:lvlText w:val="•"/>
      <w:lvlJc w:val="left"/>
      <w:pPr>
        <w:ind w:left="1994" w:hanging="84"/>
      </w:pPr>
      <w:rPr>
        <w:rFonts w:hint="default"/>
      </w:rPr>
    </w:lvl>
    <w:lvl w:ilvl="8" w:tplc="9BE4218C">
      <w:numFmt w:val="bullet"/>
      <w:lvlText w:val="•"/>
      <w:lvlJc w:val="left"/>
      <w:pPr>
        <w:ind w:left="2271" w:hanging="84"/>
      </w:pPr>
      <w:rPr>
        <w:rFonts w:hint="default"/>
      </w:rPr>
    </w:lvl>
  </w:abstractNum>
  <w:abstractNum w:abstractNumId="1335" w15:restartNumberingAfterBreak="0">
    <w:nsid w:val="528E5F4A"/>
    <w:multiLevelType w:val="hybridMultilevel"/>
    <w:tmpl w:val="D91C93E4"/>
    <w:lvl w:ilvl="0" w:tplc="08867026">
      <w:numFmt w:val="bullet"/>
      <w:lvlText w:val=""/>
      <w:lvlJc w:val="left"/>
      <w:pPr>
        <w:ind w:left="156" w:hanging="100"/>
      </w:pPr>
      <w:rPr>
        <w:rFonts w:ascii="Symbol" w:eastAsia="Symbol" w:hAnsi="Symbol" w:cs="Symbol" w:hint="default"/>
        <w:color w:val="231F20"/>
        <w:w w:val="100"/>
        <w:sz w:val="14"/>
        <w:szCs w:val="14"/>
      </w:rPr>
    </w:lvl>
    <w:lvl w:ilvl="1" w:tplc="E104E4C4">
      <w:numFmt w:val="bullet"/>
      <w:lvlText w:val="•"/>
      <w:lvlJc w:val="left"/>
      <w:pPr>
        <w:ind w:left="301" w:hanging="100"/>
      </w:pPr>
      <w:rPr>
        <w:rFonts w:hint="default"/>
      </w:rPr>
    </w:lvl>
    <w:lvl w:ilvl="2" w:tplc="F0A691A2">
      <w:numFmt w:val="bullet"/>
      <w:lvlText w:val="•"/>
      <w:lvlJc w:val="left"/>
      <w:pPr>
        <w:ind w:left="443" w:hanging="100"/>
      </w:pPr>
      <w:rPr>
        <w:rFonts w:hint="default"/>
      </w:rPr>
    </w:lvl>
    <w:lvl w:ilvl="3" w:tplc="8BFE02A8">
      <w:numFmt w:val="bullet"/>
      <w:lvlText w:val="•"/>
      <w:lvlJc w:val="left"/>
      <w:pPr>
        <w:ind w:left="585" w:hanging="100"/>
      </w:pPr>
      <w:rPr>
        <w:rFonts w:hint="default"/>
      </w:rPr>
    </w:lvl>
    <w:lvl w:ilvl="4" w:tplc="2DF0B858">
      <w:numFmt w:val="bullet"/>
      <w:lvlText w:val="•"/>
      <w:lvlJc w:val="left"/>
      <w:pPr>
        <w:ind w:left="726" w:hanging="100"/>
      </w:pPr>
      <w:rPr>
        <w:rFonts w:hint="default"/>
      </w:rPr>
    </w:lvl>
    <w:lvl w:ilvl="5" w:tplc="940E6B24">
      <w:numFmt w:val="bullet"/>
      <w:lvlText w:val="•"/>
      <w:lvlJc w:val="left"/>
      <w:pPr>
        <w:ind w:left="868" w:hanging="100"/>
      </w:pPr>
      <w:rPr>
        <w:rFonts w:hint="default"/>
      </w:rPr>
    </w:lvl>
    <w:lvl w:ilvl="6" w:tplc="AB766D5E">
      <w:numFmt w:val="bullet"/>
      <w:lvlText w:val="•"/>
      <w:lvlJc w:val="left"/>
      <w:pPr>
        <w:ind w:left="1010" w:hanging="100"/>
      </w:pPr>
      <w:rPr>
        <w:rFonts w:hint="default"/>
      </w:rPr>
    </w:lvl>
    <w:lvl w:ilvl="7" w:tplc="2B5245EC">
      <w:numFmt w:val="bullet"/>
      <w:lvlText w:val="•"/>
      <w:lvlJc w:val="left"/>
      <w:pPr>
        <w:ind w:left="1151" w:hanging="100"/>
      </w:pPr>
      <w:rPr>
        <w:rFonts w:hint="default"/>
      </w:rPr>
    </w:lvl>
    <w:lvl w:ilvl="8" w:tplc="BA865D74">
      <w:numFmt w:val="bullet"/>
      <w:lvlText w:val="•"/>
      <w:lvlJc w:val="left"/>
      <w:pPr>
        <w:ind w:left="1293" w:hanging="100"/>
      </w:pPr>
      <w:rPr>
        <w:rFonts w:hint="default"/>
      </w:rPr>
    </w:lvl>
  </w:abstractNum>
  <w:abstractNum w:abstractNumId="1336" w15:restartNumberingAfterBreak="0">
    <w:nsid w:val="529018D3"/>
    <w:multiLevelType w:val="hybridMultilevel"/>
    <w:tmpl w:val="1D4651D6"/>
    <w:lvl w:ilvl="0" w:tplc="DFE4F23E">
      <w:numFmt w:val="bullet"/>
      <w:lvlText w:val=""/>
      <w:lvlJc w:val="left"/>
      <w:pPr>
        <w:ind w:left="156" w:hanging="100"/>
      </w:pPr>
      <w:rPr>
        <w:rFonts w:ascii="Symbol" w:eastAsia="Symbol" w:hAnsi="Symbol" w:cs="Symbol" w:hint="default"/>
        <w:color w:val="231F20"/>
        <w:w w:val="100"/>
        <w:sz w:val="14"/>
        <w:szCs w:val="14"/>
      </w:rPr>
    </w:lvl>
    <w:lvl w:ilvl="1" w:tplc="F4E0E044">
      <w:numFmt w:val="bullet"/>
      <w:lvlText w:val="•"/>
      <w:lvlJc w:val="left"/>
      <w:pPr>
        <w:ind w:left="301" w:hanging="100"/>
      </w:pPr>
      <w:rPr>
        <w:rFonts w:hint="default"/>
      </w:rPr>
    </w:lvl>
    <w:lvl w:ilvl="2" w:tplc="15443D0E">
      <w:numFmt w:val="bullet"/>
      <w:lvlText w:val="•"/>
      <w:lvlJc w:val="left"/>
      <w:pPr>
        <w:ind w:left="443" w:hanging="100"/>
      </w:pPr>
      <w:rPr>
        <w:rFonts w:hint="default"/>
      </w:rPr>
    </w:lvl>
    <w:lvl w:ilvl="3" w:tplc="9E1AD7E8">
      <w:numFmt w:val="bullet"/>
      <w:lvlText w:val="•"/>
      <w:lvlJc w:val="left"/>
      <w:pPr>
        <w:ind w:left="585" w:hanging="100"/>
      </w:pPr>
      <w:rPr>
        <w:rFonts w:hint="default"/>
      </w:rPr>
    </w:lvl>
    <w:lvl w:ilvl="4" w:tplc="9EB03EEC">
      <w:numFmt w:val="bullet"/>
      <w:lvlText w:val="•"/>
      <w:lvlJc w:val="left"/>
      <w:pPr>
        <w:ind w:left="726" w:hanging="100"/>
      </w:pPr>
      <w:rPr>
        <w:rFonts w:hint="default"/>
      </w:rPr>
    </w:lvl>
    <w:lvl w:ilvl="5" w:tplc="5C48AF2A">
      <w:numFmt w:val="bullet"/>
      <w:lvlText w:val="•"/>
      <w:lvlJc w:val="left"/>
      <w:pPr>
        <w:ind w:left="868" w:hanging="100"/>
      </w:pPr>
      <w:rPr>
        <w:rFonts w:hint="default"/>
      </w:rPr>
    </w:lvl>
    <w:lvl w:ilvl="6" w:tplc="6C020908">
      <w:numFmt w:val="bullet"/>
      <w:lvlText w:val="•"/>
      <w:lvlJc w:val="left"/>
      <w:pPr>
        <w:ind w:left="1010" w:hanging="100"/>
      </w:pPr>
      <w:rPr>
        <w:rFonts w:hint="default"/>
      </w:rPr>
    </w:lvl>
    <w:lvl w:ilvl="7" w:tplc="CAF0D8D0">
      <w:numFmt w:val="bullet"/>
      <w:lvlText w:val="•"/>
      <w:lvlJc w:val="left"/>
      <w:pPr>
        <w:ind w:left="1151" w:hanging="100"/>
      </w:pPr>
      <w:rPr>
        <w:rFonts w:hint="default"/>
      </w:rPr>
    </w:lvl>
    <w:lvl w:ilvl="8" w:tplc="5DDC20FE">
      <w:numFmt w:val="bullet"/>
      <w:lvlText w:val="•"/>
      <w:lvlJc w:val="left"/>
      <w:pPr>
        <w:ind w:left="1293" w:hanging="100"/>
      </w:pPr>
      <w:rPr>
        <w:rFonts w:hint="default"/>
      </w:rPr>
    </w:lvl>
  </w:abstractNum>
  <w:abstractNum w:abstractNumId="1337" w15:restartNumberingAfterBreak="0">
    <w:nsid w:val="52BB1E16"/>
    <w:multiLevelType w:val="hybridMultilevel"/>
    <w:tmpl w:val="C8AC0BB4"/>
    <w:lvl w:ilvl="0" w:tplc="32F2F86E">
      <w:numFmt w:val="bullet"/>
      <w:lvlText w:val=""/>
      <w:lvlJc w:val="left"/>
      <w:pPr>
        <w:ind w:left="156" w:hanging="100"/>
      </w:pPr>
      <w:rPr>
        <w:rFonts w:ascii="Symbol" w:eastAsia="Symbol" w:hAnsi="Symbol" w:cs="Symbol" w:hint="default"/>
        <w:color w:val="231F20"/>
        <w:w w:val="100"/>
        <w:sz w:val="14"/>
        <w:szCs w:val="14"/>
      </w:rPr>
    </w:lvl>
    <w:lvl w:ilvl="1" w:tplc="3ECA1CEC">
      <w:numFmt w:val="bullet"/>
      <w:lvlText w:val="•"/>
      <w:lvlJc w:val="left"/>
      <w:pPr>
        <w:ind w:left="301" w:hanging="100"/>
      </w:pPr>
      <w:rPr>
        <w:rFonts w:hint="default"/>
      </w:rPr>
    </w:lvl>
    <w:lvl w:ilvl="2" w:tplc="D4E6FA06">
      <w:numFmt w:val="bullet"/>
      <w:lvlText w:val="•"/>
      <w:lvlJc w:val="left"/>
      <w:pPr>
        <w:ind w:left="443" w:hanging="100"/>
      </w:pPr>
      <w:rPr>
        <w:rFonts w:hint="default"/>
      </w:rPr>
    </w:lvl>
    <w:lvl w:ilvl="3" w:tplc="7A660FC6">
      <w:numFmt w:val="bullet"/>
      <w:lvlText w:val="•"/>
      <w:lvlJc w:val="left"/>
      <w:pPr>
        <w:ind w:left="585" w:hanging="100"/>
      </w:pPr>
      <w:rPr>
        <w:rFonts w:hint="default"/>
      </w:rPr>
    </w:lvl>
    <w:lvl w:ilvl="4" w:tplc="70200A04">
      <w:numFmt w:val="bullet"/>
      <w:lvlText w:val="•"/>
      <w:lvlJc w:val="left"/>
      <w:pPr>
        <w:ind w:left="726" w:hanging="100"/>
      </w:pPr>
      <w:rPr>
        <w:rFonts w:hint="default"/>
      </w:rPr>
    </w:lvl>
    <w:lvl w:ilvl="5" w:tplc="97E8242C">
      <w:numFmt w:val="bullet"/>
      <w:lvlText w:val="•"/>
      <w:lvlJc w:val="left"/>
      <w:pPr>
        <w:ind w:left="868" w:hanging="100"/>
      </w:pPr>
      <w:rPr>
        <w:rFonts w:hint="default"/>
      </w:rPr>
    </w:lvl>
    <w:lvl w:ilvl="6" w:tplc="F96EBABA">
      <w:numFmt w:val="bullet"/>
      <w:lvlText w:val="•"/>
      <w:lvlJc w:val="left"/>
      <w:pPr>
        <w:ind w:left="1010" w:hanging="100"/>
      </w:pPr>
      <w:rPr>
        <w:rFonts w:hint="default"/>
      </w:rPr>
    </w:lvl>
    <w:lvl w:ilvl="7" w:tplc="FF46E4D4">
      <w:numFmt w:val="bullet"/>
      <w:lvlText w:val="•"/>
      <w:lvlJc w:val="left"/>
      <w:pPr>
        <w:ind w:left="1151" w:hanging="100"/>
      </w:pPr>
      <w:rPr>
        <w:rFonts w:hint="default"/>
      </w:rPr>
    </w:lvl>
    <w:lvl w:ilvl="8" w:tplc="480A299A">
      <w:numFmt w:val="bullet"/>
      <w:lvlText w:val="•"/>
      <w:lvlJc w:val="left"/>
      <w:pPr>
        <w:ind w:left="1293" w:hanging="100"/>
      </w:pPr>
      <w:rPr>
        <w:rFonts w:hint="default"/>
      </w:rPr>
    </w:lvl>
  </w:abstractNum>
  <w:abstractNum w:abstractNumId="1338" w15:restartNumberingAfterBreak="0">
    <w:nsid w:val="52CC19F2"/>
    <w:multiLevelType w:val="hybridMultilevel"/>
    <w:tmpl w:val="FBE62D3A"/>
    <w:lvl w:ilvl="0" w:tplc="98E05048">
      <w:numFmt w:val="bullet"/>
      <w:lvlText w:val=""/>
      <w:lvlJc w:val="left"/>
      <w:pPr>
        <w:ind w:left="156" w:hanging="100"/>
      </w:pPr>
      <w:rPr>
        <w:rFonts w:ascii="Symbol" w:eastAsia="Symbol" w:hAnsi="Symbol" w:cs="Symbol" w:hint="default"/>
        <w:color w:val="231F20"/>
        <w:w w:val="100"/>
        <w:sz w:val="14"/>
        <w:szCs w:val="14"/>
      </w:rPr>
    </w:lvl>
    <w:lvl w:ilvl="1" w:tplc="2AAC4BF0">
      <w:numFmt w:val="bullet"/>
      <w:lvlText w:val="•"/>
      <w:lvlJc w:val="left"/>
      <w:pPr>
        <w:ind w:left="301" w:hanging="100"/>
      </w:pPr>
      <w:rPr>
        <w:rFonts w:hint="default"/>
      </w:rPr>
    </w:lvl>
    <w:lvl w:ilvl="2" w:tplc="B6E038A2">
      <w:numFmt w:val="bullet"/>
      <w:lvlText w:val="•"/>
      <w:lvlJc w:val="left"/>
      <w:pPr>
        <w:ind w:left="443" w:hanging="100"/>
      </w:pPr>
      <w:rPr>
        <w:rFonts w:hint="default"/>
      </w:rPr>
    </w:lvl>
    <w:lvl w:ilvl="3" w:tplc="07F6CC34">
      <w:numFmt w:val="bullet"/>
      <w:lvlText w:val="•"/>
      <w:lvlJc w:val="left"/>
      <w:pPr>
        <w:ind w:left="585" w:hanging="100"/>
      </w:pPr>
      <w:rPr>
        <w:rFonts w:hint="default"/>
      </w:rPr>
    </w:lvl>
    <w:lvl w:ilvl="4" w:tplc="8188AE02">
      <w:numFmt w:val="bullet"/>
      <w:lvlText w:val="•"/>
      <w:lvlJc w:val="left"/>
      <w:pPr>
        <w:ind w:left="726" w:hanging="100"/>
      </w:pPr>
      <w:rPr>
        <w:rFonts w:hint="default"/>
      </w:rPr>
    </w:lvl>
    <w:lvl w:ilvl="5" w:tplc="0470A95C">
      <w:numFmt w:val="bullet"/>
      <w:lvlText w:val="•"/>
      <w:lvlJc w:val="left"/>
      <w:pPr>
        <w:ind w:left="868" w:hanging="100"/>
      </w:pPr>
      <w:rPr>
        <w:rFonts w:hint="default"/>
      </w:rPr>
    </w:lvl>
    <w:lvl w:ilvl="6" w:tplc="D3F4B314">
      <w:numFmt w:val="bullet"/>
      <w:lvlText w:val="•"/>
      <w:lvlJc w:val="left"/>
      <w:pPr>
        <w:ind w:left="1010" w:hanging="100"/>
      </w:pPr>
      <w:rPr>
        <w:rFonts w:hint="default"/>
      </w:rPr>
    </w:lvl>
    <w:lvl w:ilvl="7" w:tplc="9DEC0CD4">
      <w:numFmt w:val="bullet"/>
      <w:lvlText w:val="•"/>
      <w:lvlJc w:val="left"/>
      <w:pPr>
        <w:ind w:left="1151" w:hanging="100"/>
      </w:pPr>
      <w:rPr>
        <w:rFonts w:hint="default"/>
      </w:rPr>
    </w:lvl>
    <w:lvl w:ilvl="8" w:tplc="7ACA00B2">
      <w:numFmt w:val="bullet"/>
      <w:lvlText w:val="•"/>
      <w:lvlJc w:val="left"/>
      <w:pPr>
        <w:ind w:left="1293" w:hanging="100"/>
      </w:pPr>
      <w:rPr>
        <w:rFonts w:hint="default"/>
      </w:rPr>
    </w:lvl>
  </w:abstractNum>
  <w:abstractNum w:abstractNumId="1339" w15:restartNumberingAfterBreak="0">
    <w:nsid w:val="52D042AB"/>
    <w:multiLevelType w:val="hybridMultilevel"/>
    <w:tmpl w:val="C34260FA"/>
    <w:lvl w:ilvl="0" w:tplc="D3561492">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7D745858">
      <w:numFmt w:val="bullet"/>
      <w:lvlText w:val="•"/>
      <w:lvlJc w:val="left"/>
      <w:pPr>
        <w:ind w:left="351" w:hanging="84"/>
      </w:pPr>
      <w:rPr>
        <w:rFonts w:hint="default"/>
      </w:rPr>
    </w:lvl>
    <w:lvl w:ilvl="2" w:tplc="A77CB68C">
      <w:numFmt w:val="bullet"/>
      <w:lvlText w:val="•"/>
      <w:lvlJc w:val="left"/>
      <w:pPr>
        <w:ind w:left="563" w:hanging="84"/>
      </w:pPr>
      <w:rPr>
        <w:rFonts w:hint="default"/>
      </w:rPr>
    </w:lvl>
    <w:lvl w:ilvl="3" w:tplc="CA8E3BFC">
      <w:numFmt w:val="bullet"/>
      <w:lvlText w:val="•"/>
      <w:lvlJc w:val="left"/>
      <w:pPr>
        <w:ind w:left="775" w:hanging="84"/>
      </w:pPr>
      <w:rPr>
        <w:rFonts w:hint="default"/>
      </w:rPr>
    </w:lvl>
    <w:lvl w:ilvl="4" w:tplc="9BB61C30">
      <w:numFmt w:val="bullet"/>
      <w:lvlText w:val="•"/>
      <w:lvlJc w:val="left"/>
      <w:pPr>
        <w:ind w:left="986" w:hanging="84"/>
      </w:pPr>
      <w:rPr>
        <w:rFonts w:hint="default"/>
      </w:rPr>
    </w:lvl>
    <w:lvl w:ilvl="5" w:tplc="D1C04894">
      <w:numFmt w:val="bullet"/>
      <w:lvlText w:val="•"/>
      <w:lvlJc w:val="left"/>
      <w:pPr>
        <w:ind w:left="1198" w:hanging="84"/>
      </w:pPr>
      <w:rPr>
        <w:rFonts w:hint="default"/>
      </w:rPr>
    </w:lvl>
    <w:lvl w:ilvl="6" w:tplc="EA80F58C">
      <w:numFmt w:val="bullet"/>
      <w:lvlText w:val="•"/>
      <w:lvlJc w:val="left"/>
      <w:pPr>
        <w:ind w:left="1410" w:hanging="84"/>
      </w:pPr>
      <w:rPr>
        <w:rFonts w:hint="default"/>
      </w:rPr>
    </w:lvl>
    <w:lvl w:ilvl="7" w:tplc="81D08DB8">
      <w:numFmt w:val="bullet"/>
      <w:lvlText w:val="•"/>
      <w:lvlJc w:val="left"/>
      <w:pPr>
        <w:ind w:left="1621" w:hanging="84"/>
      </w:pPr>
      <w:rPr>
        <w:rFonts w:hint="default"/>
      </w:rPr>
    </w:lvl>
    <w:lvl w:ilvl="8" w:tplc="369EC146">
      <w:numFmt w:val="bullet"/>
      <w:lvlText w:val="•"/>
      <w:lvlJc w:val="left"/>
      <w:pPr>
        <w:ind w:left="1833" w:hanging="84"/>
      </w:pPr>
      <w:rPr>
        <w:rFonts w:hint="default"/>
      </w:rPr>
    </w:lvl>
  </w:abstractNum>
  <w:abstractNum w:abstractNumId="1340" w15:restartNumberingAfterBreak="0">
    <w:nsid w:val="52DC0BF4"/>
    <w:multiLevelType w:val="hybridMultilevel"/>
    <w:tmpl w:val="9A369776"/>
    <w:lvl w:ilvl="0" w:tplc="2916B17C">
      <w:numFmt w:val="bullet"/>
      <w:lvlText w:val=""/>
      <w:lvlJc w:val="left"/>
      <w:pPr>
        <w:ind w:left="156" w:hanging="100"/>
      </w:pPr>
      <w:rPr>
        <w:rFonts w:ascii="Symbol" w:eastAsia="Symbol" w:hAnsi="Symbol" w:cs="Symbol" w:hint="default"/>
        <w:color w:val="231F20"/>
        <w:w w:val="100"/>
        <w:sz w:val="14"/>
        <w:szCs w:val="14"/>
      </w:rPr>
    </w:lvl>
    <w:lvl w:ilvl="1" w:tplc="7216287C">
      <w:numFmt w:val="bullet"/>
      <w:lvlText w:val="•"/>
      <w:lvlJc w:val="left"/>
      <w:pPr>
        <w:ind w:left="426" w:hanging="100"/>
      </w:pPr>
      <w:rPr>
        <w:rFonts w:hint="default"/>
      </w:rPr>
    </w:lvl>
    <w:lvl w:ilvl="2" w:tplc="9410B30C">
      <w:numFmt w:val="bullet"/>
      <w:lvlText w:val="•"/>
      <w:lvlJc w:val="left"/>
      <w:pPr>
        <w:ind w:left="692" w:hanging="100"/>
      </w:pPr>
      <w:rPr>
        <w:rFonts w:hint="default"/>
      </w:rPr>
    </w:lvl>
    <w:lvl w:ilvl="3" w:tplc="7882B688">
      <w:numFmt w:val="bullet"/>
      <w:lvlText w:val="•"/>
      <w:lvlJc w:val="left"/>
      <w:pPr>
        <w:ind w:left="959" w:hanging="100"/>
      </w:pPr>
      <w:rPr>
        <w:rFonts w:hint="default"/>
      </w:rPr>
    </w:lvl>
    <w:lvl w:ilvl="4" w:tplc="30EE63A8">
      <w:numFmt w:val="bullet"/>
      <w:lvlText w:val="•"/>
      <w:lvlJc w:val="left"/>
      <w:pPr>
        <w:ind w:left="1225" w:hanging="100"/>
      </w:pPr>
      <w:rPr>
        <w:rFonts w:hint="default"/>
      </w:rPr>
    </w:lvl>
    <w:lvl w:ilvl="5" w:tplc="7988C220">
      <w:numFmt w:val="bullet"/>
      <w:lvlText w:val="•"/>
      <w:lvlJc w:val="left"/>
      <w:pPr>
        <w:ind w:left="1492" w:hanging="100"/>
      </w:pPr>
      <w:rPr>
        <w:rFonts w:hint="default"/>
      </w:rPr>
    </w:lvl>
    <w:lvl w:ilvl="6" w:tplc="BF583924">
      <w:numFmt w:val="bullet"/>
      <w:lvlText w:val="•"/>
      <w:lvlJc w:val="left"/>
      <w:pPr>
        <w:ind w:left="1758" w:hanging="100"/>
      </w:pPr>
      <w:rPr>
        <w:rFonts w:hint="default"/>
      </w:rPr>
    </w:lvl>
    <w:lvl w:ilvl="7" w:tplc="7E62E8BC">
      <w:numFmt w:val="bullet"/>
      <w:lvlText w:val="•"/>
      <w:lvlJc w:val="left"/>
      <w:pPr>
        <w:ind w:left="2024" w:hanging="100"/>
      </w:pPr>
      <w:rPr>
        <w:rFonts w:hint="default"/>
      </w:rPr>
    </w:lvl>
    <w:lvl w:ilvl="8" w:tplc="19E85C66">
      <w:numFmt w:val="bullet"/>
      <w:lvlText w:val="•"/>
      <w:lvlJc w:val="left"/>
      <w:pPr>
        <w:ind w:left="2291" w:hanging="100"/>
      </w:pPr>
      <w:rPr>
        <w:rFonts w:hint="default"/>
      </w:rPr>
    </w:lvl>
  </w:abstractNum>
  <w:abstractNum w:abstractNumId="1341" w15:restartNumberingAfterBreak="0">
    <w:nsid w:val="52E26B69"/>
    <w:multiLevelType w:val="hybridMultilevel"/>
    <w:tmpl w:val="CEE47D10"/>
    <w:lvl w:ilvl="0" w:tplc="731C857E">
      <w:numFmt w:val="bullet"/>
      <w:lvlText w:val=""/>
      <w:lvlJc w:val="left"/>
      <w:pPr>
        <w:ind w:left="156" w:hanging="100"/>
      </w:pPr>
      <w:rPr>
        <w:rFonts w:ascii="Symbol" w:eastAsia="Symbol" w:hAnsi="Symbol" w:cs="Symbol" w:hint="default"/>
        <w:color w:val="231F20"/>
        <w:w w:val="100"/>
        <w:sz w:val="14"/>
        <w:szCs w:val="14"/>
      </w:rPr>
    </w:lvl>
    <w:lvl w:ilvl="1" w:tplc="D312E70E">
      <w:numFmt w:val="bullet"/>
      <w:lvlText w:val="•"/>
      <w:lvlJc w:val="left"/>
      <w:pPr>
        <w:ind w:left="398" w:hanging="100"/>
      </w:pPr>
      <w:rPr>
        <w:rFonts w:hint="default"/>
      </w:rPr>
    </w:lvl>
    <w:lvl w:ilvl="2" w:tplc="C594469C">
      <w:numFmt w:val="bullet"/>
      <w:lvlText w:val="•"/>
      <w:lvlJc w:val="left"/>
      <w:pPr>
        <w:ind w:left="636" w:hanging="100"/>
      </w:pPr>
      <w:rPr>
        <w:rFonts w:hint="default"/>
      </w:rPr>
    </w:lvl>
    <w:lvl w:ilvl="3" w:tplc="4CEE9B4C">
      <w:numFmt w:val="bullet"/>
      <w:lvlText w:val="•"/>
      <w:lvlJc w:val="left"/>
      <w:pPr>
        <w:ind w:left="874" w:hanging="100"/>
      </w:pPr>
      <w:rPr>
        <w:rFonts w:hint="default"/>
      </w:rPr>
    </w:lvl>
    <w:lvl w:ilvl="4" w:tplc="2288179A">
      <w:numFmt w:val="bullet"/>
      <w:lvlText w:val="•"/>
      <w:lvlJc w:val="left"/>
      <w:pPr>
        <w:ind w:left="1112" w:hanging="100"/>
      </w:pPr>
      <w:rPr>
        <w:rFonts w:hint="default"/>
      </w:rPr>
    </w:lvl>
    <w:lvl w:ilvl="5" w:tplc="CE6E0CAE">
      <w:numFmt w:val="bullet"/>
      <w:lvlText w:val="•"/>
      <w:lvlJc w:val="left"/>
      <w:pPr>
        <w:ind w:left="1350" w:hanging="100"/>
      </w:pPr>
      <w:rPr>
        <w:rFonts w:hint="default"/>
      </w:rPr>
    </w:lvl>
    <w:lvl w:ilvl="6" w:tplc="D7BCED3E">
      <w:numFmt w:val="bullet"/>
      <w:lvlText w:val="•"/>
      <w:lvlJc w:val="left"/>
      <w:pPr>
        <w:ind w:left="1588" w:hanging="100"/>
      </w:pPr>
      <w:rPr>
        <w:rFonts w:hint="default"/>
      </w:rPr>
    </w:lvl>
    <w:lvl w:ilvl="7" w:tplc="2B3CF860">
      <w:numFmt w:val="bullet"/>
      <w:lvlText w:val="•"/>
      <w:lvlJc w:val="left"/>
      <w:pPr>
        <w:ind w:left="1826" w:hanging="100"/>
      </w:pPr>
      <w:rPr>
        <w:rFonts w:hint="default"/>
      </w:rPr>
    </w:lvl>
    <w:lvl w:ilvl="8" w:tplc="310AB340">
      <w:numFmt w:val="bullet"/>
      <w:lvlText w:val="•"/>
      <w:lvlJc w:val="left"/>
      <w:pPr>
        <w:ind w:left="2064" w:hanging="100"/>
      </w:pPr>
      <w:rPr>
        <w:rFonts w:hint="default"/>
      </w:rPr>
    </w:lvl>
  </w:abstractNum>
  <w:abstractNum w:abstractNumId="1342" w15:restartNumberingAfterBreak="0">
    <w:nsid w:val="52FC6040"/>
    <w:multiLevelType w:val="hybridMultilevel"/>
    <w:tmpl w:val="811C6DAA"/>
    <w:lvl w:ilvl="0" w:tplc="9AD6A32A">
      <w:numFmt w:val="bullet"/>
      <w:lvlText w:val=""/>
      <w:lvlJc w:val="left"/>
      <w:pPr>
        <w:ind w:left="157" w:hanging="100"/>
      </w:pPr>
      <w:rPr>
        <w:rFonts w:ascii="Symbol" w:eastAsia="Symbol" w:hAnsi="Symbol" w:cs="Symbol" w:hint="default"/>
        <w:color w:val="231F20"/>
        <w:w w:val="100"/>
        <w:sz w:val="14"/>
        <w:szCs w:val="14"/>
      </w:rPr>
    </w:lvl>
    <w:lvl w:ilvl="1" w:tplc="050E4622">
      <w:numFmt w:val="bullet"/>
      <w:lvlText w:val="•"/>
      <w:lvlJc w:val="left"/>
      <w:pPr>
        <w:ind w:left="369" w:hanging="100"/>
      </w:pPr>
      <w:rPr>
        <w:rFonts w:hint="default"/>
      </w:rPr>
    </w:lvl>
    <w:lvl w:ilvl="2" w:tplc="0C1A83F6">
      <w:numFmt w:val="bullet"/>
      <w:lvlText w:val="•"/>
      <w:lvlJc w:val="left"/>
      <w:pPr>
        <w:ind w:left="579" w:hanging="100"/>
      </w:pPr>
      <w:rPr>
        <w:rFonts w:hint="default"/>
      </w:rPr>
    </w:lvl>
    <w:lvl w:ilvl="3" w:tplc="F93031BA">
      <w:numFmt w:val="bullet"/>
      <w:lvlText w:val="•"/>
      <w:lvlJc w:val="left"/>
      <w:pPr>
        <w:ind w:left="789" w:hanging="100"/>
      </w:pPr>
      <w:rPr>
        <w:rFonts w:hint="default"/>
      </w:rPr>
    </w:lvl>
    <w:lvl w:ilvl="4" w:tplc="0E38FD9A">
      <w:numFmt w:val="bullet"/>
      <w:lvlText w:val="•"/>
      <w:lvlJc w:val="left"/>
      <w:pPr>
        <w:ind w:left="998" w:hanging="100"/>
      </w:pPr>
      <w:rPr>
        <w:rFonts w:hint="default"/>
      </w:rPr>
    </w:lvl>
    <w:lvl w:ilvl="5" w:tplc="B3DEC792">
      <w:numFmt w:val="bullet"/>
      <w:lvlText w:val="•"/>
      <w:lvlJc w:val="left"/>
      <w:pPr>
        <w:ind w:left="1208" w:hanging="100"/>
      </w:pPr>
      <w:rPr>
        <w:rFonts w:hint="default"/>
      </w:rPr>
    </w:lvl>
    <w:lvl w:ilvl="6" w:tplc="CA243ACA">
      <w:numFmt w:val="bullet"/>
      <w:lvlText w:val="•"/>
      <w:lvlJc w:val="left"/>
      <w:pPr>
        <w:ind w:left="1418" w:hanging="100"/>
      </w:pPr>
      <w:rPr>
        <w:rFonts w:hint="default"/>
      </w:rPr>
    </w:lvl>
    <w:lvl w:ilvl="7" w:tplc="E5E03F76">
      <w:numFmt w:val="bullet"/>
      <w:lvlText w:val="•"/>
      <w:lvlJc w:val="left"/>
      <w:pPr>
        <w:ind w:left="1627" w:hanging="100"/>
      </w:pPr>
      <w:rPr>
        <w:rFonts w:hint="default"/>
      </w:rPr>
    </w:lvl>
    <w:lvl w:ilvl="8" w:tplc="2654B53C">
      <w:numFmt w:val="bullet"/>
      <w:lvlText w:val="•"/>
      <w:lvlJc w:val="left"/>
      <w:pPr>
        <w:ind w:left="1837" w:hanging="100"/>
      </w:pPr>
      <w:rPr>
        <w:rFonts w:hint="default"/>
      </w:rPr>
    </w:lvl>
  </w:abstractNum>
  <w:abstractNum w:abstractNumId="1343" w15:restartNumberingAfterBreak="0">
    <w:nsid w:val="530E7B48"/>
    <w:multiLevelType w:val="hybridMultilevel"/>
    <w:tmpl w:val="AA6678A4"/>
    <w:lvl w:ilvl="0" w:tplc="B85422CE">
      <w:numFmt w:val="bullet"/>
      <w:lvlText w:val=""/>
      <w:lvlJc w:val="left"/>
      <w:pPr>
        <w:ind w:left="157" w:hanging="100"/>
      </w:pPr>
      <w:rPr>
        <w:rFonts w:ascii="Symbol" w:eastAsia="Symbol" w:hAnsi="Symbol" w:cs="Symbol" w:hint="default"/>
        <w:color w:val="231F20"/>
        <w:w w:val="100"/>
        <w:sz w:val="14"/>
        <w:szCs w:val="14"/>
      </w:rPr>
    </w:lvl>
    <w:lvl w:ilvl="1" w:tplc="8C7AC780">
      <w:numFmt w:val="bullet"/>
      <w:lvlText w:val="•"/>
      <w:lvlJc w:val="left"/>
      <w:pPr>
        <w:ind w:left="369" w:hanging="100"/>
      </w:pPr>
      <w:rPr>
        <w:rFonts w:hint="default"/>
      </w:rPr>
    </w:lvl>
    <w:lvl w:ilvl="2" w:tplc="262E3D1A">
      <w:numFmt w:val="bullet"/>
      <w:lvlText w:val="•"/>
      <w:lvlJc w:val="left"/>
      <w:pPr>
        <w:ind w:left="579" w:hanging="100"/>
      </w:pPr>
      <w:rPr>
        <w:rFonts w:hint="default"/>
      </w:rPr>
    </w:lvl>
    <w:lvl w:ilvl="3" w:tplc="791470C2">
      <w:numFmt w:val="bullet"/>
      <w:lvlText w:val="•"/>
      <w:lvlJc w:val="left"/>
      <w:pPr>
        <w:ind w:left="789" w:hanging="100"/>
      </w:pPr>
      <w:rPr>
        <w:rFonts w:hint="default"/>
      </w:rPr>
    </w:lvl>
    <w:lvl w:ilvl="4" w:tplc="5D366D80">
      <w:numFmt w:val="bullet"/>
      <w:lvlText w:val="•"/>
      <w:lvlJc w:val="left"/>
      <w:pPr>
        <w:ind w:left="998" w:hanging="100"/>
      </w:pPr>
      <w:rPr>
        <w:rFonts w:hint="default"/>
      </w:rPr>
    </w:lvl>
    <w:lvl w:ilvl="5" w:tplc="365E223E">
      <w:numFmt w:val="bullet"/>
      <w:lvlText w:val="•"/>
      <w:lvlJc w:val="left"/>
      <w:pPr>
        <w:ind w:left="1208" w:hanging="100"/>
      </w:pPr>
      <w:rPr>
        <w:rFonts w:hint="default"/>
      </w:rPr>
    </w:lvl>
    <w:lvl w:ilvl="6" w:tplc="0C349986">
      <w:numFmt w:val="bullet"/>
      <w:lvlText w:val="•"/>
      <w:lvlJc w:val="left"/>
      <w:pPr>
        <w:ind w:left="1418" w:hanging="100"/>
      </w:pPr>
      <w:rPr>
        <w:rFonts w:hint="default"/>
      </w:rPr>
    </w:lvl>
    <w:lvl w:ilvl="7" w:tplc="3C9803E0">
      <w:numFmt w:val="bullet"/>
      <w:lvlText w:val="•"/>
      <w:lvlJc w:val="left"/>
      <w:pPr>
        <w:ind w:left="1627" w:hanging="100"/>
      </w:pPr>
      <w:rPr>
        <w:rFonts w:hint="default"/>
      </w:rPr>
    </w:lvl>
    <w:lvl w:ilvl="8" w:tplc="F9085EEE">
      <w:numFmt w:val="bullet"/>
      <w:lvlText w:val="•"/>
      <w:lvlJc w:val="left"/>
      <w:pPr>
        <w:ind w:left="1837" w:hanging="100"/>
      </w:pPr>
      <w:rPr>
        <w:rFonts w:hint="default"/>
      </w:rPr>
    </w:lvl>
  </w:abstractNum>
  <w:abstractNum w:abstractNumId="1344" w15:restartNumberingAfterBreak="0">
    <w:nsid w:val="53147AEA"/>
    <w:multiLevelType w:val="hybridMultilevel"/>
    <w:tmpl w:val="65B2BEDE"/>
    <w:lvl w:ilvl="0" w:tplc="BD90F42E">
      <w:numFmt w:val="bullet"/>
      <w:lvlText w:val="–"/>
      <w:lvlJc w:val="left"/>
      <w:pPr>
        <w:ind w:left="162" w:hanging="105"/>
      </w:pPr>
      <w:rPr>
        <w:rFonts w:ascii="Times New Roman" w:eastAsia="Times New Roman" w:hAnsi="Times New Roman" w:cs="Times New Roman" w:hint="default"/>
        <w:color w:val="231F20"/>
        <w:spacing w:val="-5"/>
        <w:w w:val="100"/>
        <w:sz w:val="14"/>
        <w:szCs w:val="14"/>
      </w:rPr>
    </w:lvl>
    <w:lvl w:ilvl="1" w:tplc="53EAB372">
      <w:numFmt w:val="bullet"/>
      <w:lvlText w:val="•"/>
      <w:lvlJc w:val="left"/>
      <w:pPr>
        <w:ind w:left="426" w:hanging="105"/>
      </w:pPr>
      <w:rPr>
        <w:rFonts w:hint="default"/>
      </w:rPr>
    </w:lvl>
    <w:lvl w:ilvl="2" w:tplc="CA084EA2">
      <w:numFmt w:val="bullet"/>
      <w:lvlText w:val="•"/>
      <w:lvlJc w:val="left"/>
      <w:pPr>
        <w:ind w:left="692" w:hanging="105"/>
      </w:pPr>
      <w:rPr>
        <w:rFonts w:hint="default"/>
      </w:rPr>
    </w:lvl>
    <w:lvl w:ilvl="3" w:tplc="1FB4C45C">
      <w:numFmt w:val="bullet"/>
      <w:lvlText w:val="•"/>
      <w:lvlJc w:val="left"/>
      <w:pPr>
        <w:ind w:left="959" w:hanging="105"/>
      </w:pPr>
      <w:rPr>
        <w:rFonts w:hint="default"/>
      </w:rPr>
    </w:lvl>
    <w:lvl w:ilvl="4" w:tplc="7DCC69C2">
      <w:numFmt w:val="bullet"/>
      <w:lvlText w:val="•"/>
      <w:lvlJc w:val="left"/>
      <w:pPr>
        <w:ind w:left="1225" w:hanging="105"/>
      </w:pPr>
      <w:rPr>
        <w:rFonts w:hint="default"/>
      </w:rPr>
    </w:lvl>
    <w:lvl w:ilvl="5" w:tplc="8E6EB122">
      <w:numFmt w:val="bullet"/>
      <w:lvlText w:val="•"/>
      <w:lvlJc w:val="left"/>
      <w:pPr>
        <w:ind w:left="1492" w:hanging="105"/>
      </w:pPr>
      <w:rPr>
        <w:rFonts w:hint="default"/>
      </w:rPr>
    </w:lvl>
    <w:lvl w:ilvl="6" w:tplc="0040EEAA">
      <w:numFmt w:val="bullet"/>
      <w:lvlText w:val="•"/>
      <w:lvlJc w:val="left"/>
      <w:pPr>
        <w:ind w:left="1758" w:hanging="105"/>
      </w:pPr>
      <w:rPr>
        <w:rFonts w:hint="default"/>
      </w:rPr>
    </w:lvl>
    <w:lvl w:ilvl="7" w:tplc="A808ADA6">
      <w:numFmt w:val="bullet"/>
      <w:lvlText w:val="•"/>
      <w:lvlJc w:val="left"/>
      <w:pPr>
        <w:ind w:left="2024" w:hanging="105"/>
      </w:pPr>
      <w:rPr>
        <w:rFonts w:hint="default"/>
      </w:rPr>
    </w:lvl>
    <w:lvl w:ilvl="8" w:tplc="475047C8">
      <w:numFmt w:val="bullet"/>
      <w:lvlText w:val="•"/>
      <w:lvlJc w:val="left"/>
      <w:pPr>
        <w:ind w:left="2291" w:hanging="105"/>
      </w:pPr>
      <w:rPr>
        <w:rFonts w:hint="default"/>
      </w:rPr>
    </w:lvl>
  </w:abstractNum>
  <w:abstractNum w:abstractNumId="1345" w15:restartNumberingAfterBreak="0">
    <w:nsid w:val="53273C82"/>
    <w:multiLevelType w:val="hybridMultilevel"/>
    <w:tmpl w:val="35020A80"/>
    <w:lvl w:ilvl="0" w:tplc="43B29A6A">
      <w:numFmt w:val="bullet"/>
      <w:lvlText w:val=""/>
      <w:lvlJc w:val="left"/>
      <w:pPr>
        <w:ind w:left="157" w:hanging="100"/>
      </w:pPr>
      <w:rPr>
        <w:rFonts w:ascii="Symbol" w:eastAsia="Symbol" w:hAnsi="Symbol" w:cs="Symbol" w:hint="default"/>
        <w:color w:val="231F20"/>
        <w:w w:val="100"/>
        <w:sz w:val="14"/>
        <w:szCs w:val="14"/>
      </w:rPr>
    </w:lvl>
    <w:lvl w:ilvl="1" w:tplc="3CE2F8A8">
      <w:numFmt w:val="bullet"/>
      <w:lvlText w:val="•"/>
      <w:lvlJc w:val="left"/>
      <w:pPr>
        <w:ind w:left="369" w:hanging="100"/>
      </w:pPr>
      <w:rPr>
        <w:rFonts w:hint="default"/>
      </w:rPr>
    </w:lvl>
    <w:lvl w:ilvl="2" w:tplc="F0B86A46">
      <w:numFmt w:val="bullet"/>
      <w:lvlText w:val="•"/>
      <w:lvlJc w:val="left"/>
      <w:pPr>
        <w:ind w:left="579" w:hanging="100"/>
      </w:pPr>
      <w:rPr>
        <w:rFonts w:hint="default"/>
      </w:rPr>
    </w:lvl>
    <w:lvl w:ilvl="3" w:tplc="8A8C98F8">
      <w:numFmt w:val="bullet"/>
      <w:lvlText w:val="•"/>
      <w:lvlJc w:val="left"/>
      <w:pPr>
        <w:ind w:left="789" w:hanging="100"/>
      </w:pPr>
      <w:rPr>
        <w:rFonts w:hint="default"/>
      </w:rPr>
    </w:lvl>
    <w:lvl w:ilvl="4" w:tplc="D242C6DA">
      <w:numFmt w:val="bullet"/>
      <w:lvlText w:val="•"/>
      <w:lvlJc w:val="left"/>
      <w:pPr>
        <w:ind w:left="998" w:hanging="100"/>
      </w:pPr>
      <w:rPr>
        <w:rFonts w:hint="default"/>
      </w:rPr>
    </w:lvl>
    <w:lvl w:ilvl="5" w:tplc="45B8054C">
      <w:numFmt w:val="bullet"/>
      <w:lvlText w:val="•"/>
      <w:lvlJc w:val="left"/>
      <w:pPr>
        <w:ind w:left="1208" w:hanging="100"/>
      </w:pPr>
      <w:rPr>
        <w:rFonts w:hint="default"/>
      </w:rPr>
    </w:lvl>
    <w:lvl w:ilvl="6" w:tplc="911C7AFE">
      <w:numFmt w:val="bullet"/>
      <w:lvlText w:val="•"/>
      <w:lvlJc w:val="left"/>
      <w:pPr>
        <w:ind w:left="1418" w:hanging="100"/>
      </w:pPr>
      <w:rPr>
        <w:rFonts w:hint="default"/>
      </w:rPr>
    </w:lvl>
    <w:lvl w:ilvl="7" w:tplc="FCAE642C">
      <w:numFmt w:val="bullet"/>
      <w:lvlText w:val="•"/>
      <w:lvlJc w:val="left"/>
      <w:pPr>
        <w:ind w:left="1627" w:hanging="100"/>
      </w:pPr>
      <w:rPr>
        <w:rFonts w:hint="default"/>
      </w:rPr>
    </w:lvl>
    <w:lvl w:ilvl="8" w:tplc="6C849162">
      <w:numFmt w:val="bullet"/>
      <w:lvlText w:val="•"/>
      <w:lvlJc w:val="left"/>
      <w:pPr>
        <w:ind w:left="1837" w:hanging="100"/>
      </w:pPr>
      <w:rPr>
        <w:rFonts w:hint="default"/>
      </w:rPr>
    </w:lvl>
  </w:abstractNum>
  <w:abstractNum w:abstractNumId="1346" w15:restartNumberingAfterBreak="0">
    <w:nsid w:val="532A41B1"/>
    <w:multiLevelType w:val="hybridMultilevel"/>
    <w:tmpl w:val="A79C9BF2"/>
    <w:lvl w:ilvl="0" w:tplc="FC42379E">
      <w:numFmt w:val="bullet"/>
      <w:lvlText w:val=""/>
      <w:lvlJc w:val="left"/>
      <w:pPr>
        <w:ind w:left="156" w:hanging="100"/>
      </w:pPr>
      <w:rPr>
        <w:rFonts w:ascii="Symbol" w:eastAsia="Symbol" w:hAnsi="Symbol" w:cs="Symbol" w:hint="default"/>
        <w:color w:val="231F20"/>
        <w:w w:val="100"/>
        <w:sz w:val="14"/>
        <w:szCs w:val="14"/>
      </w:rPr>
    </w:lvl>
    <w:lvl w:ilvl="1" w:tplc="079674EE">
      <w:numFmt w:val="bullet"/>
      <w:lvlText w:val="•"/>
      <w:lvlJc w:val="left"/>
      <w:pPr>
        <w:ind w:left="426" w:hanging="100"/>
      </w:pPr>
      <w:rPr>
        <w:rFonts w:hint="default"/>
      </w:rPr>
    </w:lvl>
    <w:lvl w:ilvl="2" w:tplc="42FA0722">
      <w:numFmt w:val="bullet"/>
      <w:lvlText w:val="•"/>
      <w:lvlJc w:val="left"/>
      <w:pPr>
        <w:ind w:left="692" w:hanging="100"/>
      </w:pPr>
      <w:rPr>
        <w:rFonts w:hint="default"/>
      </w:rPr>
    </w:lvl>
    <w:lvl w:ilvl="3" w:tplc="10D6469C">
      <w:numFmt w:val="bullet"/>
      <w:lvlText w:val="•"/>
      <w:lvlJc w:val="left"/>
      <w:pPr>
        <w:ind w:left="959" w:hanging="100"/>
      </w:pPr>
      <w:rPr>
        <w:rFonts w:hint="default"/>
      </w:rPr>
    </w:lvl>
    <w:lvl w:ilvl="4" w:tplc="4FF4B268">
      <w:numFmt w:val="bullet"/>
      <w:lvlText w:val="•"/>
      <w:lvlJc w:val="left"/>
      <w:pPr>
        <w:ind w:left="1225" w:hanging="100"/>
      </w:pPr>
      <w:rPr>
        <w:rFonts w:hint="default"/>
      </w:rPr>
    </w:lvl>
    <w:lvl w:ilvl="5" w:tplc="B5F4CCF8">
      <w:numFmt w:val="bullet"/>
      <w:lvlText w:val="•"/>
      <w:lvlJc w:val="left"/>
      <w:pPr>
        <w:ind w:left="1492" w:hanging="100"/>
      </w:pPr>
      <w:rPr>
        <w:rFonts w:hint="default"/>
      </w:rPr>
    </w:lvl>
    <w:lvl w:ilvl="6" w:tplc="FC24B26C">
      <w:numFmt w:val="bullet"/>
      <w:lvlText w:val="•"/>
      <w:lvlJc w:val="left"/>
      <w:pPr>
        <w:ind w:left="1758" w:hanging="100"/>
      </w:pPr>
      <w:rPr>
        <w:rFonts w:hint="default"/>
      </w:rPr>
    </w:lvl>
    <w:lvl w:ilvl="7" w:tplc="641E6274">
      <w:numFmt w:val="bullet"/>
      <w:lvlText w:val="•"/>
      <w:lvlJc w:val="left"/>
      <w:pPr>
        <w:ind w:left="2024" w:hanging="100"/>
      </w:pPr>
      <w:rPr>
        <w:rFonts w:hint="default"/>
      </w:rPr>
    </w:lvl>
    <w:lvl w:ilvl="8" w:tplc="86944720">
      <w:numFmt w:val="bullet"/>
      <w:lvlText w:val="•"/>
      <w:lvlJc w:val="left"/>
      <w:pPr>
        <w:ind w:left="2291" w:hanging="100"/>
      </w:pPr>
      <w:rPr>
        <w:rFonts w:hint="default"/>
      </w:rPr>
    </w:lvl>
  </w:abstractNum>
  <w:abstractNum w:abstractNumId="1347" w15:restartNumberingAfterBreak="0">
    <w:nsid w:val="53343E3C"/>
    <w:multiLevelType w:val="hybridMultilevel"/>
    <w:tmpl w:val="64B8453A"/>
    <w:lvl w:ilvl="0" w:tplc="26FA8A80">
      <w:numFmt w:val="bullet"/>
      <w:lvlText w:val="–"/>
      <w:lvlJc w:val="left"/>
      <w:pPr>
        <w:ind w:left="57" w:hanging="105"/>
      </w:pPr>
      <w:rPr>
        <w:rFonts w:ascii="Times New Roman" w:eastAsia="Times New Roman" w:hAnsi="Times New Roman" w:cs="Times New Roman" w:hint="default"/>
        <w:color w:val="231F20"/>
        <w:spacing w:val="-1"/>
        <w:w w:val="100"/>
        <w:sz w:val="14"/>
        <w:szCs w:val="14"/>
      </w:rPr>
    </w:lvl>
    <w:lvl w:ilvl="1" w:tplc="C5D88020">
      <w:numFmt w:val="bullet"/>
      <w:lvlText w:val="•"/>
      <w:lvlJc w:val="left"/>
      <w:pPr>
        <w:ind w:left="336" w:hanging="105"/>
      </w:pPr>
      <w:rPr>
        <w:rFonts w:hint="default"/>
      </w:rPr>
    </w:lvl>
    <w:lvl w:ilvl="2" w:tplc="ECA2B17C">
      <w:numFmt w:val="bullet"/>
      <w:lvlText w:val="•"/>
      <w:lvlJc w:val="left"/>
      <w:pPr>
        <w:ind w:left="612" w:hanging="105"/>
      </w:pPr>
      <w:rPr>
        <w:rFonts w:hint="default"/>
      </w:rPr>
    </w:lvl>
    <w:lvl w:ilvl="3" w:tplc="5BC61C1A">
      <w:numFmt w:val="bullet"/>
      <w:lvlText w:val="•"/>
      <w:lvlJc w:val="left"/>
      <w:pPr>
        <w:ind w:left="889" w:hanging="105"/>
      </w:pPr>
      <w:rPr>
        <w:rFonts w:hint="default"/>
      </w:rPr>
    </w:lvl>
    <w:lvl w:ilvl="4" w:tplc="686A33F2">
      <w:numFmt w:val="bullet"/>
      <w:lvlText w:val="•"/>
      <w:lvlJc w:val="left"/>
      <w:pPr>
        <w:ind w:left="1165" w:hanging="105"/>
      </w:pPr>
      <w:rPr>
        <w:rFonts w:hint="default"/>
      </w:rPr>
    </w:lvl>
    <w:lvl w:ilvl="5" w:tplc="12580F38">
      <w:numFmt w:val="bullet"/>
      <w:lvlText w:val="•"/>
      <w:lvlJc w:val="left"/>
      <w:pPr>
        <w:ind w:left="1442" w:hanging="105"/>
      </w:pPr>
      <w:rPr>
        <w:rFonts w:hint="default"/>
      </w:rPr>
    </w:lvl>
    <w:lvl w:ilvl="6" w:tplc="194CF5E2">
      <w:numFmt w:val="bullet"/>
      <w:lvlText w:val="•"/>
      <w:lvlJc w:val="left"/>
      <w:pPr>
        <w:ind w:left="1718" w:hanging="105"/>
      </w:pPr>
      <w:rPr>
        <w:rFonts w:hint="default"/>
      </w:rPr>
    </w:lvl>
    <w:lvl w:ilvl="7" w:tplc="A9049BC2">
      <w:numFmt w:val="bullet"/>
      <w:lvlText w:val="•"/>
      <w:lvlJc w:val="left"/>
      <w:pPr>
        <w:ind w:left="1994" w:hanging="105"/>
      </w:pPr>
      <w:rPr>
        <w:rFonts w:hint="default"/>
      </w:rPr>
    </w:lvl>
    <w:lvl w:ilvl="8" w:tplc="07989744">
      <w:numFmt w:val="bullet"/>
      <w:lvlText w:val="•"/>
      <w:lvlJc w:val="left"/>
      <w:pPr>
        <w:ind w:left="2271" w:hanging="105"/>
      </w:pPr>
      <w:rPr>
        <w:rFonts w:hint="default"/>
      </w:rPr>
    </w:lvl>
  </w:abstractNum>
  <w:abstractNum w:abstractNumId="1348" w15:restartNumberingAfterBreak="0">
    <w:nsid w:val="5342603B"/>
    <w:multiLevelType w:val="hybridMultilevel"/>
    <w:tmpl w:val="E03036CE"/>
    <w:lvl w:ilvl="0" w:tplc="0E423E28">
      <w:numFmt w:val="bullet"/>
      <w:lvlText w:val=""/>
      <w:lvlJc w:val="left"/>
      <w:pPr>
        <w:ind w:left="156" w:hanging="100"/>
      </w:pPr>
      <w:rPr>
        <w:rFonts w:ascii="Symbol" w:eastAsia="Symbol" w:hAnsi="Symbol" w:cs="Symbol" w:hint="default"/>
        <w:color w:val="231F20"/>
        <w:w w:val="100"/>
        <w:sz w:val="14"/>
        <w:szCs w:val="14"/>
      </w:rPr>
    </w:lvl>
    <w:lvl w:ilvl="1" w:tplc="FEAA52FA">
      <w:numFmt w:val="bullet"/>
      <w:lvlText w:val="•"/>
      <w:lvlJc w:val="left"/>
      <w:pPr>
        <w:ind w:left="398" w:hanging="100"/>
      </w:pPr>
      <w:rPr>
        <w:rFonts w:hint="default"/>
      </w:rPr>
    </w:lvl>
    <w:lvl w:ilvl="2" w:tplc="C78A6B96">
      <w:numFmt w:val="bullet"/>
      <w:lvlText w:val="•"/>
      <w:lvlJc w:val="left"/>
      <w:pPr>
        <w:ind w:left="636" w:hanging="100"/>
      </w:pPr>
      <w:rPr>
        <w:rFonts w:hint="default"/>
      </w:rPr>
    </w:lvl>
    <w:lvl w:ilvl="3" w:tplc="C6043FF2">
      <w:numFmt w:val="bullet"/>
      <w:lvlText w:val="•"/>
      <w:lvlJc w:val="left"/>
      <w:pPr>
        <w:ind w:left="874" w:hanging="100"/>
      </w:pPr>
      <w:rPr>
        <w:rFonts w:hint="default"/>
      </w:rPr>
    </w:lvl>
    <w:lvl w:ilvl="4" w:tplc="B4F23614">
      <w:numFmt w:val="bullet"/>
      <w:lvlText w:val="•"/>
      <w:lvlJc w:val="left"/>
      <w:pPr>
        <w:ind w:left="1112" w:hanging="100"/>
      </w:pPr>
      <w:rPr>
        <w:rFonts w:hint="default"/>
      </w:rPr>
    </w:lvl>
    <w:lvl w:ilvl="5" w:tplc="2444A110">
      <w:numFmt w:val="bullet"/>
      <w:lvlText w:val="•"/>
      <w:lvlJc w:val="left"/>
      <w:pPr>
        <w:ind w:left="1350" w:hanging="100"/>
      </w:pPr>
      <w:rPr>
        <w:rFonts w:hint="default"/>
      </w:rPr>
    </w:lvl>
    <w:lvl w:ilvl="6" w:tplc="7E3AFAA0">
      <w:numFmt w:val="bullet"/>
      <w:lvlText w:val="•"/>
      <w:lvlJc w:val="left"/>
      <w:pPr>
        <w:ind w:left="1588" w:hanging="100"/>
      </w:pPr>
      <w:rPr>
        <w:rFonts w:hint="default"/>
      </w:rPr>
    </w:lvl>
    <w:lvl w:ilvl="7" w:tplc="5B762AA8">
      <w:numFmt w:val="bullet"/>
      <w:lvlText w:val="•"/>
      <w:lvlJc w:val="left"/>
      <w:pPr>
        <w:ind w:left="1826" w:hanging="100"/>
      </w:pPr>
      <w:rPr>
        <w:rFonts w:hint="default"/>
      </w:rPr>
    </w:lvl>
    <w:lvl w:ilvl="8" w:tplc="E39A3360">
      <w:numFmt w:val="bullet"/>
      <w:lvlText w:val="•"/>
      <w:lvlJc w:val="left"/>
      <w:pPr>
        <w:ind w:left="2064" w:hanging="100"/>
      </w:pPr>
      <w:rPr>
        <w:rFonts w:hint="default"/>
      </w:rPr>
    </w:lvl>
  </w:abstractNum>
  <w:abstractNum w:abstractNumId="1349" w15:restartNumberingAfterBreak="0">
    <w:nsid w:val="534F3524"/>
    <w:multiLevelType w:val="hybridMultilevel"/>
    <w:tmpl w:val="AF6A2384"/>
    <w:lvl w:ilvl="0" w:tplc="F17605D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39B8DA1A">
      <w:numFmt w:val="bullet"/>
      <w:lvlText w:val="•"/>
      <w:lvlJc w:val="left"/>
      <w:pPr>
        <w:ind w:left="426" w:hanging="105"/>
      </w:pPr>
      <w:rPr>
        <w:rFonts w:hint="default"/>
      </w:rPr>
    </w:lvl>
    <w:lvl w:ilvl="2" w:tplc="CB1ECD26">
      <w:numFmt w:val="bullet"/>
      <w:lvlText w:val="•"/>
      <w:lvlJc w:val="left"/>
      <w:pPr>
        <w:ind w:left="692" w:hanging="105"/>
      </w:pPr>
      <w:rPr>
        <w:rFonts w:hint="default"/>
      </w:rPr>
    </w:lvl>
    <w:lvl w:ilvl="3" w:tplc="D88C22DA">
      <w:numFmt w:val="bullet"/>
      <w:lvlText w:val="•"/>
      <w:lvlJc w:val="left"/>
      <w:pPr>
        <w:ind w:left="959" w:hanging="105"/>
      </w:pPr>
      <w:rPr>
        <w:rFonts w:hint="default"/>
      </w:rPr>
    </w:lvl>
    <w:lvl w:ilvl="4" w:tplc="69988952">
      <w:numFmt w:val="bullet"/>
      <w:lvlText w:val="•"/>
      <w:lvlJc w:val="left"/>
      <w:pPr>
        <w:ind w:left="1225" w:hanging="105"/>
      </w:pPr>
      <w:rPr>
        <w:rFonts w:hint="default"/>
      </w:rPr>
    </w:lvl>
    <w:lvl w:ilvl="5" w:tplc="A86EF1C8">
      <w:numFmt w:val="bullet"/>
      <w:lvlText w:val="•"/>
      <w:lvlJc w:val="left"/>
      <w:pPr>
        <w:ind w:left="1492" w:hanging="105"/>
      </w:pPr>
      <w:rPr>
        <w:rFonts w:hint="default"/>
      </w:rPr>
    </w:lvl>
    <w:lvl w:ilvl="6" w:tplc="2B3ACDA4">
      <w:numFmt w:val="bullet"/>
      <w:lvlText w:val="•"/>
      <w:lvlJc w:val="left"/>
      <w:pPr>
        <w:ind w:left="1758" w:hanging="105"/>
      </w:pPr>
      <w:rPr>
        <w:rFonts w:hint="default"/>
      </w:rPr>
    </w:lvl>
    <w:lvl w:ilvl="7" w:tplc="A2E49E26">
      <w:numFmt w:val="bullet"/>
      <w:lvlText w:val="•"/>
      <w:lvlJc w:val="left"/>
      <w:pPr>
        <w:ind w:left="2024" w:hanging="105"/>
      </w:pPr>
      <w:rPr>
        <w:rFonts w:hint="default"/>
      </w:rPr>
    </w:lvl>
    <w:lvl w:ilvl="8" w:tplc="7DBC3686">
      <w:numFmt w:val="bullet"/>
      <w:lvlText w:val="•"/>
      <w:lvlJc w:val="left"/>
      <w:pPr>
        <w:ind w:left="2291" w:hanging="105"/>
      </w:pPr>
      <w:rPr>
        <w:rFonts w:hint="default"/>
      </w:rPr>
    </w:lvl>
  </w:abstractNum>
  <w:abstractNum w:abstractNumId="1350" w15:restartNumberingAfterBreak="0">
    <w:nsid w:val="53595345"/>
    <w:multiLevelType w:val="hybridMultilevel"/>
    <w:tmpl w:val="66A68878"/>
    <w:lvl w:ilvl="0" w:tplc="C2AE1AFC">
      <w:numFmt w:val="bullet"/>
      <w:lvlText w:val=""/>
      <w:lvlJc w:val="left"/>
      <w:pPr>
        <w:ind w:left="156" w:hanging="100"/>
      </w:pPr>
      <w:rPr>
        <w:rFonts w:ascii="Symbol" w:eastAsia="Symbol" w:hAnsi="Symbol" w:cs="Symbol" w:hint="default"/>
        <w:color w:val="231F20"/>
        <w:w w:val="100"/>
        <w:sz w:val="14"/>
        <w:szCs w:val="14"/>
      </w:rPr>
    </w:lvl>
    <w:lvl w:ilvl="1" w:tplc="A0E61DDC">
      <w:numFmt w:val="bullet"/>
      <w:lvlText w:val="•"/>
      <w:lvlJc w:val="left"/>
      <w:pPr>
        <w:ind w:left="301" w:hanging="100"/>
      </w:pPr>
      <w:rPr>
        <w:rFonts w:hint="default"/>
      </w:rPr>
    </w:lvl>
    <w:lvl w:ilvl="2" w:tplc="F45AD68A">
      <w:numFmt w:val="bullet"/>
      <w:lvlText w:val="•"/>
      <w:lvlJc w:val="left"/>
      <w:pPr>
        <w:ind w:left="443" w:hanging="100"/>
      </w:pPr>
      <w:rPr>
        <w:rFonts w:hint="default"/>
      </w:rPr>
    </w:lvl>
    <w:lvl w:ilvl="3" w:tplc="2C647B96">
      <w:numFmt w:val="bullet"/>
      <w:lvlText w:val="•"/>
      <w:lvlJc w:val="left"/>
      <w:pPr>
        <w:ind w:left="585" w:hanging="100"/>
      </w:pPr>
      <w:rPr>
        <w:rFonts w:hint="default"/>
      </w:rPr>
    </w:lvl>
    <w:lvl w:ilvl="4" w:tplc="B5FE5348">
      <w:numFmt w:val="bullet"/>
      <w:lvlText w:val="•"/>
      <w:lvlJc w:val="left"/>
      <w:pPr>
        <w:ind w:left="726" w:hanging="100"/>
      </w:pPr>
      <w:rPr>
        <w:rFonts w:hint="default"/>
      </w:rPr>
    </w:lvl>
    <w:lvl w:ilvl="5" w:tplc="73D2CB4E">
      <w:numFmt w:val="bullet"/>
      <w:lvlText w:val="•"/>
      <w:lvlJc w:val="left"/>
      <w:pPr>
        <w:ind w:left="868" w:hanging="100"/>
      </w:pPr>
      <w:rPr>
        <w:rFonts w:hint="default"/>
      </w:rPr>
    </w:lvl>
    <w:lvl w:ilvl="6" w:tplc="1C6CD794">
      <w:numFmt w:val="bullet"/>
      <w:lvlText w:val="•"/>
      <w:lvlJc w:val="left"/>
      <w:pPr>
        <w:ind w:left="1010" w:hanging="100"/>
      </w:pPr>
      <w:rPr>
        <w:rFonts w:hint="default"/>
      </w:rPr>
    </w:lvl>
    <w:lvl w:ilvl="7" w:tplc="F1DC0F92">
      <w:numFmt w:val="bullet"/>
      <w:lvlText w:val="•"/>
      <w:lvlJc w:val="left"/>
      <w:pPr>
        <w:ind w:left="1151" w:hanging="100"/>
      </w:pPr>
      <w:rPr>
        <w:rFonts w:hint="default"/>
      </w:rPr>
    </w:lvl>
    <w:lvl w:ilvl="8" w:tplc="D00E4460">
      <w:numFmt w:val="bullet"/>
      <w:lvlText w:val="•"/>
      <w:lvlJc w:val="left"/>
      <w:pPr>
        <w:ind w:left="1293" w:hanging="100"/>
      </w:pPr>
      <w:rPr>
        <w:rFonts w:hint="default"/>
      </w:rPr>
    </w:lvl>
  </w:abstractNum>
  <w:abstractNum w:abstractNumId="1351" w15:restartNumberingAfterBreak="0">
    <w:nsid w:val="53744D88"/>
    <w:multiLevelType w:val="hybridMultilevel"/>
    <w:tmpl w:val="52E82944"/>
    <w:lvl w:ilvl="0" w:tplc="71C2A0E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1A0247EE">
      <w:numFmt w:val="bullet"/>
      <w:lvlText w:val="•"/>
      <w:lvlJc w:val="left"/>
      <w:pPr>
        <w:ind w:left="408" w:hanging="84"/>
      </w:pPr>
      <w:rPr>
        <w:rFonts w:hint="default"/>
      </w:rPr>
    </w:lvl>
    <w:lvl w:ilvl="2" w:tplc="C8C48D5E">
      <w:numFmt w:val="bullet"/>
      <w:lvlText w:val="•"/>
      <w:lvlJc w:val="left"/>
      <w:pPr>
        <w:ind w:left="676" w:hanging="84"/>
      </w:pPr>
      <w:rPr>
        <w:rFonts w:hint="default"/>
      </w:rPr>
    </w:lvl>
    <w:lvl w:ilvl="3" w:tplc="DEB6B02A">
      <w:numFmt w:val="bullet"/>
      <w:lvlText w:val="•"/>
      <w:lvlJc w:val="left"/>
      <w:pPr>
        <w:ind w:left="945" w:hanging="84"/>
      </w:pPr>
      <w:rPr>
        <w:rFonts w:hint="default"/>
      </w:rPr>
    </w:lvl>
    <w:lvl w:ilvl="4" w:tplc="B81CACA4">
      <w:numFmt w:val="bullet"/>
      <w:lvlText w:val="•"/>
      <w:lvlJc w:val="left"/>
      <w:pPr>
        <w:ind w:left="1213" w:hanging="84"/>
      </w:pPr>
      <w:rPr>
        <w:rFonts w:hint="default"/>
      </w:rPr>
    </w:lvl>
    <w:lvl w:ilvl="5" w:tplc="971C7338">
      <w:numFmt w:val="bullet"/>
      <w:lvlText w:val="•"/>
      <w:lvlJc w:val="left"/>
      <w:pPr>
        <w:ind w:left="1482" w:hanging="84"/>
      </w:pPr>
      <w:rPr>
        <w:rFonts w:hint="default"/>
      </w:rPr>
    </w:lvl>
    <w:lvl w:ilvl="6" w:tplc="99D61924">
      <w:numFmt w:val="bullet"/>
      <w:lvlText w:val="•"/>
      <w:lvlJc w:val="left"/>
      <w:pPr>
        <w:ind w:left="1750" w:hanging="84"/>
      </w:pPr>
      <w:rPr>
        <w:rFonts w:hint="default"/>
      </w:rPr>
    </w:lvl>
    <w:lvl w:ilvl="7" w:tplc="FE98A298">
      <w:numFmt w:val="bullet"/>
      <w:lvlText w:val="•"/>
      <w:lvlJc w:val="left"/>
      <w:pPr>
        <w:ind w:left="2018" w:hanging="84"/>
      </w:pPr>
      <w:rPr>
        <w:rFonts w:hint="default"/>
      </w:rPr>
    </w:lvl>
    <w:lvl w:ilvl="8" w:tplc="43129044">
      <w:numFmt w:val="bullet"/>
      <w:lvlText w:val="•"/>
      <w:lvlJc w:val="left"/>
      <w:pPr>
        <w:ind w:left="2287" w:hanging="84"/>
      </w:pPr>
      <w:rPr>
        <w:rFonts w:hint="default"/>
      </w:rPr>
    </w:lvl>
  </w:abstractNum>
  <w:abstractNum w:abstractNumId="1352" w15:restartNumberingAfterBreak="0">
    <w:nsid w:val="537611ED"/>
    <w:multiLevelType w:val="hybridMultilevel"/>
    <w:tmpl w:val="BA0E4FE2"/>
    <w:lvl w:ilvl="0" w:tplc="11C4D9EA">
      <w:numFmt w:val="bullet"/>
      <w:lvlText w:val=""/>
      <w:lvlJc w:val="left"/>
      <w:pPr>
        <w:ind w:left="156" w:hanging="100"/>
      </w:pPr>
      <w:rPr>
        <w:rFonts w:ascii="Symbol" w:eastAsia="Symbol" w:hAnsi="Symbol" w:cs="Symbol" w:hint="default"/>
        <w:color w:val="231F20"/>
        <w:w w:val="100"/>
        <w:sz w:val="14"/>
        <w:szCs w:val="14"/>
      </w:rPr>
    </w:lvl>
    <w:lvl w:ilvl="1" w:tplc="A6C2F93A">
      <w:numFmt w:val="bullet"/>
      <w:lvlText w:val="•"/>
      <w:lvlJc w:val="left"/>
      <w:pPr>
        <w:ind w:left="301" w:hanging="100"/>
      </w:pPr>
      <w:rPr>
        <w:rFonts w:hint="default"/>
      </w:rPr>
    </w:lvl>
    <w:lvl w:ilvl="2" w:tplc="D1869DD0">
      <w:numFmt w:val="bullet"/>
      <w:lvlText w:val="•"/>
      <w:lvlJc w:val="left"/>
      <w:pPr>
        <w:ind w:left="443" w:hanging="100"/>
      </w:pPr>
      <w:rPr>
        <w:rFonts w:hint="default"/>
      </w:rPr>
    </w:lvl>
    <w:lvl w:ilvl="3" w:tplc="CBE6B3BE">
      <w:numFmt w:val="bullet"/>
      <w:lvlText w:val="•"/>
      <w:lvlJc w:val="left"/>
      <w:pPr>
        <w:ind w:left="585" w:hanging="100"/>
      </w:pPr>
      <w:rPr>
        <w:rFonts w:hint="default"/>
      </w:rPr>
    </w:lvl>
    <w:lvl w:ilvl="4" w:tplc="FB3CFA8A">
      <w:numFmt w:val="bullet"/>
      <w:lvlText w:val="•"/>
      <w:lvlJc w:val="left"/>
      <w:pPr>
        <w:ind w:left="726" w:hanging="100"/>
      </w:pPr>
      <w:rPr>
        <w:rFonts w:hint="default"/>
      </w:rPr>
    </w:lvl>
    <w:lvl w:ilvl="5" w:tplc="23528A84">
      <w:numFmt w:val="bullet"/>
      <w:lvlText w:val="•"/>
      <w:lvlJc w:val="left"/>
      <w:pPr>
        <w:ind w:left="868" w:hanging="100"/>
      </w:pPr>
      <w:rPr>
        <w:rFonts w:hint="default"/>
      </w:rPr>
    </w:lvl>
    <w:lvl w:ilvl="6" w:tplc="52A28D9E">
      <w:numFmt w:val="bullet"/>
      <w:lvlText w:val="•"/>
      <w:lvlJc w:val="left"/>
      <w:pPr>
        <w:ind w:left="1010" w:hanging="100"/>
      </w:pPr>
      <w:rPr>
        <w:rFonts w:hint="default"/>
      </w:rPr>
    </w:lvl>
    <w:lvl w:ilvl="7" w:tplc="6D643804">
      <w:numFmt w:val="bullet"/>
      <w:lvlText w:val="•"/>
      <w:lvlJc w:val="left"/>
      <w:pPr>
        <w:ind w:left="1151" w:hanging="100"/>
      </w:pPr>
      <w:rPr>
        <w:rFonts w:hint="default"/>
      </w:rPr>
    </w:lvl>
    <w:lvl w:ilvl="8" w:tplc="7B24A060">
      <w:numFmt w:val="bullet"/>
      <w:lvlText w:val="•"/>
      <w:lvlJc w:val="left"/>
      <w:pPr>
        <w:ind w:left="1293" w:hanging="100"/>
      </w:pPr>
      <w:rPr>
        <w:rFonts w:hint="default"/>
      </w:rPr>
    </w:lvl>
  </w:abstractNum>
  <w:abstractNum w:abstractNumId="1353" w15:restartNumberingAfterBreak="0">
    <w:nsid w:val="53A118D1"/>
    <w:multiLevelType w:val="hybridMultilevel"/>
    <w:tmpl w:val="80CEDBD0"/>
    <w:lvl w:ilvl="0" w:tplc="7192493C">
      <w:numFmt w:val="bullet"/>
      <w:lvlText w:val=""/>
      <w:lvlJc w:val="left"/>
      <w:pPr>
        <w:ind w:left="156" w:hanging="100"/>
      </w:pPr>
      <w:rPr>
        <w:rFonts w:ascii="Symbol" w:eastAsia="Symbol" w:hAnsi="Symbol" w:cs="Symbol" w:hint="default"/>
        <w:color w:val="231F20"/>
        <w:w w:val="100"/>
        <w:sz w:val="14"/>
        <w:szCs w:val="14"/>
      </w:rPr>
    </w:lvl>
    <w:lvl w:ilvl="1" w:tplc="DDD00B12">
      <w:start w:val="1"/>
      <w:numFmt w:val="upperRoman"/>
      <w:lvlText w:val="%2"/>
      <w:lvlJc w:val="left"/>
      <w:pPr>
        <w:ind w:left="156" w:hanging="82"/>
        <w:jc w:val="left"/>
      </w:pPr>
      <w:rPr>
        <w:rFonts w:ascii="Times New Roman" w:eastAsia="Times New Roman" w:hAnsi="Times New Roman" w:cs="Times New Roman" w:hint="default"/>
        <w:color w:val="231F20"/>
        <w:spacing w:val="-8"/>
        <w:w w:val="100"/>
        <w:sz w:val="14"/>
        <w:szCs w:val="14"/>
      </w:rPr>
    </w:lvl>
    <w:lvl w:ilvl="2" w:tplc="FA24ECE2">
      <w:numFmt w:val="bullet"/>
      <w:lvlText w:val="•"/>
      <w:lvlJc w:val="left"/>
      <w:pPr>
        <w:ind w:left="692" w:hanging="82"/>
      </w:pPr>
      <w:rPr>
        <w:rFonts w:hint="default"/>
      </w:rPr>
    </w:lvl>
    <w:lvl w:ilvl="3" w:tplc="367A47F8">
      <w:numFmt w:val="bullet"/>
      <w:lvlText w:val="•"/>
      <w:lvlJc w:val="left"/>
      <w:pPr>
        <w:ind w:left="959" w:hanging="82"/>
      </w:pPr>
      <w:rPr>
        <w:rFonts w:hint="default"/>
      </w:rPr>
    </w:lvl>
    <w:lvl w:ilvl="4" w:tplc="81CAA2AA">
      <w:numFmt w:val="bullet"/>
      <w:lvlText w:val="•"/>
      <w:lvlJc w:val="left"/>
      <w:pPr>
        <w:ind w:left="1225" w:hanging="82"/>
      </w:pPr>
      <w:rPr>
        <w:rFonts w:hint="default"/>
      </w:rPr>
    </w:lvl>
    <w:lvl w:ilvl="5" w:tplc="BABAEFA0">
      <w:numFmt w:val="bullet"/>
      <w:lvlText w:val="•"/>
      <w:lvlJc w:val="left"/>
      <w:pPr>
        <w:ind w:left="1492" w:hanging="82"/>
      </w:pPr>
      <w:rPr>
        <w:rFonts w:hint="default"/>
      </w:rPr>
    </w:lvl>
    <w:lvl w:ilvl="6" w:tplc="648A5F1E">
      <w:numFmt w:val="bullet"/>
      <w:lvlText w:val="•"/>
      <w:lvlJc w:val="left"/>
      <w:pPr>
        <w:ind w:left="1758" w:hanging="82"/>
      </w:pPr>
      <w:rPr>
        <w:rFonts w:hint="default"/>
      </w:rPr>
    </w:lvl>
    <w:lvl w:ilvl="7" w:tplc="7A709132">
      <w:numFmt w:val="bullet"/>
      <w:lvlText w:val="•"/>
      <w:lvlJc w:val="left"/>
      <w:pPr>
        <w:ind w:left="2024" w:hanging="82"/>
      </w:pPr>
      <w:rPr>
        <w:rFonts w:hint="default"/>
      </w:rPr>
    </w:lvl>
    <w:lvl w:ilvl="8" w:tplc="A8368876">
      <w:numFmt w:val="bullet"/>
      <w:lvlText w:val="•"/>
      <w:lvlJc w:val="left"/>
      <w:pPr>
        <w:ind w:left="2291" w:hanging="82"/>
      </w:pPr>
      <w:rPr>
        <w:rFonts w:hint="default"/>
      </w:rPr>
    </w:lvl>
  </w:abstractNum>
  <w:abstractNum w:abstractNumId="1354" w15:restartNumberingAfterBreak="0">
    <w:nsid w:val="53B45744"/>
    <w:multiLevelType w:val="hybridMultilevel"/>
    <w:tmpl w:val="38963D7C"/>
    <w:lvl w:ilvl="0" w:tplc="0BA4F666">
      <w:numFmt w:val="bullet"/>
      <w:lvlText w:val=""/>
      <w:lvlJc w:val="left"/>
      <w:pPr>
        <w:ind w:left="156" w:hanging="100"/>
      </w:pPr>
      <w:rPr>
        <w:rFonts w:ascii="Symbol" w:eastAsia="Symbol" w:hAnsi="Symbol" w:cs="Symbol" w:hint="default"/>
        <w:color w:val="231F20"/>
        <w:w w:val="100"/>
        <w:sz w:val="14"/>
        <w:szCs w:val="14"/>
      </w:rPr>
    </w:lvl>
    <w:lvl w:ilvl="1" w:tplc="5B146B26">
      <w:numFmt w:val="bullet"/>
      <w:lvlText w:val="•"/>
      <w:lvlJc w:val="left"/>
      <w:pPr>
        <w:ind w:left="301" w:hanging="100"/>
      </w:pPr>
      <w:rPr>
        <w:rFonts w:hint="default"/>
      </w:rPr>
    </w:lvl>
    <w:lvl w:ilvl="2" w:tplc="15608738">
      <w:numFmt w:val="bullet"/>
      <w:lvlText w:val="•"/>
      <w:lvlJc w:val="left"/>
      <w:pPr>
        <w:ind w:left="443" w:hanging="100"/>
      </w:pPr>
      <w:rPr>
        <w:rFonts w:hint="default"/>
      </w:rPr>
    </w:lvl>
    <w:lvl w:ilvl="3" w:tplc="D3B8DBD0">
      <w:numFmt w:val="bullet"/>
      <w:lvlText w:val="•"/>
      <w:lvlJc w:val="left"/>
      <w:pPr>
        <w:ind w:left="585" w:hanging="100"/>
      </w:pPr>
      <w:rPr>
        <w:rFonts w:hint="default"/>
      </w:rPr>
    </w:lvl>
    <w:lvl w:ilvl="4" w:tplc="630C30E2">
      <w:numFmt w:val="bullet"/>
      <w:lvlText w:val="•"/>
      <w:lvlJc w:val="left"/>
      <w:pPr>
        <w:ind w:left="726" w:hanging="100"/>
      </w:pPr>
      <w:rPr>
        <w:rFonts w:hint="default"/>
      </w:rPr>
    </w:lvl>
    <w:lvl w:ilvl="5" w:tplc="931AD464">
      <w:numFmt w:val="bullet"/>
      <w:lvlText w:val="•"/>
      <w:lvlJc w:val="left"/>
      <w:pPr>
        <w:ind w:left="868" w:hanging="100"/>
      </w:pPr>
      <w:rPr>
        <w:rFonts w:hint="default"/>
      </w:rPr>
    </w:lvl>
    <w:lvl w:ilvl="6" w:tplc="7D48C88A">
      <w:numFmt w:val="bullet"/>
      <w:lvlText w:val="•"/>
      <w:lvlJc w:val="left"/>
      <w:pPr>
        <w:ind w:left="1010" w:hanging="100"/>
      </w:pPr>
      <w:rPr>
        <w:rFonts w:hint="default"/>
      </w:rPr>
    </w:lvl>
    <w:lvl w:ilvl="7" w:tplc="C90EC7B2">
      <w:numFmt w:val="bullet"/>
      <w:lvlText w:val="•"/>
      <w:lvlJc w:val="left"/>
      <w:pPr>
        <w:ind w:left="1151" w:hanging="100"/>
      </w:pPr>
      <w:rPr>
        <w:rFonts w:hint="default"/>
      </w:rPr>
    </w:lvl>
    <w:lvl w:ilvl="8" w:tplc="8EE09DBA">
      <w:numFmt w:val="bullet"/>
      <w:lvlText w:val="•"/>
      <w:lvlJc w:val="left"/>
      <w:pPr>
        <w:ind w:left="1293" w:hanging="100"/>
      </w:pPr>
      <w:rPr>
        <w:rFonts w:hint="default"/>
      </w:rPr>
    </w:lvl>
  </w:abstractNum>
  <w:abstractNum w:abstractNumId="1355" w15:restartNumberingAfterBreak="0">
    <w:nsid w:val="53BF7E7F"/>
    <w:multiLevelType w:val="hybridMultilevel"/>
    <w:tmpl w:val="4796C250"/>
    <w:lvl w:ilvl="0" w:tplc="2CDC3F8E">
      <w:numFmt w:val="bullet"/>
      <w:lvlText w:val=""/>
      <w:lvlJc w:val="left"/>
      <w:pPr>
        <w:ind w:left="156" w:hanging="100"/>
      </w:pPr>
      <w:rPr>
        <w:rFonts w:ascii="Symbol" w:eastAsia="Symbol" w:hAnsi="Symbol" w:cs="Symbol" w:hint="default"/>
        <w:color w:val="231F20"/>
        <w:w w:val="100"/>
        <w:sz w:val="14"/>
        <w:szCs w:val="14"/>
      </w:rPr>
    </w:lvl>
    <w:lvl w:ilvl="1" w:tplc="8F7CF526">
      <w:numFmt w:val="bullet"/>
      <w:lvlText w:val="•"/>
      <w:lvlJc w:val="left"/>
      <w:pPr>
        <w:ind w:left="398" w:hanging="100"/>
      </w:pPr>
      <w:rPr>
        <w:rFonts w:hint="default"/>
      </w:rPr>
    </w:lvl>
    <w:lvl w:ilvl="2" w:tplc="4BC2DE6C">
      <w:numFmt w:val="bullet"/>
      <w:lvlText w:val="•"/>
      <w:lvlJc w:val="left"/>
      <w:pPr>
        <w:ind w:left="636" w:hanging="100"/>
      </w:pPr>
      <w:rPr>
        <w:rFonts w:hint="default"/>
      </w:rPr>
    </w:lvl>
    <w:lvl w:ilvl="3" w:tplc="593CE4AE">
      <w:numFmt w:val="bullet"/>
      <w:lvlText w:val="•"/>
      <w:lvlJc w:val="left"/>
      <w:pPr>
        <w:ind w:left="874" w:hanging="100"/>
      </w:pPr>
      <w:rPr>
        <w:rFonts w:hint="default"/>
      </w:rPr>
    </w:lvl>
    <w:lvl w:ilvl="4" w:tplc="A56E1A92">
      <w:numFmt w:val="bullet"/>
      <w:lvlText w:val="•"/>
      <w:lvlJc w:val="left"/>
      <w:pPr>
        <w:ind w:left="1112" w:hanging="100"/>
      </w:pPr>
      <w:rPr>
        <w:rFonts w:hint="default"/>
      </w:rPr>
    </w:lvl>
    <w:lvl w:ilvl="5" w:tplc="B2121096">
      <w:numFmt w:val="bullet"/>
      <w:lvlText w:val="•"/>
      <w:lvlJc w:val="left"/>
      <w:pPr>
        <w:ind w:left="1350" w:hanging="100"/>
      </w:pPr>
      <w:rPr>
        <w:rFonts w:hint="default"/>
      </w:rPr>
    </w:lvl>
    <w:lvl w:ilvl="6" w:tplc="A0708858">
      <w:numFmt w:val="bullet"/>
      <w:lvlText w:val="•"/>
      <w:lvlJc w:val="left"/>
      <w:pPr>
        <w:ind w:left="1588" w:hanging="100"/>
      </w:pPr>
      <w:rPr>
        <w:rFonts w:hint="default"/>
      </w:rPr>
    </w:lvl>
    <w:lvl w:ilvl="7" w:tplc="1770A98A">
      <w:numFmt w:val="bullet"/>
      <w:lvlText w:val="•"/>
      <w:lvlJc w:val="left"/>
      <w:pPr>
        <w:ind w:left="1826" w:hanging="100"/>
      </w:pPr>
      <w:rPr>
        <w:rFonts w:hint="default"/>
      </w:rPr>
    </w:lvl>
    <w:lvl w:ilvl="8" w:tplc="C5A4D5BA">
      <w:numFmt w:val="bullet"/>
      <w:lvlText w:val="•"/>
      <w:lvlJc w:val="left"/>
      <w:pPr>
        <w:ind w:left="2064" w:hanging="100"/>
      </w:pPr>
      <w:rPr>
        <w:rFonts w:hint="default"/>
      </w:rPr>
    </w:lvl>
  </w:abstractNum>
  <w:abstractNum w:abstractNumId="1356" w15:restartNumberingAfterBreak="0">
    <w:nsid w:val="53C60EEF"/>
    <w:multiLevelType w:val="hybridMultilevel"/>
    <w:tmpl w:val="3FEE113E"/>
    <w:lvl w:ilvl="0" w:tplc="CC30EB64">
      <w:numFmt w:val="bullet"/>
      <w:lvlText w:val=""/>
      <w:lvlJc w:val="left"/>
      <w:pPr>
        <w:ind w:left="156" w:hanging="100"/>
      </w:pPr>
      <w:rPr>
        <w:rFonts w:ascii="Symbol" w:eastAsia="Symbol" w:hAnsi="Symbol" w:cs="Symbol" w:hint="default"/>
        <w:color w:val="231F20"/>
        <w:w w:val="100"/>
        <w:sz w:val="14"/>
        <w:szCs w:val="14"/>
      </w:rPr>
    </w:lvl>
    <w:lvl w:ilvl="1" w:tplc="1C205AC4">
      <w:numFmt w:val="bullet"/>
      <w:lvlText w:val="•"/>
      <w:lvlJc w:val="left"/>
      <w:pPr>
        <w:ind w:left="273" w:hanging="100"/>
      </w:pPr>
      <w:rPr>
        <w:rFonts w:hint="default"/>
      </w:rPr>
    </w:lvl>
    <w:lvl w:ilvl="2" w:tplc="6470A6BE">
      <w:numFmt w:val="bullet"/>
      <w:lvlText w:val="•"/>
      <w:lvlJc w:val="left"/>
      <w:pPr>
        <w:ind w:left="386" w:hanging="100"/>
      </w:pPr>
      <w:rPr>
        <w:rFonts w:hint="default"/>
      </w:rPr>
    </w:lvl>
    <w:lvl w:ilvl="3" w:tplc="78D8558A">
      <w:numFmt w:val="bullet"/>
      <w:lvlText w:val="•"/>
      <w:lvlJc w:val="left"/>
      <w:pPr>
        <w:ind w:left="500" w:hanging="100"/>
      </w:pPr>
      <w:rPr>
        <w:rFonts w:hint="default"/>
      </w:rPr>
    </w:lvl>
    <w:lvl w:ilvl="4" w:tplc="FB44F7D6">
      <w:numFmt w:val="bullet"/>
      <w:lvlText w:val="•"/>
      <w:lvlJc w:val="left"/>
      <w:pPr>
        <w:ind w:left="613" w:hanging="100"/>
      </w:pPr>
      <w:rPr>
        <w:rFonts w:hint="default"/>
      </w:rPr>
    </w:lvl>
    <w:lvl w:ilvl="5" w:tplc="535094C0">
      <w:numFmt w:val="bullet"/>
      <w:lvlText w:val="•"/>
      <w:lvlJc w:val="left"/>
      <w:pPr>
        <w:ind w:left="727" w:hanging="100"/>
      </w:pPr>
      <w:rPr>
        <w:rFonts w:hint="default"/>
      </w:rPr>
    </w:lvl>
    <w:lvl w:ilvl="6" w:tplc="FCB68ED6">
      <w:numFmt w:val="bullet"/>
      <w:lvlText w:val="•"/>
      <w:lvlJc w:val="left"/>
      <w:pPr>
        <w:ind w:left="840" w:hanging="100"/>
      </w:pPr>
      <w:rPr>
        <w:rFonts w:hint="default"/>
      </w:rPr>
    </w:lvl>
    <w:lvl w:ilvl="7" w:tplc="4D8A280C">
      <w:numFmt w:val="bullet"/>
      <w:lvlText w:val="•"/>
      <w:lvlJc w:val="left"/>
      <w:pPr>
        <w:ind w:left="953" w:hanging="100"/>
      </w:pPr>
      <w:rPr>
        <w:rFonts w:hint="default"/>
      </w:rPr>
    </w:lvl>
    <w:lvl w:ilvl="8" w:tplc="A73668B6">
      <w:numFmt w:val="bullet"/>
      <w:lvlText w:val="•"/>
      <w:lvlJc w:val="left"/>
      <w:pPr>
        <w:ind w:left="1067" w:hanging="100"/>
      </w:pPr>
      <w:rPr>
        <w:rFonts w:hint="default"/>
      </w:rPr>
    </w:lvl>
  </w:abstractNum>
  <w:abstractNum w:abstractNumId="1357" w15:restartNumberingAfterBreak="0">
    <w:nsid w:val="53C8601F"/>
    <w:multiLevelType w:val="hybridMultilevel"/>
    <w:tmpl w:val="B96C089A"/>
    <w:lvl w:ilvl="0" w:tplc="3554448E">
      <w:numFmt w:val="bullet"/>
      <w:lvlText w:val=""/>
      <w:lvlJc w:val="left"/>
      <w:pPr>
        <w:ind w:left="156" w:hanging="100"/>
      </w:pPr>
      <w:rPr>
        <w:rFonts w:ascii="Symbol" w:eastAsia="Symbol" w:hAnsi="Symbol" w:cs="Symbol" w:hint="default"/>
        <w:color w:val="231F20"/>
        <w:w w:val="100"/>
        <w:sz w:val="14"/>
        <w:szCs w:val="14"/>
      </w:rPr>
    </w:lvl>
    <w:lvl w:ilvl="1" w:tplc="54E44494">
      <w:numFmt w:val="bullet"/>
      <w:lvlText w:val="•"/>
      <w:lvlJc w:val="left"/>
      <w:pPr>
        <w:ind w:left="398" w:hanging="100"/>
      </w:pPr>
      <w:rPr>
        <w:rFonts w:hint="default"/>
      </w:rPr>
    </w:lvl>
    <w:lvl w:ilvl="2" w:tplc="5B16E6A0">
      <w:numFmt w:val="bullet"/>
      <w:lvlText w:val="•"/>
      <w:lvlJc w:val="left"/>
      <w:pPr>
        <w:ind w:left="636" w:hanging="100"/>
      </w:pPr>
      <w:rPr>
        <w:rFonts w:hint="default"/>
      </w:rPr>
    </w:lvl>
    <w:lvl w:ilvl="3" w:tplc="4290EFB0">
      <w:numFmt w:val="bullet"/>
      <w:lvlText w:val="•"/>
      <w:lvlJc w:val="left"/>
      <w:pPr>
        <w:ind w:left="874" w:hanging="100"/>
      </w:pPr>
      <w:rPr>
        <w:rFonts w:hint="default"/>
      </w:rPr>
    </w:lvl>
    <w:lvl w:ilvl="4" w:tplc="C9507DE6">
      <w:numFmt w:val="bullet"/>
      <w:lvlText w:val="•"/>
      <w:lvlJc w:val="left"/>
      <w:pPr>
        <w:ind w:left="1112" w:hanging="100"/>
      </w:pPr>
      <w:rPr>
        <w:rFonts w:hint="default"/>
      </w:rPr>
    </w:lvl>
    <w:lvl w:ilvl="5" w:tplc="61BE4760">
      <w:numFmt w:val="bullet"/>
      <w:lvlText w:val="•"/>
      <w:lvlJc w:val="left"/>
      <w:pPr>
        <w:ind w:left="1350" w:hanging="100"/>
      </w:pPr>
      <w:rPr>
        <w:rFonts w:hint="default"/>
      </w:rPr>
    </w:lvl>
    <w:lvl w:ilvl="6" w:tplc="BBBEFF06">
      <w:numFmt w:val="bullet"/>
      <w:lvlText w:val="•"/>
      <w:lvlJc w:val="left"/>
      <w:pPr>
        <w:ind w:left="1588" w:hanging="100"/>
      </w:pPr>
      <w:rPr>
        <w:rFonts w:hint="default"/>
      </w:rPr>
    </w:lvl>
    <w:lvl w:ilvl="7" w:tplc="30906430">
      <w:numFmt w:val="bullet"/>
      <w:lvlText w:val="•"/>
      <w:lvlJc w:val="left"/>
      <w:pPr>
        <w:ind w:left="1826" w:hanging="100"/>
      </w:pPr>
      <w:rPr>
        <w:rFonts w:hint="default"/>
      </w:rPr>
    </w:lvl>
    <w:lvl w:ilvl="8" w:tplc="2460EEC2">
      <w:numFmt w:val="bullet"/>
      <w:lvlText w:val="•"/>
      <w:lvlJc w:val="left"/>
      <w:pPr>
        <w:ind w:left="2064" w:hanging="100"/>
      </w:pPr>
      <w:rPr>
        <w:rFonts w:hint="default"/>
      </w:rPr>
    </w:lvl>
  </w:abstractNum>
  <w:abstractNum w:abstractNumId="1358" w15:restartNumberingAfterBreak="0">
    <w:nsid w:val="53E23E71"/>
    <w:multiLevelType w:val="hybridMultilevel"/>
    <w:tmpl w:val="59907240"/>
    <w:lvl w:ilvl="0" w:tplc="7042EED8">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8810477C">
      <w:numFmt w:val="bullet"/>
      <w:lvlText w:val="•"/>
      <w:lvlJc w:val="left"/>
      <w:pPr>
        <w:ind w:left="408" w:hanging="84"/>
      </w:pPr>
      <w:rPr>
        <w:rFonts w:hint="default"/>
      </w:rPr>
    </w:lvl>
    <w:lvl w:ilvl="2" w:tplc="F0B047E2">
      <w:numFmt w:val="bullet"/>
      <w:lvlText w:val="•"/>
      <w:lvlJc w:val="left"/>
      <w:pPr>
        <w:ind w:left="676" w:hanging="84"/>
      </w:pPr>
      <w:rPr>
        <w:rFonts w:hint="default"/>
      </w:rPr>
    </w:lvl>
    <w:lvl w:ilvl="3" w:tplc="2C786D96">
      <w:numFmt w:val="bullet"/>
      <w:lvlText w:val="•"/>
      <w:lvlJc w:val="left"/>
      <w:pPr>
        <w:ind w:left="945" w:hanging="84"/>
      </w:pPr>
      <w:rPr>
        <w:rFonts w:hint="default"/>
      </w:rPr>
    </w:lvl>
    <w:lvl w:ilvl="4" w:tplc="763C3BA0">
      <w:numFmt w:val="bullet"/>
      <w:lvlText w:val="•"/>
      <w:lvlJc w:val="left"/>
      <w:pPr>
        <w:ind w:left="1213" w:hanging="84"/>
      </w:pPr>
      <w:rPr>
        <w:rFonts w:hint="default"/>
      </w:rPr>
    </w:lvl>
    <w:lvl w:ilvl="5" w:tplc="CC403100">
      <w:numFmt w:val="bullet"/>
      <w:lvlText w:val="•"/>
      <w:lvlJc w:val="left"/>
      <w:pPr>
        <w:ind w:left="1482" w:hanging="84"/>
      </w:pPr>
      <w:rPr>
        <w:rFonts w:hint="default"/>
      </w:rPr>
    </w:lvl>
    <w:lvl w:ilvl="6" w:tplc="56B86720">
      <w:numFmt w:val="bullet"/>
      <w:lvlText w:val="•"/>
      <w:lvlJc w:val="left"/>
      <w:pPr>
        <w:ind w:left="1750" w:hanging="84"/>
      </w:pPr>
      <w:rPr>
        <w:rFonts w:hint="default"/>
      </w:rPr>
    </w:lvl>
    <w:lvl w:ilvl="7" w:tplc="AF92E41E">
      <w:numFmt w:val="bullet"/>
      <w:lvlText w:val="•"/>
      <w:lvlJc w:val="left"/>
      <w:pPr>
        <w:ind w:left="2018" w:hanging="84"/>
      </w:pPr>
      <w:rPr>
        <w:rFonts w:hint="default"/>
      </w:rPr>
    </w:lvl>
    <w:lvl w:ilvl="8" w:tplc="E47E3DD6">
      <w:numFmt w:val="bullet"/>
      <w:lvlText w:val="•"/>
      <w:lvlJc w:val="left"/>
      <w:pPr>
        <w:ind w:left="2287" w:hanging="84"/>
      </w:pPr>
      <w:rPr>
        <w:rFonts w:hint="default"/>
      </w:rPr>
    </w:lvl>
  </w:abstractNum>
  <w:abstractNum w:abstractNumId="1359" w15:restartNumberingAfterBreak="0">
    <w:nsid w:val="54197E6E"/>
    <w:multiLevelType w:val="hybridMultilevel"/>
    <w:tmpl w:val="29B8E354"/>
    <w:lvl w:ilvl="0" w:tplc="988EED62">
      <w:numFmt w:val="bullet"/>
      <w:lvlText w:val=""/>
      <w:lvlJc w:val="left"/>
      <w:pPr>
        <w:ind w:left="157" w:hanging="100"/>
      </w:pPr>
      <w:rPr>
        <w:rFonts w:ascii="Symbol" w:eastAsia="Symbol" w:hAnsi="Symbol" w:cs="Symbol" w:hint="default"/>
        <w:color w:val="231F20"/>
        <w:w w:val="100"/>
        <w:sz w:val="14"/>
        <w:szCs w:val="14"/>
      </w:rPr>
    </w:lvl>
    <w:lvl w:ilvl="1" w:tplc="822E7DD2">
      <w:numFmt w:val="bullet"/>
      <w:lvlText w:val="•"/>
      <w:lvlJc w:val="left"/>
      <w:pPr>
        <w:ind w:left="369" w:hanging="100"/>
      </w:pPr>
      <w:rPr>
        <w:rFonts w:hint="default"/>
      </w:rPr>
    </w:lvl>
    <w:lvl w:ilvl="2" w:tplc="673AA40E">
      <w:numFmt w:val="bullet"/>
      <w:lvlText w:val="•"/>
      <w:lvlJc w:val="left"/>
      <w:pPr>
        <w:ind w:left="579" w:hanging="100"/>
      </w:pPr>
      <w:rPr>
        <w:rFonts w:hint="default"/>
      </w:rPr>
    </w:lvl>
    <w:lvl w:ilvl="3" w:tplc="52667F2C">
      <w:numFmt w:val="bullet"/>
      <w:lvlText w:val="•"/>
      <w:lvlJc w:val="left"/>
      <w:pPr>
        <w:ind w:left="789" w:hanging="100"/>
      </w:pPr>
      <w:rPr>
        <w:rFonts w:hint="default"/>
      </w:rPr>
    </w:lvl>
    <w:lvl w:ilvl="4" w:tplc="4F66556A">
      <w:numFmt w:val="bullet"/>
      <w:lvlText w:val="•"/>
      <w:lvlJc w:val="left"/>
      <w:pPr>
        <w:ind w:left="998" w:hanging="100"/>
      </w:pPr>
      <w:rPr>
        <w:rFonts w:hint="default"/>
      </w:rPr>
    </w:lvl>
    <w:lvl w:ilvl="5" w:tplc="318C5910">
      <w:numFmt w:val="bullet"/>
      <w:lvlText w:val="•"/>
      <w:lvlJc w:val="left"/>
      <w:pPr>
        <w:ind w:left="1208" w:hanging="100"/>
      </w:pPr>
      <w:rPr>
        <w:rFonts w:hint="default"/>
      </w:rPr>
    </w:lvl>
    <w:lvl w:ilvl="6" w:tplc="5590D318">
      <w:numFmt w:val="bullet"/>
      <w:lvlText w:val="•"/>
      <w:lvlJc w:val="left"/>
      <w:pPr>
        <w:ind w:left="1418" w:hanging="100"/>
      </w:pPr>
      <w:rPr>
        <w:rFonts w:hint="default"/>
      </w:rPr>
    </w:lvl>
    <w:lvl w:ilvl="7" w:tplc="DD303384">
      <w:numFmt w:val="bullet"/>
      <w:lvlText w:val="•"/>
      <w:lvlJc w:val="left"/>
      <w:pPr>
        <w:ind w:left="1627" w:hanging="100"/>
      </w:pPr>
      <w:rPr>
        <w:rFonts w:hint="default"/>
      </w:rPr>
    </w:lvl>
    <w:lvl w:ilvl="8" w:tplc="A38A70D6">
      <w:numFmt w:val="bullet"/>
      <w:lvlText w:val="•"/>
      <w:lvlJc w:val="left"/>
      <w:pPr>
        <w:ind w:left="1837" w:hanging="100"/>
      </w:pPr>
      <w:rPr>
        <w:rFonts w:hint="default"/>
      </w:rPr>
    </w:lvl>
  </w:abstractNum>
  <w:abstractNum w:abstractNumId="1360" w15:restartNumberingAfterBreak="0">
    <w:nsid w:val="542F55F4"/>
    <w:multiLevelType w:val="hybridMultilevel"/>
    <w:tmpl w:val="62722C9E"/>
    <w:lvl w:ilvl="0" w:tplc="F312909E">
      <w:numFmt w:val="bullet"/>
      <w:lvlText w:val=""/>
      <w:lvlJc w:val="left"/>
      <w:pPr>
        <w:ind w:left="156" w:hanging="100"/>
      </w:pPr>
      <w:rPr>
        <w:rFonts w:ascii="Symbol" w:eastAsia="Symbol" w:hAnsi="Symbol" w:cs="Symbol" w:hint="default"/>
        <w:color w:val="231F20"/>
        <w:w w:val="100"/>
        <w:sz w:val="14"/>
        <w:szCs w:val="14"/>
      </w:rPr>
    </w:lvl>
    <w:lvl w:ilvl="1" w:tplc="983A544E">
      <w:numFmt w:val="bullet"/>
      <w:lvlText w:val="•"/>
      <w:lvlJc w:val="left"/>
      <w:pPr>
        <w:ind w:left="398" w:hanging="100"/>
      </w:pPr>
      <w:rPr>
        <w:rFonts w:hint="default"/>
      </w:rPr>
    </w:lvl>
    <w:lvl w:ilvl="2" w:tplc="C36A7540">
      <w:numFmt w:val="bullet"/>
      <w:lvlText w:val="•"/>
      <w:lvlJc w:val="left"/>
      <w:pPr>
        <w:ind w:left="636" w:hanging="100"/>
      </w:pPr>
      <w:rPr>
        <w:rFonts w:hint="default"/>
      </w:rPr>
    </w:lvl>
    <w:lvl w:ilvl="3" w:tplc="9ABE0C06">
      <w:numFmt w:val="bullet"/>
      <w:lvlText w:val="•"/>
      <w:lvlJc w:val="left"/>
      <w:pPr>
        <w:ind w:left="874" w:hanging="100"/>
      </w:pPr>
      <w:rPr>
        <w:rFonts w:hint="default"/>
      </w:rPr>
    </w:lvl>
    <w:lvl w:ilvl="4" w:tplc="BF4EB0B4">
      <w:numFmt w:val="bullet"/>
      <w:lvlText w:val="•"/>
      <w:lvlJc w:val="left"/>
      <w:pPr>
        <w:ind w:left="1112" w:hanging="100"/>
      </w:pPr>
      <w:rPr>
        <w:rFonts w:hint="default"/>
      </w:rPr>
    </w:lvl>
    <w:lvl w:ilvl="5" w:tplc="93D24866">
      <w:numFmt w:val="bullet"/>
      <w:lvlText w:val="•"/>
      <w:lvlJc w:val="left"/>
      <w:pPr>
        <w:ind w:left="1350" w:hanging="100"/>
      </w:pPr>
      <w:rPr>
        <w:rFonts w:hint="default"/>
      </w:rPr>
    </w:lvl>
    <w:lvl w:ilvl="6" w:tplc="C576EB8A">
      <w:numFmt w:val="bullet"/>
      <w:lvlText w:val="•"/>
      <w:lvlJc w:val="left"/>
      <w:pPr>
        <w:ind w:left="1588" w:hanging="100"/>
      </w:pPr>
      <w:rPr>
        <w:rFonts w:hint="default"/>
      </w:rPr>
    </w:lvl>
    <w:lvl w:ilvl="7" w:tplc="BC9C1C9C">
      <w:numFmt w:val="bullet"/>
      <w:lvlText w:val="•"/>
      <w:lvlJc w:val="left"/>
      <w:pPr>
        <w:ind w:left="1826" w:hanging="100"/>
      </w:pPr>
      <w:rPr>
        <w:rFonts w:hint="default"/>
      </w:rPr>
    </w:lvl>
    <w:lvl w:ilvl="8" w:tplc="FC366212">
      <w:numFmt w:val="bullet"/>
      <w:lvlText w:val="•"/>
      <w:lvlJc w:val="left"/>
      <w:pPr>
        <w:ind w:left="2064" w:hanging="100"/>
      </w:pPr>
      <w:rPr>
        <w:rFonts w:hint="default"/>
      </w:rPr>
    </w:lvl>
  </w:abstractNum>
  <w:abstractNum w:abstractNumId="1361" w15:restartNumberingAfterBreak="0">
    <w:nsid w:val="542F6239"/>
    <w:multiLevelType w:val="hybridMultilevel"/>
    <w:tmpl w:val="D040CDC0"/>
    <w:lvl w:ilvl="0" w:tplc="FCEA656E">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C3DC6666">
      <w:numFmt w:val="bullet"/>
      <w:lvlText w:val="•"/>
      <w:lvlJc w:val="left"/>
      <w:pPr>
        <w:ind w:left="426" w:hanging="105"/>
      </w:pPr>
      <w:rPr>
        <w:rFonts w:hint="default"/>
      </w:rPr>
    </w:lvl>
    <w:lvl w:ilvl="2" w:tplc="CD9ECE32">
      <w:numFmt w:val="bullet"/>
      <w:lvlText w:val="•"/>
      <w:lvlJc w:val="left"/>
      <w:pPr>
        <w:ind w:left="692" w:hanging="105"/>
      </w:pPr>
      <w:rPr>
        <w:rFonts w:hint="default"/>
      </w:rPr>
    </w:lvl>
    <w:lvl w:ilvl="3" w:tplc="E00487B2">
      <w:numFmt w:val="bullet"/>
      <w:lvlText w:val="•"/>
      <w:lvlJc w:val="left"/>
      <w:pPr>
        <w:ind w:left="959" w:hanging="105"/>
      </w:pPr>
      <w:rPr>
        <w:rFonts w:hint="default"/>
      </w:rPr>
    </w:lvl>
    <w:lvl w:ilvl="4" w:tplc="42924320">
      <w:numFmt w:val="bullet"/>
      <w:lvlText w:val="•"/>
      <w:lvlJc w:val="left"/>
      <w:pPr>
        <w:ind w:left="1225" w:hanging="105"/>
      </w:pPr>
      <w:rPr>
        <w:rFonts w:hint="default"/>
      </w:rPr>
    </w:lvl>
    <w:lvl w:ilvl="5" w:tplc="70725E30">
      <w:numFmt w:val="bullet"/>
      <w:lvlText w:val="•"/>
      <w:lvlJc w:val="left"/>
      <w:pPr>
        <w:ind w:left="1492" w:hanging="105"/>
      </w:pPr>
      <w:rPr>
        <w:rFonts w:hint="default"/>
      </w:rPr>
    </w:lvl>
    <w:lvl w:ilvl="6" w:tplc="B588B9BA">
      <w:numFmt w:val="bullet"/>
      <w:lvlText w:val="•"/>
      <w:lvlJc w:val="left"/>
      <w:pPr>
        <w:ind w:left="1758" w:hanging="105"/>
      </w:pPr>
      <w:rPr>
        <w:rFonts w:hint="default"/>
      </w:rPr>
    </w:lvl>
    <w:lvl w:ilvl="7" w:tplc="9BAA558E">
      <w:numFmt w:val="bullet"/>
      <w:lvlText w:val="•"/>
      <w:lvlJc w:val="left"/>
      <w:pPr>
        <w:ind w:left="2024" w:hanging="105"/>
      </w:pPr>
      <w:rPr>
        <w:rFonts w:hint="default"/>
      </w:rPr>
    </w:lvl>
    <w:lvl w:ilvl="8" w:tplc="ACDE38A8">
      <w:numFmt w:val="bullet"/>
      <w:lvlText w:val="•"/>
      <w:lvlJc w:val="left"/>
      <w:pPr>
        <w:ind w:left="2291" w:hanging="105"/>
      </w:pPr>
      <w:rPr>
        <w:rFonts w:hint="default"/>
      </w:rPr>
    </w:lvl>
  </w:abstractNum>
  <w:abstractNum w:abstractNumId="1362" w15:restartNumberingAfterBreak="0">
    <w:nsid w:val="54352F3B"/>
    <w:multiLevelType w:val="hybridMultilevel"/>
    <w:tmpl w:val="619883E8"/>
    <w:lvl w:ilvl="0" w:tplc="CAA472A2">
      <w:numFmt w:val="bullet"/>
      <w:lvlText w:val=""/>
      <w:lvlJc w:val="left"/>
      <w:pPr>
        <w:ind w:left="156" w:hanging="100"/>
      </w:pPr>
      <w:rPr>
        <w:rFonts w:ascii="Symbol" w:eastAsia="Symbol" w:hAnsi="Symbol" w:cs="Symbol" w:hint="default"/>
        <w:color w:val="231F20"/>
        <w:w w:val="100"/>
        <w:sz w:val="14"/>
        <w:szCs w:val="14"/>
      </w:rPr>
    </w:lvl>
    <w:lvl w:ilvl="1" w:tplc="12D602A6">
      <w:numFmt w:val="bullet"/>
      <w:lvlText w:val="•"/>
      <w:lvlJc w:val="left"/>
      <w:pPr>
        <w:ind w:left="301" w:hanging="100"/>
      </w:pPr>
      <w:rPr>
        <w:rFonts w:hint="default"/>
      </w:rPr>
    </w:lvl>
    <w:lvl w:ilvl="2" w:tplc="07F803C2">
      <w:numFmt w:val="bullet"/>
      <w:lvlText w:val="•"/>
      <w:lvlJc w:val="left"/>
      <w:pPr>
        <w:ind w:left="443" w:hanging="100"/>
      </w:pPr>
      <w:rPr>
        <w:rFonts w:hint="default"/>
      </w:rPr>
    </w:lvl>
    <w:lvl w:ilvl="3" w:tplc="91F27360">
      <w:numFmt w:val="bullet"/>
      <w:lvlText w:val="•"/>
      <w:lvlJc w:val="left"/>
      <w:pPr>
        <w:ind w:left="585" w:hanging="100"/>
      </w:pPr>
      <w:rPr>
        <w:rFonts w:hint="default"/>
      </w:rPr>
    </w:lvl>
    <w:lvl w:ilvl="4" w:tplc="B90C7E38">
      <w:numFmt w:val="bullet"/>
      <w:lvlText w:val="•"/>
      <w:lvlJc w:val="left"/>
      <w:pPr>
        <w:ind w:left="726" w:hanging="100"/>
      </w:pPr>
      <w:rPr>
        <w:rFonts w:hint="default"/>
      </w:rPr>
    </w:lvl>
    <w:lvl w:ilvl="5" w:tplc="9F9EE7DE">
      <w:numFmt w:val="bullet"/>
      <w:lvlText w:val="•"/>
      <w:lvlJc w:val="left"/>
      <w:pPr>
        <w:ind w:left="868" w:hanging="100"/>
      </w:pPr>
      <w:rPr>
        <w:rFonts w:hint="default"/>
      </w:rPr>
    </w:lvl>
    <w:lvl w:ilvl="6" w:tplc="CEC87F4A">
      <w:numFmt w:val="bullet"/>
      <w:lvlText w:val="•"/>
      <w:lvlJc w:val="left"/>
      <w:pPr>
        <w:ind w:left="1010" w:hanging="100"/>
      </w:pPr>
      <w:rPr>
        <w:rFonts w:hint="default"/>
      </w:rPr>
    </w:lvl>
    <w:lvl w:ilvl="7" w:tplc="B8E482BE">
      <w:numFmt w:val="bullet"/>
      <w:lvlText w:val="•"/>
      <w:lvlJc w:val="left"/>
      <w:pPr>
        <w:ind w:left="1151" w:hanging="100"/>
      </w:pPr>
      <w:rPr>
        <w:rFonts w:hint="default"/>
      </w:rPr>
    </w:lvl>
    <w:lvl w:ilvl="8" w:tplc="3CAC0466">
      <w:numFmt w:val="bullet"/>
      <w:lvlText w:val="•"/>
      <w:lvlJc w:val="left"/>
      <w:pPr>
        <w:ind w:left="1293" w:hanging="100"/>
      </w:pPr>
      <w:rPr>
        <w:rFonts w:hint="default"/>
      </w:rPr>
    </w:lvl>
  </w:abstractNum>
  <w:abstractNum w:abstractNumId="1363" w15:restartNumberingAfterBreak="0">
    <w:nsid w:val="5442318D"/>
    <w:multiLevelType w:val="hybridMultilevel"/>
    <w:tmpl w:val="7C8C9330"/>
    <w:lvl w:ilvl="0" w:tplc="4120C326">
      <w:numFmt w:val="bullet"/>
      <w:lvlText w:val=""/>
      <w:lvlJc w:val="left"/>
      <w:pPr>
        <w:ind w:left="156" w:hanging="100"/>
      </w:pPr>
      <w:rPr>
        <w:rFonts w:ascii="Symbol" w:eastAsia="Symbol" w:hAnsi="Symbol" w:cs="Symbol" w:hint="default"/>
        <w:color w:val="231F20"/>
        <w:w w:val="100"/>
        <w:sz w:val="14"/>
        <w:szCs w:val="14"/>
      </w:rPr>
    </w:lvl>
    <w:lvl w:ilvl="1" w:tplc="319C85B4">
      <w:numFmt w:val="bullet"/>
      <w:lvlText w:val="•"/>
      <w:lvlJc w:val="left"/>
      <w:pPr>
        <w:ind w:left="398" w:hanging="100"/>
      </w:pPr>
      <w:rPr>
        <w:rFonts w:hint="default"/>
      </w:rPr>
    </w:lvl>
    <w:lvl w:ilvl="2" w:tplc="ECC24BE6">
      <w:numFmt w:val="bullet"/>
      <w:lvlText w:val="•"/>
      <w:lvlJc w:val="left"/>
      <w:pPr>
        <w:ind w:left="636" w:hanging="100"/>
      </w:pPr>
      <w:rPr>
        <w:rFonts w:hint="default"/>
      </w:rPr>
    </w:lvl>
    <w:lvl w:ilvl="3" w:tplc="161C91F2">
      <w:numFmt w:val="bullet"/>
      <w:lvlText w:val="•"/>
      <w:lvlJc w:val="left"/>
      <w:pPr>
        <w:ind w:left="874" w:hanging="100"/>
      </w:pPr>
      <w:rPr>
        <w:rFonts w:hint="default"/>
      </w:rPr>
    </w:lvl>
    <w:lvl w:ilvl="4" w:tplc="9A0674D6">
      <w:numFmt w:val="bullet"/>
      <w:lvlText w:val="•"/>
      <w:lvlJc w:val="left"/>
      <w:pPr>
        <w:ind w:left="1112" w:hanging="100"/>
      </w:pPr>
      <w:rPr>
        <w:rFonts w:hint="default"/>
      </w:rPr>
    </w:lvl>
    <w:lvl w:ilvl="5" w:tplc="9FEA3DF6">
      <w:numFmt w:val="bullet"/>
      <w:lvlText w:val="•"/>
      <w:lvlJc w:val="left"/>
      <w:pPr>
        <w:ind w:left="1350" w:hanging="100"/>
      </w:pPr>
      <w:rPr>
        <w:rFonts w:hint="default"/>
      </w:rPr>
    </w:lvl>
    <w:lvl w:ilvl="6" w:tplc="9792529C">
      <w:numFmt w:val="bullet"/>
      <w:lvlText w:val="•"/>
      <w:lvlJc w:val="left"/>
      <w:pPr>
        <w:ind w:left="1588" w:hanging="100"/>
      </w:pPr>
      <w:rPr>
        <w:rFonts w:hint="default"/>
      </w:rPr>
    </w:lvl>
    <w:lvl w:ilvl="7" w:tplc="A2D8DAD6">
      <w:numFmt w:val="bullet"/>
      <w:lvlText w:val="•"/>
      <w:lvlJc w:val="left"/>
      <w:pPr>
        <w:ind w:left="1826" w:hanging="100"/>
      </w:pPr>
      <w:rPr>
        <w:rFonts w:hint="default"/>
      </w:rPr>
    </w:lvl>
    <w:lvl w:ilvl="8" w:tplc="E7ECC54A">
      <w:numFmt w:val="bullet"/>
      <w:lvlText w:val="•"/>
      <w:lvlJc w:val="left"/>
      <w:pPr>
        <w:ind w:left="2064" w:hanging="100"/>
      </w:pPr>
      <w:rPr>
        <w:rFonts w:hint="default"/>
      </w:rPr>
    </w:lvl>
  </w:abstractNum>
  <w:abstractNum w:abstractNumId="1364" w15:restartNumberingAfterBreak="0">
    <w:nsid w:val="544F2F59"/>
    <w:multiLevelType w:val="hybridMultilevel"/>
    <w:tmpl w:val="618C8FB0"/>
    <w:lvl w:ilvl="0" w:tplc="F3EC4AF6">
      <w:numFmt w:val="bullet"/>
      <w:lvlText w:val=""/>
      <w:lvlJc w:val="left"/>
      <w:pPr>
        <w:ind w:left="156" w:hanging="100"/>
      </w:pPr>
      <w:rPr>
        <w:rFonts w:ascii="Symbol" w:eastAsia="Symbol" w:hAnsi="Symbol" w:cs="Symbol" w:hint="default"/>
        <w:color w:val="231F20"/>
        <w:w w:val="100"/>
        <w:sz w:val="14"/>
        <w:szCs w:val="14"/>
      </w:rPr>
    </w:lvl>
    <w:lvl w:ilvl="1" w:tplc="554002AA">
      <w:numFmt w:val="bullet"/>
      <w:lvlText w:val="•"/>
      <w:lvlJc w:val="left"/>
      <w:pPr>
        <w:ind w:left="426" w:hanging="100"/>
      </w:pPr>
      <w:rPr>
        <w:rFonts w:hint="default"/>
      </w:rPr>
    </w:lvl>
    <w:lvl w:ilvl="2" w:tplc="6AE69150">
      <w:numFmt w:val="bullet"/>
      <w:lvlText w:val="•"/>
      <w:lvlJc w:val="left"/>
      <w:pPr>
        <w:ind w:left="692" w:hanging="100"/>
      </w:pPr>
      <w:rPr>
        <w:rFonts w:hint="default"/>
      </w:rPr>
    </w:lvl>
    <w:lvl w:ilvl="3" w:tplc="0EDA4726">
      <w:numFmt w:val="bullet"/>
      <w:lvlText w:val="•"/>
      <w:lvlJc w:val="left"/>
      <w:pPr>
        <w:ind w:left="959" w:hanging="100"/>
      </w:pPr>
      <w:rPr>
        <w:rFonts w:hint="default"/>
      </w:rPr>
    </w:lvl>
    <w:lvl w:ilvl="4" w:tplc="E444B5E0">
      <w:numFmt w:val="bullet"/>
      <w:lvlText w:val="•"/>
      <w:lvlJc w:val="left"/>
      <w:pPr>
        <w:ind w:left="1225" w:hanging="100"/>
      </w:pPr>
      <w:rPr>
        <w:rFonts w:hint="default"/>
      </w:rPr>
    </w:lvl>
    <w:lvl w:ilvl="5" w:tplc="DF3A4E78">
      <w:numFmt w:val="bullet"/>
      <w:lvlText w:val="•"/>
      <w:lvlJc w:val="left"/>
      <w:pPr>
        <w:ind w:left="1492" w:hanging="100"/>
      </w:pPr>
      <w:rPr>
        <w:rFonts w:hint="default"/>
      </w:rPr>
    </w:lvl>
    <w:lvl w:ilvl="6" w:tplc="B9E8A4C8">
      <w:numFmt w:val="bullet"/>
      <w:lvlText w:val="•"/>
      <w:lvlJc w:val="left"/>
      <w:pPr>
        <w:ind w:left="1758" w:hanging="100"/>
      </w:pPr>
      <w:rPr>
        <w:rFonts w:hint="default"/>
      </w:rPr>
    </w:lvl>
    <w:lvl w:ilvl="7" w:tplc="35D46B80">
      <w:numFmt w:val="bullet"/>
      <w:lvlText w:val="•"/>
      <w:lvlJc w:val="left"/>
      <w:pPr>
        <w:ind w:left="2024" w:hanging="100"/>
      </w:pPr>
      <w:rPr>
        <w:rFonts w:hint="default"/>
      </w:rPr>
    </w:lvl>
    <w:lvl w:ilvl="8" w:tplc="728AAFAE">
      <w:numFmt w:val="bullet"/>
      <w:lvlText w:val="•"/>
      <w:lvlJc w:val="left"/>
      <w:pPr>
        <w:ind w:left="2291" w:hanging="100"/>
      </w:pPr>
      <w:rPr>
        <w:rFonts w:hint="default"/>
      </w:rPr>
    </w:lvl>
  </w:abstractNum>
  <w:abstractNum w:abstractNumId="1365" w15:restartNumberingAfterBreak="0">
    <w:nsid w:val="54517030"/>
    <w:multiLevelType w:val="hybridMultilevel"/>
    <w:tmpl w:val="4D6A70D2"/>
    <w:lvl w:ilvl="0" w:tplc="B7ACF61E">
      <w:numFmt w:val="bullet"/>
      <w:lvlText w:val=""/>
      <w:lvlJc w:val="left"/>
      <w:pPr>
        <w:ind w:left="156" w:hanging="100"/>
      </w:pPr>
      <w:rPr>
        <w:rFonts w:ascii="Symbol" w:eastAsia="Symbol" w:hAnsi="Symbol" w:cs="Symbol" w:hint="default"/>
        <w:color w:val="231F20"/>
        <w:w w:val="100"/>
        <w:sz w:val="14"/>
        <w:szCs w:val="14"/>
      </w:rPr>
    </w:lvl>
    <w:lvl w:ilvl="1" w:tplc="838896EE">
      <w:numFmt w:val="bullet"/>
      <w:lvlText w:val="•"/>
      <w:lvlJc w:val="left"/>
      <w:pPr>
        <w:ind w:left="426" w:hanging="100"/>
      </w:pPr>
      <w:rPr>
        <w:rFonts w:hint="default"/>
      </w:rPr>
    </w:lvl>
    <w:lvl w:ilvl="2" w:tplc="B700FB82">
      <w:numFmt w:val="bullet"/>
      <w:lvlText w:val="•"/>
      <w:lvlJc w:val="left"/>
      <w:pPr>
        <w:ind w:left="692" w:hanging="100"/>
      </w:pPr>
      <w:rPr>
        <w:rFonts w:hint="default"/>
      </w:rPr>
    </w:lvl>
    <w:lvl w:ilvl="3" w:tplc="43D48B46">
      <w:numFmt w:val="bullet"/>
      <w:lvlText w:val="•"/>
      <w:lvlJc w:val="left"/>
      <w:pPr>
        <w:ind w:left="959" w:hanging="100"/>
      </w:pPr>
      <w:rPr>
        <w:rFonts w:hint="default"/>
      </w:rPr>
    </w:lvl>
    <w:lvl w:ilvl="4" w:tplc="9FE6D224">
      <w:numFmt w:val="bullet"/>
      <w:lvlText w:val="•"/>
      <w:lvlJc w:val="left"/>
      <w:pPr>
        <w:ind w:left="1225" w:hanging="100"/>
      </w:pPr>
      <w:rPr>
        <w:rFonts w:hint="default"/>
      </w:rPr>
    </w:lvl>
    <w:lvl w:ilvl="5" w:tplc="4BB49B84">
      <w:numFmt w:val="bullet"/>
      <w:lvlText w:val="•"/>
      <w:lvlJc w:val="left"/>
      <w:pPr>
        <w:ind w:left="1492" w:hanging="100"/>
      </w:pPr>
      <w:rPr>
        <w:rFonts w:hint="default"/>
      </w:rPr>
    </w:lvl>
    <w:lvl w:ilvl="6" w:tplc="AC0E433A">
      <w:numFmt w:val="bullet"/>
      <w:lvlText w:val="•"/>
      <w:lvlJc w:val="left"/>
      <w:pPr>
        <w:ind w:left="1758" w:hanging="100"/>
      </w:pPr>
      <w:rPr>
        <w:rFonts w:hint="default"/>
      </w:rPr>
    </w:lvl>
    <w:lvl w:ilvl="7" w:tplc="5F801CEC">
      <w:numFmt w:val="bullet"/>
      <w:lvlText w:val="•"/>
      <w:lvlJc w:val="left"/>
      <w:pPr>
        <w:ind w:left="2024" w:hanging="100"/>
      </w:pPr>
      <w:rPr>
        <w:rFonts w:hint="default"/>
      </w:rPr>
    </w:lvl>
    <w:lvl w:ilvl="8" w:tplc="F4F26ABC">
      <w:numFmt w:val="bullet"/>
      <w:lvlText w:val="•"/>
      <w:lvlJc w:val="left"/>
      <w:pPr>
        <w:ind w:left="2291" w:hanging="100"/>
      </w:pPr>
      <w:rPr>
        <w:rFonts w:hint="default"/>
      </w:rPr>
    </w:lvl>
  </w:abstractNum>
  <w:abstractNum w:abstractNumId="1366" w15:restartNumberingAfterBreak="0">
    <w:nsid w:val="54631CFE"/>
    <w:multiLevelType w:val="hybridMultilevel"/>
    <w:tmpl w:val="E0AA84F8"/>
    <w:lvl w:ilvl="0" w:tplc="ACE6A256">
      <w:numFmt w:val="bullet"/>
      <w:lvlText w:val=""/>
      <w:lvlJc w:val="left"/>
      <w:pPr>
        <w:ind w:left="157" w:hanging="100"/>
      </w:pPr>
      <w:rPr>
        <w:rFonts w:ascii="Symbol" w:eastAsia="Symbol" w:hAnsi="Symbol" w:cs="Symbol" w:hint="default"/>
        <w:color w:val="231F20"/>
        <w:w w:val="100"/>
        <w:sz w:val="14"/>
        <w:szCs w:val="14"/>
      </w:rPr>
    </w:lvl>
    <w:lvl w:ilvl="1" w:tplc="625E22E8">
      <w:numFmt w:val="bullet"/>
      <w:lvlText w:val="•"/>
      <w:lvlJc w:val="left"/>
      <w:pPr>
        <w:ind w:left="426" w:hanging="100"/>
      </w:pPr>
      <w:rPr>
        <w:rFonts w:hint="default"/>
      </w:rPr>
    </w:lvl>
    <w:lvl w:ilvl="2" w:tplc="7172B510">
      <w:numFmt w:val="bullet"/>
      <w:lvlText w:val="•"/>
      <w:lvlJc w:val="left"/>
      <w:pPr>
        <w:ind w:left="692" w:hanging="100"/>
      </w:pPr>
      <w:rPr>
        <w:rFonts w:hint="default"/>
      </w:rPr>
    </w:lvl>
    <w:lvl w:ilvl="3" w:tplc="9C76C432">
      <w:numFmt w:val="bullet"/>
      <w:lvlText w:val="•"/>
      <w:lvlJc w:val="left"/>
      <w:pPr>
        <w:ind w:left="959" w:hanging="100"/>
      </w:pPr>
      <w:rPr>
        <w:rFonts w:hint="default"/>
      </w:rPr>
    </w:lvl>
    <w:lvl w:ilvl="4" w:tplc="32428EA4">
      <w:numFmt w:val="bullet"/>
      <w:lvlText w:val="•"/>
      <w:lvlJc w:val="left"/>
      <w:pPr>
        <w:ind w:left="1225" w:hanging="100"/>
      </w:pPr>
      <w:rPr>
        <w:rFonts w:hint="default"/>
      </w:rPr>
    </w:lvl>
    <w:lvl w:ilvl="5" w:tplc="D558227C">
      <w:numFmt w:val="bullet"/>
      <w:lvlText w:val="•"/>
      <w:lvlJc w:val="left"/>
      <w:pPr>
        <w:ind w:left="1492" w:hanging="100"/>
      </w:pPr>
      <w:rPr>
        <w:rFonts w:hint="default"/>
      </w:rPr>
    </w:lvl>
    <w:lvl w:ilvl="6" w:tplc="527CC2EC">
      <w:numFmt w:val="bullet"/>
      <w:lvlText w:val="•"/>
      <w:lvlJc w:val="left"/>
      <w:pPr>
        <w:ind w:left="1758" w:hanging="100"/>
      </w:pPr>
      <w:rPr>
        <w:rFonts w:hint="default"/>
      </w:rPr>
    </w:lvl>
    <w:lvl w:ilvl="7" w:tplc="8B0E0CAA">
      <w:numFmt w:val="bullet"/>
      <w:lvlText w:val="•"/>
      <w:lvlJc w:val="left"/>
      <w:pPr>
        <w:ind w:left="2024" w:hanging="100"/>
      </w:pPr>
      <w:rPr>
        <w:rFonts w:hint="default"/>
      </w:rPr>
    </w:lvl>
    <w:lvl w:ilvl="8" w:tplc="41E6966C">
      <w:numFmt w:val="bullet"/>
      <w:lvlText w:val="•"/>
      <w:lvlJc w:val="left"/>
      <w:pPr>
        <w:ind w:left="2291" w:hanging="100"/>
      </w:pPr>
      <w:rPr>
        <w:rFonts w:hint="default"/>
      </w:rPr>
    </w:lvl>
  </w:abstractNum>
  <w:abstractNum w:abstractNumId="1367" w15:restartNumberingAfterBreak="0">
    <w:nsid w:val="5496404E"/>
    <w:multiLevelType w:val="hybridMultilevel"/>
    <w:tmpl w:val="4A9CA0AE"/>
    <w:lvl w:ilvl="0" w:tplc="B4F6E304">
      <w:numFmt w:val="bullet"/>
      <w:lvlText w:val=""/>
      <w:lvlJc w:val="left"/>
      <w:pPr>
        <w:ind w:left="156" w:hanging="100"/>
      </w:pPr>
      <w:rPr>
        <w:rFonts w:ascii="Symbol" w:eastAsia="Symbol" w:hAnsi="Symbol" w:cs="Symbol" w:hint="default"/>
        <w:color w:val="231F20"/>
        <w:w w:val="100"/>
        <w:sz w:val="14"/>
        <w:szCs w:val="14"/>
      </w:rPr>
    </w:lvl>
    <w:lvl w:ilvl="1" w:tplc="B07CF8C6">
      <w:numFmt w:val="bullet"/>
      <w:lvlText w:val="•"/>
      <w:lvlJc w:val="left"/>
      <w:pPr>
        <w:ind w:left="301" w:hanging="100"/>
      </w:pPr>
      <w:rPr>
        <w:rFonts w:hint="default"/>
      </w:rPr>
    </w:lvl>
    <w:lvl w:ilvl="2" w:tplc="5692ABD4">
      <w:numFmt w:val="bullet"/>
      <w:lvlText w:val="•"/>
      <w:lvlJc w:val="left"/>
      <w:pPr>
        <w:ind w:left="443" w:hanging="100"/>
      </w:pPr>
      <w:rPr>
        <w:rFonts w:hint="default"/>
      </w:rPr>
    </w:lvl>
    <w:lvl w:ilvl="3" w:tplc="7048FF4E">
      <w:numFmt w:val="bullet"/>
      <w:lvlText w:val="•"/>
      <w:lvlJc w:val="left"/>
      <w:pPr>
        <w:ind w:left="585" w:hanging="100"/>
      </w:pPr>
      <w:rPr>
        <w:rFonts w:hint="default"/>
      </w:rPr>
    </w:lvl>
    <w:lvl w:ilvl="4" w:tplc="F93ABA54">
      <w:numFmt w:val="bullet"/>
      <w:lvlText w:val="•"/>
      <w:lvlJc w:val="left"/>
      <w:pPr>
        <w:ind w:left="726" w:hanging="100"/>
      </w:pPr>
      <w:rPr>
        <w:rFonts w:hint="default"/>
      </w:rPr>
    </w:lvl>
    <w:lvl w:ilvl="5" w:tplc="D9901E22">
      <w:numFmt w:val="bullet"/>
      <w:lvlText w:val="•"/>
      <w:lvlJc w:val="left"/>
      <w:pPr>
        <w:ind w:left="868" w:hanging="100"/>
      </w:pPr>
      <w:rPr>
        <w:rFonts w:hint="default"/>
      </w:rPr>
    </w:lvl>
    <w:lvl w:ilvl="6" w:tplc="6FD261F6">
      <w:numFmt w:val="bullet"/>
      <w:lvlText w:val="•"/>
      <w:lvlJc w:val="left"/>
      <w:pPr>
        <w:ind w:left="1010" w:hanging="100"/>
      </w:pPr>
      <w:rPr>
        <w:rFonts w:hint="default"/>
      </w:rPr>
    </w:lvl>
    <w:lvl w:ilvl="7" w:tplc="A502B1CE">
      <w:numFmt w:val="bullet"/>
      <w:lvlText w:val="•"/>
      <w:lvlJc w:val="left"/>
      <w:pPr>
        <w:ind w:left="1151" w:hanging="100"/>
      </w:pPr>
      <w:rPr>
        <w:rFonts w:hint="default"/>
      </w:rPr>
    </w:lvl>
    <w:lvl w:ilvl="8" w:tplc="D2F48D60">
      <w:numFmt w:val="bullet"/>
      <w:lvlText w:val="•"/>
      <w:lvlJc w:val="left"/>
      <w:pPr>
        <w:ind w:left="1293" w:hanging="100"/>
      </w:pPr>
      <w:rPr>
        <w:rFonts w:hint="default"/>
      </w:rPr>
    </w:lvl>
  </w:abstractNum>
  <w:abstractNum w:abstractNumId="1368" w15:restartNumberingAfterBreak="0">
    <w:nsid w:val="54F1723D"/>
    <w:multiLevelType w:val="hybridMultilevel"/>
    <w:tmpl w:val="DF8A411E"/>
    <w:lvl w:ilvl="0" w:tplc="73948D30">
      <w:numFmt w:val="bullet"/>
      <w:lvlText w:val=""/>
      <w:lvlJc w:val="left"/>
      <w:pPr>
        <w:ind w:left="156" w:hanging="100"/>
      </w:pPr>
      <w:rPr>
        <w:rFonts w:ascii="Symbol" w:eastAsia="Symbol" w:hAnsi="Symbol" w:cs="Symbol" w:hint="default"/>
        <w:color w:val="231F20"/>
        <w:w w:val="100"/>
        <w:sz w:val="14"/>
        <w:szCs w:val="14"/>
      </w:rPr>
    </w:lvl>
    <w:lvl w:ilvl="1" w:tplc="CC822188">
      <w:numFmt w:val="bullet"/>
      <w:lvlText w:val="•"/>
      <w:lvlJc w:val="left"/>
      <w:pPr>
        <w:ind w:left="301" w:hanging="100"/>
      </w:pPr>
      <w:rPr>
        <w:rFonts w:hint="default"/>
      </w:rPr>
    </w:lvl>
    <w:lvl w:ilvl="2" w:tplc="E65AD030">
      <w:numFmt w:val="bullet"/>
      <w:lvlText w:val="•"/>
      <w:lvlJc w:val="left"/>
      <w:pPr>
        <w:ind w:left="443" w:hanging="100"/>
      </w:pPr>
      <w:rPr>
        <w:rFonts w:hint="default"/>
      </w:rPr>
    </w:lvl>
    <w:lvl w:ilvl="3" w:tplc="39888CA0">
      <w:numFmt w:val="bullet"/>
      <w:lvlText w:val="•"/>
      <w:lvlJc w:val="left"/>
      <w:pPr>
        <w:ind w:left="585" w:hanging="100"/>
      </w:pPr>
      <w:rPr>
        <w:rFonts w:hint="default"/>
      </w:rPr>
    </w:lvl>
    <w:lvl w:ilvl="4" w:tplc="675ED94E">
      <w:numFmt w:val="bullet"/>
      <w:lvlText w:val="•"/>
      <w:lvlJc w:val="left"/>
      <w:pPr>
        <w:ind w:left="726" w:hanging="100"/>
      </w:pPr>
      <w:rPr>
        <w:rFonts w:hint="default"/>
      </w:rPr>
    </w:lvl>
    <w:lvl w:ilvl="5" w:tplc="38E409A4">
      <w:numFmt w:val="bullet"/>
      <w:lvlText w:val="•"/>
      <w:lvlJc w:val="left"/>
      <w:pPr>
        <w:ind w:left="868" w:hanging="100"/>
      </w:pPr>
      <w:rPr>
        <w:rFonts w:hint="default"/>
      </w:rPr>
    </w:lvl>
    <w:lvl w:ilvl="6" w:tplc="49581428">
      <w:numFmt w:val="bullet"/>
      <w:lvlText w:val="•"/>
      <w:lvlJc w:val="left"/>
      <w:pPr>
        <w:ind w:left="1010" w:hanging="100"/>
      </w:pPr>
      <w:rPr>
        <w:rFonts w:hint="default"/>
      </w:rPr>
    </w:lvl>
    <w:lvl w:ilvl="7" w:tplc="90C6968E">
      <w:numFmt w:val="bullet"/>
      <w:lvlText w:val="•"/>
      <w:lvlJc w:val="left"/>
      <w:pPr>
        <w:ind w:left="1151" w:hanging="100"/>
      </w:pPr>
      <w:rPr>
        <w:rFonts w:hint="default"/>
      </w:rPr>
    </w:lvl>
    <w:lvl w:ilvl="8" w:tplc="40CE88D0">
      <w:numFmt w:val="bullet"/>
      <w:lvlText w:val="•"/>
      <w:lvlJc w:val="left"/>
      <w:pPr>
        <w:ind w:left="1293" w:hanging="100"/>
      </w:pPr>
      <w:rPr>
        <w:rFonts w:hint="default"/>
      </w:rPr>
    </w:lvl>
  </w:abstractNum>
  <w:abstractNum w:abstractNumId="1369" w15:restartNumberingAfterBreak="0">
    <w:nsid w:val="54F91F83"/>
    <w:multiLevelType w:val="hybridMultilevel"/>
    <w:tmpl w:val="499C46AE"/>
    <w:lvl w:ilvl="0" w:tplc="0630D2B2">
      <w:numFmt w:val="bullet"/>
      <w:lvlText w:val=""/>
      <w:lvlJc w:val="left"/>
      <w:pPr>
        <w:ind w:left="156" w:hanging="100"/>
      </w:pPr>
      <w:rPr>
        <w:rFonts w:ascii="Symbol" w:eastAsia="Symbol" w:hAnsi="Symbol" w:cs="Symbol" w:hint="default"/>
        <w:color w:val="231F20"/>
        <w:w w:val="100"/>
        <w:sz w:val="14"/>
        <w:szCs w:val="14"/>
      </w:rPr>
    </w:lvl>
    <w:lvl w:ilvl="1" w:tplc="6D14173A">
      <w:numFmt w:val="bullet"/>
      <w:lvlText w:val="•"/>
      <w:lvlJc w:val="left"/>
      <w:pPr>
        <w:ind w:left="301" w:hanging="100"/>
      </w:pPr>
      <w:rPr>
        <w:rFonts w:hint="default"/>
      </w:rPr>
    </w:lvl>
    <w:lvl w:ilvl="2" w:tplc="759683FA">
      <w:numFmt w:val="bullet"/>
      <w:lvlText w:val="•"/>
      <w:lvlJc w:val="left"/>
      <w:pPr>
        <w:ind w:left="443" w:hanging="100"/>
      </w:pPr>
      <w:rPr>
        <w:rFonts w:hint="default"/>
      </w:rPr>
    </w:lvl>
    <w:lvl w:ilvl="3" w:tplc="85D8595A">
      <w:numFmt w:val="bullet"/>
      <w:lvlText w:val="•"/>
      <w:lvlJc w:val="left"/>
      <w:pPr>
        <w:ind w:left="585" w:hanging="100"/>
      </w:pPr>
      <w:rPr>
        <w:rFonts w:hint="default"/>
      </w:rPr>
    </w:lvl>
    <w:lvl w:ilvl="4" w:tplc="3C54DFFE">
      <w:numFmt w:val="bullet"/>
      <w:lvlText w:val="•"/>
      <w:lvlJc w:val="left"/>
      <w:pPr>
        <w:ind w:left="726" w:hanging="100"/>
      </w:pPr>
      <w:rPr>
        <w:rFonts w:hint="default"/>
      </w:rPr>
    </w:lvl>
    <w:lvl w:ilvl="5" w:tplc="D2AA5FFC">
      <w:numFmt w:val="bullet"/>
      <w:lvlText w:val="•"/>
      <w:lvlJc w:val="left"/>
      <w:pPr>
        <w:ind w:left="868" w:hanging="100"/>
      </w:pPr>
      <w:rPr>
        <w:rFonts w:hint="default"/>
      </w:rPr>
    </w:lvl>
    <w:lvl w:ilvl="6" w:tplc="A4F280BE">
      <w:numFmt w:val="bullet"/>
      <w:lvlText w:val="•"/>
      <w:lvlJc w:val="left"/>
      <w:pPr>
        <w:ind w:left="1010" w:hanging="100"/>
      </w:pPr>
      <w:rPr>
        <w:rFonts w:hint="default"/>
      </w:rPr>
    </w:lvl>
    <w:lvl w:ilvl="7" w:tplc="79C645AE">
      <w:numFmt w:val="bullet"/>
      <w:lvlText w:val="•"/>
      <w:lvlJc w:val="left"/>
      <w:pPr>
        <w:ind w:left="1151" w:hanging="100"/>
      </w:pPr>
      <w:rPr>
        <w:rFonts w:hint="default"/>
      </w:rPr>
    </w:lvl>
    <w:lvl w:ilvl="8" w:tplc="89609A00">
      <w:numFmt w:val="bullet"/>
      <w:lvlText w:val="•"/>
      <w:lvlJc w:val="left"/>
      <w:pPr>
        <w:ind w:left="1293" w:hanging="100"/>
      </w:pPr>
      <w:rPr>
        <w:rFonts w:hint="default"/>
      </w:rPr>
    </w:lvl>
  </w:abstractNum>
  <w:abstractNum w:abstractNumId="1370" w15:restartNumberingAfterBreak="0">
    <w:nsid w:val="55060EAC"/>
    <w:multiLevelType w:val="hybridMultilevel"/>
    <w:tmpl w:val="0F92CBF4"/>
    <w:lvl w:ilvl="0" w:tplc="0B5E5A62">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FF26E3BA">
      <w:numFmt w:val="bullet"/>
      <w:lvlText w:val="•"/>
      <w:lvlJc w:val="left"/>
      <w:pPr>
        <w:ind w:left="351" w:hanging="84"/>
      </w:pPr>
      <w:rPr>
        <w:rFonts w:hint="default"/>
      </w:rPr>
    </w:lvl>
    <w:lvl w:ilvl="2" w:tplc="D660A2DA">
      <w:numFmt w:val="bullet"/>
      <w:lvlText w:val="•"/>
      <w:lvlJc w:val="left"/>
      <w:pPr>
        <w:ind w:left="563" w:hanging="84"/>
      </w:pPr>
      <w:rPr>
        <w:rFonts w:hint="default"/>
      </w:rPr>
    </w:lvl>
    <w:lvl w:ilvl="3" w:tplc="FDC2B7F0">
      <w:numFmt w:val="bullet"/>
      <w:lvlText w:val="•"/>
      <w:lvlJc w:val="left"/>
      <w:pPr>
        <w:ind w:left="775" w:hanging="84"/>
      </w:pPr>
      <w:rPr>
        <w:rFonts w:hint="default"/>
      </w:rPr>
    </w:lvl>
    <w:lvl w:ilvl="4" w:tplc="1F0ED72C">
      <w:numFmt w:val="bullet"/>
      <w:lvlText w:val="•"/>
      <w:lvlJc w:val="left"/>
      <w:pPr>
        <w:ind w:left="986" w:hanging="84"/>
      </w:pPr>
      <w:rPr>
        <w:rFonts w:hint="default"/>
      </w:rPr>
    </w:lvl>
    <w:lvl w:ilvl="5" w:tplc="34480B34">
      <w:numFmt w:val="bullet"/>
      <w:lvlText w:val="•"/>
      <w:lvlJc w:val="left"/>
      <w:pPr>
        <w:ind w:left="1198" w:hanging="84"/>
      </w:pPr>
      <w:rPr>
        <w:rFonts w:hint="default"/>
      </w:rPr>
    </w:lvl>
    <w:lvl w:ilvl="6" w:tplc="15A25A82">
      <w:numFmt w:val="bullet"/>
      <w:lvlText w:val="•"/>
      <w:lvlJc w:val="left"/>
      <w:pPr>
        <w:ind w:left="1410" w:hanging="84"/>
      </w:pPr>
      <w:rPr>
        <w:rFonts w:hint="default"/>
      </w:rPr>
    </w:lvl>
    <w:lvl w:ilvl="7" w:tplc="92C87A66">
      <w:numFmt w:val="bullet"/>
      <w:lvlText w:val="•"/>
      <w:lvlJc w:val="left"/>
      <w:pPr>
        <w:ind w:left="1621" w:hanging="84"/>
      </w:pPr>
      <w:rPr>
        <w:rFonts w:hint="default"/>
      </w:rPr>
    </w:lvl>
    <w:lvl w:ilvl="8" w:tplc="FC8C0F5C">
      <w:numFmt w:val="bullet"/>
      <w:lvlText w:val="•"/>
      <w:lvlJc w:val="left"/>
      <w:pPr>
        <w:ind w:left="1833" w:hanging="84"/>
      </w:pPr>
      <w:rPr>
        <w:rFonts w:hint="default"/>
      </w:rPr>
    </w:lvl>
  </w:abstractNum>
  <w:abstractNum w:abstractNumId="1371" w15:restartNumberingAfterBreak="0">
    <w:nsid w:val="550C0002"/>
    <w:multiLevelType w:val="hybridMultilevel"/>
    <w:tmpl w:val="F9F60A50"/>
    <w:lvl w:ilvl="0" w:tplc="E786892C">
      <w:numFmt w:val="bullet"/>
      <w:lvlText w:val=""/>
      <w:lvlJc w:val="left"/>
      <w:pPr>
        <w:ind w:left="156" w:hanging="100"/>
      </w:pPr>
      <w:rPr>
        <w:rFonts w:ascii="Symbol" w:eastAsia="Symbol" w:hAnsi="Symbol" w:cs="Symbol" w:hint="default"/>
        <w:color w:val="231F20"/>
        <w:w w:val="100"/>
        <w:sz w:val="14"/>
        <w:szCs w:val="14"/>
      </w:rPr>
    </w:lvl>
    <w:lvl w:ilvl="1" w:tplc="FE5229BC">
      <w:numFmt w:val="bullet"/>
      <w:lvlText w:val="•"/>
      <w:lvlJc w:val="left"/>
      <w:pPr>
        <w:ind w:left="454" w:hanging="100"/>
      </w:pPr>
      <w:rPr>
        <w:rFonts w:hint="default"/>
      </w:rPr>
    </w:lvl>
    <w:lvl w:ilvl="2" w:tplc="88FEFE5C">
      <w:numFmt w:val="bullet"/>
      <w:lvlText w:val="•"/>
      <w:lvlJc w:val="left"/>
      <w:pPr>
        <w:ind w:left="749" w:hanging="100"/>
      </w:pPr>
      <w:rPr>
        <w:rFonts w:hint="default"/>
      </w:rPr>
    </w:lvl>
    <w:lvl w:ilvl="3" w:tplc="AD9CC87A">
      <w:numFmt w:val="bullet"/>
      <w:lvlText w:val="•"/>
      <w:lvlJc w:val="left"/>
      <w:pPr>
        <w:ind w:left="1044" w:hanging="100"/>
      </w:pPr>
      <w:rPr>
        <w:rFonts w:hint="default"/>
      </w:rPr>
    </w:lvl>
    <w:lvl w:ilvl="4" w:tplc="6DEC90D6">
      <w:numFmt w:val="bullet"/>
      <w:lvlText w:val="•"/>
      <w:lvlJc w:val="left"/>
      <w:pPr>
        <w:ind w:left="1339" w:hanging="100"/>
      </w:pPr>
      <w:rPr>
        <w:rFonts w:hint="default"/>
      </w:rPr>
    </w:lvl>
    <w:lvl w:ilvl="5" w:tplc="DF1E1962">
      <w:numFmt w:val="bullet"/>
      <w:lvlText w:val="•"/>
      <w:lvlJc w:val="left"/>
      <w:pPr>
        <w:ind w:left="1634" w:hanging="100"/>
      </w:pPr>
      <w:rPr>
        <w:rFonts w:hint="default"/>
      </w:rPr>
    </w:lvl>
    <w:lvl w:ilvl="6" w:tplc="3774B6E8">
      <w:numFmt w:val="bullet"/>
      <w:lvlText w:val="•"/>
      <w:lvlJc w:val="left"/>
      <w:pPr>
        <w:ind w:left="1928" w:hanging="100"/>
      </w:pPr>
      <w:rPr>
        <w:rFonts w:hint="default"/>
      </w:rPr>
    </w:lvl>
    <w:lvl w:ilvl="7" w:tplc="4FB09B82">
      <w:numFmt w:val="bullet"/>
      <w:lvlText w:val="•"/>
      <w:lvlJc w:val="left"/>
      <w:pPr>
        <w:ind w:left="2223" w:hanging="100"/>
      </w:pPr>
      <w:rPr>
        <w:rFonts w:hint="default"/>
      </w:rPr>
    </w:lvl>
    <w:lvl w:ilvl="8" w:tplc="6E8C7F52">
      <w:numFmt w:val="bullet"/>
      <w:lvlText w:val="•"/>
      <w:lvlJc w:val="left"/>
      <w:pPr>
        <w:ind w:left="2518" w:hanging="100"/>
      </w:pPr>
      <w:rPr>
        <w:rFonts w:hint="default"/>
      </w:rPr>
    </w:lvl>
  </w:abstractNum>
  <w:abstractNum w:abstractNumId="1372" w15:restartNumberingAfterBreak="0">
    <w:nsid w:val="551960D4"/>
    <w:multiLevelType w:val="hybridMultilevel"/>
    <w:tmpl w:val="DE34FE96"/>
    <w:lvl w:ilvl="0" w:tplc="47BC87CA">
      <w:numFmt w:val="bullet"/>
      <w:lvlText w:val=""/>
      <w:lvlJc w:val="left"/>
      <w:pPr>
        <w:ind w:left="156" w:hanging="100"/>
      </w:pPr>
      <w:rPr>
        <w:rFonts w:ascii="Symbol" w:eastAsia="Symbol" w:hAnsi="Symbol" w:cs="Symbol" w:hint="default"/>
        <w:color w:val="231F20"/>
        <w:w w:val="100"/>
        <w:sz w:val="14"/>
        <w:szCs w:val="14"/>
      </w:rPr>
    </w:lvl>
    <w:lvl w:ilvl="1" w:tplc="DE1EB15A">
      <w:numFmt w:val="bullet"/>
      <w:lvlText w:val="•"/>
      <w:lvlJc w:val="left"/>
      <w:pPr>
        <w:ind w:left="426" w:hanging="100"/>
      </w:pPr>
      <w:rPr>
        <w:rFonts w:hint="default"/>
      </w:rPr>
    </w:lvl>
    <w:lvl w:ilvl="2" w:tplc="50CCF430">
      <w:numFmt w:val="bullet"/>
      <w:lvlText w:val="•"/>
      <w:lvlJc w:val="left"/>
      <w:pPr>
        <w:ind w:left="692" w:hanging="100"/>
      </w:pPr>
      <w:rPr>
        <w:rFonts w:hint="default"/>
      </w:rPr>
    </w:lvl>
    <w:lvl w:ilvl="3" w:tplc="742E6C6E">
      <w:numFmt w:val="bullet"/>
      <w:lvlText w:val="•"/>
      <w:lvlJc w:val="left"/>
      <w:pPr>
        <w:ind w:left="959" w:hanging="100"/>
      </w:pPr>
      <w:rPr>
        <w:rFonts w:hint="default"/>
      </w:rPr>
    </w:lvl>
    <w:lvl w:ilvl="4" w:tplc="2FB47FD4">
      <w:numFmt w:val="bullet"/>
      <w:lvlText w:val="•"/>
      <w:lvlJc w:val="left"/>
      <w:pPr>
        <w:ind w:left="1225" w:hanging="100"/>
      </w:pPr>
      <w:rPr>
        <w:rFonts w:hint="default"/>
      </w:rPr>
    </w:lvl>
    <w:lvl w:ilvl="5" w:tplc="5B22A668">
      <w:numFmt w:val="bullet"/>
      <w:lvlText w:val="•"/>
      <w:lvlJc w:val="left"/>
      <w:pPr>
        <w:ind w:left="1492" w:hanging="100"/>
      </w:pPr>
      <w:rPr>
        <w:rFonts w:hint="default"/>
      </w:rPr>
    </w:lvl>
    <w:lvl w:ilvl="6" w:tplc="6C380992">
      <w:numFmt w:val="bullet"/>
      <w:lvlText w:val="•"/>
      <w:lvlJc w:val="left"/>
      <w:pPr>
        <w:ind w:left="1758" w:hanging="100"/>
      </w:pPr>
      <w:rPr>
        <w:rFonts w:hint="default"/>
      </w:rPr>
    </w:lvl>
    <w:lvl w:ilvl="7" w:tplc="61C064D4">
      <w:numFmt w:val="bullet"/>
      <w:lvlText w:val="•"/>
      <w:lvlJc w:val="left"/>
      <w:pPr>
        <w:ind w:left="2024" w:hanging="100"/>
      </w:pPr>
      <w:rPr>
        <w:rFonts w:hint="default"/>
      </w:rPr>
    </w:lvl>
    <w:lvl w:ilvl="8" w:tplc="9A983EE6">
      <w:numFmt w:val="bullet"/>
      <w:lvlText w:val="•"/>
      <w:lvlJc w:val="left"/>
      <w:pPr>
        <w:ind w:left="2291" w:hanging="100"/>
      </w:pPr>
      <w:rPr>
        <w:rFonts w:hint="default"/>
      </w:rPr>
    </w:lvl>
  </w:abstractNum>
  <w:abstractNum w:abstractNumId="1373" w15:restartNumberingAfterBreak="0">
    <w:nsid w:val="55264E4E"/>
    <w:multiLevelType w:val="hybridMultilevel"/>
    <w:tmpl w:val="94F2AB0A"/>
    <w:lvl w:ilvl="0" w:tplc="35E60E4C">
      <w:numFmt w:val="bullet"/>
      <w:lvlText w:val=""/>
      <w:lvlJc w:val="left"/>
      <w:pPr>
        <w:ind w:left="157" w:hanging="100"/>
      </w:pPr>
      <w:rPr>
        <w:rFonts w:ascii="Symbol" w:eastAsia="Symbol" w:hAnsi="Symbol" w:cs="Symbol" w:hint="default"/>
        <w:color w:val="231F20"/>
        <w:w w:val="100"/>
        <w:sz w:val="14"/>
        <w:szCs w:val="14"/>
      </w:rPr>
    </w:lvl>
    <w:lvl w:ilvl="1" w:tplc="DB9C8CE4">
      <w:numFmt w:val="bullet"/>
      <w:lvlText w:val="•"/>
      <w:lvlJc w:val="left"/>
      <w:pPr>
        <w:ind w:left="426" w:hanging="100"/>
      </w:pPr>
      <w:rPr>
        <w:rFonts w:hint="default"/>
      </w:rPr>
    </w:lvl>
    <w:lvl w:ilvl="2" w:tplc="B3DEE396">
      <w:numFmt w:val="bullet"/>
      <w:lvlText w:val="•"/>
      <w:lvlJc w:val="left"/>
      <w:pPr>
        <w:ind w:left="692" w:hanging="100"/>
      </w:pPr>
      <w:rPr>
        <w:rFonts w:hint="default"/>
      </w:rPr>
    </w:lvl>
    <w:lvl w:ilvl="3" w:tplc="7CB0E9B4">
      <w:numFmt w:val="bullet"/>
      <w:lvlText w:val="•"/>
      <w:lvlJc w:val="left"/>
      <w:pPr>
        <w:ind w:left="959" w:hanging="100"/>
      </w:pPr>
      <w:rPr>
        <w:rFonts w:hint="default"/>
      </w:rPr>
    </w:lvl>
    <w:lvl w:ilvl="4" w:tplc="447E1B86">
      <w:numFmt w:val="bullet"/>
      <w:lvlText w:val="•"/>
      <w:lvlJc w:val="left"/>
      <w:pPr>
        <w:ind w:left="1225" w:hanging="100"/>
      </w:pPr>
      <w:rPr>
        <w:rFonts w:hint="default"/>
      </w:rPr>
    </w:lvl>
    <w:lvl w:ilvl="5" w:tplc="6C767F60">
      <w:numFmt w:val="bullet"/>
      <w:lvlText w:val="•"/>
      <w:lvlJc w:val="left"/>
      <w:pPr>
        <w:ind w:left="1492" w:hanging="100"/>
      </w:pPr>
      <w:rPr>
        <w:rFonts w:hint="default"/>
      </w:rPr>
    </w:lvl>
    <w:lvl w:ilvl="6" w:tplc="0174382C">
      <w:numFmt w:val="bullet"/>
      <w:lvlText w:val="•"/>
      <w:lvlJc w:val="left"/>
      <w:pPr>
        <w:ind w:left="1758" w:hanging="100"/>
      </w:pPr>
      <w:rPr>
        <w:rFonts w:hint="default"/>
      </w:rPr>
    </w:lvl>
    <w:lvl w:ilvl="7" w:tplc="8296584E">
      <w:numFmt w:val="bullet"/>
      <w:lvlText w:val="•"/>
      <w:lvlJc w:val="left"/>
      <w:pPr>
        <w:ind w:left="2024" w:hanging="100"/>
      </w:pPr>
      <w:rPr>
        <w:rFonts w:hint="default"/>
      </w:rPr>
    </w:lvl>
    <w:lvl w:ilvl="8" w:tplc="071E484C">
      <w:numFmt w:val="bullet"/>
      <w:lvlText w:val="•"/>
      <w:lvlJc w:val="left"/>
      <w:pPr>
        <w:ind w:left="2291" w:hanging="100"/>
      </w:pPr>
      <w:rPr>
        <w:rFonts w:hint="default"/>
      </w:rPr>
    </w:lvl>
  </w:abstractNum>
  <w:abstractNum w:abstractNumId="1374" w15:restartNumberingAfterBreak="0">
    <w:nsid w:val="553060CD"/>
    <w:multiLevelType w:val="hybridMultilevel"/>
    <w:tmpl w:val="E678251C"/>
    <w:lvl w:ilvl="0" w:tplc="EA5EA15C">
      <w:numFmt w:val="bullet"/>
      <w:lvlText w:val=""/>
      <w:lvlJc w:val="left"/>
      <w:pPr>
        <w:ind w:left="157" w:hanging="100"/>
      </w:pPr>
      <w:rPr>
        <w:rFonts w:ascii="Symbol" w:eastAsia="Symbol" w:hAnsi="Symbol" w:cs="Symbol" w:hint="default"/>
        <w:color w:val="231F20"/>
        <w:w w:val="100"/>
        <w:sz w:val="14"/>
        <w:szCs w:val="14"/>
      </w:rPr>
    </w:lvl>
    <w:lvl w:ilvl="1" w:tplc="B73E5DC4">
      <w:numFmt w:val="bullet"/>
      <w:lvlText w:val="•"/>
      <w:lvlJc w:val="left"/>
      <w:pPr>
        <w:ind w:left="369" w:hanging="100"/>
      </w:pPr>
      <w:rPr>
        <w:rFonts w:hint="default"/>
      </w:rPr>
    </w:lvl>
    <w:lvl w:ilvl="2" w:tplc="9D8A2F60">
      <w:numFmt w:val="bullet"/>
      <w:lvlText w:val="•"/>
      <w:lvlJc w:val="left"/>
      <w:pPr>
        <w:ind w:left="579" w:hanging="100"/>
      </w:pPr>
      <w:rPr>
        <w:rFonts w:hint="default"/>
      </w:rPr>
    </w:lvl>
    <w:lvl w:ilvl="3" w:tplc="DF487ABA">
      <w:numFmt w:val="bullet"/>
      <w:lvlText w:val="•"/>
      <w:lvlJc w:val="left"/>
      <w:pPr>
        <w:ind w:left="789" w:hanging="100"/>
      </w:pPr>
      <w:rPr>
        <w:rFonts w:hint="default"/>
      </w:rPr>
    </w:lvl>
    <w:lvl w:ilvl="4" w:tplc="A61E6F6A">
      <w:numFmt w:val="bullet"/>
      <w:lvlText w:val="•"/>
      <w:lvlJc w:val="left"/>
      <w:pPr>
        <w:ind w:left="998" w:hanging="100"/>
      </w:pPr>
      <w:rPr>
        <w:rFonts w:hint="default"/>
      </w:rPr>
    </w:lvl>
    <w:lvl w:ilvl="5" w:tplc="CED43A20">
      <w:numFmt w:val="bullet"/>
      <w:lvlText w:val="•"/>
      <w:lvlJc w:val="left"/>
      <w:pPr>
        <w:ind w:left="1208" w:hanging="100"/>
      </w:pPr>
      <w:rPr>
        <w:rFonts w:hint="default"/>
      </w:rPr>
    </w:lvl>
    <w:lvl w:ilvl="6" w:tplc="55B67BF0">
      <w:numFmt w:val="bullet"/>
      <w:lvlText w:val="•"/>
      <w:lvlJc w:val="left"/>
      <w:pPr>
        <w:ind w:left="1418" w:hanging="100"/>
      </w:pPr>
      <w:rPr>
        <w:rFonts w:hint="default"/>
      </w:rPr>
    </w:lvl>
    <w:lvl w:ilvl="7" w:tplc="0F548A7E">
      <w:numFmt w:val="bullet"/>
      <w:lvlText w:val="•"/>
      <w:lvlJc w:val="left"/>
      <w:pPr>
        <w:ind w:left="1627" w:hanging="100"/>
      </w:pPr>
      <w:rPr>
        <w:rFonts w:hint="default"/>
      </w:rPr>
    </w:lvl>
    <w:lvl w:ilvl="8" w:tplc="99D89430">
      <w:numFmt w:val="bullet"/>
      <w:lvlText w:val="•"/>
      <w:lvlJc w:val="left"/>
      <w:pPr>
        <w:ind w:left="1837" w:hanging="100"/>
      </w:pPr>
      <w:rPr>
        <w:rFonts w:hint="default"/>
      </w:rPr>
    </w:lvl>
  </w:abstractNum>
  <w:abstractNum w:abstractNumId="1375" w15:restartNumberingAfterBreak="0">
    <w:nsid w:val="553468B4"/>
    <w:multiLevelType w:val="hybridMultilevel"/>
    <w:tmpl w:val="09B848C6"/>
    <w:lvl w:ilvl="0" w:tplc="46B4EA74">
      <w:numFmt w:val="bullet"/>
      <w:lvlText w:val=""/>
      <w:lvlJc w:val="left"/>
      <w:pPr>
        <w:ind w:left="156" w:hanging="100"/>
      </w:pPr>
      <w:rPr>
        <w:rFonts w:ascii="Symbol" w:eastAsia="Symbol" w:hAnsi="Symbol" w:cs="Symbol" w:hint="default"/>
        <w:color w:val="231F20"/>
        <w:w w:val="100"/>
        <w:sz w:val="14"/>
        <w:szCs w:val="14"/>
      </w:rPr>
    </w:lvl>
    <w:lvl w:ilvl="1" w:tplc="E15894E0">
      <w:numFmt w:val="bullet"/>
      <w:lvlText w:val="•"/>
      <w:lvlJc w:val="left"/>
      <w:pPr>
        <w:ind w:left="398" w:hanging="100"/>
      </w:pPr>
      <w:rPr>
        <w:rFonts w:hint="default"/>
      </w:rPr>
    </w:lvl>
    <w:lvl w:ilvl="2" w:tplc="BCE88D86">
      <w:numFmt w:val="bullet"/>
      <w:lvlText w:val="•"/>
      <w:lvlJc w:val="left"/>
      <w:pPr>
        <w:ind w:left="636" w:hanging="100"/>
      </w:pPr>
      <w:rPr>
        <w:rFonts w:hint="default"/>
      </w:rPr>
    </w:lvl>
    <w:lvl w:ilvl="3" w:tplc="DB3E515E">
      <w:numFmt w:val="bullet"/>
      <w:lvlText w:val="•"/>
      <w:lvlJc w:val="left"/>
      <w:pPr>
        <w:ind w:left="874" w:hanging="100"/>
      </w:pPr>
      <w:rPr>
        <w:rFonts w:hint="default"/>
      </w:rPr>
    </w:lvl>
    <w:lvl w:ilvl="4" w:tplc="FBB4E426">
      <w:numFmt w:val="bullet"/>
      <w:lvlText w:val="•"/>
      <w:lvlJc w:val="left"/>
      <w:pPr>
        <w:ind w:left="1112" w:hanging="100"/>
      </w:pPr>
      <w:rPr>
        <w:rFonts w:hint="default"/>
      </w:rPr>
    </w:lvl>
    <w:lvl w:ilvl="5" w:tplc="1EDE9540">
      <w:numFmt w:val="bullet"/>
      <w:lvlText w:val="•"/>
      <w:lvlJc w:val="left"/>
      <w:pPr>
        <w:ind w:left="1350" w:hanging="100"/>
      </w:pPr>
      <w:rPr>
        <w:rFonts w:hint="default"/>
      </w:rPr>
    </w:lvl>
    <w:lvl w:ilvl="6" w:tplc="27D8EFF8">
      <w:numFmt w:val="bullet"/>
      <w:lvlText w:val="•"/>
      <w:lvlJc w:val="left"/>
      <w:pPr>
        <w:ind w:left="1588" w:hanging="100"/>
      </w:pPr>
      <w:rPr>
        <w:rFonts w:hint="default"/>
      </w:rPr>
    </w:lvl>
    <w:lvl w:ilvl="7" w:tplc="AA10B5F8">
      <w:numFmt w:val="bullet"/>
      <w:lvlText w:val="•"/>
      <w:lvlJc w:val="left"/>
      <w:pPr>
        <w:ind w:left="1826" w:hanging="100"/>
      </w:pPr>
      <w:rPr>
        <w:rFonts w:hint="default"/>
      </w:rPr>
    </w:lvl>
    <w:lvl w:ilvl="8" w:tplc="6D02529E">
      <w:numFmt w:val="bullet"/>
      <w:lvlText w:val="•"/>
      <w:lvlJc w:val="left"/>
      <w:pPr>
        <w:ind w:left="2064" w:hanging="100"/>
      </w:pPr>
      <w:rPr>
        <w:rFonts w:hint="default"/>
      </w:rPr>
    </w:lvl>
  </w:abstractNum>
  <w:abstractNum w:abstractNumId="1376" w15:restartNumberingAfterBreak="0">
    <w:nsid w:val="555A1404"/>
    <w:multiLevelType w:val="hybridMultilevel"/>
    <w:tmpl w:val="411EA940"/>
    <w:lvl w:ilvl="0" w:tplc="9F3683A8">
      <w:numFmt w:val="bullet"/>
      <w:lvlText w:val=""/>
      <w:lvlJc w:val="left"/>
      <w:pPr>
        <w:ind w:left="156" w:hanging="100"/>
      </w:pPr>
      <w:rPr>
        <w:rFonts w:ascii="Symbol" w:eastAsia="Symbol" w:hAnsi="Symbol" w:cs="Symbol" w:hint="default"/>
        <w:color w:val="231F20"/>
        <w:w w:val="100"/>
        <w:sz w:val="14"/>
        <w:szCs w:val="14"/>
      </w:rPr>
    </w:lvl>
    <w:lvl w:ilvl="1" w:tplc="3DEA82E6">
      <w:numFmt w:val="bullet"/>
      <w:lvlText w:val="•"/>
      <w:lvlJc w:val="left"/>
      <w:pPr>
        <w:ind w:left="398" w:hanging="100"/>
      </w:pPr>
      <w:rPr>
        <w:rFonts w:hint="default"/>
      </w:rPr>
    </w:lvl>
    <w:lvl w:ilvl="2" w:tplc="3A7E4EC0">
      <w:numFmt w:val="bullet"/>
      <w:lvlText w:val="•"/>
      <w:lvlJc w:val="left"/>
      <w:pPr>
        <w:ind w:left="636" w:hanging="100"/>
      </w:pPr>
      <w:rPr>
        <w:rFonts w:hint="default"/>
      </w:rPr>
    </w:lvl>
    <w:lvl w:ilvl="3" w:tplc="72D6E576">
      <w:numFmt w:val="bullet"/>
      <w:lvlText w:val="•"/>
      <w:lvlJc w:val="left"/>
      <w:pPr>
        <w:ind w:left="874" w:hanging="100"/>
      </w:pPr>
      <w:rPr>
        <w:rFonts w:hint="default"/>
      </w:rPr>
    </w:lvl>
    <w:lvl w:ilvl="4" w:tplc="833E5170">
      <w:numFmt w:val="bullet"/>
      <w:lvlText w:val="•"/>
      <w:lvlJc w:val="left"/>
      <w:pPr>
        <w:ind w:left="1112" w:hanging="100"/>
      </w:pPr>
      <w:rPr>
        <w:rFonts w:hint="default"/>
      </w:rPr>
    </w:lvl>
    <w:lvl w:ilvl="5" w:tplc="A0C89FB8">
      <w:numFmt w:val="bullet"/>
      <w:lvlText w:val="•"/>
      <w:lvlJc w:val="left"/>
      <w:pPr>
        <w:ind w:left="1350" w:hanging="100"/>
      </w:pPr>
      <w:rPr>
        <w:rFonts w:hint="default"/>
      </w:rPr>
    </w:lvl>
    <w:lvl w:ilvl="6" w:tplc="D7EABB6E">
      <w:numFmt w:val="bullet"/>
      <w:lvlText w:val="•"/>
      <w:lvlJc w:val="left"/>
      <w:pPr>
        <w:ind w:left="1588" w:hanging="100"/>
      </w:pPr>
      <w:rPr>
        <w:rFonts w:hint="default"/>
      </w:rPr>
    </w:lvl>
    <w:lvl w:ilvl="7" w:tplc="0C78ABCE">
      <w:numFmt w:val="bullet"/>
      <w:lvlText w:val="•"/>
      <w:lvlJc w:val="left"/>
      <w:pPr>
        <w:ind w:left="1826" w:hanging="100"/>
      </w:pPr>
      <w:rPr>
        <w:rFonts w:hint="default"/>
      </w:rPr>
    </w:lvl>
    <w:lvl w:ilvl="8" w:tplc="7CF64E34">
      <w:numFmt w:val="bullet"/>
      <w:lvlText w:val="•"/>
      <w:lvlJc w:val="left"/>
      <w:pPr>
        <w:ind w:left="2064" w:hanging="100"/>
      </w:pPr>
      <w:rPr>
        <w:rFonts w:hint="default"/>
      </w:rPr>
    </w:lvl>
  </w:abstractNum>
  <w:abstractNum w:abstractNumId="1377" w15:restartNumberingAfterBreak="0">
    <w:nsid w:val="55723275"/>
    <w:multiLevelType w:val="hybridMultilevel"/>
    <w:tmpl w:val="0430E48E"/>
    <w:lvl w:ilvl="0" w:tplc="C68463D0">
      <w:numFmt w:val="bullet"/>
      <w:lvlText w:val=""/>
      <w:lvlJc w:val="left"/>
      <w:pPr>
        <w:ind w:left="156" w:hanging="100"/>
      </w:pPr>
      <w:rPr>
        <w:rFonts w:ascii="Symbol" w:eastAsia="Symbol" w:hAnsi="Symbol" w:cs="Symbol" w:hint="default"/>
        <w:color w:val="231F20"/>
        <w:w w:val="100"/>
        <w:sz w:val="14"/>
        <w:szCs w:val="14"/>
      </w:rPr>
    </w:lvl>
    <w:lvl w:ilvl="1" w:tplc="A3707AB8">
      <w:numFmt w:val="bullet"/>
      <w:lvlText w:val="•"/>
      <w:lvlJc w:val="left"/>
      <w:pPr>
        <w:ind w:left="398" w:hanging="100"/>
      </w:pPr>
      <w:rPr>
        <w:rFonts w:hint="default"/>
      </w:rPr>
    </w:lvl>
    <w:lvl w:ilvl="2" w:tplc="62C0E5B2">
      <w:numFmt w:val="bullet"/>
      <w:lvlText w:val="•"/>
      <w:lvlJc w:val="left"/>
      <w:pPr>
        <w:ind w:left="636" w:hanging="100"/>
      </w:pPr>
      <w:rPr>
        <w:rFonts w:hint="default"/>
      </w:rPr>
    </w:lvl>
    <w:lvl w:ilvl="3" w:tplc="78EEBEC0">
      <w:numFmt w:val="bullet"/>
      <w:lvlText w:val="•"/>
      <w:lvlJc w:val="left"/>
      <w:pPr>
        <w:ind w:left="874" w:hanging="100"/>
      </w:pPr>
      <w:rPr>
        <w:rFonts w:hint="default"/>
      </w:rPr>
    </w:lvl>
    <w:lvl w:ilvl="4" w:tplc="4E3A6794">
      <w:numFmt w:val="bullet"/>
      <w:lvlText w:val="•"/>
      <w:lvlJc w:val="left"/>
      <w:pPr>
        <w:ind w:left="1112" w:hanging="100"/>
      </w:pPr>
      <w:rPr>
        <w:rFonts w:hint="default"/>
      </w:rPr>
    </w:lvl>
    <w:lvl w:ilvl="5" w:tplc="1806221C">
      <w:numFmt w:val="bullet"/>
      <w:lvlText w:val="•"/>
      <w:lvlJc w:val="left"/>
      <w:pPr>
        <w:ind w:left="1350" w:hanging="100"/>
      </w:pPr>
      <w:rPr>
        <w:rFonts w:hint="default"/>
      </w:rPr>
    </w:lvl>
    <w:lvl w:ilvl="6" w:tplc="10481C68">
      <w:numFmt w:val="bullet"/>
      <w:lvlText w:val="•"/>
      <w:lvlJc w:val="left"/>
      <w:pPr>
        <w:ind w:left="1588" w:hanging="100"/>
      </w:pPr>
      <w:rPr>
        <w:rFonts w:hint="default"/>
      </w:rPr>
    </w:lvl>
    <w:lvl w:ilvl="7" w:tplc="41A6FA86">
      <w:numFmt w:val="bullet"/>
      <w:lvlText w:val="•"/>
      <w:lvlJc w:val="left"/>
      <w:pPr>
        <w:ind w:left="1826" w:hanging="100"/>
      </w:pPr>
      <w:rPr>
        <w:rFonts w:hint="default"/>
      </w:rPr>
    </w:lvl>
    <w:lvl w:ilvl="8" w:tplc="6C94F2E6">
      <w:numFmt w:val="bullet"/>
      <w:lvlText w:val="•"/>
      <w:lvlJc w:val="left"/>
      <w:pPr>
        <w:ind w:left="2064" w:hanging="100"/>
      </w:pPr>
      <w:rPr>
        <w:rFonts w:hint="default"/>
      </w:rPr>
    </w:lvl>
  </w:abstractNum>
  <w:abstractNum w:abstractNumId="1378" w15:restartNumberingAfterBreak="0">
    <w:nsid w:val="557A7AC8"/>
    <w:multiLevelType w:val="hybridMultilevel"/>
    <w:tmpl w:val="1CD43BA6"/>
    <w:lvl w:ilvl="0" w:tplc="AFE8EC96">
      <w:numFmt w:val="bullet"/>
      <w:lvlText w:val=""/>
      <w:lvlJc w:val="left"/>
      <w:pPr>
        <w:ind w:left="156" w:hanging="100"/>
      </w:pPr>
      <w:rPr>
        <w:rFonts w:ascii="Symbol" w:eastAsia="Symbol" w:hAnsi="Symbol" w:cs="Symbol" w:hint="default"/>
        <w:color w:val="231F20"/>
        <w:w w:val="100"/>
        <w:sz w:val="14"/>
        <w:szCs w:val="14"/>
      </w:rPr>
    </w:lvl>
    <w:lvl w:ilvl="1" w:tplc="C73E0C6E">
      <w:numFmt w:val="bullet"/>
      <w:lvlText w:val="•"/>
      <w:lvlJc w:val="left"/>
      <w:pPr>
        <w:ind w:left="301" w:hanging="100"/>
      </w:pPr>
      <w:rPr>
        <w:rFonts w:hint="default"/>
      </w:rPr>
    </w:lvl>
    <w:lvl w:ilvl="2" w:tplc="25908486">
      <w:numFmt w:val="bullet"/>
      <w:lvlText w:val="•"/>
      <w:lvlJc w:val="left"/>
      <w:pPr>
        <w:ind w:left="443" w:hanging="100"/>
      </w:pPr>
      <w:rPr>
        <w:rFonts w:hint="default"/>
      </w:rPr>
    </w:lvl>
    <w:lvl w:ilvl="3" w:tplc="7C1830B2">
      <w:numFmt w:val="bullet"/>
      <w:lvlText w:val="•"/>
      <w:lvlJc w:val="left"/>
      <w:pPr>
        <w:ind w:left="585" w:hanging="100"/>
      </w:pPr>
      <w:rPr>
        <w:rFonts w:hint="default"/>
      </w:rPr>
    </w:lvl>
    <w:lvl w:ilvl="4" w:tplc="74E294A0">
      <w:numFmt w:val="bullet"/>
      <w:lvlText w:val="•"/>
      <w:lvlJc w:val="left"/>
      <w:pPr>
        <w:ind w:left="726" w:hanging="100"/>
      </w:pPr>
      <w:rPr>
        <w:rFonts w:hint="default"/>
      </w:rPr>
    </w:lvl>
    <w:lvl w:ilvl="5" w:tplc="5322D1C2">
      <w:numFmt w:val="bullet"/>
      <w:lvlText w:val="•"/>
      <w:lvlJc w:val="left"/>
      <w:pPr>
        <w:ind w:left="868" w:hanging="100"/>
      </w:pPr>
      <w:rPr>
        <w:rFonts w:hint="default"/>
      </w:rPr>
    </w:lvl>
    <w:lvl w:ilvl="6" w:tplc="83D888F8">
      <w:numFmt w:val="bullet"/>
      <w:lvlText w:val="•"/>
      <w:lvlJc w:val="left"/>
      <w:pPr>
        <w:ind w:left="1010" w:hanging="100"/>
      </w:pPr>
      <w:rPr>
        <w:rFonts w:hint="default"/>
      </w:rPr>
    </w:lvl>
    <w:lvl w:ilvl="7" w:tplc="1DCA1104">
      <w:numFmt w:val="bullet"/>
      <w:lvlText w:val="•"/>
      <w:lvlJc w:val="left"/>
      <w:pPr>
        <w:ind w:left="1151" w:hanging="100"/>
      </w:pPr>
      <w:rPr>
        <w:rFonts w:hint="default"/>
      </w:rPr>
    </w:lvl>
    <w:lvl w:ilvl="8" w:tplc="325AFBF2">
      <w:numFmt w:val="bullet"/>
      <w:lvlText w:val="•"/>
      <w:lvlJc w:val="left"/>
      <w:pPr>
        <w:ind w:left="1293" w:hanging="100"/>
      </w:pPr>
      <w:rPr>
        <w:rFonts w:hint="default"/>
      </w:rPr>
    </w:lvl>
  </w:abstractNum>
  <w:abstractNum w:abstractNumId="1379" w15:restartNumberingAfterBreak="0">
    <w:nsid w:val="55804892"/>
    <w:multiLevelType w:val="hybridMultilevel"/>
    <w:tmpl w:val="A7A87316"/>
    <w:lvl w:ilvl="0" w:tplc="A5622B1C">
      <w:numFmt w:val="bullet"/>
      <w:lvlText w:val=""/>
      <w:lvlJc w:val="left"/>
      <w:pPr>
        <w:ind w:left="156" w:hanging="100"/>
      </w:pPr>
      <w:rPr>
        <w:rFonts w:ascii="Symbol" w:eastAsia="Symbol" w:hAnsi="Symbol" w:cs="Symbol" w:hint="default"/>
        <w:color w:val="231F20"/>
        <w:w w:val="100"/>
        <w:sz w:val="14"/>
        <w:szCs w:val="14"/>
      </w:rPr>
    </w:lvl>
    <w:lvl w:ilvl="1" w:tplc="300A58EE">
      <w:numFmt w:val="bullet"/>
      <w:lvlText w:val="•"/>
      <w:lvlJc w:val="left"/>
      <w:pPr>
        <w:ind w:left="301" w:hanging="100"/>
      </w:pPr>
      <w:rPr>
        <w:rFonts w:hint="default"/>
      </w:rPr>
    </w:lvl>
    <w:lvl w:ilvl="2" w:tplc="22CA1848">
      <w:numFmt w:val="bullet"/>
      <w:lvlText w:val="•"/>
      <w:lvlJc w:val="left"/>
      <w:pPr>
        <w:ind w:left="443" w:hanging="100"/>
      </w:pPr>
      <w:rPr>
        <w:rFonts w:hint="default"/>
      </w:rPr>
    </w:lvl>
    <w:lvl w:ilvl="3" w:tplc="FF7E4ABE">
      <w:numFmt w:val="bullet"/>
      <w:lvlText w:val="•"/>
      <w:lvlJc w:val="left"/>
      <w:pPr>
        <w:ind w:left="585" w:hanging="100"/>
      </w:pPr>
      <w:rPr>
        <w:rFonts w:hint="default"/>
      </w:rPr>
    </w:lvl>
    <w:lvl w:ilvl="4" w:tplc="DDEC543E">
      <w:numFmt w:val="bullet"/>
      <w:lvlText w:val="•"/>
      <w:lvlJc w:val="left"/>
      <w:pPr>
        <w:ind w:left="726" w:hanging="100"/>
      </w:pPr>
      <w:rPr>
        <w:rFonts w:hint="default"/>
      </w:rPr>
    </w:lvl>
    <w:lvl w:ilvl="5" w:tplc="22C2C4F4">
      <w:numFmt w:val="bullet"/>
      <w:lvlText w:val="•"/>
      <w:lvlJc w:val="left"/>
      <w:pPr>
        <w:ind w:left="868" w:hanging="100"/>
      </w:pPr>
      <w:rPr>
        <w:rFonts w:hint="default"/>
      </w:rPr>
    </w:lvl>
    <w:lvl w:ilvl="6" w:tplc="54EC7DD8">
      <w:numFmt w:val="bullet"/>
      <w:lvlText w:val="•"/>
      <w:lvlJc w:val="left"/>
      <w:pPr>
        <w:ind w:left="1010" w:hanging="100"/>
      </w:pPr>
      <w:rPr>
        <w:rFonts w:hint="default"/>
      </w:rPr>
    </w:lvl>
    <w:lvl w:ilvl="7" w:tplc="694AAB0A">
      <w:numFmt w:val="bullet"/>
      <w:lvlText w:val="•"/>
      <w:lvlJc w:val="left"/>
      <w:pPr>
        <w:ind w:left="1151" w:hanging="100"/>
      </w:pPr>
      <w:rPr>
        <w:rFonts w:hint="default"/>
      </w:rPr>
    </w:lvl>
    <w:lvl w:ilvl="8" w:tplc="38EAEEEC">
      <w:numFmt w:val="bullet"/>
      <w:lvlText w:val="•"/>
      <w:lvlJc w:val="left"/>
      <w:pPr>
        <w:ind w:left="1293" w:hanging="100"/>
      </w:pPr>
      <w:rPr>
        <w:rFonts w:hint="default"/>
      </w:rPr>
    </w:lvl>
  </w:abstractNum>
  <w:abstractNum w:abstractNumId="1380" w15:restartNumberingAfterBreak="0">
    <w:nsid w:val="55892BD9"/>
    <w:multiLevelType w:val="hybridMultilevel"/>
    <w:tmpl w:val="A76A08CC"/>
    <w:lvl w:ilvl="0" w:tplc="F54645E2">
      <w:numFmt w:val="bullet"/>
      <w:lvlText w:val=""/>
      <w:lvlJc w:val="left"/>
      <w:pPr>
        <w:ind w:left="156" w:hanging="100"/>
      </w:pPr>
      <w:rPr>
        <w:rFonts w:ascii="Symbol" w:eastAsia="Symbol" w:hAnsi="Symbol" w:cs="Symbol" w:hint="default"/>
        <w:color w:val="231F20"/>
        <w:w w:val="100"/>
        <w:sz w:val="14"/>
        <w:szCs w:val="14"/>
      </w:rPr>
    </w:lvl>
    <w:lvl w:ilvl="1" w:tplc="45622FF6">
      <w:numFmt w:val="bullet"/>
      <w:lvlText w:val="•"/>
      <w:lvlJc w:val="left"/>
      <w:pPr>
        <w:ind w:left="301" w:hanging="100"/>
      </w:pPr>
      <w:rPr>
        <w:rFonts w:hint="default"/>
      </w:rPr>
    </w:lvl>
    <w:lvl w:ilvl="2" w:tplc="48FEC5F0">
      <w:numFmt w:val="bullet"/>
      <w:lvlText w:val="•"/>
      <w:lvlJc w:val="left"/>
      <w:pPr>
        <w:ind w:left="443" w:hanging="100"/>
      </w:pPr>
      <w:rPr>
        <w:rFonts w:hint="default"/>
      </w:rPr>
    </w:lvl>
    <w:lvl w:ilvl="3" w:tplc="4238BFC0">
      <w:numFmt w:val="bullet"/>
      <w:lvlText w:val="•"/>
      <w:lvlJc w:val="left"/>
      <w:pPr>
        <w:ind w:left="585" w:hanging="100"/>
      </w:pPr>
      <w:rPr>
        <w:rFonts w:hint="default"/>
      </w:rPr>
    </w:lvl>
    <w:lvl w:ilvl="4" w:tplc="98D46C02">
      <w:numFmt w:val="bullet"/>
      <w:lvlText w:val="•"/>
      <w:lvlJc w:val="left"/>
      <w:pPr>
        <w:ind w:left="726" w:hanging="100"/>
      </w:pPr>
      <w:rPr>
        <w:rFonts w:hint="default"/>
      </w:rPr>
    </w:lvl>
    <w:lvl w:ilvl="5" w:tplc="E304B7C6">
      <w:numFmt w:val="bullet"/>
      <w:lvlText w:val="•"/>
      <w:lvlJc w:val="left"/>
      <w:pPr>
        <w:ind w:left="868" w:hanging="100"/>
      </w:pPr>
      <w:rPr>
        <w:rFonts w:hint="default"/>
      </w:rPr>
    </w:lvl>
    <w:lvl w:ilvl="6" w:tplc="96FE28E8">
      <w:numFmt w:val="bullet"/>
      <w:lvlText w:val="•"/>
      <w:lvlJc w:val="left"/>
      <w:pPr>
        <w:ind w:left="1010" w:hanging="100"/>
      </w:pPr>
      <w:rPr>
        <w:rFonts w:hint="default"/>
      </w:rPr>
    </w:lvl>
    <w:lvl w:ilvl="7" w:tplc="911E9F44">
      <w:numFmt w:val="bullet"/>
      <w:lvlText w:val="•"/>
      <w:lvlJc w:val="left"/>
      <w:pPr>
        <w:ind w:left="1151" w:hanging="100"/>
      </w:pPr>
      <w:rPr>
        <w:rFonts w:hint="default"/>
      </w:rPr>
    </w:lvl>
    <w:lvl w:ilvl="8" w:tplc="63EA5EBE">
      <w:numFmt w:val="bullet"/>
      <w:lvlText w:val="•"/>
      <w:lvlJc w:val="left"/>
      <w:pPr>
        <w:ind w:left="1293" w:hanging="100"/>
      </w:pPr>
      <w:rPr>
        <w:rFonts w:hint="default"/>
      </w:rPr>
    </w:lvl>
  </w:abstractNum>
  <w:abstractNum w:abstractNumId="1381" w15:restartNumberingAfterBreak="0">
    <w:nsid w:val="55904FD7"/>
    <w:multiLevelType w:val="hybridMultilevel"/>
    <w:tmpl w:val="576C602C"/>
    <w:lvl w:ilvl="0" w:tplc="037867F6">
      <w:numFmt w:val="bullet"/>
      <w:lvlText w:val=""/>
      <w:lvlJc w:val="left"/>
      <w:pPr>
        <w:ind w:left="156" w:hanging="100"/>
      </w:pPr>
      <w:rPr>
        <w:rFonts w:ascii="Symbol" w:eastAsia="Symbol" w:hAnsi="Symbol" w:cs="Symbol" w:hint="default"/>
        <w:color w:val="231F20"/>
        <w:w w:val="100"/>
        <w:sz w:val="14"/>
        <w:szCs w:val="14"/>
      </w:rPr>
    </w:lvl>
    <w:lvl w:ilvl="1" w:tplc="AEEC309A">
      <w:numFmt w:val="bullet"/>
      <w:lvlText w:val="•"/>
      <w:lvlJc w:val="left"/>
      <w:pPr>
        <w:ind w:left="301" w:hanging="100"/>
      </w:pPr>
      <w:rPr>
        <w:rFonts w:hint="default"/>
      </w:rPr>
    </w:lvl>
    <w:lvl w:ilvl="2" w:tplc="EB5E1592">
      <w:numFmt w:val="bullet"/>
      <w:lvlText w:val="•"/>
      <w:lvlJc w:val="left"/>
      <w:pPr>
        <w:ind w:left="443" w:hanging="100"/>
      </w:pPr>
      <w:rPr>
        <w:rFonts w:hint="default"/>
      </w:rPr>
    </w:lvl>
    <w:lvl w:ilvl="3" w:tplc="F2A42E8A">
      <w:numFmt w:val="bullet"/>
      <w:lvlText w:val="•"/>
      <w:lvlJc w:val="left"/>
      <w:pPr>
        <w:ind w:left="585" w:hanging="100"/>
      </w:pPr>
      <w:rPr>
        <w:rFonts w:hint="default"/>
      </w:rPr>
    </w:lvl>
    <w:lvl w:ilvl="4" w:tplc="EE5036AE">
      <w:numFmt w:val="bullet"/>
      <w:lvlText w:val="•"/>
      <w:lvlJc w:val="left"/>
      <w:pPr>
        <w:ind w:left="726" w:hanging="100"/>
      </w:pPr>
      <w:rPr>
        <w:rFonts w:hint="default"/>
      </w:rPr>
    </w:lvl>
    <w:lvl w:ilvl="5" w:tplc="FBDA6478">
      <w:numFmt w:val="bullet"/>
      <w:lvlText w:val="•"/>
      <w:lvlJc w:val="left"/>
      <w:pPr>
        <w:ind w:left="868" w:hanging="100"/>
      </w:pPr>
      <w:rPr>
        <w:rFonts w:hint="default"/>
      </w:rPr>
    </w:lvl>
    <w:lvl w:ilvl="6" w:tplc="B2026F6A">
      <w:numFmt w:val="bullet"/>
      <w:lvlText w:val="•"/>
      <w:lvlJc w:val="left"/>
      <w:pPr>
        <w:ind w:left="1010" w:hanging="100"/>
      </w:pPr>
      <w:rPr>
        <w:rFonts w:hint="default"/>
      </w:rPr>
    </w:lvl>
    <w:lvl w:ilvl="7" w:tplc="CCFECCEE">
      <w:numFmt w:val="bullet"/>
      <w:lvlText w:val="•"/>
      <w:lvlJc w:val="left"/>
      <w:pPr>
        <w:ind w:left="1151" w:hanging="100"/>
      </w:pPr>
      <w:rPr>
        <w:rFonts w:hint="default"/>
      </w:rPr>
    </w:lvl>
    <w:lvl w:ilvl="8" w:tplc="6A96656E">
      <w:numFmt w:val="bullet"/>
      <w:lvlText w:val="•"/>
      <w:lvlJc w:val="left"/>
      <w:pPr>
        <w:ind w:left="1293" w:hanging="100"/>
      </w:pPr>
      <w:rPr>
        <w:rFonts w:hint="default"/>
      </w:rPr>
    </w:lvl>
  </w:abstractNum>
  <w:abstractNum w:abstractNumId="1382" w15:restartNumberingAfterBreak="0">
    <w:nsid w:val="559A395B"/>
    <w:multiLevelType w:val="hybridMultilevel"/>
    <w:tmpl w:val="0B2E6226"/>
    <w:lvl w:ilvl="0" w:tplc="C8FE7664">
      <w:numFmt w:val="bullet"/>
      <w:lvlText w:val="–"/>
      <w:lvlJc w:val="left"/>
      <w:pPr>
        <w:ind w:left="497" w:hanging="135"/>
      </w:pPr>
      <w:rPr>
        <w:rFonts w:ascii="Times New Roman" w:eastAsia="Times New Roman" w:hAnsi="Times New Roman" w:cs="Times New Roman" w:hint="default"/>
        <w:color w:val="231F20"/>
        <w:spacing w:val="-3"/>
        <w:w w:val="100"/>
        <w:sz w:val="18"/>
        <w:szCs w:val="18"/>
      </w:rPr>
    </w:lvl>
    <w:lvl w:ilvl="1" w:tplc="64904FA6">
      <w:numFmt w:val="bullet"/>
      <w:lvlText w:val="•"/>
      <w:lvlJc w:val="left"/>
      <w:pPr>
        <w:ind w:left="1528" w:hanging="135"/>
      </w:pPr>
      <w:rPr>
        <w:rFonts w:hint="default"/>
      </w:rPr>
    </w:lvl>
    <w:lvl w:ilvl="2" w:tplc="E7121E4A">
      <w:numFmt w:val="bullet"/>
      <w:lvlText w:val="•"/>
      <w:lvlJc w:val="left"/>
      <w:pPr>
        <w:ind w:left="2557" w:hanging="135"/>
      </w:pPr>
      <w:rPr>
        <w:rFonts w:hint="default"/>
      </w:rPr>
    </w:lvl>
    <w:lvl w:ilvl="3" w:tplc="42AAC6A2">
      <w:numFmt w:val="bullet"/>
      <w:lvlText w:val="•"/>
      <w:lvlJc w:val="left"/>
      <w:pPr>
        <w:ind w:left="3585" w:hanging="135"/>
      </w:pPr>
      <w:rPr>
        <w:rFonts w:hint="default"/>
      </w:rPr>
    </w:lvl>
    <w:lvl w:ilvl="4" w:tplc="D5CEE87E">
      <w:numFmt w:val="bullet"/>
      <w:lvlText w:val="•"/>
      <w:lvlJc w:val="left"/>
      <w:pPr>
        <w:ind w:left="4614" w:hanging="135"/>
      </w:pPr>
      <w:rPr>
        <w:rFonts w:hint="default"/>
      </w:rPr>
    </w:lvl>
    <w:lvl w:ilvl="5" w:tplc="EDA2E4EE">
      <w:numFmt w:val="bullet"/>
      <w:lvlText w:val="•"/>
      <w:lvlJc w:val="left"/>
      <w:pPr>
        <w:ind w:left="5642" w:hanging="135"/>
      </w:pPr>
      <w:rPr>
        <w:rFonts w:hint="default"/>
      </w:rPr>
    </w:lvl>
    <w:lvl w:ilvl="6" w:tplc="3340AE9C">
      <w:numFmt w:val="bullet"/>
      <w:lvlText w:val="•"/>
      <w:lvlJc w:val="left"/>
      <w:pPr>
        <w:ind w:left="6671" w:hanging="135"/>
      </w:pPr>
      <w:rPr>
        <w:rFonts w:hint="default"/>
      </w:rPr>
    </w:lvl>
    <w:lvl w:ilvl="7" w:tplc="0D6C3056">
      <w:numFmt w:val="bullet"/>
      <w:lvlText w:val="•"/>
      <w:lvlJc w:val="left"/>
      <w:pPr>
        <w:ind w:left="7699" w:hanging="135"/>
      </w:pPr>
      <w:rPr>
        <w:rFonts w:hint="default"/>
      </w:rPr>
    </w:lvl>
    <w:lvl w:ilvl="8" w:tplc="C0B43666">
      <w:numFmt w:val="bullet"/>
      <w:lvlText w:val="•"/>
      <w:lvlJc w:val="left"/>
      <w:pPr>
        <w:ind w:left="8728" w:hanging="135"/>
      </w:pPr>
      <w:rPr>
        <w:rFonts w:hint="default"/>
      </w:rPr>
    </w:lvl>
  </w:abstractNum>
  <w:abstractNum w:abstractNumId="1383" w15:restartNumberingAfterBreak="0">
    <w:nsid w:val="55B01172"/>
    <w:multiLevelType w:val="hybridMultilevel"/>
    <w:tmpl w:val="EFDED7EA"/>
    <w:lvl w:ilvl="0" w:tplc="A7F4CCFC">
      <w:numFmt w:val="bullet"/>
      <w:lvlText w:val=""/>
      <w:lvlJc w:val="left"/>
      <w:pPr>
        <w:ind w:left="156" w:hanging="100"/>
      </w:pPr>
      <w:rPr>
        <w:rFonts w:ascii="Symbol" w:eastAsia="Symbol" w:hAnsi="Symbol" w:cs="Symbol" w:hint="default"/>
        <w:color w:val="231F20"/>
        <w:w w:val="100"/>
        <w:sz w:val="14"/>
        <w:szCs w:val="14"/>
      </w:rPr>
    </w:lvl>
    <w:lvl w:ilvl="1" w:tplc="952E7C9C">
      <w:numFmt w:val="bullet"/>
      <w:lvlText w:val="•"/>
      <w:lvlJc w:val="left"/>
      <w:pPr>
        <w:ind w:left="426" w:hanging="100"/>
      </w:pPr>
      <w:rPr>
        <w:rFonts w:hint="default"/>
      </w:rPr>
    </w:lvl>
    <w:lvl w:ilvl="2" w:tplc="D34ECFDC">
      <w:numFmt w:val="bullet"/>
      <w:lvlText w:val="•"/>
      <w:lvlJc w:val="left"/>
      <w:pPr>
        <w:ind w:left="692" w:hanging="100"/>
      </w:pPr>
      <w:rPr>
        <w:rFonts w:hint="default"/>
      </w:rPr>
    </w:lvl>
    <w:lvl w:ilvl="3" w:tplc="DC96E33E">
      <w:numFmt w:val="bullet"/>
      <w:lvlText w:val="•"/>
      <w:lvlJc w:val="left"/>
      <w:pPr>
        <w:ind w:left="959" w:hanging="100"/>
      </w:pPr>
      <w:rPr>
        <w:rFonts w:hint="default"/>
      </w:rPr>
    </w:lvl>
    <w:lvl w:ilvl="4" w:tplc="82380028">
      <w:numFmt w:val="bullet"/>
      <w:lvlText w:val="•"/>
      <w:lvlJc w:val="left"/>
      <w:pPr>
        <w:ind w:left="1225" w:hanging="100"/>
      </w:pPr>
      <w:rPr>
        <w:rFonts w:hint="default"/>
      </w:rPr>
    </w:lvl>
    <w:lvl w:ilvl="5" w:tplc="45BC9C62">
      <w:numFmt w:val="bullet"/>
      <w:lvlText w:val="•"/>
      <w:lvlJc w:val="left"/>
      <w:pPr>
        <w:ind w:left="1492" w:hanging="100"/>
      </w:pPr>
      <w:rPr>
        <w:rFonts w:hint="default"/>
      </w:rPr>
    </w:lvl>
    <w:lvl w:ilvl="6" w:tplc="FA30BF58">
      <w:numFmt w:val="bullet"/>
      <w:lvlText w:val="•"/>
      <w:lvlJc w:val="left"/>
      <w:pPr>
        <w:ind w:left="1758" w:hanging="100"/>
      </w:pPr>
      <w:rPr>
        <w:rFonts w:hint="default"/>
      </w:rPr>
    </w:lvl>
    <w:lvl w:ilvl="7" w:tplc="170C9604">
      <w:numFmt w:val="bullet"/>
      <w:lvlText w:val="•"/>
      <w:lvlJc w:val="left"/>
      <w:pPr>
        <w:ind w:left="2024" w:hanging="100"/>
      </w:pPr>
      <w:rPr>
        <w:rFonts w:hint="default"/>
      </w:rPr>
    </w:lvl>
    <w:lvl w:ilvl="8" w:tplc="81D2DE64">
      <w:numFmt w:val="bullet"/>
      <w:lvlText w:val="•"/>
      <w:lvlJc w:val="left"/>
      <w:pPr>
        <w:ind w:left="2291" w:hanging="100"/>
      </w:pPr>
      <w:rPr>
        <w:rFonts w:hint="default"/>
      </w:rPr>
    </w:lvl>
  </w:abstractNum>
  <w:abstractNum w:abstractNumId="1384" w15:restartNumberingAfterBreak="0">
    <w:nsid w:val="55BA0D49"/>
    <w:multiLevelType w:val="hybridMultilevel"/>
    <w:tmpl w:val="BDBECB32"/>
    <w:lvl w:ilvl="0" w:tplc="DE7E1562">
      <w:numFmt w:val="bullet"/>
      <w:lvlText w:val=""/>
      <w:lvlJc w:val="left"/>
      <w:pPr>
        <w:ind w:left="156" w:hanging="100"/>
      </w:pPr>
      <w:rPr>
        <w:rFonts w:ascii="Symbol" w:eastAsia="Symbol" w:hAnsi="Symbol" w:cs="Symbol" w:hint="default"/>
        <w:color w:val="231F20"/>
        <w:w w:val="100"/>
        <w:sz w:val="14"/>
        <w:szCs w:val="14"/>
      </w:rPr>
    </w:lvl>
    <w:lvl w:ilvl="1" w:tplc="B5621EB2">
      <w:numFmt w:val="bullet"/>
      <w:lvlText w:val="•"/>
      <w:lvlJc w:val="left"/>
      <w:pPr>
        <w:ind w:left="426" w:hanging="100"/>
      </w:pPr>
      <w:rPr>
        <w:rFonts w:hint="default"/>
      </w:rPr>
    </w:lvl>
    <w:lvl w:ilvl="2" w:tplc="1C80CD5C">
      <w:numFmt w:val="bullet"/>
      <w:lvlText w:val="•"/>
      <w:lvlJc w:val="left"/>
      <w:pPr>
        <w:ind w:left="692" w:hanging="100"/>
      </w:pPr>
      <w:rPr>
        <w:rFonts w:hint="default"/>
      </w:rPr>
    </w:lvl>
    <w:lvl w:ilvl="3" w:tplc="00F06EC4">
      <w:numFmt w:val="bullet"/>
      <w:lvlText w:val="•"/>
      <w:lvlJc w:val="left"/>
      <w:pPr>
        <w:ind w:left="959" w:hanging="100"/>
      </w:pPr>
      <w:rPr>
        <w:rFonts w:hint="default"/>
      </w:rPr>
    </w:lvl>
    <w:lvl w:ilvl="4" w:tplc="DAC09804">
      <w:numFmt w:val="bullet"/>
      <w:lvlText w:val="•"/>
      <w:lvlJc w:val="left"/>
      <w:pPr>
        <w:ind w:left="1225" w:hanging="100"/>
      </w:pPr>
      <w:rPr>
        <w:rFonts w:hint="default"/>
      </w:rPr>
    </w:lvl>
    <w:lvl w:ilvl="5" w:tplc="4A8890FC">
      <w:numFmt w:val="bullet"/>
      <w:lvlText w:val="•"/>
      <w:lvlJc w:val="left"/>
      <w:pPr>
        <w:ind w:left="1492" w:hanging="100"/>
      </w:pPr>
      <w:rPr>
        <w:rFonts w:hint="default"/>
      </w:rPr>
    </w:lvl>
    <w:lvl w:ilvl="6" w:tplc="B344E090">
      <w:numFmt w:val="bullet"/>
      <w:lvlText w:val="•"/>
      <w:lvlJc w:val="left"/>
      <w:pPr>
        <w:ind w:left="1758" w:hanging="100"/>
      </w:pPr>
      <w:rPr>
        <w:rFonts w:hint="default"/>
      </w:rPr>
    </w:lvl>
    <w:lvl w:ilvl="7" w:tplc="8E303E9A">
      <w:numFmt w:val="bullet"/>
      <w:lvlText w:val="•"/>
      <w:lvlJc w:val="left"/>
      <w:pPr>
        <w:ind w:left="2024" w:hanging="100"/>
      </w:pPr>
      <w:rPr>
        <w:rFonts w:hint="default"/>
      </w:rPr>
    </w:lvl>
    <w:lvl w:ilvl="8" w:tplc="2D208EE4">
      <w:numFmt w:val="bullet"/>
      <w:lvlText w:val="•"/>
      <w:lvlJc w:val="left"/>
      <w:pPr>
        <w:ind w:left="2291" w:hanging="100"/>
      </w:pPr>
      <w:rPr>
        <w:rFonts w:hint="default"/>
      </w:rPr>
    </w:lvl>
  </w:abstractNum>
  <w:abstractNum w:abstractNumId="1385" w15:restartNumberingAfterBreak="0">
    <w:nsid w:val="55C06592"/>
    <w:multiLevelType w:val="hybridMultilevel"/>
    <w:tmpl w:val="C7A21B4E"/>
    <w:lvl w:ilvl="0" w:tplc="DF1E370E">
      <w:numFmt w:val="bullet"/>
      <w:lvlText w:val=""/>
      <w:lvlJc w:val="left"/>
      <w:pPr>
        <w:ind w:left="156" w:hanging="100"/>
      </w:pPr>
      <w:rPr>
        <w:rFonts w:ascii="Symbol" w:eastAsia="Symbol" w:hAnsi="Symbol" w:cs="Symbol" w:hint="default"/>
        <w:color w:val="231F20"/>
        <w:w w:val="100"/>
        <w:sz w:val="14"/>
        <w:szCs w:val="14"/>
      </w:rPr>
    </w:lvl>
    <w:lvl w:ilvl="1" w:tplc="62B64246">
      <w:numFmt w:val="bullet"/>
      <w:lvlText w:val="•"/>
      <w:lvlJc w:val="left"/>
      <w:pPr>
        <w:ind w:left="398" w:hanging="100"/>
      </w:pPr>
      <w:rPr>
        <w:rFonts w:hint="default"/>
      </w:rPr>
    </w:lvl>
    <w:lvl w:ilvl="2" w:tplc="0B506AFA">
      <w:numFmt w:val="bullet"/>
      <w:lvlText w:val="•"/>
      <w:lvlJc w:val="left"/>
      <w:pPr>
        <w:ind w:left="636" w:hanging="100"/>
      </w:pPr>
      <w:rPr>
        <w:rFonts w:hint="default"/>
      </w:rPr>
    </w:lvl>
    <w:lvl w:ilvl="3" w:tplc="67768BA6">
      <w:numFmt w:val="bullet"/>
      <w:lvlText w:val="•"/>
      <w:lvlJc w:val="left"/>
      <w:pPr>
        <w:ind w:left="874" w:hanging="100"/>
      </w:pPr>
      <w:rPr>
        <w:rFonts w:hint="default"/>
      </w:rPr>
    </w:lvl>
    <w:lvl w:ilvl="4" w:tplc="F4B2E40C">
      <w:numFmt w:val="bullet"/>
      <w:lvlText w:val="•"/>
      <w:lvlJc w:val="left"/>
      <w:pPr>
        <w:ind w:left="1112" w:hanging="100"/>
      </w:pPr>
      <w:rPr>
        <w:rFonts w:hint="default"/>
      </w:rPr>
    </w:lvl>
    <w:lvl w:ilvl="5" w:tplc="3A286254">
      <w:numFmt w:val="bullet"/>
      <w:lvlText w:val="•"/>
      <w:lvlJc w:val="left"/>
      <w:pPr>
        <w:ind w:left="1350" w:hanging="100"/>
      </w:pPr>
      <w:rPr>
        <w:rFonts w:hint="default"/>
      </w:rPr>
    </w:lvl>
    <w:lvl w:ilvl="6" w:tplc="B83A155E">
      <w:numFmt w:val="bullet"/>
      <w:lvlText w:val="•"/>
      <w:lvlJc w:val="left"/>
      <w:pPr>
        <w:ind w:left="1588" w:hanging="100"/>
      </w:pPr>
      <w:rPr>
        <w:rFonts w:hint="default"/>
      </w:rPr>
    </w:lvl>
    <w:lvl w:ilvl="7" w:tplc="1794E58C">
      <w:numFmt w:val="bullet"/>
      <w:lvlText w:val="•"/>
      <w:lvlJc w:val="left"/>
      <w:pPr>
        <w:ind w:left="1826" w:hanging="100"/>
      </w:pPr>
      <w:rPr>
        <w:rFonts w:hint="default"/>
      </w:rPr>
    </w:lvl>
    <w:lvl w:ilvl="8" w:tplc="E2743DD2">
      <w:numFmt w:val="bullet"/>
      <w:lvlText w:val="•"/>
      <w:lvlJc w:val="left"/>
      <w:pPr>
        <w:ind w:left="2064" w:hanging="100"/>
      </w:pPr>
      <w:rPr>
        <w:rFonts w:hint="default"/>
      </w:rPr>
    </w:lvl>
  </w:abstractNum>
  <w:abstractNum w:abstractNumId="1386" w15:restartNumberingAfterBreak="0">
    <w:nsid w:val="55C70A77"/>
    <w:multiLevelType w:val="hybridMultilevel"/>
    <w:tmpl w:val="35DEDCB4"/>
    <w:lvl w:ilvl="0" w:tplc="883002E6">
      <w:numFmt w:val="bullet"/>
      <w:lvlText w:val=""/>
      <w:lvlJc w:val="left"/>
      <w:pPr>
        <w:ind w:left="157" w:hanging="100"/>
      </w:pPr>
      <w:rPr>
        <w:rFonts w:ascii="Symbol" w:eastAsia="Symbol" w:hAnsi="Symbol" w:cs="Symbol" w:hint="default"/>
        <w:color w:val="231F20"/>
        <w:w w:val="100"/>
        <w:sz w:val="14"/>
        <w:szCs w:val="14"/>
      </w:rPr>
    </w:lvl>
    <w:lvl w:ilvl="1" w:tplc="6C3A8830">
      <w:numFmt w:val="bullet"/>
      <w:lvlText w:val="•"/>
      <w:lvlJc w:val="left"/>
      <w:pPr>
        <w:ind w:left="426" w:hanging="100"/>
      </w:pPr>
      <w:rPr>
        <w:rFonts w:hint="default"/>
      </w:rPr>
    </w:lvl>
    <w:lvl w:ilvl="2" w:tplc="09B4994A">
      <w:numFmt w:val="bullet"/>
      <w:lvlText w:val="•"/>
      <w:lvlJc w:val="left"/>
      <w:pPr>
        <w:ind w:left="692" w:hanging="100"/>
      </w:pPr>
      <w:rPr>
        <w:rFonts w:hint="default"/>
      </w:rPr>
    </w:lvl>
    <w:lvl w:ilvl="3" w:tplc="550C2D38">
      <w:numFmt w:val="bullet"/>
      <w:lvlText w:val="•"/>
      <w:lvlJc w:val="left"/>
      <w:pPr>
        <w:ind w:left="959" w:hanging="100"/>
      </w:pPr>
      <w:rPr>
        <w:rFonts w:hint="default"/>
      </w:rPr>
    </w:lvl>
    <w:lvl w:ilvl="4" w:tplc="3FBED724">
      <w:numFmt w:val="bullet"/>
      <w:lvlText w:val="•"/>
      <w:lvlJc w:val="left"/>
      <w:pPr>
        <w:ind w:left="1225" w:hanging="100"/>
      </w:pPr>
      <w:rPr>
        <w:rFonts w:hint="default"/>
      </w:rPr>
    </w:lvl>
    <w:lvl w:ilvl="5" w:tplc="154ECCE2">
      <w:numFmt w:val="bullet"/>
      <w:lvlText w:val="•"/>
      <w:lvlJc w:val="left"/>
      <w:pPr>
        <w:ind w:left="1492" w:hanging="100"/>
      </w:pPr>
      <w:rPr>
        <w:rFonts w:hint="default"/>
      </w:rPr>
    </w:lvl>
    <w:lvl w:ilvl="6" w:tplc="9660859A">
      <w:numFmt w:val="bullet"/>
      <w:lvlText w:val="•"/>
      <w:lvlJc w:val="left"/>
      <w:pPr>
        <w:ind w:left="1758" w:hanging="100"/>
      </w:pPr>
      <w:rPr>
        <w:rFonts w:hint="default"/>
      </w:rPr>
    </w:lvl>
    <w:lvl w:ilvl="7" w:tplc="CF662C3E">
      <w:numFmt w:val="bullet"/>
      <w:lvlText w:val="•"/>
      <w:lvlJc w:val="left"/>
      <w:pPr>
        <w:ind w:left="2024" w:hanging="100"/>
      </w:pPr>
      <w:rPr>
        <w:rFonts w:hint="default"/>
      </w:rPr>
    </w:lvl>
    <w:lvl w:ilvl="8" w:tplc="BD96A80C">
      <w:numFmt w:val="bullet"/>
      <w:lvlText w:val="•"/>
      <w:lvlJc w:val="left"/>
      <w:pPr>
        <w:ind w:left="2291" w:hanging="100"/>
      </w:pPr>
      <w:rPr>
        <w:rFonts w:hint="default"/>
      </w:rPr>
    </w:lvl>
  </w:abstractNum>
  <w:abstractNum w:abstractNumId="1387" w15:restartNumberingAfterBreak="0">
    <w:nsid w:val="55CC3439"/>
    <w:multiLevelType w:val="hybridMultilevel"/>
    <w:tmpl w:val="404AAA4E"/>
    <w:lvl w:ilvl="0" w:tplc="0A2ED9DA">
      <w:numFmt w:val="bullet"/>
      <w:lvlText w:val=""/>
      <w:lvlJc w:val="left"/>
      <w:pPr>
        <w:ind w:left="157" w:hanging="100"/>
      </w:pPr>
      <w:rPr>
        <w:rFonts w:ascii="Symbol" w:eastAsia="Symbol" w:hAnsi="Symbol" w:cs="Symbol" w:hint="default"/>
        <w:color w:val="231F20"/>
        <w:w w:val="100"/>
        <w:sz w:val="14"/>
        <w:szCs w:val="14"/>
      </w:rPr>
    </w:lvl>
    <w:lvl w:ilvl="1" w:tplc="3F04D04A">
      <w:numFmt w:val="bullet"/>
      <w:lvlText w:val="•"/>
      <w:lvlJc w:val="left"/>
      <w:pPr>
        <w:ind w:left="426" w:hanging="100"/>
      </w:pPr>
      <w:rPr>
        <w:rFonts w:hint="default"/>
      </w:rPr>
    </w:lvl>
    <w:lvl w:ilvl="2" w:tplc="5210A66C">
      <w:numFmt w:val="bullet"/>
      <w:lvlText w:val="•"/>
      <w:lvlJc w:val="left"/>
      <w:pPr>
        <w:ind w:left="692" w:hanging="100"/>
      </w:pPr>
      <w:rPr>
        <w:rFonts w:hint="default"/>
      </w:rPr>
    </w:lvl>
    <w:lvl w:ilvl="3" w:tplc="01A8C48E">
      <w:numFmt w:val="bullet"/>
      <w:lvlText w:val="•"/>
      <w:lvlJc w:val="left"/>
      <w:pPr>
        <w:ind w:left="959" w:hanging="100"/>
      </w:pPr>
      <w:rPr>
        <w:rFonts w:hint="default"/>
      </w:rPr>
    </w:lvl>
    <w:lvl w:ilvl="4" w:tplc="EDEC3A54">
      <w:numFmt w:val="bullet"/>
      <w:lvlText w:val="•"/>
      <w:lvlJc w:val="left"/>
      <w:pPr>
        <w:ind w:left="1225" w:hanging="100"/>
      </w:pPr>
      <w:rPr>
        <w:rFonts w:hint="default"/>
      </w:rPr>
    </w:lvl>
    <w:lvl w:ilvl="5" w:tplc="38D0165A">
      <w:numFmt w:val="bullet"/>
      <w:lvlText w:val="•"/>
      <w:lvlJc w:val="left"/>
      <w:pPr>
        <w:ind w:left="1492" w:hanging="100"/>
      </w:pPr>
      <w:rPr>
        <w:rFonts w:hint="default"/>
      </w:rPr>
    </w:lvl>
    <w:lvl w:ilvl="6" w:tplc="F6BE7CD0">
      <w:numFmt w:val="bullet"/>
      <w:lvlText w:val="•"/>
      <w:lvlJc w:val="left"/>
      <w:pPr>
        <w:ind w:left="1758" w:hanging="100"/>
      </w:pPr>
      <w:rPr>
        <w:rFonts w:hint="default"/>
      </w:rPr>
    </w:lvl>
    <w:lvl w:ilvl="7" w:tplc="BB788CBE">
      <w:numFmt w:val="bullet"/>
      <w:lvlText w:val="•"/>
      <w:lvlJc w:val="left"/>
      <w:pPr>
        <w:ind w:left="2024" w:hanging="100"/>
      </w:pPr>
      <w:rPr>
        <w:rFonts w:hint="default"/>
      </w:rPr>
    </w:lvl>
    <w:lvl w:ilvl="8" w:tplc="FDCC2F40">
      <w:numFmt w:val="bullet"/>
      <w:lvlText w:val="•"/>
      <w:lvlJc w:val="left"/>
      <w:pPr>
        <w:ind w:left="2291" w:hanging="100"/>
      </w:pPr>
      <w:rPr>
        <w:rFonts w:hint="default"/>
      </w:rPr>
    </w:lvl>
  </w:abstractNum>
  <w:abstractNum w:abstractNumId="1388" w15:restartNumberingAfterBreak="0">
    <w:nsid w:val="55E154BD"/>
    <w:multiLevelType w:val="hybridMultilevel"/>
    <w:tmpl w:val="4364C772"/>
    <w:lvl w:ilvl="0" w:tplc="FD6812AA">
      <w:numFmt w:val="bullet"/>
      <w:lvlText w:val=""/>
      <w:lvlJc w:val="left"/>
      <w:pPr>
        <w:ind w:left="157" w:hanging="100"/>
      </w:pPr>
      <w:rPr>
        <w:rFonts w:ascii="Symbol" w:eastAsia="Symbol" w:hAnsi="Symbol" w:cs="Symbol" w:hint="default"/>
        <w:color w:val="231F20"/>
        <w:w w:val="100"/>
        <w:sz w:val="14"/>
        <w:szCs w:val="14"/>
      </w:rPr>
    </w:lvl>
    <w:lvl w:ilvl="1" w:tplc="44F86BB4">
      <w:numFmt w:val="bullet"/>
      <w:lvlText w:val="•"/>
      <w:lvlJc w:val="left"/>
      <w:pPr>
        <w:ind w:left="369" w:hanging="100"/>
      </w:pPr>
      <w:rPr>
        <w:rFonts w:hint="default"/>
      </w:rPr>
    </w:lvl>
    <w:lvl w:ilvl="2" w:tplc="4A40D73C">
      <w:numFmt w:val="bullet"/>
      <w:lvlText w:val="•"/>
      <w:lvlJc w:val="left"/>
      <w:pPr>
        <w:ind w:left="579" w:hanging="100"/>
      </w:pPr>
      <w:rPr>
        <w:rFonts w:hint="default"/>
      </w:rPr>
    </w:lvl>
    <w:lvl w:ilvl="3" w:tplc="DB1667A4">
      <w:numFmt w:val="bullet"/>
      <w:lvlText w:val="•"/>
      <w:lvlJc w:val="left"/>
      <w:pPr>
        <w:ind w:left="789" w:hanging="100"/>
      </w:pPr>
      <w:rPr>
        <w:rFonts w:hint="default"/>
      </w:rPr>
    </w:lvl>
    <w:lvl w:ilvl="4" w:tplc="53D8FBB2">
      <w:numFmt w:val="bullet"/>
      <w:lvlText w:val="•"/>
      <w:lvlJc w:val="left"/>
      <w:pPr>
        <w:ind w:left="998" w:hanging="100"/>
      </w:pPr>
      <w:rPr>
        <w:rFonts w:hint="default"/>
      </w:rPr>
    </w:lvl>
    <w:lvl w:ilvl="5" w:tplc="6BE6EBD4">
      <w:numFmt w:val="bullet"/>
      <w:lvlText w:val="•"/>
      <w:lvlJc w:val="left"/>
      <w:pPr>
        <w:ind w:left="1208" w:hanging="100"/>
      </w:pPr>
      <w:rPr>
        <w:rFonts w:hint="default"/>
      </w:rPr>
    </w:lvl>
    <w:lvl w:ilvl="6" w:tplc="C69A9F6A">
      <w:numFmt w:val="bullet"/>
      <w:lvlText w:val="•"/>
      <w:lvlJc w:val="left"/>
      <w:pPr>
        <w:ind w:left="1418" w:hanging="100"/>
      </w:pPr>
      <w:rPr>
        <w:rFonts w:hint="default"/>
      </w:rPr>
    </w:lvl>
    <w:lvl w:ilvl="7" w:tplc="27AE8812">
      <w:numFmt w:val="bullet"/>
      <w:lvlText w:val="•"/>
      <w:lvlJc w:val="left"/>
      <w:pPr>
        <w:ind w:left="1627" w:hanging="100"/>
      </w:pPr>
      <w:rPr>
        <w:rFonts w:hint="default"/>
      </w:rPr>
    </w:lvl>
    <w:lvl w:ilvl="8" w:tplc="8C3EA7CC">
      <w:numFmt w:val="bullet"/>
      <w:lvlText w:val="•"/>
      <w:lvlJc w:val="left"/>
      <w:pPr>
        <w:ind w:left="1837" w:hanging="100"/>
      </w:pPr>
      <w:rPr>
        <w:rFonts w:hint="default"/>
      </w:rPr>
    </w:lvl>
  </w:abstractNum>
  <w:abstractNum w:abstractNumId="1389" w15:restartNumberingAfterBreak="0">
    <w:nsid w:val="55EF7BFA"/>
    <w:multiLevelType w:val="hybridMultilevel"/>
    <w:tmpl w:val="086EAFA6"/>
    <w:lvl w:ilvl="0" w:tplc="106EC4D0">
      <w:numFmt w:val="bullet"/>
      <w:lvlText w:val=""/>
      <w:lvlJc w:val="left"/>
      <w:pPr>
        <w:ind w:left="156" w:hanging="100"/>
      </w:pPr>
      <w:rPr>
        <w:rFonts w:ascii="Symbol" w:eastAsia="Symbol" w:hAnsi="Symbol" w:cs="Symbol" w:hint="default"/>
        <w:color w:val="231F20"/>
        <w:w w:val="100"/>
        <w:sz w:val="14"/>
        <w:szCs w:val="14"/>
      </w:rPr>
    </w:lvl>
    <w:lvl w:ilvl="1" w:tplc="0B807B3C">
      <w:numFmt w:val="bullet"/>
      <w:lvlText w:val="•"/>
      <w:lvlJc w:val="left"/>
      <w:pPr>
        <w:ind w:left="301" w:hanging="100"/>
      </w:pPr>
      <w:rPr>
        <w:rFonts w:hint="default"/>
      </w:rPr>
    </w:lvl>
    <w:lvl w:ilvl="2" w:tplc="1DE2A8B8">
      <w:numFmt w:val="bullet"/>
      <w:lvlText w:val="•"/>
      <w:lvlJc w:val="left"/>
      <w:pPr>
        <w:ind w:left="443" w:hanging="100"/>
      </w:pPr>
      <w:rPr>
        <w:rFonts w:hint="default"/>
      </w:rPr>
    </w:lvl>
    <w:lvl w:ilvl="3" w:tplc="07BAEE68">
      <w:numFmt w:val="bullet"/>
      <w:lvlText w:val="•"/>
      <w:lvlJc w:val="left"/>
      <w:pPr>
        <w:ind w:left="585" w:hanging="100"/>
      </w:pPr>
      <w:rPr>
        <w:rFonts w:hint="default"/>
      </w:rPr>
    </w:lvl>
    <w:lvl w:ilvl="4" w:tplc="B98EED8C">
      <w:numFmt w:val="bullet"/>
      <w:lvlText w:val="•"/>
      <w:lvlJc w:val="left"/>
      <w:pPr>
        <w:ind w:left="726" w:hanging="100"/>
      </w:pPr>
      <w:rPr>
        <w:rFonts w:hint="default"/>
      </w:rPr>
    </w:lvl>
    <w:lvl w:ilvl="5" w:tplc="C616C9FC">
      <w:numFmt w:val="bullet"/>
      <w:lvlText w:val="•"/>
      <w:lvlJc w:val="left"/>
      <w:pPr>
        <w:ind w:left="868" w:hanging="100"/>
      </w:pPr>
      <w:rPr>
        <w:rFonts w:hint="default"/>
      </w:rPr>
    </w:lvl>
    <w:lvl w:ilvl="6" w:tplc="7998427C">
      <w:numFmt w:val="bullet"/>
      <w:lvlText w:val="•"/>
      <w:lvlJc w:val="left"/>
      <w:pPr>
        <w:ind w:left="1010" w:hanging="100"/>
      </w:pPr>
      <w:rPr>
        <w:rFonts w:hint="default"/>
      </w:rPr>
    </w:lvl>
    <w:lvl w:ilvl="7" w:tplc="0DBC5828">
      <w:numFmt w:val="bullet"/>
      <w:lvlText w:val="•"/>
      <w:lvlJc w:val="left"/>
      <w:pPr>
        <w:ind w:left="1151" w:hanging="100"/>
      </w:pPr>
      <w:rPr>
        <w:rFonts w:hint="default"/>
      </w:rPr>
    </w:lvl>
    <w:lvl w:ilvl="8" w:tplc="719023DE">
      <w:numFmt w:val="bullet"/>
      <w:lvlText w:val="•"/>
      <w:lvlJc w:val="left"/>
      <w:pPr>
        <w:ind w:left="1293" w:hanging="100"/>
      </w:pPr>
      <w:rPr>
        <w:rFonts w:hint="default"/>
      </w:rPr>
    </w:lvl>
  </w:abstractNum>
  <w:abstractNum w:abstractNumId="1390" w15:restartNumberingAfterBreak="0">
    <w:nsid w:val="55FB3822"/>
    <w:multiLevelType w:val="hybridMultilevel"/>
    <w:tmpl w:val="7722EEEE"/>
    <w:lvl w:ilvl="0" w:tplc="EAD475E4">
      <w:numFmt w:val="bullet"/>
      <w:lvlText w:val=""/>
      <w:lvlJc w:val="left"/>
      <w:pPr>
        <w:ind w:left="157" w:hanging="100"/>
      </w:pPr>
      <w:rPr>
        <w:rFonts w:ascii="Symbol" w:eastAsia="Symbol" w:hAnsi="Symbol" w:cs="Symbol" w:hint="default"/>
        <w:color w:val="231F20"/>
        <w:w w:val="100"/>
        <w:sz w:val="14"/>
        <w:szCs w:val="14"/>
      </w:rPr>
    </w:lvl>
    <w:lvl w:ilvl="1" w:tplc="21BEFA10">
      <w:numFmt w:val="bullet"/>
      <w:lvlText w:val="•"/>
      <w:lvlJc w:val="left"/>
      <w:pPr>
        <w:ind w:left="369" w:hanging="100"/>
      </w:pPr>
      <w:rPr>
        <w:rFonts w:hint="default"/>
      </w:rPr>
    </w:lvl>
    <w:lvl w:ilvl="2" w:tplc="DB9811E6">
      <w:numFmt w:val="bullet"/>
      <w:lvlText w:val="•"/>
      <w:lvlJc w:val="left"/>
      <w:pPr>
        <w:ind w:left="579" w:hanging="100"/>
      </w:pPr>
      <w:rPr>
        <w:rFonts w:hint="default"/>
      </w:rPr>
    </w:lvl>
    <w:lvl w:ilvl="3" w:tplc="0974EFD6">
      <w:numFmt w:val="bullet"/>
      <w:lvlText w:val="•"/>
      <w:lvlJc w:val="left"/>
      <w:pPr>
        <w:ind w:left="789" w:hanging="100"/>
      </w:pPr>
      <w:rPr>
        <w:rFonts w:hint="default"/>
      </w:rPr>
    </w:lvl>
    <w:lvl w:ilvl="4" w:tplc="9FC23BD4">
      <w:numFmt w:val="bullet"/>
      <w:lvlText w:val="•"/>
      <w:lvlJc w:val="left"/>
      <w:pPr>
        <w:ind w:left="998" w:hanging="100"/>
      </w:pPr>
      <w:rPr>
        <w:rFonts w:hint="default"/>
      </w:rPr>
    </w:lvl>
    <w:lvl w:ilvl="5" w:tplc="C3D2ECC8">
      <w:numFmt w:val="bullet"/>
      <w:lvlText w:val="•"/>
      <w:lvlJc w:val="left"/>
      <w:pPr>
        <w:ind w:left="1208" w:hanging="100"/>
      </w:pPr>
      <w:rPr>
        <w:rFonts w:hint="default"/>
      </w:rPr>
    </w:lvl>
    <w:lvl w:ilvl="6" w:tplc="606C638E">
      <w:numFmt w:val="bullet"/>
      <w:lvlText w:val="•"/>
      <w:lvlJc w:val="left"/>
      <w:pPr>
        <w:ind w:left="1418" w:hanging="100"/>
      </w:pPr>
      <w:rPr>
        <w:rFonts w:hint="default"/>
      </w:rPr>
    </w:lvl>
    <w:lvl w:ilvl="7" w:tplc="A224E3AE">
      <w:numFmt w:val="bullet"/>
      <w:lvlText w:val="•"/>
      <w:lvlJc w:val="left"/>
      <w:pPr>
        <w:ind w:left="1627" w:hanging="100"/>
      </w:pPr>
      <w:rPr>
        <w:rFonts w:hint="default"/>
      </w:rPr>
    </w:lvl>
    <w:lvl w:ilvl="8" w:tplc="063A2D22">
      <w:numFmt w:val="bullet"/>
      <w:lvlText w:val="•"/>
      <w:lvlJc w:val="left"/>
      <w:pPr>
        <w:ind w:left="1837" w:hanging="100"/>
      </w:pPr>
      <w:rPr>
        <w:rFonts w:hint="default"/>
      </w:rPr>
    </w:lvl>
  </w:abstractNum>
  <w:abstractNum w:abstractNumId="1391" w15:restartNumberingAfterBreak="0">
    <w:nsid w:val="56025802"/>
    <w:multiLevelType w:val="hybridMultilevel"/>
    <w:tmpl w:val="3A7AAF04"/>
    <w:lvl w:ilvl="0" w:tplc="CB3663DA">
      <w:numFmt w:val="bullet"/>
      <w:lvlText w:val=""/>
      <w:lvlJc w:val="left"/>
      <w:pPr>
        <w:ind w:left="156" w:hanging="100"/>
      </w:pPr>
      <w:rPr>
        <w:rFonts w:ascii="Symbol" w:eastAsia="Symbol" w:hAnsi="Symbol" w:cs="Symbol" w:hint="default"/>
        <w:color w:val="231F20"/>
        <w:w w:val="100"/>
        <w:sz w:val="14"/>
        <w:szCs w:val="14"/>
      </w:rPr>
    </w:lvl>
    <w:lvl w:ilvl="1" w:tplc="35D82A8C">
      <w:numFmt w:val="bullet"/>
      <w:lvlText w:val="•"/>
      <w:lvlJc w:val="left"/>
      <w:pPr>
        <w:ind w:left="398" w:hanging="100"/>
      </w:pPr>
      <w:rPr>
        <w:rFonts w:hint="default"/>
      </w:rPr>
    </w:lvl>
    <w:lvl w:ilvl="2" w:tplc="905ED00C">
      <w:numFmt w:val="bullet"/>
      <w:lvlText w:val="•"/>
      <w:lvlJc w:val="left"/>
      <w:pPr>
        <w:ind w:left="636" w:hanging="100"/>
      </w:pPr>
      <w:rPr>
        <w:rFonts w:hint="default"/>
      </w:rPr>
    </w:lvl>
    <w:lvl w:ilvl="3" w:tplc="F648B5F8">
      <w:numFmt w:val="bullet"/>
      <w:lvlText w:val="•"/>
      <w:lvlJc w:val="left"/>
      <w:pPr>
        <w:ind w:left="874" w:hanging="100"/>
      </w:pPr>
      <w:rPr>
        <w:rFonts w:hint="default"/>
      </w:rPr>
    </w:lvl>
    <w:lvl w:ilvl="4" w:tplc="62364998">
      <w:numFmt w:val="bullet"/>
      <w:lvlText w:val="•"/>
      <w:lvlJc w:val="left"/>
      <w:pPr>
        <w:ind w:left="1112" w:hanging="100"/>
      </w:pPr>
      <w:rPr>
        <w:rFonts w:hint="default"/>
      </w:rPr>
    </w:lvl>
    <w:lvl w:ilvl="5" w:tplc="B6567496">
      <w:numFmt w:val="bullet"/>
      <w:lvlText w:val="•"/>
      <w:lvlJc w:val="left"/>
      <w:pPr>
        <w:ind w:left="1350" w:hanging="100"/>
      </w:pPr>
      <w:rPr>
        <w:rFonts w:hint="default"/>
      </w:rPr>
    </w:lvl>
    <w:lvl w:ilvl="6" w:tplc="38F69D8A">
      <w:numFmt w:val="bullet"/>
      <w:lvlText w:val="•"/>
      <w:lvlJc w:val="left"/>
      <w:pPr>
        <w:ind w:left="1588" w:hanging="100"/>
      </w:pPr>
      <w:rPr>
        <w:rFonts w:hint="default"/>
      </w:rPr>
    </w:lvl>
    <w:lvl w:ilvl="7" w:tplc="43824CD6">
      <w:numFmt w:val="bullet"/>
      <w:lvlText w:val="•"/>
      <w:lvlJc w:val="left"/>
      <w:pPr>
        <w:ind w:left="1826" w:hanging="100"/>
      </w:pPr>
      <w:rPr>
        <w:rFonts w:hint="default"/>
      </w:rPr>
    </w:lvl>
    <w:lvl w:ilvl="8" w:tplc="3C7CA9A0">
      <w:numFmt w:val="bullet"/>
      <w:lvlText w:val="•"/>
      <w:lvlJc w:val="left"/>
      <w:pPr>
        <w:ind w:left="2064" w:hanging="100"/>
      </w:pPr>
      <w:rPr>
        <w:rFonts w:hint="default"/>
      </w:rPr>
    </w:lvl>
  </w:abstractNum>
  <w:abstractNum w:abstractNumId="1392" w15:restartNumberingAfterBreak="0">
    <w:nsid w:val="56111114"/>
    <w:multiLevelType w:val="hybridMultilevel"/>
    <w:tmpl w:val="AAF874D0"/>
    <w:lvl w:ilvl="0" w:tplc="C48265B8">
      <w:numFmt w:val="bullet"/>
      <w:lvlText w:val=""/>
      <w:lvlJc w:val="left"/>
      <w:pPr>
        <w:ind w:left="156" w:hanging="100"/>
      </w:pPr>
      <w:rPr>
        <w:rFonts w:ascii="Symbol" w:eastAsia="Symbol" w:hAnsi="Symbol" w:cs="Symbol" w:hint="default"/>
        <w:color w:val="231F20"/>
        <w:w w:val="100"/>
        <w:sz w:val="14"/>
        <w:szCs w:val="14"/>
      </w:rPr>
    </w:lvl>
    <w:lvl w:ilvl="1" w:tplc="B8B8DFBE">
      <w:numFmt w:val="bullet"/>
      <w:lvlText w:val="•"/>
      <w:lvlJc w:val="left"/>
      <w:pPr>
        <w:ind w:left="398" w:hanging="100"/>
      </w:pPr>
      <w:rPr>
        <w:rFonts w:hint="default"/>
      </w:rPr>
    </w:lvl>
    <w:lvl w:ilvl="2" w:tplc="2B2A572E">
      <w:numFmt w:val="bullet"/>
      <w:lvlText w:val="•"/>
      <w:lvlJc w:val="left"/>
      <w:pPr>
        <w:ind w:left="636" w:hanging="100"/>
      </w:pPr>
      <w:rPr>
        <w:rFonts w:hint="default"/>
      </w:rPr>
    </w:lvl>
    <w:lvl w:ilvl="3" w:tplc="052CC6DA">
      <w:numFmt w:val="bullet"/>
      <w:lvlText w:val="•"/>
      <w:lvlJc w:val="left"/>
      <w:pPr>
        <w:ind w:left="874" w:hanging="100"/>
      </w:pPr>
      <w:rPr>
        <w:rFonts w:hint="default"/>
      </w:rPr>
    </w:lvl>
    <w:lvl w:ilvl="4" w:tplc="50649A16">
      <w:numFmt w:val="bullet"/>
      <w:lvlText w:val="•"/>
      <w:lvlJc w:val="left"/>
      <w:pPr>
        <w:ind w:left="1112" w:hanging="100"/>
      </w:pPr>
      <w:rPr>
        <w:rFonts w:hint="default"/>
      </w:rPr>
    </w:lvl>
    <w:lvl w:ilvl="5" w:tplc="AE5689A8">
      <w:numFmt w:val="bullet"/>
      <w:lvlText w:val="•"/>
      <w:lvlJc w:val="left"/>
      <w:pPr>
        <w:ind w:left="1350" w:hanging="100"/>
      </w:pPr>
      <w:rPr>
        <w:rFonts w:hint="default"/>
      </w:rPr>
    </w:lvl>
    <w:lvl w:ilvl="6" w:tplc="887A58D6">
      <w:numFmt w:val="bullet"/>
      <w:lvlText w:val="•"/>
      <w:lvlJc w:val="left"/>
      <w:pPr>
        <w:ind w:left="1588" w:hanging="100"/>
      </w:pPr>
      <w:rPr>
        <w:rFonts w:hint="default"/>
      </w:rPr>
    </w:lvl>
    <w:lvl w:ilvl="7" w:tplc="918653C2">
      <w:numFmt w:val="bullet"/>
      <w:lvlText w:val="•"/>
      <w:lvlJc w:val="left"/>
      <w:pPr>
        <w:ind w:left="1826" w:hanging="100"/>
      </w:pPr>
      <w:rPr>
        <w:rFonts w:hint="default"/>
      </w:rPr>
    </w:lvl>
    <w:lvl w:ilvl="8" w:tplc="BD4463FC">
      <w:numFmt w:val="bullet"/>
      <w:lvlText w:val="•"/>
      <w:lvlJc w:val="left"/>
      <w:pPr>
        <w:ind w:left="2064" w:hanging="100"/>
      </w:pPr>
      <w:rPr>
        <w:rFonts w:hint="default"/>
      </w:rPr>
    </w:lvl>
  </w:abstractNum>
  <w:abstractNum w:abstractNumId="1393" w15:restartNumberingAfterBreak="0">
    <w:nsid w:val="562A63FD"/>
    <w:multiLevelType w:val="hybridMultilevel"/>
    <w:tmpl w:val="40902B42"/>
    <w:lvl w:ilvl="0" w:tplc="D1960554">
      <w:numFmt w:val="bullet"/>
      <w:lvlText w:val=""/>
      <w:lvlJc w:val="left"/>
      <w:pPr>
        <w:ind w:left="156" w:hanging="100"/>
      </w:pPr>
      <w:rPr>
        <w:rFonts w:ascii="Symbol" w:eastAsia="Symbol" w:hAnsi="Symbol" w:cs="Symbol" w:hint="default"/>
        <w:color w:val="231F20"/>
        <w:w w:val="100"/>
        <w:sz w:val="14"/>
        <w:szCs w:val="14"/>
      </w:rPr>
    </w:lvl>
    <w:lvl w:ilvl="1" w:tplc="B7141BB6">
      <w:numFmt w:val="bullet"/>
      <w:lvlText w:val="•"/>
      <w:lvlJc w:val="left"/>
      <w:pPr>
        <w:ind w:left="301" w:hanging="100"/>
      </w:pPr>
      <w:rPr>
        <w:rFonts w:hint="default"/>
      </w:rPr>
    </w:lvl>
    <w:lvl w:ilvl="2" w:tplc="6C28A358">
      <w:numFmt w:val="bullet"/>
      <w:lvlText w:val="•"/>
      <w:lvlJc w:val="left"/>
      <w:pPr>
        <w:ind w:left="443" w:hanging="100"/>
      </w:pPr>
      <w:rPr>
        <w:rFonts w:hint="default"/>
      </w:rPr>
    </w:lvl>
    <w:lvl w:ilvl="3" w:tplc="00DC6260">
      <w:numFmt w:val="bullet"/>
      <w:lvlText w:val="•"/>
      <w:lvlJc w:val="left"/>
      <w:pPr>
        <w:ind w:left="585" w:hanging="100"/>
      </w:pPr>
      <w:rPr>
        <w:rFonts w:hint="default"/>
      </w:rPr>
    </w:lvl>
    <w:lvl w:ilvl="4" w:tplc="6686A9FE">
      <w:numFmt w:val="bullet"/>
      <w:lvlText w:val="•"/>
      <w:lvlJc w:val="left"/>
      <w:pPr>
        <w:ind w:left="726" w:hanging="100"/>
      </w:pPr>
      <w:rPr>
        <w:rFonts w:hint="default"/>
      </w:rPr>
    </w:lvl>
    <w:lvl w:ilvl="5" w:tplc="EBB8752A">
      <w:numFmt w:val="bullet"/>
      <w:lvlText w:val="•"/>
      <w:lvlJc w:val="left"/>
      <w:pPr>
        <w:ind w:left="868" w:hanging="100"/>
      </w:pPr>
      <w:rPr>
        <w:rFonts w:hint="default"/>
      </w:rPr>
    </w:lvl>
    <w:lvl w:ilvl="6" w:tplc="29EC9476">
      <w:numFmt w:val="bullet"/>
      <w:lvlText w:val="•"/>
      <w:lvlJc w:val="left"/>
      <w:pPr>
        <w:ind w:left="1010" w:hanging="100"/>
      </w:pPr>
      <w:rPr>
        <w:rFonts w:hint="default"/>
      </w:rPr>
    </w:lvl>
    <w:lvl w:ilvl="7" w:tplc="F998FCC2">
      <w:numFmt w:val="bullet"/>
      <w:lvlText w:val="•"/>
      <w:lvlJc w:val="left"/>
      <w:pPr>
        <w:ind w:left="1151" w:hanging="100"/>
      </w:pPr>
      <w:rPr>
        <w:rFonts w:hint="default"/>
      </w:rPr>
    </w:lvl>
    <w:lvl w:ilvl="8" w:tplc="45E23C5E">
      <w:numFmt w:val="bullet"/>
      <w:lvlText w:val="•"/>
      <w:lvlJc w:val="left"/>
      <w:pPr>
        <w:ind w:left="1293" w:hanging="100"/>
      </w:pPr>
      <w:rPr>
        <w:rFonts w:hint="default"/>
      </w:rPr>
    </w:lvl>
  </w:abstractNum>
  <w:abstractNum w:abstractNumId="1394" w15:restartNumberingAfterBreak="0">
    <w:nsid w:val="563279B4"/>
    <w:multiLevelType w:val="hybridMultilevel"/>
    <w:tmpl w:val="A3C655B2"/>
    <w:lvl w:ilvl="0" w:tplc="02364944">
      <w:numFmt w:val="bullet"/>
      <w:lvlText w:val=""/>
      <w:lvlJc w:val="left"/>
      <w:pPr>
        <w:ind w:left="156" w:hanging="100"/>
      </w:pPr>
      <w:rPr>
        <w:rFonts w:ascii="Symbol" w:eastAsia="Symbol" w:hAnsi="Symbol" w:cs="Symbol" w:hint="default"/>
        <w:color w:val="231F20"/>
        <w:w w:val="100"/>
        <w:sz w:val="14"/>
        <w:szCs w:val="14"/>
      </w:rPr>
    </w:lvl>
    <w:lvl w:ilvl="1" w:tplc="2F869674">
      <w:numFmt w:val="bullet"/>
      <w:lvlText w:val="•"/>
      <w:lvlJc w:val="left"/>
      <w:pPr>
        <w:ind w:left="398" w:hanging="100"/>
      </w:pPr>
      <w:rPr>
        <w:rFonts w:hint="default"/>
      </w:rPr>
    </w:lvl>
    <w:lvl w:ilvl="2" w:tplc="55F4D776">
      <w:numFmt w:val="bullet"/>
      <w:lvlText w:val="•"/>
      <w:lvlJc w:val="left"/>
      <w:pPr>
        <w:ind w:left="636" w:hanging="100"/>
      </w:pPr>
      <w:rPr>
        <w:rFonts w:hint="default"/>
      </w:rPr>
    </w:lvl>
    <w:lvl w:ilvl="3" w:tplc="5EB48D4A">
      <w:numFmt w:val="bullet"/>
      <w:lvlText w:val="•"/>
      <w:lvlJc w:val="left"/>
      <w:pPr>
        <w:ind w:left="874" w:hanging="100"/>
      </w:pPr>
      <w:rPr>
        <w:rFonts w:hint="default"/>
      </w:rPr>
    </w:lvl>
    <w:lvl w:ilvl="4" w:tplc="BAD06FA0">
      <w:numFmt w:val="bullet"/>
      <w:lvlText w:val="•"/>
      <w:lvlJc w:val="left"/>
      <w:pPr>
        <w:ind w:left="1112" w:hanging="100"/>
      </w:pPr>
      <w:rPr>
        <w:rFonts w:hint="default"/>
      </w:rPr>
    </w:lvl>
    <w:lvl w:ilvl="5" w:tplc="AB08EF8C">
      <w:numFmt w:val="bullet"/>
      <w:lvlText w:val="•"/>
      <w:lvlJc w:val="left"/>
      <w:pPr>
        <w:ind w:left="1350" w:hanging="100"/>
      </w:pPr>
      <w:rPr>
        <w:rFonts w:hint="default"/>
      </w:rPr>
    </w:lvl>
    <w:lvl w:ilvl="6" w:tplc="4DCC1484">
      <w:numFmt w:val="bullet"/>
      <w:lvlText w:val="•"/>
      <w:lvlJc w:val="left"/>
      <w:pPr>
        <w:ind w:left="1588" w:hanging="100"/>
      </w:pPr>
      <w:rPr>
        <w:rFonts w:hint="default"/>
      </w:rPr>
    </w:lvl>
    <w:lvl w:ilvl="7" w:tplc="7A381782">
      <w:numFmt w:val="bullet"/>
      <w:lvlText w:val="•"/>
      <w:lvlJc w:val="left"/>
      <w:pPr>
        <w:ind w:left="1826" w:hanging="100"/>
      </w:pPr>
      <w:rPr>
        <w:rFonts w:hint="default"/>
      </w:rPr>
    </w:lvl>
    <w:lvl w:ilvl="8" w:tplc="397E25EA">
      <w:numFmt w:val="bullet"/>
      <w:lvlText w:val="•"/>
      <w:lvlJc w:val="left"/>
      <w:pPr>
        <w:ind w:left="2064" w:hanging="100"/>
      </w:pPr>
      <w:rPr>
        <w:rFonts w:hint="default"/>
      </w:rPr>
    </w:lvl>
  </w:abstractNum>
  <w:abstractNum w:abstractNumId="1395" w15:restartNumberingAfterBreak="0">
    <w:nsid w:val="563F0419"/>
    <w:multiLevelType w:val="hybridMultilevel"/>
    <w:tmpl w:val="D3E80292"/>
    <w:lvl w:ilvl="0" w:tplc="0BAAF504">
      <w:numFmt w:val="bullet"/>
      <w:lvlText w:val=""/>
      <w:lvlJc w:val="left"/>
      <w:pPr>
        <w:ind w:left="157" w:hanging="100"/>
      </w:pPr>
      <w:rPr>
        <w:rFonts w:ascii="Symbol" w:eastAsia="Symbol" w:hAnsi="Symbol" w:cs="Symbol" w:hint="default"/>
        <w:color w:val="231F20"/>
        <w:w w:val="100"/>
        <w:sz w:val="14"/>
        <w:szCs w:val="14"/>
      </w:rPr>
    </w:lvl>
    <w:lvl w:ilvl="1" w:tplc="2ED058D4">
      <w:numFmt w:val="bullet"/>
      <w:lvlText w:val="•"/>
      <w:lvlJc w:val="left"/>
      <w:pPr>
        <w:ind w:left="426" w:hanging="100"/>
      </w:pPr>
      <w:rPr>
        <w:rFonts w:hint="default"/>
      </w:rPr>
    </w:lvl>
    <w:lvl w:ilvl="2" w:tplc="1B1C7F18">
      <w:numFmt w:val="bullet"/>
      <w:lvlText w:val="•"/>
      <w:lvlJc w:val="left"/>
      <w:pPr>
        <w:ind w:left="692" w:hanging="100"/>
      </w:pPr>
      <w:rPr>
        <w:rFonts w:hint="default"/>
      </w:rPr>
    </w:lvl>
    <w:lvl w:ilvl="3" w:tplc="3EB4CD24">
      <w:numFmt w:val="bullet"/>
      <w:lvlText w:val="•"/>
      <w:lvlJc w:val="left"/>
      <w:pPr>
        <w:ind w:left="959" w:hanging="100"/>
      </w:pPr>
      <w:rPr>
        <w:rFonts w:hint="default"/>
      </w:rPr>
    </w:lvl>
    <w:lvl w:ilvl="4" w:tplc="95823B18">
      <w:numFmt w:val="bullet"/>
      <w:lvlText w:val="•"/>
      <w:lvlJc w:val="left"/>
      <w:pPr>
        <w:ind w:left="1225" w:hanging="100"/>
      </w:pPr>
      <w:rPr>
        <w:rFonts w:hint="default"/>
      </w:rPr>
    </w:lvl>
    <w:lvl w:ilvl="5" w:tplc="8AE2988E">
      <w:numFmt w:val="bullet"/>
      <w:lvlText w:val="•"/>
      <w:lvlJc w:val="left"/>
      <w:pPr>
        <w:ind w:left="1492" w:hanging="100"/>
      </w:pPr>
      <w:rPr>
        <w:rFonts w:hint="default"/>
      </w:rPr>
    </w:lvl>
    <w:lvl w:ilvl="6" w:tplc="F3A23072">
      <w:numFmt w:val="bullet"/>
      <w:lvlText w:val="•"/>
      <w:lvlJc w:val="left"/>
      <w:pPr>
        <w:ind w:left="1758" w:hanging="100"/>
      </w:pPr>
      <w:rPr>
        <w:rFonts w:hint="default"/>
      </w:rPr>
    </w:lvl>
    <w:lvl w:ilvl="7" w:tplc="123CD240">
      <w:numFmt w:val="bullet"/>
      <w:lvlText w:val="•"/>
      <w:lvlJc w:val="left"/>
      <w:pPr>
        <w:ind w:left="2024" w:hanging="100"/>
      </w:pPr>
      <w:rPr>
        <w:rFonts w:hint="default"/>
      </w:rPr>
    </w:lvl>
    <w:lvl w:ilvl="8" w:tplc="92A099E2">
      <w:numFmt w:val="bullet"/>
      <w:lvlText w:val="•"/>
      <w:lvlJc w:val="left"/>
      <w:pPr>
        <w:ind w:left="2291" w:hanging="100"/>
      </w:pPr>
      <w:rPr>
        <w:rFonts w:hint="default"/>
      </w:rPr>
    </w:lvl>
  </w:abstractNum>
  <w:abstractNum w:abstractNumId="1396" w15:restartNumberingAfterBreak="0">
    <w:nsid w:val="56651FF4"/>
    <w:multiLevelType w:val="hybridMultilevel"/>
    <w:tmpl w:val="2F4A89B2"/>
    <w:lvl w:ilvl="0" w:tplc="DE94933E">
      <w:numFmt w:val="bullet"/>
      <w:lvlText w:val=""/>
      <w:lvlJc w:val="left"/>
      <w:pPr>
        <w:ind w:left="156" w:hanging="100"/>
      </w:pPr>
      <w:rPr>
        <w:rFonts w:ascii="Symbol" w:eastAsia="Symbol" w:hAnsi="Symbol" w:cs="Symbol" w:hint="default"/>
        <w:color w:val="231F20"/>
        <w:w w:val="100"/>
        <w:sz w:val="14"/>
        <w:szCs w:val="14"/>
      </w:rPr>
    </w:lvl>
    <w:lvl w:ilvl="1" w:tplc="3946BED0">
      <w:numFmt w:val="bullet"/>
      <w:lvlText w:val="•"/>
      <w:lvlJc w:val="left"/>
      <w:pPr>
        <w:ind w:left="398" w:hanging="100"/>
      </w:pPr>
      <w:rPr>
        <w:rFonts w:hint="default"/>
      </w:rPr>
    </w:lvl>
    <w:lvl w:ilvl="2" w:tplc="B7D03FD2">
      <w:numFmt w:val="bullet"/>
      <w:lvlText w:val="•"/>
      <w:lvlJc w:val="left"/>
      <w:pPr>
        <w:ind w:left="636" w:hanging="100"/>
      </w:pPr>
      <w:rPr>
        <w:rFonts w:hint="default"/>
      </w:rPr>
    </w:lvl>
    <w:lvl w:ilvl="3" w:tplc="D626E7C2">
      <w:numFmt w:val="bullet"/>
      <w:lvlText w:val="•"/>
      <w:lvlJc w:val="left"/>
      <w:pPr>
        <w:ind w:left="874" w:hanging="100"/>
      </w:pPr>
      <w:rPr>
        <w:rFonts w:hint="default"/>
      </w:rPr>
    </w:lvl>
    <w:lvl w:ilvl="4" w:tplc="C51403C2">
      <w:numFmt w:val="bullet"/>
      <w:lvlText w:val="•"/>
      <w:lvlJc w:val="left"/>
      <w:pPr>
        <w:ind w:left="1112" w:hanging="100"/>
      </w:pPr>
      <w:rPr>
        <w:rFonts w:hint="default"/>
      </w:rPr>
    </w:lvl>
    <w:lvl w:ilvl="5" w:tplc="763C4A0C">
      <w:numFmt w:val="bullet"/>
      <w:lvlText w:val="•"/>
      <w:lvlJc w:val="left"/>
      <w:pPr>
        <w:ind w:left="1350" w:hanging="100"/>
      </w:pPr>
      <w:rPr>
        <w:rFonts w:hint="default"/>
      </w:rPr>
    </w:lvl>
    <w:lvl w:ilvl="6" w:tplc="37F4DC4A">
      <w:numFmt w:val="bullet"/>
      <w:lvlText w:val="•"/>
      <w:lvlJc w:val="left"/>
      <w:pPr>
        <w:ind w:left="1588" w:hanging="100"/>
      </w:pPr>
      <w:rPr>
        <w:rFonts w:hint="default"/>
      </w:rPr>
    </w:lvl>
    <w:lvl w:ilvl="7" w:tplc="C358BEF6">
      <w:numFmt w:val="bullet"/>
      <w:lvlText w:val="•"/>
      <w:lvlJc w:val="left"/>
      <w:pPr>
        <w:ind w:left="1826" w:hanging="100"/>
      </w:pPr>
      <w:rPr>
        <w:rFonts w:hint="default"/>
      </w:rPr>
    </w:lvl>
    <w:lvl w:ilvl="8" w:tplc="9174A654">
      <w:numFmt w:val="bullet"/>
      <w:lvlText w:val="•"/>
      <w:lvlJc w:val="left"/>
      <w:pPr>
        <w:ind w:left="2064" w:hanging="100"/>
      </w:pPr>
      <w:rPr>
        <w:rFonts w:hint="default"/>
      </w:rPr>
    </w:lvl>
  </w:abstractNum>
  <w:abstractNum w:abstractNumId="1397" w15:restartNumberingAfterBreak="0">
    <w:nsid w:val="566D507C"/>
    <w:multiLevelType w:val="hybridMultilevel"/>
    <w:tmpl w:val="C5B8DE76"/>
    <w:lvl w:ilvl="0" w:tplc="CE0C6058">
      <w:numFmt w:val="bullet"/>
      <w:lvlText w:val=""/>
      <w:lvlJc w:val="left"/>
      <w:pPr>
        <w:ind w:left="156" w:hanging="100"/>
      </w:pPr>
      <w:rPr>
        <w:rFonts w:ascii="Symbol" w:eastAsia="Symbol" w:hAnsi="Symbol" w:cs="Symbol" w:hint="default"/>
        <w:color w:val="231F20"/>
        <w:w w:val="100"/>
        <w:sz w:val="14"/>
        <w:szCs w:val="14"/>
      </w:rPr>
    </w:lvl>
    <w:lvl w:ilvl="1" w:tplc="825C616A">
      <w:numFmt w:val="bullet"/>
      <w:lvlText w:val="•"/>
      <w:lvlJc w:val="left"/>
      <w:pPr>
        <w:ind w:left="398" w:hanging="100"/>
      </w:pPr>
      <w:rPr>
        <w:rFonts w:hint="default"/>
      </w:rPr>
    </w:lvl>
    <w:lvl w:ilvl="2" w:tplc="BBFC6584">
      <w:numFmt w:val="bullet"/>
      <w:lvlText w:val="•"/>
      <w:lvlJc w:val="left"/>
      <w:pPr>
        <w:ind w:left="636" w:hanging="100"/>
      </w:pPr>
      <w:rPr>
        <w:rFonts w:hint="default"/>
      </w:rPr>
    </w:lvl>
    <w:lvl w:ilvl="3" w:tplc="0DE45EB0">
      <w:numFmt w:val="bullet"/>
      <w:lvlText w:val="•"/>
      <w:lvlJc w:val="left"/>
      <w:pPr>
        <w:ind w:left="874" w:hanging="100"/>
      </w:pPr>
      <w:rPr>
        <w:rFonts w:hint="default"/>
      </w:rPr>
    </w:lvl>
    <w:lvl w:ilvl="4" w:tplc="FC027D38">
      <w:numFmt w:val="bullet"/>
      <w:lvlText w:val="•"/>
      <w:lvlJc w:val="left"/>
      <w:pPr>
        <w:ind w:left="1112" w:hanging="100"/>
      </w:pPr>
      <w:rPr>
        <w:rFonts w:hint="default"/>
      </w:rPr>
    </w:lvl>
    <w:lvl w:ilvl="5" w:tplc="545E1B58">
      <w:numFmt w:val="bullet"/>
      <w:lvlText w:val="•"/>
      <w:lvlJc w:val="left"/>
      <w:pPr>
        <w:ind w:left="1350" w:hanging="100"/>
      </w:pPr>
      <w:rPr>
        <w:rFonts w:hint="default"/>
      </w:rPr>
    </w:lvl>
    <w:lvl w:ilvl="6" w:tplc="86B2E7CE">
      <w:numFmt w:val="bullet"/>
      <w:lvlText w:val="•"/>
      <w:lvlJc w:val="left"/>
      <w:pPr>
        <w:ind w:left="1588" w:hanging="100"/>
      </w:pPr>
      <w:rPr>
        <w:rFonts w:hint="default"/>
      </w:rPr>
    </w:lvl>
    <w:lvl w:ilvl="7" w:tplc="5C70984A">
      <w:numFmt w:val="bullet"/>
      <w:lvlText w:val="•"/>
      <w:lvlJc w:val="left"/>
      <w:pPr>
        <w:ind w:left="1826" w:hanging="100"/>
      </w:pPr>
      <w:rPr>
        <w:rFonts w:hint="default"/>
      </w:rPr>
    </w:lvl>
    <w:lvl w:ilvl="8" w:tplc="E918CD1E">
      <w:numFmt w:val="bullet"/>
      <w:lvlText w:val="•"/>
      <w:lvlJc w:val="left"/>
      <w:pPr>
        <w:ind w:left="2064" w:hanging="100"/>
      </w:pPr>
      <w:rPr>
        <w:rFonts w:hint="default"/>
      </w:rPr>
    </w:lvl>
  </w:abstractNum>
  <w:abstractNum w:abstractNumId="1398" w15:restartNumberingAfterBreak="0">
    <w:nsid w:val="569275ED"/>
    <w:multiLevelType w:val="hybridMultilevel"/>
    <w:tmpl w:val="AB3EE57E"/>
    <w:lvl w:ilvl="0" w:tplc="96E0A7D4">
      <w:numFmt w:val="bullet"/>
      <w:lvlText w:val=""/>
      <w:lvlJc w:val="left"/>
      <w:pPr>
        <w:ind w:left="157" w:hanging="100"/>
      </w:pPr>
      <w:rPr>
        <w:rFonts w:ascii="Symbol" w:eastAsia="Symbol" w:hAnsi="Symbol" w:cs="Symbol" w:hint="default"/>
        <w:color w:val="231F20"/>
        <w:w w:val="100"/>
        <w:sz w:val="14"/>
        <w:szCs w:val="14"/>
      </w:rPr>
    </w:lvl>
    <w:lvl w:ilvl="1" w:tplc="DAF21512">
      <w:numFmt w:val="bullet"/>
      <w:lvlText w:val="•"/>
      <w:lvlJc w:val="left"/>
      <w:pPr>
        <w:ind w:left="398" w:hanging="100"/>
      </w:pPr>
      <w:rPr>
        <w:rFonts w:hint="default"/>
      </w:rPr>
    </w:lvl>
    <w:lvl w:ilvl="2" w:tplc="988A6E3C">
      <w:numFmt w:val="bullet"/>
      <w:lvlText w:val="•"/>
      <w:lvlJc w:val="left"/>
      <w:pPr>
        <w:ind w:left="636" w:hanging="100"/>
      </w:pPr>
      <w:rPr>
        <w:rFonts w:hint="default"/>
      </w:rPr>
    </w:lvl>
    <w:lvl w:ilvl="3" w:tplc="7A1291E6">
      <w:numFmt w:val="bullet"/>
      <w:lvlText w:val="•"/>
      <w:lvlJc w:val="left"/>
      <w:pPr>
        <w:ind w:left="874" w:hanging="100"/>
      </w:pPr>
      <w:rPr>
        <w:rFonts w:hint="default"/>
      </w:rPr>
    </w:lvl>
    <w:lvl w:ilvl="4" w:tplc="A64A05FC">
      <w:numFmt w:val="bullet"/>
      <w:lvlText w:val="•"/>
      <w:lvlJc w:val="left"/>
      <w:pPr>
        <w:ind w:left="1112" w:hanging="100"/>
      </w:pPr>
      <w:rPr>
        <w:rFonts w:hint="default"/>
      </w:rPr>
    </w:lvl>
    <w:lvl w:ilvl="5" w:tplc="D1F2BAC4">
      <w:numFmt w:val="bullet"/>
      <w:lvlText w:val="•"/>
      <w:lvlJc w:val="left"/>
      <w:pPr>
        <w:ind w:left="1350" w:hanging="100"/>
      </w:pPr>
      <w:rPr>
        <w:rFonts w:hint="default"/>
      </w:rPr>
    </w:lvl>
    <w:lvl w:ilvl="6" w:tplc="A5D2DDAA">
      <w:numFmt w:val="bullet"/>
      <w:lvlText w:val="•"/>
      <w:lvlJc w:val="left"/>
      <w:pPr>
        <w:ind w:left="1588" w:hanging="100"/>
      </w:pPr>
      <w:rPr>
        <w:rFonts w:hint="default"/>
      </w:rPr>
    </w:lvl>
    <w:lvl w:ilvl="7" w:tplc="84622B72">
      <w:numFmt w:val="bullet"/>
      <w:lvlText w:val="•"/>
      <w:lvlJc w:val="left"/>
      <w:pPr>
        <w:ind w:left="1826" w:hanging="100"/>
      </w:pPr>
      <w:rPr>
        <w:rFonts w:hint="default"/>
      </w:rPr>
    </w:lvl>
    <w:lvl w:ilvl="8" w:tplc="054EFE1A">
      <w:numFmt w:val="bullet"/>
      <w:lvlText w:val="•"/>
      <w:lvlJc w:val="left"/>
      <w:pPr>
        <w:ind w:left="2064" w:hanging="100"/>
      </w:pPr>
      <w:rPr>
        <w:rFonts w:hint="default"/>
      </w:rPr>
    </w:lvl>
  </w:abstractNum>
  <w:abstractNum w:abstractNumId="1399" w15:restartNumberingAfterBreak="0">
    <w:nsid w:val="569A0AF8"/>
    <w:multiLevelType w:val="hybridMultilevel"/>
    <w:tmpl w:val="DC868570"/>
    <w:lvl w:ilvl="0" w:tplc="8F74E9F6">
      <w:numFmt w:val="bullet"/>
      <w:lvlText w:val=""/>
      <w:lvlJc w:val="left"/>
      <w:pPr>
        <w:ind w:left="156" w:hanging="100"/>
      </w:pPr>
      <w:rPr>
        <w:rFonts w:ascii="Symbol" w:eastAsia="Symbol" w:hAnsi="Symbol" w:cs="Symbol" w:hint="default"/>
        <w:color w:val="231F20"/>
        <w:w w:val="100"/>
        <w:sz w:val="14"/>
        <w:szCs w:val="14"/>
      </w:rPr>
    </w:lvl>
    <w:lvl w:ilvl="1" w:tplc="461AB662">
      <w:numFmt w:val="bullet"/>
      <w:lvlText w:val="•"/>
      <w:lvlJc w:val="left"/>
      <w:pPr>
        <w:ind w:left="426" w:hanging="100"/>
      </w:pPr>
      <w:rPr>
        <w:rFonts w:hint="default"/>
      </w:rPr>
    </w:lvl>
    <w:lvl w:ilvl="2" w:tplc="66507398">
      <w:numFmt w:val="bullet"/>
      <w:lvlText w:val="•"/>
      <w:lvlJc w:val="left"/>
      <w:pPr>
        <w:ind w:left="692" w:hanging="100"/>
      </w:pPr>
      <w:rPr>
        <w:rFonts w:hint="default"/>
      </w:rPr>
    </w:lvl>
    <w:lvl w:ilvl="3" w:tplc="2B28F9F6">
      <w:numFmt w:val="bullet"/>
      <w:lvlText w:val="•"/>
      <w:lvlJc w:val="left"/>
      <w:pPr>
        <w:ind w:left="959" w:hanging="100"/>
      </w:pPr>
      <w:rPr>
        <w:rFonts w:hint="default"/>
      </w:rPr>
    </w:lvl>
    <w:lvl w:ilvl="4" w:tplc="03286802">
      <w:numFmt w:val="bullet"/>
      <w:lvlText w:val="•"/>
      <w:lvlJc w:val="left"/>
      <w:pPr>
        <w:ind w:left="1225" w:hanging="100"/>
      </w:pPr>
      <w:rPr>
        <w:rFonts w:hint="default"/>
      </w:rPr>
    </w:lvl>
    <w:lvl w:ilvl="5" w:tplc="89A89256">
      <w:numFmt w:val="bullet"/>
      <w:lvlText w:val="•"/>
      <w:lvlJc w:val="left"/>
      <w:pPr>
        <w:ind w:left="1492" w:hanging="100"/>
      </w:pPr>
      <w:rPr>
        <w:rFonts w:hint="default"/>
      </w:rPr>
    </w:lvl>
    <w:lvl w:ilvl="6" w:tplc="91C24328">
      <w:numFmt w:val="bullet"/>
      <w:lvlText w:val="•"/>
      <w:lvlJc w:val="left"/>
      <w:pPr>
        <w:ind w:left="1758" w:hanging="100"/>
      </w:pPr>
      <w:rPr>
        <w:rFonts w:hint="default"/>
      </w:rPr>
    </w:lvl>
    <w:lvl w:ilvl="7" w:tplc="EB9674EA">
      <w:numFmt w:val="bullet"/>
      <w:lvlText w:val="•"/>
      <w:lvlJc w:val="left"/>
      <w:pPr>
        <w:ind w:left="2024" w:hanging="100"/>
      </w:pPr>
      <w:rPr>
        <w:rFonts w:hint="default"/>
      </w:rPr>
    </w:lvl>
    <w:lvl w:ilvl="8" w:tplc="CD9C9342">
      <w:numFmt w:val="bullet"/>
      <w:lvlText w:val="•"/>
      <w:lvlJc w:val="left"/>
      <w:pPr>
        <w:ind w:left="2291" w:hanging="100"/>
      </w:pPr>
      <w:rPr>
        <w:rFonts w:hint="default"/>
      </w:rPr>
    </w:lvl>
  </w:abstractNum>
  <w:abstractNum w:abstractNumId="1400" w15:restartNumberingAfterBreak="0">
    <w:nsid w:val="56A55328"/>
    <w:multiLevelType w:val="hybridMultilevel"/>
    <w:tmpl w:val="CF3E32C4"/>
    <w:lvl w:ilvl="0" w:tplc="FB2EA36C">
      <w:numFmt w:val="bullet"/>
      <w:lvlText w:val=""/>
      <w:lvlJc w:val="left"/>
      <w:pPr>
        <w:ind w:left="156" w:hanging="100"/>
      </w:pPr>
      <w:rPr>
        <w:rFonts w:ascii="Symbol" w:eastAsia="Symbol" w:hAnsi="Symbol" w:cs="Symbol" w:hint="default"/>
        <w:color w:val="231F20"/>
        <w:w w:val="100"/>
        <w:sz w:val="14"/>
        <w:szCs w:val="14"/>
      </w:rPr>
    </w:lvl>
    <w:lvl w:ilvl="1" w:tplc="E4BEE83A">
      <w:numFmt w:val="bullet"/>
      <w:lvlText w:val="•"/>
      <w:lvlJc w:val="left"/>
      <w:pPr>
        <w:ind w:left="301" w:hanging="100"/>
      </w:pPr>
      <w:rPr>
        <w:rFonts w:hint="default"/>
      </w:rPr>
    </w:lvl>
    <w:lvl w:ilvl="2" w:tplc="BA525ED2">
      <w:numFmt w:val="bullet"/>
      <w:lvlText w:val="•"/>
      <w:lvlJc w:val="left"/>
      <w:pPr>
        <w:ind w:left="443" w:hanging="100"/>
      </w:pPr>
      <w:rPr>
        <w:rFonts w:hint="default"/>
      </w:rPr>
    </w:lvl>
    <w:lvl w:ilvl="3" w:tplc="088E90EA">
      <w:numFmt w:val="bullet"/>
      <w:lvlText w:val="•"/>
      <w:lvlJc w:val="left"/>
      <w:pPr>
        <w:ind w:left="585" w:hanging="100"/>
      </w:pPr>
      <w:rPr>
        <w:rFonts w:hint="default"/>
      </w:rPr>
    </w:lvl>
    <w:lvl w:ilvl="4" w:tplc="D4123DE8">
      <w:numFmt w:val="bullet"/>
      <w:lvlText w:val="•"/>
      <w:lvlJc w:val="left"/>
      <w:pPr>
        <w:ind w:left="726" w:hanging="100"/>
      </w:pPr>
      <w:rPr>
        <w:rFonts w:hint="default"/>
      </w:rPr>
    </w:lvl>
    <w:lvl w:ilvl="5" w:tplc="80D62476">
      <w:numFmt w:val="bullet"/>
      <w:lvlText w:val="•"/>
      <w:lvlJc w:val="left"/>
      <w:pPr>
        <w:ind w:left="868" w:hanging="100"/>
      </w:pPr>
      <w:rPr>
        <w:rFonts w:hint="default"/>
      </w:rPr>
    </w:lvl>
    <w:lvl w:ilvl="6" w:tplc="0FDCD4AE">
      <w:numFmt w:val="bullet"/>
      <w:lvlText w:val="•"/>
      <w:lvlJc w:val="left"/>
      <w:pPr>
        <w:ind w:left="1010" w:hanging="100"/>
      </w:pPr>
      <w:rPr>
        <w:rFonts w:hint="default"/>
      </w:rPr>
    </w:lvl>
    <w:lvl w:ilvl="7" w:tplc="A642CE2C">
      <w:numFmt w:val="bullet"/>
      <w:lvlText w:val="•"/>
      <w:lvlJc w:val="left"/>
      <w:pPr>
        <w:ind w:left="1151" w:hanging="100"/>
      </w:pPr>
      <w:rPr>
        <w:rFonts w:hint="default"/>
      </w:rPr>
    </w:lvl>
    <w:lvl w:ilvl="8" w:tplc="15F8271C">
      <w:numFmt w:val="bullet"/>
      <w:lvlText w:val="•"/>
      <w:lvlJc w:val="left"/>
      <w:pPr>
        <w:ind w:left="1293" w:hanging="100"/>
      </w:pPr>
      <w:rPr>
        <w:rFonts w:hint="default"/>
      </w:rPr>
    </w:lvl>
  </w:abstractNum>
  <w:abstractNum w:abstractNumId="1401" w15:restartNumberingAfterBreak="0">
    <w:nsid w:val="56A95C7D"/>
    <w:multiLevelType w:val="hybridMultilevel"/>
    <w:tmpl w:val="CE8C7572"/>
    <w:lvl w:ilvl="0" w:tplc="F0C413AE">
      <w:numFmt w:val="bullet"/>
      <w:lvlText w:val=""/>
      <w:lvlJc w:val="left"/>
      <w:pPr>
        <w:ind w:left="156" w:hanging="100"/>
      </w:pPr>
      <w:rPr>
        <w:rFonts w:ascii="Symbol" w:eastAsia="Symbol" w:hAnsi="Symbol" w:cs="Symbol" w:hint="default"/>
        <w:color w:val="231F20"/>
        <w:w w:val="100"/>
        <w:sz w:val="14"/>
        <w:szCs w:val="14"/>
      </w:rPr>
    </w:lvl>
    <w:lvl w:ilvl="1" w:tplc="387C35E4">
      <w:numFmt w:val="bullet"/>
      <w:lvlText w:val="•"/>
      <w:lvlJc w:val="left"/>
      <w:pPr>
        <w:ind w:left="426" w:hanging="100"/>
      </w:pPr>
      <w:rPr>
        <w:rFonts w:hint="default"/>
      </w:rPr>
    </w:lvl>
    <w:lvl w:ilvl="2" w:tplc="B8F2C97A">
      <w:numFmt w:val="bullet"/>
      <w:lvlText w:val="•"/>
      <w:lvlJc w:val="left"/>
      <w:pPr>
        <w:ind w:left="692" w:hanging="100"/>
      </w:pPr>
      <w:rPr>
        <w:rFonts w:hint="default"/>
      </w:rPr>
    </w:lvl>
    <w:lvl w:ilvl="3" w:tplc="EE4CA0A4">
      <w:numFmt w:val="bullet"/>
      <w:lvlText w:val="•"/>
      <w:lvlJc w:val="left"/>
      <w:pPr>
        <w:ind w:left="959" w:hanging="100"/>
      </w:pPr>
      <w:rPr>
        <w:rFonts w:hint="default"/>
      </w:rPr>
    </w:lvl>
    <w:lvl w:ilvl="4" w:tplc="2230106A">
      <w:numFmt w:val="bullet"/>
      <w:lvlText w:val="•"/>
      <w:lvlJc w:val="left"/>
      <w:pPr>
        <w:ind w:left="1225" w:hanging="100"/>
      </w:pPr>
      <w:rPr>
        <w:rFonts w:hint="default"/>
      </w:rPr>
    </w:lvl>
    <w:lvl w:ilvl="5" w:tplc="F90CFB5A">
      <w:numFmt w:val="bullet"/>
      <w:lvlText w:val="•"/>
      <w:lvlJc w:val="left"/>
      <w:pPr>
        <w:ind w:left="1492" w:hanging="100"/>
      </w:pPr>
      <w:rPr>
        <w:rFonts w:hint="default"/>
      </w:rPr>
    </w:lvl>
    <w:lvl w:ilvl="6" w:tplc="4D540436">
      <w:numFmt w:val="bullet"/>
      <w:lvlText w:val="•"/>
      <w:lvlJc w:val="left"/>
      <w:pPr>
        <w:ind w:left="1758" w:hanging="100"/>
      </w:pPr>
      <w:rPr>
        <w:rFonts w:hint="default"/>
      </w:rPr>
    </w:lvl>
    <w:lvl w:ilvl="7" w:tplc="F02A1C44">
      <w:numFmt w:val="bullet"/>
      <w:lvlText w:val="•"/>
      <w:lvlJc w:val="left"/>
      <w:pPr>
        <w:ind w:left="2024" w:hanging="100"/>
      </w:pPr>
      <w:rPr>
        <w:rFonts w:hint="default"/>
      </w:rPr>
    </w:lvl>
    <w:lvl w:ilvl="8" w:tplc="A91C14B2">
      <w:numFmt w:val="bullet"/>
      <w:lvlText w:val="•"/>
      <w:lvlJc w:val="left"/>
      <w:pPr>
        <w:ind w:left="2291" w:hanging="100"/>
      </w:pPr>
      <w:rPr>
        <w:rFonts w:hint="default"/>
      </w:rPr>
    </w:lvl>
  </w:abstractNum>
  <w:abstractNum w:abstractNumId="1402" w15:restartNumberingAfterBreak="0">
    <w:nsid w:val="56C457BC"/>
    <w:multiLevelType w:val="hybridMultilevel"/>
    <w:tmpl w:val="26864806"/>
    <w:lvl w:ilvl="0" w:tplc="A5122D66">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11844BCA">
      <w:numFmt w:val="bullet"/>
      <w:lvlText w:val="•"/>
      <w:lvlJc w:val="left"/>
      <w:pPr>
        <w:ind w:left="351" w:hanging="84"/>
      </w:pPr>
      <w:rPr>
        <w:rFonts w:hint="default"/>
      </w:rPr>
    </w:lvl>
    <w:lvl w:ilvl="2" w:tplc="F38AAA80">
      <w:numFmt w:val="bullet"/>
      <w:lvlText w:val="•"/>
      <w:lvlJc w:val="left"/>
      <w:pPr>
        <w:ind w:left="563" w:hanging="84"/>
      </w:pPr>
      <w:rPr>
        <w:rFonts w:hint="default"/>
      </w:rPr>
    </w:lvl>
    <w:lvl w:ilvl="3" w:tplc="5ADADE04">
      <w:numFmt w:val="bullet"/>
      <w:lvlText w:val="•"/>
      <w:lvlJc w:val="left"/>
      <w:pPr>
        <w:ind w:left="775" w:hanging="84"/>
      </w:pPr>
      <w:rPr>
        <w:rFonts w:hint="default"/>
      </w:rPr>
    </w:lvl>
    <w:lvl w:ilvl="4" w:tplc="C05E89BA">
      <w:numFmt w:val="bullet"/>
      <w:lvlText w:val="•"/>
      <w:lvlJc w:val="left"/>
      <w:pPr>
        <w:ind w:left="986" w:hanging="84"/>
      </w:pPr>
      <w:rPr>
        <w:rFonts w:hint="default"/>
      </w:rPr>
    </w:lvl>
    <w:lvl w:ilvl="5" w:tplc="206E7EC6">
      <w:numFmt w:val="bullet"/>
      <w:lvlText w:val="•"/>
      <w:lvlJc w:val="left"/>
      <w:pPr>
        <w:ind w:left="1198" w:hanging="84"/>
      </w:pPr>
      <w:rPr>
        <w:rFonts w:hint="default"/>
      </w:rPr>
    </w:lvl>
    <w:lvl w:ilvl="6" w:tplc="D3BEB6A6">
      <w:numFmt w:val="bullet"/>
      <w:lvlText w:val="•"/>
      <w:lvlJc w:val="left"/>
      <w:pPr>
        <w:ind w:left="1410" w:hanging="84"/>
      </w:pPr>
      <w:rPr>
        <w:rFonts w:hint="default"/>
      </w:rPr>
    </w:lvl>
    <w:lvl w:ilvl="7" w:tplc="B0E26EE0">
      <w:numFmt w:val="bullet"/>
      <w:lvlText w:val="•"/>
      <w:lvlJc w:val="left"/>
      <w:pPr>
        <w:ind w:left="1621" w:hanging="84"/>
      </w:pPr>
      <w:rPr>
        <w:rFonts w:hint="default"/>
      </w:rPr>
    </w:lvl>
    <w:lvl w:ilvl="8" w:tplc="FB36EE8E">
      <w:numFmt w:val="bullet"/>
      <w:lvlText w:val="•"/>
      <w:lvlJc w:val="left"/>
      <w:pPr>
        <w:ind w:left="1833" w:hanging="84"/>
      </w:pPr>
      <w:rPr>
        <w:rFonts w:hint="default"/>
      </w:rPr>
    </w:lvl>
  </w:abstractNum>
  <w:abstractNum w:abstractNumId="1403" w15:restartNumberingAfterBreak="0">
    <w:nsid w:val="56F41280"/>
    <w:multiLevelType w:val="hybridMultilevel"/>
    <w:tmpl w:val="B99E6328"/>
    <w:lvl w:ilvl="0" w:tplc="87A668E0">
      <w:numFmt w:val="bullet"/>
      <w:lvlText w:val=""/>
      <w:lvlJc w:val="left"/>
      <w:pPr>
        <w:ind w:left="156" w:hanging="100"/>
      </w:pPr>
      <w:rPr>
        <w:rFonts w:ascii="Symbol" w:eastAsia="Symbol" w:hAnsi="Symbol" w:cs="Symbol" w:hint="default"/>
        <w:color w:val="231F20"/>
        <w:w w:val="100"/>
        <w:sz w:val="14"/>
        <w:szCs w:val="14"/>
      </w:rPr>
    </w:lvl>
    <w:lvl w:ilvl="1" w:tplc="D13C9250">
      <w:numFmt w:val="bullet"/>
      <w:lvlText w:val="•"/>
      <w:lvlJc w:val="left"/>
      <w:pPr>
        <w:ind w:left="398" w:hanging="100"/>
      </w:pPr>
      <w:rPr>
        <w:rFonts w:hint="default"/>
      </w:rPr>
    </w:lvl>
    <w:lvl w:ilvl="2" w:tplc="7578DE96">
      <w:numFmt w:val="bullet"/>
      <w:lvlText w:val="•"/>
      <w:lvlJc w:val="left"/>
      <w:pPr>
        <w:ind w:left="636" w:hanging="100"/>
      </w:pPr>
      <w:rPr>
        <w:rFonts w:hint="default"/>
      </w:rPr>
    </w:lvl>
    <w:lvl w:ilvl="3" w:tplc="C9D47D12">
      <w:numFmt w:val="bullet"/>
      <w:lvlText w:val="•"/>
      <w:lvlJc w:val="left"/>
      <w:pPr>
        <w:ind w:left="874" w:hanging="100"/>
      </w:pPr>
      <w:rPr>
        <w:rFonts w:hint="default"/>
      </w:rPr>
    </w:lvl>
    <w:lvl w:ilvl="4" w:tplc="B13A78B6">
      <w:numFmt w:val="bullet"/>
      <w:lvlText w:val="•"/>
      <w:lvlJc w:val="left"/>
      <w:pPr>
        <w:ind w:left="1112" w:hanging="100"/>
      </w:pPr>
      <w:rPr>
        <w:rFonts w:hint="default"/>
      </w:rPr>
    </w:lvl>
    <w:lvl w:ilvl="5" w:tplc="6BECD16C">
      <w:numFmt w:val="bullet"/>
      <w:lvlText w:val="•"/>
      <w:lvlJc w:val="left"/>
      <w:pPr>
        <w:ind w:left="1350" w:hanging="100"/>
      </w:pPr>
      <w:rPr>
        <w:rFonts w:hint="default"/>
      </w:rPr>
    </w:lvl>
    <w:lvl w:ilvl="6" w:tplc="92845820">
      <w:numFmt w:val="bullet"/>
      <w:lvlText w:val="•"/>
      <w:lvlJc w:val="left"/>
      <w:pPr>
        <w:ind w:left="1588" w:hanging="100"/>
      </w:pPr>
      <w:rPr>
        <w:rFonts w:hint="default"/>
      </w:rPr>
    </w:lvl>
    <w:lvl w:ilvl="7" w:tplc="3DA087FA">
      <w:numFmt w:val="bullet"/>
      <w:lvlText w:val="•"/>
      <w:lvlJc w:val="left"/>
      <w:pPr>
        <w:ind w:left="1826" w:hanging="100"/>
      </w:pPr>
      <w:rPr>
        <w:rFonts w:hint="default"/>
      </w:rPr>
    </w:lvl>
    <w:lvl w:ilvl="8" w:tplc="F61EA182">
      <w:numFmt w:val="bullet"/>
      <w:lvlText w:val="•"/>
      <w:lvlJc w:val="left"/>
      <w:pPr>
        <w:ind w:left="2064" w:hanging="100"/>
      </w:pPr>
      <w:rPr>
        <w:rFonts w:hint="default"/>
      </w:rPr>
    </w:lvl>
  </w:abstractNum>
  <w:abstractNum w:abstractNumId="1404" w15:restartNumberingAfterBreak="0">
    <w:nsid w:val="572146CE"/>
    <w:multiLevelType w:val="hybridMultilevel"/>
    <w:tmpl w:val="021A08AE"/>
    <w:lvl w:ilvl="0" w:tplc="7292EB0A">
      <w:numFmt w:val="bullet"/>
      <w:lvlText w:val=""/>
      <w:lvlJc w:val="left"/>
      <w:pPr>
        <w:ind w:left="156" w:hanging="100"/>
      </w:pPr>
      <w:rPr>
        <w:rFonts w:ascii="Symbol" w:eastAsia="Symbol" w:hAnsi="Symbol" w:cs="Symbol" w:hint="default"/>
        <w:color w:val="231F20"/>
        <w:w w:val="100"/>
        <w:sz w:val="14"/>
        <w:szCs w:val="14"/>
      </w:rPr>
    </w:lvl>
    <w:lvl w:ilvl="1" w:tplc="6442A4F2">
      <w:numFmt w:val="bullet"/>
      <w:lvlText w:val="•"/>
      <w:lvlJc w:val="left"/>
      <w:pPr>
        <w:ind w:left="398" w:hanging="100"/>
      </w:pPr>
      <w:rPr>
        <w:rFonts w:hint="default"/>
      </w:rPr>
    </w:lvl>
    <w:lvl w:ilvl="2" w:tplc="7EFAB878">
      <w:numFmt w:val="bullet"/>
      <w:lvlText w:val="•"/>
      <w:lvlJc w:val="left"/>
      <w:pPr>
        <w:ind w:left="636" w:hanging="100"/>
      </w:pPr>
      <w:rPr>
        <w:rFonts w:hint="default"/>
      </w:rPr>
    </w:lvl>
    <w:lvl w:ilvl="3" w:tplc="56F21CE0">
      <w:numFmt w:val="bullet"/>
      <w:lvlText w:val="•"/>
      <w:lvlJc w:val="left"/>
      <w:pPr>
        <w:ind w:left="874" w:hanging="100"/>
      </w:pPr>
      <w:rPr>
        <w:rFonts w:hint="default"/>
      </w:rPr>
    </w:lvl>
    <w:lvl w:ilvl="4" w:tplc="1FC2D99A">
      <w:numFmt w:val="bullet"/>
      <w:lvlText w:val="•"/>
      <w:lvlJc w:val="left"/>
      <w:pPr>
        <w:ind w:left="1112" w:hanging="100"/>
      </w:pPr>
      <w:rPr>
        <w:rFonts w:hint="default"/>
      </w:rPr>
    </w:lvl>
    <w:lvl w:ilvl="5" w:tplc="95462FAC">
      <w:numFmt w:val="bullet"/>
      <w:lvlText w:val="•"/>
      <w:lvlJc w:val="left"/>
      <w:pPr>
        <w:ind w:left="1350" w:hanging="100"/>
      </w:pPr>
      <w:rPr>
        <w:rFonts w:hint="default"/>
      </w:rPr>
    </w:lvl>
    <w:lvl w:ilvl="6" w:tplc="3224083E">
      <w:numFmt w:val="bullet"/>
      <w:lvlText w:val="•"/>
      <w:lvlJc w:val="left"/>
      <w:pPr>
        <w:ind w:left="1588" w:hanging="100"/>
      </w:pPr>
      <w:rPr>
        <w:rFonts w:hint="default"/>
      </w:rPr>
    </w:lvl>
    <w:lvl w:ilvl="7" w:tplc="744856A4">
      <w:numFmt w:val="bullet"/>
      <w:lvlText w:val="•"/>
      <w:lvlJc w:val="left"/>
      <w:pPr>
        <w:ind w:left="1826" w:hanging="100"/>
      </w:pPr>
      <w:rPr>
        <w:rFonts w:hint="default"/>
      </w:rPr>
    </w:lvl>
    <w:lvl w:ilvl="8" w:tplc="6164A15C">
      <w:numFmt w:val="bullet"/>
      <w:lvlText w:val="•"/>
      <w:lvlJc w:val="left"/>
      <w:pPr>
        <w:ind w:left="2064" w:hanging="100"/>
      </w:pPr>
      <w:rPr>
        <w:rFonts w:hint="default"/>
      </w:rPr>
    </w:lvl>
  </w:abstractNum>
  <w:abstractNum w:abstractNumId="1405" w15:restartNumberingAfterBreak="0">
    <w:nsid w:val="57215B58"/>
    <w:multiLevelType w:val="hybridMultilevel"/>
    <w:tmpl w:val="196C9F84"/>
    <w:lvl w:ilvl="0" w:tplc="107849C8">
      <w:numFmt w:val="bullet"/>
      <w:lvlText w:val=""/>
      <w:lvlJc w:val="left"/>
      <w:pPr>
        <w:ind w:left="156" w:hanging="100"/>
      </w:pPr>
      <w:rPr>
        <w:rFonts w:ascii="Symbol" w:eastAsia="Symbol" w:hAnsi="Symbol" w:cs="Symbol" w:hint="default"/>
        <w:color w:val="231F20"/>
        <w:w w:val="100"/>
        <w:sz w:val="14"/>
        <w:szCs w:val="14"/>
      </w:rPr>
    </w:lvl>
    <w:lvl w:ilvl="1" w:tplc="DA0690E2">
      <w:numFmt w:val="bullet"/>
      <w:lvlText w:val="•"/>
      <w:lvlJc w:val="left"/>
      <w:pPr>
        <w:ind w:left="398" w:hanging="100"/>
      </w:pPr>
      <w:rPr>
        <w:rFonts w:hint="default"/>
      </w:rPr>
    </w:lvl>
    <w:lvl w:ilvl="2" w:tplc="BF744DC2">
      <w:numFmt w:val="bullet"/>
      <w:lvlText w:val="•"/>
      <w:lvlJc w:val="left"/>
      <w:pPr>
        <w:ind w:left="636" w:hanging="100"/>
      </w:pPr>
      <w:rPr>
        <w:rFonts w:hint="default"/>
      </w:rPr>
    </w:lvl>
    <w:lvl w:ilvl="3" w:tplc="72022172">
      <w:numFmt w:val="bullet"/>
      <w:lvlText w:val="•"/>
      <w:lvlJc w:val="left"/>
      <w:pPr>
        <w:ind w:left="874" w:hanging="100"/>
      </w:pPr>
      <w:rPr>
        <w:rFonts w:hint="default"/>
      </w:rPr>
    </w:lvl>
    <w:lvl w:ilvl="4" w:tplc="5A7CA3E6">
      <w:numFmt w:val="bullet"/>
      <w:lvlText w:val="•"/>
      <w:lvlJc w:val="left"/>
      <w:pPr>
        <w:ind w:left="1112" w:hanging="100"/>
      </w:pPr>
      <w:rPr>
        <w:rFonts w:hint="default"/>
      </w:rPr>
    </w:lvl>
    <w:lvl w:ilvl="5" w:tplc="2DAED4D0">
      <w:numFmt w:val="bullet"/>
      <w:lvlText w:val="•"/>
      <w:lvlJc w:val="left"/>
      <w:pPr>
        <w:ind w:left="1350" w:hanging="100"/>
      </w:pPr>
      <w:rPr>
        <w:rFonts w:hint="default"/>
      </w:rPr>
    </w:lvl>
    <w:lvl w:ilvl="6" w:tplc="CD1E6D6E">
      <w:numFmt w:val="bullet"/>
      <w:lvlText w:val="•"/>
      <w:lvlJc w:val="left"/>
      <w:pPr>
        <w:ind w:left="1588" w:hanging="100"/>
      </w:pPr>
      <w:rPr>
        <w:rFonts w:hint="default"/>
      </w:rPr>
    </w:lvl>
    <w:lvl w:ilvl="7" w:tplc="9C10BF90">
      <w:numFmt w:val="bullet"/>
      <w:lvlText w:val="•"/>
      <w:lvlJc w:val="left"/>
      <w:pPr>
        <w:ind w:left="1826" w:hanging="100"/>
      </w:pPr>
      <w:rPr>
        <w:rFonts w:hint="default"/>
      </w:rPr>
    </w:lvl>
    <w:lvl w:ilvl="8" w:tplc="7E1A3270">
      <w:numFmt w:val="bullet"/>
      <w:lvlText w:val="•"/>
      <w:lvlJc w:val="left"/>
      <w:pPr>
        <w:ind w:left="2064" w:hanging="100"/>
      </w:pPr>
      <w:rPr>
        <w:rFonts w:hint="default"/>
      </w:rPr>
    </w:lvl>
  </w:abstractNum>
  <w:abstractNum w:abstractNumId="1406" w15:restartNumberingAfterBreak="0">
    <w:nsid w:val="57232208"/>
    <w:multiLevelType w:val="hybridMultilevel"/>
    <w:tmpl w:val="786429D4"/>
    <w:lvl w:ilvl="0" w:tplc="0D001D14">
      <w:numFmt w:val="bullet"/>
      <w:lvlText w:val=""/>
      <w:lvlJc w:val="left"/>
      <w:pPr>
        <w:ind w:left="156" w:hanging="100"/>
      </w:pPr>
      <w:rPr>
        <w:rFonts w:ascii="Symbol" w:eastAsia="Symbol" w:hAnsi="Symbol" w:cs="Symbol" w:hint="default"/>
        <w:color w:val="231F20"/>
        <w:w w:val="100"/>
        <w:sz w:val="14"/>
        <w:szCs w:val="14"/>
      </w:rPr>
    </w:lvl>
    <w:lvl w:ilvl="1" w:tplc="09F8BC90">
      <w:numFmt w:val="bullet"/>
      <w:lvlText w:val="•"/>
      <w:lvlJc w:val="left"/>
      <w:pPr>
        <w:ind w:left="273" w:hanging="100"/>
      </w:pPr>
      <w:rPr>
        <w:rFonts w:hint="default"/>
      </w:rPr>
    </w:lvl>
    <w:lvl w:ilvl="2" w:tplc="937EC972">
      <w:numFmt w:val="bullet"/>
      <w:lvlText w:val="•"/>
      <w:lvlJc w:val="left"/>
      <w:pPr>
        <w:ind w:left="386" w:hanging="100"/>
      </w:pPr>
      <w:rPr>
        <w:rFonts w:hint="default"/>
      </w:rPr>
    </w:lvl>
    <w:lvl w:ilvl="3" w:tplc="C39CA91A">
      <w:numFmt w:val="bullet"/>
      <w:lvlText w:val="•"/>
      <w:lvlJc w:val="left"/>
      <w:pPr>
        <w:ind w:left="500" w:hanging="100"/>
      </w:pPr>
      <w:rPr>
        <w:rFonts w:hint="default"/>
      </w:rPr>
    </w:lvl>
    <w:lvl w:ilvl="4" w:tplc="ED1CD4AC">
      <w:numFmt w:val="bullet"/>
      <w:lvlText w:val="•"/>
      <w:lvlJc w:val="left"/>
      <w:pPr>
        <w:ind w:left="613" w:hanging="100"/>
      </w:pPr>
      <w:rPr>
        <w:rFonts w:hint="default"/>
      </w:rPr>
    </w:lvl>
    <w:lvl w:ilvl="5" w:tplc="77F0A5E2">
      <w:numFmt w:val="bullet"/>
      <w:lvlText w:val="•"/>
      <w:lvlJc w:val="left"/>
      <w:pPr>
        <w:ind w:left="727" w:hanging="100"/>
      </w:pPr>
      <w:rPr>
        <w:rFonts w:hint="default"/>
      </w:rPr>
    </w:lvl>
    <w:lvl w:ilvl="6" w:tplc="61042D30">
      <w:numFmt w:val="bullet"/>
      <w:lvlText w:val="•"/>
      <w:lvlJc w:val="left"/>
      <w:pPr>
        <w:ind w:left="840" w:hanging="100"/>
      </w:pPr>
      <w:rPr>
        <w:rFonts w:hint="default"/>
      </w:rPr>
    </w:lvl>
    <w:lvl w:ilvl="7" w:tplc="F8AC73EA">
      <w:numFmt w:val="bullet"/>
      <w:lvlText w:val="•"/>
      <w:lvlJc w:val="left"/>
      <w:pPr>
        <w:ind w:left="953" w:hanging="100"/>
      </w:pPr>
      <w:rPr>
        <w:rFonts w:hint="default"/>
      </w:rPr>
    </w:lvl>
    <w:lvl w:ilvl="8" w:tplc="43325418">
      <w:numFmt w:val="bullet"/>
      <w:lvlText w:val="•"/>
      <w:lvlJc w:val="left"/>
      <w:pPr>
        <w:ind w:left="1067" w:hanging="100"/>
      </w:pPr>
      <w:rPr>
        <w:rFonts w:hint="default"/>
      </w:rPr>
    </w:lvl>
  </w:abstractNum>
  <w:abstractNum w:abstractNumId="1407" w15:restartNumberingAfterBreak="0">
    <w:nsid w:val="572D2FD1"/>
    <w:multiLevelType w:val="hybridMultilevel"/>
    <w:tmpl w:val="4788C362"/>
    <w:lvl w:ilvl="0" w:tplc="256059DA">
      <w:numFmt w:val="bullet"/>
      <w:lvlText w:val=""/>
      <w:lvlJc w:val="left"/>
      <w:pPr>
        <w:ind w:left="156" w:hanging="100"/>
      </w:pPr>
      <w:rPr>
        <w:rFonts w:ascii="Symbol" w:eastAsia="Symbol" w:hAnsi="Symbol" w:cs="Symbol" w:hint="default"/>
        <w:color w:val="231F20"/>
        <w:w w:val="100"/>
        <w:sz w:val="14"/>
        <w:szCs w:val="14"/>
      </w:rPr>
    </w:lvl>
    <w:lvl w:ilvl="1" w:tplc="90E05A88">
      <w:numFmt w:val="bullet"/>
      <w:lvlText w:val="•"/>
      <w:lvlJc w:val="left"/>
      <w:pPr>
        <w:ind w:left="301" w:hanging="100"/>
      </w:pPr>
      <w:rPr>
        <w:rFonts w:hint="default"/>
      </w:rPr>
    </w:lvl>
    <w:lvl w:ilvl="2" w:tplc="8FAC5E2E">
      <w:numFmt w:val="bullet"/>
      <w:lvlText w:val="•"/>
      <w:lvlJc w:val="left"/>
      <w:pPr>
        <w:ind w:left="443" w:hanging="100"/>
      </w:pPr>
      <w:rPr>
        <w:rFonts w:hint="default"/>
      </w:rPr>
    </w:lvl>
    <w:lvl w:ilvl="3" w:tplc="775C6654">
      <w:numFmt w:val="bullet"/>
      <w:lvlText w:val="•"/>
      <w:lvlJc w:val="left"/>
      <w:pPr>
        <w:ind w:left="585" w:hanging="100"/>
      </w:pPr>
      <w:rPr>
        <w:rFonts w:hint="default"/>
      </w:rPr>
    </w:lvl>
    <w:lvl w:ilvl="4" w:tplc="38D49CF8">
      <w:numFmt w:val="bullet"/>
      <w:lvlText w:val="•"/>
      <w:lvlJc w:val="left"/>
      <w:pPr>
        <w:ind w:left="726" w:hanging="100"/>
      </w:pPr>
      <w:rPr>
        <w:rFonts w:hint="default"/>
      </w:rPr>
    </w:lvl>
    <w:lvl w:ilvl="5" w:tplc="796E02E0">
      <w:numFmt w:val="bullet"/>
      <w:lvlText w:val="•"/>
      <w:lvlJc w:val="left"/>
      <w:pPr>
        <w:ind w:left="868" w:hanging="100"/>
      </w:pPr>
      <w:rPr>
        <w:rFonts w:hint="default"/>
      </w:rPr>
    </w:lvl>
    <w:lvl w:ilvl="6" w:tplc="B5B696A6">
      <w:numFmt w:val="bullet"/>
      <w:lvlText w:val="•"/>
      <w:lvlJc w:val="left"/>
      <w:pPr>
        <w:ind w:left="1010" w:hanging="100"/>
      </w:pPr>
      <w:rPr>
        <w:rFonts w:hint="default"/>
      </w:rPr>
    </w:lvl>
    <w:lvl w:ilvl="7" w:tplc="FBB0243C">
      <w:numFmt w:val="bullet"/>
      <w:lvlText w:val="•"/>
      <w:lvlJc w:val="left"/>
      <w:pPr>
        <w:ind w:left="1151" w:hanging="100"/>
      </w:pPr>
      <w:rPr>
        <w:rFonts w:hint="default"/>
      </w:rPr>
    </w:lvl>
    <w:lvl w:ilvl="8" w:tplc="5658CD20">
      <w:numFmt w:val="bullet"/>
      <w:lvlText w:val="•"/>
      <w:lvlJc w:val="left"/>
      <w:pPr>
        <w:ind w:left="1293" w:hanging="100"/>
      </w:pPr>
      <w:rPr>
        <w:rFonts w:hint="default"/>
      </w:rPr>
    </w:lvl>
  </w:abstractNum>
  <w:abstractNum w:abstractNumId="1408" w15:restartNumberingAfterBreak="0">
    <w:nsid w:val="5739733A"/>
    <w:multiLevelType w:val="hybridMultilevel"/>
    <w:tmpl w:val="7910C206"/>
    <w:lvl w:ilvl="0" w:tplc="118A4982">
      <w:numFmt w:val="bullet"/>
      <w:lvlText w:val=""/>
      <w:lvlJc w:val="left"/>
      <w:pPr>
        <w:ind w:left="157" w:hanging="100"/>
      </w:pPr>
      <w:rPr>
        <w:rFonts w:ascii="Symbol" w:eastAsia="Symbol" w:hAnsi="Symbol" w:cs="Symbol" w:hint="default"/>
        <w:color w:val="231F20"/>
        <w:w w:val="100"/>
        <w:sz w:val="14"/>
        <w:szCs w:val="14"/>
      </w:rPr>
    </w:lvl>
    <w:lvl w:ilvl="1" w:tplc="5860CAB6">
      <w:numFmt w:val="bullet"/>
      <w:lvlText w:val="•"/>
      <w:lvlJc w:val="left"/>
      <w:pPr>
        <w:ind w:left="426" w:hanging="100"/>
      </w:pPr>
      <w:rPr>
        <w:rFonts w:hint="default"/>
      </w:rPr>
    </w:lvl>
    <w:lvl w:ilvl="2" w:tplc="4210A9F6">
      <w:numFmt w:val="bullet"/>
      <w:lvlText w:val="•"/>
      <w:lvlJc w:val="left"/>
      <w:pPr>
        <w:ind w:left="692" w:hanging="100"/>
      </w:pPr>
      <w:rPr>
        <w:rFonts w:hint="default"/>
      </w:rPr>
    </w:lvl>
    <w:lvl w:ilvl="3" w:tplc="F0A6CD10">
      <w:numFmt w:val="bullet"/>
      <w:lvlText w:val="•"/>
      <w:lvlJc w:val="left"/>
      <w:pPr>
        <w:ind w:left="959" w:hanging="100"/>
      </w:pPr>
      <w:rPr>
        <w:rFonts w:hint="default"/>
      </w:rPr>
    </w:lvl>
    <w:lvl w:ilvl="4" w:tplc="5F8874FA">
      <w:numFmt w:val="bullet"/>
      <w:lvlText w:val="•"/>
      <w:lvlJc w:val="left"/>
      <w:pPr>
        <w:ind w:left="1225" w:hanging="100"/>
      </w:pPr>
      <w:rPr>
        <w:rFonts w:hint="default"/>
      </w:rPr>
    </w:lvl>
    <w:lvl w:ilvl="5" w:tplc="FEAC9D54">
      <w:numFmt w:val="bullet"/>
      <w:lvlText w:val="•"/>
      <w:lvlJc w:val="left"/>
      <w:pPr>
        <w:ind w:left="1492" w:hanging="100"/>
      </w:pPr>
      <w:rPr>
        <w:rFonts w:hint="default"/>
      </w:rPr>
    </w:lvl>
    <w:lvl w:ilvl="6" w:tplc="1A1E7494">
      <w:numFmt w:val="bullet"/>
      <w:lvlText w:val="•"/>
      <w:lvlJc w:val="left"/>
      <w:pPr>
        <w:ind w:left="1758" w:hanging="100"/>
      </w:pPr>
      <w:rPr>
        <w:rFonts w:hint="default"/>
      </w:rPr>
    </w:lvl>
    <w:lvl w:ilvl="7" w:tplc="C85C0004">
      <w:numFmt w:val="bullet"/>
      <w:lvlText w:val="•"/>
      <w:lvlJc w:val="left"/>
      <w:pPr>
        <w:ind w:left="2024" w:hanging="100"/>
      </w:pPr>
      <w:rPr>
        <w:rFonts w:hint="default"/>
      </w:rPr>
    </w:lvl>
    <w:lvl w:ilvl="8" w:tplc="0B74D3F4">
      <w:numFmt w:val="bullet"/>
      <w:lvlText w:val="•"/>
      <w:lvlJc w:val="left"/>
      <w:pPr>
        <w:ind w:left="2291" w:hanging="100"/>
      </w:pPr>
      <w:rPr>
        <w:rFonts w:hint="default"/>
      </w:rPr>
    </w:lvl>
  </w:abstractNum>
  <w:abstractNum w:abstractNumId="1409" w15:restartNumberingAfterBreak="0">
    <w:nsid w:val="57466AA5"/>
    <w:multiLevelType w:val="hybridMultilevel"/>
    <w:tmpl w:val="1066807E"/>
    <w:lvl w:ilvl="0" w:tplc="BF6073F0">
      <w:numFmt w:val="bullet"/>
      <w:lvlText w:val=""/>
      <w:lvlJc w:val="left"/>
      <w:pPr>
        <w:ind w:left="157" w:hanging="100"/>
      </w:pPr>
      <w:rPr>
        <w:rFonts w:ascii="Symbol" w:eastAsia="Symbol" w:hAnsi="Symbol" w:cs="Symbol" w:hint="default"/>
        <w:color w:val="231F20"/>
        <w:w w:val="100"/>
        <w:sz w:val="14"/>
        <w:szCs w:val="14"/>
      </w:rPr>
    </w:lvl>
    <w:lvl w:ilvl="1" w:tplc="6038B608">
      <w:numFmt w:val="bullet"/>
      <w:lvlText w:val="•"/>
      <w:lvlJc w:val="left"/>
      <w:pPr>
        <w:ind w:left="426" w:hanging="100"/>
      </w:pPr>
      <w:rPr>
        <w:rFonts w:hint="default"/>
      </w:rPr>
    </w:lvl>
    <w:lvl w:ilvl="2" w:tplc="FBC44FEC">
      <w:numFmt w:val="bullet"/>
      <w:lvlText w:val="•"/>
      <w:lvlJc w:val="left"/>
      <w:pPr>
        <w:ind w:left="692" w:hanging="100"/>
      </w:pPr>
      <w:rPr>
        <w:rFonts w:hint="default"/>
      </w:rPr>
    </w:lvl>
    <w:lvl w:ilvl="3" w:tplc="9AFE9504">
      <w:numFmt w:val="bullet"/>
      <w:lvlText w:val="•"/>
      <w:lvlJc w:val="left"/>
      <w:pPr>
        <w:ind w:left="959" w:hanging="100"/>
      </w:pPr>
      <w:rPr>
        <w:rFonts w:hint="default"/>
      </w:rPr>
    </w:lvl>
    <w:lvl w:ilvl="4" w:tplc="58AC57CA">
      <w:numFmt w:val="bullet"/>
      <w:lvlText w:val="•"/>
      <w:lvlJc w:val="left"/>
      <w:pPr>
        <w:ind w:left="1225" w:hanging="100"/>
      </w:pPr>
      <w:rPr>
        <w:rFonts w:hint="default"/>
      </w:rPr>
    </w:lvl>
    <w:lvl w:ilvl="5" w:tplc="66647A1A">
      <w:numFmt w:val="bullet"/>
      <w:lvlText w:val="•"/>
      <w:lvlJc w:val="left"/>
      <w:pPr>
        <w:ind w:left="1492" w:hanging="100"/>
      </w:pPr>
      <w:rPr>
        <w:rFonts w:hint="default"/>
      </w:rPr>
    </w:lvl>
    <w:lvl w:ilvl="6" w:tplc="9A74BE6C">
      <w:numFmt w:val="bullet"/>
      <w:lvlText w:val="•"/>
      <w:lvlJc w:val="left"/>
      <w:pPr>
        <w:ind w:left="1758" w:hanging="100"/>
      </w:pPr>
      <w:rPr>
        <w:rFonts w:hint="default"/>
      </w:rPr>
    </w:lvl>
    <w:lvl w:ilvl="7" w:tplc="B1C0A74A">
      <w:numFmt w:val="bullet"/>
      <w:lvlText w:val="•"/>
      <w:lvlJc w:val="left"/>
      <w:pPr>
        <w:ind w:left="2024" w:hanging="100"/>
      </w:pPr>
      <w:rPr>
        <w:rFonts w:hint="default"/>
      </w:rPr>
    </w:lvl>
    <w:lvl w:ilvl="8" w:tplc="5EFA39B0">
      <w:numFmt w:val="bullet"/>
      <w:lvlText w:val="•"/>
      <w:lvlJc w:val="left"/>
      <w:pPr>
        <w:ind w:left="2291" w:hanging="100"/>
      </w:pPr>
      <w:rPr>
        <w:rFonts w:hint="default"/>
      </w:rPr>
    </w:lvl>
  </w:abstractNum>
  <w:abstractNum w:abstractNumId="1410" w15:restartNumberingAfterBreak="0">
    <w:nsid w:val="574E0FAC"/>
    <w:multiLevelType w:val="hybridMultilevel"/>
    <w:tmpl w:val="F24E3D70"/>
    <w:lvl w:ilvl="0" w:tplc="659818A8">
      <w:numFmt w:val="bullet"/>
      <w:lvlText w:val=""/>
      <w:lvlJc w:val="left"/>
      <w:pPr>
        <w:ind w:left="156" w:hanging="100"/>
      </w:pPr>
      <w:rPr>
        <w:rFonts w:ascii="Symbol" w:eastAsia="Symbol" w:hAnsi="Symbol" w:cs="Symbol" w:hint="default"/>
        <w:color w:val="231F20"/>
        <w:w w:val="100"/>
        <w:sz w:val="14"/>
        <w:szCs w:val="14"/>
      </w:rPr>
    </w:lvl>
    <w:lvl w:ilvl="1" w:tplc="4AD647F4">
      <w:numFmt w:val="bullet"/>
      <w:lvlText w:val="•"/>
      <w:lvlJc w:val="left"/>
      <w:pPr>
        <w:ind w:left="454" w:hanging="100"/>
      </w:pPr>
      <w:rPr>
        <w:rFonts w:hint="default"/>
      </w:rPr>
    </w:lvl>
    <w:lvl w:ilvl="2" w:tplc="B8B8E412">
      <w:numFmt w:val="bullet"/>
      <w:lvlText w:val="•"/>
      <w:lvlJc w:val="left"/>
      <w:pPr>
        <w:ind w:left="749" w:hanging="100"/>
      </w:pPr>
      <w:rPr>
        <w:rFonts w:hint="default"/>
      </w:rPr>
    </w:lvl>
    <w:lvl w:ilvl="3" w:tplc="252429BC">
      <w:numFmt w:val="bullet"/>
      <w:lvlText w:val="•"/>
      <w:lvlJc w:val="left"/>
      <w:pPr>
        <w:ind w:left="1044" w:hanging="100"/>
      </w:pPr>
      <w:rPr>
        <w:rFonts w:hint="default"/>
      </w:rPr>
    </w:lvl>
    <w:lvl w:ilvl="4" w:tplc="96CA3D80">
      <w:numFmt w:val="bullet"/>
      <w:lvlText w:val="•"/>
      <w:lvlJc w:val="left"/>
      <w:pPr>
        <w:ind w:left="1339" w:hanging="100"/>
      </w:pPr>
      <w:rPr>
        <w:rFonts w:hint="default"/>
      </w:rPr>
    </w:lvl>
    <w:lvl w:ilvl="5" w:tplc="BEF42BAC">
      <w:numFmt w:val="bullet"/>
      <w:lvlText w:val="•"/>
      <w:lvlJc w:val="left"/>
      <w:pPr>
        <w:ind w:left="1634" w:hanging="100"/>
      </w:pPr>
      <w:rPr>
        <w:rFonts w:hint="default"/>
      </w:rPr>
    </w:lvl>
    <w:lvl w:ilvl="6" w:tplc="ADFC4FAE">
      <w:numFmt w:val="bullet"/>
      <w:lvlText w:val="•"/>
      <w:lvlJc w:val="left"/>
      <w:pPr>
        <w:ind w:left="1928" w:hanging="100"/>
      </w:pPr>
      <w:rPr>
        <w:rFonts w:hint="default"/>
      </w:rPr>
    </w:lvl>
    <w:lvl w:ilvl="7" w:tplc="327E5A0A">
      <w:numFmt w:val="bullet"/>
      <w:lvlText w:val="•"/>
      <w:lvlJc w:val="left"/>
      <w:pPr>
        <w:ind w:left="2223" w:hanging="100"/>
      </w:pPr>
      <w:rPr>
        <w:rFonts w:hint="default"/>
      </w:rPr>
    </w:lvl>
    <w:lvl w:ilvl="8" w:tplc="9AE02964">
      <w:numFmt w:val="bullet"/>
      <w:lvlText w:val="•"/>
      <w:lvlJc w:val="left"/>
      <w:pPr>
        <w:ind w:left="2518" w:hanging="100"/>
      </w:pPr>
      <w:rPr>
        <w:rFonts w:hint="default"/>
      </w:rPr>
    </w:lvl>
  </w:abstractNum>
  <w:abstractNum w:abstractNumId="1411" w15:restartNumberingAfterBreak="0">
    <w:nsid w:val="57691987"/>
    <w:multiLevelType w:val="hybridMultilevel"/>
    <w:tmpl w:val="EB42E99C"/>
    <w:lvl w:ilvl="0" w:tplc="B45EECC6">
      <w:numFmt w:val="bullet"/>
      <w:lvlText w:val=""/>
      <w:lvlJc w:val="left"/>
      <w:pPr>
        <w:ind w:left="157" w:hanging="100"/>
      </w:pPr>
      <w:rPr>
        <w:rFonts w:ascii="Symbol" w:eastAsia="Symbol" w:hAnsi="Symbol" w:cs="Symbol" w:hint="default"/>
        <w:color w:val="231F20"/>
        <w:w w:val="100"/>
        <w:sz w:val="14"/>
        <w:szCs w:val="14"/>
      </w:rPr>
    </w:lvl>
    <w:lvl w:ilvl="1" w:tplc="2730CB70">
      <w:numFmt w:val="bullet"/>
      <w:lvlText w:val="•"/>
      <w:lvlJc w:val="left"/>
      <w:pPr>
        <w:ind w:left="369" w:hanging="100"/>
      </w:pPr>
      <w:rPr>
        <w:rFonts w:hint="default"/>
      </w:rPr>
    </w:lvl>
    <w:lvl w:ilvl="2" w:tplc="01A8F2EE">
      <w:numFmt w:val="bullet"/>
      <w:lvlText w:val="•"/>
      <w:lvlJc w:val="left"/>
      <w:pPr>
        <w:ind w:left="579" w:hanging="100"/>
      </w:pPr>
      <w:rPr>
        <w:rFonts w:hint="default"/>
      </w:rPr>
    </w:lvl>
    <w:lvl w:ilvl="3" w:tplc="33F47980">
      <w:numFmt w:val="bullet"/>
      <w:lvlText w:val="•"/>
      <w:lvlJc w:val="left"/>
      <w:pPr>
        <w:ind w:left="789" w:hanging="100"/>
      </w:pPr>
      <w:rPr>
        <w:rFonts w:hint="default"/>
      </w:rPr>
    </w:lvl>
    <w:lvl w:ilvl="4" w:tplc="C2D4D0DC">
      <w:numFmt w:val="bullet"/>
      <w:lvlText w:val="•"/>
      <w:lvlJc w:val="left"/>
      <w:pPr>
        <w:ind w:left="998" w:hanging="100"/>
      </w:pPr>
      <w:rPr>
        <w:rFonts w:hint="default"/>
      </w:rPr>
    </w:lvl>
    <w:lvl w:ilvl="5" w:tplc="0A3618D6">
      <w:numFmt w:val="bullet"/>
      <w:lvlText w:val="•"/>
      <w:lvlJc w:val="left"/>
      <w:pPr>
        <w:ind w:left="1208" w:hanging="100"/>
      </w:pPr>
      <w:rPr>
        <w:rFonts w:hint="default"/>
      </w:rPr>
    </w:lvl>
    <w:lvl w:ilvl="6" w:tplc="1F08E560">
      <w:numFmt w:val="bullet"/>
      <w:lvlText w:val="•"/>
      <w:lvlJc w:val="left"/>
      <w:pPr>
        <w:ind w:left="1418" w:hanging="100"/>
      </w:pPr>
      <w:rPr>
        <w:rFonts w:hint="default"/>
      </w:rPr>
    </w:lvl>
    <w:lvl w:ilvl="7" w:tplc="3EE40D3A">
      <w:numFmt w:val="bullet"/>
      <w:lvlText w:val="•"/>
      <w:lvlJc w:val="left"/>
      <w:pPr>
        <w:ind w:left="1627" w:hanging="100"/>
      </w:pPr>
      <w:rPr>
        <w:rFonts w:hint="default"/>
      </w:rPr>
    </w:lvl>
    <w:lvl w:ilvl="8" w:tplc="BB8EC644">
      <w:numFmt w:val="bullet"/>
      <w:lvlText w:val="•"/>
      <w:lvlJc w:val="left"/>
      <w:pPr>
        <w:ind w:left="1837" w:hanging="100"/>
      </w:pPr>
      <w:rPr>
        <w:rFonts w:hint="default"/>
      </w:rPr>
    </w:lvl>
  </w:abstractNum>
  <w:abstractNum w:abstractNumId="1412" w15:restartNumberingAfterBreak="0">
    <w:nsid w:val="57691ECF"/>
    <w:multiLevelType w:val="hybridMultilevel"/>
    <w:tmpl w:val="4EA20568"/>
    <w:lvl w:ilvl="0" w:tplc="AA805C96">
      <w:numFmt w:val="bullet"/>
      <w:lvlText w:val=""/>
      <w:lvlJc w:val="left"/>
      <w:pPr>
        <w:ind w:left="156" w:hanging="100"/>
      </w:pPr>
      <w:rPr>
        <w:rFonts w:ascii="Symbol" w:eastAsia="Symbol" w:hAnsi="Symbol" w:cs="Symbol" w:hint="default"/>
        <w:color w:val="231F20"/>
        <w:w w:val="100"/>
        <w:sz w:val="14"/>
        <w:szCs w:val="14"/>
      </w:rPr>
    </w:lvl>
    <w:lvl w:ilvl="1" w:tplc="686EC652">
      <w:numFmt w:val="bullet"/>
      <w:lvlText w:val="•"/>
      <w:lvlJc w:val="left"/>
      <w:pPr>
        <w:ind w:left="398" w:hanging="100"/>
      </w:pPr>
      <w:rPr>
        <w:rFonts w:hint="default"/>
      </w:rPr>
    </w:lvl>
    <w:lvl w:ilvl="2" w:tplc="BD5A9FB0">
      <w:numFmt w:val="bullet"/>
      <w:lvlText w:val="•"/>
      <w:lvlJc w:val="left"/>
      <w:pPr>
        <w:ind w:left="636" w:hanging="100"/>
      </w:pPr>
      <w:rPr>
        <w:rFonts w:hint="default"/>
      </w:rPr>
    </w:lvl>
    <w:lvl w:ilvl="3" w:tplc="AE5C85A0">
      <w:numFmt w:val="bullet"/>
      <w:lvlText w:val="•"/>
      <w:lvlJc w:val="left"/>
      <w:pPr>
        <w:ind w:left="874" w:hanging="100"/>
      </w:pPr>
      <w:rPr>
        <w:rFonts w:hint="default"/>
      </w:rPr>
    </w:lvl>
    <w:lvl w:ilvl="4" w:tplc="D4ECEC38">
      <w:numFmt w:val="bullet"/>
      <w:lvlText w:val="•"/>
      <w:lvlJc w:val="left"/>
      <w:pPr>
        <w:ind w:left="1112" w:hanging="100"/>
      </w:pPr>
      <w:rPr>
        <w:rFonts w:hint="default"/>
      </w:rPr>
    </w:lvl>
    <w:lvl w:ilvl="5" w:tplc="DCD4296E">
      <w:numFmt w:val="bullet"/>
      <w:lvlText w:val="•"/>
      <w:lvlJc w:val="left"/>
      <w:pPr>
        <w:ind w:left="1350" w:hanging="100"/>
      </w:pPr>
      <w:rPr>
        <w:rFonts w:hint="default"/>
      </w:rPr>
    </w:lvl>
    <w:lvl w:ilvl="6" w:tplc="C8F88DD8">
      <w:numFmt w:val="bullet"/>
      <w:lvlText w:val="•"/>
      <w:lvlJc w:val="left"/>
      <w:pPr>
        <w:ind w:left="1588" w:hanging="100"/>
      </w:pPr>
      <w:rPr>
        <w:rFonts w:hint="default"/>
      </w:rPr>
    </w:lvl>
    <w:lvl w:ilvl="7" w:tplc="16507DD8">
      <w:numFmt w:val="bullet"/>
      <w:lvlText w:val="•"/>
      <w:lvlJc w:val="left"/>
      <w:pPr>
        <w:ind w:left="1826" w:hanging="100"/>
      </w:pPr>
      <w:rPr>
        <w:rFonts w:hint="default"/>
      </w:rPr>
    </w:lvl>
    <w:lvl w:ilvl="8" w:tplc="42449E0E">
      <w:numFmt w:val="bullet"/>
      <w:lvlText w:val="•"/>
      <w:lvlJc w:val="left"/>
      <w:pPr>
        <w:ind w:left="2064" w:hanging="100"/>
      </w:pPr>
      <w:rPr>
        <w:rFonts w:hint="default"/>
      </w:rPr>
    </w:lvl>
  </w:abstractNum>
  <w:abstractNum w:abstractNumId="1413" w15:restartNumberingAfterBreak="0">
    <w:nsid w:val="576B77E7"/>
    <w:multiLevelType w:val="hybridMultilevel"/>
    <w:tmpl w:val="4BC8C5D4"/>
    <w:lvl w:ilvl="0" w:tplc="F86AA616">
      <w:numFmt w:val="bullet"/>
      <w:lvlText w:val=""/>
      <w:lvlJc w:val="left"/>
      <w:pPr>
        <w:ind w:left="156" w:hanging="100"/>
      </w:pPr>
      <w:rPr>
        <w:rFonts w:ascii="Symbol" w:eastAsia="Symbol" w:hAnsi="Symbol" w:cs="Symbol" w:hint="default"/>
        <w:color w:val="231F20"/>
        <w:w w:val="100"/>
        <w:sz w:val="14"/>
        <w:szCs w:val="14"/>
      </w:rPr>
    </w:lvl>
    <w:lvl w:ilvl="1" w:tplc="3782E57E">
      <w:numFmt w:val="bullet"/>
      <w:lvlText w:val="•"/>
      <w:lvlJc w:val="left"/>
      <w:pPr>
        <w:ind w:left="426" w:hanging="100"/>
      </w:pPr>
      <w:rPr>
        <w:rFonts w:hint="default"/>
      </w:rPr>
    </w:lvl>
    <w:lvl w:ilvl="2" w:tplc="9B7C6888">
      <w:numFmt w:val="bullet"/>
      <w:lvlText w:val="•"/>
      <w:lvlJc w:val="left"/>
      <w:pPr>
        <w:ind w:left="692" w:hanging="100"/>
      </w:pPr>
      <w:rPr>
        <w:rFonts w:hint="default"/>
      </w:rPr>
    </w:lvl>
    <w:lvl w:ilvl="3" w:tplc="93501008">
      <w:numFmt w:val="bullet"/>
      <w:lvlText w:val="•"/>
      <w:lvlJc w:val="left"/>
      <w:pPr>
        <w:ind w:left="959" w:hanging="100"/>
      </w:pPr>
      <w:rPr>
        <w:rFonts w:hint="default"/>
      </w:rPr>
    </w:lvl>
    <w:lvl w:ilvl="4" w:tplc="603E7E74">
      <w:numFmt w:val="bullet"/>
      <w:lvlText w:val="•"/>
      <w:lvlJc w:val="left"/>
      <w:pPr>
        <w:ind w:left="1225" w:hanging="100"/>
      </w:pPr>
      <w:rPr>
        <w:rFonts w:hint="default"/>
      </w:rPr>
    </w:lvl>
    <w:lvl w:ilvl="5" w:tplc="C736DDDC">
      <w:numFmt w:val="bullet"/>
      <w:lvlText w:val="•"/>
      <w:lvlJc w:val="left"/>
      <w:pPr>
        <w:ind w:left="1492" w:hanging="100"/>
      </w:pPr>
      <w:rPr>
        <w:rFonts w:hint="default"/>
      </w:rPr>
    </w:lvl>
    <w:lvl w:ilvl="6" w:tplc="FA26482C">
      <w:numFmt w:val="bullet"/>
      <w:lvlText w:val="•"/>
      <w:lvlJc w:val="left"/>
      <w:pPr>
        <w:ind w:left="1758" w:hanging="100"/>
      </w:pPr>
      <w:rPr>
        <w:rFonts w:hint="default"/>
      </w:rPr>
    </w:lvl>
    <w:lvl w:ilvl="7" w:tplc="50C40140">
      <w:numFmt w:val="bullet"/>
      <w:lvlText w:val="•"/>
      <w:lvlJc w:val="left"/>
      <w:pPr>
        <w:ind w:left="2024" w:hanging="100"/>
      </w:pPr>
      <w:rPr>
        <w:rFonts w:hint="default"/>
      </w:rPr>
    </w:lvl>
    <w:lvl w:ilvl="8" w:tplc="4A54EA6C">
      <w:numFmt w:val="bullet"/>
      <w:lvlText w:val="•"/>
      <w:lvlJc w:val="left"/>
      <w:pPr>
        <w:ind w:left="2291" w:hanging="100"/>
      </w:pPr>
      <w:rPr>
        <w:rFonts w:hint="default"/>
      </w:rPr>
    </w:lvl>
  </w:abstractNum>
  <w:abstractNum w:abstractNumId="1414" w15:restartNumberingAfterBreak="0">
    <w:nsid w:val="576C19B9"/>
    <w:multiLevelType w:val="hybridMultilevel"/>
    <w:tmpl w:val="2ADE08A2"/>
    <w:lvl w:ilvl="0" w:tplc="A80EC17E">
      <w:numFmt w:val="bullet"/>
      <w:lvlText w:val=""/>
      <w:lvlJc w:val="left"/>
      <w:pPr>
        <w:ind w:left="156" w:hanging="100"/>
      </w:pPr>
      <w:rPr>
        <w:rFonts w:ascii="Symbol" w:eastAsia="Symbol" w:hAnsi="Symbol" w:cs="Symbol" w:hint="default"/>
        <w:color w:val="231F20"/>
        <w:w w:val="100"/>
        <w:sz w:val="14"/>
        <w:szCs w:val="14"/>
      </w:rPr>
    </w:lvl>
    <w:lvl w:ilvl="1" w:tplc="B346F612">
      <w:numFmt w:val="bullet"/>
      <w:lvlText w:val="•"/>
      <w:lvlJc w:val="left"/>
      <w:pPr>
        <w:ind w:left="301" w:hanging="100"/>
      </w:pPr>
      <w:rPr>
        <w:rFonts w:hint="default"/>
      </w:rPr>
    </w:lvl>
    <w:lvl w:ilvl="2" w:tplc="9E7EDA06">
      <w:numFmt w:val="bullet"/>
      <w:lvlText w:val="•"/>
      <w:lvlJc w:val="left"/>
      <w:pPr>
        <w:ind w:left="443" w:hanging="100"/>
      </w:pPr>
      <w:rPr>
        <w:rFonts w:hint="default"/>
      </w:rPr>
    </w:lvl>
    <w:lvl w:ilvl="3" w:tplc="AC166890">
      <w:numFmt w:val="bullet"/>
      <w:lvlText w:val="•"/>
      <w:lvlJc w:val="left"/>
      <w:pPr>
        <w:ind w:left="585" w:hanging="100"/>
      </w:pPr>
      <w:rPr>
        <w:rFonts w:hint="default"/>
      </w:rPr>
    </w:lvl>
    <w:lvl w:ilvl="4" w:tplc="D1227BB8">
      <w:numFmt w:val="bullet"/>
      <w:lvlText w:val="•"/>
      <w:lvlJc w:val="left"/>
      <w:pPr>
        <w:ind w:left="726" w:hanging="100"/>
      </w:pPr>
      <w:rPr>
        <w:rFonts w:hint="default"/>
      </w:rPr>
    </w:lvl>
    <w:lvl w:ilvl="5" w:tplc="C4CA039E">
      <w:numFmt w:val="bullet"/>
      <w:lvlText w:val="•"/>
      <w:lvlJc w:val="left"/>
      <w:pPr>
        <w:ind w:left="868" w:hanging="100"/>
      </w:pPr>
      <w:rPr>
        <w:rFonts w:hint="default"/>
      </w:rPr>
    </w:lvl>
    <w:lvl w:ilvl="6" w:tplc="309A1270">
      <w:numFmt w:val="bullet"/>
      <w:lvlText w:val="•"/>
      <w:lvlJc w:val="left"/>
      <w:pPr>
        <w:ind w:left="1010" w:hanging="100"/>
      </w:pPr>
      <w:rPr>
        <w:rFonts w:hint="default"/>
      </w:rPr>
    </w:lvl>
    <w:lvl w:ilvl="7" w:tplc="C0EE02AA">
      <w:numFmt w:val="bullet"/>
      <w:lvlText w:val="•"/>
      <w:lvlJc w:val="left"/>
      <w:pPr>
        <w:ind w:left="1151" w:hanging="100"/>
      </w:pPr>
      <w:rPr>
        <w:rFonts w:hint="default"/>
      </w:rPr>
    </w:lvl>
    <w:lvl w:ilvl="8" w:tplc="88D273D6">
      <w:numFmt w:val="bullet"/>
      <w:lvlText w:val="•"/>
      <w:lvlJc w:val="left"/>
      <w:pPr>
        <w:ind w:left="1293" w:hanging="100"/>
      </w:pPr>
      <w:rPr>
        <w:rFonts w:hint="default"/>
      </w:rPr>
    </w:lvl>
  </w:abstractNum>
  <w:abstractNum w:abstractNumId="1415" w15:restartNumberingAfterBreak="0">
    <w:nsid w:val="57744A90"/>
    <w:multiLevelType w:val="hybridMultilevel"/>
    <w:tmpl w:val="5574C6E2"/>
    <w:lvl w:ilvl="0" w:tplc="43B048F6">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7EC497C2">
      <w:numFmt w:val="bullet"/>
      <w:lvlText w:val="•"/>
      <w:lvlJc w:val="left"/>
      <w:pPr>
        <w:ind w:left="426" w:hanging="105"/>
      </w:pPr>
      <w:rPr>
        <w:rFonts w:hint="default"/>
      </w:rPr>
    </w:lvl>
    <w:lvl w:ilvl="2" w:tplc="68F27F6E">
      <w:numFmt w:val="bullet"/>
      <w:lvlText w:val="•"/>
      <w:lvlJc w:val="left"/>
      <w:pPr>
        <w:ind w:left="692" w:hanging="105"/>
      </w:pPr>
      <w:rPr>
        <w:rFonts w:hint="default"/>
      </w:rPr>
    </w:lvl>
    <w:lvl w:ilvl="3" w:tplc="347CE252">
      <w:numFmt w:val="bullet"/>
      <w:lvlText w:val="•"/>
      <w:lvlJc w:val="left"/>
      <w:pPr>
        <w:ind w:left="959" w:hanging="105"/>
      </w:pPr>
      <w:rPr>
        <w:rFonts w:hint="default"/>
      </w:rPr>
    </w:lvl>
    <w:lvl w:ilvl="4" w:tplc="E8E42118">
      <w:numFmt w:val="bullet"/>
      <w:lvlText w:val="•"/>
      <w:lvlJc w:val="left"/>
      <w:pPr>
        <w:ind w:left="1225" w:hanging="105"/>
      </w:pPr>
      <w:rPr>
        <w:rFonts w:hint="default"/>
      </w:rPr>
    </w:lvl>
    <w:lvl w:ilvl="5" w:tplc="E0941930">
      <w:numFmt w:val="bullet"/>
      <w:lvlText w:val="•"/>
      <w:lvlJc w:val="left"/>
      <w:pPr>
        <w:ind w:left="1492" w:hanging="105"/>
      </w:pPr>
      <w:rPr>
        <w:rFonts w:hint="default"/>
      </w:rPr>
    </w:lvl>
    <w:lvl w:ilvl="6" w:tplc="B412B79A">
      <w:numFmt w:val="bullet"/>
      <w:lvlText w:val="•"/>
      <w:lvlJc w:val="left"/>
      <w:pPr>
        <w:ind w:left="1758" w:hanging="105"/>
      </w:pPr>
      <w:rPr>
        <w:rFonts w:hint="default"/>
      </w:rPr>
    </w:lvl>
    <w:lvl w:ilvl="7" w:tplc="2B3AC668">
      <w:numFmt w:val="bullet"/>
      <w:lvlText w:val="•"/>
      <w:lvlJc w:val="left"/>
      <w:pPr>
        <w:ind w:left="2024" w:hanging="105"/>
      </w:pPr>
      <w:rPr>
        <w:rFonts w:hint="default"/>
      </w:rPr>
    </w:lvl>
    <w:lvl w:ilvl="8" w:tplc="1032A3EC">
      <w:numFmt w:val="bullet"/>
      <w:lvlText w:val="•"/>
      <w:lvlJc w:val="left"/>
      <w:pPr>
        <w:ind w:left="2291" w:hanging="105"/>
      </w:pPr>
      <w:rPr>
        <w:rFonts w:hint="default"/>
      </w:rPr>
    </w:lvl>
  </w:abstractNum>
  <w:abstractNum w:abstractNumId="1416" w15:restartNumberingAfterBreak="0">
    <w:nsid w:val="57813439"/>
    <w:multiLevelType w:val="hybridMultilevel"/>
    <w:tmpl w:val="49EC5B12"/>
    <w:lvl w:ilvl="0" w:tplc="5AB67C88">
      <w:numFmt w:val="bullet"/>
      <w:lvlText w:val=""/>
      <w:lvlJc w:val="left"/>
      <w:pPr>
        <w:ind w:left="156" w:hanging="100"/>
      </w:pPr>
      <w:rPr>
        <w:rFonts w:ascii="Symbol" w:eastAsia="Symbol" w:hAnsi="Symbol" w:cs="Symbol" w:hint="default"/>
        <w:color w:val="231F20"/>
        <w:w w:val="100"/>
        <w:sz w:val="14"/>
        <w:szCs w:val="14"/>
      </w:rPr>
    </w:lvl>
    <w:lvl w:ilvl="1" w:tplc="03C0350C">
      <w:numFmt w:val="bullet"/>
      <w:lvlText w:val="•"/>
      <w:lvlJc w:val="left"/>
      <w:pPr>
        <w:ind w:left="301" w:hanging="100"/>
      </w:pPr>
      <w:rPr>
        <w:rFonts w:hint="default"/>
      </w:rPr>
    </w:lvl>
    <w:lvl w:ilvl="2" w:tplc="8164424E">
      <w:numFmt w:val="bullet"/>
      <w:lvlText w:val="•"/>
      <w:lvlJc w:val="left"/>
      <w:pPr>
        <w:ind w:left="443" w:hanging="100"/>
      </w:pPr>
      <w:rPr>
        <w:rFonts w:hint="default"/>
      </w:rPr>
    </w:lvl>
    <w:lvl w:ilvl="3" w:tplc="21229652">
      <w:numFmt w:val="bullet"/>
      <w:lvlText w:val="•"/>
      <w:lvlJc w:val="left"/>
      <w:pPr>
        <w:ind w:left="585" w:hanging="100"/>
      </w:pPr>
      <w:rPr>
        <w:rFonts w:hint="default"/>
      </w:rPr>
    </w:lvl>
    <w:lvl w:ilvl="4" w:tplc="513CDC56">
      <w:numFmt w:val="bullet"/>
      <w:lvlText w:val="•"/>
      <w:lvlJc w:val="left"/>
      <w:pPr>
        <w:ind w:left="726" w:hanging="100"/>
      </w:pPr>
      <w:rPr>
        <w:rFonts w:hint="default"/>
      </w:rPr>
    </w:lvl>
    <w:lvl w:ilvl="5" w:tplc="63E846C8">
      <w:numFmt w:val="bullet"/>
      <w:lvlText w:val="•"/>
      <w:lvlJc w:val="left"/>
      <w:pPr>
        <w:ind w:left="868" w:hanging="100"/>
      </w:pPr>
      <w:rPr>
        <w:rFonts w:hint="default"/>
      </w:rPr>
    </w:lvl>
    <w:lvl w:ilvl="6" w:tplc="DF7EA1A4">
      <w:numFmt w:val="bullet"/>
      <w:lvlText w:val="•"/>
      <w:lvlJc w:val="left"/>
      <w:pPr>
        <w:ind w:left="1010" w:hanging="100"/>
      </w:pPr>
      <w:rPr>
        <w:rFonts w:hint="default"/>
      </w:rPr>
    </w:lvl>
    <w:lvl w:ilvl="7" w:tplc="A6E41118">
      <w:numFmt w:val="bullet"/>
      <w:lvlText w:val="•"/>
      <w:lvlJc w:val="left"/>
      <w:pPr>
        <w:ind w:left="1151" w:hanging="100"/>
      </w:pPr>
      <w:rPr>
        <w:rFonts w:hint="default"/>
      </w:rPr>
    </w:lvl>
    <w:lvl w:ilvl="8" w:tplc="23E21480">
      <w:numFmt w:val="bullet"/>
      <w:lvlText w:val="•"/>
      <w:lvlJc w:val="left"/>
      <w:pPr>
        <w:ind w:left="1293" w:hanging="100"/>
      </w:pPr>
      <w:rPr>
        <w:rFonts w:hint="default"/>
      </w:rPr>
    </w:lvl>
  </w:abstractNum>
  <w:abstractNum w:abstractNumId="1417" w15:restartNumberingAfterBreak="0">
    <w:nsid w:val="578B2A9F"/>
    <w:multiLevelType w:val="hybridMultilevel"/>
    <w:tmpl w:val="C04CC9C0"/>
    <w:lvl w:ilvl="0" w:tplc="85A800F6">
      <w:numFmt w:val="bullet"/>
      <w:lvlText w:val=""/>
      <w:lvlJc w:val="left"/>
      <w:pPr>
        <w:ind w:left="157" w:hanging="100"/>
      </w:pPr>
      <w:rPr>
        <w:rFonts w:ascii="Symbol" w:eastAsia="Symbol" w:hAnsi="Symbol" w:cs="Symbol" w:hint="default"/>
        <w:color w:val="231F20"/>
        <w:w w:val="100"/>
        <w:sz w:val="14"/>
        <w:szCs w:val="14"/>
      </w:rPr>
    </w:lvl>
    <w:lvl w:ilvl="1" w:tplc="486A6F50">
      <w:numFmt w:val="bullet"/>
      <w:lvlText w:val="•"/>
      <w:lvlJc w:val="left"/>
      <w:pPr>
        <w:ind w:left="369" w:hanging="100"/>
      </w:pPr>
      <w:rPr>
        <w:rFonts w:hint="default"/>
      </w:rPr>
    </w:lvl>
    <w:lvl w:ilvl="2" w:tplc="E56E7406">
      <w:numFmt w:val="bullet"/>
      <w:lvlText w:val="•"/>
      <w:lvlJc w:val="left"/>
      <w:pPr>
        <w:ind w:left="579" w:hanging="100"/>
      </w:pPr>
      <w:rPr>
        <w:rFonts w:hint="default"/>
      </w:rPr>
    </w:lvl>
    <w:lvl w:ilvl="3" w:tplc="A9F6C690">
      <w:numFmt w:val="bullet"/>
      <w:lvlText w:val="•"/>
      <w:lvlJc w:val="left"/>
      <w:pPr>
        <w:ind w:left="789" w:hanging="100"/>
      </w:pPr>
      <w:rPr>
        <w:rFonts w:hint="default"/>
      </w:rPr>
    </w:lvl>
    <w:lvl w:ilvl="4" w:tplc="F71ED20A">
      <w:numFmt w:val="bullet"/>
      <w:lvlText w:val="•"/>
      <w:lvlJc w:val="left"/>
      <w:pPr>
        <w:ind w:left="998" w:hanging="100"/>
      </w:pPr>
      <w:rPr>
        <w:rFonts w:hint="default"/>
      </w:rPr>
    </w:lvl>
    <w:lvl w:ilvl="5" w:tplc="8B46727A">
      <w:numFmt w:val="bullet"/>
      <w:lvlText w:val="•"/>
      <w:lvlJc w:val="left"/>
      <w:pPr>
        <w:ind w:left="1208" w:hanging="100"/>
      </w:pPr>
      <w:rPr>
        <w:rFonts w:hint="default"/>
      </w:rPr>
    </w:lvl>
    <w:lvl w:ilvl="6" w:tplc="42540F02">
      <w:numFmt w:val="bullet"/>
      <w:lvlText w:val="•"/>
      <w:lvlJc w:val="left"/>
      <w:pPr>
        <w:ind w:left="1418" w:hanging="100"/>
      </w:pPr>
      <w:rPr>
        <w:rFonts w:hint="default"/>
      </w:rPr>
    </w:lvl>
    <w:lvl w:ilvl="7" w:tplc="41061728">
      <w:numFmt w:val="bullet"/>
      <w:lvlText w:val="•"/>
      <w:lvlJc w:val="left"/>
      <w:pPr>
        <w:ind w:left="1627" w:hanging="100"/>
      </w:pPr>
      <w:rPr>
        <w:rFonts w:hint="default"/>
      </w:rPr>
    </w:lvl>
    <w:lvl w:ilvl="8" w:tplc="A65A33F8">
      <w:numFmt w:val="bullet"/>
      <w:lvlText w:val="•"/>
      <w:lvlJc w:val="left"/>
      <w:pPr>
        <w:ind w:left="1837" w:hanging="100"/>
      </w:pPr>
      <w:rPr>
        <w:rFonts w:hint="default"/>
      </w:rPr>
    </w:lvl>
  </w:abstractNum>
  <w:abstractNum w:abstractNumId="1418" w15:restartNumberingAfterBreak="0">
    <w:nsid w:val="57C732CD"/>
    <w:multiLevelType w:val="hybridMultilevel"/>
    <w:tmpl w:val="34C4BA3A"/>
    <w:lvl w:ilvl="0" w:tplc="C5CEF218">
      <w:numFmt w:val="bullet"/>
      <w:lvlText w:val=""/>
      <w:lvlJc w:val="left"/>
      <w:pPr>
        <w:ind w:left="157" w:hanging="100"/>
      </w:pPr>
      <w:rPr>
        <w:rFonts w:ascii="Symbol" w:eastAsia="Symbol" w:hAnsi="Symbol" w:cs="Symbol" w:hint="default"/>
        <w:color w:val="231F20"/>
        <w:w w:val="100"/>
        <w:sz w:val="14"/>
        <w:szCs w:val="14"/>
      </w:rPr>
    </w:lvl>
    <w:lvl w:ilvl="1" w:tplc="47A05CE2">
      <w:numFmt w:val="bullet"/>
      <w:lvlText w:val="•"/>
      <w:lvlJc w:val="left"/>
      <w:pPr>
        <w:ind w:left="369" w:hanging="100"/>
      </w:pPr>
      <w:rPr>
        <w:rFonts w:hint="default"/>
      </w:rPr>
    </w:lvl>
    <w:lvl w:ilvl="2" w:tplc="C8EA64EA">
      <w:numFmt w:val="bullet"/>
      <w:lvlText w:val="•"/>
      <w:lvlJc w:val="left"/>
      <w:pPr>
        <w:ind w:left="579" w:hanging="100"/>
      </w:pPr>
      <w:rPr>
        <w:rFonts w:hint="default"/>
      </w:rPr>
    </w:lvl>
    <w:lvl w:ilvl="3" w:tplc="FAF2B938">
      <w:numFmt w:val="bullet"/>
      <w:lvlText w:val="•"/>
      <w:lvlJc w:val="left"/>
      <w:pPr>
        <w:ind w:left="789" w:hanging="100"/>
      </w:pPr>
      <w:rPr>
        <w:rFonts w:hint="default"/>
      </w:rPr>
    </w:lvl>
    <w:lvl w:ilvl="4" w:tplc="2F16BB60">
      <w:numFmt w:val="bullet"/>
      <w:lvlText w:val="•"/>
      <w:lvlJc w:val="left"/>
      <w:pPr>
        <w:ind w:left="998" w:hanging="100"/>
      </w:pPr>
      <w:rPr>
        <w:rFonts w:hint="default"/>
      </w:rPr>
    </w:lvl>
    <w:lvl w:ilvl="5" w:tplc="0406BC06">
      <w:numFmt w:val="bullet"/>
      <w:lvlText w:val="•"/>
      <w:lvlJc w:val="left"/>
      <w:pPr>
        <w:ind w:left="1208" w:hanging="100"/>
      </w:pPr>
      <w:rPr>
        <w:rFonts w:hint="default"/>
      </w:rPr>
    </w:lvl>
    <w:lvl w:ilvl="6" w:tplc="DD489696">
      <w:numFmt w:val="bullet"/>
      <w:lvlText w:val="•"/>
      <w:lvlJc w:val="left"/>
      <w:pPr>
        <w:ind w:left="1418" w:hanging="100"/>
      </w:pPr>
      <w:rPr>
        <w:rFonts w:hint="default"/>
      </w:rPr>
    </w:lvl>
    <w:lvl w:ilvl="7" w:tplc="9E62BAAE">
      <w:numFmt w:val="bullet"/>
      <w:lvlText w:val="•"/>
      <w:lvlJc w:val="left"/>
      <w:pPr>
        <w:ind w:left="1627" w:hanging="100"/>
      </w:pPr>
      <w:rPr>
        <w:rFonts w:hint="default"/>
      </w:rPr>
    </w:lvl>
    <w:lvl w:ilvl="8" w:tplc="5602E470">
      <w:numFmt w:val="bullet"/>
      <w:lvlText w:val="•"/>
      <w:lvlJc w:val="left"/>
      <w:pPr>
        <w:ind w:left="1837" w:hanging="100"/>
      </w:pPr>
      <w:rPr>
        <w:rFonts w:hint="default"/>
      </w:rPr>
    </w:lvl>
  </w:abstractNum>
  <w:abstractNum w:abstractNumId="1419" w15:restartNumberingAfterBreak="0">
    <w:nsid w:val="57E24F5D"/>
    <w:multiLevelType w:val="hybridMultilevel"/>
    <w:tmpl w:val="D376E258"/>
    <w:lvl w:ilvl="0" w:tplc="C5E8F012">
      <w:numFmt w:val="bullet"/>
      <w:lvlText w:val=""/>
      <w:lvlJc w:val="left"/>
      <w:pPr>
        <w:ind w:left="156" w:hanging="100"/>
      </w:pPr>
      <w:rPr>
        <w:rFonts w:ascii="Symbol" w:eastAsia="Symbol" w:hAnsi="Symbol" w:cs="Symbol" w:hint="default"/>
        <w:color w:val="231F20"/>
        <w:w w:val="100"/>
        <w:sz w:val="14"/>
        <w:szCs w:val="14"/>
      </w:rPr>
    </w:lvl>
    <w:lvl w:ilvl="1" w:tplc="99341034">
      <w:numFmt w:val="bullet"/>
      <w:lvlText w:val="•"/>
      <w:lvlJc w:val="left"/>
      <w:pPr>
        <w:ind w:left="398" w:hanging="100"/>
      </w:pPr>
      <w:rPr>
        <w:rFonts w:hint="default"/>
      </w:rPr>
    </w:lvl>
    <w:lvl w:ilvl="2" w:tplc="1E805428">
      <w:numFmt w:val="bullet"/>
      <w:lvlText w:val="•"/>
      <w:lvlJc w:val="left"/>
      <w:pPr>
        <w:ind w:left="636" w:hanging="100"/>
      </w:pPr>
      <w:rPr>
        <w:rFonts w:hint="default"/>
      </w:rPr>
    </w:lvl>
    <w:lvl w:ilvl="3" w:tplc="D91A760A">
      <w:numFmt w:val="bullet"/>
      <w:lvlText w:val="•"/>
      <w:lvlJc w:val="left"/>
      <w:pPr>
        <w:ind w:left="874" w:hanging="100"/>
      </w:pPr>
      <w:rPr>
        <w:rFonts w:hint="default"/>
      </w:rPr>
    </w:lvl>
    <w:lvl w:ilvl="4" w:tplc="CD224CEE">
      <w:numFmt w:val="bullet"/>
      <w:lvlText w:val="•"/>
      <w:lvlJc w:val="left"/>
      <w:pPr>
        <w:ind w:left="1112" w:hanging="100"/>
      </w:pPr>
      <w:rPr>
        <w:rFonts w:hint="default"/>
      </w:rPr>
    </w:lvl>
    <w:lvl w:ilvl="5" w:tplc="B3FEB5C6">
      <w:numFmt w:val="bullet"/>
      <w:lvlText w:val="•"/>
      <w:lvlJc w:val="left"/>
      <w:pPr>
        <w:ind w:left="1350" w:hanging="100"/>
      </w:pPr>
      <w:rPr>
        <w:rFonts w:hint="default"/>
      </w:rPr>
    </w:lvl>
    <w:lvl w:ilvl="6" w:tplc="F5B015DA">
      <w:numFmt w:val="bullet"/>
      <w:lvlText w:val="•"/>
      <w:lvlJc w:val="left"/>
      <w:pPr>
        <w:ind w:left="1588" w:hanging="100"/>
      </w:pPr>
      <w:rPr>
        <w:rFonts w:hint="default"/>
      </w:rPr>
    </w:lvl>
    <w:lvl w:ilvl="7" w:tplc="93EAF9C0">
      <w:numFmt w:val="bullet"/>
      <w:lvlText w:val="•"/>
      <w:lvlJc w:val="left"/>
      <w:pPr>
        <w:ind w:left="1826" w:hanging="100"/>
      </w:pPr>
      <w:rPr>
        <w:rFonts w:hint="default"/>
      </w:rPr>
    </w:lvl>
    <w:lvl w:ilvl="8" w:tplc="FA4E09B0">
      <w:numFmt w:val="bullet"/>
      <w:lvlText w:val="•"/>
      <w:lvlJc w:val="left"/>
      <w:pPr>
        <w:ind w:left="2064" w:hanging="100"/>
      </w:pPr>
      <w:rPr>
        <w:rFonts w:hint="default"/>
      </w:rPr>
    </w:lvl>
  </w:abstractNum>
  <w:abstractNum w:abstractNumId="1420" w15:restartNumberingAfterBreak="0">
    <w:nsid w:val="57F87BB8"/>
    <w:multiLevelType w:val="hybridMultilevel"/>
    <w:tmpl w:val="30BC0334"/>
    <w:lvl w:ilvl="0" w:tplc="33C0B836">
      <w:numFmt w:val="bullet"/>
      <w:lvlText w:val=""/>
      <w:lvlJc w:val="left"/>
      <w:pPr>
        <w:ind w:left="157" w:hanging="100"/>
      </w:pPr>
      <w:rPr>
        <w:rFonts w:ascii="Symbol" w:eastAsia="Symbol" w:hAnsi="Symbol" w:cs="Symbol" w:hint="default"/>
        <w:color w:val="231F20"/>
        <w:w w:val="100"/>
        <w:sz w:val="14"/>
        <w:szCs w:val="14"/>
      </w:rPr>
    </w:lvl>
    <w:lvl w:ilvl="1" w:tplc="9EA0EDAA">
      <w:numFmt w:val="bullet"/>
      <w:lvlText w:val="•"/>
      <w:lvlJc w:val="left"/>
      <w:pPr>
        <w:ind w:left="426" w:hanging="100"/>
      </w:pPr>
      <w:rPr>
        <w:rFonts w:hint="default"/>
      </w:rPr>
    </w:lvl>
    <w:lvl w:ilvl="2" w:tplc="5538DAA0">
      <w:numFmt w:val="bullet"/>
      <w:lvlText w:val="•"/>
      <w:lvlJc w:val="left"/>
      <w:pPr>
        <w:ind w:left="692" w:hanging="100"/>
      </w:pPr>
      <w:rPr>
        <w:rFonts w:hint="default"/>
      </w:rPr>
    </w:lvl>
    <w:lvl w:ilvl="3" w:tplc="D48A3436">
      <w:numFmt w:val="bullet"/>
      <w:lvlText w:val="•"/>
      <w:lvlJc w:val="left"/>
      <w:pPr>
        <w:ind w:left="959" w:hanging="100"/>
      </w:pPr>
      <w:rPr>
        <w:rFonts w:hint="default"/>
      </w:rPr>
    </w:lvl>
    <w:lvl w:ilvl="4" w:tplc="593E1C26">
      <w:numFmt w:val="bullet"/>
      <w:lvlText w:val="•"/>
      <w:lvlJc w:val="left"/>
      <w:pPr>
        <w:ind w:left="1225" w:hanging="100"/>
      </w:pPr>
      <w:rPr>
        <w:rFonts w:hint="default"/>
      </w:rPr>
    </w:lvl>
    <w:lvl w:ilvl="5" w:tplc="2E12D574">
      <w:numFmt w:val="bullet"/>
      <w:lvlText w:val="•"/>
      <w:lvlJc w:val="left"/>
      <w:pPr>
        <w:ind w:left="1492" w:hanging="100"/>
      </w:pPr>
      <w:rPr>
        <w:rFonts w:hint="default"/>
      </w:rPr>
    </w:lvl>
    <w:lvl w:ilvl="6" w:tplc="3E047A92">
      <w:numFmt w:val="bullet"/>
      <w:lvlText w:val="•"/>
      <w:lvlJc w:val="left"/>
      <w:pPr>
        <w:ind w:left="1758" w:hanging="100"/>
      </w:pPr>
      <w:rPr>
        <w:rFonts w:hint="default"/>
      </w:rPr>
    </w:lvl>
    <w:lvl w:ilvl="7" w:tplc="D9C85550">
      <w:numFmt w:val="bullet"/>
      <w:lvlText w:val="•"/>
      <w:lvlJc w:val="left"/>
      <w:pPr>
        <w:ind w:left="2024" w:hanging="100"/>
      </w:pPr>
      <w:rPr>
        <w:rFonts w:hint="default"/>
      </w:rPr>
    </w:lvl>
    <w:lvl w:ilvl="8" w:tplc="4DE84B88">
      <w:numFmt w:val="bullet"/>
      <w:lvlText w:val="•"/>
      <w:lvlJc w:val="left"/>
      <w:pPr>
        <w:ind w:left="2291" w:hanging="100"/>
      </w:pPr>
      <w:rPr>
        <w:rFonts w:hint="default"/>
      </w:rPr>
    </w:lvl>
  </w:abstractNum>
  <w:abstractNum w:abstractNumId="1421" w15:restartNumberingAfterBreak="0">
    <w:nsid w:val="58080668"/>
    <w:multiLevelType w:val="hybridMultilevel"/>
    <w:tmpl w:val="F830F0A8"/>
    <w:lvl w:ilvl="0" w:tplc="EA60EE90">
      <w:numFmt w:val="bullet"/>
      <w:lvlText w:val=""/>
      <w:lvlJc w:val="left"/>
      <w:pPr>
        <w:ind w:left="157" w:hanging="100"/>
      </w:pPr>
      <w:rPr>
        <w:rFonts w:ascii="Symbol" w:eastAsia="Symbol" w:hAnsi="Symbol" w:cs="Symbol" w:hint="default"/>
        <w:color w:val="231F20"/>
        <w:w w:val="100"/>
        <w:sz w:val="14"/>
        <w:szCs w:val="14"/>
      </w:rPr>
    </w:lvl>
    <w:lvl w:ilvl="1" w:tplc="B6CAE836">
      <w:numFmt w:val="bullet"/>
      <w:lvlText w:val="•"/>
      <w:lvlJc w:val="left"/>
      <w:pPr>
        <w:ind w:left="426" w:hanging="100"/>
      </w:pPr>
      <w:rPr>
        <w:rFonts w:hint="default"/>
      </w:rPr>
    </w:lvl>
    <w:lvl w:ilvl="2" w:tplc="0D7A62B0">
      <w:numFmt w:val="bullet"/>
      <w:lvlText w:val="•"/>
      <w:lvlJc w:val="left"/>
      <w:pPr>
        <w:ind w:left="692" w:hanging="100"/>
      </w:pPr>
      <w:rPr>
        <w:rFonts w:hint="default"/>
      </w:rPr>
    </w:lvl>
    <w:lvl w:ilvl="3" w:tplc="7B7015B6">
      <w:numFmt w:val="bullet"/>
      <w:lvlText w:val="•"/>
      <w:lvlJc w:val="left"/>
      <w:pPr>
        <w:ind w:left="959" w:hanging="100"/>
      </w:pPr>
      <w:rPr>
        <w:rFonts w:hint="default"/>
      </w:rPr>
    </w:lvl>
    <w:lvl w:ilvl="4" w:tplc="35B6ECF0">
      <w:numFmt w:val="bullet"/>
      <w:lvlText w:val="•"/>
      <w:lvlJc w:val="left"/>
      <w:pPr>
        <w:ind w:left="1225" w:hanging="100"/>
      </w:pPr>
      <w:rPr>
        <w:rFonts w:hint="default"/>
      </w:rPr>
    </w:lvl>
    <w:lvl w:ilvl="5" w:tplc="7C80DDAC">
      <w:numFmt w:val="bullet"/>
      <w:lvlText w:val="•"/>
      <w:lvlJc w:val="left"/>
      <w:pPr>
        <w:ind w:left="1492" w:hanging="100"/>
      </w:pPr>
      <w:rPr>
        <w:rFonts w:hint="default"/>
      </w:rPr>
    </w:lvl>
    <w:lvl w:ilvl="6" w:tplc="AD88EF62">
      <w:numFmt w:val="bullet"/>
      <w:lvlText w:val="•"/>
      <w:lvlJc w:val="left"/>
      <w:pPr>
        <w:ind w:left="1758" w:hanging="100"/>
      </w:pPr>
      <w:rPr>
        <w:rFonts w:hint="default"/>
      </w:rPr>
    </w:lvl>
    <w:lvl w:ilvl="7" w:tplc="06B21FAE">
      <w:numFmt w:val="bullet"/>
      <w:lvlText w:val="•"/>
      <w:lvlJc w:val="left"/>
      <w:pPr>
        <w:ind w:left="2024" w:hanging="100"/>
      </w:pPr>
      <w:rPr>
        <w:rFonts w:hint="default"/>
      </w:rPr>
    </w:lvl>
    <w:lvl w:ilvl="8" w:tplc="C90A2020">
      <w:numFmt w:val="bullet"/>
      <w:lvlText w:val="•"/>
      <w:lvlJc w:val="left"/>
      <w:pPr>
        <w:ind w:left="2291" w:hanging="100"/>
      </w:pPr>
      <w:rPr>
        <w:rFonts w:hint="default"/>
      </w:rPr>
    </w:lvl>
  </w:abstractNum>
  <w:abstractNum w:abstractNumId="1422" w15:restartNumberingAfterBreak="0">
    <w:nsid w:val="581C6527"/>
    <w:multiLevelType w:val="hybridMultilevel"/>
    <w:tmpl w:val="AAAAD12A"/>
    <w:lvl w:ilvl="0" w:tplc="F6E40B9E">
      <w:numFmt w:val="bullet"/>
      <w:lvlText w:val=""/>
      <w:lvlJc w:val="left"/>
      <w:pPr>
        <w:ind w:left="156" w:hanging="100"/>
      </w:pPr>
      <w:rPr>
        <w:rFonts w:ascii="Symbol" w:eastAsia="Symbol" w:hAnsi="Symbol" w:cs="Symbol" w:hint="default"/>
        <w:color w:val="231F20"/>
        <w:w w:val="100"/>
        <w:sz w:val="14"/>
        <w:szCs w:val="14"/>
      </w:rPr>
    </w:lvl>
    <w:lvl w:ilvl="1" w:tplc="00B2F144">
      <w:numFmt w:val="bullet"/>
      <w:lvlText w:val="•"/>
      <w:lvlJc w:val="left"/>
      <w:pPr>
        <w:ind w:left="426" w:hanging="100"/>
      </w:pPr>
      <w:rPr>
        <w:rFonts w:hint="default"/>
      </w:rPr>
    </w:lvl>
    <w:lvl w:ilvl="2" w:tplc="7F044B76">
      <w:numFmt w:val="bullet"/>
      <w:lvlText w:val="•"/>
      <w:lvlJc w:val="left"/>
      <w:pPr>
        <w:ind w:left="692" w:hanging="100"/>
      </w:pPr>
      <w:rPr>
        <w:rFonts w:hint="default"/>
      </w:rPr>
    </w:lvl>
    <w:lvl w:ilvl="3" w:tplc="43546358">
      <w:numFmt w:val="bullet"/>
      <w:lvlText w:val="•"/>
      <w:lvlJc w:val="left"/>
      <w:pPr>
        <w:ind w:left="959" w:hanging="100"/>
      </w:pPr>
      <w:rPr>
        <w:rFonts w:hint="default"/>
      </w:rPr>
    </w:lvl>
    <w:lvl w:ilvl="4" w:tplc="7C72C7C2">
      <w:numFmt w:val="bullet"/>
      <w:lvlText w:val="•"/>
      <w:lvlJc w:val="left"/>
      <w:pPr>
        <w:ind w:left="1225" w:hanging="100"/>
      </w:pPr>
      <w:rPr>
        <w:rFonts w:hint="default"/>
      </w:rPr>
    </w:lvl>
    <w:lvl w:ilvl="5" w:tplc="0F86F378">
      <w:numFmt w:val="bullet"/>
      <w:lvlText w:val="•"/>
      <w:lvlJc w:val="left"/>
      <w:pPr>
        <w:ind w:left="1492" w:hanging="100"/>
      </w:pPr>
      <w:rPr>
        <w:rFonts w:hint="default"/>
      </w:rPr>
    </w:lvl>
    <w:lvl w:ilvl="6" w:tplc="E15C1A00">
      <w:numFmt w:val="bullet"/>
      <w:lvlText w:val="•"/>
      <w:lvlJc w:val="left"/>
      <w:pPr>
        <w:ind w:left="1758" w:hanging="100"/>
      </w:pPr>
      <w:rPr>
        <w:rFonts w:hint="default"/>
      </w:rPr>
    </w:lvl>
    <w:lvl w:ilvl="7" w:tplc="F2FEC1B4">
      <w:numFmt w:val="bullet"/>
      <w:lvlText w:val="•"/>
      <w:lvlJc w:val="left"/>
      <w:pPr>
        <w:ind w:left="2024" w:hanging="100"/>
      </w:pPr>
      <w:rPr>
        <w:rFonts w:hint="default"/>
      </w:rPr>
    </w:lvl>
    <w:lvl w:ilvl="8" w:tplc="95901BBA">
      <w:numFmt w:val="bullet"/>
      <w:lvlText w:val="•"/>
      <w:lvlJc w:val="left"/>
      <w:pPr>
        <w:ind w:left="2291" w:hanging="100"/>
      </w:pPr>
      <w:rPr>
        <w:rFonts w:hint="default"/>
      </w:rPr>
    </w:lvl>
  </w:abstractNum>
  <w:abstractNum w:abstractNumId="1423" w15:restartNumberingAfterBreak="0">
    <w:nsid w:val="58272465"/>
    <w:multiLevelType w:val="hybridMultilevel"/>
    <w:tmpl w:val="DB9A48D2"/>
    <w:lvl w:ilvl="0" w:tplc="F5009F64">
      <w:numFmt w:val="bullet"/>
      <w:lvlText w:val=""/>
      <w:lvlJc w:val="left"/>
      <w:pPr>
        <w:ind w:left="156" w:hanging="100"/>
      </w:pPr>
      <w:rPr>
        <w:rFonts w:ascii="Symbol" w:eastAsia="Symbol" w:hAnsi="Symbol" w:cs="Symbol" w:hint="default"/>
        <w:color w:val="231F20"/>
        <w:w w:val="100"/>
        <w:sz w:val="14"/>
        <w:szCs w:val="14"/>
      </w:rPr>
    </w:lvl>
    <w:lvl w:ilvl="1" w:tplc="6DA6F9F6">
      <w:numFmt w:val="bullet"/>
      <w:lvlText w:val="•"/>
      <w:lvlJc w:val="left"/>
      <w:pPr>
        <w:ind w:left="426" w:hanging="100"/>
      </w:pPr>
      <w:rPr>
        <w:rFonts w:hint="default"/>
      </w:rPr>
    </w:lvl>
    <w:lvl w:ilvl="2" w:tplc="14124D2E">
      <w:numFmt w:val="bullet"/>
      <w:lvlText w:val="•"/>
      <w:lvlJc w:val="left"/>
      <w:pPr>
        <w:ind w:left="692" w:hanging="100"/>
      </w:pPr>
      <w:rPr>
        <w:rFonts w:hint="default"/>
      </w:rPr>
    </w:lvl>
    <w:lvl w:ilvl="3" w:tplc="2C6CB104">
      <w:numFmt w:val="bullet"/>
      <w:lvlText w:val="•"/>
      <w:lvlJc w:val="left"/>
      <w:pPr>
        <w:ind w:left="959" w:hanging="100"/>
      </w:pPr>
      <w:rPr>
        <w:rFonts w:hint="default"/>
      </w:rPr>
    </w:lvl>
    <w:lvl w:ilvl="4" w:tplc="810E9990">
      <w:numFmt w:val="bullet"/>
      <w:lvlText w:val="•"/>
      <w:lvlJc w:val="left"/>
      <w:pPr>
        <w:ind w:left="1225" w:hanging="100"/>
      </w:pPr>
      <w:rPr>
        <w:rFonts w:hint="default"/>
      </w:rPr>
    </w:lvl>
    <w:lvl w:ilvl="5" w:tplc="B1C6818C">
      <w:numFmt w:val="bullet"/>
      <w:lvlText w:val="•"/>
      <w:lvlJc w:val="left"/>
      <w:pPr>
        <w:ind w:left="1492" w:hanging="100"/>
      </w:pPr>
      <w:rPr>
        <w:rFonts w:hint="default"/>
      </w:rPr>
    </w:lvl>
    <w:lvl w:ilvl="6" w:tplc="692C2100">
      <w:numFmt w:val="bullet"/>
      <w:lvlText w:val="•"/>
      <w:lvlJc w:val="left"/>
      <w:pPr>
        <w:ind w:left="1758" w:hanging="100"/>
      </w:pPr>
      <w:rPr>
        <w:rFonts w:hint="default"/>
      </w:rPr>
    </w:lvl>
    <w:lvl w:ilvl="7" w:tplc="4330D794">
      <w:numFmt w:val="bullet"/>
      <w:lvlText w:val="•"/>
      <w:lvlJc w:val="left"/>
      <w:pPr>
        <w:ind w:left="2024" w:hanging="100"/>
      </w:pPr>
      <w:rPr>
        <w:rFonts w:hint="default"/>
      </w:rPr>
    </w:lvl>
    <w:lvl w:ilvl="8" w:tplc="F99ECE5E">
      <w:numFmt w:val="bullet"/>
      <w:lvlText w:val="•"/>
      <w:lvlJc w:val="left"/>
      <w:pPr>
        <w:ind w:left="2291" w:hanging="100"/>
      </w:pPr>
      <w:rPr>
        <w:rFonts w:hint="default"/>
      </w:rPr>
    </w:lvl>
  </w:abstractNum>
  <w:abstractNum w:abstractNumId="1424" w15:restartNumberingAfterBreak="0">
    <w:nsid w:val="58323E52"/>
    <w:multiLevelType w:val="hybridMultilevel"/>
    <w:tmpl w:val="FE84BC00"/>
    <w:lvl w:ilvl="0" w:tplc="F618905E">
      <w:numFmt w:val="bullet"/>
      <w:lvlText w:val=""/>
      <w:lvlJc w:val="left"/>
      <w:pPr>
        <w:ind w:left="156" w:hanging="100"/>
      </w:pPr>
      <w:rPr>
        <w:rFonts w:ascii="Symbol" w:eastAsia="Symbol" w:hAnsi="Symbol" w:cs="Symbol" w:hint="default"/>
        <w:color w:val="231F20"/>
        <w:w w:val="100"/>
        <w:sz w:val="14"/>
        <w:szCs w:val="14"/>
      </w:rPr>
    </w:lvl>
    <w:lvl w:ilvl="1" w:tplc="10EEFBD6">
      <w:numFmt w:val="bullet"/>
      <w:lvlText w:val="•"/>
      <w:lvlJc w:val="left"/>
      <w:pPr>
        <w:ind w:left="301" w:hanging="100"/>
      </w:pPr>
      <w:rPr>
        <w:rFonts w:hint="default"/>
      </w:rPr>
    </w:lvl>
    <w:lvl w:ilvl="2" w:tplc="F7AC476A">
      <w:numFmt w:val="bullet"/>
      <w:lvlText w:val="•"/>
      <w:lvlJc w:val="left"/>
      <w:pPr>
        <w:ind w:left="443" w:hanging="100"/>
      </w:pPr>
      <w:rPr>
        <w:rFonts w:hint="default"/>
      </w:rPr>
    </w:lvl>
    <w:lvl w:ilvl="3" w:tplc="2DA0DF78">
      <w:numFmt w:val="bullet"/>
      <w:lvlText w:val="•"/>
      <w:lvlJc w:val="left"/>
      <w:pPr>
        <w:ind w:left="585" w:hanging="100"/>
      </w:pPr>
      <w:rPr>
        <w:rFonts w:hint="default"/>
      </w:rPr>
    </w:lvl>
    <w:lvl w:ilvl="4" w:tplc="C2164C40">
      <w:numFmt w:val="bullet"/>
      <w:lvlText w:val="•"/>
      <w:lvlJc w:val="left"/>
      <w:pPr>
        <w:ind w:left="726" w:hanging="100"/>
      </w:pPr>
      <w:rPr>
        <w:rFonts w:hint="default"/>
      </w:rPr>
    </w:lvl>
    <w:lvl w:ilvl="5" w:tplc="A2A2AC48">
      <w:numFmt w:val="bullet"/>
      <w:lvlText w:val="•"/>
      <w:lvlJc w:val="left"/>
      <w:pPr>
        <w:ind w:left="868" w:hanging="100"/>
      </w:pPr>
      <w:rPr>
        <w:rFonts w:hint="default"/>
      </w:rPr>
    </w:lvl>
    <w:lvl w:ilvl="6" w:tplc="BB369314">
      <w:numFmt w:val="bullet"/>
      <w:lvlText w:val="•"/>
      <w:lvlJc w:val="left"/>
      <w:pPr>
        <w:ind w:left="1010" w:hanging="100"/>
      </w:pPr>
      <w:rPr>
        <w:rFonts w:hint="default"/>
      </w:rPr>
    </w:lvl>
    <w:lvl w:ilvl="7" w:tplc="0D82B08E">
      <w:numFmt w:val="bullet"/>
      <w:lvlText w:val="•"/>
      <w:lvlJc w:val="left"/>
      <w:pPr>
        <w:ind w:left="1151" w:hanging="100"/>
      </w:pPr>
      <w:rPr>
        <w:rFonts w:hint="default"/>
      </w:rPr>
    </w:lvl>
    <w:lvl w:ilvl="8" w:tplc="AA96C0EA">
      <w:numFmt w:val="bullet"/>
      <w:lvlText w:val="•"/>
      <w:lvlJc w:val="left"/>
      <w:pPr>
        <w:ind w:left="1293" w:hanging="100"/>
      </w:pPr>
      <w:rPr>
        <w:rFonts w:hint="default"/>
      </w:rPr>
    </w:lvl>
  </w:abstractNum>
  <w:abstractNum w:abstractNumId="1425" w15:restartNumberingAfterBreak="0">
    <w:nsid w:val="58434D7E"/>
    <w:multiLevelType w:val="hybridMultilevel"/>
    <w:tmpl w:val="2B16401E"/>
    <w:lvl w:ilvl="0" w:tplc="4814926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7D8A81B6">
      <w:numFmt w:val="bullet"/>
      <w:lvlText w:val="•"/>
      <w:lvlJc w:val="left"/>
      <w:pPr>
        <w:ind w:left="426" w:hanging="105"/>
      </w:pPr>
      <w:rPr>
        <w:rFonts w:hint="default"/>
      </w:rPr>
    </w:lvl>
    <w:lvl w:ilvl="2" w:tplc="BEB24466">
      <w:numFmt w:val="bullet"/>
      <w:lvlText w:val="•"/>
      <w:lvlJc w:val="left"/>
      <w:pPr>
        <w:ind w:left="692" w:hanging="105"/>
      </w:pPr>
      <w:rPr>
        <w:rFonts w:hint="default"/>
      </w:rPr>
    </w:lvl>
    <w:lvl w:ilvl="3" w:tplc="876A54F6">
      <w:numFmt w:val="bullet"/>
      <w:lvlText w:val="•"/>
      <w:lvlJc w:val="left"/>
      <w:pPr>
        <w:ind w:left="959" w:hanging="105"/>
      </w:pPr>
      <w:rPr>
        <w:rFonts w:hint="default"/>
      </w:rPr>
    </w:lvl>
    <w:lvl w:ilvl="4" w:tplc="DBFAC8A2">
      <w:numFmt w:val="bullet"/>
      <w:lvlText w:val="•"/>
      <w:lvlJc w:val="left"/>
      <w:pPr>
        <w:ind w:left="1225" w:hanging="105"/>
      </w:pPr>
      <w:rPr>
        <w:rFonts w:hint="default"/>
      </w:rPr>
    </w:lvl>
    <w:lvl w:ilvl="5" w:tplc="80969270">
      <w:numFmt w:val="bullet"/>
      <w:lvlText w:val="•"/>
      <w:lvlJc w:val="left"/>
      <w:pPr>
        <w:ind w:left="1492" w:hanging="105"/>
      </w:pPr>
      <w:rPr>
        <w:rFonts w:hint="default"/>
      </w:rPr>
    </w:lvl>
    <w:lvl w:ilvl="6" w:tplc="3F761FA0">
      <w:numFmt w:val="bullet"/>
      <w:lvlText w:val="•"/>
      <w:lvlJc w:val="left"/>
      <w:pPr>
        <w:ind w:left="1758" w:hanging="105"/>
      </w:pPr>
      <w:rPr>
        <w:rFonts w:hint="default"/>
      </w:rPr>
    </w:lvl>
    <w:lvl w:ilvl="7" w:tplc="900CAC5E">
      <w:numFmt w:val="bullet"/>
      <w:lvlText w:val="•"/>
      <w:lvlJc w:val="left"/>
      <w:pPr>
        <w:ind w:left="2024" w:hanging="105"/>
      </w:pPr>
      <w:rPr>
        <w:rFonts w:hint="default"/>
      </w:rPr>
    </w:lvl>
    <w:lvl w:ilvl="8" w:tplc="33280E64">
      <w:numFmt w:val="bullet"/>
      <w:lvlText w:val="•"/>
      <w:lvlJc w:val="left"/>
      <w:pPr>
        <w:ind w:left="2291" w:hanging="105"/>
      </w:pPr>
      <w:rPr>
        <w:rFonts w:hint="default"/>
      </w:rPr>
    </w:lvl>
  </w:abstractNum>
  <w:abstractNum w:abstractNumId="1426" w15:restartNumberingAfterBreak="0">
    <w:nsid w:val="584632E3"/>
    <w:multiLevelType w:val="hybridMultilevel"/>
    <w:tmpl w:val="B33233E6"/>
    <w:lvl w:ilvl="0" w:tplc="75F831BC">
      <w:numFmt w:val="bullet"/>
      <w:lvlText w:val=""/>
      <w:lvlJc w:val="left"/>
      <w:pPr>
        <w:ind w:left="157" w:hanging="100"/>
      </w:pPr>
      <w:rPr>
        <w:rFonts w:ascii="Symbol" w:eastAsia="Symbol" w:hAnsi="Symbol" w:cs="Symbol" w:hint="default"/>
        <w:color w:val="231F20"/>
        <w:w w:val="100"/>
        <w:sz w:val="14"/>
        <w:szCs w:val="14"/>
      </w:rPr>
    </w:lvl>
    <w:lvl w:ilvl="1" w:tplc="842E6890">
      <w:numFmt w:val="bullet"/>
      <w:lvlText w:val="•"/>
      <w:lvlJc w:val="left"/>
      <w:pPr>
        <w:ind w:left="426" w:hanging="100"/>
      </w:pPr>
      <w:rPr>
        <w:rFonts w:hint="default"/>
      </w:rPr>
    </w:lvl>
    <w:lvl w:ilvl="2" w:tplc="B64ABD30">
      <w:numFmt w:val="bullet"/>
      <w:lvlText w:val="•"/>
      <w:lvlJc w:val="left"/>
      <w:pPr>
        <w:ind w:left="692" w:hanging="100"/>
      </w:pPr>
      <w:rPr>
        <w:rFonts w:hint="default"/>
      </w:rPr>
    </w:lvl>
    <w:lvl w:ilvl="3" w:tplc="66508EB0">
      <w:numFmt w:val="bullet"/>
      <w:lvlText w:val="•"/>
      <w:lvlJc w:val="left"/>
      <w:pPr>
        <w:ind w:left="959" w:hanging="100"/>
      </w:pPr>
      <w:rPr>
        <w:rFonts w:hint="default"/>
      </w:rPr>
    </w:lvl>
    <w:lvl w:ilvl="4" w:tplc="7BEC7D78">
      <w:numFmt w:val="bullet"/>
      <w:lvlText w:val="•"/>
      <w:lvlJc w:val="left"/>
      <w:pPr>
        <w:ind w:left="1225" w:hanging="100"/>
      </w:pPr>
      <w:rPr>
        <w:rFonts w:hint="default"/>
      </w:rPr>
    </w:lvl>
    <w:lvl w:ilvl="5" w:tplc="CA001AD0">
      <w:numFmt w:val="bullet"/>
      <w:lvlText w:val="•"/>
      <w:lvlJc w:val="left"/>
      <w:pPr>
        <w:ind w:left="1492" w:hanging="100"/>
      </w:pPr>
      <w:rPr>
        <w:rFonts w:hint="default"/>
      </w:rPr>
    </w:lvl>
    <w:lvl w:ilvl="6" w:tplc="DED89936">
      <w:numFmt w:val="bullet"/>
      <w:lvlText w:val="•"/>
      <w:lvlJc w:val="left"/>
      <w:pPr>
        <w:ind w:left="1758" w:hanging="100"/>
      </w:pPr>
      <w:rPr>
        <w:rFonts w:hint="default"/>
      </w:rPr>
    </w:lvl>
    <w:lvl w:ilvl="7" w:tplc="1926445C">
      <w:numFmt w:val="bullet"/>
      <w:lvlText w:val="•"/>
      <w:lvlJc w:val="left"/>
      <w:pPr>
        <w:ind w:left="2024" w:hanging="100"/>
      </w:pPr>
      <w:rPr>
        <w:rFonts w:hint="default"/>
      </w:rPr>
    </w:lvl>
    <w:lvl w:ilvl="8" w:tplc="ECC03DE4">
      <w:numFmt w:val="bullet"/>
      <w:lvlText w:val="•"/>
      <w:lvlJc w:val="left"/>
      <w:pPr>
        <w:ind w:left="2291" w:hanging="100"/>
      </w:pPr>
      <w:rPr>
        <w:rFonts w:hint="default"/>
      </w:rPr>
    </w:lvl>
  </w:abstractNum>
  <w:abstractNum w:abstractNumId="1427" w15:restartNumberingAfterBreak="0">
    <w:nsid w:val="5894688D"/>
    <w:multiLevelType w:val="hybridMultilevel"/>
    <w:tmpl w:val="84A8AD2C"/>
    <w:lvl w:ilvl="0" w:tplc="E1D2F3F2">
      <w:numFmt w:val="bullet"/>
      <w:lvlText w:val=""/>
      <w:lvlJc w:val="left"/>
      <w:pPr>
        <w:ind w:left="157" w:hanging="100"/>
      </w:pPr>
      <w:rPr>
        <w:rFonts w:ascii="Symbol" w:eastAsia="Symbol" w:hAnsi="Symbol" w:cs="Symbol" w:hint="default"/>
        <w:color w:val="231F20"/>
        <w:w w:val="100"/>
        <w:sz w:val="14"/>
        <w:szCs w:val="14"/>
      </w:rPr>
    </w:lvl>
    <w:lvl w:ilvl="1" w:tplc="34B6AA24">
      <w:numFmt w:val="bullet"/>
      <w:lvlText w:val="•"/>
      <w:lvlJc w:val="left"/>
      <w:pPr>
        <w:ind w:left="426" w:hanging="100"/>
      </w:pPr>
      <w:rPr>
        <w:rFonts w:hint="default"/>
      </w:rPr>
    </w:lvl>
    <w:lvl w:ilvl="2" w:tplc="B82035BA">
      <w:numFmt w:val="bullet"/>
      <w:lvlText w:val="•"/>
      <w:lvlJc w:val="left"/>
      <w:pPr>
        <w:ind w:left="692" w:hanging="100"/>
      </w:pPr>
      <w:rPr>
        <w:rFonts w:hint="default"/>
      </w:rPr>
    </w:lvl>
    <w:lvl w:ilvl="3" w:tplc="9864E260">
      <w:numFmt w:val="bullet"/>
      <w:lvlText w:val="•"/>
      <w:lvlJc w:val="left"/>
      <w:pPr>
        <w:ind w:left="959" w:hanging="100"/>
      </w:pPr>
      <w:rPr>
        <w:rFonts w:hint="default"/>
      </w:rPr>
    </w:lvl>
    <w:lvl w:ilvl="4" w:tplc="10562738">
      <w:numFmt w:val="bullet"/>
      <w:lvlText w:val="•"/>
      <w:lvlJc w:val="left"/>
      <w:pPr>
        <w:ind w:left="1225" w:hanging="100"/>
      </w:pPr>
      <w:rPr>
        <w:rFonts w:hint="default"/>
      </w:rPr>
    </w:lvl>
    <w:lvl w:ilvl="5" w:tplc="FB54700C">
      <w:numFmt w:val="bullet"/>
      <w:lvlText w:val="•"/>
      <w:lvlJc w:val="left"/>
      <w:pPr>
        <w:ind w:left="1492" w:hanging="100"/>
      </w:pPr>
      <w:rPr>
        <w:rFonts w:hint="default"/>
      </w:rPr>
    </w:lvl>
    <w:lvl w:ilvl="6" w:tplc="20163FEC">
      <w:numFmt w:val="bullet"/>
      <w:lvlText w:val="•"/>
      <w:lvlJc w:val="left"/>
      <w:pPr>
        <w:ind w:left="1758" w:hanging="100"/>
      </w:pPr>
      <w:rPr>
        <w:rFonts w:hint="default"/>
      </w:rPr>
    </w:lvl>
    <w:lvl w:ilvl="7" w:tplc="C58284E8">
      <w:numFmt w:val="bullet"/>
      <w:lvlText w:val="•"/>
      <w:lvlJc w:val="left"/>
      <w:pPr>
        <w:ind w:left="2024" w:hanging="100"/>
      </w:pPr>
      <w:rPr>
        <w:rFonts w:hint="default"/>
      </w:rPr>
    </w:lvl>
    <w:lvl w:ilvl="8" w:tplc="555ADFB2">
      <w:numFmt w:val="bullet"/>
      <w:lvlText w:val="•"/>
      <w:lvlJc w:val="left"/>
      <w:pPr>
        <w:ind w:left="2291" w:hanging="100"/>
      </w:pPr>
      <w:rPr>
        <w:rFonts w:hint="default"/>
      </w:rPr>
    </w:lvl>
  </w:abstractNum>
  <w:abstractNum w:abstractNumId="1428" w15:restartNumberingAfterBreak="0">
    <w:nsid w:val="58AF7823"/>
    <w:multiLevelType w:val="hybridMultilevel"/>
    <w:tmpl w:val="2D2C54B0"/>
    <w:lvl w:ilvl="0" w:tplc="3EEA253A">
      <w:numFmt w:val="bullet"/>
      <w:lvlText w:val=""/>
      <w:lvlJc w:val="left"/>
      <w:pPr>
        <w:ind w:left="156" w:hanging="100"/>
      </w:pPr>
      <w:rPr>
        <w:rFonts w:ascii="Symbol" w:eastAsia="Symbol" w:hAnsi="Symbol" w:cs="Symbol" w:hint="default"/>
        <w:color w:val="231F20"/>
        <w:w w:val="100"/>
        <w:sz w:val="14"/>
        <w:szCs w:val="14"/>
      </w:rPr>
    </w:lvl>
    <w:lvl w:ilvl="1" w:tplc="82F445BA">
      <w:numFmt w:val="bullet"/>
      <w:lvlText w:val="•"/>
      <w:lvlJc w:val="left"/>
      <w:pPr>
        <w:ind w:left="301" w:hanging="100"/>
      </w:pPr>
      <w:rPr>
        <w:rFonts w:hint="default"/>
      </w:rPr>
    </w:lvl>
    <w:lvl w:ilvl="2" w:tplc="6A9C6902">
      <w:numFmt w:val="bullet"/>
      <w:lvlText w:val="•"/>
      <w:lvlJc w:val="left"/>
      <w:pPr>
        <w:ind w:left="443" w:hanging="100"/>
      </w:pPr>
      <w:rPr>
        <w:rFonts w:hint="default"/>
      </w:rPr>
    </w:lvl>
    <w:lvl w:ilvl="3" w:tplc="DBCE2804">
      <w:numFmt w:val="bullet"/>
      <w:lvlText w:val="•"/>
      <w:lvlJc w:val="left"/>
      <w:pPr>
        <w:ind w:left="585" w:hanging="100"/>
      </w:pPr>
      <w:rPr>
        <w:rFonts w:hint="default"/>
      </w:rPr>
    </w:lvl>
    <w:lvl w:ilvl="4" w:tplc="7B9802AC">
      <w:numFmt w:val="bullet"/>
      <w:lvlText w:val="•"/>
      <w:lvlJc w:val="left"/>
      <w:pPr>
        <w:ind w:left="726" w:hanging="100"/>
      </w:pPr>
      <w:rPr>
        <w:rFonts w:hint="default"/>
      </w:rPr>
    </w:lvl>
    <w:lvl w:ilvl="5" w:tplc="C264FCAC">
      <w:numFmt w:val="bullet"/>
      <w:lvlText w:val="•"/>
      <w:lvlJc w:val="left"/>
      <w:pPr>
        <w:ind w:left="868" w:hanging="100"/>
      </w:pPr>
      <w:rPr>
        <w:rFonts w:hint="default"/>
      </w:rPr>
    </w:lvl>
    <w:lvl w:ilvl="6" w:tplc="DB583FB8">
      <w:numFmt w:val="bullet"/>
      <w:lvlText w:val="•"/>
      <w:lvlJc w:val="left"/>
      <w:pPr>
        <w:ind w:left="1010" w:hanging="100"/>
      </w:pPr>
      <w:rPr>
        <w:rFonts w:hint="default"/>
      </w:rPr>
    </w:lvl>
    <w:lvl w:ilvl="7" w:tplc="C60AFB40">
      <w:numFmt w:val="bullet"/>
      <w:lvlText w:val="•"/>
      <w:lvlJc w:val="left"/>
      <w:pPr>
        <w:ind w:left="1151" w:hanging="100"/>
      </w:pPr>
      <w:rPr>
        <w:rFonts w:hint="default"/>
      </w:rPr>
    </w:lvl>
    <w:lvl w:ilvl="8" w:tplc="61987C5A">
      <w:numFmt w:val="bullet"/>
      <w:lvlText w:val="•"/>
      <w:lvlJc w:val="left"/>
      <w:pPr>
        <w:ind w:left="1293" w:hanging="100"/>
      </w:pPr>
      <w:rPr>
        <w:rFonts w:hint="default"/>
      </w:rPr>
    </w:lvl>
  </w:abstractNum>
  <w:abstractNum w:abstractNumId="1429" w15:restartNumberingAfterBreak="0">
    <w:nsid w:val="58B01ACA"/>
    <w:multiLevelType w:val="hybridMultilevel"/>
    <w:tmpl w:val="CFA8E19C"/>
    <w:lvl w:ilvl="0" w:tplc="DB1075FE">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FFFC119C">
      <w:numFmt w:val="bullet"/>
      <w:lvlText w:val="•"/>
      <w:lvlJc w:val="left"/>
      <w:pPr>
        <w:ind w:left="369" w:hanging="105"/>
      </w:pPr>
      <w:rPr>
        <w:rFonts w:hint="default"/>
      </w:rPr>
    </w:lvl>
    <w:lvl w:ilvl="2" w:tplc="0A5483BE">
      <w:numFmt w:val="bullet"/>
      <w:lvlText w:val="•"/>
      <w:lvlJc w:val="left"/>
      <w:pPr>
        <w:ind w:left="579" w:hanging="105"/>
      </w:pPr>
      <w:rPr>
        <w:rFonts w:hint="default"/>
      </w:rPr>
    </w:lvl>
    <w:lvl w:ilvl="3" w:tplc="79D2EED6">
      <w:numFmt w:val="bullet"/>
      <w:lvlText w:val="•"/>
      <w:lvlJc w:val="left"/>
      <w:pPr>
        <w:ind w:left="789" w:hanging="105"/>
      </w:pPr>
      <w:rPr>
        <w:rFonts w:hint="default"/>
      </w:rPr>
    </w:lvl>
    <w:lvl w:ilvl="4" w:tplc="44724E00">
      <w:numFmt w:val="bullet"/>
      <w:lvlText w:val="•"/>
      <w:lvlJc w:val="left"/>
      <w:pPr>
        <w:ind w:left="998" w:hanging="105"/>
      </w:pPr>
      <w:rPr>
        <w:rFonts w:hint="default"/>
      </w:rPr>
    </w:lvl>
    <w:lvl w:ilvl="5" w:tplc="E62E07C0">
      <w:numFmt w:val="bullet"/>
      <w:lvlText w:val="•"/>
      <w:lvlJc w:val="left"/>
      <w:pPr>
        <w:ind w:left="1208" w:hanging="105"/>
      </w:pPr>
      <w:rPr>
        <w:rFonts w:hint="default"/>
      </w:rPr>
    </w:lvl>
    <w:lvl w:ilvl="6" w:tplc="A3B4D358">
      <w:numFmt w:val="bullet"/>
      <w:lvlText w:val="•"/>
      <w:lvlJc w:val="left"/>
      <w:pPr>
        <w:ind w:left="1418" w:hanging="105"/>
      </w:pPr>
      <w:rPr>
        <w:rFonts w:hint="default"/>
      </w:rPr>
    </w:lvl>
    <w:lvl w:ilvl="7" w:tplc="71D44F58">
      <w:numFmt w:val="bullet"/>
      <w:lvlText w:val="•"/>
      <w:lvlJc w:val="left"/>
      <w:pPr>
        <w:ind w:left="1627" w:hanging="105"/>
      </w:pPr>
      <w:rPr>
        <w:rFonts w:hint="default"/>
      </w:rPr>
    </w:lvl>
    <w:lvl w:ilvl="8" w:tplc="5A32A946">
      <w:numFmt w:val="bullet"/>
      <w:lvlText w:val="•"/>
      <w:lvlJc w:val="left"/>
      <w:pPr>
        <w:ind w:left="1837" w:hanging="105"/>
      </w:pPr>
      <w:rPr>
        <w:rFonts w:hint="default"/>
      </w:rPr>
    </w:lvl>
  </w:abstractNum>
  <w:abstractNum w:abstractNumId="1430" w15:restartNumberingAfterBreak="0">
    <w:nsid w:val="58C307FF"/>
    <w:multiLevelType w:val="hybridMultilevel"/>
    <w:tmpl w:val="FAE0F952"/>
    <w:lvl w:ilvl="0" w:tplc="5B761DCC">
      <w:numFmt w:val="bullet"/>
      <w:lvlText w:val=""/>
      <w:lvlJc w:val="left"/>
      <w:pPr>
        <w:ind w:left="156" w:hanging="100"/>
      </w:pPr>
      <w:rPr>
        <w:rFonts w:ascii="Symbol" w:eastAsia="Symbol" w:hAnsi="Symbol" w:cs="Symbol" w:hint="default"/>
        <w:color w:val="231F20"/>
        <w:w w:val="100"/>
        <w:sz w:val="14"/>
        <w:szCs w:val="14"/>
      </w:rPr>
    </w:lvl>
    <w:lvl w:ilvl="1" w:tplc="6A802520">
      <w:numFmt w:val="bullet"/>
      <w:lvlText w:val="•"/>
      <w:lvlJc w:val="left"/>
      <w:pPr>
        <w:ind w:left="301" w:hanging="100"/>
      </w:pPr>
      <w:rPr>
        <w:rFonts w:hint="default"/>
      </w:rPr>
    </w:lvl>
    <w:lvl w:ilvl="2" w:tplc="9BBAB538">
      <w:numFmt w:val="bullet"/>
      <w:lvlText w:val="•"/>
      <w:lvlJc w:val="left"/>
      <w:pPr>
        <w:ind w:left="443" w:hanging="100"/>
      </w:pPr>
      <w:rPr>
        <w:rFonts w:hint="default"/>
      </w:rPr>
    </w:lvl>
    <w:lvl w:ilvl="3" w:tplc="A0AC7FD6">
      <w:numFmt w:val="bullet"/>
      <w:lvlText w:val="•"/>
      <w:lvlJc w:val="left"/>
      <w:pPr>
        <w:ind w:left="585" w:hanging="100"/>
      </w:pPr>
      <w:rPr>
        <w:rFonts w:hint="default"/>
      </w:rPr>
    </w:lvl>
    <w:lvl w:ilvl="4" w:tplc="C7B638B2">
      <w:numFmt w:val="bullet"/>
      <w:lvlText w:val="•"/>
      <w:lvlJc w:val="left"/>
      <w:pPr>
        <w:ind w:left="726" w:hanging="100"/>
      </w:pPr>
      <w:rPr>
        <w:rFonts w:hint="default"/>
      </w:rPr>
    </w:lvl>
    <w:lvl w:ilvl="5" w:tplc="7682D732">
      <w:numFmt w:val="bullet"/>
      <w:lvlText w:val="•"/>
      <w:lvlJc w:val="left"/>
      <w:pPr>
        <w:ind w:left="868" w:hanging="100"/>
      </w:pPr>
      <w:rPr>
        <w:rFonts w:hint="default"/>
      </w:rPr>
    </w:lvl>
    <w:lvl w:ilvl="6" w:tplc="5086962C">
      <w:numFmt w:val="bullet"/>
      <w:lvlText w:val="•"/>
      <w:lvlJc w:val="left"/>
      <w:pPr>
        <w:ind w:left="1010" w:hanging="100"/>
      </w:pPr>
      <w:rPr>
        <w:rFonts w:hint="default"/>
      </w:rPr>
    </w:lvl>
    <w:lvl w:ilvl="7" w:tplc="8A36CBB0">
      <w:numFmt w:val="bullet"/>
      <w:lvlText w:val="•"/>
      <w:lvlJc w:val="left"/>
      <w:pPr>
        <w:ind w:left="1151" w:hanging="100"/>
      </w:pPr>
      <w:rPr>
        <w:rFonts w:hint="default"/>
      </w:rPr>
    </w:lvl>
    <w:lvl w:ilvl="8" w:tplc="A5E841D4">
      <w:numFmt w:val="bullet"/>
      <w:lvlText w:val="•"/>
      <w:lvlJc w:val="left"/>
      <w:pPr>
        <w:ind w:left="1293" w:hanging="100"/>
      </w:pPr>
      <w:rPr>
        <w:rFonts w:hint="default"/>
      </w:rPr>
    </w:lvl>
  </w:abstractNum>
  <w:abstractNum w:abstractNumId="1431" w15:restartNumberingAfterBreak="0">
    <w:nsid w:val="58E108E1"/>
    <w:multiLevelType w:val="hybridMultilevel"/>
    <w:tmpl w:val="8E3CF8E4"/>
    <w:lvl w:ilvl="0" w:tplc="D42C5462">
      <w:numFmt w:val="bullet"/>
      <w:lvlText w:val=""/>
      <w:lvlJc w:val="left"/>
      <w:pPr>
        <w:ind w:left="157" w:hanging="100"/>
      </w:pPr>
      <w:rPr>
        <w:rFonts w:ascii="Symbol" w:eastAsia="Symbol" w:hAnsi="Symbol" w:cs="Symbol" w:hint="default"/>
        <w:color w:val="231F20"/>
        <w:w w:val="100"/>
        <w:sz w:val="14"/>
        <w:szCs w:val="14"/>
      </w:rPr>
    </w:lvl>
    <w:lvl w:ilvl="1" w:tplc="89005BAC">
      <w:numFmt w:val="bullet"/>
      <w:lvlText w:val="•"/>
      <w:lvlJc w:val="left"/>
      <w:pPr>
        <w:ind w:left="426" w:hanging="100"/>
      </w:pPr>
      <w:rPr>
        <w:rFonts w:hint="default"/>
      </w:rPr>
    </w:lvl>
    <w:lvl w:ilvl="2" w:tplc="69CE70CE">
      <w:numFmt w:val="bullet"/>
      <w:lvlText w:val="•"/>
      <w:lvlJc w:val="left"/>
      <w:pPr>
        <w:ind w:left="692" w:hanging="100"/>
      </w:pPr>
      <w:rPr>
        <w:rFonts w:hint="default"/>
      </w:rPr>
    </w:lvl>
    <w:lvl w:ilvl="3" w:tplc="FE78F68A">
      <w:numFmt w:val="bullet"/>
      <w:lvlText w:val="•"/>
      <w:lvlJc w:val="left"/>
      <w:pPr>
        <w:ind w:left="959" w:hanging="100"/>
      </w:pPr>
      <w:rPr>
        <w:rFonts w:hint="default"/>
      </w:rPr>
    </w:lvl>
    <w:lvl w:ilvl="4" w:tplc="9AD44248">
      <w:numFmt w:val="bullet"/>
      <w:lvlText w:val="•"/>
      <w:lvlJc w:val="left"/>
      <w:pPr>
        <w:ind w:left="1225" w:hanging="100"/>
      </w:pPr>
      <w:rPr>
        <w:rFonts w:hint="default"/>
      </w:rPr>
    </w:lvl>
    <w:lvl w:ilvl="5" w:tplc="53463D24">
      <w:numFmt w:val="bullet"/>
      <w:lvlText w:val="•"/>
      <w:lvlJc w:val="left"/>
      <w:pPr>
        <w:ind w:left="1492" w:hanging="100"/>
      </w:pPr>
      <w:rPr>
        <w:rFonts w:hint="default"/>
      </w:rPr>
    </w:lvl>
    <w:lvl w:ilvl="6" w:tplc="FFEEE3E6">
      <w:numFmt w:val="bullet"/>
      <w:lvlText w:val="•"/>
      <w:lvlJc w:val="left"/>
      <w:pPr>
        <w:ind w:left="1758" w:hanging="100"/>
      </w:pPr>
      <w:rPr>
        <w:rFonts w:hint="default"/>
      </w:rPr>
    </w:lvl>
    <w:lvl w:ilvl="7" w:tplc="7D882FBC">
      <w:numFmt w:val="bullet"/>
      <w:lvlText w:val="•"/>
      <w:lvlJc w:val="left"/>
      <w:pPr>
        <w:ind w:left="2024" w:hanging="100"/>
      </w:pPr>
      <w:rPr>
        <w:rFonts w:hint="default"/>
      </w:rPr>
    </w:lvl>
    <w:lvl w:ilvl="8" w:tplc="9264B4C8">
      <w:numFmt w:val="bullet"/>
      <w:lvlText w:val="•"/>
      <w:lvlJc w:val="left"/>
      <w:pPr>
        <w:ind w:left="2291" w:hanging="100"/>
      </w:pPr>
      <w:rPr>
        <w:rFonts w:hint="default"/>
      </w:rPr>
    </w:lvl>
  </w:abstractNum>
  <w:abstractNum w:abstractNumId="1432" w15:restartNumberingAfterBreak="0">
    <w:nsid w:val="58FD25AF"/>
    <w:multiLevelType w:val="hybridMultilevel"/>
    <w:tmpl w:val="C590B58A"/>
    <w:lvl w:ilvl="0" w:tplc="059ED9E8">
      <w:numFmt w:val="bullet"/>
      <w:lvlText w:val=""/>
      <w:lvlJc w:val="left"/>
      <w:pPr>
        <w:ind w:left="156" w:hanging="100"/>
      </w:pPr>
      <w:rPr>
        <w:rFonts w:ascii="Symbol" w:eastAsia="Symbol" w:hAnsi="Symbol" w:cs="Symbol" w:hint="default"/>
        <w:color w:val="231F20"/>
        <w:w w:val="100"/>
        <w:sz w:val="14"/>
        <w:szCs w:val="14"/>
      </w:rPr>
    </w:lvl>
    <w:lvl w:ilvl="1" w:tplc="3C18E5BE">
      <w:numFmt w:val="bullet"/>
      <w:lvlText w:val="•"/>
      <w:lvlJc w:val="left"/>
      <w:pPr>
        <w:ind w:left="398" w:hanging="100"/>
      </w:pPr>
      <w:rPr>
        <w:rFonts w:hint="default"/>
      </w:rPr>
    </w:lvl>
    <w:lvl w:ilvl="2" w:tplc="69A2C658">
      <w:numFmt w:val="bullet"/>
      <w:lvlText w:val="•"/>
      <w:lvlJc w:val="left"/>
      <w:pPr>
        <w:ind w:left="636" w:hanging="100"/>
      </w:pPr>
      <w:rPr>
        <w:rFonts w:hint="default"/>
      </w:rPr>
    </w:lvl>
    <w:lvl w:ilvl="3" w:tplc="C16E3F90">
      <w:numFmt w:val="bullet"/>
      <w:lvlText w:val="•"/>
      <w:lvlJc w:val="left"/>
      <w:pPr>
        <w:ind w:left="874" w:hanging="100"/>
      </w:pPr>
      <w:rPr>
        <w:rFonts w:hint="default"/>
      </w:rPr>
    </w:lvl>
    <w:lvl w:ilvl="4" w:tplc="0B5C44DE">
      <w:numFmt w:val="bullet"/>
      <w:lvlText w:val="•"/>
      <w:lvlJc w:val="left"/>
      <w:pPr>
        <w:ind w:left="1112" w:hanging="100"/>
      </w:pPr>
      <w:rPr>
        <w:rFonts w:hint="default"/>
      </w:rPr>
    </w:lvl>
    <w:lvl w:ilvl="5" w:tplc="46AA548E">
      <w:numFmt w:val="bullet"/>
      <w:lvlText w:val="•"/>
      <w:lvlJc w:val="left"/>
      <w:pPr>
        <w:ind w:left="1350" w:hanging="100"/>
      </w:pPr>
      <w:rPr>
        <w:rFonts w:hint="default"/>
      </w:rPr>
    </w:lvl>
    <w:lvl w:ilvl="6" w:tplc="607CFAB4">
      <w:numFmt w:val="bullet"/>
      <w:lvlText w:val="•"/>
      <w:lvlJc w:val="left"/>
      <w:pPr>
        <w:ind w:left="1588" w:hanging="100"/>
      </w:pPr>
      <w:rPr>
        <w:rFonts w:hint="default"/>
      </w:rPr>
    </w:lvl>
    <w:lvl w:ilvl="7" w:tplc="7256E44E">
      <w:numFmt w:val="bullet"/>
      <w:lvlText w:val="•"/>
      <w:lvlJc w:val="left"/>
      <w:pPr>
        <w:ind w:left="1826" w:hanging="100"/>
      </w:pPr>
      <w:rPr>
        <w:rFonts w:hint="default"/>
      </w:rPr>
    </w:lvl>
    <w:lvl w:ilvl="8" w:tplc="430EDCC8">
      <w:numFmt w:val="bullet"/>
      <w:lvlText w:val="•"/>
      <w:lvlJc w:val="left"/>
      <w:pPr>
        <w:ind w:left="2064" w:hanging="100"/>
      </w:pPr>
      <w:rPr>
        <w:rFonts w:hint="default"/>
      </w:rPr>
    </w:lvl>
  </w:abstractNum>
  <w:abstractNum w:abstractNumId="1433" w15:restartNumberingAfterBreak="0">
    <w:nsid w:val="59056D56"/>
    <w:multiLevelType w:val="hybridMultilevel"/>
    <w:tmpl w:val="B2A88A24"/>
    <w:lvl w:ilvl="0" w:tplc="F4C85604">
      <w:numFmt w:val="bullet"/>
      <w:lvlText w:val=""/>
      <w:lvlJc w:val="left"/>
      <w:pPr>
        <w:ind w:left="156" w:hanging="100"/>
      </w:pPr>
      <w:rPr>
        <w:rFonts w:ascii="Symbol" w:eastAsia="Symbol" w:hAnsi="Symbol" w:cs="Symbol" w:hint="default"/>
        <w:color w:val="231F20"/>
        <w:w w:val="100"/>
        <w:sz w:val="14"/>
        <w:szCs w:val="14"/>
      </w:rPr>
    </w:lvl>
    <w:lvl w:ilvl="1" w:tplc="2A705534">
      <w:numFmt w:val="bullet"/>
      <w:lvlText w:val="•"/>
      <w:lvlJc w:val="left"/>
      <w:pPr>
        <w:ind w:left="454" w:hanging="100"/>
      </w:pPr>
      <w:rPr>
        <w:rFonts w:hint="default"/>
      </w:rPr>
    </w:lvl>
    <w:lvl w:ilvl="2" w:tplc="009838AC">
      <w:numFmt w:val="bullet"/>
      <w:lvlText w:val="•"/>
      <w:lvlJc w:val="left"/>
      <w:pPr>
        <w:ind w:left="749" w:hanging="100"/>
      </w:pPr>
      <w:rPr>
        <w:rFonts w:hint="default"/>
      </w:rPr>
    </w:lvl>
    <w:lvl w:ilvl="3" w:tplc="7F16E9C6">
      <w:numFmt w:val="bullet"/>
      <w:lvlText w:val="•"/>
      <w:lvlJc w:val="left"/>
      <w:pPr>
        <w:ind w:left="1044" w:hanging="100"/>
      </w:pPr>
      <w:rPr>
        <w:rFonts w:hint="default"/>
      </w:rPr>
    </w:lvl>
    <w:lvl w:ilvl="4" w:tplc="F6FE03D6">
      <w:numFmt w:val="bullet"/>
      <w:lvlText w:val="•"/>
      <w:lvlJc w:val="left"/>
      <w:pPr>
        <w:ind w:left="1339" w:hanging="100"/>
      </w:pPr>
      <w:rPr>
        <w:rFonts w:hint="default"/>
      </w:rPr>
    </w:lvl>
    <w:lvl w:ilvl="5" w:tplc="9698E86C">
      <w:numFmt w:val="bullet"/>
      <w:lvlText w:val="•"/>
      <w:lvlJc w:val="left"/>
      <w:pPr>
        <w:ind w:left="1634" w:hanging="100"/>
      </w:pPr>
      <w:rPr>
        <w:rFonts w:hint="default"/>
      </w:rPr>
    </w:lvl>
    <w:lvl w:ilvl="6" w:tplc="F6AA8CB4">
      <w:numFmt w:val="bullet"/>
      <w:lvlText w:val="•"/>
      <w:lvlJc w:val="left"/>
      <w:pPr>
        <w:ind w:left="1928" w:hanging="100"/>
      </w:pPr>
      <w:rPr>
        <w:rFonts w:hint="default"/>
      </w:rPr>
    </w:lvl>
    <w:lvl w:ilvl="7" w:tplc="7A242F78">
      <w:numFmt w:val="bullet"/>
      <w:lvlText w:val="•"/>
      <w:lvlJc w:val="left"/>
      <w:pPr>
        <w:ind w:left="2223" w:hanging="100"/>
      </w:pPr>
      <w:rPr>
        <w:rFonts w:hint="default"/>
      </w:rPr>
    </w:lvl>
    <w:lvl w:ilvl="8" w:tplc="5F8AB8D4">
      <w:numFmt w:val="bullet"/>
      <w:lvlText w:val="•"/>
      <w:lvlJc w:val="left"/>
      <w:pPr>
        <w:ind w:left="2518" w:hanging="100"/>
      </w:pPr>
      <w:rPr>
        <w:rFonts w:hint="default"/>
      </w:rPr>
    </w:lvl>
  </w:abstractNum>
  <w:abstractNum w:abstractNumId="1434" w15:restartNumberingAfterBreak="0">
    <w:nsid w:val="590B3926"/>
    <w:multiLevelType w:val="hybridMultilevel"/>
    <w:tmpl w:val="620CC852"/>
    <w:lvl w:ilvl="0" w:tplc="8674AF8E">
      <w:numFmt w:val="bullet"/>
      <w:lvlText w:val=""/>
      <w:lvlJc w:val="left"/>
      <w:pPr>
        <w:ind w:left="156" w:hanging="100"/>
      </w:pPr>
      <w:rPr>
        <w:rFonts w:ascii="Symbol" w:eastAsia="Symbol" w:hAnsi="Symbol" w:cs="Symbol" w:hint="default"/>
        <w:color w:val="231F20"/>
        <w:w w:val="100"/>
        <w:sz w:val="14"/>
        <w:szCs w:val="14"/>
      </w:rPr>
    </w:lvl>
    <w:lvl w:ilvl="1" w:tplc="8752D01A">
      <w:numFmt w:val="bullet"/>
      <w:lvlText w:val="•"/>
      <w:lvlJc w:val="left"/>
      <w:pPr>
        <w:ind w:left="398" w:hanging="100"/>
      </w:pPr>
      <w:rPr>
        <w:rFonts w:hint="default"/>
      </w:rPr>
    </w:lvl>
    <w:lvl w:ilvl="2" w:tplc="109476CE">
      <w:numFmt w:val="bullet"/>
      <w:lvlText w:val="•"/>
      <w:lvlJc w:val="left"/>
      <w:pPr>
        <w:ind w:left="636" w:hanging="100"/>
      </w:pPr>
      <w:rPr>
        <w:rFonts w:hint="default"/>
      </w:rPr>
    </w:lvl>
    <w:lvl w:ilvl="3" w:tplc="2F3451B0">
      <w:numFmt w:val="bullet"/>
      <w:lvlText w:val="•"/>
      <w:lvlJc w:val="left"/>
      <w:pPr>
        <w:ind w:left="874" w:hanging="100"/>
      </w:pPr>
      <w:rPr>
        <w:rFonts w:hint="default"/>
      </w:rPr>
    </w:lvl>
    <w:lvl w:ilvl="4" w:tplc="47DC1FBE">
      <w:numFmt w:val="bullet"/>
      <w:lvlText w:val="•"/>
      <w:lvlJc w:val="left"/>
      <w:pPr>
        <w:ind w:left="1112" w:hanging="100"/>
      </w:pPr>
      <w:rPr>
        <w:rFonts w:hint="default"/>
      </w:rPr>
    </w:lvl>
    <w:lvl w:ilvl="5" w:tplc="01660B10">
      <w:numFmt w:val="bullet"/>
      <w:lvlText w:val="•"/>
      <w:lvlJc w:val="left"/>
      <w:pPr>
        <w:ind w:left="1350" w:hanging="100"/>
      </w:pPr>
      <w:rPr>
        <w:rFonts w:hint="default"/>
      </w:rPr>
    </w:lvl>
    <w:lvl w:ilvl="6" w:tplc="D36ED314">
      <w:numFmt w:val="bullet"/>
      <w:lvlText w:val="•"/>
      <w:lvlJc w:val="left"/>
      <w:pPr>
        <w:ind w:left="1588" w:hanging="100"/>
      </w:pPr>
      <w:rPr>
        <w:rFonts w:hint="default"/>
      </w:rPr>
    </w:lvl>
    <w:lvl w:ilvl="7" w:tplc="41140CB2">
      <w:numFmt w:val="bullet"/>
      <w:lvlText w:val="•"/>
      <w:lvlJc w:val="left"/>
      <w:pPr>
        <w:ind w:left="1826" w:hanging="100"/>
      </w:pPr>
      <w:rPr>
        <w:rFonts w:hint="default"/>
      </w:rPr>
    </w:lvl>
    <w:lvl w:ilvl="8" w:tplc="77EC157E">
      <w:numFmt w:val="bullet"/>
      <w:lvlText w:val="•"/>
      <w:lvlJc w:val="left"/>
      <w:pPr>
        <w:ind w:left="2064" w:hanging="100"/>
      </w:pPr>
      <w:rPr>
        <w:rFonts w:hint="default"/>
      </w:rPr>
    </w:lvl>
  </w:abstractNum>
  <w:abstractNum w:abstractNumId="1435" w15:restartNumberingAfterBreak="0">
    <w:nsid w:val="590B40FE"/>
    <w:multiLevelType w:val="hybridMultilevel"/>
    <w:tmpl w:val="108C3808"/>
    <w:lvl w:ilvl="0" w:tplc="F2B002C8">
      <w:numFmt w:val="bullet"/>
      <w:lvlText w:val=""/>
      <w:lvlJc w:val="left"/>
      <w:pPr>
        <w:ind w:left="156" w:hanging="100"/>
      </w:pPr>
      <w:rPr>
        <w:rFonts w:ascii="Symbol" w:eastAsia="Symbol" w:hAnsi="Symbol" w:cs="Symbol" w:hint="default"/>
        <w:color w:val="231F20"/>
        <w:w w:val="100"/>
        <w:sz w:val="14"/>
        <w:szCs w:val="14"/>
      </w:rPr>
    </w:lvl>
    <w:lvl w:ilvl="1" w:tplc="0AB4103C">
      <w:numFmt w:val="bullet"/>
      <w:lvlText w:val="•"/>
      <w:lvlJc w:val="left"/>
      <w:pPr>
        <w:ind w:left="426" w:hanging="100"/>
      </w:pPr>
      <w:rPr>
        <w:rFonts w:hint="default"/>
      </w:rPr>
    </w:lvl>
    <w:lvl w:ilvl="2" w:tplc="3D9267CC">
      <w:numFmt w:val="bullet"/>
      <w:lvlText w:val="•"/>
      <w:lvlJc w:val="left"/>
      <w:pPr>
        <w:ind w:left="692" w:hanging="100"/>
      </w:pPr>
      <w:rPr>
        <w:rFonts w:hint="default"/>
      </w:rPr>
    </w:lvl>
    <w:lvl w:ilvl="3" w:tplc="9768FC42">
      <w:numFmt w:val="bullet"/>
      <w:lvlText w:val="•"/>
      <w:lvlJc w:val="left"/>
      <w:pPr>
        <w:ind w:left="959" w:hanging="100"/>
      </w:pPr>
      <w:rPr>
        <w:rFonts w:hint="default"/>
      </w:rPr>
    </w:lvl>
    <w:lvl w:ilvl="4" w:tplc="13945BF4">
      <w:numFmt w:val="bullet"/>
      <w:lvlText w:val="•"/>
      <w:lvlJc w:val="left"/>
      <w:pPr>
        <w:ind w:left="1225" w:hanging="100"/>
      </w:pPr>
      <w:rPr>
        <w:rFonts w:hint="default"/>
      </w:rPr>
    </w:lvl>
    <w:lvl w:ilvl="5" w:tplc="26888F36">
      <w:numFmt w:val="bullet"/>
      <w:lvlText w:val="•"/>
      <w:lvlJc w:val="left"/>
      <w:pPr>
        <w:ind w:left="1492" w:hanging="100"/>
      </w:pPr>
      <w:rPr>
        <w:rFonts w:hint="default"/>
      </w:rPr>
    </w:lvl>
    <w:lvl w:ilvl="6" w:tplc="A3128266">
      <w:numFmt w:val="bullet"/>
      <w:lvlText w:val="•"/>
      <w:lvlJc w:val="left"/>
      <w:pPr>
        <w:ind w:left="1758" w:hanging="100"/>
      </w:pPr>
      <w:rPr>
        <w:rFonts w:hint="default"/>
      </w:rPr>
    </w:lvl>
    <w:lvl w:ilvl="7" w:tplc="EFB6A1FA">
      <w:numFmt w:val="bullet"/>
      <w:lvlText w:val="•"/>
      <w:lvlJc w:val="left"/>
      <w:pPr>
        <w:ind w:left="2024" w:hanging="100"/>
      </w:pPr>
      <w:rPr>
        <w:rFonts w:hint="default"/>
      </w:rPr>
    </w:lvl>
    <w:lvl w:ilvl="8" w:tplc="63866FBA">
      <w:numFmt w:val="bullet"/>
      <w:lvlText w:val="•"/>
      <w:lvlJc w:val="left"/>
      <w:pPr>
        <w:ind w:left="2291" w:hanging="100"/>
      </w:pPr>
      <w:rPr>
        <w:rFonts w:hint="default"/>
      </w:rPr>
    </w:lvl>
  </w:abstractNum>
  <w:abstractNum w:abstractNumId="1436" w15:restartNumberingAfterBreak="0">
    <w:nsid w:val="59362BC4"/>
    <w:multiLevelType w:val="hybridMultilevel"/>
    <w:tmpl w:val="938E3B86"/>
    <w:lvl w:ilvl="0" w:tplc="0DD4E6AE">
      <w:numFmt w:val="bullet"/>
      <w:lvlText w:val=""/>
      <w:lvlJc w:val="left"/>
      <w:pPr>
        <w:ind w:left="156" w:hanging="100"/>
      </w:pPr>
      <w:rPr>
        <w:rFonts w:ascii="Symbol" w:eastAsia="Symbol" w:hAnsi="Symbol" w:cs="Symbol" w:hint="default"/>
        <w:color w:val="231F20"/>
        <w:w w:val="100"/>
        <w:sz w:val="14"/>
        <w:szCs w:val="14"/>
      </w:rPr>
    </w:lvl>
    <w:lvl w:ilvl="1" w:tplc="5B16E7EA">
      <w:numFmt w:val="bullet"/>
      <w:lvlText w:val="•"/>
      <w:lvlJc w:val="left"/>
      <w:pPr>
        <w:ind w:left="301" w:hanging="100"/>
      </w:pPr>
      <w:rPr>
        <w:rFonts w:hint="default"/>
      </w:rPr>
    </w:lvl>
    <w:lvl w:ilvl="2" w:tplc="A8CAB9BA">
      <w:numFmt w:val="bullet"/>
      <w:lvlText w:val="•"/>
      <w:lvlJc w:val="left"/>
      <w:pPr>
        <w:ind w:left="443" w:hanging="100"/>
      </w:pPr>
      <w:rPr>
        <w:rFonts w:hint="default"/>
      </w:rPr>
    </w:lvl>
    <w:lvl w:ilvl="3" w:tplc="A4A2844C">
      <w:numFmt w:val="bullet"/>
      <w:lvlText w:val="•"/>
      <w:lvlJc w:val="left"/>
      <w:pPr>
        <w:ind w:left="585" w:hanging="100"/>
      </w:pPr>
      <w:rPr>
        <w:rFonts w:hint="default"/>
      </w:rPr>
    </w:lvl>
    <w:lvl w:ilvl="4" w:tplc="F1FA8796">
      <w:numFmt w:val="bullet"/>
      <w:lvlText w:val="•"/>
      <w:lvlJc w:val="left"/>
      <w:pPr>
        <w:ind w:left="726" w:hanging="100"/>
      </w:pPr>
      <w:rPr>
        <w:rFonts w:hint="default"/>
      </w:rPr>
    </w:lvl>
    <w:lvl w:ilvl="5" w:tplc="209E9476">
      <w:numFmt w:val="bullet"/>
      <w:lvlText w:val="•"/>
      <w:lvlJc w:val="left"/>
      <w:pPr>
        <w:ind w:left="868" w:hanging="100"/>
      </w:pPr>
      <w:rPr>
        <w:rFonts w:hint="default"/>
      </w:rPr>
    </w:lvl>
    <w:lvl w:ilvl="6" w:tplc="ECECA22C">
      <w:numFmt w:val="bullet"/>
      <w:lvlText w:val="•"/>
      <w:lvlJc w:val="left"/>
      <w:pPr>
        <w:ind w:left="1010" w:hanging="100"/>
      </w:pPr>
      <w:rPr>
        <w:rFonts w:hint="default"/>
      </w:rPr>
    </w:lvl>
    <w:lvl w:ilvl="7" w:tplc="0C128F5C">
      <w:numFmt w:val="bullet"/>
      <w:lvlText w:val="•"/>
      <w:lvlJc w:val="left"/>
      <w:pPr>
        <w:ind w:left="1151" w:hanging="100"/>
      </w:pPr>
      <w:rPr>
        <w:rFonts w:hint="default"/>
      </w:rPr>
    </w:lvl>
    <w:lvl w:ilvl="8" w:tplc="23EC811A">
      <w:numFmt w:val="bullet"/>
      <w:lvlText w:val="•"/>
      <w:lvlJc w:val="left"/>
      <w:pPr>
        <w:ind w:left="1293" w:hanging="100"/>
      </w:pPr>
      <w:rPr>
        <w:rFonts w:hint="default"/>
      </w:rPr>
    </w:lvl>
  </w:abstractNum>
  <w:abstractNum w:abstractNumId="1437" w15:restartNumberingAfterBreak="0">
    <w:nsid w:val="593D395C"/>
    <w:multiLevelType w:val="hybridMultilevel"/>
    <w:tmpl w:val="741E16DA"/>
    <w:lvl w:ilvl="0" w:tplc="2998246A">
      <w:numFmt w:val="bullet"/>
      <w:lvlText w:val=""/>
      <w:lvlJc w:val="left"/>
      <w:pPr>
        <w:ind w:left="156" w:hanging="100"/>
      </w:pPr>
      <w:rPr>
        <w:rFonts w:ascii="Symbol" w:eastAsia="Symbol" w:hAnsi="Symbol" w:cs="Symbol" w:hint="default"/>
        <w:color w:val="231F20"/>
        <w:w w:val="100"/>
        <w:sz w:val="14"/>
        <w:szCs w:val="14"/>
      </w:rPr>
    </w:lvl>
    <w:lvl w:ilvl="1" w:tplc="5F48CA68">
      <w:numFmt w:val="bullet"/>
      <w:lvlText w:val="•"/>
      <w:lvlJc w:val="left"/>
      <w:pPr>
        <w:ind w:left="398" w:hanging="100"/>
      </w:pPr>
      <w:rPr>
        <w:rFonts w:hint="default"/>
      </w:rPr>
    </w:lvl>
    <w:lvl w:ilvl="2" w:tplc="B0CE5D6A">
      <w:numFmt w:val="bullet"/>
      <w:lvlText w:val="•"/>
      <w:lvlJc w:val="left"/>
      <w:pPr>
        <w:ind w:left="636" w:hanging="100"/>
      </w:pPr>
      <w:rPr>
        <w:rFonts w:hint="default"/>
      </w:rPr>
    </w:lvl>
    <w:lvl w:ilvl="3" w:tplc="12F0DC32">
      <w:numFmt w:val="bullet"/>
      <w:lvlText w:val="•"/>
      <w:lvlJc w:val="left"/>
      <w:pPr>
        <w:ind w:left="874" w:hanging="100"/>
      </w:pPr>
      <w:rPr>
        <w:rFonts w:hint="default"/>
      </w:rPr>
    </w:lvl>
    <w:lvl w:ilvl="4" w:tplc="2E0CDAB6">
      <w:numFmt w:val="bullet"/>
      <w:lvlText w:val="•"/>
      <w:lvlJc w:val="left"/>
      <w:pPr>
        <w:ind w:left="1112" w:hanging="100"/>
      </w:pPr>
      <w:rPr>
        <w:rFonts w:hint="default"/>
      </w:rPr>
    </w:lvl>
    <w:lvl w:ilvl="5" w:tplc="0C8CD7F0">
      <w:numFmt w:val="bullet"/>
      <w:lvlText w:val="•"/>
      <w:lvlJc w:val="left"/>
      <w:pPr>
        <w:ind w:left="1350" w:hanging="100"/>
      </w:pPr>
      <w:rPr>
        <w:rFonts w:hint="default"/>
      </w:rPr>
    </w:lvl>
    <w:lvl w:ilvl="6" w:tplc="9F423F3A">
      <w:numFmt w:val="bullet"/>
      <w:lvlText w:val="•"/>
      <w:lvlJc w:val="left"/>
      <w:pPr>
        <w:ind w:left="1588" w:hanging="100"/>
      </w:pPr>
      <w:rPr>
        <w:rFonts w:hint="default"/>
      </w:rPr>
    </w:lvl>
    <w:lvl w:ilvl="7" w:tplc="DD6614F6">
      <w:numFmt w:val="bullet"/>
      <w:lvlText w:val="•"/>
      <w:lvlJc w:val="left"/>
      <w:pPr>
        <w:ind w:left="1826" w:hanging="100"/>
      </w:pPr>
      <w:rPr>
        <w:rFonts w:hint="default"/>
      </w:rPr>
    </w:lvl>
    <w:lvl w:ilvl="8" w:tplc="7136A946">
      <w:numFmt w:val="bullet"/>
      <w:lvlText w:val="•"/>
      <w:lvlJc w:val="left"/>
      <w:pPr>
        <w:ind w:left="2064" w:hanging="100"/>
      </w:pPr>
      <w:rPr>
        <w:rFonts w:hint="default"/>
      </w:rPr>
    </w:lvl>
  </w:abstractNum>
  <w:abstractNum w:abstractNumId="1438" w15:restartNumberingAfterBreak="0">
    <w:nsid w:val="594332FB"/>
    <w:multiLevelType w:val="hybridMultilevel"/>
    <w:tmpl w:val="08C4A9F8"/>
    <w:lvl w:ilvl="0" w:tplc="3E8E596C">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DCB22FFC">
      <w:numFmt w:val="bullet"/>
      <w:lvlText w:val="•"/>
      <w:lvlJc w:val="left"/>
      <w:pPr>
        <w:ind w:left="351" w:hanging="84"/>
      </w:pPr>
      <w:rPr>
        <w:rFonts w:hint="default"/>
      </w:rPr>
    </w:lvl>
    <w:lvl w:ilvl="2" w:tplc="3C7A70E4">
      <w:numFmt w:val="bullet"/>
      <w:lvlText w:val="•"/>
      <w:lvlJc w:val="left"/>
      <w:pPr>
        <w:ind w:left="563" w:hanging="84"/>
      </w:pPr>
      <w:rPr>
        <w:rFonts w:hint="default"/>
      </w:rPr>
    </w:lvl>
    <w:lvl w:ilvl="3" w:tplc="5A20DD2C">
      <w:numFmt w:val="bullet"/>
      <w:lvlText w:val="•"/>
      <w:lvlJc w:val="left"/>
      <w:pPr>
        <w:ind w:left="775" w:hanging="84"/>
      </w:pPr>
      <w:rPr>
        <w:rFonts w:hint="default"/>
      </w:rPr>
    </w:lvl>
    <w:lvl w:ilvl="4" w:tplc="7D2453BA">
      <w:numFmt w:val="bullet"/>
      <w:lvlText w:val="•"/>
      <w:lvlJc w:val="left"/>
      <w:pPr>
        <w:ind w:left="986" w:hanging="84"/>
      </w:pPr>
      <w:rPr>
        <w:rFonts w:hint="default"/>
      </w:rPr>
    </w:lvl>
    <w:lvl w:ilvl="5" w:tplc="5B1EF188">
      <w:numFmt w:val="bullet"/>
      <w:lvlText w:val="•"/>
      <w:lvlJc w:val="left"/>
      <w:pPr>
        <w:ind w:left="1198" w:hanging="84"/>
      </w:pPr>
      <w:rPr>
        <w:rFonts w:hint="default"/>
      </w:rPr>
    </w:lvl>
    <w:lvl w:ilvl="6" w:tplc="AB821B24">
      <w:numFmt w:val="bullet"/>
      <w:lvlText w:val="•"/>
      <w:lvlJc w:val="left"/>
      <w:pPr>
        <w:ind w:left="1410" w:hanging="84"/>
      </w:pPr>
      <w:rPr>
        <w:rFonts w:hint="default"/>
      </w:rPr>
    </w:lvl>
    <w:lvl w:ilvl="7" w:tplc="ABE0337C">
      <w:numFmt w:val="bullet"/>
      <w:lvlText w:val="•"/>
      <w:lvlJc w:val="left"/>
      <w:pPr>
        <w:ind w:left="1621" w:hanging="84"/>
      </w:pPr>
      <w:rPr>
        <w:rFonts w:hint="default"/>
      </w:rPr>
    </w:lvl>
    <w:lvl w:ilvl="8" w:tplc="8102B9CC">
      <w:numFmt w:val="bullet"/>
      <w:lvlText w:val="•"/>
      <w:lvlJc w:val="left"/>
      <w:pPr>
        <w:ind w:left="1833" w:hanging="84"/>
      </w:pPr>
      <w:rPr>
        <w:rFonts w:hint="default"/>
      </w:rPr>
    </w:lvl>
  </w:abstractNum>
  <w:abstractNum w:abstractNumId="1439" w15:restartNumberingAfterBreak="0">
    <w:nsid w:val="594B4E3B"/>
    <w:multiLevelType w:val="hybridMultilevel"/>
    <w:tmpl w:val="E1A64136"/>
    <w:lvl w:ilvl="0" w:tplc="30D824E6">
      <w:numFmt w:val="bullet"/>
      <w:lvlText w:val=""/>
      <w:lvlJc w:val="left"/>
      <w:pPr>
        <w:ind w:left="156" w:hanging="100"/>
      </w:pPr>
      <w:rPr>
        <w:rFonts w:ascii="Symbol" w:eastAsia="Symbol" w:hAnsi="Symbol" w:cs="Symbol" w:hint="default"/>
        <w:color w:val="231F20"/>
        <w:w w:val="100"/>
        <w:sz w:val="14"/>
        <w:szCs w:val="14"/>
      </w:rPr>
    </w:lvl>
    <w:lvl w:ilvl="1" w:tplc="162AC5CA">
      <w:numFmt w:val="bullet"/>
      <w:lvlText w:val="•"/>
      <w:lvlJc w:val="left"/>
      <w:pPr>
        <w:ind w:left="426" w:hanging="100"/>
      </w:pPr>
      <w:rPr>
        <w:rFonts w:hint="default"/>
      </w:rPr>
    </w:lvl>
    <w:lvl w:ilvl="2" w:tplc="7ABAD3D8">
      <w:numFmt w:val="bullet"/>
      <w:lvlText w:val="•"/>
      <w:lvlJc w:val="left"/>
      <w:pPr>
        <w:ind w:left="692" w:hanging="100"/>
      </w:pPr>
      <w:rPr>
        <w:rFonts w:hint="default"/>
      </w:rPr>
    </w:lvl>
    <w:lvl w:ilvl="3" w:tplc="81587F72">
      <w:numFmt w:val="bullet"/>
      <w:lvlText w:val="•"/>
      <w:lvlJc w:val="left"/>
      <w:pPr>
        <w:ind w:left="959" w:hanging="100"/>
      </w:pPr>
      <w:rPr>
        <w:rFonts w:hint="default"/>
      </w:rPr>
    </w:lvl>
    <w:lvl w:ilvl="4" w:tplc="D92E571C">
      <w:numFmt w:val="bullet"/>
      <w:lvlText w:val="•"/>
      <w:lvlJc w:val="left"/>
      <w:pPr>
        <w:ind w:left="1225" w:hanging="100"/>
      </w:pPr>
      <w:rPr>
        <w:rFonts w:hint="default"/>
      </w:rPr>
    </w:lvl>
    <w:lvl w:ilvl="5" w:tplc="51E8BC72">
      <w:numFmt w:val="bullet"/>
      <w:lvlText w:val="•"/>
      <w:lvlJc w:val="left"/>
      <w:pPr>
        <w:ind w:left="1492" w:hanging="100"/>
      </w:pPr>
      <w:rPr>
        <w:rFonts w:hint="default"/>
      </w:rPr>
    </w:lvl>
    <w:lvl w:ilvl="6" w:tplc="E88E27B6">
      <w:numFmt w:val="bullet"/>
      <w:lvlText w:val="•"/>
      <w:lvlJc w:val="left"/>
      <w:pPr>
        <w:ind w:left="1758" w:hanging="100"/>
      </w:pPr>
      <w:rPr>
        <w:rFonts w:hint="default"/>
      </w:rPr>
    </w:lvl>
    <w:lvl w:ilvl="7" w:tplc="ECE4AB68">
      <w:numFmt w:val="bullet"/>
      <w:lvlText w:val="•"/>
      <w:lvlJc w:val="left"/>
      <w:pPr>
        <w:ind w:left="2024" w:hanging="100"/>
      </w:pPr>
      <w:rPr>
        <w:rFonts w:hint="default"/>
      </w:rPr>
    </w:lvl>
    <w:lvl w:ilvl="8" w:tplc="362EE462">
      <w:numFmt w:val="bullet"/>
      <w:lvlText w:val="•"/>
      <w:lvlJc w:val="left"/>
      <w:pPr>
        <w:ind w:left="2291" w:hanging="100"/>
      </w:pPr>
      <w:rPr>
        <w:rFonts w:hint="default"/>
      </w:rPr>
    </w:lvl>
  </w:abstractNum>
  <w:abstractNum w:abstractNumId="1440" w15:restartNumberingAfterBreak="0">
    <w:nsid w:val="594F662A"/>
    <w:multiLevelType w:val="hybridMultilevel"/>
    <w:tmpl w:val="34B695AA"/>
    <w:lvl w:ilvl="0" w:tplc="24923A28">
      <w:numFmt w:val="bullet"/>
      <w:lvlText w:val=""/>
      <w:lvlJc w:val="left"/>
      <w:pPr>
        <w:ind w:left="156" w:hanging="100"/>
      </w:pPr>
      <w:rPr>
        <w:rFonts w:ascii="Symbol" w:eastAsia="Symbol" w:hAnsi="Symbol" w:cs="Symbol" w:hint="default"/>
        <w:color w:val="231F20"/>
        <w:w w:val="100"/>
        <w:sz w:val="14"/>
        <w:szCs w:val="14"/>
      </w:rPr>
    </w:lvl>
    <w:lvl w:ilvl="1" w:tplc="889EBFC0">
      <w:numFmt w:val="bullet"/>
      <w:lvlText w:val="•"/>
      <w:lvlJc w:val="left"/>
      <w:pPr>
        <w:ind w:left="454" w:hanging="100"/>
      </w:pPr>
      <w:rPr>
        <w:rFonts w:hint="default"/>
      </w:rPr>
    </w:lvl>
    <w:lvl w:ilvl="2" w:tplc="DAD6EDF0">
      <w:numFmt w:val="bullet"/>
      <w:lvlText w:val="•"/>
      <w:lvlJc w:val="left"/>
      <w:pPr>
        <w:ind w:left="749" w:hanging="100"/>
      </w:pPr>
      <w:rPr>
        <w:rFonts w:hint="default"/>
      </w:rPr>
    </w:lvl>
    <w:lvl w:ilvl="3" w:tplc="BF8A8810">
      <w:numFmt w:val="bullet"/>
      <w:lvlText w:val="•"/>
      <w:lvlJc w:val="left"/>
      <w:pPr>
        <w:ind w:left="1044" w:hanging="100"/>
      </w:pPr>
      <w:rPr>
        <w:rFonts w:hint="default"/>
      </w:rPr>
    </w:lvl>
    <w:lvl w:ilvl="4" w:tplc="73B8DF9E">
      <w:numFmt w:val="bullet"/>
      <w:lvlText w:val="•"/>
      <w:lvlJc w:val="left"/>
      <w:pPr>
        <w:ind w:left="1339" w:hanging="100"/>
      </w:pPr>
      <w:rPr>
        <w:rFonts w:hint="default"/>
      </w:rPr>
    </w:lvl>
    <w:lvl w:ilvl="5" w:tplc="316C43C4">
      <w:numFmt w:val="bullet"/>
      <w:lvlText w:val="•"/>
      <w:lvlJc w:val="left"/>
      <w:pPr>
        <w:ind w:left="1634" w:hanging="100"/>
      </w:pPr>
      <w:rPr>
        <w:rFonts w:hint="default"/>
      </w:rPr>
    </w:lvl>
    <w:lvl w:ilvl="6" w:tplc="16981F10">
      <w:numFmt w:val="bullet"/>
      <w:lvlText w:val="•"/>
      <w:lvlJc w:val="left"/>
      <w:pPr>
        <w:ind w:left="1928" w:hanging="100"/>
      </w:pPr>
      <w:rPr>
        <w:rFonts w:hint="default"/>
      </w:rPr>
    </w:lvl>
    <w:lvl w:ilvl="7" w:tplc="34EC9E26">
      <w:numFmt w:val="bullet"/>
      <w:lvlText w:val="•"/>
      <w:lvlJc w:val="left"/>
      <w:pPr>
        <w:ind w:left="2223" w:hanging="100"/>
      </w:pPr>
      <w:rPr>
        <w:rFonts w:hint="default"/>
      </w:rPr>
    </w:lvl>
    <w:lvl w:ilvl="8" w:tplc="A5A08970">
      <w:numFmt w:val="bullet"/>
      <w:lvlText w:val="•"/>
      <w:lvlJc w:val="left"/>
      <w:pPr>
        <w:ind w:left="2518" w:hanging="100"/>
      </w:pPr>
      <w:rPr>
        <w:rFonts w:hint="default"/>
      </w:rPr>
    </w:lvl>
  </w:abstractNum>
  <w:abstractNum w:abstractNumId="1441" w15:restartNumberingAfterBreak="0">
    <w:nsid w:val="59544159"/>
    <w:multiLevelType w:val="hybridMultilevel"/>
    <w:tmpl w:val="4A3A0784"/>
    <w:lvl w:ilvl="0" w:tplc="9DA8DBE2">
      <w:numFmt w:val="bullet"/>
      <w:lvlText w:val=""/>
      <w:lvlJc w:val="left"/>
      <w:pPr>
        <w:ind w:left="157" w:hanging="100"/>
      </w:pPr>
      <w:rPr>
        <w:rFonts w:ascii="Symbol" w:eastAsia="Symbol" w:hAnsi="Symbol" w:cs="Symbol" w:hint="default"/>
        <w:color w:val="231F20"/>
        <w:w w:val="100"/>
        <w:sz w:val="14"/>
        <w:szCs w:val="14"/>
      </w:rPr>
    </w:lvl>
    <w:lvl w:ilvl="1" w:tplc="F1C6F214">
      <w:numFmt w:val="bullet"/>
      <w:lvlText w:val="•"/>
      <w:lvlJc w:val="left"/>
      <w:pPr>
        <w:ind w:left="426" w:hanging="100"/>
      </w:pPr>
      <w:rPr>
        <w:rFonts w:hint="default"/>
      </w:rPr>
    </w:lvl>
    <w:lvl w:ilvl="2" w:tplc="8F066FA0">
      <w:numFmt w:val="bullet"/>
      <w:lvlText w:val="•"/>
      <w:lvlJc w:val="left"/>
      <w:pPr>
        <w:ind w:left="692" w:hanging="100"/>
      </w:pPr>
      <w:rPr>
        <w:rFonts w:hint="default"/>
      </w:rPr>
    </w:lvl>
    <w:lvl w:ilvl="3" w:tplc="D188C7CA">
      <w:numFmt w:val="bullet"/>
      <w:lvlText w:val="•"/>
      <w:lvlJc w:val="left"/>
      <w:pPr>
        <w:ind w:left="959" w:hanging="100"/>
      </w:pPr>
      <w:rPr>
        <w:rFonts w:hint="default"/>
      </w:rPr>
    </w:lvl>
    <w:lvl w:ilvl="4" w:tplc="18D278B8">
      <w:numFmt w:val="bullet"/>
      <w:lvlText w:val="•"/>
      <w:lvlJc w:val="left"/>
      <w:pPr>
        <w:ind w:left="1225" w:hanging="100"/>
      </w:pPr>
      <w:rPr>
        <w:rFonts w:hint="default"/>
      </w:rPr>
    </w:lvl>
    <w:lvl w:ilvl="5" w:tplc="C5807564">
      <w:numFmt w:val="bullet"/>
      <w:lvlText w:val="•"/>
      <w:lvlJc w:val="left"/>
      <w:pPr>
        <w:ind w:left="1492" w:hanging="100"/>
      </w:pPr>
      <w:rPr>
        <w:rFonts w:hint="default"/>
      </w:rPr>
    </w:lvl>
    <w:lvl w:ilvl="6" w:tplc="DFB8530C">
      <w:numFmt w:val="bullet"/>
      <w:lvlText w:val="•"/>
      <w:lvlJc w:val="left"/>
      <w:pPr>
        <w:ind w:left="1758" w:hanging="100"/>
      </w:pPr>
      <w:rPr>
        <w:rFonts w:hint="default"/>
      </w:rPr>
    </w:lvl>
    <w:lvl w:ilvl="7" w:tplc="6564139A">
      <w:numFmt w:val="bullet"/>
      <w:lvlText w:val="•"/>
      <w:lvlJc w:val="left"/>
      <w:pPr>
        <w:ind w:left="2024" w:hanging="100"/>
      </w:pPr>
      <w:rPr>
        <w:rFonts w:hint="default"/>
      </w:rPr>
    </w:lvl>
    <w:lvl w:ilvl="8" w:tplc="778EEBAA">
      <w:numFmt w:val="bullet"/>
      <w:lvlText w:val="•"/>
      <w:lvlJc w:val="left"/>
      <w:pPr>
        <w:ind w:left="2291" w:hanging="100"/>
      </w:pPr>
      <w:rPr>
        <w:rFonts w:hint="default"/>
      </w:rPr>
    </w:lvl>
  </w:abstractNum>
  <w:abstractNum w:abstractNumId="1442" w15:restartNumberingAfterBreak="0">
    <w:nsid w:val="59555F2D"/>
    <w:multiLevelType w:val="hybridMultilevel"/>
    <w:tmpl w:val="F306E5B4"/>
    <w:lvl w:ilvl="0" w:tplc="ED52FCF8">
      <w:numFmt w:val="bullet"/>
      <w:lvlText w:val=""/>
      <w:lvlJc w:val="left"/>
      <w:pPr>
        <w:ind w:left="157" w:hanging="100"/>
      </w:pPr>
      <w:rPr>
        <w:rFonts w:ascii="Symbol" w:eastAsia="Symbol" w:hAnsi="Symbol" w:cs="Symbol" w:hint="default"/>
        <w:color w:val="231F20"/>
        <w:w w:val="100"/>
        <w:sz w:val="14"/>
        <w:szCs w:val="14"/>
      </w:rPr>
    </w:lvl>
    <w:lvl w:ilvl="1" w:tplc="3E4C5A7C">
      <w:numFmt w:val="bullet"/>
      <w:lvlText w:val="•"/>
      <w:lvlJc w:val="left"/>
      <w:pPr>
        <w:ind w:left="426" w:hanging="100"/>
      </w:pPr>
      <w:rPr>
        <w:rFonts w:hint="default"/>
      </w:rPr>
    </w:lvl>
    <w:lvl w:ilvl="2" w:tplc="E158A52E">
      <w:numFmt w:val="bullet"/>
      <w:lvlText w:val="•"/>
      <w:lvlJc w:val="left"/>
      <w:pPr>
        <w:ind w:left="692" w:hanging="100"/>
      </w:pPr>
      <w:rPr>
        <w:rFonts w:hint="default"/>
      </w:rPr>
    </w:lvl>
    <w:lvl w:ilvl="3" w:tplc="78D2A14A">
      <w:numFmt w:val="bullet"/>
      <w:lvlText w:val="•"/>
      <w:lvlJc w:val="left"/>
      <w:pPr>
        <w:ind w:left="959" w:hanging="100"/>
      </w:pPr>
      <w:rPr>
        <w:rFonts w:hint="default"/>
      </w:rPr>
    </w:lvl>
    <w:lvl w:ilvl="4" w:tplc="171C0072">
      <w:numFmt w:val="bullet"/>
      <w:lvlText w:val="•"/>
      <w:lvlJc w:val="left"/>
      <w:pPr>
        <w:ind w:left="1225" w:hanging="100"/>
      </w:pPr>
      <w:rPr>
        <w:rFonts w:hint="default"/>
      </w:rPr>
    </w:lvl>
    <w:lvl w:ilvl="5" w:tplc="5BB257D6">
      <w:numFmt w:val="bullet"/>
      <w:lvlText w:val="•"/>
      <w:lvlJc w:val="left"/>
      <w:pPr>
        <w:ind w:left="1492" w:hanging="100"/>
      </w:pPr>
      <w:rPr>
        <w:rFonts w:hint="default"/>
      </w:rPr>
    </w:lvl>
    <w:lvl w:ilvl="6" w:tplc="0B88E336">
      <w:numFmt w:val="bullet"/>
      <w:lvlText w:val="•"/>
      <w:lvlJc w:val="left"/>
      <w:pPr>
        <w:ind w:left="1758" w:hanging="100"/>
      </w:pPr>
      <w:rPr>
        <w:rFonts w:hint="default"/>
      </w:rPr>
    </w:lvl>
    <w:lvl w:ilvl="7" w:tplc="306861BA">
      <w:numFmt w:val="bullet"/>
      <w:lvlText w:val="•"/>
      <w:lvlJc w:val="left"/>
      <w:pPr>
        <w:ind w:left="2024" w:hanging="100"/>
      </w:pPr>
      <w:rPr>
        <w:rFonts w:hint="default"/>
      </w:rPr>
    </w:lvl>
    <w:lvl w:ilvl="8" w:tplc="9720313C">
      <w:numFmt w:val="bullet"/>
      <w:lvlText w:val="•"/>
      <w:lvlJc w:val="left"/>
      <w:pPr>
        <w:ind w:left="2291" w:hanging="100"/>
      </w:pPr>
      <w:rPr>
        <w:rFonts w:hint="default"/>
      </w:rPr>
    </w:lvl>
  </w:abstractNum>
  <w:abstractNum w:abstractNumId="1443" w15:restartNumberingAfterBreak="0">
    <w:nsid w:val="595C687E"/>
    <w:multiLevelType w:val="hybridMultilevel"/>
    <w:tmpl w:val="0FCAFB1C"/>
    <w:lvl w:ilvl="0" w:tplc="09848CA8">
      <w:numFmt w:val="bullet"/>
      <w:lvlText w:val=""/>
      <w:lvlJc w:val="left"/>
      <w:pPr>
        <w:ind w:left="156" w:hanging="100"/>
      </w:pPr>
      <w:rPr>
        <w:rFonts w:ascii="Symbol" w:eastAsia="Symbol" w:hAnsi="Symbol" w:cs="Symbol" w:hint="default"/>
        <w:color w:val="231F20"/>
        <w:w w:val="100"/>
        <w:sz w:val="14"/>
        <w:szCs w:val="14"/>
      </w:rPr>
    </w:lvl>
    <w:lvl w:ilvl="1" w:tplc="8A265C40">
      <w:numFmt w:val="bullet"/>
      <w:lvlText w:val="•"/>
      <w:lvlJc w:val="left"/>
      <w:pPr>
        <w:ind w:left="454" w:hanging="100"/>
      </w:pPr>
      <w:rPr>
        <w:rFonts w:hint="default"/>
      </w:rPr>
    </w:lvl>
    <w:lvl w:ilvl="2" w:tplc="8FEA943E">
      <w:numFmt w:val="bullet"/>
      <w:lvlText w:val="•"/>
      <w:lvlJc w:val="left"/>
      <w:pPr>
        <w:ind w:left="749" w:hanging="100"/>
      </w:pPr>
      <w:rPr>
        <w:rFonts w:hint="default"/>
      </w:rPr>
    </w:lvl>
    <w:lvl w:ilvl="3" w:tplc="78F4A212">
      <w:numFmt w:val="bullet"/>
      <w:lvlText w:val="•"/>
      <w:lvlJc w:val="left"/>
      <w:pPr>
        <w:ind w:left="1044" w:hanging="100"/>
      </w:pPr>
      <w:rPr>
        <w:rFonts w:hint="default"/>
      </w:rPr>
    </w:lvl>
    <w:lvl w:ilvl="4" w:tplc="230AAB62">
      <w:numFmt w:val="bullet"/>
      <w:lvlText w:val="•"/>
      <w:lvlJc w:val="left"/>
      <w:pPr>
        <w:ind w:left="1339" w:hanging="100"/>
      </w:pPr>
      <w:rPr>
        <w:rFonts w:hint="default"/>
      </w:rPr>
    </w:lvl>
    <w:lvl w:ilvl="5" w:tplc="3FF4BEB8">
      <w:numFmt w:val="bullet"/>
      <w:lvlText w:val="•"/>
      <w:lvlJc w:val="left"/>
      <w:pPr>
        <w:ind w:left="1634" w:hanging="100"/>
      </w:pPr>
      <w:rPr>
        <w:rFonts w:hint="default"/>
      </w:rPr>
    </w:lvl>
    <w:lvl w:ilvl="6" w:tplc="473087BA">
      <w:numFmt w:val="bullet"/>
      <w:lvlText w:val="•"/>
      <w:lvlJc w:val="left"/>
      <w:pPr>
        <w:ind w:left="1928" w:hanging="100"/>
      </w:pPr>
      <w:rPr>
        <w:rFonts w:hint="default"/>
      </w:rPr>
    </w:lvl>
    <w:lvl w:ilvl="7" w:tplc="6F80F7C6">
      <w:numFmt w:val="bullet"/>
      <w:lvlText w:val="•"/>
      <w:lvlJc w:val="left"/>
      <w:pPr>
        <w:ind w:left="2223" w:hanging="100"/>
      </w:pPr>
      <w:rPr>
        <w:rFonts w:hint="default"/>
      </w:rPr>
    </w:lvl>
    <w:lvl w:ilvl="8" w:tplc="23664A76">
      <w:numFmt w:val="bullet"/>
      <w:lvlText w:val="•"/>
      <w:lvlJc w:val="left"/>
      <w:pPr>
        <w:ind w:left="2518" w:hanging="100"/>
      </w:pPr>
      <w:rPr>
        <w:rFonts w:hint="default"/>
      </w:rPr>
    </w:lvl>
  </w:abstractNum>
  <w:abstractNum w:abstractNumId="1444" w15:restartNumberingAfterBreak="0">
    <w:nsid w:val="595D0F5B"/>
    <w:multiLevelType w:val="hybridMultilevel"/>
    <w:tmpl w:val="88885730"/>
    <w:lvl w:ilvl="0" w:tplc="314A474C">
      <w:numFmt w:val="bullet"/>
      <w:lvlText w:val=""/>
      <w:lvlJc w:val="left"/>
      <w:pPr>
        <w:ind w:left="156" w:hanging="100"/>
      </w:pPr>
      <w:rPr>
        <w:rFonts w:ascii="Symbol" w:eastAsia="Symbol" w:hAnsi="Symbol" w:cs="Symbol" w:hint="default"/>
        <w:color w:val="231F20"/>
        <w:w w:val="100"/>
        <w:sz w:val="14"/>
        <w:szCs w:val="14"/>
      </w:rPr>
    </w:lvl>
    <w:lvl w:ilvl="1" w:tplc="C3A406AC">
      <w:numFmt w:val="bullet"/>
      <w:lvlText w:val="•"/>
      <w:lvlJc w:val="left"/>
      <w:pPr>
        <w:ind w:left="273" w:hanging="100"/>
      </w:pPr>
      <w:rPr>
        <w:rFonts w:hint="default"/>
      </w:rPr>
    </w:lvl>
    <w:lvl w:ilvl="2" w:tplc="50E4D160">
      <w:numFmt w:val="bullet"/>
      <w:lvlText w:val="•"/>
      <w:lvlJc w:val="left"/>
      <w:pPr>
        <w:ind w:left="386" w:hanging="100"/>
      </w:pPr>
      <w:rPr>
        <w:rFonts w:hint="default"/>
      </w:rPr>
    </w:lvl>
    <w:lvl w:ilvl="3" w:tplc="F076A90A">
      <w:numFmt w:val="bullet"/>
      <w:lvlText w:val="•"/>
      <w:lvlJc w:val="left"/>
      <w:pPr>
        <w:ind w:left="500" w:hanging="100"/>
      </w:pPr>
      <w:rPr>
        <w:rFonts w:hint="default"/>
      </w:rPr>
    </w:lvl>
    <w:lvl w:ilvl="4" w:tplc="7800FC2A">
      <w:numFmt w:val="bullet"/>
      <w:lvlText w:val="•"/>
      <w:lvlJc w:val="left"/>
      <w:pPr>
        <w:ind w:left="613" w:hanging="100"/>
      </w:pPr>
      <w:rPr>
        <w:rFonts w:hint="default"/>
      </w:rPr>
    </w:lvl>
    <w:lvl w:ilvl="5" w:tplc="8B84C482">
      <w:numFmt w:val="bullet"/>
      <w:lvlText w:val="•"/>
      <w:lvlJc w:val="left"/>
      <w:pPr>
        <w:ind w:left="727" w:hanging="100"/>
      </w:pPr>
      <w:rPr>
        <w:rFonts w:hint="default"/>
      </w:rPr>
    </w:lvl>
    <w:lvl w:ilvl="6" w:tplc="4F747350">
      <w:numFmt w:val="bullet"/>
      <w:lvlText w:val="•"/>
      <w:lvlJc w:val="left"/>
      <w:pPr>
        <w:ind w:left="840" w:hanging="100"/>
      </w:pPr>
      <w:rPr>
        <w:rFonts w:hint="default"/>
      </w:rPr>
    </w:lvl>
    <w:lvl w:ilvl="7" w:tplc="2D42B304">
      <w:numFmt w:val="bullet"/>
      <w:lvlText w:val="•"/>
      <w:lvlJc w:val="left"/>
      <w:pPr>
        <w:ind w:left="953" w:hanging="100"/>
      </w:pPr>
      <w:rPr>
        <w:rFonts w:hint="default"/>
      </w:rPr>
    </w:lvl>
    <w:lvl w:ilvl="8" w:tplc="132CD7E0">
      <w:numFmt w:val="bullet"/>
      <w:lvlText w:val="•"/>
      <w:lvlJc w:val="left"/>
      <w:pPr>
        <w:ind w:left="1067" w:hanging="100"/>
      </w:pPr>
      <w:rPr>
        <w:rFonts w:hint="default"/>
      </w:rPr>
    </w:lvl>
  </w:abstractNum>
  <w:abstractNum w:abstractNumId="1445" w15:restartNumberingAfterBreak="0">
    <w:nsid w:val="598915C6"/>
    <w:multiLevelType w:val="hybridMultilevel"/>
    <w:tmpl w:val="1CAC6844"/>
    <w:lvl w:ilvl="0" w:tplc="5F50E106">
      <w:numFmt w:val="bullet"/>
      <w:lvlText w:val=""/>
      <w:lvlJc w:val="left"/>
      <w:pPr>
        <w:ind w:left="157" w:hanging="100"/>
      </w:pPr>
      <w:rPr>
        <w:rFonts w:ascii="Symbol" w:eastAsia="Symbol" w:hAnsi="Symbol" w:cs="Symbol" w:hint="default"/>
        <w:color w:val="231F20"/>
        <w:w w:val="100"/>
        <w:sz w:val="14"/>
        <w:szCs w:val="14"/>
      </w:rPr>
    </w:lvl>
    <w:lvl w:ilvl="1" w:tplc="5B36BCF8">
      <w:numFmt w:val="bullet"/>
      <w:lvlText w:val="•"/>
      <w:lvlJc w:val="left"/>
      <w:pPr>
        <w:ind w:left="398" w:hanging="100"/>
      </w:pPr>
      <w:rPr>
        <w:rFonts w:hint="default"/>
      </w:rPr>
    </w:lvl>
    <w:lvl w:ilvl="2" w:tplc="F2C06D20">
      <w:numFmt w:val="bullet"/>
      <w:lvlText w:val="•"/>
      <w:lvlJc w:val="left"/>
      <w:pPr>
        <w:ind w:left="636" w:hanging="100"/>
      </w:pPr>
      <w:rPr>
        <w:rFonts w:hint="default"/>
      </w:rPr>
    </w:lvl>
    <w:lvl w:ilvl="3" w:tplc="D2CED172">
      <w:numFmt w:val="bullet"/>
      <w:lvlText w:val="•"/>
      <w:lvlJc w:val="left"/>
      <w:pPr>
        <w:ind w:left="874" w:hanging="100"/>
      </w:pPr>
      <w:rPr>
        <w:rFonts w:hint="default"/>
      </w:rPr>
    </w:lvl>
    <w:lvl w:ilvl="4" w:tplc="8C54DD7A">
      <w:numFmt w:val="bullet"/>
      <w:lvlText w:val="•"/>
      <w:lvlJc w:val="left"/>
      <w:pPr>
        <w:ind w:left="1112" w:hanging="100"/>
      </w:pPr>
      <w:rPr>
        <w:rFonts w:hint="default"/>
      </w:rPr>
    </w:lvl>
    <w:lvl w:ilvl="5" w:tplc="0FFEE156">
      <w:numFmt w:val="bullet"/>
      <w:lvlText w:val="•"/>
      <w:lvlJc w:val="left"/>
      <w:pPr>
        <w:ind w:left="1350" w:hanging="100"/>
      </w:pPr>
      <w:rPr>
        <w:rFonts w:hint="default"/>
      </w:rPr>
    </w:lvl>
    <w:lvl w:ilvl="6" w:tplc="5846CFE2">
      <w:numFmt w:val="bullet"/>
      <w:lvlText w:val="•"/>
      <w:lvlJc w:val="left"/>
      <w:pPr>
        <w:ind w:left="1588" w:hanging="100"/>
      </w:pPr>
      <w:rPr>
        <w:rFonts w:hint="default"/>
      </w:rPr>
    </w:lvl>
    <w:lvl w:ilvl="7" w:tplc="C52849D4">
      <w:numFmt w:val="bullet"/>
      <w:lvlText w:val="•"/>
      <w:lvlJc w:val="left"/>
      <w:pPr>
        <w:ind w:left="1826" w:hanging="100"/>
      </w:pPr>
      <w:rPr>
        <w:rFonts w:hint="default"/>
      </w:rPr>
    </w:lvl>
    <w:lvl w:ilvl="8" w:tplc="BAFE4946">
      <w:numFmt w:val="bullet"/>
      <w:lvlText w:val="•"/>
      <w:lvlJc w:val="left"/>
      <w:pPr>
        <w:ind w:left="2064" w:hanging="100"/>
      </w:pPr>
      <w:rPr>
        <w:rFonts w:hint="default"/>
      </w:rPr>
    </w:lvl>
  </w:abstractNum>
  <w:abstractNum w:abstractNumId="1446" w15:restartNumberingAfterBreak="0">
    <w:nsid w:val="59A133D2"/>
    <w:multiLevelType w:val="hybridMultilevel"/>
    <w:tmpl w:val="6DF83374"/>
    <w:lvl w:ilvl="0" w:tplc="387423EC">
      <w:numFmt w:val="bullet"/>
      <w:lvlText w:val=""/>
      <w:lvlJc w:val="left"/>
      <w:pPr>
        <w:ind w:left="156" w:hanging="100"/>
      </w:pPr>
      <w:rPr>
        <w:rFonts w:ascii="Symbol" w:eastAsia="Symbol" w:hAnsi="Symbol" w:cs="Symbol" w:hint="default"/>
        <w:color w:val="231F20"/>
        <w:w w:val="100"/>
        <w:sz w:val="14"/>
        <w:szCs w:val="14"/>
      </w:rPr>
    </w:lvl>
    <w:lvl w:ilvl="1" w:tplc="575E33BA">
      <w:numFmt w:val="bullet"/>
      <w:lvlText w:val="•"/>
      <w:lvlJc w:val="left"/>
      <w:pPr>
        <w:ind w:left="426" w:hanging="100"/>
      </w:pPr>
      <w:rPr>
        <w:rFonts w:hint="default"/>
      </w:rPr>
    </w:lvl>
    <w:lvl w:ilvl="2" w:tplc="CE38EB92">
      <w:numFmt w:val="bullet"/>
      <w:lvlText w:val="•"/>
      <w:lvlJc w:val="left"/>
      <w:pPr>
        <w:ind w:left="692" w:hanging="100"/>
      </w:pPr>
      <w:rPr>
        <w:rFonts w:hint="default"/>
      </w:rPr>
    </w:lvl>
    <w:lvl w:ilvl="3" w:tplc="EF66DE12">
      <w:numFmt w:val="bullet"/>
      <w:lvlText w:val="•"/>
      <w:lvlJc w:val="left"/>
      <w:pPr>
        <w:ind w:left="959" w:hanging="100"/>
      </w:pPr>
      <w:rPr>
        <w:rFonts w:hint="default"/>
      </w:rPr>
    </w:lvl>
    <w:lvl w:ilvl="4" w:tplc="DE9A4D32">
      <w:numFmt w:val="bullet"/>
      <w:lvlText w:val="•"/>
      <w:lvlJc w:val="left"/>
      <w:pPr>
        <w:ind w:left="1225" w:hanging="100"/>
      </w:pPr>
      <w:rPr>
        <w:rFonts w:hint="default"/>
      </w:rPr>
    </w:lvl>
    <w:lvl w:ilvl="5" w:tplc="E364246E">
      <w:numFmt w:val="bullet"/>
      <w:lvlText w:val="•"/>
      <w:lvlJc w:val="left"/>
      <w:pPr>
        <w:ind w:left="1492" w:hanging="100"/>
      </w:pPr>
      <w:rPr>
        <w:rFonts w:hint="default"/>
      </w:rPr>
    </w:lvl>
    <w:lvl w:ilvl="6" w:tplc="0B22695C">
      <w:numFmt w:val="bullet"/>
      <w:lvlText w:val="•"/>
      <w:lvlJc w:val="left"/>
      <w:pPr>
        <w:ind w:left="1758" w:hanging="100"/>
      </w:pPr>
      <w:rPr>
        <w:rFonts w:hint="default"/>
      </w:rPr>
    </w:lvl>
    <w:lvl w:ilvl="7" w:tplc="6E34364A">
      <w:numFmt w:val="bullet"/>
      <w:lvlText w:val="•"/>
      <w:lvlJc w:val="left"/>
      <w:pPr>
        <w:ind w:left="2024" w:hanging="100"/>
      </w:pPr>
      <w:rPr>
        <w:rFonts w:hint="default"/>
      </w:rPr>
    </w:lvl>
    <w:lvl w:ilvl="8" w:tplc="174299BA">
      <w:numFmt w:val="bullet"/>
      <w:lvlText w:val="•"/>
      <w:lvlJc w:val="left"/>
      <w:pPr>
        <w:ind w:left="2291" w:hanging="100"/>
      </w:pPr>
      <w:rPr>
        <w:rFonts w:hint="default"/>
      </w:rPr>
    </w:lvl>
  </w:abstractNum>
  <w:abstractNum w:abstractNumId="1447" w15:restartNumberingAfterBreak="0">
    <w:nsid w:val="5A163A80"/>
    <w:multiLevelType w:val="hybridMultilevel"/>
    <w:tmpl w:val="1FE60BEE"/>
    <w:lvl w:ilvl="0" w:tplc="FC2E1B60">
      <w:numFmt w:val="bullet"/>
      <w:lvlText w:val=""/>
      <w:lvlJc w:val="left"/>
      <w:pPr>
        <w:ind w:left="156" w:hanging="100"/>
      </w:pPr>
      <w:rPr>
        <w:rFonts w:ascii="Symbol" w:eastAsia="Symbol" w:hAnsi="Symbol" w:cs="Symbol" w:hint="default"/>
        <w:color w:val="231F20"/>
        <w:w w:val="100"/>
        <w:sz w:val="14"/>
        <w:szCs w:val="14"/>
      </w:rPr>
    </w:lvl>
    <w:lvl w:ilvl="1" w:tplc="7E98105C">
      <w:numFmt w:val="bullet"/>
      <w:lvlText w:val="•"/>
      <w:lvlJc w:val="left"/>
      <w:pPr>
        <w:ind w:left="426" w:hanging="100"/>
      </w:pPr>
      <w:rPr>
        <w:rFonts w:hint="default"/>
      </w:rPr>
    </w:lvl>
    <w:lvl w:ilvl="2" w:tplc="EC287B04">
      <w:numFmt w:val="bullet"/>
      <w:lvlText w:val="•"/>
      <w:lvlJc w:val="left"/>
      <w:pPr>
        <w:ind w:left="692" w:hanging="100"/>
      </w:pPr>
      <w:rPr>
        <w:rFonts w:hint="default"/>
      </w:rPr>
    </w:lvl>
    <w:lvl w:ilvl="3" w:tplc="B6520B82">
      <w:numFmt w:val="bullet"/>
      <w:lvlText w:val="•"/>
      <w:lvlJc w:val="left"/>
      <w:pPr>
        <w:ind w:left="959" w:hanging="100"/>
      </w:pPr>
      <w:rPr>
        <w:rFonts w:hint="default"/>
      </w:rPr>
    </w:lvl>
    <w:lvl w:ilvl="4" w:tplc="D618FBE4">
      <w:numFmt w:val="bullet"/>
      <w:lvlText w:val="•"/>
      <w:lvlJc w:val="left"/>
      <w:pPr>
        <w:ind w:left="1225" w:hanging="100"/>
      </w:pPr>
      <w:rPr>
        <w:rFonts w:hint="default"/>
      </w:rPr>
    </w:lvl>
    <w:lvl w:ilvl="5" w:tplc="21E82F46">
      <w:numFmt w:val="bullet"/>
      <w:lvlText w:val="•"/>
      <w:lvlJc w:val="left"/>
      <w:pPr>
        <w:ind w:left="1492" w:hanging="100"/>
      </w:pPr>
      <w:rPr>
        <w:rFonts w:hint="default"/>
      </w:rPr>
    </w:lvl>
    <w:lvl w:ilvl="6" w:tplc="1D7A2512">
      <w:numFmt w:val="bullet"/>
      <w:lvlText w:val="•"/>
      <w:lvlJc w:val="left"/>
      <w:pPr>
        <w:ind w:left="1758" w:hanging="100"/>
      </w:pPr>
      <w:rPr>
        <w:rFonts w:hint="default"/>
      </w:rPr>
    </w:lvl>
    <w:lvl w:ilvl="7" w:tplc="7D9E91A4">
      <w:numFmt w:val="bullet"/>
      <w:lvlText w:val="•"/>
      <w:lvlJc w:val="left"/>
      <w:pPr>
        <w:ind w:left="2024" w:hanging="100"/>
      </w:pPr>
      <w:rPr>
        <w:rFonts w:hint="default"/>
      </w:rPr>
    </w:lvl>
    <w:lvl w:ilvl="8" w:tplc="AE38348C">
      <w:numFmt w:val="bullet"/>
      <w:lvlText w:val="•"/>
      <w:lvlJc w:val="left"/>
      <w:pPr>
        <w:ind w:left="2291" w:hanging="100"/>
      </w:pPr>
      <w:rPr>
        <w:rFonts w:hint="default"/>
      </w:rPr>
    </w:lvl>
  </w:abstractNum>
  <w:abstractNum w:abstractNumId="1448" w15:restartNumberingAfterBreak="0">
    <w:nsid w:val="5A3E414C"/>
    <w:multiLevelType w:val="hybridMultilevel"/>
    <w:tmpl w:val="A5F2A5F4"/>
    <w:lvl w:ilvl="0" w:tplc="F684ABFE">
      <w:numFmt w:val="bullet"/>
      <w:lvlText w:val=""/>
      <w:lvlJc w:val="left"/>
      <w:pPr>
        <w:ind w:left="156" w:hanging="100"/>
      </w:pPr>
      <w:rPr>
        <w:rFonts w:ascii="Symbol" w:eastAsia="Symbol" w:hAnsi="Symbol" w:cs="Symbol" w:hint="default"/>
        <w:color w:val="231F20"/>
        <w:w w:val="100"/>
        <w:sz w:val="14"/>
        <w:szCs w:val="14"/>
      </w:rPr>
    </w:lvl>
    <w:lvl w:ilvl="1" w:tplc="A4109516">
      <w:numFmt w:val="bullet"/>
      <w:lvlText w:val="•"/>
      <w:lvlJc w:val="left"/>
      <w:pPr>
        <w:ind w:left="426" w:hanging="100"/>
      </w:pPr>
      <w:rPr>
        <w:rFonts w:hint="default"/>
      </w:rPr>
    </w:lvl>
    <w:lvl w:ilvl="2" w:tplc="EC028856">
      <w:numFmt w:val="bullet"/>
      <w:lvlText w:val="•"/>
      <w:lvlJc w:val="left"/>
      <w:pPr>
        <w:ind w:left="692" w:hanging="100"/>
      </w:pPr>
      <w:rPr>
        <w:rFonts w:hint="default"/>
      </w:rPr>
    </w:lvl>
    <w:lvl w:ilvl="3" w:tplc="CDAA92CC">
      <w:numFmt w:val="bullet"/>
      <w:lvlText w:val="•"/>
      <w:lvlJc w:val="left"/>
      <w:pPr>
        <w:ind w:left="959" w:hanging="100"/>
      </w:pPr>
      <w:rPr>
        <w:rFonts w:hint="default"/>
      </w:rPr>
    </w:lvl>
    <w:lvl w:ilvl="4" w:tplc="43DCB98C">
      <w:numFmt w:val="bullet"/>
      <w:lvlText w:val="•"/>
      <w:lvlJc w:val="left"/>
      <w:pPr>
        <w:ind w:left="1225" w:hanging="100"/>
      </w:pPr>
      <w:rPr>
        <w:rFonts w:hint="default"/>
      </w:rPr>
    </w:lvl>
    <w:lvl w:ilvl="5" w:tplc="E2CC6D4C">
      <w:numFmt w:val="bullet"/>
      <w:lvlText w:val="•"/>
      <w:lvlJc w:val="left"/>
      <w:pPr>
        <w:ind w:left="1492" w:hanging="100"/>
      </w:pPr>
      <w:rPr>
        <w:rFonts w:hint="default"/>
      </w:rPr>
    </w:lvl>
    <w:lvl w:ilvl="6" w:tplc="7074917E">
      <w:numFmt w:val="bullet"/>
      <w:lvlText w:val="•"/>
      <w:lvlJc w:val="left"/>
      <w:pPr>
        <w:ind w:left="1758" w:hanging="100"/>
      </w:pPr>
      <w:rPr>
        <w:rFonts w:hint="default"/>
      </w:rPr>
    </w:lvl>
    <w:lvl w:ilvl="7" w:tplc="0BC4A47E">
      <w:numFmt w:val="bullet"/>
      <w:lvlText w:val="•"/>
      <w:lvlJc w:val="left"/>
      <w:pPr>
        <w:ind w:left="2024" w:hanging="100"/>
      </w:pPr>
      <w:rPr>
        <w:rFonts w:hint="default"/>
      </w:rPr>
    </w:lvl>
    <w:lvl w:ilvl="8" w:tplc="EA8E0AF6">
      <w:numFmt w:val="bullet"/>
      <w:lvlText w:val="•"/>
      <w:lvlJc w:val="left"/>
      <w:pPr>
        <w:ind w:left="2291" w:hanging="100"/>
      </w:pPr>
      <w:rPr>
        <w:rFonts w:hint="default"/>
      </w:rPr>
    </w:lvl>
  </w:abstractNum>
  <w:abstractNum w:abstractNumId="1449" w15:restartNumberingAfterBreak="0">
    <w:nsid w:val="5A54154A"/>
    <w:multiLevelType w:val="hybridMultilevel"/>
    <w:tmpl w:val="DCEABD96"/>
    <w:lvl w:ilvl="0" w:tplc="9D764994">
      <w:numFmt w:val="bullet"/>
      <w:lvlText w:val=""/>
      <w:lvlJc w:val="left"/>
      <w:pPr>
        <w:ind w:left="156" w:hanging="100"/>
      </w:pPr>
      <w:rPr>
        <w:rFonts w:ascii="Symbol" w:eastAsia="Symbol" w:hAnsi="Symbol" w:cs="Symbol" w:hint="default"/>
        <w:color w:val="231F20"/>
        <w:w w:val="100"/>
        <w:sz w:val="14"/>
        <w:szCs w:val="14"/>
      </w:rPr>
    </w:lvl>
    <w:lvl w:ilvl="1" w:tplc="023E45D2">
      <w:numFmt w:val="bullet"/>
      <w:lvlText w:val="•"/>
      <w:lvlJc w:val="left"/>
      <w:pPr>
        <w:ind w:left="398" w:hanging="100"/>
      </w:pPr>
      <w:rPr>
        <w:rFonts w:hint="default"/>
      </w:rPr>
    </w:lvl>
    <w:lvl w:ilvl="2" w:tplc="EBBE657C">
      <w:numFmt w:val="bullet"/>
      <w:lvlText w:val="•"/>
      <w:lvlJc w:val="left"/>
      <w:pPr>
        <w:ind w:left="636" w:hanging="100"/>
      </w:pPr>
      <w:rPr>
        <w:rFonts w:hint="default"/>
      </w:rPr>
    </w:lvl>
    <w:lvl w:ilvl="3" w:tplc="D9843C30">
      <w:numFmt w:val="bullet"/>
      <w:lvlText w:val="•"/>
      <w:lvlJc w:val="left"/>
      <w:pPr>
        <w:ind w:left="874" w:hanging="100"/>
      </w:pPr>
      <w:rPr>
        <w:rFonts w:hint="default"/>
      </w:rPr>
    </w:lvl>
    <w:lvl w:ilvl="4" w:tplc="8A0EB04A">
      <w:numFmt w:val="bullet"/>
      <w:lvlText w:val="•"/>
      <w:lvlJc w:val="left"/>
      <w:pPr>
        <w:ind w:left="1112" w:hanging="100"/>
      </w:pPr>
      <w:rPr>
        <w:rFonts w:hint="default"/>
      </w:rPr>
    </w:lvl>
    <w:lvl w:ilvl="5" w:tplc="B1AECFBC">
      <w:numFmt w:val="bullet"/>
      <w:lvlText w:val="•"/>
      <w:lvlJc w:val="left"/>
      <w:pPr>
        <w:ind w:left="1350" w:hanging="100"/>
      </w:pPr>
      <w:rPr>
        <w:rFonts w:hint="default"/>
      </w:rPr>
    </w:lvl>
    <w:lvl w:ilvl="6" w:tplc="D8D4DEEC">
      <w:numFmt w:val="bullet"/>
      <w:lvlText w:val="•"/>
      <w:lvlJc w:val="left"/>
      <w:pPr>
        <w:ind w:left="1588" w:hanging="100"/>
      </w:pPr>
      <w:rPr>
        <w:rFonts w:hint="default"/>
      </w:rPr>
    </w:lvl>
    <w:lvl w:ilvl="7" w:tplc="B64618DC">
      <w:numFmt w:val="bullet"/>
      <w:lvlText w:val="•"/>
      <w:lvlJc w:val="left"/>
      <w:pPr>
        <w:ind w:left="1826" w:hanging="100"/>
      </w:pPr>
      <w:rPr>
        <w:rFonts w:hint="default"/>
      </w:rPr>
    </w:lvl>
    <w:lvl w:ilvl="8" w:tplc="01461D02">
      <w:numFmt w:val="bullet"/>
      <w:lvlText w:val="•"/>
      <w:lvlJc w:val="left"/>
      <w:pPr>
        <w:ind w:left="2064" w:hanging="100"/>
      </w:pPr>
      <w:rPr>
        <w:rFonts w:hint="default"/>
      </w:rPr>
    </w:lvl>
  </w:abstractNum>
  <w:abstractNum w:abstractNumId="1450" w15:restartNumberingAfterBreak="0">
    <w:nsid w:val="5A5D7413"/>
    <w:multiLevelType w:val="hybridMultilevel"/>
    <w:tmpl w:val="7E46E6DA"/>
    <w:lvl w:ilvl="0" w:tplc="F15026A0">
      <w:numFmt w:val="bullet"/>
      <w:lvlText w:val=""/>
      <w:lvlJc w:val="left"/>
      <w:pPr>
        <w:ind w:left="156" w:hanging="100"/>
      </w:pPr>
      <w:rPr>
        <w:rFonts w:ascii="Symbol" w:eastAsia="Symbol" w:hAnsi="Symbol" w:cs="Symbol" w:hint="default"/>
        <w:color w:val="231F20"/>
        <w:w w:val="100"/>
        <w:sz w:val="14"/>
        <w:szCs w:val="14"/>
      </w:rPr>
    </w:lvl>
    <w:lvl w:ilvl="1" w:tplc="1E68D538">
      <w:numFmt w:val="bullet"/>
      <w:lvlText w:val="•"/>
      <w:lvlJc w:val="left"/>
      <w:pPr>
        <w:ind w:left="301" w:hanging="100"/>
      </w:pPr>
      <w:rPr>
        <w:rFonts w:hint="default"/>
      </w:rPr>
    </w:lvl>
    <w:lvl w:ilvl="2" w:tplc="43CE8D2C">
      <w:numFmt w:val="bullet"/>
      <w:lvlText w:val="•"/>
      <w:lvlJc w:val="left"/>
      <w:pPr>
        <w:ind w:left="443" w:hanging="100"/>
      </w:pPr>
      <w:rPr>
        <w:rFonts w:hint="default"/>
      </w:rPr>
    </w:lvl>
    <w:lvl w:ilvl="3" w:tplc="4FB40690">
      <w:numFmt w:val="bullet"/>
      <w:lvlText w:val="•"/>
      <w:lvlJc w:val="left"/>
      <w:pPr>
        <w:ind w:left="585" w:hanging="100"/>
      </w:pPr>
      <w:rPr>
        <w:rFonts w:hint="default"/>
      </w:rPr>
    </w:lvl>
    <w:lvl w:ilvl="4" w:tplc="2C30BBF8">
      <w:numFmt w:val="bullet"/>
      <w:lvlText w:val="•"/>
      <w:lvlJc w:val="left"/>
      <w:pPr>
        <w:ind w:left="726" w:hanging="100"/>
      </w:pPr>
      <w:rPr>
        <w:rFonts w:hint="default"/>
      </w:rPr>
    </w:lvl>
    <w:lvl w:ilvl="5" w:tplc="AB72DAA0">
      <w:numFmt w:val="bullet"/>
      <w:lvlText w:val="•"/>
      <w:lvlJc w:val="left"/>
      <w:pPr>
        <w:ind w:left="868" w:hanging="100"/>
      </w:pPr>
      <w:rPr>
        <w:rFonts w:hint="default"/>
      </w:rPr>
    </w:lvl>
    <w:lvl w:ilvl="6" w:tplc="E1D0684E">
      <w:numFmt w:val="bullet"/>
      <w:lvlText w:val="•"/>
      <w:lvlJc w:val="left"/>
      <w:pPr>
        <w:ind w:left="1010" w:hanging="100"/>
      </w:pPr>
      <w:rPr>
        <w:rFonts w:hint="default"/>
      </w:rPr>
    </w:lvl>
    <w:lvl w:ilvl="7" w:tplc="DC985058">
      <w:numFmt w:val="bullet"/>
      <w:lvlText w:val="•"/>
      <w:lvlJc w:val="left"/>
      <w:pPr>
        <w:ind w:left="1151" w:hanging="100"/>
      </w:pPr>
      <w:rPr>
        <w:rFonts w:hint="default"/>
      </w:rPr>
    </w:lvl>
    <w:lvl w:ilvl="8" w:tplc="A53EBC92">
      <w:numFmt w:val="bullet"/>
      <w:lvlText w:val="•"/>
      <w:lvlJc w:val="left"/>
      <w:pPr>
        <w:ind w:left="1293" w:hanging="100"/>
      </w:pPr>
      <w:rPr>
        <w:rFonts w:hint="default"/>
      </w:rPr>
    </w:lvl>
  </w:abstractNum>
  <w:abstractNum w:abstractNumId="1451" w15:restartNumberingAfterBreak="0">
    <w:nsid w:val="5A5E1DEF"/>
    <w:multiLevelType w:val="hybridMultilevel"/>
    <w:tmpl w:val="48042B78"/>
    <w:lvl w:ilvl="0" w:tplc="F404ECB6">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9AFC5782">
      <w:numFmt w:val="bullet"/>
      <w:lvlText w:val="•"/>
      <w:lvlJc w:val="left"/>
      <w:pPr>
        <w:ind w:left="351" w:hanging="84"/>
      </w:pPr>
      <w:rPr>
        <w:rFonts w:hint="default"/>
      </w:rPr>
    </w:lvl>
    <w:lvl w:ilvl="2" w:tplc="6B528AF2">
      <w:numFmt w:val="bullet"/>
      <w:lvlText w:val="•"/>
      <w:lvlJc w:val="left"/>
      <w:pPr>
        <w:ind w:left="563" w:hanging="84"/>
      </w:pPr>
      <w:rPr>
        <w:rFonts w:hint="default"/>
      </w:rPr>
    </w:lvl>
    <w:lvl w:ilvl="3" w:tplc="E6AE4DE2">
      <w:numFmt w:val="bullet"/>
      <w:lvlText w:val="•"/>
      <w:lvlJc w:val="left"/>
      <w:pPr>
        <w:ind w:left="775" w:hanging="84"/>
      </w:pPr>
      <w:rPr>
        <w:rFonts w:hint="default"/>
      </w:rPr>
    </w:lvl>
    <w:lvl w:ilvl="4" w:tplc="457402C2">
      <w:numFmt w:val="bullet"/>
      <w:lvlText w:val="•"/>
      <w:lvlJc w:val="left"/>
      <w:pPr>
        <w:ind w:left="986" w:hanging="84"/>
      </w:pPr>
      <w:rPr>
        <w:rFonts w:hint="default"/>
      </w:rPr>
    </w:lvl>
    <w:lvl w:ilvl="5" w:tplc="109C777C">
      <w:numFmt w:val="bullet"/>
      <w:lvlText w:val="•"/>
      <w:lvlJc w:val="left"/>
      <w:pPr>
        <w:ind w:left="1198" w:hanging="84"/>
      </w:pPr>
      <w:rPr>
        <w:rFonts w:hint="default"/>
      </w:rPr>
    </w:lvl>
    <w:lvl w:ilvl="6" w:tplc="474ED11E">
      <w:numFmt w:val="bullet"/>
      <w:lvlText w:val="•"/>
      <w:lvlJc w:val="left"/>
      <w:pPr>
        <w:ind w:left="1410" w:hanging="84"/>
      </w:pPr>
      <w:rPr>
        <w:rFonts w:hint="default"/>
      </w:rPr>
    </w:lvl>
    <w:lvl w:ilvl="7" w:tplc="217E24E6">
      <w:numFmt w:val="bullet"/>
      <w:lvlText w:val="•"/>
      <w:lvlJc w:val="left"/>
      <w:pPr>
        <w:ind w:left="1621" w:hanging="84"/>
      </w:pPr>
      <w:rPr>
        <w:rFonts w:hint="default"/>
      </w:rPr>
    </w:lvl>
    <w:lvl w:ilvl="8" w:tplc="D3AABBD6">
      <w:numFmt w:val="bullet"/>
      <w:lvlText w:val="•"/>
      <w:lvlJc w:val="left"/>
      <w:pPr>
        <w:ind w:left="1833" w:hanging="84"/>
      </w:pPr>
      <w:rPr>
        <w:rFonts w:hint="default"/>
      </w:rPr>
    </w:lvl>
  </w:abstractNum>
  <w:abstractNum w:abstractNumId="1452" w15:restartNumberingAfterBreak="0">
    <w:nsid w:val="5A5E212F"/>
    <w:multiLevelType w:val="hybridMultilevel"/>
    <w:tmpl w:val="5A943762"/>
    <w:lvl w:ilvl="0" w:tplc="F92CC300">
      <w:numFmt w:val="bullet"/>
      <w:lvlText w:val=""/>
      <w:lvlJc w:val="left"/>
      <w:pPr>
        <w:ind w:left="156" w:hanging="100"/>
      </w:pPr>
      <w:rPr>
        <w:rFonts w:ascii="Symbol" w:eastAsia="Symbol" w:hAnsi="Symbol" w:cs="Symbol" w:hint="default"/>
        <w:color w:val="231F20"/>
        <w:w w:val="100"/>
        <w:sz w:val="14"/>
        <w:szCs w:val="14"/>
      </w:rPr>
    </w:lvl>
    <w:lvl w:ilvl="1" w:tplc="66B47718">
      <w:numFmt w:val="bullet"/>
      <w:lvlText w:val="•"/>
      <w:lvlJc w:val="left"/>
      <w:pPr>
        <w:ind w:left="426" w:hanging="100"/>
      </w:pPr>
      <w:rPr>
        <w:rFonts w:hint="default"/>
      </w:rPr>
    </w:lvl>
    <w:lvl w:ilvl="2" w:tplc="4D14781E">
      <w:numFmt w:val="bullet"/>
      <w:lvlText w:val="•"/>
      <w:lvlJc w:val="left"/>
      <w:pPr>
        <w:ind w:left="692" w:hanging="100"/>
      </w:pPr>
      <w:rPr>
        <w:rFonts w:hint="default"/>
      </w:rPr>
    </w:lvl>
    <w:lvl w:ilvl="3" w:tplc="7BCEED4A">
      <w:numFmt w:val="bullet"/>
      <w:lvlText w:val="•"/>
      <w:lvlJc w:val="left"/>
      <w:pPr>
        <w:ind w:left="959" w:hanging="100"/>
      </w:pPr>
      <w:rPr>
        <w:rFonts w:hint="default"/>
      </w:rPr>
    </w:lvl>
    <w:lvl w:ilvl="4" w:tplc="EBD25CB4">
      <w:numFmt w:val="bullet"/>
      <w:lvlText w:val="•"/>
      <w:lvlJc w:val="left"/>
      <w:pPr>
        <w:ind w:left="1225" w:hanging="100"/>
      </w:pPr>
      <w:rPr>
        <w:rFonts w:hint="default"/>
      </w:rPr>
    </w:lvl>
    <w:lvl w:ilvl="5" w:tplc="EC481B7C">
      <w:numFmt w:val="bullet"/>
      <w:lvlText w:val="•"/>
      <w:lvlJc w:val="left"/>
      <w:pPr>
        <w:ind w:left="1492" w:hanging="100"/>
      </w:pPr>
      <w:rPr>
        <w:rFonts w:hint="default"/>
      </w:rPr>
    </w:lvl>
    <w:lvl w:ilvl="6" w:tplc="A9BAC5E2">
      <w:numFmt w:val="bullet"/>
      <w:lvlText w:val="•"/>
      <w:lvlJc w:val="left"/>
      <w:pPr>
        <w:ind w:left="1758" w:hanging="100"/>
      </w:pPr>
      <w:rPr>
        <w:rFonts w:hint="default"/>
      </w:rPr>
    </w:lvl>
    <w:lvl w:ilvl="7" w:tplc="07E0948A">
      <w:numFmt w:val="bullet"/>
      <w:lvlText w:val="•"/>
      <w:lvlJc w:val="left"/>
      <w:pPr>
        <w:ind w:left="2024" w:hanging="100"/>
      </w:pPr>
      <w:rPr>
        <w:rFonts w:hint="default"/>
      </w:rPr>
    </w:lvl>
    <w:lvl w:ilvl="8" w:tplc="1F98564A">
      <w:numFmt w:val="bullet"/>
      <w:lvlText w:val="•"/>
      <w:lvlJc w:val="left"/>
      <w:pPr>
        <w:ind w:left="2291" w:hanging="100"/>
      </w:pPr>
      <w:rPr>
        <w:rFonts w:hint="default"/>
      </w:rPr>
    </w:lvl>
  </w:abstractNum>
  <w:abstractNum w:abstractNumId="1453" w15:restartNumberingAfterBreak="0">
    <w:nsid w:val="5A7A55BD"/>
    <w:multiLevelType w:val="hybridMultilevel"/>
    <w:tmpl w:val="065C7496"/>
    <w:lvl w:ilvl="0" w:tplc="3048851C">
      <w:numFmt w:val="bullet"/>
      <w:lvlText w:val=""/>
      <w:lvlJc w:val="left"/>
      <w:pPr>
        <w:ind w:left="156" w:hanging="100"/>
      </w:pPr>
      <w:rPr>
        <w:rFonts w:ascii="Symbol" w:eastAsia="Symbol" w:hAnsi="Symbol" w:cs="Symbol" w:hint="default"/>
        <w:color w:val="231F20"/>
        <w:w w:val="100"/>
        <w:sz w:val="14"/>
        <w:szCs w:val="14"/>
      </w:rPr>
    </w:lvl>
    <w:lvl w:ilvl="1" w:tplc="28B6119C">
      <w:numFmt w:val="bullet"/>
      <w:lvlText w:val="•"/>
      <w:lvlJc w:val="left"/>
      <w:pPr>
        <w:ind w:left="273" w:hanging="100"/>
      </w:pPr>
      <w:rPr>
        <w:rFonts w:hint="default"/>
      </w:rPr>
    </w:lvl>
    <w:lvl w:ilvl="2" w:tplc="CAA00D2E">
      <w:numFmt w:val="bullet"/>
      <w:lvlText w:val="•"/>
      <w:lvlJc w:val="left"/>
      <w:pPr>
        <w:ind w:left="386" w:hanging="100"/>
      </w:pPr>
      <w:rPr>
        <w:rFonts w:hint="default"/>
      </w:rPr>
    </w:lvl>
    <w:lvl w:ilvl="3" w:tplc="E8D4C3AA">
      <w:numFmt w:val="bullet"/>
      <w:lvlText w:val="•"/>
      <w:lvlJc w:val="left"/>
      <w:pPr>
        <w:ind w:left="500" w:hanging="100"/>
      </w:pPr>
      <w:rPr>
        <w:rFonts w:hint="default"/>
      </w:rPr>
    </w:lvl>
    <w:lvl w:ilvl="4" w:tplc="06E00550">
      <w:numFmt w:val="bullet"/>
      <w:lvlText w:val="•"/>
      <w:lvlJc w:val="left"/>
      <w:pPr>
        <w:ind w:left="613" w:hanging="100"/>
      </w:pPr>
      <w:rPr>
        <w:rFonts w:hint="default"/>
      </w:rPr>
    </w:lvl>
    <w:lvl w:ilvl="5" w:tplc="31FC1C26">
      <w:numFmt w:val="bullet"/>
      <w:lvlText w:val="•"/>
      <w:lvlJc w:val="left"/>
      <w:pPr>
        <w:ind w:left="727" w:hanging="100"/>
      </w:pPr>
      <w:rPr>
        <w:rFonts w:hint="default"/>
      </w:rPr>
    </w:lvl>
    <w:lvl w:ilvl="6" w:tplc="5EDA3540">
      <w:numFmt w:val="bullet"/>
      <w:lvlText w:val="•"/>
      <w:lvlJc w:val="left"/>
      <w:pPr>
        <w:ind w:left="840" w:hanging="100"/>
      </w:pPr>
      <w:rPr>
        <w:rFonts w:hint="default"/>
      </w:rPr>
    </w:lvl>
    <w:lvl w:ilvl="7" w:tplc="466E5D32">
      <w:numFmt w:val="bullet"/>
      <w:lvlText w:val="•"/>
      <w:lvlJc w:val="left"/>
      <w:pPr>
        <w:ind w:left="953" w:hanging="100"/>
      </w:pPr>
      <w:rPr>
        <w:rFonts w:hint="default"/>
      </w:rPr>
    </w:lvl>
    <w:lvl w:ilvl="8" w:tplc="9D58E070">
      <w:numFmt w:val="bullet"/>
      <w:lvlText w:val="•"/>
      <w:lvlJc w:val="left"/>
      <w:pPr>
        <w:ind w:left="1067" w:hanging="100"/>
      </w:pPr>
      <w:rPr>
        <w:rFonts w:hint="default"/>
      </w:rPr>
    </w:lvl>
  </w:abstractNum>
  <w:abstractNum w:abstractNumId="1454" w15:restartNumberingAfterBreak="0">
    <w:nsid w:val="5A7B6D54"/>
    <w:multiLevelType w:val="hybridMultilevel"/>
    <w:tmpl w:val="D8C20BC2"/>
    <w:lvl w:ilvl="0" w:tplc="90F23A00">
      <w:numFmt w:val="bullet"/>
      <w:lvlText w:val=""/>
      <w:lvlJc w:val="left"/>
      <w:pPr>
        <w:ind w:left="156" w:hanging="100"/>
      </w:pPr>
      <w:rPr>
        <w:rFonts w:ascii="Symbol" w:eastAsia="Symbol" w:hAnsi="Symbol" w:cs="Symbol" w:hint="default"/>
        <w:color w:val="231F20"/>
        <w:w w:val="100"/>
        <w:sz w:val="14"/>
        <w:szCs w:val="14"/>
      </w:rPr>
    </w:lvl>
    <w:lvl w:ilvl="1" w:tplc="701EBED0">
      <w:numFmt w:val="bullet"/>
      <w:lvlText w:val="•"/>
      <w:lvlJc w:val="left"/>
      <w:pPr>
        <w:ind w:left="398" w:hanging="100"/>
      </w:pPr>
      <w:rPr>
        <w:rFonts w:hint="default"/>
      </w:rPr>
    </w:lvl>
    <w:lvl w:ilvl="2" w:tplc="B7C814A6">
      <w:numFmt w:val="bullet"/>
      <w:lvlText w:val="•"/>
      <w:lvlJc w:val="left"/>
      <w:pPr>
        <w:ind w:left="636" w:hanging="100"/>
      </w:pPr>
      <w:rPr>
        <w:rFonts w:hint="default"/>
      </w:rPr>
    </w:lvl>
    <w:lvl w:ilvl="3" w:tplc="9DA0A538">
      <w:numFmt w:val="bullet"/>
      <w:lvlText w:val="•"/>
      <w:lvlJc w:val="left"/>
      <w:pPr>
        <w:ind w:left="874" w:hanging="100"/>
      </w:pPr>
      <w:rPr>
        <w:rFonts w:hint="default"/>
      </w:rPr>
    </w:lvl>
    <w:lvl w:ilvl="4" w:tplc="E904D094">
      <w:numFmt w:val="bullet"/>
      <w:lvlText w:val="•"/>
      <w:lvlJc w:val="left"/>
      <w:pPr>
        <w:ind w:left="1112" w:hanging="100"/>
      </w:pPr>
      <w:rPr>
        <w:rFonts w:hint="default"/>
      </w:rPr>
    </w:lvl>
    <w:lvl w:ilvl="5" w:tplc="6A863206">
      <w:numFmt w:val="bullet"/>
      <w:lvlText w:val="•"/>
      <w:lvlJc w:val="left"/>
      <w:pPr>
        <w:ind w:left="1350" w:hanging="100"/>
      </w:pPr>
      <w:rPr>
        <w:rFonts w:hint="default"/>
      </w:rPr>
    </w:lvl>
    <w:lvl w:ilvl="6" w:tplc="8CBCAFE8">
      <w:numFmt w:val="bullet"/>
      <w:lvlText w:val="•"/>
      <w:lvlJc w:val="left"/>
      <w:pPr>
        <w:ind w:left="1588" w:hanging="100"/>
      </w:pPr>
      <w:rPr>
        <w:rFonts w:hint="default"/>
      </w:rPr>
    </w:lvl>
    <w:lvl w:ilvl="7" w:tplc="C97E9B6C">
      <w:numFmt w:val="bullet"/>
      <w:lvlText w:val="•"/>
      <w:lvlJc w:val="left"/>
      <w:pPr>
        <w:ind w:left="1826" w:hanging="100"/>
      </w:pPr>
      <w:rPr>
        <w:rFonts w:hint="default"/>
      </w:rPr>
    </w:lvl>
    <w:lvl w:ilvl="8" w:tplc="2432F268">
      <w:numFmt w:val="bullet"/>
      <w:lvlText w:val="•"/>
      <w:lvlJc w:val="left"/>
      <w:pPr>
        <w:ind w:left="2064" w:hanging="100"/>
      </w:pPr>
      <w:rPr>
        <w:rFonts w:hint="default"/>
      </w:rPr>
    </w:lvl>
  </w:abstractNum>
  <w:abstractNum w:abstractNumId="1455" w15:restartNumberingAfterBreak="0">
    <w:nsid w:val="5A7D3EAE"/>
    <w:multiLevelType w:val="hybridMultilevel"/>
    <w:tmpl w:val="B6A42DEA"/>
    <w:lvl w:ilvl="0" w:tplc="DDEAE84C">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30BADFD2">
      <w:numFmt w:val="bullet"/>
      <w:lvlText w:val="•"/>
      <w:lvlJc w:val="left"/>
      <w:pPr>
        <w:ind w:left="426" w:hanging="105"/>
      </w:pPr>
      <w:rPr>
        <w:rFonts w:hint="default"/>
      </w:rPr>
    </w:lvl>
    <w:lvl w:ilvl="2" w:tplc="1A605704">
      <w:numFmt w:val="bullet"/>
      <w:lvlText w:val="•"/>
      <w:lvlJc w:val="left"/>
      <w:pPr>
        <w:ind w:left="692" w:hanging="105"/>
      </w:pPr>
      <w:rPr>
        <w:rFonts w:hint="default"/>
      </w:rPr>
    </w:lvl>
    <w:lvl w:ilvl="3" w:tplc="98CC49DE">
      <w:numFmt w:val="bullet"/>
      <w:lvlText w:val="•"/>
      <w:lvlJc w:val="left"/>
      <w:pPr>
        <w:ind w:left="959" w:hanging="105"/>
      </w:pPr>
      <w:rPr>
        <w:rFonts w:hint="default"/>
      </w:rPr>
    </w:lvl>
    <w:lvl w:ilvl="4" w:tplc="45EA862E">
      <w:numFmt w:val="bullet"/>
      <w:lvlText w:val="•"/>
      <w:lvlJc w:val="left"/>
      <w:pPr>
        <w:ind w:left="1225" w:hanging="105"/>
      </w:pPr>
      <w:rPr>
        <w:rFonts w:hint="default"/>
      </w:rPr>
    </w:lvl>
    <w:lvl w:ilvl="5" w:tplc="2B965EAA">
      <w:numFmt w:val="bullet"/>
      <w:lvlText w:val="•"/>
      <w:lvlJc w:val="left"/>
      <w:pPr>
        <w:ind w:left="1492" w:hanging="105"/>
      </w:pPr>
      <w:rPr>
        <w:rFonts w:hint="default"/>
      </w:rPr>
    </w:lvl>
    <w:lvl w:ilvl="6" w:tplc="2D50D514">
      <w:numFmt w:val="bullet"/>
      <w:lvlText w:val="•"/>
      <w:lvlJc w:val="left"/>
      <w:pPr>
        <w:ind w:left="1758" w:hanging="105"/>
      </w:pPr>
      <w:rPr>
        <w:rFonts w:hint="default"/>
      </w:rPr>
    </w:lvl>
    <w:lvl w:ilvl="7" w:tplc="0DBC521E">
      <w:numFmt w:val="bullet"/>
      <w:lvlText w:val="•"/>
      <w:lvlJc w:val="left"/>
      <w:pPr>
        <w:ind w:left="2024" w:hanging="105"/>
      </w:pPr>
      <w:rPr>
        <w:rFonts w:hint="default"/>
      </w:rPr>
    </w:lvl>
    <w:lvl w:ilvl="8" w:tplc="CD96877A">
      <w:numFmt w:val="bullet"/>
      <w:lvlText w:val="•"/>
      <w:lvlJc w:val="left"/>
      <w:pPr>
        <w:ind w:left="2291" w:hanging="105"/>
      </w:pPr>
      <w:rPr>
        <w:rFonts w:hint="default"/>
      </w:rPr>
    </w:lvl>
  </w:abstractNum>
  <w:abstractNum w:abstractNumId="1456" w15:restartNumberingAfterBreak="0">
    <w:nsid w:val="5ABD50D6"/>
    <w:multiLevelType w:val="hybridMultilevel"/>
    <w:tmpl w:val="DE1C6CF8"/>
    <w:lvl w:ilvl="0" w:tplc="D3E0D3D6">
      <w:numFmt w:val="bullet"/>
      <w:lvlText w:val=""/>
      <w:lvlJc w:val="left"/>
      <w:pPr>
        <w:ind w:left="156" w:hanging="100"/>
      </w:pPr>
      <w:rPr>
        <w:rFonts w:ascii="Symbol" w:eastAsia="Symbol" w:hAnsi="Symbol" w:cs="Symbol" w:hint="default"/>
        <w:color w:val="231F20"/>
        <w:w w:val="100"/>
        <w:sz w:val="14"/>
        <w:szCs w:val="14"/>
      </w:rPr>
    </w:lvl>
    <w:lvl w:ilvl="1" w:tplc="5B52DA66">
      <w:numFmt w:val="bullet"/>
      <w:lvlText w:val="•"/>
      <w:lvlJc w:val="left"/>
      <w:pPr>
        <w:ind w:left="398" w:hanging="100"/>
      </w:pPr>
      <w:rPr>
        <w:rFonts w:hint="default"/>
      </w:rPr>
    </w:lvl>
    <w:lvl w:ilvl="2" w:tplc="21DEC136">
      <w:numFmt w:val="bullet"/>
      <w:lvlText w:val="•"/>
      <w:lvlJc w:val="left"/>
      <w:pPr>
        <w:ind w:left="636" w:hanging="100"/>
      </w:pPr>
      <w:rPr>
        <w:rFonts w:hint="default"/>
      </w:rPr>
    </w:lvl>
    <w:lvl w:ilvl="3" w:tplc="A642B3FC">
      <w:numFmt w:val="bullet"/>
      <w:lvlText w:val="•"/>
      <w:lvlJc w:val="left"/>
      <w:pPr>
        <w:ind w:left="874" w:hanging="100"/>
      </w:pPr>
      <w:rPr>
        <w:rFonts w:hint="default"/>
      </w:rPr>
    </w:lvl>
    <w:lvl w:ilvl="4" w:tplc="4B0EE7D2">
      <w:numFmt w:val="bullet"/>
      <w:lvlText w:val="•"/>
      <w:lvlJc w:val="left"/>
      <w:pPr>
        <w:ind w:left="1112" w:hanging="100"/>
      </w:pPr>
      <w:rPr>
        <w:rFonts w:hint="default"/>
      </w:rPr>
    </w:lvl>
    <w:lvl w:ilvl="5" w:tplc="26B43DE8">
      <w:numFmt w:val="bullet"/>
      <w:lvlText w:val="•"/>
      <w:lvlJc w:val="left"/>
      <w:pPr>
        <w:ind w:left="1350" w:hanging="100"/>
      </w:pPr>
      <w:rPr>
        <w:rFonts w:hint="default"/>
      </w:rPr>
    </w:lvl>
    <w:lvl w:ilvl="6" w:tplc="5BCE7196">
      <w:numFmt w:val="bullet"/>
      <w:lvlText w:val="•"/>
      <w:lvlJc w:val="left"/>
      <w:pPr>
        <w:ind w:left="1588" w:hanging="100"/>
      </w:pPr>
      <w:rPr>
        <w:rFonts w:hint="default"/>
      </w:rPr>
    </w:lvl>
    <w:lvl w:ilvl="7" w:tplc="FF04F6C8">
      <w:numFmt w:val="bullet"/>
      <w:lvlText w:val="•"/>
      <w:lvlJc w:val="left"/>
      <w:pPr>
        <w:ind w:left="1826" w:hanging="100"/>
      </w:pPr>
      <w:rPr>
        <w:rFonts w:hint="default"/>
      </w:rPr>
    </w:lvl>
    <w:lvl w:ilvl="8" w:tplc="DBA85B0A">
      <w:numFmt w:val="bullet"/>
      <w:lvlText w:val="•"/>
      <w:lvlJc w:val="left"/>
      <w:pPr>
        <w:ind w:left="2064" w:hanging="100"/>
      </w:pPr>
      <w:rPr>
        <w:rFonts w:hint="default"/>
      </w:rPr>
    </w:lvl>
  </w:abstractNum>
  <w:abstractNum w:abstractNumId="1457" w15:restartNumberingAfterBreak="0">
    <w:nsid w:val="5ACA4161"/>
    <w:multiLevelType w:val="hybridMultilevel"/>
    <w:tmpl w:val="B57E488E"/>
    <w:lvl w:ilvl="0" w:tplc="C5725310">
      <w:numFmt w:val="bullet"/>
      <w:lvlText w:val=""/>
      <w:lvlJc w:val="left"/>
      <w:pPr>
        <w:ind w:left="157" w:hanging="100"/>
      </w:pPr>
      <w:rPr>
        <w:rFonts w:ascii="Symbol" w:eastAsia="Symbol" w:hAnsi="Symbol" w:cs="Symbol" w:hint="default"/>
        <w:color w:val="231F20"/>
        <w:w w:val="100"/>
        <w:sz w:val="14"/>
        <w:szCs w:val="14"/>
      </w:rPr>
    </w:lvl>
    <w:lvl w:ilvl="1" w:tplc="1B24AD50">
      <w:numFmt w:val="bullet"/>
      <w:lvlText w:val="•"/>
      <w:lvlJc w:val="left"/>
      <w:pPr>
        <w:ind w:left="369" w:hanging="100"/>
      </w:pPr>
      <w:rPr>
        <w:rFonts w:hint="default"/>
      </w:rPr>
    </w:lvl>
    <w:lvl w:ilvl="2" w:tplc="840891D4">
      <w:numFmt w:val="bullet"/>
      <w:lvlText w:val="•"/>
      <w:lvlJc w:val="left"/>
      <w:pPr>
        <w:ind w:left="579" w:hanging="100"/>
      </w:pPr>
      <w:rPr>
        <w:rFonts w:hint="default"/>
      </w:rPr>
    </w:lvl>
    <w:lvl w:ilvl="3" w:tplc="0FF22C24">
      <w:numFmt w:val="bullet"/>
      <w:lvlText w:val="•"/>
      <w:lvlJc w:val="left"/>
      <w:pPr>
        <w:ind w:left="789" w:hanging="100"/>
      </w:pPr>
      <w:rPr>
        <w:rFonts w:hint="default"/>
      </w:rPr>
    </w:lvl>
    <w:lvl w:ilvl="4" w:tplc="B144EC18">
      <w:numFmt w:val="bullet"/>
      <w:lvlText w:val="•"/>
      <w:lvlJc w:val="left"/>
      <w:pPr>
        <w:ind w:left="998" w:hanging="100"/>
      </w:pPr>
      <w:rPr>
        <w:rFonts w:hint="default"/>
      </w:rPr>
    </w:lvl>
    <w:lvl w:ilvl="5" w:tplc="0758189C">
      <w:numFmt w:val="bullet"/>
      <w:lvlText w:val="•"/>
      <w:lvlJc w:val="left"/>
      <w:pPr>
        <w:ind w:left="1208" w:hanging="100"/>
      </w:pPr>
      <w:rPr>
        <w:rFonts w:hint="default"/>
      </w:rPr>
    </w:lvl>
    <w:lvl w:ilvl="6" w:tplc="5EDA5328">
      <w:numFmt w:val="bullet"/>
      <w:lvlText w:val="•"/>
      <w:lvlJc w:val="left"/>
      <w:pPr>
        <w:ind w:left="1418" w:hanging="100"/>
      </w:pPr>
      <w:rPr>
        <w:rFonts w:hint="default"/>
      </w:rPr>
    </w:lvl>
    <w:lvl w:ilvl="7" w:tplc="7CD8FCB6">
      <w:numFmt w:val="bullet"/>
      <w:lvlText w:val="•"/>
      <w:lvlJc w:val="left"/>
      <w:pPr>
        <w:ind w:left="1627" w:hanging="100"/>
      </w:pPr>
      <w:rPr>
        <w:rFonts w:hint="default"/>
      </w:rPr>
    </w:lvl>
    <w:lvl w:ilvl="8" w:tplc="8B523A56">
      <w:numFmt w:val="bullet"/>
      <w:lvlText w:val="•"/>
      <w:lvlJc w:val="left"/>
      <w:pPr>
        <w:ind w:left="1837" w:hanging="100"/>
      </w:pPr>
      <w:rPr>
        <w:rFonts w:hint="default"/>
      </w:rPr>
    </w:lvl>
  </w:abstractNum>
  <w:abstractNum w:abstractNumId="1458" w15:restartNumberingAfterBreak="0">
    <w:nsid w:val="5B046777"/>
    <w:multiLevelType w:val="hybridMultilevel"/>
    <w:tmpl w:val="17D00C3C"/>
    <w:lvl w:ilvl="0" w:tplc="D3A4F336">
      <w:numFmt w:val="bullet"/>
      <w:lvlText w:val=""/>
      <w:lvlJc w:val="left"/>
      <w:pPr>
        <w:ind w:left="157" w:hanging="100"/>
      </w:pPr>
      <w:rPr>
        <w:rFonts w:ascii="Symbol" w:eastAsia="Symbol" w:hAnsi="Symbol" w:cs="Symbol" w:hint="default"/>
        <w:color w:val="231F20"/>
        <w:w w:val="100"/>
        <w:sz w:val="14"/>
        <w:szCs w:val="14"/>
      </w:rPr>
    </w:lvl>
    <w:lvl w:ilvl="1" w:tplc="0D3E6768">
      <w:numFmt w:val="bullet"/>
      <w:lvlText w:val="•"/>
      <w:lvlJc w:val="left"/>
      <w:pPr>
        <w:ind w:left="426" w:hanging="100"/>
      </w:pPr>
      <w:rPr>
        <w:rFonts w:hint="default"/>
      </w:rPr>
    </w:lvl>
    <w:lvl w:ilvl="2" w:tplc="A28C5FFC">
      <w:numFmt w:val="bullet"/>
      <w:lvlText w:val="•"/>
      <w:lvlJc w:val="left"/>
      <w:pPr>
        <w:ind w:left="692" w:hanging="100"/>
      </w:pPr>
      <w:rPr>
        <w:rFonts w:hint="default"/>
      </w:rPr>
    </w:lvl>
    <w:lvl w:ilvl="3" w:tplc="AD426718">
      <w:numFmt w:val="bullet"/>
      <w:lvlText w:val="•"/>
      <w:lvlJc w:val="left"/>
      <w:pPr>
        <w:ind w:left="959" w:hanging="100"/>
      </w:pPr>
      <w:rPr>
        <w:rFonts w:hint="default"/>
      </w:rPr>
    </w:lvl>
    <w:lvl w:ilvl="4" w:tplc="5F0A5EB8">
      <w:numFmt w:val="bullet"/>
      <w:lvlText w:val="•"/>
      <w:lvlJc w:val="left"/>
      <w:pPr>
        <w:ind w:left="1225" w:hanging="100"/>
      </w:pPr>
      <w:rPr>
        <w:rFonts w:hint="default"/>
      </w:rPr>
    </w:lvl>
    <w:lvl w:ilvl="5" w:tplc="14AA184E">
      <w:numFmt w:val="bullet"/>
      <w:lvlText w:val="•"/>
      <w:lvlJc w:val="left"/>
      <w:pPr>
        <w:ind w:left="1492" w:hanging="100"/>
      </w:pPr>
      <w:rPr>
        <w:rFonts w:hint="default"/>
      </w:rPr>
    </w:lvl>
    <w:lvl w:ilvl="6" w:tplc="DCC40326">
      <w:numFmt w:val="bullet"/>
      <w:lvlText w:val="•"/>
      <w:lvlJc w:val="left"/>
      <w:pPr>
        <w:ind w:left="1758" w:hanging="100"/>
      </w:pPr>
      <w:rPr>
        <w:rFonts w:hint="default"/>
      </w:rPr>
    </w:lvl>
    <w:lvl w:ilvl="7" w:tplc="2B1E8038">
      <w:numFmt w:val="bullet"/>
      <w:lvlText w:val="•"/>
      <w:lvlJc w:val="left"/>
      <w:pPr>
        <w:ind w:left="2024" w:hanging="100"/>
      </w:pPr>
      <w:rPr>
        <w:rFonts w:hint="default"/>
      </w:rPr>
    </w:lvl>
    <w:lvl w:ilvl="8" w:tplc="50F643EA">
      <w:numFmt w:val="bullet"/>
      <w:lvlText w:val="•"/>
      <w:lvlJc w:val="left"/>
      <w:pPr>
        <w:ind w:left="2291" w:hanging="100"/>
      </w:pPr>
      <w:rPr>
        <w:rFonts w:hint="default"/>
      </w:rPr>
    </w:lvl>
  </w:abstractNum>
  <w:abstractNum w:abstractNumId="1459" w15:restartNumberingAfterBreak="0">
    <w:nsid w:val="5B0941DC"/>
    <w:multiLevelType w:val="hybridMultilevel"/>
    <w:tmpl w:val="CCDA7842"/>
    <w:lvl w:ilvl="0" w:tplc="0FD48FC2">
      <w:numFmt w:val="bullet"/>
      <w:lvlText w:val=""/>
      <w:lvlJc w:val="left"/>
      <w:pPr>
        <w:ind w:left="156" w:hanging="100"/>
      </w:pPr>
      <w:rPr>
        <w:rFonts w:ascii="Symbol" w:eastAsia="Symbol" w:hAnsi="Symbol" w:cs="Symbol" w:hint="default"/>
        <w:color w:val="231F20"/>
        <w:w w:val="100"/>
        <w:sz w:val="14"/>
        <w:szCs w:val="14"/>
      </w:rPr>
    </w:lvl>
    <w:lvl w:ilvl="1" w:tplc="A7EA4B7A">
      <w:numFmt w:val="bullet"/>
      <w:lvlText w:val="•"/>
      <w:lvlJc w:val="left"/>
      <w:pPr>
        <w:ind w:left="301" w:hanging="100"/>
      </w:pPr>
      <w:rPr>
        <w:rFonts w:hint="default"/>
      </w:rPr>
    </w:lvl>
    <w:lvl w:ilvl="2" w:tplc="E1E46B2E">
      <w:numFmt w:val="bullet"/>
      <w:lvlText w:val="•"/>
      <w:lvlJc w:val="left"/>
      <w:pPr>
        <w:ind w:left="443" w:hanging="100"/>
      </w:pPr>
      <w:rPr>
        <w:rFonts w:hint="default"/>
      </w:rPr>
    </w:lvl>
    <w:lvl w:ilvl="3" w:tplc="4112D1DE">
      <w:numFmt w:val="bullet"/>
      <w:lvlText w:val="•"/>
      <w:lvlJc w:val="left"/>
      <w:pPr>
        <w:ind w:left="585" w:hanging="100"/>
      </w:pPr>
      <w:rPr>
        <w:rFonts w:hint="default"/>
      </w:rPr>
    </w:lvl>
    <w:lvl w:ilvl="4" w:tplc="E2160B4A">
      <w:numFmt w:val="bullet"/>
      <w:lvlText w:val="•"/>
      <w:lvlJc w:val="left"/>
      <w:pPr>
        <w:ind w:left="726" w:hanging="100"/>
      </w:pPr>
      <w:rPr>
        <w:rFonts w:hint="default"/>
      </w:rPr>
    </w:lvl>
    <w:lvl w:ilvl="5" w:tplc="98C2B3EE">
      <w:numFmt w:val="bullet"/>
      <w:lvlText w:val="•"/>
      <w:lvlJc w:val="left"/>
      <w:pPr>
        <w:ind w:left="868" w:hanging="100"/>
      </w:pPr>
      <w:rPr>
        <w:rFonts w:hint="default"/>
      </w:rPr>
    </w:lvl>
    <w:lvl w:ilvl="6" w:tplc="3C141DB4">
      <w:numFmt w:val="bullet"/>
      <w:lvlText w:val="•"/>
      <w:lvlJc w:val="left"/>
      <w:pPr>
        <w:ind w:left="1010" w:hanging="100"/>
      </w:pPr>
      <w:rPr>
        <w:rFonts w:hint="default"/>
      </w:rPr>
    </w:lvl>
    <w:lvl w:ilvl="7" w:tplc="FE268CB6">
      <w:numFmt w:val="bullet"/>
      <w:lvlText w:val="•"/>
      <w:lvlJc w:val="left"/>
      <w:pPr>
        <w:ind w:left="1151" w:hanging="100"/>
      </w:pPr>
      <w:rPr>
        <w:rFonts w:hint="default"/>
      </w:rPr>
    </w:lvl>
    <w:lvl w:ilvl="8" w:tplc="A5622734">
      <w:numFmt w:val="bullet"/>
      <w:lvlText w:val="•"/>
      <w:lvlJc w:val="left"/>
      <w:pPr>
        <w:ind w:left="1293" w:hanging="100"/>
      </w:pPr>
      <w:rPr>
        <w:rFonts w:hint="default"/>
      </w:rPr>
    </w:lvl>
  </w:abstractNum>
  <w:abstractNum w:abstractNumId="1460" w15:restartNumberingAfterBreak="0">
    <w:nsid w:val="5B0A5CB0"/>
    <w:multiLevelType w:val="hybridMultilevel"/>
    <w:tmpl w:val="429CD736"/>
    <w:lvl w:ilvl="0" w:tplc="DD42CFD0">
      <w:numFmt w:val="bullet"/>
      <w:lvlText w:val=""/>
      <w:lvlJc w:val="left"/>
      <w:pPr>
        <w:ind w:left="156" w:hanging="100"/>
      </w:pPr>
      <w:rPr>
        <w:rFonts w:ascii="Symbol" w:eastAsia="Symbol" w:hAnsi="Symbol" w:cs="Symbol" w:hint="default"/>
        <w:color w:val="231F20"/>
        <w:w w:val="100"/>
        <w:sz w:val="14"/>
        <w:szCs w:val="14"/>
      </w:rPr>
    </w:lvl>
    <w:lvl w:ilvl="1" w:tplc="EA9887A8">
      <w:numFmt w:val="bullet"/>
      <w:lvlText w:val="•"/>
      <w:lvlJc w:val="left"/>
      <w:pPr>
        <w:ind w:left="426" w:hanging="100"/>
      </w:pPr>
      <w:rPr>
        <w:rFonts w:hint="default"/>
      </w:rPr>
    </w:lvl>
    <w:lvl w:ilvl="2" w:tplc="D3A638F4">
      <w:numFmt w:val="bullet"/>
      <w:lvlText w:val="•"/>
      <w:lvlJc w:val="left"/>
      <w:pPr>
        <w:ind w:left="692" w:hanging="100"/>
      </w:pPr>
      <w:rPr>
        <w:rFonts w:hint="default"/>
      </w:rPr>
    </w:lvl>
    <w:lvl w:ilvl="3" w:tplc="58505592">
      <w:numFmt w:val="bullet"/>
      <w:lvlText w:val="•"/>
      <w:lvlJc w:val="left"/>
      <w:pPr>
        <w:ind w:left="959" w:hanging="100"/>
      </w:pPr>
      <w:rPr>
        <w:rFonts w:hint="default"/>
      </w:rPr>
    </w:lvl>
    <w:lvl w:ilvl="4" w:tplc="48A43C6E">
      <w:numFmt w:val="bullet"/>
      <w:lvlText w:val="•"/>
      <w:lvlJc w:val="left"/>
      <w:pPr>
        <w:ind w:left="1225" w:hanging="100"/>
      </w:pPr>
      <w:rPr>
        <w:rFonts w:hint="default"/>
      </w:rPr>
    </w:lvl>
    <w:lvl w:ilvl="5" w:tplc="933289AC">
      <w:numFmt w:val="bullet"/>
      <w:lvlText w:val="•"/>
      <w:lvlJc w:val="left"/>
      <w:pPr>
        <w:ind w:left="1492" w:hanging="100"/>
      </w:pPr>
      <w:rPr>
        <w:rFonts w:hint="default"/>
      </w:rPr>
    </w:lvl>
    <w:lvl w:ilvl="6" w:tplc="130C0758">
      <w:numFmt w:val="bullet"/>
      <w:lvlText w:val="•"/>
      <w:lvlJc w:val="left"/>
      <w:pPr>
        <w:ind w:left="1758" w:hanging="100"/>
      </w:pPr>
      <w:rPr>
        <w:rFonts w:hint="default"/>
      </w:rPr>
    </w:lvl>
    <w:lvl w:ilvl="7" w:tplc="16762CF8">
      <w:numFmt w:val="bullet"/>
      <w:lvlText w:val="•"/>
      <w:lvlJc w:val="left"/>
      <w:pPr>
        <w:ind w:left="2024" w:hanging="100"/>
      </w:pPr>
      <w:rPr>
        <w:rFonts w:hint="default"/>
      </w:rPr>
    </w:lvl>
    <w:lvl w:ilvl="8" w:tplc="890ABC0C">
      <w:numFmt w:val="bullet"/>
      <w:lvlText w:val="•"/>
      <w:lvlJc w:val="left"/>
      <w:pPr>
        <w:ind w:left="2291" w:hanging="100"/>
      </w:pPr>
      <w:rPr>
        <w:rFonts w:hint="default"/>
      </w:rPr>
    </w:lvl>
  </w:abstractNum>
  <w:abstractNum w:abstractNumId="1461" w15:restartNumberingAfterBreak="0">
    <w:nsid w:val="5B4D664C"/>
    <w:multiLevelType w:val="hybridMultilevel"/>
    <w:tmpl w:val="8FD8DEC8"/>
    <w:lvl w:ilvl="0" w:tplc="1DB8603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FBA44AE8">
      <w:numFmt w:val="bullet"/>
      <w:lvlText w:val="•"/>
      <w:lvlJc w:val="left"/>
      <w:pPr>
        <w:ind w:left="408" w:hanging="84"/>
      </w:pPr>
      <w:rPr>
        <w:rFonts w:hint="default"/>
      </w:rPr>
    </w:lvl>
    <w:lvl w:ilvl="2" w:tplc="2A7C33EE">
      <w:numFmt w:val="bullet"/>
      <w:lvlText w:val="•"/>
      <w:lvlJc w:val="left"/>
      <w:pPr>
        <w:ind w:left="676" w:hanging="84"/>
      </w:pPr>
      <w:rPr>
        <w:rFonts w:hint="default"/>
      </w:rPr>
    </w:lvl>
    <w:lvl w:ilvl="3" w:tplc="7812E280">
      <w:numFmt w:val="bullet"/>
      <w:lvlText w:val="•"/>
      <w:lvlJc w:val="left"/>
      <w:pPr>
        <w:ind w:left="945" w:hanging="84"/>
      </w:pPr>
      <w:rPr>
        <w:rFonts w:hint="default"/>
      </w:rPr>
    </w:lvl>
    <w:lvl w:ilvl="4" w:tplc="E8B86038">
      <w:numFmt w:val="bullet"/>
      <w:lvlText w:val="•"/>
      <w:lvlJc w:val="left"/>
      <w:pPr>
        <w:ind w:left="1213" w:hanging="84"/>
      </w:pPr>
      <w:rPr>
        <w:rFonts w:hint="default"/>
      </w:rPr>
    </w:lvl>
    <w:lvl w:ilvl="5" w:tplc="98022FB6">
      <w:numFmt w:val="bullet"/>
      <w:lvlText w:val="•"/>
      <w:lvlJc w:val="left"/>
      <w:pPr>
        <w:ind w:left="1482" w:hanging="84"/>
      </w:pPr>
      <w:rPr>
        <w:rFonts w:hint="default"/>
      </w:rPr>
    </w:lvl>
    <w:lvl w:ilvl="6" w:tplc="BABA128C">
      <w:numFmt w:val="bullet"/>
      <w:lvlText w:val="•"/>
      <w:lvlJc w:val="left"/>
      <w:pPr>
        <w:ind w:left="1750" w:hanging="84"/>
      </w:pPr>
      <w:rPr>
        <w:rFonts w:hint="default"/>
      </w:rPr>
    </w:lvl>
    <w:lvl w:ilvl="7" w:tplc="EC1C723C">
      <w:numFmt w:val="bullet"/>
      <w:lvlText w:val="•"/>
      <w:lvlJc w:val="left"/>
      <w:pPr>
        <w:ind w:left="2018" w:hanging="84"/>
      </w:pPr>
      <w:rPr>
        <w:rFonts w:hint="default"/>
      </w:rPr>
    </w:lvl>
    <w:lvl w:ilvl="8" w:tplc="E0D4BCEC">
      <w:numFmt w:val="bullet"/>
      <w:lvlText w:val="•"/>
      <w:lvlJc w:val="left"/>
      <w:pPr>
        <w:ind w:left="2287" w:hanging="84"/>
      </w:pPr>
      <w:rPr>
        <w:rFonts w:hint="default"/>
      </w:rPr>
    </w:lvl>
  </w:abstractNum>
  <w:abstractNum w:abstractNumId="1462" w15:restartNumberingAfterBreak="0">
    <w:nsid w:val="5B5234BC"/>
    <w:multiLevelType w:val="hybridMultilevel"/>
    <w:tmpl w:val="7F2E89E8"/>
    <w:lvl w:ilvl="0" w:tplc="F2A66176">
      <w:numFmt w:val="bullet"/>
      <w:lvlText w:val=""/>
      <w:lvlJc w:val="left"/>
      <w:pPr>
        <w:ind w:left="157" w:hanging="100"/>
      </w:pPr>
      <w:rPr>
        <w:rFonts w:ascii="Symbol" w:eastAsia="Symbol" w:hAnsi="Symbol" w:cs="Symbol" w:hint="default"/>
        <w:color w:val="231F20"/>
        <w:w w:val="100"/>
        <w:sz w:val="14"/>
        <w:szCs w:val="14"/>
      </w:rPr>
    </w:lvl>
    <w:lvl w:ilvl="1" w:tplc="744E2E94">
      <w:numFmt w:val="bullet"/>
      <w:lvlText w:val="•"/>
      <w:lvlJc w:val="left"/>
      <w:pPr>
        <w:ind w:left="426" w:hanging="100"/>
      </w:pPr>
      <w:rPr>
        <w:rFonts w:hint="default"/>
      </w:rPr>
    </w:lvl>
    <w:lvl w:ilvl="2" w:tplc="561A8D98">
      <w:numFmt w:val="bullet"/>
      <w:lvlText w:val="•"/>
      <w:lvlJc w:val="left"/>
      <w:pPr>
        <w:ind w:left="692" w:hanging="100"/>
      </w:pPr>
      <w:rPr>
        <w:rFonts w:hint="default"/>
      </w:rPr>
    </w:lvl>
    <w:lvl w:ilvl="3" w:tplc="846C9E62">
      <w:numFmt w:val="bullet"/>
      <w:lvlText w:val="•"/>
      <w:lvlJc w:val="left"/>
      <w:pPr>
        <w:ind w:left="959" w:hanging="100"/>
      </w:pPr>
      <w:rPr>
        <w:rFonts w:hint="default"/>
      </w:rPr>
    </w:lvl>
    <w:lvl w:ilvl="4" w:tplc="9B0EDFDC">
      <w:numFmt w:val="bullet"/>
      <w:lvlText w:val="•"/>
      <w:lvlJc w:val="left"/>
      <w:pPr>
        <w:ind w:left="1225" w:hanging="100"/>
      </w:pPr>
      <w:rPr>
        <w:rFonts w:hint="default"/>
      </w:rPr>
    </w:lvl>
    <w:lvl w:ilvl="5" w:tplc="B3845858">
      <w:numFmt w:val="bullet"/>
      <w:lvlText w:val="•"/>
      <w:lvlJc w:val="left"/>
      <w:pPr>
        <w:ind w:left="1492" w:hanging="100"/>
      </w:pPr>
      <w:rPr>
        <w:rFonts w:hint="default"/>
      </w:rPr>
    </w:lvl>
    <w:lvl w:ilvl="6" w:tplc="92FA1D76">
      <w:numFmt w:val="bullet"/>
      <w:lvlText w:val="•"/>
      <w:lvlJc w:val="left"/>
      <w:pPr>
        <w:ind w:left="1758" w:hanging="100"/>
      </w:pPr>
      <w:rPr>
        <w:rFonts w:hint="default"/>
      </w:rPr>
    </w:lvl>
    <w:lvl w:ilvl="7" w:tplc="807218E4">
      <w:numFmt w:val="bullet"/>
      <w:lvlText w:val="•"/>
      <w:lvlJc w:val="left"/>
      <w:pPr>
        <w:ind w:left="2024" w:hanging="100"/>
      </w:pPr>
      <w:rPr>
        <w:rFonts w:hint="default"/>
      </w:rPr>
    </w:lvl>
    <w:lvl w:ilvl="8" w:tplc="670CAE82">
      <w:numFmt w:val="bullet"/>
      <w:lvlText w:val="•"/>
      <w:lvlJc w:val="left"/>
      <w:pPr>
        <w:ind w:left="2291" w:hanging="100"/>
      </w:pPr>
      <w:rPr>
        <w:rFonts w:hint="default"/>
      </w:rPr>
    </w:lvl>
  </w:abstractNum>
  <w:abstractNum w:abstractNumId="1463" w15:restartNumberingAfterBreak="0">
    <w:nsid w:val="5B546EA7"/>
    <w:multiLevelType w:val="hybridMultilevel"/>
    <w:tmpl w:val="A9189A1A"/>
    <w:lvl w:ilvl="0" w:tplc="7FB0F784">
      <w:numFmt w:val="bullet"/>
      <w:lvlText w:val=""/>
      <w:lvlJc w:val="left"/>
      <w:pPr>
        <w:ind w:left="156" w:hanging="100"/>
      </w:pPr>
      <w:rPr>
        <w:rFonts w:ascii="Symbol" w:eastAsia="Symbol" w:hAnsi="Symbol" w:cs="Symbol" w:hint="default"/>
        <w:color w:val="231F20"/>
        <w:w w:val="100"/>
        <w:sz w:val="14"/>
        <w:szCs w:val="14"/>
      </w:rPr>
    </w:lvl>
    <w:lvl w:ilvl="1" w:tplc="2F424D3E">
      <w:numFmt w:val="bullet"/>
      <w:lvlText w:val="•"/>
      <w:lvlJc w:val="left"/>
      <w:pPr>
        <w:ind w:left="398" w:hanging="100"/>
      </w:pPr>
      <w:rPr>
        <w:rFonts w:hint="default"/>
      </w:rPr>
    </w:lvl>
    <w:lvl w:ilvl="2" w:tplc="9C8AD5A2">
      <w:numFmt w:val="bullet"/>
      <w:lvlText w:val="•"/>
      <w:lvlJc w:val="left"/>
      <w:pPr>
        <w:ind w:left="636" w:hanging="100"/>
      </w:pPr>
      <w:rPr>
        <w:rFonts w:hint="default"/>
      </w:rPr>
    </w:lvl>
    <w:lvl w:ilvl="3" w:tplc="3A4A73A4">
      <w:numFmt w:val="bullet"/>
      <w:lvlText w:val="•"/>
      <w:lvlJc w:val="left"/>
      <w:pPr>
        <w:ind w:left="874" w:hanging="100"/>
      </w:pPr>
      <w:rPr>
        <w:rFonts w:hint="default"/>
      </w:rPr>
    </w:lvl>
    <w:lvl w:ilvl="4" w:tplc="DC3430AC">
      <w:numFmt w:val="bullet"/>
      <w:lvlText w:val="•"/>
      <w:lvlJc w:val="left"/>
      <w:pPr>
        <w:ind w:left="1112" w:hanging="100"/>
      </w:pPr>
      <w:rPr>
        <w:rFonts w:hint="default"/>
      </w:rPr>
    </w:lvl>
    <w:lvl w:ilvl="5" w:tplc="BABAE5A4">
      <w:numFmt w:val="bullet"/>
      <w:lvlText w:val="•"/>
      <w:lvlJc w:val="left"/>
      <w:pPr>
        <w:ind w:left="1350" w:hanging="100"/>
      </w:pPr>
      <w:rPr>
        <w:rFonts w:hint="default"/>
      </w:rPr>
    </w:lvl>
    <w:lvl w:ilvl="6" w:tplc="72A21C3C">
      <w:numFmt w:val="bullet"/>
      <w:lvlText w:val="•"/>
      <w:lvlJc w:val="left"/>
      <w:pPr>
        <w:ind w:left="1588" w:hanging="100"/>
      </w:pPr>
      <w:rPr>
        <w:rFonts w:hint="default"/>
      </w:rPr>
    </w:lvl>
    <w:lvl w:ilvl="7" w:tplc="AB42B614">
      <w:numFmt w:val="bullet"/>
      <w:lvlText w:val="•"/>
      <w:lvlJc w:val="left"/>
      <w:pPr>
        <w:ind w:left="1826" w:hanging="100"/>
      </w:pPr>
      <w:rPr>
        <w:rFonts w:hint="default"/>
      </w:rPr>
    </w:lvl>
    <w:lvl w:ilvl="8" w:tplc="C486C33A">
      <w:numFmt w:val="bullet"/>
      <w:lvlText w:val="•"/>
      <w:lvlJc w:val="left"/>
      <w:pPr>
        <w:ind w:left="2064" w:hanging="100"/>
      </w:pPr>
      <w:rPr>
        <w:rFonts w:hint="default"/>
      </w:rPr>
    </w:lvl>
  </w:abstractNum>
  <w:abstractNum w:abstractNumId="1464" w15:restartNumberingAfterBreak="0">
    <w:nsid w:val="5B67473C"/>
    <w:multiLevelType w:val="hybridMultilevel"/>
    <w:tmpl w:val="0A3CDDF0"/>
    <w:lvl w:ilvl="0" w:tplc="E9BA2B32">
      <w:numFmt w:val="bullet"/>
      <w:lvlText w:val=""/>
      <w:lvlJc w:val="left"/>
      <w:pPr>
        <w:ind w:left="156" w:hanging="100"/>
      </w:pPr>
      <w:rPr>
        <w:rFonts w:ascii="Symbol" w:eastAsia="Symbol" w:hAnsi="Symbol" w:cs="Symbol" w:hint="default"/>
        <w:color w:val="231F20"/>
        <w:w w:val="100"/>
        <w:sz w:val="14"/>
        <w:szCs w:val="14"/>
      </w:rPr>
    </w:lvl>
    <w:lvl w:ilvl="1" w:tplc="98547B72">
      <w:numFmt w:val="bullet"/>
      <w:lvlText w:val="•"/>
      <w:lvlJc w:val="left"/>
      <w:pPr>
        <w:ind w:left="240" w:hanging="100"/>
      </w:pPr>
      <w:rPr>
        <w:rFonts w:hint="default"/>
      </w:rPr>
    </w:lvl>
    <w:lvl w:ilvl="2" w:tplc="2BB4E118">
      <w:numFmt w:val="bullet"/>
      <w:lvlText w:val="•"/>
      <w:lvlJc w:val="left"/>
      <w:pPr>
        <w:ind w:left="527" w:hanging="100"/>
      </w:pPr>
      <w:rPr>
        <w:rFonts w:hint="default"/>
      </w:rPr>
    </w:lvl>
    <w:lvl w:ilvl="3" w:tplc="04DEFBC8">
      <w:numFmt w:val="bullet"/>
      <w:lvlText w:val="•"/>
      <w:lvlJc w:val="left"/>
      <w:pPr>
        <w:ind w:left="814" w:hanging="100"/>
      </w:pPr>
      <w:rPr>
        <w:rFonts w:hint="default"/>
      </w:rPr>
    </w:lvl>
    <w:lvl w:ilvl="4" w:tplc="E3E42F06">
      <w:numFmt w:val="bullet"/>
      <w:lvlText w:val="•"/>
      <w:lvlJc w:val="left"/>
      <w:pPr>
        <w:ind w:left="1101" w:hanging="100"/>
      </w:pPr>
      <w:rPr>
        <w:rFonts w:hint="default"/>
      </w:rPr>
    </w:lvl>
    <w:lvl w:ilvl="5" w:tplc="42DC5072">
      <w:numFmt w:val="bullet"/>
      <w:lvlText w:val="•"/>
      <w:lvlJc w:val="left"/>
      <w:pPr>
        <w:ind w:left="1388" w:hanging="100"/>
      </w:pPr>
      <w:rPr>
        <w:rFonts w:hint="default"/>
      </w:rPr>
    </w:lvl>
    <w:lvl w:ilvl="6" w:tplc="8A40468E">
      <w:numFmt w:val="bullet"/>
      <w:lvlText w:val="•"/>
      <w:lvlJc w:val="left"/>
      <w:pPr>
        <w:ind w:left="1675" w:hanging="100"/>
      </w:pPr>
      <w:rPr>
        <w:rFonts w:hint="default"/>
      </w:rPr>
    </w:lvl>
    <w:lvl w:ilvl="7" w:tplc="250211A4">
      <w:numFmt w:val="bullet"/>
      <w:lvlText w:val="•"/>
      <w:lvlJc w:val="left"/>
      <w:pPr>
        <w:ind w:left="1962" w:hanging="100"/>
      </w:pPr>
      <w:rPr>
        <w:rFonts w:hint="default"/>
      </w:rPr>
    </w:lvl>
    <w:lvl w:ilvl="8" w:tplc="4858C7CE">
      <w:numFmt w:val="bullet"/>
      <w:lvlText w:val="•"/>
      <w:lvlJc w:val="left"/>
      <w:pPr>
        <w:ind w:left="2249" w:hanging="100"/>
      </w:pPr>
      <w:rPr>
        <w:rFonts w:hint="default"/>
      </w:rPr>
    </w:lvl>
  </w:abstractNum>
  <w:abstractNum w:abstractNumId="1465" w15:restartNumberingAfterBreak="0">
    <w:nsid w:val="5B8251B7"/>
    <w:multiLevelType w:val="hybridMultilevel"/>
    <w:tmpl w:val="45843DE0"/>
    <w:lvl w:ilvl="0" w:tplc="2A7ACD52">
      <w:numFmt w:val="bullet"/>
      <w:lvlText w:val=""/>
      <w:lvlJc w:val="left"/>
      <w:pPr>
        <w:ind w:left="156" w:hanging="100"/>
      </w:pPr>
      <w:rPr>
        <w:rFonts w:ascii="Symbol" w:eastAsia="Symbol" w:hAnsi="Symbol" w:cs="Symbol" w:hint="default"/>
        <w:color w:val="231F20"/>
        <w:w w:val="100"/>
        <w:sz w:val="14"/>
        <w:szCs w:val="14"/>
      </w:rPr>
    </w:lvl>
    <w:lvl w:ilvl="1" w:tplc="3E9430FA">
      <w:numFmt w:val="bullet"/>
      <w:lvlText w:val="•"/>
      <w:lvlJc w:val="left"/>
      <w:pPr>
        <w:ind w:left="301" w:hanging="100"/>
      </w:pPr>
      <w:rPr>
        <w:rFonts w:hint="default"/>
      </w:rPr>
    </w:lvl>
    <w:lvl w:ilvl="2" w:tplc="30DE09CE">
      <w:numFmt w:val="bullet"/>
      <w:lvlText w:val="•"/>
      <w:lvlJc w:val="left"/>
      <w:pPr>
        <w:ind w:left="443" w:hanging="100"/>
      </w:pPr>
      <w:rPr>
        <w:rFonts w:hint="default"/>
      </w:rPr>
    </w:lvl>
    <w:lvl w:ilvl="3" w:tplc="72BADD8C">
      <w:numFmt w:val="bullet"/>
      <w:lvlText w:val="•"/>
      <w:lvlJc w:val="left"/>
      <w:pPr>
        <w:ind w:left="585" w:hanging="100"/>
      </w:pPr>
      <w:rPr>
        <w:rFonts w:hint="default"/>
      </w:rPr>
    </w:lvl>
    <w:lvl w:ilvl="4" w:tplc="F0520764">
      <w:numFmt w:val="bullet"/>
      <w:lvlText w:val="•"/>
      <w:lvlJc w:val="left"/>
      <w:pPr>
        <w:ind w:left="726" w:hanging="100"/>
      </w:pPr>
      <w:rPr>
        <w:rFonts w:hint="default"/>
      </w:rPr>
    </w:lvl>
    <w:lvl w:ilvl="5" w:tplc="CC080298">
      <w:numFmt w:val="bullet"/>
      <w:lvlText w:val="•"/>
      <w:lvlJc w:val="left"/>
      <w:pPr>
        <w:ind w:left="868" w:hanging="100"/>
      </w:pPr>
      <w:rPr>
        <w:rFonts w:hint="default"/>
      </w:rPr>
    </w:lvl>
    <w:lvl w:ilvl="6" w:tplc="FC8C2122">
      <w:numFmt w:val="bullet"/>
      <w:lvlText w:val="•"/>
      <w:lvlJc w:val="left"/>
      <w:pPr>
        <w:ind w:left="1010" w:hanging="100"/>
      </w:pPr>
      <w:rPr>
        <w:rFonts w:hint="default"/>
      </w:rPr>
    </w:lvl>
    <w:lvl w:ilvl="7" w:tplc="9D2415FA">
      <w:numFmt w:val="bullet"/>
      <w:lvlText w:val="•"/>
      <w:lvlJc w:val="left"/>
      <w:pPr>
        <w:ind w:left="1151" w:hanging="100"/>
      </w:pPr>
      <w:rPr>
        <w:rFonts w:hint="default"/>
      </w:rPr>
    </w:lvl>
    <w:lvl w:ilvl="8" w:tplc="649E8E26">
      <w:numFmt w:val="bullet"/>
      <w:lvlText w:val="•"/>
      <w:lvlJc w:val="left"/>
      <w:pPr>
        <w:ind w:left="1293" w:hanging="100"/>
      </w:pPr>
      <w:rPr>
        <w:rFonts w:hint="default"/>
      </w:rPr>
    </w:lvl>
  </w:abstractNum>
  <w:abstractNum w:abstractNumId="1466" w15:restartNumberingAfterBreak="0">
    <w:nsid w:val="5BAE5991"/>
    <w:multiLevelType w:val="hybridMultilevel"/>
    <w:tmpl w:val="912CBAF0"/>
    <w:lvl w:ilvl="0" w:tplc="05BC4DBE">
      <w:numFmt w:val="bullet"/>
      <w:lvlText w:val=""/>
      <w:lvlJc w:val="left"/>
      <w:pPr>
        <w:ind w:left="156" w:hanging="100"/>
      </w:pPr>
      <w:rPr>
        <w:rFonts w:ascii="Symbol" w:eastAsia="Symbol" w:hAnsi="Symbol" w:cs="Symbol" w:hint="default"/>
        <w:color w:val="231F20"/>
        <w:w w:val="100"/>
        <w:sz w:val="14"/>
        <w:szCs w:val="14"/>
      </w:rPr>
    </w:lvl>
    <w:lvl w:ilvl="1" w:tplc="DF647D6A">
      <w:numFmt w:val="bullet"/>
      <w:lvlText w:val="•"/>
      <w:lvlJc w:val="left"/>
      <w:pPr>
        <w:ind w:left="398" w:hanging="100"/>
      </w:pPr>
      <w:rPr>
        <w:rFonts w:hint="default"/>
      </w:rPr>
    </w:lvl>
    <w:lvl w:ilvl="2" w:tplc="D94007AC">
      <w:numFmt w:val="bullet"/>
      <w:lvlText w:val="•"/>
      <w:lvlJc w:val="left"/>
      <w:pPr>
        <w:ind w:left="636" w:hanging="100"/>
      </w:pPr>
      <w:rPr>
        <w:rFonts w:hint="default"/>
      </w:rPr>
    </w:lvl>
    <w:lvl w:ilvl="3" w:tplc="B700101E">
      <w:numFmt w:val="bullet"/>
      <w:lvlText w:val="•"/>
      <w:lvlJc w:val="left"/>
      <w:pPr>
        <w:ind w:left="874" w:hanging="100"/>
      </w:pPr>
      <w:rPr>
        <w:rFonts w:hint="default"/>
      </w:rPr>
    </w:lvl>
    <w:lvl w:ilvl="4" w:tplc="A470DDA0">
      <w:numFmt w:val="bullet"/>
      <w:lvlText w:val="•"/>
      <w:lvlJc w:val="left"/>
      <w:pPr>
        <w:ind w:left="1112" w:hanging="100"/>
      </w:pPr>
      <w:rPr>
        <w:rFonts w:hint="default"/>
      </w:rPr>
    </w:lvl>
    <w:lvl w:ilvl="5" w:tplc="DAF803BA">
      <w:numFmt w:val="bullet"/>
      <w:lvlText w:val="•"/>
      <w:lvlJc w:val="left"/>
      <w:pPr>
        <w:ind w:left="1350" w:hanging="100"/>
      </w:pPr>
      <w:rPr>
        <w:rFonts w:hint="default"/>
      </w:rPr>
    </w:lvl>
    <w:lvl w:ilvl="6" w:tplc="5D227FB4">
      <w:numFmt w:val="bullet"/>
      <w:lvlText w:val="•"/>
      <w:lvlJc w:val="left"/>
      <w:pPr>
        <w:ind w:left="1588" w:hanging="100"/>
      </w:pPr>
      <w:rPr>
        <w:rFonts w:hint="default"/>
      </w:rPr>
    </w:lvl>
    <w:lvl w:ilvl="7" w:tplc="BF526528">
      <w:numFmt w:val="bullet"/>
      <w:lvlText w:val="•"/>
      <w:lvlJc w:val="left"/>
      <w:pPr>
        <w:ind w:left="1826" w:hanging="100"/>
      </w:pPr>
      <w:rPr>
        <w:rFonts w:hint="default"/>
      </w:rPr>
    </w:lvl>
    <w:lvl w:ilvl="8" w:tplc="0798B692">
      <w:numFmt w:val="bullet"/>
      <w:lvlText w:val="•"/>
      <w:lvlJc w:val="left"/>
      <w:pPr>
        <w:ind w:left="2064" w:hanging="100"/>
      </w:pPr>
      <w:rPr>
        <w:rFonts w:hint="default"/>
      </w:rPr>
    </w:lvl>
  </w:abstractNum>
  <w:abstractNum w:abstractNumId="1467" w15:restartNumberingAfterBreak="0">
    <w:nsid w:val="5BB74B37"/>
    <w:multiLevelType w:val="hybridMultilevel"/>
    <w:tmpl w:val="86B09D6E"/>
    <w:lvl w:ilvl="0" w:tplc="25C20FD4">
      <w:numFmt w:val="bullet"/>
      <w:lvlText w:val=""/>
      <w:lvlJc w:val="left"/>
      <w:pPr>
        <w:ind w:left="156" w:hanging="100"/>
      </w:pPr>
      <w:rPr>
        <w:rFonts w:ascii="Symbol" w:eastAsia="Symbol" w:hAnsi="Symbol" w:cs="Symbol" w:hint="default"/>
        <w:color w:val="231F20"/>
        <w:w w:val="100"/>
        <w:sz w:val="14"/>
        <w:szCs w:val="14"/>
      </w:rPr>
    </w:lvl>
    <w:lvl w:ilvl="1" w:tplc="780E2C4E">
      <w:numFmt w:val="bullet"/>
      <w:lvlText w:val="•"/>
      <w:lvlJc w:val="left"/>
      <w:pPr>
        <w:ind w:left="426" w:hanging="100"/>
      </w:pPr>
      <w:rPr>
        <w:rFonts w:hint="default"/>
      </w:rPr>
    </w:lvl>
    <w:lvl w:ilvl="2" w:tplc="19704CF0">
      <w:numFmt w:val="bullet"/>
      <w:lvlText w:val="•"/>
      <w:lvlJc w:val="left"/>
      <w:pPr>
        <w:ind w:left="692" w:hanging="100"/>
      </w:pPr>
      <w:rPr>
        <w:rFonts w:hint="default"/>
      </w:rPr>
    </w:lvl>
    <w:lvl w:ilvl="3" w:tplc="24FA058C">
      <w:numFmt w:val="bullet"/>
      <w:lvlText w:val="•"/>
      <w:lvlJc w:val="left"/>
      <w:pPr>
        <w:ind w:left="959" w:hanging="100"/>
      </w:pPr>
      <w:rPr>
        <w:rFonts w:hint="default"/>
      </w:rPr>
    </w:lvl>
    <w:lvl w:ilvl="4" w:tplc="21A63A50">
      <w:numFmt w:val="bullet"/>
      <w:lvlText w:val="•"/>
      <w:lvlJc w:val="left"/>
      <w:pPr>
        <w:ind w:left="1225" w:hanging="100"/>
      </w:pPr>
      <w:rPr>
        <w:rFonts w:hint="default"/>
      </w:rPr>
    </w:lvl>
    <w:lvl w:ilvl="5" w:tplc="69A68262">
      <w:numFmt w:val="bullet"/>
      <w:lvlText w:val="•"/>
      <w:lvlJc w:val="left"/>
      <w:pPr>
        <w:ind w:left="1492" w:hanging="100"/>
      </w:pPr>
      <w:rPr>
        <w:rFonts w:hint="default"/>
      </w:rPr>
    </w:lvl>
    <w:lvl w:ilvl="6" w:tplc="88A6C804">
      <w:numFmt w:val="bullet"/>
      <w:lvlText w:val="•"/>
      <w:lvlJc w:val="left"/>
      <w:pPr>
        <w:ind w:left="1758" w:hanging="100"/>
      </w:pPr>
      <w:rPr>
        <w:rFonts w:hint="default"/>
      </w:rPr>
    </w:lvl>
    <w:lvl w:ilvl="7" w:tplc="D0AE451A">
      <w:numFmt w:val="bullet"/>
      <w:lvlText w:val="•"/>
      <w:lvlJc w:val="left"/>
      <w:pPr>
        <w:ind w:left="2024" w:hanging="100"/>
      </w:pPr>
      <w:rPr>
        <w:rFonts w:hint="default"/>
      </w:rPr>
    </w:lvl>
    <w:lvl w:ilvl="8" w:tplc="424CB58C">
      <w:numFmt w:val="bullet"/>
      <w:lvlText w:val="•"/>
      <w:lvlJc w:val="left"/>
      <w:pPr>
        <w:ind w:left="2291" w:hanging="100"/>
      </w:pPr>
      <w:rPr>
        <w:rFonts w:hint="default"/>
      </w:rPr>
    </w:lvl>
  </w:abstractNum>
  <w:abstractNum w:abstractNumId="1468" w15:restartNumberingAfterBreak="0">
    <w:nsid w:val="5BB75355"/>
    <w:multiLevelType w:val="hybridMultilevel"/>
    <w:tmpl w:val="684236A2"/>
    <w:lvl w:ilvl="0" w:tplc="6816A4A4">
      <w:numFmt w:val="bullet"/>
      <w:lvlText w:val=""/>
      <w:lvlJc w:val="left"/>
      <w:pPr>
        <w:ind w:left="157" w:hanging="100"/>
      </w:pPr>
      <w:rPr>
        <w:rFonts w:ascii="Symbol" w:eastAsia="Symbol" w:hAnsi="Symbol" w:cs="Symbol" w:hint="default"/>
        <w:color w:val="231F20"/>
        <w:w w:val="100"/>
        <w:sz w:val="14"/>
        <w:szCs w:val="14"/>
      </w:rPr>
    </w:lvl>
    <w:lvl w:ilvl="1" w:tplc="B9AC6BB6">
      <w:numFmt w:val="bullet"/>
      <w:lvlText w:val="•"/>
      <w:lvlJc w:val="left"/>
      <w:pPr>
        <w:ind w:left="398" w:hanging="100"/>
      </w:pPr>
      <w:rPr>
        <w:rFonts w:hint="default"/>
      </w:rPr>
    </w:lvl>
    <w:lvl w:ilvl="2" w:tplc="9B4E8360">
      <w:numFmt w:val="bullet"/>
      <w:lvlText w:val="•"/>
      <w:lvlJc w:val="left"/>
      <w:pPr>
        <w:ind w:left="636" w:hanging="100"/>
      </w:pPr>
      <w:rPr>
        <w:rFonts w:hint="default"/>
      </w:rPr>
    </w:lvl>
    <w:lvl w:ilvl="3" w:tplc="9AFE6C3E">
      <w:numFmt w:val="bullet"/>
      <w:lvlText w:val="•"/>
      <w:lvlJc w:val="left"/>
      <w:pPr>
        <w:ind w:left="874" w:hanging="100"/>
      </w:pPr>
      <w:rPr>
        <w:rFonts w:hint="default"/>
      </w:rPr>
    </w:lvl>
    <w:lvl w:ilvl="4" w:tplc="270A340E">
      <w:numFmt w:val="bullet"/>
      <w:lvlText w:val="•"/>
      <w:lvlJc w:val="left"/>
      <w:pPr>
        <w:ind w:left="1112" w:hanging="100"/>
      </w:pPr>
      <w:rPr>
        <w:rFonts w:hint="default"/>
      </w:rPr>
    </w:lvl>
    <w:lvl w:ilvl="5" w:tplc="4C9A2380">
      <w:numFmt w:val="bullet"/>
      <w:lvlText w:val="•"/>
      <w:lvlJc w:val="left"/>
      <w:pPr>
        <w:ind w:left="1350" w:hanging="100"/>
      </w:pPr>
      <w:rPr>
        <w:rFonts w:hint="default"/>
      </w:rPr>
    </w:lvl>
    <w:lvl w:ilvl="6" w:tplc="50BCBE38">
      <w:numFmt w:val="bullet"/>
      <w:lvlText w:val="•"/>
      <w:lvlJc w:val="left"/>
      <w:pPr>
        <w:ind w:left="1588" w:hanging="100"/>
      </w:pPr>
      <w:rPr>
        <w:rFonts w:hint="default"/>
      </w:rPr>
    </w:lvl>
    <w:lvl w:ilvl="7" w:tplc="03425F86">
      <w:numFmt w:val="bullet"/>
      <w:lvlText w:val="•"/>
      <w:lvlJc w:val="left"/>
      <w:pPr>
        <w:ind w:left="1826" w:hanging="100"/>
      </w:pPr>
      <w:rPr>
        <w:rFonts w:hint="default"/>
      </w:rPr>
    </w:lvl>
    <w:lvl w:ilvl="8" w:tplc="0B7AC4FA">
      <w:numFmt w:val="bullet"/>
      <w:lvlText w:val="•"/>
      <w:lvlJc w:val="left"/>
      <w:pPr>
        <w:ind w:left="2064" w:hanging="100"/>
      </w:pPr>
      <w:rPr>
        <w:rFonts w:hint="default"/>
      </w:rPr>
    </w:lvl>
  </w:abstractNum>
  <w:abstractNum w:abstractNumId="1469" w15:restartNumberingAfterBreak="0">
    <w:nsid w:val="5BC71BCC"/>
    <w:multiLevelType w:val="hybridMultilevel"/>
    <w:tmpl w:val="32CE9202"/>
    <w:lvl w:ilvl="0" w:tplc="DEC4AF3E">
      <w:numFmt w:val="bullet"/>
      <w:lvlText w:val=""/>
      <w:lvlJc w:val="left"/>
      <w:pPr>
        <w:ind w:left="156" w:hanging="100"/>
      </w:pPr>
      <w:rPr>
        <w:rFonts w:ascii="Symbol" w:eastAsia="Symbol" w:hAnsi="Symbol" w:cs="Symbol" w:hint="default"/>
        <w:color w:val="231F20"/>
        <w:w w:val="100"/>
        <w:sz w:val="14"/>
        <w:szCs w:val="14"/>
      </w:rPr>
    </w:lvl>
    <w:lvl w:ilvl="1" w:tplc="91805F28">
      <w:numFmt w:val="bullet"/>
      <w:lvlText w:val="•"/>
      <w:lvlJc w:val="left"/>
      <w:pPr>
        <w:ind w:left="301" w:hanging="100"/>
      </w:pPr>
      <w:rPr>
        <w:rFonts w:hint="default"/>
      </w:rPr>
    </w:lvl>
    <w:lvl w:ilvl="2" w:tplc="0E72A124">
      <w:numFmt w:val="bullet"/>
      <w:lvlText w:val="•"/>
      <w:lvlJc w:val="left"/>
      <w:pPr>
        <w:ind w:left="443" w:hanging="100"/>
      </w:pPr>
      <w:rPr>
        <w:rFonts w:hint="default"/>
      </w:rPr>
    </w:lvl>
    <w:lvl w:ilvl="3" w:tplc="720E02DA">
      <w:numFmt w:val="bullet"/>
      <w:lvlText w:val="•"/>
      <w:lvlJc w:val="left"/>
      <w:pPr>
        <w:ind w:left="585" w:hanging="100"/>
      </w:pPr>
      <w:rPr>
        <w:rFonts w:hint="default"/>
      </w:rPr>
    </w:lvl>
    <w:lvl w:ilvl="4" w:tplc="A366E7B0">
      <w:numFmt w:val="bullet"/>
      <w:lvlText w:val="•"/>
      <w:lvlJc w:val="left"/>
      <w:pPr>
        <w:ind w:left="726" w:hanging="100"/>
      </w:pPr>
      <w:rPr>
        <w:rFonts w:hint="default"/>
      </w:rPr>
    </w:lvl>
    <w:lvl w:ilvl="5" w:tplc="EBC6CCBE">
      <w:numFmt w:val="bullet"/>
      <w:lvlText w:val="•"/>
      <w:lvlJc w:val="left"/>
      <w:pPr>
        <w:ind w:left="868" w:hanging="100"/>
      </w:pPr>
      <w:rPr>
        <w:rFonts w:hint="default"/>
      </w:rPr>
    </w:lvl>
    <w:lvl w:ilvl="6" w:tplc="2E9EDE98">
      <w:numFmt w:val="bullet"/>
      <w:lvlText w:val="•"/>
      <w:lvlJc w:val="left"/>
      <w:pPr>
        <w:ind w:left="1010" w:hanging="100"/>
      </w:pPr>
      <w:rPr>
        <w:rFonts w:hint="default"/>
      </w:rPr>
    </w:lvl>
    <w:lvl w:ilvl="7" w:tplc="1704721A">
      <w:numFmt w:val="bullet"/>
      <w:lvlText w:val="•"/>
      <w:lvlJc w:val="left"/>
      <w:pPr>
        <w:ind w:left="1151" w:hanging="100"/>
      </w:pPr>
      <w:rPr>
        <w:rFonts w:hint="default"/>
      </w:rPr>
    </w:lvl>
    <w:lvl w:ilvl="8" w:tplc="AB0ED60C">
      <w:numFmt w:val="bullet"/>
      <w:lvlText w:val="•"/>
      <w:lvlJc w:val="left"/>
      <w:pPr>
        <w:ind w:left="1293" w:hanging="100"/>
      </w:pPr>
      <w:rPr>
        <w:rFonts w:hint="default"/>
      </w:rPr>
    </w:lvl>
  </w:abstractNum>
  <w:abstractNum w:abstractNumId="1470" w15:restartNumberingAfterBreak="0">
    <w:nsid w:val="5BD8358D"/>
    <w:multiLevelType w:val="hybridMultilevel"/>
    <w:tmpl w:val="33DA7F4A"/>
    <w:lvl w:ilvl="0" w:tplc="ACF60D0A">
      <w:numFmt w:val="bullet"/>
      <w:lvlText w:val=""/>
      <w:lvlJc w:val="left"/>
      <w:pPr>
        <w:ind w:left="157" w:hanging="100"/>
      </w:pPr>
      <w:rPr>
        <w:rFonts w:ascii="Symbol" w:eastAsia="Symbol" w:hAnsi="Symbol" w:cs="Symbol" w:hint="default"/>
        <w:color w:val="231F20"/>
        <w:w w:val="100"/>
        <w:sz w:val="14"/>
        <w:szCs w:val="14"/>
      </w:rPr>
    </w:lvl>
    <w:lvl w:ilvl="1" w:tplc="BCF246F2">
      <w:numFmt w:val="bullet"/>
      <w:lvlText w:val="•"/>
      <w:lvlJc w:val="left"/>
      <w:pPr>
        <w:ind w:left="369" w:hanging="100"/>
      </w:pPr>
      <w:rPr>
        <w:rFonts w:hint="default"/>
      </w:rPr>
    </w:lvl>
    <w:lvl w:ilvl="2" w:tplc="401CF750">
      <w:numFmt w:val="bullet"/>
      <w:lvlText w:val="•"/>
      <w:lvlJc w:val="left"/>
      <w:pPr>
        <w:ind w:left="579" w:hanging="100"/>
      </w:pPr>
      <w:rPr>
        <w:rFonts w:hint="default"/>
      </w:rPr>
    </w:lvl>
    <w:lvl w:ilvl="3" w:tplc="6BB6B2FA">
      <w:numFmt w:val="bullet"/>
      <w:lvlText w:val="•"/>
      <w:lvlJc w:val="left"/>
      <w:pPr>
        <w:ind w:left="789" w:hanging="100"/>
      </w:pPr>
      <w:rPr>
        <w:rFonts w:hint="default"/>
      </w:rPr>
    </w:lvl>
    <w:lvl w:ilvl="4" w:tplc="91E801F2">
      <w:numFmt w:val="bullet"/>
      <w:lvlText w:val="•"/>
      <w:lvlJc w:val="left"/>
      <w:pPr>
        <w:ind w:left="998" w:hanging="100"/>
      </w:pPr>
      <w:rPr>
        <w:rFonts w:hint="default"/>
      </w:rPr>
    </w:lvl>
    <w:lvl w:ilvl="5" w:tplc="1ED09524">
      <w:numFmt w:val="bullet"/>
      <w:lvlText w:val="•"/>
      <w:lvlJc w:val="left"/>
      <w:pPr>
        <w:ind w:left="1208" w:hanging="100"/>
      </w:pPr>
      <w:rPr>
        <w:rFonts w:hint="default"/>
      </w:rPr>
    </w:lvl>
    <w:lvl w:ilvl="6" w:tplc="2396BEBE">
      <w:numFmt w:val="bullet"/>
      <w:lvlText w:val="•"/>
      <w:lvlJc w:val="left"/>
      <w:pPr>
        <w:ind w:left="1418" w:hanging="100"/>
      </w:pPr>
      <w:rPr>
        <w:rFonts w:hint="default"/>
      </w:rPr>
    </w:lvl>
    <w:lvl w:ilvl="7" w:tplc="F3B2A4B2">
      <w:numFmt w:val="bullet"/>
      <w:lvlText w:val="•"/>
      <w:lvlJc w:val="left"/>
      <w:pPr>
        <w:ind w:left="1627" w:hanging="100"/>
      </w:pPr>
      <w:rPr>
        <w:rFonts w:hint="default"/>
      </w:rPr>
    </w:lvl>
    <w:lvl w:ilvl="8" w:tplc="DE668E50">
      <w:numFmt w:val="bullet"/>
      <w:lvlText w:val="•"/>
      <w:lvlJc w:val="left"/>
      <w:pPr>
        <w:ind w:left="1837" w:hanging="100"/>
      </w:pPr>
      <w:rPr>
        <w:rFonts w:hint="default"/>
      </w:rPr>
    </w:lvl>
  </w:abstractNum>
  <w:abstractNum w:abstractNumId="1471" w15:restartNumberingAfterBreak="0">
    <w:nsid w:val="5BEE093B"/>
    <w:multiLevelType w:val="hybridMultilevel"/>
    <w:tmpl w:val="86E80B76"/>
    <w:lvl w:ilvl="0" w:tplc="221000EA">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82EABFB6">
      <w:numFmt w:val="bullet"/>
      <w:lvlText w:val="•"/>
      <w:lvlJc w:val="left"/>
      <w:pPr>
        <w:ind w:left="426" w:hanging="105"/>
      </w:pPr>
      <w:rPr>
        <w:rFonts w:hint="default"/>
      </w:rPr>
    </w:lvl>
    <w:lvl w:ilvl="2" w:tplc="327C38F8">
      <w:numFmt w:val="bullet"/>
      <w:lvlText w:val="•"/>
      <w:lvlJc w:val="left"/>
      <w:pPr>
        <w:ind w:left="692" w:hanging="105"/>
      </w:pPr>
      <w:rPr>
        <w:rFonts w:hint="default"/>
      </w:rPr>
    </w:lvl>
    <w:lvl w:ilvl="3" w:tplc="D91C941E">
      <w:numFmt w:val="bullet"/>
      <w:lvlText w:val="•"/>
      <w:lvlJc w:val="left"/>
      <w:pPr>
        <w:ind w:left="959" w:hanging="105"/>
      </w:pPr>
      <w:rPr>
        <w:rFonts w:hint="default"/>
      </w:rPr>
    </w:lvl>
    <w:lvl w:ilvl="4" w:tplc="B5AC2D84">
      <w:numFmt w:val="bullet"/>
      <w:lvlText w:val="•"/>
      <w:lvlJc w:val="left"/>
      <w:pPr>
        <w:ind w:left="1225" w:hanging="105"/>
      </w:pPr>
      <w:rPr>
        <w:rFonts w:hint="default"/>
      </w:rPr>
    </w:lvl>
    <w:lvl w:ilvl="5" w:tplc="7E969DFE">
      <w:numFmt w:val="bullet"/>
      <w:lvlText w:val="•"/>
      <w:lvlJc w:val="left"/>
      <w:pPr>
        <w:ind w:left="1492" w:hanging="105"/>
      </w:pPr>
      <w:rPr>
        <w:rFonts w:hint="default"/>
      </w:rPr>
    </w:lvl>
    <w:lvl w:ilvl="6" w:tplc="BDDC1504">
      <w:numFmt w:val="bullet"/>
      <w:lvlText w:val="•"/>
      <w:lvlJc w:val="left"/>
      <w:pPr>
        <w:ind w:left="1758" w:hanging="105"/>
      </w:pPr>
      <w:rPr>
        <w:rFonts w:hint="default"/>
      </w:rPr>
    </w:lvl>
    <w:lvl w:ilvl="7" w:tplc="7F52F9CA">
      <w:numFmt w:val="bullet"/>
      <w:lvlText w:val="•"/>
      <w:lvlJc w:val="left"/>
      <w:pPr>
        <w:ind w:left="2024" w:hanging="105"/>
      </w:pPr>
      <w:rPr>
        <w:rFonts w:hint="default"/>
      </w:rPr>
    </w:lvl>
    <w:lvl w:ilvl="8" w:tplc="5270F216">
      <w:numFmt w:val="bullet"/>
      <w:lvlText w:val="•"/>
      <w:lvlJc w:val="left"/>
      <w:pPr>
        <w:ind w:left="2291" w:hanging="105"/>
      </w:pPr>
      <w:rPr>
        <w:rFonts w:hint="default"/>
      </w:rPr>
    </w:lvl>
  </w:abstractNum>
  <w:abstractNum w:abstractNumId="1472" w15:restartNumberingAfterBreak="0">
    <w:nsid w:val="5BFD416B"/>
    <w:multiLevelType w:val="hybridMultilevel"/>
    <w:tmpl w:val="DC52E268"/>
    <w:lvl w:ilvl="0" w:tplc="67EAD5BA">
      <w:numFmt w:val="bullet"/>
      <w:lvlText w:val=""/>
      <w:lvlJc w:val="left"/>
      <w:pPr>
        <w:ind w:left="156" w:hanging="100"/>
      </w:pPr>
      <w:rPr>
        <w:rFonts w:ascii="Symbol" w:eastAsia="Symbol" w:hAnsi="Symbol" w:cs="Symbol" w:hint="default"/>
        <w:color w:val="231F20"/>
        <w:w w:val="100"/>
        <w:sz w:val="14"/>
        <w:szCs w:val="14"/>
      </w:rPr>
    </w:lvl>
    <w:lvl w:ilvl="1" w:tplc="DDEADB1C">
      <w:numFmt w:val="bullet"/>
      <w:lvlText w:val="•"/>
      <w:lvlJc w:val="left"/>
      <w:pPr>
        <w:ind w:left="398" w:hanging="100"/>
      </w:pPr>
      <w:rPr>
        <w:rFonts w:hint="default"/>
      </w:rPr>
    </w:lvl>
    <w:lvl w:ilvl="2" w:tplc="45C4BCBA">
      <w:numFmt w:val="bullet"/>
      <w:lvlText w:val="•"/>
      <w:lvlJc w:val="left"/>
      <w:pPr>
        <w:ind w:left="636" w:hanging="100"/>
      </w:pPr>
      <w:rPr>
        <w:rFonts w:hint="default"/>
      </w:rPr>
    </w:lvl>
    <w:lvl w:ilvl="3" w:tplc="D7544FEA">
      <w:numFmt w:val="bullet"/>
      <w:lvlText w:val="•"/>
      <w:lvlJc w:val="left"/>
      <w:pPr>
        <w:ind w:left="874" w:hanging="100"/>
      </w:pPr>
      <w:rPr>
        <w:rFonts w:hint="default"/>
      </w:rPr>
    </w:lvl>
    <w:lvl w:ilvl="4" w:tplc="18F6FBEA">
      <w:numFmt w:val="bullet"/>
      <w:lvlText w:val="•"/>
      <w:lvlJc w:val="left"/>
      <w:pPr>
        <w:ind w:left="1112" w:hanging="100"/>
      </w:pPr>
      <w:rPr>
        <w:rFonts w:hint="default"/>
      </w:rPr>
    </w:lvl>
    <w:lvl w:ilvl="5" w:tplc="018A6416">
      <w:numFmt w:val="bullet"/>
      <w:lvlText w:val="•"/>
      <w:lvlJc w:val="left"/>
      <w:pPr>
        <w:ind w:left="1350" w:hanging="100"/>
      </w:pPr>
      <w:rPr>
        <w:rFonts w:hint="default"/>
      </w:rPr>
    </w:lvl>
    <w:lvl w:ilvl="6" w:tplc="22186170">
      <w:numFmt w:val="bullet"/>
      <w:lvlText w:val="•"/>
      <w:lvlJc w:val="left"/>
      <w:pPr>
        <w:ind w:left="1588" w:hanging="100"/>
      </w:pPr>
      <w:rPr>
        <w:rFonts w:hint="default"/>
      </w:rPr>
    </w:lvl>
    <w:lvl w:ilvl="7" w:tplc="8A8CA88A">
      <w:numFmt w:val="bullet"/>
      <w:lvlText w:val="•"/>
      <w:lvlJc w:val="left"/>
      <w:pPr>
        <w:ind w:left="1826" w:hanging="100"/>
      </w:pPr>
      <w:rPr>
        <w:rFonts w:hint="default"/>
      </w:rPr>
    </w:lvl>
    <w:lvl w:ilvl="8" w:tplc="2EB40274">
      <w:numFmt w:val="bullet"/>
      <w:lvlText w:val="•"/>
      <w:lvlJc w:val="left"/>
      <w:pPr>
        <w:ind w:left="2064" w:hanging="100"/>
      </w:pPr>
      <w:rPr>
        <w:rFonts w:hint="default"/>
      </w:rPr>
    </w:lvl>
  </w:abstractNum>
  <w:abstractNum w:abstractNumId="1473" w15:restartNumberingAfterBreak="0">
    <w:nsid w:val="5BFE74CB"/>
    <w:multiLevelType w:val="hybridMultilevel"/>
    <w:tmpl w:val="AE26752E"/>
    <w:lvl w:ilvl="0" w:tplc="04BCE294">
      <w:numFmt w:val="bullet"/>
      <w:lvlText w:val=""/>
      <w:lvlJc w:val="left"/>
      <w:pPr>
        <w:ind w:left="156" w:hanging="100"/>
      </w:pPr>
      <w:rPr>
        <w:rFonts w:ascii="Symbol" w:eastAsia="Symbol" w:hAnsi="Symbol" w:cs="Symbol" w:hint="default"/>
        <w:color w:val="231F20"/>
        <w:w w:val="100"/>
        <w:sz w:val="14"/>
        <w:szCs w:val="14"/>
      </w:rPr>
    </w:lvl>
    <w:lvl w:ilvl="1" w:tplc="0B8AFE04">
      <w:numFmt w:val="bullet"/>
      <w:lvlText w:val="•"/>
      <w:lvlJc w:val="left"/>
      <w:pPr>
        <w:ind w:left="398" w:hanging="100"/>
      </w:pPr>
      <w:rPr>
        <w:rFonts w:hint="default"/>
      </w:rPr>
    </w:lvl>
    <w:lvl w:ilvl="2" w:tplc="777AEEF8">
      <w:numFmt w:val="bullet"/>
      <w:lvlText w:val="•"/>
      <w:lvlJc w:val="left"/>
      <w:pPr>
        <w:ind w:left="636" w:hanging="100"/>
      </w:pPr>
      <w:rPr>
        <w:rFonts w:hint="default"/>
      </w:rPr>
    </w:lvl>
    <w:lvl w:ilvl="3" w:tplc="4240FDD4">
      <w:numFmt w:val="bullet"/>
      <w:lvlText w:val="•"/>
      <w:lvlJc w:val="left"/>
      <w:pPr>
        <w:ind w:left="874" w:hanging="100"/>
      </w:pPr>
      <w:rPr>
        <w:rFonts w:hint="default"/>
      </w:rPr>
    </w:lvl>
    <w:lvl w:ilvl="4" w:tplc="45AC5E5C">
      <w:numFmt w:val="bullet"/>
      <w:lvlText w:val="•"/>
      <w:lvlJc w:val="left"/>
      <w:pPr>
        <w:ind w:left="1112" w:hanging="100"/>
      </w:pPr>
      <w:rPr>
        <w:rFonts w:hint="default"/>
      </w:rPr>
    </w:lvl>
    <w:lvl w:ilvl="5" w:tplc="6BF02FD4">
      <w:numFmt w:val="bullet"/>
      <w:lvlText w:val="•"/>
      <w:lvlJc w:val="left"/>
      <w:pPr>
        <w:ind w:left="1350" w:hanging="100"/>
      </w:pPr>
      <w:rPr>
        <w:rFonts w:hint="default"/>
      </w:rPr>
    </w:lvl>
    <w:lvl w:ilvl="6" w:tplc="37BEC6CA">
      <w:numFmt w:val="bullet"/>
      <w:lvlText w:val="•"/>
      <w:lvlJc w:val="left"/>
      <w:pPr>
        <w:ind w:left="1588" w:hanging="100"/>
      </w:pPr>
      <w:rPr>
        <w:rFonts w:hint="default"/>
      </w:rPr>
    </w:lvl>
    <w:lvl w:ilvl="7" w:tplc="EEF4D112">
      <w:numFmt w:val="bullet"/>
      <w:lvlText w:val="•"/>
      <w:lvlJc w:val="left"/>
      <w:pPr>
        <w:ind w:left="1826" w:hanging="100"/>
      </w:pPr>
      <w:rPr>
        <w:rFonts w:hint="default"/>
      </w:rPr>
    </w:lvl>
    <w:lvl w:ilvl="8" w:tplc="2222ED22">
      <w:numFmt w:val="bullet"/>
      <w:lvlText w:val="•"/>
      <w:lvlJc w:val="left"/>
      <w:pPr>
        <w:ind w:left="2064" w:hanging="100"/>
      </w:pPr>
      <w:rPr>
        <w:rFonts w:hint="default"/>
      </w:rPr>
    </w:lvl>
  </w:abstractNum>
  <w:abstractNum w:abstractNumId="1474" w15:restartNumberingAfterBreak="0">
    <w:nsid w:val="5C05788F"/>
    <w:multiLevelType w:val="hybridMultilevel"/>
    <w:tmpl w:val="C2D2718A"/>
    <w:lvl w:ilvl="0" w:tplc="2D22F5CA">
      <w:numFmt w:val="bullet"/>
      <w:lvlText w:val=""/>
      <w:lvlJc w:val="left"/>
      <w:pPr>
        <w:ind w:left="157" w:hanging="100"/>
      </w:pPr>
      <w:rPr>
        <w:rFonts w:ascii="Symbol" w:eastAsia="Symbol" w:hAnsi="Symbol" w:cs="Symbol" w:hint="default"/>
        <w:color w:val="231F20"/>
        <w:w w:val="100"/>
        <w:sz w:val="14"/>
        <w:szCs w:val="14"/>
      </w:rPr>
    </w:lvl>
    <w:lvl w:ilvl="1" w:tplc="F10CFD96">
      <w:numFmt w:val="bullet"/>
      <w:lvlText w:val="•"/>
      <w:lvlJc w:val="left"/>
      <w:pPr>
        <w:ind w:left="301" w:hanging="100"/>
      </w:pPr>
      <w:rPr>
        <w:rFonts w:hint="default"/>
      </w:rPr>
    </w:lvl>
    <w:lvl w:ilvl="2" w:tplc="2C32BE7A">
      <w:numFmt w:val="bullet"/>
      <w:lvlText w:val="•"/>
      <w:lvlJc w:val="left"/>
      <w:pPr>
        <w:ind w:left="443" w:hanging="100"/>
      </w:pPr>
      <w:rPr>
        <w:rFonts w:hint="default"/>
      </w:rPr>
    </w:lvl>
    <w:lvl w:ilvl="3" w:tplc="D0780058">
      <w:numFmt w:val="bullet"/>
      <w:lvlText w:val="•"/>
      <w:lvlJc w:val="left"/>
      <w:pPr>
        <w:ind w:left="585" w:hanging="100"/>
      </w:pPr>
      <w:rPr>
        <w:rFonts w:hint="default"/>
      </w:rPr>
    </w:lvl>
    <w:lvl w:ilvl="4" w:tplc="8BAA8F92">
      <w:numFmt w:val="bullet"/>
      <w:lvlText w:val="•"/>
      <w:lvlJc w:val="left"/>
      <w:pPr>
        <w:ind w:left="726" w:hanging="100"/>
      </w:pPr>
      <w:rPr>
        <w:rFonts w:hint="default"/>
      </w:rPr>
    </w:lvl>
    <w:lvl w:ilvl="5" w:tplc="4942F788">
      <w:numFmt w:val="bullet"/>
      <w:lvlText w:val="•"/>
      <w:lvlJc w:val="left"/>
      <w:pPr>
        <w:ind w:left="868" w:hanging="100"/>
      </w:pPr>
      <w:rPr>
        <w:rFonts w:hint="default"/>
      </w:rPr>
    </w:lvl>
    <w:lvl w:ilvl="6" w:tplc="E6B42200">
      <w:numFmt w:val="bullet"/>
      <w:lvlText w:val="•"/>
      <w:lvlJc w:val="left"/>
      <w:pPr>
        <w:ind w:left="1010" w:hanging="100"/>
      </w:pPr>
      <w:rPr>
        <w:rFonts w:hint="default"/>
      </w:rPr>
    </w:lvl>
    <w:lvl w:ilvl="7" w:tplc="A8C666F2">
      <w:numFmt w:val="bullet"/>
      <w:lvlText w:val="•"/>
      <w:lvlJc w:val="left"/>
      <w:pPr>
        <w:ind w:left="1151" w:hanging="100"/>
      </w:pPr>
      <w:rPr>
        <w:rFonts w:hint="default"/>
      </w:rPr>
    </w:lvl>
    <w:lvl w:ilvl="8" w:tplc="DD2201A0">
      <w:numFmt w:val="bullet"/>
      <w:lvlText w:val="•"/>
      <w:lvlJc w:val="left"/>
      <w:pPr>
        <w:ind w:left="1293" w:hanging="100"/>
      </w:pPr>
      <w:rPr>
        <w:rFonts w:hint="default"/>
      </w:rPr>
    </w:lvl>
  </w:abstractNum>
  <w:abstractNum w:abstractNumId="1475" w15:restartNumberingAfterBreak="0">
    <w:nsid w:val="5C073DC6"/>
    <w:multiLevelType w:val="hybridMultilevel"/>
    <w:tmpl w:val="461287FE"/>
    <w:lvl w:ilvl="0" w:tplc="C3F89ABC">
      <w:numFmt w:val="bullet"/>
      <w:lvlText w:val=""/>
      <w:lvlJc w:val="left"/>
      <w:pPr>
        <w:ind w:left="156" w:hanging="100"/>
      </w:pPr>
      <w:rPr>
        <w:rFonts w:ascii="Symbol" w:eastAsia="Symbol" w:hAnsi="Symbol" w:cs="Symbol" w:hint="default"/>
        <w:color w:val="231F20"/>
        <w:w w:val="100"/>
        <w:sz w:val="14"/>
        <w:szCs w:val="14"/>
      </w:rPr>
    </w:lvl>
    <w:lvl w:ilvl="1" w:tplc="9F24B668">
      <w:numFmt w:val="bullet"/>
      <w:lvlText w:val="•"/>
      <w:lvlJc w:val="left"/>
      <w:pPr>
        <w:ind w:left="398" w:hanging="100"/>
      </w:pPr>
      <w:rPr>
        <w:rFonts w:hint="default"/>
      </w:rPr>
    </w:lvl>
    <w:lvl w:ilvl="2" w:tplc="4C26B2DE">
      <w:numFmt w:val="bullet"/>
      <w:lvlText w:val="•"/>
      <w:lvlJc w:val="left"/>
      <w:pPr>
        <w:ind w:left="636" w:hanging="100"/>
      </w:pPr>
      <w:rPr>
        <w:rFonts w:hint="default"/>
      </w:rPr>
    </w:lvl>
    <w:lvl w:ilvl="3" w:tplc="707EF410">
      <w:numFmt w:val="bullet"/>
      <w:lvlText w:val="•"/>
      <w:lvlJc w:val="left"/>
      <w:pPr>
        <w:ind w:left="874" w:hanging="100"/>
      </w:pPr>
      <w:rPr>
        <w:rFonts w:hint="default"/>
      </w:rPr>
    </w:lvl>
    <w:lvl w:ilvl="4" w:tplc="CD62D798">
      <w:numFmt w:val="bullet"/>
      <w:lvlText w:val="•"/>
      <w:lvlJc w:val="left"/>
      <w:pPr>
        <w:ind w:left="1112" w:hanging="100"/>
      </w:pPr>
      <w:rPr>
        <w:rFonts w:hint="default"/>
      </w:rPr>
    </w:lvl>
    <w:lvl w:ilvl="5" w:tplc="6A70B790">
      <w:numFmt w:val="bullet"/>
      <w:lvlText w:val="•"/>
      <w:lvlJc w:val="left"/>
      <w:pPr>
        <w:ind w:left="1350" w:hanging="100"/>
      </w:pPr>
      <w:rPr>
        <w:rFonts w:hint="default"/>
      </w:rPr>
    </w:lvl>
    <w:lvl w:ilvl="6" w:tplc="9774D80C">
      <w:numFmt w:val="bullet"/>
      <w:lvlText w:val="•"/>
      <w:lvlJc w:val="left"/>
      <w:pPr>
        <w:ind w:left="1588" w:hanging="100"/>
      </w:pPr>
      <w:rPr>
        <w:rFonts w:hint="default"/>
      </w:rPr>
    </w:lvl>
    <w:lvl w:ilvl="7" w:tplc="040A3CF2">
      <w:numFmt w:val="bullet"/>
      <w:lvlText w:val="•"/>
      <w:lvlJc w:val="left"/>
      <w:pPr>
        <w:ind w:left="1826" w:hanging="100"/>
      </w:pPr>
      <w:rPr>
        <w:rFonts w:hint="default"/>
      </w:rPr>
    </w:lvl>
    <w:lvl w:ilvl="8" w:tplc="5B5A07A4">
      <w:numFmt w:val="bullet"/>
      <w:lvlText w:val="•"/>
      <w:lvlJc w:val="left"/>
      <w:pPr>
        <w:ind w:left="2064" w:hanging="100"/>
      </w:pPr>
      <w:rPr>
        <w:rFonts w:hint="default"/>
      </w:rPr>
    </w:lvl>
  </w:abstractNum>
  <w:abstractNum w:abstractNumId="1476" w15:restartNumberingAfterBreak="0">
    <w:nsid w:val="5C0D3493"/>
    <w:multiLevelType w:val="hybridMultilevel"/>
    <w:tmpl w:val="3A58BFA8"/>
    <w:lvl w:ilvl="0" w:tplc="11FC2F32">
      <w:numFmt w:val="bullet"/>
      <w:lvlText w:val=""/>
      <w:lvlJc w:val="left"/>
      <w:pPr>
        <w:ind w:left="157" w:hanging="100"/>
      </w:pPr>
      <w:rPr>
        <w:rFonts w:ascii="Symbol" w:eastAsia="Symbol" w:hAnsi="Symbol" w:cs="Symbol" w:hint="default"/>
        <w:color w:val="231F20"/>
        <w:w w:val="100"/>
        <w:sz w:val="14"/>
        <w:szCs w:val="14"/>
      </w:rPr>
    </w:lvl>
    <w:lvl w:ilvl="1" w:tplc="09041FAC">
      <w:numFmt w:val="bullet"/>
      <w:lvlText w:val="•"/>
      <w:lvlJc w:val="left"/>
      <w:pPr>
        <w:ind w:left="426" w:hanging="100"/>
      </w:pPr>
      <w:rPr>
        <w:rFonts w:hint="default"/>
      </w:rPr>
    </w:lvl>
    <w:lvl w:ilvl="2" w:tplc="539E5CA6">
      <w:numFmt w:val="bullet"/>
      <w:lvlText w:val="•"/>
      <w:lvlJc w:val="left"/>
      <w:pPr>
        <w:ind w:left="692" w:hanging="100"/>
      </w:pPr>
      <w:rPr>
        <w:rFonts w:hint="default"/>
      </w:rPr>
    </w:lvl>
    <w:lvl w:ilvl="3" w:tplc="CA5A5A1E">
      <w:numFmt w:val="bullet"/>
      <w:lvlText w:val="•"/>
      <w:lvlJc w:val="left"/>
      <w:pPr>
        <w:ind w:left="959" w:hanging="100"/>
      </w:pPr>
      <w:rPr>
        <w:rFonts w:hint="default"/>
      </w:rPr>
    </w:lvl>
    <w:lvl w:ilvl="4" w:tplc="9F9479FE">
      <w:numFmt w:val="bullet"/>
      <w:lvlText w:val="•"/>
      <w:lvlJc w:val="left"/>
      <w:pPr>
        <w:ind w:left="1225" w:hanging="100"/>
      </w:pPr>
      <w:rPr>
        <w:rFonts w:hint="default"/>
      </w:rPr>
    </w:lvl>
    <w:lvl w:ilvl="5" w:tplc="982EADB6">
      <w:numFmt w:val="bullet"/>
      <w:lvlText w:val="•"/>
      <w:lvlJc w:val="left"/>
      <w:pPr>
        <w:ind w:left="1492" w:hanging="100"/>
      </w:pPr>
      <w:rPr>
        <w:rFonts w:hint="default"/>
      </w:rPr>
    </w:lvl>
    <w:lvl w:ilvl="6" w:tplc="BC5EFECE">
      <w:numFmt w:val="bullet"/>
      <w:lvlText w:val="•"/>
      <w:lvlJc w:val="left"/>
      <w:pPr>
        <w:ind w:left="1758" w:hanging="100"/>
      </w:pPr>
      <w:rPr>
        <w:rFonts w:hint="default"/>
      </w:rPr>
    </w:lvl>
    <w:lvl w:ilvl="7" w:tplc="D6CCF45E">
      <w:numFmt w:val="bullet"/>
      <w:lvlText w:val="•"/>
      <w:lvlJc w:val="left"/>
      <w:pPr>
        <w:ind w:left="2024" w:hanging="100"/>
      </w:pPr>
      <w:rPr>
        <w:rFonts w:hint="default"/>
      </w:rPr>
    </w:lvl>
    <w:lvl w:ilvl="8" w:tplc="69764B5E">
      <w:numFmt w:val="bullet"/>
      <w:lvlText w:val="•"/>
      <w:lvlJc w:val="left"/>
      <w:pPr>
        <w:ind w:left="2291" w:hanging="100"/>
      </w:pPr>
      <w:rPr>
        <w:rFonts w:hint="default"/>
      </w:rPr>
    </w:lvl>
  </w:abstractNum>
  <w:abstractNum w:abstractNumId="1477" w15:restartNumberingAfterBreak="0">
    <w:nsid w:val="5C237DCB"/>
    <w:multiLevelType w:val="hybridMultilevel"/>
    <w:tmpl w:val="7668E4E6"/>
    <w:lvl w:ilvl="0" w:tplc="0B88B0CA">
      <w:numFmt w:val="bullet"/>
      <w:lvlText w:val=""/>
      <w:lvlJc w:val="left"/>
      <w:pPr>
        <w:ind w:left="157" w:hanging="100"/>
      </w:pPr>
      <w:rPr>
        <w:rFonts w:ascii="Symbol" w:eastAsia="Symbol" w:hAnsi="Symbol" w:cs="Symbol" w:hint="default"/>
        <w:color w:val="231F20"/>
        <w:w w:val="100"/>
        <w:sz w:val="14"/>
        <w:szCs w:val="14"/>
      </w:rPr>
    </w:lvl>
    <w:lvl w:ilvl="1" w:tplc="CDD05972">
      <w:numFmt w:val="bullet"/>
      <w:lvlText w:val="•"/>
      <w:lvlJc w:val="left"/>
      <w:pPr>
        <w:ind w:left="369" w:hanging="100"/>
      </w:pPr>
      <w:rPr>
        <w:rFonts w:hint="default"/>
      </w:rPr>
    </w:lvl>
    <w:lvl w:ilvl="2" w:tplc="C78AA4D4">
      <w:numFmt w:val="bullet"/>
      <w:lvlText w:val="•"/>
      <w:lvlJc w:val="left"/>
      <w:pPr>
        <w:ind w:left="579" w:hanging="100"/>
      </w:pPr>
      <w:rPr>
        <w:rFonts w:hint="default"/>
      </w:rPr>
    </w:lvl>
    <w:lvl w:ilvl="3" w:tplc="01E03F50">
      <w:numFmt w:val="bullet"/>
      <w:lvlText w:val="•"/>
      <w:lvlJc w:val="left"/>
      <w:pPr>
        <w:ind w:left="789" w:hanging="100"/>
      </w:pPr>
      <w:rPr>
        <w:rFonts w:hint="default"/>
      </w:rPr>
    </w:lvl>
    <w:lvl w:ilvl="4" w:tplc="3BACA336">
      <w:numFmt w:val="bullet"/>
      <w:lvlText w:val="•"/>
      <w:lvlJc w:val="left"/>
      <w:pPr>
        <w:ind w:left="998" w:hanging="100"/>
      </w:pPr>
      <w:rPr>
        <w:rFonts w:hint="default"/>
      </w:rPr>
    </w:lvl>
    <w:lvl w:ilvl="5" w:tplc="E6C0E0CC">
      <w:numFmt w:val="bullet"/>
      <w:lvlText w:val="•"/>
      <w:lvlJc w:val="left"/>
      <w:pPr>
        <w:ind w:left="1208" w:hanging="100"/>
      </w:pPr>
      <w:rPr>
        <w:rFonts w:hint="default"/>
      </w:rPr>
    </w:lvl>
    <w:lvl w:ilvl="6" w:tplc="79261B7E">
      <w:numFmt w:val="bullet"/>
      <w:lvlText w:val="•"/>
      <w:lvlJc w:val="left"/>
      <w:pPr>
        <w:ind w:left="1418" w:hanging="100"/>
      </w:pPr>
      <w:rPr>
        <w:rFonts w:hint="default"/>
      </w:rPr>
    </w:lvl>
    <w:lvl w:ilvl="7" w:tplc="051451EC">
      <w:numFmt w:val="bullet"/>
      <w:lvlText w:val="•"/>
      <w:lvlJc w:val="left"/>
      <w:pPr>
        <w:ind w:left="1627" w:hanging="100"/>
      </w:pPr>
      <w:rPr>
        <w:rFonts w:hint="default"/>
      </w:rPr>
    </w:lvl>
    <w:lvl w:ilvl="8" w:tplc="414C7502">
      <w:numFmt w:val="bullet"/>
      <w:lvlText w:val="•"/>
      <w:lvlJc w:val="left"/>
      <w:pPr>
        <w:ind w:left="1837" w:hanging="100"/>
      </w:pPr>
      <w:rPr>
        <w:rFonts w:hint="default"/>
      </w:rPr>
    </w:lvl>
  </w:abstractNum>
  <w:abstractNum w:abstractNumId="1478" w15:restartNumberingAfterBreak="0">
    <w:nsid w:val="5C32328E"/>
    <w:multiLevelType w:val="hybridMultilevel"/>
    <w:tmpl w:val="5EF099B6"/>
    <w:lvl w:ilvl="0" w:tplc="80B65ACE">
      <w:numFmt w:val="bullet"/>
      <w:lvlText w:val=""/>
      <w:lvlJc w:val="left"/>
      <w:pPr>
        <w:ind w:left="156" w:hanging="100"/>
      </w:pPr>
      <w:rPr>
        <w:rFonts w:ascii="Symbol" w:eastAsia="Symbol" w:hAnsi="Symbol" w:cs="Symbol" w:hint="default"/>
        <w:color w:val="231F20"/>
        <w:w w:val="100"/>
        <w:sz w:val="14"/>
        <w:szCs w:val="14"/>
      </w:rPr>
    </w:lvl>
    <w:lvl w:ilvl="1" w:tplc="FB2A3B6A">
      <w:numFmt w:val="bullet"/>
      <w:lvlText w:val="•"/>
      <w:lvlJc w:val="left"/>
      <w:pPr>
        <w:ind w:left="301" w:hanging="100"/>
      </w:pPr>
      <w:rPr>
        <w:rFonts w:hint="default"/>
      </w:rPr>
    </w:lvl>
    <w:lvl w:ilvl="2" w:tplc="C75C9282">
      <w:numFmt w:val="bullet"/>
      <w:lvlText w:val="•"/>
      <w:lvlJc w:val="left"/>
      <w:pPr>
        <w:ind w:left="443" w:hanging="100"/>
      </w:pPr>
      <w:rPr>
        <w:rFonts w:hint="default"/>
      </w:rPr>
    </w:lvl>
    <w:lvl w:ilvl="3" w:tplc="11622470">
      <w:numFmt w:val="bullet"/>
      <w:lvlText w:val="•"/>
      <w:lvlJc w:val="left"/>
      <w:pPr>
        <w:ind w:left="585" w:hanging="100"/>
      </w:pPr>
      <w:rPr>
        <w:rFonts w:hint="default"/>
      </w:rPr>
    </w:lvl>
    <w:lvl w:ilvl="4" w:tplc="2F983CDA">
      <w:numFmt w:val="bullet"/>
      <w:lvlText w:val="•"/>
      <w:lvlJc w:val="left"/>
      <w:pPr>
        <w:ind w:left="726" w:hanging="100"/>
      </w:pPr>
      <w:rPr>
        <w:rFonts w:hint="default"/>
      </w:rPr>
    </w:lvl>
    <w:lvl w:ilvl="5" w:tplc="DC928978">
      <w:numFmt w:val="bullet"/>
      <w:lvlText w:val="•"/>
      <w:lvlJc w:val="left"/>
      <w:pPr>
        <w:ind w:left="868" w:hanging="100"/>
      </w:pPr>
      <w:rPr>
        <w:rFonts w:hint="default"/>
      </w:rPr>
    </w:lvl>
    <w:lvl w:ilvl="6" w:tplc="4A924C9E">
      <w:numFmt w:val="bullet"/>
      <w:lvlText w:val="•"/>
      <w:lvlJc w:val="left"/>
      <w:pPr>
        <w:ind w:left="1010" w:hanging="100"/>
      </w:pPr>
      <w:rPr>
        <w:rFonts w:hint="default"/>
      </w:rPr>
    </w:lvl>
    <w:lvl w:ilvl="7" w:tplc="A1F6ECB8">
      <w:numFmt w:val="bullet"/>
      <w:lvlText w:val="•"/>
      <w:lvlJc w:val="left"/>
      <w:pPr>
        <w:ind w:left="1151" w:hanging="100"/>
      </w:pPr>
      <w:rPr>
        <w:rFonts w:hint="default"/>
      </w:rPr>
    </w:lvl>
    <w:lvl w:ilvl="8" w:tplc="186AD9A4">
      <w:numFmt w:val="bullet"/>
      <w:lvlText w:val="•"/>
      <w:lvlJc w:val="left"/>
      <w:pPr>
        <w:ind w:left="1293" w:hanging="100"/>
      </w:pPr>
      <w:rPr>
        <w:rFonts w:hint="default"/>
      </w:rPr>
    </w:lvl>
  </w:abstractNum>
  <w:abstractNum w:abstractNumId="1479" w15:restartNumberingAfterBreak="0">
    <w:nsid w:val="5C394201"/>
    <w:multiLevelType w:val="hybridMultilevel"/>
    <w:tmpl w:val="B8BA3968"/>
    <w:lvl w:ilvl="0" w:tplc="C50C127C">
      <w:numFmt w:val="bullet"/>
      <w:lvlText w:val=""/>
      <w:lvlJc w:val="left"/>
      <w:pPr>
        <w:ind w:left="156" w:hanging="100"/>
      </w:pPr>
      <w:rPr>
        <w:rFonts w:ascii="Symbol" w:eastAsia="Symbol" w:hAnsi="Symbol" w:cs="Symbol" w:hint="default"/>
        <w:color w:val="231F20"/>
        <w:w w:val="100"/>
        <w:sz w:val="14"/>
        <w:szCs w:val="14"/>
      </w:rPr>
    </w:lvl>
    <w:lvl w:ilvl="1" w:tplc="9DBCC364">
      <w:numFmt w:val="bullet"/>
      <w:lvlText w:val="•"/>
      <w:lvlJc w:val="left"/>
      <w:pPr>
        <w:ind w:left="301" w:hanging="100"/>
      </w:pPr>
      <w:rPr>
        <w:rFonts w:hint="default"/>
      </w:rPr>
    </w:lvl>
    <w:lvl w:ilvl="2" w:tplc="88D8350E">
      <w:numFmt w:val="bullet"/>
      <w:lvlText w:val="•"/>
      <w:lvlJc w:val="left"/>
      <w:pPr>
        <w:ind w:left="443" w:hanging="100"/>
      </w:pPr>
      <w:rPr>
        <w:rFonts w:hint="default"/>
      </w:rPr>
    </w:lvl>
    <w:lvl w:ilvl="3" w:tplc="E362C9A6">
      <w:numFmt w:val="bullet"/>
      <w:lvlText w:val="•"/>
      <w:lvlJc w:val="left"/>
      <w:pPr>
        <w:ind w:left="585" w:hanging="100"/>
      </w:pPr>
      <w:rPr>
        <w:rFonts w:hint="default"/>
      </w:rPr>
    </w:lvl>
    <w:lvl w:ilvl="4" w:tplc="57DAAC1E">
      <w:numFmt w:val="bullet"/>
      <w:lvlText w:val="•"/>
      <w:lvlJc w:val="left"/>
      <w:pPr>
        <w:ind w:left="726" w:hanging="100"/>
      </w:pPr>
      <w:rPr>
        <w:rFonts w:hint="default"/>
      </w:rPr>
    </w:lvl>
    <w:lvl w:ilvl="5" w:tplc="7E948408">
      <w:numFmt w:val="bullet"/>
      <w:lvlText w:val="•"/>
      <w:lvlJc w:val="left"/>
      <w:pPr>
        <w:ind w:left="868" w:hanging="100"/>
      </w:pPr>
      <w:rPr>
        <w:rFonts w:hint="default"/>
      </w:rPr>
    </w:lvl>
    <w:lvl w:ilvl="6" w:tplc="92C8B0E8">
      <w:numFmt w:val="bullet"/>
      <w:lvlText w:val="•"/>
      <w:lvlJc w:val="left"/>
      <w:pPr>
        <w:ind w:left="1010" w:hanging="100"/>
      </w:pPr>
      <w:rPr>
        <w:rFonts w:hint="default"/>
      </w:rPr>
    </w:lvl>
    <w:lvl w:ilvl="7" w:tplc="2E3880C2">
      <w:numFmt w:val="bullet"/>
      <w:lvlText w:val="•"/>
      <w:lvlJc w:val="left"/>
      <w:pPr>
        <w:ind w:left="1151" w:hanging="100"/>
      </w:pPr>
      <w:rPr>
        <w:rFonts w:hint="default"/>
      </w:rPr>
    </w:lvl>
    <w:lvl w:ilvl="8" w:tplc="387A1CA8">
      <w:numFmt w:val="bullet"/>
      <w:lvlText w:val="•"/>
      <w:lvlJc w:val="left"/>
      <w:pPr>
        <w:ind w:left="1293" w:hanging="100"/>
      </w:pPr>
      <w:rPr>
        <w:rFonts w:hint="default"/>
      </w:rPr>
    </w:lvl>
  </w:abstractNum>
  <w:abstractNum w:abstractNumId="1480" w15:restartNumberingAfterBreak="0">
    <w:nsid w:val="5C63105B"/>
    <w:multiLevelType w:val="hybridMultilevel"/>
    <w:tmpl w:val="2B608F76"/>
    <w:lvl w:ilvl="0" w:tplc="21EA745A">
      <w:numFmt w:val="bullet"/>
      <w:lvlText w:val=""/>
      <w:lvlJc w:val="left"/>
      <w:pPr>
        <w:ind w:left="157" w:hanging="100"/>
      </w:pPr>
      <w:rPr>
        <w:rFonts w:ascii="Symbol" w:eastAsia="Symbol" w:hAnsi="Symbol" w:cs="Symbol" w:hint="default"/>
        <w:color w:val="231F20"/>
        <w:w w:val="100"/>
        <w:sz w:val="14"/>
        <w:szCs w:val="14"/>
      </w:rPr>
    </w:lvl>
    <w:lvl w:ilvl="1" w:tplc="FBC20834">
      <w:numFmt w:val="bullet"/>
      <w:lvlText w:val="•"/>
      <w:lvlJc w:val="left"/>
      <w:pPr>
        <w:ind w:left="398" w:hanging="100"/>
      </w:pPr>
      <w:rPr>
        <w:rFonts w:hint="default"/>
      </w:rPr>
    </w:lvl>
    <w:lvl w:ilvl="2" w:tplc="3000BA70">
      <w:numFmt w:val="bullet"/>
      <w:lvlText w:val="•"/>
      <w:lvlJc w:val="left"/>
      <w:pPr>
        <w:ind w:left="636" w:hanging="100"/>
      </w:pPr>
      <w:rPr>
        <w:rFonts w:hint="default"/>
      </w:rPr>
    </w:lvl>
    <w:lvl w:ilvl="3" w:tplc="0A4C7460">
      <w:numFmt w:val="bullet"/>
      <w:lvlText w:val="•"/>
      <w:lvlJc w:val="left"/>
      <w:pPr>
        <w:ind w:left="874" w:hanging="100"/>
      </w:pPr>
      <w:rPr>
        <w:rFonts w:hint="default"/>
      </w:rPr>
    </w:lvl>
    <w:lvl w:ilvl="4" w:tplc="F15E32A4">
      <w:numFmt w:val="bullet"/>
      <w:lvlText w:val="•"/>
      <w:lvlJc w:val="left"/>
      <w:pPr>
        <w:ind w:left="1112" w:hanging="100"/>
      </w:pPr>
      <w:rPr>
        <w:rFonts w:hint="default"/>
      </w:rPr>
    </w:lvl>
    <w:lvl w:ilvl="5" w:tplc="1FF8E884">
      <w:numFmt w:val="bullet"/>
      <w:lvlText w:val="•"/>
      <w:lvlJc w:val="left"/>
      <w:pPr>
        <w:ind w:left="1350" w:hanging="100"/>
      </w:pPr>
      <w:rPr>
        <w:rFonts w:hint="default"/>
      </w:rPr>
    </w:lvl>
    <w:lvl w:ilvl="6" w:tplc="B060DC90">
      <w:numFmt w:val="bullet"/>
      <w:lvlText w:val="•"/>
      <w:lvlJc w:val="left"/>
      <w:pPr>
        <w:ind w:left="1588" w:hanging="100"/>
      </w:pPr>
      <w:rPr>
        <w:rFonts w:hint="default"/>
      </w:rPr>
    </w:lvl>
    <w:lvl w:ilvl="7" w:tplc="22C688D8">
      <w:numFmt w:val="bullet"/>
      <w:lvlText w:val="•"/>
      <w:lvlJc w:val="left"/>
      <w:pPr>
        <w:ind w:left="1826" w:hanging="100"/>
      </w:pPr>
      <w:rPr>
        <w:rFonts w:hint="default"/>
      </w:rPr>
    </w:lvl>
    <w:lvl w:ilvl="8" w:tplc="5900B51C">
      <w:numFmt w:val="bullet"/>
      <w:lvlText w:val="•"/>
      <w:lvlJc w:val="left"/>
      <w:pPr>
        <w:ind w:left="2064" w:hanging="100"/>
      </w:pPr>
      <w:rPr>
        <w:rFonts w:hint="default"/>
      </w:rPr>
    </w:lvl>
  </w:abstractNum>
  <w:abstractNum w:abstractNumId="1481" w15:restartNumberingAfterBreak="0">
    <w:nsid w:val="5C6A0D71"/>
    <w:multiLevelType w:val="hybridMultilevel"/>
    <w:tmpl w:val="A7E0DAFC"/>
    <w:lvl w:ilvl="0" w:tplc="92FC489A">
      <w:numFmt w:val="bullet"/>
      <w:lvlText w:val=""/>
      <w:lvlJc w:val="left"/>
      <w:pPr>
        <w:ind w:left="156" w:hanging="100"/>
      </w:pPr>
      <w:rPr>
        <w:rFonts w:ascii="Symbol" w:eastAsia="Symbol" w:hAnsi="Symbol" w:cs="Symbol" w:hint="default"/>
        <w:color w:val="231F20"/>
        <w:w w:val="100"/>
        <w:sz w:val="14"/>
        <w:szCs w:val="14"/>
      </w:rPr>
    </w:lvl>
    <w:lvl w:ilvl="1" w:tplc="CDD8539E">
      <w:numFmt w:val="bullet"/>
      <w:lvlText w:val="•"/>
      <w:lvlJc w:val="left"/>
      <w:pPr>
        <w:ind w:left="301" w:hanging="100"/>
      </w:pPr>
      <w:rPr>
        <w:rFonts w:hint="default"/>
      </w:rPr>
    </w:lvl>
    <w:lvl w:ilvl="2" w:tplc="67DE3194">
      <w:numFmt w:val="bullet"/>
      <w:lvlText w:val="•"/>
      <w:lvlJc w:val="left"/>
      <w:pPr>
        <w:ind w:left="443" w:hanging="100"/>
      </w:pPr>
      <w:rPr>
        <w:rFonts w:hint="default"/>
      </w:rPr>
    </w:lvl>
    <w:lvl w:ilvl="3" w:tplc="76D42804">
      <w:numFmt w:val="bullet"/>
      <w:lvlText w:val="•"/>
      <w:lvlJc w:val="left"/>
      <w:pPr>
        <w:ind w:left="585" w:hanging="100"/>
      </w:pPr>
      <w:rPr>
        <w:rFonts w:hint="default"/>
      </w:rPr>
    </w:lvl>
    <w:lvl w:ilvl="4" w:tplc="8B548E78">
      <w:numFmt w:val="bullet"/>
      <w:lvlText w:val="•"/>
      <w:lvlJc w:val="left"/>
      <w:pPr>
        <w:ind w:left="726" w:hanging="100"/>
      </w:pPr>
      <w:rPr>
        <w:rFonts w:hint="default"/>
      </w:rPr>
    </w:lvl>
    <w:lvl w:ilvl="5" w:tplc="06100C80">
      <w:numFmt w:val="bullet"/>
      <w:lvlText w:val="•"/>
      <w:lvlJc w:val="left"/>
      <w:pPr>
        <w:ind w:left="868" w:hanging="100"/>
      </w:pPr>
      <w:rPr>
        <w:rFonts w:hint="default"/>
      </w:rPr>
    </w:lvl>
    <w:lvl w:ilvl="6" w:tplc="C9C073D6">
      <w:numFmt w:val="bullet"/>
      <w:lvlText w:val="•"/>
      <w:lvlJc w:val="left"/>
      <w:pPr>
        <w:ind w:left="1010" w:hanging="100"/>
      </w:pPr>
      <w:rPr>
        <w:rFonts w:hint="default"/>
      </w:rPr>
    </w:lvl>
    <w:lvl w:ilvl="7" w:tplc="76726AA0">
      <w:numFmt w:val="bullet"/>
      <w:lvlText w:val="•"/>
      <w:lvlJc w:val="left"/>
      <w:pPr>
        <w:ind w:left="1151" w:hanging="100"/>
      </w:pPr>
      <w:rPr>
        <w:rFonts w:hint="default"/>
      </w:rPr>
    </w:lvl>
    <w:lvl w:ilvl="8" w:tplc="D69A8C58">
      <w:numFmt w:val="bullet"/>
      <w:lvlText w:val="•"/>
      <w:lvlJc w:val="left"/>
      <w:pPr>
        <w:ind w:left="1293" w:hanging="100"/>
      </w:pPr>
      <w:rPr>
        <w:rFonts w:hint="default"/>
      </w:rPr>
    </w:lvl>
  </w:abstractNum>
  <w:abstractNum w:abstractNumId="1482" w15:restartNumberingAfterBreak="0">
    <w:nsid w:val="5CA0410C"/>
    <w:multiLevelType w:val="hybridMultilevel"/>
    <w:tmpl w:val="488EED00"/>
    <w:lvl w:ilvl="0" w:tplc="BF6404CA">
      <w:numFmt w:val="bullet"/>
      <w:lvlText w:val=""/>
      <w:lvlJc w:val="left"/>
      <w:pPr>
        <w:ind w:left="156" w:hanging="100"/>
      </w:pPr>
      <w:rPr>
        <w:rFonts w:ascii="Symbol" w:eastAsia="Symbol" w:hAnsi="Symbol" w:cs="Symbol" w:hint="default"/>
        <w:color w:val="231F20"/>
        <w:w w:val="100"/>
        <w:sz w:val="14"/>
        <w:szCs w:val="14"/>
      </w:rPr>
    </w:lvl>
    <w:lvl w:ilvl="1" w:tplc="02D2A8E0">
      <w:numFmt w:val="bullet"/>
      <w:lvlText w:val="•"/>
      <w:lvlJc w:val="left"/>
      <w:pPr>
        <w:ind w:left="301" w:hanging="100"/>
      </w:pPr>
      <w:rPr>
        <w:rFonts w:hint="default"/>
      </w:rPr>
    </w:lvl>
    <w:lvl w:ilvl="2" w:tplc="18444152">
      <w:numFmt w:val="bullet"/>
      <w:lvlText w:val="•"/>
      <w:lvlJc w:val="left"/>
      <w:pPr>
        <w:ind w:left="443" w:hanging="100"/>
      </w:pPr>
      <w:rPr>
        <w:rFonts w:hint="default"/>
      </w:rPr>
    </w:lvl>
    <w:lvl w:ilvl="3" w:tplc="4448F00A">
      <w:numFmt w:val="bullet"/>
      <w:lvlText w:val="•"/>
      <w:lvlJc w:val="left"/>
      <w:pPr>
        <w:ind w:left="585" w:hanging="100"/>
      </w:pPr>
      <w:rPr>
        <w:rFonts w:hint="default"/>
      </w:rPr>
    </w:lvl>
    <w:lvl w:ilvl="4" w:tplc="7960EBFA">
      <w:numFmt w:val="bullet"/>
      <w:lvlText w:val="•"/>
      <w:lvlJc w:val="left"/>
      <w:pPr>
        <w:ind w:left="726" w:hanging="100"/>
      </w:pPr>
      <w:rPr>
        <w:rFonts w:hint="default"/>
      </w:rPr>
    </w:lvl>
    <w:lvl w:ilvl="5" w:tplc="800CC1BC">
      <w:numFmt w:val="bullet"/>
      <w:lvlText w:val="•"/>
      <w:lvlJc w:val="left"/>
      <w:pPr>
        <w:ind w:left="868" w:hanging="100"/>
      </w:pPr>
      <w:rPr>
        <w:rFonts w:hint="default"/>
      </w:rPr>
    </w:lvl>
    <w:lvl w:ilvl="6" w:tplc="FBB8697E">
      <w:numFmt w:val="bullet"/>
      <w:lvlText w:val="•"/>
      <w:lvlJc w:val="left"/>
      <w:pPr>
        <w:ind w:left="1010" w:hanging="100"/>
      </w:pPr>
      <w:rPr>
        <w:rFonts w:hint="default"/>
      </w:rPr>
    </w:lvl>
    <w:lvl w:ilvl="7" w:tplc="5D1A0C9C">
      <w:numFmt w:val="bullet"/>
      <w:lvlText w:val="•"/>
      <w:lvlJc w:val="left"/>
      <w:pPr>
        <w:ind w:left="1151" w:hanging="100"/>
      </w:pPr>
      <w:rPr>
        <w:rFonts w:hint="default"/>
      </w:rPr>
    </w:lvl>
    <w:lvl w:ilvl="8" w:tplc="2AD815AC">
      <w:numFmt w:val="bullet"/>
      <w:lvlText w:val="•"/>
      <w:lvlJc w:val="left"/>
      <w:pPr>
        <w:ind w:left="1293" w:hanging="100"/>
      </w:pPr>
      <w:rPr>
        <w:rFonts w:hint="default"/>
      </w:rPr>
    </w:lvl>
  </w:abstractNum>
  <w:abstractNum w:abstractNumId="1483" w15:restartNumberingAfterBreak="0">
    <w:nsid w:val="5CAA20E6"/>
    <w:multiLevelType w:val="hybridMultilevel"/>
    <w:tmpl w:val="AD4E2DDE"/>
    <w:lvl w:ilvl="0" w:tplc="0EBCA5D2">
      <w:numFmt w:val="bullet"/>
      <w:lvlText w:val=""/>
      <w:lvlJc w:val="left"/>
      <w:pPr>
        <w:ind w:left="157" w:hanging="100"/>
      </w:pPr>
      <w:rPr>
        <w:rFonts w:ascii="Symbol" w:eastAsia="Symbol" w:hAnsi="Symbol" w:cs="Symbol" w:hint="default"/>
        <w:color w:val="231F20"/>
        <w:w w:val="100"/>
        <w:sz w:val="14"/>
        <w:szCs w:val="14"/>
      </w:rPr>
    </w:lvl>
    <w:lvl w:ilvl="1" w:tplc="FB8CDAEC">
      <w:numFmt w:val="bullet"/>
      <w:lvlText w:val="•"/>
      <w:lvlJc w:val="left"/>
      <w:pPr>
        <w:ind w:left="369" w:hanging="100"/>
      </w:pPr>
      <w:rPr>
        <w:rFonts w:hint="default"/>
      </w:rPr>
    </w:lvl>
    <w:lvl w:ilvl="2" w:tplc="42F415C4">
      <w:numFmt w:val="bullet"/>
      <w:lvlText w:val="•"/>
      <w:lvlJc w:val="left"/>
      <w:pPr>
        <w:ind w:left="579" w:hanging="100"/>
      </w:pPr>
      <w:rPr>
        <w:rFonts w:hint="default"/>
      </w:rPr>
    </w:lvl>
    <w:lvl w:ilvl="3" w:tplc="40B278D8">
      <w:numFmt w:val="bullet"/>
      <w:lvlText w:val="•"/>
      <w:lvlJc w:val="left"/>
      <w:pPr>
        <w:ind w:left="789" w:hanging="100"/>
      </w:pPr>
      <w:rPr>
        <w:rFonts w:hint="default"/>
      </w:rPr>
    </w:lvl>
    <w:lvl w:ilvl="4" w:tplc="51361C50">
      <w:numFmt w:val="bullet"/>
      <w:lvlText w:val="•"/>
      <w:lvlJc w:val="left"/>
      <w:pPr>
        <w:ind w:left="998" w:hanging="100"/>
      </w:pPr>
      <w:rPr>
        <w:rFonts w:hint="default"/>
      </w:rPr>
    </w:lvl>
    <w:lvl w:ilvl="5" w:tplc="8F10C0EA">
      <w:numFmt w:val="bullet"/>
      <w:lvlText w:val="•"/>
      <w:lvlJc w:val="left"/>
      <w:pPr>
        <w:ind w:left="1208" w:hanging="100"/>
      </w:pPr>
      <w:rPr>
        <w:rFonts w:hint="default"/>
      </w:rPr>
    </w:lvl>
    <w:lvl w:ilvl="6" w:tplc="69BE22AE">
      <w:numFmt w:val="bullet"/>
      <w:lvlText w:val="•"/>
      <w:lvlJc w:val="left"/>
      <w:pPr>
        <w:ind w:left="1418" w:hanging="100"/>
      </w:pPr>
      <w:rPr>
        <w:rFonts w:hint="default"/>
      </w:rPr>
    </w:lvl>
    <w:lvl w:ilvl="7" w:tplc="DF22A876">
      <w:numFmt w:val="bullet"/>
      <w:lvlText w:val="•"/>
      <w:lvlJc w:val="left"/>
      <w:pPr>
        <w:ind w:left="1627" w:hanging="100"/>
      </w:pPr>
      <w:rPr>
        <w:rFonts w:hint="default"/>
      </w:rPr>
    </w:lvl>
    <w:lvl w:ilvl="8" w:tplc="4028B474">
      <w:numFmt w:val="bullet"/>
      <w:lvlText w:val="•"/>
      <w:lvlJc w:val="left"/>
      <w:pPr>
        <w:ind w:left="1837" w:hanging="100"/>
      </w:pPr>
      <w:rPr>
        <w:rFonts w:hint="default"/>
      </w:rPr>
    </w:lvl>
  </w:abstractNum>
  <w:abstractNum w:abstractNumId="1484" w15:restartNumberingAfterBreak="0">
    <w:nsid w:val="5CAC6DEB"/>
    <w:multiLevelType w:val="hybridMultilevel"/>
    <w:tmpl w:val="241CA284"/>
    <w:lvl w:ilvl="0" w:tplc="1DCCA184">
      <w:numFmt w:val="bullet"/>
      <w:lvlText w:val=""/>
      <w:lvlJc w:val="left"/>
      <w:pPr>
        <w:ind w:left="156" w:hanging="100"/>
      </w:pPr>
      <w:rPr>
        <w:rFonts w:ascii="Symbol" w:eastAsia="Symbol" w:hAnsi="Symbol" w:cs="Symbol" w:hint="default"/>
        <w:color w:val="231F20"/>
        <w:w w:val="100"/>
        <w:sz w:val="14"/>
        <w:szCs w:val="14"/>
      </w:rPr>
    </w:lvl>
    <w:lvl w:ilvl="1" w:tplc="D8BA00BA">
      <w:numFmt w:val="bullet"/>
      <w:lvlText w:val="•"/>
      <w:lvlJc w:val="left"/>
      <w:pPr>
        <w:ind w:left="398" w:hanging="100"/>
      </w:pPr>
      <w:rPr>
        <w:rFonts w:hint="default"/>
      </w:rPr>
    </w:lvl>
    <w:lvl w:ilvl="2" w:tplc="396899E8">
      <w:numFmt w:val="bullet"/>
      <w:lvlText w:val="•"/>
      <w:lvlJc w:val="left"/>
      <w:pPr>
        <w:ind w:left="636" w:hanging="100"/>
      </w:pPr>
      <w:rPr>
        <w:rFonts w:hint="default"/>
      </w:rPr>
    </w:lvl>
    <w:lvl w:ilvl="3" w:tplc="E38E7DD0">
      <w:numFmt w:val="bullet"/>
      <w:lvlText w:val="•"/>
      <w:lvlJc w:val="left"/>
      <w:pPr>
        <w:ind w:left="874" w:hanging="100"/>
      </w:pPr>
      <w:rPr>
        <w:rFonts w:hint="default"/>
      </w:rPr>
    </w:lvl>
    <w:lvl w:ilvl="4" w:tplc="233C3D74">
      <w:numFmt w:val="bullet"/>
      <w:lvlText w:val="•"/>
      <w:lvlJc w:val="left"/>
      <w:pPr>
        <w:ind w:left="1112" w:hanging="100"/>
      </w:pPr>
      <w:rPr>
        <w:rFonts w:hint="default"/>
      </w:rPr>
    </w:lvl>
    <w:lvl w:ilvl="5" w:tplc="1938E28C">
      <w:numFmt w:val="bullet"/>
      <w:lvlText w:val="•"/>
      <w:lvlJc w:val="left"/>
      <w:pPr>
        <w:ind w:left="1350" w:hanging="100"/>
      </w:pPr>
      <w:rPr>
        <w:rFonts w:hint="default"/>
      </w:rPr>
    </w:lvl>
    <w:lvl w:ilvl="6" w:tplc="D382B2E8">
      <w:numFmt w:val="bullet"/>
      <w:lvlText w:val="•"/>
      <w:lvlJc w:val="left"/>
      <w:pPr>
        <w:ind w:left="1588" w:hanging="100"/>
      </w:pPr>
      <w:rPr>
        <w:rFonts w:hint="default"/>
      </w:rPr>
    </w:lvl>
    <w:lvl w:ilvl="7" w:tplc="FB046FA6">
      <w:numFmt w:val="bullet"/>
      <w:lvlText w:val="•"/>
      <w:lvlJc w:val="left"/>
      <w:pPr>
        <w:ind w:left="1826" w:hanging="100"/>
      </w:pPr>
      <w:rPr>
        <w:rFonts w:hint="default"/>
      </w:rPr>
    </w:lvl>
    <w:lvl w:ilvl="8" w:tplc="C0389FA4">
      <w:numFmt w:val="bullet"/>
      <w:lvlText w:val="•"/>
      <w:lvlJc w:val="left"/>
      <w:pPr>
        <w:ind w:left="2064" w:hanging="100"/>
      </w:pPr>
      <w:rPr>
        <w:rFonts w:hint="default"/>
      </w:rPr>
    </w:lvl>
  </w:abstractNum>
  <w:abstractNum w:abstractNumId="1485" w15:restartNumberingAfterBreak="0">
    <w:nsid w:val="5CE462D3"/>
    <w:multiLevelType w:val="hybridMultilevel"/>
    <w:tmpl w:val="F15ABAC6"/>
    <w:lvl w:ilvl="0" w:tplc="B1745594">
      <w:numFmt w:val="bullet"/>
      <w:lvlText w:val=""/>
      <w:lvlJc w:val="left"/>
      <w:pPr>
        <w:ind w:left="156" w:hanging="100"/>
      </w:pPr>
      <w:rPr>
        <w:rFonts w:ascii="Symbol" w:eastAsia="Symbol" w:hAnsi="Symbol" w:cs="Symbol" w:hint="default"/>
        <w:color w:val="231F20"/>
        <w:w w:val="100"/>
        <w:sz w:val="14"/>
        <w:szCs w:val="14"/>
      </w:rPr>
    </w:lvl>
    <w:lvl w:ilvl="1" w:tplc="A968751E">
      <w:numFmt w:val="bullet"/>
      <w:lvlText w:val="•"/>
      <w:lvlJc w:val="left"/>
      <w:pPr>
        <w:ind w:left="426" w:hanging="100"/>
      </w:pPr>
      <w:rPr>
        <w:rFonts w:hint="default"/>
      </w:rPr>
    </w:lvl>
    <w:lvl w:ilvl="2" w:tplc="8242C1B8">
      <w:numFmt w:val="bullet"/>
      <w:lvlText w:val="•"/>
      <w:lvlJc w:val="left"/>
      <w:pPr>
        <w:ind w:left="692" w:hanging="100"/>
      </w:pPr>
      <w:rPr>
        <w:rFonts w:hint="default"/>
      </w:rPr>
    </w:lvl>
    <w:lvl w:ilvl="3" w:tplc="42787B56">
      <w:numFmt w:val="bullet"/>
      <w:lvlText w:val="•"/>
      <w:lvlJc w:val="left"/>
      <w:pPr>
        <w:ind w:left="959" w:hanging="100"/>
      </w:pPr>
      <w:rPr>
        <w:rFonts w:hint="default"/>
      </w:rPr>
    </w:lvl>
    <w:lvl w:ilvl="4" w:tplc="1D6643DC">
      <w:numFmt w:val="bullet"/>
      <w:lvlText w:val="•"/>
      <w:lvlJc w:val="left"/>
      <w:pPr>
        <w:ind w:left="1225" w:hanging="100"/>
      </w:pPr>
      <w:rPr>
        <w:rFonts w:hint="default"/>
      </w:rPr>
    </w:lvl>
    <w:lvl w:ilvl="5" w:tplc="A08A7C1C">
      <w:numFmt w:val="bullet"/>
      <w:lvlText w:val="•"/>
      <w:lvlJc w:val="left"/>
      <w:pPr>
        <w:ind w:left="1492" w:hanging="100"/>
      </w:pPr>
      <w:rPr>
        <w:rFonts w:hint="default"/>
      </w:rPr>
    </w:lvl>
    <w:lvl w:ilvl="6" w:tplc="AACA910C">
      <w:numFmt w:val="bullet"/>
      <w:lvlText w:val="•"/>
      <w:lvlJc w:val="left"/>
      <w:pPr>
        <w:ind w:left="1758" w:hanging="100"/>
      </w:pPr>
      <w:rPr>
        <w:rFonts w:hint="default"/>
      </w:rPr>
    </w:lvl>
    <w:lvl w:ilvl="7" w:tplc="0E6A49EA">
      <w:numFmt w:val="bullet"/>
      <w:lvlText w:val="•"/>
      <w:lvlJc w:val="left"/>
      <w:pPr>
        <w:ind w:left="2024" w:hanging="100"/>
      </w:pPr>
      <w:rPr>
        <w:rFonts w:hint="default"/>
      </w:rPr>
    </w:lvl>
    <w:lvl w:ilvl="8" w:tplc="F294AF32">
      <w:numFmt w:val="bullet"/>
      <w:lvlText w:val="•"/>
      <w:lvlJc w:val="left"/>
      <w:pPr>
        <w:ind w:left="2291" w:hanging="100"/>
      </w:pPr>
      <w:rPr>
        <w:rFonts w:hint="default"/>
      </w:rPr>
    </w:lvl>
  </w:abstractNum>
  <w:abstractNum w:abstractNumId="1486" w15:restartNumberingAfterBreak="0">
    <w:nsid w:val="5CE63E10"/>
    <w:multiLevelType w:val="hybridMultilevel"/>
    <w:tmpl w:val="41605534"/>
    <w:lvl w:ilvl="0" w:tplc="1A04920C">
      <w:numFmt w:val="bullet"/>
      <w:lvlText w:val=""/>
      <w:lvlJc w:val="left"/>
      <w:pPr>
        <w:ind w:left="156" w:hanging="100"/>
      </w:pPr>
      <w:rPr>
        <w:rFonts w:ascii="Symbol" w:eastAsia="Symbol" w:hAnsi="Symbol" w:cs="Symbol" w:hint="default"/>
        <w:color w:val="231F20"/>
        <w:w w:val="100"/>
        <w:sz w:val="14"/>
        <w:szCs w:val="14"/>
      </w:rPr>
    </w:lvl>
    <w:lvl w:ilvl="1" w:tplc="4AF61DE8">
      <w:numFmt w:val="bullet"/>
      <w:lvlText w:val="•"/>
      <w:lvlJc w:val="left"/>
      <w:pPr>
        <w:ind w:left="301" w:hanging="100"/>
      </w:pPr>
      <w:rPr>
        <w:rFonts w:hint="default"/>
      </w:rPr>
    </w:lvl>
    <w:lvl w:ilvl="2" w:tplc="B29C7E0A">
      <w:numFmt w:val="bullet"/>
      <w:lvlText w:val="•"/>
      <w:lvlJc w:val="left"/>
      <w:pPr>
        <w:ind w:left="443" w:hanging="100"/>
      </w:pPr>
      <w:rPr>
        <w:rFonts w:hint="default"/>
      </w:rPr>
    </w:lvl>
    <w:lvl w:ilvl="3" w:tplc="D92AA384">
      <w:numFmt w:val="bullet"/>
      <w:lvlText w:val="•"/>
      <w:lvlJc w:val="left"/>
      <w:pPr>
        <w:ind w:left="585" w:hanging="100"/>
      </w:pPr>
      <w:rPr>
        <w:rFonts w:hint="default"/>
      </w:rPr>
    </w:lvl>
    <w:lvl w:ilvl="4" w:tplc="87740942">
      <w:numFmt w:val="bullet"/>
      <w:lvlText w:val="•"/>
      <w:lvlJc w:val="left"/>
      <w:pPr>
        <w:ind w:left="726" w:hanging="100"/>
      </w:pPr>
      <w:rPr>
        <w:rFonts w:hint="default"/>
      </w:rPr>
    </w:lvl>
    <w:lvl w:ilvl="5" w:tplc="71E6F58A">
      <w:numFmt w:val="bullet"/>
      <w:lvlText w:val="•"/>
      <w:lvlJc w:val="left"/>
      <w:pPr>
        <w:ind w:left="868" w:hanging="100"/>
      </w:pPr>
      <w:rPr>
        <w:rFonts w:hint="default"/>
      </w:rPr>
    </w:lvl>
    <w:lvl w:ilvl="6" w:tplc="3AD085C4">
      <w:numFmt w:val="bullet"/>
      <w:lvlText w:val="•"/>
      <w:lvlJc w:val="left"/>
      <w:pPr>
        <w:ind w:left="1010" w:hanging="100"/>
      </w:pPr>
      <w:rPr>
        <w:rFonts w:hint="default"/>
      </w:rPr>
    </w:lvl>
    <w:lvl w:ilvl="7" w:tplc="3EC68DBC">
      <w:numFmt w:val="bullet"/>
      <w:lvlText w:val="•"/>
      <w:lvlJc w:val="left"/>
      <w:pPr>
        <w:ind w:left="1151" w:hanging="100"/>
      </w:pPr>
      <w:rPr>
        <w:rFonts w:hint="default"/>
      </w:rPr>
    </w:lvl>
    <w:lvl w:ilvl="8" w:tplc="F8E2A770">
      <w:numFmt w:val="bullet"/>
      <w:lvlText w:val="•"/>
      <w:lvlJc w:val="left"/>
      <w:pPr>
        <w:ind w:left="1293" w:hanging="100"/>
      </w:pPr>
      <w:rPr>
        <w:rFonts w:hint="default"/>
      </w:rPr>
    </w:lvl>
  </w:abstractNum>
  <w:abstractNum w:abstractNumId="1487" w15:restartNumberingAfterBreak="0">
    <w:nsid w:val="5D0841F5"/>
    <w:multiLevelType w:val="hybridMultilevel"/>
    <w:tmpl w:val="2C58A300"/>
    <w:lvl w:ilvl="0" w:tplc="D946D00E">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2BBAE6DA">
      <w:numFmt w:val="bullet"/>
      <w:lvlText w:val="•"/>
      <w:lvlJc w:val="left"/>
      <w:pPr>
        <w:ind w:left="1690" w:hanging="180"/>
      </w:pPr>
      <w:rPr>
        <w:rFonts w:hint="default"/>
      </w:rPr>
    </w:lvl>
    <w:lvl w:ilvl="2" w:tplc="EE7A45A8">
      <w:numFmt w:val="bullet"/>
      <w:lvlText w:val="•"/>
      <w:lvlJc w:val="left"/>
      <w:pPr>
        <w:ind w:left="2701" w:hanging="180"/>
      </w:pPr>
      <w:rPr>
        <w:rFonts w:hint="default"/>
      </w:rPr>
    </w:lvl>
    <w:lvl w:ilvl="3" w:tplc="B21C7782">
      <w:numFmt w:val="bullet"/>
      <w:lvlText w:val="•"/>
      <w:lvlJc w:val="left"/>
      <w:pPr>
        <w:ind w:left="3711" w:hanging="180"/>
      </w:pPr>
      <w:rPr>
        <w:rFonts w:hint="default"/>
      </w:rPr>
    </w:lvl>
    <w:lvl w:ilvl="4" w:tplc="13D06786">
      <w:numFmt w:val="bullet"/>
      <w:lvlText w:val="•"/>
      <w:lvlJc w:val="left"/>
      <w:pPr>
        <w:ind w:left="4722" w:hanging="180"/>
      </w:pPr>
      <w:rPr>
        <w:rFonts w:hint="default"/>
      </w:rPr>
    </w:lvl>
    <w:lvl w:ilvl="5" w:tplc="019AAEC4">
      <w:numFmt w:val="bullet"/>
      <w:lvlText w:val="•"/>
      <w:lvlJc w:val="left"/>
      <w:pPr>
        <w:ind w:left="5732" w:hanging="180"/>
      </w:pPr>
      <w:rPr>
        <w:rFonts w:hint="default"/>
      </w:rPr>
    </w:lvl>
    <w:lvl w:ilvl="6" w:tplc="4A3C6A36">
      <w:numFmt w:val="bullet"/>
      <w:lvlText w:val="•"/>
      <w:lvlJc w:val="left"/>
      <w:pPr>
        <w:ind w:left="6743" w:hanging="180"/>
      </w:pPr>
      <w:rPr>
        <w:rFonts w:hint="default"/>
      </w:rPr>
    </w:lvl>
    <w:lvl w:ilvl="7" w:tplc="30C43DF0">
      <w:numFmt w:val="bullet"/>
      <w:lvlText w:val="•"/>
      <w:lvlJc w:val="left"/>
      <w:pPr>
        <w:ind w:left="7753" w:hanging="180"/>
      </w:pPr>
      <w:rPr>
        <w:rFonts w:hint="default"/>
      </w:rPr>
    </w:lvl>
    <w:lvl w:ilvl="8" w:tplc="9B5480DA">
      <w:numFmt w:val="bullet"/>
      <w:lvlText w:val="•"/>
      <w:lvlJc w:val="left"/>
      <w:pPr>
        <w:ind w:left="8764" w:hanging="180"/>
      </w:pPr>
      <w:rPr>
        <w:rFonts w:hint="default"/>
      </w:rPr>
    </w:lvl>
  </w:abstractNum>
  <w:abstractNum w:abstractNumId="1488" w15:restartNumberingAfterBreak="0">
    <w:nsid w:val="5D182B17"/>
    <w:multiLevelType w:val="hybridMultilevel"/>
    <w:tmpl w:val="87B0FD8A"/>
    <w:lvl w:ilvl="0" w:tplc="4E801464">
      <w:numFmt w:val="bullet"/>
      <w:lvlText w:val="–"/>
      <w:lvlJc w:val="left"/>
      <w:pPr>
        <w:ind w:left="162" w:hanging="105"/>
      </w:pPr>
      <w:rPr>
        <w:rFonts w:ascii="Times New Roman" w:eastAsia="Times New Roman" w:hAnsi="Times New Roman" w:cs="Times New Roman" w:hint="default"/>
        <w:color w:val="231F20"/>
        <w:spacing w:val="-16"/>
        <w:w w:val="100"/>
        <w:sz w:val="14"/>
        <w:szCs w:val="14"/>
      </w:rPr>
    </w:lvl>
    <w:lvl w:ilvl="1" w:tplc="81E4B04A">
      <w:numFmt w:val="bullet"/>
      <w:lvlText w:val="•"/>
      <w:lvlJc w:val="left"/>
      <w:pPr>
        <w:ind w:left="426" w:hanging="105"/>
      </w:pPr>
      <w:rPr>
        <w:rFonts w:hint="default"/>
      </w:rPr>
    </w:lvl>
    <w:lvl w:ilvl="2" w:tplc="BA0868BC">
      <w:numFmt w:val="bullet"/>
      <w:lvlText w:val="•"/>
      <w:lvlJc w:val="left"/>
      <w:pPr>
        <w:ind w:left="692" w:hanging="105"/>
      </w:pPr>
      <w:rPr>
        <w:rFonts w:hint="default"/>
      </w:rPr>
    </w:lvl>
    <w:lvl w:ilvl="3" w:tplc="8966AD5E">
      <w:numFmt w:val="bullet"/>
      <w:lvlText w:val="•"/>
      <w:lvlJc w:val="left"/>
      <w:pPr>
        <w:ind w:left="959" w:hanging="105"/>
      </w:pPr>
      <w:rPr>
        <w:rFonts w:hint="default"/>
      </w:rPr>
    </w:lvl>
    <w:lvl w:ilvl="4" w:tplc="86862E26">
      <w:numFmt w:val="bullet"/>
      <w:lvlText w:val="•"/>
      <w:lvlJc w:val="left"/>
      <w:pPr>
        <w:ind w:left="1225" w:hanging="105"/>
      </w:pPr>
      <w:rPr>
        <w:rFonts w:hint="default"/>
      </w:rPr>
    </w:lvl>
    <w:lvl w:ilvl="5" w:tplc="E472A5EA">
      <w:numFmt w:val="bullet"/>
      <w:lvlText w:val="•"/>
      <w:lvlJc w:val="left"/>
      <w:pPr>
        <w:ind w:left="1492" w:hanging="105"/>
      </w:pPr>
      <w:rPr>
        <w:rFonts w:hint="default"/>
      </w:rPr>
    </w:lvl>
    <w:lvl w:ilvl="6" w:tplc="9460A8EE">
      <w:numFmt w:val="bullet"/>
      <w:lvlText w:val="•"/>
      <w:lvlJc w:val="left"/>
      <w:pPr>
        <w:ind w:left="1758" w:hanging="105"/>
      </w:pPr>
      <w:rPr>
        <w:rFonts w:hint="default"/>
      </w:rPr>
    </w:lvl>
    <w:lvl w:ilvl="7" w:tplc="40C058D0">
      <w:numFmt w:val="bullet"/>
      <w:lvlText w:val="•"/>
      <w:lvlJc w:val="left"/>
      <w:pPr>
        <w:ind w:left="2024" w:hanging="105"/>
      </w:pPr>
      <w:rPr>
        <w:rFonts w:hint="default"/>
      </w:rPr>
    </w:lvl>
    <w:lvl w:ilvl="8" w:tplc="A0B605B2">
      <w:numFmt w:val="bullet"/>
      <w:lvlText w:val="•"/>
      <w:lvlJc w:val="left"/>
      <w:pPr>
        <w:ind w:left="2291" w:hanging="105"/>
      </w:pPr>
      <w:rPr>
        <w:rFonts w:hint="default"/>
      </w:rPr>
    </w:lvl>
  </w:abstractNum>
  <w:abstractNum w:abstractNumId="1489" w15:restartNumberingAfterBreak="0">
    <w:nsid w:val="5D263312"/>
    <w:multiLevelType w:val="hybridMultilevel"/>
    <w:tmpl w:val="0582CA94"/>
    <w:lvl w:ilvl="0" w:tplc="332CA3A8">
      <w:numFmt w:val="bullet"/>
      <w:lvlText w:val=""/>
      <w:lvlJc w:val="left"/>
      <w:pPr>
        <w:ind w:left="157" w:hanging="100"/>
      </w:pPr>
      <w:rPr>
        <w:rFonts w:ascii="Symbol" w:eastAsia="Symbol" w:hAnsi="Symbol" w:cs="Symbol" w:hint="default"/>
        <w:color w:val="231F20"/>
        <w:w w:val="100"/>
        <w:sz w:val="14"/>
        <w:szCs w:val="14"/>
      </w:rPr>
    </w:lvl>
    <w:lvl w:ilvl="1" w:tplc="0FDE3138">
      <w:numFmt w:val="bullet"/>
      <w:lvlText w:val="•"/>
      <w:lvlJc w:val="left"/>
      <w:pPr>
        <w:ind w:left="426" w:hanging="100"/>
      </w:pPr>
      <w:rPr>
        <w:rFonts w:hint="default"/>
      </w:rPr>
    </w:lvl>
    <w:lvl w:ilvl="2" w:tplc="78605A20">
      <w:numFmt w:val="bullet"/>
      <w:lvlText w:val="•"/>
      <w:lvlJc w:val="left"/>
      <w:pPr>
        <w:ind w:left="692" w:hanging="100"/>
      </w:pPr>
      <w:rPr>
        <w:rFonts w:hint="default"/>
      </w:rPr>
    </w:lvl>
    <w:lvl w:ilvl="3" w:tplc="069AAC4C">
      <w:numFmt w:val="bullet"/>
      <w:lvlText w:val="•"/>
      <w:lvlJc w:val="left"/>
      <w:pPr>
        <w:ind w:left="959" w:hanging="100"/>
      </w:pPr>
      <w:rPr>
        <w:rFonts w:hint="default"/>
      </w:rPr>
    </w:lvl>
    <w:lvl w:ilvl="4" w:tplc="8542C30E">
      <w:numFmt w:val="bullet"/>
      <w:lvlText w:val="•"/>
      <w:lvlJc w:val="left"/>
      <w:pPr>
        <w:ind w:left="1225" w:hanging="100"/>
      </w:pPr>
      <w:rPr>
        <w:rFonts w:hint="default"/>
      </w:rPr>
    </w:lvl>
    <w:lvl w:ilvl="5" w:tplc="799CE622">
      <w:numFmt w:val="bullet"/>
      <w:lvlText w:val="•"/>
      <w:lvlJc w:val="left"/>
      <w:pPr>
        <w:ind w:left="1492" w:hanging="100"/>
      </w:pPr>
      <w:rPr>
        <w:rFonts w:hint="default"/>
      </w:rPr>
    </w:lvl>
    <w:lvl w:ilvl="6" w:tplc="480440EA">
      <w:numFmt w:val="bullet"/>
      <w:lvlText w:val="•"/>
      <w:lvlJc w:val="left"/>
      <w:pPr>
        <w:ind w:left="1758" w:hanging="100"/>
      </w:pPr>
      <w:rPr>
        <w:rFonts w:hint="default"/>
      </w:rPr>
    </w:lvl>
    <w:lvl w:ilvl="7" w:tplc="E3E0BF5A">
      <w:numFmt w:val="bullet"/>
      <w:lvlText w:val="•"/>
      <w:lvlJc w:val="left"/>
      <w:pPr>
        <w:ind w:left="2024" w:hanging="100"/>
      </w:pPr>
      <w:rPr>
        <w:rFonts w:hint="default"/>
      </w:rPr>
    </w:lvl>
    <w:lvl w:ilvl="8" w:tplc="6BBEC0D4">
      <w:numFmt w:val="bullet"/>
      <w:lvlText w:val="•"/>
      <w:lvlJc w:val="left"/>
      <w:pPr>
        <w:ind w:left="2291" w:hanging="100"/>
      </w:pPr>
      <w:rPr>
        <w:rFonts w:hint="default"/>
      </w:rPr>
    </w:lvl>
  </w:abstractNum>
  <w:abstractNum w:abstractNumId="1490" w15:restartNumberingAfterBreak="0">
    <w:nsid w:val="5D2E06C7"/>
    <w:multiLevelType w:val="hybridMultilevel"/>
    <w:tmpl w:val="5AA6FA70"/>
    <w:lvl w:ilvl="0" w:tplc="25A0E89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BC36E436">
      <w:numFmt w:val="bullet"/>
      <w:lvlText w:val="•"/>
      <w:lvlJc w:val="left"/>
      <w:pPr>
        <w:ind w:left="426" w:hanging="105"/>
      </w:pPr>
      <w:rPr>
        <w:rFonts w:hint="default"/>
      </w:rPr>
    </w:lvl>
    <w:lvl w:ilvl="2" w:tplc="8A80F142">
      <w:numFmt w:val="bullet"/>
      <w:lvlText w:val="•"/>
      <w:lvlJc w:val="left"/>
      <w:pPr>
        <w:ind w:left="692" w:hanging="105"/>
      </w:pPr>
      <w:rPr>
        <w:rFonts w:hint="default"/>
      </w:rPr>
    </w:lvl>
    <w:lvl w:ilvl="3" w:tplc="0A0A5F4C">
      <w:numFmt w:val="bullet"/>
      <w:lvlText w:val="•"/>
      <w:lvlJc w:val="left"/>
      <w:pPr>
        <w:ind w:left="959" w:hanging="105"/>
      </w:pPr>
      <w:rPr>
        <w:rFonts w:hint="default"/>
      </w:rPr>
    </w:lvl>
    <w:lvl w:ilvl="4" w:tplc="60A63564">
      <w:numFmt w:val="bullet"/>
      <w:lvlText w:val="•"/>
      <w:lvlJc w:val="left"/>
      <w:pPr>
        <w:ind w:left="1225" w:hanging="105"/>
      </w:pPr>
      <w:rPr>
        <w:rFonts w:hint="default"/>
      </w:rPr>
    </w:lvl>
    <w:lvl w:ilvl="5" w:tplc="C52EFC52">
      <w:numFmt w:val="bullet"/>
      <w:lvlText w:val="•"/>
      <w:lvlJc w:val="left"/>
      <w:pPr>
        <w:ind w:left="1492" w:hanging="105"/>
      </w:pPr>
      <w:rPr>
        <w:rFonts w:hint="default"/>
      </w:rPr>
    </w:lvl>
    <w:lvl w:ilvl="6" w:tplc="9AB6BC54">
      <w:numFmt w:val="bullet"/>
      <w:lvlText w:val="•"/>
      <w:lvlJc w:val="left"/>
      <w:pPr>
        <w:ind w:left="1758" w:hanging="105"/>
      </w:pPr>
      <w:rPr>
        <w:rFonts w:hint="default"/>
      </w:rPr>
    </w:lvl>
    <w:lvl w:ilvl="7" w:tplc="905C95F2">
      <w:numFmt w:val="bullet"/>
      <w:lvlText w:val="•"/>
      <w:lvlJc w:val="left"/>
      <w:pPr>
        <w:ind w:left="2024" w:hanging="105"/>
      </w:pPr>
      <w:rPr>
        <w:rFonts w:hint="default"/>
      </w:rPr>
    </w:lvl>
    <w:lvl w:ilvl="8" w:tplc="DA2EB214">
      <w:numFmt w:val="bullet"/>
      <w:lvlText w:val="•"/>
      <w:lvlJc w:val="left"/>
      <w:pPr>
        <w:ind w:left="2291" w:hanging="105"/>
      </w:pPr>
      <w:rPr>
        <w:rFonts w:hint="default"/>
      </w:rPr>
    </w:lvl>
  </w:abstractNum>
  <w:abstractNum w:abstractNumId="1491" w15:restartNumberingAfterBreak="0">
    <w:nsid w:val="5D2F1467"/>
    <w:multiLevelType w:val="hybridMultilevel"/>
    <w:tmpl w:val="E0164620"/>
    <w:lvl w:ilvl="0" w:tplc="B748ED26">
      <w:numFmt w:val="bullet"/>
      <w:lvlText w:val=""/>
      <w:lvlJc w:val="left"/>
      <w:pPr>
        <w:ind w:left="156" w:hanging="100"/>
      </w:pPr>
      <w:rPr>
        <w:rFonts w:ascii="Symbol" w:eastAsia="Symbol" w:hAnsi="Symbol" w:cs="Symbol" w:hint="default"/>
        <w:color w:val="231F20"/>
        <w:w w:val="100"/>
        <w:sz w:val="14"/>
        <w:szCs w:val="14"/>
      </w:rPr>
    </w:lvl>
    <w:lvl w:ilvl="1" w:tplc="803AA59C">
      <w:numFmt w:val="bullet"/>
      <w:lvlText w:val="•"/>
      <w:lvlJc w:val="left"/>
      <w:pPr>
        <w:ind w:left="426" w:hanging="100"/>
      </w:pPr>
      <w:rPr>
        <w:rFonts w:hint="default"/>
      </w:rPr>
    </w:lvl>
    <w:lvl w:ilvl="2" w:tplc="F4283A12">
      <w:numFmt w:val="bullet"/>
      <w:lvlText w:val="•"/>
      <w:lvlJc w:val="left"/>
      <w:pPr>
        <w:ind w:left="692" w:hanging="100"/>
      </w:pPr>
      <w:rPr>
        <w:rFonts w:hint="default"/>
      </w:rPr>
    </w:lvl>
    <w:lvl w:ilvl="3" w:tplc="25D26E44">
      <w:numFmt w:val="bullet"/>
      <w:lvlText w:val="•"/>
      <w:lvlJc w:val="left"/>
      <w:pPr>
        <w:ind w:left="959" w:hanging="100"/>
      </w:pPr>
      <w:rPr>
        <w:rFonts w:hint="default"/>
      </w:rPr>
    </w:lvl>
    <w:lvl w:ilvl="4" w:tplc="974A6352">
      <w:numFmt w:val="bullet"/>
      <w:lvlText w:val="•"/>
      <w:lvlJc w:val="left"/>
      <w:pPr>
        <w:ind w:left="1225" w:hanging="100"/>
      </w:pPr>
      <w:rPr>
        <w:rFonts w:hint="default"/>
      </w:rPr>
    </w:lvl>
    <w:lvl w:ilvl="5" w:tplc="AEAA497E">
      <w:numFmt w:val="bullet"/>
      <w:lvlText w:val="•"/>
      <w:lvlJc w:val="left"/>
      <w:pPr>
        <w:ind w:left="1492" w:hanging="100"/>
      </w:pPr>
      <w:rPr>
        <w:rFonts w:hint="default"/>
      </w:rPr>
    </w:lvl>
    <w:lvl w:ilvl="6" w:tplc="C28A997A">
      <w:numFmt w:val="bullet"/>
      <w:lvlText w:val="•"/>
      <w:lvlJc w:val="left"/>
      <w:pPr>
        <w:ind w:left="1758" w:hanging="100"/>
      </w:pPr>
      <w:rPr>
        <w:rFonts w:hint="default"/>
      </w:rPr>
    </w:lvl>
    <w:lvl w:ilvl="7" w:tplc="60A64546">
      <w:numFmt w:val="bullet"/>
      <w:lvlText w:val="•"/>
      <w:lvlJc w:val="left"/>
      <w:pPr>
        <w:ind w:left="2024" w:hanging="100"/>
      </w:pPr>
      <w:rPr>
        <w:rFonts w:hint="default"/>
      </w:rPr>
    </w:lvl>
    <w:lvl w:ilvl="8" w:tplc="07A8058A">
      <w:numFmt w:val="bullet"/>
      <w:lvlText w:val="•"/>
      <w:lvlJc w:val="left"/>
      <w:pPr>
        <w:ind w:left="2291" w:hanging="100"/>
      </w:pPr>
      <w:rPr>
        <w:rFonts w:hint="default"/>
      </w:rPr>
    </w:lvl>
  </w:abstractNum>
  <w:abstractNum w:abstractNumId="1492" w15:restartNumberingAfterBreak="0">
    <w:nsid w:val="5D374B14"/>
    <w:multiLevelType w:val="hybridMultilevel"/>
    <w:tmpl w:val="109ECF7C"/>
    <w:lvl w:ilvl="0" w:tplc="4B9AC110">
      <w:numFmt w:val="bullet"/>
      <w:lvlText w:val=""/>
      <w:lvlJc w:val="left"/>
      <w:pPr>
        <w:ind w:left="156" w:hanging="100"/>
      </w:pPr>
      <w:rPr>
        <w:rFonts w:ascii="Symbol" w:eastAsia="Symbol" w:hAnsi="Symbol" w:cs="Symbol" w:hint="default"/>
        <w:color w:val="231F20"/>
        <w:w w:val="100"/>
        <w:sz w:val="14"/>
        <w:szCs w:val="14"/>
      </w:rPr>
    </w:lvl>
    <w:lvl w:ilvl="1" w:tplc="1F56ACB0">
      <w:numFmt w:val="bullet"/>
      <w:lvlText w:val="•"/>
      <w:lvlJc w:val="left"/>
      <w:pPr>
        <w:ind w:left="398" w:hanging="100"/>
      </w:pPr>
      <w:rPr>
        <w:rFonts w:hint="default"/>
      </w:rPr>
    </w:lvl>
    <w:lvl w:ilvl="2" w:tplc="72745D00">
      <w:numFmt w:val="bullet"/>
      <w:lvlText w:val="•"/>
      <w:lvlJc w:val="left"/>
      <w:pPr>
        <w:ind w:left="636" w:hanging="100"/>
      </w:pPr>
      <w:rPr>
        <w:rFonts w:hint="default"/>
      </w:rPr>
    </w:lvl>
    <w:lvl w:ilvl="3" w:tplc="50A64DFA">
      <w:numFmt w:val="bullet"/>
      <w:lvlText w:val="•"/>
      <w:lvlJc w:val="left"/>
      <w:pPr>
        <w:ind w:left="874" w:hanging="100"/>
      </w:pPr>
      <w:rPr>
        <w:rFonts w:hint="default"/>
      </w:rPr>
    </w:lvl>
    <w:lvl w:ilvl="4" w:tplc="CEDAFC66">
      <w:numFmt w:val="bullet"/>
      <w:lvlText w:val="•"/>
      <w:lvlJc w:val="left"/>
      <w:pPr>
        <w:ind w:left="1112" w:hanging="100"/>
      </w:pPr>
      <w:rPr>
        <w:rFonts w:hint="default"/>
      </w:rPr>
    </w:lvl>
    <w:lvl w:ilvl="5" w:tplc="5D282146">
      <w:numFmt w:val="bullet"/>
      <w:lvlText w:val="•"/>
      <w:lvlJc w:val="left"/>
      <w:pPr>
        <w:ind w:left="1350" w:hanging="100"/>
      </w:pPr>
      <w:rPr>
        <w:rFonts w:hint="default"/>
      </w:rPr>
    </w:lvl>
    <w:lvl w:ilvl="6" w:tplc="FE5A7532">
      <w:numFmt w:val="bullet"/>
      <w:lvlText w:val="•"/>
      <w:lvlJc w:val="left"/>
      <w:pPr>
        <w:ind w:left="1588" w:hanging="100"/>
      </w:pPr>
      <w:rPr>
        <w:rFonts w:hint="default"/>
      </w:rPr>
    </w:lvl>
    <w:lvl w:ilvl="7" w:tplc="5F76BF74">
      <w:numFmt w:val="bullet"/>
      <w:lvlText w:val="•"/>
      <w:lvlJc w:val="left"/>
      <w:pPr>
        <w:ind w:left="1826" w:hanging="100"/>
      </w:pPr>
      <w:rPr>
        <w:rFonts w:hint="default"/>
      </w:rPr>
    </w:lvl>
    <w:lvl w:ilvl="8" w:tplc="71B23318">
      <w:numFmt w:val="bullet"/>
      <w:lvlText w:val="•"/>
      <w:lvlJc w:val="left"/>
      <w:pPr>
        <w:ind w:left="2064" w:hanging="100"/>
      </w:pPr>
      <w:rPr>
        <w:rFonts w:hint="default"/>
      </w:rPr>
    </w:lvl>
  </w:abstractNum>
  <w:abstractNum w:abstractNumId="1493" w15:restartNumberingAfterBreak="0">
    <w:nsid w:val="5D3A45C5"/>
    <w:multiLevelType w:val="hybridMultilevel"/>
    <w:tmpl w:val="8D44E2AA"/>
    <w:lvl w:ilvl="0" w:tplc="46D27B0A">
      <w:numFmt w:val="bullet"/>
      <w:lvlText w:val=""/>
      <w:lvlJc w:val="left"/>
      <w:pPr>
        <w:ind w:left="156" w:hanging="100"/>
      </w:pPr>
      <w:rPr>
        <w:rFonts w:ascii="Symbol" w:eastAsia="Symbol" w:hAnsi="Symbol" w:cs="Symbol" w:hint="default"/>
        <w:color w:val="231F20"/>
        <w:w w:val="100"/>
        <w:sz w:val="14"/>
        <w:szCs w:val="14"/>
      </w:rPr>
    </w:lvl>
    <w:lvl w:ilvl="1" w:tplc="C98C7BE6">
      <w:numFmt w:val="bullet"/>
      <w:lvlText w:val="•"/>
      <w:lvlJc w:val="left"/>
      <w:pPr>
        <w:ind w:left="301" w:hanging="100"/>
      </w:pPr>
      <w:rPr>
        <w:rFonts w:hint="default"/>
      </w:rPr>
    </w:lvl>
    <w:lvl w:ilvl="2" w:tplc="C9AAF244">
      <w:numFmt w:val="bullet"/>
      <w:lvlText w:val="•"/>
      <w:lvlJc w:val="left"/>
      <w:pPr>
        <w:ind w:left="443" w:hanging="100"/>
      </w:pPr>
      <w:rPr>
        <w:rFonts w:hint="default"/>
      </w:rPr>
    </w:lvl>
    <w:lvl w:ilvl="3" w:tplc="DA687FDA">
      <w:numFmt w:val="bullet"/>
      <w:lvlText w:val="•"/>
      <w:lvlJc w:val="left"/>
      <w:pPr>
        <w:ind w:left="585" w:hanging="100"/>
      </w:pPr>
      <w:rPr>
        <w:rFonts w:hint="default"/>
      </w:rPr>
    </w:lvl>
    <w:lvl w:ilvl="4" w:tplc="4636DFF2">
      <w:numFmt w:val="bullet"/>
      <w:lvlText w:val="•"/>
      <w:lvlJc w:val="left"/>
      <w:pPr>
        <w:ind w:left="726" w:hanging="100"/>
      </w:pPr>
      <w:rPr>
        <w:rFonts w:hint="default"/>
      </w:rPr>
    </w:lvl>
    <w:lvl w:ilvl="5" w:tplc="CF8252F0">
      <w:numFmt w:val="bullet"/>
      <w:lvlText w:val="•"/>
      <w:lvlJc w:val="left"/>
      <w:pPr>
        <w:ind w:left="868" w:hanging="100"/>
      </w:pPr>
      <w:rPr>
        <w:rFonts w:hint="default"/>
      </w:rPr>
    </w:lvl>
    <w:lvl w:ilvl="6" w:tplc="2494ADBE">
      <w:numFmt w:val="bullet"/>
      <w:lvlText w:val="•"/>
      <w:lvlJc w:val="left"/>
      <w:pPr>
        <w:ind w:left="1010" w:hanging="100"/>
      </w:pPr>
      <w:rPr>
        <w:rFonts w:hint="default"/>
      </w:rPr>
    </w:lvl>
    <w:lvl w:ilvl="7" w:tplc="E2B85E8A">
      <w:numFmt w:val="bullet"/>
      <w:lvlText w:val="•"/>
      <w:lvlJc w:val="left"/>
      <w:pPr>
        <w:ind w:left="1151" w:hanging="100"/>
      </w:pPr>
      <w:rPr>
        <w:rFonts w:hint="default"/>
      </w:rPr>
    </w:lvl>
    <w:lvl w:ilvl="8" w:tplc="6F2C8862">
      <w:numFmt w:val="bullet"/>
      <w:lvlText w:val="•"/>
      <w:lvlJc w:val="left"/>
      <w:pPr>
        <w:ind w:left="1293" w:hanging="100"/>
      </w:pPr>
      <w:rPr>
        <w:rFonts w:hint="default"/>
      </w:rPr>
    </w:lvl>
  </w:abstractNum>
  <w:abstractNum w:abstractNumId="1494" w15:restartNumberingAfterBreak="0">
    <w:nsid w:val="5D4148AF"/>
    <w:multiLevelType w:val="hybridMultilevel"/>
    <w:tmpl w:val="4A865D1C"/>
    <w:lvl w:ilvl="0" w:tplc="60F06FC2">
      <w:numFmt w:val="bullet"/>
      <w:lvlText w:val=""/>
      <w:lvlJc w:val="left"/>
      <w:pPr>
        <w:ind w:left="156" w:hanging="100"/>
      </w:pPr>
      <w:rPr>
        <w:rFonts w:ascii="Symbol" w:eastAsia="Symbol" w:hAnsi="Symbol" w:cs="Symbol" w:hint="default"/>
        <w:color w:val="231F20"/>
        <w:w w:val="100"/>
        <w:sz w:val="14"/>
        <w:szCs w:val="14"/>
      </w:rPr>
    </w:lvl>
    <w:lvl w:ilvl="1" w:tplc="C00AB6C2">
      <w:numFmt w:val="bullet"/>
      <w:lvlText w:val="•"/>
      <w:lvlJc w:val="left"/>
      <w:pPr>
        <w:ind w:left="454" w:hanging="100"/>
      </w:pPr>
      <w:rPr>
        <w:rFonts w:hint="default"/>
      </w:rPr>
    </w:lvl>
    <w:lvl w:ilvl="2" w:tplc="B7805912">
      <w:numFmt w:val="bullet"/>
      <w:lvlText w:val="•"/>
      <w:lvlJc w:val="left"/>
      <w:pPr>
        <w:ind w:left="749" w:hanging="100"/>
      </w:pPr>
      <w:rPr>
        <w:rFonts w:hint="default"/>
      </w:rPr>
    </w:lvl>
    <w:lvl w:ilvl="3" w:tplc="825C9C9E">
      <w:numFmt w:val="bullet"/>
      <w:lvlText w:val="•"/>
      <w:lvlJc w:val="left"/>
      <w:pPr>
        <w:ind w:left="1044" w:hanging="100"/>
      </w:pPr>
      <w:rPr>
        <w:rFonts w:hint="default"/>
      </w:rPr>
    </w:lvl>
    <w:lvl w:ilvl="4" w:tplc="E8025888">
      <w:numFmt w:val="bullet"/>
      <w:lvlText w:val="•"/>
      <w:lvlJc w:val="left"/>
      <w:pPr>
        <w:ind w:left="1339" w:hanging="100"/>
      </w:pPr>
      <w:rPr>
        <w:rFonts w:hint="default"/>
      </w:rPr>
    </w:lvl>
    <w:lvl w:ilvl="5" w:tplc="DC288346">
      <w:numFmt w:val="bullet"/>
      <w:lvlText w:val="•"/>
      <w:lvlJc w:val="left"/>
      <w:pPr>
        <w:ind w:left="1634" w:hanging="100"/>
      </w:pPr>
      <w:rPr>
        <w:rFonts w:hint="default"/>
      </w:rPr>
    </w:lvl>
    <w:lvl w:ilvl="6" w:tplc="7CB0D738">
      <w:numFmt w:val="bullet"/>
      <w:lvlText w:val="•"/>
      <w:lvlJc w:val="left"/>
      <w:pPr>
        <w:ind w:left="1928" w:hanging="100"/>
      </w:pPr>
      <w:rPr>
        <w:rFonts w:hint="default"/>
      </w:rPr>
    </w:lvl>
    <w:lvl w:ilvl="7" w:tplc="04347DE4">
      <w:numFmt w:val="bullet"/>
      <w:lvlText w:val="•"/>
      <w:lvlJc w:val="left"/>
      <w:pPr>
        <w:ind w:left="2223" w:hanging="100"/>
      </w:pPr>
      <w:rPr>
        <w:rFonts w:hint="default"/>
      </w:rPr>
    </w:lvl>
    <w:lvl w:ilvl="8" w:tplc="0F4A0490">
      <w:numFmt w:val="bullet"/>
      <w:lvlText w:val="•"/>
      <w:lvlJc w:val="left"/>
      <w:pPr>
        <w:ind w:left="2518" w:hanging="100"/>
      </w:pPr>
      <w:rPr>
        <w:rFonts w:hint="default"/>
      </w:rPr>
    </w:lvl>
  </w:abstractNum>
  <w:abstractNum w:abstractNumId="1495" w15:restartNumberingAfterBreak="0">
    <w:nsid w:val="5D427BA4"/>
    <w:multiLevelType w:val="hybridMultilevel"/>
    <w:tmpl w:val="2272F92A"/>
    <w:lvl w:ilvl="0" w:tplc="58F417F8">
      <w:numFmt w:val="bullet"/>
      <w:lvlText w:val=""/>
      <w:lvlJc w:val="left"/>
      <w:pPr>
        <w:ind w:left="156" w:hanging="100"/>
      </w:pPr>
      <w:rPr>
        <w:rFonts w:ascii="Symbol" w:eastAsia="Symbol" w:hAnsi="Symbol" w:cs="Symbol" w:hint="default"/>
        <w:color w:val="231F20"/>
        <w:w w:val="100"/>
        <w:sz w:val="14"/>
        <w:szCs w:val="14"/>
      </w:rPr>
    </w:lvl>
    <w:lvl w:ilvl="1" w:tplc="C842202A">
      <w:numFmt w:val="bullet"/>
      <w:lvlText w:val="•"/>
      <w:lvlJc w:val="left"/>
      <w:pPr>
        <w:ind w:left="273" w:hanging="100"/>
      </w:pPr>
      <w:rPr>
        <w:rFonts w:hint="default"/>
      </w:rPr>
    </w:lvl>
    <w:lvl w:ilvl="2" w:tplc="5B7278C8">
      <w:numFmt w:val="bullet"/>
      <w:lvlText w:val="•"/>
      <w:lvlJc w:val="left"/>
      <w:pPr>
        <w:ind w:left="386" w:hanging="100"/>
      </w:pPr>
      <w:rPr>
        <w:rFonts w:hint="default"/>
      </w:rPr>
    </w:lvl>
    <w:lvl w:ilvl="3" w:tplc="15EA0124">
      <w:numFmt w:val="bullet"/>
      <w:lvlText w:val="•"/>
      <w:lvlJc w:val="left"/>
      <w:pPr>
        <w:ind w:left="500" w:hanging="100"/>
      </w:pPr>
      <w:rPr>
        <w:rFonts w:hint="default"/>
      </w:rPr>
    </w:lvl>
    <w:lvl w:ilvl="4" w:tplc="3C783648">
      <w:numFmt w:val="bullet"/>
      <w:lvlText w:val="•"/>
      <w:lvlJc w:val="left"/>
      <w:pPr>
        <w:ind w:left="613" w:hanging="100"/>
      </w:pPr>
      <w:rPr>
        <w:rFonts w:hint="default"/>
      </w:rPr>
    </w:lvl>
    <w:lvl w:ilvl="5" w:tplc="DAD832CC">
      <w:numFmt w:val="bullet"/>
      <w:lvlText w:val="•"/>
      <w:lvlJc w:val="left"/>
      <w:pPr>
        <w:ind w:left="727" w:hanging="100"/>
      </w:pPr>
      <w:rPr>
        <w:rFonts w:hint="default"/>
      </w:rPr>
    </w:lvl>
    <w:lvl w:ilvl="6" w:tplc="1A42CA58">
      <w:numFmt w:val="bullet"/>
      <w:lvlText w:val="•"/>
      <w:lvlJc w:val="left"/>
      <w:pPr>
        <w:ind w:left="840" w:hanging="100"/>
      </w:pPr>
      <w:rPr>
        <w:rFonts w:hint="default"/>
      </w:rPr>
    </w:lvl>
    <w:lvl w:ilvl="7" w:tplc="4F18CFE4">
      <w:numFmt w:val="bullet"/>
      <w:lvlText w:val="•"/>
      <w:lvlJc w:val="left"/>
      <w:pPr>
        <w:ind w:left="953" w:hanging="100"/>
      </w:pPr>
      <w:rPr>
        <w:rFonts w:hint="default"/>
      </w:rPr>
    </w:lvl>
    <w:lvl w:ilvl="8" w:tplc="F24003AC">
      <w:numFmt w:val="bullet"/>
      <w:lvlText w:val="•"/>
      <w:lvlJc w:val="left"/>
      <w:pPr>
        <w:ind w:left="1067" w:hanging="100"/>
      </w:pPr>
      <w:rPr>
        <w:rFonts w:hint="default"/>
      </w:rPr>
    </w:lvl>
  </w:abstractNum>
  <w:abstractNum w:abstractNumId="1496" w15:restartNumberingAfterBreak="0">
    <w:nsid w:val="5D526723"/>
    <w:multiLevelType w:val="hybridMultilevel"/>
    <w:tmpl w:val="E7C4FA8E"/>
    <w:lvl w:ilvl="0" w:tplc="C53ADF4C">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E51AC6FE">
      <w:numFmt w:val="bullet"/>
      <w:lvlText w:val="•"/>
      <w:lvlJc w:val="left"/>
      <w:pPr>
        <w:ind w:left="1528" w:hanging="180"/>
      </w:pPr>
      <w:rPr>
        <w:rFonts w:hint="default"/>
      </w:rPr>
    </w:lvl>
    <w:lvl w:ilvl="2" w:tplc="8D6CCB3C">
      <w:numFmt w:val="bullet"/>
      <w:lvlText w:val="•"/>
      <w:lvlJc w:val="left"/>
      <w:pPr>
        <w:ind w:left="2557" w:hanging="180"/>
      </w:pPr>
      <w:rPr>
        <w:rFonts w:hint="default"/>
      </w:rPr>
    </w:lvl>
    <w:lvl w:ilvl="3" w:tplc="75F0FA9C">
      <w:numFmt w:val="bullet"/>
      <w:lvlText w:val="•"/>
      <w:lvlJc w:val="left"/>
      <w:pPr>
        <w:ind w:left="3585" w:hanging="180"/>
      </w:pPr>
      <w:rPr>
        <w:rFonts w:hint="default"/>
      </w:rPr>
    </w:lvl>
    <w:lvl w:ilvl="4" w:tplc="DDE06544">
      <w:numFmt w:val="bullet"/>
      <w:lvlText w:val="•"/>
      <w:lvlJc w:val="left"/>
      <w:pPr>
        <w:ind w:left="4614" w:hanging="180"/>
      </w:pPr>
      <w:rPr>
        <w:rFonts w:hint="default"/>
      </w:rPr>
    </w:lvl>
    <w:lvl w:ilvl="5" w:tplc="789C8B76">
      <w:numFmt w:val="bullet"/>
      <w:lvlText w:val="•"/>
      <w:lvlJc w:val="left"/>
      <w:pPr>
        <w:ind w:left="5642" w:hanging="180"/>
      </w:pPr>
      <w:rPr>
        <w:rFonts w:hint="default"/>
      </w:rPr>
    </w:lvl>
    <w:lvl w:ilvl="6" w:tplc="C18A6E82">
      <w:numFmt w:val="bullet"/>
      <w:lvlText w:val="•"/>
      <w:lvlJc w:val="left"/>
      <w:pPr>
        <w:ind w:left="6671" w:hanging="180"/>
      </w:pPr>
      <w:rPr>
        <w:rFonts w:hint="default"/>
      </w:rPr>
    </w:lvl>
    <w:lvl w:ilvl="7" w:tplc="0038E684">
      <w:numFmt w:val="bullet"/>
      <w:lvlText w:val="•"/>
      <w:lvlJc w:val="left"/>
      <w:pPr>
        <w:ind w:left="7699" w:hanging="180"/>
      </w:pPr>
      <w:rPr>
        <w:rFonts w:hint="default"/>
      </w:rPr>
    </w:lvl>
    <w:lvl w:ilvl="8" w:tplc="0130F186">
      <w:numFmt w:val="bullet"/>
      <w:lvlText w:val="•"/>
      <w:lvlJc w:val="left"/>
      <w:pPr>
        <w:ind w:left="8728" w:hanging="180"/>
      </w:pPr>
      <w:rPr>
        <w:rFonts w:hint="default"/>
      </w:rPr>
    </w:lvl>
  </w:abstractNum>
  <w:abstractNum w:abstractNumId="1497" w15:restartNumberingAfterBreak="0">
    <w:nsid w:val="5D7524FC"/>
    <w:multiLevelType w:val="hybridMultilevel"/>
    <w:tmpl w:val="26A26A98"/>
    <w:lvl w:ilvl="0" w:tplc="AC86187A">
      <w:numFmt w:val="bullet"/>
      <w:lvlText w:val=""/>
      <w:lvlJc w:val="left"/>
      <w:pPr>
        <w:ind w:left="156" w:hanging="100"/>
      </w:pPr>
      <w:rPr>
        <w:rFonts w:ascii="Symbol" w:eastAsia="Symbol" w:hAnsi="Symbol" w:cs="Symbol" w:hint="default"/>
        <w:color w:val="231F20"/>
        <w:w w:val="100"/>
        <w:sz w:val="14"/>
        <w:szCs w:val="14"/>
      </w:rPr>
    </w:lvl>
    <w:lvl w:ilvl="1" w:tplc="5FF0D27E">
      <w:numFmt w:val="bullet"/>
      <w:lvlText w:val="•"/>
      <w:lvlJc w:val="left"/>
      <w:pPr>
        <w:ind w:left="398" w:hanging="100"/>
      </w:pPr>
      <w:rPr>
        <w:rFonts w:hint="default"/>
      </w:rPr>
    </w:lvl>
    <w:lvl w:ilvl="2" w:tplc="B0D46BF0">
      <w:numFmt w:val="bullet"/>
      <w:lvlText w:val="•"/>
      <w:lvlJc w:val="left"/>
      <w:pPr>
        <w:ind w:left="636" w:hanging="100"/>
      </w:pPr>
      <w:rPr>
        <w:rFonts w:hint="default"/>
      </w:rPr>
    </w:lvl>
    <w:lvl w:ilvl="3" w:tplc="408EE410">
      <w:numFmt w:val="bullet"/>
      <w:lvlText w:val="•"/>
      <w:lvlJc w:val="left"/>
      <w:pPr>
        <w:ind w:left="874" w:hanging="100"/>
      </w:pPr>
      <w:rPr>
        <w:rFonts w:hint="default"/>
      </w:rPr>
    </w:lvl>
    <w:lvl w:ilvl="4" w:tplc="E05CE554">
      <w:numFmt w:val="bullet"/>
      <w:lvlText w:val="•"/>
      <w:lvlJc w:val="left"/>
      <w:pPr>
        <w:ind w:left="1112" w:hanging="100"/>
      </w:pPr>
      <w:rPr>
        <w:rFonts w:hint="default"/>
      </w:rPr>
    </w:lvl>
    <w:lvl w:ilvl="5" w:tplc="821E3C88">
      <w:numFmt w:val="bullet"/>
      <w:lvlText w:val="•"/>
      <w:lvlJc w:val="left"/>
      <w:pPr>
        <w:ind w:left="1350" w:hanging="100"/>
      </w:pPr>
      <w:rPr>
        <w:rFonts w:hint="default"/>
      </w:rPr>
    </w:lvl>
    <w:lvl w:ilvl="6" w:tplc="AF54DCA2">
      <w:numFmt w:val="bullet"/>
      <w:lvlText w:val="•"/>
      <w:lvlJc w:val="left"/>
      <w:pPr>
        <w:ind w:left="1588" w:hanging="100"/>
      </w:pPr>
      <w:rPr>
        <w:rFonts w:hint="default"/>
      </w:rPr>
    </w:lvl>
    <w:lvl w:ilvl="7" w:tplc="C07AB2C8">
      <w:numFmt w:val="bullet"/>
      <w:lvlText w:val="•"/>
      <w:lvlJc w:val="left"/>
      <w:pPr>
        <w:ind w:left="1826" w:hanging="100"/>
      </w:pPr>
      <w:rPr>
        <w:rFonts w:hint="default"/>
      </w:rPr>
    </w:lvl>
    <w:lvl w:ilvl="8" w:tplc="4F4217B6">
      <w:numFmt w:val="bullet"/>
      <w:lvlText w:val="•"/>
      <w:lvlJc w:val="left"/>
      <w:pPr>
        <w:ind w:left="2064" w:hanging="100"/>
      </w:pPr>
      <w:rPr>
        <w:rFonts w:hint="default"/>
      </w:rPr>
    </w:lvl>
  </w:abstractNum>
  <w:abstractNum w:abstractNumId="1498" w15:restartNumberingAfterBreak="0">
    <w:nsid w:val="5D792813"/>
    <w:multiLevelType w:val="hybridMultilevel"/>
    <w:tmpl w:val="33E8B99A"/>
    <w:lvl w:ilvl="0" w:tplc="01C88E68">
      <w:numFmt w:val="bullet"/>
      <w:lvlText w:val=""/>
      <w:lvlJc w:val="left"/>
      <w:pPr>
        <w:ind w:left="156" w:hanging="100"/>
      </w:pPr>
      <w:rPr>
        <w:rFonts w:ascii="Symbol" w:eastAsia="Symbol" w:hAnsi="Symbol" w:cs="Symbol" w:hint="default"/>
        <w:color w:val="231F20"/>
        <w:w w:val="100"/>
        <w:sz w:val="14"/>
        <w:szCs w:val="14"/>
      </w:rPr>
    </w:lvl>
    <w:lvl w:ilvl="1" w:tplc="D4C4FC58">
      <w:numFmt w:val="bullet"/>
      <w:lvlText w:val="•"/>
      <w:lvlJc w:val="left"/>
      <w:pPr>
        <w:ind w:left="426" w:hanging="100"/>
      </w:pPr>
      <w:rPr>
        <w:rFonts w:hint="default"/>
      </w:rPr>
    </w:lvl>
    <w:lvl w:ilvl="2" w:tplc="4BB613BA">
      <w:numFmt w:val="bullet"/>
      <w:lvlText w:val="•"/>
      <w:lvlJc w:val="left"/>
      <w:pPr>
        <w:ind w:left="692" w:hanging="100"/>
      </w:pPr>
      <w:rPr>
        <w:rFonts w:hint="default"/>
      </w:rPr>
    </w:lvl>
    <w:lvl w:ilvl="3" w:tplc="0A420946">
      <w:numFmt w:val="bullet"/>
      <w:lvlText w:val="•"/>
      <w:lvlJc w:val="left"/>
      <w:pPr>
        <w:ind w:left="959" w:hanging="100"/>
      </w:pPr>
      <w:rPr>
        <w:rFonts w:hint="default"/>
      </w:rPr>
    </w:lvl>
    <w:lvl w:ilvl="4" w:tplc="1E8AEC9A">
      <w:numFmt w:val="bullet"/>
      <w:lvlText w:val="•"/>
      <w:lvlJc w:val="left"/>
      <w:pPr>
        <w:ind w:left="1225" w:hanging="100"/>
      </w:pPr>
      <w:rPr>
        <w:rFonts w:hint="default"/>
      </w:rPr>
    </w:lvl>
    <w:lvl w:ilvl="5" w:tplc="8C1A3FF4">
      <w:numFmt w:val="bullet"/>
      <w:lvlText w:val="•"/>
      <w:lvlJc w:val="left"/>
      <w:pPr>
        <w:ind w:left="1492" w:hanging="100"/>
      </w:pPr>
      <w:rPr>
        <w:rFonts w:hint="default"/>
      </w:rPr>
    </w:lvl>
    <w:lvl w:ilvl="6" w:tplc="BD6099EE">
      <w:numFmt w:val="bullet"/>
      <w:lvlText w:val="•"/>
      <w:lvlJc w:val="left"/>
      <w:pPr>
        <w:ind w:left="1758" w:hanging="100"/>
      </w:pPr>
      <w:rPr>
        <w:rFonts w:hint="default"/>
      </w:rPr>
    </w:lvl>
    <w:lvl w:ilvl="7" w:tplc="DBD2A1AC">
      <w:numFmt w:val="bullet"/>
      <w:lvlText w:val="•"/>
      <w:lvlJc w:val="left"/>
      <w:pPr>
        <w:ind w:left="2024" w:hanging="100"/>
      </w:pPr>
      <w:rPr>
        <w:rFonts w:hint="default"/>
      </w:rPr>
    </w:lvl>
    <w:lvl w:ilvl="8" w:tplc="ADB0E71A">
      <w:numFmt w:val="bullet"/>
      <w:lvlText w:val="•"/>
      <w:lvlJc w:val="left"/>
      <w:pPr>
        <w:ind w:left="2291" w:hanging="100"/>
      </w:pPr>
      <w:rPr>
        <w:rFonts w:hint="default"/>
      </w:rPr>
    </w:lvl>
  </w:abstractNum>
  <w:abstractNum w:abstractNumId="1499" w15:restartNumberingAfterBreak="0">
    <w:nsid w:val="5D7E022F"/>
    <w:multiLevelType w:val="hybridMultilevel"/>
    <w:tmpl w:val="DA72090E"/>
    <w:lvl w:ilvl="0" w:tplc="A46AF64C">
      <w:numFmt w:val="bullet"/>
      <w:lvlText w:val=""/>
      <w:lvlJc w:val="left"/>
      <w:pPr>
        <w:ind w:left="157" w:hanging="100"/>
      </w:pPr>
      <w:rPr>
        <w:rFonts w:ascii="Symbol" w:eastAsia="Symbol" w:hAnsi="Symbol" w:cs="Symbol" w:hint="default"/>
        <w:color w:val="231F20"/>
        <w:w w:val="100"/>
        <w:sz w:val="14"/>
        <w:szCs w:val="14"/>
      </w:rPr>
    </w:lvl>
    <w:lvl w:ilvl="1" w:tplc="5C6E4EB8">
      <w:numFmt w:val="bullet"/>
      <w:lvlText w:val="•"/>
      <w:lvlJc w:val="left"/>
      <w:pPr>
        <w:ind w:left="426" w:hanging="100"/>
      </w:pPr>
      <w:rPr>
        <w:rFonts w:hint="default"/>
      </w:rPr>
    </w:lvl>
    <w:lvl w:ilvl="2" w:tplc="6AA82B02">
      <w:numFmt w:val="bullet"/>
      <w:lvlText w:val="•"/>
      <w:lvlJc w:val="left"/>
      <w:pPr>
        <w:ind w:left="692" w:hanging="100"/>
      </w:pPr>
      <w:rPr>
        <w:rFonts w:hint="default"/>
      </w:rPr>
    </w:lvl>
    <w:lvl w:ilvl="3" w:tplc="4BAA1E64">
      <w:numFmt w:val="bullet"/>
      <w:lvlText w:val="•"/>
      <w:lvlJc w:val="left"/>
      <w:pPr>
        <w:ind w:left="959" w:hanging="100"/>
      </w:pPr>
      <w:rPr>
        <w:rFonts w:hint="default"/>
      </w:rPr>
    </w:lvl>
    <w:lvl w:ilvl="4" w:tplc="4F2EEE76">
      <w:numFmt w:val="bullet"/>
      <w:lvlText w:val="•"/>
      <w:lvlJc w:val="left"/>
      <w:pPr>
        <w:ind w:left="1225" w:hanging="100"/>
      </w:pPr>
      <w:rPr>
        <w:rFonts w:hint="default"/>
      </w:rPr>
    </w:lvl>
    <w:lvl w:ilvl="5" w:tplc="DF8A562C">
      <w:numFmt w:val="bullet"/>
      <w:lvlText w:val="•"/>
      <w:lvlJc w:val="left"/>
      <w:pPr>
        <w:ind w:left="1492" w:hanging="100"/>
      </w:pPr>
      <w:rPr>
        <w:rFonts w:hint="default"/>
      </w:rPr>
    </w:lvl>
    <w:lvl w:ilvl="6" w:tplc="5EC2C47C">
      <w:numFmt w:val="bullet"/>
      <w:lvlText w:val="•"/>
      <w:lvlJc w:val="left"/>
      <w:pPr>
        <w:ind w:left="1758" w:hanging="100"/>
      </w:pPr>
      <w:rPr>
        <w:rFonts w:hint="default"/>
      </w:rPr>
    </w:lvl>
    <w:lvl w:ilvl="7" w:tplc="5B0A1B22">
      <w:numFmt w:val="bullet"/>
      <w:lvlText w:val="•"/>
      <w:lvlJc w:val="left"/>
      <w:pPr>
        <w:ind w:left="2024" w:hanging="100"/>
      </w:pPr>
      <w:rPr>
        <w:rFonts w:hint="default"/>
      </w:rPr>
    </w:lvl>
    <w:lvl w:ilvl="8" w:tplc="31946AA0">
      <w:numFmt w:val="bullet"/>
      <w:lvlText w:val="•"/>
      <w:lvlJc w:val="left"/>
      <w:pPr>
        <w:ind w:left="2291" w:hanging="100"/>
      </w:pPr>
      <w:rPr>
        <w:rFonts w:hint="default"/>
      </w:rPr>
    </w:lvl>
  </w:abstractNum>
  <w:abstractNum w:abstractNumId="1500" w15:restartNumberingAfterBreak="0">
    <w:nsid w:val="5D8038D2"/>
    <w:multiLevelType w:val="hybridMultilevel"/>
    <w:tmpl w:val="FC889B32"/>
    <w:lvl w:ilvl="0" w:tplc="4DEA7E50">
      <w:numFmt w:val="bullet"/>
      <w:lvlText w:val=""/>
      <w:lvlJc w:val="left"/>
      <w:pPr>
        <w:ind w:left="157" w:hanging="100"/>
      </w:pPr>
      <w:rPr>
        <w:rFonts w:ascii="Symbol" w:eastAsia="Symbol" w:hAnsi="Symbol" w:cs="Symbol" w:hint="default"/>
        <w:color w:val="231F20"/>
        <w:w w:val="100"/>
        <w:sz w:val="14"/>
        <w:szCs w:val="14"/>
      </w:rPr>
    </w:lvl>
    <w:lvl w:ilvl="1" w:tplc="5F104AB4">
      <w:numFmt w:val="bullet"/>
      <w:lvlText w:val="•"/>
      <w:lvlJc w:val="left"/>
      <w:pPr>
        <w:ind w:left="426" w:hanging="100"/>
      </w:pPr>
      <w:rPr>
        <w:rFonts w:hint="default"/>
      </w:rPr>
    </w:lvl>
    <w:lvl w:ilvl="2" w:tplc="6F266EDC">
      <w:numFmt w:val="bullet"/>
      <w:lvlText w:val="•"/>
      <w:lvlJc w:val="left"/>
      <w:pPr>
        <w:ind w:left="692" w:hanging="100"/>
      </w:pPr>
      <w:rPr>
        <w:rFonts w:hint="default"/>
      </w:rPr>
    </w:lvl>
    <w:lvl w:ilvl="3" w:tplc="5AAA92F0">
      <w:numFmt w:val="bullet"/>
      <w:lvlText w:val="•"/>
      <w:lvlJc w:val="left"/>
      <w:pPr>
        <w:ind w:left="959" w:hanging="100"/>
      </w:pPr>
      <w:rPr>
        <w:rFonts w:hint="default"/>
      </w:rPr>
    </w:lvl>
    <w:lvl w:ilvl="4" w:tplc="8F52B0A4">
      <w:numFmt w:val="bullet"/>
      <w:lvlText w:val="•"/>
      <w:lvlJc w:val="left"/>
      <w:pPr>
        <w:ind w:left="1225" w:hanging="100"/>
      </w:pPr>
      <w:rPr>
        <w:rFonts w:hint="default"/>
      </w:rPr>
    </w:lvl>
    <w:lvl w:ilvl="5" w:tplc="F006D266">
      <w:numFmt w:val="bullet"/>
      <w:lvlText w:val="•"/>
      <w:lvlJc w:val="left"/>
      <w:pPr>
        <w:ind w:left="1492" w:hanging="100"/>
      </w:pPr>
      <w:rPr>
        <w:rFonts w:hint="default"/>
      </w:rPr>
    </w:lvl>
    <w:lvl w:ilvl="6" w:tplc="2E9A29CA">
      <w:numFmt w:val="bullet"/>
      <w:lvlText w:val="•"/>
      <w:lvlJc w:val="left"/>
      <w:pPr>
        <w:ind w:left="1758" w:hanging="100"/>
      </w:pPr>
      <w:rPr>
        <w:rFonts w:hint="default"/>
      </w:rPr>
    </w:lvl>
    <w:lvl w:ilvl="7" w:tplc="B6C2A442">
      <w:numFmt w:val="bullet"/>
      <w:lvlText w:val="•"/>
      <w:lvlJc w:val="left"/>
      <w:pPr>
        <w:ind w:left="2024" w:hanging="100"/>
      </w:pPr>
      <w:rPr>
        <w:rFonts w:hint="default"/>
      </w:rPr>
    </w:lvl>
    <w:lvl w:ilvl="8" w:tplc="128014A2">
      <w:numFmt w:val="bullet"/>
      <w:lvlText w:val="•"/>
      <w:lvlJc w:val="left"/>
      <w:pPr>
        <w:ind w:left="2291" w:hanging="100"/>
      </w:pPr>
      <w:rPr>
        <w:rFonts w:hint="default"/>
      </w:rPr>
    </w:lvl>
  </w:abstractNum>
  <w:abstractNum w:abstractNumId="1501" w15:restartNumberingAfterBreak="0">
    <w:nsid w:val="5D861DCF"/>
    <w:multiLevelType w:val="hybridMultilevel"/>
    <w:tmpl w:val="6ED69086"/>
    <w:lvl w:ilvl="0" w:tplc="0978BCD8">
      <w:numFmt w:val="bullet"/>
      <w:lvlText w:val=""/>
      <w:lvlJc w:val="left"/>
      <w:pPr>
        <w:ind w:left="156" w:hanging="100"/>
      </w:pPr>
      <w:rPr>
        <w:rFonts w:ascii="Symbol" w:eastAsia="Symbol" w:hAnsi="Symbol" w:cs="Symbol" w:hint="default"/>
        <w:color w:val="231F20"/>
        <w:w w:val="100"/>
        <w:sz w:val="14"/>
        <w:szCs w:val="14"/>
      </w:rPr>
    </w:lvl>
    <w:lvl w:ilvl="1" w:tplc="1ABCEEAA">
      <w:numFmt w:val="bullet"/>
      <w:lvlText w:val="•"/>
      <w:lvlJc w:val="left"/>
      <w:pPr>
        <w:ind w:left="301" w:hanging="100"/>
      </w:pPr>
      <w:rPr>
        <w:rFonts w:hint="default"/>
      </w:rPr>
    </w:lvl>
    <w:lvl w:ilvl="2" w:tplc="8E54ACC2">
      <w:numFmt w:val="bullet"/>
      <w:lvlText w:val="•"/>
      <w:lvlJc w:val="left"/>
      <w:pPr>
        <w:ind w:left="443" w:hanging="100"/>
      </w:pPr>
      <w:rPr>
        <w:rFonts w:hint="default"/>
      </w:rPr>
    </w:lvl>
    <w:lvl w:ilvl="3" w:tplc="15FEEDF4">
      <w:numFmt w:val="bullet"/>
      <w:lvlText w:val="•"/>
      <w:lvlJc w:val="left"/>
      <w:pPr>
        <w:ind w:left="585" w:hanging="100"/>
      </w:pPr>
      <w:rPr>
        <w:rFonts w:hint="default"/>
      </w:rPr>
    </w:lvl>
    <w:lvl w:ilvl="4" w:tplc="5240BD9E">
      <w:numFmt w:val="bullet"/>
      <w:lvlText w:val="•"/>
      <w:lvlJc w:val="left"/>
      <w:pPr>
        <w:ind w:left="726" w:hanging="100"/>
      </w:pPr>
      <w:rPr>
        <w:rFonts w:hint="default"/>
      </w:rPr>
    </w:lvl>
    <w:lvl w:ilvl="5" w:tplc="E99A42EC">
      <w:numFmt w:val="bullet"/>
      <w:lvlText w:val="•"/>
      <w:lvlJc w:val="left"/>
      <w:pPr>
        <w:ind w:left="868" w:hanging="100"/>
      </w:pPr>
      <w:rPr>
        <w:rFonts w:hint="default"/>
      </w:rPr>
    </w:lvl>
    <w:lvl w:ilvl="6" w:tplc="E730CAC6">
      <w:numFmt w:val="bullet"/>
      <w:lvlText w:val="•"/>
      <w:lvlJc w:val="left"/>
      <w:pPr>
        <w:ind w:left="1010" w:hanging="100"/>
      </w:pPr>
      <w:rPr>
        <w:rFonts w:hint="default"/>
      </w:rPr>
    </w:lvl>
    <w:lvl w:ilvl="7" w:tplc="B33CA7B4">
      <w:numFmt w:val="bullet"/>
      <w:lvlText w:val="•"/>
      <w:lvlJc w:val="left"/>
      <w:pPr>
        <w:ind w:left="1151" w:hanging="100"/>
      </w:pPr>
      <w:rPr>
        <w:rFonts w:hint="default"/>
      </w:rPr>
    </w:lvl>
    <w:lvl w:ilvl="8" w:tplc="1B8ACD24">
      <w:numFmt w:val="bullet"/>
      <w:lvlText w:val="•"/>
      <w:lvlJc w:val="left"/>
      <w:pPr>
        <w:ind w:left="1293" w:hanging="100"/>
      </w:pPr>
      <w:rPr>
        <w:rFonts w:hint="default"/>
      </w:rPr>
    </w:lvl>
  </w:abstractNum>
  <w:abstractNum w:abstractNumId="1502" w15:restartNumberingAfterBreak="0">
    <w:nsid w:val="5DD45D91"/>
    <w:multiLevelType w:val="hybridMultilevel"/>
    <w:tmpl w:val="AE7EA962"/>
    <w:lvl w:ilvl="0" w:tplc="AAD412D4">
      <w:numFmt w:val="bullet"/>
      <w:lvlText w:val=""/>
      <w:lvlJc w:val="left"/>
      <w:pPr>
        <w:ind w:left="156" w:hanging="100"/>
      </w:pPr>
      <w:rPr>
        <w:rFonts w:ascii="Symbol" w:eastAsia="Symbol" w:hAnsi="Symbol" w:cs="Symbol" w:hint="default"/>
        <w:color w:val="231F20"/>
        <w:w w:val="100"/>
        <w:sz w:val="14"/>
        <w:szCs w:val="14"/>
      </w:rPr>
    </w:lvl>
    <w:lvl w:ilvl="1" w:tplc="CB2E316E">
      <w:numFmt w:val="bullet"/>
      <w:lvlText w:val="•"/>
      <w:lvlJc w:val="left"/>
      <w:pPr>
        <w:ind w:left="301" w:hanging="100"/>
      </w:pPr>
      <w:rPr>
        <w:rFonts w:hint="default"/>
      </w:rPr>
    </w:lvl>
    <w:lvl w:ilvl="2" w:tplc="A88CA3C0">
      <w:numFmt w:val="bullet"/>
      <w:lvlText w:val="•"/>
      <w:lvlJc w:val="left"/>
      <w:pPr>
        <w:ind w:left="443" w:hanging="100"/>
      </w:pPr>
      <w:rPr>
        <w:rFonts w:hint="default"/>
      </w:rPr>
    </w:lvl>
    <w:lvl w:ilvl="3" w:tplc="A9CA1E6A">
      <w:numFmt w:val="bullet"/>
      <w:lvlText w:val="•"/>
      <w:lvlJc w:val="left"/>
      <w:pPr>
        <w:ind w:left="585" w:hanging="100"/>
      </w:pPr>
      <w:rPr>
        <w:rFonts w:hint="default"/>
      </w:rPr>
    </w:lvl>
    <w:lvl w:ilvl="4" w:tplc="3B5EE3FE">
      <w:numFmt w:val="bullet"/>
      <w:lvlText w:val="•"/>
      <w:lvlJc w:val="left"/>
      <w:pPr>
        <w:ind w:left="726" w:hanging="100"/>
      </w:pPr>
      <w:rPr>
        <w:rFonts w:hint="default"/>
      </w:rPr>
    </w:lvl>
    <w:lvl w:ilvl="5" w:tplc="30E2CCFC">
      <w:numFmt w:val="bullet"/>
      <w:lvlText w:val="•"/>
      <w:lvlJc w:val="left"/>
      <w:pPr>
        <w:ind w:left="868" w:hanging="100"/>
      </w:pPr>
      <w:rPr>
        <w:rFonts w:hint="default"/>
      </w:rPr>
    </w:lvl>
    <w:lvl w:ilvl="6" w:tplc="9CB2C4A8">
      <w:numFmt w:val="bullet"/>
      <w:lvlText w:val="•"/>
      <w:lvlJc w:val="left"/>
      <w:pPr>
        <w:ind w:left="1010" w:hanging="100"/>
      </w:pPr>
      <w:rPr>
        <w:rFonts w:hint="default"/>
      </w:rPr>
    </w:lvl>
    <w:lvl w:ilvl="7" w:tplc="E194827A">
      <w:numFmt w:val="bullet"/>
      <w:lvlText w:val="•"/>
      <w:lvlJc w:val="left"/>
      <w:pPr>
        <w:ind w:left="1151" w:hanging="100"/>
      </w:pPr>
      <w:rPr>
        <w:rFonts w:hint="default"/>
      </w:rPr>
    </w:lvl>
    <w:lvl w:ilvl="8" w:tplc="1AD25ED8">
      <w:numFmt w:val="bullet"/>
      <w:lvlText w:val="•"/>
      <w:lvlJc w:val="left"/>
      <w:pPr>
        <w:ind w:left="1293" w:hanging="100"/>
      </w:pPr>
      <w:rPr>
        <w:rFonts w:hint="default"/>
      </w:rPr>
    </w:lvl>
  </w:abstractNum>
  <w:abstractNum w:abstractNumId="1503" w15:restartNumberingAfterBreak="0">
    <w:nsid w:val="5DDA2FE0"/>
    <w:multiLevelType w:val="hybridMultilevel"/>
    <w:tmpl w:val="C10C6356"/>
    <w:lvl w:ilvl="0" w:tplc="781C2CDE">
      <w:numFmt w:val="bullet"/>
      <w:lvlText w:val=""/>
      <w:lvlJc w:val="left"/>
      <w:pPr>
        <w:ind w:left="156" w:hanging="100"/>
      </w:pPr>
      <w:rPr>
        <w:rFonts w:ascii="Symbol" w:eastAsia="Symbol" w:hAnsi="Symbol" w:cs="Symbol" w:hint="default"/>
        <w:color w:val="231F20"/>
        <w:w w:val="100"/>
        <w:sz w:val="14"/>
        <w:szCs w:val="14"/>
      </w:rPr>
    </w:lvl>
    <w:lvl w:ilvl="1" w:tplc="8EE8BD80">
      <w:numFmt w:val="bullet"/>
      <w:lvlText w:val="•"/>
      <w:lvlJc w:val="left"/>
      <w:pPr>
        <w:ind w:left="426" w:hanging="100"/>
      </w:pPr>
      <w:rPr>
        <w:rFonts w:hint="default"/>
      </w:rPr>
    </w:lvl>
    <w:lvl w:ilvl="2" w:tplc="56206E66">
      <w:numFmt w:val="bullet"/>
      <w:lvlText w:val="•"/>
      <w:lvlJc w:val="left"/>
      <w:pPr>
        <w:ind w:left="692" w:hanging="100"/>
      </w:pPr>
      <w:rPr>
        <w:rFonts w:hint="default"/>
      </w:rPr>
    </w:lvl>
    <w:lvl w:ilvl="3" w:tplc="C3A8C072">
      <w:numFmt w:val="bullet"/>
      <w:lvlText w:val="•"/>
      <w:lvlJc w:val="left"/>
      <w:pPr>
        <w:ind w:left="959" w:hanging="100"/>
      </w:pPr>
      <w:rPr>
        <w:rFonts w:hint="default"/>
      </w:rPr>
    </w:lvl>
    <w:lvl w:ilvl="4" w:tplc="781AE23C">
      <w:numFmt w:val="bullet"/>
      <w:lvlText w:val="•"/>
      <w:lvlJc w:val="left"/>
      <w:pPr>
        <w:ind w:left="1225" w:hanging="100"/>
      </w:pPr>
      <w:rPr>
        <w:rFonts w:hint="default"/>
      </w:rPr>
    </w:lvl>
    <w:lvl w:ilvl="5" w:tplc="B3D216FA">
      <w:numFmt w:val="bullet"/>
      <w:lvlText w:val="•"/>
      <w:lvlJc w:val="left"/>
      <w:pPr>
        <w:ind w:left="1492" w:hanging="100"/>
      </w:pPr>
      <w:rPr>
        <w:rFonts w:hint="default"/>
      </w:rPr>
    </w:lvl>
    <w:lvl w:ilvl="6" w:tplc="BAE6808C">
      <w:numFmt w:val="bullet"/>
      <w:lvlText w:val="•"/>
      <w:lvlJc w:val="left"/>
      <w:pPr>
        <w:ind w:left="1758" w:hanging="100"/>
      </w:pPr>
      <w:rPr>
        <w:rFonts w:hint="default"/>
      </w:rPr>
    </w:lvl>
    <w:lvl w:ilvl="7" w:tplc="06B475CE">
      <w:numFmt w:val="bullet"/>
      <w:lvlText w:val="•"/>
      <w:lvlJc w:val="left"/>
      <w:pPr>
        <w:ind w:left="2024" w:hanging="100"/>
      </w:pPr>
      <w:rPr>
        <w:rFonts w:hint="default"/>
      </w:rPr>
    </w:lvl>
    <w:lvl w:ilvl="8" w:tplc="C734CEF2">
      <w:numFmt w:val="bullet"/>
      <w:lvlText w:val="•"/>
      <w:lvlJc w:val="left"/>
      <w:pPr>
        <w:ind w:left="2291" w:hanging="100"/>
      </w:pPr>
      <w:rPr>
        <w:rFonts w:hint="default"/>
      </w:rPr>
    </w:lvl>
  </w:abstractNum>
  <w:abstractNum w:abstractNumId="1504" w15:restartNumberingAfterBreak="0">
    <w:nsid w:val="5DDD2220"/>
    <w:multiLevelType w:val="hybridMultilevel"/>
    <w:tmpl w:val="BD366920"/>
    <w:lvl w:ilvl="0" w:tplc="709C74D4">
      <w:numFmt w:val="bullet"/>
      <w:lvlText w:val=""/>
      <w:lvlJc w:val="left"/>
      <w:pPr>
        <w:ind w:left="156" w:hanging="100"/>
      </w:pPr>
      <w:rPr>
        <w:rFonts w:ascii="Symbol" w:eastAsia="Symbol" w:hAnsi="Symbol" w:cs="Symbol" w:hint="default"/>
        <w:color w:val="231F20"/>
        <w:w w:val="100"/>
        <w:sz w:val="14"/>
        <w:szCs w:val="14"/>
      </w:rPr>
    </w:lvl>
    <w:lvl w:ilvl="1" w:tplc="72AA5C4A">
      <w:numFmt w:val="bullet"/>
      <w:lvlText w:val="•"/>
      <w:lvlJc w:val="left"/>
      <w:pPr>
        <w:ind w:left="426" w:hanging="100"/>
      </w:pPr>
      <w:rPr>
        <w:rFonts w:hint="default"/>
      </w:rPr>
    </w:lvl>
    <w:lvl w:ilvl="2" w:tplc="1E9821C2">
      <w:numFmt w:val="bullet"/>
      <w:lvlText w:val="•"/>
      <w:lvlJc w:val="left"/>
      <w:pPr>
        <w:ind w:left="692" w:hanging="100"/>
      </w:pPr>
      <w:rPr>
        <w:rFonts w:hint="default"/>
      </w:rPr>
    </w:lvl>
    <w:lvl w:ilvl="3" w:tplc="78746514">
      <w:numFmt w:val="bullet"/>
      <w:lvlText w:val="•"/>
      <w:lvlJc w:val="left"/>
      <w:pPr>
        <w:ind w:left="959" w:hanging="100"/>
      </w:pPr>
      <w:rPr>
        <w:rFonts w:hint="default"/>
      </w:rPr>
    </w:lvl>
    <w:lvl w:ilvl="4" w:tplc="45B4752E">
      <w:numFmt w:val="bullet"/>
      <w:lvlText w:val="•"/>
      <w:lvlJc w:val="left"/>
      <w:pPr>
        <w:ind w:left="1225" w:hanging="100"/>
      </w:pPr>
      <w:rPr>
        <w:rFonts w:hint="default"/>
      </w:rPr>
    </w:lvl>
    <w:lvl w:ilvl="5" w:tplc="03E6C742">
      <w:numFmt w:val="bullet"/>
      <w:lvlText w:val="•"/>
      <w:lvlJc w:val="left"/>
      <w:pPr>
        <w:ind w:left="1492" w:hanging="100"/>
      </w:pPr>
      <w:rPr>
        <w:rFonts w:hint="default"/>
      </w:rPr>
    </w:lvl>
    <w:lvl w:ilvl="6" w:tplc="BAE469EA">
      <w:numFmt w:val="bullet"/>
      <w:lvlText w:val="•"/>
      <w:lvlJc w:val="left"/>
      <w:pPr>
        <w:ind w:left="1758" w:hanging="100"/>
      </w:pPr>
      <w:rPr>
        <w:rFonts w:hint="default"/>
      </w:rPr>
    </w:lvl>
    <w:lvl w:ilvl="7" w:tplc="8E222C78">
      <w:numFmt w:val="bullet"/>
      <w:lvlText w:val="•"/>
      <w:lvlJc w:val="left"/>
      <w:pPr>
        <w:ind w:left="2024" w:hanging="100"/>
      </w:pPr>
      <w:rPr>
        <w:rFonts w:hint="default"/>
      </w:rPr>
    </w:lvl>
    <w:lvl w:ilvl="8" w:tplc="735E3F08">
      <w:numFmt w:val="bullet"/>
      <w:lvlText w:val="•"/>
      <w:lvlJc w:val="left"/>
      <w:pPr>
        <w:ind w:left="2291" w:hanging="100"/>
      </w:pPr>
      <w:rPr>
        <w:rFonts w:hint="default"/>
      </w:rPr>
    </w:lvl>
  </w:abstractNum>
  <w:abstractNum w:abstractNumId="1505" w15:restartNumberingAfterBreak="0">
    <w:nsid w:val="5DF00919"/>
    <w:multiLevelType w:val="hybridMultilevel"/>
    <w:tmpl w:val="84065226"/>
    <w:lvl w:ilvl="0" w:tplc="CC4AAE3E">
      <w:numFmt w:val="bullet"/>
      <w:lvlText w:val=""/>
      <w:lvlJc w:val="left"/>
      <w:pPr>
        <w:ind w:left="156" w:hanging="100"/>
      </w:pPr>
      <w:rPr>
        <w:rFonts w:ascii="Symbol" w:eastAsia="Symbol" w:hAnsi="Symbol" w:cs="Symbol" w:hint="default"/>
        <w:color w:val="231F20"/>
        <w:w w:val="100"/>
        <w:sz w:val="14"/>
        <w:szCs w:val="14"/>
      </w:rPr>
    </w:lvl>
    <w:lvl w:ilvl="1" w:tplc="EFAA132C">
      <w:numFmt w:val="bullet"/>
      <w:lvlText w:val="•"/>
      <w:lvlJc w:val="left"/>
      <w:pPr>
        <w:ind w:left="301" w:hanging="100"/>
      </w:pPr>
      <w:rPr>
        <w:rFonts w:hint="default"/>
      </w:rPr>
    </w:lvl>
    <w:lvl w:ilvl="2" w:tplc="01C6696A">
      <w:numFmt w:val="bullet"/>
      <w:lvlText w:val="•"/>
      <w:lvlJc w:val="left"/>
      <w:pPr>
        <w:ind w:left="443" w:hanging="100"/>
      </w:pPr>
      <w:rPr>
        <w:rFonts w:hint="default"/>
      </w:rPr>
    </w:lvl>
    <w:lvl w:ilvl="3" w:tplc="8D58D26E">
      <w:numFmt w:val="bullet"/>
      <w:lvlText w:val="•"/>
      <w:lvlJc w:val="left"/>
      <w:pPr>
        <w:ind w:left="585" w:hanging="100"/>
      </w:pPr>
      <w:rPr>
        <w:rFonts w:hint="default"/>
      </w:rPr>
    </w:lvl>
    <w:lvl w:ilvl="4" w:tplc="6EB0C7C0">
      <w:numFmt w:val="bullet"/>
      <w:lvlText w:val="•"/>
      <w:lvlJc w:val="left"/>
      <w:pPr>
        <w:ind w:left="726" w:hanging="100"/>
      </w:pPr>
      <w:rPr>
        <w:rFonts w:hint="default"/>
      </w:rPr>
    </w:lvl>
    <w:lvl w:ilvl="5" w:tplc="ADBEFC6C">
      <w:numFmt w:val="bullet"/>
      <w:lvlText w:val="•"/>
      <w:lvlJc w:val="left"/>
      <w:pPr>
        <w:ind w:left="868" w:hanging="100"/>
      </w:pPr>
      <w:rPr>
        <w:rFonts w:hint="default"/>
      </w:rPr>
    </w:lvl>
    <w:lvl w:ilvl="6" w:tplc="5240E552">
      <w:numFmt w:val="bullet"/>
      <w:lvlText w:val="•"/>
      <w:lvlJc w:val="left"/>
      <w:pPr>
        <w:ind w:left="1010" w:hanging="100"/>
      </w:pPr>
      <w:rPr>
        <w:rFonts w:hint="default"/>
      </w:rPr>
    </w:lvl>
    <w:lvl w:ilvl="7" w:tplc="11B482FA">
      <w:numFmt w:val="bullet"/>
      <w:lvlText w:val="•"/>
      <w:lvlJc w:val="left"/>
      <w:pPr>
        <w:ind w:left="1151" w:hanging="100"/>
      </w:pPr>
      <w:rPr>
        <w:rFonts w:hint="default"/>
      </w:rPr>
    </w:lvl>
    <w:lvl w:ilvl="8" w:tplc="4D9E2D08">
      <w:numFmt w:val="bullet"/>
      <w:lvlText w:val="•"/>
      <w:lvlJc w:val="left"/>
      <w:pPr>
        <w:ind w:left="1293" w:hanging="100"/>
      </w:pPr>
      <w:rPr>
        <w:rFonts w:hint="default"/>
      </w:rPr>
    </w:lvl>
  </w:abstractNum>
  <w:abstractNum w:abstractNumId="1506" w15:restartNumberingAfterBreak="0">
    <w:nsid w:val="5E2628C4"/>
    <w:multiLevelType w:val="hybridMultilevel"/>
    <w:tmpl w:val="4478FF98"/>
    <w:lvl w:ilvl="0" w:tplc="F15E4B90">
      <w:numFmt w:val="bullet"/>
      <w:lvlText w:val=""/>
      <w:lvlJc w:val="left"/>
      <w:pPr>
        <w:ind w:left="157" w:hanging="100"/>
      </w:pPr>
      <w:rPr>
        <w:rFonts w:ascii="Symbol" w:eastAsia="Symbol" w:hAnsi="Symbol" w:cs="Symbol" w:hint="default"/>
        <w:color w:val="231F20"/>
        <w:w w:val="100"/>
        <w:sz w:val="14"/>
        <w:szCs w:val="14"/>
      </w:rPr>
    </w:lvl>
    <w:lvl w:ilvl="1" w:tplc="5B345D74">
      <w:numFmt w:val="bullet"/>
      <w:lvlText w:val="•"/>
      <w:lvlJc w:val="left"/>
      <w:pPr>
        <w:ind w:left="398" w:hanging="100"/>
      </w:pPr>
      <w:rPr>
        <w:rFonts w:hint="default"/>
      </w:rPr>
    </w:lvl>
    <w:lvl w:ilvl="2" w:tplc="A83A3404">
      <w:numFmt w:val="bullet"/>
      <w:lvlText w:val="•"/>
      <w:lvlJc w:val="left"/>
      <w:pPr>
        <w:ind w:left="636" w:hanging="100"/>
      </w:pPr>
      <w:rPr>
        <w:rFonts w:hint="default"/>
      </w:rPr>
    </w:lvl>
    <w:lvl w:ilvl="3" w:tplc="FA2E5A62">
      <w:numFmt w:val="bullet"/>
      <w:lvlText w:val="•"/>
      <w:lvlJc w:val="left"/>
      <w:pPr>
        <w:ind w:left="874" w:hanging="100"/>
      </w:pPr>
      <w:rPr>
        <w:rFonts w:hint="default"/>
      </w:rPr>
    </w:lvl>
    <w:lvl w:ilvl="4" w:tplc="EFF2A6B2">
      <w:numFmt w:val="bullet"/>
      <w:lvlText w:val="•"/>
      <w:lvlJc w:val="left"/>
      <w:pPr>
        <w:ind w:left="1112" w:hanging="100"/>
      </w:pPr>
      <w:rPr>
        <w:rFonts w:hint="default"/>
      </w:rPr>
    </w:lvl>
    <w:lvl w:ilvl="5" w:tplc="7BD07838">
      <w:numFmt w:val="bullet"/>
      <w:lvlText w:val="•"/>
      <w:lvlJc w:val="left"/>
      <w:pPr>
        <w:ind w:left="1350" w:hanging="100"/>
      </w:pPr>
      <w:rPr>
        <w:rFonts w:hint="default"/>
      </w:rPr>
    </w:lvl>
    <w:lvl w:ilvl="6" w:tplc="9BB85572">
      <w:numFmt w:val="bullet"/>
      <w:lvlText w:val="•"/>
      <w:lvlJc w:val="left"/>
      <w:pPr>
        <w:ind w:left="1588" w:hanging="100"/>
      </w:pPr>
      <w:rPr>
        <w:rFonts w:hint="default"/>
      </w:rPr>
    </w:lvl>
    <w:lvl w:ilvl="7" w:tplc="87FE9606">
      <w:numFmt w:val="bullet"/>
      <w:lvlText w:val="•"/>
      <w:lvlJc w:val="left"/>
      <w:pPr>
        <w:ind w:left="1826" w:hanging="100"/>
      </w:pPr>
      <w:rPr>
        <w:rFonts w:hint="default"/>
      </w:rPr>
    </w:lvl>
    <w:lvl w:ilvl="8" w:tplc="DE829B00">
      <w:numFmt w:val="bullet"/>
      <w:lvlText w:val="•"/>
      <w:lvlJc w:val="left"/>
      <w:pPr>
        <w:ind w:left="2064" w:hanging="100"/>
      </w:pPr>
      <w:rPr>
        <w:rFonts w:hint="default"/>
      </w:rPr>
    </w:lvl>
  </w:abstractNum>
  <w:abstractNum w:abstractNumId="1507" w15:restartNumberingAfterBreak="0">
    <w:nsid w:val="5E372C1E"/>
    <w:multiLevelType w:val="hybridMultilevel"/>
    <w:tmpl w:val="7A929B64"/>
    <w:lvl w:ilvl="0" w:tplc="FAFC2D94">
      <w:numFmt w:val="bullet"/>
      <w:lvlText w:val=""/>
      <w:lvlJc w:val="left"/>
      <w:pPr>
        <w:ind w:left="156" w:hanging="100"/>
      </w:pPr>
      <w:rPr>
        <w:rFonts w:ascii="Symbol" w:eastAsia="Symbol" w:hAnsi="Symbol" w:cs="Symbol" w:hint="default"/>
        <w:color w:val="231F20"/>
        <w:w w:val="100"/>
        <w:sz w:val="14"/>
        <w:szCs w:val="14"/>
      </w:rPr>
    </w:lvl>
    <w:lvl w:ilvl="1" w:tplc="D1DC9120">
      <w:numFmt w:val="bullet"/>
      <w:lvlText w:val="•"/>
      <w:lvlJc w:val="left"/>
      <w:pPr>
        <w:ind w:left="398" w:hanging="100"/>
      </w:pPr>
      <w:rPr>
        <w:rFonts w:hint="default"/>
      </w:rPr>
    </w:lvl>
    <w:lvl w:ilvl="2" w:tplc="1E786C4E">
      <w:numFmt w:val="bullet"/>
      <w:lvlText w:val="•"/>
      <w:lvlJc w:val="left"/>
      <w:pPr>
        <w:ind w:left="636" w:hanging="100"/>
      </w:pPr>
      <w:rPr>
        <w:rFonts w:hint="default"/>
      </w:rPr>
    </w:lvl>
    <w:lvl w:ilvl="3" w:tplc="5FB07F1E">
      <w:numFmt w:val="bullet"/>
      <w:lvlText w:val="•"/>
      <w:lvlJc w:val="left"/>
      <w:pPr>
        <w:ind w:left="874" w:hanging="100"/>
      </w:pPr>
      <w:rPr>
        <w:rFonts w:hint="default"/>
      </w:rPr>
    </w:lvl>
    <w:lvl w:ilvl="4" w:tplc="38E89B7E">
      <w:numFmt w:val="bullet"/>
      <w:lvlText w:val="•"/>
      <w:lvlJc w:val="left"/>
      <w:pPr>
        <w:ind w:left="1112" w:hanging="100"/>
      </w:pPr>
      <w:rPr>
        <w:rFonts w:hint="default"/>
      </w:rPr>
    </w:lvl>
    <w:lvl w:ilvl="5" w:tplc="C4A23850">
      <w:numFmt w:val="bullet"/>
      <w:lvlText w:val="•"/>
      <w:lvlJc w:val="left"/>
      <w:pPr>
        <w:ind w:left="1350" w:hanging="100"/>
      </w:pPr>
      <w:rPr>
        <w:rFonts w:hint="default"/>
      </w:rPr>
    </w:lvl>
    <w:lvl w:ilvl="6" w:tplc="E33CF0D6">
      <w:numFmt w:val="bullet"/>
      <w:lvlText w:val="•"/>
      <w:lvlJc w:val="left"/>
      <w:pPr>
        <w:ind w:left="1588" w:hanging="100"/>
      </w:pPr>
      <w:rPr>
        <w:rFonts w:hint="default"/>
      </w:rPr>
    </w:lvl>
    <w:lvl w:ilvl="7" w:tplc="092A0848">
      <w:numFmt w:val="bullet"/>
      <w:lvlText w:val="•"/>
      <w:lvlJc w:val="left"/>
      <w:pPr>
        <w:ind w:left="1826" w:hanging="100"/>
      </w:pPr>
      <w:rPr>
        <w:rFonts w:hint="default"/>
      </w:rPr>
    </w:lvl>
    <w:lvl w:ilvl="8" w:tplc="06462D6A">
      <w:numFmt w:val="bullet"/>
      <w:lvlText w:val="•"/>
      <w:lvlJc w:val="left"/>
      <w:pPr>
        <w:ind w:left="2064" w:hanging="100"/>
      </w:pPr>
      <w:rPr>
        <w:rFonts w:hint="default"/>
      </w:rPr>
    </w:lvl>
  </w:abstractNum>
  <w:abstractNum w:abstractNumId="1508" w15:restartNumberingAfterBreak="0">
    <w:nsid w:val="5E400C57"/>
    <w:multiLevelType w:val="hybridMultilevel"/>
    <w:tmpl w:val="28ACAC4E"/>
    <w:lvl w:ilvl="0" w:tplc="C49E9974">
      <w:numFmt w:val="bullet"/>
      <w:lvlText w:val=""/>
      <w:lvlJc w:val="left"/>
      <w:pPr>
        <w:ind w:left="157" w:hanging="100"/>
      </w:pPr>
      <w:rPr>
        <w:rFonts w:ascii="Symbol" w:eastAsia="Symbol" w:hAnsi="Symbol" w:cs="Symbol" w:hint="default"/>
        <w:color w:val="231F20"/>
        <w:w w:val="100"/>
        <w:sz w:val="14"/>
        <w:szCs w:val="14"/>
      </w:rPr>
    </w:lvl>
    <w:lvl w:ilvl="1" w:tplc="78861980">
      <w:numFmt w:val="bullet"/>
      <w:lvlText w:val="•"/>
      <w:lvlJc w:val="left"/>
      <w:pPr>
        <w:ind w:left="369" w:hanging="100"/>
      </w:pPr>
      <w:rPr>
        <w:rFonts w:hint="default"/>
      </w:rPr>
    </w:lvl>
    <w:lvl w:ilvl="2" w:tplc="91D88A2A">
      <w:numFmt w:val="bullet"/>
      <w:lvlText w:val="•"/>
      <w:lvlJc w:val="left"/>
      <w:pPr>
        <w:ind w:left="579" w:hanging="100"/>
      </w:pPr>
      <w:rPr>
        <w:rFonts w:hint="default"/>
      </w:rPr>
    </w:lvl>
    <w:lvl w:ilvl="3" w:tplc="D0B8B0B2">
      <w:numFmt w:val="bullet"/>
      <w:lvlText w:val="•"/>
      <w:lvlJc w:val="left"/>
      <w:pPr>
        <w:ind w:left="789" w:hanging="100"/>
      </w:pPr>
      <w:rPr>
        <w:rFonts w:hint="default"/>
      </w:rPr>
    </w:lvl>
    <w:lvl w:ilvl="4" w:tplc="5032F708">
      <w:numFmt w:val="bullet"/>
      <w:lvlText w:val="•"/>
      <w:lvlJc w:val="left"/>
      <w:pPr>
        <w:ind w:left="998" w:hanging="100"/>
      </w:pPr>
      <w:rPr>
        <w:rFonts w:hint="default"/>
      </w:rPr>
    </w:lvl>
    <w:lvl w:ilvl="5" w:tplc="9662D87C">
      <w:numFmt w:val="bullet"/>
      <w:lvlText w:val="•"/>
      <w:lvlJc w:val="left"/>
      <w:pPr>
        <w:ind w:left="1208" w:hanging="100"/>
      </w:pPr>
      <w:rPr>
        <w:rFonts w:hint="default"/>
      </w:rPr>
    </w:lvl>
    <w:lvl w:ilvl="6" w:tplc="92ECF54E">
      <w:numFmt w:val="bullet"/>
      <w:lvlText w:val="•"/>
      <w:lvlJc w:val="left"/>
      <w:pPr>
        <w:ind w:left="1418" w:hanging="100"/>
      </w:pPr>
      <w:rPr>
        <w:rFonts w:hint="default"/>
      </w:rPr>
    </w:lvl>
    <w:lvl w:ilvl="7" w:tplc="64AEC7A6">
      <w:numFmt w:val="bullet"/>
      <w:lvlText w:val="•"/>
      <w:lvlJc w:val="left"/>
      <w:pPr>
        <w:ind w:left="1627" w:hanging="100"/>
      </w:pPr>
      <w:rPr>
        <w:rFonts w:hint="default"/>
      </w:rPr>
    </w:lvl>
    <w:lvl w:ilvl="8" w:tplc="A300DDC2">
      <w:numFmt w:val="bullet"/>
      <w:lvlText w:val="•"/>
      <w:lvlJc w:val="left"/>
      <w:pPr>
        <w:ind w:left="1837" w:hanging="100"/>
      </w:pPr>
      <w:rPr>
        <w:rFonts w:hint="default"/>
      </w:rPr>
    </w:lvl>
  </w:abstractNum>
  <w:abstractNum w:abstractNumId="1509" w15:restartNumberingAfterBreak="0">
    <w:nsid w:val="5E610222"/>
    <w:multiLevelType w:val="hybridMultilevel"/>
    <w:tmpl w:val="0C6E5472"/>
    <w:lvl w:ilvl="0" w:tplc="ECD67AD8">
      <w:numFmt w:val="bullet"/>
      <w:lvlText w:val=""/>
      <w:lvlJc w:val="left"/>
      <w:pPr>
        <w:ind w:left="156" w:hanging="100"/>
      </w:pPr>
      <w:rPr>
        <w:rFonts w:ascii="Symbol" w:eastAsia="Symbol" w:hAnsi="Symbol" w:cs="Symbol" w:hint="default"/>
        <w:color w:val="231F20"/>
        <w:w w:val="100"/>
        <w:sz w:val="14"/>
        <w:szCs w:val="14"/>
      </w:rPr>
    </w:lvl>
    <w:lvl w:ilvl="1" w:tplc="4006AD0A">
      <w:numFmt w:val="bullet"/>
      <w:lvlText w:val="•"/>
      <w:lvlJc w:val="left"/>
      <w:pPr>
        <w:ind w:left="398" w:hanging="100"/>
      </w:pPr>
      <w:rPr>
        <w:rFonts w:hint="default"/>
      </w:rPr>
    </w:lvl>
    <w:lvl w:ilvl="2" w:tplc="0D4C67F8">
      <w:numFmt w:val="bullet"/>
      <w:lvlText w:val="•"/>
      <w:lvlJc w:val="left"/>
      <w:pPr>
        <w:ind w:left="636" w:hanging="100"/>
      </w:pPr>
      <w:rPr>
        <w:rFonts w:hint="default"/>
      </w:rPr>
    </w:lvl>
    <w:lvl w:ilvl="3" w:tplc="2BE44364">
      <w:numFmt w:val="bullet"/>
      <w:lvlText w:val="•"/>
      <w:lvlJc w:val="left"/>
      <w:pPr>
        <w:ind w:left="874" w:hanging="100"/>
      </w:pPr>
      <w:rPr>
        <w:rFonts w:hint="default"/>
      </w:rPr>
    </w:lvl>
    <w:lvl w:ilvl="4" w:tplc="AC0AA402">
      <w:numFmt w:val="bullet"/>
      <w:lvlText w:val="•"/>
      <w:lvlJc w:val="left"/>
      <w:pPr>
        <w:ind w:left="1112" w:hanging="100"/>
      </w:pPr>
      <w:rPr>
        <w:rFonts w:hint="default"/>
      </w:rPr>
    </w:lvl>
    <w:lvl w:ilvl="5" w:tplc="9418E252">
      <w:numFmt w:val="bullet"/>
      <w:lvlText w:val="•"/>
      <w:lvlJc w:val="left"/>
      <w:pPr>
        <w:ind w:left="1350" w:hanging="100"/>
      </w:pPr>
      <w:rPr>
        <w:rFonts w:hint="default"/>
      </w:rPr>
    </w:lvl>
    <w:lvl w:ilvl="6" w:tplc="1D7EF158">
      <w:numFmt w:val="bullet"/>
      <w:lvlText w:val="•"/>
      <w:lvlJc w:val="left"/>
      <w:pPr>
        <w:ind w:left="1588" w:hanging="100"/>
      </w:pPr>
      <w:rPr>
        <w:rFonts w:hint="default"/>
      </w:rPr>
    </w:lvl>
    <w:lvl w:ilvl="7" w:tplc="728E20B4">
      <w:numFmt w:val="bullet"/>
      <w:lvlText w:val="•"/>
      <w:lvlJc w:val="left"/>
      <w:pPr>
        <w:ind w:left="1826" w:hanging="100"/>
      </w:pPr>
      <w:rPr>
        <w:rFonts w:hint="default"/>
      </w:rPr>
    </w:lvl>
    <w:lvl w:ilvl="8" w:tplc="159662A4">
      <w:numFmt w:val="bullet"/>
      <w:lvlText w:val="•"/>
      <w:lvlJc w:val="left"/>
      <w:pPr>
        <w:ind w:left="2064" w:hanging="100"/>
      </w:pPr>
      <w:rPr>
        <w:rFonts w:hint="default"/>
      </w:rPr>
    </w:lvl>
  </w:abstractNum>
  <w:abstractNum w:abstractNumId="1510" w15:restartNumberingAfterBreak="0">
    <w:nsid w:val="5E6A5007"/>
    <w:multiLevelType w:val="hybridMultilevel"/>
    <w:tmpl w:val="BDA04BBC"/>
    <w:lvl w:ilvl="0" w:tplc="CB2004AE">
      <w:numFmt w:val="bullet"/>
      <w:lvlText w:val=""/>
      <w:lvlJc w:val="left"/>
      <w:pPr>
        <w:ind w:left="156" w:hanging="100"/>
      </w:pPr>
      <w:rPr>
        <w:rFonts w:ascii="Symbol" w:eastAsia="Symbol" w:hAnsi="Symbol" w:cs="Symbol" w:hint="default"/>
        <w:color w:val="231F20"/>
        <w:w w:val="100"/>
        <w:sz w:val="14"/>
        <w:szCs w:val="14"/>
      </w:rPr>
    </w:lvl>
    <w:lvl w:ilvl="1" w:tplc="FA2872F0">
      <w:numFmt w:val="bullet"/>
      <w:lvlText w:val="•"/>
      <w:lvlJc w:val="left"/>
      <w:pPr>
        <w:ind w:left="301" w:hanging="100"/>
      </w:pPr>
      <w:rPr>
        <w:rFonts w:hint="default"/>
      </w:rPr>
    </w:lvl>
    <w:lvl w:ilvl="2" w:tplc="ED940FAE">
      <w:numFmt w:val="bullet"/>
      <w:lvlText w:val="•"/>
      <w:lvlJc w:val="left"/>
      <w:pPr>
        <w:ind w:left="443" w:hanging="100"/>
      </w:pPr>
      <w:rPr>
        <w:rFonts w:hint="default"/>
      </w:rPr>
    </w:lvl>
    <w:lvl w:ilvl="3" w:tplc="0492D4A8">
      <w:numFmt w:val="bullet"/>
      <w:lvlText w:val="•"/>
      <w:lvlJc w:val="left"/>
      <w:pPr>
        <w:ind w:left="585" w:hanging="100"/>
      </w:pPr>
      <w:rPr>
        <w:rFonts w:hint="default"/>
      </w:rPr>
    </w:lvl>
    <w:lvl w:ilvl="4" w:tplc="C55C03C4">
      <w:numFmt w:val="bullet"/>
      <w:lvlText w:val="•"/>
      <w:lvlJc w:val="left"/>
      <w:pPr>
        <w:ind w:left="726" w:hanging="100"/>
      </w:pPr>
      <w:rPr>
        <w:rFonts w:hint="default"/>
      </w:rPr>
    </w:lvl>
    <w:lvl w:ilvl="5" w:tplc="DCB0EAF0">
      <w:numFmt w:val="bullet"/>
      <w:lvlText w:val="•"/>
      <w:lvlJc w:val="left"/>
      <w:pPr>
        <w:ind w:left="868" w:hanging="100"/>
      </w:pPr>
      <w:rPr>
        <w:rFonts w:hint="default"/>
      </w:rPr>
    </w:lvl>
    <w:lvl w:ilvl="6" w:tplc="B888DCEA">
      <w:numFmt w:val="bullet"/>
      <w:lvlText w:val="•"/>
      <w:lvlJc w:val="left"/>
      <w:pPr>
        <w:ind w:left="1010" w:hanging="100"/>
      </w:pPr>
      <w:rPr>
        <w:rFonts w:hint="default"/>
      </w:rPr>
    </w:lvl>
    <w:lvl w:ilvl="7" w:tplc="AD401B7A">
      <w:numFmt w:val="bullet"/>
      <w:lvlText w:val="•"/>
      <w:lvlJc w:val="left"/>
      <w:pPr>
        <w:ind w:left="1151" w:hanging="100"/>
      </w:pPr>
      <w:rPr>
        <w:rFonts w:hint="default"/>
      </w:rPr>
    </w:lvl>
    <w:lvl w:ilvl="8" w:tplc="91EA3D02">
      <w:numFmt w:val="bullet"/>
      <w:lvlText w:val="•"/>
      <w:lvlJc w:val="left"/>
      <w:pPr>
        <w:ind w:left="1293" w:hanging="100"/>
      </w:pPr>
      <w:rPr>
        <w:rFonts w:hint="default"/>
      </w:rPr>
    </w:lvl>
  </w:abstractNum>
  <w:abstractNum w:abstractNumId="1511" w15:restartNumberingAfterBreak="0">
    <w:nsid w:val="5E6A5C2B"/>
    <w:multiLevelType w:val="hybridMultilevel"/>
    <w:tmpl w:val="3C88B3D8"/>
    <w:lvl w:ilvl="0" w:tplc="1E1EAF6C">
      <w:numFmt w:val="bullet"/>
      <w:lvlText w:val="–"/>
      <w:lvlJc w:val="left"/>
      <w:pPr>
        <w:ind w:left="162" w:hanging="105"/>
      </w:pPr>
      <w:rPr>
        <w:rFonts w:ascii="Times New Roman" w:eastAsia="Times New Roman" w:hAnsi="Times New Roman" w:cs="Times New Roman" w:hint="default"/>
        <w:color w:val="231F20"/>
        <w:spacing w:val="-1"/>
        <w:w w:val="100"/>
        <w:sz w:val="14"/>
        <w:szCs w:val="14"/>
      </w:rPr>
    </w:lvl>
    <w:lvl w:ilvl="1" w:tplc="637AD18A">
      <w:numFmt w:val="bullet"/>
      <w:lvlText w:val="•"/>
      <w:lvlJc w:val="left"/>
      <w:pPr>
        <w:ind w:left="426" w:hanging="105"/>
      </w:pPr>
      <w:rPr>
        <w:rFonts w:hint="default"/>
      </w:rPr>
    </w:lvl>
    <w:lvl w:ilvl="2" w:tplc="4D30B5F8">
      <w:numFmt w:val="bullet"/>
      <w:lvlText w:val="•"/>
      <w:lvlJc w:val="left"/>
      <w:pPr>
        <w:ind w:left="692" w:hanging="105"/>
      </w:pPr>
      <w:rPr>
        <w:rFonts w:hint="default"/>
      </w:rPr>
    </w:lvl>
    <w:lvl w:ilvl="3" w:tplc="7B4801EC">
      <w:numFmt w:val="bullet"/>
      <w:lvlText w:val="•"/>
      <w:lvlJc w:val="left"/>
      <w:pPr>
        <w:ind w:left="959" w:hanging="105"/>
      </w:pPr>
      <w:rPr>
        <w:rFonts w:hint="default"/>
      </w:rPr>
    </w:lvl>
    <w:lvl w:ilvl="4" w:tplc="FE5A6FE2">
      <w:numFmt w:val="bullet"/>
      <w:lvlText w:val="•"/>
      <w:lvlJc w:val="left"/>
      <w:pPr>
        <w:ind w:left="1225" w:hanging="105"/>
      </w:pPr>
      <w:rPr>
        <w:rFonts w:hint="default"/>
      </w:rPr>
    </w:lvl>
    <w:lvl w:ilvl="5" w:tplc="943C4856">
      <w:numFmt w:val="bullet"/>
      <w:lvlText w:val="•"/>
      <w:lvlJc w:val="left"/>
      <w:pPr>
        <w:ind w:left="1492" w:hanging="105"/>
      </w:pPr>
      <w:rPr>
        <w:rFonts w:hint="default"/>
      </w:rPr>
    </w:lvl>
    <w:lvl w:ilvl="6" w:tplc="9AD0BD54">
      <w:numFmt w:val="bullet"/>
      <w:lvlText w:val="•"/>
      <w:lvlJc w:val="left"/>
      <w:pPr>
        <w:ind w:left="1758" w:hanging="105"/>
      </w:pPr>
      <w:rPr>
        <w:rFonts w:hint="default"/>
      </w:rPr>
    </w:lvl>
    <w:lvl w:ilvl="7" w:tplc="B9B280D6">
      <w:numFmt w:val="bullet"/>
      <w:lvlText w:val="•"/>
      <w:lvlJc w:val="left"/>
      <w:pPr>
        <w:ind w:left="2024" w:hanging="105"/>
      </w:pPr>
      <w:rPr>
        <w:rFonts w:hint="default"/>
      </w:rPr>
    </w:lvl>
    <w:lvl w:ilvl="8" w:tplc="353EDDB0">
      <w:numFmt w:val="bullet"/>
      <w:lvlText w:val="•"/>
      <w:lvlJc w:val="left"/>
      <w:pPr>
        <w:ind w:left="2291" w:hanging="105"/>
      </w:pPr>
      <w:rPr>
        <w:rFonts w:hint="default"/>
      </w:rPr>
    </w:lvl>
  </w:abstractNum>
  <w:abstractNum w:abstractNumId="1512" w15:restartNumberingAfterBreak="0">
    <w:nsid w:val="5E6B7FDD"/>
    <w:multiLevelType w:val="hybridMultilevel"/>
    <w:tmpl w:val="26B2D69E"/>
    <w:lvl w:ilvl="0" w:tplc="06BC9B00">
      <w:numFmt w:val="bullet"/>
      <w:lvlText w:val=""/>
      <w:lvlJc w:val="left"/>
      <w:pPr>
        <w:ind w:left="156" w:hanging="100"/>
      </w:pPr>
      <w:rPr>
        <w:rFonts w:ascii="Symbol" w:eastAsia="Symbol" w:hAnsi="Symbol" w:cs="Symbol" w:hint="default"/>
        <w:color w:val="231F20"/>
        <w:w w:val="100"/>
        <w:sz w:val="14"/>
        <w:szCs w:val="14"/>
      </w:rPr>
    </w:lvl>
    <w:lvl w:ilvl="1" w:tplc="C2A0FB04">
      <w:numFmt w:val="bullet"/>
      <w:lvlText w:val="•"/>
      <w:lvlJc w:val="left"/>
      <w:pPr>
        <w:ind w:left="301" w:hanging="100"/>
      </w:pPr>
      <w:rPr>
        <w:rFonts w:hint="default"/>
      </w:rPr>
    </w:lvl>
    <w:lvl w:ilvl="2" w:tplc="5B2C1786">
      <w:numFmt w:val="bullet"/>
      <w:lvlText w:val="•"/>
      <w:lvlJc w:val="left"/>
      <w:pPr>
        <w:ind w:left="443" w:hanging="100"/>
      </w:pPr>
      <w:rPr>
        <w:rFonts w:hint="default"/>
      </w:rPr>
    </w:lvl>
    <w:lvl w:ilvl="3" w:tplc="F264B198">
      <w:numFmt w:val="bullet"/>
      <w:lvlText w:val="•"/>
      <w:lvlJc w:val="left"/>
      <w:pPr>
        <w:ind w:left="585" w:hanging="100"/>
      </w:pPr>
      <w:rPr>
        <w:rFonts w:hint="default"/>
      </w:rPr>
    </w:lvl>
    <w:lvl w:ilvl="4" w:tplc="ABEAC52A">
      <w:numFmt w:val="bullet"/>
      <w:lvlText w:val="•"/>
      <w:lvlJc w:val="left"/>
      <w:pPr>
        <w:ind w:left="726" w:hanging="100"/>
      </w:pPr>
      <w:rPr>
        <w:rFonts w:hint="default"/>
      </w:rPr>
    </w:lvl>
    <w:lvl w:ilvl="5" w:tplc="660EA3C4">
      <w:numFmt w:val="bullet"/>
      <w:lvlText w:val="•"/>
      <w:lvlJc w:val="left"/>
      <w:pPr>
        <w:ind w:left="868" w:hanging="100"/>
      </w:pPr>
      <w:rPr>
        <w:rFonts w:hint="default"/>
      </w:rPr>
    </w:lvl>
    <w:lvl w:ilvl="6" w:tplc="1436B66E">
      <w:numFmt w:val="bullet"/>
      <w:lvlText w:val="•"/>
      <w:lvlJc w:val="left"/>
      <w:pPr>
        <w:ind w:left="1010" w:hanging="100"/>
      </w:pPr>
      <w:rPr>
        <w:rFonts w:hint="default"/>
      </w:rPr>
    </w:lvl>
    <w:lvl w:ilvl="7" w:tplc="1AF206F8">
      <w:numFmt w:val="bullet"/>
      <w:lvlText w:val="•"/>
      <w:lvlJc w:val="left"/>
      <w:pPr>
        <w:ind w:left="1151" w:hanging="100"/>
      </w:pPr>
      <w:rPr>
        <w:rFonts w:hint="default"/>
      </w:rPr>
    </w:lvl>
    <w:lvl w:ilvl="8" w:tplc="A86237B8">
      <w:numFmt w:val="bullet"/>
      <w:lvlText w:val="•"/>
      <w:lvlJc w:val="left"/>
      <w:pPr>
        <w:ind w:left="1293" w:hanging="100"/>
      </w:pPr>
      <w:rPr>
        <w:rFonts w:hint="default"/>
      </w:rPr>
    </w:lvl>
  </w:abstractNum>
  <w:abstractNum w:abstractNumId="1513" w15:restartNumberingAfterBreak="0">
    <w:nsid w:val="5EA818E2"/>
    <w:multiLevelType w:val="hybridMultilevel"/>
    <w:tmpl w:val="77C2D22C"/>
    <w:lvl w:ilvl="0" w:tplc="65B2CBB2">
      <w:numFmt w:val="bullet"/>
      <w:lvlText w:val=""/>
      <w:lvlJc w:val="left"/>
      <w:pPr>
        <w:ind w:left="156" w:hanging="100"/>
      </w:pPr>
      <w:rPr>
        <w:rFonts w:ascii="Symbol" w:eastAsia="Symbol" w:hAnsi="Symbol" w:cs="Symbol" w:hint="default"/>
        <w:color w:val="231F20"/>
        <w:w w:val="100"/>
        <w:sz w:val="14"/>
        <w:szCs w:val="14"/>
      </w:rPr>
    </w:lvl>
    <w:lvl w:ilvl="1" w:tplc="E0743F5E">
      <w:numFmt w:val="bullet"/>
      <w:lvlText w:val="•"/>
      <w:lvlJc w:val="left"/>
      <w:pPr>
        <w:ind w:left="398" w:hanging="100"/>
      </w:pPr>
      <w:rPr>
        <w:rFonts w:hint="default"/>
      </w:rPr>
    </w:lvl>
    <w:lvl w:ilvl="2" w:tplc="727C5C94">
      <w:numFmt w:val="bullet"/>
      <w:lvlText w:val="•"/>
      <w:lvlJc w:val="left"/>
      <w:pPr>
        <w:ind w:left="636" w:hanging="100"/>
      </w:pPr>
      <w:rPr>
        <w:rFonts w:hint="default"/>
      </w:rPr>
    </w:lvl>
    <w:lvl w:ilvl="3" w:tplc="0E041E6E">
      <w:numFmt w:val="bullet"/>
      <w:lvlText w:val="•"/>
      <w:lvlJc w:val="left"/>
      <w:pPr>
        <w:ind w:left="874" w:hanging="100"/>
      </w:pPr>
      <w:rPr>
        <w:rFonts w:hint="default"/>
      </w:rPr>
    </w:lvl>
    <w:lvl w:ilvl="4" w:tplc="D4B6E9E4">
      <w:numFmt w:val="bullet"/>
      <w:lvlText w:val="•"/>
      <w:lvlJc w:val="left"/>
      <w:pPr>
        <w:ind w:left="1112" w:hanging="100"/>
      </w:pPr>
      <w:rPr>
        <w:rFonts w:hint="default"/>
      </w:rPr>
    </w:lvl>
    <w:lvl w:ilvl="5" w:tplc="92A0748A">
      <w:numFmt w:val="bullet"/>
      <w:lvlText w:val="•"/>
      <w:lvlJc w:val="left"/>
      <w:pPr>
        <w:ind w:left="1350" w:hanging="100"/>
      </w:pPr>
      <w:rPr>
        <w:rFonts w:hint="default"/>
      </w:rPr>
    </w:lvl>
    <w:lvl w:ilvl="6" w:tplc="5CC09860">
      <w:numFmt w:val="bullet"/>
      <w:lvlText w:val="•"/>
      <w:lvlJc w:val="left"/>
      <w:pPr>
        <w:ind w:left="1588" w:hanging="100"/>
      </w:pPr>
      <w:rPr>
        <w:rFonts w:hint="default"/>
      </w:rPr>
    </w:lvl>
    <w:lvl w:ilvl="7" w:tplc="23BEBA0C">
      <w:numFmt w:val="bullet"/>
      <w:lvlText w:val="•"/>
      <w:lvlJc w:val="left"/>
      <w:pPr>
        <w:ind w:left="1826" w:hanging="100"/>
      </w:pPr>
      <w:rPr>
        <w:rFonts w:hint="default"/>
      </w:rPr>
    </w:lvl>
    <w:lvl w:ilvl="8" w:tplc="137834A0">
      <w:numFmt w:val="bullet"/>
      <w:lvlText w:val="•"/>
      <w:lvlJc w:val="left"/>
      <w:pPr>
        <w:ind w:left="2064" w:hanging="100"/>
      </w:pPr>
      <w:rPr>
        <w:rFonts w:hint="default"/>
      </w:rPr>
    </w:lvl>
  </w:abstractNum>
  <w:abstractNum w:abstractNumId="1514" w15:restartNumberingAfterBreak="0">
    <w:nsid w:val="5EC60C43"/>
    <w:multiLevelType w:val="hybridMultilevel"/>
    <w:tmpl w:val="47062534"/>
    <w:lvl w:ilvl="0" w:tplc="AD80A032">
      <w:numFmt w:val="bullet"/>
      <w:lvlText w:val=""/>
      <w:lvlJc w:val="left"/>
      <w:pPr>
        <w:ind w:left="157" w:hanging="100"/>
      </w:pPr>
      <w:rPr>
        <w:rFonts w:ascii="Symbol" w:eastAsia="Symbol" w:hAnsi="Symbol" w:cs="Symbol" w:hint="default"/>
        <w:color w:val="231F20"/>
        <w:w w:val="100"/>
        <w:sz w:val="14"/>
        <w:szCs w:val="14"/>
      </w:rPr>
    </w:lvl>
    <w:lvl w:ilvl="1" w:tplc="3CDEA2B8">
      <w:numFmt w:val="bullet"/>
      <w:lvlText w:val="•"/>
      <w:lvlJc w:val="left"/>
      <w:pPr>
        <w:ind w:left="426" w:hanging="100"/>
      </w:pPr>
      <w:rPr>
        <w:rFonts w:hint="default"/>
      </w:rPr>
    </w:lvl>
    <w:lvl w:ilvl="2" w:tplc="E1AAE29E">
      <w:numFmt w:val="bullet"/>
      <w:lvlText w:val="•"/>
      <w:lvlJc w:val="left"/>
      <w:pPr>
        <w:ind w:left="692" w:hanging="100"/>
      </w:pPr>
      <w:rPr>
        <w:rFonts w:hint="default"/>
      </w:rPr>
    </w:lvl>
    <w:lvl w:ilvl="3" w:tplc="4DEEF66E">
      <w:numFmt w:val="bullet"/>
      <w:lvlText w:val="•"/>
      <w:lvlJc w:val="left"/>
      <w:pPr>
        <w:ind w:left="959" w:hanging="100"/>
      </w:pPr>
      <w:rPr>
        <w:rFonts w:hint="default"/>
      </w:rPr>
    </w:lvl>
    <w:lvl w:ilvl="4" w:tplc="9D5C7282">
      <w:numFmt w:val="bullet"/>
      <w:lvlText w:val="•"/>
      <w:lvlJc w:val="left"/>
      <w:pPr>
        <w:ind w:left="1225" w:hanging="100"/>
      </w:pPr>
      <w:rPr>
        <w:rFonts w:hint="default"/>
      </w:rPr>
    </w:lvl>
    <w:lvl w:ilvl="5" w:tplc="68447DCA">
      <w:numFmt w:val="bullet"/>
      <w:lvlText w:val="•"/>
      <w:lvlJc w:val="left"/>
      <w:pPr>
        <w:ind w:left="1492" w:hanging="100"/>
      </w:pPr>
      <w:rPr>
        <w:rFonts w:hint="default"/>
      </w:rPr>
    </w:lvl>
    <w:lvl w:ilvl="6" w:tplc="26645254">
      <w:numFmt w:val="bullet"/>
      <w:lvlText w:val="•"/>
      <w:lvlJc w:val="left"/>
      <w:pPr>
        <w:ind w:left="1758" w:hanging="100"/>
      </w:pPr>
      <w:rPr>
        <w:rFonts w:hint="default"/>
      </w:rPr>
    </w:lvl>
    <w:lvl w:ilvl="7" w:tplc="C8669154">
      <w:numFmt w:val="bullet"/>
      <w:lvlText w:val="•"/>
      <w:lvlJc w:val="left"/>
      <w:pPr>
        <w:ind w:left="2024" w:hanging="100"/>
      </w:pPr>
      <w:rPr>
        <w:rFonts w:hint="default"/>
      </w:rPr>
    </w:lvl>
    <w:lvl w:ilvl="8" w:tplc="DDE65CBA">
      <w:numFmt w:val="bullet"/>
      <w:lvlText w:val="•"/>
      <w:lvlJc w:val="left"/>
      <w:pPr>
        <w:ind w:left="2291" w:hanging="100"/>
      </w:pPr>
      <w:rPr>
        <w:rFonts w:hint="default"/>
      </w:rPr>
    </w:lvl>
  </w:abstractNum>
  <w:abstractNum w:abstractNumId="1515" w15:restartNumberingAfterBreak="0">
    <w:nsid w:val="5EC91F38"/>
    <w:multiLevelType w:val="hybridMultilevel"/>
    <w:tmpl w:val="CAB2BF80"/>
    <w:lvl w:ilvl="0" w:tplc="2916A332">
      <w:numFmt w:val="bullet"/>
      <w:lvlText w:val=""/>
      <w:lvlJc w:val="left"/>
      <w:pPr>
        <w:ind w:left="157" w:hanging="100"/>
      </w:pPr>
      <w:rPr>
        <w:rFonts w:ascii="Symbol" w:eastAsia="Symbol" w:hAnsi="Symbol" w:cs="Symbol" w:hint="default"/>
        <w:color w:val="231F20"/>
        <w:w w:val="100"/>
        <w:sz w:val="14"/>
        <w:szCs w:val="14"/>
      </w:rPr>
    </w:lvl>
    <w:lvl w:ilvl="1" w:tplc="1E60C290">
      <w:numFmt w:val="bullet"/>
      <w:lvlText w:val="•"/>
      <w:lvlJc w:val="left"/>
      <w:pPr>
        <w:ind w:left="426" w:hanging="100"/>
      </w:pPr>
      <w:rPr>
        <w:rFonts w:hint="default"/>
      </w:rPr>
    </w:lvl>
    <w:lvl w:ilvl="2" w:tplc="CB202062">
      <w:numFmt w:val="bullet"/>
      <w:lvlText w:val="•"/>
      <w:lvlJc w:val="left"/>
      <w:pPr>
        <w:ind w:left="692" w:hanging="100"/>
      </w:pPr>
      <w:rPr>
        <w:rFonts w:hint="default"/>
      </w:rPr>
    </w:lvl>
    <w:lvl w:ilvl="3" w:tplc="D2500776">
      <w:numFmt w:val="bullet"/>
      <w:lvlText w:val="•"/>
      <w:lvlJc w:val="left"/>
      <w:pPr>
        <w:ind w:left="959" w:hanging="100"/>
      </w:pPr>
      <w:rPr>
        <w:rFonts w:hint="default"/>
      </w:rPr>
    </w:lvl>
    <w:lvl w:ilvl="4" w:tplc="BDF60C32">
      <w:numFmt w:val="bullet"/>
      <w:lvlText w:val="•"/>
      <w:lvlJc w:val="left"/>
      <w:pPr>
        <w:ind w:left="1225" w:hanging="100"/>
      </w:pPr>
      <w:rPr>
        <w:rFonts w:hint="default"/>
      </w:rPr>
    </w:lvl>
    <w:lvl w:ilvl="5" w:tplc="3D0077FA">
      <w:numFmt w:val="bullet"/>
      <w:lvlText w:val="•"/>
      <w:lvlJc w:val="left"/>
      <w:pPr>
        <w:ind w:left="1492" w:hanging="100"/>
      </w:pPr>
      <w:rPr>
        <w:rFonts w:hint="default"/>
      </w:rPr>
    </w:lvl>
    <w:lvl w:ilvl="6" w:tplc="3E8A84B8">
      <w:numFmt w:val="bullet"/>
      <w:lvlText w:val="•"/>
      <w:lvlJc w:val="left"/>
      <w:pPr>
        <w:ind w:left="1758" w:hanging="100"/>
      </w:pPr>
      <w:rPr>
        <w:rFonts w:hint="default"/>
      </w:rPr>
    </w:lvl>
    <w:lvl w:ilvl="7" w:tplc="F8EE4FF6">
      <w:numFmt w:val="bullet"/>
      <w:lvlText w:val="•"/>
      <w:lvlJc w:val="left"/>
      <w:pPr>
        <w:ind w:left="2024" w:hanging="100"/>
      </w:pPr>
      <w:rPr>
        <w:rFonts w:hint="default"/>
      </w:rPr>
    </w:lvl>
    <w:lvl w:ilvl="8" w:tplc="194CEB54">
      <w:numFmt w:val="bullet"/>
      <w:lvlText w:val="•"/>
      <w:lvlJc w:val="left"/>
      <w:pPr>
        <w:ind w:left="2291" w:hanging="100"/>
      </w:pPr>
      <w:rPr>
        <w:rFonts w:hint="default"/>
      </w:rPr>
    </w:lvl>
  </w:abstractNum>
  <w:abstractNum w:abstractNumId="1516" w15:restartNumberingAfterBreak="0">
    <w:nsid w:val="5ECD17AA"/>
    <w:multiLevelType w:val="hybridMultilevel"/>
    <w:tmpl w:val="13BED25E"/>
    <w:lvl w:ilvl="0" w:tplc="1620231E">
      <w:numFmt w:val="bullet"/>
      <w:lvlText w:val=""/>
      <w:lvlJc w:val="left"/>
      <w:pPr>
        <w:ind w:left="157" w:hanging="100"/>
      </w:pPr>
      <w:rPr>
        <w:rFonts w:ascii="Symbol" w:eastAsia="Symbol" w:hAnsi="Symbol" w:cs="Symbol" w:hint="default"/>
        <w:color w:val="231F20"/>
        <w:w w:val="100"/>
        <w:sz w:val="14"/>
        <w:szCs w:val="14"/>
      </w:rPr>
    </w:lvl>
    <w:lvl w:ilvl="1" w:tplc="A3A45ED6">
      <w:numFmt w:val="bullet"/>
      <w:lvlText w:val="•"/>
      <w:lvlJc w:val="left"/>
      <w:pPr>
        <w:ind w:left="398" w:hanging="100"/>
      </w:pPr>
      <w:rPr>
        <w:rFonts w:hint="default"/>
      </w:rPr>
    </w:lvl>
    <w:lvl w:ilvl="2" w:tplc="A4026934">
      <w:numFmt w:val="bullet"/>
      <w:lvlText w:val="•"/>
      <w:lvlJc w:val="left"/>
      <w:pPr>
        <w:ind w:left="636" w:hanging="100"/>
      </w:pPr>
      <w:rPr>
        <w:rFonts w:hint="default"/>
      </w:rPr>
    </w:lvl>
    <w:lvl w:ilvl="3" w:tplc="6DA85A92">
      <w:numFmt w:val="bullet"/>
      <w:lvlText w:val="•"/>
      <w:lvlJc w:val="left"/>
      <w:pPr>
        <w:ind w:left="874" w:hanging="100"/>
      </w:pPr>
      <w:rPr>
        <w:rFonts w:hint="default"/>
      </w:rPr>
    </w:lvl>
    <w:lvl w:ilvl="4" w:tplc="23EC79F6">
      <w:numFmt w:val="bullet"/>
      <w:lvlText w:val="•"/>
      <w:lvlJc w:val="left"/>
      <w:pPr>
        <w:ind w:left="1112" w:hanging="100"/>
      </w:pPr>
      <w:rPr>
        <w:rFonts w:hint="default"/>
      </w:rPr>
    </w:lvl>
    <w:lvl w:ilvl="5" w:tplc="2DD8FC64">
      <w:numFmt w:val="bullet"/>
      <w:lvlText w:val="•"/>
      <w:lvlJc w:val="left"/>
      <w:pPr>
        <w:ind w:left="1350" w:hanging="100"/>
      </w:pPr>
      <w:rPr>
        <w:rFonts w:hint="default"/>
      </w:rPr>
    </w:lvl>
    <w:lvl w:ilvl="6" w:tplc="4DB8EC3C">
      <w:numFmt w:val="bullet"/>
      <w:lvlText w:val="•"/>
      <w:lvlJc w:val="left"/>
      <w:pPr>
        <w:ind w:left="1588" w:hanging="100"/>
      </w:pPr>
      <w:rPr>
        <w:rFonts w:hint="default"/>
      </w:rPr>
    </w:lvl>
    <w:lvl w:ilvl="7" w:tplc="70E8EF46">
      <w:numFmt w:val="bullet"/>
      <w:lvlText w:val="•"/>
      <w:lvlJc w:val="left"/>
      <w:pPr>
        <w:ind w:left="1826" w:hanging="100"/>
      </w:pPr>
      <w:rPr>
        <w:rFonts w:hint="default"/>
      </w:rPr>
    </w:lvl>
    <w:lvl w:ilvl="8" w:tplc="EC68D42A">
      <w:numFmt w:val="bullet"/>
      <w:lvlText w:val="•"/>
      <w:lvlJc w:val="left"/>
      <w:pPr>
        <w:ind w:left="2064" w:hanging="100"/>
      </w:pPr>
      <w:rPr>
        <w:rFonts w:hint="default"/>
      </w:rPr>
    </w:lvl>
  </w:abstractNum>
  <w:abstractNum w:abstractNumId="1517" w15:restartNumberingAfterBreak="0">
    <w:nsid w:val="5EED0789"/>
    <w:multiLevelType w:val="hybridMultilevel"/>
    <w:tmpl w:val="6CB84354"/>
    <w:lvl w:ilvl="0" w:tplc="7E6C8172">
      <w:numFmt w:val="bullet"/>
      <w:lvlText w:val=""/>
      <w:lvlJc w:val="left"/>
      <w:pPr>
        <w:ind w:left="157" w:hanging="100"/>
      </w:pPr>
      <w:rPr>
        <w:rFonts w:ascii="Symbol" w:eastAsia="Symbol" w:hAnsi="Symbol" w:cs="Symbol" w:hint="default"/>
        <w:color w:val="231F20"/>
        <w:w w:val="100"/>
        <w:sz w:val="14"/>
        <w:szCs w:val="14"/>
      </w:rPr>
    </w:lvl>
    <w:lvl w:ilvl="1" w:tplc="8334E6CE">
      <w:numFmt w:val="bullet"/>
      <w:lvlText w:val="•"/>
      <w:lvlJc w:val="left"/>
      <w:pPr>
        <w:ind w:left="369" w:hanging="100"/>
      </w:pPr>
      <w:rPr>
        <w:rFonts w:hint="default"/>
      </w:rPr>
    </w:lvl>
    <w:lvl w:ilvl="2" w:tplc="EE98CF00">
      <w:numFmt w:val="bullet"/>
      <w:lvlText w:val="•"/>
      <w:lvlJc w:val="left"/>
      <w:pPr>
        <w:ind w:left="579" w:hanging="100"/>
      </w:pPr>
      <w:rPr>
        <w:rFonts w:hint="default"/>
      </w:rPr>
    </w:lvl>
    <w:lvl w:ilvl="3" w:tplc="C9EAC92A">
      <w:numFmt w:val="bullet"/>
      <w:lvlText w:val="•"/>
      <w:lvlJc w:val="left"/>
      <w:pPr>
        <w:ind w:left="789" w:hanging="100"/>
      </w:pPr>
      <w:rPr>
        <w:rFonts w:hint="default"/>
      </w:rPr>
    </w:lvl>
    <w:lvl w:ilvl="4" w:tplc="FAA09152">
      <w:numFmt w:val="bullet"/>
      <w:lvlText w:val="•"/>
      <w:lvlJc w:val="left"/>
      <w:pPr>
        <w:ind w:left="998" w:hanging="100"/>
      </w:pPr>
      <w:rPr>
        <w:rFonts w:hint="default"/>
      </w:rPr>
    </w:lvl>
    <w:lvl w:ilvl="5" w:tplc="83B2C310">
      <w:numFmt w:val="bullet"/>
      <w:lvlText w:val="•"/>
      <w:lvlJc w:val="left"/>
      <w:pPr>
        <w:ind w:left="1208" w:hanging="100"/>
      </w:pPr>
      <w:rPr>
        <w:rFonts w:hint="default"/>
      </w:rPr>
    </w:lvl>
    <w:lvl w:ilvl="6" w:tplc="BA42ECE2">
      <w:numFmt w:val="bullet"/>
      <w:lvlText w:val="•"/>
      <w:lvlJc w:val="left"/>
      <w:pPr>
        <w:ind w:left="1418" w:hanging="100"/>
      </w:pPr>
      <w:rPr>
        <w:rFonts w:hint="default"/>
      </w:rPr>
    </w:lvl>
    <w:lvl w:ilvl="7" w:tplc="4C28FC3A">
      <w:numFmt w:val="bullet"/>
      <w:lvlText w:val="•"/>
      <w:lvlJc w:val="left"/>
      <w:pPr>
        <w:ind w:left="1627" w:hanging="100"/>
      </w:pPr>
      <w:rPr>
        <w:rFonts w:hint="default"/>
      </w:rPr>
    </w:lvl>
    <w:lvl w:ilvl="8" w:tplc="BF2C9898">
      <w:numFmt w:val="bullet"/>
      <w:lvlText w:val="•"/>
      <w:lvlJc w:val="left"/>
      <w:pPr>
        <w:ind w:left="1837" w:hanging="100"/>
      </w:pPr>
      <w:rPr>
        <w:rFonts w:hint="default"/>
      </w:rPr>
    </w:lvl>
  </w:abstractNum>
  <w:abstractNum w:abstractNumId="1518" w15:restartNumberingAfterBreak="0">
    <w:nsid w:val="5EFC25F9"/>
    <w:multiLevelType w:val="hybridMultilevel"/>
    <w:tmpl w:val="EB56F14E"/>
    <w:lvl w:ilvl="0" w:tplc="DD5E003E">
      <w:numFmt w:val="bullet"/>
      <w:lvlText w:val=""/>
      <w:lvlJc w:val="left"/>
      <w:pPr>
        <w:ind w:left="156" w:hanging="100"/>
      </w:pPr>
      <w:rPr>
        <w:rFonts w:ascii="Symbol" w:eastAsia="Symbol" w:hAnsi="Symbol" w:cs="Symbol" w:hint="default"/>
        <w:color w:val="231F20"/>
        <w:w w:val="100"/>
        <w:sz w:val="14"/>
        <w:szCs w:val="14"/>
      </w:rPr>
    </w:lvl>
    <w:lvl w:ilvl="1" w:tplc="B53A2896">
      <w:numFmt w:val="bullet"/>
      <w:lvlText w:val="•"/>
      <w:lvlJc w:val="left"/>
      <w:pPr>
        <w:ind w:left="398" w:hanging="100"/>
      </w:pPr>
      <w:rPr>
        <w:rFonts w:hint="default"/>
      </w:rPr>
    </w:lvl>
    <w:lvl w:ilvl="2" w:tplc="799E1D42">
      <w:numFmt w:val="bullet"/>
      <w:lvlText w:val="•"/>
      <w:lvlJc w:val="left"/>
      <w:pPr>
        <w:ind w:left="636" w:hanging="100"/>
      </w:pPr>
      <w:rPr>
        <w:rFonts w:hint="default"/>
      </w:rPr>
    </w:lvl>
    <w:lvl w:ilvl="3" w:tplc="D1A43986">
      <w:numFmt w:val="bullet"/>
      <w:lvlText w:val="•"/>
      <w:lvlJc w:val="left"/>
      <w:pPr>
        <w:ind w:left="874" w:hanging="100"/>
      </w:pPr>
      <w:rPr>
        <w:rFonts w:hint="default"/>
      </w:rPr>
    </w:lvl>
    <w:lvl w:ilvl="4" w:tplc="252C4CAC">
      <w:numFmt w:val="bullet"/>
      <w:lvlText w:val="•"/>
      <w:lvlJc w:val="left"/>
      <w:pPr>
        <w:ind w:left="1112" w:hanging="100"/>
      </w:pPr>
      <w:rPr>
        <w:rFonts w:hint="default"/>
      </w:rPr>
    </w:lvl>
    <w:lvl w:ilvl="5" w:tplc="F426E5D4">
      <w:numFmt w:val="bullet"/>
      <w:lvlText w:val="•"/>
      <w:lvlJc w:val="left"/>
      <w:pPr>
        <w:ind w:left="1350" w:hanging="100"/>
      </w:pPr>
      <w:rPr>
        <w:rFonts w:hint="default"/>
      </w:rPr>
    </w:lvl>
    <w:lvl w:ilvl="6" w:tplc="863E8ED8">
      <w:numFmt w:val="bullet"/>
      <w:lvlText w:val="•"/>
      <w:lvlJc w:val="left"/>
      <w:pPr>
        <w:ind w:left="1588" w:hanging="100"/>
      </w:pPr>
      <w:rPr>
        <w:rFonts w:hint="default"/>
      </w:rPr>
    </w:lvl>
    <w:lvl w:ilvl="7" w:tplc="93689DFC">
      <w:numFmt w:val="bullet"/>
      <w:lvlText w:val="•"/>
      <w:lvlJc w:val="left"/>
      <w:pPr>
        <w:ind w:left="1826" w:hanging="100"/>
      </w:pPr>
      <w:rPr>
        <w:rFonts w:hint="default"/>
      </w:rPr>
    </w:lvl>
    <w:lvl w:ilvl="8" w:tplc="5E80E10A">
      <w:numFmt w:val="bullet"/>
      <w:lvlText w:val="•"/>
      <w:lvlJc w:val="left"/>
      <w:pPr>
        <w:ind w:left="2064" w:hanging="100"/>
      </w:pPr>
      <w:rPr>
        <w:rFonts w:hint="default"/>
      </w:rPr>
    </w:lvl>
  </w:abstractNum>
  <w:abstractNum w:abstractNumId="1519" w15:restartNumberingAfterBreak="0">
    <w:nsid w:val="5F0333DA"/>
    <w:multiLevelType w:val="hybridMultilevel"/>
    <w:tmpl w:val="EC28605A"/>
    <w:lvl w:ilvl="0" w:tplc="F4446F82">
      <w:numFmt w:val="bullet"/>
      <w:lvlText w:val=""/>
      <w:lvlJc w:val="left"/>
      <w:pPr>
        <w:ind w:left="156" w:hanging="100"/>
      </w:pPr>
      <w:rPr>
        <w:rFonts w:ascii="Symbol" w:eastAsia="Symbol" w:hAnsi="Symbol" w:cs="Symbol" w:hint="default"/>
        <w:color w:val="231F20"/>
        <w:w w:val="100"/>
        <w:sz w:val="14"/>
        <w:szCs w:val="14"/>
      </w:rPr>
    </w:lvl>
    <w:lvl w:ilvl="1" w:tplc="6A5850B2">
      <w:numFmt w:val="bullet"/>
      <w:lvlText w:val="•"/>
      <w:lvlJc w:val="left"/>
      <w:pPr>
        <w:ind w:left="301" w:hanging="100"/>
      </w:pPr>
      <w:rPr>
        <w:rFonts w:hint="default"/>
      </w:rPr>
    </w:lvl>
    <w:lvl w:ilvl="2" w:tplc="4FC6C44E">
      <w:numFmt w:val="bullet"/>
      <w:lvlText w:val="•"/>
      <w:lvlJc w:val="left"/>
      <w:pPr>
        <w:ind w:left="443" w:hanging="100"/>
      </w:pPr>
      <w:rPr>
        <w:rFonts w:hint="default"/>
      </w:rPr>
    </w:lvl>
    <w:lvl w:ilvl="3" w:tplc="801884C6">
      <w:numFmt w:val="bullet"/>
      <w:lvlText w:val="•"/>
      <w:lvlJc w:val="left"/>
      <w:pPr>
        <w:ind w:left="585" w:hanging="100"/>
      </w:pPr>
      <w:rPr>
        <w:rFonts w:hint="default"/>
      </w:rPr>
    </w:lvl>
    <w:lvl w:ilvl="4" w:tplc="35C66508">
      <w:numFmt w:val="bullet"/>
      <w:lvlText w:val="•"/>
      <w:lvlJc w:val="left"/>
      <w:pPr>
        <w:ind w:left="726" w:hanging="100"/>
      </w:pPr>
      <w:rPr>
        <w:rFonts w:hint="default"/>
      </w:rPr>
    </w:lvl>
    <w:lvl w:ilvl="5" w:tplc="7E284962">
      <w:numFmt w:val="bullet"/>
      <w:lvlText w:val="•"/>
      <w:lvlJc w:val="left"/>
      <w:pPr>
        <w:ind w:left="868" w:hanging="100"/>
      </w:pPr>
      <w:rPr>
        <w:rFonts w:hint="default"/>
      </w:rPr>
    </w:lvl>
    <w:lvl w:ilvl="6" w:tplc="82486E02">
      <w:numFmt w:val="bullet"/>
      <w:lvlText w:val="•"/>
      <w:lvlJc w:val="left"/>
      <w:pPr>
        <w:ind w:left="1010" w:hanging="100"/>
      </w:pPr>
      <w:rPr>
        <w:rFonts w:hint="default"/>
      </w:rPr>
    </w:lvl>
    <w:lvl w:ilvl="7" w:tplc="D0A6F498">
      <w:numFmt w:val="bullet"/>
      <w:lvlText w:val="•"/>
      <w:lvlJc w:val="left"/>
      <w:pPr>
        <w:ind w:left="1151" w:hanging="100"/>
      </w:pPr>
      <w:rPr>
        <w:rFonts w:hint="default"/>
      </w:rPr>
    </w:lvl>
    <w:lvl w:ilvl="8" w:tplc="0FD6E07A">
      <w:numFmt w:val="bullet"/>
      <w:lvlText w:val="•"/>
      <w:lvlJc w:val="left"/>
      <w:pPr>
        <w:ind w:left="1293" w:hanging="100"/>
      </w:pPr>
      <w:rPr>
        <w:rFonts w:hint="default"/>
      </w:rPr>
    </w:lvl>
  </w:abstractNum>
  <w:abstractNum w:abstractNumId="1520" w15:restartNumberingAfterBreak="0">
    <w:nsid w:val="5F04740F"/>
    <w:multiLevelType w:val="hybridMultilevel"/>
    <w:tmpl w:val="8EC8344C"/>
    <w:lvl w:ilvl="0" w:tplc="D6703622">
      <w:numFmt w:val="bullet"/>
      <w:lvlText w:val=""/>
      <w:lvlJc w:val="left"/>
      <w:pPr>
        <w:ind w:left="156" w:hanging="100"/>
      </w:pPr>
      <w:rPr>
        <w:rFonts w:ascii="Symbol" w:eastAsia="Symbol" w:hAnsi="Symbol" w:cs="Symbol" w:hint="default"/>
        <w:color w:val="231F20"/>
        <w:w w:val="100"/>
        <w:sz w:val="14"/>
        <w:szCs w:val="14"/>
      </w:rPr>
    </w:lvl>
    <w:lvl w:ilvl="1" w:tplc="098EECD0">
      <w:numFmt w:val="bullet"/>
      <w:lvlText w:val="•"/>
      <w:lvlJc w:val="left"/>
      <w:pPr>
        <w:ind w:left="398" w:hanging="100"/>
      </w:pPr>
      <w:rPr>
        <w:rFonts w:hint="default"/>
      </w:rPr>
    </w:lvl>
    <w:lvl w:ilvl="2" w:tplc="97121EEE">
      <w:numFmt w:val="bullet"/>
      <w:lvlText w:val="•"/>
      <w:lvlJc w:val="left"/>
      <w:pPr>
        <w:ind w:left="636" w:hanging="100"/>
      </w:pPr>
      <w:rPr>
        <w:rFonts w:hint="default"/>
      </w:rPr>
    </w:lvl>
    <w:lvl w:ilvl="3" w:tplc="F3FE1A30">
      <w:numFmt w:val="bullet"/>
      <w:lvlText w:val="•"/>
      <w:lvlJc w:val="left"/>
      <w:pPr>
        <w:ind w:left="874" w:hanging="100"/>
      </w:pPr>
      <w:rPr>
        <w:rFonts w:hint="default"/>
      </w:rPr>
    </w:lvl>
    <w:lvl w:ilvl="4" w:tplc="1F26745E">
      <w:numFmt w:val="bullet"/>
      <w:lvlText w:val="•"/>
      <w:lvlJc w:val="left"/>
      <w:pPr>
        <w:ind w:left="1112" w:hanging="100"/>
      </w:pPr>
      <w:rPr>
        <w:rFonts w:hint="default"/>
      </w:rPr>
    </w:lvl>
    <w:lvl w:ilvl="5" w:tplc="C4047BF4">
      <w:numFmt w:val="bullet"/>
      <w:lvlText w:val="•"/>
      <w:lvlJc w:val="left"/>
      <w:pPr>
        <w:ind w:left="1350" w:hanging="100"/>
      </w:pPr>
      <w:rPr>
        <w:rFonts w:hint="default"/>
      </w:rPr>
    </w:lvl>
    <w:lvl w:ilvl="6" w:tplc="D8222354">
      <w:numFmt w:val="bullet"/>
      <w:lvlText w:val="•"/>
      <w:lvlJc w:val="left"/>
      <w:pPr>
        <w:ind w:left="1588" w:hanging="100"/>
      </w:pPr>
      <w:rPr>
        <w:rFonts w:hint="default"/>
      </w:rPr>
    </w:lvl>
    <w:lvl w:ilvl="7" w:tplc="B0C4C5BA">
      <w:numFmt w:val="bullet"/>
      <w:lvlText w:val="•"/>
      <w:lvlJc w:val="left"/>
      <w:pPr>
        <w:ind w:left="1826" w:hanging="100"/>
      </w:pPr>
      <w:rPr>
        <w:rFonts w:hint="default"/>
      </w:rPr>
    </w:lvl>
    <w:lvl w:ilvl="8" w:tplc="243A3CD8">
      <w:numFmt w:val="bullet"/>
      <w:lvlText w:val="•"/>
      <w:lvlJc w:val="left"/>
      <w:pPr>
        <w:ind w:left="2064" w:hanging="100"/>
      </w:pPr>
      <w:rPr>
        <w:rFonts w:hint="default"/>
      </w:rPr>
    </w:lvl>
  </w:abstractNum>
  <w:abstractNum w:abstractNumId="1521" w15:restartNumberingAfterBreak="0">
    <w:nsid w:val="5F254974"/>
    <w:multiLevelType w:val="hybridMultilevel"/>
    <w:tmpl w:val="7046A420"/>
    <w:lvl w:ilvl="0" w:tplc="0BD2F480">
      <w:numFmt w:val="bullet"/>
      <w:lvlText w:val=""/>
      <w:lvlJc w:val="left"/>
      <w:pPr>
        <w:ind w:left="156" w:hanging="100"/>
      </w:pPr>
      <w:rPr>
        <w:rFonts w:ascii="Symbol" w:eastAsia="Symbol" w:hAnsi="Symbol" w:cs="Symbol" w:hint="default"/>
        <w:color w:val="231F20"/>
        <w:w w:val="100"/>
        <w:sz w:val="14"/>
        <w:szCs w:val="14"/>
      </w:rPr>
    </w:lvl>
    <w:lvl w:ilvl="1" w:tplc="54C6BD7A">
      <w:numFmt w:val="bullet"/>
      <w:lvlText w:val="•"/>
      <w:lvlJc w:val="left"/>
      <w:pPr>
        <w:ind w:left="398" w:hanging="100"/>
      </w:pPr>
      <w:rPr>
        <w:rFonts w:hint="default"/>
      </w:rPr>
    </w:lvl>
    <w:lvl w:ilvl="2" w:tplc="793A126A">
      <w:numFmt w:val="bullet"/>
      <w:lvlText w:val="•"/>
      <w:lvlJc w:val="left"/>
      <w:pPr>
        <w:ind w:left="636" w:hanging="100"/>
      </w:pPr>
      <w:rPr>
        <w:rFonts w:hint="default"/>
      </w:rPr>
    </w:lvl>
    <w:lvl w:ilvl="3" w:tplc="ABDCC566">
      <w:numFmt w:val="bullet"/>
      <w:lvlText w:val="•"/>
      <w:lvlJc w:val="left"/>
      <w:pPr>
        <w:ind w:left="874" w:hanging="100"/>
      </w:pPr>
      <w:rPr>
        <w:rFonts w:hint="default"/>
      </w:rPr>
    </w:lvl>
    <w:lvl w:ilvl="4" w:tplc="92AEA328">
      <w:numFmt w:val="bullet"/>
      <w:lvlText w:val="•"/>
      <w:lvlJc w:val="left"/>
      <w:pPr>
        <w:ind w:left="1112" w:hanging="100"/>
      </w:pPr>
      <w:rPr>
        <w:rFonts w:hint="default"/>
      </w:rPr>
    </w:lvl>
    <w:lvl w:ilvl="5" w:tplc="A43E5AFC">
      <w:numFmt w:val="bullet"/>
      <w:lvlText w:val="•"/>
      <w:lvlJc w:val="left"/>
      <w:pPr>
        <w:ind w:left="1350" w:hanging="100"/>
      </w:pPr>
      <w:rPr>
        <w:rFonts w:hint="default"/>
      </w:rPr>
    </w:lvl>
    <w:lvl w:ilvl="6" w:tplc="12ACD1E0">
      <w:numFmt w:val="bullet"/>
      <w:lvlText w:val="•"/>
      <w:lvlJc w:val="left"/>
      <w:pPr>
        <w:ind w:left="1588" w:hanging="100"/>
      </w:pPr>
      <w:rPr>
        <w:rFonts w:hint="default"/>
      </w:rPr>
    </w:lvl>
    <w:lvl w:ilvl="7" w:tplc="F536C100">
      <w:numFmt w:val="bullet"/>
      <w:lvlText w:val="•"/>
      <w:lvlJc w:val="left"/>
      <w:pPr>
        <w:ind w:left="1826" w:hanging="100"/>
      </w:pPr>
      <w:rPr>
        <w:rFonts w:hint="default"/>
      </w:rPr>
    </w:lvl>
    <w:lvl w:ilvl="8" w:tplc="91FE33BA">
      <w:numFmt w:val="bullet"/>
      <w:lvlText w:val="•"/>
      <w:lvlJc w:val="left"/>
      <w:pPr>
        <w:ind w:left="2064" w:hanging="100"/>
      </w:pPr>
      <w:rPr>
        <w:rFonts w:hint="default"/>
      </w:rPr>
    </w:lvl>
  </w:abstractNum>
  <w:abstractNum w:abstractNumId="1522" w15:restartNumberingAfterBreak="0">
    <w:nsid w:val="5F313504"/>
    <w:multiLevelType w:val="hybridMultilevel"/>
    <w:tmpl w:val="49A83F8A"/>
    <w:lvl w:ilvl="0" w:tplc="078CE0D0">
      <w:numFmt w:val="bullet"/>
      <w:lvlText w:val=""/>
      <w:lvlJc w:val="left"/>
      <w:pPr>
        <w:ind w:left="156" w:hanging="100"/>
      </w:pPr>
      <w:rPr>
        <w:rFonts w:ascii="Symbol" w:eastAsia="Symbol" w:hAnsi="Symbol" w:cs="Symbol" w:hint="default"/>
        <w:color w:val="231F20"/>
        <w:w w:val="100"/>
        <w:sz w:val="14"/>
        <w:szCs w:val="14"/>
      </w:rPr>
    </w:lvl>
    <w:lvl w:ilvl="1" w:tplc="49187DBC">
      <w:numFmt w:val="bullet"/>
      <w:lvlText w:val="•"/>
      <w:lvlJc w:val="left"/>
      <w:pPr>
        <w:ind w:left="301" w:hanging="100"/>
      </w:pPr>
      <w:rPr>
        <w:rFonts w:hint="default"/>
      </w:rPr>
    </w:lvl>
    <w:lvl w:ilvl="2" w:tplc="FE8A9D1C">
      <w:numFmt w:val="bullet"/>
      <w:lvlText w:val="•"/>
      <w:lvlJc w:val="left"/>
      <w:pPr>
        <w:ind w:left="443" w:hanging="100"/>
      </w:pPr>
      <w:rPr>
        <w:rFonts w:hint="default"/>
      </w:rPr>
    </w:lvl>
    <w:lvl w:ilvl="3" w:tplc="D41A744C">
      <w:numFmt w:val="bullet"/>
      <w:lvlText w:val="•"/>
      <w:lvlJc w:val="left"/>
      <w:pPr>
        <w:ind w:left="585" w:hanging="100"/>
      </w:pPr>
      <w:rPr>
        <w:rFonts w:hint="default"/>
      </w:rPr>
    </w:lvl>
    <w:lvl w:ilvl="4" w:tplc="134A7E0C">
      <w:numFmt w:val="bullet"/>
      <w:lvlText w:val="•"/>
      <w:lvlJc w:val="left"/>
      <w:pPr>
        <w:ind w:left="726" w:hanging="100"/>
      </w:pPr>
      <w:rPr>
        <w:rFonts w:hint="default"/>
      </w:rPr>
    </w:lvl>
    <w:lvl w:ilvl="5" w:tplc="3368714C">
      <w:numFmt w:val="bullet"/>
      <w:lvlText w:val="•"/>
      <w:lvlJc w:val="left"/>
      <w:pPr>
        <w:ind w:left="868" w:hanging="100"/>
      </w:pPr>
      <w:rPr>
        <w:rFonts w:hint="default"/>
      </w:rPr>
    </w:lvl>
    <w:lvl w:ilvl="6" w:tplc="CF442208">
      <w:numFmt w:val="bullet"/>
      <w:lvlText w:val="•"/>
      <w:lvlJc w:val="left"/>
      <w:pPr>
        <w:ind w:left="1010" w:hanging="100"/>
      </w:pPr>
      <w:rPr>
        <w:rFonts w:hint="default"/>
      </w:rPr>
    </w:lvl>
    <w:lvl w:ilvl="7" w:tplc="E2325CA4">
      <w:numFmt w:val="bullet"/>
      <w:lvlText w:val="•"/>
      <w:lvlJc w:val="left"/>
      <w:pPr>
        <w:ind w:left="1151" w:hanging="100"/>
      </w:pPr>
      <w:rPr>
        <w:rFonts w:hint="default"/>
      </w:rPr>
    </w:lvl>
    <w:lvl w:ilvl="8" w:tplc="5B0433A6">
      <w:numFmt w:val="bullet"/>
      <w:lvlText w:val="•"/>
      <w:lvlJc w:val="left"/>
      <w:pPr>
        <w:ind w:left="1293" w:hanging="100"/>
      </w:pPr>
      <w:rPr>
        <w:rFonts w:hint="default"/>
      </w:rPr>
    </w:lvl>
  </w:abstractNum>
  <w:abstractNum w:abstractNumId="1523" w15:restartNumberingAfterBreak="0">
    <w:nsid w:val="5F5F78B8"/>
    <w:multiLevelType w:val="hybridMultilevel"/>
    <w:tmpl w:val="FB86E65C"/>
    <w:lvl w:ilvl="0" w:tplc="091A8316">
      <w:numFmt w:val="bullet"/>
      <w:lvlText w:val=""/>
      <w:lvlJc w:val="left"/>
      <w:pPr>
        <w:ind w:left="156" w:hanging="100"/>
      </w:pPr>
      <w:rPr>
        <w:rFonts w:ascii="Symbol" w:eastAsia="Symbol" w:hAnsi="Symbol" w:cs="Symbol" w:hint="default"/>
        <w:color w:val="231F20"/>
        <w:w w:val="100"/>
        <w:sz w:val="14"/>
        <w:szCs w:val="14"/>
      </w:rPr>
    </w:lvl>
    <w:lvl w:ilvl="1" w:tplc="690C5C50">
      <w:numFmt w:val="bullet"/>
      <w:lvlText w:val="•"/>
      <w:lvlJc w:val="left"/>
      <w:pPr>
        <w:ind w:left="454" w:hanging="100"/>
      </w:pPr>
      <w:rPr>
        <w:rFonts w:hint="default"/>
      </w:rPr>
    </w:lvl>
    <w:lvl w:ilvl="2" w:tplc="D5D85756">
      <w:numFmt w:val="bullet"/>
      <w:lvlText w:val="•"/>
      <w:lvlJc w:val="left"/>
      <w:pPr>
        <w:ind w:left="749" w:hanging="100"/>
      </w:pPr>
      <w:rPr>
        <w:rFonts w:hint="default"/>
      </w:rPr>
    </w:lvl>
    <w:lvl w:ilvl="3" w:tplc="04B03FC4">
      <w:numFmt w:val="bullet"/>
      <w:lvlText w:val="•"/>
      <w:lvlJc w:val="left"/>
      <w:pPr>
        <w:ind w:left="1044" w:hanging="100"/>
      </w:pPr>
      <w:rPr>
        <w:rFonts w:hint="default"/>
      </w:rPr>
    </w:lvl>
    <w:lvl w:ilvl="4" w:tplc="B3400D46">
      <w:numFmt w:val="bullet"/>
      <w:lvlText w:val="•"/>
      <w:lvlJc w:val="left"/>
      <w:pPr>
        <w:ind w:left="1339" w:hanging="100"/>
      </w:pPr>
      <w:rPr>
        <w:rFonts w:hint="default"/>
      </w:rPr>
    </w:lvl>
    <w:lvl w:ilvl="5" w:tplc="BC1E84FE">
      <w:numFmt w:val="bullet"/>
      <w:lvlText w:val="•"/>
      <w:lvlJc w:val="left"/>
      <w:pPr>
        <w:ind w:left="1634" w:hanging="100"/>
      </w:pPr>
      <w:rPr>
        <w:rFonts w:hint="default"/>
      </w:rPr>
    </w:lvl>
    <w:lvl w:ilvl="6" w:tplc="8B40B41C">
      <w:numFmt w:val="bullet"/>
      <w:lvlText w:val="•"/>
      <w:lvlJc w:val="left"/>
      <w:pPr>
        <w:ind w:left="1928" w:hanging="100"/>
      </w:pPr>
      <w:rPr>
        <w:rFonts w:hint="default"/>
      </w:rPr>
    </w:lvl>
    <w:lvl w:ilvl="7" w:tplc="4ADE9BC0">
      <w:numFmt w:val="bullet"/>
      <w:lvlText w:val="•"/>
      <w:lvlJc w:val="left"/>
      <w:pPr>
        <w:ind w:left="2223" w:hanging="100"/>
      </w:pPr>
      <w:rPr>
        <w:rFonts w:hint="default"/>
      </w:rPr>
    </w:lvl>
    <w:lvl w:ilvl="8" w:tplc="87A64D0E">
      <w:numFmt w:val="bullet"/>
      <w:lvlText w:val="•"/>
      <w:lvlJc w:val="left"/>
      <w:pPr>
        <w:ind w:left="2518" w:hanging="100"/>
      </w:pPr>
      <w:rPr>
        <w:rFonts w:hint="default"/>
      </w:rPr>
    </w:lvl>
  </w:abstractNum>
  <w:abstractNum w:abstractNumId="1524" w15:restartNumberingAfterBreak="0">
    <w:nsid w:val="5F626C6A"/>
    <w:multiLevelType w:val="hybridMultilevel"/>
    <w:tmpl w:val="D8D04226"/>
    <w:lvl w:ilvl="0" w:tplc="239A34BE">
      <w:numFmt w:val="bullet"/>
      <w:lvlText w:val=""/>
      <w:lvlJc w:val="left"/>
      <w:pPr>
        <w:ind w:left="157" w:hanging="100"/>
      </w:pPr>
      <w:rPr>
        <w:rFonts w:ascii="Symbol" w:eastAsia="Symbol" w:hAnsi="Symbol" w:cs="Symbol" w:hint="default"/>
        <w:color w:val="231F20"/>
        <w:w w:val="100"/>
        <w:sz w:val="14"/>
        <w:szCs w:val="14"/>
      </w:rPr>
    </w:lvl>
    <w:lvl w:ilvl="1" w:tplc="E4145686">
      <w:numFmt w:val="bullet"/>
      <w:lvlText w:val="•"/>
      <w:lvlJc w:val="left"/>
      <w:pPr>
        <w:ind w:left="369" w:hanging="100"/>
      </w:pPr>
      <w:rPr>
        <w:rFonts w:hint="default"/>
      </w:rPr>
    </w:lvl>
    <w:lvl w:ilvl="2" w:tplc="A4AE24B2">
      <w:numFmt w:val="bullet"/>
      <w:lvlText w:val="•"/>
      <w:lvlJc w:val="left"/>
      <w:pPr>
        <w:ind w:left="579" w:hanging="100"/>
      </w:pPr>
      <w:rPr>
        <w:rFonts w:hint="default"/>
      </w:rPr>
    </w:lvl>
    <w:lvl w:ilvl="3" w:tplc="1B6A33E0">
      <w:numFmt w:val="bullet"/>
      <w:lvlText w:val="•"/>
      <w:lvlJc w:val="left"/>
      <w:pPr>
        <w:ind w:left="789" w:hanging="100"/>
      </w:pPr>
      <w:rPr>
        <w:rFonts w:hint="default"/>
      </w:rPr>
    </w:lvl>
    <w:lvl w:ilvl="4" w:tplc="9B6E54B6">
      <w:numFmt w:val="bullet"/>
      <w:lvlText w:val="•"/>
      <w:lvlJc w:val="left"/>
      <w:pPr>
        <w:ind w:left="998" w:hanging="100"/>
      </w:pPr>
      <w:rPr>
        <w:rFonts w:hint="default"/>
      </w:rPr>
    </w:lvl>
    <w:lvl w:ilvl="5" w:tplc="5A886DE6">
      <w:numFmt w:val="bullet"/>
      <w:lvlText w:val="•"/>
      <w:lvlJc w:val="left"/>
      <w:pPr>
        <w:ind w:left="1208" w:hanging="100"/>
      </w:pPr>
      <w:rPr>
        <w:rFonts w:hint="default"/>
      </w:rPr>
    </w:lvl>
    <w:lvl w:ilvl="6" w:tplc="6FF45CB0">
      <w:numFmt w:val="bullet"/>
      <w:lvlText w:val="•"/>
      <w:lvlJc w:val="left"/>
      <w:pPr>
        <w:ind w:left="1418" w:hanging="100"/>
      </w:pPr>
      <w:rPr>
        <w:rFonts w:hint="default"/>
      </w:rPr>
    </w:lvl>
    <w:lvl w:ilvl="7" w:tplc="28103D20">
      <w:numFmt w:val="bullet"/>
      <w:lvlText w:val="•"/>
      <w:lvlJc w:val="left"/>
      <w:pPr>
        <w:ind w:left="1627" w:hanging="100"/>
      </w:pPr>
      <w:rPr>
        <w:rFonts w:hint="default"/>
      </w:rPr>
    </w:lvl>
    <w:lvl w:ilvl="8" w:tplc="479C8C0E">
      <w:numFmt w:val="bullet"/>
      <w:lvlText w:val="•"/>
      <w:lvlJc w:val="left"/>
      <w:pPr>
        <w:ind w:left="1837" w:hanging="100"/>
      </w:pPr>
      <w:rPr>
        <w:rFonts w:hint="default"/>
      </w:rPr>
    </w:lvl>
  </w:abstractNum>
  <w:abstractNum w:abstractNumId="1525" w15:restartNumberingAfterBreak="0">
    <w:nsid w:val="5F726BC0"/>
    <w:multiLevelType w:val="hybridMultilevel"/>
    <w:tmpl w:val="E564EFEE"/>
    <w:lvl w:ilvl="0" w:tplc="FD2AE984">
      <w:numFmt w:val="bullet"/>
      <w:lvlText w:val=""/>
      <w:lvlJc w:val="left"/>
      <w:pPr>
        <w:ind w:left="156" w:hanging="100"/>
      </w:pPr>
      <w:rPr>
        <w:rFonts w:ascii="Symbol" w:eastAsia="Symbol" w:hAnsi="Symbol" w:cs="Symbol" w:hint="default"/>
        <w:color w:val="231F20"/>
        <w:w w:val="100"/>
        <w:sz w:val="14"/>
        <w:szCs w:val="14"/>
      </w:rPr>
    </w:lvl>
    <w:lvl w:ilvl="1" w:tplc="21B20366">
      <w:numFmt w:val="bullet"/>
      <w:lvlText w:val="•"/>
      <w:lvlJc w:val="left"/>
      <w:pPr>
        <w:ind w:left="398" w:hanging="100"/>
      </w:pPr>
      <w:rPr>
        <w:rFonts w:hint="default"/>
      </w:rPr>
    </w:lvl>
    <w:lvl w:ilvl="2" w:tplc="DD4C68CA">
      <w:numFmt w:val="bullet"/>
      <w:lvlText w:val="•"/>
      <w:lvlJc w:val="left"/>
      <w:pPr>
        <w:ind w:left="636" w:hanging="100"/>
      </w:pPr>
      <w:rPr>
        <w:rFonts w:hint="default"/>
      </w:rPr>
    </w:lvl>
    <w:lvl w:ilvl="3" w:tplc="A7DABF2C">
      <w:numFmt w:val="bullet"/>
      <w:lvlText w:val="•"/>
      <w:lvlJc w:val="left"/>
      <w:pPr>
        <w:ind w:left="874" w:hanging="100"/>
      </w:pPr>
      <w:rPr>
        <w:rFonts w:hint="default"/>
      </w:rPr>
    </w:lvl>
    <w:lvl w:ilvl="4" w:tplc="AC5484C0">
      <w:numFmt w:val="bullet"/>
      <w:lvlText w:val="•"/>
      <w:lvlJc w:val="left"/>
      <w:pPr>
        <w:ind w:left="1112" w:hanging="100"/>
      </w:pPr>
      <w:rPr>
        <w:rFonts w:hint="default"/>
      </w:rPr>
    </w:lvl>
    <w:lvl w:ilvl="5" w:tplc="5DDC1F78">
      <w:numFmt w:val="bullet"/>
      <w:lvlText w:val="•"/>
      <w:lvlJc w:val="left"/>
      <w:pPr>
        <w:ind w:left="1350" w:hanging="100"/>
      </w:pPr>
      <w:rPr>
        <w:rFonts w:hint="default"/>
      </w:rPr>
    </w:lvl>
    <w:lvl w:ilvl="6" w:tplc="9834A918">
      <w:numFmt w:val="bullet"/>
      <w:lvlText w:val="•"/>
      <w:lvlJc w:val="left"/>
      <w:pPr>
        <w:ind w:left="1588" w:hanging="100"/>
      </w:pPr>
      <w:rPr>
        <w:rFonts w:hint="default"/>
      </w:rPr>
    </w:lvl>
    <w:lvl w:ilvl="7" w:tplc="68EEF438">
      <w:numFmt w:val="bullet"/>
      <w:lvlText w:val="•"/>
      <w:lvlJc w:val="left"/>
      <w:pPr>
        <w:ind w:left="1826" w:hanging="100"/>
      </w:pPr>
      <w:rPr>
        <w:rFonts w:hint="default"/>
      </w:rPr>
    </w:lvl>
    <w:lvl w:ilvl="8" w:tplc="B8C84F6C">
      <w:numFmt w:val="bullet"/>
      <w:lvlText w:val="•"/>
      <w:lvlJc w:val="left"/>
      <w:pPr>
        <w:ind w:left="2064" w:hanging="100"/>
      </w:pPr>
      <w:rPr>
        <w:rFonts w:hint="default"/>
      </w:rPr>
    </w:lvl>
  </w:abstractNum>
  <w:abstractNum w:abstractNumId="1526" w15:restartNumberingAfterBreak="0">
    <w:nsid w:val="5F882F5E"/>
    <w:multiLevelType w:val="hybridMultilevel"/>
    <w:tmpl w:val="AF62DAC2"/>
    <w:lvl w:ilvl="0" w:tplc="FC40C130">
      <w:numFmt w:val="bullet"/>
      <w:lvlText w:val=""/>
      <w:lvlJc w:val="left"/>
      <w:pPr>
        <w:ind w:left="156" w:hanging="100"/>
      </w:pPr>
      <w:rPr>
        <w:rFonts w:ascii="Symbol" w:eastAsia="Symbol" w:hAnsi="Symbol" w:cs="Symbol" w:hint="default"/>
        <w:color w:val="231F20"/>
        <w:w w:val="100"/>
        <w:sz w:val="14"/>
        <w:szCs w:val="14"/>
      </w:rPr>
    </w:lvl>
    <w:lvl w:ilvl="1" w:tplc="CDF48D0E">
      <w:numFmt w:val="bullet"/>
      <w:lvlText w:val="•"/>
      <w:lvlJc w:val="left"/>
      <w:pPr>
        <w:ind w:left="426" w:hanging="100"/>
      </w:pPr>
      <w:rPr>
        <w:rFonts w:hint="default"/>
      </w:rPr>
    </w:lvl>
    <w:lvl w:ilvl="2" w:tplc="F7168D24">
      <w:numFmt w:val="bullet"/>
      <w:lvlText w:val="•"/>
      <w:lvlJc w:val="left"/>
      <w:pPr>
        <w:ind w:left="692" w:hanging="100"/>
      </w:pPr>
      <w:rPr>
        <w:rFonts w:hint="default"/>
      </w:rPr>
    </w:lvl>
    <w:lvl w:ilvl="3" w:tplc="123614B4">
      <w:numFmt w:val="bullet"/>
      <w:lvlText w:val="•"/>
      <w:lvlJc w:val="left"/>
      <w:pPr>
        <w:ind w:left="959" w:hanging="100"/>
      </w:pPr>
      <w:rPr>
        <w:rFonts w:hint="default"/>
      </w:rPr>
    </w:lvl>
    <w:lvl w:ilvl="4" w:tplc="B3C8B608">
      <w:numFmt w:val="bullet"/>
      <w:lvlText w:val="•"/>
      <w:lvlJc w:val="left"/>
      <w:pPr>
        <w:ind w:left="1225" w:hanging="100"/>
      </w:pPr>
      <w:rPr>
        <w:rFonts w:hint="default"/>
      </w:rPr>
    </w:lvl>
    <w:lvl w:ilvl="5" w:tplc="E7CC351E">
      <w:numFmt w:val="bullet"/>
      <w:lvlText w:val="•"/>
      <w:lvlJc w:val="left"/>
      <w:pPr>
        <w:ind w:left="1492" w:hanging="100"/>
      </w:pPr>
      <w:rPr>
        <w:rFonts w:hint="default"/>
      </w:rPr>
    </w:lvl>
    <w:lvl w:ilvl="6" w:tplc="3606DCA6">
      <w:numFmt w:val="bullet"/>
      <w:lvlText w:val="•"/>
      <w:lvlJc w:val="left"/>
      <w:pPr>
        <w:ind w:left="1758" w:hanging="100"/>
      </w:pPr>
      <w:rPr>
        <w:rFonts w:hint="default"/>
      </w:rPr>
    </w:lvl>
    <w:lvl w:ilvl="7" w:tplc="66C06FA8">
      <w:numFmt w:val="bullet"/>
      <w:lvlText w:val="•"/>
      <w:lvlJc w:val="left"/>
      <w:pPr>
        <w:ind w:left="2024" w:hanging="100"/>
      </w:pPr>
      <w:rPr>
        <w:rFonts w:hint="default"/>
      </w:rPr>
    </w:lvl>
    <w:lvl w:ilvl="8" w:tplc="20B2D110">
      <w:numFmt w:val="bullet"/>
      <w:lvlText w:val="•"/>
      <w:lvlJc w:val="left"/>
      <w:pPr>
        <w:ind w:left="2291" w:hanging="100"/>
      </w:pPr>
      <w:rPr>
        <w:rFonts w:hint="default"/>
      </w:rPr>
    </w:lvl>
  </w:abstractNum>
  <w:abstractNum w:abstractNumId="1527" w15:restartNumberingAfterBreak="0">
    <w:nsid w:val="5F9468C5"/>
    <w:multiLevelType w:val="hybridMultilevel"/>
    <w:tmpl w:val="20BAD23A"/>
    <w:lvl w:ilvl="0" w:tplc="B4F8380A">
      <w:numFmt w:val="bullet"/>
      <w:lvlText w:val=""/>
      <w:lvlJc w:val="left"/>
      <w:pPr>
        <w:ind w:left="156" w:hanging="100"/>
      </w:pPr>
      <w:rPr>
        <w:rFonts w:ascii="Symbol" w:eastAsia="Symbol" w:hAnsi="Symbol" w:cs="Symbol" w:hint="default"/>
        <w:color w:val="231F20"/>
        <w:w w:val="100"/>
        <w:sz w:val="14"/>
        <w:szCs w:val="14"/>
      </w:rPr>
    </w:lvl>
    <w:lvl w:ilvl="1" w:tplc="57D4E3C8">
      <w:numFmt w:val="bullet"/>
      <w:lvlText w:val="•"/>
      <w:lvlJc w:val="left"/>
      <w:pPr>
        <w:ind w:left="426" w:hanging="100"/>
      </w:pPr>
      <w:rPr>
        <w:rFonts w:hint="default"/>
      </w:rPr>
    </w:lvl>
    <w:lvl w:ilvl="2" w:tplc="2E049CD0">
      <w:numFmt w:val="bullet"/>
      <w:lvlText w:val="•"/>
      <w:lvlJc w:val="left"/>
      <w:pPr>
        <w:ind w:left="692" w:hanging="100"/>
      </w:pPr>
      <w:rPr>
        <w:rFonts w:hint="default"/>
      </w:rPr>
    </w:lvl>
    <w:lvl w:ilvl="3" w:tplc="5ACE1A84">
      <w:numFmt w:val="bullet"/>
      <w:lvlText w:val="•"/>
      <w:lvlJc w:val="left"/>
      <w:pPr>
        <w:ind w:left="959" w:hanging="100"/>
      </w:pPr>
      <w:rPr>
        <w:rFonts w:hint="default"/>
      </w:rPr>
    </w:lvl>
    <w:lvl w:ilvl="4" w:tplc="8D32610E">
      <w:numFmt w:val="bullet"/>
      <w:lvlText w:val="•"/>
      <w:lvlJc w:val="left"/>
      <w:pPr>
        <w:ind w:left="1225" w:hanging="100"/>
      </w:pPr>
      <w:rPr>
        <w:rFonts w:hint="default"/>
      </w:rPr>
    </w:lvl>
    <w:lvl w:ilvl="5" w:tplc="D2CEAF4E">
      <w:numFmt w:val="bullet"/>
      <w:lvlText w:val="•"/>
      <w:lvlJc w:val="left"/>
      <w:pPr>
        <w:ind w:left="1492" w:hanging="100"/>
      </w:pPr>
      <w:rPr>
        <w:rFonts w:hint="default"/>
      </w:rPr>
    </w:lvl>
    <w:lvl w:ilvl="6" w:tplc="D24AE78C">
      <w:numFmt w:val="bullet"/>
      <w:lvlText w:val="•"/>
      <w:lvlJc w:val="left"/>
      <w:pPr>
        <w:ind w:left="1758" w:hanging="100"/>
      </w:pPr>
      <w:rPr>
        <w:rFonts w:hint="default"/>
      </w:rPr>
    </w:lvl>
    <w:lvl w:ilvl="7" w:tplc="89B8E878">
      <w:numFmt w:val="bullet"/>
      <w:lvlText w:val="•"/>
      <w:lvlJc w:val="left"/>
      <w:pPr>
        <w:ind w:left="2024" w:hanging="100"/>
      </w:pPr>
      <w:rPr>
        <w:rFonts w:hint="default"/>
      </w:rPr>
    </w:lvl>
    <w:lvl w:ilvl="8" w:tplc="D5468362">
      <w:numFmt w:val="bullet"/>
      <w:lvlText w:val="•"/>
      <w:lvlJc w:val="left"/>
      <w:pPr>
        <w:ind w:left="2291" w:hanging="100"/>
      </w:pPr>
      <w:rPr>
        <w:rFonts w:hint="default"/>
      </w:rPr>
    </w:lvl>
  </w:abstractNum>
  <w:abstractNum w:abstractNumId="1528" w15:restartNumberingAfterBreak="0">
    <w:nsid w:val="5F9471E9"/>
    <w:multiLevelType w:val="hybridMultilevel"/>
    <w:tmpl w:val="A6F6B162"/>
    <w:lvl w:ilvl="0" w:tplc="83DAA4E2">
      <w:numFmt w:val="bullet"/>
      <w:lvlText w:val="–"/>
      <w:lvlJc w:val="left"/>
      <w:pPr>
        <w:ind w:left="497" w:hanging="135"/>
      </w:pPr>
      <w:rPr>
        <w:rFonts w:ascii="Times New Roman" w:eastAsia="Times New Roman" w:hAnsi="Times New Roman" w:cs="Times New Roman" w:hint="default"/>
        <w:color w:val="231F20"/>
        <w:spacing w:val="-3"/>
        <w:w w:val="100"/>
        <w:sz w:val="18"/>
        <w:szCs w:val="18"/>
      </w:rPr>
    </w:lvl>
    <w:lvl w:ilvl="1" w:tplc="0D945C50">
      <w:numFmt w:val="bullet"/>
      <w:lvlText w:val="•"/>
      <w:lvlJc w:val="left"/>
      <w:pPr>
        <w:ind w:left="1528" w:hanging="135"/>
      </w:pPr>
      <w:rPr>
        <w:rFonts w:hint="default"/>
      </w:rPr>
    </w:lvl>
    <w:lvl w:ilvl="2" w:tplc="EF5AF8F0">
      <w:numFmt w:val="bullet"/>
      <w:lvlText w:val="•"/>
      <w:lvlJc w:val="left"/>
      <w:pPr>
        <w:ind w:left="2557" w:hanging="135"/>
      </w:pPr>
      <w:rPr>
        <w:rFonts w:hint="default"/>
      </w:rPr>
    </w:lvl>
    <w:lvl w:ilvl="3" w:tplc="BACA80A0">
      <w:numFmt w:val="bullet"/>
      <w:lvlText w:val="•"/>
      <w:lvlJc w:val="left"/>
      <w:pPr>
        <w:ind w:left="3585" w:hanging="135"/>
      </w:pPr>
      <w:rPr>
        <w:rFonts w:hint="default"/>
      </w:rPr>
    </w:lvl>
    <w:lvl w:ilvl="4" w:tplc="EDDA8120">
      <w:numFmt w:val="bullet"/>
      <w:lvlText w:val="•"/>
      <w:lvlJc w:val="left"/>
      <w:pPr>
        <w:ind w:left="4614" w:hanging="135"/>
      </w:pPr>
      <w:rPr>
        <w:rFonts w:hint="default"/>
      </w:rPr>
    </w:lvl>
    <w:lvl w:ilvl="5" w:tplc="1C625E56">
      <w:numFmt w:val="bullet"/>
      <w:lvlText w:val="•"/>
      <w:lvlJc w:val="left"/>
      <w:pPr>
        <w:ind w:left="5642" w:hanging="135"/>
      </w:pPr>
      <w:rPr>
        <w:rFonts w:hint="default"/>
      </w:rPr>
    </w:lvl>
    <w:lvl w:ilvl="6" w:tplc="7F50A3B4">
      <w:numFmt w:val="bullet"/>
      <w:lvlText w:val="•"/>
      <w:lvlJc w:val="left"/>
      <w:pPr>
        <w:ind w:left="6671" w:hanging="135"/>
      </w:pPr>
      <w:rPr>
        <w:rFonts w:hint="default"/>
      </w:rPr>
    </w:lvl>
    <w:lvl w:ilvl="7" w:tplc="99CEE99A">
      <w:numFmt w:val="bullet"/>
      <w:lvlText w:val="•"/>
      <w:lvlJc w:val="left"/>
      <w:pPr>
        <w:ind w:left="7699" w:hanging="135"/>
      </w:pPr>
      <w:rPr>
        <w:rFonts w:hint="default"/>
      </w:rPr>
    </w:lvl>
    <w:lvl w:ilvl="8" w:tplc="7C76379C">
      <w:numFmt w:val="bullet"/>
      <w:lvlText w:val="•"/>
      <w:lvlJc w:val="left"/>
      <w:pPr>
        <w:ind w:left="8728" w:hanging="135"/>
      </w:pPr>
      <w:rPr>
        <w:rFonts w:hint="default"/>
      </w:rPr>
    </w:lvl>
  </w:abstractNum>
  <w:abstractNum w:abstractNumId="1529" w15:restartNumberingAfterBreak="0">
    <w:nsid w:val="5F964BFA"/>
    <w:multiLevelType w:val="hybridMultilevel"/>
    <w:tmpl w:val="F306CB26"/>
    <w:lvl w:ilvl="0" w:tplc="1200EDD6">
      <w:numFmt w:val="bullet"/>
      <w:lvlText w:val=""/>
      <w:lvlJc w:val="left"/>
      <w:pPr>
        <w:ind w:left="157" w:hanging="100"/>
      </w:pPr>
      <w:rPr>
        <w:rFonts w:ascii="Symbol" w:eastAsia="Symbol" w:hAnsi="Symbol" w:cs="Symbol" w:hint="default"/>
        <w:color w:val="231F20"/>
        <w:w w:val="100"/>
        <w:sz w:val="14"/>
        <w:szCs w:val="14"/>
      </w:rPr>
    </w:lvl>
    <w:lvl w:ilvl="1" w:tplc="DEAAC39E">
      <w:numFmt w:val="bullet"/>
      <w:lvlText w:val="•"/>
      <w:lvlJc w:val="left"/>
      <w:pPr>
        <w:ind w:left="426" w:hanging="100"/>
      </w:pPr>
      <w:rPr>
        <w:rFonts w:hint="default"/>
      </w:rPr>
    </w:lvl>
    <w:lvl w:ilvl="2" w:tplc="3FF27818">
      <w:numFmt w:val="bullet"/>
      <w:lvlText w:val="•"/>
      <w:lvlJc w:val="left"/>
      <w:pPr>
        <w:ind w:left="692" w:hanging="100"/>
      </w:pPr>
      <w:rPr>
        <w:rFonts w:hint="default"/>
      </w:rPr>
    </w:lvl>
    <w:lvl w:ilvl="3" w:tplc="B5A86A4C">
      <w:numFmt w:val="bullet"/>
      <w:lvlText w:val="•"/>
      <w:lvlJc w:val="left"/>
      <w:pPr>
        <w:ind w:left="959" w:hanging="100"/>
      </w:pPr>
      <w:rPr>
        <w:rFonts w:hint="default"/>
      </w:rPr>
    </w:lvl>
    <w:lvl w:ilvl="4" w:tplc="43463EFE">
      <w:numFmt w:val="bullet"/>
      <w:lvlText w:val="•"/>
      <w:lvlJc w:val="left"/>
      <w:pPr>
        <w:ind w:left="1225" w:hanging="100"/>
      </w:pPr>
      <w:rPr>
        <w:rFonts w:hint="default"/>
      </w:rPr>
    </w:lvl>
    <w:lvl w:ilvl="5" w:tplc="2BB04AEA">
      <w:numFmt w:val="bullet"/>
      <w:lvlText w:val="•"/>
      <w:lvlJc w:val="left"/>
      <w:pPr>
        <w:ind w:left="1492" w:hanging="100"/>
      </w:pPr>
      <w:rPr>
        <w:rFonts w:hint="default"/>
      </w:rPr>
    </w:lvl>
    <w:lvl w:ilvl="6" w:tplc="7420604A">
      <w:numFmt w:val="bullet"/>
      <w:lvlText w:val="•"/>
      <w:lvlJc w:val="left"/>
      <w:pPr>
        <w:ind w:left="1758" w:hanging="100"/>
      </w:pPr>
      <w:rPr>
        <w:rFonts w:hint="default"/>
      </w:rPr>
    </w:lvl>
    <w:lvl w:ilvl="7" w:tplc="7CA42CC0">
      <w:numFmt w:val="bullet"/>
      <w:lvlText w:val="•"/>
      <w:lvlJc w:val="left"/>
      <w:pPr>
        <w:ind w:left="2024" w:hanging="100"/>
      </w:pPr>
      <w:rPr>
        <w:rFonts w:hint="default"/>
      </w:rPr>
    </w:lvl>
    <w:lvl w:ilvl="8" w:tplc="3D58D876">
      <w:numFmt w:val="bullet"/>
      <w:lvlText w:val="•"/>
      <w:lvlJc w:val="left"/>
      <w:pPr>
        <w:ind w:left="2291" w:hanging="100"/>
      </w:pPr>
      <w:rPr>
        <w:rFonts w:hint="default"/>
      </w:rPr>
    </w:lvl>
  </w:abstractNum>
  <w:abstractNum w:abstractNumId="1530" w15:restartNumberingAfterBreak="0">
    <w:nsid w:val="5FA45269"/>
    <w:multiLevelType w:val="hybridMultilevel"/>
    <w:tmpl w:val="BDBA214C"/>
    <w:lvl w:ilvl="0" w:tplc="CECCF560">
      <w:numFmt w:val="bullet"/>
      <w:lvlText w:val=""/>
      <w:lvlJc w:val="left"/>
      <w:pPr>
        <w:ind w:left="157" w:hanging="100"/>
      </w:pPr>
      <w:rPr>
        <w:rFonts w:ascii="Symbol" w:eastAsia="Symbol" w:hAnsi="Symbol" w:cs="Symbol" w:hint="default"/>
        <w:color w:val="231F20"/>
        <w:w w:val="100"/>
        <w:sz w:val="14"/>
        <w:szCs w:val="14"/>
      </w:rPr>
    </w:lvl>
    <w:lvl w:ilvl="1" w:tplc="EEDE5270">
      <w:numFmt w:val="bullet"/>
      <w:lvlText w:val="•"/>
      <w:lvlJc w:val="left"/>
      <w:pPr>
        <w:ind w:left="369" w:hanging="100"/>
      </w:pPr>
      <w:rPr>
        <w:rFonts w:hint="default"/>
      </w:rPr>
    </w:lvl>
    <w:lvl w:ilvl="2" w:tplc="0BFABF94">
      <w:numFmt w:val="bullet"/>
      <w:lvlText w:val="•"/>
      <w:lvlJc w:val="left"/>
      <w:pPr>
        <w:ind w:left="579" w:hanging="100"/>
      </w:pPr>
      <w:rPr>
        <w:rFonts w:hint="default"/>
      </w:rPr>
    </w:lvl>
    <w:lvl w:ilvl="3" w:tplc="1C180B6C">
      <w:numFmt w:val="bullet"/>
      <w:lvlText w:val="•"/>
      <w:lvlJc w:val="left"/>
      <w:pPr>
        <w:ind w:left="789" w:hanging="100"/>
      </w:pPr>
      <w:rPr>
        <w:rFonts w:hint="default"/>
      </w:rPr>
    </w:lvl>
    <w:lvl w:ilvl="4" w:tplc="92DC6DD0">
      <w:numFmt w:val="bullet"/>
      <w:lvlText w:val="•"/>
      <w:lvlJc w:val="left"/>
      <w:pPr>
        <w:ind w:left="998" w:hanging="100"/>
      </w:pPr>
      <w:rPr>
        <w:rFonts w:hint="default"/>
      </w:rPr>
    </w:lvl>
    <w:lvl w:ilvl="5" w:tplc="4F1A1092">
      <w:numFmt w:val="bullet"/>
      <w:lvlText w:val="•"/>
      <w:lvlJc w:val="left"/>
      <w:pPr>
        <w:ind w:left="1208" w:hanging="100"/>
      </w:pPr>
      <w:rPr>
        <w:rFonts w:hint="default"/>
      </w:rPr>
    </w:lvl>
    <w:lvl w:ilvl="6" w:tplc="FFB422F4">
      <w:numFmt w:val="bullet"/>
      <w:lvlText w:val="•"/>
      <w:lvlJc w:val="left"/>
      <w:pPr>
        <w:ind w:left="1418" w:hanging="100"/>
      </w:pPr>
      <w:rPr>
        <w:rFonts w:hint="default"/>
      </w:rPr>
    </w:lvl>
    <w:lvl w:ilvl="7" w:tplc="5C160B12">
      <w:numFmt w:val="bullet"/>
      <w:lvlText w:val="•"/>
      <w:lvlJc w:val="left"/>
      <w:pPr>
        <w:ind w:left="1627" w:hanging="100"/>
      </w:pPr>
      <w:rPr>
        <w:rFonts w:hint="default"/>
      </w:rPr>
    </w:lvl>
    <w:lvl w:ilvl="8" w:tplc="FEB275AC">
      <w:numFmt w:val="bullet"/>
      <w:lvlText w:val="•"/>
      <w:lvlJc w:val="left"/>
      <w:pPr>
        <w:ind w:left="1837" w:hanging="100"/>
      </w:pPr>
      <w:rPr>
        <w:rFonts w:hint="default"/>
      </w:rPr>
    </w:lvl>
  </w:abstractNum>
  <w:abstractNum w:abstractNumId="1531" w15:restartNumberingAfterBreak="0">
    <w:nsid w:val="5FA80CD2"/>
    <w:multiLevelType w:val="hybridMultilevel"/>
    <w:tmpl w:val="133C4396"/>
    <w:lvl w:ilvl="0" w:tplc="4EB6046C">
      <w:numFmt w:val="bullet"/>
      <w:lvlText w:val=""/>
      <w:lvlJc w:val="left"/>
      <w:pPr>
        <w:ind w:left="157" w:hanging="100"/>
      </w:pPr>
      <w:rPr>
        <w:rFonts w:ascii="Symbol" w:eastAsia="Symbol" w:hAnsi="Symbol" w:cs="Symbol" w:hint="default"/>
        <w:color w:val="231F20"/>
        <w:w w:val="100"/>
        <w:sz w:val="14"/>
        <w:szCs w:val="14"/>
      </w:rPr>
    </w:lvl>
    <w:lvl w:ilvl="1" w:tplc="FF8A17A6">
      <w:numFmt w:val="bullet"/>
      <w:lvlText w:val="•"/>
      <w:lvlJc w:val="left"/>
      <w:pPr>
        <w:ind w:left="369" w:hanging="100"/>
      </w:pPr>
      <w:rPr>
        <w:rFonts w:hint="default"/>
      </w:rPr>
    </w:lvl>
    <w:lvl w:ilvl="2" w:tplc="AAB6B278">
      <w:numFmt w:val="bullet"/>
      <w:lvlText w:val="•"/>
      <w:lvlJc w:val="left"/>
      <w:pPr>
        <w:ind w:left="579" w:hanging="100"/>
      </w:pPr>
      <w:rPr>
        <w:rFonts w:hint="default"/>
      </w:rPr>
    </w:lvl>
    <w:lvl w:ilvl="3" w:tplc="544C4158">
      <w:numFmt w:val="bullet"/>
      <w:lvlText w:val="•"/>
      <w:lvlJc w:val="left"/>
      <w:pPr>
        <w:ind w:left="789" w:hanging="100"/>
      </w:pPr>
      <w:rPr>
        <w:rFonts w:hint="default"/>
      </w:rPr>
    </w:lvl>
    <w:lvl w:ilvl="4" w:tplc="591CE684">
      <w:numFmt w:val="bullet"/>
      <w:lvlText w:val="•"/>
      <w:lvlJc w:val="left"/>
      <w:pPr>
        <w:ind w:left="998" w:hanging="100"/>
      </w:pPr>
      <w:rPr>
        <w:rFonts w:hint="default"/>
      </w:rPr>
    </w:lvl>
    <w:lvl w:ilvl="5" w:tplc="02DCFDF4">
      <w:numFmt w:val="bullet"/>
      <w:lvlText w:val="•"/>
      <w:lvlJc w:val="left"/>
      <w:pPr>
        <w:ind w:left="1208" w:hanging="100"/>
      </w:pPr>
      <w:rPr>
        <w:rFonts w:hint="default"/>
      </w:rPr>
    </w:lvl>
    <w:lvl w:ilvl="6" w:tplc="4230AA62">
      <w:numFmt w:val="bullet"/>
      <w:lvlText w:val="•"/>
      <w:lvlJc w:val="left"/>
      <w:pPr>
        <w:ind w:left="1418" w:hanging="100"/>
      </w:pPr>
      <w:rPr>
        <w:rFonts w:hint="default"/>
      </w:rPr>
    </w:lvl>
    <w:lvl w:ilvl="7" w:tplc="10328A8C">
      <w:numFmt w:val="bullet"/>
      <w:lvlText w:val="•"/>
      <w:lvlJc w:val="left"/>
      <w:pPr>
        <w:ind w:left="1627" w:hanging="100"/>
      </w:pPr>
      <w:rPr>
        <w:rFonts w:hint="default"/>
      </w:rPr>
    </w:lvl>
    <w:lvl w:ilvl="8" w:tplc="98B4BB64">
      <w:numFmt w:val="bullet"/>
      <w:lvlText w:val="•"/>
      <w:lvlJc w:val="left"/>
      <w:pPr>
        <w:ind w:left="1837" w:hanging="100"/>
      </w:pPr>
      <w:rPr>
        <w:rFonts w:hint="default"/>
      </w:rPr>
    </w:lvl>
  </w:abstractNum>
  <w:abstractNum w:abstractNumId="1532" w15:restartNumberingAfterBreak="0">
    <w:nsid w:val="5FC13FB2"/>
    <w:multiLevelType w:val="hybridMultilevel"/>
    <w:tmpl w:val="98C2DB5C"/>
    <w:lvl w:ilvl="0" w:tplc="EA0A2056">
      <w:numFmt w:val="bullet"/>
      <w:lvlText w:val=""/>
      <w:lvlJc w:val="left"/>
      <w:pPr>
        <w:ind w:left="156" w:hanging="100"/>
      </w:pPr>
      <w:rPr>
        <w:rFonts w:ascii="Symbol" w:eastAsia="Symbol" w:hAnsi="Symbol" w:cs="Symbol" w:hint="default"/>
        <w:color w:val="231F20"/>
        <w:w w:val="100"/>
        <w:sz w:val="14"/>
        <w:szCs w:val="14"/>
      </w:rPr>
    </w:lvl>
    <w:lvl w:ilvl="1" w:tplc="024C5CF8">
      <w:numFmt w:val="bullet"/>
      <w:lvlText w:val="•"/>
      <w:lvlJc w:val="left"/>
      <w:pPr>
        <w:ind w:left="426" w:hanging="100"/>
      </w:pPr>
      <w:rPr>
        <w:rFonts w:hint="default"/>
      </w:rPr>
    </w:lvl>
    <w:lvl w:ilvl="2" w:tplc="1D88752C">
      <w:numFmt w:val="bullet"/>
      <w:lvlText w:val="•"/>
      <w:lvlJc w:val="left"/>
      <w:pPr>
        <w:ind w:left="692" w:hanging="100"/>
      </w:pPr>
      <w:rPr>
        <w:rFonts w:hint="default"/>
      </w:rPr>
    </w:lvl>
    <w:lvl w:ilvl="3" w:tplc="A888D370">
      <w:numFmt w:val="bullet"/>
      <w:lvlText w:val="•"/>
      <w:lvlJc w:val="left"/>
      <w:pPr>
        <w:ind w:left="959" w:hanging="100"/>
      </w:pPr>
      <w:rPr>
        <w:rFonts w:hint="default"/>
      </w:rPr>
    </w:lvl>
    <w:lvl w:ilvl="4" w:tplc="F92A6366">
      <w:numFmt w:val="bullet"/>
      <w:lvlText w:val="•"/>
      <w:lvlJc w:val="left"/>
      <w:pPr>
        <w:ind w:left="1225" w:hanging="100"/>
      </w:pPr>
      <w:rPr>
        <w:rFonts w:hint="default"/>
      </w:rPr>
    </w:lvl>
    <w:lvl w:ilvl="5" w:tplc="B66E48F4">
      <w:numFmt w:val="bullet"/>
      <w:lvlText w:val="•"/>
      <w:lvlJc w:val="left"/>
      <w:pPr>
        <w:ind w:left="1492" w:hanging="100"/>
      </w:pPr>
      <w:rPr>
        <w:rFonts w:hint="default"/>
      </w:rPr>
    </w:lvl>
    <w:lvl w:ilvl="6" w:tplc="456A8878">
      <w:numFmt w:val="bullet"/>
      <w:lvlText w:val="•"/>
      <w:lvlJc w:val="left"/>
      <w:pPr>
        <w:ind w:left="1758" w:hanging="100"/>
      </w:pPr>
      <w:rPr>
        <w:rFonts w:hint="default"/>
      </w:rPr>
    </w:lvl>
    <w:lvl w:ilvl="7" w:tplc="E93C3226">
      <w:numFmt w:val="bullet"/>
      <w:lvlText w:val="•"/>
      <w:lvlJc w:val="left"/>
      <w:pPr>
        <w:ind w:left="2024" w:hanging="100"/>
      </w:pPr>
      <w:rPr>
        <w:rFonts w:hint="default"/>
      </w:rPr>
    </w:lvl>
    <w:lvl w:ilvl="8" w:tplc="4B32275E">
      <w:numFmt w:val="bullet"/>
      <w:lvlText w:val="•"/>
      <w:lvlJc w:val="left"/>
      <w:pPr>
        <w:ind w:left="2291" w:hanging="100"/>
      </w:pPr>
      <w:rPr>
        <w:rFonts w:hint="default"/>
      </w:rPr>
    </w:lvl>
  </w:abstractNum>
  <w:abstractNum w:abstractNumId="1533" w15:restartNumberingAfterBreak="0">
    <w:nsid w:val="5FD0086D"/>
    <w:multiLevelType w:val="hybridMultilevel"/>
    <w:tmpl w:val="F7C84B62"/>
    <w:lvl w:ilvl="0" w:tplc="4078BAA6">
      <w:numFmt w:val="bullet"/>
      <w:lvlText w:val=""/>
      <w:lvlJc w:val="left"/>
      <w:pPr>
        <w:ind w:left="156" w:hanging="100"/>
      </w:pPr>
      <w:rPr>
        <w:rFonts w:ascii="Symbol" w:eastAsia="Symbol" w:hAnsi="Symbol" w:cs="Symbol" w:hint="default"/>
        <w:color w:val="231F20"/>
        <w:w w:val="100"/>
        <w:sz w:val="14"/>
        <w:szCs w:val="14"/>
      </w:rPr>
    </w:lvl>
    <w:lvl w:ilvl="1" w:tplc="0AF0DCDE">
      <w:numFmt w:val="bullet"/>
      <w:lvlText w:val="•"/>
      <w:lvlJc w:val="left"/>
      <w:pPr>
        <w:ind w:left="454" w:hanging="100"/>
      </w:pPr>
      <w:rPr>
        <w:rFonts w:hint="default"/>
      </w:rPr>
    </w:lvl>
    <w:lvl w:ilvl="2" w:tplc="CAD03370">
      <w:numFmt w:val="bullet"/>
      <w:lvlText w:val="•"/>
      <w:lvlJc w:val="left"/>
      <w:pPr>
        <w:ind w:left="749" w:hanging="100"/>
      </w:pPr>
      <w:rPr>
        <w:rFonts w:hint="default"/>
      </w:rPr>
    </w:lvl>
    <w:lvl w:ilvl="3" w:tplc="B008C062">
      <w:numFmt w:val="bullet"/>
      <w:lvlText w:val="•"/>
      <w:lvlJc w:val="left"/>
      <w:pPr>
        <w:ind w:left="1044" w:hanging="100"/>
      </w:pPr>
      <w:rPr>
        <w:rFonts w:hint="default"/>
      </w:rPr>
    </w:lvl>
    <w:lvl w:ilvl="4" w:tplc="EF02E344">
      <w:numFmt w:val="bullet"/>
      <w:lvlText w:val="•"/>
      <w:lvlJc w:val="left"/>
      <w:pPr>
        <w:ind w:left="1339" w:hanging="100"/>
      </w:pPr>
      <w:rPr>
        <w:rFonts w:hint="default"/>
      </w:rPr>
    </w:lvl>
    <w:lvl w:ilvl="5" w:tplc="40EC1DCE">
      <w:numFmt w:val="bullet"/>
      <w:lvlText w:val="•"/>
      <w:lvlJc w:val="left"/>
      <w:pPr>
        <w:ind w:left="1634" w:hanging="100"/>
      </w:pPr>
      <w:rPr>
        <w:rFonts w:hint="default"/>
      </w:rPr>
    </w:lvl>
    <w:lvl w:ilvl="6" w:tplc="D73496CE">
      <w:numFmt w:val="bullet"/>
      <w:lvlText w:val="•"/>
      <w:lvlJc w:val="left"/>
      <w:pPr>
        <w:ind w:left="1928" w:hanging="100"/>
      </w:pPr>
      <w:rPr>
        <w:rFonts w:hint="default"/>
      </w:rPr>
    </w:lvl>
    <w:lvl w:ilvl="7" w:tplc="DA3CBB44">
      <w:numFmt w:val="bullet"/>
      <w:lvlText w:val="•"/>
      <w:lvlJc w:val="left"/>
      <w:pPr>
        <w:ind w:left="2223" w:hanging="100"/>
      </w:pPr>
      <w:rPr>
        <w:rFonts w:hint="default"/>
      </w:rPr>
    </w:lvl>
    <w:lvl w:ilvl="8" w:tplc="C994B068">
      <w:numFmt w:val="bullet"/>
      <w:lvlText w:val="•"/>
      <w:lvlJc w:val="left"/>
      <w:pPr>
        <w:ind w:left="2518" w:hanging="100"/>
      </w:pPr>
      <w:rPr>
        <w:rFonts w:hint="default"/>
      </w:rPr>
    </w:lvl>
  </w:abstractNum>
  <w:abstractNum w:abstractNumId="1534" w15:restartNumberingAfterBreak="0">
    <w:nsid w:val="5FEA5D1F"/>
    <w:multiLevelType w:val="hybridMultilevel"/>
    <w:tmpl w:val="8BF6DB14"/>
    <w:lvl w:ilvl="0" w:tplc="1E367BEC">
      <w:numFmt w:val="bullet"/>
      <w:lvlText w:val=""/>
      <w:lvlJc w:val="left"/>
      <w:pPr>
        <w:ind w:left="157" w:hanging="100"/>
      </w:pPr>
      <w:rPr>
        <w:rFonts w:ascii="Symbol" w:eastAsia="Symbol" w:hAnsi="Symbol" w:cs="Symbol" w:hint="default"/>
        <w:color w:val="231F20"/>
        <w:w w:val="100"/>
        <w:sz w:val="14"/>
        <w:szCs w:val="14"/>
      </w:rPr>
    </w:lvl>
    <w:lvl w:ilvl="1" w:tplc="AF92F83C">
      <w:numFmt w:val="bullet"/>
      <w:lvlText w:val="•"/>
      <w:lvlJc w:val="left"/>
      <w:pPr>
        <w:ind w:left="369" w:hanging="100"/>
      </w:pPr>
      <w:rPr>
        <w:rFonts w:hint="default"/>
      </w:rPr>
    </w:lvl>
    <w:lvl w:ilvl="2" w:tplc="C4F8E7D0">
      <w:numFmt w:val="bullet"/>
      <w:lvlText w:val="•"/>
      <w:lvlJc w:val="left"/>
      <w:pPr>
        <w:ind w:left="579" w:hanging="100"/>
      </w:pPr>
      <w:rPr>
        <w:rFonts w:hint="default"/>
      </w:rPr>
    </w:lvl>
    <w:lvl w:ilvl="3" w:tplc="DB26C9BA">
      <w:numFmt w:val="bullet"/>
      <w:lvlText w:val="•"/>
      <w:lvlJc w:val="left"/>
      <w:pPr>
        <w:ind w:left="789" w:hanging="100"/>
      </w:pPr>
      <w:rPr>
        <w:rFonts w:hint="default"/>
      </w:rPr>
    </w:lvl>
    <w:lvl w:ilvl="4" w:tplc="9AFE8142">
      <w:numFmt w:val="bullet"/>
      <w:lvlText w:val="•"/>
      <w:lvlJc w:val="left"/>
      <w:pPr>
        <w:ind w:left="998" w:hanging="100"/>
      </w:pPr>
      <w:rPr>
        <w:rFonts w:hint="default"/>
      </w:rPr>
    </w:lvl>
    <w:lvl w:ilvl="5" w:tplc="6A2A43B2">
      <w:numFmt w:val="bullet"/>
      <w:lvlText w:val="•"/>
      <w:lvlJc w:val="left"/>
      <w:pPr>
        <w:ind w:left="1208" w:hanging="100"/>
      </w:pPr>
      <w:rPr>
        <w:rFonts w:hint="default"/>
      </w:rPr>
    </w:lvl>
    <w:lvl w:ilvl="6" w:tplc="4F22493C">
      <w:numFmt w:val="bullet"/>
      <w:lvlText w:val="•"/>
      <w:lvlJc w:val="left"/>
      <w:pPr>
        <w:ind w:left="1418" w:hanging="100"/>
      </w:pPr>
      <w:rPr>
        <w:rFonts w:hint="default"/>
      </w:rPr>
    </w:lvl>
    <w:lvl w:ilvl="7" w:tplc="FE000176">
      <w:numFmt w:val="bullet"/>
      <w:lvlText w:val="•"/>
      <w:lvlJc w:val="left"/>
      <w:pPr>
        <w:ind w:left="1627" w:hanging="100"/>
      </w:pPr>
      <w:rPr>
        <w:rFonts w:hint="default"/>
      </w:rPr>
    </w:lvl>
    <w:lvl w:ilvl="8" w:tplc="634843D8">
      <w:numFmt w:val="bullet"/>
      <w:lvlText w:val="•"/>
      <w:lvlJc w:val="left"/>
      <w:pPr>
        <w:ind w:left="1837" w:hanging="100"/>
      </w:pPr>
      <w:rPr>
        <w:rFonts w:hint="default"/>
      </w:rPr>
    </w:lvl>
  </w:abstractNum>
  <w:abstractNum w:abstractNumId="1535" w15:restartNumberingAfterBreak="0">
    <w:nsid w:val="5FF57299"/>
    <w:multiLevelType w:val="hybridMultilevel"/>
    <w:tmpl w:val="54A0166E"/>
    <w:lvl w:ilvl="0" w:tplc="01E631D6">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65D06CCA">
      <w:numFmt w:val="bullet"/>
      <w:lvlText w:val="•"/>
      <w:lvlJc w:val="left"/>
      <w:pPr>
        <w:ind w:left="369" w:hanging="105"/>
      </w:pPr>
      <w:rPr>
        <w:rFonts w:hint="default"/>
      </w:rPr>
    </w:lvl>
    <w:lvl w:ilvl="2" w:tplc="1A70A026">
      <w:numFmt w:val="bullet"/>
      <w:lvlText w:val="•"/>
      <w:lvlJc w:val="left"/>
      <w:pPr>
        <w:ind w:left="579" w:hanging="105"/>
      </w:pPr>
      <w:rPr>
        <w:rFonts w:hint="default"/>
      </w:rPr>
    </w:lvl>
    <w:lvl w:ilvl="3" w:tplc="439AC09A">
      <w:numFmt w:val="bullet"/>
      <w:lvlText w:val="•"/>
      <w:lvlJc w:val="left"/>
      <w:pPr>
        <w:ind w:left="789" w:hanging="105"/>
      </w:pPr>
      <w:rPr>
        <w:rFonts w:hint="default"/>
      </w:rPr>
    </w:lvl>
    <w:lvl w:ilvl="4" w:tplc="492A41A6">
      <w:numFmt w:val="bullet"/>
      <w:lvlText w:val="•"/>
      <w:lvlJc w:val="left"/>
      <w:pPr>
        <w:ind w:left="998" w:hanging="105"/>
      </w:pPr>
      <w:rPr>
        <w:rFonts w:hint="default"/>
      </w:rPr>
    </w:lvl>
    <w:lvl w:ilvl="5" w:tplc="FD46E910">
      <w:numFmt w:val="bullet"/>
      <w:lvlText w:val="•"/>
      <w:lvlJc w:val="left"/>
      <w:pPr>
        <w:ind w:left="1208" w:hanging="105"/>
      </w:pPr>
      <w:rPr>
        <w:rFonts w:hint="default"/>
      </w:rPr>
    </w:lvl>
    <w:lvl w:ilvl="6" w:tplc="A8E6F2E8">
      <w:numFmt w:val="bullet"/>
      <w:lvlText w:val="•"/>
      <w:lvlJc w:val="left"/>
      <w:pPr>
        <w:ind w:left="1418" w:hanging="105"/>
      </w:pPr>
      <w:rPr>
        <w:rFonts w:hint="default"/>
      </w:rPr>
    </w:lvl>
    <w:lvl w:ilvl="7" w:tplc="69AEAC86">
      <w:numFmt w:val="bullet"/>
      <w:lvlText w:val="•"/>
      <w:lvlJc w:val="left"/>
      <w:pPr>
        <w:ind w:left="1627" w:hanging="105"/>
      </w:pPr>
      <w:rPr>
        <w:rFonts w:hint="default"/>
      </w:rPr>
    </w:lvl>
    <w:lvl w:ilvl="8" w:tplc="0C5A3118">
      <w:numFmt w:val="bullet"/>
      <w:lvlText w:val="•"/>
      <w:lvlJc w:val="left"/>
      <w:pPr>
        <w:ind w:left="1837" w:hanging="105"/>
      </w:pPr>
      <w:rPr>
        <w:rFonts w:hint="default"/>
      </w:rPr>
    </w:lvl>
  </w:abstractNum>
  <w:abstractNum w:abstractNumId="1536" w15:restartNumberingAfterBreak="0">
    <w:nsid w:val="600C7F52"/>
    <w:multiLevelType w:val="hybridMultilevel"/>
    <w:tmpl w:val="6B621B50"/>
    <w:lvl w:ilvl="0" w:tplc="19AE6DA2">
      <w:numFmt w:val="bullet"/>
      <w:lvlText w:val=""/>
      <w:lvlJc w:val="left"/>
      <w:pPr>
        <w:ind w:left="157" w:hanging="100"/>
      </w:pPr>
      <w:rPr>
        <w:rFonts w:ascii="Symbol" w:eastAsia="Symbol" w:hAnsi="Symbol" w:cs="Symbol" w:hint="default"/>
        <w:color w:val="231F20"/>
        <w:w w:val="100"/>
        <w:sz w:val="14"/>
        <w:szCs w:val="14"/>
      </w:rPr>
    </w:lvl>
    <w:lvl w:ilvl="1" w:tplc="6DF60902">
      <w:numFmt w:val="bullet"/>
      <w:lvlText w:val="•"/>
      <w:lvlJc w:val="left"/>
      <w:pPr>
        <w:ind w:left="369" w:hanging="100"/>
      </w:pPr>
      <w:rPr>
        <w:rFonts w:hint="default"/>
      </w:rPr>
    </w:lvl>
    <w:lvl w:ilvl="2" w:tplc="CD1C3416">
      <w:numFmt w:val="bullet"/>
      <w:lvlText w:val="•"/>
      <w:lvlJc w:val="left"/>
      <w:pPr>
        <w:ind w:left="579" w:hanging="100"/>
      </w:pPr>
      <w:rPr>
        <w:rFonts w:hint="default"/>
      </w:rPr>
    </w:lvl>
    <w:lvl w:ilvl="3" w:tplc="9448FF96">
      <w:numFmt w:val="bullet"/>
      <w:lvlText w:val="•"/>
      <w:lvlJc w:val="left"/>
      <w:pPr>
        <w:ind w:left="789" w:hanging="100"/>
      </w:pPr>
      <w:rPr>
        <w:rFonts w:hint="default"/>
      </w:rPr>
    </w:lvl>
    <w:lvl w:ilvl="4" w:tplc="CBF294D8">
      <w:numFmt w:val="bullet"/>
      <w:lvlText w:val="•"/>
      <w:lvlJc w:val="left"/>
      <w:pPr>
        <w:ind w:left="998" w:hanging="100"/>
      </w:pPr>
      <w:rPr>
        <w:rFonts w:hint="default"/>
      </w:rPr>
    </w:lvl>
    <w:lvl w:ilvl="5" w:tplc="8F680DEC">
      <w:numFmt w:val="bullet"/>
      <w:lvlText w:val="•"/>
      <w:lvlJc w:val="left"/>
      <w:pPr>
        <w:ind w:left="1208" w:hanging="100"/>
      </w:pPr>
      <w:rPr>
        <w:rFonts w:hint="default"/>
      </w:rPr>
    </w:lvl>
    <w:lvl w:ilvl="6" w:tplc="826E4CEC">
      <w:numFmt w:val="bullet"/>
      <w:lvlText w:val="•"/>
      <w:lvlJc w:val="left"/>
      <w:pPr>
        <w:ind w:left="1418" w:hanging="100"/>
      </w:pPr>
      <w:rPr>
        <w:rFonts w:hint="default"/>
      </w:rPr>
    </w:lvl>
    <w:lvl w:ilvl="7" w:tplc="54BE5140">
      <w:numFmt w:val="bullet"/>
      <w:lvlText w:val="•"/>
      <w:lvlJc w:val="left"/>
      <w:pPr>
        <w:ind w:left="1627" w:hanging="100"/>
      </w:pPr>
      <w:rPr>
        <w:rFonts w:hint="default"/>
      </w:rPr>
    </w:lvl>
    <w:lvl w:ilvl="8" w:tplc="5D82AAF6">
      <w:numFmt w:val="bullet"/>
      <w:lvlText w:val="•"/>
      <w:lvlJc w:val="left"/>
      <w:pPr>
        <w:ind w:left="1837" w:hanging="100"/>
      </w:pPr>
      <w:rPr>
        <w:rFonts w:hint="default"/>
      </w:rPr>
    </w:lvl>
  </w:abstractNum>
  <w:abstractNum w:abstractNumId="1537" w15:restartNumberingAfterBreak="0">
    <w:nsid w:val="60531767"/>
    <w:multiLevelType w:val="hybridMultilevel"/>
    <w:tmpl w:val="F13639D4"/>
    <w:lvl w:ilvl="0" w:tplc="02606F64">
      <w:numFmt w:val="bullet"/>
      <w:lvlText w:val=""/>
      <w:lvlJc w:val="left"/>
      <w:pPr>
        <w:ind w:left="156" w:hanging="100"/>
      </w:pPr>
      <w:rPr>
        <w:rFonts w:ascii="Symbol" w:eastAsia="Symbol" w:hAnsi="Symbol" w:cs="Symbol" w:hint="default"/>
        <w:color w:val="231F20"/>
        <w:w w:val="100"/>
        <w:sz w:val="14"/>
        <w:szCs w:val="14"/>
      </w:rPr>
    </w:lvl>
    <w:lvl w:ilvl="1" w:tplc="CFC2D18E">
      <w:numFmt w:val="bullet"/>
      <w:lvlText w:val="•"/>
      <w:lvlJc w:val="left"/>
      <w:pPr>
        <w:ind w:left="398" w:hanging="100"/>
      </w:pPr>
      <w:rPr>
        <w:rFonts w:hint="default"/>
      </w:rPr>
    </w:lvl>
    <w:lvl w:ilvl="2" w:tplc="D2905D1C">
      <w:numFmt w:val="bullet"/>
      <w:lvlText w:val="•"/>
      <w:lvlJc w:val="left"/>
      <w:pPr>
        <w:ind w:left="636" w:hanging="100"/>
      </w:pPr>
      <w:rPr>
        <w:rFonts w:hint="default"/>
      </w:rPr>
    </w:lvl>
    <w:lvl w:ilvl="3" w:tplc="7F6CF8FA">
      <w:numFmt w:val="bullet"/>
      <w:lvlText w:val="•"/>
      <w:lvlJc w:val="left"/>
      <w:pPr>
        <w:ind w:left="874" w:hanging="100"/>
      </w:pPr>
      <w:rPr>
        <w:rFonts w:hint="default"/>
      </w:rPr>
    </w:lvl>
    <w:lvl w:ilvl="4" w:tplc="3D949FE6">
      <w:numFmt w:val="bullet"/>
      <w:lvlText w:val="•"/>
      <w:lvlJc w:val="left"/>
      <w:pPr>
        <w:ind w:left="1112" w:hanging="100"/>
      </w:pPr>
      <w:rPr>
        <w:rFonts w:hint="default"/>
      </w:rPr>
    </w:lvl>
    <w:lvl w:ilvl="5" w:tplc="D376F4B8">
      <w:numFmt w:val="bullet"/>
      <w:lvlText w:val="•"/>
      <w:lvlJc w:val="left"/>
      <w:pPr>
        <w:ind w:left="1350" w:hanging="100"/>
      </w:pPr>
      <w:rPr>
        <w:rFonts w:hint="default"/>
      </w:rPr>
    </w:lvl>
    <w:lvl w:ilvl="6" w:tplc="F0C8E526">
      <w:numFmt w:val="bullet"/>
      <w:lvlText w:val="•"/>
      <w:lvlJc w:val="left"/>
      <w:pPr>
        <w:ind w:left="1588" w:hanging="100"/>
      </w:pPr>
      <w:rPr>
        <w:rFonts w:hint="default"/>
      </w:rPr>
    </w:lvl>
    <w:lvl w:ilvl="7" w:tplc="7C2631FC">
      <w:numFmt w:val="bullet"/>
      <w:lvlText w:val="•"/>
      <w:lvlJc w:val="left"/>
      <w:pPr>
        <w:ind w:left="1826" w:hanging="100"/>
      </w:pPr>
      <w:rPr>
        <w:rFonts w:hint="default"/>
      </w:rPr>
    </w:lvl>
    <w:lvl w:ilvl="8" w:tplc="E530F210">
      <w:numFmt w:val="bullet"/>
      <w:lvlText w:val="•"/>
      <w:lvlJc w:val="left"/>
      <w:pPr>
        <w:ind w:left="2064" w:hanging="100"/>
      </w:pPr>
      <w:rPr>
        <w:rFonts w:hint="default"/>
      </w:rPr>
    </w:lvl>
  </w:abstractNum>
  <w:abstractNum w:abstractNumId="1538" w15:restartNumberingAfterBreak="0">
    <w:nsid w:val="60556F1F"/>
    <w:multiLevelType w:val="hybridMultilevel"/>
    <w:tmpl w:val="A0C420E4"/>
    <w:lvl w:ilvl="0" w:tplc="12BE4EA6">
      <w:numFmt w:val="bullet"/>
      <w:lvlText w:val=""/>
      <w:lvlJc w:val="left"/>
      <w:pPr>
        <w:ind w:left="156" w:hanging="100"/>
      </w:pPr>
      <w:rPr>
        <w:rFonts w:ascii="Symbol" w:eastAsia="Symbol" w:hAnsi="Symbol" w:cs="Symbol" w:hint="default"/>
        <w:color w:val="231F20"/>
        <w:w w:val="100"/>
        <w:sz w:val="14"/>
        <w:szCs w:val="14"/>
      </w:rPr>
    </w:lvl>
    <w:lvl w:ilvl="1" w:tplc="CB18D03A">
      <w:numFmt w:val="bullet"/>
      <w:lvlText w:val="•"/>
      <w:lvlJc w:val="left"/>
      <w:pPr>
        <w:ind w:left="398" w:hanging="100"/>
      </w:pPr>
      <w:rPr>
        <w:rFonts w:hint="default"/>
      </w:rPr>
    </w:lvl>
    <w:lvl w:ilvl="2" w:tplc="D1C02B36">
      <w:numFmt w:val="bullet"/>
      <w:lvlText w:val="•"/>
      <w:lvlJc w:val="left"/>
      <w:pPr>
        <w:ind w:left="636" w:hanging="100"/>
      </w:pPr>
      <w:rPr>
        <w:rFonts w:hint="default"/>
      </w:rPr>
    </w:lvl>
    <w:lvl w:ilvl="3" w:tplc="2A80D612">
      <w:numFmt w:val="bullet"/>
      <w:lvlText w:val="•"/>
      <w:lvlJc w:val="left"/>
      <w:pPr>
        <w:ind w:left="874" w:hanging="100"/>
      </w:pPr>
      <w:rPr>
        <w:rFonts w:hint="default"/>
      </w:rPr>
    </w:lvl>
    <w:lvl w:ilvl="4" w:tplc="F3466CF0">
      <w:numFmt w:val="bullet"/>
      <w:lvlText w:val="•"/>
      <w:lvlJc w:val="left"/>
      <w:pPr>
        <w:ind w:left="1112" w:hanging="100"/>
      </w:pPr>
      <w:rPr>
        <w:rFonts w:hint="default"/>
      </w:rPr>
    </w:lvl>
    <w:lvl w:ilvl="5" w:tplc="BFACE192">
      <w:numFmt w:val="bullet"/>
      <w:lvlText w:val="•"/>
      <w:lvlJc w:val="left"/>
      <w:pPr>
        <w:ind w:left="1350" w:hanging="100"/>
      </w:pPr>
      <w:rPr>
        <w:rFonts w:hint="default"/>
      </w:rPr>
    </w:lvl>
    <w:lvl w:ilvl="6" w:tplc="3C5C079E">
      <w:numFmt w:val="bullet"/>
      <w:lvlText w:val="•"/>
      <w:lvlJc w:val="left"/>
      <w:pPr>
        <w:ind w:left="1588" w:hanging="100"/>
      </w:pPr>
      <w:rPr>
        <w:rFonts w:hint="default"/>
      </w:rPr>
    </w:lvl>
    <w:lvl w:ilvl="7" w:tplc="806E86B6">
      <w:numFmt w:val="bullet"/>
      <w:lvlText w:val="•"/>
      <w:lvlJc w:val="left"/>
      <w:pPr>
        <w:ind w:left="1826" w:hanging="100"/>
      </w:pPr>
      <w:rPr>
        <w:rFonts w:hint="default"/>
      </w:rPr>
    </w:lvl>
    <w:lvl w:ilvl="8" w:tplc="977CF284">
      <w:numFmt w:val="bullet"/>
      <w:lvlText w:val="•"/>
      <w:lvlJc w:val="left"/>
      <w:pPr>
        <w:ind w:left="2064" w:hanging="100"/>
      </w:pPr>
      <w:rPr>
        <w:rFonts w:hint="default"/>
      </w:rPr>
    </w:lvl>
  </w:abstractNum>
  <w:abstractNum w:abstractNumId="1539" w15:restartNumberingAfterBreak="0">
    <w:nsid w:val="605A2F3C"/>
    <w:multiLevelType w:val="hybridMultilevel"/>
    <w:tmpl w:val="BC1621CA"/>
    <w:lvl w:ilvl="0" w:tplc="B706D9E0">
      <w:numFmt w:val="bullet"/>
      <w:lvlText w:val=""/>
      <w:lvlJc w:val="left"/>
      <w:pPr>
        <w:ind w:left="156" w:hanging="100"/>
      </w:pPr>
      <w:rPr>
        <w:rFonts w:ascii="Symbol" w:eastAsia="Symbol" w:hAnsi="Symbol" w:cs="Symbol" w:hint="default"/>
        <w:color w:val="231F20"/>
        <w:w w:val="100"/>
        <w:sz w:val="14"/>
        <w:szCs w:val="14"/>
      </w:rPr>
    </w:lvl>
    <w:lvl w:ilvl="1" w:tplc="07AA7992">
      <w:numFmt w:val="bullet"/>
      <w:lvlText w:val="•"/>
      <w:lvlJc w:val="left"/>
      <w:pPr>
        <w:ind w:left="301" w:hanging="100"/>
      </w:pPr>
      <w:rPr>
        <w:rFonts w:hint="default"/>
      </w:rPr>
    </w:lvl>
    <w:lvl w:ilvl="2" w:tplc="660C38CE">
      <w:numFmt w:val="bullet"/>
      <w:lvlText w:val="•"/>
      <w:lvlJc w:val="left"/>
      <w:pPr>
        <w:ind w:left="443" w:hanging="100"/>
      </w:pPr>
      <w:rPr>
        <w:rFonts w:hint="default"/>
      </w:rPr>
    </w:lvl>
    <w:lvl w:ilvl="3" w:tplc="BF7EC4F8">
      <w:numFmt w:val="bullet"/>
      <w:lvlText w:val="•"/>
      <w:lvlJc w:val="left"/>
      <w:pPr>
        <w:ind w:left="585" w:hanging="100"/>
      </w:pPr>
      <w:rPr>
        <w:rFonts w:hint="default"/>
      </w:rPr>
    </w:lvl>
    <w:lvl w:ilvl="4" w:tplc="F2704142">
      <w:numFmt w:val="bullet"/>
      <w:lvlText w:val="•"/>
      <w:lvlJc w:val="left"/>
      <w:pPr>
        <w:ind w:left="726" w:hanging="100"/>
      </w:pPr>
      <w:rPr>
        <w:rFonts w:hint="default"/>
      </w:rPr>
    </w:lvl>
    <w:lvl w:ilvl="5" w:tplc="E282288C">
      <w:numFmt w:val="bullet"/>
      <w:lvlText w:val="•"/>
      <w:lvlJc w:val="left"/>
      <w:pPr>
        <w:ind w:left="868" w:hanging="100"/>
      </w:pPr>
      <w:rPr>
        <w:rFonts w:hint="default"/>
      </w:rPr>
    </w:lvl>
    <w:lvl w:ilvl="6" w:tplc="0272195C">
      <w:numFmt w:val="bullet"/>
      <w:lvlText w:val="•"/>
      <w:lvlJc w:val="left"/>
      <w:pPr>
        <w:ind w:left="1010" w:hanging="100"/>
      </w:pPr>
      <w:rPr>
        <w:rFonts w:hint="default"/>
      </w:rPr>
    </w:lvl>
    <w:lvl w:ilvl="7" w:tplc="37644E10">
      <w:numFmt w:val="bullet"/>
      <w:lvlText w:val="•"/>
      <w:lvlJc w:val="left"/>
      <w:pPr>
        <w:ind w:left="1151" w:hanging="100"/>
      </w:pPr>
      <w:rPr>
        <w:rFonts w:hint="default"/>
      </w:rPr>
    </w:lvl>
    <w:lvl w:ilvl="8" w:tplc="1C9C048E">
      <w:numFmt w:val="bullet"/>
      <w:lvlText w:val="•"/>
      <w:lvlJc w:val="left"/>
      <w:pPr>
        <w:ind w:left="1293" w:hanging="100"/>
      </w:pPr>
      <w:rPr>
        <w:rFonts w:hint="default"/>
      </w:rPr>
    </w:lvl>
  </w:abstractNum>
  <w:abstractNum w:abstractNumId="1540" w15:restartNumberingAfterBreak="0">
    <w:nsid w:val="6079445E"/>
    <w:multiLevelType w:val="hybridMultilevel"/>
    <w:tmpl w:val="01E0535A"/>
    <w:lvl w:ilvl="0" w:tplc="1488FD9E">
      <w:numFmt w:val="bullet"/>
      <w:lvlText w:val=""/>
      <w:lvlJc w:val="left"/>
      <w:pPr>
        <w:ind w:left="156" w:hanging="100"/>
      </w:pPr>
      <w:rPr>
        <w:rFonts w:ascii="Symbol" w:eastAsia="Symbol" w:hAnsi="Symbol" w:cs="Symbol" w:hint="default"/>
        <w:color w:val="231F20"/>
        <w:w w:val="100"/>
        <w:sz w:val="14"/>
        <w:szCs w:val="14"/>
      </w:rPr>
    </w:lvl>
    <w:lvl w:ilvl="1" w:tplc="217A8A3E">
      <w:numFmt w:val="bullet"/>
      <w:lvlText w:val="•"/>
      <w:lvlJc w:val="left"/>
      <w:pPr>
        <w:ind w:left="240" w:hanging="100"/>
      </w:pPr>
      <w:rPr>
        <w:rFonts w:hint="default"/>
      </w:rPr>
    </w:lvl>
    <w:lvl w:ilvl="2" w:tplc="D7A8C786">
      <w:numFmt w:val="bullet"/>
      <w:lvlText w:val="•"/>
      <w:lvlJc w:val="left"/>
      <w:pPr>
        <w:ind w:left="495" w:hanging="100"/>
      </w:pPr>
      <w:rPr>
        <w:rFonts w:hint="default"/>
      </w:rPr>
    </w:lvl>
    <w:lvl w:ilvl="3" w:tplc="F8047990">
      <w:numFmt w:val="bullet"/>
      <w:lvlText w:val="•"/>
      <w:lvlJc w:val="left"/>
      <w:pPr>
        <w:ind w:left="751" w:hanging="100"/>
      </w:pPr>
      <w:rPr>
        <w:rFonts w:hint="default"/>
      </w:rPr>
    </w:lvl>
    <w:lvl w:ilvl="4" w:tplc="F24A8134">
      <w:numFmt w:val="bullet"/>
      <w:lvlText w:val="•"/>
      <w:lvlJc w:val="left"/>
      <w:pPr>
        <w:ind w:left="1007" w:hanging="100"/>
      </w:pPr>
      <w:rPr>
        <w:rFonts w:hint="default"/>
      </w:rPr>
    </w:lvl>
    <w:lvl w:ilvl="5" w:tplc="186E8DFC">
      <w:numFmt w:val="bullet"/>
      <w:lvlText w:val="•"/>
      <w:lvlJc w:val="left"/>
      <w:pPr>
        <w:ind w:left="1262" w:hanging="100"/>
      </w:pPr>
      <w:rPr>
        <w:rFonts w:hint="default"/>
      </w:rPr>
    </w:lvl>
    <w:lvl w:ilvl="6" w:tplc="9AF64024">
      <w:numFmt w:val="bullet"/>
      <w:lvlText w:val="•"/>
      <w:lvlJc w:val="left"/>
      <w:pPr>
        <w:ind w:left="1518" w:hanging="100"/>
      </w:pPr>
      <w:rPr>
        <w:rFonts w:hint="default"/>
      </w:rPr>
    </w:lvl>
    <w:lvl w:ilvl="7" w:tplc="05A4D8A6">
      <w:numFmt w:val="bullet"/>
      <w:lvlText w:val="•"/>
      <w:lvlJc w:val="left"/>
      <w:pPr>
        <w:ind w:left="1774" w:hanging="100"/>
      </w:pPr>
      <w:rPr>
        <w:rFonts w:hint="default"/>
      </w:rPr>
    </w:lvl>
    <w:lvl w:ilvl="8" w:tplc="D6121C14">
      <w:numFmt w:val="bullet"/>
      <w:lvlText w:val="•"/>
      <w:lvlJc w:val="left"/>
      <w:pPr>
        <w:ind w:left="2029" w:hanging="100"/>
      </w:pPr>
      <w:rPr>
        <w:rFonts w:hint="default"/>
      </w:rPr>
    </w:lvl>
  </w:abstractNum>
  <w:abstractNum w:abstractNumId="1541" w15:restartNumberingAfterBreak="0">
    <w:nsid w:val="608E66CD"/>
    <w:multiLevelType w:val="hybridMultilevel"/>
    <w:tmpl w:val="082E2C78"/>
    <w:lvl w:ilvl="0" w:tplc="64CA11F4">
      <w:numFmt w:val="bullet"/>
      <w:lvlText w:val=""/>
      <w:lvlJc w:val="left"/>
      <w:pPr>
        <w:ind w:left="156" w:hanging="100"/>
      </w:pPr>
      <w:rPr>
        <w:rFonts w:ascii="Symbol" w:eastAsia="Symbol" w:hAnsi="Symbol" w:cs="Symbol" w:hint="default"/>
        <w:color w:val="231F20"/>
        <w:w w:val="100"/>
        <w:sz w:val="14"/>
        <w:szCs w:val="14"/>
      </w:rPr>
    </w:lvl>
    <w:lvl w:ilvl="1" w:tplc="1BEA24C2">
      <w:numFmt w:val="bullet"/>
      <w:lvlText w:val="•"/>
      <w:lvlJc w:val="left"/>
      <w:pPr>
        <w:ind w:left="398" w:hanging="100"/>
      </w:pPr>
      <w:rPr>
        <w:rFonts w:hint="default"/>
      </w:rPr>
    </w:lvl>
    <w:lvl w:ilvl="2" w:tplc="B038FCC0">
      <w:numFmt w:val="bullet"/>
      <w:lvlText w:val="•"/>
      <w:lvlJc w:val="left"/>
      <w:pPr>
        <w:ind w:left="636" w:hanging="100"/>
      </w:pPr>
      <w:rPr>
        <w:rFonts w:hint="default"/>
      </w:rPr>
    </w:lvl>
    <w:lvl w:ilvl="3" w:tplc="E0E2D9A8">
      <w:numFmt w:val="bullet"/>
      <w:lvlText w:val="•"/>
      <w:lvlJc w:val="left"/>
      <w:pPr>
        <w:ind w:left="874" w:hanging="100"/>
      </w:pPr>
      <w:rPr>
        <w:rFonts w:hint="default"/>
      </w:rPr>
    </w:lvl>
    <w:lvl w:ilvl="4" w:tplc="9904BD6C">
      <w:numFmt w:val="bullet"/>
      <w:lvlText w:val="•"/>
      <w:lvlJc w:val="left"/>
      <w:pPr>
        <w:ind w:left="1112" w:hanging="100"/>
      </w:pPr>
      <w:rPr>
        <w:rFonts w:hint="default"/>
      </w:rPr>
    </w:lvl>
    <w:lvl w:ilvl="5" w:tplc="84F08108">
      <w:numFmt w:val="bullet"/>
      <w:lvlText w:val="•"/>
      <w:lvlJc w:val="left"/>
      <w:pPr>
        <w:ind w:left="1350" w:hanging="100"/>
      </w:pPr>
      <w:rPr>
        <w:rFonts w:hint="default"/>
      </w:rPr>
    </w:lvl>
    <w:lvl w:ilvl="6" w:tplc="A5D46984">
      <w:numFmt w:val="bullet"/>
      <w:lvlText w:val="•"/>
      <w:lvlJc w:val="left"/>
      <w:pPr>
        <w:ind w:left="1588" w:hanging="100"/>
      </w:pPr>
      <w:rPr>
        <w:rFonts w:hint="default"/>
      </w:rPr>
    </w:lvl>
    <w:lvl w:ilvl="7" w:tplc="896A45E4">
      <w:numFmt w:val="bullet"/>
      <w:lvlText w:val="•"/>
      <w:lvlJc w:val="left"/>
      <w:pPr>
        <w:ind w:left="1826" w:hanging="100"/>
      </w:pPr>
      <w:rPr>
        <w:rFonts w:hint="default"/>
      </w:rPr>
    </w:lvl>
    <w:lvl w:ilvl="8" w:tplc="B712C162">
      <w:numFmt w:val="bullet"/>
      <w:lvlText w:val="•"/>
      <w:lvlJc w:val="left"/>
      <w:pPr>
        <w:ind w:left="2064" w:hanging="100"/>
      </w:pPr>
      <w:rPr>
        <w:rFonts w:hint="default"/>
      </w:rPr>
    </w:lvl>
  </w:abstractNum>
  <w:abstractNum w:abstractNumId="1542" w15:restartNumberingAfterBreak="0">
    <w:nsid w:val="609043AE"/>
    <w:multiLevelType w:val="hybridMultilevel"/>
    <w:tmpl w:val="76506BE6"/>
    <w:lvl w:ilvl="0" w:tplc="D0E0C076">
      <w:numFmt w:val="bullet"/>
      <w:lvlText w:val=""/>
      <w:lvlJc w:val="left"/>
      <w:pPr>
        <w:ind w:left="156" w:hanging="100"/>
      </w:pPr>
      <w:rPr>
        <w:rFonts w:ascii="Symbol" w:eastAsia="Symbol" w:hAnsi="Symbol" w:cs="Symbol" w:hint="default"/>
        <w:color w:val="231F20"/>
        <w:w w:val="100"/>
        <w:sz w:val="14"/>
        <w:szCs w:val="14"/>
      </w:rPr>
    </w:lvl>
    <w:lvl w:ilvl="1" w:tplc="16E4A20E">
      <w:numFmt w:val="bullet"/>
      <w:lvlText w:val="•"/>
      <w:lvlJc w:val="left"/>
      <w:pPr>
        <w:ind w:left="301" w:hanging="100"/>
      </w:pPr>
      <w:rPr>
        <w:rFonts w:hint="default"/>
      </w:rPr>
    </w:lvl>
    <w:lvl w:ilvl="2" w:tplc="76FC0686">
      <w:numFmt w:val="bullet"/>
      <w:lvlText w:val="•"/>
      <w:lvlJc w:val="left"/>
      <w:pPr>
        <w:ind w:left="443" w:hanging="100"/>
      </w:pPr>
      <w:rPr>
        <w:rFonts w:hint="default"/>
      </w:rPr>
    </w:lvl>
    <w:lvl w:ilvl="3" w:tplc="89CE4D9E">
      <w:numFmt w:val="bullet"/>
      <w:lvlText w:val="•"/>
      <w:lvlJc w:val="left"/>
      <w:pPr>
        <w:ind w:left="585" w:hanging="100"/>
      </w:pPr>
      <w:rPr>
        <w:rFonts w:hint="default"/>
      </w:rPr>
    </w:lvl>
    <w:lvl w:ilvl="4" w:tplc="24C0242A">
      <w:numFmt w:val="bullet"/>
      <w:lvlText w:val="•"/>
      <w:lvlJc w:val="left"/>
      <w:pPr>
        <w:ind w:left="726" w:hanging="100"/>
      </w:pPr>
      <w:rPr>
        <w:rFonts w:hint="default"/>
      </w:rPr>
    </w:lvl>
    <w:lvl w:ilvl="5" w:tplc="B4220F1A">
      <w:numFmt w:val="bullet"/>
      <w:lvlText w:val="•"/>
      <w:lvlJc w:val="left"/>
      <w:pPr>
        <w:ind w:left="868" w:hanging="100"/>
      </w:pPr>
      <w:rPr>
        <w:rFonts w:hint="default"/>
      </w:rPr>
    </w:lvl>
    <w:lvl w:ilvl="6" w:tplc="CE74CBF6">
      <w:numFmt w:val="bullet"/>
      <w:lvlText w:val="•"/>
      <w:lvlJc w:val="left"/>
      <w:pPr>
        <w:ind w:left="1010" w:hanging="100"/>
      </w:pPr>
      <w:rPr>
        <w:rFonts w:hint="default"/>
      </w:rPr>
    </w:lvl>
    <w:lvl w:ilvl="7" w:tplc="4E32639E">
      <w:numFmt w:val="bullet"/>
      <w:lvlText w:val="•"/>
      <w:lvlJc w:val="left"/>
      <w:pPr>
        <w:ind w:left="1151" w:hanging="100"/>
      </w:pPr>
      <w:rPr>
        <w:rFonts w:hint="default"/>
      </w:rPr>
    </w:lvl>
    <w:lvl w:ilvl="8" w:tplc="02026DF8">
      <w:numFmt w:val="bullet"/>
      <w:lvlText w:val="•"/>
      <w:lvlJc w:val="left"/>
      <w:pPr>
        <w:ind w:left="1293" w:hanging="100"/>
      </w:pPr>
      <w:rPr>
        <w:rFonts w:hint="default"/>
      </w:rPr>
    </w:lvl>
  </w:abstractNum>
  <w:abstractNum w:abstractNumId="1543" w15:restartNumberingAfterBreak="0">
    <w:nsid w:val="60C6454B"/>
    <w:multiLevelType w:val="hybridMultilevel"/>
    <w:tmpl w:val="0A76B77A"/>
    <w:lvl w:ilvl="0" w:tplc="70A4C48C">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E0DCE35E">
      <w:numFmt w:val="bullet"/>
      <w:lvlText w:val="•"/>
      <w:lvlJc w:val="left"/>
      <w:pPr>
        <w:ind w:left="408" w:hanging="84"/>
      </w:pPr>
      <w:rPr>
        <w:rFonts w:hint="default"/>
      </w:rPr>
    </w:lvl>
    <w:lvl w:ilvl="2" w:tplc="23C6DF86">
      <w:numFmt w:val="bullet"/>
      <w:lvlText w:val="•"/>
      <w:lvlJc w:val="left"/>
      <w:pPr>
        <w:ind w:left="676" w:hanging="84"/>
      </w:pPr>
      <w:rPr>
        <w:rFonts w:hint="default"/>
      </w:rPr>
    </w:lvl>
    <w:lvl w:ilvl="3" w:tplc="A2900822">
      <w:numFmt w:val="bullet"/>
      <w:lvlText w:val="•"/>
      <w:lvlJc w:val="left"/>
      <w:pPr>
        <w:ind w:left="945" w:hanging="84"/>
      </w:pPr>
      <w:rPr>
        <w:rFonts w:hint="default"/>
      </w:rPr>
    </w:lvl>
    <w:lvl w:ilvl="4" w:tplc="6F7C55D0">
      <w:numFmt w:val="bullet"/>
      <w:lvlText w:val="•"/>
      <w:lvlJc w:val="left"/>
      <w:pPr>
        <w:ind w:left="1213" w:hanging="84"/>
      </w:pPr>
      <w:rPr>
        <w:rFonts w:hint="default"/>
      </w:rPr>
    </w:lvl>
    <w:lvl w:ilvl="5" w:tplc="A03CCA22">
      <w:numFmt w:val="bullet"/>
      <w:lvlText w:val="•"/>
      <w:lvlJc w:val="left"/>
      <w:pPr>
        <w:ind w:left="1482" w:hanging="84"/>
      </w:pPr>
      <w:rPr>
        <w:rFonts w:hint="default"/>
      </w:rPr>
    </w:lvl>
    <w:lvl w:ilvl="6" w:tplc="037A97E0">
      <w:numFmt w:val="bullet"/>
      <w:lvlText w:val="•"/>
      <w:lvlJc w:val="left"/>
      <w:pPr>
        <w:ind w:left="1750" w:hanging="84"/>
      </w:pPr>
      <w:rPr>
        <w:rFonts w:hint="default"/>
      </w:rPr>
    </w:lvl>
    <w:lvl w:ilvl="7" w:tplc="17E28316">
      <w:numFmt w:val="bullet"/>
      <w:lvlText w:val="•"/>
      <w:lvlJc w:val="left"/>
      <w:pPr>
        <w:ind w:left="2018" w:hanging="84"/>
      </w:pPr>
      <w:rPr>
        <w:rFonts w:hint="default"/>
      </w:rPr>
    </w:lvl>
    <w:lvl w:ilvl="8" w:tplc="5C0CC0D0">
      <w:numFmt w:val="bullet"/>
      <w:lvlText w:val="•"/>
      <w:lvlJc w:val="left"/>
      <w:pPr>
        <w:ind w:left="2287" w:hanging="84"/>
      </w:pPr>
      <w:rPr>
        <w:rFonts w:hint="default"/>
      </w:rPr>
    </w:lvl>
  </w:abstractNum>
  <w:abstractNum w:abstractNumId="1544" w15:restartNumberingAfterBreak="0">
    <w:nsid w:val="60DC2663"/>
    <w:multiLevelType w:val="hybridMultilevel"/>
    <w:tmpl w:val="A1E8CE1A"/>
    <w:lvl w:ilvl="0" w:tplc="35F0C69C">
      <w:numFmt w:val="bullet"/>
      <w:lvlText w:val=""/>
      <w:lvlJc w:val="left"/>
      <w:pPr>
        <w:ind w:left="157" w:hanging="100"/>
      </w:pPr>
      <w:rPr>
        <w:rFonts w:ascii="Symbol" w:eastAsia="Symbol" w:hAnsi="Symbol" w:cs="Symbol" w:hint="default"/>
        <w:color w:val="231F20"/>
        <w:w w:val="100"/>
        <w:sz w:val="14"/>
        <w:szCs w:val="14"/>
      </w:rPr>
    </w:lvl>
    <w:lvl w:ilvl="1" w:tplc="D27C5752">
      <w:numFmt w:val="bullet"/>
      <w:lvlText w:val="•"/>
      <w:lvlJc w:val="left"/>
      <w:pPr>
        <w:ind w:left="426" w:hanging="100"/>
      </w:pPr>
      <w:rPr>
        <w:rFonts w:hint="default"/>
      </w:rPr>
    </w:lvl>
    <w:lvl w:ilvl="2" w:tplc="73060F62">
      <w:numFmt w:val="bullet"/>
      <w:lvlText w:val="•"/>
      <w:lvlJc w:val="left"/>
      <w:pPr>
        <w:ind w:left="692" w:hanging="100"/>
      </w:pPr>
      <w:rPr>
        <w:rFonts w:hint="default"/>
      </w:rPr>
    </w:lvl>
    <w:lvl w:ilvl="3" w:tplc="9F18C482">
      <w:numFmt w:val="bullet"/>
      <w:lvlText w:val="•"/>
      <w:lvlJc w:val="left"/>
      <w:pPr>
        <w:ind w:left="959" w:hanging="100"/>
      </w:pPr>
      <w:rPr>
        <w:rFonts w:hint="default"/>
      </w:rPr>
    </w:lvl>
    <w:lvl w:ilvl="4" w:tplc="4596001A">
      <w:numFmt w:val="bullet"/>
      <w:lvlText w:val="•"/>
      <w:lvlJc w:val="left"/>
      <w:pPr>
        <w:ind w:left="1225" w:hanging="100"/>
      </w:pPr>
      <w:rPr>
        <w:rFonts w:hint="default"/>
      </w:rPr>
    </w:lvl>
    <w:lvl w:ilvl="5" w:tplc="65D62908">
      <w:numFmt w:val="bullet"/>
      <w:lvlText w:val="•"/>
      <w:lvlJc w:val="left"/>
      <w:pPr>
        <w:ind w:left="1492" w:hanging="100"/>
      </w:pPr>
      <w:rPr>
        <w:rFonts w:hint="default"/>
      </w:rPr>
    </w:lvl>
    <w:lvl w:ilvl="6" w:tplc="77626760">
      <w:numFmt w:val="bullet"/>
      <w:lvlText w:val="•"/>
      <w:lvlJc w:val="left"/>
      <w:pPr>
        <w:ind w:left="1758" w:hanging="100"/>
      </w:pPr>
      <w:rPr>
        <w:rFonts w:hint="default"/>
      </w:rPr>
    </w:lvl>
    <w:lvl w:ilvl="7" w:tplc="35FC4E8A">
      <w:numFmt w:val="bullet"/>
      <w:lvlText w:val="•"/>
      <w:lvlJc w:val="left"/>
      <w:pPr>
        <w:ind w:left="2024" w:hanging="100"/>
      </w:pPr>
      <w:rPr>
        <w:rFonts w:hint="default"/>
      </w:rPr>
    </w:lvl>
    <w:lvl w:ilvl="8" w:tplc="52BC56CA">
      <w:numFmt w:val="bullet"/>
      <w:lvlText w:val="•"/>
      <w:lvlJc w:val="left"/>
      <w:pPr>
        <w:ind w:left="2291" w:hanging="100"/>
      </w:pPr>
      <w:rPr>
        <w:rFonts w:hint="default"/>
      </w:rPr>
    </w:lvl>
  </w:abstractNum>
  <w:abstractNum w:abstractNumId="1545" w15:restartNumberingAfterBreak="0">
    <w:nsid w:val="60ED3940"/>
    <w:multiLevelType w:val="hybridMultilevel"/>
    <w:tmpl w:val="0120A388"/>
    <w:lvl w:ilvl="0" w:tplc="1F50A29A">
      <w:numFmt w:val="bullet"/>
      <w:lvlText w:val=""/>
      <w:lvlJc w:val="left"/>
      <w:pPr>
        <w:ind w:left="156" w:hanging="100"/>
      </w:pPr>
      <w:rPr>
        <w:rFonts w:ascii="Symbol" w:eastAsia="Symbol" w:hAnsi="Symbol" w:cs="Symbol" w:hint="default"/>
        <w:color w:val="231F20"/>
        <w:w w:val="100"/>
        <w:sz w:val="14"/>
        <w:szCs w:val="14"/>
      </w:rPr>
    </w:lvl>
    <w:lvl w:ilvl="1" w:tplc="926482F2">
      <w:numFmt w:val="bullet"/>
      <w:lvlText w:val="•"/>
      <w:lvlJc w:val="left"/>
      <w:pPr>
        <w:ind w:left="301" w:hanging="100"/>
      </w:pPr>
      <w:rPr>
        <w:rFonts w:hint="default"/>
      </w:rPr>
    </w:lvl>
    <w:lvl w:ilvl="2" w:tplc="FC68B026">
      <w:numFmt w:val="bullet"/>
      <w:lvlText w:val="•"/>
      <w:lvlJc w:val="left"/>
      <w:pPr>
        <w:ind w:left="443" w:hanging="100"/>
      </w:pPr>
      <w:rPr>
        <w:rFonts w:hint="default"/>
      </w:rPr>
    </w:lvl>
    <w:lvl w:ilvl="3" w:tplc="3266F858">
      <w:numFmt w:val="bullet"/>
      <w:lvlText w:val="•"/>
      <w:lvlJc w:val="left"/>
      <w:pPr>
        <w:ind w:left="585" w:hanging="100"/>
      </w:pPr>
      <w:rPr>
        <w:rFonts w:hint="default"/>
      </w:rPr>
    </w:lvl>
    <w:lvl w:ilvl="4" w:tplc="0E1EF5DE">
      <w:numFmt w:val="bullet"/>
      <w:lvlText w:val="•"/>
      <w:lvlJc w:val="left"/>
      <w:pPr>
        <w:ind w:left="726" w:hanging="100"/>
      </w:pPr>
      <w:rPr>
        <w:rFonts w:hint="default"/>
      </w:rPr>
    </w:lvl>
    <w:lvl w:ilvl="5" w:tplc="01C8B6D2">
      <w:numFmt w:val="bullet"/>
      <w:lvlText w:val="•"/>
      <w:lvlJc w:val="left"/>
      <w:pPr>
        <w:ind w:left="868" w:hanging="100"/>
      </w:pPr>
      <w:rPr>
        <w:rFonts w:hint="default"/>
      </w:rPr>
    </w:lvl>
    <w:lvl w:ilvl="6" w:tplc="46ACC4CA">
      <w:numFmt w:val="bullet"/>
      <w:lvlText w:val="•"/>
      <w:lvlJc w:val="left"/>
      <w:pPr>
        <w:ind w:left="1010" w:hanging="100"/>
      </w:pPr>
      <w:rPr>
        <w:rFonts w:hint="default"/>
      </w:rPr>
    </w:lvl>
    <w:lvl w:ilvl="7" w:tplc="FA424932">
      <w:numFmt w:val="bullet"/>
      <w:lvlText w:val="•"/>
      <w:lvlJc w:val="left"/>
      <w:pPr>
        <w:ind w:left="1151" w:hanging="100"/>
      </w:pPr>
      <w:rPr>
        <w:rFonts w:hint="default"/>
      </w:rPr>
    </w:lvl>
    <w:lvl w:ilvl="8" w:tplc="741A67E8">
      <w:numFmt w:val="bullet"/>
      <w:lvlText w:val="•"/>
      <w:lvlJc w:val="left"/>
      <w:pPr>
        <w:ind w:left="1293" w:hanging="100"/>
      </w:pPr>
      <w:rPr>
        <w:rFonts w:hint="default"/>
      </w:rPr>
    </w:lvl>
  </w:abstractNum>
  <w:abstractNum w:abstractNumId="1546" w15:restartNumberingAfterBreak="0">
    <w:nsid w:val="60F96D6C"/>
    <w:multiLevelType w:val="hybridMultilevel"/>
    <w:tmpl w:val="3202EE62"/>
    <w:lvl w:ilvl="0" w:tplc="D86668C6">
      <w:numFmt w:val="bullet"/>
      <w:lvlText w:val=""/>
      <w:lvlJc w:val="left"/>
      <w:pPr>
        <w:ind w:left="156" w:hanging="100"/>
      </w:pPr>
      <w:rPr>
        <w:rFonts w:ascii="Symbol" w:eastAsia="Symbol" w:hAnsi="Symbol" w:cs="Symbol" w:hint="default"/>
        <w:color w:val="231F20"/>
        <w:w w:val="100"/>
        <w:sz w:val="14"/>
        <w:szCs w:val="14"/>
      </w:rPr>
    </w:lvl>
    <w:lvl w:ilvl="1" w:tplc="D5DAB3A2">
      <w:numFmt w:val="bullet"/>
      <w:lvlText w:val="•"/>
      <w:lvlJc w:val="left"/>
      <w:pPr>
        <w:ind w:left="426" w:hanging="100"/>
      </w:pPr>
      <w:rPr>
        <w:rFonts w:hint="default"/>
      </w:rPr>
    </w:lvl>
    <w:lvl w:ilvl="2" w:tplc="F39C3ACC">
      <w:numFmt w:val="bullet"/>
      <w:lvlText w:val="•"/>
      <w:lvlJc w:val="left"/>
      <w:pPr>
        <w:ind w:left="692" w:hanging="100"/>
      </w:pPr>
      <w:rPr>
        <w:rFonts w:hint="default"/>
      </w:rPr>
    </w:lvl>
    <w:lvl w:ilvl="3" w:tplc="07DE41FA">
      <w:numFmt w:val="bullet"/>
      <w:lvlText w:val="•"/>
      <w:lvlJc w:val="left"/>
      <w:pPr>
        <w:ind w:left="959" w:hanging="100"/>
      </w:pPr>
      <w:rPr>
        <w:rFonts w:hint="default"/>
      </w:rPr>
    </w:lvl>
    <w:lvl w:ilvl="4" w:tplc="99CE094A">
      <w:numFmt w:val="bullet"/>
      <w:lvlText w:val="•"/>
      <w:lvlJc w:val="left"/>
      <w:pPr>
        <w:ind w:left="1225" w:hanging="100"/>
      </w:pPr>
      <w:rPr>
        <w:rFonts w:hint="default"/>
      </w:rPr>
    </w:lvl>
    <w:lvl w:ilvl="5" w:tplc="B1E06100">
      <w:numFmt w:val="bullet"/>
      <w:lvlText w:val="•"/>
      <w:lvlJc w:val="left"/>
      <w:pPr>
        <w:ind w:left="1492" w:hanging="100"/>
      </w:pPr>
      <w:rPr>
        <w:rFonts w:hint="default"/>
      </w:rPr>
    </w:lvl>
    <w:lvl w:ilvl="6" w:tplc="DCD805AA">
      <w:numFmt w:val="bullet"/>
      <w:lvlText w:val="•"/>
      <w:lvlJc w:val="left"/>
      <w:pPr>
        <w:ind w:left="1758" w:hanging="100"/>
      </w:pPr>
      <w:rPr>
        <w:rFonts w:hint="default"/>
      </w:rPr>
    </w:lvl>
    <w:lvl w:ilvl="7" w:tplc="CF46401C">
      <w:numFmt w:val="bullet"/>
      <w:lvlText w:val="•"/>
      <w:lvlJc w:val="left"/>
      <w:pPr>
        <w:ind w:left="2024" w:hanging="100"/>
      </w:pPr>
      <w:rPr>
        <w:rFonts w:hint="default"/>
      </w:rPr>
    </w:lvl>
    <w:lvl w:ilvl="8" w:tplc="BDF60F22">
      <w:numFmt w:val="bullet"/>
      <w:lvlText w:val="•"/>
      <w:lvlJc w:val="left"/>
      <w:pPr>
        <w:ind w:left="2291" w:hanging="100"/>
      </w:pPr>
      <w:rPr>
        <w:rFonts w:hint="default"/>
      </w:rPr>
    </w:lvl>
  </w:abstractNum>
  <w:abstractNum w:abstractNumId="1547" w15:restartNumberingAfterBreak="0">
    <w:nsid w:val="610254D8"/>
    <w:multiLevelType w:val="hybridMultilevel"/>
    <w:tmpl w:val="40E86DB0"/>
    <w:lvl w:ilvl="0" w:tplc="55FAD118">
      <w:numFmt w:val="bullet"/>
      <w:lvlText w:val=""/>
      <w:lvlJc w:val="left"/>
      <w:pPr>
        <w:ind w:left="156" w:hanging="100"/>
      </w:pPr>
      <w:rPr>
        <w:rFonts w:ascii="Symbol" w:eastAsia="Symbol" w:hAnsi="Symbol" w:cs="Symbol" w:hint="default"/>
        <w:color w:val="231F20"/>
        <w:w w:val="100"/>
        <w:sz w:val="14"/>
        <w:szCs w:val="14"/>
      </w:rPr>
    </w:lvl>
    <w:lvl w:ilvl="1" w:tplc="11727E92">
      <w:numFmt w:val="bullet"/>
      <w:lvlText w:val="•"/>
      <w:lvlJc w:val="left"/>
      <w:pPr>
        <w:ind w:left="426" w:hanging="100"/>
      </w:pPr>
      <w:rPr>
        <w:rFonts w:hint="default"/>
      </w:rPr>
    </w:lvl>
    <w:lvl w:ilvl="2" w:tplc="124C7202">
      <w:numFmt w:val="bullet"/>
      <w:lvlText w:val="•"/>
      <w:lvlJc w:val="left"/>
      <w:pPr>
        <w:ind w:left="692" w:hanging="100"/>
      </w:pPr>
      <w:rPr>
        <w:rFonts w:hint="default"/>
      </w:rPr>
    </w:lvl>
    <w:lvl w:ilvl="3" w:tplc="3DB6E7D2">
      <w:numFmt w:val="bullet"/>
      <w:lvlText w:val="•"/>
      <w:lvlJc w:val="left"/>
      <w:pPr>
        <w:ind w:left="959" w:hanging="100"/>
      </w:pPr>
      <w:rPr>
        <w:rFonts w:hint="default"/>
      </w:rPr>
    </w:lvl>
    <w:lvl w:ilvl="4" w:tplc="0D3C1E84">
      <w:numFmt w:val="bullet"/>
      <w:lvlText w:val="•"/>
      <w:lvlJc w:val="left"/>
      <w:pPr>
        <w:ind w:left="1225" w:hanging="100"/>
      </w:pPr>
      <w:rPr>
        <w:rFonts w:hint="default"/>
      </w:rPr>
    </w:lvl>
    <w:lvl w:ilvl="5" w:tplc="226E5222">
      <w:numFmt w:val="bullet"/>
      <w:lvlText w:val="•"/>
      <w:lvlJc w:val="left"/>
      <w:pPr>
        <w:ind w:left="1492" w:hanging="100"/>
      </w:pPr>
      <w:rPr>
        <w:rFonts w:hint="default"/>
      </w:rPr>
    </w:lvl>
    <w:lvl w:ilvl="6" w:tplc="56F8EB40">
      <w:numFmt w:val="bullet"/>
      <w:lvlText w:val="•"/>
      <w:lvlJc w:val="left"/>
      <w:pPr>
        <w:ind w:left="1758" w:hanging="100"/>
      </w:pPr>
      <w:rPr>
        <w:rFonts w:hint="default"/>
      </w:rPr>
    </w:lvl>
    <w:lvl w:ilvl="7" w:tplc="93244038">
      <w:numFmt w:val="bullet"/>
      <w:lvlText w:val="•"/>
      <w:lvlJc w:val="left"/>
      <w:pPr>
        <w:ind w:left="2024" w:hanging="100"/>
      </w:pPr>
      <w:rPr>
        <w:rFonts w:hint="default"/>
      </w:rPr>
    </w:lvl>
    <w:lvl w:ilvl="8" w:tplc="213668CC">
      <w:numFmt w:val="bullet"/>
      <w:lvlText w:val="•"/>
      <w:lvlJc w:val="left"/>
      <w:pPr>
        <w:ind w:left="2291" w:hanging="100"/>
      </w:pPr>
      <w:rPr>
        <w:rFonts w:hint="default"/>
      </w:rPr>
    </w:lvl>
  </w:abstractNum>
  <w:abstractNum w:abstractNumId="1548" w15:restartNumberingAfterBreak="0">
    <w:nsid w:val="610B1D35"/>
    <w:multiLevelType w:val="hybridMultilevel"/>
    <w:tmpl w:val="3D541662"/>
    <w:lvl w:ilvl="0" w:tplc="0B4A5756">
      <w:numFmt w:val="bullet"/>
      <w:lvlText w:val=""/>
      <w:lvlJc w:val="left"/>
      <w:pPr>
        <w:ind w:left="156" w:hanging="100"/>
      </w:pPr>
      <w:rPr>
        <w:rFonts w:ascii="Symbol" w:eastAsia="Symbol" w:hAnsi="Symbol" w:cs="Symbol" w:hint="default"/>
        <w:color w:val="231F20"/>
        <w:w w:val="100"/>
        <w:sz w:val="14"/>
        <w:szCs w:val="14"/>
      </w:rPr>
    </w:lvl>
    <w:lvl w:ilvl="1" w:tplc="E3749044">
      <w:numFmt w:val="bullet"/>
      <w:lvlText w:val="•"/>
      <w:lvlJc w:val="left"/>
      <w:pPr>
        <w:ind w:left="273" w:hanging="100"/>
      </w:pPr>
      <w:rPr>
        <w:rFonts w:hint="default"/>
      </w:rPr>
    </w:lvl>
    <w:lvl w:ilvl="2" w:tplc="E392048C">
      <w:numFmt w:val="bullet"/>
      <w:lvlText w:val="•"/>
      <w:lvlJc w:val="left"/>
      <w:pPr>
        <w:ind w:left="386" w:hanging="100"/>
      </w:pPr>
      <w:rPr>
        <w:rFonts w:hint="default"/>
      </w:rPr>
    </w:lvl>
    <w:lvl w:ilvl="3" w:tplc="B7D60638">
      <w:numFmt w:val="bullet"/>
      <w:lvlText w:val="•"/>
      <w:lvlJc w:val="left"/>
      <w:pPr>
        <w:ind w:left="500" w:hanging="100"/>
      </w:pPr>
      <w:rPr>
        <w:rFonts w:hint="default"/>
      </w:rPr>
    </w:lvl>
    <w:lvl w:ilvl="4" w:tplc="CF8A721A">
      <w:numFmt w:val="bullet"/>
      <w:lvlText w:val="•"/>
      <w:lvlJc w:val="left"/>
      <w:pPr>
        <w:ind w:left="613" w:hanging="100"/>
      </w:pPr>
      <w:rPr>
        <w:rFonts w:hint="default"/>
      </w:rPr>
    </w:lvl>
    <w:lvl w:ilvl="5" w:tplc="BE507C3A">
      <w:numFmt w:val="bullet"/>
      <w:lvlText w:val="•"/>
      <w:lvlJc w:val="left"/>
      <w:pPr>
        <w:ind w:left="727" w:hanging="100"/>
      </w:pPr>
      <w:rPr>
        <w:rFonts w:hint="default"/>
      </w:rPr>
    </w:lvl>
    <w:lvl w:ilvl="6" w:tplc="2E6A052E">
      <w:numFmt w:val="bullet"/>
      <w:lvlText w:val="•"/>
      <w:lvlJc w:val="left"/>
      <w:pPr>
        <w:ind w:left="840" w:hanging="100"/>
      </w:pPr>
      <w:rPr>
        <w:rFonts w:hint="default"/>
      </w:rPr>
    </w:lvl>
    <w:lvl w:ilvl="7" w:tplc="1EA870C6">
      <w:numFmt w:val="bullet"/>
      <w:lvlText w:val="•"/>
      <w:lvlJc w:val="left"/>
      <w:pPr>
        <w:ind w:left="953" w:hanging="100"/>
      </w:pPr>
      <w:rPr>
        <w:rFonts w:hint="default"/>
      </w:rPr>
    </w:lvl>
    <w:lvl w:ilvl="8" w:tplc="ED96550C">
      <w:numFmt w:val="bullet"/>
      <w:lvlText w:val="•"/>
      <w:lvlJc w:val="left"/>
      <w:pPr>
        <w:ind w:left="1067" w:hanging="100"/>
      </w:pPr>
      <w:rPr>
        <w:rFonts w:hint="default"/>
      </w:rPr>
    </w:lvl>
  </w:abstractNum>
  <w:abstractNum w:abstractNumId="1549" w15:restartNumberingAfterBreak="0">
    <w:nsid w:val="611350EC"/>
    <w:multiLevelType w:val="hybridMultilevel"/>
    <w:tmpl w:val="8E3AF13A"/>
    <w:lvl w:ilvl="0" w:tplc="059C9BFE">
      <w:numFmt w:val="bullet"/>
      <w:lvlText w:val=""/>
      <w:lvlJc w:val="left"/>
      <w:pPr>
        <w:ind w:left="157" w:hanging="100"/>
      </w:pPr>
      <w:rPr>
        <w:rFonts w:ascii="Symbol" w:eastAsia="Symbol" w:hAnsi="Symbol" w:cs="Symbol" w:hint="default"/>
        <w:color w:val="231F20"/>
        <w:w w:val="100"/>
        <w:sz w:val="14"/>
        <w:szCs w:val="14"/>
      </w:rPr>
    </w:lvl>
    <w:lvl w:ilvl="1" w:tplc="DD186074">
      <w:numFmt w:val="bullet"/>
      <w:lvlText w:val="•"/>
      <w:lvlJc w:val="left"/>
      <w:pPr>
        <w:ind w:left="426" w:hanging="100"/>
      </w:pPr>
      <w:rPr>
        <w:rFonts w:hint="default"/>
      </w:rPr>
    </w:lvl>
    <w:lvl w:ilvl="2" w:tplc="A2F4E982">
      <w:numFmt w:val="bullet"/>
      <w:lvlText w:val="•"/>
      <w:lvlJc w:val="left"/>
      <w:pPr>
        <w:ind w:left="692" w:hanging="100"/>
      </w:pPr>
      <w:rPr>
        <w:rFonts w:hint="default"/>
      </w:rPr>
    </w:lvl>
    <w:lvl w:ilvl="3" w:tplc="9FF0230A">
      <w:numFmt w:val="bullet"/>
      <w:lvlText w:val="•"/>
      <w:lvlJc w:val="left"/>
      <w:pPr>
        <w:ind w:left="959" w:hanging="100"/>
      </w:pPr>
      <w:rPr>
        <w:rFonts w:hint="default"/>
      </w:rPr>
    </w:lvl>
    <w:lvl w:ilvl="4" w:tplc="B148AD8C">
      <w:numFmt w:val="bullet"/>
      <w:lvlText w:val="•"/>
      <w:lvlJc w:val="left"/>
      <w:pPr>
        <w:ind w:left="1225" w:hanging="100"/>
      </w:pPr>
      <w:rPr>
        <w:rFonts w:hint="default"/>
      </w:rPr>
    </w:lvl>
    <w:lvl w:ilvl="5" w:tplc="7856104A">
      <w:numFmt w:val="bullet"/>
      <w:lvlText w:val="•"/>
      <w:lvlJc w:val="left"/>
      <w:pPr>
        <w:ind w:left="1492" w:hanging="100"/>
      </w:pPr>
      <w:rPr>
        <w:rFonts w:hint="default"/>
      </w:rPr>
    </w:lvl>
    <w:lvl w:ilvl="6" w:tplc="2F682606">
      <w:numFmt w:val="bullet"/>
      <w:lvlText w:val="•"/>
      <w:lvlJc w:val="left"/>
      <w:pPr>
        <w:ind w:left="1758" w:hanging="100"/>
      </w:pPr>
      <w:rPr>
        <w:rFonts w:hint="default"/>
      </w:rPr>
    </w:lvl>
    <w:lvl w:ilvl="7" w:tplc="0FEAD52E">
      <w:numFmt w:val="bullet"/>
      <w:lvlText w:val="•"/>
      <w:lvlJc w:val="left"/>
      <w:pPr>
        <w:ind w:left="2024" w:hanging="100"/>
      </w:pPr>
      <w:rPr>
        <w:rFonts w:hint="default"/>
      </w:rPr>
    </w:lvl>
    <w:lvl w:ilvl="8" w:tplc="C93EFC50">
      <w:numFmt w:val="bullet"/>
      <w:lvlText w:val="•"/>
      <w:lvlJc w:val="left"/>
      <w:pPr>
        <w:ind w:left="2291" w:hanging="100"/>
      </w:pPr>
      <w:rPr>
        <w:rFonts w:hint="default"/>
      </w:rPr>
    </w:lvl>
  </w:abstractNum>
  <w:abstractNum w:abstractNumId="1550" w15:restartNumberingAfterBreak="0">
    <w:nsid w:val="612D481B"/>
    <w:multiLevelType w:val="hybridMultilevel"/>
    <w:tmpl w:val="E68416E4"/>
    <w:lvl w:ilvl="0" w:tplc="A524EBB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9C4240A">
      <w:numFmt w:val="bullet"/>
      <w:lvlText w:val="•"/>
      <w:lvlJc w:val="left"/>
      <w:pPr>
        <w:ind w:left="426" w:hanging="105"/>
      </w:pPr>
      <w:rPr>
        <w:rFonts w:hint="default"/>
      </w:rPr>
    </w:lvl>
    <w:lvl w:ilvl="2" w:tplc="07DCE106">
      <w:numFmt w:val="bullet"/>
      <w:lvlText w:val="•"/>
      <w:lvlJc w:val="left"/>
      <w:pPr>
        <w:ind w:left="692" w:hanging="105"/>
      </w:pPr>
      <w:rPr>
        <w:rFonts w:hint="default"/>
      </w:rPr>
    </w:lvl>
    <w:lvl w:ilvl="3" w:tplc="4A4CC676">
      <w:numFmt w:val="bullet"/>
      <w:lvlText w:val="•"/>
      <w:lvlJc w:val="left"/>
      <w:pPr>
        <w:ind w:left="959" w:hanging="105"/>
      </w:pPr>
      <w:rPr>
        <w:rFonts w:hint="default"/>
      </w:rPr>
    </w:lvl>
    <w:lvl w:ilvl="4" w:tplc="375C2348">
      <w:numFmt w:val="bullet"/>
      <w:lvlText w:val="•"/>
      <w:lvlJc w:val="left"/>
      <w:pPr>
        <w:ind w:left="1225" w:hanging="105"/>
      </w:pPr>
      <w:rPr>
        <w:rFonts w:hint="default"/>
      </w:rPr>
    </w:lvl>
    <w:lvl w:ilvl="5" w:tplc="F32EAE50">
      <w:numFmt w:val="bullet"/>
      <w:lvlText w:val="•"/>
      <w:lvlJc w:val="left"/>
      <w:pPr>
        <w:ind w:left="1492" w:hanging="105"/>
      </w:pPr>
      <w:rPr>
        <w:rFonts w:hint="default"/>
      </w:rPr>
    </w:lvl>
    <w:lvl w:ilvl="6" w:tplc="D33E89DE">
      <w:numFmt w:val="bullet"/>
      <w:lvlText w:val="•"/>
      <w:lvlJc w:val="left"/>
      <w:pPr>
        <w:ind w:left="1758" w:hanging="105"/>
      </w:pPr>
      <w:rPr>
        <w:rFonts w:hint="default"/>
      </w:rPr>
    </w:lvl>
    <w:lvl w:ilvl="7" w:tplc="A66C02E6">
      <w:numFmt w:val="bullet"/>
      <w:lvlText w:val="•"/>
      <w:lvlJc w:val="left"/>
      <w:pPr>
        <w:ind w:left="2024" w:hanging="105"/>
      </w:pPr>
      <w:rPr>
        <w:rFonts w:hint="default"/>
      </w:rPr>
    </w:lvl>
    <w:lvl w:ilvl="8" w:tplc="6AEC5932">
      <w:numFmt w:val="bullet"/>
      <w:lvlText w:val="•"/>
      <w:lvlJc w:val="left"/>
      <w:pPr>
        <w:ind w:left="2291" w:hanging="105"/>
      </w:pPr>
      <w:rPr>
        <w:rFonts w:hint="default"/>
      </w:rPr>
    </w:lvl>
  </w:abstractNum>
  <w:abstractNum w:abstractNumId="1551" w15:restartNumberingAfterBreak="0">
    <w:nsid w:val="615A04DA"/>
    <w:multiLevelType w:val="hybridMultilevel"/>
    <w:tmpl w:val="7AEAF602"/>
    <w:lvl w:ilvl="0" w:tplc="4118A646">
      <w:numFmt w:val="bullet"/>
      <w:lvlText w:val=""/>
      <w:lvlJc w:val="left"/>
      <w:pPr>
        <w:ind w:left="156" w:hanging="100"/>
      </w:pPr>
      <w:rPr>
        <w:rFonts w:ascii="Symbol" w:eastAsia="Symbol" w:hAnsi="Symbol" w:cs="Symbol" w:hint="default"/>
        <w:color w:val="231F20"/>
        <w:w w:val="100"/>
        <w:sz w:val="14"/>
        <w:szCs w:val="14"/>
      </w:rPr>
    </w:lvl>
    <w:lvl w:ilvl="1" w:tplc="41805060">
      <w:numFmt w:val="bullet"/>
      <w:lvlText w:val="•"/>
      <w:lvlJc w:val="left"/>
      <w:pPr>
        <w:ind w:left="398" w:hanging="100"/>
      </w:pPr>
      <w:rPr>
        <w:rFonts w:hint="default"/>
      </w:rPr>
    </w:lvl>
    <w:lvl w:ilvl="2" w:tplc="E3BE9F56">
      <w:numFmt w:val="bullet"/>
      <w:lvlText w:val="•"/>
      <w:lvlJc w:val="left"/>
      <w:pPr>
        <w:ind w:left="636" w:hanging="100"/>
      </w:pPr>
      <w:rPr>
        <w:rFonts w:hint="default"/>
      </w:rPr>
    </w:lvl>
    <w:lvl w:ilvl="3" w:tplc="2EC45A02">
      <w:numFmt w:val="bullet"/>
      <w:lvlText w:val="•"/>
      <w:lvlJc w:val="left"/>
      <w:pPr>
        <w:ind w:left="874" w:hanging="100"/>
      </w:pPr>
      <w:rPr>
        <w:rFonts w:hint="default"/>
      </w:rPr>
    </w:lvl>
    <w:lvl w:ilvl="4" w:tplc="70C6F6FE">
      <w:numFmt w:val="bullet"/>
      <w:lvlText w:val="•"/>
      <w:lvlJc w:val="left"/>
      <w:pPr>
        <w:ind w:left="1112" w:hanging="100"/>
      </w:pPr>
      <w:rPr>
        <w:rFonts w:hint="default"/>
      </w:rPr>
    </w:lvl>
    <w:lvl w:ilvl="5" w:tplc="068A37FC">
      <w:numFmt w:val="bullet"/>
      <w:lvlText w:val="•"/>
      <w:lvlJc w:val="left"/>
      <w:pPr>
        <w:ind w:left="1350" w:hanging="100"/>
      </w:pPr>
      <w:rPr>
        <w:rFonts w:hint="default"/>
      </w:rPr>
    </w:lvl>
    <w:lvl w:ilvl="6" w:tplc="385EE3EC">
      <w:numFmt w:val="bullet"/>
      <w:lvlText w:val="•"/>
      <w:lvlJc w:val="left"/>
      <w:pPr>
        <w:ind w:left="1588" w:hanging="100"/>
      </w:pPr>
      <w:rPr>
        <w:rFonts w:hint="default"/>
      </w:rPr>
    </w:lvl>
    <w:lvl w:ilvl="7" w:tplc="8EA00C24">
      <w:numFmt w:val="bullet"/>
      <w:lvlText w:val="•"/>
      <w:lvlJc w:val="left"/>
      <w:pPr>
        <w:ind w:left="1826" w:hanging="100"/>
      </w:pPr>
      <w:rPr>
        <w:rFonts w:hint="default"/>
      </w:rPr>
    </w:lvl>
    <w:lvl w:ilvl="8" w:tplc="1BA6143A">
      <w:numFmt w:val="bullet"/>
      <w:lvlText w:val="•"/>
      <w:lvlJc w:val="left"/>
      <w:pPr>
        <w:ind w:left="2064" w:hanging="100"/>
      </w:pPr>
      <w:rPr>
        <w:rFonts w:hint="default"/>
      </w:rPr>
    </w:lvl>
  </w:abstractNum>
  <w:abstractNum w:abstractNumId="1552" w15:restartNumberingAfterBreak="0">
    <w:nsid w:val="61705853"/>
    <w:multiLevelType w:val="hybridMultilevel"/>
    <w:tmpl w:val="7EA6324A"/>
    <w:lvl w:ilvl="0" w:tplc="CE320992">
      <w:numFmt w:val="bullet"/>
      <w:lvlText w:val=""/>
      <w:lvlJc w:val="left"/>
      <w:pPr>
        <w:ind w:left="156" w:hanging="100"/>
      </w:pPr>
      <w:rPr>
        <w:rFonts w:ascii="Symbol" w:eastAsia="Symbol" w:hAnsi="Symbol" w:cs="Symbol" w:hint="default"/>
        <w:color w:val="231F20"/>
        <w:w w:val="100"/>
        <w:sz w:val="14"/>
        <w:szCs w:val="14"/>
      </w:rPr>
    </w:lvl>
    <w:lvl w:ilvl="1" w:tplc="7FAED376">
      <w:numFmt w:val="bullet"/>
      <w:lvlText w:val="•"/>
      <w:lvlJc w:val="left"/>
      <w:pPr>
        <w:ind w:left="240" w:hanging="100"/>
      </w:pPr>
      <w:rPr>
        <w:rFonts w:hint="default"/>
      </w:rPr>
    </w:lvl>
    <w:lvl w:ilvl="2" w:tplc="FE4067CC">
      <w:numFmt w:val="bullet"/>
      <w:lvlText w:val="•"/>
      <w:lvlJc w:val="left"/>
      <w:pPr>
        <w:ind w:left="495" w:hanging="100"/>
      </w:pPr>
      <w:rPr>
        <w:rFonts w:hint="default"/>
      </w:rPr>
    </w:lvl>
    <w:lvl w:ilvl="3" w:tplc="9B0EF406">
      <w:numFmt w:val="bullet"/>
      <w:lvlText w:val="•"/>
      <w:lvlJc w:val="left"/>
      <w:pPr>
        <w:ind w:left="751" w:hanging="100"/>
      </w:pPr>
      <w:rPr>
        <w:rFonts w:hint="default"/>
      </w:rPr>
    </w:lvl>
    <w:lvl w:ilvl="4" w:tplc="46B286BC">
      <w:numFmt w:val="bullet"/>
      <w:lvlText w:val="•"/>
      <w:lvlJc w:val="left"/>
      <w:pPr>
        <w:ind w:left="1007" w:hanging="100"/>
      </w:pPr>
      <w:rPr>
        <w:rFonts w:hint="default"/>
      </w:rPr>
    </w:lvl>
    <w:lvl w:ilvl="5" w:tplc="7BC4A5E0">
      <w:numFmt w:val="bullet"/>
      <w:lvlText w:val="•"/>
      <w:lvlJc w:val="left"/>
      <w:pPr>
        <w:ind w:left="1262" w:hanging="100"/>
      </w:pPr>
      <w:rPr>
        <w:rFonts w:hint="default"/>
      </w:rPr>
    </w:lvl>
    <w:lvl w:ilvl="6" w:tplc="008AE702">
      <w:numFmt w:val="bullet"/>
      <w:lvlText w:val="•"/>
      <w:lvlJc w:val="left"/>
      <w:pPr>
        <w:ind w:left="1518" w:hanging="100"/>
      </w:pPr>
      <w:rPr>
        <w:rFonts w:hint="default"/>
      </w:rPr>
    </w:lvl>
    <w:lvl w:ilvl="7" w:tplc="E826C058">
      <w:numFmt w:val="bullet"/>
      <w:lvlText w:val="•"/>
      <w:lvlJc w:val="left"/>
      <w:pPr>
        <w:ind w:left="1774" w:hanging="100"/>
      </w:pPr>
      <w:rPr>
        <w:rFonts w:hint="default"/>
      </w:rPr>
    </w:lvl>
    <w:lvl w:ilvl="8" w:tplc="6A0CEE84">
      <w:numFmt w:val="bullet"/>
      <w:lvlText w:val="•"/>
      <w:lvlJc w:val="left"/>
      <w:pPr>
        <w:ind w:left="2029" w:hanging="100"/>
      </w:pPr>
      <w:rPr>
        <w:rFonts w:hint="default"/>
      </w:rPr>
    </w:lvl>
  </w:abstractNum>
  <w:abstractNum w:abstractNumId="1553" w15:restartNumberingAfterBreak="0">
    <w:nsid w:val="61856D34"/>
    <w:multiLevelType w:val="hybridMultilevel"/>
    <w:tmpl w:val="744ACF3E"/>
    <w:lvl w:ilvl="0" w:tplc="2B20CA3C">
      <w:numFmt w:val="bullet"/>
      <w:lvlText w:val=""/>
      <w:lvlJc w:val="left"/>
      <w:pPr>
        <w:ind w:left="156" w:hanging="100"/>
      </w:pPr>
      <w:rPr>
        <w:rFonts w:ascii="Symbol" w:eastAsia="Symbol" w:hAnsi="Symbol" w:cs="Symbol" w:hint="default"/>
        <w:color w:val="231F20"/>
        <w:w w:val="100"/>
        <w:sz w:val="14"/>
        <w:szCs w:val="14"/>
      </w:rPr>
    </w:lvl>
    <w:lvl w:ilvl="1" w:tplc="F43A138C">
      <w:numFmt w:val="bullet"/>
      <w:lvlText w:val="•"/>
      <w:lvlJc w:val="left"/>
      <w:pPr>
        <w:ind w:left="398" w:hanging="100"/>
      </w:pPr>
      <w:rPr>
        <w:rFonts w:hint="default"/>
      </w:rPr>
    </w:lvl>
    <w:lvl w:ilvl="2" w:tplc="64DE27A6">
      <w:numFmt w:val="bullet"/>
      <w:lvlText w:val="•"/>
      <w:lvlJc w:val="left"/>
      <w:pPr>
        <w:ind w:left="636" w:hanging="100"/>
      </w:pPr>
      <w:rPr>
        <w:rFonts w:hint="default"/>
      </w:rPr>
    </w:lvl>
    <w:lvl w:ilvl="3" w:tplc="746E0EC8">
      <w:numFmt w:val="bullet"/>
      <w:lvlText w:val="•"/>
      <w:lvlJc w:val="left"/>
      <w:pPr>
        <w:ind w:left="874" w:hanging="100"/>
      </w:pPr>
      <w:rPr>
        <w:rFonts w:hint="default"/>
      </w:rPr>
    </w:lvl>
    <w:lvl w:ilvl="4" w:tplc="607E15A2">
      <w:numFmt w:val="bullet"/>
      <w:lvlText w:val="•"/>
      <w:lvlJc w:val="left"/>
      <w:pPr>
        <w:ind w:left="1112" w:hanging="100"/>
      </w:pPr>
      <w:rPr>
        <w:rFonts w:hint="default"/>
      </w:rPr>
    </w:lvl>
    <w:lvl w:ilvl="5" w:tplc="63C4BA6C">
      <w:numFmt w:val="bullet"/>
      <w:lvlText w:val="•"/>
      <w:lvlJc w:val="left"/>
      <w:pPr>
        <w:ind w:left="1350" w:hanging="100"/>
      </w:pPr>
      <w:rPr>
        <w:rFonts w:hint="default"/>
      </w:rPr>
    </w:lvl>
    <w:lvl w:ilvl="6" w:tplc="4A482148">
      <w:numFmt w:val="bullet"/>
      <w:lvlText w:val="•"/>
      <w:lvlJc w:val="left"/>
      <w:pPr>
        <w:ind w:left="1588" w:hanging="100"/>
      </w:pPr>
      <w:rPr>
        <w:rFonts w:hint="default"/>
      </w:rPr>
    </w:lvl>
    <w:lvl w:ilvl="7" w:tplc="4E069DC2">
      <w:numFmt w:val="bullet"/>
      <w:lvlText w:val="•"/>
      <w:lvlJc w:val="left"/>
      <w:pPr>
        <w:ind w:left="1826" w:hanging="100"/>
      </w:pPr>
      <w:rPr>
        <w:rFonts w:hint="default"/>
      </w:rPr>
    </w:lvl>
    <w:lvl w:ilvl="8" w:tplc="8E94560C">
      <w:numFmt w:val="bullet"/>
      <w:lvlText w:val="•"/>
      <w:lvlJc w:val="left"/>
      <w:pPr>
        <w:ind w:left="2064" w:hanging="100"/>
      </w:pPr>
      <w:rPr>
        <w:rFonts w:hint="default"/>
      </w:rPr>
    </w:lvl>
  </w:abstractNum>
  <w:abstractNum w:abstractNumId="1554" w15:restartNumberingAfterBreak="0">
    <w:nsid w:val="61A36F80"/>
    <w:multiLevelType w:val="hybridMultilevel"/>
    <w:tmpl w:val="87A42BBA"/>
    <w:lvl w:ilvl="0" w:tplc="E29AB3D0">
      <w:numFmt w:val="bullet"/>
      <w:lvlText w:val=""/>
      <w:lvlJc w:val="left"/>
      <w:pPr>
        <w:ind w:left="156" w:hanging="100"/>
      </w:pPr>
      <w:rPr>
        <w:rFonts w:ascii="Symbol" w:eastAsia="Symbol" w:hAnsi="Symbol" w:cs="Symbol" w:hint="default"/>
        <w:color w:val="231F20"/>
        <w:w w:val="100"/>
        <w:sz w:val="14"/>
        <w:szCs w:val="14"/>
      </w:rPr>
    </w:lvl>
    <w:lvl w:ilvl="1" w:tplc="A7561436">
      <w:numFmt w:val="bullet"/>
      <w:lvlText w:val="•"/>
      <w:lvlJc w:val="left"/>
      <w:pPr>
        <w:ind w:left="398" w:hanging="100"/>
      </w:pPr>
      <w:rPr>
        <w:rFonts w:hint="default"/>
      </w:rPr>
    </w:lvl>
    <w:lvl w:ilvl="2" w:tplc="C22EE52C">
      <w:numFmt w:val="bullet"/>
      <w:lvlText w:val="•"/>
      <w:lvlJc w:val="left"/>
      <w:pPr>
        <w:ind w:left="636" w:hanging="100"/>
      </w:pPr>
      <w:rPr>
        <w:rFonts w:hint="default"/>
      </w:rPr>
    </w:lvl>
    <w:lvl w:ilvl="3" w:tplc="48704D24">
      <w:numFmt w:val="bullet"/>
      <w:lvlText w:val="•"/>
      <w:lvlJc w:val="left"/>
      <w:pPr>
        <w:ind w:left="874" w:hanging="100"/>
      </w:pPr>
      <w:rPr>
        <w:rFonts w:hint="default"/>
      </w:rPr>
    </w:lvl>
    <w:lvl w:ilvl="4" w:tplc="C4883428">
      <w:numFmt w:val="bullet"/>
      <w:lvlText w:val="•"/>
      <w:lvlJc w:val="left"/>
      <w:pPr>
        <w:ind w:left="1112" w:hanging="100"/>
      </w:pPr>
      <w:rPr>
        <w:rFonts w:hint="default"/>
      </w:rPr>
    </w:lvl>
    <w:lvl w:ilvl="5" w:tplc="3B0EEE9A">
      <w:numFmt w:val="bullet"/>
      <w:lvlText w:val="•"/>
      <w:lvlJc w:val="left"/>
      <w:pPr>
        <w:ind w:left="1350" w:hanging="100"/>
      </w:pPr>
      <w:rPr>
        <w:rFonts w:hint="default"/>
      </w:rPr>
    </w:lvl>
    <w:lvl w:ilvl="6" w:tplc="52D4F0AE">
      <w:numFmt w:val="bullet"/>
      <w:lvlText w:val="•"/>
      <w:lvlJc w:val="left"/>
      <w:pPr>
        <w:ind w:left="1588" w:hanging="100"/>
      </w:pPr>
      <w:rPr>
        <w:rFonts w:hint="default"/>
      </w:rPr>
    </w:lvl>
    <w:lvl w:ilvl="7" w:tplc="ECFAF7AE">
      <w:numFmt w:val="bullet"/>
      <w:lvlText w:val="•"/>
      <w:lvlJc w:val="left"/>
      <w:pPr>
        <w:ind w:left="1826" w:hanging="100"/>
      </w:pPr>
      <w:rPr>
        <w:rFonts w:hint="default"/>
      </w:rPr>
    </w:lvl>
    <w:lvl w:ilvl="8" w:tplc="8424E57E">
      <w:numFmt w:val="bullet"/>
      <w:lvlText w:val="•"/>
      <w:lvlJc w:val="left"/>
      <w:pPr>
        <w:ind w:left="2064" w:hanging="100"/>
      </w:pPr>
      <w:rPr>
        <w:rFonts w:hint="default"/>
      </w:rPr>
    </w:lvl>
  </w:abstractNum>
  <w:abstractNum w:abstractNumId="1555" w15:restartNumberingAfterBreak="0">
    <w:nsid w:val="61B35192"/>
    <w:multiLevelType w:val="hybridMultilevel"/>
    <w:tmpl w:val="09EE6AAC"/>
    <w:lvl w:ilvl="0" w:tplc="A37412AA">
      <w:numFmt w:val="bullet"/>
      <w:lvlText w:val=""/>
      <w:lvlJc w:val="left"/>
      <w:pPr>
        <w:ind w:left="157" w:hanging="100"/>
      </w:pPr>
      <w:rPr>
        <w:rFonts w:ascii="Symbol" w:eastAsia="Symbol" w:hAnsi="Symbol" w:cs="Symbol" w:hint="default"/>
        <w:color w:val="231F20"/>
        <w:w w:val="100"/>
        <w:sz w:val="14"/>
        <w:szCs w:val="14"/>
      </w:rPr>
    </w:lvl>
    <w:lvl w:ilvl="1" w:tplc="8684D626">
      <w:numFmt w:val="bullet"/>
      <w:lvlText w:val="•"/>
      <w:lvlJc w:val="left"/>
      <w:pPr>
        <w:ind w:left="426" w:hanging="100"/>
      </w:pPr>
      <w:rPr>
        <w:rFonts w:hint="default"/>
      </w:rPr>
    </w:lvl>
    <w:lvl w:ilvl="2" w:tplc="31E6A4EA">
      <w:numFmt w:val="bullet"/>
      <w:lvlText w:val="•"/>
      <w:lvlJc w:val="left"/>
      <w:pPr>
        <w:ind w:left="692" w:hanging="100"/>
      </w:pPr>
      <w:rPr>
        <w:rFonts w:hint="default"/>
      </w:rPr>
    </w:lvl>
    <w:lvl w:ilvl="3" w:tplc="223CBC3E">
      <w:numFmt w:val="bullet"/>
      <w:lvlText w:val="•"/>
      <w:lvlJc w:val="left"/>
      <w:pPr>
        <w:ind w:left="959" w:hanging="100"/>
      </w:pPr>
      <w:rPr>
        <w:rFonts w:hint="default"/>
      </w:rPr>
    </w:lvl>
    <w:lvl w:ilvl="4" w:tplc="2B48F5E2">
      <w:numFmt w:val="bullet"/>
      <w:lvlText w:val="•"/>
      <w:lvlJc w:val="left"/>
      <w:pPr>
        <w:ind w:left="1225" w:hanging="100"/>
      </w:pPr>
      <w:rPr>
        <w:rFonts w:hint="default"/>
      </w:rPr>
    </w:lvl>
    <w:lvl w:ilvl="5" w:tplc="7F0EDD3E">
      <w:numFmt w:val="bullet"/>
      <w:lvlText w:val="•"/>
      <w:lvlJc w:val="left"/>
      <w:pPr>
        <w:ind w:left="1492" w:hanging="100"/>
      </w:pPr>
      <w:rPr>
        <w:rFonts w:hint="default"/>
      </w:rPr>
    </w:lvl>
    <w:lvl w:ilvl="6" w:tplc="2EDC0C0C">
      <w:numFmt w:val="bullet"/>
      <w:lvlText w:val="•"/>
      <w:lvlJc w:val="left"/>
      <w:pPr>
        <w:ind w:left="1758" w:hanging="100"/>
      </w:pPr>
      <w:rPr>
        <w:rFonts w:hint="default"/>
      </w:rPr>
    </w:lvl>
    <w:lvl w:ilvl="7" w:tplc="7C703DC4">
      <w:numFmt w:val="bullet"/>
      <w:lvlText w:val="•"/>
      <w:lvlJc w:val="left"/>
      <w:pPr>
        <w:ind w:left="2024" w:hanging="100"/>
      </w:pPr>
      <w:rPr>
        <w:rFonts w:hint="default"/>
      </w:rPr>
    </w:lvl>
    <w:lvl w:ilvl="8" w:tplc="E098CE3E">
      <w:numFmt w:val="bullet"/>
      <w:lvlText w:val="•"/>
      <w:lvlJc w:val="left"/>
      <w:pPr>
        <w:ind w:left="2291" w:hanging="100"/>
      </w:pPr>
      <w:rPr>
        <w:rFonts w:hint="default"/>
      </w:rPr>
    </w:lvl>
  </w:abstractNum>
  <w:abstractNum w:abstractNumId="1556" w15:restartNumberingAfterBreak="0">
    <w:nsid w:val="61BF2AFD"/>
    <w:multiLevelType w:val="hybridMultilevel"/>
    <w:tmpl w:val="A84CFC8E"/>
    <w:lvl w:ilvl="0" w:tplc="984C3D96">
      <w:numFmt w:val="bullet"/>
      <w:lvlText w:val=""/>
      <w:lvlJc w:val="left"/>
      <w:pPr>
        <w:ind w:left="156" w:hanging="100"/>
      </w:pPr>
      <w:rPr>
        <w:rFonts w:ascii="Symbol" w:eastAsia="Symbol" w:hAnsi="Symbol" w:cs="Symbol" w:hint="default"/>
        <w:color w:val="231F20"/>
        <w:w w:val="100"/>
        <w:sz w:val="14"/>
        <w:szCs w:val="14"/>
      </w:rPr>
    </w:lvl>
    <w:lvl w:ilvl="1" w:tplc="1C2C4C4E">
      <w:numFmt w:val="bullet"/>
      <w:lvlText w:val="•"/>
      <w:lvlJc w:val="left"/>
      <w:pPr>
        <w:ind w:left="301" w:hanging="100"/>
      </w:pPr>
      <w:rPr>
        <w:rFonts w:hint="default"/>
      </w:rPr>
    </w:lvl>
    <w:lvl w:ilvl="2" w:tplc="CBCA7AC6">
      <w:numFmt w:val="bullet"/>
      <w:lvlText w:val="•"/>
      <w:lvlJc w:val="left"/>
      <w:pPr>
        <w:ind w:left="443" w:hanging="100"/>
      </w:pPr>
      <w:rPr>
        <w:rFonts w:hint="default"/>
      </w:rPr>
    </w:lvl>
    <w:lvl w:ilvl="3" w:tplc="678CFAF6">
      <w:numFmt w:val="bullet"/>
      <w:lvlText w:val="•"/>
      <w:lvlJc w:val="left"/>
      <w:pPr>
        <w:ind w:left="585" w:hanging="100"/>
      </w:pPr>
      <w:rPr>
        <w:rFonts w:hint="default"/>
      </w:rPr>
    </w:lvl>
    <w:lvl w:ilvl="4" w:tplc="7646DE6C">
      <w:numFmt w:val="bullet"/>
      <w:lvlText w:val="•"/>
      <w:lvlJc w:val="left"/>
      <w:pPr>
        <w:ind w:left="726" w:hanging="100"/>
      </w:pPr>
      <w:rPr>
        <w:rFonts w:hint="default"/>
      </w:rPr>
    </w:lvl>
    <w:lvl w:ilvl="5" w:tplc="530ED65A">
      <w:numFmt w:val="bullet"/>
      <w:lvlText w:val="•"/>
      <w:lvlJc w:val="left"/>
      <w:pPr>
        <w:ind w:left="868" w:hanging="100"/>
      </w:pPr>
      <w:rPr>
        <w:rFonts w:hint="default"/>
      </w:rPr>
    </w:lvl>
    <w:lvl w:ilvl="6" w:tplc="B8C2A458">
      <w:numFmt w:val="bullet"/>
      <w:lvlText w:val="•"/>
      <w:lvlJc w:val="left"/>
      <w:pPr>
        <w:ind w:left="1010" w:hanging="100"/>
      </w:pPr>
      <w:rPr>
        <w:rFonts w:hint="default"/>
      </w:rPr>
    </w:lvl>
    <w:lvl w:ilvl="7" w:tplc="50DEB2E4">
      <w:numFmt w:val="bullet"/>
      <w:lvlText w:val="•"/>
      <w:lvlJc w:val="left"/>
      <w:pPr>
        <w:ind w:left="1151" w:hanging="100"/>
      </w:pPr>
      <w:rPr>
        <w:rFonts w:hint="default"/>
      </w:rPr>
    </w:lvl>
    <w:lvl w:ilvl="8" w:tplc="59B4CB96">
      <w:numFmt w:val="bullet"/>
      <w:lvlText w:val="•"/>
      <w:lvlJc w:val="left"/>
      <w:pPr>
        <w:ind w:left="1293" w:hanging="100"/>
      </w:pPr>
      <w:rPr>
        <w:rFonts w:hint="default"/>
      </w:rPr>
    </w:lvl>
  </w:abstractNum>
  <w:abstractNum w:abstractNumId="1557" w15:restartNumberingAfterBreak="0">
    <w:nsid w:val="61D62D56"/>
    <w:multiLevelType w:val="hybridMultilevel"/>
    <w:tmpl w:val="ED6A7F6E"/>
    <w:lvl w:ilvl="0" w:tplc="244CF5EC">
      <w:numFmt w:val="bullet"/>
      <w:lvlText w:val=""/>
      <w:lvlJc w:val="left"/>
      <w:pPr>
        <w:ind w:left="156" w:hanging="100"/>
      </w:pPr>
      <w:rPr>
        <w:rFonts w:ascii="Symbol" w:eastAsia="Symbol" w:hAnsi="Symbol" w:cs="Symbol" w:hint="default"/>
        <w:color w:val="231F20"/>
        <w:w w:val="100"/>
        <w:sz w:val="14"/>
        <w:szCs w:val="14"/>
      </w:rPr>
    </w:lvl>
    <w:lvl w:ilvl="1" w:tplc="F06CE61A">
      <w:numFmt w:val="bullet"/>
      <w:lvlText w:val="•"/>
      <w:lvlJc w:val="left"/>
      <w:pPr>
        <w:ind w:left="398" w:hanging="100"/>
      </w:pPr>
      <w:rPr>
        <w:rFonts w:hint="default"/>
      </w:rPr>
    </w:lvl>
    <w:lvl w:ilvl="2" w:tplc="F2AAF072">
      <w:numFmt w:val="bullet"/>
      <w:lvlText w:val="•"/>
      <w:lvlJc w:val="left"/>
      <w:pPr>
        <w:ind w:left="636" w:hanging="100"/>
      </w:pPr>
      <w:rPr>
        <w:rFonts w:hint="default"/>
      </w:rPr>
    </w:lvl>
    <w:lvl w:ilvl="3" w:tplc="CDFE100E">
      <w:numFmt w:val="bullet"/>
      <w:lvlText w:val="•"/>
      <w:lvlJc w:val="left"/>
      <w:pPr>
        <w:ind w:left="874" w:hanging="100"/>
      </w:pPr>
      <w:rPr>
        <w:rFonts w:hint="default"/>
      </w:rPr>
    </w:lvl>
    <w:lvl w:ilvl="4" w:tplc="42E83DB2">
      <w:numFmt w:val="bullet"/>
      <w:lvlText w:val="•"/>
      <w:lvlJc w:val="left"/>
      <w:pPr>
        <w:ind w:left="1112" w:hanging="100"/>
      </w:pPr>
      <w:rPr>
        <w:rFonts w:hint="default"/>
      </w:rPr>
    </w:lvl>
    <w:lvl w:ilvl="5" w:tplc="4C0E1F16">
      <w:numFmt w:val="bullet"/>
      <w:lvlText w:val="•"/>
      <w:lvlJc w:val="left"/>
      <w:pPr>
        <w:ind w:left="1350" w:hanging="100"/>
      </w:pPr>
      <w:rPr>
        <w:rFonts w:hint="default"/>
      </w:rPr>
    </w:lvl>
    <w:lvl w:ilvl="6" w:tplc="19DA3CD2">
      <w:numFmt w:val="bullet"/>
      <w:lvlText w:val="•"/>
      <w:lvlJc w:val="left"/>
      <w:pPr>
        <w:ind w:left="1588" w:hanging="100"/>
      </w:pPr>
      <w:rPr>
        <w:rFonts w:hint="default"/>
      </w:rPr>
    </w:lvl>
    <w:lvl w:ilvl="7" w:tplc="9390904C">
      <w:numFmt w:val="bullet"/>
      <w:lvlText w:val="•"/>
      <w:lvlJc w:val="left"/>
      <w:pPr>
        <w:ind w:left="1826" w:hanging="100"/>
      </w:pPr>
      <w:rPr>
        <w:rFonts w:hint="default"/>
      </w:rPr>
    </w:lvl>
    <w:lvl w:ilvl="8" w:tplc="1F2413B6">
      <w:numFmt w:val="bullet"/>
      <w:lvlText w:val="•"/>
      <w:lvlJc w:val="left"/>
      <w:pPr>
        <w:ind w:left="2064" w:hanging="100"/>
      </w:pPr>
      <w:rPr>
        <w:rFonts w:hint="default"/>
      </w:rPr>
    </w:lvl>
  </w:abstractNum>
  <w:abstractNum w:abstractNumId="1558" w15:restartNumberingAfterBreak="0">
    <w:nsid w:val="61DD1C45"/>
    <w:multiLevelType w:val="hybridMultilevel"/>
    <w:tmpl w:val="6854C30E"/>
    <w:lvl w:ilvl="0" w:tplc="89F61F9A">
      <w:numFmt w:val="bullet"/>
      <w:lvlText w:val=""/>
      <w:lvlJc w:val="left"/>
      <w:pPr>
        <w:ind w:left="156" w:hanging="100"/>
      </w:pPr>
      <w:rPr>
        <w:rFonts w:ascii="Symbol" w:eastAsia="Symbol" w:hAnsi="Symbol" w:cs="Symbol" w:hint="default"/>
        <w:color w:val="231F20"/>
        <w:w w:val="100"/>
        <w:sz w:val="14"/>
        <w:szCs w:val="14"/>
      </w:rPr>
    </w:lvl>
    <w:lvl w:ilvl="1" w:tplc="A616422E">
      <w:numFmt w:val="bullet"/>
      <w:lvlText w:val="•"/>
      <w:lvlJc w:val="left"/>
      <w:pPr>
        <w:ind w:left="398" w:hanging="100"/>
      </w:pPr>
      <w:rPr>
        <w:rFonts w:hint="default"/>
      </w:rPr>
    </w:lvl>
    <w:lvl w:ilvl="2" w:tplc="601A2864">
      <w:numFmt w:val="bullet"/>
      <w:lvlText w:val="•"/>
      <w:lvlJc w:val="left"/>
      <w:pPr>
        <w:ind w:left="636" w:hanging="100"/>
      </w:pPr>
      <w:rPr>
        <w:rFonts w:hint="default"/>
      </w:rPr>
    </w:lvl>
    <w:lvl w:ilvl="3" w:tplc="EF24D4E4">
      <w:numFmt w:val="bullet"/>
      <w:lvlText w:val="•"/>
      <w:lvlJc w:val="left"/>
      <w:pPr>
        <w:ind w:left="874" w:hanging="100"/>
      </w:pPr>
      <w:rPr>
        <w:rFonts w:hint="default"/>
      </w:rPr>
    </w:lvl>
    <w:lvl w:ilvl="4" w:tplc="C5BA253E">
      <w:numFmt w:val="bullet"/>
      <w:lvlText w:val="•"/>
      <w:lvlJc w:val="left"/>
      <w:pPr>
        <w:ind w:left="1112" w:hanging="100"/>
      </w:pPr>
      <w:rPr>
        <w:rFonts w:hint="default"/>
      </w:rPr>
    </w:lvl>
    <w:lvl w:ilvl="5" w:tplc="2612C696">
      <w:numFmt w:val="bullet"/>
      <w:lvlText w:val="•"/>
      <w:lvlJc w:val="left"/>
      <w:pPr>
        <w:ind w:left="1350" w:hanging="100"/>
      </w:pPr>
      <w:rPr>
        <w:rFonts w:hint="default"/>
      </w:rPr>
    </w:lvl>
    <w:lvl w:ilvl="6" w:tplc="09CE98D0">
      <w:numFmt w:val="bullet"/>
      <w:lvlText w:val="•"/>
      <w:lvlJc w:val="left"/>
      <w:pPr>
        <w:ind w:left="1588" w:hanging="100"/>
      </w:pPr>
      <w:rPr>
        <w:rFonts w:hint="default"/>
      </w:rPr>
    </w:lvl>
    <w:lvl w:ilvl="7" w:tplc="DBFE437E">
      <w:numFmt w:val="bullet"/>
      <w:lvlText w:val="•"/>
      <w:lvlJc w:val="left"/>
      <w:pPr>
        <w:ind w:left="1826" w:hanging="100"/>
      </w:pPr>
      <w:rPr>
        <w:rFonts w:hint="default"/>
      </w:rPr>
    </w:lvl>
    <w:lvl w:ilvl="8" w:tplc="A3743ABA">
      <w:numFmt w:val="bullet"/>
      <w:lvlText w:val="•"/>
      <w:lvlJc w:val="left"/>
      <w:pPr>
        <w:ind w:left="2064" w:hanging="100"/>
      </w:pPr>
      <w:rPr>
        <w:rFonts w:hint="default"/>
      </w:rPr>
    </w:lvl>
  </w:abstractNum>
  <w:abstractNum w:abstractNumId="1559" w15:restartNumberingAfterBreak="0">
    <w:nsid w:val="61E5481E"/>
    <w:multiLevelType w:val="hybridMultilevel"/>
    <w:tmpl w:val="E534B118"/>
    <w:lvl w:ilvl="0" w:tplc="9718ECBA">
      <w:numFmt w:val="bullet"/>
      <w:lvlText w:val=""/>
      <w:lvlJc w:val="left"/>
      <w:pPr>
        <w:ind w:left="156" w:hanging="100"/>
      </w:pPr>
      <w:rPr>
        <w:rFonts w:ascii="Symbol" w:eastAsia="Symbol" w:hAnsi="Symbol" w:cs="Symbol" w:hint="default"/>
        <w:color w:val="231F20"/>
        <w:w w:val="100"/>
        <w:sz w:val="14"/>
        <w:szCs w:val="14"/>
      </w:rPr>
    </w:lvl>
    <w:lvl w:ilvl="1" w:tplc="3B5A7CD4">
      <w:numFmt w:val="bullet"/>
      <w:lvlText w:val="•"/>
      <w:lvlJc w:val="left"/>
      <w:pPr>
        <w:ind w:left="426" w:hanging="100"/>
      </w:pPr>
      <w:rPr>
        <w:rFonts w:hint="default"/>
      </w:rPr>
    </w:lvl>
    <w:lvl w:ilvl="2" w:tplc="2F867CF6">
      <w:numFmt w:val="bullet"/>
      <w:lvlText w:val="•"/>
      <w:lvlJc w:val="left"/>
      <w:pPr>
        <w:ind w:left="692" w:hanging="100"/>
      </w:pPr>
      <w:rPr>
        <w:rFonts w:hint="default"/>
      </w:rPr>
    </w:lvl>
    <w:lvl w:ilvl="3" w:tplc="544C557E">
      <w:numFmt w:val="bullet"/>
      <w:lvlText w:val="•"/>
      <w:lvlJc w:val="left"/>
      <w:pPr>
        <w:ind w:left="959" w:hanging="100"/>
      </w:pPr>
      <w:rPr>
        <w:rFonts w:hint="default"/>
      </w:rPr>
    </w:lvl>
    <w:lvl w:ilvl="4" w:tplc="234694EA">
      <w:numFmt w:val="bullet"/>
      <w:lvlText w:val="•"/>
      <w:lvlJc w:val="left"/>
      <w:pPr>
        <w:ind w:left="1225" w:hanging="100"/>
      </w:pPr>
      <w:rPr>
        <w:rFonts w:hint="default"/>
      </w:rPr>
    </w:lvl>
    <w:lvl w:ilvl="5" w:tplc="491402CE">
      <w:numFmt w:val="bullet"/>
      <w:lvlText w:val="•"/>
      <w:lvlJc w:val="left"/>
      <w:pPr>
        <w:ind w:left="1492" w:hanging="100"/>
      </w:pPr>
      <w:rPr>
        <w:rFonts w:hint="default"/>
      </w:rPr>
    </w:lvl>
    <w:lvl w:ilvl="6" w:tplc="E32496E0">
      <w:numFmt w:val="bullet"/>
      <w:lvlText w:val="•"/>
      <w:lvlJc w:val="left"/>
      <w:pPr>
        <w:ind w:left="1758" w:hanging="100"/>
      </w:pPr>
      <w:rPr>
        <w:rFonts w:hint="default"/>
      </w:rPr>
    </w:lvl>
    <w:lvl w:ilvl="7" w:tplc="85103596">
      <w:numFmt w:val="bullet"/>
      <w:lvlText w:val="•"/>
      <w:lvlJc w:val="left"/>
      <w:pPr>
        <w:ind w:left="2024" w:hanging="100"/>
      </w:pPr>
      <w:rPr>
        <w:rFonts w:hint="default"/>
      </w:rPr>
    </w:lvl>
    <w:lvl w:ilvl="8" w:tplc="46245FAC">
      <w:numFmt w:val="bullet"/>
      <w:lvlText w:val="•"/>
      <w:lvlJc w:val="left"/>
      <w:pPr>
        <w:ind w:left="2291" w:hanging="100"/>
      </w:pPr>
      <w:rPr>
        <w:rFonts w:hint="default"/>
      </w:rPr>
    </w:lvl>
  </w:abstractNum>
  <w:abstractNum w:abstractNumId="1560" w15:restartNumberingAfterBreak="0">
    <w:nsid w:val="61EA0F16"/>
    <w:multiLevelType w:val="hybridMultilevel"/>
    <w:tmpl w:val="D7D6AF1C"/>
    <w:lvl w:ilvl="0" w:tplc="51023DF0">
      <w:numFmt w:val="bullet"/>
      <w:lvlText w:val=""/>
      <w:lvlJc w:val="left"/>
      <w:pPr>
        <w:ind w:left="156" w:hanging="100"/>
      </w:pPr>
      <w:rPr>
        <w:rFonts w:ascii="Symbol" w:eastAsia="Symbol" w:hAnsi="Symbol" w:cs="Symbol" w:hint="default"/>
        <w:color w:val="231F20"/>
        <w:w w:val="100"/>
        <w:sz w:val="14"/>
        <w:szCs w:val="14"/>
      </w:rPr>
    </w:lvl>
    <w:lvl w:ilvl="1" w:tplc="925C73CC">
      <w:numFmt w:val="bullet"/>
      <w:lvlText w:val="•"/>
      <w:lvlJc w:val="left"/>
      <w:pPr>
        <w:ind w:left="301" w:hanging="100"/>
      </w:pPr>
      <w:rPr>
        <w:rFonts w:hint="default"/>
      </w:rPr>
    </w:lvl>
    <w:lvl w:ilvl="2" w:tplc="CC22AFBA">
      <w:numFmt w:val="bullet"/>
      <w:lvlText w:val="•"/>
      <w:lvlJc w:val="left"/>
      <w:pPr>
        <w:ind w:left="443" w:hanging="100"/>
      </w:pPr>
      <w:rPr>
        <w:rFonts w:hint="default"/>
      </w:rPr>
    </w:lvl>
    <w:lvl w:ilvl="3" w:tplc="08085FC0">
      <w:numFmt w:val="bullet"/>
      <w:lvlText w:val="•"/>
      <w:lvlJc w:val="left"/>
      <w:pPr>
        <w:ind w:left="585" w:hanging="100"/>
      </w:pPr>
      <w:rPr>
        <w:rFonts w:hint="default"/>
      </w:rPr>
    </w:lvl>
    <w:lvl w:ilvl="4" w:tplc="CE0A123C">
      <w:numFmt w:val="bullet"/>
      <w:lvlText w:val="•"/>
      <w:lvlJc w:val="left"/>
      <w:pPr>
        <w:ind w:left="726" w:hanging="100"/>
      </w:pPr>
      <w:rPr>
        <w:rFonts w:hint="default"/>
      </w:rPr>
    </w:lvl>
    <w:lvl w:ilvl="5" w:tplc="02D64ADA">
      <w:numFmt w:val="bullet"/>
      <w:lvlText w:val="•"/>
      <w:lvlJc w:val="left"/>
      <w:pPr>
        <w:ind w:left="868" w:hanging="100"/>
      </w:pPr>
      <w:rPr>
        <w:rFonts w:hint="default"/>
      </w:rPr>
    </w:lvl>
    <w:lvl w:ilvl="6" w:tplc="EC8C6A48">
      <w:numFmt w:val="bullet"/>
      <w:lvlText w:val="•"/>
      <w:lvlJc w:val="left"/>
      <w:pPr>
        <w:ind w:left="1010" w:hanging="100"/>
      </w:pPr>
      <w:rPr>
        <w:rFonts w:hint="default"/>
      </w:rPr>
    </w:lvl>
    <w:lvl w:ilvl="7" w:tplc="D55CD2D6">
      <w:numFmt w:val="bullet"/>
      <w:lvlText w:val="•"/>
      <w:lvlJc w:val="left"/>
      <w:pPr>
        <w:ind w:left="1151" w:hanging="100"/>
      </w:pPr>
      <w:rPr>
        <w:rFonts w:hint="default"/>
      </w:rPr>
    </w:lvl>
    <w:lvl w:ilvl="8" w:tplc="FBA23976">
      <w:numFmt w:val="bullet"/>
      <w:lvlText w:val="•"/>
      <w:lvlJc w:val="left"/>
      <w:pPr>
        <w:ind w:left="1293" w:hanging="100"/>
      </w:pPr>
      <w:rPr>
        <w:rFonts w:hint="default"/>
      </w:rPr>
    </w:lvl>
  </w:abstractNum>
  <w:abstractNum w:abstractNumId="1561" w15:restartNumberingAfterBreak="0">
    <w:nsid w:val="6206573F"/>
    <w:multiLevelType w:val="hybridMultilevel"/>
    <w:tmpl w:val="A594CD86"/>
    <w:lvl w:ilvl="0" w:tplc="1A1AA296">
      <w:numFmt w:val="bullet"/>
      <w:lvlText w:val=""/>
      <w:lvlJc w:val="left"/>
      <w:pPr>
        <w:ind w:left="156" w:hanging="100"/>
      </w:pPr>
      <w:rPr>
        <w:rFonts w:ascii="Symbol" w:eastAsia="Symbol" w:hAnsi="Symbol" w:cs="Symbol" w:hint="default"/>
        <w:color w:val="231F20"/>
        <w:w w:val="100"/>
        <w:sz w:val="14"/>
        <w:szCs w:val="14"/>
      </w:rPr>
    </w:lvl>
    <w:lvl w:ilvl="1" w:tplc="06AAF80C">
      <w:numFmt w:val="bullet"/>
      <w:lvlText w:val="•"/>
      <w:lvlJc w:val="left"/>
      <w:pPr>
        <w:ind w:left="301" w:hanging="100"/>
      </w:pPr>
      <w:rPr>
        <w:rFonts w:hint="default"/>
      </w:rPr>
    </w:lvl>
    <w:lvl w:ilvl="2" w:tplc="79BE087A">
      <w:numFmt w:val="bullet"/>
      <w:lvlText w:val="•"/>
      <w:lvlJc w:val="left"/>
      <w:pPr>
        <w:ind w:left="443" w:hanging="100"/>
      </w:pPr>
      <w:rPr>
        <w:rFonts w:hint="default"/>
      </w:rPr>
    </w:lvl>
    <w:lvl w:ilvl="3" w:tplc="9C9C7B14">
      <w:numFmt w:val="bullet"/>
      <w:lvlText w:val="•"/>
      <w:lvlJc w:val="left"/>
      <w:pPr>
        <w:ind w:left="585" w:hanging="100"/>
      </w:pPr>
      <w:rPr>
        <w:rFonts w:hint="default"/>
      </w:rPr>
    </w:lvl>
    <w:lvl w:ilvl="4" w:tplc="41C8064E">
      <w:numFmt w:val="bullet"/>
      <w:lvlText w:val="•"/>
      <w:lvlJc w:val="left"/>
      <w:pPr>
        <w:ind w:left="726" w:hanging="100"/>
      </w:pPr>
      <w:rPr>
        <w:rFonts w:hint="default"/>
      </w:rPr>
    </w:lvl>
    <w:lvl w:ilvl="5" w:tplc="49BC3854">
      <w:numFmt w:val="bullet"/>
      <w:lvlText w:val="•"/>
      <w:lvlJc w:val="left"/>
      <w:pPr>
        <w:ind w:left="868" w:hanging="100"/>
      </w:pPr>
      <w:rPr>
        <w:rFonts w:hint="default"/>
      </w:rPr>
    </w:lvl>
    <w:lvl w:ilvl="6" w:tplc="6BC00284">
      <w:numFmt w:val="bullet"/>
      <w:lvlText w:val="•"/>
      <w:lvlJc w:val="left"/>
      <w:pPr>
        <w:ind w:left="1010" w:hanging="100"/>
      </w:pPr>
      <w:rPr>
        <w:rFonts w:hint="default"/>
      </w:rPr>
    </w:lvl>
    <w:lvl w:ilvl="7" w:tplc="F42252F8">
      <w:numFmt w:val="bullet"/>
      <w:lvlText w:val="•"/>
      <w:lvlJc w:val="left"/>
      <w:pPr>
        <w:ind w:left="1151" w:hanging="100"/>
      </w:pPr>
      <w:rPr>
        <w:rFonts w:hint="default"/>
      </w:rPr>
    </w:lvl>
    <w:lvl w:ilvl="8" w:tplc="537291E0">
      <w:numFmt w:val="bullet"/>
      <w:lvlText w:val="•"/>
      <w:lvlJc w:val="left"/>
      <w:pPr>
        <w:ind w:left="1293" w:hanging="100"/>
      </w:pPr>
      <w:rPr>
        <w:rFonts w:hint="default"/>
      </w:rPr>
    </w:lvl>
  </w:abstractNum>
  <w:abstractNum w:abstractNumId="1562" w15:restartNumberingAfterBreak="0">
    <w:nsid w:val="622315BA"/>
    <w:multiLevelType w:val="hybridMultilevel"/>
    <w:tmpl w:val="44A6048E"/>
    <w:lvl w:ilvl="0" w:tplc="0E36817C">
      <w:numFmt w:val="bullet"/>
      <w:lvlText w:val=""/>
      <w:lvlJc w:val="left"/>
      <w:pPr>
        <w:ind w:left="156" w:hanging="100"/>
      </w:pPr>
      <w:rPr>
        <w:rFonts w:ascii="Symbol" w:eastAsia="Symbol" w:hAnsi="Symbol" w:cs="Symbol" w:hint="default"/>
        <w:color w:val="231F20"/>
        <w:w w:val="100"/>
        <w:sz w:val="14"/>
        <w:szCs w:val="14"/>
      </w:rPr>
    </w:lvl>
    <w:lvl w:ilvl="1" w:tplc="F1BC760A">
      <w:numFmt w:val="bullet"/>
      <w:lvlText w:val="•"/>
      <w:lvlJc w:val="left"/>
      <w:pPr>
        <w:ind w:left="240" w:hanging="100"/>
      </w:pPr>
      <w:rPr>
        <w:rFonts w:hint="default"/>
      </w:rPr>
    </w:lvl>
    <w:lvl w:ilvl="2" w:tplc="E62CAEFC">
      <w:numFmt w:val="bullet"/>
      <w:lvlText w:val="•"/>
      <w:lvlJc w:val="left"/>
      <w:pPr>
        <w:ind w:left="495" w:hanging="100"/>
      </w:pPr>
      <w:rPr>
        <w:rFonts w:hint="default"/>
      </w:rPr>
    </w:lvl>
    <w:lvl w:ilvl="3" w:tplc="7FD8FC76">
      <w:numFmt w:val="bullet"/>
      <w:lvlText w:val="•"/>
      <w:lvlJc w:val="left"/>
      <w:pPr>
        <w:ind w:left="751" w:hanging="100"/>
      </w:pPr>
      <w:rPr>
        <w:rFonts w:hint="default"/>
      </w:rPr>
    </w:lvl>
    <w:lvl w:ilvl="4" w:tplc="CEA42A10">
      <w:numFmt w:val="bullet"/>
      <w:lvlText w:val="•"/>
      <w:lvlJc w:val="left"/>
      <w:pPr>
        <w:ind w:left="1007" w:hanging="100"/>
      </w:pPr>
      <w:rPr>
        <w:rFonts w:hint="default"/>
      </w:rPr>
    </w:lvl>
    <w:lvl w:ilvl="5" w:tplc="2FB6D974">
      <w:numFmt w:val="bullet"/>
      <w:lvlText w:val="•"/>
      <w:lvlJc w:val="left"/>
      <w:pPr>
        <w:ind w:left="1262" w:hanging="100"/>
      </w:pPr>
      <w:rPr>
        <w:rFonts w:hint="default"/>
      </w:rPr>
    </w:lvl>
    <w:lvl w:ilvl="6" w:tplc="C538AFDE">
      <w:numFmt w:val="bullet"/>
      <w:lvlText w:val="•"/>
      <w:lvlJc w:val="left"/>
      <w:pPr>
        <w:ind w:left="1518" w:hanging="100"/>
      </w:pPr>
      <w:rPr>
        <w:rFonts w:hint="default"/>
      </w:rPr>
    </w:lvl>
    <w:lvl w:ilvl="7" w:tplc="737E14D8">
      <w:numFmt w:val="bullet"/>
      <w:lvlText w:val="•"/>
      <w:lvlJc w:val="left"/>
      <w:pPr>
        <w:ind w:left="1774" w:hanging="100"/>
      </w:pPr>
      <w:rPr>
        <w:rFonts w:hint="default"/>
      </w:rPr>
    </w:lvl>
    <w:lvl w:ilvl="8" w:tplc="F63C067E">
      <w:numFmt w:val="bullet"/>
      <w:lvlText w:val="•"/>
      <w:lvlJc w:val="left"/>
      <w:pPr>
        <w:ind w:left="2029" w:hanging="100"/>
      </w:pPr>
      <w:rPr>
        <w:rFonts w:hint="default"/>
      </w:rPr>
    </w:lvl>
  </w:abstractNum>
  <w:abstractNum w:abstractNumId="1563" w15:restartNumberingAfterBreak="0">
    <w:nsid w:val="62354FCB"/>
    <w:multiLevelType w:val="hybridMultilevel"/>
    <w:tmpl w:val="BCF6AF56"/>
    <w:lvl w:ilvl="0" w:tplc="F89AE254">
      <w:numFmt w:val="bullet"/>
      <w:lvlText w:val=""/>
      <w:lvlJc w:val="left"/>
      <w:pPr>
        <w:ind w:left="156" w:hanging="100"/>
      </w:pPr>
      <w:rPr>
        <w:rFonts w:ascii="Symbol" w:eastAsia="Symbol" w:hAnsi="Symbol" w:cs="Symbol" w:hint="default"/>
        <w:color w:val="231F20"/>
        <w:w w:val="100"/>
        <w:sz w:val="14"/>
        <w:szCs w:val="14"/>
      </w:rPr>
    </w:lvl>
    <w:lvl w:ilvl="1" w:tplc="3628EDE6">
      <w:numFmt w:val="bullet"/>
      <w:lvlText w:val="•"/>
      <w:lvlJc w:val="left"/>
      <w:pPr>
        <w:ind w:left="301" w:hanging="100"/>
      </w:pPr>
      <w:rPr>
        <w:rFonts w:hint="default"/>
      </w:rPr>
    </w:lvl>
    <w:lvl w:ilvl="2" w:tplc="1E38C6F8">
      <w:numFmt w:val="bullet"/>
      <w:lvlText w:val="•"/>
      <w:lvlJc w:val="left"/>
      <w:pPr>
        <w:ind w:left="443" w:hanging="100"/>
      </w:pPr>
      <w:rPr>
        <w:rFonts w:hint="default"/>
      </w:rPr>
    </w:lvl>
    <w:lvl w:ilvl="3" w:tplc="D054D954">
      <w:numFmt w:val="bullet"/>
      <w:lvlText w:val="•"/>
      <w:lvlJc w:val="left"/>
      <w:pPr>
        <w:ind w:left="585" w:hanging="100"/>
      </w:pPr>
      <w:rPr>
        <w:rFonts w:hint="default"/>
      </w:rPr>
    </w:lvl>
    <w:lvl w:ilvl="4" w:tplc="F0822FF4">
      <w:numFmt w:val="bullet"/>
      <w:lvlText w:val="•"/>
      <w:lvlJc w:val="left"/>
      <w:pPr>
        <w:ind w:left="726" w:hanging="100"/>
      </w:pPr>
      <w:rPr>
        <w:rFonts w:hint="default"/>
      </w:rPr>
    </w:lvl>
    <w:lvl w:ilvl="5" w:tplc="0930B66E">
      <w:numFmt w:val="bullet"/>
      <w:lvlText w:val="•"/>
      <w:lvlJc w:val="left"/>
      <w:pPr>
        <w:ind w:left="868" w:hanging="100"/>
      </w:pPr>
      <w:rPr>
        <w:rFonts w:hint="default"/>
      </w:rPr>
    </w:lvl>
    <w:lvl w:ilvl="6" w:tplc="16B23076">
      <w:numFmt w:val="bullet"/>
      <w:lvlText w:val="•"/>
      <w:lvlJc w:val="left"/>
      <w:pPr>
        <w:ind w:left="1010" w:hanging="100"/>
      </w:pPr>
      <w:rPr>
        <w:rFonts w:hint="default"/>
      </w:rPr>
    </w:lvl>
    <w:lvl w:ilvl="7" w:tplc="6F8A84DC">
      <w:numFmt w:val="bullet"/>
      <w:lvlText w:val="•"/>
      <w:lvlJc w:val="left"/>
      <w:pPr>
        <w:ind w:left="1151" w:hanging="100"/>
      </w:pPr>
      <w:rPr>
        <w:rFonts w:hint="default"/>
      </w:rPr>
    </w:lvl>
    <w:lvl w:ilvl="8" w:tplc="5C1029E2">
      <w:numFmt w:val="bullet"/>
      <w:lvlText w:val="•"/>
      <w:lvlJc w:val="left"/>
      <w:pPr>
        <w:ind w:left="1293" w:hanging="100"/>
      </w:pPr>
      <w:rPr>
        <w:rFonts w:hint="default"/>
      </w:rPr>
    </w:lvl>
  </w:abstractNum>
  <w:abstractNum w:abstractNumId="1564" w15:restartNumberingAfterBreak="0">
    <w:nsid w:val="62372FDA"/>
    <w:multiLevelType w:val="hybridMultilevel"/>
    <w:tmpl w:val="FA08CB56"/>
    <w:lvl w:ilvl="0" w:tplc="32A2ED78">
      <w:numFmt w:val="bullet"/>
      <w:lvlText w:val=""/>
      <w:lvlJc w:val="left"/>
      <w:pPr>
        <w:ind w:left="156" w:hanging="100"/>
      </w:pPr>
      <w:rPr>
        <w:rFonts w:ascii="Symbol" w:eastAsia="Symbol" w:hAnsi="Symbol" w:cs="Symbol" w:hint="default"/>
        <w:color w:val="231F20"/>
        <w:w w:val="100"/>
        <w:sz w:val="14"/>
        <w:szCs w:val="14"/>
      </w:rPr>
    </w:lvl>
    <w:lvl w:ilvl="1" w:tplc="A6A6A480">
      <w:numFmt w:val="bullet"/>
      <w:lvlText w:val="•"/>
      <w:lvlJc w:val="left"/>
      <w:pPr>
        <w:ind w:left="398" w:hanging="100"/>
      </w:pPr>
      <w:rPr>
        <w:rFonts w:hint="default"/>
      </w:rPr>
    </w:lvl>
    <w:lvl w:ilvl="2" w:tplc="6854D0C0">
      <w:numFmt w:val="bullet"/>
      <w:lvlText w:val="•"/>
      <w:lvlJc w:val="left"/>
      <w:pPr>
        <w:ind w:left="636" w:hanging="100"/>
      </w:pPr>
      <w:rPr>
        <w:rFonts w:hint="default"/>
      </w:rPr>
    </w:lvl>
    <w:lvl w:ilvl="3" w:tplc="E612CAD2">
      <w:numFmt w:val="bullet"/>
      <w:lvlText w:val="•"/>
      <w:lvlJc w:val="left"/>
      <w:pPr>
        <w:ind w:left="874" w:hanging="100"/>
      </w:pPr>
      <w:rPr>
        <w:rFonts w:hint="default"/>
      </w:rPr>
    </w:lvl>
    <w:lvl w:ilvl="4" w:tplc="60F61614">
      <w:numFmt w:val="bullet"/>
      <w:lvlText w:val="•"/>
      <w:lvlJc w:val="left"/>
      <w:pPr>
        <w:ind w:left="1112" w:hanging="100"/>
      </w:pPr>
      <w:rPr>
        <w:rFonts w:hint="default"/>
      </w:rPr>
    </w:lvl>
    <w:lvl w:ilvl="5" w:tplc="51A24200">
      <w:numFmt w:val="bullet"/>
      <w:lvlText w:val="•"/>
      <w:lvlJc w:val="left"/>
      <w:pPr>
        <w:ind w:left="1350" w:hanging="100"/>
      </w:pPr>
      <w:rPr>
        <w:rFonts w:hint="default"/>
      </w:rPr>
    </w:lvl>
    <w:lvl w:ilvl="6" w:tplc="6026FCD0">
      <w:numFmt w:val="bullet"/>
      <w:lvlText w:val="•"/>
      <w:lvlJc w:val="left"/>
      <w:pPr>
        <w:ind w:left="1588" w:hanging="100"/>
      </w:pPr>
      <w:rPr>
        <w:rFonts w:hint="default"/>
      </w:rPr>
    </w:lvl>
    <w:lvl w:ilvl="7" w:tplc="77DCB10A">
      <w:numFmt w:val="bullet"/>
      <w:lvlText w:val="•"/>
      <w:lvlJc w:val="left"/>
      <w:pPr>
        <w:ind w:left="1826" w:hanging="100"/>
      </w:pPr>
      <w:rPr>
        <w:rFonts w:hint="default"/>
      </w:rPr>
    </w:lvl>
    <w:lvl w:ilvl="8" w:tplc="44DC00C0">
      <w:numFmt w:val="bullet"/>
      <w:lvlText w:val="•"/>
      <w:lvlJc w:val="left"/>
      <w:pPr>
        <w:ind w:left="2064" w:hanging="100"/>
      </w:pPr>
      <w:rPr>
        <w:rFonts w:hint="default"/>
      </w:rPr>
    </w:lvl>
  </w:abstractNum>
  <w:abstractNum w:abstractNumId="1565" w15:restartNumberingAfterBreak="0">
    <w:nsid w:val="623A12EC"/>
    <w:multiLevelType w:val="hybridMultilevel"/>
    <w:tmpl w:val="40CAFBF2"/>
    <w:lvl w:ilvl="0" w:tplc="2EBEBEAA">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0B261204">
      <w:numFmt w:val="bullet"/>
      <w:lvlText w:val="•"/>
      <w:lvlJc w:val="left"/>
      <w:pPr>
        <w:ind w:left="426" w:hanging="105"/>
      </w:pPr>
      <w:rPr>
        <w:rFonts w:hint="default"/>
      </w:rPr>
    </w:lvl>
    <w:lvl w:ilvl="2" w:tplc="5F7A3628">
      <w:numFmt w:val="bullet"/>
      <w:lvlText w:val="•"/>
      <w:lvlJc w:val="left"/>
      <w:pPr>
        <w:ind w:left="692" w:hanging="105"/>
      </w:pPr>
      <w:rPr>
        <w:rFonts w:hint="default"/>
      </w:rPr>
    </w:lvl>
    <w:lvl w:ilvl="3" w:tplc="1F20653A">
      <w:numFmt w:val="bullet"/>
      <w:lvlText w:val="•"/>
      <w:lvlJc w:val="left"/>
      <w:pPr>
        <w:ind w:left="959" w:hanging="105"/>
      </w:pPr>
      <w:rPr>
        <w:rFonts w:hint="default"/>
      </w:rPr>
    </w:lvl>
    <w:lvl w:ilvl="4" w:tplc="FADE99A0">
      <w:numFmt w:val="bullet"/>
      <w:lvlText w:val="•"/>
      <w:lvlJc w:val="left"/>
      <w:pPr>
        <w:ind w:left="1225" w:hanging="105"/>
      </w:pPr>
      <w:rPr>
        <w:rFonts w:hint="default"/>
      </w:rPr>
    </w:lvl>
    <w:lvl w:ilvl="5" w:tplc="FF8054F4">
      <w:numFmt w:val="bullet"/>
      <w:lvlText w:val="•"/>
      <w:lvlJc w:val="left"/>
      <w:pPr>
        <w:ind w:left="1492" w:hanging="105"/>
      </w:pPr>
      <w:rPr>
        <w:rFonts w:hint="default"/>
      </w:rPr>
    </w:lvl>
    <w:lvl w:ilvl="6" w:tplc="7E6C77C2">
      <w:numFmt w:val="bullet"/>
      <w:lvlText w:val="•"/>
      <w:lvlJc w:val="left"/>
      <w:pPr>
        <w:ind w:left="1758" w:hanging="105"/>
      </w:pPr>
      <w:rPr>
        <w:rFonts w:hint="default"/>
      </w:rPr>
    </w:lvl>
    <w:lvl w:ilvl="7" w:tplc="CB46E0E8">
      <w:numFmt w:val="bullet"/>
      <w:lvlText w:val="•"/>
      <w:lvlJc w:val="left"/>
      <w:pPr>
        <w:ind w:left="2024" w:hanging="105"/>
      </w:pPr>
      <w:rPr>
        <w:rFonts w:hint="default"/>
      </w:rPr>
    </w:lvl>
    <w:lvl w:ilvl="8" w:tplc="A106E8D2">
      <w:numFmt w:val="bullet"/>
      <w:lvlText w:val="•"/>
      <w:lvlJc w:val="left"/>
      <w:pPr>
        <w:ind w:left="2291" w:hanging="105"/>
      </w:pPr>
      <w:rPr>
        <w:rFonts w:hint="default"/>
      </w:rPr>
    </w:lvl>
  </w:abstractNum>
  <w:abstractNum w:abstractNumId="1566" w15:restartNumberingAfterBreak="0">
    <w:nsid w:val="623D16F0"/>
    <w:multiLevelType w:val="hybridMultilevel"/>
    <w:tmpl w:val="51D4BA8E"/>
    <w:lvl w:ilvl="0" w:tplc="5E02DA90">
      <w:numFmt w:val="bullet"/>
      <w:lvlText w:val=""/>
      <w:lvlJc w:val="left"/>
      <w:pPr>
        <w:ind w:left="156" w:hanging="100"/>
      </w:pPr>
      <w:rPr>
        <w:rFonts w:ascii="Symbol" w:eastAsia="Symbol" w:hAnsi="Symbol" w:cs="Symbol" w:hint="default"/>
        <w:color w:val="231F20"/>
        <w:w w:val="100"/>
        <w:sz w:val="14"/>
        <w:szCs w:val="14"/>
      </w:rPr>
    </w:lvl>
    <w:lvl w:ilvl="1" w:tplc="70B65738">
      <w:numFmt w:val="bullet"/>
      <w:lvlText w:val="•"/>
      <w:lvlJc w:val="left"/>
      <w:pPr>
        <w:ind w:left="454" w:hanging="100"/>
      </w:pPr>
      <w:rPr>
        <w:rFonts w:hint="default"/>
      </w:rPr>
    </w:lvl>
    <w:lvl w:ilvl="2" w:tplc="509E49AC">
      <w:numFmt w:val="bullet"/>
      <w:lvlText w:val="•"/>
      <w:lvlJc w:val="left"/>
      <w:pPr>
        <w:ind w:left="749" w:hanging="100"/>
      </w:pPr>
      <w:rPr>
        <w:rFonts w:hint="default"/>
      </w:rPr>
    </w:lvl>
    <w:lvl w:ilvl="3" w:tplc="E45C3FE2">
      <w:numFmt w:val="bullet"/>
      <w:lvlText w:val="•"/>
      <w:lvlJc w:val="left"/>
      <w:pPr>
        <w:ind w:left="1044" w:hanging="100"/>
      </w:pPr>
      <w:rPr>
        <w:rFonts w:hint="default"/>
      </w:rPr>
    </w:lvl>
    <w:lvl w:ilvl="4" w:tplc="33EA2994">
      <w:numFmt w:val="bullet"/>
      <w:lvlText w:val="•"/>
      <w:lvlJc w:val="left"/>
      <w:pPr>
        <w:ind w:left="1339" w:hanging="100"/>
      </w:pPr>
      <w:rPr>
        <w:rFonts w:hint="default"/>
      </w:rPr>
    </w:lvl>
    <w:lvl w:ilvl="5" w:tplc="89BC66B8">
      <w:numFmt w:val="bullet"/>
      <w:lvlText w:val="•"/>
      <w:lvlJc w:val="left"/>
      <w:pPr>
        <w:ind w:left="1634" w:hanging="100"/>
      </w:pPr>
      <w:rPr>
        <w:rFonts w:hint="default"/>
      </w:rPr>
    </w:lvl>
    <w:lvl w:ilvl="6" w:tplc="239A533C">
      <w:numFmt w:val="bullet"/>
      <w:lvlText w:val="•"/>
      <w:lvlJc w:val="left"/>
      <w:pPr>
        <w:ind w:left="1928" w:hanging="100"/>
      </w:pPr>
      <w:rPr>
        <w:rFonts w:hint="default"/>
      </w:rPr>
    </w:lvl>
    <w:lvl w:ilvl="7" w:tplc="981CE48E">
      <w:numFmt w:val="bullet"/>
      <w:lvlText w:val="•"/>
      <w:lvlJc w:val="left"/>
      <w:pPr>
        <w:ind w:left="2223" w:hanging="100"/>
      </w:pPr>
      <w:rPr>
        <w:rFonts w:hint="default"/>
      </w:rPr>
    </w:lvl>
    <w:lvl w:ilvl="8" w:tplc="AA2CF3AC">
      <w:numFmt w:val="bullet"/>
      <w:lvlText w:val="•"/>
      <w:lvlJc w:val="left"/>
      <w:pPr>
        <w:ind w:left="2518" w:hanging="100"/>
      </w:pPr>
      <w:rPr>
        <w:rFonts w:hint="default"/>
      </w:rPr>
    </w:lvl>
  </w:abstractNum>
  <w:abstractNum w:abstractNumId="1567" w15:restartNumberingAfterBreak="0">
    <w:nsid w:val="6286689C"/>
    <w:multiLevelType w:val="hybridMultilevel"/>
    <w:tmpl w:val="D3BEB834"/>
    <w:lvl w:ilvl="0" w:tplc="1926085E">
      <w:numFmt w:val="bullet"/>
      <w:lvlText w:val=""/>
      <w:lvlJc w:val="left"/>
      <w:pPr>
        <w:ind w:left="156" w:hanging="100"/>
      </w:pPr>
      <w:rPr>
        <w:rFonts w:ascii="Symbol" w:eastAsia="Symbol" w:hAnsi="Symbol" w:cs="Symbol" w:hint="default"/>
        <w:color w:val="231F20"/>
        <w:w w:val="100"/>
        <w:sz w:val="14"/>
        <w:szCs w:val="14"/>
      </w:rPr>
    </w:lvl>
    <w:lvl w:ilvl="1" w:tplc="6C5C96D8">
      <w:numFmt w:val="bullet"/>
      <w:lvlText w:val="•"/>
      <w:lvlJc w:val="left"/>
      <w:pPr>
        <w:ind w:left="301" w:hanging="100"/>
      </w:pPr>
      <w:rPr>
        <w:rFonts w:hint="default"/>
      </w:rPr>
    </w:lvl>
    <w:lvl w:ilvl="2" w:tplc="82961574">
      <w:numFmt w:val="bullet"/>
      <w:lvlText w:val="•"/>
      <w:lvlJc w:val="left"/>
      <w:pPr>
        <w:ind w:left="443" w:hanging="100"/>
      </w:pPr>
      <w:rPr>
        <w:rFonts w:hint="default"/>
      </w:rPr>
    </w:lvl>
    <w:lvl w:ilvl="3" w:tplc="8BEC77EA">
      <w:numFmt w:val="bullet"/>
      <w:lvlText w:val="•"/>
      <w:lvlJc w:val="left"/>
      <w:pPr>
        <w:ind w:left="585" w:hanging="100"/>
      </w:pPr>
      <w:rPr>
        <w:rFonts w:hint="default"/>
      </w:rPr>
    </w:lvl>
    <w:lvl w:ilvl="4" w:tplc="B27CAC8C">
      <w:numFmt w:val="bullet"/>
      <w:lvlText w:val="•"/>
      <w:lvlJc w:val="left"/>
      <w:pPr>
        <w:ind w:left="726" w:hanging="100"/>
      </w:pPr>
      <w:rPr>
        <w:rFonts w:hint="default"/>
      </w:rPr>
    </w:lvl>
    <w:lvl w:ilvl="5" w:tplc="0D221DD2">
      <w:numFmt w:val="bullet"/>
      <w:lvlText w:val="•"/>
      <w:lvlJc w:val="left"/>
      <w:pPr>
        <w:ind w:left="868" w:hanging="100"/>
      </w:pPr>
      <w:rPr>
        <w:rFonts w:hint="default"/>
      </w:rPr>
    </w:lvl>
    <w:lvl w:ilvl="6" w:tplc="8C5632E6">
      <w:numFmt w:val="bullet"/>
      <w:lvlText w:val="•"/>
      <w:lvlJc w:val="left"/>
      <w:pPr>
        <w:ind w:left="1010" w:hanging="100"/>
      </w:pPr>
      <w:rPr>
        <w:rFonts w:hint="default"/>
      </w:rPr>
    </w:lvl>
    <w:lvl w:ilvl="7" w:tplc="E960AEE8">
      <w:numFmt w:val="bullet"/>
      <w:lvlText w:val="•"/>
      <w:lvlJc w:val="left"/>
      <w:pPr>
        <w:ind w:left="1151" w:hanging="100"/>
      </w:pPr>
      <w:rPr>
        <w:rFonts w:hint="default"/>
      </w:rPr>
    </w:lvl>
    <w:lvl w:ilvl="8" w:tplc="7E40CAEC">
      <w:numFmt w:val="bullet"/>
      <w:lvlText w:val="•"/>
      <w:lvlJc w:val="left"/>
      <w:pPr>
        <w:ind w:left="1293" w:hanging="100"/>
      </w:pPr>
      <w:rPr>
        <w:rFonts w:hint="default"/>
      </w:rPr>
    </w:lvl>
  </w:abstractNum>
  <w:abstractNum w:abstractNumId="1568" w15:restartNumberingAfterBreak="0">
    <w:nsid w:val="62C45163"/>
    <w:multiLevelType w:val="hybridMultilevel"/>
    <w:tmpl w:val="0D828382"/>
    <w:lvl w:ilvl="0" w:tplc="9FE0CE68">
      <w:numFmt w:val="bullet"/>
      <w:lvlText w:val=""/>
      <w:lvlJc w:val="left"/>
      <w:pPr>
        <w:ind w:left="156" w:hanging="100"/>
      </w:pPr>
      <w:rPr>
        <w:rFonts w:ascii="Symbol" w:eastAsia="Symbol" w:hAnsi="Symbol" w:cs="Symbol" w:hint="default"/>
        <w:color w:val="231F20"/>
        <w:w w:val="100"/>
        <w:sz w:val="14"/>
        <w:szCs w:val="14"/>
      </w:rPr>
    </w:lvl>
    <w:lvl w:ilvl="1" w:tplc="E1A4FB9C">
      <w:numFmt w:val="bullet"/>
      <w:lvlText w:val="•"/>
      <w:lvlJc w:val="left"/>
      <w:pPr>
        <w:ind w:left="398" w:hanging="100"/>
      </w:pPr>
      <w:rPr>
        <w:rFonts w:hint="default"/>
      </w:rPr>
    </w:lvl>
    <w:lvl w:ilvl="2" w:tplc="1CD2F20A">
      <w:numFmt w:val="bullet"/>
      <w:lvlText w:val="•"/>
      <w:lvlJc w:val="left"/>
      <w:pPr>
        <w:ind w:left="636" w:hanging="100"/>
      </w:pPr>
      <w:rPr>
        <w:rFonts w:hint="default"/>
      </w:rPr>
    </w:lvl>
    <w:lvl w:ilvl="3" w:tplc="15FA69EE">
      <w:numFmt w:val="bullet"/>
      <w:lvlText w:val="•"/>
      <w:lvlJc w:val="left"/>
      <w:pPr>
        <w:ind w:left="874" w:hanging="100"/>
      </w:pPr>
      <w:rPr>
        <w:rFonts w:hint="default"/>
      </w:rPr>
    </w:lvl>
    <w:lvl w:ilvl="4" w:tplc="38E866AE">
      <w:numFmt w:val="bullet"/>
      <w:lvlText w:val="•"/>
      <w:lvlJc w:val="left"/>
      <w:pPr>
        <w:ind w:left="1112" w:hanging="100"/>
      </w:pPr>
      <w:rPr>
        <w:rFonts w:hint="default"/>
      </w:rPr>
    </w:lvl>
    <w:lvl w:ilvl="5" w:tplc="A718C156">
      <w:numFmt w:val="bullet"/>
      <w:lvlText w:val="•"/>
      <w:lvlJc w:val="left"/>
      <w:pPr>
        <w:ind w:left="1350" w:hanging="100"/>
      </w:pPr>
      <w:rPr>
        <w:rFonts w:hint="default"/>
      </w:rPr>
    </w:lvl>
    <w:lvl w:ilvl="6" w:tplc="8432FCAC">
      <w:numFmt w:val="bullet"/>
      <w:lvlText w:val="•"/>
      <w:lvlJc w:val="left"/>
      <w:pPr>
        <w:ind w:left="1588" w:hanging="100"/>
      </w:pPr>
      <w:rPr>
        <w:rFonts w:hint="default"/>
      </w:rPr>
    </w:lvl>
    <w:lvl w:ilvl="7" w:tplc="12581EE8">
      <w:numFmt w:val="bullet"/>
      <w:lvlText w:val="•"/>
      <w:lvlJc w:val="left"/>
      <w:pPr>
        <w:ind w:left="1826" w:hanging="100"/>
      </w:pPr>
      <w:rPr>
        <w:rFonts w:hint="default"/>
      </w:rPr>
    </w:lvl>
    <w:lvl w:ilvl="8" w:tplc="0394C5FA">
      <w:numFmt w:val="bullet"/>
      <w:lvlText w:val="•"/>
      <w:lvlJc w:val="left"/>
      <w:pPr>
        <w:ind w:left="2064" w:hanging="100"/>
      </w:pPr>
      <w:rPr>
        <w:rFonts w:hint="default"/>
      </w:rPr>
    </w:lvl>
  </w:abstractNum>
  <w:abstractNum w:abstractNumId="1569" w15:restartNumberingAfterBreak="0">
    <w:nsid w:val="62C6042B"/>
    <w:multiLevelType w:val="hybridMultilevel"/>
    <w:tmpl w:val="1DACC59E"/>
    <w:lvl w:ilvl="0" w:tplc="E4C27902">
      <w:numFmt w:val="bullet"/>
      <w:lvlText w:val=""/>
      <w:lvlJc w:val="left"/>
      <w:pPr>
        <w:ind w:left="156" w:hanging="100"/>
      </w:pPr>
      <w:rPr>
        <w:rFonts w:ascii="Symbol" w:eastAsia="Symbol" w:hAnsi="Symbol" w:cs="Symbol" w:hint="default"/>
        <w:color w:val="231F20"/>
        <w:w w:val="100"/>
        <w:sz w:val="14"/>
        <w:szCs w:val="14"/>
      </w:rPr>
    </w:lvl>
    <w:lvl w:ilvl="1" w:tplc="D4683BAE">
      <w:numFmt w:val="bullet"/>
      <w:lvlText w:val="•"/>
      <w:lvlJc w:val="left"/>
      <w:pPr>
        <w:ind w:left="398" w:hanging="100"/>
      </w:pPr>
      <w:rPr>
        <w:rFonts w:hint="default"/>
      </w:rPr>
    </w:lvl>
    <w:lvl w:ilvl="2" w:tplc="10063790">
      <w:numFmt w:val="bullet"/>
      <w:lvlText w:val="•"/>
      <w:lvlJc w:val="left"/>
      <w:pPr>
        <w:ind w:left="636" w:hanging="100"/>
      </w:pPr>
      <w:rPr>
        <w:rFonts w:hint="default"/>
      </w:rPr>
    </w:lvl>
    <w:lvl w:ilvl="3" w:tplc="0BFC2F12">
      <w:numFmt w:val="bullet"/>
      <w:lvlText w:val="•"/>
      <w:lvlJc w:val="left"/>
      <w:pPr>
        <w:ind w:left="874" w:hanging="100"/>
      </w:pPr>
      <w:rPr>
        <w:rFonts w:hint="default"/>
      </w:rPr>
    </w:lvl>
    <w:lvl w:ilvl="4" w:tplc="46465D06">
      <w:numFmt w:val="bullet"/>
      <w:lvlText w:val="•"/>
      <w:lvlJc w:val="left"/>
      <w:pPr>
        <w:ind w:left="1112" w:hanging="100"/>
      </w:pPr>
      <w:rPr>
        <w:rFonts w:hint="default"/>
      </w:rPr>
    </w:lvl>
    <w:lvl w:ilvl="5" w:tplc="38FEF69E">
      <w:numFmt w:val="bullet"/>
      <w:lvlText w:val="•"/>
      <w:lvlJc w:val="left"/>
      <w:pPr>
        <w:ind w:left="1350" w:hanging="100"/>
      </w:pPr>
      <w:rPr>
        <w:rFonts w:hint="default"/>
      </w:rPr>
    </w:lvl>
    <w:lvl w:ilvl="6" w:tplc="BB508C10">
      <w:numFmt w:val="bullet"/>
      <w:lvlText w:val="•"/>
      <w:lvlJc w:val="left"/>
      <w:pPr>
        <w:ind w:left="1588" w:hanging="100"/>
      </w:pPr>
      <w:rPr>
        <w:rFonts w:hint="default"/>
      </w:rPr>
    </w:lvl>
    <w:lvl w:ilvl="7" w:tplc="D8B67FBE">
      <w:numFmt w:val="bullet"/>
      <w:lvlText w:val="•"/>
      <w:lvlJc w:val="left"/>
      <w:pPr>
        <w:ind w:left="1826" w:hanging="100"/>
      </w:pPr>
      <w:rPr>
        <w:rFonts w:hint="default"/>
      </w:rPr>
    </w:lvl>
    <w:lvl w:ilvl="8" w:tplc="3356E38A">
      <w:numFmt w:val="bullet"/>
      <w:lvlText w:val="•"/>
      <w:lvlJc w:val="left"/>
      <w:pPr>
        <w:ind w:left="2064" w:hanging="100"/>
      </w:pPr>
      <w:rPr>
        <w:rFonts w:hint="default"/>
      </w:rPr>
    </w:lvl>
  </w:abstractNum>
  <w:abstractNum w:abstractNumId="1570" w15:restartNumberingAfterBreak="0">
    <w:nsid w:val="62C87195"/>
    <w:multiLevelType w:val="hybridMultilevel"/>
    <w:tmpl w:val="878A3228"/>
    <w:lvl w:ilvl="0" w:tplc="74FEC908">
      <w:numFmt w:val="bullet"/>
      <w:lvlText w:val=""/>
      <w:lvlJc w:val="left"/>
      <w:pPr>
        <w:ind w:left="156" w:hanging="100"/>
      </w:pPr>
      <w:rPr>
        <w:rFonts w:ascii="Symbol" w:eastAsia="Symbol" w:hAnsi="Symbol" w:cs="Symbol" w:hint="default"/>
        <w:color w:val="231F20"/>
        <w:w w:val="100"/>
        <w:sz w:val="14"/>
        <w:szCs w:val="14"/>
      </w:rPr>
    </w:lvl>
    <w:lvl w:ilvl="1" w:tplc="D27EAA38">
      <w:numFmt w:val="bullet"/>
      <w:lvlText w:val="•"/>
      <w:lvlJc w:val="left"/>
      <w:pPr>
        <w:ind w:left="398" w:hanging="100"/>
      </w:pPr>
      <w:rPr>
        <w:rFonts w:hint="default"/>
      </w:rPr>
    </w:lvl>
    <w:lvl w:ilvl="2" w:tplc="D7D82BDE">
      <w:numFmt w:val="bullet"/>
      <w:lvlText w:val="•"/>
      <w:lvlJc w:val="left"/>
      <w:pPr>
        <w:ind w:left="636" w:hanging="100"/>
      </w:pPr>
      <w:rPr>
        <w:rFonts w:hint="default"/>
      </w:rPr>
    </w:lvl>
    <w:lvl w:ilvl="3" w:tplc="5AA02100">
      <w:numFmt w:val="bullet"/>
      <w:lvlText w:val="•"/>
      <w:lvlJc w:val="left"/>
      <w:pPr>
        <w:ind w:left="874" w:hanging="100"/>
      </w:pPr>
      <w:rPr>
        <w:rFonts w:hint="default"/>
      </w:rPr>
    </w:lvl>
    <w:lvl w:ilvl="4" w:tplc="49025DF4">
      <w:numFmt w:val="bullet"/>
      <w:lvlText w:val="•"/>
      <w:lvlJc w:val="left"/>
      <w:pPr>
        <w:ind w:left="1112" w:hanging="100"/>
      </w:pPr>
      <w:rPr>
        <w:rFonts w:hint="default"/>
      </w:rPr>
    </w:lvl>
    <w:lvl w:ilvl="5" w:tplc="B4E8D3B4">
      <w:numFmt w:val="bullet"/>
      <w:lvlText w:val="•"/>
      <w:lvlJc w:val="left"/>
      <w:pPr>
        <w:ind w:left="1350" w:hanging="100"/>
      </w:pPr>
      <w:rPr>
        <w:rFonts w:hint="default"/>
      </w:rPr>
    </w:lvl>
    <w:lvl w:ilvl="6" w:tplc="5624F39E">
      <w:numFmt w:val="bullet"/>
      <w:lvlText w:val="•"/>
      <w:lvlJc w:val="left"/>
      <w:pPr>
        <w:ind w:left="1588" w:hanging="100"/>
      </w:pPr>
      <w:rPr>
        <w:rFonts w:hint="default"/>
      </w:rPr>
    </w:lvl>
    <w:lvl w:ilvl="7" w:tplc="75BAD24E">
      <w:numFmt w:val="bullet"/>
      <w:lvlText w:val="•"/>
      <w:lvlJc w:val="left"/>
      <w:pPr>
        <w:ind w:left="1826" w:hanging="100"/>
      </w:pPr>
      <w:rPr>
        <w:rFonts w:hint="default"/>
      </w:rPr>
    </w:lvl>
    <w:lvl w:ilvl="8" w:tplc="9CD052E8">
      <w:numFmt w:val="bullet"/>
      <w:lvlText w:val="•"/>
      <w:lvlJc w:val="left"/>
      <w:pPr>
        <w:ind w:left="2064" w:hanging="100"/>
      </w:pPr>
      <w:rPr>
        <w:rFonts w:hint="default"/>
      </w:rPr>
    </w:lvl>
  </w:abstractNum>
  <w:abstractNum w:abstractNumId="1571" w15:restartNumberingAfterBreak="0">
    <w:nsid w:val="62E956BB"/>
    <w:multiLevelType w:val="hybridMultilevel"/>
    <w:tmpl w:val="10C6CB1E"/>
    <w:lvl w:ilvl="0" w:tplc="E514EE62">
      <w:numFmt w:val="bullet"/>
      <w:lvlText w:val=""/>
      <w:lvlJc w:val="left"/>
      <w:pPr>
        <w:ind w:left="157" w:hanging="100"/>
      </w:pPr>
      <w:rPr>
        <w:rFonts w:ascii="Symbol" w:eastAsia="Symbol" w:hAnsi="Symbol" w:cs="Symbol" w:hint="default"/>
        <w:color w:val="231F20"/>
        <w:w w:val="100"/>
        <w:sz w:val="14"/>
        <w:szCs w:val="14"/>
      </w:rPr>
    </w:lvl>
    <w:lvl w:ilvl="1" w:tplc="CE88C01C">
      <w:numFmt w:val="bullet"/>
      <w:lvlText w:val="•"/>
      <w:lvlJc w:val="left"/>
      <w:pPr>
        <w:ind w:left="369" w:hanging="100"/>
      </w:pPr>
      <w:rPr>
        <w:rFonts w:hint="default"/>
      </w:rPr>
    </w:lvl>
    <w:lvl w:ilvl="2" w:tplc="A128FA20">
      <w:numFmt w:val="bullet"/>
      <w:lvlText w:val="•"/>
      <w:lvlJc w:val="left"/>
      <w:pPr>
        <w:ind w:left="579" w:hanging="100"/>
      </w:pPr>
      <w:rPr>
        <w:rFonts w:hint="default"/>
      </w:rPr>
    </w:lvl>
    <w:lvl w:ilvl="3" w:tplc="360A84E2">
      <w:numFmt w:val="bullet"/>
      <w:lvlText w:val="•"/>
      <w:lvlJc w:val="left"/>
      <w:pPr>
        <w:ind w:left="789" w:hanging="100"/>
      </w:pPr>
      <w:rPr>
        <w:rFonts w:hint="default"/>
      </w:rPr>
    </w:lvl>
    <w:lvl w:ilvl="4" w:tplc="51A0FB2A">
      <w:numFmt w:val="bullet"/>
      <w:lvlText w:val="•"/>
      <w:lvlJc w:val="left"/>
      <w:pPr>
        <w:ind w:left="998" w:hanging="100"/>
      </w:pPr>
      <w:rPr>
        <w:rFonts w:hint="default"/>
      </w:rPr>
    </w:lvl>
    <w:lvl w:ilvl="5" w:tplc="345C0BDC">
      <w:numFmt w:val="bullet"/>
      <w:lvlText w:val="•"/>
      <w:lvlJc w:val="left"/>
      <w:pPr>
        <w:ind w:left="1208" w:hanging="100"/>
      </w:pPr>
      <w:rPr>
        <w:rFonts w:hint="default"/>
      </w:rPr>
    </w:lvl>
    <w:lvl w:ilvl="6" w:tplc="39921A24">
      <w:numFmt w:val="bullet"/>
      <w:lvlText w:val="•"/>
      <w:lvlJc w:val="left"/>
      <w:pPr>
        <w:ind w:left="1418" w:hanging="100"/>
      </w:pPr>
      <w:rPr>
        <w:rFonts w:hint="default"/>
      </w:rPr>
    </w:lvl>
    <w:lvl w:ilvl="7" w:tplc="3632A6DE">
      <w:numFmt w:val="bullet"/>
      <w:lvlText w:val="•"/>
      <w:lvlJc w:val="left"/>
      <w:pPr>
        <w:ind w:left="1627" w:hanging="100"/>
      </w:pPr>
      <w:rPr>
        <w:rFonts w:hint="default"/>
      </w:rPr>
    </w:lvl>
    <w:lvl w:ilvl="8" w:tplc="4434DDD4">
      <w:numFmt w:val="bullet"/>
      <w:lvlText w:val="•"/>
      <w:lvlJc w:val="left"/>
      <w:pPr>
        <w:ind w:left="1837" w:hanging="100"/>
      </w:pPr>
      <w:rPr>
        <w:rFonts w:hint="default"/>
      </w:rPr>
    </w:lvl>
  </w:abstractNum>
  <w:abstractNum w:abstractNumId="1572" w15:restartNumberingAfterBreak="0">
    <w:nsid w:val="62EC4830"/>
    <w:multiLevelType w:val="hybridMultilevel"/>
    <w:tmpl w:val="17D83A7C"/>
    <w:lvl w:ilvl="0" w:tplc="1B087D2C">
      <w:numFmt w:val="bullet"/>
      <w:lvlText w:val=""/>
      <w:lvlJc w:val="left"/>
      <w:pPr>
        <w:ind w:left="156" w:hanging="100"/>
      </w:pPr>
      <w:rPr>
        <w:rFonts w:ascii="Symbol" w:eastAsia="Symbol" w:hAnsi="Symbol" w:cs="Symbol" w:hint="default"/>
        <w:color w:val="231F20"/>
        <w:w w:val="100"/>
        <w:sz w:val="14"/>
        <w:szCs w:val="14"/>
      </w:rPr>
    </w:lvl>
    <w:lvl w:ilvl="1" w:tplc="9C9463BA">
      <w:numFmt w:val="bullet"/>
      <w:lvlText w:val="•"/>
      <w:lvlJc w:val="left"/>
      <w:pPr>
        <w:ind w:left="273" w:hanging="100"/>
      </w:pPr>
      <w:rPr>
        <w:rFonts w:hint="default"/>
      </w:rPr>
    </w:lvl>
    <w:lvl w:ilvl="2" w:tplc="55423FD4">
      <w:numFmt w:val="bullet"/>
      <w:lvlText w:val="•"/>
      <w:lvlJc w:val="left"/>
      <w:pPr>
        <w:ind w:left="386" w:hanging="100"/>
      </w:pPr>
      <w:rPr>
        <w:rFonts w:hint="default"/>
      </w:rPr>
    </w:lvl>
    <w:lvl w:ilvl="3" w:tplc="3B9E65BC">
      <w:numFmt w:val="bullet"/>
      <w:lvlText w:val="•"/>
      <w:lvlJc w:val="left"/>
      <w:pPr>
        <w:ind w:left="500" w:hanging="100"/>
      </w:pPr>
      <w:rPr>
        <w:rFonts w:hint="default"/>
      </w:rPr>
    </w:lvl>
    <w:lvl w:ilvl="4" w:tplc="40E85C08">
      <w:numFmt w:val="bullet"/>
      <w:lvlText w:val="•"/>
      <w:lvlJc w:val="left"/>
      <w:pPr>
        <w:ind w:left="613" w:hanging="100"/>
      </w:pPr>
      <w:rPr>
        <w:rFonts w:hint="default"/>
      </w:rPr>
    </w:lvl>
    <w:lvl w:ilvl="5" w:tplc="13028528">
      <w:numFmt w:val="bullet"/>
      <w:lvlText w:val="•"/>
      <w:lvlJc w:val="left"/>
      <w:pPr>
        <w:ind w:left="727" w:hanging="100"/>
      </w:pPr>
      <w:rPr>
        <w:rFonts w:hint="default"/>
      </w:rPr>
    </w:lvl>
    <w:lvl w:ilvl="6" w:tplc="DBE09AD6">
      <w:numFmt w:val="bullet"/>
      <w:lvlText w:val="•"/>
      <w:lvlJc w:val="left"/>
      <w:pPr>
        <w:ind w:left="840" w:hanging="100"/>
      </w:pPr>
      <w:rPr>
        <w:rFonts w:hint="default"/>
      </w:rPr>
    </w:lvl>
    <w:lvl w:ilvl="7" w:tplc="94F605D6">
      <w:numFmt w:val="bullet"/>
      <w:lvlText w:val="•"/>
      <w:lvlJc w:val="left"/>
      <w:pPr>
        <w:ind w:left="953" w:hanging="100"/>
      </w:pPr>
      <w:rPr>
        <w:rFonts w:hint="default"/>
      </w:rPr>
    </w:lvl>
    <w:lvl w:ilvl="8" w:tplc="2ED0616A">
      <w:numFmt w:val="bullet"/>
      <w:lvlText w:val="•"/>
      <w:lvlJc w:val="left"/>
      <w:pPr>
        <w:ind w:left="1067" w:hanging="100"/>
      </w:pPr>
      <w:rPr>
        <w:rFonts w:hint="default"/>
      </w:rPr>
    </w:lvl>
  </w:abstractNum>
  <w:abstractNum w:abstractNumId="1573" w15:restartNumberingAfterBreak="0">
    <w:nsid w:val="62FA67BC"/>
    <w:multiLevelType w:val="hybridMultilevel"/>
    <w:tmpl w:val="EA101962"/>
    <w:lvl w:ilvl="0" w:tplc="17080E82">
      <w:numFmt w:val="bullet"/>
      <w:lvlText w:val=""/>
      <w:lvlJc w:val="left"/>
      <w:pPr>
        <w:ind w:left="156" w:hanging="100"/>
      </w:pPr>
      <w:rPr>
        <w:rFonts w:ascii="Symbol" w:eastAsia="Symbol" w:hAnsi="Symbol" w:cs="Symbol" w:hint="default"/>
        <w:color w:val="231F20"/>
        <w:w w:val="100"/>
        <w:sz w:val="14"/>
        <w:szCs w:val="14"/>
      </w:rPr>
    </w:lvl>
    <w:lvl w:ilvl="1" w:tplc="125839A2">
      <w:numFmt w:val="bullet"/>
      <w:lvlText w:val="•"/>
      <w:lvlJc w:val="left"/>
      <w:pPr>
        <w:ind w:left="273" w:hanging="100"/>
      </w:pPr>
      <w:rPr>
        <w:rFonts w:hint="default"/>
      </w:rPr>
    </w:lvl>
    <w:lvl w:ilvl="2" w:tplc="8E143A1A">
      <w:numFmt w:val="bullet"/>
      <w:lvlText w:val="•"/>
      <w:lvlJc w:val="left"/>
      <w:pPr>
        <w:ind w:left="386" w:hanging="100"/>
      </w:pPr>
      <w:rPr>
        <w:rFonts w:hint="default"/>
      </w:rPr>
    </w:lvl>
    <w:lvl w:ilvl="3" w:tplc="887447FC">
      <w:numFmt w:val="bullet"/>
      <w:lvlText w:val="•"/>
      <w:lvlJc w:val="left"/>
      <w:pPr>
        <w:ind w:left="500" w:hanging="100"/>
      </w:pPr>
      <w:rPr>
        <w:rFonts w:hint="default"/>
      </w:rPr>
    </w:lvl>
    <w:lvl w:ilvl="4" w:tplc="168AFB98">
      <w:numFmt w:val="bullet"/>
      <w:lvlText w:val="•"/>
      <w:lvlJc w:val="left"/>
      <w:pPr>
        <w:ind w:left="613" w:hanging="100"/>
      </w:pPr>
      <w:rPr>
        <w:rFonts w:hint="default"/>
      </w:rPr>
    </w:lvl>
    <w:lvl w:ilvl="5" w:tplc="AB9E65B8">
      <w:numFmt w:val="bullet"/>
      <w:lvlText w:val="•"/>
      <w:lvlJc w:val="left"/>
      <w:pPr>
        <w:ind w:left="727" w:hanging="100"/>
      </w:pPr>
      <w:rPr>
        <w:rFonts w:hint="default"/>
      </w:rPr>
    </w:lvl>
    <w:lvl w:ilvl="6" w:tplc="DADEFCAE">
      <w:numFmt w:val="bullet"/>
      <w:lvlText w:val="•"/>
      <w:lvlJc w:val="left"/>
      <w:pPr>
        <w:ind w:left="840" w:hanging="100"/>
      </w:pPr>
      <w:rPr>
        <w:rFonts w:hint="default"/>
      </w:rPr>
    </w:lvl>
    <w:lvl w:ilvl="7" w:tplc="47C25720">
      <w:numFmt w:val="bullet"/>
      <w:lvlText w:val="•"/>
      <w:lvlJc w:val="left"/>
      <w:pPr>
        <w:ind w:left="953" w:hanging="100"/>
      </w:pPr>
      <w:rPr>
        <w:rFonts w:hint="default"/>
      </w:rPr>
    </w:lvl>
    <w:lvl w:ilvl="8" w:tplc="E8884EE6">
      <w:numFmt w:val="bullet"/>
      <w:lvlText w:val="•"/>
      <w:lvlJc w:val="left"/>
      <w:pPr>
        <w:ind w:left="1067" w:hanging="100"/>
      </w:pPr>
      <w:rPr>
        <w:rFonts w:hint="default"/>
      </w:rPr>
    </w:lvl>
  </w:abstractNum>
  <w:abstractNum w:abstractNumId="1574" w15:restartNumberingAfterBreak="0">
    <w:nsid w:val="62FE7E97"/>
    <w:multiLevelType w:val="hybridMultilevel"/>
    <w:tmpl w:val="9BA0DDB0"/>
    <w:lvl w:ilvl="0" w:tplc="3AE23C40">
      <w:numFmt w:val="bullet"/>
      <w:lvlText w:val=""/>
      <w:lvlJc w:val="left"/>
      <w:pPr>
        <w:ind w:left="157" w:hanging="100"/>
      </w:pPr>
      <w:rPr>
        <w:rFonts w:ascii="Symbol" w:eastAsia="Symbol" w:hAnsi="Symbol" w:cs="Symbol" w:hint="default"/>
        <w:color w:val="231F20"/>
        <w:w w:val="100"/>
        <w:sz w:val="14"/>
        <w:szCs w:val="14"/>
      </w:rPr>
    </w:lvl>
    <w:lvl w:ilvl="1" w:tplc="CE5AE1EA">
      <w:numFmt w:val="bullet"/>
      <w:lvlText w:val="•"/>
      <w:lvlJc w:val="left"/>
      <w:pPr>
        <w:ind w:left="369" w:hanging="100"/>
      </w:pPr>
      <w:rPr>
        <w:rFonts w:hint="default"/>
      </w:rPr>
    </w:lvl>
    <w:lvl w:ilvl="2" w:tplc="7D6284E0">
      <w:numFmt w:val="bullet"/>
      <w:lvlText w:val="•"/>
      <w:lvlJc w:val="left"/>
      <w:pPr>
        <w:ind w:left="579" w:hanging="100"/>
      </w:pPr>
      <w:rPr>
        <w:rFonts w:hint="default"/>
      </w:rPr>
    </w:lvl>
    <w:lvl w:ilvl="3" w:tplc="ECDEA600">
      <w:numFmt w:val="bullet"/>
      <w:lvlText w:val="•"/>
      <w:lvlJc w:val="left"/>
      <w:pPr>
        <w:ind w:left="789" w:hanging="100"/>
      </w:pPr>
      <w:rPr>
        <w:rFonts w:hint="default"/>
      </w:rPr>
    </w:lvl>
    <w:lvl w:ilvl="4" w:tplc="D0421B5C">
      <w:numFmt w:val="bullet"/>
      <w:lvlText w:val="•"/>
      <w:lvlJc w:val="left"/>
      <w:pPr>
        <w:ind w:left="998" w:hanging="100"/>
      </w:pPr>
      <w:rPr>
        <w:rFonts w:hint="default"/>
      </w:rPr>
    </w:lvl>
    <w:lvl w:ilvl="5" w:tplc="E6780DB8">
      <w:numFmt w:val="bullet"/>
      <w:lvlText w:val="•"/>
      <w:lvlJc w:val="left"/>
      <w:pPr>
        <w:ind w:left="1208" w:hanging="100"/>
      </w:pPr>
      <w:rPr>
        <w:rFonts w:hint="default"/>
      </w:rPr>
    </w:lvl>
    <w:lvl w:ilvl="6" w:tplc="B642AEB4">
      <w:numFmt w:val="bullet"/>
      <w:lvlText w:val="•"/>
      <w:lvlJc w:val="left"/>
      <w:pPr>
        <w:ind w:left="1418" w:hanging="100"/>
      </w:pPr>
      <w:rPr>
        <w:rFonts w:hint="default"/>
      </w:rPr>
    </w:lvl>
    <w:lvl w:ilvl="7" w:tplc="BFFCB7E0">
      <w:numFmt w:val="bullet"/>
      <w:lvlText w:val="•"/>
      <w:lvlJc w:val="left"/>
      <w:pPr>
        <w:ind w:left="1627" w:hanging="100"/>
      </w:pPr>
      <w:rPr>
        <w:rFonts w:hint="default"/>
      </w:rPr>
    </w:lvl>
    <w:lvl w:ilvl="8" w:tplc="BDBEB95C">
      <w:numFmt w:val="bullet"/>
      <w:lvlText w:val="•"/>
      <w:lvlJc w:val="left"/>
      <w:pPr>
        <w:ind w:left="1837" w:hanging="100"/>
      </w:pPr>
      <w:rPr>
        <w:rFonts w:hint="default"/>
      </w:rPr>
    </w:lvl>
  </w:abstractNum>
  <w:abstractNum w:abstractNumId="1575" w15:restartNumberingAfterBreak="0">
    <w:nsid w:val="63156D36"/>
    <w:multiLevelType w:val="hybridMultilevel"/>
    <w:tmpl w:val="1EC83D1E"/>
    <w:lvl w:ilvl="0" w:tplc="17847226">
      <w:numFmt w:val="bullet"/>
      <w:lvlText w:val=""/>
      <w:lvlJc w:val="left"/>
      <w:pPr>
        <w:ind w:left="156" w:hanging="100"/>
      </w:pPr>
      <w:rPr>
        <w:rFonts w:ascii="Symbol" w:eastAsia="Symbol" w:hAnsi="Symbol" w:cs="Symbol" w:hint="default"/>
        <w:color w:val="231F20"/>
        <w:w w:val="100"/>
        <w:sz w:val="14"/>
        <w:szCs w:val="14"/>
      </w:rPr>
    </w:lvl>
    <w:lvl w:ilvl="1" w:tplc="BCFA7062">
      <w:numFmt w:val="bullet"/>
      <w:lvlText w:val="•"/>
      <w:lvlJc w:val="left"/>
      <w:pPr>
        <w:ind w:left="301" w:hanging="100"/>
      </w:pPr>
      <w:rPr>
        <w:rFonts w:hint="default"/>
      </w:rPr>
    </w:lvl>
    <w:lvl w:ilvl="2" w:tplc="E51296EA">
      <w:numFmt w:val="bullet"/>
      <w:lvlText w:val="•"/>
      <w:lvlJc w:val="left"/>
      <w:pPr>
        <w:ind w:left="443" w:hanging="100"/>
      </w:pPr>
      <w:rPr>
        <w:rFonts w:hint="default"/>
      </w:rPr>
    </w:lvl>
    <w:lvl w:ilvl="3" w:tplc="14623C7E">
      <w:numFmt w:val="bullet"/>
      <w:lvlText w:val="•"/>
      <w:lvlJc w:val="left"/>
      <w:pPr>
        <w:ind w:left="585" w:hanging="100"/>
      </w:pPr>
      <w:rPr>
        <w:rFonts w:hint="default"/>
      </w:rPr>
    </w:lvl>
    <w:lvl w:ilvl="4" w:tplc="1E9ED4D2">
      <w:numFmt w:val="bullet"/>
      <w:lvlText w:val="•"/>
      <w:lvlJc w:val="left"/>
      <w:pPr>
        <w:ind w:left="726" w:hanging="100"/>
      </w:pPr>
      <w:rPr>
        <w:rFonts w:hint="default"/>
      </w:rPr>
    </w:lvl>
    <w:lvl w:ilvl="5" w:tplc="2D160242">
      <w:numFmt w:val="bullet"/>
      <w:lvlText w:val="•"/>
      <w:lvlJc w:val="left"/>
      <w:pPr>
        <w:ind w:left="868" w:hanging="100"/>
      </w:pPr>
      <w:rPr>
        <w:rFonts w:hint="default"/>
      </w:rPr>
    </w:lvl>
    <w:lvl w:ilvl="6" w:tplc="0BBA2D56">
      <w:numFmt w:val="bullet"/>
      <w:lvlText w:val="•"/>
      <w:lvlJc w:val="left"/>
      <w:pPr>
        <w:ind w:left="1010" w:hanging="100"/>
      </w:pPr>
      <w:rPr>
        <w:rFonts w:hint="default"/>
      </w:rPr>
    </w:lvl>
    <w:lvl w:ilvl="7" w:tplc="88D86104">
      <w:numFmt w:val="bullet"/>
      <w:lvlText w:val="•"/>
      <w:lvlJc w:val="left"/>
      <w:pPr>
        <w:ind w:left="1151" w:hanging="100"/>
      </w:pPr>
      <w:rPr>
        <w:rFonts w:hint="default"/>
      </w:rPr>
    </w:lvl>
    <w:lvl w:ilvl="8" w:tplc="4F44383C">
      <w:numFmt w:val="bullet"/>
      <w:lvlText w:val="•"/>
      <w:lvlJc w:val="left"/>
      <w:pPr>
        <w:ind w:left="1293" w:hanging="100"/>
      </w:pPr>
      <w:rPr>
        <w:rFonts w:hint="default"/>
      </w:rPr>
    </w:lvl>
  </w:abstractNum>
  <w:abstractNum w:abstractNumId="1576" w15:restartNumberingAfterBreak="0">
    <w:nsid w:val="631F5A4D"/>
    <w:multiLevelType w:val="hybridMultilevel"/>
    <w:tmpl w:val="203E5E4C"/>
    <w:lvl w:ilvl="0" w:tplc="E44CBCF0">
      <w:numFmt w:val="bullet"/>
      <w:lvlText w:val=""/>
      <w:lvlJc w:val="left"/>
      <w:pPr>
        <w:ind w:left="156" w:hanging="100"/>
      </w:pPr>
      <w:rPr>
        <w:rFonts w:ascii="Symbol" w:eastAsia="Symbol" w:hAnsi="Symbol" w:cs="Symbol" w:hint="default"/>
        <w:color w:val="231F20"/>
        <w:w w:val="100"/>
        <w:sz w:val="14"/>
        <w:szCs w:val="14"/>
      </w:rPr>
    </w:lvl>
    <w:lvl w:ilvl="1" w:tplc="BBFE724A">
      <w:numFmt w:val="bullet"/>
      <w:lvlText w:val="•"/>
      <w:lvlJc w:val="left"/>
      <w:pPr>
        <w:ind w:left="426" w:hanging="100"/>
      </w:pPr>
      <w:rPr>
        <w:rFonts w:hint="default"/>
      </w:rPr>
    </w:lvl>
    <w:lvl w:ilvl="2" w:tplc="12A0C132">
      <w:numFmt w:val="bullet"/>
      <w:lvlText w:val="•"/>
      <w:lvlJc w:val="left"/>
      <w:pPr>
        <w:ind w:left="692" w:hanging="100"/>
      </w:pPr>
      <w:rPr>
        <w:rFonts w:hint="default"/>
      </w:rPr>
    </w:lvl>
    <w:lvl w:ilvl="3" w:tplc="0D2EFE2C">
      <w:numFmt w:val="bullet"/>
      <w:lvlText w:val="•"/>
      <w:lvlJc w:val="left"/>
      <w:pPr>
        <w:ind w:left="959" w:hanging="100"/>
      </w:pPr>
      <w:rPr>
        <w:rFonts w:hint="default"/>
      </w:rPr>
    </w:lvl>
    <w:lvl w:ilvl="4" w:tplc="60F06676">
      <w:numFmt w:val="bullet"/>
      <w:lvlText w:val="•"/>
      <w:lvlJc w:val="left"/>
      <w:pPr>
        <w:ind w:left="1225" w:hanging="100"/>
      </w:pPr>
      <w:rPr>
        <w:rFonts w:hint="default"/>
      </w:rPr>
    </w:lvl>
    <w:lvl w:ilvl="5" w:tplc="2BD4EC70">
      <w:numFmt w:val="bullet"/>
      <w:lvlText w:val="•"/>
      <w:lvlJc w:val="left"/>
      <w:pPr>
        <w:ind w:left="1492" w:hanging="100"/>
      </w:pPr>
      <w:rPr>
        <w:rFonts w:hint="default"/>
      </w:rPr>
    </w:lvl>
    <w:lvl w:ilvl="6" w:tplc="481A7334">
      <w:numFmt w:val="bullet"/>
      <w:lvlText w:val="•"/>
      <w:lvlJc w:val="left"/>
      <w:pPr>
        <w:ind w:left="1758" w:hanging="100"/>
      </w:pPr>
      <w:rPr>
        <w:rFonts w:hint="default"/>
      </w:rPr>
    </w:lvl>
    <w:lvl w:ilvl="7" w:tplc="308E48EA">
      <w:numFmt w:val="bullet"/>
      <w:lvlText w:val="•"/>
      <w:lvlJc w:val="left"/>
      <w:pPr>
        <w:ind w:left="2024" w:hanging="100"/>
      </w:pPr>
      <w:rPr>
        <w:rFonts w:hint="default"/>
      </w:rPr>
    </w:lvl>
    <w:lvl w:ilvl="8" w:tplc="B916F0BA">
      <w:numFmt w:val="bullet"/>
      <w:lvlText w:val="•"/>
      <w:lvlJc w:val="left"/>
      <w:pPr>
        <w:ind w:left="2291" w:hanging="100"/>
      </w:pPr>
      <w:rPr>
        <w:rFonts w:hint="default"/>
      </w:rPr>
    </w:lvl>
  </w:abstractNum>
  <w:abstractNum w:abstractNumId="1577" w15:restartNumberingAfterBreak="0">
    <w:nsid w:val="6323783A"/>
    <w:multiLevelType w:val="hybridMultilevel"/>
    <w:tmpl w:val="2C648338"/>
    <w:lvl w:ilvl="0" w:tplc="5B5EA38E">
      <w:numFmt w:val="bullet"/>
      <w:lvlText w:val=""/>
      <w:lvlJc w:val="left"/>
      <w:pPr>
        <w:ind w:left="156" w:hanging="100"/>
      </w:pPr>
      <w:rPr>
        <w:rFonts w:ascii="Symbol" w:eastAsia="Symbol" w:hAnsi="Symbol" w:cs="Symbol" w:hint="default"/>
        <w:color w:val="231F20"/>
        <w:w w:val="100"/>
        <w:sz w:val="14"/>
        <w:szCs w:val="14"/>
      </w:rPr>
    </w:lvl>
    <w:lvl w:ilvl="1" w:tplc="21A8790E">
      <w:numFmt w:val="bullet"/>
      <w:lvlText w:val="•"/>
      <w:lvlJc w:val="left"/>
      <w:pPr>
        <w:ind w:left="301" w:hanging="100"/>
      </w:pPr>
      <w:rPr>
        <w:rFonts w:hint="default"/>
      </w:rPr>
    </w:lvl>
    <w:lvl w:ilvl="2" w:tplc="7D4C6E58">
      <w:numFmt w:val="bullet"/>
      <w:lvlText w:val="•"/>
      <w:lvlJc w:val="left"/>
      <w:pPr>
        <w:ind w:left="443" w:hanging="100"/>
      </w:pPr>
      <w:rPr>
        <w:rFonts w:hint="default"/>
      </w:rPr>
    </w:lvl>
    <w:lvl w:ilvl="3" w:tplc="98BCE418">
      <w:numFmt w:val="bullet"/>
      <w:lvlText w:val="•"/>
      <w:lvlJc w:val="left"/>
      <w:pPr>
        <w:ind w:left="585" w:hanging="100"/>
      </w:pPr>
      <w:rPr>
        <w:rFonts w:hint="default"/>
      </w:rPr>
    </w:lvl>
    <w:lvl w:ilvl="4" w:tplc="EDB8376A">
      <w:numFmt w:val="bullet"/>
      <w:lvlText w:val="•"/>
      <w:lvlJc w:val="left"/>
      <w:pPr>
        <w:ind w:left="726" w:hanging="100"/>
      </w:pPr>
      <w:rPr>
        <w:rFonts w:hint="default"/>
      </w:rPr>
    </w:lvl>
    <w:lvl w:ilvl="5" w:tplc="4934D424">
      <w:numFmt w:val="bullet"/>
      <w:lvlText w:val="•"/>
      <w:lvlJc w:val="left"/>
      <w:pPr>
        <w:ind w:left="868" w:hanging="100"/>
      </w:pPr>
      <w:rPr>
        <w:rFonts w:hint="default"/>
      </w:rPr>
    </w:lvl>
    <w:lvl w:ilvl="6" w:tplc="EDF46C7C">
      <w:numFmt w:val="bullet"/>
      <w:lvlText w:val="•"/>
      <w:lvlJc w:val="left"/>
      <w:pPr>
        <w:ind w:left="1010" w:hanging="100"/>
      </w:pPr>
      <w:rPr>
        <w:rFonts w:hint="default"/>
      </w:rPr>
    </w:lvl>
    <w:lvl w:ilvl="7" w:tplc="2C6EEEC4">
      <w:numFmt w:val="bullet"/>
      <w:lvlText w:val="•"/>
      <w:lvlJc w:val="left"/>
      <w:pPr>
        <w:ind w:left="1151" w:hanging="100"/>
      </w:pPr>
      <w:rPr>
        <w:rFonts w:hint="default"/>
      </w:rPr>
    </w:lvl>
    <w:lvl w:ilvl="8" w:tplc="8E4EAA4A">
      <w:numFmt w:val="bullet"/>
      <w:lvlText w:val="•"/>
      <w:lvlJc w:val="left"/>
      <w:pPr>
        <w:ind w:left="1293" w:hanging="100"/>
      </w:pPr>
      <w:rPr>
        <w:rFonts w:hint="default"/>
      </w:rPr>
    </w:lvl>
  </w:abstractNum>
  <w:abstractNum w:abstractNumId="1578" w15:restartNumberingAfterBreak="0">
    <w:nsid w:val="632E15ED"/>
    <w:multiLevelType w:val="hybridMultilevel"/>
    <w:tmpl w:val="AAAADEB8"/>
    <w:lvl w:ilvl="0" w:tplc="DF6E2D04">
      <w:numFmt w:val="bullet"/>
      <w:lvlText w:val=""/>
      <w:lvlJc w:val="left"/>
      <w:pPr>
        <w:ind w:left="156" w:hanging="100"/>
      </w:pPr>
      <w:rPr>
        <w:rFonts w:ascii="Symbol" w:eastAsia="Symbol" w:hAnsi="Symbol" w:cs="Symbol" w:hint="default"/>
        <w:color w:val="231F20"/>
        <w:w w:val="100"/>
        <w:sz w:val="14"/>
        <w:szCs w:val="14"/>
      </w:rPr>
    </w:lvl>
    <w:lvl w:ilvl="1" w:tplc="818075C8">
      <w:numFmt w:val="bullet"/>
      <w:lvlText w:val="•"/>
      <w:lvlJc w:val="left"/>
      <w:pPr>
        <w:ind w:left="398" w:hanging="100"/>
      </w:pPr>
      <w:rPr>
        <w:rFonts w:hint="default"/>
      </w:rPr>
    </w:lvl>
    <w:lvl w:ilvl="2" w:tplc="D4C297F8">
      <w:numFmt w:val="bullet"/>
      <w:lvlText w:val="•"/>
      <w:lvlJc w:val="left"/>
      <w:pPr>
        <w:ind w:left="636" w:hanging="100"/>
      </w:pPr>
      <w:rPr>
        <w:rFonts w:hint="default"/>
      </w:rPr>
    </w:lvl>
    <w:lvl w:ilvl="3" w:tplc="7CA2E202">
      <w:numFmt w:val="bullet"/>
      <w:lvlText w:val="•"/>
      <w:lvlJc w:val="left"/>
      <w:pPr>
        <w:ind w:left="874" w:hanging="100"/>
      </w:pPr>
      <w:rPr>
        <w:rFonts w:hint="default"/>
      </w:rPr>
    </w:lvl>
    <w:lvl w:ilvl="4" w:tplc="1D26A8F2">
      <w:numFmt w:val="bullet"/>
      <w:lvlText w:val="•"/>
      <w:lvlJc w:val="left"/>
      <w:pPr>
        <w:ind w:left="1112" w:hanging="100"/>
      </w:pPr>
      <w:rPr>
        <w:rFonts w:hint="default"/>
      </w:rPr>
    </w:lvl>
    <w:lvl w:ilvl="5" w:tplc="FF0297E0">
      <w:numFmt w:val="bullet"/>
      <w:lvlText w:val="•"/>
      <w:lvlJc w:val="left"/>
      <w:pPr>
        <w:ind w:left="1350" w:hanging="100"/>
      </w:pPr>
      <w:rPr>
        <w:rFonts w:hint="default"/>
      </w:rPr>
    </w:lvl>
    <w:lvl w:ilvl="6" w:tplc="D9F4FE5A">
      <w:numFmt w:val="bullet"/>
      <w:lvlText w:val="•"/>
      <w:lvlJc w:val="left"/>
      <w:pPr>
        <w:ind w:left="1588" w:hanging="100"/>
      </w:pPr>
      <w:rPr>
        <w:rFonts w:hint="default"/>
      </w:rPr>
    </w:lvl>
    <w:lvl w:ilvl="7" w:tplc="73AE33B2">
      <w:numFmt w:val="bullet"/>
      <w:lvlText w:val="•"/>
      <w:lvlJc w:val="left"/>
      <w:pPr>
        <w:ind w:left="1826" w:hanging="100"/>
      </w:pPr>
      <w:rPr>
        <w:rFonts w:hint="default"/>
      </w:rPr>
    </w:lvl>
    <w:lvl w:ilvl="8" w:tplc="9A9E20C4">
      <w:numFmt w:val="bullet"/>
      <w:lvlText w:val="•"/>
      <w:lvlJc w:val="left"/>
      <w:pPr>
        <w:ind w:left="2064" w:hanging="100"/>
      </w:pPr>
      <w:rPr>
        <w:rFonts w:hint="default"/>
      </w:rPr>
    </w:lvl>
  </w:abstractNum>
  <w:abstractNum w:abstractNumId="1579" w15:restartNumberingAfterBreak="0">
    <w:nsid w:val="63630D03"/>
    <w:multiLevelType w:val="hybridMultilevel"/>
    <w:tmpl w:val="B78601E2"/>
    <w:lvl w:ilvl="0" w:tplc="8C8E8CBE">
      <w:numFmt w:val="bullet"/>
      <w:lvlText w:val=""/>
      <w:lvlJc w:val="left"/>
      <w:pPr>
        <w:ind w:left="156" w:hanging="100"/>
      </w:pPr>
      <w:rPr>
        <w:rFonts w:ascii="Symbol" w:eastAsia="Symbol" w:hAnsi="Symbol" w:cs="Symbol" w:hint="default"/>
        <w:color w:val="231F20"/>
        <w:w w:val="100"/>
        <w:sz w:val="14"/>
        <w:szCs w:val="14"/>
      </w:rPr>
    </w:lvl>
    <w:lvl w:ilvl="1" w:tplc="E1C8780E">
      <w:numFmt w:val="bullet"/>
      <w:lvlText w:val="•"/>
      <w:lvlJc w:val="left"/>
      <w:pPr>
        <w:ind w:left="426" w:hanging="100"/>
      </w:pPr>
      <w:rPr>
        <w:rFonts w:hint="default"/>
      </w:rPr>
    </w:lvl>
    <w:lvl w:ilvl="2" w:tplc="1E2CE064">
      <w:numFmt w:val="bullet"/>
      <w:lvlText w:val="•"/>
      <w:lvlJc w:val="left"/>
      <w:pPr>
        <w:ind w:left="692" w:hanging="100"/>
      </w:pPr>
      <w:rPr>
        <w:rFonts w:hint="default"/>
      </w:rPr>
    </w:lvl>
    <w:lvl w:ilvl="3" w:tplc="0A305074">
      <w:numFmt w:val="bullet"/>
      <w:lvlText w:val="•"/>
      <w:lvlJc w:val="left"/>
      <w:pPr>
        <w:ind w:left="959" w:hanging="100"/>
      </w:pPr>
      <w:rPr>
        <w:rFonts w:hint="default"/>
      </w:rPr>
    </w:lvl>
    <w:lvl w:ilvl="4" w:tplc="CD7E10A2">
      <w:numFmt w:val="bullet"/>
      <w:lvlText w:val="•"/>
      <w:lvlJc w:val="left"/>
      <w:pPr>
        <w:ind w:left="1225" w:hanging="100"/>
      </w:pPr>
      <w:rPr>
        <w:rFonts w:hint="default"/>
      </w:rPr>
    </w:lvl>
    <w:lvl w:ilvl="5" w:tplc="788AC3A6">
      <w:numFmt w:val="bullet"/>
      <w:lvlText w:val="•"/>
      <w:lvlJc w:val="left"/>
      <w:pPr>
        <w:ind w:left="1492" w:hanging="100"/>
      </w:pPr>
      <w:rPr>
        <w:rFonts w:hint="default"/>
      </w:rPr>
    </w:lvl>
    <w:lvl w:ilvl="6" w:tplc="2B0AAD32">
      <w:numFmt w:val="bullet"/>
      <w:lvlText w:val="•"/>
      <w:lvlJc w:val="left"/>
      <w:pPr>
        <w:ind w:left="1758" w:hanging="100"/>
      </w:pPr>
      <w:rPr>
        <w:rFonts w:hint="default"/>
      </w:rPr>
    </w:lvl>
    <w:lvl w:ilvl="7" w:tplc="E33E5646">
      <w:numFmt w:val="bullet"/>
      <w:lvlText w:val="•"/>
      <w:lvlJc w:val="left"/>
      <w:pPr>
        <w:ind w:left="2024" w:hanging="100"/>
      </w:pPr>
      <w:rPr>
        <w:rFonts w:hint="default"/>
      </w:rPr>
    </w:lvl>
    <w:lvl w:ilvl="8" w:tplc="1A34C0D8">
      <w:numFmt w:val="bullet"/>
      <w:lvlText w:val="•"/>
      <w:lvlJc w:val="left"/>
      <w:pPr>
        <w:ind w:left="2291" w:hanging="100"/>
      </w:pPr>
      <w:rPr>
        <w:rFonts w:hint="default"/>
      </w:rPr>
    </w:lvl>
  </w:abstractNum>
  <w:abstractNum w:abstractNumId="1580" w15:restartNumberingAfterBreak="0">
    <w:nsid w:val="637B3B14"/>
    <w:multiLevelType w:val="hybridMultilevel"/>
    <w:tmpl w:val="6C8499EE"/>
    <w:lvl w:ilvl="0" w:tplc="CC3EF2CC">
      <w:numFmt w:val="bullet"/>
      <w:lvlText w:val=""/>
      <w:lvlJc w:val="left"/>
      <w:pPr>
        <w:ind w:left="157" w:hanging="100"/>
      </w:pPr>
      <w:rPr>
        <w:rFonts w:ascii="Symbol" w:eastAsia="Symbol" w:hAnsi="Symbol" w:cs="Symbol" w:hint="default"/>
        <w:color w:val="231F20"/>
        <w:w w:val="100"/>
        <w:sz w:val="14"/>
        <w:szCs w:val="14"/>
      </w:rPr>
    </w:lvl>
    <w:lvl w:ilvl="1" w:tplc="38F2F6BA">
      <w:numFmt w:val="bullet"/>
      <w:lvlText w:val="•"/>
      <w:lvlJc w:val="left"/>
      <w:pPr>
        <w:ind w:left="426" w:hanging="100"/>
      </w:pPr>
      <w:rPr>
        <w:rFonts w:hint="default"/>
      </w:rPr>
    </w:lvl>
    <w:lvl w:ilvl="2" w:tplc="C212E100">
      <w:numFmt w:val="bullet"/>
      <w:lvlText w:val="•"/>
      <w:lvlJc w:val="left"/>
      <w:pPr>
        <w:ind w:left="692" w:hanging="100"/>
      </w:pPr>
      <w:rPr>
        <w:rFonts w:hint="default"/>
      </w:rPr>
    </w:lvl>
    <w:lvl w:ilvl="3" w:tplc="55786B0C">
      <w:numFmt w:val="bullet"/>
      <w:lvlText w:val="•"/>
      <w:lvlJc w:val="left"/>
      <w:pPr>
        <w:ind w:left="959" w:hanging="100"/>
      </w:pPr>
      <w:rPr>
        <w:rFonts w:hint="default"/>
      </w:rPr>
    </w:lvl>
    <w:lvl w:ilvl="4" w:tplc="40E288C4">
      <w:numFmt w:val="bullet"/>
      <w:lvlText w:val="•"/>
      <w:lvlJc w:val="left"/>
      <w:pPr>
        <w:ind w:left="1225" w:hanging="100"/>
      </w:pPr>
      <w:rPr>
        <w:rFonts w:hint="default"/>
      </w:rPr>
    </w:lvl>
    <w:lvl w:ilvl="5" w:tplc="5D16A80C">
      <w:numFmt w:val="bullet"/>
      <w:lvlText w:val="•"/>
      <w:lvlJc w:val="left"/>
      <w:pPr>
        <w:ind w:left="1492" w:hanging="100"/>
      </w:pPr>
      <w:rPr>
        <w:rFonts w:hint="default"/>
      </w:rPr>
    </w:lvl>
    <w:lvl w:ilvl="6" w:tplc="3FB8D406">
      <w:numFmt w:val="bullet"/>
      <w:lvlText w:val="•"/>
      <w:lvlJc w:val="left"/>
      <w:pPr>
        <w:ind w:left="1758" w:hanging="100"/>
      </w:pPr>
      <w:rPr>
        <w:rFonts w:hint="default"/>
      </w:rPr>
    </w:lvl>
    <w:lvl w:ilvl="7" w:tplc="7E58706A">
      <w:numFmt w:val="bullet"/>
      <w:lvlText w:val="•"/>
      <w:lvlJc w:val="left"/>
      <w:pPr>
        <w:ind w:left="2024" w:hanging="100"/>
      </w:pPr>
      <w:rPr>
        <w:rFonts w:hint="default"/>
      </w:rPr>
    </w:lvl>
    <w:lvl w:ilvl="8" w:tplc="EC6A385E">
      <w:numFmt w:val="bullet"/>
      <w:lvlText w:val="•"/>
      <w:lvlJc w:val="left"/>
      <w:pPr>
        <w:ind w:left="2291" w:hanging="100"/>
      </w:pPr>
      <w:rPr>
        <w:rFonts w:hint="default"/>
      </w:rPr>
    </w:lvl>
  </w:abstractNum>
  <w:abstractNum w:abstractNumId="1581" w15:restartNumberingAfterBreak="0">
    <w:nsid w:val="638B26AE"/>
    <w:multiLevelType w:val="hybridMultilevel"/>
    <w:tmpl w:val="4370921E"/>
    <w:lvl w:ilvl="0" w:tplc="36CCA234">
      <w:numFmt w:val="bullet"/>
      <w:lvlText w:val=""/>
      <w:lvlJc w:val="left"/>
      <w:pPr>
        <w:ind w:left="156" w:hanging="100"/>
      </w:pPr>
      <w:rPr>
        <w:rFonts w:ascii="Symbol" w:eastAsia="Symbol" w:hAnsi="Symbol" w:cs="Symbol" w:hint="default"/>
        <w:color w:val="231F20"/>
        <w:w w:val="100"/>
        <w:sz w:val="14"/>
        <w:szCs w:val="14"/>
      </w:rPr>
    </w:lvl>
    <w:lvl w:ilvl="1" w:tplc="4C3AC806">
      <w:numFmt w:val="bullet"/>
      <w:lvlText w:val="•"/>
      <w:lvlJc w:val="left"/>
      <w:pPr>
        <w:ind w:left="301" w:hanging="100"/>
      </w:pPr>
      <w:rPr>
        <w:rFonts w:hint="default"/>
      </w:rPr>
    </w:lvl>
    <w:lvl w:ilvl="2" w:tplc="067ACD2C">
      <w:numFmt w:val="bullet"/>
      <w:lvlText w:val="•"/>
      <w:lvlJc w:val="left"/>
      <w:pPr>
        <w:ind w:left="443" w:hanging="100"/>
      </w:pPr>
      <w:rPr>
        <w:rFonts w:hint="default"/>
      </w:rPr>
    </w:lvl>
    <w:lvl w:ilvl="3" w:tplc="C51A2B90">
      <w:numFmt w:val="bullet"/>
      <w:lvlText w:val="•"/>
      <w:lvlJc w:val="left"/>
      <w:pPr>
        <w:ind w:left="585" w:hanging="100"/>
      </w:pPr>
      <w:rPr>
        <w:rFonts w:hint="default"/>
      </w:rPr>
    </w:lvl>
    <w:lvl w:ilvl="4" w:tplc="8952A7B6">
      <w:numFmt w:val="bullet"/>
      <w:lvlText w:val="•"/>
      <w:lvlJc w:val="left"/>
      <w:pPr>
        <w:ind w:left="726" w:hanging="100"/>
      </w:pPr>
      <w:rPr>
        <w:rFonts w:hint="default"/>
      </w:rPr>
    </w:lvl>
    <w:lvl w:ilvl="5" w:tplc="815AD0A8">
      <w:numFmt w:val="bullet"/>
      <w:lvlText w:val="•"/>
      <w:lvlJc w:val="left"/>
      <w:pPr>
        <w:ind w:left="868" w:hanging="100"/>
      </w:pPr>
      <w:rPr>
        <w:rFonts w:hint="default"/>
      </w:rPr>
    </w:lvl>
    <w:lvl w:ilvl="6" w:tplc="34040544">
      <w:numFmt w:val="bullet"/>
      <w:lvlText w:val="•"/>
      <w:lvlJc w:val="left"/>
      <w:pPr>
        <w:ind w:left="1010" w:hanging="100"/>
      </w:pPr>
      <w:rPr>
        <w:rFonts w:hint="default"/>
      </w:rPr>
    </w:lvl>
    <w:lvl w:ilvl="7" w:tplc="6868F0AA">
      <w:numFmt w:val="bullet"/>
      <w:lvlText w:val="•"/>
      <w:lvlJc w:val="left"/>
      <w:pPr>
        <w:ind w:left="1151" w:hanging="100"/>
      </w:pPr>
      <w:rPr>
        <w:rFonts w:hint="default"/>
      </w:rPr>
    </w:lvl>
    <w:lvl w:ilvl="8" w:tplc="34EC9DB6">
      <w:numFmt w:val="bullet"/>
      <w:lvlText w:val="•"/>
      <w:lvlJc w:val="left"/>
      <w:pPr>
        <w:ind w:left="1293" w:hanging="100"/>
      </w:pPr>
      <w:rPr>
        <w:rFonts w:hint="default"/>
      </w:rPr>
    </w:lvl>
  </w:abstractNum>
  <w:abstractNum w:abstractNumId="1582" w15:restartNumberingAfterBreak="0">
    <w:nsid w:val="63A4548E"/>
    <w:multiLevelType w:val="hybridMultilevel"/>
    <w:tmpl w:val="21C4D200"/>
    <w:lvl w:ilvl="0" w:tplc="FFDEB340">
      <w:numFmt w:val="bullet"/>
      <w:lvlText w:val=""/>
      <w:lvlJc w:val="left"/>
      <w:pPr>
        <w:ind w:left="156" w:hanging="100"/>
      </w:pPr>
      <w:rPr>
        <w:rFonts w:ascii="Symbol" w:eastAsia="Symbol" w:hAnsi="Symbol" w:cs="Symbol" w:hint="default"/>
        <w:color w:val="231F20"/>
        <w:w w:val="100"/>
        <w:sz w:val="14"/>
        <w:szCs w:val="14"/>
      </w:rPr>
    </w:lvl>
    <w:lvl w:ilvl="1" w:tplc="3034B612">
      <w:numFmt w:val="bullet"/>
      <w:lvlText w:val="•"/>
      <w:lvlJc w:val="left"/>
      <w:pPr>
        <w:ind w:left="426" w:hanging="100"/>
      </w:pPr>
      <w:rPr>
        <w:rFonts w:hint="default"/>
      </w:rPr>
    </w:lvl>
    <w:lvl w:ilvl="2" w:tplc="55CE2C20">
      <w:numFmt w:val="bullet"/>
      <w:lvlText w:val="•"/>
      <w:lvlJc w:val="left"/>
      <w:pPr>
        <w:ind w:left="692" w:hanging="100"/>
      </w:pPr>
      <w:rPr>
        <w:rFonts w:hint="default"/>
      </w:rPr>
    </w:lvl>
    <w:lvl w:ilvl="3" w:tplc="54AA82C4">
      <w:numFmt w:val="bullet"/>
      <w:lvlText w:val="•"/>
      <w:lvlJc w:val="left"/>
      <w:pPr>
        <w:ind w:left="959" w:hanging="100"/>
      </w:pPr>
      <w:rPr>
        <w:rFonts w:hint="default"/>
      </w:rPr>
    </w:lvl>
    <w:lvl w:ilvl="4" w:tplc="19183278">
      <w:numFmt w:val="bullet"/>
      <w:lvlText w:val="•"/>
      <w:lvlJc w:val="left"/>
      <w:pPr>
        <w:ind w:left="1225" w:hanging="100"/>
      </w:pPr>
      <w:rPr>
        <w:rFonts w:hint="default"/>
      </w:rPr>
    </w:lvl>
    <w:lvl w:ilvl="5" w:tplc="874044C2">
      <w:numFmt w:val="bullet"/>
      <w:lvlText w:val="•"/>
      <w:lvlJc w:val="left"/>
      <w:pPr>
        <w:ind w:left="1492" w:hanging="100"/>
      </w:pPr>
      <w:rPr>
        <w:rFonts w:hint="default"/>
      </w:rPr>
    </w:lvl>
    <w:lvl w:ilvl="6" w:tplc="5C7EB734">
      <w:numFmt w:val="bullet"/>
      <w:lvlText w:val="•"/>
      <w:lvlJc w:val="left"/>
      <w:pPr>
        <w:ind w:left="1758" w:hanging="100"/>
      </w:pPr>
      <w:rPr>
        <w:rFonts w:hint="default"/>
      </w:rPr>
    </w:lvl>
    <w:lvl w:ilvl="7" w:tplc="FB9C51FE">
      <w:numFmt w:val="bullet"/>
      <w:lvlText w:val="•"/>
      <w:lvlJc w:val="left"/>
      <w:pPr>
        <w:ind w:left="2024" w:hanging="100"/>
      </w:pPr>
      <w:rPr>
        <w:rFonts w:hint="default"/>
      </w:rPr>
    </w:lvl>
    <w:lvl w:ilvl="8" w:tplc="CC4E768E">
      <w:numFmt w:val="bullet"/>
      <w:lvlText w:val="•"/>
      <w:lvlJc w:val="left"/>
      <w:pPr>
        <w:ind w:left="2291" w:hanging="100"/>
      </w:pPr>
      <w:rPr>
        <w:rFonts w:hint="default"/>
      </w:rPr>
    </w:lvl>
  </w:abstractNum>
  <w:abstractNum w:abstractNumId="1583" w15:restartNumberingAfterBreak="0">
    <w:nsid w:val="63BA2518"/>
    <w:multiLevelType w:val="hybridMultilevel"/>
    <w:tmpl w:val="92BCE174"/>
    <w:lvl w:ilvl="0" w:tplc="DBD4102C">
      <w:numFmt w:val="bullet"/>
      <w:lvlText w:val="–"/>
      <w:lvlJc w:val="left"/>
      <w:pPr>
        <w:ind w:left="632" w:hanging="135"/>
      </w:pPr>
      <w:rPr>
        <w:rFonts w:ascii="Times New Roman" w:eastAsia="Times New Roman" w:hAnsi="Times New Roman" w:cs="Times New Roman" w:hint="default"/>
        <w:color w:val="231F20"/>
        <w:spacing w:val="-3"/>
        <w:w w:val="100"/>
        <w:sz w:val="18"/>
        <w:szCs w:val="18"/>
      </w:rPr>
    </w:lvl>
    <w:lvl w:ilvl="1" w:tplc="B1547F62">
      <w:numFmt w:val="bullet"/>
      <w:lvlText w:val="–"/>
      <w:lvlJc w:val="left"/>
      <w:pPr>
        <w:ind w:left="1565" w:hanging="105"/>
      </w:pPr>
      <w:rPr>
        <w:rFonts w:ascii="Times New Roman" w:eastAsia="Times New Roman" w:hAnsi="Times New Roman" w:cs="Times New Roman" w:hint="default"/>
        <w:color w:val="231F20"/>
        <w:spacing w:val="-8"/>
        <w:w w:val="100"/>
        <w:sz w:val="14"/>
        <w:szCs w:val="14"/>
      </w:rPr>
    </w:lvl>
    <w:lvl w:ilvl="2" w:tplc="6488539E">
      <w:numFmt w:val="bullet"/>
      <w:lvlText w:val="•"/>
      <w:lvlJc w:val="left"/>
      <w:pPr>
        <w:ind w:left="2585" w:hanging="105"/>
      </w:pPr>
      <w:rPr>
        <w:rFonts w:hint="default"/>
      </w:rPr>
    </w:lvl>
    <w:lvl w:ilvl="3" w:tplc="3E0A98EE">
      <w:numFmt w:val="bullet"/>
      <w:lvlText w:val="•"/>
      <w:lvlJc w:val="left"/>
      <w:pPr>
        <w:ind w:left="3610" w:hanging="105"/>
      </w:pPr>
      <w:rPr>
        <w:rFonts w:hint="default"/>
      </w:rPr>
    </w:lvl>
    <w:lvl w:ilvl="4" w:tplc="4886D37E">
      <w:numFmt w:val="bullet"/>
      <w:lvlText w:val="•"/>
      <w:lvlJc w:val="left"/>
      <w:pPr>
        <w:ind w:left="4635" w:hanging="105"/>
      </w:pPr>
      <w:rPr>
        <w:rFonts w:hint="default"/>
      </w:rPr>
    </w:lvl>
    <w:lvl w:ilvl="5" w:tplc="491C4FA2">
      <w:numFmt w:val="bullet"/>
      <w:lvlText w:val="•"/>
      <w:lvlJc w:val="left"/>
      <w:pPr>
        <w:ind w:left="5660" w:hanging="105"/>
      </w:pPr>
      <w:rPr>
        <w:rFonts w:hint="default"/>
      </w:rPr>
    </w:lvl>
    <w:lvl w:ilvl="6" w:tplc="60FACE6E">
      <w:numFmt w:val="bullet"/>
      <w:lvlText w:val="•"/>
      <w:lvlJc w:val="left"/>
      <w:pPr>
        <w:ind w:left="6685" w:hanging="105"/>
      </w:pPr>
      <w:rPr>
        <w:rFonts w:hint="default"/>
      </w:rPr>
    </w:lvl>
    <w:lvl w:ilvl="7" w:tplc="E960A3DA">
      <w:numFmt w:val="bullet"/>
      <w:lvlText w:val="•"/>
      <w:lvlJc w:val="left"/>
      <w:pPr>
        <w:ind w:left="7710" w:hanging="105"/>
      </w:pPr>
      <w:rPr>
        <w:rFonts w:hint="default"/>
      </w:rPr>
    </w:lvl>
    <w:lvl w:ilvl="8" w:tplc="5776E6A6">
      <w:numFmt w:val="bullet"/>
      <w:lvlText w:val="•"/>
      <w:lvlJc w:val="left"/>
      <w:pPr>
        <w:ind w:left="8735" w:hanging="105"/>
      </w:pPr>
      <w:rPr>
        <w:rFonts w:hint="default"/>
      </w:rPr>
    </w:lvl>
  </w:abstractNum>
  <w:abstractNum w:abstractNumId="1584" w15:restartNumberingAfterBreak="0">
    <w:nsid w:val="63BE4970"/>
    <w:multiLevelType w:val="hybridMultilevel"/>
    <w:tmpl w:val="33C469E6"/>
    <w:lvl w:ilvl="0" w:tplc="3BC67A46">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7250FDEE">
      <w:numFmt w:val="bullet"/>
      <w:lvlText w:val="•"/>
      <w:lvlJc w:val="left"/>
      <w:pPr>
        <w:ind w:left="426" w:hanging="105"/>
      </w:pPr>
      <w:rPr>
        <w:rFonts w:hint="default"/>
      </w:rPr>
    </w:lvl>
    <w:lvl w:ilvl="2" w:tplc="370E64CA">
      <w:numFmt w:val="bullet"/>
      <w:lvlText w:val="•"/>
      <w:lvlJc w:val="left"/>
      <w:pPr>
        <w:ind w:left="692" w:hanging="105"/>
      </w:pPr>
      <w:rPr>
        <w:rFonts w:hint="default"/>
      </w:rPr>
    </w:lvl>
    <w:lvl w:ilvl="3" w:tplc="0472DEC4">
      <w:numFmt w:val="bullet"/>
      <w:lvlText w:val="•"/>
      <w:lvlJc w:val="left"/>
      <w:pPr>
        <w:ind w:left="959" w:hanging="105"/>
      </w:pPr>
      <w:rPr>
        <w:rFonts w:hint="default"/>
      </w:rPr>
    </w:lvl>
    <w:lvl w:ilvl="4" w:tplc="88FC924A">
      <w:numFmt w:val="bullet"/>
      <w:lvlText w:val="•"/>
      <w:lvlJc w:val="left"/>
      <w:pPr>
        <w:ind w:left="1225" w:hanging="105"/>
      </w:pPr>
      <w:rPr>
        <w:rFonts w:hint="default"/>
      </w:rPr>
    </w:lvl>
    <w:lvl w:ilvl="5" w:tplc="C354FA34">
      <w:numFmt w:val="bullet"/>
      <w:lvlText w:val="•"/>
      <w:lvlJc w:val="left"/>
      <w:pPr>
        <w:ind w:left="1492" w:hanging="105"/>
      </w:pPr>
      <w:rPr>
        <w:rFonts w:hint="default"/>
      </w:rPr>
    </w:lvl>
    <w:lvl w:ilvl="6" w:tplc="2E0C0D7E">
      <w:numFmt w:val="bullet"/>
      <w:lvlText w:val="•"/>
      <w:lvlJc w:val="left"/>
      <w:pPr>
        <w:ind w:left="1758" w:hanging="105"/>
      </w:pPr>
      <w:rPr>
        <w:rFonts w:hint="default"/>
      </w:rPr>
    </w:lvl>
    <w:lvl w:ilvl="7" w:tplc="FEDE27F2">
      <w:numFmt w:val="bullet"/>
      <w:lvlText w:val="•"/>
      <w:lvlJc w:val="left"/>
      <w:pPr>
        <w:ind w:left="2024" w:hanging="105"/>
      </w:pPr>
      <w:rPr>
        <w:rFonts w:hint="default"/>
      </w:rPr>
    </w:lvl>
    <w:lvl w:ilvl="8" w:tplc="C9FC66EE">
      <w:numFmt w:val="bullet"/>
      <w:lvlText w:val="•"/>
      <w:lvlJc w:val="left"/>
      <w:pPr>
        <w:ind w:left="2291" w:hanging="105"/>
      </w:pPr>
      <w:rPr>
        <w:rFonts w:hint="default"/>
      </w:rPr>
    </w:lvl>
  </w:abstractNum>
  <w:abstractNum w:abstractNumId="1585" w15:restartNumberingAfterBreak="0">
    <w:nsid w:val="63CE1F9E"/>
    <w:multiLevelType w:val="hybridMultilevel"/>
    <w:tmpl w:val="6CE60DCE"/>
    <w:lvl w:ilvl="0" w:tplc="1DF8FCEA">
      <w:numFmt w:val="bullet"/>
      <w:lvlText w:val="–"/>
      <w:lvlJc w:val="left"/>
      <w:pPr>
        <w:ind w:left="162" w:hanging="105"/>
      </w:pPr>
      <w:rPr>
        <w:rFonts w:ascii="Times New Roman" w:eastAsia="Times New Roman" w:hAnsi="Times New Roman" w:cs="Times New Roman" w:hint="default"/>
        <w:color w:val="231F20"/>
        <w:spacing w:val="-6"/>
        <w:w w:val="100"/>
        <w:sz w:val="14"/>
        <w:szCs w:val="14"/>
      </w:rPr>
    </w:lvl>
    <w:lvl w:ilvl="1" w:tplc="5EFAF3D8">
      <w:numFmt w:val="bullet"/>
      <w:lvlText w:val="•"/>
      <w:lvlJc w:val="left"/>
      <w:pPr>
        <w:ind w:left="426" w:hanging="105"/>
      </w:pPr>
      <w:rPr>
        <w:rFonts w:hint="default"/>
      </w:rPr>
    </w:lvl>
    <w:lvl w:ilvl="2" w:tplc="6BAADDA6">
      <w:numFmt w:val="bullet"/>
      <w:lvlText w:val="•"/>
      <w:lvlJc w:val="left"/>
      <w:pPr>
        <w:ind w:left="692" w:hanging="105"/>
      </w:pPr>
      <w:rPr>
        <w:rFonts w:hint="default"/>
      </w:rPr>
    </w:lvl>
    <w:lvl w:ilvl="3" w:tplc="BC1AD03E">
      <w:numFmt w:val="bullet"/>
      <w:lvlText w:val="•"/>
      <w:lvlJc w:val="left"/>
      <w:pPr>
        <w:ind w:left="959" w:hanging="105"/>
      </w:pPr>
      <w:rPr>
        <w:rFonts w:hint="default"/>
      </w:rPr>
    </w:lvl>
    <w:lvl w:ilvl="4" w:tplc="7FC408D0">
      <w:numFmt w:val="bullet"/>
      <w:lvlText w:val="•"/>
      <w:lvlJc w:val="left"/>
      <w:pPr>
        <w:ind w:left="1225" w:hanging="105"/>
      </w:pPr>
      <w:rPr>
        <w:rFonts w:hint="default"/>
      </w:rPr>
    </w:lvl>
    <w:lvl w:ilvl="5" w:tplc="69AECF08">
      <w:numFmt w:val="bullet"/>
      <w:lvlText w:val="•"/>
      <w:lvlJc w:val="left"/>
      <w:pPr>
        <w:ind w:left="1492" w:hanging="105"/>
      </w:pPr>
      <w:rPr>
        <w:rFonts w:hint="default"/>
      </w:rPr>
    </w:lvl>
    <w:lvl w:ilvl="6" w:tplc="1D2441C8">
      <w:numFmt w:val="bullet"/>
      <w:lvlText w:val="•"/>
      <w:lvlJc w:val="left"/>
      <w:pPr>
        <w:ind w:left="1758" w:hanging="105"/>
      </w:pPr>
      <w:rPr>
        <w:rFonts w:hint="default"/>
      </w:rPr>
    </w:lvl>
    <w:lvl w:ilvl="7" w:tplc="1FCACC00">
      <w:numFmt w:val="bullet"/>
      <w:lvlText w:val="•"/>
      <w:lvlJc w:val="left"/>
      <w:pPr>
        <w:ind w:left="2024" w:hanging="105"/>
      </w:pPr>
      <w:rPr>
        <w:rFonts w:hint="default"/>
      </w:rPr>
    </w:lvl>
    <w:lvl w:ilvl="8" w:tplc="BBD2FE40">
      <w:numFmt w:val="bullet"/>
      <w:lvlText w:val="•"/>
      <w:lvlJc w:val="left"/>
      <w:pPr>
        <w:ind w:left="2291" w:hanging="105"/>
      </w:pPr>
      <w:rPr>
        <w:rFonts w:hint="default"/>
      </w:rPr>
    </w:lvl>
  </w:abstractNum>
  <w:abstractNum w:abstractNumId="1586" w15:restartNumberingAfterBreak="0">
    <w:nsid w:val="63D6678C"/>
    <w:multiLevelType w:val="hybridMultilevel"/>
    <w:tmpl w:val="42FAE118"/>
    <w:lvl w:ilvl="0" w:tplc="E25EE530">
      <w:numFmt w:val="bullet"/>
      <w:lvlText w:val=""/>
      <w:lvlJc w:val="left"/>
      <w:pPr>
        <w:ind w:left="156" w:hanging="100"/>
      </w:pPr>
      <w:rPr>
        <w:rFonts w:ascii="Symbol" w:eastAsia="Symbol" w:hAnsi="Symbol" w:cs="Symbol" w:hint="default"/>
        <w:color w:val="231F20"/>
        <w:w w:val="100"/>
        <w:sz w:val="14"/>
        <w:szCs w:val="14"/>
      </w:rPr>
    </w:lvl>
    <w:lvl w:ilvl="1" w:tplc="0FEC29CA">
      <w:numFmt w:val="bullet"/>
      <w:lvlText w:val="•"/>
      <w:lvlJc w:val="left"/>
      <w:pPr>
        <w:ind w:left="426" w:hanging="100"/>
      </w:pPr>
      <w:rPr>
        <w:rFonts w:hint="default"/>
      </w:rPr>
    </w:lvl>
    <w:lvl w:ilvl="2" w:tplc="A4F0320C">
      <w:numFmt w:val="bullet"/>
      <w:lvlText w:val="•"/>
      <w:lvlJc w:val="left"/>
      <w:pPr>
        <w:ind w:left="692" w:hanging="100"/>
      </w:pPr>
      <w:rPr>
        <w:rFonts w:hint="default"/>
      </w:rPr>
    </w:lvl>
    <w:lvl w:ilvl="3" w:tplc="7B80508A">
      <w:numFmt w:val="bullet"/>
      <w:lvlText w:val="•"/>
      <w:lvlJc w:val="left"/>
      <w:pPr>
        <w:ind w:left="959" w:hanging="100"/>
      </w:pPr>
      <w:rPr>
        <w:rFonts w:hint="default"/>
      </w:rPr>
    </w:lvl>
    <w:lvl w:ilvl="4" w:tplc="52028596">
      <w:numFmt w:val="bullet"/>
      <w:lvlText w:val="•"/>
      <w:lvlJc w:val="left"/>
      <w:pPr>
        <w:ind w:left="1225" w:hanging="100"/>
      </w:pPr>
      <w:rPr>
        <w:rFonts w:hint="default"/>
      </w:rPr>
    </w:lvl>
    <w:lvl w:ilvl="5" w:tplc="41FA74C4">
      <w:numFmt w:val="bullet"/>
      <w:lvlText w:val="•"/>
      <w:lvlJc w:val="left"/>
      <w:pPr>
        <w:ind w:left="1492" w:hanging="100"/>
      </w:pPr>
      <w:rPr>
        <w:rFonts w:hint="default"/>
      </w:rPr>
    </w:lvl>
    <w:lvl w:ilvl="6" w:tplc="0D6EAD32">
      <w:numFmt w:val="bullet"/>
      <w:lvlText w:val="•"/>
      <w:lvlJc w:val="left"/>
      <w:pPr>
        <w:ind w:left="1758" w:hanging="100"/>
      </w:pPr>
      <w:rPr>
        <w:rFonts w:hint="default"/>
      </w:rPr>
    </w:lvl>
    <w:lvl w:ilvl="7" w:tplc="C576C662">
      <w:numFmt w:val="bullet"/>
      <w:lvlText w:val="•"/>
      <w:lvlJc w:val="left"/>
      <w:pPr>
        <w:ind w:left="2024" w:hanging="100"/>
      </w:pPr>
      <w:rPr>
        <w:rFonts w:hint="default"/>
      </w:rPr>
    </w:lvl>
    <w:lvl w:ilvl="8" w:tplc="4E06CDAC">
      <w:numFmt w:val="bullet"/>
      <w:lvlText w:val="•"/>
      <w:lvlJc w:val="left"/>
      <w:pPr>
        <w:ind w:left="2291" w:hanging="100"/>
      </w:pPr>
      <w:rPr>
        <w:rFonts w:hint="default"/>
      </w:rPr>
    </w:lvl>
  </w:abstractNum>
  <w:abstractNum w:abstractNumId="1587" w15:restartNumberingAfterBreak="0">
    <w:nsid w:val="63F87A24"/>
    <w:multiLevelType w:val="hybridMultilevel"/>
    <w:tmpl w:val="F3B63A6A"/>
    <w:lvl w:ilvl="0" w:tplc="857E93B0">
      <w:numFmt w:val="bullet"/>
      <w:lvlText w:val=""/>
      <w:lvlJc w:val="left"/>
      <w:pPr>
        <w:ind w:left="156" w:hanging="100"/>
      </w:pPr>
      <w:rPr>
        <w:rFonts w:ascii="Symbol" w:eastAsia="Symbol" w:hAnsi="Symbol" w:cs="Symbol" w:hint="default"/>
        <w:color w:val="231F20"/>
        <w:w w:val="100"/>
        <w:sz w:val="14"/>
        <w:szCs w:val="14"/>
      </w:rPr>
    </w:lvl>
    <w:lvl w:ilvl="1" w:tplc="54F821FC">
      <w:numFmt w:val="bullet"/>
      <w:lvlText w:val="•"/>
      <w:lvlJc w:val="left"/>
      <w:pPr>
        <w:ind w:left="301" w:hanging="100"/>
      </w:pPr>
      <w:rPr>
        <w:rFonts w:hint="default"/>
      </w:rPr>
    </w:lvl>
    <w:lvl w:ilvl="2" w:tplc="3B5A4BA2">
      <w:numFmt w:val="bullet"/>
      <w:lvlText w:val="•"/>
      <w:lvlJc w:val="left"/>
      <w:pPr>
        <w:ind w:left="443" w:hanging="100"/>
      </w:pPr>
      <w:rPr>
        <w:rFonts w:hint="default"/>
      </w:rPr>
    </w:lvl>
    <w:lvl w:ilvl="3" w:tplc="F6EEC172">
      <w:numFmt w:val="bullet"/>
      <w:lvlText w:val="•"/>
      <w:lvlJc w:val="left"/>
      <w:pPr>
        <w:ind w:left="585" w:hanging="100"/>
      </w:pPr>
      <w:rPr>
        <w:rFonts w:hint="default"/>
      </w:rPr>
    </w:lvl>
    <w:lvl w:ilvl="4" w:tplc="D25E09DE">
      <w:numFmt w:val="bullet"/>
      <w:lvlText w:val="•"/>
      <w:lvlJc w:val="left"/>
      <w:pPr>
        <w:ind w:left="726" w:hanging="100"/>
      </w:pPr>
      <w:rPr>
        <w:rFonts w:hint="default"/>
      </w:rPr>
    </w:lvl>
    <w:lvl w:ilvl="5" w:tplc="E63644A8">
      <w:numFmt w:val="bullet"/>
      <w:lvlText w:val="•"/>
      <w:lvlJc w:val="left"/>
      <w:pPr>
        <w:ind w:left="868" w:hanging="100"/>
      </w:pPr>
      <w:rPr>
        <w:rFonts w:hint="default"/>
      </w:rPr>
    </w:lvl>
    <w:lvl w:ilvl="6" w:tplc="5E44CB98">
      <w:numFmt w:val="bullet"/>
      <w:lvlText w:val="•"/>
      <w:lvlJc w:val="left"/>
      <w:pPr>
        <w:ind w:left="1010" w:hanging="100"/>
      </w:pPr>
      <w:rPr>
        <w:rFonts w:hint="default"/>
      </w:rPr>
    </w:lvl>
    <w:lvl w:ilvl="7" w:tplc="3064B9A0">
      <w:numFmt w:val="bullet"/>
      <w:lvlText w:val="•"/>
      <w:lvlJc w:val="left"/>
      <w:pPr>
        <w:ind w:left="1151" w:hanging="100"/>
      </w:pPr>
      <w:rPr>
        <w:rFonts w:hint="default"/>
      </w:rPr>
    </w:lvl>
    <w:lvl w:ilvl="8" w:tplc="C37A9982">
      <w:numFmt w:val="bullet"/>
      <w:lvlText w:val="•"/>
      <w:lvlJc w:val="left"/>
      <w:pPr>
        <w:ind w:left="1293" w:hanging="100"/>
      </w:pPr>
      <w:rPr>
        <w:rFonts w:hint="default"/>
      </w:rPr>
    </w:lvl>
  </w:abstractNum>
  <w:abstractNum w:abstractNumId="1588" w15:restartNumberingAfterBreak="0">
    <w:nsid w:val="64061359"/>
    <w:multiLevelType w:val="hybridMultilevel"/>
    <w:tmpl w:val="F9109402"/>
    <w:lvl w:ilvl="0" w:tplc="B462A58C">
      <w:numFmt w:val="bullet"/>
      <w:lvlText w:val=""/>
      <w:lvlJc w:val="left"/>
      <w:pPr>
        <w:ind w:left="157" w:hanging="100"/>
      </w:pPr>
      <w:rPr>
        <w:rFonts w:ascii="Symbol" w:eastAsia="Symbol" w:hAnsi="Symbol" w:cs="Symbol" w:hint="default"/>
        <w:color w:val="231F20"/>
        <w:w w:val="100"/>
        <w:sz w:val="14"/>
        <w:szCs w:val="14"/>
      </w:rPr>
    </w:lvl>
    <w:lvl w:ilvl="1" w:tplc="54EEB45E">
      <w:numFmt w:val="bullet"/>
      <w:lvlText w:val="•"/>
      <w:lvlJc w:val="left"/>
      <w:pPr>
        <w:ind w:left="369" w:hanging="100"/>
      </w:pPr>
      <w:rPr>
        <w:rFonts w:hint="default"/>
      </w:rPr>
    </w:lvl>
    <w:lvl w:ilvl="2" w:tplc="F724AAA2">
      <w:numFmt w:val="bullet"/>
      <w:lvlText w:val="•"/>
      <w:lvlJc w:val="left"/>
      <w:pPr>
        <w:ind w:left="579" w:hanging="100"/>
      </w:pPr>
      <w:rPr>
        <w:rFonts w:hint="default"/>
      </w:rPr>
    </w:lvl>
    <w:lvl w:ilvl="3" w:tplc="A142F846">
      <w:numFmt w:val="bullet"/>
      <w:lvlText w:val="•"/>
      <w:lvlJc w:val="left"/>
      <w:pPr>
        <w:ind w:left="789" w:hanging="100"/>
      </w:pPr>
      <w:rPr>
        <w:rFonts w:hint="default"/>
      </w:rPr>
    </w:lvl>
    <w:lvl w:ilvl="4" w:tplc="29AE7BF6">
      <w:numFmt w:val="bullet"/>
      <w:lvlText w:val="•"/>
      <w:lvlJc w:val="left"/>
      <w:pPr>
        <w:ind w:left="998" w:hanging="100"/>
      </w:pPr>
      <w:rPr>
        <w:rFonts w:hint="default"/>
      </w:rPr>
    </w:lvl>
    <w:lvl w:ilvl="5" w:tplc="F41678E2">
      <w:numFmt w:val="bullet"/>
      <w:lvlText w:val="•"/>
      <w:lvlJc w:val="left"/>
      <w:pPr>
        <w:ind w:left="1208" w:hanging="100"/>
      </w:pPr>
      <w:rPr>
        <w:rFonts w:hint="default"/>
      </w:rPr>
    </w:lvl>
    <w:lvl w:ilvl="6" w:tplc="EBCEFEC8">
      <w:numFmt w:val="bullet"/>
      <w:lvlText w:val="•"/>
      <w:lvlJc w:val="left"/>
      <w:pPr>
        <w:ind w:left="1418" w:hanging="100"/>
      </w:pPr>
      <w:rPr>
        <w:rFonts w:hint="default"/>
      </w:rPr>
    </w:lvl>
    <w:lvl w:ilvl="7" w:tplc="F438B028">
      <w:numFmt w:val="bullet"/>
      <w:lvlText w:val="•"/>
      <w:lvlJc w:val="left"/>
      <w:pPr>
        <w:ind w:left="1627" w:hanging="100"/>
      </w:pPr>
      <w:rPr>
        <w:rFonts w:hint="default"/>
      </w:rPr>
    </w:lvl>
    <w:lvl w:ilvl="8" w:tplc="93383C06">
      <w:numFmt w:val="bullet"/>
      <w:lvlText w:val="•"/>
      <w:lvlJc w:val="left"/>
      <w:pPr>
        <w:ind w:left="1837" w:hanging="100"/>
      </w:pPr>
      <w:rPr>
        <w:rFonts w:hint="default"/>
      </w:rPr>
    </w:lvl>
  </w:abstractNum>
  <w:abstractNum w:abstractNumId="1589" w15:restartNumberingAfterBreak="0">
    <w:nsid w:val="640A2C2F"/>
    <w:multiLevelType w:val="hybridMultilevel"/>
    <w:tmpl w:val="92FEB1E4"/>
    <w:lvl w:ilvl="0" w:tplc="0CDA7ECE">
      <w:numFmt w:val="bullet"/>
      <w:lvlText w:val="–"/>
      <w:lvlJc w:val="left"/>
      <w:pPr>
        <w:ind w:left="632" w:hanging="135"/>
      </w:pPr>
      <w:rPr>
        <w:rFonts w:ascii="Times New Roman" w:eastAsia="Times New Roman" w:hAnsi="Times New Roman" w:cs="Times New Roman" w:hint="default"/>
        <w:color w:val="231F20"/>
        <w:spacing w:val="-3"/>
        <w:w w:val="100"/>
        <w:sz w:val="18"/>
        <w:szCs w:val="18"/>
      </w:rPr>
    </w:lvl>
    <w:lvl w:ilvl="1" w:tplc="34C61C0A">
      <w:numFmt w:val="bullet"/>
      <w:lvlText w:val="–"/>
      <w:lvlJc w:val="left"/>
      <w:pPr>
        <w:ind w:left="1565" w:hanging="105"/>
      </w:pPr>
      <w:rPr>
        <w:rFonts w:ascii="Times New Roman" w:eastAsia="Times New Roman" w:hAnsi="Times New Roman" w:cs="Times New Roman" w:hint="default"/>
        <w:color w:val="231F20"/>
        <w:spacing w:val="-5"/>
        <w:w w:val="100"/>
        <w:sz w:val="14"/>
        <w:szCs w:val="14"/>
      </w:rPr>
    </w:lvl>
    <w:lvl w:ilvl="2" w:tplc="34CE468C">
      <w:numFmt w:val="bullet"/>
      <w:lvlText w:val="•"/>
      <w:lvlJc w:val="left"/>
      <w:pPr>
        <w:ind w:left="2585" w:hanging="105"/>
      </w:pPr>
      <w:rPr>
        <w:rFonts w:hint="default"/>
      </w:rPr>
    </w:lvl>
    <w:lvl w:ilvl="3" w:tplc="D73E266C">
      <w:numFmt w:val="bullet"/>
      <w:lvlText w:val="•"/>
      <w:lvlJc w:val="left"/>
      <w:pPr>
        <w:ind w:left="3610" w:hanging="105"/>
      </w:pPr>
      <w:rPr>
        <w:rFonts w:hint="default"/>
      </w:rPr>
    </w:lvl>
    <w:lvl w:ilvl="4" w:tplc="5D2A8E96">
      <w:numFmt w:val="bullet"/>
      <w:lvlText w:val="•"/>
      <w:lvlJc w:val="left"/>
      <w:pPr>
        <w:ind w:left="4635" w:hanging="105"/>
      </w:pPr>
      <w:rPr>
        <w:rFonts w:hint="default"/>
      </w:rPr>
    </w:lvl>
    <w:lvl w:ilvl="5" w:tplc="87BA8C7E">
      <w:numFmt w:val="bullet"/>
      <w:lvlText w:val="•"/>
      <w:lvlJc w:val="left"/>
      <w:pPr>
        <w:ind w:left="5660" w:hanging="105"/>
      </w:pPr>
      <w:rPr>
        <w:rFonts w:hint="default"/>
      </w:rPr>
    </w:lvl>
    <w:lvl w:ilvl="6" w:tplc="4588CA3A">
      <w:numFmt w:val="bullet"/>
      <w:lvlText w:val="•"/>
      <w:lvlJc w:val="left"/>
      <w:pPr>
        <w:ind w:left="6685" w:hanging="105"/>
      </w:pPr>
      <w:rPr>
        <w:rFonts w:hint="default"/>
      </w:rPr>
    </w:lvl>
    <w:lvl w:ilvl="7" w:tplc="95FA3694">
      <w:numFmt w:val="bullet"/>
      <w:lvlText w:val="•"/>
      <w:lvlJc w:val="left"/>
      <w:pPr>
        <w:ind w:left="7710" w:hanging="105"/>
      </w:pPr>
      <w:rPr>
        <w:rFonts w:hint="default"/>
      </w:rPr>
    </w:lvl>
    <w:lvl w:ilvl="8" w:tplc="4E78DAA6">
      <w:numFmt w:val="bullet"/>
      <w:lvlText w:val="•"/>
      <w:lvlJc w:val="left"/>
      <w:pPr>
        <w:ind w:left="8735" w:hanging="105"/>
      </w:pPr>
      <w:rPr>
        <w:rFonts w:hint="default"/>
      </w:rPr>
    </w:lvl>
  </w:abstractNum>
  <w:abstractNum w:abstractNumId="1590" w15:restartNumberingAfterBreak="0">
    <w:nsid w:val="641D73FC"/>
    <w:multiLevelType w:val="hybridMultilevel"/>
    <w:tmpl w:val="98824638"/>
    <w:lvl w:ilvl="0" w:tplc="3E14FA6C">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9FC83EDC">
      <w:numFmt w:val="bullet"/>
      <w:lvlText w:val="•"/>
      <w:lvlJc w:val="left"/>
      <w:pPr>
        <w:ind w:left="408" w:hanging="84"/>
      </w:pPr>
      <w:rPr>
        <w:rFonts w:hint="default"/>
      </w:rPr>
    </w:lvl>
    <w:lvl w:ilvl="2" w:tplc="FAC027EA">
      <w:numFmt w:val="bullet"/>
      <w:lvlText w:val="•"/>
      <w:lvlJc w:val="left"/>
      <w:pPr>
        <w:ind w:left="676" w:hanging="84"/>
      </w:pPr>
      <w:rPr>
        <w:rFonts w:hint="default"/>
      </w:rPr>
    </w:lvl>
    <w:lvl w:ilvl="3" w:tplc="ADA875A2">
      <w:numFmt w:val="bullet"/>
      <w:lvlText w:val="•"/>
      <w:lvlJc w:val="left"/>
      <w:pPr>
        <w:ind w:left="945" w:hanging="84"/>
      </w:pPr>
      <w:rPr>
        <w:rFonts w:hint="default"/>
      </w:rPr>
    </w:lvl>
    <w:lvl w:ilvl="4" w:tplc="4D34171C">
      <w:numFmt w:val="bullet"/>
      <w:lvlText w:val="•"/>
      <w:lvlJc w:val="left"/>
      <w:pPr>
        <w:ind w:left="1213" w:hanging="84"/>
      </w:pPr>
      <w:rPr>
        <w:rFonts w:hint="default"/>
      </w:rPr>
    </w:lvl>
    <w:lvl w:ilvl="5" w:tplc="E6A87046">
      <w:numFmt w:val="bullet"/>
      <w:lvlText w:val="•"/>
      <w:lvlJc w:val="left"/>
      <w:pPr>
        <w:ind w:left="1482" w:hanging="84"/>
      </w:pPr>
      <w:rPr>
        <w:rFonts w:hint="default"/>
      </w:rPr>
    </w:lvl>
    <w:lvl w:ilvl="6" w:tplc="8794D4D4">
      <w:numFmt w:val="bullet"/>
      <w:lvlText w:val="•"/>
      <w:lvlJc w:val="left"/>
      <w:pPr>
        <w:ind w:left="1750" w:hanging="84"/>
      </w:pPr>
      <w:rPr>
        <w:rFonts w:hint="default"/>
      </w:rPr>
    </w:lvl>
    <w:lvl w:ilvl="7" w:tplc="51B87C1E">
      <w:numFmt w:val="bullet"/>
      <w:lvlText w:val="•"/>
      <w:lvlJc w:val="left"/>
      <w:pPr>
        <w:ind w:left="2018" w:hanging="84"/>
      </w:pPr>
      <w:rPr>
        <w:rFonts w:hint="default"/>
      </w:rPr>
    </w:lvl>
    <w:lvl w:ilvl="8" w:tplc="277ABFDE">
      <w:numFmt w:val="bullet"/>
      <w:lvlText w:val="•"/>
      <w:lvlJc w:val="left"/>
      <w:pPr>
        <w:ind w:left="2287" w:hanging="84"/>
      </w:pPr>
      <w:rPr>
        <w:rFonts w:hint="default"/>
      </w:rPr>
    </w:lvl>
  </w:abstractNum>
  <w:abstractNum w:abstractNumId="1591" w15:restartNumberingAfterBreak="0">
    <w:nsid w:val="642D69BD"/>
    <w:multiLevelType w:val="hybridMultilevel"/>
    <w:tmpl w:val="A1BC51D4"/>
    <w:lvl w:ilvl="0" w:tplc="C818F756">
      <w:numFmt w:val="bullet"/>
      <w:lvlText w:val=""/>
      <w:lvlJc w:val="left"/>
      <w:pPr>
        <w:ind w:left="157" w:hanging="100"/>
      </w:pPr>
      <w:rPr>
        <w:rFonts w:ascii="Symbol" w:eastAsia="Symbol" w:hAnsi="Symbol" w:cs="Symbol" w:hint="default"/>
        <w:color w:val="231F20"/>
        <w:w w:val="100"/>
        <w:sz w:val="14"/>
        <w:szCs w:val="14"/>
      </w:rPr>
    </w:lvl>
    <w:lvl w:ilvl="1" w:tplc="63BE10B0">
      <w:numFmt w:val="bullet"/>
      <w:lvlText w:val="•"/>
      <w:lvlJc w:val="left"/>
      <w:pPr>
        <w:ind w:left="426" w:hanging="100"/>
      </w:pPr>
      <w:rPr>
        <w:rFonts w:hint="default"/>
      </w:rPr>
    </w:lvl>
    <w:lvl w:ilvl="2" w:tplc="7EBC607C">
      <w:numFmt w:val="bullet"/>
      <w:lvlText w:val="•"/>
      <w:lvlJc w:val="left"/>
      <w:pPr>
        <w:ind w:left="692" w:hanging="100"/>
      </w:pPr>
      <w:rPr>
        <w:rFonts w:hint="default"/>
      </w:rPr>
    </w:lvl>
    <w:lvl w:ilvl="3" w:tplc="1318D0FC">
      <w:numFmt w:val="bullet"/>
      <w:lvlText w:val="•"/>
      <w:lvlJc w:val="left"/>
      <w:pPr>
        <w:ind w:left="959" w:hanging="100"/>
      </w:pPr>
      <w:rPr>
        <w:rFonts w:hint="default"/>
      </w:rPr>
    </w:lvl>
    <w:lvl w:ilvl="4" w:tplc="EA3A7B46">
      <w:numFmt w:val="bullet"/>
      <w:lvlText w:val="•"/>
      <w:lvlJc w:val="left"/>
      <w:pPr>
        <w:ind w:left="1225" w:hanging="100"/>
      </w:pPr>
      <w:rPr>
        <w:rFonts w:hint="default"/>
      </w:rPr>
    </w:lvl>
    <w:lvl w:ilvl="5" w:tplc="AB2EB7A8">
      <w:numFmt w:val="bullet"/>
      <w:lvlText w:val="•"/>
      <w:lvlJc w:val="left"/>
      <w:pPr>
        <w:ind w:left="1492" w:hanging="100"/>
      </w:pPr>
      <w:rPr>
        <w:rFonts w:hint="default"/>
      </w:rPr>
    </w:lvl>
    <w:lvl w:ilvl="6" w:tplc="17C8B86E">
      <w:numFmt w:val="bullet"/>
      <w:lvlText w:val="•"/>
      <w:lvlJc w:val="left"/>
      <w:pPr>
        <w:ind w:left="1758" w:hanging="100"/>
      </w:pPr>
      <w:rPr>
        <w:rFonts w:hint="default"/>
      </w:rPr>
    </w:lvl>
    <w:lvl w:ilvl="7" w:tplc="E59C5458">
      <w:numFmt w:val="bullet"/>
      <w:lvlText w:val="•"/>
      <w:lvlJc w:val="left"/>
      <w:pPr>
        <w:ind w:left="2024" w:hanging="100"/>
      </w:pPr>
      <w:rPr>
        <w:rFonts w:hint="default"/>
      </w:rPr>
    </w:lvl>
    <w:lvl w:ilvl="8" w:tplc="22A6A0E2">
      <w:numFmt w:val="bullet"/>
      <w:lvlText w:val="•"/>
      <w:lvlJc w:val="left"/>
      <w:pPr>
        <w:ind w:left="2291" w:hanging="100"/>
      </w:pPr>
      <w:rPr>
        <w:rFonts w:hint="default"/>
      </w:rPr>
    </w:lvl>
  </w:abstractNum>
  <w:abstractNum w:abstractNumId="1592" w15:restartNumberingAfterBreak="0">
    <w:nsid w:val="64402599"/>
    <w:multiLevelType w:val="hybridMultilevel"/>
    <w:tmpl w:val="4ABEE52A"/>
    <w:lvl w:ilvl="0" w:tplc="FF48014C">
      <w:numFmt w:val="bullet"/>
      <w:lvlText w:val=""/>
      <w:lvlJc w:val="left"/>
      <w:pPr>
        <w:ind w:left="156" w:hanging="100"/>
      </w:pPr>
      <w:rPr>
        <w:rFonts w:ascii="Symbol" w:eastAsia="Symbol" w:hAnsi="Symbol" w:cs="Symbol" w:hint="default"/>
        <w:color w:val="231F20"/>
        <w:w w:val="100"/>
        <w:sz w:val="14"/>
        <w:szCs w:val="14"/>
      </w:rPr>
    </w:lvl>
    <w:lvl w:ilvl="1" w:tplc="116495B0">
      <w:numFmt w:val="bullet"/>
      <w:lvlText w:val="•"/>
      <w:lvlJc w:val="left"/>
      <w:pPr>
        <w:ind w:left="398" w:hanging="100"/>
      </w:pPr>
      <w:rPr>
        <w:rFonts w:hint="default"/>
      </w:rPr>
    </w:lvl>
    <w:lvl w:ilvl="2" w:tplc="0CD46F50">
      <w:numFmt w:val="bullet"/>
      <w:lvlText w:val="•"/>
      <w:lvlJc w:val="left"/>
      <w:pPr>
        <w:ind w:left="636" w:hanging="100"/>
      </w:pPr>
      <w:rPr>
        <w:rFonts w:hint="default"/>
      </w:rPr>
    </w:lvl>
    <w:lvl w:ilvl="3" w:tplc="D1148D64">
      <w:numFmt w:val="bullet"/>
      <w:lvlText w:val="•"/>
      <w:lvlJc w:val="left"/>
      <w:pPr>
        <w:ind w:left="874" w:hanging="100"/>
      </w:pPr>
      <w:rPr>
        <w:rFonts w:hint="default"/>
      </w:rPr>
    </w:lvl>
    <w:lvl w:ilvl="4" w:tplc="9C3C17E8">
      <w:numFmt w:val="bullet"/>
      <w:lvlText w:val="•"/>
      <w:lvlJc w:val="left"/>
      <w:pPr>
        <w:ind w:left="1112" w:hanging="100"/>
      </w:pPr>
      <w:rPr>
        <w:rFonts w:hint="default"/>
      </w:rPr>
    </w:lvl>
    <w:lvl w:ilvl="5" w:tplc="938845CC">
      <w:numFmt w:val="bullet"/>
      <w:lvlText w:val="•"/>
      <w:lvlJc w:val="left"/>
      <w:pPr>
        <w:ind w:left="1350" w:hanging="100"/>
      </w:pPr>
      <w:rPr>
        <w:rFonts w:hint="default"/>
      </w:rPr>
    </w:lvl>
    <w:lvl w:ilvl="6" w:tplc="3686303C">
      <w:numFmt w:val="bullet"/>
      <w:lvlText w:val="•"/>
      <w:lvlJc w:val="left"/>
      <w:pPr>
        <w:ind w:left="1588" w:hanging="100"/>
      </w:pPr>
      <w:rPr>
        <w:rFonts w:hint="default"/>
      </w:rPr>
    </w:lvl>
    <w:lvl w:ilvl="7" w:tplc="EE1A20A6">
      <w:numFmt w:val="bullet"/>
      <w:lvlText w:val="•"/>
      <w:lvlJc w:val="left"/>
      <w:pPr>
        <w:ind w:left="1826" w:hanging="100"/>
      </w:pPr>
      <w:rPr>
        <w:rFonts w:hint="default"/>
      </w:rPr>
    </w:lvl>
    <w:lvl w:ilvl="8" w:tplc="FAB0E652">
      <w:numFmt w:val="bullet"/>
      <w:lvlText w:val="•"/>
      <w:lvlJc w:val="left"/>
      <w:pPr>
        <w:ind w:left="2064" w:hanging="100"/>
      </w:pPr>
      <w:rPr>
        <w:rFonts w:hint="default"/>
      </w:rPr>
    </w:lvl>
  </w:abstractNum>
  <w:abstractNum w:abstractNumId="1593" w15:restartNumberingAfterBreak="0">
    <w:nsid w:val="644451A1"/>
    <w:multiLevelType w:val="hybridMultilevel"/>
    <w:tmpl w:val="87B23A8E"/>
    <w:lvl w:ilvl="0" w:tplc="C58C3298">
      <w:numFmt w:val="bullet"/>
      <w:lvlText w:val=""/>
      <w:lvlJc w:val="left"/>
      <w:pPr>
        <w:ind w:left="157" w:hanging="100"/>
      </w:pPr>
      <w:rPr>
        <w:rFonts w:ascii="Symbol" w:eastAsia="Symbol" w:hAnsi="Symbol" w:cs="Symbol" w:hint="default"/>
        <w:color w:val="231F20"/>
        <w:w w:val="100"/>
        <w:sz w:val="14"/>
        <w:szCs w:val="14"/>
      </w:rPr>
    </w:lvl>
    <w:lvl w:ilvl="1" w:tplc="79342D54">
      <w:numFmt w:val="bullet"/>
      <w:lvlText w:val="•"/>
      <w:lvlJc w:val="left"/>
      <w:pPr>
        <w:ind w:left="426" w:hanging="100"/>
      </w:pPr>
      <w:rPr>
        <w:rFonts w:hint="default"/>
      </w:rPr>
    </w:lvl>
    <w:lvl w:ilvl="2" w:tplc="6F580DCC">
      <w:numFmt w:val="bullet"/>
      <w:lvlText w:val="•"/>
      <w:lvlJc w:val="left"/>
      <w:pPr>
        <w:ind w:left="692" w:hanging="100"/>
      </w:pPr>
      <w:rPr>
        <w:rFonts w:hint="default"/>
      </w:rPr>
    </w:lvl>
    <w:lvl w:ilvl="3" w:tplc="CD142A06">
      <w:numFmt w:val="bullet"/>
      <w:lvlText w:val="•"/>
      <w:lvlJc w:val="left"/>
      <w:pPr>
        <w:ind w:left="959" w:hanging="100"/>
      </w:pPr>
      <w:rPr>
        <w:rFonts w:hint="default"/>
      </w:rPr>
    </w:lvl>
    <w:lvl w:ilvl="4" w:tplc="A6708AFC">
      <w:numFmt w:val="bullet"/>
      <w:lvlText w:val="•"/>
      <w:lvlJc w:val="left"/>
      <w:pPr>
        <w:ind w:left="1225" w:hanging="100"/>
      </w:pPr>
      <w:rPr>
        <w:rFonts w:hint="default"/>
      </w:rPr>
    </w:lvl>
    <w:lvl w:ilvl="5" w:tplc="624C8068">
      <w:numFmt w:val="bullet"/>
      <w:lvlText w:val="•"/>
      <w:lvlJc w:val="left"/>
      <w:pPr>
        <w:ind w:left="1492" w:hanging="100"/>
      </w:pPr>
      <w:rPr>
        <w:rFonts w:hint="default"/>
      </w:rPr>
    </w:lvl>
    <w:lvl w:ilvl="6" w:tplc="BC06D14E">
      <w:numFmt w:val="bullet"/>
      <w:lvlText w:val="•"/>
      <w:lvlJc w:val="left"/>
      <w:pPr>
        <w:ind w:left="1758" w:hanging="100"/>
      </w:pPr>
      <w:rPr>
        <w:rFonts w:hint="default"/>
      </w:rPr>
    </w:lvl>
    <w:lvl w:ilvl="7" w:tplc="5E8EF47C">
      <w:numFmt w:val="bullet"/>
      <w:lvlText w:val="•"/>
      <w:lvlJc w:val="left"/>
      <w:pPr>
        <w:ind w:left="2024" w:hanging="100"/>
      </w:pPr>
      <w:rPr>
        <w:rFonts w:hint="default"/>
      </w:rPr>
    </w:lvl>
    <w:lvl w:ilvl="8" w:tplc="CEC8589A">
      <w:numFmt w:val="bullet"/>
      <w:lvlText w:val="•"/>
      <w:lvlJc w:val="left"/>
      <w:pPr>
        <w:ind w:left="2291" w:hanging="100"/>
      </w:pPr>
      <w:rPr>
        <w:rFonts w:hint="default"/>
      </w:rPr>
    </w:lvl>
  </w:abstractNum>
  <w:abstractNum w:abstractNumId="1594" w15:restartNumberingAfterBreak="0">
    <w:nsid w:val="64682C7F"/>
    <w:multiLevelType w:val="hybridMultilevel"/>
    <w:tmpl w:val="960E242E"/>
    <w:lvl w:ilvl="0" w:tplc="63669A5E">
      <w:numFmt w:val="bullet"/>
      <w:lvlText w:val=""/>
      <w:lvlJc w:val="left"/>
      <w:pPr>
        <w:ind w:left="156" w:hanging="100"/>
      </w:pPr>
      <w:rPr>
        <w:rFonts w:ascii="Symbol" w:eastAsia="Symbol" w:hAnsi="Symbol" w:cs="Symbol" w:hint="default"/>
        <w:color w:val="231F20"/>
        <w:w w:val="100"/>
        <w:sz w:val="14"/>
        <w:szCs w:val="14"/>
      </w:rPr>
    </w:lvl>
    <w:lvl w:ilvl="1" w:tplc="77B02414">
      <w:numFmt w:val="bullet"/>
      <w:lvlText w:val="•"/>
      <w:lvlJc w:val="left"/>
      <w:pPr>
        <w:ind w:left="301" w:hanging="100"/>
      </w:pPr>
      <w:rPr>
        <w:rFonts w:hint="default"/>
      </w:rPr>
    </w:lvl>
    <w:lvl w:ilvl="2" w:tplc="77927622">
      <w:numFmt w:val="bullet"/>
      <w:lvlText w:val="•"/>
      <w:lvlJc w:val="left"/>
      <w:pPr>
        <w:ind w:left="443" w:hanging="100"/>
      </w:pPr>
      <w:rPr>
        <w:rFonts w:hint="default"/>
      </w:rPr>
    </w:lvl>
    <w:lvl w:ilvl="3" w:tplc="973AFF92">
      <w:numFmt w:val="bullet"/>
      <w:lvlText w:val="•"/>
      <w:lvlJc w:val="left"/>
      <w:pPr>
        <w:ind w:left="585" w:hanging="100"/>
      </w:pPr>
      <w:rPr>
        <w:rFonts w:hint="default"/>
      </w:rPr>
    </w:lvl>
    <w:lvl w:ilvl="4" w:tplc="4E18598C">
      <w:numFmt w:val="bullet"/>
      <w:lvlText w:val="•"/>
      <w:lvlJc w:val="left"/>
      <w:pPr>
        <w:ind w:left="726" w:hanging="100"/>
      </w:pPr>
      <w:rPr>
        <w:rFonts w:hint="default"/>
      </w:rPr>
    </w:lvl>
    <w:lvl w:ilvl="5" w:tplc="DE68DBCE">
      <w:numFmt w:val="bullet"/>
      <w:lvlText w:val="•"/>
      <w:lvlJc w:val="left"/>
      <w:pPr>
        <w:ind w:left="868" w:hanging="100"/>
      </w:pPr>
      <w:rPr>
        <w:rFonts w:hint="default"/>
      </w:rPr>
    </w:lvl>
    <w:lvl w:ilvl="6" w:tplc="0C6E31F8">
      <w:numFmt w:val="bullet"/>
      <w:lvlText w:val="•"/>
      <w:lvlJc w:val="left"/>
      <w:pPr>
        <w:ind w:left="1010" w:hanging="100"/>
      </w:pPr>
      <w:rPr>
        <w:rFonts w:hint="default"/>
      </w:rPr>
    </w:lvl>
    <w:lvl w:ilvl="7" w:tplc="496E6180">
      <w:numFmt w:val="bullet"/>
      <w:lvlText w:val="•"/>
      <w:lvlJc w:val="left"/>
      <w:pPr>
        <w:ind w:left="1151" w:hanging="100"/>
      </w:pPr>
      <w:rPr>
        <w:rFonts w:hint="default"/>
      </w:rPr>
    </w:lvl>
    <w:lvl w:ilvl="8" w:tplc="DDE67538">
      <w:numFmt w:val="bullet"/>
      <w:lvlText w:val="•"/>
      <w:lvlJc w:val="left"/>
      <w:pPr>
        <w:ind w:left="1293" w:hanging="100"/>
      </w:pPr>
      <w:rPr>
        <w:rFonts w:hint="default"/>
      </w:rPr>
    </w:lvl>
  </w:abstractNum>
  <w:abstractNum w:abstractNumId="1595" w15:restartNumberingAfterBreak="0">
    <w:nsid w:val="646B3267"/>
    <w:multiLevelType w:val="hybridMultilevel"/>
    <w:tmpl w:val="BC9AE136"/>
    <w:lvl w:ilvl="0" w:tplc="7CE02950">
      <w:numFmt w:val="bullet"/>
      <w:lvlText w:val=""/>
      <w:lvlJc w:val="left"/>
      <w:pPr>
        <w:ind w:left="156" w:hanging="100"/>
      </w:pPr>
      <w:rPr>
        <w:rFonts w:ascii="Symbol" w:eastAsia="Symbol" w:hAnsi="Symbol" w:cs="Symbol" w:hint="default"/>
        <w:color w:val="231F20"/>
        <w:w w:val="100"/>
        <w:sz w:val="14"/>
        <w:szCs w:val="14"/>
      </w:rPr>
    </w:lvl>
    <w:lvl w:ilvl="1" w:tplc="39D05784">
      <w:numFmt w:val="bullet"/>
      <w:lvlText w:val="•"/>
      <w:lvlJc w:val="left"/>
      <w:pPr>
        <w:ind w:left="301" w:hanging="100"/>
      </w:pPr>
      <w:rPr>
        <w:rFonts w:hint="default"/>
      </w:rPr>
    </w:lvl>
    <w:lvl w:ilvl="2" w:tplc="B90CB67E">
      <w:numFmt w:val="bullet"/>
      <w:lvlText w:val="•"/>
      <w:lvlJc w:val="left"/>
      <w:pPr>
        <w:ind w:left="443" w:hanging="100"/>
      </w:pPr>
      <w:rPr>
        <w:rFonts w:hint="default"/>
      </w:rPr>
    </w:lvl>
    <w:lvl w:ilvl="3" w:tplc="B6B49C94">
      <w:numFmt w:val="bullet"/>
      <w:lvlText w:val="•"/>
      <w:lvlJc w:val="left"/>
      <w:pPr>
        <w:ind w:left="585" w:hanging="100"/>
      </w:pPr>
      <w:rPr>
        <w:rFonts w:hint="default"/>
      </w:rPr>
    </w:lvl>
    <w:lvl w:ilvl="4" w:tplc="4CEEB538">
      <w:numFmt w:val="bullet"/>
      <w:lvlText w:val="•"/>
      <w:lvlJc w:val="left"/>
      <w:pPr>
        <w:ind w:left="726" w:hanging="100"/>
      </w:pPr>
      <w:rPr>
        <w:rFonts w:hint="default"/>
      </w:rPr>
    </w:lvl>
    <w:lvl w:ilvl="5" w:tplc="C1C64386">
      <w:numFmt w:val="bullet"/>
      <w:lvlText w:val="•"/>
      <w:lvlJc w:val="left"/>
      <w:pPr>
        <w:ind w:left="868" w:hanging="100"/>
      </w:pPr>
      <w:rPr>
        <w:rFonts w:hint="default"/>
      </w:rPr>
    </w:lvl>
    <w:lvl w:ilvl="6" w:tplc="F6F6C95C">
      <w:numFmt w:val="bullet"/>
      <w:lvlText w:val="•"/>
      <w:lvlJc w:val="left"/>
      <w:pPr>
        <w:ind w:left="1010" w:hanging="100"/>
      </w:pPr>
      <w:rPr>
        <w:rFonts w:hint="default"/>
      </w:rPr>
    </w:lvl>
    <w:lvl w:ilvl="7" w:tplc="4FFE1D4A">
      <w:numFmt w:val="bullet"/>
      <w:lvlText w:val="•"/>
      <w:lvlJc w:val="left"/>
      <w:pPr>
        <w:ind w:left="1151" w:hanging="100"/>
      </w:pPr>
      <w:rPr>
        <w:rFonts w:hint="default"/>
      </w:rPr>
    </w:lvl>
    <w:lvl w:ilvl="8" w:tplc="E4923890">
      <w:numFmt w:val="bullet"/>
      <w:lvlText w:val="•"/>
      <w:lvlJc w:val="left"/>
      <w:pPr>
        <w:ind w:left="1293" w:hanging="100"/>
      </w:pPr>
      <w:rPr>
        <w:rFonts w:hint="default"/>
      </w:rPr>
    </w:lvl>
  </w:abstractNum>
  <w:abstractNum w:abstractNumId="1596" w15:restartNumberingAfterBreak="0">
    <w:nsid w:val="64AD0849"/>
    <w:multiLevelType w:val="hybridMultilevel"/>
    <w:tmpl w:val="2BA6F59A"/>
    <w:lvl w:ilvl="0" w:tplc="D46CB780">
      <w:numFmt w:val="bullet"/>
      <w:lvlText w:val=""/>
      <w:lvlJc w:val="left"/>
      <w:pPr>
        <w:ind w:left="156" w:hanging="100"/>
      </w:pPr>
      <w:rPr>
        <w:rFonts w:ascii="Symbol" w:eastAsia="Symbol" w:hAnsi="Symbol" w:cs="Symbol" w:hint="default"/>
        <w:color w:val="231F20"/>
        <w:w w:val="100"/>
        <w:sz w:val="14"/>
        <w:szCs w:val="14"/>
      </w:rPr>
    </w:lvl>
    <w:lvl w:ilvl="1" w:tplc="58B0CBDA">
      <w:numFmt w:val="bullet"/>
      <w:lvlText w:val="•"/>
      <w:lvlJc w:val="left"/>
      <w:pPr>
        <w:ind w:left="426" w:hanging="100"/>
      </w:pPr>
      <w:rPr>
        <w:rFonts w:hint="default"/>
      </w:rPr>
    </w:lvl>
    <w:lvl w:ilvl="2" w:tplc="F8325728">
      <w:numFmt w:val="bullet"/>
      <w:lvlText w:val="•"/>
      <w:lvlJc w:val="left"/>
      <w:pPr>
        <w:ind w:left="692" w:hanging="100"/>
      </w:pPr>
      <w:rPr>
        <w:rFonts w:hint="default"/>
      </w:rPr>
    </w:lvl>
    <w:lvl w:ilvl="3" w:tplc="2AEE610E">
      <w:numFmt w:val="bullet"/>
      <w:lvlText w:val="•"/>
      <w:lvlJc w:val="left"/>
      <w:pPr>
        <w:ind w:left="959" w:hanging="100"/>
      </w:pPr>
      <w:rPr>
        <w:rFonts w:hint="default"/>
      </w:rPr>
    </w:lvl>
    <w:lvl w:ilvl="4" w:tplc="C3DC64D4">
      <w:numFmt w:val="bullet"/>
      <w:lvlText w:val="•"/>
      <w:lvlJc w:val="left"/>
      <w:pPr>
        <w:ind w:left="1225" w:hanging="100"/>
      </w:pPr>
      <w:rPr>
        <w:rFonts w:hint="default"/>
      </w:rPr>
    </w:lvl>
    <w:lvl w:ilvl="5" w:tplc="B02891E4">
      <w:numFmt w:val="bullet"/>
      <w:lvlText w:val="•"/>
      <w:lvlJc w:val="left"/>
      <w:pPr>
        <w:ind w:left="1492" w:hanging="100"/>
      </w:pPr>
      <w:rPr>
        <w:rFonts w:hint="default"/>
      </w:rPr>
    </w:lvl>
    <w:lvl w:ilvl="6" w:tplc="86260822">
      <w:numFmt w:val="bullet"/>
      <w:lvlText w:val="•"/>
      <w:lvlJc w:val="left"/>
      <w:pPr>
        <w:ind w:left="1758" w:hanging="100"/>
      </w:pPr>
      <w:rPr>
        <w:rFonts w:hint="default"/>
      </w:rPr>
    </w:lvl>
    <w:lvl w:ilvl="7" w:tplc="440E4890">
      <w:numFmt w:val="bullet"/>
      <w:lvlText w:val="•"/>
      <w:lvlJc w:val="left"/>
      <w:pPr>
        <w:ind w:left="2024" w:hanging="100"/>
      </w:pPr>
      <w:rPr>
        <w:rFonts w:hint="default"/>
      </w:rPr>
    </w:lvl>
    <w:lvl w:ilvl="8" w:tplc="200265DC">
      <w:numFmt w:val="bullet"/>
      <w:lvlText w:val="•"/>
      <w:lvlJc w:val="left"/>
      <w:pPr>
        <w:ind w:left="2291" w:hanging="100"/>
      </w:pPr>
      <w:rPr>
        <w:rFonts w:hint="default"/>
      </w:rPr>
    </w:lvl>
  </w:abstractNum>
  <w:abstractNum w:abstractNumId="1597" w15:restartNumberingAfterBreak="0">
    <w:nsid w:val="64BA73AE"/>
    <w:multiLevelType w:val="hybridMultilevel"/>
    <w:tmpl w:val="53B0F500"/>
    <w:lvl w:ilvl="0" w:tplc="9F2AB4EE">
      <w:numFmt w:val="bullet"/>
      <w:lvlText w:val=""/>
      <w:lvlJc w:val="left"/>
      <w:pPr>
        <w:ind w:left="156" w:hanging="100"/>
      </w:pPr>
      <w:rPr>
        <w:rFonts w:ascii="Symbol" w:eastAsia="Symbol" w:hAnsi="Symbol" w:cs="Symbol" w:hint="default"/>
        <w:color w:val="231F20"/>
        <w:w w:val="100"/>
        <w:sz w:val="14"/>
        <w:szCs w:val="14"/>
      </w:rPr>
    </w:lvl>
    <w:lvl w:ilvl="1" w:tplc="8D520E04">
      <w:numFmt w:val="bullet"/>
      <w:lvlText w:val="•"/>
      <w:lvlJc w:val="left"/>
      <w:pPr>
        <w:ind w:left="426" w:hanging="100"/>
      </w:pPr>
      <w:rPr>
        <w:rFonts w:hint="default"/>
      </w:rPr>
    </w:lvl>
    <w:lvl w:ilvl="2" w:tplc="EF682102">
      <w:numFmt w:val="bullet"/>
      <w:lvlText w:val="•"/>
      <w:lvlJc w:val="left"/>
      <w:pPr>
        <w:ind w:left="692" w:hanging="100"/>
      </w:pPr>
      <w:rPr>
        <w:rFonts w:hint="default"/>
      </w:rPr>
    </w:lvl>
    <w:lvl w:ilvl="3" w:tplc="AC5CC320">
      <w:numFmt w:val="bullet"/>
      <w:lvlText w:val="•"/>
      <w:lvlJc w:val="left"/>
      <w:pPr>
        <w:ind w:left="959" w:hanging="100"/>
      </w:pPr>
      <w:rPr>
        <w:rFonts w:hint="default"/>
      </w:rPr>
    </w:lvl>
    <w:lvl w:ilvl="4" w:tplc="184EEFCA">
      <w:numFmt w:val="bullet"/>
      <w:lvlText w:val="•"/>
      <w:lvlJc w:val="left"/>
      <w:pPr>
        <w:ind w:left="1225" w:hanging="100"/>
      </w:pPr>
      <w:rPr>
        <w:rFonts w:hint="default"/>
      </w:rPr>
    </w:lvl>
    <w:lvl w:ilvl="5" w:tplc="B8922D72">
      <w:numFmt w:val="bullet"/>
      <w:lvlText w:val="•"/>
      <w:lvlJc w:val="left"/>
      <w:pPr>
        <w:ind w:left="1492" w:hanging="100"/>
      </w:pPr>
      <w:rPr>
        <w:rFonts w:hint="default"/>
      </w:rPr>
    </w:lvl>
    <w:lvl w:ilvl="6" w:tplc="C4D234BE">
      <w:numFmt w:val="bullet"/>
      <w:lvlText w:val="•"/>
      <w:lvlJc w:val="left"/>
      <w:pPr>
        <w:ind w:left="1758" w:hanging="100"/>
      </w:pPr>
      <w:rPr>
        <w:rFonts w:hint="default"/>
      </w:rPr>
    </w:lvl>
    <w:lvl w:ilvl="7" w:tplc="B1661634">
      <w:numFmt w:val="bullet"/>
      <w:lvlText w:val="•"/>
      <w:lvlJc w:val="left"/>
      <w:pPr>
        <w:ind w:left="2024" w:hanging="100"/>
      </w:pPr>
      <w:rPr>
        <w:rFonts w:hint="default"/>
      </w:rPr>
    </w:lvl>
    <w:lvl w:ilvl="8" w:tplc="05EA62CA">
      <w:numFmt w:val="bullet"/>
      <w:lvlText w:val="•"/>
      <w:lvlJc w:val="left"/>
      <w:pPr>
        <w:ind w:left="2291" w:hanging="100"/>
      </w:pPr>
      <w:rPr>
        <w:rFonts w:hint="default"/>
      </w:rPr>
    </w:lvl>
  </w:abstractNum>
  <w:abstractNum w:abstractNumId="1598" w15:restartNumberingAfterBreak="0">
    <w:nsid w:val="64C110A3"/>
    <w:multiLevelType w:val="hybridMultilevel"/>
    <w:tmpl w:val="F448364C"/>
    <w:lvl w:ilvl="0" w:tplc="8DB86D2E">
      <w:numFmt w:val="bullet"/>
      <w:lvlText w:val=""/>
      <w:lvlJc w:val="left"/>
      <w:pPr>
        <w:ind w:left="156" w:hanging="100"/>
      </w:pPr>
      <w:rPr>
        <w:rFonts w:ascii="Symbol" w:eastAsia="Symbol" w:hAnsi="Symbol" w:cs="Symbol" w:hint="default"/>
        <w:color w:val="231F20"/>
        <w:w w:val="100"/>
        <w:sz w:val="14"/>
        <w:szCs w:val="14"/>
      </w:rPr>
    </w:lvl>
    <w:lvl w:ilvl="1" w:tplc="FE12B928">
      <w:numFmt w:val="bullet"/>
      <w:lvlText w:val="•"/>
      <w:lvlJc w:val="left"/>
      <w:pPr>
        <w:ind w:left="301" w:hanging="100"/>
      </w:pPr>
      <w:rPr>
        <w:rFonts w:hint="default"/>
      </w:rPr>
    </w:lvl>
    <w:lvl w:ilvl="2" w:tplc="AF8CFEEC">
      <w:numFmt w:val="bullet"/>
      <w:lvlText w:val="•"/>
      <w:lvlJc w:val="left"/>
      <w:pPr>
        <w:ind w:left="443" w:hanging="100"/>
      </w:pPr>
      <w:rPr>
        <w:rFonts w:hint="default"/>
      </w:rPr>
    </w:lvl>
    <w:lvl w:ilvl="3" w:tplc="6818B96A">
      <w:numFmt w:val="bullet"/>
      <w:lvlText w:val="•"/>
      <w:lvlJc w:val="left"/>
      <w:pPr>
        <w:ind w:left="585" w:hanging="100"/>
      </w:pPr>
      <w:rPr>
        <w:rFonts w:hint="default"/>
      </w:rPr>
    </w:lvl>
    <w:lvl w:ilvl="4" w:tplc="BBC87810">
      <w:numFmt w:val="bullet"/>
      <w:lvlText w:val="•"/>
      <w:lvlJc w:val="left"/>
      <w:pPr>
        <w:ind w:left="726" w:hanging="100"/>
      </w:pPr>
      <w:rPr>
        <w:rFonts w:hint="default"/>
      </w:rPr>
    </w:lvl>
    <w:lvl w:ilvl="5" w:tplc="7E5CF804">
      <w:numFmt w:val="bullet"/>
      <w:lvlText w:val="•"/>
      <w:lvlJc w:val="left"/>
      <w:pPr>
        <w:ind w:left="868" w:hanging="100"/>
      </w:pPr>
      <w:rPr>
        <w:rFonts w:hint="default"/>
      </w:rPr>
    </w:lvl>
    <w:lvl w:ilvl="6" w:tplc="61BA9FE8">
      <w:numFmt w:val="bullet"/>
      <w:lvlText w:val="•"/>
      <w:lvlJc w:val="left"/>
      <w:pPr>
        <w:ind w:left="1010" w:hanging="100"/>
      </w:pPr>
      <w:rPr>
        <w:rFonts w:hint="default"/>
      </w:rPr>
    </w:lvl>
    <w:lvl w:ilvl="7" w:tplc="EE2476EC">
      <w:numFmt w:val="bullet"/>
      <w:lvlText w:val="•"/>
      <w:lvlJc w:val="left"/>
      <w:pPr>
        <w:ind w:left="1151" w:hanging="100"/>
      </w:pPr>
      <w:rPr>
        <w:rFonts w:hint="default"/>
      </w:rPr>
    </w:lvl>
    <w:lvl w:ilvl="8" w:tplc="BF7EC5FE">
      <w:numFmt w:val="bullet"/>
      <w:lvlText w:val="•"/>
      <w:lvlJc w:val="left"/>
      <w:pPr>
        <w:ind w:left="1293" w:hanging="100"/>
      </w:pPr>
      <w:rPr>
        <w:rFonts w:hint="default"/>
      </w:rPr>
    </w:lvl>
  </w:abstractNum>
  <w:abstractNum w:abstractNumId="1599" w15:restartNumberingAfterBreak="0">
    <w:nsid w:val="64D05354"/>
    <w:multiLevelType w:val="hybridMultilevel"/>
    <w:tmpl w:val="101A2EB4"/>
    <w:lvl w:ilvl="0" w:tplc="3DF2E3A0">
      <w:numFmt w:val="bullet"/>
      <w:lvlText w:val=""/>
      <w:lvlJc w:val="left"/>
      <w:pPr>
        <w:ind w:left="157" w:hanging="100"/>
      </w:pPr>
      <w:rPr>
        <w:rFonts w:ascii="Symbol" w:eastAsia="Symbol" w:hAnsi="Symbol" w:cs="Symbol" w:hint="default"/>
        <w:color w:val="231F20"/>
        <w:w w:val="100"/>
        <w:sz w:val="14"/>
        <w:szCs w:val="14"/>
      </w:rPr>
    </w:lvl>
    <w:lvl w:ilvl="1" w:tplc="15BAF1CC">
      <w:numFmt w:val="bullet"/>
      <w:lvlText w:val="•"/>
      <w:lvlJc w:val="left"/>
      <w:pPr>
        <w:ind w:left="398" w:hanging="100"/>
      </w:pPr>
      <w:rPr>
        <w:rFonts w:hint="default"/>
      </w:rPr>
    </w:lvl>
    <w:lvl w:ilvl="2" w:tplc="CC86A7B2">
      <w:numFmt w:val="bullet"/>
      <w:lvlText w:val="•"/>
      <w:lvlJc w:val="left"/>
      <w:pPr>
        <w:ind w:left="636" w:hanging="100"/>
      </w:pPr>
      <w:rPr>
        <w:rFonts w:hint="default"/>
      </w:rPr>
    </w:lvl>
    <w:lvl w:ilvl="3" w:tplc="0A9679B4">
      <w:numFmt w:val="bullet"/>
      <w:lvlText w:val="•"/>
      <w:lvlJc w:val="left"/>
      <w:pPr>
        <w:ind w:left="874" w:hanging="100"/>
      </w:pPr>
      <w:rPr>
        <w:rFonts w:hint="default"/>
      </w:rPr>
    </w:lvl>
    <w:lvl w:ilvl="4" w:tplc="7B3E8262">
      <w:numFmt w:val="bullet"/>
      <w:lvlText w:val="•"/>
      <w:lvlJc w:val="left"/>
      <w:pPr>
        <w:ind w:left="1112" w:hanging="100"/>
      </w:pPr>
      <w:rPr>
        <w:rFonts w:hint="default"/>
      </w:rPr>
    </w:lvl>
    <w:lvl w:ilvl="5" w:tplc="536CB13C">
      <w:numFmt w:val="bullet"/>
      <w:lvlText w:val="•"/>
      <w:lvlJc w:val="left"/>
      <w:pPr>
        <w:ind w:left="1350" w:hanging="100"/>
      </w:pPr>
      <w:rPr>
        <w:rFonts w:hint="default"/>
      </w:rPr>
    </w:lvl>
    <w:lvl w:ilvl="6" w:tplc="BFB40B40">
      <w:numFmt w:val="bullet"/>
      <w:lvlText w:val="•"/>
      <w:lvlJc w:val="left"/>
      <w:pPr>
        <w:ind w:left="1588" w:hanging="100"/>
      </w:pPr>
      <w:rPr>
        <w:rFonts w:hint="default"/>
      </w:rPr>
    </w:lvl>
    <w:lvl w:ilvl="7" w:tplc="F252BA5E">
      <w:numFmt w:val="bullet"/>
      <w:lvlText w:val="•"/>
      <w:lvlJc w:val="left"/>
      <w:pPr>
        <w:ind w:left="1826" w:hanging="100"/>
      </w:pPr>
      <w:rPr>
        <w:rFonts w:hint="default"/>
      </w:rPr>
    </w:lvl>
    <w:lvl w:ilvl="8" w:tplc="31E22E3A">
      <w:numFmt w:val="bullet"/>
      <w:lvlText w:val="•"/>
      <w:lvlJc w:val="left"/>
      <w:pPr>
        <w:ind w:left="2064" w:hanging="100"/>
      </w:pPr>
      <w:rPr>
        <w:rFonts w:hint="default"/>
      </w:rPr>
    </w:lvl>
  </w:abstractNum>
  <w:abstractNum w:abstractNumId="1600" w15:restartNumberingAfterBreak="0">
    <w:nsid w:val="64D16433"/>
    <w:multiLevelType w:val="hybridMultilevel"/>
    <w:tmpl w:val="7B420FBE"/>
    <w:lvl w:ilvl="0" w:tplc="6028550E">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60F63CFA">
      <w:numFmt w:val="bullet"/>
      <w:lvlText w:val="•"/>
      <w:lvlJc w:val="left"/>
      <w:pPr>
        <w:ind w:left="408" w:hanging="84"/>
      </w:pPr>
      <w:rPr>
        <w:rFonts w:hint="default"/>
      </w:rPr>
    </w:lvl>
    <w:lvl w:ilvl="2" w:tplc="D4A0A064">
      <w:numFmt w:val="bullet"/>
      <w:lvlText w:val="•"/>
      <w:lvlJc w:val="left"/>
      <w:pPr>
        <w:ind w:left="676" w:hanging="84"/>
      </w:pPr>
      <w:rPr>
        <w:rFonts w:hint="default"/>
      </w:rPr>
    </w:lvl>
    <w:lvl w:ilvl="3" w:tplc="9174A832">
      <w:numFmt w:val="bullet"/>
      <w:lvlText w:val="•"/>
      <w:lvlJc w:val="left"/>
      <w:pPr>
        <w:ind w:left="945" w:hanging="84"/>
      </w:pPr>
      <w:rPr>
        <w:rFonts w:hint="default"/>
      </w:rPr>
    </w:lvl>
    <w:lvl w:ilvl="4" w:tplc="01E4FE5A">
      <w:numFmt w:val="bullet"/>
      <w:lvlText w:val="•"/>
      <w:lvlJc w:val="left"/>
      <w:pPr>
        <w:ind w:left="1213" w:hanging="84"/>
      </w:pPr>
      <w:rPr>
        <w:rFonts w:hint="default"/>
      </w:rPr>
    </w:lvl>
    <w:lvl w:ilvl="5" w:tplc="8FCCEDBC">
      <w:numFmt w:val="bullet"/>
      <w:lvlText w:val="•"/>
      <w:lvlJc w:val="left"/>
      <w:pPr>
        <w:ind w:left="1482" w:hanging="84"/>
      </w:pPr>
      <w:rPr>
        <w:rFonts w:hint="default"/>
      </w:rPr>
    </w:lvl>
    <w:lvl w:ilvl="6" w:tplc="D076D012">
      <w:numFmt w:val="bullet"/>
      <w:lvlText w:val="•"/>
      <w:lvlJc w:val="left"/>
      <w:pPr>
        <w:ind w:left="1750" w:hanging="84"/>
      </w:pPr>
      <w:rPr>
        <w:rFonts w:hint="default"/>
      </w:rPr>
    </w:lvl>
    <w:lvl w:ilvl="7" w:tplc="C958B52C">
      <w:numFmt w:val="bullet"/>
      <w:lvlText w:val="•"/>
      <w:lvlJc w:val="left"/>
      <w:pPr>
        <w:ind w:left="2018" w:hanging="84"/>
      </w:pPr>
      <w:rPr>
        <w:rFonts w:hint="default"/>
      </w:rPr>
    </w:lvl>
    <w:lvl w:ilvl="8" w:tplc="DECE2E50">
      <w:numFmt w:val="bullet"/>
      <w:lvlText w:val="•"/>
      <w:lvlJc w:val="left"/>
      <w:pPr>
        <w:ind w:left="2287" w:hanging="84"/>
      </w:pPr>
      <w:rPr>
        <w:rFonts w:hint="default"/>
      </w:rPr>
    </w:lvl>
  </w:abstractNum>
  <w:abstractNum w:abstractNumId="1601" w15:restartNumberingAfterBreak="0">
    <w:nsid w:val="64D34C83"/>
    <w:multiLevelType w:val="hybridMultilevel"/>
    <w:tmpl w:val="17626054"/>
    <w:lvl w:ilvl="0" w:tplc="159C61BA">
      <w:numFmt w:val="bullet"/>
      <w:lvlText w:val=""/>
      <w:lvlJc w:val="left"/>
      <w:pPr>
        <w:ind w:left="157" w:hanging="100"/>
      </w:pPr>
      <w:rPr>
        <w:rFonts w:ascii="Symbol" w:eastAsia="Symbol" w:hAnsi="Symbol" w:cs="Symbol" w:hint="default"/>
        <w:color w:val="231F20"/>
        <w:w w:val="100"/>
        <w:sz w:val="14"/>
        <w:szCs w:val="14"/>
      </w:rPr>
    </w:lvl>
    <w:lvl w:ilvl="1" w:tplc="B3F2B714">
      <w:numFmt w:val="bullet"/>
      <w:lvlText w:val="•"/>
      <w:lvlJc w:val="left"/>
      <w:pPr>
        <w:ind w:left="398" w:hanging="100"/>
      </w:pPr>
      <w:rPr>
        <w:rFonts w:hint="default"/>
      </w:rPr>
    </w:lvl>
    <w:lvl w:ilvl="2" w:tplc="FF4CB582">
      <w:numFmt w:val="bullet"/>
      <w:lvlText w:val="•"/>
      <w:lvlJc w:val="left"/>
      <w:pPr>
        <w:ind w:left="636" w:hanging="100"/>
      </w:pPr>
      <w:rPr>
        <w:rFonts w:hint="default"/>
      </w:rPr>
    </w:lvl>
    <w:lvl w:ilvl="3" w:tplc="B8808EA8">
      <w:numFmt w:val="bullet"/>
      <w:lvlText w:val="•"/>
      <w:lvlJc w:val="left"/>
      <w:pPr>
        <w:ind w:left="874" w:hanging="100"/>
      </w:pPr>
      <w:rPr>
        <w:rFonts w:hint="default"/>
      </w:rPr>
    </w:lvl>
    <w:lvl w:ilvl="4" w:tplc="62C48DDE">
      <w:numFmt w:val="bullet"/>
      <w:lvlText w:val="•"/>
      <w:lvlJc w:val="left"/>
      <w:pPr>
        <w:ind w:left="1112" w:hanging="100"/>
      </w:pPr>
      <w:rPr>
        <w:rFonts w:hint="default"/>
      </w:rPr>
    </w:lvl>
    <w:lvl w:ilvl="5" w:tplc="2AE271DC">
      <w:numFmt w:val="bullet"/>
      <w:lvlText w:val="•"/>
      <w:lvlJc w:val="left"/>
      <w:pPr>
        <w:ind w:left="1350" w:hanging="100"/>
      </w:pPr>
      <w:rPr>
        <w:rFonts w:hint="default"/>
      </w:rPr>
    </w:lvl>
    <w:lvl w:ilvl="6" w:tplc="9DD69CE8">
      <w:numFmt w:val="bullet"/>
      <w:lvlText w:val="•"/>
      <w:lvlJc w:val="left"/>
      <w:pPr>
        <w:ind w:left="1588" w:hanging="100"/>
      </w:pPr>
      <w:rPr>
        <w:rFonts w:hint="default"/>
      </w:rPr>
    </w:lvl>
    <w:lvl w:ilvl="7" w:tplc="07466642">
      <w:numFmt w:val="bullet"/>
      <w:lvlText w:val="•"/>
      <w:lvlJc w:val="left"/>
      <w:pPr>
        <w:ind w:left="1826" w:hanging="100"/>
      </w:pPr>
      <w:rPr>
        <w:rFonts w:hint="default"/>
      </w:rPr>
    </w:lvl>
    <w:lvl w:ilvl="8" w:tplc="48B46FDE">
      <w:numFmt w:val="bullet"/>
      <w:lvlText w:val="•"/>
      <w:lvlJc w:val="left"/>
      <w:pPr>
        <w:ind w:left="2064" w:hanging="100"/>
      </w:pPr>
      <w:rPr>
        <w:rFonts w:hint="default"/>
      </w:rPr>
    </w:lvl>
  </w:abstractNum>
  <w:abstractNum w:abstractNumId="1602" w15:restartNumberingAfterBreak="0">
    <w:nsid w:val="64DC1326"/>
    <w:multiLevelType w:val="hybridMultilevel"/>
    <w:tmpl w:val="9CF4E3D0"/>
    <w:lvl w:ilvl="0" w:tplc="1E90F07C">
      <w:numFmt w:val="bullet"/>
      <w:lvlText w:val=""/>
      <w:lvlJc w:val="left"/>
      <w:pPr>
        <w:ind w:left="156" w:hanging="100"/>
      </w:pPr>
      <w:rPr>
        <w:rFonts w:ascii="Symbol" w:eastAsia="Symbol" w:hAnsi="Symbol" w:cs="Symbol" w:hint="default"/>
        <w:color w:val="231F20"/>
        <w:w w:val="100"/>
        <w:sz w:val="14"/>
        <w:szCs w:val="14"/>
      </w:rPr>
    </w:lvl>
    <w:lvl w:ilvl="1" w:tplc="4364CAA4">
      <w:numFmt w:val="bullet"/>
      <w:lvlText w:val="•"/>
      <w:lvlJc w:val="left"/>
      <w:pPr>
        <w:ind w:left="301" w:hanging="100"/>
      </w:pPr>
      <w:rPr>
        <w:rFonts w:hint="default"/>
      </w:rPr>
    </w:lvl>
    <w:lvl w:ilvl="2" w:tplc="8AF8D588">
      <w:numFmt w:val="bullet"/>
      <w:lvlText w:val="•"/>
      <w:lvlJc w:val="left"/>
      <w:pPr>
        <w:ind w:left="443" w:hanging="100"/>
      </w:pPr>
      <w:rPr>
        <w:rFonts w:hint="default"/>
      </w:rPr>
    </w:lvl>
    <w:lvl w:ilvl="3" w:tplc="3D6A9794">
      <w:numFmt w:val="bullet"/>
      <w:lvlText w:val="•"/>
      <w:lvlJc w:val="left"/>
      <w:pPr>
        <w:ind w:left="585" w:hanging="100"/>
      </w:pPr>
      <w:rPr>
        <w:rFonts w:hint="default"/>
      </w:rPr>
    </w:lvl>
    <w:lvl w:ilvl="4" w:tplc="A0B02DB4">
      <w:numFmt w:val="bullet"/>
      <w:lvlText w:val="•"/>
      <w:lvlJc w:val="left"/>
      <w:pPr>
        <w:ind w:left="726" w:hanging="100"/>
      </w:pPr>
      <w:rPr>
        <w:rFonts w:hint="default"/>
      </w:rPr>
    </w:lvl>
    <w:lvl w:ilvl="5" w:tplc="A400FDC8">
      <w:numFmt w:val="bullet"/>
      <w:lvlText w:val="•"/>
      <w:lvlJc w:val="left"/>
      <w:pPr>
        <w:ind w:left="868" w:hanging="100"/>
      </w:pPr>
      <w:rPr>
        <w:rFonts w:hint="default"/>
      </w:rPr>
    </w:lvl>
    <w:lvl w:ilvl="6" w:tplc="922C1D22">
      <w:numFmt w:val="bullet"/>
      <w:lvlText w:val="•"/>
      <w:lvlJc w:val="left"/>
      <w:pPr>
        <w:ind w:left="1010" w:hanging="100"/>
      </w:pPr>
      <w:rPr>
        <w:rFonts w:hint="default"/>
      </w:rPr>
    </w:lvl>
    <w:lvl w:ilvl="7" w:tplc="02C465B2">
      <w:numFmt w:val="bullet"/>
      <w:lvlText w:val="•"/>
      <w:lvlJc w:val="left"/>
      <w:pPr>
        <w:ind w:left="1151" w:hanging="100"/>
      </w:pPr>
      <w:rPr>
        <w:rFonts w:hint="default"/>
      </w:rPr>
    </w:lvl>
    <w:lvl w:ilvl="8" w:tplc="D25EF64A">
      <w:numFmt w:val="bullet"/>
      <w:lvlText w:val="•"/>
      <w:lvlJc w:val="left"/>
      <w:pPr>
        <w:ind w:left="1293" w:hanging="100"/>
      </w:pPr>
      <w:rPr>
        <w:rFonts w:hint="default"/>
      </w:rPr>
    </w:lvl>
  </w:abstractNum>
  <w:abstractNum w:abstractNumId="1603" w15:restartNumberingAfterBreak="0">
    <w:nsid w:val="64E60A9A"/>
    <w:multiLevelType w:val="hybridMultilevel"/>
    <w:tmpl w:val="CCAA0D88"/>
    <w:lvl w:ilvl="0" w:tplc="8062A48C">
      <w:numFmt w:val="bullet"/>
      <w:lvlText w:val=""/>
      <w:lvlJc w:val="left"/>
      <w:pPr>
        <w:ind w:left="156" w:hanging="100"/>
      </w:pPr>
      <w:rPr>
        <w:rFonts w:ascii="Symbol" w:eastAsia="Symbol" w:hAnsi="Symbol" w:cs="Symbol" w:hint="default"/>
        <w:color w:val="231F20"/>
        <w:w w:val="100"/>
        <w:sz w:val="14"/>
        <w:szCs w:val="14"/>
      </w:rPr>
    </w:lvl>
    <w:lvl w:ilvl="1" w:tplc="0BE83B66">
      <w:numFmt w:val="bullet"/>
      <w:lvlText w:val="•"/>
      <w:lvlJc w:val="left"/>
      <w:pPr>
        <w:ind w:left="398" w:hanging="100"/>
      </w:pPr>
      <w:rPr>
        <w:rFonts w:hint="default"/>
      </w:rPr>
    </w:lvl>
    <w:lvl w:ilvl="2" w:tplc="26E0A304">
      <w:numFmt w:val="bullet"/>
      <w:lvlText w:val="•"/>
      <w:lvlJc w:val="left"/>
      <w:pPr>
        <w:ind w:left="636" w:hanging="100"/>
      </w:pPr>
      <w:rPr>
        <w:rFonts w:hint="default"/>
      </w:rPr>
    </w:lvl>
    <w:lvl w:ilvl="3" w:tplc="3CD05370">
      <w:numFmt w:val="bullet"/>
      <w:lvlText w:val="•"/>
      <w:lvlJc w:val="left"/>
      <w:pPr>
        <w:ind w:left="874" w:hanging="100"/>
      </w:pPr>
      <w:rPr>
        <w:rFonts w:hint="default"/>
      </w:rPr>
    </w:lvl>
    <w:lvl w:ilvl="4" w:tplc="53DEBF94">
      <w:numFmt w:val="bullet"/>
      <w:lvlText w:val="•"/>
      <w:lvlJc w:val="left"/>
      <w:pPr>
        <w:ind w:left="1112" w:hanging="100"/>
      </w:pPr>
      <w:rPr>
        <w:rFonts w:hint="default"/>
      </w:rPr>
    </w:lvl>
    <w:lvl w:ilvl="5" w:tplc="452C1298">
      <w:numFmt w:val="bullet"/>
      <w:lvlText w:val="•"/>
      <w:lvlJc w:val="left"/>
      <w:pPr>
        <w:ind w:left="1350" w:hanging="100"/>
      </w:pPr>
      <w:rPr>
        <w:rFonts w:hint="default"/>
      </w:rPr>
    </w:lvl>
    <w:lvl w:ilvl="6" w:tplc="BA2A850A">
      <w:numFmt w:val="bullet"/>
      <w:lvlText w:val="•"/>
      <w:lvlJc w:val="left"/>
      <w:pPr>
        <w:ind w:left="1588" w:hanging="100"/>
      </w:pPr>
      <w:rPr>
        <w:rFonts w:hint="default"/>
      </w:rPr>
    </w:lvl>
    <w:lvl w:ilvl="7" w:tplc="725EDB5A">
      <w:numFmt w:val="bullet"/>
      <w:lvlText w:val="•"/>
      <w:lvlJc w:val="left"/>
      <w:pPr>
        <w:ind w:left="1826" w:hanging="100"/>
      </w:pPr>
      <w:rPr>
        <w:rFonts w:hint="default"/>
      </w:rPr>
    </w:lvl>
    <w:lvl w:ilvl="8" w:tplc="BDBEAA6C">
      <w:numFmt w:val="bullet"/>
      <w:lvlText w:val="•"/>
      <w:lvlJc w:val="left"/>
      <w:pPr>
        <w:ind w:left="2064" w:hanging="100"/>
      </w:pPr>
      <w:rPr>
        <w:rFonts w:hint="default"/>
      </w:rPr>
    </w:lvl>
  </w:abstractNum>
  <w:abstractNum w:abstractNumId="1604" w15:restartNumberingAfterBreak="0">
    <w:nsid w:val="64EA1FEC"/>
    <w:multiLevelType w:val="hybridMultilevel"/>
    <w:tmpl w:val="A0067682"/>
    <w:lvl w:ilvl="0" w:tplc="C6E263A0">
      <w:numFmt w:val="bullet"/>
      <w:lvlText w:val=""/>
      <w:lvlJc w:val="left"/>
      <w:pPr>
        <w:ind w:left="156" w:hanging="100"/>
      </w:pPr>
      <w:rPr>
        <w:rFonts w:ascii="Symbol" w:eastAsia="Symbol" w:hAnsi="Symbol" w:cs="Symbol" w:hint="default"/>
        <w:color w:val="231F20"/>
        <w:w w:val="100"/>
        <w:sz w:val="14"/>
        <w:szCs w:val="14"/>
      </w:rPr>
    </w:lvl>
    <w:lvl w:ilvl="1" w:tplc="86A01C00">
      <w:numFmt w:val="bullet"/>
      <w:lvlText w:val="•"/>
      <w:lvlJc w:val="left"/>
      <w:pPr>
        <w:ind w:left="273" w:hanging="100"/>
      </w:pPr>
      <w:rPr>
        <w:rFonts w:hint="default"/>
      </w:rPr>
    </w:lvl>
    <w:lvl w:ilvl="2" w:tplc="72EE9A4A">
      <w:numFmt w:val="bullet"/>
      <w:lvlText w:val="•"/>
      <w:lvlJc w:val="left"/>
      <w:pPr>
        <w:ind w:left="386" w:hanging="100"/>
      </w:pPr>
      <w:rPr>
        <w:rFonts w:hint="default"/>
      </w:rPr>
    </w:lvl>
    <w:lvl w:ilvl="3" w:tplc="840EA522">
      <w:numFmt w:val="bullet"/>
      <w:lvlText w:val="•"/>
      <w:lvlJc w:val="left"/>
      <w:pPr>
        <w:ind w:left="500" w:hanging="100"/>
      </w:pPr>
      <w:rPr>
        <w:rFonts w:hint="default"/>
      </w:rPr>
    </w:lvl>
    <w:lvl w:ilvl="4" w:tplc="B3485070">
      <w:numFmt w:val="bullet"/>
      <w:lvlText w:val="•"/>
      <w:lvlJc w:val="left"/>
      <w:pPr>
        <w:ind w:left="613" w:hanging="100"/>
      </w:pPr>
      <w:rPr>
        <w:rFonts w:hint="default"/>
      </w:rPr>
    </w:lvl>
    <w:lvl w:ilvl="5" w:tplc="472E080A">
      <w:numFmt w:val="bullet"/>
      <w:lvlText w:val="•"/>
      <w:lvlJc w:val="left"/>
      <w:pPr>
        <w:ind w:left="727" w:hanging="100"/>
      </w:pPr>
      <w:rPr>
        <w:rFonts w:hint="default"/>
      </w:rPr>
    </w:lvl>
    <w:lvl w:ilvl="6" w:tplc="D604DB20">
      <w:numFmt w:val="bullet"/>
      <w:lvlText w:val="•"/>
      <w:lvlJc w:val="left"/>
      <w:pPr>
        <w:ind w:left="840" w:hanging="100"/>
      </w:pPr>
      <w:rPr>
        <w:rFonts w:hint="default"/>
      </w:rPr>
    </w:lvl>
    <w:lvl w:ilvl="7" w:tplc="110AFB36">
      <w:numFmt w:val="bullet"/>
      <w:lvlText w:val="•"/>
      <w:lvlJc w:val="left"/>
      <w:pPr>
        <w:ind w:left="953" w:hanging="100"/>
      </w:pPr>
      <w:rPr>
        <w:rFonts w:hint="default"/>
      </w:rPr>
    </w:lvl>
    <w:lvl w:ilvl="8" w:tplc="07FCCC80">
      <w:numFmt w:val="bullet"/>
      <w:lvlText w:val="•"/>
      <w:lvlJc w:val="left"/>
      <w:pPr>
        <w:ind w:left="1067" w:hanging="100"/>
      </w:pPr>
      <w:rPr>
        <w:rFonts w:hint="default"/>
      </w:rPr>
    </w:lvl>
  </w:abstractNum>
  <w:abstractNum w:abstractNumId="1605" w15:restartNumberingAfterBreak="0">
    <w:nsid w:val="65077718"/>
    <w:multiLevelType w:val="hybridMultilevel"/>
    <w:tmpl w:val="45A65378"/>
    <w:lvl w:ilvl="0" w:tplc="A60C8AB2">
      <w:numFmt w:val="bullet"/>
      <w:lvlText w:val=""/>
      <w:lvlJc w:val="left"/>
      <w:pPr>
        <w:ind w:left="157" w:hanging="100"/>
      </w:pPr>
      <w:rPr>
        <w:rFonts w:ascii="Symbol" w:eastAsia="Symbol" w:hAnsi="Symbol" w:cs="Symbol" w:hint="default"/>
        <w:color w:val="231F20"/>
        <w:w w:val="100"/>
        <w:sz w:val="14"/>
        <w:szCs w:val="14"/>
      </w:rPr>
    </w:lvl>
    <w:lvl w:ilvl="1" w:tplc="6C30EDBC">
      <w:numFmt w:val="bullet"/>
      <w:lvlText w:val="•"/>
      <w:lvlJc w:val="left"/>
      <w:pPr>
        <w:ind w:left="398" w:hanging="100"/>
      </w:pPr>
      <w:rPr>
        <w:rFonts w:hint="default"/>
      </w:rPr>
    </w:lvl>
    <w:lvl w:ilvl="2" w:tplc="CF3A6304">
      <w:numFmt w:val="bullet"/>
      <w:lvlText w:val="•"/>
      <w:lvlJc w:val="left"/>
      <w:pPr>
        <w:ind w:left="636" w:hanging="100"/>
      </w:pPr>
      <w:rPr>
        <w:rFonts w:hint="default"/>
      </w:rPr>
    </w:lvl>
    <w:lvl w:ilvl="3" w:tplc="F9F2774A">
      <w:numFmt w:val="bullet"/>
      <w:lvlText w:val="•"/>
      <w:lvlJc w:val="left"/>
      <w:pPr>
        <w:ind w:left="874" w:hanging="100"/>
      </w:pPr>
      <w:rPr>
        <w:rFonts w:hint="default"/>
      </w:rPr>
    </w:lvl>
    <w:lvl w:ilvl="4" w:tplc="DA743B22">
      <w:numFmt w:val="bullet"/>
      <w:lvlText w:val="•"/>
      <w:lvlJc w:val="left"/>
      <w:pPr>
        <w:ind w:left="1112" w:hanging="100"/>
      </w:pPr>
      <w:rPr>
        <w:rFonts w:hint="default"/>
      </w:rPr>
    </w:lvl>
    <w:lvl w:ilvl="5" w:tplc="1ACC4DD4">
      <w:numFmt w:val="bullet"/>
      <w:lvlText w:val="•"/>
      <w:lvlJc w:val="left"/>
      <w:pPr>
        <w:ind w:left="1350" w:hanging="100"/>
      </w:pPr>
      <w:rPr>
        <w:rFonts w:hint="default"/>
      </w:rPr>
    </w:lvl>
    <w:lvl w:ilvl="6" w:tplc="18E6AD78">
      <w:numFmt w:val="bullet"/>
      <w:lvlText w:val="•"/>
      <w:lvlJc w:val="left"/>
      <w:pPr>
        <w:ind w:left="1588" w:hanging="100"/>
      </w:pPr>
      <w:rPr>
        <w:rFonts w:hint="default"/>
      </w:rPr>
    </w:lvl>
    <w:lvl w:ilvl="7" w:tplc="6B760DC6">
      <w:numFmt w:val="bullet"/>
      <w:lvlText w:val="•"/>
      <w:lvlJc w:val="left"/>
      <w:pPr>
        <w:ind w:left="1826" w:hanging="100"/>
      </w:pPr>
      <w:rPr>
        <w:rFonts w:hint="default"/>
      </w:rPr>
    </w:lvl>
    <w:lvl w:ilvl="8" w:tplc="D67276B8">
      <w:numFmt w:val="bullet"/>
      <w:lvlText w:val="•"/>
      <w:lvlJc w:val="left"/>
      <w:pPr>
        <w:ind w:left="2064" w:hanging="100"/>
      </w:pPr>
      <w:rPr>
        <w:rFonts w:hint="default"/>
      </w:rPr>
    </w:lvl>
  </w:abstractNum>
  <w:abstractNum w:abstractNumId="1606" w15:restartNumberingAfterBreak="0">
    <w:nsid w:val="650D7B8E"/>
    <w:multiLevelType w:val="hybridMultilevel"/>
    <w:tmpl w:val="74905B82"/>
    <w:lvl w:ilvl="0" w:tplc="E122978C">
      <w:numFmt w:val="bullet"/>
      <w:lvlText w:val=""/>
      <w:lvlJc w:val="left"/>
      <w:pPr>
        <w:ind w:left="156" w:hanging="100"/>
      </w:pPr>
      <w:rPr>
        <w:rFonts w:ascii="Symbol" w:eastAsia="Symbol" w:hAnsi="Symbol" w:cs="Symbol" w:hint="default"/>
        <w:color w:val="231F20"/>
        <w:w w:val="100"/>
        <w:sz w:val="14"/>
        <w:szCs w:val="14"/>
      </w:rPr>
    </w:lvl>
    <w:lvl w:ilvl="1" w:tplc="75FA8876">
      <w:numFmt w:val="bullet"/>
      <w:lvlText w:val="•"/>
      <w:lvlJc w:val="left"/>
      <w:pPr>
        <w:ind w:left="301" w:hanging="100"/>
      </w:pPr>
      <w:rPr>
        <w:rFonts w:hint="default"/>
      </w:rPr>
    </w:lvl>
    <w:lvl w:ilvl="2" w:tplc="8BD87482">
      <w:numFmt w:val="bullet"/>
      <w:lvlText w:val="•"/>
      <w:lvlJc w:val="left"/>
      <w:pPr>
        <w:ind w:left="443" w:hanging="100"/>
      </w:pPr>
      <w:rPr>
        <w:rFonts w:hint="default"/>
      </w:rPr>
    </w:lvl>
    <w:lvl w:ilvl="3" w:tplc="3E92C13A">
      <w:numFmt w:val="bullet"/>
      <w:lvlText w:val="•"/>
      <w:lvlJc w:val="left"/>
      <w:pPr>
        <w:ind w:left="585" w:hanging="100"/>
      </w:pPr>
      <w:rPr>
        <w:rFonts w:hint="default"/>
      </w:rPr>
    </w:lvl>
    <w:lvl w:ilvl="4" w:tplc="70F609E8">
      <w:numFmt w:val="bullet"/>
      <w:lvlText w:val="•"/>
      <w:lvlJc w:val="left"/>
      <w:pPr>
        <w:ind w:left="726" w:hanging="100"/>
      </w:pPr>
      <w:rPr>
        <w:rFonts w:hint="default"/>
      </w:rPr>
    </w:lvl>
    <w:lvl w:ilvl="5" w:tplc="7C424FDC">
      <w:numFmt w:val="bullet"/>
      <w:lvlText w:val="•"/>
      <w:lvlJc w:val="left"/>
      <w:pPr>
        <w:ind w:left="868" w:hanging="100"/>
      </w:pPr>
      <w:rPr>
        <w:rFonts w:hint="default"/>
      </w:rPr>
    </w:lvl>
    <w:lvl w:ilvl="6" w:tplc="181070D0">
      <w:numFmt w:val="bullet"/>
      <w:lvlText w:val="•"/>
      <w:lvlJc w:val="left"/>
      <w:pPr>
        <w:ind w:left="1010" w:hanging="100"/>
      </w:pPr>
      <w:rPr>
        <w:rFonts w:hint="default"/>
      </w:rPr>
    </w:lvl>
    <w:lvl w:ilvl="7" w:tplc="6430EF4C">
      <w:numFmt w:val="bullet"/>
      <w:lvlText w:val="•"/>
      <w:lvlJc w:val="left"/>
      <w:pPr>
        <w:ind w:left="1151" w:hanging="100"/>
      </w:pPr>
      <w:rPr>
        <w:rFonts w:hint="default"/>
      </w:rPr>
    </w:lvl>
    <w:lvl w:ilvl="8" w:tplc="CD5E060A">
      <w:numFmt w:val="bullet"/>
      <w:lvlText w:val="•"/>
      <w:lvlJc w:val="left"/>
      <w:pPr>
        <w:ind w:left="1293" w:hanging="100"/>
      </w:pPr>
      <w:rPr>
        <w:rFonts w:hint="default"/>
      </w:rPr>
    </w:lvl>
  </w:abstractNum>
  <w:abstractNum w:abstractNumId="1607" w15:restartNumberingAfterBreak="0">
    <w:nsid w:val="6515131B"/>
    <w:multiLevelType w:val="hybridMultilevel"/>
    <w:tmpl w:val="5AFCF392"/>
    <w:lvl w:ilvl="0" w:tplc="B532C340">
      <w:numFmt w:val="bullet"/>
      <w:lvlText w:val=""/>
      <w:lvlJc w:val="left"/>
      <w:pPr>
        <w:ind w:left="156" w:hanging="100"/>
      </w:pPr>
      <w:rPr>
        <w:rFonts w:ascii="Symbol" w:eastAsia="Symbol" w:hAnsi="Symbol" w:cs="Symbol" w:hint="default"/>
        <w:color w:val="231F20"/>
        <w:w w:val="100"/>
        <w:sz w:val="14"/>
        <w:szCs w:val="14"/>
      </w:rPr>
    </w:lvl>
    <w:lvl w:ilvl="1" w:tplc="F832332C">
      <w:numFmt w:val="bullet"/>
      <w:lvlText w:val="•"/>
      <w:lvlJc w:val="left"/>
      <w:pPr>
        <w:ind w:left="426" w:hanging="100"/>
      </w:pPr>
      <w:rPr>
        <w:rFonts w:hint="default"/>
      </w:rPr>
    </w:lvl>
    <w:lvl w:ilvl="2" w:tplc="A4F4BB1A">
      <w:numFmt w:val="bullet"/>
      <w:lvlText w:val="•"/>
      <w:lvlJc w:val="left"/>
      <w:pPr>
        <w:ind w:left="692" w:hanging="100"/>
      </w:pPr>
      <w:rPr>
        <w:rFonts w:hint="default"/>
      </w:rPr>
    </w:lvl>
    <w:lvl w:ilvl="3" w:tplc="71BA81D6">
      <w:numFmt w:val="bullet"/>
      <w:lvlText w:val="•"/>
      <w:lvlJc w:val="left"/>
      <w:pPr>
        <w:ind w:left="959" w:hanging="100"/>
      </w:pPr>
      <w:rPr>
        <w:rFonts w:hint="default"/>
      </w:rPr>
    </w:lvl>
    <w:lvl w:ilvl="4" w:tplc="5E86C480">
      <w:numFmt w:val="bullet"/>
      <w:lvlText w:val="•"/>
      <w:lvlJc w:val="left"/>
      <w:pPr>
        <w:ind w:left="1225" w:hanging="100"/>
      </w:pPr>
      <w:rPr>
        <w:rFonts w:hint="default"/>
      </w:rPr>
    </w:lvl>
    <w:lvl w:ilvl="5" w:tplc="E1F28942">
      <w:numFmt w:val="bullet"/>
      <w:lvlText w:val="•"/>
      <w:lvlJc w:val="left"/>
      <w:pPr>
        <w:ind w:left="1492" w:hanging="100"/>
      </w:pPr>
      <w:rPr>
        <w:rFonts w:hint="default"/>
      </w:rPr>
    </w:lvl>
    <w:lvl w:ilvl="6" w:tplc="34E6CB94">
      <w:numFmt w:val="bullet"/>
      <w:lvlText w:val="•"/>
      <w:lvlJc w:val="left"/>
      <w:pPr>
        <w:ind w:left="1758" w:hanging="100"/>
      </w:pPr>
      <w:rPr>
        <w:rFonts w:hint="default"/>
      </w:rPr>
    </w:lvl>
    <w:lvl w:ilvl="7" w:tplc="A9360DBC">
      <w:numFmt w:val="bullet"/>
      <w:lvlText w:val="•"/>
      <w:lvlJc w:val="left"/>
      <w:pPr>
        <w:ind w:left="2024" w:hanging="100"/>
      </w:pPr>
      <w:rPr>
        <w:rFonts w:hint="default"/>
      </w:rPr>
    </w:lvl>
    <w:lvl w:ilvl="8" w:tplc="496C18E8">
      <w:numFmt w:val="bullet"/>
      <w:lvlText w:val="•"/>
      <w:lvlJc w:val="left"/>
      <w:pPr>
        <w:ind w:left="2291" w:hanging="100"/>
      </w:pPr>
      <w:rPr>
        <w:rFonts w:hint="default"/>
      </w:rPr>
    </w:lvl>
  </w:abstractNum>
  <w:abstractNum w:abstractNumId="1608" w15:restartNumberingAfterBreak="0">
    <w:nsid w:val="651A597D"/>
    <w:multiLevelType w:val="hybridMultilevel"/>
    <w:tmpl w:val="AB1CEF22"/>
    <w:lvl w:ilvl="0" w:tplc="90C2D9F4">
      <w:numFmt w:val="bullet"/>
      <w:lvlText w:val=""/>
      <w:lvlJc w:val="left"/>
      <w:pPr>
        <w:ind w:left="156" w:hanging="100"/>
      </w:pPr>
      <w:rPr>
        <w:rFonts w:ascii="Symbol" w:eastAsia="Symbol" w:hAnsi="Symbol" w:cs="Symbol" w:hint="default"/>
        <w:color w:val="231F20"/>
        <w:w w:val="100"/>
        <w:sz w:val="14"/>
        <w:szCs w:val="14"/>
      </w:rPr>
    </w:lvl>
    <w:lvl w:ilvl="1" w:tplc="F2FAF878">
      <w:numFmt w:val="bullet"/>
      <w:lvlText w:val="•"/>
      <w:lvlJc w:val="left"/>
      <w:pPr>
        <w:ind w:left="301" w:hanging="100"/>
      </w:pPr>
      <w:rPr>
        <w:rFonts w:hint="default"/>
      </w:rPr>
    </w:lvl>
    <w:lvl w:ilvl="2" w:tplc="AFB41258">
      <w:numFmt w:val="bullet"/>
      <w:lvlText w:val="•"/>
      <w:lvlJc w:val="left"/>
      <w:pPr>
        <w:ind w:left="443" w:hanging="100"/>
      </w:pPr>
      <w:rPr>
        <w:rFonts w:hint="default"/>
      </w:rPr>
    </w:lvl>
    <w:lvl w:ilvl="3" w:tplc="161EF4E0">
      <w:numFmt w:val="bullet"/>
      <w:lvlText w:val="•"/>
      <w:lvlJc w:val="left"/>
      <w:pPr>
        <w:ind w:left="585" w:hanging="100"/>
      </w:pPr>
      <w:rPr>
        <w:rFonts w:hint="default"/>
      </w:rPr>
    </w:lvl>
    <w:lvl w:ilvl="4" w:tplc="EAB836F4">
      <w:numFmt w:val="bullet"/>
      <w:lvlText w:val="•"/>
      <w:lvlJc w:val="left"/>
      <w:pPr>
        <w:ind w:left="726" w:hanging="100"/>
      </w:pPr>
      <w:rPr>
        <w:rFonts w:hint="default"/>
      </w:rPr>
    </w:lvl>
    <w:lvl w:ilvl="5" w:tplc="9FFE7464">
      <w:numFmt w:val="bullet"/>
      <w:lvlText w:val="•"/>
      <w:lvlJc w:val="left"/>
      <w:pPr>
        <w:ind w:left="868" w:hanging="100"/>
      </w:pPr>
      <w:rPr>
        <w:rFonts w:hint="default"/>
      </w:rPr>
    </w:lvl>
    <w:lvl w:ilvl="6" w:tplc="9080EDF4">
      <w:numFmt w:val="bullet"/>
      <w:lvlText w:val="•"/>
      <w:lvlJc w:val="left"/>
      <w:pPr>
        <w:ind w:left="1010" w:hanging="100"/>
      </w:pPr>
      <w:rPr>
        <w:rFonts w:hint="default"/>
      </w:rPr>
    </w:lvl>
    <w:lvl w:ilvl="7" w:tplc="3F981DB0">
      <w:numFmt w:val="bullet"/>
      <w:lvlText w:val="•"/>
      <w:lvlJc w:val="left"/>
      <w:pPr>
        <w:ind w:left="1151" w:hanging="100"/>
      </w:pPr>
      <w:rPr>
        <w:rFonts w:hint="default"/>
      </w:rPr>
    </w:lvl>
    <w:lvl w:ilvl="8" w:tplc="6B74ACFC">
      <w:numFmt w:val="bullet"/>
      <w:lvlText w:val="•"/>
      <w:lvlJc w:val="left"/>
      <w:pPr>
        <w:ind w:left="1293" w:hanging="100"/>
      </w:pPr>
      <w:rPr>
        <w:rFonts w:hint="default"/>
      </w:rPr>
    </w:lvl>
  </w:abstractNum>
  <w:abstractNum w:abstractNumId="1609" w15:restartNumberingAfterBreak="0">
    <w:nsid w:val="656A6E77"/>
    <w:multiLevelType w:val="hybridMultilevel"/>
    <w:tmpl w:val="183C38C8"/>
    <w:lvl w:ilvl="0" w:tplc="A4E6AE32">
      <w:numFmt w:val="bullet"/>
      <w:lvlText w:val=""/>
      <w:lvlJc w:val="left"/>
      <w:pPr>
        <w:ind w:left="157" w:hanging="100"/>
      </w:pPr>
      <w:rPr>
        <w:rFonts w:ascii="Symbol" w:eastAsia="Symbol" w:hAnsi="Symbol" w:cs="Symbol" w:hint="default"/>
        <w:color w:val="231F20"/>
        <w:w w:val="100"/>
        <w:sz w:val="14"/>
        <w:szCs w:val="14"/>
      </w:rPr>
    </w:lvl>
    <w:lvl w:ilvl="1" w:tplc="2FCAB85C">
      <w:numFmt w:val="bullet"/>
      <w:lvlText w:val="•"/>
      <w:lvlJc w:val="left"/>
      <w:pPr>
        <w:ind w:left="426" w:hanging="100"/>
      </w:pPr>
      <w:rPr>
        <w:rFonts w:hint="default"/>
      </w:rPr>
    </w:lvl>
    <w:lvl w:ilvl="2" w:tplc="43F68470">
      <w:numFmt w:val="bullet"/>
      <w:lvlText w:val="•"/>
      <w:lvlJc w:val="left"/>
      <w:pPr>
        <w:ind w:left="692" w:hanging="100"/>
      </w:pPr>
      <w:rPr>
        <w:rFonts w:hint="default"/>
      </w:rPr>
    </w:lvl>
    <w:lvl w:ilvl="3" w:tplc="597A3A8E">
      <w:numFmt w:val="bullet"/>
      <w:lvlText w:val="•"/>
      <w:lvlJc w:val="left"/>
      <w:pPr>
        <w:ind w:left="959" w:hanging="100"/>
      </w:pPr>
      <w:rPr>
        <w:rFonts w:hint="default"/>
      </w:rPr>
    </w:lvl>
    <w:lvl w:ilvl="4" w:tplc="C442C636">
      <w:numFmt w:val="bullet"/>
      <w:lvlText w:val="•"/>
      <w:lvlJc w:val="left"/>
      <w:pPr>
        <w:ind w:left="1225" w:hanging="100"/>
      </w:pPr>
      <w:rPr>
        <w:rFonts w:hint="default"/>
      </w:rPr>
    </w:lvl>
    <w:lvl w:ilvl="5" w:tplc="A06E42A0">
      <w:numFmt w:val="bullet"/>
      <w:lvlText w:val="•"/>
      <w:lvlJc w:val="left"/>
      <w:pPr>
        <w:ind w:left="1492" w:hanging="100"/>
      </w:pPr>
      <w:rPr>
        <w:rFonts w:hint="default"/>
      </w:rPr>
    </w:lvl>
    <w:lvl w:ilvl="6" w:tplc="5C187C10">
      <w:numFmt w:val="bullet"/>
      <w:lvlText w:val="•"/>
      <w:lvlJc w:val="left"/>
      <w:pPr>
        <w:ind w:left="1758" w:hanging="100"/>
      </w:pPr>
      <w:rPr>
        <w:rFonts w:hint="default"/>
      </w:rPr>
    </w:lvl>
    <w:lvl w:ilvl="7" w:tplc="073286CE">
      <w:numFmt w:val="bullet"/>
      <w:lvlText w:val="•"/>
      <w:lvlJc w:val="left"/>
      <w:pPr>
        <w:ind w:left="2024" w:hanging="100"/>
      </w:pPr>
      <w:rPr>
        <w:rFonts w:hint="default"/>
      </w:rPr>
    </w:lvl>
    <w:lvl w:ilvl="8" w:tplc="F400528A">
      <w:numFmt w:val="bullet"/>
      <w:lvlText w:val="•"/>
      <w:lvlJc w:val="left"/>
      <w:pPr>
        <w:ind w:left="2291" w:hanging="100"/>
      </w:pPr>
      <w:rPr>
        <w:rFonts w:hint="default"/>
      </w:rPr>
    </w:lvl>
  </w:abstractNum>
  <w:abstractNum w:abstractNumId="1610" w15:restartNumberingAfterBreak="0">
    <w:nsid w:val="658C70C0"/>
    <w:multiLevelType w:val="hybridMultilevel"/>
    <w:tmpl w:val="A7EA582E"/>
    <w:lvl w:ilvl="0" w:tplc="5FF25CD2">
      <w:numFmt w:val="bullet"/>
      <w:lvlText w:val=""/>
      <w:lvlJc w:val="left"/>
      <w:pPr>
        <w:ind w:left="156" w:hanging="100"/>
      </w:pPr>
      <w:rPr>
        <w:rFonts w:ascii="Symbol" w:eastAsia="Symbol" w:hAnsi="Symbol" w:cs="Symbol" w:hint="default"/>
        <w:color w:val="231F20"/>
        <w:w w:val="100"/>
        <w:sz w:val="14"/>
        <w:szCs w:val="14"/>
      </w:rPr>
    </w:lvl>
    <w:lvl w:ilvl="1" w:tplc="5A222A84">
      <w:numFmt w:val="bullet"/>
      <w:lvlText w:val="•"/>
      <w:lvlJc w:val="left"/>
      <w:pPr>
        <w:ind w:left="454" w:hanging="100"/>
      </w:pPr>
      <w:rPr>
        <w:rFonts w:hint="default"/>
      </w:rPr>
    </w:lvl>
    <w:lvl w:ilvl="2" w:tplc="97F4E4FE">
      <w:numFmt w:val="bullet"/>
      <w:lvlText w:val="•"/>
      <w:lvlJc w:val="left"/>
      <w:pPr>
        <w:ind w:left="749" w:hanging="100"/>
      </w:pPr>
      <w:rPr>
        <w:rFonts w:hint="default"/>
      </w:rPr>
    </w:lvl>
    <w:lvl w:ilvl="3" w:tplc="9168DDF2">
      <w:numFmt w:val="bullet"/>
      <w:lvlText w:val="•"/>
      <w:lvlJc w:val="left"/>
      <w:pPr>
        <w:ind w:left="1044" w:hanging="100"/>
      </w:pPr>
      <w:rPr>
        <w:rFonts w:hint="default"/>
      </w:rPr>
    </w:lvl>
    <w:lvl w:ilvl="4" w:tplc="323A684A">
      <w:numFmt w:val="bullet"/>
      <w:lvlText w:val="•"/>
      <w:lvlJc w:val="left"/>
      <w:pPr>
        <w:ind w:left="1339" w:hanging="100"/>
      </w:pPr>
      <w:rPr>
        <w:rFonts w:hint="default"/>
      </w:rPr>
    </w:lvl>
    <w:lvl w:ilvl="5" w:tplc="73C00874">
      <w:numFmt w:val="bullet"/>
      <w:lvlText w:val="•"/>
      <w:lvlJc w:val="left"/>
      <w:pPr>
        <w:ind w:left="1634" w:hanging="100"/>
      </w:pPr>
      <w:rPr>
        <w:rFonts w:hint="default"/>
      </w:rPr>
    </w:lvl>
    <w:lvl w:ilvl="6" w:tplc="9B021474">
      <w:numFmt w:val="bullet"/>
      <w:lvlText w:val="•"/>
      <w:lvlJc w:val="left"/>
      <w:pPr>
        <w:ind w:left="1928" w:hanging="100"/>
      </w:pPr>
      <w:rPr>
        <w:rFonts w:hint="default"/>
      </w:rPr>
    </w:lvl>
    <w:lvl w:ilvl="7" w:tplc="EDD0E852">
      <w:numFmt w:val="bullet"/>
      <w:lvlText w:val="•"/>
      <w:lvlJc w:val="left"/>
      <w:pPr>
        <w:ind w:left="2223" w:hanging="100"/>
      </w:pPr>
      <w:rPr>
        <w:rFonts w:hint="default"/>
      </w:rPr>
    </w:lvl>
    <w:lvl w:ilvl="8" w:tplc="3B8AAE9E">
      <w:numFmt w:val="bullet"/>
      <w:lvlText w:val="•"/>
      <w:lvlJc w:val="left"/>
      <w:pPr>
        <w:ind w:left="2518" w:hanging="100"/>
      </w:pPr>
      <w:rPr>
        <w:rFonts w:hint="default"/>
      </w:rPr>
    </w:lvl>
  </w:abstractNum>
  <w:abstractNum w:abstractNumId="1611" w15:restartNumberingAfterBreak="0">
    <w:nsid w:val="65A07C90"/>
    <w:multiLevelType w:val="hybridMultilevel"/>
    <w:tmpl w:val="FB7C4E0A"/>
    <w:lvl w:ilvl="0" w:tplc="596E5D90">
      <w:numFmt w:val="bullet"/>
      <w:lvlText w:val=""/>
      <w:lvlJc w:val="left"/>
      <w:pPr>
        <w:ind w:left="156" w:hanging="100"/>
      </w:pPr>
      <w:rPr>
        <w:rFonts w:ascii="Symbol" w:eastAsia="Symbol" w:hAnsi="Symbol" w:cs="Symbol" w:hint="default"/>
        <w:color w:val="231F20"/>
        <w:w w:val="100"/>
        <w:sz w:val="14"/>
        <w:szCs w:val="14"/>
      </w:rPr>
    </w:lvl>
    <w:lvl w:ilvl="1" w:tplc="EB2223EE">
      <w:numFmt w:val="bullet"/>
      <w:lvlText w:val="•"/>
      <w:lvlJc w:val="left"/>
      <w:pPr>
        <w:ind w:left="301" w:hanging="100"/>
      </w:pPr>
      <w:rPr>
        <w:rFonts w:hint="default"/>
      </w:rPr>
    </w:lvl>
    <w:lvl w:ilvl="2" w:tplc="CEF65E46">
      <w:numFmt w:val="bullet"/>
      <w:lvlText w:val="•"/>
      <w:lvlJc w:val="left"/>
      <w:pPr>
        <w:ind w:left="443" w:hanging="100"/>
      </w:pPr>
      <w:rPr>
        <w:rFonts w:hint="default"/>
      </w:rPr>
    </w:lvl>
    <w:lvl w:ilvl="3" w:tplc="229AB650">
      <w:numFmt w:val="bullet"/>
      <w:lvlText w:val="•"/>
      <w:lvlJc w:val="left"/>
      <w:pPr>
        <w:ind w:left="585" w:hanging="100"/>
      </w:pPr>
      <w:rPr>
        <w:rFonts w:hint="default"/>
      </w:rPr>
    </w:lvl>
    <w:lvl w:ilvl="4" w:tplc="88386BB8">
      <w:numFmt w:val="bullet"/>
      <w:lvlText w:val="•"/>
      <w:lvlJc w:val="left"/>
      <w:pPr>
        <w:ind w:left="726" w:hanging="100"/>
      </w:pPr>
      <w:rPr>
        <w:rFonts w:hint="default"/>
      </w:rPr>
    </w:lvl>
    <w:lvl w:ilvl="5" w:tplc="DA3CF17C">
      <w:numFmt w:val="bullet"/>
      <w:lvlText w:val="•"/>
      <w:lvlJc w:val="left"/>
      <w:pPr>
        <w:ind w:left="868" w:hanging="100"/>
      </w:pPr>
      <w:rPr>
        <w:rFonts w:hint="default"/>
      </w:rPr>
    </w:lvl>
    <w:lvl w:ilvl="6" w:tplc="CA84D77A">
      <w:numFmt w:val="bullet"/>
      <w:lvlText w:val="•"/>
      <w:lvlJc w:val="left"/>
      <w:pPr>
        <w:ind w:left="1010" w:hanging="100"/>
      </w:pPr>
      <w:rPr>
        <w:rFonts w:hint="default"/>
      </w:rPr>
    </w:lvl>
    <w:lvl w:ilvl="7" w:tplc="EC5C3C9C">
      <w:numFmt w:val="bullet"/>
      <w:lvlText w:val="•"/>
      <w:lvlJc w:val="left"/>
      <w:pPr>
        <w:ind w:left="1151" w:hanging="100"/>
      </w:pPr>
      <w:rPr>
        <w:rFonts w:hint="default"/>
      </w:rPr>
    </w:lvl>
    <w:lvl w:ilvl="8" w:tplc="960A741E">
      <w:numFmt w:val="bullet"/>
      <w:lvlText w:val="•"/>
      <w:lvlJc w:val="left"/>
      <w:pPr>
        <w:ind w:left="1293" w:hanging="100"/>
      </w:pPr>
      <w:rPr>
        <w:rFonts w:hint="default"/>
      </w:rPr>
    </w:lvl>
  </w:abstractNum>
  <w:abstractNum w:abstractNumId="1612" w15:restartNumberingAfterBreak="0">
    <w:nsid w:val="65A11976"/>
    <w:multiLevelType w:val="hybridMultilevel"/>
    <w:tmpl w:val="FF36693C"/>
    <w:lvl w:ilvl="0" w:tplc="BA8C299A">
      <w:numFmt w:val="bullet"/>
      <w:lvlText w:val=""/>
      <w:lvlJc w:val="left"/>
      <w:pPr>
        <w:ind w:left="157" w:hanging="100"/>
      </w:pPr>
      <w:rPr>
        <w:rFonts w:ascii="Symbol" w:eastAsia="Symbol" w:hAnsi="Symbol" w:cs="Symbol" w:hint="default"/>
        <w:color w:val="231F20"/>
        <w:w w:val="100"/>
        <w:sz w:val="14"/>
        <w:szCs w:val="14"/>
      </w:rPr>
    </w:lvl>
    <w:lvl w:ilvl="1" w:tplc="828A7CD6">
      <w:numFmt w:val="bullet"/>
      <w:lvlText w:val="•"/>
      <w:lvlJc w:val="left"/>
      <w:pPr>
        <w:ind w:left="369" w:hanging="100"/>
      </w:pPr>
      <w:rPr>
        <w:rFonts w:hint="default"/>
      </w:rPr>
    </w:lvl>
    <w:lvl w:ilvl="2" w:tplc="7BF27660">
      <w:numFmt w:val="bullet"/>
      <w:lvlText w:val="•"/>
      <w:lvlJc w:val="left"/>
      <w:pPr>
        <w:ind w:left="579" w:hanging="100"/>
      </w:pPr>
      <w:rPr>
        <w:rFonts w:hint="default"/>
      </w:rPr>
    </w:lvl>
    <w:lvl w:ilvl="3" w:tplc="B74ED35C">
      <w:numFmt w:val="bullet"/>
      <w:lvlText w:val="•"/>
      <w:lvlJc w:val="left"/>
      <w:pPr>
        <w:ind w:left="789" w:hanging="100"/>
      </w:pPr>
      <w:rPr>
        <w:rFonts w:hint="default"/>
      </w:rPr>
    </w:lvl>
    <w:lvl w:ilvl="4" w:tplc="161EDA68">
      <w:numFmt w:val="bullet"/>
      <w:lvlText w:val="•"/>
      <w:lvlJc w:val="left"/>
      <w:pPr>
        <w:ind w:left="998" w:hanging="100"/>
      </w:pPr>
      <w:rPr>
        <w:rFonts w:hint="default"/>
      </w:rPr>
    </w:lvl>
    <w:lvl w:ilvl="5" w:tplc="795637CC">
      <w:numFmt w:val="bullet"/>
      <w:lvlText w:val="•"/>
      <w:lvlJc w:val="left"/>
      <w:pPr>
        <w:ind w:left="1208" w:hanging="100"/>
      </w:pPr>
      <w:rPr>
        <w:rFonts w:hint="default"/>
      </w:rPr>
    </w:lvl>
    <w:lvl w:ilvl="6" w:tplc="D696D1FE">
      <w:numFmt w:val="bullet"/>
      <w:lvlText w:val="•"/>
      <w:lvlJc w:val="left"/>
      <w:pPr>
        <w:ind w:left="1418" w:hanging="100"/>
      </w:pPr>
      <w:rPr>
        <w:rFonts w:hint="default"/>
      </w:rPr>
    </w:lvl>
    <w:lvl w:ilvl="7" w:tplc="BC2EE902">
      <w:numFmt w:val="bullet"/>
      <w:lvlText w:val="•"/>
      <w:lvlJc w:val="left"/>
      <w:pPr>
        <w:ind w:left="1627" w:hanging="100"/>
      </w:pPr>
      <w:rPr>
        <w:rFonts w:hint="default"/>
      </w:rPr>
    </w:lvl>
    <w:lvl w:ilvl="8" w:tplc="8A067CF2">
      <w:numFmt w:val="bullet"/>
      <w:lvlText w:val="•"/>
      <w:lvlJc w:val="left"/>
      <w:pPr>
        <w:ind w:left="1837" w:hanging="100"/>
      </w:pPr>
      <w:rPr>
        <w:rFonts w:hint="default"/>
      </w:rPr>
    </w:lvl>
  </w:abstractNum>
  <w:abstractNum w:abstractNumId="1613" w15:restartNumberingAfterBreak="0">
    <w:nsid w:val="65A403AD"/>
    <w:multiLevelType w:val="hybridMultilevel"/>
    <w:tmpl w:val="6F42949C"/>
    <w:lvl w:ilvl="0" w:tplc="D360BBC0">
      <w:numFmt w:val="bullet"/>
      <w:lvlText w:val=""/>
      <w:lvlJc w:val="left"/>
      <w:pPr>
        <w:ind w:left="156" w:hanging="100"/>
      </w:pPr>
      <w:rPr>
        <w:rFonts w:ascii="Symbol" w:eastAsia="Symbol" w:hAnsi="Symbol" w:cs="Symbol" w:hint="default"/>
        <w:color w:val="231F20"/>
        <w:w w:val="100"/>
        <w:sz w:val="14"/>
        <w:szCs w:val="14"/>
      </w:rPr>
    </w:lvl>
    <w:lvl w:ilvl="1" w:tplc="5EFA23FE">
      <w:numFmt w:val="bullet"/>
      <w:lvlText w:val="•"/>
      <w:lvlJc w:val="left"/>
      <w:pPr>
        <w:ind w:left="398" w:hanging="100"/>
      </w:pPr>
      <w:rPr>
        <w:rFonts w:hint="default"/>
      </w:rPr>
    </w:lvl>
    <w:lvl w:ilvl="2" w:tplc="0E3C633A">
      <w:numFmt w:val="bullet"/>
      <w:lvlText w:val="•"/>
      <w:lvlJc w:val="left"/>
      <w:pPr>
        <w:ind w:left="636" w:hanging="100"/>
      </w:pPr>
      <w:rPr>
        <w:rFonts w:hint="default"/>
      </w:rPr>
    </w:lvl>
    <w:lvl w:ilvl="3" w:tplc="156C1528">
      <w:numFmt w:val="bullet"/>
      <w:lvlText w:val="•"/>
      <w:lvlJc w:val="left"/>
      <w:pPr>
        <w:ind w:left="874" w:hanging="100"/>
      </w:pPr>
      <w:rPr>
        <w:rFonts w:hint="default"/>
      </w:rPr>
    </w:lvl>
    <w:lvl w:ilvl="4" w:tplc="E2544F44">
      <w:numFmt w:val="bullet"/>
      <w:lvlText w:val="•"/>
      <w:lvlJc w:val="left"/>
      <w:pPr>
        <w:ind w:left="1112" w:hanging="100"/>
      </w:pPr>
      <w:rPr>
        <w:rFonts w:hint="default"/>
      </w:rPr>
    </w:lvl>
    <w:lvl w:ilvl="5" w:tplc="37D407CC">
      <w:numFmt w:val="bullet"/>
      <w:lvlText w:val="•"/>
      <w:lvlJc w:val="left"/>
      <w:pPr>
        <w:ind w:left="1350" w:hanging="100"/>
      </w:pPr>
      <w:rPr>
        <w:rFonts w:hint="default"/>
      </w:rPr>
    </w:lvl>
    <w:lvl w:ilvl="6" w:tplc="8A1236DA">
      <w:numFmt w:val="bullet"/>
      <w:lvlText w:val="•"/>
      <w:lvlJc w:val="left"/>
      <w:pPr>
        <w:ind w:left="1588" w:hanging="100"/>
      </w:pPr>
      <w:rPr>
        <w:rFonts w:hint="default"/>
      </w:rPr>
    </w:lvl>
    <w:lvl w:ilvl="7" w:tplc="C6927672">
      <w:numFmt w:val="bullet"/>
      <w:lvlText w:val="•"/>
      <w:lvlJc w:val="left"/>
      <w:pPr>
        <w:ind w:left="1826" w:hanging="100"/>
      </w:pPr>
      <w:rPr>
        <w:rFonts w:hint="default"/>
      </w:rPr>
    </w:lvl>
    <w:lvl w:ilvl="8" w:tplc="678E20DA">
      <w:numFmt w:val="bullet"/>
      <w:lvlText w:val="•"/>
      <w:lvlJc w:val="left"/>
      <w:pPr>
        <w:ind w:left="2064" w:hanging="100"/>
      </w:pPr>
      <w:rPr>
        <w:rFonts w:hint="default"/>
      </w:rPr>
    </w:lvl>
  </w:abstractNum>
  <w:abstractNum w:abstractNumId="1614" w15:restartNumberingAfterBreak="0">
    <w:nsid w:val="65AE0652"/>
    <w:multiLevelType w:val="hybridMultilevel"/>
    <w:tmpl w:val="3BF22CE4"/>
    <w:lvl w:ilvl="0" w:tplc="8CD2CAB0">
      <w:numFmt w:val="bullet"/>
      <w:lvlText w:val=""/>
      <w:lvlJc w:val="left"/>
      <w:pPr>
        <w:ind w:left="156" w:hanging="100"/>
      </w:pPr>
      <w:rPr>
        <w:rFonts w:ascii="Symbol" w:eastAsia="Symbol" w:hAnsi="Symbol" w:cs="Symbol" w:hint="default"/>
        <w:color w:val="231F20"/>
        <w:w w:val="100"/>
        <w:sz w:val="14"/>
        <w:szCs w:val="14"/>
      </w:rPr>
    </w:lvl>
    <w:lvl w:ilvl="1" w:tplc="53569614">
      <w:numFmt w:val="bullet"/>
      <w:lvlText w:val="•"/>
      <w:lvlJc w:val="left"/>
      <w:pPr>
        <w:ind w:left="426" w:hanging="100"/>
      </w:pPr>
      <w:rPr>
        <w:rFonts w:hint="default"/>
      </w:rPr>
    </w:lvl>
    <w:lvl w:ilvl="2" w:tplc="F2E019EE">
      <w:numFmt w:val="bullet"/>
      <w:lvlText w:val="•"/>
      <w:lvlJc w:val="left"/>
      <w:pPr>
        <w:ind w:left="692" w:hanging="100"/>
      </w:pPr>
      <w:rPr>
        <w:rFonts w:hint="default"/>
      </w:rPr>
    </w:lvl>
    <w:lvl w:ilvl="3" w:tplc="1DA0C514">
      <w:numFmt w:val="bullet"/>
      <w:lvlText w:val="•"/>
      <w:lvlJc w:val="left"/>
      <w:pPr>
        <w:ind w:left="959" w:hanging="100"/>
      </w:pPr>
      <w:rPr>
        <w:rFonts w:hint="default"/>
      </w:rPr>
    </w:lvl>
    <w:lvl w:ilvl="4" w:tplc="0EA66802">
      <w:numFmt w:val="bullet"/>
      <w:lvlText w:val="•"/>
      <w:lvlJc w:val="left"/>
      <w:pPr>
        <w:ind w:left="1225" w:hanging="100"/>
      </w:pPr>
      <w:rPr>
        <w:rFonts w:hint="default"/>
      </w:rPr>
    </w:lvl>
    <w:lvl w:ilvl="5" w:tplc="79E2476C">
      <w:numFmt w:val="bullet"/>
      <w:lvlText w:val="•"/>
      <w:lvlJc w:val="left"/>
      <w:pPr>
        <w:ind w:left="1492" w:hanging="100"/>
      </w:pPr>
      <w:rPr>
        <w:rFonts w:hint="default"/>
      </w:rPr>
    </w:lvl>
    <w:lvl w:ilvl="6" w:tplc="5A06F296">
      <w:numFmt w:val="bullet"/>
      <w:lvlText w:val="•"/>
      <w:lvlJc w:val="left"/>
      <w:pPr>
        <w:ind w:left="1758" w:hanging="100"/>
      </w:pPr>
      <w:rPr>
        <w:rFonts w:hint="default"/>
      </w:rPr>
    </w:lvl>
    <w:lvl w:ilvl="7" w:tplc="180844BE">
      <w:numFmt w:val="bullet"/>
      <w:lvlText w:val="•"/>
      <w:lvlJc w:val="left"/>
      <w:pPr>
        <w:ind w:left="2024" w:hanging="100"/>
      </w:pPr>
      <w:rPr>
        <w:rFonts w:hint="default"/>
      </w:rPr>
    </w:lvl>
    <w:lvl w:ilvl="8" w:tplc="9B0203F0">
      <w:numFmt w:val="bullet"/>
      <w:lvlText w:val="•"/>
      <w:lvlJc w:val="left"/>
      <w:pPr>
        <w:ind w:left="2291" w:hanging="100"/>
      </w:pPr>
      <w:rPr>
        <w:rFonts w:hint="default"/>
      </w:rPr>
    </w:lvl>
  </w:abstractNum>
  <w:abstractNum w:abstractNumId="1615" w15:restartNumberingAfterBreak="0">
    <w:nsid w:val="65BD5C46"/>
    <w:multiLevelType w:val="hybridMultilevel"/>
    <w:tmpl w:val="5784C20E"/>
    <w:lvl w:ilvl="0" w:tplc="2D80E0B8">
      <w:numFmt w:val="bullet"/>
      <w:lvlText w:val=""/>
      <w:lvlJc w:val="left"/>
      <w:pPr>
        <w:ind w:left="156" w:hanging="100"/>
      </w:pPr>
      <w:rPr>
        <w:rFonts w:ascii="Symbol" w:eastAsia="Symbol" w:hAnsi="Symbol" w:cs="Symbol" w:hint="default"/>
        <w:color w:val="231F20"/>
        <w:w w:val="100"/>
        <w:sz w:val="14"/>
        <w:szCs w:val="14"/>
      </w:rPr>
    </w:lvl>
    <w:lvl w:ilvl="1" w:tplc="8C227014">
      <w:numFmt w:val="bullet"/>
      <w:lvlText w:val="•"/>
      <w:lvlJc w:val="left"/>
      <w:pPr>
        <w:ind w:left="301" w:hanging="100"/>
      </w:pPr>
      <w:rPr>
        <w:rFonts w:hint="default"/>
      </w:rPr>
    </w:lvl>
    <w:lvl w:ilvl="2" w:tplc="23887FEC">
      <w:numFmt w:val="bullet"/>
      <w:lvlText w:val="•"/>
      <w:lvlJc w:val="left"/>
      <w:pPr>
        <w:ind w:left="443" w:hanging="100"/>
      </w:pPr>
      <w:rPr>
        <w:rFonts w:hint="default"/>
      </w:rPr>
    </w:lvl>
    <w:lvl w:ilvl="3" w:tplc="FA74D746">
      <w:numFmt w:val="bullet"/>
      <w:lvlText w:val="•"/>
      <w:lvlJc w:val="left"/>
      <w:pPr>
        <w:ind w:left="585" w:hanging="100"/>
      </w:pPr>
      <w:rPr>
        <w:rFonts w:hint="default"/>
      </w:rPr>
    </w:lvl>
    <w:lvl w:ilvl="4" w:tplc="451A75D2">
      <w:numFmt w:val="bullet"/>
      <w:lvlText w:val="•"/>
      <w:lvlJc w:val="left"/>
      <w:pPr>
        <w:ind w:left="726" w:hanging="100"/>
      </w:pPr>
      <w:rPr>
        <w:rFonts w:hint="default"/>
      </w:rPr>
    </w:lvl>
    <w:lvl w:ilvl="5" w:tplc="7EB42C9E">
      <w:numFmt w:val="bullet"/>
      <w:lvlText w:val="•"/>
      <w:lvlJc w:val="left"/>
      <w:pPr>
        <w:ind w:left="868" w:hanging="100"/>
      </w:pPr>
      <w:rPr>
        <w:rFonts w:hint="default"/>
      </w:rPr>
    </w:lvl>
    <w:lvl w:ilvl="6" w:tplc="14B003BA">
      <w:numFmt w:val="bullet"/>
      <w:lvlText w:val="•"/>
      <w:lvlJc w:val="left"/>
      <w:pPr>
        <w:ind w:left="1010" w:hanging="100"/>
      </w:pPr>
      <w:rPr>
        <w:rFonts w:hint="default"/>
      </w:rPr>
    </w:lvl>
    <w:lvl w:ilvl="7" w:tplc="5108F374">
      <w:numFmt w:val="bullet"/>
      <w:lvlText w:val="•"/>
      <w:lvlJc w:val="left"/>
      <w:pPr>
        <w:ind w:left="1151" w:hanging="100"/>
      </w:pPr>
      <w:rPr>
        <w:rFonts w:hint="default"/>
      </w:rPr>
    </w:lvl>
    <w:lvl w:ilvl="8" w:tplc="4274B458">
      <w:numFmt w:val="bullet"/>
      <w:lvlText w:val="•"/>
      <w:lvlJc w:val="left"/>
      <w:pPr>
        <w:ind w:left="1293" w:hanging="100"/>
      </w:pPr>
      <w:rPr>
        <w:rFonts w:hint="default"/>
      </w:rPr>
    </w:lvl>
  </w:abstractNum>
  <w:abstractNum w:abstractNumId="1616" w15:restartNumberingAfterBreak="0">
    <w:nsid w:val="65E008DF"/>
    <w:multiLevelType w:val="hybridMultilevel"/>
    <w:tmpl w:val="FC8E7BDE"/>
    <w:lvl w:ilvl="0" w:tplc="5E821ACC">
      <w:numFmt w:val="bullet"/>
      <w:lvlText w:val=""/>
      <w:lvlJc w:val="left"/>
      <w:pPr>
        <w:ind w:left="156" w:hanging="100"/>
      </w:pPr>
      <w:rPr>
        <w:rFonts w:ascii="Symbol" w:eastAsia="Symbol" w:hAnsi="Symbol" w:cs="Symbol" w:hint="default"/>
        <w:color w:val="231F20"/>
        <w:w w:val="100"/>
        <w:sz w:val="14"/>
        <w:szCs w:val="14"/>
      </w:rPr>
    </w:lvl>
    <w:lvl w:ilvl="1" w:tplc="5CA223DE">
      <w:numFmt w:val="bullet"/>
      <w:lvlText w:val="•"/>
      <w:lvlJc w:val="left"/>
      <w:pPr>
        <w:ind w:left="301" w:hanging="100"/>
      </w:pPr>
      <w:rPr>
        <w:rFonts w:hint="default"/>
      </w:rPr>
    </w:lvl>
    <w:lvl w:ilvl="2" w:tplc="48EE4100">
      <w:numFmt w:val="bullet"/>
      <w:lvlText w:val="•"/>
      <w:lvlJc w:val="left"/>
      <w:pPr>
        <w:ind w:left="443" w:hanging="100"/>
      </w:pPr>
      <w:rPr>
        <w:rFonts w:hint="default"/>
      </w:rPr>
    </w:lvl>
    <w:lvl w:ilvl="3" w:tplc="11A2E2CA">
      <w:numFmt w:val="bullet"/>
      <w:lvlText w:val="•"/>
      <w:lvlJc w:val="left"/>
      <w:pPr>
        <w:ind w:left="585" w:hanging="100"/>
      </w:pPr>
      <w:rPr>
        <w:rFonts w:hint="default"/>
      </w:rPr>
    </w:lvl>
    <w:lvl w:ilvl="4" w:tplc="194274B4">
      <w:numFmt w:val="bullet"/>
      <w:lvlText w:val="•"/>
      <w:lvlJc w:val="left"/>
      <w:pPr>
        <w:ind w:left="726" w:hanging="100"/>
      </w:pPr>
      <w:rPr>
        <w:rFonts w:hint="default"/>
      </w:rPr>
    </w:lvl>
    <w:lvl w:ilvl="5" w:tplc="87F413E8">
      <w:numFmt w:val="bullet"/>
      <w:lvlText w:val="•"/>
      <w:lvlJc w:val="left"/>
      <w:pPr>
        <w:ind w:left="868" w:hanging="100"/>
      </w:pPr>
      <w:rPr>
        <w:rFonts w:hint="default"/>
      </w:rPr>
    </w:lvl>
    <w:lvl w:ilvl="6" w:tplc="F0069F10">
      <w:numFmt w:val="bullet"/>
      <w:lvlText w:val="•"/>
      <w:lvlJc w:val="left"/>
      <w:pPr>
        <w:ind w:left="1010" w:hanging="100"/>
      </w:pPr>
      <w:rPr>
        <w:rFonts w:hint="default"/>
      </w:rPr>
    </w:lvl>
    <w:lvl w:ilvl="7" w:tplc="B418836A">
      <w:numFmt w:val="bullet"/>
      <w:lvlText w:val="•"/>
      <w:lvlJc w:val="left"/>
      <w:pPr>
        <w:ind w:left="1151" w:hanging="100"/>
      </w:pPr>
      <w:rPr>
        <w:rFonts w:hint="default"/>
      </w:rPr>
    </w:lvl>
    <w:lvl w:ilvl="8" w:tplc="EAE6FF28">
      <w:numFmt w:val="bullet"/>
      <w:lvlText w:val="•"/>
      <w:lvlJc w:val="left"/>
      <w:pPr>
        <w:ind w:left="1293" w:hanging="100"/>
      </w:pPr>
      <w:rPr>
        <w:rFonts w:hint="default"/>
      </w:rPr>
    </w:lvl>
  </w:abstractNum>
  <w:abstractNum w:abstractNumId="1617" w15:restartNumberingAfterBreak="0">
    <w:nsid w:val="66022BB0"/>
    <w:multiLevelType w:val="hybridMultilevel"/>
    <w:tmpl w:val="8E3409D0"/>
    <w:lvl w:ilvl="0" w:tplc="F4248F18">
      <w:numFmt w:val="bullet"/>
      <w:lvlText w:val=""/>
      <w:lvlJc w:val="left"/>
      <w:pPr>
        <w:ind w:left="157" w:hanging="100"/>
      </w:pPr>
      <w:rPr>
        <w:rFonts w:ascii="Symbol" w:eastAsia="Symbol" w:hAnsi="Symbol" w:cs="Symbol" w:hint="default"/>
        <w:color w:val="231F20"/>
        <w:w w:val="100"/>
        <w:sz w:val="14"/>
        <w:szCs w:val="14"/>
      </w:rPr>
    </w:lvl>
    <w:lvl w:ilvl="1" w:tplc="2AE29CA6">
      <w:numFmt w:val="bullet"/>
      <w:lvlText w:val="•"/>
      <w:lvlJc w:val="left"/>
      <w:pPr>
        <w:ind w:left="426" w:hanging="100"/>
      </w:pPr>
      <w:rPr>
        <w:rFonts w:hint="default"/>
      </w:rPr>
    </w:lvl>
    <w:lvl w:ilvl="2" w:tplc="0316BE26">
      <w:numFmt w:val="bullet"/>
      <w:lvlText w:val="•"/>
      <w:lvlJc w:val="left"/>
      <w:pPr>
        <w:ind w:left="692" w:hanging="100"/>
      </w:pPr>
      <w:rPr>
        <w:rFonts w:hint="default"/>
      </w:rPr>
    </w:lvl>
    <w:lvl w:ilvl="3" w:tplc="3BB2925E">
      <w:numFmt w:val="bullet"/>
      <w:lvlText w:val="•"/>
      <w:lvlJc w:val="left"/>
      <w:pPr>
        <w:ind w:left="959" w:hanging="100"/>
      </w:pPr>
      <w:rPr>
        <w:rFonts w:hint="default"/>
      </w:rPr>
    </w:lvl>
    <w:lvl w:ilvl="4" w:tplc="A096052C">
      <w:numFmt w:val="bullet"/>
      <w:lvlText w:val="•"/>
      <w:lvlJc w:val="left"/>
      <w:pPr>
        <w:ind w:left="1225" w:hanging="100"/>
      </w:pPr>
      <w:rPr>
        <w:rFonts w:hint="default"/>
      </w:rPr>
    </w:lvl>
    <w:lvl w:ilvl="5" w:tplc="AF2A651C">
      <w:numFmt w:val="bullet"/>
      <w:lvlText w:val="•"/>
      <w:lvlJc w:val="left"/>
      <w:pPr>
        <w:ind w:left="1492" w:hanging="100"/>
      </w:pPr>
      <w:rPr>
        <w:rFonts w:hint="default"/>
      </w:rPr>
    </w:lvl>
    <w:lvl w:ilvl="6" w:tplc="6B96B324">
      <w:numFmt w:val="bullet"/>
      <w:lvlText w:val="•"/>
      <w:lvlJc w:val="left"/>
      <w:pPr>
        <w:ind w:left="1758" w:hanging="100"/>
      </w:pPr>
      <w:rPr>
        <w:rFonts w:hint="default"/>
      </w:rPr>
    </w:lvl>
    <w:lvl w:ilvl="7" w:tplc="13748B98">
      <w:numFmt w:val="bullet"/>
      <w:lvlText w:val="•"/>
      <w:lvlJc w:val="left"/>
      <w:pPr>
        <w:ind w:left="2024" w:hanging="100"/>
      </w:pPr>
      <w:rPr>
        <w:rFonts w:hint="default"/>
      </w:rPr>
    </w:lvl>
    <w:lvl w:ilvl="8" w:tplc="AC9087EC">
      <w:numFmt w:val="bullet"/>
      <w:lvlText w:val="•"/>
      <w:lvlJc w:val="left"/>
      <w:pPr>
        <w:ind w:left="2291" w:hanging="100"/>
      </w:pPr>
      <w:rPr>
        <w:rFonts w:hint="default"/>
      </w:rPr>
    </w:lvl>
  </w:abstractNum>
  <w:abstractNum w:abstractNumId="1618" w15:restartNumberingAfterBreak="0">
    <w:nsid w:val="666D3C32"/>
    <w:multiLevelType w:val="hybridMultilevel"/>
    <w:tmpl w:val="FB1E5F8A"/>
    <w:lvl w:ilvl="0" w:tplc="884A1B16">
      <w:numFmt w:val="bullet"/>
      <w:lvlText w:val=""/>
      <w:lvlJc w:val="left"/>
      <w:pPr>
        <w:ind w:left="157" w:hanging="100"/>
      </w:pPr>
      <w:rPr>
        <w:rFonts w:ascii="Symbol" w:eastAsia="Symbol" w:hAnsi="Symbol" w:cs="Symbol" w:hint="default"/>
        <w:color w:val="231F20"/>
        <w:w w:val="100"/>
        <w:sz w:val="14"/>
        <w:szCs w:val="14"/>
      </w:rPr>
    </w:lvl>
    <w:lvl w:ilvl="1" w:tplc="5B0E8314">
      <w:numFmt w:val="bullet"/>
      <w:lvlText w:val="•"/>
      <w:lvlJc w:val="left"/>
      <w:pPr>
        <w:ind w:left="369" w:hanging="100"/>
      </w:pPr>
      <w:rPr>
        <w:rFonts w:hint="default"/>
      </w:rPr>
    </w:lvl>
    <w:lvl w:ilvl="2" w:tplc="36EA2D4E">
      <w:numFmt w:val="bullet"/>
      <w:lvlText w:val="•"/>
      <w:lvlJc w:val="left"/>
      <w:pPr>
        <w:ind w:left="579" w:hanging="100"/>
      </w:pPr>
      <w:rPr>
        <w:rFonts w:hint="default"/>
      </w:rPr>
    </w:lvl>
    <w:lvl w:ilvl="3" w:tplc="81C4B170">
      <w:numFmt w:val="bullet"/>
      <w:lvlText w:val="•"/>
      <w:lvlJc w:val="left"/>
      <w:pPr>
        <w:ind w:left="789" w:hanging="100"/>
      </w:pPr>
      <w:rPr>
        <w:rFonts w:hint="default"/>
      </w:rPr>
    </w:lvl>
    <w:lvl w:ilvl="4" w:tplc="AB184058">
      <w:numFmt w:val="bullet"/>
      <w:lvlText w:val="•"/>
      <w:lvlJc w:val="left"/>
      <w:pPr>
        <w:ind w:left="998" w:hanging="100"/>
      </w:pPr>
      <w:rPr>
        <w:rFonts w:hint="default"/>
      </w:rPr>
    </w:lvl>
    <w:lvl w:ilvl="5" w:tplc="E6783A7C">
      <w:numFmt w:val="bullet"/>
      <w:lvlText w:val="•"/>
      <w:lvlJc w:val="left"/>
      <w:pPr>
        <w:ind w:left="1208" w:hanging="100"/>
      </w:pPr>
      <w:rPr>
        <w:rFonts w:hint="default"/>
      </w:rPr>
    </w:lvl>
    <w:lvl w:ilvl="6" w:tplc="147AFDDA">
      <w:numFmt w:val="bullet"/>
      <w:lvlText w:val="•"/>
      <w:lvlJc w:val="left"/>
      <w:pPr>
        <w:ind w:left="1418" w:hanging="100"/>
      </w:pPr>
      <w:rPr>
        <w:rFonts w:hint="default"/>
      </w:rPr>
    </w:lvl>
    <w:lvl w:ilvl="7" w:tplc="52A0227A">
      <w:numFmt w:val="bullet"/>
      <w:lvlText w:val="•"/>
      <w:lvlJc w:val="left"/>
      <w:pPr>
        <w:ind w:left="1627" w:hanging="100"/>
      </w:pPr>
      <w:rPr>
        <w:rFonts w:hint="default"/>
      </w:rPr>
    </w:lvl>
    <w:lvl w:ilvl="8" w:tplc="18D06D02">
      <w:numFmt w:val="bullet"/>
      <w:lvlText w:val="•"/>
      <w:lvlJc w:val="left"/>
      <w:pPr>
        <w:ind w:left="1837" w:hanging="100"/>
      </w:pPr>
      <w:rPr>
        <w:rFonts w:hint="default"/>
      </w:rPr>
    </w:lvl>
  </w:abstractNum>
  <w:abstractNum w:abstractNumId="1619" w15:restartNumberingAfterBreak="0">
    <w:nsid w:val="667148D2"/>
    <w:multiLevelType w:val="hybridMultilevel"/>
    <w:tmpl w:val="AC7A7A14"/>
    <w:lvl w:ilvl="0" w:tplc="B0961748">
      <w:numFmt w:val="bullet"/>
      <w:lvlText w:val=""/>
      <w:lvlJc w:val="left"/>
      <w:pPr>
        <w:ind w:left="156" w:hanging="100"/>
      </w:pPr>
      <w:rPr>
        <w:rFonts w:ascii="Symbol" w:eastAsia="Symbol" w:hAnsi="Symbol" w:cs="Symbol" w:hint="default"/>
        <w:color w:val="231F20"/>
        <w:w w:val="100"/>
        <w:sz w:val="14"/>
        <w:szCs w:val="14"/>
      </w:rPr>
    </w:lvl>
    <w:lvl w:ilvl="1" w:tplc="7576B8A0">
      <w:numFmt w:val="bullet"/>
      <w:lvlText w:val="•"/>
      <w:lvlJc w:val="left"/>
      <w:pPr>
        <w:ind w:left="301" w:hanging="100"/>
      </w:pPr>
      <w:rPr>
        <w:rFonts w:hint="default"/>
      </w:rPr>
    </w:lvl>
    <w:lvl w:ilvl="2" w:tplc="69484D76">
      <w:numFmt w:val="bullet"/>
      <w:lvlText w:val="•"/>
      <w:lvlJc w:val="left"/>
      <w:pPr>
        <w:ind w:left="443" w:hanging="100"/>
      </w:pPr>
      <w:rPr>
        <w:rFonts w:hint="default"/>
      </w:rPr>
    </w:lvl>
    <w:lvl w:ilvl="3" w:tplc="24705A30">
      <w:numFmt w:val="bullet"/>
      <w:lvlText w:val="•"/>
      <w:lvlJc w:val="left"/>
      <w:pPr>
        <w:ind w:left="585" w:hanging="100"/>
      </w:pPr>
      <w:rPr>
        <w:rFonts w:hint="default"/>
      </w:rPr>
    </w:lvl>
    <w:lvl w:ilvl="4" w:tplc="421ED1CE">
      <w:numFmt w:val="bullet"/>
      <w:lvlText w:val="•"/>
      <w:lvlJc w:val="left"/>
      <w:pPr>
        <w:ind w:left="726" w:hanging="100"/>
      </w:pPr>
      <w:rPr>
        <w:rFonts w:hint="default"/>
      </w:rPr>
    </w:lvl>
    <w:lvl w:ilvl="5" w:tplc="88F8F95E">
      <w:numFmt w:val="bullet"/>
      <w:lvlText w:val="•"/>
      <w:lvlJc w:val="left"/>
      <w:pPr>
        <w:ind w:left="868" w:hanging="100"/>
      </w:pPr>
      <w:rPr>
        <w:rFonts w:hint="default"/>
      </w:rPr>
    </w:lvl>
    <w:lvl w:ilvl="6" w:tplc="534876E8">
      <w:numFmt w:val="bullet"/>
      <w:lvlText w:val="•"/>
      <w:lvlJc w:val="left"/>
      <w:pPr>
        <w:ind w:left="1010" w:hanging="100"/>
      </w:pPr>
      <w:rPr>
        <w:rFonts w:hint="default"/>
      </w:rPr>
    </w:lvl>
    <w:lvl w:ilvl="7" w:tplc="1338A91A">
      <w:numFmt w:val="bullet"/>
      <w:lvlText w:val="•"/>
      <w:lvlJc w:val="left"/>
      <w:pPr>
        <w:ind w:left="1151" w:hanging="100"/>
      </w:pPr>
      <w:rPr>
        <w:rFonts w:hint="default"/>
      </w:rPr>
    </w:lvl>
    <w:lvl w:ilvl="8" w:tplc="FD3442B4">
      <w:numFmt w:val="bullet"/>
      <w:lvlText w:val="•"/>
      <w:lvlJc w:val="left"/>
      <w:pPr>
        <w:ind w:left="1293" w:hanging="100"/>
      </w:pPr>
      <w:rPr>
        <w:rFonts w:hint="default"/>
      </w:rPr>
    </w:lvl>
  </w:abstractNum>
  <w:abstractNum w:abstractNumId="1620" w15:restartNumberingAfterBreak="0">
    <w:nsid w:val="667307FC"/>
    <w:multiLevelType w:val="hybridMultilevel"/>
    <w:tmpl w:val="F9049F02"/>
    <w:lvl w:ilvl="0" w:tplc="BB8EE102">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8A72CAB8">
      <w:numFmt w:val="bullet"/>
      <w:lvlText w:val="•"/>
      <w:lvlJc w:val="left"/>
      <w:pPr>
        <w:ind w:left="426" w:hanging="105"/>
      </w:pPr>
      <w:rPr>
        <w:rFonts w:hint="default"/>
      </w:rPr>
    </w:lvl>
    <w:lvl w:ilvl="2" w:tplc="8D884530">
      <w:numFmt w:val="bullet"/>
      <w:lvlText w:val="•"/>
      <w:lvlJc w:val="left"/>
      <w:pPr>
        <w:ind w:left="692" w:hanging="105"/>
      </w:pPr>
      <w:rPr>
        <w:rFonts w:hint="default"/>
      </w:rPr>
    </w:lvl>
    <w:lvl w:ilvl="3" w:tplc="A10E15F0">
      <w:numFmt w:val="bullet"/>
      <w:lvlText w:val="•"/>
      <w:lvlJc w:val="left"/>
      <w:pPr>
        <w:ind w:left="959" w:hanging="105"/>
      </w:pPr>
      <w:rPr>
        <w:rFonts w:hint="default"/>
      </w:rPr>
    </w:lvl>
    <w:lvl w:ilvl="4" w:tplc="F9CA3C50">
      <w:numFmt w:val="bullet"/>
      <w:lvlText w:val="•"/>
      <w:lvlJc w:val="left"/>
      <w:pPr>
        <w:ind w:left="1225" w:hanging="105"/>
      </w:pPr>
      <w:rPr>
        <w:rFonts w:hint="default"/>
      </w:rPr>
    </w:lvl>
    <w:lvl w:ilvl="5" w:tplc="47481676">
      <w:numFmt w:val="bullet"/>
      <w:lvlText w:val="•"/>
      <w:lvlJc w:val="left"/>
      <w:pPr>
        <w:ind w:left="1492" w:hanging="105"/>
      </w:pPr>
      <w:rPr>
        <w:rFonts w:hint="default"/>
      </w:rPr>
    </w:lvl>
    <w:lvl w:ilvl="6" w:tplc="F6C8F52C">
      <w:numFmt w:val="bullet"/>
      <w:lvlText w:val="•"/>
      <w:lvlJc w:val="left"/>
      <w:pPr>
        <w:ind w:left="1758" w:hanging="105"/>
      </w:pPr>
      <w:rPr>
        <w:rFonts w:hint="default"/>
      </w:rPr>
    </w:lvl>
    <w:lvl w:ilvl="7" w:tplc="6010B936">
      <w:numFmt w:val="bullet"/>
      <w:lvlText w:val="•"/>
      <w:lvlJc w:val="left"/>
      <w:pPr>
        <w:ind w:left="2024" w:hanging="105"/>
      </w:pPr>
      <w:rPr>
        <w:rFonts w:hint="default"/>
      </w:rPr>
    </w:lvl>
    <w:lvl w:ilvl="8" w:tplc="F11E8C6A">
      <w:numFmt w:val="bullet"/>
      <w:lvlText w:val="•"/>
      <w:lvlJc w:val="left"/>
      <w:pPr>
        <w:ind w:left="2291" w:hanging="105"/>
      </w:pPr>
      <w:rPr>
        <w:rFonts w:hint="default"/>
      </w:rPr>
    </w:lvl>
  </w:abstractNum>
  <w:abstractNum w:abstractNumId="1621" w15:restartNumberingAfterBreak="0">
    <w:nsid w:val="66742C0F"/>
    <w:multiLevelType w:val="hybridMultilevel"/>
    <w:tmpl w:val="04628974"/>
    <w:lvl w:ilvl="0" w:tplc="C91A7902">
      <w:numFmt w:val="bullet"/>
      <w:lvlText w:val=""/>
      <w:lvlJc w:val="left"/>
      <w:pPr>
        <w:ind w:left="157" w:hanging="100"/>
      </w:pPr>
      <w:rPr>
        <w:rFonts w:ascii="Symbol" w:eastAsia="Symbol" w:hAnsi="Symbol" w:cs="Symbol" w:hint="default"/>
        <w:color w:val="231F20"/>
        <w:w w:val="100"/>
        <w:sz w:val="14"/>
        <w:szCs w:val="14"/>
      </w:rPr>
    </w:lvl>
    <w:lvl w:ilvl="1" w:tplc="9DE84B34">
      <w:numFmt w:val="bullet"/>
      <w:lvlText w:val="•"/>
      <w:lvlJc w:val="left"/>
      <w:pPr>
        <w:ind w:left="398" w:hanging="100"/>
      </w:pPr>
      <w:rPr>
        <w:rFonts w:hint="default"/>
      </w:rPr>
    </w:lvl>
    <w:lvl w:ilvl="2" w:tplc="9F94615E">
      <w:numFmt w:val="bullet"/>
      <w:lvlText w:val="•"/>
      <w:lvlJc w:val="left"/>
      <w:pPr>
        <w:ind w:left="636" w:hanging="100"/>
      </w:pPr>
      <w:rPr>
        <w:rFonts w:hint="default"/>
      </w:rPr>
    </w:lvl>
    <w:lvl w:ilvl="3" w:tplc="E8B044AE">
      <w:numFmt w:val="bullet"/>
      <w:lvlText w:val="•"/>
      <w:lvlJc w:val="left"/>
      <w:pPr>
        <w:ind w:left="874" w:hanging="100"/>
      </w:pPr>
      <w:rPr>
        <w:rFonts w:hint="default"/>
      </w:rPr>
    </w:lvl>
    <w:lvl w:ilvl="4" w:tplc="3A4E4454">
      <w:numFmt w:val="bullet"/>
      <w:lvlText w:val="•"/>
      <w:lvlJc w:val="left"/>
      <w:pPr>
        <w:ind w:left="1112" w:hanging="100"/>
      </w:pPr>
      <w:rPr>
        <w:rFonts w:hint="default"/>
      </w:rPr>
    </w:lvl>
    <w:lvl w:ilvl="5" w:tplc="D1F2BA9E">
      <w:numFmt w:val="bullet"/>
      <w:lvlText w:val="•"/>
      <w:lvlJc w:val="left"/>
      <w:pPr>
        <w:ind w:left="1350" w:hanging="100"/>
      </w:pPr>
      <w:rPr>
        <w:rFonts w:hint="default"/>
      </w:rPr>
    </w:lvl>
    <w:lvl w:ilvl="6" w:tplc="B84E39E2">
      <w:numFmt w:val="bullet"/>
      <w:lvlText w:val="•"/>
      <w:lvlJc w:val="left"/>
      <w:pPr>
        <w:ind w:left="1588" w:hanging="100"/>
      </w:pPr>
      <w:rPr>
        <w:rFonts w:hint="default"/>
      </w:rPr>
    </w:lvl>
    <w:lvl w:ilvl="7" w:tplc="E40A0AC8">
      <w:numFmt w:val="bullet"/>
      <w:lvlText w:val="•"/>
      <w:lvlJc w:val="left"/>
      <w:pPr>
        <w:ind w:left="1826" w:hanging="100"/>
      </w:pPr>
      <w:rPr>
        <w:rFonts w:hint="default"/>
      </w:rPr>
    </w:lvl>
    <w:lvl w:ilvl="8" w:tplc="DD7C710A">
      <w:numFmt w:val="bullet"/>
      <w:lvlText w:val="•"/>
      <w:lvlJc w:val="left"/>
      <w:pPr>
        <w:ind w:left="2064" w:hanging="100"/>
      </w:pPr>
      <w:rPr>
        <w:rFonts w:hint="default"/>
      </w:rPr>
    </w:lvl>
  </w:abstractNum>
  <w:abstractNum w:abstractNumId="1622" w15:restartNumberingAfterBreak="0">
    <w:nsid w:val="667B4300"/>
    <w:multiLevelType w:val="hybridMultilevel"/>
    <w:tmpl w:val="11CE5218"/>
    <w:lvl w:ilvl="0" w:tplc="C326FC72">
      <w:numFmt w:val="bullet"/>
      <w:lvlText w:val=""/>
      <w:lvlJc w:val="left"/>
      <w:pPr>
        <w:ind w:left="156" w:hanging="100"/>
      </w:pPr>
      <w:rPr>
        <w:rFonts w:ascii="Symbol" w:eastAsia="Symbol" w:hAnsi="Symbol" w:cs="Symbol" w:hint="default"/>
        <w:color w:val="231F20"/>
        <w:w w:val="100"/>
        <w:sz w:val="14"/>
        <w:szCs w:val="14"/>
      </w:rPr>
    </w:lvl>
    <w:lvl w:ilvl="1" w:tplc="6A1AE29A">
      <w:numFmt w:val="bullet"/>
      <w:lvlText w:val="•"/>
      <w:lvlJc w:val="left"/>
      <w:pPr>
        <w:ind w:left="398" w:hanging="100"/>
      </w:pPr>
      <w:rPr>
        <w:rFonts w:hint="default"/>
      </w:rPr>
    </w:lvl>
    <w:lvl w:ilvl="2" w:tplc="B738957E">
      <w:numFmt w:val="bullet"/>
      <w:lvlText w:val="•"/>
      <w:lvlJc w:val="left"/>
      <w:pPr>
        <w:ind w:left="636" w:hanging="100"/>
      </w:pPr>
      <w:rPr>
        <w:rFonts w:hint="default"/>
      </w:rPr>
    </w:lvl>
    <w:lvl w:ilvl="3" w:tplc="A52C3ADA">
      <w:numFmt w:val="bullet"/>
      <w:lvlText w:val="•"/>
      <w:lvlJc w:val="left"/>
      <w:pPr>
        <w:ind w:left="874" w:hanging="100"/>
      </w:pPr>
      <w:rPr>
        <w:rFonts w:hint="default"/>
      </w:rPr>
    </w:lvl>
    <w:lvl w:ilvl="4" w:tplc="4FDC0C32">
      <w:numFmt w:val="bullet"/>
      <w:lvlText w:val="•"/>
      <w:lvlJc w:val="left"/>
      <w:pPr>
        <w:ind w:left="1112" w:hanging="100"/>
      </w:pPr>
      <w:rPr>
        <w:rFonts w:hint="default"/>
      </w:rPr>
    </w:lvl>
    <w:lvl w:ilvl="5" w:tplc="5728293C">
      <w:numFmt w:val="bullet"/>
      <w:lvlText w:val="•"/>
      <w:lvlJc w:val="left"/>
      <w:pPr>
        <w:ind w:left="1350" w:hanging="100"/>
      </w:pPr>
      <w:rPr>
        <w:rFonts w:hint="default"/>
      </w:rPr>
    </w:lvl>
    <w:lvl w:ilvl="6" w:tplc="4260DEE2">
      <w:numFmt w:val="bullet"/>
      <w:lvlText w:val="•"/>
      <w:lvlJc w:val="left"/>
      <w:pPr>
        <w:ind w:left="1588" w:hanging="100"/>
      </w:pPr>
      <w:rPr>
        <w:rFonts w:hint="default"/>
      </w:rPr>
    </w:lvl>
    <w:lvl w:ilvl="7" w:tplc="04B4D69C">
      <w:numFmt w:val="bullet"/>
      <w:lvlText w:val="•"/>
      <w:lvlJc w:val="left"/>
      <w:pPr>
        <w:ind w:left="1826" w:hanging="100"/>
      </w:pPr>
      <w:rPr>
        <w:rFonts w:hint="default"/>
      </w:rPr>
    </w:lvl>
    <w:lvl w:ilvl="8" w:tplc="C7A0BBCE">
      <w:numFmt w:val="bullet"/>
      <w:lvlText w:val="•"/>
      <w:lvlJc w:val="left"/>
      <w:pPr>
        <w:ind w:left="2064" w:hanging="100"/>
      </w:pPr>
      <w:rPr>
        <w:rFonts w:hint="default"/>
      </w:rPr>
    </w:lvl>
  </w:abstractNum>
  <w:abstractNum w:abstractNumId="1623" w15:restartNumberingAfterBreak="0">
    <w:nsid w:val="668D6B2A"/>
    <w:multiLevelType w:val="hybridMultilevel"/>
    <w:tmpl w:val="F744B490"/>
    <w:lvl w:ilvl="0" w:tplc="AC98D592">
      <w:numFmt w:val="bullet"/>
      <w:lvlText w:val=""/>
      <w:lvlJc w:val="left"/>
      <w:pPr>
        <w:ind w:left="156" w:hanging="100"/>
      </w:pPr>
      <w:rPr>
        <w:rFonts w:ascii="Symbol" w:eastAsia="Symbol" w:hAnsi="Symbol" w:cs="Symbol" w:hint="default"/>
        <w:color w:val="231F20"/>
        <w:w w:val="100"/>
        <w:sz w:val="14"/>
        <w:szCs w:val="14"/>
      </w:rPr>
    </w:lvl>
    <w:lvl w:ilvl="1" w:tplc="FD682324">
      <w:numFmt w:val="bullet"/>
      <w:lvlText w:val="•"/>
      <w:lvlJc w:val="left"/>
      <w:pPr>
        <w:ind w:left="398" w:hanging="100"/>
      </w:pPr>
      <w:rPr>
        <w:rFonts w:hint="default"/>
      </w:rPr>
    </w:lvl>
    <w:lvl w:ilvl="2" w:tplc="8092C4FC">
      <w:numFmt w:val="bullet"/>
      <w:lvlText w:val="•"/>
      <w:lvlJc w:val="left"/>
      <w:pPr>
        <w:ind w:left="636" w:hanging="100"/>
      </w:pPr>
      <w:rPr>
        <w:rFonts w:hint="default"/>
      </w:rPr>
    </w:lvl>
    <w:lvl w:ilvl="3" w:tplc="83ACC662">
      <w:numFmt w:val="bullet"/>
      <w:lvlText w:val="•"/>
      <w:lvlJc w:val="left"/>
      <w:pPr>
        <w:ind w:left="874" w:hanging="100"/>
      </w:pPr>
      <w:rPr>
        <w:rFonts w:hint="default"/>
      </w:rPr>
    </w:lvl>
    <w:lvl w:ilvl="4" w:tplc="0FFA566A">
      <w:numFmt w:val="bullet"/>
      <w:lvlText w:val="•"/>
      <w:lvlJc w:val="left"/>
      <w:pPr>
        <w:ind w:left="1112" w:hanging="100"/>
      </w:pPr>
      <w:rPr>
        <w:rFonts w:hint="default"/>
      </w:rPr>
    </w:lvl>
    <w:lvl w:ilvl="5" w:tplc="BCE06964">
      <w:numFmt w:val="bullet"/>
      <w:lvlText w:val="•"/>
      <w:lvlJc w:val="left"/>
      <w:pPr>
        <w:ind w:left="1350" w:hanging="100"/>
      </w:pPr>
      <w:rPr>
        <w:rFonts w:hint="default"/>
      </w:rPr>
    </w:lvl>
    <w:lvl w:ilvl="6" w:tplc="AFC239F6">
      <w:numFmt w:val="bullet"/>
      <w:lvlText w:val="•"/>
      <w:lvlJc w:val="left"/>
      <w:pPr>
        <w:ind w:left="1588" w:hanging="100"/>
      </w:pPr>
      <w:rPr>
        <w:rFonts w:hint="default"/>
      </w:rPr>
    </w:lvl>
    <w:lvl w:ilvl="7" w:tplc="0C7C4A50">
      <w:numFmt w:val="bullet"/>
      <w:lvlText w:val="•"/>
      <w:lvlJc w:val="left"/>
      <w:pPr>
        <w:ind w:left="1826" w:hanging="100"/>
      </w:pPr>
      <w:rPr>
        <w:rFonts w:hint="default"/>
      </w:rPr>
    </w:lvl>
    <w:lvl w:ilvl="8" w:tplc="3FDC501E">
      <w:numFmt w:val="bullet"/>
      <w:lvlText w:val="•"/>
      <w:lvlJc w:val="left"/>
      <w:pPr>
        <w:ind w:left="2064" w:hanging="100"/>
      </w:pPr>
      <w:rPr>
        <w:rFonts w:hint="default"/>
      </w:rPr>
    </w:lvl>
  </w:abstractNum>
  <w:abstractNum w:abstractNumId="1624" w15:restartNumberingAfterBreak="0">
    <w:nsid w:val="668F5A2C"/>
    <w:multiLevelType w:val="hybridMultilevel"/>
    <w:tmpl w:val="2D0EF866"/>
    <w:lvl w:ilvl="0" w:tplc="063810FA">
      <w:numFmt w:val="bullet"/>
      <w:lvlText w:val=""/>
      <w:lvlJc w:val="left"/>
      <w:pPr>
        <w:ind w:left="156" w:hanging="100"/>
      </w:pPr>
      <w:rPr>
        <w:rFonts w:ascii="Symbol" w:eastAsia="Symbol" w:hAnsi="Symbol" w:cs="Symbol" w:hint="default"/>
        <w:color w:val="231F20"/>
        <w:w w:val="100"/>
        <w:sz w:val="14"/>
        <w:szCs w:val="14"/>
      </w:rPr>
    </w:lvl>
    <w:lvl w:ilvl="1" w:tplc="C84210E8">
      <w:numFmt w:val="bullet"/>
      <w:lvlText w:val="•"/>
      <w:lvlJc w:val="left"/>
      <w:pPr>
        <w:ind w:left="398" w:hanging="100"/>
      </w:pPr>
      <w:rPr>
        <w:rFonts w:hint="default"/>
      </w:rPr>
    </w:lvl>
    <w:lvl w:ilvl="2" w:tplc="198450D8">
      <w:numFmt w:val="bullet"/>
      <w:lvlText w:val="•"/>
      <w:lvlJc w:val="left"/>
      <w:pPr>
        <w:ind w:left="636" w:hanging="100"/>
      </w:pPr>
      <w:rPr>
        <w:rFonts w:hint="default"/>
      </w:rPr>
    </w:lvl>
    <w:lvl w:ilvl="3" w:tplc="E7065B5C">
      <w:numFmt w:val="bullet"/>
      <w:lvlText w:val="•"/>
      <w:lvlJc w:val="left"/>
      <w:pPr>
        <w:ind w:left="874" w:hanging="100"/>
      </w:pPr>
      <w:rPr>
        <w:rFonts w:hint="default"/>
      </w:rPr>
    </w:lvl>
    <w:lvl w:ilvl="4" w:tplc="2D9E5972">
      <w:numFmt w:val="bullet"/>
      <w:lvlText w:val="•"/>
      <w:lvlJc w:val="left"/>
      <w:pPr>
        <w:ind w:left="1112" w:hanging="100"/>
      </w:pPr>
      <w:rPr>
        <w:rFonts w:hint="default"/>
      </w:rPr>
    </w:lvl>
    <w:lvl w:ilvl="5" w:tplc="ED404254">
      <w:numFmt w:val="bullet"/>
      <w:lvlText w:val="•"/>
      <w:lvlJc w:val="left"/>
      <w:pPr>
        <w:ind w:left="1350" w:hanging="100"/>
      </w:pPr>
      <w:rPr>
        <w:rFonts w:hint="default"/>
      </w:rPr>
    </w:lvl>
    <w:lvl w:ilvl="6" w:tplc="1888760A">
      <w:numFmt w:val="bullet"/>
      <w:lvlText w:val="•"/>
      <w:lvlJc w:val="left"/>
      <w:pPr>
        <w:ind w:left="1588" w:hanging="100"/>
      </w:pPr>
      <w:rPr>
        <w:rFonts w:hint="default"/>
      </w:rPr>
    </w:lvl>
    <w:lvl w:ilvl="7" w:tplc="C84A63F6">
      <w:numFmt w:val="bullet"/>
      <w:lvlText w:val="•"/>
      <w:lvlJc w:val="left"/>
      <w:pPr>
        <w:ind w:left="1826" w:hanging="100"/>
      </w:pPr>
      <w:rPr>
        <w:rFonts w:hint="default"/>
      </w:rPr>
    </w:lvl>
    <w:lvl w:ilvl="8" w:tplc="5E8823CA">
      <w:numFmt w:val="bullet"/>
      <w:lvlText w:val="•"/>
      <w:lvlJc w:val="left"/>
      <w:pPr>
        <w:ind w:left="2064" w:hanging="100"/>
      </w:pPr>
      <w:rPr>
        <w:rFonts w:hint="default"/>
      </w:rPr>
    </w:lvl>
  </w:abstractNum>
  <w:abstractNum w:abstractNumId="1625" w15:restartNumberingAfterBreak="0">
    <w:nsid w:val="66A10A61"/>
    <w:multiLevelType w:val="hybridMultilevel"/>
    <w:tmpl w:val="A3D262B6"/>
    <w:lvl w:ilvl="0" w:tplc="39549558">
      <w:numFmt w:val="bullet"/>
      <w:lvlText w:val=""/>
      <w:lvlJc w:val="left"/>
      <w:pPr>
        <w:ind w:left="157" w:hanging="100"/>
      </w:pPr>
      <w:rPr>
        <w:rFonts w:ascii="Symbol" w:eastAsia="Symbol" w:hAnsi="Symbol" w:cs="Symbol" w:hint="default"/>
        <w:color w:val="231F20"/>
        <w:w w:val="100"/>
        <w:sz w:val="14"/>
        <w:szCs w:val="14"/>
      </w:rPr>
    </w:lvl>
    <w:lvl w:ilvl="1" w:tplc="C4241A0A">
      <w:numFmt w:val="bullet"/>
      <w:lvlText w:val="•"/>
      <w:lvlJc w:val="left"/>
      <w:pPr>
        <w:ind w:left="369" w:hanging="100"/>
      </w:pPr>
      <w:rPr>
        <w:rFonts w:hint="default"/>
      </w:rPr>
    </w:lvl>
    <w:lvl w:ilvl="2" w:tplc="66E621AC">
      <w:numFmt w:val="bullet"/>
      <w:lvlText w:val="•"/>
      <w:lvlJc w:val="left"/>
      <w:pPr>
        <w:ind w:left="579" w:hanging="100"/>
      </w:pPr>
      <w:rPr>
        <w:rFonts w:hint="default"/>
      </w:rPr>
    </w:lvl>
    <w:lvl w:ilvl="3" w:tplc="17F43586">
      <w:numFmt w:val="bullet"/>
      <w:lvlText w:val="•"/>
      <w:lvlJc w:val="left"/>
      <w:pPr>
        <w:ind w:left="789" w:hanging="100"/>
      </w:pPr>
      <w:rPr>
        <w:rFonts w:hint="default"/>
      </w:rPr>
    </w:lvl>
    <w:lvl w:ilvl="4" w:tplc="C352B82E">
      <w:numFmt w:val="bullet"/>
      <w:lvlText w:val="•"/>
      <w:lvlJc w:val="left"/>
      <w:pPr>
        <w:ind w:left="998" w:hanging="100"/>
      </w:pPr>
      <w:rPr>
        <w:rFonts w:hint="default"/>
      </w:rPr>
    </w:lvl>
    <w:lvl w:ilvl="5" w:tplc="6B8672DE">
      <w:numFmt w:val="bullet"/>
      <w:lvlText w:val="•"/>
      <w:lvlJc w:val="left"/>
      <w:pPr>
        <w:ind w:left="1208" w:hanging="100"/>
      </w:pPr>
      <w:rPr>
        <w:rFonts w:hint="default"/>
      </w:rPr>
    </w:lvl>
    <w:lvl w:ilvl="6" w:tplc="13F039E4">
      <w:numFmt w:val="bullet"/>
      <w:lvlText w:val="•"/>
      <w:lvlJc w:val="left"/>
      <w:pPr>
        <w:ind w:left="1418" w:hanging="100"/>
      </w:pPr>
      <w:rPr>
        <w:rFonts w:hint="default"/>
      </w:rPr>
    </w:lvl>
    <w:lvl w:ilvl="7" w:tplc="3CB0A71E">
      <w:numFmt w:val="bullet"/>
      <w:lvlText w:val="•"/>
      <w:lvlJc w:val="left"/>
      <w:pPr>
        <w:ind w:left="1627" w:hanging="100"/>
      </w:pPr>
      <w:rPr>
        <w:rFonts w:hint="default"/>
      </w:rPr>
    </w:lvl>
    <w:lvl w:ilvl="8" w:tplc="A4BE8B4C">
      <w:numFmt w:val="bullet"/>
      <w:lvlText w:val="•"/>
      <w:lvlJc w:val="left"/>
      <w:pPr>
        <w:ind w:left="1837" w:hanging="100"/>
      </w:pPr>
      <w:rPr>
        <w:rFonts w:hint="default"/>
      </w:rPr>
    </w:lvl>
  </w:abstractNum>
  <w:abstractNum w:abstractNumId="1626" w15:restartNumberingAfterBreak="0">
    <w:nsid w:val="66B209ED"/>
    <w:multiLevelType w:val="hybridMultilevel"/>
    <w:tmpl w:val="03C4EF2A"/>
    <w:lvl w:ilvl="0" w:tplc="D756AEF8">
      <w:numFmt w:val="bullet"/>
      <w:lvlText w:val=""/>
      <w:lvlJc w:val="left"/>
      <w:pPr>
        <w:ind w:left="157" w:hanging="100"/>
      </w:pPr>
      <w:rPr>
        <w:rFonts w:ascii="Symbol" w:eastAsia="Symbol" w:hAnsi="Symbol" w:cs="Symbol" w:hint="default"/>
        <w:color w:val="231F20"/>
        <w:w w:val="100"/>
        <w:sz w:val="14"/>
        <w:szCs w:val="14"/>
      </w:rPr>
    </w:lvl>
    <w:lvl w:ilvl="1" w:tplc="F6B2B184">
      <w:numFmt w:val="bullet"/>
      <w:lvlText w:val="•"/>
      <w:lvlJc w:val="left"/>
      <w:pPr>
        <w:ind w:left="426" w:hanging="100"/>
      </w:pPr>
      <w:rPr>
        <w:rFonts w:hint="default"/>
      </w:rPr>
    </w:lvl>
    <w:lvl w:ilvl="2" w:tplc="B142BD52">
      <w:numFmt w:val="bullet"/>
      <w:lvlText w:val="•"/>
      <w:lvlJc w:val="left"/>
      <w:pPr>
        <w:ind w:left="692" w:hanging="100"/>
      </w:pPr>
      <w:rPr>
        <w:rFonts w:hint="default"/>
      </w:rPr>
    </w:lvl>
    <w:lvl w:ilvl="3" w:tplc="AB742D44">
      <w:numFmt w:val="bullet"/>
      <w:lvlText w:val="•"/>
      <w:lvlJc w:val="left"/>
      <w:pPr>
        <w:ind w:left="959" w:hanging="100"/>
      </w:pPr>
      <w:rPr>
        <w:rFonts w:hint="default"/>
      </w:rPr>
    </w:lvl>
    <w:lvl w:ilvl="4" w:tplc="DC80AF0A">
      <w:numFmt w:val="bullet"/>
      <w:lvlText w:val="•"/>
      <w:lvlJc w:val="left"/>
      <w:pPr>
        <w:ind w:left="1225" w:hanging="100"/>
      </w:pPr>
      <w:rPr>
        <w:rFonts w:hint="default"/>
      </w:rPr>
    </w:lvl>
    <w:lvl w:ilvl="5" w:tplc="8E5CD604">
      <w:numFmt w:val="bullet"/>
      <w:lvlText w:val="•"/>
      <w:lvlJc w:val="left"/>
      <w:pPr>
        <w:ind w:left="1492" w:hanging="100"/>
      </w:pPr>
      <w:rPr>
        <w:rFonts w:hint="default"/>
      </w:rPr>
    </w:lvl>
    <w:lvl w:ilvl="6" w:tplc="07AA7FDE">
      <w:numFmt w:val="bullet"/>
      <w:lvlText w:val="•"/>
      <w:lvlJc w:val="left"/>
      <w:pPr>
        <w:ind w:left="1758" w:hanging="100"/>
      </w:pPr>
      <w:rPr>
        <w:rFonts w:hint="default"/>
      </w:rPr>
    </w:lvl>
    <w:lvl w:ilvl="7" w:tplc="EAC2DD64">
      <w:numFmt w:val="bullet"/>
      <w:lvlText w:val="•"/>
      <w:lvlJc w:val="left"/>
      <w:pPr>
        <w:ind w:left="2024" w:hanging="100"/>
      </w:pPr>
      <w:rPr>
        <w:rFonts w:hint="default"/>
      </w:rPr>
    </w:lvl>
    <w:lvl w:ilvl="8" w:tplc="F248600E">
      <w:numFmt w:val="bullet"/>
      <w:lvlText w:val="•"/>
      <w:lvlJc w:val="left"/>
      <w:pPr>
        <w:ind w:left="2291" w:hanging="100"/>
      </w:pPr>
      <w:rPr>
        <w:rFonts w:hint="default"/>
      </w:rPr>
    </w:lvl>
  </w:abstractNum>
  <w:abstractNum w:abstractNumId="1627" w15:restartNumberingAfterBreak="0">
    <w:nsid w:val="66BF692D"/>
    <w:multiLevelType w:val="hybridMultilevel"/>
    <w:tmpl w:val="611028BE"/>
    <w:lvl w:ilvl="0" w:tplc="4BB2691A">
      <w:numFmt w:val="bullet"/>
      <w:lvlText w:val=""/>
      <w:lvlJc w:val="left"/>
      <w:pPr>
        <w:ind w:left="157" w:hanging="100"/>
      </w:pPr>
      <w:rPr>
        <w:rFonts w:ascii="Symbol" w:eastAsia="Symbol" w:hAnsi="Symbol" w:cs="Symbol" w:hint="default"/>
        <w:color w:val="231F20"/>
        <w:w w:val="100"/>
        <w:sz w:val="14"/>
        <w:szCs w:val="14"/>
      </w:rPr>
    </w:lvl>
    <w:lvl w:ilvl="1" w:tplc="93F6E7A4">
      <w:numFmt w:val="bullet"/>
      <w:lvlText w:val="•"/>
      <w:lvlJc w:val="left"/>
      <w:pPr>
        <w:ind w:left="426" w:hanging="100"/>
      </w:pPr>
      <w:rPr>
        <w:rFonts w:hint="default"/>
      </w:rPr>
    </w:lvl>
    <w:lvl w:ilvl="2" w:tplc="07883120">
      <w:numFmt w:val="bullet"/>
      <w:lvlText w:val="•"/>
      <w:lvlJc w:val="left"/>
      <w:pPr>
        <w:ind w:left="692" w:hanging="100"/>
      </w:pPr>
      <w:rPr>
        <w:rFonts w:hint="default"/>
      </w:rPr>
    </w:lvl>
    <w:lvl w:ilvl="3" w:tplc="E050D6AA">
      <w:numFmt w:val="bullet"/>
      <w:lvlText w:val="•"/>
      <w:lvlJc w:val="left"/>
      <w:pPr>
        <w:ind w:left="959" w:hanging="100"/>
      </w:pPr>
      <w:rPr>
        <w:rFonts w:hint="default"/>
      </w:rPr>
    </w:lvl>
    <w:lvl w:ilvl="4" w:tplc="E13AFDCC">
      <w:numFmt w:val="bullet"/>
      <w:lvlText w:val="•"/>
      <w:lvlJc w:val="left"/>
      <w:pPr>
        <w:ind w:left="1225" w:hanging="100"/>
      </w:pPr>
      <w:rPr>
        <w:rFonts w:hint="default"/>
      </w:rPr>
    </w:lvl>
    <w:lvl w:ilvl="5" w:tplc="039CF224">
      <w:numFmt w:val="bullet"/>
      <w:lvlText w:val="•"/>
      <w:lvlJc w:val="left"/>
      <w:pPr>
        <w:ind w:left="1492" w:hanging="100"/>
      </w:pPr>
      <w:rPr>
        <w:rFonts w:hint="default"/>
      </w:rPr>
    </w:lvl>
    <w:lvl w:ilvl="6" w:tplc="E544E5C4">
      <w:numFmt w:val="bullet"/>
      <w:lvlText w:val="•"/>
      <w:lvlJc w:val="left"/>
      <w:pPr>
        <w:ind w:left="1758" w:hanging="100"/>
      </w:pPr>
      <w:rPr>
        <w:rFonts w:hint="default"/>
      </w:rPr>
    </w:lvl>
    <w:lvl w:ilvl="7" w:tplc="2AA2F0BA">
      <w:numFmt w:val="bullet"/>
      <w:lvlText w:val="•"/>
      <w:lvlJc w:val="left"/>
      <w:pPr>
        <w:ind w:left="2024" w:hanging="100"/>
      </w:pPr>
      <w:rPr>
        <w:rFonts w:hint="default"/>
      </w:rPr>
    </w:lvl>
    <w:lvl w:ilvl="8" w:tplc="CCCE9158">
      <w:numFmt w:val="bullet"/>
      <w:lvlText w:val="•"/>
      <w:lvlJc w:val="left"/>
      <w:pPr>
        <w:ind w:left="2291" w:hanging="100"/>
      </w:pPr>
      <w:rPr>
        <w:rFonts w:hint="default"/>
      </w:rPr>
    </w:lvl>
  </w:abstractNum>
  <w:abstractNum w:abstractNumId="1628" w15:restartNumberingAfterBreak="0">
    <w:nsid w:val="66C54F35"/>
    <w:multiLevelType w:val="hybridMultilevel"/>
    <w:tmpl w:val="D4D69446"/>
    <w:lvl w:ilvl="0" w:tplc="C7F0CCC8">
      <w:numFmt w:val="bullet"/>
      <w:lvlText w:val=""/>
      <w:lvlJc w:val="left"/>
      <w:pPr>
        <w:ind w:left="156" w:hanging="100"/>
      </w:pPr>
      <w:rPr>
        <w:rFonts w:ascii="Symbol" w:eastAsia="Symbol" w:hAnsi="Symbol" w:cs="Symbol" w:hint="default"/>
        <w:color w:val="231F20"/>
        <w:w w:val="100"/>
        <w:sz w:val="14"/>
        <w:szCs w:val="14"/>
      </w:rPr>
    </w:lvl>
    <w:lvl w:ilvl="1" w:tplc="B5A4EFDE">
      <w:numFmt w:val="bullet"/>
      <w:lvlText w:val="•"/>
      <w:lvlJc w:val="left"/>
      <w:pPr>
        <w:ind w:left="398" w:hanging="100"/>
      </w:pPr>
      <w:rPr>
        <w:rFonts w:hint="default"/>
      </w:rPr>
    </w:lvl>
    <w:lvl w:ilvl="2" w:tplc="B6D0FEDA">
      <w:numFmt w:val="bullet"/>
      <w:lvlText w:val="•"/>
      <w:lvlJc w:val="left"/>
      <w:pPr>
        <w:ind w:left="636" w:hanging="100"/>
      </w:pPr>
      <w:rPr>
        <w:rFonts w:hint="default"/>
      </w:rPr>
    </w:lvl>
    <w:lvl w:ilvl="3" w:tplc="A91C3F7E">
      <w:numFmt w:val="bullet"/>
      <w:lvlText w:val="•"/>
      <w:lvlJc w:val="left"/>
      <w:pPr>
        <w:ind w:left="874" w:hanging="100"/>
      </w:pPr>
      <w:rPr>
        <w:rFonts w:hint="default"/>
      </w:rPr>
    </w:lvl>
    <w:lvl w:ilvl="4" w:tplc="239A0C2E">
      <w:numFmt w:val="bullet"/>
      <w:lvlText w:val="•"/>
      <w:lvlJc w:val="left"/>
      <w:pPr>
        <w:ind w:left="1112" w:hanging="100"/>
      </w:pPr>
      <w:rPr>
        <w:rFonts w:hint="default"/>
      </w:rPr>
    </w:lvl>
    <w:lvl w:ilvl="5" w:tplc="B9D807D6">
      <w:numFmt w:val="bullet"/>
      <w:lvlText w:val="•"/>
      <w:lvlJc w:val="left"/>
      <w:pPr>
        <w:ind w:left="1350" w:hanging="100"/>
      </w:pPr>
      <w:rPr>
        <w:rFonts w:hint="default"/>
      </w:rPr>
    </w:lvl>
    <w:lvl w:ilvl="6" w:tplc="D6785726">
      <w:numFmt w:val="bullet"/>
      <w:lvlText w:val="•"/>
      <w:lvlJc w:val="left"/>
      <w:pPr>
        <w:ind w:left="1588" w:hanging="100"/>
      </w:pPr>
      <w:rPr>
        <w:rFonts w:hint="default"/>
      </w:rPr>
    </w:lvl>
    <w:lvl w:ilvl="7" w:tplc="D35CED5A">
      <w:numFmt w:val="bullet"/>
      <w:lvlText w:val="•"/>
      <w:lvlJc w:val="left"/>
      <w:pPr>
        <w:ind w:left="1826" w:hanging="100"/>
      </w:pPr>
      <w:rPr>
        <w:rFonts w:hint="default"/>
      </w:rPr>
    </w:lvl>
    <w:lvl w:ilvl="8" w:tplc="1630ADB6">
      <w:numFmt w:val="bullet"/>
      <w:lvlText w:val="•"/>
      <w:lvlJc w:val="left"/>
      <w:pPr>
        <w:ind w:left="2064" w:hanging="100"/>
      </w:pPr>
      <w:rPr>
        <w:rFonts w:hint="default"/>
      </w:rPr>
    </w:lvl>
  </w:abstractNum>
  <w:abstractNum w:abstractNumId="1629" w15:restartNumberingAfterBreak="0">
    <w:nsid w:val="66E235E0"/>
    <w:multiLevelType w:val="hybridMultilevel"/>
    <w:tmpl w:val="32B8235E"/>
    <w:lvl w:ilvl="0" w:tplc="504A8616">
      <w:numFmt w:val="bullet"/>
      <w:lvlText w:val=""/>
      <w:lvlJc w:val="left"/>
      <w:pPr>
        <w:ind w:left="156" w:hanging="100"/>
      </w:pPr>
      <w:rPr>
        <w:rFonts w:ascii="Symbol" w:eastAsia="Symbol" w:hAnsi="Symbol" w:cs="Symbol" w:hint="default"/>
        <w:color w:val="231F20"/>
        <w:w w:val="100"/>
        <w:sz w:val="14"/>
        <w:szCs w:val="14"/>
      </w:rPr>
    </w:lvl>
    <w:lvl w:ilvl="1" w:tplc="883032DE">
      <w:numFmt w:val="bullet"/>
      <w:lvlText w:val="•"/>
      <w:lvlJc w:val="left"/>
      <w:pPr>
        <w:ind w:left="398" w:hanging="100"/>
      </w:pPr>
      <w:rPr>
        <w:rFonts w:hint="default"/>
      </w:rPr>
    </w:lvl>
    <w:lvl w:ilvl="2" w:tplc="BC28FFBA">
      <w:numFmt w:val="bullet"/>
      <w:lvlText w:val="•"/>
      <w:lvlJc w:val="left"/>
      <w:pPr>
        <w:ind w:left="636" w:hanging="100"/>
      </w:pPr>
      <w:rPr>
        <w:rFonts w:hint="default"/>
      </w:rPr>
    </w:lvl>
    <w:lvl w:ilvl="3" w:tplc="38EC2DE2">
      <w:numFmt w:val="bullet"/>
      <w:lvlText w:val="•"/>
      <w:lvlJc w:val="left"/>
      <w:pPr>
        <w:ind w:left="874" w:hanging="100"/>
      </w:pPr>
      <w:rPr>
        <w:rFonts w:hint="default"/>
      </w:rPr>
    </w:lvl>
    <w:lvl w:ilvl="4" w:tplc="B52C0FEC">
      <w:numFmt w:val="bullet"/>
      <w:lvlText w:val="•"/>
      <w:lvlJc w:val="left"/>
      <w:pPr>
        <w:ind w:left="1112" w:hanging="100"/>
      </w:pPr>
      <w:rPr>
        <w:rFonts w:hint="default"/>
      </w:rPr>
    </w:lvl>
    <w:lvl w:ilvl="5" w:tplc="3E20D2EC">
      <w:numFmt w:val="bullet"/>
      <w:lvlText w:val="•"/>
      <w:lvlJc w:val="left"/>
      <w:pPr>
        <w:ind w:left="1350" w:hanging="100"/>
      </w:pPr>
      <w:rPr>
        <w:rFonts w:hint="default"/>
      </w:rPr>
    </w:lvl>
    <w:lvl w:ilvl="6" w:tplc="5E845E9A">
      <w:numFmt w:val="bullet"/>
      <w:lvlText w:val="•"/>
      <w:lvlJc w:val="left"/>
      <w:pPr>
        <w:ind w:left="1588" w:hanging="100"/>
      </w:pPr>
      <w:rPr>
        <w:rFonts w:hint="default"/>
      </w:rPr>
    </w:lvl>
    <w:lvl w:ilvl="7" w:tplc="AD90F956">
      <w:numFmt w:val="bullet"/>
      <w:lvlText w:val="•"/>
      <w:lvlJc w:val="left"/>
      <w:pPr>
        <w:ind w:left="1826" w:hanging="100"/>
      </w:pPr>
      <w:rPr>
        <w:rFonts w:hint="default"/>
      </w:rPr>
    </w:lvl>
    <w:lvl w:ilvl="8" w:tplc="F3709992">
      <w:numFmt w:val="bullet"/>
      <w:lvlText w:val="•"/>
      <w:lvlJc w:val="left"/>
      <w:pPr>
        <w:ind w:left="2064" w:hanging="100"/>
      </w:pPr>
      <w:rPr>
        <w:rFonts w:hint="default"/>
      </w:rPr>
    </w:lvl>
  </w:abstractNum>
  <w:abstractNum w:abstractNumId="1630" w15:restartNumberingAfterBreak="0">
    <w:nsid w:val="66EB20BD"/>
    <w:multiLevelType w:val="hybridMultilevel"/>
    <w:tmpl w:val="2F8A15B8"/>
    <w:lvl w:ilvl="0" w:tplc="AC3CEC56">
      <w:numFmt w:val="bullet"/>
      <w:lvlText w:val=""/>
      <w:lvlJc w:val="left"/>
      <w:pPr>
        <w:ind w:left="156" w:hanging="100"/>
      </w:pPr>
      <w:rPr>
        <w:rFonts w:ascii="Symbol" w:eastAsia="Symbol" w:hAnsi="Symbol" w:cs="Symbol" w:hint="default"/>
        <w:color w:val="231F20"/>
        <w:w w:val="100"/>
        <w:sz w:val="14"/>
        <w:szCs w:val="14"/>
      </w:rPr>
    </w:lvl>
    <w:lvl w:ilvl="1" w:tplc="39B0627E">
      <w:numFmt w:val="bullet"/>
      <w:lvlText w:val="•"/>
      <w:lvlJc w:val="left"/>
      <w:pPr>
        <w:ind w:left="301" w:hanging="100"/>
      </w:pPr>
      <w:rPr>
        <w:rFonts w:hint="default"/>
      </w:rPr>
    </w:lvl>
    <w:lvl w:ilvl="2" w:tplc="13CAAD10">
      <w:numFmt w:val="bullet"/>
      <w:lvlText w:val="•"/>
      <w:lvlJc w:val="left"/>
      <w:pPr>
        <w:ind w:left="443" w:hanging="100"/>
      </w:pPr>
      <w:rPr>
        <w:rFonts w:hint="default"/>
      </w:rPr>
    </w:lvl>
    <w:lvl w:ilvl="3" w:tplc="F4527BC2">
      <w:numFmt w:val="bullet"/>
      <w:lvlText w:val="•"/>
      <w:lvlJc w:val="left"/>
      <w:pPr>
        <w:ind w:left="585" w:hanging="100"/>
      </w:pPr>
      <w:rPr>
        <w:rFonts w:hint="default"/>
      </w:rPr>
    </w:lvl>
    <w:lvl w:ilvl="4" w:tplc="6914BD5E">
      <w:numFmt w:val="bullet"/>
      <w:lvlText w:val="•"/>
      <w:lvlJc w:val="left"/>
      <w:pPr>
        <w:ind w:left="726" w:hanging="100"/>
      </w:pPr>
      <w:rPr>
        <w:rFonts w:hint="default"/>
      </w:rPr>
    </w:lvl>
    <w:lvl w:ilvl="5" w:tplc="4B9E4780">
      <w:numFmt w:val="bullet"/>
      <w:lvlText w:val="•"/>
      <w:lvlJc w:val="left"/>
      <w:pPr>
        <w:ind w:left="868" w:hanging="100"/>
      </w:pPr>
      <w:rPr>
        <w:rFonts w:hint="default"/>
      </w:rPr>
    </w:lvl>
    <w:lvl w:ilvl="6" w:tplc="61A430BE">
      <w:numFmt w:val="bullet"/>
      <w:lvlText w:val="•"/>
      <w:lvlJc w:val="left"/>
      <w:pPr>
        <w:ind w:left="1010" w:hanging="100"/>
      </w:pPr>
      <w:rPr>
        <w:rFonts w:hint="default"/>
      </w:rPr>
    </w:lvl>
    <w:lvl w:ilvl="7" w:tplc="789EC598">
      <w:numFmt w:val="bullet"/>
      <w:lvlText w:val="•"/>
      <w:lvlJc w:val="left"/>
      <w:pPr>
        <w:ind w:left="1151" w:hanging="100"/>
      </w:pPr>
      <w:rPr>
        <w:rFonts w:hint="default"/>
      </w:rPr>
    </w:lvl>
    <w:lvl w:ilvl="8" w:tplc="D4DEF684">
      <w:numFmt w:val="bullet"/>
      <w:lvlText w:val="•"/>
      <w:lvlJc w:val="left"/>
      <w:pPr>
        <w:ind w:left="1293" w:hanging="100"/>
      </w:pPr>
      <w:rPr>
        <w:rFonts w:hint="default"/>
      </w:rPr>
    </w:lvl>
  </w:abstractNum>
  <w:abstractNum w:abstractNumId="1631" w15:restartNumberingAfterBreak="0">
    <w:nsid w:val="66F21967"/>
    <w:multiLevelType w:val="hybridMultilevel"/>
    <w:tmpl w:val="70840A1A"/>
    <w:lvl w:ilvl="0" w:tplc="C7349FE6">
      <w:numFmt w:val="bullet"/>
      <w:lvlText w:val=""/>
      <w:lvlJc w:val="left"/>
      <w:pPr>
        <w:ind w:left="157" w:hanging="100"/>
      </w:pPr>
      <w:rPr>
        <w:rFonts w:ascii="Symbol" w:eastAsia="Symbol" w:hAnsi="Symbol" w:cs="Symbol" w:hint="default"/>
        <w:color w:val="231F20"/>
        <w:w w:val="100"/>
        <w:sz w:val="14"/>
        <w:szCs w:val="14"/>
      </w:rPr>
    </w:lvl>
    <w:lvl w:ilvl="1" w:tplc="B5528DDE">
      <w:numFmt w:val="bullet"/>
      <w:lvlText w:val="•"/>
      <w:lvlJc w:val="left"/>
      <w:pPr>
        <w:ind w:left="369" w:hanging="100"/>
      </w:pPr>
      <w:rPr>
        <w:rFonts w:hint="default"/>
      </w:rPr>
    </w:lvl>
    <w:lvl w:ilvl="2" w:tplc="1BF4DBB0">
      <w:numFmt w:val="bullet"/>
      <w:lvlText w:val="•"/>
      <w:lvlJc w:val="left"/>
      <w:pPr>
        <w:ind w:left="579" w:hanging="100"/>
      </w:pPr>
      <w:rPr>
        <w:rFonts w:hint="default"/>
      </w:rPr>
    </w:lvl>
    <w:lvl w:ilvl="3" w:tplc="A8822820">
      <w:numFmt w:val="bullet"/>
      <w:lvlText w:val="•"/>
      <w:lvlJc w:val="left"/>
      <w:pPr>
        <w:ind w:left="789" w:hanging="100"/>
      </w:pPr>
      <w:rPr>
        <w:rFonts w:hint="default"/>
      </w:rPr>
    </w:lvl>
    <w:lvl w:ilvl="4" w:tplc="C8BEC0F6">
      <w:numFmt w:val="bullet"/>
      <w:lvlText w:val="•"/>
      <w:lvlJc w:val="left"/>
      <w:pPr>
        <w:ind w:left="998" w:hanging="100"/>
      </w:pPr>
      <w:rPr>
        <w:rFonts w:hint="default"/>
      </w:rPr>
    </w:lvl>
    <w:lvl w:ilvl="5" w:tplc="31BC50AC">
      <w:numFmt w:val="bullet"/>
      <w:lvlText w:val="•"/>
      <w:lvlJc w:val="left"/>
      <w:pPr>
        <w:ind w:left="1208" w:hanging="100"/>
      </w:pPr>
      <w:rPr>
        <w:rFonts w:hint="default"/>
      </w:rPr>
    </w:lvl>
    <w:lvl w:ilvl="6" w:tplc="3CE8DA76">
      <w:numFmt w:val="bullet"/>
      <w:lvlText w:val="•"/>
      <w:lvlJc w:val="left"/>
      <w:pPr>
        <w:ind w:left="1418" w:hanging="100"/>
      </w:pPr>
      <w:rPr>
        <w:rFonts w:hint="default"/>
      </w:rPr>
    </w:lvl>
    <w:lvl w:ilvl="7" w:tplc="77405FBA">
      <w:numFmt w:val="bullet"/>
      <w:lvlText w:val="•"/>
      <w:lvlJc w:val="left"/>
      <w:pPr>
        <w:ind w:left="1627" w:hanging="100"/>
      </w:pPr>
      <w:rPr>
        <w:rFonts w:hint="default"/>
      </w:rPr>
    </w:lvl>
    <w:lvl w:ilvl="8" w:tplc="C7349B58">
      <w:numFmt w:val="bullet"/>
      <w:lvlText w:val="•"/>
      <w:lvlJc w:val="left"/>
      <w:pPr>
        <w:ind w:left="1837" w:hanging="100"/>
      </w:pPr>
      <w:rPr>
        <w:rFonts w:hint="default"/>
      </w:rPr>
    </w:lvl>
  </w:abstractNum>
  <w:abstractNum w:abstractNumId="1632" w15:restartNumberingAfterBreak="0">
    <w:nsid w:val="67637F99"/>
    <w:multiLevelType w:val="hybridMultilevel"/>
    <w:tmpl w:val="C59C9DDA"/>
    <w:lvl w:ilvl="0" w:tplc="408CBC16">
      <w:numFmt w:val="bullet"/>
      <w:lvlText w:val=""/>
      <w:lvlJc w:val="left"/>
      <w:pPr>
        <w:ind w:left="156" w:hanging="100"/>
      </w:pPr>
      <w:rPr>
        <w:rFonts w:ascii="Symbol" w:eastAsia="Symbol" w:hAnsi="Symbol" w:cs="Symbol" w:hint="default"/>
        <w:color w:val="231F20"/>
        <w:w w:val="100"/>
        <w:sz w:val="14"/>
        <w:szCs w:val="14"/>
      </w:rPr>
    </w:lvl>
    <w:lvl w:ilvl="1" w:tplc="45BC99CA">
      <w:numFmt w:val="bullet"/>
      <w:lvlText w:val="•"/>
      <w:lvlJc w:val="left"/>
      <w:pPr>
        <w:ind w:left="398" w:hanging="100"/>
      </w:pPr>
      <w:rPr>
        <w:rFonts w:hint="default"/>
      </w:rPr>
    </w:lvl>
    <w:lvl w:ilvl="2" w:tplc="6EFE5E94">
      <w:numFmt w:val="bullet"/>
      <w:lvlText w:val="•"/>
      <w:lvlJc w:val="left"/>
      <w:pPr>
        <w:ind w:left="636" w:hanging="100"/>
      </w:pPr>
      <w:rPr>
        <w:rFonts w:hint="default"/>
      </w:rPr>
    </w:lvl>
    <w:lvl w:ilvl="3" w:tplc="B8204642">
      <w:numFmt w:val="bullet"/>
      <w:lvlText w:val="•"/>
      <w:lvlJc w:val="left"/>
      <w:pPr>
        <w:ind w:left="874" w:hanging="100"/>
      </w:pPr>
      <w:rPr>
        <w:rFonts w:hint="default"/>
      </w:rPr>
    </w:lvl>
    <w:lvl w:ilvl="4" w:tplc="A8EAB674">
      <w:numFmt w:val="bullet"/>
      <w:lvlText w:val="•"/>
      <w:lvlJc w:val="left"/>
      <w:pPr>
        <w:ind w:left="1112" w:hanging="100"/>
      </w:pPr>
      <w:rPr>
        <w:rFonts w:hint="default"/>
      </w:rPr>
    </w:lvl>
    <w:lvl w:ilvl="5" w:tplc="2D846772">
      <w:numFmt w:val="bullet"/>
      <w:lvlText w:val="•"/>
      <w:lvlJc w:val="left"/>
      <w:pPr>
        <w:ind w:left="1350" w:hanging="100"/>
      </w:pPr>
      <w:rPr>
        <w:rFonts w:hint="default"/>
      </w:rPr>
    </w:lvl>
    <w:lvl w:ilvl="6" w:tplc="F79CC5A2">
      <w:numFmt w:val="bullet"/>
      <w:lvlText w:val="•"/>
      <w:lvlJc w:val="left"/>
      <w:pPr>
        <w:ind w:left="1588" w:hanging="100"/>
      </w:pPr>
      <w:rPr>
        <w:rFonts w:hint="default"/>
      </w:rPr>
    </w:lvl>
    <w:lvl w:ilvl="7" w:tplc="654A6874">
      <w:numFmt w:val="bullet"/>
      <w:lvlText w:val="•"/>
      <w:lvlJc w:val="left"/>
      <w:pPr>
        <w:ind w:left="1826" w:hanging="100"/>
      </w:pPr>
      <w:rPr>
        <w:rFonts w:hint="default"/>
      </w:rPr>
    </w:lvl>
    <w:lvl w:ilvl="8" w:tplc="B20628C8">
      <w:numFmt w:val="bullet"/>
      <w:lvlText w:val="•"/>
      <w:lvlJc w:val="left"/>
      <w:pPr>
        <w:ind w:left="2064" w:hanging="100"/>
      </w:pPr>
      <w:rPr>
        <w:rFonts w:hint="default"/>
      </w:rPr>
    </w:lvl>
  </w:abstractNum>
  <w:abstractNum w:abstractNumId="1633" w15:restartNumberingAfterBreak="0">
    <w:nsid w:val="678B17AC"/>
    <w:multiLevelType w:val="hybridMultilevel"/>
    <w:tmpl w:val="CDB651F8"/>
    <w:lvl w:ilvl="0" w:tplc="210E65E2">
      <w:numFmt w:val="bullet"/>
      <w:lvlText w:val=""/>
      <w:lvlJc w:val="left"/>
      <w:pPr>
        <w:ind w:left="156" w:hanging="100"/>
      </w:pPr>
      <w:rPr>
        <w:rFonts w:ascii="Symbol" w:eastAsia="Symbol" w:hAnsi="Symbol" w:cs="Symbol" w:hint="default"/>
        <w:color w:val="231F20"/>
        <w:w w:val="100"/>
        <w:sz w:val="14"/>
        <w:szCs w:val="14"/>
      </w:rPr>
    </w:lvl>
    <w:lvl w:ilvl="1" w:tplc="0E2AC164">
      <w:numFmt w:val="bullet"/>
      <w:lvlText w:val="•"/>
      <w:lvlJc w:val="left"/>
      <w:pPr>
        <w:ind w:left="426" w:hanging="100"/>
      </w:pPr>
      <w:rPr>
        <w:rFonts w:hint="default"/>
      </w:rPr>
    </w:lvl>
    <w:lvl w:ilvl="2" w:tplc="A3963388">
      <w:numFmt w:val="bullet"/>
      <w:lvlText w:val="•"/>
      <w:lvlJc w:val="left"/>
      <w:pPr>
        <w:ind w:left="692" w:hanging="100"/>
      </w:pPr>
      <w:rPr>
        <w:rFonts w:hint="default"/>
      </w:rPr>
    </w:lvl>
    <w:lvl w:ilvl="3" w:tplc="56BE1730">
      <w:numFmt w:val="bullet"/>
      <w:lvlText w:val="•"/>
      <w:lvlJc w:val="left"/>
      <w:pPr>
        <w:ind w:left="959" w:hanging="100"/>
      </w:pPr>
      <w:rPr>
        <w:rFonts w:hint="default"/>
      </w:rPr>
    </w:lvl>
    <w:lvl w:ilvl="4" w:tplc="0B983C6C">
      <w:numFmt w:val="bullet"/>
      <w:lvlText w:val="•"/>
      <w:lvlJc w:val="left"/>
      <w:pPr>
        <w:ind w:left="1225" w:hanging="100"/>
      </w:pPr>
      <w:rPr>
        <w:rFonts w:hint="default"/>
      </w:rPr>
    </w:lvl>
    <w:lvl w:ilvl="5" w:tplc="88AE0FC8">
      <w:numFmt w:val="bullet"/>
      <w:lvlText w:val="•"/>
      <w:lvlJc w:val="left"/>
      <w:pPr>
        <w:ind w:left="1492" w:hanging="100"/>
      </w:pPr>
      <w:rPr>
        <w:rFonts w:hint="default"/>
      </w:rPr>
    </w:lvl>
    <w:lvl w:ilvl="6" w:tplc="BD60ABEE">
      <w:numFmt w:val="bullet"/>
      <w:lvlText w:val="•"/>
      <w:lvlJc w:val="left"/>
      <w:pPr>
        <w:ind w:left="1758" w:hanging="100"/>
      </w:pPr>
      <w:rPr>
        <w:rFonts w:hint="default"/>
      </w:rPr>
    </w:lvl>
    <w:lvl w:ilvl="7" w:tplc="52DE77CA">
      <w:numFmt w:val="bullet"/>
      <w:lvlText w:val="•"/>
      <w:lvlJc w:val="left"/>
      <w:pPr>
        <w:ind w:left="2024" w:hanging="100"/>
      </w:pPr>
      <w:rPr>
        <w:rFonts w:hint="default"/>
      </w:rPr>
    </w:lvl>
    <w:lvl w:ilvl="8" w:tplc="10C0E150">
      <w:numFmt w:val="bullet"/>
      <w:lvlText w:val="•"/>
      <w:lvlJc w:val="left"/>
      <w:pPr>
        <w:ind w:left="2291" w:hanging="100"/>
      </w:pPr>
      <w:rPr>
        <w:rFonts w:hint="default"/>
      </w:rPr>
    </w:lvl>
  </w:abstractNum>
  <w:abstractNum w:abstractNumId="1634" w15:restartNumberingAfterBreak="0">
    <w:nsid w:val="67945AF8"/>
    <w:multiLevelType w:val="hybridMultilevel"/>
    <w:tmpl w:val="6BD8DDFE"/>
    <w:lvl w:ilvl="0" w:tplc="0BE47738">
      <w:numFmt w:val="bullet"/>
      <w:lvlText w:val=""/>
      <w:lvlJc w:val="left"/>
      <w:pPr>
        <w:ind w:left="156" w:hanging="100"/>
      </w:pPr>
      <w:rPr>
        <w:rFonts w:ascii="Symbol" w:eastAsia="Symbol" w:hAnsi="Symbol" w:cs="Symbol" w:hint="default"/>
        <w:color w:val="231F20"/>
        <w:w w:val="100"/>
        <w:sz w:val="14"/>
        <w:szCs w:val="14"/>
      </w:rPr>
    </w:lvl>
    <w:lvl w:ilvl="1" w:tplc="12E8ADAA">
      <w:numFmt w:val="bullet"/>
      <w:lvlText w:val="•"/>
      <w:lvlJc w:val="left"/>
      <w:pPr>
        <w:ind w:left="398" w:hanging="100"/>
      </w:pPr>
      <w:rPr>
        <w:rFonts w:hint="default"/>
      </w:rPr>
    </w:lvl>
    <w:lvl w:ilvl="2" w:tplc="F490D0A8">
      <w:numFmt w:val="bullet"/>
      <w:lvlText w:val="•"/>
      <w:lvlJc w:val="left"/>
      <w:pPr>
        <w:ind w:left="636" w:hanging="100"/>
      </w:pPr>
      <w:rPr>
        <w:rFonts w:hint="default"/>
      </w:rPr>
    </w:lvl>
    <w:lvl w:ilvl="3" w:tplc="7608A900">
      <w:numFmt w:val="bullet"/>
      <w:lvlText w:val="•"/>
      <w:lvlJc w:val="left"/>
      <w:pPr>
        <w:ind w:left="874" w:hanging="100"/>
      </w:pPr>
      <w:rPr>
        <w:rFonts w:hint="default"/>
      </w:rPr>
    </w:lvl>
    <w:lvl w:ilvl="4" w:tplc="DCD68836">
      <w:numFmt w:val="bullet"/>
      <w:lvlText w:val="•"/>
      <w:lvlJc w:val="left"/>
      <w:pPr>
        <w:ind w:left="1112" w:hanging="100"/>
      </w:pPr>
      <w:rPr>
        <w:rFonts w:hint="default"/>
      </w:rPr>
    </w:lvl>
    <w:lvl w:ilvl="5" w:tplc="2436ACCE">
      <w:numFmt w:val="bullet"/>
      <w:lvlText w:val="•"/>
      <w:lvlJc w:val="left"/>
      <w:pPr>
        <w:ind w:left="1350" w:hanging="100"/>
      </w:pPr>
      <w:rPr>
        <w:rFonts w:hint="default"/>
      </w:rPr>
    </w:lvl>
    <w:lvl w:ilvl="6" w:tplc="EAD6CA4C">
      <w:numFmt w:val="bullet"/>
      <w:lvlText w:val="•"/>
      <w:lvlJc w:val="left"/>
      <w:pPr>
        <w:ind w:left="1588" w:hanging="100"/>
      </w:pPr>
      <w:rPr>
        <w:rFonts w:hint="default"/>
      </w:rPr>
    </w:lvl>
    <w:lvl w:ilvl="7" w:tplc="6A92CD3A">
      <w:numFmt w:val="bullet"/>
      <w:lvlText w:val="•"/>
      <w:lvlJc w:val="left"/>
      <w:pPr>
        <w:ind w:left="1826" w:hanging="100"/>
      </w:pPr>
      <w:rPr>
        <w:rFonts w:hint="default"/>
      </w:rPr>
    </w:lvl>
    <w:lvl w:ilvl="8" w:tplc="B210C72A">
      <w:numFmt w:val="bullet"/>
      <w:lvlText w:val="•"/>
      <w:lvlJc w:val="left"/>
      <w:pPr>
        <w:ind w:left="2064" w:hanging="100"/>
      </w:pPr>
      <w:rPr>
        <w:rFonts w:hint="default"/>
      </w:rPr>
    </w:lvl>
  </w:abstractNum>
  <w:abstractNum w:abstractNumId="1635" w15:restartNumberingAfterBreak="0">
    <w:nsid w:val="67A86471"/>
    <w:multiLevelType w:val="hybridMultilevel"/>
    <w:tmpl w:val="030643FE"/>
    <w:lvl w:ilvl="0" w:tplc="F0F0CCD4">
      <w:numFmt w:val="bullet"/>
      <w:lvlText w:val=""/>
      <w:lvlJc w:val="left"/>
      <w:pPr>
        <w:ind w:left="156" w:hanging="100"/>
      </w:pPr>
      <w:rPr>
        <w:rFonts w:ascii="Symbol" w:eastAsia="Symbol" w:hAnsi="Symbol" w:cs="Symbol" w:hint="default"/>
        <w:color w:val="231F20"/>
        <w:w w:val="100"/>
        <w:sz w:val="14"/>
        <w:szCs w:val="14"/>
      </w:rPr>
    </w:lvl>
    <w:lvl w:ilvl="1" w:tplc="95E63B14">
      <w:numFmt w:val="bullet"/>
      <w:lvlText w:val="•"/>
      <w:lvlJc w:val="left"/>
      <w:pPr>
        <w:ind w:left="398" w:hanging="100"/>
      </w:pPr>
      <w:rPr>
        <w:rFonts w:hint="default"/>
      </w:rPr>
    </w:lvl>
    <w:lvl w:ilvl="2" w:tplc="DBBC6E62">
      <w:numFmt w:val="bullet"/>
      <w:lvlText w:val="•"/>
      <w:lvlJc w:val="left"/>
      <w:pPr>
        <w:ind w:left="636" w:hanging="100"/>
      </w:pPr>
      <w:rPr>
        <w:rFonts w:hint="default"/>
      </w:rPr>
    </w:lvl>
    <w:lvl w:ilvl="3" w:tplc="48D227B8">
      <w:numFmt w:val="bullet"/>
      <w:lvlText w:val="•"/>
      <w:lvlJc w:val="left"/>
      <w:pPr>
        <w:ind w:left="874" w:hanging="100"/>
      </w:pPr>
      <w:rPr>
        <w:rFonts w:hint="default"/>
      </w:rPr>
    </w:lvl>
    <w:lvl w:ilvl="4" w:tplc="0B7AAB3C">
      <w:numFmt w:val="bullet"/>
      <w:lvlText w:val="•"/>
      <w:lvlJc w:val="left"/>
      <w:pPr>
        <w:ind w:left="1112" w:hanging="100"/>
      </w:pPr>
      <w:rPr>
        <w:rFonts w:hint="default"/>
      </w:rPr>
    </w:lvl>
    <w:lvl w:ilvl="5" w:tplc="A9EA0F5E">
      <w:numFmt w:val="bullet"/>
      <w:lvlText w:val="•"/>
      <w:lvlJc w:val="left"/>
      <w:pPr>
        <w:ind w:left="1350" w:hanging="100"/>
      </w:pPr>
      <w:rPr>
        <w:rFonts w:hint="default"/>
      </w:rPr>
    </w:lvl>
    <w:lvl w:ilvl="6" w:tplc="D1FAEA2A">
      <w:numFmt w:val="bullet"/>
      <w:lvlText w:val="•"/>
      <w:lvlJc w:val="left"/>
      <w:pPr>
        <w:ind w:left="1588" w:hanging="100"/>
      </w:pPr>
      <w:rPr>
        <w:rFonts w:hint="default"/>
      </w:rPr>
    </w:lvl>
    <w:lvl w:ilvl="7" w:tplc="EAB0E21A">
      <w:numFmt w:val="bullet"/>
      <w:lvlText w:val="•"/>
      <w:lvlJc w:val="left"/>
      <w:pPr>
        <w:ind w:left="1826" w:hanging="100"/>
      </w:pPr>
      <w:rPr>
        <w:rFonts w:hint="default"/>
      </w:rPr>
    </w:lvl>
    <w:lvl w:ilvl="8" w:tplc="A37AEB78">
      <w:numFmt w:val="bullet"/>
      <w:lvlText w:val="•"/>
      <w:lvlJc w:val="left"/>
      <w:pPr>
        <w:ind w:left="2064" w:hanging="100"/>
      </w:pPr>
      <w:rPr>
        <w:rFonts w:hint="default"/>
      </w:rPr>
    </w:lvl>
  </w:abstractNum>
  <w:abstractNum w:abstractNumId="1636" w15:restartNumberingAfterBreak="0">
    <w:nsid w:val="67CA7F7E"/>
    <w:multiLevelType w:val="hybridMultilevel"/>
    <w:tmpl w:val="A41090E8"/>
    <w:lvl w:ilvl="0" w:tplc="9DDA5D9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01A2DC50">
      <w:numFmt w:val="bullet"/>
      <w:lvlText w:val="•"/>
      <w:lvlJc w:val="left"/>
      <w:pPr>
        <w:ind w:left="426" w:hanging="105"/>
      </w:pPr>
      <w:rPr>
        <w:rFonts w:hint="default"/>
      </w:rPr>
    </w:lvl>
    <w:lvl w:ilvl="2" w:tplc="A678BE7C">
      <w:numFmt w:val="bullet"/>
      <w:lvlText w:val="•"/>
      <w:lvlJc w:val="left"/>
      <w:pPr>
        <w:ind w:left="692" w:hanging="105"/>
      </w:pPr>
      <w:rPr>
        <w:rFonts w:hint="default"/>
      </w:rPr>
    </w:lvl>
    <w:lvl w:ilvl="3" w:tplc="12F0CEF4">
      <w:numFmt w:val="bullet"/>
      <w:lvlText w:val="•"/>
      <w:lvlJc w:val="left"/>
      <w:pPr>
        <w:ind w:left="959" w:hanging="105"/>
      </w:pPr>
      <w:rPr>
        <w:rFonts w:hint="default"/>
      </w:rPr>
    </w:lvl>
    <w:lvl w:ilvl="4" w:tplc="F10AB02E">
      <w:numFmt w:val="bullet"/>
      <w:lvlText w:val="•"/>
      <w:lvlJc w:val="left"/>
      <w:pPr>
        <w:ind w:left="1225" w:hanging="105"/>
      </w:pPr>
      <w:rPr>
        <w:rFonts w:hint="default"/>
      </w:rPr>
    </w:lvl>
    <w:lvl w:ilvl="5" w:tplc="5A5026DC">
      <w:numFmt w:val="bullet"/>
      <w:lvlText w:val="•"/>
      <w:lvlJc w:val="left"/>
      <w:pPr>
        <w:ind w:left="1492" w:hanging="105"/>
      </w:pPr>
      <w:rPr>
        <w:rFonts w:hint="default"/>
      </w:rPr>
    </w:lvl>
    <w:lvl w:ilvl="6" w:tplc="1B389AA6">
      <w:numFmt w:val="bullet"/>
      <w:lvlText w:val="•"/>
      <w:lvlJc w:val="left"/>
      <w:pPr>
        <w:ind w:left="1758" w:hanging="105"/>
      </w:pPr>
      <w:rPr>
        <w:rFonts w:hint="default"/>
      </w:rPr>
    </w:lvl>
    <w:lvl w:ilvl="7" w:tplc="707A9450">
      <w:numFmt w:val="bullet"/>
      <w:lvlText w:val="•"/>
      <w:lvlJc w:val="left"/>
      <w:pPr>
        <w:ind w:left="2024" w:hanging="105"/>
      </w:pPr>
      <w:rPr>
        <w:rFonts w:hint="default"/>
      </w:rPr>
    </w:lvl>
    <w:lvl w:ilvl="8" w:tplc="376222DA">
      <w:numFmt w:val="bullet"/>
      <w:lvlText w:val="•"/>
      <w:lvlJc w:val="left"/>
      <w:pPr>
        <w:ind w:left="2291" w:hanging="105"/>
      </w:pPr>
      <w:rPr>
        <w:rFonts w:hint="default"/>
      </w:rPr>
    </w:lvl>
  </w:abstractNum>
  <w:abstractNum w:abstractNumId="1637" w15:restartNumberingAfterBreak="0">
    <w:nsid w:val="67CC3878"/>
    <w:multiLevelType w:val="hybridMultilevel"/>
    <w:tmpl w:val="063A4D88"/>
    <w:lvl w:ilvl="0" w:tplc="B7360EAE">
      <w:numFmt w:val="bullet"/>
      <w:lvlText w:val=""/>
      <w:lvlJc w:val="left"/>
      <w:pPr>
        <w:ind w:left="157" w:hanging="100"/>
      </w:pPr>
      <w:rPr>
        <w:rFonts w:ascii="Symbol" w:eastAsia="Symbol" w:hAnsi="Symbol" w:cs="Symbol" w:hint="default"/>
        <w:color w:val="231F20"/>
        <w:w w:val="100"/>
        <w:sz w:val="14"/>
        <w:szCs w:val="14"/>
      </w:rPr>
    </w:lvl>
    <w:lvl w:ilvl="1" w:tplc="92F2D3A8">
      <w:numFmt w:val="bullet"/>
      <w:lvlText w:val="•"/>
      <w:lvlJc w:val="left"/>
      <w:pPr>
        <w:ind w:left="426" w:hanging="100"/>
      </w:pPr>
      <w:rPr>
        <w:rFonts w:hint="default"/>
      </w:rPr>
    </w:lvl>
    <w:lvl w:ilvl="2" w:tplc="8DF0D78E">
      <w:numFmt w:val="bullet"/>
      <w:lvlText w:val="•"/>
      <w:lvlJc w:val="left"/>
      <w:pPr>
        <w:ind w:left="692" w:hanging="100"/>
      </w:pPr>
      <w:rPr>
        <w:rFonts w:hint="default"/>
      </w:rPr>
    </w:lvl>
    <w:lvl w:ilvl="3" w:tplc="0F6E653C">
      <w:numFmt w:val="bullet"/>
      <w:lvlText w:val="•"/>
      <w:lvlJc w:val="left"/>
      <w:pPr>
        <w:ind w:left="959" w:hanging="100"/>
      </w:pPr>
      <w:rPr>
        <w:rFonts w:hint="default"/>
      </w:rPr>
    </w:lvl>
    <w:lvl w:ilvl="4" w:tplc="4612AB20">
      <w:numFmt w:val="bullet"/>
      <w:lvlText w:val="•"/>
      <w:lvlJc w:val="left"/>
      <w:pPr>
        <w:ind w:left="1225" w:hanging="100"/>
      </w:pPr>
      <w:rPr>
        <w:rFonts w:hint="default"/>
      </w:rPr>
    </w:lvl>
    <w:lvl w:ilvl="5" w:tplc="8CB459C6">
      <w:numFmt w:val="bullet"/>
      <w:lvlText w:val="•"/>
      <w:lvlJc w:val="left"/>
      <w:pPr>
        <w:ind w:left="1492" w:hanging="100"/>
      </w:pPr>
      <w:rPr>
        <w:rFonts w:hint="default"/>
      </w:rPr>
    </w:lvl>
    <w:lvl w:ilvl="6" w:tplc="96945432">
      <w:numFmt w:val="bullet"/>
      <w:lvlText w:val="•"/>
      <w:lvlJc w:val="left"/>
      <w:pPr>
        <w:ind w:left="1758" w:hanging="100"/>
      </w:pPr>
      <w:rPr>
        <w:rFonts w:hint="default"/>
      </w:rPr>
    </w:lvl>
    <w:lvl w:ilvl="7" w:tplc="97A2CB2C">
      <w:numFmt w:val="bullet"/>
      <w:lvlText w:val="•"/>
      <w:lvlJc w:val="left"/>
      <w:pPr>
        <w:ind w:left="2024" w:hanging="100"/>
      </w:pPr>
      <w:rPr>
        <w:rFonts w:hint="default"/>
      </w:rPr>
    </w:lvl>
    <w:lvl w:ilvl="8" w:tplc="0D48F2CC">
      <w:numFmt w:val="bullet"/>
      <w:lvlText w:val="•"/>
      <w:lvlJc w:val="left"/>
      <w:pPr>
        <w:ind w:left="2291" w:hanging="100"/>
      </w:pPr>
      <w:rPr>
        <w:rFonts w:hint="default"/>
      </w:rPr>
    </w:lvl>
  </w:abstractNum>
  <w:abstractNum w:abstractNumId="1638" w15:restartNumberingAfterBreak="0">
    <w:nsid w:val="67DC35FD"/>
    <w:multiLevelType w:val="hybridMultilevel"/>
    <w:tmpl w:val="C212CBE0"/>
    <w:lvl w:ilvl="0" w:tplc="0C7EBC12">
      <w:numFmt w:val="bullet"/>
      <w:lvlText w:val=""/>
      <w:lvlJc w:val="left"/>
      <w:pPr>
        <w:ind w:left="157" w:hanging="100"/>
      </w:pPr>
      <w:rPr>
        <w:rFonts w:ascii="Symbol" w:eastAsia="Symbol" w:hAnsi="Symbol" w:cs="Symbol" w:hint="default"/>
        <w:color w:val="231F20"/>
        <w:w w:val="100"/>
        <w:sz w:val="14"/>
        <w:szCs w:val="14"/>
      </w:rPr>
    </w:lvl>
    <w:lvl w:ilvl="1" w:tplc="9F46ECC4">
      <w:numFmt w:val="bullet"/>
      <w:lvlText w:val="•"/>
      <w:lvlJc w:val="left"/>
      <w:pPr>
        <w:ind w:left="426" w:hanging="100"/>
      </w:pPr>
      <w:rPr>
        <w:rFonts w:hint="default"/>
      </w:rPr>
    </w:lvl>
    <w:lvl w:ilvl="2" w:tplc="D5189DE8">
      <w:numFmt w:val="bullet"/>
      <w:lvlText w:val="•"/>
      <w:lvlJc w:val="left"/>
      <w:pPr>
        <w:ind w:left="692" w:hanging="100"/>
      </w:pPr>
      <w:rPr>
        <w:rFonts w:hint="default"/>
      </w:rPr>
    </w:lvl>
    <w:lvl w:ilvl="3" w:tplc="4C0829B8">
      <w:numFmt w:val="bullet"/>
      <w:lvlText w:val="•"/>
      <w:lvlJc w:val="left"/>
      <w:pPr>
        <w:ind w:left="959" w:hanging="100"/>
      </w:pPr>
      <w:rPr>
        <w:rFonts w:hint="default"/>
      </w:rPr>
    </w:lvl>
    <w:lvl w:ilvl="4" w:tplc="F190E860">
      <w:numFmt w:val="bullet"/>
      <w:lvlText w:val="•"/>
      <w:lvlJc w:val="left"/>
      <w:pPr>
        <w:ind w:left="1225" w:hanging="100"/>
      </w:pPr>
      <w:rPr>
        <w:rFonts w:hint="default"/>
      </w:rPr>
    </w:lvl>
    <w:lvl w:ilvl="5" w:tplc="66426348">
      <w:numFmt w:val="bullet"/>
      <w:lvlText w:val="•"/>
      <w:lvlJc w:val="left"/>
      <w:pPr>
        <w:ind w:left="1492" w:hanging="100"/>
      </w:pPr>
      <w:rPr>
        <w:rFonts w:hint="default"/>
      </w:rPr>
    </w:lvl>
    <w:lvl w:ilvl="6" w:tplc="5B147FCE">
      <w:numFmt w:val="bullet"/>
      <w:lvlText w:val="•"/>
      <w:lvlJc w:val="left"/>
      <w:pPr>
        <w:ind w:left="1758" w:hanging="100"/>
      </w:pPr>
      <w:rPr>
        <w:rFonts w:hint="default"/>
      </w:rPr>
    </w:lvl>
    <w:lvl w:ilvl="7" w:tplc="79CE30F8">
      <w:numFmt w:val="bullet"/>
      <w:lvlText w:val="•"/>
      <w:lvlJc w:val="left"/>
      <w:pPr>
        <w:ind w:left="2024" w:hanging="100"/>
      </w:pPr>
      <w:rPr>
        <w:rFonts w:hint="default"/>
      </w:rPr>
    </w:lvl>
    <w:lvl w:ilvl="8" w:tplc="E2DA779C">
      <w:numFmt w:val="bullet"/>
      <w:lvlText w:val="•"/>
      <w:lvlJc w:val="left"/>
      <w:pPr>
        <w:ind w:left="2291" w:hanging="100"/>
      </w:pPr>
      <w:rPr>
        <w:rFonts w:hint="default"/>
      </w:rPr>
    </w:lvl>
  </w:abstractNum>
  <w:abstractNum w:abstractNumId="1639" w15:restartNumberingAfterBreak="0">
    <w:nsid w:val="67E224DB"/>
    <w:multiLevelType w:val="hybridMultilevel"/>
    <w:tmpl w:val="1CF08788"/>
    <w:lvl w:ilvl="0" w:tplc="0B507284">
      <w:numFmt w:val="bullet"/>
      <w:lvlText w:val=""/>
      <w:lvlJc w:val="left"/>
      <w:pPr>
        <w:ind w:left="156" w:hanging="100"/>
      </w:pPr>
      <w:rPr>
        <w:rFonts w:ascii="Symbol" w:eastAsia="Symbol" w:hAnsi="Symbol" w:cs="Symbol" w:hint="default"/>
        <w:color w:val="231F20"/>
        <w:w w:val="100"/>
        <w:sz w:val="14"/>
        <w:szCs w:val="14"/>
      </w:rPr>
    </w:lvl>
    <w:lvl w:ilvl="1" w:tplc="CCC889EE">
      <w:numFmt w:val="bullet"/>
      <w:lvlText w:val="•"/>
      <w:lvlJc w:val="left"/>
      <w:pPr>
        <w:ind w:left="301" w:hanging="100"/>
      </w:pPr>
      <w:rPr>
        <w:rFonts w:hint="default"/>
      </w:rPr>
    </w:lvl>
    <w:lvl w:ilvl="2" w:tplc="F6CEF086">
      <w:numFmt w:val="bullet"/>
      <w:lvlText w:val="•"/>
      <w:lvlJc w:val="left"/>
      <w:pPr>
        <w:ind w:left="443" w:hanging="100"/>
      </w:pPr>
      <w:rPr>
        <w:rFonts w:hint="default"/>
      </w:rPr>
    </w:lvl>
    <w:lvl w:ilvl="3" w:tplc="CA5CD09E">
      <w:numFmt w:val="bullet"/>
      <w:lvlText w:val="•"/>
      <w:lvlJc w:val="left"/>
      <w:pPr>
        <w:ind w:left="585" w:hanging="100"/>
      </w:pPr>
      <w:rPr>
        <w:rFonts w:hint="default"/>
      </w:rPr>
    </w:lvl>
    <w:lvl w:ilvl="4" w:tplc="F036D63E">
      <w:numFmt w:val="bullet"/>
      <w:lvlText w:val="•"/>
      <w:lvlJc w:val="left"/>
      <w:pPr>
        <w:ind w:left="726" w:hanging="100"/>
      </w:pPr>
      <w:rPr>
        <w:rFonts w:hint="default"/>
      </w:rPr>
    </w:lvl>
    <w:lvl w:ilvl="5" w:tplc="99641964">
      <w:numFmt w:val="bullet"/>
      <w:lvlText w:val="•"/>
      <w:lvlJc w:val="left"/>
      <w:pPr>
        <w:ind w:left="868" w:hanging="100"/>
      </w:pPr>
      <w:rPr>
        <w:rFonts w:hint="default"/>
      </w:rPr>
    </w:lvl>
    <w:lvl w:ilvl="6" w:tplc="668EEB40">
      <w:numFmt w:val="bullet"/>
      <w:lvlText w:val="•"/>
      <w:lvlJc w:val="left"/>
      <w:pPr>
        <w:ind w:left="1010" w:hanging="100"/>
      </w:pPr>
      <w:rPr>
        <w:rFonts w:hint="default"/>
      </w:rPr>
    </w:lvl>
    <w:lvl w:ilvl="7" w:tplc="9D54316A">
      <w:numFmt w:val="bullet"/>
      <w:lvlText w:val="•"/>
      <w:lvlJc w:val="left"/>
      <w:pPr>
        <w:ind w:left="1151" w:hanging="100"/>
      </w:pPr>
      <w:rPr>
        <w:rFonts w:hint="default"/>
      </w:rPr>
    </w:lvl>
    <w:lvl w:ilvl="8" w:tplc="368E364E">
      <w:numFmt w:val="bullet"/>
      <w:lvlText w:val="•"/>
      <w:lvlJc w:val="left"/>
      <w:pPr>
        <w:ind w:left="1293" w:hanging="100"/>
      </w:pPr>
      <w:rPr>
        <w:rFonts w:hint="default"/>
      </w:rPr>
    </w:lvl>
  </w:abstractNum>
  <w:abstractNum w:abstractNumId="1640" w15:restartNumberingAfterBreak="0">
    <w:nsid w:val="67E451AE"/>
    <w:multiLevelType w:val="hybridMultilevel"/>
    <w:tmpl w:val="89BC523A"/>
    <w:lvl w:ilvl="0" w:tplc="E6BC506A">
      <w:numFmt w:val="bullet"/>
      <w:lvlText w:val=""/>
      <w:lvlJc w:val="left"/>
      <w:pPr>
        <w:ind w:left="156" w:hanging="100"/>
      </w:pPr>
      <w:rPr>
        <w:rFonts w:ascii="Symbol" w:eastAsia="Symbol" w:hAnsi="Symbol" w:cs="Symbol" w:hint="default"/>
        <w:color w:val="231F20"/>
        <w:w w:val="100"/>
        <w:sz w:val="14"/>
        <w:szCs w:val="14"/>
      </w:rPr>
    </w:lvl>
    <w:lvl w:ilvl="1" w:tplc="479A5CA8">
      <w:numFmt w:val="bullet"/>
      <w:lvlText w:val="•"/>
      <w:lvlJc w:val="left"/>
      <w:pPr>
        <w:ind w:left="398" w:hanging="100"/>
      </w:pPr>
      <w:rPr>
        <w:rFonts w:hint="default"/>
      </w:rPr>
    </w:lvl>
    <w:lvl w:ilvl="2" w:tplc="1A3278D2">
      <w:numFmt w:val="bullet"/>
      <w:lvlText w:val="•"/>
      <w:lvlJc w:val="left"/>
      <w:pPr>
        <w:ind w:left="636" w:hanging="100"/>
      </w:pPr>
      <w:rPr>
        <w:rFonts w:hint="default"/>
      </w:rPr>
    </w:lvl>
    <w:lvl w:ilvl="3" w:tplc="9E0CD5A8">
      <w:numFmt w:val="bullet"/>
      <w:lvlText w:val="•"/>
      <w:lvlJc w:val="left"/>
      <w:pPr>
        <w:ind w:left="874" w:hanging="100"/>
      </w:pPr>
      <w:rPr>
        <w:rFonts w:hint="default"/>
      </w:rPr>
    </w:lvl>
    <w:lvl w:ilvl="4" w:tplc="10004310">
      <w:numFmt w:val="bullet"/>
      <w:lvlText w:val="•"/>
      <w:lvlJc w:val="left"/>
      <w:pPr>
        <w:ind w:left="1112" w:hanging="100"/>
      </w:pPr>
      <w:rPr>
        <w:rFonts w:hint="default"/>
      </w:rPr>
    </w:lvl>
    <w:lvl w:ilvl="5" w:tplc="0DDC2590">
      <w:numFmt w:val="bullet"/>
      <w:lvlText w:val="•"/>
      <w:lvlJc w:val="left"/>
      <w:pPr>
        <w:ind w:left="1350" w:hanging="100"/>
      </w:pPr>
      <w:rPr>
        <w:rFonts w:hint="default"/>
      </w:rPr>
    </w:lvl>
    <w:lvl w:ilvl="6" w:tplc="6B389B92">
      <w:numFmt w:val="bullet"/>
      <w:lvlText w:val="•"/>
      <w:lvlJc w:val="left"/>
      <w:pPr>
        <w:ind w:left="1588" w:hanging="100"/>
      </w:pPr>
      <w:rPr>
        <w:rFonts w:hint="default"/>
      </w:rPr>
    </w:lvl>
    <w:lvl w:ilvl="7" w:tplc="E140D2E8">
      <w:numFmt w:val="bullet"/>
      <w:lvlText w:val="•"/>
      <w:lvlJc w:val="left"/>
      <w:pPr>
        <w:ind w:left="1826" w:hanging="100"/>
      </w:pPr>
      <w:rPr>
        <w:rFonts w:hint="default"/>
      </w:rPr>
    </w:lvl>
    <w:lvl w:ilvl="8" w:tplc="C0C4C81C">
      <w:numFmt w:val="bullet"/>
      <w:lvlText w:val="•"/>
      <w:lvlJc w:val="left"/>
      <w:pPr>
        <w:ind w:left="2064" w:hanging="100"/>
      </w:pPr>
      <w:rPr>
        <w:rFonts w:hint="default"/>
      </w:rPr>
    </w:lvl>
  </w:abstractNum>
  <w:abstractNum w:abstractNumId="1641" w15:restartNumberingAfterBreak="0">
    <w:nsid w:val="67F45425"/>
    <w:multiLevelType w:val="hybridMultilevel"/>
    <w:tmpl w:val="C59808C8"/>
    <w:lvl w:ilvl="0" w:tplc="327E72C4">
      <w:numFmt w:val="bullet"/>
      <w:lvlText w:val=""/>
      <w:lvlJc w:val="left"/>
      <w:pPr>
        <w:ind w:left="156" w:hanging="100"/>
      </w:pPr>
      <w:rPr>
        <w:rFonts w:ascii="Symbol" w:eastAsia="Symbol" w:hAnsi="Symbol" w:cs="Symbol" w:hint="default"/>
        <w:color w:val="231F20"/>
        <w:w w:val="100"/>
        <w:sz w:val="14"/>
        <w:szCs w:val="14"/>
      </w:rPr>
    </w:lvl>
    <w:lvl w:ilvl="1" w:tplc="4A74C862">
      <w:numFmt w:val="bullet"/>
      <w:lvlText w:val="•"/>
      <w:lvlJc w:val="left"/>
      <w:pPr>
        <w:ind w:left="301" w:hanging="100"/>
      </w:pPr>
      <w:rPr>
        <w:rFonts w:hint="default"/>
      </w:rPr>
    </w:lvl>
    <w:lvl w:ilvl="2" w:tplc="DAE073F6">
      <w:numFmt w:val="bullet"/>
      <w:lvlText w:val="•"/>
      <w:lvlJc w:val="left"/>
      <w:pPr>
        <w:ind w:left="443" w:hanging="100"/>
      </w:pPr>
      <w:rPr>
        <w:rFonts w:hint="default"/>
      </w:rPr>
    </w:lvl>
    <w:lvl w:ilvl="3" w:tplc="12267818">
      <w:numFmt w:val="bullet"/>
      <w:lvlText w:val="•"/>
      <w:lvlJc w:val="left"/>
      <w:pPr>
        <w:ind w:left="585" w:hanging="100"/>
      </w:pPr>
      <w:rPr>
        <w:rFonts w:hint="default"/>
      </w:rPr>
    </w:lvl>
    <w:lvl w:ilvl="4" w:tplc="CAEE8F16">
      <w:numFmt w:val="bullet"/>
      <w:lvlText w:val="•"/>
      <w:lvlJc w:val="left"/>
      <w:pPr>
        <w:ind w:left="726" w:hanging="100"/>
      </w:pPr>
      <w:rPr>
        <w:rFonts w:hint="default"/>
      </w:rPr>
    </w:lvl>
    <w:lvl w:ilvl="5" w:tplc="ADA8B634">
      <w:numFmt w:val="bullet"/>
      <w:lvlText w:val="•"/>
      <w:lvlJc w:val="left"/>
      <w:pPr>
        <w:ind w:left="868" w:hanging="100"/>
      </w:pPr>
      <w:rPr>
        <w:rFonts w:hint="default"/>
      </w:rPr>
    </w:lvl>
    <w:lvl w:ilvl="6" w:tplc="7808522C">
      <w:numFmt w:val="bullet"/>
      <w:lvlText w:val="•"/>
      <w:lvlJc w:val="left"/>
      <w:pPr>
        <w:ind w:left="1010" w:hanging="100"/>
      </w:pPr>
      <w:rPr>
        <w:rFonts w:hint="default"/>
      </w:rPr>
    </w:lvl>
    <w:lvl w:ilvl="7" w:tplc="DAB2915A">
      <w:numFmt w:val="bullet"/>
      <w:lvlText w:val="•"/>
      <w:lvlJc w:val="left"/>
      <w:pPr>
        <w:ind w:left="1151" w:hanging="100"/>
      </w:pPr>
      <w:rPr>
        <w:rFonts w:hint="default"/>
      </w:rPr>
    </w:lvl>
    <w:lvl w:ilvl="8" w:tplc="AA8661F0">
      <w:numFmt w:val="bullet"/>
      <w:lvlText w:val="•"/>
      <w:lvlJc w:val="left"/>
      <w:pPr>
        <w:ind w:left="1293" w:hanging="100"/>
      </w:pPr>
      <w:rPr>
        <w:rFonts w:hint="default"/>
      </w:rPr>
    </w:lvl>
  </w:abstractNum>
  <w:abstractNum w:abstractNumId="1642" w15:restartNumberingAfterBreak="0">
    <w:nsid w:val="67FF61CB"/>
    <w:multiLevelType w:val="hybridMultilevel"/>
    <w:tmpl w:val="068A3120"/>
    <w:lvl w:ilvl="0" w:tplc="DF9AAEAE">
      <w:numFmt w:val="bullet"/>
      <w:lvlText w:val=""/>
      <w:lvlJc w:val="left"/>
      <w:pPr>
        <w:ind w:left="156" w:hanging="100"/>
      </w:pPr>
      <w:rPr>
        <w:rFonts w:ascii="Symbol" w:eastAsia="Symbol" w:hAnsi="Symbol" w:cs="Symbol" w:hint="default"/>
        <w:color w:val="231F20"/>
        <w:w w:val="100"/>
        <w:sz w:val="14"/>
        <w:szCs w:val="14"/>
      </w:rPr>
    </w:lvl>
    <w:lvl w:ilvl="1" w:tplc="D4320064">
      <w:numFmt w:val="bullet"/>
      <w:lvlText w:val="•"/>
      <w:lvlJc w:val="left"/>
      <w:pPr>
        <w:ind w:left="301" w:hanging="100"/>
      </w:pPr>
      <w:rPr>
        <w:rFonts w:hint="default"/>
      </w:rPr>
    </w:lvl>
    <w:lvl w:ilvl="2" w:tplc="5CB85376">
      <w:numFmt w:val="bullet"/>
      <w:lvlText w:val="•"/>
      <w:lvlJc w:val="left"/>
      <w:pPr>
        <w:ind w:left="443" w:hanging="100"/>
      </w:pPr>
      <w:rPr>
        <w:rFonts w:hint="default"/>
      </w:rPr>
    </w:lvl>
    <w:lvl w:ilvl="3" w:tplc="27E0002E">
      <w:numFmt w:val="bullet"/>
      <w:lvlText w:val="•"/>
      <w:lvlJc w:val="left"/>
      <w:pPr>
        <w:ind w:left="585" w:hanging="100"/>
      </w:pPr>
      <w:rPr>
        <w:rFonts w:hint="default"/>
      </w:rPr>
    </w:lvl>
    <w:lvl w:ilvl="4" w:tplc="1E981D64">
      <w:numFmt w:val="bullet"/>
      <w:lvlText w:val="•"/>
      <w:lvlJc w:val="left"/>
      <w:pPr>
        <w:ind w:left="726" w:hanging="100"/>
      </w:pPr>
      <w:rPr>
        <w:rFonts w:hint="default"/>
      </w:rPr>
    </w:lvl>
    <w:lvl w:ilvl="5" w:tplc="EF30B1B8">
      <w:numFmt w:val="bullet"/>
      <w:lvlText w:val="•"/>
      <w:lvlJc w:val="left"/>
      <w:pPr>
        <w:ind w:left="868" w:hanging="100"/>
      </w:pPr>
      <w:rPr>
        <w:rFonts w:hint="default"/>
      </w:rPr>
    </w:lvl>
    <w:lvl w:ilvl="6" w:tplc="96F23AE2">
      <w:numFmt w:val="bullet"/>
      <w:lvlText w:val="•"/>
      <w:lvlJc w:val="left"/>
      <w:pPr>
        <w:ind w:left="1010" w:hanging="100"/>
      </w:pPr>
      <w:rPr>
        <w:rFonts w:hint="default"/>
      </w:rPr>
    </w:lvl>
    <w:lvl w:ilvl="7" w:tplc="4A90DC6E">
      <w:numFmt w:val="bullet"/>
      <w:lvlText w:val="•"/>
      <w:lvlJc w:val="left"/>
      <w:pPr>
        <w:ind w:left="1151" w:hanging="100"/>
      </w:pPr>
      <w:rPr>
        <w:rFonts w:hint="default"/>
      </w:rPr>
    </w:lvl>
    <w:lvl w:ilvl="8" w:tplc="112C1C2A">
      <w:numFmt w:val="bullet"/>
      <w:lvlText w:val="•"/>
      <w:lvlJc w:val="left"/>
      <w:pPr>
        <w:ind w:left="1293" w:hanging="100"/>
      </w:pPr>
      <w:rPr>
        <w:rFonts w:hint="default"/>
      </w:rPr>
    </w:lvl>
  </w:abstractNum>
  <w:abstractNum w:abstractNumId="1643" w15:restartNumberingAfterBreak="0">
    <w:nsid w:val="680E28B3"/>
    <w:multiLevelType w:val="hybridMultilevel"/>
    <w:tmpl w:val="19842178"/>
    <w:lvl w:ilvl="0" w:tplc="57B89BD6">
      <w:numFmt w:val="bullet"/>
      <w:lvlText w:val=""/>
      <w:lvlJc w:val="left"/>
      <w:pPr>
        <w:ind w:left="156" w:hanging="100"/>
      </w:pPr>
      <w:rPr>
        <w:rFonts w:ascii="Symbol" w:eastAsia="Symbol" w:hAnsi="Symbol" w:cs="Symbol" w:hint="default"/>
        <w:color w:val="231F20"/>
        <w:w w:val="100"/>
        <w:sz w:val="14"/>
        <w:szCs w:val="14"/>
      </w:rPr>
    </w:lvl>
    <w:lvl w:ilvl="1" w:tplc="F8F6BC14">
      <w:numFmt w:val="bullet"/>
      <w:lvlText w:val="•"/>
      <w:lvlJc w:val="left"/>
      <w:pPr>
        <w:ind w:left="398" w:hanging="100"/>
      </w:pPr>
      <w:rPr>
        <w:rFonts w:hint="default"/>
      </w:rPr>
    </w:lvl>
    <w:lvl w:ilvl="2" w:tplc="F154ECFE">
      <w:numFmt w:val="bullet"/>
      <w:lvlText w:val="•"/>
      <w:lvlJc w:val="left"/>
      <w:pPr>
        <w:ind w:left="636" w:hanging="100"/>
      </w:pPr>
      <w:rPr>
        <w:rFonts w:hint="default"/>
      </w:rPr>
    </w:lvl>
    <w:lvl w:ilvl="3" w:tplc="79F2B1FC">
      <w:numFmt w:val="bullet"/>
      <w:lvlText w:val="•"/>
      <w:lvlJc w:val="left"/>
      <w:pPr>
        <w:ind w:left="874" w:hanging="100"/>
      </w:pPr>
      <w:rPr>
        <w:rFonts w:hint="default"/>
      </w:rPr>
    </w:lvl>
    <w:lvl w:ilvl="4" w:tplc="800EFC6A">
      <w:numFmt w:val="bullet"/>
      <w:lvlText w:val="•"/>
      <w:lvlJc w:val="left"/>
      <w:pPr>
        <w:ind w:left="1112" w:hanging="100"/>
      </w:pPr>
      <w:rPr>
        <w:rFonts w:hint="default"/>
      </w:rPr>
    </w:lvl>
    <w:lvl w:ilvl="5" w:tplc="F984CC7E">
      <w:numFmt w:val="bullet"/>
      <w:lvlText w:val="•"/>
      <w:lvlJc w:val="left"/>
      <w:pPr>
        <w:ind w:left="1350" w:hanging="100"/>
      </w:pPr>
      <w:rPr>
        <w:rFonts w:hint="default"/>
      </w:rPr>
    </w:lvl>
    <w:lvl w:ilvl="6" w:tplc="9C1C66A8">
      <w:numFmt w:val="bullet"/>
      <w:lvlText w:val="•"/>
      <w:lvlJc w:val="left"/>
      <w:pPr>
        <w:ind w:left="1588" w:hanging="100"/>
      </w:pPr>
      <w:rPr>
        <w:rFonts w:hint="default"/>
      </w:rPr>
    </w:lvl>
    <w:lvl w:ilvl="7" w:tplc="C0260EAE">
      <w:numFmt w:val="bullet"/>
      <w:lvlText w:val="•"/>
      <w:lvlJc w:val="left"/>
      <w:pPr>
        <w:ind w:left="1826" w:hanging="100"/>
      </w:pPr>
      <w:rPr>
        <w:rFonts w:hint="default"/>
      </w:rPr>
    </w:lvl>
    <w:lvl w:ilvl="8" w:tplc="9F4E22A4">
      <w:numFmt w:val="bullet"/>
      <w:lvlText w:val="•"/>
      <w:lvlJc w:val="left"/>
      <w:pPr>
        <w:ind w:left="2064" w:hanging="100"/>
      </w:pPr>
      <w:rPr>
        <w:rFonts w:hint="default"/>
      </w:rPr>
    </w:lvl>
  </w:abstractNum>
  <w:abstractNum w:abstractNumId="1644" w15:restartNumberingAfterBreak="0">
    <w:nsid w:val="68137B76"/>
    <w:multiLevelType w:val="hybridMultilevel"/>
    <w:tmpl w:val="475AB40C"/>
    <w:lvl w:ilvl="0" w:tplc="DB447634">
      <w:numFmt w:val="bullet"/>
      <w:lvlText w:val=""/>
      <w:lvlJc w:val="left"/>
      <w:pPr>
        <w:ind w:left="157" w:hanging="100"/>
      </w:pPr>
      <w:rPr>
        <w:rFonts w:ascii="Symbol" w:eastAsia="Symbol" w:hAnsi="Symbol" w:cs="Symbol" w:hint="default"/>
        <w:color w:val="231F20"/>
        <w:w w:val="100"/>
        <w:sz w:val="14"/>
        <w:szCs w:val="14"/>
      </w:rPr>
    </w:lvl>
    <w:lvl w:ilvl="1" w:tplc="2B34E63C">
      <w:numFmt w:val="bullet"/>
      <w:lvlText w:val="•"/>
      <w:lvlJc w:val="left"/>
      <w:pPr>
        <w:ind w:left="369" w:hanging="100"/>
      </w:pPr>
      <w:rPr>
        <w:rFonts w:hint="default"/>
      </w:rPr>
    </w:lvl>
    <w:lvl w:ilvl="2" w:tplc="1DD4D084">
      <w:numFmt w:val="bullet"/>
      <w:lvlText w:val="•"/>
      <w:lvlJc w:val="left"/>
      <w:pPr>
        <w:ind w:left="579" w:hanging="100"/>
      </w:pPr>
      <w:rPr>
        <w:rFonts w:hint="default"/>
      </w:rPr>
    </w:lvl>
    <w:lvl w:ilvl="3" w:tplc="E304C874">
      <w:numFmt w:val="bullet"/>
      <w:lvlText w:val="•"/>
      <w:lvlJc w:val="left"/>
      <w:pPr>
        <w:ind w:left="789" w:hanging="100"/>
      </w:pPr>
      <w:rPr>
        <w:rFonts w:hint="default"/>
      </w:rPr>
    </w:lvl>
    <w:lvl w:ilvl="4" w:tplc="BC42AEE4">
      <w:numFmt w:val="bullet"/>
      <w:lvlText w:val="•"/>
      <w:lvlJc w:val="left"/>
      <w:pPr>
        <w:ind w:left="998" w:hanging="100"/>
      </w:pPr>
      <w:rPr>
        <w:rFonts w:hint="default"/>
      </w:rPr>
    </w:lvl>
    <w:lvl w:ilvl="5" w:tplc="F8C087C2">
      <w:numFmt w:val="bullet"/>
      <w:lvlText w:val="•"/>
      <w:lvlJc w:val="left"/>
      <w:pPr>
        <w:ind w:left="1208" w:hanging="100"/>
      </w:pPr>
      <w:rPr>
        <w:rFonts w:hint="default"/>
      </w:rPr>
    </w:lvl>
    <w:lvl w:ilvl="6" w:tplc="B8B0E894">
      <w:numFmt w:val="bullet"/>
      <w:lvlText w:val="•"/>
      <w:lvlJc w:val="left"/>
      <w:pPr>
        <w:ind w:left="1418" w:hanging="100"/>
      </w:pPr>
      <w:rPr>
        <w:rFonts w:hint="default"/>
      </w:rPr>
    </w:lvl>
    <w:lvl w:ilvl="7" w:tplc="FA7CFBB6">
      <w:numFmt w:val="bullet"/>
      <w:lvlText w:val="•"/>
      <w:lvlJc w:val="left"/>
      <w:pPr>
        <w:ind w:left="1627" w:hanging="100"/>
      </w:pPr>
      <w:rPr>
        <w:rFonts w:hint="default"/>
      </w:rPr>
    </w:lvl>
    <w:lvl w:ilvl="8" w:tplc="21BEE5A0">
      <w:numFmt w:val="bullet"/>
      <w:lvlText w:val="•"/>
      <w:lvlJc w:val="left"/>
      <w:pPr>
        <w:ind w:left="1837" w:hanging="100"/>
      </w:pPr>
      <w:rPr>
        <w:rFonts w:hint="default"/>
      </w:rPr>
    </w:lvl>
  </w:abstractNum>
  <w:abstractNum w:abstractNumId="1645" w15:restartNumberingAfterBreak="0">
    <w:nsid w:val="681F3B16"/>
    <w:multiLevelType w:val="hybridMultilevel"/>
    <w:tmpl w:val="F710EBAA"/>
    <w:lvl w:ilvl="0" w:tplc="5CB05B24">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F6629D9C">
      <w:numFmt w:val="bullet"/>
      <w:lvlText w:val="•"/>
      <w:lvlJc w:val="left"/>
      <w:pPr>
        <w:ind w:left="240" w:hanging="105"/>
      </w:pPr>
      <w:rPr>
        <w:rFonts w:hint="default"/>
      </w:rPr>
    </w:lvl>
    <w:lvl w:ilvl="2" w:tplc="F4B0CF8A">
      <w:numFmt w:val="bullet"/>
      <w:lvlText w:val="•"/>
      <w:lvlJc w:val="left"/>
      <w:pPr>
        <w:ind w:left="464" w:hanging="105"/>
      </w:pPr>
      <w:rPr>
        <w:rFonts w:hint="default"/>
      </w:rPr>
    </w:lvl>
    <w:lvl w:ilvl="3" w:tplc="5CCA0FF2">
      <w:numFmt w:val="bullet"/>
      <w:lvlText w:val="•"/>
      <w:lvlJc w:val="left"/>
      <w:pPr>
        <w:ind w:left="688" w:hanging="105"/>
      </w:pPr>
      <w:rPr>
        <w:rFonts w:hint="default"/>
      </w:rPr>
    </w:lvl>
    <w:lvl w:ilvl="4" w:tplc="F9C6A55C">
      <w:numFmt w:val="bullet"/>
      <w:lvlText w:val="•"/>
      <w:lvlJc w:val="left"/>
      <w:pPr>
        <w:ind w:left="912" w:hanging="105"/>
      </w:pPr>
      <w:rPr>
        <w:rFonts w:hint="default"/>
      </w:rPr>
    </w:lvl>
    <w:lvl w:ilvl="5" w:tplc="411C1FD0">
      <w:numFmt w:val="bullet"/>
      <w:lvlText w:val="•"/>
      <w:lvlJc w:val="left"/>
      <w:pPr>
        <w:ind w:left="1136" w:hanging="105"/>
      </w:pPr>
      <w:rPr>
        <w:rFonts w:hint="default"/>
      </w:rPr>
    </w:lvl>
    <w:lvl w:ilvl="6" w:tplc="E7B80272">
      <w:numFmt w:val="bullet"/>
      <w:lvlText w:val="•"/>
      <w:lvlJc w:val="left"/>
      <w:pPr>
        <w:ind w:left="1360" w:hanging="105"/>
      </w:pPr>
      <w:rPr>
        <w:rFonts w:hint="default"/>
      </w:rPr>
    </w:lvl>
    <w:lvl w:ilvl="7" w:tplc="48F4487C">
      <w:numFmt w:val="bullet"/>
      <w:lvlText w:val="•"/>
      <w:lvlJc w:val="left"/>
      <w:pPr>
        <w:ind w:left="1584" w:hanging="105"/>
      </w:pPr>
      <w:rPr>
        <w:rFonts w:hint="default"/>
      </w:rPr>
    </w:lvl>
    <w:lvl w:ilvl="8" w:tplc="30B60A1E">
      <w:numFmt w:val="bullet"/>
      <w:lvlText w:val="•"/>
      <w:lvlJc w:val="left"/>
      <w:pPr>
        <w:ind w:left="1808" w:hanging="105"/>
      </w:pPr>
      <w:rPr>
        <w:rFonts w:hint="default"/>
      </w:rPr>
    </w:lvl>
  </w:abstractNum>
  <w:abstractNum w:abstractNumId="1646" w15:restartNumberingAfterBreak="0">
    <w:nsid w:val="68222ED7"/>
    <w:multiLevelType w:val="hybridMultilevel"/>
    <w:tmpl w:val="5AF6048C"/>
    <w:lvl w:ilvl="0" w:tplc="CE4262F8">
      <w:numFmt w:val="bullet"/>
      <w:lvlText w:val=""/>
      <w:lvlJc w:val="left"/>
      <w:pPr>
        <w:ind w:left="156" w:hanging="100"/>
      </w:pPr>
      <w:rPr>
        <w:rFonts w:ascii="Symbol" w:eastAsia="Symbol" w:hAnsi="Symbol" w:cs="Symbol" w:hint="default"/>
        <w:color w:val="231F20"/>
        <w:w w:val="100"/>
        <w:sz w:val="14"/>
        <w:szCs w:val="14"/>
      </w:rPr>
    </w:lvl>
    <w:lvl w:ilvl="1" w:tplc="23C80E6C">
      <w:numFmt w:val="bullet"/>
      <w:lvlText w:val="•"/>
      <w:lvlJc w:val="left"/>
      <w:pPr>
        <w:ind w:left="301" w:hanging="100"/>
      </w:pPr>
      <w:rPr>
        <w:rFonts w:hint="default"/>
      </w:rPr>
    </w:lvl>
    <w:lvl w:ilvl="2" w:tplc="B2F2A4FC">
      <w:numFmt w:val="bullet"/>
      <w:lvlText w:val="•"/>
      <w:lvlJc w:val="left"/>
      <w:pPr>
        <w:ind w:left="443" w:hanging="100"/>
      </w:pPr>
      <w:rPr>
        <w:rFonts w:hint="default"/>
      </w:rPr>
    </w:lvl>
    <w:lvl w:ilvl="3" w:tplc="F370B65A">
      <w:numFmt w:val="bullet"/>
      <w:lvlText w:val="•"/>
      <w:lvlJc w:val="left"/>
      <w:pPr>
        <w:ind w:left="585" w:hanging="100"/>
      </w:pPr>
      <w:rPr>
        <w:rFonts w:hint="default"/>
      </w:rPr>
    </w:lvl>
    <w:lvl w:ilvl="4" w:tplc="243EA58E">
      <w:numFmt w:val="bullet"/>
      <w:lvlText w:val="•"/>
      <w:lvlJc w:val="left"/>
      <w:pPr>
        <w:ind w:left="726" w:hanging="100"/>
      </w:pPr>
      <w:rPr>
        <w:rFonts w:hint="default"/>
      </w:rPr>
    </w:lvl>
    <w:lvl w:ilvl="5" w:tplc="D83E4F6C">
      <w:numFmt w:val="bullet"/>
      <w:lvlText w:val="•"/>
      <w:lvlJc w:val="left"/>
      <w:pPr>
        <w:ind w:left="868" w:hanging="100"/>
      </w:pPr>
      <w:rPr>
        <w:rFonts w:hint="default"/>
      </w:rPr>
    </w:lvl>
    <w:lvl w:ilvl="6" w:tplc="64186DAA">
      <w:numFmt w:val="bullet"/>
      <w:lvlText w:val="•"/>
      <w:lvlJc w:val="left"/>
      <w:pPr>
        <w:ind w:left="1010" w:hanging="100"/>
      </w:pPr>
      <w:rPr>
        <w:rFonts w:hint="default"/>
      </w:rPr>
    </w:lvl>
    <w:lvl w:ilvl="7" w:tplc="91EE0528">
      <w:numFmt w:val="bullet"/>
      <w:lvlText w:val="•"/>
      <w:lvlJc w:val="left"/>
      <w:pPr>
        <w:ind w:left="1151" w:hanging="100"/>
      </w:pPr>
      <w:rPr>
        <w:rFonts w:hint="default"/>
      </w:rPr>
    </w:lvl>
    <w:lvl w:ilvl="8" w:tplc="27427A66">
      <w:numFmt w:val="bullet"/>
      <w:lvlText w:val="•"/>
      <w:lvlJc w:val="left"/>
      <w:pPr>
        <w:ind w:left="1293" w:hanging="100"/>
      </w:pPr>
      <w:rPr>
        <w:rFonts w:hint="default"/>
      </w:rPr>
    </w:lvl>
  </w:abstractNum>
  <w:abstractNum w:abstractNumId="1647" w15:restartNumberingAfterBreak="0">
    <w:nsid w:val="684743F4"/>
    <w:multiLevelType w:val="hybridMultilevel"/>
    <w:tmpl w:val="6A34D686"/>
    <w:lvl w:ilvl="0" w:tplc="8686676C">
      <w:numFmt w:val="bullet"/>
      <w:lvlText w:val=""/>
      <w:lvlJc w:val="left"/>
      <w:pPr>
        <w:ind w:left="157" w:hanging="100"/>
      </w:pPr>
      <w:rPr>
        <w:rFonts w:ascii="Symbol" w:eastAsia="Symbol" w:hAnsi="Symbol" w:cs="Symbol" w:hint="default"/>
        <w:color w:val="231F20"/>
        <w:w w:val="100"/>
        <w:sz w:val="14"/>
        <w:szCs w:val="14"/>
      </w:rPr>
    </w:lvl>
    <w:lvl w:ilvl="1" w:tplc="11ECC7E0">
      <w:numFmt w:val="bullet"/>
      <w:lvlText w:val="•"/>
      <w:lvlJc w:val="left"/>
      <w:pPr>
        <w:ind w:left="369" w:hanging="100"/>
      </w:pPr>
      <w:rPr>
        <w:rFonts w:hint="default"/>
      </w:rPr>
    </w:lvl>
    <w:lvl w:ilvl="2" w:tplc="53963982">
      <w:numFmt w:val="bullet"/>
      <w:lvlText w:val="•"/>
      <w:lvlJc w:val="left"/>
      <w:pPr>
        <w:ind w:left="579" w:hanging="100"/>
      </w:pPr>
      <w:rPr>
        <w:rFonts w:hint="default"/>
      </w:rPr>
    </w:lvl>
    <w:lvl w:ilvl="3" w:tplc="A6C8DDB0">
      <w:numFmt w:val="bullet"/>
      <w:lvlText w:val="•"/>
      <w:lvlJc w:val="left"/>
      <w:pPr>
        <w:ind w:left="789" w:hanging="100"/>
      </w:pPr>
      <w:rPr>
        <w:rFonts w:hint="default"/>
      </w:rPr>
    </w:lvl>
    <w:lvl w:ilvl="4" w:tplc="5978E194">
      <w:numFmt w:val="bullet"/>
      <w:lvlText w:val="•"/>
      <w:lvlJc w:val="left"/>
      <w:pPr>
        <w:ind w:left="998" w:hanging="100"/>
      </w:pPr>
      <w:rPr>
        <w:rFonts w:hint="default"/>
      </w:rPr>
    </w:lvl>
    <w:lvl w:ilvl="5" w:tplc="B060F2EA">
      <w:numFmt w:val="bullet"/>
      <w:lvlText w:val="•"/>
      <w:lvlJc w:val="left"/>
      <w:pPr>
        <w:ind w:left="1208" w:hanging="100"/>
      </w:pPr>
      <w:rPr>
        <w:rFonts w:hint="default"/>
      </w:rPr>
    </w:lvl>
    <w:lvl w:ilvl="6" w:tplc="A7CE2EE2">
      <w:numFmt w:val="bullet"/>
      <w:lvlText w:val="•"/>
      <w:lvlJc w:val="left"/>
      <w:pPr>
        <w:ind w:left="1418" w:hanging="100"/>
      </w:pPr>
      <w:rPr>
        <w:rFonts w:hint="default"/>
      </w:rPr>
    </w:lvl>
    <w:lvl w:ilvl="7" w:tplc="FF94579E">
      <w:numFmt w:val="bullet"/>
      <w:lvlText w:val="•"/>
      <w:lvlJc w:val="left"/>
      <w:pPr>
        <w:ind w:left="1627" w:hanging="100"/>
      </w:pPr>
      <w:rPr>
        <w:rFonts w:hint="default"/>
      </w:rPr>
    </w:lvl>
    <w:lvl w:ilvl="8" w:tplc="C52CC962">
      <w:numFmt w:val="bullet"/>
      <w:lvlText w:val="•"/>
      <w:lvlJc w:val="left"/>
      <w:pPr>
        <w:ind w:left="1837" w:hanging="100"/>
      </w:pPr>
      <w:rPr>
        <w:rFonts w:hint="default"/>
      </w:rPr>
    </w:lvl>
  </w:abstractNum>
  <w:abstractNum w:abstractNumId="1648" w15:restartNumberingAfterBreak="0">
    <w:nsid w:val="684976DC"/>
    <w:multiLevelType w:val="hybridMultilevel"/>
    <w:tmpl w:val="6FFC74FE"/>
    <w:lvl w:ilvl="0" w:tplc="A4A24B72">
      <w:numFmt w:val="bullet"/>
      <w:lvlText w:val=""/>
      <w:lvlJc w:val="left"/>
      <w:pPr>
        <w:ind w:left="156" w:hanging="100"/>
      </w:pPr>
      <w:rPr>
        <w:rFonts w:ascii="Symbol" w:eastAsia="Symbol" w:hAnsi="Symbol" w:cs="Symbol" w:hint="default"/>
        <w:color w:val="231F20"/>
        <w:w w:val="100"/>
        <w:sz w:val="14"/>
        <w:szCs w:val="14"/>
      </w:rPr>
    </w:lvl>
    <w:lvl w:ilvl="1" w:tplc="BE4AACD4">
      <w:numFmt w:val="bullet"/>
      <w:lvlText w:val="•"/>
      <w:lvlJc w:val="left"/>
      <w:pPr>
        <w:ind w:left="301" w:hanging="100"/>
      </w:pPr>
      <w:rPr>
        <w:rFonts w:hint="default"/>
      </w:rPr>
    </w:lvl>
    <w:lvl w:ilvl="2" w:tplc="DA849DCE">
      <w:numFmt w:val="bullet"/>
      <w:lvlText w:val="•"/>
      <w:lvlJc w:val="left"/>
      <w:pPr>
        <w:ind w:left="443" w:hanging="100"/>
      </w:pPr>
      <w:rPr>
        <w:rFonts w:hint="default"/>
      </w:rPr>
    </w:lvl>
    <w:lvl w:ilvl="3" w:tplc="65527BB2">
      <w:numFmt w:val="bullet"/>
      <w:lvlText w:val="•"/>
      <w:lvlJc w:val="left"/>
      <w:pPr>
        <w:ind w:left="585" w:hanging="100"/>
      </w:pPr>
      <w:rPr>
        <w:rFonts w:hint="default"/>
      </w:rPr>
    </w:lvl>
    <w:lvl w:ilvl="4" w:tplc="CC20A57E">
      <w:numFmt w:val="bullet"/>
      <w:lvlText w:val="•"/>
      <w:lvlJc w:val="left"/>
      <w:pPr>
        <w:ind w:left="726" w:hanging="100"/>
      </w:pPr>
      <w:rPr>
        <w:rFonts w:hint="default"/>
      </w:rPr>
    </w:lvl>
    <w:lvl w:ilvl="5" w:tplc="7242AC02">
      <w:numFmt w:val="bullet"/>
      <w:lvlText w:val="•"/>
      <w:lvlJc w:val="left"/>
      <w:pPr>
        <w:ind w:left="868" w:hanging="100"/>
      </w:pPr>
      <w:rPr>
        <w:rFonts w:hint="default"/>
      </w:rPr>
    </w:lvl>
    <w:lvl w:ilvl="6" w:tplc="72F46F26">
      <w:numFmt w:val="bullet"/>
      <w:lvlText w:val="•"/>
      <w:lvlJc w:val="left"/>
      <w:pPr>
        <w:ind w:left="1010" w:hanging="100"/>
      </w:pPr>
      <w:rPr>
        <w:rFonts w:hint="default"/>
      </w:rPr>
    </w:lvl>
    <w:lvl w:ilvl="7" w:tplc="6262ADAA">
      <w:numFmt w:val="bullet"/>
      <w:lvlText w:val="•"/>
      <w:lvlJc w:val="left"/>
      <w:pPr>
        <w:ind w:left="1151" w:hanging="100"/>
      </w:pPr>
      <w:rPr>
        <w:rFonts w:hint="default"/>
      </w:rPr>
    </w:lvl>
    <w:lvl w:ilvl="8" w:tplc="F24E23B2">
      <w:numFmt w:val="bullet"/>
      <w:lvlText w:val="•"/>
      <w:lvlJc w:val="left"/>
      <w:pPr>
        <w:ind w:left="1293" w:hanging="100"/>
      </w:pPr>
      <w:rPr>
        <w:rFonts w:hint="default"/>
      </w:rPr>
    </w:lvl>
  </w:abstractNum>
  <w:abstractNum w:abstractNumId="1649" w15:restartNumberingAfterBreak="0">
    <w:nsid w:val="685379D3"/>
    <w:multiLevelType w:val="hybridMultilevel"/>
    <w:tmpl w:val="E6F84C5E"/>
    <w:lvl w:ilvl="0" w:tplc="2EC25538">
      <w:numFmt w:val="bullet"/>
      <w:lvlText w:val=""/>
      <w:lvlJc w:val="left"/>
      <w:pPr>
        <w:ind w:left="156" w:hanging="100"/>
      </w:pPr>
      <w:rPr>
        <w:rFonts w:ascii="Symbol" w:eastAsia="Symbol" w:hAnsi="Symbol" w:cs="Symbol" w:hint="default"/>
        <w:color w:val="231F20"/>
        <w:w w:val="100"/>
        <w:sz w:val="14"/>
        <w:szCs w:val="14"/>
      </w:rPr>
    </w:lvl>
    <w:lvl w:ilvl="1" w:tplc="DFA2EEE0">
      <w:numFmt w:val="bullet"/>
      <w:lvlText w:val="•"/>
      <w:lvlJc w:val="left"/>
      <w:pPr>
        <w:ind w:left="301" w:hanging="100"/>
      </w:pPr>
      <w:rPr>
        <w:rFonts w:hint="default"/>
      </w:rPr>
    </w:lvl>
    <w:lvl w:ilvl="2" w:tplc="ACFCEC6E">
      <w:numFmt w:val="bullet"/>
      <w:lvlText w:val="•"/>
      <w:lvlJc w:val="left"/>
      <w:pPr>
        <w:ind w:left="443" w:hanging="100"/>
      </w:pPr>
      <w:rPr>
        <w:rFonts w:hint="default"/>
      </w:rPr>
    </w:lvl>
    <w:lvl w:ilvl="3" w:tplc="F8E65BC6">
      <w:numFmt w:val="bullet"/>
      <w:lvlText w:val="•"/>
      <w:lvlJc w:val="left"/>
      <w:pPr>
        <w:ind w:left="585" w:hanging="100"/>
      </w:pPr>
      <w:rPr>
        <w:rFonts w:hint="default"/>
      </w:rPr>
    </w:lvl>
    <w:lvl w:ilvl="4" w:tplc="26A26A32">
      <w:numFmt w:val="bullet"/>
      <w:lvlText w:val="•"/>
      <w:lvlJc w:val="left"/>
      <w:pPr>
        <w:ind w:left="726" w:hanging="100"/>
      </w:pPr>
      <w:rPr>
        <w:rFonts w:hint="default"/>
      </w:rPr>
    </w:lvl>
    <w:lvl w:ilvl="5" w:tplc="9E4C5758">
      <w:numFmt w:val="bullet"/>
      <w:lvlText w:val="•"/>
      <w:lvlJc w:val="left"/>
      <w:pPr>
        <w:ind w:left="868" w:hanging="100"/>
      </w:pPr>
      <w:rPr>
        <w:rFonts w:hint="default"/>
      </w:rPr>
    </w:lvl>
    <w:lvl w:ilvl="6" w:tplc="2A5460B8">
      <w:numFmt w:val="bullet"/>
      <w:lvlText w:val="•"/>
      <w:lvlJc w:val="left"/>
      <w:pPr>
        <w:ind w:left="1010" w:hanging="100"/>
      </w:pPr>
      <w:rPr>
        <w:rFonts w:hint="default"/>
      </w:rPr>
    </w:lvl>
    <w:lvl w:ilvl="7" w:tplc="E522EAC6">
      <w:numFmt w:val="bullet"/>
      <w:lvlText w:val="•"/>
      <w:lvlJc w:val="left"/>
      <w:pPr>
        <w:ind w:left="1151" w:hanging="100"/>
      </w:pPr>
      <w:rPr>
        <w:rFonts w:hint="default"/>
      </w:rPr>
    </w:lvl>
    <w:lvl w:ilvl="8" w:tplc="744E4390">
      <w:numFmt w:val="bullet"/>
      <w:lvlText w:val="•"/>
      <w:lvlJc w:val="left"/>
      <w:pPr>
        <w:ind w:left="1293" w:hanging="100"/>
      </w:pPr>
      <w:rPr>
        <w:rFonts w:hint="default"/>
      </w:rPr>
    </w:lvl>
  </w:abstractNum>
  <w:abstractNum w:abstractNumId="1650" w15:restartNumberingAfterBreak="0">
    <w:nsid w:val="685F412B"/>
    <w:multiLevelType w:val="hybridMultilevel"/>
    <w:tmpl w:val="A7F885AA"/>
    <w:lvl w:ilvl="0" w:tplc="30EE6034">
      <w:numFmt w:val="bullet"/>
      <w:lvlText w:val=""/>
      <w:lvlJc w:val="left"/>
      <w:pPr>
        <w:ind w:left="156" w:hanging="100"/>
      </w:pPr>
      <w:rPr>
        <w:rFonts w:ascii="Symbol" w:eastAsia="Symbol" w:hAnsi="Symbol" w:cs="Symbol" w:hint="default"/>
        <w:color w:val="231F20"/>
        <w:w w:val="100"/>
        <w:sz w:val="14"/>
        <w:szCs w:val="14"/>
      </w:rPr>
    </w:lvl>
    <w:lvl w:ilvl="1" w:tplc="1798AA2A">
      <w:numFmt w:val="bullet"/>
      <w:lvlText w:val="•"/>
      <w:lvlJc w:val="left"/>
      <w:pPr>
        <w:ind w:left="301" w:hanging="100"/>
      </w:pPr>
      <w:rPr>
        <w:rFonts w:hint="default"/>
      </w:rPr>
    </w:lvl>
    <w:lvl w:ilvl="2" w:tplc="932C8E7E">
      <w:numFmt w:val="bullet"/>
      <w:lvlText w:val="•"/>
      <w:lvlJc w:val="left"/>
      <w:pPr>
        <w:ind w:left="443" w:hanging="100"/>
      </w:pPr>
      <w:rPr>
        <w:rFonts w:hint="default"/>
      </w:rPr>
    </w:lvl>
    <w:lvl w:ilvl="3" w:tplc="EDCEA1B8">
      <w:numFmt w:val="bullet"/>
      <w:lvlText w:val="•"/>
      <w:lvlJc w:val="left"/>
      <w:pPr>
        <w:ind w:left="585" w:hanging="100"/>
      </w:pPr>
      <w:rPr>
        <w:rFonts w:hint="default"/>
      </w:rPr>
    </w:lvl>
    <w:lvl w:ilvl="4" w:tplc="8DF208C0">
      <w:numFmt w:val="bullet"/>
      <w:lvlText w:val="•"/>
      <w:lvlJc w:val="left"/>
      <w:pPr>
        <w:ind w:left="726" w:hanging="100"/>
      </w:pPr>
      <w:rPr>
        <w:rFonts w:hint="default"/>
      </w:rPr>
    </w:lvl>
    <w:lvl w:ilvl="5" w:tplc="03682C2C">
      <w:numFmt w:val="bullet"/>
      <w:lvlText w:val="•"/>
      <w:lvlJc w:val="left"/>
      <w:pPr>
        <w:ind w:left="868" w:hanging="100"/>
      </w:pPr>
      <w:rPr>
        <w:rFonts w:hint="default"/>
      </w:rPr>
    </w:lvl>
    <w:lvl w:ilvl="6" w:tplc="1098E760">
      <w:numFmt w:val="bullet"/>
      <w:lvlText w:val="•"/>
      <w:lvlJc w:val="left"/>
      <w:pPr>
        <w:ind w:left="1010" w:hanging="100"/>
      </w:pPr>
      <w:rPr>
        <w:rFonts w:hint="default"/>
      </w:rPr>
    </w:lvl>
    <w:lvl w:ilvl="7" w:tplc="D15E8066">
      <w:numFmt w:val="bullet"/>
      <w:lvlText w:val="•"/>
      <w:lvlJc w:val="left"/>
      <w:pPr>
        <w:ind w:left="1151" w:hanging="100"/>
      </w:pPr>
      <w:rPr>
        <w:rFonts w:hint="default"/>
      </w:rPr>
    </w:lvl>
    <w:lvl w:ilvl="8" w:tplc="598001CE">
      <w:numFmt w:val="bullet"/>
      <w:lvlText w:val="•"/>
      <w:lvlJc w:val="left"/>
      <w:pPr>
        <w:ind w:left="1293" w:hanging="100"/>
      </w:pPr>
      <w:rPr>
        <w:rFonts w:hint="default"/>
      </w:rPr>
    </w:lvl>
  </w:abstractNum>
  <w:abstractNum w:abstractNumId="1651" w15:restartNumberingAfterBreak="0">
    <w:nsid w:val="687943ED"/>
    <w:multiLevelType w:val="hybridMultilevel"/>
    <w:tmpl w:val="2862A982"/>
    <w:lvl w:ilvl="0" w:tplc="5A6AEE0C">
      <w:numFmt w:val="bullet"/>
      <w:lvlText w:val=""/>
      <w:lvlJc w:val="left"/>
      <w:pPr>
        <w:ind w:left="157" w:hanging="100"/>
      </w:pPr>
      <w:rPr>
        <w:rFonts w:ascii="Symbol" w:eastAsia="Symbol" w:hAnsi="Symbol" w:cs="Symbol" w:hint="default"/>
        <w:color w:val="231F20"/>
        <w:w w:val="100"/>
        <w:sz w:val="14"/>
        <w:szCs w:val="14"/>
      </w:rPr>
    </w:lvl>
    <w:lvl w:ilvl="1" w:tplc="FFF855A4">
      <w:numFmt w:val="bullet"/>
      <w:lvlText w:val="•"/>
      <w:lvlJc w:val="left"/>
      <w:pPr>
        <w:ind w:left="369" w:hanging="100"/>
      </w:pPr>
      <w:rPr>
        <w:rFonts w:hint="default"/>
      </w:rPr>
    </w:lvl>
    <w:lvl w:ilvl="2" w:tplc="00948A64">
      <w:numFmt w:val="bullet"/>
      <w:lvlText w:val="•"/>
      <w:lvlJc w:val="left"/>
      <w:pPr>
        <w:ind w:left="579" w:hanging="100"/>
      </w:pPr>
      <w:rPr>
        <w:rFonts w:hint="default"/>
      </w:rPr>
    </w:lvl>
    <w:lvl w:ilvl="3" w:tplc="AEC66A50">
      <w:numFmt w:val="bullet"/>
      <w:lvlText w:val="•"/>
      <w:lvlJc w:val="left"/>
      <w:pPr>
        <w:ind w:left="789" w:hanging="100"/>
      </w:pPr>
      <w:rPr>
        <w:rFonts w:hint="default"/>
      </w:rPr>
    </w:lvl>
    <w:lvl w:ilvl="4" w:tplc="FAD665A0">
      <w:numFmt w:val="bullet"/>
      <w:lvlText w:val="•"/>
      <w:lvlJc w:val="left"/>
      <w:pPr>
        <w:ind w:left="998" w:hanging="100"/>
      </w:pPr>
      <w:rPr>
        <w:rFonts w:hint="default"/>
      </w:rPr>
    </w:lvl>
    <w:lvl w:ilvl="5" w:tplc="195EB35C">
      <w:numFmt w:val="bullet"/>
      <w:lvlText w:val="•"/>
      <w:lvlJc w:val="left"/>
      <w:pPr>
        <w:ind w:left="1208" w:hanging="100"/>
      </w:pPr>
      <w:rPr>
        <w:rFonts w:hint="default"/>
      </w:rPr>
    </w:lvl>
    <w:lvl w:ilvl="6" w:tplc="41165588">
      <w:numFmt w:val="bullet"/>
      <w:lvlText w:val="•"/>
      <w:lvlJc w:val="left"/>
      <w:pPr>
        <w:ind w:left="1418" w:hanging="100"/>
      </w:pPr>
      <w:rPr>
        <w:rFonts w:hint="default"/>
      </w:rPr>
    </w:lvl>
    <w:lvl w:ilvl="7" w:tplc="CB2611CE">
      <w:numFmt w:val="bullet"/>
      <w:lvlText w:val="•"/>
      <w:lvlJc w:val="left"/>
      <w:pPr>
        <w:ind w:left="1627" w:hanging="100"/>
      </w:pPr>
      <w:rPr>
        <w:rFonts w:hint="default"/>
      </w:rPr>
    </w:lvl>
    <w:lvl w:ilvl="8" w:tplc="4BE28A72">
      <w:numFmt w:val="bullet"/>
      <w:lvlText w:val="•"/>
      <w:lvlJc w:val="left"/>
      <w:pPr>
        <w:ind w:left="1837" w:hanging="100"/>
      </w:pPr>
      <w:rPr>
        <w:rFonts w:hint="default"/>
      </w:rPr>
    </w:lvl>
  </w:abstractNum>
  <w:abstractNum w:abstractNumId="1652" w15:restartNumberingAfterBreak="0">
    <w:nsid w:val="687A5557"/>
    <w:multiLevelType w:val="hybridMultilevel"/>
    <w:tmpl w:val="4CC221B6"/>
    <w:lvl w:ilvl="0" w:tplc="C2142714">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80048724">
      <w:numFmt w:val="bullet"/>
      <w:lvlText w:val="•"/>
      <w:lvlJc w:val="left"/>
      <w:pPr>
        <w:ind w:left="1636" w:hanging="116"/>
      </w:pPr>
      <w:rPr>
        <w:rFonts w:hint="default"/>
      </w:rPr>
    </w:lvl>
    <w:lvl w:ilvl="2" w:tplc="04928DA8">
      <w:numFmt w:val="bullet"/>
      <w:lvlText w:val="•"/>
      <w:lvlJc w:val="left"/>
      <w:pPr>
        <w:ind w:left="2653" w:hanging="116"/>
      </w:pPr>
      <w:rPr>
        <w:rFonts w:hint="default"/>
      </w:rPr>
    </w:lvl>
    <w:lvl w:ilvl="3" w:tplc="D24666F8">
      <w:numFmt w:val="bullet"/>
      <w:lvlText w:val="•"/>
      <w:lvlJc w:val="left"/>
      <w:pPr>
        <w:ind w:left="3669" w:hanging="116"/>
      </w:pPr>
      <w:rPr>
        <w:rFonts w:hint="default"/>
      </w:rPr>
    </w:lvl>
    <w:lvl w:ilvl="4" w:tplc="9906EA2A">
      <w:numFmt w:val="bullet"/>
      <w:lvlText w:val="•"/>
      <w:lvlJc w:val="left"/>
      <w:pPr>
        <w:ind w:left="4686" w:hanging="116"/>
      </w:pPr>
      <w:rPr>
        <w:rFonts w:hint="default"/>
      </w:rPr>
    </w:lvl>
    <w:lvl w:ilvl="5" w:tplc="0400D9D2">
      <w:numFmt w:val="bullet"/>
      <w:lvlText w:val="•"/>
      <w:lvlJc w:val="left"/>
      <w:pPr>
        <w:ind w:left="5702" w:hanging="116"/>
      </w:pPr>
      <w:rPr>
        <w:rFonts w:hint="default"/>
      </w:rPr>
    </w:lvl>
    <w:lvl w:ilvl="6" w:tplc="E72C2B4C">
      <w:numFmt w:val="bullet"/>
      <w:lvlText w:val="•"/>
      <w:lvlJc w:val="left"/>
      <w:pPr>
        <w:ind w:left="6719" w:hanging="116"/>
      </w:pPr>
      <w:rPr>
        <w:rFonts w:hint="default"/>
      </w:rPr>
    </w:lvl>
    <w:lvl w:ilvl="7" w:tplc="79A8845E">
      <w:numFmt w:val="bullet"/>
      <w:lvlText w:val="•"/>
      <w:lvlJc w:val="left"/>
      <w:pPr>
        <w:ind w:left="7735" w:hanging="116"/>
      </w:pPr>
      <w:rPr>
        <w:rFonts w:hint="default"/>
      </w:rPr>
    </w:lvl>
    <w:lvl w:ilvl="8" w:tplc="738C3160">
      <w:numFmt w:val="bullet"/>
      <w:lvlText w:val="•"/>
      <w:lvlJc w:val="left"/>
      <w:pPr>
        <w:ind w:left="8752" w:hanging="116"/>
      </w:pPr>
      <w:rPr>
        <w:rFonts w:hint="default"/>
      </w:rPr>
    </w:lvl>
  </w:abstractNum>
  <w:abstractNum w:abstractNumId="1653" w15:restartNumberingAfterBreak="0">
    <w:nsid w:val="68861C21"/>
    <w:multiLevelType w:val="hybridMultilevel"/>
    <w:tmpl w:val="B9627F26"/>
    <w:lvl w:ilvl="0" w:tplc="79AE815E">
      <w:numFmt w:val="bullet"/>
      <w:lvlText w:val=""/>
      <w:lvlJc w:val="left"/>
      <w:pPr>
        <w:ind w:left="156" w:hanging="100"/>
      </w:pPr>
      <w:rPr>
        <w:rFonts w:ascii="Symbol" w:eastAsia="Symbol" w:hAnsi="Symbol" w:cs="Symbol" w:hint="default"/>
        <w:color w:val="231F20"/>
        <w:w w:val="100"/>
        <w:sz w:val="14"/>
        <w:szCs w:val="14"/>
      </w:rPr>
    </w:lvl>
    <w:lvl w:ilvl="1" w:tplc="8698F1E8">
      <w:numFmt w:val="bullet"/>
      <w:lvlText w:val="•"/>
      <w:lvlJc w:val="left"/>
      <w:pPr>
        <w:ind w:left="398" w:hanging="100"/>
      </w:pPr>
      <w:rPr>
        <w:rFonts w:hint="default"/>
      </w:rPr>
    </w:lvl>
    <w:lvl w:ilvl="2" w:tplc="00D0A5D2">
      <w:numFmt w:val="bullet"/>
      <w:lvlText w:val="•"/>
      <w:lvlJc w:val="left"/>
      <w:pPr>
        <w:ind w:left="636" w:hanging="100"/>
      </w:pPr>
      <w:rPr>
        <w:rFonts w:hint="default"/>
      </w:rPr>
    </w:lvl>
    <w:lvl w:ilvl="3" w:tplc="0D747BBA">
      <w:numFmt w:val="bullet"/>
      <w:lvlText w:val="•"/>
      <w:lvlJc w:val="left"/>
      <w:pPr>
        <w:ind w:left="874" w:hanging="100"/>
      </w:pPr>
      <w:rPr>
        <w:rFonts w:hint="default"/>
      </w:rPr>
    </w:lvl>
    <w:lvl w:ilvl="4" w:tplc="EC46E352">
      <w:numFmt w:val="bullet"/>
      <w:lvlText w:val="•"/>
      <w:lvlJc w:val="left"/>
      <w:pPr>
        <w:ind w:left="1112" w:hanging="100"/>
      </w:pPr>
      <w:rPr>
        <w:rFonts w:hint="default"/>
      </w:rPr>
    </w:lvl>
    <w:lvl w:ilvl="5" w:tplc="5B9A9BDC">
      <w:numFmt w:val="bullet"/>
      <w:lvlText w:val="•"/>
      <w:lvlJc w:val="left"/>
      <w:pPr>
        <w:ind w:left="1350" w:hanging="100"/>
      </w:pPr>
      <w:rPr>
        <w:rFonts w:hint="default"/>
      </w:rPr>
    </w:lvl>
    <w:lvl w:ilvl="6" w:tplc="E118E404">
      <w:numFmt w:val="bullet"/>
      <w:lvlText w:val="•"/>
      <w:lvlJc w:val="left"/>
      <w:pPr>
        <w:ind w:left="1588" w:hanging="100"/>
      </w:pPr>
      <w:rPr>
        <w:rFonts w:hint="default"/>
      </w:rPr>
    </w:lvl>
    <w:lvl w:ilvl="7" w:tplc="1514006C">
      <w:numFmt w:val="bullet"/>
      <w:lvlText w:val="•"/>
      <w:lvlJc w:val="left"/>
      <w:pPr>
        <w:ind w:left="1826" w:hanging="100"/>
      </w:pPr>
      <w:rPr>
        <w:rFonts w:hint="default"/>
      </w:rPr>
    </w:lvl>
    <w:lvl w:ilvl="8" w:tplc="B0729300">
      <w:numFmt w:val="bullet"/>
      <w:lvlText w:val="•"/>
      <w:lvlJc w:val="left"/>
      <w:pPr>
        <w:ind w:left="2064" w:hanging="100"/>
      </w:pPr>
      <w:rPr>
        <w:rFonts w:hint="default"/>
      </w:rPr>
    </w:lvl>
  </w:abstractNum>
  <w:abstractNum w:abstractNumId="1654" w15:restartNumberingAfterBreak="0">
    <w:nsid w:val="68AB2622"/>
    <w:multiLevelType w:val="hybridMultilevel"/>
    <w:tmpl w:val="1CF41874"/>
    <w:lvl w:ilvl="0" w:tplc="588A22F2">
      <w:numFmt w:val="bullet"/>
      <w:lvlText w:val="–"/>
      <w:lvlJc w:val="left"/>
      <w:pPr>
        <w:ind w:left="162" w:hanging="105"/>
      </w:pPr>
      <w:rPr>
        <w:rFonts w:ascii="Times New Roman" w:eastAsia="Times New Roman" w:hAnsi="Times New Roman" w:cs="Times New Roman" w:hint="default"/>
        <w:color w:val="231F20"/>
        <w:spacing w:val="-9"/>
        <w:w w:val="100"/>
        <w:sz w:val="14"/>
        <w:szCs w:val="14"/>
      </w:rPr>
    </w:lvl>
    <w:lvl w:ilvl="1" w:tplc="21E48478">
      <w:numFmt w:val="bullet"/>
      <w:lvlText w:val="•"/>
      <w:lvlJc w:val="left"/>
      <w:pPr>
        <w:ind w:left="426" w:hanging="105"/>
      </w:pPr>
      <w:rPr>
        <w:rFonts w:hint="default"/>
      </w:rPr>
    </w:lvl>
    <w:lvl w:ilvl="2" w:tplc="611C0A42">
      <w:numFmt w:val="bullet"/>
      <w:lvlText w:val="•"/>
      <w:lvlJc w:val="left"/>
      <w:pPr>
        <w:ind w:left="692" w:hanging="105"/>
      </w:pPr>
      <w:rPr>
        <w:rFonts w:hint="default"/>
      </w:rPr>
    </w:lvl>
    <w:lvl w:ilvl="3" w:tplc="EDB01AEE">
      <w:numFmt w:val="bullet"/>
      <w:lvlText w:val="•"/>
      <w:lvlJc w:val="left"/>
      <w:pPr>
        <w:ind w:left="959" w:hanging="105"/>
      </w:pPr>
      <w:rPr>
        <w:rFonts w:hint="default"/>
      </w:rPr>
    </w:lvl>
    <w:lvl w:ilvl="4" w:tplc="6E9A8228">
      <w:numFmt w:val="bullet"/>
      <w:lvlText w:val="•"/>
      <w:lvlJc w:val="left"/>
      <w:pPr>
        <w:ind w:left="1225" w:hanging="105"/>
      </w:pPr>
      <w:rPr>
        <w:rFonts w:hint="default"/>
      </w:rPr>
    </w:lvl>
    <w:lvl w:ilvl="5" w:tplc="972CF23A">
      <w:numFmt w:val="bullet"/>
      <w:lvlText w:val="•"/>
      <w:lvlJc w:val="left"/>
      <w:pPr>
        <w:ind w:left="1492" w:hanging="105"/>
      </w:pPr>
      <w:rPr>
        <w:rFonts w:hint="default"/>
      </w:rPr>
    </w:lvl>
    <w:lvl w:ilvl="6" w:tplc="466033B6">
      <w:numFmt w:val="bullet"/>
      <w:lvlText w:val="•"/>
      <w:lvlJc w:val="left"/>
      <w:pPr>
        <w:ind w:left="1758" w:hanging="105"/>
      </w:pPr>
      <w:rPr>
        <w:rFonts w:hint="default"/>
      </w:rPr>
    </w:lvl>
    <w:lvl w:ilvl="7" w:tplc="3AD8BE86">
      <w:numFmt w:val="bullet"/>
      <w:lvlText w:val="•"/>
      <w:lvlJc w:val="left"/>
      <w:pPr>
        <w:ind w:left="2024" w:hanging="105"/>
      </w:pPr>
      <w:rPr>
        <w:rFonts w:hint="default"/>
      </w:rPr>
    </w:lvl>
    <w:lvl w:ilvl="8" w:tplc="CC7681C4">
      <w:numFmt w:val="bullet"/>
      <w:lvlText w:val="•"/>
      <w:lvlJc w:val="left"/>
      <w:pPr>
        <w:ind w:left="2291" w:hanging="105"/>
      </w:pPr>
      <w:rPr>
        <w:rFonts w:hint="default"/>
      </w:rPr>
    </w:lvl>
  </w:abstractNum>
  <w:abstractNum w:abstractNumId="1655" w15:restartNumberingAfterBreak="0">
    <w:nsid w:val="68BC4CFB"/>
    <w:multiLevelType w:val="hybridMultilevel"/>
    <w:tmpl w:val="162260EA"/>
    <w:lvl w:ilvl="0" w:tplc="8F264F2E">
      <w:numFmt w:val="bullet"/>
      <w:lvlText w:val="–"/>
      <w:lvlJc w:val="left"/>
      <w:pPr>
        <w:ind w:left="162" w:hanging="105"/>
      </w:pPr>
      <w:rPr>
        <w:rFonts w:ascii="Times New Roman" w:eastAsia="Times New Roman" w:hAnsi="Times New Roman" w:cs="Times New Roman" w:hint="default"/>
        <w:color w:val="231F20"/>
        <w:spacing w:val="-9"/>
        <w:w w:val="100"/>
        <w:sz w:val="14"/>
        <w:szCs w:val="14"/>
      </w:rPr>
    </w:lvl>
    <w:lvl w:ilvl="1" w:tplc="0106BA4C">
      <w:numFmt w:val="bullet"/>
      <w:lvlText w:val="•"/>
      <w:lvlJc w:val="left"/>
      <w:pPr>
        <w:ind w:left="426" w:hanging="105"/>
      </w:pPr>
      <w:rPr>
        <w:rFonts w:hint="default"/>
      </w:rPr>
    </w:lvl>
    <w:lvl w:ilvl="2" w:tplc="65526744">
      <w:numFmt w:val="bullet"/>
      <w:lvlText w:val="•"/>
      <w:lvlJc w:val="left"/>
      <w:pPr>
        <w:ind w:left="692" w:hanging="105"/>
      </w:pPr>
      <w:rPr>
        <w:rFonts w:hint="default"/>
      </w:rPr>
    </w:lvl>
    <w:lvl w:ilvl="3" w:tplc="2D7AF40C">
      <w:numFmt w:val="bullet"/>
      <w:lvlText w:val="•"/>
      <w:lvlJc w:val="left"/>
      <w:pPr>
        <w:ind w:left="959" w:hanging="105"/>
      </w:pPr>
      <w:rPr>
        <w:rFonts w:hint="default"/>
      </w:rPr>
    </w:lvl>
    <w:lvl w:ilvl="4" w:tplc="1AAC913E">
      <w:numFmt w:val="bullet"/>
      <w:lvlText w:val="•"/>
      <w:lvlJc w:val="left"/>
      <w:pPr>
        <w:ind w:left="1225" w:hanging="105"/>
      </w:pPr>
      <w:rPr>
        <w:rFonts w:hint="default"/>
      </w:rPr>
    </w:lvl>
    <w:lvl w:ilvl="5" w:tplc="6958C4EC">
      <w:numFmt w:val="bullet"/>
      <w:lvlText w:val="•"/>
      <w:lvlJc w:val="left"/>
      <w:pPr>
        <w:ind w:left="1492" w:hanging="105"/>
      </w:pPr>
      <w:rPr>
        <w:rFonts w:hint="default"/>
      </w:rPr>
    </w:lvl>
    <w:lvl w:ilvl="6" w:tplc="3566056C">
      <w:numFmt w:val="bullet"/>
      <w:lvlText w:val="•"/>
      <w:lvlJc w:val="left"/>
      <w:pPr>
        <w:ind w:left="1758" w:hanging="105"/>
      </w:pPr>
      <w:rPr>
        <w:rFonts w:hint="default"/>
      </w:rPr>
    </w:lvl>
    <w:lvl w:ilvl="7" w:tplc="3BD0E8D6">
      <w:numFmt w:val="bullet"/>
      <w:lvlText w:val="•"/>
      <w:lvlJc w:val="left"/>
      <w:pPr>
        <w:ind w:left="2024" w:hanging="105"/>
      </w:pPr>
      <w:rPr>
        <w:rFonts w:hint="default"/>
      </w:rPr>
    </w:lvl>
    <w:lvl w:ilvl="8" w:tplc="F15E4E92">
      <w:numFmt w:val="bullet"/>
      <w:lvlText w:val="•"/>
      <w:lvlJc w:val="left"/>
      <w:pPr>
        <w:ind w:left="2291" w:hanging="105"/>
      </w:pPr>
      <w:rPr>
        <w:rFonts w:hint="default"/>
      </w:rPr>
    </w:lvl>
  </w:abstractNum>
  <w:abstractNum w:abstractNumId="1656" w15:restartNumberingAfterBreak="0">
    <w:nsid w:val="68C0682B"/>
    <w:multiLevelType w:val="hybridMultilevel"/>
    <w:tmpl w:val="1EA63FC2"/>
    <w:lvl w:ilvl="0" w:tplc="70DADDEA">
      <w:numFmt w:val="bullet"/>
      <w:lvlText w:val=""/>
      <w:lvlJc w:val="left"/>
      <w:pPr>
        <w:ind w:left="157" w:hanging="100"/>
      </w:pPr>
      <w:rPr>
        <w:rFonts w:ascii="Symbol" w:eastAsia="Symbol" w:hAnsi="Symbol" w:cs="Symbol" w:hint="default"/>
        <w:color w:val="231F20"/>
        <w:w w:val="100"/>
        <w:sz w:val="14"/>
        <w:szCs w:val="14"/>
      </w:rPr>
    </w:lvl>
    <w:lvl w:ilvl="1" w:tplc="1F161672">
      <w:numFmt w:val="bullet"/>
      <w:lvlText w:val="•"/>
      <w:lvlJc w:val="left"/>
      <w:pPr>
        <w:ind w:left="426" w:hanging="100"/>
      </w:pPr>
      <w:rPr>
        <w:rFonts w:hint="default"/>
      </w:rPr>
    </w:lvl>
    <w:lvl w:ilvl="2" w:tplc="6D6C4C44">
      <w:numFmt w:val="bullet"/>
      <w:lvlText w:val="•"/>
      <w:lvlJc w:val="left"/>
      <w:pPr>
        <w:ind w:left="692" w:hanging="100"/>
      </w:pPr>
      <w:rPr>
        <w:rFonts w:hint="default"/>
      </w:rPr>
    </w:lvl>
    <w:lvl w:ilvl="3" w:tplc="40F6AC8E">
      <w:numFmt w:val="bullet"/>
      <w:lvlText w:val="•"/>
      <w:lvlJc w:val="left"/>
      <w:pPr>
        <w:ind w:left="959" w:hanging="100"/>
      </w:pPr>
      <w:rPr>
        <w:rFonts w:hint="default"/>
      </w:rPr>
    </w:lvl>
    <w:lvl w:ilvl="4" w:tplc="43B866BE">
      <w:numFmt w:val="bullet"/>
      <w:lvlText w:val="•"/>
      <w:lvlJc w:val="left"/>
      <w:pPr>
        <w:ind w:left="1225" w:hanging="100"/>
      </w:pPr>
      <w:rPr>
        <w:rFonts w:hint="default"/>
      </w:rPr>
    </w:lvl>
    <w:lvl w:ilvl="5" w:tplc="EC30B046">
      <w:numFmt w:val="bullet"/>
      <w:lvlText w:val="•"/>
      <w:lvlJc w:val="left"/>
      <w:pPr>
        <w:ind w:left="1492" w:hanging="100"/>
      </w:pPr>
      <w:rPr>
        <w:rFonts w:hint="default"/>
      </w:rPr>
    </w:lvl>
    <w:lvl w:ilvl="6" w:tplc="EA94AD9C">
      <w:numFmt w:val="bullet"/>
      <w:lvlText w:val="•"/>
      <w:lvlJc w:val="left"/>
      <w:pPr>
        <w:ind w:left="1758" w:hanging="100"/>
      </w:pPr>
      <w:rPr>
        <w:rFonts w:hint="default"/>
      </w:rPr>
    </w:lvl>
    <w:lvl w:ilvl="7" w:tplc="D34E0EA8">
      <w:numFmt w:val="bullet"/>
      <w:lvlText w:val="•"/>
      <w:lvlJc w:val="left"/>
      <w:pPr>
        <w:ind w:left="2024" w:hanging="100"/>
      </w:pPr>
      <w:rPr>
        <w:rFonts w:hint="default"/>
      </w:rPr>
    </w:lvl>
    <w:lvl w:ilvl="8" w:tplc="A1747E34">
      <w:numFmt w:val="bullet"/>
      <w:lvlText w:val="•"/>
      <w:lvlJc w:val="left"/>
      <w:pPr>
        <w:ind w:left="2291" w:hanging="100"/>
      </w:pPr>
      <w:rPr>
        <w:rFonts w:hint="default"/>
      </w:rPr>
    </w:lvl>
  </w:abstractNum>
  <w:abstractNum w:abstractNumId="1657" w15:restartNumberingAfterBreak="0">
    <w:nsid w:val="68C06DCD"/>
    <w:multiLevelType w:val="hybridMultilevel"/>
    <w:tmpl w:val="3940B962"/>
    <w:lvl w:ilvl="0" w:tplc="81C4DC6C">
      <w:numFmt w:val="bullet"/>
      <w:lvlText w:val=""/>
      <w:lvlJc w:val="left"/>
      <w:pPr>
        <w:ind w:left="156" w:hanging="100"/>
      </w:pPr>
      <w:rPr>
        <w:rFonts w:ascii="Symbol" w:eastAsia="Symbol" w:hAnsi="Symbol" w:cs="Symbol" w:hint="default"/>
        <w:color w:val="231F20"/>
        <w:w w:val="100"/>
        <w:sz w:val="14"/>
        <w:szCs w:val="14"/>
      </w:rPr>
    </w:lvl>
    <w:lvl w:ilvl="1" w:tplc="C5F867B2">
      <w:numFmt w:val="bullet"/>
      <w:lvlText w:val="•"/>
      <w:lvlJc w:val="left"/>
      <w:pPr>
        <w:ind w:left="301" w:hanging="100"/>
      </w:pPr>
      <w:rPr>
        <w:rFonts w:hint="default"/>
      </w:rPr>
    </w:lvl>
    <w:lvl w:ilvl="2" w:tplc="95BA647A">
      <w:numFmt w:val="bullet"/>
      <w:lvlText w:val="•"/>
      <w:lvlJc w:val="left"/>
      <w:pPr>
        <w:ind w:left="443" w:hanging="100"/>
      </w:pPr>
      <w:rPr>
        <w:rFonts w:hint="default"/>
      </w:rPr>
    </w:lvl>
    <w:lvl w:ilvl="3" w:tplc="FDBA6864">
      <w:numFmt w:val="bullet"/>
      <w:lvlText w:val="•"/>
      <w:lvlJc w:val="left"/>
      <w:pPr>
        <w:ind w:left="585" w:hanging="100"/>
      </w:pPr>
      <w:rPr>
        <w:rFonts w:hint="default"/>
      </w:rPr>
    </w:lvl>
    <w:lvl w:ilvl="4" w:tplc="40D23072">
      <w:numFmt w:val="bullet"/>
      <w:lvlText w:val="•"/>
      <w:lvlJc w:val="left"/>
      <w:pPr>
        <w:ind w:left="726" w:hanging="100"/>
      </w:pPr>
      <w:rPr>
        <w:rFonts w:hint="default"/>
      </w:rPr>
    </w:lvl>
    <w:lvl w:ilvl="5" w:tplc="DAE4188A">
      <w:numFmt w:val="bullet"/>
      <w:lvlText w:val="•"/>
      <w:lvlJc w:val="left"/>
      <w:pPr>
        <w:ind w:left="868" w:hanging="100"/>
      </w:pPr>
      <w:rPr>
        <w:rFonts w:hint="default"/>
      </w:rPr>
    </w:lvl>
    <w:lvl w:ilvl="6" w:tplc="B02E5CAE">
      <w:numFmt w:val="bullet"/>
      <w:lvlText w:val="•"/>
      <w:lvlJc w:val="left"/>
      <w:pPr>
        <w:ind w:left="1010" w:hanging="100"/>
      </w:pPr>
      <w:rPr>
        <w:rFonts w:hint="default"/>
      </w:rPr>
    </w:lvl>
    <w:lvl w:ilvl="7" w:tplc="19702950">
      <w:numFmt w:val="bullet"/>
      <w:lvlText w:val="•"/>
      <w:lvlJc w:val="left"/>
      <w:pPr>
        <w:ind w:left="1151" w:hanging="100"/>
      </w:pPr>
      <w:rPr>
        <w:rFonts w:hint="default"/>
      </w:rPr>
    </w:lvl>
    <w:lvl w:ilvl="8" w:tplc="4042A464">
      <w:numFmt w:val="bullet"/>
      <w:lvlText w:val="•"/>
      <w:lvlJc w:val="left"/>
      <w:pPr>
        <w:ind w:left="1293" w:hanging="100"/>
      </w:pPr>
      <w:rPr>
        <w:rFonts w:hint="default"/>
      </w:rPr>
    </w:lvl>
  </w:abstractNum>
  <w:abstractNum w:abstractNumId="1658" w15:restartNumberingAfterBreak="0">
    <w:nsid w:val="68C21954"/>
    <w:multiLevelType w:val="hybridMultilevel"/>
    <w:tmpl w:val="B26434DA"/>
    <w:lvl w:ilvl="0" w:tplc="F37A42C6">
      <w:numFmt w:val="bullet"/>
      <w:lvlText w:val=""/>
      <w:lvlJc w:val="left"/>
      <w:pPr>
        <w:ind w:left="156" w:hanging="100"/>
      </w:pPr>
      <w:rPr>
        <w:rFonts w:ascii="Symbol" w:eastAsia="Symbol" w:hAnsi="Symbol" w:cs="Symbol" w:hint="default"/>
        <w:color w:val="231F20"/>
        <w:w w:val="100"/>
        <w:sz w:val="14"/>
        <w:szCs w:val="14"/>
      </w:rPr>
    </w:lvl>
    <w:lvl w:ilvl="1" w:tplc="FD5EC684">
      <w:numFmt w:val="bullet"/>
      <w:lvlText w:val="•"/>
      <w:lvlJc w:val="left"/>
      <w:pPr>
        <w:ind w:left="398" w:hanging="100"/>
      </w:pPr>
      <w:rPr>
        <w:rFonts w:hint="default"/>
      </w:rPr>
    </w:lvl>
    <w:lvl w:ilvl="2" w:tplc="3A88E81C">
      <w:numFmt w:val="bullet"/>
      <w:lvlText w:val="•"/>
      <w:lvlJc w:val="left"/>
      <w:pPr>
        <w:ind w:left="636" w:hanging="100"/>
      </w:pPr>
      <w:rPr>
        <w:rFonts w:hint="default"/>
      </w:rPr>
    </w:lvl>
    <w:lvl w:ilvl="3" w:tplc="299A840C">
      <w:numFmt w:val="bullet"/>
      <w:lvlText w:val="•"/>
      <w:lvlJc w:val="left"/>
      <w:pPr>
        <w:ind w:left="874" w:hanging="100"/>
      </w:pPr>
      <w:rPr>
        <w:rFonts w:hint="default"/>
      </w:rPr>
    </w:lvl>
    <w:lvl w:ilvl="4" w:tplc="2F844A9C">
      <w:numFmt w:val="bullet"/>
      <w:lvlText w:val="•"/>
      <w:lvlJc w:val="left"/>
      <w:pPr>
        <w:ind w:left="1112" w:hanging="100"/>
      </w:pPr>
      <w:rPr>
        <w:rFonts w:hint="default"/>
      </w:rPr>
    </w:lvl>
    <w:lvl w:ilvl="5" w:tplc="D89C5F48">
      <w:numFmt w:val="bullet"/>
      <w:lvlText w:val="•"/>
      <w:lvlJc w:val="left"/>
      <w:pPr>
        <w:ind w:left="1350" w:hanging="100"/>
      </w:pPr>
      <w:rPr>
        <w:rFonts w:hint="default"/>
      </w:rPr>
    </w:lvl>
    <w:lvl w:ilvl="6" w:tplc="B486F1C2">
      <w:numFmt w:val="bullet"/>
      <w:lvlText w:val="•"/>
      <w:lvlJc w:val="left"/>
      <w:pPr>
        <w:ind w:left="1588" w:hanging="100"/>
      </w:pPr>
      <w:rPr>
        <w:rFonts w:hint="default"/>
      </w:rPr>
    </w:lvl>
    <w:lvl w:ilvl="7" w:tplc="33EAED64">
      <w:numFmt w:val="bullet"/>
      <w:lvlText w:val="•"/>
      <w:lvlJc w:val="left"/>
      <w:pPr>
        <w:ind w:left="1826" w:hanging="100"/>
      </w:pPr>
      <w:rPr>
        <w:rFonts w:hint="default"/>
      </w:rPr>
    </w:lvl>
    <w:lvl w:ilvl="8" w:tplc="BFB8A792">
      <w:numFmt w:val="bullet"/>
      <w:lvlText w:val="•"/>
      <w:lvlJc w:val="left"/>
      <w:pPr>
        <w:ind w:left="2064" w:hanging="100"/>
      </w:pPr>
      <w:rPr>
        <w:rFonts w:hint="default"/>
      </w:rPr>
    </w:lvl>
  </w:abstractNum>
  <w:abstractNum w:abstractNumId="1659" w15:restartNumberingAfterBreak="0">
    <w:nsid w:val="68D2022F"/>
    <w:multiLevelType w:val="hybridMultilevel"/>
    <w:tmpl w:val="C99AA3D0"/>
    <w:lvl w:ilvl="0" w:tplc="FD82F164">
      <w:numFmt w:val="bullet"/>
      <w:lvlText w:val=""/>
      <w:lvlJc w:val="left"/>
      <w:pPr>
        <w:ind w:left="156" w:hanging="100"/>
      </w:pPr>
      <w:rPr>
        <w:rFonts w:ascii="Symbol" w:eastAsia="Symbol" w:hAnsi="Symbol" w:cs="Symbol" w:hint="default"/>
        <w:color w:val="231F20"/>
        <w:w w:val="100"/>
        <w:sz w:val="14"/>
        <w:szCs w:val="14"/>
      </w:rPr>
    </w:lvl>
    <w:lvl w:ilvl="1" w:tplc="3304AE80">
      <w:numFmt w:val="bullet"/>
      <w:lvlText w:val="•"/>
      <w:lvlJc w:val="left"/>
      <w:pPr>
        <w:ind w:left="398" w:hanging="100"/>
      </w:pPr>
      <w:rPr>
        <w:rFonts w:hint="default"/>
      </w:rPr>
    </w:lvl>
    <w:lvl w:ilvl="2" w:tplc="E9EC9C80">
      <w:numFmt w:val="bullet"/>
      <w:lvlText w:val="•"/>
      <w:lvlJc w:val="left"/>
      <w:pPr>
        <w:ind w:left="636" w:hanging="100"/>
      </w:pPr>
      <w:rPr>
        <w:rFonts w:hint="default"/>
      </w:rPr>
    </w:lvl>
    <w:lvl w:ilvl="3" w:tplc="5AA86F44">
      <w:numFmt w:val="bullet"/>
      <w:lvlText w:val="•"/>
      <w:lvlJc w:val="left"/>
      <w:pPr>
        <w:ind w:left="874" w:hanging="100"/>
      </w:pPr>
      <w:rPr>
        <w:rFonts w:hint="default"/>
      </w:rPr>
    </w:lvl>
    <w:lvl w:ilvl="4" w:tplc="10283D32">
      <w:numFmt w:val="bullet"/>
      <w:lvlText w:val="•"/>
      <w:lvlJc w:val="left"/>
      <w:pPr>
        <w:ind w:left="1112" w:hanging="100"/>
      </w:pPr>
      <w:rPr>
        <w:rFonts w:hint="default"/>
      </w:rPr>
    </w:lvl>
    <w:lvl w:ilvl="5" w:tplc="236658FC">
      <w:numFmt w:val="bullet"/>
      <w:lvlText w:val="•"/>
      <w:lvlJc w:val="left"/>
      <w:pPr>
        <w:ind w:left="1350" w:hanging="100"/>
      </w:pPr>
      <w:rPr>
        <w:rFonts w:hint="default"/>
      </w:rPr>
    </w:lvl>
    <w:lvl w:ilvl="6" w:tplc="56DCC9E8">
      <w:numFmt w:val="bullet"/>
      <w:lvlText w:val="•"/>
      <w:lvlJc w:val="left"/>
      <w:pPr>
        <w:ind w:left="1588" w:hanging="100"/>
      </w:pPr>
      <w:rPr>
        <w:rFonts w:hint="default"/>
      </w:rPr>
    </w:lvl>
    <w:lvl w:ilvl="7" w:tplc="8436B208">
      <w:numFmt w:val="bullet"/>
      <w:lvlText w:val="•"/>
      <w:lvlJc w:val="left"/>
      <w:pPr>
        <w:ind w:left="1826" w:hanging="100"/>
      </w:pPr>
      <w:rPr>
        <w:rFonts w:hint="default"/>
      </w:rPr>
    </w:lvl>
    <w:lvl w:ilvl="8" w:tplc="5CF478FE">
      <w:numFmt w:val="bullet"/>
      <w:lvlText w:val="•"/>
      <w:lvlJc w:val="left"/>
      <w:pPr>
        <w:ind w:left="2064" w:hanging="100"/>
      </w:pPr>
      <w:rPr>
        <w:rFonts w:hint="default"/>
      </w:rPr>
    </w:lvl>
  </w:abstractNum>
  <w:abstractNum w:abstractNumId="1660" w15:restartNumberingAfterBreak="0">
    <w:nsid w:val="68D4553E"/>
    <w:multiLevelType w:val="hybridMultilevel"/>
    <w:tmpl w:val="CC14AC60"/>
    <w:lvl w:ilvl="0" w:tplc="5BCE5F66">
      <w:numFmt w:val="bullet"/>
      <w:lvlText w:val=""/>
      <w:lvlJc w:val="left"/>
      <w:pPr>
        <w:ind w:left="157" w:hanging="100"/>
      </w:pPr>
      <w:rPr>
        <w:rFonts w:ascii="Symbol" w:eastAsia="Symbol" w:hAnsi="Symbol" w:cs="Symbol" w:hint="default"/>
        <w:color w:val="231F20"/>
        <w:w w:val="100"/>
        <w:sz w:val="14"/>
        <w:szCs w:val="14"/>
      </w:rPr>
    </w:lvl>
    <w:lvl w:ilvl="1" w:tplc="20F84C7A">
      <w:numFmt w:val="bullet"/>
      <w:lvlText w:val="•"/>
      <w:lvlJc w:val="left"/>
      <w:pPr>
        <w:ind w:left="369" w:hanging="100"/>
      </w:pPr>
      <w:rPr>
        <w:rFonts w:hint="default"/>
      </w:rPr>
    </w:lvl>
    <w:lvl w:ilvl="2" w:tplc="3312AE2A">
      <w:numFmt w:val="bullet"/>
      <w:lvlText w:val="•"/>
      <w:lvlJc w:val="left"/>
      <w:pPr>
        <w:ind w:left="579" w:hanging="100"/>
      </w:pPr>
      <w:rPr>
        <w:rFonts w:hint="default"/>
      </w:rPr>
    </w:lvl>
    <w:lvl w:ilvl="3" w:tplc="12BC15F6">
      <w:numFmt w:val="bullet"/>
      <w:lvlText w:val="•"/>
      <w:lvlJc w:val="left"/>
      <w:pPr>
        <w:ind w:left="789" w:hanging="100"/>
      </w:pPr>
      <w:rPr>
        <w:rFonts w:hint="default"/>
      </w:rPr>
    </w:lvl>
    <w:lvl w:ilvl="4" w:tplc="E9248D7E">
      <w:numFmt w:val="bullet"/>
      <w:lvlText w:val="•"/>
      <w:lvlJc w:val="left"/>
      <w:pPr>
        <w:ind w:left="998" w:hanging="100"/>
      </w:pPr>
      <w:rPr>
        <w:rFonts w:hint="default"/>
      </w:rPr>
    </w:lvl>
    <w:lvl w:ilvl="5" w:tplc="ADF28856">
      <w:numFmt w:val="bullet"/>
      <w:lvlText w:val="•"/>
      <w:lvlJc w:val="left"/>
      <w:pPr>
        <w:ind w:left="1208" w:hanging="100"/>
      </w:pPr>
      <w:rPr>
        <w:rFonts w:hint="default"/>
      </w:rPr>
    </w:lvl>
    <w:lvl w:ilvl="6" w:tplc="D81E6F92">
      <w:numFmt w:val="bullet"/>
      <w:lvlText w:val="•"/>
      <w:lvlJc w:val="left"/>
      <w:pPr>
        <w:ind w:left="1418" w:hanging="100"/>
      </w:pPr>
      <w:rPr>
        <w:rFonts w:hint="default"/>
      </w:rPr>
    </w:lvl>
    <w:lvl w:ilvl="7" w:tplc="A28C58A8">
      <w:numFmt w:val="bullet"/>
      <w:lvlText w:val="•"/>
      <w:lvlJc w:val="left"/>
      <w:pPr>
        <w:ind w:left="1627" w:hanging="100"/>
      </w:pPr>
      <w:rPr>
        <w:rFonts w:hint="default"/>
      </w:rPr>
    </w:lvl>
    <w:lvl w:ilvl="8" w:tplc="B590E5F2">
      <w:numFmt w:val="bullet"/>
      <w:lvlText w:val="•"/>
      <w:lvlJc w:val="left"/>
      <w:pPr>
        <w:ind w:left="1837" w:hanging="100"/>
      </w:pPr>
      <w:rPr>
        <w:rFonts w:hint="default"/>
      </w:rPr>
    </w:lvl>
  </w:abstractNum>
  <w:abstractNum w:abstractNumId="1661" w15:restartNumberingAfterBreak="0">
    <w:nsid w:val="68E45340"/>
    <w:multiLevelType w:val="hybridMultilevel"/>
    <w:tmpl w:val="253841CE"/>
    <w:lvl w:ilvl="0" w:tplc="03763004">
      <w:numFmt w:val="bullet"/>
      <w:lvlText w:val=""/>
      <w:lvlJc w:val="left"/>
      <w:pPr>
        <w:ind w:left="156" w:hanging="100"/>
      </w:pPr>
      <w:rPr>
        <w:rFonts w:ascii="Symbol" w:eastAsia="Symbol" w:hAnsi="Symbol" w:cs="Symbol" w:hint="default"/>
        <w:color w:val="231F20"/>
        <w:w w:val="100"/>
        <w:sz w:val="14"/>
        <w:szCs w:val="14"/>
      </w:rPr>
    </w:lvl>
    <w:lvl w:ilvl="1" w:tplc="9A24E30A">
      <w:numFmt w:val="bullet"/>
      <w:lvlText w:val="•"/>
      <w:lvlJc w:val="left"/>
      <w:pPr>
        <w:ind w:left="301" w:hanging="100"/>
      </w:pPr>
      <w:rPr>
        <w:rFonts w:hint="default"/>
      </w:rPr>
    </w:lvl>
    <w:lvl w:ilvl="2" w:tplc="818C3594">
      <w:numFmt w:val="bullet"/>
      <w:lvlText w:val="•"/>
      <w:lvlJc w:val="left"/>
      <w:pPr>
        <w:ind w:left="443" w:hanging="100"/>
      </w:pPr>
      <w:rPr>
        <w:rFonts w:hint="default"/>
      </w:rPr>
    </w:lvl>
    <w:lvl w:ilvl="3" w:tplc="C6C635E4">
      <w:numFmt w:val="bullet"/>
      <w:lvlText w:val="•"/>
      <w:lvlJc w:val="left"/>
      <w:pPr>
        <w:ind w:left="585" w:hanging="100"/>
      </w:pPr>
      <w:rPr>
        <w:rFonts w:hint="default"/>
      </w:rPr>
    </w:lvl>
    <w:lvl w:ilvl="4" w:tplc="F85CA8A2">
      <w:numFmt w:val="bullet"/>
      <w:lvlText w:val="•"/>
      <w:lvlJc w:val="left"/>
      <w:pPr>
        <w:ind w:left="726" w:hanging="100"/>
      </w:pPr>
      <w:rPr>
        <w:rFonts w:hint="default"/>
      </w:rPr>
    </w:lvl>
    <w:lvl w:ilvl="5" w:tplc="D486D020">
      <w:numFmt w:val="bullet"/>
      <w:lvlText w:val="•"/>
      <w:lvlJc w:val="left"/>
      <w:pPr>
        <w:ind w:left="868" w:hanging="100"/>
      </w:pPr>
      <w:rPr>
        <w:rFonts w:hint="default"/>
      </w:rPr>
    </w:lvl>
    <w:lvl w:ilvl="6" w:tplc="0044740E">
      <w:numFmt w:val="bullet"/>
      <w:lvlText w:val="•"/>
      <w:lvlJc w:val="left"/>
      <w:pPr>
        <w:ind w:left="1010" w:hanging="100"/>
      </w:pPr>
      <w:rPr>
        <w:rFonts w:hint="default"/>
      </w:rPr>
    </w:lvl>
    <w:lvl w:ilvl="7" w:tplc="BC9AE676">
      <w:numFmt w:val="bullet"/>
      <w:lvlText w:val="•"/>
      <w:lvlJc w:val="left"/>
      <w:pPr>
        <w:ind w:left="1151" w:hanging="100"/>
      </w:pPr>
      <w:rPr>
        <w:rFonts w:hint="default"/>
      </w:rPr>
    </w:lvl>
    <w:lvl w:ilvl="8" w:tplc="CDA6DE46">
      <w:numFmt w:val="bullet"/>
      <w:lvlText w:val="•"/>
      <w:lvlJc w:val="left"/>
      <w:pPr>
        <w:ind w:left="1293" w:hanging="100"/>
      </w:pPr>
      <w:rPr>
        <w:rFonts w:hint="default"/>
      </w:rPr>
    </w:lvl>
  </w:abstractNum>
  <w:abstractNum w:abstractNumId="1662" w15:restartNumberingAfterBreak="0">
    <w:nsid w:val="690812F9"/>
    <w:multiLevelType w:val="hybridMultilevel"/>
    <w:tmpl w:val="2556BD9A"/>
    <w:lvl w:ilvl="0" w:tplc="71FC49EE">
      <w:numFmt w:val="bullet"/>
      <w:lvlText w:val=""/>
      <w:lvlJc w:val="left"/>
      <w:pPr>
        <w:ind w:left="156" w:hanging="100"/>
      </w:pPr>
      <w:rPr>
        <w:rFonts w:ascii="Symbol" w:eastAsia="Symbol" w:hAnsi="Symbol" w:cs="Symbol" w:hint="default"/>
        <w:color w:val="231F20"/>
        <w:w w:val="100"/>
        <w:sz w:val="14"/>
        <w:szCs w:val="14"/>
      </w:rPr>
    </w:lvl>
    <w:lvl w:ilvl="1" w:tplc="95B0212E">
      <w:numFmt w:val="bullet"/>
      <w:lvlText w:val="•"/>
      <w:lvlJc w:val="left"/>
      <w:pPr>
        <w:ind w:left="301" w:hanging="100"/>
      </w:pPr>
      <w:rPr>
        <w:rFonts w:hint="default"/>
      </w:rPr>
    </w:lvl>
    <w:lvl w:ilvl="2" w:tplc="32345304">
      <w:numFmt w:val="bullet"/>
      <w:lvlText w:val="•"/>
      <w:lvlJc w:val="left"/>
      <w:pPr>
        <w:ind w:left="443" w:hanging="100"/>
      </w:pPr>
      <w:rPr>
        <w:rFonts w:hint="default"/>
      </w:rPr>
    </w:lvl>
    <w:lvl w:ilvl="3" w:tplc="5A4ECFA8">
      <w:numFmt w:val="bullet"/>
      <w:lvlText w:val="•"/>
      <w:lvlJc w:val="left"/>
      <w:pPr>
        <w:ind w:left="585" w:hanging="100"/>
      </w:pPr>
      <w:rPr>
        <w:rFonts w:hint="default"/>
      </w:rPr>
    </w:lvl>
    <w:lvl w:ilvl="4" w:tplc="11D46AE2">
      <w:numFmt w:val="bullet"/>
      <w:lvlText w:val="•"/>
      <w:lvlJc w:val="left"/>
      <w:pPr>
        <w:ind w:left="726" w:hanging="100"/>
      </w:pPr>
      <w:rPr>
        <w:rFonts w:hint="default"/>
      </w:rPr>
    </w:lvl>
    <w:lvl w:ilvl="5" w:tplc="DD5004E2">
      <w:numFmt w:val="bullet"/>
      <w:lvlText w:val="•"/>
      <w:lvlJc w:val="left"/>
      <w:pPr>
        <w:ind w:left="868" w:hanging="100"/>
      </w:pPr>
      <w:rPr>
        <w:rFonts w:hint="default"/>
      </w:rPr>
    </w:lvl>
    <w:lvl w:ilvl="6" w:tplc="C3E0FCA2">
      <w:numFmt w:val="bullet"/>
      <w:lvlText w:val="•"/>
      <w:lvlJc w:val="left"/>
      <w:pPr>
        <w:ind w:left="1010" w:hanging="100"/>
      </w:pPr>
      <w:rPr>
        <w:rFonts w:hint="default"/>
      </w:rPr>
    </w:lvl>
    <w:lvl w:ilvl="7" w:tplc="6FF0E532">
      <w:numFmt w:val="bullet"/>
      <w:lvlText w:val="•"/>
      <w:lvlJc w:val="left"/>
      <w:pPr>
        <w:ind w:left="1151" w:hanging="100"/>
      </w:pPr>
      <w:rPr>
        <w:rFonts w:hint="default"/>
      </w:rPr>
    </w:lvl>
    <w:lvl w:ilvl="8" w:tplc="63A8BEF0">
      <w:numFmt w:val="bullet"/>
      <w:lvlText w:val="•"/>
      <w:lvlJc w:val="left"/>
      <w:pPr>
        <w:ind w:left="1293" w:hanging="100"/>
      </w:pPr>
      <w:rPr>
        <w:rFonts w:hint="default"/>
      </w:rPr>
    </w:lvl>
  </w:abstractNum>
  <w:abstractNum w:abstractNumId="1663" w15:restartNumberingAfterBreak="0">
    <w:nsid w:val="691D3E27"/>
    <w:multiLevelType w:val="hybridMultilevel"/>
    <w:tmpl w:val="21C61A90"/>
    <w:lvl w:ilvl="0" w:tplc="737E3836">
      <w:numFmt w:val="bullet"/>
      <w:lvlText w:val=""/>
      <w:lvlJc w:val="left"/>
      <w:pPr>
        <w:ind w:left="157" w:hanging="100"/>
      </w:pPr>
      <w:rPr>
        <w:rFonts w:ascii="Symbol" w:eastAsia="Symbol" w:hAnsi="Symbol" w:cs="Symbol" w:hint="default"/>
        <w:color w:val="231F20"/>
        <w:w w:val="100"/>
        <w:sz w:val="14"/>
        <w:szCs w:val="14"/>
      </w:rPr>
    </w:lvl>
    <w:lvl w:ilvl="1" w:tplc="BF825976">
      <w:numFmt w:val="bullet"/>
      <w:lvlText w:val="•"/>
      <w:lvlJc w:val="left"/>
      <w:pPr>
        <w:ind w:left="426" w:hanging="100"/>
      </w:pPr>
      <w:rPr>
        <w:rFonts w:hint="default"/>
      </w:rPr>
    </w:lvl>
    <w:lvl w:ilvl="2" w:tplc="9D78A764">
      <w:numFmt w:val="bullet"/>
      <w:lvlText w:val="•"/>
      <w:lvlJc w:val="left"/>
      <w:pPr>
        <w:ind w:left="692" w:hanging="100"/>
      </w:pPr>
      <w:rPr>
        <w:rFonts w:hint="default"/>
      </w:rPr>
    </w:lvl>
    <w:lvl w:ilvl="3" w:tplc="482AD49E">
      <w:numFmt w:val="bullet"/>
      <w:lvlText w:val="•"/>
      <w:lvlJc w:val="left"/>
      <w:pPr>
        <w:ind w:left="959" w:hanging="100"/>
      </w:pPr>
      <w:rPr>
        <w:rFonts w:hint="default"/>
      </w:rPr>
    </w:lvl>
    <w:lvl w:ilvl="4" w:tplc="4E6E21DC">
      <w:numFmt w:val="bullet"/>
      <w:lvlText w:val="•"/>
      <w:lvlJc w:val="left"/>
      <w:pPr>
        <w:ind w:left="1225" w:hanging="100"/>
      </w:pPr>
      <w:rPr>
        <w:rFonts w:hint="default"/>
      </w:rPr>
    </w:lvl>
    <w:lvl w:ilvl="5" w:tplc="7B200CBC">
      <w:numFmt w:val="bullet"/>
      <w:lvlText w:val="•"/>
      <w:lvlJc w:val="left"/>
      <w:pPr>
        <w:ind w:left="1492" w:hanging="100"/>
      </w:pPr>
      <w:rPr>
        <w:rFonts w:hint="default"/>
      </w:rPr>
    </w:lvl>
    <w:lvl w:ilvl="6" w:tplc="F14230EC">
      <w:numFmt w:val="bullet"/>
      <w:lvlText w:val="•"/>
      <w:lvlJc w:val="left"/>
      <w:pPr>
        <w:ind w:left="1758" w:hanging="100"/>
      </w:pPr>
      <w:rPr>
        <w:rFonts w:hint="default"/>
      </w:rPr>
    </w:lvl>
    <w:lvl w:ilvl="7" w:tplc="3FDC581E">
      <w:numFmt w:val="bullet"/>
      <w:lvlText w:val="•"/>
      <w:lvlJc w:val="left"/>
      <w:pPr>
        <w:ind w:left="2024" w:hanging="100"/>
      </w:pPr>
      <w:rPr>
        <w:rFonts w:hint="default"/>
      </w:rPr>
    </w:lvl>
    <w:lvl w:ilvl="8" w:tplc="0868E3C4">
      <w:numFmt w:val="bullet"/>
      <w:lvlText w:val="•"/>
      <w:lvlJc w:val="left"/>
      <w:pPr>
        <w:ind w:left="2291" w:hanging="100"/>
      </w:pPr>
      <w:rPr>
        <w:rFonts w:hint="default"/>
      </w:rPr>
    </w:lvl>
  </w:abstractNum>
  <w:abstractNum w:abstractNumId="1664" w15:restartNumberingAfterBreak="0">
    <w:nsid w:val="69250F84"/>
    <w:multiLevelType w:val="hybridMultilevel"/>
    <w:tmpl w:val="C584E01A"/>
    <w:lvl w:ilvl="0" w:tplc="F1AC0E50">
      <w:numFmt w:val="bullet"/>
      <w:lvlText w:val=""/>
      <w:lvlJc w:val="left"/>
      <w:pPr>
        <w:ind w:left="157" w:hanging="100"/>
      </w:pPr>
      <w:rPr>
        <w:rFonts w:ascii="Symbol" w:eastAsia="Symbol" w:hAnsi="Symbol" w:cs="Symbol" w:hint="default"/>
        <w:color w:val="231F20"/>
        <w:w w:val="100"/>
        <w:sz w:val="14"/>
        <w:szCs w:val="14"/>
      </w:rPr>
    </w:lvl>
    <w:lvl w:ilvl="1" w:tplc="6BE81E34">
      <w:numFmt w:val="bullet"/>
      <w:lvlText w:val="•"/>
      <w:lvlJc w:val="left"/>
      <w:pPr>
        <w:ind w:left="426" w:hanging="100"/>
      </w:pPr>
      <w:rPr>
        <w:rFonts w:hint="default"/>
      </w:rPr>
    </w:lvl>
    <w:lvl w:ilvl="2" w:tplc="3894EAA4">
      <w:numFmt w:val="bullet"/>
      <w:lvlText w:val="•"/>
      <w:lvlJc w:val="left"/>
      <w:pPr>
        <w:ind w:left="692" w:hanging="100"/>
      </w:pPr>
      <w:rPr>
        <w:rFonts w:hint="default"/>
      </w:rPr>
    </w:lvl>
    <w:lvl w:ilvl="3" w:tplc="2AEC1414">
      <w:numFmt w:val="bullet"/>
      <w:lvlText w:val="•"/>
      <w:lvlJc w:val="left"/>
      <w:pPr>
        <w:ind w:left="959" w:hanging="100"/>
      </w:pPr>
      <w:rPr>
        <w:rFonts w:hint="default"/>
      </w:rPr>
    </w:lvl>
    <w:lvl w:ilvl="4" w:tplc="A7B42C40">
      <w:numFmt w:val="bullet"/>
      <w:lvlText w:val="•"/>
      <w:lvlJc w:val="left"/>
      <w:pPr>
        <w:ind w:left="1225" w:hanging="100"/>
      </w:pPr>
      <w:rPr>
        <w:rFonts w:hint="default"/>
      </w:rPr>
    </w:lvl>
    <w:lvl w:ilvl="5" w:tplc="17A202FC">
      <w:numFmt w:val="bullet"/>
      <w:lvlText w:val="•"/>
      <w:lvlJc w:val="left"/>
      <w:pPr>
        <w:ind w:left="1492" w:hanging="100"/>
      </w:pPr>
      <w:rPr>
        <w:rFonts w:hint="default"/>
      </w:rPr>
    </w:lvl>
    <w:lvl w:ilvl="6" w:tplc="B73CE86C">
      <w:numFmt w:val="bullet"/>
      <w:lvlText w:val="•"/>
      <w:lvlJc w:val="left"/>
      <w:pPr>
        <w:ind w:left="1758" w:hanging="100"/>
      </w:pPr>
      <w:rPr>
        <w:rFonts w:hint="default"/>
      </w:rPr>
    </w:lvl>
    <w:lvl w:ilvl="7" w:tplc="30AA68B8">
      <w:numFmt w:val="bullet"/>
      <w:lvlText w:val="•"/>
      <w:lvlJc w:val="left"/>
      <w:pPr>
        <w:ind w:left="2024" w:hanging="100"/>
      </w:pPr>
      <w:rPr>
        <w:rFonts w:hint="default"/>
      </w:rPr>
    </w:lvl>
    <w:lvl w:ilvl="8" w:tplc="F048A9EA">
      <w:numFmt w:val="bullet"/>
      <w:lvlText w:val="•"/>
      <w:lvlJc w:val="left"/>
      <w:pPr>
        <w:ind w:left="2291" w:hanging="100"/>
      </w:pPr>
      <w:rPr>
        <w:rFonts w:hint="default"/>
      </w:rPr>
    </w:lvl>
  </w:abstractNum>
  <w:abstractNum w:abstractNumId="1665" w15:restartNumberingAfterBreak="0">
    <w:nsid w:val="695B19DC"/>
    <w:multiLevelType w:val="hybridMultilevel"/>
    <w:tmpl w:val="6A88637E"/>
    <w:lvl w:ilvl="0" w:tplc="361C43FE">
      <w:numFmt w:val="bullet"/>
      <w:lvlText w:val=""/>
      <w:lvlJc w:val="left"/>
      <w:pPr>
        <w:ind w:left="157" w:hanging="100"/>
      </w:pPr>
      <w:rPr>
        <w:rFonts w:ascii="Symbol" w:eastAsia="Symbol" w:hAnsi="Symbol" w:cs="Symbol" w:hint="default"/>
        <w:color w:val="231F20"/>
        <w:w w:val="100"/>
        <w:sz w:val="14"/>
        <w:szCs w:val="14"/>
      </w:rPr>
    </w:lvl>
    <w:lvl w:ilvl="1" w:tplc="F5AA11CE">
      <w:numFmt w:val="bullet"/>
      <w:lvlText w:val="•"/>
      <w:lvlJc w:val="left"/>
      <w:pPr>
        <w:ind w:left="426" w:hanging="100"/>
      </w:pPr>
      <w:rPr>
        <w:rFonts w:hint="default"/>
      </w:rPr>
    </w:lvl>
    <w:lvl w:ilvl="2" w:tplc="6EBC7D2E">
      <w:numFmt w:val="bullet"/>
      <w:lvlText w:val="•"/>
      <w:lvlJc w:val="left"/>
      <w:pPr>
        <w:ind w:left="692" w:hanging="100"/>
      </w:pPr>
      <w:rPr>
        <w:rFonts w:hint="default"/>
      </w:rPr>
    </w:lvl>
    <w:lvl w:ilvl="3" w:tplc="DE32CAEE">
      <w:numFmt w:val="bullet"/>
      <w:lvlText w:val="•"/>
      <w:lvlJc w:val="left"/>
      <w:pPr>
        <w:ind w:left="959" w:hanging="100"/>
      </w:pPr>
      <w:rPr>
        <w:rFonts w:hint="default"/>
      </w:rPr>
    </w:lvl>
    <w:lvl w:ilvl="4" w:tplc="923C8076">
      <w:numFmt w:val="bullet"/>
      <w:lvlText w:val="•"/>
      <w:lvlJc w:val="left"/>
      <w:pPr>
        <w:ind w:left="1225" w:hanging="100"/>
      </w:pPr>
      <w:rPr>
        <w:rFonts w:hint="default"/>
      </w:rPr>
    </w:lvl>
    <w:lvl w:ilvl="5" w:tplc="AB2E6DD8">
      <w:numFmt w:val="bullet"/>
      <w:lvlText w:val="•"/>
      <w:lvlJc w:val="left"/>
      <w:pPr>
        <w:ind w:left="1492" w:hanging="100"/>
      </w:pPr>
      <w:rPr>
        <w:rFonts w:hint="default"/>
      </w:rPr>
    </w:lvl>
    <w:lvl w:ilvl="6" w:tplc="878222CE">
      <w:numFmt w:val="bullet"/>
      <w:lvlText w:val="•"/>
      <w:lvlJc w:val="left"/>
      <w:pPr>
        <w:ind w:left="1758" w:hanging="100"/>
      </w:pPr>
      <w:rPr>
        <w:rFonts w:hint="default"/>
      </w:rPr>
    </w:lvl>
    <w:lvl w:ilvl="7" w:tplc="A0C2C76E">
      <w:numFmt w:val="bullet"/>
      <w:lvlText w:val="•"/>
      <w:lvlJc w:val="left"/>
      <w:pPr>
        <w:ind w:left="2024" w:hanging="100"/>
      </w:pPr>
      <w:rPr>
        <w:rFonts w:hint="default"/>
      </w:rPr>
    </w:lvl>
    <w:lvl w:ilvl="8" w:tplc="7480D4B0">
      <w:numFmt w:val="bullet"/>
      <w:lvlText w:val="•"/>
      <w:lvlJc w:val="left"/>
      <w:pPr>
        <w:ind w:left="2291" w:hanging="100"/>
      </w:pPr>
      <w:rPr>
        <w:rFonts w:hint="default"/>
      </w:rPr>
    </w:lvl>
  </w:abstractNum>
  <w:abstractNum w:abstractNumId="1666" w15:restartNumberingAfterBreak="0">
    <w:nsid w:val="696342F2"/>
    <w:multiLevelType w:val="hybridMultilevel"/>
    <w:tmpl w:val="0FA0DB60"/>
    <w:lvl w:ilvl="0" w:tplc="86F03176">
      <w:numFmt w:val="bullet"/>
      <w:lvlText w:val=""/>
      <w:lvlJc w:val="left"/>
      <w:pPr>
        <w:ind w:left="156" w:hanging="100"/>
      </w:pPr>
      <w:rPr>
        <w:rFonts w:ascii="Symbol" w:eastAsia="Symbol" w:hAnsi="Symbol" w:cs="Symbol" w:hint="default"/>
        <w:color w:val="231F20"/>
        <w:w w:val="100"/>
        <w:sz w:val="14"/>
        <w:szCs w:val="14"/>
      </w:rPr>
    </w:lvl>
    <w:lvl w:ilvl="1" w:tplc="E7C89A2C">
      <w:numFmt w:val="bullet"/>
      <w:lvlText w:val="•"/>
      <w:lvlJc w:val="left"/>
      <w:pPr>
        <w:ind w:left="426" w:hanging="100"/>
      </w:pPr>
      <w:rPr>
        <w:rFonts w:hint="default"/>
      </w:rPr>
    </w:lvl>
    <w:lvl w:ilvl="2" w:tplc="F546FFD4">
      <w:numFmt w:val="bullet"/>
      <w:lvlText w:val="•"/>
      <w:lvlJc w:val="left"/>
      <w:pPr>
        <w:ind w:left="692" w:hanging="100"/>
      </w:pPr>
      <w:rPr>
        <w:rFonts w:hint="default"/>
      </w:rPr>
    </w:lvl>
    <w:lvl w:ilvl="3" w:tplc="185018E6">
      <w:numFmt w:val="bullet"/>
      <w:lvlText w:val="•"/>
      <w:lvlJc w:val="left"/>
      <w:pPr>
        <w:ind w:left="959" w:hanging="100"/>
      </w:pPr>
      <w:rPr>
        <w:rFonts w:hint="default"/>
      </w:rPr>
    </w:lvl>
    <w:lvl w:ilvl="4" w:tplc="7C0658D8">
      <w:numFmt w:val="bullet"/>
      <w:lvlText w:val="•"/>
      <w:lvlJc w:val="left"/>
      <w:pPr>
        <w:ind w:left="1225" w:hanging="100"/>
      </w:pPr>
      <w:rPr>
        <w:rFonts w:hint="default"/>
      </w:rPr>
    </w:lvl>
    <w:lvl w:ilvl="5" w:tplc="E28CA28E">
      <w:numFmt w:val="bullet"/>
      <w:lvlText w:val="•"/>
      <w:lvlJc w:val="left"/>
      <w:pPr>
        <w:ind w:left="1492" w:hanging="100"/>
      </w:pPr>
      <w:rPr>
        <w:rFonts w:hint="default"/>
      </w:rPr>
    </w:lvl>
    <w:lvl w:ilvl="6" w:tplc="9FB6962A">
      <w:numFmt w:val="bullet"/>
      <w:lvlText w:val="•"/>
      <w:lvlJc w:val="left"/>
      <w:pPr>
        <w:ind w:left="1758" w:hanging="100"/>
      </w:pPr>
      <w:rPr>
        <w:rFonts w:hint="default"/>
      </w:rPr>
    </w:lvl>
    <w:lvl w:ilvl="7" w:tplc="5BE2741A">
      <w:numFmt w:val="bullet"/>
      <w:lvlText w:val="•"/>
      <w:lvlJc w:val="left"/>
      <w:pPr>
        <w:ind w:left="2024" w:hanging="100"/>
      </w:pPr>
      <w:rPr>
        <w:rFonts w:hint="default"/>
      </w:rPr>
    </w:lvl>
    <w:lvl w:ilvl="8" w:tplc="926E0450">
      <w:numFmt w:val="bullet"/>
      <w:lvlText w:val="•"/>
      <w:lvlJc w:val="left"/>
      <w:pPr>
        <w:ind w:left="2291" w:hanging="100"/>
      </w:pPr>
      <w:rPr>
        <w:rFonts w:hint="default"/>
      </w:rPr>
    </w:lvl>
  </w:abstractNum>
  <w:abstractNum w:abstractNumId="1667" w15:restartNumberingAfterBreak="0">
    <w:nsid w:val="69646DA7"/>
    <w:multiLevelType w:val="hybridMultilevel"/>
    <w:tmpl w:val="01D4A4CE"/>
    <w:lvl w:ilvl="0" w:tplc="25BE4184">
      <w:numFmt w:val="bullet"/>
      <w:lvlText w:val=""/>
      <w:lvlJc w:val="left"/>
      <w:pPr>
        <w:ind w:left="156" w:hanging="100"/>
      </w:pPr>
      <w:rPr>
        <w:rFonts w:ascii="Symbol" w:eastAsia="Symbol" w:hAnsi="Symbol" w:cs="Symbol" w:hint="default"/>
        <w:color w:val="231F20"/>
        <w:w w:val="100"/>
        <w:sz w:val="14"/>
        <w:szCs w:val="14"/>
      </w:rPr>
    </w:lvl>
    <w:lvl w:ilvl="1" w:tplc="D512988E">
      <w:numFmt w:val="bullet"/>
      <w:lvlText w:val="•"/>
      <w:lvlJc w:val="left"/>
      <w:pPr>
        <w:ind w:left="426" w:hanging="100"/>
      </w:pPr>
      <w:rPr>
        <w:rFonts w:hint="default"/>
      </w:rPr>
    </w:lvl>
    <w:lvl w:ilvl="2" w:tplc="1CFAF680">
      <w:numFmt w:val="bullet"/>
      <w:lvlText w:val="•"/>
      <w:lvlJc w:val="left"/>
      <w:pPr>
        <w:ind w:left="692" w:hanging="100"/>
      </w:pPr>
      <w:rPr>
        <w:rFonts w:hint="default"/>
      </w:rPr>
    </w:lvl>
    <w:lvl w:ilvl="3" w:tplc="142E74A2">
      <w:numFmt w:val="bullet"/>
      <w:lvlText w:val="•"/>
      <w:lvlJc w:val="left"/>
      <w:pPr>
        <w:ind w:left="959" w:hanging="100"/>
      </w:pPr>
      <w:rPr>
        <w:rFonts w:hint="default"/>
      </w:rPr>
    </w:lvl>
    <w:lvl w:ilvl="4" w:tplc="C98A6F16">
      <w:numFmt w:val="bullet"/>
      <w:lvlText w:val="•"/>
      <w:lvlJc w:val="left"/>
      <w:pPr>
        <w:ind w:left="1225" w:hanging="100"/>
      </w:pPr>
      <w:rPr>
        <w:rFonts w:hint="default"/>
      </w:rPr>
    </w:lvl>
    <w:lvl w:ilvl="5" w:tplc="42E01AE2">
      <w:numFmt w:val="bullet"/>
      <w:lvlText w:val="•"/>
      <w:lvlJc w:val="left"/>
      <w:pPr>
        <w:ind w:left="1492" w:hanging="100"/>
      </w:pPr>
      <w:rPr>
        <w:rFonts w:hint="default"/>
      </w:rPr>
    </w:lvl>
    <w:lvl w:ilvl="6" w:tplc="D602C928">
      <w:numFmt w:val="bullet"/>
      <w:lvlText w:val="•"/>
      <w:lvlJc w:val="left"/>
      <w:pPr>
        <w:ind w:left="1758" w:hanging="100"/>
      </w:pPr>
      <w:rPr>
        <w:rFonts w:hint="default"/>
      </w:rPr>
    </w:lvl>
    <w:lvl w:ilvl="7" w:tplc="A3687ECE">
      <w:numFmt w:val="bullet"/>
      <w:lvlText w:val="•"/>
      <w:lvlJc w:val="left"/>
      <w:pPr>
        <w:ind w:left="2024" w:hanging="100"/>
      </w:pPr>
      <w:rPr>
        <w:rFonts w:hint="default"/>
      </w:rPr>
    </w:lvl>
    <w:lvl w:ilvl="8" w:tplc="2D5EFD24">
      <w:numFmt w:val="bullet"/>
      <w:lvlText w:val="•"/>
      <w:lvlJc w:val="left"/>
      <w:pPr>
        <w:ind w:left="2291" w:hanging="100"/>
      </w:pPr>
      <w:rPr>
        <w:rFonts w:hint="default"/>
      </w:rPr>
    </w:lvl>
  </w:abstractNum>
  <w:abstractNum w:abstractNumId="1668" w15:restartNumberingAfterBreak="0">
    <w:nsid w:val="696C1EC5"/>
    <w:multiLevelType w:val="hybridMultilevel"/>
    <w:tmpl w:val="64FC9F54"/>
    <w:lvl w:ilvl="0" w:tplc="E786BA70">
      <w:start w:val="1"/>
      <w:numFmt w:val="decimal"/>
      <w:lvlText w:val="%1."/>
      <w:lvlJc w:val="left"/>
      <w:pPr>
        <w:ind w:left="677" w:hanging="180"/>
        <w:jc w:val="left"/>
      </w:pPr>
      <w:rPr>
        <w:rFonts w:ascii="Times New Roman" w:eastAsia="Times New Roman" w:hAnsi="Times New Roman" w:cs="Times New Roman" w:hint="default"/>
        <w:color w:val="231F20"/>
        <w:spacing w:val="-14"/>
        <w:w w:val="100"/>
        <w:sz w:val="18"/>
        <w:szCs w:val="18"/>
      </w:rPr>
    </w:lvl>
    <w:lvl w:ilvl="1" w:tplc="EF18FF24">
      <w:numFmt w:val="bullet"/>
      <w:lvlText w:val="•"/>
      <w:lvlJc w:val="left"/>
      <w:pPr>
        <w:ind w:left="1690" w:hanging="180"/>
      </w:pPr>
      <w:rPr>
        <w:rFonts w:hint="default"/>
      </w:rPr>
    </w:lvl>
    <w:lvl w:ilvl="2" w:tplc="8CBCAE30">
      <w:numFmt w:val="bullet"/>
      <w:lvlText w:val="•"/>
      <w:lvlJc w:val="left"/>
      <w:pPr>
        <w:ind w:left="2701" w:hanging="180"/>
      </w:pPr>
      <w:rPr>
        <w:rFonts w:hint="default"/>
      </w:rPr>
    </w:lvl>
    <w:lvl w:ilvl="3" w:tplc="D46CBE94">
      <w:numFmt w:val="bullet"/>
      <w:lvlText w:val="•"/>
      <w:lvlJc w:val="left"/>
      <w:pPr>
        <w:ind w:left="3711" w:hanging="180"/>
      </w:pPr>
      <w:rPr>
        <w:rFonts w:hint="default"/>
      </w:rPr>
    </w:lvl>
    <w:lvl w:ilvl="4" w:tplc="C62AB85C">
      <w:numFmt w:val="bullet"/>
      <w:lvlText w:val="•"/>
      <w:lvlJc w:val="left"/>
      <w:pPr>
        <w:ind w:left="4722" w:hanging="180"/>
      </w:pPr>
      <w:rPr>
        <w:rFonts w:hint="default"/>
      </w:rPr>
    </w:lvl>
    <w:lvl w:ilvl="5" w:tplc="45C2A122">
      <w:numFmt w:val="bullet"/>
      <w:lvlText w:val="•"/>
      <w:lvlJc w:val="left"/>
      <w:pPr>
        <w:ind w:left="5732" w:hanging="180"/>
      </w:pPr>
      <w:rPr>
        <w:rFonts w:hint="default"/>
      </w:rPr>
    </w:lvl>
    <w:lvl w:ilvl="6" w:tplc="31CE3BA2">
      <w:numFmt w:val="bullet"/>
      <w:lvlText w:val="•"/>
      <w:lvlJc w:val="left"/>
      <w:pPr>
        <w:ind w:left="6743" w:hanging="180"/>
      </w:pPr>
      <w:rPr>
        <w:rFonts w:hint="default"/>
      </w:rPr>
    </w:lvl>
    <w:lvl w:ilvl="7" w:tplc="486EF73C">
      <w:numFmt w:val="bullet"/>
      <w:lvlText w:val="•"/>
      <w:lvlJc w:val="left"/>
      <w:pPr>
        <w:ind w:left="7753" w:hanging="180"/>
      </w:pPr>
      <w:rPr>
        <w:rFonts w:hint="default"/>
      </w:rPr>
    </w:lvl>
    <w:lvl w:ilvl="8" w:tplc="39B2D630">
      <w:numFmt w:val="bullet"/>
      <w:lvlText w:val="•"/>
      <w:lvlJc w:val="left"/>
      <w:pPr>
        <w:ind w:left="8764" w:hanging="180"/>
      </w:pPr>
      <w:rPr>
        <w:rFonts w:hint="default"/>
      </w:rPr>
    </w:lvl>
  </w:abstractNum>
  <w:abstractNum w:abstractNumId="1669" w15:restartNumberingAfterBreak="0">
    <w:nsid w:val="69757578"/>
    <w:multiLevelType w:val="hybridMultilevel"/>
    <w:tmpl w:val="7A825D96"/>
    <w:lvl w:ilvl="0" w:tplc="CC06784E">
      <w:numFmt w:val="bullet"/>
      <w:lvlText w:val=""/>
      <w:lvlJc w:val="left"/>
      <w:pPr>
        <w:ind w:left="156" w:hanging="100"/>
      </w:pPr>
      <w:rPr>
        <w:rFonts w:ascii="Symbol" w:eastAsia="Symbol" w:hAnsi="Symbol" w:cs="Symbol" w:hint="default"/>
        <w:color w:val="231F20"/>
        <w:w w:val="100"/>
        <w:sz w:val="14"/>
        <w:szCs w:val="14"/>
      </w:rPr>
    </w:lvl>
    <w:lvl w:ilvl="1" w:tplc="E3C6A9B4">
      <w:numFmt w:val="bullet"/>
      <w:lvlText w:val="•"/>
      <w:lvlJc w:val="left"/>
      <w:pPr>
        <w:ind w:left="398" w:hanging="100"/>
      </w:pPr>
      <w:rPr>
        <w:rFonts w:hint="default"/>
      </w:rPr>
    </w:lvl>
    <w:lvl w:ilvl="2" w:tplc="D0ECA094">
      <w:numFmt w:val="bullet"/>
      <w:lvlText w:val="•"/>
      <w:lvlJc w:val="left"/>
      <w:pPr>
        <w:ind w:left="636" w:hanging="100"/>
      </w:pPr>
      <w:rPr>
        <w:rFonts w:hint="default"/>
      </w:rPr>
    </w:lvl>
    <w:lvl w:ilvl="3" w:tplc="BC16419E">
      <w:numFmt w:val="bullet"/>
      <w:lvlText w:val="•"/>
      <w:lvlJc w:val="left"/>
      <w:pPr>
        <w:ind w:left="874" w:hanging="100"/>
      </w:pPr>
      <w:rPr>
        <w:rFonts w:hint="default"/>
      </w:rPr>
    </w:lvl>
    <w:lvl w:ilvl="4" w:tplc="CD584F90">
      <w:numFmt w:val="bullet"/>
      <w:lvlText w:val="•"/>
      <w:lvlJc w:val="left"/>
      <w:pPr>
        <w:ind w:left="1112" w:hanging="100"/>
      </w:pPr>
      <w:rPr>
        <w:rFonts w:hint="default"/>
      </w:rPr>
    </w:lvl>
    <w:lvl w:ilvl="5" w:tplc="D8E0B834">
      <w:numFmt w:val="bullet"/>
      <w:lvlText w:val="•"/>
      <w:lvlJc w:val="left"/>
      <w:pPr>
        <w:ind w:left="1350" w:hanging="100"/>
      </w:pPr>
      <w:rPr>
        <w:rFonts w:hint="default"/>
      </w:rPr>
    </w:lvl>
    <w:lvl w:ilvl="6" w:tplc="45EA9042">
      <w:numFmt w:val="bullet"/>
      <w:lvlText w:val="•"/>
      <w:lvlJc w:val="left"/>
      <w:pPr>
        <w:ind w:left="1588" w:hanging="100"/>
      </w:pPr>
      <w:rPr>
        <w:rFonts w:hint="default"/>
      </w:rPr>
    </w:lvl>
    <w:lvl w:ilvl="7" w:tplc="B88EB520">
      <w:numFmt w:val="bullet"/>
      <w:lvlText w:val="•"/>
      <w:lvlJc w:val="left"/>
      <w:pPr>
        <w:ind w:left="1826" w:hanging="100"/>
      </w:pPr>
      <w:rPr>
        <w:rFonts w:hint="default"/>
      </w:rPr>
    </w:lvl>
    <w:lvl w:ilvl="8" w:tplc="169255CE">
      <w:numFmt w:val="bullet"/>
      <w:lvlText w:val="•"/>
      <w:lvlJc w:val="left"/>
      <w:pPr>
        <w:ind w:left="2064" w:hanging="100"/>
      </w:pPr>
      <w:rPr>
        <w:rFonts w:hint="default"/>
      </w:rPr>
    </w:lvl>
  </w:abstractNum>
  <w:abstractNum w:abstractNumId="1670" w15:restartNumberingAfterBreak="0">
    <w:nsid w:val="698024B2"/>
    <w:multiLevelType w:val="hybridMultilevel"/>
    <w:tmpl w:val="EA2892BC"/>
    <w:lvl w:ilvl="0" w:tplc="BB486874">
      <w:numFmt w:val="bullet"/>
      <w:lvlText w:val=""/>
      <w:lvlJc w:val="left"/>
      <w:pPr>
        <w:ind w:left="156" w:hanging="100"/>
      </w:pPr>
      <w:rPr>
        <w:rFonts w:ascii="Symbol" w:eastAsia="Symbol" w:hAnsi="Symbol" w:cs="Symbol" w:hint="default"/>
        <w:color w:val="231F20"/>
        <w:w w:val="100"/>
        <w:sz w:val="14"/>
        <w:szCs w:val="14"/>
      </w:rPr>
    </w:lvl>
    <w:lvl w:ilvl="1" w:tplc="8780BB7E">
      <w:numFmt w:val="bullet"/>
      <w:lvlText w:val="•"/>
      <w:lvlJc w:val="left"/>
      <w:pPr>
        <w:ind w:left="398" w:hanging="100"/>
      </w:pPr>
      <w:rPr>
        <w:rFonts w:hint="default"/>
      </w:rPr>
    </w:lvl>
    <w:lvl w:ilvl="2" w:tplc="7C2E75DE">
      <w:numFmt w:val="bullet"/>
      <w:lvlText w:val="•"/>
      <w:lvlJc w:val="left"/>
      <w:pPr>
        <w:ind w:left="636" w:hanging="100"/>
      </w:pPr>
      <w:rPr>
        <w:rFonts w:hint="default"/>
      </w:rPr>
    </w:lvl>
    <w:lvl w:ilvl="3" w:tplc="233E5E32">
      <w:numFmt w:val="bullet"/>
      <w:lvlText w:val="•"/>
      <w:lvlJc w:val="left"/>
      <w:pPr>
        <w:ind w:left="874" w:hanging="100"/>
      </w:pPr>
      <w:rPr>
        <w:rFonts w:hint="default"/>
      </w:rPr>
    </w:lvl>
    <w:lvl w:ilvl="4" w:tplc="2DCC3D96">
      <w:numFmt w:val="bullet"/>
      <w:lvlText w:val="•"/>
      <w:lvlJc w:val="left"/>
      <w:pPr>
        <w:ind w:left="1112" w:hanging="100"/>
      </w:pPr>
      <w:rPr>
        <w:rFonts w:hint="default"/>
      </w:rPr>
    </w:lvl>
    <w:lvl w:ilvl="5" w:tplc="0A20BD20">
      <w:numFmt w:val="bullet"/>
      <w:lvlText w:val="•"/>
      <w:lvlJc w:val="left"/>
      <w:pPr>
        <w:ind w:left="1350" w:hanging="100"/>
      </w:pPr>
      <w:rPr>
        <w:rFonts w:hint="default"/>
      </w:rPr>
    </w:lvl>
    <w:lvl w:ilvl="6" w:tplc="F06CF218">
      <w:numFmt w:val="bullet"/>
      <w:lvlText w:val="•"/>
      <w:lvlJc w:val="left"/>
      <w:pPr>
        <w:ind w:left="1588" w:hanging="100"/>
      </w:pPr>
      <w:rPr>
        <w:rFonts w:hint="default"/>
      </w:rPr>
    </w:lvl>
    <w:lvl w:ilvl="7" w:tplc="25E894F8">
      <w:numFmt w:val="bullet"/>
      <w:lvlText w:val="•"/>
      <w:lvlJc w:val="left"/>
      <w:pPr>
        <w:ind w:left="1826" w:hanging="100"/>
      </w:pPr>
      <w:rPr>
        <w:rFonts w:hint="default"/>
      </w:rPr>
    </w:lvl>
    <w:lvl w:ilvl="8" w:tplc="529C8E78">
      <w:numFmt w:val="bullet"/>
      <w:lvlText w:val="•"/>
      <w:lvlJc w:val="left"/>
      <w:pPr>
        <w:ind w:left="2064" w:hanging="100"/>
      </w:pPr>
      <w:rPr>
        <w:rFonts w:hint="default"/>
      </w:rPr>
    </w:lvl>
  </w:abstractNum>
  <w:abstractNum w:abstractNumId="1671" w15:restartNumberingAfterBreak="0">
    <w:nsid w:val="69C32238"/>
    <w:multiLevelType w:val="hybridMultilevel"/>
    <w:tmpl w:val="F620D7FA"/>
    <w:lvl w:ilvl="0" w:tplc="48BCAC92">
      <w:numFmt w:val="bullet"/>
      <w:lvlText w:val=""/>
      <w:lvlJc w:val="left"/>
      <w:pPr>
        <w:ind w:left="156" w:hanging="100"/>
      </w:pPr>
      <w:rPr>
        <w:rFonts w:ascii="Symbol" w:eastAsia="Symbol" w:hAnsi="Symbol" w:cs="Symbol" w:hint="default"/>
        <w:color w:val="231F20"/>
        <w:w w:val="100"/>
        <w:sz w:val="14"/>
        <w:szCs w:val="14"/>
      </w:rPr>
    </w:lvl>
    <w:lvl w:ilvl="1" w:tplc="FD4633CC">
      <w:numFmt w:val="bullet"/>
      <w:lvlText w:val="•"/>
      <w:lvlJc w:val="left"/>
      <w:pPr>
        <w:ind w:left="301" w:hanging="100"/>
      </w:pPr>
      <w:rPr>
        <w:rFonts w:hint="default"/>
      </w:rPr>
    </w:lvl>
    <w:lvl w:ilvl="2" w:tplc="70DC3516">
      <w:numFmt w:val="bullet"/>
      <w:lvlText w:val="•"/>
      <w:lvlJc w:val="left"/>
      <w:pPr>
        <w:ind w:left="443" w:hanging="100"/>
      </w:pPr>
      <w:rPr>
        <w:rFonts w:hint="default"/>
      </w:rPr>
    </w:lvl>
    <w:lvl w:ilvl="3" w:tplc="D986A55E">
      <w:numFmt w:val="bullet"/>
      <w:lvlText w:val="•"/>
      <w:lvlJc w:val="left"/>
      <w:pPr>
        <w:ind w:left="585" w:hanging="100"/>
      </w:pPr>
      <w:rPr>
        <w:rFonts w:hint="default"/>
      </w:rPr>
    </w:lvl>
    <w:lvl w:ilvl="4" w:tplc="B240C8D0">
      <w:numFmt w:val="bullet"/>
      <w:lvlText w:val="•"/>
      <w:lvlJc w:val="left"/>
      <w:pPr>
        <w:ind w:left="726" w:hanging="100"/>
      </w:pPr>
      <w:rPr>
        <w:rFonts w:hint="default"/>
      </w:rPr>
    </w:lvl>
    <w:lvl w:ilvl="5" w:tplc="6B6EE452">
      <w:numFmt w:val="bullet"/>
      <w:lvlText w:val="•"/>
      <w:lvlJc w:val="left"/>
      <w:pPr>
        <w:ind w:left="868" w:hanging="100"/>
      </w:pPr>
      <w:rPr>
        <w:rFonts w:hint="default"/>
      </w:rPr>
    </w:lvl>
    <w:lvl w:ilvl="6" w:tplc="BE1854AC">
      <w:numFmt w:val="bullet"/>
      <w:lvlText w:val="•"/>
      <w:lvlJc w:val="left"/>
      <w:pPr>
        <w:ind w:left="1010" w:hanging="100"/>
      </w:pPr>
      <w:rPr>
        <w:rFonts w:hint="default"/>
      </w:rPr>
    </w:lvl>
    <w:lvl w:ilvl="7" w:tplc="D1A6469A">
      <w:numFmt w:val="bullet"/>
      <w:lvlText w:val="•"/>
      <w:lvlJc w:val="left"/>
      <w:pPr>
        <w:ind w:left="1151" w:hanging="100"/>
      </w:pPr>
      <w:rPr>
        <w:rFonts w:hint="default"/>
      </w:rPr>
    </w:lvl>
    <w:lvl w:ilvl="8" w:tplc="F5520336">
      <w:numFmt w:val="bullet"/>
      <w:lvlText w:val="•"/>
      <w:lvlJc w:val="left"/>
      <w:pPr>
        <w:ind w:left="1293" w:hanging="100"/>
      </w:pPr>
      <w:rPr>
        <w:rFonts w:hint="default"/>
      </w:rPr>
    </w:lvl>
  </w:abstractNum>
  <w:abstractNum w:abstractNumId="1672" w15:restartNumberingAfterBreak="0">
    <w:nsid w:val="69C74B3F"/>
    <w:multiLevelType w:val="hybridMultilevel"/>
    <w:tmpl w:val="D1BE145C"/>
    <w:lvl w:ilvl="0" w:tplc="72024312">
      <w:numFmt w:val="bullet"/>
      <w:lvlText w:val=""/>
      <w:lvlJc w:val="left"/>
      <w:pPr>
        <w:ind w:left="156" w:hanging="100"/>
      </w:pPr>
      <w:rPr>
        <w:rFonts w:ascii="Symbol" w:eastAsia="Symbol" w:hAnsi="Symbol" w:cs="Symbol" w:hint="default"/>
        <w:color w:val="231F20"/>
        <w:w w:val="100"/>
        <w:sz w:val="14"/>
        <w:szCs w:val="14"/>
      </w:rPr>
    </w:lvl>
    <w:lvl w:ilvl="1" w:tplc="7938FD2A">
      <w:numFmt w:val="bullet"/>
      <w:lvlText w:val="•"/>
      <w:lvlJc w:val="left"/>
      <w:pPr>
        <w:ind w:left="426" w:hanging="100"/>
      </w:pPr>
      <w:rPr>
        <w:rFonts w:hint="default"/>
      </w:rPr>
    </w:lvl>
    <w:lvl w:ilvl="2" w:tplc="BB9CD4EC">
      <w:numFmt w:val="bullet"/>
      <w:lvlText w:val="•"/>
      <w:lvlJc w:val="left"/>
      <w:pPr>
        <w:ind w:left="692" w:hanging="100"/>
      </w:pPr>
      <w:rPr>
        <w:rFonts w:hint="default"/>
      </w:rPr>
    </w:lvl>
    <w:lvl w:ilvl="3" w:tplc="1CA8A768">
      <w:numFmt w:val="bullet"/>
      <w:lvlText w:val="•"/>
      <w:lvlJc w:val="left"/>
      <w:pPr>
        <w:ind w:left="959" w:hanging="100"/>
      </w:pPr>
      <w:rPr>
        <w:rFonts w:hint="default"/>
      </w:rPr>
    </w:lvl>
    <w:lvl w:ilvl="4" w:tplc="B3E606F4">
      <w:numFmt w:val="bullet"/>
      <w:lvlText w:val="•"/>
      <w:lvlJc w:val="left"/>
      <w:pPr>
        <w:ind w:left="1225" w:hanging="100"/>
      </w:pPr>
      <w:rPr>
        <w:rFonts w:hint="default"/>
      </w:rPr>
    </w:lvl>
    <w:lvl w:ilvl="5" w:tplc="36F49D68">
      <w:numFmt w:val="bullet"/>
      <w:lvlText w:val="•"/>
      <w:lvlJc w:val="left"/>
      <w:pPr>
        <w:ind w:left="1492" w:hanging="100"/>
      </w:pPr>
      <w:rPr>
        <w:rFonts w:hint="default"/>
      </w:rPr>
    </w:lvl>
    <w:lvl w:ilvl="6" w:tplc="4080CEA0">
      <w:numFmt w:val="bullet"/>
      <w:lvlText w:val="•"/>
      <w:lvlJc w:val="left"/>
      <w:pPr>
        <w:ind w:left="1758" w:hanging="100"/>
      </w:pPr>
      <w:rPr>
        <w:rFonts w:hint="default"/>
      </w:rPr>
    </w:lvl>
    <w:lvl w:ilvl="7" w:tplc="892CF5EA">
      <w:numFmt w:val="bullet"/>
      <w:lvlText w:val="•"/>
      <w:lvlJc w:val="left"/>
      <w:pPr>
        <w:ind w:left="2024" w:hanging="100"/>
      </w:pPr>
      <w:rPr>
        <w:rFonts w:hint="default"/>
      </w:rPr>
    </w:lvl>
    <w:lvl w:ilvl="8" w:tplc="B038D1CA">
      <w:numFmt w:val="bullet"/>
      <w:lvlText w:val="•"/>
      <w:lvlJc w:val="left"/>
      <w:pPr>
        <w:ind w:left="2291" w:hanging="100"/>
      </w:pPr>
      <w:rPr>
        <w:rFonts w:hint="default"/>
      </w:rPr>
    </w:lvl>
  </w:abstractNum>
  <w:abstractNum w:abstractNumId="1673" w15:restartNumberingAfterBreak="0">
    <w:nsid w:val="6A405DC5"/>
    <w:multiLevelType w:val="hybridMultilevel"/>
    <w:tmpl w:val="40A0A8AA"/>
    <w:lvl w:ilvl="0" w:tplc="1E086036">
      <w:numFmt w:val="bullet"/>
      <w:lvlText w:val=""/>
      <w:lvlJc w:val="left"/>
      <w:pPr>
        <w:ind w:left="156" w:hanging="100"/>
      </w:pPr>
      <w:rPr>
        <w:rFonts w:ascii="Symbol" w:eastAsia="Symbol" w:hAnsi="Symbol" w:cs="Symbol" w:hint="default"/>
        <w:color w:val="231F20"/>
        <w:w w:val="100"/>
        <w:sz w:val="14"/>
        <w:szCs w:val="14"/>
      </w:rPr>
    </w:lvl>
    <w:lvl w:ilvl="1" w:tplc="69DEE256">
      <w:numFmt w:val="bullet"/>
      <w:lvlText w:val="•"/>
      <w:lvlJc w:val="left"/>
      <w:pPr>
        <w:ind w:left="426" w:hanging="100"/>
      </w:pPr>
      <w:rPr>
        <w:rFonts w:hint="default"/>
      </w:rPr>
    </w:lvl>
    <w:lvl w:ilvl="2" w:tplc="AA66A314">
      <w:numFmt w:val="bullet"/>
      <w:lvlText w:val="•"/>
      <w:lvlJc w:val="left"/>
      <w:pPr>
        <w:ind w:left="692" w:hanging="100"/>
      </w:pPr>
      <w:rPr>
        <w:rFonts w:hint="default"/>
      </w:rPr>
    </w:lvl>
    <w:lvl w:ilvl="3" w:tplc="E690DDCA">
      <w:numFmt w:val="bullet"/>
      <w:lvlText w:val="•"/>
      <w:lvlJc w:val="left"/>
      <w:pPr>
        <w:ind w:left="959" w:hanging="100"/>
      </w:pPr>
      <w:rPr>
        <w:rFonts w:hint="default"/>
      </w:rPr>
    </w:lvl>
    <w:lvl w:ilvl="4" w:tplc="33501488">
      <w:numFmt w:val="bullet"/>
      <w:lvlText w:val="•"/>
      <w:lvlJc w:val="left"/>
      <w:pPr>
        <w:ind w:left="1225" w:hanging="100"/>
      </w:pPr>
      <w:rPr>
        <w:rFonts w:hint="default"/>
      </w:rPr>
    </w:lvl>
    <w:lvl w:ilvl="5" w:tplc="F72C07DE">
      <w:numFmt w:val="bullet"/>
      <w:lvlText w:val="•"/>
      <w:lvlJc w:val="left"/>
      <w:pPr>
        <w:ind w:left="1492" w:hanging="100"/>
      </w:pPr>
      <w:rPr>
        <w:rFonts w:hint="default"/>
      </w:rPr>
    </w:lvl>
    <w:lvl w:ilvl="6" w:tplc="49C0B14A">
      <w:numFmt w:val="bullet"/>
      <w:lvlText w:val="•"/>
      <w:lvlJc w:val="left"/>
      <w:pPr>
        <w:ind w:left="1758" w:hanging="100"/>
      </w:pPr>
      <w:rPr>
        <w:rFonts w:hint="default"/>
      </w:rPr>
    </w:lvl>
    <w:lvl w:ilvl="7" w:tplc="E3A0ED0E">
      <w:numFmt w:val="bullet"/>
      <w:lvlText w:val="•"/>
      <w:lvlJc w:val="left"/>
      <w:pPr>
        <w:ind w:left="2024" w:hanging="100"/>
      </w:pPr>
      <w:rPr>
        <w:rFonts w:hint="default"/>
      </w:rPr>
    </w:lvl>
    <w:lvl w:ilvl="8" w:tplc="B98269B0">
      <w:numFmt w:val="bullet"/>
      <w:lvlText w:val="•"/>
      <w:lvlJc w:val="left"/>
      <w:pPr>
        <w:ind w:left="2291" w:hanging="100"/>
      </w:pPr>
      <w:rPr>
        <w:rFonts w:hint="default"/>
      </w:rPr>
    </w:lvl>
  </w:abstractNum>
  <w:abstractNum w:abstractNumId="1674" w15:restartNumberingAfterBreak="0">
    <w:nsid w:val="6A453190"/>
    <w:multiLevelType w:val="hybridMultilevel"/>
    <w:tmpl w:val="2154FCDE"/>
    <w:lvl w:ilvl="0" w:tplc="76ECCCC0">
      <w:numFmt w:val="bullet"/>
      <w:lvlText w:val=""/>
      <w:lvlJc w:val="left"/>
      <w:pPr>
        <w:ind w:left="156" w:hanging="100"/>
      </w:pPr>
      <w:rPr>
        <w:rFonts w:ascii="Symbol" w:eastAsia="Symbol" w:hAnsi="Symbol" w:cs="Symbol" w:hint="default"/>
        <w:color w:val="231F20"/>
        <w:w w:val="100"/>
        <w:sz w:val="14"/>
        <w:szCs w:val="14"/>
      </w:rPr>
    </w:lvl>
    <w:lvl w:ilvl="1" w:tplc="892CD898">
      <w:numFmt w:val="bullet"/>
      <w:lvlText w:val="•"/>
      <w:lvlJc w:val="left"/>
      <w:pPr>
        <w:ind w:left="301" w:hanging="100"/>
      </w:pPr>
      <w:rPr>
        <w:rFonts w:hint="default"/>
      </w:rPr>
    </w:lvl>
    <w:lvl w:ilvl="2" w:tplc="DDD0FDA8">
      <w:numFmt w:val="bullet"/>
      <w:lvlText w:val="•"/>
      <w:lvlJc w:val="left"/>
      <w:pPr>
        <w:ind w:left="443" w:hanging="100"/>
      </w:pPr>
      <w:rPr>
        <w:rFonts w:hint="default"/>
      </w:rPr>
    </w:lvl>
    <w:lvl w:ilvl="3" w:tplc="A6F8ED36">
      <w:numFmt w:val="bullet"/>
      <w:lvlText w:val="•"/>
      <w:lvlJc w:val="left"/>
      <w:pPr>
        <w:ind w:left="585" w:hanging="100"/>
      </w:pPr>
      <w:rPr>
        <w:rFonts w:hint="default"/>
      </w:rPr>
    </w:lvl>
    <w:lvl w:ilvl="4" w:tplc="B71C50AE">
      <w:numFmt w:val="bullet"/>
      <w:lvlText w:val="•"/>
      <w:lvlJc w:val="left"/>
      <w:pPr>
        <w:ind w:left="726" w:hanging="100"/>
      </w:pPr>
      <w:rPr>
        <w:rFonts w:hint="default"/>
      </w:rPr>
    </w:lvl>
    <w:lvl w:ilvl="5" w:tplc="95905846">
      <w:numFmt w:val="bullet"/>
      <w:lvlText w:val="•"/>
      <w:lvlJc w:val="left"/>
      <w:pPr>
        <w:ind w:left="868" w:hanging="100"/>
      </w:pPr>
      <w:rPr>
        <w:rFonts w:hint="default"/>
      </w:rPr>
    </w:lvl>
    <w:lvl w:ilvl="6" w:tplc="F1922BD0">
      <w:numFmt w:val="bullet"/>
      <w:lvlText w:val="•"/>
      <w:lvlJc w:val="left"/>
      <w:pPr>
        <w:ind w:left="1010" w:hanging="100"/>
      </w:pPr>
      <w:rPr>
        <w:rFonts w:hint="default"/>
      </w:rPr>
    </w:lvl>
    <w:lvl w:ilvl="7" w:tplc="1E6A3CB0">
      <w:numFmt w:val="bullet"/>
      <w:lvlText w:val="•"/>
      <w:lvlJc w:val="left"/>
      <w:pPr>
        <w:ind w:left="1151" w:hanging="100"/>
      </w:pPr>
      <w:rPr>
        <w:rFonts w:hint="default"/>
      </w:rPr>
    </w:lvl>
    <w:lvl w:ilvl="8" w:tplc="92125DEE">
      <w:numFmt w:val="bullet"/>
      <w:lvlText w:val="•"/>
      <w:lvlJc w:val="left"/>
      <w:pPr>
        <w:ind w:left="1293" w:hanging="100"/>
      </w:pPr>
      <w:rPr>
        <w:rFonts w:hint="default"/>
      </w:rPr>
    </w:lvl>
  </w:abstractNum>
  <w:abstractNum w:abstractNumId="1675" w15:restartNumberingAfterBreak="0">
    <w:nsid w:val="6A5D501A"/>
    <w:multiLevelType w:val="hybridMultilevel"/>
    <w:tmpl w:val="93BC0444"/>
    <w:lvl w:ilvl="0" w:tplc="E21E2AF4">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1CE6E5E6">
      <w:numFmt w:val="bullet"/>
      <w:lvlText w:val="•"/>
      <w:lvlJc w:val="left"/>
      <w:pPr>
        <w:ind w:left="1528" w:hanging="180"/>
      </w:pPr>
      <w:rPr>
        <w:rFonts w:hint="default"/>
      </w:rPr>
    </w:lvl>
    <w:lvl w:ilvl="2" w:tplc="6666DDAC">
      <w:numFmt w:val="bullet"/>
      <w:lvlText w:val="•"/>
      <w:lvlJc w:val="left"/>
      <w:pPr>
        <w:ind w:left="2557" w:hanging="180"/>
      </w:pPr>
      <w:rPr>
        <w:rFonts w:hint="default"/>
      </w:rPr>
    </w:lvl>
    <w:lvl w:ilvl="3" w:tplc="89586322">
      <w:numFmt w:val="bullet"/>
      <w:lvlText w:val="•"/>
      <w:lvlJc w:val="left"/>
      <w:pPr>
        <w:ind w:left="3585" w:hanging="180"/>
      </w:pPr>
      <w:rPr>
        <w:rFonts w:hint="default"/>
      </w:rPr>
    </w:lvl>
    <w:lvl w:ilvl="4" w:tplc="9F2612AE">
      <w:numFmt w:val="bullet"/>
      <w:lvlText w:val="•"/>
      <w:lvlJc w:val="left"/>
      <w:pPr>
        <w:ind w:left="4614" w:hanging="180"/>
      </w:pPr>
      <w:rPr>
        <w:rFonts w:hint="default"/>
      </w:rPr>
    </w:lvl>
    <w:lvl w:ilvl="5" w:tplc="E694412A">
      <w:numFmt w:val="bullet"/>
      <w:lvlText w:val="•"/>
      <w:lvlJc w:val="left"/>
      <w:pPr>
        <w:ind w:left="5642" w:hanging="180"/>
      </w:pPr>
      <w:rPr>
        <w:rFonts w:hint="default"/>
      </w:rPr>
    </w:lvl>
    <w:lvl w:ilvl="6" w:tplc="3D02FE00">
      <w:numFmt w:val="bullet"/>
      <w:lvlText w:val="•"/>
      <w:lvlJc w:val="left"/>
      <w:pPr>
        <w:ind w:left="6671" w:hanging="180"/>
      </w:pPr>
      <w:rPr>
        <w:rFonts w:hint="default"/>
      </w:rPr>
    </w:lvl>
    <w:lvl w:ilvl="7" w:tplc="D6FAEB66">
      <w:numFmt w:val="bullet"/>
      <w:lvlText w:val="•"/>
      <w:lvlJc w:val="left"/>
      <w:pPr>
        <w:ind w:left="7699" w:hanging="180"/>
      </w:pPr>
      <w:rPr>
        <w:rFonts w:hint="default"/>
      </w:rPr>
    </w:lvl>
    <w:lvl w:ilvl="8" w:tplc="39DE474E">
      <w:numFmt w:val="bullet"/>
      <w:lvlText w:val="•"/>
      <w:lvlJc w:val="left"/>
      <w:pPr>
        <w:ind w:left="8728" w:hanging="180"/>
      </w:pPr>
      <w:rPr>
        <w:rFonts w:hint="default"/>
      </w:rPr>
    </w:lvl>
  </w:abstractNum>
  <w:abstractNum w:abstractNumId="1676" w15:restartNumberingAfterBreak="0">
    <w:nsid w:val="6A6B5AB0"/>
    <w:multiLevelType w:val="hybridMultilevel"/>
    <w:tmpl w:val="9D126378"/>
    <w:lvl w:ilvl="0" w:tplc="4B8E05B6">
      <w:numFmt w:val="bullet"/>
      <w:lvlText w:val=""/>
      <w:lvlJc w:val="left"/>
      <w:pPr>
        <w:ind w:left="156" w:hanging="100"/>
      </w:pPr>
      <w:rPr>
        <w:rFonts w:ascii="Symbol" w:eastAsia="Symbol" w:hAnsi="Symbol" w:cs="Symbol" w:hint="default"/>
        <w:color w:val="231F20"/>
        <w:w w:val="100"/>
        <w:sz w:val="14"/>
        <w:szCs w:val="14"/>
      </w:rPr>
    </w:lvl>
    <w:lvl w:ilvl="1" w:tplc="79A2DA50">
      <w:numFmt w:val="bullet"/>
      <w:lvlText w:val="•"/>
      <w:lvlJc w:val="left"/>
      <w:pPr>
        <w:ind w:left="426" w:hanging="100"/>
      </w:pPr>
      <w:rPr>
        <w:rFonts w:hint="default"/>
      </w:rPr>
    </w:lvl>
    <w:lvl w:ilvl="2" w:tplc="EA0430F6">
      <w:numFmt w:val="bullet"/>
      <w:lvlText w:val="•"/>
      <w:lvlJc w:val="left"/>
      <w:pPr>
        <w:ind w:left="692" w:hanging="100"/>
      </w:pPr>
      <w:rPr>
        <w:rFonts w:hint="default"/>
      </w:rPr>
    </w:lvl>
    <w:lvl w:ilvl="3" w:tplc="D364231C">
      <w:numFmt w:val="bullet"/>
      <w:lvlText w:val="•"/>
      <w:lvlJc w:val="left"/>
      <w:pPr>
        <w:ind w:left="959" w:hanging="100"/>
      </w:pPr>
      <w:rPr>
        <w:rFonts w:hint="default"/>
      </w:rPr>
    </w:lvl>
    <w:lvl w:ilvl="4" w:tplc="476A2E40">
      <w:numFmt w:val="bullet"/>
      <w:lvlText w:val="•"/>
      <w:lvlJc w:val="left"/>
      <w:pPr>
        <w:ind w:left="1225" w:hanging="100"/>
      </w:pPr>
      <w:rPr>
        <w:rFonts w:hint="default"/>
      </w:rPr>
    </w:lvl>
    <w:lvl w:ilvl="5" w:tplc="D194C936">
      <w:numFmt w:val="bullet"/>
      <w:lvlText w:val="•"/>
      <w:lvlJc w:val="left"/>
      <w:pPr>
        <w:ind w:left="1492" w:hanging="100"/>
      </w:pPr>
      <w:rPr>
        <w:rFonts w:hint="default"/>
      </w:rPr>
    </w:lvl>
    <w:lvl w:ilvl="6" w:tplc="C6E6067A">
      <w:numFmt w:val="bullet"/>
      <w:lvlText w:val="•"/>
      <w:lvlJc w:val="left"/>
      <w:pPr>
        <w:ind w:left="1758" w:hanging="100"/>
      </w:pPr>
      <w:rPr>
        <w:rFonts w:hint="default"/>
      </w:rPr>
    </w:lvl>
    <w:lvl w:ilvl="7" w:tplc="E0DAA310">
      <w:numFmt w:val="bullet"/>
      <w:lvlText w:val="•"/>
      <w:lvlJc w:val="left"/>
      <w:pPr>
        <w:ind w:left="2024" w:hanging="100"/>
      </w:pPr>
      <w:rPr>
        <w:rFonts w:hint="default"/>
      </w:rPr>
    </w:lvl>
    <w:lvl w:ilvl="8" w:tplc="0D2473D8">
      <w:numFmt w:val="bullet"/>
      <w:lvlText w:val="•"/>
      <w:lvlJc w:val="left"/>
      <w:pPr>
        <w:ind w:left="2291" w:hanging="100"/>
      </w:pPr>
      <w:rPr>
        <w:rFonts w:hint="default"/>
      </w:rPr>
    </w:lvl>
  </w:abstractNum>
  <w:abstractNum w:abstractNumId="1677" w15:restartNumberingAfterBreak="0">
    <w:nsid w:val="6A7424AE"/>
    <w:multiLevelType w:val="hybridMultilevel"/>
    <w:tmpl w:val="BB064590"/>
    <w:lvl w:ilvl="0" w:tplc="325E8806">
      <w:numFmt w:val="bullet"/>
      <w:lvlText w:val=""/>
      <w:lvlJc w:val="left"/>
      <w:pPr>
        <w:ind w:left="156" w:hanging="100"/>
      </w:pPr>
      <w:rPr>
        <w:rFonts w:ascii="Symbol" w:eastAsia="Symbol" w:hAnsi="Symbol" w:cs="Symbol" w:hint="default"/>
        <w:color w:val="231F20"/>
        <w:w w:val="100"/>
        <w:sz w:val="14"/>
        <w:szCs w:val="14"/>
      </w:rPr>
    </w:lvl>
    <w:lvl w:ilvl="1" w:tplc="D1C4F3DE">
      <w:numFmt w:val="bullet"/>
      <w:lvlText w:val="•"/>
      <w:lvlJc w:val="left"/>
      <w:pPr>
        <w:ind w:left="398" w:hanging="100"/>
      </w:pPr>
      <w:rPr>
        <w:rFonts w:hint="default"/>
      </w:rPr>
    </w:lvl>
    <w:lvl w:ilvl="2" w:tplc="35B6050C">
      <w:numFmt w:val="bullet"/>
      <w:lvlText w:val="•"/>
      <w:lvlJc w:val="left"/>
      <w:pPr>
        <w:ind w:left="636" w:hanging="100"/>
      </w:pPr>
      <w:rPr>
        <w:rFonts w:hint="default"/>
      </w:rPr>
    </w:lvl>
    <w:lvl w:ilvl="3" w:tplc="072EB132">
      <w:numFmt w:val="bullet"/>
      <w:lvlText w:val="•"/>
      <w:lvlJc w:val="left"/>
      <w:pPr>
        <w:ind w:left="874" w:hanging="100"/>
      </w:pPr>
      <w:rPr>
        <w:rFonts w:hint="default"/>
      </w:rPr>
    </w:lvl>
    <w:lvl w:ilvl="4" w:tplc="6C1CDFA4">
      <w:numFmt w:val="bullet"/>
      <w:lvlText w:val="•"/>
      <w:lvlJc w:val="left"/>
      <w:pPr>
        <w:ind w:left="1112" w:hanging="100"/>
      </w:pPr>
      <w:rPr>
        <w:rFonts w:hint="default"/>
      </w:rPr>
    </w:lvl>
    <w:lvl w:ilvl="5" w:tplc="4F8C06E8">
      <w:numFmt w:val="bullet"/>
      <w:lvlText w:val="•"/>
      <w:lvlJc w:val="left"/>
      <w:pPr>
        <w:ind w:left="1350" w:hanging="100"/>
      </w:pPr>
      <w:rPr>
        <w:rFonts w:hint="default"/>
      </w:rPr>
    </w:lvl>
    <w:lvl w:ilvl="6" w:tplc="49548ABE">
      <w:numFmt w:val="bullet"/>
      <w:lvlText w:val="•"/>
      <w:lvlJc w:val="left"/>
      <w:pPr>
        <w:ind w:left="1588" w:hanging="100"/>
      </w:pPr>
      <w:rPr>
        <w:rFonts w:hint="default"/>
      </w:rPr>
    </w:lvl>
    <w:lvl w:ilvl="7" w:tplc="0554E750">
      <w:numFmt w:val="bullet"/>
      <w:lvlText w:val="•"/>
      <w:lvlJc w:val="left"/>
      <w:pPr>
        <w:ind w:left="1826" w:hanging="100"/>
      </w:pPr>
      <w:rPr>
        <w:rFonts w:hint="default"/>
      </w:rPr>
    </w:lvl>
    <w:lvl w:ilvl="8" w:tplc="8FA42F78">
      <w:numFmt w:val="bullet"/>
      <w:lvlText w:val="•"/>
      <w:lvlJc w:val="left"/>
      <w:pPr>
        <w:ind w:left="2064" w:hanging="100"/>
      </w:pPr>
      <w:rPr>
        <w:rFonts w:hint="default"/>
      </w:rPr>
    </w:lvl>
  </w:abstractNum>
  <w:abstractNum w:abstractNumId="1678" w15:restartNumberingAfterBreak="0">
    <w:nsid w:val="6A797751"/>
    <w:multiLevelType w:val="hybridMultilevel"/>
    <w:tmpl w:val="4258BE60"/>
    <w:lvl w:ilvl="0" w:tplc="1FA67E24">
      <w:numFmt w:val="bullet"/>
      <w:lvlText w:val=""/>
      <w:lvlJc w:val="left"/>
      <w:pPr>
        <w:ind w:left="156" w:hanging="100"/>
      </w:pPr>
      <w:rPr>
        <w:rFonts w:ascii="Symbol" w:eastAsia="Symbol" w:hAnsi="Symbol" w:cs="Symbol" w:hint="default"/>
        <w:color w:val="231F20"/>
        <w:w w:val="100"/>
        <w:sz w:val="14"/>
        <w:szCs w:val="14"/>
      </w:rPr>
    </w:lvl>
    <w:lvl w:ilvl="1" w:tplc="88F6CEEC">
      <w:numFmt w:val="bullet"/>
      <w:lvlText w:val="•"/>
      <w:lvlJc w:val="left"/>
      <w:pPr>
        <w:ind w:left="301" w:hanging="100"/>
      </w:pPr>
      <w:rPr>
        <w:rFonts w:hint="default"/>
      </w:rPr>
    </w:lvl>
    <w:lvl w:ilvl="2" w:tplc="E3FCE640">
      <w:numFmt w:val="bullet"/>
      <w:lvlText w:val="•"/>
      <w:lvlJc w:val="left"/>
      <w:pPr>
        <w:ind w:left="443" w:hanging="100"/>
      </w:pPr>
      <w:rPr>
        <w:rFonts w:hint="default"/>
      </w:rPr>
    </w:lvl>
    <w:lvl w:ilvl="3" w:tplc="C72C7B4A">
      <w:numFmt w:val="bullet"/>
      <w:lvlText w:val="•"/>
      <w:lvlJc w:val="left"/>
      <w:pPr>
        <w:ind w:left="585" w:hanging="100"/>
      </w:pPr>
      <w:rPr>
        <w:rFonts w:hint="default"/>
      </w:rPr>
    </w:lvl>
    <w:lvl w:ilvl="4" w:tplc="444C8554">
      <w:numFmt w:val="bullet"/>
      <w:lvlText w:val="•"/>
      <w:lvlJc w:val="left"/>
      <w:pPr>
        <w:ind w:left="726" w:hanging="100"/>
      </w:pPr>
      <w:rPr>
        <w:rFonts w:hint="default"/>
      </w:rPr>
    </w:lvl>
    <w:lvl w:ilvl="5" w:tplc="5154539E">
      <w:numFmt w:val="bullet"/>
      <w:lvlText w:val="•"/>
      <w:lvlJc w:val="left"/>
      <w:pPr>
        <w:ind w:left="868" w:hanging="100"/>
      </w:pPr>
      <w:rPr>
        <w:rFonts w:hint="default"/>
      </w:rPr>
    </w:lvl>
    <w:lvl w:ilvl="6" w:tplc="33EC4674">
      <w:numFmt w:val="bullet"/>
      <w:lvlText w:val="•"/>
      <w:lvlJc w:val="left"/>
      <w:pPr>
        <w:ind w:left="1010" w:hanging="100"/>
      </w:pPr>
      <w:rPr>
        <w:rFonts w:hint="default"/>
      </w:rPr>
    </w:lvl>
    <w:lvl w:ilvl="7" w:tplc="553896A0">
      <w:numFmt w:val="bullet"/>
      <w:lvlText w:val="•"/>
      <w:lvlJc w:val="left"/>
      <w:pPr>
        <w:ind w:left="1151" w:hanging="100"/>
      </w:pPr>
      <w:rPr>
        <w:rFonts w:hint="default"/>
      </w:rPr>
    </w:lvl>
    <w:lvl w:ilvl="8" w:tplc="112C068A">
      <w:numFmt w:val="bullet"/>
      <w:lvlText w:val="•"/>
      <w:lvlJc w:val="left"/>
      <w:pPr>
        <w:ind w:left="1293" w:hanging="100"/>
      </w:pPr>
      <w:rPr>
        <w:rFonts w:hint="default"/>
      </w:rPr>
    </w:lvl>
  </w:abstractNum>
  <w:abstractNum w:abstractNumId="1679" w15:restartNumberingAfterBreak="0">
    <w:nsid w:val="6AB4443E"/>
    <w:multiLevelType w:val="hybridMultilevel"/>
    <w:tmpl w:val="A68A7336"/>
    <w:lvl w:ilvl="0" w:tplc="3744906A">
      <w:numFmt w:val="bullet"/>
      <w:lvlText w:val=""/>
      <w:lvlJc w:val="left"/>
      <w:pPr>
        <w:ind w:left="156" w:hanging="100"/>
      </w:pPr>
      <w:rPr>
        <w:rFonts w:ascii="Symbol" w:eastAsia="Symbol" w:hAnsi="Symbol" w:cs="Symbol" w:hint="default"/>
        <w:color w:val="231F20"/>
        <w:w w:val="100"/>
        <w:sz w:val="14"/>
        <w:szCs w:val="14"/>
      </w:rPr>
    </w:lvl>
    <w:lvl w:ilvl="1" w:tplc="C5AA8290">
      <w:numFmt w:val="bullet"/>
      <w:lvlText w:val="•"/>
      <w:lvlJc w:val="left"/>
      <w:pPr>
        <w:ind w:left="301" w:hanging="100"/>
      </w:pPr>
      <w:rPr>
        <w:rFonts w:hint="default"/>
      </w:rPr>
    </w:lvl>
    <w:lvl w:ilvl="2" w:tplc="2EF6E8EC">
      <w:numFmt w:val="bullet"/>
      <w:lvlText w:val="•"/>
      <w:lvlJc w:val="left"/>
      <w:pPr>
        <w:ind w:left="443" w:hanging="100"/>
      </w:pPr>
      <w:rPr>
        <w:rFonts w:hint="default"/>
      </w:rPr>
    </w:lvl>
    <w:lvl w:ilvl="3" w:tplc="593E26EA">
      <w:numFmt w:val="bullet"/>
      <w:lvlText w:val="•"/>
      <w:lvlJc w:val="left"/>
      <w:pPr>
        <w:ind w:left="585" w:hanging="100"/>
      </w:pPr>
      <w:rPr>
        <w:rFonts w:hint="default"/>
      </w:rPr>
    </w:lvl>
    <w:lvl w:ilvl="4" w:tplc="308CDB98">
      <w:numFmt w:val="bullet"/>
      <w:lvlText w:val="•"/>
      <w:lvlJc w:val="left"/>
      <w:pPr>
        <w:ind w:left="726" w:hanging="100"/>
      </w:pPr>
      <w:rPr>
        <w:rFonts w:hint="default"/>
      </w:rPr>
    </w:lvl>
    <w:lvl w:ilvl="5" w:tplc="D6FAF7F4">
      <w:numFmt w:val="bullet"/>
      <w:lvlText w:val="•"/>
      <w:lvlJc w:val="left"/>
      <w:pPr>
        <w:ind w:left="868" w:hanging="100"/>
      </w:pPr>
      <w:rPr>
        <w:rFonts w:hint="default"/>
      </w:rPr>
    </w:lvl>
    <w:lvl w:ilvl="6" w:tplc="17B01CF6">
      <w:numFmt w:val="bullet"/>
      <w:lvlText w:val="•"/>
      <w:lvlJc w:val="left"/>
      <w:pPr>
        <w:ind w:left="1010" w:hanging="100"/>
      </w:pPr>
      <w:rPr>
        <w:rFonts w:hint="default"/>
      </w:rPr>
    </w:lvl>
    <w:lvl w:ilvl="7" w:tplc="939EA492">
      <w:numFmt w:val="bullet"/>
      <w:lvlText w:val="•"/>
      <w:lvlJc w:val="left"/>
      <w:pPr>
        <w:ind w:left="1151" w:hanging="100"/>
      </w:pPr>
      <w:rPr>
        <w:rFonts w:hint="default"/>
      </w:rPr>
    </w:lvl>
    <w:lvl w:ilvl="8" w:tplc="1F72C7C8">
      <w:numFmt w:val="bullet"/>
      <w:lvlText w:val="•"/>
      <w:lvlJc w:val="left"/>
      <w:pPr>
        <w:ind w:left="1293" w:hanging="100"/>
      </w:pPr>
      <w:rPr>
        <w:rFonts w:hint="default"/>
      </w:rPr>
    </w:lvl>
  </w:abstractNum>
  <w:abstractNum w:abstractNumId="1680" w15:restartNumberingAfterBreak="0">
    <w:nsid w:val="6AE40091"/>
    <w:multiLevelType w:val="hybridMultilevel"/>
    <w:tmpl w:val="C10EDDF6"/>
    <w:lvl w:ilvl="0" w:tplc="B6B6ED46">
      <w:numFmt w:val="bullet"/>
      <w:lvlText w:val=""/>
      <w:lvlJc w:val="left"/>
      <w:pPr>
        <w:ind w:left="156" w:hanging="100"/>
      </w:pPr>
      <w:rPr>
        <w:rFonts w:ascii="Symbol" w:eastAsia="Symbol" w:hAnsi="Symbol" w:cs="Symbol" w:hint="default"/>
        <w:color w:val="231F20"/>
        <w:w w:val="100"/>
        <w:sz w:val="14"/>
        <w:szCs w:val="14"/>
      </w:rPr>
    </w:lvl>
    <w:lvl w:ilvl="1" w:tplc="5E242374">
      <w:numFmt w:val="bullet"/>
      <w:lvlText w:val="•"/>
      <w:lvlJc w:val="left"/>
      <w:pPr>
        <w:ind w:left="398" w:hanging="100"/>
      </w:pPr>
      <w:rPr>
        <w:rFonts w:hint="default"/>
      </w:rPr>
    </w:lvl>
    <w:lvl w:ilvl="2" w:tplc="965A8E3E">
      <w:numFmt w:val="bullet"/>
      <w:lvlText w:val="•"/>
      <w:lvlJc w:val="left"/>
      <w:pPr>
        <w:ind w:left="636" w:hanging="100"/>
      </w:pPr>
      <w:rPr>
        <w:rFonts w:hint="default"/>
      </w:rPr>
    </w:lvl>
    <w:lvl w:ilvl="3" w:tplc="46ACC2F4">
      <w:numFmt w:val="bullet"/>
      <w:lvlText w:val="•"/>
      <w:lvlJc w:val="left"/>
      <w:pPr>
        <w:ind w:left="874" w:hanging="100"/>
      </w:pPr>
      <w:rPr>
        <w:rFonts w:hint="default"/>
      </w:rPr>
    </w:lvl>
    <w:lvl w:ilvl="4" w:tplc="BDB0910C">
      <w:numFmt w:val="bullet"/>
      <w:lvlText w:val="•"/>
      <w:lvlJc w:val="left"/>
      <w:pPr>
        <w:ind w:left="1112" w:hanging="100"/>
      </w:pPr>
      <w:rPr>
        <w:rFonts w:hint="default"/>
      </w:rPr>
    </w:lvl>
    <w:lvl w:ilvl="5" w:tplc="265C13BE">
      <w:numFmt w:val="bullet"/>
      <w:lvlText w:val="•"/>
      <w:lvlJc w:val="left"/>
      <w:pPr>
        <w:ind w:left="1350" w:hanging="100"/>
      </w:pPr>
      <w:rPr>
        <w:rFonts w:hint="default"/>
      </w:rPr>
    </w:lvl>
    <w:lvl w:ilvl="6" w:tplc="BB5E8A32">
      <w:numFmt w:val="bullet"/>
      <w:lvlText w:val="•"/>
      <w:lvlJc w:val="left"/>
      <w:pPr>
        <w:ind w:left="1588" w:hanging="100"/>
      </w:pPr>
      <w:rPr>
        <w:rFonts w:hint="default"/>
      </w:rPr>
    </w:lvl>
    <w:lvl w:ilvl="7" w:tplc="2DE4F050">
      <w:numFmt w:val="bullet"/>
      <w:lvlText w:val="•"/>
      <w:lvlJc w:val="left"/>
      <w:pPr>
        <w:ind w:left="1826" w:hanging="100"/>
      </w:pPr>
      <w:rPr>
        <w:rFonts w:hint="default"/>
      </w:rPr>
    </w:lvl>
    <w:lvl w:ilvl="8" w:tplc="D64E0D7C">
      <w:numFmt w:val="bullet"/>
      <w:lvlText w:val="•"/>
      <w:lvlJc w:val="left"/>
      <w:pPr>
        <w:ind w:left="2064" w:hanging="100"/>
      </w:pPr>
      <w:rPr>
        <w:rFonts w:hint="default"/>
      </w:rPr>
    </w:lvl>
  </w:abstractNum>
  <w:abstractNum w:abstractNumId="1681" w15:restartNumberingAfterBreak="0">
    <w:nsid w:val="6AE64A41"/>
    <w:multiLevelType w:val="hybridMultilevel"/>
    <w:tmpl w:val="DB8885F6"/>
    <w:lvl w:ilvl="0" w:tplc="C3F64112">
      <w:numFmt w:val="bullet"/>
      <w:lvlText w:val=""/>
      <w:lvlJc w:val="left"/>
      <w:pPr>
        <w:ind w:left="156" w:hanging="100"/>
      </w:pPr>
      <w:rPr>
        <w:rFonts w:ascii="Symbol" w:eastAsia="Symbol" w:hAnsi="Symbol" w:cs="Symbol" w:hint="default"/>
        <w:color w:val="231F20"/>
        <w:w w:val="100"/>
        <w:sz w:val="14"/>
        <w:szCs w:val="14"/>
      </w:rPr>
    </w:lvl>
    <w:lvl w:ilvl="1" w:tplc="C4D82166">
      <w:numFmt w:val="bullet"/>
      <w:lvlText w:val="•"/>
      <w:lvlJc w:val="left"/>
      <w:pPr>
        <w:ind w:left="398" w:hanging="100"/>
      </w:pPr>
      <w:rPr>
        <w:rFonts w:hint="default"/>
      </w:rPr>
    </w:lvl>
    <w:lvl w:ilvl="2" w:tplc="CDA855EE">
      <w:numFmt w:val="bullet"/>
      <w:lvlText w:val="•"/>
      <w:lvlJc w:val="left"/>
      <w:pPr>
        <w:ind w:left="636" w:hanging="100"/>
      </w:pPr>
      <w:rPr>
        <w:rFonts w:hint="default"/>
      </w:rPr>
    </w:lvl>
    <w:lvl w:ilvl="3" w:tplc="FE2682E6">
      <w:numFmt w:val="bullet"/>
      <w:lvlText w:val="•"/>
      <w:lvlJc w:val="left"/>
      <w:pPr>
        <w:ind w:left="874" w:hanging="100"/>
      </w:pPr>
      <w:rPr>
        <w:rFonts w:hint="default"/>
      </w:rPr>
    </w:lvl>
    <w:lvl w:ilvl="4" w:tplc="296A4314">
      <w:numFmt w:val="bullet"/>
      <w:lvlText w:val="•"/>
      <w:lvlJc w:val="left"/>
      <w:pPr>
        <w:ind w:left="1112" w:hanging="100"/>
      </w:pPr>
      <w:rPr>
        <w:rFonts w:hint="default"/>
      </w:rPr>
    </w:lvl>
    <w:lvl w:ilvl="5" w:tplc="A7061ABC">
      <w:numFmt w:val="bullet"/>
      <w:lvlText w:val="•"/>
      <w:lvlJc w:val="left"/>
      <w:pPr>
        <w:ind w:left="1350" w:hanging="100"/>
      </w:pPr>
      <w:rPr>
        <w:rFonts w:hint="default"/>
      </w:rPr>
    </w:lvl>
    <w:lvl w:ilvl="6" w:tplc="F246FC2C">
      <w:numFmt w:val="bullet"/>
      <w:lvlText w:val="•"/>
      <w:lvlJc w:val="left"/>
      <w:pPr>
        <w:ind w:left="1588" w:hanging="100"/>
      </w:pPr>
      <w:rPr>
        <w:rFonts w:hint="default"/>
      </w:rPr>
    </w:lvl>
    <w:lvl w:ilvl="7" w:tplc="E27648DE">
      <w:numFmt w:val="bullet"/>
      <w:lvlText w:val="•"/>
      <w:lvlJc w:val="left"/>
      <w:pPr>
        <w:ind w:left="1826" w:hanging="100"/>
      </w:pPr>
      <w:rPr>
        <w:rFonts w:hint="default"/>
      </w:rPr>
    </w:lvl>
    <w:lvl w:ilvl="8" w:tplc="EDA8DB20">
      <w:numFmt w:val="bullet"/>
      <w:lvlText w:val="•"/>
      <w:lvlJc w:val="left"/>
      <w:pPr>
        <w:ind w:left="2064" w:hanging="100"/>
      </w:pPr>
      <w:rPr>
        <w:rFonts w:hint="default"/>
      </w:rPr>
    </w:lvl>
  </w:abstractNum>
  <w:abstractNum w:abstractNumId="1682" w15:restartNumberingAfterBreak="0">
    <w:nsid w:val="6AE7615E"/>
    <w:multiLevelType w:val="hybridMultilevel"/>
    <w:tmpl w:val="389C0BE4"/>
    <w:lvl w:ilvl="0" w:tplc="88FA63EE">
      <w:numFmt w:val="bullet"/>
      <w:lvlText w:val=""/>
      <w:lvlJc w:val="left"/>
      <w:pPr>
        <w:ind w:left="156" w:hanging="100"/>
      </w:pPr>
      <w:rPr>
        <w:rFonts w:ascii="Symbol" w:eastAsia="Symbol" w:hAnsi="Symbol" w:cs="Symbol" w:hint="default"/>
        <w:color w:val="231F20"/>
        <w:w w:val="100"/>
        <w:sz w:val="14"/>
        <w:szCs w:val="14"/>
      </w:rPr>
    </w:lvl>
    <w:lvl w:ilvl="1" w:tplc="0DBC30C4">
      <w:numFmt w:val="bullet"/>
      <w:lvlText w:val="•"/>
      <w:lvlJc w:val="left"/>
      <w:pPr>
        <w:ind w:left="273" w:hanging="100"/>
      </w:pPr>
      <w:rPr>
        <w:rFonts w:hint="default"/>
      </w:rPr>
    </w:lvl>
    <w:lvl w:ilvl="2" w:tplc="58343482">
      <w:numFmt w:val="bullet"/>
      <w:lvlText w:val="•"/>
      <w:lvlJc w:val="left"/>
      <w:pPr>
        <w:ind w:left="386" w:hanging="100"/>
      </w:pPr>
      <w:rPr>
        <w:rFonts w:hint="default"/>
      </w:rPr>
    </w:lvl>
    <w:lvl w:ilvl="3" w:tplc="BABC688C">
      <w:numFmt w:val="bullet"/>
      <w:lvlText w:val="•"/>
      <w:lvlJc w:val="left"/>
      <w:pPr>
        <w:ind w:left="500" w:hanging="100"/>
      </w:pPr>
      <w:rPr>
        <w:rFonts w:hint="default"/>
      </w:rPr>
    </w:lvl>
    <w:lvl w:ilvl="4" w:tplc="1A4AEE36">
      <w:numFmt w:val="bullet"/>
      <w:lvlText w:val="•"/>
      <w:lvlJc w:val="left"/>
      <w:pPr>
        <w:ind w:left="613" w:hanging="100"/>
      </w:pPr>
      <w:rPr>
        <w:rFonts w:hint="default"/>
      </w:rPr>
    </w:lvl>
    <w:lvl w:ilvl="5" w:tplc="4678E51A">
      <w:numFmt w:val="bullet"/>
      <w:lvlText w:val="•"/>
      <w:lvlJc w:val="left"/>
      <w:pPr>
        <w:ind w:left="727" w:hanging="100"/>
      </w:pPr>
      <w:rPr>
        <w:rFonts w:hint="default"/>
      </w:rPr>
    </w:lvl>
    <w:lvl w:ilvl="6" w:tplc="D62E3A92">
      <w:numFmt w:val="bullet"/>
      <w:lvlText w:val="•"/>
      <w:lvlJc w:val="left"/>
      <w:pPr>
        <w:ind w:left="840" w:hanging="100"/>
      </w:pPr>
      <w:rPr>
        <w:rFonts w:hint="default"/>
      </w:rPr>
    </w:lvl>
    <w:lvl w:ilvl="7" w:tplc="5D4A6758">
      <w:numFmt w:val="bullet"/>
      <w:lvlText w:val="•"/>
      <w:lvlJc w:val="left"/>
      <w:pPr>
        <w:ind w:left="953" w:hanging="100"/>
      </w:pPr>
      <w:rPr>
        <w:rFonts w:hint="default"/>
      </w:rPr>
    </w:lvl>
    <w:lvl w:ilvl="8" w:tplc="3206962E">
      <w:numFmt w:val="bullet"/>
      <w:lvlText w:val="•"/>
      <w:lvlJc w:val="left"/>
      <w:pPr>
        <w:ind w:left="1067" w:hanging="100"/>
      </w:pPr>
      <w:rPr>
        <w:rFonts w:hint="default"/>
      </w:rPr>
    </w:lvl>
  </w:abstractNum>
  <w:abstractNum w:abstractNumId="1683" w15:restartNumberingAfterBreak="0">
    <w:nsid w:val="6AF8763C"/>
    <w:multiLevelType w:val="hybridMultilevel"/>
    <w:tmpl w:val="6D025F00"/>
    <w:lvl w:ilvl="0" w:tplc="F51E0E9C">
      <w:numFmt w:val="bullet"/>
      <w:lvlText w:val=""/>
      <w:lvlJc w:val="left"/>
      <w:pPr>
        <w:ind w:left="156" w:hanging="100"/>
      </w:pPr>
      <w:rPr>
        <w:rFonts w:ascii="Symbol" w:eastAsia="Symbol" w:hAnsi="Symbol" w:cs="Symbol" w:hint="default"/>
        <w:color w:val="231F20"/>
        <w:w w:val="100"/>
        <w:sz w:val="14"/>
        <w:szCs w:val="14"/>
      </w:rPr>
    </w:lvl>
    <w:lvl w:ilvl="1" w:tplc="B82A9BF2">
      <w:numFmt w:val="bullet"/>
      <w:lvlText w:val="•"/>
      <w:lvlJc w:val="left"/>
      <w:pPr>
        <w:ind w:left="301" w:hanging="100"/>
      </w:pPr>
      <w:rPr>
        <w:rFonts w:hint="default"/>
      </w:rPr>
    </w:lvl>
    <w:lvl w:ilvl="2" w:tplc="0B481946">
      <w:numFmt w:val="bullet"/>
      <w:lvlText w:val="•"/>
      <w:lvlJc w:val="left"/>
      <w:pPr>
        <w:ind w:left="443" w:hanging="100"/>
      </w:pPr>
      <w:rPr>
        <w:rFonts w:hint="default"/>
      </w:rPr>
    </w:lvl>
    <w:lvl w:ilvl="3" w:tplc="D2E8B2DA">
      <w:numFmt w:val="bullet"/>
      <w:lvlText w:val="•"/>
      <w:lvlJc w:val="left"/>
      <w:pPr>
        <w:ind w:left="585" w:hanging="100"/>
      </w:pPr>
      <w:rPr>
        <w:rFonts w:hint="default"/>
      </w:rPr>
    </w:lvl>
    <w:lvl w:ilvl="4" w:tplc="C54A3318">
      <w:numFmt w:val="bullet"/>
      <w:lvlText w:val="•"/>
      <w:lvlJc w:val="left"/>
      <w:pPr>
        <w:ind w:left="726" w:hanging="100"/>
      </w:pPr>
      <w:rPr>
        <w:rFonts w:hint="default"/>
      </w:rPr>
    </w:lvl>
    <w:lvl w:ilvl="5" w:tplc="ACE4193E">
      <w:numFmt w:val="bullet"/>
      <w:lvlText w:val="•"/>
      <w:lvlJc w:val="left"/>
      <w:pPr>
        <w:ind w:left="868" w:hanging="100"/>
      </w:pPr>
      <w:rPr>
        <w:rFonts w:hint="default"/>
      </w:rPr>
    </w:lvl>
    <w:lvl w:ilvl="6" w:tplc="ABBCE5A0">
      <w:numFmt w:val="bullet"/>
      <w:lvlText w:val="•"/>
      <w:lvlJc w:val="left"/>
      <w:pPr>
        <w:ind w:left="1010" w:hanging="100"/>
      </w:pPr>
      <w:rPr>
        <w:rFonts w:hint="default"/>
      </w:rPr>
    </w:lvl>
    <w:lvl w:ilvl="7" w:tplc="EAA6802A">
      <w:numFmt w:val="bullet"/>
      <w:lvlText w:val="•"/>
      <w:lvlJc w:val="left"/>
      <w:pPr>
        <w:ind w:left="1151" w:hanging="100"/>
      </w:pPr>
      <w:rPr>
        <w:rFonts w:hint="default"/>
      </w:rPr>
    </w:lvl>
    <w:lvl w:ilvl="8" w:tplc="3C8ADD58">
      <w:numFmt w:val="bullet"/>
      <w:lvlText w:val="•"/>
      <w:lvlJc w:val="left"/>
      <w:pPr>
        <w:ind w:left="1293" w:hanging="100"/>
      </w:pPr>
      <w:rPr>
        <w:rFonts w:hint="default"/>
      </w:rPr>
    </w:lvl>
  </w:abstractNum>
  <w:abstractNum w:abstractNumId="1684" w15:restartNumberingAfterBreak="0">
    <w:nsid w:val="6B183364"/>
    <w:multiLevelType w:val="hybridMultilevel"/>
    <w:tmpl w:val="891C6594"/>
    <w:lvl w:ilvl="0" w:tplc="4A1C60AA">
      <w:numFmt w:val="bullet"/>
      <w:lvlText w:val=""/>
      <w:lvlJc w:val="left"/>
      <w:pPr>
        <w:ind w:left="156" w:hanging="100"/>
      </w:pPr>
      <w:rPr>
        <w:rFonts w:ascii="Symbol" w:eastAsia="Symbol" w:hAnsi="Symbol" w:cs="Symbol" w:hint="default"/>
        <w:color w:val="231F20"/>
        <w:w w:val="100"/>
        <w:sz w:val="14"/>
        <w:szCs w:val="14"/>
      </w:rPr>
    </w:lvl>
    <w:lvl w:ilvl="1" w:tplc="C5A286D2">
      <w:numFmt w:val="bullet"/>
      <w:lvlText w:val="•"/>
      <w:lvlJc w:val="left"/>
      <w:pPr>
        <w:ind w:left="426" w:hanging="100"/>
      </w:pPr>
      <w:rPr>
        <w:rFonts w:hint="default"/>
      </w:rPr>
    </w:lvl>
    <w:lvl w:ilvl="2" w:tplc="9EFCA218">
      <w:numFmt w:val="bullet"/>
      <w:lvlText w:val="•"/>
      <w:lvlJc w:val="left"/>
      <w:pPr>
        <w:ind w:left="692" w:hanging="100"/>
      </w:pPr>
      <w:rPr>
        <w:rFonts w:hint="default"/>
      </w:rPr>
    </w:lvl>
    <w:lvl w:ilvl="3" w:tplc="1AAA620C">
      <w:numFmt w:val="bullet"/>
      <w:lvlText w:val="•"/>
      <w:lvlJc w:val="left"/>
      <w:pPr>
        <w:ind w:left="959" w:hanging="100"/>
      </w:pPr>
      <w:rPr>
        <w:rFonts w:hint="default"/>
      </w:rPr>
    </w:lvl>
    <w:lvl w:ilvl="4" w:tplc="C024B3FC">
      <w:numFmt w:val="bullet"/>
      <w:lvlText w:val="•"/>
      <w:lvlJc w:val="left"/>
      <w:pPr>
        <w:ind w:left="1225" w:hanging="100"/>
      </w:pPr>
      <w:rPr>
        <w:rFonts w:hint="default"/>
      </w:rPr>
    </w:lvl>
    <w:lvl w:ilvl="5" w:tplc="601EDDFC">
      <w:numFmt w:val="bullet"/>
      <w:lvlText w:val="•"/>
      <w:lvlJc w:val="left"/>
      <w:pPr>
        <w:ind w:left="1492" w:hanging="100"/>
      </w:pPr>
      <w:rPr>
        <w:rFonts w:hint="default"/>
      </w:rPr>
    </w:lvl>
    <w:lvl w:ilvl="6" w:tplc="A70265FA">
      <w:numFmt w:val="bullet"/>
      <w:lvlText w:val="•"/>
      <w:lvlJc w:val="left"/>
      <w:pPr>
        <w:ind w:left="1758" w:hanging="100"/>
      </w:pPr>
      <w:rPr>
        <w:rFonts w:hint="default"/>
      </w:rPr>
    </w:lvl>
    <w:lvl w:ilvl="7" w:tplc="A7E23006">
      <w:numFmt w:val="bullet"/>
      <w:lvlText w:val="•"/>
      <w:lvlJc w:val="left"/>
      <w:pPr>
        <w:ind w:left="2024" w:hanging="100"/>
      </w:pPr>
      <w:rPr>
        <w:rFonts w:hint="default"/>
      </w:rPr>
    </w:lvl>
    <w:lvl w:ilvl="8" w:tplc="D5547074">
      <w:numFmt w:val="bullet"/>
      <w:lvlText w:val="•"/>
      <w:lvlJc w:val="left"/>
      <w:pPr>
        <w:ind w:left="2291" w:hanging="100"/>
      </w:pPr>
      <w:rPr>
        <w:rFonts w:hint="default"/>
      </w:rPr>
    </w:lvl>
  </w:abstractNum>
  <w:abstractNum w:abstractNumId="1685" w15:restartNumberingAfterBreak="0">
    <w:nsid w:val="6B334B13"/>
    <w:multiLevelType w:val="hybridMultilevel"/>
    <w:tmpl w:val="CEE83EBC"/>
    <w:lvl w:ilvl="0" w:tplc="FBD4A626">
      <w:numFmt w:val="bullet"/>
      <w:lvlText w:val=""/>
      <w:lvlJc w:val="left"/>
      <w:pPr>
        <w:ind w:left="156" w:hanging="100"/>
      </w:pPr>
      <w:rPr>
        <w:rFonts w:ascii="Symbol" w:eastAsia="Symbol" w:hAnsi="Symbol" w:cs="Symbol" w:hint="default"/>
        <w:color w:val="231F20"/>
        <w:w w:val="100"/>
        <w:sz w:val="14"/>
        <w:szCs w:val="14"/>
      </w:rPr>
    </w:lvl>
    <w:lvl w:ilvl="1" w:tplc="AAB0A19E">
      <w:numFmt w:val="bullet"/>
      <w:lvlText w:val="•"/>
      <w:lvlJc w:val="left"/>
      <w:pPr>
        <w:ind w:left="426" w:hanging="100"/>
      </w:pPr>
      <w:rPr>
        <w:rFonts w:hint="default"/>
      </w:rPr>
    </w:lvl>
    <w:lvl w:ilvl="2" w:tplc="9C4E031A">
      <w:numFmt w:val="bullet"/>
      <w:lvlText w:val="•"/>
      <w:lvlJc w:val="left"/>
      <w:pPr>
        <w:ind w:left="692" w:hanging="100"/>
      </w:pPr>
      <w:rPr>
        <w:rFonts w:hint="default"/>
      </w:rPr>
    </w:lvl>
    <w:lvl w:ilvl="3" w:tplc="4C304368">
      <w:numFmt w:val="bullet"/>
      <w:lvlText w:val="•"/>
      <w:lvlJc w:val="left"/>
      <w:pPr>
        <w:ind w:left="959" w:hanging="100"/>
      </w:pPr>
      <w:rPr>
        <w:rFonts w:hint="default"/>
      </w:rPr>
    </w:lvl>
    <w:lvl w:ilvl="4" w:tplc="6C7C5CB6">
      <w:numFmt w:val="bullet"/>
      <w:lvlText w:val="•"/>
      <w:lvlJc w:val="left"/>
      <w:pPr>
        <w:ind w:left="1225" w:hanging="100"/>
      </w:pPr>
      <w:rPr>
        <w:rFonts w:hint="default"/>
      </w:rPr>
    </w:lvl>
    <w:lvl w:ilvl="5" w:tplc="19FC27F6">
      <w:numFmt w:val="bullet"/>
      <w:lvlText w:val="•"/>
      <w:lvlJc w:val="left"/>
      <w:pPr>
        <w:ind w:left="1492" w:hanging="100"/>
      </w:pPr>
      <w:rPr>
        <w:rFonts w:hint="default"/>
      </w:rPr>
    </w:lvl>
    <w:lvl w:ilvl="6" w:tplc="7E006C04">
      <w:numFmt w:val="bullet"/>
      <w:lvlText w:val="•"/>
      <w:lvlJc w:val="left"/>
      <w:pPr>
        <w:ind w:left="1758" w:hanging="100"/>
      </w:pPr>
      <w:rPr>
        <w:rFonts w:hint="default"/>
      </w:rPr>
    </w:lvl>
    <w:lvl w:ilvl="7" w:tplc="2C447586">
      <w:numFmt w:val="bullet"/>
      <w:lvlText w:val="•"/>
      <w:lvlJc w:val="left"/>
      <w:pPr>
        <w:ind w:left="2024" w:hanging="100"/>
      </w:pPr>
      <w:rPr>
        <w:rFonts w:hint="default"/>
      </w:rPr>
    </w:lvl>
    <w:lvl w:ilvl="8" w:tplc="3160A69E">
      <w:numFmt w:val="bullet"/>
      <w:lvlText w:val="•"/>
      <w:lvlJc w:val="left"/>
      <w:pPr>
        <w:ind w:left="2291" w:hanging="100"/>
      </w:pPr>
      <w:rPr>
        <w:rFonts w:hint="default"/>
      </w:rPr>
    </w:lvl>
  </w:abstractNum>
  <w:abstractNum w:abstractNumId="1686" w15:restartNumberingAfterBreak="0">
    <w:nsid w:val="6B364A54"/>
    <w:multiLevelType w:val="hybridMultilevel"/>
    <w:tmpl w:val="55449588"/>
    <w:lvl w:ilvl="0" w:tplc="20FE09AA">
      <w:numFmt w:val="bullet"/>
      <w:lvlText w:val=""/>
      <w:lvlJc w:val="left"/>
      <w:pPr>
        <w:ind w:left="157" w:hanging="100"/>
      </w:pPr>
      <w:rPr>
        <w:rFonts w:ascii="Symbol" w:eastAsia="Symbol" w:hAnsi="Symbol" w:cs="Symbol" w:hint="default"/>
        <w:color w:val="231F20"/>
        <w:w w:val="100"/>
        <w:sz w:val="14"/>
        <w:szCs w:val="14"/>
      </w:rPr>
    </w:lvl>
    <w:lvl w:ilvl="1" w:tplc="23783E80">
      <w:numFmt w:val="bullet"/>
      <w:lvlText w:val="•"/>
      <w:lvlJc w:val="left"/>
      <w:pPr>
        <w:ind w:left="369" w:hanging="100"/>
      </w:pPr>
      <w:rPr>
        <w:rFonts w:hint="default"/>
      </w:rPr>
    </w:lvl>
    <w:lvl w:ilvl="2" w:tplc="08DEABA8">
      <w:numFmt w:val="bullet"/>
      <w:lvlText w:val="•"/>
      <w:lvlJc w:val="left"/>
      <w:pPr>
        <w:ind w:left="579" w:hanging="100"/>
      </w:pPr>
      <w:rPr>
        <w:rFonts w:hint="default"/>
      </w:rPr>
    </w:lvl>
    <w:lvl w:ilvl="3" w:tplc="DF7C1328">
      <w:numFmt w:val="bullet"/>
      <w:lvlText w:val="•"/>
      <w:lvlJc w:val="left"/>
      <w:pPr>
        <w:ind w:left="789" w:hanging="100"/>
      </w:pPr>
      <w:rPr>
        <w:rFonts w:hint="default"/>
      </w:rPr>
    </w:lvl>
    <w:lvl w:ilvl="4" w:tplc="4CEA292A">
      <w:numFmt w:val="bullet"/>
      <w:lvlText w:val="•"/>
      <w:lvlJc w:val="left"/>
      <w:pPr>
        <w:ind w:left="998" w:hanging="100"/>
      </w:pPr>
      <w:rPr>
        <w:rFonts w:hint="default"/>
      </w:rPr>
    </w:lvl>
    <w:lvl w:ilvl="5" w:tplc="89867EC4">
      <w:numFmt w:val="bullet"/>
      <w:lvlText w:val="•"/>
      <w:lvlJc w:val="left"/>
      <w:pPr>
        <w:ind w:left="1208" w:hanging="100"/>
      </w:pPr>
      <w:rPr>
        <w:rFonts w:hint="default"/>
      </w:rPr>
    </w:lvl>
    <w:lvl w:ilvl="6" w:tplc="B462BC58">
      <w:numFmt w:val="bullet"/>
      <w:lvlText w:val="•"/>
      <w:lvlJc w:val="left"/>
      <w:pPr>
        <w:ind w:left="1418" w:hanging="100"/>
      </w:pPr>
      <w:rPr>
        <w:rFonts w:hint="default"/>
      </w:rPr>
    </w:lvl>
    <w:lvl w:ilvl="7" w:tplc="3732D4B0">
      <w:numFmt w:val="bullet"/>
      <w:lvlText w:val="•"/>
      <w:lvlJc w:val="left"/>
      <w:pPr>
        <w:ind w:left="1627" w:hanging="100"/>
      </w:pPr>
      <w:rPr>
        <w:rFonts w:hint="default"/>
      </w:rPr>
    </w:lvl>
    <w:lvl w:ilvl="8" w:tplc="EB6ACF08">
      <w:numFmt w:val="bullet"/>
      <w:lvlText w:val="•"/>
      <w:lvlJc w:val="left"/>
      <w:pPr>
        <w:ind w:left="1837" w:hanging="100"/>
      </w:pPr>
      <w:rPr>
        <w:rFonts w:hint="default"/>
      </w:rPr>
    </w:lvl>
  </w:abstractNum>
  <w:abstractNum w:abstractNumId="1687" w15:restartNumberingAfterBreak="0">
    <w:nsid w:val="6B3941FF"/>
    <w:multiLevelType w:val="hybridMultilevel"/>
    <w:tmpl w:val="1F264DCE"/>
    <w:lvl w:ilvl="0" w:tplc="54C20F98">
      <w:numFmt w:val="bullet"/>
      <w:lvlText w:val=""/>
      <w:lvlJc w:val="left"/>
      <w:pPr>
        <w:ind w:left="156" w:hanging="100"/>
      </w:pPr>
      <w:rPr>
        <w:rFonts w:ascii="Symbol" w:eastAsia="Symbol" w:hAnsi="Symbol" w:cs="Symbol" w:hint="default"/>
        <w:color w:val="231F20"/>
        <w:w w:val="100"/>
        <w:sz w:val="14"/>
        <w:szCs w:val="14"/>
      </w:rPr>
    </w:lvl>
    <w:lvl w:ilvl="1" w:tplc="B9CAFCFC">
      <w:numFmt w:val="bullet"/>
      <w:lvlText w:val="•"/>
      <w:lvlJc w:val="left"/>
      <w:pPr>
        <w:ind w:left="240" w:hanging="100"/>
      </w:pPr>
      <w:rPr>
        <w:rFonts w:hint="default"/>
      </w:rPr>
    </w:lvl>
    <w:lvl w:ilvl="2" w:tplc="EFA8B53E">
      <w:numFmt w:val="bullet"/>
      <w:lvlText w:val="•"/>
      <w:lvlJc w:val="left"/>
      <w:pPr>
        <w:ind w:left="527" w:hanging="100"/>
      </w:pPr>
      <w:rPr>
        <w:rFonts w:hint="default"/>
      </w:rPr>
    </w:lvl>
    <w:lvl w:ilvl="3" w:tplc="9F761F86">
      <w:numFmt w:val="bullet"/>
      <w:lvlText w:val="•"/>
      <w:lvlJc w:val="left"/>
      <w:pPr>
        <w:ind w:left="814" w:hanging="100"/>
      </w:pPr>
      <w:rPr>
        <w:rFonts w:hint="default"/>
      </w:rPr>
    </w:lvl>
    <w:lvl w:ilvl="4" w:tplc="B3A6688E">
      <w:numFmt w:val="bullet"/>
      <w:lvlText w:val="•"/>
      <w:lvlJc w:val="left"/>
      <w:pPr>
        <w:ind w:left="1101" w:hanging="100"/>
      </w:pPr>
      <w:rPr>
        <w:rFonts w:hint="default"/>
      </w:rPr>
    </w:lvl>
    <w:lvl w:ilvl="5" w:tplc="A7585956">
      <w:numFmt w:val="bullet"/>
      <w:lvlText w:val="•"/>
      <w:lvlJc w:val="left"/>
      <w:pPr>
        <w:ind w:left="1388" w:hanging="100"/>
      </w:pPr>
      <w:rPr>
        <w:rFonts w:hint="default"/>
      </w:rPr>
    </w:lvl>
    <w:lvl w:ilvl="6" w:tplc="BE901B56">
      <w:numFmt w:val="bullet"/>
      <w:lvlText w:val="•"/>
      <w:lvlJc w:val="left"/>
      <w:pPr>
        <w:ind w:left="1675" w:hanging="100"/>
      </w:pPr>
      <w:rPr>
        <w:rFonts w:hint="default"/>
      </w:rPr>
    </w:lvl>
    <w:lvl w:ilvl="7" w:tplc="F46C7658">
      <w:numFmt w:val="bullet"/>
      <w:lvlText w:val="•"/>
      <w:lvlJc w:val="left"/>
      <w:pPr>
        <w:ind w:left="1962" w:hanging="100"/>
      </w:pPr>
      <w:rPr>
        <w:rFonts w:hint="default"/>
      </w:rPr>
    </w:lvl>
    <w:lvl w:ilvl="8" w:tplc="A5A4F2BE">
      <w:numFmt w:val="bullet"/>
      <w:lvlText w:val="•"/>
      <w:lvlJc w:val="left"/>
      <w:pPr>
        <w:ind w:left="2249" w:hanging="100"/>
      </w:pPr>
      <w:rPr>
        <w:rFonts w:hint="default"/>
      </w:rPr>
    </w:lvl>
  </w:abstractNum>
  <w:abstractNum w:abstractNumId="1688" w15:restartNumberingAfterBreak="0">
    <w:nsid w:val="6B6544E2"/>
    <w:multiLevelType w:val="hybridMultilevel"/>
    <w:tmpl w:val="995850C6"/>
    <w:lvl w:ilvl="0" w:tplc="0F1601CC">
      <w:numFmt w:val="bullet"/>
      <w:lvlText w:val="–"/>
      <w:lvlJc w:val="left"/>
      <w:pPr>
        <w:ind w:left="162" w:hanging="105"/>
      </w:pPr>
      <w:rPr>
        <w:rFonts w:ascii="Times New Roman" w:eastAsia="Times New Roman" w:hAnsi="Times New Roman" w:cs="Times New Roman" w:hint="default"/>
        <w:color w:val="231F20"/>
        <w:spacing w:val="-9"/>
        <w:w w:val="100"/>
        <w:sz w:val="14"/>
        <w:szCs w:val="14"/>
      </w:rPr>
    </w:lvl>
    <w:lvl w:ilvl="1" w:tplc="6674E3BE">
      <w:numFmt w:val="bullet"/>
      <w:lvlText w:val="•"/>
      <w:lvlJc w:val="left"/>
      <w:pPr>
        <w:ind w:left="426" w:hanging="105"/>
      </w:pPr>
      <w:rPr>
        <w:rFonts w:hint="default"/>
      </w:rPr>
    </w:lvl>
    <w:lvl w:ilvl="2" w:tplc="A7F4EAB8">
      <w:numFmt w:val="bullet"/>
      <w:lvlText w:val="•"/>
      <w:lvlJc w:val="left"/>
      <w:pPr>
        <w:ind w:left="692" w:hanging="105"/>
      </w:pPr>
      <w:rPr>
        <w:rFonts w:hint="default"/>
      </w:rPr>
    </w:lvl>
    <w:lvl w:ilvl="3" w:tplc="46C68C9E">
      <w:numFmt w:val="bullet"/>
      <w:lvlText w:val="•"/>
      <w:lvlJc w:val="left"/>
      <w:pPr>
        <w:ind w:left="959" w:hanging="105"/>
      </w:pPr>
      <w:rPr>
        <w:rFonts w:hint="default"/>
      </w:rPr>
    </w:lvl>
    <w:lvl w:ilvl="4" w:tplc="00B0C070">
      <w:numFmt w:val="bullet"/>
      <w:lvlText w:val="•"/>
      <w:lvlJc w:val="left"/>
      <w:pPr>
        <w:ind w:left="1225" w:hanging="105"/>
      </w:pPr>
      <w:rPr>
        <w:rFonts w:hint="default"/>
      </w:rPr>
    </w:lvl>
    <w:lvl w:ilvl="5" w:tplc="119292B2">
      <w:numFmt w:val="bullet"/>
      <w:lvlText w:val="•"/>
      <w:lvlJc w:val="left"/>
      <w:pPr>
        <w:ind w:left="1492" w:hanging="105"/>
      </w:pPr>
      <w:rPr>
        <w:rFonts w:hint="default"/>
      </w:rPr>
    </w:lvl>
    <w:lvl w:ilvl="6" w:tplc="437EAAA0">
      <w:numFmt w:val="bullet"/>
      <w:lvlText w:val="•"/>
      <w:lvlJc w:val="left"/>
      <w:pPr>
        <w:ind w:left="1758" w:hanging="105"/>
      </w:pPr>
      <w:rPr>
        <w:rFonts w:hint="default"/>
      </w:rPr>
    </w:lvl>
    <w:lvl w:ilvl="7" w:tplc="6E7ACD10">
      <w:numFmt w:val="bullet"/>
      <w:lvlText w:val="•"/>
      <w:lvlJc w:val="left"/>
      <w:pPr>
        <w:ind w:left="2024" w:hanging="105"/>
      </w:pPr>
      <w:rPr>
        <w:rFonts w:hint="default"/>
      </w:rPr>
    </w:lvl>
    <w:lvl w:ilvl="8" w:tplc="9C420D10">
      <w:numFmt w:val="bullet"/>
      <w:lvlText w:val="•"/>
      <w:lvlJc w:val="left"/>
      <w:pPr>
        <w:ind w:left="2291" w:hanging="105"/>
      </w:pPr>
      <w:rPr>
        <w:rFonts w:hint="default"/>
      </w:rPr>
    </w:lvl>
  </w:abstractNum>
  <w:abstractNum w:abstractNumId="1689" w15:restartNumberingAfterBreak="0">
    <w:nsid w:val="6B684746"/>
    <w:multiLevelType w:val="hybridMultilevel"/>
    <w:tmpl w:val="3690B90A"/>
    <w:lvl w:ilvl="0" w:tplc="5A6EAD34">
      <w:numFmt w:val="bullet"/>
      <w:lvlText w:val=""/>
      <w:lvlJc w:val="left"/>
      <w:pPr>
        <w:ind w:left="156" w:hanging="100"/>
      </w:pPr>
      <w:rPr>
        <w:rFonts w:ascii="Symbol" w:eastAsia="Symbol" w:hAnsi="Symbol" w:cs="Symbol" w:hint="default"/>
        <w:color w:val="231F20"/>
        <w:w w:val="100"/>
        <w:sz w:val="14"/>
        <w:szCs w:val="14"/>
      </w:rPr>
    </w:lvl>
    <w:lvl w:ilvl="1" w:tplc="5986E10C">
      <w:numFmt w:val="bullet"/>
      <w:lvlText w:val="•"/>
      <w:lvlJc w:val="left"/>
      <w:pPr>
        <w:ind w:left="301" w:hanging="100"/>
      </w:pPr>
      <w:rPr>
        <w:rFonts w:hint="default"/>
      </w:rPr>
    </w:lvl>
    <w:lvl w:ilvl="2" w:tplc="0BF4F01A">
      <w:numFmt w:val="bullet"/>
      <w:lvlText w:val="•"/>
      <w:lvlJc w:val="left"/>
      <w:pPr>
        <w:ind w:left="443" w:hanging="100"/>
      </w:pPr>
      <w:rPr>
        <w:rFonts w:hint="default"/>
      </w:rPr>
    </w:lvl>
    <w:lvl w:ilvl="3" w:tplc="A6D6060C">
      <w:numFmt w:val="bullet"/>
      <w:lvlText w:val="•"/>
      <w:lvlJc w:val="left"/>
      <w:pPr>
        <w:ind w:left="585" w:hanging="100"/>
      </w:pPr>
      <w:rPr>
        <w:rFonts w:hint="default"/>
      </w:rPr>
    </w:lvl>
    <w:lvl w:ilvl="4" w:tplc="66D0A12C">
      <w:numFmt w:val="bullet"/>
      <w:lvlText w:val="•"/>
      <w:lvlJc w:val="left"/>
      <w:pPr>
        <w:ind w:left="726" w:hanging="100"/>
      </w:pPr>
      <w:rPr>
        <w:rFonts w:hint="default"/>
      </w:rPr>
    </w:lvl>
    <w:lvl w:ilvl="5" w:tplc="B48AB752">
      <w:numFmt w:val="bullet"/>
      <w:lvlText w:val="•"/>
      <w:lvlJc w:val="left"/>
      <w:pPr>
        <w:ind w:left="868" w:hanging="100"/>
      </w:pPr>
      <w:rPr>
        <w:rFonts w:hint="default"/>
      </w:rPr>
    </w:lvl>
    <w:lvl w:ilvl="6" w:tplc="77DEDC06">
      <w:numFmt w:val="bullet"/>
      <w:lvlText w:val="•"/>
      <w:lvlJc w:val="left"/>
      <w:pPr>
        <w:ind w:left="1010" w:hanging="100"/>
      </w:pPr>
      <w:rPr>
        <w:rFonts w:hint="default"/>
      </w:rPr>
    </w:lvl>
    <w:lvl w:ilvl="7" w:tplc="8EE45B52">
      <w:numFmt w:val="bullet"/>
      <w:lvlText w:val="•"/>
      <w:lvlJc w:val="left"/>
      <w:pPr>
        <w:ind w:left="1151" w:hanging="100"/>
      </w:pPr>
      <w:rPr>
        <w:rFonts w:hint="default"/>
      </w:rPr>
    </w:lvl>
    <w:lvl w:ilvl="8" w:tplc="D8302670">
      <w:numFmt w:val="bullet"/>
      <w:lvlText w:val="•"/>
      <w:lvlJc w:val="left"/>
      <w:pPr>
        <w:ind w:left="1293" w:hanging="100"/>
      </w:pPr>
      <w:rPr>
        <w:rFonts w:hint="default"/>
      </w:rPr>
    </w:lvl>
  </w:abstractNum>
  <w:abstractNum w:abstractNumId="1690" w15:restartNumberingAfterBreak="0">
    <w:nsid w:val="6B951224"/>
    <w:multiLevelType w:val="hybridMultilevel"/>
    <w:tmpl w:val="68200216"/>
    <w:lvl w:ilvl="0" w:tplc="7856DBB8">
      <w:numFmt w:val="bullet"/>
      <w:lvlText w:val=""/>
      <w:lvlJc w:val="left"/>
      <w:pPr>
        <w:ind w:left="156" w:hanging="100"/>
      </w:pPr>
      <w:rPr>
        <w:rFonts w:ascii="Symbol" w:eastAsia="Symbol" w:hAnsi="Symbol" w:cs="Symbol" w:hint="default"/>
        <w:color w:val="231F20"/>
        <w:w w:val="100"/>
        <w:sz w:val="14"/>
        <w:szCs w:val="14"/>
      </w:rPr>
    </w:lvl>
    <w:lvl w:ilvl="1" w:tplc="B8948D32">
      <w:numFmt w:val="bullet"/>
      <w:lvlText w:val="•"/>
      <w:lvlJc w:val="left"/>
      <w:pPr>
        <w:ind w:left="426" w:hanging="100"/>
      </w:pPr>
      <w:rPr>
        <w:rFonts w:hint="default"/>
      </w:rPr>
    </w:lvl>
    <w:lvl w:ilvl="2" w:tplc="52B20A58">
      <w:numFmt w:val="bullet"/>
      <w:lvlText w:val="•"/>
      <w:lvlJc w:val="left"/>
      <w:pPr>
        <w:ind w:left="692" w:hanging="100"/>
      </w:pPr>
      <w:rPr>
        <w:rFonts w:hint="default"/>
      </w:rPr>
    </w:lvl>
    <w:lvl w:ilvl="3" w:tplc="5782A104">
      <w:numFmt w:val="bullet"/>
      <w:lvlText w:val="•"/>
      <w:lvlJc w:val="left"/>
      <w:pPr>
        <w:ind w:left="959" w:hanging="100"/>
      </w:pPr>
      <w:rPr>
        <w:rFonts w:hint="default"/>
      </w:rPr>
    </w:lvl>
    <w:lvl w:ilvl="4" w:tplc="7F5EA374">
      <w:numFmt w:val="bullet"/>
      <w:lvlText w:val="•"/>
      <w:lvlJc w:val="left"/>
      <w:pPr>
        <w:ind w:left="1225" w:hanging="100"/>
      </w:pPr>
      <w:rPr>
        <w:rFonts w:hint="default"/>
      </w:rPr>
    </w:lvl>
    <w:lvl w:ilvl="5" w:tplc="2A88E980">
      <w:numFmt w:val="bullet"/>
      <w:lvlText w:val="•"/>
      <w:lvlJc w:val="left"/>
      <w:pPr>
        <w:ind w:left="1492" w:hanging="100"/>
      </w:pPr>
      <w:rPr>
        <w:rFonts w:hint="default"/>
      </w:rPr>
    </w:lvl>
    <w:lvl w:ilvl="6" w:tplc="72EAE18A">
      <w:numFmt w:val="bullet"/>
      <w:lvlText w:val="•"/>
      <w:lvlJc w:val="left"/>
      <w:pPr>
        <w:ind w:left="1758" w:hanging="100"/>
      </w:pPr>
      <w:rPr>
        <w:rFonts w:hint="default"/>
      </w:rPr>
    </w:lvl>
    <w:lvl w:ilvl="7" w:tplc="FFC0EEC2">
      <w:numFmt w:val="bullet"/>
      <w:lvlText w:val="•"/>
      <w:lvlJc w:val="left"/>
      <w:pPr>
        <w:ind w:left="2024" w:hanging="100"/>
      </w:pPr>
      <w:rPr>
        <w:rFonts w:hint="default"/>
      </w:rPr>
    </w:lvl>
    <w:lvl w:ilvl="8" w:tplc="261C4D98">
      <w:numFmt w:val="bullet"/>
      <w:lvlText w:val="•"/>
      <w:lvlJc w:val="left"/>
      <w:pPr>
        <w:ind w:left="2291" w:hanging="100"/>
      </w:pPr>
      <w:rPr>
        <w:rFonts w:hint="default"/>
      </w:rPr>
    </w:lvl>
  </w:abstractNum>
  <w:abstractNum w:abstractNumId="1691" w15:restartNumberingAfterBreak="0">
    <w:nsid w:val="6BA15304"/>
    <w:multiLevelType w:val="hybridMultilevel"/>
    <w:tmpl w:val="07D27AF8"/>
    <w:lvl w:ilvl="0" w:tplc="20D28782">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07D6FC12">
      <w:numFmt w:val="bullet"/>
      <w:lvlText w:val="•"/>
      <w:lvlJc w:val="left"/>
      <w:pPr>
        <w:ind w:left="426" w:hanging="105"/>
      </w:pPr>
      <w:rPr>
        <w:rFonts w:hint="default"/>
      </w:rPr>
    </w:lvl>
    <w:lvl w:ilvl="2" w:tplc="E32805BA">
      <w:numFmt w:val="bullet"/>
      <w:lvlText w:val="•"/>
      <w:lvlJc w:val="left"/>
      <w:pPr>
        <w:ind w:left="692" w:hanging="105"/>
      </w:pPr>
      <w:rPr>
        <w:rFonts w:hint="default"/>
      </w:rPr>
    </w:lvl>
    <w:lvl w:ilvl="3" w:tplc="2C3A12C6">
      <w:numFmt w:val="bullet"/>
      <w:lvlText w:val="•"/>
      <w:lvlJc w:val="left"/>
      <w:pPr>
        <w:ind w:left="959" w:hanging="105"/>
      </w:pPr>
      <w:rPr>
        <w:rFonts w:hint="default"/>
      </w:rPr>
    </w:lvl>
    <w:lvl w:ilvl="4" w:tplc="7FA66B08">
      <w:numFmt w:val="bullet"/>
      <w:lvlText w:val="•"/>
      <w:lvlJc w:val="left"/>
      <w:pPr>
        <w:ind w:left="1225" w:hanging="105"/>
      </w:pPr>
      <w:rPr>
        <w:rFonts w:hint="default"/>
      </w:rPr>
    </w:lvl>
    <w:lvl w:ilvl="5" w:tplc="A0043196">
      <w:numFmt w:val="bullet"/>
      <w:lvlText w:val="•"/>
      <w:lvlJc w:val="left"/>
      <w:pPr>
        <w:ind w:left="1492" w:hanging="105"/>
      </w:pPr>
      <w:rPr>
        <w:rFonts w:hint="default"/>
      </w:rPr>
    </w:lvl>
    <w:lvl w:ilvl="6" w:tplc="D6FAB6D8">
      <w:numFmt w:val="bullet"/>
      <w:lvlText w:val="•"/>
      <w:lvlJc w:val="left"/>
      <w:pPr>
        <w:ind w:left="1758" w:hanging="105"/>
      </w:pPr>
      <w:rPr>
        <w:rFonts w:hint="default"/>
      </w:rPr>
    </w:lvl>
    <w:lvl w:ilvl="7" w:tplc="F8F42FDA">
      <w:numFmt w:val="bullet"/>
      <w:lvlText w:val="•"/>
      <w:lvlJc w:val="left"/>
      <w:pPr>
        <w:ind w:left="2024" w:hanging="105"/>
      </w:pPr>
      <w:rPr>
        <w:rFonts w:hint="default"/>
      </w:rPr>
    </w:lvl>
    <w:lvl w:ilvl="8" w:tplc="44921014">
      <w:numFmt w:val="bullet"/>
      <w:lvlText w:val="•"/>
      <w:lvlJc w:val="left"/>
      <w:pPr>
        <w:ind w:left="2291" w:hanging="105"/>
      </w:pPr>
      <w:rPr>
        <w:rFonts w:hint="default"/>
      </w:rPr>
    </w:lvl>
  </w:abstractNum>
  <w:abstractNum w:abstractNumId="1692" w15:restartNumberingAfterBreak="0">
    <w:nsid w:val="6BAD204E"/>
    <w:multiLevelType w:val="hybridMultilevel"/>
    <w:tmpl w:val="0EAAEC78"/>
    <w:lvl w:ilvl="0" w:tplc="5EC0878E">
      <w:numFmt w:val="bullet"/>
      <w:lvlText w:val=""/>
      <w:lvlJc w:val="left"/>
      <w:pPr>
        <w:ind w:left="157" w:hanging="100"/>
      </w:pPr>
      <w:rPr>
        <w:rFonts w:ascii="Symbol" w:eastAsia="Symbol" w:hAnsi="Symbol" w:cs="Symbol" w:hint="default"/>
        <w:color w:val="231F20"/>
        <w:w w:val="100"/>
        <w:sz w:val="14"/>
        <w:szCs w:val="14"/>
      </w:rPr>
    </w:lvl>
    <w:lvl w:ilvl="1" w:tplc="BE289314">
      <w:numFmt w:val="bullet"/>
      <w:lvlText w:val="•"/>
      <w:lvlJc w:val="left"/>
      <w:pPr>
        <w:ind w:left="426" w:hanging="100"/>
      </w:pPr>
      <w:rPr>
        <w:rFonts w:hint="default"/>
      </w:rPr>
    </w:lvl>
    <w:lvl w:ilvl="2" w:tplc="FF089DCA">
      <w:numFmt w:val="bullet"/>
      <w:lvlText w:val="•"/>
      <w:lvlJc w:val="left"/>
      <w:pPr>
        <w:ind w:left="692" w:hanging="100"/>
      </w:pPr>
      <w:rPr>
        <w:rFonts w:hint="default"/>
      </w:rPr>
    </w:lvl>
    <w:lvl w:ilvl="3" w:tplc="C6BA676E">
      <w:numFmt w:val="bullet"/>
      <w:lvlText w:val="•"/>
      <w:lvlJc w:val="left"/>
      <w:pPr>
        <w:ind w:left="959" w:hanging="100"/>
      </w:pPr>
      <w:rPr>
        <w:rFonts w:hint="default"/>
      </w:rPr>
    </w:lvl>
    <w:lvl w:ilvl="4" w:tplc="3C169F14">
      <w:numFmt w:val="bullet"/>
      <w:lvlText w:val="•"/>
      <w:lvlJc w:val="left"/>
      <w:pPr>
        <w:ind w:left="1225" w:hanging="100"/>
      </w:pPr>
      <w:rPr>
        <w:rFonts w:hint="default"/>
      </w:rPr>
    </w:lvl>
    <w:lvl w:ilvl="5" w:tplc="60FAC3EE">
      <w:numFmt w:val="bullet"/>
      <w:lvlText w:val="•"/>
      <w:lvlJc w:val="left"/>
      <w:pPr>
        <w:ind w:left="1492" w:hanging="100"/>
      </w:pPr>
      <w:rPr>
        <w:rFonts w:hint="default"/>
      </w:rPr>
    </w:lvl>
    <w:lvl w:ilvl="6" w:tplc="2E5288FE">
      <w:numFmt w:val="bullet"/>
      <w:lvlText w:val="•"/>
      <w:lvlJc w:val="left"/>
      <w:pPr>
        <w:ind w:left="1758" w:hanging="100"/>
      </w:pPr>
      <w:rPr>
        <w:rFonts w:hint="default"/>
      </w:rPr>
    </w:lvl>
    <w:lvl w:ilvl="7" w:tplc="F28A315E">
      <w:numFmt w:val="bullet"/>
      <w:lvlText w:val="•"/>
      <w:lvlJc w:val="left"/>
      <w:pPr>
        <w:ind w:left="2024" w:hanging="100"/>
      </w:pPr>
      <w:rPr>
        <w:rFonts w:hint="default"/>
      </w:rPr>
    </w:lvl>
    <w:lvl w:ilvl="8" w:tplc="58701662">
      <w:numFmt w:val="bullet"/>
      <w:lvlText w:val="•"/>
      <w:lvlJc w:val="left"/>
      <w:pPr>
        <w:ind w:left="2291" w:hanging="100"/>
      </w:pPr>
      <w:rPr>
        <w:rFonts w:hint="default"/>
      </w:rPr>
    </w:lvl>
  </w:abstractNum>
  <w:abstractNum w:abstractNumId="1693" w15:restartNumberingAfterBreak="0">
    <w:nsid w:val="6BC41119"/>
    <w:multiLevelType w:val="hybridMultilevel"/>
    <w:tmpl w:val="1CDC902A"/>
    <w:lvl w:ilvl="0" w:tplc="1CFAE39A">
      <w:numFmt w:val="bullet"/>
      <w:lvlText w:val=""/>
      <w:lvlJc w:val="left"/>
      <w:pPr>
        <w:ind w:left="156" w:hanging="100"/>
      </w:pPr>
      <w:rPr>
        <w:rFonts w:ascii="Symbol" w:eastAsia="Symbol" w:hAnsi="Symbol" w:cs="Symbol" w:hint="default"/>
        <w:color w:val="231F20"/>
        <w:w w:val="100"/>
        <w:sz w:val="14"/>
        <w:szCs w:val="14"/>
      </w:rPr>
    </w:lvl>
    <w:lvl w:ilvl="1" w:tplc="0AFE1962">
      <w:numFmt w:val="bullet"/>
      <w:lvlText w:val="•"/>
      <w:lvlJc w:val="left"/>
      <w:pPr>
        <w:ind w:left="301" w:hanging="100"/>
      </w:pPr>
      <w:rPr>
        <w:rFonts w:hint="default"/>
      </w:rPr>
    </w:lvl>
    <w:lvl w:ilvl="2" w:tplc="0B32F26A">
      <w:numFmt w:val="bullet"/>
      <w:lvlText w:val="•"/>
      <w:lvlJc w:val="left"/>
      <w:pPr>
        <w:ind w:left="443" w:hanging="100"/>
      </w:pPr>
      <w:rPr>
        <w:rFonts w:hint="default"/>
      </w:rPr>
    </w:lvl>
    <w:lvl w:ilvl="3" w:tplc="4EA47A60">
      <w:numFmt w:val="bullet"/>
      <w:lvlText w:val="•"/>
      <w:lvlJc w:val="left"/>
      <w:pPr>
        <w:ind w:left="585" w:hanging="100"/>
      </w:pPr>
      <w:rPr>
        <w:rFonts w:hint="default"/>
      </w:rPr>
    </w:lvl>
    <w:lvl w:ilvl="4" w:tplc="4F9A5E70">
      <w:numFmt w:val="bullet"/>
      <w:lvlText w:val="•"/>
      <w:lvlJc w:val="left"/>
      <w:pPr>
        <w:ind w:left="726" w:hanging="100"/>
      </w:pPr>
      <w:rPr>
        <w:rFonts w:hint="default"/>
      </w:rPr>
    </w:lvl>
    <w:lvl w:ilvl="5" w:tplc="82F0B306">
      <w:numFmt w:val="bullet"/>
      <w:lvlText w:val="•"/>
      <w:lvlJc w:val="left"/>
      <w:pPr>
        <w:ind w:left="868" w:hanging="100"/>
      </w:pPr>
      <w:rPr>
        <w:rFonts w:hint="default"/>
      </w:rPr>
    </w:lvl>
    <w:lvl w:ilvl="6" w:tplc="8820B9F2">
      <w:numFmt w:val="bullet"/>
      <w:lvlText w:val="•"/>
      <w:lvlJc w:val="left"/>
      <w:pPr>
        <w:ind w:left="1010" w:hanging="100"/>
      </w:pPr>
      <w:rPr>
        <w:rFonts w:hint="default"/>
      </w:rPr>
    </w:lvl>
    <w:lvl w:ilvl="7" w:tplc="EB4AF7B2">
      <w:numFmt w:val="bullet"/>
      <w:lvlText w:val="•"/>
      <w:lvlJc w:val="left"/>
      <w:pPr>
        <w:ind w:left="1151" w:hanging="100"/>
      </w:pPr>
      <w:rPr>
        <w:rFonts w:hint="default"/>
      </w:rPr>
    </w:lvl>
    <w:lvl w:ilvl="8" w:tplc="228A8B62">
      <w:numFmt w:val="bullet"/>
      <w:lvlText w:val="•"/>
      <w:lvlJc w:val="left"/>
      <w:pPr>
        <w:ind w:left="1293" w:hanging="100"/>
      </w:pPr>
      <w:rPr>
        <w:rFonts w:hint="default"/>
      </w:rPr>
    </w:lvl>
  </w:abstractNum>
  <w:abstractNum w:abstractNumId="1694" w15:restartNumberingAfterBreak="0">
    <w:nsid w:val="6BD630C0"/>
    <w:multiLevelType w:val="hybridMultilevel"/>
    <w:tmpl w:val="007E61AE"/>
    <w:lvl w:ilvl="0" w:tplc="D40EA0C2">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CBE48734">
      <w:numFmt w:val="bullet"/>
      <w:lvlText w:val="•"/>
      <w:lvlJc w:val="left"/>
      <w:pPr>
        <w:ind w:left="426" w:hanging="105"/>
      </w:pPr>
      <w:rPr>
        <w:rFonts w:hint="default"/>
      </w:rPr>
    </w:lvl>
    <w:lvl w:ilvl="2" w:tplc="53E29660">
      <w:numFmt w:val="bullet"/>
      <w:lvlText w:val="•"/>
      <w:lvlJc w:val="left"/>
      <w:pPr>
        <w:ind w:left="692" w:hanging="105"/>
      </w:pPr>
      <w:rPr>
        <w:rFonts w:hint="default"/>
      </w:rPr>
    </w:lvl>
    <w:lvl w:ilvl="3" w:tplc="7342315E">
      <w:numFmt w:val="bullet"/>
      <w:lvlText w:val="•"/>
      <w:lvlJc w:val="left"/>
      <w:pPr>
        <w:ind w:left="959" w:hanging="105"/>
      </w:pPr>
      <w:rPr>
        <w:rFonts w:hint="default"/>
      </w:rPr>
    </w:lvl>
    <w:lvl w:ilvl="4" w:tplc="341A2C08">
      <w:numFmt w:val="bullet"/>
      <w:lvlText w:val="•"/>
      <w:lvlJc w:val="left"/>
      <w:pPr>
        <w:ind w:left="1225" w:hanging="105"/>
      </w:pPr>
      <w:rPr>
        <w:rFonts w:hint="default"/>
      </w:rPr>
    </w:lvl>
    <w:lvl w:ilvl="5" w:tplc="BAA26E68">
      <w:numFmt w:val="bullet"/>
      <w:lvlText w:val="•"/>
      <w:lvlJc w:val="left"/>
      <w:pPr>
        <w:ind w:left="1492" w:hanging="105"/>
      </w:pPr>
      <w:rPr>
        <w:rFonts w:hint="default"/>
      </w:rPr>
    </w:lvl>
    <w:lvl w:ilvl="6" w:tplc="12F6D368">
      <w:numFmt w:val="bullet"/>
      <w:lvlText w:val="•"/>
      <w:lvlJc w:val="left"/>
      <w:pPr>
        <w:ind w:left="1758" w:hanging="105"/>
      </w:pPr>
      <w:rPr>
        <w:rFonts w:hint="default"/>
      </w:rPr>
    </w:lvl>
    <w:lvl w:ilvl="7" w:tplc="D45085C0">
      <w:numFmt w:val="bullet"/>
      <w:lvlText w:val="•"/>
      <w:lvlJc w:val="left"/>
      <w:pPr>
        <w:ind w:left="2024" w:hanging="105"/>
      </w:pPr>
      <w:rPr>
        <w:rFonts w:hint="default"/>
      </w:rPr>
    </w:lvl>
    <w:lvl w:ilvl="8" w:tplc="964C54FC">
      <w:numFmt w:val="bullet"/>
      <w:lvlText w:val="•"/>
      <w:lvlJc w:val="left"/>
      <w:pPr>
        <w:ind w:left="2291" w:hanging="105"/>
      </w:pPr>
      <w:rPr>
        <w:rFonts w:hint="default"/>
      </w:rPr>
    </w:lvl>
  </w:abstractNum>
  <w:abstractNum w:abstractNumId="1695" w15:restartNumberingAfterBreak="0">
    <w:nsid w:val="6BE80258"/>
    <w:multiLevelType w:val="hybridMultilevel"/>
    <w:tmpl w:val="3304A432"/>
    <w:lvl w:ilvl="0" w:tplc="BCEE8D5C">
      <w:numFmt w:val="bullet"/>
      <w:lvlText w:val=""/>
      <w:lvlJc w:val="left"/>
      <w:pPr>
        <w:ind w:left="157" w:hanging="100"/>
      </w:pPr>
      <w:rPr>
        <w:rFonts w:ascii="Symbol" w:eastAsia="Symbol" w:hAnsi="Symbol" w:cs="Symbol" w:hint="default"/>
        <w:color w:val="231F20"/>
        <w:w w:val="100"/>
        <w:sz w:val="14"/>
        <w:szCs w:val="14"/>
      </w:rPr>
    </w:lvl>
    <w:lvl w:ilvl="1" w:tplc="86F262D4">
      <w:numFmt w:val="bullet"/>
      <w:lvlText w:val="•"/>
      <w:lvlJc w:val="left"/>
      <w:pPr>
        <w:ind w:left="426" w:hanging="100"/>
      </w:pPr>
      <w:rPr>
        <w:rFonts w:hint="default"/>
      </w:rPr>
    </w:lvl>
    <w:lvl w:ilvl="2" w:tplc="FE802CF8">
      <w:numFmt w:val="bullet"/>
      <w:lvlText w:val="•"/>
      <w:lvlJc w:val="left"/>
      <w:pPr>
        <w:ind w:left="692" w:hanging="100"/>
      </w:pPr>
      <w:rPr>
        <w:rFonts w:hint="default"/>
      </w:rPr>
    </w:lvl>
    <w:lvl w:ilvl="3" w:tplc="B0E85F44">
      <w:numFmt w:val="bullet"/>
      <w:lvlText w:val="•"/>
      <w:lvlJc w:val="left"/>
      <w:pPr>
        <w:ind w:left="959" w:hanging="100"/>
      </w:pPr>
      <w:rPr>
        <w:rFonts w:hint="default"/>
      </w:rPr>
    </w:lvl>
    <w:lvl w:ilvl="4" w:tplc="37C4D2E6">
      <w:numFmt w:val="bullet"/>
      <w:lvlText w:val="•"/>
      <w:lvlJc w:val="left"/>
      <w:pPr>
        <w:ind w:left="1225" w:hanging="100"/>
      </w:pPr>
      <w:rPr>
        <w:rFonts w:hint="default"/>
      </w:rPr>
    </w:lvl>
    <w:lvl w:ilvl="5" w:tplc="5074D6BE">
      <w:numFmt w:val="bullet"/>
      <w:lvlText w:val="•"/>
      <w:lvlJc w:val="left"/>
      <w:pPr>
        <w:ind w:left="1492" w:hanging="100"/>
      </w:pPr>
      <w:rPr>
        <w:rFonts w:hint="default"/>
      </w:rPr>
    </w:lvl>
    <w:lvl w:ilvl="6" w:tplc="D8D4CE78">
      <w:numFmt w:val="bullet"/>
      <w:lvlText w:val="•"/>
      <w:lvlJc w:val="left"/>
      <w:pPr>
        <w:ind w:left="1758" w:hanging="100"/>
      </w:pPr>
      <w:rPr>
        <w:rFonts w:hint="default"/>
      </w:rPr>
    </w:lvl>
    <w:lvl w:ilvl="7" w:tplc="669031D8">
      <w:numFmt w:val="bullet"/>
      <w:lvlText w:val="•"/>
      <w:lvlJc w:val="left"/>
      <w:pPr>
        <w:ind w:left="2024" w:hanging="100"/>
      </w:pPr>
      <w:rPr>
        <w:rFonts w:hint="default"/>
      </w:rPr>
    </w:lvl>
    <w:lvl w:ilvl="8" w:tplc="B52E3328">
      <w:numFmt w:val="bullet"/>
      <w:lvlText w:val="•"/>
      <w:lvlJc w:val="left"/>
      <w:pPr>
        <w:ind w:left="2291" w:hanging="100"/>
      </w:pPr>
      <w:rPr>
        <w:rFonts w:hint="default"/>
      </w:rPr>
    </w:lvl>
  </w:abstractNum>
  <w:abstractNum w:abstractNumId="1696" w15:restartNumberingAfterBreak="0">
    <w:nsid w:val="6BED42E9"/>
    <w:multiLevelType w:val="hybridMultilevel"/>
    <w:tmpl w:val="6F0EFAD6"/>
    <w:lvl w:ilvl="0" w:tplc="77403012">
      <w:numFmt w:val="bullet"/>
      <w:lvlText w:val=""/>
      <w:lvlJc w:val="left"/>
      <w:pPr>
        <w:ind w:left="157" w:hanging="100"/>
      </w:pPr>
      <w:rPr>
        <w:rFonts w:ascii="Symbol" w:eastAsia="Symbol" w:hAnsi="Symbol" w:cs="Symbol" w:hint="default"/>
        <w:color w:val="231F20"/>
        <w:w w:val="100"/>
        <w:sz w:val="14"/>
        <w:szCs w:val="14"/>
      </w:rPr>
    </w:lvl>
    <w:lvl w:ilvl="1" w:tplc="8FD8CD70">
      <w:numFmt w:val="bullet"/>
      <w:lvlText w:val="•"/>
      <w:lvlJc w:val="left"/>
      <w:pPr>
        <w:ind w:left="369" w:hanging="100"/>
      </w:pPr>
      <w:rPr>
        <w:rFonts w:hint="default"/>
      </w:rPr>
    </w:lvl>
    <w:lvl w:ilvl="2" w:tplc="DA3A6B6E">
      <w:numFmt w:val="bullet"/>
      <w:lvlText w:val="•"/>
      <w:lvlJc w:val="left"/>
      <w:pPr>
        <w:ind w:left="579" w:hanging="100"/>
      </w:pPr>
      <w:rPr>
        <w:rFonts w:hint="default"/>
      </w:rPr>
    </w:lvl>
    <w:lvl w:ilvl="3" w:tplc="E52A360A">
      <w:numFmt w:val="bullet"/>
      <w:lvlText w:val="•"/>
      <w:lvlJc w:val="left"/>
      <w:pPr>
        <w:ind w:left="789" w:hanging="100"/>
      </w:pPr>
      <w:rPr>
        <w:rFonts w:hint="default"/>
      </w:rPr>
    </w:lvl>
    <w:lvl w:ilvl="4" w:tplc="91F4A87E">
      <w:numFmt w:val="bullet"/>
      <w:lvlText w:val="•"/>
      <w:lvlJc w:val="left"/>
      <w:pPr>
        <w:ind w:left="998" w:hanging="100"/>
      </w:pPr>
      <w:rPr>
        <w:rFonts w:hint="default"/>
      </w:rPr>
    </w:lvl>
    <w:lvl w:ilvl="5" w:tplc="9A92809C">
      <w:numFmt w:val="bullet"/>
      <w:lvlText w:val="•"/>
      <w:lvlJc w:val="left"/>
      <w:pPr>
        <w:ind w:left="1208" w:hanging="100"/>
      </w:pPr>
      <w:rPr>
        <w:rFonts w:hint="default"/>
      </w:rPr>
    </w:lvl>
    <w:lvl w:ilvl="6" w:tplc="5D4454C2">
      <w:numFmt w:val="bullet"/>
      <w:lvlText w:val="•"/>
      <w:lvlJc w:val="left"/>
      <w:pPr>
        <w:ind w:left="1418" w:hanging="100"/>
      </w:pPr>
      <w:rPr>
        <w:rFonts w:hint="default"/>
      </w:rPr>
    </w:lvl>
    <w:lvl w:ilvl="7" w:tplc="FC94724A">
      <w:numFmt w:val="bullet"/>
      <w:lvlText w:val="•"/>
      <w:lvlJc w:val="left"/>
      <w:pPr>
        <w:ind w:left="1627" w:hanging="100"/>
      </w:pPr>
      <w:rPr>
        <w:rFonts w:hint="default"/>
      </w:rPr>
    </w:lvl>
    <w:lvl w:ilvl="8" w:tplc="2370CB72">
      <w:numFmt w:val="bullet"/>
      <w:lvlText w:val="•"/>
      <w:lvlJc w:val="left"/>
      <w:pPr>
        <w:ind w:left="1837" w:hanging="100"/>
      </w:pPr>
      <w:rPr>
        <w:rFonts w:hint="default"/>
      </w:rPr>
    </w:lvl>
  </w:abstractNum>
  <w:abstractNum w:abstractNumId="1697" w15:restartNumberingAfterBreak="0">
    <w:nsid w:val="6C170336"/>
    <w:multiLevelType w:val="hybridMultilevel"/>
    <w:tmpl w:val="B0A66A28"/>
    <w:lvl w:ilvl="0" w:tplc="FE50FC1C">
      <w:numFmt w:val="bullet"/>
      <w:lvlText w:val=""/>
      <w:lvlJc w:val="left"/>
      <w:pPr>
        <w:ind w:left="157" w:hanging="100"/>
      </w:pPr>
      <w:rPr>
        <w:rFonts w:ascii="Symbol" w:eastAsia="Symbol" w:hAnsi="Symbol" w:cs="Symbol" w:hint="default"/>
        <w:color w:val="231F20"/>
        <w:w w:val="100"/>
        <w:sz w:val="14"/>
        <w:szCs w:val="14"/>
      </w:rPr>
    </w:lvl>
    <w:lvl w:ilvl="1" w:tplc="6A0A626C">
      <w:numFmt w:val="bullet"/>
      <w:lvlText w:val="•"/>
      <w:lvlJc w:val="left"/>
      <w:pPr>
        <w:ind w:left="426" w:hanging="100"/>
      </w:pPr>
      <w:rPr>
        <w:rFonts w:hint="default"/>
      </w:rPr>
    </w:lvl>
    <w:lvl w:ilvl="2" w:tplc="25A6CD68">
      <w:numFmt w:val="bullet"/>
      <w:lvlText w:val="•"/>
      <w:lvlJc w:val="left"/>
      <w:pPr>
        <w:ind w:left="692" w:hanging="100"/>
      </w:pPr>
      <w:rPr>
        <w:rFonts w:hint="default"/>
      </w:rPr>
    </w:lvl>
    <w:lvl w:ilvl="3" w:tplc="AEE881AE">
      <w:numFmt w:val="bullet"/>
      <w:lvlText w:val="•"/>
      <w:lvlJc w:val="left"/>
      <w:pPr>
        <w:ind w:left="959" w:hanging="100"/>
      </w:pPr>
      <w:rPr>
        <w:rFonts w:hint="default"/>
      </w:rPr>
    </w:lvl>
    <w:lvl w:ilvl="4" w:tplc="5A365EB2">
      <w:numFmt w:val="bullet"/>
      <w:lvlText w:val="•"/>
      <w:lvlJc w:val="left"/>
      <w:pPr>
        <w:ind w:left="1225" w:hanging="100"/>
      </w:pPr>
      <w:rPr>
        <w:rFonts w:hint="default"/>
      </w:rPr>
    </w:lvl>
    <w:lvl w:ilvl="5" w:tplc="473E7476">
      <w:numFmt w:val="bullet"/>
      <w:lvlText w:val="•"/>
      <w:lvlJc w:val="left"/>
      <w:pPr>
        <w:ind w:left="1492" w:hanging="100"/>
      </w:pPr>
      <w:rPr>
        <w:rFonts w:hint="default"/>
      </w:rPr>
    </w:lvl>
    <w:lvl w:ilvl="6" w:tplc="452AB744">
      <w:numFmt w:val="bullet"/>
      <w:lvlText w:val="•"/>
      <w:lvlJc w:val="left"/>
      <w:pPr>
        <w:ind w:left="1758" w:hanging="100"/>
      </w:pPr>
      <w:rPr>
        <w:rFonts w:hint="default"/>
      </w:rPr>
    </w:lvl>
    <w:lvl w:ilvl="7" w:tplc="5D981136">
      <w:numFmt w:val="bullet"/>
      <w:lvlText w:val="•"/>
      <w:lvlJc w:val="left"/>
      <w:pPr>
        <w:ind w:left="2024" w:hanging="100"/>
      </w:pPr>
      <w:rPr>
        <w:rFonts w:hint="default"/>
      </w:rPr>
    </w:lvl>
    <w:lvl w:ilvl="8" w:tplc="C0529892">
      <w:numFmt w:val="bullet"/>
      <w:lvlText w:val="•"/>
      <w:lvlJc w:val="left"/>
      <w:pPr>
        <w:ind w:left="2291" w:hanging="100"/>
      </w:pPr>
      <w:rPr>
        <w:rFonts w:hint="default"/>
      </w:rPr>
    </w:lvl>
  </w:abstractNum>
  <w:abstractNum w:abstractNumId="1698" w15:restartNumberingAfterBreak="0">
    <w:nsid w:val="6C221925"/>
    <w:multiLevelType w:val="hybridMultilevel"/>
    <w:tmpl w:val="BD2E442E"/>
    <w:lvl w:ilvl="0" w:tplc="2796218A">
      <w:numFmt w:val="bullet"/>
      <w:lvlText w:val=""/>
      <w:lvlJc w:val="left"/>
      <w:pPr>
        <w:ind w:left="156" w:hanging="100"/>
      </w:pPr>
      <w:rPr>
        <w:rFonts w:ascii="Symbol" w:eastAsia="Symbol" w:hAnsi="Symbol" w:cs="Symbol" w:hint="default"/>
        <w:color w:val="231F20"/>
        <w:w w:val="100"/>
        <w:sz w:val="14"/>
        <w:szCs w:val="14"/>
      </w:rPr>
    </w:lvl>
    <w:lvl w:ilvl="1" w:tplc="1EF60DAA">
      <w:numFmt w:val="bullet"/>
      <w:lvlText w:val="•"/>
      <w:lvlJc w:val="left"/>
      <w:pPr>
        <w:ind w:left="426" w:hanging="100"/>
      </w:pPr>
      <w:rPr>
        <w:rFonts w:hint="default"/>
      </w:rPr>
    </w:lvl>
    <w:lvl w:ilvl="2" w:tplc="6E30CA78">
      <w:numFmt w:val="bullet"/>
      <w:lvlText w:val="•"/>
      <w:lvlJc w:val="left"/>
      <w:pPr>
        <w:ind w:left="692" w:hanging="100"/>
      </w:pPr>
      <w:rPr>
        <w:rFonts w:hint="default"/>
      </w:rPr>
    </w:lvl>
    <w:lvl w:ilvl="3" w:tplc="1C86922C">
      <w:numFmt w:val="bullet"/>
      <w:lvlText w:val="•"/>
      <w:lvlJc w:val="left"/>
      <w:pPr>
        <w:ind w:left="959" w:hanging="100"/>
      </w:pPr>
      <w:rPr>
        <w:rFonts w:hint="default"/>
      </w:rPr>
    </w:lvl>
    <w:lvl w:ilvl="4" w:tplc="449C942E">
      <w:numFmt w:val="bullet"/>
      <w:lvlText w:val="•"/>
      <w:lvlJc w:val="left"/>
      <w:pPr>
        <w:ind w:left="1225" w:hanging="100"/>
      </w:pPr>
      <w:rPr>
        <w:rFonts w:hint="default"/>
      </w:rPr>
    </w:lvl>
    <w:lvl w:ilvl="5" w:tplc="4B06896E">
      <w:numFmt w:val="bullet"/>
      <w:lvlText w:val="•"/>
      <w:lvlJc w:val="left"/>
      <w:pPr>
        <w:ind w:left="1492" w:hanging="100"/>
      </w:pPr>
      <w:rPr>
        <w:rFonts w:hint="default"/>
      </w:rPr>
    </w:lvl>
    <w:lvl w:ilvl="6" w:tplc="B5785C88">
      <w:numFmt w:val="bullet"/>
      <w:lvlText w:val="•"/>
      <w:lvlJc w:val="left"/>
      <w:pPr>
        <w:ind w:left="1758" w:hanging="100"/>
      </w:pPr>
      <w:rPr>
        <w:rFonts w:hint="default"/>
      </w:rPr>
    </w:lvl>
    <w:lvl w:ilvl="7" w:tplc="3B9E85AC">
      <w:numFmt w:val="bullet"/>
      <w:lvlText w:val="•"/>
      <w:lvlJc w:val="left"/>
      <w:pPr>
        <w:ind w:left="2024" w:hanging="100"/>
      </w:pPr>
      <w:rPr>
        <w:rFonts w:hint="default"/>
      </w:rPr>
    </w:lvl>
    <w:lvl w:ilvl="8" w:tplc="8FD09FBE">
      <w:numFmt w:val="bullet"/>
      <w:lvlText w:val="•"/>
      <w:lvlJc w:val="left"/>
      <w:pPr>
        <w:ind w:left="2291" w:hanging="100"/>
      </w:pPr>
      <w:rPr>
        <w:rFonts w:hint="default"/>
      </w:rPr>
    </w:lvl>
  </w:abstractNum>
  <w:abstractNum w:abstractNumId="1699" w15:restartNumberingAfterBreak="0">
    <w:nsid w:val="6C24707C"/>
    <w:multiLevelType w:val="hybridMultilevel"/>
    <w:tmpl w:val="19DEB2AE"/>
    <w:lvl w:ilvl="0" w:tplc="5B1CDF0C">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6B76F78E">
      <w:numFmt w:val="bullet"/>
      <w:lvlText w:val="•"/>
      <w:lvlJc w:val="left"/>
      <w:pPr>
        <w:ind w:left="408" w:hanging="84"/>
      </w:pPr>
      <w:rPr>
        <w:rFonts w:hint="default"/>
      </w:rPr>
    </w:lvl>
    <w:lvl w:ilvl="2" w:tplc="973C6DF0">
      <w:numFmt w:val="bullet"/>
      <w:lvlText w:val="•"/>
      <w:lvlJc w:val="left"/>
      <w:pPr>
        <w:ind w:left="676" w:hanging="84"/>
      </w:pPr>
      <w:rPr>
        <w:rFonts w:hint="default"/>
      </w:rPr>
    </w:lvl>
    <w:lvl w:ilvl="3" w:tplc="F4B46050">
      <w:numFmt w:val="bullet"/>
      <w:lvlText w:val="•"/>
      <w:lvlJc w:val="left"/>
      <w:pPr>
        <w:ind w:left="945" w:hanging="84"/>
      </w:pPr>
      <w:rPr>
        <w:rFonts w:hint="default"/>
      </w:rPr>
    </w:lvl>
    <w:lvl w:ilvl="4" w:tplc="5AA6FD4A">
      <w:numFmt w:val="bullet"/>
      <w:lvlText w:val="•"/>
      <w:lvlJc w:val="left"/>
      <w:pPr>
        <w:ind w:left="1213" w:hanging="84"/>
      </w:pPr>
      <w:rPr>
        <w:rFonts w:hint="default"/>
      </w:rPr>
    </w:lvl>
    <w:lvl w:ilvl="5" w:tplc="C14C0A74">
      <w:numFmt w:val="bullet"/>
      <w:lvlText w:val="•"/>
      <w:lvlJc w:val="left"/>
      <w:pPr>
        <w:ind w:left="1482" w:hanging="84"/>
      </w:pPr>
      <w:rPr>
        <w:rFonts w:hint="default"/>
      </w:rPr>
    </w:lvl>
    <w:lvl w:ilvl="6" w:tplc="7624B834">
      <w:numFmt w:val="bullet"/>
      <w:lvlText w:val="•"/>
      <w:lvlJc w:val="left"/>
      <w:pPr>
        <w:ind w:left="1750" w:hanging="84"/>
      </w:pPr>
      <w:rPr>
        <w:rFonts w:hint="default"/>
      </w:rPr>
    </w:lvl>
    <w:lvl w:ilvl="7" w:tplc="2E746806">
      <w:numFmt w:val="bullet"/>
      <w:lvlText w:val="•"/>
      <w:lvlJc w:val="left"/>
      <w:pPr>
        <w:ind w:left="2018" w:hanging="84"/>
      </w:pPr>
      <w:rPr>
        <w:rFonts w:hint="default"/>
      </w:rPr>
    </w:lvl>
    <w:lvl w:ilvl="8" w:tplc="43CC5358">
      <w:numFmt w:val="bullet"/>
      <w:lvlText w:val="•"/>
      <w:lvlJc w:val="left"/>
      <w:pPr>
        <w:ind w:left="2287" w:hanging="84"/>
      </w:pPr>
      <w:rPr>
        <w:rFonts w:hint="default"/>
      </w:rPr>
    </w:lvl>
  </w:abstractNum>
  <w:abstractNum w:abstractNumId="1700" w15:restartNumberingAfterBreak="0">
    <w:nsid w:val="6C2D5423"/>
    <w:multiLevelType w:val="hybridMultilevel"/>
    <w:tmpl w:val="1C6A8F3E"/>
    <w:lvl w:ilvl="0" w:tplc="C93C8F7C">
      <w:numFmt w:val="bullet"/>
      <w:lvlText w:val=""/>
      <w:lvlJc w:val="left"/>
      <w:pPr>
        <w:ind w:left="157" w:hanging="100"/>
      </w:pPr>
      <w:rPr>
        <w:rFonts w:ascii="Symbol" w:eastAsia="Symbol" w:hAnsi="Symbol" w:cs="Symbol" w:hint="default"/>
        <w:color w:val="231F20"/>
        <w:w w:val="100"/>
        <w:sz w:val="14"/>
        <w:szCs w:val="14"/>
      </w:rPr>
    </w:lvl>
    <w:lvl w:ilvl="1" w:tplc="1AD84F2E">
      <w:numFmt w:val="bullet"/>
      <w:lvlText w:val="•"/>
      <w:lvlJc w:val="left"/>
      <w:pPr>
        <w:ind w:left="369" w:hanging="100"/>
      </w:pPr>
      <w:rPr>
        <w:rFonts w:hint="default"/>
      </w:rPr>
    </w:lvl>
    <w:lvl w:ilvl="2" w:tplc="0ACEC774">
      <w:numFmt w:val="bullet"/>
      <w:lvlText w:val="•"/>
      <w:lvlJc w:val="left"/>
      <w:pPr>
        <w:ind w:left="579" w:hanging="100"/>
      </w:pPr>
      <w:rPr>
        <w:rFonts w:hint="default"/>
      </w:rPr>
    </w:lvl>
    <w:lvl w:ilvl="3" w:tplc="27F8ACC4">
      <w:numFmt w:val="bullet"/>
      <w:lvlText w:val="•"/>
      <w:lvlJc w:val="left"/>
      <w:pPr>
        <w:ind w:left="789" w:hanging="100"/>
      </w:pPr>
      <w:rPr>
        <w:rFonts w:hint="default"/>
      </w:rPr>
    </w:lvl>
    <w:lvl w:ilvl="4" w:tplc="866EC00A">
      <w:numFmt w:val="bullet"/>
      <w:lvlText w:val="•"/>
      <w:lvlJc w:val="left"/>
      <w:pPr>
        <w:ind w:left="998" w:hanging="100"/>
      </w:pPr>
      <w:rPr>
        <w:rFonts w:hint="default"/>
      </w:rPr>
    </w:lvl>
    <w:lvl w:ilvl="5" w:tplc="DBEA297C">
      <w:numFmt w:val="bullet"/>
      <w:lvlText w:val="•"/>
      <w:lvlJc w:val="left"/>
      <w:pPr>
        <w:ind w:left="1208" w:hanging="100"/>
      </w:pPr>
      <w:rPr>
        <w:rFonts w:hint="default"/>
      </w:rPr>
    </w:lvl>
    <w:lvl w:ilvl="6" w:tplc="BF128B52">
      <w:numFmt w:val="bullet"/>
      <w:lvlText w:val="•"/>
      <w:lvlJc w:val="left"/>
      <w:pPr>
        <w:ind w:left="1418" w:hanging="100"/>
      </w:pPr>
      <w:rPr>
        <w:rFonts w:hint="default"/>
      </w:rPr>
    </w:lvl>
    <w:lvl w:ilvl="7" w:tplc="4DDAF6F6">
      <w:numFmt w:val="bullet"/>
      <w:lvlText w:val="•"/>
      <w:lvlJc w:val="left"/>
      <w:pPr>
        <w:ind w:left="1627" w:hanging="100"/>
      </w:pPr>
      <w:rPr>
        <w:rFonts w:hint="default"/>
      </w:rPr>
    </w:lvl>
    <w:lvl w:ilvl="8" w:tplc="EAEE3550">
      <w:numFmt w:val="bullet"/>
      <w:lvlText w:val="•"/>
      <w:lvlJc w:val="left"/>
      <w:pPr>
        <w:ind w:left="1837" w:hanging="100"/>
      </w:pPr>
      <w:rPr>
        <w:rFonts w:hint="default"/>
      </w:rPr>
    </w:lvl>
  </w:abstractNum>
  <w:abstractNum w:abstractNumId="1701" w15:restartNumberingAfterBreak="0">
    <w:nsid w:val="6C331CDA"/>
    <w:multiLevelType w:val="hybridMultilevel"/>
    <w:tmpl w:val="232A58FA"/>
    <w:lvl w:ilvl="0" w:tplc="DA34B9EA">
      <w:numFmt w:val="bullet"/>
      <w:lvlText w:val=""/>
      <w:lvlJc w:val="left"/>
      <w:pPr>
        <w:ind w:left="156" w:hanging="100"/>
      </w:pPr>
      <w:rPr>
        <w:rFonts w:ascii="Symbol" w:eastAsia="Symbol" w:hAnsi="Symbol" w:cs="Symbol" w:hint="default"/>
        <w:color w:val="231F20"/>
        <w:w w:val="100"/>
        <w:sz w:val="14"/>
        <w:szCs w:val="14"/>
      </w:rPr>
    </w:lvl>
    <w:lvl w:ilvl="1" w:tplc="B8AE8F86">
      <w:numFmt w:val="bullet"/>
      <w:lvlText w:val="•"/>
      <w:lvlJc w:val="left"/>
      <w:pPr>
        <w:ind w:left="426" w:hanging="100"/>
      </w:pPr>
      <w:rPr>
        <w:rFonts w:hint="default"/>
      </w:rPr>
    </w:lvl>
    <w:lvl w:ilvl="2" w:tplc="B03A2786">
      <w:numFmt w:val="bullet"/>
      <w:lvlText w:val="•"/>
      <w:lvlJc w:val="left"/>
      <w:pPr>
        <w:ind w:left="692" w:hanging="100"/>
      </w:pPr>
      <w:rPr>
        <w:rFonts w:hint="default"/>
      </w:rPr>
    </w:lvl>
    <w:lvl w:ilvl="3" w:tplc="984AEC86">
      <w:numFmt w:val="bullet"/>
      <w:lvlText w:val="•"/>
      <w:lvlJc w:val="left"/>
      <w:pPr>
        <w:ind w:left="959" w:hanging="100"/>
      </w:pPr>
      <w:rPr>
        <w:rFonts w:hint="default"/>
      </w:rPr>
    </w:lvl>
    <w:lvl w:ilvl="4" w:tplc="58460E64">
      <w:numFmt w:val="bullet"/>
      <w:lvlText w:val="•"/>
      <w:lvlJc w:val="left"/>
      <w:pPr>
        <w:ind w:left="1225" w:hanging="100"/>
      </w:pPr>
      <w:rPr>
        <w:rFonts w:hint="default"/>
      </w:rPr>
    </w:lvl>
    <w:lvl w:ilvl="5" w:tplc="846CBAA6">
      <w:numFmt w:val="bullet"/>
      <w:lvlText w:val="•"/>
      <w:lvlJc w:val="left"/>
      <w:pPr>
        <w:ind w:left="1492" w:hanging="100"/>
      </w:pPr>
      <w:rPr>
        <w:rFonts w:hint="default"/>
      </w:rPr>
    </w:lvl>
    <w:lvl w:ilvl="6" w:tplc="EBF6ECDC">
      <w:numFmt w:val="bullet"/>
      <w:lvlText w:val="•"/>
      <w:lvlJc w:val="left"/>
      <w:pPr>
        <w:ind w:left="1758" w:hanging="100"/>
      </w:pPr>
      <w:rPr>
        <w:rFonts w:hint="default"/>
      </w:rPr>
    </w:lvl>
    <w:lvl w:ilvl="7" w:tplc="4DFC4C8A">
      <w:numFmt w:val="bullet"/>
      <w:lvlText w:val="•"/>
      <w:lvlJc w:val="left"/>
      <w:pPr>
        <w:ind w:left="2024" w:hanging="100"/>
      </w:pPr>
      <w:rPr>
        <w:rFonts w:hint="default"/>
      </w:rPr>
    </w:lvl>
    <w:lvl w:ilvl="8" w:tplc="DEA87758">
      <w:numFmt w:val="bullet"/>
      <w:lvlText w:val="•"/>
      <w:lvlJc w:val="left"/>
      <w:pPr>
        <w:ind w:left="2291" w:hanging="100"/>
      </w:pPr>
      <w:rPr>
        <w:rFonts w:hint="default"/>
      </w:rPr>
    </w:lvl>
  </w:abstractNum>
  <w:abstractNum w:abstractNumId="1702" w15:restartNumberingAfterBreak="0">
    <w:nsid w:val="6C362A8F"/>
    <w:multiLevelType w:val="hybridMultilevel"/>
    <w:tmpl w:val="D2386E66"/>
    <w:lvl w:ilvl="0" w:tplc="9E6619B0">
      <w:numFmt w:val="bullet"/>
      <w:lvlText w:val=""/>
      <w:lvlJc w:val="left"/>
      <w:pPr>
        <w:ind w:left="157" w:hanging="100"/>
      </w:pPr>
      <w:rPr>
        <w:rFonts w:ascii="Symbol" w:eastAsia="Symbol" w:hAnsi="Symbol" w:cs="Symbol" w:hint="default"/>
        <w:color w:val="231F20"/>
        <w:w w:val="100"/>
        <w:sz w:val="14"/>
        <w:szCs w:val="14"/>
      </w:rPr>
    </w:lvl>
    <w:lvl w:ilvl="1" w:tplc="DD0A6034">
      <w:numFmt w:val="bullet"/>
      <w:lvlText w:val="•"/>
      <w:lvlJc w:val="left"/>
      <w:pPr>
        <w:ind w:left="426" w:hanging="100"/>
      </w:pPr>
      <w:rPr>
        <w:rFonts w:hint="default"/>
      </w:rPr>
    </w:lvl>
    <w:lvl w:ilvl="2" w:tplc="0B3414CE">
      <w:numFmt w:val="bullet"/>
      <w:lvlText w:val="•"/>
      <w:lvlJc w:val="left"/>
      <w:pPr>
        <w:ind w:left="692" w:hanging="100"/>
      </w:pPr>
      <w:rPr>
        <w:rFonts w:hint="default"/>
      </w:rPr>
    </w:lvl>
    <w:lvl w:ilvl="3" w:tplc="86586D6E">
      <w:numFmt w:val="bullet"/>
      <w:lvlText w:val="•"/>
      <w:lvlJc w:val="left"/>
      <w:pPr>
        <w:ind w:left="959" w:hanging="100"/>
      </w:pPr>
      <w:rPr>
        <w:rFonts w:hint="default"/>
      </w:rPr>
    </w:lvl>
    <w:lvl w:ilvl="4" w:tplc="8DA42D50">
      <w:numFmt w:val="bullet"/>
      <w:lvlText w:val="•"/>
      <w:lvlJc w:val="left"/>
      <w:pPr>
        <w:ind w:left="1225" w:hanging="100"/>
      </w:pPr>
      <w:rPr>
        <w:rFonts w:hint="default"/>
      </w:rPr>
    </w:lvl>
    <w:lvl w:ilvl="5" w:tplc="9D2A0506">
      <w:numFmt w:val="bullet"/>
      <w:lvlText w:val="•"/>
      <w:lvlJc w:val="left"/>
      <w:pPr>
        <w:ind w:left="1492" w:hanging="100"/>
      </w:pPr>
      <w:rPr>
        <w:rFonts w:hint="default"/>
      </w:rPr>
    </w:lvl>
    <w:lvl w:ilvl="6" w:tplc="0730F692">
      <w:numFmt w:val="bullet"/>
      <w:lvlText w:val="•"/>
      <w:lvlJc w:val="left"/>
      <w:pPr>
        <w:ind w:left="1758" w:hanging="100"/>
      </w:pPr>
      <w:rPr>
        <w:rFonts w:hint="default"/>
      </w:rPr>
    </w:lvl>
    <w:lvl w:ilvl="7" w:tplc="CB2E6240">
      <w:numFmt w:val="bullet"/>
      <w:lvlText w:val="•"/>
      <w:lvlJc w:val="left"/>
      <w:pPr>
        <w:ind w:left="2024" w:hanging="100"/>
      </w:pPr>
      <w:rPr>
        <w:rFonts w:hint="default"/>
      </w:rPr>
    </w:lvl>
    <w:lvl w:ilvl="8" w:tplc="C15A472A">
      <w:numFmt w:val="bullet"/>
      <w:lvlText w:val="•"/>
      <w:lvlJc w:val="left"/>
      <w:pPr>
        <w:ind w:left="2291" w:hanging="100"/>
      </w:pPr>
      <w:rPr>
        <w:rFonts w:hint="default"/>
      </w:rPr>
    </w:lvl>
  </w:abstractNum>
  <w:abstractNum w:abstractNumId="1703" w15:restartNumberingAfterBreak="0">
    <w:nsid w:val="6C4428C8"/>
    <w:multiLevelType w:val="hybridMultilevel"/>
    <w:tmpl w:val="5F0A6D00"/>
    <w:lvl w:ilvl="0" w:tplc="17207FEE">
      <w:numFmt w:val="bullet"/>
      <w:lvlText w:val=""/>
      <w:lvlJc w:val="left"/>
      <w:pPr>
        <w:ind w:left="157" w:hanging="100"/>
      </w:pPr>
      <w:rPr>
        <w:rFonts w:ascii="Symbol" w:eastAsia="Symbol" w:hAnsi="Symbol" w:cs="Symbol" w:hint="default"/>
        <w:color w:val="231F20"/>
        <w:w w:val="100"/>
        <w:sz w:val="14"/>
        <w:szCs w:val="14"/>
      </w:rPr>
    </w:lvl>
    <w:lvl w:ilvl="1" w:tplc="6CAA3B8A">
      <w:numFmt w:val="bullet"/>
      <w:lvlText w:val="•"/>
      <w:lvlJc w:val="left"/>
      <w:pPr>
        <w:ind w:left="369" w:hanging="100"/>
      </w:pPr>
      <w:rPr>
        <w:rFonts w:hint="default"/>
      </w:rPr>
    </w:lvl>
    <w:lvl w:ilvl="2" w:tplc="66D438BE">
      <w:numFmt w:val="bullet"/>
      <w:lvlText w:val="•"/>
      <w:lvlJc w:val="left"/>
      <w:pPr>
        <w:ind w:left="579" w:hanging="100"/>
      </w:pPr>
      <w:rPr>
        <w:rFonts w:hint="default"/>
      </w:rPr>
    </w:lvl>
    <w:lvl w:ilvl="3" w:tplc="404CEF84">
      <w:numFmt w:val="bullet"/>
      <w:lvlText w:val="•"/>
      <w:lvlJc w:val="left"/>
      <w:pPr>
        <w:ind w:left="789" w:hanging="100"/>
      </w:pPr>
      <w:rPr>
        <w:rFonts w:hint="default"/>
      </w:rPr>
    </w:lvl>
    <w:lvl w:ilvl="4" w:tplc="20BAFDFA">
      <w:numFmt w:val="bullet"/>
      <w:lvlText w:val="•"/>
      <w:lvlJc w:val="left"/>
      <w:pPr>
        <w:ind w:left="998" w:hanging="100"/>
      </w:pPr>
      <w:rPr>
        <w:rFonts w:hint="default"/>
      </w:rPr>
    </w:lvl>
    <w:lvl w:ilvl="5" w:tplc="1EF61B7C">
      <w:numFmt w:val="bullet"/>
      <w:lvlText w:val="•"/>
      <w:lvlJc w:val="left"/>
      <w:pPr>
        <w:ind w:left="1208" w:hanging="100"/>
      </w:pPr>
      <w:rPr>
        <w:rFonts w:hint="default"/>
      </w:rPr>
    </w:lvl>
    <w:lvl w:ilvl="6" w:tplc="D6B22856">
      <w:numFmt w:val="bullet"/>
      <w:lvlText w:val="•"/>
      <w:lvlJc w:val="left"/>
      <w:pPr>
        <w:ind w:left="1418" w:hanging="100"/>
      </w:pPr>
      <w:rPr>
        <w:rFonts w:hint="default"/>
      </w:rPr>
    </w:lvl>
    <w:lvl w:ilvl="7" w:tplc="B28E89D2">
      <w:numFmt w:val="bullet"/>
      <w:lvlText w:val="•"/>
      <w:lvlJc w:val="left"/>
      <w:pPr>
        <w:ind w:left="1627" w:hanging="100"/>
      </w:pPr>
      <w:rPr>
        <w:rFonts w:hint="default"/>
      </w:rPr>
    </w:lvl>
    <w:lvl w:ilvl="8" w:tplc="AFCE1376">
      <w:numFmt w:val="bullet"/>
      <w:lvlText w:val="•"/>
      <w:lvlJc w:val="left"/>
      <w:pPr>
        <w:ind w:left="1837" w:hanging="100"/>
      </w:pPr>
      <w:rPr>
        <w:rFonts w:hint="default"/>
      </w:rPr>
    </w:lvl>
  </w:abstractNum>
  <w:abstractNum w:abstractNumId="1704" w15:restartNumberingAfterBreak="0">
    <w:nsid w:val="6C665C60"/>
    <w:multiLevelType w:val="hybridMultilevel"/>
    <w:tmpl w:val="337EAE9C"/>
    <w:lvl w:ilvl="0" w:tplc="495E337A">
      <w:numFmt w:val="bullet"/>
      <w:lvlText w:val=""/>
      <w:lvlJc w:val="left"/>
      <w:pPr>
        <w:ind w:left="157" w:hanging="100"/>
      </w:pPr>
      <w:rPr>
        <w:rFonts w:ascii="Symbol" w:eastAsia="Symbol" w:hAnsi="Symbol" w:cs="Symbol" w:hint="default"/>
        <w:color w:val="231F20"/>
        <w:w w:val="100"/>
        <w:sz w:val="14"/>
        <w:szCs w:val="14"/>
      </w:rPr>
    </w:lvl>
    <w:lvl w:ilvl="1" w:tplc="509828C2">
      <w:numFmt w:val="bullet"/>
      <w:lvlText w:val="•"/>
      <w:lvlJc w:val="left"/>
      <w:pPr>
        <w:ind w:left="426" w:hanging="100"/>
      </w:pPr>
      <w:rPr>
        <w:rFonts w:hint="default"/>
      </w:rPr>
    </w:lvl>
    <w:lvl w:ilvl="2" w:tplc="1AE4EF5A">
      <w:numFmt w:val="bullet"/>
      <w:lvlText w:val="•"/>
      <w:lvlJc w:val="left"/>
      <w:pPr>
        <w:ind w:left="692" w:hanging="100"/>
      </w:pPr>
      <w:rPr>
        <w:rFonts w:hint="default"/>
      </w:rPr>
    </w:lvl>
    <w:lvl w:ilvl="3" w:tplc="FD289AD0">
      <w:numFmt w:val="bullet"/>
      <w:lvlText w:val="•"/>
      <w:lvlJc w:val="left"/>
      <w:pPr>
        <w:ind w:left="959" w:hanging="100"/>
      </w:pPr>
      <w:rPr>
        <w:rFonts w:hint="default"/>
      </w:rPr>
    </w:lvl>
    <w:lvl w:ilvl="4" w:tplc="A380D0DA">
      <w:numFmt w:val="bullet"/>
      <w:lvlText w:val="•"/>
      <w:lvlJc w:val="left"/>
      <w:pPr>
        <w:ind w:left="1225" w:hanging="100"/>
      </w:pPr>
      <w:rPr>
        <w:rFonts w:hint="default"/>
      </w:rPr>
    </w:lvl>
    <w:lvl w:ilvl="5" w:tplc="E1F88264">
      <w:numFmt w:val="bullet"/>
      <w:lvlText w:val="•"/>
      <w:lvlJc w:val="left"/>
      <w:pPr>
        <w:ind w:left="1492" w:hanging="100"/>
      </w:pPr>
      <w:rPr>
        <w:rFonts w:hint="default"/>
      </w:rPr>
    </w:lvl>
    <w:lvl w:ilvl="6" w:tplc="A86A5F9A">
      <w:numFmt w:val="bullet"/>
      <w:lvlText w:val="•"/>
      <w:lvlJc w:val="left"/>
      <w:pPr>
        <w:ind w:left="1758" w:hanging="100"/>
      </w:pPr>
      <w:rPr>
        <w:rFonts w:hint="default"/>
      </w:rPr>
    </w:lvl>
    <w:lvl w:ilvl="7" w:tplc="F3B036AA">
      <w:numFmt w:val="bullet"/>
      <w:lvlText w:val="•"/>
      <w:lvlJc w:val="left"/>
      <w:pPr>
        <w:ind w:left="2024" w:hanging="100"/>
      </w:pPr>
      <w:rPr>
        <w:rFonts w:hint="default"/>
      </w:rPr>
    </w:lvl>
    <w:lvl w:ilvl="8" w:tplc="A03CA1E0">
      <w:numFmt w:val="bullet"/>
      <w:lvlText w:val="•"/>
      <w:lvlJc w:val="left"/>
      <w:pPr>
        <w:ind w:left="2291" w:hanging="100"/>
      </w:pPr>
      <w:rPr>
        <w:rFonts w:hint="default"/>
      </w:rPr>
    </w:lvl>
  </w:abstractNum>
  <w:abstractNum w:abstractNumId="1705" w15:restartNumberingAfterBreak="0">
    <w:nsid w:val="6C704E42"/>
    <w:multiLevelType w:val="hybridMultilevel"/>
    <w:tmpl w:val="212AB294"/>
    <w:lvl w:ilvl="0" w:tplc="7A4E71A6">
      <w:numFmt w:val="bullet"/>
      <w:lvlText w:val=""/>
      <w:lvlJc w:val="left"/>
      <w:pPr>
        <w:ind w:left="157" w:hanging="100"/>
      </w:pPr>
      <w:rPr>
        <w:rFonts w:ascii="Symbol" w:eastAsia="Symbol" w:hAnsi="Symbol" w:cs="Symbol" w:hint="default"/>
        <w:color w:val="231F20"/>
        <w:w w:val="100"/>
        <w:sz w:val="14"/>
        <w:szCs w:val="14"/>
      </w:rPr>
    </w:lvl>
    <w:lvl w:ilvl="1" w:tplc="5DC6E194">
      <w:numFmt w:val="bullet"/>
      <w:lvlText w:val="•"/>
      <w:lvlJc w:val="left"/>
      <w:pPr>
        <w:ind w:left="398" w:hanging="100"/>
      </w:pPr>
      <w:rPr>
        <w:rFonts w:hint="default"/>
      </w:rPr>
    </w:lvl>
    <w:lvl w:ilvl="2" w:tplc="92007CFA">
      <w:numFmt w:val="bullet"/>
      <w:lvlText w:val="•"/>
      <w:lvlJc w:val="left"/>
      <w:pPr>
        <w:ind w:left="636" w:hanging="100"/>
      </w:pPr>
      <w:rPr>
        <w:rFonts w:hint="default"/>
      </w:rPr>
    </w:lvl>
    <w:lvl w:ilvl="3" w:tplc="FA8C70BE">
      <w:numFmt w:val="bullet"/>
      <w:lvlText w:val="•"/>
      <w:lvlJc w:val="left"/>
      <w:pPr>
        <w:ind w:left="874" w:hanging="100"/>
      </w:pPr>
      <w:rPr>
        <w:rFonts w:hint="default"/>
      </w:rPr>
    </w:lvl>
    <w:lvl w:ilvl="4" w:tplc="919200E8">
      <w:numFmt w:val="bullet"/>
      <w:lvlText w:val="•"/>
      <w:lvlJc w:val="left"/>
      <w:pPr>
        <w:ind w:left="1112" w:hanging="100"/>
      </w:pPr>
      <w:rPr>
        <w:rFonts w:hint="default"/>
      </w:rPr>
    </w:lvl>
    <w:lvl w:ilvl="5" w:tplc="46A49618">
      <w:numFmt w:val="bullet"/>
      <w:lvlText w:val="•"/>
      <w:lvlJc w:val="left"/>
      <w:pPr>
        <w:ind w:left="1350" w:hanging="100"/>
      </w:pPr>
      <w:rPr>
        <w:rFonts w:hint="default"/>
      </w:rPr>
    </w:lvl>
    <w:lvl w:ilvl="6" w:tplc="B0706C7A">
      <w:numFmt w:val="bullet"/>
      <w:lvlText w:val="•"/>
      <w:lvlJc w:val="left"/>
      <w:pPr>
        <w:ind w:left="1588" w:hanging="100"/>
      </w:pPr>
      <w:rPr>
        <w:rFonts w:hint="default"/>
      </w:rPr>
    </w:lvl>
    <w:lvl w:ilvl="7" w:tplc="01E86FB6">
      <w:numFmt w:val="bullet"/>
      <w:lvlText w:val="•"/>
      <w:lvlJc w:val="left"/>
      <w:pPr>
        <w:ind w:left="1826" w:hanging="100"/>
      </w:pPr>
      <w:rPr>
        <w:rFonts w:hint="default"/>
      </w:rPr>
    </w:lvl>
    <w:lvl w:ilvl="8" w:tplc="F2621862">
      <w:numFmt w:val="bullet"/>
      <w:lvlText w:val="•"/>
      <w:lvlJc w:val="left"/>
      <w:pPr>
        <w:ind w:left="2064" w:hanging="100"/>
      </w:pPr>
      <w:rPr>
        <w:rFonts w:hint="default"/>
      </w:rPr>
    </w:lvl>
  </w:abstractNum>
  <w:abstractNum w:abstractNumId="1706" w15:restartNumberingAfterBreak="0">
    <w:nsid w:val="6C8B6853"/>
    <w:multiLevelType w:val="hybridMultilevel"/>
    <w:tmpl w:val="FEE062C4"/>
    <w:lvl w:ilvl="0" w:tplc="90FA514A">
      <w:numFmt w:val="bullet"/>
      <w:lvlText w:val=""/>
      <w:lvlJc w:val="left"/>
      <w:pPr>
        <w:ind w:left="156" w:hanging="100"/>
      </w:pPr>
      <w:rPr>
        <w:rFonts w:ascii="Symbol" w:eastAsia="Symbol" w:hAnsi="Symbol" w:cs="Symbol" w:hint="default"/>
        <w:color w:val="231F20"/>
        <w:w w:val="100"/>
        <w:sz w:val="14"/>
        <w:szCs w:val="14"/>
      </w:rPr>
    </w:lvl>
    <w:lvl w:ilvl="1" w:tplc="F9000E96">
      <w:numFmt w:val="bullet"/>
      <w:lvlText w:val="•"/>
      <w:lvlJc w:val="left"/>
      <w:pPr>
        <w:ind w:left="273" w:hanging="100"/>
      </w:pPr>
      <w:rPr>
        <w:rFonts w:hint="default"/>
      </w:rPr>
    </w:lvl>
    <w:lvl w:ilvl="2" w:tplc="FFDE873C">
      <w:numFmt w:val="bullet"/>
      <w:lvlText w:val="•"/>
      <w:lvlJc w:val="left"/>
      <w:pPr>
        <w:ind w:left="386" w:hanging="100"/>
      </w:pPr>
      <w:rPr>
        <w:rFonts w:hint="default"/>
      </w:rPr>
    </w:lvl>
    <w:lvl w:ilvl="3" w:tplc="892CED84">
      <w:numFmt w:val="bullet"/>
      <w:lvlText w:val="•"/>
      <w:lvlJc w:val="left"/>
      <w:pPr>
        <w:ind w:left="500" w:hanging="100"/>
      </w:pPr>
      <w:rPr>
        <w:rFonts w:hint="default"/>
      </w:rPr>
    </w:lvl>
    <w:lvl w:ilvl="4" w:tplc="66ECCBAC">
      <w:numFmt w:val="bullet"/>
      <w:lvlText w:val="•"/>
      <w:lvlJc w:val="left"/>
      <w:pPr>
        <w:ind w:left="613" w:hanging="100"/>
      </w:pPr>
      <w:rPr>
        <w:rFonts w:hint="default"/>
      </w:rPr>
    </w:lvl>
    <w:lvl w:ilvl="5" w:tplc="0DD058AA">
      <w:numFmt w:val="bullet"/>
      <w:lvlText w:val="•"/>
      <w:lvlJc w:val="left"/>
      <w:pPr>
        <w:ind w:left="727" w:hanging="100"/>
      </w:pPr>
      <w:rPr>
        <w:rFonts w:hint="default"/>
      </w:rPr>
    </w:lvl>
    <w:lvl w:ilvl="6" w:tplc="CDA03096">
      <w:numFmt w:val="bullet"/>
      <w:lvlText w:val="•"/>
      <w:lvlJc w:val="left"/>
      <w:pPr>
        <w:ind w:left="840" w:hanging="100"/>
      </w:pPr>
      <w:rPr>
        <w:rFonts w:hint="default"/>
      </w:rPr>
    </w:lvl>
    <w:lvl w:ilvl="7" w:tplc="325A1F6C">
      <w:numFmt w:val="bullet"/>
      <w:lvlText w:val="•"/>
      <w:lvlJc w:val="left"/>
      <w:pPr>
        <w:ind w:left="953" w:hanging="100"/>
      </w:pPr>
      <w:rPr>
        <w:rFonts w:hint="default"/>
      </w:rPr>
    </w:lvl>
    <w:lvl w:ilvl="8" w:tplc="E5D6C10C">
      <w:numFmt w:val="bullet"/>
      <w:lvlText w:val="•"/>
      <w:lvlJc w:val="left"/>
      <w:pPr>
        <w:ind w:left="1067" w:hanging="100"/>
      </w:pPr>
      <w:rPr>
        <w:rFonts w:hint="default"/>
      </w:rPr>
    </w:lvl>
  </w:abstractNum>
  <w:abstractNum w:abstractNumId="1707" w15:restartNumberingAfterBreak="0">
    <w:nsid w:val="6C971EB5"/>
    <w:multiLevelType w:val="hybridMultilevel"/>
    <w:tmpl w:val="91501A5E"/>
    <w:lvl w:ilvl="0" w:tplc="E0B652EE">
      <w:numFmt w:val="bullet"/>
      <w:lvlText w:val=""/>
      <w:lvlJc w:val="left"/>
      <w:pPr>
        <w:ind w:left="156" w:hanging="100"/>
      </w:pPr>
      <w:rPr>
        <w:rFonts w:ascii="Symbol" w:eastAsia="Symbol" w:hAnsi="Symbol" w:cs="Symbol" w:hint="default"/>
        <w:color w:val="231F20"/>
        <w:w w:val="100"/>
        <w:sz w:val="14"/>
        <w:szCs w:val="14"/>
      </w:rPr>
    </w:lvl>
    <w:lvl w:ilvl="1" w:tplc="FD2E6DC2">
      <w:numFmt w:val="bullet"/>
      <w:lvlText w:val="•"/>
      <w:lvlJc w:val="left"/>
      <w:pPr>
        <w:ind w:left="398" w:hanging="100"/>
      </w:pPr>
      <w:rPr>
        <w:rFonts w:hint="default"/>
      </w:rPr>
    </w:lvl>
    <w:lvl w:ilvl="2" w:tplc="212E44B4">
      <w:numFmt w:val="bullet"/>
      <w:lvlText w:val="•"/>
      <w:lvlJc w:val="left"/>
      <w:pPr>
        <w:ind w:left="636" w:hanging="100"/>
      </w:pPr>
      <w:rPr>
        <w:rFonts w:hint="default"/>
      </w:rPr>
    </w:lvl>
    <w:lvl w:ilvl="3" w:tplc="1EF4EC7E">
      <w:numFmt w:val="bullet"/>
      <w:lvlText w:val="•"/>
      <w:lvlJc w:val="left"/>
      <w:pPr>
        <w:ind w:left="874" w:hanging="100"/>
      </w:pPr>
      <w:rPr>
        <w:rFonts w:hint="default"/>
      </w:rPr>
    </w:lvl>
    <w:lvl w:ilvl="4" w:tplc="63F8AD76">
      <w:numFmt w:val="bullet"/>
      <w:lvlText w:val="•"/>
      <w:lvlJc w:val="left"/>
      <w:pPr>
        <w:ind w:left="1112" w:hanging="100"/>
      </w:pPr>
      <w:rPr>
        <w:rFonts w:hint="default"/>
      </w:rPr>
    </w:lvl>
    <w:lvl w:ilvl="5" w:tplc="2A8451C2">
      <w:numFmt w:val="bullet"/>
      <w:lvlText w:val="•"/>
      <w:lvlJc w:val="left"/>
      <w:pPr>
        <w:ind w:left="1350" w:hanging="100"/>
      </w:pPr>
      <w:rPr>
        <w:rFonts w:hint="default"/>
      </w:rPr>
    </w:lvl>
    <w:lvl w:ilvl="6" w:tplc="D13EC4B4">
      <w:numFmt w:val="bullet"/>
      <w:lvlText w:val="•"/>
      <w:lvlJc w:val="left"/>
      <w:pPr>
        <w:ind w:left="1588" w:hanging="100"/>
      </w:pPr>
      <w:rPr>
        <w:rFonts w:hint="default"/>
      </w:rPr>
    </w:lvl>
    <w:lvl w:ilvl="7" w:tplc="9F4A758A">
      <w:numFmt w:val="bullet"/>
      <w:lvlText w:val="•"/>
      <w:lvlJc w:val="left"/>
      <w:pPr>
        <w:ind w:left="1826" w:hanging="100"/>
      </w:pPr>
      <w:rPr>
        <w:rFonts w:hint="default"/>
      </w:rPr>
    </w:lvl>
    <w:lvl w:ilvl="8" w:tplc="C026FCA2">
      <w:numFmt w:val="bullet"/>
      <w:lvlText w:val="•"/>
      <w:lvlJc w:val="left"/>
      <w:pPr>
        <w:ind w:left="2064" w:hanging="100"/>
      </w:pPr>
      <w:rPr>
        <w:rFonts w:hint="default"/>
      </w:rPr>
    </w:lvl>
  </w:abstractNum>
  <w:abstractNum w:abstractNumId="1708" w15:restartNumberingAfterBreak="0">
    <w:nsid w:val="6C9739EA"/>
    <w:multiLevelType w:val="hybridMultilevel"/>
    <w:tmpl w:val="172EA25C"/>
    <w:lvl w:ilvl="0" w:tplc="3766B3C0">
      <w:numFmt w:val="bullet"/>
      <w:lvlText w:val=""/>
      <w:lvlJc w:val="left"/>
      <w:pPr>
        <w:ind w:left="156" w:hanging="100"/>
      </w:pPr>
      <w:rPr>
        <w:rFonts w:ascii="Symbol" w:eastAsia="Symbol" w:hAnsi="Symbol" w:cs="Symbol" w:hint="default"/>
        <w:color w:val="231F20"/>
        <w:w w:val="100"/>
        <w:sz w:val="14"/>
        <w:szCs w:val="14"/>
      </w:rPr>
    </w:lvl>
    <w:lvl w:ilvl="1" w:tplc="3CF623FC">
      <w:numFmt w:val="bullet"/>
      <w:lvlText w:val="•"/>
      <w:lvlJc w:val="left"/>
      <w:pPr>
        <w:ind w:left="426" w:hanging="100"/>
      </w:pPr>
      <w:rPr>
        <w:rFonts w:hint="default"/>
      </w:rPr>
    </w:lvl>
    <w:lvl w:ilvl="2" w:tplc="F342D4F2">
      <w:numFmt w:val="bullet"/>
      <w:lvlText w:val="•"/>
      <w:lvlJc w:val="left"/>
      <w:pPr>
        <w:ind w:left="692" w:hanging="100"/>
      </w:pPr>
      <w:rPr>
        <w:rFonts w:hint="default"/>
      </w:rPr>
    </w:lvl>
    <w:lvl w:ilvl="3" w:tplc="FE245D6E">
      <w:numFmt w:val="bullet"/>
      <w:lvlText w:val="•"/>
      <w:lvlJc w:val="left"/>
      <w:pPr>
        <w:ind w:left="959" w:hanging="100"/>
      </w:pPr>
      <w:rPr>
        <w:rFonts w:hint="default"/>
      </w:rPr>
    </w:lvl>
    <w:lvl w:ilvl="4" w:tplc="A1000BBE">
      <w:numFmt w:val="bullet"/>
      <w:lvlText w:val="•"/>
      <w:lvlJc w:val="left"/>
      <w:pPr>
        <w:ind w:left="1225" w:hanging="100"/>
      </w:pPr>
      <w:rPr>
        <w:rFonts w:hint="default"/>
      </w:rPr>
    </w:lvl>
    <w:lvl w:ilvl="5" w:tplc="E2B6028A">
      <w:numFmt w:val="bullet"/>
      <w:lvlText w:val="•"/>
      <w:lvlJc w:val="left"/>
      <w:pPr>
        <w:ind w:left="1492" w:hanging="100"/>
      </w:pPr>
      <w:rPr>
        <w:rFonts w:hint="default"/>
      </w:rPr>
    </w:lvl>
    <w:lvl w:ilvl="6" w:tplc="D7E4DD06">
      <w:numFmt w:val="bullet"/>
      <w:lvlText w:val="•"/>
      <w:lvlJc w:val="left"/>
      <w:pPr>
        <w:ind w:left="1758" w:hanging="100"/>
      </w:pPr>
      <w:rPr>
        <w:rFonts w:hint="default"/>
      </w:rPr>
    </w:lvl>
    <w:lvl w:ilvl="7" w:tplc="DEBC4BFA">
      <w:numFmt w:val="bullet"/>
      <w:lvlText w:val="•"/>
      <w:lvlJc w:val="left"/>
      <w:pPr>
        <w:ind w:left="2024" w:hanging="100"/>
      </w:pPr>
      <w:rPr>
        <w:rFonts w:hint="default"/>
      </w:rPr>
    </w:lvl>
    <w:lvl w:ilvl="8" w:tplc="4D54F0C2">
      <w:numFmt w:val="bullet"/>
      <w:lvlText w:val="•"/>
      <w:lvlJc w:val="left"/>
      <w:pPr>
        <w:ind w:left="2291" w:hanging="100"/>
      </w:pPr>
      <w:rPr>
        <w:rFonts w:hint="default"/>
      </w:rPr>
    </w:lvl>
  </w:abstractNum>
  <w:abstractNum w:abstractNumId="1709" w15:restartNumberingAfterBreak="0">
    <w:nsid w:val="6C9B56DA"/>
    <w:multiLevelType w:val="hybridMultilevel"/>
    <w:tmpl w:val="3FA27642"/>
    <w:lvl w:ilvl="0" w:tplc="21345214">
      <w:numFmt w:val="bullet"/>
      <w:lvlText w:val=""/>
      <w:lvlJc w:val="left"/>
      <w:pPr>
        <w:ind w:left="157" w:hanging="100"/>
      </w:pPr>
      <w:rPr>
        <w:rFonts w:ascii="Symbol" w:eastAsia="Symbol" w:hAnsi="Symbol" w:cs="Symbol" w:hint="default"/>
        <w:color w:val="231F20"/>
        <w:w w:val="100"/>
        <w:sz w:val="14"/>
        <w:szCs w:val="14"/>
      </w:rPr>
    </w:lvl>
    <w:lvl w:ilvl="1" w:tplc="18D401F0">
      <w:numFmt w:val="bullet"/>
      <w:lvlText w:val="•"/>
      <w:lvlJc w:val="left"/>
      <w:pPr>
        <w:ind w:left="369" w:hanging="100"/>
      </w:pPr>
      <w:rPr>
        <w:rFonts w:hint="default"/>
      </w:rPr>
    </w:lvl>
    <w:lvl w:ilvl="2" w:tplc="C944CC08">
      <w:numFmt w:val="bullet"/>
      <w:lvlText w:val="•"/>
      <w:lvlJc w:val="left"/>
      <w:pPr>
        <w:ind w:left="579" w:hanging="100"/>
      </w:pPr>
      <w:rPr>
        <w:rFonts w:hint="default"/>
      </w:rPr>
    </w:lvl>
    <w:lvl w:ilvl="3" w:tplc="CDE0A4E6">
      <w:numFmt w:val="bullet"/>
      <w:lvlText w:val="•"/>
      <w:lvlJc w:val="left"/>
      <w:pPr>
        <w:ind w:left="789" w:hanging="100"/>
      </w:pPr>
      <w:rPr>
        <w:rFonts w:hint="default"/>
      </w:rPr>
    </w:lvl>
    <w:lvl w:ilvl="4" w:tplc="AACA7B2A">
      <w:numFmt w:val="bullet"/>
      <w:lvlText w:val="•"/>
      <w:lvlJc w:val="left"/>
      <w:pPr>
        <w:ind w:left="998" w:hanging="100"/>
      </w:pPr>
      <w:rPr>
        <w:rFonts w:hint="default"/>
      </w:rPr>
    </w:lvl>
    <w:lvl w:ilvl="5" w:tplc="60CAAB4A">
      <w:numFmt w:val="bullet"/>
      <w:lvlText w:val="•"/>
      <w:lvlJc w:val="left"/>
      <w:pPr>
        <w:ind w:left="1208" w:hanging="100"/>
      </w:pPr>
      <w:rPr>
        <w:rFonts w:hint="default"/>
      </w:rPr>
    </w:lvl>
    <w:lvl w:ilvl="6" w:tplc="CBB0C1CC">
      <w:numFmt w:val="bullet"/>
      <w:lvlText w:val="•"/>
      <w:lvlJc w:val="left"/>
      <w:pPr>
        <w:ind w:left="1418" w:hanging="100"/>
      </w:pPr>
      <w:rPr>
        <w:rFonts w:hint="default"/>
      </w:rPr>
    </w:lvl>
    <w:lvl w:ilvl="7" w:tplc="4CACBB76">
      <w:numFmt w:val="bullet"/>
      <w:lvlText w:val="•"/>
      <w:lvlJc w:val="left"/>
      <w:pPr>
        <w:ind w:left="1627" w:hanging="100"/>
      </w:pPr>
      <w:rPr>
        <w:rFonts w:hint="default"/>
      </w:rPr>
    </w:lvl>
    <w:lvl w:ilvl="8" w:tplc="14F8E224">
      <w:numFmt w:val="bullet"/>
      <w:lvlText w:val="•"/>
      <w:lvlJc w:val="left"/>
      <w:pPr>
        <w:ind w:left="1837" w:hanging="100"/>
      </w:pPr>
      <w:rPr>
        <w:rFonts w:hint="default"/>
      </w:rPr>
    </w:lvl>
  </w:abstractNum>
  <w:abstractNum w:abstractNumId="1710" w15:restartNumberingAfterBreak="0">
    <w:nsid w:val="6CB40EB9"/>
    <w:multiLevelType w:val="hybridMultilevel"/>
    <w:tmpl w:val="11961E64"/>
    <w:lvl w:ilvl="0" w:tplc="68F629CC">
      <w:numFmt w:val="bullet"/>
      <w:lvlText w:val=""/>
      <w:lvlJc w:val="left"/>
      <w:pPr>
        <w:ind w:left="157" w:hanging="100"/>
      </w:pPr>
      <w:rPr>
        <w:rFonts w:ascii="Symbol" w:eastAsia="Symbol" w:hAnsi="Symbol" w:cs="Symbol" w:hint="default"/>
        <w:color w:val="231F20"/>
        <w:w w:val="100"/>
        <w:sz w:val="14"/>
        <w:szCs w:val="14"/>
      </w:rPr>
    </w:lvl>
    <w:lvl w:ilvl="1" w:tplc="FD123A26">
      <w:numFmt w:val="bullet"/>
      <w:lvlText w:val="-"/>
      <w:lvlJc w:val="left"/>
      <w:pPr>
        <w:ind w:left="157" w:hanging="82"/>
      </w:pPr>
      <w:rPr>
        <w:rFonts w:ascii="Times New Roman" w:eastAsia="Times New Roman" w:hAnsi="Times New Roman" w:cs="Times New Roman" w:hint="default"/>
        <w:color w:val="231F20"/>
        <w:spacing w:val="-8"/>
        <w:w w:val="100"/>
        <w:sz w:val="14"/>
        <w:szCs w:val="14"/>
      </w:rPr>
    </w:lvl>
    <w:lvl w:ilvl="2" w:tplc="2AD489B8">
      <w:numFmt w:val="bullet"/>
      <w:lvlText w:val="•"/>
      <w:lvlJc w:val="left"/>
      <w:pPr>
        <w:ind w:left="692" w:hanging="82"/>
      </w:pPr>
      <w:rPr>
        <w:rFonts w:hint="default"/>
      </w:rPr>
    </w:lvl>
    <w:lvl w:ilvl="3" w:tplc="C42C7F6C">
      <w:numFmt w:val="bullet"/>
      <w:lvlText w:val="•"/>
      <w:lvlJc w:val="left"/>
      <w:pPr>
        <w:ind w:left="959" w:hanging="82"/>
      </w:pPr>
      <w:rPr>
        <w:rFonts w:hint="default"/>
      </w:rPr>
    </w:lvl>
    <w:lvl w:ilvl="4" w:tplc="F47CDB78">
      <w:numFmt w:val="bullet"/>
      <w:lvlText w:val="•"/>
      <w:lvlJc w:val="left"/>
      <w:pPr>
        <w:ind w:left="1225" w:hanging="82"/>
      </w:pPr>
      <w:rPr>
        <w:rFonts w:hint="default"/>
      </w:rPr>
    </w:lvl>
    <w:lvl w:ilvl="5" w:tplc="44DE6F32">
      <w:numFmt w:val="bullet"/>
      <w:lvlText w:val="•"/>
      <w:lvlJc w:val="left"/>
      <w:pPr>
        <w:ind w:left="1492" w:hanging="82"/>
      </w:pPr>
      <w:rPr>
        <w:rFonts w:hint="default"/>
      </w:rPr>
    </w:lvl>
    <w:lvl w:ilvl="6" w:tplc="42B0DFE0">
      <w:numFmt w:val="bullet"/>
      <w:lvlText w:val="•"/>
      <w:lvlJc w:val="left"/>
      <w:pPr>
        <w:ind w:left="1758" w:hanging="82"/>
      </w:pPr>
      <w:rPr>
        <w:rFonts w:hint="default"/>
      </w:rPr>
    </w:lvl>
    <w:lvl w:ilvl="7" w:tplc="18D8585E">
      <w:numFmt w:val="bullet"/>
      <w:lvlText w:val="•"/>
      <w:lvlJc w:val="left"/>
      <w:pPr>
        <w:ind w:left="2024" w:hanging="82"/>
      </w:pPr>
      <w:rPr>
        <w:rFonts w:hint="default"/>
      </w:rPr>
    </w:lvl>
    <w:lvl w:ilvl="8" w:tplc="7ED077A2">
      <w:numFmt w:val="bullet"/>
      <w:lvlText w:val="•"/>
      <w:lvlJc w:val="left"/>
      <w:pPr>
        <w:ind w:left="2291" w:hanging="82"/>
      </w:pPr>
      <w:rPr>
        <w:rFonts w:hint="default"/>
      </w:rPr>
    </w:lvl>
  </w:abstractNum>
  <w:abstractNum w:abstractNumId="1711" w15:restartNumberingAfterBreak="0">
    <w:nsid w:val="6CB52D13"/>
    <w:multiLevelType w:val="hybridMultilevel"/>
    <w:tmpl w:val="C7BCF69E"/>
    <w:lvl w:ilvl="0" w:tplc="C9D47E26">
      <w:numFmt w:val="bullet"/>
      <w:lvlText w:val=""/>
      <w:lvlJc w:val="left"/>
      <w:pPr>
        <w:ind w:left="157" w:hanging="100"/>
      </w:pPr>
      <w:rPr>
        <w:rFonts w:ascii="Symbol" w:eastAsia="Symbol" w:hAnsi="Symbol" w:cs="Symbol" w:hint="default"/>
        <w:color w:val="231F20"/>
        <w:w w:val="100"/>
        <w:sz w:val="14"/>
        <w:szCs w:val="14"/>
      </w:rPr>
    </w:lvl>
    <w:lvl w:ilvl="1" w:tplc="1A0ECE7E">
      <w:numFmt w:val="bullet"/>
      <w:lvlText w:val="•"/>
      <w:lvlJc w:val="left"/>
      <w:pPr>
        <w:ind w:left="369" w:hanging="100"/>
      </w:pPr>
      <w:rPr>
        <w:rFonts w:hint="default"/>
      </w:rPr>
    </w:lvl>
    <w:lvl w:ilvl="2" w:tplc="7300367E">
      <w:numFmt w:val="bullet"/>
      <w:lvlText w:val="•"/>
      <w:lvlJc w:val="left"/>
      <w:pPr>
        <w:ind w:left="579" w:hanging="100"/>
      </w:pPr>
      <w:rPr>
        <w:rFonts w:hint="default"/>
      </w:rPr>
    </w:lvl>
    <w:lvl w:ilvl="3" w:tplc="DB34D214">
      <w:numFmt w:val="bullet"/>
      <w:lvlText w:val="•"/>
      <w:lvlJc w:val="left"/>
      <w:pPr>
        <w:ind w:left="789" w:hanging="100"/>
      </w:pPr>
      <w:rPr>
        <w:rFonts w:hint="default"/>
      </w:rPr>
    </w:lvl>
    <w:lvl w:ilvl="4" w:tplc="DB142C5E">
      <w:numFmt w:val="bullet"/>
      <w:lvlText w:val="•"/>
      <w:lvlJc w:val="left"/>
      <w:pPr>
        <w:ind w:left="998" w:hanging="100"/>
      </w:pPr>
      <w:rPr>
        <w:rFonts w:hint="default"/>
      </w:rPr>
    </w:lvl>
    <w:lvl w:ilvl="5" w:tplc="605C18C8">
      <w:numFmt w:val="bullet"/>
      <w:lvlText w:val="•"/>
      <w:lvlJc w:val="left"/>
      <w:pPr>
        <w:ind w:left="1208" w:hanging="100"/>
      </w:pPr>
      <w:rPr>
        <w:rFonts w:hint="default"/>
      </w:rPr>
    </w:lvl>
    <w:lvl w:ilvl="6" w:tplc="2C0C4064">
      <w:numFmt w:val="bullet"/>
      <w:lvlText w:val="•"/>
      <w:lvlJc w:val="left"/>
      <w:pPr>
        <w:ind w:left="1418" w:hanging="100"/>
      </w:pPr>
      <w:rPr>
        <w:rFonts w:hint="default"/>
      </w:rPr>
    </w:lvl>
    <w:lvl w:ilvl="7" w:tplc="C13A7A5E">
      <w:numFmt w:val="bullet"/>
      <w:lvlText w:val="•"/>
      <w:lvlJc w:val="left"/>
      <w:pPr>
        <w:ind w:left="1627" w:hanging="100"/>
      </w:pPr>
      <w:rPr>
        <w:rFonts w:hint="default"/>
      </w:rPr>
    </w:lvl>
    <w:lvl w:ilvl="8" w:tplc="EFF64B78">
      <w:numFmt w:val="bullet"/>
      <w:lvlText w:val="•"/>
      <w:lvlJc w:val="left"/>
      <w:pPr>
        <w:ind w:left="1837" w:hanging="100"/>
      </w:pPr>
      <w:rPr>
        <w:rFonts w:hint="default"/>
      </w:rPr>
    </w:lvl>
  </w:abstractNum>
  <w:abstractNum w:abstractNumId="1712" w15:restartNumberingAfterBreak="0">
    <w:nsid w:val="6CB66249"/>
    <w:multiLevelType w:val="hybridMultilevel"/>
    <w:tmpl w:val="AA668ABC"/>
    <w:lvl w:ilvl="0" w:tplc="B6020FE8">
      <w:numFmt w:val="bullet"/>
      <w:lvlText w:val=""/>
      <w:lvlJc w:val="left"/>
      <w:pPr>
        <w:ind w:left="157" w:hanging="100"/>
      </w:pPr>
      <w:rPr>
        <w:rFonts w:ascii="Symbol" w:eastAsia="Symbol" w:hAnsi="Symbol" w:cs="Symbol" w:hint="default"/>
        <w:color w:val="231F20"/>
        <w:w w:val="100"/>
        <w:sz w:val="14"/>
        <w:szCs w:val="14"/>
      </w:rPr>
    </w:lvl>
    <w:lvl w:ilvl="1" w:tplc="971A246A">
      <w:numFmt w:val="bullet"/>
      <w:lvlText w:val="•"/>
      <w:lvlJc w:val="left"/>
      <w:pPr>
        <w:ind w:left="426" w:hanging="100"/>
      </w:pPr>
      <w:rPr>
        <w:rFonts w:hint="default"/>
      </w:rPr>
    </w:lvl>
    <w:lvl w:ilvl="2" w:tplc="7A8CEF96">
      <w:numFmt w:val="bullet"/>
      <w:lvlText w:val="•"/>
      <w:lvlJc w:val="left"/>
      <w:pPr>
        <w:ind w:left="692" w:hanging="100"/>
      </w:pPr>
      <w:rPr>
        <w:rFonts w:hint="default"/>
      </w:rPr>
    </w:lvl>
    <w:lvl w:ilvl="3" w:tplc="016835D4">
      <w:numFmt w:val="bullet"/>
      <w:lvlText w:val="•"/>
      <w:lvlJc w:val="left"/>
      <w:pPr>
        <w:ind w:left="959" w:hanging="100"/>
      </w:pPr>
      <w:rPr>
        <w:rFonts w:hint="default"/>
      </w:rPr>
    </w:lvl>
    <w:lvl w:ilvl="4" w:tplc="6D78066A">
      <w:numFmt w:val="bullet"/>
      <w:lvlText w:val="•"/>
      <w:lvlJc w:val="left"/>
      <w:pPr>
        <w:ind w:left="1225" w:hanging="100"/>
      </w:pPr>
      <w:rPr>
        <w:rFonts w:hint="default"/>
      </w:rPr>
    </w:lvl>
    <w:lvl w:ilvl="5" w:tplc="4C82AFDE">
      <w:numFmt w:val="bullet"/>
      <w:lvlText w:val="•"/>
      <w:lvlJc w:val="left"/>
      <w:pPr>
        <w:ind w:left="1492" w:hanging="100"/>
      </w:pPr>
      <w:rPr>
        <w:rFonts w:hint="default"/>
      </w:rPr>
    </w:lvl>
    <w:lvl w:ilvl="6" w:tplc="78BE729E">
      <w:numFmt w:val="bullet"/>
      <w:lvlText w:val="•"/>
      <w:lvlJc w:val="left"/>
      <w:pPr>
        <w:ind w:left="1758" w:hanging="100"/>
      </w:pPr>
      <w:rPr>
        <w:rFonts w:hint="default"/>
      </w:rPr>
    </w:lvl>
    <w:lvl w:ilvl="7" w:tplc="7DB88182">
      <w:numFmt w:val="bullet"/>
      <w:lvlText w:val="•"/>
      <w:lvlJc w:val="left"/>
      <w:pPr>
        <w:ind w:left="2024" w:hanging="100"/>
      </w:pPr>
      <w:rPr>
        <w:rFonts w:hint="default"/>
      </w:rPr>
    </w:lvl>
    <w:lvl w:ilvl="8" w:tplc="ECAC44EA">
      <w:numFmt w:val="bullet"/>
      <w:lvlText w:val="•"/>
      <w:lvlJc w:val="left"/>
      <w:pPr>
        <w:ind w:left="2291" w:hanging="100"/>
      </w:pPr>
      <w:rPr>
        <w:rFonts w:hint="default"/>
      </w:rPr>
    </w:lvl>
  </w:abstractNum>
  <w:abstractNum w:abstractNumId="1713" w15:restartNumberingAfterBreak="0">
    <w:nsid w:val="6CE4443F"/>
    <w:multiLevelType w:val="hybridMultilevel"/>
    <w:tmpl w:val="BD02A4D6"/>
    <w:lvl w:ilvl="0" w:tplc="4D2C26C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EA484ACE">
      <w:numFmt w:val="bullet"/>
      <w:lvlText w:val="•"/>
      <w:lvlJc w:val="left"/>
      <w:pPr>
        <w:ind w:left="408" w:hanging="84"/>
      </w:pPr>
      <w:rPr>
        <w:rFonts w:hint="default"/>
      </w:rPr>
    </w:lvl>
    <w:lvl w:ilvl="2" w:tplc="13A64A20">
      <w:numFmt w:val="bullet"/>
      <w:lvlText w:val="•"/>
      <w:lvlJc w:val="left"/>
      <w:pPr>
        <w:ind w:left="676" w:hanging="84"/>
      </w:pPr>
      <w:rPr>
        <w:rFonts w:hint="default"/>
      </w:rPr>
    </w:lvl>
    <w:lvl w:ilvl="3" w:tplc="FEE43510">
      <w:numFmt w:val="bullet"/>
      <w:lvlText w:val="•"/>
      <w:lvlJc w:val="left"/>
      <w:pPr>
        <w:ind w:left="945" w:hanging="84"/>
      </w:pPr>
      <w:rPr>
        <w:rFonts w:hint="default"/>
      </w:rPr>
    </w:lvl>
    <w:lvl w:ilvl="4" w:tplc="FA0A11CE">
      <w:numFmt w:val="bullet"/>
      <w:lvlText w:val="•"/>
      <w:lvlJc w:val="left"/>
      <w:pPr>
        <w:ind w:left="1213" w:hanging="84"/>
      </w:pPr>
      <w:rPr>
        <w:rFonts w:hint="default"/>
      </w:rPr>
    </w:lvl>
    <w:lvl w:ilvl="5" w:tplc="8E5E2F42">
      <w:numFmt w:val="bullet"/>
      <w:lvlText w:val="•"/>
      <w:lvlJc w:val="left"/>
      <w:pPr>
        <w:ind w:left="1482" w:hanging="84"/>
      </w:pPr>
      <w:rPr>
        <w:rFonts w:hint="default"/>
      </w:rPr>
    </w:lvl>
    <w:lvl w:ilvl="6" w:tplc="775C81F0">
      <w:numFmt w:val="bullet"/>
      <w:lvlText w:val="•"/>
      <w:lvlJc w:val="left"/>
      <w:pPr>
        <w:ind w:left="1750" w:hanging="84"/>
      </w:pPr>
      <w:rPr>
        <w:rFonts w:hint="default"/>
      </w:rPr>
    </w:lvl>
    <w:lvl w:ilvl="7" w:tplc="7CD09ACC">
      <w:numFmt w:val="bullet"/>
      <w:lvlText w:val="•"/>
      <w:lvlJc w:val="left"/>
      <w:pPr>
        <w:ind w:left="2018" w:hanging="84"/>
      </w:pPr>
      <w:rPr>
        <w:rFonts w:hint="default"/>
      </w:rPr>
    </w:lvl>
    <w:lvl w:ilvl="8" w:tplc="18BC69EA">
      <w:numFmt w:val="bullet"/>
      <w:lvlText w:val="•"/>
      <w:lvlJc w:val="left"/>
      <w:pPr>
        <w:ind w:left="2287" w:hanging="84"/>
      </w:pPr>
      <w:rPr>
        <w:rFonts w:hint="default"/>
      </w:rPr>
    </w:lvl>
  </w:abstractNum>
  <w:abstractNum w:abstractNumId="1714" w15:restartNumberingAfterBreak="0">
    <w:nsid w:val="6CF307F2"/>
    <w:multiLevelType w:val="hybridMultilevel"/>
    <w:tmpl w:val="D8D4D978"/>
    <w:lvl w:ilvl="0" w:tplc="824E559C">
      <w:numFmt w:val="bullet"/>
      <w:lvlText w:val=""/>
      <w:lvlJc w:val="left"/>
      <w:pPr>
        <w:ind w:left="156" w:hanging="100"/>
      </w:pPr>
      <w:rPr>
        <w:rFonts w:ascii="Symbol" w:eastAsia="Symbol" w:hAnsi="Symbol" w:cs="Symbol" w:hint="default"/>
        <w:color w:val="231F20"/>
        <w:w w:val="100"/>
        <w:sz w:val="14"/>
        <w:szCs w:val="14"/>
      </w:rPr>
    </w:lvl>
    <w:lvl w:ilvl="1" w:tplc="AEF09CA6">
      <w:numFmt w:val="bullet"/>
      <w:lvlText w:val="•"/>
      <w:lvlJc w:val="left"/>
      <w:pPr>
        <w:ind w:left="398" w:hanging="100"/>
      </w:pPr>
      <w:rPr>
        <w:rFonts w:hint="default"/>
      </w:rPr>
    </w:lvl>
    <w:lvl w:ilvl="2" w:tplc="1E0C122C">
      <w:numFmt w:val="bullet"/>
      <w:lvlText w:val="•"/>
      <w:lvlJc w:val="left"/>
      <w:pPr>
        <w:ind w:left="636" w:hanging="100"/>
      </w:pPr>
      <w:rPr>
        <w:rFonts w:hint="default"/>
      </w:rPr>
    </w:lvl>
    <w:lvl w:ilvl="3" w:tplc="87FC739A">
      <w:numFmt w:val="bullet"/>
      <w:lvlText w:val="•"/>
      <w:lvlJc w:val="left"/>
      <w:pPr>
        <w:ind w:left="874" w:hanging="100"/>
      </w:pPr>
      <w:rPr>
        <w:rFonts w:hint="default"/>
      </w:rPr>
    </w:lvl>
    <w:lvl w:ilvl="4" w:tplc="44084D5E">
      <w:numFmt w:val="bullet"/>
      <w:lvlText w:val="•"/>
      <w:lvlJc w:val="left"/>
      <w:pPr>
        <w:ind w:left="1112" w:hanging="100"/>
      </w:pPr>
      <w:rPr>
        <w:rFonts w:hint="default"/>
      </w:rPr>
    </w:lvl>
    <w:lvl w:ilvl="5" w:tplc="96248334">
      <w:numFmt w:val="bullet"/>
      <w:lvlText w:val="•"/>
      <w:lvlJc w:val="left"/>
      <w:pPr>
        <w:ind w:left="1350" w:hanging="100"/>
      </w:pPr>
      <w:rPr>
        <w:rFonts w:hint="default"/>
      </w:rPr>
    </w:lvl>
    <w:lvl w:ilvl="6" w:tplc="032E7C28">
      <w:numFmt w:val="bullet"/>
      <w:lvlText w:val="•"/>
      <w:lvlJc w:val="left"/>
      <w:pPr>
        <w:ind w:left="1588" w:hanging="100"/>
      </w:pPr>
      <w:rPr>
        <w:rFonts w:hint="default"/>
      </w:rPr>
    </w:lvl>
    <w:lvl w:ilvl="7" w:tplc="9998E21C">
      <w:numFmt w:val="bullet"/>
      <w:lvlText w:val="•"/>
      <w:lvlJc w:val="left"/>
      <w:pPr>
        <w:ind w:left="1826" w:hanging="100"/>
      </w:pPr>
      <w:rPr>
        <w:rFonts w:hint="default"/>
      </w:rPr>
    </w:lvl>
    <w:lvl w:ilvl="8" w:tplc="FB6641AA">
      <w:numFmt w:val="bullet"/>
      <w:lvlText w:val="•"/>
      <w:lvlJc w:val="left"/>
      <w:pPr>
        <w:ind w:left="2064" w:hanging="100"/>
      </w:pPr>
      <w:rPr>
        <w:rFonts w:hint="default"/>
      </w:rPr>
    </w:lvl>
  </w:abstractNum>
  <w:abstractNum w:abstractNumId="1715" w15:restartNumberingAfterBreak="0">
    <w:nsid w:val="6CF84452"/>
    <w:multiLevelType w:val="hybridMultilevel"/>
    <w:tmpl w:val="A1F821E8"/>
    <w:lvl w:ilvl="0" w:tplc="2460C796">
      <w:numFmt w:val="bullet"/>
      <w:lvlText w:val=""/>
      <w:lvlJc w:val="left"/>
      <w:pPr>
        <w:ind w:left="156" w:hanging="100"/>
      </w:pPr>
      <w:rPr>
        <w:rFonts w:ascii="Symbol" w:eastAsia="Symbol" w:hAnsi="Symbol" w:cs="Symbol" w:hint="default"/>
        <w:color w:val="231F20"/>
        <w:w w:val="100"/>
        <w:sz w:val="14"/>
        <w:szCs w:val="14"/>
      </w:rPr>
    </w:lvl>
    <w:lvl w:ilvl="1" w:tplc="48DC904C">
      <w:numFmt w:val="bullet"/>
      <w:lvlText w:val="•"/>
      <w:lvlJc w:val="left"/>
      <w:pPr>
        <w:ind w:left="398" w:hanging="100"/>
      </w:pPr>
      <w:rPr>
        <w:rFonts w:hint="default"/>
      </w:rPr>
    </w:lvl>
    <w:lvl w:ilvl="2" w:tplc="33387886">
      <w:numFmt w:val="bullet"/>
      <w:lvlText w:val="•"/>
      <w:lvlJc w:val="left"/>
      <w:pPr>
        <w:ind w:left="636" w:hanging="100"/>
      </w:pPr>
      <w:rPr>
        <w:rFonts w:hint="default"/>
      </w:rPr>
    </w:lvl>
    <w:lvl w:ilvl="3" w:tplc="43C081DA">
      <w:numFmt w:val="bullet"/>
      <w:lvlText w:val="•"/>
      <w:lvlJc w:val="left"/>
      <w:pPr>
        <w:ind w:left="874" w:hanging="100"/>
      </w:pPr>
      <w:rPr>
        <w:rFonts w:hint="default"/>
      </w:rPr>
    </w:lvl>
    <w:lvl w:ilvl="4" w:tplc="F7F4FCB6">
      <w:numFmt w:val="bullet"/>
      <w:lvlText w:val="•"/>
      <w:lvlJc w:val="left"/>
      <w:pPr>
        <w:ind w:left="1112" w:hanging="100"/>
      </w:pPr>
      <w:rPr>
        <w:rFonts w:hint="default"/>
      </w:rPr>
    </w:lvl>
    <w:lvl w:ilvl="5" w:tplc="550617B4">
      <w:numFmt w:val="bullet"/>
      <w:lvlText w:val="•"/>
      <w:lvlJc w:val="left"/>
      <w:pPr>
        <w:ind w:left="1350" w:hanging="100"/>
      </w:pPr>
      <w:rPr>
        <w:rFonts w:hint="default"/>
      </w:rPr>
    </w:lvl>
    <w:lvl w:ilvl="6" w:tplc="9E580D48">
      <w:numFmt w:val="bullet"/>
      <w:lvlText w:val="•"/>
      <w:lvlJc w:val="left"/>
      <w:pPr>
        <w:ind w:left="1588" w:hanging="100"/>
      </w:pPr>
      <w:rPr>
        <w:rFonts w:hint="default"/>
      </w:rPr>
    </w:lvl>
    <w:lvl w:ilvl="7" w:tplc="0742DCB6">
      <w:numFmt w:val="bullet"/>
      <w:lvlText w:val="•"/>
      <w:lvlJc w:val="left"/>
      <w:pPr>
        <w:ind w:left="1826" w:hanging="100"/>
      </w:pPr>
      <w:rPr>
        <w:rFonts w:hint="default"/>
      </w:rPr>
    </w:lvl>
    <w:lvl w:ilvl="8" w:tplc="D38C1BEA">
      <w:numFmt w:val="bullet"/>
      <w:lvlText w:val="•"/>
      <w:lvlJc w:val="left"/>
      <w:pPr>
        <w:ind w:left="2064" w:hanging="100"/>
      </w:pPr>
      <w:rPr>
        <w:rFonts w:hint="default"/>
      </w:rPr>
    </w:lvl>
  </w:abstractNum>
  <w:abstractNum w:abstractNumId="1716" w15:restartNumberingAfterBreak="0">
    <w:nsid w:val="6CFA07EC"/>
    <w:multiLevelType w:val="hybridMultilevel"/>
    <w:tmpl w:val="4E36E766"/>
    <w:lvl w:ilvl="0" w:tplc="E8046CA4">
      <w:numFmt w:val="bullet"/>
      <w:lvlText w:val=""/>
      <w:lvlJc w:val="left"/>
      <w:pPr>
        <w:ind w:left="156" w:hanging="100"/>
      </w:pPr>
      <w:rPr>
        <w:rFonts w:ascii="Symbol" w:eastAsia="Symbol" w:hAnsi="Symbol" w:cs="Symbol" w:hint="default"/>
        <w:color w:val="231F20"/>
        <w:w w:val="100"/>
        <w:sz w:val="14"/>
        <w:szCs w:val="14"/>
      </w:rPr>
    </w:lvl>
    <w:lvl w:ilvl="1" w:tplc="38A80048">
      <w:numFmt w:val="bullet"/>
      <w:lvlText w:val="•"/>
      <w:lvlJc w:val="left"/>
      <w:pPr>
        <w:ind w:left="398" w:hanging="100"/>
      </w:pPr>
      <w:rPr>
        <w:rFonts w:hint="default"/>
      </w:rPr>
    </w:lvl>
    <w:lvl w:ilvl="2" w:tplc="3506AB3E">
      <w:numFmt w:val="bullet"/>
      <w:lvlText w:val="•"/>
      <w:lvlJc w:val="left"/>
      <w:pPr>
        <w:ind w:left="636" w:hanging="100"/>
      </w:pPr>
      <w:rPr>
        <w:rFonts w:hint="default"/>
      </w:rPr>
    </w:lvl>
    <w:lvl w:ilvl="3" w:tplc="EB50FC56">
      <w:numFmt w:val="bullet"/>
      <w:lvlText w:val="•"/>
      <w:lvlJc w:val="left"/>
      <w:pPr>
        <w:ind w:left="874" w:hanging="100"/>
      </w:pPr>
      <w:rPr>
        <w:rFonts w:hint="default"/>
      </w:rPr>
    </w:lvl>
    <w:lvl w:ilvl="4" w:tplc="0A141654">
      <w:numFmt w:val="bullet"/>
      <w:lvlText w:val="•"/>
      <w:lvlJc w:val="left"/>
      <w:pPr>
        <w:ind w:left="1112" w:hanging="100"/>
      </w:pPr>
      <w:rPr>
        <w:rFonts w:hint="default"/>
      </w:rPr>
    </w:lvl>
    <w:lvl w:ilvl="5" w:tplc="EE2498C4">
      <w:numFmt w:val="bullet"/>
      <w:lvlText w:val="•"/>
      <w:lvlJc w:val="left"/>
      <w:pPr>
        <w:ind w:left="1350" w:hanging="100"/>
      </w:pPr>
      <w:rPr>
        <w:rFonts w:hint="default"/>
      </w:rPr>
    </w:lvl>
    <w:lvl w:ilvl="6" w:tplc="0D84054C">
      <w:numFmt w:val="bullet"/>
      <w:lvlText w:val="•"/>
      <w:lvlJc w:val="left"/>
      <w:pPr>
        <w:ind w:left="1588" w:hanging="100"/>
      </w:pPr>
      <w:rPr>
        <w:rFonts w:hint="default"/>
      </w:rPr>
    </w:lvl>
    <w:lvl w:ilvl="7" w:tplc="AF8AB82A">
      <w:numFmt w:val="bullet"/>
      <w:lvlText w:val="•"/>
      <w:lvlJc w:val="left"/>
      <w:pPr>
        <w:ind w:left="1826" w:hanging="100"/>
      </w:pPr>
      <w:rPr>
        <w:rFonts w:hint="default"/>
      </w:rPr>
    </w:lvl>
    <w:lvl w:ilvl="8" w:tplc="9D229548">
      <w:numFmt w:val="bullet"/>
      <w:lvlText w:val="•"/>
      <w:lvlJc w:val="left"/>
      <w:pPr>
        <w:ind w:left="2064" w:hanging="100"/>
      </w:pPr>
      <w:rPr>
        <w:rFonts w:hint="default"/>
      </w:rPr>
    </w:lvl>
  </w:abstractNum>
  <w:abstractNum w:abstractNumId="1717" w15:restartNumberingAfterBreak="0">
    <w:nsid w:val="6D02361D"/>
    <w:multiLevelType w:val="hybridMultilevel"/>
    <w:tmpl w:val="6C185634"/>
    <w:lvl w:ilvl="0" w:tplc="76BEE1E2">
      <w:numFmt w:val="bullet"/>
      <w:lvlText w:val=""/>
      <w:lvlJc w:val="left"/>
      <w:pPr>
        <w:ind w:left="157" w:hanging="100"/>
      </w:pPr>
      <w:rPr>
        <w:rFonts w:ascii="Symbol" w:eastAsia="Symbol" w:hAnsi="Symbol" w:cs="Symbol" w:hint="default"/>
        <w:color w:val="231F20"/>
        <w:w w:val="100"/>
        <w:sz w:val="14"/>
        <w:szCs w:val="14"/>
      </w:rPr>
    </w:lvl>
    <w:lvl w:ilvl="1" w:tplc="1E32A846">
      <w:numFmt w:val="bullet"/>
      <w:lvlText w:val="•"/>
      <w:lvlJc w:val="left"/>
      <w:pPr>
        <w:ind w:left="369" w:hanging="100"/>
      </w:pPr>
      <w:rPr>
        <w:rFonts w:hint="default"/>
      </w:rPr>
    </w:lvl>
    <w:lvl w:ilvl="2" w:tplc="242E6C1C">
      <w:numFmt w:val="bullet"/>
      <w:lvlText w:val="•"/>
      <w:lvlJc w:val="left"/>
      <w:pPr>
        <w:ind w:left="579" w:hanging="100"/>
      </w:pPr>
      <w:rPr>
        <w:rFonts w:hint="default"/>
      </w:rPr>
    </w:lvl>
    <w:lvl w:ilvl="3" w:tplc="0FCC8A98">
      <w:numFmt w:val="bullet"/>
      <w:lvlText w:val="•"/>
      <w:lvlJc w:val="left"/>
      <w:pPr>
        <w:ind w:left="789" w:hanging="100"/>
      </w:pPr>
      <w:rPr>
        <w:rFonts w:hint="default"/>
      </w:rPr>
    </w:lvl>
    <w:lvl w:ilvl="4" w:tplc="4BB496D8">
      <w:numFmt w:val="bullet"/>
      <w:lvlText w:val="•"/>
      <w:lvlJc w:val="left"/>
      <w:pPr>
        <w:ind w:left="998" w:hanging="100"/>
      </w:pPr>
      <w:rPr>
        <w:rFonts w:hint="default"/>
      </w:rPr>
    </w:lvl>
    <w:lvl w:ilvl="5" w:tplc="4852FF2C">
      <w:numFmt w:val="bullet"/>
      <w:lvlText w:val="•"/>
      <w:lvlJc w:val="left"/>
      <w:pPr>
        <w:ind w:left="1208" w:hanging="100"/>
      </w:pPr>
      <w:rPr>
        <w:rFonts w:hint="default"/>
      </w:rPr>
    </w:lvl>
    <w:lvl w:ilvl="6" w:tplc="04E2BF50">
      <w:numFmt w:val="bullet"/>
      <w:lvlText w:val="•"/>
      <w:lvlJc w:val="left"/>
      <w:pPr>
        <w:ind w:left="1418" w:hanging="100"/>
      </w:pPr>
      <w:rPr>
        <w:rFonts w:hint="default"/>
      </w:rPr>
    </w:lvl>
    <w:lvl w:ilvl="7" w:tplc="D8CED542">
      <w:numFmt w:val="bullet"/>
      <w:lvlText w:val="•"/>
      <w:lvlJc w:val="left"/>
      <w:pPr>
        <w:ind w:left="1627" w:hanging="100"/>
      </w:pPr>
      <w:rPr>
        <w:rFonts w:hint="default"/>
      </w:rPr>
    </w:lvl>
    <w:lvl w:ilvl="8" w:tplc="C4C89F74">
      <w:numFmt w:val="bullet"/>
      <w:lvlText w:val="•"/>
      <w:lvlJc w:val="left"/>
      <w:pPr>
        <w:ind w:left="1837" w:hanging="100"/>
      </w:pPr>
      <w:rPr>
        <w:rFonts w:hint="default"/>
      </w:rPr>
    </w:lvl>
  </w:abstractNum>
  <w:abstractNum w:abstractNumId="1718" w15:restartNumberingAfterBreak="0">
    <w:nsid w:val="6D117DB6"/>
    <w:multiLevelType w:val="hybridMultilevel"/>
    <w:tmpl w:val="FA1A7650"/>
    <w:lvl w:ilvl="0" w:tplc="6EDECF32">
      <w:numFmt w:val="bullet"/>
      <w:lvlText w:val=""/>
      <w:lvlJc w:val="left"/>
      <w:pPr>
        <w:ind w:left="156" w:hanging="100"/>
      </w:pPr>
      <w:rPr>
        <w:rFonts w:ascii="Symbol" w:eastAsia="Symbol" w:hAnsi="Symbol" w:cs="Symbol" w:hint="default"/>
        <w:color w:val="231F20"/>
        <w:w w:val="100"/>
        <w:sz w:val="14"/>
        <w:szCs w:val="14"/>
      </w:rPr>
    </w:lvl>
    <w:lvl w:ilvl="1" w:tplc="52B2E75A">
      <w:numFmt w:val="bullet"/>
      <w:lvlText w:val="•"/>
      <w:lvlJc w:val="left"/>
      <w:pPr>
        <w:ind w:left="426" w:hanging="100"/>
      </w:pPr>
      <w:rPr>
        <w:rFonts w:hint="default"/>
      </w:rPr>
    </w:lvl>
    <w:lvl w:ilvl="2" w:tplc="07EA1438">
      <w:numFmt w:val="bullet"/>
      <w:lvlText w:val="•"/>
      <w:lvlJc w:val="left"/>
      <w:pPr>
        <w:ind w:left="692" w:hanging="100"/>
      </w:pPr>
      <w:rPr>
        <w:rFonts w:hint="default"/>
      </w:rPr>
    </w:lvl>
    <w:lvl w:ilvl="3" w:tplc="25E8C24A">
      <w:numFmt w:val="bullet"/>
      <w:lvlText w:val="•"/>
      <w:lvlJc w:val="left"/>
      <w:pPr>
        <w:ind w:left="959" w:hanging="100"/>
      </w:pPr>
      <w:rPr>
        <w:rFonts w:hint="default"/>
      </w:rPr>
    </w:lvl>
    <w:lvl w:ilvl="4" w:tplc="1BA63112">
      <w:numFmt w:val="bullet"/>
      <w:lvlText w:val="•"/>
      <w:lvlJc w:val="left"/>
      <w:pPr>
        <w:ind w:left="1225" w:hanging="100"/>
      </w:pPr>
      <w:rPr>
        <w:rFonts w:hint="default"/>
      </w:rPr>
    </w:lvl>
    <w:lvl w:ilvl="5" w:tplc="0FBE3AC6">
      <w:numFmt w:val="bullet"/>
      <w:lvlText w:val="•"/>
      <w:lvlJc w:val="left"/>
      <w:pPr>
        <w:ind w:left="1492" w:hanging="100"/>
      </w:pPr>
      <w:rPr>
        <w:rFonts w:hint="default"/>
      </w:rPr>
    </w:lvl>
    <w:lvl w:ilvl="6" w:tplc="2FD2E7F2">
      <w:numFmt w:val="bullet"/>
      <w:lvlText w:val="•"/>
      <w:lvlJc w:val="left"/>
      <w:pPr>
        <w:ind w:left="1758" w:hanging="100"/>
      </w:pPr>
      <w:rPr>
        <w:rFonts w:hint="default"/>
      </w:rPr>
    </w:lvl>
    <w:lvl w:ilvl="7" w:tplc="B7BC4DCC">
      <w:numFmt w:val="bullet"/>
      <w:lvlText w:val="•"/>
      <w:lvlJc w:val="left"/>
      <w:pPr>
        <w:ind w:left="2024" w:hanging="100"/>
      </w:pPr>
      <w:rPr>
        <w:rFonts w:hint="default"/>
      </w:rPr>
    </w:lvl>
    <w:lvl w:ilvl="8" w:tplc="DDB617D8">
      <w:numFmt w:val="bullet"/>
      <w:lvlText w:val="•"/>
      <w:lvlJc w:val="left"/>
      <w:pPr>
        <w:ind w:left="2291" w:hanging="100"/>
      </w:pPr>
      <w:rPr>
        <w:rFonts w:hint="default"/>
      </w:rPr>
    </w:lvl>
  </w:abstractNum>
  <w:abstractNum w:abstractNumId="1719" w15:restartNumberingAfterBreak="0">
    <w:nsid w:val="6D1643AC"/>
    <w:multiLevelType w:val="hybridMultilevel"/>
    <w:tmpl w:val="DBD284B2"/>
    <w:lvl w:ilvl="0" w:tplc="24286294">
      <w:numFmt w:val="bullet"/>
      <w:lvlText w:val=""/>
      <w:lvlJc w:val="left"/>
      <w:pPr>
        <w:ind w:left="156" w:hanging="100"/>
      </w:pPr>
      <w:rPr>
        <w:rFonts w:ascii="Symbol" w:eastAsia="Symbol" w:hAnsi="Symbol" w:cs="Symbol" w:hint="default"/>
        <w:color w:val="231F20"/>
        <w:w w:val="100"/>
        <w:sz w:val="14"/>
        <w:szCs w:val="14"/>
      </w:rPr>
    </w:lvl>
    <w:lvl w:ilvl="1" w:tplc="3CBE9198">
      <w:numFmt w:val="bullet"/>
      <w:lvlText w:val="•"/>
      <w:lvlJc w:val="left"/>
      <w:pPr>
        <w:ind w:left="301" w:hanging="100"/>
      </w:pPr>
      <w:rPr>
        <w:rFonts w:hint="default"/>
      </w:rPr>
    </w:lvl>
    <w:lvl w:ilvl="2" w:tplc="210074BC">
      <w:numFmt w:val="bullet"/>
      <w:lvlText w:val="•"/>
      <w:lvlJc w:val="left"/>
      <w:pPr>
        <w:ind w:left="443" w:hanging="100"/>
      </w:pPr>
      <w:rPr>
        <w:rFonts w:hint="default"/>
      </w:rPr>
    </w:lvl>
    <w:lvl w:ilvl="3" w:tplc="AFF01DA2">
      <w:numFmt w:val="bullet"/>
      <w:lvlText w:val="•"/>
      <w:lvlJc w:val="left"/>
      <w:pPr>
        <w:ind w:left="585" w:hanging="100"/>
      </w:pPr>
      <w:rPr>
        <w:rFonts w:hint="default"/>
      </w:rPr>
    </w:lvl>
    <w:lvl w:ilvl="4" w:tplc="11263EA2">
      <w:numFmt w:val="bullet"/>
      <w:lvlText w:val="•"/>
      <w:lvlJc w:val="left"/>
      <w:pPr>
        <w:ind w:left="726" w:hanging="100"/>
      </w:pPr>
      <w:rPr>
        <w:rFonts w:hint="default"/>
      </w:rPr>
    </w:lvl>
    <w:lvl w:ilvl="5" w:tplc="42146AF6">
      <w:numFmt w:val="bullet"/>
      <w:lvlText w:val="•"/>
      <w:lvlJc w:val="left"/>
      <w:pPr>
        <w:ind w:left="868" w:hanging="100"/>
      </w:pPr>
      <w:rPr>
        <w:rFonts w:hint="default"/>
      </w:rPr>
    </w:lvl>
    <w:lvl w:ilvl="6" w:tplc="BA4C668E">
      <w:numFmt w:val="bullet"/>
      <w:lvlText w:val="•"/>
      <w:lvlJc w:val="left"/>
      <w:pPr>
        <w:ind w:left="1010" w:hanging="100"/>
      </w:pPr>
      <w:rPr>
        <w:rFonts w:hint="default"/>
      </w:rPr>
    </w:lvl>
    <w:lvl w:ilvl="7" w:tplc="D458D5FA">
      <w:numFmt w:val="bullet"/>
      <w:lvlText w:val="•"/>
      <w:lvlJc w:val="left"/>
      <w:pPr>
        <w:ind w:left="1151" w:hanging="100"/>
      </w:pPr>
      <w:rPr>
        <w:rFonts w:hint="default"/>
      </w:rPr>
    </w:lvl>
    <w:lvl w:ilvl="8" w:tplc="685E3B10">
      <w:numFmt w:val="bullet"/>
      <w:lvlText w:val="•"/>
      <w:lvlJc w:val="left"/>
      <w:pPr>
        <w:ind w:left="1293" w:hanging="100"/>
      </w:pPr>
      <w:rPr>
        <w:rFonts w:hint="default"/>
      </w:rPr>
    </w:lvl>
  </w:abstractNum>
  <w:abstractNum w:abstractNumId="1720" w15:restartNumberingAfterBreak="0">
    <w:nsid w:val="6D2906BA"/>
    <w:multiLevelType w:val="hybridMultilevel"/>
    <w:tmpl w:val="5D32C48A"/>
    <w:lvl w:ilvl="0" w:tplc="63ECD9D8">
      <w:numFmt w:val="bullet"/>
      <w:lvlText w:val=""/>
      <w:lvlJc w:val="left"/>
      <w:pPr>
        <w:ind w:left="156" w:hanging="100"/>
      </w:pPr>
      <w:rPr>
        <w:rFonts w:ascii="Symbol" w:eastAsia="Symbol" w:hAnsi="Symbol" w:cs="Symbol" w:hint="default"/>
        <w:color w:val="231F20"/>
        <w:w w:val="100"/>
        <w:sz w:val="14"/>
        <w:szCs w:val="14"/>
      </w:rPr>
    </w:lvl>
    <w:lvl w:ilvl="1" w:tplc="AE102E76">
      <w:numFmt w:val="bullet"/>
      <w:lvlText w:val="•"/>
      <w:lvlJc w:val="left"/>
      <w:pPr>
        <w:ind w:left="240" w:hanging="100"/>
      </w:pPr>
      <w:rPr>
        <w:rFonts w:hint="default"/>
      </w:rPr>
    </w:lvl>
    <w:lvl w:ilvl="2" w:tplc="E62A84CA">
      <w:numFmt w:val="bullet"/>
      <w:lvlText w:val="•"/>
      <w:lvlJc w:val="left"/>
      <w:pPr>
        <w:ind w:left="495" w:hanging="100"/>
      </w:pPr>
      <w:rPr>
        <w:rFonts w:hint="default"/>
      </w:rPr>
    </w:lvl>
    <w:lvl w:ilvl="3" w:tplc="A0AC951A">
      <w:numFmt w:val="bullet"/>
      <w:lvlText w:val="•"/>
      <w:lvlJc w:val="left"/>
      <w:pPr>
        <w:ind w:left="751" w:hanging="100"/>
      </w:pPr>
      <w:rPr>
        <w:rFonts w:hint="default"/>
      </w:rPr>
    </w:lvl>
    <w:lvl w:ilvl="4" w:tplc="8BF6F22C">
      <w:numFmt w:val="bullet"/>
      <w:lvlText w:val="•"/>
      <w:lvlJc w:val="left"/>
      <w:pPr>
        <w:ind w:left="1007" w:hanging="100"/>
      </w:pPr>
      <w:rPr>
        <w:rFonts w:hint="default"/>
      </w:rPr>
    </w:lvl>
    <w:lvl w:ilvl="5" w:tplc="28AA858C">
      <w:numFmt w:val="bullet"/>
      <w:lvlText w:val="•"/>
      <w:lvlJc w:val="left"/>
      <w:pPr>
        <w:ind w:left="1262" w:hanging="100"/>
      </w:pPr>
      <w:rPr>
        <w:rFonts w:hint="default"/>
      </w:rPr>
    </w:lvl>
    <w:lvl w:ilvl="6" w:tplc="BD420E60">
      <w:numFmt w:val="bullet"/>
      <w:lvlText w:val="•"/>
      <w:lvlJc w:val="left"/>
      <w:pPr>
        <w:ind w:left="1518" w:hanging="100"/>
      </w:pPr>
      <w:rPr>
        <w:rFonts w:hint="default"/>
      </w:rPr>
    </w:lvl>
    <w:lvl w:ilvl="7" w:tplc="C15A0DAE">
      <w:numFmt w:val="bullet"/>
      <w:lvlText w:val="•"/>
      <w:lvlJc w:val="left"/>
      <w:pPr>
        <w:ind w:left="1774" w:hanging="100"/>
      </w:pPr>
      <w:rPr>
        <w:rFonts w:hint="default"/>
      </w:rPr>
    </w:lvl>
    <w:lvl w:ilvl="8" w:tplc="06844B76">
      <w:numFmt w:val="bullet"/>
      <w:lvlText w:val="•"/>
      <w:lvlJc w:val="left"/>
      <w:pPr>
        <w:ind w:left="2029" w:hanging="100"/>
      </w:pPr>
      <w:rPr>
        <w:rFonts w:hint="default"/>
      </w:rPr>
    </w:lvl>
  </w:abstractNum>
  <w:abstractNum w:abstractNumId="1721" w15:restartNumberingAfterBreak="0">
    <w:nsid w:val="6D4421CD"/>
    <w:multiLevelType w:val="hybridMultilevel"/>
    <w:tmpl w:val="ECFE8C72"/>
    <w:lvl w:ilvl="0" w:tplc="8F923A9C">
      <w:numFmt w:val="bullet"/>
      <w:lvlText w:val=""/>
      <w:lvlJc w:val="left"/>
      <w:pPr>
        <w:ind w:left="156" w:hanging="100"/>
      </w:pPr>
      <w:rPr>
        <w:rFonts w:ascii="Symbol" w:eastAsia="Symbol" w:hAnsi="Symbol" w:cs="Symbol" w:hint="default"/>
        <w:color w:val="231F20"/>
        <w:w w:val="100"/>
        <w:sz w:val="14"/>
        <w:szCs w:val="14"/>
      </w:rPr>
    </w:lvl>
    <w:lvl w:ilvl="1" w:tplc="F4C8423A">
      <w:numFmt w:val="bullet"/>
      <w:lvlText w:val="•"/>
      <w:lvlJc w:val="left"/>
      <w:pPr>
        <w:ind w:left="301" w:hanging="100"/>
      </w:pPr>
      <w:rPr>
        <w:rFonts w:hint="default"/>
      </w:rPr>
    </w:lvl>
    <w:lvl w:ilvl="2" w:tplc="12CC6E9E">
      <w:numFmt w:val="bullet"/>
      <w:lvlText w:val="•"/>
      <w:lvlJc w:val="left"/>
      <w:pPr>
        <w:ind w:left="443" w:hanging="100"/>
      </w:pPr>
      <w:rPr>
        <w:rFonts w:hint="default"/>
      </w:rPr>
    </w:lvl>
    <w:lvl w:ilvl="3" w:tplc="2280DB7E">
      <w:numFmt w:val="bullet"/>
      <w:lvlText w:val="•"/>
      <w:lvlJc w:val="left"/>
      <w:pPr>
        <w:ind w:left="585" w:hanging="100"/>
      </w:pPr>
      <w:rPr>
        <w:rFonts w:hint="default"/>
      </w:rPr>
    </w:lvl>
    <w:lvl w:ilvl="4" w:tplc="1AEC1116">
      <w:numFmt w:val="bullet"/>
      <w:lvlText w:val="•"/>
      <w:lvlJc w:val="left"/>
      <w:pPr>
        <w:ind w:left="726" w:hanging="100"/>
      </w:pPr>
      <w:rPr>
        <w:rFonts w:hint="default"/>
      </w:rPr>
    </w:lvl>
    <w:lvl w:ilvl="5" w:tplc="CFBE2AA2">
      <w:numFmt w:val="bullet"/>
      <w:lvlText w:val="•"/>
      <w:lvlJc w:val="left"/>
      <w:pPr>
        <w:ind w:left="868" w:hanging="100"/>
      </w:pPr>
      <w:rPr>
        <w:rFonts w:hint="default"/>
      </w:rPr>
    </w:lvl>
    <w:lvl w:ilvl="6" w:tplc="CC2A1856">
      <w:numFmt w:val="bullet"/>
      <w:lvlText w:val="•"/>
      <w:lvlJc w:val="left"/>
      <w:pPr>
        <w:ind w:left="1010" w:hanging="100"/>
      </w:pPr>
      <w:rPr>
        <w:rFonts w:hint="default"/>
      </w:rPr>
    </w:lvl>
    <w:lvl w:ilvl="7" w:tplc="22EAE50A">
      <w:numFmt w:val="bullet"/>
      <w:lvlText w:val="•"/>
      <w:lvlJc w:val="left"/>
      <w:pPr>
        <w:ind w:left="1151" w:hanging="100"/>
      </w:pPr>
      <w:rPr>
        <w:rFonts w:hint="default"/>
      </w:rPr>
    </w:lvl>
    <w:lvl w:ilvl="8" w:tplc="60E82DA2">
      <w:numFmt w:val="bullet"/>
      <w:lvlText w:val="•"/>
      <w:lvlJc w:val="left"/>
      <w:pPr>
        <w:ind w:left="1293" w:hanging="100"/>
      </w:pPr>
      <w:rPr>
        <w:rFonts w:hint="default"/>
      </w:rPr>
    </w:lvl>
  </w:abstractNum>
  <w:abstractNum w:abstractNumId="1722" w15:restartNumberingAfterBreak="0">
    <w:nsid w:val="6D4C5E5F"/>
    <w:multiLevelType w:val="hybridMultilevel"/>
    <w:tmpl w:val="44BC6BF4"/>
    <w:lvl w:ilvl="0" w:tplc="0E1A5918">
      <w:numFmt w:val="bullet"/>
      <w:lvlText w:val=""/>
      <w:lvlJc w:val="left"/>
      <w:pPr>
        <w:ind w:left="157" w:hanging="100"/>
      </w:pPr>
      <w:rPr>
        <w:rFonts w:ascii="Symbol" w:eastAsia="Symbol" w:hAnsi="Symbol" w:cs="Symbol" w:hint="default"/>
        <w:color w:val="231F20"/>
        <w:w w:val="100"/>
        <w:sz w:val="14"/>
        <w:szCs w:val="14"/>
      </w:rPr>
    </w:lvl>
    <w:lvl w:ilvl="1" w:tplc="53FA1A36">
      <w:numFmt w:val="bullet"/>
      <w:lvlText w:val="•"/>
      <w:lvlJc w:val="left"/>
      <w:pPr>
        <w:ind w:left="369" w:hanging="100"/>
      </w:pPr>
      <w:rPr>
        <w:rFonts w:hint="default"/>
      </w:rPr>
    </w:lvl>
    <w:lvl w:ilvl="2" w:tplc="E5CE9A6A">
      <w:numFmt w:val="bullet"/>
      <w:lvlText w:val="•"/>
      <w:lvlJc w:val="left"/>
      <w:pPr>
        <w:ind w:left="579" w:hanging="100"/>
      </w:pPr>
      <w:rPr>
        <w:rFonts w:hint="default"/>
      </w:rPr>
    </w:lvl>
    <w:lvl w:ilvl="3" w:tplc="430475B0">
      <w:numFmt w:val="bullet"/>
      <w:lvlText w:val="•"/>
      <w:lvlJc w:val="left"/>
      <w:pPr>
        <w:ind w:left="789" w:hanging="100"/>
      </w:pPr>
      <w:rPr>
        <w:rFonts w:hint="default"/>
      </w:rPr>
    </w:lvl>
    <w:lvl w:ilvl="4" w:tplc="6EFE6E72">
      <w:numFmt w:val="bullet"/>
      <w:lvlText w:val="•"/>
      <w:lvlJc w:val="left"/>
      <w:pPr>
        <w:ind w:left="998" w:hanging="100"/>
      </w:pPr>
      <w:rPr>
        <w:rFonts w:hint="default"/>
      </w:rPr>
    </w:lvl>
    <w:lvl w:ilvl="5" w:tplc="8CC87572">
      <w:numFmt w:val="bullet"/>
      <w:lvlText w:val="•"/>
      <w:lvlJc w:val="left"/>
      <w:pPr>
        <w:ind w:left="1208" w:hanging="100"/>
      </w:pPr>
      <w:rPr>
        <w:rFonts w:hint="default"/>
      </w:rPr>
    </w:lvl>
    <w:lvl w:ilvl="6" w:tplc="F0DE2F50">
      <w:numFmt w:val="bullet"/>
      <w:lvlText w:val="•"/>
      <w:lvlJc w:val="left"/>
      <w:pPr>
        <w:ind w:left="1418" w:hanging="100"/>
      </w:pPr>
      <w:rPr>
        <w:rFonts w:hint="default"/>
      </w:rPr>
    </w:lvl>
    <w:lvl w:ilvl="7" w:tplc="856AD332">
      <w:numFmt w:val="bullet"/>
      <w:lvlText w:val="•"/>
      <w:lvlJc w:val="left"/>
      <w:pPr>
        <w:ind w:left="1627" w:hanging="100"/>
      </w:pPr>
      <w:rPr>
        <w:rFonts w:hint="default"/>
      </w:rPr>
    </w:lvl>
    <w:lvl w:ilvl="8" w:tplc="D46E375C">
      <w:numFmt w:val="bullet"/>
      <w:lvlText w:val="•"/>
      <w:lvlJc w:val="left"/>
      <w:pPr>
        <w:ind w:left="1837" w:hanging="100"/>
      </w:pPr>
      <w:rPr>
        <w:rFonts w:hint="default"/>
      </w:rPr>
    </w:lvl>
  </w:abstractNum>
  <w:abstractNum w:abstractNumId="1723" w15:restartNumberingAfterBreak="0">
    <w:nsid w:val="6D5818BE"/>
    <w:multiLevelType w:val="hybridMultilevel"/>
    <w:tmpl w:val="C972D668"/>
    <w:lvl w:ilvl="0" w:tplc="DBFE5E28">
      <w:numFmt w:val="bullet"/>
      <w:lvlText w:val=""/>
      <w:lvlJc w:val="left"/>
      <w:pPr>
        <w:ind w:left="156" w:hanging="100"/>
      </w:pPr>
      <w:rPr>
        <w:rFonts w:ascii="Symbol" w:eastAsia="Symbol" w:hAnsi="Symbol" w:cs="Symbol" w:hint="default"/>
        <w:color w:val="231F20"/>
        <w:w w:val="100"/>
        <w:sz w:val="14"/>
        <w:szCs w:val="14"/>
      </w:rPr>
    </w:lvl>
    <w:lvl w:ilvl="1" w:tplc="86C6C172">
      <w:numFmt w:val="bullet"/>
      <w:lvlText w:val="•"/>
      <w:lvlJc w:val="left"/>
      <w:pPr>
        <w:ind w:left="273" w:hanging="100"/>
      </w:pPr>
      <w:rPr>
        <w:rFonts w:hint="default"/>
      </w:rPr>
    </w:lvl>
    <w:lvl w:ilvl="2" w:tplc="ABD80458">
      <w:numFmt w:val="bullet"/>
      <w:lvlText w:val="•"/>
      <w:lvlJc w:val="left"/>
      <w:pPr>
        <w:ind w:left="386" w:hanging="100"/>
      </w:pPr>
      <w:rPr>
        <w:rFonts w:hint="default"/>
      </w:rPr>
    </w:lvl>
    <w:lvl w:ilvl="3" w:tplc="E6F631DE">
      <w:numFmt w:val="bullet"/>
      <w:lvlText w:val="•"/>
      <w:lvlJc w:val="left"/>
      <w:pPr>
        <w:ind w:left="500" w:hanging="100"/>
      </w:pPr>
      <w:rPr>
        <w:rFonts w:hint="default"/>
      </w:rPr>
    </w:lvl>
    <w:lvl w:ilvl="4" w:tplc="58CC165E">
      <w:numFmt w:val="bullet"/>
      <w:lvlText w:val="•"/>
      <w:lvlJc w:val="left"/>
      <w:pPr>
        <w:ind w:left="613" w:hanging="100"/>
      </w:pPr>
      <w:rPr>
        <w:rFonts w:hint="default"/>
      </w:rPr>
    </w:lvl>
    <w:lvl w:ilvl="5" w:tplc="74AA2124">
      <w:numFmt w:val="bullet"/>
      <w:lvlText w:val="•"/>
      <w:lvlJc w:val="left"/>
      <w:pPr>
        <w:ind w:left="727" w:hanging="100"/>
      </w:pPr>
      <w:rPr>
        <w:rFonts w:hint="default"/>
      </w:rPr>
    </w:lvl>
    <w:lvl w:ilvl="6" w:tplc="A732B3FC">
      <w:numFmt w:val="bullet"/>
      <w:lvlText w:val="•"/>
      <w:lvlJc w:val="left"/>
      <w:pPr>
        <w:ind w:left="840" w:hanging="100"/>
      </w:pPr>
      <w:rPr>
        <w:rFonts w:hint="default"/>
      </w:rPr>
    </w:lvl>
    <w:lvl w:ilvl="7" w:tplc="41664944">
      <w:numFmt w:val="bullet"/>
      <w:lvlText w:val="•"/>
      <w:lvlJc w:val="left"/>
      <w:pPr>
        <w:ind w:left="953" w:hanging="100"/>
      </w:pPr>
      <w:rPr>
        <w:rFonts w:hint="default"/>
      </w:rPr>
    </w:lvl>
    <w:lvl w:ilvl="8" w:tplc="2918C418">
      <w:numFmt w:val="bullet"/>
      <w:lvlText w:val="•"/>
      <w:lvlJc w:val="left"/>
      <w:pPr>
        <w:ind w:left="1067" w:hanging="100"/>
      </w:pPr>
      <w:rPr>
        <w:rFonts w:hint="default"/>
      </w:rPr>
    </w:lvl>
  </w:abstractNum>
  <w:abstractNum w:abstractNumId="1724" w15:restartNumberingAfterBreak="0">
    <w:nsid w:val="6D687842"/>
    <w:multiLevelType w:val="hybridMultilevel"/>
    <w:tmpl w:val="BD0ACD60"/>
    <w:lvl w:ilvl="0" w:tplc="5B763A18">
      <w:numFmt w:val="bullet"/>
      <w:lvlText w:val=""/>
      <w:lvlJc w:val="left"/>
      <w:pPr>
        <w:ind w:left="156" w:hanging="100"/>
      </w:pPr>
      <w:rPr>
        <w:rFonts w:ascii="Symbol" w:eastAsia="Symbol" w:hAnsi="Symbol" w:cs="Symbol" w:hint="default"/>
        <w:color w:val="231F20"/>
        <w:w w:val="100"/>
        <w:sz w:val="14"/>
        <w:szCs w:val="14"/>
      </w:rPr>
    </w:lvl>
    <w:lvl w:ilvl="1" w:tplc="0338DC06">
      <w:numFmt w:val="bullet"/>
      <w:lvlText w:val="•"/>
      <w:lvlJc w:val="left"/>
      <w:pPr>
        <w:ind w:left="301" w:hanging="100"/>
      </w:pPr>
      <w:rPr>
        <w:rFonts w:hint="default"/>
      </w:rPr>
    </w:lvl>
    <w:lvl w:ilvl="2" w:tplc="52E48B96">
      <w:numFmt w:val="bullet"/>
      <w:lvlText w:val="•"/>
      <w:lvlJc w:val="left"/>
      <w:pPr>
        <w:ind w:left="443" w:hanging="100"/>
      </w:pPr>
      <w:rPr>
        <w:rFonts w:hint="default"/>
      </w:rPr>
    </w:lvl>
    <w:lvl w:ilvl="3" w:tplc="710E8C38">
      <w:numFmt w:val="bullet"/>
      <w:lvlText w:val="•"/>
      <w:lvlJc w:val="left"/>
      <w:pPr>
        <w:ind w:left="585" w:hanging="100"/>
      </w:pPr>
      <w:rPr>
        <w:rFonts w:hint="default"/>
      </w:rPr>
    </w:lvl>
    <w:lvl w:ilvl="4" w:tplc="ECC626B8">
      <w:numFmt w:val="bullet"/>
      <w:lvlText w:val="•"/>
      <w:lvlJc w:val="left"/>
      <w:pPr>
        <w:ind w:left="726" w:hanging="100"/>
      </w:pPr>
      <w:rPr>
        <w:rFonts w:hint="default"/>
      </w:rPr>
    </w:lvl>
    <w:lvl w:ilvl="5" w:tplc="BC601F0E">
      <w:numFmt w:val="bullet"/>
      <w:lvlText w:val="•"/>
      <w:lvlJc w:val="left"/>
      <w:pPr>
        <w:ind w:left="868" w:hanging="100"/>
      </w:pPr>
      <w:rPr>
        <w:rFonts w:hint="default"/>
      </w:rPr>
    </w:lvl>
    <w:lvl w:ilvl="6" w:tplc="BD5ADF8E">
      <w:numFmt w:val="bullet"/>
      <w:lvlText w:val="•"/>
      <w:lvlJc w:val="left"/>
      <w:pPr>
        <w:ind w:left="1010" w:hanging="100"/>
      </w:pPr>
      <w:rPr>
        <w:rFonts w:hint="default"/>
      </w:rPr>
    </w:lvl>
    <w:lvl w:ilvl="7" w:tplc="08D65748">
      <w:numFmt w:val="bullet"/>
      <w:lvlText w:val="•"/>
      <w:lvlJc w:val="left"/>
      <w:pPr>
        <w:ind w:left="1151" w:hanging="100"/>
      </w:pPr>
      <w:rPr>
        <w:rFonts w:hint="default"/>
      </w:rPr>
    </w:lvl>
    <w:lvl w:ilvl="8" w:tplc="D90E691A">
      <w:numFmt w:val="bullet"/>
      <w:lvlText w:val="•"/>
      <w:lvlJc w:val="left"/>
      <w:pPr>
        <w:ind w:left="1293" w:hanging="100"/>
      </w:pPr>
      <w:rPr>
        <w:rFonts w:hint="default"/>
      </w:rPr>
    </w:lvl>
  </w:abstractNum>
  <w:abstractNum w:abstractNumId="1725" w15:restartNumberingAfterBreak="0">
    <w:nsid w:val="6D76065D"/>
    <w:multiLevelType w:val="hybridMultilevel"/>
    <w:tmpl w:val="867CC30E"/>
    <w:lvl w:ilvl="0" w:tplc="6B22689C">
      <w:numFmt w:val="bullet"/>
      <w:lvlText w:val=""/>
      <w:lvlJc w:val="left"/>
      <w:pPr>
        <w:ind w:left="157" w:hanging="100"/>
      </w:pPr>
      <w:rPr>
        <w:rFonts w:ascii="Symbol" w:eastAsia="Symbol" w:hAnsi="Symbol" w:cs="Symbol" w:hint="default"/>
        <w:color w:val="231F20"/>
        <w:w w:val="100"/>
        <w:sz w:val="14"/>
        <w:szCs w:val="14"/>
      </w:rPr>
    </w:lvl>
    <w:lvl w:ilvl="1" w:tplc="B4F46914">
      <w:numFmt w:val="bullet"/>
      <w:lvlText w:val="•"/>
      <w:lvlJc w:val="left"/>
      <w:pPr>
        <w:ind w:left="426" w:hanging="100"/>
      </w:pPr>
      <w:rPr>
        <w:rFonts w:hint="default"/>
      </w:rPr>
    </w:lvl>
    <w:lvl w:ilvl="2" w:tplc="BABC35DE">
      <w:numFmt w:val="bullet"/>
      <w:lvlText w:val="•"/>
      <w:lvlJc w:val="left"/>
      <w:pPr>
        <w:ind w:left="692" w:hanging="100"/>
      </w:pPr>
      <w:rPr>
        <w:rFonts w:hint="default"/>
      </w:rPr>
    </w:lvl>
    <w:lvl w:ilvl="3" w:tplc="CDFE1E40">
      <w:numFmt w:val="bullet"/>
      <w:lvlText w:val="•"/>
      <w:lvlJc w:val="left"/>
      <w:pPr>
        <w:ind w:left="959" w:hanging="100"/>
      </w:pPr>
      <w:rPr>
        <w:rFonts w:hint="default"/>
      </w:rPr>
    </w:lvl>
    <w:lvl w:ilvl="4" w:tplc="C8CA84CA">
      <w:numFmt w:val="bullet"/>
      <w:lvlText w:val="•"/>
      <w:lvlJc w:val="left"/>
      <w:pPr>
        <w:ind w:left="1225" w:hanging="100"/>
      </w:pPr>
      <w:rPr>
        <w:rFonts w:hint="default"/>
      </w:rPr>
    </w:lvl>
    <w:lvl w:ilvl="5" w:tplc="BF7A27BE">
      <w:numFmt w:val="bullet"/>
      <w:lvlText w:val="•"/>
      <w:lvlJc w:val="left"/>
      <w:pPr>
        <w:ind w:left="1492" w:hanging="100"/>
      </w:pPr>
      <w:rPr>
        <w:rFonts w:hint="default"/>
      </w:rPr>
    </w:lvl>
    <w:lvl w:ilvl="6" w:tplc="2BD25DFA">
      <w:numFmt w:val="bullet"/>
      <w:lvlText w:val="•"/>
      <w:lvlJc w:val="left"/>
      <w:pPr>
        <w:ind w:left="1758" w:hanging="100"/>
      </w:pPr>
      <w:rPr>
        <w:rFonts w:hint="default"/>
      </w:rPr>
    </w:lvl>
    <w:lvl w:ilvl="7" w:tplc="AFF837C6">
      <w:numFmt w:val="bullet"/>
      <w:lvlText w:val="•"/>
      <w:lvlJc w:val="left"/>
      <w:pPr>
        <w:ind w:left="2024" w:hanging="100"/>
      </w:pPr>
      <w:rPr>
        <w:rFonts w:hint="default"/>
      </w:rPr>
    </w:lvl>
    <w:lvl w:ilvl="8" w:tplc="23FCF238">
      <w:numFmt w:val="bullet"/>
      <w:lvlText w:val="•"/>
      <w:lvlJc w:val="left"/>
      <w:pPr>
        <w:ind w:left="2291" w:hanging="100"/>
      </w:pPr>
      <w:rPr>
        <w:rFonts w:hint="default"/>
      </w:rPr>
    </w:lvl>
  </w:abstractNum>
  <w:abstractNum w:abstractNumId="1726" w15:restartNumberingAfterBreak="0">
    <w:nsid w:val="6D775057"/>
    <w:multiLevelType w:val="hybridMultilevel"/>
    <w:tmpl w:val="B71C4F40"/>
    <w:lvl w:ilvl="0" w:tplc="B7C6AA7E">
      <w:numFmt w:val="bullet"/>
      <w:lvlText w:val="–"/>
      <w:lvlJc w:val="left"/>
      <w:pPr>
        <w:ind w:left="162" w:hanging="105"/>
      </w:pPr>
      <w:rPr>
        <w:rFonts w:ascii="Times New Roman" w:eastAsia="Times New Roman" w:hAnsi="Times New Roman" w:cs="Times New Roman" w:hint="default"/>
        <w:color w:val="231F20"/>
        <w:spacing w:val="-16"/>
        <w:w w:val="100"/>
        <w:sz w:val="14"/>
        <w:szCs w:val="14"/>
      </w:rPr>
    </w:lvl>
    <w:lvl w:ilvl="1" w:tplc="460208C0">
      <w:numFmt w:val="bullet"/>
      <w:lvlText w:val="•"/>
      <w:lvlJc w:val="left"/>
      <w:pPr>
        <w:ind w:left="426" w:hanging="105"/>
      </w:pPr>
      <w:rPr>
        <w:rFonts w:hint="default"/>
      </w:rPr>
    </w:lvl>
    <w:lvl w:ilvl="2" w:tplc="E97CEBEA">
      <w:numFmt w:val="bullet"/>
      <w:lvlText w:val="•"/>
      <w:lvlJc w:val="left"/>
      <w:pPr>
        <w:ind w:left="692" w:hanging="105"/>
      </w:pPr>
      <w:rPr>
        <w:rFonts w:hint="default"/>
      </w:rPr>
    </w:lvl>
    <w:lvl w:ilvl="3" w:tplc="239EBCC2">
      <w:numFmt w:val="bullet"/>
      <w:lvlText w:val="•"/>
      <w:lvlJc w:val="left"/>
      <w:pPr>
        <w:ind w:left="959" w:hanging="105"/>
      </w:pPr>
      <w:rPr>
        <w:rFonts w:hint="default"/>
      </w:rPr>
    </w:lvl>
    <w:lvl w:ilvl="4" w:tplc="191EFB3C">
      <w:numFmt w:val="bullet"/>
      <w:lvlText w:val="•"/>
      <w:lvlJc w:val="left"/>
      <w:pPr>
        <w:ind w:left="1225" w:hanging="105"/>
      </w:pPr>
      <w:rPr>
        <w:rFonts w:hint="default"/>
      </w:rPr>
    </w:lvl>
    <w:lvl w:ilvl="5" w:tplc="B8CAD686">
      <w:numFmt w:val="bullet"/>
      <w:lvlText w:val="•"/>
      <w:lvlJc w:val="left"/>
      <w:pPr>
        <w:ind w:left="1492" w:hanging="105"/>
      </w:pPr>
      <w:rPr>
        <w:rFonts w:hint="default"/>
      </w:rPr>
    </w:lvl>
    <w:lvl w:ilvl="6" w:tplc="5178E088">
      <w:numFmt w:val="bullet"/>
      <w:lvlText w:val="•"/>
      <w:lvlJc w:val="left"/>
      <w:pPr>
        <w:ind w:left="1758" w:hanging="105"/>
      </w:pPr>
      <w:rPr>
        <w:rFonts w:hint="default"/>
      </w:rPr>
    </w:lvl>
    <w:lvl w:ilvl="7" w:tplc="4BA80296">
      <w:numFmt w:val="bullet"/>
      <w:lvlText w:val="•"/>
      <w:lvlJc w:val="left"/>
      <w:pPr>
        <w:ind w:left="2024" w:hanging="105"/>
      </w:pPr>
      <w:rPr>
        <w:rFonts w:hint="default"/>
      </w:rPr>
    </w:lvl>
    <w:lvl w:ilvl="8" w:tplc="AD923A66">
      <w:numFmt w:val="bullet"/>
      <w:lvlText w:val="•"/>
      <w:lvlJc w:val="left"/>
      <w:pPr>
        <w:ind w:left="2291" w:hanging="105"/>
      </w:pPr>
      <w:rPr>
        <w:rFonts w:hint="default"/>
      </w:rPr>
    </w:lvl>
  </w:abstractNum>
  <w:abstractNum w:abstractNumId="1727" w15:restartNumberingAfterBreak="0">
    <w:nsid w:val="6D7E50BD"/>
    <w:multiLevelType w:val="hybridMultilevel"/>
    <w:tmpl w:val="32FA2F4C"/>
    <w:lvl w:ilvl="0" w:tplc="EBC69632">
      <w:numFmt w:val="bullet"/>
      <w:lvlText w:val=""/>
      <w:lvlJc w:val="left"/>
      <w:pPr>
        <w:ind w:left="156" w:hanging="100"/>
      </w:pPr>
      <w:rPr>
        <w:rFonts w:ascii="Symbol" w:eastAsia="Symbol" w:hAnsi="Symbol" w:cs="Symbol" w:hint="default"/>
        <w:color w:val="231F20"/>
        <w:w w:val="100"/>
        <w:sz w:val="14"/>
        <w:szCs w:val="14"/>
      </w:rPr>
    </w:lvl>
    <w:lvl w:ilvl="1" w:tplc="7C205A96">
      <w:numFmt w:val="bullet"/>
      <w:lvlText w:val="•"/>
      <w:lvlJc w:val="left"/>
      <w:pPr>
        <w:ind w:left="301" w:hanging="100"/>
      </w:pPr>
      <w:rPr>
        <w:rFonts w:hint="default"/>
      </w:rPr>
    </w:lvl>
    <w:lvl w:ilvl="2" w:tplc="C82AA4F2">
      <w:numFmt w:val="bullet"/>
      <w:lvlText w:val="•"/>
      <w:lvlJc w:val="left"/>
      <w:pPr>
        <w:ind w:left="443" w:hanging="100"/>
      </w:pPr>
      <w:rPr>
        <w:rFonts w:hint="default"/>
      </w:rPr>
    </w:lvl>
    <w:lvl w:ilvl="3" w:tplc="546893BA">
      <w:numFmt w:val="bullet"/>
      <w:lvlText w:val="•"/>
      <w:lvlJc w:val="left"/>
      <w:pPr>
        <w:ind w:left="585" w:hanging="100"/>
      </w:pPr>
      <w:rPr>
        <w:rFonts w:hint="default"/>
      </w:rPr>
    </w:lvl>
    <w:lvl w:ilvl="4" w:tplc="E5ACBA28">
      <w:numFmt w:val="bullet"/>
      <w:lvlText w:val="•"/>
      <w:lvlJc w:val="left"/>
      <w:pPr>
        <w:ind w:left="726" w:hanging="100"/>
      </w:pPr>
      <w:rPr>
        <w:rFonts w:hint="default"/>
      </w:rPr>
    </w:lvl>
    <w:lvl w:ilvl="5" w:tplc="2C2CE676">
      <w:numFmt w:val="bullet"/>
      <w:lvlText w:val="•"/>
      <w:lvlJc w:val="left"/>
      <w:pPr>
        <w:ind w:left="868" w:hanging="100"/>
      </w:pPr>
      <w:rPr>
        <w:rFonts w:hint="default"/>
      </w:rPr>
    </w:lvl>
    <w:lvl w:ilvl="6" w:tplc="D00CF868">
      <w:numFmt w:val="bullet"/>
      <w:lvlText w:val="•"/>
      <w:lvlJc w:val="left"/>
      <w:pPr>
        <w:ind w:left="1010" w:hanging="100"/>
      </w:pPr>
      <w:rPr>
        <w:rFonts w:hint="default"/>
      </w:rPr>
    </w:lvl>
    <w:lvl w:ilvl="7" w:tplc="5BAE8A90">
      <w:numFmt w:val="bullet"/>
      <w:lvlText w:val="•"/>
      <w:lvlJc w:val="left"/>
      <w:pPr>
        <w:ind w:left="1151" w:hanging="100"/>
      </w:pPr>
      <w:rPr>
        <w:rFonts w:hint="default"/>
      </w:rPr>
    </w:lvl>
    <w:lvl w:ilvl="8" w:tplc="34EEE1B0">
      <w:numFmt w:val="bullet"/>
      <w:lvlText w:val="•"/>
      <w:lvlJc w:val="left"/>
      <w:pPr>
        <w:ind w:left="1293" w:hanging="100"/>
      </w:pPr>
      <w:rPr>
        <w:rFonts w:hint="default"/>
      </w:rPr>
    </w:lvl>
  </w:abstractNum>
  <w:abstractNum w:abstractNumId="1728" w15:restartNumberingAfterBreak="0">
    <w:nsid w:val="6D884F66"/>
    <w:multiLevelType w:val="hybridMultilevel"/>
    <w:tmpl w:val="8292832C"/>
    <w:lvl w:ilvl="0" w:tplc="9A02D680">
      <w:numFmt w:val="bullet"/>
      <w:lvlText w:val=""/>
      <w:lvlJc w:val="left"/>
      <w:pPr>
        <w:ind w:left="156" w:hanging="100"/>
      </w:pPr>
      <w:rPr>
        <w:rFonts w:ascii="Symbol" w:eastAsia="Symbol" w:hAnsi="Symbol" w:cs="Symbol" w:hint="default"/>
        <w:color w:val="231F20"/>
        <w:w w:val="100"/>
        <w:sz w:val="14"/>
        <w:szCs w:val="14"/>
      </w:rPr>
    </w:lvl>
    <w:lvl w:ilvl="1" w:tplc="AAA4DB02">
      <w:numFmt w:val="bullet"/>
      <w:lvlText w:val="•"/>
      <w:lvlJc w:val="left"/>
      <w:pPr>
        <w:ind w:left="426" w:hanging="100"/>
      </w:pPr>
      <w:rPr>
        <w:rFonts w:hint="default"/>
      </w:rPr>
    </w:lvl>
    <w:lvl w:ilvl="2" w:tplc="6414B030">
      <w:numFmt w:val="bullet"/>
      <w:lvlText w:val="•"/>
      <w:lvlJc w:val="left"/>
      <w:pPr>
        <w:ind w:left="692" w:hanging="100"/>
      </w:pPr>
      <w:rPr>
        <w:rFonts w:hint="default"/>
      </w:rPr>
    </w:lvl>
    <w:lvl w:ilvl="3" w:tplc="D13C8CA4">
      <w:numFmt w:val="bullet"/>
      <w:lvlText w:val="•"/>
      <w:lvlJc w:val="left"/>
      <w:pPr>
        <w:ind w:left="959" w:hanging="100"/>
      </w:pPr>
      <w:rPr>
        <w:rFonts w:hint="default"/>
      </w:rPr>
    </w:lvl>
    <w:lvl w:ilvl="4" w:tplc="F13E7DC0">
      <w:numFmt w:val="bullet"/>
      <w:lvlText w:val="•"/>
      <w:lvlJc w:val="left"/>
      <w:pPr>
        <w:ind w:left="1225" w:hanging="100"/>
      </w:pPr>
      <w:rPr>
        <w:rFonts w:hint="default"/>
      </w:rPr>
    </w:lvl>
    <w:lvl w:ilvl="5" w:tplc="95DA775E">
      <w:numFmt w:val="bullet"/>
      <w:lvlText w:val="•"/>
      <w:lvlJc w:val="left"/>
      <w:pPr>
        <w:ind w:left="1492" w:hanging="100"/>
      </w:pPr>
      <w:rPr>
        <w:rFonts w:hint="default"/>
      </w:rPr>
    </w:lvl>
    <w:lvl w:ilvl="6" w:tplc="B06A6A30">
      <w:numFmt w:val="bullet"/>
      <w:lvlText w:val="•"/>
      <w:lvlJc w:val="left"/>
      <w:pPr>
        <w:ind w:left="1758" w:hanging="100"/>
      </w:pPr>
      <w:rPr>
        <w:rFonts w:hint="default"/>
      </w:rPr>
    </w:lvl>
    <w:lvl w:ilvl="7" w:tplc="2E76D4F4">
      <w:numFmt w:val="bullet"/>
      <w:lvlText w:val="•"/>
      <w:lvlJc w:val="left"/>
      <w:pPr>
        <w:ind w:left="2024" w:hanging="100"/>
      </w:pPr>
      <w:rPr>
        <w:rFonts w:hint="default"/>
      </w:rPr>
    </w:lvl>
    <w:lvl w:ilvl="8" w:tplc="1D6C17D0">
      <w:numFmt w:val="bullet"/>
      <w:lvlText w:val="•"/>
      <w:lvlJc w:val="left"/>
      <w:pPr>
        <w:ind w:left="2291" w:hanging="100"/>
      </w:pPr>
      <w:rPr>
        <w:rFonts w:hint="default"/>
      </w:rPr>
    </w:lvl>
  </w:abstractNum>
  <w:abstractNum w:abstractNumId="1729" w15:restartNumberingAfterBreak="0">
    <w:nsid w:val="6D965223"/>
    <w:multiLevelType w:val="hybridMultilevel"/>
    <w:tmpl w:val="A6243CD0"/>
    <w:lvl w:ilvl="0" w:tplc="74DEE06E">
      <w:numFmt w:val="bullet"/>
      <w:lvlText w:val=""/>
      <w:lvlJc w:val="left"/>
      <w:pPr>
        <w:ind w:left="156" w:hanging="100"/>
      </w:pPr>
      <w:rPr>
        <w:rFonts w:ascii="Symbol" w:eastAsia="Symbol" w:hAnsi="Symbol" w:cs="Symbol" w:hint="default"/>
        <w:color w:val="231F20"/>
        <w:w w:val="100"/>
        <w:sz w:val="14"/>
        <w:szCs w:val="14"/>
      </w:rPr>
    </w:lvl>
    <w:lvl w:ilvl="1" w:tplc="6B5C07AE">
      <w:numFmt w:val="bullet"/>
      <w:lvlText w:val="•"/>
      <w:lvlJc w:val="left"/>
      <w:pPr>
        <w:ind w:left="301" w:hanging="100"/>
      </w:pPr>
      <w:rPr>
        <w:rFonts w:hint="default"/>
      </w:rPr>
    </w:lvl>
    <w:lvl w:ilvl="2" w:tplc="D8FA6EEA">
      <w:numFmt w:val="bullet"/>
      <w:lvlText w:val="•"/>
      <w:lvlJc w:val="left"/>
      <w:pPr>
        <w:ind w:left="443" w:hanging="100"/>
      </w:pPr>
      <w:rPr>
        <w:rFonts w:hint="default"/>
      </w:rPr>
    </w:lvl>
    <w:lvl w:ilvl="3" w:tplc="95A45B70">
      <w:numFmt w:val="bullet"/>
      <w:lvlText w:val="•"/>
      <w:lvlJc w:val="left"/>
      <w:pPr>
        <w:ind w:left="585" w:hanging="100"/>
      </w:pPr>
      <w:rPr>
        <w:rFonts w:hint="default"/>
      </w:rPr>
    </w:lvl>
    <w:lvl w:ilvl="4" w:tplc="7526ABD2">
      <w:numFmt w:val="bullet"/>
      <w:lvlText w:val="•"/>
      <w:lvlJc w:val="left"/>
      <w:pPr>
        <w:ind w:left="726" w:hanging="100"/>
      </w:pPr>
      <w:rPr>
        <w:rFonts w:hint="default"/>
      </w:rPr>
    </w:lvl>
    <w:lvl w:ilvl="5" w:tplc="28A4A118">
      <w:numFmt w:val="bullet"/>
      <w:lvlText w:val="•"/>
      <w:lvlJc w:val="left"/>
      <w:pPr>
        <w:ind w:left="868" w:hanging="100"/>
      </w:pPr>
      <w:rPr>
        <w:rFonts w:hint="default"/>
      </w:rPr>
    </w:lvl>
    <w:lvl w:ilvl="6" w:tplc="94C8211A">
      <w:numFmt w:val="bullet"/>
      <w:lvlText w:val="•"/>
      <w:lvlJc w:val="left"/>
      <w:pPr>
        <w:ind w:left="1010" w:hanging="100"/>
      </w:pPr>
      <w:rPr>
        <w:rFonts w:hint="default"/>
      </w:rPr>
    </w:lvl>
    <w:lvl w:ilvl="7" w:tplc="65443716">
      <w:numFmt w:val="bullet"/>
      <w:lvlText w:val="•"/>
      <w:lvlJc w:val="left"/>
      <w:pPr>
        <w:ind w:left="1151" w:hanging="100"/>
      </w:pPr>
      <w:rPr>
        <w:rFonts w:hint="default"/>
      </w:rPr>
    </w:lvl>
    <w:lvl w:ilvl="8" w:tplc="C0FE58DA">
      <w:numFmt w:val="bullet"/>
      <w:lvlText w:val="•"/>
      <w:lvlJc w:val="left"/>
      <w:pPr>
        <w:ind w:left="1293" w:hanging="100"/>
      </w:pPr>
      <w:rPr>
        <w:rFonts w:hint="default"/>
      </w:rPr>
    </w:lvl>
  </w:abstractNum>
  <w:abstractNum w:abstractNumId="1730" w15:restartNumberingAfterBreak="0">
    <w:nsid w:val="6D9C421F"/>
    <w:multiLevelType w:val="hybridMultilevel"/>
    <w:tmpl w:val="C298E7D8"/>
    <w:lvl w:ilvl="0" w:tplc="FE025948">
      <w:numFmt w:val="bullet"/>
      <w:lvlText w:val=""/>
      <w:lvlJc w:val="left"/>
      <w:pPr>
        <w:ind w:left="156" w:hanging="100"/>
      </w:pPr>
      <w:rPr>
        <w:rFonts w:ascii="Symbol" w:eastAsia="Symbol" w:hAnsi="Symbol" w:cs="Symbol" w:hint="default"/>
        <w:color w:val="231F20"/>
        <w:w w:val="100"/>
        <w:sz w:val="14"/>
        <w:szCs w:val="14"/>
      </w:rPr>
    </w:lvl>
    <w:lvl w:ilvl="1" w:tplc="83B2D324">
      <w:numFmt w:val="bullet"/>
      <w:lvlText w:val="•"/>
      <w:lvlJc w:val="left"/>
      <w:pPr>
        <w:ind w:left="426" w:hanging="100"/>
      </w:pPr>
      <w:rPr>
        <w:rFonts w:hint="default"/>
      </w:rPr>
    </w:lvl>
    <w:lvl w:ilvl="2" w:tplc="91AA9B40">
      <w:numFmt w:val="bullet"/>
      <w:lvlText w:val="•"/>
      <w:lvlJc w:val="left"/>
      <w:pPr>
        <w:ind w:left="692" w:hanging="100"/>
      </w:pPr>
      <w:rPr>
        <w:rFonts w:hint="default"/>
      </w:rPr>
    </w:lvl>
    <w:lvl w:ilvl="3" w:tplc="8A464608">
      <w:numFmt w:val="bullet"/>
      <w:lvlText w:val="•"/>
      <w:lvlJc w:val="left"/>
      <w:pPr>
        <w:ind w:left="959" w:hanging="100"/>
      </w:pPr>
      <w:rPr>
        <w:rFonts w:hint="default"/>
      </w:rPr>
    </w:lvl>
    <w:lvl w:ilvl="4" w:tplc="035AD5E4">
      <w:numFmt w:val="bullet"/>
      <w:lvlText w:val="•"/>
      <w:lvlJc w:val="left"/>
      <w:pPr>
        <w:ind w:left="1225" w:hanging="100"/>
      </w:pPr>
      <w:rPr>
        <w:rFonts w:hint="default"/>
      </w:rPr>
    </w:lvl>
    <w:lvl w:ilvl="5" w:tplc="3C0280C2">
      <w:numFmt w:val="bullet"/>
      <w:lvlText w:val="•"/>
      <w:lvlJc w:val="left"/>
      <w:pPr>
        <w:ind w:left="1492" w:hanging="100"/>
      </w:pPr>
      <w:rPr>
        <w:rFonts w:hint="default"/>
      </w:rPr>
    </w:lvl>
    <w:lvl w:ilvl="6" w:tplc="0FAC7D32">
      <w:numFmt w:val="bullet"/>
      <w:lvlText w:val="•"/>
      <w:lvlJc w:val="left"/>
      <w:pPr>
        <w:ind w:left="1758" w:hanging="100"/>
      </w:pPr>
      <w:rPr>
        <w:rFonts w:hint="default"/>
      </w:rPr>
    </w:lvl>
    <w:lvl w:ilvl="7" w:tplc="86B0A856">
      <w:numFmt w:val="bullet"/>
      <w:lvlText w:val="•"/>
      <w:lvlJc w:val="left"/>
      <w:pPr>
        <w:ind w:left="2024" w:hanging="100"/>
      </w:pPr>
      <w:rPr>
        <w:rFonts w:hint="default"/>
      </w:rPr>
    </w:lvl>
    <w:lvl w:ilvl="8" w:tplc="79A06286">
      <w:numFmt w:val="bullet"/>
      <w:lvlText w:val="•"/>
      <w:lvlJc w:val="left"/>
      <w:pPr>
        <w:ind w:left="2291" w:hanging="100"/>
      </w:pPr>
      <w:rPr>
        <w:rFonts w:hint="default"/>
      </w:rPr>
    </w:lvl>
  </w:abstractNum>
  <w:abstractNum w:abstractNumId="1731" w15:restartNumberingAfterBreak="0">
    <w:nsid w:val="6DA17B7C"/>
    <w:multiLevelType w:val="hybridMultilevel"/>
    <w:tmpl w:val="0FBC1708"/>
    <w:lvl w:ilvl="0" w:tplc="F7AC3366">
      <w:numFmt w:val="bullet"/>
      <w:lvlText w:val=""/>
      <w:lvlJc w:val="left"/>
      <w:pPr>
        <w:ind w:left="156" w:hanging="100"/>
      </w:pPr>
      <w:rPr>
        <w:rFonts w:ascii="Symbol" w:eastAsia="Symbol" w:hAnsi="Symbol" w:cs="Symbol" w:hint="default"/>
        <w:color w:val="231F20"/>
        <w:w w:val="100"/>
        <w:sz w:val="14"/>
        <w:szCs w:val="14"/>
      </w:rPr>
    </w:lvl>
    <w:lvl w:ilvl="1" w:tplc="3B84AD6A">
      <w:numFmt w:val="bullet"/>
      <w:lvlText w:val="•"/>
      <w:lvlJc w:val="left"/>
      <w:pPr>
        <w:ind w:left="398" w:hanging="100"/>
      </w:pPr>
      <w:rPr>
        <w:rFonts w:hint="default"/>
      </w:rPr>
    </w:lvl>
    <w:lvl w:ilvl="2" w:tplc="474CB616">
      <w:numFmt w:val="bullet"/>
      <w:lvlText w:val="•"/>
      <w:lvlJc w:val="left"/>
      <w:pPr>
        <w:ind w:left="636" w:hanging="100"/>
      </w:pPr>
      <w:rPr>
        <w:rFonts w:hint="default"/>
      </w:rPr>
    </w:lvl>
    <w:lvl w:ilvl="3" w:tplc="0506007A">
      <w:numFmt w:val="bullet"/>
      <w:lvlText w:val="•"/>
      <w:lvlJc w:val="left"/>
      <w:pPr>
        <w:ind w:left="874" w:hanging="100"/>
      </w:pPr>
      <w:rPr>
        <w:rFonts w:hint="default"/>
      </w:rPr>
    </w:lvl>
    <w:lvl w:ilvl="4" w:tplc="82104032">
      <w:numFmt w:val="bullet"/>
      <w:lvlText w:val="•"/>
      <w:lvlJc w:val="left"/>
      <w:pPr>
        <w:ind w:left="1112" w:hanging="100"/>
      </w:pPr>
      <w:rPr>
        <w:rFonts w:hint="default"/>
      </w:rPr>
    </w:lvl>
    <w:lvl w:ilvl="5" w:tplc="2DA6A2AC">
      <w:numFmt w:val="bullet"/>
      <w:lvlText w:val="•"/>
      <w:lvlJc w:val="left"/>
      <w:pPr>
        <w:ind w:left="1350" w:hanging="100"/>
      </w:pPr>
      <w:rPr>
        <w:rFonts w:hint="default"/>
      </w:rPr>
    </w:lvl>
    <w:lvl w:ilvl="6" w:tplc="11F673EE">
      <w:numFmt w:val="bullet"/>
      <w:lvlText w:val="•"/>
      <w:lvlJc w:val="left"/>
      <w:pPr>
        <w:ind w:left="1588" w:hanging="100"/>
      </w:pPr>
      <w:rPr>
        <w:rFonts w:hint="default"/>
      </w:rPr>
    </w:lvl>
    <w:lvl w:ilvl="7" w:tplc="1242B3EA">
      <w:numFmt w:val="bullet"/>
      <w:lvlText w:val="•"/>
      <w:lvlJc w:val="left"/>
      <w:pPr>
        <w:ind w:left="1826" w:hanging="100"/>
      </w:pPr>
      <w:rPr>
        <w:rFonts w:hint="default"/>
      </w:rPr>
    </w:lvl>
    <w:lvl w:ilvl="8" w:tplc="C7F803BA">
      <w:numFmt w:val="bullet"/>
      <w:lvlText w:val="•"/>
      <w:lvlJc w:val="left"/>
      <w:pPr>
        <w:ind w:left="2064" w:hanging="100"/>
      </w:pPr>
      <w:rPr>
        <w:rFonts w:hint="default"/>
      </w:rPr>
    </w:lvl>
  </w:abstractNum>
  <w:abstractNum w:abstractNumId="1732" w15:restartNumberingAfterBreak="0">
    <w:nsid w:val="6DB519C7"/>
    <w:multiLevelType w:val="hybridMultilevel"/>
    <w:tmpl w:val="435A3F72"/>
    <w:lvl w:ilvl="0" w:tplc="77348452">
      <w:numFmt w:val="bullet"/>
      <w:lvlText w:val=""/>
      <w:lvlJc w:val="left"/>
      <w:pPr>
        <w:ind w:left="156" w:hanging="100"/>
      </w:pPr>
      <w:rPr>
        <w:rFonts w:ascii="Symbol" w:eastAsia="Symbol" w:hAnsi="Symbol" w:cs="Symbol" w:hint="default"/>
        <w:color w:val="231F20"/>
        <w:w w:val="100"/>
        <w:sz w:val="14"/>
        <w:szCs w:val="14"/>
      </w:rPr>
    </w:lvl>
    <w:lvl w:ilvl="1" w:tplc="B3345876">
      <w:numFmt w:val="bullet"/>
      <w:lvlText w:val="•"/>
      <w:lvlJc w:val="left"/>
      <w:pPr>
        <w:ind w:left="301" w:hanging="100"/>
      </w:pPr>
      <w:rPr>
        <w:rFonts w:hint="default"/>
      </w:rPr>
    </w:lvl>
    <w:lvl w:ilvl="2" w:tplc="09F8DCB6">
      <w:numFmt w:val="bullet"/>
      <w:lvlText w:val="•"/>
      <w:lvlJc w:val="left"/>
      <w:pPr>
        <w:ind w:left="443" w:hanging="100"/>
      </w:pPr>
      <w:rPr>
        <w:rFonts w:hint="default"/>
      </w:rPr>
    </w:lvl>
    <w:lvl w:ilvl="3" w:tplc="E55470BE">
      <w:numFmt w:val="bullet"/>
      <w:lvlText w:val="•"/>
      <w:lvlJc w:val="left"/>
      <w:pPr>
        <w:ind w:left="585" w:hanging="100"/>
      </w:pPr>
      <w:rPr>
        <w:rFonts w:hint="default"/>
      </w:rPr>
    </w:lvl>
    <w:lvl w:ilvl="4" w:tplc="939EB712">
      <w:numFmt w:val="bullet"/>
      <w:lvlText w:val="•"/>
      <w:lvlJc w:val="left"/>
      <w:pPr>
        <w:ind w:left="726" w:hanging="100"/>
      </w:pPr>
      <w:rPr>
        <w:rFonts w:hint="default"/>
      </w:rPr>
    </w:lvl>
    <w:lvl w:ilvl="5" w:tplc="AD203516">
      <w:numFmt w:val="bullet"/>
      <w:lvlText w:val="•"/>
      <w:lvlJc w:val="left"/>
      <w:pPr>
        <w:ind w:left="868" w:hanging="100"/>
      </w:pPr>
      <w:rPr>
        <w:rFonts w:hint="default"/>
      </w:rPr>
    </w:lvl>
    <w:lvl w:ilvl="6" w:tplc="DF567B84">
      <w:numFmt w:val="bullet"/>
      <w:lvlText w:val="•"/>
      <w:lvlJc w:val="left"/>
      <w:pPr>
        <w:ind w:left="1010" w:hanging="100"/>
      </w:pPr>
      <w:rPr>
        <w:rFonts w:hint="default"/>
      </w:rPr>
    </w:lvl>
    <w:lvl w:ilvl="7" w:tplc="0CDC9DCA">
      <w:numFmt w:val="bullet"/>
      <w:lvlText w:val="•"/>
      <w:lvlJc w:val="left"/>
      <w:pPr>
        <w:ind w:left="1151" w:hanging="100"/>
      </w:pPr>
      <w:rPr>
        <w:rFonts w:hint="default"/>
      </w:rPr>
    </w:lvl>
    <w:lvl w:ilvl="8" w:tplc="E74264CC">
      <w:numFmt w:val="bullet"/>
      <w:lvlText w:val="•"/>
      <w:lvlJc w:val="left"/>
      <w:pPr>
        <w:ind w:left="1293" w:hanging="100"/>
      </w:pPr>
      <w:rPr>
        <w:rFonts w:hint="default"/>
      </w:rPr>
    </w:lvl>
  </w:abstractNum>
  <w:abstractNum w:abstractNumId="1733" w15:restartNumberingAfterBreak="0">
    <w:nsid w:val="6DC165F6"/>
    <w:multiLevelType w:val="hybridMultilevel"/>
    <w:tmpl w:val="9CC6CA46"/>
    <w:lvl w:ilvl="0" w:tplc="70AA9C4C">
      <w:numFmt w:val="bullet"/>
      <w:lvlText w:val=""/>
      <w:lvlJc w:val="left"/>
      <w:pPr>
        <w:ind w:left="156" w:hanging="100"/>
      </w:pPr>
      <w:rPr>
        <w:rFonts w:ascii="Symbol" w:eastAsia="Symbol" w:hAnsi="Symbol" w:cs="Symbol" w:hint="default"/>
        <w:color w:val="231F20"/>
        <w:w w:val="100"/>
        <w:sz w:val="14"/>
        <w:szCs w:val="14"/>
      </w:rPr>
    </w:lvl>
    <w:lvl w:ilvl="1" w:tplc="93CC637C">
      <w:numFmt w:val="bullet"/>
      <w:lvlText w:val="•"/>
      <w:lvlJc w:val="left"/>
      <w:pPr>
        <w:ind w:left="426" w:hanging="100"/>
      </w:pPr>
      <w:rPr>
        <w:rFonts w:hint="default"/>
      </w:rPr>
    </w:lvl>
    <w:lvl w:ilvl="2" w:tplc="2AC4FDA2">
      <w:numFmt w:val="bullet"/>
      <w:lvlText w:val="•"/>
      <w:lvlJc w:val="left"/>
      <w:pPr>
        <w:ind w:left="692" w:hanging="100"/>
      </w:pPr>
      <w:rPr>
        <w:rFonts w:hint="default"/>
      </w:rPr>
    </w:lvl>
    <w:lvl w:ilvl="3" w:tplc="FB56A022">
      <w:numFmt w:val="bullet"/>
      <w:lvlText w:val="•"/>
      <w:lvlJc w:val="left"/>
      <w:pPr>
        <w:ind w:left="959" w:hanging="100"/>
      </w:pPr>
      <w:rPr>
        <w:rFonts w:hint="default"/>
      </w:rPr>
    </w:lvl>
    <w:lvl w:ilvl="4" w:tplc="9EEC3466">
      <w:numFmt w:val="bullet"/>
      <w:lvlText w:val="•"/>
      <w:lvlJc w:val="left"/>
      <w:pPr>
        <w:ind w:left="1225" w:hanging="100"/>
      </w:pPr>
      <w:rPr>
        <w:rFonts w:hint="default"/>
      </w:rPr>
    </w:lvl>
    <w:lvl w:ilvl="5" w:tplc="AD9A831C">
      <w:numFmt w:val="bullet"/>
      <w:lvlText w:val="•"/>
      <w:lvlJc w:val="left"/>
      <w:pPr>
        <w:ind w:left="1492" w:hanging="100"/>
      </w:pPr>
      <w:rPr>
        <w:rFonts w:hint="default"/>
      </w:rPr>
    </w:lvl>
    <w:lvl w:ilvl="6" w:tplc="479243CE">
      <w:numFmt w:val="bullet"/>
      <w:lvlText w:val="•"/>
      <w:lvlJc w:val="left"/>
      <w:pPr>
        <w:ind w:left="1758" w:hanging="100"/>
      </w:pPr>
      <w:rPr>
        <w:rFonts w:hint="default"/>
      </w:rPr>
    </w:lvl>
    <w:lvl w:ilvl="7" w:tplc="83586052">
      <w:numFmt w:val="bullet"/>
      <w:lvlText w:val="•"/>
      <w:lvlJc w:val="left"/>
      <w:pPr>
        <w:ind w:left="2024" w:hanging="100"/>
      </w:pPr>
      <w:rPr>
        <w:rFonts w:hint="default"/>
      </w:rPr>
    </w:lvl>
    <w:lvl w:ilvl="8" w:tplc="C37A9E88">
      <w:numFmt w:val="bullet"/>
      <w:lvlText w:val="•"/>
      <w:lvlJc w:val="left"/>
      <w:pPr>
        <w:ind w:left="2291" w:hanging="100"/>
      </w:pPr>
      <w:rPr>
        <w:rFonts w:hint="default"/>
      </w:rPr>
    </w:lvl>
  </w:abstractNum>
  <w:abstractNum w:abstractNumId="1734" w15:restartNumberingAfterBreak="0">
    <w:nsid w:val="6DC56F7E"/>
    <w:multiLevelType w:val="hybridMultilevel"/>
    <w:tmpl w:val="F1D2BEB6"/>
    <w:lvl w:ilvl="0" w:tplc="000E5144">
      <w:numFmt w:val="bullet"/>
      <w:lvlText w:val=""/>
      <w:lvlJc w:val="left"/>
      <w:pPr>
        <w:ind w:left="156" w:hanging="100"/>
      </w:pPr>
      <w:rPr>
        <w:rFonts w:ascii="Symbol" w:eastAsia="Symbol" w:hAnsi="Symbol" w:cs="Symbol" w:hint="default"/>
        <w:color w:val="231F20"/>
        <w:w w:val="100"/>
        <w:sz w:val="14"/>
        <w:szCs w:val="14"/>
      </w:rPr>
    </w:lvl>
    <w:lvl w:ilvl="1" w:tplc="1D6AC572">
      <w:numFmt w:val="bullet"/>
      <w:lvlText w:val="•"/>
      <w:lvlJc w:val="left"/>
      <w:pPr>
        <w:ind w:left="398" w:hanging="100"/>
      </w:pPr>
      <w:rPr>
        <w:rFonts w:hint="default"/>
      </w:rPr>
    </w:lvl>
    <w:lvl w:ilvl="2" w:tplc="3EDE44A2">
      <w:numFmt w:val="bullet"/>
      <w:lvlText w:val="•"/>
      <w:lvlJc w:val="left"/>
      <w:pPr>
        <w:ind w:left="636" w:hanging="100"/>
      </w:pPr>
      <w:rPr>
        <w:rFonts w:hint="default"/>
      </w:rPr>
    </w:lvl>
    <w:lvl w:ilvl="3" w:tplc="467E9F30">
      <w:numFmt w:val="bullet"/>
      <w:lvlText w:val="•"/>
      <w:lvlJc w:val="left"/>
      <w:pPr>
        <w:ind w:left="874" w:hanging="100"/>
      </w:pPr>
      <w:rPr>
        <w:rFonts w:hint="default"/>
      </w:rPr>
    </w:lvl>
    <w:lvl w:ilvl="4" w:tplc="7548C10E">
      <w:numFmt w:val="bullet"/>
      <w:lvlText w:val="•"/>
      <w:lvlJc w:val="left"/>
      <w:pPr>
        <w:ind w:left="1112" w:hanging="100"/>
      </w:pPr>
      <w:rPr>
        <w:rFonts w:hint="default"/>
      </w:rPr>
    </w:lvl>
    <w:lvl w:ilvl="5" w:tplc="ABE4F8E8">
      <w:numFmt w:val="bullet"/>
      <w:lvlText w:val="•"/>
      <w:lvlJc w:val="left"/>
      <w:pPr>
        <w:ind w:left="1350" w:hanging="100"/>
      </w:pPr>
      <w:rPr>
        <w:rFonts w:hint="default"/>
      </w:rPr>
    </w:lvl>
    <w:lvl w:ilvl="6" w:tplc="68BA3E2E">
      <w:numFmt w:val="bullet"/>
      <w:lvlText w:val="•"/>
      <w:lvlJc w:val="left"/>
      <w:pPr>
        <w:ind w:left="1588" w:hanging="100"/>
      </w:pPr>
      <w:rPr>
        <w:rFonts w:hint="default"/>
      </w:rPr>
    </w:lvl>
    <w:lvl w:ilvl="7" w:tplc="C68C5BDC">
      <w:numFmt w:val="bullet"/>
      <w:lvlText w:val="•"/>
      <w:lvlJc w:val="left"/>
      <w:pPr>
        <w:ind w:left="1826" w:hanging="100"/>
      </w:pPr>
      <w:rPr>
        <w:rFonts w:hint="default"/>
      </w:rPr>
    </w:lvl>
    <w:lvl w:ilvl="8" w:tplc="68060B90">
      <w:numFmt w:val="bullet"/>
      <w:lvlText w:val="•"/>
      <w:lvlJc w:val="left"/>
      <w:pPr>
        <w:ind w:left="2064" w:hanging="100"/>
      </w:pPr>
      <w:rPr>
        <w:rFonts w:hint="default"/>
      </w:rPr>
    </w:lvl>
  </w:abstractNum>
  <w:abstractNum w:abstractNumId="1735" w15:restartNumberingAfterBreak="0">
    <w:nsid w:val="6DCA3636"/>
    <w:multiLevelType w:val="hybridMultilevel"/>
    <w:tmpl w:val="E40431A0"/>
    <w:lvl w:ilvl="0" w:tplc="4D88ED1A">
      <w:numFmt w:val="bullet"/>
      <w:lvlText w:val=""/>
      <w:lvlJc w:val="left"/>
      <w:pPr>
        <w:ind w:left="156" w:hanging="100"/>
      </w:pPr>
      <w:rPr>
        <w:rFonts w:ascii="Symbol" w:eastAsia="Symbol" w:hAnsi="Symbol" w:cs="Symbol" w:hint="default"/>
        <w:color w:val="231F20"/>
        <w:w w:val="100"/>
        <w:sz w:val="14"/>
        <w:szCs w:val="14"/>
      </w:rPr>
    </w:lvl>
    <w:lvl w:ilvl="1" w:tplc="A97478DC">
      <w:numFmt w:val="bullet"/>
      <w:lvlText w:val="•"/>
      <w:lvlJc w:val="left"/>
      <w:pPr>
        <w:ind w:left="426" w:hanging="100"/>
      </w:pPr>
      <w:rPr>
        <w:rFonts w:hint="default"/>
      </w:rPr>
    </w:lvl>
    <w:lvl w:ilvl="2" w:tplc="28DCECEA">
      <w:numFmt w:val="bullet"/>
      <w:lvlText w:val="•"/>
      <w:lvlJc w:val="left"/>
      <w:pPr>
        <w:ind w:left="692" w:hanging="100"/>
      </w:pPr>
      <w:rPr>
        <w:rFonts w:hint="default"/>
      </w:rPr>
    </w:lvl>
    <w:lvl w:ilvl="3" w:tplc="5E1CEC10">
      <w:numFmt w:val="bullet"/>
      <w:lvlText w:val="•"/>
      <w:lvlJc w:val="left"/>
      <w:pPr>
        <w:ind w:left="959" w:hanging="100"/>
      </w:pPr>
      <w:rPr>
        <w:rFonts w:hint="default"/>
      </w:rPr>
    </w:lvl>
    <w:lvl w:ilvl="4" w:tplc="B6AA137C">
      <w:numFmt w:val="bullet"/>
      <w:lvlText w:val="•"/>
      <w:lvlJc w:val="left"/>
      <w:pPr>
        <w:ind w:left="1225" w:hanging="100"/>
      </w:pPr>
      <w:rPr>
        <w:rFonts w:hint="default"/>
      </w:rPr>
    </w:lvl>
    <w:lvl w:ilvl="5" w:tplc="EF9602FA">
      <w:numFmt w:val="bullet"/>
      <w:lvlText w:val="•"/>
      <w:lvlJc w:val="left"/>
      <w:pPr>
        <w:ind w:left="1492" w:hanging="100"/>
      </w:pPr>
      <w:rPr>
        <w:rFonts w:hint="default"/>
      </w:rPr>
    </w:lvl>
    <w:lvl w:ilvl="6" w:tplc="98686F00">
      <w:numFmt w:val="bullet"/>
      <w:lvlText w:val="•"/>
      <w:lvlJc w:val="left"/>
      <w:pPr>
        <w:ind w:left="1758" w:hanging="100"/>
      </w:pPr>
      <w:rPr>
        <w:rFonts w:hint="default"/>
      </w:rPr>
    </w:lvl>
    <w:lvl w:ilvl="7" w:tplc="AF5E2FCE">
      <w:numFmt w:val="bullet"/>
      <w:lvlText w:val="•"/>
      <w:lvlJc w:val="left"/>
      <w:pPr>
        <w:ind w:left="2024" w:hanging="100"/>
      </w:pPr>
      <w:rPr>
        <w:rFonts w:hint="default"/>
      </w:rPr>
    </w:lvl>
    <w:lvl w:ilvl="8" w:tplc="3B2A38AC">
      <w:numFmt w:val="bullet"/>
      <w:lvlText w:val="•"/>
      <w:lvlJc w:val="left"/>
      <w:pPr>
        <w:ind w:left="2291" w:hanging="100"/>
      </w:pPr>
      <w:rPr>
        <w:rFonts w:hint="default"/>
      </w:rPr>
    </w:lvl>
  </w:abstractNum>
  <w:abstractNum w:abstractNumId="1736" w15:restartNumberingAfterBreak="0">
    <w:nsid w:val="6DD542C8"/>
    <w:multiLevelType w:val="hybridMultilevel"/>
    <w:tmpl w:val="6D5E0C86"/>
    <w:lvl w:ilvl="0" w:tplc="D0167076">
      <w:numFmt w:val="bullet"/>
      <w:lvlText w:val=""/>
      <w:lvlJc w:val="left"/>
      <w:pPr>
        <w:ind w:left="156" w:hanging="100"/>
      </w:pPr>
      <w:rPr>
        <w:rFonts w:ascii="Symbol" w:eastAsia="Symbol" w:hAnsi="Symbol" w:cs="Symbol" w:hint="default"/>
        <w:color w:val="231F20"/>
        <w:w w:val="100"/>
        <w:sz w:val="14"/>
        <w:szCs w:val="14"/>
      </w:rPr>
    </w:lvl>
    <w:lvl w:ilvl="1" w:tplc="00949EE8">
      <w:numFmt w:val="bullet"/>
      <w:lvlText w:val="•"/>
      <w:lvlJc w:val="left"/>
      <w:pPr>
        <w:ind w:left="426" w:hanging="100"/>
      </w:pPr>
      <w:rPr>
        <w:rFonts w:hint="default"/>
      </w:rPr>
    </w:lvl>
    <w:lvl w:ilvl="2" w:tplc="CDB6630E">
      <w:numFmt w:val="bullet"/>
      <w:lvlText w:val="•"/>
      <w:lvlJc w:val="left"/>
      <w:pPr>
        <w:ind w:left="692" w:hanging="100"/>
      </w:pPr>
      <w:rPr>
        <w:rFonts w:hint="default"/>
      </w:rPr>
    </w:lvl>
    <w:lvl w:ilvl="3" w:tplc="AF443B76">
      <w:numFmt w:val="bullet"/>
      <w:lvlText w:val="•"/>
      <w:lvlJc w:val="left"/>
      <w:pPr>
        <w:ind w:left="959" w:hanging="100"/>
      </w:pPr>
      <w:rPr>
        <w:rFonts w:hint="default"/>
      </w:rPr>
    </w:lvl>
    <w:lvl w:ilvl="4" w:tplc="A09856D0">
      <w:numFmt w:val="bullet"/>
      <w:lvlText w:val="•"/>
      <w:lvlJc w:val="left"/>
      <w:pPr>
        <w:ind w:left="1225" w:hanging="100"/>
      </w:pPr>
      <w:rPr>
        <w:rFonts w:hint="default"/>
      </w:rPr>
    </w:lvl>
    <w:lvl w:ilvl="5" w:tplc="ECF28E38">
      <w:numFmt w:val="bullet"/>
      <w:lvlText w:val="•"/>
      <w:lvlJc w:val="left"/>
      <w:pPr>
        <w:ind w:left="1492" w:hanging="100"/>
      </w:pPr>
      <w:rPr>
        <w:rFonts w:hint="default"/>
      </w:rPr>
    </w:lvl>
    <w:lvl w:ilvl="6" w:tplc="8386257A">
      <w:numFmt w:val="bullet"/>
      <w:lvlText w:val="•"/>
      <w:lvlJc w:val="left"/>
      <w:pPr>
        <w:ind w:left="1758" w:hanging="100"/>
      </w:pPr>
      <w:rPr>
        <w:rFonts w:hint="default"/>
      </w:rPr>
    </w:lvl>
    <w:lvl w:ilvl="7" w:tplc="0AB887AA">
      <w:numFmt w:val="bullet"/>
      <w:lvlText w:val="•"/>
      <w:lvlJc w:val="left"/>
      <w:pPr>
        <w:ind w:left="2024" w:hanging="100"/>
      </w:pPr>
      <w:rPr>
        <w:rFonts w:hint="default"/>
      </w:rPr>
    </w:lvl>
    <w:lvl w:ilvl="8" w:tplc="E80CCDD4">
      <w:numFmt w:val="bullet"/>
      <w:lvlText w:val="•"/>
      <w:lvlJc w:val="left"/>
      <w:pPr>
        <w:ind w:left="2291" w:hanging="100"/>
      </w:pPr>
      <w:rPr>
        <w:rFonts w:hint="default"/>
      </w:rPr>
    </w:lvl>
  </w:abstractNum>
  <w:abstractNum w:abstractNumId="1737" w15:restartNumberingAfterBreak="0">
    <w:nsid w:val="6DDE3272"/>
    <w:multiLevelType w:val="hybridMultilevel"/>
    <w:tmpl w:val="ED4E5266"/>
    <w:lvl w:ilvl="0" w:tplc="932213D0">
      <w:numFmt w:val="bullet"/>
      <w:lvlText w:val=""/>
      <w:lvlJc w:val="left"/>
      <w:pPr>
        <w:ind w:left="156" w:hanging="100"/>
      </w:pPr>
      <w:rPr>
        <w:rFonts w:ascii="Symbol" w:eastAsia="Symbol" w:hAnsi="Symbol" w:cs="Symbol" w:hint="default"/>
        <w:color w:val="231F20"/>
        <w:w w:val="100"/>
        <w:sz w:val="14"/>
        <w:szCs w:val="14"/>
      </w:rPr>
    </w:lvl>
    <w:lvl w:ilvl="1" w:tplc="7220CA5E">
      <w:numFmt w:val="bullet"/>
      <w:lvlText w:val="•"/>
      <w:lvlJc w:val="left"/>
      <w:pPr>
        <w:ind w:left="398" w:hanging="100"/>
      </w:pPr>
      <w:rPr>
        <w:rFonts w:hint="default"/>
      </w:rPr>
    </w:lvl>
    <w:lvl w:ilvl="2" w:tplc="F18052DA">
      <w:numFmt w:val="bullet"/>
      <w:lvlText w:val="•"/>
      <w:lvlJc w:val="left"/>
      <w:pPr>
        <w:ind w:left="636" w:hanging="100"/>
      </w:pPr>
      <w:rPr>
        <w:rFonts w:hint="default"/>
      </w:rPr>
    </w:lvl>
    <w:lvl w:ilvl="3" w:tplc="FC6A0280">
      <w:numFmt w:val="bullet"/>
      <w:lvlText w:val="•"/>
      <w:lvlJc w:val="left"/>
      <w:pPr>
        <w:ind w:left="874" w:hanging="100"/>
      </w:pPr>
      <w:rPr>
        <w:rFonts w:hint="default"/>
      </w:rPr>
    </w:lvl>
    <w:lvl w:ilvl="4" w:tplc="6AA6E658">
      <w:numFmt w:val="bullet"/>
      <w:lvlText w:val="•"/>
      <w:lvlJc w:val="left"/>
      <w:pPr>
        <w:ind w:left="1112" w:hanging="100"/>
      </w:pPr>
      <w:rPr>
        <w:rFonts w:hint="default"/>
      </w:rPr>
    </w:lvl>
    <w:lvl w:ilvl="5" w:tplc="426811EE">
      <w:numFmt w:val="bullet"/>
      <w:lvlText w:val="•"/>
      <w:lvlJc w:val="left"/>
      <w:pPr>
        <w:ind w:left="1350" w:hanging="100"/>
      </w:pPr>
      <w:rPr>
        <w:rFonts w:hint="default"/>
      </w:rPr>
    </w:lvl>
    <w:lvl w:ilvl="6" w:tplc="2D046738">
      <w:numFmt w:val="bullet"/>
      <w:lvlText w:val="•"/>
      <w:lvlJc w:val="left"/>
      <w:pPr>
        <w:ind w:left="1588" w:hanging="100"/>
      </w:pPr>
      <w:rPr>
        <w:rFonts w:hint="default"/>
      </w:rPr>
    </w:lvl>
    <w:lvl w:ilvl="7" w:tplc="3CC24738">
      <w:numFmt w:val="bullet"/>
      <w:lvlText w:val="•"/>
      <w:lvlJc w:val="left"/>
      <w:pPr>
        <w:ind w:left="1826" w:hanging="100"/>
      </w:pPr>
      <w:rPr>
        <w:rFonts w:hint="default"/>
      </w:rPr>
    </w:lvl>
    <w:lvl w:ilvl="8" w:tplc="8FC62270">
      <w:numFmt w:val="bullet"/>
      <w:lvlText w:val="•"/>
      <w:lvlJc w:val="left"/>
      <w:pPr>
        <w:ind w:left="2064" w:hanging="100"/>
      </w:pPr>
      <w:rPr>
        <w:rFonts w:hint="default"/>
      </w:rPr>
    </w:lvl>
  </w:abstractNum>
  <w:abstractNum w:abstractNumId="1738" w15:restartNumberingAfterBreak="0">
    <w:nsid w:val="6DFE7219"/>
    <w:multiLevelType w:val="hybridMultilevel"/>
    <w:tmpl w:val="09EC1118"/>
    <w:lvl w:ilvl="0" w:tplc="2098A850">
      <w:numFmt w:val="bullet"/>
      <w:lvlText w:val=""/>
      <w:lvlJc w:val="left"/>
      <w:pPr>
        <w:ind w:left="156" w:hanging="100"/>
      </w:pPr>
      <w:rPr>
        <w:rFonts w:ascii="Symbol" w:eastAsia="Symbol" w:hAnsi="Symbol" w:cs="Symbol" w:hint="default"/>
        <w:color w:val="231F20"/>
        <w:w w:val="100"/>
        <w:sz w:val="14"/>
        <w:szCs w:val="14"/>
      </w:rPr>
    </w:lvl>
    <w:lvl w:ilvl="1" w:tplc="86620294">
      <w:numFmt w:val="bullet"/>
      <w:lvlText w:val="•"/>
      <w:lvlJc w:val="left"/>
      <w:pPr>
        <w:ind w:left="398" w:hanging="100"/>
      </w:pPr>
      <w:rPr>
        <w:rFonts w:hint="default"/>
      </w:rPr>
    </w:lvl>
    <w:lvl w:ilvl="2" w:tplc="5FE65AFE">
      <w:numFmt w:val="bullet"/>
      <w:lvlText w:val="•"/>
      <w:lvlJc w:val="left"/>
      <w:pPr>
        <w:ind w:left="636" w:hanging="100"/>
      </w:pPr>
      <w:rPr>
        <w:rFonts w:hint="default"/>
      </w:rPr>
    </w:lvl>
    <w:lvl w:ilvl="3" w:tplc="3F3068EE">
      <w:numFmt w:val="bullet"/>
      <w:lvlText w:val="•"/>
      <w:lvlJc w:val="left"/>
      <w:pPr>
        <w:ind w:left="874" w:hanging="100"/>
      </w:pPr>
      <w:rPr>
        <w:rFonts w:hint="default"/>
      </w:rPr>
    </w:lvl>
    <w:lvl w:ilvl="4" w:tplc="F11082DE">
      <w:numFmt w:val="bullet"/>
      <w:lvlText w:val="•"/>
      <w:lvlJc w:val="left"/>
      <w:pPr>
        <w:ind w:left="1112" w:hanging="100"/>
      </w:pPr>
      <w:rPr>
        <w:rFonts w:hint="default"/>
      </w:rPr>
    </w:lvl>
    <w:lvl w:ilvl="5" w:tplc="048E0670">
      <w:numFmt w:val="bullet"/>
      <w:lvlText w:val="•"/>
      <w:lvlJc w:val="left"/>
      <w:pPr>
        <w:ind w:left="1350" w:hanging="100"/>
      </w:pPr>
      <w:rPr>
        <w:rFonts w:hint="default"/>
      </w:rPr>
    </w:lvl>
    <w:lvl w:ilvl="6" w:tplc="47F028E4">
      <w:numFmt w:val="bullet"/>
      <w:lvlText w:val="•"/>
      <w:lvlJc w:val="left"/>
      <w:pPr>
        <w:ind w:left="1588" w:hanging="100"/>
      </w:pPr>
      <w:rPr>
        <w:rFonts w:hint="default"/>
      </w:rPr>
    </w:lvl>
    <w:lvl w:ilvl="7" w:tplc="246E0D3C">
      <w:numFmt w:val="bullet"/>
      <w:lvlText w:val="•"/>
      <w:lvlJc w:val="left"/>
      <w:pPr>
        <w:ind w:left="1826" w:hanging="100"/>
      </w:pPr>
      <w:rPr>
        <w:rFonts w:hint="default"/>
      </w:rPr>
    </w:lvl>
    <w:lvl w:ilvl="8" w:tplc="0FEAF43C">
      <w:numFmt w:val="bullet"/>
      <w:lvlText w:val="•"/>
      <w:lvlJc w:val="left"/>
      <w:pPr>
        <w:ind w:left="2064" w:hanging="100"/>
      </w:pPr>
      <w:rPr>
        <w:rFonts w:hint="default"/>
      </w:rPr>
    </w:lvl>
  </w:abstractNum>
  <w:abstractNum w:abstractNumId="1739" w15:restartNumberingAfterBreak="0">
    <w:nsid w:val="6E087824"/>
    <w:multiLevelType w:val="hybridMultilevel"/>
    <w:tmpl w:val="9EDE14D2"/>
    <w:lvl w:ilvl="0" w:tplc="2FC4F2F8">
      <w:numFmt w:val="bullet"/>
      <w:lvlText w:val=""/>
      <w:lvlJc w:val="left"/>
      <w:pPr>
        <w:ind w:left="156" w:hanging="100"/>
      </w:pPr>
      <w:rPr>
        <w:rFonts w:ascii="Symbol" w:eastAsia="Symbol" w:hAnsi="Symbol" w:cs="Symbol" w:hint="default"/>
        <w:color w:val="231F20"/>
        <w:w w:val="100"/>
        <w:sz w:val="14"/>
        <w:szCs w:val="14"/>
      </w:rPr>
    </w:lvl>
    <w:lvl w:ilvl="1" w:tplc="C7EC610A">
      <w:numFmt w:val="bullet"/>
      <w:lvlText w:val="•"/>
      <w:lvlJc w:val="left"/>
      <w:pPr>
        <w:ind w:left="301" w:hanging="100"/>
      </w:pPr>
      <w:rPr>
        <w:rFonts w:hint="default"/>
      </w:rPr>
    </w:lvl>
    <w:lvl w:ilvl="2" w:tplc="485C8750">
      <w:numFmt w:val="bullet"/>
      <w:lvlText w:val="•"/>
      <w:lvlJc w:val="left"/>
      <w:pPr>
        <w:ind w:left="443" w:hanging="100"/>
      </w:pPr>
      <w:rPr>
        <w:rFonts w:hint="default"/>
      </w:rPr>
    </w:lvl>
    <w:lvl w:ilvl="3" w:tplc="98404AFC">
      <w:numFmt w:val="bullet"/>
      <w:lvlText w:val="•"/>
      <w:lvlJc w:val="left"/>
      <w:pPr>
        <w:ind w:left="585" w:hanging="100"/>
      </w:pPr>
      <w:rPr>
        <w:rFonts w:hint="default"/>
      </w:rPr>
    </w:lvl>
    <w:lvl w:ilvl="4" w:tplc="2604CEEE">
      <w:numFmt w:val="bullet"/>
      <w:lvlText w:val="•"/>
      <w:lvlJc w:val="left"/>
      <w:pPr>
        <w:ind w:left="726" w:hanging="100"/>
      </w:pPr>
      <w:rPr>
        <w:rFonts w:hint="default"/>
      </w:rPr>
    </w:lvl>
    <w:lvl w:ilvl="5" w:tplc="F9E42714">
      <w:numFmt w:val="bullet"/>
      <w:lvlText w:val="•"/>
      <w:lvlJc w:val="left"/>
      <w:pPr>
        <w:ind w:left="868" w:hanging="100"/>
      </w:pPr>
      <w:rPr>
        <w:rFonts w:hint="default"/>
      </w:rPr>
    </w:lvl>
    <w:lvl w:ilvl="6" w:tplc="AFBE8840">
      <w:numFmt w:val="bullet"/>
      <w:lvlText w:val="•"/>
      <w:lvlJc w:val="left"/>
      <w:pPr>
        <w:ind w:left="1010" w:hanging="100"/>
      </w:pPr>
      <w:rPr>
        <w:rFonts w:hint="default"/>
      </w:rPr>
    </w:lvl>
    <w:lvl w:ilvl="7" w:tplc="A282C4BC">
      <w:numFmt w:val="bullet"/>
      <w:lvlText w:val="•"/>
      <w:lvlJc w:val="left"/>
      <w:pPr>
        <w:ind w:left="1151" w:hanging="100"/>
      </w:pPr>
      <w:rPr>
        <w:rFonts w:hint="default"/>
      </w:rPr>
    </w:lvl>
    <w:lvl w:ilvl="8" w:tplc="E06AD55E">
      <w:numFmt w:val="bullet"/>
      <w:lvlText w:val="•"/>
      <w:lvlJc w:val="left"/>
      <w:pPr>
        <w:ind w:left="1293" w:hanging="100"/>
      </w:pPr>
      <w:rPr>
        <w:rFonts w:hint="default"/>
      </w:rPr>
    </w:lvl>
  </w:abstractNum>
  <w:abstractNum w:abstractNumId="1740" w15:restartNumberingAfterBreak="0">
    <w:nsid w:val="6E230167"/>
    <w:multiLevelType w:val="hybridMultilevel"/>
    <w:tmpl w:val="DDC0A924"/>
    <w:lvl w:ilvl="0" w:tplc="7C6EEED8">
      <w:numFmt w:val="bullet"/>
      <w:lvlText w:val=""/>
      <w:lvlJc w:val="left"/>
      <w:pPr>
        <w:ind w:left="157" w:hanging="100"/>
      </w:pPr>
      <w:rPr>
        <w:rFonts w:ascii="Symbol" w:eastAsia="Symbol" w:hAnsi="Symbol" w:cs="Symbol" w:hint="default"/>
        <w:color w:val="231F20"/>
        <w:w w:val="100"/>
        <w:sz w:val="14"/>
        <w:szCs w:val="14"/>
      </w:rPr>
    </w:lvl>
    <w:lvl w:ilvl="1" w:tplc="80663694">
      <w:numFmt w:val="bullet"/>
      <w:lvlText w:val="•"/>
      <w:lvlJc w:val="left"/>
      <w:pPr>
        <w:ind w:left="369" w:hanging="100"/>
      </w:pPr>
      <w:rPr>
        <w:rFonts w:hint="default"/>
      </w:rPr>
    </w:lvl>
    <w:lvl w:ilvl="2" w:tplc="474C7ECE">
      <w:numFmt w:val="bullet"/>
      <w:lvlText w:val="•"/>
      <w:lvlJc w:val="left"/>
      <w:pPr>
        <w:ind w:left="579" w:hanging="100"/>
      </w:pPr>
      <w:rPr>
        <w:rFonts w:hint="default"/>
      </w:rPr>
    </w:lvl>
    <w:lvl w:ilvl="3" w:tplc="3954C7D0">
      <w:numFmt w:val="bullet"/>
      <w:lvlText w:val="•"/>
      <w:lvlJc w:val="left"/>
      <w:pPr>
        <w:ind w:left="789" w:hanging="100"/>
      </w:pPr>
      <w:rPr>
        <w:rFonts w:hint="default"/>
      </w:rPr>
    </w:lvl>
    <w:lvl w:ilvl="4" w:tplc="1A9EA7B2">
      <w:numFmt w:val="bullet"/>
      <w:lvlText w:val="•"/>
      <w:lvlJc w:val="left"/>
      <w:pPr>
        <w:ind w:left="998" w:hanging="100"/>
      </w:pPr>
      <w:rPr>
        <w:rFonts w:hint="default"/>
      </w:rPr>
    </w:lvl>
    <w:lvl w:ilvl="5" w:tplc="C5D284D2">
      <w:numFmt w:val="bullet"/>
      <w:lvlText w:val="•"/>
      <w:lvlJc w:val="left"/>
      <w:pPr>
        <w:ind w:left="1208" w:hanging="100"/>
      </w:pPr>
      <w:rPr>
        <w:rFonts w:hint="default"/>
      </w:rPr>
    </w:lvl>
    <w:lvl w:ilvl="6" w:tplc="0E869B14">
      <w:numFmt w:val="bullet"/>
      <w:lvlText w:val="•"/>
      <w:lvlJc w:val="left"/>
      <w:pPr>
        <w:ind w:left="1418" w:hanging="100"/>
      </w:pPr>
      <w:rPr>
        <w:rFonts w:hint="default"/>
      </w:rPr>
    </w:lvl>
    <w:lvl w:ilvl="7" w:tplc="CB586946">
      <w:numFmt w:val="bullet"/>
      <w:lvlText w:val="•"/>
      <w:lvlJc w:val="left"/>
      <w:pPr>
        <w:ind w:left="1627" w:hanging="100"/>
      </w:pPr>
      <w:rPr>
        <w:rFonts w:hint="default"/>
      </w:rPr>
    </w:lvl>
    <w:lvl w:ilvl="8" w:tplc="3B32461C">
      <w:numFmt w:val="bullet"/>
      <w:lvlText w:val="•"/>
      <w:lvlJc w:val="left"/>
      <w:pPr>
        <w:ind w:left="1837" w:hanging="100"/>
      </w:pPr>
      <w:rPr>
        <w:rFonts w:hint="default"/>
      </w:rPr>
    </w:lvl>
  </w:abstractNum>
  <w:abstractNum w:abstractNumId="1741" w15:restartNumberingAfterBreak="0">
    <w:nsid w:val="6E2A0736"/>
    <w:multiLevelType w:val="hybridMultilevel"/>
    <w:tmpl w:val="C2FCF1D2"/>
    <w:lvl w:ilvl="0" w:tplc="A8703D4A">
      <w:numFmt w:val="bullet"/>
      <w:lvlText w:val=""/>
      <w:lvlJc w:val="left"/>
      <w:pPr>
        <w:ind w:left="156" w:hanging="100"/>
      </w:pPr>
      <w:rPr>
        <w:rFonts w:ascii="Symbol" w:eastAsia="Symbol" w:hAnsi="Symbol" w:cs="Symbol" w:hint="default"/>
        <w:color w:val="231F20"/>
        <w:w w:val="100"/>
        <w:sz w:val="14"/>
        <w:szCs w:val="14"/>
      </w:rPr>
    </w:lvl>
    <w:lvl w:ilvl="1" w:tplc="9814D148">
      <w:numFmt w:val="bullet"/>
      <w:lvlText w:val="•"/>
      <w:lvlJc w:val="left"/>
      <w:pPr>
        <w:ind w:left="426" w:hanging="100"/>
      </w:pPr>
      <w:rPr>
        <w:rFonts w:hint="default"/>
      </w:rPr>
    </w:lvl>
    <w:lvl w:ilvl="2" w:tplc="7340C1F4">
      <w:numFmt w:val="bullet"/>
      <w:lvlText w:val="•"/>
      <w:lvlJc w:val="left"/>
      <w:pPr>
        <w:ind w:left="692" w:hanging="100"/>
      </w:pPr>
      <w:rPr>
        <w:rFonts w:hint="default"/>
      </w:rPr>
    </w:lvl>
    <w:lvl w:ilvl="3" w:tplc="506491C0">
      <w:numFmt w:val="bullet"/>
      <w:lvlText w:val="•"/>
      <w:lvlJc w:val="left"/>
      <w:pPr>
        <w:ind w:left="959" w:hanging="100"/>
      </w:pPr>
      <w:rPr>
        <w:rFonts w:hint="default"/>
      </w:rPr>
    </w:lvl>
    <w:lvl w:ilvl="4" w:tplc="1EBC5640">
      <w:numFmt w:val="bullet"/>
      <w:lvlText w:val="•"/>
      <w:lvlJc w:val="left"/>
      <w:pPr>
        <w:ind w:left="1225" w:hanging="100"/>
      </w:pPr>
      <w:rPr>
        <w:rFonts w:hint="default"/>
      </w:rPr>
    </w:lvl>
    <w:lvl w:ilvl="5" w:tplc="3BE882C4">
      <w:numFmt w:val="bullet"/>
      <w:lvlText w:val="•"/>
      <w:lvlJc w:val="left"/>
      <w:pPr>
        <w:ind w:left="1492" w:hanging="100"/>
      </w:pPr>
      <w:rPr>
        <w:rFonts w:hint="default"/>
      </w:rPr>
    </w:lvl>
    <w:lvl w:ilvl="6" w:tplc="FDC88F50">
      <w:numFmt w:val="bullet"/>
      <w:lvlText w:val="•"/>
      <w:lvlJc w:val="left"/>
      <w:pPr>
        <w:ind w:left="1758" w:hanging="100"/>
      </w:pPr>
      <w:rPr>
        <w:rFonts w:hint="default"/>
      </w:rPr>
    </w:lvl>
    <w:lvl w:ilvl="7" w:tplc="8DE629A6">
      <w:numFmt w:val="bullet"/>
      <w:lvlText w:val="•"/>
      <w:lvlJc w:val="left"/>
      <w:pPr>
        <w:ind w:left="2024" w:hanging="100"/>
      </w:pPr>
      <w:rPr>
        <w:rFonts w:hint="default"/>
      </w:rPr>
    </w:lvl>
    <w:lvl w:ilvl="8" w:tplc="157ECB60">
      <w:numFmt w:val="bullet"/>
      <w:lvlText w:val="•"/>
      <w:lvlJc w:val="left"/>
      <w:pPr>
        <w:ind w:left="2291" w:hanging="100"/>
      </w:pPr>
      <w:rPr>
        <w:rFonts w:hint="default"/>
      </w:rPr>
    </w:lvl>
  </w:abstractNum>
  <w:abstractNum w:abstractNumId="1742" w15:restartNumberingAfterBreak="0">
    <w:nsid w:val="6E452D3D"/>
    <w:multiLevelType w:val="hybridMultilevel"/>
    <w:tmpl w:val="61F8CE08"/>
    <w:lvl w:ilvl="0" w:tplc="C566849A">
      <w:numFmt w:val="bullet"/>
      <w:lvlText w:val=""/>
      <w:lvlJc w:val="left"/>
      <w:pPr>
        <w:ind w:left="157" w:hanging="100"/>
      </w:pPr>
      <w:rPr>
        <w:rFonts w:ascii="Symbol" w:eastAsia="Symbol" w:hAnsi="Symbol" w:cs="Symbol" w:hint="default"/>
        <w:color w:val="231F20"/>
        <w:w w:val="100"/>
        <w:sz w:val="14"/>
        <w:szCs w:val="14"/>
      </w:rPr>
    </w:lvl>
    <w:lvl w:ilvl="1" w:tplc="7196268E">
      <w:numFmt w:val="bullet"/>
      <w:lvlText w:val="•"/>
      <w:lvlJc w:val="left"/>
      <w:pPr>
        <w:ind w:left="369" w:hanging="100"/>
      </w:pPr>
      <w:rPr>
        <w:rFonts w:hint="default"/>
      </w:rPr>
    </w:lvl>
    <w:lvl w:ilvl="2" w:tplc="8DB4B5A4">
      <w:numFmt w:val="bullet"/>
      <w:lvlText w:val="•"/>
      <w:lvlJc w:val="left"/>
      <w:pPr>
        <w:ind w:left="579" w:hanging="100"/>
      </w:pPr>
      <w:rPr>
        <w:rFonts w:hint="default"/>
      </w:rPr>
    </w:lvl>
    <w:lvl w:ilvl="3" w:tplc="D4DA3AE0">
      <w:numFmt w:val="bullet"/>
      <w:lvlText w:val="•"/>
      <w:lvlJc w:val="left"/>
      <w:pPr>
        <w:ind w:left="789" w:hanging="100"/>
      </w:pPr>
      <w:rPr>
        <w:rFonts w:hint="default"/>
      </w:rPr>
    </w:lvl>
    <w:lvl w:ilvl="4" w:tplc="069A8516">
      <w:numFmt w:val="bullet"/>
      <w:lvlText w:val="•"/>
      <w:lvlJc w:val="left"/>
      <w:pPr>
        <w:ind w:left="998" w:hanging="100"/>
      </w:pPr>
      <w:rPr>
        <w:rFonts w:hint="default"/>
      </w:rPr>
    </w:lvl>
    <w:lvl w:ilvl="5" w:tplc="30BABB02">
      <w:numFmt w:val="bullet"/>
      <w:lvlText w:val="•"/>
      <w:lvlJc w:val="left"/>
      <w:pPr>
        <w:ind w:left="1208" w:hanging="100"/>
      </w:pPr>
      <w:rPr>
        <w:rFonts w:hint="default"/>
      </w:rPr>
    </w:lvl>
    <w:lvl w:ilvl="6" w:tplc="E0FCA5C4">
      <w:numFmt w:val="bullet"/>
      <w:lvlText w:val="•"/>
      <w:lvlJc w:val="left"/>
      <w:pPr>
        <w:ind w:left="1418" w:hanging="100"/>
      </w:pPr>
      <w:rPr>
        <w:rFonts w:hint="default"/>
      </w:rPr>
    </w:lvl>
    <w:lvl w:ilvl="7" w:tplc="EB1E5EA2">
      <w:numFmt w:val="bullet"/>
      <w:lvlText w:val="•"/>
      <w:lvlJc w:val="left"/>
      <w:pPr>
        <w:ind w:left="1627" w:hanging="100"/>
      </w:pPr>
      <w:rPr>
        <w:rFonts w:hint="default"/>
      </w:rPr>
    </w:lvl>
    <w:lvl w:ilvl="8" w:tplc="FE440CC6">
      <w:numFmt w:val="bullet"/>
      <w:lvlText w:val="•"/>
      <w:lvlJc w:val="left"/>
      <w:pPr>
        <w:ind w:left="1837" w:hanging="100"/>
      </w:pPr>
      <w:rPr>
        <w:rFonts w:hint="default"/>
      </w:rPr>
    </w:lvl>
  </w:abstractNum>
  <w:abstractNum w:abstractNumId="1743" w15:restartNumberingAfterBreak="0">
    <w:nsid w:val="6E4B770F"/>
    <w:multiLevelType w:val="hybridMultilevel"/>
    <w:tmpl w:val="908CAC80"/>
    <w:lvl w:ilvl="0" w:tplc="5EEAAA70">
      <w:numFmt w:val="bullet"/>
      <w:lvlText w:val=""/>
      <w:lvlJc w:val="left"/>
      <w:pPr>
        <w:ind w:left="156" w:hanging="100"/>
      </w:pPr>
      <w:rPr>
        <w:rFonts w:ascii="Symbol" w:eastAsia="Symbol" w:hAnsi="Symbol" w:cs="Symbol" w:hint="default"/>
        <w:color w:val="231F20"/>
        <w:w w:val="100"/>
        <w:sz w:val="14"/>
        <w:szCs w:val="14"/>
      </w:rPr>
    </w:lvl>
    <w:lvl w:ilvl="1" w:tplc="0AE43376">
      <w:numFmt w:val="bullet"/>
      <w:lvlText w:val="•"/>
      <w:lvlJc w:val="left"/>
      <w:pPr>
        <w:ind w:left="398" w:hanging="100"/>
      </w:pPr>
      <w:rPr>
        <w:rFonts w:hint="default"/>
      </w:rPr>
    </w:lvl>
    <w:lvl w:ilvl="2" w:tplc="ABAEA56E">
      <w:numFmt w:val="bullet"/>
      <w:lvlText w:val="•"/>
      <w:lvlJc w:val="left"/>
      <w:pPr>
        <w:ind w:left="636" w:hanging="100"/>
      </w:pPr>
      <w:rPr>
        <w:rFonts w:hint="default"/>
      </w:rPr>
    </w:lvl>
    <w:lvl w:ilvl="3" w:tplc="E5E4D6D2">
      <w:numFmt w:val="bullet"/>
      <w:lvlText w:val="•"/>
      <w:lvlJc w:val="left"/>
      <w:pPr>
        <w:ind w:left="874" w:hanging="100"/>
      </w:pPr>
      <w:rPr>
        <w:rFonts w:hint="default"/>
      </w:rPr>
    </w:lvl>
    <w:lvl w:ilvl="4" w:tplc="F47CF378">
      <w:numFmt w:val="bullet"/>
      <w:lvlText w:val="•"/>
      <w:lvlJc w:val="left"/>
      <w:pPr>
        <w:ind w:left="1112" w:hanging="100"/>
      </w:pPr>
      <w:rPr>
        <w:rFonts w:hint="default"/>
      </w:rPr>
    </w:lvl>
    <w:lvl w:ilvl="5" w:tplc="DC46FAD8">
      <w:numFmt w:val="bullet"/>
      <w:lvlText w:val="•"/>
      <w:lvlJc w:val="left"/>
      <w:pPr>
        <w:ind w:left="1350" w:hanging="100"/>
      </w:pPr>
      <w:rPr>
        <w:rFonts w:hint="default"/>
      </w:rPr>
    </w:lvl>
    <w:lvl w:ilvl="6" w:tplc="DB609F0E">
      <w:numFmt w:val="bullet"/>
      <w:lvlText w:val="•"/>
      <w:lvlJc w:val="left"/>
      <w:pPr>
        <w:ind w:left="1588" w:hanging="100"/>
      </w:pPr>
      <w:rPr>
        <w:rFonts w:hint="default"/>
      </w:rPr>
    </w:lvl>
    <w:lvl w:ilvl="7" w:tplc="64EAF1E8">
      <w:numFmt w:val="bullet"/>
      <w:lvlText w:val="•"/>
      <w:lvlJc w:val="left"/>
      <w:pPr>
        <w:ind w:left="1826" w:hanging="100"/>
      </w:pPr>
      <w:rPr>
        <w:rFonts w:hint="default"/>
      </w:rPr>
    </w:lvl>
    <w:lvl w:ilvl="8" w:tplc="01D0CC24">
      <w:numFmt w:val="bullet"/>
      <w:lvlText w:val="•"/>
      <w:lvlJc w:val="left"/>
      <w:pPr>
        <w:ind w:left="2064" w:hanging="100"/>
      </w:pPr>
      <w:rPr>
        <w:rFonts w:hint="default"/>
      </w:rPr>
    </w:lvl>
  </w:abstractNum>
  <w:abstractNum w:abstractNumId="1744" w15:restartNumberingAfterBreak="0">
    <w:nsid w:val="6E4D4B4F"/>
    <w:multiLevelType w:val="hybridMultilevel"/>
    <w:tmpl w:val="CB48121E"/>
    <w:lvl w:ilvl="0" w:tplc="7A3E1F40">
      <w:numFmt w:val="bullet"/>
      <w:lvlText w:val=""/>
      <w:lvlJc w:val="left"/>
      <w:pPr>
        <w:ind w:left="156" w:hanging="100"/>
      </w:pPr>
      <w:rPr>
        <w:rFonts w:ascii="Symbol" w:eastAsia="Symbol" w:hAnsi="Symbol" w:cs="Symbol" w:hint="default"/>
        <w:color w:val="231F20"/>
        <w:w w:val="100"/>
        <w:sz w:val="14"/>
        <w:szCs w:val="14"/>
      </w:rPr>
    </w:lvl>
    <w:lvl w:ilvl="1" w:tplc="3050D960">
      <w:numFmt w:val="bullet"/>
      <w:lvlText w:val="•"/>
      <w:lvlJc w:val="left"/>
      <w:pPr>
        <w:ind w:left="301" w:hanging="100"/>
      </w:pPr>
      <w:rPr>
        <w:rFonts w:hint="default"/>
      </w:rPr>
    </w:lvl>
    <w:lvl w:ilvl="2" w:tplc="FB9EA1F4">
      <w:numFmt w:val="bullet"/>
      <w:lvlText w:val="•"/>
      <w:lvlJc w:val="left"/>
      <w:pPr>
        <w:ind w:left="443" w:hanging="100"/>
      </w:pPr>
      <w:rPr>
        <w:rFonts w:hint="default"/>
      </w:rPr>
    </w:lvl>
    <w:lvl w:ilvl="3" w:tplc="AA9CBE44">
      <w:numFmt w:val="bullet"/>
      <w:lvlText w:val="•"/>
      <w:lvlJc w:val="left"/>
      <w:pPr>
        <w:ind w:left="585" w:hanging="100"/>
      </w:pPr>
      <w:rPr>
        <w:rFonts w:hint="default"/>
      </w:rPr>
    </w:lvl>
    <w:lvl w:ilvl="4" w:tplc="D826DFDA">
      <w:numFmt w:val="bullet"/>
      <w:lvlText w:val="•"/>
      <w:lvlJc w:val="left"/>
      <w:pPr>
        <w:ind w:left="726" w:hanging="100"/>
      </w:pPr>
      <w:rPr>
        <w:rFonts w:hint="default"/>
      </w:rPr>
    </w:lvl>
    <w:lvl w:ilvl="5" w:tplc="5BE4B6B8">
      <w:numFmt w:val="bullet"/>
      <w:lvlText w:val="•"/>
      <w:lvlJc w:val="left"/>
      <w:pPr>
        <w:ind w:left="868" w:hanging="100"/>
      </w:pPr>
      <w:rPr>
        <w:rFonts w:hint="default"/>
      </w:rPr>
    </w:lvl>
    <w:lvl w:ilvl="6" w:tplc="32764268">
      <w:numFmt w:val="bullet"/>
      <w:lvlText w:val="•"/>
      <w:lvlJc w:val="left"/>
      <w:pPr>
        <w:ind w:left="1010" w:hanging="100"/>
      </w:pPr>
      <w:rPr>
        <w:rFonts w:hint="default"/>
      </w:rPr>
    </w:lvl>
    <w:lvl w:ilvl="7" w:tplc="F4AC08B2">
      <w:numFmt w:val="bullet"/>
      <w:lvlText w:val="•"/>
      <w:lvlJc w:val="left"/>
      <w:pPr>
        <w:ind w:left="1151" w:hanging="100"/>
      </w:pPr>
      <w:rPr>
        <w:rFonts w:hint="default"/>
      </w:rPr>
    </w:lvl>
    <w:lvl w:ilvl="8" w:tplc="FD62371A">
      <w:numFmt w:val="bullet"/>
      <w:lvlText w:val="•"/>
      <w:lvlJc w:val="left"/>
      <w:pPr>
        <w:ind w:left="1293" w:hanging="100"/>
      </w:pPr>
      <w:rPr>
        <w:rFonts w:hint="default"/>
      </w:rPr>
    </w:lvl>
  </w:abstractNum>
  <w:abstractNum w:abstractNumId="1745" w15:restartNumberingAfterBreak="0">
    <w:nsid w:val="6E7847C9"/>
    <w:multiLevelType w:val="hybridMultilevel"/>
    <w:tmpl w:val="47AE2A2C"/>
    <w:lvl w:ilvl="0" w:tplc="596CF41C">
      <w:numFmt w:val="bullet"/>
      <w:lvlText w:val=""/>
      <w:lvlJc w:val="left"/>
      <w:pPr>
        <w:ind w:left="156" w:hanging="100"/>
      </w:pPr>
      <w:rPr>
        <w:rFonts w:ascii="Symbol" w:eastAsia="Symbol" w:hAnsi="Symbol" w:cs="Symbol" w:hint="default"/>
        <w:color w:val="231F20"/>
        <w:w w:val="100"/>
        <w:sz w:val="14"/>
        <w:szCs w:val="14"/>
      </w:rPr>
    </w:lvl>
    <w:lvl w:ilvl="1" w:tplc="8A7AE67E">
      <w:numFmt w:val="bullet"/>
      <w:lvlText w:val="•"/>
      <w:lvlJc w:val="left"/>
      <w:pPr>
        <w:ind w:left="301" w:hanging="100"/>
      </w:pPr>
      <w:rPr>
        <w:rFonts w:hint="default"/>
      </w:rPr>
    </w:lvl>
    <w:lvl w:ilvl="2" w:tplc="0A42DAF6">
      <w:numFmt w:val="bullet"/>
      <w:lvlText w:val="•"/>
      <w:lvlJc w:val="left"/>
      <w:pPr>
        <w:ind w:left="443" w:hanging="100"/>
      </w:pPr>
      <w:rPr>
        <w:rFonts w:hint="default"/>
      </w:rPr>
    </w:lvl>
    <w:lvl w:ilvl="3" w:tplc="CA2A6B02">
      <w:numFmt w:val="bullet"/>
      <w:lvlText w:val="•"/>
      <w:lvlJc w:val="left"/>
      <w:pPr>
        <w:ind w:left="585" w:hanging="100"/>
      </w:pPr>
      <w:rPr>
        <w:rFonts w:hint="default"/>
      </w:rPr>
    </w:lvl>
    <w:lvl w:ilvl="4" w:tplc="BA8AF59E">
      <w:numFmt w:val="bullet"/>
      <w:lvlText w:val="•"/>
      <w:lvlJc w:val="left"/>
      <w:pPr>
        <w:ind w:left="726" w:hanging="100"/>
      </w:pPr>
      <w:rPr>
        <w:rFonts w:hint="default"/>
      </w:rPr>
    </w:lvl>
    <w:lvl w:ilvl="5" w:tplc="4036AFF0">
      <w:numFmt w:val="bullet"/>
      <w:lvlText w:val="•"/>
      <w:lvlJc w:val="left"/>
      <w:pPr>
        <w:ind w:left="868" w:hanging="100"/>
      </w:pPr>
      <w:rPr>
        <w:rFonts w:hint="default"/>
      </w:rPr>
    </w:lvl>
    <w:lvl w:ilvl="6" w:tplc="20E09404">
      <w:numFmt w:val="bullet"/>
      <w:lvlText w:val="•"/>
      <w:lvlJc w:val="left"/>
      <w:pPr>
        <w:ind w:left="1010" w:hanging="100"/>
      </w:pPr>
      <w:rPr>
        <w:rFonts w:hint="default"/>
      </w:rPr>
    </w:lvl>
    <w:lvl w:ilvl="7" w:tplc="CD886970">
      <w:numFmt w:val="bullet"/>
      <w:lvlText w:val="•"/>
      <w:lvlJc w:val="left"/>
      <w:pPr>
        <w:ind w:left="1151" w:hanging="100"/>
      </w:pPr>
      <w:rPr>
        <w:rFonts w:hint="default"/>
      </w:rPr>
    </w:lvl>
    <w:lvl w:ilvl="8" w:tplc="8D5A2410">
      <w:numFmt w:val="bullet"/>
      <w:lvlText w:val="•"/>
      <w:lvlJc w:val="left"/>
      <w:pPr>
        <w:ind w:left="1293" w:hanging="100"/>
      </w:pPr>
      <w:rPr>
        <w:rFonts w:hint="default"/>
      </w:rPr>
    </w:lvl>
  </w:abstractNum>
  <w:abstractNum w:abstractNumId="1746" w15:restartNumberingAfterBreak="0">
    <w:nsid w:val="6E8A6D3D"/>
    <w:multiLevelType w:val="hybridMultilevel"/>
    <w:tmpl w:val="1CB816DE"/>
    <w:lvl w:ilvl="0" w:tplc="93D28718">
      <w:numFmt w:val="bullet"/>
      <w:lvlText w:val=""/>
      <w:lvlJc w:val="left"/>
      <w:pPr>
        <w:ind w:left="156" w:hanging="100"/>
      </w:pPr>
      <w:rPr>
        <w:rFonts w:ascii="Symbol" w:eastAsia="Symbol" w:hAnsi="Symbol" w:cs="Symbol" w:hint="default"/>
        <w:color w:val="231F20"/>
        <w:w w:val="100"/>
        <w:sz w:val="14"/>
        <w:szCs w:val="14"/>
      </w:rPr>
    </w:lvl>
    <w:lvl w:ilvl="1" w:tplc="1B82A6A2">
      <w:numFmt w:val="bullet"/>
      <w:lvlText w:val="•"/>
      <w:lvlJc w:val="left"/>
      <w:pPr>
        <w:ind w:left="398" w:hanging="100"/>
      </w:pPr>
      <w:rPr>
        <w:rFonts w:hint="default"/>
      </w:rPr>
    </w:lvl>
    <w:lvl w:ilvl="2" w:tplc="013C978C">
      <w:numFmt w:val="bullet"/>
      <w:lvlText w:val="•"/>
      <w:lvlJc w:val="left"/>
      <w:pPr>
        <w:ind w:left="636" w:hanging="100"/>
      </w:pPr>
      <w:rPr>
        <w:rFonts w:hint="default"/>
      </w:rPr>
    </w:lvl>
    <w:lvl w:ilvl="3" w:tplc="6218AA46">
      <w:numFmt w:val="bullet"/>
      <w:lvlText w:val="•"/>
      <w:lvlJc w:val="left"/>
      <w:pPr>
        <w:ind w:left="874" w:hanging="100"/>
      </w:pPr>
      <w:rPr>
        <w:rFonts w:hint="default"/>
      </w:rPr>
    </w:lvl>
    <w:lvl w:ilvl="4" w:tplc="AC2246CA">
      <w:numFmt w:val="bullet"/>
      <w:lvlText w:val="•"/>
      <w:lvlJc w:val="left"/>
      <w:pPr>
        <w:ind w:left="1112" w:hanging="100"/>
      </w:pPr>
      <w:rPr>
        <w:rFonts w:hint="default"/>
      </w:rPr>
    </w:lvl>
    <w:lvl w:ilvl="5" w:tplc="16540532">
      <w:numFmt w:val="bullet"/>
      <w:lvlText w:val="•"/>
      <w:lvlJc w:val="left"/>
      <w:pPr>
        <w:ind w:left="1350" w:hanging="100"/>
      </w:pPr>
      <w:rPr>
        <w:rFonts w:hint="default"/>
      </w:rPr>
    </w:lvl>
    <w:lvl w:ilvl="6" w:tplc="B1E8A506">
      <w:numFmt w:val="bullet"/>
      <w:lvlText w:val="•"/>
      <w:lvlJc w:val="left"/>
      <w:pPr>
        <w:ind w:left="1588" w:hanging="100"/>
      </w:pPr>
      <w:rPr>
        <w:rFonts w:hint="default"/>
      </w:rPr>
    </w:lvl>
    <w:lvl w:ilvl="7" w:tplc="7A2454AA">
      <w:numFmt w:val="bullet"/>
      <w:lvlText w:val="•"/>
      <w:lvlJc w:val="left"/>
      <w:pPr>
        <w:ind w:left="1826" w:hanging="100"/>
      </w:pPr>
      <w:rPr>
        <w:rFonts w:hint="default"/>
      </w:rPr>
    </w:lvl>
    <w:lvl w:ilvl="8" w:tplc="7838957C">
      <w:numFmt w:val="bullet"/>
      <w:lvlText w:val="•"/>
      <w:lvlJc w:val="left"/>
      <w:pPr>
        <w:ind w:left="2064" w:hanging="100"/>
      </w:pPr>
      <w:rPr>
        <w:rFonts w:hint="default"/>
      </w:rPr>
    </w:lvl>
  </w:abstractNum>
  <w:abstractNum w:abstractNumId="1747" w15:restartNumberingAfterBreak="0">
    <w:nsid w:val="6EAB5729"/>
    <w:multiLevelType w:val="hybridMultilevel"/>
    <w:tmpl w:val="2182CC12"/>
    <w:lvl w:ilvl="0" w:tplc="6CD6D2D6">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DD8033A4">
      <w:numFmt w:val="bullet"/>
      <w:lvlText w:val="•"/>
      <w:lvlJc w:val="left"/>
      <w:pPr>
        <w:ind w:left="426" w:hanging="105"/>
      </w:pPr>
      <w:rPr>
        <w:rFonts w:hint="default"/>
      </w:rPr>
    </w:lvl>
    <w:lvl w:ilvl="2" w:tplc="7B8E6F9A">
      <w:numFmt w:val="bullet"/>
      <w:lvlText w:val="•"/>
      <w:lvlJc w:val="left"/>
      <w:pPr>
        <w:ind w:left="692" w:hanging="105"/>
      </w:pPr>
      <w:rPr>
        <w:rFonts w:hint="default"/>
      </w:rPr>
    </w:lvl>
    <w:lvl w:ilvl="3" w:tplc="DDE2DA32">
      <w:numFmt w:val="bullet"/>
      <w:lvlText w:val="•"/>
      <w:lvlJc w:val="left"/>
      <w:pPr>
        <w:ind w:left="959" w:hanging="105"/>
      </w:pPr>
      <w:rPr>
        <w:rFonts w:hint="default"/>
      </w:rPr>
    </w:lvl>
    <w:lvl w:ilvl="4" w:tplc="5A8E89A8">
      <w:numFmt w:val="bullet"/>
      <w:lvlText w:val="•"/>
      <w:lvlJc w:val="left"/>
      <w:pPr>
        <w:ind w:left="1225" w:hanging="105"/>
      </w:pPr>
      <w:rPr>
        <w:rFonts w:hint="default"/>
      </w:rPr>
    </w:lvl>
    <w:lvl w:ilvl="5" w:tplc="59EAE384">
      <w:numFmt w:val="bullet"/>
      <w:lvlText w:val="•"/>
      <w:lvlJc w:val="left"/>
      <w:pPr>
        <w:ind w:left="1492" w:hanging="105"/>
      </w:pPr>
      <w:rPr>
        <w:rFonts w:hint="default"/>
      </w:rPr>
    </w:lvl>
    <w:lvl w:ilvl="6" w:tplc="EEFA7164">
      <w:numFmt w:val="bullet"/>
      <w:lvlText w:val="•"/>
      <w:lvlJc w:val="left"/>
      <w:pPr>
        <w:ind w:left="1758" w:hanging="105"/>
      </w:pPr>
      <w:rPr>
        <w:rFonts w:hint="default"/>
      </w:rPr>
    </w:lvl>
    <w:lvl w:ilvl="7" w:tplc="A634945C">
      <w:numFmt w:val="bullet"/>
      <w:lvlText w:val="•"/>
      <w:lvlJc w:val="left"/>
      <w:pPr>
        <w:ind w:left="2024" w:hanging="105"/>
      </w:pPr>
      <w:rPr>
        <w:rFonts w:hint="default"/>
      </w:rPr>
    </w:lvl>
    <w:lvl w:ilvl="8" w:tplc="F05205A2">
      <w:numFmt w:val="bullet"/>
      <w:lvlText w:val="•"/>
      <w:lvlJc w:val="left"/>
      <w:pPr>
        <w:ind w:left="2291" w:hanging="105"/>
      </w:pPr>
      <w:rPr>
        <w:rFonts w:hint="default"/>
      </w:rPr>
    </w:lvl>
  </w:abstractNum>
  <w:abstractNum w:abstractNumId="1748" w15:restartNumberingAfterBreak="0">
    <w:nsid w:val="6EB86358"/>
    <w:multiLevelType w:val="hybridMultilevel"/>
    <w:tmpl w:val="D0C0D272"/>
    <w:lvl w:ilvl="0" w:tplc="E072F50C">
      <w:numFmt w:val="bullet"/>
      <w:lvlText w:val=""/>
      <w:lvlJc w:val="left"/>
      <w:pPr>
        <w:ind w:left="156" w:hanging="100"/>
      </w:pPr>
      <w:rPr>
        <w:rFonts w:ascii="Symbol" w:eastAsia="Symbol" w:hAnsi="Symbol" w:cs="Symbol" w:hint="default"/>
        <w:color w:val="231F20"/>
        <w:w w:val="100"/>
        <w:sz w:val="14"/>
        <w:szCs w:val="14"/>
      </w:rPr>
    </w:lvl>
    <w:lvl w:ilvl="1" w:tplc="5E92598E">
      <w:numFmt w:val="bullet"/>
      <w:lvlText w:val="•"/>
      <w:lvlJc w:val="left"/>
      <w:pPr>
        <w:ind w:left="426" w:hanging="100"/>
      </w:pPr>
      <w:rPr>
        <w:rFonts w:hint="default"/>
      </w:rPr>
    </w:lvl>
    <w:lvl w:ilvl="2" w:tplc="F2A4FC7A">
      <w:numFmt w:val="bullet"/>
      <w:lvlText w:val="•"/>
      <w:lvlJc w:val="left"/>
      <w:pPr>
        <w:ind w:left="692" w:hanging="100"/>
      </w:pPr>
      <w:rPr>
        <w:rFonts w:hint="default"/>
      </w:rPr>
    </w:lvl>
    <w:lvl w:ilvl="3" w:tplc="92ECE81A">
      <w:numFmt w:val="bullet"/>
      <w:lvlText w:val="•"/>
      <w:lvlJc w:val="left"/>
      <w:pPr>
        <w:ind w:left="959" w:hanging="100"/>
      </w:pPr>
      <w:rPr>
        <w:rFonts w:hint="default"/>
      </w:rPr>
    </w:lvl>
    <w:lvl w:ilvl="4" w:tplc="B81A7210">
      <w:numFmt w:val="bullet"/>
      <w:lvlText w:val="•"/>
      <w:lvlJc w:val="left"/>
      <w:pPr>
        <w:ind w:left="1225" w:hanging="100"/>
      </w:pPr>
      <w:rPr>
        <w:rFonts w:hint="default"/>
      </w:rPr>
    </w:lvl>
    <w:lvl w:ilvl="5" w:tplc="618CAA0E">
      <w:numFmt w:val="bullet"/>
      <w:lvlText w:val="•"/>
      <w:lvlJc w:val="left"/>
      <w:pPr>
        <w:ind w:left="1492" w:hanging="100"/>
      </w:pPr>
      <w:rPr>
        <w:rFonts w:hint="default"/>
      </w:rPr>
    </w:lvl>
    <w:lvl w:ilvl="6" w:tplc="45E26438">
      <w:numFmt w:val="bullet"/>
      <w:lvlText w:val="•"/>
      <w:lvlJc w:val="left"/>
      <w:pPr>
        <w:ind w:left="1758" w:hanging="100"/>
      </w:pPr>
      <w:rPr>
        <w:rFonts w:hint="default"/>
      </w:rPr>
    </w:lvl>
    <w:lvl w:ilvl="7" w:tplc="2696C922">
      <w:numFmt w:val="bullet"/>
      <w:lvlText w:val="•"/>
      <w:lvlJc w:val="left"/>
      <w:pPr>
        <w:ind w:left="2024" w:hanging="100"/>
      </w:pPr>
      <w:rPr>
        <w:rFonts w:hint="default"/>
      </w:rPr>
    </w:lvl>
    <w:lvl w:ilvl="8" w:tplc="A4AAA8B4">
      <w:numFmt w:val="bullet"/>
      <w:lvlText w:val="•"/>
      <w:lvlJc w:val="left"/>
      <w:pPr>
        <w:ind w:left="2291" w:hanging="100"/>
      </w:pPr>
      <w:rPr>
        <w:rFonts w:hint="default"/>
      </w:rPr>
    </w:lvl>
  </w:abstractNum>
  <w:abstractNum w:abstractNumId="1749" w15:restartNumberingAfterBreak="0">
    <w:nsid w:val="6EBE4A53"/>
    <w:multiLevelType w:val="hybridMultilevel"/>
    <w:tmpl w:val="5036ADA8"/>
    <w:lvl w:ilvl="0" w:tplc="9E6AE974">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BEC05732">
      <w:numFmt w:val="bullet"/>
      <w:lvlText w:val="•"/>
      <w:lvlJc w:val="left"/>
      <w:pPr>
        <w:ind w:left="369" w:hanging="105"/>
      </w:pPr>
      <w:rPr>
        <w:rFonts w:hint="default"/>
      </w:rPr>
    </w:lvl>
    <w:lvl w:ilvl="2" w:tplc="A51A3F1C">
      <w:numFmt w:val="bullet"/>
      <w:lvlText w:val="•"/>
      <w:lvlJc w:val="left"/>
      <w:pPr>
        <w:ind w:left="579" w:hanging="105"/>
      </w:pPr>
      <w:rPr>
        <w:rFonts w:hint="default"/>
      </w:rPr>
    </w:lvl>
    <w:lvl w:ilvl="3" w:tplc="65585AF0">
      <w:numFmt w:val="bullet"/>
      <w:lvlText w:val="•"/>
      <w:lvlJc w:val="left"/>
      <w:pPr>
        <w:ind w:left="789" w:hanging="105"/>
      </w:pPr>
      <w:rPr>
        <w:rFonts w:hint="default"/>
      </w:rPr>
    </w:lvl>
    <w:lvl w:ilvl="4" w:tplc="0A9E924C">
      <w:numFmt w:val="bullet"/>
      <w:lvlText w:val="•"/>
      <w:lvlJc w:val="left"/>
      <w:pPr>
        <w:ind w:left="998" w:hanging="105"/>
      </w:pPr>
      <w:rPr>
        <w:rFonts w:hint="default"/>
      </w:rPr>
    </w:lvl>
    <w:lvl w:ilvl="5" w:tplc="E3605CB8">
      <w:numFmt w:val="bullet"/>
      <w:lvlText w:val="•"/>
      <w:lvlJc w:val="left"/>
      <w:pPr>
        <w:ind w:left="1208" w:hanging="105"/>
      </w:pPr>
      <w:rPr>
        <w:rFonts w:hint="default"/>
      </w:rPr>
    </w:lvl>
    <w:lvl w:ilvl="6" w:tplc="51C21678">
      <w:numFmt w:val="bullet"/>
      <w:lvlText w:val="•"/>
      <w:lvlJc w:val="left"/>
      <w:pPr>
        <w:ind w:left="1418" w:hanging="105"/>
      </w:pPr>
      <w:rPr>
        <w:rFonts w:hint="default"/>
      </w:rPr>
    </w:lvl>
    <w:lvl w:ilvl="7" w:tplc="40008F32">
      <w:numFmt w:val="bullet"/>
      <w:lvlText w:val="•"/>
      <w:lvlJc w:val="left"/>
      <w:pPr>
        <w:ind w:left="1627" w:hanging="105"/>
      </w:pPr>
      <w:rPr>
        <w:rFonts w:hint="default"/>
      </w:rPr>
    </w:lvl>
    <w:lvl w:ilvl="8" w:tplc="EC007BC6">
      <w:numFmt w:val="bullet"/>
      <w:lvlText w:val="•"/>
      <w:lvlJc w:val="left"/>
      <w:pPr>
        <w:ind w:left="1837" w:hanging="105"/>
      </w:pPr>
      <w:rPr>
        <w:rFonts w:hint="default"/>
      </w:rPr>
    </w:lvl>
  </w:abstractNum>
  <w:abstractNum w:abstractNumId="1750" w15:restartNumberingAfterBreak="0">
    <w:nsid w:val="6EBF5B60"/>
    <w:multiLevelType w:val="hybridMultilevel"/>
    <w:tmpl w:val="99864764"/>
    <w:lvl w:ilvl="0" w:tplc="15B8A6AA">
      <w:numFmt w:val="bullet"/>
      <w:lvlText w:val=""/>
      <w:lvlJc w:val="left"/>
      <w:pPr>
        <w:ind w:left="156" w:hanging="100"/>
      </w:pPr>
      <w:rPr>
        <w:rFonts w:ascii="Symbol" w:eastAsia="Symbol" w:hAnsi="Symbol" w:cs="Symbol" w:hint="default"/>
        <w:color w:val="231F20"/>
        <w:w w:val="100"/>
        <w:sz w:val="14"/>
        <w:szCs w:val="14"/>
      </w:rPr>
    </w:lvl>
    <w:lvl w:ilvl="1" w:tplc="545A7880">
      <w:numFmt w:val="bullet"/>
      <w:lvlText w:val="•"/>
      <w:lvlJc w:val="left"/>
      <w:pPr>
        <w:ind w:left="301" w:hanging="100"/>
      </w:pPr>
      <w:rPr>
        <w:rFonts w:hint="default"/>
      </w:rPr>
    </w:lvl>
    <w:lvl w:ilvl="2" w:tplc="6748B578">
      <w:numFmt w:val="bullet"/>
      <w:lvlText w:val="•"/>
      <w:lvlJc w:val="left"/>
      <w:pPr>
        <w:ind w:left="443" w:hanging="100"/>
      </w:pPr>
      <w:rPr>
        <w:rFonts w:hint="default"/>
      </w:rPr>
    </w:lvl>
    <w:lvl w:ilvl="3" w:tplc="3DAC649E">
      <w:numFmt w:val="bullet"/>
      <w:lvlText w:val="•"/>
      <w:lvlJc w:val="left"/>
      <w:pPr>
        <w:ind w:left="585" w:hanging="100"/>
      </w:pPr>
      <w:rPr>
        <w:rFonts w:hint="default"/>
      </w:rPr>
    </w:lvl>
    <w:lvl w:ilvl="4" w:tplc="896A427C">
      <w:numFmt w:val="bullet"/>
      <w:lvlText w:val="•"/>
      <w:lvlJc w:val="left"/>
      <w:pPr>
        <w:ind w:left="726" w:hanging="100"/>
      </w:pPr>
      <w:rPr>
        <w:rFonts w:hint="default"/>
      </w:rPr>
    </w:lvl>
    <w:lvl w:ilvl="5" w:tplc="DAD4AF6C">
      <w:numFmt w:val="bullet"/>
      <w:lvlText w:val="•"/>
      <w:lvlJc w:val="left"/>
      <w:pPr>
        <w:ind w:left="868" w:hanging="100"/>
      </w:pPr>
      <w:rPr>
        <w:rFonts w:hint="default"/>
      </w:rPr>
    </w:lvl>
    <w:lvl w:ilvl="6" w:tplc="354AC6CE">
      <w:numFmt w:val="bullet"/>
      <w:lvlText w:val="•"/>
      <w:lvlJc w:val="left"/>
      <w:pPr>
        <w:ind w:left="1010" w:hanging="100"/>
      </w:pPr>
      <w:rPr>
        <w:rFonts w:hint="default"/>
      </w:rPr>
    </w:lvl>
    <w:lvl w:ilvl="7" w:tplc="7F2646B8">
      <w:numFmt w:val="bullet"/>
      <w:lvlText w:val="•"/>
      <w:lvlJc w:val="left"/>
      <w:pPr>
        <w:ind w:left="1151" w:hanging="100"/>
      </w:pPr>
      <w:rPr>
        <w:rFonts w:hint="default"/>
      </w:rPr>
    </w:lvl>
    <w:lvl w:ilvl="8" w:tplc="7D5A5042">
      <w:numFmt w:val="bullet"/>
      <w:lvlText w:val="•"/>
      <w:lvlJc w:val="left"/>
      <w:pPr>
        <w:ind w:left="1293" w:hanging="100"/>
      </w:pPr>
      <w:rPr>
        <w:rFonts w:hint="default"/>
      </w:rPr>
    </w:lvl>
  </w:abstractNum>
  <w:abstractNum w:abstractNumId="1751" w15:restartNumberingAfterBreak="0">
    <w:nsid w:val="6EC601E9"/>
    <w:multiLevelType w:val="hybridMultilevel"/>
    <w:tmpl w:val="C7B64F38"/>
    <w:lvl w:ilvl="0" w:tplc="9502D132">
      <w:numFmt w:val="bullet"/>
      <w:lvlText w:val=""/>
      <w:lvlJc w:val="left"/>
      <w:pPr>
        <w:ind w:left="156" w:hanging="100"/>
      </w:pPr>
      <w:rPr>
        <w:rFonts w:ascii="Symbol" w:eastAsia="Symbol" w:hAnsi="Symbol" w:cs="Symbol" w:hint="default"/>
        <w:color w:val="231F20"/>
        <w:w w:val="100"/>
        <w:sz w:val="14"/>
        <w:szCs w:val="14"/>
      </w:rPr>
    </w:lvl>
    <w:lvl w:ilvl="1" w:tplc="E27A21D2">
      <w:numFmt w:val="bullet"/>
      <w:lvlText w:val="•"/>
      <w:lvlJc w:val="left"/>
      <w:pPr>
        <w:ind w:left="301" w:hanging="100"/>
      </w:pPr>
      <w:rPr>
        <w:rFonts w:hint="default"/>
      </w:rPr>
    </w:lvl>
    <w:lvl w:ilvl="2" w:tplc="E600347E">
      <w:numFmt w:val="bullet"/>
      <w:lvlText w:val="•"/>
      <w:lvlJc w:val="left"/>
      <w:pPr>
        <w:ind w:left="443" w:hanging="100"/>
      </w:pPr>
      <w:rPr>
        <w:rFonts w:hint="default"/>
      </w:rPr>
    </w:lvl>
    <w:lvl w:ilvl="3" w:tplc="1BEA6A60">
      <w:numFmt w:val="bullet"/>
      <w:lvlText w:val="•"/>
      <w:lvlJc w:val="left"/>
      <w:pPr>
        <w:ind w:left="585" w:hanging="100"/>
      </w:pPr>
      <w:rPr>
        <w:rFonts w:hint="default"/>
      </w:rPr>
    </w:lvl>
    <w:lvl w:ilvl="4" w:tplc="60D2BAF8">
      <w:numFmt w:val="bullet"/>
      <w:lvlText w:val="•"/>
      <w:lvlJc w:val="left"/>
      <w:pPr>
        <w:ind w:left="726" w:hanging="100"/>
      </w:pPr>
      <w:rPr>
        <w:rFonts w:hint="default"/>
      </w:rPr>
    </w:lvl>
    <w:lvl w:ilvl="5" w:tplc="62582180">
      <w:numFmt w:val="bullet"/>
      <w:lvlText w:val="•"/>
      <w:lvlJc w:val="left"/>
      <w:pPr>
        <w:ind w:left="868" w:hanging="100"/>
      </w:pPr>
      <w:rPr>
        <w:rFonts w:hint="default"/>
      </w:rPr>
    </w:lvl>
    <w:lvl w:ilvl="6" w:tplc="70CA93FC">
      <w:numFmt w:val="bullet"/>
      <w:lvlText w:val="•"/>
      <w:lvlJc w:val="left"/>
      <w:pPr>
        <w:ind w:left="1010" w:hanging="100"/>
      </w:pPr>
      <w:rPr>
        <w:rFonts w:hint="default"/>
      </w:rPr>
    </w:lvl>
    <w:lvl w:ilvl="7" w:tplc="949806D2">
      <w:numFmt w:val="bullet"/>
      <w:lvlText w:val="•"/>
      <w:lvlJc w:val="left"/>
      <w:pPr>
        <w:ind w:left="1151" w:hanging="100"/>
      </w:pPr>
      <w:rPr>
        <w:rFonts w:hint="default"/>
      </w:rPr>
    </w:lvl>
    <w:lvl w:ilvl="8" w:tplc="FB92BF80">
      <w:numFmt w:val="bullet"/>
      <w:lvlText w:val="•"/>
      <w:lvlJc w:val="left"/>
      <w:pPr>
        <w:ind w:left="1293" w:hanging="100"/>
      </w:pPr>
      <w:rPr>
        <w:rFonts w:hint="default"/>
      </w:rPr>
    </w:lvl>
  </w:abstractNum>
  <w:abstractNum w:abstractNumId="1752" w15:restartNumberingAfterBreak="0">
    <w:nsid w:val="6ECA7D23"/>
    <w:multiLevelType w:val="hybridMultilevel"/>
    <w:tmpl w:val="148A73C2"/>
    <w:lvl w:ilvl="0" w:tplc="4E7A0E0C">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4E686B5C">
      <w:numFmt w:val="bullet"/>
      <w:lvlText w:val="•"/>
      <w:lvlJc w:val="left"/>
      <w:pPr>
        <w:ind w:left="351" w:hanging="84"/>
      </w:pPr>
      <w:rPr>
        <w:rFonts w:hint="default"/>
      </w:rPr>
    </w:lvl>
    <w:lvl w:ilvl="2" w:tplc="31EEFA52">
      <w:numFmt w:val="bullet"/>
      <w:lvlText w:val="•"/>
      <w:lvlJc w:val="left"/>
      <w:pPr>
        <w:ind w:left="563" w:hanging="84"/>
      </w:pPr>
      <w:rPr>
        <w:rFonts w:hint="default"/>
      </w:rPr>
    </w:lvl>
    <w:lvl w:ilvl="3" w:tplc="A14C5D7C">
      <w:numFmt w:val="bullet"/>
      <w:lvlText w:val="•"/>
      <w:lvlJc w:val="left"/>
      <w:pPr>
        <w:ind w:left="775" w:hanging="84"/>
      </w:pPr>
      <w:rPr>
        <w:rFonts w:hint="default"/>
      </w:rPr>
    </w:lvl>
    <w:lvl w:ilvl="4" w:tplc="C478C460">
      <w:numFmt w:val="bullet"/>
      <w:lvlText w:val="•"/>
      <w:lvlJc w:val="left"/>
      <w:pPr>
        <w:ind w:left="986" w:hanging="84"/>
      </w:pPr>
      <w:rPr>
        <w:rFonts w:hint="default"/>
      </w:rPr>
    </w:lvl>
    <w:lvl w:ilvl="5" w:tplc="32C61E1C">
      <w:numFmt w:val="bullet"/>
      <w:lvlText w:val="•"/>
      <w:lvlJc w:val="left"/>
      <w:pPr>
        <w:ind w:left="1198" w:hanging="84"/>
      </w:pPr>
      <w:rPr>
        <w:rFonts w:hint="default"/>
      </w:rPr>
    </w:lvl>
    <w:lvl w:ilvl="6" w:tplc="6A0E2090">
      <w:numFmt w:val="bullet"/>
      <w:lvlText w:val="•"/>
      <w:lvlJc w:val="left"/>
      <w:pPr>
        <w:ind w:left="1410" w:hanging="84"/>
      </w:pPr>
      <w:rPr>
        <w:rFonts w:hint="default"/>
      </w:rPr>
    </w:lvl>
    <w:lvl w:ilvl="7" w:tplc="A8C62B0E">
      <w:numFmt w:val="bullet"/>
      <w:lvlText w:val="•"/>
      <w:lvlJc w:val="left"/>
      <w:pPr>
        <w:ind w:left="1621" w:hanging="84"/>
      </w:pPr>
      <w:rPr>
        <w:rFonts w:hint="default"/>
      </w:rPr>
    </w:lvl>
    <w:lvl w:ilvl="8" w:tplc="1E8E8F16">
      <w:numFmt w:val="bullet"/>
      <w:lvlText w:val="•"/>
      <w:lvlJc w:val="left"/>
      <w:pPr>
        <w:ind w:left="1833" w:hanging="84"/>
      </w:pPr>
      <w:rPr>
        <w:rFonts w:hint="default"/>
      </w:rPr>
    </w:lvl>
  </w:abstractNum>
  <w:abstractNum w:abstractNumId="1753" w15:restartNumberingAfterBreak="0">
    <w:nsid w:val="6ECB3D6A"/>
    <w:multiLevelType w:val="hybridMultilevel"/>
    <w:tmpl w:val="7AB0553C"/>
    <w:lvl w:ilvl="0" w:tplc="6F18593A">
      <w:numFmt w:val="bullet"/>
      <w:lvlText w:val=""/>
      <w:lvlJc w:val="left"/>
      <w:pPr>
        <w:ind w:left="156" w:hanging="100"/>
      </w:pPr>
      <w:rPr>
        <w:rFonts w:ascii="Symbol" w:eastAsia="Symbol" w:hAnsi="Symbol" w:cs="Symbol" w:hint="default"/>
        <w:color w:val="231F20"/>
        <w:w w:val="100"/>
        <w:sz w:val="14"/>
        <w:szCs w:val="14"/>
      </w:rPr>
    </w:lvl>
    <w:lvl w:ilvl="1" w:tplc="9C1A0688">
      <w:numFmt w:val="bullet"/>
      <w:lvlText w:val="•"/>
      <w:lvlJc w:val="left"/>
      <w:pPr>
        <w:ind w:left="398" w:hanging="100"/>
      </w:pPr>
      <w:rPr>
        <w:rFonts w:hint="default"/>
      </w:rPr>
    </w:lvl>
    <w:lvl w:ilvl="2" w:tplc="0E58BF32">
      <w:numFmt w:val="bullet"/>
      <w:lvlText w:val="•"/>
      <w:lvlJc w:val="left"/>
      <w:pPr>
        <w:ind w:left="636" w:hanging="100"/>
      </w:pPr>
      <w:rPr>
        <w:rFonts w:hint="default"/>
      </w:rPr>
    </w:lvl>
    <w:lvl w:ilvl="3" w:tplc="95BA6EC2">
      <w:numFmt w:val="bullet"/>
      <w:lvlText w:val="•"/>
      <w:lvlJc w:val="left"/>
      <w:pPr>
        <w:ind w:left="874" w:hanging="100"/>
      </w:pPr>
      <w:rPr>
        <w:rFonts w:hint="default"/>
      </w:rPr>
    </w:lvl>
    <w:lvl w:ilvl="4" w:tplc="72C8C080">
      <w:numFmt w:val="bullet"/>
      <w:lvlText w:val="•"/>
      <w:lvlJc w:val="left"/>
      <w:pPr>
        <w:ind w:left="1112" w:hanging="100"/>
      </w:pPr>
      <w:rPr>
        <w:rFonts w:hint="default"/>
      </w:rPr>
    </w:lvl>
    <w:lvl w:ilvl="5" w:tplc="83F6FD46">
      <w:numFmt w:val="bullet"/>
      <w:lvlText w:val="•"/>
      <w:lvlJc w:val="left"/>
      <w:pPr>
        <w:ind w:left="1350" w:hanging="100"/>
      </w:pPr>
      <w:rPr>
        <w:rFonts w:hint="default"/>
      </w:rPr>
    </w:lvl>
    <w:lvl w:ilvl="6" w:tplc="194A86F4">
      <w:numFmt w:val="bullet"/>
      <w:lvlText w:val="•"/>
      <w:lvlJc w:val="left"/>
      <w:pPr>
        <w:ind w:left="1588" w:hanging="100"/>
      </w:pPr>
      <w:rPr>
        <w:rFonts w:hint="default"/>
      </w:rPr>
    </w:lvl>
    <w:lvl w:ilvl="7" w:tplc="E6DAECCC">
      <w:numFmt w:val="bullet"/>
      <w:lvlText w:val="•"/>
      <w:lvlJc w:val="left"/>
      <w:pPr>
        <w:ind w:left="1826" w:hanging="100"/>
      </w:pPr>
      <w:rPr>
        <w:rFonts w:hint="default"/>
      </w:rPr>
    </w:lvl>
    <w:lvl w:ilvl="8" w:tplc="F95A8E88">
      <w:numFmt w:val="bullet"/>
      <w:lvlText w:val="•"/>
      <w:lvlJc w:val="left"/>
      <w:pPr>
        <w:ind w:left="2064" w:hanging="100"/>
      </w:pPr>
      <w:rPr>
        <w:rFonts w:hint="default"/>
      </w:rPr>
    </w:lvl>
  </w:abstractNum>
  <w:abstractNum w:abstractNumId="1754" w15:restartNumberingAfterBreak="0">
    <w:nsid w:val="6ECD7050"/>
    <w:multiLevelType w:val="hybridMultilevel"/>
    <w:tmpl w:val="DD6297BE"/>
    <w:lvl w:ilvl="0" w:tplc="C910FC38">
      <w:numFmt w:val="bullet"/>
      <w:lvlText w:val=""/>
      <w:lvlJc w:val="left"/>
      <w:pPr>
        <w:ind w:left="156" w:hanging="100"/>
      </w:pPr>
      <w:rPr>
        <w:rFonts w:ascii="Symbol" w:eastAsia="Symbol" w:hAnsi="Symbol" w:cs="Symbol" w:hint="default"/>
        <w:color w:val="231F20"/>
        <w:w w:val="100"/>
        <w:sz w:val="14"/>
        <w:szCs w:val="14"/>
      </w:rPr>
    </w:lvl>
    <w:lvl w:ilvl="1" w:tplc="94F4013C">
      <w:numFmt w:val="bullet"/>
      <w:lvlText w:val="•"/>
      <w:lvlJc w:val="left"/>
      <w:pPr>
        <w:ind w:left="398" w:hanging="100"/>
      </w:pPr>
      <w:rPr>
        <w:rFonts w:hint="default"/>
      </w:rPr>
    </w:lvl>
    <w:lvl w:ilvl="2" w:tplc="DD2208C2">
      <w:numFmt w:val="bullet"/>
      <w:lvlText w:val="•"/>
      <w:lvlJc w:val="left"/>
      <w:pPr>
        <w:ind w:left="636" w:hanging="100"/>
      </w:pPr>
      <w:rPr>
        <w:rFonts w:hint="default"/>
      </w:rPr>
    </w:lvl>
    <w:lvl w:ilvl="3" w:tplc="3E220D78">
      <w:numFmt w:val="bullet"/>
      <w:lvlText w:val="•"/>
      <w:lvlJc w:val="left"/>
      <w:pPr>
        <w:ind w:left="874" w:hanging="100"/>
      </w:pPr>
      <w:rPr>
        <w:rFonts w:hint="default"/>
      </w:rPr>
    </w:lvl>
    <w:lvl w:ilvl="4" w:tplc="0F64E684">
      <w:numFmt w:val="bullet"/>
      <w:lvlText w:val="•"/>
      <w:lvlJc w:val="left"/>
      <w:pPr>
        <w:ind w:left="1112" w:hanging="100"/>
      </w:pPr>
      <w:rPr>
        <w:rFonts w:hint="default"/>
      </w:rPr>
    </w:lvl>
    <w:lvl w:ilvl="5" w:tplc="0A886982">
      <w:numFmt w:val="bullet"/>
      <w:lvlText w:val="•"/>
      <w:lvlJc w:val="left"/>
      <w:pPr>
        <w:ind w:left="1350" w:hanging="100"/>
      </w:pPr>
      <w:rPr>
        <w:rFonts w:hint="default"/>
      </w:rPr>
    </w:lvl>
    <w:lvl w:ilvl="6" w:tplc="07D271B8">
      <w:numFmt w:val="bullet"/>
      <w:lvlText w:val="•"/>
      <w:lvlJc w:val="left"/>
      <w:pPr>
        <w:ind w:left="1588" w:hanging="100"/>
      </w:pPr>
      <w:rPr>
        <w:rFonts w:hint="default"/>
      </w:rPr>
    </w:lvl>
    <w:lvl w:ilvl="7" w:tplc="FF645C00">
      <w:numFmt w:val="bullet"/>
      <w:lvlText w:val="•"/>
      <w:lvlJc w:val="left"/>
      <w:pPr>
        <w:ind w:left="1826" w:hanging="100"/>
      </w:pPr>
      <w:rPr>
        <w:rFonts w:hint="default"/>
      </w:rPr>
    </w:lvl>
    <w:lvl w:ilvl="8" w:tplc="06401582">
      <w:numFmt w:val="bullet"/>
      <w:lvlText w:val="•"/>
      <w:lvlJc w:val="left"/>
      <w:pPr>
        <w:ind w:left="2064" w:hanging="100"/>
      </w:pPr>
      <w:rPr>
        <w:rFonts w:hint="default"/>
      </w:rPr>
    </w:lvl>
  </w:abstractNum>
  <w:abstractNum w:abstractNumId="1755" w15:restartNumberingAfterBreak="0">
    <w:nsid w:val="6EE047CA"/>
    <w:multiLevelType w:val="hybridMultilevel"/>
    <w:tmpl w:val="B804F6C2"/>
    <w:lvl w:ilvl="0" w:tplc="0C902A7E">
      <w:numFmt w:val="bullet"/>
      <w:lvlText w:val=""/>
      <w:lvlJc w:val="left"/>
      <w:pPr>
        <w:ind w:left="156" w:hanging="100"/>
      </w:pPr>
      <w:rPr>
        <w:rFonts w:ascii="Symbol" w:eastAsia="Symbol" w:hAnsi="Symbol" w:cs="Symbol" w:hint="default"/>
        <w:color w:val="231F20"/>
        <w:w w:val="100"/>
        <w:sz w:val="14"/>
        <w:szCs w:val="14"/>
      </w:rPr>
    </w:lvl>
    <w:lvl w:ilvl="1" w:tplc="76EA4AB4">
      <w:numFmt w:val="bullet"/>
      <w:lvlText w:val="•"/>
      <w:lvlJc w:val="left"/>
      <w:pPr>
        <w:ind w:left="426" w:hanging="100"/>
      </w:pPr>
      <w:rPr>
        <w:rFonts w:hint="default"/>
      </w:rPr>
    </w:lvl>
    <w:lvl w:ilvl="2" w:tplc="2DB027BC">
      <w:numFmt w:val="bullet"/>
      <w:lvlText w:val="•"/>
      <w:lvlJc w:val="left"/>
      <w:pPr>
        <w:ind w:left="692" w:hanging="100"/>
      </w:pPr>
      <w:rPr>
        <w:rFonts w:hint="default"/>
      </w:rPr>
    </w:lvl>
    <w:lvl w:ilvl="3" w:tplc="E16C7C72">
      <w:numFmt w:val="bullet"/>
      <w:lvlText w:val="•"/>
      <w:lvlJc w:val="left"/>
      <w:pPr>
        <w:ind w:left="959" w:hanging="100"/>
      </w:pPr>
      <w:rPr>
        <w:rFonts w:hint="default"/>
      </w:rPr>
    </w:lvl>
    <w:lvl w:ilvl="4" w:tplc="AE4ABEE8">
      <w:numFmt w:val="bullet"/>
      <w:lvlText w:val="•"/>
      <w:lvlJc w:val="left"/>
      <w:pPr>
        <w:ind w:left="1225" w:hanging="100"/>
      </w:pPr>
      <w:rPr>
        <w:rFonts w:hint="default"/>
      </w:rPr>
    </w:lvl>
    <w:lvl w:ilvl="5" w:tplc="4444470C">
      <w:numFmt w:val="bullet"/>
      <w:lvlText w:val="•"/>
      <w:lvlJc w:val="left"/>
      <w:pPr>
        <w:ind w:left="1492" w:hanging="100"/>
      </w:pPr>
      <w:rPr>
        <w:rFonts w:hint="default"/>
      </w:rPr>
    </w:lvl>
    <w:lvl w:ilvl="6" w:tplc="EF8A1034">
      <w:numFmt w:val="bullet"/>
      <w:lvlText w:val="•"/>
      <w:lvlJc w:val="left"/>
      <w:pPr>
        <w:ind w:left="1758" w:hanging="100"/>
      </w:pPr>
      <w:rPr>
        <w:rFonts w:hint="default"/>
      </w:rPr>
    </w:lvl>
    <w:lvl w:ilvl="7" w:tplc="FCB42494">
      <w:numFmt w:val="bullet"/>
      <w:lvlText w:val="•"/>
      <w:lvlJc w:val="left"/>
      <w:pPr>
        <w:ind w:left="2024" w:hanging="100"/>
      </w:pPr>
      <w:rPr>
        <w:rFonts w:hint="default"/>
      </w:rPr>
    </w:lvl>
    <w:lvl w:ilvl="8" w:tplc="B5A03CE0">
      <w:numFmt w:val="bullet"/>
      <w:lvlText w:val="•"/>
      <w:lvlJc w:val="left"/>
      <w:pPr>
        <w:ind w:left="2291" w:hanging="100"/>
      </w:pPr>
      <w:rPr>
        <w:rFonts w:hint="default"/>
      </w:rPr>
    </w:lvl>
  </w:abstractNum>
  <w:abstractNum w:abstractNumId="1756" w15:restartNumberingAfterBreak="0">
    <w:nsid w:val="6EEC2776"/>
    <w:multiLevelType w:val="hybridMultilevel"/>
    <w:tmpl w:val="04B28068"/>
    <w:lvl w:ilvl="0" w:tplc="A84276D4">
      <w:numFmt w:val="bullet"/>
      <w:lvlText w:val=""/>
      <w:lvlJc w:val="left"/>
      <w:pPr>
        <w:ind w:left="156" w:hanging="100"/>
      </w:pPr>
      <w:rPr>
        <w:rFonts w:ascii="Symbol" w:eastAsia="Symbol" w:hAnsi="Symbol" w:cs="Symbol" w:hint="default"/>
        <w:color w:val="231F20"/>
        <w:w w:val="100"/>
        <w:sz w:val="14"/>
        <w:szCs w:val="14"/>
      </w:rPr>
    </w:lvl>
    <w:lvl w:ilvl="1" w:tplc="1C707798">
      <w:numFmt w:val="bullet"/>
      <w:lvlText w:val="•"/>
      <w:lvlJc w:val="left"/>
      <w:pPr>
        <w:ind w:left="426" w:hanging="100"/>
      </w:pPr>
      <w:rPr>
        <w:rFonts w:hint="default"/>
      </w:rPr>
    </w:lvl>
    <w:lvl w:ilvl="2" w:tplc="8D5A20BC">
      <w:numFmt w:val="bullet"/>
      <w:lvlText w:val="•"/>
      <w:lvlJc w:val="left"/>
      <w:pPr>
        <w:ind w:left="692" w:hanging="100"/>
      </w:pPr>
      <w:rPr>
        <w:rFonts w:hint="default"/>
      </w:rPr>
    </w:lvl>
    <w:lvl w:ilvl="3" w:tplc="2DAA1F84">
      <w:numFmt w:val="bullet"/>
      <w:lvlText w:val="•"/>
      <w:lvlJc w:val="left"/>
      <w:pPr>
        <w:ind w:left="959" w:hanging="100"/>
      </w:pPr>
      <w:rPr>
        <w:rFonts w:hint="default"/>
      </w:rPr>
    </w:lvl>
    <w:lvl w:ilvl="4" w:tplc="4DCCF61E">
      <w:numFmt w:val="bullet"/>
      <w:lvlText w:val="•"/>
      <w:lvlJc w:val="left"/>
      <w:pPr>
        <w:ind w:left="1225" w:hanging="100"/>
      </w:pPr>
      <w:rPr>
        <w:rFonts w:hint="default"/>
      </w:rPr>
    </w:lvl>
    <w:lvl w:ilvl="5" w:tplc="955C594C">
      <w:numFmt w:val="bullet"/>
      <w:lvlText w:val="•"/>
      <w:lvlJc w:val="left"/>
      <w:pPr>
        <w:ind w:left="1492" w:hanging="100"/>
      </w:pPr>
      <w:rPr>
        <w:rFonts w:hint="default"/>
      </w:rPr>
    </w:lvl>
    <w:lvl w:ilvl="6" w:tplc="1554B56E">
      <w:numFmt w:val="bullet"/>
      <w:lvlText w:val="•"/>
      <w:lvlJc w:val="left"/>
      <w:pPr>
        <w:ind w:left="1758" w:hanging="100"/>
      </w:pPr>
      <w:rPr>
        <w:rFonts w:hint="default"/>
      </w:rPr>
    </w:lvl>
    <w:lvl w:ilvl="7" w:tplc="C1E29062">
      <w:numFmt w:val="bullet"/>
      <w:lvlText w:val="•"/>
      <w:lvlJc w:val="left"/>
      <w:pPr>
        <w:ind w:left="2024" w:hanging="100"/>
      </w:pPr>
      <w:rPr>
        <w:rFonts w:hint="default"/>
      </w:rPr>
    </w:lvl>
    <w:lvl w:ilvl="8" w:tplc="97E4908C">
      <w:numFmt w:val="bullet"/>
      <w:lvlText w:val="•"/>
      <w:lvlJc w:val="left"/>
      <w:pPr>
        <w:ind w:left="2291" w:hanging="100"/>
      </w:pPr>
      <w:rPr>
        <w:rFonts w:hint="default"/>
      </w:rPr>
    </w:lvl>
  </w:abstractNum>
  <w:abstractNum w:abstractNumId="1757" w15:restartNumberingAfterBreak="0">
    <w:nsid w:val="6EF04C34"/>
    <w:multiLevelType w:val="hybridMultilevel"/>
    <w:tmpl w:val="365E1164"/>
    <w:lvl w:ilvl="0" w:tplc="A0AEB896">
      <w:numFmt w:val="bullet"/>
      <w:lvlText w:val=""/>
      <w:lvlJc w:val="left"/>
      <w:pPr>
        <w:ind w:left="156" w:hanging="100"/>
      </w:pPr>
      <w:rPr>
        <w:rFonts w:ascii="Symbol" w:eastAsia="Symbol" w:hAnsi="Symbol" w:cs="Symbol" w:hint="default"/>
        <w:color w:val="231F20"/>
        <w:w w:val="100"/>
        <w:sz w:val="14"/>
        <w:szCs w:val="14"/>
      </w:rPr>
    </w:lvl>
    <w:lvl w:ilvl="1" w:tplc="00C8372C">
      <w:numFmt w:val="bullet"/>
      <w:lvlText w:val="•"/>
      <w:lvlJc w:val="left"/>
      <w:pPr>
        <w:ind w:left="426" w:hanging="100"/>
      </w:pPr>
      <w:rPr>
        <w:rFonts w:hint="default"/>
      </w:rPr>
    </w:lvl>
    <w:lvl w:ilvl="2" w:tplc="FFACF4F6">
      <w:numFmt w:val="bullet"/>
      <w:lvlText w:val="•"/>
      <w:lvlJc w:val="left"/>
      <w:pPr>
        <w:ind w:left="692" w:hanging="100"/>
      </w:pPr>
      <w:rPr>
        <w:rFonts w:hint="default"/>
      </w:rPr>
    </w:lvl>
    <w:lvl w:ilvl="3" w:tplc="01D23C5E">
      <w:numFmt w:val="bullet"/>
      <w:lvlText w:val="•"/>
      <w:lvlJc w:val="left"/>
      <w:pPr>
        <w:ind w:left="959" w:hanging="100"/>
      </w:pPr>
      <w:rPr>
        <w:rFonts w:hint="default"/>
      </w:rPr>
    </w:lvl>
    <w:lvl w:ilvl="4" w:tplc="4F04D82E">
      <w:numFmt w:val="bullet"/>
      <w:lvlText w:val="•"/>
      <w:lvlJc w:val="left"/>
      <w:pPr>
        <w:ind w:left="1225" w:hanging="100"/>
      </w:pPr>
      <w:rPr>
        <w:rFonts w:hint="default"/>
      </w:rPr>
    </w:lvl>
    <w:lvl w:ilvl="5" w:tplc="E9727BF6">
      <w:numFmt w:val="bullet"/>
      <w:lvlText w:val="•"/>
      <w:lvlJc w:val="left"/>
      <w:pPr>
        <w:ind w:left="1492" w:hanging="100"/>
      </w:pPr>
      <w:rPr>
        <w:rFonts w:hint="default"/>
      </w:rPr>
    </w:lvl>
    <w:lvl w:ilvl="6" w:tplc="2A2662B4">
      <w:numFmt w:val="bullet"/>
      <w:lvlText w:val="•"/>
      <w:lvlJc w:val="left"/>
      <w:pPr>
        <w:ind w:left="1758" w:hanging="100"/>
      </w:pPr>
      <w:rPr>
        <w:rFonts w:hint="default"/>
      </w:rPr>
    </w:lvl>
    <w:lvl w:ilvl="7" w:tplc="0EA2DB90">
      <w:numFmt w:val="bullet"/>
      <w:lvlText w:val="•"/>
      <w:lvlJc w:val="left"/>
      <w:pPr>
        <w:ind w:left="2024" w:hanging="100"/>
      </w:pPr>
      <w:rPr>
        <w:rFonts w:hint="default"/>
      </w:rPr>
    </w:lvl>
    <w:lvl w:ilvl="8" w:tplc="A00ECEF0">
      <w:numFmt w:val="bullet"/>
      <w:lvlText w:val="•"/>
      <w:lvlJc w:val="left"/>
      <w:pPr>
        <w:ind w:left="2291" w:hanging="100"/>
      </w:pPr>
      <w:rPr>
        <w:rFonts w:hint="default"/>
      </w:rPr>
    </w:lvl>
  </w:abstractNum>
  <w:abstractNum w:abstractNumId="1758" w15:restartNumberingAfterBreak="0">
    <w:nsid w:val="6EFF06D7"/>
    <w:multiLevelType w:val="hybridMultilevel"/>
    <w:tmpl w:val="2D1023BE"/>
    <w:lvl w:ilvl="0" w:tplc="AC2A4DA0">
      <w:numFmt w:val="bullet"/>
      <w:lvlText w:val=""/>
      <w:lvlJc w:val="left"/>
      <w:pPr>
        <w:ind w:left="156" w:hanging="100"/>
      </w:pPr>
      <w:rPr>
        <w:rFonts w:ascii="Symbol" w:eastAsia="Symbol" w:hAnsi="Symbol" w:cs="Symbol" w:hint="default"/>
        <w:color w:val="231F20"/>
        <w:w w:val="100"/>
        <w:sz w:val="14"/>
        <w:szCs w:val="14"/>
      </w:rPr>
    </w:lvl>
    <w:lvl w:ilvl="1" w:tplc="76A410D0">
      <w:numFmt w:val="bullet"/>
      <w:lvlText w:val="•"/>
      <w:lvlJc w:val="left"/>
      <w:pPr>
        <w:ind w:left="273" w:hanging="100"/>
      </w:pPr>
      <w:rPr>
        <w:rFonts w:hint="default"/>
      </w:rPr>
    </w:lvl>
    <w:lvl w:ilvl="2" w:tplc="73A85320">
      <w:numFmt w:val="bullet"/>
      <w:lvlText w:val="•"/>
      <w:lvlJc w:val="left"/>
      <w:pPr>
        <w:ind w:left="386" w:hanging="100"/>
      </w:pPr>
      <w:rPr>
        <w:rFonts w:hint="default"/>
      </w:rPr>
    </w:lvl>
    <w:lvl w:ilvl="3" w:tplc="4BE271DA">
      <w:numFmt w:val="bullet"/>
      <w:lvlText w:val="•"/>
      <w:lvlJc w:val="left"/>
      <w:pPr>
        <w:ind w:left="500" w:hanging="100"/>
      </w:pPr>
      <w:rPr>
        <w:rFonts w:hint="default"/>
      </w:rPr>
    </w:lvl>
    <w:lvl w:ilvl="4" w:tplc="36C0C260">
      <w:numFmt w:val="bullet"/>
      <w:lvlText w:val="•"/>
      <w:lvlJc w:val="left"/>
      <w:pPr>
        <w:ind w:left="613" w:hanging="100"/>
      </w:pPr>
      <w:rPr>
        <w:rFonts w:hint="default"/>
      </w:rPr>
    </w:lvl>
    <w:lvl w:ilvl="5" w:tplc="8B76DA16">
      <w:numFmt w:val="bullet"/>
      <w:lvlText w:val="•"/>
      <w:lvlJc w:val="left"/>
      <w:pPr>
        <w:ind w:left="727" w:hanging="100"/>
      </w:pPr>
      <w:rPr>
        <w:rFonts w:hint="default"/>
      </w:rPr>
    </w:lvl>
    <w:lvl w:ilvl="6" w:tplc="0CC65E3A">
      <w:numFmt w:val="bullet"/>
      <w:lvlText w:val="•"/>
      <w:lvlJc w:val="left"/>
      <w:pPr>
        <w:ind w:left="840" w:hanging="100"/>
      </w:pPr>
      <w:rPr>
        <w:rFonts w:hint="default"/>
      </w:rPr>
    </w:lvl>
    <w:lvl w:ilvl="7" w:tplc="75F6EEE6">
      <w:numFmt w:val="bullet"/>
      <w:lvlText w:val="•"/>
      <w:lvlJc w:val="left"/>
      <w:pPr>
        <w:ind w:left="953" w:hanging="100"/>
      </w:pPr>
      <w:rPr>
        <w:rFonts w:hint="default"/>
      </w:rPr>
    </w:lvl>
    <w:lvl w:ilvl="8" w:tplc="7E0E499E">
      <w:numFmt w:val="bullet"/>
      <w:lvlText w:val="•"/>
      <w:lvlJc w:val="left"/>
      <w:pPr>
        <w:ind w:left="1067" w:hanging="100"/>
      </w:pPr>
      <w:rPr>
        <w:rFonts w:hint="default"/>
      </w:rPr>
    </w:lvl>
  </w:abstractNum>
  <w:abstractNum w:abstractNumId="1759" w15:restartNumberingAfterBreak="0">
    <w:nsid w:val="6F026B9B"/>
    <w:multiLevelType w:val="hybridMultilevel"/>
    <w:tmpl w:val="AA8AF7FC"/>
    <w:lvl w:ilvl="0" w:tplc="15965A96">
      <w:numFmt w:val="bullet"/>
      <w:lvlText w:val=""/>
      <w:lvlJc w:val="left"/>
      <w:pPr>
        <w:ind w:left="156" w:hanging="100"/>
      </w:pPr>
      <w:rPr>
        <w:rFonts w:ascii="Symbol" w:eastAsia="Symbol" w:hAnsi="Symbol" w:cs="Symbol" w:hint="default"/>
        <w:color w:val="231F20"/>
        <w:w w:val="100"/>
        <w:sz w:val="14"/>
        <w:szCs w:val="14"/>
      </w:rPr>
    </w:lvl>
    <w:lvl w:ilvl="1" w:tplc="80388026">
      <w:numFmt w:val="bullet"/>
      <w:lvlText w:val="•"/>
      <w:lvlJc w:val="left"/>
      <w:pPr>
        <w:ind w:left="454" w:hanging="100"/>
      </w:pPr>
      <w:rPr>
        <w:rFonts w:hint="default"/>
      </w:rPr>
    </w:lvl>
    <w:lvl w:ilvl="2" w:tplc="B2C02620">
      <w:numFmt w:val="bullet"/>
      <w:lvlText w:val="•"/>
      <w:lvlJc w:val="left"/>
      <w:pPr>
        <w:ind w:left="749" w:hanging="100"/>
      </w:pPr>
      <w:rPr>
        <w:rFonts w:hint="default"/>
      </w:rPr>
    </w:lvl>
    <w:lvl w:ilvl="3" w:tplc="21980624">
      <w:numFmt w:val="bullet"/>
      <w:lvlText w:val="•"/>
      <w:lvlJc w:val="left"/>
      <w:pPr>
        <w:ind w:left="1044" w:hanging="100"/>
      </w:pPr>
      <w:rPr>
        <w:rFonts w:hint="default"/>
      </w:rPr>
    </w:lvl>
    <w:lvl w:ilvl="4" w:tplc="04069894">
      <w:numFmt w:val="bullet"/>
      <w:lvlText w:val="•"/>
      <w:lvlJc w:val="left"/>
      <w:pPr>
        <w:ind w:left="1339" w:hanging="100"/>
      </w:pPr>
      <w:rPr>
        <w:rFonts w:hint="default"/>
      </w:rPr>
    </w:lvl>
    <w:lvl w:ilvl="5" w:tplc="F09669E6">
      <w:numFmt w:val="bullet"/>
      <w:lvlText w:val="•"/>
      <w:lvlJc w:val="left"/>
      <w:pPr>
        <w:ind w:left="1634" w:hanging="100"/>
      </w:pPr>
      <w:rPr>
        <w:rFonts w:hint="default"/>
      </w:rPr>
    </w:lvl>
    <w:lvl w:ilvl="6" w:tplc="17CAEEB0">
      <w:numFmt w:val="bullet"/>
      <w:lvlText w:val="•"/>
      <w:lvlJc w:val="left"/>
      <w:pPr>
        <w:ind w:left="1928" w:hanging="100"/>
      </w:pPr>
      <w:rPr>
        <w:rFonts w:hint="default"/>
      </w:rPr>
    </w:lvl>
    <w:lvl w:ilvl="7" w:tplc="6AD83AC0">
      <w:numFmt w:val="bullet"/>
      <w:lvlText w:val="•"/>
      <w:lvlJc w:val="left"/>
      <w:pPr>
        <w:ind w:left="2223" w:hanging="100"/>
      </w:pPr>
      <w:rPr>
        <w:rFonts w:hint="default"/>
      </w:rPr>
    </w:lvl>
    <w:lvl w:ilvl="8" w:tplc="61F087F8">
      <w:numFmt w:val="bullet"/>
      <w:lvlText w:val="•"/>
      <w:lvlJc w:val="left"/>
      <w:pPr>
        <w:ind w:left="2518" w:hanging="100"/>
      </w:pPr>
      <w:rPr>
        <w:rFonts w:hint="default"/>
      </w:rPr>
    </w:lvl>
  </w:abstractNum>
  <w:abstractNum w:abstractNumId="1760" w15:restartNumberingAfterBreak="0">
    <w:nsid w:val="6F0734B0"/>
    <w:multiLevelType w:val="hybridMultilevel"/>
    <w:tmpl w:val="EB629844"/>
    <w:lvl w:ilvl="0" w:tplc="FE8E50BA">
      <w:numFmt w:val="bullet"/>
      <w:lvlText w:val=""/>
      <w:lvlJc w:val="left"/>
      <w:pPr>
        <w:ind w:left="156" w:hanging="100"/>
      </w:pPr>
      <w:rPr>
        <w:rFonts w:ascii="Symbol" w:eastAsia="Symbol" w:hAnsi="Symbol" w:cs="Symbol" w:hint="default"/>
        <w:color w:val="231F20"/>
        <w:w w:val="100"/>
        <w:sz w:val="14"/>
        <w:szCs w:val="14"/>
      </w:rPr>
    </w:lvl>
    <w:lvl w:ilvl="1" w:tplc="7D3C0666">
      <w:numFmt w:val="bullet"/>
      <w:lvlText w:val="•"/>
      <w:lvlJc w:val="left"/>
      <w:pPr>
        <w:ind w:left="426" w:hanging="100"/>
      </w:pPr>
      <w:rPr>
        <w:rFonts w:hint="default"/>
      </w:rPr>
    </w:lvl>
    <w:lvl w:ilvl="2" w:tplc="C2F23996">
      <w:numFmt w:val="bullet"/>
      <w:lvlText w:val="•"/>
      <w:lvlJc w:val="left"/>
      <w:pPr>
        <w:ind w:left="692" w:hanging="100"/>
      </w:pPr>
      <w:rPr>
        <w:rFonts w:hint="default"/>
      </w:rPr>
    </w:lvl>
    <w:lvl w:ilvl="3" w:tplc="B210AEF2">
      <w:numFmt w:val="bullet"/>
      <w:lvlText w:val="•"/>
      <w:lvlJc w:val="left"/>
      <w:pPr>
        <w:ind w:left="959" w:hanging="100"/>
      </w:pPr>
      <w:rPr>
        <w:rFonts w:hint="default"/>
      </w:rPr>
    </w:lvl>
    <w:lvl w:ilvl="4" w:tplc="1646C71E">
      <w:numFmt w:val="bullet"/>
      <w:lvlText w:val="•"/>
      <w:lvlJc w:val="left"/>
      <w:pPr>
        <w:ind w:left="1225" w:hanging="100"/>
      </w:pPr>
      <w:rPr>
        <w:rFonts w:hint="default"/>
      </w:rPr>
    </w:lvl>
    <w:lvl w:ilvl="5" w:tplc="6F326246">
      <w:numFmt w:val="bullet"/>
      <w:lvlText w:val="•"/>
      <w:lvlJc w:val="left"/>
      <w:pPr>
        <w:ind w:left="1492" w:hanging="100"/>
      </w:pPr>
      <w:rPr>
        <w:rFonts w:hint="default"/>
      </w:rPr>
    </w:lvl>
    <w:lvl w:ilvl="6" w:tplc="A1DAC598">
      <w:numFmt w:val="bullet"/>
      <w:lvlText w:val="•"/>
      <w:lvlJc w:val="left"/>
      <w:pPr>
        <w:ind w:left="1758" w:hanging="100"/>
      </w:pPr>
      <w:rPr>
        <w:rFonts w:hint="default"/>
      </w:rPr>
    </w:lvl>
    <w:lvl w:ilvl="7" w:tplc="DAC67672">
      <w:numFmt w:val="bullet"/>
      <w:lvlText w:val="•"/>
      <w:lvlJc w:val="left"/>
      <w:pPr>
        <w:ind w:left="2024" w:hanging="100"/>
      </w:pPr>
      <w:rPr>
        <w:rFonts w:hint="default"/>
      </w:rPr>
    </w:lvl>
    <w:lvl w:ilvl="8" w:tplc="71263914">
      <w:numFmt w:val="bullet"/>
      <w:lvlText w:val="•"/>
      <w:lvlJc w:val="left"/>
      <w:pPr>
        <w:ind w:left="2291" w:hanging="100"/>
      </w:pPr>
      <w:rPr>
        <w:rFonts w:hint="default"/>
      </w:rPr>
    </w:lvl>
  </w:abstractNum>
  <w:abstractNum w:abstractNumId="1761" w15:restartNumberingAfterBreak="0">
    <w:nsid w:val="6F0F534A"/>
    <w:multiLevelType w:val="hybridMultilevel"/>
    <w:tmpl w:val="F426E958"/>
    <w:lvl w:ilvl="0" w:tplc="8AECFF5A">
      <w:numFmt w:val="bullet"/>
      <w:lvlText w:val=""/>
      <w:lvlJc w:val="left"/>
      <w:pPr>
        <w:ind w:left="156" w:hanging="100"/>
      </w:pPr>
      <w:rPr>
        <w:rFonts w:ascii="Symbol" w:eastAsia="Symbol" w:hAnsi="Symbol" w:cs="Symbol" w:hint="default"/>
        <w:color w:val="231F20"/>
        <w:w w:val="100"/>
        <w:sz w:val="14"/>
        <w:szCs w:val="14"/>
      </w:rPr>
    </w:lvl>
    <w:lvl w:ilvl="1" w:tplc="A60A38CE">
      <w:numFmt w:val="bullet"/>
      <w:lvlText w:val="•"/>
      <w:lvlJc w:val="left"/>
      <w:pPr>
        <w:ind w:left="426" w:hanging="100"/>
      </w:pPr>
      <w:rPr>
        <w:rFonts w:hint="default"/>
      </w:rPr>
    </w:lvl>
    <w:lvl w:ilvl="2" w:tplc="ADE25DA4">
      <w:numFmt w:val="bullet"/>
      <w:lvlText w:val="•"/>
      <w:lvlJc w:val="left"/>
      <w:pPr>
        <w:ind w:left="692" w:hanging="100"/>
      </w:pPr>
      <w:rPr>
        <w:rFonts w:hint="default"/>
      </w:rPr>
    </w:lvl>
    <w:lvl w:ilvl="3" w:tplc="B9C2C728">
      <w:numFmt w:val="bullet"/>
      <w:lvlText w:val="•"/>
      <w:lvlJc w:val="left"/>
      <w:pPr>
        <w:ind w:left="959" w:hanging="100"/>
      </w:pPr>
      <w:rPr>
        <w:rFonts w:hint="default"/>
      </w:rPr>
    </w:lvl>
    <w:lvl w:ilvl="4" w:tplc="C4FC843E">
      <w:numFmt w:val="bullet"/>
      <w:lvlText w:val="•"/>
      <w:lvlJc w:val="left"/>
      <w:pPr>
        <w:ind w:left="1225" w:hanging="100"/>
      </w:pPr>
      <w:rPr>
        <w:rFonts w:hint="default"/>
      </w:rPr>
    </w:lvl>
    <w:lvl w:ilvl="5" w:tplc="CB44711E">
      <w:numFmt w:val="bullet"/>
      <w:lvlText w:val="•"/>
      <w:lvlJc w:val="left"/>
      <w:pPr>
        <w:ind w:left="1492" w:hanging="100"/>
      </w:pPr>
      <w:rPr>
        <w:rFonts w:hint="default"/>
      </w:rPr>
    </w:lvl>
    <w:lvl w:ilvl="6" w:tplc="E8C8CEA2">
      <w:numFmt w:val="bullet"/>
      <w:lvlText w:val="•"/>
      <w:lvlJc w:val="left"/>
      <w:pPr>
        <w:ind w:left="1758" w:hanging="100"/>
      </w:pPr>
      <w:rPr>
        <w:rFonts w:hint="default"/>
      </w:rPr>
    </w:lvl>
    <w:lvl w:ilvl="7" w:tplc="BFE8A3B6">
      <w:numFmt w:val="bullet"/>
      <w:lvlText w:val="•"/>
      <w:lvlJc w:val="left"/>
      <w:pPr>
        <w:ind w:left="2024" w:hanging="100"/>
      </w:pPr>
      <w:rPr>
        <w:rFonts w:hint="default"/>
      </w:rPr>
    </w:lvl>
    <w:lvl w:ilvl="8" w:tplc="2A22AF5C">
      <w:numFmt w:val="bullet"/>
      <w:lvlText w:val="•"/>
      <w:lvlJc w:val="left"/>
      <w:pPr>
        <w:ind w:left="2291" w:hanging="100"/>
      </w:pPr>
      <w:rPr>
        <w:rFonts w:hint="default"/>
      </w:rPr>
    </w:lvl>
  </w:abstractNum>
  <w:abstractNum w:abstractNumId="1762" w15:restartNumberingAfterBreak="0">
    <w:nsid w:val="6F0F6A8E"/>
    <w:multiLevelType w:val="hybridMultilevel"/>
    <w:tmpl w:val="4DAE7834"/>
    <w:lvl w:ilvl="0" w:tplc="D122B310">
      <w:numFmt w:val="bullet"/>
      <w:lvlText w:val=""/>
      <w:lvlJc w:val="left"/>
      <w:pPr>
        <w:ind w:left="156" w:hanging="100"/>
      </w:pPr>
      <w:rPr>
        <w:rFonts w:ascii="Symbol" w:eastAsia="Symbol" w:hAnsi="Symbol" w:cs="Symbol" w:hint="default"/>
        <w:color w:val="231F20"/>
        <w:w w:val="100"/>
        <w:sz w:val="14"/>
        <w:szCs w:val="14"/>
      </w:rPr>
    </w:lvl>
    <w:lvl w:ilvl="1" w:tplc="FCA61404">
      <w:numFmt w:val="bullet"/>
      <w:lvlText w:val="•"/>
      <w:lvlJc w:val="left"/>
      <w:pPr>
        <w:ind w:left="301" w:hanging="100"/>
      </w:pPr>
      <w:rPr>
        <w:rFonts w:hint="default"/>
      </w:rPr>
    </w:lvl>
    <w:lvl w:ilvl="2" w:tplc="28A6B87C">
      <w:numFmt w:val="bullet"/>
      <w:lvlText w:val="•"/>
      <w:lvlJc w:val="left"/>
      <w:pPr>
        <w:ind w:left="443" w:hanging="100"/>
      </w:pPr>
      <w:rPr>
        <w:rFonts w:hint="default"/>
      </w:rPr>
    </w:lvl>
    <w:lvl w:ilvl="3" w:tplc="09DC773C">
      <w:numFmt w:val="bullet"/>
      <w:lvlText w:val="•"/>
      <w:lvlJc w:val="left"/>
      <w:pPr>
        <w:ind w:left="585" w:hanging="100"/>
      </w:pPr>
      <w:rPr>
        <w:rFonts w:hint="default"/>
      </w:rPr>
    </w:lvl>
    <w:lvl w:ilvl="4" w:tplc="C3DEB2C8">
      <w:numFmt w:val="bullet"/>
      <w:lvlText w:val="•"/>
      <w:lvlJc w:val="left"/>
      <w:pPr>
        <w:ind w:left="726" w:hanging="100"/>
      </w:pPr>
      <w:rPr>
        <w:rFonts w:hint="default"/>
      </w:rPr>
    </w:lvl>
    <w:lvl w:ilvl="5" w:tplc="4C362578">
      <w:numFmt w:val="bullet"/>
      <w:lvlText w:val="•"/>
      <w:lvlJc w:val="left"/>
      <w:pPr>
        <w:ind w:left="868" w:hanging="100"/>
      </w:pPr>
      <w:rPr>
        <w:rFonts w:hint="default"/>
      </w:rPr>
    </w:lvl>
    <w:lvl w:ilvl="6" w:tplc="B6A2F16A">
      <w:numFmt w:val="bullet"/>
      <w:lvlText w:val="•"/>
      <w:lvlJc w:val="left"/>
      <w:pPr>
        <w:ind w:left="1010" w:hanging="100"/>
      </w:pPr>
      <w:rPr>
        <w:rFonts w:hint="default"/>
      </w:rPr>
    </w:lvl>
    <w:lvl w:ilvl="7" w:tplc="1324B6A0">
      <w:numFmt w:val="bullet"/>
      <w:lvlText w:val="•"/>
      <w:lvlJc w:val="left"/>
      <w:pPr>
        <w:ind w:left="1151" w:hanging="100"/>
      </w:pPr>
      <w:rPr>
        <w:rFonts w:hint="default"/>
      </w:rPr>
    </w:lvl>
    <w:lvl w:ilvl="8" w:tplc="AC805E12">
      <w:numFmt w:val="bullet"/>
      <w:lvlText w:val="•"/>
      <w:lvlJc w:val="left"/>
      <w:pPr>
        <w:ind w:left="1293" w:hanging="100"/>
      </w:pPr>
      <w:rPr>
        <w:rFonts w:hint="default"/>
      </w:rPr>
    </w:lvl>
  </w:abstractNum>
  <w:abstractNum w:abstractNumId="1763" w15:restartNumberingAfterBreak="0">
    <w:nsid w:val="6F113F59"/>
    <w:multiLevelType w:val="hybridMultilevel"/>
    <w:tmpl w:val="F76A1EF2"/>
    <w:lvl w:ilvl="0" w:tplc="9F2ABAE0">
      <w:numFmt w:val="bullet"/>
      <w:lvlText w:val=""/>
      <w:lvlJc w:val="left"/>
      <w:pPr>
        <w:ind w:left="156" w:hanging="100"/>
      </w:pPr>
      <w:rPr>
        <w:rFonts w:ascii="Symbol" w:eastAsia="Symbol" w:hAnsi="Symbol" w:cs="Symbol" w:hint="default"/>
        <w:color w:val="231F20"/>
        <w:w w:val="100"/>
        <w:sz w:val="14"/>
        <w:szCs w:val="14"/>
      </w:rPr>
    </w:lvl>
    <w:lvl w:ilvl="1" w:tplc="DDEE6F50">
      <w:numFmt w:val="bullet"/>
      <w:lvlText w:val="•"/>
      <w:lvlJc w:val="left"/>
      <w:pPr>
        <w:ind w:left="398" w:hanging="100"/>
      </w:pPr>
      <w:rPr>
        <w:rFonts w:hint="default"/>
      </w:rPr>
    </w:lvl>
    <w:lvl w:ilvl="2" w:tplc="E7868B0C">
      <w:numFmt w:val="bullet"/>
      <w:lvlText w:val="•"/>
      <w:lvlJc w:val="left"/>
      <w:pPr>
        <w:ind w:left="636" w:hanging="100"/>
      </w:pPr>
      <w:rPr>
        <w:rFonts w:hint="default"/>
      </w:rPr>
    </w:lvl>
    <w:lvl w:ilvl="3" w:tplc="C1FC5206">
      <w:numFmt w:val="bullet"/>
      <w:lvlText w:val="•"/>
      <w:lvlJc w:val="left"/>
      <w:pPr>
        <w:ind w:left="874" w:hanging="100"/>
      </w:pPr>
      <w:rPr>
        <w:rFonts w:hint="default"/>
      </w:rPr>
    </w:lvl>
    <w:lvl w:ilvl="4" w:tplc="489E2EE4">
      <w:numFmt w:val="bullet"/>
      <w:lvlText w:val="•"/>
      <w:lvlJc w:val="left"/>
      <w:pPr>
        <w:ind w:left="1112" w:hanging="100"/>
      </w:pPr>
      <w:rPr>
        <w:rFonts w:hint="default"/>
      </w:rPr>
    </w:lvl>
    <w:lvl w:ilvl="5" w:tplc="3A809780">
      <w:numFmt w:val="bullet"/>
      <w:lvlText w:val="•"/>
      <w:lvlJc w:val="left"/>
      <w:pPr>
        <w:ind w:left="1350" w:hanging="100"/>
      </w:pPr>
      <w:rPr>
        <w:rFonts w:hint="default"/>
      </w:rPr>
    </w:lvl>
    <w:lvl w:ilvl="6" w:tplc="85E0647A">
      <w:numFmt w:val="bullet"/>
      <w:lvlText w:val="•"/>
      <w:lvlJc w:val="left"/>
      <w:pPr>
        <w:ind w:left="1588" w:hanging="100"/>
      </w:pPr>
      <w:rPr>
        <w:rFonts w:hint="default"/>
      </w:rPr>
    </w:lvl>
    <w:lvl w:ilvl="7" w:tplc="11BCBBFA">
      <w:numFmt w:val="bullet"/>
      <w:lvlText w:val="•"/>
      <w:lvlJc w:val="left"/>
      <w:pPr>
        <w:ind w:left="1826" w:hanging="100"/>
      </w:pPr>
      <w:rPr>
        <w:rFonts w:hint="default"/>
      </w:rPr>
    </w:lvl>
    <w:lvl w:ilvl="8" w:tplc="F3ACC8A6">
      <w:numFmt w:val="bullet"/>
      <w:lvlText w:val="•"/>
      <w:lvlJc w:val="left"/>
      <w:pPr>
        <w:ind w:left="2064" w:hanging="100"/>
      </w:pPr>
      <w:rPr>
        <w:rFonts w:hint="default"/>
      </w:rPr>
    </w:lvl>
  </w:abstractNum>
  <w:abstractNum w:abstractNumId="1764" w15:restartNumberingAfterBreak="0">
    <w:nsid w:val="6F154121"/>
    <w:multiLevelType w:val="hybridMultilevel"/>
    <w:tmpl w:val="932A475E"/>
    <w:lvl w:ilvl="0" w:tplc="4278738A">
      <w:numFmt w:val="bullet"/>
      <w:lvlText w:val=""/>
      <w:lvlJc w:val="left"/>
      <w:pPr>
        <w:ind w:left="156" w:hanging="100"/>
      </w:pPr>
      <w:rPr>
        <w:rFonts w:ascii="Symbol" w:eastAsia="Symbol" w:hAnsi="Symbol" w:cs="Symbol" w:hint="default"/>
        <w:color w:val="231F20"/>
        <w:w w:val="100"/>
        <w:sz w:val="14"/>
        <w:szCs w:val="14"/>
      </w:rPr>
    </w:lvl>
    <w:lvl w:ilvl="1" w:tplc="FB0EEC98">
      <w:numFmt w:val="bullet"/>
      <w:lvlText w:val="•"/>
      <w:lvlJc w:val="left"/>
      <w:pPr>
        <w:ind w:left="426" w:hanging="100"/>
      </w:pPr>
      <w:rPr>
        <w:rFonts w:hint="default"/>
      </w:rPr>
    </w:lvl>
    <w:lvl w:ilvl="2" w:tplc="36C0CBCA">
      <w:numFmt w:val="bullet"/>
      <w:lvlText w:val="•"/>
      <w:lvlJc w:val="left"/>
      <w:pPr>
        <w:ind w:left="692" w:hanging="100"/>
      </w:pPr>
      <w:rPr>
        <w:rFonts w:hint="default"/>
      </w:rPr>
    </w:lvl>
    <w:lvl w:ilvl="3" w:tplc="918C31C0">
      <w:numFmt w:val="bullet"/>
      <w:lvlText w:val="•"/>
      <w:lvlJc w:val="left"/>
      <w:pPr>
        <w:ind w:left="959" w:hanging="100"/>
      </w:pPr>
      <w:rPr>
        <w:rFonts w:hint="default"/>
      </w:rPr>
    </w:lvl>
    <w:lvl w:ilvl="4" w:tplc="0AEA155E">
      <w:numFmt w:val="bullet"/>
      <w:lvlText w:val="•"/>
      <w:lvlJc w:val="left"/>
      <w:pPr>
        <w:ind w:left="1225" w:hanging="100"/>
      </w:pPr>
      <w:rPr>
        <w:rFonts w:hint="default"/>
      </w:rPr>
    </w:lvl>
    <w:lvl w:ilvl="5" w:tplc="381CF350">
      <w:numFmt w:val="bullet"/>
      <w:lvlText w:val="•"/>
      <w:lvlJc w:val="left"/>
      <w:pPr>
        <w:ind w:left="1492" w:hanging="100"/>
      </w:pPr>
      <w:rPr>
        <w:rFonts w:hint="default"/>
      </w:rPr>
    </w:lvl>
    <w:lvl w:ilvl="6" w:tplc="CEBED45A">
      <w:numFmt w:val="bullet"/>
      <w:lvlText w:val="•"/>
      <w:lvlJc w:val="left"/>
      <w:pPr>
        <w:ind w:left="1758" w:hanging="100"/>
      </w:pPr>
      <w:rPr>
        <w:rFonts w:hint="default"/>
      </w:rPr>
    </w:lvl>
    <w:lvl w:ilvl="7" w:tplc="09AC6292">
      <w:numFmt w:val="bullet"/>
      <w:lvlText w:val="•"/>
      <w:lvlJc w:val="left"/>
      <w:pPr>
        <w:ind w:left="2024" w:hanging="100"/>
      </w:pPr>
      <w:rPr>
        <w:rFonts w:hint="default"/>
      </w:rPr>
    </w:lvl>
    <w:lvl w:ilvl="8" w:tplc="0868C6DE">
      <w:numFmt w:val="bullet"/>
      <w:lvlText w:val="•"/>
      <w:lvlJc w:val="left"/>
      <w:pPr>
        <w:ind w:left="2291" w:hanging="100"/>
      </w:pPr>
      <w:rPr>
        <w:rFonts w:hint="default"/>
      </w:rPr>
    </w:lvl>
  </w:abstractNum>
  <w:abstractNum w:abstractNumId="1765" w15:restartNumberingAfterBreak="0">
    <w:nsid w:val="6F1716F2"/>
    <w:multiLevelType w:val="hybridMultilevel"/>
    <w:tmpl w:val="F7EA6B5E"/>
    <w:lvl w:ilvl="0" w:tplc="872ACC7A">
      <w:numFmt w:val="bullet"/>
      <w:lvlText w:val=""/>
      <w:lvlJc w:val="left"/>
      <w:pPr>
        <w:ind w:left="156" w:hanging="100"/>
      </w:pPr>
      <w:rPr>
        <w:rFonts w:ascii="Symbol" w:eastAsia="Symbol" w:hAnsi="Symbol" w:cs="Symbol" w:hint="default"/>
        <w:color w:val="231F20"/>
        <w:w w:val="100"/>
        <w:sz w:val="14"/>
        <w:szCs w:val="14"/>
      </w:rPr>
    </w:lvl>
    <w:lvl w:ilvl="1" w:tplc="00E222BA">
      <w:numFmt w:val="bullet"/>
      <w:lvlText w:val="•"/>
      <w:lvlJc w:val="left"/>
      <w:pPr>
        <w:ind w:left="301" w:hanging="100"/>
      </w:pPr>
      <w:rPr>
        <w:rFonts w:hint="default"/>
      </w:rPr>
    </w:lvl>
    <w:lvl w:ilvl="2" w:tplc="C4A2F9EC">
      <w:numFmt w:val="bullet"/>
      <w:lvlText w:val="•"/>
      <w:lvlJc w:val="left"/>
      <w:pPr>
        <w:ind w:left="443" w:hanging="100"/>
      </w:pPr>
      <w:rPr>
        <w:rFonts w:hint="default"/>
      </w:rPr>
    </w:lvl>
    <w:lvl w:ilvl="3" w:tplc="943E7406">
      <w:numFmt w:val="bullet"/>
      <w:lvlText w:val="•"/>
      <w:lvlJc w:val="left"/>
      <w:pPr>
        <w:ind w:left="585" w:hanging="100"/>
      </w:pPr>
      <w:rPr>
        <w:rFonts w:hint="default"/>
      </w:rPr>
    </w:lvl>
    <w:lvl w:ilvl="4" w:tplc="A106FEC4">
      <w:numFmt w:val="bullet"/>
      <w:lvlText w:val="•"/>
      <w:lvlJc w:val="left"/>
      <w:pPr>
        <w:ind w:left="726" w:hanging="100"/>
      </w:pPr>
      <w:rPr>
        <w:rFonts w:hint="default"/>
      </w:rPr>
    </w:lvl>
    <w:lvl w:ilvl="5" w:tplc="4AEA5CBC">
      <w:numFmt w:val="bullet"/>
      <w:lvlText w:val="•"/>
      <w:lvlJc w:val="left"/>
      <w:pPr>
        <w:ind w:left="868" w:hanging="100"/>
      </w:pPr>
      <w:rPr>
        <w:rFonts w:hint="default"/>
      </w:rPr>
    </w:lvl>
    <w:lvl w:ilvl="6" w:tplc="088093D8">
      <w:numFmt w:val="bullet"/>
      <w:lvlText w:val="•"/>
      <w:lvlJc w:val="left"/>
      <w:pPr>
        <w:ind w:left="1010" w:hanging="100"/>
      </w:pPr>
      <w:rPr>
        <w:rFonts w:hint="default"/>
      </w:rPr>
    </w:lvl>
    <w:lvl w:ilvl="7" w:tplc="67964838">
      <w:numFmt w:val="bullet"/>
      <w:lvlText w:val="•"/>
      <w:lvlJc w:val="left"/>
      <w:pPr>
        <w:ind w:left="1151" w:hanging="100"/>
      </w:pPr>
      <w:rPr>
        <w:rFonts w:hint="default"/>
      </w:rPr>
    </w:lvl>
    <w:lvl w:ilvl="8" w:tplc="DF08E58E">
      <w:numFmt w:val="bullet"/>
      <w:lvlText w:val="•"/>
      <w:lvlJc w:val="left"/>
      <w:pPr>
        <w:ind w:left="1293" w:hanging="100"/>
      </w:pPr>
      <w:rPr>
        <w:rFonts w:hint="default"/>
      </w:rPr>
    </w:lvl>
  </w:abstractNum>
  <w:abstractNum w:abstractNumId="1766" w15:restartNumberingAfterBreak="0">
    <w:nsid w:val="6F403F82"/>
    <w:multiLevelType w:val="hybridMultilevel"/>
    <w:tmpl w:val="2BF25D62"/>
    <w:lvl w:ilvl="0" w:tplc="CE68E24A">
      <w:numFmt w:val="bullet"/>
      <w:lvlText w:val=""/>
      <w:lvlJc w:val="left"/>
      <w:pPr>
        <w:ind w:left="157" w:hanging="100"/>
      </w:pPr>
      <w:rPr>
        <w:rFonts w:ascii="Symbol" w:eastAsia="Symbol" w:hAnsi="Symbol" w:cs="Symbol" w:hint="default"/>
        <w:color w:val="231F20"/>
        <w:w w:val="100"/>
        <w:sz w:val="14"/>
        <w:szCs w:val="14"/>
      </w:rPr>
    </w:lvl>
    <w:lvl w:ilvl="1" w:tplc="CCA0A04C">
      <w:numFmt w:val="bullet"/>
      <w:lvlText w:val="•"/>
      <w:lvlJc w:val="left"/>
      <w:pPr>
        <w:ind w:left="369" w:hanging="100"/>
      </w:pPr>
      <w:rPr>
        <w:rFonts w:hint="default"/>
      </w:rPr>
    </w:lvl>
    <w:lvl w:ilvl="2" w:tplc="2E889E00">
      <w:numFmt w:val="bullet"/>
      <w:lvlText w:val="•"/>
      <w:lvlJc w:val="left"/>
      <w:pPr>
        <w:ind w:left="579" w:hanging="100"/>
      </w:pPr>
      <w:rPr>
        <w:rFonts w:hint="default"/>
      </w:rPr>
    </w:lvl>
    <w:lvl w:ilvl="3" w:tplc="F1F4A098">
      <w:numFmt w:val="bullet"/>
      <w:lvlText w:val="•"/>
      <w:lvlJc w:val="left"/>
      <w:pPr>
        <w:ind w:left="789" w:hanging="100"/>
      </w:pPr>
      <w:rPr>
        <w:rFonts w:hint="default"/>
      </w:rPr>
    </w:lvl>
    <w:lvl w:ilvl="4" w:tplc="5A6C471A">
      <w:numFmt w:val="bullet"/>
      <w:lvlText w:val="•"/>
      <w:lvlJc w:val="left"/>
      <w:pPr>
        <w:ind w:left="998" w:hanging="100"/>
      </w:pPr>
      <w:rPr>
        <w:rFonts w:hint="default"/>
      </w:rPr>
    </w:lvl>
    <w:lvl w:ilvl="5" w:tplc="357C1D8A">
      <w:numFmt w:val="bullet"/>
      <w:lvlText w:val="•"/>
      <w:lvlJc w:val="left"/>
      <w:pPr>
        <w:ind w:left="1208" w:hanging="100"/>
      </w:pPr>
      <w:rPr>
        <w:rFonts w:hint="default"/>
      </w:rPr>
    </w:lvl>
    <w:lvl w:ilvl="6" w:tplc="BB16F146">
      <w:numFmt w:val="bullet"/>
      <w:lvlText w:val="•"/>
      <w:lvlJc w:val="left"/>
      <w:pPr>
        <w:ind w:left="1418" w:hanging="100"/>
      </w:pPr>
      <w:rPr>
        <w:rFonts w:hint="default"/>
      </w:rPr>
    </w:lvl>
    <w:lvl w:ilvl="7" w:tplc="9B848958">
      <w:numFmt w:val="bullet"/>
      <w:lvlText w:val="•"/>
      <w:lvlJc w:val="left"/>
      <w:pPr>
        <w:ind w:left="1627" w:hanging="100"/>
      </w:pPr>
      <w:rPr>
        <w:rFonts w:hint="default"/>
      </w:rPr>
    </w:lvl>
    <w:lvl w:ilvl="8" w:tplc="7CCE48B2">
      <w:numFmt w:val="bullet"/>
      <w:lvlText w:val="•"/>
      <w:lvlJc w:val="left"/>
      <w:pPr>
        <w:ind w:left="1837" w:hanging="100"/>
      </w:pPr>
      <w:rPr>
        <w:rFonts w:hint="default"/>
      </w:rPr>
    </w:lvl>
  </w:abstractNum>
  <w:abstractNum w:abstractNumId="1767" w15:restartNumberingAfterBreak="0">
    <w:nsid w:val="6F5315F4"/>
    <w:multiLevelType w:val="hybridMultilevel"/>
    <w:tmpl w:val="E6D64FE4"/>
    <w:lvl w:ilvl="0" w:tplc="2EC255BA">
      <w:numFmt w:val="bullet"/>
      <w:lvlText w:val=""/>
      <w:lvlJc w:val="left"/>
      <w:pPr>
        <w:ind w:left="156" w:hanging="100"/>
      </w:pPr>
      <w:rPr>
        <w:rFonts w:ascii="Symbol" w:eastAsia="Symbol" w:hAnsi="Symbol" w:cs="Symbol" w:hint="default"/>
        <w:color w:val="231F20"/>
        <w:w w:val="100"/>
        <w:sz w:val="14"/>
        <w:szCs w:val="14"/>
      </w:rPr>
    </w:lvl>
    <w:lvl w:ilvl="1" w:tplc="49DE1D8E">
      <w:numFmt w:val="bullet"/>
      <w:lvlText w:val="•"/>
      <w:lvlJc w:val="left"/>
      <w:pPr>
        <w:ind w:left="301" w:hanging="100"/>
      </w:pPr>
      <w:rPr>
        <w:rFonts w:hint="default"/>
      </w:rPr>
    </w:lvl>
    <w:lvl w:ilvl="2" w:tplc="58A2BF8A">
      <w:numFmt w:val="bullet"/>
      <w:lvlText w:val="•"/>
      <w:lvlJc w:val="left"/>
      <w:pPr>
        <w:ind w:left="443" w:hanging="100"/>
      </w:pPr>
      <w:rPr>
        <w:rFonts w:hint="default"/>
      </w:rPr>
    </w:lvl>
    <w:lvl w:ilvl="3" w:tplc="91A63572">
      <w:numFmt w:val="bullet"/>
      <w:lvlText w:val="•"/>
      <w:lvlJc w:val="left"/>
      <w:pPr>
        <w:ind w:left="585" w:hanging="100"/>
      </w:pPr>
      <w:rPr>
        <w:rFonts w:hint="default"/>
      </w:rPr>
    </w:lvl>
    <w:lvl w:ilvl="4" w:tplc="C19AD582">
      <w:numFmt w:val="bullet"/>
      <w:lvlText w:val="•"/>
      <w:lvlJc w:val="left"/>
      <w:pPr>
        <w:ind w:left="726" w:hanging="100"/>
      </w:pPr>
      <w:rPr>
        <w:rFonts w:hint="default"/>
      </w:rPr>
    </w:lvl>
    <w:lvl w:ilvl="5" w:tplc="849CEFF8">
      <w:numFmt w:val="bullet"/>
      <w:lvlText w:val="•"/>
      <w:lvlJc w:val="left"/>
      <w:pPr>
        <w:ind w:left="868" w:hanging="100"/>
      </w:pPr>
      <w:rPr>
        <w:rFonts w:hint="default"/>
      </w:rPr>
    </w:lvl>
    <w:lvl w:ilvl="6" w:tplc="B7AAAC8C">
      <w:numFmt w:val="bullet"/>
      <w:lvlText w:val="•"/>
      <w:lvlJc w:val="left"/>
      <w:pPr>
        <w:ind w:left="1010" w:hanging="100"/>
      </w:pPr>
      <w:rPr>
        <w:rFonts w:hint="default"/>
      </w:rPr>
    </w:lvl>
    <w:lvl w:ilvl="7" w:tplc="E4203D42">
      <w:numFmt w:val="bullet"/>
      <w:lvlText w:val="•"/>
      <w:lvlJc w:val="left"/>
      <w:pPr>
        <w:ind w:left="1151" w:hanging="100"/>
      </w:pPr>
      <w:rPr>
        <w:rFonts w:hint="default"/>
      </w:rPr>
    </w:lvl>
    <w:lvl w:ilvl="8" w:tplc="9BC095EA">
      <w:numFmt w:val="bullet"/>
      <w:lvlText w:val="•"/>
      <w:lvlJc w:val="left"/>
      <w:pPr>
        <w:ind w:left="1293" w:hanging="100"/>
      </w:pPr>
      <w:rPr>
        <w:rFonts w:hint="default"/>
      </w:rPr>
    </w:lvl>
  </w:abstractNum>
  <w:abstractNum w:abstractNumId="1768" w15:restartNumberingAfterBreak="0">
    <w:nsid w:val="6F5C73D2"/>
    <w:multiLevelType w:val="hybridMultilevel"/>
    <w:tmpl w:val="16843FF8"/>
    <w:lvl w:ilvl="0" w:tplc="8BC45994">
      <w:numFmt w:val="bullet"/>
      <w:lvlText w:val=""/>
      <w:lvlJc w:val="left"/>
      <w:pPr>
        <w:ind w:left="156" w:hanging="100"/>
      </w:pPr>
      <w:rPr>
        <w:rFonts w:ascii="Symbol" w:eastAsia="Symbol" w:hAnsi="Symbol" w:cs="Symbol" w:hint="default"/>
        <w:color w:val="231F20"/>
        <w:w w:val="100"/>
        <w:sz w:val="14"/>
        <w:szCs w:val="14"/>
      </w:rPr>
    </w:lvl>
    <w:lvl w:ilvl="1" w:tplc="FE98AE3E">
      <w:numFmt w:val="bullet"/>
      <w:lvlText w:val="•"/>
      <w:lvlJc w:val="left"/>
      <w:pPr>
        <w:ind w:left="426" w:hanging="100"/>
      </w:pPr>
      <w:rPr>
        <w:rFonts w:hint="default"/>
      </w:rPr>
    </w:lvl>
    <w:lvl w:ilvl="2" w:tplc="090C5D7C">
      <w:numFmt w:val="bullet"/>
      <w:lvlText w:val="•"/>
      <w:lvlJc w:val="left"/>
      <w:pPr>
        <w:ind w:left="692" w:hanging="100"/>
      </w:pPr>
      <w:rPr>
        <w:rFonts w:hint="default"/>
      </w:rPr>
    </w:lvl>
    <w:lvl w:ilvl="3" w:tplc="D6A4E0C2">
      <w:numFmt w:val="bullet"/>
      <w:lvlText w:val="•"/>
      <w:lvlJc w:val="left"/>
      <w:pPr>
        <w:ind w:left="959" w:hanging="100"/>
      </w:pPr>
      <w:rPr>
        <w:rFonts w:hint="default"/>
      </w:rPr>
    </w:lvl>
    <w:lvl w:ilvl="4" w:tplc="14F69116">
      <w:numFmt w:val="bullet"/>
      <w:lvlText w:val="•"/>
      <w:lvlJc w:val="left"/>
      <w:pPr>
        <w:ind w:left="1225" w:hanging="100"/>
      </w:pPr>
      <w:rPr>
        <w:rFonts w:hint="default"/>
      </w:rPr>
    </w:lvl>
    <w:lvl w:ilvl="5" w:tplc="82402FC2">
      <w:numFmt w:val="bullet"/>
      <w:lvlText w:val="•"/>
      <w:lvlJc w:val="left"/>
      <w:pPr>
        <w:ind w:left="1492" w:hanging="100"/>
      </w:pPr>
      <w:rPr>
        <w:rFonts w:hint="default"/>
      </w:rPr>
    </w:lvl>
    <w:lvl w:ilvl="6" w:tplc="9B9C3836">
      <w:numFmt w:val="bullet"/>
      <w:lvlText w:val="•"/>
      <w:lvlJc w:val="left"/>
      <w:pPr>
        <w:ind w:left="1758" w:hanging="100"/>
      </w:pPr>
      <w:rPr>
        <w:rFonts w:hint="default"/>
      </w:rPr>
    </w:lvl>
    <w:lvl w:ilvl="7" w:tplc="E8E43AA0">
      <w:numFmt w:val="bullet"/>
      <w:lvlText w:val="•"/>
      <w:lvlJc w:val="left"/>
      <w:pPr>
        <w:ind w:left="2024" w:hanging="100"/>
      </w:pPr>
      <w:rPr>
        <w:rFonts w:hint="default"/>
      </w:rPr>
    </w:lvl>
    <w:lvl w:ilvl="8" w:tplc="5D46D622">
      <w:numFmt w:val="bullet"/>
      <w:lvlText w:val="•"/>
      <w:lvlJc w:val="left"/>
      <w:pPr>
        <w:ind w:left="2291" w:hanging="100"/>
      </w:pPr>
      <w:rPr>
        <w:rFonts w:hint="default"/>
      </w:rPr>
    </w:lvl>
  </w:abstractNum>
  <w:abstractNum w:abstractNumId="1769" w15:restartNumberingAfterBreak="0">
    <w:nsid w:val="6F5F51CD"/>
    <w:multiLevelType w:val="hybridMultilevel"/>
    <w:tmpl w:val="DD06D24C"/>
    <w:lvl w:ilvl="0" w:tplc="31C6F76C">
      <w:numFmt w:val="bullet"/>
      <w:lvlText w:val=""/>
      <w:lvlJc w:val="left"/>
      <w:pPr>
        <w:ind w:left="156" w:hanging="100"/>
      </w:pPr>
      <w:rPr>
        <w:rFonts w:ascii="Symbol" w:eastAsia="Symbol" w:hAnsi="Symbol" w:cs="Symbol" w:hint="default"/>
        <w:color w:val="231F20"/>
        <w:w w:val="100"/>
        <w:sz w:val="14"/>
        <w:szCs w:val="14"/>
      </w:rPr>
    </w:lvl>
    <w:lvl w:ilvl="1" w:tplc="87100ED0">
      <w:numFmt w:val="bullet"/>
      <w:lvlText w:val="•"/>
      <w:lvlJc w:val="left"/>
      <w:pPr>
        <w:ind w:left="398" w:hanging="100"/>
      </w:pPr>
      <w:rPr>
        <w:rFonts w:hint="default"/>
      </w:rPr>
    </w:lvl>
    <w:lvl w:ilvl="2" w:tplc="9762F19C">
      <w:numFmt w:val="bullet"/>
      <w:lvlText w:val="•"/>
      <w:lvlJc w:val="left"/>
      <w:pPr>
        <w:ind w:left="636" w:hanging="100"/>
      </w:pPr>
      <w:rPr>
        <w:rFonts w:hint="default"/>
      </w:rPr>
    </w:lvl>
    <w:lvl w:ilvl="3" w:tplc="8B14058E">
      <w:numFmt w:val="bullet"/>
      <w:lvlText w:val="•"/>
      <w:lvlJc w:val="left"/>
      <w:pPr>
        <w:ind w:left="874" w:hanging="100"/>
      </w:pPr>
      <w:rPr>
        <w:rFonts w:hint="default"/>
      </w:rPr>
    </w:lvl>
    <w:lvl w:ilvl="4" w:tplc="5484CA0A">
      <w:numFmt w:val="bullet"/>
      <w:lvlText w:val="•"/>
      <w:lvlJc w:val="left"/>
      <w:pPr>
        <w:ind w:left="1112" w:hanging="100"/>
      </w:pPr>
      <w:rPr>
        <w:rFonts w:hint="default"/>
      </w:rPr>
    </w:lvl>
    <w:lvl w:ilvl="5" w:tplc="6670753A">
      <w:numFmt w:val="bullet"/>
      <w:lvlText w:val="•"/>
      <w:lvlJc w:val="left"/>
      <w:pPr>
        <w:ind w:left="1350" w:hanging="100"/>
      </w:pPr>
      <w:rPr>
        <w:rFonts w:hint="default"/>
      </w:rPr>
    </w:lvl>
    <w:lvl w:ilvl="6" w:tplc="952C4504">
      <w:numFmt w:val="bullet"/>
      <w:lvlText w:val="•"/>
      <w:lvlJc w:val="left"/>
      <w:pPr>
        <w:ind w:left="1588" w:hanging="100"/>
      </w:pPr>
      <w:rPr>
        <w:rFonts w:hint="default"/>
      </w:rPr>
    </w:lvl>
    <w:lvl w:ilvl="7" w:tplc="1602AC02">
      <w:numFmt w:val="bullet"/>
      <w:lvlText w:val="•"/>
      <w:lvlJc w:val="left"/>
      <w:pPr>
        <w:ind w:left="1826" w:hanging="100"/>
      </w:pPr>
      <w:rPr>
        <w:rFonts w:hint="default"/>
      </w:rPr>
    </w:lvl>
    <w:lvl w:ilvl="8" w:tplc="4274C35E">
      <w:numFmt w:val="bullet"/>
      <w:lvlText w:val="•"/>
      <w:lvlJc w:val="left"/>
      <w:pPr>
        <w:ind w:left="2064" w:hanging="100"/>
      </w:pPr>
      <w:rPr>
        <w:rFonts w:hint="default"/>
      </w:rPr>
    </w:lvl>
  </w:abstractNum>
  <w:abstractNum w:abstractNumId="1770" w15:restartNumberingAfterBreak="0">
    <w:nsid w:val="6F612849"/>
    <w:multiLevelType w:val="hybridMultilevel"/>
    <w:tmpl w:val="6A2EDBC0"/>
    <w:lvl w:ilvl="0" w:tplc="F8A439E2">
      <w:numFmt w:val="bullet"/>
      <w:lvlText w:val=""/>
      <w:lvlJc w:val="left"/>
      <w:pPr>
        <w:ind w:left="156" w:hanging="100"/>
      </w:pPr>
      <w:rPr>
        <w:rFonts w:ascii="Symbol" w:eastAsia="Symbol" w:hAnsi="Symbol" w:cs="Symbol" w:hint="default"/>
        <w:color w:val="231F20"/>
        <w:w w:val="100"/>
        <w:sz w:val="14"/>
        <w:szCs w:val="14"/>
      </w:rPr>
    </w:lvl>
    <w:lvl w:ilvl="1" w:tplc="135E6988">
      <w:numFmt w:val="bullet"/>
      <w:lvlText w:val="•"/>
      <w:lvlJc w:val="left"/>
      <w:pPr>
        <w:ind w:left="301" w:hanging="100"/>
      </w:pPr>
      <w:rPr>
        <w:rFonts w:hint="default"/>
      </w:rPr>
    </w:lvl>
    <w:lvl w:ilvl="2" w:tplc="1DCC7DFE">
      <w:numFmt w:val="bullet"/>
      <w:lvlText w:val="•"/>
      <w:lvlJc w:val="left"/>
      <w:pPr>
        <w:ind w:left="443" w:hanging="100"/>
      </w:pPr>
      <w:rPr>
        <w:rFonts w:hint="default"/>
      </w:rPr>
    </w:lvl>
    <w:lvl w:ilvl="3" w:tplc="12046246">
      <w:numFmt w:val="bullet"/>
      <w:lvlText w:val="•"/>
      <w:lvlJc w:val="left"/>
      <w:pPr>
        <w:ind w:left="585" w:hanging="100"/>
      </w:pPr>
      <w:rPr>
        <w:rFonts w:hint="default"/>
      </w:rPr>
    </w:lvl>
    <w:lvl w:ilvl="4" w:tplc="AD68FAD2">
      <w:numFmt w:val="bullet"/>
      <w:lvlText w:val="•"/>
      <w:lvlJc w:val="left"/>
      <w:pPr>
        <w:ind w:left="726" w:hanging="100"/>
      </w:pPr>
      <w:rPr>
        <w:rFonts w:hint="default"/>
      </w:rPr>
    </w:lvl>
    <w:lvl w:ilvl="5" w:tplc="E17010A8">
      <w:numFmt w:val="bullet"/>
      <w:lvlText w:val="•"/>
      <w:lvlJc w:val="left"/>
      <w:pPr>
        <w:ind w:left="868" w:hanging="100"/>
      </w:pPr>
      <w:rPr>
        <w:rFonts w:hint="default"/>
      </w:rPr>
    </w:lvl>
    <w:lvl w:ilvl="6" w:tplc="3DE29434">
      <w:numFmt w:val="bullet"/>
      <w:lvlText w:val="•"/>
      <w:lvlJc w:val="left"/>
      <w:pPr>
        <w:ind w:left="1010" w:hanging="100"/>
      </w:pPr>
      <w:rPr>
        <w:rFonts w:hint="default"/>
      </w:rPr>
    </w:lvl>
    <w:lvl w:ilvl="7" w:tplc="332A47B2">
      <w:numFmt w:val="bullet"/>
      <w:lvlText w:val="•"/>
      <w:lvlJc w:val="left"/>
      <w:pPr>
        <w:ind w:left="1151" w:hanging="100"/>
      </w:pPr>
      <w:rPr>
        <w:rFonts w:hint="default"/>
      </w:rPr>
    </w:lvl>
    <w:lvl w:ilvl="8" w:tplc="E39EEAE6">
      <w:numFmt w:val="bullet"/>
      <w:lvlText w:val="•"/>
      <w:lvlJc w:val="left"/>
      <w:pPr>
        <w:ind w:left="1293" w:hanging="100"/>
      </w:pPr>
      <w:rPr>
        <w:rFonts w:hint="default"/>
      </w:rPr>
    </w:lvl>
  </w:abstractNum>
  <w:abstractNum w:abstractNumId="1771" w15:restartNumberingAfterBreak="0">
    <w:nsid w:val="6F7532D3"/>
    <w:multiLevelType w:val="hybridMultilevel"/>
    <w:tmpl w:val="EE56E428"/>
    <w:lvl w:ilvl="0" w:tplc="6DEA1DD0">
      <w:numFmt w:val="bullet"/>
      <w:lvlText w:val=""/>
      <w:lvlJc w:val="left"/>
      <w:pPr>
        <w:ind w:left="156" w:hanging="100"/>
      </w:pPr>
      <w:rPr>
        <w:rFonts w:ascii="Symbol" w:eastAsia="Symbol" w:hAnsi="Symbol" w:cs="Symbol" w:hint="default"/>
        <w:color w:val="231F20"/>
        <w:w w:val="100"/>
        <w:sz w:val="14"/>
        <w:szCs w:val="14"/>
      </w:rPr>
    </w:lvl>
    <w:lvl w:ilvl="1" w:tplc="0B063FA2">
      <w:numFmt w:val="bullet"/>
      <w:lvlText w:val="•"/>
      <w:lvlJc w:val="left"/>
      <w:pPr>
        <w:ind w:left="301" w:hanging="100"/>
      </w:pPr>
      <w:rPr>
        <w:rFonts w:hint="default"/>
      </w:rPr>
    </w:lvl>
    <w:lvl w:ilvl="2" w:tplc="A0F69A96">
      <w:numFmt w:val="bullet"/>
      <w:lvlText w:val="•"/>
      <w:lvlJc w:val="left"/>
      <w:pPr>
        <w:ind w:left="443" w:hanging="100"/>
      </w:pPr>
      <w:rPr>
        <w:rFonts w:hint="default"/>
      </w:rPr>
    </w:lvl>
    <w:lvl w:ilvl="3" w:tplc="FBAA3AAE">
      <w:numFmt w:val="bullet"/>
      <w:lvlText w:val="•"/>
      <w:lvlJc w:val="left"/>
      <w:pPr>
        <w:ind w:left="585" w:hanging="100"/>
      </w:pPr>
      <w:rPr>
        <w:rFonts w:hint="default"/>
      </w:rPr>
    </w:lvl>
    <w:lvl w:ilvl="4" w:tplc="AFACD036">
      <w:numFmt w:val="bullet"/>
      <w:lvlText w:val="•"/>
      <w:lvlJc w:val="left"/>
      <w:pPr>
        <w:ind w:left="726" w:hanging="100"/>
      </w:pPr>
      <w:rPr>
        <w:rFonts w:hint="default"/>
      </w:rPr>
    </w:lvl>
    <w:lvl w:ilvl="5" w:tplc="32FEC78A">
      <w:numFmt w:val="bullet"/>
      <w:lvlText w:val="•"/>
      <w:lvlJc w:val="left"/>
      <w:pPr>
        <w:ind w:left="868" w:hanging="100"/>
      </w:pPr>
      <w:rPr>
        <w:rFonts w:hint="default"/>
      </w:rPr>
    </w:lvl>
    <w:lvl w:ilvl="6" w:tplc="9BA45B60">
      <w:numFmt w:val="bullet"/>
      <w:lvlText w:val="•"/>
      <w:lvlJc w:val="left"/>
      <w:pPr>
        <w:ind w:left="1010" w:hanging="100"/>
      </w:pPr>
      <w:rPr>
        <w:rFonts w:hint="default"/>
      </w:rPr>
    </w:lvl>
    <w:lvl w:ilvl="7" w:tplc="F0F6B860">
      <w:numFmt w:val="bullet"/>
      <w:lvlText w:val="•"/>
      <w:lvlJc w:val="left"/>
      <w:pPr>
        <w:ind w:left="1151" w:hanging="100"/>
      </w:pPr>
      <w:rPr>
        <w:rFonts w:hint="default"/>
      </w:rPr>
    </w:lvl>
    <w:lvl w:ilvl="8" w:tplc="CFB25430">
      <w:numFmt w:val="bullet"/>
      <w:lvlText w:val="•"/>
      <w:lvlJc w:val="left"/>
      <w:pPr>
        <w:ind w:left="1293" w:hanging="100"/>
      </w:pPr>
      <w:rPr>
        <w:rFonts w:hint="default"/>
      </w:rPr>
    </w:lvl>
  </w:abstractNum>
  <w:abstractNum w:abstractNumId="1772" w15:restartNumberingAfterBreak="0">
    <w:nsid w:val="6F7B1C46"/>
    <w:multiLevelType w:val="hybridMultilevel"/>
    <w:tmpl w:val="D1DC5FEE"/>
    <w:lvl w:ilvl="0" w:tplc="C752281A">
      <w:numFmt w:val="bullet"/>
      <w:lvlText w:val=""/>
      <w:lvlJc w:val="left"/>
      <w:pPr>
        <w:ind w:left="156" w:hanging="100"/>
      </w:pPr>
      <w:rPr>
        <w:rFonts w:ascii="Symbol" w:eastAsia="Symbol" w:hAnsi="Symbol" w:cs="Symbol" w:hint="default"/>
        <w:color w:val="231F20"/>
        <w:w w:val="100"/>
        <w:sz w:val="14"/>
        <w:szCs w:val="14"/>
      </w:rPr>
    </w:lvl>
    <w:lvl w:ilvl="1" w:tplc="CC56B94C">
      <w:numFmt w:val="bullet"/>
      <w:lvlText w:val="•"/>
      <w:lvlJc w:val="left"/>
      <w:pPr>
        <w:ind w:left="398" w:hanging="100"/>
      </w:pPr>
      <w:rPr>
        <w:rFonts w:hint="default"/>
      </w:rPr>
    </w:lvl>
    <w:lvl w:ilvl="2" w:tplc="2C86989A">
      <w:numFmt w:val="bullet"/>
      <w:lvlText w:val="•"/>
      <w:lvlJc w:val="left"/>
      <w:pPr>
        <w:ind w:left="636" w:hanging="100"/>
      </w:pPr>
      <w:rPr>
        <w:rFonts w:hint="default"/>
      </w:rPr>
    </w:lvl>
    <w:lvl w:ilvl="3" w:tplc="BD26F558">
      <w:numFmt w:val="bullet"/>
      <w:lvlText w:val="•"/>
      <w:lvlJc w:val="left"/>
      <w:pPr>
        <w:ind w:left="874" w:hanging="100"/>
      </w:pPr>
      <w:rPr>
        <w:rFonts w:hint="default"/>
      </w:rPr>
    </w:lvl>
    <w:lvl w:ilvl="4" w:tplc="E96443A0">
      <w:numFmt w:val="bullet"/>
      <w:lvlText w:val="•"/>
      <w:lvlJc w:val="left"/>
      <w:pPr>
        <w:ind w:left="1112" w:hanging="100"/>
      </w:pPr>
      <w:rPr>
        <w:rFonts w:hint="default"/>
      </w:rPr>
    </w:lvl>
    <w:lvl w:ilvl="5" w:tplc="DBB663B4">
      <w:numFmt w:val="bullet"/>
      <w:lvlText w:val="•"/>
      <w:lvlJc w:val="left"/>
      <w:pPr>
        <w:ind w:left="1350" w:hanging="100"/>
      </w:pPr>
      <w:rPr>
        <w:rFonts w:hint="default"/>
      </w:rPr>
    </w:lvl>
    <w:lvl w:ilvl="6" w:tplc="700E5C04">
      <w:numFmt w:val="bullet"/>
      <w:lvlText w:val="•"/>
      <w:lvlJc w:val="left"/>
      <w:pPr>
        <w:ind w:left="1588" w:hanging="100"/>
      </w:pPr>
      <w:rPr>
        <w:rFonts w:hint="default"/>
      </w:rPr>
    </w:lvl>
    <w:lvl w:ilvl="7" w:tplc="65F4C50A">
      <w:numFmt w:val="bullet"/>
      <w:lvlText w:val="•"/>
      <w:lvlJc w:val="left"/>
      <w:pPr>
        <w:ind w:left="1826" w:hanging="100"/>
      </w:pPr>
      <w:rPr>
        <w:rFonts w:hint="default"/>
      </w:rPr>
    </w:lvl>
    <w:lvl w:ilvl="8" w:tplc="C51C514A">
      <w:numFmt w:val="bullet"/>
      <w:lvlText w:val="•"/>
      <w:lvlJc w:val="left"/>
      <w:pPr>
        <w:ind w:left="2064" w:hanging="100"/>
      </w:pPr>
      <w:rPr>
        <w:rFonts w:hint="default"/>
      </w:rPr>
    </w:lvl>
  </w:abstractNum>
  <w:abstractNum w:abstractNumId="1773" w15:restartNumberingAfterBreak="0">
    <w:nsid w:val="6F9324B9"/>
    <w:multiLevelType w:val="hybridMultilevel"/>
    <w:tmpl w:val="17CAE8EE"/>
    <w:lvl w:ilvl="0" w:tplc="70E0A09A">
      <w:numFmt w:val="bullet"/>
      <w:lvlText w:val=""/>
      <w:lvlJc w:val="left"/>
      <w:pPr>
        <w:ind w:left="156" w:hanging="100"/>
      </w:pPr>
      <w:rPr>
        <w:rFonts w:ascii="Symbol" w:eastAsia="Symbol" w:hAnsi="Symbol" w:cs="Symbol" w:hint="default"/>
        <w:color w:val="231F20"/>
        <w:w w:val="100"/>
        <w:sz w:val="14"/>
        <w:szCs w:val="14"/>
      </w:rPr>
    </w:lvl>
    <w:lvl w:ilvl="1" w:tplc="E6BA1082">
      <w:numFmt w:val="bullet"/>
      <w:lvlText w:val="•"/>
      <w:lvlJc w:val="left"/>
      <w:pPr>
        <w:ind w:left="398" w:hanging="100"/>
      </w:pPr>
      <w:rPr>
        <w:rFonts w:hint="default"/>
      </w:rPr>
    </w:lvl>
    <w:lvl w:ilvl="2" w:tplc="C4DA7572">
      <w:numFmt w:val="bullet"/>
      <w:lvlText w:val="•"/>
      <w:lvlJc w:val="left"/>
      <w:pPr>
        <w:ind w:left="636" w:hanging="100"/>
      </w:pPr>
      <w:rPr>
        <w:rFonts w:hint="default"/>
      </w:rPr>
    </w:lvl>
    <w:lvl w:ilvl="3" w:tplc="2674AA8A">
      <w:numFmt w:val="bullet"/>
      <w:lvlText w:val="•"/>
      <w:lvlJc w:val="left"/>
      <w:pPr>
        <w:ind w:left="874" w:hanging="100"/>
      </w:pPr>
      <w:rPr>
        <w:rFonts w:hint="default"/>
      </w:rPr>
    </w:lvl>
    <w:lvl w:ilvl="4" w:tplc="D980BABE">
      <w:numFmt w:val="bullet"/>
      <w:lvlText w:val="•"/>
      <w:lvlJc w:val="left"/>
      <w:pPr>
        <w:ind w:left="1112" w:hanging="100"/>
      </w:pPr>
      <w:rPr>
        <w:rFonts w:hint="default"/>
      </w:rPr>
    </w:lvl>
    <w:lvl w:ilvl="5" w:tplc="C590D2D2">
      <w:numFmt w:val="bullet"/>
      <w:lvlText w:val="•"/>
      <w:lvlJc w:val="left"/>
      <w:pPr>
        <w:ind w:left="1350" w:hanging="100"/>
      </w:pPr>
      <w:rPr>
        <w:rFonts w:hint="default"/>
      </w:rPr>
    </w:lvl>
    <w:lvl w:ilvl="6" w:tplc="6044A9AA">
      <w:numFmt w:val="bullet"/>
      <w:lvlText w:val="•"/>
      <w:lvlJc w:val="left"/>
      <w:pPr>
        <w:ind w:left="1588" w:hanging="100"/>
      </w:pPr>
      <w:rPr>
        <w:rFonts w:hint="default"/>
      </w:rPr>
    </w:lvl>
    <w:lvl w:ilvl="7" w:tplc="52A26212">
      <w:numFmt w:val="bullet"/>
      <w:lvlText w:val="•"/>
      <w:lvlJc w:val="left"/>
      <w:pPr>
        <w:ind w:left="1826" w:hanging="100"/>
      </w:pPr>
      <w:rPr>
        <w:rFonts w:hint="default"/>
      </w:rPr>
    </w:lvl>
    <w:lvl w:ilvl="8" w:tplc="AD6EF246">
      <w:numFmt w:val="bullet"/>
      <w:lvlText w:val="•"/>
      <w:lvlJc w:val="left"/>
      <w:pPr>
        <w:ind w:left="2064" w:hanging="100"/>
      </w:pPr>
      <w:rPr>
        <w:rFonts w:hint="default"/>
      </w:rPr>
    </w:lvl>
  </w:abstractNum>
  <w:abstractNum w:abstractNumId="1774" w15:restartNumberingAfterBreak="0">
    <w:nsid w:val="6F9E3D8A"/>
    <w:multiLevelType w:val="hybridMultilevel"/>
    <w:tmpl w:val="293AED06"/>
    <w:lvl w:ilvl="0" w:tplc="7E3E82F0">
      <w:numFmt w:val="bullet"/>
      <w:lvlText w:val=""/>
      <w:lvlJc w:val="left"/>
      <w:pPr>
        <w:ind w:left="156" w:hanging="100"/>
      </w:pPr>
      <w:rPr>
        <w:rFonts w:ascii="Symbol" w:eastAsia="Symbol" w:hAnsi="Symbol" w:cs="Symbol" w:hint="default"/>
        <w:color w:val="231F20"/>
        <w:w w:val="100"/>
        <w:sz w:val="14"/>
        <w:szCs w:val="14"/>
      </w:rPr>
    </w:lvl>
    <w:lvl w:ilvl="1" w:tplc="AF18D9C6">
      <w:numFmt w:val="bullet"/>
      <w:lvlText w:val="•"/>
      <w:lvlJc w:val="left"/>
      <w:pPr>
        <w:ind w:left="301" w:hanging="100"/>
      </w:pPr>
      <w:rPr>
        <w:rFonts w:hint="default"/>
      </w:rPr>
    </w:lvl>
    <w:lvl w:ilvl="2" w:tplc="10840148">
      <w:numFmt w:val="bullet"/>
      <w:lvlText w:val="•"/>
      <w:lvlJc w:val="left"/>
      <w:pPr>
        <w:ind w:left="443" w:hanging="100"/>
      </w:pPr>
      <w:rPr>
        <w:rFonts w:hint="default"/>
      </w:rPr>
    </w:lvl>
    <w:lvl w:ilvl="3" w:tplc="865AA102">
      <w:numFmt w:val="bullet"/>
      <w:lvlText w:val="•"/>
      <w:lvlJc w:val="left"/>
      <w:pPr>
        <w:ind w:left="585" w:hanging="100"/>
      </w:pPr>
      <w:rPr>
        <w:rFonts w:hint="default"/>
      </w:rPr>
    </w:lvl>
    <w:lvl w:ilvl="4" w:tplc="77580200">
      <w:numFmt w:val="bullet"/>
      <w:lvlText w:val="•"/>
      <w:lvlJc w:val="left"/>
      <w:pPr>
        <w:ind w:left="726" w:hanging="100"/>
      </w:pPr>
      <w:rPr>
        <w:rFonts w:hint="default"/>
      </w:rPr>
    </w:lvl>
    <w:lvl w:ilvl="5" w:tplc="359AD7CC">
      <w:numFmt w:val="bullet"/>
      <w:lvlText w:val="•"/>
      <w:lvlJc w:val="left"/>
      <w:pPr>
        <w:ind w:left="868" w:hanging="100"/>
      </w:pPr>
      <w:rPr>
        <w:rFonts w:hint="default"/>
      </w:rPr>
    </w:lvl>
    <w:lvl w:ilvl="6" w:tplc="2AB4BDF0">
      <w:numFmt w:val="bullet"/>
      <w:lvlText w:val="•"/>
      <w:lvlJc w:val="left"/>
      <w:pPr>
        <w:ind w:left="1010" w:hanging="100"/>
      </w:pPr>
      <w:rPr>
        <w:rFonts w:hint="default"/>
      </w:rPr>
    </w:lvl>
    <w:lvl w:ilvl="7" w:tplc="194254D6">
      <w:numFmt w:val="bullet"/>
      <w:lvlText w:val="•"/>
      <w:lvlJc w:val="left"/>
      <w:pPr>
        <w:ind w:left="1151" w:hanging="100"/>
      </w:pPr>
      <w:rPr>
        <w:rFonts w:hint="default"/>
      </w:rPr>
    </w:lvl>
    <w:lvl w:ilvl="8" w:tplc="EB082236">
      <w:numFmt w:val="bullet"/>
      <w:lvlText w:val="•"/>
      <w:lvlJc w:val="left"/>
      <w:pPr>
        <w:ind w:left="1293" w:hanging="100"/>
      </w:pPr>
      <w:rPr>
        <w:rFonts w:hint="default"/>
      </w:rPr>
    </w:lvl>
  </w:abstractNum>
  <w:abstractNum w:abstractNumId="1775" w15:restartNumberingAfterBreak="0">
    <w:nsid w:val="6FAA2713"/>
    <w:multiLevelType w:val="hybridMultilevel"/>
    <w:tmpl w:val="62166EE0"/>
    <w:lvl w:ilvl="0" w:tplc="F0964F32">
      <w:numFmt w:val="bullet"/>
      <w:lvlText w:val=""/>
      <w:lvlJc w:val="left"/>
      <w:pPr>
        <w:ind w:left="156" w:hanging="100"/>
      </w:pPr>
      <w:rPr>
        <w:rFonts w:ascii="Symbol" w:eastAsia="Symbol" w:hAnsi="Symbol" w:cs="Symbol" w:hint="default"/>
        <w:color w:val="231F20"/>
        <w:w w:val="100"/>
        <w:sz w:val="14"/>
        <w:szCs w:val="14"/>
      </w:rPr>
    </w:lvl>
    <w:lvl w:ilvl="1" w:tplc="86FAC328">
      <w:numFmt w:val="bullet"/>
      <w:lvlText w:val="•"/>
      <w:lvlJc w:val="left"/>
      <w:pPr>
        <w:ind w:left="398" w:hanging="100"/>
      </w:pPr>
      <w:rPr>
        <w:rFonts w:hint="default"/>
      </w:rPr>
    </w:lvl>
    <w:lvl w:ilvl="2" w:tplc="54BE7562">
      <w:numFmt w:val="bullet"/>
      <w:lvlText w:val="•"/>
      <w:lvlJc w:val="left"/>
      <w:pPr>
        <w:ind w:left="636" w:hanging="100"/>
      </w:pPr>
      <w:rPr>
        <w:rFonts w:hint="default"/>
      </w:rPr>
    </w:lvl>
    <w:lvl w:ilvl="3" w:tplc="8DAEF124">
      <w:numFmt w:val="bullet"/>
      <w:lvlText w:val="•"/>
      <w:lvlJc w:val="left"/>
      <w:pPr>
        <w:ind w:left="874" w:hanging="100"/>
      </w:pPr>
      <w:rPr>
        <w:rFonts w:hint="default"/>
      </w:rPr>
    </w:lvl>
    <w:lvl w:ilvl="4" w:tplc="7ECAA6BE">
      <w:numFmt w:val="bullet"/>
      <w:lvlText w:val="•"/>
      <w:lvlJc w:val="left"/>
      <w:pPr>
        <w:ind w:left="1112" w:hanging="100"/>
      </w:pPr>
      <w:rPr>
        <w:rFonts w:hint="default"/>
      </w:rPr>
    </w:lvl>
    <w:lvl w:ilvl="5" w:tplc="32EABFEE">
      <w:numFmt w:val="bullet"/>
      <w:lvlText w:val="•"/>
      <w:lvlJc w:val="left"/>
      <w:pPr>
        <w:ind w:left="1350" w:hanging="100"/>
      </w:pPr>
      <w:rPr>
        <w:rFonts w:hint="default"/>
      </w:rPr>
    </w:lvl>
    <w:lvl w:ilvl="6" w:tplc="A274B82A">
      <w:numFmt w:val="bullet"/>
      <w:lvlText w:val="•"/>
      <w:lvlJc w:val="left"/>
      <w:pPr>
        <w:ind w:left="1588" w:hanging="100"/>
      </w:pPr>
      <w:rPr>
        <w:rFonts w:hint="default"/>
      </w:rPr>
    </w:lvl>
    <w:lvl w:ilvl="7" w:tplc="9108856C">
      <w:numFmt w:val="bullet"/>
      <w:lvlText w:val="•"/>
      <w:lvlJc w:val="left"/>
      <w:pPr>
        <w:ind w:left="1826" w:hanging="100"/>
      </w:pPr>
      <w:rPr>
        <w:rFonts w:hint="default"/>
      </w:rPr>
    </w:lvl>
    <w:lvl w:ilvl="8" w:tplc="0608DC1C">
      <w:numFmt w:val="bullet"/>
      <w:lvlText w:val="•"/>
      <w:lvlJc w:val="left"/>
      <w:pPr>
        <w:ind w:left="2064" w:hanging="100"/>
      </w:pPr>
      <w:rPr>
        <w:rFonts w:hint="default"/>
      </w:rPr>
    </w:lvl>
  </w:abstractNum>
  <w:abstractNum w:abstractNumId="1776" w15:restartNumberingAfterBreak="0">
    <w:nsid w:val="6FAE386E"/>
    <w:multiLevelType w:val="hybridMultilevel"/>
    <w:tmpl w:val="1A349B74"/>
    <w:lvl w:ilvl="0" w:tplc="4FA02CDE">
      <w:numFmt w:val="bullet"/>
      <w:lvlText w:val=""/>
      <w:lvlJc w:val="left"/>
      <w:pPr>
        <w:ind w:left="156" w:hanging="100"/>
      </w:pPr>
      <w:rPr>
        <w:rFonts w:ascii="Symbol" w:eastAsia="Symbol" w:hAnsi="Symbol" w:cs="Symbol" w:hint="default"/>
        <w:color w:val="231F20"/>
        <w:w w:val="100"/>
        <w:sz w:val="14"/>
        <w:szCs w:val="14"/>
      </w:rPr>
    </w:lvl>
    <w:lvl w:ilvl="1" w:tplc="AB2099C2">
      <w:numFmt w:val="bullet"/>
      <w:lvlText w:val="•"/>
      <w:lvlJc w:val="left"/>
      <w:pPr>
        <w:ind w:left="301" w:hanging="100"/>
      </w:pPr>
      <w:rPr>
        <w:rFonts w:hint="default"/>
      </w:rPr>
    </w:lvl>
    <w:lvl w:ilvl="2" w:tplc="42A87790">
      <w:numFmt w:val="bullet"/>
      <w:lvlText w:val="•"/>
      <w:lvlJc w:val="left"/>
      <w:pPr>
        <w:ind w:left="443" w:hanging="100"/>
      </w:pPr>
      <w:rPr>
        <w:rFonts w:hint="default"/>
      </w:rPr>
    </w:lvl>
    <w:lvl w:ilvl="3" w:tplc="6C46465A">
      <w:numFmt w:val="bullet"/>
      <w:lvlText w:val="•"/>
      <w:lvlJc w:val="left"/>
      <w:pPr>
        <w:ind w:left="585" w:hanging="100"/>
      </w:pPr>
      <w:rPr>
        <w:rFonts w:hint="default"/>
      </w:rPr>
    </w:lvl>
    <w:lvl w:ilvl="4" w:tplc="7D4429B2">
      <w:numFmt w:val="bullet"/>
      <w:lvlText w:val="•"/>
      <w:lvlJc w:val="left"/>
      <w:pPr>
        <w:ind w:left="726" w:hanging="100"/>
      </w:pPr>
      <w:rPr>
        <w:rFonts w:hint="default"/>
      </w:rPr>
    </w:lvl>
    <w:lvl w:ilvl="5" w:tplc="EB0E3F52">
      <w:numFmt w:val="bullet"/>
      <w:lvlText w:val="•"/>
      <w:lvlJc w:val="left"/>
      <w:pPr>
        <w:ind w:left="868" w:hanging="100"/>
      </w:pPr>
      <w:rPr>
        <w:rFonts w:hint="default"/>
      </w:rPr>
    </w:lvl>
    <w:lvl w:ilvl="6" w:tplc="8B549962">
      <w:numFmt w:val="bullet"/>
      <w:lvlText w:val="•"/>
      <w:lvlJc w:val="left"/>
      <w:pPr>
        <w:ind w:left="1010" w:hanging="100"/>
      </w:pPr>
      <w:rPr>
        <w:rFonts w:hint="default"/>
      </w:rPr>
    </w:lvl>
    <w:lvl w:ilvl="7" w:tplc="CFFA671A">
      <w:numFmt w:val="bullet"/>
      <w:lvlText w:val="•"/>
      <w:lvlJc w:val="left"/>
      <w:pPr>
        <w:ind w:left="1151" w:hanging="100"/>
      </w:pPr>
      <w:rPr>
        <w:rFonts w:hint="default"/>
      </w:rPr>
    </w:lvl>
    <w:lvl w:ilvl="8" w:tplc="D9A062F8">
      <w:numFmt w:val="bullet"/>
      <w:lvlText w:val="•"/>
      <w:lvlJc w:val="left"/>
      <w:pPr>
        <w:ind w:left="1293" w:hanging="100"/>
      </w:pPr>
      <w:rPr>
        <w:rFonts w:hint="default"/>
      </w:rPr>
    </w:lvl>
  </w:abstractNum>
  <w:abstractNum w:abstractNumId="1777" w15:restartNumberingAfterBreak="0">
    <w:nsid w:val="6FCA5AD6"/>
    <w:multiLevelType w:val="hybridMultilevel"/>
    <w:tmpl w:val="032C2CA8"/>
    <w:lvl w:ilvl="0" w:tplc="B0A40B16">
      <w:numFmt w:val="bullet"/>
      <w:lvlText w:val=""/>
      <w:lvlJc w:val="left"/>
      <w:pPr>
        <w:ind w:left="156" w:hanging="100"/>
      </w:pPr>
      <w:rPr>
        <w:rFonts w:ascii="Symbol" w:eastAsia="Symbol" w:hAnsi="Symbol" w:cs="Symbol" w:hint="default"/>
        <w:color w:val="231F20"/>
        <w:w w:val="100"/>
        <w:sz w:val="14"/>
        <w:szCs w:val="14"/>
      </w:rPr>
    </w:lvl>
    <w:lvl w:ilvl="1" w:tplc="BBF430DC">
      <w:numFmt w:val="bullet"/>
      <w:lvlText w:val="•"/>
      <w:lvlJc w:val="left"/>
      <w:pPr>
        <w:ind w:left="301" w:hanging="100"/>
      </w:pPr>
      <w:rPr>
        <w:rFonts w:hint="default"/>
      </w:rPr>
    </w:lvl>
    <w:lvl w:ilvl="2" w:tplc="DCE498C0">
      <w:numFmt w:val="bullet"/>
      <w:lvlText w:val="•"/>
      <w:lvlJc w:val="left"/>
      <w:pPr>
        <w:ind w:left="443" w:hanging="100"/>
      </w:pPr>
      <w:rPr>
        <w:rFonts w:hint="default"/>
      </w:rPr>
    </w:lvl>
    <w:lvl w:ilvl="3" w:tplc="8FBE02E6">
      <w:numFmt w:val="bullet"/>
      <w:lvlText w:val="•"/>
      <w:lvlJc w:val="left"/>
      <w:pPr>
        <w:ind w:left="585" w:hanging="100"/>
      </w:pPr>
      <w:rPr>
        <w:rFonts w:hint="default"/>
      </w:rPr>
    </w:lvl>
    <w:lvl w:ilvl="4" w:tplc="7D0EF994">
      <w:numFmt w:val="bullet"/>
      <w:lvlText w:val="•"/>
      <w:lvlJc w:val="left"/>
      <w:pPr>
        <w:ind w:left="726" w:hanging="100"/>
      </w:pPr>
      <w:rPr>
        <w:rFonts w:hint="default"/>
      </w:rPr>
    </w:lvl>
    <w:lvl w:ilvl="5" w:tplc="438CD8A8">
      <w:numFmt w:val="bullet"/>
      <w:lvlText w:val="•"/>
      <w:lvlJc w:val="left"/>
      <w:pPr>
        <w:ind w:left="868" w:hanging="100"/>
      </w:pPr>
      <w:rPr>
        <w:rFonts w:hint="default"/>
      </w:rPr>
    </w:lvl>
    <w:lvl w:ilvl="6" w:tplc="5E0A4440">
      <w:numFmt w:val="bullet"/>
      <w:lvlText w:val="•"/>
      <w:lvlJc w:val="left"/>
      <w:pPr>
        <w:ind w:left="1010" w:hanging="100"/>
      </w:pPr>
      <w:rPr>
        <w:rFonts w:hint="default"/>
      </w:rPr>
    </w:lvl>
    <w:lvl w:ilvl="7" w:tplc="B0204D6C">
      <w:numFmt w:val="bullet"/>
      <w:lvlText w:val="•"/>
      <w:lvlJc w:val="left"/>
      <w:pPr>
        <w:ind w:left="1151" w:hanging="100"/>
      </w:pPr>
      <w:rPr>
        <w:rFonts w:hint="default"/>
      </w:rPr>
    </w:lvl>
    <w:lvl w:ilvl="8" w:tplc="8F8450E8">
      <w:numFmt w:val="bullet"/>
      <w:lvlText w:val="•"/>
      <w:lvlJc w:val="left"/>
      <w:pPr>
        <w:ind w:left="1293" w:hanging="100"/>
      </w:pPr>
      <w:rPr>
        <w:rFonts w:hint="default"/>
      </w:rPr>
    </w:lvl>
  </w:abstractNum>
  <w:abstractNum w:abstractNumId="1778" w15:restartNumberingAfterBreak="0">
    <w:nsid w:val="6FCF3604"/>
    <w:multiLevelType w:val="hybridMultilevel"/>
    <w:tmpl w:val="FF7CFD48"/>
    <w:lvl w:ilvl="0" w:tplc="40CE92FC">
      <w:numFmt w:val="bullet"/>
      <w:lvlText w:val=""/>
      <w:lvlJc w:val="left"/>
      <w:pPr>
        <w:ind w:left="156" w:hanging="100"/>
      </w:pPr>
      <w:rPr>
        <w:rFonts w:ascii="Symbol" w:eastAsia="Symbol" w:hAnsi="Symbol" w:cs="Symbol" w:hint="default"/>
        <w:color w:val="231F20"/>
        <w:w w:val="100"/>
        <w:sz w:val="14"/>
        <w:szCs w:val="14"/>
      </w:rPr>
    </w:lvl>
    <w:lvl w:ilvl="1" w:tplc="3A682C9C">
      <w:numFmt w:val="bullet"/>
      <w:lvlText w:val="•"/>
      <w:lvlJc w:val="left"/>
      <w:pPr>
        <w:ind w:left="301" w:hanging="100"/>
      </w:pPr>
      <w:rPr>
        <w:rFonts w:hint="default"/>
      </w:rPr>
    </w:lvl>
    <w:lvl w:ilvl="2" w:tplc="B67E9246">
      <w:numFmt w:val="bullet"/>
      <w:lvlText w:val="•"/>
      <w:lvlJc w:val="left"/>
      <w:pPr>
        <w:ind w:left="443" w:hanging="100"/>
      </w:pPr>
      <w:rPr>
        <w:rFonts w:hint="default"/>
      </w:rPr>
    </w:lvl>
    <w:lvl w:ilvl="3" w:tplc="166C77C8">
      <w:numFmt w:val="bullet"/>
      <w:lvlText w:val="•"/>
      <w:lvlJc w:val="left"/>
      <w:pPr>
        <w:ind w:left="585" w:hanging="100"/>
      </w:pPr>
      <w:rPr>
        <w:rFonts w:hint="default"/>
      </w:rPr>
    </w:lvl>
    <w:lvl w:ilvl="4" w:tplc="D5662DC4">
      <w:numFmt w:val="bullet"/>
      <w:lvlText w:val="•"/>
      <w:lvlJc w:val="left"/>
      <w:pPr>
        <w:ind w:left="726" w:hanging="100"/>
      </w:pPr>
      <w:rPr>
        <w:rFonts w:hint="default"/>
      </w:rPr>
    </w:lvl>
    <w:lvl w:ilvl="5" w:tplc="1304C9B2">
      <w:numFmt w:val="bullet"/>
      <w:lvlText w:val="•"/>
      <w:lvlJc w:val="left"/>
      <w:pPr>
        <w:ind w:left="868" w:hanging="100"/>
      </w:pPr>
      <w:rPr>
        <w:rFonts w:hint="default"/>
      </w:rPr>
    </w:lvl>
    <w:lvl w:ilvl="6" w:tplc="2960B38C">
      <w:numFmt w:val="bullet"/>
      <w:lvlText w:val="•"/>
      <w:lvlJc w:val="left"/>
      <w:pPr>
        <w:ind w:left="1010" w:hanging="100"/>
      </w:pPr>
      <w:rPr>
        <w:rFonts w:hint="default"/>
      </w:rPr>
    </w:lvl>
    <w:lvl w:ilvl="7" w:tplc="A15E1D02">
      <w:numFmt w:val="bullet"/>
      <w:lvlText w:val="•"/>
      <w:lvlJc w:val="left"/>
      <w:pPr>
        <w:ind w:left="1151" w:hanging="100"/>
      </w:pPr>
      <w:rPr>
        <w:rFonts w:hint="default"/>
      </w:rPr>
    </w:lvl>
    <w:lvl w:ilvl="8" w:tplc="1D14EAC8">
      <w:numFmt w:val="bullet"/>
      <w:lvlText w:val="•"/>
      <w:lvlJc w:val="left"/>
      <w:pPr>
        <w:ind w:left="1293" w:hanging="100"/>
      </w:pPr>
      <w:rPr>
        <w:rFonts w:hint="default"/>
      </w:rPr>
    </w:lvl>
  </w:abstractNum>
  <w:abstractNum w:abstractNumId="1779" w15:restartNumberingAfterBreak="0">
    <w:nsid w:val="6FDF020C"/>
    <w:multiLevelType w:val="hybridMultilevel"/>
    <w:tmpl w:val="828A80F4"/>
    <w:lvl w:ilvl="0" w:tplc="8DA68D38">
      <w:numFmt w:val="bullet"/>
      <w:lvlText w:val=""/>
      <w:lvlJc w:val="left"/>
      <w:pPr>
        <w:ind w:left="157" w:hanging="100"/>
      </w:pPr>
      <w:rPr>
        <w:rFonts w:ascii="Symbol" w:eastAsia="Symbol" w:hAnsi="Symbol" w:cs="Symbol" w:hint="default"/>
        <w:color w:val="231F20"/>
        <w:w w:val="100"/>
        <w:sz w:val="14"/>
        <w:szCs w:val="14"/>
      </w:rPr>
    </w:lvl>
    <w:lvl w:ilvl="1" w:tplc="30906F96">
      <w:numFmt w:val="bullet"/>
      <w:lvlText w:val="•"/>
      <w:lvlJc w:val="left"/>
      <w:pPr>
        <w:ind w:left="426" w:hanging="100"/>
      </w:pPr>
      <w:rPr>
        <w:rFonts w:hint="default"/>
      </w:rPr>
    </w:lvl>
    <w:lvl w:ilvl="2" w:tplc="5C16144C">
      <w:numFmt w:val="bullet"/>
      <w:lvlText w:val="•"/>
      <w:lvlJc w:val="left"/>
      <w:pPr>
        <w:ind w:left="692" w:hanging="100"/>
      </w:pPr>
      <w:rPr>
        <w:rFonts w:hint="default"/>
      </w:rPr>
    </w:lvl>
    <w:lvl w:ilvl="3" w:tplc="2CB0B606">
      <w:numFmt w:val="bullet"/>
      <w:lvlText w:val="•"/>
      <w:lvlJc w:val="left"/>
      <w:pPr>
        <w:ind w:left="959" w:hanging="100"/>
      </w:pPr>
      <w:rPr>
        <w:rFonts w:hint="default"/>
      </w:rPr>
    </w:lvl>
    <w:lvl w:ilvl="4" w:tplc="8E061598">
      <w:numFmt w:val="bullet"/>
      <w:lvlText w:val="•"/>
      <w:lvlJc w:val="left"/>
      <w:pPr>
        <w:ind w:left="1225" w:hanging="100"/>
      </w:pPr>
      <w:rPr>
        <w:rFonts w:hint="default"/>
      </w:rPr>
    </w:lvl>
    <w:lvl w:ilvl="5" w:tplc="C94608A2">
      <w:numFmt w:val="bullet"/>
      <w:lvlText w:val="•"/>
      <w:lvlJc w:val="left"/>
      <w:pPr>
        <w:ind w:left="1492" w:hanging="100"/>
      </w:pPr>
      <w:rPr>
        <w:rFonts w:hint="default"/>
      </w:rPr>
    </w:lvl>
    <w:lvl w:ilvl="6" w:tplc="7182F40E">
      <w:numFmt w:val="bullet"/>
      <w:lvlText w:val="•"/>
      <w:lvlJc w:val="left"/>
      <w:pPr>
        <w:ind w:left="1758" w:hanging="100"/>
      </w:pPr>
      <w:rPr>
        <w:rFonts w:hint="default"/>
      </w:rPr>
    </w:lvl>
    <w:lvl w:ilvl="7" w:tplc="5B1CDF3C">
      <w:numFmt w:val="bullet"/>
      <w:lvlText w:val="•"/>
      <w:lvlJc w:val="left"/>
      <w:pPr>
        <w:ind w:left="2024" w:hanging="100"/>
      </w:pPr>
      <w:rPr>
        <w:rFonts w:hint="default"/>
      </w:rPr>
    </w:lvl>
    <w:lvl w:ilvl="8" w:tplc="A6DCB770">
      <w:numFmt w:val="bullet"/>
      <w:lvlText w:val="•"/>
      <w:lvlJc w:val="left"/>
      <w:pPr>
        <w:ind w:left="2291" w:hanging="100"/>
      </w:pPr>
      <w:rPr>
        <w:rFonts w:hint="default"/>
      </w:rPr>
    </w:lvl>
  </w:abstractNum>
  <w:abstractNum w:abstractNumId="1780" w15:restartNumberingAfterBreak="0">
    <w:nsid w:val="70095549"/>
    <w:multiLevelType w:val="hybridMultilevel"/>
    <w:tmpl w:val="2082A06C"/>
    <w:lvl w:ilvl="0" w:tplc="EE26C990">
      <w:numFmt w:val="bullet"/>
      <w:lvlText w:val=""/>
      <w:lvlJc w:val="left"/>
      <w:pPr>
        <w:ind w:left="156" w:hanging="100"/>
      </w:pPr>
      <w:rPr>
        <w:rFonts w:ascii="Symbol" w:eastAsia="Symbol" w:hAnsi="Symbol" w:cs="Symbol" w:hint="default"/>
        <w:color w:val="231F20"/>
        <w:w w:val="100"/>
        <w:sz w:val="14"/>
        <w:szCs w:val="14"/>
      </w:rPr>
    </w:lvl>
    <w:lvl w:ilvl="1" w:tplc="418E50C0">
      <w:numFmt w:val="bullet"/>
      <w:lvlText w:val="•"/>
      <w:lvlJc w:val="left"/>
      <w:pPr>
        <w:ind w:left="398" w:hanging="100"/>
      </w:pPr>
      <w:rPr>
        <w:rFonts w:hint="default"/>
      </w:rPr>
    </w:lvl>
    <w:lvl w:ilvl="2" w:tplc="3A46DD00">
      <w:numFmt w:val="bullet"/>
      <w:lvlText w:val="•"/>
      <w:lvlJc w:val="left"/>
      <w:pPr>
        <w:ind w:left="636" w:hanging="100"/>
      </w:pPr>
      <w:rPr>
        <w:rFonts w:hint="default"/>
      </w:rPr>
    </w:lvl>
    <w:lvl w:ilvl="3" w:tplc="C9903C90">
      <w:numFmt w:val="bullet"/>
      <w:lvlText w:val="•"/>
      <w:lvlJc w:val="left"/>
      <w:pPr>
        <w:ind w:left="874" w:hanging="100"/>
      </w:pPr>
      <w:rPr>
        <w:rFonts w:hint="default"/>
      </w:rPr>
    </w:lvl>
    <w:lvl w:ilvl="4" w:tplc="F230D17A">
      <w:numFmt w:val="bullet"/>
      <w:lvlText w:val="•"/>
      <w:lvlJc w:val="left"/>
      <w:pPr>
        <w:ind w:left="1112" w:hanging="100"/>
      </w:pPr>
      <w:rPr>
        <w:rFonts w:hint="default"/>
      </w:rPr>
    </w:lvl>
    <w:lvl w:ilvl="5" w:tplc="BF40A968">
      <w:numFmt w:val="bullet"/>
      <w:lvlText w:val="•"/>
      <w:lvlJc w:val="left"/>
      <w:pPr>
        <w:ind w:left="1350" w:hanging="100"/>
      </w:pPr>
      <w:rPr>
        <w:rFonts w:hint="default"/>
      </w:rPr>
    </w:lvl>
    <w:lvl w:ilvl="6" w:tplc="8DB27058">
      <w:numFmt w:val="bullet"/>
      <w:lvlText w:val="•"/>
      <w:lvlJc w:val="left"/>
      <w:pPr>
        <w:ind w:left="1588" w:hanging="100"/>
      </w:pPr>
      <w:rPr>
        <w:rFonts w:hint="default"/>
      </w:rPr>
    </w:lvl>
    <w:lvl w:ilvl="7" w:tplc="5A06216E">
      <w:numFmt w:val="bullet"/>
      <w:lvlText w:val="•"/>
      <w:lvlJc w:val="left"/>
      <w:pPr>
        <w:ind w:left="1826" w:hanging="100"/>
      </w:pPr>
      <w:rPr>
        <w:rFonts w:hint="default"/>
      </w:rPr>
    </w:lvl>
    <w:lvl w:ilvl="8" w:tplc="EB48EE52">
      <w:numFmt w:val="bullet"/>
      <w:lvlText w:val="•"/>
      <w:lvlJc w:val="left"/>
      <w:pPr>
        <w:ind w:left="2064" w:hanging="100"/>
      </w:pPr>
      <w:rPr>
        <w:rFonts w:hint="default"/>
      </w:rPr>
    </w:lvl>
  </w:abstractNum>
  <w:abstractNum w:abstractNumId="1781" w15:restartNumberingAfterBreak="0">
    <w:nsid w:val="70247702"/>
    <w:multiLevelType w:val="hybridMultilevel"/>
    <w:tmpl w:val="8F4264E6"/>
    <w:lvl w:ilvl="0" w:tplc="55DE998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AD82DAC8">
      <w:numFmt w:val="bullet"/>
      <w:lvlText w:val="•"/>
      <w:lvlJc w:val="left"/>
      <w:pPr>
        <w:ind w:left="408" w:hanging="84"/>
      </w:pPr>
      <w:rPr>
        <w:rFonts w:hint="default"/>
      </w:rPr>
    </w:lvl>
    <w:lvl w:ilvl="2" w:tplc="AA3C4EE6">
      <w:numFmt w:val="bullet"/>
      <w:lvlText w:val="•"/>
      <w:lvlJc w:val="left"/>
      <w:pPr>
        <w:ind w:left="676" w:hanging="84"/>
      </w:pPr>
      <w:rPr>
        <w:rFonts w:hint="default"/>
      </w:rPr>
    </w:lvl>
    <w:lvl w:ilvl="3" w:tplc="3D38FF38">
      <w:numFmt w:val="bullet"/>
      <w:lvlText w:val="•"/>
      <w:lvlJc w:val="left"/>
      <w:pPr>
        <w:ind w:left="945" w:hanging="84"/>
      </w:pPr>
      <w:rPr>
        <w:rFonts w:hint="default"/>
      </w:rPr>
    </w:lvl>
    <w:lvl w:ilvl="4" w:tplc="C46E6B3E">
      <w:numFmt w:val="bullet"/>
      <w:lvlText w:val="•"/>
      <w:lvlJc w:val="left"/>
      <w:pPr>
        <w:ind w:left="1213" w:hanging="84"/>
      </w:pPr>
      <w:rPr>
        <w:rFonts w:hint="default"/>
      </w:rPr>
    </w:lvl>
    <w:lvl w:ilvl="5" w:tplc="BF1E5EC4">
      <w:numFmt w:val="bullet"/>
      <w:lvlText w:val="•"/>
      <w:lvlJc w:val="left"/>
      <w:pPr>
        <w:ind w:left="1482" w:hanging="84"/>
      </w:pPr>
      <w:rPr>
        <w:rFonts w:hint="default"/>
      </w:rPr>
    </w:lvl>
    <w:lvl w:ilvl="6" w:tplc="1F6E1EDE">
      <w:numFmt w:val="bullet"/>
      <w:lvlText w:val="•"/>
      <w:lvlJc w:val="left"/>
      <w:pPr>
        <w:ind w:left="1750" w:hanging="84"/>
      </w:pPr>
      <w:rPr>
        <w:rFonts w:hint="default"/>
      </w:rPr>
    </w:lvl>
    <w:lvl w:ilvl="7" w:tplc="6F7076BA">
      <w:numFmt w:val="bullet"/>
      <w:lvlText w:val="•"/>
      <w:lvlJc w:val="left"/>
      <w:pPr>
        <w:ind w:left="2018" w:hanging="84"/>
      </w:pPr>
      <w:rPr>
        <w:rFonts w:hint="default"/>
      </w:rPr>
    </w:lvl>
    <w:lvl w:ilvl="8" w:tplc="1CC408D8">
      <w:numFmt w:val="bullet"/>
      <w:lvlText w:val="•"/>
      <w:lvlJc w:val="left"/>
      <w:pPr>
        <w:ind w:left="2287" w:hanging="84"/>
      </w:pPr>
      <w:rPr>
        <w:rFonts w:hint="default"/>
      </w:rPr>
    </w:lvl>
  </w:abstractNum>
  <w:abstractNum w:abstractNumId="1782" w15:restartNumberingAfterBreak="0">
    <w:nsid w:val="703D29B8"/>
    <w:multiLevelType w:val="hybridMultilevel"/>
    <w:tmpl w:val="3F66A1C2"/>
    <w:lvl w:ilvl="0" w:tplc="41D01AB0">
      <w:numFmt w:val="bullet"/>
      <w:lvlText w:val=""/>
      <w:lvlJc w:val="left"/>
      <w:pPr>
        <w:ind w:left="157" w:hanging="100"/>
      </w:pPr>
      <w:rPr>
        <w:rFonts w:ascii="Symbol" w:eastAsia="Symbol" w:hAnsi="Symbol" w:cs="Symbol" w:hint="default"/>
        <w:color w:val="231F20"/>
        <w:w w:val="100"/>
        <w:sz w:val="14"/>
        <w:szCs w:val="14"/>
      </w:rPr>
    </w:lvl>
    <w:lvl w:ilvl="1" w:tplc="17C2DC44">
      <w:numFmt w:val="bullet"/>
      <w:lvlText w:val="•"/>
      <w:lvlJc w:val="left"/>
      <w:pPr>
        <w:ind w:left="398" w:hanging="100"/>
      </w:pPr>
      <w:rPr>
        <w:rFonts w:hint="default"/>
      </w:rPr>
    </w:lvl>
    <w:lvl w:ilvl="2" w:tplc="BD0E33B2">
      <w:numFmt w:val="bullet"/>
      <w:lvlText w:val="•"/>
      <w:lvlJc w:val="left"/>
      <w:pPr>
        <w:ind w:left="636" w:hanging="100"/>
      </w:pPr>
      <w:rPr>
        <w:rFonts w:hint="default"/>
      </w:rPr>
    </w:lvl>
    <w:lvl w:ilvl="3" w:tplc="7C08D864">
      <w:numFmt w:val="bullet"/>
      <w:lvlText w:val="•"/>
      <w:lvlJc w:val="left"/>
      <w:pPr>
        <w:ind w:left="874" w:hanging="100"/>
      </w:pPr>
      <w:rPr>
        <w:rFonts w:hint="default"/>
      </w:rPr>
    </w:lvl>
    <w:lvl w:ilvl="4" w:tplc="271A53BA">
      <w:numFmt w:val="bullet"/>
      <w:lvlText w:val="•"/>
      <w:lvlJc w:val="left"/>
      <w:pPr>
        <w:ind w:left="1112" w:hanging="100"/>
      </w:pPr>
      <w:rPr>
        <w:rFonts w:hint="default"/>
      </w:rPr>
    </w:lvl>
    <w:lvl w:ilvl="5" w:tplc="9D2E7EEC">
      <w:numFmt w:val="bullet"/>
      <w:lvlText w:val="•"/>
      <w:lvlJc w:val="left"/>
      <w:pPr>
        <w:ind w:left="1350" w:hanging="100"/>
      </w:pPr>
      <w:rPr>
        <w:rFonts w:hint="default"/>
      </w:rPr>
    </w:lvl>
    <w:lvl w:ilvl="6" w:tplc="CA74822E">
      <w:numFmt w:val="bullet"/>
      <w:lvlText w:val="•"/>
      <w:lvlJc w:val="left"/>
      <w:pPr>
        <w:ind w:left="1588" w:hanging="100"/>
      </w:pPr>
      <w:rPr>
        <w:rFonts w:hint="default"/>
      </w:rPr>
    </w:lvl>
    <w:lvl w:ilvl="7" w:tplc="B16E5BF4">
      <w:numFmt w:val="bullet"/>
      <w:lvlText w:val="•"/>
      <w:lvlJc w:val="left"/>
      <w:pPr>
        <w:ind w:left="1826" w:hanging="100"/>
      </w:pPr>
      <w:rPr>
        <w:rFonts w:hint="default"/>
      </w:rPr>
    </w:lvl>
    <w:lvl w:ilvl="8" w:tplc="FA147774">
      <w:numFmt w:val="bullet"/>
      <w:lvlText w:val="•"/>
      <w:lvlJc w:val="left"/>
      <w:pPr>
        <w:ind w:left="2064" w:hanging="100"/>
      </w:pPr>
      <w:rPr>
        <w:rFonts w:hint="default"/>
      </w:rPr>
    </w:lvl>
  </w:abstractNum>
  <w:abstractNum w:abstractNumId="1783" w15:restartNumberingAfterBreak="0">
    <w:nsid w:val="705710B1"/>
    <w:multiLevelType w:val="hybridMultilevel"/>
    <w:tmpl w:val="05C6ECBA"/>
    <w:lvl w:ilvl="0" w:tplc="4A445FCA">
      <w:numFmt w:val="bullet"/>
      <w:lvlText w:val=""/>
      <w:lvlJc w:val="left"/>
      <w:pPr>
        <w:ind w:left="156" w:hanging="100"/>
      </w:pPr>
      <w:rPr>
        <w:rFonts w:ascii="Symbol" w:eastAsia="Symbol" w:hAnsi="Symbol" w:cs="Symbol" w:hint="default"/>
        <w:color w:val="231F20"/>
        <w:w w:val="100"/>
        <w:sz w:val="14"/>
        <w:szCs w:val="14"/>
      </w:rPr>
    </w:lvl>
    <w:lvl w:ilvl="1" w:tplc="35DEF46A">
      <w:numFmt w:val="bullet"/>
      <w:lvlText w:val="•"/>
      <w:lvlJc w:val="left"/>
      <w:pPr>
        <w:ind w:left="454" w:hanging="100"/>
      </w:pPr>
      <w:rPr>
        <w:rFonts w:hint="default"/>
      </w:rPr>
    </w:lvl>
    <w:lvl w:ilvl="2" w:tplc="39D4087C">
      <w:numFmt w:val="bullet"/>
      <w:lvlText w:val="•"/>
      <w:lvlJc w:val="left"/>
      <w:pPr>
        <w:ind w:left="749" w:hanging="100"/>
      </w:pPr>
      <w:rPr>
        <w:rFonts w:hint="default"/>
      </w:rPr>
    </w:lvl>
    <w:lvl w:ilvl="3" w:tplc="FFAC1ECE">
      <w:numFmt w:val="bullet"/>
      <w:lvlText w:val="•"/>
      <w:lvlJc w:val="left"/>
      <w:pPr>
        <w:ind w:left="1044" w:hanging="100"/>
      </w:pPr>
      <w:rPr>
        <w:rFonts w:hint="default"/>
      </w:rPr>
    </w:lvl>
    <w:lvl w:ilvl="4" w:tplc="349EEA9E">
      <w:numFmt w:val="bullet"/>
      <w:lvlText w:val="•"/>
      <w:lvlJc w:val="left"/>
      <w:pPr>
        <w:ind w:left="1339" w:hanging="100"/>
      </w:pPr>
      <w:rPr>
        <w:rFonts w:hint="default"/>
      </w:rPr>
    </w:lvl>
    <w:lvl w:ilvl="5" w:tplc="5C5CB58E">
      <w:numFmt w:val="bullet"/>
      <w:lvlText w:val="•"/>
      <w:lvlJc w:val="left"/>
      <w:pPr>
        <w:ind w:left="1634" w:hanging="100"/>
      </w:pPr>
      <w:rPr>
        <w:rFonts w:hint="default"/>
      </w:rPr>
    </w:lvl>
    <w:lvl w:ilvl="6" w:tplc="974A7B74">
      <w:numFmt w:val="bullet"/>
      <w:lvlText w:val="•"/>
      <w:lvlJc w:val="left"/>
      <w:pPr>
        <w:ind w:left="1928" w:hanging="100"/>
      </w:pPr>
      <w:rPr>
        <w:rFonts w:hint="default"/>
      </w:rPr>
    </w:lvl>
    <w:lvl w:ilvl="7" w:tplc="883C04C2">
      <w:numFmt w:val="bullet"/>
      <w:lvlText w:val="•"/>
      <w:lvlJc w:val="left"/>
      <w:pPr>
        <w:ind w:left="2223" w:hanging="100"/>
      </w:pPr>
      <w:rPr>
        <w:rFonts w:hint="default"/>
      </w:rPr>
    </w:lvl>
    <w:lvl w:ilvl="8" w:tplc="C23E7B38">
      <w:numFmt w:val="bullet"/>
      <w:lvlText w:val="•"/>
      <w:lvlJc w:val="left"/>
      <w:pPr>
        <w:ind w:left="2518" w:hanging="100"/>
      </w:pPr>
      <w:rPr>
        <w:rFonts w:hint="default"/>
      </w:rPr>
    </w:lvl>
  </w:abstractNum>
  <w:abstractNum w:abstractNumId="1784" w15:restartNumberingAfterBreak="0">
    <w:nsid w:val="706B19CC"/>
    <w:multiLevelType w:val="hybridMultilevel"/>
    <w:tmpl w:val="CFA6917C"/>
    <w:lvl w:ilvl="0" w:tplc="E6F6FE76">
      <w:numFmt w:val="bullet"/>
      <w:lvlText w:val=""/>
      <w:lvlJc w:val="left"/>
      <w:pPr>
        <w:ind w:left="156" w:hanging="100"/>
      </w:pPr>
      <w:rPr>
        <w:rFonts w:ascii="Symbol" w:eastAsia="Symbol" w:hAnsi="Symbol" w:cs="Symbol" w:hint="default"/>
        <w:color w:val="231F20"/>
        <w:w w:val="100"/>
        <w:sz w:val="14"/>
        <w:szCs w:val="14"/>
      </w:rPr>
    </w:lvl>
    <w:lvl w:ilvl="1" w:tplc="8B1E7192">
      <w:numFmt w:val="bullet"/>
      <w:lvlText w:val="•"/>
      <w:lvlJc w:val="left"/>
      <w:pPr>
        <w:ind w:left="426" w:hanging="100"/>
      </w:pPr>
      <w:rPr>
        <w:rFonts w:hint="default"/>
      </w:rPr>
    </w:lvl>
    <w:lvl w:ilvl="2" w:tplc="8FD2F76A">
      <w:numFmt w:val="bullet"/>
      <w:lvlText w:val="•"/>
      <w:lvlJc w:val="left"/>
      <w:pPr>
        <w:ind w:left="692" w:hanging="100"/>
      </w:pPr>
      <w:rPr>
        <w:rFonts w:hint="default"/>
      </w:rPr>
    </w:lvl>
    <w:lvl w:ilvl="3" w:tplc="3FB8D206">
      <w:numFmt w:val="bullet"/>
      <w:lvlText w:val="•"/>
      <w:lvlJc w:val="left"/>
      <w:pPr>
        <w:ind w:left="959" w:hanging="100"/>
      </w:pPr>
      <w:rPr>
        <w:rFonts w:hint="default"/>
      </w:rPr>
    </w:lvl>
    <w:lvl w:ilvl="4" w:tplc="CAA0D3C4">
      <w:numFmt w:val="bullet"/>
      <w:lvlText w:val="•"/>
      <w:lvlJc w:val="left"/>
      <w:pPr>
        <w:ind w:left="1225" w:hanging="100"/>
      </w:pPr>
      <w:rPr>
        <w:rFonts w:hint="default"/>
      </w:rPr>
    </w:lvl>
    <w:lvl w:ilvl="5" w:tplc="8F204B08">
      <w:numFmt w:val="bullet"/>
      <w:lvlText w:val="•"/>
      <w:lvlJc w:val="left"/>
      <w:pPr>
        <w:ind w:left="1492" w:hanging="100"/>
      </w:pPr>
      <w:rPr>
        <w:rFonts w:hint="default"/>
      </w:rPr>
    </w:lvl>
    <w:lvl w:ilvl="6" w:tplc="E312E31E">
      <w:numFmt w:val="bullet"/>
      <w:lvlText w:val="•"/>
      <w:lvlJc w:val="left"/>
      <w:pPr>
        <w:ind w:left="1758" w:hanging="100"/>
      </w:pPr>
      <w:rPr>
        <w:rFonts w:hint="default"/>
      </w:rPr>
    </w:lvl>
    <w:lvl w:ilvl="7" w:tplc="8C52A28E">
      <w:numFmt w:val="bullet"/>
      <w:lvlText w:val="•"/>
      <w:lvlJc w:val="left"/>
      <w:pPr>
        <w:ind w:left="2024" w:hanging="100"/>
      </w:pPr>
      <w:rPr>
        <w:rFonts w:hint="default"/>
      </w:rPr>
    </w:lvl>
    <w:lvl w:ilvl="8" w:tplc="A2A6673A">
      <w:numFmt w:val="bullet"/>
      <w:lvlText w:val="•"/>
      <w:lvlJc w:val="left"/>
      <w:pPr>
        <w:ind w:left="2291" w:hanging="100"/>
      </w:pPr>
      <w:rPr>
        <w:rFonts w:hint="default"/>
      </w:rPr>
    </w:lvl>
  </w:abstractNum>
  <w:abstractNum w:abstractNumId="1785" w15:restartNumberingAfterBreak="0">
    <w:nsid w:val="708A2879"/>
    <w:multiLevelType w:val="hybridMultilevel"/>
    <w:tmpl w:val="A93AC4F2"/>
    <w:lvl w:ilvl="0" w:tplc="EAFAF82C">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349CA430">
      <w:numFmt w:val="bullet"/>
      <w:lvlText w:val="•"/>
      <w:lvlJc w:val="left"/>
      <w:pPr>
        <w:ind w:left="426" w:hanging="105"/>
      </w:pPr>
      <w:rPr>
        <w:rFonts w:hint="default"/>
      </w:rPr>
    </w:lvl>
    <w:lvl w:ilvl="2" w:tplc="57CA65FE">
      <w:numFmt w:val="bullet"/>
      <w:lvlText w:val="•"/>
      <w:lvlJc w:val="left"/>
      <w:pPr>
        <w:ind w:left="692" w:hanging="105"/>
      </w:pPr>
      <w:rPr>
        <w:rFonts w:hint="default"/>
      </w:rPr>
    </w:lvl>
    <w:lvl w:ilvl="3" w:tplc="3C281C58">
      <w:numFmt w:val="bullet"/>
      <w:lvlText w:val="•"/>
      <w:lvlJc w:val="left"/>
      <w:pPr>
        <w:ind w:left="959" w:hanging="105"/>
      </w:pPr>
      <w:rPr>
        <w:rFonts w:hint="default"/>
      </w:rPr>
    </w:lvl>
    <w:lvl w:ilvl="4" w:tplc="C7E635C4">
      <w:numFmt w:val="bullet"/>
      <w:lvlText w:val="•"/>
      <w:lvlJc w:val="left"/>
      <w:pPr>
        <w:ind w:left="1225" w:hanging="105"/>
      </w:pPr>
      <w:rPr>
        <w:rFonts w:hint="default"/>
      </w:rPr>
    </w:lvl>
    <w:lvl w:ilvl="5" w:tplc="E9E48754">
      <w:numFmt w:val="bullet"/>
      <w:lvlText w:val="•"/>
      <w:lvlJc w:val="left"/>
      <w:pPr>
        <w:ind w:left="1492" w:hanging="105"/>
      </w:pPr>
      <w:rPr>
        <w:rFonts w:hint="default"/>
      </w:rPr>
    </w:lvl>
    <w:lvl w:ilvl="6" w:tplc="4B345B0A">
      <w:numFmt w:val="bullet"/>
      <w:lvlText w:val="•"/>
      <w:lvlJc w:val="left"/>
      <w:pPr>
        <w:ind w:left="1758" w:hanging="105"/>
      </w:pPr>
      <w:rPr>
        <w:rFonts w:hint="default"/>
      </w:rPr>
    </w:lvl>
    <w:lvl w:ilvl="7" w:tplc="E3B2D800">
      <w:numFmt w:val="bullet"/>
      <w:lvlText w:val="•"/>
      <w:lvlJc w:val="left"/>
      <w:pPr>
        <w:ind w:left="2024" w:hanging="105"/>
      </w:pPr>
      <w:rPr>
        <w:rFonts w:hint="default"/>
      </w:rPr>
    </w:lvl>
    <w:lvl w:ilvl="8" w:tplc="F36C0FC4">
      <w:numFmt w:val="bullet"/>
      <w:lvlText w:val="•"/>
      <w:lvlJc w:val="left"/>
      <w:pPr>
        <w:ind w:left="2291" w:hanging="105"/>
      </w:pPr>
      <w:rPr>
        <w:rFonts w:hint="default"/>
      </w:rPr>
    </w:lvl>
  </w:abstractNum>
  <w:abstractNum w:abstractNumId="1786" w15:restartNumberingAfterBreak="0">
    <w:nsid w:val="70943A20"/>
    <w:multiLevelType w:val="hybridMultilevel"/>
    <w:tmpl w:val="4C105720"/>
    <w:lvl w:ilvl="0" w:tplc="CCFC6644">
      <w:numFmt w:val="bullet"/>
      <w:lvlText w:val=""/>
      <w:lvlJc w:val="left"/>
      <w:pPr>
        <w:ind w:left="156" w:hanging="100"/>
      </w:pPr>
      <w:rPr>
        <w:rFonts w:ascii="Symbol" w:eastAsia="Symbol" w:hAnsi="Symbol" w:cs="Symbol" w:hint="default"/>
        <w:color w:val="231F20"/>
        <w:w w:val="100"/>
        <w:sz w:val="14"/>
        <w:szCs w:val="14"/>
      </w:rPr>
    </w:lvl>
    <w:lvl w:ilvl="1" w:tplc="DA8A81E8">
      <w:numFmt w:val="bullet"/>
      <w:lvlText w:val="•"/>
      <w:lvlJc w:val="left"/>
      <w:pPr>
        <w:ind w:left="398" w:hanging="100"/>
      </w:pPr>
      <w:rPr>
        <w:rFonts w:hint="default"/>
      </w:rPr>
    </w:lvl>
    <w:lvl w:ilvl="2" w:tplc="266090AA">
      <w:numFmt w:val="bullet"/>
      <w:lvlText w:val="•"/>
      <w:lvlJc w:val="left"/>
      <w:pPr>
        <w:ind w:left="636" w:hanging="100"/>
      </w:pPr>
      <w:rPr>
        <w:rFonts w:hint="default"/>
      </w:rPr>
    </w:lvl>
    <w:lvl w:ilvl="3" w:tplc="30AEF132">
      <w:numFmt w:val="bullet"/>
      <w:lvlText w:val="•"/>
      <w:lvlJc w:val="left"/>
      <w:pPr>
        <w:ind w:left="874" w:hanging="100"/>
      </w:pPr>
      <w:rPr>
        <w:rFonts w:hint="default"/>
      </w:rPr>
    </w:lvl>
    <w:lvl w:ilvl="4" w:tplc="D0060ACA">
      <w:numFmt w:val="bullet"/>
      <w:lvlText w:val="•"/>
      <w:lvlJc w:val="left"/>
      <w:pPr>
        <w:ind w:left="1112" w:hanging="100"/>
      </w:pPr>
      <w:rPr>
        <w:rFonts w:hint="default"/>
      </w:rPr>
    </w:lvl>
    <w:lvl w:ilvl="5" w:tplc="3A3A4DA0">
      <w:numFmt w:val="bullet"/>
      <w:lvlText w:val="•"/>
      <w:lvlJc w:val="left"/>
      <w:pPr>
        <w:ind w:left="1350" w:hanging="100"/>
      </w:pPr>
      <w:rPr>
        <w:rFonts w:hint="default"/>
      </w:rPr>
    </w:lvl>
    <w:lvl w:ilvl="6" w:tplc="6E5C591E">
      <w:numFmt w:val="bullet"/>
      <w:lvlText w:val="•"/>
      <w:lvlJc w:val="left"/>
      <w:pPr>
        <w:ind w:left="1588" w:hanging="100"/>
      </w:pPr>
      <w:rPr>
        <w:rFonts w:hint="default"/>
      </w:rPr>
    </w:lvl>
    <w:lvl w:ilvl="7" w:tplc="502E7B0A">
      <w:numFmt w:val="bullet"/>
      <w:lvlText w:val="•"/>
      <w:lvlJc w:val="left"/>
      <w:pPr>
        <w:ind w:left="1826" w:hanging="100"/>
      </w:pPr>
      <w:rPr>
        <w:rFonts w:hint="default"/>
      </w:rPr>
    </w:lvl>
    <w:lvl w:ilvl="8" w:tplc="A36CD28C">
      <w:numFmt w:val="bullet"/>
      <w:lvlText w:val="•"/>
      <w:lvlJc w:val="left"/>
      <w:pPr>
        <w:ind w:left="2064" w:hanging="100"/>
      </w:pPr>
      <w:rPr>
        <w:rFonts w:hint="default"/>
      </w:rPr>
    </w:lvl>
  </w:abstractNum>
  <w:abstractNum w:abstractNumId="1787" w15:restartNumberingAfterBreak="0">
    <w:nsid w:val="709A0520"/>
    <w:multiLevelType w:val="hybridMultilevel"/>
    <w:tmpl w:val="8CEA5D3E"/>
    <w:lvl w:ilvl="0" w:tplc="8DCEB36C">
      <w:numFmt w:val="bullet"/>
      <w:lvlText w:val="–"/>
      <w:lvlJc w:val="left"/>
      <w:pPr>
        <w:ind w:left="162" w:hanging="105"/>
      </w:pPr>
      <w:rPr>
        <w:rFonts w:ascii="Times New Roman" w:eastAsia="Times New Roman" w:hAnsi="Times New Roman" w:cs="Times New Roman" w:hint="default"/>
        <w:color w:val="231F20"/>
        <w:spacing w:val="-3"/>
        <w:w w:val="100"/>
        <w:sz w:val="14"/>
        <w:szCs w:val="14"/>
      </w:rPr>
    </w:lvl>
    <w:lvl w:ilvl="1" w:tplc="BE52E30C">
      <w:numFmt w:val="bullet"/>
      <w:lvlText w:val="•"/>
      <w:lvlJc w:val="left"/>
      <w:pPr>
        <w:ind w:left="369" w:hanging="105"/>
      </w:pPr>
      <w:rPr>
        <w:rFonts w:hint="default"/>
      </w:rPr>
    </w:lvl>
    <w:lvl w:ilvl="2" w:tplc="D3645B96">
      <w:numFmt w:val="bullet"/>
      <w:lvlText w:val="•"/>
      <w:lvlJc w:val="left"/>
      <w:pPr>
        <w:ind w:left="579" w:hanging="105"/>
      </w:pPr>
      <w:rPr>
        <w:rFonts w:hint="default"/>
      </w:rPr>
    </w:lvl>
    <w:lvl w:ilvl="3" w:tplc="F95CF956">
      <w:numFmt w:val="bullet"/>
      <w:lvlText w:val="•"/>
      <w:lvlJc w:val="left"/>
      <w:pPr>
        <w:ind w:left="789" w:hanging="105"/>
      </w:pPr>
      <w:rPr>
        <w:rFonts w:hint="default"/>
      </w:rPr>
    </w:lvl>
    <w:lvl w:ilvl="4" w:tplc="13E24338">
      <w:numFmt w:val="bullet"/>
      <w:lvlText w:val="•"/>
      <w:lvlJc w:val="left"/>
      <w:pPr>
        <w:ind w:left="998" w:hanging="105"/>
      </w:pPr>
      <w:rPr>
        <w:rFonts w:hint="default"/>
      </w:rPr>
    </w:lvl>
    <w:lvl w:ilvl="5" w:tplc="08DC1E90">
      <w:numFmt w:val="bullet"/>
      <w:lvlText w:val="•"/>
      <w:lvlJc w:val="left"/>
      <w:pPr>
        <w:ind w:left="1208" w:hanging="105"/>
      </w:pPr>
      <w:rPr>
        <w:rFonts w:hint="default"/>
      </w:rPr>
    </w:lvl>
    <w:lvl w:ilvl="6" w:tplc="D5D4BCA4">
      <w:numFmt w:val="bullet"/>
      <w:lvlText w:val="•"/>
      <w:lvlJc w:val="left"/>
      <w:pPr>
        <w:ind w:left="1418" w:hanging="105"/>
      </w:pPr>
      <w:rPr>
        <w:rFonts w:hint="default"/>
      </w:rPr>
    </w:lvl>
    <w:lvl w:ilvl="7" w:tplc="777C2BCE">
      <w:numFmt w:val="bullet"/>
      <w:lvlText w:val="•"/>
      <w:lvlJc w:val="left"/>
      <w:pPr>
        <w:ind w:left="1627" w:hanging="105"/>
      </w:pPr>
      <w:rPr>
        <w:rFonts w:hint="default"/>
      </w:rPr>
    </w:lvl>
    <w:lvl w:ilvl="8" w:tplc="C97086B8">
      <w:numFmt w:val="bullet"/>
      <w:lvlText w:val="•"/>
      <w:lvlJc w:val="left"/>
      <w:pPr>
        <w:ind w:left="1837" w:hanging="105"/>
      </w:pPr>
      <w:rPr>
        <w:rFonts w:hint="default"/>
      </w:rPr>
    </w:lvl>
  </w:abstractNum>
  <w:abstractNum w:abstractNumId="1788" w15:restartNumberingAfterBreak="0">
    <w:nsid w:val="70A250CE"/>
    <w:multiLevelType w:val="hybridMultilevel"/>
    <w:tmpl w:val="89F05BFA"/>
    <w:lvl w:ilvl="0" w:tplc="E6968C56">
      <w:numFmt w:val="bullet"/>
      <w:lvlText w:val=""/>
      <w:lvlJc w:val="left"/>
      <w:pPr>
        <w:ind w:left="156" w:hanging="100"/>
      </w:pPr>
      <w:rPr>
        <w:rFonts w:ascii="Symbol" w:eastAsia="Symbol" w:hAnsi="Symbol" w:cs="Symbol" w:hint="default"/>
        <w:color w:val="231F20"/>
        <w:w w:val="100"/>
        <w:sz w:val="14"/>
        <w:szCs w:val="14"/>
      </w:rPr>
    </w:lvl>
    <w:lvl w:ilvl="1" w:tplc="3E7EE7BE">
      <w:numFmt w:val="bullet"/>
      <w:lvlText w:val="•"/>
      <w:lvlJc w:val="left"/>
      <w:pPr>
        <w:ind w:left="398" w:hanging="100"/>
      </w:pPr>
      <w:rPr>
        <w:rFonts w:hint="default"/>
      </w:rPr>
    </w:lvl>
    <w:lvl w:ilvl="2" w:tplc="E38898A6">
      <w:numFmt w:val="bullet"/>
      <w:lvlText w:val="•"/>
      <w:lvlJc w:val="left"/>
      <w:pPr>
        <w:ind w:left="636" w:hanging="100"/>
      </w:pPr>
      <w:rPr>
        <w:rFonts w:hint="default"/>
      </w:rPr>
    </w:lvl>
    <w:lvl w:ilvl="3" w:tplc="B268C788">
      <w:numFmt w:val="bullet"/>
      <w:lvlText w:val="•"/>
      <w:lvlJc w:val="left"/>
      <w:pPr>
        <w:ind w:left="874" w:hanging="100"/>
      </w:pPr>
      <w:rPr>
        <w:rFonts w:hint="default"/>
      </w:rPr>
    </w:lvl>
    <w:lvl w:ilvl="4" w:tplc="452AD6BE">
      <w:numFmt w:val="bullet"/>
      <w:lvlText w:val="•"/>
      <w:lvlJc w:val="left"/>
      <w:pPr>
        <w:ind w:left="1112" w:hanging="100"/>
      </w:pPr>
      <w:rPr>
        <w:rFonts w:hint="default"/>
      </w:rPr>
    </w:lvl>
    <w:lvl w:ilvl="5" w:tplc="C99C1068">
      <w:numFmt w:val="bullet"/>
      <w:lvlText w:val="•"/>
      <w:lvlJc w:val="left"/>
      <w:pPr>
        <w:ind w:left="1350" w:hanging="100"/>
      </w:pPr>
      <w:rPr>
        <w:rFonts w:hint="default"/>
      </w:rPr>
    </w:lvl>
    <w:lvl w:ilvl="6" w:tplc="BB18F964">
      <w:numFmt w:val="bullet"/>
      <w:lvlText w:val="•"/>
      <w:lvlJc w:val="left"/>
      <w:pPr>
        <w:ind w:left="1588" w:hanging="100"/>
      </w:pPr>
      <w:rPr>
        <w:rFonts w:hint="default"/>
      </w:rPr>
    </w:lvl>
    <w:lvl w:ilvl="7" w:tplc="313E8ADE">
      <w:numFmt w:val="bullet"/>
      <w:lvlText w:val="•"/>
      <w:lvlJc w:val="left"/>
      <w:pPr>
        <w:ind w:left="1826" w:hanging="100"/>
      </w:pPr>
      <w:rPr>
        <w:rFonts w:hint="default"/>
      </w:rPr>
    </w:lvl>
    <w:lvl w:ilvl="8" w:tplc="00BC9EB8">
      <w:numFmt w:val="bullet"/>
      <w:lvlText w:val="•"/>
      <w:lvlJc w:val="left"/>
      <w:pPr>
        <w:ind w:left="2064" w:hanging="100"/>
      </w:pPr>
      <w:rPr>
        <w:rFonts w:hint="default"/>
      </w:rPr>
    </w:lvl>
  </w:abstractNum>
  <w:abstractNum w:abstractNumId="1789" w15:restartNumberingAfterBreak="0">
    <w:nsid w:val="70A3619A"/>
    <w:multiLevelType w:val="hybridMultilevel"/>
    <w:tmpl w:val="21DE9BB6"/>
    <w:lvl w:ilvl="0" w:tplc="2E5855B8">
      <w:numFmt w:val="bullet"/>
      <w:lvlText w:val=""/>
      <w:lvlJc w:val="left"/>
      <w:pPr>
        <w:ind w:left="156" w:hanging="100"/>
      </w:pPr>
      <w:rPr>
        <w:rFonts w:ascii="Symbol" w:eastAsia="Symbol" w:hAnsi="Symbol" w:cs="Symbol" w:hint="default"/>
        <w:color w:val="231F20"/>
        <w:w w:val="100"/>
        <w:sz w:val="14"/>
        <w:szCs w:val="14"/>
      </w:rPr>
    </w:lvl>
    <w:lvl w:ilvl="1" w:tplc="01347D18">
      <w:numFmt w:val="bullet"/>
      <w:lvlText w:val="•"/>
      <w:lvlJc w:val="left"/>
      <w:pPr>
        <w:ind w:left="426" w:hanging="100"/>
      </w:pPr>
      <w:rPr>
        <w:rFonts w:hint="default"/>
      </w:rPr>
    </w:lvl>
    <w:lvl w:ilvl="2" w:tplc="995CD636">
      <w:numFmt w:val="bullet"/>
      <w:lvlText w:val="•"/>
      <w:lvlJc w:val="left"/>
      <w:pPr>
        <w:ind w:left="692" w:hanging="100"/>
      </w:pPr>
      <w:rPr>
        <w:rFonts w:hint="default"/>
      </w:rPr>
    </w:lvl>
    <w:lvl w:ilvl="3" w:tplc="4F1A28F2">
      <w:numFmt w:val="bullet"/>
      <w:lvlText w:val="•"/>
      <w:lvlJc w:val="left"/>
      <w:pPr>
        <w:ind w:left="959" w:hanging="100"/>
      </w:pPr>
      <w:rPr>
        <w:rFonts w:hint="default"/>
      </w:rPr>
    </w:lvl>
    <w:lvl w:ilvl="4" w:tplc="3B244A50">
      <w:numFmt w:val="bullet"/>
      <w:lvlText w:val="•"/>
      <w:lvlJc w:val="left"/>
      <w:pPr>
        <w:ind w:left="1225" w:hanging="100"/>
      </w:pPr>
      <w:rPr>
        <w:rFonts w:hint="default"/>
      </w:rPr>
    </w:lvl>
    <w:lvl w:ilvl="5" w:tplc="2D826038">
      <w:numFmt w:val="bullet"/>
      <w:lvlText w:val="•"/>
      <w:lvlJc w:val="left"/>
      <w:pPr>
        <w:ind w:left="1492" w:hanging="100"/>
      </w:pPr>
      <w:rPr>
        <w:rFonts w:hint="default"/>
      </w:rPr>
    </w:lvl>
    <w:lvl w:ilvl="6" w:tplc="BBFAEC2C">
      <w:numFmt w:val="bullet"/>
      <w:lvlText w:val="•"/>
      <w:lvlJc w:val="left"/>
      <w:pPr>
        <w:ind w:left="1758" w:hanging="100"/>
      </w:pPr>
      <w:rPr>
        <w:rFonts w:hint="default"/>
      </w:rPr>
    </w:lvl>
    <w:lvl w:ilvl="7" w:tplc="EC923100">
      <w:numFmt w:val="bullet"/>
      <w:lvlText w:val="•"/>
      <w:lvlJc w:val="left"/>
      <w:pPr>
        <w:ind w:left="2024" w:hanging="100"/>
      </w:pPr>
      <w:rPr>
        <w:rFonts w:hint="default"/>
      </w:rPr>
    </w:lvl>
    <w:lvl w:ilvl="8" w:tplc="27E27336">
      <w:numFmt w:val="bullet"/>
      <w:lvlText w:val="•"/>
      <w:lvlJc w:val="left"/>
      <w:pPr>
        <w:ind w:left="2291" w:hanging="100"/>
      </w:pPr>
      <w:rPr>
        <w:rFonts w:hint="default"/>
      </w:rPr>
    </w:lvl>
  </w:abstractNum>
  <w:abstractNum w:abstractNumId="1790" w15:restartNumberingAfterBreak="0">
    <w:nsid w:val="70A37901"/>
    <w:multiLevelType w:val="hybridMultilevel"/>
    <w:tmpl w:val="DBA011B2"/>
    <w:lvl w:ilvl="0" w:tplc="44E2E01C">
      <w:numFmt w:val="bullet"/>
      <w:lvlText w:val=""/>
      <w:lvlJc w:val="left"/>
      <w:pPr>
        <w:ind w:left="156" w:hanging="100"/>
      </w:pPr>
      <w:rPr>
        <w:rFonts w:ascii="Symbol" w:eastAsia="Symbol" w:hAnsi="Symbol" w:cs="Symbol" w:hint="default"/>
        <w:color w:val="231F20"/>
        <w:w w:val="100"/>
        <w:sz w:val="14"/>
        <w:szCs w:val="14"/>
      </w:rPr>
    </w:lvl>
    <w:lvl w:ilvl="1" w:tplc="1782521E">
      <w:numFmt w:val="bullet"/>
      <w:lvlText w:val="•"/>
      <w:lvlJc w:val="left"/>
      <w:pPr>
        <w:ind w:left="301" w:hanging="100"/>
      </w:pPr>
      <w:rPr>
        <w:rFonts w:hint="default"/>
      </w:rPr>
    </w:lvl>
    <w:lvl w:ilvl="2" w:tplc="B86EEA50">
      <w:numFmt w:val="bullet"/>
      <w:lvlText w:val="•"/>
      <w:lvlJc w:val="left"/>
      <w:pPr>
        <w:ind w:left="443" w:hanging="100"/>
      </w:pPr>
      <w:rPr>
        <w:rFonts w:hint="default"/>
      </w:rPr>
    </w:lvl>
    <w:lvl w:ilvl="3" w:tplc="AA9EDBD6">
      <w:numFmt w:val="bullet"/>
      <w:lvlText w:val="•"/>
      <w:lvlJc w:val="left"/>
      <w:pPr>
        <w:ind w:left="585" w:hanging="100"/>
      </w:pPr>
      <w:rPr>
        <w:rFonts w:hint="default"/>
      </w:rPr>
    </w:lvl>
    <w:lvl w:ilvl="4" w:tplc="42701718">
      <w:numFmt w:val="bullet"/>
      <w:lvlText w:val="•"/>
      <w:lvlJc w:val="left"/>
      <w:pPr>
        <w:ind w:left="726" w:hanging="100"/>
      </w:pPr>
      <w:rPr>
        <w:rFonts w:hint="default"/>
      </w:rPr>
    </w:lvl>
    <w:lvl w:ilvl="5" w:tplc="5B9E5A96">
      <w:numFmt w:val="bullet"/>
      <w:lvlText w:val="•"/>
      <w:lvlJc w:val="left"/>
      <w:pPr>
        <w:ind w:left="868" w:hanging="100"/>
      </w:pPr>
      <w:rPr>
        <w:rFonts w:hint="default"/>
      </w:rPr>
    </w:lvl>
    <w:lvl w:ilvl="6" w:tplc="8172871E">
      <w:numFmt w:val="bullet"/>
      <w:lvlText w:val="•"/>
      <w:lvlJc w:val="left"/>
      <w:pPr>
        <w:ind w:left="1010" w:hanging="100"/>
      </w:pPr>
      <w:rPr>
        <w:rFonts w:hint="default"/>
      </w:rPr>
    </w:lvl>
    <w:lvl w:ilvl="7" w:tplc="055E41B2">
      <w:numFmt w:val="bullet"/>
      <w:lvlText w:val="•"/>
      <w:lvlJc w:val="left"/>
      <w:pPr>
        <w:ind w:left="1151" w:hanging="100"/>
      </w:pPr>
      <w:rPr>
        <w:rFonts w:hint="default"/>
      </w:rPr>
    </w:lvl>
    <w:lvl w:ilvl="8" w:tplc="BD8EA976">
      <w:numFmt w:val="bullet"/>
      <w:lvlText w:val="•"/>
      <w:lvlJc w:val="left"/>
      <w:pPr>
        <w:ind w:left="1293" w:hanging="100"/>
      </w:pPr>
      <w:rPr>
        <w:rFonts w:hint="default"/>
      </w:rPr>
    </w:lvl>
  </w:abstractNum>
  <w:abstractNum w:abstractNumId="1791" w15:restartNumberingAfterBreak="0">
    <w:nsid w:val="70B93A8A"/>
    <w:multiLevelType w:val="hybridMultilevel"/>
    <w:tmpl w:val="2514EE9A"/>
    <w:lvl w:ilvl="0" w:tplc="3F422912">
      <w:numFmt w:val="bullet"/>
      <w:lvlText w:val=""/>
      <w:lvlJc w:val="left"/>
      <w:pPr>
        <w:ind w:left="157" w:hanging="100"/>
      </w:pPr>
      <w:rPr>
        <w:rFonts w:ascii="Symbol" w:eastAsia="Symbol" w:hAnsi="Symbol" w:cs="Symbol" w:hint="default"/>
        <w:color w:val="231F20"/>
        <w:w w:val="100"/>
        <w:sz w:val="14"/>
        <w:szCs w:val="14"/>
      </w:rPr>
    </w:lvl>
    <w:lvl w:ilvl="1" w:tplc="068C7260">
      <w:numFmt w:val="bullet"/>
      <w:lvlText w:val="•"/>
      <w:lvlJc w:val="left"/>
      <w:pPr>
        <w:ind w:left="369" w:hanging="100"/>
      </w:pPr>
      <w:rPr>
        <w:rFonts w:hint="default"/>
      </w:rPr>
    </w:lvl>
    <w:lvl w:ilvl="2" w:tplc="34EE1C12">
      <w:numFmt w:val="bullet"/>
      <w:lvlText w:val="•"/>
      <w:lvlJc w:val="left"/>
      <w:pPr>
        <w:ind w:left="579" w:hanging="100"/>
      </w:pPr>
      <w:rPr>
        <w:rFonts w:hint="default"/>
      </w:rPr>
    </w:lvl>
    <w:lvl w:ilvl="3" w:tplc="68A6292A">
      <w:numFmt w:val="bullet"/>
      <w:lvlText w:val="•"/>
      <w:lvlJc w:val="left"/>
      <w:pPr>
        <w:ind w:left="789" w:hanging="100"/>
      </w:pPr>
      <w:rPr>
        <w:rFonts w:hint="default"/>
      </w:rPr>
    </w:lvl>
    <w:lvl w:ilvl="4" w:tplc="90D0237A">
      <w:numFmt w:val="bullet"/>
      <w:lvlText w:val="•"/>
      <w:lvlJc w:val="left"/>
      <w:pPr>
        <w:ind w:left="998" w:hanging="100"/>
      </w:pPr>
      <w:rPr>
        <w:rFonts w:hint="default"/>
      </w:rPr>
    </w:lvl>
    <w:lvl w:ilvl="5" w:tplc="81AC3764">
      <w:numFmt w:val="bullet"/>
      <w:lvlText w:val="•"/>
      <w:lvlJc w:val="left"/>
      <w:pPr>
        <w:ind w:left="1208" w:hanging="100"/>
      </w:pPr>
      <w:rPr>
        <w:rFonts w:hint="default"/>
      </w:rPr>
    </w:lvl>
    <w:lvl w:ilvl="6" w:tplc="56BAA2EC">
      <w:numFmt w:val="bullet"/>
      <w:lvlText w:val="•"/>
      <w:lvlJc w:val="left"/>
      <w:pPr>
        <w:ind w:left="1418" w:hanging="100"/>
      </w:pPr>
      <w:rPr>
        <w:rFonts w:hint="default"/>
      </w:rPr>
    </w:lvl>
    <w:lvl w:ilvl="7" w:tplc="A4FA8DB4">
      <w:numFmt w:val="bullet"/>
      <w:lvlText w:val="•"/>
      <w:lvlJc w:val="left"/>
      <w:pPr>
        <w:ind w:left="1627" w:hanging="100"/>
      </w:pPr>
      <w:rPr>
        <w:rFonts w:hint="default"/>
      </w:rPr>
    </w:lvl>
    <w:lvl w:ilvl="8" w:tplc="B9DA8F2A">
      <w:numFmt w:val="bullet"/>
      <w:lvlText w:val="•"/>
      <w:lvlJc w:val="left"/>
      <w:pPr>
        <w:ind w:left="1837" w:hanging="100"/>
      </w:pPr>
      <w:rPr>
        <w:rFonts w:hint="default"/>
      </w:rPr>
    </w:lvl>
  </w:abstractNum>
  <w:abstractNum w:abstractNumId="1792" w15:restartNumberingAfterBreak="0">
    <w:nsid w:val="70CF142B"/>
    <w:multiLevelType w:val="hybridMultilevel"/>
    <w:tmpl w:val="D070DF2C"/>
    <w:lvl w:ilvl="0" w:tplc="1E2CC656">
      <w:numFmt w:val="bullet"/>
      <w:lvlText w:val=""/>
      <w:lvlJc w:val="left"/>
      <w:pPr>
        <w:ind w:left="156" w:hanging="100"/>
      </w:pPr>
      <w:rPr>
        <w:rFonts w:ascii="Symbol" w:eastAsia="Symbol" w:hAnsi="Symbol" w:cs="Symbol" w:hint="default"/>
        <w:color w:val="231F20"/>
        <w:w w:val="100"/>
        <w:sz w:val="14"/>
        <w:szCs w:val="14"/>
      </w:rPr>
    </w:lvl>
    <w:lvl w:ilvl="1" w:tplc="586A3FB8">
      <w:numFmt w:val="bullet"/>
      <w:lvlText w:val="•"/>
      <w:lvlJc w:val="left"/>
      <w:pPr>
        <w:ind w:left="273" w:hanging="100"/>
      </w:pPr>
      <w:rPr>
        <w:rFonts w:hint="default"/>
      </w:rPr>
    </w:lvl>
    <w:lvl w:ilvl="2" w:tplc="C104309C">
      <w:numFmt w:val="bullet"/>
      <w:lvlText w:val="•"/>
      <w:lvlJc w:val="left"/>
      <w:pPr>
        <w:ind w:left="386" w:hanging="100"/>
      </w:pPr>
      <w:rPr>
        <w:rFonts w:hint="default"/>
      </w:rPr>
    </w:lvl>
    <w:lvl w:ilvl="3" w:tplc="15EE9E74">
      <w:numFmt w:val="bullet"/>
      <w:lvlText w:val="•"/>
      <w:lvlJc w:val="left"/>
      <w:pPr>
        <w:ind w:left="500" w:hanging="100"/>
      </w:pPr>
      <w:rPr>
        <w:rFonts w:hint="default"/>
      </w:rPr>
    </w:lvl>
    <w:lvl w:ilvl="4" w:tplc="6A2EBFA4">
      <w:numFmt w:val="bullet"/>
      <w:lvlText w:val="•"/>
      <w:lvlJc w:val="left"/>
      <w:pPr>
        <w:ind w:left="613" w:hanging="100"/>
      </w:pPr>
      <w:rPr>
        <w:rFonts w:hint="default"/>
      </w:rPr>
    </w:lvl>
    <w:lvl w:ilvl="5" w:tplc="814CC14A">
      <w:numFmt w:val="bullet"/>
      <w:lvlText w:val="•"/>
      <w:lvlJc w:val="left"/>
      <w:pPr>
        <w:ind w:left="727" w:hanging="100"/>
      </w:pPr>
      <w:rPr>
        <w:rFonts w:hint="default"/>
      </w:rPr>
    </w:lvl>
    <w:lvl w:ilvl="6" w:tplc="BAE8D494">
      <w:numFmt w:val="bullet"/>
      <w:lvlText w:val="•"/>
      <w:lvlJc w:val="left"/>
      <w:pPr>
        <w:ind w:left="840" w:hanging="100"/>
      </w:pPr>
      <w:rPr>
        <w:rFonts w:hint="default"/>
      </w:rPr>
    </w:lvl>
    <w:lvl w:ilvl="7" w:tplc="C8146598">
      <w:numFmt w:val="bullet"/>
      <w:lvlText w:val="•"/>
      <w:lvlJc w:val="left"/>
      <w:pPr>
        <w:ind w:left="953" w:hanging="100"/>
      </w:pPr>
      <w:rPr>
        <w:rFonts w:hint="default"/>
      </w:rPr>
    </w:lvl>
    <w:lvl w:ilvl="8" w:tplc="EB00E6FC">
      <w:numFmt w:val="bullet"/>
      <w:lvlText w:val="•"/>
      <w:lvlJc w:val="left"/>
      <w:pPr>
        <w:ind w:left="1067" w:hanging="100"/>
      </w:pPr>
      <w:rPr>
        <w:rFonts w:hint="default"/>
      </w:rPr>
    </w:lvl>
  </w:abstractNum>
  <w:abstractNum w:abstractNumId="1793" w15:restartNumberingAfterBreak="0">
    <w:nsid w:val="70D565BC"/>
    <w:multiLevelType w:val="hybridMultilevel"/>
    <w:tmpl w:val="34D65444"/>
    <w:lvl w:ilvl="0" w:tplc="5040FC7E">
      <w:numFmt w:val="bullet"/>
      <w:lvlText w:val=""/>
      <w:lvlJc w:val="left"/>
      <w:pPr>
        <w:ind w:left="156" w:hanging="100"/>
      </w:pPr>
      <w:rPr>
        <w:rFonts w:ascii="Symbol" w:eastAsia="Symbol" w:hAnsi="Symbol" w:cs="Symbol" w:hint="default"/>
        <w:color w:val="231F20"/>
        <w:w w:val="100"/>
        <w:sz w:val="14"/>
        <w:szCs w:val="14"/>
      </w:rPr>
    </w:lvl>
    <w:lvl w:ilvl="1" w:tplc="0C72D318">
      <w:numFmt w:val="bullet"/>
      <w:lvlText w:val="•"/>
      <w:lvlJc w:val="left"/>
      <w:pPr>
        <w:ind w:left="426" w:hanging="100"/>
      </w:pPr>
      <w:rPr>
        <w:rFonts w:hint="default"/>
      </w:rPr>
    </w:lvl>
    <w:lvl w:ilvl="2" w:tplc="E3F006C6">
      <w:numFmt w:val="bullet"/>
      <w:lvlText w:val="•"/>
      <w:lvlJc w:val="left"/>
      <w:pPr>
        <w:ind w:left="692" w:hanging="100"/>
      </w:pPr>
      <w:rPr>
        <w:rFonts w:hint="default"/>
      </w:rPr>
    </w:lvl>
    <w:lvl w:ilvl="3" w:tplc="52A61774">
      <w:numFmt w:val="bullet"/>
      <w:lvlText w:val="•"/>
      <w:lvlJc w:val="left"/>
      <w:pPr>
        <w:ind w:left="959" w:hanging="100"/>
      </w:pPr>
      <w:rPr>
        <w:rFonts w:hint="default"/>
      </w:rPr>
    </w:lvl>
    <w:lvl w:ilvl="4" w:tplc="31920868">
      <w:numFmt w:val="bullet"/>
      <w:lvlText w:val="•"/>
      <w:lvlJc w:val="left"/>
      <w:pPr>
        <w:ind w:left="1225" w:hanging="100"/>
      </w:pPr>
      <w:rPr>
        <w:rFonts w:hint="default"/>
      </w:rPr>
    </w:lvl>
    <w:lvl w:ilvl="5" w:tplc="DE90B9DC">
      <w:numFmt w:val="bullet"/>
      <w:lvlText w:val="•"/>
      <w:lvlJc w:val="left"/>
      <w:pPr>
        <w:ind w:left="1492" w:hanging="100"/>
      </w:pPr>
      <w:rPr>
        <w:rFonts w:hint="default"/>
      </w:rPr>
    </w:lvl>
    <w:lvl w:ilvl="6" w:tplc="CA72138A">
      <w:numFmt w:val="bullet"/>
      <w:lvlText w:val="•"/>
      <w:lvlJc w:val="left"/>
      <w:pPr>
        <w:ind w:left="1758" w:hanging="100"/>
      </w:pPr>
      <w:rPr>
        <w:rFonts w:hint="default"/>
      </w:rPr>
    </w:lvl>
    <w:lvl w:ilvl="7" w:tplc="F8A0B6FE">
      <w:numFmt w:val="bullet"/>
      <w:lvlText w:val="•"/>
      <w:lvlJc w:val="left"/>
      <w:pPr>
        <w:ind w:left="2024" w:hanging="100"/>
      </w:pPr>
      <w:rPr>
        <w:rFonts w:hint="default"/>
      </w:rPr>
    </w:lvl>
    <w:lvl w:ilvl="8" w:tplc="A4AE4726">
      <w:numFmt w:val="bullet"/>
      <w:lvlText w:val="•"/>
      <w:lvlJc w:val="left"/>
      <w:pPr>
        <w:ind w:left="2291" w:hanging="100"/>
      </w:pPr>
      <w:rPr>
        <w:rFonts w:hint="default"/>
      </w:rPr>
    </w:lvl>
  </w:abstractNum>
  <w:abstractNum w:abstractNumId="1794" w15:restartNumberingAfterBreak="0">
    <w:nsid w:val="70F007F0"/>
    <w:multiLevelType w:val="hybridMultilevel"/>
    <w:tmpl w:val="7854C75E"/>
    <w:lvl w:ilvl="0" w:tplc="F244A5EC">
      <w:numFmt w:val="bullet"/>
      <w:lvlText w:val=""/>
      <w:lvlJc w:val="left"/>
      <w:pPr>
        <w:ind w:left="157" w:hanging="100"/>
      </w:pPr>
      <w:rPr>
        <w:rFonts w:ascii="Symbol" w:eastAsia="Symbol" w:hAnsi="Symbol" w:cs="Symbol" w:hint="default"/>
        <w:color w:val="231F20"/>
        <w:w w:val="100"/>
        <w:sz w:val="14"/>
        <w:szCs w:val="14"/>
      </w:rPr>
    </w:lvl>
    <w:lvl w:ilvl="1" w:tplc="D96C7CC6">
      <w:numFmt w:val="bullet"/>
      <w:lvlText w:val="•"/>
      <w:lvlJc w:val="left"/>
      <w:pPr>
        <w:ind w:left="426" w:hanging="100"/>
      </w:pPr>
      <w:rPr>
        <w:rFonts w:hint="default"/>
      </w:rPr>
    </w:lvl>
    <w:lvl w:ilvl="2" w:tplc="28DE535A">
      <w:numFmt w:val="bullet"/>
      <w:lvlText w:val="•"/>
      <w:lvlJc w:val="left"/>
      <w:pPr>
        <w:ind w:left="692" w:hanging="100"/>
      </w:pPr>
      <w:rPr>
        <w:rFonts w:hint="default"/>
      </w:rPr>
    </w:lvl>
    <w:lvl w:ilvl="3" w:tplc="196457D0">
      <w:numFmt w:val="bullet"/>
      <w:lvlText w:val="•"/>
      <w:lvlJc w:val="left"/>
      <w:pPr>
        <w:ind w:left="959" w:hanging="100"/>
      </w:pPr>
      <w:rPr>
        <w:rFonts w:hint="default"/>
      </w:rPr>
    </w:lvl>
    <w:lvl w:ilvl="4" w:tplc="4120C7D0">
      <w:numFmt w:val="bullet"/>
      <w:lvlText w:val="•"/>
      <w:lvlJc w:val="left"/>
      <w:pPr>
        <w:ind w:left="1225" w:hanging="100"/>
      </w:pPr>
      <w:rPr>
        <w:rFonts w:hint="default"/>
      </w:rPr>
    </w:lvl>
    <w:lvl w:ilvl="5" w:tplc="E9621996">
      <w:numFmt w:val="bullet"/>
      <w:lvlText w:val="•"/>
      <w:lvlJc w:val="left"/>
      <w:pPr>
        <w:ind w:left="1492" w:hanging="100"/>
      </w:pPr>
      <w:rPr>
        <w:rFonts w:hint="default"/>
      </w:rPr>
    </w:lvl>
    <w:lvl w:ilvl="6" w:tplc="FC4A27EE">
      <w:numFmt w:val="bullet"/>
      <w:lvlText w:val="•"/>
      <w:lvlJc w:val="left"/>
      <w:pPr>
        <w:ind w:left="1758" w:hanging="100"/>
      </w:pPr>
      <w:rPr>
        <w:rFonts w:hint="default"/>
      </w:rPr>
    </w:lvl>
    <w:lvl w:ilvl="7" w:tplc="3CF26824">
      <w:numFmt w:val="bullet"/>
      <w:lvlText w:val="•"/>
      <w:lvlJc w:val="left"/>
      <w:pPr>
        <w:ind w:left="2024" w:hanging="100"/>
      </w:pPr>
      <w:rPr>
        <w:rFonts w:hint="default"/>
      </w:rPr>
    </w:lvl>
    <w:lvl w:ilvl="8" w:tplc="A2C25536">
      <w:numFmt w:val="bullet"/>
      <w:lvlText w:val="•"/>
      <w:lvlJc w:val="left"/>
      <w:pPr>
        <w:ind w:left="2291" w:hanging="100"/>
      </w:pPr>
      <w:rPr>
        <w:rFonts w:hint="default"/>
      </w:rPr>
    </w:lvl>
  </w:abstractNum>
  <w:abstractNum w:abstractNumId="1795" w15:restartNumberingAfterBreak="0">
    <w:nsid w:val="70F70E51"/>
    <w:multiLevelType w:val="hybridMultilevel"/>
    <w:tmpl w:val="D396DB26"/>
    <w:lvl w:ilvl="0" w:tplc="E21265C0">
      <w:numFmt w:val="bullet"/>
      <w:lvlText w:val=""/>
      <w:lvlJc w:val="left"/>
      <w:pPr>
        <w:ind w:left="156" w:hanging="100"/>
      </w:pPr>
      <w:rPr>
        <w:rFonts w:ascii="Symbol" w:eastAsia="Symbol" w:hAnsi="Symbol" w:cs="Symbol" w:hint="default"/>
        <w:color w:val="231F20"/>
        <w:w w:val="100"/>
        <w:sz w:val="14"/>
        <w:szCs w:val="14"/>
      </w:rPr>
    </w:lvl>
    <w:lvl w:ilvl="1" w:tplc="058639D6">
      <w:numFmt w:val="bullet"/>
      <w:lvlText w:val="•"/>
      <w:lvlJc w:val="left"/>
      <w:pPr>
        <w:ind w:left="301" w:hanging="100"/>
      </w:pPr>
      <w:rPr>
        <w:rFonts w:hint="default"/>
      </w:rPr>
    </w:lvl>
    <w:lvl w:ilvl="2" w:tplc="544A004C">
      <w:numFmt w:val="bullet"/>
      <w:lvlText w:val="•"/>
      <w:lvlJc w:val="left"/>
      <w:pPr>
        <w:ind w:left="443" w:hanging="100"/>
      </w:pPr>
      <w:rPr>
        <w:rFonts w:hint="default"/>
      </w:rPr>
    </w:lvl>
    <w:lvl w:ilvl="3" w:tplc="C5A6070E">
      <w:numFmt w:val="bullet"/>
      <w:lvlText w:val="•"/>
      <w:lvlJc w:val="left"/>
      <w:pPr>
        <w:ind w:left="585" w:hanging="100"/>
      </w:pPr>
      <w:rPr>
        <w:rFonts w:hint="default"/>
      </w:rPr>
    </w:lvl>
    <w:lvl w:ilvl="4" w:tplc="F4261030">
      <w:numFmt w:val="bullet"/>
      <w:lvlText w:val="•"/>
      <w:lvlJc w:val="left"/>
      <w:pPr>
        <w:ind w:left="726" w:hanging="100"/>
      </w:pPr>
      <w:rPr>
        <w:rFonts w:hint="default"/>
      </w:rPr>
    </w:lvl>
    <w:lvl w:ilvl="5" w:tplc="735A9D76">
      <w:numFmt w:val="bullet"/>
      <w:lvlText w:val="•"/>
      <w:lvlJc w:val="left"/>
      <w:pPr>
        <w:ind w:left="868" w:hanging="100"/>
      </w:pPr>
      <w:rPr>
        <w:rFonts w:hint="default"/>
      </w:rPr>
    </w:lvl>
    <w:lvl w:ilvl="6" w:tplc="2E70F772">
      <w:numFmt w:val="bullet"/>
      <w:lvlText w:val="•"/>
      <w:lvlJc w:val="left"/>
      <w:pPr>
        <w:ind w:left="1010" w:hanging="100"/>
      </w:pPr>
      <w:rPr>
        <w:rFonts w:hint="default"/>
      </w:rPr>
    </w:lvl>
    <w:lvl w:ilvl="7" w:tplc="6292FBEE">
      <w:numFmt w:val="bullet"/>
      <w:lvlText w:val="•"/>
      <w:lvlJc w:val="left"/>
      <w:pPr>
        <w:ind w:left="1151" w:hanging="100"/>
      </w:pPr>
      <w:rPr>
        <w:rFonts w:hint="default"/>
      </w:rPr>
    </w:lvl>
    <w:lvl w:ilvl="8" w:tplc="7198405C">
      <w:numFmt w:val="bullet"/>
      <w:lvlText w:val="•"/>
      <w:lvlJc w:val="left"/>
      <w:pPr>
        <w:ind w:left="1293" w:hanging="100"/>
      </w:pPr>
      <w:rPr>
        <w:rFonts w:hint="default"/>
      </w:rPr>
    </w:lvl>
  </w:abstractNum>
  <w:abstractNum w:abstractNumId="1796" w15:restartNumberingAfterBreak="0">
    <w:nsid w:val="71064FCE"/>
    <w:multiLevelType w:val="hybridMultilevel"/>
    <w:tmpl w:val="B36EF76A"/>
    <w:lvl w:ilvl="0" w:tplc="55180888">
      <w:numFmt w:val="bullet"/>
      <w:lvlText w:val="–"/>
      <w:lvlJc w:val="left"/>
      <w:pPr>
        <w:ind w:left="163" w:hanging="105"/>
      </w:pPr>
      <w:rPr>
        <w:rFonts w:ascii="Times New Roman" w:eastAsia="Times New Roman" w:hAnsi="Times New Roman" w:cs="Times New Roman" w:hint="default"/>
        <w:color w:val="231F20"/>
        <w:spacing w:val="-2"/>
        <w:w w:val="100"/>
        <w:sz w:val="14"/>
        <w:szCs w:val="14"/>
      </w:rPr>
    </w:lvl>
    <w:lvl w:ilvl="1" w:tplc="B6D46158">
      <w:numFmt w:val="bullet"/>
      <w:lvlText w:val="•"/>
      <w:lvlJc w:val="left"/>
      <w:pPr>
        <w:ind w:left="426" w:hanging="105"/>
      </w:pPr>
      <w:rPr>
        <w:rFonts w:hint="default"/>
      </w:rPr>
    </w:lvl>
    <w:lvl w:ilvl="2" w:tplc="F6B2D2E6">
      <w:numFmt w:val="bullet"/>
      <w:lvlText w:val="•"/>
      <w:lvlJc w:val="left"/>
      <w:pPr>
        <w:ind w:left="692" w:hanging="105"/>
      </w:pPr>
      <w:rPr>
        <w:rFonts w:hint="default"/>
      </w:rPr>
    </w:lvl>
    <w:lvl w:ilvl="3" w:tplc="3C701D24">
      <w:numFmt w:val="bullet"/>
      <w:lvlText w:val="•"/>
      <w:lvlJc w:val="left"/>
      <w:pPr>
        <w:ind w:left="959" w:hanging="105"/>
      </w:pPr>
      <w:rPr>
        <w:rFonts w:hint="default"/>
      </w:rPr>
    </w:lvl>
    <w:lvl w:ilvl="4" w:tplc="3ED627B8">
      <w:numFmt w:val="bullet"/>
      <w:lvlText w:val="•"/>
      <w:lvlJc w:val="left"/>
      <w:pPr>
        <w:ind w:left="1225" w:hanging="105"/>
      </w:pPr>
      <w:rPr>
        <w:rFonts w:hint="default"/>
      </w:rPr>
    </w:lvl>
    <w:lvl w:ilvl="5" w:tplc="19ECD1C0">
      <w:numFmt w:val="bullet"/>
      <w:lvlText w:val="•"/>
      <w:lvlJc w:val="left"/>
      <w:pPr>
        <w:ind w:left="1492" w:hanging="105"/>
      </w:pPr>
      <w:rPr>
        <w:rFonts w:hint="default"/>
      </w:rPr>
    </w:lvl>
    <w:lvl w:ilvl="6" w:tplc="52A858E0">
      <w:numFmt w:val="bullet"/>
      <w:lvlText w:val="•"/>
      <w:lvlJc w:val="left"/>
      <w:pPr>
        <w:ind w:left="1758" w:hanging="105"/>
      </w:pPr>
      <w:rPr>
        <w:rFonts w:hint="default"/>
      </w:rPr>
    </w:lvl>
    <w:lvl w:ilvl="7" w:tplc="0A384C74">
      <w:numFmt w:val="bullet"/>
      <w:lvlText w:val="•"/>
      <w:lvlJc w:val="left"/>
      <w:pPr>
        <w:ind w:left="2024" w:hanging="105"/>
      </w:pPr>
      <w:rPr>
        <w:rFonts w:hint="default"/>
      </w:rPr>
    </w:lvl>
    <w:lvl w:ilvl="8" w:tplc="79B48CE2">
      <w:numFmt w:val="bullet"/>
      <w:lvlText w:val="•"/>
      <w:lvlJc w:val="left"/>
      <w:pPr>
        <w:ind w:left="2291" w:hanging="105"/>
      </w:pPr>
      <w:rPr>
        <w:rFonts w:hint="default"/>
      </w:rPr>
    </w:lvl>
  </w:abstractNum>
  <w:abstractNum w:abstractNumId="1797" w15:restartNumberingAfterBreak="0">
    <w:nsid w:val="710936EA"/>
    <w:multiLevelType w:val="hybridMultilevel"/>
    <w:tmpl w:val="CAEC6442"/>
    <w:lvl w:ilvl="0" w:tplc="9618B5E6">
      <w:numFmt w:val="bullet"/>
      <w:lvlText w:val=""/>
      <w:lvlJc w:val="left"/>
      <w:pPr>
        <w:ind w:left="156" w:hanging="100"/>
      </w:pPr>
      <w:rPr>
        <w:rFonts w:ascii="Symbol" w:eastAsia="Symbol" w:hAnsi="Symbol" w:cs="Symbol" w:hint="default"/>
        <w:color w:val="231F20"/>
        <w:w w:val="100"/>
        <w:sz w:val="14"/>
        <w:szCs w:val="14"/>
      </w:rPr>
    </w:lvl>
    <w:lvl w:ilvl="1" w:tplc="F124A7F2">
      <w:numFmt w:val="bullet"/>
      <w:lvlText w:val="•"/>
      <w:lvlJc w:val="left"/>
      <w:pPr>
        <w:ind w:left="398" w:hanging="100"/>
      </w:pPr>
      <w:rPr>
        <w:rFonts w:hint="default"/>
      </w:rPr>
    </w:lvl>
    <w:lvl w:ilvl="2" w:tplc="6B3404EE">
      <w:numFmt w:val="bullet"/>
      <w:lvlText w:val="•"/>
      <w:lvlJc w:val="left"/>
      <w:pPr>
        <w:ind w:left="636" w:hanging="100"/>
      </w:pPr>
      <w:rPr>
        <w:rFonts w:hint="default"/>
      </w:rPr>
    </w:lvl>
    <w:lvl w:ilvl="3" w:tplc="9CAAD75E">
      <w:numFmt w:val="bullet"/>
      <w:lvlText w:val="•"/>
      <w:lvlJc w:val="left"/>
      <w:pPr>
        <w:ind w:left="874" w:hanging="100"/>
      </w:pPr>
      <w:rPr>
        <w:rFonts w:hint="default"/>
      </w:rPr>
    </w:lvl>
    <w:lvl w:ilvl="4" w:tplc="AA46B3AA">
      <w:numFmt w:val="bullet"/>
      <w:lvlText w:val="•"/>
      <w:lvlJc w:val="left"/>
      <w:pPr>
        <w:ind w:left="1112" w:hanging="100"/>
      </w:pPr>
      <w:rPr>
        <w:rFonts w:hint="default"/>
      </w:rPr>
    </w:lvl>
    <w:lvl w:ilvl="5" w:tplc="2BFE1640">
      <w:numFmt w:val="bullet"/>
      <w:lvlText w:val="•"/>
      <w:lvlJc w:val="left"/>
      <w:pPr>
        <w:ind w:left="1350" w:hanging="100"/>
      </w:pPr>
      <w:rPr>
        <w:rFonts w:hint="default"/>
      </w:rPr>
    </w:lvl>
    <w:lvl w:ilvl="6" w:tplc="080051A4">
      <w:numFmt w:val="bullet"/>
      <w:lvlText w:val="•"/>
      <w:lvlJc w:val="left"/>
      <w:pPr>
        <w:ind w:left="1588" w:hanging="100"/>
      </w:pPr>
      <w:rPr>
        <w:rFonts w:hint="default"/>
      </w:rPr>
    </w:lvl>
    <w:lvl w:ilvl="7" w:tplc="576C258E">
      <w:numFmt w:val="bullet"/>
      <w:lvlText w:val="•"/>
      <w:lvlJc w:val="left"/>
      <w:pPr>
        <w:ind w:left="1826" w:hanging="100"/>
      </w:pPr>
      <w:rPr>
        <w:rFonts w:hint="default"/>
      </w:rPr>
    </w:lvl>
    <w:lvl w:ilvl="8" w:tplc="288CD924">
      <w:numFmt w:val="bullet"/>
      <w:lvlText w:val="•"/>
      <w:lvlJc w:val="left"/>
      <w:pPr>
        <w:ind w:left="2064" w:hanging="100"/>
      </w:pPr>
      <w:rPr>
        <w:rFonts w:hint="default"/>
      </w:rPr>
    </w:lvl>
  </w:abstractNum>
  <w:abstractNum w:abstractNumId="1798" w15:restartNumberingAfterBreak="0">
    <w:nsid w:val="71180115"/>
    <w:multiLevelType w:val="hybridMultilevel"/>
    <w:tmpl w:val="4C360C06"/>
    <w:lvl w:ilvl="0" w:tplc="949A71CA">
      <w:numFmt w:val="bullet"/>
      <w:lvlText w:val=""/>
      <w:lvlJc w:val="left"/>
      <w:pPr>
        <w:ind w:left="156" w:hanging="100"/>
      </w:pPr>
      <w:rPr>
        <w:rFonts w:ascii="Symbol" w:eastAsia="Symbol" w:hAnsi="Symbol" w:cs="Symbol" w:hint="default"/>
        <w:color w:val="231F20"/>
        <w:w w:val="100"/>
        <w:sz w:val="14"/>
        <w:szCs w:val="14"/>
      </w:rPr>
    </w:lvl>
    <w:lvl w:ilvl="1" w:tplc="E46CBBBA">
      <w:numFmt w:val="bullet"/>
      <w:lvlText w:val="•"/>
      <w:lvlJc w:val="left"/>
      <w:pPr>
        <w:ind w:left="301" w:hanging="100"/>
      </w:pPr>
      <w:rPr>
        <w:rFonts w:hint="default"/>
      </w:rPr>
    </w:lvl>
    <w:lvl w:ilvl="2" w:tplc="7AF2F952">
      <w:numFmt w:val="bullet"/>
      <w:lvlText w:val="•"/>
      <w:lvlJc w:val="left"/>
      <w:pPr>
        <w:ind w:left="443" w:hanging="100"/>
      </w:pPr>
      <w:rPr>
        <w:rFonts w:hint="default"/>
      </w:rPr>
    </w:lvl>
    <w:lvl w:ilvl="3" w:tplc="7B2E2394">
      <w:numFmt w:val="bullet"/>
      <w:lvlText w:val="•"/>
      <w:lvlJc w:val="left"/>
      <w:pPr>
        <w:ind w:left="585" w:hanging="100"/>
      </w:pPr>
      <w:rPr>
        <w:rFonts w:hint="default"/>
      </w:rPr>
    </w:lvl>
    <w:lvl w:ilvl="4" w:tplc="2B001386">
      <w:numFmt w:val="bullet"/>
      <w:lvlText w:val="•"/>
      <w:lvlJc w:val="left"/>
      <w:pPr>
        <w:ind w:left="726" w:hanging="100"/>
      </w:pPr>
      <w:rPr>
        <w:rFonts w:hint="default"/>
      </w:rPr>
    </w:lvl>
    <w:lvl w:ilvl="5" w:tplc="77128B52">
      <w:numFmt w:val="bullet"/>
      <w:lvlText w:val="•"/>
      <w:lvlJc w:val="left"/>
      <w:pPr>
        <w:ind w:left="868" w:hanging="100"/>
      </w:pPr>
      <w:rPr>
        <w:rFonts w:hint="default"/>
      </w:rPr>
    </w:lvl>
    <w:lvl w:ilvl="6" w:tplc="4FACF1B0">
      <w:numFmt w:val="bullet"/>
      <w:lvlText w:val="•"/>
      <w:lvlJc w:val="left"/>
      <w:pPr>
        <w:ind w:left="1010" w:hanging="100"/>
      </w:pPr>
      <w:rPr>
        <w:rFonts w:hint="default"/>
      </w:rPr>
    </w:lvl>
    <w:lvl w:ilvl="7" w:tplc="A628F6FE">
      <w:numFmt w:val="bullet"/>
      <w:lvlText w:val="•"/>
      <w:lvlJc w:val="left"/>
      <w:pPr>
        <w:ind w:left="1151" w:hanging="100"/>
      </w:pPr>
      <w:rPr>
        <w:rFonts w:hint="default"/>
      </w:rPr>
    </w:lvl>
    <w:lvl w:ilvl="8" w:tplc="29F875C8">
      <w:numFmt w:val="bullet"/>
      <w:lvlText w:val="•"/>
      <w:lvlJc w:val="left"/>
      <w:pPr>
        <w:ind w:left="1293" w:hanging="100"/>
      </w:pPr>
      <w:rPr>
        <w:rFonts w:hint="default"/>
      </w:rPr>
    </w:lvl>
  </w:abstractNum>
  <w:abstractNum w:abstractNumId="1799" w15:restartNumberingAfterBreak="0">
    <w:nsid w:val="71261809"/>
    <w:multiLevelType w:val="hybridMultilevel"/>
    <w:tmpl w:val="8B305656"/>
    <w:lvl w:ilvl="0" w:tplc="76A890F2">
      <w:numFmt w:val="bullet"/>
      <w:lvlText w:val=""/>
      <w:lvlJc w:val="left"/>
      <w:pPr>
        <w:ind w:left="157" w:hanging="100"/>
      </w:pPr>
      <w:rPr>
        <w:rFonts w:ascii="Symbol" w:eastAsia="Symbol" w:hAnsi="Symbol" w:cs="Symbol" w:hint="default"/>
        <w:color w:val="231F20"/>
        <w:w w:val="100"/>
        <w:sz w:val="14"/>
        <w:szCs w:val="14"/>
      </w:rPr>
    </w:lvl>
    <w:lvl w:ilvl="1" w:tplc="2C120C10">
      <w:numFmt w:val="bullet"/>
      <w:lvlText w:val="•"/>
      <w:lvlJc w:val="left"/>
      <w:pPr>
        <w:ind w:left="426" w:hanging="100"/>
      </w:pPr>
      <w:rPr>
        <w:rFonts w:hint="default"/>
      </w:rPr>
    </w:lvl>
    <w:lvl w:ilvl="2" w:tplc="32205660">
      <w:numFmt w:val="bullet"/>
      <w:lvlText w:val="•"/>
      <w:lvlJc w:val="left"/>
      <w:pPr>
        <w:ind w:left="692" w:hanging="100"/>
      </w:pPr>
      <w:rPr>
        <w:rFonts w:hint="default"/>
      </w:rPr>
    </w:lvl>
    <w:lvl w:ilvl="3" w:tplc="24A2E028">
      <w:numFmt w:val="bullet"/>
      <w:lvlText w:val="•"/>
      <w:lvlJc w:val="left"/>
      <w:pPr>
        <w:ind w:left="959" w:hanging="100"/>
      </w:pPr>
      <w:rPr>
        <w:rFonts w:hint="default"/>
      </w:rPr>
    </w:lvl>
    <w:lvl w:ilvl="4" w:tplc="DC900188">
      <w:numFmt w:val="bullet"/>
      <w:lvlText w:val="•"/>
      <w:lvlJc w:val="left"/>
      <w:pPr>
        <w:ind w:left="1225" w:hanging="100"/>
      </w:pPr>
      <w:rPr>
        <w:rFonts w:hint="default"/>
      </w:rPr>
    </w:lvl>
    <w:lvl w:ilvl="5" w:tplc="3C3297B4">
      <w:numFmt w:val="bullet"/>
      <w:lvlText w:val="•"/>
      <w:lvlJc w:val="left"/>
      <w:pPr>
        <w:ind w:left="1492" w:hanging="100"/>
      </w:pPr>
      <w:rPr>
        <w:rFonts w:hint="default"/>
      </w:rPr>
    </w:lvl>
    <w:lvl w:ilvl="6" w:tplc="38B847D6">
      <w:numFmt w:val="bullet"/>
      <w:lvlText w:val="•"/>
      <w:lvlJc w:val="left"/>
      <w:pPr>
        <w:ind w:left="1758" w:hanging="100"/>
      </w:pPr>
      <w:rPr>
        <w:rFonts w:hint="default"/>
      </w:rPr>
    </w:lvl>
    <w:lvl w:ilvl="7" w:tplc="2CA41E1E">
      <w:numFmt w:val="bullet"/>
      <w:lvlText w:val="•"/>
      <w:lvlJc w:val="left"/>
      <w:pPr>
        <w:ind w:left="2024" w:hanging="100"/>
      </w:pPr>
      <w:rPr>
        <w:rFonts w:hint="default"/>
      </w:rPr>
    </w:lvl>
    <w:lvl w:ilvl="8" w:tplc="CBDAF65C">
      <w:numFmt w:val="bullet"/>
      <w:lvlText w:val="•"/>
      <w:lvlJc w:val="left"/>
      <w:pPr>
        <w:ind w:left="2291" w:hanging="100"/>
      </w:pPr>
      <w:rPr>
        <w:rFonts w:hint="default"/>
      </w:rPr>
    </w:lvl>
  </w:abstractNum>
  <w:abstractNum w:abstractNumId="1800" w15:restartNumberingAfterBreak="0">
    <w:nsid w:val="714C45D3"/>
    <w:multiLevelType w:val="hybridMultilevel"/>
    <w:tmpl w:val="E80CC204"/>
    <w:lvl w:ilvl="0" w:tplc="B0BA533E">
      <w:numFmt w:val="bullet"/>
      <w:lvlText w:val=""/>
      <w:lvlJc w:val="left"/>
      <w:pPr>
        <w:ind w:left="156" w:hanging="100"/>
      </w:pPr>
      <w:rPr>
        <w:rFonts w:ascii="Symbol" w:eastAsia="Symbol" w:hAnsi="Symbol" w:cs="Symbol" w:hint="default"/>
        <w:color w:val="231F20"/>
        <w:w w:val="100"/>
        <w:sz w:val="14"/>
        <w:szCs w:val="14"/>
      </w:rPr>
    </w:lvl>
    <w:lvl w:ilvl="1" w:tplc="EAA45782">
      <w:numFmt w:val="bullet"/>
      <w:lvlText w:val="•"/>
      <w:lvlJc w:val="left"/>
      <w:pPr>
        <w:ind w:left="301" w:hanging="100"/>
      </w:pPr>
      <w:rPr>
        <w:rFonts w:hint="default"/>
      </w:rPr>
    </w:lvl>
    <w:lvl w:ilvl="2" w:tplc="A2FABAA8">
      <w:numFmt w:val="bullet"/>
      <w:lvlText w:val="•"/>
      <w:lvlJc w:val="left"/>
      <w:pPr>
        <w:ind w:left="443" w:hanging="100"/>
      </w:pPr>
      <w:rPr>
        <w:rFonts w:hint="default"/>
      </w:rPr>
    </w:lvl>
    <w:lvl w:ilvl="3" w:tplc="6336A25A">
      <w:numFmt w:val="bullet"/>
      <w:lvlText w:val="•"/>
      <w:lvlJc w:val="left"/>
      <w:pPr>
        <w:ind w:left="585" w:hanging="100"/>
      </w:pPr>
      <w:rPr>
        <w:rFonts w:hint="default"/>
      </w:rPr>
    </w:lvl>
    <w:lvl w:ilvl="4" w:tplc="D82A585E">
      <w:numFmt w:val="bullet"/>
      <w:lvlText w:val="•"/>
      <w:lvlJc w:val="left"/>
      <w:pPr>
        <w:ind w:left="726" w:hanging="100"/>
      </w:pPr>
      <w:rPr>
        <w:rFonts w:hint="default"/>
      </w:rPr>
    </w:lvl>
    <w:lvl w:ilvl="5" w:tplc="A7E2F272">
      <w:numFmt w:val="bullet"/>
      <w:lvlText w:val="•"/>
      <w:lvlJc w:val="left"/>
      <w:pPr>
        <w:ind w:left="868" w:hanging="100"/>
      </w:pPr>
      <w:rPr>
        <w:rFonts w:hint="default"/>
      </w:rPr>
    </w:lvl>
    <w:lvl w:ilvl="6" w:tplc="C2CEEF4C">
      <w:numFmt w:val="bullet"/>
      <w:lvlText w:val="•"/>
      <w:lvlJc w:val="left"/>
      <w:pPr>
        <w:ind w:left="1010" w:hanging="100"/>
      </w:pPr>
      <w:rPr>
        <w:rFonts w:hint="default"/>
      </w:rPr>
    </w:lvl>
    <w:lvl w:ilvl="7" w:tplc="E528EA1E">
      <w:numFmt w:val="bullet"/>
      <w:lvlText w:val="•"/>
      <w:lvlJc w:val="left"/>
      <w:pPr>
        <w:ind w:left="1151" w:hanging="100"/>
      </w:pPr>
      <w:rPr>
        <w:rFonts w:hint="default"/>
      </w:rPr>
    </w:lvl>
    <w:lvl w:ilvl="8" w:tplc="43FA51A6">
      <w:numFmt w:val="bullet"/>
      <w:lvlText w:val="•"/>
      <w:lvlJc w:val="left"/>
      <w:pPr>
        <w:ind w:left="1293" w:hanging="100"/>
      </w:pPr>
      <w:rPr>
        <w:rFonts w:hint="default"/>
      </w:rPr>
    </w:lvl>
  </w:abstractNum>
  <w:abstractNum w:abstractNumId="1801" w15:restartNumberingAfterBreak="0">
    <w:nsid w:val="715353DB"/>
    <w:multiLevelType w:val="hybridMultilevel"/>
    <w:tmpl w:val="A456F9F6"/>
    <w:lvl w:ilvl="0" w:tplc="DAE0703A">
      <w:numFmt w:val="bullet"/>
      <w:lvlText w:val=""/>
      <w:lvlJc w:val="left"/>
      <w:pPr>
        <w:ind w:left="157" w:hanging="100"/>
      </w:pPr>
      <w:rPr>
        <w:rFonts w:ascii="Symbol" w:eastAsia="Symbol" w:hAnsi="Symbol" w:cs="Symbol" w:hint="default"/>
        <w:color w:val="231F20"/>
        <w:w w:val="100"/>
        <w:sz w:val="14"/>
        <w:szCs w:val="14"/>
      </w:rPr>
    </w:lvl>
    <w:lvl w:ilvl="1" w:tplc="DBB0808E">
      <w:numFmt w:val="bullet"/>
      <w:lvlText w:val="•"/>
      <w:lvlJc w:val="left"/>
      <w:pPr>
        <w:ind w:left="369" w:hanging="100"/>
      </w:pPr>
      <w:rPr>
        <w:rFonts w:hint="default"/>
      </w:rPr>
    </w:lvl>
    <w:lvl w:ilvl="2" w:tplc="635AC7D8">
      <w:numFmt w:val="bullet"/>
      <w:lvlText w:val="•"/>
      <w:lvlJc w:val="left"/>
      <w:pPr>
        <w:ind w:left="579" w:hanging="100"/>
      </w:pPr>
      <w:rPr>
        <w:rFonts w:hint="default"/>
      </w:rPr>
    </w:lvl>
    <w:lvl w:ilvl="3" w:tplc="30E06F8A">
      <w:numFmt w:val="bullet"/>
      <w:lvlText w:val="•"/>
      <w:lvlJc w:val="left"/>
      <w:pPr>
        <w:ind w:left="789" w:hanging="100"/>
      </w:pPr>
      <w:rPr>
        <w:rFonts w:hint="default"/>
      </w:rPr>
    </w:lvl>
    <w:lvl w:ilvl="4" w:tplc="90DE02AE">
      <w:numFmt w:val="bullet"/>
      <w:lvlText w:val="•"/>
      <w:lvlJc w:val="left"/>
      <w:pPr>
        <w:ind w:left="998" w:hanging="100"/>
      </w:pPr>
      <w:rPr>
        <w:rFonts w:hint="default"/>
      </w:rPr>
    </w:lvl>
    <w:lvl w:ilvl="5" w:tplc="50D2124C">
      <w:numFmt w:val="bullet"/>
      <w:lvlText w:val="•"/>
      <w:lvlJc w:val="left"/>
      <w:pPr>
        <w:ind w:left="1208" w:hanging="100"/>
      </w:pPr>
      <w:rPr>
        <w:rFonts w:hint="default"/>
      </w:rPr>
    </w:lvl>
    <w:lvl w:ilvl="6" w:tplc="66E4D518">
      <w:numFmt w:val="bullet"/>
      <w:lvlText w:val="•"/>
      <w:lvlJc w:val="left"/>
      <w:pPr>
        <w:ind w:left="1418" w:hanging="100"/>
      </w:pPr>
      <w:rPr>
        <w:rFonts w:hint="default"/>
      </w:rPr>
    </w:lvl>
    <w:lvl w:ilvl="7" w:tplc="930A548C">
      <w:numFmt w:val="bullet"/>
      <w:lvlText w:val="•"/>
      <w:lvlJc w:val="left"/>
      <w:pPr>
        <w:ind w:left="1627" w:hanging="100"/>
      </w:pPr>
      <w:rPr>
        <w:rFonts w:hint="default"/>
      </w:rPr>
    </w:lvl>
    <w:lvl w:ilvl="8" w:tplc="171CFE4A">
      <w:numFmt w:val="bullet"/>
      <w:lvlText w:val="•"/>
      <w:lvlJc w:val="left"/>
      <w:pPr>
        <w:ind w:left="1837" w:hanging="100"/>
      </w:pPr>
      <w:rPr>
        <w:rFonts w:hint="default"/>
      </w:rPr>
    </w:lvl>
  </w:abstractNum>
  <w:abstractNum w:abstractNumId="1802" w15:restartNumberingAfterBreak="0">
    <w:nsid w:val="715E76ED"/>
    <w:multiLevelType w:val="hybridMultilevel"/>
    <w:tmpl w:val="8382B19E"/>
    <w:lvl w:ilvl="0" w:tplc="70DAC52E">
      <w:numFmt w:val="bullet"/>
      <w:lvlText w:val=""/>
      <w:lvlJc w:val="left"/>
      <w:pPr>
        <w:ind w:left="156" w:hanging="100"/>
      </w:pPr>
      <w:rPr>
        <w:rFonts w:ascii="Symbol" w:eastAsia="Symbol" w:hAnsi="Symbol" w:cs="Symbol" w:hint="default"/>
        <w:color w:val="231F20"/>
        <w:w w:val="100"/>
        <w:sz w:val="14"/>
        <w:szCs w:val="14"/>
      </w:rPr>
    </w:lvl>
    <w:lvl w:ilvl="1" w:tplc="E8F813C4">
      <w:numFmt w:val="bullet"/>
      <w:lvlText w:val="•"/>
      <w:lvlJc w:val="left"/>
      <w:pPr>
        <w:ind w:left="398" w:hanging="100"/>
      </w:pPr>
      <w:rPr>
        <w:rFonts w:hint="default"/>
      </w:rPr>
    </w:lvl>
    <w:lvl w:ilvl="2" w:tplc="8DB02E5C">
      <w:numFmt w:val="bullet"/>
      <w:lvlText w:val="•"/>
      <w:lvlJc w:val="left"/>
      <w:pPr>
        <w:ind w:left="636" w:hanging="100"/>
      </w:pPr>
      <w:rPr>
        <w:rFonts w:hint="default"/>
      </w:rPr>
    </w:lvl>
    <w:lvl w:ilvl="3" w:tplc="F8F20CEE">
      <w:numFmt w:val="bullet"/>
      <w:lvlText w:val="•"/>
      <w:lvlJc w:val="left"/>
      <w:pPr>
        <w:ind w:left="874" w:hanging="100"/>
      </w:pPr>
      <w:rPr>
        <w:rFonts w:hint="default"/>
      </w:rPr>
    </w:lvl>
    <w:lvl w:ilvl="4" w:tplc="89E80584">
      <w:numFmt w:val="bullet"/>
      <w:lvlText w:val="•"/>
      <w:lvlJc w:val="left"/>
      <w:pPr>
        <w:ind w:left="1112" w:hanging="100"/>
      </w:pPr>
      <w:rPr>
        <w:rFonts w:hint="default"/>
      </w:rPr>
    </w:lvl>
    <w:lvl w:ilvl="5" w:tplc="03566DDA">
      <w:numFmt w:val="bullet"/>
      <w:lvlText w:val="•"/>
      <w:lvlJc w:val="left"/>
      <w:pPr>
        <w:ind w:left="1350" w:hanging="100"/>
      </w:pPr>
      <w:rPr>
        <w:rFonts w:hint="default"/>
      </w:rPr>
    </w:lvl>
    <w:lvl w:ilvl="6" w:tplc="A9BE73F4">
      <w:numFmt w:val="bullet"/>
      <w:lvlText w:val="•"/>
      <w:lvlJc w:val="left"/>
      <w:pPr>
        <w:ind w:left="1588" w:hanging="100"/>
      </w:pPr>
      <w:rPr>
        <w:rFonts w:hint="default"/>
      </w:rPr>
    </w:lvl>
    <w:lvl w:ilvl="7" w:tplc="FBA8E51C">
      <w:numFmt w:val="bullet"/>
      <w:lvlText w:val="•"/>
      <w:lvlJc w:val="left"/>
      <w:pPr>
        <w:ind w:left="1826" w:hanging="100"/>
      </w:pPr>
      <w:rPr>
        <w:rFonts w:hint="default"/>
      </w:rPr>
    </w:lvl>
    <w:lvl w:ilvl="8" w:tplc="00504644">
      <w:numFmt w:val="bullet"/>
      <w:lvlText w:val="•"/>
      <w:lvlJc w:val="left"/>
      <w:pPr>
        <w:ind w:left="2064" w:hanging="100"/>
      </w:pPr>
      <w:rPr>
        <w:rFonts w:hint="default"/>
      </w:rPr>
    </w:lvl>
  </w:abstractNum>
  <w:abstractNum w:abstractNumId="1803" w15:restartNumberingAfterBreak="0">
    <w:nsid w:val="71773AF9"/>
    <w:multiLevelType w:val="hybridMultilevel"/>
    <w:tmpl w:val="2C3EC856"/>
    <w:lvl w:ilvl="0" w:tplc="2DC0AF42">
      <w:numFmt w:val="bullet"/>
      <w:lvlText w:val=""/>
      <w:lvlJc w:val="left"/>
      <w:pPr>
        <w:ind w:left="157" w:hanging="100"/>
      </w:pPr>
      <w:rPr>
        <w:rFonts w:ascii="Symbol" w:eastAsia="Symbol" w:hAnsi="Symbol" w:cs="Symbol" w:hint="default"/>
        <w:color w:val="231F20"/>
        <w:w w:val="100"/>
        <w:sz w:val="14"/>
        <w:szCs w:val="14"/>
      </w:rPr>
    </w:lvl>
    <w:lvl w:ilvl="1" w:tplc="19DEA882">
      <w:numFmt w:val="bullet"/>
      <w:lvlText w:val="•"/>
      <w:lvlJc w:val="left"/>
      <w:pPr>
        <w:ind w:left="398" w:hanging="100"/>
      </w:pPr>
      <w:rPr>
        <w:rFonts w:hint="default"/>
      </w:rPr>
    </w:lvl>
    <w:lvl w:ilvl="2" w:tplc="0B8073BA">
      <w:numFmt w:val="bullet"/>
      <w:lvlText w:val="•"/>
      <w:lvlJc w:val="left"/>
      <w:pPr>
        <w:ind w:left="636" w:hanging="100"/>
      </w:pPr>
      <w:rPr>
        <w:rFonts w:hint="default"/>
      </w:rPr>
    </w:lvl>
    <w:lvl w:ilvl="3" w:tplc="019AB698">
      <w:numFmt w:val="bullet"/>
      <w:lvlText w:val="•"/>
      <w:lvlJc w:val="left"/>
      <w:pPr>
        <w:ind w:left="874" w:hanging="100"/>
      </w:pPr>
      <w:rPr>
        <w:rFonts w:hint="default"/>
      </w:rPr>
    </w:lvl>
    <w:lvl w:ilvl="4" w:tplc="8D1A9D3C">
      <w:numFmt w:val="bullet"/>
      <w:lvlText w:val="•"/>
      <w:lvlJc w:val="left"/>
      <w:pPr>
        <w:ind w:left="1112" w:hanging="100"/>
      </w:pPr>
      <w:rPr>
        <w:rFonts w:hint="default"/>
      </w:rPr>
    </w:lvl>
    <w:lvl w:ilvl="5" w:tplc="A6823EBE">
      <w:numFmt w:val="bullet"/>
      <w:lvlText w:val="•"/>
      <w:lvlJc w:val="left"/>
      <w:pPr>
        <w:ind w:left="1350" w:hanging="100"/>
      </w:pPr>
      <w:rPr>
        <w:rFonts w:hint="default"/>
      </w:rPr>
    </w:lvl>
    <w:lvl w:ilvl="6" w:tplc="862E0CBE">
      <w:numFmt w:val="bullet"/>
      <w:lvlText w:val="•"/>
      <w:lvlJc w:val="left"/>
      <w:pPr>
        <w:ind w:left="1588" w:hanging="100"/>
      </w:pPr>
      <w:rPr>
        <w:rFonts w:hint="default"/>
      </w:rPr>
    </w:lvl>
    <w:lvl w:ilvl="7" w:tplc="321E285E">
      <w:numFmt w:val="bullet"/>
      <w:lvlText w:val="•"/>
      <w:lvlJc w:val="left"/>
      <w:pPr>
        <w:ind w:left="1826" w:hanging="100"/>
      </w:pPr>
      <w:rPr>
        <w:rFonts w:hint="default"/>
      </w:rPr>
    </w:lvl>
    <w:lvl w:ilvl="8" w:tplc="18E45236">
      <w:numFmt w:val="bullet"/>
      <w:lvlText w:val="•"/>
      <w:lvlJc w:val="left"/>
      <w:pPr>
        <w:ind w:left="2064" w:hanging="100"/>
      </w:pPr>
      <w:rPr>
        <w:rFonts w:hint="default"/>
      </w:rPr>
    </w:lvl>
  </w:abstractNum>
  <w:abstractNum w:abstractNumId="1804" w15:restartNumberingAfterBreak="0">
    <w:nsid w:val="71790F41"/>
    <w:multiLevelType w:val="hybridMultilevel"/>
    <w:tmpl w:val="D7E4CDC8"/>
    <w:lvl w:ilvl="0" w:tplc="260C01E8">
      <w:numFmt w:val="bullet"/>
      <w:lvlText w:val=""/>
      <w:lvlJc w:val="left"/>
      <w:pPr>
        <w:ind w:left="156" w:hanging="100"/>
      </w:pPr>
      <w:rPr>
        <w:rFonts w:ascii="Symbol" w:eastAsia="Symbol" w:hAnsi="Symbol" w:cs="Symbol" w:hint="default"/>
        <w:color w:val="231F20"/>
        <w:w w:val="100"/>
        <w:sz w:val="14"/>
        <w:szCs w:val="14"/>
      </w:rPr>
    </w:lvl>
    <w:lvl w:ilvl="1" w:tplc="93B29AD4">
      <w:numFmt w:val="bullet"/>
      <w:lvlText w:val="•"/>
      <w:lvlJc w:val="left"/>
      <w:pPr>
        <w:ind w:left="301" w:hanging="100"/>
      </w:pPr>
      <w:rPr>
        <w:rFonts w:hint="default"/>
      </w:rPr>
    </w:lvl>
    <w:lvl w:ilvl="2" w:tplc="2EBE955E">
      <w:numFmt w:val="bullet"/>
      <w:lvlText w:val="•"/>
      <w:lvlJc w:val="left"/>
      <w:pPr>
        <w:ind w:left="443" w:hanging="100"/>
      </w:pPr>
      <w:rPr>
        <w:rFonts w:hint="default"/>
      </w:rPr>
    </w:lvl>
    <w:lvl w:ilvl="3" w:tplc="E3887C48">
      <w:numFmt w:val="bullet"/>
      <w:lvlText w:val="•"/>
      <w:lvlJc w:val="left"/>
      <w:pPr>
        <w:ind w:left="585" w:hanging="100"/>
      </w:pPr>
      <w:rPr>
        <w:rFonts w:hint="default"/>
      </w:rPr>
    </w:lvl>
    <w:lvl w:ilvl="4" w:tplc="41E8CCC6">
      <w:numFmt w:val="bullet"/>
      <w:lvlText w:val="•"/>
      <w:lvlJc w:val="left"/>
      <w:pPr>
        <w:ind w:left="726" w:hanging="100"/>
      </w:pPr>
      <w:rPr>
        <w:rFonts w:hint="default"/>
      </w:rPr>
    </w:lvl>
    <w:lvl w:ilvl="5" w:tplc="846CCD60">
      <w:numFmt w:val="bullet"/>
      <w:lvlText w:val="•"/>
      <w:lvlJc w:val="left"/>
      <w:pPr>
        <w:ind w:left="868" w:hanging="100"/>
      </w:pPr>
      <w:rPr>
        <w:rFonts w:hint="default"/>
      </w:rPr>
    </w:lvl>
    <w:lvl w:ilvl="6" w:tplc="59661AF2">
      <w:numFmt w:val="bullet"/>
      <w:lvlText w:val="•"/>
      <w:lvlJc w:val="left"/>
      <w:pPr>
        <w:ind w:left="1010" w:hanging="100"/>
      </w:pPr>
      <w:rPr>
        <w:rFonts w:hint="default"/>
      </w:rPr>
    </w:lvl>
    <w:lvl w:ilvl="7" w:tplc="FCFAC7D0">
      <w:numFmt w:val="bullet"/>
      <w:lvlText w:val="•"/>
      <w:lvlJc w:val="left"/>
      <w:pPr>
        <w:ind w:left="1151" w:hanging="100"/>
      </w:pPr>
      <w:rPr>
        <w:rFonts w:hint="default"/>
      </w:rPr>
    </w:lvl>
    <w:lvl w:ilvl="8" w:tplc="0D863234">
      <w:numFmt w:val="bullet"/>
      <w:lvlText w:val="•"/>
      <w:lvlJc w:val="left"/>
      <w:pPr>
        <w:ind w:left="1293" w:hanging="100"/>
      </w:pPr>
      <w:rPr>
        <w:rFonts w:hint="default"/>
      </w:rPr>
    </w:lvl>
  </w:abstractNum>
  <w:abstractNum w:abstractNumId="1805" w15:restartNumberingAfterBreak="0">
    <w:nsid w:val="71940D0F"/>
    <w:multiLevelType w:val="hybridMultilevel"/>
    <w:tmpl w:val="51C43246"/>
    <w:lvl w:ilvl="0" w:tplc="254AE548">
      <w:numFmt w:val="bullet"/>
      <w:lvlText w:val=""/>
      <w:lvlJc w:val="left"/>
      <w:pPr>
        <w:ind w:left="156" w:hanging="100"/>
      </w:pPr>
      <w:rPr>
        <w:rFonts w:ascii="Symbol" w:eastAsia="Symbol" w:hAnsi="Symbol" w:cs="Symbol" w:hint="default"/>
        <w:color w:val="231F20"/>
        <w:w w:val="100"/>
        <w:sz w:val="14"/>
        <w:szCs w:val="14"/>
      </w:rPr>
    </w:lvl>
    <w:lvl w:ilvl="1" w:tplc="B4940380">
      <w:numFmt w:val="bullet"/>
      <w:lvlText w:val="•"/>
      <w:lvlJc w:val="left"/>
      <w:pPr>
        <w:ind w:left="301" w:hanging="100"/>
      </w:pPr>
      <w:rPr>
        <w:rFonts w:hint="default"/>
      </w:rPr>
    </w:lvl>
    <w:lvl w:ilvl="2" w:tplc="7CDC6528">
      <w:numFmt w:val="bullet"/>
      <w:lvlText w:val="•"/>
      <w:lvlJc w:val="left"/>
      <w:pPr>
        <w:ind w:left="443" w:hanging="100"/>
      </w:pPr>
      <w:rPr>
        <w:rFonts w:hint="default"/>
      </w:rPr>
    </w:lvl>
    <w:lvl w:ilvl="3" w:tplc="295274FE">
      <w:numFmt w:val="bullet"/>
      <w:lvlText w:val="•"/>
      <w:lvlJc w:val="left"/>
      <w:pPr>
        <w:ind w:left="585" w:hanging="100"/>
      </w:pPr>
      <w:rPr>
        <w:rFonts w:hint="default"/>
      </w:rPr>
    </w:lvl>
    <w:lvl w:ilvl="4" w:tplc="A2286B32">
      <w:numFmt w:val="bullet"/>
      <w:lvlText w:val="•"/>
      <w:lvlJc w:val="left"/>
      <w:pPr>
        <w:ind w:left="726" w:hanging="100"/>
      </w:pPr>
      <w:rPr>
        <w:rFonts w:hint="default"/>
      </w:rPr>
    </w:lvl>
    <w:lvl w:ilvl="5" w:tplc="ED52284E">
      <w:numFmt w:val="bullet"/>
      <w:lvlText w:val="•"/>
      <w:lvlJc w:val="left"/>
      <w:pPr>
        <w:ind w:left="868" w:hanging="100"/>
      </w:pPr>
      <w:rPr>
        <w:rFonts w:hint="default"/>
      </w:rPr>
    </w:lvl>
    <w:lvl w:ilvl="6" w:tplc="AEC64D5C">
      <w:numFmt w:val="bullet"/>
      <w:lvlText w:val="•"/>
      <w:lvlJc w:val="left"/>
      <w:pPr>
        <w:ind w:left="1010" w:hanging="100"/>
      </w:pPr>
      <w:rPr>
        <w:rFonts w:hint="default"/>
      </w:rPr>
    </w:lvl>
    <w:lvl w:ilvl="7" w:tplc="12BE5FCA">
      <w:numFmt w:val="bullet"/>
      <w:lvlText w:val="•"/>
      <w:lvlJc w:val="left"/>
      <w:pPr>
        <w:ind w:left="1151" w:hanging="100"/>
      </w:pPr>
      <w:rPr>
        <w:rFonts w:hint="default"/>
      </w:rPr>
    </w:lvl>
    <w:lvl w:ilvl="8" w:tplc="28E415A8">
      <w:numFmt w:val="bullet"/>
      <w:lvlText w:val="•"/>
      <w:lvlJc w:val="left"/>
      <w:pPr>
        <w:ind w:left="1293" w:hanging="100"/>
      </w:pPr>
      <w:rPr>
        <w:rFonts w:hint="default"/>
      </w:rPr>
    </w:lvl>
  </w:abstractNum>
  <w:abstractNum w:abstractNumId="1806" w15:restartNumberingAfterBreak="0">
    <w:nsid w:val="719D5233"/>
    <w:multiLevelType w:val="hybridMultilevel"/>
    <w:tmpl w:val="462C9B7C"/>
    <w:lvl w:ilvl="0" w:tplc="645C886C">
      <w:numFmt w:val="bullet"/>
      <w:lvlText w:val=""/>
      <w:lvlJc w:val="left"/>
      <w:pPr>
        <w:ind w:left="156" w:hanging="100"/>
      </w:pPr>
      <w:rPr>
        <w:rFonts w:ascii="Symbol" w:eastAsia="Symbol" w:hAnsi="Symbol" w:cs="Symbol" w:hint="default"/>
        <w:color w:val="231F20"/>
        <w:w w:val="100"/>
        <w:sz w:val="14"/>
        <w:szCs w:val="14"/>
      </w:rPr>
    </w:lvl>
    <w:lvl w:ilvl="1" w:tplc="28E2BFCE">
      <w:numFmt w:val="bullet"/>
      <w:lvlText w:val="•"/>
      <w:lvlJc w:val="left"/>
      <w:pPr>
        <w:ind w:left="426" w:hanging="100"/>
      </w:pPr>
      <w:rPr>
        <w:rFonts w:hint="default"/>
      </w:rPr>
    </w:lvl>
    <w:lvl w:ilvl="2" w:tplc="DF683294">
      <w:numFmt w:val="bullet"/>
      <w:lvlText w:val="•"/>
      <w:lvlJc w:val="left"/>
      <w:pPr>
        <w:ind w:left="692" w:hanging="100"/>
      </w:pPr>
      <w:rPr>
        <w:rFonts w:hint="default"/>
      </w:rPr>
    </w:lvl>
    <w:lvl w:ilvl="3" w:tplc="CA5477A8">
      <w:numFmt w:val="bullet"/>
      <w:lvlText w:val="•"/>
      <w:lvlJc w:val="left"/>
      <w:pPr>
        <w:ind w:left="959" w:hanging="100"/>
      </w:pPr>
      <w:rPr>
        <w:rFonts w:hint="default"/>
      </w:rPr>
    </w:lvl>
    <w:lvl w:ilvl="4" w:tplc="C3E0EFAE">
      <w:numFmt w:val="bullet"/>
      <w:lvlText w:val="•"/>
      <w:lvlJc w:val="left"/>
      <w:pPr>
        <w:ind w:left="1225" w:hanging="100"/>
      </w:pPr>
      <w:rPr>
        <w:rFonts w:hint="default"/>
      </w:rPr>
    </w:lvl>
    <w:lvl w:ilvl="5" w:tplc="7C6A6454">
      <w:numFmt w:val="bullet"/>
      <w:lvlText w:val="•"/>
      <w:lvlJc w:val="left"/>
      <w:pPr>
        <w:ind w:left="1492" w:hanging="100"/>
      </w:pPr>
      <w:rPr>
        <w:rFonts w:hint="default"/>
      </w:rPr>
    </w:lvl>
    <w:lvl w:ilvl="6" w:tplc="7D8AB152">
      <w:numFmt w:val="bullet"/>
      <w:lvlText w:val="•"/>
      <w:lvlJc w:val="left"/>
      <w:pPr>
        <w:ind w:left="1758" w:hanging="100"/>
      </w:pPr>
      <w:rPr>
        <w:rFonts w:hint="default"/>
      </w:rPr>
    </w:lvl>
    <w:lvl w:ilvl="7" w:tplc="1974F364">
      <w:numFmt w:val="bullet"/>
      <w:lvlText w:val="•"/>
      <w:lvlJc w:val="left"/>
      <w:pPr>
        <w:ind w:left="2024" w:hanging="100"/>
      </w:pPr>
      <w:rPr>
        <w:rFonts w:hint="default"/>
      </w:rPr>
    </w:lvl>
    <w:lvl w:ilvl="8" w:tplc="F8708D38">
      <w:numFmt w:val="bullet"/>
      <w:lvlText w:val="•"/>
      <w:lvlJc w:val="left"/>
      <w:pPr>
        <w:ind w:left="2291" w:hanging="100"/>
      </w:pPr>
      <w:rPr>
        <w:rFonts w:hint="default"/>
      </w:rPr>
    </w:lvl>
  </w:abstractNum>
  <w:abstractNum w:abstractNumId="1807" w15:restartNumberingAfterBreak="0">
    <w:nsid w:val="719F4233"/>
    <w:multiLevelType w:val="hybridMultilevel"/>
    <w:tmpl w:val="DA163E68"/>
    <w:lvl w:ilvl="0" w:tplc="66121DF8">
      <w:numFmt w:val="bullet"/>
      <w:lvlText w:val=""/>
      <w:lvlJc w:val="left"/>
      <w:pPr>
        <w:ind w:left="157" w:hanging="100"/>
      </w:pPr>
      <w:rPr>
        <w:rFonts w:ascii="Symbol" w:eastAsia="Symbol" w:hAnsi="Symbol" w:cs="Symbol" w:hint="default"/>
        <w:color w:val="231F20"/>
        <w:w w:val="100"/>
        <w:sz w:val="14"/>
        <w:szCs w:val="14"/>
      </w:rPr>
    </w:lvl>
    <w:lvl w:ilvl="1" w:tplc="FCD89E06">
      <w:numFmt w:val="bullet"/>
      <w:lvlText w:val="•"/>
      <w:lvlJc w:val="left"/>
      <w:pPr>
        <w:ind w:left="369" w:hanging="100"/>
      </w:pPr>
      <w:rPr>
        <w:rFonts w:hint="default"/>
      </w:rPr>
    </w:lvl>
    <w:lvl w:ilvl="2" w:tplc="DB749668">
      <w:numFmt w:val="bullet"/>
      <w:lvlText w:val="•"/>
      <w:lvlJc w:val="left"/>
      <w:pPr>
        <w:ind w:left="579" w:hanging="100"/>
      </w:pPr>
      <w:rPr>
        <w:rFonts w:hint="default"/>
      </w:rPr>
    </w:lvl>
    <w:lvl w:ilvl="3" w:tplc="78084EB6">
      <w:numFmt w:val="bullet"/>
      <w:lvlText w:val="•"/>
      <w:lvlJc w:val="left"/>
      <w:pPr>
        <w:ind w:left="789" w:hanging="100"/>
      </w:pPr>
      <w:rPr>
        <w:rFonts w:hint="default"/>
      </w:rPr>
    </w:lvl>
    <w:lvl w:ilvl="4" w:tplc="1812C0A2">
      <w:numFmt w:val="bullet"/>
      <w:lvlText w:val="•"/>
      <w:lvlJc w:val="left"/>
      <w:pPr>
        <w:ind w:left="998" w:hanging="100"/>
      </w:pPr>
      <w:rPr>
        <w:rFonts w:hint="default"/>
      </w:rPr>
    </w:lvl>
    <w:lvl w:ilvl="5" w:tplc="8B20BC72">
      <w:numFmt w:val="bullet"/>
      <w:lvlText w:val="•"/>
      <w:lvlJc w:val="left"/>
      <w:pPr>
        <w:ind w:left="1208" w:hanging="100"/>
      </w:pPr>
      <w:rPr>
        <w:rFonts w:hint="default"/>
      </w:rPr>
    </w:lvl>
    <w:lvl w:ilvl="6" w:tplc="E12E2A16">
      <w:numFmt w:val="bullet"/>
      <w:lvlText w:val="•"/>
      <w:lvlJc w:val="left"/>
      <w:pPr>
        <w:ind w:left="1418" w:hanging="100"/>
      </w:pPr>
      <w:rPr>
        <w:rFonts w:hint="default"/>
      </w:rPr>
    </w:lvl>
    <w:lvl w:ilvl="7" w:tplc="18A6FEA8">
      <w:numFmt w:val="bullet"/>
      <w:lvlText w:val="•"/>
      <w:lvlJc w:val="left"/>
      <w:pPr>
        <w:ind w:left="1627" w:hanging="100"/>
      </w:pPr>
      <w:rPr>
        <w:rFonts w:hint="default"/>
      </w:rPr>
    </w:lvl>
    <w:lvl w:ilvl="8" w:tplc="225A210A">
      <w:numFmt w:val="bullet"/>
      <w:lvlText w:val="•"/>
      <w:lvlJc w:val="left"/>
      <w:pPr>
        <w:ind w:left="1837" w:hanging="100"/>
      </w:pPr>
      <w:rPr>
        <w:rFonts w:hint="default"/>
      </w:rPr>
    </w:lvl>
  </w:abstractNum>
  <w:abstractNum w:abstractNumId="1808" w15:restartNumberingAfterBreak="0">
    <w:nsid w:val="71C320AF"/>
    <w:multiLevelType w:val="hybridMultilevel"/>
    <w:tmpl w:val="0BE81E1C"/>
    <w:lvl w:ilvl="0" w:tplc="63180838">
      <w:numFmt w:val="bullet"/>
      <w:lvlText w:val=""/>
      <w:lvlJc w:val="left"/>
      <w:pPr>
        <w:ind w:left="156" w:hanging="100"/>
      </w:pPr>
      <w:rPr>
        <w:rFonts w:ascii="Symbol" w:eastAsia="Symbol" w:hAnsi="Symbol" w:cs="Symbol" w:hint="default"/>
        <w:color w:val="231F20"/>
        <w:w w:val="100"/>
        <w:sz w:val="14"/>
        <w:szCs w:val="14"/>
      </w:rPr>
    </w:lvl>
    <w:lvl w:ilvl="1" w:tplc="897A711A">
      <w:numFmt w:val="bullet"/>
      <w:lvlText w:val="•"/>
      <w:lvlJc w:val="left"/>
      <w:pPr>
        <w:ind w:left="398" w:hanging="100"/>
      </w:pPr>
      <w:rPr>
        <w:rFonts w:hint="default"/>
      </w:rPr>
    </w:lvl>
    <w:lvl w:ilvl="2" w:tplc="5D70F9E8">
      <w:numFmt w:val="bullet"/>
      <w:lvlText w:val="•"/>
      <w:lvlJc w:val="left"/>
      <w:pPr>
        <w:ind w:left="636" w:hanging="100"/>
      </w:pPr>
      <w:rPr>
        <w:rFonts w:hint="default"/>
      </w:rPr>
    </w:lvl>
    <w:lvl w:ilvl="3" w:tplc="F56829EE">
      <w:numFmt w:val="bullet"/>
      <w:lvlText w:val="•"/>
      <w:lvlJc w:val="left"/>
      <w:pPr>
        <w:ind w:left="874" w:hanging="100"/>
      </w:pPr>
      <w:rPr>
        <w:rFonts w:hint="default"/>
      </w:rPr>
    </w:lvl>
    <w:lvl w:ilvl="4" w:tplc="17AC8A5A">
      <w:numFmt w:val="bullet"/>
      <w:lvlText w:val="•"/>
      <w:lvlJc w:val="left"/>
      <w:pPr>
        <w:ind w:left="1112" w:hanging="100"/>
      </w:pPr>
      <w:rPr>
        <w:rFonts w:hint="default"/>
      </w:rPr>
    </w:lvl>
    <w:lvl w:ilvl="5" w:tplc="35764FD6">
      <w:numFmt w:val="bullet"/>
      <w:lvlText w:val="•"/>
      <w:lvlJc w:val="left"/>
      <w:pPr>
        <w:ind w:left="1350" w:hanging="100"/>
      </w:pPr>
      <w:rPr>
        <w:rFonts w:hint="default"/>
      </w:rPr>
    </w:lvl>
    <w:lvl w:ilvl="6" w:tplc="2F16A4B8">
      <w:numFmt w:val="bullet"/>
      <w:lvlText w:val="•"/>
      <w:lvlJc w:val="left"/>
      <w:pPr>
        <w:ind w:left="1588" w:hanging="100"/>
      </w:pPr>
      <w:rPr>
        <w:rFonts w:hint="default"/>
      </w:rPr>
    </w:lvl>
    <w:lvl w:ilvl="7" w:tplc="AC024922">
      <w:numFmt w:val="bullet"/>
      <w:lvlText w:val="•"/>
      <w:lvlJc w:val="left"/>
      <w:pPr>
        <w:ind w:left="1826" w:hanging="100"/>
      </w:pPr>
      <w:rPr>
        <w:rFonts w:hint="default"/>
      </w:rPr>
    </w:lvl>
    <w:lvl w:ilvl="8" w:tplc="2946C7C4">
      <w:numFmt w:val="bullet"/>
      <w:lvlText w:val="•"/>
      <w:lvlJc w:val="left"/>
      <w:pPr>
        <w:ind w:left="2064" w:hanging="100"/>
      </w:pPr>
      <w:rPr>
        <w:rFonts w:hint="default"/>
      </w:rPr>
    </w:lvl>
  </w:abstractNum>
  <w:abstractNum w:abstractNumId="1809" w15:restartNumberingAfterBreak="0">
    <w:nsid w:val="71C84630"/>
    <w:multiLevelType w:val="hybridMultilevel"/>
    <w:tmpl w:val="B6A43166"/>
    <w:lvl w:ilvl="0" w:tplc="5C906682">
      <w:numFmt w:val="bullet"/>
      <w:lvlText w:val=""/>
      <w:lvlJc w:val="left"/>
      <w:pPr>
        <w:ind w:left="156" w:hanging="100"/>
      </w:pPr>
      <w:rPr>
        <w:rFonts w:ascii="Symbol" w:eastAsia="Symbol" w:hAnsi="Symbol" w:cs="Symbol" w:hint="default"/>
        <w:color w:val="231F20"/>
        <w:w w:val="100"/>
        <w:sz w:val="14"/>
        <w:szCs w:val="14"/>
      </w:rPr>
    </w:lvl>
    <w:lvl w:ilvl="1" w:tplc="07800D4C">
      <w:numFmt w:val="bullet"/>
      <w:lvlText w:val="•"/>
      <w:lvlJc w:val="left"/>
      <w:pPr>
        <w:ind w:left="398" w:hanging="100"/>
      </w:pPr>
      <w:rPr>
        <w:rFonts w:hint="default"/>
      </w:rPr>
    </w:lvl>
    <w:lvl w:ilvl="2" w:tplc="9B988CC4">
      <w:numFmt w:val="bullet"/>
      <w:lvlText w:val="•"/>
      <w:lvlJc w:val="left"/>
      <w:pPr>
        <w:ind w:left="636" w:hanging="100"/>
      </w:pPr>
      <w:rPr>
        <w:rFonts w:hint="default"/>
      </w:rPr>
    </w:lvl>
    <w:lvl w:ilvl="3" w:tplc="B2B8E862">
      <w:numFmt w:val="bullet"/>
      <w:lvlText w:val="•"/>
      <w:lvlJc w:val="left"/>
      <w:pPr>
        <w:ind w:left="874" w:hanging="100"/>
      </w:pPr>
      <w:rPr>
        <w:rFonts w:hint="default"/>
      </w:rPr>
    </w:lvl>
    <w:lvl w:ilvl="4" w:tplc="9DE00E12">
      <w:numFmt w:val="bullet"/>
      <w:lvlText w:val="•"/>
      <w:lvlJc w:val="left"/>
      <w:pPr>
        <w:ind w:left="1112" w:hanging="100"/>
      </w:pPr>
      <w:rPr>
        <w:rFonts w:hint="default"/>
      </w:rPr>
    </w:lvl>
    <w:lvl w:ilvl="5" w:tplc="1C5094BA">
      <w:numFmt w:val="bullet"/>
      <w:lvlText w:val="•"/>
      <w:lvlJc w:val="left"/>
      <w:pPr>
        <w:ind w:left="1350" w:hanging="100"/>
      </w:pPr>
      <w:rPr>
        <w:rFonts w:hint="default"/>
      </w:rPr>
    </w:lvl>
    <w:lvl w:ilvl="6" w:tplc="35F08A2A">
      <w:numFmt w:val="bullet"/>
      <w:lvlText w:val="•"/>
      <w:lvlJc w:val="left"/>
      <w:pPr>
        <w:ind w:left="1588" w:hanging="100"/>
      </w:pPr>
      <w:rPr>
        <w:rFonts w:hint="default"/>
      </w:rPr>
    </w:lvl>
    <w:lvl w:ilvl="7" w:tplc="E506D62A">
      <w:numFmt w:val="bullet"/>
      <w:lvlText w:val="•"/>
      <w:lvlJc w:val="left"/>
      <w:pPr>
        <w:ind w:left="1826" w:hanging="100"/>
      </w:pPr>
      <w:rPr>
        <w:rFonts w:hint="default"/>
      </w:rPr>
    </w:lvl>
    <w:lvl w:ilvl="8" w:tplc="98F4598C">
      <w:numFmt w:val="bullet"/>
      <w:lvlText w:val="•"/>
      <w:lvlJc w:val="left"/>
      <w:pPr>
        <w:ind w:left="2064" w:hanging="100"/>
      </w:pPr>
      <w:rPr>
        <w:rFonts w:hint="default"/>
      </w:rPr>
    </w:lvl>
  </w:abstractNum>
  <w:abstractNum w:abstractNumId="1810" w15:restartNumberingAfterBreak="0">
    <w:nsid w:val="71D53F18"/>
    <w:multiLevelType w:val="hybridMultilevel"/>
    <w:tmpl w:val="5DCAA298"/>
    <w:lvl w:ilvl="0" w:tplc="10C24714">
      <w:numFmt w:val="bullet"/>
      <w:lvlText w:val=""/>
      <w:lvlJc w:val="left"/>
      <w:pPr>
        <w:ind w:left="156" w:hanging="100"/>
      </w:pPr>
      <w:rPr>
        <w:rFonts w:ascii="Symbol" w:eastAsia="Symbol" w:hAnsi="Symbol" w:cs="Symbol" w:hint="default"/>
        <w:color w:val="231F20"/>
        <w:w w:val="100"/>
        <w:sz w:val="14"/>
        <w:szCs w:val="14"/>
      </w:rPr>
    </w:lvl>
    <w:lvl w:ilvl="1" w:tplc="3DAE977A">
      <w:numFmt w:val="bullet"/>
      <w:lvlText w:val="•"/>
      <w:lvlJc w:val="left"/>
      <w:pPr>
        <w:ind w:left="426" w:hanging="100"/>
      </w:pPr>
      <w:rPr>
        <w:rFonts w:hint="default"/>
      </w:rPr>
    </w:lvl>
    <w:lvl w:ilvl="2" w:tplc="8C7AA968">
      <w:numFmt w:val="bullet"/>
      <w:lvlText w:val="•"/>
      <w:lvlJc w:val="left"/>
      <w:pPr>
        <w:ind w:left="692" w:hanging="100"/>
      </w:pPr>
      <w:rPr>
        <w:rFonts w:hint="default"/>
      </w:rPr>
    </w:lvl>
    <w:lvl w:ilvl="3" w:tplc="67185CC6">
      <w:numFmt w:val="bullet"/>
      <w:lvlText w:val="•"/>
      <w:lvlJc w:val="left"/>
      <w:pPr>
        <w:ind w:left="959" w:hanging="100"/>
      </w:pPr>
      <w:rPr>
        <w:rFonts w:hint="default"/>
      </w:rPr>
    </w:lvl>
    <w:lvl w:ilvl="4" w:tplc="A5DEC4A6">
      <w:numFmt w:val="bullet"/>
      <w:lvlText w:val="•"/>
      <w:lvlJc w:val="left"/>
      <w:pPr>
        <w:ind w:left="1225" w:hanging="100"/>
      </w:pPr>
      <w:rPr>
        <w:rFonts w:hint="default"/>
      </w:rPr>
    </w:lvl>
    <w:lvl w:ilvl="5" w:tplc="96F004B4">
      <w:numFmt w:val="bullet"/>
      <w:lvlText w:val="•"/>
      <w:lvlJc w:val="left"/>
      <w:pPr>
        <w:ind w:left="1492" w:hanging="100"/>
      </w:pPr>
      <w:rPr>
        <w:rFonts w:hint="default"/>
      </w:rPr>
    </w:lvl>
    <w:lvl w:ilvl="6" w:tplc="B6C4161A">
      <w:numFmt w:val="bullet"/>
      <w:lvlText w:val="•"/>
      <w:lvlJc w:val="left"/>
      <w:pPr>
        <w:ind w:left="1758" w:hanging="100"/>
      </w:pPr>
      <w:rPr>
        <w:rFonts w:hint="default"/>
      </w:rPr>
    </w:lvl>
    <w:lvl w:ilvl="7" w:tplc="48566E7A">
      <w:numFmt w:val="bullet"/>
      <w:lvlText w:val="•"/>
      <w:lvlJc w:val="left"/>
      <w:pPr>
        <w:ind w:left="2024" w:hanging="100"/>
      </w:pPr>
      <w:rPr>
        <w:rFonts w:hint="default"/>
      </w:rPr>
    </w:lvl>
    <w:lvl w:ilvl="8" w:tplc="D348FFC6">
      <w:numFmt w:val="bullet"/>
      <w:lvlText w:val="•"/>
      <w:lvlJc w:val="left"/>
      <w:pPr>
        <w:ind w:left="2291" w:hanging="100"/>
      </w:pPr>
      <w:rPr>
        <w:rFonts w:hint="default"/>
      </w:rPr>
    </w:lvl>
  </w:abstractNum>
  <w:abstractNum w:abstractNumId="1811" w15:restartNumberingAfterBreak="0">
    <w:nsid w:val="71D95ECE"/>
    <w:multiLevelType w:val="hybridMultilevel"/>
    <w:tmpl w:val="B69C2586"/>
    <w:lvl w:ilvl="0" w:tplc="CC046316">
      <w:numFmt w:val="bullet"/>
      <w:lvlText w:val=""/>
      <w:lvlJc w:val="left"/>
      <w:pPr>
        <w:ind w:left="156" w:hanging="100"/>
      </w:pPr>
      <w:rPr>
        <w:rFonts w:ascii="Symbol" w:eastAsia="Symbol" w:hAnsi="Symbol" w:cs="Symbol" w:hint="default"/>
        <w:color w:val="231F20"/>
        <w:w w:val="100"/>
        <w:sz w:val="14"/>
        <w:szCs w:val="14"/>
      </w:rPr>
    </w:lvl>
    <w:lvl w:ilvl="1" w:tplc="DD4076BC">
      <w:numFmt w:val="bullet"/>
      <w:lvlText w:val="•"/>
      <w:lvlJc w:val="left"/>
      <w:pPr>
        <w:ind w:left="398" w:hanging="100"/>
      </w:pPr>
      <w:rPr>
        <w:rFonts w:hint="default"/>
      </w:rPr>
    </w:lvl>
    <w:lvl w:ilvl="2" w:tplc="881ABEA8">
      <w:numFmt w:val="bullet"/>
      <w:lvlText w:val="•"/>
      <w:lvlJc w:val="left"/>
      <w:pPr>
        <w:ind w:left="636" w:hanging="100"/>
      </w:pPr>
      <w:rPr>
        <w:rFonts w:hint="default"/>
      </w:rPr>
    </w:lvl>
    <w:lvl w:ilvl="3" w:tplc="E3BAE102">
      <w:numFmt w:val="bullet"/>
      <w:lvlText w:val="•"/>
      <w:lvlJc w:val="left"/>
      <w:pPr>
        <w:ind w:left="874" w:hanging="100"/>
      </w:pPr>
      <w:rPr>
        <w:rFonts w:hint="default"/>
      </w:rPr>
    </w:lvl>
    <w:lvl w:ilvl="4" w:tplc="BE2E95E0">
      <w:numFmt w:val="bullet"/>
      <w:lvlText w:val="•"/>
      <w:lvlJc w:val="left"/>
      <w:pPr>
        <w:ind w:left="1112" w:hanging="100"/>
      </w:pPr>
      <w:rPr>
        <w:rFonts w:hint="default"/>
      </w:rPr>
    </w:lvl>
    <w:lvl w:ilvl="5" w:tplc="58485AC0">
      <w:numFmt w:val="bullet"/>
      <w:lvlText w:val="•"/>
      <w:lvlJc w:val="left"/>
      <w:pPr>
        <w:ind w:left="1350" w:hanging="100"/>
      </w:pPr>
      <w:rPr>
        <w:rFonts w:hint="default"/>
      </w:rPr>
    </w:lvl>
    <w:lvl w:ilvl="6" w:tplc="EB76D230">
      <w:numFmt w:val="bullet"/>
      <w:lvlText w:val="•"/>
      <w:lvlJc w:val="left"/>
      <w:pPr>
        <w:ind w:left="1588" w:hanging="100"/>
      </w:pPr>
      <w:rPr>
        <w:rFonts w:hint="default"/>
      </w:rPr>
    </w:lvl>
    <w:lvl w:ilvl="7" w:tplc="051EBCCA">
      <w:numFmt w:val="bullet"/>
      <w:lvlText w:val="•"/>
      <w:lvlJc w:val="left"/>
      <w:pPr>
        <w:ind w:left="1826" w:hanging="100"/>
      </w:pPr>
      <w:rPr>
        <w:rFonts w:hint="default"/>
      </w:rPr>
    </w:lvl>
    <w:lvl w:ilvl="8" w:tplc="223224AC">
      <w:numFmt w:val="bullet"/>
      <w:lvlText w:val="•"/>
      <w:lvlJc w:val="left"/>
      <w:pPr>
        <w:ind w:left="2064" w:hanging="100"/>
      </w:pPr>
      <w:rPr>
        <w:rFonts w:hint="default"/>
      </w:rPr>
    </w:lvl>
  </w:abstractNum>
  <w:abstractNum w:abstractNumId="1812" w15:restartNumberingAfterBreak="0">
    <w:nsid w:val="71E47A29"/>
    <w:multiLevelType w:val="hybridMultilevel"/>
    <w:tmpl w:val="768A00BE"/>
    <w:lvl w:ilvl="0" w:tplc="CE006A7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CC22D088">
      <w:numFmt w:val="bullet"/>
      <w:lvlText w:val="•"/>
      <w:lvlJc w:val="left"/>
      <w:pPr>
        <w:ind w:left="351" w:hanging="84"/>
      </w:pPr>
      <w:rPr>
        <w:rFonts w:hint="default"/>
      </w:rPr>
    </w:lvl>
    <w:lvl w:ilvl="2" w:tplc="83002926">
      <w:numFmt w:val="bullet"/>
      <w:lvlText w:val="•"/>
      <w:lvlJc w:val="left"/>
      <w:pPr>
        <w:ind w:left="563" w:hanging="84"/>
      </w:pPr>
      <w:rPr>
        <w:rFonts w:hint="default"/>
      </w:rPr>
    </w:lvl>
    <w:lvl w:ilvl="3" w:tplc="F606DB04">
      <w:numFmt w:val="bullet"/>
      <w:lvlText w:val="•"/>
      <w:lvlJc w:val="left"/>
      <w:pPr>
        <w:ind w:left="775" w:hanging="84"/>
      </w:pPr>
      <w:rPr>
        <w:rFonts w:hint="default"/>
      </w:rPr>
    </w:lvl>
    <w:lvl w:ilvl="4" w:tplc="C9D44726">
      <w:numFmt w:val="bullet"/>
      <w:lvlText w:val="•"/>
      <w:lvlJc w:val="left"/>
      <w:pPr>
        <w:ind w:left="986" w:hanging="84"/>
      </w:pPr>
      <w:rPr>
        <w:rFonts w:hint="default"/>
      </w:rPr>
    </w:lvl>
    <w:lvl w:ilvl="5" w:tplc="F5EAB022">
      <w:numFmt w:val="bullet"/>
      <w:lvlText w:val="•"/>
      <w:lvlJc w:val="left"/>
      <w:pPr>
        <w:ind w:left="1198" w:hanging="84"/>
      </w:pPr>
      <w:rPr>
        <w:rFonts w:hint="default"/>
      </w:rPr>
    </w:lvl>
    <w:lvl w:ilvl="6" w:tplc="8DEC158C">
      <w:numFmt w:val="bullet"/>
      <w:lvlText w:val="•"/>
      <w:lvlJc w:val="left"/>
      <w:pPr>
        <w:ind w:left="1410" w:hanging="84"/>
      </w:pPr>
      <w:rPr>
        <w:rFonts w:hint="default"/>
      </w:rPr>
    </w:lvl>
    <w:lvl w:ilvl="7" w:tplc="F0DCA73C">
      <w:numFmt w:val="bullet"/>
      <w:lvlText w:val="•"/>
      <w:lvlJc w:val="left"/>
      <w:pPr>
        <w:ind w:left="1621" w:hanging="84"/>
      </w:pPr>
      <w:rPr>
        <w:rFonts w:hint="default"/>
      </w:rPr>
    </w:lvl>
    <w:lvl w:ilvl="8" w:tplc="111A8672">
      <w:numFmt w:val="bullet"/>
      <w:lvlText w:val="•"/>
      <w:lvlJc w:val="left"/>
      <w:pPr>
        <w:ind w:left="1833" w:hanging="84"/>
      </w:pPr>
      <w:rPr>
        <w:rFonts w:hint="default"/>
      </w:rPr>
    </w:lvl>
  </w:abstractNum>
  <w:abstractNum w:abstractNumId="1813" w15:restartNumberingAfterBreak="0">
    <w:nsid w:val="720744BE"/>
    <w:multiLevelType w:val="hybridMultilevel"/>
    <w:tmpl w:val="E96687B0"/>
    <w:lvl w:ilvl="0" w:tplc="CF5200E8">
      <w:numFmt w:val="bullet"/>
      <w:lvlText w:val=""/>
      <w:lvlJc w:val="left"/>
      <w:pPr>
        <w:ind w:left="156" w:hanging="100"/>
      </w:pPr>
      <w:rPr>
        <w:rFonts w:ascii="Symbol" w:eastAsia="Symbol" w:hAnsi="Symbol" w:cs="Symbol" w:hint="default"/>
        <w:color w:val="231F20"/>
        <w:w w:val="100"/>
        <w:sz w:val="14"/>
        <w:szCs w:val="14"/>
      </w:rPr>
    </w:lvl>
    <w:lvl w:ilvl="1" w:tplc="2576A11C">
      <w:numFmt w:val="bullet"/>
      <w:lvlText w:val="•"/>
      <w:lvlJc w:val="left"/>
      <w:pPr>
        <w:ind w:left="398" w:hanging="100"/>
      </w:pPr>
      <w:rPr>
        <w:rFonts w:hint="default"/>
      </w:rPr>
    </w:lvl>
    <w:lvl w:ilvl="2" w:tplc="349E1DCC">
      <w:numFmt w:val="bullet"/>
      <w:lvlText w:val="•"/>
      <w:lvlJc w:val="left"/>
      <w:pPr>
        <w:ind w:left="636" w:hanging="100"/>
      </w:pPr>
      <w:rPr>
        <w:rFonts w:hint="default"/>
      </w:rPr>
    </w:lvl>
    <w:lvl w:ilvl="3" w:tplc="8CB8F5DE">
      <w:numFmt w:val="bullet"/>
      <w:lvlText w:val="•"/>
      <w:lvlJc w:val="left"/>
      <w:pPr>
        <w:ind w:left="874" w:hanging="100"/>
      </w:pPr>
      <w:rPr>
        <w:rFonts w:hint="default"/>
      </w:rPr>
    </w:lvl>
    <w:lvl w:ilvl="4" w:tplc="D2E6779A">
      <w:numFmt w:val="bullet"/>
      <w:lvlText w:val="•"/>
      <w:lvlJc w:val="left"/>
      <w:pPr>
        <w:ind w:left="1112" w:hanging="100"/>
      </w:pPr>
      <w:rPr>
        <w:rFonts w:hint="default"/>
      </w:rPr>
    </w:lvl>
    <w:lvl w:ilvl="5" w:tplc="E57C6144">
      <w:numFmt w:val="bullet"/>
      <w:lvlText w:val="•"/>
      <w:lvlJc w:val="left"/>
      <w:pPr>
        <w:ind w:left="1350" w:hanging="100"/>
      </w:pPr>
      <w:rPr>
        <w:rFonts w:hint="default"/>
      </w:rPr>
    </w:lvl>
    <w:lvl w:ilvl="6" w:tplc="DF6818E8">
      <w:numFmt w:val="bullet"/>
      <w:lvlText w:val="•"/>
      <w:lvlJc w:val="left"/>
      <w:pPr>
        <w:ind w:left="1588" w:hanging="100"/>
      </w:pPr>
      <w:rPr>
        <w:rFonts w:hint="default"/>
      </w:rPr>
    </w:lvl>
    <w:lvl w:ilvl="7" w:tplc="0530510C">
      <w:numFmt w:val="bullet"/>
      <w:lvlText w:val="•"/>
      <w:lvlJc w:val="left"/>
      <w:pPr>
        <w:ind w:left="1826" w:hanging="100"/>
      </w:pPr>
      <w:rPr>
        <w:rFonts w:hint="default"/>
      </w:rPr>
    </w:lvl>
    <w:lvl w:ilvl="8" w:tplc="A802D8F4">
      <w:numFmt w:val="bullet"/>
      <w:lvlText w:val="•"/>
      <w:lvlJc w:val="left"/>
      <w:pPr>
        <w:ind w:left="2064" w:hanging="100"/>
      </w:pPr>
      <w:rPr>
        <w:rFonts w:hint="default"/>
      </w:rPr>
    </w:lvl>
  </w:abstractNum>
  <w:abstractNum w:abstractNumId="1814" w15:restartNumberingAfterBreak="0">
    <w:nsid w:val="721016A1"/>
    <w:multiLevelType w:val="hybridMultilevel"/>
    <w:tmpl w:val="8C52A820"/>
    <w:lvl w:ilvl="0" w:tplc="3FF856C8">
      <w:numFmt w:val="bullet"/>
      <w:lvlText w:val=""/>
      <w:lvlJc w:val="left"/>
      <w:pPr>
        <w:ind w:left="156" w:hanging="100"/>
      </w:pPr>
      <w:rPr>
        <w:rFonts w:ascii="Symbol" w:eastAsia="Symbol" w:hAnsi="Symbol" w:cs="Symbol" w:hint="default"/>
        <w:color w:val="231F20"/>
        <w:w w:val="100"/>
        <w:sz w:val="14"/>
        <w:szCs w:val="14"/>
      </w:rPr>
    </w:lvl>
    <w:lvl w:ilvl="1" w:tplc="ACF240B4">
      <w:numFmt w:val="bullet"/>
      <w:lvlText w:val="•"/>
      <w:lvlJc w:val="left"/>
      <w:pPr>
        <w:ind w:left="426" w:hanging="100"/>
      </w:pPr>
      <w:rPr>
        <w:rFonts w:hint="default"/>
      </w:rPr>
    </w:lvl>
    <w:lvl w:ilvl="2" w:tplc="C81A4834">
      <w:numFmt w:val="bullet"/>
      <w:lvlText w:val="•"/>
      <w:lvlJc w:val="left"/>
      <w:pPr>
        <w:ind w:left="692" w:hanging="100"/>
      </w:pPr>
      <w:rPr>
        <w:rFonts w:hint="default"/>
      </w:rPr>
    </w:lvl>
    <w:lvl w:ilvl="3" w:tplc="806E61A8">
      <w:numFmt w:val="bullet"/>
      <w:lvlText w:val="•"/>
      <w:lvlJc w:val="left"/>
      <w:pPr>
        <w:ind w:left="959" w:hanging="100"/>
      </w:pPr>
      <w:rPr>
        <w:rFonts w:hint="default"/>
      </w:rPr>
    </w:lvl>
    <w:lvl w:ilvl="4" w:tplc="D6066174">
      <w:numFmt w:val="bullet"/>
      <w:lvlText w:val="•"/>
      <w:lvlJc w:val="left"/>
      <w:pPr>
        <w:ind w:left="1225" w:hanging="100"/>
      </w:pPr>
      <w:rPr>
        <w:rFonts w:hint="default"/>
      </w:rPr>
    </w:lvl>
    <w:lvl w:ilvl="5" w:tplc="1AC68DC6">
      <w:numFmt w:val="bullet"/>
      <w:lvlText w:val="•"/>
      <w:lvlJc w:val="left"/>
      <w:pPr>
        <w:ind w:left="1492" w:hanging="100"/>
      </w:pPr>
      <w:rPr>
        <w:rFonts w:hint="default"/>
      </w:rPr>
    </w:lvl>
    <w:lvl w:ilvl="6" w:tplc="6456A772">
      <w:numFmt w:val="bullet"/>
      <w:lvlText w:val="•"/>
      <w:lvlJc w:val="left"/>
      <w:pPr>
        <w:ind w:left="1758" w:hanging="100"/>
      </w:pPr>
      <w:rPr>
        <w:rFonts w:hint="default"/>
      </w:rPr>
    </w:lvl>
    <w:lvl w:ilvl="7" w:tplc="466E69EE">
      <w:numFmt w:val="bullet"/>
      <w:lvlText w:val="•"/>
      <w:lvlJc w:val="left"/>
      <w:pPr>
        <w:ind w:left="2024" w:hanging="100"/>
      </w:pPr>
      <w:rPr>
        <w:rFonts w:hint="default"/>
      </w:rPr>
    </w:lvl>
    <w:lvl w:ilvl="8" w:tplc="6512FDA4">
      <w:numFmt w:val="bullet"/>
      <w:lvlText w:val="•"/>
      <w:lvlJc w:val="left"/>
      <w:pPr>
        <w:ind w:left="2291" w:hanging="100"/>
      </w:pPr>
      <w:rPr>
        <w:rFonts w:hint="default"/>
      </w:rPr>
    </w:lvl>
  </w:abstractNum>
  <w:abstractNum w:abstractNumId="1815" w15:restartNumberingAfterBreak="0">
    <w:nsid w:val="721E3CE2"/>
    <w:multiLevelType w:val="hybridMultilevel"/>
    <w:tmpl w:val="FAC033AA"/>
    <w:lvl w:ilvl="0" w:tplc="62BC28EE">
      <w:numFmt w:val="bullet"/>
      <w:lvlText w:val=""/>
      <w:lvlJc w:val="left"/>
      <w:pPr>
        <w:ind w:left="156" w:hanging="100"/>
      </w:pPr>
      <w:rPr>
        <w:rFonts w:ascii="Symbol" w:eastAsia="Symbol" w:hAnsi="Symbol" w:cs="Symbol" w:hint="default"/>
        <w:color w:val="231F20"/>
        <w:w w:val="100"/>
        <w:sz w:val="14"/>
        <w:szCs w:val="14"/>
      </w:rPr>
    </w:lvl>
    <w:lvl w:ilvl="1" w:tplc="88E2E2CC">
      <w:numFmt w:val="bullet"/>
      <w:lvlText w:val="•"/>
      <w:lvlJc w:val="left"/>
      <w:pPr>
        <w:ind w:left="426" w:hanging="100"/>
      </w:pPr>
      <w:rPr>
        <w:rFonts w:hint="default"/>
      </w:rPr>
    </w:lvl>
    <w:lvl w:ilvl="2" w:tplc="5DE69804">
      <w:numFmt w:val="bullet"/>
      <w:lvlText w:val="•"/>
      <w:lvlJc w:val="left"/>
      <w:pPr>
        <w:ind w:left="692" w:hanging="100"/>
      </w:pPr>
      <w:rPr>
        <w:rFonts w:hint="default"/>
      </w:rPr>
    </w:lvl>
    <w:lvl w:ilvl="3" w:tplc="7352A212">
      <w:numFmt w:val="bullet"/>
      <w:lvlText w:val="•"/>
      <w:lvlJc w:val="left"/>
      <w:pPr>
        <w:ind w:left="959" w:hanging="100"/>
      </w:pPr>
      <w:rPr>
        <w:rFonts w:hint="default"/>
      </w:rPr>
    </w:lvl>
    <w:lvl w:ilvl="4" w:tplc="00925A86">
      <w:numFmt w:val="bullet"/>
      <w:lvlText w:val="•"/>
      <w:lvlJc w:val="left"/>
      <w:pPr>
        <w:ind w:left="1225" w:hanging="100"/>
      </w:pPr>
      <w:rPr>
        <w:rFonts w:hint="default"/>
      </w:rPr>
    </w:lvl>
    <w:lvl w:ilvl="5" w:tplc="23B0758A">
      <w:numFmt w:val="bullet"/>
      <w:lvlText w:val="•"/>
      <w:lvlJc w:val="left"/>
      <w:pPr>
        <w:ind w:left="1492" w:hanging="100"/>
      </w:pPr>
      <w:rPr>
        <w:rFonts w:hint="default"/>
      </w:rPr>
    </w:lvl>
    <w:lvl w:ilvl="6" w:tplc="D2A6A0FA">
      <w:numFmt w:val="bullet"/>
      <w:lvlText w:val="•"/>
      <w:lvlJc w:val="left"/>
      <w:pPr>
        <w:ind w:left="1758" w:hanging="100"/>
      </w:pPr>
      <w:rPr>
        <w:rFonts w:hint="default"/>
      </w:rPr>
    </w:lvl>
    <w:lvl w:ilvl="7" w:tplc="3DC2A90E">
      <w:numFmt w:val="bullet"/>
      <w:lvlText w:val="•"/>
      <w:lvlJc w:val="left"/>
      <w:pPr>
        <w:ind w:left="2024" w:hanging="100"/>
      </w:pPr>
      <w:rPr>
        <w:rFonts w:hint="default"/>
      </w:rPr>
    </w:lvl>
    <w:lvl w:ilvl="8" w:tplc="229E6A72">
      <w:numFmt w:val="bullet"/>
      <w:lvlText w:val="•"/>
      <w:lvlJc w:val="left"/>
      <w:pPr>
        <w:ind w:left="2291" w:hanging="100"/>
      </w:pPr>
      <w:rPr>
        <w:rFonts w:hint="default"/>
      </w:rPr>
    </w:lvl>
  </w:abstractNum>
  <w:abstractNum w:abstractNumId="1816" w15:restartNumberingAfterBreak="0">
    <w:nsid w:val="724B073E"/>
    <w:multiLevelType w:val="hybridMultilevel"/>
    <w:tmpl w:val="E5D82A7C"/>
    <w:lvl w:ilvl="0" w:tplc="3500D01E">
      <w:numFmt w:val="bullet"/>
      <w:lvlText w:val=""/>
      <w:lvlJc w:val="left"/>
      <w:pPr>
        <w:ind w:left="156" w:hanging="100"/>
      </w:pPr>
      <w:rPr>
        <w:rFonts w:ascii="Symbol" w:eastAsia="Symbol" w:hAnsi="Symbol" w:cs="Symbol" w:hint="default"/>
        <w:color w:val="231F20"/>
        <w:w w:val="100"/>
        <w:sz w:val="14"/>
        <w:szCs w:val="14"/>
      </w:rPr>
    </w:lvl>
    <w:lvl w:ilvl="1" w:tplc="A95CB06E">
      <w:numFmt w:val="bullet"/>
      <w:lvlText w:val="•"/>
      <w:lvlJc w:val="left"/>
      <w:pPr>
        <w:ind w:left="398" w:hanging="100"/>
      </w:pPr>
      <w:rPr>
        <w:rFonts w:hint="default"/>
      </w:rPr>
    </w:lvl>
    <w:lvl w:ilvl="2" w:tplc="16A05BE2">
      <w:numFmt w:val="bullet"/>
      <w:lvlText w:val="•"/>
      <w:lvlJc w:val="left"/>
      <w:pPr>
        <w:ind w:left="636" w:hanging="100"/>
      </w:pPr>
      <w:rPr>
        <w:rFonts w:hint="default"/>
      </w:rPr>
    </w:lvl>
    <w:lvl w:ilvl="3" w:tplc="81FE6790">
      <w:numFmt w:val="bullet"/>
      <w:lvlText w:val="•"/>
      <w:lvlJc w:val="left"/>
      <w:pPr>
        <w:ind w:left="874" w:hanging="100"/>
      </w:pPr>
      <w:rPr>
        <w:rFonts w:hint="default"/>
      </w:rPr>
    </w:lvl>
    <w:lvl w:ilvl="4" w:tplc="74EA9702">
      <w:numFmt w:val="bullet"/>
      <w:lvlText w:val="•"/>
      <w:lvlJc w:val="left"/>
      <w:pPr>
        <w:ind w:left="1112" w:hanging="100"/>
      </w:pPr>
      <w:rPr>
        <w:rFonts w:hint="default"/>
      </w:rPr>
    </w:lvl>
    <w:lvl w:ilvl="5" w:tplc="963E2CBC">
      <w:numFmt w:val="bullet"/>
      <w:lvlText w:val="•"/>
      <w:lvlJc w:val="left"/>
      <w:pPr>
        <w:ind w:left="1350" w:hanging="100"/>
      </w:pPr>
      <w:rPr>
        <w:rFonts w:hint="default"/>
      </w:rPr>
    </w:lvl>
    <w:lvl w:ilvl="6" w:tplc="A476F2BC">
      <w:numFmt w:val="bullet"/>
      <w:lvlText w:val="•"/>
      <w:lvlJc w:val="left"/>
      <w:pPr>
        <w:ind w:left="1588" w:hanging="100"/>
      </w:pPr>
      <w:rPr>
        <w:rFonts w:hint="default"/>
      </w:rPr>
    </w:lvl>
    <w:lvl w:ilvl="7" w:tplc="CACA52FA">
      <w:numFmt w:val="bullet"/>
      <w:lvlText w:val="•"/>
      <w:lvlJc w:val="left"/>
      <w:pPr>
        <w:ind w:left="1826" w:hanging="100"/>
      </w:pPr>
      <w:rPr>
        <w:rFonts w:hint="default"/>
      </w:rPr>
    </w:lvl>
    <w:lvl w:ilvl="8" w:tplc="C8D651C6">
      <w:numFmt w:val="bullet"/>
      <w:lvlText w:val="•"/>
      <w:lvlJc w:val="left"/>
      <w:pPr>
        <w:ind w:left="2064" w:hanging="100"/>
      </w:pPr>
      <w:rPr>
        <w:rFonts w:hint="default"/>
      </w:rPr>
    </w:lvl>
  </w:abstractNum>
  <w:abstractNum w:abstractNumId="1817" w15:restartNumberingAfterBreak="0">
    <w:nsid w:val="725F7E36"/>
    <w:multiLevelType w:val="hybridMultilevel"/>
    <w:tmpl w:val="508A3AAC"/>
    <w:lvl w:ilvl="0" w:tplc="4BEE654E">
      <w:numFmt w:val="bullet"/>
      <w:lvlText w:val=""/>
      <w:lvlJc w:val="left"/>
      <w:pPr>
        <w:ind w:left="156" w:hanging="100"/>
      </w:pPr>
      <w:rPr>
        <w:rFonts w:ascii="Symbol" w:eastAsia="Symbol" w:hAnsi="Symbol" w:cs="Symbol" w:hint="default"/>
        <w:color w:val="231F20"/>
        <w:w w:val="100"/>
        <w:sz w:val="14"/>
        <w:szCs w:val="14"/>
      </w:rPr>
    </w:lvl>
    <w:lvl w:ilvl="1" w:tplc="B6683338">
      <w:numFmt w:val="bullet"/>
      <w:lvlText w:val="•"/>
      <w:lvlJc w:val="left"/>
      <w:pPr>
        <w:ind w:left="273" w:hanging="100"/>
      </w:pPr>
      <w:rPr>
        <w:rFonts w:hint="default"/>
      </w:rPr>
    </w:lvl>
    <w:lvl w:ilvl="2" w:tplc="5A6A23D8">
      <w:numFmt w:val="bullet"/>
      <w:lvlText w:val="•"/>
      <w:lvlJc w:val="left"/>
      <w:pPr>
        <w:ind w:left="386" w:hanging="100"/>
      </w:pPr>
      <w:rPr>
        <w:rFonts w:hint="default"/>
      </w:rPr>
    </w:lvl>
    <w:lvl w:ilvl="3" w:tplc="9A04108C">
      <w:numFmt w:val="bullet"/>
      <w:lvlText w:val="•"/>
      <w:lvlJc w:val="left"/>
      <w:pPr>
        <w:ind w:left="500" w:hanging="100"/>
      </w:pPr>
      <w:rPr>
        <w:rFonts w:hint="default"/>
      </w:rPr>
    </w:lvl>
    <w:lvl w:ilvl="4" w:tplc="13842A9E">
      <w:numFmt w:val="bullet"/>
      <w:lvlText w:val="•"/>
      <w:lvlJc w:val="left"/>
      <w:pPr>
        <w:ind w:left="613" w:hanging="100"/>
      </w:pPr>
      <w:rPr>
        <w:rFonts w:hint="default"/>
      </w:rPr>
    </w:lvl>
    <w:lvl w:ilvl="5" w:tplc="59FA5BAE">
      <w:numFmt w:val="bullet"/>
      <w:lvlText w:val="•"/>
      <w:lvlJc w:val="left"/>
      <w:pPr>
        <w:ind w:left="727" w:hanging="100"/>
      </w:pPr>
      <w:rPr>
        <w:rFonts w:hint="default"/>
      </w:rPr>
    </w:lvl>
    <w:lvl w:ilvl="6" w:tplc="8EA26D86">
      <w:numFmt w:val="bullet"/>
      <w:lvlText w:val="•"/>
      <w:lvlJc w:val="left"/>
      <w:pPr>
        <w:ind w:left="840" w:hanging="100"/>
      </w:pPr>
      <w:rPr>
        <w:rFonts w:hint="default"/>
      </w:rPr>
    </w:lvl>
    <w:lvl w:ilvl="7" w:tplc="388CC1E6">
      <w:numFmt w:val="bullet"/>
      <w:lvlText w:val="•"/>
      <w:lvlJc w:val="left"/>
      <w:pPr>
        <w:ind w:left="953" w:hanging="100"/>
      </w:pPr>
      <w:rPr>
        <w:rFonts w:hint="default"/>
      </w:rPr>
    </w:lvl>
    <w:lvl w:ilvl="8" w:tplc="36A81E3E">
      <w:numFmt w:val="bullet"/>
      <w:lvlText w:val="•"/>
      <w:lvlJc w:val="left"/>
      <w:pPr>
        <w:ind w:left="1067" w:hanging="100"/>
      </w:pPr>
      <w:rPr>
        <w:rFonts w:hint="default"/>
      </w:rPr>
    </w:lvl>
  </w:abstractNum>
  <w:abstractNum w:abstractNumId="1818" w15:restartNumberingAfterBreak="0">
    <w:nsid w:val="727C423E"/>
    <w:multiLevelType w:val="hybridMultilevel"/>
    <w:tmpl w:val="044AD476"/>
    <w:lvl w:ilvl="0" w:tplc="2B6AE49E">
      <w:numFmt w:val="bullet"/>
      <w:lvlText w:val=""/>
      <w:lvlJc w:val="left"/>
      <w:pPr>
        <w:ind w:left="156" w:hanging="100"/>
      </w:pPr>
      <w:rPr>
        <w:rFonts w:ascii="Symbol" w:eastAsia="Symbol" w:hAnsi="Symbol" w:cs="Symbol" w:hint="default"/>
        <w:color w:val="231F20"/>
        <w:w w:val="100"/>
        <w:sz w:val="14"/>
        <w:szCs w:val="14"/>
      </w:rPr>
    </w:lvl>
    <w:lvl w:ilvl="1" w:tplc="323E0248">
      <w:numFmt w:val="bullet"/>
      <w:lvlText w:val="o"/>
      <w:lvlJc w:val="left"/>
      <w:pPr>
        <w:ind w:left="156" w:hanging="105"/>
      </w:pPr>
      <w:rPr>
        <w:rFonts w:ascii="Times New Roman" w:eastAsia="Times New Roman" w:hAnsi="Times New Roman" w:cs="Times New Roman" w:hint="default"/>
        <w:color w:val="231F20"/>
        <w:spacing w:val="-8"/>
        <w:w w:val="100"/>
        <w:sz w:val="14"/>
        <w:szCs w:val="14"/>
      </w:rPr>
    </w:lvl>
    <w:lvl w:ilvl="2" w:tplc="FF90FE1E">
      <w:numFmt w:val="bullet"/>
      <w:lvlText w:val="•"/>
      <w:lvlJc w:val="left"/>
      <w:pPr>
        <w:ind w:left="443" w:hanging="105"/>
      </w:pPr>
      <w:rPr>
        <w:rFonts w:hint="default"/>
      </w:rPr>
    </w:lvl>
    <w:lvl w:ilvl="3" w:tplc="556212A2">
      <w:numFmt w:val="bullet"/>
      <w:lvlText w:val="•"/>
      <w:lvlJc w:val="left"/>
      <w:pPr>
        <w:ind w:left="585" w:hanging="105"/>
      </w:pPr>
      <w:rPr>
        <w:rFonts w:hint="default"/>
      </w:rPr>
    </w:lvl>
    <w:lvl w:ilvl="4" w:tplc="22F80986">
      <w:numFmt w:val="bullet"/>
      <w:lvlText w:val="•"/>
      <w:lvlJc w:val="left"/>
      <w:pPr>
        <w:ind w:left="726" w:hanging="105"/>
      </w:pPr>
      <w:rPr>
        <w:rFonts w:hint="default"/>
      </w:rPr>
    </w:lvl>
    <w:lvl w:ilvl="5" w:tplc="DF1AAA52">
      <w:numFmt w:val="bullet"/>
      <w:lvlText w:val="•"/>
      <w:lvlJc w:val="left"/>
      <w:pPr>
        <w:ind w:left="868" w:hanging="105"/>
      </w:pPr>
      <w:rPr>
        <w:rFonts w:hint="default"/>
      </w:rPr>
    </w:lvl>
    <w:lvl w:ilvl="6" w:tplc="80442DFA">
      <w:numFmt w:val="bullet"/>
      <w:lvlText w:val="•"/>
      <w:lvlJc w:val="left"/>
      <w:pPr>
        <w:ind w:left="1010" w:hanging="105"/>
      </w:pPr>
      <w:rPr>
        <w:rFonts w:hint="default"/>
      </w:rPr>
    </w:lvl>
    <w:lvl w:ilvl="7" w:tplc="38F433A6">
      <w:numFmt w:val="bullet"/>
      <w:lvlText w:val="•"/>
      <w:lvlJc w:val="left"/>
      <w:pPr>
        <w:ind w:left="1151" w:hanging="105"/>
      </w:pPr>
      <w:rPr>
        <w:rFonts w:hint="default"/>
      </w:rPr>
    </w:lvl>
    <w:lvl w:ilvl="8" w:tplc="D26CFE7A">
      <w:numFmt w:val="bullet"/>
      <w:lvlText w:val="•"/>
      <w:lvlJc w:val="left"/>
      <w:pPr>
        <w:ind w:left="1293" w:hanging="105"/>
      </w:pPr>
      <w:rPr>
        <w:rFonts w:hint="default"/>
      </w:rPr>
    </w:lvl>
  </w:abstractNum>
  <w:abstractNum w:abstractNumId="1819" w15:restartNumberingAfterBreak="0">
    <w:nsid w:val="72810D3F"/>
    <w:multiLevelType w:val="hybridMultilevel"/>
    <w:tmpl w:val="D42AE63A"/>
    <w:lvl w:ilvl="0" w:tplc="E3F6077C">
      <w:numFmt w:val="bullet"/>
      <w:lvlText w:val=""/>
      <w:lvlJc w:val="left"/>
      <w:pPr>
        <w:ind w:left="156" w:hanging="100"/>
      </w:pPr>
      <w:rPr>
        <w:rFonts w:ascii="Symbol" w:eastAsia="Symbol" w:hAnsi="Symbol" w:cs="Symbol" w:hint="default"/>
        <w:color w:val="231F20"/>
        <w:w w:val="100"/>
        <w:sz w:val="14"/>
        <w:szCs w:val="14"/>
      </w:rPr>
    </w:lvl>
    <w:lvl w:ilvl="1" w:tplc="8CB6926A">
      <w:numFmt w:val="bullet"/>
      <w:lvlText w:val="•"/>
      <w:lvlJc w:val="left"/>
      <w:pPr>
        <w:ind w:left="426" w:hanging="100"/>
      </w:pPr>
      <w:rPr>
        <w:rFonts w:hint="default"/>
      </w:rPr>
    </w:lvl>
    <w:lvl w:ilvl="2" w:tplc="7ED8CBA2">
      <w:numFmt w:val="bullet"/>
      <w:lvlText w:val="•"/>
      <w:lvlJc w:val="left"/>
      <w:pPr>
        <w:ind w:left="692" w:hanging="100"/>
      </w:pPr>
      <w:rPr>
        <w:rFonts w:hint="default"/>
      </w:rPr>
    </w:lvl>
    <w:lvl w:ilvl="3" w:tplc="86445E98">
      <w:numFmt w:val="bullet"/>
      <w:lvlText w:val="•"/>
      <w:lvlJc w:val="left"/>
      <w:pPr>
        <w:ind w:left="959" w:hanging="100"/>
      </w:pPr>
      <w:rPr>
        <w:rFonts w:hint="default"/>
      </w:rPr>
    </w:lvl>
    <w:lvl w:ilvl="4" w:tplc="72C0C002">
      <w:numFmt w:val="bullet"/>
      <w:lvlText w:val="•"/>
      <w:lvlJc w:val="left"/>
      <w:pPr>
        <w:ind w:left="1225" w:hanging="100"/>
      </w:pPr>
      <w:rPr>
        <w:rFonts w:hint="default"/>
      </w:rPr>
    </w:lvl>
    <w:lvl w:ilvl="5" w:tplc="872069F8">
      <w:numFmt w:val="bullet"/>
      <w:lvlText w:val="•"/>
      <w:lvlJc w:val="left"/>
      <w:pPr>
        <w:ind w:left="1492" w:hanging="100"/>
      </w:pPr>
      <w:rPr>
        <w:rFonts w:hint="default"/>
      </w:rPr>
    </w:lvl>
    <w:lvl w:ilvl="6" w:tplc="DAAA6CCA">
      <w:numFmt w:val="bullet"/>
      <w:lvlText w:val="•"/>
      <w:lvlJc w:val="left"/>
      <w:pPr>
        <w:ind w:left="1758" w:hanging="100"/>
      </w:pPr>
      <w:rPr>
        <w:rFonts w:hint="default"/>
      </w:rPr>
    </w:lvl>
    <w:lvl w:ilvl="7" w:tplc="0BC62B42">
      <w:numFmt w:val="bullet"/>
      <w:lvlText w:val="•"/>
      <w:lvlJc w:val="left"/>
      <w:pPr>
        <w:ind w:left="2024" w:hanging="100"/>
      </w:pPr>
      <w:rPr>
        <w:rFonts w:hint="default"/>
      </w:rPr>
    </w:lvl>
    <w:lvl w:ilvl="8" w:tplc="ED34AA80">
      <w:numFmt w:val="bullet"/>
      <w:lvlText w:val="•"/>
      <w:lvlJc w:val="left"/>
      <w:pPr>
        <w:ind w:left="2291" w:hanging="100"/>
      </w:pPr>
      <w:rPr>
        <w:rFonts w:hint="default"/>
      </w:rPr>
    </w:lvl>
  </w:abstractNum>
  <w:abstractNum w:abstractNumId="1820" w15:restartNumberingAfterBreak="0">
    <w:nsid w:val="72836486"/>
    <w:multiLevelType w:val="hybridMultilevel"/>
    <w:tmpl w:val="460A791A"/>
    <w:lvl w:ilvl="0" w:tplc="815049B8">
      <w:numFmt w:val="bullet"/>
      <w:lvlText w:val=""/>
      <w:lvlJc w:val="left"/>
      <w:pPr>
        <w:ind w:left="156" w:hanging="100"/>
      </w:pPr>
      <w:rPr>
        <w:rFonts w:ascii="Symbol" w:eastAsia="Symbol" w:hAnsi="Symbol" w:cs="Symbol" w:hint="default"/>
        <w:color w:val="231F20"/>
        <w:w w:val="100"/>
        <w:sz w:val="14"/>
        <w:szCs w:val="14"/>
      </w:rPr>
    </w:lvl>
    <w:lvl w:ilvl="1" w:tplc="9EA0D0F0">
      <w:numFmt w:val="bullet"/>
      <w:lvlText w:val="•"/>
      <w:lvlJc w:val="left"/>
      <w:pPr>
        <w:ind w:left="426" w:hanging="100"/>
      </w:pPr>
      <w:rPr>
        <w:rFonts w:hint="default"/>
      </w:rPr>
    </w:lvl>
    <w:lvl w:ilvl="2" w:tplc="2BA48768">
      <w:numFmt w:val="bullet"/>
      <w:lvlText w:val="•"/>
      <w:lvlJc w:val="left"/>
      <w:pPr>
        <w:ind w:left="692" w:hanging="100"/>
      </w:pPr>
      <w:rPr>
        <w:rFonts w:hint="default"/>
      </w:rPr>
    </w:lvl>
    <w:lvl w:ilvl="3" w:tplc="4904811C">
      <w:numFmt w:val="bullet"/>
      <w:lvlText w:val="•"/>
      <w:lvlJc w:val="left"/>
      <w:pPr>
        <w:ind w:left="959" w:hanging="100"/>
      </w:pPr>
      <w:rPr>
        <w:rFonts w:hint="default"/>
      </w:rPr>
    </w:lvl>
    <w:lvl w:ilvl="4" w:tplc="6F14D0F2">
      <w:numFmt w:val="bullet"/>
      <w:lvlText w:val="•"/>
      <w:lvlJc w:val="left"/>
      <w:pPr>
        <w:ind w:left="1225" w:hanging="100"/>
      </w:pPr>
      <w:rPr>
        <w:rFonts w:hint="default"/>
      </w:rPr>
    </w:lvl>
    <w:lvl w:ilvl="5" w:tplc="514C4AD2">
      <w:numFmt w:val="bullet"/>
      <w:lvlText w:val="•"/>
      <w:lvlJc w:val="left"/>
      <w:pPr>
        <w:ind w:left="1492" w:hanging="100"/>
      </w:pPr>
      <w:rPr>
        <w:rFonts w:hint="default"/>
      </w:rPr>
    </w:lvl>
    <w:lvl w:ilvl="6" w:tplc="BE5EC382">
      <w:numFmt w:val="bullet"/>
      <w:lvlText w:val="•"/>
      <w:lvlJc w:val="left"/>
      <w:pPr>
        <w:ind w:left="1758" w:hanging="100"/>
      </w:pPr>
      <w:rPr>
        <w:rFonts w:hint="default"/>
      </w:rPr>
    </w:lvl>
    <w:lvl w:ilvl="7" w:tplc="C832BFC2">
      <w:numFmt w:val="bullet"/>
      <w:lvlText w:val="•"/>
      <w:lvlJc w:val="left"/>
      <w:pPr>
        <w:ind w:left="2024" w:hanging="100"/>
      </w:pPr>
      <w:rPr>
        <w:rFonts w:hint="default"/>
      </w:rPr>
    </w:lvl>
    <w:lvl w:ilvl="8" w:tplc="1424F8E6">
      <w:numFmt w:val="bullet"/>
      <w:lvlText w:val="•"/>
      <w:lvlJc w:val="left"/>
      <w:pPr>
        <w:ind w:left="2291" w:hanging="100"/>
      </w:pPr>
      <w:rPr>
        <w:rFonts w:hint="default"/>
      </w:rPr>
    </w:lvl>
  </w:abstractNum>
  <w:abstractNum w:abstractNumId="1821" w15:restartNumberingAfterBreak="0">
    <w:nsid w:val="72840A7F"/>
    <w:multiLevelType w:val="hybridMultilevel"/>
    <w:tmpl w:val="B5A4E2A8"/>
    <w:lvl w:ilvl="0" w:tplc="CF58E258">
      <w:numFmt w:val="bullet"/>
      <w:lvlText w:val=""/>
      <w:lvlJc w:val="left"/>
      <w:pPr>
        <w:ind w:left="157" w:hanging="100"/>
      </w:pPr>
      <w:rPr>
        <w:rFonts w:ascii="Symbol" w:eastAsia="Symbol" w:hAnsi="Symbol" w:cs="Symbol" w:hint="default"/>
        <w:color w:val="231F20"/>
        <w:w w:val="100"/>
        <w:sz w:val="14"/>
        <w:szCs w:val="14"/>
      </w:rPr>
    </w:lvl>
    <w:lvl w:ilvl="1" w:tplc="D1DA1458">
      <w:numFmt w:val="bullet"/>
      <w:lvlText w:val="•"/>
      <w:lvlJc w:val="left"/>
      <w:pPr>
        <w:ind w:left="426" w:hanging="100"/>
      </w:pPr>
      <w:rPr>
        <w:rFonts w:hint="default"/>
      </w:rPr>
    </w:lvl>
    <w:lvl w:ilvl="2" w:tplc="B8E23958">
      <w:numFmt w:val="bullet"/>
      <w:lvlText w:val="•"/>
      <w:lvlJc w:val="left"/>
      <w:pPr>
        <w:ind w:left="692" w:hanging="100"/>
      </w:pPr>
      <w:rPr>
        <w:rFonts w:hint="default"/>
      </w:rPr>
    </w:lvl>
    <w:lvl w:ilvl="3" w:tplc="68F63260">
      <w:numFmt w:val="bullet"/>
      <w:lvlText w:val="•"/>
      <w:lvlJc w:val="left"/>
      <w:pPr>
        <w:ind w:left="959" w:hanging="100"/>
      </w:pPr>
      <w:rPr>
        <w:rFonts w:hint="default"/>
      </w:rPr>
    </w:lvl>
    <w:lvl w:ilvl="4" w:tplc="04EAED8E">
      <w:numFmt w:val="bullet"/>
      <w:lvlText w:val="•"/>
      <w:lvlJc w:val="left"/>
      <w:pPr>
        <w:ind w:left="1225" w:hanging="100"/>
      </w:pPr>
      <w:rPr>
        <w:rFonts w:hint="default"/>
      </w:rPr>
    </w:lvl>
    <w:lvl w:ilvl="5" w:tplc="F2F066C0">
      <w:numFmt w:val="bullet"/>
      <w:lvlText w:val="•"/>
      <w:lvlJc w:val="left"/>
      <w:pPr>
        <w:ind w:left="1492" w:hanging="100"/>
      </w:pPr>
      <w:rPr>
        <w:rFonts w:hint="default"/>
      </w:rPr>
    </w:lvl>
    <w:lvl w:ilvl="6" w:tplc="68CE205A">
      <w:numFmt w:val="bullet"/>
      <w:lvlText w:val="•"/>
      <w:lvlJc w:val="left"/>
      <w:pPr>
        <w:ind w:left="1758" w:hanging="100"/>
      </w:pPr>
      <w:rPr>
        <w:rFonts w:hint="default"/>
      </w:rPr>
    </w:lvl>
    <w:lvl w:ilvl="7" w:tplc="6D9697F6">
      <w:numFmt w:val="bullet"/>
      <w:lvlText w:val="•"/>
      <w:lvlJc w:val="left"/>
      <w:pPr>
        <w:ind w:left="2024" w:hanging="100"/>
      </w:pPr>
      <w:rPr>
        <w:rFonts w:hint="default"/>
      </w:rPr>
    </w:lvl>
    <w:lvl w:ilvl="8" w:tplc="479C89F0">
      <w:numFmt w:val="bullet"/>
      <w:lvlText w:val="•"/>
      <w:lvlJc w:val="left"/>
      <w:pPr>
        <w:ind w:left="2291" w:hanging="100"/>
      </w:pPr>
      <w:rPr>
        <w:rFonts w:hint="default"/>
      </w:rPr>
    </w:lvl>
  </w:abstractNum>
  <w:abstractNum w:abstractNumId="1822" w15:restartNumberingAfterBreak="0">
    <w:nsid w:val="728F3093"/>
    <w:multiLevelType w:val="hybridMultilevel"/>
    <w:tmpl w:val="8CD68678"/>
    <w:lvl w:ilvl="0" w:tplc="511E5958">
      <w:numFmt w:val="bullet"/>
      <w:lvlText w:val=""/>
      <w:lvlJc w:val="left"/>
      <w:pPr>
        <w:ind w:left="156" w:hanging="100"/>
      </w:pPr>
      <w:rPr>
        <w:rFonts w:ascii="Symbol" w:eastAsia="Symbol" w:hAnsi="Symbol" w:cs="Symbol" w:hint="default"/>
        <w:color w:val="231F20"/>
        <w:w w:val="100"/>
        <w:sz w:val="14"/>
        <w:szCs w:val="14"/>
      </w:rPr>
    </w:lvl>
    <w:lvl w:ilvl="1" w:tplc="10D4D362">
      <w:numFmt w:val="bullet"/>
      <w:lvlText w:val="•"/>
      <w:lvlJc w:val="left"/>
      <w:pPr>
        <w:ind w:left="398" w:hanging="100"/>
      </w:pPr>
      <w:rPr>
        <w:rFonts w:hint="default"/>
      </w:rPr>
    </w:lvl>
    <w:lvl w:ilvl="2" w:tplc="0D4C8BA2">
      <w:numFmt w:val="bullet"/>
      <w:lvlText w:val="•"/>
      <w:lvlJc w:val="left"/>
      <w:pPr>
        <w:ind w:left="636" w:hanging="100"/>
      </w:pPr>
      <w:rPr>
        <w:rFonts w:hint="default"/>
      </w:rPr>
    </w:lvl>
    <w:lvl w:ilvl="3" w:tplc="319C97DA">
      <w:numFmt w:val="bullet"/>
      <w:lvlText w:val="•"/>
      <w:lvlJc w:val="left"/>
      <w:pPr>
        <w:ind w:left="874" w:hanging="100"/>
      </w:pPr>
      <w:rPr>
        <w:rFonts w:hint="default"/>
      </w:rPr>
    </w:lvl>
    <w:lvl w:ilvl="4" w:tplc="207211E2">
      <w:numFmt w:val="bullet"/>
      <w:lvlText w:val="•"/>
      <w:lvlJc w:val="left"/>
      <w:pPr>
        <w:ind w:left="1112" w:hanging="100"/>
      </w:pPr>
      <w:rPr>
        <w:rFonts w:hint="default"/>
      </w:rPr>
    </w:lvl>
    <w:lvl w:ilvl="5" w:tplc="8B4A157E">
      <w:numFmt w:val="bullet"/>
      <w:lvlText w:val="•"/>
      <w:lvlJc w:val="left"/>
      <w:pPr>
        <w:ind w:left="1350" w:hanging="100"/>
      </w:pPr>
      <w:rPr>
        <w:rFonts w:hint="default"/>
      </w:rPr>
    </w:lvl>
    <w:lvl w:ilvl="6" w:tplc="F9BE8EA6">
      <w:numFmt w:val="bullet"/>
      <w:lvlText w:val="•"/>
      <w:lvlJc w:val="left"/>
      <w:pPr>
        <w:ind w:left="1588" w:hanging="100"/>
      </w:pPr>
      <w:rPr>
        <w:rFonts w:hint="default"/>
      </w:rPr>
    </w:lvl>
    <w:lvl w:ilvl="7" w:tplc="2194A65A">
      <w:numFmt w:val="bullet"/>
      <w:lvlText w:val="•"/>
      <w:lvlJc w:val="left"/>
      <w:pPr>
        <w:ind w:left="1826" w:hanging="100"/>
      </w:pPr>
      <w:rPr>
        <w:rFonts w:hint="default"/>
      </w:rPr>
    </w:lvl>
    <w:lvl w:ilvl="8" w:tplc="79644F86">
      <w:numFmt w:val="bullet"/>
      <w:lvlText w:val="•"/>
      <w:lvlJc w:val="left"/>
      <w:pPr>
        <w:ind w:left="2064" w:hanging="100"/>
      </w:pPr>
      <w:rPr>
        <w:rFonts w:hint="default"/>
      </w:rPr>
    </w:lvl>
  </w:abstractNum>
  <w:abstractNum w:abstractNumId="1823" w15:restartNumberingAfterBreak="0">
    <w:nsid w:val="72945E80"/>
    <w:multiLevelType w:val="hybridMultilevel"/>
    <w:tmpl w:val="556C77E0"/>
    <w:lvl w:ilvl="0" w:tplc="662865DC">
      <w:numFmt w:val="bullet"/>
      <w:lvlText w:val=""/>
      <w:lvlJc w:val="left"/>
      <w:pPr>
        <w:ind w:left="156" w:hanging="100"/>
      </w:pPr>
      <w:rPr>
        <w:rFonts w:ascii="Symbol" w:eastAsia="Symbol" w:hAnsi="Symbol" w:cs="Symbol" w:hint="default"/>
        <w:color w:val="231F20"/>
        <w:w w:val="100"/>
        <w:sz w:val="14"/>
        <w:szCs w:val="14"/>
      </w:rPr>
    </w:lvl>
    <w:lvl w:ilvl="1" w:tplc="0CC2C6CC">
      <w:numFmt w:val="bullet"/>
      <w:lvlText w:val="•"/>
      <w:lvlJc w:val="left"/>
      <w:pPr>
        <w:ind w:left="398" w:hanging="100"/>
      </w:pPr>
      <w:rPr>
        <w:rFonts w:hint="default"/>
      </w:rPr>
    </w:lvl>
    <w:lvl w:ilvl="2" w:tplc="1F0A20A4">
      <w:numFmt w:val="bullet"/>
      <w:lvlText w:val="•"/>
      <w:lvlJc w:val="left"/>
      <w:pPr>
        <w:ind w:left="636" w:hanging="100"/>
      </w:pPr>
      <w:rPr>
        <w:rFonts w:hint="default"/>
      </w:rPr>
    </w:lvl>
    <w:lvl w:ilvl="3" w:tplc="94A29836">
      <w:numFmt w:val="bullet"/>
      <w:lvlText w:val="•"/>
      <w:lvlJc w:val="left"/>
      <w:pPr>
        <w:ind w:left="874" w:hanging="100"/>
      </w:pPr>
      <w:rPr>
        <w:rFonts w:hint="default"/>
      </w:rPr>
    </w:lvl>
    <w:lvl w:ilvl="4" w:tplc="DC38050C">
      <w:numFmt w:val="bullet"/>
      <w:lvlText w:val="•"/>
      <w:lvlJc w:val="left"/>
      <w:pPr>
        <w:ind w:left="1112" w:hanging="100"/>
      </w:pPr>
      <w:rPr>
        <w:rFonts w:hint="default"/>
      </w:rPr>
    </w:lvl>
    <w:lvl w:ilvl="5" w:tplc="EA102244">
      <w:numFmt w:val="bullet"/>
      <w:lvlText w:val="•"/>
      <w:lvlJc w:val="left"/>
      <w:pPr>
        <w:ind w:left="1350" w:hanging="100"/>
      </w:pPr>
      <w:rPr>
        <w:rFonts w:hint="default"/>
      </w:rPr>
    </w:lvl>
    <w:lvl w:ilvl="6" w:tplc="0090E1F8">
      <w:numFmt w:val="bullet"/>
      <w:lvlText w:val="•"/>
      <w:lvlJc w:val="left"/>
      <w:pPr>
        <w:ind w:left="1588" w:hanging="100"/>
      </w:pPr>
      <w:rPr>
        <w:rFonts w:hint="default"/>
      </w:rPr>
    </w:lvl>
    <w:lvl w:ilvl="7" w:tplc="68C6C99E">
      <w:numFmt w:val="bullet"/>
      <w:lvlText w:val="•"/>
      <w:lvlJc w:val="left"/>
      <w:pPr>
        <w:ind w:left="1826" w:hanging="100"/>
      </w:pPr>
      <w:rPr>
        <w:rFonts w:hint="default"/>
      </w:rPr>
    </w:lvl>
    <w:lvl w:ilvl="8" w:tplc="4308DCF0">
      <w:numFmt w:val="bullet"/>
      <w:lvlText w:val="•"/>
      <w:lvlJc w:val="left"/>
      <w:pPr>
        <w:ind w:left="2064" w:hanging="100"/>
      </w:pPr>
      <w:rPr>
        <w:rFonts w:hint="default"/>
      </w:rPr>
    </w:lvl>
  </w:abstractNum>
  <w:abstractNum w:abstractNumId="1824" w15:restartNumberingAfterBreak="0">
    <w:nsid w:val="729F0D84"/>
    <w:multiLevelType w:val="hybridMultilevel"/>
    <w:tmpl w:val="65E69E12"/>
    <w:lvl w:ilvl="0" w:tplc="A9EAE7FC">
      <w:numFmt w:val="bullet"/>
      <w:lvlText w:val=""/>
      <w:lvlJc w:val="left"/>
      <w:pPr>
        <w:ind w:left="156" w:hanging="100"/>
      </w:pPr>
      <w:rPr>
        <w:rFonts w:ascii="Symbol" w:eastAsia="Symbol" w:hAnsi="Symbol" w:cs="Symbol" w:hint="default"/>
        <w:color w:val="231F20"/>
        <w:w w:val="100"/>
        <w:sz w:val="14"/>
        <w:szCs w:val="14"/>
      </w:rPr>
    </w:lvl>
    <w:lvl w:ilvl="1" w:tplc="680857B0">
      <w:numFmt w:val="bullet"/>
      <w:lvlText w:val="•"/>
      <w:lvlJc w:val="left"/>
      <w:pPr>
        <w:ind w:left="426" w:hanging="100"/>
      </w:pPr>
      <w:rPr>
        <w:rFonts w:hint="default"/>
      </w:rPr>
    </w:lvl>
    <w:lvl w:ilvl="2" w:tplc="653041BA">
      <w:numFmt w:val="bullet"/>
      <w:lvlText w:val="•"/>
      <w:lvlJc w:val="left"/>
      <w:pPr>
        <w:ind w:left="692" w:hanging="100"/>
      </w:pPr>
      <w:rPr>
        <w:rFonts w:hint="default"/>
      </w:rPr>
    </w:lvl>
    <w:lvl w:ilvl="3" w:tplc="EF785514">
      <w:numFmt w:val="bullet"/>
      <w:lvlText w:val="•"/>
      <w:lvlJc w:val="left"/>
      <w:pPr>
        <w:ind w:left="959" w:hanging="100"/>
      </w:pPr>
      <w:rPr>
        <w:rFonts w:hint="default"/>
      </w:rPr>
    </w:lvl>
    <w:lvl w:ilvl="4" w:tplc="61DA7676">
      <w:numFmt w:val="bullet"/>
      <w:lvlText w:val="•"/>
      <w:lvlJc w:val="left"/>
      <w:pPr>
        <w:ind w:left="1225" w:hanging="100"/>
      </w:pPr>
      <w:rPr>
        <w:rFonts w:hint="default"/>
      </w:rPr>
    </w:lvl>
    <w:lvl w:ilvl="5" w:tplc="EE2256F4">
      <w:numFmt w:val="bullet"/>
      <w:lvlText w:val="•"/>
      <w:lvlJc w:val="left"/>
      <w:pPr>
        <w:ind w:left="1492" w:hanging="100"/>
      </w:pPr>
      <w:rPr>
        <w:rFonts w:hint="default"/>
      </w:rPr>
    </w:lvl>
    <w:lvl w:ilvl="6" w:tplc="26BC724A">
      <w:numFmt w:val="bullet"/>
      <w:lvlText w:val="•"/>
      <w:lvlJc w:val="left"/>
      <w:pPr>
        <w:ind w:left="1758" w:hanging="100"/>
      </w:pPr>
      <w:rPr>
        <w:rFonts w:hint="default"/>
      </w:rPr>
    </w:lvl>
    <w:lvl w:ilvl="7" w:tplc="1CA0A1CA">
      <w:numFmt w:val="bullet"/>
      <w:lvlText w:val="•"/>
      <w:lvlJc w:val="left"/>
      <w:pPr>
        <w:ind w:left="2024" w:hanging="100"/>
      </w:pPr>
      <w:rPr>
        <w:rFonts w:hint="default"/>
      </w:rPr>
    </w:lvl>
    <w:lvl w:ilvl="8" w:tplc="7324AC4E">
      <w:numFmt w:val="bullet"/>
      <w:lvlText w:val="•"/>
      <w:lvlJc w:val="left"/>
      <w:pPr>
        <w:ind w:left="2291" w:hanging="100"/>
      </w:pPr>
      <w:rPr>
        <w:rFonts w:hint="default"/>
      </w:rPr>
    </w:lvl>
  </w:abstractNum>
  <w:abstractNum w:abstractNumId="1825" w15:restartNumberingAfterBreak="0">
    <w:nsid w:val="72AB6770"/>
    <w:multiLevelType w:val="hybridMultilevel"/>
    <w:tmpl w:val="F2AC7944"/>
    <w:lvl w:ilvl="0" w:tplc="9BCE9C72">
      <w:numFmt w:val="bullet"/>
      <w:lvlText w:val=""/>
      <w:lvlJc w:val="left"/>
      <w:pPr>
        <w:ind w:left="157" w:hanging="100"/>
      </w:pPr>
      <w:rPr>
        <w:rFonts w:ascii="Symbol" w:eastAsia="Symbol" w:hAnsi="Symbol" w:cs="Symbol" w:hint="default"/>
        <w:color w:val="231F20"/>
        <w:w w:val="100"/>
        <w:sz w:val="14"/>
        <w:szCs w:val="14"/>
      </w:rPr>
    </w:lvl>
    <w:lvl w:ilvl="1" w:tplc="4350A982">
      <w:numFmt w:val="bullet"/>
      <w:lvlText w:val="•"/>
      <w:lvlJc w:val="left"/>
      <w:pPr>
        <w:ind w:left="398" w:hanging="100"/>
      </w:pPr>
      <w:rPr>
        <w:rFonts w:hint="default"/>
      </w:rPr>
    </w:lvl>
    <w:lvl w:ilvl="2" w:tplc="66F8930E">
      <w:numFmt w:val="bullet"/>
      <w:lvlText w:val="•"/>
      <w:lvlJc w:val="left"/>
      <w:pPr>
        <w:ind w:left="636" w:hanging="100"/>
      </w:pPr>
      <w:rPr>
        <w:rFonts w:hint="default"/>
      </w:rPr>
    </w:lvl>
    <w:lvl w:ilvl="3" w:tplc="2DDCC460">
      <w:numFmt w:val="bullet"/>
      <w:lvlText w:val="•"/>
      <w:lvlJc w:val="left"/>
      <w:pPr>
        <w:ind w:left="874" w:hanging="100"/>
      </w:pPr>
      <w:rPr>
        <w:rFonts w:hint="default"/>
      </w:rPr>
    </w:lvl>
    <w:lvl w:ilvl="4" w:tplc="4E5A2298">
      <w:numFmt w:val="bullet"/>
      <w:lvlText w:val="•"/>
      <w:lvlJc w:val="left"/>
      <w:pPr>
        <w:ind w:left="1112" w:hanging="100"/>
      </w:pPr>
      <w:rPr>
        <w:rFonts w:hint="default"/>
      </w:rPr>
    </w:lvl>
    <w:lvl w:ilvl="5" w:tplc="81842BC4">
      <w:numFmt w:val="bullet"/>
      <w:lvlText w:val="•"/>
      <w:lvlJc w:val="left"/>
      <w:pPr>
        <w:ind w:left="1350" w:hanging="100"/>
      </w:pPr>
      <w:rPr>
        <w:rFonts w:hint="default"/>
      </w:rPr>
    </w:lvl>
    <w:lvl w:ilvl="6" w:tplc="568E0550">
      <w:numFmt w:val="bullet"/>
      <w:lvlText w:val="•"/>
      <w:lvlJc w:val="left"/>
      <w:pPr>
        <w:ind w:left="1588" w:hanging="100"/>
      </w:pPr>
      <w:rPr>
        <w:rFonts w:hint="default"/>
      </w:rPr>
    </w:lvl>
    <w:lvl w:ilvl="7" w:tplc="395608CA">
      <w:numFmt w:val="bullet"/>
      <w:lvlText w:val="•"/>
      <w:lvlJc w:val="left"/>
      <w:pPr>
        <w:ind w:left="1826" w:hanging="100"/>
      </w:pPr>
      <w:rPr>
        <w:rFonts w:hint="default"/>
      </w:rPr>
    </w:lvl>
    <w:lvl w:ilvl="8" w:tplc="8402AA9E">
      <w:numFmt w:val="bullet"/>
      <w:lvlText w:val="•"/>
      <w:lvlJc w:val="left"/>
      <w:pPr>
        <w:ind w:left="2064" w:hanging="100"/>
      </w:pPr>
      <w:rPr>
        <w:rFonts w:hint="default"/>
      </w:rPr>
    </w:lvl>
  </w:abstractNum>
  <w:abstractNum w:abstractNumId="1826" w15:restartNumberingAfterBreak="0">
    <w:nsid w:val="72CA00BB"/>
    <w:multiLevelType w:val="hybridMultilevel"/>
    <w:tmpl w:val="6CF0CDE8"/>
    <w:lvl w:ilvl="0" w:tplc="B684767A">
      <w:numFmt w:val="bullet"/>
      <w:lvlText w:val=""/>
      <w:lvlJc w:val="left"/>
      <w:pPr>
        <w:ind w:left="156" w:hanging="100"/>
      </w:pPr>
      <w:rPr>
        <w:rFonts w:ascii="Symbol" w:eastAsia="Symbol" w:hAnsi="Symbol" w:cs="Symbol" w:hint="default"/>
        <w:color w:val="231F20"/>
        <w:w w:val="100"/>
        <w:sz w:val="14"/>
        <w:szCs w:val="14"/>
      </w:rPr>
    </w:lvl>
    <w:lvl w:ilvl="1" w:tplc="BA78165A">
      <w:numFmt w:val="bullet"/>
      <w:lvlText w:val="•"/>
      <w:lvlJc w:val="left"/>
      <w:pPr>
        <w:ind w:left="426" w:hanging="100"/>
      </w:pPr>
      <w:rPr>
        <w:rFonts w:hint="default"/>
      </w:rPr>
    </w:lvl>
    <w:lvl w:ilvl="2" w:tplc="B838DF06">
      <w:numFmt w:val="bullet"/>
      <w:lvlText w:val="•"/>
      <w:lvlJc w:val="left"/>
      <w:pPr>
        <w:ind w:left="692" w:hanging="100"/>
      </w:pPr>
      <w:rPr>
        <w:rFonts w:hint="default"/>
      </w:rPr>
    </w:lvl>
    <w:lvl w:ilvl="3" w:tplc="73A60A0E">
      <w:numFmt w:val="bullet"/>
      <w:lvlText w:val="•"/>
      <w:lvlJc w:val="left"/>
      <w:pPr>
        <w:ind w:left="959" w:hanging="100"/>
      </w:pPr>
      <w:rPr>
        <w:rFonts w:hint="default"/>
      </w:rPr>
    </w:lvl>
    <w:lvl w:ilvl="4" w:tplc="3AD677FA">
      <w:numFmt w:val="bullet"/>
      <w:lvlText w:val="•"/>
      <w:lvlJc w:val="left"/>
      <w:pPr>
        <w:ind w:left="1225" w:hanging="100"/>
      </w:pPr>
      <w:rPr>
        <w:rFonts w:hint="default"/>
      </w:rPr>
    </w:lvl>
    <w:lvl w:ilvl="5" w:tplc="3C783AD6">
      <w:numFmt w:val="bullet"/>
      <w:lvlText w:val="•"/>
      <w:lvlJc w:val="left"/>
      <w:pPr>
        <w:ind w:left="1492" w:hanging="100"/>
      </w:pPr>
      <w:rPr>
        <w:rFonts w:hint="default"/>
      </w:rPr>
    </w:lvl>
    <w:lvl w:ilvl="6" w:tplc="77D83330">
      <w:numFmt w:val="bullet"/>
      <w:lvlText w:val="•"/>
      <w:lvlJc w:val="left"/>
      <w:pPr>
        <w:ind w:left="1758" w:hanging="100"/>
      </w:pPr>
      <w:rPr>
        <w:rFonts w:hint="default"/>
      </w:rPr>
    </w:lvl>
    <w:lvl w:ilvl="7" w:tplc="48AA318C">
      <w:numFmt w:val="bullet"/>
      <w:lvlText w:val="•"/>
      <w:lvlJc w:val="left"/>
      <w:pPr>
        <w:ind w:left="2024" w:hanging="100"/>
      </w:pPr>
      <w:rPr>
        <w:rFonts w:hint="default"/>
      </w:rPr>
    </w:lvl>
    <w:lvl w:ilvl="8" w:tplc="421A6E0E">
      <w:numFmt w:val="bullet"/>
      <w:lvlText w:val="•"/>
      <w:lvlJc w:val="left"/>
      <w:pPr>
        <w:ind w:left="2291" w:hanging="100"/>
      </w:pPr>
      <w:rPr>
        <w:rFonts w:hint="default"/>
      </w:rPr>
    </w:lvl>
  </w:abstractNum>
  <w:abstractNum w:abstractNumId="1827" w15:restartNumberingAfterBreak="0">
    <w:nsid w:val="72D77B60"/>
    <w:multiLevelType w:val="hybridMultilevel"/>
    <w:tmpl w:val="B814742A"/>
    <w:lvl w:ilvl="0" w:tplc="F78681EA">
      <w:numFmt w:val="bullet"/>
      <w:lvlText w:val=""/>
      <w:lvlJc w:val="left"/>
      <w:pPr>
        <w:ind w:left="156" w:hanging="100"/>
      </w:pPr>
      <w:rPr>
        <w:rFonts w:ascii="Symbol" w:eastAsia="Symbol" w:hAnsi="Symbol" w:cs="Symbol" w:hint="default"/>
        <w:color w:val="231F20"/>
        <w:w w:val="100"/>
        <w:sz w:val="14"/>
        <w:szCs w:val="14"/>
      </w:rPr>
    </w:lvl>
    <w:lvl w:ilvl="1" w:tplc="562E7748">
      <w:numFmt w:val="bullet"/>
      <w:lvlText w:val="•"/>
      <w:lvlJc w:val="left"/>
      <w:pPr>
        <w:ind w:left="398" w:hanging="100"/>
      </w:pPr>
      <w:rPr>
        <w:rFonts w:hint="default"/>
      </w:rPr>
    </w:lvl>
    <w:lvl w:ilvl="2" w:tplc="7696F020">
      <w:numFmt w:val="bullet"/>
      <w:lvlText w:val="•"/>
      <w:lvlJc w:val="left"/>
      <w:pPr>
        <w:ind w:left="636" w:hanging="100"/>
      </w:pPr>
      <w:rPr>
        <w:rFonts w:hint="default"/>
      </w:rPr>
    </w:lvl>
    <w:lvl w:ilvl="3" w:tplc="B4EEB4A0">
      <w:numFmt w:val="bullet"/>
      <w:lvlText w:val="•"/>
      <w:lvlJc w:val="left"/>
      <w:pPr>
        <w:ind w:left="874" w:hanging="100"/>
      </w:pPr>
      <w:rPr>
        <w:rFonts w:hint="default"/>
      </w:rPr>
    </w:lvl>
    <w:lvl w:ilvl="4" w:tplc="DF2AD116">
      <w:numFmt w:val="bullet"/>
      <w:lvlText w:val="•"/>
      <w:lvlJc w:val="left"/>
      <w:pPr>
        <w:ind w:left="1112" w:hanging="100"/>
      </w:pPr>
      <w:rPr>
        <w:rFonts w:hint="default"/>
      </w:rPr>
    </w:lvl>
    <w:lvl w:ilvl="5" w:tplc="E34A3700">
      <w:numFmt w:val="bullet"/>
      <w:lvlText w:val="•"/>
      <w:lvlJc w:val="left"/>
      <w:pPr>
        <w:ind w:left="1350" w:hanging="100"/>
      </w:pPr>
      <w:rPr>
        <w:rFonts w:hint="default"/>
      </w:rPr>
    </w:lvl>
    <w:lvl w:ilvl="6" w:tplc="47E6A868">
      <w:numFmt w:val="bullet"/>
      <w:lvlText w:val="•"/>
      <w:lvlJc w:val="left"/>
      <w:pPr>
        <w:ind w:left="1588" w:hanging="100"/>
      </w:pPr>
      <w:rPr>
        <w:rFonts w:hint="default"/>
      </w:rPr>
    </w:lvl>
    <w:lvl w:ilvl="7" w:tplc="4D6C9598">
      <w:numFmt w:val="bullet"/>
      <w:lvlText w:val="•"/>
      <w:lvlJc w:val="left"/>
      <w:pPr>
        <w:ind w:left="1826" w:hanging="100"/>
      </w:pPr>
      <w:rPr>
        <w:rFonts w:hint="default"/>
      </w:rPr>
    </w:lvl>
    <w:lvl w:ilvl="8" w:tplc="82DCC8C6">
      <w:numFmt w:val="bullet"/>
      <w:lvlText w:val="•"/>
      <w:lvlJc w:val="left"/>
      <w:pPr>
        <w:ind w:left="2064" w:hanging="100"/>
      </w:pPr>
      <w:rPr>
        <w:rFonts w:hint="default"/>
      </w:rPr>
    </w:lvl>
  </w:abstractNum>
  <w:abstractNum w:abstractNumId="1828" w15:restartNumberingAfterBreak="0">
    <w:nsid w:val="72F2701B"/>
    <w:multiLevelType w:val="hybridMultilevel"/>
    <w:tmpl w:val="27E85696"/>
    <w:lvl w:ilvl="0" w:tplc="237EEA0E">
      <w:numFmt w:val="bullet"/>
      <w:lvlText w:val=""/>
      <w:lvlJc w:val="left"/>
      <w:pPr>
        <w:ind w:left="156" w:hanging="100"/>
      </w:pPr>
      <w:rPr>
        <w:rFonts w:ascii="Symbol" w:eastAsia="Symbol" w:hAnsi="Symbol" w:cs="Symbol" w:hint="default"/>
        <w:color w:val="231F20"/>
        <w:w w:val="100"/>
        <w:sz w:val="14"/>
        <w:szCs w:val="14"/>
      </w:rPr>
    </w:lvl>
    <w:lvl w:ilvl="1" w:tplc="AA561E10">
      <w:numFmt w:val="bullet"/>
      <w:lvlText w:val="•"/>
      <w:lvlJc w:val="left"/>
      <w:pPr>
        <w:ind w:left="398" w:hanging="100"/>
      </w:pPr>
      <w:rPr>
        <w:rFonts w:hint="default"/>
      </w:rPr>
    </w:lvl>
    <w:lvl w:ilvl="2" w:tplc="A0FA3966">
      <w:numFmt w:val="bullet"/>
      <w:lvlText w:val="•"/>
      <w:lvlJc w:val="left"/>
      <w:pPr>
        <w:ind w:left="636" w:hanging="100"/>
      </w:pPr>
      <w:rPr>
        <w:rFonts w:hint="default"/>
      </w:rPr>
    </w:lvl>
    <w:lvl w:ilvl="3" w:tplc="6CF0C0C8">
      <w:numFmt w:val="bullet"/>
      <w:lvlText w:val="•"/>
      <w:lvlJc w:val="left"/>
      <w:pPr>
        <w:ind w:left="874" w:hanging="100"/>
      </w:pPr>
      <w:rPr>
        <w:rFonts w:hint="default"/>
      </w:rPr>
    </w:lvl>
    <w:lvl w:ilvl="4" w:tplc="3A60D094">
      <w:numFmt w:val="bullet"/>
      <w:lvlText w:val="•"/>
      <w:lvlJc w:val="left"/>
      <w:pPr>
        <w:ind w:left="1112" w:hanging="100"/>
      </w:pPr>
      <w:rPr>
        <w:rFonts w:hint="default"/>
      </w:rPr>
    </w:lvl>
    <w:lvl w:ilvl="5" w:tplc="65A84136">
      <w:numFmt w:val="bullet"/>
      <w:lvlText w:val="•"/>
      <w:lvlJc w:val="left"/>
      <w:pPr>
        <w:ind w:left="1350" w:hanging="100"/>
      </w:pPr>
      <w:rPr>
        <w:rFonts w:hint="default"/>
      </w:rPr>
    </w:lvl>
    <w:lvl w:ilvl="6" w:tplc="2C146332">
      <w:numFmt w:val="bullet"/>
      <w:lvlText w:val="•"/>
      <w:lvlJc w:val="left"/>
      <w:pPr>
        <w:ind w:left="1588" w:hanging="100"/>
      </w:pPr>
      <w:rPr>
        <w:rFonts w:hint="default"/>
      </w:rPr>
    </w:lvl>
    <w:lvl w:ilvl="7" w:tplc="F3606D52">
      <w:numFmt w:val="bullet"/>
      <w:lvlText w:val="•"/>
      <w:lvlJc w:val="left"/>
      <w:pPr>
        <w:ind w:left="1826" w:hanging="100"/>
      </w:pPr>
      <w:rPr>
        <w:rFonts w:hint="default"/>
      </w:rPr>
    </w:lvl>
    <w:lvl w:ilvl="8" w:tplc="821A7EE6">
      <w:numFmt w:val="bullet"/>
      <w:lvlText w:val="•"/>
      <w:lvlJc w:val="left"/>
      <w:pPr>
        <w:ind w:left="2064" w:hanging="100"/>
      </w:pPr>
      <w:rPr>
        <w:rFonts w:hint="default"/>
      </w:rPr>
    </w:lvl>
  </w:abstractNum>
  <w:abstractNum w:abstractNumId="1829" w15:restartNumberingAfterBreak="0">
    <w:nsid w:val="72FA4103"/>
    <w:multiLevelType w:val="hybridMultilevel"/>
    <w:tmpl w:val="AD20344E"/>
    <w:lvl w:ilvl="0" w:tplc="1212B4EE">
      <w:numFmt w:val="bullet"/>
      <w:lvlText w:val=""/>
      <w:lvlJc w:val="left"/>
      <w:pPr>
        <w:ind w:left="156" w:hanging="100"/>
      </w:pPr>
      <w:rPr>
        <w:rFonts w:ascii="Symbol" w:eastAsia="Symbol" w:hAnsi="Symbol" w:cs="Symbol" w:hint="default"/>
        <w:color w:val="231F20"/>
        <w:w w:val="100"/>
        <w:sz w:val="14"/>
        <w:szCs w:val="14"/>
      </w:rPr>
    </w:lvl>
    <w:lvl w:ilvl="1" w:tplc="7BD650EA">
      <w:numFmt w:val="bullet"/>
      <w:lvlText w:val="•"/>
      <w:lvlJc w:val="left"/>
      <w:pPr>
        <w:ind w:left="398" w:hanging="100"/>
      </w:pPr>
      <w:rPr>
        <w:rFonts w:hint="default"/>
      </w:rPr>
    </w:lvl>
    <w:lvl w:ilvl="2" w:tplc="B0D8E218">
      <w:numFmt w:val="bullet"/>
      <w:lvlText w:val="•"/>
      <w:lvlJc w:val="left"/>
      <w:pPr>
        <w:ind w:left="636" w:hanging="100"/>
      </w:pPr>
      <w:rPr>
        <w:rFonts w:hint="default"/>
      </w:rPr>
    </w:lvl>
    <w:lvl w:ilvl="3" w:tplc="5A1C446C">
      <w:numFmt w:val="bullet"/>
      <w:lvlText w:val="•"/>
      <w:lvlJc w:val="left"/>
      <w:pPr>
        <w:ind w:left="874" w:hanging="100"/>
      </w:pPr>
      <w:rPr>
        <w:rFonts w:hint="default"/>
      </w:rPr>
    </w:lvl>
    <w:lvl w:ilvl="4" w:tplc="403826A8">
      <w:numFmt w:val="bullet"/>
      <w:lvlText w:val="•"/>
      <w:lvlJc w:val="left"/>
      <w:pPr>
        <w:ind w:left="1112" w:hanging="100"/>
      </w:pPr>
      <w:rPr>
        <w:rFonts w:hint="default"/>
      </w:rPr>
    </w:lvl>
    <w:lvl w:ilvl="5" w:tplc="43E89310">
      <w:numFmt w:val="bullet"/>
      <w:lvlText w:val="•"/>
      <w:lvlJc w:val="left"/>
      <w:pPr>
        <w:ind w:left="1350" w:hanging="100"/>
      </w:pPr>
      <w:rPr>
        <w:rFonts w:hint="default"/>
      </w:rPr>
    </w:lvl>
    <w:lvl w:ilvl="6" w:tplc="4B4C28A4">
      <w:numFmt w:val="bullet"/>
      <w:lvlText w:val="•"/>
      <w:lvlJc w:val="left"/>
      <w:pPr>
        <w:ind w:left="1588" w:hanging="100"/>
      </w:pPr>
      <w:rPr>
        <w:rFonts w:hint="default"/>
      </w:rPr>
    </w:lvl>
    <w:lvl w:ilvl="7" w:tplc="7F2E986C">
      <w:numFmt w:val="bullet"/>
      <w:lvlText w:val="•"/>
      <w:lvlJc w:val="left"/>
      <w:pPr>
        <w:ind w:left="1826" w:hanging="100"/>
      </w:pPr>
      <w:rPr>
        <w:rFonts w:hint="default"/>
      </w:rPr>
    </w:lvl>
    <w:lvl w:ilvl="8" w:tplc="FD704FEA">
      <w:numFmt w:val="bullet"/>
      <w:lvlText w:val="•"/>
      <w:lvlJc w:val="left"/>
      <w:pPr>
        <w:ind w:left="2064" w:hanging="100"/>
      </w:pPr>
      <w:rPr>
        <w:rFonts w:hint="default"/>
      </w:rPr>
    </w:lvl>
  </w:abstractNum>
  <w:abstractNum w:abstractNumId="1830" w15:restartNumberingAfterBreak="0">
    <w:nsid w:val="730D0BFE"/>
    <w:multiLevelType w:val="hybridMultilevel"/>
    <w:tmpl w:val="716A5914"/>
    <w:lvl w:ilvl="0" w:tplc="CAD27E26">
      <w:numFmt w:val="bullet"/>
      <w:lvlText w:val=""/>
      <w:lvlJc w:val="left"/>
      <w:pPr>
        <w:ind w:left="156" w:hanging="100"/>
      </w:pPr>
      <w:rPr>
        <w:rFonts w:ascii="Symbol" w:eastAsia="Symbol" w:hAnsi="Symbol" w:cs="Symbol" w:hint="default"/>
        <w:color w:val="231F20"/>
        <w:w w:val="100"/>
        <w:sz w:val="14"/>
        <w:szCs w:val="14"/>
      </w:rPr>
    </w:lvl>
    <w:lvl w:ilvl="1" w:tplc="F56E1C36">
      <w:numFmt w:val="bullet"/>
      <w:lvlText w:val="•"/>
      <w:lvlJc w:val="left"/>
      <w:pPr>
        <w:ind w:left="301" w:hanging="100"/>
      </w:pPr>
      <w:rPr>
        <w:rFonts w:hint="default"/>
      </w:rPr>
    </w:lvl>
    <w:lvl w:ilvl="2" w:tplc="B40CA066">
      <w:numFmt w:val="bullet"/>
      <w:lvlText w:val="•"/>
      <w:lvlJc w:val="left"/>
      <w:pPr>
        <w:ind w:left="443" w:hanging="100"/>
      </w:pPr>
      <w:rPr>
        <w:rFonts w:hint="default"/>
      </w:rPr>
    </w:lvl>
    <w:lvl w:ilvl="3" w:tplc="146A65B8">
      <w:numFmt w:val="bullet"/>
      <w:lvlText w:val="•"/>
      <w:lvlJc w:val="left"/>
      <w:pPr>
        <w:ind w:left="585" w:hanging="100"/>
      </w:pPr>
      <w:rPr>
        <w:rFonts w:hint="default"/>
      </w:rPr>
    </w:lvl>
    <w:lvl w:ilvl="4" w:tplc="D58E24FE">
      <w:numFmt w:val="bullet"/>
      <w:lvlText w:val="•"/>
      <w:lvlJc w:val="left"/>
      <w:pPr>
        <w:ind w:left="726" w:hanging="100"/>
      </w:pPr>
      <w:rPr>
        <w:rFonts w:hint="default"/>
      </w:rPr>
    </w:lvl>
    <w:lvl w:ilvl="5" w:tplc="A7DE86AA">
      <w:numFmt w:val="bullet"/>
      <w:lvlText w:val="•"/>
      <w:lvlJc w:val="left"/>
      <w:pPr>
        <w:ind w:left="868" w:hanging="100"/>
      </w:pPr>
      <w:rPr>
        <w:rFonts w:hint="default"/>
      </w:rPr>
    </w:lvl>
    <w:lvl w:ilvl="6" w:tplc="9A16E056">
      <w:numFmt w:val="bullet"/>
      <w:lvlText w:val="•"/>
      <w:lvlJc w:val="left"/>
      <w:pPr>
        <w:ind w:left="1010" w:hanging="100"/>
      </w:pPr>
      <w:rPr>
        <w:rFonts w:hint="default"/>
      </w:rPr>
    </w:lvl>
    <w:lvl w:ilvl="7" w:tplc="FE0CD56A">
      <w:numFmt w:val="bullet"/>
      <w:lvlText w:val="•"/>
      <w:lvlJc w:val="left"/>
      <w:pPr>
        <w:ind w:left="1151" w:hanging="100"/>
      </w:pPr>
      <w:rPr>
        <w:rFonts w:hint="default"/>
      </w:rPr>
    </w:lvl>
    <w:lvl w:ilvl="8" w:tplc="FAEE3C60">
      <w:numFmt w:val="bullet"/>
      <w:lvlText w:val="•"/>
      <w:lvlJc w:val="left"/>
      <w:pPr>
        <w:ind w:left="1293" w:hanging="100"/>
      </w:pPr>
      <w:rPr>
        <w:rFonts w:hint="default"/>
      </w:rPr>
    </w:lvl>
  </w:abstractNum>
  <w:abstractNum w:abstractNumId="1831" w15:restartNumberingAfterBreak="0">
    <w:nsid w:val="732A6E99"/>
    <w:multiLevelType w:val="hybridMultilevel"/>
    <w:tmpl w:val="786671E4"/>
    <w:lvl w:ilvl="0" w:tplc="A08C8B9C">
      <w:numFmt w:val="bullet"/>
      <w:lvlText w:val=""/>
      <w:lvlJc w:val="left"/>
      <w:pPr>
        <w:ind w:left="157" w:hanging="100"/>
      </w:pPr>
      <w:rPr>
        <w:rFonts w:ascii="Symbol" w:eastAsia="Symbol" w:hAnsi="Symbol" w:cs="Symbol" w:hint="default"/>
        <w:color w:val="231F20"/>
        <w:w w:val="100"/>
        <w:sz w:val="14"/>
        <w:szCs w:val="14"/>
      </w:rPr>
    </w:lvl>
    <w:lvl w:ilvl="1" w:tplc="716E1F46">
      <w:numFmt w:val="bullet"/>
      <w:lvlText w:val="•"/>
      <w:lvlJc w:val="left"/>
      <w:pPr>
        <w:ind w:left="398" w:hanging="100"/>
      </w:pPr>
      <w:rPr>
        <w:rFonts w:hint="default"/>
      </w:rPr>
    </w:lvl>
    <w:lvl w:ilvl="2" w:tplc="18C81D3A">
      <w:numFmt w:val="bullet"/>
      <w:lvlText w:val="•"/>
      <w:lvlJc w:val="left"/>
      <w:pPr>
        <w:ind w:left="636" w:hanging="100"/>
      </w:pPr>
      <w:rPr>
        <w:rFonts w:hint="default"/>
      </w:rPr>
    </w:lvl>
    <w:lvl w:ilvl="3" w:tplc="A9A2295E">
      <w:numFmt w:val="bullet"/>
      <w:lvlText w:val="•"/>
      <w:lvlJc w:val="left"/>
      <w:pPr>
        <w:ind w:left="874" w:hanging="100"/>
      </w:pPr>
      <w:rPr>
        <w:rFonts w:hint="default"/>
      </w:rPr>
    </w:lvl>
    <w:lvl w:ilvl="4" w:tplc="3F8091F0">
      <w:numFmt w:val="bullet"/>
      <w:lvlText w:val="•"/>
      <w:lvlJc w:val="left"/>
      <w:pPr>
        <w:ind w:left="1112" w:hanging="100"/>
      </w:pPr>
      <w:rPr>
        <w:rFonts w:hint="default"/>
      </w:rPr>
    </w:lvl>
    <w:lvl w:ilvl="5" w:tplc="41DC2620">
      <w:numFmt w:val="bullet"/>
      <w:lvlText w:val="•"/>
      <w:lvlJc w:val="left"/>
      <w:pPr>
        <w:ind w:left="1350" w:hanging="100"/>
      </w:pPr>
      <w:rPr>
        <w:rFonts w:hint="default"/>
      </w:rPr>
    </w:lvl>
    <w:lvl w:ilvl="6" w:tplc="EFD445BC">
      <w:numFmt w:val="bullet"/>
      <w:lvlText w:val="•"/>
      <w:lvlJc w:val="left"/>
      <w:pPr>
        <w:ind w:left="1588" w:hanging="100"/>
      </w:pPr>
      <w:rPr>
        <w:rFonts w:hint="default"/>
      </w:rPr>
    </w:lvl>
    <w:lvl w:ilvl="7" w:tplc="BAE8028A">
      <w:numFmt w:val="bullet"/>
      <w:lvlText w:val="•"/>
      <w:lvlJc w:val="left"/>
      <w:pPr>
        <w:ind w:left="1826" w:hanging="100"/>
      </w:pPr>
      <w:rPr>
        <w:rFonts w:hint="default"/>
      </w:rPr>
    </w:lvl>
    <w:lvl w:ilvl="8" w:tplc="D19CC732">
      <w:numFmt w:val="bullet"/>
      <w:lvlText w:val="•"/>
      <w:lvlJc w:val="left"/>
      <w:pPr>
        <w:ind w:left="2064" w:hanging="100"/>
      </w:pPr>
      <w:rPr>
        <w:rFonts w:hint="default"/>
      </w:rPr>
    </w:lvl>
  </w:abstractNum>
  <w:abstractNum w:abstractNumId="1832" w15:restartNumberingAfterBreak="0">
    <w:nsid w:val="732D5E6E"/>
    <w:multiLevelType w:val="hybridMultilevel"/>
    <w:tmpl w:val="DEEA6316"/>
    <w:lvl w:ilvl="0" w:tplc="C2629FB6">
      <w:numFmt w:val="bullet"/>
      <w:lvlText w:val=""/>
      <w:lvlJc w:val="left"/>
      <w:pPr>
        <w:ind w:left="156" w:hanging="100"/>
      </w:pPr>
      <w:rPr>
        <w:rFonts w:ascii="Symbol" w:eastAsia="Symbol" w:hAnsi="Symbol" w:cs="Symbol" w:hint="default"/>
        <w:color w:val="231F20"/>
        <w:w w:val="100"/>
        <w:sz w:val="14"/>
        <w:szCs w:val="14"/>
      </w:rPr>
    </w:lvl>
    <w:lvl w:ilvl="1" w:tplc="BACA773A">
      <w:numFmt w:val="bullet"/>
      <w:lvlText w:val="•"/>
      <w:lvlJc w:val="left"/>
      <w:pPr>
        <w:ind w:left="426" w:hanging="100"/>
      </w:pPr>
      <w:rPr>
        <w:rFonts w:hint="default"/>
      </w:rPr>
    </w:lvl>
    <w:lvl w:ilvl="2" w:tplc="6874B192">
      <w:numFmt w:val="bullet"/>
      <w:lvlText w:val="•"/>
      <w:lvlJc w:val="left"/>
      <w:pPr>
        <w:ind w:left="692" w:hanging="100"/>
      </w:pPr>
      <w:rPr>
        <w:rFonts w:hint="default"/>
      </w:rPr>
    </w:lvl>
    <w:lvl w:ilvl="3" w:tplc="C2745F56">
      <w:numFmt w:val="bullet"/>
      <w:lvlText w:val="•"/>
      <w:lvlJc w:val="left"/>
      <w:pPr>
        <w:ind w:left="959" w:hanging="100"/>
      </w:pPr>
      <w:rPr>
        <w:rFonts w:hint="default"/>
      </w:rPr>
    </w:lvl>
    <w:lvl w:ilvl="4" w:tplc="E262890E">
      <w:numFmt w:val="bullet"/>
      <w:lvlText w:val="•"/>
      <w:lvlJc w:val="left"/>
      <w:pPr>
        <w:ind w:left="1225" w:hanging="100"/>
      </w:pPr>
      <w:rPr>
        <w:rFonts w:hint="default"/>
      </w:rPr>
    </w:lvl>
    <w:lvl w:ilvl="5" w:tplc="5EFC5F7C">
      <w:numFmt w:val="bullet"/>
      <w:lvlText w:val="•"/>
      <w:lvlJc w:val="left"/>
      <w:pPr>
        <w:ind w:left="1492" w:hanging="100"/>
      </w:pPr>
      <w:rPr>
        <w:rFonts w:hint="default"/>
      </w:rPr>
    </w:lvl>
    <w:lvl w:ilvl="6" w:tplc="9AAE8100">
      <w:numFmt w:val="bullet"/>
      <w:lvlText w:val="•"/>
      <w:lvlJc w:val="left"/>
      <w:pPr>
        <w:ind w:left="1758" w:hanging="100"/>
      </w:pPr>
      <w:rPr>
        <w:rFonts w:hint="default"/>
      </w:rPr>
    </w:lvl>
    <w:lvl w:ilvl="7" w:tplc="81F4F958">
      <w:numFmt w:val="bullet"/>
      <w:lvlText w:val="•"/>
      <w:lvlJc w:val="left"/>
      <w:pPr>
        <w:ind w:left="2024" w:hanging="100"/>
      </w:pPr>
      <w:rPr>
        <w:rFonts w:hint="default"/>
      </w:rPr>
    </w:lvl>
    <w:lvl w:ilvl="8" w:tplc="512EC908">
      <w:numFmt w:val="bullet"/>
      <w:lvlText w:val="•"/>
      <w:lvlJc w:val="left"/>
      <w:pPr>
        <w:ind w:left="2291" w:hanging="100"/>
      </w:pPr>
      <w:rPr>
        <w:rFonts w:hint="default"/>
      </w:rPr>
    </w:lvl>
  </w:abstractNum>
  <w:abstractNum w:abstractNumId="1833" w15:restartNumberingAfterBreak="0">
    <w:nsid w:val="733209C6"/>
    <w:multiLevelType w:val="hybridMultilevel"/>
    <w:tmpl w:val="28408954"/>
    <w:lvl w:ilvl="0" w:tplc="F0FEECEE">
      <w:numFmt w:val="bullet"/>
      <w:lvlText w:val=""/>
      <w:lvlJc w:val="left"/>
      <w:pPr>
        <w:ind w:left="157" w:hanging="100"/>
      </w:pPr>
      <w:rPr>
        <w:rFonts w:ascii="Symbol" w:eastAsia="Symbol" w:hAnsi="Symbol" w:cs="Symbol" w:hint="default"/>
        <w:color w:val="231F20"/>
        <w:w w:val="100"/>
        <w:sz w:val="14"/>
        <w:szCs w:val="14"/>
      </w:rPr>
    </w:lvl>
    <w:lvl w:ilvl="1" w:tplc="FC12DD00">
      <w:numFmt w:val="bullet"/>
      <w:lvlText w:val="•"/>
      <w:lvlJc w:val="left"/>
      <w:pPr>
        <w:ind w:left="426" w:hanging="100"/>
      </w:pPr>
      <w:rPr>
        <w:rFonts w:hint="default"/>
      </w:rPr>
    </w:lvl>
    <w:lvl w:ilvl="2" w:tplc="C9B847DA">
      <w:numFmt w:val="bullet"/>
      <w:lvlText w:val="•"/>
      <w:lvlJc w:val="left"/>
      <w:pPr>
        <w:ind w:left="692" w:hanging="100"/>
      </w:pPr>
      <w:rPr>
        <w:rFonts w:hint="default"/>
      </w:rPr>
    </w:lvl>
    <w:lvl w:ilvl="3" w:tplc="F0881F7E">
      <w:numFmt w:val="bullet"/>
      <w:lvlText w:val="•"/>
      <w:lvlJc w:val="left"/>
      <w:pPr>
        <w:ind w:left="959" w:hanging="100"/>
      </w:pPr>
      <w:rPr>
        <w:rFonts w:hint="default"/>
      </w:rPr>
    </w:lvl>
    <w:lvl w:ilvl="4" w:tplc="A11AEEC6">
      <w:numFmt w:val="bullet"/>
      <w:lvlText w:val="•"/>
      <w:lvlJc w:val="left"/>
      <w:pPr>
        <w:ind w:left="1225" w:hanging="100"/>
      </w:pPr>
      <w:rPr>
        <w:rFonts w:hint="default"/>
      </w:rPr>
    </w:lvl>
    <w:lvl w:ilvl="5" w:tplc="C75A7E2A">
      <w:numFmt w:val="bullet"/>
      <w:lvlText w:val="•"/>
      <w:lvlJc w:val="left"/>
      <w:pPr>
        <w:ind w:left="1492" w:hanging="100"/>
      </w:pPr>
      <w:rPr>
        <w:rFonts w:hint="default"/>
      </w:rPr>
    </w:lvl>
    <w:lvl w:ilvl="6" w:tplc="6F1CFF82">
      <w:numFmt w:val="bullet"/>
      <w:lvlText w:val="•"/>
      <w:lvlJc w:val="left"/>
      <w:pPr>
        <w:ind w:left="1758" w:hanging="100"/>
      </w:pPr>
      <w:rPr>
        <w:rFonts w:hint="default"/>
      </w:rPr>
    </w:lvl>
    <w:lvl w:ilvl="7" w:tplc="E160BD4A">
      <w:numFmt w:val="bullet"/>
      <w:lvlText w:val="•"/>
      <w:lvlJc w:val="left"/>
      <w:pPr>
        <w:ind w:left="2024" w:hanging="100"/>
      </w:pPr>
      <w:rPr>
        <w:rFonts w:hint="default"/>
      </w:rPr>
    </w:lvl>
    <w:lvl w:ilvl="8" w:tplc="6C741836">
      <w:numFmt w:val="bullet"/>
      <w:lvlText w:val="•"/>
      <w:lvlJc w:val="left"/>
      <w:pPr>
        <w:ind w:left="2291" w:hanging="100"/>
      </w:pPr>
      <w:rPr>
        <w:rFonts w:hint="default"/>
      </w:rPr>
    </w:lvl>
  </w:abstractNum>
  <w:abstractNum w:abstractNumId="1834" w15:restartNumberingAfterBreak="0">
    <w:nsid w:val="733E504D"/>
    <w:multiLevelType w:val="hybridMultilevel"/>
    <w:tmpl w:val="A3D6FA58"/>
    <w:lvl w:ilvl="0" w:tplc="A342A110">
      <w:numFmt w:val="bullet"/>
      <w:lvlText w:val=""/>
      <w:lvlJc w:val="left"/>
      <w:pPr>
        <w:ind w:left="157" w:hanging="100"/>
      </w:pPr>
      <w:rPr>
        <w:rFonts w:ascii="Symbol" w:eastAsia="Symbol" w:hAnsi="Symbol" w:cs="Symbol" w:hint="default"/>
        <w:color w:val="231F20"/>
        <w:w w:val="100"/>
        <w:sz w:val="14"/>
        <w:szCs w:val="14"/>
      </w:rPr>
    </w:lvl>
    <w:lvl w:ilvl="1" w:tplc="4B66F6B2">
      <w:numFmt w:val="bullet"/>
      <w:lvlText w:val="•"/>
      <w:lvlJc w:val="left"/>
      <w:pPr>
        <w:ind w:left="426" w:hanging="100"/>
      </w:pPr>
      <w:rPr>
        <w:rFonts w:hint="default"/>
      </w:rPr>
    </w:lvl>
    <w:lvl w:ilvl="2" w:tplc="BA4A59CE">
      <w:numFmt w:val="bullet"/>
      <w:lvlText w:val="•"/>
      <w:lvlJc w:val="left"/>
      <w:pPr>
        <w:ind w:left="692" w:hanging="100"/>
      </w:pPr>
      <w:rPr>
        <w:rFonts w:hint="default"/>
      </w:rPr>
    </w:lvl>
    <w:lvl w:ilvl="3" w:tplc="8626EABC">
      <w:numFmt w:val="bullet"/>
      <w:lvlText w:val="•"/>
      <w:lvlJc w:val="left"/>
      <w:pPr>
        <w:ind w:left="959" w:hanging="100"/>
      </w:pPr>
      <w:rPr>
        <w:rFonts w:hint="default"/>
      </w:rPr>
    </w:lvl>
    <w:lvl w:ilvl="4" w:tplc="C5189F86">
      <w:numFmt w:val="bullet"/>
      <w:lvlText w:val="•"/>
      <w:lvlJc w:val="left"/>
      <w:pPr>
        <w:ind w:left="1225" w:hanging="100"/>
      </w:pPr>
      <w:rPr>
        <w:rFonts w:hint="default"/>
      </w:rPr>
    </w:lvl>
    <w:lvl w:ilvl="5" w:tplc="7A00F476">
      <w:numFmt w:val="bullet"/>
      <w:lvlText w:val="•"/>
      <w:lvlJc w:val="left"/>
      <w:pPr>
        <w:ind w:left="1492" w:hanging="100"/>
      </w:pPr>
      <w:rPr>
        <w:rFonts w:hint="default"/>
      </w:rPr>
    </w:lvl>
    <w:lvl w:ilvl="6" w:tplc="EDB2720C">
      <w:numFmt w:val="bullet"/>
      <w:lvlText w:val="•"/>
      <w:lvlJc w:val="left"/>
      <w:pPr>
        <w:ind w:left="1758" w:hanging="100"/>
      </w:pPr>
      <w:rPr>
        <w:rFonts w:hint="default"/>
      </w:rPr>
    </w:lvl>
    <w:lvl w:ilvl="7" w:tplc="BE7EA030">
      <w:numFmt w:val="bullet"/>
      <w:lvlText w:val="•"/>
      <w:lvlJc w:val="left"/>
      <w:pPr>
        <w:ind w:left="2024" w:hanging="100"/>
      </w:pPr>
      <w:rPr>
        <w:rFonts w:hint="default"/>
      </w:rPr>
    </w:lvl>
    <w:lvl w:ilvl="8" w:tplc="BF943060">
      <w:numFmt w:val="bullet"/>
      <w:lvlText w:val="•"/>
      <w:lvlJc w:val="left"/>
      <w:pPr>
        <w:ind w:left="2291" w:hanging="100"/>
      </w:pPr>
      <w:rPr>
        <w:rFonts w:hint="default"/>
      </w:rPr>
    </w:lvl>
  </w:abstractNum>
  <w:abstractNum w:abstractNumId="1835" w15:restartNumberingAfterBreak="0">
    <w:nsid w:val="733E5F2D"/>
    <w:multiLevelType w:val="hybridMultilevel"/>
    <w:tmpl w:val="1B54C9E4"/>
    <w:lvl w:ilvl="0" w:tplc="DE482974">
      <w:numFmt w:val="bullet"/>
      <w:lvlText w:val=""/>
      <w:lvlJc w:val="left"/>
      <w:pPr>
        <w:ind w:left="156" w:hanging="100"/>
      </w:pPr>
      <w:rPr>
        <w:rFonts w:ascii="Symbol" w:eastAsia="Symbol" w:hAnsi="Symbol" w:cs="Symbol" w:hint="default"/>
        <w:color w:val="231F20"/>
        <w:w w:val="100"/>
        <w:sz w:val="14"/>
        <w:szCs w:val="14"/>
      </w:rPr>
    </w:lvl>
    <w:lvl w:ilvl="1" w:tplc="B3380BAE">
      <w:numFmt w:val="bullet"/>
      <w:lvlText w:val="•"/>
      <w:lvlJc w:val="left"/>
      <w:pPr>
        <w:ind w:left="398" w:hanging="100"/>
      </w:pPr>
      <w:rPr>
        <w:rFonts w:hint="default"/>
      </w:rPr>
    </w:lvl>
    <w:lvl w:ilvl="2" w:tplc="8752E9B6">
      <w:numFmt w:val="bullet"/>
      <w:lvlText w:val="•"/>
      <w:lvlJc w:val="left"/>
      <w:pPr>
        <w:ind w:left="636" w:hanging="100"/>
      </w:pPr>
      <w:rPr>
        <w:rFonts w:hint="default"/>
      </w:rPr>
    </w:lvl>
    <w:lvl w:ilvl="3" w:tplc="9A3C8E42">
      <w:numFmt w:val="bullet"/>
      <w:lvlText w:val="•"/>
      <w:lvlJc w:val="left"/>
      <w:pPr>
        <w:ind w:left="874" w:hanging="100"/>
      </w:pPr>
      <w:rPr>
        <w:rFonts w:hint="default"/>
      </w:rPr>
    </w:lvl>
    <w:lvl w:ilvl="4" w:tplc="DDF46E84">
      <w:numFmt w:val="bullet"/>
      <w:lvlText w:val="•"/>
      <w:lvlJc w:val="left"/>
      <w:pPr>
        <w:ind w:left="1112" w:hanging="100"/>
      </w:pPr>
      <w:rPr>
        <w:rFonts w:hint="default"/>
      </w:rPr>
    </w:lvl>
    <w:lvl w:ilvl="5" w:tplc="1F1E38D6">
      <w:numFmt w:val="bullet"/>
      <w:lvlText w:val="•"/>
      <w:lvlJc w:val="left"/>
      <w:pPr>
        <w:ind w:left="1350" w:hanging="100"/>
      </w:pPr>
      <w:rPr>
        <w:rFonts w:hint="default"/>
      </w:rPr>
    </w:lvl>
    <w:lvl w:ilvl="6" w:tplc="FD48773C">
      <w:numFmt w:val="bullet"/>
      <w:lvlText w:val="•"/>
      <w:lvlJc w:val="left"/>
      <w:pPr>
        <w:ind w:left="1588" w:hanging="100"/>
      </w:pPr>
      <w:rPr>
        <w:rFonts w:hint="default"/>
      </w:rPr>
    </w:lvl>
    <w:lvl w:ilvl="7" w:tplc="BCC205A8">
      <w:numFmt w:val="bullet"/>
      <w:lvlText w:val="•"/>
      <w:lvlJc w:val="left"/>
      <w:pPr>
        <w:ind w:left="1826" w:hanging="100"/>
      </w:pPr>
      <w:rPr>
        <w:rFonts w:hint="default"/>
      </w:rPr>
    </w:lvl>
    <w:lvl w:ilvl="8" w:tplc="717C15A2">
      <w:numFmt w:val="bullet"/>
      <w:lvlText w:val="•"/>
      <w:lvlJc w:val="left"/>
      <w:pPr>
        <w:ind w:left="2064" w:hanging="100"/>
      </w:pPr>
      <w:rPr>
        <w:rFonts w:hint="default"/>
      </w:rPr>
    </w:lvl>
  </w:abstractNum>
  <w:abstractNum w:abstractNumId="1836" w15:restartNumberingAfterBreak="0">
    <w:nsid w:val="73426F4D"/>
    <w:multiLevelType w:val="hybridMultilevel"/>
    <w:tmpl w:val="4E70849A"/>
    <w:lvl w:ilvl="0" w:tplc="692C1D62">
      <w:numFmt w:val="bullet"/>
      <w:lvlText w:val=""/>
      <w:lvlJc w:val="left"/>
      <w:pPr>
        <w:ind w:left="156" w:hanging="100"/>
      </w:pPr>
      <w:rPr>
        <w:rFonts w:ascii="Symbol" w:eastAsia="Symbol" w:hAnsi="Symbol" w:cs="Symbol" w:hint="default"/>
        <w:color w:val="231F20"/>
        <w:w w:val="100"/>
        <w:sz w:val="14"/>
        <w:szCs w:val="14"/>
      </w:rPr>
    </w:lvl>
    <w:lvl w:ilvl="1" w:tplc="AB78C07A">
      <w:numFmt w:val="bullet"/>
      <w:lvlText w:val="o"/>
      <w:lvlJc w:val="left"/>
      <w:pPr>
        <w:ind w:left="156" w:hanging="105"/>
      </w:pPr>
      <w:rPr>
        <w:rFonts w:ascii="Times New Roman" w:eastAsia="Times New Roman" w:hAnsi="Times New Roman" w:cs="Times New Roman" w:hint="default"/>
        <w:color w:val="231F20"/>
        <w:spacing w:val="-8"/>
        <w:w w:val="100"/>
        <w:sz w:val="14"/>
        <w:szCs w:val="14"/>
      </w:rPr>
    </w:lvl>
    <w:lvl w:ilvl="2" w:tplc="BF6C4870">
      <w:numFmt w:val="bullet"/>
      <w:lvlText w:val="•"/>
      <w:lvlJc w:val="left"/>
      <w:pPr>
        <w:ind w:left="443" w:hanging="105"/>
      </w:pPr>
      <w:rPr>
        <w:rFonts w:hint="default"/>
      </w:rPr>
    </w:lvl>
    <w:lvl w:ilvl="3" w:tplc="847E3AA6">
      <w:numFmt w:val="bullet"/>
      <w:lvlText w:val="•"/>
      <w:lvlJc w:val="left"/>
      <w:pPr>
        <w:ind w:left="585" w:hanging="105"/>
      </w:pPr>
      <w:rPr>
        <w:rFonts w:hint="default"/>
      </w:rPr>
    </w:lvl>
    <w:lvl w:ilvl="4" w:tplc="69729FC0">
      <w:numFmt w:val="bullet"/>
      <w:lvlText w:val="•"/>
      <w:lvlJc w:val="left"/>
      <w:pPr>
        <w:ind w:left="726" w:hanging="105"/>
      </w:pPr>
      <w:rPr>
        <w:rFonts w:hint="default"/>
      </w:rPr>
    </w:lvl>
    <w:lvl w:ilvl="5" w:tplc="1FD6C93E">
      <w:numFmt w:val="bullet"/>
      <w:lvlText w:val="•"/>
      <w:lvlJc w:val="left"/>
      <w:pPr>
        <w:ind w:left="868" w:hanging="105"/>
      </w:pPr>
      <w:rPr>
        <w:rFonts w:hint="default"/>
      </w:rPr>
    </w:lvl>
    <w:lvl w:ilvl="6" w:tplc="D85615E0">
      <w:numFmt w:val="bullet"/>
      <w:lvlText w:val="•"/>
      <w:lvlJc w:val="left"/>
      <w:pPr>
        <w:ind w:left="1010" w:hanging="105"/>
      </w:pPr>
      <w:rPr>
        <w:rFonts w:hint="default"/>
      </w:rPr>
    </w:lvl>
    <w:lvl w:ilvl="7" w:tplc="99E2F364">
      <w:numFmt w:val="bullet"/>
      <w:lvlText w:val="•"/>
      <w:lvlJc w:val="left"/>
      <w:pPr>
        <w:ind w:left="1151" w:hanging="105"/>
      </w:pPr>
      <w:rPr>
        <w:rFonts w:hint="default"/>
      </w:rPr>
    </w:lvl>
    <w:lvl w:ilvl="8" w:tplc="EC76086E">
      <w:numFmt w:val="bullet"/>
      <w:lvlText w:val="•"/>
      <w:lvlJc w:val="left"/>
      <w:pPr>
        <w:ind w:left="1293" w:hanging="105"/>
      </w:pPr>
      <w:rPr>
        <w:rFonts w:hint="default"/>
      </w:rPr>
    </w:lvl>
  </w:abstractNum>
  <w:abstractNum w:abstractNumId="1837" w15:restartNumberingAfterBreak="0">
    <w:nsid w:val="734E40F0"/>
    <w:multiLevelType w:val="hybridMultilevel"/>
    <w:tmpl w:val="FD621F6C"/>
    <w:lvl w:ilvl="0" w:tplc="F2C4F88A">
      <w:numFmt w:val="bullet"/>
      <w:lvlText w:val=""/>
      <w:lvlJc w:val="left"/>
      <w:pPr>
        <w:ind w:left="156" w:hanging="100"/>
      </w:pPr>
      <w:rPr>
        <w:rFonts w:ascii="Symbol" w:eastAsia="Symbol" w:hAnsi="Symbol" w:cs="Symbol" w:hint="default"/>
        <w:color w:val="231F20"/>
        <w:w w:val="100"/>
        <w:sz w:val="14"/>
        <w:szCs w:val="14"/>
      </w:rPr>
    </w:lvl>
    <w:lvl w:ilvl="1" w:tplc="887C6044">
      <w:numFmt w:val="bullet"/>
      <w:lvlText w:val="•"/>
      <w:lvlJc w:val="left"/>
      <w:pPr>
        <w:ind w:left="398" w:hanging="100"/>
      </w:pPr>
      <w:rPr>
        <w:rFonts w:hint="default"/>
      </w:rPr>
    </w:lvl>
    <w:lvl w:ilvl="2" w:tplc="6F7C4A3E">
      <w:numFmt w:val="bullet"/>
      <w:lvlText w:val="•"/>
      <w:lvlJc w:val="left"/>
      <w:pPr>
        <w:ind w:left="636" w:hanging="100"/>
      </w:pPr>
      <w:rPr>
        <w:rFonts w:hint="default"/>
      </w:rPr>
    </w:lvl>
    <w:lvl w:ilvl="3" w:tplc="881410A6">
      <w:numFmt w:val="bullet"/>
      <w:lvlText w:val="•"/>
      <w:lvlJc w:val="left"/>
      <w:pPr>
        <w:ind w:left="874" w:hanging="100"/>
      </w:pPr>
      <w:rPr>
        <w:rFonts w:hint="default"/>
      </w:rPr>
    </w:lvl>
    <w:lvl w:ilvl="4" w:tplc="0AB08580">
      <w:numFmt w:val="bullet"/>
      <w:lvlText w:val="•"/>
      <w:lvlJc w:val="left"/>
      <w:pPr>
        <w:ind w:left="1112" w:hanging="100"/>
      </w:pPr>
      <w:rPr>
        <w:rFonts w:hint="default"/>
      </w:rPr>
    </w:lvl>
    <w:lvl w:ilvl="5" w:tplc="0040EF1A">
      <w:numFmt w:val="bullet"/>
      <w:lvlText w:val="•"/>
      <w:lvlJc w:val="left"/>
      <w:pPr>
        <w:ind w:left="1350" w:hanging="100"/>
      </w:pPr>
      <w:rPr>
        <w:rFonts w:hint="default"/>
      </w:rPr>
    </w:lvl>
    <w:lvl w:ilvl="6" w:tplc="559A5102">
      <w:numFmt w:val="bullet"/>
      <w:lvlText w:val="•"/>
      <w:lvlJc w:val="left"/>
      <w:pPr>
        <w:ind w:left="1588" w:hanging="100"/>
      </w:pPr>
      <w:rPr>
        <w:rFonts w:hint="default"/>
      </w:rPr>
    </w:lvl>
    <w:lvl w:ilvl="7" w:tplc="099875DE">
      <w:numFmt w:val="bullet"/>
      <w:lvlText w:val="•"/>
      <w:lvlJc w:val="left"/>
      <w:pPr>
        <w:ind w:left="1826" w:hanging="100"/>
      </w:pPr>
      <w:rPr>
        <w:rFonts w:hint="default"/>
      </w:rPr>
    </w:lvl>
    <w:lvl w:ilvl="8" w:tplc="4822B218">
      <w:numFmt w:val="bullet"/>
      <w:lvlText w:val="•"/>
      <w:lvlJc w:val="left"/>
      <w:pPr>
        <w:ind w:left="2064" w:hanging="100"/>
      </w:pPr>
      <w:rPr>
        <w:rFonts w:hint="default"/>
      </w:rPr>
    </w:lvl>
  </w:abstractNum>
  <w:abstractNum w:abstractNumId="1838" w15:restartNumberingAfterBreak="0">
    <w:nsid w:val="73670BBB"/>
    <w:multiLevelType w:val="hybridMultilevel"/>
    <w:tmpl w:val="67D005F2"/>
    <w:lvl w:ilvl="0" w:tplc="713A4AE8">
      <w:numFmt w:val="bullet"/>
      <w:lvlText w:val=""/>
      <w:lvlJc w:val="left"/>
      <w:pPr>
        <w:ind w:left="157" w:hanging="100"/>
      </w:pPr>
      <w:rPr>
        <w:rFonts w:ascii="Symbol" w:eastAsia="Symbol" w:hAnsi="Symbol" w:cs="Symbol" w:hint="default"/>
        <w:color w:val="231F20"/>
        <w:w w:val="100"/>
        <w:sz w:val="14"/>
        <w:szCs w:val="14"/>
      </w:rPr>
    </w:lvl>
    <w:lvl w:ilvl="1" w:tplc="F4D2B46C">
      <w:numFmt w:val="bullet"/>
      <w:lvlText w:val="•"/>
      <w:lvlJc w:val="left"/>
      <w:pPr>
        <w:ind w:left="369" w:hanging="100"/>
      </w:pPr>
      <w:rPr>
        <w:rFonts w:hint="default"/>
      </w:rPr>
    </w:lvl>
    <w:lvl w:ilvl="2" w:tplc="3260E656">
      <w:numFmt w:val="bullet"/>
      <w:lvlText w:val="•"/>
      <w:lvlJc w:val="left"/>
      <w:pPr>
        <w:ind w:left="579" w:hanging="100"/>
      </w:pPr>
      <w:rPr>
        <w:rFonts w:hint="default"/>
      </w:rPr>
    </w:lvl>
    <w:lvl w:ilvl="3" w:tplc="0BDEA970">
      <w:numFmt w:val="bullet"/>
      <w:lvlText w:val="•"/>
      <w:lvlJc w:val="left"/>
      <w:pPr>
        <w:ind w:left="789" w:hanging="100"/>
      </w:pPr>
      <w:rPr>
        <w:rFonts w:hint="default"/>
      </w:rPr>
    </w:lvl>
    <w:lvl w:ilvl="4" w:tplc="CFD83752">
      <w:numFmt w:val="bullet"/>
      <w:lvlText w:val="•"/>
      <w:lvlJc w:val="left"/>
      <w:pPr>
        <w:ind w:left="998" w:hanging="100"/>
      </w:pPr>
      <w:rPr>
        <w:rFonts w:hint="default"/>
      </w:rPr>
    </w:lvl>
    <w:lvl w:ilvl="5" w:tplc="8CBEDD88">
      <w:numFmt w:val="bullet"/>
      <w:lvlText w:val="•"/>
      <w:lvlJc w:val="left"/>
      <w:pPr>
        <w:ind w:left="1208" w:hanging="100"/>
      </w:pPr>
      <w:rPr>
        <w:rFonts w:hint="default"/>
      </w:rPr>
    </w:lvl>
    <w:lvl w:ilvl="6" w:tplc="2C0E672C">
      <w:numFmt w:val="bullet"/>
      <w:lvlText w:val="•"/>
      <w:lvlJc w:val="left"/>
      <w:pPr>
        <w:ind w:left="1418" w:hanging="100"/>
      </w:pPr>
      <w:rPr>
        <w:rFonts w:hint="default"/>
      </w:rPr>
    </w:lvl>
    <w:lvl w:ilvl="7" w:tplc="5E2EA1B6">
      <w:numFmt w:val="bullet"/>
      <w:lvlText w:val="•"/>
      <w:lvlJc w:val="left"/>
      <w:pPr>
        <w:ind w:left="1627" w:hanging="100"/>
      </w:pPr>
      <w:rPr>
        <w:rFonts w:hint="default"/>
      </w:rPr>
    </w:lvl>
    <w:lvl w:ilvl="8" w:tplc="48684552">
      <w:numFmt w:val="bullet"/>
      <w:lvlText w:val="•"/>
      <w:lvlJc w:val="left"/>
      <w:pPr>
        <w:ind w:left="1837" w:hanging="100"/>
      </w:pPr>
      <w:rPr>
        <w:rFonts w:hint="default"/>
      </w:rPr>
    </w:lvl>
  </w:abstractNum>
  <w:abstractNum w:abstractNumId="1839" w15:restartNumberingAfterBreak="0">
    <w:nsid w:val="736C39C7"/>
    <w:multiLevelType w:val="hybridMultilevel"/>
    <w:tmpl w:val="8C425C8A"/>
    <w:lvl w:ilvl="0" w:tplc="9A40F0C4">
      <w:numFmt w:val="bullet"/>
      <w:lvlText w:val=""/>
      <w:lvlJc w:val="left"/>
      <w:pPr>
        <w:ind w:left="157" w:hanging="100"/>
      </w:pPr>
      <w:rPr>
        <w:rFonts w:ascii="Symbol" w:eastAsia="Symbol" w:hAnsi="Symbol" w:cs="Symbol" w:hint="default"/>
        <w:color w:val="231F20"/>
        <w:w w:val="100"/>
        <w:sz w:val="14"/>
        <w:szCs w:val="14"/>
      </w:rPr>
    </w:lvl>
    <w:lvl w:ilvl="1" w:tplc="458A299C">
      <w:numFmt w:val="bullet"/>
      <w:lvlText w:val="•"/>
      <w:lvlJc w:val="left"/>
      <w:pPr>
        <w:ind w:left="369" w:hanging="100"/>
      </w:pPr>
      <w:rPr>
        <w:rFonts w:hint="default"/>
      </w:rPr>
    </w:lvl>
    <w:lvl w:ilvl="2" w:tplc="C47A1E30">
      <w:numFmt w:val="bullet"/>
      <w:lvlText w:val="•"/>
      <w:lvlJc w:val="left"/>
      <w:pPr>
        <w:ind w:left="579" w:hanging="100"/>
      </w:pPr>
      <w:rPr>
        <w:rFonts w:hint="default"/>
      </w:rPr>
    </w:lvl>
    <w:lvl w:ilvl="3" w:tplc="5CF8235E">
      <w:numFmt w:val="bullet"/>
      <w:lvlText w:val="•"/>
      <w:lvlJc w:val="left"/>
      <w:pPr>
        <w:ind w:left="789" w:hanging="100"/>
      </w:pPr>
      <w:rPr>
        <w:rFonts w:hint="default"/>
      </w:rPr>
    </w:lvl>
    <w:lvl w:ilvl="4" w:tplc="37E24A82">
      <w:numFmt w:val="bullet"/>
      <w:lvlText w:val="•"/>
      <w:lvlJc w:val="left"/>
      <w:pPr>
        <w:ind w:left="998" w:hanging="100"/>
      </w:pPr>
      <w:rPr>
        <w:rFonts w:hint="default"/>
      </w:rPr>
    </w:lvl>
    <w:lvl w:ilvl="5" w:tplc="D6507D34">
      <w:numFmt w:val="bullet"/>
      <w:lvlText w:val="•"/>
      <w:lvlJc w:val="left"/>
      <w:pPr>
        <w:ind w:left="1208" w:hanging="100"/>
      </w:pPr>
      <w:rPr>
        <w:rFonts w:hint="default"/>
      </w:rPr>
    </w:lvl>
    <w:lvl w:ilvl="6" w:tplc="C27E10EE">
      <w:numFmt w:val="bullet"/>
      <w:lvlText w:val="•"/>
      <w:lvlJc w:val="left"/>
      <w:pPr>
        <w:ind w:left="1418" w:hanging="100"/>
      </w:pPr>
      <w:rPr>
        <w:rFonts w:hint="default"/>
      </w:rPr>
    </w:lvl>
    <w:lvl w:ilvl="7" w:tplc="E4B45FC8">
      <w:numFmt w:val="bullet"/>
      <w:lvlText w:val="•"/>
      <w:lvlJc w:val="left"/>
      <w:pPr>
        <w:ind w:left="1627" w:hanging="100"/>
      </w:pPr>
      <w:rPr>
        <w:rFonts w:hint="default"/>
      </w:rPr>
    </w:lvl>
    <w:lvl w:ilvl="8" w:tplc="FE021C70">
      <w:numFmt w:val="bullet"/>
      <w:lvlText w:val="•"/>
      <w:lvlJc w:val="left"/>
      <w:pPr>
        <w:ind w:left="1837" w:hanging="100"/>
      </w:pPr>
      <w:rPr>
        <w:rFonts w:hint="default"/>
      </w:rPr>
    </w:lvl>
  </w:abstractNum>
  <w:abstractNum w:abstractNumId="1840" w15:restartNumberingAfterBreak="0">
    <w:nsid w:val="736F363E"/>
    <w:multiLevelType w:val="hybridMultilevel"/>
    <w:tmpl w:val="43406D9A"/>
    <w:lvl w:ilvl="0" w:tplc="39F84340">
      <w:numFmt w:val="bullet"/>
      <w:lvlText w:val=""/>
      <w:lvlJc w:val="left"/>
      <w:pPr>
        <w:ind w:left="156" w:hanging="100"/>
      </w:pPr>
      <w:rPr>
        <w:rFonts w:ascii="Symbol" w:eastAsia="Symbol" w:hAnsi="Symbol" w:cs="Symbol" w:hint="default"/>
        <w:color w:val="231F20"/>
        <w:w w:val="100"/>
        <w:sz w:val="14"/>
        <w:szCs w:val="14"/>
      </w:rPr>
    </w:lvl>
    <w:lvl w:ilvl="1" w:tplc="7CCCFB02">
      <w:numFmt w:val="bullet"/>
      <w:lvlText w:val="•"/>
      <w:lvlJc w:val="left"/>
      <w:pPr>
        <w:ind w:left="301" w:hanging="100"/>
      </w:pPr>
      <w:rPr>
        <w:rFonts w:hint="default"/>
      </w:rPr>
    </w:lvl>
    <w:lvl w:ilvl="2" w:tplc="24AC65DC">
      <w:numFmt w:val="bullet"/>
      <w:lvlText w:val="•"/>
      <w:lvlJc w:val="left"/>
      <w:pPr>
        <w:ind w:left="443" w:hanging="100"/>
      </w:pPr>
      <w:rPr>
        <w:rFonts w:hint="default"/>
      </w:rPr>
    </w:lvl>
    <w:lvl w:ilvl="3" w:tplc="30A0C984">
      <w:numFmt w:val="bullet"/>
      <w:lvlText w:val="•"/>
      <w:lvlJc w:val="left"/>
      <w:pPr>
        <w:ind w:left="585" w:hanging="100"/>
      </w:pPr>
      <w:rPr>
        <w:rFonts w:hint="default"/>
      </w:rPr>
    </w:lvl>
    <w:lvl w:ilvl="4" w:tplc="65DAF292">
      <w:numFmt w:val="bullet"/>
      <w:lvlText w:val="•"/>
      <w:lvlJc w:val="left"/>
      <w:pPr>
        <w:ind w:left="726" w:hanging="100"/>
      </w:pPr>
      <w:rPr>
        <w:rFonts w:hint="default"/>
      </w:rPr>
    </w:lvl>
    <w:lvl w:ilvl="5" w:tplc="91C4AF2A">
      <w:numFmt w:val="bullet"/>
      <w:lvlText w:val="•"/>
      <w:lvlJc w:val="left"/>
      <w:pPr>
        <w:ind w:left="868" w:hanging="100"/>
      </w:pPr>
      <w:rPr>
        <w:rFonts w:hint="default"/>
      </w:rPr>
    </w:lvl>
    <w:lvl w:ilvl="6" w:tplc="94086466">
      <w:numFmt w:val="bullet"/>
      <w:lvlText w:val="•"/>
      <w:lvlJc w:val="left"/>
      <w:pPr>
        <w:ind w:left="1010" w:hanging="100"/>
      </w:pPr>
      <w:rPr>
        <w:rFonts w:hint="default"/>
      </w:rPr>
    </w:lvl>
    <w:lvl w:ilvl="7" w:tplc="0EB6C92A">
      <w:numFmt w:val="bullet"/>
      <w:lvlText w:val="•"/>
      <w:lvlJc w:val="left"/>
      <w:pPr>
        <w:ind w:left="1151" w:hanging="100"/>
      </w:pPr>
      <w:rPr>
        <w:rFonts w:hint="default"/>
      </w:rPr>
    </w:lvl>
    <w:lvl w:ilvl="8" w:tplc="F89E7794">
      <w:numFmt w:val="bullet"/>
      <w:lvlText w:val="•"/>
      <w:lvlJc w:val="left"/>
      <w:pPr>
        <w:ind w:left="1293" w:hanging="100"/>
      </w:pPr>
      <w:rPr>
        <w:rFonts w:hint="default"/>
      </w:rPr>
    </w:lvl>
  </w:abstractNum>
  <w:abstractNum w:abstractNumId="1841" w15:restartNumberingAfterBreak="0">
    <w:nsid w:val="737E6997"/>
    <w:multiLevelType w:val="hybridMultilevel"/>
    <w:tmpl w:val="1BACE228"/>
    <w:lvl w:ilvl="0" w:tplc="AB3819B0">
      <w:numFmt w:val="bullet"/>
      <w:lvlText w:val=""/>
      <w:lvlJc w:val="left"/>
      <w:pPr>
        <w:ind w:left="156" w:hanging="100"/>
      </w:pPr>
      <w:rPr>
        <w:rFonts w:ascii="Symbol" w:eastAsia="Symbol" w:hAnsi="Symbol" w:cs="Symbol" w:hint="default"/>
        <w:color w:val="231F20"/>
        <w:w w:val="100"/>
        <w:sz w:val="14"/>
        <w:szCs w:val="14"/>
      </w:rPr>
    </w:lvl>
    <w:lvl w:ilvl="1" w:tplc="F232FC4C">
      <w:numFmt w:val="bullet"/>
      <w:lvlText w:val="•"/>
      <w:lvlJc w:val="left"/>
      <w:pPr>
        <w:ind w:left="301" w:hanging="100"/>
      </w:pPr>
      <w:rPr>
        <w:rFonts w:hint="default"/>
      </w:rPr>
    </w:lvl>
    <w:lvl w:ilvl="2" w:tplc="9954CF84">
      <w:numFmt w:val="bullet"/>
      <w:lvlText w:val="•"/>
      <w:lvlJc w:val="left"/>
      <w:pPr>
        <w:ind w:left="443" w:hanging="100"/>
      </w:pPr>
      <w:rPr>
        <w:rFonts w:hint="default"/>
      </w:rPr>
    </w:lvl>
    <w:lvl w:ilvl="3" w:tplc="88382EA0">
      <w:numFmt w:val="bullet"/>
      <w:lvlText w:val="•"/>
      <w:lvlJc w:val="left"/>
      <w:pPr>
        <w:ind w:left="585" w:hanging="100"/>
      </w:pPr>
      <w:rPr>
        <w:rFonts w:hint="default"/>
      </w:rPr>
    </w:lvl>
    <w:lvl w:ilvl="4" w:tplc="24B0F33C">
      <w:numFmt w:val="bullet"/>
      <w:lvlText w:val="•"/>
      <w:lvlJc w:val="left"/>
      <w:pPr>
        <w:ind w:left="726" w:hanging="100"/>
      </w:pPr>
      <w:rPr>
        <w:rFonts w:hint="default"/>
      </w:rPr>
    </w:lvl>
    <w:lvl w:ilvl="5" w:tplc="EEA24BE2">
      <w:numFmt w:val="bullet"/>
      <w:lvlText w:val="•"/>
      <w:lvlJc w:val="left"/>
      <w:pPr>
        <w:ind w:left="868" w:hanging="100"/>
      </w:pPr>
      <w:rPr>
        <w:rFonts w:hint="default"/>
      </w:rPr>
    </w:lvl>
    <w:lvl w:ilvl="6" w:tplc="6D8AA4D0">
      <w:numFmt w:val="bullet"/>
      <w:lvlText w:val="•"/>
      <w:lvlJc w:val="left"/>
      <w:pPr>
        <w:ind w:left="1010" w:hanging="100"/>
      </w:pPr>
      <w:rPr>
        <w:rFonts w:hint="default"/>
      </w:rPr>
    </w:lvl>
    <w:lvl w:ilvl="7" w:tplc="60785A08">
      <w:numFmt w:val="bullet"/>
      <w:lvlText w:val="•"/>
      <w:lvlJc w:val="left"/>
      <w:pPr>
        <w:ind w:left="1151" w:hanging="100"/>
      </w:pPr>
      <w:rPr>
        <w:rFonts w:hint="default"/>
      </w:rPr>
    </w:lvl>
    <w:lvl w:ilvl="8" w:tplc="4D262398">
      <w:numFmt w:val="bullet"/>
      <w:lvlText w:val="•"/>
      <w:lvlJc w:val="left"/>
      <w:pPr>
        <w:ind w:left="1293" w:hanging="100"/>
      </w:pPr>
      <w:rPr>
        <w:rFonts w:hint="default"/>
      </w:rPr>
    </w:lvl>
  </w:abstractNum>
  <w:abstractNum w:abstractNumId="1842" w15:restartNumberingAfterBreak="0">
    <w:nsid w:val="73956505"/>
    <w:multiLevelType w:val="hybridMultilevel"/>
    <w:tmpl w:val="70FE3554"/>
    <w:lvl w:ilvl="0" w:tplc="69B0E8CA">
      <w:numFmt w:val="bullet"/>
      <w:lvlText w:val=""/>
      <w:lvlJc w:val="left"/>
      <w:pPr>
        <w:ind w:left="156" w:hanging="100"/>
      </w:pPr>
      <w:rPr>
        <w:rFonts w:ascii="Symbol" w:eastAsia="Symbol" w:hAnsi="Symbol" w:cs="Symbol" w:hint="default"/>
        <w:color w:val="231F20"/>
        <w:w w:val="100"/>
        <w:sz w:val="14"/>
        <w:szCs w:val="14"/>
      </w:rPr>
    </w:lvl>
    <w:lvl w:ilvl="1" w:tplc="0E949640">
      <w:numFmt w:val="bullet"/>
      <w:lvlText w:val="•"/>
      <w:lvlJc w:val="left"/>
      <w:pPr>
        <w:ind w:left="301" w:hanging="100"/>
      </w:pPr>
      <w:rPr>
        <w:rFonts w:hint="default"/>
      </w:rPr>
    </w:lvl>
    <w:lvl w:ilvl="2" w:tplc="81A2C192">
      <w:numFmt w:val="bullet"/>
      <w:lvlText w:val="•"/>
      <w:lvlJc w:val="left"/>
      <w:pPr>
        <w:ind w:left="443" w:hanging="100"/>
      </w:pPr>
      <w:rPr>
        <w:rFonts w:hint="default"/>
      </w:rPr>
    </w:lvl>
    <w:lvl w:ilvl="3" w:tplc="8F8A1EA6">
      <w:numFmt w:val="bullet"/>
      <w:lvlText w:val="•"/>
      <w:lvlJc w:val="left"/>
      <w:pPr>
        <w:ind w:left="585" w:hanging="100"/>
      </w:pPr>
      <w:rPr>
        <w:rFonts w:hint="default"/>
      </w:rPr>
    </w:lvl>
    <w:lvl w:ilvl="4" w:tplc="1FDC96C6">
      <w:numFmt w:val="bullet"/>
      <w:lvlText w:val="•"/>
      <w:lvlJc w:val="left"/>
      <w:pPr>
        <w:ind w:left="726" w:hanging="100"/>
      </w:pPr>
      <w:rPr>
        <w:rFonts w:hint="default"/>
      </w:rPr>
    </w:lvl>
    <w:lvl w:ilvl="5" w:tplc="9F14401C">
      <w:numFmt w:val="bullet"/>
      <w:lvlText w:val="•"/>
      <w:lvlJc w:val="left"/>
      <w:pPr>
        <w:ind w:left="868" w:hanging="100"/>
      </w:pPr>
      <w:rPr>
        <w:rFonts w:hint="default"/>
      </w:rPr>
    </w:lvl>
    <w:lvl w:ilvl="6" w:tplc="D5AA72CE">
      <w:numFmt w:val="bullet"/>
      <w:lvlText w:val="•"/>
      <w:lvlJc w:val="left"/>
      <w:pPr>
        <w:ind w:left="1010" w:hanging="100"/>
      </w:pPr>
      <w:rPr>
        <w:rFonts w:hint="default"/>
      </w:rPr>
    </w:lvl>
    <w:lvl w:ilvl="7" w:tplc="A56CB1F0">
      <w:numFmt w:val="bullet"/>
      <w:lvlText w:val="•"/>
      <w:lvlJc w:val="left"/>
      <w:pPr>
        <w:ind w:left="1151" w:hanging="100"/>
      </w:pPr>
      <w:rPr>
        <w:rFonts w:hint="default"/>
      </w:rPr>
    </w:lvl>
    <w:lvl w:ilvl="8" w:tplc="CAC8D46A">
      <w:numFmt w:val="bullet"/>
      <w:lvlText w:val="•"/>
      <w:lvlJc w:val="left"/>
      <w:pPr>
        <w:ind w:left="1293" w:hanging="100"/>
      </w:pPr>
      <w:rPr>
        <w:rFonts w:hint="default"/>
      </w:rPr>
    </w:lvl>
  </w:abstractNum>
  <w:abstractNum w:abstractNumId="1843" w15:restartNumberingAfterBreak="0">
    <w:nsid w:val="7396094B"/>
    <w:multiLevelType w:val="hybridMultilevel"/>
    <w:tmpl w:val="7960F386"/>
    <w:lvl w:ilvl="0" w:tplc="F0244812">
      <w:numFmt w:val="bullet"/>
      <w:lvlText w:val=""/>
      <w:lvlJc w:val="left"/>
      <w:pPr>
        <w:ind w:left="156" w:hanging="100"/>
      </w:pPr>
      <w:rPr>
        <w:rFonts w:ascii="Symbol" w:eastAsia="Symbol" w:hAnsi="Symbol" w:cs="Symbol" w:hint="default"/>
        <w:color w:val="231F20"/>
        <w:w w:val="100"/>
        <w:sz w:val="14"/>
        <w:szCs w:val="14"/>
      </w:rPr>
    </w:lvl>
    <w:lvl w:ilvl="1" w:tplc="5BFE7496">
      <w:numFmt w:val="bullet"/>
      <w:lvlText w:val="•"/>
      <w:lvlJc w:val="left"/>
      <w:pPr>
        <w:ind w:left="273" w:hanging="100"/>
      </w:pPr>
      <w:rPr>
        <w:rFonts w:hint="default"/>
      </w:rPr>
    </w:lvl>
    <w:lvl w:ilvl="2" w:tplc="42BE0204">
      <w:numFmt w:val="bullet"/>
      <w:lvlText w:val="•"/>
      <w:lvlJc w:val="left"/>
      <w:pPr>
        <w:ind w:left="386" w:hanging="100"/>
      </w:pPr>
      <w:rPr>
        <w:rFonts w:hint="default"/>
      </w:rPr>
    </w:lvl>
    <w:lvl w:ilvl="3" w:tplc="A0F8C05A">
      <w:numFmt w:val="bullet"/>
      <w:lvlText w:val="•"/>
      <w:lvlJc w:val="left"/>
      <w:pPr>
        <w:ind w:left="500" w:hanging="100"/>
      </w:pPr>
      <w:rPr>
        <w:rFonts w:hint="default"/>
      </w:rPr>
    </w:lvl>
    <w:lvl w:ilvl="4" w:tplc="EE6C6B68">
      <w:numFmt w:val="bullet"/>
      <w:lvlText w:val="•"/>
      <w:lvlJc w:val="left"/>
      <w:pPr>
        <w:ind w:left="613" w:hanging="100"/>
      </w:pPr>
      <w:rPr>
        <w:rFonts w:hint="default"/>
      </w:rPr>
    </w:lvl>
    <w:lvl w:ilvl="5" w:tplc="FF0889DC">
      <w:numFmt w:val="bullet"/>
      <w:lvlText w:val="•"/>
      <w:lvlJc w:val="left"/>
      <w:pPr>
        <w:ind w:left="727" w:hanging="100"/>
      </w:pPr>
      <w:rPr>
        <w:rFonts w:hint="default"/>
      </w:rPr>
    </w:lvl>
    <w:lvl w:ilvl="6" w:tplc="1FFEBCA2">
      <w:numFmt w:val="bullet"/>
      <w:lvlText w:val="•"/>
      <w:lvlJc w:val="left"/>
      <w:pPr>
        <w:ind w:left="840" w:hanging="100"/>
      </w:pPr>
      <w:rPr>
        <w:rFonts w:hint="default"/>
      </w:rPr>
    </w:lvl>
    <w:lvl w:ilvl="7" w:tplc="460CCA18">
      <w:numFmt w:val="bullet"/>
      <w:lvlText w:val="•"/>
      <w:lvlJc w:val="left"/>
      <w:pPr>
        <w:ind w:left="953" w:hanging="100"/>
      </w:pPr>
      <w:rPr>
        <w:rFonts w:hint="default"/>
      </w:rPr>
    </w:lvl>
    <w:lvl w:ilvl="8" w:tplc="B3F44FAC">
      <w:numFmt w:val="bullet"/>
      <w:lvlText w:val="•"/>
      <w:lvlJc w:val="left"/>
      <w:pPr>
        <w:ind w:left="1067" w:hanging="100"/>
      </w:pPr>
      <w:rPr>
        <w:rFonts w:hint="default"/>
      </w:rPr>
    </w:lvl>
  </w:abstractNum>
  <w:abstractNum w:abstractNumId="1844" w15:restartNumberingAfterBreak="0">
    <w:nsid w:val="739F5D9A"/>
    <w:multiLevelType w:val="hybridMultilevel"/>
    <w:tmpl w:val="40FA3424"/>
    <w:lvl w:ilvl="0" w:tplc="9982B744">
      <w:numFmt w:val="bullet"/>
      <w:lvlText w:val=""/>
      <w:lvlJc w:val="left"/>
      <w:pPr>
        <w:ind w:left="156" w:hanging="100"/>
      </w:pPr>
      <w:rPr>
        <w:rFonts w:ascii="Symbol" w:eastAsia="Symbol" w:hAnsi="Symbol" w:cs="Symbol" w:hint="default"/>
        <w:color w:val="231F20"/>
        <w:w w:val="100"/>
        <w:sz w:val="14"/>
        <w:szCs w:val="14"/>
      </w:rPr>
    </w:lvl>
    <w:lvl w:ilvl="1" w:tplc="3F3EA87C">
      <w:numFmt w:val="bullet"/>
      <w:lvlText w:val="•"/>
      <w:lvlJc w:val="left"/>
      <w:pPr>
        <w:ind w:left="398" w:hanging="100"/>
      </w:pPr>
      <w:rPr>
        <w:rFonts w:hint="default"/>
      </w:rPr>
    </w:lvl>
    <w:lvl w:ilvl="2" w:tplc="05C49A32">
      <w:numFmt w:val="bullet"/>
      <w:lvlText w:val="•"/>
      <w:lvlJc w:val="left"/>
      <w:pPr>
        <w:ind w:left="636" w:hanging="100"/>
      </w:pPr>
      <w:rPr>
        <w:rFonts w:hint="default"/>
      </w:rPr>
    </w:lvl>
    <w:lvl w:ilvl="3" w:tplc="F0D017EA">
      <w:numFmt w:val="bullet"/>
      <w:lvlText w:val="•"/>
      <w:lvlJc w:val="left"/>
      <w:pPr>
        <w:ind w:left="874" w:hanging="100"/>
      </w:pPr>
      <w:rPr>
        <w:rFonts w:hint="default"/>
      </w:rPr>
    </w:lvl>
    <w:lvl w:ilvl="4" w:tplc="B42A2E80">
      <w:numFmt w:val="bullet"/>
      <w:lvlText w:val="•"/>
      <w:lvlJc w:val="left"/>
      <w:pPr>
        <w:ind w:left="1112" w:hanging="100"/>
      </w:pPr>
      <w:rPr>
        <w:rFonts w:hint="default"/>
      </w:rPr>
    </w:lvl>
    <w:lvl w:ilvl="5" w:tplc="62E42876">
      <w:numFmt w:val="bullet"/>
      <w:lvlText w:val="•"/>
      <w:lvlJc w:val="left"/>
      <w:pPr>
        <w:ind w:left="1350" w:hanging="100"/>
      </w:pPr>
      <w:rPr>
        <w:rFonts w:hint="default"/>
      </w:rPr>
    </w:lvl>
    <w:lvl w:ilvl="6" w:tplc="8FCAAFFA">
      <w:numFmt w:val="bullet"/>
      <w:lvlText w:val="•"/>
      <w:lvlJc w:val="left"/>
      <w:pPr>
        <w:ind w:left="1588" w:hanging="100"/>
      </w:pPr>
      <w:rPr>
        <w:rFonts w:hint="default"/>
      </w:rPr>
    </w:lvl>
    <w:lvl w:ilvl="7" w:tplc="BCD6131E">
      <w:numFmt w:val="bullet"/>
      <w:lvlText w:val="•"/>
      <w:lvlJc w:val="left"/>
      <w:pPr>
        <w:ind w:left="1826" w:hanging="100"/>
      </w:pPr>
      <w:rPr>
        <w:rFonts w:hint="default"/>
      </w:rPr>
    </w:lvl>
    <w:lvl w:ilvl="8" w:tplc="DA2ECB56">
      <w:numFmt w:val="bullet"/>
      <w:lvlText w:val="•"/>
      <w:lvlJc w:val="left"/>
      <w:pPr>
        <w:ind w:left="2064" w:hanging="100"/>
      </w:pPr>
      <w:rPr>
        <w:rFonts w:hint="default"/>
      </w:rPr>
    </w:lvl>
  </w:abstractNum>
  <w:abstractNum w:abstractNumId="1845" w15:restartNumberingAfterBreak="0">
    <w:nsid w:val="73AB43E5"/>
    <w:multiLevelType w:val="hybridMultilevel"/>
    <w:tmpl w:val="E0301BD4"/>
    <w:lvl w:ilvl="0" w:tplc="E4147412">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44A6E40E">
      <w:numFmt w:val="bullet"/>
      <w:lvlText w:val="•"/>
      <w:lvlJc w:val="left"/>
      <w:pPr>
        <w:ind w:left="408" w:hanging="84"/>
      </w:pPr>
      <w:rPr>
        <w:rFonts w:hint="default"/>
      </w:rPr>
    </w:lvl>
    <w:lvl w:ilvl="2" w:tplc="B30EA76A">
      <w:numFmt w:val="bullet"/>
      <w:lvlText w:val="•"/>
      <w:lvlJc w:val="left"/>
      <w:pPr>
        <w:ind w:left="676" w:hanging="84"/>
      </w:pPr>
      <w:rPr>
        <w:rFonts w:hint="default"/>
      </w:rPr>
    </w:lvl>
    <w:lvl w:ilvl="3" w:tplc="03729C50">
      <w:numFmt w:val="bullet"/>
      <w:lvlText w:val="•"/>
      <w:lvlJc w:val="left"/>
      <w:pPr>
        <w:ind w:left="945" w:hanging="84"/>
      </w:pPr>
      <w:rPr>
        <w:rFonts w:hint="default"/>
      </w:rPr>
    </w:lvl>
    <w:lvl w:ilvl="4" w:tplc="585E6888">
      <w:numFmt w:val="bullet"/>
      <w:lvlText w:val="•"/>
      <w:lvlJc w:val="left"/>
      <w:pPr>
        <w:ind w:left="1213" w:hanging="84"/>
      </w:pPr>
      <w:rPr>
        <w:rFonts w:hint="default"/>
      </w:rPr>
    </w:lvl>
    <w:lvl w:ilvl="5" w:tplc="A6188682">
      <w:numFmt w:val="bullet"/>
      <w:lvlText w:val="•"/>
      <w:lvlJc w:val="left"/>
      <w:pPr>
        <w:ind w:left="1482" w:hanging="84"/>
      </w:pPr>
      <w:rPr>
        <w:rFonts w:hint="default"/>
      </w:rPr>
    </w:lvl>
    <w:lvl w:ilvl="6" w:tplc="A1E20270">
      <w:numFmt w:val="bullet"/>
      <w:lvlText w:val="•"/>
      <w:lvlJc w:val="left"/>
      <w:pPr>
        <w:ind w:left="1750" w:hanging="84"/>
      </w:pPr>
      <w:rPr>
        <w:rFonts w:hint="default"/>
      </w:rPr>
    </w:lvl>
    <w:lvl w:ilvl="7" w:tplc="BD8071C4">
      <w:numFmt w:val="bullet"/>
      <w:lvlText w:val="•"/>
      <w:lvlJc w:val="left"/>
      <w:pPr>
        <w:ind w:left="2018" w:hanging="84"/>
      </w:pPr>
      <w:rPr>
        <w:rFonts w:hint="default"/>
      </w:rPr>
    </w:lvl>
    <w:lvl w:ilvl="8" w:tplc="F57C5FDC">
      <w:numFmt w:val="bullet"/>
      <w:lvlText w:val="•"/>
      <w:lvlJc w:val="left"/>
      <w:pPr>
        <w:ind w:left="2287" w:hanging="84"/>
      </w:pPr>
      <w:rPr>
        <w:rFonts w:hint="default"/>
      </w:rPr>
    </w:lvl>
  </w:abstractNum>
  <w:abstractNum w:abstractNumId="1846" w15:restartNumberingAfterBreak="0">
    <w:nsid w:val="73B2331F"/>
    <w:multiLevelType w:val="hybridMultilevel"/>
    <w:tmpl w:val="BFF6E7C4"/>
    <w:lvl w:ilvl="0" w:tplc="D8CE08AC">
      <w:numFmt w:val="bullet"/>
      <w:lvlText w:val=""/>
      <w:lvlJc w:val="left"/>
      <w:pPr>
        <w:ind w:left="157" w:hanging="100"/>
      </w:pPr>
      <w:rPr>
        <w:rFonts w:ascii="Symbol" w:eastAsia="Symbol" w:hAnsi="Symbol" w:cs="Symbol" w:hint="default"/>
        <w:color w:val="231F20"/>
        <w:w w:val="100"/>
        <w:sz w:val="14"/>
        <w:szCs w:val="14"/>
      </w:rPr>
    </w:lvl>
    <w:lvl w:ilvl="1" w:tplc="F81E5BAE">
      <w:numFmt w:val="bullet"/>
      <w:lvlText w:val="•"/>
      <w:lvlJc w:val="left"/>
      <w:pPr>
        <w:ind w:left="369" w:hanging="100"/>
      </w:pPr>
      <w:rPr>
        <w:rFonts w:hint="default"/>
      </w:rPr>
    </w:lvl>
    <w:lvl w:ilvl="2" w:tplc="9E7EE226">
      <w:numFmt w:val="bullet"/>
      <w:lvlText w:val="•"/>
      <w:lvlJc w:val="left"/>
      <w:pPr>
        <w:ind w:left="579" w:hanging="100"/>
      </w:pPr>
      <w:rPr>
        <w:rFonts w:hint="default"/>
      </w:rPr>
    </w:lvl>
    <w:lvl w:ilvl="3" w:tplc="877ADC84">
      <w:numFmt w:val="bullet"/>
      <w:lvlText w:val="•"/>
      <w:lvlJc w:val="left"/>
      <w:pPr>
        <w:ind w:left="789" w:hanging="100"/>
      </w:pPr>
      <w:rPr>
        <w:rFonts w:hint="default"/>
      </w:rPr>
    </w:lvl>
    <w:lvl w:ilvl="4" w:tplc="426CBA86">
      <w:numFmt w:val="bullet"/>
      <w:lvlText w:val="•"/>
      <w:lvlJc w:val="left"/>
      <w:pPr>
        <w:ind w:left="998" w:hanging="100"/>
      </w:pPr>
      <w:rPr>
        <w:rFonts w:hint="default"/>
      </w:rPr>
    </w:lvl>
    <w:lvl w:ilvl="5" w:tplc="5F76A99E">
      <w:numFmt w:val="bullet"/>
      <w:lvlText w:val="•"/>
      <w:lvlJc w:val="left"/>
      <w:pPr>
        <w:ind w:left="1208" w:hanging="100"/>
      </w:pPr>
      <w:rPr>
        <w:rFonts w:hint="default"/>
      </w:rPr>
    </w:lvl>
    <w:lvl w:ilvl="6" w:tplc="9814BCB0">
      <w:numFmt w:val="bullet"/>
      <w:lvlText w:val="•"/>
      <w:lvlJc w:val="left"/>
      <w:pPr>
        <w:ind w:left="1418" w:hanging="100"/>
      </w:pPr>
      <w:rPr>
        <w:rFonts w:hint="default"/>
      </w:rPr>
    </w:lvl>
    <w:lvl w:ilvl="7" w:tplc="3F4248AC">
      <w:numFmt w:val="bullet"/>
      <w:lvlText w:val="•"/>
      <w:lvlJc w:val="left"/>
      <w:pPr>
        <w:ind w:left="1627" w:hanging="100"/>
      </w:pPr>
      <w:rPr>
        <w:rFonts w:hint="default"/>
      </w:rPr>
    </w:lvl>
    <w:lvl w:ilvl="8" w:tplc="47F844FC">
      <w:numFmt w:val="bullet"/>
      <w:lvlText w:val="•"/>
      <w:lvlJc w:val="left"/>
      <w:pPr>
        <w:ind w:left="1837" w:hanging="100"/>
      </w:pPr>
      <w:rPr>
        <w:rFonts w:hint="default"/>
      </w:rPr>
    </w:lvl>
  </w:abstractNum>
  <w:abstractNum w:abstractNumId="1847" w15:restartNumberingAfterBreak="0">
    <w:nsid w:val="73BA7F3A"/>
    <w:multiLevelType w:val="hybridMultilevel"/>
    <w:tmpl w:val="6896A500"/>
    <w:lvl w:ilvl="0" w:tplc="6F244914">
      <w:numFmt w:val="bullet"/>
      <w:lvlText w:val="–"/>
      <w:lvlJc w:val="left"/>
      <w:pPr>
        <w:ind w:left="632" w:hanging="135"/>
      </w:pPr>
      <w:rPr>
        <w:rFonts w:ascii="Times New Roman" w:eastAsia="Times New Roman" w:hAnsi="Times New Roman" w:cs="Times New Roman" w:hint="default"/>
        <w:color w:val="231F20"/>
        <w:spacing w:val="-3"/>
        <w:w w:val="100"/>
        <w:sz w:val="18"/>
        <w:szCs w:val="18"/>
      </w:rPr>
    </w:lvl>
    <w:lvl w:ilvl="1" w:tplc="E3CEE9EC">
      <w:numFmt w:val="bullet"/>
      <w:lvlText w:val="–"/>
      <w:lvlJc w:val="left"/>
      <w:pPr>
        <w:ind w:left="1565" w:hanging="105"/>
      </w:pPr>
      <w:rPr>
        <w:rFonts w:ascii="Times New Roman" w:eastAsia="Times New Roman" w:hAnsi="Times New Roman" w:cs="Times New Roman" w:hint="default"/>
        <w:color w:val="231F20"/>
        <w:spacing w:val="-8"/>
        <w:w w:val="100"/>
        <w:sz w:val="14"/>
        <w:szCs w:val="14"/>
      </w:rPr>
    </w:lvl>
    <w:lvl w:ilvl="2" w:tplc="814A5114">
      <w:numFmt w:val="bullet"/>
      <w:lvlText w:val="•"/>
      <w:lvlJc w:val="left"/>
      <w:pPr>
        <w:ind w:left="2585" w:hanging="105"/>
      </w:pPr>
      <w:rPr>
        <w:rFonts w:hint="default"/>
      </w:rPr>
    </w:lvl>
    <w:lvl w:ilvl="3" w:tplc="D0A2552E">
      <w:numFmt w:val="bullet"/>
      <w:lvlText w:val="•"/>
      <w:lvlJc w:val="left"/>
      <w:pPr>
        <w:ind w:left="3610" w:hanging="105"/>
      </w:pPr>
      <w:rPr>
        <w:rFonts w:hint="default"/>
      </w:rPr>
    </w:lvl>
    <w:lvl w:ilvl="4" w:tplc="239C921C">
      <w:numFmt w:val="bullet"/>
      <w:lvlText w:val="•"/>
      <w:lvlJc w:val="left"/>
      <w:pPr>
        <w:ind w:left="4635" w:hanging="105"/>
      </w:pPr>
      <w:rPr>
        <w:rFonts w:hint="default"/>
      </w:rPr>
    </w:lvl>
    <w:lvl w:ilvl="5" w:tplc="E3D63400">
      <w:numFmt w:val="bullet"/>
      <w:lvlText w:val="•"/>
      <w:lvlJc w:val="left"/>
      <w:pPr>
        <w:ind w:left="5660" w:hanging="105"/>
      </w:pPr>
      <w:rPr>
        <w:rFonts w:hint="default"/>
      </w:rPr>
    </w:lvl>
    <w:lvl w:ilvl="6" w:tplc="2FECD498">
      <w:numFmt w:val="bullet"/>
      <w:lvlText w:val="•"/>
      <w:lvlJc w:val="left"/>
      <w:pPr>
        <w:ind w:left="6685" w:hanging="105"/>
      </w:pPr>
      <w:rPr>
        <w:rFonts w:hint="default"/>
      </w:rPr>
    </w:lvl>
    <w:lvl w:ilvl="7" w:tplc="44B8A872">
      <w:numFmt w:val="bullet"/>
      <w:lvlText w:val="•"/>
      <w:lvlJc w:val="left"/>
      <w:pPr>
        <w:ind w:left="7710" w:hanging="105"/>
      </w:pPr>
      <w:rPr>
        <w:rFonts w:hint="default"/>
      </w:rPr>
    </w:lvl>
    <w:lvl w:ilvl="8" w:tplc="B14EA946">
      <w:numFmt w:val="bullet"/>
      <w:lvlText w:val="•"/>
      <w:lvlJc w:val="left"/>
      <w:pPr>
        <w:ind w:left="8735" w:hanging="105"/>
      </w:pPr>
      <w:rPr>
        <w:rFonts w:hint="default"/>
      </w:rPr>
    </w:lvl>
  </w:abstractNum>
  <w:abstractNum w:abstractNumId="1848" w15:restartNumberingAfterBreak="0">
    <w:nsid w:val="73BC3A6D"/>
    <w:multiLevelType w:val="hybridMultilevel"/>
    <w:tmpl w:val="4558C6F0"/>
    <w:lvl w:ilvl="0" w:tplc="96886B10">
      <w:numFmt w:val="bullet"/>
      <w:lvlText w:val=""/>
      <w:lvlJc w:val="left"/>
      <w:pPr>
        <w:ind w:left="156" w:hanging="100"/>
      </w:pPr>
      <w:rPr>
        <w:rFonts w:ascii="Symbol" w:eastAsia="Symbol" w:hAnsi="Symbol" w:cs="Symbol" w:hint="default"/>
        <w:color w:val="231F20"/>
        <w:w w:val="100"/>
        <w:sz w:val="14"/>
        <w:szCs w:val="14"/>
      </w:rPr>
    </w:lvl>
    <w:lvl w:ilvl="1" w:tplc="E3667D60">
      <w:numFmt w:val="bullet"/>
      <w:lvlText w:val="•"/>
      <w:lvlJc w:val="left"/>
      <w:pPr>
        <w:ind w:left="301" w:hanging="100"/>
      </w:pPr>
      <w:rPr>
        <w:rFonts w:hint="default"/>
      </w:rPr>
    </w:lvl>
    <w:lvl w:ilvl="2" w:tplc="571AF3A6">
      <w:numFmt w:val="bullet"/>
      <w:lvlText w:val="•"/>
      <w:lvlJc w:val="left"/>
      <w:pPr>
        <w:ind w:left="443" w:hanging="100"/>
      </w:pPr>
      <w:rPr>
        <w:rFonts w:hint="default"/>
      </w:rPr>
    </w:lvl>
    <w:lvl w:ilvl="3" w:tplc="C09E1650">
      <w:numFmt w:val="bullet"/>
      <w:lvlText w:val="•"/>
      <w:lvlJc w:val="left"/>
      <w:pPr>
        <w:ind w:left="585" w:hanging="100"/>
      </w:pPr>
      <w:rPr>
        <w:rFonts w:hint="default"/>
      </w:rPr>
    </w:lvl>
    <w:lvl w:ilvl="4" w:tplc="7396A8CC">
      <w:numFmt w:val="bullet"/>
      <w:lvlText w:val="•"/>
      <w:lvlJc w:val="left"/>
      <w:pPr>
        <w:ind w:left="726" w:hanging="100"/>
      </w:pPr>
      <w:rPr>
        <w:rFonts w:hint="default"/>
      </w:rPr>
    </w:lvl>
    <w:lvl w:ilvl="5" w:tplc="40E4B4D6">
      <w:numFmt w:val="bullet"/>
      <w:lvlText w:val="•"/>
      <w:lvlJc w:val="left"/>
      <w:pPr>
        <w:ind w:left="868" w:hanging="100"/>
      </w:pPr>
      <w:rPr>
        <w:rFonts w:hint="default"/>
      </w:rPr>
    </w:lvl>
    <w:lvl w:ilvl="6" w:tplc="0C78CF24">
      <w:numFmt w:val="bullet"/>
      <w:lvlText w:val="•"/>
      <w:lvlJc w:val="left"/>
      <w:pPr>
        <w:ind w:left="1010" w:hanging="100"/>
      </w:pPr>
      <w:rPr>
        <w:rFonts w:hint="default"/>
      </w:rPr>
    </w:lvl>
    <w:lvl w:ilvl="7" w:tplc="13A61B1E">
      <w:numFmt w:val="bullet"/>
      <w:lvlText w:val="•"/>
      <w:lvlJc w:val="left"/>
      <w:pPr>
        <w:ind w:left="1151" w:hanging="100"/>
      </w:pPr>
      <w:rPr>
        <w:rFonts w:hint="default"/>
      </w:rPr>
    </w:lvl>
    <w:lvl w:ilvl="8" w:tplc="D22C9636">
      <w:numFmt w:val="bullet"/>
      <w:lvlText w:val="•"/>
      <w:lvlJc w:val="left"/>
      <w:pPr>
        <w:ind w:left="1293" w:hanging="100"/>
      </w:pPr>
      <w:rPr>
        <w:rFonts w:hint="default"/>
      </w:rPr>
    </w:lvl>
  </w:abstractNum>
  <w:abstractNum w:abstractNumId="1849" w15:restartNumberingAfterBreak="0">
    <w:nsid w:val="73CF3030"/>
    <w:multiLevelType w:val="hybridMultilevel"/>
    <w:tmpl w:val="97BC8AFC"/>
    <w:lvl w:ilvl="0" w:tplc="4B845430">
      <w:numFmt w:val="bullet"/>
      <w:lvlText w:val=""/>
      <w:lvlJc w:val="left"/>
      <w:pPr>
        <w:ind w:left="156" w:hanging="100"/>
      </w:pPr>
      <w:rPr>
        <w:rFonts w:ascii="Symbol" w:eastAsia="Symbol" w:hAnsi="Symbol" w:cs="Symbol" w:hint="default"/>
        <w:color w:val="231F20"/>
        <w:w w:val="100"/>
        <w:sz w:val="14"/>
        <w:szCs w:val="14"/>
      </w:rPr>
    </w:lvl>
    <w:lvl w:ilvl="1" w:tplc="1EE0B9D0">
      <w:numFmt w:val="bullet"/>
      <w:lvlText w:val="•"/>
      <w:lvlJc w:val="left"/>
      <w:pPr>
        <w:ind w:left="398" w:hanging="100"/>
      </w:pPr>
      <w:rPr>
        <w:rFonts w:hint="default"/>
      </w:rPr>
    </w:lvl>
    <w:lvl w:ilvl="2" w:tplc="FBEE64F6">
      <w:numFmt w:val="bullet"/>
      <w:lvlText w:val="•"/>
      <w:lvlJc w:val="left"/>
      <w:pPr>
        <w:ind w:left="636" w:hanging="100"/>
      </w:pPr>
      <w:rPr>
        <w:rFonts w:hint="default"/>
      </w:rPr>
    </w:lvl>
    <w:lvl w:ilvl="3" w:tplc="94C48868">
      <w:numFmt w:val="bullet"/>
      <w:lvlText w:val="•"/>
      <w:lvlJc w:val="left"/>
      <w:pPr>
        <w:ind w:left="874" w:hanging="100"/>
      </w:pPr>
      <w:rPr>
        <w:rFonts w:hint="default"/>
      </w:rPr>
    </w:lvl>
    <w:lvl w:ilvl="4" w:tplc="926CC298">
      <w:numFmt w:val="bullet"/>
      <w:lvlText w:val="•"/>
      <w:lvlJc w:val="left"/>
      <w:pPr>
        <w:ind w:left="1112" w:hanging="100"/>
      </w:pPr>
      <w:rPr>
        <w:rFonts w:hint="default"/>
      </w:rPr>
    </w:lvl>
    <w:lvl w:ilvl="5" w:tplc="D4F41394">
      <w:numFmt w:val="bullet"/>
      <w:lvlText w:val="•"/>
      <w:lvlJc w:val="left"/>
      <w:pPr>
        <w:ind w:left="1350" w:hanging="100"/>
      </w:pPr>
      <w:rPr>
        <w:rFonts w:hint="default"/>
      </w:rPr>
    </w:lvl>
    <w:lvl w:ilvl="6" w:tplc="6B200B86">
      <w:numFmt w:val="bullet"/>
      <w:lvlText w:val="•"/>
      <w:lvlJc w:val="left"/>
      <w:pPr>
        <w:ind w:left="1588" w:hanging="100"/>
      </w:pPr>
      <w:rPr>
        <w:rFonts w:hint="default"/>
      </w:rPr>
    </w:lvl>
    <w:lvl w:ilvl="7" w:tplc="5E241000">
      <w:numFmt w:val="bullet"/>
      <w:lvlText w:val="•"/>
      <w:lvlJc w:val="left"/>
      <w:pPr>
        <w:ind w:left="1826" w:hanging="100"/>
      </w:pPr>
      <w:rPr>
        <w:rFonts w:hint="default"/>
      </w:rPr>
    </w:lvl>
    <w:lvl w:ilvl="8" w:tplc="4AD4336C">
      <w:numFmt w:val="bullet"/>
      <w:lvlText w:val="•"/>
      <w:lvlJc w:val="left"/>
      <w:pPr>
        <w:ind w:left="2064" w:hanging="100"/>
      </w:pPr>
      <w:rPr>
        <w:rFonts w:hint="default"/>
      </w:rPr>
    </w:lvl>
  </w:abstractNum>
  <w:abstractNum w:abstractNumId="1850" w15:restartNumberingAfterBreak="0">
    <w:nsid w:val="73E90AC7"/>
    <w:multiLevelType w:val="hybridMultilevel"/>
    <w:tmpl w:val="409AAEF8"/>
    <w:lvl w:ilvl="0" w:tplc="F50EA0BC">
      <w:numFmt w:val="bullet"/>
      <w:lvlText w:val=""/>
      <w:lvlJc w:val="left"/>
      <w:pPr>
        <w:ind w:left="156" w:hanging="100"/>
      </w:pPr>
      <w:rPr>
        <w:rFonts w:ascii="Symbol" w:eastAsia="Symbol" w:hAnsi="Symbol" w:cs="Symbol" w:hint="default"/>
        <w:color w:val="231F20"/>
        <w:w w:val="100"/>
        <w:sz w:val="14"/>
        <w:szCs w:val="14"/>
      </w:rPr>
    </w:lvl>
    <w:lvl w:ilvl="1" w:tplc="F6ACC2F4">
      <w:numFmt w:val="bullet"/>
      <w:lvlText w:val="•"/>
      <w:lvlJc w:val="left"/>
      <w:pPr>
        <w:ind w:left="398" w:hanging="100"/>
      </w:pPr>
      <w:rPr>
        <w:rFonts w:hint="default"/>
      </w:rPr>
    </w:lvl>
    <w:lvl w:ilvl="2" w:tplc="7C541806">
      <w:numFmt w:val="bullet"/>
      <w:lvlText w:val="•"/>
      <w:lvlJc w:val="left"/>
      <w:pPr>
        <w:ind w:left="636" w:hanging="100"/>
      </w:pPr>
      <w:rPr>
        <w:rFonts w:hint="default"/>
      </w:rPr>
    </w:lvl>
    <w:lvl w:ilvl="3" w:tplc="228CA1EA">
      <w:numFmt w:val="bullet"/>
      <w:lvlText w:val="•"/>
      <w:lvlJc w:val="left"/>
      <w:pPr>
        <w:ind w:left="874" w:hanging="100"/>
      </w:pPr>
      <w:rPr>
        <w:rFonts w:hint="default"/>
      </w:rPr>
    </w:lvl>
    <w:lvl w:ilvl="4" w:tplc="036EF640">
      <w:numFmt w:val="bullet"/>
      <w:lvlText w:val="•"/>
      <w:lvlJc w:val="left"/>
      <w:pPr>
        <w:ind w:left="1112" w:hanging="100"/>
      </w:pPr>
      <w:rPr>
        <w:rFonts w:hint="default"/>
      </w:rPr>
    </w:lvl>
    <w:lvl w:ilvl="5" w:tplc="BD6EBE64">
      <w:numFmt w:val="bullet"/>
      <w:lvlText w:val="•"/>
      <w:lvlJc w:val="left"/>
      <w:pPr>
        <w:ind w:left="1350" w:hanging="100"/>
      </w:pPr>
      <w:rPr>
        <w:rFonts w:hint="default"/>
      </w:rPr>
    </w:lvl>
    <w:lvl w:ilvl="6" w:tplc="89947444">
      <w:numFmt w:val="bullet"/>
      <w:lvlText w:val="•"/>
      <w:lvlJc w:val="left"/>
      <w:pPr>
        <w:ind w:left="1588" w:hanging="100"/>
      </w:pPr>
      <w:rPr>
        <w:rFonts w:hint="default"/>
      </w:rPr>
    </w:lvl>
    <w:lvl w:ilvl="7" w:tplc="E15C22EE">
      <w:numFmt w:val="bullet"/>
      <w:lvlText w:val="•"/>
      <w:lvlJc w:val="left"/>
      <w:pPr>
        <w:ind w:left="1826" w:hanging="100"/>
      </w:pPr>
      <w:rPr>
        <w:rFonts w:hint="default"/>
      </w:rPr>
    </w:lvl>
    <w:lvl w:ilvl="8" w:tplc="7E3AE646">
      <w:numFmt w:val="bullet"/>
      <w:lvlText w:val="•"/>
      <w:lvlJc w:val="left"/>
      <w:pPr>
        <w:ind w:left="2064" w:hanging="100"/>
      </w:pPr>
      <w:rPr>
        <w:rFonts w:hint="default"/>
      </w:rPr>
    </w:lvl>
  </w:abstractNum>
  <w:abstractNum w:abstractNumId="1851" w15:restartNumberingAfterBreak="0">
    <w:nsid w:val="740118F0"/>
    <w:multiLevelType w:val="hybridMultilevel"/>
    <w:tmpl w:val="EEC48466"/>
    <w:lvl w:ilvl="0" w:tplc="9E2EE7D8">
      <w:numFmt w:val="bullet"/>
      <w:lvlText w:val=""/>
      <w:lvlJc w:val="left"/>
      <w:pPr>
        <w:ind w:left="157" w:hanging="100"/>
      </w:pPr>
      <w:rPr>
        <w:rFonts w:ascii="Symbol" w:eastAsia="Symbol" w:hAnsi="Symbol" w:cs="Symbol" w:hint="default"/>
        <w:color w:val="231F20"/>
        <w:w w:val="100"/>
        <w:sz w:val="14"/>
        <w:szCs w:val="14"/>
      </w:rPr>
    </w:lvl>
    <w:lvl w:ilvl="1" w:tplc="04F8EC08">
      <w:numFmt w:val="bullet"/>
      <w:lvlText w:val="•"/>
      <w:lvlJc w:val="left"/>
      <w:pPr>
        <w:ind w:left="369" w:hanging="100"/>
      </w:pPr>
      <w:rPr>
        <w:rFonts w:hint="default"/>
      </w:rPr>
    </w:lvl>
    <w:lvl w:ilvl="2" w:tplc="6E6A444C">
      <w:numFmt w:val="bullet"/>
      <w:lvlText w:val="•"/>
      <w:lvlJc w:val="left"/>
      <w:pPr>
        <w:ind w:left="579" w:hanging="100"/>
      </w:pPr>
      <w:rPr>
        <w:rFonts w:hint="default"/>
      </w:rPr>
    </w:lvl>
    <w:lvl w:ilvl="3" w:tplc="6DCCA282">
      <w:numFmt w:val="bullet"/>
      <w:lvlText w:val="•"/>
      <w:lvlJc w:val="left"/>
      <w:pPr>
        <w:ind w:left="789" w:hanging="100"/>
      </w:pPr>
      <w:rPr>
        <w:rFonts w:hint="default"/>
      </w:rPr>
    </w:lvl>
    <w:lvl w:ilvl="4" w:tplc="E02EF46A">
      <w:numFmt w:val="bullet"/>
      <w:lvlText w:val="•"/>
      <w:lvlJc w:val="left"/>
      <w:pPr>
        <w:ind w:left="998" w:hanging="100"/>
      </w:pPr>
      <w:rPr>
        <w:rFonts w:hint="default"/>
      </w:rPr>
    </w:lvl>
    <w:lvl w:ilvl="5" w:tplc="19FC5358">
      <w:numFmt w:val="bullet"/>
      <w:lvlText w:val="•"/>
      <w:lvlJc w:val="left"/>
      <w:pPr>
        <w:ind w:left="1208" w:hanging="100"/>
      </w:pPr>
      <w:rPr>
        <w:rFonts w:hint="default"/>
      </w:rPr>
    </w:lvl>
    <w:lvl w:ilvl="6" w:tplc="D79C38BA">
      <w:numFmt w:val="bullet"/>
      <w:lvlText w:val="•"/>
      <w:lvlJc w:val="left"/>
      <w:pPr>
        <w:ind w:left="1418" w:hanging="100"/>
      </w:pPr>
      <w:rPr>
        <w:rFonts w:hint="default"/>
      </w:rPr>
    </w:lvl>
    <w:lvl w:ilvl="7" w:tplc="B8E6EB82">
      <w:numFmt w:val="bullet"/>
      <w:lvlText w:val="•"/>
      <w:lvlJc w:val="left"/>
      <w:pPr>
        <w:ind w:left="1627" w:hanging="100"/>
      </w:pPr>
      <w:rPr>
        <w:rFonts w:hint="default"/>
      </w:rPr>
    </w:lvl>
    <w:lvl w:ilvl="8" w:tplc="808A9710">
      <w:numFmt w:val="bullet"/>
      <w:lvlText w:val="•"/>
      <w:lvlJc w:val="left"/>
      <w:pPr>
        <w:ind w:left="1837" w:hanging="100"/>
      </w:pPr>
      <w:rPr>
        <w:rFonts w:hint="default"/>
      </w:rPr>
    </w:lvl>
  </w:abstractNum>
  <w:abstractNum w:abstractNumId="1852" w15:restartNumberingAfterBreak="0">
    <w:nsid w:val="74040A65"/>
    <w:multiLevelType w:val="hybridMultilevel"/>
    <w:tmpl w:val="DD86EC08"/>
    <w:lvl w:ilvl="0" w:tplc="A58C6EF6">
      <w:numFmt w:val="bullet"/>
      <w:lvlText w:val=""/>
      <w:lvlJc w:val="left"/>
      <w:pPr>
        <w:ind w:left="156" w:hanging="100"/>
      </w:pPr>
      <w:rPr>
        <w:rFonts w:ascii="Symbol" w:eastAsia="Symbol" w:hAnsi="Symbol" w:cs="Symbol" w:hint="default"/>
        <w:color w:val="231F20"/>
        <w:w w:val="100"/>
        <w:sz w:val="14"/>
        <w:szCs w:val="14"/>
      </w:rPr>
    </w:lvl>
    <w:lvl w:ilvl="1" w:tplc="5C522C44">
      <w:numFmt w:val="bullet"/>
      <w:lvlText w:val="•"/>
      <w:lvlJc w:val="left"/>
      <w:pPr>
        <w:ind w:left="301" w:hanging="100"/>
      </w:pPr>
      <w:rPr>
        <w:rFonts w:hint="default"/>
      </w:rPr>
    </w:lvl>
    <w:lvl w:ilvl="2" w:tplc="B7E8AEB0">
      <w:numFmt w:val="bullet"/>
      <w:lvlText w:val="•"/>
      <w:lvlJc w:val="left"/>
      <w:pPr>
        <w:ind w:left="443" w:hanging="100"/>
      </w:pPr>
      <w:rPr>
        <w:rFonts w:hint="default"/>
      </w:rPr>
    </w:lvl>
    <w:lvl w:ilvl="3" w:tplc="138424AC">
      <w:numFmt w:val="bullet"/>
      <w:lvlText w:val="•"/>
      <w:lvlJc w:val="left"/>
      <w:pPr>
        <w:ind w:left="585" w:hanging="100"/>
      </w:pPr>
      <w:rPr>
        <w:rFonts w:hint="default"/>
      </w:rPr>
    </w:lvl>
    <w:lvl w:ilvl="4" w:tplc="446AEC9A">
      <w:numFmt w:val="bullet"/>
      <w:lvlText w:val="•"/>
      <w:lvlJc w:val="left"/>
      <w:pPr>
        <w:ind w:left="726" w:hanging="100"/>
      </w:pPr>
      <w:rPr>
        <w:rFonts w:hint="default"/>
      </w:rPr>
    </w:lvl>
    <w:lvl w:ilvl="5" w:tplc="53EE2704">
      <w:numFmt w:val="bullet"/>
      <w:lvlText w:val="•"/>
      <w:lvlJc w:val="left"/>
      <w:pPr>
        <w:ind w:left="868" w:hanging="100"/>
      </w:pPr>
      <w:rPr>
        <w:rFonts w:hint="default"/>
      </w:rPr>
    </w:lvl>
    <w:lvl w:ilvl="6" w:tplc="2752E452">
      <w:numFmt w:val="bullet"/>
      <w:lvlText w:val="•"/>
      <w:lvlJc w:val="left"/>
      <w:pPr>
        <w:ind w:left="1010" w:hanging="100"/>
      </w:pPr>
      <w:rPr>
        <w:rFonts w:hint="default"/>
      </w:rPr>
    </w:lvl>
    <w:lvl w:ilvl="7" w:tplc="A00C644A">
      <w:numFmt w:val="bullet"/>
      <w:lvlText w:val="•"/>
      <w:lvlJc w:val="left"/>
      <w:pPr>
        <w:ind w:left="1151" w:hanging="100"/>
      </w:pPr>
      <w:rPr>
        <w:rFonts w:hint="default"/>
      </w:rPr>
    </w:lvl>
    <w:lvl w:ilvl="8" w:tplc="C7B27AE6">
      <w:numFmt w:val="bullet"/>
      <w:lvlText w:val="•"/>
      <w:lvlJc w:val="left"/>
      <w:pPr>
        <w:ind w:left="1293" w:hanging="100"/>
      </w:pPr>
      <w:rPr>
        <w:rFonts w:hint="default"/>
      </w:rPr>
    </w:lvl>
  </w:abstractNum>
  <w:abstractNum w:abstractNumId="1853" w15:restartNumberingAfterBreak="0">
    <w:nsid w:val="74454C65"/>
    <w:multiLevelType w:val="hybridMultilevel"/>
    <w:tmpl w:val="0556EF78"/>
    <w:lvl w:ilvl="0" w:tplc="8A86DDE2">
      <w:numFmt w:val="bullet"/>
      <w:lvlText w:val=""/>
      <w:lvlJc w:val="left"/>
      <w:pPr>
        <w:ind w:left="156" w:hanging="100"/>
      </w:pPr>
      <w:rPr>
        <w:rFonts w:ascii="Symbol" w:eastAsia="Symbol" w:hAnsi="Symbol" w:cs="Symbol" w:hint="default"/>
        <w:color w:val="231F20"/>
        <w:w w:val="100"/>
        <w:sz w:val="14"/>
        <w:szCs w:val="14"/>
      </w:rPr>
    </w:lvl>
    <w:lvl w:ilvl="1" w:tplc="B240C16A">
      <w:numFmt w:val="bullet"/>
      <w:lvlText w:val="•"/>
      <w:lvlJc w:val="left"/>
      <w:pPr>
        <w:ind w:left="301" w:hanging="100"/>
      </w:pPr>
      <w:rPr>
        <w:rFonts w:hint="default"/>
      </w:rPr>
    </w:lvl>
    <w:lvl w:ilvl="2" w:tplc="79AE6FDE">
      <w:numFmt w:val="bullet"/>
      <w:lvlText w:val="•"/>
      <w:lvlJc w:val="left"/>
      <w:pPr>
        <w:ind w:left="443" w:hanging="100"/>
      </w:pPr>
      <w:rPr>
        <w:rFonts w:hint="default"/>
      </w:rPr>
    </w:lvl>
    <w:lvl w:ilvl="3" w:tplc="F61650A4">
      <w:numFmt w:val="bullet"/>
      <w:lvlText w:val="•"/>
      <w:lvlJc w:val="left"/>
      <w:pPr>
        <w:ind w:left="585" w:hanging="100"/>
      </w:pPr>
      <w:rPr>
        <w:rFonts w:hint="default"/>
      </w:rPr>
    </w:lvl>
    <w:lvl w:ilvl="4" w:tplc="314ED638">
      <w:numFmt w:val="bullet"/>
      <w:lvlText w:val="•"/>
      <w:lvlJc w:val="left"/>
      <w:pPr>
        <w:ind w:left="726" w:hanging="100"/>
      </w:pPr>
      <w:rPr>
        <w:rFonts w:hint="default"/>
      </w:rPr>
    </w:lvl>
    <w:lvl w:ilvl="5" w:tplc="AA4A7012">
      <w:numFmt w:val="bullet"/>
      <w:lvlText w:val="•"/>
      <w:lvlJc w:val="left"/>
      <w:pPr>
        <w:ind w:left="868" w:hanging="100"/>
      </w:pPr>
      <w:rPr>
        <w:rFonts w:hint="default"/>
      </w:rPr>
    </w:lvl>
    <w:lvl w:ilvl="6" w:tplc="CAAC9B76">
      <w:numFmt w:val="bullet"/>
      <w:lvlText w:val="•"/>
      <w:lvlJc w:val="left"/>
      <w:pPr>
        <w:ind w:left="1010" w:hanging="100"/>
      </w:pPr>
      <w:rPr>
        <w:rFonts w:hint="default"/>
      </w:rPr>
    </w:lvl>
    <w:lvl w:ilvl="7" w:tplc="74BE2F32">
      <w:numFmt w:val="bullet"/>
      <w:lvlText w:val="•"/>
      <w:lvlJc w:val="left"/>
      <w:pPr>
        <w:ind w:left="1151" w:hanging="100"/>
      </w:pPr>
      <w:rPr>
        <w:rFonts w:hint="default"/>
      </w:rPr>
    </w:lvl>
    <w:lvl w:ilvl="8" w:tplc="0F56D05E">
      <w:numFmt w:val="bullet"/>
      <w:lvlText w:val="•"/>
      <w:lvlJc w:val="left"/>
      <w:pPr>
        <w:ind w:left="1293" w:hanging="100"/>
      </w:pPr>
      <w:rPr>
        <w:rFonts w:hint="default"/>
      </w:rPr>
    </w:lvl>
  </w:abstractNum>
  <w:abstractNum w:abstractNumId="1854" w15:restartNumberingAfterBreak="0">
    <w:nsid w:val="746469F5"/>
    <w:multiLevelType w:val="hybridMultilevel"/>
    <w:tmpl w:val="76668F4E"/>
    <w:lvl w:ilvl="0" w:tplc="4C3CF598">
      <w:numFmt w:val="bullet"/>
      <w:lvlText w:val="•"/>
      <w:lvlJc w:val="left"/>
      <w:pPr>
        <w:ind w:left="57" w:hanging="84"/>
      </w:pPr>
      <w:rPr>
        <w:rFonts w:ascii="Times New Roman" w:eastAsia="Times New Roman" w:hAnsi="Times New Roman" w:cs="Times New Roman" w:hint="default"/>
        <w:b/>
        <w:bCs/>
        <w:color w:val="231F20"/>
        <w:w w:val="100"/>
        <w:sz w:val="14"/>
        <w:szCs w:val="14"/>
      </w:rPr>
    </w:lvl>
    <w:lvl w:ilvl="1" w:tplc="83C6CA38">
      <w:numFmt w:val="bullet"/>
      <w:lvlText w:val="•"/>
      <w:lvlJc w:val="left"/>
      <w:pPr>
        <w:ind w:left="336" w:hanging="84"/>
      </w:pPr>
      <w:rPr>
        <w:rFonts w:hint="default"/>
      </w:rPr>
    </w:lvl>
    <w:lvl w:ilvl="2" w:tplc="3C7CC764">
      <w:numFmt w:val="bullet"/>
      <w:lvlText w:val="•"/>
      <w:lvlJc w:val="left"/>
      <w:pPr>
        <w:ind w:left="612" w:hanging="84"/>
      </w:pPr>
      <w:rPr>
        <w:rFonts w:hint="default"/>
      </w:rPr>
    </w:lvl>
    <w:lvl w:ilvl="3" w:tplc="D71A9C28">
      <w:numFmt w:val="bullet"/>
      <w:lvlText w:val="•"/>
      <w:lvlJc w:val="left"/>
      <w:pPr>
        <w:ind w:left="889" w:hanging="84"/>
      </w:pPr>
      <w:rPr>
        <w:rFonts w:hint="default"/>
      </w:rPr>
    </w:lvl>
    <w:lvl w:ilvl="4" w:tplc="187814CE">
      <w:numFmt w:val="bullet"/>
      <w:lvlText w:val="•"/>
      <w:lvlJc w:val="left"/>
      <w:pPr>
        <w:ind w:left="1165" w:hanging="84"/>
      </w:pPr>
      <w:rPr>
        <w:rFonts w:hint="default"/>
      </w:rPr>
    </w:lvl>
    <w:lvl w:ilvl="5" w:tplc="A228856E">
      <w:numFmt w:val="bullet"/>
      <w:lvlText w:val="•"/>
      <w:lvlJc w:val="left"/>
      <w:pPr>
        <w:ind w:left="1442" w:hanging="84"/>
      </w:pPr>
      <w:rPr>
        <w:rFonts w:hint="default"/>
      </w:rPr>
    </w:lvl>
    <w:lvl w:ilvl="6" w:tplc="35E02418">
      <w:numFmt w:val="bullet"/>
      <w:lvlText w:val="•"/>
      <w:lvlJc w:val="left"/>
      <w:pPr>
        <w:ind w:left="1718" w:hanging="84"/>
      </w:pPr>
      <w:rPr>
        <w:rFonts w:hint="default"/>
      </w:rPr>
    </w:lvl>
    <w:lvl w:ilvl="7" w:tplc="123CD334">
      <w:numFmt w:val="bullet"/>
      <w:lvlText w:val="•"/>
      <w:lvlJc w:val="left"/>
      <w:pPr>
        <w:ind w:left="1994" w:hanging="84"/>
      </w:pPr>
      <w:rPr>
        <w:rFonts w:hint="default"/>
      </w:rPr>
    </w:lvl>
    <w:lvl w:ilvl="8" w:tplc="0D1AF514">
      <w:numFmt w:val="bullet"/>
      <w:lvlText w:val="•"/>
      <w:lvlJc w:val="left"/>
      <w:pPr>
        <w:ind w:left="2271" w:hanging="84"/>
      </w:pPr>
      <w:rPr>
        <w:rFonts w:hint="default"/>
      </w:rPr>
    </w:lvl>
  </w:abstractNum>
  <w:abstractNum w:abstractNumId="1855" w15:restartNumberingAfterBreak="0">
    <w:nsid w:val="7464778D"/>
    <w:multiLevelType w:val="hybridMultilevel"/>
    <w:tmpl w:val="7D12ABCA"/>
    <w:lvl w:ilvl="0" w:tplc="D438EF4E">
      <w:numFmt w:val="bullet"/>
      <w:lvlText w:val=""/>
      <w:lvlJc w:val="left"/>
      <w:pPr>
        <w:ind w:left="156" w:hanging="100"/>
      </w:pPr>
      <w:rPr>
        <w:rFonts w:ascii="Symbol" w:eastAsia="Symbol" w:hAnsi="Symbol" w:cs="Symbol" w:hint="default"/>
        <w:color w:val="231F20"/>
        <w:w w:val="100"/>
        <w:sz w:val="14"/>
        <w:szCs w:val="14"/>
      </w:rPr>
    </w:lvl>
    <w:lvl w:ilvl="1" w:tplc="1E32EA68">
      <w:numFmt w:val="bullet"/>
      <w:lvlText w:val="•"/>
      <w:lvlJc w:val="left"/>
      <w:pPr>
        <w:ind w:left="398" w:hanging="100"/>
      </w:pPr>
      <w:rPr>
        <w:rFonts w:hint="default"/>
      </w:rPr>
    </w:lvl>
    <w:lvl w:ilvl="2" w:tplc="1C64B1CC">
      <w:numFmt w:val="bullet"/>
      <w:lvlText w:val="•"/>
      <w:lvlJc w:val="left"/>
      <w:pPr>
        <w:ind w:left="636" w:hanging="100"/>
      </w:pPr>
      <w:rPr>
        <w:rFonts w:hint="default"/>
      </w:rPr>
    </w:lvl>
    <w:lvl w:ilvl="3" w:tplc="7BB43B68">
      <w:numFmt w:val="bullet"/>
      <w:lvlText w:val="•"/>
      <w:lvlJc w:val="left"/>
      <w:pPr>
        <w:ind w:left="874" w:hanging="100"/>
      </w:pPr>
      <w:rPr>
        <w:rFonts w:hint="default"/>
      </w:rPr>
    </w:lvl>
    <w:lvl w:ilvl="4" w:tplc="796A42D6">
      <w:numFmt w:val="bullet"/>
      <w:lvlText w:val="•"/>
      <w:lvlJc w:val="left"/>
      <w:pPr>
        <w:ind w:left="1112" w:hanging="100"/>
      </w:pPr>
      <w:rPr>
        <w:rFonts w:hint="default"/>
      </w:rPr>
    </w:lvl>
    <w:lvl w:ilvl="5" w:tplc="88B8959E">
      <w:numFmt w:val="bullet"/>
      <w:lvlText w:val="•"/>
      <w:lvlJc w:val="left"/>
      <w:pPr>
        <w:ind w:left="1350" w:hanging="100"/>
      </w:pPr>
      <w:rPr>
        <w:rFonts w:hint="default"/>
      </w:rPr>
    </w:lvl>
    <w:lvl w:ilvl="6" w:tplc="63E81AE2">
      <w:numFmt w:val="bullet"/>
      <w:lvlText w:val="•"/>
      <w:lvlJc w:val="left"/>
      <w:pPr>
        <w:ind w:left="1588" w:hanging="100"/>
      </w:pPr>
      <w:rPr>
        <w:rFonts w:hint="default"/>
      </w:rPr>
    </w:lvl>
    <w:lvl w:ilvl="7" w:tplc="BBDC6380">
      <w:numFmt w:val="bullet"/>
      <w:lvlText w:val="•"/>
      <w:lvlJc w:val="left"/>
      <w:pPr>
        <w:ind w:left="1826" w:hanging="100"/>
      </w:pPr>
      <w:rPr>
        <w:rFonts w:hint="default"/>
      </w:rPr>
    </w:lvl>
    <w:lvl w:ilvl="8" w:tplc="833ADF6A">
      <w:numFmt w:val="bullet"/>
      <w:lvlText w:val="•"/>
      <w:lvlJc w:val="left"/>
      <w:pPr>
        <w:ind w:left="2064" w:hanging="100"/>
      </w:pPr>
      <w:rPr>
        <w:rFonts w:hint="default"/>
      </w:rPr>
    </w:lvl>
  </w:abstractNum>
  <w:abstractNum w:abstractNumId="1856" w15:restartNumberingAfterBreak="0">
    <w:nsid w:val="747B6FE9"/>
    <w:multiLevelType w:val="hybridMultilevel"/>
    <w:tmpl w:val="0590A59C"/>
    <w:lvl w:ilvl="0" w:tplc="FBA0B24A">
      <w:numFmt w:val="bullet"/>
      <w:lvlText w:val=""/>
      <w:lvlJc w:val="left"/>
      <w:pPr>
        <w:ind w:left="157" w:hanging="100"/>
      </w:pPr>
      <w:rPr>
        <w:rFonts w:ascii="Symbol" w:eastAsia="Symbol" w:hAnsi="Symbol" w:cs="Symbol" w:hint="default"/>
        <w:color w:val="231F20"/>
        <w:w w:val="100"/>
        <w:sz w:val="14"/>
        <w:szCs w:val="14"/>
      </w:rPr>
    </w:lvl>
    <w:lvl w:ilvl="1" w:tplc="51186FE0">
      <w:numFmt w:val="bullet"/>
      <w:lvlText w:val="•"/>
      <w:lvlJc w:val="left"/>
      <w:pPr>
        <w:ind w:left="426" w:hanging="100"/>
      </w:pPr>
      <w:rPr>
        <w:rFonts w:hint="default"/>
      </w:rPr>
    </w:lvl>
    <w:lvl w:ilvl="2" w:tplc="58C2693C">
      <w:numFmt w:val="bullet"/>
      <w:lvlText w:val="•"/>
      <w:lvlJc w:val="left"/>
      <w:pPr>
        <w:ind w:left="692" w:hanging="100"/>
      </w:pPr>
      <w:rPr>
        <w:rFonts w:hint="default"/>
      </w:rPr>
    </w:lvl>
    <w:lvl w:ilvl="3" w:tplc="974E34D8">
      <w:numFmt w:val="bullet"/>
      <w:lvlText w:val="•"/>
      <w:lvlJc w:val="left"/>
      <w:pPr>
        <w:ind w:left="959" w:hanging="100"/>
      </w:pPr>
      <w:rPr>
        <w:rFonts w:hint="default"/>
      </w:rPr>
    </w:lvl>
    <w:lvl w:ilvl="4" w:tplc="8CFC18D6">
      <w:numFmt w:val="bullet"/>
      <w:lvlText w:val="•"/>
      <w:lvlJc w:val="left"/>
      <w:pPr>
        <w:ind w:left="1225" w:hanging="100"/>
      </w:pPr>
      <w:rPr>
        <w:rFonts w:hint="default"/>
      </w:rPr>
    </w:lvl>
    <w:lvl w:ilvl="5" w:tplc="18D4CF32">
      <w:numFmt w:val="bullet"/>
      <w:lvlText w:val="•"/>
      <w:lvlJc w:val="left"/>
      <w:pPr>
        <w:ind w:left="1492" w:hanging="100"/>
      </w:pPr>
      <w:rPr>
        <w:rFonts w:hint="default"/>
      </w:rPr>
    </w:lvl>
    <w:lvl w:ilvl="6" w:tplc="4704DC46">
      <w:numFmt w:val="bullet"/>
      <w:lvlText w:val="•"/>
      <w:lvlJc w:val="left"/>
      <w:pPr>
        <w:ind w:left="1758" w:hanging="100"/>
      </w:pPr>
      <w:rPr>
        <w:rFonts w:hint="default"/>
      </w:rPr>
    </w:lvl>
    <w:lvl w:ilvl="7" w:tplc="F2D43502">
      <w:numFmt w:val="bullet"/>
      <w:lvlText w:val="•"/>
      <w:lvlJc w:val="left"/>
      <w:pPr>
        <w:ind w:left="2024" w:hanging="100"/>
      </w:pPr>
      <w:rPr>
        <w:rFonts w:hint="default"/>
      </w:rPr>
    </w:lvl>
    <w:lvl w:ilvl="8" w:tplc="FDA8AEA4">
      <w:numFmt w:val="bullet"/>
      <w:lvlText w:val="•"/>
      <w:lvlJc w:val="left"/>
      <w:pPr>
        <w:ind w:left="2291" w:hanging="100"/>
      </w:pPr>
      <w:rPr>
        <w:rFonts w:hint="default"/>
      </w:rPr>
    </w:lvl>
  </w:abstractNum>
  <w:abstractNum w:abstractNumId="1857" w15:restartNumberingAfterBreak="0">
    <w:nsid w:val="74872526"/>
    <w:multiLevelType w:val="hybridMultilevel"/>
    <w:tmpl w:val="B5E6EBFC"/>
    <w:lvl w:ilvl="0" w:tplc="BEB49750">
      <w:numFmt w:val="bullet"/>
      <w:lvlText w:val=""/>
      <w:lvlJc w:val="left"/>
      <w:pPr>
        <w:ind w:left="156" w:hanging="100"/>
      </w:pPr>
      <w:rPr>
        <w:rFonts w:ascii="Symbol" w:eastAsia="Symbol" w:hAnsi="Symbol" w:cs="Symbol" w:hint="default"/>
        <w:color w:val="231F20"/>
        <w:w w:val="100"/>
        <w:sz w:val="14"/>
        <w:szCs w:val="14"/>
      </w:rPr>
    </w:lvl>
    <w:lvl w:ilvl="1" w:tplc="6CF6B2A8">
      <w:numFmt w:val="bullet"/>
      <w:lvlText w:val="•"/>
      <w:lvlJc w:val="left"/>
      <w:pPr>
        <w:ind w:left="398" w:hanging="100"/>
      </w:pPr>
      <w:rPr>
        <w:rFonts w:hint="default"/>
      </w:rPr>
    </w:lvl>
    <w:lvl w:ilvl="2" w:tplc="48ECF7C4">
      <w:numFmt w:val="bullet"/>
      <w:lvlText w:val="•"/>
      <w:lvlJc w:val="left"/>
      <w:pPr>
        <w:ind w:left="636" w:hanging="100"/>
      </w:pPr>
      <w:rPr>
        <w:rFonts w:hint="default"/>
      </w:rPr>
    </w:lvl>
    <w:lvl w:ilvl="3" w:tplc="CADAA2E0">
      <w:numFmt w:val="bullet"/>
      <w:lvlText w:val="•"/>
      <w:lvlJc w:val="left"/>
      <w:pPr>
        <w:ind w:left="874" w:hanging="100"/>
      </w:pPr>
      <w:rPr>
        <w:rFonts w:hint="default"/>
      </w:rPr>
    </w:lvl>
    <w:lvl w:ilvl="4" w:tplc="1E32E57A">
      <w:numFmt w:val="bullet"/>
      <w:lvlText w:val="•"/>
      <w:lvlJc w:val="left"/>
      <w:pPr>
        <w:ind w:left="1112" w:hanging="100"/>
      </w:pPr>
      <w:rPr>
        <w:rFonts w:hint="default"/>
      </w:rPr>
    </w:lvl>
    <w:lvl w:ilvl="5" w:tplc="362E12EA">
      <w:numFmt w:val="bullet"/>
      <w:lvlText w:val="•"/>
      <w:lvlJc w:val="left"/>
      <w:pPr>
        <w:ind w:left="1350" w:hanging="100"/>
      </w:pPr>
      <w:rPr>
        <w:rFonts w:hint="default"/>
      </w:rPr>
    </w:lvl>
    <w:lvl w:ilvl="6" w:tplc="E5A480B2">
      <w:numFmt w:val="bullet"/>
      <w:lvlText w:val="•"/>
      <w:lvlJc w:val="left"/>
      <w:pPr>
        <w:ind w:left="1588" w:hanging="100"/>
      </w:pPr>
      <w:rPr>
        <w:rFonts w:hint="default"/>
      </w:rPr>
    </w:lvl>
    <w:lvl w:ilvl="7" w:tplc="A0B488BA">
      <w:numFmt w:val="bullet"/>
      <w:lvlText w:val="•"/>
      <w:lvlJc w:val="left"/>
      <w:pPr>
        <w:ind w:left="1826" w:hanging="100"/>
      </w:pPr>
      <w:rPr>
        <w:rFonts w:hint="default"/>
      </w:rPr>
    </w:lvl>
    <w:lvl w:ilvl="8" w:tplc="E7E0FBE4">
      <w:numFmt w:val="bullet"/>
      <w:lvlText w:val="•"/>
      <w:lvlJc w:val="left"/>
      <w:pPr>
        <w:ind w:left="2064" w:hanging="100"/>
      </w:pPr>
      <w:rPr>
        <w:rFonts w:hint="default"/>
      </w:rPr>
    </w:lvl>
  </w:abstractNum>
  <w:abstractNum w:abstractNumId="1858" w15:restartNumberingAfterBreak="0">
    <w:nsid w:val="748D06E1"/>
    <w:multiLevelType w:val="hybridMultilevel"/>
    <w:tmpl w:val="39C0CAC2"/>
    <w:lvl w:ilvl="0" w:tplc="2724EF3C">
      <w:numFmt w:val="bullet"/>
      <w:lvlText w:val=""/>
      <w:lvlJc w:val="left"/>
      <w:pPr>
        <w:ind w:left="156" w:hanging="100"/>
      </w:pPr>
      <w:rPr>
        <w:rFonts w:ascii="Symbol" w:eastAsia="Symbol" w:hAnsi="Symbol" w:cs="Symbol" w:hint="default"/>
        <w:color w:val="231F20"/>
        <w:w w:val="100"/>
        <w:sz w:val="14"/>
        <w:szCs w:val="14"/>
      </w:rPr>
    </w:lvl>
    <w:lvl w:ilvl="1" w:tplc="8700B43A">
      <w:numFmt w:val="bullet"/>
      <w:lvlText w:val="•"/>
      <w:lvlJc w:val="left"/>
      <w:pPr>
        <w:ind w:left="301" w:hanging="100"/>
      </w:pPr>
      <w:rPr>
        <w:rFonts w:hint="default"/>
      </w:rPr>
    </w:lvl>
    <w:lvl w:ilvl="2" w:tplc="8E889394">
      <w:numFmt w:val="bullet"/>
      <w:lvlText w:val="•"/>
      <w:lvlJc w:val="left"/>
      <w:pPr>
        <w:ind w:left="443" w:hanging="100"/>
      </w:pPr>
      <w:rPr>
        <w:rFonts w:hint="default"/>
      </w:rPr>
    </w:lvl>
    <w:lvl w:ilvl="3" w:tplc="10B07292">
      <w:numFmt w:val="bullet"/>
      <w:lvlText w:val="•"/>
      <w:lvlJc w:val="left"/>
      <w:pPr>
        <w:ind w:left="585" w:hanging="100"/>
      </w:pPr>
      <w:rPr>
        <w:rFonts w:hint="default"/>
      </w:rPr>
    </w:lvl>
    <w:lvl w:ilvl="4" w:tplc="CCC2D126">
      <w:numFmt w:val="bullet"/>
      <w:lvlText w:val="•"/>
      <w:lvlJc w:val="left"/>
      <w:pPr>
        <w:ind w:left="726" w:hanging="100"/>
      </w:pPr>
      <w:rPr>
        <w:rFonts w:hint="default"/>
      </w:rPr>
    </w:lvl>
    <w:lvl w:ilvl="5" w:tplc="18F0191C">
      <w:numFmt w:val="bullet"/>
      <w:lvlText w:val="•"/>
      <w:lvlJc w:val="left"/>
      <w:pPr>
        <w:ind w:left="868" w:hanging="100"/>
      </w:pPr>
      <w:rPr>
        <w:rFonts w:hint="default"/>
      </w:rPr>
    </w:lvl>
    <w:lvl w:ilvl="6" w:tplc="BEDA3C80">
      <w:numFmt w:val="bullet"/>
      <w:lvlText w:val="•"/>
      <w:lvlJc w:val="left"/>
      <w:pPr>
        <w:ind w:left="1010" w:hanging="100"/>
      </w:pPr>
      <w:rPr>
        <w:rFonts w:hint="default"/>
      </w:rPr>
    </w:lvl>
    <w:lvl w:ilvl="7" w:tplc="6F3CC05A">
      <w:numFmt w:val="bullet"/>
      <w:lvlText w:val="•"/>
      <w:lvlJc w:val="left"/>
      <w:pPr>
        <w:ind w:left="1151" w:hanging="100"/>
      </w:pPr>
      <w:rPr>
        <w:rFonts w:hint="default"/>
      </w:rPr>
    </w:lvl>
    <w:lvl w:ilvl="8" w:tplc="B7246B02">
      <w:numFmt w:val="bullet"/>
      <w:lvlText w:val="•"/>
      <w:lvlJc w:val="left"/>
      <w:pPr>
        <w:ind w:left="1293" w:hanging="100"/>
      </w:pPr>
      <w:rPr>
        <w:rFonts w:hint="default"/>
      </w:rPr>
    </w:lvl>
  </w:abstractNum>
  <w:abstractNum w:abstractNumId="1859" w15:restartNumberingAfterBreak="0">
    <w:nsid w:val="748D0FF4"/>
    <w:multiLevelType w:val="hybridMultilevel"/>
    <w:tmpl w:val="4AF88E9A"/>
    <w:lvl w:ilvl="0" w:tplc="242E794C">
      <w:numFmt w:val="bullet"/>
      <w:lvlText w:val=""/>
      <w:lvlJc w:val="left"/>
      <w:pPr>
        <w:ind w:left="156" w:hanging="100"/>
      </w:pPr>
      <w:rPr>
        <w:rFonts w:ascii="Symbol" w:eastAsia="Symbol" w:hAnsi="Symbol" w:cs="Symbol" w:hint="default"/>
        <w:color w:val="231F20"/>
        <w:w w:val="100"/>
        <w:sz w:val="14"/>
        <w:szCs w:val="14"/>
      </w:rPr>
    </w:lvl>
    <w:lvl w:ilvl="1" w:tplc="CAB4047C">
      <w:numFmt w:val="bullet"/>
      <w:lvlText w:val="•"/>
      <w:lvlJc w:val="left"/>
      <w:pPr>
        <w:ind w:left="426" w:hanging="100"/>
      </w:pPr>
      <w:rPr>
        <w:rFonts w:hint="default"/>
      </w:rPr>
    </w:lvl>
    <w:lvl w:ilvl="2" w:tplc="476ED37A">
      <w:numFmt w:val="bullet"/>
      <w:lvlText w:val="•"/>
      <w:lvlJc w:val="left"/>
      <w:pPr>
        <w:ind w:left="692" w:hanging="100"/>
      </w:pPr>
      <w:rPr>
        <w:rFonts w:hint="default"/>
      </w:rPr>
    </w:lvl>
    <w:lvl w:ilvl="3" w:tplc="67B068D2">
      <w:numFmt w:val="bullet"/>
      <w:lvlText w:val="•"/>
      <w:lvlJc w:val="left"/>
      <w:pPr>
        <w:ind w:left="959" w:hanging="100"/>
      </w:pPr>
      <w:rPr>
        <w:rFonts w:hint="default"/>
      </w:rPr>
    </w:lvl>
    <w:lvl w:ilvl="4" w:tplc="9D96FB82">
      <w:numFmt w:val="bullet"/>
      <w:lvlText w:val="•"/>
      <w:lvlJc w:val="left"/>
      <w:pPr>
        <w:ind w:left="1225" w:hanging="100"/>
      </w:pPr>
      <w:rPr>
        <w:rFonts w:hint="default"/>
      </w:rPr>
    </w:lvl>
    <w:lvl w:ilvl="5" w:tplc="61B6DE06">
      <w:numFmt w:val="bullet"/>
      <w:lvlText w:val="•"/>
      <w:lvlJc w:val="left"/>
      <w:pPr>
        <w:ind w:left="1492" w:hanging="100"/>
      </w:pPr>
      <w:rPr>
        <w:rFonts w:hint="default"/>
      </w:rPr>
    </w:lvl>
    <w:lvl w:ilvl="6" w:tplc="1E7E40F8">
      <w:numFmt w:val="bullet"/>
      <w:lvlText w:val="•"/>
      <w:lvlJc w:val="left"/>
      <w:pPr>
        <w:ind w:left="1758" w:hanging="100"/>
      </w:pPr>
      <w:rPr>
        <w:rFonts w:hint="default"/>
      </w:rPr>
    </w:lvl>
    <w:lvl w:ilvl="7" w:tplc="B7B2BC9C">
      <w:numFmt w:val="bullet"/>
      <w:lvlText w:val="•"/>
      <w:lvlJc w:val="left"/>
      <w:pPr>
        <w:ind w:left="2024" w:hanging="100"/>
      </w:pPr>
      <w:rPr>
        <w:rFonts w:hint="default"/>
      </w:rPr>
    </w:lvl>
    <w:lvl w:ilvl="8" w:tplc="474C8C7A">
      <w:numFmt w:val="bullet"/>
      <w:lvlText w:val="•"/>
      <w:lvlJc w:val="left"/>
      <w:pPr>
        <w:ind w:left="2291" w:hanging="100"/>
      </w:pPr>
      <w:rPr>
        <w:rFonts w:hint="default"/>
      </w:rPr>
    </w:lvl>
  </w:abstractNum>
  <w:abstractNum w:abstractNumId="1860" w15:restartNumberingAfterBreak="0">
    <w:nsid w:val="74913C1C"/>
    <w:multiLevelType w:val="hybridMultilevel"/>
    <w:tmpl w:val="85848CD4"/>
    <w:lvl w:ilvl="0" w:tplc="3452BFA6">
      <w:numFmt w:val="bullet"/>
      <w:lvlText w:val=""/>
      <w:lvlJc w:val="left"/>
      <w:pPr>
        <w:ind w:left="156" w:hanging="100"/>
      </w:pPr>
      <w:rPr>
        <w:rFonts w:ascii="Symbol" w:eastAsia="Symbol" w:hAnsi="Symbol" w:cs="Symbol" w:hint="default"/>
        <w:color w:val="231F20"/>
        <w:w w:val="100"/>
        <w:sz w:val="14"/>
        <w:szCs w:val="14"/>
      </w:rPr>
    </w:lvl>
    <w:lvl w:ilvl="1" w:tplc="F9DC2BD2">
      <w:numFmt w:val="bullet"/>
      <w:lvlText w:val="•"/>
      <w:lvlJc w:val="left"/>
      <w:pPr>
        <w:ind w:left="301" w:hanging="100"/>
      </w:pPr>
      <w:rPr>
        <w:rFonts w:hint="default"/>
      </w:rPr>
    </w:lvl>
    <w:lvl w:ilvl="2" w:tplc="84AAE288">
      <w:numFmt w:val="bullet"/>
      <w:lvlText w:val="•"/>
      <w:lvlJc w:val="left"/>
      <w:pPr>
        <w:ind w:left="443" w:hanging="100"/>
      </w:pPr>
      <w:rPr>
        <w:rFonts w:hint="default"/>
      </w:rPr>
    </w:lvl>
    <w:lvl w:ilvl="3" w:tplc="142C3EE2">
      <w:numFmt w:val="bullet"/>
      <w:lvlText w:val="•"/>
      <w:lvlJc w:val="left"/>
      <w:pPr>
        <w:ind w:left="585" w:hanging="100"/>
      </w:pPr>
      <w:rPr>
        <w:rFonts w:hint="default"/>
      </w:rPr>
    </w:lvl>
    <w:lvl w:ilvl="4" w:tplc="AE30EE8E">
      <w:numFmt w:val="bullet"/>
      <w:lvlText w:val="•"/>
      <w:lvlJc w:val="left"/>
      <w:pPr>
        <w:ind w:left="726" w:hanging="100"/>
      </w:pPr>
      <w:rPr>
        <w:rFonts w:hint="default"/>
      </w:rPr>
    </w:lvl>
    <w:lvl w:ilvl="5" w:tplc="45B80F58">
      <w:numFmt w:val="bullet"/>
      <w:lvlText w:val="•"/>
      <w:lvlJc w:val="left"/>
      <w:pPr>
        <w:ind w:left="868" w:hanging="100"/>
      </w:pPr>
      <w:rPr>
        <w:rFonts w:hint="default"/>
      </w:rPr>
    </w:lvl>
    <w:lvl w:ilvl="6" w:tplc="060E9DA0">
      <w:numFmt w:val="bullet"/>
      <w:lvlText w:val="•"/>
      <w:lvlJc w:val="left"/>
      <w:pPr>
        <w:ind w:left="1010" w:hanging="100"/>
      </w:pPr>
      <w:rPr>
        <w:rFonts w:hint="default"/>
      </w:rPr>
    </w:lvl>
    <w:lvl w:ilvl="7" w:tplc="975C208A">
      <w:numFmt w:val="bullet"/>
      <w:lvlText w:val="•"/>
      <w:lvlJc w:val="left"/>
      <w:pPr>
        <w:ind w:left="1151" w:hanging="100"/>
      </w:pPr>
      <w:rPr>
        <w:rFonts w:hint="default"/>
      </w:rPr>
    </w:lvl>
    <w:lvl w:ilvl="8" w:tplc="CFCC7B2A">
      <w:numFmt w:val="bullet"/>
      <w:lvlText w:val="•"/>
      <w:lvlJc w:val="left"/>
      <w:pPr>
        <w:ind w:left="1293" w:hanging="100"/>
      </w:pPr>
      <w:rPr>
        <w:rFonts w:hint="default"/>
      </w:rPr>
    </w:lvl>
  </w:abstractNum>
  <w:abstractNum w:abstractNumId="1861" w15:restartNumberingAfterBreak="0">
    <w:nsid w:val="74A23737"/>
    <w:multiLevelType w:val="hybridMultilevel"/>
    <w:tmpl w:val="E7B8FB5E"/>
    <w:lvl w:ilvl="0" w:tplc="08E45C4A">
      <w:numFmt w:val="bullet"/>
      <w:lvlText w:val=""/>
      <w:lvlJc w:val="left"/>
      <w:pPr>
        <w:ind w:left="156" w:hanging="100"/>
      </w:pPr>
      <w:rPr>
        <w:rFonts w:ascii="Symbol" w:eastAsia="Symbol" w:hAnsi="Symbol" w:cs="Symbol" w:hint="default"/>
        <w:color w:val="231F20"/>
        <w:w w:val="100"/>
        <w:sz w:val="14"/>
        <w:szCs w:val="14"/>
      </w:rPr>
    </w:lvl>
    <w:lvl w:ilvl="1" w:tplc="FCAE4E06">
      <w:numFmt w:val="bullet"/>
      <w:lvlText w:val="•"/>
      <w:lvlJc w:val="left"/>
      <w:pPr>
        <w:ind w:left="301" w:hanging="100"/>
      </w:pPr>
      <w:rPr>
        <w:rFonts w:hint="default"/>
      </w:rPr>
    </w:lvl>
    <w:lvl w:ilvl="2" w:tplc="D3EEEC44">
      <w:numFmt w:val="bullet"/>
      <w:lvlText w:val="•"/>
      <w:lvlJc w:val="left"/>
      <w:pPr>
        <w:ind w:left="443" w:hanging="100"/>
      </w:pPr>
      <w:rPr>
        <w:rFonts w:hint="default"/>
      </w:rPr>
    </w:lvl>
    <w:lvl w:ilvl="3" w:tplc="B32C547A">
      <w:numFmt w:val="bullet"/>
      <w:lvlText w:val="•"/>
      <w:lvlJc w:val="left"/>
      <w:pPr>
        <w:ind w:left="585" w:hanging="100"/>
      </w:pPr>
      <w:rPr>
        <w:rFonts w:hint="default"/>
      </w:rPr>
    </w:lvl>
    <w:lvl w:ilvl="4" w:tplc="2EEA25F2">
      <w:numFmt w:val="bullet"/>
      <w:lvlText w:val="•"/>
      <w:lvlJc w:val="left"/>
      <w:pPr>
        <w:ind w:left="726" w:hanging="100"/>
      </w:pPr>
      <w:rPr>
        <w:rFonts w:hint="default"/>
      </w:rPr>
    </w:lvl>
    <w:lvl w:ilvl="5" w:tplc="268AC520">
      <w:numFmt w:val="bullet"/>
      <w:lvlText w:val="•"/>
      <w:lvlJc w:val="left"/>
      <w:pPr>
        <w:ind w:left="868" w:hanging="100"/>
      </w:pPr>
      <w:rPr>
        <w:rFonts w:hint="default"/>
      </w:rPr>
    </w:lvl>
    <w:lvl w:ilvl="6" w:tplc="EF204DC0">
      <w:numFmt w:val="bullet"/>
      <w:lvlText w:val="•"/>
      <w:lvlJc w:val="left"/>
      <w:pPr>
        <w:ind w:left="1010" w:hanging="100"/>
      </w:pPr>
      <w:rPr>
        <w:rFonts w:hint="default"/>
      </w:rPr>
    </w:lvl>
    <w:lvl w:ilvl="7" w:tplc="2828D4D6">
      <w:numFmt w:val="bullet"/>
      <w:lvlText w:val="•"/>
      <w:lvlJc w:val="left"/>
      <w:pPr>
        <w:ind w:left="1151" w:hanging="100"/>
      </w:pPr>
      <w:rPr>
        <w:rFonts w:hint="default"/>
      </w:rPr>
    </w:lvl>
    <w:lvl w:ilvl="8" w:tplc="A8728EAE">
      <w:numFmt w:val="bullet"/>
      <w:lvlText w:val="•"/>
      <w:lvlJc w:val="left"/>
      <w:pPr>
        <w:ind w:left="1293" w:hanging="100"/>
      </w:pPr>
      <w:rPr>
        <w:rFonts w:hint="default"/>
      </w:rPr>
    </w:lvl>
  </w:abstractNum>
  <w:abstractNum w:abstractNumId="1862" w15:restartNumberingAfterBreak="0">
    <w:nsid w:val="74A237A0"/>
    <w:multiLevelType w:val="hybridMultilevel"/>
    <w:tmpl w:val="6862F48E"/>
    <w:lvl w:ilvl="0" w:tplc="88A6C128">
      <w:numFmt w:val="bullet"/>
      <w:lvlText w:val=""/>
      <w:lvlJc w:val="left"/>
      <w:pPr>
        <w:ind w:left="156" w:hanging="100"/>
      </w:pPr>
      <w:rPr>
        <w:rFonts w:ascii="Symbol" w:eastAsia="Symbol" w:hAnsi="Symbol" w:cs="Symbol" w:hint="default"/>
        <w:color w:val="231F20"/>
        <w:w w:val="100"/>
        <w:sz w:val="14"/>
        <w:szCs w:val="14"/>
      </w:rPr>
    </w:lvl>
    <w:lvl w:ilvl="1" w:tplc="9BFCAB52">
      <w:numFmt w:val="bullet"/>
      <w:lvlText w:val="•"/>
      <w:lvlJc w:val="left"/>
      <w:pPr>
        <w:ind w:left="301" w:hanging="100"/>
      </w:pPr>
      <w:rPr>
        <w:rFonts w:hint="default"/>
      </w:rPr>
    </w:lvl>
    <w:lvl w:ilvl="2" w:tplc="E95AD3D6">
      <w:numFmt w:val="bullet"/>
      <w:lvlText w:val="•"/>
      <w:lvlJc w:val="left"/>
      <w:pPr>
        <w:ind w:left="443" w:hanging="100"/>
      </w:pPr>
      <w:rPr>
        <w:rFonts w:hint="default"/>
      </w:rPr>
    </w:lvl>
    <w:lvl w:ilvl="3" w:tplc="3A7E792C">
      <w:numFmt w:val="bullet"/>
      <w:lvlText w:val="•"/>
      <w:lvlJc w:val="left"/>
      <w:pPr>
        <w:ind w:left="585" w:hanging="100"/>
      </w:pPr>
      <w:rPr>
        <w:rFonts w:hint="default"/>
      </w:rPr>
    </w:lvl>
    <w:lvl w:ilvl="4" w:tplc="243C6A6A">
      <w:numFmt w:val="bullet"/>
      <w:lvlText w:val="•"/>
      <w:lvlJc w:val="left"/>
      <w:pPr>
        <w:ind w:left="726" w:hanging="100"/>
      </w:pPr>
      <w:rPr>
        <w:rFonts w:hint="default"/>
      </w:rPr>
    </w:lvl>
    <w:lvl w:ilvl="5" w:tplc="EDCEC126">
      <w:numFmt w:val="bullet"/>
      <w:lvlText w:val="•"/>
      <w:lvlJc w:val="left"/>
      <w:pPr>
        <w:ind w:left="868" w:hanging="100"/>
      </w:pPr>
      <w:rPr>
        <w:rFonts w:hint="default"/>
      </w:rPr>
    </w:lvl>
    <w:lvl w:ilvl="6" w:tplc="4C082826">
      <w:numFmt w:val="bullet"/>
      <w:lvlText w:val="•"/>
      <w:lvlJc w:val="left"/>
      <w:pPr>
        <w:ind w:left="1010" w:hanging="100"/>
      </w:pPr>
      <w:rPr>
        <w:rFonts w:hint="default"/>
      </w:rPr>
    </w:lvl>
    <w:lvl w:ilvl="7" w:tplc="B1F44B5E">
      <w:numFmt w:val="bullet"/>
      <w:lvlText w:val="•"/>
      <w:lvlJc w:val="left"/>
      <w:pPr>
        <w:ind w:left="1151" w:hanging="100"/>
      </w:pPr>
      <w:rPr>
        <w:rFonts w:hint="default"/>
      </w:rPr>
    </w:lvl>
    <w:lvl w:ilvl="8" w:tplc="DB922072">
      <w:numFmt w:val="bullet"/>
      <w:lvlText w:val="•"/>
      <w:lvlJc w:val="left"/>
      <w:pPr>
        <w:ind w:left="1293" w:hanging="100"/>
      </w:pPr>
      <w:rPr>
        <w:rFonts w:hint="default"/>
      </w:rPr>
    </w:lvl>
  </w:abstractNum>
  <w:abstractNum w:abstractNumId="1863" w15:restartNumberingAfterBreak="0">
    <w:nsid w:val="74AD6510"/>
    <w:multiLevelType w:val="hybridMultilevel"/>
    <w:tmpl w:val="D68A2D76"/>
    <w:lvl w:ilvl="0" w:tplc="77CADAEE">
      <w:numFmt w:val="bullet"/>
      <w:lvlText w:val=""/>
      <w:lvlJc w:val="left"/>
      <w:pPr>
        <w:ind w:left="157" w:hanging="100"/>
      </w:pPr>
      <w:rPr>
        <w:rFonts w:ascii="Symbol" w:eastAsia="Symbol" w:hAnsi="Symbol" w:cs="Symbol" w:hint="default"/>
        <w:color w:val="231F20"/>
        <w:w w:val="100"/>
        <w:sz w:val="14"/>
        <w:szCs w:val="14"/>
      </w:rPr>
    </w:lvl>
    <w:lvl w:ilvl="1" w:tplc="95186572">
      <w:numFmt w:val="bullet"/>
      <w:lvlText w:val="•"/>
      <w:lvlJc w:val="left"/>
      <w:pPr>
        <w:ind w:left="426" w:hanging="100"/>
      </w:pPr>
      <w:rPr>
        <w:rFonts w:hint="default"/>
      </w:rPr>
    </w:lvl>
    <w:lvl w:ilvl="2" w:tplc="38EAE594">
      <w:numFmt w:val="bullet"/>
      <w:lvlText w:val="•"/>
      <w:lvlJc w:val="left"/>
      <w:pPr>
        <w:ind w:left="692" w:hanging="100"/>
      </w:pPr>
      <w:rPr>
        <w:rFonts w:hint="default"/>
      </w:rPr>
    </w:lvl>
    <w:lvl w:ilvl="3" w:tplc="F3709316">
      <w:numFmt w:val="bullet"/>
      <w:lvlText w:val="•"/>
      <w:lvlJc w:val="left"/>
      <w:pPr>
        <w:ind w:left="959" w:hanging="100"/>
      </w:pPr>
      <w:rPr>
        <w:rFonts w:hint="default"/>
      </w:rPr>
    </w:lvl>
    <w:lvl w:ilvl="4" w:tplc="4ED6DD42">
      <w:numFmt w:val="bullet"/>
      <w:lvlText w:val="•"/>
      <w:lvlJc w:val="left"/>
      <w:pPr>
        <w:ind w:left="1225" w:hanging="100"/>
      </w:pPr>
      <w:rPr>
        <w:rFonts w:hint="default"/>
      </w:rPr>
    </w:lvl>
    <w:lvl w:ilvl="5" w:tplc="D9ECE834">
      <w:numFmt w:val="bullet"/>
      <w:lvlText w:val="•"/>
      <w:lvlJc w:val="left"/>
      <w:pPr>
        <w:ind w:left="1492" w:hanging="100"/>
      </w:pPr>
      <w:rPr>
        <w:rFonts w:hint="default"/>
      </w:rPr>
    </w:lvl>
    <w:lvl w:ilvl="6" w:tplc="C81EB184">
      <w:numFmt w:val="bullet"/>
      <w:lvlText w:val="•"/>
      <w:lvlJc w:val="left"/>
      <w:pPr>
        <w:ind w:left="1758" w:hanging="100"/>
      </w:pPr>
      <w:rPr>
        <w:rFonts w:hint="default"/>
      </w:rPr>
    </w:lvl>
    <w:lvl w:ilvl="7" w:tplc="9CD65058">
      <w:numFmt w:val="bullet"/>
      <w:lvlText w:val="•"/>
      <w:lvlJc w:val="left"/>
      <w:pPr>
        <w:ind w:left="2024" w:hanging="100"/>
      </w:pPr>
      <w:rPr>
        <w:rFonts w:hint="default"/>
      </w:rPr>
    </w:lvl>
    <w:lvl w:ilvl="8" w:tplc="AAD8D476">
      <w:numFmt w:val="bullet"/>
      <w:lvlText w:val="•"/>
      <w:lvlJc w:val="left"/>
      <w:pPr>
        <w:ind w:left="2291" w:hanging="100"/>
      </w:pPr>
      <w:rPr>
        <w:rFonts w:hint="default"/>
      </w:rPr>
    </w:lvl>
  </w:abstractNum>
  <w:abstractNum w:abstractNumId="1864" w15:restartNumberingAfterBreak="0">
    <w:nsid w:val="74B2115D"/>
    <w:multiLevelType w:val="hybridMultilevel"/>
    <w:tmpl w:val="9362930A"/>
    <w:lvl w:ilvl="0" w:tplc="7D161F9C">
      <w:numFmt w:val="bullet"/>
      <w:lvlText w:val=""/>
      <w:lvlJc w:val="left"/>
      <w:pPr>
        <w:ind w:left="156" w:hanging="100"/>
      </w:pPr>
      <w:rPr>
        <w:rFonts w:ascii="Symbol" w:eastAsia="Symbol" w:hAnsi="Symbol" w:cs="Symbol" w:hint="default"/>
        <w:color w:val="231F20"/>
        <w:w w:val="100"/>
        <w:sz w:val="14"/>
        <w:szCs w:val="14"/>
      </w:rPr>
    </w:lvl>
    <w:lvl w:ilvl="1" w:tplc="EB826C42">
      <w:numFmt w:val="bullet"/>
      <w:lvlText w:val="•"/>
      <w:lvlJc w:val="left"/>
      <w:pPr>
        <w:ind w:left="301" w:hanging="100"/>
      </w:pPr>
      <w:rPr>
        <w:rFonts w:hint="default"/>
      </w:rPr>
    </w:lvl>
    <w:lvl w:ilvl="2" w:tplc="92543DD8">
      <w:numFmt w:val="bullet"/>
      <w:lvlText w:val="•"/>
      <w:lvlJc w:val="left"/>
      <w:pPr>
        <w:ind w:left="443" w:hanging="100"/>
      </w:pPr>
      <w:rPr>
        <w:rFonts w:hint="default"/>
      </w:rPr>
    </w:lvl>
    <w:lvl w:ilvl="3" w:tplc="DD64C3FC">
      <w:numFmt w:val="bullet"/>
      <w:lvlText w:val="•"/>
      <w:lvlJc w:val="left"/>
      <w:pPr>
        <w:ind w:left="585" w:hanging="100"/>
      </w:pPr>
      <w:rPr>
        <w:rFonts w:hint="default"/>
      </w:rPr>
    </w:lvl>
    <w:lvl w:ilvl="4" w:tplc="57083596">
      <w:numFmt w:val="bullet"/>
      <w:lvlText w:val="•"/>
      <w:lvlJc w:val="left"/>
      <w:pPr>
        <w:ind w:left="726" w:hanging="100"/>
      </w:pPr>
      <w:rPr>
        <w:rFonts w:hint="default"/>
      </w:rPr>
    </w:lvl>
    <w:lvl w:ilvl="5" w:tplc="49FA5EAC">
      <w:numFmt w:val="bullet"/>
      <w:lvlText w:val="•"/>
      <w:lvlJc w:val="left"/>
      <w:pPr>
        <w:ind w:left="868" w:hanging="100"/>
      </w:pPr>
      <w:rPr>
        <w:rFonts w:hint="default"/>
      </w:rPr>
    </w:lvl>
    <w:lvl w:ilvl="6" w:tplc="56126632">
      <w:numFmt w:val="bullet"/>
      <w:lvlText w:val="•"/>
      <w:lvlJc w:val="left"/>
      <w:pPr>
        <w:ind w:left="1010" w:hanging="100"/>
      </w:pPr>
      <w:rPr>
        <w:rFonts w:hint="default"/>
      </w:rPr>
    </w:lvl>
    <w:lvl w:ilvl="7" w:tplc="05503E4A">
      <w:numFmt w:val="bullet"/>
      <w:lvlText w:val="•"/>
      <w:lvlJc w:val="left"/>
      <w:pPr>
        <w:ind w:left="1151" w:hanging="100"/>
      </w:pPr>
      <w:rPr>
        <w:rFonts w:hint="default"/>
      </w:rPr>
    </w:lvl>
    <w:lvl w:ilvl="8" w:tplc="FE34C288">
      <w:numFmt w:val="bullet"/>
      <w:lvlText w:val="•"/>
      <w:lvlJc w:val="left"/>
      <w:pPr>
        <w:ind w:left="1293" w:hanging="100"/>
      </w:pPr>
      <w:rPr>
        <w:rFonts w:hint="default"/>
      </w:rPr>
    </w:lvl>
  </w:abstractNum>
  <w:abstractNum w:abstractNumId="1865" w15:restartNumberingAfterBreak="0">
    <w:nsid w:val="74D72B4F"/>
    <w:multiLevelType w:val="hybridMultilevel"/>
    <w:tmpl w:val="758A9212"/>
    <w:lvl w:ilvl="0" w:tplc="1E92114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7DA0CE8">
      <w:numFmt w:val="bullet"/>
      <w:lvlText w:val="•"/>
      <w:lvlJc w:val="left"/>
      <w:pPr>
        <w:ind w:left="426" w:hanging="105"/>
      </w:pPr>
      <w:rPr>
        <w:rFonts w:hint="default"/>
      </w:rPr>
    </w:lvl>
    <w:lvl w:ilvl="2" w:tplc="5BBA6F72">
      <w:numFmt w:val="bullet"/>
      <w:lvlText w:val="•"/>
      <w:lvlJc w:val="left"/>
      <w:pPr>
        <w:ind w:left="692" w:hanging="105"/>
      </w:pPr>
      <w:rPr>
        <w:rFonts w:hint="default"/>
      </w:rPr>
    </w:lvl>
    <w:lvl w:ilvl="3" w:tplc="F2E4C4CA">
      <w:numFmt w:val="bullet"/>
      <w:lvlText w:val="•"/>
      <w:lvlJc w:val="left"/>
      <w:pPr>
        <w:ind w:left="959" w:hanging="105"/>
      </w:pPr>
      <w:rPr>
        <w:rFonts w:hint="default"/>
      </w:rPr>
    </w:lvl>
    <w:lvl w:ilvl="4" w:tplc="2BEC7522">
      <w:numFmt w:val="bullet"/>
      <w:lvlText w:val="•"/>
      <w:lvlJc w:val="left"/>
      <w:pPr>
        <w:ind w:left="1225" w:hanging="105"/>
      </w:pPr>
      <w:rPr>
        <w:rFonts w:hint="default"/>
      </w:rPr>
    </w:lvl>
    <w:lvl w:ilvl="5" w:tplc="F35A7726">
      <w:numFmt w:val="bullet"/>
      <w:lvlText w:val="•"/>
      <w:lvlJc w:val="left"/>
      <w:pPr>
        <w:ind w:left="1492" w:hanging="105"/>
      </w:pPr>
      <w:rPr>
        <w:rFonts w:hint="default"/>
      </w:rPr>
    </w:lvl>
    <w:lvl w:ilvl="6" w:tplc="50842A34">
      <w:numFmt w:val="bullet"/>
      <w:lvlText w:val="•"/>
      <w:lvlJc w:val="left"/>
      <w:pPr>
        <w:ind w:left="1758" w:hanging="105"/>
      </w:pPr>
      <w:rPr>
        <w:rFonts w:hint="default"/>
      </w:rPr>
    </w:lvl>
    <w:lvl w:ilvl="7" w:tplc="98D48358">
      <w:numFmt w:val="bullet"/>
      <w:lvlText w:val="•"/>
      <w:lvlJc w:val="left"/>
      <w:pPr>
        <w:ind w:left="2024" w:hanging="105"/>
      </w:pPr>
      <w:rPr>
        <w:rFonts w:hint="default"/>
      </w:rPr>
    </w:lvl>
    <w:lvl w:ilvl="8" w:tplc="27147724">
      <w:numFmt w:val="bullet"/>
      <w:lvlText w:val="•"/>
      <w:lvlJc w:val="left"/>
      <w:pPr>
        <w:ind w:left="2291" w:hanging="105"/>
      </w:pPr>
      <w:rPr>
        <w:rFonts w:hint="default"/>
      </w:rPr>
    </w:lvl>
  </w:abstractNum>
  <w:abstractNum w:abstractNumId="1866" w15:restartNumberingAfterBreak="0">
    <w:nsid w:val="74D86277"/>
    <w:multiLevelType w:val="hybridMultilevel"/>
    <w:tmpl w:val="74E874F4"/>
    <w:lvl w:ilvl="0" w:tplc="1FC4EE9E">
      <w:numFmt w:val="bullet"/>
      <w:lvlText w:val=""/>
      <w:lvlJc w:val="left"/>
      <w:pPr>
        <w:ind w:left="156" w:hanging="100"/>
      </w:pPr>
      <w:rPr>
        <w:rFonts w:ascii="Symbol" w:eastAsia="Symbol" w:hAnsi="Symbol" w:cs="Symbol" w:hint="default"/>
        <w:color w:val="231F20"/>
        <w:w w:val="100"/>
        <w:sz w:val="14"/>
        <w:szCs w:val="14"/>
      </w:rPr>
    </w:lvl>
    <w:lvl w:ilvl="1" w:tplc="CEECAF2A">
      <w:numFmt w:val="bullet"/>
      <w:lvlText w:val="•"/>
      <w:lvlJc w:val="left"/>
      <w:pPr>
        <w:ind w:left="398" w:hanging="100"/>
      </w:pPr>
      <w:rPr>
        <w:rFonts w:hint="default"/>
      </w:rPr>
    </w:lvl>
    <w:lvl w:ilvl="2" w:tplc="551A3040">
      <w:numFmt w:val="bullet"/>
      <w:lvlText w:val="•"/>
      <w:lvlJc w:val="left"/>
      <w:pPr>
        <w:ind w:left="636" w:hanging="100"/>
      </w:pPr>
      <w:rPr>
        <w:rFonts w:hint="default"/>
      </w:rPr>
    </w:lvl>
    <w:lvl w:ilvl="3" w:tplc="7700DEB8">
      <w:numFmt w:val="bullet"/>
      <w:lvlText w:val="•"/>
      <w:lvlJc w:val="left"/>
      <w:pPr>
        <w:ind w:left="874" w:hanging="100"/>
      </w:pPr>
      <w:rPr>
        <w:rFonts w:hint="default"/>
      </w:rPr>
    </w:lvl>
    <w:lvl w:ilvl="4" w:tplc="DA882994">
      <w:numFmt w:val="bullet"/>
      <w:lvlText w:val="•"/>
      <w:lvlJc w:val="left"/>
      <w:pPr>
        <w:ind w:left="1112" w:hanging="100"/>
      </w:pPr>
      <w:rPr>
        <w:rFonts w:hint="default"/>
      </w:rPr>
    </w:lvl>
    <w:lvl w:ilvl="5" w:tplc="8D94102C">
      <w:numFmt w:val="bullet"/>
      <w:lvlText w:val="•"/>
      <w:lvlJc w:val="left"/>
      <w:pPr>
        <w:ind w:left="1350" w:hanging="100"/>
      </w:pPr>
      <w:rPr>
        <w:rFonts w:hint="default"/>
      </w:rPr>
    </w:lvl>
    <w:lvl w:ilvl="6" w:tplc="BC046FEA">
      <w:numFmt w:val="bullet"/>
      <w:lvlText w:val="•"/>
      <w:lvlJc w:val="left"/>
      <w:pPr>
        <w:ind w:left="1588" w:hanging="100"/>
      </w:pPr>
      <w:rPr>
        <w:rFonts w:hint="default"/>
      </w:rPr>
    </w:lvl>
    <w:lvl w:ilvl="7" w:tplc="CE0C26DE">
      <w:numFmt w:val="bullet"/>
      <w:lvlText w:val="•"/>
      <w:lvlJc w:val="left"/>
      <w:pPr>
        <w:ind w:left="1826" w:hanging="100"/>
      </w:pPr>
      <w:rPr>
        <w:rFonts w:hint="default"/>
      </w:rPr>
    </w:lvl>
    <w:lvl w:ilvl="8" w:tplc="69E63E4C">
      <w:numFmt w:val="bullet"/>
      <w:lvlText w:val="•"/>
      <w:lvlJc w:val="left"/>
      <w:pPr>
        <w:ind w:left="2064" w:hanging="100"/>
      </w:pPr>
      <w:rPr>
        <w:rFonts w:hint="default"/>
      </w:rPr>
    </w:lvl>
  </w:abstractNum>
  <w:abstractNum w:abstractNumId="1867" w15:restartNumberingAfterBreak="0">
    <w:nsid w:val="74F36A8F"/>
    <w:multiLevelType w:val="hybridMultilevel"/>
    <w:tmpl w:val="6AB06986"/>
    <w:lvl w:ilvl="0" w:tplc="CEF2AD4A">
      <w:numFmt w:val="bullet"/>
      <w:lvlText w:val=""/>
      <w:lvlJc w:val="left"/>
      <w:pPr>
        <w:ind w:left="156" w:hanging="100"/>
      </w:pPr>
      <w:rPr>
        <w:rFonts w:ascii="Symbol" w:eastAsia="Symbol" w:hAnsi="Symbol" w:cs="Symbol" w:hint="default"/>
        <w:color w:val="231F20"/>
        <w:w w:val="100"/>
        <w:sz w:val="14"/>
        <w:szCs w:val="14"/>
      </w:rPr>
    </w:lvl>
    <w:lvl w:ilvl="1" w:tplc="7F681A78">
      <w:numFmt w:val="bullet"/>
      <w:lvlText w:val="•"/>
      <w:lvlJc w:val="left"/>
      <w:pPr>
        <w:ind w:left="426" w:hanging="100"/>
      </w:pPr>
      <w:rPr>
        <w:rFonts w:hint="default"/>
      </w:rPr>
    </w:lvl>
    <w:lvl w:ilvl="2" w:tplc="D4C8AA1A">
      <w:numFmt w:val="bullet"/>
      <w:lvlText w:val="•"/>
      <w:lvlJc w:val="left"/>
      <w:pPr>
        <w:ind w:left="692" w:hanging="100"/>
      </w:pPr>
      <w:rPr>
        <w:rFonts w:hint="default"/>
      </w:rPr>
    </w:lvl>
    <w:lvl w:ilvl="3" w:tplc="2A3A5F84">
      <w:numFmt w:val="bullet"/>
      <w:lvlText w:val="•"/>
      <w:lvlJc w:val="left"/>
      <w:pPr>
        <w:ind w:left="959" w:hanging="100"/>
      </w:pPr>
      <w:rPr>
        <w:rFonts w:hint="default"/>
      </w:rPr>
    </w:lvl>
    <w:lvl w:ilvl="4" w:tplc="CD7A7D4E">
      <w:numFmt w:val="bullet"/>
      <w:lvlText w:val="•"/>
      <w:lvlJc w:val="left"/>
      <w:pPr>
        <w:ind w:left="1225" w:hanging="100"/>
      </w:pPr>
      <w:rPr>
        <w:rFonts w:hint="default"/>
      </w:rPr>
    </w:lvl>
    <w:lvl w:ilvl="5" w:tplc="959E667E">
      <w:numFmt w:val="bullet"/>
      <w:lvlText w:val="•"/>
      <w:lvlJc w:val="left"/>
      <w:pPr>
        <w:ind w:left="1492" w:hanging="100"/>
      </w:pPr>
      <w:rPr>
        <w:rFonts w:hint="default"/>
      </w:rPr>
    </w:lvl>
    <w:lvl w:ilvl="6" w:tplc="4F7E0F56">
      <w:numFmt w:val="bullet"/>
      <w:lvlText w:val="•"/>
      <w:lvlJc w:val="left"/>
      <w:pPr>
        <w:ind w:left="1758" w:hanging="100"/>
      </w:pPr>
      <w:rPr>
        <w:rFonts w:hint="default"/>
      </w:rPr>
    </w:lvl>
    <w:lvl w:ilvl="7" w:tplc="9B5A751E">
      <w:numFmt w:val="bullet"/>
      <w:lvlText w:val="•"/>
      <w:lvlJc w:val="left"/>
      <w:pPr>
        <w:ind w:left="2024" w:hanging="100"/>
      </w:pPr>
      <w:rPr>
        <w:rFonts w:hint="default"/>
      </w:rPr>
    </w:lvl>
    <w:lvl w:ilvl="8" w:tplc="6674F17E">
      <w:numFmt w:val="bullet"/>
      <w:lvlText w:val="•"/>
      <w:lvlJc w:val="left"/>
      <w:pPr>
        <w:ind w:left="2291" w:hanging="100"/>
      </w:pPr>
      <w:rPr>
        <w:rFonts w:hint="default"/>
      </w:rPr>
    </w:lvl>
  </w:abstractNum>
  <w:abstractNum w:abstractNumId="1868" w15:restartNumberingAfterBreak="0">
    <w:nsid w:val="75016FF9"/>
    <w:multiLevelType w:val="hybridMultilevel"/>
    <w:tmpl w:val="C24EB854"/>
    <w:lvl w:ilvl="0" w:tplc="0714094A">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D55E192A">
      <w:numFmt w:val="bullet"/>
      <w:lvlText w:val="•"/>
      <w:lvlJc w:val="left"/>
      <w:pPr>
        <w:ind w:left="426" w:hanging="105"/>
      </w:pPr>
      <w:rPr>
        <w:rFonts w:hint="default"/>
      </w:rPr>
    </w:lvl>
    <w:lvl w:ilvl="2" w:tplc="D79C22AC">
      <w:numFmt w:val="bullet"/>
      <w:lvlText w:val="•"/>
      <w:lvlJc w:val="left"/>
      <w:pPr>
        <w:ind w:left="692" w:hanging="105"/>
      </w:pPr>
      <w:rPr>
        <w:rFonts w:hint="default"/>
      </w:rPr>
    </w:lvl>
    <w:lvl w:ilvl="3" w:tplc="8B26CC58">
      <w:numFmt w:val="bullet"/>
      <w:lvlText w:val="•"/>
      <w:lvlJc w:val="left"/>
      <w:pPr>
        <w:ind w:left="959" w:hanging="105"/>
      </w:pPr>
      <w:rPr>
        <w:rFonts w:hint="default"/>
      </w:rPr>
    </w:lvl>
    <w:lvl w:ilvl="4" w:tplc="FB9C59E0">
      <w:numFmt w:val="bullet"/>
      <w:lvlText w:val="•"/>
      <w:lvlJc w:val="left"/>
      <w:pPr>
        <w:ind w:left="1225" w:hanging="105"/>
      </w:pPr>
      <w:rPr>
        <w:rFonts w:hint="default"/>
      </w:rPr>
    </w:lvl>
    <w:lvl w:ilvl="5" w:tplc="40B03472">
      <w:numFmt w:val="bullet"/>
      <w:lvlText w:val="•"/>
      <w:lvlJc w:val="left"/>
      <w:pPr>
        <w:ind w:left="1492" w:hanging="105"/>
      </w:pPr>
      <w:rPr>
        <w:rFonts w:hint="default"/>
      </w:rPr>
    </w:lvl>
    <w:lvl w:ilvl="6" w:tplc="55F03082">
      <w:numFmt w:val="bullet"/>
      <w:lvlText w:val="•"/>
      <w:lvlJc w:val="left"/>
      <w:pPr>
        <w:ind w:left="1758" w:hanging="105"/>
      </w:pPr>
      <w:rPr>
        <w:rFonts w:hint="default"/>
      </w:rPr>
    </w:lvl>
    <w:lvl w:ilvl="7" w:tplc="7966CC28">
      <w:numFmt w:val="bullet"/>
      <w:lvlText w:val="•"/>
      <w:lvlJc w:val="left"/>
      <w:pPr>
        <w:ind w:left="2024" w:hanging="105"/>
      </w:pPr>
      <w:rPr>
        <w:rFonts w:hint="default"/>
      </w:rPr>
    </w:lvl>
    <w:lvl w:ilvl="8" w:tplc="9C6C7E66">
      <w:numFmt w:val="bullet"/>
      <w:lvlText w:val="•"/>
      <w:lvlJc w:val="left"/>
      <w:pPr>
        <w:ind w:left="2291" w:hanging="105"/>
      </w:pPr>
      <w:rPr>
        <w:rFonts w:hint="default"/>
      </w:rPr>
    </w:lvl>
  </w:abstractNum>
  <w:abstractNum w:abstractNumId="1869" w15:restartNumberingAfterBreak="0">
    <w:nsid w:val="750C178D"/>
    <w:multiLevelType w:val="hybridMultilevel"/>
    <w:tmpl w:val="52B68868"/>
    <w:lvl w:ilvl="0" w:tplc="7FF207FE">
      <w:numFmt w:val="bullet"/>
      <w:lvlText w:val=""/>
      <w:lvlJc w:val="left"/>
      <w:pPr>
        <w:ind w:left="156" w:hanging="100"/>
      </w:pPr>
      <w:rPr>
        <w:rFonts w:ascii="Symbol" w:eastAsia="Symbol" w:hAnsi="Symbol" w:cs="Symbol" w:hint="default"/>
        <w:color w:val="231F20"/>
        <w:w w:val="100"/>
        <w:sz w:val="14"/>
        <w:szCs w:val="14"/>
      </w:rPr>
    </w:lvl>
    <w:lvl w:ilvl="1" w:tplc="DE1A1996">
      <w:numFmt w:val="bullet"/>
      <w:lvlText w:val="•"/>
      <w:lvlJc w:val="left"/>
      <w:pPr>
        <w:ind w:left="301" w:hanging="100"/>
      </w:pPr>
      <w:rPr>
        <w:rFonts w:hint="default"/>
      </w:rPr>
    </w:lvl>
    <w:lvl w:ilvl="2" w:tplc="113C7794">
      <w:numFmt w:val="bullet"/>
      <w:lvlText w:val="•"/>
      <w:lvlJc w:val="left"/>
      <w:pPr>
        <w:ind w:left="443" w:hanging="100"/>
      </w:pPr>
      <w:rPr>
        <w:rFonts w:hint="default"/>
      </w:rPr>
    </w:lvl>
    <w:lvl w:ilvl="3" w:tplc="C6729BF2">
      <w:numFmt w:val="bullet"/>
      <w:lvlText w:val="•"/>
      <w:lvlJc w:val="left"/>
      <w:pPr>
        <w:ind w:left="585" w:hanging="100"/>
      </w:pPr>
      <w:rPr>
        <w:rFonts w:hint="default"/>
      </w:rPr>
    </w:lvl>
    <w:lvl w:ilvl="4" w:tplc="030AE8EE">
      <w:numFmt w:val="bullet"/>
      <w:lvlText w:val="•"/>
      <w:lvlJc w:val="left"/>
      <w:pPr>
        <w:ind w:left="726" w:hanging="100"/>
      </w:pPr>
      <w:rPr>
        <w:rFonts w:hint="default"/>
      </w:rPr>
    </w:lvl>
    <w:lvl w:ilvl="5" w:tplc="7624E2B4">
      <w:numFmt w:val="bullet"/>
      <w:lvlText w:val="•"/>
      <w:lvlJc w:val="left"/>
      <w:pPr>
        <w:ind w:left="868" w:hanging="100"/>
      </w:pPr>
      <w:rPr>
        <w:rFonts w:hint="default"/>
      </w:rPr>
    </w:lvl>
    <w:lvl w:ilvl="6" w:tplc="8E9A2FCA">
      <w:numFmt w:val="bullet"/>
      <w:lvlText w:val="•"/>
      <w:lvlJc w:val="left"/>
      <w:pPr>
        <w:ind w:left="1010" w:hanging="100"/>
      </w:pPr>
      <w:rPr>
        <w:rFonts w:hint="default"/>
      </w:rPr>
    </w:lvl>
    <w:lvl w:ilvl="7" w:tplc="A4BA1368">
      <w:numFmt w:val="bullet"/>
      <w:lvlText w:val="•"/>
      <w:lvlJc w:val="left"/>
      <w:pPr>
        <w:ind w:left="1151" w:hanging="100"/>
      </w:pPr>
      <w:rPr>
        <w:rFonts w:hint="default"/>
      </w:rPr>
    </w:lvl>
    <w:lvl w:ilvl="8" w:tplc="D5721CE2">
      <w:numFmt w:val="bullet"/>
      <w:lvlText w:val="•"/>
      <w:lvlJc w:val="left"/>
      <w:pPr>
        <w:ind w:left="1293" w:hanging="100"/>
      </w:pPr>
      <w:rPr>
        <w:rFonts w:hint="default"/>
      </w:rPr>
    </w:lvl>
  </w:abstractNum>
  <w:abstractNum w:abstractNumId="1870" w15:restartNumberingAfterBreak="0">
    <w:nsid w:val="75115B12"/>
    <w:multiLevelType w:val="hybridMultilevel"/>
    <w:tmpl w:val="227C76C4"/>
    <w:lvl w:ilvl="0" w:tplc="A0404D86">
      <w:numFmt w:val="bullet"/>
      <w:lvlText w:val=""/>
      <w:lvlJc w:val="left"/>
      <w:pPr>
        <w:ind w:left="156" w:hanging="100"/>
      </w:pPr>
      <w:rPr>
        <w:rFonts w:ascii="Symbol" w:eastAsia="Symbol" w:hAnsi="Symbol" w:cs="Symbol" w:hint="default"/>
        <w:color w:val="231F20"/>
        <w:w w:val="100"/>
        <w:sz w:val="14"/>
        <w:szCs w:val="14"/>
      </w:rPr>
    </w:lvl>
    <w:lvl w:ilvl="1" w:tplc="9434F8E0">
      <w:numFmt w:val="bullet"/>
      <w:lvlText w:val="•"/>
      <w:lvlJc w:val="left"/>
      <w:pPr>
        <w:ind w:left="398" w:hanging="100"/>
      </w:pPr>
      <w:rPr>
        <w:rFonts w:hint="default"/>
      </w:rPr>
    </w:lvl>
    <w:lvl w:ilvl="2" w:tplc="30049342">
      <w:numFmt w:val="bullet"/>
      <w:lvlText w:val="•"/>
      <w:lvlJc w:val="left"/>
      <w:pPr>
        <w:ind w:left="636" w:hanging="100"/>
      </w:pPr>
      <w:rPr>
        <w:rFonts w:hint="default"/>
      </w:rPr>
    </w:lvl>
    <w:lvl w:ilvl="3" w:tplc="DCB48DA0">
      <w:numFmt w:val="bullet"/>
      <w:lvlText w:val="•"/>
      <w:lvlJc w:val="left"/>
      <w:pPr>
        <w:ind w:left="874" w:hanging="100"/>
      </w:pPr>
      <w:rPr>
        <w:rFonts w:hint="default"/>
      </w:rPr>
    </w:lvl>
    <w:lvl w:ilvl="4" w:tplc="D84095E6">
      <w:numFmt w:val="bullet"/>
      <w:lvlText w:val="•"/>
      <w:lvlJc w:val="left"/>
      <w:pPr>
        <w:ind w:left="1112" w:hanging="100"/>
      </w:pPr>
      <w:rPr>
        <w:rFonts w:hint="default"/>
      </w:rPr>
    </w:lvl>
    <w:lvl w:ilvl="5" w:tplc="294A66C0">
      <w:numFmt w:val="bullet"/>
      <w:lvlText w:val="•"/>
      <w:lvlJc w:val="left"/>
      <w:pPr>
        <w:ind w:left="1350" w:hanging="100"/>
      </w:pPr>
      <w:rPr>
        <w:rFonts w:hint="default"/>
      </w:rPr>
    </w:lvl>
    <w:lvl w:ilvl="6" w:tplc="62640F76">
      <w:numFmt w:val="bullet"/>
      <w:lvlText w:val="•"/>
      <w:lvlJc w:val="left"/>
      <w:pPr>
        <w:ind w:left="1588" w:hanging="100"/>
      </w:pPr>
      <w:rPr>
        <w:rFonts w:hint="default"/>
      </w:rPr>
    </w:lvl>
    <w:lvl w:ilvl="7" w:tplc="637AAA48">
      <w:numFmt w:val="bullet"/>
      <w:lvlText w:val="•"/>
      <w:lvlJc w:val="left"/>
      <w:pPr>
        <w:ind w:left="1826" w:hanging="100"/>
      </w:pPr>
      <w:rPr>
        <w:rFonts w:hint="default"/>
      </w:rPr>
    </w:lvl>
    <w:lvl w:ilvl="8" w:tplc="37D44380">
      <w:numFmt w:val="bullet"/>
      <w:lvlText w:val="•"/>
      <w:lvlJc w:val="left"/>
      <w:pPr>
        <w:ind w:left="2064" w:hanging="100"/>
      </w:pPr>
      <w:rPr>
        <w:rFonts w:hint="default"/>
      </w:rPr>
    </w:lvl>
  </w:abstractNum>
  <w:abstractNum w:abstractNumId="1871" w15:restartNumberingAfterBreak="0">
    <w:nsid w:val="75237E40"/>
    <w:multiLevelType w:val="hybridMultilevel"/>
    <w:tmpl w:val="475AA1DC"/>
    <w:lvl w:ilvl="0" w:tplc="25C2D8D6">
      <w:numFmt w:val="bullet"/>
      <w:lvlText w:val=""/>
      <w:lvlJc w:val="left"/>
      <w:pPr>
        <w:ind w:left="156" w:hanging="100"/>
      </w:pPr>
      <w:rPr>
        <w:rFonts w:ascii="Symbol" w:eastAsia="Symbol" w:hAnsi="Symbol" w:cs="Symbol" w:hint="default"/>
        <w:color w:val="231F20"/>
        <w:w w:val="100"/>
        <w:sz w:val="14"/>
        <w:szCs w:val="14"/>
      </w:rPr>
    </w:lvl>
    <w:lvl w:ilvl="1" w:tplc="04C0B17A">
      <w:numFmt w:val="bullet"/>
      <w:lvlText w:val="•"/>
      <w:lvlJc w:val="left"/>
      <w:pPr>
        <w:ind w:left="301" w:hanging="100"/>
      </w:pPr>
      <w:rPr>
        <w:rFonts w:hint="default"/>
      </w:rPr>
    </w:lvl>
    <w:lvl w:ilvl="2" w:tplc="16DEA352">
      <w:numFmt w:val="bullet"/>
      <w:lvlText w:val="•"/>
      <w:lvlJc w:val="left"/>
      <w:pPr>
        <w:ind w:left="443" w:hanging="100"/>
      </w:pPr>
      <w:rPr>
        <w:rFonts w:hint="default"/>
      </w:rPr>
    </w:lvl>
    <w:lvl w:ilvl="3" w:tplc="24D8D3FA">
      <w:numFmt w:val="bullet"/>
      <w:lvlText w:val="•"/>
      <w:lvlJc w:val="left"/>
      <w:pPr>
        <w:ind w:left="585" w:hanging="100"/>
      </w:pPr>
      <w:rPr>
        <w:rFonts w:hint="default"/>
      </w:rPr>
    </w:lvl>
    <w:lvl w:ilvl="4" w:tplc="C5528852">
      <w:numFmt w:val="bullet"/>
      <w:lvlText w:val="•"/>
      <w:lvlJc w:val="left"/>
      <w:pPr>
        <w:ind w:left="726" w:hanging="100"/>
      </w:pPr>
      <w:rPr>
        <w:rFonts w:hint="default"/>
      </w:rPr>
    </w:lvl>
    <w:lvl w:ilvl="5" w:tplc="4FC6D70A">
      <w:numFmt w:val="bullet"/>
      <w:lvlText w:val="•"/>
      <w:lvlJc w:val="left"/>
      <w:pPr>
        <w:ind w:left="868" w:hanging="100"/>
      </w:pPr>
      <w:rPr>
        <w:rFonts w:hint="default"/>
      </w:rPr>
    </w:lvl>
    <w:lvl w:ilvl="6" w:tplc="490A688A">
      <w:numFmt w:val="bullet"/>
      <w:lvlText w:val="•"/>
      <w:lvlJc w:val="left"/>
      <w:pPr>
        <w:ind w:left="1010" w:hanging="100"/>
      </w:pPr>
      <w:rPr>
        <w:rFonts w:hint="default"/>
      </w:rPr>
    </w:lvl>
    <w:lvl w:ilvl="7" w:tplc="E44CC16A">
      <w:numFmt w:val="bullet"/>
      <w:lvlText w:val="•"/>
      <w:lvlJc w:val="left"/>
      <w:pPr>
        <w:ind w:left="1151" w:hanging="100"/>
      </w:pPr>
      <w:rPr>
        <w:rFonts w:hint="default"/>
      </w:rPr>
    </w:lvl>
    <w:lvl w:ilvl="8" w:tplc="77C65B3C">
      <w:numFmt w:val="bullet"/>
      <w:lvlText w:val="•"/>
      <w:lvlJc w:val="left"/>
      <w:pPr>
        <w:ind w:left="1293" w:hanging="100"/>
      </w:pPr>
      <w:rPr>
        <w:rFonts w:hint="default"/>
      </w:rPr>
    </w:lvl>
  </w:abstractNum>
  <w:abstractNum w:abstractNumId="1872" w15:restartNumberingAfterBreak="0">
    <w:nsid w:val="752F6CE7"/>
    <w:multiLevelType w:val="hybridMultilevel"/>
    <w:tmpl w:val="42BEDBD6"/>
    <w:lvl w:ilvl="0" w:tplc="29F88320">
      <w:numFmt w:val="bullet"/>
      <w:lvlText w:val=""/>
      <w:lvlJc w:val="left"/>
      <w:pPr>
        <w:ind w:left="156" w:hanging="100"/>
      </w:pPr>
      <w:rPr>
        <w:rFonts w:ascii="Symbol" w:eastAsia="Symbol" w:hAnsi="Symbol" w:cs="Symbol" w:hint="default"/>
        <w:color w:val="231F20"/>
        <w:w w:val="100"/>
        <w:sz w:val="14"/>
        <w:szCs w:val="14"/>
      </w:rPr>
    </w:lvl>
    <w:lvl w:ilvl="1" w:tplc="D2A6C794">
      <w:numFmt w:val="bullet"/>
      <w:lvlText w:val="•"/>
      <w:lvlJc w:val="left"/>
      <w:pPr>
        <w:ind w:left="301" w:hanging="100"/>
      </w:pPr>
      <w:rPr>
        <w:rFonts w:hint="default"/>
      </w:rPr>
    </w:lvl>
    <w:lvl w:ilvl="2" w:tplc="1952B940">
      <w:numFmt w:val="bullet"/>
      <w:lvlText w:val="•"/>
      <w:lvlJc w:val="left"/>
      <w:pPr>
        <w:ind w:left="443" w:hanging="100"/>
      </w:pPr>
      <w:rPr>
        <w:rFonts w:hint="default"/>
      </w:rPr>
    </w:lvl>
    <w:lvl w:ilvl="3" w:tplc="3C7A98E6">
      <w:numFmt w:val="bullet"/>
      <w:lvlText w:val="•"/>
      <w:lvlJc w:val="left"/>
      <w:pPr>
        <w:ind w:left="585" w:hanging="100"/>
      </w:pPr>
      <w:rPr>
        <w:rFonts w:hint="default"/>
      </w:rPr>
    </w:lvl>
    <w:lvl w:ilvl="4" w:tplc="5DE452FC">
      <w:numFmt w:val="bullet"/>
      <w:lvlText w:val="•"/>
      <w:lvlJc w:val="left"/>
      <w:pPr>
        <w:ind w:left="726" w:hanging="100"/>
      </w:pPr>
      <w:rPr>
        <w:rFonts w:hint="default"/>
      </w:rPr>
    </w:lvl>
    <w:lvl w:ilvl="5" w:tplc="E9B8EC98">
      <w:numFmt w:val="bullet"/>
      <w:lvlText w:val="•"/>
      <w:lvlJc w:val="left"/>
      <w:pPr>
        <w:ind w:left="868" w:hanging="100"/>
      </w:pPr>
      <w:rPr>
        <w:rFonts w:hint="default"/>
      </w:rPr>
    </w:lvl>
    <w:lvl w:ilvl="6" w:tplc="351CCD32">
      <w:numFmt w:val="bullet"/>
      <w:lvlText w:val="•"/>
      <w:lvlJc w:val="left"/>
      <w:pPr>
        <w:ind w:left="1010" w:hanging="100"/>
      </w:pPr>
      <w:rPr>
        <w:rFonts w:hint="default"/>
      </w:rPr>
    </w:lvl>
    <w:lvl w:ilvl="7" w:tplc="AC8C164C">
      <w:numFmt w:val="bullet"/>
      <w:lvlText w:val="•"/>
      <w:lvlJc w:val="left"/>
      <w:pPr>
        <w:ind w:left="1151" w:hanging="100"/>
      </w:pPr>
      <w:rPr>
        <w:rFonts w:hint="default"/>
      </w:rPr>
    </w:lvl>
    <w:lvl w:ilvl="8" w:tplc="CD9A2736">
      <w:numFmt w:val="bullet"/>
      <w:lvlText w:val="•"/>
      <w:lvlJc w:val="left"/>
      <w:pPr>
        <w:ind w:left="1293" w:hanging="100"/>
      </w:pPr>
      <w:rPr>
        <w:rFonts w:hint="default"/>
      </w:rPr>
    </w:lvl>
  </w:abstractNum>
  <w:abstractNum w:abstractNumId="1873" w15:restartNumberingAfterBreak="0">
    <w:nsid w:val="7542357C"/>
    <w:multiLevelType w:val="hybridMultilevel"/>
    <w:tmpl w:val="23D4F672"/>
    <w:lvl w:ilvl="0" w:tplc="1BC0F9E0">
      <w:numFmt w:val="bullet"/>
      <w:lvlText w:val=""/>
      <w:lvlJc w:val="left"/>
      <w:pPr>
        <w:ind w:left="156" w:hanging="100"/>
      </w:pPr>
      <w:rPr>
        <w:rFonts w:ascii="Symbol" w:eastAsia="Symbol" w:hAnsi="Symbol" w:cs="Symbol" w:hint="default"/>
        <w:color w:val="231F20"/>
        <w:w w:val="100"/>
        <w:sz w:val="14"/>
        <w:szCs w:val="14"/>
      </w:rPr>
    </w:lvl>
    <w:lvl w:ilvl="1" w:tplc="A056A0F4">
      <w:numFmt w:val="bullet"/>
      <w:lvlText w:val="•"/>
      <w:lvlJc w:val="left"/>
      <w:pPr>
        <w:ind w:left="398" w:hanging="100"/>
      </w:pPr>
      <w:rPr>
        <w:rFonts w:hint="default"/>
      </w:rPr>
    </w:lvl>
    <w:lvl w:ilvl="2" w:tplc="324E24A0">
      <w:numFmt w:val="bullet"/>
      <w:lvlText w:val="•"/>
      <w:lvlJc w:val="left"/>
      <w:pPr>
        <w:ind w:left="636" w:hanging="100"/>
      </w:pPr>
      <w:rPr>
        <w:rFonts w:hint="default"/>
      </w:rPr>
    </w:lvl>
    <w:lvl w:ilvl="3" w:tplc="6748BFD2">
      <w:numFmt w:val="bullet"/>
      <w:lvlText w:val="•"/>
      <w:lvlJc w:val="left"/>
      <w:pPr>
        <w:ind w:left="874" w:hanging="100"/>
      </w:pPr>
      <w:rPr>
        <w:rFonts w:hint="default"/>
      </w:rPr>
    </w:lvl>
    <w:lvl w:ilvl="4" w:tplc="6186B8A2">
      <w:numFmt w:val="bullet"/>
      <w:lvlText w:val="•"/>
      <w:lvlJc w:val="left"/>
      <w:pPr>
        <w:ind w:left="1112" w:hanging="100"/>
      </w:pPr>
      <w:rPr>
        <w:rFonts w:hint="default"/>
      </w:rPr>
    </w:lvl>
    <w:lvl w:ilvl="5" w:tplc="D012C118">
      <w:numFmt w:val="bullet"/>
      <w:lvlText w:val="•"/>
      <w:lvlJc w:val="left"/>
      <w:pPr>
        <w:ind w:left="1350" w:hanging="100"/>
      </w:pPr>
      <w:rPr>
        <w:rFonts w:hint="default"/>
      </w:rPr>
    </w:lvl>
    <w:lvl w:ilvl="6" w:tplc="570CDC60">
      <w:numFmt w:val="bullet"/>
      <w:lvlText w:val="•"/>
      <w:lvlJc w:val="left"/>
      <w:pPr>
        <w:ind w:left="1588" w:hanging="100"/>
      </w:pPr>
      <w:rPr>
        <w:rFonts w:hint="default"/>
      </w:rPr>
    </w:lvl>
    <w:lvl w:ilvl="7" w:tplc="D48232A2">
      <w:numFmt w:val="bullet"/>
      <w:lvlText w:val="•"/>
      <w:lvlJc w:val="left"/>
      <w:pPr>
        <w:ind w:left="1826" w:hanging="100"/>
      </w:pPr>
      <w:rPr>
        <w:rFonts w:hint="default"/>
      </w:rPr>
    </w:lvl>
    <w:lvl w:ilvl="8" w:tplc="F67A5604">
      <w:numFmt w:val="bullet"/>
      <w:lvlText w:val="•"/>
      <w:lvlJc w:val="left"/>
      <w:pPr>
        <w:ind w:left="2064" w:hanging="100"/>
      </w:pPr>
      <w:rPr>
        <w:rFonts w:hint="default"/>
      </w:rPr>
    </w:lvl>
  </w:abstractNum>
  <w:abstractNum w:abstractNumId="1874" w15:restartNumberingAfterBreak="0">
    <w:nsid w:val="754B7C9E"/>
    <w:multiLevelType w:val="hybridMultilevel"/>
    <w:tmpl w:val="283019BC"/>
    <w:lvl w:ilvl="0" w:tplc="B2A2949E">
      <w:numFmt w:val="bullet"/>
      <w:lvlText w:val=""/>
      <w:lvlJc w:val="left"/>
      <w:pPr>
        <w:ind w:left="156" w:hanging="100"/>
      </w:pPr>
      <w:rPr>
        <w:rFonts w:ascii="Symbol" w:eastAsia="Symbol" w:hAnsi="Symbol" w:cs="Symbol" w:hint="default"/>
        <w:color w:val="231F20"/>
        <w:w w:val="100"/>
        <w:sz w:val="14"/>
        <w:szCs w:val="14"/>
      </w:rPr>
    </w:lvl>
    <w:lvl w:ilvl="1" w:tplc="1C7285C4">
      <w:numFmt w:val="bullet"/>
      <w:lvlText w:val="•"/>
      <w:lvlJc w:val="left"/>
      <w:pPr>
        <w:ind w:left="301" w:hanging="100"/>
      </w:pPr>
      <w:rPr>
        <w:rFonts w:hint="default"/>
      </w:rPr>
    </w:lvl>
    <w:lvl w:ilvl="2" w:tplc="58DE9E7E">
      <w:numFmt w:val="bullet"/>
      <w:lvlText w:val="•"/>
      <w:lvlJc w:val="left"/>
      <w:pPr>
        <w:ind w:left="443" w:hanging="100"/>
      </w:pPr>
      <w:rPr>
        <w:rFonts w:hint="default"/>
      </w:rPr>
    </w:lvl>
    <w:lvl w:ilvl="3" w:tplc="CB3C67DE">
      <w:numFmt w:val="bullet"/>
      <w:lvlText w:val="•"/>
      <w:lvlJc w:val="left"/>
      <w:pPr>
        <w:ind w:left="585" w:hanging="100"/>
      </w:pPr>
      <w:rPr>
        <w:rFonts w:hint="default"/>
      </w:rPr>
    </w:lvl>
    <w:lvl w:ilvl="4" w:tplc="498C03E6">
      <w:numFmt w:val="bullet"/>
      <w:lvlText w:val="•"/>
      <w:lvlJc w:val="left"/>
      <w:pPr>
        <w:ind w:left="726" w:hanging="100"/>
      </w:pPr>
      <w:rPr>
        <w:rFonts w:hint="default"/>
      </w:rPr>
    </w:lvl>
    <w:lvl w:ilvl="5" w:tplc="076E69AA">
      <w:numFmt w:val="bullet"/>
      <w:lvlText w:val="•"/>
      <w:lvlJc w:val="left"/>
      <w:pPr>
        <w:ind w:left="868" w:hanging="100"/>
      </w:pPr>
      <w:rPr>
        <w:rFonts w:hint="default"/>
      </w:rPr>
    </w:lvl>
    <w:lvl w:ilvl="6" w:tplc="2D464690">
      <w:numFmt w:val="bullet"/>
      <w:lvlText w:val="•"/>
      <w:lvlJc w:val="left"/>
      <w:pPr>
        <w:ind w:left="1010" w:hanging="100"/>
      </w:pPr>
      <w:rPr>
        <w:rFonts w:hint="default"/>
      </w:rPr>
    </w:lvl>
    <w:lvl w:ilvl="7" w:tplc="7A50D1DA">
      <w:numFmt w:val="bullet"/>
      <w:lvlText w:val="•"/>
      <w:lvlJc w:val="left"/>
      <w:pPr>
        <w:ind w:left="1151" w:hanging="100"/>
      </w:pPr>
      <w:rPr>
        <w:rFonts w:hint="default"/>
      </w:rPr>
    </w:lvl>
    <w:lvl w:ilvl="8" w:tplc="1F36A2C4">
      <w:numFmt w:val="bullet"/>
      <w:lvlText w:val="•"/>
      <w:lvlJc w:val="left"/>
      <w:pPr>
        <w:ind w:left="1293" w:hanging="100"/>
      </w:pPr>
      <w:rPr>
        <w:rFonts w:hint="default"/>
      </w:rPr>
    </w:lvl>
  </w:abstractNum>
  <w:abstractNum w:abstractNumId="1875" w15:restartNumberingAfterBreak="0">
    <w:nsid w:val="756A289A"/>
    <w:multiLevelType w:val="hybridMultilevel"/>
    <w:tmpl w:val="C2C23AEA"/>
    <w:lvl w:ilvl="0" w:tplc="AE00BE5C">
      <w:numFmt w:val="bullet"/>
      <w:lvlText w:val=""/>
      <w:lvlJc w:val="left"/>
      <w:pPr>
        <w:ind w:left="156" w:hanging="100"/>
      </w:pPr>
      <w:rPr>
        <w:rFonts w:ascii="Symbol" w:eastAsia="Symbol" w:hAnsi="Symbol" w:cs="Symbol" w:hint="default"/>
        <w:color w:val="231F20"/>
        <w:w w:val="100"/>
        <w:sz w:val="14"/>
        <w:szCs w:val="14"/>
      </w:rPr>
    </w:lvl>
    <w:lvl w:ilvl="1" w:tplc="59B29E88">
      <w:numFmt w:val="bullet"/>
      <w:lvlText w:val="•"/>
      <w:lvlJc w:val="left"/>
      <w:pPr>
        <w:ind w:left="398" w:hanging="100"/>
      </w:pPr>
      <w:rPr>
        <w:rFonts w:hint="default"/>
      </w:rPr>
    </w:lvl>
    <w:lvl w:ilvl="2" w:tplc="57D63FEE">
      <w:numFmt w:val="bullet"/>
      <w:lvlText w:val="•"/>
      <w:lvlJc w:val="left"/>
      <w:pPr>
        <w:ind w:left="636" w:hanging="100"/>
      </w:pPr>
      <w:rPr>
        <w:rFonts w:hint="default"/>
      </w:rPr>
    </w:lvl>
    <w:lvl w:ilvl="3" w:tplc="14F43E5A">
      <w:numFmt w:val="bullet"/>
      <w:lvlText w:val="•"/>
      <w:lvlJc w:val="left"/>
      <w:pPr>
        <w:ind w:left="874" w:hanging="100"/>
      </w:pPr>
      <w:rPr>
        <w:rFonts w:hint="default"/>
      </w:rPr>
    </w:lvl>
    <w:lvl w:ilvl="4" w:tplc="4E7A26E4">
      <w:numFmt w:val="bullet"/>
      <w:lvlText w:val="•"/>
      <w:lvlJc w:val="left"/>
      <w:pPr>
        <w:ind w:left="1112" w:hanging="100"/>
      </w:pPr>
      <w:rPr>
        <w:rFonts w:hint="default"/>
      </w:rPr>
    </w:lvl>
    <w:lvl w:ilvl="5" w:tplc="84E6D726">
      <w:numFmt w:val="bullet"/>
      <w:lvlText w:val="•"/>
      <w:lvlJc w:val="left"/>
      <w:pPr>
        <w:ind w:left="1350" w:hanging="100"/>
      </w:pPr>
      <w:rPr>
        <w:rFonts w:hint="default"/>
      </w:rPr>
    </w:lvl>
    <w:lvl w:ilvl="6" w:tplc="672C79B4">
      <w:numFmt w:val="bullet"/>
      <w:lvlText w:val="•"/>
      <w:lvlJc w:val="left"/>
      <w:pPr>
        <w:ind w:left="1588" w:hanging="100"/>
      </w:pPr>
      <w:rPr>
        <w:rFonts w:hint="default"/>
      </w:rPr>
    </w:lvl>
    <w:lvl w:ilvl="7" w:tplc="8348D292">
      <w:numFmt w:val="bullet"/>
      <w:lvlText w:val="•"/>
      <w:lvlJc w:val="left"/>
      <w:pPr>
        <w:ind w:left="1826" w:hanging="100"/>
      </w:pPr>
      <w:rPr>
        <w:rFonts w:hint="default"/>
      </w:rPr>
    </w:lvl>
    <w:lvl w:ilvl="8" w:tplc="CCB83FF4">
      <w:numFmt w:val="bullet"/>
      <w:lvlText w:val="•"/>
      <w:lvlJc w:val="left"/>
      <w:pPr>
        <w:ind w:left="2064" w:hanging="100"/>
      </w:pPr>
      <w:rPr>
        <w:rFonts w:hint="default"/>
      </w:rPr>
    </w:lvl>
  </w:abstractNum>
  <w:abstractNum w:abstractNumId="1876" w15:restartNumberingAfterBreak="0">
    <w:nsid w:val="756E5316"/>
    <w:multiLevelType w:val="hybridMultilevel"/>
    <w:tmpl w:val="99E09A54"/>
    <w:lvl w:ilvl="0" w:tplc="F5EA97D0">
      <w:numFmt w:val="bullet"/>
      <w:lvlText w:val=""/>
      <w:lvlJc w:val="left"/>
      <w:pPr>
        <w:ind w:left="156" w:hanging="100"/>
      </w:pPr>
      <w:rPr>
        <w:rFonts w:ascii="Symbol" w:eastAsia="Symbol" w:hAnsi="Symbol" w:cs="Symbol" w:hint="default"/>
        <w:color w:val="231F20"/>
        <w:w w:val="100"/>
        <w:sz w:val="14"/>
        <w:szCs w:val="14"/>
      </w:rPr>
    </w:lvl>
    <w:lvl w:ilvl="1" w:tplc="74486800">
      <w:numFmt w:val="bullet"/>
      <w:lvlText w:val="•"/>
      <w:lvlJc w:val="left"/>
      <w:pPr>
        <w:ind w:left="426" w:hanging="100"/>
      </w:pPr>
      <w:rPr>
        <w:rFonts w:hint="default"/>
      </w:rPr>
    </w:lvl>
    <w:lvl w:ilvl="2" w:tplc="35F8E45E">
      <w:numFmt w:val="bullet"/>
      <w:lvlText w:val="•"/>
      <w:lvlJc w:val="left"/>
      <w:pPr>
        <w:ind w:left="692" w:hanging="100"/>
      </w:pPr>
      <w:rPr>
        <w:rFonts w:hint="default"/>
      </w:rPr>
    </w:lvl>
    <w:lvl w:ilvl="3" w:tplc="80DA9788">
      <w:numFmt w:val="bullet"/>
      <w:lvlText w:val="•"/>
      <w:lvlJc w:val="left"/>
      <w:pPr>
        <w:ind w:left="959" w:hanging="100"/>
      </w:pPr>
      <w:rPr>
        <w:rFonts w:hint="default"/>
      </w:rPr>
    </w:lvl>
    <w:lvl w:ilvl="4" w:tplc="BC3A872C">
      <w:numFmt w:val="bullet"/>
      <w:lvlText w:val="•"/>
      <w:lvlJc w:val="left"/>
      <w:pPr>
        <w:ind w:left="1225" w:hanging="100"/>
      </w:pPr>
      <w:rPr>
        <w:rFonts w:hint="default"/>
      </w:rPr>
    </w:lvl>
    <w:lvl w:ilvl="5" w:tplc="1AC8EC30">
      <w:numFmt w:val="bullet"/>
      <w:lvlText w:val="•"/>
      <w:lvlJc w:val="left"/>
      <w:pPr>
        <w:ind w:left="1492" w:hanging="100"/>
      </w:pPr>
      <w:rPr>
        <w:rFonts w:hint="default"/>
      </w:rPr>
    </w:lvl>
    <w:lvl w:ilvl="6" w:tplc="8EA8569A">
      <w:numFmt w:val="bullet"/>
      <w:lvlText w:val="•"/>
      <w:lvlJc w:val="left"/>
      <w:pPr>
        <w:ind w:left="1758" w:hanging="100"/>
      </w:pPr>
      <w:rPr>
        <w:rFonts w:hint="default"/>
      </w:rPr>
    </w:lvl>
    <w:lvl w:ilvl="7" w:tplc="AF7A57D6">
      <w:numFmt w:val="bullet"/>
      <w:lvlText w:val="•"/>
      <w:lvlJc w:val="left"/>
      <w:pPr>
        <w:ind w:left="2024" w:hanging="100"/>
      </w:pPr>
      <w:rPr>
        <w:rFonts w:hint="default"/>
      </w:rPr>
    </w:lvl>
    <w:lvl w:ilvl="8" w:tplc="0D749E9C">
      <w:numFmt w:val="bullet"/>
      <w:lvlText w:val="•"/>
      <w:lvlJc w:val="left"/>
      <w:pPr>
        <w:ind w:left="2291" w:hanging="100"/>
      </w:pPr>
      <w:rPr>
        <w:rFonts w:hint="default"/>
      </w:rPr>
    </w:lvl>
  </w:abstractNum>
  <w:abstractNum w:abstractNumId="1877" w15:restartNumberingAfterBreak="0">
    <w:nsid w:val="757276EC"/>
    <w:multiLevelType w:val="hybridMultilevel"/>
    <w:tmpl w:val="16FAD696"/>
    <w:lvl w:ilvl="0" w:tplc="CEA4F52A">
      <w:numFmt w:val="bullet"/>
      <w:lvlText w:val=""/>
      <w:lvlJc w:val="left"/>
      <w:pPr>
        <w:ind w:left="156" w:hanging="100"/>
      </w:pPr>
      <w:rPr>
        <w:rFonts w:ascii="Symbol" w:eastAsia="Symbol" w:hAnsi="Symbol" w:cs="Symbol" w:hint="default"/>
        <w:color w:val="231F20"/>
        <w:w w:val="100"/>
        <w:sz w:val="14"/>
        <w:szCs w:val="14"/>
      </w:rPr>
    </w:lvl>
    <w:lvl w:ilvl="1" w:tplc="DCC06D3C">
      <w:numFmt w:val="bullet"/>
      <w:lvlText w:val="•"/>
      <w:lvlJc w:val="left"/>
      <w:pPr>
        <w:ind w:left="398" w:hanging="100"/>
      </w:pPr>
      <w:rPr>
        <w:rFonts w:hint="default"/>
      </w:rPr>
    </w:lvl>
    <w:lvl w:ilvl="2" w:tplc="F11C5F2C">
      <w:numFmt w:val="bullet"/>
      <w:lvlText w:val="•"/>
      <w:lvlJc w:val="left"/>
      <w:pPr>
        <w:ind w:left="636" w:hanging="100"/>
      </w:pPr>
      <w:rPr>
        <w:rFonts w:hint="default"/>
      </w:rPr>
    </w:lvl>
    <w:lvl w:ilvl="3" w:tplc="B06233EC">
      <w:numFmt w:val="bullet"/>
      <w:lvlText w:val="•"/>
      <w:lvlJc w:val="left"/>
      <w:pPr>
        <w:ind w:left="874" w:hanging="100"/>
      </w:pPr>
      <w:rPr>
        <w:rFonts w:hint="default"/>
      </w:rPr>
    </w:lvl>
    <w:lvl w:ilvl="4" w:tplc="320A1662">
      <w:numFmt w:val="bullet"/>
      <w:lvlText w:val="•"/>
      <w:lvlJc w:val="left"/>
      <w:pPr>
        <w:ind w:left="1112" w:hanging="100"/>
      </w:pPr>
      <w:rPr>
        <w:rFonts w:hint="default"/>
      </w:rPr>
    </w:lvl>
    <w:lvl w:ilvl="5" w:tplc="047EAB8E">
      <w:numFmt w:val="bullet"/>
      <w:lvlText w:val="•"/>
      <w:lvlJc w:val="left"/>
      <w:pPr>
        <w:ind w:left="1350" w:hanging="100"/>
      </w:pPr>
      <w:rPr>
        <w:rFonts w:hint="default"/>
      </w:rPr>
    </w:lvl>
    <w:lvl w:ilvl="6" w:tplc="E18EC30C">
      <w:numFmt w:val="bullet"/>
      <w:lvlText w:val="•"/>
      <w:lvlJc w:val="left"/>
      <w:pPr>
        <w:ind w:left="1588" w:hanging="100"/>
      </w:pPr>
      <w:rPr>
        <w:rFonts w:hint="default"/>
      </w:rPr>
    </w:lvl>
    <w:lvl w:ilvl="7" w:tplc="5EAC7686">
      <w:numFmt w:val="bullet"/>
      <w:lvlText w:val="•"/>
      <w:lvlJc w:val="left"/>
      <w:pPr>
        <w:ind w:left="1826" w:hanging="100"/>
      </w:pPr>
      <w:rPr>
        <w:rFonts w:hint="default"/>
      </w:rPr>
    </w:lvl>
    <w:lvl w:ilvl="8" w:tplc="8ADA719C">
      <w:numFmt w:val="bullet"/>
      <w:lvlText w:val="•"/>
      <w:lvlJc w:val="left"/>
      <w:pPr>
        <w:ind w:left="2064" w:hanging="100"/>
      </w:pPr>
      <w:rPr>
        <w:rFonts w:hint="default"/>
      </w:rPr>
    </w:lvl>
  </w:abstractNum>
  <w:abstractNum w:abstractNumId="1878" w15:restartNumberingAfterBreak="0">
    <w:nsid w:val="75853652"/>
    <w:multiLevelType w:val="hybridMultilevel"/>
    <w:tmpl w:val="30E04A0C"/>
    <w:lvl w:ilvl="0" w:tplc="3DFC4B8A">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84180BA8">
      <w:numFmt w:val="bullet"/>
      <w:lvlText w:val="•"/>
      <w:lvlJc w:val="left"/>
      <w:pPr>
        <w:ind w:left="408" w:hanging="84"/>
      </w:pPr>
      <w:rPr>
        <w:rFonts w:hint="default"/>
      </w:rPr>
    </w:lvl>
    <w:lvl w:ilvl="2" w:tplc="8EF60B48">
      <w:numFmt w:val="bullet"/>
      <w:lvlText w:val="•"/>
      <w:lvlJc w:val="left"/>
      <w:pPr>
        <w:ind w:left="676" w:hanging="84"/>
      </w:pPr>
      <w:rPr>
        <w:rFonts w:hint="default"/>
      </w:rPr>
    </w:lvl>
    <w:lvl w:ilvl="3" w:tplc="4468A402">
      <w:numFmt w:val="bullet"/>
      <w:lvlText w:val="•"/>
      <w:lvlJc w:val="left"/>
      <w:pPr>
        <w:ind w:left="945" w:hanging="84"/>
      </w:pPr>
      <w:rPr>
        <w:rFonts w:hint="default"/>
      </w:rPr>
    </w:lvl>
    <w:lvl w:ilvl="4" w:tplc="64BE282A">
      <w:numFmt w:val="bullet"/>
      <w:lvlText w:val="•"/>
      <w:lvlJc w:val="left"/>
      <w:pPr>
        <w:ind w:left="1213" w:hanging="84"/>
      </w:pPr>
      <w:rPr>
        <w:rFonts w:hint="default"/>
      </w:rPr>
    </w:lvl>
    <w:lvl w:ilvl="5" w:tplc="170A4938">
      <w:numFmt w:val="bullet"/>
      <w:lvlText w:val="•"/>
      <w:lvlJc w:val="left"/>
      <w:pPr>
        <w:ind w:left="1482" w:hanging="84"/>
      </w:pPr>
      <w:rPr>
        <w:rFonts w:hint="default"/>
      </w:rPr>
    </w:lvl>
    <w:lvl w:ilvl="6" w:tplc="4F584FDC">
      <w:numFmt w:val="bullet"/>
      <w:lvlText w:val="•"/>
      <w:lvlJc w:val="left"/>
      <w:pPr>
        <w:ind w:left="1750" w:hanging="84"/>
      </w:pPr>
      <w:rPr>
        <w:rFonts w:hint="default"/>
      </w:rPr>
    </w:lvl>
    <w:lvl w:ilvl="7" w:tplc="0B74A112">
      <w:numFmt w:val="bullet"/>
      <w:lvlText w:val="•"/>
      <w:lvlJc w:val="left"/>
      <w:pPr>
        <w:ind w:left="2018" w:hanging="84"/>
      </w:pPr>
      <w:rPr>
        <w:rFonts w:hint="default"/>
      </w:rPr>
    </w:lvl>
    <w:lvl w:ilvl="8" w:tplc="D990054A">
      <w:numFmt w:val="bullet"/>
      <w:lvlText w:val="•"/>
      <w:lvlJc w:val="left"/>
      <w:pPr>
        <w:ind w:left="2287" w:hanging="84"/>
      </w:pPr>
      <w:rPr>
        <w:rFonts w:hint="default"/>
      </w:rPr>
    </w:lvl>
  </w:abstractNum>
  <w:abstractNum w:abstractNumId="1879" w15:restartNumberingAfterBreak="0">
    <w:nsid w:val="758667D8"/>
    <w:multiLevelType w:val="hybridMultilevel"/>
    <w:tmpl w:val="2250999C"/>
    <w:lvl w:ilvl="0" w:tplc="6F9E6C48">
      <w:numFmt w:val="bullet"/>
      <w:lvlText w:val=""/>
      <w:lvlJc w:val="left"/>
      <w:pPr>
        <w:ind w:left="156" w:hanging="100"/>
      </w:pPr>
      <w:rPr>
        <w:rFonts w:ascii="Symbol" w:eastAsia="Symbol" w:hAnsi="Symbol" w:cs="Symbol" w:hint="default"/>
        <w:color w:val="231F20"/>
        <w:w w:val="100"/>
        <w:sz w:val="14"/>
        <w:szCs w:val="14"/>
      </w:rPr>
    </w:lvl>
    <w:lvl w:ilvl="1" w:tplc="9162D1B0">
      <w:numFmt w:val="bullet"/>
      <w:lvlText w:val="•"/>
      <w:lvlJc w:val="left"/>
      <w:pPr>
        <w:ind w:left="301" w:hanging="100"/>
      </w:pPr>
      <w:rPr>
        <w:rFonts w:hint="default"/>
      </w:rPr>
    </w:lvl>
    <w:lvl w:ilvl="2" w:tplc="095EA3CC">
      <w:numFmt w:val="bullet"/>
      <w:lvlText w:val="•"/>
      <w:lvlJc w:val="left"/>
      <w:pPr>
        <w:ind w:left="443" w:hanging="100"/>
      </w:pPr>
      <w:rPr>
        <w:rFonts w:hint="default"/>
      </w:rPr>
    </w:lvl>
    <w:lvl w:ilvl="3" w:tplc="59E62404">
      <w:numFmt w:val="bullet"/>
      <w:lvlText w:val="•"/>
      <w:lvlJc w:val="left"/>
      <w:pPr>
        <w:ind w:left="585" w:hanging="100"/>
      </w:pPr>
      <w:rPr>
        <w:rFonts w:hint="default"/>
      </w:rPr>
    </w:lvl>
    <w:lvl w:ilvl="4" w:tplc="30F0E9C6">
      <w:numFmt w:val="bullet"/>
      <w:lvlText w:val="•"/>
      <w:lvlJc w:val="left"/>
      <w:pPr>
        <w:ind w:left="726" w:hanging="100"/>
      </w:pPr>
      <w:rPr>
        <w:rFonts w:hint="default"/>
      </w:rPr>
    </w:lvl>
    <w:lvl w:ilvl="5" w:tplc="DFEA9660">
      <w:numFmt w:val="bullet"/>
      <w:lvlText w:val="•"/>
      <w:lvlJc w:val="left"/>
      <w:pPr>
        <w:ind w:left="868" w:hanging="100"/>
      </w:pPr>
      <w:rPr>
        <w:rFonts w:hint="default"/>
      </w:rPr>
    </w:lvl>
    <w:lvl w:ilvl="6" w:tplc="76C6FCC6">
      <w:numFmt w:val="bullet"/>
      <w:lvlText w:val="•"/>
      <w:lvlJc w:val="left"/>
      <w:pPr>
        <w:ind w:left="1010" w:hanging="100"/>
      </w:pPr>
      <w:rPr>
        <w:rFonts w:hint="default"/>
      </w:rPr>
    </w:lvl>
    <w:lvl w:ilvl="7" w:tplc="C1C8D140">
      <w:numFmt w:val="bullet"/>
      <w:lvlText w:val="•"/>
      <w:lvlJc w:val="left"/>
      <w:pPr>
        <w:ind w:left="1151" w:hanging="100"/>
      </w:pPr>
      <w:rPr>
        <w:rFonts w:hint="default"/>
      </w:rPr>
    </w:lvl>
    <w:lvl w:ilvl="8" w:tplc="3C062A8C">
      <w:numFmt w:val="bullet"/>
      <w:lvlText w:val="•"/>
      <w:lvlJc w:val="left"/>
      <w:pPr>
        <w:ind w:left="1293" w:hanging="100"/>
      </w:pPr>
      <w:rPr>
        <w:rFonts w:hint="default"/>
      </w:rPr>
    </w:lvl>
  </w:abstractNum>
  <w:abstractNum w:abstractNumId="1880" w15:restartNumberingAfterBreak="0">
    <w:nsid w:val="75A21DDD"/>
    <w:multiLevelType w:val="hybridMultilevel"/>
    <w:tmpl w:val="B28A0D6E"/>
    <w:lvl w:ilvl="0" w:tplc="791A497C">
      <w:numFmt w:val="bullet"/>
      <w:lvlText w:val="–"/>
      <w:lvlJc w:val="left"/>
      <w:pPr>
        <w:ind w:left="163" w:hanging="105"/>
      </w:pPr>
      <w:rPr>
        <w:rFonts w:ascii="Times New Roman" w:eastAsia="Times New Roman" w:hAnsi="Times New Roman" w:cs="Times New Roman" w:hint="default"/>
        <w:color w:val="231F20"/>
        <w:spacing w:val="-5"/>
        <w:w w:val="100"/>
        <w:sz w:val="14"/>
        <w:szCs w:val="14"/>
      </w:rPr>
    </w:lvl>
    <w:lvl w:ilvl="1" w:tplc="AD9CE918">
      <w:numFmt w:val="bullet"/>
      <w:lvlText w:val="•"/>
      <w:lvlJc w:val="left"/>
      <w:pPr>
        <w:ind w:left="426" w:hanging="105"/>
      </w:pPr>
      <w:rPr>
        <w:rFonts w:hint="default"/>
      </w:rPr>
    </w:lvl>
    <w:lvl w:ilvl="2" w:tplc="C47ECDA8">
      <w:numFmt w:val="bullet"/>
      <w:lvlText w:val="•"/>
      <w:lvlJc w:val="left"/>
      <w:pPr>
        <w:ind w:left="692" w:hanging="105"/>
      </w:pPr>
      <w:rPr>
        <w:rFonts w:hint="default"/>
      </w:rPr>
    </w:lvl>
    <w:lvl w:ilvl="3" w:tplc="2DE8A318">
      <w:numFmt w:val="bullet"/>
      <w:lvlText w:val="•"/>
      <w:lvlJc w:val="left"/>
      <w:pPr>
        <w:ind w:left="959" w:hanging="105"/>
      </w:pPr>
      <w:rPr>
        <w:rFonts w:hint="default"/>
      </w:rPr>
    </w:lvl>
    <w:lvl w:ilvl="4" w:tplc="4ED49568">
      <w:numFmt w:val="bullet"/>
      <w:lvlText w:val="•"/>
      <w:lvlJc w:val="left"/>
      <w:pPr>
        <w:ind w:left="1225" w:hanging="105"/>
      </w:pPr>
      <w:rPr>
        <w:rFonts w:hint="default"/>
      </w:rPr>
    </w:lvl>
    <w:lvl w:ilvl="5" w:tplc="61E63BA0">
      <w:numFmt w:val="bullet"/>
      <w:lvlText w:val="•"/>
      <w:lvlJc w:val="left"/>
      <w:pPr>
        <w:ind w:left="1492" w:hanging="105"/>
      </w:pPr>
      <w:rPr>
        <w:rFonts w:hint="default"/>
      </w:rPr>
    </w:lvl>
    <w:lvl w:ilvl="6" w:tplc="C2666130">
      <w:numFmt w:val="bullet"/>
      <w:lvlText w:val="•"/>
      <w:lvlJc w:val="left"/>
      <w:pPr>
        <w:ind w:left="1758" w:hanging="105"/>
      </w:pPr>
      <w:rPr>
        <w:rFonts w:hint="default"/>
      </w:rPr>
    </w:lvl>
    <w:lvl w:ilvl="7" w:tplc="01E05712">
      <w:numFmt w:val="bullet"/>
      <w:lvlText w:val="•"/>
      <w:lvlJc w:val="left"/>
      <w:pPr>
        <w:ind w:left="2024" w:hanging="105"/>
      </w:pPr>
      <w:rPr>
        <w:rFonts w:hint="default"/>
      </w:rPr>
    </w:lvl>
    <w:lvl w:ilvl="8" w:tplc="DA9AE472">
      <w:numFmt w:val="bullet"/>
      <w:lvlText w:val="•"/>
      <w:lvlJc w:val="left"/>
      <w:pPr>
        <w:ind w:left="2291" w:hanging="105"/>
      </w:pPr>
      <w:rPr>
        <w:rFonts w:hint="default"/>
      </w:rPr>
    </w:lvl>
  </w:abstractNum>
  <w:abstractNum w:abstractNumId="1881" w15:restartNumberingAfterBreak="0">
    <w:nsid w:val="75B4423C"/>
    <w:multiLevelType w:val="hybridMultilevel"/>
    <w:tmpl w:val="78F84506"/>
    <w:lvl w:ilvl="0" w:tplc="8D34A4C8">
      <w:numFmt w:val="bullet"/>
      <w:lvlText w:val=""/>
      <w:lvlJc w:val="left"/>
      <w:pPr>
        <w:ind w:left="157" w:hanging="100"/>
      </w:pPr>
      <w:rPr>
        <w:rFonts w:ascii="Symbol" w:eastAsia="Symbol" w:hAnsi="Symbol" w:cs="Symbol" w:hint="default"/>
        <w:color w:val="231F20"/>
        <w:w w:val="100"/>
        <w:sz w:val="14"/>
        <w:szCs w:val="14"/>
      </w:rPr>
    </w:lvl>
    <w:lvl w:ilvl="1" w:tplc="0AE08EB8">
      <w:numFmt w:val="bullet"/>
      <w:lvlText w:val="•"/>
      <w:lvlJc w:val="left"/>
      <w:pPr>
        <w:ind w:left="398" w:hanging="100"/>
      </w:pPr>
      <w:rPr>
        <w:rFonts w:hint="default"/>
      </w:rPr>
    </w:lvl>
    <w:lvl w:ilvl="2" w:tplc="C772FB92">
      <w:numFmt w:val="bullet"/>
      <w:lvlText w:val="•"/>
      <w:lvlJc w:val="left"/>
      <w:pPr>
        <w:ind w:left="636" w:hanging="100"/>
      </w:pPr>
      <w:rPr>
        <w:rFonts w:hint="default"/>
      </w:rPr>
    </w:lvl>
    <w:lvl w:ilvl="3" w:tplc="B38C86C4">
      <w:numFmt w:val="bullet"/>
      <w:lvlText w:val="•"/>
      <w:lvlJc w:val="left"/>
      <w:pPr>
        <w:ind w:left="874" w:hanging="100"/>
      </w:pPr>
      <w:rPr>
        <w:rFonts w:hint="default"/>
      </w:rPr>
    </w:lvl>
    <w:lvl w:ilvl="4" w:tplc="7CFC74EC">
      <w:numFmt w:val="bullet"/>
      <w:lvlText w:val="•"/>
      <w:lvlJc w:val="left"/>
      <w:pPr>
        <w:ind w:left="1112" w:hanging="100"/>
      </w:pPr>
      <w:rPr>
        <w:rFonts w:hint="default"/>
      </w:rPr>
    </w:lvl>
    <w:lvl w:ilvl="5" w:tplc="0194EF18">
      <w:numFmt w:val="bullet"/>
      <w:lvlText w:val="•"/>
      <w:lvlJc w:val="left"/>
      <w:pPr>
        <w:ind w:left="1350" w:hanging="100"/>
      </w:pPr>
      <w:rPr>
        <w:rFonts w:hint="default"/>
      </w:rPr>
    </w:lvl>
    <w:lvl w:ilvl="6" w:tplc="170CAB0E">
      <w:numFmt w:val="bullet"/>
      <w:lvlText w:val="•"/>
      <w:lvlJc w:val="left"/>
      <w:pPr>
        <w:ind w:left="1588" w:hanging="100"/>
      </w:pPr>
      <w:rPr>
        <w:rFonts w:hint="default"/>
      </w:rPr>
    </w:lvl>
    <w:lvl w:ilvl="7" w:tplc="A6021F34">
      <w:numFmt w:val="bullet"/>
      <w:lvlText w:val="•"/>
      <w:lvlJc w:val="left"/>
      <w:pPr>
        <w:ind w:left="1826" w:hanging="100"/>
      </w:pPr>
      <w:rPr>
        <w:rFonts w:hint="default"/>
      </w:rPr>
    </w:lvl>
    <w:lvl w:ilvl="8" w:tplc="69729D6A">
      <w:numFmt w:val="bullet"/>
      <w:lvlText w:val="•"/>
      <w:lvlJc w:val="left"/>
      <w:pPr>
        <w:ind w:left="2064" w:hanging="100"/>
      </w:pPr>
      <w:rPr>
        <w:rFonts w:hint="default"/>
      </w:rPr>
    </w:lvl>
  </w:abstractNum>
  <w:abstractNum w:abstractNumId="1882" w15:restartNumberingAfterBreak="0">
    <w:nsid w:val="75D376FA"/>
    <w:multiLevelType w:val="hybridMultilevel"/>
    <w:tmpl w:val="4C70BC26"/>
    <w:lvl w:ilvl="0" w:tplc="ADDE966E">
      <w:numFmt w:val="bullet"/>
      <w:lvlText w:val=""/>
      <w:lvlJc w:val="left"/>
      <w:pPr>
        <w:ind w:left="156" w:hanging="100"/>
      </w:pPr>
      <w:rPr>
        <w:rFonts w:ascii="Symbol" w:eastAsia="Symbol" w:hAnsi="Symbol" w:cs="Symbol" w:hint="default"/>
        <w:color w:val="231F20"/>
        <w:w w:val="100"/>
        <w:sz w:val="14"/>
        <w:szCs w:val="14"/>
      </w:rPr>
    </w:lvl>
    <w:lvl w:ilvl="1" w:tplc="8E08426E">
      <w:numFmt w:val="bullet"/>
      <w:lvlText w:val="•"/>
      <w:lvlJc w:val="left"/>
      <w:pPr>
        <w:ind w:left="301" w:hanging="100"/>
      </w:pPr>
      <w:rPr>
        <w:rFonts w:hint="default"/>
      </w:rPr>
    </w:lvl>
    <w:lvl w:ilvl="2" w:tplc="08145352">
      <w:numFmt w:val="bullet"/>
      <w:lvlText w:val="•"/>
      <w:lvlJc w:val="left"/>
      <w:pPr>
        <w:ind w:left="443" w:hanging="100"/>
      </w:pPr>
      <w:rPr>
        <w:rFonts w:hint="default"/>
      </w:rPr>
    </w:lvl>
    <w:lvl w:ilvl="3" w:tplc="E084EB6C">
      <w:numFmt w:val="bullet"/>
      <w:lvlText w:val="•"/>
      <w:lvlJc w:val="left"/>
      <w:pPr>
        <w:ind w:left="585" w:hanging="100"/>
      </w:pPr>
      <w:rPr>
        <w:rFonts w:hint="default"/>
      </w:rPr>
    </w:lvl>
    <w:lvl w:ilvl="4" w:tplc="2D265D4C">
      <w:numFmt w:val="bullet"/>
      <w:lvlText w:val="•"/>
      <w:lvlJc w:val="left"/>
      <w:pPr>
        <w:ind w:left="726" w:hanging="100"/>
      </w:pPr>
      <w:rPr>
        <w:rFonts w:hint="default"/>
      </w:rPr>
    </w:lvl>
    <w:lvl w:ilvl="5" w:tplc="8AB273B8">
      <w:numFmt w:val="bullet"/>
      <w:lvlText w:val="•"/>
      <w:lvlJc w:val="left"/>
      <w:pPr>
        <w:ind w:left="868" w:hanging="100"/>
      </w:pPr>
      <w:rPr>
        <w:rFonts w:hint="default"/>
      </w:rPr>
    </w:lvl>
    <w:lvl w:ilvl="6" w:tplc="E4289914">
      <w:numFmt w:val="bullet"/>
      <w:lvlText w:val="•"/>
      <w:lvlJc w:val="left"/>
      <w:pPr>
        <w:ind w:left="1010" w:hanging="100"/>
      </w:pPr>
      <w:rPr>
        <w:rFonts w:hint="default"/>
      </w:rPr>
    </w:lvl>
    <w:lvl w:ilvl="7" w:tplc="291A5174">
      <w:numFmt w:val="bullet"/>
      <w:lvlText w:val="•"/>
      <w:lvlJc w:val="left"/>
      <w:pPr>
        <w:ind w:left="1151" w:hanging="100"/>
      </w:pPr>
      <w:rPr>
        <w:rFonts w:hint="default"/>
      </w:rPr>
    </w:lvl>
    <w:lvl w:ilvl="8" w:tplc="21E8059E">
      <w:numFmt w:val="bullet"/>
      <w:lvlText w:val="•"/>
      <w:lvlJc w:val="left"/>
      <w:pPr>
        <w:ind w:left="1293" w:hanging="100"/>
      </w:pPr>
      <w:rPr>
        <w:rFonts w:hint="default"/>
      </w:rPr>
    </w:lvl>
  </w:abstractNum>
  <w:abstractNum w:abstractNumId="1883" w15:restartNumberingAfterBreak="0">
    <w:nsid w:val="75D94728"/>
    <w:multiLevelType w:val="hybridMultilevel"/>
    <w:tmpl w:val="17A8F4FC"/>
    <w:lvl w:ilvl="0" w:tplc="01AEE1B8">
      <w:numFmt w:val="bullet"/>
      <w:lvlText w:val=""/>
      <w:lvlJc w:val="left"/>
      <w:pPr>
        <w:ind w:left="157" w:hanging="100"/>
      </w:pPr>
      <w:rPr>
        <w:rFonts w:ascii="Symbol" w:eastAsia="Symbol" w:hAnsi="Symbol" w:cs="Symbol" w:hint="default"/>
        <w:color w:val="231F20"/>
        <w:w w:val="100"/>
        <w:sz w:val="14"/>
        <w:szCs w:val="14"/>
      </w:rPr>
    </w:lvl>
    <w:lvl w:ilvl="1" w:tplc="F0044CE8">
      <w:numFmt w:val="bullet"/>
      <w:lvlText w:val="•"/>
      <w:lvlJc w:val="left"/>
      <w:pPr>
        <w:ind w:left="369" w:hanging="100"/>
      </w:pPr>
      <w:rPr>
        <w:rFonts w:hint="default"/>
      </w:rPr>
    </w:lvl>
    <w:lvl w:ilvl="2" w:tplc="DF987DDE">
      <w:numFmt w:val="bullet"/>
      <w:lvlText w:val="•"/>
      <w:lvlJc w:val="left"/>
      <w:pPr>
        <w:ind w:left="579" w:hanging="100"/>
      </w:pPr>
      <w:rPr>
        <w:rFonts w:hint="default"/>
      </w:rPr>
    </w:lvl>
    <w:lvl w:ilvl="3" w:tplc="1C401D92">
      <w:numFmt w:val="bullet"/>
      <w:lvlText w:val="•"/>
      <w:lvlJc w:val="left"/>
      <w:pPr>
        <w:ind w:left="789" w:hanging="100"/>
      </w:pPr>
      <w:rPr>
        <w:rFonts w:hint="default"/>
      </w:rPr>
    </w:lvl>
    <w:lvl w:ilvl="4" w:tplc="BED2F450">
      <w:numFmt w:val="bullet"/>
      <w:lvlText w:val="•"/>
      <w:lvlJc w:val="left"/>
      <w:pPr>
        <w:ind w:left="998" w:hanging="100"/>
      </w:pPr>
      <w:rPr>
        <w:rFonts w:hint="default"/>
      </w:rPr>
    </w:lvl>
    <w:lvl w:ilvl="5" w:tplc="6C16E7D4">
      <w:numFmt w:val="bullet"/>
      <w:lvlText w:val="•"/>
      <w:lvlJc w:val="left"/>
      <w:pPr>
        <w:ind w:left="1208" w:hanging="100"/>
      </w:pPr>
      <w:rPr>
        <w:rFonts w:hint="default"/>
      </w:rPr>
    </w:lvl>
    <w:lvl w:ilvl="6" w:tplc="4620CAB6">
      <w:numFmt w:val="bullet"/>
      <w:lvlText w:val="•"/>
      <w:lvlJc w:val="left"/>
      <w:pPr>
        <w:ind w:left="1418" w:hanging="100"/>
      </w:pPr>
      <w:rPr>
        <w:rFonts w:hint="default"/>
      </w:rPr>
    </w:lvl>
    <w:lvl w:ilvl="7" w:tplc="4C52512C">
      <w:numFmt w:val="bullet"/>
      <w:lvlText w:val="•"/>
      <w:lvlJc w:val="left"/>
      <w:pPr>
        <w:ind w:left="1627" w:hanging="100"/>
      </w:pPr>
      <w:rPr>
        <w:rFonts w:hint="default"/>
      </w:rPr>
    </w:lvl>
    <w:lvl w:ilvl="8" w:tplc="8E7EE374">
      <w:numFmt w:val="bullet"/>
      <w:lvlText w:val="•"/>
      <w:lvlJc w:val="left"/>
      <w:pPr>
        <w:ind w:left="1837" w:hanging="100"/>
      </w:pPr>
      <w:rPr>
        <w:rFonts w:hint="default"/>
      </w:rPr>
    </w:lvl>
  </w:abstractNum>
  <w:abstractNum w:abstractNumId="1884" w15:restartNumberingAfterBreak="0">
    <w:nsid w:val="75EE70DB"/>
    <w:multiLevelType w:val="hybridMultilevel"/>
    <w:tmpl w:val="A4B0792E"/>
    <w:lvl w:ilvl="0" w:tplc="3956E8E6">
      <w:numFmt w:val="bullet"/>
      <w:lvlText w:val=""/>
      <w:lvlJc w:val="left"/>
      <w:pPr>
        <w:ind w:left="156" w:hanging="100"/>
      </w:pPr>
      <w:rPr>
        <w:rFonts w:ascii="Symbol" w:eastAsia="Symbol" w:hAnsi="Symbol" w:cs="Symbol" w:hint="default"/>
        <w:color w:val="231F20"/>
        <w:w w:val="100"/>
        <w:sz w:val="14"/>
        <w:szCs w:val="14"/>
      </w:rPr>
    </w:lvl>
    <w:lvl w:ilvl="1" w:tplc="407A0CCC">
      <w:numFmt w:val="bullet"/>
      <w:lvlText w:val="•"/>
      <w:lvlJc w:val="left"/>
      <w:pPr>
        <w:ind w:left="301" w:hanging="100"/>
      </w:pPr>
      <w:rPr>
        <w:rFonts w:hint="default"/>
      </w:rPr>
    </w:lvl>
    <w:lvl w:ilvl="2" w:tplc="406A6F1C">
      <w:numFmt w:val="bullet"/>
      <w:lvlText w:val="•"/>
      <w:lvlJc w:val="left"/>
      <w:pPr>
        <w:ind w:left="443" w:hanging="100"/>
      </w:pPr>
      <w:rPr>
        <w:rFonts w:hint="default"/>
      </w:rPr>
    </w:lvl>
    <w:lvl w:ilvl="3" w:tplc="25CC673E">
      <w:numFmt w:val="bullet"/>
      <w:lvlText w:val="•"/>
      <w:lvlJc w:val="left"/>
      <w:pPr>
        <w:ind w:left="585" w:hanging="100"/>
      </w:pPr>
      <w:rPr>
        <w:rFonts w:hint="default"/>
      </w:rPr>
    </w:lvl>
    <w:lvl w:ilvl="4" w:tplc="12767C60">
      <w:numFmt w:val="bullet"/>
      <w:lvlText w:val="•"/>
      <w:lvlJc w:val="left"/>
      <w:pPr>
        <w:ind w:left="726" w:hanging="100"/>
      </w:pPr>
      <w:rPr>
        <w:rFonts w:hint="default"/>
      </w:rPr>
    </w:lvl>
    <w:lvl w:ilvl="5" w:tplc="F2B83D7E">
      <w:numFmt w:val="bullet"/>
      <w:lvlText w:val="•"/>
      <w:lvlJc w:val="left"/>
      <w:pPr>
        <w:ind w:left="868" w:hanging="100"/>
      </w:pPr>
      <w:rPr>
        <w:rFonts w:hint="default"/>
      </w:rPr>
    </w:lvl>
    <w:lvl w:ilvl="6" w:tplc="669A7B9A">
      <w:numFmt w:val="bullet"/>
      <w:lvlText w:val="•"/>
      <w:lvlJc w:val="left"/>
      <w:pPr>
        <w:ind w:left="1010" w:hanging="100"/>
      </w:pPr>
      <w:rPr>
        <w:rFonts w:hint="default"/>
      </w:rPr>
    </w:lvl>
    <w:lvl w:ilvl="7" w:tplc="445A9028">
      <w:numFmt w:val="bullet"/>
      <w:lvlText w:val="•"/>
      <w:lvlJc w:val="left"/>
      <w:pPr>
        <w:ind w:left="1151" w:hanging="100"/>
      </w:pPr>
      <w:rPr>
        <w:rFonts w:hint="default"/>
      </w:rPr>
    </w:lvl>
    <w:lvl w:ilvl="8" w:tplc="AFDC3B7A">
      <w:numFmt w:val="bullet"/>
      <w:lvlText w:val="•"/>
      <w:lvlJc w:val="left"/>
      <w:pPr>
        <w:ind w:left="1293" w:hanging="100"/>
      </w:pPr>
      <w:rPr>
        <w:rFonts w:hint="default"/>
      </w:rPr>
    </w:lvl>
  </w:abstractNum>
  <w:abstractNum w:abstractNumId="1885" w15:restartNumberingAfterBreak="0">
    <w:nsid w:val="75F7525D"/>
    <w:multiLevelType w:val="hybridMultilevel"/>
    <w:tmpl w:val="096CB776"/>
    <w:lvl w:ilvl="0" w:tplc="AE22E8BE">
      <w:numFmt w:val="bullet"/>
      <w:lvlText w:val=""/>
      <w:lvlJc w:val="left"/>
      <w:pPr>
        <w:ind w:left="156" w:hanging="100"/>
      </w:pPr>
      <w:rPr>
        <w:rFonts w:ascii="Symbol" w:eastAsia="Symbol" w:hAnsi="Symbol" w:cs="Symbol" w:hint="default"/>
        <w:color w:val="231F20"/>
        <w:w w:val="100"/>
        <w:sz w:val="14"/>
        <w:szCs w:val="14"/>
      </w:rPr>
    </w:lvl>
    <w:lvl w:ilvl="1" w:tplc="45A67D4A">
      <w:numFmt w:val="bullet"/>
      <w:lvlText w:val="•"/>
      <w:lvlJc w:val="left"/>
      <w:pPr>
        <w:ind w:left="301" w:hanging="100"/>
      </w:pPr>
      <w:rPr>
        <w:rFonts w:hint="default"/>
      </w:rPr>
    </w:lvl>
    <w:lvl w:ilvl="2" w:tplc="EBDA8FA8">
      <w:numFmt w:val="bullet"/>
      <w:lvlText w:val="•"/>
      <w:lvlJc w:val="left"/>
      <w:pPr>
        <w:ind w:left="443" w:hanging="100"/>
      </w:pPr>
      <w:rPr>
        <w:rFonts w:hint="default"/>
      </w:rPr>
    </w:lvl>
    <w:lvl w:ilvl="3" w:tplc="B354287A">
      <w:numFmt w:val="bullet"/>
      <w:lvlText w:val="•"/>
      <w:lvlJc w:val="left"/>
      <w:pPr>
        <w:ind w:left="585" w:hanging="100"/>
      </w:pPr>
      <w:rPr>
        <w:rFonts w:hint="default"/>
      </w:rPr>
    </w:lvl>
    <w:lvl w:ilvl="4" w:tplc="576AD2A8">
      <w:numFmt w:val="bullet"/>
      <w:lvlText w:val="•"/>
      <w:lvlJc w:val="left"/>
      <w:pPr>
        <w:ind w:left="726" w:hanging="100"/>
      </w:pPr>
      <w:rPr>
        <w:rFonts w:hint="default"/>
      </w:rPr>
    </w:lvl>
    <w:lvl w:ilvl="5" w:tplc="FB720A08">
      <w:numFmt w:val="bullet"/>
      <w:lvlText w:val="•"/>
      <w:lvlJc w:val="left"/>
      <w:pPr>
        <w:ind w:left="868" w:hanging="100"/>
      </w:pPr>
      <w:rPr>
        <w:rFonts w:hint="default"/>
      </w:rPr>
    </w:lvl>
    <w:lvl w:ilvl="6" w:tplc="1EC008F6">
      <w:numFmt w:val="bullet"/>
      <w:lvlText w:val="•"/>
      <w:lvlJc w:val="left"/>
      <w:pPr>
        <w:ind w:left="1010" w:hanging="100"/>
      </w:pPr>
      <w:rPr>
        <w:rFonts w:hint="default"/>
      </w:rPr>
    </w:lvl>
    <w:lvl w:ilvl="7" w:tplc="066E1298">
      <w:numFmt w:val="bullet"/>
      <w:lvlText w:val="•"/>
      <w:lvlJc w:val="left"/>
      <w:pPr>
        <w:ind w:left="1151" w:hanging="100"/>
      </w:pPr>
      <w:rPr>
        <w:rFonts w:hint="default"/>
      </w:rPr>
    </w:lvl>
    <w:lvl w:ilvl="8" w:tplc="B98A6F30">
      <w:numFmt w:val="bullet"/>
      <w:lvlText w:val="•"/>
      <w:lvlJc w:val="left"/>
      <w:pPr>
        <w:ind w:left="1293" w:hanging="100"/>
      </w:pPr>
      <w:rPr>
        <w:rFonts w:hint="default"/>
      </w:rPr>
    </w:lvl>
  </w:abstractNum>
  <w:abstractNum w:abstractNumId="1886" w15:restartNumberingAfterBreak="0">
    <w:nsid w:val="75FA3963"/>
    <w:multiLevelType w:val="hybridMultilevel"/>
    <w:tmpl w:val="B70861FE"/>
    <w:lvl w:ilvl="0" w:tplc="C080A7F4">
      <w:numFmt w:val="bullet"/>
      <w:lvlText w:val=""/>
      <w:lvlJc w:val="left"/>
      <w:pPr>
        <w:ind w:left="156" w:hanging="100"/>
      </w:pPr>
      <w:rPr>
        <w:rFonts w:ascii="Symbol" w:eastAsia="Symbol" w:hAnsi="Symbol" w:cs="Symbol" w:hint="default"/>
        <w:color w:val="231F20"/>
        <w:w w:val="100"/>
        <w:sz w:val="14"/>
        <w:szCs w:val="14"/>
      </w:rPr>
    </w:lvl>
    <w:lvl w:ilvl="1" w:tplc="E28E0DE4">
      <w:numFmt w:val="bullet"/>
      <w:lvlText w:val="•"/>
      <w:lvlJc w:val="left"/>
      <w:pPr>
        <w:ind w:left="426" w:hanging="100"/>
      </w:pPr>
      <w:rPr>
        <w:rFonts w:hint="default"/>
      </w:rPr>
    </w:lvl>
    <w:lvl w:ilvl="2" w:tplc="335A8EB4">
      <w:numFmt w:val="bullet"/>
      <w:lvlText w:val="•"/>
      <w:lvlJc w:val="left"/>
      <w:pPr>
        <w:ind w:left="692" w:hanging="100"/>
      </w:pPr>
      <w:rPr>
        <w:rFonts w:hint="default"/>
      </w:rPr>
    </w:lvl>
    <w:lvl w:ilvl="3" w:tplc="03F2A192">
      <w:numFmt w:val="bullet"/>
      <w:lvlText w:val="•"/>
      <w:lvlJc w:val="left"/>
      <w:pPr>
        <w:ind w:left="959" w:hanging="100"/>
      </w:pPr>
      <w:rPr>
        <w:rFonts w:hint="default"/>
      </w:rPr>
    </w:lvl>
    <w:lvl w:ilvl="4" w:tplc="D7F0C164">
      <w:numFmt w:val="bullet"/>
      <w:lvlText w:val="•"/>
      <w:lvlJc w:val="left"/>
      <w:pPr>
        <w:ind w:left="1225" w:hanging="100"/>
      </w:pPr>
      <w:rPr>
        <w:rFonts w:hint="default"/>
      </w:rPr>
    </w:lvl>
    <w:lvl w:ilvl="5" w:tplc="8C1ED1C8">
      <w:numFmt w:val="bullet"/>
      <w:lvlText w:val="•"/>
      <w:lvlJc w:val="left"/>
      <w:pPr>
        <w:ind w:left="1492" w:hanging="100"/>
      </w:pPr>
      <w:rPr>
        <w:rFonts w:hint="default"/>
      </w:rPr>
    </w:lvl>
    <w:lvl w:ilvl="6" w:tplc="8528B88A">
      <w:numFmt w:val="bullet"/>
      <w:lvlText w:val="•"/>
      <w:lvlJc w:val="left"/>
      <w:pPr>
        <w:ind w:left="1758" w:hanging="100"/>
      </w:pPr>
      <w:rPr>
        <w:rFonts w:hint="default"/>
      </w:rPr>
    </w:lvl>
    <w:lvl w:ilvl="7" w:tplc="344806EC">
      <w:numFmt w:val="bullet"/>
      <w:lvlText w:val="•"/>
      <w:lvlJc w:val="left"/>
      <w:pPr>
        <w:ind w:left="2024" w:hanging="100"/>
      </w:pPr>
      <w:rPr>
        <w:rFonts w:hint="default"/>
      </w:rPr>
    </w:lvl>
    <w:lvl w:ilvl="8" w:tplc="E3829A90">
      <w:numFmt w:val="bullet"/>
      <w:lvlText w:val="•"/>
      <w:lvlJc w:val="left"/>
      <w:pPr>
        <w:ind w:left="2291" w:hanging="100"/>
      </w:pPr>
      <w:rPr>
        <w:rFonts w:hint="default"/>
      </w:rPr>
    </w:lvl>
  </w:abstractNum>
  <w:abstractNum w:abstractNumId="1887" w15:restartNumberingAfterBreak="0">
    <w:nsid w:val="760905D1"/>
    <w:multiLevelType w:val="hybridMultilevel"/>
    <w:tmpl w:val="C8D88FF8"/>
    <w:lvl w:ilvl="0" w:tplc="9F3412DA">
      <w:numFmt w:val="bullet"/>
      <w:lvlText w:val=""/>
      <w:lvlJc w:val="left"/>
      <w:pPr>
        <w:ind w:left="157" w:hanging="100"/>
      </w:pPr>
      <w:rPr>
        <w:rFonts w:ascii="Symbol" w:eastAsia="Symbol" w:hAnsi="Symbol" w:cs="Symbol" w:hint="default"/>
        <w:color w:val="231F20"/>
        <w:w w:val="100"/>
        <w:sz w:val="14"/>
        <w:szCs w:val="14"/>
      </w:rPr>
    </w:lvl>
    <w:lvl w:ilvl="1" w:tplc="AED6B90C">
      <w:numFmt w:val="bullet"/>
      <w:lvlText w:val="•"/>
      <w:lvlJc w:val="left"/>
      <w:pPr>
        <w:ind w:left="369" w:hanging="100"/>
      </w:pPr>
      <w:rPr>
        <w:rFonts w:hint="default"/>
      </w:rPr>
    </w:lvl>
    <w:lvl w:ilvl="2" w:tplc="8820A974">
      <w:numFmt w:val="bullet"/>
      <w:lvlText w:val="•"/>
      <w:lvlJc w:val="left"/>
      <w:pPr>
        <w:ind w:left="579" w:hanging="100"/>
      </w:pPr>
      <w:rPr>
        <w:rFonts w:hint="default"/>
      </w:rPr>
    </w:lvl>
    <w:lvl w:ilvl="3" w:tplc="4C12E61E">
      <w:numFmt w:val="bullet"/>
      <w:lvlText w:val="•"/>
      <w:lvlJc w:val="left"/>
      <w:pPr>
        <w:ind w:left="789" w:hanging="100"/>
      </w:pPr>
      <w:rPr>
        <w:rFonts w:hint="default"/>
      </w:rPr>
    </w:lvl>
    <w:lvl w:ilvl="4" w:tplc="BFD4DF78">
      <w:numFmt w:val="bullet"/>
      <w:lvlText w:val="•"/>
      <w:lvlJc w:val="left"/>
      <w:pPr>
        <w:ind w:left="998" w:hanging="100"/>
      </w:pPr>
      <w:rPr>
        <w:rFonts w:hint="default"/>
      </w:rPr>
    </w:lvl>
    <w:lvl w:ilvl="5" w:tplc="816A5BD6">
      <w:numFmt w:val="bullet"/>
      <w:lvlText w:val="•"/>
      <w:lvlJc w:val="left"/>
      <w:pPr>
        <w:ind w:left="1208" w:hanging="100"/>
      </w:pPr>
      <w:rPr>
        <w:rFonts w:hint="default"/>
      </w:rPr>
    </w:lvl>
    <w:lvl w:ilvl="6" w:tplc="769EFAFA">
      <w:numFmt w:val="bullet"/>
      <w:lvlText w:val="•"/>
      <w:lvlJc w:val="left"/>
      <w:pPr>
        <w:ind w:left="1418" w:hanging="100"/>
      </w:pPr>
      <w:rPr>
        <w:rFonts w:hint="default"/>
      </w:rPr>
    </w:lvl>
    <w:lvl w:ilvl="7" w:tplc="0AB063DC">
      <w:numFmt w:val="bullet"/>
      <w:lvlText w:val="•"/>
      <w:lvlJc w:val="left"/>
      <w:pPr>
        <w:ind w:left="1627" w:hanging="100"/>
      </w:pPr>
      <w:rPr>
        <w:rFonts w:hint="default"/>
      </w:rPr>
    </w:lvl>
    <w:lvl w:ilvl="8" w:tplc="473AEA9A">
      <w:numFmt w:val="bullet"/>
      <w:lvlText w:val="•"/>
      <w:lvlJc w:val="left"/>
      <w:pPr>
        <w:ind w:left="1837" w:hanging="100"/>
      </w:pPr>
      <w:rPr>
        <w:rFonts w:hint="default"/>
      </w:rPr>
    </w:lvl>
  </w:abstractNum>
  <w:abstractNum w:abstractNumId="1888" w15:restartNumberingAfterBreak="0">
    <w:nsid w:val="762A680F"/>
    <w:multiLevelType w:val="hybridMultilevel"/>
    <w:tmpl w:val="947E5028"/>
    <w:lvl w:ilvl="0" w:tplc="6A943F9E">
      <w:start w:val="1"/>
      <w:numFmt w:val="decimal"/>
      <w:lvlText w:val="%1."/>
      <w:lvlJc w:val="left"/>
      <w:pPr>
        <w:ind w:left="497" w:hanging="180"/>
        <w:jc w:val="left"/>
      </w:pPr>
      <w:rPr>
        <w:rFonts w:ascii="Times New Roman" w:eastAsia="Times New Roman" w:hAnsi="Times New Roman" w:cs="Times New Roman" w:hint="default"/>
        <w:color w:val="231F20"/>
        <w:w w:val="100"/>
        <w:sz w:val="18"/>
        <w:szCs w:val="18"/>
      </w:rPr>
    </w:lvl>
    <w:lvl w:ilvl="1" w:tplc="FB0450D0">
      <w:numFmt w:val="bullet"/>
      <w:lvlText w:val="•"/>
      <w:lvlJc w:val="left"/>
      <w:pPr>
        <w:ind w:left="1528" w:hanging="180"/>
      </w:pPr>
      <w:rPr>
        <w:rFonts w:hint="default"/>
      </w:rPr>
    </w:lvl>
    <w:lvl w:ilvl="2" w:tplc="A15E224A">
      <w:numFmt w:val="bullet"/>
      <w:lvlText w:val="•"/>
      <w:lvlJc w:val="left"/>
      <w:pPr>
        <w:ind w:left="2557" w:hanging="180"/>
      </w:pPr>
      <w:rPr>
        <w:rFonts w:hint="default"/>
      </w:rPr>
    </w:lvl>
    <w:lvl w:ilvl="3" w:tplc="B4FA7126">
      <w:numFmt w:val="bullet"/>
      <w:lvlText w:val="•"/>
      <w:lvlJc w:val="left"/>
      <w:pPr>
        <w:ind w:left="3585" w:hanging="180"/>
      </w:pPr>
      <w:rPr>
        <w:rFonts w:hint="default"/>
      </w:rPr>
    </w:lvl>
    <w:lvl w:ilvl="4" w:tplc="636A5600">
      <w:numFmt w:val="bullet"/>
      <w:lvlText w:val="•"/>
      <w:lvlJc w:val="left"/>
      <w:pPr>
        <w:ind w:left="4614" w:hanging="180"/>
      </w:pPr>
      <w:rPr>
        <w:rFonts w:hint="default"/>
      </w:rPr>
    </w:lvl>
    <w:lvl w:ilvl="5" w:tplc="B36E3374">
      <w:numFmt w:val="bullet"/>
      <w:lvlText w:val="•"/>
      <w:lvlJc w:val="left"/>
      <w:pPr>
        <w:ind w:left="5642" w:hanging="180"/>
      </w:pPr>
      <w:rPr>
        <w:rFonts w:hint="default"/>
      </w:rPr>
    </w:lvl>
    <w:lvl w:ilvl="6" w:tplc="544C38B2">
      <w:numFmt w:val="bullet"/>
      <w:lvlText w:val="•"/>
      <w:lvlJc w:val="left"/>
      <w:pPr>
        <w:ind w:left="6671" w:hanging="180"/>
      </w:pPr>
      <w:rPr>
        <w:rFonts w:hint="default"/>
      </w:rPr>
    </w:lvl>
    <w:lvl w:ilvl="7" w:tplc="4F9A3150">
      <w:numFmt w:val="bullet"/>
      <w:lvlText w:val="•"/>
      <w:lvlJc w:val="left"/>
      <w:pPr>
        <w:ind w:left="7699" w:hanging="180"/>
      </w:pPr>
      <w:rPr>
        <w:rFonts w:hint="default"/>
      </w:rPr>
    </w:lvl>
    <w:lvl w:ilvl="8" w:tplc="23445A60">
      <w:numFmt w:val="bullet"/>
      <w:lvlText w:val="•"/>
      <w:lvlJc w:val="left"/>
      <w:pPr>
        <w:ind w:left="8728" w:hanging="180"/>
      </w:pPr>
      <w:rPr>
        <w:rFonts w:hint="default"/>
      </w:rPr>
    </w:lvl>
  </w:abstractNum>
  <w:abstractNum w:abstractNumId="1889" w15:restartNumberingAfterBreak="0">
    <w:nsid w:val="76340087"/>
    <w:multiLevelType w:val="hybridMultilevel"/>
    <w:tmpl w:val="F084BEF0"/>
    <w:lvl w:ilvl="0" w:tplc="96E8C1F0">
      <w:numFmt w:val="bullet"/>
      <w:lvlText w:val=""/>
      <w:lvlJc w:val="left"/>
      <w:pPr>
        <w:ind w:left="156" w:hanging="100"/>
      </w:pPr>
      <w:rPr>
        <w:rFonts w:ascii="Symbol" w:eastAsia="Symbol" w:hAnsi="Symbol" w:cs="Symbol" w:hint="default"/>
        <w:color w:val="231F20"/>
        <w:w w:val="100"/>
        <w:sz w:val="14"/>
        <w:szCs w:val="14"/>
      </w:rPr>
    </w:lvl>
    <w:lvl w:ilvl="1" w:tplc="870AF0B4">
      <w:numFmt w:val="bullet"/>
      <w:lvlText w:val="•"/>
      <w:lvlJc w:val="left"/>
      <w:pPr>
        <w:ind w:left="426" w:hanging="100"/>
      </w:pPr>
      <w:rPr>
        <w:rFonts w:hint="default"/>
      </w:rPr>
    </w:lvl>
    <w:lvl w:ilvl="2" w:tplc="A7EC7828">
      <w:numFmt w:val="bullet"/>
      <w:lvlText w:val="•"/>
      <w:lvlJc w:val="left"/>
      <w:pPr>
        <w:ind w:left="692" w:hanging="100"/>
      </w:pPr>
      <w:rPr>
        <w:rFonts w:hint="default"/>
      </w:rPr>
    </w:lvl>
    <w:lvl w:ilvl="3" w:tplc="22A2278C">
      <w:numFmt w:val="bullet"/>
      <w:lvlText w:val="•"/>
      <w:lvlJc w:val="left"/>
      <w:pPr>
        <w:ind w:left="959" w:hanging="100"/>
      </w:pPr>
      <w:rPr>
        <w:rFonts w:hint="default"/>
      </w:rPr>
    </w:lvl>
    <w:lvl w:ilvl="4" w:tplc="8F3C6778">
      <w:numFmt w:val="bullet"/>
      <w:lvlText w:val="•"/>
      <w:lvlJc w:val="left"/>
      <w:pPr>
        <w:ind w:left="1225" w:hanging="100"/>
      </w:pPr>
      <w:rPr>
        <w:rFonts w:hint="default"/>
      </w:rPr>
    </w:lvl>
    <w:lvl w:ilvl="5" w:tplc="DC369FF4">
      <w:numFmt w:val="bullet"/>
      <w:lvlText w:val="•"/>
      <w:lvlJc w:val="left"/>
      <w:pPr>
        <w:ind w:left="1492" w:hanging="100"/>
      </w:pPr>
      <w:rPr>
        <w:rFonts w:hint="default"/>
      </w:rPr>
    </w:lvl>
    <w:lvl w:ilvl="6" w:tplc="DDD271E8">
      <w:numFmt w:val="bullet"/>
      <w:lvlText w:val="•"/>
      <w:lvlJc w:val="left"/>
      <w:pPr>
        <w:ind w:left="1758" w:hanging="100"/>
      </w:pPr>
      <w:rPr>
        <w:rFonts w:hint="default"/>
      </w:rPr>
    </w:lvl>
    <w:lvl w:ilvl="7" w:tplc="2988D592">
      <w:numFmt w:val="bullet"/>
      <w:lvlText w:val="•"/>
      <w:lvlJc w:val="left"/>
      <w:pPr>
        <w:ind w:left="2024" w:hanging="100"/>
      </w:pPr>
      <w:rPr>
        <w:rFonts w:hint="default"/>
      </w:rPr>
    </w:lvl>
    <w:lvl w:ilvl="8" w:tplc="00FC11A6">
      <w:numFmt w:val="bullet"/>
      <w:lvlText w:val="•"/>
      <w:lvlJc w:val="left"/>
      <w:pPr>
        <w:ind w:left="2291" w:hanging="100"/>
      </w:pPr>
      <w:rPr>
        <w:rFonts w:hint="default"/>
      </w:rPr>
    </w:lvl>
  </w:abstractNum>
  <w:abstractNum w:abstractNumId="1890" w15:restartNumberingAfterBreak="0">
    <w:nsid w:val="763943FD"/>
    <w:multiLevelType w:val="hybridMultilevel"/>
    <w:tmpl w:val="1F3A3A86"/>
    <w:lvl w:ilvl="0" w:tplc="7C264276">
      <w:numFmt w:val="bullet"/>
      <w:lvlText w:val=""/>
      <w:lvlJc w:val="left"/>
      <w:pPr>
        <w:ind w:left="156" w:hanging="100"/>
      </w:pPr>
      <w:rPr>
        <w:rFonts w:ascii="Symbol" w:eastAsia="Symbol" w:hAnsi="Symbol" w:cs="Symbol" w:hint="default"/>
        <w:color w:val="231F20"/>
        <w:w w:val="100"/>
        <w:sz w:val="14"/>
        <w:szCs w:val="14"/>
      </w:rPr>
    </w:lvl>
    <w:lvl w:ilvl="1" w:tplc="168C7086">
      <w:numFmt w:val="bullet"/>
      <w:lvlText w:val="•"/>
      <w:lvlJc w:val="left"/>
      <w:pPr>
        <w:ind w:left="398" w:hanging="100"/>
      </w:pPr>
      <w:rPr>
        <w:rFonts w:hint="default"/>
      </w:rPr>
    </w:lvl>
    <w:lvl w:ilvl="2" w:tplc="40625538">
      <w:numFmt w:val="bullet"/>
      <w:lvlText w:val="•"/>
      <w:lvlJc w:val="left"/>
      <w:pPr>
        <w:ind w:left="636" w:hanging="100"/>
      </w:pPr>
      <w:rPr>
        <w:rFonts w:hint="default"/>
      </w:rPr>
    </w:lvl>
    <w:lvl w:ilvl="3" w:tplc="C09CC45A">
      <w:numFmt w:val="bullet"/>
      <w:lvlText w:val="•"/>
      <w:lvlJc w:val="left"/>
      <w:pPr>
        <w:ind w:left="874" w:hanging="100"/>
      </w:pPr>
      <w:rPr>
        <w:rFonts w:hint="default"/>
      </w:rPr>
    </w:lvl>
    <w:lvl w:ilvl="4" w:tplc="2CB46D14">
      <w:numFmt w:val="bullet"/>
      <w:lvlText w:val="•"/>
      <w:lvlJc w:val="left"/>
      <w:pPr>
        <w:ind w:left="1112" w:hanging="100"/>
      </w:pPr>
      <w:rPr>
        <w:rFonts w:hint="default"/>
      </w:rPr>
    </w:lvl>
    <w:lvl w:ilvl="5" w:tplc="02A489E8">
      <w:numFmt w:val="bullet"/>
      <w:lvlText w:val="•"/>
      <w:lvlJc w:val="left"/>
      <w:pPr>
        <w:ind w:left="1350" w:hanging="100"/>
      </w:pPr>
      <w:rPr>
        <w:rFonts w:hint="default"/>
      </w:rPr>
    </w:lvl>
    <w:lvl w:ilvl="6" w:tplc="2608752E">
      <w:numFmt w:val="bullet"/>
      <w:lvlText w:val="•"/>
      <w:lvlJc w:val="left"/>
      <w:pPr>
        <w:ind w:left="1588" w:hanging="100"/>
      </w:pPr>
      <w:rPr>
        <w:rFonts w:hint="default"/>
      </w:rPr>
    </w:lvl>
    <w:lvl w:ilvl="7" w:tplc="CE2C2B0C">
      <w:numFmt w:val="bullet"/>
      <w:lvlText w:val="•"/>
      <w:lvlJc w:val="left"/>
      <w:pPr>
        <w:ind w:left="1826" w:hanging="100"/>
      </w:pPr>
      <w:rPr>
        <w:rFonts w:hint="default"/>
      </w:rPr>
    </w:lvl>
    <w:lvl w:ilvl="8" w:tplc="AFBA067A">
      <w:numFmt w:val="bullet"/>
      <w:lvlText w:val="•"/>
      <w:lvlJc w:val="left"/>
      <w:pPr>
        <w:ind w:left="2064" w:hanging="100"/>
      </w:pPr>
      <w:rPr>
        <w:rFonts w:hint="default"/>
      </w:rPr>
    </w:lvl>
  </w:abstractNum>
  <w:abstractNum w:abstractNumId="1891" w15:restartNumberingAfterBreak="0">
    <w:nsid w:val="763F19EF"/>
    <w:multiLevelType w:val="hybridMultilevel"/>
    <w:tmpl w:val="405C7168"/>
    <w:lvl w:ilvl="0" w:tplc="080066D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95F8F728">
      <w:numFmt w:val="bullet"/>
      <w:lvlText w:val="•"/>
      <w:lvlJc w:val="left"/>
      <w:pPr>
        <w:ind w:left="408" w:hanging="84"/>
      </w:pPr>
      <w:rPr>
        <w:rFonts w:hint="default"/>
      </w:rPr>
    </w:lvl>
    <w:lvl w:ilvl="2" w:tplc="482C5198">
      <w:numFmt w:val="bullet"/>
      <w:lvlText w:val="•"/>
      <w:lvlJc w:val="left"/>
      <w:pPr>
        <w:ind w:left="676" w:hanging="84"/>
      </w:pPr>
      <w:rPr>
        <w:rFonts w:hint="default"/>
      </w:rPr>
    </w:lvl>
    <w:lvl w:ilvl="3" w:tplc="8524599A">
      <w:numFmt w:val="bullet"/>
      <w:lvlText w:val="•"/>
      <w:lvlJc w:val="left"/>
      <w:pPr>
        <w:ind w:left="945" w:hanging="84"/>
      </w:pPr>
      <w:rPr>
        <w:rFonts w:hint="default"/>
      </w:rPr>
    </w:lvl>
    <w:lvl w:ilvl="4" w:tplc="C05E71BA">
      <w:numFmt w:val="bullet"/>
      <w:lvlText w:val="•"/>
      <w:lvlJc w:val="left"/>
      <w:pPr>
        <w:ind w:left="1213" w:hanging="84"/>
      </w:pPr>
      <w:rPr>
        <w:rFonts w:hint="default"/>
      </w:rPr>
    </w:lvl>
    <w:lvl w:ilvl="5" w:tplc="891688BE">
      <w:numFmt w:val="bullet"/>
      <w:lvlText w:val="•"/>
      <w:lvlJc w:val="left"/>
      <w:pPr>
        <w:ind w:left="1482" w:hanging="84"/>
      </w:pPr>
      <w:rPr>
        <w:rFonts w:hint="default"/>
      </w:rPr>
    </w:lvl>
    <w:lvl w:ilvl="6" w:tplc="724A18AC">
      <w:numFmt w:val="bullet"/>
      <w:lvlText w:val="•"/>
      <w:lvlJc w:val="left"/>
      <w:pPr>
        <w:ind w:left="1750" w:hanging="84"/>
      </w:pPr>
      <w:rPr>
        <w:rFonts w:hint="default"/>
      </w:rPr>
    </w:lvl>
    <w:lvl w:ilvl="7" w:tplc="E6840A30">
      <w:numFmt w:val="bullet"/>
      <w:lvlText w:val="•"/>
      <w:lvlJc w:val="left"/>
      <w:pPr>
        <w:ind w:left="2018" w:hanging="84"/>
      </w:pPr>
      <w:rPr>
        <w:rFonts w:hint="default"/>
      </w:rPr>
    </w:lvl>
    <w:lvl w:ilvl="8" w:tplc="34D43AC8">
      <w:numFmt w:val="bullet"/>
      <w:lvlText w:val="•"/>
      <w:lvlJc w:val="left"/>
      <w:pPr>
        <w:ind w:left="2287" w:hanging="84"/>
      </w:pPr>
      <w:rPr>
        <w:rFonts w:hint="default"/>
      </w:rPr>
    </w:lvl>
  </w:abstractNum>
  <w:abstractNum w:abstractNumId="1892" w15:restartNumberingAfterBreak="0">
    <w:nsid w:val="765852BC"/>
    <w:multiLevelType w:val="hybridMultilevel"/>
    <w:tmpl w:val="8D5EF350"/>
    <w:lvl w:ilvl="0" w:tplc="E552FE00">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0C14953E">
      <w:numFmt w:val="bullet"/>
      <w:lvlText w:val="•"/>
      <w:lvlJc w:val="left"/>
      <w:pPr>
        <w:ind w:left="351" w:hanging="84"/>
      </w:pPr>
      <w:rPr>
        <w:rFonts w:hint="default"/>
      </w:rPr>
    </w:lvl>
    <w:lvl w:ilvl="2" w:tplc="E74CE0E8">
      <w:numFmt w:val="bullet"/>
      <w:lvlText w:val="•"/>
      <w:lvlJc w:val="left"/>
      <w:pPr>
        <w:ind w:left="563" w:hanging="84"/>
      </w:pPr>
      <w:rPr>
        <w:rFonts w:hint="default"/>
      </w:rPr>
    </w:lvl>
    <w:lvl w:ilvl="3" w:tplc="A6245782">
      <w:numFmt w:val="bullet"/>
      <w:lvlText w:val="•"/>
      <w:lvlJc w:val="left"/>
      <w:pPr>
        <w:ind w:left="775" w:hanging="84"/>
      </w:pPr>
      <w:rPr>
        <w:rFonts w:hint="default"/>
      </w:rPr>
    </w:lvl>
    <w:lvl w:ilvl="4" w:tplc="7E8C41EE">
      <w:numFmt w:val="bullet"/>
      <w:lvlText w:val="•"/>
      <w:lvlJc w:val="left"/>
      <w:pPr>
        <w:ind w:left="986" w:hanging="84"/>
      </w:pPr>
      <w:rPr>
        <w:rFonts w:hint="default"/>
      </w:rPr>
    </w:lvl>
    <w:lvl w:ilvl="5" w:tplc="BF082B0E">
      <w:numFmt w:val="bullet"/>
      <w:lvlText w:val="•"/>
      <w:lvlJc w:val="left"/>
      <w:pPr>
        <w:ind w:left="1198" w:hanging="84"/>
      </w:pPr>
      <w:rPr>
        <w:rFonts w:hint="default"/>
      </w:rPr>
    </w:lvl>
    <w:lvl w:ilvl="6" w:tplc="3B96659C">
      <w:numFmt w:val="bullet"/>
      <w:lvlText w:val="•"/>
      <w:lvlJc w:val="left"/>
      <w:pPr>
        <w:ind w:left="1410" w:hanging="84"/>
      </w:pPr>
      <w:rPr>
        <w:rFonts w:hint="default"/>
      </w:rPr>
    </w:lvl>
    <w:lvl w:ilvl="7" w:tplc="7F8EFFA6">
      <w:numFmt w:val="bullet"/>
      <w:lvlText w:val="•"/>
      <w:lvlJc w:val="left"/>
      <w:pPr>
        <w:ind w:left="1621" w:hanging="84"/>
      </w:pPr>
      <w:rPr>
        <w:rFonts w:hint="default"/>
      </w:rPr>
    </w:lvl>
    <w:lvl w:ilvl="8" w:tplc="3F46ED16">
      <w:numFmt w:val="bullet"/>
      <w:lvlText w:val="•"/>
      <w:lvlJc w:val="left"/>
      <w:pPr>
        <w:ind w:left="1833" w:hanging="84"/>
      </w:pPr>
      <w:rPr>
        <w:rFonts w:hint="default"/>
      </w:rPr>
    </w:lvl>
  </w:abstractNum>
  <w:abstractNum w:abstractNumId="1893" w15:restartNumberingAfterBreak="0">
    <w:nsid w:val="765C7022"/>
    <w:multiLevelType w:val="hybridMultilevel"/>
    <w:tmpl w:val="4600DE94"/>
    <w:lvl w:ilvl="0" w:tplc="72CEB2E4">
      <w:numFmt w:val="bullet"/>
      <w:lvlText w:val=""/>
      <w:lvlJc w:val="left"/>
      <w:pPr>
        <w:ind w:left="156" w:hanging="100"/>
      </w:pPr>
      <w:rPr>
        <w:rFonts w:ascii="Symbol" w:eastAsia="Symbol" w:hAnsi="Symbol" w:cs="Symbol" w:hint="default"/>
        <w:color w:val="231F20"/>
        <w:w w:val="100"/>
        <w:sz w:val="14"/>
        <w:szCs w:val="14"/>
      </w:rPr>
    </w:lvl>
    <w:lvl w:ilvl="1" w:tplc="57B07F14">
      <w:numFmt w:val="bullet"/>
      <w:lvlText w:val="•"/>
      <w:lvlJc w:val="left"/>
      <w:pPr>
        <w:ind w:left="301" w:hanging="100"/>
      </w:pPr>
      <w:rPr>
        <w:rFonts w:hint="default"/>
      </w:rPr>
    </w:lvl>
    <w:lvl w:ilvl="2" w:tplc="84BA74E4">
      <w:numFmt w:val="bullet"/>
      <w:lvlText w:val="•"/>
      <w:lvlJc w:val="left"/>
      <w:pPr>
        <w:ind w:left="443" w:hanging="100"/>
      </w:pPr>
      <w:rPr>
        <w:rFonts w:hint="default"/>
      </w:rPr>
    </w:lvl>
    <w:lvl w:ilvl="3" w:tplc="EE5E1CDE">
      <w:numFmt w:val="bullet"/>
      <w:lvlText w:val="•"/>
      <w:lvlJc w:val="left"/>
      <w:pPr>
        <w:ind w:left="585" w:hanging="100"/>
      </w:pPr>
      <w:rPr>
        <w:rFonts w:hint="default"/>
      </w:rPr>
    </w:lvl>
    <w:lvl w:ilvl="4" w:tplc="D9E22DBA">
      <w:numFmt w:val="bullet"/>
      <w:lvlText w:val="•"/>
      <w:lvlJc w:val="left"/>
      <w:pPr>
        <w:ind w:left="726" w:hanging="100"/>
      </w:pPr>
      <w:rPr>
        <w:rFonts w:hint="default"/>
      </w:rPr>
    </w:lvl>
    <w:lvl w:ilvl="5" w:tplc="7CA2D346">
      <w:numFmt w:val="bullet"/>
      <w:lvlText w:val="•"/>
      <w:lvlJc w:val="left"/>
      <w:pPr>
        <w:ind w:left="868" w:hanging="100"/>
      </w:pPr>
      <w:rPr>
        <w:rFonts w:hint="default"/>
      </w:rPr>
    </w:lvl>
    <w:lvl w:ilvl="6" w:tplc="ADF076EA">
      <w:numFmt w:val="bullet"/>
      <w:lvlText w:val="•"/>
      <w:lvlJc w:val="left"/>
      <w:pPr>
        <w:ind w:left="1010" w:hanging="100"/>
      </w:pPr>
      <w:rPr>
        <w:rFonts w:hint="default"/>
      </w:rPr>
    </w:lvl>
    <w:lvl w:ilvl="7" w:tplc="53647FA6">
      <w:numFmt w:val="bullet"/>
      <w:lvlText w:val="•"/>
      <w:lvlJc w:val="left"/>
      <w:pPr>
        <w:ind w:left="1151" w:hanging="100"/>
      </w:pPr>
      <w:rPr>
        <w:rFonts w:hint="default"/>
      </w:rPr>
    </w:lvl>
    <w:lvl w:ilvl="8" w:tplc="82CE9D00">
      <w:numFmt w:val="bullet"/>
      <w:lvlText w:val="•"/>
      <w:lvlJc w:val="left"/>
      <w:pPr>
        <w:ind w:left="1293" w:hanging="100"/>
      </w:pPr>
      <w:rPr>
        <w:rFonts w:hint="default"/>
      </w:rPr>
    </w:lvl>
  </w:abstractNum>
  <w:abstractNum w:abstractNumId="1894" w15:restartNumberingAfterBreak="0">
    <w:nsid w:val="767F3B2C"/>
    <w:multiLevelType w:val="hybridMultilevel"/>
    <w:tmpl w:val="83605774"/>
    <w:lvl w:ilvl="0" w:tplc="586ECC58">
      <w:numFmt w:val="bullet"/>
      <w:lvlText w:val=""/>
      <w:lvlJc w:val="left"/>
      <w:pPr>
        <w:ind w:left="156" w:hanging="100"/>
      </w:pPr>
      <w:rPr>
        <w:rFonts w:ascii="Symbol" w:eastAsia="Symbol" w:hAnsi="Symbol" w:cs="Symbol" w:hint="default"/>
        <w:color w:val="231F20"/>
        <w:w w:val="100"/>
        <w:sz w:val="14"/>
        <w:szCs w:val="14"/>
      </w:rPr>
    </w:lvl>
    <w:lvl w:ilvl="1" w:tplc="E9EEF766">
      <w:numFmt w:val="bullet"/>
      <w:lvlText w:val="•"/>
      <w:lvlJc w:val="left"/>
      <w:pPr>
        <w:ind w:left="301" w:hanging="100"/>
      </w:pPr>
      <w:rPr>
        <w:rFonts w:hint="default"/>
      </w:rPr>
    </w:lvl>
    <w:lvl w:ilvl="2" w:tplc="BA4A225C">
      <w:numFmt w:val="bullet"/>
      <w:lvlText w:val="•"/>
      <w:lvlJc w:val="left"/>
      <w:pPr>
        <w:ind w:left="443" w:hanging="100"/>
      </w:pPr>
      <w:rPr>
        <w:rFonts w:hint="default"/>
      </w:rPr>
    </w:lvl>
    <w:lvl w:ilvl="3" w:tplc="83967BFC">
      <w:numFmt w:val="bullet"/>
      <w:lvlText w:val="•"/>
      <w:lvlJc w:val="left"/>
      <w:pPr>
        <w:ind w:left="585" w:hanging="100"/>
      </w:pPr>
      <w:rPr>
        <w:rFonts w:hint="default"/>
      </w:rPr>
    </w:lvl>
    <w:lvl w:ilvl="4" w:tplc="0C6AA22C">
      <w:numFmt w:val="bullet"/>
      <w:lvlText w:val="•"/>
      <w:lvlJc w:val="left"/>
      <w:pPr>
        <w:ind w:left="726" w:hanging="100"/>
      </w:pPr>
      <w:rPr>
        <w:rFonts w:hint="default"/>
      </w:rPr>
    </w:lvl>
    <w:lvl w:ilvl="5" w:tplc="F500A0CE">
      <w:numFmt w:val="bullet"/>
      <w:lvlText w:val="•"/>
      <w:lvlJc w:val="left"/>
      <w:pPr>
        <w:ind w:left="868" w:hanging="100"/>
      </w:pPr>
      <w:rPr>
        <w:rFonts w:hint="default"/>
      </w:rPr>
    </w:lvl>
    <w:lvl w:ilvl="6" w:tplc="7CC03096">
      <w:numFmt w:val="bullet"/>
      <w:lvlText w:val="•"/>
      <w:lvlJc w:val="left"/>
      <w:pPr>
        <w:ind w:left="1010" w:hanging="100"/>
      </w:pPr>
      <w:rPr>
        <w:rFonts w:hint="default"/>
      </w:rPr>
    </w:lvl>
    <w:lvl w:ilvl="7" w:tplc="74CAD956">
      <w:numFmt w:val="bullet"/>
      <w:lvlText w:val="•"/>
      <w:lvlJc w:val="left"/>
      <w:pPr>
        <w:ind w:left="1151" w:hanging="100"/>
      </w:pPr>
      <w:rPr>
        <w:rFonts w:hint="default"/>
      </w:rPr>
    </w:lvl>
    <w:lvl w:ilvl="8" w:tplc="755A69EA">
      <w:numFmt w:val="bullet"/>
      <w:lvlText w:val="•"/>
      <w:lvlJc w:val="left"/>
      <w:pPr>
        <w:ind w:left="1293" w:hanging="100"/>
      </w:pPr>
      <w:rPr>
        <w:rFonts w:hint="default"/>
      </w:rPr>
    </w:lvl>
  </w:abstractNum>
  <w:abstractNum w:abstractNumId="1895" w15:restartNumberingAfterBreak="0">
    <w:nsid w:val="768D5792"/>
    <w:multiLevelType w:val="hybridMultilevel"/>
    <w:tmpl w:val="76425214"/>
    <w:lvl w:ilvl="0" w:tplc="29FAD04E">
      <w:numFmt w:val="bullet"/>
      <w:lvlText w:val=""/>
      <w:lvlJc w:val="left"/>
      <w:pPr>
        <w:ind w:left="156" w:hanging="100"/>
      </w:pPr>
      <w:rPr>
        <w:rFonts w:ascii="Symbol" w:eastAsia="Symbol" w:hAnsi="Symbol" w:cs="Symbol" w:hint="default"/>
        <w:color w:val="231F20"/>
        <w:w w:val="100"/>
        <w:sz w:val="14"/>
        <w:szCs w:val="14"/>
      </w:rPr>
    </w:lvl>
    <w:lvl w:ilvl="1" w:tplc="E0606E82">
      <w:numFmt w:val="bullet"/>
      <w:lvlText w:val="•"/>
      <w:lvlJc w:val="left"/>
      <w:pPr>
        <w:ind w:left="426" w:hanging="100"/>
      </w:pPr>
      <w:rPr>
        <w:rFonts w:hint="default"/>
      </w:rPr>
    </w:lvl>
    <w:lvl w:ilvl="2" w:tplc="F1EC7BE2">
      <w:numFmt w:val="bullet"/>
      <w:lvlText w:val="•"/>
      <w:lvlJc w:val="left"/>
      <w:pPr>
        <w:ind w:left="692" w:hanging="100"/>
      </w:pPr>
      <w:rPr>
        <w:rFonts w:hint="default"/>
      </w:rPr>
    </w:lvl>
    <w:lvl w:ilvl="3" w:tplc="FD9CD9EA">
      <w:numFmt w:val="bullet"/>
      <w:lvlText w:val="•"/>
      <w:lvlJc w:val="left"/>
      <w:pPr>
        <w:ind w:left="959" w:hanging="100"/>
      </w:pPr>
      <w:rPr>
        <w:rFonts w:hint="default"/>
      </w:rPr>
    </w:lvl>
    <w:lvl w:ilvl="4" w:tplc="928EFDD2">
      <w:numFmt w:val="bullet"/>
      <w:lvlText w:val="•"/>
      <w:lvlJc w:val="left"/>
      <w:pPr>
        <w:ind w:left="1225" w:hanging="100"/>
      </w:pPr>
      <w:rPr>
        <w:rFonts w:hint="default"/>
      </w:rPr>
    </w:lvl>
    <w:lvl w:ilvl="5" w:tplc="EEE43FF8">
      <w:numFmt w:val="bullet"/>
      <w:lvlText w:val="•"/>
      <w:lvlJc w:val="left"/>
      <w:pPr>
        <w:ind w:left="1492" w:hanging="100"/>
      </w:pPr>
      <w:rPr>
        <w:rFonts w:hint="default"/>
      </w:rPr>
    </w:lvl>
    <w:lvl w:ilvl="6" w:tplc="A1642184">
      <w:numFmt w:val="bullet"/>
      <w:lvlText w:val="•"/>
      <w:lvlJc w:val="left"/>
      <w:pPr>
        <w:ind w:left="1758" w:hanging="100"/>
      </w:pPr>
      <w:rPr>
        <w:rFonts w:hint="default"/>
      </w:rPr>
    </w:lvl>
    <w:lvl w:ilvl="7" w:tplc="0C00C3BC">
      <w:numFmt w:val="bullet"/>
      <w:lvlText w:val="•"/>
      <w:lvlJc w:val="left"/>
      <w:pPr>
        <w:ind w:left="2024" w:hanging="100"/>
      </w:pPr>
      <w:rPr>
        <w:rFonts w:hint="default"/>
      </w:rPr>
    </w:lvl>
    <w:lvl w:ilvl="8" w:tplc="8AE63B88">
      <w:numFmt w:val="bullet"/>
      <w:lvlText w:val="•"/>
      <w:lvlJc w:val="left"/>
      <w:pPr>
        <w:ind w:left="2291" w:hanging="100"/>
      </w:pPr>
      <w:rPr>
        <w:rFonts w:hint="default"/>
      </w:rPr>
    </w:lvl>
  </w:abstractNum>
  <w:abstractNum w:abstractNumId="1896" w15:restartNumberingAfterBreak="0">
    <w:nsid w:val="76B54AA5"/>
    <w:multiLevelType w:val="hybridMultilevel"/>
    <w:tmpl w:val="AC629A1A"/>
    <w:lvl w:ilvl="0" w:tplc="4C6AF6D6">
      <w:numFmt w:val="bullet"/>
      <w:lvlText w:val=""/>
      <w:lvlJc w:val="left"/>
      <w:pPr>
        <w:ind w:left="156" w:hanging="100"/>
      </w:pPr>
      <w:rPr>
        <w:rFonts w:ascii="Symbol" w:eastAsia="Symbol" w:hAnsi="Symbol" w:cs="Symbol" w:hint="default"/>
        <w:color w:val="231F20"/>
        <w:w w:val="100"/>
        <w:sz w:val="14"/>
        <w:szCs w:val="14"/>
      </w:rPr>
    </w:lvl>
    <w:lvl w:ilvl="1" w:tplc="2F10DFE8">
      <w:numFmt w:val="bullet"/>
      <w:lvlText w:val="•"/>
      <w:lvlJc w:val="left"/>
      <w:pPr>
        <w:ind w:left="301" w:hanging="100"/>
      </w:pPr>
      <w:rPr>
        <w:rFonts w:hint="default"/>
      </w:rPr>
    </w:lvl>
    <w:lvl w:ilvl="2" w:tplc="7A5EF172">
      <w:numFmt w:val="bullet"/>
      <w:lvlText w:val="•"/>
      <w:lvlJc w:val="left"/>
      <w:pPr>
        <w:ind w:left="443" w:hanging="100"/>
      </w:pPr>
      <w:rPr>
        <w:rFonts w:hint="default"/>
      </w:rPr>
    </w:lvl>
    <w:lvl w:ilvl="3" w:tplc="69CC247C">
      <w:numFmt w:val="bullet"/>
      <w:lvlText w:val="•"/>
      <w:lvlJc w:val="left"/>
      <w:pPr>
        <w:ind w:left="585" w:hanging="100"/>
      </w:pPr>
      <w:rPr>
        <w:rFonts w:hint="default"/>
      </w:rPr>
    </w:lvl>
    <w:lvl w:ilvl="4" w:tplc="2320EBE0">
      <w:numFmt w:val="bullet"/>
      <w:lvlText w:val="•"/>
      <w:lvlJc w:val="left"/>
      <w:pPr>
        <w:ind w:left="726" w:hanging="100"/>
      </w:pPr>
      <w:rPr>
        <w:rFonts w:hint="default"/>
      </w:rPr>
    </w:lvl>
    <w:lvl w:ilvl="5" w:tplc="82AEDF28">
      <w:numFmt w:val="bullet"/>
      <w:lvlText w:val="•"/>
      <w:lvlJc w:val="left"/>
      <w:pPr>
        <w:ind w:left="868" w:hanging="100"/>
      </w:pPr>
      <w:rPr>
        <w:rFonts w:hint="default"/>
      </w:rPr>
    </w:lvl>
    <w:lvl w:ilvl="6" w:tplc="BBF668E4">
      <w:numFmt w:val="bullet"/>
      <w:lvlText w:val="•"/>
      <w:lvlJc w:val="left"/>
      <w:pPr>
        <w:ind w:left="1010" w:hanging="100"/>
      </w:pPr>
      <w:rPr>
        <w:rFonts w:hint="default"/>
      </w:rPr>
    </w:lvl>
    <w:lvl w:ilvl="7" w:tplc="5142CCA8">
      <w:numFmt w:val="bullet"/>
      <w:lvlText w:val="•"/>
      <w:lvlJc w:val="left"/>
      <w:pPr>
        <w:ind w:left="1151" w:hanging="100"/>
      </w:pPr>
      <w:rPr>
        <w:rFonts w:hint="default"/>
      </w:rPr>
    </w:lvl>
    <w:lvl w:ilvl="8" w:tplc="D258385E">
      <w:numFmt w:val="bullet"/>
      <w:lvlText w:val="•"/>
      <w:lvlJc w:val="left"/>
      <w:pPr>
        <w:ind w:left="1293" w:hanging="100"/>
      </w:pPr>
      <w:rPr>
        <w:rFonts w:hint="default"/>
      </w:rPr>
    </w:lvl>
  </w:abstractNum>
  <w:abstractNum w:abstractNumId="1897" w15:restartNumberingAfterBreak="0">
    <w:nsid w:val="76B54D94"/>
    <w:multiLevelType w:val="hybridMultilevel"/>
    <w:tmpl w:val="DB061A8E"/>
    <w:lvl w:ilvl="0" w:tplc="1FB82378">
      <w:numFmt w:val="bullet"/>
      <w:lvlText w:val=""/>
      <w:lvlJc w:val="left"/>
      <w:pPr>
        <w:ind w:left="156" w:hanging="100"/>
      </w:pPr>
      <w:rPr>
        <w:rFonts w:ascii="Symbol" w:eastAsia="Symbol" w:hAnsi="Symbol" w:cs="Symbol" w:hint="default"/>
        <w:color w:val="231F20"/>
        <w:w w:val="100"/>
        <w:sz w:val="14"/>
        <w:szCs w:val="14"/>
      </w:rPr>
    </w:lvl>
    <w:lvl w:ilvl="1" w:tplc="1BACD4BA">
      <w:numFmt w:val="bullet"/>
      <w:lvlText w:val="•"/>
      <w:lvlJc w:val="left"/>
      <w:pPr>
        <w:ind w:left="301" w:hanging="100"/>
      </w:pPr>
      <w:rPr>
        <w:rFonts w:hint="default"/>
      </w:rPr>
    </w:lvl>
    <w:lvl w:ilvl="2" w:tplc="69486148">
      <w:numFmt w:val="bullet"/>
      <w:lvlText w:val="•"/>
      <w:lvlJc w:val="left"/>
      <w:pPr>
        <w:ind w:left="443" w:hanging="100"/>
      </w:pPr>
      <w:rPr>
        <w:rFonts w:hint="default"/>
      </w:rPr>
    </w:lvl>
    <w:lvl w:ilvl="3" w:tplc="8004BC08">
      <w:numFmt w:val="bullet"/>
      <w:lvlText w:val="•"/>
      <w:lvlJc w:val="left"/>
      <w:pPr>
        <w:ind w:left="585" w:hanging="100"/>
      </w:pPr>
      <w:rPr>
        <w:rFonts w:hint="default"/>
      </w:rPr>
    </w:lvl>
    <w:lvl w:ilvl="4" w:tplc="F1CE2272">
      <w:numFmt w:val="bullet"/>
      <w:lvlText w:val="•"/>
      <w:lvlJc w:val="left"/>
      <w:pPr>
        <w:ind w:left="726" w:hanging="100"/>
      </w:pPr>
      <w:rPr>
        <w:rFonts w:hint="default"/>
      </w:rPr>
    </w:lvl>
    <w:lvl w:ilvl="5" w:tplc="F440E9CE">
      <w:numFmt w:val="bullet"/>
      <w:lvlText w:val="•"/>
      <w:lvlJc w:val="left"/>
      <w:pPr>
        <w:ind w:left="868" w:hanging="100"/>
      </w:pPr>
      <w:rPr>
        <w:rFonts w:hint="default"/>
      </w:rPr>
    </w:lvl>
    <w:lvl w:ilvl="6" w:tplc="45BCCF48">
      <w:numFmt w:val="bullet"/>
      <w:lvlText w:val="•"/>
      <w:lvlJc w:val="left"/>
      <w:pPr>
        <w:ind w:left="1010" w:hanging="100"/>
      </w:pPr>
      <w:rPr>
        <w:rFonts w:hint="default"/>
      </w:rPr>
    </w:lvl>
    <w:lvl w:ilvl="7" w:tplc="ACEC5854">
      <w:numFmt w:val="bullet"/>
      <w:lvlText w:val="•"/>
      <w:lvlJc w:val="left"/>
      <w:pPr>
        <w:ind w:left="1151" w:hanging="100"/>
      </w:pPr>
      <w:rPr>
        <w:rFonts w:hint="default"/>
      </w:rPr>
    </w:lvl>
    <w:lvl w:ilvl="8" w:tplc="1F4CF4AC">
      <w:numFmt w:val="bullet"/>
      <w:lvlText w:val="•"/>
      <w:lvlJc w:val="left"/>
      <w:pPr>
        <w:ind w:left="1293" w:hanging="100"/>
      </w:pPr>
      <w:rPr>
        <w:rFonts w:hint="default"/>
      </w:rPr>
    </w:lvl>
  </w:abstractNum>
  <w:abstractNum w:abstractNumId="1898" w15:restartNumberingAfterBreak="0">
    <w:nsid w:val="76C95C1C"/>
    <w:multiLevelType w:val="hybridMultilevel"/>
    <w:tmpl w:val="AFCE18D6"/>
    <w:lvl w:ilvl="0" w:tplc="2E549C3A">
      <w:numFmt w:val="bullet"/>
      <w:lvlText w:val=""/>
      <w:lvlJc w:val="left"/>
      <w:pPr>
        <w:ind w:left="156" w:hanging="100"/>
      </w:pPr>
      <w:rPr>
        <w:rFonts w:ascii="Symbol" w:eastAsia="Symbol" w:hAnsi="Symbol" w:cs="Symbol" w:hint="default"/>
        <w:color w:val="231F20"/>
        <w:w w:val="100"/>
        <w:sz w:val="14"/>
        <w:szCs w:val="14"/>
      </w:rPr>
    </w:lvl>
    <w:lvl w:ilvl="1" w:tplc="C250290A">
      <w:numFmt w:val="bullet"/>
      <w:lvlText w:val="•"/>
      <w:lvlJc w:val="left"/>
      <w:pPr>
        <w:ind w:left="301" w:hanging="100"/>
      </w:pPr>
      <w:rPr>
        <w:rFonts w:hint="default"/>
      </w:rPr>
    </w:lvl>
    <w:lvl w:ilvl="2" w:tplc="A7CE37C4">
      <w:numFmt w:val="bullet"/>
      <w:lvlText w:val="•"/>
      <w:lvlJc w:val="left"/>
      <w:pPr>
        <w:ind w:left="443" w:hanging="100"/>
      </w:pPr>
      <w:rPr>
        <w:rFonts w:hint="default"/>
      </w:rPr>
    </w:lvl>
    <w:lvl w:ilvl="3" w:tplc="E2EC38EE">
      <w:numFmt w:val="bullet"/>
      <w:lvlText w:val="•"/>
      <w:lvlJc w:val="left"/>
      <w:pPr>
        <w:ind w:left="585" w:hanging="100"/>
      </w:pPr>
      <w:rPr>
        <w:rFonts w:hint="default"/>
      </w:rPr>
    </w:lvl>
    <w:lvl w:ilvl="4" w:tplc="65503966">
      <w:numFmt w:val="bullet"/>
      <w:lvlText w:val="•"/>
      <w:lvlJc w:val="left"/>
      <w:pPr>
        <w:ind w:left="726" w:hanging="100"/>
      </w:pPr>
      <w:rPr>
        <w:rFonts w:hint="default"/>
      </w:rPr>
    </w:lvl>
    <w:lvl w:ilvl="5" w:tplc="8FC6009A">
      <w:numFmt w:val="bullet"/>
      <w:lvlText w:val="•"/>
      <w:lvlJc w:val="left"/>
      <w:pPr>
        <w:ind w:left="868" w:hanging="100"/>
      </w:pPr>
      <w:rPr>
        <w:rFonts w:hint="default"/>
      </w:rPr>
    </w:lvl>
    <w:lvl w:ilvl="6" w:tplc="7ACEB4CE">
      <w:numFmt w:val="bullet"/>
      <w:lvlText w:val="•"/>
      <w:lvlJc w:val="left"/>
      <w:pPr>
        <w:ind w:left="1010" w:hanging="100"/>
      </w:pPr>
      <w:rPr>
        <w:rFonts w:hint="default"/>
      </w:rPr>
    </w:lvl>
    <w:lvl w:ilvl="7" w:tplc="E634F5D6">
      <w:numFmt w:val="bullet"/>
      <w:lvlText w:val="•"/>
      <w:lvlJc w:val="left"/>
      <w:pPr>
        <w:ind w:left="1151" w:hanging="100"/>
      </w:pPr>
      <w:rPr>
        <w:rFonts w:hint="default"/>
      </w:rPr>
    </w:lvl>
    <w:lvl w:ilvl="8" w:tplc="D14CF352">
      <w:numFmt w:val="bullet"/>
      <w:lvlText w:val="•"/>
      <w:lvlJc w:val="left"/>
      <w:pPr>
        <w:ind w:left="1293" w:hanging="100"/>
      </w:pPr>
      <w:rPr>
        <w:rFonts w:hint="default"/>
      </w:rPr>
    </w:lvl>
  </w:abstractNum>
  <w:abstractNum w:abstractNumId="1899" w15:restartNumberingAfterBreak="0">
    <w:nsid w:val="76E90E1F"/>
    <w:multiLevelType w:val="hybridMultilevel"/>
    <w:tmpl w:val="E4508002"/>
    <w:lvl w:ilvl="0" w:tplc="3C587EAA">
      <w:numFmt w:val="bullet"/>
      <w:lvlText w:val=""/>
      <w:lvlJc w:val="left"/>
      <w:pPr>
        <w:ind w:left="157" w:hanging="100"/>
      </w:pPr>
      <w:rPr>
        <w:rFonts w:ascii="Symbol" w:eastAsia="Symbol" w:hAnsi="Symbol" w:cs="Symbol" w:hint="default"/>
        <w:color w:val="231F20"/>
        <w:w w:val="100"/>
        <w:sz w:val="14"/>
        <w:szCs w:val="14"/>
      </w:rPr>
    </w:lvl>
    <w:lvl w:ilvl="1" w:tplc="A4D4DD9A">
      <w:numFmt w:val="bullet"/>
      <w:lvlText w:val="•"/>
      <w:lvlJc w:val="left"/>
      <w:pPr>
        <w:ind w:left="369" w:hanging="100"/>
      </w:pPr>
      <w:rPr>
        <w:rFonts w:hint="default"/>
      </w:rPr>
    </w:lvl>
    <w:lvl w:ilvl="2" w:tplc="FF785718">
      <w:numFmt w:val="bullet"/>
      <w:lvlText w:val="•"/>
      <w:lvlJc w:val="left"/>
      <w:pPr>
        <w:ind w:left="579" w:hanging="100"/>
      </w:pPr>
      <w:rPr>
        <w:rFonts w:hint="default"/>
      </w:rPr>
    </w:lvl>
    <w:lvl w:ilvl="3" w:tplc="CED4313E">
      <w:numFmt w:val="bullet"/>
      <w:lvlText w:val="•"/>
      <w:lvlJc w:val="left"/>
      <w:pPr>
        <w:ind w:left="789" w:hanging="100"/>
      </w:pPr>
      <w:rPr>
        <w:rFonts w:hint="default"/>
      </w:rPr>
    </w:lvl>
    <w:lvl w:ilvl="4" w:tplc="9EB61D16">
      <w:numFmt w:val="bullet"/>
      <w:lvlText w:val="•"/>
      <w:lvlJc w:val="left"/>
      <w:pPr>
        <w:ind w:left="998" w:hanging="100"/>
      </w:pPr>
      <w:rPr>
        <w:rFonts w:hint="default"/>
      </w:rPr>
    </w:lvl>
    <w:lvl w:ilvl="5" w:tplc="52AE603C">
      <w:numFmt w:val="bullet"/>
      <w:lvlText w:val="•"/>
      <w:lvlJc w:val="left"/>
      <w:pPr>
        <w:ind w:left="1208" w:hanging="100"/>
      </w:pPr>
      <w:rPr>
        <w:rFonts w:hint="default"/>
      </w:rPr>
    </w:lvl>
    <w:lvl w:ilvl="6" w:tplc="6750D4BE">
      <w:numFmt w:val="bullet"/>
      <w:lvlText w:val="•"/>
      <w:lvlJc w:val="left"/>
      <w:pPr>
        <w:ind w:left="1418" w:hanging="100"/>
      </w:pPr>
      <w:rPr>
        <w:rFonts w:hint="default"/>
      </w:rPr>
    </w:lvl>
    <w:lvl w:ilvl="7" w:tplc="0DE2FE84">
      <w:numFmt w:val="bullet"/>
      <w:lvlText w:val="•"/>
      <w:lvlJc w:val="left"/>
      <w:pPr>
        <w:ind w:left="1627" w:hanging="100"/>
      </w:pPr>
      <w:rPr>
        <w:rFonts w:hint="default"/>
      </w:rPr>
    </w:lvl>
    <w:lvl w:ilvl="8" w:tplc="C004D9B8">
      <w:numFmt w:val="bullet"/>
      <w:lvlText w:val="•"/>
      <w:lvlJc w:val="left"/>
      <w:pPr>
        <w:ind w:left="1837" w:hanging="100"/>
      </w:pPr>
      <w:rPr>
        <w:rFonts w:hint="default"/>
      </w:rPr>
    </w:lvl>
  </w:abstractNum>
  <w:abstractNum w:abstractNumId="1900" w15:restartNumberingAfterBreak="0">
    <w:nsid w:val="76F605DF"/>
    <w:multiLevelType w:val="hybridMultilevel"/>
    <w:tmpl w:val="C35AE944"/>
    <w:lvl w:ilvl="0" w:tplc="539ABAB0">
      <w:numFmt w:val="bullet"/>
      <w:lvlText w:val=""/>
      <w:lvlJc w:val="left"/>
      <w:pPr>
        <w:ind w:left="156" w:hanging="100"/>
      </w:pPr>
      <w:rPr>
        <w:rFonts w:ascii="Symbol" w:eastAsia="Symbol" w:hAnsi="Symbol" w:cs="Symbol" w:hint="default"/>
        <w:color w:val="231F20"/>
        <w:w w:val="100"/>
        <w:sz w:val="14"/>
        <w:szCs w:val="14"/>
      </w:rPr>
    </w:lvl>
    <w:lvl w:ilvl="1" w:tplc="662407D8">
      <w:numFmt w:val="bullet"/>
      <w:lvlText w:val="•"/>
      <w:lvlJc w:val="left"/>
      <w:pPr>
        <w:ind w:left="301" w:hanging="100"/>
      </w:pPr>
      <w:rPr>
        <w:rFonts w:hint="default"/>
      </w:rPr>
    </w:lvl>
    <w:lvl w:ilvl="2" w:tplc="3FE82A1C">
      <w:numFmt w:val="bullet"/>
      <w:lvlText w:val="•"/>
      <w:lvlJc w:val="left"/>
      <w:pPr>
        <w:ind w:left="443" w:hanging="100"/>
      </w:pPr>
      <w:rPr>
        <w:rFonts w:hint="default"/>
      </w:rPr>
    </w:lvl>
    <w:lvl w:ilvl="3" w:tplc="D99E1C10">
      <w:numFmt w:val="bullet"/>
      <w:lvlText w:val="•"/>
      <w:lvlJc w:val="left"/>
      <w:pPr>
        <w:ind w:left="585" w:hanging="100"/>
      </w:pPr>
      <w:rPr>
        <w:rFonts w:hint="default"/>
      </w:rPr>
    </w:lvl>
    <w:lvl w:ilvl="4" w:tplc="D884F50A">
      <w:numFmt w:val="bullet"/>
      <w:lvlText w:val="•"/>
      <w:lvlJc w:val="left"/>
      <w:pPr>
        <w:ind w:left="726" w:hanging="100"/>
      </w:pPr>
      <w:rPr>
        <w:rFonts w:hint="default"/>
      </w:rPr>
    </w:lvl>
    <w:lvl w:ilvl="5" w:tplc="04B262CA">
      <w:numFmt w:val="bullet"/>
      <w:lvlText w:val="•"/>
      <w:lvlJc w:val="left"/>
      <w:pPr>
        <w:ind w:left="868" w:hanging="100"/>
      </w:pPr>
      <w:rPr>
        <w:rFonts w:hint="default"/>
      </w:rPr>
    </w:lvl>
    <w:lvl w:ilvl="6" w:tplc="6C940730">
      <w:numFmt w:val="bullet"/>
      <w:lvlText w:val="•"/>
      <w:lvlJc w:val="left"/>
      <w:pPr>
        <w:ind w:left="1010" w:hanging="100"/>
      </w:pPr>
      <w:rPr>
        <w:rFonts w:hint="default"/>
      </w:rPr>
    </w:lvl>
    <w:lvl w:ilvl="7" w:tplc="21286394">
      <w:numFmt w:val="bullet"/>
      <w:lvlText w:val="•"/>
      <w:lvlJc w:val="left"/>
      <w:pPr>
        <w:ind w:left="1151" w:hanging="100"/>
      </w:pPr>
      <w:rPr>
        <w:rFonts w:hint="default"/>
      </w:rPr>
    </w:lvl>
    <w:lvl w:ilvl="8" w:tplc="A5AE7522">
      <w:numFmt w:val="bullet"/>
      <w:lvlText w:val="•"/>
      <w:lvlJc w:val="left"/>
      <w:pPr>
        <w:ind w:left="1293" w:hanging="100"/>
      </w:pPr>
      <w:rPr>
        <w:rFonts w:hint="default"/>
      </w:rPr>
    </w:lvl>
  </w:abstractNum>
  <w:abstractNum w:abstractNumId="1901" w15:restartNumberingAfterBreak="0">
    <w:nsid w:val="76F97A85"/>
    <w:multiLevelType w:val="hybridMultilevel"/>
    <w:tmpl w:val="345CF4B2"/>
    <w:lvl w:ilvl="0" w:tplc="E4843330">
      <w:numFmt w:val="bullet"/>
      <w:lvlText w:val=""/>
      <w:lvlJc w:val="left"/>
      <w:pPr>
        <w:ind w:left="156" w:hanging="100"/>
      </w:pPr>
      <w:rPr>
        <w:rFonts w:ascii="Symbol" w:eastAsia="Symbol" w:hAnsi="Symbol" w:cs="Symbol" w:hint="default"/>
        <w:color w:val="231F20"/>
        <w:w w:val="100"/>
        <w:sz w:val="14"/>
        <w:szCs w:val="14"/>
      </w:rPr>
    </w:lvl>
    <w:lvl w:ilvl="1" w:tplc="1D4E837C">
      <w:numFmt w:val="bullet"/>
      <w:lvlText w:val="•"/>
      <w:lvlJc w:val="left"/>
      <w:pPr>
        <w:ind w:left="301" w:hanging="100"/>
      </w:pPr>
      <w:rPr>
        <w:rFonts w:hint="default"/>
      </w:rPr>
    </w:lvl>
    <w:lvl w:ilvl="2" w:tplc="A3A6B5C4">
      <w:numFmt w:val="bullet"/>
      <w:lvlText w:val="•"/>
      <w:lvlJc w:val="left"/>
      <w:pPr>
        <w:ind w:left="443" w:hanging="100"/>
      </w:pPr>
      <w:rPr>
        <w:rFonts w:hint="default"/>
      </w:rPr>
    </w:lvl>
    <w:lvl w:ilvl="3" w:tplc="9168DD98">
      <w:numFmt w:val="bullet"/>
      <w:lvlText w:val="•"/>
      <w:lvlJc w:val="left"/>
      <w:pPr>
        <w:ind w:left="585" w:hanging="100"/>
      </w:pPr>
      <w:rPr>
        <w:rFonts w:hint="default"/>
      </w:rPr>
    </w:lvl>
    <w:lvl w:ilvl="4" w:tplc="A1D04812">
      <w:numFmt w:val="bullet"/>
      <w:lvlText w:val="•"/>
      <w:lvlJc w:val="left"/>
      <w:pPr>
        <w:ind w:left="726" w:hanging="100"/>
      </w:pPr>
      <w:rPr>
        <w:rFonts w:hint="default"/>
      </w:rPr>
    </w:lvl>
    <w:lvl w:ilvl="5" w:tplc="52AC2660">
      <w:numFmt w:val="bullet"/>
      <w:lvlText w:val="•"/>
      <w:lvlJc w:val="left"/>
      <w:pPr>
        <w:ind w:left="868" w:hanging="100"/>
      </w:pPr>
      <w:rPr>
        <w:rFonts w:hint="default"/>
      </w:rPr>
    </w:lvl>
    <w:lvl w:ilvl="6" w:tplc="77E6264E">
      <w:numFmt w:val="bullet"/>
      <w:lvlText w:val="•"/>
      <w:lvlJc w:val="left"/>
      <w:pPr>
        <w:ind w:left="1010" w:hanging="100"/>
      </w:pPr>
      <w:rPr>
        <w:rFonts w:hint="default"/>
      </w:rPr>
    </w:lvl>
    <w:lvl w:ilvl="7" w:tplc="CEEA6514">
      <w:numFmt w:val="bullet"/>
      <w:lvlText w:val="•"/>
      <w:lvlJc w:val="left"/>
      <w:pPr>
        <w:ind w:left="1151" w:hanging="100"/>
      </w:pPr>
      <w:rPr>
        <w:rFonts w:hint="default"/>
      </w:rPr>
    </w:lvl>
    <w:lvl w:ilvl="8" w:tplc="30D6E378">
      <w:numFmt w:val="bullet"/>
      <w:lvlText w:val="•"/>
      <w:lvlJc w:val="left"/>
      <w:pPr>
        <w:ind w:left="1293" w:hanging="100"/>
      </w:pPr>
      <w:rPr>
        <w:rFonts w:hint="default"/>
      </w:rPr>
    </w:lvl>
  </w:abstractNum>
  <w:abstractNum w:abstractNumId="1902" w15:restartNumberingAfterBreak="0">
    <w:nsid w:val="76FB4806"/>
    <w:multiLevelType w:val="hybridMultilevel"/>
    <w:tmpl w:val="B888DB5C"/>
    <w:lvl w:ilvl="0" w:tplc="0608CB7C">
      <w:numFmt w:val="bullet"/>
      <w:lvlText w:val=""/>
      <w:lvlJc w:val="left"/>
      <w:pPr>
        <w:ind w:left="157" w:hanging="100"/>
      </w:pPr>
      <w:rPr>
        <w:rFonts w:ascii="Symbol" w:eastAsia="Symbol" w:hAnsi="Symbol" w:cs="Symbol" w:hint="default"/>
        <w:color w:val="231F20"/>
        <w:w w:val="100"/>
        <w:sz w:val="14"/>
        <w:szCs w:val="14"/>
      </w:rPr>
    </w:lvl>
    <w:lvl w:ilvl="1" w:tplc="E10284BE">
      <w:numFmt w:val="bullet"/>
      <w:lvlText w:val="•"/>
      <w:lvlJc w:val="left"/>
      <w:pPr>
        <w:ind w:left="369" w:hanging="100"/>
      </w:pPr>
      <w:rPr>
        <w:rFonts w:hint="default"/>
      </w:rPr>
    </w:lvl>
    <w:lvl w:ilvl="2" w:tplc="E90C0082">
      <w:numFmt w:val="bullet"/>
      <w:lvlText w:val="•"/>
      <w:lvlJc w:val="left"/>
      <w:pPr>
        <w:ind w:left="579" w:hanging="100"/>
      </w:pPr>
      <w:rPr>
        <w:rFonts w:hint="default"/>
      </w:rPr>
    </w:lvl>
    <w:lvl w:ilvl="3" w:tplc="FA52D470">
      <w:numFmt w:val="bullet"/>
      <w:lvlText w:val="•"/>
      <w:lvlJc w:val="left"/>
      <w:pPr>
        <w:ind w:left="789" w:hanging="100"/>
      </w:pPr>
      <w:rPr>
        <w:rFonts w:hint="default"/>
      </w:rPr>
    </w:lvl>
    <w:lvl w:ilvl="4" w:tplc="5EFC8650">
      <w:numFmt w:val="bullet"/>
      <w:lvlText w:val="•"/>
      <w:lvlJc w:val="left"/>
      <w:pPr>
        <w:ind w:left="998" w:hanging="100"/>
      </w:pPr>
      <w:rPr>
        <w:rFonts w:hint="default"/>
      </w:rPr>
    </w:lvl>
    <w:lvl w:ilvl="5" w:tplc="3438969C">
      <w:numFmt w:val="bullet"/>
      <w:lvlText w:val="•"/>
      <w:lvlJc w:val="left"/>
      <w:pPr>
        <w:ind w:left="1208" w:hanging="100"/>
      </w:pPr>
      <w:rPr>
        <w:rFonts w:hint="default"/>
      </w:rPr>
    </w:lvl>
    <w:lvl w:ilvl="6" w:tplc="627CB0CC">
      <w:numFmt w:val="bullet"/>
      <w:lvlText w:val="•"/>
      <w:lvlJc w:val="left"/>
      <w:pPr>
        <w:ind w:left="1418" w:hanging="100"/>
      </w:pPr>
      <w:rPr>
        <w:rFonts w:hint="default"/>
      </w:rPr>
    </w:lvl>
    <w:lvl w:ilvl="7" w:tplc="132CBEFA">
      <w:numFmt w:val="bullet"/>
      <w:lvlText w:val="•"/>
      <w:lvlJc w:val="left"/>
      <w:pPr>
        <w:ind w:left="1627" w:hanging="100"/>
      </w:pPr>
      <w:rPr>
        <w:rFonts w:hint="default"/>
      </w:rPr>
    </w:lvl>
    <w:lvl w:ilvl="8" w:tplc="095EC5A6">
      <w:numFmt w:val="bullet"/>
      <w:lvlText w:val="•"/>
      <w:lvlJc w:val="left"/>
      <w:pPr>
        <w:ind w:left="1837" w:hanging="100"/>
      </w:pPr>
      <w:rPr>
        <w:rFonts w:hint="default"/>
      </w:rPr>
    </w:lvl>
  </w:abstractNum>
  <w:abstractNum w:abstractNumId="1903" w15:restartNumberingAfterBreak="0">
    <w:nsid w:val="76FD0F60"/>
    <w:multiLevelType w:val="hybridMultilevel"/>
    <w:tmpl w:val="06006C60"/>
    <w:lvl w:ilvl="0" w:tplc="3498F518">
      <w:numFmt w:val="bullet"/>
      <w:lvlText w:val=""/>
      <w:lvlJc w:val="left"/>
      <w:pPr>
        <w:ind w:left="156" w:hanging="100"/>
      </w:pPr>
      <w:rPr>
        <w:rFonts w:ascii="Symbol" w:eastAsia="Symbol" w:hAnsi="Symbol" w:cs="Symbol" w:hint="default"/>
        <w:color w:val="231F20"/>
        <w:w w:val="100"/>
        <w:sz w:val="14"/>
        <w:szCs w:val="14"/>
      </w:rPr>
    </w:lvl>
    <w:lvl w:ilvl="1" w:tplc="46D23E46">
      <w:numFmt w:val="bullet"/>
      <w:lvlText w:val="•"/>
      <w:lvlJc w:val="left"/>
      <w:pPr>
        <w:ind w:left="301" w:hanging="100"/>
      </w:pPr>
      <w:rPr>
        <w:rFonts w:hint="default"/>
      </w:rPr>
    </w:lvl>
    <w:lvl w:ilvl="2" w:tplc="8F1A8528">
      <w:numFmt w:val="bullet"/>
      <w:lvlText w:val="•"/>
      <w:lvlJc w:val="left"/>
      <w:pPr>
        <w:ind w:left="443" w:hanging="100"/>
      </w:pPr>
      <w:rPr>
        <w:rFonts w:hint="default"/>
      </w:rPr>
    </w:lvl>
    <w:lvl w:ilvl="3" w:tplc="E4FA000C">
      <w:numFmt w:val="bullet"/>
      <w:lvlText w:val="•"/>
      <w:lvlJc w:val="left"/>
      <w:pPr>
        <w:ind w:left="585" w:hanging="100"/>
      </w:pPr>
      <w:rPr>
        <w:rFonts w:hint="default"/>
      </w:rPr>
    </w:lvl>
    <w:lvl w:ilvl="4" w:tplc="2F0E729E">
      <w:numFmt w:val="bullet"/>
      <w:lvlText w:val="•"/>
      <w:lvlJc w:val="left"/>
      <w:pPr>
        <w:ind w:left="726" w:hanging="100"/>
      </w:pPr>
      <w:rPr>
        <w:rFonts w:hint="default"/>
      </w:rPr>
    </w:lvl>
    <w:lvl w:ilvl="5" w:tplc="87F40810">
      <w:numFmt w:val="bullet"/>
      <w:lvlText w:val="•"/>
      <w:lvlJc w:val="left"/>
      <w:pPr>
        <w:ind w:left="868" w:hanging="100"/>
      </w:pPr>
      <w:rPr>
        <w:rFonts w:hint="default"/>
      </w:rPr>
    </w:lvl>
    <w:lvl w:ilvl="6" w:tplc="BA94324C">
      <w:numFmt w:val="bullet"/>
      <w:lvlText w:val="•"/>
      <w:lvlJc w:val="left"/>
      <w:pPr>
        <w:ind w:left="1010" w:hanging="100"/>
      </w:pPr>
      <w:rPr>
        <w:rFonts w:hint="default"/>
      </w:rPr>
    </w:lvl>
    <w:lvl w:ilvl="7" w:tplc="DDBACE32">
      <w:numFmt w:val="bullet"/>
      <w:lvlText w:val="•"/>
      <w:lvlJc w:val="left"/>
      <w:pPr>
        <w:ind w:left="1151" w:hanging="100"/>
      </w:pPr>
      <w:rPr>
        <w:rFonts w:hint="default"/>
      </w:rPr>
    </w:lvl>
    <w:lvl w:ilvl="8" w:tplc="E39A48DA">
      <w:numFmt w:val="bullet"/>
      <w:lvlText w:val="•"/>
      <w:lvlJc w:val="left"/>
      <w:pPr>
        <w:ind w:left="1293" w:hanging="100"/>
      </w:pPr>
      <w:rPr>
        <w:rFonts w:hint="default"/>
      </w:rPr>
    </w:lvl>
  </w:abstractNum>
  <w:abstractNum w:abstractNumId="1904" w15:restartNumberingAfterBreak="0">
    <w:nsid w:val="76FE30FC"/>
    <w:multiLevelType w:val="hybridMultilevel"/>
    <w:tmpl w:val="F9108536"/>
    <w:lvl w:ilvl="0" w:tplc="13261804">
      <w:numFmt w:val="bullet"/>
      <w:lvlText w:val=""/>
      <w:lvlJc w:val="left"/>
      <w:pPr>
        <w:ind w:left="157" w:hanging="100"/>
      </w:pPr>
      <w:rPr>
        <w:rFonts w:ascii="Symbol" w:eastAsia="Symbol" w:hAnsi="Symbol" w:cs="Symbol" w:hint="default"/>
        <w:color w:val="231F20"/>
        <w:w w:val="100"/>
        <w:sz w:val="14"/>
        <w:szCs w:val="14"/>
      </w:rPr>
    </w:lvl>
    <w:lvl w:ilvl="1" w:tplc="AAD6830C">
      <w:numFmt w:val="bullet"/>
      <w:lvlText w:val="•"/>
      <w:lvlJc w:val="left"/>
      <w:pPr>
        <w:ind w:left="426" w:hanging="100"/>
      </w:pPr>
      <w:rPr>
        <w:rFonts w:hint="default"/>
      </w:rPr>
    </w:lvl>
    <w:lvl w:ilvl="2" w:tplc="E95AAC20">
      <w:numFmt w:val="bullet"/>
      <w:lvlText w:val="•"/>
      <w:lvlJc w:val="left"/>
      <w:pPr>
        <w:ind w:left="692" w:hanging="100"/>
      </w:pPr>
      <w:rPr>
        <w:rFonts w:hint="default"/>
      </w:rPr>
    </w:lvl>
    <w:lvl w:ilvl="3" w:tplc="D8D62338">
      <w:numFmt w:val="bullet"/>
      <w:lvlText w:val="•"/>
      <w:lvlJc w:val="left"/>
      <w:pPr>
        <w:ind w:left="959" w:hanging="100"/>
      </w:pPr>
      <w:rPr>
        <w:rFonts w:hint="default"/>
      </w:rPr>
    </w:lvl>
    <w:lvl w:ilvl="4" w:tplc="90580F4C">
      <w:numFmt w:val="bullet"/>
      <w:lvlText w:val="•"/>
      <w:lvlJc w:val="left"/>
      <w:pPr>
        <w:ind w:left="1225" w:hanging="100"/>
      </w:pPr>
      <w:rPr>
        <w:rFonts w:hint="default"/>
      </w:rPr>
    </w:lvl>
    <w:lvl w:ilvl="5" w:tplc="15B6658C">
      <w:numFmt w:val="bullet"/>
      <w:lvlText w:val="•"/>
      <w:lvlJc w:val="left"/>
      <w:pPr>
        <w:ind w:left="1492" w:hanging="100"/>
      </w:pPr>
      <w:rPr>
        <w:rFonts w:hint="default"/>
      </w:rPr>
    </w:lvl>
    <w:lvl w:ilvl="6" w:tplc="262CD0EA">
      <w:numFmt w:val="bullet"/>
      <w:lvlText w:val="•"/>
      <w:lvlJc w:val="left"/>
      <w:pPr>
        <w:ind w:left="1758" w:hanging="100"/>
      </w:pPr>
      <w:rPr>
        <w:rFonts w:hint="default"/>
      </w:rPr>
    </w:lvl>
    <w:lvl w:ilvl="7" w:tplc="5E125D00">
      <w:numFmt w:val="bullet"/>
      <w:lvlText w:val="•"/>
      <w:lvlJc w:val="left"/>
      <w:pPr>
        <w:ind w:left="2024" w:hanging="100"/>
      </w:pPr>
      <w:rPr>
        <w:rFonts w:hint="default"/>
      </w:rPr>
    </w:lvl>
    <w:lvl w:ilvl="8" w:tplc="4E322EC0">
      <w:numFmt w:val="bullet"/>
      <w:lvlText w:val="•"/>
      <w:lvlJc w:val="left"/>
      <w:pPr>
        <w:ind w:left="2291" w:hanging="100"/>
      </w:pPr>
      <w:rPr>
        <w:rFonts w:hint="default"/>
      </w:rPr>
    </w:lvl>
  </w:abstractNum>
  <w:abstractNum w:abstractNumId="1905" w15:restartNumberingAfterBreak="0">
    <w:nsid w:val="772C2C3B"/>
    <w:multiLevelType w:val="hybridMultilevel"/>
    <w:tmpl w:val="0158E93A"/>
    <w:lvl w:ilvl="0" w:tplc="DA708E14">
      <w:numFmt w:val="bullet"/>
      <w:lvlText w:val=""/>
      <w:lvlJc w:val="left"/>
      <w:pPr>
        <w:ind w:left="156" w:hanging="100"/>
      </w:pPr>
      <w:rPr>
        <w:rFonts w:ascii="Symbol" w:eastAsia="Symbol" w:hAnsi="Symbol" w:cs="Symbol" w:hint="default"/>
        <w:color w:val="231F20"/>
        <w:w w:val="100"/>
        <w:sz w:val="14"/>
        <w:szCs w:val="14"/>
      </w:rPr>
    </w:lvl>
    <w:lvl w:ilvl="1" w:tplc="07DCEA4A">
      <w:numFmt w:val="bullet"/>
      <w:lvlText w:val="•"/>
      <w:lvlJc w:val="left"/>
      <w:pPr>
        <w:ind w:left="301" w:hanging="100"/>
      </w:pPr>
      <w:rPr>
        <w:rFonts w:hint="default"/>
      </w:rPr>
    </w:lvl>
    <w:lvl w:ilvl="2" w:tplc="A51E000C">
      <w:numFmt w:val="bullet"/>
      <w:lvlText w:val="•"/>
      <w:lvlJc w:val="left"/>
      <w:pPr>
        <w:ind w:left="443" w:hanging="100"/>
      </w:pPr>
      <w:rPr>
        <w:rFonts w:hint="default"/>
      </w:rPr>
    </w:lvl>
    <w:lvl w:ilvl="3" w:tplc="14CE8920">
      <w:numFmt w:val="bullet"/>
      <w:lvlText w:val="•"/>
      <w:lvlJc w:val="left"/>
      <w:pPr>
        <w:ind w:left="585" w:hanging="100"/>
      </w:pPr>
      <w:rPr>
        <w:rFonts w:hint="default"/>
      </w:rPr>
    </w:lvl>
    <w:lvl w:ilvl="4" w:tplc="018EF9A6">
      <w:numFmt w:val="bullet"/>
      <w:lvlText w:val="•"/>
      <w:lvlJc w:val="left"/>
      <w:pPr>
        <w:ind w:left="726" w:hanging="100"/>
      </w:pPr>
      <w:rPr>
        <w:rFonts w:hint="default"/>
      </w:rPr>
    </w:lvl>
    <w:lvl w:ilvl="5" w:tplc="12D4B0FE">
      <w:numFmt w:val="bullet"/>
      <w:lvlText w:val="•"/>
      <w:lvlJc w:val="left"/>
      <w:pPr>
        <w:ind w:left="868" w:hanging="100"/>
      </w:pPr>
      <w:rPr>
        <w:rFonts w:hint="default"/>
      </w:rPr>
    </w:lvl>
    <w:lvl w:ilvl="6" w:tplc="AADA0740">
      <w:numFmt w:val="bullet"/>
      <w:lvlText w:val="•"/>
      <w:lvlJc w:val="left"/>
      <w:pPr>
        <w:ind w:left="1010" w:hanging="100"/>
      </w:pPr>
      <w:rPr>
        <w:rFonts w:hint="default"/>
      </w:rPr>
    </w:lvl>
    <w:lvl w:ilvl="7" w:tplc="884EB9D6">
      <w:numFmt w:val="bullet"/>
      <w:lvlText w:val="•"/>
      <w:lvlJc w:val="left"/>
      <w:pPr>
        <w:ind w:left="1151" w:hanging="100"/>
      </w:pPr>
      <w:rPr>
        <w:rFonts w:hint="default"/>
      </w:rPr>
    </w:lvl>
    <w:lvl w:ilvl="8" w:tplc="C2DA9728">
      <w:numFmt w:val="bullet"/>
      <w:lvlText w:val="•"/>
      <w:lvlJc w:val="left"/>
      <w:pPr>
        <w:ind w:left="1293" w:hanging="100"/>
      </w:pPr>
      <w:rPr>
        <w:rFonts w:hint="default"/>
      </w:rPr>
    </w:lvl>
  </w:abstractNum>
  <w:abstractNum w:abstractNumId="1906" w15:restartNumberingAfterBreak="0">
    <w:nsid w:val="772E741C"/>
    <w:multiLevelType w:val="hybridMultilevel"/>
    <w:tmpl w:val="5EEACB26"/>
    <w:lvl w:ilvl="0" w:tplc="02387B0A">
      <w:numFmt w:val="bullet"/>
      <w:lvlText w:val=""/>
      <w:lvlJc w:val="left"/>
      <w:pPr>
        <w:ind w:left="156" w:hanging="100"/>
      </w:pPr>
      <w:rPr>
        <w:rFonts w:ascii="Symbol" w:eastAsia="Symbol" w:hAnsi="Symbol" w:cs="Symbol" w:hint="default"/>
        <w:color w:val="231F20"/>
        <w:w w:val="100"/>
        <w:sz w:val="14"/>
        <w:szCs w:val="14"/>
      </w:rPr>
    </w:lvl>
    <w:lvl w:ilvl="1" w:tplc="9962EEA8">
      <w:numFmt w:val="bullet"/>
      <w:lvlText w:val="•"/>
      <w:lvlJc w:val="left"/>
      <w:pPr>
        <w:ind w:left="454" w:hanging="100"/>
      </w:pPr>
      <w:rPr>
        <w:rFonts w:hint="default"/>
      </w:rPr>
    </w:lvl>
    <w:lvl w:ilvl="2" w:tplc="5AEA26D2">
      <w:numFmt w:val="bullet"/>
      <w:lvlText w:val="•"/>
      <w:lvlJc w:val="left"/>
      <w:pPr>
        <w:ind w:left="749" w:hanging="100"/>
      </w:pPr>
      <w:rPr>
        <w:rFonts w:hint="default"/>
      </w:rPr>
    </w:lvl>
    <w:lvl w:ilvl="3" w:tplc="AA761C2E">
      <w:numFmt w:val="bullet"/>
      <w:lvlText w:val="•"/>
      <w:lvlJc w:val="left"/>
      <w:pPr>
        <w:ind w:left="1044" w:hanging="100"/>
      </w:pPr>
      <w:rPr>
        <w:rFonts w:hint="default"/>
      </w:rPr>
    </w:lvl>
    <w:lvl w:ilvl="4" w:tplc="52D64A32">
      <w:numFmt w:val="bullet"/>
      <w:lvlText w:val="•"/>
      <w:lvlJc w:val="left"/>
      <w:pPr>
        <w:ind w:left="1339" w:hanging="100"/>
      </w:pPr>
      <w:rPr>
        <w:rFonts w:hint="default"/>
      </w:rPr>
    </w:lvl>
    <w:lvl w:ilvl="5" w:tplc="EF82E44C">
      <w:numFmt w:val="bullet"/>
      <w:lvlText w:val="•"/>
      <w:lvlJc w:val="left"/>
      <w:pPr>
        <w:ind w:left="1634" w:hanging="100"/>
      </w:pPr>
      <w:rPr>
        <w:rFonts w:hint="default"/>
      </w:rPr>
    </w:lvl>
    <w:lvl w:ilvl="6" w:tplc="D03E7210">
      <w:numFmt w:val="bullet"/>
      <w:lvlText w:val="•"/>
      <w:lvlJc w:val="left"/>
      <w:pPr>
        <w:ind w:left="1928" w:hanging="100"/>
      </w:pPr>
      <w:rPr>
        <w:rFonts w:hint="default"/>
      </w:rPr>
    </w:lvl>
    <w:lvl w:ilvl="7" w:tplc="392E10B6">
      <w:numFmt w:val="bullet"/>
      <w:lvlText w:val="•"/>
      <w:lvlJc w:val="left"/>
      <w:pPr>
        <w:ind w:left="2223" w:hanging="100"/>
      </w:pPr>
      <w:rPr>
        <w:rFonts w:hint="default"/>
      </w:rPr>
    </w:lvl>
    <w:lvl w:ilvl="8" w:tplc="8954E974">
      <w:numFmt w:val="bullet"/>
      <w:lvlText w:val="•"/>
      <w:lvlJc w:val="left"/>
      <w:pPr>
        <w:ind w:left="2518" w:hanging="100"/>
      </w:pPr>
      <w:rPr>
        <w:rFonts w:hint="default"/>
      </w:rPr>
    </w:lvl>
  </w:abstractNum>
  <w:abstractNum w:abstractNumId="1907" w15:restartNumberingAfterBreak="0">
    <w:nsid w:val="772F0E97"/>
    <w:multiLevelType w:val="hybridMultilevel"/>
    <w:tmpl w:val="C4301A2A"/>
    <w:lvl w:ilvl="0" w:tplc="2C1C8CDC">
      <w:numFmt w:val="bullet"/>
      <w:lvlText w:val=""/>
      <w:lvlJc w:val="left"/>
      <w:pPr>
        <w:ind w:left="156" w:hanging="100"/>
      </w:pPr>
      <w:rPr>
        <w:rFonts w:ascii="Symbol" w:eastAsia="Symbol" w:hAnsi="Symbol" w:cs="Symbol" w:hint="default"/>
        <w:color w:val="231F20"/>
        <w:w w:val="100"/>
        <w:sz w:val="14"/>
        <w:szCs w:val="14"/>
      </w:rPr>
    </w:lvl>
    <w:lvl w:ilvl="1" w:tplc="6F463982">
      <w:numFmt w:val="bullet"/>
      <w:lvlText w:val="•"/>
      <w:lvlJc w:val="left"/>
      <w:pPr>
        <w:ind w:left="426" w:hanging="100"/>
      </w:pPr>
      <w:rPr>
        <w:rFonts w:hint="default"/>
      </w:rPr>
    </w:lvl>
    <w:lvl w:ilvl="2" w:tplc="91CE196C">
      <w:numFmt w:val="bullet"/>
      <w:lvlText w:val="•"/>
      <w:lvlJc w:val="left"/>
      <w:pPr>
        <w:ind w:left="692" w:hanging="100"/>
      </w:pPr>
      <w:rPr>
        <w:rFonts w:hint="default"/>
      </w:rPr>
    </w:lvl>
    <w:lvl w:ilvl="3" w:tplc="8C0C2308">
      <w:numFmt w:val="bullet"/>
      <w:lvlText w:val="•"/>
      <w:lvlJc w:val="left"/>
      <w:pPr>
        <w:ind w:left="959" w:hanging="100"/>
      </w:pPr>
      <w:rPr>
        <w:rFonts w:hint="default"/>
      </w:rPr>
    </w:lvl>
    <w:lvl w:ilvl="4" w:tplc="58B2F994">
      <w:numFmt w:val="bullet"/>
      <w:lvlText w:val="•"/>
      <w:lvlJc w:val="left"/>
      <w:pPr>
        <w:ind w:left="1225" w:hanging="100"/>
      </w:pPr>
      <w:rPr>
        <w:rFonts w:hint="default"/>
      </w:rPr>
    </w:lvl>
    <w:lvl w:ilvl="5" w:tplc="40404D88">
      <w:numFmt w:val="bullet"/>
      <w:lvlText w:val="•"/>
      <w:lvlJc w:val="left"/>
      <w:pPr>
        <w:ind w:left="1492" w:hanging="100"/>
      </w:pPr>
      <w:rPr>
        <w:rFonts w:hint="default"/>
      </w:rPr>
    </w:lvl>
    <w:lvl w:ilvl="6" w:tplc="E2D80B54">
      <w:numFmt w:val="bullet"/>
      <w:lvlText w:val="•"/>
      <w:lvlJc w:val="left"/>
      <w:pPr>
        <w:ind w:left="1758" w:hanging="100"/>
      </w:pPr>
      <w:rPr>
        <w:rFonts w:hint="default"/>
      </w:rPr>
    </w:lvl>
    <w:lvl w:ilvl="7" w:tplc="E9447B54">
      <w:numFmt w:val="bullet"/>
      <w:lvlText w:val="•"/>
      <w:lvlJc w:val="left"/>
      <w:pPr>
        <w:ind w:left="2024" w:hanging="100"/>
      </w:pPr>
      <w:rPr>
        <w:rFonts w:hint="default"/>
      </w:rPr>
    </w:lvl>
    <w:lvl w:ilvl="8" w:tplc="B17440CE">
      <w:numFmt w:val="bullet"/>
      <w:lvlText w:val="•"/>
      <w:lvlJc w:val="left"/>
      <w:pPr>
        <w:ind w:left="2291" w:hanging="100"/>
      </w:pPr>
      <w:rPr>
        <w:rFonts w:hint="default"/>
      </w:rPr>
    </w:lvl>
  </w:abstractNum>
  <w:abstractNum w:abstractNumId="1908" w15:restartNumberingAfterBreak="0">
    <w:nsid w:val="773152F1"/>
    <w:multiLevelType w:val="hybridMultilevel"/>
    <w:tmpl w:val="7430C836"/>
    <w:lvl w:ilvl="0" w:tplc="5644CA1C">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244CEDC4">
      <w:numFmt w:val="bullet"/>
      <w:lvlText w:val="•"/>
      <w:lvlJc w:val="left"/>
      <w:pPr>
        <w:ind w:left="1636" w:hanging="116"/>
      </w:pPr>
      <w:rPr>
        <w:rFonts w:hint="default"/>
      </w:rPr>
    </w:lvl>
    <w:lvl w:ilvl="2" w:tplc="2384C1C0">
      <w:numFmt w:val="bullet"/>
      <w:lvlText w:val="•"/>
      <w:lvlJc w:val="left"/>
      <w:pPr>
        <w:ind w:left="2653" w:hanging="116"/>
      </w:pPr>
      <w:rPr>
        <w:rFonts w:hint="default"/>
      </w:rPr>
    </w:lvl>
    <w:lvl w:ilvl="3" w:tplc="6340E6A0">
      <w:numFmt w:val="bullet"/>
      <w:lvlText w:val="•"/>
      <w:lvlJc w:val="left"/>
      <w:pPr>
        <w:ind w:left="3669" w:hanging="116"/>
      </w:pPr>
      <w:rPr>
        <w:rFonts w:hint="default"/>
      </w:rPr>
    </w:lvl>
    <w:lvl w:ilvl="4" w:tplc="0FCEC816">
      <w:numFmt w:val="bullet"/>
      <w:lvlText w:val="•"/>
      <w:lvlJc w:val="left"/>
      <w:pPr>
        <w:ind w:left="4686" w:hanging="116"/>
      </w:pPr>
      <w:rPr>
        <w:rFonts w:hint="default"/>
      </w:rPr>
    </w:lvl>
    <w:lvl w:ilvl="5" w:tplc="7324C798">
      <w:numFmt w:val="bullet"/>
      <w:lvlText w:val="•"/>
      <w:lvlJc w:val="left"/>
      <w:pPr>
        <w:ind w:left="5702" w:hanging="116"/>
      </w:pPr>
      <w:rPr>
        <w:rFonts w:hint="default"/>
      </w:rPr>
    </w:lvl>
    <w:lvl w:ilvl="6" w:tplc="B3BCCD38">
      <w:numFmt w:val="bullet"/>
      <w:lvlText w:val="•"/>
      <w:lvlJc w:val="left"/>
      <w:pPr>
        <w:ind w:left="6719" w:hanging="116"/>
      </w:pPr>
      <w:rPr>
        <w:rFonts w:hint="default"/>
      </w:rPr>
    </w:lvl>
    <w:lvl w:ilvl="7" w:tplc="8906284C">
      <w:numFmt w:val="bullet"/>
      <w:lvlText w:val="•"/>
      <w:lvlJc w:val="left"/>
      <w:pPr>
        <w:ind w:left="7735" w:hanging="116"/>
      </w:pPr>
      <w:rPr>
        <w:rFonts w:hint="default"/>
      </w:rPr>
    </w:lvl>
    <w:lvl w:ilvl="8" w:tplc="413A9F84">
      <w:numFmt w:val="bullet"/>
      <w:lvlText w:val="•"/>
      <w:lvlJc w:val="left"/>
      <w:pPr>
        <w:ind w:left="8752" w:hanging="116"/>
      </w:pPr>
      <w:rPr>
        <w:rFonts w:hint="default"/>
      </w:rPr>
    </w:lvl>
  </w:abstractNum>
  <w:abstractNum w:abstractNumId="1909" w15:restartNumberingAfterBreak="0">
    <w:nsid w:val="77792D89"/>
    <w:multiLevelType w:val="hybridMultilevel"/>
    <w:tmpl w:val="15325F94"/>
    <w:lvl w:ilvl="0" w:tplc="2F06465C">
      <w:numFmt w:val="bullet"/>
      <w:lvlText w:val=""/>
      <w:lvlJc w:val="left"/>
      <w:pPr>
        <w:ind w:left="157" w:hanging="100"/>
      </w:pPr>
      <w:rPr>
        <w:rFonts w:ascii="Symbol" w:eastAsia="Symbol" w:hAnsi="Symbol" w:cs="Symbol" w:hint="default"/>
        <w:color w:val="231F20"/>
        <w:w w:val="100"/>
        <w:sz w:val="14"/>
        <w:szCs w:val="14"/>
      </w:rPr>
    </w:lvl>
    <w:lvl w:ilvl="1" w:tplc="97C878C4">
      <w:numFmt w:val="bullet"/>
      <w:lvlText w:val="•"/>
      <w:lvlJc w:val="left"/>
      <w:pPr>
        <w:ind w:left="369" w:hanging="100"/>
      </w:pPr>
      <w:rPr>
        <w:rFonts w:hint="default"/>
      </w:rPr>
    </w:lvl>
    <w:lvl w:ilvl="2" w:tplc="638A1C78">
      <w:numFmt w:val="bullet"/>
      <w:lvlText w:val="•"/>
      <w:lvlJc w:val="left"/>
      <w:pPr>
        <w:ind w:left="579" w:hanging="100"/>
      </w:pPr>
      <w:rPr>
        <w:rFonts w:hint="default"/>
      </w:rPr>
    </w:lvl>
    <w:lvl w:ilvl="3" w:tplc="86CCE974">
      <w:numFmt w:val="bullet"/>
      <w:lvlText w:val="•"/>
      <w:lvlJc w:val="left"/>
      <w:pPr>
        <w:ind w:left="789" w:hanging="100"/>
      </w:pPr>
      <w:rPr>
        <w:rFonts w:hint="default"/>
      </w:rPr>
    </w:lvl>
    <w:lvl w:ilvl="4" w:tplc="B4D61686">
      <w:numFmt w:val="bullet"/>
      <w:lvlText w:val="•"/>
      <w:lvlJc w:val="left"/>
      <w:pPr>
        <w:ind w:left="998" w:hanging="100"/>
      </w:pPr>
      <w:rPr>
        <w:rFonts w:hint="default"/>
      </w:rPr>
    </w:lvl>
    <w:lvl w:ilvl="5" w:tplc="698A3BDC">
      <w:numFmt w:val="bullet"/>
      <w:lvlText w:val="•"/>
      <w:lvlJc w:val="left"/>
      <w:pPr>
        <w:ind w:left="1208" w:hanging="100"/>
      </w:pPr>
      <w:rPr>
        <w:rFonts w:hint="default"/>
      </w:rPr>
    </w:lvl>
    <w:lvl w:ilvl="6" w:tplc="B040F566">
      <w:numFmt w:val="bullet"/>
      <w:lvlText w:val="•"/>
      <w:lvlJc w:val="left"/>
      <w:pPr>
        <w:ind w:left="1418" w:hanging="100"/>
      </w:pPr>
      <w:rPr>
        <w:rFonts w:hint="default"/>
      </w:rPr>
    </w:lvl>
    <w:lvl w:ilvl="7" w:tplc="E41248A0">
      <w:numFmt w:val="bullet"/>
      <w:lvlText w:val="•"/>
      <w:lvlJc w:val="left"/>
      <w:pPr>
        <w:ind w:left="1627" w:hanging="100"/>
      </w:pPr>
      <w:rPr>
        <w:rFonts w:hint="default"/>
      </w:rPr>
    </w:lvl>
    <w:lvl w:ilvl="8" w:tplc="AB705F8C">
      <w:numFmt w:val="bullet"/>
      <w:lvlText w:val="•"/>
      <w:lvlJc w:val="left"/>
      <w:pPr>
        <w:ind w:left="1837" w:hanging="100"/>
      </w:pPr>
      <w:rPr>
        <w:rFonts w:hint="default"/>
      </w:rPr>
    </w:lvl>
  </w:abstractNum>
  <w:abstractNum w:abstractNumId="1910" w15:restartNumberingAfterBreak="0">
    <w:nsid w:val="778923C7"/>
    <w:multiLevelType w:val="hybridMultilevel"/>
    <w:tmpl w:val="66EE419E"/>
    <w:lvl w:ilvl="0" w:tplc="C6D0A40A">
      <w:numFmt w:val="bullet"/>
      <w:lvlText w:val=""/>
      <w:lvlJc w:val="left"/>
      <w:pPr>
        <w:ind w:left="157" w:hanging="100"/>
      </w:pPr>
      <w:rPr>
        <w:rFonts w:ascii="Symbol" w:eastAsia="Symbol" w:hAnsi="Symbol" w:cs="Symbol" w:hint="default"/>
        <w:color w:val="231F20"/>
        <w:w w:val="100"/>
        <w:sz w:val="14"/>
        <w:szCs w:val="14"/>
      </w:rPr>
    </w:lvl>
    <w:lvl w:ilvl="1" w:tplc="96FA77B2">
      <w:numFmt w:val="bullet"/>
      <w:lvlText w:val="•"/>
      <w:lvlJc w:val="left"/>
      <w:pPr>
        <w:ind w:left="369" w:hanging="100"/>
      </w:pPr>
      <w:rPr>
        <w:rFonts w:hint="default"/>
      </w:rPr>
    </w:lvl>
    <w:lvl w:ilvl="2" w:tplc="682E3F78">
      <w:numFmt w:val="bullet"/>
      <w:lvlText w:val="•"/>
      <w:lvlJc w:val="left"/>
      <w:pPr>
        <w:ind w:left="579" w:hanging="100"/>
      </w:pPr>
      <w:rPr>
        <w:rFonts w:hint="default"/>
      </w:rPr>
    </w:lvl>
    <w:lvl w:ilvl="3" w:tplc="6EB0BE96">
      <w:numFmt w:val="bullet"/>
      <w:lvlText w:val="•"/>
      <w:lvlJc w:val="left"/>
      <w:pPr>
        <w:ind w:left="789" w:hanging="100"/>
      </w:pPr>
      <w:rPr>
        <w:rFonts w:hint="default"/>
      </w:rPr>
    </w:lvl>
    <w:lvl w:ilvl="4" w:tplc="1564F34E">
      <w:numFmt w:val="bullet"/>
      <w:lvlText w:val="•"/>
      <w:lvlJc w:val="left"/>
      <w:pPr>
        <w:ind w:left="998" w:hanging="100"/>
      </w:pPr>
      <w:rPr>
        <w:rFonts w:hint="default"/>
      </w:rPr>
    </w:lvl>
    <w:lvl w:ilvl="5" w:tplc="C09EF91C">
      <w:numFmt w:val="bullet"/>
      <w:lvlText w:val="•"/>
      <w:lvlJc w:val="left"/>
      <w:pPr>
        <w:ind w:left="1208" w:hanging="100"/>
      </w:pPr>
      <w:rPr>
        <w:rFonts w:hint="default"/>
      </w:rPr>
    </w:lvl>
    <w:lvl w:ilvl="6" w:tplc="5CBC0AEA">
      <w:numFmt w:val="bullet"/>
      <w:lvlText w:val="•"/>
      <w:lvlJc w:val="left"/>
      <w:pPr>
        <w:ind w:left="1418" w:hanging="100"/>
      </w:pPr>
      <w:rPr>
        <w:rFonts w:hint="default"/>
      </w:rPr>
    </w:lvl>
    <w:lvl w:ilvl="7" w:tplc="23AE38BC">
      <w:numFmt w:val="bullet"/>
      <w:lvlText w:val="•"/>
      <w:lvlJc w:val="left"/>
      <w:pPr>
        <w:ind w:left="1627" w:hanging="100"/>
      </w:pPr>
      <w:rPr>
        <w:rFonts w:hint="default"/>
      </w:rPr>
    </w:lvl>
    <w:lvl w:ilvl="8" w:tplc="150EFE66">
      <w:numFmt w:val="bullet"/>
      <w:lvlText w:val="•"/>
      <w:lvlJc w:val="left"/>
      <w:pPr>
        <w:ind w:left="1837" w:hanging="100"/>
      </w:pPr>
      <w:rPr>
        <w:rFonts w:hint="default"/>
      </w:rPr>
    </w:lvl>
  </w:abstractNum>
  <w:abstractNum w:abstractNumId="1911" w15:restartNumberingAfterBreak="0">
    <w:nsid w:val="778C19C1"/>
    <w:multiLevelType w:val="hybridMultilevel"/>
    <w:tmpl w:val="49BC2970"/>
    <w:lvl w:ilvl="0" w:tplc="38EAEAA0">
      <w:numFmt w:val="bullet"/>
      <w:lvlText w:val=""/>
      <w:lvlJc w:val="left"/>
      <w:pPr>
        <w:ind w:left="157" w:hanging="100"/>
      </w:pPr>
      <w:rPr>
        <w:rFonts w:ascii="Symbol" w:eastAsia="Symbol" w:hAnsi="Symbol" w:cs="Symbol" w:hint="default"/>
        <w:color w:val="231F20"/>
        <w:w w:val="100"/>
        <w:sz w:val="14"/>
        <w:szCs w:val="14"/>
      </w:rPr>
    </w:lvl>
    <w:lvl w:ilvl="1" w:tplc="B61A8A22">
      <w:numFmt w:val="bullet"/>
      <w:lvlText w:val="•"/>
      <w:lvlJc w:val="left"/>
      <w:pPr>
        <w:ind w:left="426" w:hanging="100"/>
      </w:pPr>
      <w:rPr>
        <w:rFonts w:hint="default"/>
      </w:rPr>
    </w:lvl>
    <w:lvl w:ilvl="2" w:tplc="BD1E9744">
      <w:numFmt w:val="bullet"/>
      <w:lvlText w:val="•"/>
      <w:lvlJc w:val="left"/>
      <w:pPr>
        <w:ind w:left="692" w:hanging="100"/>
      </w:pPr>
      <w:rPr>
        <w:rFonts w:hint="default"/>
      </w:rPr>
    </w:lvl>
    <w:lvl w:ilvl="3" w:tplc="A246E586">
      <w:numFmt w:val="bullet"/>
      <w:lvlText w:val="•"/>
      <w:lvlJc w:val="left"/>
      <w:pPr>
        <w:ind w:left="959" w:hanging="100"/>
      </w:pPr>
      <w:rPr>
        <w:rFonts w:hint="default"/>
      </w:rPr>
    </w:lvl>
    <w:lvl w:ilvl="4" w:tplc="C2386C22">
      <w:numFmt w:val="bullet"/>
      <w:lvlText w:val="•"/>
      <w:lvlJc w:val="left"/>
      <w:pPr>
        <w:ind w:left="1225" w:hanging="100"/>
      </w:pPr>
      <w:rPr>
        <w:rFonts w:hint="default"/>
      </w:rPr>
    </w:lvl>
    <w:lvl w:ilvl="5" w:tplc="BF8AAE94">
      <w:numFmt w:val="bullet"/>
      <w:lvlText w:val="•"/>
      <w:lvlJc w:val="left"/>
      <w:pPr>
        <w:ind w:left="1492" w:hanging="100"/>
      </w:pPr>
      <w:rPr>
        <w:rFonts w:hint="default"/>
      </w:rPr>
    </w:lvl>
    <w:lvl w:ilvl="6" w:tplc="FBAA3AAC">
      <w:numFmt w:val="bullet"/>
      <w:lvlText w:val="•"/>
      <w:lvlJc w:val="left"/>
      <w:pPr>
        <w:ind w:left="1758" w:hanging="100"/>
      </w:pPr>
      <w:rPr>
        <w:rFonts w:hint="default"/>
      </w:rPr>
    </w:lvl>
    <w:lvl w:ilvl="7" w:tplc="2E46B680">
      <w:numFmt w:val="bullet"/>
      <w:lvlText w:val="•"/>
      <w:lvlJc w:val="left"/>
      <w:pPr>
        <w:ind w:left="2024" w:hanging="100"/>
      </w:pPr>
      <w:rPr>
        <w:rFonts w:hint="default"/>
      </w:rPr>
    </w:lvl>
    <w:lvl w:ilvl="8" w:tplc="BBB4672C">
      <w:numFmt w:val="bullet"/>
      <w:lvlText w:val="•"/>
      <w:lvlJc w:val="left"/>
      <w:pPr>
        <w:ind w:left="2291" w:hanging="100"/>
      </w:pPr>
      <w:rPr>
        <w:rFonts w:hint="default"/>
      </w:rPr>
    </w:lvl>
  </w:abstractNum>
  <w:abstractNum w:abstractNumId="1912" w15:restartNumberingAfterBreak="0">
    <w:nsid w:val="77C75667"/>
    <w:multiLevelType w:val="hybridMultilevel"/>
    <w:tmpl w:val="01267EA8"/>
    <w:lvl w:ilvl="0" w:tplc="69CC4B3E">
      <w:numFmt w:val="bullet"/>
      <w:lvlText w:val=""/>
      <w:lvlJc w:val="left"/>
      <w:pPr>
        <w:ind w:left="156" w:hanging="100"/>
      </w:pPr>
      <w:rPr>
        <w:rFonts w:ascii="Symbol" w:eastAsia="Symbol" w:hAnsi="Symbol" w:cs="Symbol" w:hint="default"/>
        <w:color w:val="231F20"/>
        <w:w w:val="100"/>
        <w:sz w:val="14"/>
        <w:szCs w:val="14"/>
      </w:rPr>
    </w:lvl>
    <w:lvl w:ilvl="1" w:tplc="1DEA02E8">
      <w:numFmt w:val="bullet"/>
      <w:lvlText w:val="•"/>
      <w:lvlJc w:val="left"/>
      <w:pPr>
        <w:ind w:left="426" w:hanging="100"/>
      </w:pPr>
      <w:rPr>
        <w:rFonts w:hint="default"/>
      </w:rPr>
    </w:lvl>
    <w:lvl w:ilvl="2" w:tplc="CBFAEB4C">
      <w:numFmt w:val="bullet"/>
      <w:lvlText w:val="•"/>
      <w:lvlJc w:val="left"/>
      <w:pPr>
        <w:ind w:left="692" w:hanging="100"/>
      </w:pPr>
      <w:rPr>
        <w:rFonts w:hint="default"/>
      </w:rPr>
    </w:lvl>
    <w:lvl w:ilvl="3" w:tplc="87E8303E">
      <w:numFmt w:val="bullet"/>
      <w:lvlText w:val="•"/>
      <w:lvlJc w:val="left"/>
      <w:pPr>
        <w:ind w:left="959" w:hanging="100"/>
      </w:pPr>
      <w:rPr>
        <w:rFonts w:hint="default"/>
      </w:rPr>
    </w:lvl>
    <w:lvl w:ilvl="4" w:tplc="47609214">
      <w:numFmt w:val="bullet"/>
      <w:lvlText w:val="•"/>
      <w:lvlJc w:val="left"/>
      <w:pPr>
        <w:ind w:left="1225" w:hanging="100"/>
      </w:pPr>
      <w:rPr>
        <w:rFonts w:hint="default"/>
      </w:rPr>
    </w:lvl>
    <w:lvl w:ilvl="5" w:tplc="B25630E8">
      <w:numFmt w:val="bullet"/>
      <w:lvlText w:val="•"/>
      <w:lvlJc w:val="left"/>
      <w:pPr>
        <w:ind w:left="1492" w:hanging="100"/>
      </w:pPr>
      <w:rPr>
        <w:rFonts w:hint="default"/>
      </w:rPr>
    </w:lvl>
    <w:lvl w:ilvl="6" w:tplc="92BEE6E4">
      <w:numFmt w:val="bullet"/>
      <w:lvlText w:val="•"/>
      <w:lvlJc w:val="left"/>
      <w:pPr>
        <w:ind w:left="1758" w:hanging="100"/>
      </w:pPr>
      <w:rPr>
        <w:rFonts w:hint="default"/>
      </w:rPr>
    </w:lvl>
    <w:lvl w:ilvl="7" w:tplc="3912EF4A">
      <w:numFmt w:val="bullet"/>
      <w:lvlText w:val="•"/>
      <w:lvlJc w:val="left"/>
      <w:pPr>
        <w:ind w:left="2024" w:hanging="100"/>
      </w:pPr>
      <w:rPr>
        <w:rFonts w:hint="default"/>
      </w:rPr>
    </w:lvl>
    <w:lvl w:ilvl="8" w:tplc="A2DE9178">
      <w:numFmt w:val="bullet"/>
      <w:lvlText w:val="•"/>
      <w:lvlJc w:val="left"/>
      <w:pPr>
        <w:ind w:left="2291" w:hanging="100"/>
      </w:pPr>
      <w:rPr>
        <w:rFonts w:hint="default"/>
      </w:rPr>
    </w:lvl>
  </w:abstractNum>
  <w:abstractNum w:abstractNumId="1913" w15:restartNumberingAfterBreak="0">
    <w:nsid w:val="77D44B4A"/>
    <w:multiLevelType w:val="hybridMultilevel"/>
    <w:tmpl w:val="3724BF0A"/>
    <w:lvl w:ilvl="0" w:tplc="7528FEC0">
      <w:numFmt w:val="bullet"/>
      <w:lvlText w:val="–"/>
      <w:lvlJc w:val="left"/>
      <w:pPr>
        <w:ind w:left="163" w:hanging="105"/>
      </w:pPr>
      <w:rPr>
        <w:rFonts w:ascii="Times New Roman" w:eastAsia="Times New Roman" w:hAnsi="Times New Roman" w:cs="Times New Roman" w:hint="default"/>
        <w:color w:val="231F20"/>
        <w:spacing w:val="-2"/>
        <w:w w:val="100"/>
        <w:sz w:val="14"/>
        <w:szCs w:val="14"/>
      </w:rPr>
    </w:lvl>
    <w:lvl w:ilvl="1" w:tplc="D6EE2832">
      <w:numFmt w:val="bullet"/>
      <w:lvlText w:val="•"/>
      <w:lvlJc w:val="left"/>
      <w:pPr>
        <w:ind w:left="426" w:hanging="105"/>
      </w:pPr>
      <w:rPr>
        <w:rFonts w:hint="default"/>
      </w:rPr>
    </w:lvl>
    <w:lvl w:ilvl="2" w:tplc="55261150">
      <w:numFmt w:val="bullet"/>
      <w:lvlText w:val="•"/>
      <w:lvlJc w:val="left"/>
      <w:pPr>
        <w:ind w:left="692" w:hanging="105"/>
      </w:pPr>
      <w:rPr>
        <w:rFonts w:hint="default"/>
      </w:rPr>
    </w:lvl>
    <w:lvl w:ilvl="3" w:tplc="A830D690">
      <w:numFmt w:val="bullet"/>
      <w:lvlText w:val="•"/>
      <w:lvlJc w:val="left"/>
      <w:pPr>
        <w:ind w:left="959" w:hanging="105"/>
      </w:pPr>
      <w:rPr>
        <w:rFonts w:hint="default"/>
      </w:rPr>
    </w:lvl>
    <w:lvl w:ilvl="4" w:tplc="EF8C615E">
      <w:numFmt w:val="bullet"/>
      <w:lvlText w:val="•"/>
      <w:lvlJc w:val="left"/>
      <w:pPr>
        <w:ind w:left="1225" w:hanging="105"/>
      </w:pPr>
      <w:rPr>
        <w:rFonts w:hint="default"/>
      </w:rPr>
    </w:lvl>
    <w:lvl w:ilvl="5" w:tplc="A7C24DDC">
      <w:numFmt w:val="bullet"/>
      <w:lvlText w:val="•"/>
      <w:lvlJc w:val="left"/>
      <w:pPr>
        <w:ind w:left="1492" w:hanging="105"/>
      </w:pPr>
      <w:rPr>
        <w:rFonts w:hint="default"/>
      </w:rPr>
    </w:lvl>
    <w:lvl w:ilvl="6" w:tplc="3F96D386">
      <w:numFmt w:val="bullet"/>
      <w:lvlText w:val="•"/>
      <w:lvlJc w:val="left"/>
      <w:pPr>
        <w:ind w:left="1758" w:hanging="105"/>
      </w:pPr>
      <w:rPr>
        <w:rFonts w:hint="default"/>
      </w:rPr>
    </w:lvl>
    <w:lvl w:ilvl="7" w:tplc="49A6E3A2">
      <w:numFmt w:val="bullet"/>
      <w:lvlText w:val="•"/>
      <w:lvlJc w:val="left"/>
      <w:pPr>
        <w:ind w:left="2024" w:hanging="105"/>
      </w:pPr>
      <w:rPr>
        <w:rFonts w:hint="default"/>
      </w:rPr>
    </w:lvl>
    <w:lvl w:ilvl="8" w:tplc="3E4438B6">
      <w:numFmt w:val="bullet"/>
      <w:lvlText w:val="•"/>
      <w:lvlJc w:val="left"/>
      <w:pPr>
        <w:ind w:left="2291" w:hanging="105"/>
      </w:pPr>
      <w:rPr>
        <w:rFonts w:hint="default"/>
      </w:rPr>
    </w:lvl>
  </w:abstractNum>
  <w:abstractNum w:abstractNumId="1914" w15:restartNumberingAfterBreak="0">
    <w:nsid w:val="77DB5953"/>
    <w:multiLevelType w:val="hybridMultilevel"/>
    <w:tmpl w:val="0A1C1A98"/>
    <w:lvl w:ilvl="0" w:tplc="A57868EC">
      <w:numFmt w:val="bullet"/>
      <w:lvlText w:val=""/>
      <w:lvlJc w:val="left"/>
      <w:pPr>
        <w:ind w:left="156" w:hanging="100"/>
      </w:pPr>
      <w:rPr>
        <w:rFonts w:ascii="Symbol" w:eastAsia="Symbol" w:hAnsi="Symbol" w:cs="Symbol" w:hint="default"/>
        <w:color w:val="231F20"/>
        <w:w w:val="100"/>
        <w:sz w:val="14"/>
        <w:szCs w:val="14"/>
      </w:rPr>
    </w:lvl>
    <w:lvl w:ilvl="1" w:tplc="C7F6B198">
      <w:numFmt w:val="bullet"/>
      <w:lvlText w:val="•"/>
      <w:lvlJc w:val="left"/>
      <w:pPr>
        <w:ind w:left="398" w:hanging="100"/>
      </w:pPr>
      <w:rPr>
        <w:rFonts w:hint="default"/>
      </w:rPr>
    </w:lvl>
    <w:lvl w:ilvl="2" w:tplc="948E8CB0">
      <w:numFmt w:val="bullet"/>
      <w:lvlText w:val="•"/>
      <w:lvlJc w:val="left"/>
      <w:pPr>
        <w:ind w:left="636" w:hanging="100"/>
      </w:pPr>
      <w:rPr>
        <w:rFonts w:hint="default"/>
      </w:rPr>
    </w:lvl>
    <w:lvl w:ilvl="3" w:tplc="D352865A">
      <w:numFmt w:val="bullet"/>
      <w:lvlText w:val="•"/>
      <w:lvlJc w:val="left"/>
      <w:pPr>
        <w:ind w:left="874" w:hanging="100"/>
      </w:pPr>
      <w:rPr>
        <w:rFonts w:hint="default"/>
      </w:rPr>
    </w:lvl>
    <w:lvl w:ilvl="4" w:tplc="A3AA4A58">
      <w:numFmt w:val="bullet"/>
      <w:lvlText w:val="•"/>
      <w:lvlJc w:val="left"/>
      <w:pPr>
        <w:ind w:left="1112" w:hanging="100"/>
      </w:pPr>
      <w:rPr>
        <w:rFonts w:hint="default"/>
      </w:rPr>
    </w:lvl>
    <w:lvl w:ilvl="5" w:tplc="87D0CAFC">
      <w:numFmt w:val="bullet"/>
      <w:lvlText w:val="•"/>
      <w:lvlJc w:val="left"/>
      <w:pPr>
        <w:ind w:left="1350" w:hanging="100"/>
      </w:pPr>
      <w:rPr>
        <w:rFonts w:hint="default"/>
      </w:rPr>
    </w:lvl>
    <w:lvl w:ilvl="6" w:tplc="AFAAAEBE">
      <w:numFmt w:val="bullet"/>
      <w:lvlText w:val="•"/>
      <w:lvlJc w:val="left"/>
      <w:pPr>
        <w:ind w:left="1588" w:hanging="100"/>
      </w:pPr>
      <w:rPr>
        <w:rFonts w:hint="default"/>
      </w:rPr>
    </w:lvl>
    <w:lvl w:ilvl="7" w:tplc="5E82231E">
      <w:numFmt w:val="bullet"/>
      <w:lvlText w:val="•"/>
      <w:lvlJc w:val="left"/>
      <w:pPr>
        <w:ind w:left="1826" w:hanging="100"/>
      </w:pPr>
      <w:rPr>
        <w:rFonts w:hint="default"/>
      </w:rPr>
    </w:lvl>
    <w:lvl w:ilvl="8" w:tplc="9B76708A">
      <w:numFmt w:val="bullet"/>
      <w:lvlText w:val="•"/>
      <w:lvlJc w:val="left"/>
      <w:pPr>
        <w:ind w:left="2064" w:hanging="100"/>
      </w:pPr>
      <w:rPr>
        <w:rFonts w:hint="default"/>
      </w:rPr>
    </w:lvl>
  </w:abstractNum>
  <w:abstractNum w:abstractNumId="1915" w15:restartNumberingAfterBreak="0">
    <w:nsid w:val="77DE404D"/>
    <w:multiLevelType w:val="hybridMultilevel"/>
    <w:tmpl w:val="1EDC1F74"/>
    <w:lvl w:ilvl="0" w:tplc="242AB920">
      <w:numFmt w:val="bullet"/>
      <w:lvlText w:val=""/>
      <w:lvlJc w:val="left"/>
      <w:pPr>
        <w:ind w:left="156" w:hanging="100"/>
      </w:pPr>
      <w:rPr>
        <w:rFonts w:ascii="Symbol" w:eastAsia="Symbol" w:hAnsi="Symbol" w:cs="Symbol" w:hint="default"/>
        <w:color w:val="231F20"/>
        <w:w w:val="100"/>
        <w:sz w:val="14"/>
        <w:szCs w:val="14"/>
      </w:rPr>
    </w:lvl>
    <w:lvl w:ilvl="1" w:tplc="8C7C168C">
      <w:numFmt w:val="bullet"/>
      <w:lvlText w:val="•"/>
      <w:lvlJc w:val="left"/>
      <w:pPr>
        <w:ind w:left="426" w:hanging="100"/>
      </w:pPr>
      <w:rPr>
        <w:rFonts w:hint="default"/>
      </w:rPr>
    </w:lvl>
    <w:lvl w:ilvl="2" w:tplc="4A4A87A6">
      <w:numFmt w:val="bullet"/>
      <w:lvlText w:val="•"/>
      <w:lvlJc w:val="left"/>
      <w:pPr>
        <w:ind w:left="692" w:hanging="100"/>
      </w:pPr>
      <w:rPr>
        <w:rFonts w:hint="default"/>
      </w:rPr>
    </w:lvl>
    <w:lvl w:ilvl="3" w:tplc="87F2C702">
      <w:numFmt w:val="bullet"/>
      <w:lvlText w:val="•"/>
      <w:lvlJc w:val="left"/>
      <w:pPr>
        <w:ind w:left="959" w:hanging="100"/>
      </w:pPr>
      <w:rPr>
        <w:rFonts w:hint="default"/>
      </w:rPr>
    </w:lvl>
    <w:lvl w:ilvl="4" w:tplc="3C48E104">
      <w:numFmt w:val="bullet"/>
      <w:lvlText w:val="•"/>
      <w:lvlJc w:val="left"/>
      <w:pPr>
        <w:ind w:left="1225" w:hanging="100"/>
      </w:pPr>
      <w:rPr>
        <w:rFonts w:hint="default"/>
      </w:rPr>
    </w:lvl>
    <w:lvl w:ilvl="5" w:tplc="14A6A3CC">
      <w:numFmt w:val="bullet"/>
      <w:lvlText w:val="•"/>
      <w:lvlJc w:val="left"/>
      <w:pPr>
        <w:ind w:left="1492" w:hanging="100"/>
      </w:pPr>
      <w:rPr>
        <w:rFonts w:hint="default"/>
      </w:rPr>
    </w:lvl>
    <w:lvl w:ilvl="6" w:tplc="7BC6CF38">
      <w:numFmt w:val="bullet"/>
      <w:lvlText w:val="•"/>
      <w:lvlJc w:val="left"/>
      <w:pPr>
        <w:ind w:left="1758" w:hanging="100"/>
      </w:pPr>
      <w:rPr>
        <w:rFonts w:hint="default"/>
      </w:rPr>
    </w:lvl>
    <w:lvl w:ilvl="7" w:tplc="45DA2A6A">
      <w:numFmt w:val="bullet"/>
      <w:lvlText w:val="•"/>
      <w:lvlJc w:val="left"/>
      <w:pPr>
        <w:ind w:left="2024" w:hanging="100"/>
      </w:pPr>
      <w:rPr>
        <w:rFonts w:hint="default"/>
      </w:rPr>
    </w:lvl>
    <w:lvl w:ilvl="8" w:tplc="8F3448CA">
      <w:numFmt w:val="bullet"/>
      <w:lvlText w:val="•"/>
      <w:lvlJc w:val="left"/>
      <w:pPr>
        <w:ind w:left="2291" w:hanging="100"/>
      </w:pPr>
      <w:rPr>
        <w:rFonts w:hint="default"/>
      </w:rPr>
    </w:lvl>
  </w:abstractNum>
  <w:abstractNum w:abstractNumId="1916" w15:restartNumberingAfterBreak="0">
    <w:nsid w:val="78007285"/>
    <w:multiLevelType w:val="hybridMultilevel"/>
    <w:tmpl w:val="513A7A30"/>
    <w:lvl w:ilvl="0" w:tplc="29FC0FC2">
      <w:numFmt w:val="bullet"/>
      <w:lvlText w:val=""/>
      <w:lvlJc w:val="left"/>
      <w:pPr>
        <w:ind w:left="156" w:hanging="100"/>
      </w:pPr>
      <w:rPr>
        <w:rFonts w:ascii="Symbol" w:eastAsia="Symbol" w:hAnsi="Symbol" w:cs="Symbol" w:hint="default"/>
        <w:color w:val="231F20"/>
        <w:w w:val="100"/>
        <w:sz w:val="14"/>
        <w:szCs w:val="14"/>
      </w:rPr>
    </w:lvl>
    <w:lvl w:ilvl="1" w:tplc="C5BE7BC6">
      <w:numFmt w:val="bullet"/>
      <w:lvlText w:val="•"/>
      <w:lvlJc w:val="left"/>
      <w:pPr>
        <w:ind w:left="398" w:hanging="100"/>
      </w:pPr>
      <w:rPr>
        <w:rFonts w:hint="default"/>
      </w:rPr>
    </w:lvl>
    <w:lvl w:ilvl="2" w:tplc="FA981D1A">
      <w:numFmt w:val="bullet"/>
      <w:lvlText w:val="•"/>
      <w:lvlJc w:val="left"/>
      <w:pPr>
        <w:ind w:left="636" w:hanging="100"/>
      </w:pPr>
      <w:rPr>
        <w:rFonts w:hint="default"/>
      </w:rPr>
    </w:lvl>
    <w:lvl w:ilvl="3" w:tplc="D1C288F0">
      <w:numFmt w:val="bullet"/>
      <w:lvlText w:val="•"/>
      <w:lvlJc w:val="left"/>
      <w:pPr>
        <w:ind w:left="874" w:hanging="100"/>
      </w:pPr>
      <w:rPr>
        <w:rFonts w:hint="default"/>
      </w:rPr>
    </w:lvl>
    <w:lvl w:ilvl="4" w:tplc="00E6CFF2">
      <w:numFmt w:val="bullet"/>
      <w:lvlText w:val="•"/>
      <w:lvlJc w:val="left"/>
      <w:pPr>
        <w:ind w:left="1112" w:hanging="100"/>
      </w:pPr>
      <w:rPr>
        <w:rFonts w:hint="default"/>
      </w:rPr>
    </w:lvl>
    <w:lvl w:ilvl="5" w:tplc="31E20FA8">
      <w:numFmt w:val="bullet"/>
      <w:lvlText w:val="•"/>
      <w:lvlJc w:val="left"/>
      <w:pPr>
        <w:ind w:left="1350" w:hanging="100"/>
      </w:pPr>
      <w:rPr>
        <w:rFonts w:hint="default"/>
      </w:rPr>
    </w:lvl>
    <w:lvl w:ilvl="6" w:tplc="DE96D584">
      <w:numFmt w:val="bullet"/>
      <w:lvlText w:val="•"/>
      <w:lvlJc w:val="left"/>
      <w:pPr>
        <w:ind w:left="1588" w:hanging="100"/>
      </w:pPr>
      <w:rPr>
        <w:rFonts w:hint="default"/>
      </w:rPr>
    </w:lvl>
    <w:lvl w:ilvl="7" w:tplc="A0B26B9A">
      <w:numFmt w:val="bullet"/>
      <w:lvlText w:val="•"/>
      <w:lvlJc w:val="left"/>
      <w:pPr>
        <w:ind w:left="1826" w:hanging="100"/>
      </w:pPr>
      <w:rPr>
        <w:rFonts w:hint="default"/>
      </w:rPr>
    </w:lvl>
    <w:lvl w:ilvl="8" w:tplc="5E1E3434">
      <w:numFmt w:val="bullet"/>
      <w:lvlText w:val="•"/>
      <w:lvlJc w:val="left"/>
      <w:pPr>
        <w:ind w:left="2064" w:hanging="100"/>
      </w:pPr>
      <w:rPr>
        <w:rFonts w:hint="default"/>
      </w:rPr>
    </w:lvl>
  </w:abstractNum>
  <w:abstractNum w:abstractNumId="1917" w15:restartNumberingAfterBreak="0">
    <w:nsid w:val="7815098E"/>
    <w:multiLevelType w:val="hybridMultilevel"/>
    <w:tmpl w:val="68167C12"/>
    <w:lvl w:ilvl="0" w:tplc="65FABD86">
      <w:start w:val="2"/>
      <w:numFmt w:val="upperLetter"/>
      <w:lvlText w:val="%1."/>
      <w:lvlJc w:val="left"/>
      <w:pPr>
        <w:ind w:left="58" w:hanging="164"/>
        <w:jc w:val="left"/>
      </w:pPr>
      <w:rPr>
        <w:rFonts w:ascii="Times New Roman" w:eastAsia="Times New Roman" w:hAnsi="Times New Roman" w:cs="Times New Roman" w:hint="default"/>
        <w:color w:val="231F20"/>
        <w:spacing w:val="-6"/>
        <w:w w:val="100"/>
        <w:sz w:val="14"/>
        <w:szCs w:val="14"/>
      </w:rPr>
    </w:lvl>
    <w:lvl w:ilvl="1" w:tplc="3C841E34">
      <w:numFmt w:val="bullet"/>
      <w:lvlText w:val="•"/>
      <w:lvlJc w:val="left"/>
      <w:pPr>
        <w:ind w:left="279" w:hanging="164"/>
      </w:pPr>
      <w:rPr>
        <w:rFonts w:hint="default"/>
      </w:rPr>
    </w:lvl>
    <w:lvl w:ilvl="2" w:tplc="30221670">
      <w:numFmt w:val="bullet"/>
      <w:lvlText w:val="•"/>
      <w:lvlJc w:val="left"/>
      <w:pPr>
        <w:ind w:left="499" w:hanging="164"/>
      </w:pPr>
      <w:rPr>
        <w:rFonts w:hint="default"/>
      </w:rPr>
    </w:lvl>
    <w:lvl w:ilvl="3" w:tplc="3F2E2AB2">
      <w:numFmt w:val="bullet"/>
      <w:lvlText w:val="•"/>
      <w:lvlJc w:val="left"/>
      <w:pPr>
        <w:ind w:left="719" w:hanging="164"/>
      </w:pPr>
      <w:rPr>
        <w:rFonts w:hint="default"/>
      </w:rPr>
    </w:lvl>
    <w:lvl w:ilvl="4" w:tplc="65969642">
      <w:numFmt w:val="bullet"/>
      <w:lvlText w:val="•"/>
      <w:lvlJc w:val="left"/>
      <w:pPr>
        <w:ind w:left="938" w:hanging="164"/>
      </w:pPr>
      <w:rPr>
        <w:rFonts w:hint="default"/>
      </w:rPr>
    </w:lvl>
    <w:lvl w:ilvl="5" w:tplc="FF40E212">
      <w:numFmt w:val="bullet"/>
      <w:lvlText w:val="•"/>
      <w:lvlJc w:val="left"/>
      <w:pPr>
        <w:ind w:left="1158" w:hanging="164"/>
      </w:pPr>
      <w:rPr>
        <w:rFonts w:hint="default"/>
      </w:rPr>
    </w:lvl>
    <w:lvl w:ilvl="6" w:tplc="8D880C02">
      <w:numFmt w:val="bullet"/>
      <w:lvlText w:val="•"/>
      <w:lvlJc w:val="left"/>
      <w:pPr>
        <w:ind w:left="1378" w:hanging="164"/>
      </w:pPr>
      <w:rPr>
        <w:rFonts w:hint="default"/>
      </w:rPr>
    </w:lvl>
    <w:lvl w:ilvl="7" w:tplc="077A5786">
      <w:numFmt w:val="bullet"/>
      <w:lvlText w:val="•"/>
      <w:lvlJc w:val="left"/>
      <w:pPr>
        <w:ind w:left="1597" w:hanging="164"/>
      </w:pPr>
      <w:rPr>
        <w:rFonts w:hint="default"/>
      </w:rPr>
    </w:lvl>
    <w:lvl w:ilvl="8" w:tplc="15E69BC4">
      <w:numFmt w:val="bullet"/>
      <w:lvlText w:val="•"/>
      <w:lvlJc w:val="left"/>
      <w:pPr>
        <w:ind w:left="1817" w:hanging="164"/>
      </w:pPr>
      <w:rPr>
        <w:rFonts w:hint="default"/>
      </w:rPr>
    </w:lvl>
  </w:abstractNum>
  <w:abstractNum w:abstractNumId="1918" w15:restartNumberingAfterBreak="0">
    <w:nsid w:val="78227061"/>
    <w:multiLevelType w:val="hybridMultilevel"/>
    <w:tmpl w:val="0F7E9D60"/>
    <w:lvl w:ilvl="0" w:tplc="0E32DF16">
      <w:numFmt w:val="bullet"/>
      <w:lvlText w:val="–"/>
      <w:lvlJc w:val="left"/>
      <w:pPr>
        <w:ind w:left="162" w:hanging="105"/>
      </w:pPr>
      <w:rPr>
        <w:rFonts w:ascii="Times New Roman" w:eastAsia="Times New Roman" w:hAnsi="Times New Roman" w:cs="Times New Roman" w:hint="default"/>
        <w:color w:val="231F20"/>
        <w:spacing w:val="-16"/>
        <w:w w:val="100"/>
        <w:sz w:val="14"/>
        <w:szCs w:val="14"/>
      </w:rPr>
    </w:lvl>
    <w:lvl w:ilvl="1" w:tplc="FAA4F70A">
      <w:numFmt w:val="bullet"/>
      <w:lvlText w:val="•"/>
      <w:lvlJc w:val="left"/>
      <w:pPr>
        <w:ind w:left="426" w:hanging="105"/>
      </w:pPr>
      <w:rPr>
        <w:rFonts w:hint="default"/>
      </w:rPr>
    </w:lvl>
    <w:lvl w:ilvl="2" w:tplc="FF3E7966">
      <w:numFmt w:val="bullet"/>
      <w:lvlText w:val="•"/>
      <w:lvlJc w:val="left"/>
      <w:pPr>
        <w:ind w:left="692" w:hanging="105"/>
      </w:pPr>
      <w:rPr>
        <w:rFonts w:hint="default"/>
      </w:rPr>
    </w:lvl>
    <w:lvl w:ilvl="3" w:tplc="B1C2E430">
      <w:numFmt w:val="bullet"/>
      <w:lvlText w:val="•"/>
      <w:lvlJc w:val="left"/>
      <w:pPr>
        <w:ind w:left="959" w:hanging="105"/>
      </w:pPr>
      <w:rPr>
        <w:rFonts w:hint="default"/>
      </w:rPr>
    </w:lvl>
    <w:lvl w:ilvl="4" w:tplc="A4BE88A8">
      <w:numFmt w:val="bullet"/>
      <w:lvlText w:val="•"/>
      <w:lvlJc w:val="left"/>
      <w:pPr>
        <w:ind w:left="1225" w:hanging="105"/>
      </w:pPr>
      <w:rPr>
        <w:rFonts w:hint="default"/>
      </w:rPr>
    </w:lvl>
    <w:lvl w:ilvl="5" w:tplc="F5044868">
      <w:numFmt w:val="bullet"/>
      <w:lvlText w:val="•"/>
      <w:lvlJc w:val="left"/>
      <w:pPr>
        <w:ind w:left="1492" w:hanging="105"/>
      </w:pPr>
      <w:rPr>
        <w:rFonts w:hint="default"/>
      </w:rPr>
    </w:lvl>
    <w:lvl w:ilvl="6" w:tplc="2BF25AD2">
      <w:numFmt w:val="bullet"/>
      <w:lvlText w:val="•"/>
      <w:lvlJc w:val="left"/>
      <w:pPr>
        <w:ind w:left="1758" w:hanging="105"/>
      </w:pPr>
      <w:rPr>
        <w:rFonts w:hint="default"/>
      </w:rPr>
    </w:lvl>
    <w:lvl w:ilvl="7" w:tplc="A4ACE848">
      <w:numFmt w:val="bullet"/>
      <w:lvlText w:val="•"/>
      <w:lvlJc w:val="left"/>
      <w:pPr>
        <w:ind w:left="2024" w:hanging="105"/>
      </w:pPr>
      <w:rPr>
        <w:rFonts w:hint="default"/>
      </w:rPr>
    </w:lvl>
    <w:lvl w:ilvl="8" w:tplc="C9FA1386">
      <w:numFmt w:val="bullet"/>
      <w:lvlText w:val="•"/>
      <w:lvlJc w:val="left"/>
      <w:pPr>
        <w:ind w:left="2291" w:hanging="105"/>
      </w:pPr>
      <w:rPr>
        <w:rFonts w:hint="default"/>
      </w:rPr>
    </w:lvl>
  </w:abstractNum>
  <w:abstractNum w:abstractNumId="1919" w15:restartNumberingAfterBreak="0">
    <w:nsid w:val="7826115C"/>
    <w:multiLevelType w:val="hybridMultilevel"/>
    <w:tmpl w:val="316C6D9E"/>
    <w:lvl w:ilvl="0" w:tplc="DD26A100">
      <w:numFmt w:val="bullet"/>
      <w:lvlText w:val="•"/>
      <w:lvlJc w:val="left"/>
      <w:pPr>
        <w:ind w:left="142" w:hanging="84"/>
      </w:pPr>
      <w:rPr>
        <w:rFonts w:ascii="Times New Roman" w:eastAsia="Times New Roman" w:hAnsi="Times New Roman" w:cs="Times New Roman" w:hint="default"/>
        <w:b/>
        <w:bCs/>
        <w:color w:val="231F20"/>
        <w:w w:val="100"/>
        <w:sz w:val="14"/>
        <w:szCs w:val="14"/>
      </w:rPr>
    </w:lvl>
    <w:lvl w:ilvl="1" w:tplc="F0B60DC6">
      <w:numFmt w:val="bullet"/>
      <w:lvlText w:val="•"/>
      <w:lvlJc w:val="left"/>
      <w:pPr>
        <w:ind w:left="351" w:hanging="84"/>
      </w:pPr>
      <w:rPr>
        <w:rFonts w:hint="default"/>
      </w:rPr>
    </w:lvl>
    <w:lvl w:ilvl="2" w:tplc="D234973A">
      <w:numFmt w:val="bullet"/>
      <w:lvlText w:val="•"/>
      <w:lvlJc w:val="left"/>
      <w:pPr>
        <w:ind w:left="563" w:hanging="84"/>
      </w:pPr>
      <w:rPr>
        <w:rFonts w:hint="default"/>
      </w:rPr>
    </w:lvl>
    <w:lvl w:ilvl="3" w:tplc="08AC027A">
      <w:numFmt w:val="bullet"/>
      <w:lvlText w:val="•"/>
      <w:lvlJc w:val="left"/>
      <w:pPr>
        <w:ind w:left="775" w:hanging="84"/>
      </w:pPr>
      <w:rPr>
        <w:rFonts w:hint="default"/>
      </w:rPr>
    </w:lvl>
    <w:lvl w:ilvl="4" w:tplc="501A68B0">
      <w:numFmt w:val="bullet"/>
      <w:lvlText w:val="•"/>
      <w:lvlJc w:val="left"/>
      <w:pPr>
        <w:ind w:left="986" w:hanging="84"/>
      </w:pPr>
      <w:rPr>
        <w:rFonts w:hint="default"/>
      </w:rPr>
    </w:lvl>
    <w:lvl w:ilvl="5" w:tplc="BD98F28E">
      <w:numFmt w:val="bullet"/>
      <w:lvlText w:val="•"/>
      <w:lvlJc w:val="left"/>
      <w:pPr>
        <w:ind w:left="1198" w:hanging="84"/>
      </w:pPr>
      <w:rPr>
        <w:rFonts w:hint="default"/>
      </w:rPr>
    </w:lvl>
    <w:lvl w:ilvl="6" w:tplc="F2AAF2F6">
      <w:numFmt w:val="bullet"/>
      <w:lvlText w:val="•"/>
      <w:lvlJc w:val="left"/>
      <w:pPr>
        <w:ind w:left="1410" w:hanging="84"/>
      </w:pPr>
      <w:rPr>
        <w:rFonts w:hint="default"/>
      </w:rPr>
    </w:lvl>
    <w:lvl w:ilvl="7" w:tplc="5D922AEA">
      <w:numFmt w:val="bullet"/>
      <w:lvlText w:val="•"/>
      <w:lvlJc w:val="left"/>
      <w:pPr>
        <w:ind w:left="1621" w:hanging="84"/>
      </w:pPr>
      <w:rPr>
        <w:rFonts w:hint="default"/>
      </w:rPr>
    </w:lvl>
    <w:lvl w:ilvl="8" w:tplc="AC9A0470">
      <w:numFmt w:val="bullet"/>
      <w:lvlText w:val="•"/>
      <w:lvlJc w:val="left"/>
      <w:pPr>
        <w:ind w:left="1833" w:hanging="84"/>
      </w:pPr>
      <w:rPr>
        <w:rFonts w:hint="default"/>
      </w:rPr>
    </w:lvl>
  </w:abstractNum>
  <w:abstractNum w:abstractNumId="1920" w15:restartNumberingAfterBreak="0">
    <w:nsid w:val="78315483"/>
    <w:multiLevelType w:val="hybridMultilevel"/>
    <w:tmpl w:val="DA847DB2"/>
    <w:lvl w:ilvl="0" w:tplc="75C81776">
      <w:numFmt w:val="bullet"/>
      <w:lvlText w:val=""/>
      <w:lvlJc w:val="left"/>
      <w:pPr>
        <w:ind w:left="156" w:hanging="100"/>
      </w:pPr>
      <w:rPr>
        <w:rFonts w:ascii="Symbol" w:eastAsia="Symbol" w:hAnsi="Symbol" w:cs="Symbol" w:hint="default"/>
        <w:color w:val="231F20"/>
        <w:w w:val="100"/>
        <w:sz w:val="14"/>
        <w:szCs w:val="14"/>
      </w:rPr>
    </w:lvl>
    <w:lvl w:ilvl="1" w:tplc="5CE677A4">
      <w:numFmt w:val="bullet"/>
      <w:lvlText w:val="•"/>
      <w:lvlJc w:val="left"/>
      <w:pPr>
        <w:ind w:left="301" w:hanging="100"/>
      </w:pPr>
      <w:rPr>
        <w:rFonts w:hint="default"/>
      </w:rPr>
    </w:lvl>
    <w:lvl w:ilvl="2" w:tplc="6F26A3EE">
      <w:numFmt w:val="bullet"/>
      <w:lvlText w:val="•"/>
      <w:lvlJc w:val="left"/>
      <w:pPr>
        <w:ind w:left="443" w:hanging="100"/>
      </w:pPr>
      <w:rPr>
        <w:rFonts w:hint="default"/>
      </w:rPr>
    </w:lvl>
    <w:lvl w:ilvl="3" w:tplc="81E4A0F4">
      <w:numFmt w:val="bullet"/>
      <w:lvlText w:val="•"/>
      <w:lvlJc w:val="left"/>
      <w:pPr>
        <w:ind w:left="585" w:hanging="100"/>
      </w:pPr>
      <w:rPr>
        <w:rFonts w:hint="default"/>
      </w:rPr>
    </w:lvl>
    <w:lvl w:ilvl="4" w:tplc="4D7612A2">
      <w:numFmt w:val="bullet"/>
      <w:lvlText w:val="•"/>
      <w:lvlJc w:val="left"/>
      <w:pPr>
        <w:ind w:left="726" w:hanging="100"/>
      </w:pPr>
      <w:rPr>
        <w:rFonts w:hint="default"/>
      </w:rPr>
    </w:lvl>
    <w:lvl w:ilvl="5" w:tplc="308263F6">
      <w:numFmt w:val="bullet"/>
      <w:lvlText w:val="•"/>
      <w:lvlJc w:val="left"/>
      <w:pPr>
        <w:ind w:left="868" w:hanging="100"/>
      </w:pPr>
      <w:rPr>
        <w:rFonts w:hint="default"/>
      </w:rPr>
    </w:lvl>
    <w:lvl w:ilvl="6" w:tplc="47701E58">
      <w:numFmt w:val="bullet"/>
      <w:lvlText w:val="•"/>
      <w:lvlJc w:val="left"/>
      <w:pPr>
        <w:ind w:left="1010" w:hanging="100"/>
      </w:pPr>
      <w:rPr>
        <w:rFonts w:hint="default"/>
      </w:rPr>
    </w:lvl>
    <w:lvl w:ilvl="7" w:tplc="9C1A1382">
      <w:numFmt w:val="bullet"/>
      <w:lvlText w:val="•"/>
      <w:lvlJc w:val="left"/>
      <w:pPr>
        <w:ind w:left="1151" w:hanging="100"/>
      </w:pPr>
      <w:rPr>
        <w:rFonts w:hint="default"/>
      </w:rPr>
    </w:lvl>
    <w:lvl w:ilvl="8" w:tplc="C3227F64">
      <w:numFmt w:val="bullet"/>
      <w:lvlText w:val="•"/>
      <w:lvlJc w:val="left"/>
      <w:pPr>
        <w:ind w:left="1293" w:hanging="100"/>
      </w:pPr>
      <w:rPr>
        <w:rFonts w:hint="default"/>
      </w:rPr>
    </w:lvl>
  </w:abstractNum>
  <w:abstractNum w:abstractNumId="1921" w15:restartNumberingAfterBreak="0">
    <w:nsid w:val="78331F0F"/>
    <w:multiLevelType w:val="hybridMultilevel"/>
    <w:tmpl w:val="56FA0752"/>
    <w:lvl w:ilvl="0" w:tplc="3F6C7388">
      <w:numFmt w:val="bullet"/>
      <w:lvlText w:val=""/>
      <w:lvlJc w:val="left"/>
      <w:pPr>
        <w:ind w:left="156" w:hanging="100"/>
      </w:pPr>
      <w:rPr>
        <w:rFonts w:ascii="Symbol" w:eastAsia="Symbol" w:hAnsi="Symbol" w:cs="Symbol" w:hint="default"/>
        <w:color w:val="231F20"/>
        <w:w w:val="100"/>
        <w:sz w:val="14"/>
        <w:szCs w:val="14"/>
      </w:rPr>
    </w:lvl>
    <w:lvl w:ilvl="1" w:tplc="C220D938">
      <w:numFmt w:val="bullet"/>
      <w:lvlText w:val="•"/>
      <w:lvlJc w:val="left"/>
      <w:pPr>
        <w:ind w:left="301" w:hanging="100"/>
      </w:pPr>
      <w:rPr>
        <w:rFonts w:hint="default"/>
      </w:rPr>
    </w:lvl>
    <w:lvl w:ilvl="2" w:tplc="D6806A38">
      <w:numFmt w:val="bullet"/>
      <w:lvlText w:val="•"/>
      <w:lvlJc w:val="left"/>
      <w:pPr>
        <w:ind w:left="443" w:hanging="100"/>
      </w:pPr>
      <w:rPr>
        <w:rFonts w:hint="default"/>
      </w:rPr>
    </w:lvl>
    <w:lvl w:ilvl="3" w:tplc="7480BD02">
      <w:numFmt w:val="bullet"/>
      <w:lvlText w:val="•"/>
      <w:lvlJc w:val="left"/>
      <w:pPr>
        <w:ind w:left="585" w:hanging="100"/>
      </w:pPr>
      <w:rPr>
        <w:rFonts w:hint="default"/>
      </w:rPr>
    </w:lvl>
    <w:lvl w:ilvl="4" w:tplc="9E2EEF30">
      <w:numFmt w:val="bullet"/>
      <w:lvlText w:val="•"/>
      <w:lvlJc w:val="left"/>
      <w:pPr>
        <w:ind w:left="726" w:hanging="100"/>
      </w:pPr>
      <w:rPr>
        <w:rFonts w:hint="default"/>
      </w:rPr>
    </w:lvl>
    <w:lvl w:ilvl="5" w:tplc="99640060">
      <w:numFmt w:val="bullet"/>
      <w:lvlText w:val="•"/>
      <w:lvlJc w:val="left"/>
      <w:pPr>
        <w:ind w:left="868" w:hanging="100"/>
      </w:pPr>
      <w:rPr>
        <w:rFonts w:hint="default"/>
      </w:rPr>
    </w:lvl>
    <w:lvl w:ilvl="6" w:tplc="ADEA7568">
      <w:numFmt w:val="bullet"/>
      <w:lvlText w:val="•"/>
      <w:lvlJc w:val="left"/>
      <w:pPr>
        <w:ind w:left="1010" w:hanging="100"/>
      </w:pPr>
      <w:rPr>
        <w:rFonts w:hint="default"/>
      </w:rPr>
    </w:lvl>
    <w:lvl w:ilvl="7" w:tplc="B866BD74">
      <w:numFmt w:val="bullet"/>
      <w:lvlText w:val="•"/>
      <w:lvlJc w:val="left"/>
      <w:pPr>
        <w:ind w:left="1151" w:hanging="100"/>
      </w:pPr>
      <w:rPr>
        <w:rFonts w:hint="default"/>
      </w:rPr>
    </w:lvl>
    <w:lvl w:ilvl="8" w:tplc="A4200568">
      <w:numFmt w:val="bullet"/>
      <w:lvlText w:val="•"/>
      <w:lvlJc w:val="left"/>
      <w:pPr>
        <w:ind w:left="1293" w:hanging="100"/>
      </w:pPr>
      <w:rPr>
        <w:rFonts w:hint="default"/>
      </w:rPr>
    </w:lvl>
  </w:abstractNum>
  <w:abstractNum w:abstractNumId="1922" w15:restartNumberingAfterBreak="0">
    <w:nsid w:val="7840000D"/>
    <w:multiLevelType w:val="hybridMultilevel"/>
    <w:tmpl w:val="58CC2326"/>
    <w:lvl w:ilvl="0" w:tplc="DEE0C1A8">
      <w:numFmt w:val="bullet"/>
      <w:lvlText w:val=""/>
      <w:lvlJc w:val="left"/>
      <w:pPr>
        <w:ind w:left="156" w:hanging="100"/>
      </w:pPr>
      <w:rPr>
        <w:rFonts w:ascii="Symbol" w:eastAsia="Symbol" w:hAnsi="Symbol" w:cs="Symbol" w:hint="default"/>
        <w:color w:val="231F20"/>
        <w:w w:val="100"/>
        <w:sz w:val="14"/>
        <w:szCs w:val="14"/>
      </w:rPr>
    </w:lvl>
    <w:lvl w:ilvl="1" w:tplc="F4B2E7E4">
      <w:numFmt w:val="bullet"/>
      <w:lvlText w:val="•"/>
      <w:lvlJc w:val="left"/>
      <w:pPr>
        <w:ind w:left="301" w:hanging="100"/>
      </w:pPr>
      <w:rPr>
        <w:rFonts w:hint="default"/>
      </w:rPr>
    </w:lvl>
    <w:lvl w:ilvl="2" w:tplc="C4F8DC70">
      <w:numFmt w:val="bullet"/>
      <w:lvlText w:val="•"/>
      <w:lvlJc w:val="left"/>
      <w:pPr>
        <w:ind w:left="443" w:hanging="100"/>
      </w:pPr>
      <w:rPr>
        <w:rFonts w:hint="default"/>
      </w:rPr>
    </w:lvl>
    <w:lvl w:ilvl="3" w:tplc="68CCB688">
      <w:numFmt w:val="bullet"/>
      <w:lvlText w:val="•"/>
      <w:lvlJc w:val="left"/>
      <w:pPr>
        <w:ind w:left="585" w:hanging="100"/>
      </w:pPr>
      <w:rPr>
        <w:rFonts w:hint="default"/>
      </w:rPr>
    </w:lvl>
    <w:lvl w:ilvl="4" w:tplc="F2B6EADA">
      <w:numFmt w:val="bullet"/>
      <w:lvlText w:val="•"/>
      <w:lvlJc w:val="left"/>
      <w:pPr>
        <w:ind w:left="726" w:hanging="100"/>
      </w:pPr>
      <w:rPr>
        <w:rFonts w:hint="default"/>
      </w:rPr>
    </w:lvl>
    <w:lvl w:ilvl="5" w:tplc="478E663E">
      <w:numFmt w:val="bullet"/>
      <w:lvlText w:val="•"/>
      <w:lvlJc w:val="left"/>
      <w:pPr>
        <w:ind w:left="868" w:hanging="100"/>
      </w:pPr>
      <w:rPr>
        <w:rFonts w:hint="default"/>
      </w:rPr>
    </w:lvl>
    <w:lvl w:ilvl="6" w:tplc="DB5C10A8">
      <w:numFmt w:val="bullet"/>
      <w:lvlText w:val="•"/>
      <w:lvlJc w:val="left"/>
      <w:pPr>
        <w:ind w:left="1010" w:hanging="100"/>
      </w:pPr>
      <w:rPr>
        <w:rFonts w:hint="default"/>
      </w:rPr>
    </w:lvl>
    <w:lvl w:ilvl="7" w:tplc="7324C38C">
      <w:numFmt w:val="bullet"/>
      <w:lvlText w:val="•"/>
      <w:lvlJc w:val="left"/>
      <w:pPr>
        <w:ind w:left="1151" w:hanging="100"/>
      </w:pPr>
      <w:rPr>
        <w:rFonts w:hint="default"/>
      </w:rPr>
    </w:lvl>
    <w:lvl w:ilvl="8" w:tplc="489E67D8">
      <w:numFmt w:val="bullet"/>
      <w:lvlText w:val="•"/>
      <w:lvlJc w:val="left"/>
      <w:pPr>
        <w:ind w:left="1293" w:hanging="100"/>
      </w:pPr>
      <w:rPr>
        <w:rFonts w:hint="default"/>
      </w:rPr>
    </w:lvl>
  </w:abstractNum>
  <w:abstractNum w:abstractNumId="1923" w15:restartNumberingAfterBreak="0">
    <w:nsid w:val="785F2229"/>
    <w:multiLevelType w:val="hybridMultilevel"/>
    <w:tmpl w:val="6B286DFC"/>
    <w:lvl w:ilvl="0" w:tplc="FD3C7948">
      <w:numFmt w:val="bullet"/>
      <w:lvlText w:val=""/>
      <w:lvlJc w:val="left"/>
      <w:pPr>
        <w:ind w:left="156" w:hanging="100"/>
      </w:pPr>
      <w:rPr>
        <w:rFonts w:ascii="Symbol" w:eastAsia="Symbol" w:hAnsi="Symbol" w:cs="Symbol" w:hint="default"/>
        <w:color w:val="231F20"/>
        <w:w w:val="100"/>
        <w:sz w:val="14"/>
        <w:szCs w:val="14"/>
      </w:rPr>
    </w:lvl>
    <w:lvl w:ilvl="1" w:tplc="445025AC">
      <w:numFmt w:val="bullet"/>
      <w:lvlText w:val="•"/>
      <w:lvlJc w:val="left"/>
      <w:pPr>
        <w:ind w:left="273" w:hanging="100"/>
      </w:pPr>
      <w:rPr>
        <w:rFonts w:hint="default"/>
      </w:rPr>
    </w:lvl>
    <w:lvl w:ilvl="2" w:tplc="AF90AF1E">
      <w:numFmt w:val="bullet"/>
      <w:lvlText w:val="•"/>
      <w:lvlJc w:val="left"/>
      <w:pPr>
        <w:ind w:left="386" w:hanging="100"/>
      </w:pPr>
      <w:rPr>
        <w:rFonts w:hint="default"/>
      </w:rPr>
    </w:lvl>
    <w:lvl w:ilvl="3" w:tplc="BAA4A48C">
      <w:numFmt w:val="bullet"/>
      <w:lvlText w:val="•"/>
      <w:lvlJc w:val="left"/>
      <w:pPr>
        <w:ind w:left="500" w:hanging="100"/>
      </w:pPr>
      <w:rPr>
        <w:rFonts w:hint="default"/>
      </w:rPr>
    </w:lvl>
    <w:lvl w:ilvl="4" w:tplc="226E214E">
      <w:numFmt w:val="bullet"/>
      <w:lvlText w:val="•"/>
      <w:lvlJc w:val="left"/>
      <w:pPr>
        <w:ind w:left="613" w:hanging="100"/>
      </w:pPr>
      <w:rPr>
        <w:rFonts w:hint="default"/>
      </w:rPr>
    </w:lvl>
    <w:lvl w:ilvl="5" w:tplc="0FB4C9AC">
      <w:numFmt w:val="bullet"/>
      <w:lvlText w:val="•"/>
      <w:lvlJc w:val="left"/>
      <w:pPr>
        <w:ind w:left="727" w:hanging="100"/>
      </w:pPr>
      <w:rPr>
        <w:rFonts w:hint="default"/>
      </w:rPr>
    </w:lvl>
    <w:lvl w:ilvl="6" w:tplc="60DC6C3C">
      <w:numFmt w:val="bullet"/>
      <w:lvlText w:val="•"/>
      <w:lvlJc w:val="left"/>
      <w:pPr>
        <w:ind w:left="840" w:hanging="100"/>
      </w:pPr>
      <w:rPr>
        <w:rFonts w:hint="default"/>
      </w:rPr>
    </w:lvl>
    <w:lvl w:ilvl="7" w:tplc="A7F26DDA">
      <w:numFmt w:val="bullet"/>
      <w:lvlText w:val="•"/>
      <w:lvlJc w:val="left"/>
      <w:pPr>
        <w:ind w:left="953" w:hanging="100"/>
      </w:pPr>
      <w:rPr>
        <w:rFonts w:hint="default"/>
      </w:rPr>
    </w:lvl>
    <w:lvl w:ilvl="8" w:tplc="D51E7528">
      <w:numFmt w:val="bullet"/>
      <w:lvlText w:val="•"/>
      <w:lvlJc w:val="left"/>
      <w:pPr>
        <w:ind w:left="1067" w:hanging="100"/>
      </w:pPr>
      <w:rPr>
        <w:rFonts w:hint="default"/>
      </w:rPr>
    </w:lvl>
  </w:abstractNum>
  <w:abstractNum w:abstractNumId="1924" w15:restartNumberingAfterBreak="0">
    <w:nsid w:val="78617960"/>
    <w:multiLevelType w:val="hybridMultilevel"/>
    <w:tmpl w:val="411EADB2"/>
    <w:lvl w:ilvl="0" w:tplc="F33CCFE4">
      <w:numFmt w:val="bullet"/>
      <w:lvlText w:val=""/>
      <w:lvlJc w:val="left"/>
      <w:pPr>
        <w:ind w:left="156" w:hanging="100"/>
      </w:pPr>
      <w:rPr>
        <w:rFonts w:ascii="Symbol" w:eastAsia="Symbol" w:hAnsi="Symbol" w:cs="Symbol" w:hint="default"/>
        <w:color w:val="231F20"/>
        <w:w w:val="100"/>
        <w:sz w:val="14"/>
        <w:szCs w:val="14"/>
      </w:rPr>
    </w:lvl>
    <w:lvl w:ilvl="1" w:tplc="07B4D99C">
      <w:numFmt w:val="bullet"/>
      <w:lvlText w:val="•"/>
      <w:lvlJc w:val="left"/>
      <w:pPr>
        <w:ind w:left="426" w:hanging="100"/>
      </w:pPr>
      <w:rPr>
        <w:rFonts w:hint="default"/>
      </w:rPr>
    </w:lvl>
    <w:lvl w:ilvl="2" w:tplc="D6448114">
      <w:numFmt w:val="bullet"/>
      <w:lvlText w:val="•"/>
      <w:lvlJc w:val="left"/>
      <w:pPr>
        <w:ind w:left="692" w:hanging="100"/>
      </w:pPr>
      <w:rPr>
        <w:rFonts w:hint="default"/>
      </w:rPr>
    </w:lvl>
    <w:lvl w:ilvl="3" w:tplc="71E4B962">
      <w:numFmt w:val="bullet"/>
      <w:lvlText w:val="•"/>
      <w:lvlJc w:val="left"/>
      <w:pPr>
        <w:ind w:left="959" w:hanging="100"/>
      </w:pPr>
      <w:rPr>
        <w:rFonts w:hint="default"/>
      </w:rPr>
    </w:lvl>
    <w:lvl w:ilvl="4" w:tplc="61568ED0">
      <w:numFmt w:val="bullet"/>
      <w:lvlText w:val="•"/>
      <w:lvlJc w:val="left"/>
      <w:pPr>
        <w:ind w:left="1225" w:hanging="100"/>
      </w:pPr>
      <w:rPr>
        <w:rFonts w:hint="default"/>
      </w:rPr>
    </w:lvl>
    <w:lvl w:ilvl="5" w:tplc="4D807598">
      <w:numFmt w:val="bullet"/>
      <w:lvlText w:val="•"/>
      <w:lvlJc w:val="left"/>
      <w:pPr>
        <w:ind w:left="1492" w:hanging="100"/>
      </w:pPr>
      <w:rPr>
        <w:rFonts w:hint="default"/>
      </w:rPr>
    </w:lvl>
    <w:lvl w:ilvl="6" w:tplc="BCA6D9A0">
      <w:numFmt w:val="bullet"/>
      <w:lvlText w:val="•"/>
      <w:lvlJc w:val="left"/>
      <w:pPr>
        <w:ind w:left="1758" w:hanging="100"/>
      </w:pPr>
      <w:rPr>
        <w:rFonts w:hint="default"/>
      </w:rPr>
    </w:lvl>
    <w:lvl w:ilvl="7" w:tplc="4D5C3F9C">
      <w:numFmt w:val="bullet"/>
      <w:lvlText w:val="•"/>
      <w:lvlJc w:val="left"/>
      <w:pPr>
        <w:ind w:left="2024" w:hanging="100"/>
      </w:pPr>
      <w:rPr>
        <w:rFonts w:hint="default"/>
      </w:rPr>
    </w:lvl>
    <w:lvl w:ilvl="8" w:tplc="AB94C8C0">
      <w:numFmt w:val="bullet"/>
      <w:lvlText w:val="•"/>
      <w:lvlJc w:val="left"/>
      <w:pPr>
        <w:ind w:left="2291" w:hanging="100"/>
      </w:pPr>
      <w:rPr>
        <w:rFonts w:hint="default"/>
      </w:rPr>
    </w:lvl>
  </w:abstractNum>
  <w:abstractNum w:abstractNumId="1925" w15:restartNumberingAfterBreak="0">
    <w:nsid w:val="78994B27"/>
    <w:multiLevelType w:val="hybridMultilevel"/>
    <w:tmpl w:val="CD40D026"/>
    <w:lvl w:ilvl="0" w:tplc="C936905A">
      <w:numFmt w:val="bullet"/>
      <w:lvlText w:val=""/>
      <w:lvlJc w:val="left"/>
      <w:pPr>
        <w:ind w:left="156" w:hanging="100"/>
      </w:pPr>
      <w:rPr>
        <w:rFonts w:ascii="Symbol" w:eastAsia="Symbol" w:hAnsi="Symbol" w:cs="Symbol" w:hint="default"/>
        <w:color w:val="231F20"/>
        <w:w w:val="100"/>
        <w:sz w:val="14"/>
        <w:szCs w:val="14"/>
      </w:rPr>
    </w:lvl>
    <w:lvl w:ilvl="1" w:tplc="52D09038">
      <w:numFmt w:val="bullet"/>
      <w:lvlText w:val="•"/>
      <w:lvlJc w:val="left"/>
      <w:pPr>
        <w:ind w:left="301" w:hanging="100"/>
      </w:pPr>
      <w:rPr>
        <w:rFonts w:hint="default"/>
      </w:rPr>
    </w:lvl>
    <w:lvl w:ilvl="2" w:tplc="20AA880C">
      <w:numFmt w:val="bullet"/>
      <w:lvlText w:val="•"/>
      <w:lvlJc w:val="left"/>
      <w:pPr>
        <w:ind w:left="443" w:hanging="100"/>
      </w:pPr>
      <w:rPr>
        <w:rFonts w:hint="default"/>
      </w:rPr>
    </w:lvl>
    <w:lvl w:ilvl="3" w:tplc="9F7E4914">
      <w:numFmt w:val="bullet"/>
      <w:lvlText w:val="•"/>
      <w:lvlJc w:val="left"/>
      <w:pPr>
        <w:ind w:left="585" w:hanging="100"/>
      </w:pPr>
      <w:rPr>
        <w:rFonts w:hint="default"/>
      </w:rPr>
    </w:lvl>
    <w:lvl w:ilvl="4" w:tplc="E6AACBE2">
      <w:numFmt w:val="bullet"/>
      <w:lvlText w:val="•"/>
      <w:lvlJc w:val="left"/>
      <w:pPr>
        <w:ind w:left="726" w:hanging="100"/>
      </w:pPr>
      <w:rPr>
        <w:rFonts w:hint="default"/>
      </w:rPr>
    </w:lvl>
    <w:lvl w:ilvl="5" w:tplc="34FAB11A">
      <w:numFmt w:val="bullet"/>
      <w:lvlText w:val="•"/>
      <w:lvlJc w:val="left"/>
      <w:pPr>
        <w:ind w:left="868" w:hanging="100"/>
      </w:pPr>
      <w:rPr>
        <w:rFonts w:hint="default"/>
      </w:rPr>
    </w:lvl>
    <w:lvl w:ilvl="6" w:tplc="B9AC813A">
      <w:numFmt w:val="bullet"/>
      <w:lvlText w:val="•"/>
      <w:lvlJc w:val="left"/>
      <w:pPr>
        <w:ind w:left="1010" w:hanging="100"/>
      </w:pPr>
      <w:rPr>
        <w:rFonts w:hint="default"/>
      </w:rPr>
    </w:lvl>
    <w:lvl w:ilvl="7" w:tplc="044C472C">
      <w:numFmt w:val="bullet"/>
      <w:lvlText w:val="•"/>
      <w:lvlJc w:val="left"/>
      <w:pPr>
        <w:ind w:left="1151" w:hanging="100"/>
      </w:pPr>
      <w:rPr>
        <w:rFonts w:hint="default"/>
      </w:rPr>
    </w:lvl>
    <w:lvl w:ilvl="8" w:tplc="DA56C41E">
      <w:numFmt w:val="bullet"/>
      <w:lvlText w:val="•"/>
      <w:lvlJc w:val="left"/>
      <w:pPr>
        <w:ind w:left="1293" w:hanging="100"/>
      </w:pPr>
      <w:rPr>
        <w:rFonts w:hint="default"/>
      </w:rPr>
    </w:lvl>
  </w:abstractNum>
  <w:abstractNum w:abstractNumId="1926" w15:restartNumberingAfterBreak="0">
    <w:nsid w:val="78AF1D54"/>
    <w:multiLevelType w:val="hybridMultilevel"/>
    <w:tmpl w:val="91E204DE"/>
    <w:lvl w:ilvl="0" w:tplc="35F0849C">
      <w:numFmt w:val="bullet"/>
      <w:lvlText w:val=""/>
      <w:lvlJc w:val="left"/>
      <w:pPr>
        <w:ind w:left="156" w:hanging="100"/>
      </w:pPr>
      <w:rPr>
        <w:rFonts w:ascii="Symbol" w:eastAsia="Symbol" w:hAnsi="Symbol" w:cs="Symbol" w:hint="default"/>
        <w:color w:val="231F20"/>
        <w:w w:val="100"/>
        <w:sz w:val="14"/>
        <w:szCs w:val="14"/>
      </w:rPr>
    </w:lvl>
    <w:lvl w:ilvl="1" w:tplc="DE7E32EC">
      <w:numFmt w:val="bullet"/>
      <w:lvlText w:val="•"/>
      <w:lvlJc w:val="left"/>
      <w:pPr>
        <w:ind w:left="398" w:hanging="100"/>
      </w:pPr>
      <w:rPr>
        <w:rFonts w:hint="default"/>
      </w:rPr>
    </w:lvl>
    <w:lvl w:ilvl="2" w:tplc="FE324B16">
      <w:numFmt w:val="bullet"/>
      <w:lvlText w:val="•"/>
      <w:lvlJc w:val="left"/>
      <w:pPr>
        <w:ind w:left="636" w:hanging="100"/>
      </w:pPr>
      <w:rPr>
        <w:rFonts w:hint="default"/>
      </w:rPr>
    </w:lvl>
    <w:lvl w:ilvl="3" w:tplc="D7BE418E">
      <w:numFmt w:val="bullet"/>
      <w:lvlText w:val="•"/>
      <w:lvlJc w:val="left"/>
      <w:pPr>
        <w:ind w:left="874" w:hanging="100"/>
      </w:pPr>
      <w:rPr>
        <w:rFonts w:hint="default"/>
      </w:rPr>
    </w:lvl>
    <w:lvl w:ilvl="4" w:tplc="2F146DE6">
      <w:numFmt w:val="bullet"/>
      <w:lvlText w:val="•"/>
      <w:lvlJc w:val="left"/>
      <w:pPr>
        <w:ind w:left="1112" w:hanging="100"/>
      </w:pPr>
      <w:rPr>
        <w:rFonts w:hint="default"/>
      </w:rPr>
    </w:lvl>
    <w:lvl w:ilvl="5" w:tplc="B3A44BC8">
      <w:numFmt w:val="bullet"/>
      <w:lvlText w:val="•"/>
      <w:lvlJc w:val="left"/>
      <w:pPr>
        <w:ind w:left="1350" w:hanging="100"/>
      </w:pPr>
      <w:rPr>
        <w:rFonts w:hint="default"/>
      </w:rPr>
    </w:lvl>
    <w:lvl w:ilvl="6" w:tplc="90F6BE94">
      <w:numFmt w:val="bullet"/>
      <w:lvlText w:val="•"/>
      <w:lvlJc w:val="left"/>
      <w:pPr>
        <w:ind w:left="1588" w:hanging="100"/>
      </w:pPr>
      <w:rPr>
        <w:rFonts w:hint="default"/>
      </w:rPr>
    </w:lvl>
    <w:lvl w:ilvl="7" w:tplc="C818EE8C">
      <w:numFmt w:val="bullet"/>
      <w:lvlText w:val="•"/>
      <w:lvlJc w:val="left"/>
      <w:pPr>
        <w:ind w:left="1826" w:hanging="100"/>
      </w:pPr>
      <w:rPr>
        <w:rFonts w:hint="default"/>
      </w:rPr>
    </w:lvl>
    <w:lvl w:ilvl="8" w:tplc="156E82F8">
      <w:numFmt w:val="bullet"/>
      <w:lvlText w:val="•"/>
      <w:lvlJc w:val="left"/>
      <w:pPr>
        <w:ind w:left="2064" w:hanging="100"/>
      </w:pPr>
      <w:rPr>
        <w:rFonts w:hint="default"/>
      </w:rPr>
    </w:lvl>
  </w:abstractNum>
  <w:abstractNum w:abstractNumId="1927" w15:restartNumberingAfterBreak="0">
    <w:nsid w:val="78B74B03"/>
    <w:multiLevelType w:val="hybridMultilevel"/>
    <w:tmpl w:val="00F40490"/>
    <w:lvl w:ilvl="0" w:tplc="4D1E02DC">
      <w:numFmt w:val="bullet"/>
      <w:lvlText w:val=""/>
      <w:lvlJc w:val="left"/>
      <w:pPr>
        <w:ind w:left="156" w:hanging="100"/>
      </w:pPr>
      <w:rPr>
        <w:rFonts w:ascii="Symbol" w:eastAsia="Symbol" w:hAnsi="Symbol" w:cs="Symbol" w:hint="default"/>
        <w:color w:val="231F20"/>
        <w:w w:val="100"/>
        <w:sz w:val="14"/>
        <w:szCs w:val="14"/>
      </w:rPr>
    </w:lvl>
    <w:lvl w:ilvl="1" w:tplc="F57E70D0">
      <w:numFmt w:val="bullet"/>
      <w:lvlText w:val="-"/>
      <w:lvlJc w:val="left"/>
      <w:pPr>
        <w:ind w:left="156" w:hanging="82"/>
      </w:pPr>
      <w:rPr>
        <w:rFonts w:ascii="Times New Roman" w:eastAsia="Times New Roman" w:hAnsi="Times New Roman" w:cs="Times New Roman" w:hint="default"/>
        <w:color w:val="231F20"/>
        <w:spacing w:val="-8"/>
        <w:w w:val="100"/>
        <w:sz w:val="14"/>
        <w:szCs w:val="14"/>
      </w:rPr>
    </w:lvl>
    <w:lvl w:ilvl="2" w:tplc="5B042C90">
      <w:numFmt w:val="bullet"/>
      <w:lvlText w:val="•"/>
      <w:lvlJc w:val="left"/>
      <w:pPr>
        <w:ind w:left="692" w:hanging="82"/>
      </w:pPr>
      <w:rPr>
        <w:rFonts w:hint="default"/>
      </w:rPr>
    </w:lvl>
    <w:lvl w:ilvl="3" w:tplc="1234D560">
      <w:numFmt w:val="bullet"/>
      <w:lvlText w:val="•"/>
      <w:lvlJc w:val="left"/>
      <w:pPr>
        <w:ind w:left="959" w:hanging="82"/>
      </w:pPr>
      <w:rPr>
        <w:rFonts w:hint="default"/>
      </w:rPr>
    </w:lvl>
    <w:lvl w:ilvl="4" w:tplc="5E64A740">
      <w:numFmt w:val="bullet"/>
      <w:lvlText w:val="•"/>
      <w:lvlJc w:val="left"/>
      <w:pPr>
        <w:ind w:left="1225" w:hanging="82"/>
      </w:pPr>
      <w:rPr>
        <w:rFonts w:hint="default"/>
      </w:rPr>
    </w:lvl>
    <w:lvl w:ilvl="5" w:tplc="F4C4C8EE">
      <w:numFmt w:val="bullet"/>
      <w:lvlText w:val="•"/>
      <w:lvlJc w:val="left"/>
      <w:pPr>
        <w:ind w:left="1492" w:hanging="82"/>
      </w:pPr>
      <w:rPr>
        <w:rFonts w:hint="default"/>
      </w:rPr>
    </w:lvl>
    <w:lvl w:ilvl="6" w:tplc="07A475C2">
      <w:numFmt w:val="bullet"/>
      <w:lvlText w:val="•"/>
      <w:lvlJc w:val="left"/>
      <w:pPr>
        <w:ind w:left="1758" w:hanging="82"/>
      </w:pPr>
      <w:rPr>
        <w:rFonts w:hint="default"/>
      </w:rPr>
    </w:lvl>
    <w:lvl w:ilvl="7" w:tplc="2F868A4C">
      <w:numFmt w:val="bullet"/>
      <w:lvlText w:val="•"/>
      <w:lvlJc w:val="left"/>
      <w:pPr>
        <w:ind w:left="2024" w:hanging="82"/>
      </w:pPr>
      <w:rPr>
        <w:rFonts w:hint="default"/>
      </w:rPr>
    </w:lvl>
    <w:lvl w:ilvl="8" w:tplc="232A5A0E">
      <w:numFmt w:val="bullet"/>
      <w:lvlText w:val="•"/>
      <w:lvlJc w:val="left"/>
      <w:pPr>
        <w:ind w:left="2291" w:hanging="82"/>
      </w:pPr>
      <w:rPr>
        <w:rFonts w:hint="default"/>
      </w:rPr>
    </w:lvl>
  </w:abstractNum>
  <w:abstractNum w:abstractNumId="1928" w15:restartNumberingAfterBreak="0">
    <w:nsid w:val="78B8046E"/>
    <w:multiLevelType w:val="hybridMultilevel"/>
    <w:tmpl w:val="3F5AEA1C"/>
    <w:lvl w:ilvl="0" w:tplc="C666CB0C">
      <w:numFmt w:val="bullet"/>
      <w:lvlText w:val=""/>
      <w:lvlJc w:val="left"/>
      <w:pPr>
        <w:ind w:left="156" w:hanging="100"/>
      </w:pPr>
      <w:rPr>
        <w:rFonts w:ascii="Symbol" w:eastAsia="Symbol" w:hAnsi="Symbol" w:cs="Symbol" w:hint="default"/>
        <w:color w:val="231F20"/>
        <w:w w:val="100"/>
        <w:sz w:val="14"/>
        <w:szCs w:val="14"/>
      </w:rPr>
    </w:lvl>
    <w:lvl w:ilvl="1" w:tplc="2648FAFC">
      <w:numFmt w:val="bullet"/>
      <w:lvlText w:val="•"/>
      <w:lvlJc w:val="left"/>
      <w:pPr>
        <w:ind w:left="301" w:hanging="100"/>
      </w:pPr>
      <w:rPr>
        <w:rFonts w:hint="default"/>
      </w:rPr>
    </w:lvl>
    <w:lvl w:ilvl="2" w:tplc="3FA62D96">
      <w:numFmt w:val="bullet"/>
      <w:lvlText w:val="•"/>
      <w:lvlJc w:val="left"/>
      <w:pPr>
        <w:ind w:left="443" w:hanging="100"/>
      </w:pPr>
      <w:rPr>
        <w:rFonts w:hint="default"/>
      </w:rPr>
    </w:lvl>
    <w:lvl w:ilvl="3" w:tplc="2EE431DE">
      <w:numFmt w:val="bullet"/>
      <w:lvlText w:val="•"/>
      <w:lvlJc w:val="left"/>
      <w:pPr>
        <w:ind w:left="585" w:hanging="100"/>
      </w:pPr>
      <w:rPr>
        <w:rFonts w:hint="default"/>
      </w:rPr>
    </w:lvl>
    <w:lvl w:ilvl="4" w:tplc="59687F88">
      <w:numFmt w:val="bullet"/>
      <w:lvlText w:val="•"/>
      <w:lvlJc w:val="left"/>
      <w:pPr>
        <w:ind w:left="726" w:hanging="100"/>
      </w:pPr>
      <w:rPr>
        <w:rFonts w:hint="default"/>
      </w:rPr>
    </w:lvl>
    <w:lvl w:ilvl="5" w:tplc="E93E7C2C">
      <w:numFmt w:val="bullet"/>
      <w:lvlText w:val="•"/>
      <w:lvlJc w:val="left"/>
      <w:pPr>
        <w:ind w:left="868" w:hanging="100"/>
      </w:pPr>
      <w:rPr>
        <w:rFonts w:hint="default"/>
      </w:rPr>
    </w:lvl>
    <w:lvl w:ilvl="6" w:tplc="447C9D56">
      <w:numFmt w:val="bullet"/>
      <w:lvlText w:val="•"/>
      <w:lvlJc w:val="left"/>
      <w:pPr>
        <w:ind w:left="1010" w:hanging="100"/>
      </w:pPr>
      <w:rPr>
        <w:rFonts w:hint="default"/>
      </w:rPr>
    </w:lvl>
    <w:lvl w:ilvl="7" w:tplc="63D2E060">
      <w:numFmt w:val="bullet"/>
      <w:lvlText w:val="•"/>
      <w:lvlJc w:val="left"/>
      <w:pPr>
        <w:ind w:left="1151" w:hanging="100"/>
      </w:pPr>
      <w:rPr>
        <w:rFonts w:hint="default"/>
      </w:rPr>
    </w:lvl>
    <w:lvl w:ilvl="8" w:tplc="7CDC873A">
      <w:numFmt w:val="bullet"/>
      <w:lvlText w:val="•"/>
      <w:lvlJc w:val="left"/>
      <w:pPr>
        <w:ind w:left="1293" w:hanging="100"/>
      </w:pPr>
      <w:rPr>
        <w:rFonts w:hint="default"/>
      </w:rPr>
    </w:lvl>
  </w:abstractNum>
  <w:abstractNum w:abstractNumId="1929" w15:restartNumberingAfterBreak="0">
    <w:nsid w:val="78C43AD5"/>
    <w:multiLevelType w:val="hybridMultilevel"/>
    <w:tmpl w:val="6A6AEB70"/>
    <w:lvl w:ilvl="0" w:tplc="EE8C0D4A">
      <w:numFmt w:val="bullet"/>
      <w:lvlText w:val=""/>
      <w:lvlJc w:val="left"/>
      <w:pPr>
        <w:ind w:left="156" w:hanging="100"/>
      </w:pPr>
      <w:rPr>
        <w:rFonts w:ascii="Symbol" w:eastAsia="Symbol" w:hAnsi="Symbol" w:cs="Symbol" w:hint="default"/>
        <w:color w:val="231F20"/>
        <w:w w:val="100"/>
        <w:sz w:val="14"/>
        <w:szCs w:val="14"/>
      </w:rPr>
    </w:lvl>
    <w:lvl w:ilvl="1" w:tplc="338E17F8">
      <w:numFmt w:val="bullet"/>
      <w:lvlText w:val="•"/>
      <w:lvlJc w:val="left"/>
      <w:pPr>
        <w:ind w:left="426" w:hanging="100"/>
      </w:pPr>
      <w:rPr>
        <w:rFonts w:hint="default"/>
      </w:rPr>
    </w:lvl>
    <w:lvl w:ilvl="2" w:tplc="F0C43A64">
      <w:numFmt w:val="bullet"/>
      <w:lvlText w:val="•"/>
      <w:lvlJc w:val="left"/>
      <w:pPr>
        <w:ind w:left="692" w:hanging="100"/>
      </w:pPr>
      <w:rPr>
        <w:rFonts w:hint="default"/>
      </w:rPr>
    </w:lvl>
    <w:lvl w:ilvl="3" w:tplc="8406753C">
      <w:numFmt w:val="bullet"/>
      <w:lvlText w:val="•"/>
      <w:lvlJc w:val="left"/>
      <w:pPr>
        <w:ind w:left="959" w:hanging="100"/>
      </w:pPr>
      <w:rPr>
        <w:rFonts w:hint="default"/>
      </w:rPr>
    </w:lvl>
    <w:lvl w:ilvl="4" w:tplc="14067642">
      <w:numFmt w:val="bullet"/>
      <w:lvlText w:val="•"/>
      <w:lvlJc w:val="left"/>
      <w:pPr>
        <w:ind w:left="1225" w:hanging="100"/>
      </w:pPr>
      <w:rPr>
        <w:rFonts w:hint="default"/>
      </w:rPr>
    </w:lvl>
    <w:lvl w:ilvl="5" w:tplc="29E6EA48">
      <w:numFmt w:val="bullet"/>
      <w:lvlText w:val="•"/>
      <w:lvlJc w:val="left"/>
      <w:pPr>
        <w:ind w:left="1492" w:hanging="100"/>
      </w:pPr>
      <w:rPr>
        <w:rFonts w:hint="default"/>
      </w:rPr>
    </w:lvl>
    <w:lvl w:ilvl="6" w:tplc="4CA2566C">
      <w:numFmt w:val="bullet"/>
      <w:lvlText w:val="•"/>
      <w:lvlJc w:val="left"/>
      <w:pPr>
        <w:ind w:left="1758" w:hanging="100"/>
      </w:pPr>
      <w:rPr>
        <w:rFonts w:hint="default"/>
      </w:rPr>
    </w:lvl>
    <w:lvl w:ilvl="7" w:tplc="CA128CA2">
      <w:numFmt w:val="bullet"/>
      <w:lvlText w:val="•"/>
      <w:lvlJc w:val="left"/>
      <w:pPr>
        <w:ind w:left="2024" w:hanging="100"/>
      </w:pPr>
      <w:rPr>
        <w:rFonts w:hint="default"/>
      </w:rPr>
    </w:lvl>
    <w:lvl w:ilvl="8" w:tplc="CD70EBA0">
      <w:numFmt w:val="bullet"/>
      <w:lvlText w:val="•"/>
      <w:lvlJc w:val="left"/>
      <w:pPr>
        <w:ind w:left="2291" w:hanging="100"/>
      </w:pPr>
      <w:rPr>
        <w:rFonts w:hint="default"/>
      </w:rPr>
    </w:lvl>
  </w:abstractNum>
  <w:abstractNum w:abstractNumId="1930" w15:restartNumberingAfterBreak="0">
    <w:nsid w:val="78D604FC"/>
    <w:multiLevelType w:val="hybridMultilevel"/>
    <w:tmpl w:val="D0C22390"/>
    <w:lvl w:ilvl="0" w:tplc="9698D42C">
      <w:numFmt w:val="bullet"/>
      <w:lvlText w:val=""/>
      <w:lvlJc w:val="left"/>
      <w:pPr>
        <w:ind w:left="156" w:hanging="100"/>
      </w:pPr>
      <w:rPr>
        <w:rFonts w:ascii="Symbol" w:eastAsia="Symbol" w:hAnsi="Symbol" w:cs="Symbol" w:hint="default"/>
        <w:color w:val="231F20"/>
        <w:w w:val="100"/>
        <w:sz w:val="14"/>
        <w:szCs w:val="14"/>
      </w:rPr>
    </w:lvl>
    <w:lvl w:ilvl="1" w:tplc="53CAE1CC">
      <w:numFmt w:val="bullet"/>
      <w:lvlText w:val="•"/>
      <w:lvlJc w:val="left"/>
      <w:pPr>
        <w:ind w:left="398" w:hanging="100"/>
      </w:pPr>
      <w:rPr>
        <w:rFonts w:hint="default"/>
      </w:rPr>
    </w:lvl>
    <w:lvl w:ilvl="2" w:tplc="E25C9A1E">
      <w:numFmt w:val="bullet"/>
      <w:lvlText w:val="•"/>
      <w:lvlJc w:val="left"/>
      <w:pPr>
        <w:ind w:left="636" w:hanging="100"/>
      </w:pPr>
      <w:rPr>
        <w:rFonts w:hint="default"/>
      </w:rPr>
    </w:lvl>
    <w:lvl w:ilvl="3" w:tplc="149035F6">
      <w:numFmt w:val="bullet"/>
      <w:lvlText w:val="•"/>
      <w:lvlJc w:val="left"/>
      <w:pPr>
        <w:ind w:left="874" w:hanging="100"/>
      </w:pPr>
      <w:rPr>
        <w:rFonts w:hint="default"/>
      </w:rPr>
    </w:lvl>
    <w:lvl w:ilvl="4" w:tplc="A9FEFDE2">
      <w:numFmt w:val="bullet"/>
      <w:lvlText w:val="•"/>
      <w:lvlJc w:val="left"/>
      <w:pPr>
        <w:ind w:left="1112" w:hanging="100"/>
      </w:pPr>
      <w:rPr>
        <w:rFonts w:hint="default"/>
      </w:rPr>
    </w:lvl>
    <w:lvl w:ilvl="5" w:tplc="86366898">
      <w:numFmt w:val="bullet"/>
      <w:lvlText w:val="•"/>
      <w:lvlJc w:val="left"/>
      <w:pPr>
        <w:ind w:left="1350" w:hanging="100"/>
      </w:pPr>
      <w:rPr>
        <w:rFonts w:hint="default"/>
      </w:rPr>
    </w:lvl>
    <w:lvl w:ilvl="6" w:tplc="F5F451AE">
      <w:numFmt w:val="bullet"/>
      <w:lvlText w:val="•"/>
      <w:lvlJc w:val="left"/>
      <w:pPr>
        <w:ind w:left="1588" w:hanging="100"/>
      </w:pPr>
      <w:rPr>
        <w:rFonts w:hint="default"/>
      </w:rPr>
    </w:lvl>
    <w:lvl w:ilvl="7" w:tplc="E1946B02">
      <w:numFmt w:val="bullet"/>
      <w:lvlText w:val="•"/>
      <w:lvlJc w:val="left"/>
      <w:pPr>
        <w:ind w:left="1826" w:hanging="100"/>
      </w:pPr>
      <w:rPr>
        <w:rFonts w:hint="default"/>
      </w:rPr>
    </w:lvl>
    <w:lvl w:ilvl="8" w:tplc="CBEA5ED2">
      <w:numFmt w:val="bullet"/>
      <w:lvlText w:val="•"/>
      <w:lvlJc w:val="left"/>
      <w:pPr>
        <w:ind w:left="2064" w:hanging="100"/>
      </w:pPr>
      <w:rPr>
        <w:rFonts w:hint="default"/>
      </w:rPr>
    </w:lvl>
  </w:abstractNum>
  <w:abstractNum w:abstractNumId="1931" w15:restartNumberingAfterBreak="0">
    <w:nsid w:val="78F35377"/>
    <w:multiLevelType w:val="hybridMultilevel"/>
    <w:tmpl w:val="A3628956"/>
    <w:lvl w:ilvl="0" w:tplc="206881E2">
      <w:numFmt w:val="bullet"/>
      <w:lvlText w:val=""/>
      <w:lvlJc w:val="left"/>
      <w:pPr>
        <w:ind w:left="156" w:hanging="100"/>
      </w:pPr>
      <w:rPr>
        <w:rFonts w:ascii="Symbol" w:eastAsia="Symbol" w:hAnsi="Symbol" w:cs="Symbol" w:hint="default"/>
        <w:color w:val="231F20"/>
        <w:w w:val="100"/>
        <w:sz w:val="14"/>
        <w:szCs w:val="14"/>
      </w:rPr>
    </w:lvl>
    <w:lvl w:ilvl="1" w:tplc="58E245F2">
      <w:numFmt w:val="bullet"/>
      <w:lvlText w:val="•"/>
      <w:lvlJc w:val="left"/>
      <w:pPr>
        <w:ind w:left="301" w:hanging="100"/>
      </w:pPr>
      <w:rPr>
        <w:rFonts w:hint="default"/>
      </w:rPr>
    </w:lvl>
    <w:lvl w:ilvl="2" w:tplc="BB58BA46">
      <w:numFmt w:val="bullet"/>
      <w:lvlText w:val="•"/>
      <w:lvlJc w:val="left"/>
      <w:pPr>
        <w:ind w:left="443" w:hanging="100"/>
      </w:pPr>
      <w:rPr>
        <w:rFonts w:hint="default"/>
      </w:rPr>
    </w:lvl>
    <w:lvl w:ilvl="3" w:tplc="9850E48A">
      <w:numFmt w:val="bullet"/>
      <w:lvlText w:val="•"/>
      <w:lvlJc w:val="left"/>
      <w:pPr>
        <w:ind w:left="585" w:hanging="100"/>
      </w:pPr>
      <w:rPr>
        <w:rFonts w:hint="default"/>
      </w:rPr>
    </w:lvl>
    <w:lvl w:ilvl="4" w:tplc="3D6A75AC">
      <w:numFmt w:val="bullet"/>
      <w:lvlText w:val="•"/>
      <w:lvlJc w:val="left"/>
      <w:pPr>
        <w:ind w:left="726" w:hanging="100"/>
      </w:pPr>
      <w:rPr>
        <w:rFonts w:hint="default"/>
      </w:rPr>
    </w:lvl>
    <w:lvl w:ilvl="5" w:tplc="AF6EA1CA">
      <w:numFmt w:val="bullet"/>
      <w:lvlText w:val="•"/>
      <w:lvlJc w:val="left"/>
      <w:pPr>
        <w:ind w:left="868" w:hanging="100"/>
      </w:pPr>
      <w:rPr>
        <w:rFonts w:hint="default"/>
      </w:rPr>
    </w:lvl>
    <w:lvl w:ilvl="6" w:tplc="492C7652">
      <w:numFmt w:val="bullet"/>
      <w:lvlText w:val="•"/>
      <w:lvlJc w:val="left"/>
      <w:pPr>
        <w:ind w:left="1010" w:hanging="100"/>
      </w:pPr>
      <w:rPr>
        <w:rFonts w:hint="default"/>
      </w:rPr>
    </w:lvl>
    <w:lvl w:ilvl="7" w:tplc="A04AC3B0">
      <w:numFmt w:val="bullet"/>
      <w:lvlText w:val="•"/>
      <w:lvlJc w:val="left"/>
      <w:pPr>
        <w:ind w:left="1151" w:hanging="100"/>
      </w:pPr>
      <w:rPr>
        <w:rFonts w:hint="default"/>
      </w:rPr>
    </w:lvl>
    <w:lvl w:ilvl="8" w:tplc="D102D118">
      <w:numFmt w:val="bullet"/>
      <w:lvlText w:val="•"/>
      <w:lvlJc w:val="left"/>
      <w:pPr>
        <w:ind w:left="1293" w:hanging="100"/>
      </w:pPr>
      <w:rPr>
        <w:rFonts w:hint="default"/>
      </w:rPr>
    </w:lvl>
  </w:abstractNum>
  <w:abstractNum w:abstractNumId="1932" w15:restartNumberingAfterBreak="0">
    <w:nsid w:val="791316E6"/>
    <w:multiLevelType w:val="hybridMultilevel"/>
    <w:tmpl w:val="605C3896"/>
    <w:lvl w:ilvl="0" w:tplc="26747714">
      <w:numFmt w:val="bullet"/>
      <w:lvlText w:val=""/>
      <w:lvlJc w:val="left"/>
      <w:pPr>
        <w:ind w:left="156" w:hanging="100"/>
      </w:pPr>
      <w:rPr>
        <w:rFonts w:ascii="Symbol" w:eastAsia="Symbol" w:hAnsi="Symbol" w:cs="Symbol" w:hint="default"/>
        <w:color w:val="231F20"/>
        <w:w w:val="100"/>
        <w:sz w:val="14"/>
        <w:szCs w:val="14"/>
      </w:rPr>
    </w:lvl>
    <w:lvl w:ilvl="1" w:tplc="CEB80628">
      <w:numFmt w:val="bullet"/>
      <w:lvlText w:val="•"/>
      <w:lvlJc w:val="left"/>
      <w:pPr>
        <w:ind w:left="273" w:hanging="100"/>
      </w:pPr>
      <w:rPr>
        <w:rFonts w:hint="default"/>
      </w:rPr>
    </w:lvl>
    <w:lvl w:ilvl="2" w:tplc="AB2C386A">
      <w:numFmt w:val="bullet"/>
      <w:lvlText w:val="•"/>
      <w:lvlJc w:val="left"/>
      <w:pPr>
        <w:ind w:left="386" w:hanging="100"/>
      </w:pPr>
      <w:rPr>
        <w:rFonts w:hint="default"/>
      </w:rPr>
    </w:lvl>
    <w:lvl w:ilvl="3" w:tplc="87C2A110">
      <w:numFmt w:val="bullet"/>
      <w:lvlText w:val="•"/>
      <w:lvlJc w:val="left"/>
      <w:pPr>
        <w:ind w:left="500" w:hanging="100"/>
      </w:pPr>
      <w:rPr>
        <w:rFonts w:hint="default"/>
      </w:rPr>
    </w:lvl>
    <w:lvl w:ilvl="4" w:tplc="82100218">
      <w:numFmt w:val="bullet"/>
      <w:lvlText w:val="•"/>
      <w:lvlJc w:val="left"/>
      <w:pPr>
        <w:ind w:left="613" w:hanging="100"/>
      </w:pPr>
      <w:rPr>
        <w:rFonts w:hint="default"/>
      </w:rPr>
    </w:lvl>
    <w:lvl w:ilvl="5" w:tplc="C7F46CF6">
      <w:numFmt w:val="bullet"/>
      <w:lvlText w:val="•"/>
      <w:lvlJc w:val="left"/>
      <w:pPr>
        <w:ind w:left="727" w:hanging="100"/>
      </w:pPr>
      <w:rPr>
        <w:rFonts w:hint="default"/>
      </w:rPr>
    </w:lvl>
    <w:lvl w:ilvl="6" w:tplc="95DEC9FA">
      <w:numFmt w:val="bullet"/>
      <w:lvlText w:val="•"/>
      <w:lvlJc w:val="left"/>
      <w:pPr>
        <w:ind w:left="840" w:hanging="100"/>
      </w:pPr>
      <w:rPr>
        <w:rFonts w:hint="default"/>
      </w:rPr>
    </w:lvl>
    <w:lvl w:ilvl="7" w:tplc="1BB8DC7E">
      <w:numFmt w:val="bullet"/>
      <w:lvlText w:val="•"/>
      <w:lvlJc w:val="left"/>
      <w:pPr>
        <w:ind w:left="953" w:hanging="100"/>
      </w:pPr>
      <w:rPr>
        <w:rFonts w:hint="default"/>
      </w:rPr>
    </w:lvl>
    <w:lvl w:ilvl="8" w:tplc="5B80B764">
      <w:numFmt w:val="bullet"/>
      <w:lvlText w:val="•"/>
      <w:lvlJc w:val="left"/>
      <w:pPr>
        <w:ind w:left="1067" w:hanging="100"/>
      </w:pPr>
      <w:rPr>
        <w:rFonts w:hint="default"/>
      </w:rPr>
    </w:lvl>
  </w:abstractNum>
  <w:abstractNum w:abstractNumId="1933" w15:restartNumberingAfterBreak="0">
    <w:nsid w:val="791902E9"/>
    <w:multiLevelType w:val="hybridMultilevel"/>
    <w:tmpl w:val="B6345D4C"/>
    <w:lvl w:ilvl="0" w:tplc="92E4D8B8">
      <w:numFmt w:val="bullet"/>
      <w:lvlText w:val=""/>
      <w:lvlJc w:val="left"/>
      <w:pPr>
        <w:ind w:left="156" w:hanging="100"/>
      </w:pPr>
      <w:rPr>
        <w:rFonts w:ascii="Symbol" w:eastAsia="Symbol" w:hAnsi="Symbol" w:cs="Symbol" w:hint="default"/>
        <w:color w:val="231F20"/>
        <w:w w:val="100"/>
        <w:sz w:val="14"/>
        <w:szCs w:val="14"/>
      </w:rPr>
    </w:lvl>
    <w:lvl w:ilvl="1" w:tplc="A50C629A">
      <w:numFmt w:val="bullet"/>
      <w:lvlText w:val="•"/>
      <w:lvlJc w:val="left"/>
      <w:pPr>
        <w:ind w:left="301" w:hanging="100"/>
      </w:pPr>
      <w:rPr>
        <w:rFonts w:hint="default"/>
      </w:rPr>
    </w:lvl>
    <w:lvl w:ilvl="2" w:tplc="35626210">
      <w:numFmt w:val="bullet"/>
      <w:lvlText w:val="•"/>
      <w:lvlJc w:val="left"/>
      <w:pPr>
        <w:ind w:left="443" w:hanging="100"/>
      </w:pPr>
      <w:rPr>
        <w:rFonts w:hint="default"/>
      </w:rPr>
    </w:lvl>
    <w:lvl w:ilvl="3" w:tplc="61465258">
      <w:numFmt w:val="bullet"/>
      <w:lvlText w:val="•"/>
      <w:lvlJc w:val="left"/>
      <w:pPr>
        <w:ind w:left="585" w:hanging="100"/>
      </w:pPr>
      <w:rPr>
        <w:rFonts w:hint="default"/>
      </w:rPr>
    </w:lvl>
    <w:lvl w:ilvl="4" w:tplc="5776BAAE">
      <w:numFmt w:val="bullet"/>
      <w:lvlText w:val="•"/>
      <w:lvlJc w:val="left"/>
      <w:pPr>
        <w:ind w:left="726" w:hanging="100"/>
      </w:pPr>
      <w:rPr>
        <w:rFonts w:hint="default"/>
      </w:rPr>
    </w:lvl>
    <w:lvl w:ilvl="5" w:tplc="2418FF42">
      <w:numFmt w:val="bullet"/>
      <w:lvlText w:val="•"/>
      <w:lvlJc w:val="left"/>
      <w:pPr>
        <w:ind w:left="868" w:hanging="100"/>
      </w:pPr>
      <w:rPr>
        <w:rFonts w:hint="default"/>
      </w:rPr>
    </w:lvl>
    <w:lvl w:ilvl="6" w:tplc="2E4A24FA">
      <w:numFmt w:val="bullet"/>
      <w:lvlText w:val="•"/>
      <w:lvlJc w:val="left"/>
      <w:pPr>
        <w:ind w:left="1010" w:hanging="100"/>
      </w:pPr>
      <w:rPr>
        <w:rFonts w:hint="default"/>
      </w:rPr>
    </w:lvl>
    <w:lvl w:ilvl="7" w:tplc="13700862">
      <w:numFmt w:val="bullet"/>
      <w:lvlText w:val="•"/>
      <w:lvlJc w:val="left"/>
      <w:pPr>
        <w:ind w:left="1151" w:hanging="100"/>
      </w:pPr>
      <w:rPr>
        <w:rFonts w:hint="default"/>
      </w:rPr>
    </w:lvl>
    <w:lvl w:ilvl="8" w:tplc="1A3247A0">
      <w:numFmt w:val="bullet"/>
      <w:lvlText w:val="•"/>
      <w:lvlJc w:val="left"/>
      <w:pPr>
        <w:ind w:left="1293" w:hanging="100"/>
      </w:pPr>
      <w:rPr>
        <w:rFonts w:hint="default"/>
      </w:rPr>
    </w:lvl>
  </w:abstractNum>
  <w:abstractNum w:abstractNumId="1934" w15:restartNumberingAfterBreak="0">
    <w:nsid w:val="7932499C"/>
    <w:multiLevelType w:val="hybridMultilevel"/>
    <w:tmpl w:val="3ACE5234"/>
    <w:lvl w:ilvl="0" w:tplc="0EA65E90">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1F9AB630">
      <w:numFmt w:val="bullet"/>
      <w:lvlText w:val="•"/>
      <w:lvlJc w:val="left"/>
      <w:pPr>
        <w:ind w:left="408" w:hanging="84"/>
      </w:pPr>
      <w:rPr>
        <w:rFonts w:hint="default"/>
      </w:rPr>
    </w:lvl>
    <w:lvl w:ilvl="2" w:tplc="0616C3A2">
      <w:numFmt w:val="bullet"/>
      <w:lvlText w:val="•"/>
      <w:lvlJc w:val="left"/>
      <w:pPr>
        <w:ind w:left="676" w:hanging="84"/>
      </w:pPr>
      <w:rPr>
        <w:rFonts w:hint="default"/>
      </w:rPr>
    </w:lvl>
    <w:lvl w:ilvl="3" w:tplc="BF128DEA">
      <w:numFmt w:val="bullet"/>
      <w:lvlText w:val="•"/>
      <w:lvlJc w:val="left"/>
      <w:pPr>
        <w:ind w:left="945" w:hanging="84"/>
      </w:pPr>
      <w:rPr>
        <w:rFonts w:hint="default"/>
      </w:rPr>
    </w:lvl>
    <w:lvl w:ilvl="4" w:tplc="AD60A9B0">
      <w:numFmt w:val="bullet"/>
      <w:lvlText w:val="•"/>
      <w:lvlJc w:val="left"/>
      <w:pPr>
        <w:ind w:left="1213" w:hanging="84"/>
      </w:pPr>
      <w:rPr>
        <w:rFonts w:hint="default"/>
      </w:rPr>
    </w:lvl>
    <w:lvl w:ilvl="5" w:tplc="60201C82">
      <w:numFmt w:val="bullet"/>
      <w:lvlText w:val="•"/>
      <w:lvlJc w:val="left"/>
      <w:pPr>
        <w:ind w:left="1482" w:hanging="84"/>
      </w:pPr>
      <w:rPr>
        <w:rFonts w:hint="default"/>
      </w:rPr>
    </w:lvl>
    <w:lvl w:ilvl="6" w:tplc="17CC2F64">
      <w:numFmt w:val="bullet"/>
      <w:lvlText w:val="•"/>
      <w:lvlJc w:val="left"/>
      <w:pPr>
        <w:ind w:left="1750" w:hanging="84"/>
      </w:pPr>
      <w:rPr>
        <w:rFonts w:hint="default"/>
      </w:rPr>
    </w:lvl>
    <w:lvl w:ilvl="7" w:tplc="87C65046">
      <w:numFmt w:val="bullet"/>
      <w:lvlText w:val="•"/>
      <w:lvlJc w:val="left"/>
      <w:pPr>
        <w:ind w:left="2018" w:hanging="84"/>
      </w:pPr>
      <w:rPr>
        <w:rFonts w:hint="default"/>
      </w:rPr>
    </w:lvl>
    <w:lvl w:ilvl="8" w:tplc="04FA4CD0">
      <w:numFmt w:val="bullet"/>
      <w:lvlText w:val="•"/>
      <w:lvlJc w:val="left"/>
      <w:pPr>
        <w:ind w:left="2287" w:hanging="84"/>
      </w:pPr>
      <w:rPr>
        <w:rFonts w:hint="default"/>
      </w:rPr>
    </w:lvl>
  </w:abstractNum>
  <w:abstractNum w:abstractNumId="1935" w15:restartNumberingAfterBreak="0">
    <w:nsid w:val="794358FE"/>
    <w:multiLevelType w:val="hybridMultilevel"/>
    <w:tmpl w:val="B066DD1A"/>
    <w:lvl w:ilvl="0" w:tplc="DCC03C5E">
      <w:numFmt w:val="bullet"/>
      <w:lvlText w:val=""/>
      <w:lvlJc w:val="left"/>
      <w:pPr>
        <w:ind w:left="156" w:hanging="100"/>
      </w:pPr>
      <w:rPr>
        <w:rFonts w:ascii="Symbol" w:eastAsia="Symbol" w:hAnsi="Symbol" w:cs="Symbol" w:hint="default"/>
        <w:color w:val="231F20"/>
        <w:w w:val="100"/>
        <w:sz w:val="14"/>
        <w:szCs w:val="14"/>
      </w:rPr>
    </w:lvl>
    <w:lvl w:ilvl="1" w:tplc="55761FA2">
      <w:numFmt w:val="bullet"/>
      <w:lvlText w:val="•"/>
      <w:lvlJc w:val="left"/>
      <w:pPr>
        <w:ind w:left="301" w:hanging="100"/>
      </w:pPr>
      <w:rPr>
        <w:rFonts w:hint="default"/>
      </w:rPr>
    </w:lvl>
    <w:lvl w:ilvl="2" w:tplc="F38A7E04">
      <w:numFmt w:val="bullet"/>
      <w:lvlText w:val="•"/>
      <w:lvlJc w:val="left"/>
      <w:pPr>
        <w:ind w:left="443" w:hanging="100"/>
      </w:pPr>
      <w:rPr>
        <w:rFonts w:hint="default"/>
      </w:rPr>
    </w:lvl>
    <w:lvl w:ilvl="3" w:tplc="E288403A">
      <w:numFmt w:val="bullet"/>
      <w:lvlText w:val="•"/>
      <w:lvlJc w:val="left"/>
      <w:pPr>
        <w:ind w:left="585" w:hanging="100"/>
      </w:pPr>
      <w:rPr>
        <w:rFonts w:hint="default"/>
      </w:rPr>
    </w:lvl>
    <w:lvl w:ilvl="4" w:tplc="5A9A505C">
      <w:numFmt w:val="bullet"/>
      <w:lvlText w:val="•"/>
      <w:lvlJc w:val="left"/>
      <w:pPr>
        <w:ind w:left="726" w:hanging="100"/>
      </w:pPr>
      <w:rPr>
        <w:rFonts w:hint="default"/>
      </w:rPr>
    </w:lvl>
    <w:lvl w:ilvl="5" w:tplc="350A1972">
      <w:numFmt w:val="bullet"/>
      <w:lvlText w:val="•"/>
      <w:lvlJc w:val="left"/>
      <w:pPr>
        <w:ind w:left="868" w:hanging="100"/>
      </w:pPr>
      <w:rPr>
        <w:rFonts w:hint="default"/>
      </w:rPr>
    </w:lvl>
    <w:lvl w:ilvl="6" w:tplc="7B8E68B4">
      <w:numFmt w:val="bullet"/>
      <w:lvlText w:val="•"/>
      <w:lvlJc w:val="left"/>
      <w:pPr>
        <w:ind w:left="1010" w:hanging="100"/>
      </w:pPr>
      <w:rPr>
        <w:rFonts w:hint="default"/>
      </w:rPr>
    </w:lvl>
    <w:lvl w:ilvl="7" w:tplc="4B569250">
      <w:numFmt w:val="bullet"/>
      <w:lvlText w:val="•"/>
      <w:lvlJc w:val="left"/>
      <w:pPr>
        <w:ind w:left="1151" w:hanging="100"/>
      </w:pPr>
      <w:rPr>
        <w:rFonts w:hint="default"/>
      </w:rPr>
    </w:lvl>
    <w:lvl w:ilvl="8" w:tplc="9774EBCA">
      <w:numFmt w:val="bullet"/>
      <w:lvlText w:val="•"/>
      <w:lvlJc w:val="left"/>
      <w:pPr>
        <w:ind w:left="1293" w:hanging="100"/>
      </w:pPr>
      <w:rPr>
        <w:rFonts w:hint="default"/>
      </w:rPr>
    </w:lvl>
  </w:abstractNum>
  <w:abstractNum w:abstractNumId="1936" w15:restartNumberingAfterBreak="0">
    <w:nsid w:val="7968674E"/>
    <w:multiLevelType w:val="hybridMultilevel"/>
    <w:tmpl w:val="AC8C0E78"/>
    <w:lvl w:ilvl="0" w:tplc="50DECE8E">
      <w:numFmt w:val="bullet"/>
      <w:lvlText w:val=""/>
      <w:lvlJc w:val="left"/>
      <w:pPr>
        <w:ind w:left="156" w:hanging="100"/>
      </w:pPr>
      <w:rPr>
        <w:rFonts w:ascii="Symbol" w:eastAsia="Symbol" w:hAnsi="Symbol" w:cs="Symbol" w:hint="default"/>
        <w:color w:val="231F20"/>
        <w:w w:val="100"/>
        <w:sz w:val="14"/>
        <w:szCs w:val="14"/>
      </w:rPr>
    </w:lvl>
    <w:lvl w:ilvl="1" w:tplc="C8366532">
      <w:numFmt w:val="bullet"/>
      <w:lvlText w:val="•"/>
      <w:lvlJc w:val="left"/>
      <w:pPr>
        <w:ind w:left="426" w:hanging="100"/>
      </w:pPr>
      <w:rPr>
        <w:rFonts w:hint="default"/>
      </w:rPr>
    </w:lvl>
    <w:lvl w:ilvl="2" w:tplc="CF823A4C">
      <w:numFmt w:val="bullet"/>
      <w:lvlText w:val="•"/>
      <w:lvlJc w:val="left"/>
      <w:pPr>
        <w:ind w:left="692" w:hanging="100"/>
      </w:pPr>
      <w:rPr>
        <w:rFonts w:hint="default"/>
      </w:rPr>
    </w:lvl>
    <w:lvl w:ilvl="3" w:tplc="0186DDDC">
      <w:numFmt w:val="bullet"/>
      <w:lvlText w:val="•"/>
      <w:lvlJc w:val="left"/>
      <w:pPr>
        <w:ind w:left="959" w:hanging="100"/>
      </w:pPr>
      <w:rPr>
        <w:rFonts w:hint="default"/>
      </w:rPr>
    </w:lvl>
    <w:lvl w:ilvl="4" w:tplc="C8A029BE">
      <w:numFmt w:val="bullet"/>
      <w:lvlText w:val="•"/>
      <w:lvlJc w:val="left"/>
      <w:pPr>
        <w:ind w:left="1225" w:hanging="100"/>
      </w:pPr>
      <w:rPr>
        <w:rFonts w:hint="default"/>
      </w:rPr>
    </w:lvl>
    <w:lvl w:ilvl="5" w:tplc="BE9299A2">
      <w:numFmt w:val="bullet"/>
      <w:lvlText w:val="•"/>
      <w:lvlJc w:val="left"/>
      <w:pPr>
        <w:ind w:left="1492" w:hanging="100"/>
      </w:pPr>
      <w:rPr>
        <w:rFonts w:hint="default"/>
      </w:rPr>
    </w:lvl>
    <w:lvl w:ilvl="6" w:tplc="66B474CC">
      <w:numFmt w:val="bullet"/>
      <w:lvlText w:val="•"/>
      <w:lvlJc w:val="left"/>
      <w:pPr>
        <w:ind w:left="1758" w:hanging="100"/>
      </w:pPr>
      <w:rPr>
        <w:rFonts w:hint="default"/>
      </w:rPr>
    </w:lvl>
    <w:lvl w:ilvl="7" w:tplc="442A73C2">
      <w:numFmt w:val="bullet"/>
      <w:lvlText w:val="•"/>
      <w:lvlJc w:val="left"/>
      <w:pPr>
        <w:ind w:left="2024" w:hanging="100"/>
      </w:pPr>
      <w:rPr>
        <w:rFonts w:hint="default"/>
      </w:rPr>
    </w:lvl>
    <w:lvl w:ilvl="8" w:tplc="6258249E">
      <w:numFmt w:val="bullet"/>
      <w:lvlText w:val="•"/>
      <w:lvlJc w:val="left"/>
      <w:pPr>
        <w:ind w:left="2291" w:hanging="100"/>
      </w:pPr>
      <w:rPr>
        <w:rFonts w:hint="default"/>
      </w:rPr>
    </w:lvl>
  </w:abstractNum>
  <w:abstractNum w:abstractNumId="1937" w15:restartNumberingAfterBreak="0">
    <w:nsid w:val="79731351"/>
    <w:multiLevelType w:val="hybridMultilevel"/>
    <w:tmpl w:val="9A647B90"/>
    <w:lvl w:ilvl="0" w:tplc="C4C450DC">
      <w:numFmt w:val="bullet"/>
      <w:lvlText w:val=""/>
      <w:lvlJc w:val="left"/>
      <w:pPr>
        <w:ind w:left="156" w:hanging="100"/>
      </w:pPr>
      <w:rPr>
        <w:rFonts w:ascii="Symbol" w:eastAsia="Symbol" w:hAnsi="Symbol" w:cs="Symbol" w:hint="default"/>
        <w:color w:val="231F20"/>
        <w:w w:val="100"/>
        <w:sz w:val="14"/>
        <w:szCs w:val="14"/>
      </w:rPr>
    </w:lvl>
    <w:lvl w:ilvl="1" w:tplc="580073D0">
      <w:numFmt w:val="bullet"/>
      <w:lvlText w:val="•"/>
      <w:lvlJc w:val="left"/>
      <w:pPr>
        <w:ind w:left="398" w:hanging="100"/>
      </w:pPr>
      <w:rPr>
        <w:rFonts w:hint="default"/>
      </w:rPr>
    </w:lvl>
    <w:lvl w:ilvl="2" w:tplc="6AA8076E">
      <w:numFmt w:val="bullet"/>
      <w:lvlText w:val="•"/>
      <w:lvlJc w:val="left"/>
      <w:pPr>
        <w:ind w:left="636" w:hanging="100"/>
      </w:pPr>
      <w:rPr>
        <w:rFonts w:hint="default"/>
      </w:rPr>
    </w:lvl>
    <w:lvl w:ilvl="3" w:tplc="7EF2972E">
      <w:numFmt w:val="bullet"/>
      <w:lvlText w:val="•"/>
      <w:lvlJc w:val="left"/>
      <w:pPr>
        <w:ind w:left="874" w:hanging="100"/>
      </w:pPr>
      <w:rPr>
        <w:rFonts w:hint="default"/>
      </w:rPr>
    </w:lvl>
    <w:lvl w:ilvl="4" w:tplc="6F4ADF4C">
      <w:numFmt w:val="bullet"/>
      <w:lvlText w:val="•"/>
      <w:lvlJc w:val="left"/>
      <w:pPr>
        <w:ind w:left="1112" w:hanging="100"/>
      </w:pPr>
      <w:rPr>
        <w:rFonts w:hint="default"/>
      </w:rPr>
    </w:lvl>
    <w:lvl w:ilvl="5" w:tplc="1E285C98">
      <w:numFmt w:val="bullet"/>
      <w:lvlText w:val="•"/>
      <w:lvlJc w:val="left"/>
      <w:pPr>
        <w:ind w:left="1350" w:hanging="100"/>
      </w:pPr>
      <w:rPr>
        <w:rFonts w:hint="default"/>
      </w:rPr>
    </w:lvl>
    <w:lvl w:ilvl="6" w:tplc="AB845A10">
      <w:numFmt w:val="bullet"/>
      <w:lvlText w:val="•"/>
      <w:lvlJc w:val="left"/>
      <w:pPr>
        <w:ind w:left="1588" w:hanging="100"/>
      </w:pPr>
      <w:rPr>
        <w:rFonts w:hint="default"/>
      </w:rPr>
    </w:lvl>
    <w:lvl w:ilvl="7" w:tplc="87FE9EC4">
      <w:numFmt w:val="bullet"/>
      <w:lvlText w:val="•"/>
      <w:lvlJc w:val="left"/>
      <w:pPr>
        <w:ind w:left="1826" w:hanging="100"/>
      </w:pPr>
      <w:rPr>
        <w:rFonts w:hint="default"/>
      </w:rPr>
    </w:lvl>
    <w:lvl w:ilvl="8" w:tplc="6A5CDA20">
      <w:numFmt w:val="bullet"/>
      <w:lvlText w:val="•"/>
      <w:lvlJc w:val="left"/>
      <w:pPr>
        <w:ind w:left="2064" w:hanging="100"/>
      </w:pPr>
      <w:rPr>
        <w:rFonts w:hint="default"/>
      </w:rPr>
    </w:lvl>
  </w:abstractNum>
  <w:abstractNum w:abstractNumId="1938" w15:restartNumberingAfterBreak="0">
    <w:nsid w:val="79743046"/>
    <w:multiLevelType w:val="hybridMultilevel"/>
    <w:tmpl w:val="3AB6C268"/>
    <w:lvl w:ilvl="0" w:tplc="B6A42540">
      <w:numFmt w:val="bullet"/>
      <w:lvlText w:val=""/>
      <w:lvlJc w:val="left"/>
      <w:pPr>
        <w:ind w:left="156" w:hanging="100"/>
      </w:pPr>
      <w:rPr>
        <w:rFonts w:ascii="Symbol" w:eastAsia="Symbol" w:hAnsi="Symbol" w:cs="Symbol" w:hint="default"/>
        <w:color w:val="231F20"/>
        <w:w w:val="100"/>
        <w:sz w:val="14"/>
        <w:szCs w:val="14"/>
      </w:rPr>
    </w:lvl>
    <w:lvl w:ilvl="1" w:tplc="5FE89D22">
      <w:numFmt w:val="bullet"/>
      <w:lvlText w:val="•"/>
      <w:lvlJc w:val="left"/>
      <w:pPr>
        <w:ind w:left="398" w:hanging="100"/>
      </w:pPr>
      <w:rPr>
        <w:rFonts w:hint="default"/>
      </w:rPr>
    </w:lvl>
    <w:lvl w:ilvl="2" w:tplc="A4109522">
      <w:numFmt w:val="bullet"/>
      <w:lvlText w:val="•"/>
      <w:lvlJc w:val="left"/>
      <w:pPr>
        <w:ind w:left="636" w:hanging="100"/>
      </w:pPr>
      <w:rPr>
        <w:rFonts w:hint="default"/>
      </w:rPr>
    </w:lvl>
    <w:lvl w:ilvl="3" w:tplc="CD7C9A9E">
      <w:numFmt w:val="bullet"/>
      <w:lvlText w:val="•"/>
      <w:lvlJc w:val="left"/>
      <w:pPr>
        <w:ind w:left="874" w:hanging="100"/>
      </w:pPr>
      <w:rPr>
        <w:rFonts w:hint="default"/>
      </w:rPr>
    </w:lvl>
    <w:lvl w:ilvl="4" w:tplc="3C26CFB6">
      <w:numFmt w:val="bullet"/>
      <w:lvlText w:val="•"/>
      <w:lvlJc w:val="left"/>
      <w:pPr>
        <w:ind w:left="1112" w:hanging="100"/>
      </w:pPr>
      <w:rPr>
        <w:rFonts w:hint="default"/>
      </w:rPr>
    </w:lvl>
    <w:lvl w:ilvl="5" w:tplc="2CA2CD46">
      <w:numFmt w:val="bullet"/>
      <w:lvlText w:val="•"/>
      <w:lvlJc w:val="left"/>
      <w:pPr>
        <w:ind w:left="1350" w:hanging="100"/>
      </w:pPr>
      <w:rPr>
        <w:rFonts w:hint="default"/>
      </w:rPr>
    </w:lvl>
    <w:lvl w:ilvl="6" w:tplc="A47235A8">
      <w:numFmt w:val="bullet"/>
      <w:lvlText w:val="•"/>
      <w:lvlJc w:val="left"/>
      <w:pPr>
        <w:ind w:left="1588" w:hanging="100"/>
      </w:pPr>
      <w:rPr>
        <w:rFonts w:hint="default"/>
      </w:rPr>
    </w:lvl>
    <w:lvl w:ilvl="7" w:tplc="C0BEAA2E">
      <w:numFmt w:val="bullet"/>
      <w:lvlText w:val="•"/>
      <w:lvlJc w:val="left"/>
      <w:pPr>
        <w:ind w:left="1826" w:hanging="100"/>
      </w:pPr>
      <w:rPr>
        <w:rFonts w:hint="default"/>
      </w:rPr>
    </w:lvl>
    <w:lvl w:ilvl="8" w:tplc="4B3EF5B4">
      <w:numFmt w:val="bullet"/>
      <w:lvlText w:val="•"/>
      <w:lvlJc w:val="left"/>
      <w:pPr>
        <w:ind w:left="2064" w:hanging="100"/>
      </w:pPr>
      <w:rPr>
        <w:rFonts w:hint="default"/>
      </w:rPr>
    </w:lvl>
  </w:abstractNum>
  <w:abstractNum w:abstractNumId="1939" w15:restartNumberingAfterBreak="0">
    <w:nsid w:val="797435D9"/>
    <w:multiLevelType w:val="hybridMultilevel"/>
    <w:tmpl w:val="2C6CA284"/>
    <w:lvl w:ilvl="0" w:tplc="19EA97BE">
      <w:numFmt w:val="bullet"/>
      <w:lvlText w:val=""/>
      <w:lvlJc w:val="left"/>
      <w:pPr>
        <w:ind w:left="156" w:hanging="100"/>
      </w:pPr>
      <w:rPr>
        <w:rFonts w:ascii="Symbol" w:eastAsia="Symbol" w:hAnsi="Symbol" w:cs="Symbol" w:hint="default"/>
        <w:color w:val="231F20"/>
        <w:w w:val="100"/>
        <w:sz w:val="14"/>
        <w:szCs w:val="14"/>
      </w:rPr>
    </w:lvl>
    <w:lvl w:ilvl="1" w:tplc="CDB2A44C">
      <w:numFmt w:val="bullet"/>
      <w:lvlText w:val="•"/>
      <w:lvlJc w:val="left"/>
      <w:pPr>
        <w:ind w:left="398" w:hanging="100"/>
      </w:pPr>
      <w:rPr>
        <w:rFonts w:hint="default"/>
      </w:rPr>
    </w:lvl>
    <w:lvl w:ilvl="2" w:tplc="95185160">
      <w:numFmt w:val="bullet"/>
      <w:lvlText w:val="•"/>
      <w:lvlJc w:val="left"/>
      <w:pPr>
        <w:ind w:left="636" w:hanging="100"/>
      </w:pPr>
      <w:rPr>
        <w:rFonts w:hint="default"/>
      </w:rPr>
    </w:lvl>
    <w:lvl w:ilvl="3" w:tplc="31E0E0F0">
      <w:numFmt w:val="bullet"/>
      <w:lvlText w:val="•"/>
      <w:lvlJc w:val="left"/>
      <w:pPr>
        <w:ind w:left="874" w:hanging="100"/>
      </w:pPr>
      <w:rPr>
        <w:rFonts w:hint="default"/>
      </w:rPr>
    </w:lvl>
    <w:lvl w:ilvl="4" w:tplc="024A1D36">
      <w:numFmt w:val="bullet"/>
      <w:lvlText w:val="•"/>
      <w:lvlJc w:val="left"/>
      <w:pPr>
        <w:ind w:left="1112" w:hanging="100"/>
      </w:pPr>
      <w:rPr>
        <w:rFonts w:hint="default"/>
      </w:rPr>
    </w:lvl>
    <w:lvl w:ilvl="5" w:tplc="F21E284E">
      <w:numFmt w:val="bullet"/>
      <w:lvlText w:val="•"/>
      <w:lvlJc w:val="left"/>
      <w:pPr>
        <w:ind w:left="1350" w:hanging="100"/>
      </w:pPr>
      <w:rPr>
        <w:rFonts w:hint="default"/>
      </w:rPr>
    </w:lvl>
    <w:lvl w:ilvl="6" w:tplc="8B78F61E">
      <w:numFmt w:val="bullet"/>
      <w:lvlText w:val="•"/>
      <w:lvlJc w:val="left"/>
      <w:pPr>
        <w:ind w:left="1588" w:hanging="100"/>
      </w:pPr>
      <w:rPr>
        <w:rFonts w:hint="default"/>
      </w:rPr>
    </w:lvl>
    <w:lvl w:ilvl="7" w:tplc="73168CC0">
      <w:numFmt w:val="bullet"/>
      <w:lvlText w:val="•"/>
      <w:lvlJc w:val="left"/>
      <w:pPr>
        <w:ind w:left="1826" w:hanging="100"/>
      </w:pPr>
      <w:rPr>
        <w:rFonts w:hint="default"/>
      </w:rPr>
    </w:lvl>
    <w:lvl w:ilvl="8" w:tplc="17207546">
      <w:numFmt w:val="bullet"/>
      <w:lvlText w:val="•"/>
      <w:lvlJc w:val="left"/>
      <w:pPr>
        <w:ind w:left="2064" w:hanging="100"/>
      </w:pPr>
      <w:rPr>
        <w:rFonts w:hint="default"/>
      </w:rPr>
    </w:lvl>
  </w:abstractNum>
  <w:abstractNum w:abstractNumId="1940" w15:restartNumberingAfterBreak="0">
    <w:nsid w:val="798C48D1"/>
    <w:multiLevelType w:val="hybridMultilevel"/>
    <w:tmpl w:val="685C283E"/>
    <w:lvl w:ilvl="0" w:tplc="3D4AAE10">
      <w:numFmt w:val="bullet"/>
      <w:lvlText w:val=""/>
      <w:lvlJc w:val="left"/>
      <w:pPr>
        <w:ind w:left="157" w:hanging="100"/>
      </w:pPr>
      <w:rPr>
        <w:rFonts w:ascii="Symbol" w:eastAsia="Symbol" w:hAnsi="Symbol" w:cs="Symbol" w:hint="default"/>
        <w:color w:val="231F20"/>
        <w:w w:val="100"/>
        <w:sz w:val="14"/>
        <w:szCs w:val="14"/>
      </w:rPr>
    </w:lvl>
    <w:lvl w:ilvl="1" w:tplc="51CA0876">
      <w:numFmt w:val="bullet"/>
      <w:lvlText w:val="•"/>
      <w:lvlJc w:val="left"/>
      <w:pPr>
        <w:ind w:left="369" w:hanging="100"/>
      </w:pPr>
      <w:rPr>
        <w:rFonts w:hint="default"/>
      </w:rPr>
    </w:lvl>
    <w:lvl w:ilvl="2" w:tplc="0A826E88">
      <w:numFmt w:val="bullet"/>
      <w:lvlText w:val="•"/>
      <w:lvlJc w:val="left"/>
      <w:pPr>
        <w:ind w:left="579" w:hanging="100"/>
      </w:pPr>
      <w:rPr>
        <w:rFonts w:hint="default"/>
      </w:rPr>
    </w:lvl>
    <w:lvl w:ilvl="3" w:tplc="E0CC8426">
      <w:numFmt w:val="bullet"/>
      <w:lvlText w:val="•"/>
      <w:lvlJc w:val="left"/>
      <w:pPr>
        <w:ind w:left="789" w:hanging="100"/>
      </w:pPr>
      <w:rPr>
        <w:rFonts w:hint="default"/>
      </w:rPr>
    </w:lvl>
    <w:lvl w:ilvl="4" w:tplc="389E92F2">
      <w:numFmt w:val="bullet"/>
      <w:lvlText w:val="•"/>
      <w:lvlJc w:val="left"/>
      <w:pPr>
        <w:ind w:left="998" w:hanging="100"/>
      </w:pPr>
      <w:rPr>
        <w:rFonts w:hint="default"/>
      </w:rPr>
    </w:lvl>
    <w:lvl w:ilvl="5" w:tplc="E49E0426">
      <w:numFmt w:val="bullet"/>
      <w:lvlText w:val="•"/>
      <w:lvlJc w:val="left"/>
      <w:pPr>
        <w:ind w:left="1208" w:hanging="100"/>
      </w:pPr>
      <w:rPr>
        <w:rFonts w:hint="default"/>
      </w:rPr>
    </w:lvl>
    <w:lvl w:ilvl="6" w:tplc="921A7474">
      <w:numFmt w:val="bullet"/>
      <w:lvlText w:val="•"/>
      <w:lvlJc w:val="left"/>
      <w:pPr>
        <w:ind w:left="1418" w:hanging="100"/>
      </w:pPr>
      <w:rPr>
        <w:rFonts w:hint="default"/>
      </w:rPr>
    </w:lvl>
    <w:lvl w:ilvl="7" w:tplc="1144AF9A">
      <w:numFmt w:val="bullet"/>
      <w:lvlText w:val="•"/>
      <w:lvlJc w:val="left"/>
      <w:pPr>
        <w:ind w:left="1627" w:hanging="100"/>
      </w:pPr>
      <w:rPr>
        <w:rFonts w:hint="default"/>
      </w:rPr>
    </w:lvl>
    <w:lvl w:ilvl="8" w:tplc="1EAC32C4">
      <w:numFmt w:val="bullet"/>
      <w:lvlText w:val="•"/>
      <w:lvlJc w:val="left"/>
      <w:pPr>
        <w:ind w:left="1837" w:hanging="100"/>
      </w:pPr>
      <w:rPr>
        <w:rFonts w:hint="default"/>
      </w:rPr>
    </w:lvl>
  </w:abstractNum>
  <w:abstractNum w:abstractNumId="1941" w15:restartNumberingAfterBreak="0">
    <w:nsid w:val="79917969"/>
    <w:multiLevelType w:val="hybridMultilevel"/>
    <w:tmpl w:val="0018DB1C"/>
    <w:lvl w:ilvl="0" w:tplc="553C4F16">
      <w:numFmt w:val="bullet"/>
      <w:lvlText w:val=""/>
      <w:lvlJc w:val="left"/>
      <w:pPr>
        <w:ind w:left="157" w:hanging="100"/>
      </w:pPr>
      <w:rPr>
        <w:rFonts w:ascii="Symbol" w:eastAsia="Symbol" w:hAnsi="Symbol" w:cs="Symbol" w:hint="default"/>
        <w:color w:val="231F20"/>
        <w:w w:val="100"/>
        <w:sz w:val="14"/>
        <w:szCs w:val="14"/>
      </w:rPr>
    </w:lvl>
    <w:lvl w:ilvl="1" w:tplc="69CC4A5A">
      <w:numFmt w:val="bullet"/>
      <w:lvlText w:val="•"/>
      <w:lvlJc w:val="left"/>
      <w:pPr>
        <w:ind w:left="369" w:hanging="100"/>
      </w:pPr>
      <w:rPr>
        <w:rFonts w:hint="default"/>
      </w:rPr>
    </w:lvl>
    <w:lvl w:ilvl="2" w:tplc="C1265560">
      <w:numFmt w:val="bullet"/>
      <w:lvlText w:val="•"/>
      <w:lvlJc w:val="left"/>
      <w:pPr>
        <w:ind w:left="579" w:hanging="100"/>
      </w:pPr>
      <w:rPr>
        <w:rFonts w:hint="default"/>
      </w:rPr>
    </w:lvl>
    <w:lvl w:ilvl="3" w:tplc="AFD87FBC">
      <w:numFmt w:val="bullet"/>
      <w:lvlText w:val="•"/>
      <w:lvlJc w:val="left"/>
      <w:pPr>
        <w:ind w:left="789" w:hanging="100"/>
      </w:pPr>
      <w:rPr>
        <w:rFonts w:hint="default"/>
      </w:rPr>
    </w:lvl>
    <w:lvl w:ilvl="4" w:tplc="D3668620">
      <w:numFmt w:val="bullet"/>
      <w:lvlText w:val="•"/>
      <w:lvlJc w:val="left"/>
      <w:pPr>
        <w:ind w:left="998" w:hanging="100"/>
      </w:pPr>
      <w:rPr>
        <w:rFonts w:hint="default"/>
      </w:rPr>
    </w:lvl>
    <w:lvl w:ilvl="5" w:tplc="FBCC7F62">
      <w:numFmt w:val="bullet"/>
      <w:lvlText w:val="•"/>
      <w:lvlJc w:val="left"/>
      <w:pPr>
        <w:ind w:left="1208" w:hanging="100"/>
      </w:pPr>
      <w:rPr>
        <w:rFonts w:hint="default"/>
      </w:rPr>
    </w:lvl>
    <w:lvl w:ilvl="6" w:tplc="618CCF16">
      <w:numFmt w:val="bullet"/>
      <w:lvlText w:val="•"/>
      <w:lvlJc w:val="left"/>
      <w:pPr>
        <w:ind w:left="1418" w:hanging="100"/>
      </w:pPr>
      <w:rPr>
        <w:rFonts w:hint="default"/>
      </w:rPr>
    </w:lvl>
    <w:lvl w:ilvl="7" w:tplc="3460CD96">
      <w:numFmt w:val="bullet"/>
      <w:lvlText w:val="•"/>
      <w:lvlJc w:val="left"/>
      <w:pPr>
        <w:ind w:left="1627" w:hanging="100"/>
      </w:pPr>
      <w:rPr>
        <w:rFonts w:hint="default"/>
      </w:rPr>
    </w:lvl>
    <w:lvl w:ilvl="8" w:tplc="6D640FF0">
      <w:numFmt w:val="bullet"/>
      <w:lvlText w:val="•"/>
      <w:lvlJc w:val="left"/>
      <w:pPr>
        <w:ind w:left="1837" w:hanging="100"/>
      </w:pPr>
      <w:rPr>
        <w:rFonts w:hint="default"/>
      </w:rPr>
    </w:lvl>
  </w:abstractNum>
  <w:abstractNum w:abstractNumId="1942" w15:restartNumberingAfterBreak="0">
    <w:nsid w:val="799E7CA5"/>
    <w:multiLevelType w:val="hybridMultilevel"/>
    <w:tmpl w:val="20EED308"/>
    <w:lvl w:ilvl="0" w:tplc="5BB6DC04">
      <w:numFmt w:val="bullet"/>
      <w:lvlText w:val=""/>
      <w:lvlJc w:val="left"/>
      <w:pPr>
        <w:ind w:left="156" w:hanging="100"/>
      </w:pPr>
      <w:rPr>
        <w:rFonts w:ascii="Symbol" w:eastAsia="Symbol" w:hAnsi="Symbol" w:cs="Symbol" w:hint="default"/>
        <w:color w:val="231F20"/>
        <w:w w:val="100"/>
        <w:sz w:val="14"/>
        <w:szCs w:val="14"/>
      </w:rPr>
    </w:lvl>
    <w:lvl w:ilvl="1" w:tplc="1D6AD4D6">
      <w:numFmt w:val="bullet"/>
      <w:lvlText w:val="•"/>
      <w:lvlJc w:val="left"/>
      <w:pPr>
        <w:ind w:left="301" w:hanging="100"/>
      </w:pPr>
      <w:rPr>
        <w:rFonts w:hint="default"/>
      </w:rPr>
    </w:lvl>
    <w:lvl w:ilvl="2" w:tplc="D3864E8E">
      <w:numFmt w:val="bullet"/>
      <w:lvlText w:val="•"/>
      <w:lvlJc w:val="left"/>
      <w:pPr>
        <w:ind w:left="443" w:hanging="100"/>
      </w:pPr>
      <w:rPr>
        <w:rFonts w:hint="default"/>
      </w:rPr>
    </w:lvl>
    <w:lvl w:ilvl="3" w:tplc="104EF42C">
      <w:numFmt w:val="bullet"/>
      <w:lvlText w:val="•"/>
      <w:lvlJc w:val="left"/>
      <w:pPr>
        <w:ind w:left="585" w:hanging="100"/>
      </w:pPr>
      <w:rPr>
        <w:rFonts w:hint="default"/>
      </w:rPr>
    </w:lvl>
    <w:lvl w:ilvl="4" w:tplc="ECEE1246">
      <w:numFmt w:val="bullet"/>
      <w:lvlText w:val="•"/>
      <w:lvlJc w:val="left"/>
      <w:pPr>
        <w:ind w:left="726" w:hanging="100"/>
      </w:pPr>
      <w:rPr>
        <w:rFonts w:hint="default"/>
      </w:rPr>
    </w:lvl>
    <w:lvl w:ilvl="5" w:tplc="66F67698">
      <w:numFmt w:val="bullet"/>
      <w:lvlText w:val="•"/>
      <w:lvlJc w:val="left"/>
      <w:pPr>
        <w:ind w:left="868" w:hanging="100"/>
      </w:pPr>
      <w:rPr>
        <w:rFonts w:hint="default"/>
      </w:rPr>
    </w:lvl>
    <w:lvl w:ilvl="6" w:tplc="3ACE7EC4">
      <w:numFmt w:val="bullet"/>
      <w:lvlText w:val="•"/>
      <w:lvlJc w:val="left"/>
      <w:pPr>
        <w:ind w:left="1010" w:hanging="100"/>
      </w:pPr>
      <w:rPr>
        <w:rFonts w:hint="default"/>
      </w:rPr>
    </w:lvl>
    <w:lvl w:ilvl="7" w:tplc="968C233E">
      <w:numFmt w:val="bullet"/>
      <w:lvlText w:val="•"/>
      <w:lvlJc w:val="left"/>
      <w:pPr>
        <w:ind w:left="1151" w:hanging="100"/>
      </w:pPr>
      <w:rPr>
        <w:rFonts w:hint="default"/>
      </w:rPr>
    </w:lvl>
    <w:lvl w:ilvl="8" w:tplc="730AD7CA">
      <w:numFmt w:val="bullet"/>
      <w:lvlText w:val="•"/>
      <w:lvlJc w:val="left"/>
      <w:pPr>
        <w:ind w:left="1293" w:hanging="100"/>
      </w:pPr>
      <w:rPr>
        <w:rFonts w:hint="default"/>
      </w:rPr>
    </w:lvl>
  </w:abstractNum>
  <w:abstractNum w:abstractNumId="1943" w15:restartNumberingAfterBreak="0">
    <w:nsid w:val="79BC6E8C"/>
    <w:multiLevelType w:val="hybridMultilevel"/>
    <w:tmpl w:val="6D36110A"/>
    <w:lvl w:ilvl="0" w:tplc="31ECB65A">
      <w:numFmt w:val="bullet"/>
      <w:lvlText w:val=""/>
      <w:lvlJc w:val="left"/>
      <w:pPr>
        <w:ind w:left="156" w:hanging="100"/>
      </w:pPr>
      <w:rPr>
        <w:rFonts w:ascii="Symbol" w:eastAsia="Symbol" w:hAnsi="Symbol" w:cs="Symbol" w:hint="default"/>
        <w:color w:val="231F20"/>
        <w:w w:val="100"/>
        <w:sz w:val="14"/>
        <w:szCs w:val="14"/>
      </w:rPr>
    </w:lvl>
    <w:lvl w:ilvl="1" w:tplc="4D809BF4">
      <w:numFmt w:val="bullet"/>
      <w:lvlText w:val="•"/>
      <w:lvlJc w:val="left"/>
      <w:pPr>
        <w:ind w:left="398" w:hanging="100"/>
      </w:pPr>
      <w:rPr>
        <w:rFonts w:hint="default"/>
      </w:rPr>
    </w:lvl>
    <w:lvl w:ilvl="2" w:tplc="757A3C12">
      <w:numFmt w:val="bullet"/>
      <w:lvlText w:val="•"/>
      <w:lvlJc w:val="left"/>
      <w:pPr>
        <w:ind w:left="636" w:hanging="100"/>
      </w:pPr>
      <w:rPr>
        <w:rFonts w:hint="default"/>
      </w:rPr>
    </w:lvl>
    <w:lvl w:ilvl="3" w:tplc="036C8AD4">
      <w:numFmt w:val="bullet"/>
      <w:lvlText w:val="•"/>
      <w:lvlJc w:val="left"/>
      <w:pPr>
        <w:ind w:left="874" w:hanging="100"/>
      </w:pPr>
      <w:rPr>
        <w:rFonts w:hint="default"/>
      </w:rPr>
    </w:lvl>
    <w:lvl w:ilvl="4" w:tplc="7B18B976">
      <w:numFmt w:val="bullet"/>
      <w:lvlText w:val="•"/>
      <w:lvlJc w:val="left"/>
      <w:pPr>
        <w:ind w:left="1112" w:hanging="100"/>
      </w:pPr>
      <w:rPr>
        <w:rFonts w:hint="default"/>
      </w:rPr>
    </w:lvl>
    <w:lvl w:ilvl="5" w:tplc="65CA7BCE">
      <w:numFmt w:val="bullet"/>
      <w:lvlText w:val="•"/>
      <w:lvlJc w:val="left"/>
      <w:pPr>
        <w:ind w:left="1350" w:hanging="100"/>
      </w:pPr>
      <w:rPr>
        <w:rFonts w:hint="default"/>
      </w:rPr>
    </w:lvl>
    <w:lvl w:ilvl="6" w:tplc="EDA803D4">
      <w:numFmt w:val="bullet"/>
      <w:lvlText w:val="•"/>
      <w:lvlJc w:val="left"/>
      <w:pPr>
        <w:ind w:left="1588" w:hanging="100"/>
      </w:pPr>
      <w:rPr>
        <w:rFonts w:hint="default"/>
      </w:rPr>
    </w:lvl>
    <w:lvl w:ilvl="7" w:tplc="5E78A128">
      <w:numFmt w:val="bullet"/>
      <w:lvlText w:val="•"/>
      <w:lvlJc w:val="left"/>
      <w:pPr>
        <w:ind w:left="1826" w:hanging="100"/>
      </w:pPr>
      <w:rPr>
        <w:rFonts w:hint="default"/>
      </w:rPr>
    </w:lvl>
    <w:lvl w:ilvl="8" w:tplc="EF9E21DA">
      <w:numFmt w:val="bullet"/>
      <w:lvlText w:val="•"/>
      <w:lvlJc w:val="left"/>
      <w:pPr>
        <w:ind w:left="2064" w:hanging="100"/>
      </w:pPr>
      <w:rPr>
        <w:rFonts w:hint="default"/>
      </w:rPr>
    </w:lvl>
  </w:abstractNum>
  <w:abstractNum w:abstractNumId="1944" w15:restartNumberingAfterBreak="0">
    <w:nsid w:val="79C676A7"/>
    <w:multiLevelType w:val="hybridMultilevel"/>
    <w:tmpl w:val="8C505B72"/>
    <w:lvl w:ilvl="0" w:tplc="BA606B46">
      <w:numFmt w:val="bullet"/>
      <w:lvlText w:val=""/>
      <w:lvlJc w:val="left"/>
      <w:pPr>
        <w:ind w:left="156" w:hanging="100"/>
      </w:pPr>
      <w:rPr>
        <w:rFonts w:ascii="Symbol" w:eastAsia="Symbol" w:hAnsi="Symbol" w:cs="Symbol" w:hint="default"/>
        <w:color w:val="231F20"/>
        <w:w w:val="100"/>
        <w:sz w:val="14"/>
        <w:szCs w:val="14"/>
      </w:rPr>
    </w:lvl>
    <w:lvl w:ilvl="1" w:tplc="D21E4B06">
      <w:numFmt w:val="bullet"/>
      <w:lvlText w:val="•"/>
      <w:lvlJc w:val="left"/>
      <w:pPr>
        <w:ind w:left="301" w:hanging="100"/>
      </w:pPr>
      <w:rPr>
        <w:rFonts w:hint="default"/>
      </w:rPr>
    </w:lvl>
    <w:lvl w:ilvl="2" w:tplc="7A1AA7C6">
      <w:numFmt w:val="bullet"/>
      <w:lvlText w:val="•"/>
      <w:lvlJc w:val="left"/>
      <w:pPr>
        <w:ind w:left="443" w:hanging="100"/>
      </w:pPr>
      <w:rPr>
        <w:rFonts w:hint="default"/>
      </w:rPr>
    </w:lvl>
    <w:lvl w:ilvl="3" w:tplc="F69EBFA8">
      <w:numFmt w:val="bullet"/>
      <w:lvlText w:val="•"/>
      <w:lvlJc w:val="left"/>
      <w:pPr>
        <w:ind w:left="585" w:hanging="100"/>
      </w:pPr>
      <w:rPr>
        <w:rFonts w:hint="default"/>
      </w:rPr>
    </w:lvl>
    <w:lvl w:ilvl="4" w:tplc="0548102E">
      <w:numFmt w:val="bullet"/>
      <w:lvlText w:val="•"/>
      <w:lvlJc w:val="left"/>
      <w:pPr>
        <w:ind w:left="726" w:hanging="100"/>
      </w:pPr>
      <w:rPr>
        <w:rFonts w:hint="default"/>
      </w:rPr>
    </w:lvl>
    <w:lvl w:ilvl="5" w:tplc="0F6C11B8">
      <w:numFmt w:val="bullet"/>
      <w:lvlText w:val="•"/>
      <w:lvlJc w:val="left"/>
      <w:pPr>
        <w:ind w:left="868" w:hanging="100"/>
      </w:pPr>
      <w:rPr>
        <w:rFonts w:hint="default"/>
      </w:rPr>
    </w:lvl>
    <w:lvl w:ilvl="6" w:tplc="27A40404">
      <w:numFmt w:val="bullet"/>
      <w:lvlText w:val="•"/>
      <w:lvlJc w:val="left"/>
      <w:pPr>
        <w:ind w:left="1010" w:hanging="100"/>
      </w:pPr>
      <w:rPr>
        <w:rFonts w:hint="default"/>
      </w:rPr>
    </w:lvl>
    <w:lvl w:ilvl="7" w:tplc="89BA2156">
      <w:numFmt w:val="bullet"/>
      <w:lvlText w:val="•"/>
      <w:lvlJc w:val="left"/>
      <w:pPr>
        <w:ind w:left="1151" w:hanging="100"/>
      </w:pPr>
      <w:rPr>
        <w:rFonts w:hint="default"/>
      </w:rPr>
    </w:lvl>
    <w:lvl w:ilvl="8" w:tplc="42226752">
      <w:numFmt w:val="bullet"/>
      <w:lvlText w:val="•"/>
      <w:lvlJc w:val="left"/>
      <w:pPr>
        <w:ind w:left="1293" w:hanging="100"/>
      </w:pPr>
      <w:rPr>
        <w:rFonts w:hint="default"/>
      </w:rPr>
    </w:lvl>
  </w:abstractNum>
  <w:abstractNum w:abstractNumId="1945" w15:restartNumberingAfterBreak="0">
    <w:nsid w:val="79CC6AB2"/>
    <w:multiLevelType w:val="hybridMultilevel"/>
    <w:tmpl w:val="04FCAB24"/>
    <w:lvl w:ilvl="0" w:tplc="1174D5C4">
      <w:numFmt w:val="bullet"/>
      <w:lvlText w:val=""/>
      <w:lvlJc w:val="left"/>
      <w:pPr>
        <w:ind w:left="156" w:hanging="100"/>
      </w:pPr>
      <w:rPr>
        <w:rFonts w:ascii="Symbol" w:eastAsia="Symbol" w:hAnsi="Symbol" w:cs="Symbol" w:hint="default"/>
        <w:color w:val="231F20"/>
        <w:w w:val="100"/>
        <w:sz w:val="14"/>
        <w:szCs w:val="14"/>
      </w:rPr>
    </w:lvl>
    <w:lvl w:ilvl="1" w:tplc="5538DB26">
      <w:numFmt w:val="bullet"/>
      <w:lvlText w:val="•"/>
      <w:lvlJc w:val="left"/>
      <w:pPr>
        <w:ind w:left="398" w:hanging="100"/>
      </w:pPr>
      <w:rPr>
        <w:rFonts w:hint="default"/>
      </w:rPr>
    </w:lvl>
    <w:lvl w:ilvl="2" w:tplc="D4542298">
      <w:numFmt w:val="bullet"/>
      <w:lvlText w:val="•"/>
      <w:lvlJc w:val="left"/>
      <w:pPr>
        <w:ind w:left="636" w:hanging="100"/>
      </w:pPr>
      <w:rPr>
        <w:rFonts w:hint="default"/>
      </w:rPr>
    </w:lvl>
    <w:lvl w:ilvl="3" w:tplc="9F9A892A">
      <w:numFmt w:val="bullet"/>
      <w:lvlText w:val="•"/>
      <w:lvlJc w:val="left"/>
      <w:pPr>
        <w:ind w:left="874" w:hanging="100"/>
      </w:pPr>
      <w:rPr>
        <w:rFonts w:hint="default"/>
      </w:rPr>
    </w:lvl>
    <w:lvl w:ilvl="4" w:tplc="95EAC30E">
      <w:numFmt w:val="bullet"/>
      <w:lvlText w:val="•"/>
      <w:lvlJc w:val="left"/>
      <w:pPr>
        <w:ind w:left="1112" w:hanging="100"/>
      </w:pPr>
      <w:rPr>
        <w:rFonts w:hint="default"/>
      </w:rPr>
    </w:lvl>
    <w:lvl w:ilvl="5" w:tplc="A35A5BC6">
      <w:numFmt w:val="bullet"/>
      <w:lvlText w:val="•"/>
      <w:lvlJc w:val="left"/>
      <w:pPr>
        <w:ind w:left="1350" w:hanging="100"/>
      </w:pPr>
      <w:rPr>
        <w:rFonts w:hint="default"/>
      </w:rPr>
    </w:lvl>
    <w:lvl w:ilvl="6" w:tplc="179C3A9A">
      <w:numFmt w:val="bullet"/>
      <w:lvlText w:val="•"/>
      <w:lvlJc w:val="left"/>
      <w:pPr>
        <w:ind w:left="1588" w:hanging="100"/>
      </w:pPr>
      <w:rPr>
        <w:rFonts w:hint="default"/>
      </w:rPr>
    </w:lvl>
    <w:lvl w:ilvl="7" w:tplc="798EA9F8">
      <w:numFmt w:val="bullet"/>
      <w:lvlText w:val="•"/>
      <w:lvlJc w:val="left"/>
      <w:pPr>
        <w:ind w:left="1826" w:hanging="100"/>
      </w:pPr>
      <w:rPr>
        <w:rFonts w:hint="default"/>
      </w:rPr>
    </w:lvl>
    <w:lvl w:ilvl="8" w:tplc="315CE284">
      <w:numFmt w:val="bullet"/>
      <w:lvlText w:val="•"/>
      <w:lvlJc w:val="left"/>
      <w:pPr>
        <w:ind w:left="2064" w:hanging="100"/>
      </w:pPr>
      <w:rPr>
        <w:rFonts w:hint="default"/>
      </w:rPr>
    </w:lvl>
  </w:abstractNum>
  <w:abstractNum w:abstractNumId="1946" w15:restartNumberingAfterBreak="0">
    <w:nsid w:val="79CE1616"/>
    <w:multiLevelType w:val="hybridMultilevel"/>
    <w:tmpl w:val="E894FD80"/>
    <w:lvl w:ilvl="0" w:tplc="AAF04C66">
      <w:numFmt w:val="bullet"/>
      <w:lvlText w:val=""/>
      <w:lvlJc w:val="left"/>
      <w:pPr>
        <w:ind w:left="156" w:hanging="100"/>
      </w:pPr>
      <w:rPr>
        <w:rFonts w:ascii="Symbol" w:eastAsia="Symbol" w:hAnsi="Symbol" w:cs="Symbol" w:hint="default"/>
        <w:color w:val="231F20"/>
        <w:w w:val="100"/>
        <w:sz w:val="14"/>
        <w:szCs w:val="14"/>
      </w:rPr>
    </w:lvl>
    <w:lvl w:ilvl="1" w:tplc="458A54EA">
      <w:numFmt w:val="bullet"/>
      <w:lvlText w:val="•"/>
      <w:lvlJc w:val="left"/>
      <w:pPr>
        <w:ind w:left="398" w:hanging="100"/>
      </w:pPr>
      <w:rPr>
        <w:rFonts w:hint="default"/>
      </w:rPr>
    </w:lvl>
    <w:lvl w:ilvl="2" w:tplc="F622032A">
      <w:numFmt w:val="bullet"/>
      <w:lvlText w:val="•"/>
      <w:lvlJc w:val="left"/>
      <w:pPr>
        <w:ind w:left="636" w:hanging="100"/>
      </w:pPr>
      <w:rPr>
        <w:rFonts w:hint="default"/>
      </w:rPr>
    </w:lvl>
    <w:lvl w:ilvl="3" w:tplc="E39C8862">
      <w:numFmt w:val="bullet"/>
      <w:lvlText w:val="•"/>
      <w:lvlJc w:val="left"/>
      <w:pPr>
        <w:ind w:left="874" w:hanging="100"/>
      </w:pPr>
      <w:rPr>
        <w:rFonts w:hint="default"/>
      </w:rPr>
    </w:lvl>
    <w:lvl w:ilvl="4" w:tplc="9F9ED9E0">
      <w:numFmt w:val="bullet"/>
      <w:lvlText w:val="•"/>
      <w:lvlJc w:val="left"/>
      <w:pPr>
        <w:ind w:left="1112" w:hanging="100"/>
      </w:pPr>
      <w:rPr>
        <w:rFonts w:hint="default"/>
      </w:rPr>
    </w:lvl>
    <w:lvl w:ilvl="5" w:tplc="E13AF46A">
      <w:numFmt w:val="bullet"/>
      <w:lvlText w:val="•"/>
      <w:lvlJc w:val="left"/>
      <w:pPr>
        <w:ind w:left="1350" w:hanging="100"/>
      </w:pPr>
      <w:rPr>
        <w:rFonts w:hint="default"/>
      </w:rPr>
    </w:lvl>
    <w:lvl w:ilvl="6" w:tplc="2048C0B6">
      <w:numFmt w:val="bullet"/>
      <w:lvlText w:val="•"/>
      <w:lvlJc w:val="left"/>
      <w:pPr>
        <w:ind w:left="1588" w:hanging="100"/>
      </w:pPr>
      <w:rPr>
        <w:rFonts w:hint="default"/>
      </w:rPr>
    </w:lvl>
    <w:lvl w:ilvl="7" w:tplc="80189F7A">
      <w:numFmt w:val="bullet"/>
      <w:lvlText w:val="•"/>
      <w:lvlJc w:val="left"/>
      <w:pPr>
        <w:ind w:left="1826" w:hanging="100"/>
      </w:pPr>
      <w:rPr>
        <w:rFonts w:hint="default"/>
      </w:rPr>
    </w:lvl>
    <w:lvl w:ilvl="8" w:tplc="79202B36">
      <w:numFmt w:val="bullet"/>
      <w:lvlText w:val="•"/>
      <w:lvlJc w:val="left"/>
      <w:pPr>
        <w:ind w:left="2064" w:hanging="100"/>
      </w:pPr>
      <w:rPr>
        <w:rFonts w:hint="default"/>
      </w:rPr>
    </w:lvl>
  </w:abstractNum>
  <w:abstractNum w:abstractNumId="1947" w15:restartNumberingAfterBreak="0">
    <w:nsid w:val="79DF2EA2"/>
    <w:multiLevelType w:val="hybridMultilevel"/>
    <w:tmpl w:val="626AECD8"/>
    <w:lvl w:ilvl="0" w:tplc="B4B066B4">
      <w:numFmt w:val="bullet"/>
      <w:lvlText w:val=""/>
      <w:lvlJc w:val="left"/>
      <w:pPr>
        <w:ind w:left="156" w:hanging="100"/>
      </w:pPr>
      <w:rPr>
        <w:rFonts w:ascii="Symbol" w:eastAsia="Symbol" w:hAnsi="Symbol" w:cs="Symbol" w:hint="default"/>
        <w:color w:val="231F20"/>
        <w:w w:val="100"/>
        <w:sz w:val="14"/>
        <w:szCs w:val="14"/>
      </w:rPr>
    </w:lvl>
    <w:lvl w:ilvl="1" w:tplc="A05A0DE0">
      <w:numFmt w:val="bullet"/>
      <w:lvlText w:val="•"/>
      <w:lvlJc w:val="left"/>
      <w:pPr>
        <w:ind w:left="398" w:hanging="100"/>
      </w:pPr>
      <w:rPr>
        <w:rFonts w:hint="default"/>
      </w:rPr>
    </w:lvl>
    <w:lvl w:ilvl="2" w:tplc="A03EE752">
      <w:numFmt w:val="bullet"/>
      <w:lvlText w:val="•"/>
      <w:lvlJc w:val="left"/>
      <w:pPr>
        <w:ind w:left="636" w:hanging="100"/>
      </w:pPr>
      <w:rPr>
        <w:rFonts w:hint="default"/>
      </w:rPr>
    </w:lvl>
    <w:lvl w:ilvl="3" w:tplc="F12CE5F8">
      <w:numFmt w:val="bullet"/>
      <w:lvlText w:val="•"/>
      <w:lvlJc w:val="left"/>
      <w:pPr>
        <w:ind w:left="874" w:hanging="100"/>
      </w:pPr>
      <w:rPr>
        <w:rFonts w:hint="default"/>
      </w:rPr>
    </w:lvl>
    <w:lvl w:ilvl="4" w:tplc="00E6DA44">
      <w:numFmt w:val="bullet"/>
      <w:lvlText w:val="•"/>
      <w:lvlJc w:val="left"/>
      <w:pPr>
        <w:ind w:left="1112" w:hanging="100"/>
      </w:pPr>
      <w:rPr>
        <w:rFonts w:hint="default"/>
      </w:rPr>
    </w:lvl>
    <w:lvl w:ilvl="5" w:tplc="FEB87958">
      <w:numFmt w:val="bullet"/>
      <w:lvlText w:val="•"/>
      <w:lvlJc w:val="left"/>
      <w:pPr>
        <w:ind w:left="1350" w:hanging="100"/>
      </w:pPr>
      <w:rPr>
        <w:rFonts w:hint="default"/>
      </w:rPr>
    </w:lvl>
    <w:lvl w:ilvl="6" w:tplc="96F23FD2">
      <w:numFmt w:val="bullet"/>
      <w:lvlText w:val="•"/>
      <w:lvlJc w:val="left"/>
      <w:pPr>
        <w:ind w:left="1588" w:hanging="100"/>
      </w:pPr>
      <w:rPr>
        <w:rFonts w:hint="default"/>
      </w:rPr>
    </w:lvl>
    <w:lvl w:ilvl="7" w:tplc="B566A440">
      <w:numFmt w:val="bullet"/>
      <w:lvlText w:val="•"/>
      <w:lvlJc w:val="left"/>
      <w:pPr>
        <w:ind w:left="1826" w:hanging="100"/>
      </w:pPr>
      <w:rPr>
        <w:rFonts w:hint="default"/>
      </w:rPr>
    </w:lvl>
    <w:lvl w:ilvl="8" w:tplc="D452F316">
      <w:numFmt w:val="bullet"/>
      <w:lvlText w:val="•"/>
      <w:lvlJc w:val="left"/>
      <w:pPr>
        <w:ind w:left="2064" w:hanging="100"/>
      </w:pPr>
      <w:rPr>
        <w:rFonts w:hint="default"/>
      </w:rPr>
    </w:lvl>
  </w:abstractNum>
  <w:abstractNum w:abstractNumId="1948" w15:restartNumberingAfterBreak="0">
    <w:nsid w:val="79EA612D"/>
    <w:multiLevelType w:val="hybridMultilevel"/>
    <w:tmpl w:val="B32E9CC8"/>
    <w:lvl w:ilvl="0" w:tplc="27900FCA">
      <w:numFmt w:val="bullet"/>
      <w:lvlText w:val=""/>
      <w:lvlJc w:val="left"/>
      <w:pPr>
        <w:ind w:left="156" w:hanging="100"/>
      </w:pPr>
      <w:rPr>
        <w:rFonts w:ascii="Symbol" w:eastAsia="Symbol" w:hAnsi="Symbol" w:cs="Symbol" w:hint="default"/>
        <w:color w:val="231F20"/>
        <w:w w:val="100"/>
        <w:sz w:val="14"/>
        <w:szCs w:val="14"/>
      </w:rPr>
    </w:lvl>
    <w:lvl w:ilvl="1" w:tplc="1594103C">
      <w:numFmt w:val="bullet"/>
      <w:lvlText w:val="•"/>
      <w:lvlJc w:val="left"/>
      <w:pPr>
        <w:ind w:left="301" w:hanging="100"/>
      </w:pPr>
      <w:rPr>
        <w:rFonts w:hint="default"/>
      </w:rPr>
    </w:lvl>
    <w:lvl w:ilvl="2" w:tplc="4ED0EF9E">
      <w:numFmt w:val="bullet"/>
      <w:lvlText w:val="•"/>
      <w:lvlJc w:val="left"/>
      <w:pPr>
        <w:ind w:left="443" w:hanging="100"/>
      </w:pPr>
      <w:rPr>
        <w:rFonts w:hint="default"/>
      </w:rPr>
    </w:lvl>
    <w:lvl w:ilvl="3" w:tplc="05E8D4D2">
      <w:numFmt w:val="bullet"/>
      <w:lvlText w:val="•"/>
      <w:lvlJc w:val="left"/>
      <w:pPr>
        <w:ind w:left="585" w:hanging="100"/>
      </w:pPr>
      <w:rPr>
        <w:rFonts w:hint="default"/>
      </w:rPr>
    </w:lvl>
    <w:lvl w:ilvl="4" w:tplc="1C9860AA">
      <w:numFmt w:val="bullet"/>
      <w:lvlText w:val="•"/>
      <w:lvlJc w:val="left"/>
      <w:pPr>
        <w:ind w:left="726" w:hanging="100"/>
      </w:pPr>
      <w:rPr>
        <w:rFonts w:hint="default"/>
      </w:rPr>
    </w:lvl>
    <w:lvl w:ilvl="5" w:tplc="AEBA8C50">
      <w:numFmt w:val="bullet"/>
      <w:lvlText w:val="•"/>
      <w:lvlJc w:val="left"/>
      <w:pPr>
        <w:ind w:left="868" w:hanging="100"/>
      </w:pPr>
      <w:rPr>
        <w:rFonts w:hint="default"/>
      </w:rPr>
    </w:lvl>
    <w:lvl w:ilvl="6" w:tplc="48CAF482">
      <w:numFmt w:val="bullet"/>
      <w:lvlText w:val="•"/>
      <w:lvlJc w:val="left"/>
      <w:pPr>
        <w:ind w:left="1010" w:hanging="100"/>
      </w:pPr>
      <w:rPr>
        <w:rFonts w:hint="default"/>
      </w:rPr>
    </w:lvl>
    <w:lvl w:ilvl="7" w:tplc="CFF8DAA6">
      <w:numFmt w:val="bullet"/>
      <w:lvlText w:val="•"/>
      <w:lvlJc w:val="left"/>
      <w:pPr>
        <w:ind w:left="1151" w:hanging="100"/>
      </w:pPr>
      <w:rPr>
        <w:rFonts w:hint="default"/>
      </w:rPr>
    </w:lvl>
    <w:lvl w:ilvl="8" w:tplc="D4E28B3C">
      <w:numFmt w:val="bullet"/>
      <w:lvlText w:val="•"/>
      <w:lvlJc w:val="left"/>
      <w:pPr>
        <w:ind w:left="1293" w:hanging="100"/>
      </w:pPr>
      <w:rPr>
        <w:rFonts w:hint="default"/>
      </w:rPr>
    </w:lvl>
  </w:abstractNum>
  <w:abstractNum w:abstractNumId="1949" w15:restartNumberingAfterBreak="0">
    <w:nsid w:val="79EE7FC1"/>
    <w:multiLevelType w:val="hybridMultilevel"/>
    <w:tmpl w:val="D550D4E6"/>
    <w:lvl w:ilvl="0" w:tplc="FC62FE70">
      <w:numFmt w:val="bullet"/>
      <w:lvlText w:val=""/>
      <w:lvlJc w:val="left"/>
      <w:pPr>
        <w:ind w:left="156" w:hanging="100"/>
      </w:pPr>
      <w:rPr>
        <w:rFonts w:ascii="Symbol" w:eastAsia="Symbol" w:hAnsi="Symbol" w:cs="Symbol" w:hint="default"/>
        <w:color w:val="231F20"/>
        <w:w w:val="100"/>
        <w:sz w:val="14"/>
        <w:szCs w:val="14"/>
      </w:rPr>
    </w:lvl>
    <w:lvl w:ilvl="1" w:tplc="B23C4346">
      <w:numFmt w:val="bullet"/>
      <w:lvlText w:val="•"/>
      <w:lvlJc w:val="left"/>
      <w:pPr>
        <w:ind w:left="398" w:hanging="100"/>
      </w:pPr>
      <w:rPr>
        <w:rFonts w:hint="default"/>
      </w:rPr>
    </w:lvl>
    <w:lvl w:ilvl="2" w:tplc="39A82E30">
      <w:numFmt w:val="bullet"/>
      <w:lvlText w:val="•"/>
      <w:lvlJc w:val="left"/>
      <w:pPr>
        <w:ind w:left="636" w:hanging="100"/>
      </w:pPr>
      <w:rPr>
        <w:rFonts w:hint="default"/>
      </w:rPr>
    </w:lvl>
    <w:lvl w:ilvl="3" w:tplc="59FC8996">
      <w:numFmt w:val="bullet"/>
      <w:lvlText w:val="•"/>
      <w:lvlJc w:val="left"/>
      <w:pPr>
        <w:ind w:left="874" w:hanging="100"/>
      </w:pPr>
      <w:rPr>
        <w:rFonts w:hint="default"/>
      </w:rPr>
    </w:lvl>
    <w:lvl w:ilvl="4" w:tplc="B994DFCE">
      <w:numFmt w:val="bullet"/>
      <w:lvlText w:val="•"/>
      <w:lvlJc w:val="left"/>
      <w:pPr>
        <w:ind w:left="1112" w:hanging="100"/>
      </w:pPr>
      <w:rPr>
        <w:rFonts w:hint="default"/>
      </w:rPr>
    </w:lvl>
    <w:lvl w:ilvl="5" w:tplc="A08C9DD8">
      <w:numFmt w:val="bullet"/>
      <w:lvlText w:val="•"/>
      <w:lvlJc w:val="left"/>
      <w:pPr>
        <w:ind w:left="1350" w:hanging="100"/>
      </w:pPr>
      <w:rPr>
        <w:rFonts w:hint="default"/>
      </w:rPr>
    </w:lvl>
    <w:lvl w:ilvl="6" w:tplc="FDD22B46">
      <w:numFmt w:val="bullet"/>
      <w:lvlText w:val="•"/>
      <w:lvlJc w:val="left"/>
      <w:pPr>
        <w:ind w:left="1588" w:hanging="100"/>
      </w:pPr>
      <w:rPr>
        <w:rFonts w:hint="default"/>
      </w:rPr>
    </w:lvl>
    <w:lvl w:ilvl="7" w:tplc="844E1DCC">
      <w:numFmt w:val="bullet"/>
      <w:lvlText w:val="•"/>
      <w:lvlJc w:val="left"/>
      <w:pPr>
        <w:ind w:left="1826" w:hanging="100"/>
      </w:pPr>
      <w:rPr>
        <w:rFonts w:hint="default"/>
      </w:rPr>
    </w:lvl>
    <w:lvl w:ilvl="8" w:tplc="A05446DE">
      <w:numFmt w:val="bullet"/>
      <w:lvlText w:val="•"/>
      <w:lvlJc w:val="left"/>
      <w:pPr>
        <w:ind w:left="2064" w:hanging="100"/>
      </w:pPr>
      <w:rPr>
        <w:rFonts w:hint="default"/>
      </w:rPr>
    </w:lvl>
  </w:abstractNum>
  <w:abstractNum w:abstractNumId="1950" w15:restartNumberingAfterBreak="0">
    <w:nsid w:val="79FF10DF"/>
    <w:multiLevelType w:val="hybridMultilevel"/>
    <w:tmpl w:val="E7AEA90A"/>
    <w:lvl w:ilvl="0" w:tplc="78B0569C">
      <w:numFmt w:val="bullet"/>
      <w:lvlText w:val=""/>
      <w:lvlJc w:val="left"/>
      <w:pPr>
        <w:ind w:left="156" w:hanging="100"/>
      </w:pPr>
      <w:rPr>
        <w:rFonts w:ascii="Symbol" w:eastAsia="Symbol" w:hAnsi="Symbol" w:cs="Symbol" w:hint="default"/>
        <w:color w:val="231F20"/>
        <w:w w:val="100"/>
        <w:sz w:val="14"/>
        <w:szCs w:val="14"/>
      </w:rPr>
    </w:lvl>
    <w:lvl w:ilvl="1" w:tplc="185267CE">
      <w:numFmt w:val="bullet"/>
      <w:lvlText w:val="•"/>
      <w:lvlJc w:val="left"/>
      <w:pPr>
        <w:ind w:left="398" w:hanging="100"/>
      </w:pPr>
      <w:rPr>
        <w:rFonts w:hint="default"/>
      </w:rPr>
    </w:lvl>
    <w:lvl w:ilvl="2" w:tplc="E5EC1E28">
      <w:numFmt w:val="bullet"/>
      <w:lvlText w:val="•"/>
      <w:lvlJc w:val="left"/>
      <w:pPr>
        <w:ind w:left="636" w:hanging="100"/>
      </w:pPr>
      <w:rPr>
        <w:rFonts w:hint="default"/>
      </w:rPr>
    </w:lvl>
    <w:lvl w:ilvl="3" w:tplc="64545C28">
      <w:numFmt w:val="bullet"/>
      <w:lvlText w:val="•"/>
      <w:lvlJc w:val="left"/>
      <w:pPr>
        <w:ind w:left="874" w:hanging="100"/>
      </w:pPr>
      <w:rPr>
        <w:rFonts w:hint="default"/>
      </w:rPr>
    </w:lvl>
    <w:lvl w:ilvl="4" w:tplc="EA3E0A88">
      <w:numFmt w:val="bullet"/>
      <w:lvlText w:val="•"/>
      <w:lvlJc w:val="left"/>
      <w:pPr>
        <w:ind w:left="1112" w:hanging="100"/>
      </w:pPr>
      <w:rPr>
        <w:rFonts w:hint="default"/>
      </w:rPr>
    </w:lvl>
    <w:lvl w:ilvl="5" w:tplc="8482E94E">
      <w:numFmt w:val="bullet"/>
      <w:lvlText w:val="•"/>
      <w:lvlJc w:val="left"/>
      <w:pPr>
        <w:ind w:left="1350" w:hanging="100"/>
      </w:pPr>
      <w:rPr>
        <w:rFonts w:hint="default"/>
      </w:rPr>
    </w:lvl>
    <w:lvl w:ilvl="6" w:tplc="DA58EABA">
      <w:numFmt w:val="bullet"/>
      <w:lvlText w:val="•"/>
      <w:lvlJc w:val="left"/>
      <w:pPr>
        <w:ind w:left="1588" w:hanging="100"/>
      </w:pPr>
      <w:rPr>
        <w:rFonts w:hint="default"/>
      </w:rPr>
    </w:lvl>
    <w:lvl w:ilvl="7" w:tplc="86FCE736">
      <w:numFmt w:val="bullet"/>
      <w:lvlText w:val="•"/>
      <w:lvlJc w:val="left"/>
      <w:pPr>
        <w:ind w:left="1826" w:hanging="100"/>
      </w:pPr>
      <w:rPr>
        <w:rFonts w:hint="default"/>
      </w:rPr>
    </w:lvl>
    <w:lvl w:ilvl="8" w:tplc="A81A7C7A">
      <w:numFmt w:val="bullet"/>
      <w:lvlText w:val="•"/>
      <w:lvlJc w:val="left"/>
      <w:pPr>
        <w:ind w:left="2064" w:hanging="100"/>
      </w:pPr>
      <w:rPr>
        <w:rFonts w:hint="default"/>
      </w:rPr>
    </w:lvl>
  </w:abstractNum>
  <w:abstractNum w:abstractNumId="1951" w15:restartNumberingAfterBreak="0">
    <w:nsid w:val="7A2416F6"/>
    <w:multiLevelType w:val="hybridMultilevel"/>
    <w:tmpl w:val="1B747E54"/>
    <w:lvl w:ilvl="0" w:tplc="E56CE790">
      <w:numFmt w:val="bullet"/>
      <w:lvlText w:val=""/>
      <w:lvlJc w:val="left"/>
      <w:pPr>
        <w:ind w:left="156" w:hanging="100"/>
      </w:pPr>
      <w:rPr>
        <w:rFonts w:ascii="Symbol" w:eastAsia="Symbol" w:hAnsi="Symbol" w:cs="Symbol" w:hint="default"/>
        <w:color w:val="231F20"/>
        <w:w w:val="100"/>
        <w:sz w:val="14"/>
        <w:szCs w:val="14"/>
      </w:rPr>
    </w:lvl>
    <w:lvl w:ilvl="1" w:tplc="38B03020">
      <w:numFmt w:val="bullet"/>
      <w:lvlText w:val="•"/>
      <w:lvlJc w:val="left"/>
      <w:pPr>
        <w:ind w:left="398" w:hanging="100"/>
      </w:pPr>
      <w:rPr>
        <w:rFonts w:hint="default"/>
      </w:rPr>
    </w:lvl>
    <w:lvl w:ilvl="2" w:tplc="A9826F98">
      <w:numFmt w:val="bullet"/>
      <w:lvlText w:val="•"/>
      <w:lvlJc w:val="left"/>
      <w:pPr>
        <w:ind w:left="636" w:hanging="100"/>
      </w:pPr>
      <w:rPr>
        <w:rFonts w:hint="default"/>
      </w:rPr>
    </w:lvl>
    <w:lvl w:ilvl="3" w:tplc="8020D36A">
      <w:numFmt w:val="bullet"/>
      <w:lvlText w:val="•"/>
      <w:lvlJc w:val="left"/>
      <w:pPr>
        <w:ind w:left="874" w:hanging="100"/>
      </w:pPr>
      <w:rPr>
        <w:rFonts w:hint="default"/>
      </w:rPr>
    </w:lvl>
    <w:lvl w:ilvl="4" w:tplc="48880E32">
      <w:numFmt w:val="bullet"/>
      <w:lvlText w:val="•"/>
      <w:lvlJc w:val="left"/>
      <w:pPr>
        <w:ind w:left="1112" w:hanging="100"/>
      </w:pPr>
      <w:rPr>
        <w:rFonts w:hint="default"/>
      </w:rPr>
    </w:lvl>
    <w:lvl w:ilvl="5" w:tplc="D7987EFA">
      <w:numFmt w:val="bullet"/>
      <w:lvlText w:val="•"/>
      <w:lvlJc w:val="left"/>
      <w:pPr>
        <w:ind w:left="1350" w:hanging="100"/>
      </w:pPr>
      <w:rPr>
        <w:rFonts w:hint="default"/>
      </w:rPr>
    </w:lvl>
    <w:lvl w:ilvl="6" w:tplc="A34ACC9A">
      <w:numFmt w:val="bullet"/>
      <w:lvlText w:val="•"/>
      <w:lvlJc w:val="left"/>
      <w:pPr>
        <w:ind w:left="1588" w:hanging="100"/>
      </w:pPr>
      <w:rPr>
        <w:rFonts w:hint="default"/>
      </w:rPr>
    </w:lvl>
    <w:lvl w:ilvl="7" w:tplc="A6A809F6">
      <w:numFmt w:val="bullet"/>
      <w:lvlText w:val="•"/>
      <w:lvlJc w:val="left"/>
      <w:pPr>
        <w:ind w:left="1826" w:hanging="100"/>
      </w:pPr>
      <w:rPr>
        <w:rFonts w:hint="default"/>
      </w:rPr>
    </w:lvl>
    <w:lvl w:ilvl="8" w:tplc="9C3AFE52">
      <w:numFmt w:val="bullet"/>
      <w:lvlText w:val="•"/>
      <w:lvlJc w:val="left"/>
      <w:pPr>
        <w:ind w:left="2064" w:hanging="100"/>
      </w:pPr>
      <w:rPr>
        <w:rFonts w:hint="default"/>
      </w:rPr>
    </w:lvl>
  </w:abstractNum>
  <w:abstractNum w:abstractNumId="1952" w15:restartNumberingAfterBreak="0">
    <w:nsid w:val="7A294BB6"/>
    <w:multiLevelType w:val="hybridMultilevel"/>
    <w:tmpl w:val="83F60668"/>
    <w:lvl w:ilvl="0" w:tplc="13248E34">
      <w:numFmt w:val="bullet"/>
      <w:lvlText w:val=""/>
      <w:lvlJc w:val="left"/>
      <w:pPr>
        <w:ind w:left="156" w:hanging="100"/>
      </w:pPr>
      <w:rPr>
        <w:rFonts w:ascii="Symbol" w:eastAsia="Symbol" w:hAnsi="Symbol" w:cs="Symbol" w:hint="default"/>
        <w:color w:val="231F20"/>
        <w:w w:val="100"/>
        <w:sz w:val="14"/>
        <w:szCs w:val="14"/>
      </w:rPr>
    </w:lvl>
    <w:lvl w:ilvl="1" w:tplc="DFD454FC">
      <w:numFmt w:val="bullet"/>
      <w:lvlText w:val="•"/>
      <w:lvlJc w:val="left"/>
      <w:pPr>
        <w:ind w:left="398" w:hanging="100"/>
      </w:pPr>
      <w:rPr>
        <w:rFonts w:hint="default"/>
      </w:rPr>
    </w:lvl>
    <w:lvl w:ilvl="2" w:tplc="C80C11D6">
      <w:numFmt w:val="bullet"/>
      <w:lvlText w:val="•"/>
      <w:lvlJc w:val="left"/>
      <w:pPr>
        <w:ind w:left="636" w:hanging="100"/>
      </w:pPr>
      <w:rPr>
        <w:rFonts w:hint="default"/>
      </w:rPr>
    </w:lvl>
    <w:lvl w:ilvl="3" w:tplc="B8A66892">
      <w:numFmt w:val="bullet"/>
      <w:lvlText w:val="•"/>
      <w:lvlJc w:val="left"/>
      <w:pPr>
        <w:ind w:left="874" w:hanging="100"/>
      </w:pPr>
      <w:rPr>
        <w:rFonts w:hint="default"/>
      </w:rPr>
    </w:lvl>
    <w:lvl w:ilvl="4" w:tplc="282099A0">
      <w:numFmt w:val="bullet"/>
      <w:lvlText w:val="•"/>
      <w:lvlJc w:val="left"/>
      <w:pPr>
        <w:ind w:left="1112" w:hanging="100"/>
      </w:pPr>
      <w:rPr>
        <w:rFonts w:hint="default"/>
      </w:rPr>
    </w:lvl>
    <w:lvl w:ilvl="5" w:tplc="FF4A5244">
      <w:numFmt w:val="bullet"/>
      <w:lvlText w:val="•"/>
      <w:lvlJc w:val="left"/>
      <w:pPr>
        <w:ind w:left="1350" w:hanging="100"/>
      </w:pPr>
      <w:rPr>
        <w:rFonts w:hint="default"/>
      </w:rPr>
    </w:lvl>
    <w:lvl w:ilvl="6" w:tplc="94E49560">
      <w:numFmt w:val="bullet"/>
      <w:lvlText w:val="•"/>
      <w:lvlJc w:val="left"/>
      <w:pPr>
        <w:ind w:left="1588" w:hanging="100"/>
      </w:pPr>
      <w:rPr>
        <w:rFonts w:hint="default"/>
      </w:rPr>
    </w:lvl>
    <w:lvl w:ilvl="7" w:tplc="221AA704">
      <w:numFmt w:val="bullet"/>
      <w:lvlText w:val="•"/>
      <w:lvlJc w:val="left"/>
      <w:pPr>
        <w:ind w:left="1826" w:hanging="100"/>
      </w:pPr>
      <w:rPr>
        <w:rFonts w:hint="default"/>
      </w:rPr>
    </w:lvl>
    <w:lvl w:ilvl="8" w:tplc="D56AC1D6">
      <w:numFmt w:val="bullet"/>
      <w:lvlText w:val="•"/>
      <w:lvlJc w:val="left"/>
      <w:pPr>
        <w:ind w:left="2064" w:hanging="100"/>
      </w:pPr>
      <w:rPr>
        <w:rFonts w:hint="default"/>
      </w:rPr>
    </w:lvl>
  </w:abstractNum>
  <w:abstractNum w:abstractNumId="1953" w15:restartNumberingAfterBreak="0">
    <w:nsid w:val="7A4029D4"/>
    <w:multiLevelType w:val="hybridMultilevel"/>
    <w:tmpl w:val="A56A4BC4"/>
    <w:lvl w:ilvl="0" w:tplc="1D1AE76E">
      <w:numFmt w:val="bullet"/>
      <w:lvlText w:val="–"/>
      <w:lvlJc w:val="left"/>
      <w:pPr>
        <w:ind w:left="632" w:hanging="135"/>
      </w:pPr>
      <w:rPr>
        <w:rFonts w:ascii="Times New Roman" w:eastAsia="Times New Roman" w:hAnsi="Times New Roman" w:cs="Times New Roman" w:hint="default"/>
        <w:i/>
        <w:color w:val="231F20"/>
        <w:spacing w:val="-17"/>
        <w:w w:val="100"/>
        <w:sz w:val="18"/>
        <w:szCs w:val="18"/>
      </w:rPr>
    </w:lvl>
    <w:lvl w:ilvl="1" w:tplc="EC609E72">
      <w:numFmt w:val="bullet"/>
      <w:lvlText w:val="•"/>
      <w:lvlJc w:val="left"/>
      <w:pPr>
        <w:ind w:left="1654" w:hanging="135"/>
      </w:pPr>
      <w:rPr>
        <w:rFonts w:hint="default"/>
      </w:rPr>
    </w:lvl>
    <w:lvl w:ilvl="2" w:tplc="0A3271C0">
      <w:numFmt w:val="bullet"/>
      <w:lvlText w:val="•"/>
      <w:lvlJc w:val="left"/>
      <w:pPr>
        <w:ind w:left="2669" w:hanging="135"/>
      </w:pPr>
      <w:rPr>
        <w:rFonts w:hint="default"/>
      </w:rPr>
    </w:lvl>
    <w:lvl w:ilvl="3" w:tplc="4038FC40">
      <w:numFmt w:val="bullet"/>
      <w:lvlText w:val="•"/>
      <w:lvlJc w:val="left"/>
      <w:pPr>
        <w:ind w:left="3683" w:hanging="135"/>
      </w:pPr>
      <w:rPr>
        <w:rFonts w:hint="default"/>
      </w:rPr>
    </w:lvl>
    <w:lvl w:ilvl="4" w:tplc="F0BE6192">
      <w:numFmt w:val="bullet"/>
      <w:lvlText w:val="•"/>
      <w:lvlJc w:val="left"/>
      <w:pPr>
        <w:ind w:left="4698" w:hanging="135"/>
      </w:pPr>
      <w:rPr>
        <w:rFonts w:hint="default"/>
      </w:rPr>
    </w:lvl>
    <w:lvl w:ilvl="5" w:tplc="BB0C3302">
      <w:numFmt w:val="bullet"/>
      <w:lvlText w:val="•"/>
      <w:lvlJc w:val="left"/>
      <w:pPr>
        <w:ind w:left="5712" w:hanging="135"/>
      </w:pPr>
      <w:rPr>
        <w:rFonts w:hint="default"/>
      </w:rPr>
    </w:lvl>
    <w:lvl w:ilvl="6" w:tplc="22FECC2E">
      <w:numFmt w:val="bullet"/>
      <w:lvlText w:val="•"/>
      <w:lvlJc w:val="left"/>
      <w:pPr>
        <w:ind w:left="6727" w:hanging="135"/>
      </w:pPr>
      <w:rPr>
        <w:rFonts w:hint="default"/>
      </w:rPr>
    </w:lvl>
    <w:lvl w:ilvl="7" w:tplc="7F6CBDEE">
      <w:numFmt w:val="bullet"/>
      <w:lvlText w:val="•"/>
      <w:lvlJc w:val="left"/>
      <w:pPr>
        <w:ind w:left="7741" w:hanging="135"/>
      </w:pPr>
      <w:rPr>
        <w:rFonts w:hint="default"/>
      </w:rPr>
    </w:lvl>
    <w:lvl w:ilvl="8" w:tplc="FD240F08">
      <w:numFmt w:val="bullet"/>
      <w:lvlText w:val="•"/>
      <w:lvlJc w:val="left"/>
      <w:pPr>
        <w:ind w:left="8756" w:hanging="135"/>
      </w:pPr>
      <w:rPr>
        <w:rFonts w:hint="default"/>
      </w:rPr>
    </w:lvl>
  </w:abstractNum>
  <w:abstractNum w:abstractNumId="1954" w15:restartNumberingAfterBreak="0">
    <w:nsid w:val="7A4214E7"/>
    <w:multiLevelType w:val="hybridMultilevel"/>
    <w:tmpl w:val="35F0A752"/>
    <w:lvl w:ilvl="0" w:tplc="85DCC608">
      <w:numFmt w:val="bullet"/>
      <w:lvlText w:val=""/>
      <w:lvlJc w:val="left"/>
      <w:pPr>
        <w:ind w:left="156" w:hanging="100"/>
      </w:pPr>
      <w:rPr>
        <w:rFonts w:ascii="Symbol" w:eastAsia="Symbol" w:hAnsi="Symbol" w:cs="Symbol" w:hint="default"/>
        <w:color w:val="231F20"/>
        <w:w w:val="100"/>
        <w:sz w:val="14"/>
        <w:szCs w:val="14"/>
      </w:rPr>
    </w:lvl>
    <w:lvl w:ilvl="1" w:tplc="928A1A84">
      <w:numFmt w:val="bullet"/>
      <w:lvlText w:val="•"/>
      <w:lvlJc w:val="left"/>
      <w:pPr>
        <w:ind w:left="301" w:hanging="100"/>
      </w:pPr>
      <w:rPr>
        <w:rFonts w:hint="default"/>
      </w:rPr>
    </w:lvl>
    <w:lvl w:ilvl="2" w:tplc="98E402A0">
      <w:numFmt w:val="bullet"/>
      <w:lvlText w:val="•"/>
      <w:lvlJc w:val="left"/>
      <w:pPr>
        <w:ind w:left="443" w:hanging="100"/>
      </w:pPr>
      <w:rPr>
        <w:rFonts w:hint="default"/>
      </w:rPr>
    </w:lvl>
    <w:lvl w:ilvl="3" w:tplc="FA2637A4">
      <w:numFmt w:val="bullet"/>
      <w:lvlText w:val="•"/>
      <w:lvlJc w:val="left"/>
      <w:pPr>
        <w:ind w:left="585" w:hanging="100"/>
      </w:pPr>
      <w:rPr>
        <w:rFonts w:hint="default"/>
      </w:rPr>
    </w:lvl>
    <w:lvl w:ilvl="4" w:tplc="FAD4383A">
      <w:numFmt w:val="bullet"/>
      <w:lvlText w:val="•"/>
      <w:lvlJc w:val="left"/>
      <w:pPr>
        <w:ind w:left="726" w:hanging="100"/>
      </w:pPr>
      <w:rPr>
        <w:rFonts w:hint="default"/>
      </w:rPr>
    </w:lvl>
    <w:lvl w:ilvl="5" w:tplc="58788B64">
      <w:numFmt w:val="bullet"/>
      <w:lvlText w:val="•"/>
      <w:lvlJc w:val="left"/>
      <w:pPr>
        <w:ind w:left="868" w:hanging="100"/>
      </w:pPr>
      <w:rPr>
        <w:rFonts w:hint="default"/>
      </w:rPr>
    </w:lvl>
    <w:lvl w:ilvl="6" w:tplc="0910EFE0">
      <w:numFmt w:val="bullet"/>
      <w:lvlText w:val="•"/>
      <w:lvlJc w:val="left"/>
      <w:pPr>
        <w:ind w:left="1010" w:hanging="100"/>
      </w:pPr>
      <w:rPr>
        <w:rFonts w:hint="default"/>
      </w:rPr>
    </w:lvl>
    <w:lvl w:ilvl="7" w:tplc="EA02F194">
      <w:numFmt w:val="bullet"/>
      <w:lvlText w:val="•"/>
      <w:lvlJc w:val="left"/>
      <w:pPr>
        <w:ind w:left="1151" w:hanging="100"/>
      </w:pPr>
      <w:rPr>
        <w:rFonts w:hint="default"/>
      </w:rPr>
    </w:lvl>
    <w:lvl w:ilvl="8" w:tplc="6694A0B0">
      <w:numFmt w:val="bullet"/>
      <w:lvlText w:val="•"/>
      <w:lvlJc w:val="left"/>
      <w:pPr>
        <w:ind w:left="1293" w:hanging="100"/>
      </w:pPr>
      <w:rPr>
        <w:rFonts w:hint="default"/>
      </w:rPr>
    </w:lvl>
  </w:abstractNum>
  <w:abstractNum w:abstractNumId="1955" w15:restartNumberingAfterBreak="0">
    <w:nsid w:val="7A4C0D79"/>
    <w:multiLevelType w:val="hybridMultilevel"/>
    <w:tmpl w:val="1CB6B94A"/>
    <w:lvl w:ilvl="0" w:tplc="FCB8D598">
      <w:numFmt w:val="bullet"/>
      <w:lvlText w:val=""/>
      <w:lvlJc w:val="left"/>
      <w:pPr>
        <w:ind w:left="157" w:hanging="100"/>
      </w:pPr>
      <w:rPr>
        <w:rFonts w:ascii="Symbol" w:eastAsia="Symbol" w:hAnsi="Symbol" w:cs="Symbol" w:hint="default"/>
        <w:color w:val="231F20"/>
        <w:w w:val="100"/>
        <w:sz w:val="14"/>
        <w:szCs w:val="14"/>
      </w:rPr>
    </w:lvl>
    <w:lvl w:ilvl="1" w:tplc="D7B4D3FC">
      <w:numFmt w:val="bullet"/>
      <w:lvlText w:val="•"/>
      <w:lvlJc w:val="left"/>
      <w:pPr>
        <w:ind w:left="369" w:hanging="100"/>
      </w:pPr>
      <w:rPr>
        <w:rFonts w:hint="default"/>
      </w:rPr>
    </w:lvl>
    <w:lvl w:ilvl="2" w:tplc="25708970">
      <w:numFmt w:val="bullet"/>
      <w:lvlText w:val="•"/>
      <w:lvlJc w:val="left"/>
      <w:pPr>
        <w:ind w:left="579" w:hanging="100"/>
      </w:pPr>
      <w:rPr>
        <w:rFonts w:hint="default"/>
      </w:rPr>
    </w:lvl>
    <w:lvl w:ilvl="3" w:tplc="270425C0">
      <w:numFmt w:val="bullet"/>
      <w:lvlText w:val="•"/>
      <w:lvlJc w:val="left"/>
      <w:pPr>
        <w:ind w:left="789" w:hanging="100"/>
      </w:pPr>
      <w:rPr>
        <w:rFonts w:hint="default"/>
      </w:rPr>
    </w:lvl>
    <w:lvl w:ilvl="4" w:tplc="951840B6">
      <w:numFmt w:val="bullet"/>
      <w:lvlText w:val="•"/>
      <w:lvlJc w:val="left"/>
      <w:pPr>
        <w:ind w:left="998" w:hanging="100"/>
      </w:pPr>
      <w:rPr>
        <w:rFonts w:hint="default"/>
      </w:rPr>
    </w:lvl>
    <w:lvl w:ilvl="5" w:tplc="F13E8790">
      <w:numFmt w:val="bullet"/>
      <w:lvlText w:val="•"/>
      <w:lvlJc w:val="left"/>
      <w:pPr>
        <w:ind w:left="1208" w:hanging="100"/>
      </w:pPr>
      <w:rPr>
        <w:rFonts w:hint="default"/>
      </w:rPr>
    </w:lvl>
    <w:lvl w:ilvl="6" w:tplc="11FC6348">
      <w:numFmt w:val="bullet"/>
      <w:lvlText w:val="•"/>
      <w:lvlJc w:val="left"/>
      <w:pPr>
        <w:ind w:left="1418" w:hanging="100"/>
      </w:pPr>
      <w:rPr>
        <w:rFonts w:hint="default"/>
      </w:rPr>
    </w:lvl>
    <w:lvl w:ilvl="7" w:tplc="25D6F1A2">
      <w:numFmt w:val="bullet"/>
      <w:lvlText w:val="•"/>
      <w:lvlJc w:val="left"/>
      <w:pPr>
        <w:ind w:left="1627" w:hanging="100"/>
      </w:pPr>
      <w:rPr>
        <w:rFonts w:hint="default"/>
      </w:rPr>
    </w:lvl>
    <w:lvl w:ilvl="8" w:tplc="8C76FDBA">
      <w:numFmt w:val="bullet"/>
      <w:lvlText w:val="•"/>
      <w:lvlJc w:val="left"/>
      <w:pPr>
        <w:ind w:left="1837" w:hanging="100"/>
      </w:pPr>
      <w:rPr>
        <w:rFonts w:hint="default"/>
      </w:rPr>
    </w:lvl>
  </w:abstractNum>
  <w:abstractNum w:abstractNumId="1956" w15:restartNumberingAfterBreak="0">
    <w:nsid w:val="7A5E47F9"/>
    <w:multiLevelType w:val="hybridMultilevel"/>
    <w:tmpl w:val="DAD814BC"/>
    <w:lvl w:ilvl="0" w:tplc="F7E46E20">
      <w:numFmt w:val="bullet"/>
      <w:lvlText w:val=""/>
      <w:lvlJc w:val="left"/>
      <w:pPr>
        <w:ind w:left="156" w:hanging="100"/>
      </w:pPr>
      <w:rPr>
        <w:rFonts w:ascii="Symbol" w:eastAsia="Symbol" w:hAnsi="Symbol" w:cs="Symbol" w:hint="default"/>
        <w:color w:val="231F20"/>
        <w:w w:val="100"/>
        <w:sz w:val="14"/>
        <w:szCs w:val="14"/>
      </w:rPr>
    </w:lvl>
    <w:lvl w:ilvl="1" w:tplc="3D484DDA">
      <w:numFmt w:val="bullet"/>
      <w:lvlText w:val="•"/>
      <w:lvlJc w:val="left"/>
      <w:pPr>
        <w:ind w:left="301" w:hanging="100"/>
      </w:pPr>
      <w:rPr>
        <w:rFonts w:hint="default"/>
      </w:rPr>
    </w:lvl>
    <w:lvl w:ilvl="2" w:tplc="14160948">
      <w:numFmt w:val="bullet"/>
      <w:lvlText w:val="•"/>
      <w:lvlJc w:val="left"/>
      <w:pPr>
        <w:ind w:left="443" w:hanging="100"/>
      </w:pPr>
      <w:rPr>
        <w:rFonts w:hint="default"/>
      </w:rPr>
    </w:lvl>
    <w:lvl w:ilvl="3" w:tplc="51D8330C">
      <w:numFmt w:val="bullet"/>
      <w:lvlText w:val="•"/>
      <w:lvlJc w:val="left"/>
      <w:pPr>
        <w:ind w:left="585" w:hanging="100"/>
      </w:pPr>
      <w:rPr>
        <w:rFonts w:hint="default"/>
      </w:rPr>
    </w:lvl>
    <w:lvl w:ilvl="4" w:tplc="D02471B8">
      <w:numFmt w:val="bullet"/>
      <w:lvlText w:val="•"/>
      <w:lvlJc w:val="left"/>
      <w:pPr>
        <w:ind w:left="726" w:hanging="100"/>
      </w:pPr>
      <w:rPr>
        <w:rFonts w:hint="default"/>
      </w:rPr>
    </w:lvl>
    <w:lvl w:ilvl="5" w:tplc="0B5E86A6">
      <w:numFmt w:val="bullet"/>
      <w:lvlText w:val="•"/>
      <w:lvlJc w:val="left"/>
      <w:pPr>
        <w:ind w:left="868" w:hanging="100"/>
      </w:pPr>
      <w:rPr>
        <w:rFonts w:hint="default"/>
      </w:rPr>
    </w:lvl>
    <w:lvl w:ilvl="6" w:tplc="31642926">
      <w:numFmt w:val="bullet"/>
      <w:lvlText w:val="•"/>
      <w:lvlJc w:val="left"/>
      <w:pPr>
        <w:ind w:left="1010" w:hanging="100"/>
      </w:pPr>
      <w:rPr>
        <w:rFonts w:hint="default"/>
      </w:rPr>
    </w:lvl>
    <w:lvl w:ilvl="7" w:tplc="E320D2B6">
      <w:numFmt w:val="bullet"/>
      <w:lvlText w:val="•"/>
      <w:lvlJc w:val="left"/>
      <w:pPr>
        <w:ind w:left="1151" w:hanging="100"/>
      </w:pPr>
      <w:rPr>
        <w:rFonts w:hint="default"/>
      </w:rPr>
    </w:lvl>
    <w:lvl w:ilvl="8" w:tplc="08088A12">
      <w:numFmt w:val="bullet"/>
      <w:lvlText w:val="•"/>
      <w:lvlJc w:val="left"/>
      <w:pPr>
        <w:ind w:left="1293" w:hanging="100"/>
      </w:pPr>
      <w:rPr>
        <w:rFonts w:hint="default"/>
      </w:rPr>
    </w:lvl>
  </w:abstractNum>
  <w:abstractNum w:abstractNumId="1957" w15:restartNumberingAfterBreak="0">
    <w:nsid w:val="7A8168FB"/>
    <w:multiLevelType w:val="hybridMultilevel"/>
    <w:tmpl w:val="52260FA4"/>
    <w:lvl w:ilvl="0" w:tplc="4DCE299E">
      <w:numFmt w:val="bullet"/>
      <w:lvlText w:val=""/>
      <w:lvlJc w:val="left"/>
      <w:pPr>
        <w:ind w:left="157" w:hanging="100"/>
      </w:pPr>
      <w:rPr>
        <w:rFonts w:ascii="Symbol" w:eastAsia="Symbol" w:hAnsi="Symbol" w:cs="Symbol" w:hint="default"/>
        <w:color w:val="231F20"/>
        <w:w w:val="100"/>
        <w:sz w:val="14"/>
        <w:szCs w:val="14"/>
      </w:rPr>
    </w:lvl>
    <w:lvl w:ilvl="1" w:tplc="E3FE16FA">
      <w:numFmt w:val="bullet"/>
      <w:lvlText w:val="•"/>
      <w:lvlJc w:val="left"/>
      <w:pPr>
        <w:ind w:left="369" w:hanging="100"/>
      </w:pPr>
      <w:rPr>
        <w:rFonts w:hint="default"/>
      </w:rPr>
    </w:lvl>
    <w:lvl w:ilvl="2" w:tplc="C3705BC8">
      <w:numFmt w:val="bullet"/>
      <w:lvlText w:val="•"/>
      <w:lvlJc w:val="left"/>
      <w:pPr>
        <w:ind w:left="579" w:hanging="100"/>
      </w:pPr>
      <w:rPr>
        <w:rFonts w:hint="default"/>
      </w:rPr>
    </w:lvl>
    <w:lvl w:ilvl="3" w:tplc="5E625536">
      <w:numFmt w:val="bullet"/>
      <w:lvlText w:val="•"/>
      <w:lvlJc w:val="left"/>
      <w:pPr>
        <w:ind w:left="789" w:hanging="100"/>
      </w:pPr>
      <w:rPr>
        <w:rFonts w:hint="default"/>
      </w:rPr>
    </w:lvl>
    <w:lvl w:ilvl="4" w:tplc="77CEBF76">
      <w:numFmt w:val="bullet"/>
      <w:lvlText w:val="•"/>
      <w:lvlJc w:val="left"/>
      <w:pPr>
        <w:ind w:left="998" w:hanging="100"/>
      </w:pPr>
      <w:rPr>
        <w:rFonts w:hint="default"/>
      </w:rPr>
    </w:lvl>
    <w:lvl w:ilvl="5" w:tplc="8E62A77A">
      <w:numFmt w:val="bullet"/>
      <w:lvlText w:val="•"/>
      <w:lvlJc w:val="left"/>
      <w:pPr>
        <w:ind w:left="1208" w:hanging="100"/>
      </w:pPr>
      <w:rPr>
        <w:rFonts w:hint="default"/>
      </w:rPr>
    </w:lvl>
    <w:lvl w:ilvl="6" w:tplc="9B22F7D2">
      <w:numFmt w:val="bullet"/>
      <w:lvlText w:val="•"/>
      <w:lvlJc w:val="left"/>
      <w:pPr>
        <w:ind w:left="1418" w:hanging="100"/>
      </w:pPr>
      <w:rPr>
        <w:rFonts w:hint="default"/>
      </w:rPr>
    </w:lvl>
    <w:lvl w:ilvl="7" w:tplc="ED3001D0">
      <w:numFmt w:val="bullet"/>
      <w:lvlText w:val="•"/>
      <w:lvlJc w:val="left"/>
      <w:pPr>
        <w:ind w:left="1627" w:hanging="100"/>
      </w:pPr>
      <w:rPr>
        <w:rFonts w:hint="default"/>
      </w:rPr>
    </w:lvl>
    <w:lvl w:ilvl="8" w:tplc="04CA01FC">
      <w:numFmt w:val="bullet"/>
      <w:lvlText w:val="•"/>
      <w:lvlJc w:val="left"/>
      <w:pPr>
        <w:ind w:left="1837" w:hanging="100"/>
      </w:pPr>
      <w:rPr>
        <w:rFonts w:hint="default"/>
      </w:rPr>
    </w:lvl>
  </w:abstractNum>
  <w:abstractNum w:abstractNumId="1958" w15:restartNumberingAfterBreak="0">
    <w:nsid w:val="7A852114"/>
    <w:multiLevelType w:val="hybridMultilevel"/>
    <w:tmpl w:val="47E44D1C"/>
    <w:lvl w:ilvl="0" w:tplc="98C89B76">
      <w:numFmt w:val="bullet"/>
      <w:lvlText w:val=""/>
      <w:lvlJc w:val="left"/>
      <w:pPr>
        <w:ind w:left="157" w:hanging="100"/>
      </w:pPr>
      <w:rPr>
        <w:rFonts w:ascii="Symbol" w:eastAsia="Symbol" w:hAnsi="Symbol" w:cs="Symbol" w:hint="default"/>
        <w:color w:val="231F20"/>
        <w:w w:val="100"/>
        <w:sz w:val="14"/>
        <w:szCs w:val="14"/>
      </w:rPr>
    </w:lvl>
    <w:lvl w:ilvl="1" w:tplc="7F30C2A4">
      <w:numFmt w:val="bullet"/>
      <w:lvlText w:val="•"/>
      <w:lvlJc w:val="left"/>
      <w:pPr>
        <w:ind w:left="426" w:hanging="100"/>
      </w:pPr>
      <w:rPr>
        <w:rFonts w:hint="default"/>
      </w:rPr>
    </w:lvl>
    <w:lvl w:ilvl="2" w:tplc="8DEE4EE4">
      <w:numFmt w:val="bullet"/>
      <w:lvlText w:val="•"/>
      <w:lvlJc w:val="left"/>
      <w:pPr>
        <w:ind w:left="692" w:hanging="100"/>
      </w:pPr>
      <w:rPr>
        <w:rFonts w:hint="default"/>
      </w:rPr>
    </w:lvl>
    <w:lvl w:ilvl="3" w:tplc="F49477A2">
      <w:numFmt w:val="bullet"/>
      <w:lvlText w:val="•"/>
      <w:lvlJc w:val="left"/>
      <w:pPr>
        <w:ind w:left="959" w:hanging="100"/>
      </w:pPr>
      <w:rPr>
        <w:rFonts w:hint="default"/>
      </w:rPr>
    </w:lvl>
    <w:lvl w:ilvl="4" w:tplc="1958C49A">
      <w:numFmt w:val="bullet"/>
      <w:lvlText w:val="•"/>
      <w:lvlJc w:val="left"/>
      <w:pPr>
        <w:ind w:left="1225" w:hanging="100"/>
      </w:pPr>
      <w:rPr>
        <w:rFonts w:hint="default"/>
      </w:rPr>
    </w:lvl>
    <w:lvl w:ilvl="5" w:tplc="DA2EC758">
      <w:numFmt w:val="bullet"/>
      <w:lvlText w:val="•"/>
      <w:lvlJc w:val="left"/>
      <w:pPr>
        <w:ind w:left="1492" w:hanging="100"/>
      </w:pPr>
      <w:rPr>
        <w:rFonts w:hint="default"/>
      </w:rPr>
    </w:lvl>
    <w:lvl w:ilvl="6" w:tplc="1FD216AA">
      <w:numFmt w:val="bullet"/>
      <w:lvlText w:val="•"/>
      <w:lvlJc w:val="left"/>
      <w:pPr>
        <w:ind w:left="1758" w:hanging="100"/>
      </w:pPr>
      <w:rPr>
        <w:rFonts w:hint="default"/>
      </w:rPr>
    </w:lvl>
    <w:lvl w:ilvl="7" w:tplc="FF88BB26">
      <w:numFmt w:val="bullet"/>
      <w:lvlText w:val="•"/>
      <w:lvlJc w:val="left"/>
      <w:pPr>
        <w:ind w:left="2024" w:hanging="100"/>
      </w:pPr>
      <w:rPr>
        <w:rFonts w:hint="default"/>
      </w:rPr>
    </w:lvl>
    <w:lvl w:ilvl="8" w:tplc="1D06B272">
      <w:numFmt w:val="bullet"/>
      <w:lvlText w:val="•"/>
      <w:lvlJc w:val="left"/>
      <w:pPr>
        <w:ind w:left="2291" w:hanging="100"/>
      </w:pPr>
      <w:rPr>
        <w:rFonts w:hint="default"/>
      </w:rPr>
    </w:lvl>
  </w:abstractNum>
  <w:abstractNum w:abstractNumId="1959" w15:restartNumberingAfterBreak="0">
    <w:nsid w:val="7AA1346F"/>
    <w:multiLevelType w:val="hybridMultilevel"/>
    <w:tmpl w:val="9A30BC26"/>
    <w:lvl w:ilvl="0" w:tplc="AB30FCCC">
      <w:numFmt w:val="bullet"/>
      <w:lvlText w:val=""/>
      <w:lvlJc w:val="left"/>
      <w:pPr>
        <w:ind w:left="156" w:hanging="100"/>
      </w:pPr>
      <w:rPr>
        <w:rFonts w:ascii="Symbol" w:eastAsia="Symbol" w:hAnsi="Symbol" w:cs="Symbol" w:hint="default"/>
        <w:color w:val="231F20"/>
        <w:w w:val="100"/>
        <w:sz w:val="14"/>
        <w:szCs w:val="14"/>
      </w:rPr>
    </w:lvl>
    <w:lvl w:ilvl="1" w:tplc="D716F582">
      <w:numFmt w:val="bullet"/>
      <w:lvlText w:val="•"/>
      <w:lvlJc w:val="left"/>
      <w:pPr>
        <w:ind w:left="301" w:hanging="100"/>
      </w:pPr>
      <w:rPr>
        <w:rFonts w:hint="default"/>
      </w:rPr>
    </w:lvl>
    <w:lvl w:ilvl="2" w:tplc="38A0D52C">
      <w:numFmt w:val="bullet"/>
      <w:lvlText w:val="•"/>
      <w:lvlJc w:val="left"/>
      <w:pPr>
        <w:ind w:left="443" w:hanging="100"/>
      </w:pPr>
      <w:rPr>
        <w:rFonts w:hint="default"/>
      </w:rPr>
    </w:lvl>
    <w:lvl w:ilvl="3" w:tplc="7D8A9B7C">
      <w:numFmt w:val="bullet"/>
      <w:lvlText w:val="•"/>
      <w:lvlJc w:val="left"/>
      <w:pPr>
        <w:ind w:left="585" w:hanging="100"/>
      </w:pPr>
      <w:rPr>
        <w:rFonts w:hint="default"/>
      </w:rPr>
    </w:lvl>
    <w:lvl w:ilvl="4" w:tplc="8FB8EDB8">
      <w:numFmt w:val="bullet"/>
      <w:lvlText w:val="•"/>
      <w:lvlJc w:val="left"/>
      <w:pPr>
        <w:ind w:left="726" w:hanging="100"/>
      </w:pPr>
      <w:rPr>
        <w:rFonts w:hint="default"/>
      </w:rPr>
    </w:lvl>
    <w:lvl w:ilvl="5" w:tplc="70FCFC6A">
      <w:numFmt w:val="bullet"/>
      <w:lvlText w:val="•"/>
      <w:lvlJc w:val="left"/>
      <w:pPr>
        <w:ind w:left="868" w:hanging="100"/>
      </w:pPr>
      <w:rPr>
        <w:rFonts w:hint="default"/>
      </w:rPr>
    </w:lvl>
    <w:lvl w:ilvl="6" w:tplc="FB28FADE">
      <w:numFmt w:val="bullet"/>
      <w:lvlText w:val="•"/>
      <w:lvlJc w:val="left"/>
      <w:pPr>
        <w:ind w:left="1010" w:hanging="100"/>
      </w:pPr>
      <w:rPr>
        <w:rFonts w:hint="default"/>
      </w:rPr>
    </w:lvl>
    <w:lvl w:ilvl="7" w:tplc="D3C60FEC">
      <w:numFmt w:val="bullet"/>
      <w:lvlText w:val="•"/>
      <w:lvlJc w:val="left"/>
      <w:pPr>
        <w:ind w:left="1151" w:hanging="100"/>
      </w:pPr>
      <w:rPr>
        <w:rFonts w:hint="default"/>
      </w:rPr>
    </w:lvl>
    <w:lvl w:ilvl="8" w:tplc="3CAA97FE">
      <w:numFmt w:val="bullet"/>
      <w:lvlText w:val="•"/>
      <w:lvlJc w:val="left"/>
      <w:pPr>
        <w:ind w:left="1293" w:hanging="100"/>
      </w:pPr>
      <w:rPr>
        <w:rFonts w:hint="default"/>
      </w:rPr>
    </w:lvl>
  </w:abstractNum>
  <w:abstractNum w:abstractNumId="1960" w15:restartNumberingAfterBreak="0">
    <w:nsid w:val="7AA72556"/>
    <w:multiLevelType w:val="hybridMultilevel"/>
    <w:tmpl w:val="12AA4176"/>
    <w:lvl w:ilvl="0" w:tplc="B834426C">
      <w:numFmt w:val="bullet"/>
      <w:lvlText w:val=""/>
      <w:lvlJc w:val="left"/>
      <w:pPr>
        <w:ind w:left="156" w:hanging="100"/>
      </w:pPr>
      <w:rPr>
        <w:rFonts w:ascii="Symbol" w:eastAsia="Symbol" w:hAnsi="Symbol" w:cs="Symbol" w:hint="default"/>
        <w:color w:val="231F20"/>
        <w:w w:val="100"/>
        <w:sz w:val="14"/>
        <w:szCs w:val="14"/>
      </w:rPr>
    </w:lvl>
    <w:lvl w:ilvl="1" w:tplc="A2F87FF8">
      <w:numFmt w:val="bullet"/>
      <w:lvlText w:val="•"/>
      <w:lvlJc w:val="left"/>
      <w:pPr>
        <w:ind w:left="301" w:hanging="100"/>
      </w:pPr>
      <w:rPr>
        <w:rFonts w:hint="default"/>
      </w:rPr>
    </w:lvl>
    <w:lvl w:ilvl="2" w:tplc="EAE4C5F6">
      <w:numFmt w:val="bullet"/>
      <w:lvlText w:val="•"/>
      <w:lvlJc w:val="left"/>
      <w:pPr>
        <w:ind w:left="443" w:hanging="100"/>
      </w:pPr>
      <w:rPr>
        <w:rFonts w:hint="default"/>
      </w:rPr>
    </w:lvl>
    <w:lvl w:ilvl="3" w:tplc="044E7682">
      <w:numFmt w:val="bullet"/>
      <w:lvlText w:val="•"/>
      <w:lvlJc w:val="left"/>
      <w:pPr>
        <w:ind w:left="585" w:hanging="100"/>
      </w:pPr>
      <w:rPr>
        <w:rFonts w:hint="default"/>
      </w:rPr>
    </w:lvl>
    <w:lvl w:ilvl="4" w:tplc="C4C8B218">
      <w:numFmt w:val="bullet"/>
      <w:lvlText w:val="•"/>
      <w:lvlJc w:val="left"/>
      <w:pPr>
        <w:ind w:left="726" w:hanging="100"/>
      </w:pPr>
      <w:rPr>
        <w:rFonts w:hint="default"/>
      </w:rPr>
    </w:lvl>
    <w:lvl w:ilvl="5" w:tplc="BE7AD600">
      <w:numFmt w:val="bullet"/>
      <w:lvlText w:val="•"/>
      <w:lvlJc w:val="left"/>
      <w:pPr>
        <w:ind w:left="868" w:hanging="100"/>
      </w:pPr>
      <w:rPr>
        <w:rFonts w:hint="default"/>
      </w:rPr>
    </w:lvl>
    <w:lvl w:ilvl="6" w:tplc="3B545BA4">
      <w:numFmt w:val="bullet"/>
      <w:lvlText w:val="•"/>
      <w:lvlJc w:val="left"/>
      <w:pPr>
        <w:ind w:left="1010" w:hanging="100"/>
      </w:pPr>
      <w:rPr>
        <w:rFonts w:hint="default"/>
      </w:rPr>
    </w:lvl>
    <w:lvl w:ilvl="7" w:tplc="1B48E32E">
      <w:numFmt w:val="bullet"/>
      <w:lvlText w:val="•"/>
      <w:lvlJc w:val="left"/>
      <w:pPr>
        <w:ind w:left="1151" w:hanging="100"/>
      </w:pPr>
      <w:rPr>
        <w:rFonts w:hint="default"/>
      </w:rPr>
    </w:lvl>
    <w:lvl w:ilvl="8" w:tplc="12AA4760">
      <w:numFmt w:val="bullet"/>
      <w:lvlText w:val="•"/>
      <w:lvlJc w:val="left"/>
      <w:pPr>
        <w:ind w:left="1293" w:hanging="100"/>
      </w:pPr>
      <w:rPr>
        <w:rFonts w:hint="default"/>
      </w:rPr>
    </w:lvl>
  </w:abstractNum>
  <w:abstractNum w:abstractNumId="1961" w15:restartNumberingAfterBreak="0">
    <w:nsid w:val="7ABC5608"/>
    <w:multiLevelType w:val="hybridMultilevel"/>
    <w:tmpl w:val="8764785C"/>
    <w:lvl w:ilvl="0" w:tplc="C27A7250">
      <w:numFmt w:val="bullet"/>
      <w:lvlText w:val=""/>
      <w:lvlJc w:val="left"/>
      <w:pPr>
        <w:ind w:left="156" w:hanging="100"/>
      </w:pPr>
      <w:rPr>
        <w:rFonts w:ascii="Symbol" w:eastAsia="Symbol" w:hAnsi="Symbol" w:cs="Symbol" w:hint="default"/>
        <w:color w:val="231F20"/>
        <w:w w:val="100"/>
        <w:sz w:val="14"/>
        <w:szCs w:val="14"/>
      </w:rPr>
    </w:lvl>
    <w:lvl w:ilvl="1" w:tplc="CB146598">
      <w:numFmt w:val="bullet"/>
      <w:lvlText w:val="•"/>
      <w:lvlJc w:val="left"/>
      <w:pPr>
        <w:ind w:left="426" w:hanging="100"/>
      </w:pPr>
      <w:rPr>
        <w:rFonts w:hint="default"/>
      </w:rPr>
    </w:lvl>
    <w:lvl w:ilvl="2" w:tplc="190C632A">
      <w:numFmt w:val="bullet"/>
      <w:lvlText w:val="•"/>
      <w:lvlJc w:val="left"/>
      <w:pPr>
        <w:ind w:left="692" w:hanging="100"/>
      </w:pPr>
      <w:rPr>
        <w:rFonts w:hint="default"/>
      </w:rPr>
    </w:lvl>
    <w:lvl w:ilvl="3" w:tplc="B8A0869C">
      <w:numFmt w:val="bullet"/>
      <w:lvlText w:val="•"/>
      <w:lvlJc w:val="left"/>
      <w:pPr>
        <w:ind w:left="959" w:hanging="100"/>
      </w:pPr>
      <w:rPr>
        <w:rFonts w:hint="default"/>
      </w:rPr>
    </w:lvl>
    <w:lvl w:ilvl="4" w:tplc="A34E7858">
      <w:numFmt w:val="bullet"/>
      <w:lvlText w:val="•"/>
      <w:lvlJc w:val="left"/>
      <w:pPr>
        <w:ind w:left="1225" w:hanging="100"/>
      </w:pPr>
      <w:rPr>
        <w:rFonts w:hint="default"/>
      </w:rPr>
    </w:lvl>
    <w:lvl w:ilvl="5" w:tplc="5FD84620">
      <w:numFmt w:val="bullet"/>
      <w:lvlText w:val="•"/>
      <w:lvlJc w:val="left"/>
      <w:pPr>
        <w:ind w:left="1492" w:hanging="100"/>
      </w:pPr>
      <w:rPr>
        <w:rFonts w:hint="default"/>
      </w:rPr>
    </w:lvl>
    <w:lvl w:ilvl="6" w:tplc="A80C4522">
      <w:numFmt w:val="bullet"/>
      <w:lvlText w:val="•"/>
      <w:lvlJc w:val="left"/>
      <w:pPr>
        <w:ind w:left="1758" w:hanging="100"/>
      </w:pPr>
      <w:rPr>
        <w:rFonts w:hint="default"/>
      </w:rPr>
    </w:lvl>
    <w:lvl w:ilvl="7" w:tplc="79BEFE00">
      <w:numFmt w:val="bullet"/>
      <w:lvlText w:val="•"/>
      <w:lvlJc w:val="left"/>
      <w:pPr>
        <w:ind w:left="2024" w:hanging="100"/>
      </w:pPr>
      <w:rPr>
        <w:rFonts w:hint="default"/>
      </w:rPr>
    </w:lvl>
    <w:lvl w:ilvl="8" w:tplc="D1C618B6">
      <w:numFmt w:val="bullet"/>
      <w:lvlText w:val="•"/>
      <w:lvlJc w:val="left"/>
      <w:pPr>
        <w:ind w:left="2291" w:hanging="100"/>
      </w:pPr>
      <w:rPr>
        <w:rFonts w:hint="default"/>
      </w:rPr>
    </w:lvl>
  </w:abstractNum>
  <w:abstractNum w:abstractNumId="1962" w15:restartNumberingAfterBreak="0">
    <w:nsid w:val="7ABF4A80"/>
    <w:multiLevelType w:val="hybridMultilevel"/>
    <w:tmpl w:val="B01E17D8"/>
    <w:lvl w:ilvl="0" w:tplc="3F42152C">
      <w:numFmt w:val="bullet"/>
      <w:lvlText w:val=""/>
      <w:lvlJc w:val="left"/>
      <w:pPr>
        <w:ind w:left="157" w:hanging="100"/>
      </w:pPr>
      <w:rPr>
        <w:rFonts w:ascii="Symbol" w:eastAsia="Symbol" w:hAnsi="Symbol" w:cs="Symbol" w:hint="default"/>
        <w:color w:val="231F20"/>
        <w:w w:val="100"/>
        <w:sz w:val="14"/>
        <w:szCs w:val="14"/>
      </w:rPr>
    </w:lvl>
    <w:lvl w:ilvl="1" w:tplc="A260B54A">
      <w:numFmt w:val="bullet"/>
      <w:lvlText w:val="•"/>
      <w:lvlJc w:val="left"/>
      <w:pPr>
        <w:ind w:left="426" w:hanging="100"/>
      </w:pPr>
      <w:rPr>
        <w:rFonts w:hint="default"/>
      </w:rPr>
    </w:lvl>
    <w:lvl w:ilvl="2" w:tplc="7E2011E8">
      <w:numFmt w:val="bullet"/>
      <w:lvlText w:val="•"/>
      <w:lvlJc w:val="left"/>
      <w:pPr>
        <w:ind w:left="692" w:hanging="100"/>
      </w:pPr>
      <w:rPr>
        <w:rFonts w:hint="default"/>
      </w:rPr>
    </w:lvl>
    <w:lvl w:ilvl="3" w:tplc="3B20A7D2">
      <w:numFmt w:val="bullet"/>
      <w:lvlText w:val="•"/>
      <w:lvlJc w:val="left"/>
      <w:pPr>
        <w:ind w:left="959" w:hanging="100"/>
      </w:pPr>
      <w:rPr>
        <w:rFonts w:hint="default"/>
      </w:rPr>
    </w:lvl>
    <w:lvl w:ilvl="4" w:tplc="957AF8F4">
      <w:numFmt w:val="bullet"/>
      <w:lvlText w:val="•"/>
      <w:lvlJc w:val="left"/>
      <w:pPr>
        <w:ind w:left="1225" w:hanging="100"/>
      </w:pPr>
      <w:rPr>
        <w:rFonts w:hint="default"/>
      </w:rPr>
    </w:lvl>
    <w:lvl w:ilvl="5" w:tplc="6298ECE2">
      <w:numFmt w:val="bullet"/>
      <w:lvlText w:val="•"/>
      <w:lvlJc w:val="left"/>
      <w:pPr>
        <w:ind w:left="1492" w:hanging="100"/>
      </w:pPr>
      <w:rPr>
        <w:rFonts w:hint="default"/>
      </w:rPr>
    </w:lvl>
    <w:lvl w:ilvl="6" w:tplc="484AB32C">
      <w:numFmt w:val="bullet"/>
      <w:lvlText w:val="•"/>
      <w:lvlJc w:val="left"/>
      <w:pPr>
        <w:ind w:left="1758" w:hanging="100"/>
      </w:pPr>
      <w:rPr>
        <w:rFonts w:hint="default"/>
      </w:rPr>
    </w:lvl>
    <w:lvl w:ilvl="7" w:tplc="4D2E394A">
      <w:numFmt w:val="bullet"/>
      <w:lvlText w:val="•"/>
      <w:lvlJc w:val="left"/>
      <w:pPr>
        <w:ind w:left="2024" w:hanging="100"/>
      </w:pPr>
      <w:rPr>
        <w:rFonts w:hint="default"/>
      </w:rPr>
    </w:lvl>
    <w:lvl w:ilvl="8" w:tplc="46A0D564">
      <w:numFmt w:val="bullet"/>
      <w:lvlText w:val="•"/>
      <w:lvlJc w:val="left"/>
      <w:pPr>
        <w:ind w:left="2291" w:hanging="100"/>
      </w:pPr>
      <w:rPr>
        <w:rFonts w:hint="default"/>
      </w:rPr>
    </w:lvl>
  </w:abstractNum>
  <w:abstractNum w:abstractNumId="1963" w15:restartNumberingAfterBreak="0">
    <w:nsid w:val="7AE2057F"/>
    <w:multiLevelType w:val="hybridMultilevel"/>
    <w:tmpl w:val="375AC09A"/>
    <w:lvl w:ilvl="0" w:tplc="5EAC64D2">
      <w:numFmt w:val="bullet"/>
      <w:lvlText w:val=""/>
      <w:lvlJc w:val="left"/>
      <w:pPr>
        <w:ind w:left="156" w:hanging="100"/>
      </w:pPr>
      <w:rPr>
        <w:rFonts w:ascii="Symbol" w:eastAsia="Symbol" w:hAnsi="Symbol" w:cs="Symbol" w:hint="default"/>
        <w:color w:val="231F20"/>
        <w:w w:val="100"/>
        <w:sz w:val="14"/>
        <w:szCs w:val="14"/>
      </w:rPr>
    </w:lvl>
    <w:lvl w:ilvl="1" w:tplc="46CA0CD8">
      <w:numFmt w:val="bullet"/>
      <w:lvlText w:val="•"/>
      <w:lvlJc w:val="left"/>
      <w:pPr>
        <w:ind w:left="426" w:hanging="100"/>
      </w:pPr>
      <w:rPr>
        <w:rFonts w:hint="default"/>
      </w:rPr>
    </w:lvl>
    <w:lvl w:ilvl="2" w:tplc="0218AE50">
      <w:numFmt w:val="bullet"/>
      <w:lvlText w:val="•"/>
      <w:lvlJc w:val="left"/>
      <w:pPr>
        <w:ind w:left="692" w:hanging="100"/>
      </w:pPr>
      <w:rPr>
        <w:rFonts w:hint="default"/>
      </w:rPr>
    </w:lvl>
    <w:lvl w:ilvl="3" w:tplc="E4D0B49A">
      <w:numFmt w:val="bullet"/>
      <w:lvlText w:val="•"/>
      <w:lvlJc w:val="left"/>
      <w:pPr>
        <w:ind w:left="959" w:hanging="100"/>
      </w:pPr>
      <w:rPr>
        <w:rFonts w:hint="default"/>
      </w:rPr>
    </w:lvl>
    <w:lvl w:ilvl="4" w:tplc="1F240BFE">
      <w:numFmt w:val="bullet"/>
      <w:lvlText w:val="•"/>
      <w:lvlJc w:val="left"/>
      <w:pPr>
        <w:ind w:left="1225" w:hanging="100"/>
      </w:pPr>
      <w:rPr>
        <w:rFonts w:hint="default"/>
      </w:rPr>
    </w:lvl>
    <w:lvl w:ilvl="5" w:tplc="4B0ED132">
      <w:numFmt w:val="bullet"/>
      <w:lvlText w:val="•"/>
      <w:lvlJc w:val="left"/>
      <w:pPr>
        <w:ind w:left="1492" w:hanging="100"/>
      </w:pPr>
      <w:rPr>
        <w:rFonts w:hint="default"/>
      </w:rPr>
    </w:lvl>
    <w:lvl w:ilvl="6" w:tplc="F256673E">
      <w:numFmt w:val="bullet"/>
      <w:lvlText w:val="•"/>
      <w:lvlJc w:val="left"/>
      <w:pPr>
        <w:ind w:left="1758" w:hanging="100"/>
      </w:pPr>
      <w:rPr>
        <w:rFonts w:hint="default"/>
      </w:rPr>
    </w:lvl>
    <w:lvl w:ilvl="7" w:tplc="489E25EC">
      <w:numFmt w:val="bullet"/>
      <w:lvlText w:val="•"/>
      <w:lvlJc w:val="left"/>
      <w:pPr>
        <w:ind w:left="2024" w:hanging="100"/>
      </w:pPr>
      <w:rPr>
        <w:rFonts w:hint="default"/>
      </w:rPr>
    </w:lvl>
    <w:lvl w:ilvl="8" w:tplc="2AE64164">
      <w:numFmt w:val="bullet"/>
      <w:lvlText w:val="•"/>
      <w:lvlJc w:val="left"/>
      <w:pPr>
        <w:ind w:left="2291" w:hanging="100"/>
      </w:pPr>
      <w:rPr>
        <w:rFonts w:hint="default"/>
      </w:rPr>
    </w:lvl>
  </w:abstractNum>
  <w:abstractNum w:abstractNumId="1964" w15:restartNumberingAfterBreak="0">
    <w:nsid w:val="7AE61F15"/>
    <w:multiLevelType w:val="hybridMultilevel"/>
    <w:tmpl w:val="2CB6A802"/>
    <w:lvl w:ilvl="0" w:tplc="DBB2BEE2">
      <w:numFmt w:val="bullet"/>
      <w:lvlText w:val=""/>
      <w:lvlJc w:val="left"/>
      <w:pPr>
        <w:ind w:left="157" w:hanging="100"/>
      </w:pPr>
      <w:rPr>
        <w:rFonts w:ascii="Symbol" w:eastAsia="Symbol" w:hAnsi="Symbol" w:cs="Symbol" w:hint="default"/>
        <w:color w:val="231F20"/>
        <w:w w:val="100"/>
        <w:sz w:val="14"/>
        <w:szCs w:val="14"/>
      </w:rPr>
    </w:lvl>
    <w:lvl w:ilvl="1" w:tplc="81CE33B8">
      <w:numFmt w:val="bullet"/>
      <w:lvlText w:val="•"/>
      <w:lvlJc w:val="left"/>
      <w:pPr>
        <w:ind w:left="426" w:hanging="100"/>
      </w:pPr>
      <w:rPr>
        <w:rFonts w:hint="default"/>
      </w:rPr>
    </w:lvl>
    <w:lvl w:ilvl="2" w:tplc="86586B06">
      <w:numFmt w:val="bullet"/>
      <w:lvlText w:val="•"/>
      <w:lvlJc w:val="left"/>
      <w:pPr>
        <w:ind w:left="692" w:hanging="100"/>
      </w:pPr>
      <w:rPr>
        <w:rFonts w:hint="default"/>
      </w:rPr>
    </w:lvl>
    <w:lvl w:ilvl="3" w:tplc="5F1E57C4">
      <w:numFmt w:val="bullet"/>
      <w:lvlText w:val="•"/>
      <w:lvlJc w:val="left"/>
      <w:pPr>
        <w:ind w:left="959" w:hanging="100"/>
      </w:pPr>
      <w:rPr>
        <w:rFonts w:hint="default"/>
      </w:rPr>
    </w:lvl>
    <w:lvl w:ilvl="4" w:tplc="75A84662">
      <w:numFmt w:val="bullet"/>
      <w:lvlText w:val="•"/>
      <w:lvlJc w:val="left"/>
      <w:pPr>
        <w:ind w:left="1225" w:hanging="100"/>
      </w:pPr>
      <w:rPr>
        <w:rFonts w:hint="default"/>
      </w:rPr>
    </w:lvl>
    <w:lvl w:ilvl="5" w:tplc="9FD2A3E6">
      <w:numFmt w:val="bullet"/>
      <w:lvlText w:val="•"/>
      <w:lvlJc w:val="left"/>
      <w:pPr>
        <w:ind w:left="1492" w:hanging="100"/>
      </w:pPr>
      <w:rPr>
        <w:rFonts w:hint="default"/>
      </w:rPr>
    </w:lvl>
    <w:lvl w:ilvl="6" w:tplc="395E3C82">
      <w:numFmt w:val="bullet"/>
      <w:lvlText w:val="•"/>
      <w:lvlJc w:val="left"/>
      <w:pPr>
        <w:ind w:left="1758" w:hanging="100"/>
      </w:pPr>
      <w:rPr>
        <w:rFonts w:hint="default"/>
      </w:rPr>
    </w:lvl>
    <w:lvl w:ilvl="7" w:tplc="CED68F5C">
      <w:numFmt w:val="bullet"/>
      <w:lvlText w:val="•"/>
      <w:lvlJc w:val="left"/>
      <w:pPr>
        <w:ind w:left="2024" w:hanging="100"/>
      </w:pPr>
      <w:rPr>
        <w:rFonts w:hint="default"/>
      </w:rPr>
    </w:lvl>
    <w:lvl w:ilvl="8" w:tplc="526C71F8">
      <w:numFmt w:val="bullet"/>
      <w:lvlText w:val="•"/>
      <w:lvlJc w:val="left"/>
      <w:pPr>
        <w:ind w:left="2291" w:hanging="100"/>
      </w:pPr>
      <w:rPr>
        <w:rFonts w:hint="default"/>
      </w:rPr>
    </w:lvl>
  </w:abstractNum>
  <w:abstractNum w:abstractNumId="1965" w15:restartNumberingAfterBreak="0">
    <w:nsid w:val="7AFB2FA7"/>
    <w:multiLevelType w:val="hybridMultilevel"/>
    <w:tmpl w:val="CD0CCD06"/>
    <w:lvl w:ilvl="0" w:tplc="D58CD714">
      <w:numFmt w:val="bullet"/>
      <w:lvlText w:val=""/>
      <w:lvlJc w:val="left"/>
      <w:pPr>
        <w:ind w:left="156" w:hanging="100"/>
      </w:pPr>
      <w:rPr>
        <w:rFonts w:ascii="Symbol" w:eastAsia="Symbol" w:hAnsi="Symbol" w:cs="Symbol" w:hint="default"/>
        <w:color w:val="231F20"/>
        <w:w w:val="100"/>
        <w:sz w:val="14"/>
        <w:szCs w:val="14"/>
      </w:rPr>
    </w:lvl>
    <w:lvl w:ilvl="1" w:tplc="B1D4B4A6">
      <w:numFmt w:val="bullet"/>
      <w:lvlText w:val="•"/>
      <w:lvlJc w:val="left"/>
      <w:pPr>
        <w:ind w:left="398" w:hanging="100"/>
      </w:pPr>
      <w:rPr>
        <w:rFonts w:hint="default"/>
      </w:rPr>
    </w:lvl>
    <w:lvl w:ilvl="2" w:tplc="E446E3EA">
      <w:numFmt w:val="bullet"/>
      <w:lvlText w:val="•"/>
      <w:lvlJc w:val="left"/>
      <w:pPr>
        <w:ind w:left="636" w:hanging="100"/>
      </w:pPr>
      <w:rPr>
        <w:rFonts w:hint="default"/>
      </w:rPr>
    </w:lvl>
    <w:lvl w:ilvl="3" w:tplc="404C297C">
      <w:numFmt w:val="bullet"/>
      <w:lvlText w:val="•"/>
      <w:lvlJc w:val="left"/>
      <w:pPr>
        <w:ind w:left="874" w:hanging="100"/>
      </w:pPr>
      <w:rPr>
        <w:rFonts w:hint="default"/>
      </w:rPr>
    </w:lvl>
    <w:lvl w:ilvl="4" w:tplc="DCD6B7BE">
      <w:numFmt w:val="bullet"/>
      <w:lvlText w:val="•"/>
      <w:lvlJc w:val="left"/>
      <w:pPr>
        <w:ind w:left="1112" w:hanging="100"/>
      </w:pPr>
      <w:rPr>
        <w:rFonts w:hint="default"/>
      </w:rPr>
    </w:lvl>
    <w:lvl w:ilvl="5" w:tplc="699ACB94">
      <w:numFmt w:val="bullet"/>
      <w:lvlText w:val="•"/>
      <w:lvlJc w:val="left"/>
      <w:pPr>
        <w:ind w:left="1350" w:hanging="100"/>
      </w:pPr>
      <w:rPr>
        <w:rFonts w:hint="default"/>
      </w:rPr>
    </w:lvl>
    <w:lvl w:ilvl="6" w:tplc="8814D8A0">
      <w:numFmt w:val="bullet"/>
      <w:lvlText w:val="•"/>
      <w:lvlJc w:val="left"/>
      <w:pPr>
        <w:ind w:left="1588" w:hanging="100"/>
      </w:pPr>
      <w:rPr>
        <w:rFonts w:hint="default"/>
      </w:rPr>
    </w:lvl>
    <w:lvl w:ilvl="7" w:tplc="08ECACCA">
      <w:numFmt w:val="bullet"/>
      <w:lvlText w:val="•"/>
      <w:lvlJc w:val="left"/>
      <w:pPr>
        <w:ind w:left="1826" w:hanging="100"/>
      </w:pPr>
      <w:rPr>
        <w:rFonts w:hint="default"/>
      </w:rPr>
    </w:lvl>
    <w:lvl w:ilvl="8" w:tplc="3A10D674">
      <w:numFmt w:val="bullet"/>
      <w:lvlText w:val="•"/>
      <w:lvlJc w:val="left"/>
      <w:pPr>
        <w:ind w:left="2064" w:hanging="100"/>
      </w:pPr>
      <w:rPr>
        <w:rFonts w:hint="default"/>
      </w:rPr>
    </w:lvl>
  </w:abstractNum>
  <w:abstractNum w:abstractNumId="1966" w15:restartNumberingAfterBreak="0">
    <w:nsid w:val="7B0A6ED4"/>
    <w:multiLevelType w:val="hybridMultilevel"/>
    <w:tmpl w:val="0DA859DA"/>
    <w:lvl w:ilvl="0" w:tplc="66425B8C">
      <w:numFmt w:val="bullet"/>
      <w:lvlText w:val=""/>
      <w:lvlJc w:val="left"/>
      <w:pPr>
        <w:ind w:left="156" w:hanging="100"/>
      </w:pPr>
      <w:rPr>
        <w:rFonts w:ascii="Symbol" w:eastAsia="Symbol" w:hAnsi="Symbol" w:cs="Symbol" w:hint="default"/>
        <w:color w:val="231F20"/>
        <w:w w:val="100"/>
        <w:sz w:val="14"/>
        <w:szCs w:val="14"/>
      </w:rPr>
    </w:lvl>
    <w:lvl w:ilvl="1" w:tplc="7542D8F6">
      <w:numFmt w:val="bullet"/>
      <w:lvlText w:val="•"/>
      <w:lvlJc w:val="left"/>
      <w:pPr>
        <w:ind w:left="398" w:hanging="100"/>
      </w:pPr>
      <w:rPr>
        <w:rFonts w:hint="default"/>
      </w:rPr>
    </w:lvl>
    <w:lvl w:ilvl="2" w:tplc="F376ABA8">
      <w:numFmt w:val="bullet"/>
      <w:lvlText w:val="•"/>
      <w:lvlJc w:val="left"/>
      <w:pPr>
        <w:ind w:left="636" w:hanging="100"/>
      </w:pPr>
      <w:rPr>
        <w:rFonts w:hint="default"/>
      </w:rPr>
    </w:lvl>
    <w:lvl w:ilvl="3" w:tplc="002030A2">
      <w:numFmt w:val="bullet"/>
      <w:lvlText w:val="•"/>
      <w:lvlJc w:val="left"/>
      <w:pPr>
        <w:ind w:left="874" w:hanging="100"/>
      </w:pPr>
      <w:rPr>
        <w:rFonts w:hint="default"/>
      </w:rPr>
    </w:lvl>
    <w:lvl w:ilvl="4" w:tplc="0E08AE66">
      <w:numFmt w:val="bullet"/>
      <w:lvlText w:val="•"/>
      <w:lvlJc w:val="left"/>
      <w:pPr>
        <w:ind w:left="1112" w:hanging="100"/>
      </w:pPr>
      <w:rPr>
        <w:rFonts w:hint="default"/>
      </w:rPr>
    </w:lvl>
    <w:lvl w:ilvl="5" w:tplc="272639A0">
      <w:numFmt w:val="bullet"/>
      <w:lvlText w:val="•"/>
      <w:lvlJc w:val="left"/>
      <w:pPr>
        <w:ind w:left="1350" w:hanging="100"/>
      </w:pPr>
      <w:rPr>
        <w:rFonts w:hint="default"/>
      </w:rPr>
    </w:lvl>
    <w:lvl w:ilvl="6" w:tplc="FF249442">
      <w:numFmt w:val="bullet"/>
      <w:lvlText w:val="•"/>
      <w:lvlJc w:val="left"/>
      <w:pPr>
        <w:ind w:left="1588" w:hanging="100"/>
      </w:pPr>
      <w:rPr>
        <w:rFonts w:hint="default"/>
      </w:rPr>
    </w:lvl>
    <w:lvl w:ilvl="7" w:tplc="1B726E34">
      <w:numFmt w:val="bullet"/>
      <w:lvlText w:val="•"/>
      <w:lvlJc w:val="left"/>
      <w:pPr>
        <w:ind w:left="1826" w:hanging="100"/>
      </w:pPr>
      <w:rPr>
        <w:rFonts w:hint="default"/>
      </w:rPr>
    </w:lvl>
    <w:lvl w:ilvl="8" w:tplc="468CCBF0">
      <w:numFmt w:val="bullet"/>
      <w:lvlText w:val="•"/>
      <w:lvlJc w:val="left"/>
      <w:pPr>
        <w:ind w:left="2064" w:hanging="100"/>
      </w:pPr>
      <w:rPr>
        <w:rFonts w:hint="default"/>
      </w:rPr>
    </w:lvl>
  </w:abstractNum>
  <w:abstractNum w:abstractNumId="1967" w15:restartNumberingAfterBreak="0">
    <w:nsid w:val="7B0A76F2"/>
    <w:multiLevelType w:val="hybridMultilevel"/>
    <w:tmpl w:val="01881E48"/>
    <w:lvl w:ilvl="0" w:tplc="255E0D82">
      <w:numFmt w:val="bullet"/>
      <w:lvlText w:val=""/>
      <w:lvlJc w:val="left"/>
      <w:pPr>
        <w:ind w:left="156" w:hanging="100"/>
      </w:pPr>
      <w:rPr>
        <w:rFonts w:ascii="Symbol" w:eastAsia="Symbol" w:hAnsi="Symbol" w:cs="Symbol" w:hint="default"/>
        <w:color w:val="231F20"/>
        <w:w w:val="100"/>
        <w:sz w:val="14"/>
        <w:szCs w:val="14"/>
      </w:rPr>
    </w:lvl>
    <w:lvl w:ilvl="1" w:tplc="9B34AA34">
      <w:numFmt w:val="bullet"/>
      <w:lvlText w:val="•"/>
      <w:lvlJc w:val="left"/>
      <w:pPr>
        <w:ind w:left="301" w:hanging="100"/>
      </w:pPr>
      <w:rPr>
        <w:rFonts w:hint="default"/>
      </w:rPr>
    </w:lvl>
    <w:lvl w:ilvl="2" w:tplc="0B6EFC16">
      <w:numFmt w:val="bullet"/>
      <w:lvlText w:val="•"/>
      <w:lvlJc w:val="left"/>
      <w:pPr>
        <w:ind w:left="443" w:hanging="100"/>
      </w:pPr>
      <w:rPr>
        <w:rFonts w:hint="default"/>
      </w:rPr>
    </w:lvl>
    <w:lvl w:ilvl="3" w:tplc="77509582">
      <w:numFmt w:val="bullet"/>
      <w:lvlText w:val="•"/>
      <w:lvlJc w:val="left"/>
      <w:pPr>
        <w:ind w:left="585" w:hanging="100"/>
      </w:pPr>
      <w:rPr>
        <w:rFonts w:hint="default"/>
      </w:rPr>
    </w:lvl>
    <w:lvl w:ilvl="4" w:tplc="0412A042">
      <w:numFmt w:val="bullet"/>
      <w:lvlText w:val="•"/>
      <w:lvlJc w:val="left"/>
      <w:pPr>
        <w:ind w:left="726" w:hanging="100"/>
      </w:pPr>
      <w:rPr>
        <w:rFonts w:hint="default"/>
      </w:rPr>
    </w:lvl>
    <w:lvl w:ilvl="5" w:tplc="77CC4EC6">
      <w:numFmt w:val="bullet"/>
      <w:lvlText w:val="•"/>
      <w:lvlJc w:val="left"/>
      <w:pPr>
        <w:ind w:left="868" w:hanging="100"/>
      </w:pPr>
      <w:rPr>
        <w:rFonts w:hint="default"/>
      </w:rPr>
    </w:lvl>
    <w:lvl w:ilvl="6" w:tplc="5F884298">
      <w:numFmt w:val="bullet"/>
      <w:lvlText w:val="•"/>
      <w:lvlJc w:val="left"/>
      <w:pPr>
        <w:ind w:left="1010" w:hanging="100"/>
      </w:pPr>
      <w:rPr>
        <w:rFonts w:hint="default"/>
      </w:rPr>
    </w:lvl>
    <w:lvl w:ilvl="7" w:tplc="36E67024">
      <w:numFmt w:val="bullet"/>
      <w:lvlText w:val="•"/>
      <w:lvlJc w:val="left"/>
      <w:pPr>
        <w:ind w:left="1151" w:hanging="100"/>
      </w:pPr>
      <w:rPr>
        <w:rFonts w:hint="default"/>
      </w:rPr>
    </w:lvl>
    <w:lvl w:ilvl="8" w:tplc="A2CC0B36">
      <w:numFmt w:val="bullet"/>
      <w:lvlText w:val="•"/>
      <w:lvlJc w:val="left"/>
      <w:pPr>
        <w:ind w:left="1293" w:hanging="100"/>
      </w:pPr>
      <w:rPr>
        <w:rFonts w:hint="default"/>
      </w:rPr>
    </w:lvl>
  </w:abstractNum>
  <w:abstractNum w:abstractNumId="1968" w15:restartNumberingAfterBreak="0">
    <w:nsid w:val="7B293798"/>
    <w:multiLevelType w:val="hybridMultilevel"/>
    <w:tmpl w:val="E9DA0B9E"/>
    <w:lvl w:ilvl="0" w:tplc="1AF800CC">
      <w:numFmt w:val="bullet"/>
      <w:lvlText w:val=""/>
      <w:lvlJc w:val="left"/>
      <w:pPr>
        <w:ind w:left="156" w:hanging="100"/>
      </w:pPr>
      <w:rPr>
        <w:rFonts w:ascii="Symbol" w:eastAsia="Symbol" w:hAnsi="Symbol" w:cs="Symbol" w:hint="default"/>
        <w:color w:val="231F20"/>
        <w:w w:val="100"/>
        <w:sz w:val="14"/>
        <w:szCs w:val="14"/>
      </w:rPr>
    </w:lvl>
    <w:lvl w:ilvl="1" w:tplc="F3F6B5E0">
      <w:numFmt w:val="bullet"/>
      <w:lvlText w:val="•"/>
      <w:lvlJc w:val="left"/>
      <w:pPr>
        <w:ind w:left="398" w:hanging="100"/>
      </w:pPr>
      <w:rPr>
        <w:rFonts w:hint="default"/>
      </w:rPr>
    </w:lvl>
    <w:lvl w:ilvl="2" w:tplc="E70C4EFE">
      <w:numFmt w:val="bullet"/>
      <w:lvlText w:val="•"/>
      <w:lvlJc w:val="left"/>
      <w:pPr>
        <w:ind w:left="636" w:hanging="100"/>
      </w:pPr>
      <w:rPr>
        <w:rFonts w:hint="default"/>
      </w:rPr>
    </w:lvl>
    <w:lvl w:ilvl="3" w:tplc="FBEAFD66">
      <w:numFmt w:val="bullet"/>
      <w:lvlText w:val="•"/>
      <w:lvlJc w:val="left"/>
      <w:pPr>
        <w:ind w:left="874" w:hanging="100"/>
      </w:pPr>
      <w:rPr>
        <w:rFonts w:hint="default"/>
      </w:rPr>
    </w:lvl>
    <w:lvl w:ilvl="4" w:tplc="F7D08B94">
      <w:numFmt w:val="bullet"/>
      <w:lvlText w:val="•"/>
      <w:lvlJc w:val="left"/>
      <w:pPr>
        <w:ind w:left="1112" w:hanging="100"/>
      </w:pPr>
      <w:rPr>
        <w:rFonts w:hint="default"/>
      </w:rPr>
    </w:lvl>
    <w:lvl w:ilvl="5" w:tplc="572EDF52">
      <w:numFmt w:val="bullet"/>
      <w:lvlText w:val="•"/>
      <w:lvlJc w:val="left"/>
      <w:pPr>
        <w:ind w:left="1350" w:hanging="100"/>
      </w:pPr>
      <w:rPr>
        <w:rFonts w:hint="default"/>
      </w:rPr>
    </w:lvl>
    <w:lvl w:ilvl="6" w:tplc="D444C668">
      <w:numFmt w:val="bullet"/>
      <w:lvlText w:val="•"/>
      <w:lvlJc w:val="left"/>
      <w:pPr>
        <w:ind w:left="1588" w:hanging="100"/>
      </w:pPr>
      <w:rPr>
        <w:rFonts w:hint="default"/>
      </w:rPr>
    </w:lvl>
    <w:lvl w:ilvl="7" w:tplc="20523418">
      <w:numFmt w:val="bullet"/>
      <w:lvlText w:val="•"/>
      <w:lvlJc w:val="left"/>
      <w:pPr>
        <w:ind w:left="1826" w:hanging="100"/>
      </w:pPr>
      <w:rPr>
        <w:rFonts w:hint="default"/>
      </w:rPr>
    </w:lvl>
    <w:lvl w:ilvl="8" w:tplc="EEDC310C">
      <w:numFmt w:val="bullet"/>
      <w:lvlText w:val="•"/>
      <w:lvlJc w:val="left"/>
      <w:pPr>
        <w:ind w:left="2064" w:hanging="100"/>
      </w:pPr>
      <w:rPr>
        <w:rFonts w:hint="default"/>
      </w:rPr>
    </w:lvl>
  </w:abstractNum>
  <w:abstractNum w:abstractNumId="1969" w15:restartNumberingAfterBreak="0">
    <w:nsid w:val="7B3B6666"/>
    <w:multiLevelType w:val="hybridMultilevel"/>
    <w:tmpl w:val="36D6F8A4"/>
    <w:lvl w:ilvl="0" w:tplc="33442044">
      <w:numFmt w:val="bullet"/>
      <w:lvlText w:val=""/>
      <w:lvlJc w:val="left"/>
      <w:pPr>
        <w:ind w:left="156" w:hanging="100"/>
      </w:pPr>
      <w:rPr>
        <w:rFonts w:ascii="Symbol" w:eastAsia="Symbol" w:hAnsi="Symbol" w:cs="Symbol" w:hint="default"/>
        <w:color w:val="231F20"/>
        <w:w w:val="100"/>
        <w:sz w:val="14"/>
        <w:szCs w:val="14"/>
      </w:rPr>
    </w:lvl>
    <w:lvl w:ilvl="1" w:tplc="395A8FD6">
      <w:numFmt w:val="bullet"/>
      <w:lvlText w:val="•"/>
      <w:lvlJc w:val="left"/>
      <w:pPr>
        <w:ind w:left="426" w:hanging="100"/>
      </w:pPr>
      <w:rPr>
        <w:rFonts w:hint="default"/>
      </w:rPr>
    </w:lvl>
    <w:lvl w:ilvl="2" w:tplc="A60A74EA">
      <w:numFmt w:val="bullet"/>
      <w:lvlText w:val="•"/>
      <w:lvlJc w:val="left"/>
      <w:pPr>
        <w:ind w:left="692" w:hanging="100"/>
      </w:pPr>
      <w:rPr>
        <w:rFonts w:hint="default"/>
      </w:rPr>
    </w:lvl>
    <w:lvl w:ilvl="3" w:tplc="CF9AF866">
      <w:numFmt w:val="bullet"/>
      <w:lvlText w:val="•"/>
      <w:lvlJc w:val="left"/>
      <w:pPr>
        <w:ind w:left="959" w:hanging="100"/>
      </w:pPr>
      <w:rPr>
        <w:rFonts w:hint="default"/>
      </w:rPr>
    </w:lvl>
    <w:lvl w:ilvl="4" w:tplc="1C46FC8A">
      <w:numFmt w:val="bullet"/>
      <w:lvlText w:val="•"/>
      <w:lvlJc w:val="left"/>
      <w:pPr>
        <w:ind w:left="1225" w:hanging="100"/>
      </w:pPr>
      <w:rPr>
        <w:rFonts w:hint="default"/>
      </w:rPr>
    </w:lvl>
    <w:lvl w:ilvl="5" w:tplc="FE468362">
      <w:numFmt w:val="bullet"/>
      <w:lvlText w:val="•"/>
      <w:lvlJc w:val="left"/>
      <w:pPr>
        <w:ind w:left="1492" w:hanging="100"/>
      </w:pPr>
      <w:rPr>
        <w:rFonts w:hint="default"/>
      </w:rPr>
    </w:lvl>
    <w:lvl w:ilvl="6" w:tplc="BB567CB4">
      <w:numFmt w:val="bullet"/>
      <w:lvlText w:val="•"/>
      <w:lvlJc w:val="left"/>
      <w:pPr>
        <w:ind w:left="1758" w:hanging="100"/>
      </w:pPr>
      <w:rPr>
        <w:rFonts w:hint="default"/>
      </w:rPr>
    </w:lvl>
    <w:lvl w:ilvl="7" w:tplc="707CCD58">
      <w:numFmt w:val="bullet"/>
      <w:lvlText w:val="•"/>
      <w:lvlJc w:val="left"/>
      <w:pPr>
        <w:ind w:left="2024" w:hanging="100"/>
      </w:pPr>
      <w:rPr>
        <w:rFonts w:hint="default"/>
      </w:rPr>
    </w:lvl>
    <w:lvl w:ilvl="8" w:tplc="3280D4BC">
      <w:numFmt w:val="bullet"/>
      <w:lvlText w:val="•"/>
      <w:lvlJc w:val="left"/>
      <w:pPr>
        <w:ind w:left="2291" w:hanging="100"/>
      </w:pPr>
      <w:rPr>
        <w:rFonts w:hint="default"/>
      </w:rPr>
    </w:lvl>
  </w:abstractNum>
  <w:abstractNum w:abstractNumId="1970" w15:restartNumberingAfterBreak="0">
    <w:nsid w:val="7B570C6C"/>
    <w:multiLevelType w:val="hybridMultilevel"/>
    <w:tmpl w:val="9FE25008"/>
    <w:lvl w:ilvl="0" w:tplc="96360BF4">
      <w:numFmt w:val="bullet"/>
      <w:lvlText w:val=""/>
      <w:lvlJc w:val="left"/>
      <w:pPr>
        <w:ind w:left="156" w:hanging="100"/>
      </w:pPr>
      <w:rPr>
        <w:rFonts w:ascii="Symbol" w:eastAsia="Symbol" w:hAnsi="Symbol" w:cs="Symbol" w:hint="default"/>
        <w:color w:val="231F20"/>
        <w:w w:val="100"/>
        <w:sz w:val="14"/>
        <w:szCs w:val="14"/>
      </w:rPr>
    </w:lvl>
    <w:lvl w:ilvl="1" w:tplc="F7669912">
      <w:numFmt w:val="bullet"/>
      <w:lvlText w:val="•"/>
      <w:lvlJc w:val="left"/>
      <w:pPr>
        <w:ind w:left="426" w:hanging="100"/>
      </w:pPr>
      <w:rPr>
        <w:rFonts w:hint="default"/>
      </w:rPr>
    </w:lvl>
    <w:lvl w:ilvl="2" w:tplc="CE4CD3F6">
      <w:numFmt w:val="bullet"/>
      <w:lvlText w:val="•"/>
      <w:lvlJc w:val="left"/>
      <w:pPr>
        <w:ind w:left="692" w:hanging="100"/>
      </w:pPr>
      <w:rPr>
        <w:rFonts w:hint="default"/>
      </w:rPr>
    </w:lvl>
    <w:lvl w:ilvl="3" w:tplc="3B8015D4">
      <w:numFmt w:val="bullet"/>
      <w:lvlText w:val="•"/>
      <w:lvlJc w:val="left"/>
      <w:pPr>
        <w:ind w:left="959" w:hanging="100"/>
      </w:pPr>
      <w:rPr>
        <w:rFonts w:hint="default"/>
      </w:rPr>
    </w:lvl>
    <w:lvl w:ilvl="4" w:tplc="DC1E2A00">
      <w:numFmt w:val="bullet"/>
      <w:lvlText w:val="•"/>
      <w:lvlJc w:val="left"/>
      <w:pPr>
        <w:ind w:left="1225" w:hanging="100"/>
      </w:pPr>
      <w:rPr>
        <w:rFonts w:hint="default"/>
      </w:rPr>
    </w:lvl>
    <w:lvl w:ilvl="5" w:tplc="85B4C3E2">
      <w:numFmt w:val="bullet"/>
      <w:lvlText w:val="•"/>
      <w:lvlJc w:val="left"/>
      <w:pPr>
        <w:ind w:left="1492" w:hanging="100"/>
      </w:pPr>
      <w:rPr>
        <w:rFonts w:hint="default"/>
      </w:rPr>
    </w:lvl>
    <w:lvl w:ilvl="6" w:tplc="68F019A2">
      <w:numFmt w:val="bullet"/>
      <w:lvlText w:val="•"/>
      <w:lvlJc w:val="left"/>
      <w:pPr>
        <w:ind w:left="1758" w:hanging="100"/>
      </w:pPr>
      <w:rPr>
        <w:rFonts w:hint="default"/>
      </w:rPr>
    </w:lvl>
    <w:lvl w:ilvl="7" w:tplc="D5329374">
      <w:numFmt w:val="bullet"/>
      <w:lvlText w:val="•"/>
      <w:lvlJc w:val="left"/>
      <w:pPr>
        <w:ind w:left="2024" w:hanging="100"/>
      </w:pPr>
      <w:rPr>
        <w:rFonts w:hint="default"/>
      </w:rPr>
    </w:lvl>
    <w:lvl w:ilvl="8" w:tplc="561E4044">
      <w:numFmt w:val="bullet"/>
      <w:lvlText w:val="•"/>
      <w:lvlJc w:val="left"/>
      <w:pPr>
        <w:ind w:left="2291" w:hanging="100"/>
      </w:pPr>
      <w:rPr>
        <w:rFonts w:hint="default"/>
      </w:rPr>
    </w:lvl>
  </w:abstractNum>
  <w:abstractNum w:abstractNumId="1971" w15:restartNumberingAfterBreak="0">
    <w:nsid w:val="7B76397A"/>
    <w:multiLevelType w:val="hybridMultilevel"/>
    <w:tmpl w:val="7DC2E9A2"/>
    <w:lvl w:ilvl="0" w:tplc="6DE6945E">
      <w:numFmt w:val="bullet"/>
      <w:lvlText w:val=""/>
      <w:lvlJc w:val="left"/>
      <w:pPr>
        <w:ind w:left="157" w:hanging="100"/>
      </w:pPr>
      <w:rPr>
        <w:rFonts w:ascii="Symbol" w:eastAsia="Symbol" w:hAnsi="Symbol" w:cs="Symbol" w:hint="default"/>
        <w:color w:val="231F20"/>
        <w:w w:val="100"/>
        <w:sz w:val="14"/>
        <w:szCs w:val="14"/>
      </w:rPr>
    </w:lvl>
    <w:lvl w:ilvl="1" w:tplc="4710991C">
      <w:numFmt w:val="bullet"/>
      <w:lvlText w:val="•"/>
      <w:lvlJc w:val="left"/>
      <w:pPr>
        <w:ind w:left="426" w:hanging="100"/>
      </w:pPr>
      <w:rPr>
        <w:rFonts w:hint="default"/>
      </w:rPr>
    </w:lvl>
    <w:lvl w:ilvl="2" w:tplc="5F20A2C6">
      <w:numFmt w:val="bullet"/>
      <w:lvlText w:val="•"/>
      <w:lvlJc w:val="left"/>
      <w:pPr>
        <w:ind w:left="692" w:hanging="100"/>
      </w:pPr>
      <w:rPr>
        <w:rFonts w:hint="default"/>
      </w:rPr>
    </w:lvl>
    <w:lvl w:ilvl="3" w:tplc="067C46A0">
      <w:numFmt w:val="bullet"/>
      <w:lvlText w:val="•"/>
      <w:lvlJc w:val="left"/>
      <w:pPr>
        <w:ind w:left="959" w:hanging="100"/>
      </w:pPr>
      <w:rPr>
        <w:rFonts w:hint="default"/>
      </w:rPr>
    </w:lvl>
    <w:lvl w:ilvl="4" w:tplc="EBACB5BA">
      <w:numFmt w:val="bullet"/>
      <w:lvlText w:val="•"/>
      <w:lvlJc w:val="left"/>
      <w:pPr>
        <w:ind w:left="1225" w:hanging="100"/>
      </w:pPr>
      <w:rPr>
        <w:rFonts w:hint="default"/>
      </w:rPr>
    </w:lvl>
    <w:lvl w:ilvl="5" w:tplc="4A6208FA">
      <w:numFmt w:val="bullet"/>
      <w:lvlText w:val="•"/>
      <w:lvlJc w:val="left"/>
      <w:pPr>
        <w:ind w:left="1492" w:hanging="100"/>
      </w:pPr>
      <w:rPr>
        <w:rFonts w:hint="default"/>
      </w:rPr>
    </w:lvl>
    <w:lvl w:ilvl="6" w:tplc="DC1829BE">
      <w:numFmt w:val="bullet"/>
      <w:lvlText w:val="•"/>
      <w:lvlJc w:val="left"/>
      <w:pPr>
        <w:ind w:left="1758" w:hanging="100"/>
      </w:pPr>
      <w:rPr>
        <w:rFonts w:hint="default"/>
      </w:rPr>
    </w:lvl>
    <w:lvl w:ilvl="7" w:tplc="BE566112">
      <w:numFmt w:val="bullet"/>
      <w:lvlText w:val="•"/>
      <w:lvlJc w:val="left"/>
      <w:pPr>
        <w:ind w:left="2024" w:hanging="100"/>
      </w:pPr>
      <w:rPr>
        <w:rFonts w:hint="default"/>
      </w:rPr>
    </w:lvl>
    <w:lvl w:ilvl="8" w:tplc="5242057E">
      <w:numFmt w:val="bullet"/>
      <w:lvlText w:val="•"/>
      <w:lvlJc w:val="left"/>
      <w:pPr>
        <w:ind w:left="2291" w:hanging="100"/>
      </w:pPr>
      <w:rPr>
        <w:rFonts w:hint="default"/>
      </w:rPr>
    </w:lvl>
  </w:abstractNum>
  <w:abstractNum w:abstractNumId="1972" w15:restartNumberingAfterBreak="0">
    <w:nsid w:val="7B857F7F"/>
    <w:multiLevelType w:val="hybridMultilevel"/>
    <w:tmpl w:val="D9BA5BC6"/>
    <w:lvl w:ilvl="0" w:tplc="29BEAF38">
      <w:numFmt w:val="bullet"/>
      <w:lvlText w:val=""/>
      <w:lvlJc w:val="left"/>
      <w:pPr>
        <w:ind w:left="156" w:hanging="100"/>
      </w:pPr>
      <w:rPr>
        <w:rFonts w:ascii="Symbol" w:eastAsia="Symbol" w:hAnsi="Symbol" w:cs="Symbol" w:hint="default"/>
        <w:color w:val="231F20"/>
        <w:w w:val="100"/>
        <w:sz w:val="14"/>
        <w:szCs w:val="14"/>
      </w:rPr>
    </w:lvl>
    <w:lvl w:ilvl="1" w:tplc="673CE6B4">
      <w:numFmt w:val="bullet"/>
      <w:lvlText w:val="•"/>
      <w:lvlJc w:val="left"/>
      <w:pPr>
        <w:ind w:left="301" w:hanging="100"/>
      </w:pPr>
      <w:rPr>
        <w:rFonts w:hint="default"/>
      </w:rPr>
    </w:lvl>
    <w:lvl w:ilvl="2" w:tplc="2200D19A">
      <w:numFmt w:val="bullet"/>
      <w:lvlText w:val="•"/>
      <w:lvlJc w:val="left"/>
      <w:pPr>
        <w:ind w:left="443" w:hanging="100"/>
      </w:pPr>
      <w:rPr>
        <w:rFonts w:hint="default"/>
      </w:rPr>
    </w:lvl>
    <w:lvl w:ilvl="3" w:tplc="A70AB506">
      <w:numFmt w:val="bullet"/>
      <w:lvlText w:val="•"/>
      <w:lvlJc w:val="left"/>
      <w:pPr>
        <w:ind w:left="585" w:hanging="100"/>
      </w:pPr>
      <w:rPr>
        <w:rFonts w:hint="default"/>
      </w:rPr>
    </w:lvl>
    <w:lvl w:ilvl="4" w:tplc="2612ED40">
      <w:numFmt w:val="bullet"/>
      <w:lvlText w:val="•"/>
      <w:lvlJc w:val="left"/>
      <w:pPr>
        <w:ind w:left="726" w:hanging="100"/>
      </w:pPr>
      <w:rPr>
        <w:rFonts w:hint="default"/>
      </w:rPr>
    </w:lvl>
    <w:lvl w:ilvl="5" w:tplc="5298FE98">
      <w:numFmt w:val="bullet"/>
      <w:lvlText w:val="•"/>
      <w:lvlJc w:val="left"/>
      <w:pPr>
        <w:ind w:left="868" w:hanging="100"/>
      </w:pPr>
      <w:rPr>
        <w:rFonts w:hint="default"/>
      </w:rPr>
    </w:lvl>
    <w:lvl w:ilvl="6" w:tplc="BC78EE82">
      <w:numFmt w:val="bullet"/>
      <w:lvlText w:val="•"/>
      <w:lvlJc w:val="left"/>
      <w:pPr>
        <w:ind w:left="1010" w:hanging="100"/>
      </w:pPr>
      <w:rPr>
        <w:rFonts w:hint="default"/>
      </w:rPr>
    </w:lvl>
    <w:lvl w:ilvl="7" w:tplc="A9128CB0">
      <w:numFmt w:val="bullet"/>
      <w:lvlText w:val="•"/>
      <w:lvlJc w:val="left"/>
      <w:pPr>
        <w:ind w:left="1151" w:hanging="100"/>
      </w:pPr>
      <w:rPr>
        <w:rFonts w:hint="default"/>
      </w:rPr>
    </w:lvl>
    <w:lvl w:ilvl="8" w:tplc="A8F44920">
      <w:numFmt w:val="bullet"/>
      <w:lvlText w:val="•"/>
      <w:lvlJc w:val="left"/>
      <w:pPr>
        <w:ind w:left="1293" w:hanging="100"/>
      </w:pPr>
      <w:rPr>
        <w:rFonts w:hint="default"/>
      </w:rPr>
    </w:lvl>
  </w:abstractNum>
  <w:abstractNum w:abstractNumId="1973" w15:restartNumberingAfterBreak="0">
    <w:nsid w:val="7B925A71"/>
    <w:multiLevelType w:val="hybridMultilevel"/>
    <w:tmpl w:val="D92ADFC8"/>
    <w:lvl w:ilvl="0" w:tplc="8D52FF8A">
      <w:numFmt w:val="bullet"/>
      <w:lvlText w:val=""/>
      <w:lvlJc w:val="left"/>
      <w:pPr>
        <w:ind w:left="157" w:hanging="100"/>
      </w:pPr>
      <w:rPr>
        <w:rFonts w:ascii="Symbol" w:eastAsia="Symbol" w:hAnsi="Symbol" w:cs="Symbol" w:hint="default"/>
        <w:color w:val="231F20"/>
        <w:w w:val="100"/>
        <w:sz w:val="14"/>
        <w:szCs w:val="14"/>
      </w:rPr>
    </w:lvl>
    <w:lvl w:ilvl="1" w:tplc="15D4ADB8">
      <w:numFmt w:val="bullet"/>
      <w:lvlText w:val="•"/>
      <w:lvlJc w:val="left"/>
      <w:pPr>
        <w:ind w:left="369" w:hanging="100"/>
      </w:pPr>
      <w:rPr>
        <w:rFonts w:hint="default"/>
      </w:rPr>
    </w:lvl>
    <w:lvl w:ilvl="2" w:tplc="ECCE580E">
      <w:numFmt w:val="bullet"/>
      <w:lvlText w:val="•"/>
      <w:lvlJc w:val="left"/>
      <w:pPr>
        <w:ind w:left="579" w:hanging="100"/>
      </w:pPr>
      <w:rPr>
        <w:rFonts w:hint="default"/>
      </w:rPr>
    </w:lvl>
    <w:lvl w:ilvl="3" w:tplc="A41AE404">
      <w:numFmt w:val="bullet"/>
      <w:lvlText w:val="•"/>
      <w:lvlJc w:val="left"/>
      <w:pPr>
        <w:ind w:left="789" w:hanging="100"/>
      </w:pPr>
      <w:rPr>
        <w:rFonts w:hint="default"/>
      </w:rPr>
    </w:lvl>
    <w:lvl w:ilvl="4" w:tplc="EA24191A">
      <w:numFmt w:val="bullet"/>
      <w:lvlText w:val="•"/>
      <w:lvlJc w:val="left"/>
      <w:pPr>
        <w:ind w:left="998" w:hanging="100"/>
      </w:pPr>
      <w:rPr>
        <w:rFonts w:hint="default"/>
      </w:rPr>
    </w:lvl>
    <w:lvl w:ilvl="5" w:tplc="7A047F5A">
      <w:numFmt w:val="bullet"/>
      <w:lvlText w:val="•"/>
      <w:lvlJc w:val="left"/>
      <w:pPr>
        <w:ind w:left="1208" w:hanging="100"/>
      </w:pPr>
      <w:rPr>
        <w:rFonts w:hint="default"/>
      </w:rPr>
    </w:lvl>
    <w:lvl w:ilvl="6" w:tplc="0ECA9D72">
      <w:numFmt w:val="bullet"/>
      <w:lvlText w:val="•"/>
      <w:lvlJc w:val="left"/>
      <w:pPr>
        <w:ind w:left="1418" w:hanging="100"/>
      </w:pPr>
      <w:rPr>
        <w:rFonts w:hint="default"/>
      </w:rPr>
    </w:lvl>
    <w:lvl w:ilvl="7" w:tplc="C45A57D0">
      <w:numFmt w:val="bullet"/>
      <w:lvlText w:val="•"/>
      <w:lvlJc w:val="left"/>
      <w:pPr>
        <w:ind w:left="1627" w:hanging="100"/>
      </w:pPr>
      <w:rPr>
        <w:rFonts w:hint="default"/>
      </w:rPr>
    </w:lvl>
    <w:lvl w:ilvl="8" w:tplc="1F0089C2">
      <w:numFmt w:val="bullet"/>
      <w:lvlText w:val="•"/>
      <w:lvlJc w:val="left"/>
      <w:pPr>
        <w:ind w:left="1837" w:hanging="100"/>
      </w:pPr>
      <w:rPr>
        <w:rFonts w:hint="default"/>
      </w:rPr>
    </w:lvl>
  </w:abstractNum>
  <w:abstractNum w:abstractNumId="1974" w15:restartNumberingAfterBreak="0">
    <w:nsid w:val="7B93038B"/>
    <w:multiLevelType w:val="hybridMultilevel"/>
    <w:tmpl w:val="515EEA4A"/>
    <w:lvl w:ilvl="0" w:tplc="C4DCAFC6">
      <w:numFmt w:val="bullet"/>
      <w:lvlText w:val=""/>
      <w:lvlJc w:val="left"/>
      <w:pPr>
        <w:ind w:left="156" w:hanging="100"/>
      </w:pPr>
      <w:rPr>
        <w:rFonts w:ascii="Symbol" w:eastAsia="Symbol" w:hAnsi="Symbol" w:cs="Symbol" w:hint="default"/>
        <w:color w:val="231F20"/>
        <w:w w:val="100"/>
        <w:sz w:val="14"/>
        <w:szCs w:val="14"/>
      </w:rPr>
    </w:lvl>
    <w:lvl w:ilvl="1" w:tplc="D882778C">
      <w:numFmt w:val="bullet"/>
      <w:lvlText w:val="•"/>
      <w:lvlJc w:val="left"/>
      <w:pPr>
        <w:ind w:left="426" w:hanging="100"/>
      </w:pPr>
      <w:rPr>
        <w:rFonts w:hint="default"/>
      </w:rPr>
    </w:lvl>
    <w:lvl w:ilvl="2" w:tplc="C2A269E4">
      <w:numFmt w:val="bullet"/>
      <w:lvlText w:val="•"/>
      <w:lvlJc w:val="left"/>
      <w:pPr>
        <w:ind w:left="692" w:hanging="100"/>
      </w:pPr>
      <w:rPr>
        <w:rFonts w:hint="default"/>
      </w:rPr>
    </w:lvl>
    <w:lvl w:ilvl="3" w:tplc="C6006D3E">
      <w:numFmt w:val="bullet"/>
      <w:lvlText w:val="•"/>
      <w:lvlJc w:val="left"/>
      <w:pPr>
        <w:ind w:left="959" w:hanging="100"/>
      </w:pPr>
      <w:rPr>
        <w:rFonts w:hint="default"/>
      </w:rPr>
    </w:lvl>
    <w:lvl w:ilvl="4" w:tplc="594ADE64">
      <w:numFmt w:val="bullet"/>
      <w:lvlText w:val="•"/>
      <w:lvlJc w:val="left"/>
      <w:pPr>
        <w:ind w:left="1225" w:hanging="100"/>
      </w:pPr>
      <w:rPr>
        <w:rFonts w:hint="default"/>
      </w:rPr>
    </w:lvl>
    <w:lvl w:ilvl="5" w:tplc="54907894">
      <w:numFmt w:val="bullet"/>
      <w:lvlText w:val="•"/>
      <w:lvlJc w:val="left"/>
      <w:pPr>
        <w:ind w:left="1492" w:hanging="100"/>
      </w:pPr>
      <w:rPr>
        <w:rFonts w:hint="default"/>
      </w:rPr>
    </w:lvl>
    <w:lvl w:ilvl="6" w:tplc="27FC31F8">
      <w:numFmt w:val="bullet"/>
      <w:lvlText w:val="•"/>
      <w:lvlJc w:val="left"/>
      <w:pPr>
        <w:ind w:left="1758" w:hanging="100"/>
      </w:pPr>
      <w:rPr>
        <w:rFonts w:hint="default"/>
      </w:rPr>
    </w:lvl>
    <w:lvl w:ilvl="7" w:tplc="79588764">
      <w:numFmt w:val="bullet"/>
      <w:lvlText w:val="•"/>
      <w:lvlJc w:val="left"/>
      <w:pPr>
        <w:ind w:left="2024" w:hanging="100"/>
      </w:pPr>
      <w:rPr>
        <w:rFonts w:hint="default"/>
      </w:rPr>
    </w:lvl>
    <w:lvl w:ilvl="8" w:tplc="ADC6F5A6">
      <w:numFmt w:val="bullet"/>
      <w:lvlText w:val="•"/>
      <w:lvlJc w:val="left"/>
      <w:pPr>
        <w:ind w:left="2291" w:hanging="100"/>
      </w:pPr>
      <w:rPr>
        <w:rFonts w:hint="default"/>
      </w:rPr>
    </w:lvl>
  </w:abstractNum>
  <w:abstractNum w:abstractNumId="1975" w15:restartNumberingAfterBreak="0">
    <w:nsid w:val="7BAA0D01"/>
    <w:multiLevelType w:val="hybridMultilevel"/>
    <w:tmpl w:val="3E1C15BC"/>
    <w:lvl w:ilvl="0" w:tplc="346C8D0C">
      <w:numFmt w:val="bullet"/>
      <w:lvlText w:val=""/>
      <w:lvlJc w:val="left"/>
      <w:pPr>
        <w:ind w:left="156" w:hanging="100"/>
      </w:pPr>
      <w:rPr>
        <w:rFonts w:ascii="Symbol" w:eastAsia="Symbol" w:hAnsi="Symbol" w:cs="Symbol" w:hint="default"/>
        <w:color w:val="231F20"/>
        <w:w w:val="100"/>
        <w:sz w:val="14"/>
        <w:szCs w:val="14"/>
      </w:rPr>
    </w:lvl>
    <w:lvl w:ilvl="1" w:tplc="85CC5B82">
      <w:numFmt w:val="bullet"/>
      <w:lvlText w:val="•"/>
      <w:lvlJc w:val="left"/>
      <w:pPr>
        <w:ind w:left="454" w:hanging="100"/>
      </w:pPr>
      <w:rPr>
        <w:rFonts w:hint="default"/>
      </w:rPr>
    </w:lvl>
    <w:lvl w:ilvl="2" w:tplc="E8ACCD70">
      <w:numFmt w:val="bullet"/>
      <w:lvlText w:val="•"/>
      <w:lvlJc w:val="left"/>
      <w:pPr>
        <w:ind w:left="749" w:hanging="100"/>
      </w:pPr>
      <w:rPr>
        <w:rFonts w:hint="default"/>
      </w:rPr>
    </w:lvl>
    <w:lvl w:ilvl="3" w:tplc="EA6E1F6E">
      <w:numFmt w:val="bullet"/>
      <w:lvlText w:val="•"/>
      <w:lvlJc w:val="left"/>
      <w:pPr>
        <w:ind w:left="1044" w:hanging="100"/>
      </w:pPr>
      <w:rPr>
        <w:rFonts w:hint="default"/>
      </w:rPr>
    </w:lvl>
    <w:lvl w:ilvl="4" w:tplc="16FE740E">
      <w:numFmt w:val="bullet"/>
      <w:lvlText w:val="•"/>
      <w:lvlJc w:val="left"/>
      <w:pPr>
        <w:ind w:left="1339" w:hanging="100"/>
      </w:pPr>
      <w:rPr>
        <w:rFonts w:hint="default"/>
      </w:rPr>
    </w:lvl>
    <w:lvl w:ilvl="5" w:tplc="9CCE3804">
      <w:numFmt w:val="bullet"/>
      <w:lvlText w:val="•"/>
      <w:lvlJc w:val="left"/>
      <w:pPr>
        <w:ind w:left="1634" w:hanging="100"/>
      </w:pPr>
      <w:rPr>
        <w:rFonts w:hint="default"/>
      </w:rPr>
    </w:lvl>
    <w:lvl w:ilvl="6" w:tplc="3F1C8B82">
      <w:numFmt w:val="bullet"/>
      <w:lvlText w:val="•"/>
      <w:lvlJc w:val="left"/>
      <w:pPr>
        <w:ind w:left="1928" w:hanging="100"/>
      </w:pPr>
      <w:rPr>
        <w:rFonts w:hint="default"/>
      </w:rPr>
    </w:lvl>
    <w:lvl w:ilvl="7" w:tplc="6D142D52">
      <w:numFmt w:val="bullet"/>
      <w:lvlText w:val="•"/>
      <w:lvlJc w:val="left"/>
      <w:pPr>
        <w:ind w:left="2223" w:hanging="100"/>
      </w:pPr>
      <w:rPr>
        <w:rFonts w:hint="default"/>
      </w:rPr>
    </w:lvl>
    <w:lvl w:ilvl="8" w:tplc="F698AD98">
      <w:numFmt w:val="bullet"/>
      <w:lvlText w:val="•"/>
      <w:lvlJc w:val="left"/>
      <w:pPr>
        <w:ind w:left="2518" w:hanging="100"/>
      </w:pPr>
      <w:rPr>
        <w:rFonts w:hint="default"/>
      </w:rPr>
    </w:lvl>
  </w:abstractNum>
  <w:abstractNum w:abstractNumId="1976" w15:restartNumberingAfterBreak="0">
    <w:nsid w:val="7BAD7D33"/>
    <w:multiLevelType w:val="hybridMultilevel"/>
    <w:tmpl w:val="D8A2646C"/>
    <w:lvl w:ilvl="0" w:tplc="0F520086">
      <w:numFmt w:val="bullet"/>
      <w:lvlText w:val=""/>
      <w:lvlJc w:val="left"/>
      <w:pPr>
        <w:ind w:left="157" w:hanging="100"/>
      </w:pPr>
      <w:rPr>
        <w:rFonts w:ascii="Symbol" w:eastAsia="Symbol" w:hAnsi="Symbol" w:cs="Symbol" w:hint="default"/>
        <w:color w:val="231F20"/>
        <w:w w:val="100"/>
        <w:sz w:val="14"/>
        <w:szCs w:val="14"/>
      </w:rPr>
    </w:lvl>
    <w:lvl w:ilvl="1" w:tplc="7144C14E">
      <w:numFmt w:val="bullet"/>
      <w:lvlText w:val="•"/>
      <w:lvlJc w:val="left"/>
      <w:pPr>
        <w:ind w:left="426" w:hanging="100"/>
      </w:pPr>
      <w:rPr>
        <w:rFonts w:hint="default"/>
      </w:rPr>
    </w:lvl>
    <w:lvl w:ilvl="2" w:tplc="45E8658A">
      <w:numFmt w:val="bullet"/>
      <w:lvlText w:val="•"/>
      <w:lvlJc w:val="left"/>
      <w:pPr>
        <w:ind w:left="692" w:hanging="100"/>
      </w:pPr>
      <w:rPr>
        <w:rFonts w:hint="default"/>
      </w:rPr>
    </w:lvl>
    <w:lvl w:ilvl="3" w:tplc="D3E0AF20">
      <w:numFmt w:val="bullet"/>
      <w:lvlText w:val="•"/>
      <w:lvlJc w:val="left"/>
      <w:pPr>
        <w:ind w:left="959" w:hanging="100"/>
      </w:pPr>
      <w:rPr>
        <w:rFonts w:hint="default"/>
      </w:rPr>
    </w:lvl>
    <w:lvl w:ilvl="4" w:tplc="D8163C2A">
      <w:numFmt w:val="bullet"/>
      <w:lvlText w:val="•"/>
      <w:lvlJc w:val="left"/>
      <w:pPr>
        <w:ind w:left="1225" w:hanging="100"/>
      </w:pPr>
      <w:rPr>
        <w:rFonts w:hint="default"/>
      </w:rPr>
    </w:lvl>
    <w:lvl w:ilvl="5" w:tplc="A15A84B0">
      <w:numFmt w:val="bullet"/>
      <w:lvlText w:val="•"/>
      <w:lvlJc w:val="left"/>
      <w:pPr>
        <w:ind w:left="1492" w:hanging="100"/>
      </w:pPr>
      <w:rPr>
        <w:rFonts w:hint="default"/>
      </w:rPr>
    </w:lvl>
    <w:lvl w:ilvl="6" w:tplc="B2808E24">
      <w:numFmt w:val="bullet"/>
      <w:lvlText w:val="•"/>
      <w:lvlJc w:val="left"/>
      <w:pPr>
        <w:ind w:left="1758" w:hanging="100"/>
      </w:pPr>
      <w:rPr>
        <w:rFonts w:hint="default"/>
      </w:rPr>
    </w:lvl>
    <w:lvl w:ilvl="7" w:tplc="5C720F0C">
      <w:numFmt w:val="bullet"/>
      <w:lvlText w:val="•"/>
      <w:lvlJc w:val="left"/>
      <w:pPr>
        <w:ind w:left="2024" w:hanging="100"/>
      </w:pPr>
      <w:rPr>
        <w:rFonts w:hint="default"/>
      </w:rPr>
    </w:lvl>
    <w:lvl w:ilvl="8" w:tplc="A2169072">
      <w:numFmt w:val="bullet"/>
      <w:lvlText w:val="•"/>
      <w:lvlJc w:val="left"/>
      <w:pPr>
        <w:ind w:left="2291" w:hanging="100"/>
      </w:pPr>
      <w:rPr>
        <w:rFonts w:hint="default"/>
      </w:rPr>
    </w:lvl>
  </w:abstractNum>
  <w:abstractNum w:abstractNumId="1977" w15:restartNumberingAfterBreak="0">
    <w:nsid w:val="7BB77E0F"/>
    <w:multiLevelType w:val="hybridMultilevel"/>
    <w:tmpl w:val="CBECD25E"/>
    <w:lvl w:ilvl="0" w:tplc="EA4AA16E">
      <w:numFmt w:val="bullet"/>
      <w:lvlText w:val=""/>
      <w:lvlJc w:val="left"/>
      <w:pPr>
        <w:ind w:left="157" w:hanging="100"/>
      </w:pPr>
      <w:rPr>
        <w:rFonts w:ascii="Symbol" w:eastAsia="Symbol" w:hAnsi="Symbol" w:cs="Symbol" w:hint="default"/>
        <w:color w:val="231F20"/>
        <w:w w:val="100"/>
        <w:sz w:val="14"/>
        <w:szCs w:val="14"/>
      </w:rPr>
    </w:lvl>
    <w:lvl w:ilvl="1" w:tplc="96BE81AE">
      <w:numFmt w:val="bullet"/>
      <w:lvlText w:val="•"/>
      <w:lvlJc w:val="left"/>
      <w:pPr>
        <w:ind w:left="426" w:hanging="100"/>
      </w:pPr>
      <w:rPr>
        <w:rFonts w:hint="default"/>
      </w:rPr>
    </w:lvl>
    <w:lvl w:ilvl="2" w:tplc="61E8936E">
      <w:numFmt w:val="bullet"/>
      <w:lvlText w:val="•"/>
      <w:lvlJc w:val="left"/>
      <w:pPr>
        <w:ind w:left="692" w:hanging="100"/>
      </w:pPr>
      <w:rPr>
        <w:rFonts w:hint="default"/>
      </w:rPr>
    </w:lvl>
    <w:lvl w:ilvl="3" w:tplc="71461320">
      <w:numFmt w:val="bullet"/>
      <w:lvlText w:val="•"/>
      <w:lvlJc w:val="left"/>
      <w:pPr>
        <w:ind w:left="959" w:hanging="100"/>
      </w:pPr>
      <w:rPr>
        <w:rFonts w:hint="default"/>
      </w:rPr>
    </w:lvl>
    <w:lvl w:ilvl="4" w:tplc="25769AF0">
      <w:numFmt w:val="bullet"/>
      <w:lvlText w:val="•"/>
      <w:lvlJc w:val="left"/>
      <w:pPr>
        <w:ind w:left="1225" w:hanging="100"/>
      </w:pPr>
      <w:rPr>
        <w:rFonts w:hint="default"/>
      </w:rPr>
    </w:lvl>
    <w:lvl w:ilvl="5" w:tplc="795417FA">
      <w:numFmt w:val="bullet"/>
      <w:lvlText w:val="•"/>
      <w:lvlJc w:val="left"/>
      <w:pPr>
        <w:ind w:left="1492" w:hanging="100"/>
      </w:pPr>
      <w:rPr>
        <w:rFonts w:hint="default"/>
      </w:rPr>
    </w:lvl>
    <w:lvl w:ilvl="6" w:tplc="20CA30AC">
      <w:numFmt w:val="bullet"/>
      <w:lvlText w:val="•"/>
      <w:lvlJc w:val="left"/>
      <w:pPr>
        <w:ind w:left="1758" w:hanging="100"/>
      </w:pPr>
      <w:rPr>
        <w:rFonts w:hint="default"/>
      </w:rPr>
    </w:lvl>
    <w:lvl w:ilvl="7" w:tplc="A96C3B1A">
      <w:numFmt w:val="bullet"/>
      <w:lvlText w:val="•"/>
      <w:lvlJc w:val="left"/>
      <w:pPr>
        <w:ind w:left="2024" w:hanging="100"/>
      </w:pPr>
      <w:rPr>
        <w:rFonts w:hint="default"/>
      </w:rPr>
    </w:lvl>
    <w:lvl w:ilvl="8" w:tplc="D74C3A92">
      <w:numFmt w:val="bullet"/>
      <w:lvlText w:val="•"/>
      <w:lvlJc w:val="left"/>
      <w:pPr>
        <w:ind w:left="2291" w:hanging="100"/>
      </w:pPr>
      <w:rPr>
        <w:rFonts w:hint="default"/>
      </w:rPr>
    </w:lvl>
  </w:abstractNum>
  <w:abstractNum w:abstractNumId="1978" w15:restartNumberingAfterBreak="0">
    <w:nsid w:val="7BB93484"/>
    <w:multiLevelType w:val="hybridMultilevel"/>
    <w:tmpl w:val="D27443DC"/>
    <w:lvl w:ilvl="0" w:tplc="A9387B1E">
      <w:numFmt w:val="bullet"/>
      <w:lvlText w:val=""/>
      <w:lvlJc w:val="left"/>
      <w:pPr>
        <w:ind w:left="157" w:hanging="100"/>
      </w:pPr>
      <w:rPr>
        <w:rFonts w:ascii="Symbol" w:eastAsia="Symbol" w:hAnsi="Symbol" w:cs="Symbol" w:hint="default"/>
        <w:color w:val="231F20"/>
        <w:w w:val="100"/>
        <w:sz w:val="14"/>
        <w:szCs w:val="14"/>
      </w:rPr>
    </w:lvl>
    <w:lvl w:ilvl="1" w:tplc="8DC41E46">
      <w:numFmt w:val="bullet"/>
      <w:lvlText w:val="•"/>
      <w:lvlJc w:val="left"/>
      <w:pPr>
        <w:ind w:left="369" w:hanging="100"/>
      </w:pPr>
      <w:rPr>
        <w:rFonts w:hint="default"/>
      </w:rPr>
    </w:lvl>
    <w:lvl w:ilvl="2" w:tplc="CADA83C2">
      <w:numFmt w:val="bullet"/>
      <w:lvlText w:val="•"/>
      <w:lvlJc w:val="left"/>
      <w:pPr>
        <w:ind w:left="579" w:hanging="100"/>
      </w:pPr>
      <w:rPr>
        <w:rFonts w:hint="default"/>
      </w:rPr>
    </w:lvl>
    <w:lvl w:ilvl="3" w:tplc="159C64A6">
      <w:numFmt w:val="bullet"/>
      <w:lvlText w:val="•"/>
      <w:lvlJc w:val="left"/>
      <w:pPr>
        <w:ind w:left="789" w:hanging="100"/>
      </w:pPr>
      <w:rPr>
        <w:rFonts w:hint="default"/>
      </w:rPr>
    </w:lvl>
    <w:lvl w:ilvl="4" w:tplc="C04CDB3E">
      <w:numFmt w:val="bullet"/>
      <w:lvlText w:val="•"/>
      <w:lvlJc w:val="left"/>
      <w:pPr>
        <w:ind w:left="998" w:hanging="100"/>
      </w:pPr>
      <w:rPr>
        <w:rFonts w:hint="default"/>
      </w:rPr>
    </w:lvl>
    <w:lvl w:ilvl="5" w:tplc="77AEDC20">
      <w:numFmt w:val="bullet"/>
      <w:lvlText w:val="•"/>
      <w:lvlJc w:val="left"/>
      <w:pPr>
        <w:ind w:left="1208" w:hanging="100"/>
      </w:pPr>
      <w:rPr>
        <w:rFonts w:hint="default"/>
      </w:rPr>
    </w:lvl>
    <w:lvl w:ilvl="6" w:tplc="4294ABDC">
      <w:numFmt w:val="bullet"/>
      <w:lvlText w:val="•"/>
      <w:lvlJc w:val="left"/>
      <w:pPr>
        <w:ind w:left="1418" w:hanging="100"/>
      </w:pPr>
      <w:rPr>
        <w:rFonts w:hint="default"/>
      </w:rPr>
    </w:lvl>
    <w:lvl w:ilvl="7" w:tplc="95CE9E98">
      <w:numFmt w:val="bullet"/>
      <w:lvlText w:val="•"/>
      <w:lvlJc w:val="left"/>
      <w:pPr>
        <w:ind w:left="1627" w:hanging="100"/>
      </w:pPr>
      <w:rPr>
        <w:rFonts w:hint="default"/>
      </w:rPr>
    </w:lvl>
    <w:lvl w:ilvl="8" w:tplc="D73E0108">
      <w:numFmt w:val="bullet"/>
      <w:lvlText w:val="•"/>
      <w:lvlJc w:val="left"/>
      <w:pPr>
        <w:ind w:left="1837" w:hanging="100"/>
      </w:pPr>
      <w:rPr>
        <w:rFonts w:hint="default"/>
      </w:rPr>
    </w:lvl>
  </w:abstractNum>
  <w:abstractNum w:abstractNumId="1979" w15:restartNumberingAfterBreak="0">
    <w:nsid w:val="7BC627D7"/>
    <w:multiLevelType w:val="hybridMultilevel"/>
    <w:tmpl w:val="31CCBFD6"/>
    <w:lvl w:ilvl="0" w:tplc="30545F7E">
      <w:numFmt w:val="bullet"/>
      <w:lvlText w:val=""/>
      <w:lvlJc w:val="left"/>
      <w:pPr>
        <w:ind w:left="156" w:hanging="100"/>
      </w:pPr>
      <w:rPr>
        <w:rFonts w:ascii="Symbol" w:eastAsia="Symbol" w:hAnsi="Symbol" w:cs="Symbol" w:hint="default"/>
        <w:color w:val="231F20"/>
        <w:w w:val="100"/>
        <w:sz w:val="14"/>
        <w:szCs w:val="14"/>
      </w:rPr>
    </w:lvl>
    <w:lvl w:ilvl="1" w:tplc="BF1AF7BC">
      <w:numFmt w:val="bullet"/>
      <w:lvlText w:val="•"/>
      <w:lvlJc w:val="left"/>
      <w:pPr>
        <w:ind w:left="426" w:hanging="100"/>
      </w:pPr>
      <w:rPr>
        <w:rFonts w:hint="default"/>
      </w:rPr>
    </w:lvl>
    <w:lvl w:ilvl="2" w:tplc="792C2596">
      <w:numFmt w:val="bullet"/>
      <w:lvlText w:val="•"/>
      <w:lvlJc w:val="left"/>
      <w:pPr>
        <w:ind w:left="692" w:hanging="100"/>
      </w:pPr>
      <w:rPr>
        <w:rFonts w:hint="default"/>
      </w:rPr>
    </w:lvl>
    <w:lvl w:ilvl="3" w:tplc="51F2413E">
      <w:numFmt w:val="bullet"/>
      <w:lvlText w:val="•"/>
      <w:lvlJc w:val="left"/>
      <w:pPr>
        <w:ind w:left="959" w:hanging="100"/>
      </w:pPr>
      <w:rPr>
        <w:rFonts w:hint="default"/>
      </w:rPr>
    </w:lvl>
    <w:lvl w:ilvl="4" w:tplc="6C1CF6EA">
      <w:numFmt w:val="bullet"/>
      <w:lvlText w:val="•"/>
      <w:lvlJc w:val="left"/>
      <w:pPr>
        <w:ind w:left="1225" w:hanging="100"/>
      </w:pPr>
      <w:rPr>
        <w:rFonts w:hint="default"/>
      </w:rPr>
    </w:lvl>
    <w:lvl w:ilvl="5" w:tplc="2DA692EA">
      <w:numFmt w:val="bullet"/>
      <w:lvlText w:val="•"/>
      <w:lvlJc w:val="left"/>
      <w:pPr>
        <w:ind w:left="1492" w:hanging="100"/>
      </w:pPr>
      <w:rPr>
        <w:rFonts w:hint="default"/>
      </w:rPr>
    </w:lvl>
    <w:lvl w:ilvl="6" w:tplc="884E85DC">
      <w:numFmt w:val="bullet"/>
      <w:lvlText w:val="•"/>
      <w:lvlJc w:val="left"/>
      <w:pPr>
        <w:ind w:left="1758" w:hanging="100"/>
      </w:pPr>
      <w:rPr>
        <w:rFonts w:hint="default"/>
      </w:rPr>
    </w:lvl>
    <w:lvl w:ilvl="7" w:tplc="BF026936">
      <w:numFmt w:val="bullet"/>
      <w:lvlText w:val="•"/>
      <w:lvlJc w:val="left"/>
      <w:pPr>
        <w:ind w:left="2024" w:hanging="100"/>
      </w:pPr>
      <w:rPr>
        <w:rFonts w:hint="default"/>
      </w:rPr>
    </w:lvl>
    <w:lvl w:ilvl="8" w:tplc="C974F180">
      <w:numFmt w:val="bullet"/>
      <w:lvlText w:val="•"/>
      <w:lvlJc w:val="left"/>
      <w:pPr>
        <w:ind w:left="2291" w:hanging="100"/>
      </w:pPr>
      <w:rPr>
        <w:rFonts w:hint="default"/>
      </w:rPr>
    </w:lvl>
  </w:abstractNum>
  <w:abstractNum w:abstractNumId="1980" w15:restartNumberingAfterBreak="0">
    <w:nsid w:val="7BD9123F"/>
    <w:multiLevelType w:val="hybridMultilevel"/>
    <w:tmpl w:val="5D560F4C"/>
    <w:lvl w:ilvl="0" w:tplc="25AA37D4">
      <w:numFmt w:val="bullet"/>
      <w:lvlText w:val=""/>
      <w:lvlJc w:val="left"/>
      <w:pPr>
        <w:ind w:left="157" w:hanging="100"/>
      </w:pPr>
      <w:rPr>
        <w:rFonts w:ascii="Symbol" w:eastAsia="Symbol" w:hAnsi="Symbol" w:cs="Symbol" w:hint="default"/>
        <w:color w:val="231F20"/>
        <w:w w:val="100"/>
        <w:sz w:val="14"/>
        <w:szCs w:val="14"/>
      </w:rPr>
    </w:lvl>
    <w:lvl w:ilvl="1" w:tplc="44248D0A">
      <w:numFmt w:val="bullet"/>
      <w:lvlText w:val="•"/>
      <w:lvlJc w:val="left"/>
      <w:pPr>
        <w:ind w:left="426" w:hanging="100"/>
      </w:pPr>
      <w:rPr>
        <w:rFonts w:hint="default"/>
      </w:rPr>
    </w:lvl>
    <w:lvl w:ilvl="2" w:tplc="4B406A62">
      <w:numFmt w:val="bullet"/>
      <w:lvlText w:val="•"/>
      <w:lvlJc w:val="left"/>
      <w:pPr>
        <w:ind w:left="692" w:hanging="100"/>
      </w:pPr>
      <w:rPr>
        <w:rFonts w:hint="default"/>
      </w:rPr>
    </w:lvl>
    <w:lvl w:ilvl="3" w:tplc="8EE6B8C0">
      <w:numFmt w:val="bullet"/>
      <w:lvlText w:val="•"/>
      <w:lvlJc w:val="left"/>
      <w:pPr>
        <w:ind w:left="959" w:hanging="100"/>
      </w:pPr>
      <w:rPr>
        <w:rFonts w:hint="default"/>
      </w:rPr>
    </w:lvl>
    <w:lvl w:ilvl="4" w:tplc="5336CD52">
      <w:numFmt w:val="bullet"/>
      <w:lvlText w:val="•"/>
      <w:lvlJc w:val="left"/>
      <w:pPr>
        <w:ind w:left="1225" w:hanging="100"/>
      </w:pPr>
      <w:rPr>
        <w:rFonts w:hint="default"/>
      </w:rPr>
    </w:lvl>
    <w:lvl w:ilvl="5" w:tplc="547EBBA8">
      <w:numFmt w:val="bullet"/>
      <w:lvlText w:val="•"/>
      <w:lvlJc w:val="left"/>
      <w:pPr>
        <w:ind w:left="1492" w:hanging="100"/>
      </w:pPr>
      <w:rPr>
        <w:rFonts w:hint="default"/>
      </w:rPr>
    </w:lvl>
    <w:lvl w:ilvl="6" w:tplc="A6BAD5A8">
      <w:numFmt w:val="bullet"/>
      <w:lvlText w:val="•"/>
      <w:lvlJc w:val="left"/>
      <w:pPr>
        <w:ind w:left="1758" w:hanging="100"/>
      </w:pPr>
      <w:rPr>
        <w:rFonts w:hint="default"/>
      </w:rPr>
    </w:lvl>
    <w:lvl w:ilvl="7" w:tplc="21D44D26">
      <w:numFmt w:val="bullet"/>
      <w:lvlText w:val="•"/>
      <w:lvlJc w:val="left"/>
      <w:pPr>
        <w:ind w:left="2024" w:hanging="100"/>
      </w:pPr>
      <w:rPr>
        <w:rFonts w:hint="default"/>
      </w:rPr>
    </w:lvl>
    <w:lvl w:ilvl="8" w:tplc="213A2BBC">
      <w:numFmt w:val="bullet"/>
      <w:lvlText w:val="•"/>
      <w:lvlJc w:val="left"/>
      <w:pPr>
        <w:ind w:left="2291" w:hanging="100"/>
      </w:pPr>
      <w:rPr>
        <w:rFonts w:hint="default"/>
      </w:rPr>
    </w:lvl>
  </w:abstractNum>
  <w:abstractNum w:abstractNumId="1981" w15:restartNumberingAfterBreak="0">
    <w:nsid w:val="7BDA3CDB"/>
    <w:multiLevelType w:val="hybridMultilevel"/>
    <w:tmpl w:val="E18A1574"/>
    <w:lvl w:ilvl="0" w:tplc="7B807A84">
      <w:numFmt w:val="bullet"/>
      <w:lvlText w:val=""/>
      <w:lvlJc w:val="left"/>
      <w:pPr>
        <w:ind w:left="156" w:hanging="100"/>
      </w:pPr>
      <w:rPr>
        <w:rFonts w:ascii="Symbol" w:eastAsia="Symbol" w:hAnsi="Symbol" w:cs="Symbol" w:hint="default"/>
        <w:color w:val="231F20"/>
        <w:w w:val="100"/>
        <w:sz w:val="14"/>
        <w:szCs w:val="14"/>
      </w:rPr>
    </w:lvl>
    <w:lvl w:ilvl="1" w:tplc="A6DA68C0">
      <w:numFmt w:val="bullet"/>
      <w:lvlText w:val="•"/>
      <w:lvlJc w:val="left"/>
      <w:pPr>
        <w:ind w:left="301" w:hanging="100"/>
      </w:pPr>
      <w:rPr>
        <w:rFonts w:hint="default"/>
      </w:rPr>
    </w:lvl>
    <w:lvl w:ilvl="2" w:tplc="24B23730">
      <w:numFmt w:val="bullet"/>
      <w:lvlText w:val="•"/>
      <w:lvlJc w:val="left"/>
      <w:pPr>
        <w:ind w:left="443" w:hanging="100"/>
      </w:pPr>
      <w:rPr>
        <w:rFonts w:hint="default"/>
      </w:rPr>
    </w:lvl>
    <w:lvl w:ilvl="3" w:tplc="73DAE4F8">
      <w:numFmt w:val="bullet"/>
      <w:lvlText w:val="•"/>
      <w:lvlJc w:val="left"/>
      <w:pPr>
        <w:ind w:left="585" w:hanging="100"/>
      </w:pPr>
      <w:rPr>
        <w:rFonts w:hint="default"/>
      </w:rPr>
    </w:lvl>
    <w:lvl w:ilvl="4" w:tplc="B6045FB0">
      <w:numFmt w:val="bullet"/>
      <w:lvlText w:val="•"/>
      <w:lvlJc w:val="left"/>
      <w:pPr>
        <w:ind w:left="726" w:hanging="100"/>
      </w:pPr>
      <w:rPr>
        <w:rFonts w:hint="default"/>
      </w:rPr>
    </w:lvl>
    <w:lvl w:ilvl="5" w:tplc="73AC10F2">
      <w:numFmt w:val="bullet"/>
      <w:lvlText w:val="•"/>
      <w:lvlJc w:val="left"/>
      <w:pPr>
        <w:ind w:left="868" w:hanging="100"/>
      </w:pPr>
      <w:rPr>
        <w:rFonts w:hint="default"/>
      </w:rPr>
    </w:lvl>
    <w:lvl w:ilvl="6" w:tplc="81B44A34">
      <w:numFmt w:val="bullet"/>
      <w:lvlText w:val="•"/>
      <w:lvlJc w:val="left"/>
      <w:pPr>
        <w:ind w:left="1010" w:hanging="100"/>
      </w:pPr>
      <w:rPr>
        <w:rFonts w:hint="default"/>
      </w:rPr>
    </w:lvl>
    <w:lvl w:ilvl="7" w:tplc="3F6ED9D2">
      <w:numFmt w:val="bullet"/>
      <w:lvlText w:val="•"/>
      <w:lvlJc w:val="left"/>
      <w:pPr>
        <w:ind w:left="1151" w:hanging="100"/>
      </w:pPr>
      <w:rPr>
        <w:rFonts w:hint="default"/>
      </w:rPr>
    </w:lvl>
    <w:lvl w:ilvl="8" w:tplc="06EABBA2">
      <w:numFmt w:val="bullet"/>
      <w:lvlText w:val="•"/>
      <w:lvlJc w:val="left"/>
      <w:pPr>
        <w:ind w:left="1293" w:hanging="100"/>
      </w:pPr>
      <w:rPr>
        <w:rFonts w:hint="default"/>
      </w:rPr>
    </w:lvl>
  </w:abstractNum>
  <w:abstractNum w:abstractNumId="1982" w15:restartNumberingAfterBreak="0">
    <w:nsid w:val="7BEE3C81"/>
    <w:multiLevelType w:val="hybridMultilevel"/>
    <w:tmpl w:val="C32ADABA"/>
    <w:lvl w:ilvl="0" w:tplc="8D463858">
      <w:numFmt w:val="bullet"/>
      <w:lvlText w:val=""/>
      <w:lvlJc w:val="left"/>
      <w:pPr>
        <w:ind w:left="156" w:hanging="100"/>
      </w:pPr>
      <w:rPr>
        <w:rFonts w:ascii="Symbol" w:eastAsia="Symbol" w:hAnsi="Symbol" w:cs="Symbol" w:hint="default"/>
        <w:color w:val="231F20"/>
        <w:w w:val="100"/>
        <w:sz w:val="14"/>
        <w:szCs w:val="14"/>
      </w:rPr>
    </w:lvl>
    <w:lvl w:ilvl="1" w:tplc="F8C8B890">
      <w:numFmt w:val="bullet"/>
      <w:lvlText w:val="•"/>
      <w:lvlJc w:val="left"/>
      <w:pPr>
        <w:ind w:left="426" w:hanging="100"/>
      </w:pPr>
      <w:rPr>
        <w:rFonts w:hint="default"/>
      </w:rPr>
    </w:lvl>
    <w:lvl w:ilvl="2" w:tplc="F4B8C810">
      <w:numFmt w:val="bullet"/>
      <w:lvlText w:val="•"/>
      <w:lvlJc w:val="left"/>
      <w:pPr>
        <w:ind w:left="692" w:hanging="100"/>
      </w:pPr>
      <w:rPr>
        <w:rFonts w:hint="default"/>
      </w:rPr>
    </w:lvl>
    <w:lvl w:ilvl="3" w:tplc="C68213BA">
      <w:numFmt w:val="bullet"/>
      <w:lvlText w:val="•"/>
      <w:lvlJc w:val="left"/>
      <w:pPr>
        <w:ind w:left="959" w:hanging="100"/>
      </w:pPr>
      <w:rPr>
        <w:rFonts w:hint="default"/>
      </w:rPr>
    </w:lvl>
    <w:lvl w:ilvl="4" w:tplc="105E2ADE">
      <w:numFmt w:val="bullet"/>
      <w:lvlText w:val="•"/>
      <w:lvlJc w:val="left"/>
      <w:pPr>
        <w:ind w:left="1225" w:hanging="100"/>
      </w:pPr>
      <w:rPr>
        <w:rFonts w:hint="default"/>
      </w:rPr>
    </w:lvl>
    <w:lvl w:ilvl="5" w:tplc="FA1A4F02">
      <w:numFmt w:val="bullet"/>
      <w:lvlText w:val="•"/>
      <w:lvlJc w:val="left"/>
      <w:pPr>
        <w:ind w:left="1492" w:hanging="100"/>
      </w:pPr>
      <w:rPr>
        <w:rFonts w:hint="default"/>
      </w:rPr>
    </w:lvl>
    <w:lvl w:ilvl="6" w:tplc="69EE4100">
      <w:numFmt w:val="bullet"/>
      <w:lvlText w:val="•"/>
      <w:lvlJc w:val="left"/>
      <w:pPr>
        <w:ind w:left="1758" w:hanging="100"/>
      </w:pPr>
      <w:rPr>
        <w:rFonts w:hint="default"/>
      </w:rPr>
    </w:lvl>
    <w:lvl w:ilvl="7" w:tplc="0220F9AE">
      <w:numFmt w:val="bullet"/>
      <w:lvlText w:val="•"/>
      <w:lvlJc w:val="left"/>
      <w:pPr>
        <w:ind w:left="2024" w:hanging="100"/>
      </w:pPr>
      <w:rPr>
        <w:rFonts w:hint="default"/>
      </w:rPr>
    </w:lvl>
    <w:lvl w:ilvl="8" w:tplc="1AA0DD2A">
      <w:numFmt w:val="bullet"/>
      <w:lvlText w:val="•"/>
      <w:lvlJc w:val="left"/>
      <w:pPr>
        <w:ind w:left="2291" w:hanging="100"/>
      </w:pPr>
      <w:rPr>
        <w:rFonts w:hint="default"/>
      </w:rPr>
    </w:lvl>
  </w:abstractNum>
  <w:abstractNum w:abstractNumId="1983" w15:restartNumberingAfterBreak="0">
    <w:nsid w:val="7BFC507E"/>
    <w:multiLevelType w:val="hybridMultilevel"/>
    <w:tmpl w:val="7AC204C2"/>
    <w:lvl w:ilvl="0" w:tplc="EACAFF94">
      <w:start w:val="1"/>
      <w:numFmt w:val="upperRoman"/>
      <w:lvlText w:val="%1"/>
      <w:lvlJc w:val="left"/>
      <w:pPr>
        <w:ind w:left="612" w:hanging="116"/>
        <w:jc w:val="left"/>
      </w:pPr>
      <w:rPr>
        <w:rFonts w:ascii="Times New Roman" w:eastAsia="Times New Roman" w:hAnsi="Times New Roman" w:cs="Times New Roman" w:hint="default"/>
        <w:b/>
        <w:bCs/>
        <w:color w:val="231F20"/>
        <w:w w:val="100"/>
        <w:sz w:val="18"/>
        <w:szCs w:val="18"/>
      </w:rPr>
    </w:lvl>
    <w:lvl w:ilvl="1" w:tplc="874877D4">
      <w:numFmt w:val="bullet"/>
      <w:lvlText w:val="•"/>
      <w:lvlJc w:val="left"/>
      <w:pPr>
        <w:ind w:left="1636" w:hanging="116"/>
      </w:pPr>
      <w:rPr>
        <w:rFonts w:hint="default"/>
      </w:rPr>
    </w:lvl>
    <w:lvl w:ilvl="2" w:tplc="5B622416">
      <w:numFmt w:val="bullet"/>
      <w:lvlText w:val="•"/>
      <w:lvlJc w:val="left"/>
      <w:pPr>
        <w:ind w:left="2653" w:hanging="116"/>
      </w:pPr>
      <w:rPr>
        <w:rFonts w:hint="default"/>
      </w:rPr>
    </w:lvl>
    <w:lvl w:ilvl="3" w:tplc="A376610C">
      <w:numFmt w:val="bullet"/>
      <w:lvlText w:val="•"/>
      <w:lvlJc w:val="left"/>
      <w:pPr>
        <w:ind w:left="3669" w:hanging="116"/>
      </w:pPr>
      <w:rPr>
        <w:rFonts w:hint="default"/>
      </w:rPr>
    </w:lvl>
    <w:lvl w:ilvl="4" w:tplc="9FCE0D40">
      <w:numFmt w:val="bullet"/>
      <w:lvlText w:val="•"/>
      <w:lvlJc w:val="left"/>
      <w:pPr>
        <w:ind w:left="4686" w:hanging="116"/>
      </w:pPr>
      <w:rPr>
        <w:rFonts w:hint="default"/>
      </w:rPr>
    </w:lvl>
    <w:lvl w:ilvl="5" w:tplc="B1A44C26">
      <w:numFmt w:val="bullet"/>
      <w:lvlText w:val="•"/>
      <w:lvlJc w:val="left"/>
      <w:pPr>
        <w:ind w:left="5702" w:hanging="116"/>
      </w:pPr>
      <w:rPr>
        <w:rFonts w:hint="default"/>
      </w:rPr>
    </w:lvl>
    <w:lvl w:ilvl="6" w:tplc="ADB69EE6">
      <w:numFmt w:val="bullet"/>
      <w:lvlText w:val="•"/>
      <w:lvlJc w:val="left"/>
      <w:pPr>
        <w:ind w:left="6719" w:hanging="116"/>
      </w:pPr>
      <w:rPr>
        <w:rFonts w:hint="default"/>
      </w:rPr>
    </w:lvl>
    <w:lvl w:ilvl="7" w:tplc="4F725732">
      <w:numFmt w:val="bullet"/>
      <w:lvlText w:val="•"/>
      <w:lvlJc w:val="left"/>
      <w:pPr>
        <w:ind w:left="7735" w:hanging="116"/>
      </w:pPr>
      <w:rPr>
        <w:rFonts w:hint="default"/>
      </w:rPr>
    </w:lvl>
    <w:lvl w:ilvl="8" w:tplc="98346EA2">
      <w:numFmt w:val="bullet"/>
      <w:lvlText w:val="•"/>
      <w:lvlJc w:val="left"/>
      <w:pPr>
        <w:ind w:left="8752" w:hanging="116"/>
      </w:pPr>
      <w:rPr>
        <w:rFonts w:hint="default"/>
      </w:rPr>
    </w:lvl>
  </w:abstractNum>
  <w:abstractNum w:abstractNumId="1984" w15:restartNumberingAfterBreak="0">
    <w:nsid w:val="7C1808B2"/>
    <w:multiLevelType w:val="hybridMultilevel"/>
    <w:tmpl w:val="95E037A0"/>
    <w:lvl w:ilvl="0" w:tplc="8138C3C2">
      <w:numFmt w:val="bullet"/>
      <w:lvlText w:val=""/>
      <w:lvlJc w:val="left"/>
      <w:pPr>
        <w:ind w:left="157" w:hanging="100"/>
      </w:pPr>
      <w:rPr>
        <w:rFonts w:ascii="Symbol" w:eastAsia="Symbol" w:hAnsi="Symbol" w:cs="Symbol" w:hint="default"/>
        <w:color w:val="231F20"/>
        <w:w w:val="100"/>
        <w:sz w:val="14"/>
        <w:szCs w:val="14"/>
      </w:rPr>
    </w:lvl>
    <w:lvl w:ilvl="1" w:tplc="88580FF4">
      <w:numFmt w:val="bullet"/>
      <w:lvlText w:val="•"/>
      <w:lvlJc w:val="left"/>
      <w:pPr>
        <w:ind w:left="426" w:hanging="100"/>
      </w:pPr>
      <w:rPr>
        <w:rFonts w:hint="default"/>
      </w:rPr>
    </w:lvl>
    <w:lvl w:ilvl="2" w:tplc="75DAA0FA">
      <w:numFmt w:val="bullet"/>
      <w:lvlText w:val="•"/>
      <w:lvlJc w:val="left"/>
      <w:pPr>
        <w:ind w:left="692" w:hanging="100"/>
      </w:pPr>
      <w:rPr>
        <w:rFonts w:hint="default"/>
      </w:rPr>
    </w:lvl>
    <w:lvl w:ilvl="3" w:tplc="37ECE89E">
      <w:numFmt w:val="bullet"/>
      <w:lvlText w:val="•"/>
      <w:lvlJc w:val="left"/>
      <w:pPr>
        <w:ind w:left="959" w:hanging="100"/>
      </w:pPr>
      <w:rPr>
        <w:rFonts w:hint="default"/>
      </w:rPr>
    </w:lvl>
    <w:lvl w:ilvl="4" w:tplc="80C0C356">
      <w:numFmt w:val="bullet"/>
      <w:lvlText w:val="•"/>
      <w:lvlJc w:val="left"/>
      <w:pPr>
        <w:ind w:left="1225" w:hanging="100"/>
      </w:pPr>
      <w:rPr>
        <w:rFonts w:hint="default"/>
      </w:rPr>
    </w:lvl>
    <w:lvl w:ilvl="5" w:tplc="5F20E5A8">
      <w:numFmt w:val="bullet"/>
      <w:lvlText w:val="•"/>
      <w:lvlJc w:val="left"/>
      <w:pPr>
        <w:ind w:left="1492" w:hanging="100"/>
      </w:pPr>
      <w:rPr>
        <w:rFonts w:hint="default"/>
      </w:rPr>
    </w:lvl>
    <w:lvl w:ilvl="6" w:tplc="02E43D40">
      <w:numFmt w:val="bullet"/>
      <w:lvlText w:val="•"/>
      <w:lvlJc w:val="left"/>
      <w:pPr>
        <w:ind w:left="1758" w:hanging="100"/>
      </w:pPr>
      <w:rPr>
        <w:rFonts w:hint="default"/>
      </w:rPr>
    </w:lvl>
    <w:lvl w:ilvl="7" w:tplc="32344EF8">
      <w:numFmt w:val="bullet"/>
      <w:lvlText w:val="•"/>
      <w:lvlJc w:val="left"/>
      <w:pPr>
        <w:ind w:left="2024" w:hanging="100"/>
      </w:pPr>
      <w:rPr>
        <w:rFonts w:hint="default"/>
      </w:rPr>
    </w:lvl>
    <w:lvl w:ilvl="8" w:tplc="0C5EF724">
      <w:numFmt w:val="bullet"/>
      <w:lvlText w:val="•"/>
      <w:lvlJc w:val="left"/>
      <w:pPr>
        <w:ind w:left="2291" w:hanging="100"/>
      </w:pPr>
      <w:rPr>
        <w:rFonts w:hint="default"/>
      </w:rPr>
    </w:lvl>
  </w:abstractNum>
  <w:abstractNum w:abstractNumId="1985" w15:restartNumberingAfterBreak="0">
    <w:nsid w:val="7C3963AD"/>
    <w:multiLevelType w:val="hybridMultilevel"/>
    <w:tmpl w:val="41A610D6"/>
    <w:lvl w:ilvl="0" w:tplc="50BE2150">
      <w:numFmt w:val="bullet"/>
      <w:lvlText w:val=""/>
      <w:lvlJc w:val="left"/>
      <w:pPr>
        <w:ind w:left="156" w:hanging="100"/>
      </w:pPr>
      <w:rPr>
        <w:rFonts w:ascii="Symbol" w:eastAsia="Symbol" w:hAnsi="Symbol" w:cs="Symbol" w:hint="default"/>
        <w:color w:val="231F20"/>
        <w:w w:val="100"/>
        <w:sz w:val="14"/>
        <w:szCs w:val="14"/>
      </w:rPr>
    </w:lvl>
    <w:lvl w:ilvl="1" w:tplc="41D28756">
      <w:numFmt w:val="bullet"/>
      <w:lvlText w:val="•"/>
      <w:lvlJc w:val="left"/>
      <w:pPr>
        <w:ind w:left="398" w:hanging="100"/>
      </w:pPr>
      <w:rPr>
        <w:rFonts w:hint="default"/>
      </w:rPr>
    </w:lvl>
    <w:lvl w:ilvl="2" w:tplc="988E0720">
      <w:numFmt w:val="bullet"/>
      <w:lvlText w:val="•"/>
      <w:lvlJc w:val="left"/>
      <w:pPr>
        <w:ind w:left="636" w:hanging="100"/>
      </w:pPr>
      <w:rPr>
        <w:rFonts w:hint="default"/>
      </w:rPr>
    </w:lvl>
    <w:lvl w:ilvl="3" w:tplc="A79CBD1E">
      <w:numFmt w:val="bullet"/>
      <w:lvlText w:val="•"/>
      <w:lvlJc w:val="left"/>
      <w:pPr>
        <w:ind w:left="874" w:hanging="100"/>
      </w:pPr>
      <w:rPr>
        <w:rFonts w:hint="default"/>
      </w:rPr>
    </w:lvl>
    <w:lvl w:ilvl="4" w:tplc="B9269D46">
      <w:numFmt w:val="bullet"/>
      <w:lvlText w:val="•"/>
      <w:lvlJc w:val="left"/>
      <w:pPr>
        <w:ind w:left="1112" w:hanging="100"/>
      </w:pPr>
      <w:rPr>
        <w:rFonts w:hint="default"/>
      </w:rPr>
    </w:lvl>
    <w:lvl w:ilvl="5" w:tplc="F8F68F26">
      <w:numFmt w:val="bullet"/>
      <w:lvlText w:val="•"/>
      <w:lvlJc w:val="left"/>
      <w:pPr>
        <w:ind w:left="1350" w:hanging="100"/>
      </w:pPr>
      <w:rPr>
        <w:rFonts w:hint="default"/>
      </w:rPr>
    </w:lvl>
    <w:lvl w:ilvl="6" w:tplc="18061882">
      <w:numFmt w:val="bullet"/>
      <w:lvlText w:val="•"/>
      <w:lvlJc w:val="left"/>
      <w:pPr>
        <w:ind w:left="1588" w:hanging="100"/>
      </w:pPr>
      <w:rPr>
        <w:rFonts w:hint="default"/>
      </w:rPr>
    </w:lvl>
    <w:lvl w:ilvl="7" w:tplc="72468A6C">
      <w:numFmt w:val="bullet"/>
      <w:lvlText w:val="•"/>
      <w:lvlJc w:val="left"/>
      <w:pPr>
        <w:ind w:left="1826" w:hanging="100"/>
      </w:pPr>
      <w:rPr>
        <w:rFonts w:hint="default"/>
      </w:rPr>
    </w:lvl>
    <w:lvl w:ilvl="8" w:tplc="DF72C7F4">
      <w:numFmt w:val="bullet"/>
      <w:lvlText w:val="•"/>
      <w:lvlJc w:val="left"/>
      <w:pPr>
        <w:ind w:left="2064" w:hanging="100"/>
      </w:pPr>
      <w:rPr>
        <w:rFonts w:hint="default"/>
      </w:rPr>
    </w:lvl>
  </w:abstractNum>
  <w:abstractNum w:abstractNumId="1986" w15:restartNumberingAfterBreak="0">
    <w:nsid w:val="7C3E1F2D"/>
    <w:multiLevelType w:val="hybridMultilevel"/>
    <w:tmpl w:val="7FD44DBA"/>
    <w:lvl w:ilvl="0" w:tplc="4B765634">
      <w:numFmt w:val="bullet"/>
      <w:lvlText w:val=""/>
      <w:lvlJc w:val="left"/>
      <w:pPr>
        <w:ind w:left="156" w:hanging="100"/>
      </w:pPr>
      <w:rPr>
        <w:rFonts w:ascii="Symbol" w:eastAsia="Symbol" w:hAnsi="Symbol" w:cs="Symbol" w:hint="default"/>
        <w:color w:val="231F20"/>
        <w:w w:val="100"/>
        <w:sz w:val="14"/>
        <w:szCs w:val="14"/>
      </w:rPr>
    </w:lvl>
    <w:lvl w:ilvl="1" w:tplc="9FE6A322">
      <w:numFmt w:val="bullet"/>
      <w:lvlText w:val="•"/>
      <w:lvlJc w:val="left"/>
      <w:pPr>
        <w:ind w:left="301" w:hanging="100"/>
      </w:pPr>
      <w:rPr>
        <w:rFonts w:hint="default"/>
      </w:rPr>
    </w:lvl>
    <w:lvl w:ilvl="2" w:tplc="BD90B24E">
      <w:numFmt w:val="bullet"/>
      <w:lvlText w:val="•"/>
      <w:lvlJc w:val="left"/>
      <w:pPr>
        <w:ind w:left="443" w:hanging="100"/>
      </w:pPr>
      <w:rPr>
        <w:rFonts w:hint="default"/>
      </w:rPr>
    </w:lvl>
    <w:lvl w:ilvl="3" w:tplc="F7F8ACAE">
      <w:numFmt w:val="bullet"/>
      <w:lvlText w:val="•"/>
      <w:lvlJc w:val="left"/>
      <w:pPr>
        <w:ind w:left="585" w:hanging="100"/>
      </w:pPr>
      <w:rPr>
        <w:rFonts w:hint="default"/>
      </w:rPr>
    </w:lvl>
    <w:lvl w:ilvl="4" w:tplc="3490C1AA">
      <w:numFmt w:val="bullet"/>
      <w:lvlText w:val="•"/>
      <w:lvlJc w:val="left"/>
      <w:pPr>
        <w:ind w:left="726" w:hanging="100"/>
      </w:pPr>
      <w:rPr>
        <w:rFonts w:hint="default"/>
      </w:rPr>
    </w:lvl>
    <w:lvl w:ilvl="5" w:tplc="406E07F8">
      <w:numFmt w:val="bullet"/>
      <w:lvlText w:val="•"/>
      <w:lvlJc w:val="left"/>
      <w:pPr>
        <w:ind w:left="868" w:hanging="100"/>
      </w:pPr>
      <w:rPr>
        <w:rFonts w:hint="default"/>
      </w:rPr>
    </w:lvl>
    <w:lvl w:ilvl="6" w:tplc="22881BDE">
      <w:numFmt w:val="bullet"/>
      <w:lvlText w:val="•"/>
      <w:lvlJc w:val="left"/>
      <w:pPr>
        <w:ind w:left="1010" w:hanging="100"/>
      </w:pPr>
      <w:rPr>
        <w:rFonts w:hint="default"/>
      </w:rPr>
    </w:lvl>
    <w:lvl w:ilvl="7" w:tplc="6B203836">
      <w:numFmt w:val="bullet"/>
      <w:lvlText w:val="•"/>
      <w:lvlJc w:val="left"/>
      <w:pPr>
        <w:ind w:left="1151" w:hanging="100"/>
      </w:pPr>
      <w:rPr>
        <w:rFonts w:hint="default"/>
      </w:rPr>
    </w:lvl>
    <w:lvl w:ilvl="8" w:tplc="EE0AAB7E">
      <w:numFmt w:val="bullet"/>
      <w:lvlText w:val="•"/>
      <w:lvlJc w:val="left"/>
      <w:pPr>
        <w:ind w:left="1293" w:hanging="100"/>
      </w:pPr>
      <w:rPr>
        <w:rFonts w:hint="default"/>
      </w:rPr>
    </w:lvl>
  </w:abstractNum>
  <w:abstractNum w:abstractNumId="1987" w15:restartNumberingAfterBreak="0">
    <w:nsid w:val="7C4650BD"/>
    <w:multiLevelType w:val="hybridMultilevel"/>
    <w:tmpl w:val="42148F02"/>
    <w:lvl w:ilvl="0" w:tplc="B3F0A3FA">
      <w:numFmt w:val="bullet"/>
      <w:lvlText w:val=""/>
      <w:lvlJc w:val="left"/>
      <w:pPr>
        <w:ind w:left="156" w:hanging="100"/>
      </w:pPr>
      <w:rPr>
        <w:rFonts w:ascii="Symbol" w:eastAsia="Symbol" w:hAnsi="Symbol" w:cs="Symbol" w:hint="default"/>
        <w:color w:val="231F20"/>
        <w:w w:val="100"/>
        <w:sz w:val="14"/>
        <w:szCs w:val="14"/>
      </w:rPr>
    </w:lvl>
    <w:lvl w:ilvl="1" w:tplc="5234122E">
      <w:numFmt w:val="bullet"/>
      <w:lvlText w:val="•"/>
      <w:lvlJc w:val="left"/>
      <w:pPr>
        <w:ind w:left="301" w:hanging="100"/>
      </w:pPr>
      <w:rPr>
        <w:rFonts w:hint="default"/>
      </w:rPr>
    </w:lvl>
    <w:lvl w:ilvl="2" w:tplc="D3B8EF8A">
      <w:numFmt w:val="bullet"/>
      <w:lvlText w:val="•"/>
      <w:lvlJc w:val="left"/>
      <w:pPr>
        <w:ind w:left="443" w:hanging="100"/>
      </w:pPr>
      <w:rPr>
        <w:rFonts w:hint="default"/>
      </w:rPr>
    </w:lvl>
    <w:lvl w:ilvl="3" w:tplc="2014F5E0">
      <w:numFmt w:val="bullet"/>
      <w:lvlText w:val="•"/>
      <w:lvlJc w:val="left"/>
      <w:pPr>
        <w:ind w:left="585" w:hanging="100"/>
      </w:pPr>
      <w:rPr>
        <w:rFonts w:hint="default"/>
      </w:rPr>
    </w:lvl>
    <w:lvl w:ilvl="4" w:tplc="2A44BF8C">
      <w:numFmt w:val="bullet"/>
      <w:lvlText w:val="•"/>
      <w:lvlJc w:val="left"/>
      <w:pPr>
        <w:ind w:left="726" w:hanging="100"/>
      </w:pPr>
      <w:rPr>
        <w:rFonts w:hint="default"/>
      </w:rPr>
    </w:lvl>
    <w:lvl w:ilvl="5" w:tplc="EF763902">
      <w:numFmt w:val="bullet"/>
      <w:lvlText w:val="•"/>
      <w:lvlJc w:val="left"/>
      <w:pPr>
        <w:ind w:left="868" w:hanging="100"/>
      </w:pPr>
      <w:rPr>
        <w:rFonts w:hint="default"/>
      </w:rPr>
    </w:lvl>
    <w:lvl w:ilvl="6" w:tplc="82D81474">
      <w:numFmt w:val="bullet"/>
      <w:lvlText w:val="•"/>
      <w:lvlJc w:val="left"/>
      <w:pPr>
        <w:ind w:left="1010" w:hanging="100"/>
      </w:pPr>
      <w:rPr>
        <w:rFonts w:hint="default"/>
      </w:rPr>
    </w:lvl>
    <w:lvl w:ilvl="7" w:tplc="185E32D4">
      <w:numFmt w:val="bullet"/>
      <w:lvlText w:val="•"/>
      <w:lvlJc w:val="left"/>
      <w:pPr>
        <w:ind w:left="1151" w:hanging="100"/>
      </w:pPr>
      <w:rPr>
        <w:rFonts w:hint="default"/>
      </w:rPr>
    </w:lvl>
    <w:lvl w:ilvl="8" w:tplc="62E0AB76">
      <w:numFmt w:val="bullet"/>
      <w:lvlText w:val="•"/>
      <w:lvlJc w:val="left"/>
      <w:pPr>
        <w:ind w:left="1293" w:hanging="100"/>
      </w:pPr>
      <w:rPr>
        <w:rFonts w:hint="default"/>
      </w:rPr>
    </w:lvl>
  </w:abstractNum>
  <w:abstractNum w:abstractNumId="1988" w15:restartNumberingAfterBreak="0">
    <w:nsid w:val="7C47014B"/>
    <w:multiLevelType w:val="hybridMultilevel"/>
    <w:tmpl w:val="8BF2396A"/>
    <w:lvl w:ilvl="0" w:tplc="EB887B3A">
      <w:numFmt w:val="bullet"/>
      <w:lvlText w:val=""/>
      <w:lvlJc w:val="left"/>
      <w:pPr>
        <w:ind w:left="157" w:hanging="100"/>
      </w:pPr>
      <w:rPr>
        <w:rFonts w:ascii="Symbol" w:eastAsia="Symbol" w:hAnsi="Symbol" w:cs="Symbol" w:hint="default"/>
        <w:color w:val="231F20"/>
        <w:w w:val="100"/>
        <w:sz w:val="14"/>
        <w:szCs w:val="14"/>
      </w:rPr>
    </w:lvl>
    <w:lvl w:ilvl="1" w:tplc="F1783982">
      <w:numFmt w:val="bullet"/>
      <w:lvlText w:val="•"/>
      <w:lvlJc w:val="left"/>
      <w:pPr>
        <w:ind w:left="301" w:hanging="100"/>
      </w:pPr>
      <w:rPr>
        <w:rFonts w:hint="default"/>
      </w:rPr>
    </w:lvl>
    <w:lvl w:ilvl="2" w:tplc="95CC4AEA">
      <w:numFmt w:val="bullet"/>
      <w:lvlText w:val="•"/>
      <w:lvlJc w:val="left"/>
      <w:pPr>
        <w:ind w:left="443" w:hanging="100"/>
      </w:pPr>
      <w:rPr>
        <w:rFonts w:hint="default"/>
      </w:rPr>
    </w:lvl>
    <w:lvl w:ilvl="3" w:tplc="63FAF98A">
      <w:numFmt w:val="bullet"/>
      <w:lvlText w:val="•"/>
      <w:lvlJc w:val="left"/>
      <w:pPr>
        <w:ind w:left="585" w:hanging="100"/>
      </w:pPr>
      <w:rPr>
        <w:rFonts w:hint="default"/>
      </w:rPr>
    </w:lvl>
    <w:lvl w:ilvl="4" w:tplc="D1100464">
      <w:numFmt w:val="bullet"/>
      <w:lvlText w:val="•"/>
      <w:lvlJc w:val="left"/>
      <w:pPr>
        <w:ind w:left="726" w:hanging="100"/>
      </w:pPr>
      <w:rPr>
        <w:rFonts w:hint="default"/>
      </w:rPr>
    </w:lvl>
    <w:lvl w:ilvl="5" w:tplc="CE447ED4">
      <w:numFmt w:val="bullet"/>
      <w:lvlText w:val="•"/>
      <w:lvlJc w:val="left"/>
      <w:pPr>
        <w:ind w:left="868" w:hanging="100"/>
      </w:pPr>
      <w:rPr>
        <w:rFonts w:hint="default"/>
      </w:rPr>
    </w:lvl>
    <w:lvl w:ilvl="6" w:tplc="2CB48368">
      <w:numFmt w:val="bullet"/>
      <w:lvlText w:val="•"/>
      <w:lvlJc w:val="left"/>
      <w:pPr>
        <w:ind w:left="1010" w:hanging="100"/>
      </w:pPr>
      <w:rPr>
        <w:rFonts w:hint="default"/>
      </w:rPr>
    </w:lvl>
    <w:lvl w:ilvl="7" w:tplc="D264F77A">
      <w:numFmt w:val="bullet"/>
      <w:lvlText w:val="•"/>
      <w:lvlJc w:val="left"/>
      <w:pPr>
        <w:ind w:left="1151" w:hanging="100"/>
      </w:pPr>
      <w:rPr>
        <w:rFonts w:hint="default"/>
      </w:rPr>
    </w:lvl>
    <w:lvl w:ilvl="8" w:tplc="D00E5F88">
      <w:numFmt w:val="bullet"/>
      <w:lvlText w:val="•"/>
      <w:lvlJc w:val="left"/>
      <w:pPr>
        <w:ind w:left="1293" w:hanging="100"/>
      </w:pPr>
      <w:rPr>
        <w:rFonts w:hint="default"/>
      </w:rPr>
    </w:lvl>
  </w:abstractNum>
  <w:abstractNum w:abstractNumId="1989" w15:restartNumberingAfterBreak="0">
    <w:nsid w:val="7C79129A"/>
    <w:multiLevelType w:val="hybridMultilevel"/>
    <w:tmpl w:val="C5BA0E6C"/>
    <w:lvl w:ilvl="0" w:tplc="A6605E06">
      <w:numFmt w:val="bullet"/>
      <w:lvlText w:val=""/>
      <w:lvlJc w:val="left"/>
      <w:pPr>
        <w:ind w:left="156" w:hanging="100"/>
      </w:pPr>
      <w:rPr>
        <w:rFonts w:ascii="Symbol" w:eastAsia="Symbol" w:hAnsi="Symbol" w:cs="Symbol" w:hint="default"/>
        <w:color w:val="231F20"/>
        <w:w w:val="100"/>
        <w:sz w:val="14"/>
        <w:szCs w:val="14"/>
      </w:rPr>
    </w:lvl>
    <w:lvl w:ilvl="1" w:tplc="763073D6">
      <w:numFmt w:val="bullet"/>
      <w:lvlText w:val="•"/>
      <w:lvlJc w:val="left"/>
      <w:pPr>
        <w:ind w:left="426" w:hanging="100"/>
      </w:pPr>
      <w:rPr>
        <w:rFonts w:hint="default"/>
      </w:rPr>
    </w:lvl>
    <w:lvl w:ilvl="2" w:tplc="600AEEF4">
      <w:numFmt w:val="bullet"/>
      <w:lvlText w:val="•"/>
      <w:lvlJc w:val="left"/>
      <w:pPr>
        <w:ind w:left="692" w:hanging="100"/>
      </w:pPr>
      <w:rPr>
        <w:rFonts w:hint="default"/>
      </w:rPr>
    </w:lvl>
    <w:lvl w:ilvl="3" w:tplc="901631B6">
      <w:numFmt w:val="bullet"/>
      <w:lvlText w:val="•"/>
      <w:lvlJc w:val="left"/>
      <w:pPr>
        <w:ind w:left="959" w:hanging="100"/>
      </w:pPr>
      <w:rPr>
        <w:rFonts w:hint="default"/>
      </w:rPr>
    </w:lvl>
    <w:lvl w:ilvl="4" w:tplc="99503010">
      <w:numFmt w:val="bullet"/>
      <w:lvlText w:val="•"/>
      <w:lvlJc w:val="left"/>
      <w:pPr>
        <w:ind w:left="1225" w:hanging="100"/>
      </w:pPr>
      <w:rPr>
        <w:rFonts w:hint="default"/>
      </w:rPr>
    </w:lvl>
    <w:lvl w:ilvl="5" w:tplc="585E74AC">
      <w:numFmt w:val="bullet"/>
      <w:lvlText w:val="•"/>
      <w:lvlJc w:val="left"/>
      <w:pPr>
        <w:ind w:left="1492" w:hanging="100"/>
      </w:pPr>
      <w:rPr>
        <w:rFonts w:hint="default"/>
      </w:rPr>
    </w:lvl>
    <w:lvl w:ilvl="6" w:tplc="84F411E4">
      <w:numFmt w:val="bullet"/>
      <w:lvlText w:val="•"/>
      <w:lvlJc w:val="left"/>
      <w:pPr>
        <w:ind w:left="1758" w:hanging="100"/>
      </w:pPr>
      <w:rPr>
        <w:rFonts w:hint="default"/>
      </w:rPr>
    </w:lvl>
    <w:lvl w:ilvl="7" w:tplc="D428C31E">
      <w:numFmt w:val="bullet"/>
      <w:lvlText w:val="•"/>
      <w:lvlJc w:val="left"/>
      <w:pPr>
        <w:ind w:left="2024" w:hanging="100"/>
      </w:pPr>
      <w:rPr>
        <w:rFonts w:hint="default"/>
      </w:rPr>
    </w:lvl>
    <w:lvl w:ilvl="8" w:tplc="F77262CA">
      <w:numFmt w:val="bullet"/>
      <w:lvlText w:val="•"/>
      <w:lvlJc w:val="left"/>
      <w:pPr>
        <w:ind w:left="2291" w:hanging="100"/>
      </w:pPr>
      <w:rPr>
        <w:rFonts w:hint="default"/>
      </w:rPr>
    </w:lvl>
  </w:abstractNum>
  <w:abstractNum w:abstractNumId="1990" w15:restartNumberingAfterBreak="0">
    <w:nsid w:val="7C964BBE"/>
    <w:multiLevelType w:val="hybridMultilevel"/>
    <w:tmpl w:val="EA24FF7C"/>
    <w:lvl w:ilvl="0" w:tplc="BFC8EE0A">
      <w:numFmt w:val="bullet"/>
      <w:lvlText w:val=""/>
      <w:lvlJc w:val="left"/>
      <w:pPr>
        <w:ind w:left="156" w:hanging="100"/>
      </w:pPr>
      <w:rPr>
        <w:rFonts w:ascii="Symbol" w:eastAsia="Symbol" w:hAnsi="Symbol" w:cs="Symbol" w:hint="default"/>
        <w:color w:val="231F20"/>
        <w:w w:val="100"/>
        <w:sz w:val="14"/>
        <w:szCs w:val="14"/>
      </w:rPr>
    </w:lvl>
    <w:lvl w:ilvl="1" w:tplc="810C3E5A">
      <w:numFmt w:val="bullet"/>
      <w:lvlText w:val="•"/>
      <w:lvlJc w:val="left"/>
      <w:pPr>
        <w:ind w:left="398" w:hanging="100"/>
      </w:pPr>
      <w:rPr>
        <w:rFonts w:hint="default"/>
      </w:rPr>
    </w:lvl>
    <w:lvl w:ilvl="2" w:tplc="9788C27C">
      <w:numFmt w:val="bullet"/>
      <w:lvlText w:val="•"/>
      <w:lvlJc w:val="left"/>
      <w:pPr>
        <w:ind w:left="636" w:hanging="100"/>
      </w:pPr>
      <w:rPr>
        <w:rFonts w:hint="default"/>
      </w:rPr>
    </w:lvl>
    <w:lvl w:ilvl="3" w:tplc="B9B60F52">
      <w:numFmt w:val="bullet"/>
      <w:lvlText w:val="•"/>
      <w:lvlJc w:val="left"/>
      <w:pPr>
        <w:ind w:left="874" w:hanging="100"/>
      </w:pPr>
      <w:rPr>
        <w:rFonts w:hint="default"/>
      </w:rPr>
    </w:lvl>
    <w:lvl w:ilvl="4" w:tplc="1AD85AFE">
      <w:numFmt w:val="bullet"/>
      <w:lvlText w:val="•"/>
      <w:lvlJc w:val="left"/>
      <w:pPr>
        <w:ind w:left="1112" w:hanging="100"/>
      </w:pPr>
      <w:rPr>
        <w:rFonts w:hint="default"/>
      </w:rPr>
    </w:lvl>
    <w:lvl w:ilvl="5" w:tplc="264EC5A2">
      <w:numFmt w:val="bullet"/>
      <w:lvlText w:val="•"/>
      <w:lvlJc w:val="left"/>
      <w:pPr>
        <w:ind w:left="1350" w:hanging="100"/>
      </w:pPr>
      <w:rPr>
        <w:rFonts w:hint="default"/>
      </w:rPr>
    </w:lvl>
    <w:lvl w:ilvl="6" w:tplc="7F123DB2">
      <w:numFmt w:val="bullet"/>
      <w:lvlText w:val="•"/>
      <w:lvlJc w:val="left"/>
      <w:pPr>
        <w:ind w:left="1588" w:hanging="100"/>
      </w:pPr>
      <w:rPr>
        <w:rFonts w:hint="default"/>
      </w:rPr>
    </w:lvl>
    <w:lvl w:ilvl="7" w:tplc="52C6EA6E">
      <w:numFmt w:val="bullet"/>
      <w:lvlText w:val="•"/>
      <w:lvlJc w:val="left"/>
      <w:pPr>
        <w:ind w:left="1826" w:hanging="100"/>
      </w:pPr>
      <w:rPr>
        <w:rFonts w:hint="default"/>
      </w:rPr>
    </w:lvl>
    <w:lvl w:ilvl="8" w:tplc="281C14EC">
      <w:numFmt w:val="bullet"/>
      <w:lvlText w:val="•"/>
      <w:lvlJc w:val="left"/>
      <w:pPr>
        <w:ind w:left="2064" w:hanging="100"/>
      </w:pPr>
      <w:rPr>
        <w:rFonts w:hint="default"/>
      </w:rPr>
    </w:lvl>
  </w:abstractNum>
  <w:abstractNum w:abstractNumId="1991" w15:restartNumberingAfterBreak="0">
    <w:nsid w:val="7C9D6DE8"/>
    <w:multiLevelType w:val="hybridMultilevel"/>
    <w:tmpl w:val="4A2C12E8"/>
    <w:lvl w:ilvl="0" w:tplc="90CA2900">
      <w:numFmt w:val="bullet"/>
      <w:lvlText w:val=""/>
      <w:lvlJc w:val="left"/>
      <w:pPr>
        <w:ind w:left="156" w:hanging="100"/>
      </w:pPr>
      <w:rPr>
        <w:rFonts w:ascii="Symbol" w:eastAsia="Symbol" w:hAnsi="Symbol" w:cs="Symbol" w:hint="default"/>
        <w:color w:val="231F20"/>
        <w:w w:val="100"/>
        <w:sz w:val="14"/>
        <w:szCs w:val="14"/>
      </w:rPr>
    </w:lvl>
    <w:lvl w:ilvl="1" w:tplc="2E8E6E16">
      <w:numFmt w:val="bullet"/>
      <w:lvlText w:val="•"/>
      <w:lvlJc w:val="left"/>
      <w:pPr>
        <w:ind w:left="273" w:hanging="100"/>
      </w:pPr>
      <w:rPr>
        <w:rFonts w:hint="default"/>
      </w:rPr>
    </w:lvl>
    <w:lvl w:ilvl="2" w:tplc="C0A4097A">
      <w:numFmt w:val="bullet"/>
      <w:lvlText w:val="•"/>
      <w:lvlJc w:val="left"/>
      <w:pPr>
        <w:ind w:left="386" w:hanging="100"/>
      </w:pPr>
      <w:rPr>
        <w:rFonts w:hint="default"/>
      </w:rPr>
    </w:lvl>
    <w:lvl w:ilvl="3" w:tplc="D82A7166">
      <w:numFmt w:val="bullet"/>
      <w:lvlText w:val="•"/>
      <w:lvlJc w:val="left"/>
      <w:pPr>
        <w:ind w:left="500" w:hanging="100"/>
      </w:pPr>
      <w:rPr>
        <w:rFonts w:hint="default"/>
      </w:rPr>
    </w:lvl>
    <w:lvl w:ilvl="4" w:tplc="ED92A37E">
      <w:numFmt w:val="bullet"/>
      <w:lvlText w:val="•"/>
      <w:lvlJc w:val="left"/>
      <w:pPr>
        <w:ind w:left="613" w:hanging="100"/>
      </w:pPr>
      <w:rPr>
        <w:rFonts w:hint="default"/>
      </w:rPr>
    </w:lvl>
    <w:lvl w:ilvl="5" w:tplc="A1E6A18E">
      <w:numFmt w:val="bullet"/>
      <w:lvlText w:val="•"/>
      <w:lvlJc w:val="left"/>
      <w:pPr>
        <w:ind w:left="727" w:hanging="100"/>
      </w:pPr>
      <w:rPr>
        <w:rFonts w:hint="default"/>
      </w:rPr>
    </w:lvl>
    <w:lvl w:ilvl="6" w:tplc="36FA947A">
      <w:numFmt w:val="bullet"/>
      <w:lvlText w:val="•"/>
      <w:lvlJc w:val="left"/>
      <w:pPr>
        <w:ind w:left="840" w:hanging="100"/>
      </w:pPr>
      <w:rPr>
        <w:rFonts w:hint="default"/>
      </w:rPr>
    </w:lvl>
    <w:lvl w:ilvl="7" w:tplc="9EA8FC4C">
      <w:numFmt w:val="bullet"/>
      <w:lvlText w:val="•"/>
      <w:lvlJc w:val="left"/>
      <w:pPr>
        <w:ind w:left="953" w:hanging="100"/>
      </w:pPr>
      <w:rPr>
        <w:rFonts w:hint="default"/>
      </w:rPr>
    </w:lvl>
    <w:lvl w:ilvl="8" w:tplc="B47C7A8A">
      <w:numFmt w:val="bullet"/>
      <w:lvlText w:val="•"/>
      <w:lvlJc w:val="left"/>
      <w:pPr>
        <w:ind w:left="1067" w:hanging="100"/>
      </w:pPr>
      <w:rPr>
        <w:rFonts w:hint="default"/>
      </w:rPr>
    </w:lvl>
  </w:abstractNum>
  <w:abstractNum w:abstractNumId="1992" w15:restartNumberingAfterBreak="0">
    <w:nsid w:val="7CA64DCD"/>
    <w:multiLevelType w:val="hybridMultilevel"/>
    <w:tmpl w:val="DE40CFEE"/>
    <w:lvl w:ilvl="0" w:tplc="59A8FA9A">
      <w:numFmt w:val="bullet"/>
      <w:lvlText w:val=""/>
      <w:lvlJc w:val="left"/>
      <w:pPr>
        <w:ind w:left="156" w:hanging="100"/>
      </w:pPr>
      <w:rPr>
        <w:rFonts w:ascii="Symbol" w:eastAsia="Symbol" w:hAnsi="Symbol" w:cs="Symbol" w:hint="default"/>
        <w:color w:val="231F20"/>
        <w:w w:val="100"/>
        <w:sz w:val="14"/>
        <w:szCs w:val="14"/>
      </w:rPr>
    </w:lvl>
    <w:lvl w:ilvl="1" w:tplc="8E2A5C98">
      <w:numFmt w:val="bullet"/>
      <w:lvlText w:val="•"/>
      <w:lvlJc w:val="left"/>
      <w:pPr>
        <w:ind w:left="301" w:hanging="100"/>
      </w:pPr>
      <w:rPr>
        <w:rFonts w:hint="default"/>
      </w:rPr>
    </w:lvl>
    <w:lvl w:ilvl="2" w:tplc="C4C418B8">
      <w:numFmt w:val="bullet"/>
      <w:lvlText w:val="•"/>
      <w:lvlJc w:val="left"/>
      <w:pPr>
        <w:ind w:left="443" w:hanging="100"/>
      </w:pPr>
      <w:rPr>
        <w:rFonts w:hint="default"/>
      </w:rPr>
    </w:lvl>
    <w:lvl w:ilvl="3" w:tplc="C7FEF2F6">
      <w:numFmt w:val="bullet"/>
      <w:lvlText w:val="•"/>
      <w:lvlJc w:val="left"/>
      <w:pPr>
        <w:ind w:left="585" w:hanging="100"/>
      </w:pPr>
      <w:rPr>
        <w:rFonts w:hint="default"/>
      </w:rPr>
    </w:lvl>
    <w:lvl w:ilvl="4" w:tplc="8AB6D9E6">
      <w:numFmt w:val="bullet"/>
      <w:lvlText w:val="•"/>
      <w:lvlJc w:val="left"/>
      <w:pPr>
        <w:ind w:left="726" w:hanging="100"/>
      </w:pPr>
      <w:rPr>
        <w:rFonts w:hint="default"/>
      </w:rPr>
    </w:lvl>
    <w:lvl w:ilvl="5" w:tplc="EC344BB4">
      <w:numFmt w:val="bullet"/>
      <w:lvlText w:val="•"/>
      <w:lvlJc w:val="left"/>
      <w:pPr>
        <w:ind w:left="868" w:hanging="100"/>
      </w:pPr>
      <w:rPr>
        <w:rFonts w:hint="default"/>
      </w:rPr>
    </w:lvl>
    <w:lvl w:ilvl="6" w:tplc="87E867F4">
      <w:numFmt w:val="bullet"/>
      <w:lvlText w:val="•"/>
      <w:lvlJc w:val="left"/>
      <w:pPr>
        <w:ind w:left="1010" w:hanging="100"/>
      </w:pPr>
      <w:rPr>
        <w:rFonts w:hint="default"/>
      </w:rPr>
    </w:lvl>
    <w:lvl w:ilvl="7" w:tplc="904E6E42">
      <w:numFmt w:val="bullet"/>
      <w:lvlText w:val="•"/>
      <w:lvlJc w:val="left"/>
      <w:pPr>
        <w:ind w:left="1151" w:hanging="100"/>
      </w:pPr>
      <w:rPr>
        <w:rFonts w:hint="default"/>
      </w:rPr>
    </w:lvl>
    <w:lvl w:ilvl="8" w:tplc="690C8758">
      <w:numFmt w:val="bullet"/>
      <w:lvlText w:val="•"/>
      <w:lvlJc w:val="left"/>
      <w:pPr>
        <w:ind w:left="1293" w:hanging="100"/>
      </w:pPr>
      <w:rPr>
        <w:rFonts w:hint="default"/>
      </w:rPr>
    </w:lvl>
  </w:abstractNum>
  <w:abstractNum w:abstractNumId="1993" w15:restartNumberingAfterBreak="0">
    <w:nsid w:val="7CC0239F"/>
    <w:multiLevelType w:val="hybridMultilevel"/>
    <w:tmpl w:val="9FD09F7A"/>
    <w:lvl w:ilvl="0" w:tplc="B66000AA">
      <w:numFmt w:val="bullet"/>
      <w:lvlText w:val=""/>
      <w:lvlJc w:val="left"/>
      <w:pPr>
        <w:ind w:left="156" w:hanging="100"/>
      </w:pPr>
      <w:rPr>
        <w:rFonts w:ascii="Symbol" w:eastAsia="Symbol" w:hAnsi="Symbol" w:cs="Symbol" w:hint="default"/>
        <w:color w:val="231F20"/>
        <w:w w:val="100"/>
        <w:sz w:val="14"/>
        <w:szCs w:val="14"/>
      </w:rPr>
    </w:lvl>
    <w:lvl w:ilvl="1" w:tplc="DA7438DA">
      <w:numFmt w:val="bullet"/>
      <w:lvlText w:val="•"/>
      <w:lvlJc w:val="left"/>
      <w:pPr>
        <w:ind w:left="301" w:hanging="100"/>
      </w:pPr>
      <w:rPr>
        <w:rFonts w:hint="default"/>
      </w:rPr>
    </w:lvl>
    <w:lvl w:ilvl="2" w:tplc="5F829780">
      <w:numFmt w:val="bullet"/>
      <w:lvlText w:val="•"/>
      <w:lvlJc w:val="left"/>
      <w:pPr>
        <w:ind w:left="443" w:hanging="100"/>
      </w:pPr>
      <w:rPr>
        <w:rFonts w:hint="default"/>
      </w:rPr>
    </w:lvl>
    <w:lvl w:ilvl="3" w:tplc="7C1CDB3A">
      <w:numFmt w:val="bullet"/>
      <w:lvlText w:val="•"/>
      <w:lvlJc w:val="left"/>
      <w:pPr>
        <w:ind w:left="585" w:hanging="100"/>
      </w:pPr>
      <w:rPr>
        <w:rFonts w:hint="default"/>
      </w:rPr>
    </w:lvl>
    <w:lvl w:ilvl="4" w:tplc="E668D08A">
      <w:numFmt w:val="bullet"/>
      <w:lvlText w:val="•"/>
      <w:lvlJc w:val="left"/>
      <w:pPr>
        <w:ind w:left="726" w:hanging="100"/>
      </w:pPr>
      <w:rPr>
        <w:rFonts w:hint="default"/>
      </w:rPr>
    </w:lvl>
    <w:lvl w:ilvl="5" w:tplc="C4687DE6">
      <w:numFmt w:val="bullet"/>
      <w:lvlText w:val="•"/>
      <w:lvlJc w:val="left"/>
      <w:pPr>
        <w:ind w:left="868" w:hanging="100"/>
      </w:pPr>
      <w:rPr>
        <w:rFonts w:hint="default"/>
      </w:rPr>
    </w:lvl>
    <w:lvl w:ilvl="6" w:tplc="7F4C22B2">
      <w:numFmt w:val="bullet"/>
      <w:lvlText w:val="•"/>
      <w:lvlJc w:val="left"/>
      <w:pPr>
        <w:ind w:left="1010" w:hanging="100"/>
      </w:pPr>
      <w:rPr>
        <w:rFonts w:hint="default"/>
      </w:rPr>
    </w:lvl>
    <w:lvl w:ilvl="7" w:tplc="7D00F750">
      <w:numFmt w:val="bullet"/>
      <w:lvlText w:val="•"/>
      <w:lvlJc w:val="left"/>
      <w:pPr>
        <w:ind w:left="1151" w:hanging="100"/>
      </w:pPr>
      <w:rPr>
        <w:rFonts w:hint="default"/>
      </w:rPr>
    </w:lvl>
    <w:lvl w:ilvl="8" w:tplc="7406A134">
      <w:numFmt w:val="bullet"/>
      <w:lvlText w:val="•"/>
      <w:lvlJc w:val="left"/>
      <w:pPr>
        <w:ind w:left="1293" w:hanging="100"/>
      </w:pPr>
      <w:rPr>
        <w:rFonts w:hint="default"/>
      </w:rPr>
    </w:lvl>
  </w:abstractNum>
  <w:abstractNum w:abstractNumId="1994" w15:restartNumberingAfterBreak="0">
    <w:nsid w:val="7CC96C5A"/>
    <w:multiLevelType w:val="hybridMultilevel"/>
    <w:tmpl w:val="2AB000EE"/>
    <w:lvl w:ilvl="0" w:tplc="0B0E8B5C">
      <w:numFmt w:val="bullet"/>
      <w:lvlText w:val=""/>
      <w:lvlJc w:val="left"/>
      <w:pPr>
        <w:ind w:left="157" w:hanging="100"/>
      </w:pPr>
      <w:rPr>
        <w:rFonts w:ascii="Symbol" w:eastAsia="Symbol" w:hAnsi="Symbol" w:cs="Symbol" w:hint="default"/>
        <w:color w:val="231F20"/>
        <w:w w:val="100"/>
        <w:sz w:val="14"/>
        <w:szCs w:val="14"/>
      </w:rPr>
    </w:lvl>
    <w:lvl w:ilvl="1" w:tplc="D8840336">
      <w:numFmt w:val="bullet"/>
      <w:lvlText w:val="•"/>
      <w:lvlJc w:val="left"/>
      <w:pPr>
        <w:ind w:left="426" w:hanging="100"/>
      </w:pPr>
      <w:rPr>
        <w:rFonts w:hint="default"/>
      </w:rPr>
    </w:lvl>
    <w:lvl w:ilvl="2" w:tplc="74788D58">
      <w:numFmt w:val="bullet"/>
      <w:lvlText w:val="•"/>
      <w:lvlJc w:val="left"/>
      <w:pPr>
        <w:ind w:left="692" w:hanging="100"/>
      </w:pPr>
      <w:rPr>
        <w:rFonts w:hint="default"/>
      </w:rPr>
    </w:lvl>
    <w:lvl w:ilvl="3" w:tplc="EC1EE6BC">
      <w:numFmt w:val="bullet"/>
      <w:lvlText w:val="•"/>
      <w:lvlJc w:val="left"/>
      <w:pPr>
        <w:ind w:left="959" w:hanging="100"/>
      </w:pPr>
      <w:rPr>
        <w:rFonts w:hint="default"/>
      </w:rPr>
    </w:lvl>
    <w:lvl w:ilvl="4" w:tplc="42C0436C">
      <w:numFmt w:val="bullet"/>
      <w:lvlText w:val="•"/>
      <w:lvlJc w:val="left"/>
      <w:pPr>
        <w:ind w:left="1225" w:hanging="100"/>
      </w:pPr>
      <w:rPr>
        <w:rFonts w:hint="default"/>
      </w:rPr>
    </w:lvl>
    <w:lvl w:ilvl="5" w:tplc="EE50FC18">
      <w:numFmt w:val="bullet"/>
      <w:lvlText w:val="•"/>
      <w:lvlJc w:val="left"/>
      <w:pPr>
        <w:ind w:left="1492" w:hanging="100"/>
      </w:pPr>
      <w:rPr>
        <w:rFonts w:hint="default"/>
      </w:rPr>
    </w:lvl>
    <w:lvl w:ilvl="6" w:tplc="B55C0480">
      <w:numFmt w:val="bullet"/>
      <w:lvlText w:val="•"/>
      <w:lvlJc w:val="left"/>
      <w:pPr>
        <w:ind w:left="1758" w:hanging="100"/>
      </w:pPr>
      <w:rPr>
        <w:rFonts w:hint="default"/>
      </w:rPr>
    </w:lvl>
    <w:lvl w:ilvl="7" w:tplc="140084F2">
      <w:numFmt w:val="bullet"/>
      <w:lvlText w:val="•"/>
      <w:lvlJc w:val="left"/>
      <w:pPr>
        <w:ind w:left="2024" w:hanging="100"/>
      </w:pPr>
      <w:rPr>
        <w:rFonts w:hint="default"/>
      </w:rPr>
    </w:lvl>
    <w:lvl w:ilvl="8" w:tplc="BAD86364">
      <w:numFmt w:val="bullet"/>
      <w:lvlText w:val="•"/>
      <w:lvlJc w:val="left"/>
      <w:pPr>
        <w:ind w:left="2291" w:hanging="100"/>
      </w:pPr>
      <w:rPr>
        <w:rFonts w:hint="default"/>
      </w:rPr>
    </w:lvl>
  </w:abstractNum>
  <w:abstractNum w:abstractNumId="1995" w15:restartNumberingAfterBreak="0">
    <w:nsid w:val="7CDB2208"/>
    <w:multiLevelType w:val="hybridMultilevel"/>
    <w:tmpl w:val="81423DEC"/>
    <w:lvl w:ilvl="0" w:tplc="ED5EF0E8">
      <w:numFmt w:val="bullet"/>
      <w:lvlText w:val=""/>
      <w:lvlJc w:val="left"/>
      <w:pPr>
        <w:ind w:left="156" w:hanging="100"/>
      </w:pPr>
      <w:rPr>
        <w:rFonts w:ascii="Symbol" w:eastAsia="Symbol" w:hAnsi="Symbol" w:cs="Symbol" w:hint="default"/>
        <w:color w:val="231F20"/>
        <w:w w:val="100"/>
        <w:sz w:val="14"/>
        <w:szCs w:val="14"/>
      </w:rPr>
    </w:lvl>
    <w:lvl w:ilvl="1" w:tplc="910CEBC2">
      <w:numFmt w:val="bullet"/>
      <w:lvlText w:val="•"/>
      <w:lvlJc w:val="left"/>
      <w:pPr>
        <w:ind w:left="301" w:hanging="100"/>
      </w:pPr>
      <w:rPr>
        <w:rFonts w:hint="default"/>
      </w:rPr>
    </w:lvl>
    <w:lvl w:ilvl="2" w:tplc="16FC3AC2">
      <w:numFmt w:val="bullet"/>
      <w:lvlText w:val="•"/>
      <w:lvlJc w:val="left"/>
      <w:pPr>
        <w:ind w:left="443" w:hanging="100"/>
      </w:pPr>
      <w:rPr>
        <w:rFonts w:hint="default"/>
      </w:rPr>
    </w:lvl>
    <w:lvl w:ilvl="3" w:tplc="AA04E044">
      <w:numFmt w:val="bullet"/>
      <w:lvlText w:val="•"/>
      <w:lvlJc w:val="left"/>
      <w:pPr>
        <w:ind w:left="585" w:hanging="100"/>
      </w:pPr>
      <w:rPr>
        <w:rFonts w:hint="default"/>
      </w:rPr>
    </w:lvl>
    <w:lvl w:ilvl="4" w:tplc="171CF566">
      <w:numFmt w:val="bullet"/>
      <w:lvlText w:val="•"/>
      <w:lvlJc w:val="left"/>
      <w:pPr>
        <w:ind w:left="726" w:hanging="100"/>
      </w:pPr>
      <w:rPr>
        <w:rFonts w:hint="default"/>
      </w:rPr>
    </w:lvl>
    <w:lvl w:ilvl="5" w:tplc="0E6A4F58">
      <w:numFmt w:val="bullet"/>
      <w:lvlText w:val="•"/>
      <w:lvlJc w:val="left"/>
      <w:pPr>
        <w:ind w:left="868" w:hanging="100"/>
      </w:pPr>
      <w:rPr>
        <w:rFonts w:hint="default"/>
      </w:rPr>
    </w:lvl>
    <w:lvl w:ilvl="6" w:tplc="5A8880BA">
      <w:numFmt w:val="bullet"/>
      <w:lvlText w:val="•"/>
      <w:lvlJc w:val="left"/>
      <w:pPr>
        <w:ind w:left="1010" w:hanging="100"/>
      </w:pPr>
      <w:rPr>
        <w:rFonts w:hint="default"/>
      </w:rPr>
    </w:lvl>
    <w:lvl w:ilvl="7" w:tplc="FF9A44E2">
      <w:numFmt w:val="bullet"/>
      <w:lvlText w:val="•"/>
      <w:lvlJc w:val="left"/>
      <w:pPr>
        <w:ind w:left="1151" w:hanging="100"/>
      </w:pPr>
      <w:rPr>
        <w:rFonts w:hint="default"/>
      </w:rPr>
    </w:lvl>
    <w:lvl w:ilvl="8" w:tplc="0114DCA6">
      <w:numFmt w:val="bullet"/>
      <w:lvlText w:val="•"/>
      <w:lvlJc w:val="left"/>
      <w:pPr>
        <w:ind w:left="1293" w:hanging="100"/>
      </w:pPr>
      <w:rPr>
        <w:rFonts w:hint="default"/>
      </w:rPr>
    </w:lvl>
  </w:abstractNum>
  <w:abstractNum w:abstractNumId="1996" w15:restartNumberingAfterBreak="0">
    <w:nsid w:val="7CE701F3"/>
    <w:multiLevelType w:val="hybridMultilevel"/>
    <w:tmpl w:val="110C36E0"/>
    <w:lvl w:ilvl="0" w:tplc="AB94D1F6">
      <w:numFmt w:val="bullet"/>
      <w:lvlText w:val=""/>
      <w:lvlJc w:val="left"/>
      <w:pPr>
        <w:ind w:left="156" w:hanging="100"/>
      </w:pPr>
      <w:rPr>
        <w:rFonts w:ascii="Symbol" w:eastAsia="Symbol" w:hAnsi="Symbol" w:cs="Symbol" w:hint="default"/>
        <w:color w:val="231F20"/>
        <w:w w:val="100"/>
        <w:sz w:val="14"/>
        <w:szCs w:val="14"/>
      </w:rPr>
    </w:lvl>
    <w:lvl w:ilvl="1" w:tplc="8632C72A">
      <w:numFmt w:val="bullet"/>
      <w:lvlText w:val="•"/>
      <w:lvlJc w:val="left"/>
      <w:pPr>
        <w:ind w:left="398" w:hanging="100"/>
      </w:pPr>
      <w:rPr>
        <w:rFonts w:hint="default"/>
      </w:rPr>
    </w:lvl>
    <w:lvl w:ilvl="2" w:tplc="479470F4">
      <w:numFmt w:val="bullet"/>
      <w:lvlText w:val="•"/>
      <w:lvlJc w:val="left"/>
      <w:pPr>
        <w:ind w:left="636" w:hanging="100"/>
      </w:pPr>
      <w:rPr>
        <w:rFonts w:hint="default"/>
      </w:rPr>
    </w:lvl>
    <w:lvl w:ilvl="3" w:tplc="A50090CC">
      <w:numFmt w:val="bullet"/>
      <w:lvlText w:val="•"/>
      <w:lvlJc w:val="left"/>
      <w:pPr>
        <w:ind w:left="874" w:hanging="100"/>
      </w:pPr>
      <w:rPr>
        <w:rFonts w:hint="default"/>
      </w:rPr>
    </w:lvl>
    <w:lvl w:ilvl="4" w:tplc="777A17B6">
      <w:numFmt w:val="bullet"/>
      <w:lvlText w:val="•"/>
      <w:lvlJc w:val="left"/>
      <w:pPr>
        <w:ind w:left="1112" w:hanging="100"/>
      </w:pPr>
      <w:rPr>
        <w:rFonts w:hint="default"/>
      </w:rPr>
    </w:lvl>
    <w:lvl w:ilvl="5" w:tplc="2A10EE26">
      <w:numFmt w:val="bullet"/>
      <w:lvlText w:val="•"/>
      <w:lvlJc w:val="left"/>
      <w:pPr>
        <w:ind w:left="1350" w:hanging="100"/>
      </w:pPr>
      <w:rPr>
        <w:rFonts w:hint="default"/>
      </w:rPr>
    </w:lvl>
    <w:lvl w:ilvl="6" w:tplc="F10E7094">
      <w:numFmt w:val="bullet"/>
      <w:lvlText w:val="•"/>
      <w:lvlJc w:val="left"/>
      <w:pPr>
        <w:ind w:left="1588" w:hanging="100"/>
      </w:pPr>
      <w:rPr>
        <w:rFonts w:hint="default"/>
      </w:rPr>
    </w:lvl>
    <w:lvl w:ilvl="7" w:tplc="62B8C576">
      <w:numFmt w:val="bullet"/>
      <w:lvlText w:val="•"/>
      <w:lvlJc w:val="left"/>
      <w:pPr>
        <w:ind w:left="1826" w:hanging="100"/>
      </w:pPr>
      <w:rPr>
        <w:rFonts w:hint="default"/>
      </w:rPr>
    </w:lvl>
    <w:lvl w:ilvl="8" w:tplc="E35A9B0C">
      <w:numFmt w:val="bullet"/>
      <w:lvlText w:val="•"/>
      <w:lvlJc w:val="left"/>
      <w:pPr>
        <w:ind w:left="2064" w:hanging="100"/>
      </w:pPr>
      <w:rPr>
        <w:rFonts w:hint="default"/>
      </w:rPr>
    </w:lvl>
  </w:abstractNum>
  <w:abstractNum w:abstractNumId="1997" w15:restartNumberingAfterBreak="0">
    <w:nsid w:val="7CEA7C53"/>
    <w:multiLevelType w:val="hybridMultilevel"/>
    <w:tmpl w:val="9C307EE4"/>
    <w:lvl w:ilvl="0" w:tplc="61627AA2">
      <w:numFmt w:val="bullet"/>
      <w:lvlText w:val=""/>
      <w:lvlJc w:val="left"/>
      <w:pPr>
        <w:ind w:left="157" w:hanging="100"/>
      </w:pPr>
      <w:rPr>
        <w:rFonts w:ascii="Symbol" w:eastAsia="Symbol" w:hAnsi="Symbol" w:cs="Symbol" w:hint="default"/>
        <w:color w:val="231F20"/>
        <w:w w:val="100"/>
        <w:sz w:val="14"/>
        <w:szCs w:val="14"/>
      </w:rPr>
    </w:lvl>
    <w:lvl w:ilvl="1" w:tplc="2452E96E">
      <w:numFmt w:val="bullet"/>
      <w:lvlText w:val="•"/>
      <w:lvlJc w:val="left"/>
      <w:pPr>
        <w:ind w:left="426" w:hanging="100"/>
      </w:pPr>
      <w:rPr>
        <w:rFonts w:hint="default"/>
      </w:rPr>
    </w:lvl>
    <w:lvl w:ilvl="2" w:tplc="E5F47C20">
      <w:numFmt w:val="bullet"/>
      <w:lvlText w:val="•"/>
      <w:lvlJc w:val="left"/>
      <w:pPr>
        <w:ind w:left="692" w:hanging="100"/>
      </w:pPr>
      <w:rPr>
        <w:rFonts w:hint="default"/>
      </w:rPr>
    </w:lvl>
    <w:lvl w:ilvl="3" w:tplc="5EB24638">
      <w:numFmt w:val="bullet"/>
      <w:lvlText w:val="•"/>
      <w:lvlJc w:val="left"/>
      <w:pPr>
        <w:ind w:left="959" w:hanging="100"/>
      </w:pPr>
      <w:rPr>
        <w:rFonts w:hint="default"/>
      </w:rPr>
    </w:lvl>
    <w:lvl w:ilvl="4" w:tplc="2FF2E6C6">
      <w:numFmt w:val="bullet"/>
      <w:lvlText w:val="•"/>
      <w:lvlJc w:val="left"/>
      <w:pPr>
        <w:ind w:left="1225" w:hanging="100"/>
      </w:pPr>
      <w:rPr>
        <w:rFonts w:hint="default"/>
      </w:rPr>
    </w:lvl>
    <w:lvl w:ilvl="5" w:tplc="CCF45100">
      <w:numFmt w:val="bullet"/>
      <w:lvlText w:val="•"/>
      <w:lvlJc w:val="left"/>
      <w:pPr>
        <w:ind w:left="1492" w:hanging="100"/>
      </w:pPr>
      <w:rPr>
        <w:rFonts w:hint="default"/>
      </w:rPr>
    </w:lvl>
    <w:lvl w:ilvl="6" w:tplc="FAE6D918">
      <w:numFmt w:val="bullet"/>
      <w:lvlText w:val="•"/>
      <w:lvlJc w:val="left"/>
      <w:pPr>
        <w:ind w:left="1758" w:hanging="100"/>
      </w:pPr>
      <w:rPr>
        <w:rFonts w:hint="default"/>
      </w:rPr>
    </w:lvl>
    <w:lvl w:ilvl="7" w:tplc="EFCE318A">
      <w:numFmt w:val="bullet"/>
      <w:lvlText w:val="•"/>
      <w:lvlJc w:val="left"/>
      <w:pPr>
        <w:ind w:left="2024" w:hanging="100"/>
      </w:pPr>
      <w:rPr>
        <w:rFonts w:hint="default"/>
      </w:rPr>
    </w:lvl>
    <w:lvl w:ilvl="8" w:tplc="E52A0636">
      <w:numFmt w:val="bullet"/>
      <w:lvlText w:val="•"/>
      <w:lvlJc w:val="left"/>
      <w:pPr>
        <w:ind w:left="2291" w:hanging="100"/>
      </w:pPr>
      <w:rPr>
        <w:rFonts w:hint="default"/>
      </w:rPr>
    </w:lvl>
  </w:abstractNum>
  <w:abstractNum w:abstractNumId="1998" w15:restartNumberingAfterBreak="0">
    <w:nsid w:val="7D050128"/>
    <w:multiLevelType w:val="hybridMultilevel"/>
    <w:tmpl w:val="075476EA"/>
    <w:lvl w:ilvl="0" w:tplc="88DE5218">
      <w:numFmt w:val="bullet"/>
      <w:lvlText w:val=""/>
      <w:lvlJc w:val="left"/>
      <w:pPr>
        <w:ind w:left="156" w:hanging="100"/>
      </w:pPr>
      <w:rPr>
        <w:rFonts w:ascii="Symbol" w:eastAsia="Symbol" w:hAnsi="Symbol" w:cs="Symbol" w:hint="default"/>
        <w:color w:val="231F20"/>
        <w:w w:val="100"/>
        <w:sz w:val="14"/>
        <w:szCs w:val="14"/>
      </w:rPr>
    </w:lvl>
    <w:lvl w:ilvl="1" w:tplc="BFB2A3F8">
      <w:numFmt w:val="bullet"/>
      <w:lvlText w:val="•"/>
      <w:lvlJc w:val="left"/>
      <w:pPr>
        <w:ind w:left="398" w:hanging="100"/>
      </w:pPr>
      <w:rPr>
        <w:rFonts w:hint="default"/>
      </w:rPr>
    </w:lvl>
    <w:lvl w:ilvl="2" w:tplc="05BE8F6E">
      <w:numFmt w:val="bullet"/>
      <w:lvlText w:val="•"/>
      <w:lvlJc w:val="left"/>
      <w:pPr>
        <w:ind w:left="636" w:hanging="100"/>
      </w:pPr>
      <w:rPr>
        <w:rFonts w:hint="default"/>
      </w:rPr>
    </w:lvl>
    <w:lvl w:ilvl="3" w:tplc="D9982546">
      <w:numFmt w:val="bullet"/>
      <w:lvlText w:val="•"/>
      <w:lvlJc w:val="left"/>
      <w:pPr>
        <w:ind w:left="874" w:hanging="100"/>
      </w:pPr>
      <w:rPr>
        <w:rFonts w:hint="default"/>
      </w:rPr>
    </w:lvl>
    <w:lvl w:ilvl="4" w:tplc="37425442">
      <w:numFmt w:val="bullet"/>
      <w:lvlText w:val="•"/>
      <w:lvlJc w:val="left"/>
      <w:pPr>
        <w:ind w:left="1112" w:hanging="100"/>
      </w:pPr>
      <w:rPr>
        <w:rFonts w:hint="default"/>
      </w:rPr>
    </w:lvl>
    <w:lvl w:ilvl="5" w:tplc="D6228766">
      <w:numFmt w:val="bullet"/>
      <w:lvlText w:val="•"/>
      <w:lvlJc w:val="left"/>
      <w:pPr>
        <w:ind w:left="1350" w:hanging="100"/>
      </w:pPr>
      <w:rPr>
        <w:rFonts w:hint="default"/>
      </w:rPr>
    </w:lvl>
    <w:lvl w:ilvl="6" w:tplc="F03CD36C">
      <w:numFmt w:val="bullet"/>
      <w:lvlText w:val="•"/>
      <w:lvlJc w:val="left"/>
      <w:pPr>
        <w:ind w:left="1588" w:hanging="100"/>
      </w:pPr>
      <w:rPr>
        <w:rFonts w:hint="default"/>
      </w:rPr>
    </w:lvl>
    <w:lvl w:ilvl="7" w:tplc="6C2C3066">
      <w:numFmt w:val="bullet"/>
      <w:lvlText w:val="•"/>
      <w:lvlJc w:val="left"/>
      <w:pPr>
        <w:ind w:left="1826" w:hanging="100"/>
      </w:pPr>
      <w:rPr>
        <w:rFonts w:hint="default"/>
      </w:rPr>
    </w:lvl>
    <w:lvl w:ilvl="8" w:tplc="12F0E94A">
      <w:numFmt w:val="bullet"/>
      <w:lvlText w:val="•"/>
      <w:lvlJc w:val="left"/>
      <w:pPr>
        <w:ind w:left="2064" w:hanging="100"/>
      </w:pPr>
      <w:rPr>
        <w:rFonts w:hint="default"/>
      </w:rPr>
    </w:lvl>
  </w:abstractNum>
  <w:abstractNum w:abstractNumId="1999" w15:restartNumberingAfterBreak="0">
    <w:nsid w:val="7D1567F8"/>
    <w:multiLevelType w:val="hybridMultilevel"/>
    <w:tmpl w:val="C8447C50"/>
    <w:lvl w:ilvl="0" w:tplc="827EC0DE">
      <w:numFmt w:val="bullet"/>
      <w:lvlText w:val=""/>
      <w:lvlJc w:val="left"/>
      <w:pPr>
        <w:ind w:left="157" w:hanging="100"/>
      </w:pPr>
      <w:rPr>
        <w:rFonts w:ascii="Symbol" w:eastAsia="Symbol" w:hAnsi="Symbol" w:cs="Symbol" w:hint="default"/>
        <w:color w:val="231F20"/>
        <w:w w:val="100"/>
        <w:sz w:val="14"/>
        <w:szCs w:val="14"/>
      </w:rPr>
    </w:lvl>
    <w:lvl w:ilvl="1" w:tplc="99C0C196">
      <w:numFmt w:val="bullet"/>
      <w:lvlText w:val="•"/>
      <w:lvlJc w:val="left"/>
      <w:pPr>
        <w:ind w:left="426" w:hanging="100"/>
      </w:pPr>
      <w:rPr>
        <w:rFonts w:hint="default"/>
      </w:rPr>
    </w:lvl>
    <w:lvl w:ilvl="2" w:tplc="13AC0278">
      <w:numFmt w:val="bullet"/>
      <w:lvlText w:val="•"/>
      <w:lvlJc w:val="left"/>
      <w:pPr>
        <w:ind w:left="692" w:hanging="100"/>
      </w:pPr>
      <w:rPr>
        <w:rFonts w:hint="default"/>
      </w:rPr>
    </w:lvl>
    <w:lvl w:ilvl="3" w:tplc="37A657F6">
      <w:numFmt w:val="bullet"/>
      <w:lvlText w:val="•"/>
      <w:lvlJc w:val="left"/>
      <w:pPr>
        <w:ind w:left="959" w:hanging="100"/>
      </w:pPr>
      <w:rPr>
        <w:rFonts w:hint="default"/>
      </w:rPr>
    </w:lvl>
    <w:lvl w:ilvl="4" w:tplc="F372F3BC">
      <w:numFmt w:val="bullet"/>
      <w:lvlText w:val="•"/>
      <w:lvlJc w:val="left"/>
      <w:pPr>
        <w:ind w:left="1225" w:hanging="100"/>
      </w:pPr>
      <w:rPr>
        <w:rFonts w:hint="default"/>
      </w:rPr>
    </w:lvl>
    <w:lvl w:ilvl="5" w:tplc="29F2A1FC">
      <w:numFmt w:val="bullet"/>
      <w:lvlText w:val="•"/>
      <w:lvlJc w:val="left"/>
      <w:pPr>
        <w:ind w:left="1492" w:hanging="100"/>
      </w:pPr>
      <w:rPr>
        <w:rFonts w:hint="default"/>
      </w:rPr>
    </w:lvl>
    <w:lvl w:ilvl="6" w:tplc="DCA668EE">
      <w:numFmt w:val="bullet"/>
      <w:lvlText w:val="•"/>
      <w:lvlJc w:val="left"/>
      <w:pPr>
        <w:ind w:left="1758" w:hanging="100"/>
      </w:pPr>
      <w:rPr>
        <w:rFonts w:hint="default"/>
      </w:rPr>
    </w:lvl>
    <w:lvl w:ilvl="7" w:tplc="D5909412">
      <w:numFmt w:val="bullet"/>
      <w:lvlText w:val="•"/>
      <w:lvlJc w:val="left"/>
      <w:pPr>
        <w:ind w:left="2024" w:hanging="100"/>
      </w:pPr>
      <w:rPr>
        <w:rFonts w:hint="default"/>
      </w:rPr>
    </w:lvl>
    <w:lvl w:ilvl="8" w:tplc="FB4E8B3C">
      <w:numFmt w:val="bullet"/>
      <w:lvlText w:val="•"/>
      <w:lvlJc w:val="left"/>
      <w:pPr>
        <w:ind w:left="2291" w:hanging="100"/>
      </w:pPr>
      <w:rPr>
        <w:rFonts w:hint="default"/>
      </w:rPr>
    </w:lvl>
  </w:abstractNum>
  <w:abstractNum w:abstractNumId="2000" w15:restartNumberingAfterBreak="0">
    <w:nsid w:val="7D1C6922"/>
    <w:multiLevelType w:val="hybridMultilevel"/>
    <w:tmpl w:val="FD0A2EA4"/>
    <w:lvl w:ilvl="0" w:tplc="D514082E">
      <w:numFmt w:val="bullet"/>
      <w:lvlText w:val=""/>
      <w:lvlJc w:val="left"/>
      <w:pPr>
        <w:ind w:left="157" w:hanging="100"/>
      </w:pPr>
      <w:rPr>
        <w:rFonts w:ascii="Symbol" w:eastAsia="Symbol" w:hAnsi="Symbol" w:cs="Symbol" w:hint="default"/>
        <w:color w:val="231F20"/>
        <w:w w:val="100"/>
        <w:sz w:val="14"/>
        <w:szCs w:val="14"/>
      </w:rPr>
    </w:lvl>
    <w:lvl w:ilvl="1" w:tplc="3858D002">
      <w:numFmt w:val="bullet"/>
      <w:lvlText w:val="•"/>
      <w:lvlJc w:val="left"/>
      <w:pPr>
        <w:ind w:left="369" w:hanging="100"/>
      </w:pPr>
      <w:rPr>
        <w:rFonts w:hint="default"/>
      </w:rPr>
    </w:lvl>
    <w:lvl w:ilvl="2" w:tplc="5AE45E38">
      <w:numFmt w:val="bullet"/>
      <w:lvlText w:val="•"/>
      <w:lvlJc w:val="left"/>
      <w:pPr>
        <w:ind w:left="579" w:hanging="100"/>
      </w:pPr>
      <w:rPr>
        <w:rFonts w:hint="default"/>
      </w:rPr>
    </w:lvl>
    <w:lvl w:ilvl="3" w:tplc="271E073A">
      <w:numFmt w:val="bullet"/>
      <w:lvlText w:val="•"/>
      <w:lvlJc w:val="left"/>
      <w:pPr>
        <w:ind w:left="789" w:hanging="100"/>
      </w:pPr>
      <w:rPr>
        <w:rFonts w:hint="default"/>
      </w:rPr>
    </w:lvl>
    <w:lvl w:ilvl="4" w:tplc="94B0A5E6">
      <w:numFmt w:val="bullet"/>
      <w:lvlText w:val="•"/>
      <w:lvlJc w:val="left"/>
      <w:pPr>
        <w:ind w:left="998" w:hanging="100"/>
      </w:pPr>
      <w:rPr>
        <w:rFonts w:hint="default"/>
      </w:rPr>
    </w:lvl>
    <w:lvl w:ilvl="5" w:tplc="E8386270">
      <w:numFmt w:val="bullet"/>
      <w:lvlText w:val="•"/>
      <w:lvlJc w:val="left"/>
      <w:pPr>
        <w:ind w:left="1208" w:hanging="100"/>
      </w:pPr>
      <w:rPr>
        <w:rFonts w:hint="default"/>
      </w:rPr>
    </w:lvl>
    <w:lvl w:ilvl="6" w:tplc="E6644782">
      <w:numFmt w:val="bullet"/>
      <w:lvlText w:val="•"/>
      <w:lvlJc w:val="left"/>
      <w:pPr>
        <w:ind w:left="1418" w:hanging="100"/>
      </w:pPr>
      <w:rPr>
        <w:rFonts w:hint="default"/>
      </w:rPr>
    </w:lvl>
    <w:lvl w:ilvl="7" w:tplc="DD302B52">
      <w:numFmt w:val="bullet"/>
      <w:lvlText w:val="•"/>
      <w:lvlJc w:val="left"/>
      <w:pPr>
        <w:ind w:left="1627" w:hanging="100"/>
      </w:pPr>
      <w:rPr>
        <w:rFonts w:hint="default"/>
      </w:rPr>
    </w:lvl>
    <w:lvl w:ilvl="8" w:tplc="423ED6BC">
      <w:numFmt w:val="bullet"/>
      <w:lvlText w:val="•"/>
      <w:lvlJc w:val="left"/>
      <w:pPr>
        <w:ind w:left="1837" w:hanging="100"/>
      </w:pPr>
      <w:rPr>
        <w:rFonts w:hint="default"/>
      </w:rPr>
    </w:lvl>
  </w:abstractNum>
  <w:abstractNum w:abstractNumId="2001" w15:restartNumberingAfterBreak="0">
    <w:nsid w:val="7D241D98"/>
    <w:multiLevelType w:val="hybridMultilevel"/>
    <w:tmpl w:val="20FCEDAC"/>
    <w:lvl w:ilvl="0" w:tplc="72AA4528">
      <w:numFmt w:val="bullet"/>
      <w:lvlText w:val=""/>
      <w:lvlJc w:val="left"/>
      <w:pPr>
        <w:ind w:left="156" w:hanging="100"/>
      </w:pPr>
      <w:rPr>
        <w:rFonts w:ascii="Symbol" w:eastAsia="Symbol" w:hAnsi="Symbol" w:cs="Symbol" w:hint="default"/>
        <w:color w:val="231F20"/>
        <w:w w:val="100"/>
        <w:sz w:val="14"/>
        <w:szCs w:val="14"/>
      </w:rPr>
    </w:lvl>
    <w:lvl w:ilvl="1" w:tplc="62DADA60">
      <w:numFmt w:val="bullet"/>
      <w:lvlText w:val="•"/>
      <w:lvlJc w:val="left"/>
      <w:pPr>
        <w:ind w:left="301" w:hanging="100"/>
      </w:pPr>
      <w:rPr>
        <w:rFonts w:hint="default"/>
      </w:rPr>
    </w:lvl>
    <w:lvl w:ilvl="2" w:tplc="47C00F32">
      <w:numFmt w:val="bullet"/>
      <w:lvlText w:val="•"/>
      <w:lvlJc w:val="left"/>
      <w:pPr>
        <w:ind w:left="443" w:hanging="100"/>
      </w:pPr>
      <w:rPr>
        <w:rFonts w:hint="default"/>
      </w:rPr>
    </w:lvl>
    <w:lvl w:ilvl="3" w:tplc="39AA89DC">
      <w:numFmt w:val="bullet"/>
      <w:lvlText w:val="•"/>
      <w:lvlJc w:val="left"/>
      <w:pPr>
        <w:ind w:left="585" w:hanging="100"/>
      </w:pPr>
      <w:rPr>
        <w:rFonts w:hint="default"/>
      </w:rPr>
    </w:lvl>
    <w:lvl w:ilvl="4" w:tplc="27B00358">
      <w:numFmt w:val="bullet"/>
      <w:lvlText w:val="•"/>
      <w:lvlJc w:val="left"/>
      <w:pPr>
        <w:ind w:left="726" w:hanging="100"/>
      </w:pPr>
      <w:rPr>
        <w:rFonts w:hint="default"/>
      </w:rPr>
    </w:lvl>
    <w:lvl w:ilvl="5" w:tplc="A82A05BA">
      <w:numFmt w:val="bullet"/>
      <w:lvlText w:val="•"/>
      <w:lvlJc w:val="left"/>
      <w:pPr>
        <w:ind w:left="868" w:hanging="100"/>
      </w:pPr>
      <w:rPr>
        <w:rFonts w:hint="default"/>
      </w:rPr>
    </w:lvl>
    <w:lvl w:ilvl="6" w:tplc="0186B95C">
      <w:numFmt w:val="bullet"/>
      <w:lvlText w:val="•"/>
      <w:lvlJc w:val="left"/>
      <w:pPr>
        <w:ind w:left="1010" w:hanging="100"/>
      </w:pPr>
      <w:rPr>
        <w:rFonts w:hint="default"/>
      </w:rPr>
    </w:lvl>
    <w:lvl w:ilvl="7" w:tplc="A568FA2A">
      <w:numFmt w:val="bullet"/>
      <w:lvlText w:val="•"/>
      <w:lvlJc w:val="left"/>
      <w:pPr>
        <w:ind w:left="1151" w:hanging="100"/>
      </w:pPr>
      <w:rPr>
        <w:rFonts w:hint="default"/>
      </w:rPr>
    </w:lvl>
    <w:lvl w:ilvl="8" w:tplc="9E6AD264">
      <w:numFmt w:val="bullet"/>
      <w:lvlText w:val="•"/>
      <w:lvlJc w:val="left"/>
      <w:pPr>
        <w:ind w:left="1293" w:hanging="100"/>
      </w:pPr>
      <w:rPr>
        <w:rFonts w:hint="default"/>
      </w:rPr>
    </w:lvl>
  </w:abstractNum>
  <w:abstractNum w:abstractNumId="2002" w15:restartNumberingAfterBreak="0">
    <w:nsid w:val="7D592113"/>
    <w:multiLevelType w:val="hybridMultilevel"/>
    <w:tmpl w:val="39CEE0D6"/>
    <w:lvl w:ilvl="0" w:tplc="151E73B8">
      <w:numFmt w:val="bullet"/>
      <w:lvlText w:val=""/>
      <w:lvlJc w:val="left"/>
      <w:pPr>
        <w:ind w:left="156" w:hanging="100"/>
      </w:pPr>
      <w:rPr>
        <w:rFonts w:ascii="Symbol" w:eastAsia="Symbol" w:hAnsi="Symbol" w:cs="Symbol" w:hint="default"/>
        <w:color w:val="231F20"/>
        <w:w w:val="100"/>
        <w:sz w:val="14"/>
        <w:szCs w:val="14"/>
      </w:rPr>
    </w:lvl>
    <w:lvl w:ilvl="1" w:tplc="C57E19CE">
      <w:numFmt w:val="bullet"/>
      <w:lvlText w:val="•"/>
      <w:lvlJc w:val="left"/>
      <w:pPr>
        <w:ind w:left="301" w:hanging="100"/>
      </w:pPr>
      <w:rPr>
        <w:rFonts w:hint="default"/>
      </w:rPr>
    </w:lvl>
    <w:lvl w:ilvl="2" w:tplc="4E6ABD9E">
      <w:numFmt w:val="bullet"/>
      <w:lvlText w:val="•"/>
      <w:lvlJc w:val="left"/>
      <w:pPr>
        <w:ind w:left="443" w:hanging="100"/>
      </w:pPr>
      <w:rPr>
        <w:rFonts w:hint="default"/>
      </w:rPr>
    </w:lvl>
    <w:lvl w:ilvl="3" w:tplc="EF541E1E">
      <w:numFmt w:val="bullet"/>
      <w:lvlText w:val="•"/>
      <w:lvlJc w:val="left"/>
      <w:pPr>
        <w:ind w:left="585" w:hanging="100"/>
      </w:pPr>
      <w:rPr>
        <w:rFonts w:hint="default"/>
      </w:rPr>
    </w:lvl>
    <w:lvl w:ilvl="4" w:tplc="D87A3C8A">
      <w:numFmt w:val="bullet"/>
      <w:lvlText w:val="•"/>
      <w:lvlJc w:val="left"/>
      <w:pPr>
        <w:ind w:left="726" w:hanging="100"/>
      </w:pPr>
      <w:rPr>
        <w:rFonts w:hint="default"/>
      </w:rPr>
    </w:lvl>
    <w:lvl w:ilvl="5" w:tplc="E444C1D0">
      <w:numFmt w:val="bullet"/>
      <w:lvlText w:val="•"/>
      <w:lvlJc w:val="left"/>
      <w:pPr>
        <w:ind w:left="868" w:hanging="100"/>
      </w:pPr>
      <w:rPr>
        <w:rFonts w:hint="default"/>
      </w:rPr>
    </w:lvl>
    <w:lvl w:ilvl="6" w:tplc="EDA8077C">
      <w:numFmt w:val="bullet"/>
      <w:lvlText w:val="•"/>
      <w:lvlJc w:val="left"/>
      <w:pPr>
        <w:ind w:left="1010" w:hanging="100"/>
      </w:pPr>
      <w:rPr>
        <w:rFonts w:hint="default"/>
      </w:rPr>
    </w:lvl>
    <w:lvl w:ilvl="7" w:tplc="90A6A726">
      <w:numFmt w:val="bullet"/>
      <w:lvlText w:val="•"/>
      <w:lvlJc w:val="left"/>
      <w:pPr>
        <w:ind w:left="1151" w:hanging="100"/>
      </w:pPr>
      <w:rPr>
        <w:rFonts w:hint="default"/>
      </w:rPr>
    </w:lvl>
    <w:lvl w:ilvl="8" w:tplc="D8362DB6">
      <w:numFmt w:val="bullet"/>
      <w:lvlText w:val="•"/>
      <w:lvlJc w:val="left"/>
      <w:pPr>
        <w:ind w:left="1293" w:hanging="100"/>
      </w:pPr>
      <w:rPr>
        <w:rFonts w:hint="default"/>
      </w:rPr>
    </w:lvl>
  </w:abstractNum>
  <w:abstractNum w:abstractNumId="2003" w15:restartNumberingAfterBreak="0">
    <w:nsid w:val="7DA62006"/>
    <w:multiLevelType w:val="hybridMultilevel"/>
    <w:tmpl w:val="8FFC2950"/>
    <w:lvl w:ilvl="0" w:tplc="27402226">
      <w:numFmt w:val="bullet"/>
      <w:lvlText w:val=""/>
      <w:lvlJc w:val="left"/>
      <w:pPr>
        <w:ind w:left="157" w:hanging="100"/>
      </w:pPr>
      <w:rPr>
        <w:rFonts w:ascii="Symbol" w:eastAsia="Symbol" w:hAnsi="Symbol" w:cs="Symbol" w:hint="default"/>
        <w:color w:val="231F20"/>
        <w:w w:val="100"/>
        <w:sz w:val="14"/>
        <w:szCs w:val="14"/>
      </w:rPr>
    </w:lvl>
    <w:lvl w:ilvl="1" w:tplc="6A3AB654">
      <w:numFmt w:val="bullet"/>
      <w:lvlText w:val="•"/>
      <w:lvlJc w:val="left"/>
      <w:pPr>
        <w:ind w:left="426" w:hanging="100"/>
      </w:pPr>
      <w:rPr>
        <w:rFonts w:hint="default"/>
      </w:rPr>
    </w:lvl>
    <w:lvl w:ilvl="2" w:tplc="5EDCAF8E">
      <w:numFmt w:val="bullet"/>
      <w:lvlText w:val="•"/>
      <w:lvlJc w:val="left"/>
      <w:pPr>
        <w:ind w:left="692" w:hanging="100"/>
      </w:pPr>
      <w:rPr>
        <w:rFonts w:hint="default"/>
      </w:rPr>
    </w:lvl>
    <w:lvl w:ilvl="3" w:tplc="47E2046A">
      <w:numFmt w:val="bullet"/>
      <w:lvlText w:val="•"/>
      <w:lvlJc w:val="left"/>
      <w:pPr>
        <w:ind w:left="959" w:hanging="100"/>
      </w:pPr>
      <w:rPr>
        <w:rFonts w:hint="default"/>
      </w:rPr>
    </w:lvl>
    <w:lvl w:ilvl="4" w:tplc="BC14E196">
      <w:numFmt w:val="bullet"/>
      <w:lvlText w:val="•"/>
      <w:lvlJc w:val="left"/>
      <w:pPr>
        <w:ind w:left="1225" w:hanging="100"/>
      </w:pPr>
      <w:rPr>
        <w:rFonts w:hint="default"/>
      </w:rPr>
    </w:lvl>
    <w:lvl w:ilvl="5" w:tplc="BE344C80">
      <w:numFmt w:val="bullet"/>
      <w:lvlText w:val="•"/>
      <w:lvlJc w:val="left"/>
      <w:pPr>
        <w:ind w:left="1492" w:hanging="100"/>
      </w:pPr>
      <w:rPr>
        <w:rFonts w:hint="default"/>
      </w:rPr>
    </w:lvl>
    <w:lvl w:ilvl="6" w:tplc="1BD8A272">
      <w:numFmt w:val="bullet"/>
      <w:lvlText w:val="•"/>
      <w:lvlJc w:val="left"/>
      <w:pPr>
        <w:ind w:left="1758" w:hanging="100"/>
      </w:pPr>
      <w:rPr>
        <w:rFonts w:hint="default"/>
      </w:rPr>
    </w:lvl>
    <w:lvl w:ilvl="7" w:tplc="878809E4">
      <w:numFmt w:val="bullet"/>
      <w:lvlText w:val="•"/>
      <w:lvlJc w:val="left"/>
      <w:pPr>
        <w:ind w:left="2024" w:hanging="100"/>
      </w:pPr>
      <w:rPr>
        <w:rFonts w:hint="default"/>
      </w:rPr>
    </w:lvl>
    <w:lvl w:ilvl="8" w:tplc="BEDA5700">
      <w:numFmt w:val="bullet"/>
      <w:lvlText w:val="•"/>
      <w:lvlJc w:val="left"/>
      <w:pPr>
        <w:ind w:left="2291" w:hanging="100"/>
      </w:pPr>
      <w:rPr>
        <w:rFonts w:hint="default"/>
      </w:rPr>
    </w:lvl>
  </w:abstractNum>
  <w:abstractNum w:abstractNumId="2004" w15:restartNumberingAfterBreak="0">
    <w:nsid w:val="7DAC06AD"/>
    <w:multiLevelType w:val="hybridMultilevel"/>
    <w:tmpl w:val="91D4D4E4"/>
    <w:lvl w:ilvl="0" w:tplc="C1C8A956">
      <w:numFmt w:val="bullet"/>
      <w:lvlText w:val=""/>
      <w:lvlJc w:val="left"/>
      <w:pPr>
        <w:ind w:left="156" w:hanging="100"/>
      </w:pPr>
      <w:rPr>
        <w:rFonts w:ascii="Symbol" w:eastAsia="Symbol" w:hAnsi="Symbol" w:cs="Symbol" w:hint="default"/>
        <w:color w:val="231F20"/>
        <w:w w:val="100"/>
        <w:sz w:val="14"/>
        <w:szCs w:val="14"/>
      </w:rPr>
    </w:lvl>
    <w:lvl w:ilvl="1" w:tplc="F5820596">
      <w:numFmt w:val="bullet"/>
      <w:lvlText w:val="•"/>
      <w:lvlJc w:val="left"/>
      <w:pPr>
        <w:ind w:left="301" w:hanging="100"/>
      </w:pPr>
      <w:rPr>
        <w:rFonts w:hint="default"/>
      </w:rPr>
    </w:lvl>
    <w:lvl w:ilvl="2" w:tplc="9F003DB4">
      <w:numFmt w:val="bullet"/>
      <w:lvlText w:val="•"/>
      <w:lvlJc w:val="left"/>
      <w:pPr>
        <w:ind w:left="443" w:hanging="100"/>
      </w:pPr>
      <w:rPr>
        <w:rFonts w:hint="default"/>
      </w:rPr>
    </w:lvl>
    <w:lvl w:ilvl="3" w:tplc="78F6DBFA">
      <w:numFmt w:val="bullet"/>
      <w:lvlText w:val="•"/>
      <w:lvlJc w:val="left"/>
      <w:pPr>
        <w:ind w:left="585" w:hanging="100"/>
      </w:pPr>
      <w:rPr>
        <w:rFonts w:hint="default"/>
      </w:rPr>
    </w:lvl>
    <w:lvl w:ilvl="4" w:tplc="BB44CC30">
      <w:numFmt w:val="bullet"/>
      <w:lvlText w:val="•"/>
      <w:lvlJc w:val="left"/>
      <w:pPr>
        <w:ind w:left="726" w:hanging="100"/>
      </w:pPr>
      <w:rPr>
        <w:rFonts w:hint="default"/>
      </w:rPr>
    </w:lvl>
    <w:lvl w:ilvl="5" w:tplc="EB3AA7D8">
      <w:numFmt w:val="bullet"/>
      <w:lvlText w:val="•"/>
      <w:lvlJc w:val="left"/>
      <w:pPr>
        <w:ind w:left="868" w:hanging="100"/>
      </w:pPr>
      <w:rPr>
        <w:rFonts w:hint="default"/>
      </w:rPr>
    </w:lvl>
    <w:lvl w:ilvl="6" w:tplc="BCACA138">
      <w:numFmt w:val="bullet"/>
      <w:lvlText w:val="•"/>
      <w:lvlJc w:val="left"/>
      <w:pPr>
        <w:ind w:left="1010" w:hanging="100"/>
      </w:pPr>
      <w:rPr>
        <w:rFonts w:hint="default"/>
      </w:rPr>
    </w:lvl>
    <w:lvl w:ilvl="7" w:tplc="8AF8F320">
      <w:numFmt w:val="bullet"/>
      <w:lvlText w:val="•"/>
      <w:lvlJc w:val="left"/>
      <w:pPr>
        <w:ind w:left="1151" w:hanging="100"/>
      </w:pPr>
      <w:rPr>
        <w:rFonts w:hint="default"/>
      </w:rPr>
    </w:lvl>
    <w:lvl w:ilvl="8" w:tplc="D140FFBA">
      <w:numFmt w:val="bullet"/>
      <w:lvlText w:val="•"/>
      <w:lvlJc w:val="left"/>
      <w:pPr>
        <w:ind w:left="1293" w:hanging="100"/>
      </w:pPr>
      <w:rPr>
        <w:rFonts w:hint="default"/>
      </w:rPr>
    </w:lvl>
  </w:abstractNum>
  <w:abstractNum w:abstractNumId="2005" w15:restartNumberingAfterBreak="0">
    <w:nsid w:val="7DC70C27"/>
    <w:multiLevelType w:val="hybridMultilevel"/>
    <w:tmpl w:val="B9601E4A"/>
    <w:lvl w:ilvl="0" w:tplc="8566022E">
      <w:numFmt w:val="bullet"/>
      <w:lvlText w:val=""/>
      <w:lvlJc w:val="left"/>
      <w:pPr>
        <w:ind w:left="157" w:hanging="100"/>
      </w:pPr>
      <w:rPr>
        <w:rFonts w:ascii="Symbol" w:eastAsia="Symbol" w:hAnsi="Symbol" w:cs="Symbol" w:hint="default"/>
        <w:color w:val="231F20"/>
        <w:w w:val="100"/>
        <w:sz w:val="14"/>
        <w:szCs w:val="14"/>
      </w:rPr>
    </w:lvl>
    <w:lvl w:ilvl="1" w:tplc="E52444D0">
      <w:numFmt w:val="bullet"/>
      <w:lvlText w:val="•"/>
      <w:lvlJc w:val="left"/>
      <w:pPr>
        <w:ind w:left="426" w:hanging="100"/>
      </w:pPr>
      <w:rPr>
        <w:rFonts w:hint="default"/>
      </w:rPr>
    </w:lvl>
    <w:lvl w:ilvl="2" w:tplc="414EE010">
      <w:numFmt w:val="bullet"/>
      <w:lvlText w:val="•"/>
      <w:lvlJc w:val="left"/>
      <w:pPr>
        <w:ind w:left="692" w:hanging="100"/>
      </w:pPr>
      <w:rPr>
        <w:rFonts w:hint="default"/>
      </w:rPr>
    </w:lvl>
    <w:lvl w:ilvl="3" w:tplc="78245CD2">
      <w:numFmt w:val="bullet"/>
      <w:lvlText w:val="•"/>
      <w:lvlJc w:val="left"/>
      <w:pPr>
        <w:ind w:left="959" w:hanging="100"/>
      </w:pPr>
      <w:rPr>
        <w:rFonts w:hint="default"/>
      </w:rPr>
    </w:lvl>
    <w:lvl w:ilvl="4" w:tplc="5D80912E">
      <w:numFmt w:val="bullet"/>
      <w:lvlText w:val="•"/>
      <w:lvlJc w:val="left"/>
      <w:pPr>
        <w:ind w:left="1225" w:hanging="100"/>
      </w:pPr>
      <w:rPr>
        <w:rFonts w:hint="default"/>
      </w:rPr>
    </w:lvl>
    <w:lvl w:ilvl="5" w:tplc="36E4519C">
      <w:numFmt w:val="bullet"/>
      <w:lvlText w:val="•"/>
      <w:lvlJc w:val="left"/>
      <w:pPr>
        <w:ind w:left="1492" w:hanging="100"/>
      </w:pPr>
      <w:rPr>
        <w:rFonts w:hint="default"/>
      </w:rPr>
    </w:lvl>
    <w:lvl w:ilvl="6" w:tplc="37AC1CF0">
      <w:numFmt w:val="bullet"/>
      <w:lvlText w:val="•"/>
      <w:lvlJc w:val="left"/>
      <w:pPr>
        <w:ind w:left="1758" w:hanging="100"/>
      </w:pPr>
      <w:rPr>
        <w:rFonts w:hint="default"/>
      </w:rPr>
    </w:lvl>
    <w:lvl w:ilvl="7" w:tplc="9B50D9EC">
      <w:numFmt w:val="bullet"/>
      <w:lvlText w:val="•"/>
      <w:lvlJc w:val="left"/>
      <w:pPr>
        <w:ind w:left="2024" w:hanging="100"/>
      </w:pPr>
      <w:rPr>
        <w:rFonts w:hint="default"/>
      </w:rPr>
    </w:lvl>
    <w:lvl w:ilvl="8" w:tplc="AC22037E">
      <w:numFmt w:val="bullet"/>
      <w:lvlText w:val="•"/>
      <w:lvlJc w:val="left"/>
      <w:pPr>
        <w:ind w:left="2291" w:hanging="100"/>
      </w:pPr>
      <w:rPr>
        <w:rFonts w:hint="default"/>
      </w:rPr>
    </w:lvl>
  </w:abstractNum>
  <w:abstractNum w:abstractNumId="2006" w15:restartNumberingAfterBreak="0">
    <w:nsid w:val="7DCD7628"/>
    <w:multiLevelType w:val="hybridMultilevel"/>
    <w:tmpl w:val="55065298"/>
    <w:lvl w:ilvl="0" w:tplc="20DA92EE">
      <w:numFmt w:val="bullet"/>
      <w:lvlText w:val=""/>
      <w:lvlJc w:val="left"/>
      <w:pPr>
        <w:ind w:left="156" w:hanging="100"/>
      </w:pPr>
      <w:rPr>
        <w:rFonts w:ascii="Symbol" w:eastAsia="Symbol" w:hAnsi="Symbol" w:cs="Symbol" w:hint="default"/>
        <w:color w:val="231F20"/>
        <w:w w:val="100"/>
        <w:sz w:val="14"/>
        <w:szCs w:val="14"/>
      </w:rPr>
    </w:lvl>
    <w:lvl w:ilvl="1" w:tplc="58A2B37E">
      <w:numFmt w:val="bullet"/>
      <w:lvlText w:val="•"/>
      <w:lvlJc w:val="left"/>
      <w:pPr>
        <w:ind w:left="273" w:hanging="100"/>
      </w:pPr>
      <w:rPr>
        <w:rFonts w:hint="default"/>
      </w:rPr>
    </w:lvl>
    <w:lvl w:ilvl="2" w:tplc="94785F2C">
      <w:numFmt w:val="bullet"/>
      <w:lvlText w:val="•"/>
      <w:lvlJc w:val="left"/>
      <w:pPr>
        <w:ind w:left="386" w:hanging="100"/>
      </w:pPr>
      <w:rPr>
        <w:rFonts w:hint="default"/>
      </w:rPr>
    </w:lvl>
    <w:lvl w:ilvl="3" w:tplc="ABE065A4">
      <w:numFmt w:val="bullet"/>
      <w:lvlText w:val="•"/>
      <w:lvlJc w:val="left"/>
      <w:pPr>
        <w:ind w:left="500" w:hanging="100"/>
      </w:pPr>
      <w:rPr>
        <w:rFonts w:hint="default"/>
      </w:rPr>
    </w:lvl>
    <w:lvl w:ilvl="4" w:tplc="E122942E">
      <w:numFmt w:val="bullet"/>
      <w:lvlText w:val="•"/>
      <w:lvlJc w:val="left"/>
      <w:pPr>
        <w:ind w:left="613" w:hanging="100"/>
      </w:pPr>
      <w:rPr>
        <w:rFonts w:hint="default"/>
      </w:rPr>
    </w:lvl>
    <w:lvl w:ilvl="5" w:tplc="286C188A">
      <w:numFmt w:val="bullet"/>
      <w:lvlText w:val="•"/>
      <w:lvlJc w:val="left"/>
      <w:pPr>
        <w:ind w:left="727" w:hanging="100"/>
      </w:pPr>
      <w:rPr>
        <w:rFonts w:hint="default"/>
      </w:rPr>
    </w:lvl>
    <w:lvl w:ilvl="6" w:tplc="EDC8B31A">
      <w:numFmt w:val="bullet"/>
      <w:lvlText w:val="•"/>
      <w:lvlJc w:val="left"/>
      <w:pPr>
        <w:ind w:left="840" w:hanging="100"/>
      </w:pPr>
      <w:rPr>
        <w:rFonts w:hint="default"/>
      </w:rPr>
    </w:lvl>
    <w:lvl w:ilvl="7" w:tplc="5CC4616E">
      <w:numFmt w:val="bullet"/>
      <w:lvlText w:val="•"/>
      <w:lvlJc w:val="left"/>
      <w:pPr>
        <w:ind w:left="953" w:hanging="100"/>
      </w:pPr>
      <w:rPr>
        <w:rFonts w:hint="default"/>
      </w:rPr>
    </w:lvl>
    <w:lvl w:ilvl="8" w:tplc="5558AA12">
      <w:numFmt w:val="bullet"/>
      <w:lvlText w:val="•"/>
      <w:lvlJc w:val="left"/>
      <w:pPr>
        <w:ind w:left="1067" w:hanging="100"/>
      </w:pPr>
      <w:rPr>
        <w:rFonts w:hint="default"/>
      </w:rPr>
    </w:lvl>
  </w:abstractNum>
  <w:abstractNum w:abstractNumId="2007" w15:restartNumberingAfterBreak="0">
    <w:nsid w:val="7DDF266F"/>
    <w:multiLevelType w:val="hybridMultilevel"/>
    <w:tmpl w:val="431AB84C"/>
    <w:lvl w:ilvl="0" w:tplc="EA045F1E">
      <w:numFmt w:val="bullet"/>
      <w:lvlText w:val=""/>
      <w:lvlJc w:val="left"/>
      <w:pPr>
        <w:ind w:left="157" w:hanging="100"/>
      </w:pPr>
      <w:rPr>
        <w:rFonts w:ascii="Symbol" w:eastAsia="Symbol" w:hAnsi="Symbol" w:cs="Symbol" w:hint="default"/>
        <w:color w:val="231F20"/>
        <w:w w:val="100"/>
        <w:sz w:val="14"/>
        <w:szCs w:val="14"/>
      </w:rPr>
    </w:lvl>
    <w:lvl w:ilvl="1" w:tplc="643837F0">
      <w:numFmt w:val="bullet"/>
      <w:lvlText w:val="•"/>
      <w:lvlJc w:val="left"/>
      <w:pPr>
        <w:ind w:left="369" w:hanging="100"/>
      </w:pPr>
      <w:rPr>
        <w:rFonts w:hint="default"/>
      </w:rPr>
    </w:lvl>
    <w:lvl w:ilvl="2" w:tplc="414EBBFC">
      <w:numFmt w:val="bullet"/>
      <w:lvlText w:val="•"/>
      <w:lvlJc w:val="left"/>
      <w:pPr>
        <w:ind w:left="579" w:hanging="100"/>
      </w:pPr>
      <w:rPr>
        <w:rFonts w:hint="default"/>
      </w:rPr>
    </w:lvl>
    <w:lvl w:ilvl="3" w:tplc="31D0821E">
      <w:numFmt w:val="bullet"/>
      <w:lvlText w:val="•"/>
      <w:lvlJc w:val="left"/>
      <w:pPr>
        <w:ind w:left="789" w:hanging="100"/>
      </w:pPr>
      <w:rPr>
        <w:rFonts w:hint="default"/>
      </w:rPr>
    </w:lvl>
    <w:lvl w:ilvl="4" w:tplc="2B8E5992">
      <w:numFmt w:val="bullet"/>
      <w:lvlText w:val="•"/>
      <w:lvlJc w:val="left"/>
      <w:pPr>
        <w:ind w:left="998" w:hanging="100"/>
      </w:pPr>
      <w:rPr>
        <w:rFonts w:hint="default"/>
      </w:rPr>
    </w:lvl>
    <w:lvl w:ilvl="5" w:tplc="A9C8DA4E">
      <w:numFmt w:val="bullet"/>
      <w:lvlText w:val="•"/>
      <w:lvlJc w:val="left"/>
      <w:pPr>
        <w:ind w:left="1208" w:hanging="100"/>
      </w:pPr>
      <w:rPr>
        <w:rFonts w:hint="default"/>
      </w:rPr>
    </w:lvl>
    <w:lvl w:ilvl="6" w:tplc="85962B62">
      <w:numFmt w:val="bullet"/>
      <w:lvlText w:val="•"/>
      <w:lvlJc w:val="left"/>
      <w:pPr>
        <w:ind w:left="1418" w:hanging="100"/>
      </w:pPr>
      <w:rPr>
        <w:rFonts w:hint="default"/>
      </w:rPr>
    </w:lvl>
    <w:lvl w:ilvl="7" w:tplc="D4AC5DCA">
      <w:numFmt w:val="bullet"/>
      <w:lvlText w:val="•"/>
      <w:lvlJc w:val="left"/>
      <w:pPr>
        <w:ind w:left="1627" w:hanging="100"/>
      </w:pPr>
      <w:rPr>
        <w:rFonts w:hint="default"/>
      </w:rPr>
    </w:lvl>
    <w:lvl w:ilvl="8" w:tplc="72C0AE92">
      <w:numFmt w:val="bullet"/>
      <w:lvlText w:val="•"/>
      <w:lvlJc w:val="left"/>
      <w:pPr>
        <w:ind w:left="1837" w:hanging="100"/>
      </w:pPr>
      <w:rPr>
        <w:rFonts w:hint="default"/>
      </w:rPr>
    </w:lvl>
  </w:abstractNum>
  <w:abstractNum w:abstractNumId="2008" w15:restartNumberingAfterBreak="0">
    <w:nsid w:val="7DE179BD"/>
    <w:multiLevelType w:val="hybridMultilevel"/>
    <w:tmpl w:val="3500AA66"/>
    <w:lvl w:ilvl="0" w:tplc="7E12F066">
      <w:numFmt w:val="bullet"/>
      <w:lvlText w:val=""/>
      <w:lvlJc w:val="left"/>
      <w:pPr>
        <w:ind w:left="157" w:hanging="100"/>
      </w:pPr>
      <w:rPr>
        <w:rFonts w:ascii="Symbol" w:eastAsia="Symbol" w:hAnsi="Symbol" w:cs="Symbol" w:hint="default"/>
        <w:color w:val="231F20"/>
        <w:w w:val="100"/>
        <w:sz w:val="14"/>
        <w:szCs w:val="14"/>
      </w:rPr>
    </w:lvl>
    <w:lvl w:ilvl="1" w:tplc="2F82D942">
      <w:numFmt w:val="bullet"/>
      <w:lvlText w:val="•"/>
      <w:lvlJc w:val="left"/>
      <w:pPr>
        <w:ind w:left="369" w:hanging="100"/>
      </w:pPr>
      <w:rPr>
        <w:rFonts w:hint="default"/>
      </w:rPr>
    </w:lvl>
    <w:lvl w:ilvl="2" w:tplc="6CE290BE">
      <w:numFmt w:val="bullet"/>
      <w:lvlText w:val="•"/>
      <w:lvlJc w:val="left"/>
      <w:pPr>
        <w:ind w:left="579" w:hanging="100"/>
      </w:pPr>
      <w:rPr>
        <w:rFonts w:hint="default"/>
      </w:rPr>
    </w:lvl>
    <w:lvl w:ilvl="3" w:tplc="5248073C">
      <w:numFmt w:val="bullet"/>
      <w:lvlText w:val="•"/>
      <w:lvlJc w:val="left"/>
      <w:pPr>
        <w:ind w:left="789" w:hanging="100"/>
      </w:pPr>
      <w:rPr>
        <w:rFonts w:hint="default"/>
      </w:rPr>
    </w:lvl>
    <w:lvl w:ilvl="4" w:tplc="01CA227C">
      <w:numFmt w:val="bullet"/>
      <w:lvlText w:val="•"/>
      <w:lvlJc w:val="left"/>
      <w:pPr>
        <w:ind w:left="998" w:hanging="100"/>
      </w:pPr>
      <w:rPr>
        <w:rFonts w:hint="default"/>
      </w:rPr>
    </w:lvl>
    <w:lvl w:ilvl="5" w:tplc="6674CDD4">
      <w:numFmt w:val="bullet"/>
      <w:lvlText w:val="•"/>
      <w:lvlJc w:val="left"/>
      <w:pPr>
        <w:ind w:left="1208" w:hanging="100"/>
      </w:pPr>
      <w:rPr>
        <w:rFonts w:hint="default"/>
      </w:rPr>
    </w:lvl>
    <w:lvl w:ilvl="6" w:tplc="FDFEC562">
      <w:numFmt w:val="bullet"/>
      <w:lvlText w:val="•"/>
      <w:lvlJc w:val="left"/>
      <w:pPr>
        <w:ind w:left="1418" w:hanging="100"/>
      </w:pPr>
      <w:rPr>
        <w:rFonts w:hint="default"/>
      </w:rPr>
    </w:lvl>
    <w:lvl w:ilvl="7" w:tplc="DB38941E">
      <w:numFmt w:val="bullet"/>
      <w:lvlText w:val="•"/>
      <w:lvlJc w:val="left"/>
      <w:pPr>
        <w:ind w:left="1627" w:hanging="100"/>
      </w:pPr>
      <w:rPr>
        <w:rFonts w:hint="default"/>
      </w:rPr>
    </w:lvl>
    <w:lvl w:ilvl="8" w:tplc="F078EC9C">
      <w:numFmt w:val="bullet"/>
      <w:lvlText w:val="•"/>
      <w:lvlJc w:val="left"/>
      <w:pPr>
        <w:ind w:left="1837" w:hanging="100"/>
      </w:pPr>
      <w:rPr>
        <w:rFonts w:hint="default"/>
      </w:rPr>
    </w:lvl>
  </w:abstractNum>
  <w:abstractNum w:abstractNumId="2009" w15:restartNumberingAfterBreak="0">
    <w:nsid w:val="7DE34EDF"/>
    <w:multiLevelType w:val="hybridMultilevel"/>
    <w:tmpl w:val="139C898C"/>
    <w:lvl w:ilvl="0" w:tplc="3E4AFC16">
      <w:numFmt w:val="bullet"/>
      <w:lvlText w:val=""/>
      <w:lvlJc w:val="left"/>
      <w:pPr>
        <w:ind w:left="156" w:hanging="100"/>
      </w:pPr>
      <w:rPr>
        <w:rFonts w:ascii="Symbol" w:eastAsia="Symbol" w:hAnsi="Symbol" w:cs="Symbol" w:hint="default"/>
        <w:color w:val="231F20"/>
        <w:w w:val="100"/>
        <w:sz w:val="14"/>
        <w:szCs w:val="14"/>
      </w:rPr>
    </w:lvl>
    <w:lvl w:ilvl="1" w:tplc="6820F02A">
      <w:numFmt w:val="bullet"/>
      <w:lvlText w:val="•"/>
      <w:lvlJc w:val="left"/>
      <w:pPr>
        <w:ind w:left="273" w:hanging="100"/>
      </w:pPr>
      <w:rPr>
        <w:rFonts w:hint="default"/>
      </w:rPr>
    </w:lvl>
    <w:lvl w:ilvl="2" w:tplc="4176A658">
      <w:numFmt w:val="bullet"/>
      <w:lvlText w:val="•"/>
      <w:lvlJc w:val="left"/>
      <w:pPr>
        <w:ind w:left="386" w:hanging="100"/>
      </w:pPr>
      <w:rPr>
        <w:rFonts w:hint="default"/>
      </w:rPr>
    </w:lvl>
    <w:lvl w:ilvl="3" w:tplc="22462C2E">
      <w:numFmt w:val="bullet"/>
      <w:lvlText w:val="•"/>
      <w:lvlJc w:val="left"/>
      <w:pPr>
        <w:ind w:left="500" w:hanging="100"/>
      </w:pPr>
      <w:rPr>
        <w:rFonts w:hint="default"/>
      </w:rPr>
    </w:lvl>
    <w:lvl w:ilvl="4" w:tplc="6FAED876">
      <w:numFmt w:val="bullet"/>
      <w:lvlText w:val="•"/>
      <w:lvlJc w:val="left"/>
      <w:pPr>
        <w:ind w:left="613" w:hanging="100"/>
      </w:pPr>
      <w:rPr>
        <w:rFonts w:hint="default"/>
      </w:rPr>
    </w:lvl>
    <w:lvl w:ilvl="5" w:tplc="A4EC9F38">
      <w:numFmt w:val="bullet"/>
      <w:lvlText w:val="•"/>
      <w:lvlJc w:val="left"/>
      <w:pPr>
        <w:ind w:left="727" w:hanging="100"/>
      </w:pPr>
      <w:rPr>
        <w:rFonts w:hint="default"/>
      </w:rPr>
    </w:lvl>
    <w:lvl w:ilvl="6" w:tplc="B496720A">
      <w:numFmt w:val="bullet"/>
      <w:lvlText w:val="•"/>
      <w:lvlJc w:val="left"/>
      <w:pPr>
        <w:ind w:left="840" w:hanging="100"/>
      </w:pPr>
      <w:rPr>
        <w:rFonts w:hint="default"/>
      </w:rPr>
    </w:lvl>
    <w:lvl w:ilvl="7" w:tplc="638C5E3A">
      <w:numFmt w:val="bullet"/>
      <w:lvlText w:val="•"/>
      <w:lvlJc w:val="left"/>
      <w:pPr>
        <w:ind w:left="953" w:hanging="100"/>
      </w:pPr>
      <w:rPr>
        <w:rFonts w:hint="default"/>
      </w:rPr>
    </w:lvl>
    <w:lvl w:ilvl="8" w:tplc="3D543062">
      <w:numFmt w:val="bullet"/>
      <w:lvlText w:val="•"/>
      <w:lvlJc w:val="left"/>
      <w:pPr>
        <w:ind w:left="1067" w:hanging="100"/>
      </w:pPr>
      <w:rPr>
        <w:rFonts w:hint="default"/>
      </w:rPr>
    </w:lvl>
  </w:abstractNum>
  <w:abstractNum w:abstractNumId="2010" w15:restartNumberingAfterBreak="0">
    <w:nsid w:val="7DFC6FEF"/>
    <w:multiLevelType w:val="hybridMultilevel"/>
    <w:tmpl w:val="E10E75D0"/>
    <w:lvl w:ilvl="0" w:tplc="1182E632">
      <w:numFmt w:val="bullet"/>
      <w:lvlText w:val=""/>
      <w:lvlJc w:val="left"/>
      <w:pPr>
        <w:ind w:left="157" w:hanging="100"/>
      </w:pPr>
      <w:rPr>
        <w:rFonts w:ascii="Symbol" w:eastAsia="Symbol" w:hAnsi="Symbol" w:cs="Symbol" w:hint="default"/>
        <w:color w:val="231F20"/>
        <w:w w:val="100"/>
        <w:sz w:val="14"/>
        <w:szCs w:val="14"/>
      </w:rPr>
    </w:lvl>
    <w:lvl w:ilvl="1" w:tplc="D18ED8F0">
      <w:numFmt w:val="bullet"/>
      <w:lvlText w:val="•"/>
      <w:lvlJc w:val="left"/>
      <w:pPr>
        <w:ind w:left="369" w:hanging="100"/>
      </w:pPr>
      <w:rPr>
        <w:rFonts w:hint="default"/>
      </w:rPr>
    </w:lvl>
    <w:lvl w:ilvl="2" w:tplc="EA8CAA8C">
      <w:numFmt w:val="bullet"/>
      <w:lvlText w:val="•"/>
      <w:lvlJc w:val="left"/>
      <w:pPr>
        <w:ind w:left="579" w:hanging="100"/>
      </w:pPr>
      <w:rPr>
        <w:rFonts w:hint="default"/>
      </w:rPr>
    </w:lvl>
    <w:lvl w:ilvl="3" w:tplc="5A76E1BA">
      <w:numFmt w:val="bullet"/>
      <w:lvlText w:val="•"/>
      <w:lvlJc w:val="left"/>
      <w:pPr>
        <w:ind w:left="789" w:hanging="100"/>
      </w:pPr>
      <w:rPr>
        <w:rFonts w:hint="default"/>
      </w:rPr>
    </w:lvl>
    <w:lvl w:ilvl="4" w:tplc="1B2E1496">
      <w:numFmt w:val="bullet"/>
      <w:lvlText w:val="•"/>
      <w:lvlJc w:val="left"/>
      <w:pPr>
        <w:ind w:left="998" w:hanging="100"/>
      </w:pPr>
      <w:rPr>
        <w:rFonts w:hint="default"/>
      </w:rPr>
    </w:lvl>
    <w:lvl w:ilvl="5" w:tplc="163AFACA">
      <w:numFmt w:val="bullet"/>
      <w:lvlText w:val="•"/>
      <w:lvlJc w:val="left"/>
      <w:pPr>
        <w:ind w:left="1208" w:hanging="100"/>
      </w:pPr>
      <w:rPr>
        <w:rFonts w:hint="default"/>
      </w:rPr>
    </w:lvl>
    <w:lvl w:ilvl="6" w:tplc="C7964B26">
      <w:numFmt w:val="bullet"/>
      <w:lvlText w:val="•"/>
      <w:lvlJc w:val="left"/>
      <w:pPr>
        <w:ind w:left="1418" w:hanging="100"/>
      </w:pPr>
      <w:rPr>
        <w:rFonts w:hint="default"/>
      </w:rPr>
    </w:lvl>
    <w:lvl w:ilvl="7" w:tplc="697E7A9A">
      <w:numFmt w:val="bullet"/>
      <w:lvlText w:val="•"/>
      <w:lvlJc w:val="left"/>
      <w:pPr>
        <w:ind w:left="1627" w:hanging="100"/>
      </w:pPr>
      <w:rPr>
        <w:rFonts w:hint="default"/>
      </w:rPr>
    </w:lvl>
    <w:lvl w:ilvl="8" w:tplc="D1100238">
      <w:numFmt w:val="bullet"/>
      <w:lvlText w:val="•"/>
      <w:lvlJc w:val="left"/>
      <w:pPr>
        <w:ind w:left="1837" w:hanging="100"/>
      </w:pPr>
      <w:rPr>
        <w:rFonts w:hint="default"/>
      </w:rPr>
    </w:lvl>
  </w:abstractNum>
  <w:abstractNum w:abstractNumId="2011" w15:restartNumberingAfterBreak="0">
    <w:nsid w:val="7E026F6B"/>
    <w:multiLevelType w:val="hybridMultilevel"/>
    <w:tmpl w:val="36D023D8"/>
    <w:lvl w:ilvl="0" w:tplc="98824CE2">
      <w:numFmt w:val="bullet"/>
      <w:lvlText w:val=""/>
      <w:lvlJc w:val="left"/>
      <w:pPr>
        <w:ind w:left="156" w:hanging="100"/>
      </w:pPr>
      <w:rPr>
        <w:rFonts w:ascii="Symbol" w:eastAsia="Symbol" w:hAnsi="Symbol" w:cs="Symbol" w:hint="default"/>
        <w:color w:val="231F20"/>
        <w:w w:val="100"/>
        <w:sz w:val="14"/>
        <w:szCs w:val="14"/>
      </w:rPr>
    </w:lvl>
    <w:lvl w:ilvl="1" w:tplc="F4F84DA8">
      <w:numFmt w:val="bullet"/>
      <w:lvlText w:val="•"/>
      <w:lvlJc w:val="left"/>
      <w:pPr>
        <w:ind w:left="398" w:hanging="100"/>
      </w:pPr>
      <w:rPr>
        <w:rFonts w:hint="default"/>
      </w:rPr>
    </w:lvl>
    <w:lvl w:ilvl="2" w:tplc="8C0ADE8E">
      <w:numFmt w:val="bullet"/>
      <w:lvlText w:val="•"/>
      <w:lvlJc w:val="left"/>
      <w:pPr>
        <w:ind w:left="636" w:hanging="100"/>
      </w:pPr>
      <w:rPr>
        <w:rFonts w:hint="default"/>
      </w:rPr>
    </w:lvl>
    <w:lvl w:ilvl="3" w:tplc="9D00A296">
      <w:numFmt w:val="bullet"/>
      <w:lvlText w:val="•"/>
      <w:lvlJc w:val="left"/>
      <w:pPr>
        <w:ind w:left="874" w:hanging="100"/>
      </w:pPr>
      <w:rPr>
        <w:rFonts w:hint="default"/>
      </w:rPr>
    </w:lvl>
    <w:lvl w:ilvl="4" w:tplc="F3AEEA68">
      <w:numFmt w:val="bullet"/>
      <w:lvlText w:val="•"/>
      <w:lvlJc w:val="left"/>
      <w:pPr>
        <w:ind w:left="1112" w:hanging="100"/>
      </w:pPr>
      <w:rPr>
        <w:rFonts w:hint="default"/>
      </w:rPr>
    </w:lvl>
    <w:lvl w:ilvl="5" w:tplc="487A00BE">
      <w:numFmt w:val="bullet"/>
      <w:lvlText w:val="•"/>
      <w:lvlJc w:val="left"/>
      <w:pPr>
        <w:ind w:left="1350" w:hanging="100"/>
      </w:pPr>
      <w:rPr>
        <w:rFonts w:hint="default"/>
      </w:rPr>
    </w:lvl>
    <w:lvl w:ilvl="6" w:tplc="C34844C4">
      <w:numFmt w:val="bullet"/>
      <w:lvlText w:val="•"/>
      <w:lvlJc w:val="left"/>
      <w:pPr>
        <w:ind w:left="1588" w:hanging="100"/>
      </w:pPr>
      <w:rPr>
        <w:rFonts w:hint="default"/>
      </w:rPr>
    </w:lvl>
    <w:lvl w:ilvl="7" w:tplc="A5DA4A08">
      <w:numFmt w:val="bullet"/>
      <w:lvlText w:val="•"/>
      <w:lvlJc w:val="left"/>
      <w:pPr>
        <w:ind w:left="1826" w:hanging="100"/>
      </w:pPr>
      <w:rPr>
        <w:rFonts w:hint="default"/>
      </w:rPr>
    </w:lvl>
    <w:lvl w:ilvl="8" w:tplc="7D2A2DE4">
      <w:numFmt w:val="bullet"/>
      <w:lvlText w:val="•"/>
      <w:lvlJc w:val="left"/>
      <w:pPr>
        <w:ind w:left="2064" w:hanging="100"/>
      </w:pPr>
      <w:rPr>
        <w:rFonts w:hint="default"/>
      </w:rPr>
    </w:lvl>
  </w:abstractNum>
  <w:abstractNum w:abstractNumId="2012" w15:restartNumberingAfterBreak="0">
    <w:nsid w:val="7E0B49E6"/>
    <w:multiLevelType w:val="hybridMultilevel"/>
    <w:tmpl w:val="70B8B8A4"/>
    <w:lvl w:ilvl="0" w:tplc="FE70C066">
      <w:numFmt w:val="bullet"/>
      <w:lvlText w:val=""/>
      <w:lvlJc w:val="left"/>
      <w:pPr>
        <w:ind w:left="157" w:hanging="100"/>
      </w:pPr>
      <w:rPr>
        <w:rFonts w:ascii="Symbol" w:eastAsia="Symbol" w:hAnsi="Symbol" w:cs="Symbol" w:hint="default"/>
        <w:color w:val="231F20"/>
        <w:w w:val="100"/>
        <w:sz w:val="14"/>
        <w:szCs w:val="14"/>
      </w:rPr>
    </w:lvl>
    <w:lvl w:ilvl="1" w:tplc="A5EE42F2">
      <w:numFmt w:val="bullet"/>
      <w:lvlText w:val="•"/>
      <w:lvlJc w:val="left"/>
      <w:pPr>
        <w:ind w:left="369" w:hanging="100"/>
      </w:pPr>
      <w:rPr>
        <w:rFonts w:hint="default"/>
      </w:rPr>
    </w:lvl>
    <w:lvl w:ilvl="2" w:tplc="A192D4CE">
      <w:numFmt w:val="bullet"/>
      <w:lvlText w:val="•"/>
      <w:lvlJc w:val="left"/>
      <w:pPr>
        <w:ind w:left="579" w:hanging="100"/>
      </w:pPr>
      <w:rPr>
        <w:rFonts w:hint="default"/>
      </w:rPr>
    </w:lvl>
    <w:lvl w:ilvl="3" w:tplc="95F0A3A4">
      <w:numFmt w:val="bullet"/>
      <w:lvlText w:val="•"/>
      <w:lvlJc w:val="left"/>
      <w:pPr>
        <w:ind w:left="789" w:hanging="100"/>
      </w:pPr>
      <w:rPr>
        <w:rFonts w:hint="default"/>
      </w:rPr>
    </w:lvl>
    <w:lvl w:ilvl="4" w:tplc="61EE6E36">
      <w:numFmt w:val="bullet"/>
      <w:lvlText w:val="•"/>
      <w:lvlJc w:val="left"/>
      <w:pPr>
        <w:ind w:left="998" w:hanging="100"/>
      </w:pPr>
      <w:rPr>
        <w:rFonts w:hint="default"/>
      </w:rPr>
    </w:lvl>
    <w:lvl w:ilvl="5" w:tplc="859C126C">
      <w:numFmt w:val="bullet"/>
      <w:lvlText w:val="•"/>
      <w:lvlJc w:val="left"/>
      <w:pPr>
        <w:ind w:left="1208" w:hanging="100"/>
      </w:pPr>
      <w:rPr>
        <w:rFonts w:hint="default"/>
      </w:rPr>
    </w:lvl>
    <w:lvl w:ilvl="6" w:tplc="1E0C3388">
      <w:numFmt w:val="bullet"/>
      <w:lvlText w:val="•"/>
      <w:lvlJc w:val="left"/>
      <w:pPr>
        <w:ind w:left="1418" w:hanging="100"/>
      </w:pPr>
      <w:rPr>
        <w:rFonts w:hint="default"/>
      </w:rPr>
    </w:lvl>
    <w:lvl w:ilvl="7" w:tplc="673CFFC4">
      <w:numFmt w:val="bullet"/>
      <w:lvlText w:val="•"/>
      <w:lvlJc w:val="left"/>
      <w:pPr>
        <w:ind w:left="1627" w:hanging="100"/>
      </w:pPr>
      <w:rPr>
        <w:rFonts w:hint="default"/>
      </w:rPr>
    </w:lvl>
    <w:lvl w:ilvl="8" w:tplc="B65ECCE8">
      <w:numFmt w:val="bullet"/>
      <w:lvlText w:val="•"/>
      <w:lvlJc w:val="left"/>
      <w:pPr>
        <w:ind w:left="1837" w:hanging="100"/>
      </w:pPr>
      <w:rPr>
        <w:rFonts w:hint="default"/>
      </w:rPr>
    </w:lvl>
  </w:abstractNum>
  <w:abstractNum w:abstractNumId="2013" w15:restartNumberingAfterBreak="0">
    <w:nsid w:val="7E0B51B8"/>
    <w:multiLevelType w:val="hybridMultilevel"/>
    <w:tmpl w:val="9BB4B3BC"/>
    <w:lvl w:ilvl="0" w:tplc="A73E86CC">
      <w:numFmt w:val="bullet"/>
      <w:lvlText w:val=""/>
      <w:lvlJc w:val="left"/>
      <w:pPr>
        <w:ind w:left="157" w:hanging="100"/>
      </w:pPr>
      <w:rPr>
        <w:rFonts w:ascii="Symbol" w:eastAsia="Symbol" w:hAnsi="Symbol" w:cs="Symbol" w:hint="default"/>
        <w:color w:val="231F20"/>
        <w:w w:val="100"/>
        <w:sz w:val="14"/>
        <w:szCs w:val="14"/>
      </w:rPr>
    </w:lvl>
    <w:lvl w:ilvl="1" w:tplc="DC763668">
      <w:numFmt w:val="bullet"/>
      <w:lvlText w:val="•"/>
      <w:lvlJc w:val="left"/>
      <w:pPr>
        <w:ind w:left="369" w:hanging="100"/>
      </w:pPr>
      <w:rPr>
        <w:rFonts w:hint="default"/>
      </w:rPr>
    </w:lvl>
    <w:lvl w:ilvl="2" w:tplc="B6EAE62A">
      <w:numFmt w:val="bullet"/>
      <w:lvlText w:val="•"/>
      <w:lvlJc w:val="left"/>
      <w:pPr>
        <w:ind w:left="579" w:hanging="100"/>
      </w:pPr>
      <w:rPr>
        <w:rFonts w:hint="default"/>
      </w:rPr>
    </w:lvl>
    <w:lvl w:ilvl="3" w:tplc="7A70A620">
      <w:numFmt w:val="bullet"/>
      <w:lvlText w:val="•"/>
      <w:lvlJc w:val="left"/>
      <w:pPr>
        <w:ind w:left="789" w:hanging="100"/>
      </w:pPr>
      <w:rPr>
        <w:rFonts w:hint="default"/>
      </w:rPr>
    </w:lvl>
    <w:lvl w:ilvl="4" w:tplc="98BAA7B8">
      <w:numFmt w:val="bullet"/>
      <w:lvlText w:val="•"/>
      <w:lvlJc w:val="left"/>
      <w:pPr>
        <w:ind w:left="998" w:hanging="100"/>
      </w:pPr>
      <w:rPr>
        <w:rFonts w:hint="default"/>
      </w:rPr>
    </w:lvl>
    <w:lvl w:ilvl="5" w:tplc="AE64D9A8">
      <w:numFmt w:val="bullet"/>
      <w:lvlText w:val="•"/>
      <w:lvlJc w:val="left"/>
      <w:pPr>
        <w:ind w:left="1208" w:hanging="100"/>
      </w:pPr>
      <w:rPr>
        <w:rFonts w:hint="default"/>
      </w:rPr>
    </w:lvl>
    <w:lvl w:ilvl="6" w:tplc="ACB88938">
      <w:numFmt w:val="bullet"/>
      <w:lvlText w:val="•"/>
      <w:lvlJc w:val="left"/>
      <w:pPr>
        <w:ind w:left="1418" w:hanging="100"/>
      </w:pPr>
      <w:rPr>
        <w:rFonts w:hint="default"/>
      </w:rPr>
    </w:lvl>
    <w:lvl w:ilvl="7" w:tplc="CCAC7350">
      <w:numFmt w:val="bullet"/>
      <w:lvlText w:val="•"/>
      <w:lvlJc w:val="left"/>
      <w:pPr>
        <w:ind w:left="1627" w:hanging="100"/>
      </w:pPr>
      <w:rPr>
        <w:rFonts w:hint="default"/>
      </w:rPr>
    </w:lvl>
    <w:lvl w:ilvl="8" w:tplc="24D8EF12">
      <w:numFmt w:val="bullet"/>
      <w:lvlText w:val="•"/>
      <w:lvlJc w:val="left"/>
      <w:pPr>
        <w:ind w:left="1837" w:hanging="100"/>
      </w:pPr>
      <w:rPr>
        <w:rFonts w:hint="default"/>
      </w:rPr>
    </w:lvl>
  </w:abstractNum>
  <w:abstractNum w:abstractNumId="2014" w15:restartNumberingAfterBreak="0">
    <w:nsid w:val="7E1C5228"/>
    <w:multiLevelType w:val="hybridMultilevel"/>
    <w:tmpl w:val="FA9CF462"/>
    <w:lvl w:ilvl="0" w:tplc="13422FB4">
      <w:numFmt w:val="bullet"/>
      <w:lvlText w:val=""/>
      <w:lvlJc w:val="left"/>
      <w:pPr>
        <w:ind w:left="156" w:hanging="100"/>
      </w:pPr>
      <w:rPr>
        <w:rFonts w:ascii="Symbol" w:eastAsia="Symbol" w:hAnsi="Symbol" w:cs="Symbol" w:hint="default"/>
        <w:color w:val="231F20"/>
        <w:w w:val="100"/>
        <w:sz w:val="14"/>
        <w:szCs w:val="14"/>
      </w:rPr>
    </w:lvl>
    <w:lvl w:ilvl="1" w:tplc="6624FB52">
      <w:numFmt w:val="bullet"/>
      <w:lvlText w:val="•"/>
      <w:lvlJc w:val="left"/>
      <w:pPr>
        <w:ind w:left="398" w:hanging="100"/>
      </w:pPr>
      <w:rPr>
        <w:rFonts w:hint="default"/>
      </w:rPr>
    </w:lvl>
    <w:lvl w:ilvl="2" w:tplc="2F449570">
      <w:numFmt w:val="bullet"/>
      <w:lvlText w:val="•"/>
      <w:lvlJc w:val="left"/>
      <w:pPr>
        <w:ind w:left="636" w:hanging="100"/>
      </w:pPr>
      <w:rPr>
        <w:rFonts w:hint="default"/>
      </w:rPr>
    </w:lvl>
    <w:lvl w:ilvl="3" w:tplc="5E04381C">
      <w:numFmt w:val="bullet"/>
      <w:lvlText w:val="•"/>
      <w:lvlJc w:val="left"/>
      <w:pPr>
        <w:ind w:left="874" w:hanging="100"/>
      </w:pPr>
      <w:rPr>
        <w:rFonts w:hint="default"/>
      </w:rPr>
    </w:lvl>
    <w:lvl w:ilvl="4" w:tplc="F50A4A28">
      <w:numFmt w:val="bullet"/>
      <w:lvlText w:val="•"/>
      <w:lvlJc w:val="left"/>
      <w:pPr>
        <w:ind w:left="1112" w:hanging="100"/>
      </w:pPr>
      <w:rPr>
        <w:rFonts w:hint="default"/>
      </w:rPr>
    </w:lvl>
    <w:lvl w:ilvl="5" w:tplc="53F08A2C">
      <w:numFmt w:val="bullet"/>
      <w:lvlText w:val="•"/>
      <w:lvlJc w:val="left"/>
      <w:pPr>
        <w:ind w:left="1350" w:hanging="100"/>
      </w:pPr>
      <w:rPr>
        <w:rFonts w:hint="default"/>
      </w:rPr>
    </w:lvl>
    <w:lvl w:ilvl="6" w:tplc="3DFC5FB2">
      <w:numFmt w:val="bullet"/>
      <w:lvlText w:val="•"/>
      <w:lvlJc w:val="left"/>
      <w:pPr>
        <w:ind w:left="1588" w:hanging="100"/>
      </w:pPr>
      <w:rPr>
        <w:rFonts w:hint="default"/>
      </w:rPr>
    </w:lvl>
    <w:lvl w:ilvl="7" w:tplc="930A9306">
      <w:numFmt w:val="bullet"/>
      <w:lvlText w:val="•"/>
      <w:lvlJc w:val="left"/>
      <w:pPr>
        <w:ind w:left="1826" w:hanging="100"/>
      </w:pPr>
      <w:rPr>
        <w:rFonts w:hint="default"/>
      </w:rPr>
    </w:lvl>
    <w:lvl w:ilvl="8" w:tplc="C156AD00">
      <w:numFmt w:val="bullet"/>
      <w:lvlText w:val="•"/>
      <w:lvlJc w:val="left"/>
      <w:pPr>
        <w:ind w:left="2064" w:hanging="100"/>
      </w:pPr>
      <w:rPr>
        <w:rFonts w:hint="default"/>
      </w:rPr>
    </w:lvl>
  </w:abstractNum>
  <w:abstractNum w:abstractNumId="2015" w15:restartNumberingAfterBreak="0">
    <w:nsid w:val="7E4F76B4"/>
    <w:multiLevelType w:val="hybridMultilevel"/>
    <w:tmpl w:val="782252A2"/>
    <w:lvl w:ilvl="0" w:tplc="6352DFCC">
      <w:numFmt w:val="bullet"/>
      <w:lvlText w:val=""/>
      <w:lvlJc w:val="left"/>
      <w:pPr>
        <w:ind w:left="156" w:hanging="100"/>
      </w:pPr>
      <w:rPr>
        <w:rFonts w:ascii="Symbol" w:eastAsia="Symbol" w:hAnsi="Symbol" w:cs="Symbol" w:hint="default"/>
        <w:color w:val="231F20"/>
        <w:w w:val="100"/>
        <w:sz w:val="14"/>
        <w:szCs w:val="14"/>
      </w:rPr>
    </w:lvl>
    <w:lvl w:ilvl="1" w:tplc="1AEAC4FA">
      <w:numFmt w:val="bullet"/>
      <w:lvlText w:val="•"/>
      <w:lvlJc w:val="left"/>
      <w:pPr>
        <w:ind w:left="301" w:hanging="100"/>
      </w:pPr>
      <w:rPr>
        <w:rFonts w:hint="default"/>
      </w:rPr>
    </w:lvl>
    <w:lvl w:ilvl="2" w:tplc="49CEE414">
      <w:numFmt w:val="bullet"/>
      <w:lvlText w:val="•"/>
      <w:lvlJc w:val="left"/>
      <w:pPr>
        <w:ind w:left="443" w:hanging="100"/>
      </w:pPr>
      <w:rPr>
        <w:rFonts w:hint="default"/>
      </w:rPr>
    </w:lvl>
    <w:lvl w:ilvl="3" w:tplc="82CA23A2">
      <w:numFmt w:val="bullet"/>
      <w:lvlText w:val="•"/>
      <w:lvlJc w:val="left"/>
      <w:pPr>
        <w:ind w:left="585" w:hanging="100"/>
      </w:pPr>
      <w:rPr>
        <w:rFonts w:hint="default"/>
      </w:rPr>
    </w:lvl>
    <w:lvl w:ilvl="4" w:tplc="61462CC8">
      <w:numFmt w:val="bullet"/>
      <w:lvlText w:val="•"/>
      <w:lvlJc w:val="left"/>
      <w:pPr>
        <w:ind w:left="726" w:hanging="100"/>
      </w:pPr>
      <w:rPr>
        <w:rFonts w:hint="default"/>
      </w:rPr>
    </w:lvl>
    <w:lvl w:ilvl="5" w:tplc="4830CED0">
      <w:numFmt w:val="bullet"/>
      <w:lvlText w:val="•"/>
      <w:lvlJc w:val="left"/>
      <w:pPr>
        <w:ind w:left="868" w:hanging="100"/>
      </w:pPr>
      <w:rPr>
        <w:rFonts w:hint="default"/>
      </w:rPr>
    </w:lvl>
    <w:lvl w:ilvl="6" w:tplc="BD26F2A2">
      <w:numFmt w:val="bullet"/>
      <w:lvlText w:val="•"/>
      <w:lvlJc w:val="left"/>
      <w:pPr>
        <w:ind w:left="1010" w:hanging="100"/>
      </w:pPr>
      <w:rPr>
        <w:rFonts w:hint="default"/>
      </w:rPr>
    </w:lvl>
    <w:lvl w:ilvl="7" w:tplc="C1BCE698">
      <w:numFmt w:val="bullet"/>
      <w:lvlText w:val="•"/>
      <w:lvlJc w:val="left"/>
      <w:pPr>
        <w:ind w:left="1151" w:hanging="100"/>
      </w:pPr>
      <w:rPr>
        <w:rFonts w:hint="default"/>
      </w:rPr>
    </w:lvl>
    <w:lvl w:ilvl="8" w:tplc="DFC4E82A">
      <w:numFmt w:val="bullet"/>
      <w:lvlText w:val="•"/>
      <w:lvlJc w:val="left"/>
      <w:pPr>
        <w:ind w:left="1293" w:hanging="100"/>
      </w:pPr>
      <w:rPr>
        <w:rFonts w:hint="default"/>
      </w:rPr>
    </w:lvl>
  </w:abstractNum>
  <w:abstractNum w:abstractNumId="2016" w15:restartNumberingAfterBreak="0">
    <w:nsid w:val="7E6F33D2"/>
    <w:multiLevelType w:val="hybridMultilevel"/>
    <w:tmpl w:val="68889194"/>
    <w:lvl w:ilvl="0" w:tplc="88327472">
      <w:numFmt w:val="bullet"/>
      <w:lvlText w:val=""/>
      <w:lvlJc w:val="left"/>
      <w:pPr>
        <w:ind w:left="156" w:hanging="100"/>
      </w:pPr>
      <w:rPr>
        <w:rFonts w:ascii="Symbol" w:eastAsia="Symbol" w:hAnsi="Symbol" w:cs="Symbol" w:hint="default"/>
        <w:color w:val="231F20"/>
        <w:w w:val="100"/>
        <w:sz w:val="14"/>
        <w:szCs w:val="14"/>
      </w:rPr>
    </w:lvl>
    <w:lvl w:ilvl="1" w:tplc="BE462578">
      <w:numFmt w:val="bullet"/>
      <w:lvlText w:val="•"/>
      <w:lvlJc w:val="left"/>
      <w:pPr>
        <w:ind w:left="301" w:hanging="100"/>
      </w:pPr>
      <w:rPr>
        <w:rFonts w:hint="default"/>
      </w:rPr>
    </w:lvl>
    <w:lvl w:ilvl="2" w:tplc="C35E7B96">
      <w:numFmt w:val="bullet"/>
      <w:lvlText w:val="•"/>
      <w:lvlJc w:val="left"/>
      <w:pPr>
        <w:ind w:left="443" w:hanging="100"/>
      </w:pPr>
      <w:rPr>
        <w:rFonts w:hint="default"/>
      </w:rPr>
    </w:lvl>
    <w:lvl w:ilvl="3" w:tplc="C0806FB0">
      <w:numFmt w:val="bullet"/>
      <w:lvlText w:val="•"/>
      <w:lvlJc w:val="left"/>
      <w:pPr>
        <w:ind w:left="585" w:hanging="100"/>
      </w:pPr>
      <w:rPr>
        <w:rFonts w:hint="default"/>
      </w:rPr>
    </w:lvl>
    <w:lvl w:ilvl="4" w:tplc="4364E2BE">
      <w:numFmt w:val="bullet"/>
      <w:lvlText w:val="•"/>
      <w:lvlJc w:val="left"/>
      <w:pPr>
        <w:ind w:left="726" w:hanging="100"/>
      </w:pPr>
      <w:rPr>
        <w:rFonts w:hint="default"/>
      </w:rPr>
    </w:lvl>
    <w:lvl w:ilvl="5" w:tplc="4CE8DEDE">
      <w:numFmt w:val="bullet"/>
      <w:lvlText w:val="•"/>
      <w:lvlJc w:val="left"/>
      <w:pPr>
        <w:ind w:left="868" w:hanging="100"/>
      </w:pPr>
      <w:rPr>
        <w:rFonts w:hint="default"/>
      </w:rPr>
    </w:lvl>
    <w:lvl w:ilvl="6" w:tplc="654C8706">
      <w:numFmt w:val="bullet"/>
      <w:lvlText w:val="•"/>
      <w:lvlJc w:val="left"/>
      <w:pPr>
        <w:ind w:left="1010" w:hanging="100"/>
      </w:pPr>
      <w:rPr>
        <w:rFonts w:hint="default"/>
      </w:rPr>
    </w:lvl>
    <w:lvl w:ilvl="7" w:tplc="9A40265C">
      <w:numFmt w:val="bullet"/>
      <w:lvlText w:val="•"/>
      <w:lvlJc w:val="left"/>
      <w:pPr>
        <w:ind w:left="1151" w:hanging="100"/>
      </w:pPr>
      <w:rPr>
        <w:rFonts w:hint="default"/>
      </w:rPr>
    </w:lvl>
    <w:lvl w:ilvl="8" w:tplc="DAD4B85E">
      <w:numFmt w:val="bullet"/>
      <w:lvlText w:val="•"/>
      <w:lvlJc w:val="left"/>
      <w:pPr>
        <w:ind w:left="1293" w:hanging="100"/>
      </w:pPr>
      <w:rPr>
        <w:rFonts w:hint="default"/>
      </w:rPr>
    </w:lvl>
  </w:abstractNum>
  <w:abstractNum w:abstractNumId="2017" w15:restartNumberingAfterBreak="0">
    <w:nsid w:val="7E764DEA"/>
    <w:multiLevelType w:val="hybridMultilevel"/>
    <w:tmpl w:val="AF38A5AA"/>
    <w:lvl w:ilvl="0" w:tplc="DE76E9CA">
      <w:numFmt w:val="bullet"/>
      <w:lvlText w:val=""/>
      <w:lvlJc w:val="left"/>
      <w:pPr>
        <w:ind w:left="157" w:hanging="100"/>
      </w:pPr>
      <w:rPr>
        <w:rFonts w:ascii="Symbol" w:eastAsia="Symbol" w:hAnsi="Symbol" w:cs="Symbol" w:hint="default"/>
        <w:color w:val="231F20"/>
        <w:w w:val="100"/>
        <w:sz w:val="14"/>
        <w:szCs w:val="14"/>
      </w:rPr>
    </w:lvl>
    <w:lvl w:ilvl="1" w:tplc="A73EA2A0">
      <w:numFmt w:val="bullet"/>
      <w:lvlText w:val="•"/>
      <w:lvlJc w:val="left"/>
      <w:pPr>
        <w:ind w:left="369" w:hanging="100"/>
      </w:pPr>
      <w:rPr>
        <w:rFonts w:hint="default"/>
      </w:rPr>
    </w:lvl>
    <w:lvl w:ilvl="2" w:tplc="43383BDE">
      <w:numFmt w:val="bullet"/>
      <w:lvlText w:val="•"/>
      <w:lvlJc w:val="left"/>
      <w:pPr>
        <w:ind w:left="579" w:hanging="100"/>
      </w:pPr>
      <w:rPr>
        <w:rFonts w:hint="default"/>
      </w:rPr>
    </w:lvl>
    <w:lvl w:ilvl="3" w:tplc="0A92F5FA">
      <w:numFmt w:val="bullet"/>
      <w:lvlText w:val="•"/>
      <w:lvlJc w:val="left"/>
      <w:pPr>
        <w:ind w:left="789" w:hanging="100"/>
      </w:pPr>
      <w:rPr>
        <w:rFonts w:hint="default"/>
      </w:rPr>
    </w:lvl>
    <w:lvl w:ilvl="4" w:tplc="3154D962">
      <w:numFmt w:val="bullet"/>
      <w:lvlText w:val="•"/>
      <w:lvlJc w:val="left"/>
      <w:pPr>
        <w:ind w:left="998" w:hanging="100"/>
      </w:pPr>
      <w:rPr>
        <w:rFonts w:hint="default"/>
      </w:rPr>
    </w:lvl>
    <w:lvl w:ilvl="5" w:tplc="0C3C9F9E">
      <w:numFmt w:val="bullet"/>
      <w:lvlText w:val="•"/>
      <w:lvlJc w:val="left"/>
      <w:pPr>
        <w:ind w:left="1208" w:hanging="100"/>
      </w:pPr>
      <w:rPr>
        <w:rFonts w:hint="default"/>
      </w:rPr>
    </w:lvl>
    <w:lvl w:ilvl="6" w:tplc="11B84288">
      <w:numFmt w:val="bullet"/>
      <w:lvlText w:val="•"/>
      <w:lvlJc w:val="left"/>
      <w:pPr>
        <w:ind w:left="1418" w:hanging="100"/>
      </w:pPr>
      <w:rPr>
        <w:rFonts w:hint="default"/>
      </w:rPr>
    </w:lvl>
    <w:lvl w:ilvl="7" w:tplc="B46E6DE8">
      <w:numFmt w:val="bullet"/>
      <w:lvlText w:val="•"/>
      <w:lvlJc w:val="left"/>
      <w:pPr>
        <w:ind w:left="1627" w:hanging="100"/>
      </w:pPr>
      <w:rPr>
        <w:rFonts w:hint="default"/>
      </w:rPr>
    </w:lvl>
    <w:lvl w:ilvl="8" w:tplc="F814ADBE">
      <w:numFmt w:val="bullet"/>
      <w:lvlText w:val="•"/>
      <w:lvlJc w:val="left"/>
      <w:pPr>
        <w:ind w:left="1837" w:hanging="100"/>
      </w:pPr>
      <w:rPr>
        <w:rFonts w:hint="default"/>
      </w:rPr>
    </w:lvl>
  </w:abstractNum>
  <w:abstractNum w:abstractNumId="2018" w15:restartNumberingAfterBreak="0">
    <w:nsid w:val="7E8047CF"/>
    <w:multiLevelType w:val="hybridMultilevel"/>
    <w:tmpl w:val="11FEB5BA"/>
    <w:lvl w:ilvl="0" w:tplc="301C194E">
      <w:numFmt w:val="bullet"/>
      <w:lvlText w:val=""/>
      <w:lvlJc w:val="left"/>
      <w:pPr>
        <w:ind w:left="157" w:hanging="100"/>
      </w:pPr>
      <w:rPr>
        <w:rFonts w:ascii="Symbol" w:eastAsia="Symbol" w:hAnsi="Symbol" w:cs="Symbol" w:hint="default"/>
        <w:color w:val="231F20"/>
        <w:w w:val="100"/>
        <w:sz w:val="14"/>
        <w:szCs w:val="14"/>
      </w:rPr>
    </w:lvl>
    <w:lvl w:ilvl="1" w:tplc="0B3448BA">
      <w:numFmt w:val="bullet"/>
      <w:lvlText w:val="•"/>
      <w:lvlJc w:val="left"/>
      <w:pPr>
        <w:ind w:left="426" w:hanging="100"/>
      </w:pPr>
      <w:rPr>
        <w:rFonts w:hint="default"/>
      </w:rPr>
    </w:lvl>
    <w:lvl w:ilvl="2" w:tplc="841A406C">
      <w:numFmt w:val="bullet"/>
      <w:lvlText w:val="•"/>
      <w:lvlJc w:val="left"/>
      <w:pPr>
        <w:ind w:left="692" w:hanging="100"/>
      </w:pPr>
      <w:rPr>
        <w:rFonts w:hint="default"/>
      </w:rPr>
    </w:lvl>
    <w:lvl w:ilvl="3" w:tplc="C5364D80">
      <w:numFmt w:val="bullet"/>
      <w:lvlText w:val="•"/>
      <w:lvlJc w:val="left"/>
      <w:pPr>
        <w:ind w:left="959" w:hanging="100"/>
      </w:pPr>
      <w:rPr>
        <w:rFonts w:hint="default"/>
      </w:rPr>
    </w:lvl>
    <w:lvl w:ilvl="4" w:tplc="888CF1CE">
      <w:numFmt w:val="bullet"/>
      <w:lvlText w:val="•"/>
      <w:lvlJc w:val="left"/>
      <w:pPr>
        <w:ind w:left="1225" w:hanging="100"/>
      </w:pPr>
      <w:rPr>
        <w:rFonts w:hint="default"/>
      </w:rPr>
    </w:lvl>
    <w:lvl w:ilvl="5" w:tplc="F3DCF1C6">
      <w:numFmt w:val="bullet"/>
      <w:lvlText w:val="•"/>
      <w:lvlJc w:val="left"/>
      <w:pPr>
        <w:ind w:left="1492" w:hanging="100"/>
      </w:pPr>
      <w:rPr>
        <w:rFonts w:hint="default"/>
      </w:rPr>
    </w:lvl>
    <w:lvl w:ilvl="6" w:tplc="BD448F26">
      <w:numFmt w:val="bullet"/>
      <w:lvlText w:val="•"/>
      <w:lvlJc w:val="left"/>
      <w:pPr>
        <w:ind w:left="1758" w:hanging="100"/>
      </w:pPr>
      <w:rPr>
        <w:rFonts w:hint="default"/>
      </w:rPr>
    </w:lvl>
    <w:lvl w:ilvl="7" w:tplc="0B587C0C">
      <w:numFmt w:val="bullet"/>
      <w:lvlText w:val="•"/>
      <w:lvlJc w:val="left"/>
      <w:pPr>
        <w:ind w:left="2024" w:hanging="100"/>
      </w:pPr>
      <w:rPr>
        <w:rFonts w:hint="default"/>
      </w:rPr>
    </w:lvl>
    <w:lvl w:ilvl="8" w:tplc="5F024AC4">
      <w:numFmt w:val="bullet"/>
      <w:lvlText w:val="•"/>
      <w:lvlJc w:val="left"/>
      <w:pPr>
        <w:ind w:left="2291" w:hanging="100"/>
      </w:pPr>
      <w:rPr>
        <w:rFonts w:hint="default"/>
      </w:rPr>
    </w:lvl>
  </w:abstractNum>
  <w:abstractNum w:abstractNumId="2019" w15:restartNumberingAfterBreak="0">
    <w:nsid w:val="7E9D0F74"/>
    <w:multiLevelType w:val="hybridMultilevel"/>
    <w:tmpl w:val="066247AC"/>
    <w:lvl w:ilvl="0" w:tplc="23D63F6C">
      <w:numFmt w:val="bullet"/>
      <w:lvlText w:val=""/>
      <w:lvlJc w:val="left"/>
      <w:pPr>
        <w:ind w:left="156" w:hanging="100"/>
      </w:pPr>
      <w:rPr>
        <w:rFonts w:ascii="Symbol" w:eastAsia="Symbol" w:hAnsi="Symbol" w:cs="Symbol" w:hint="default"/>
        <w:color w:val="231F20"/>
        <w:w w:val="100"/>
        <w:sz w:val="14"/>
        <w:szCs w:val="14"/>
      </w:rPr>
    </w:lvl>
    <w:lvl w:ilvl="1" w:tplc="6AA6D2FC">
      <w:numFmt w:val="bullet"/>
      <w:lvlText w:val="•"/>
      <w:lvlJc w:val="left"/>
      <w:pPr>
        <w:ind w:left="471" w:hanging="100"/>
      </w:pPr>
      <w:rPr>
        <w:rFonts w:hint="default"/>
      </w:rPr>
    </w:lvl>
    <w:lvl w:ilvl="2" w:tplc="AB1AAF5C">
      <w:numFmt w:val="bullet"/>
      <w:lvlText w:val="•"/>
      <w:lvlJc w:val="left"/>
      <w:pPr>
        <w:ind w:left="783" w:hanging="100"/>
      </w:pPr>
      <w:rPr>
        <w:rFonts w:hint="default"/>
      </w:rPr>
    </w:lvl>
    <w:lvl w:ilvl="3" w:tplc="CA8634A6">
      <w:numFmt w:val="bullet"/>
      <w:lvlText w:val="•"/>
      <w:lvlJc w:val="left"/>
      <w:pPr>
        <w:ind w:left="1095" w:hanging="100"/>
      </w:pPr>
      <w:rPr>
        <w:rFonts w:hint="default"/>
      </w:rPr>
    </w:lvl>
    <w:lvl w:ilvl="4" w:tplc="33B63FC2">
      <w:numFmt w:val="bullet"/>
      <w:lvlText w:val="•"/>
      <w:lvlJc w:val="left"/>
      <w:pPr>
        <w:ind w:left="1407" w:hanging="100"/>
      </w:pPr>
      <w:rPr>
        <w:rFonts w:hint="default"/>
      </w:rPr>
    </w:lvl>
    <w:lvl w:ilvl="5" w:tplc="747A012E">
      <w:numFmt w:val="bullet"/>
      <w:lvlText w:val="•"/>
      <w:lvlJc w:val="left"/>
      <w:pPr>
        <w:ind w:left="1719" w:hanging="100"/>
      </w:pPr>
      <w:rPr>
        <w:rFonts w:hint="default"/>
      </w:rPr>
    </w:lvl>
    <w:lvl w:ilvl="6" w:tplc="B88C6D68">
      <w:numFmt w:val="bullet"/>
      <w:lvlText w:val="•"/>
      <w:lvlJc w:val="left"/>
      <w:pPr>
        <w:ind w:left="2030" w:hanging="100"/>
      </w:pPr>
      <w:rPr>
        <w:rFonts w:hint="default"/>
      </w:rPr>
    </w:lvl>
    <w:lvl w:ilvl="7" w:tplc="BBA65890">
      <w:numFmt w:val="bullet"/>
      <w:lvlText w:val="•"/>
      <w:lvlJc w:val="left"/>
      <w:pPr>
        <w:ind w:left="2342" w:hanging="100"/>
      </w:pPr>
      <w:rPr>
        <w:rFonts w:hint="default"/>
      </w:rPr>
    </w:lvl>
    <w:lvl w:ilvl="8" w:tplc="02B899BC">
      <w:numFmt w:val="bullet"/>
      <w:lvlText w:val="•"/>
      <w:lvlJc w:val="left"/>
      <w:pPr>
        <w:ind w:left="2654" w:hanging="100"/>
      </w:pPr>
      <w:rPr>
        <w:rFonts w:hint="default"/>
      </w:rPr>
    </w:lvl>
  </w:abstractNum>
  <w:abstractNum w:abstractNumId="2020" w15:restartNumberingAfterBreak="0">
    <w:nsid w:val="7EA31807"/>
    <w:multiLevelType w:val="hybridMultilevel"/>
    <w:tmpl w:val="D792AC80"/>
    <w:lvl w:ilvl="0" w:tplc="2F88F166">
      <w:numFmt w:val="bullet"/>
      <w:lvlText w:val=""/>
      <w:lvlJc w:val="left"/>
      <w:pPr>
        <w:ind w:left="156" w:hanging="100"/>
      </w:pPr>
      <w:rPr>
        <w:rFonts w:ascii="Symbol" w:eastAsia="Symbol" w:hAnsi="Symbol" w:cs="Symbol" w:hint="default"/>
        <w:color w:val="231F20"/>
        <w:w w:val="100"/>
        <w:sz w:val="14"/>
        <w:szCs w:val="14"/>
      </w:rPr>
    </w:lvl>
    <w:lvl w:ilvl="1" w:tplc="95461F16">
      <w:numFmt w:val="bullet"/>
      <w:lvlText w:val="•"/>
      <w:lvlJc w:val="left"/>
      <w:pPr>
        <w:ind w:left="301" w:hanging="100"/>
      </w:pPr>
      <w:rPr>
        <w:rFonts w:hint="default"/>
      </w:rPr>
    </w:lvl>
    <w:lvl w:ilvl="2" w:tplc="D7AA52C6">
      <w:numFmt w:val="bullet"/>
      <w:lvlText w:val="•"/>
      <w:lvlJc w:val="left"/>
      <w:pPr>
        <w:ind w:left="443" w:hanging="100"/>
      </w:pPr>
      <w:rPr>
        <w:rFonts w:hint="default"/>
      </w:rPr>
    </w:lvl>
    <w:lvl w:ilvl="3" w:tplc="0B1EF3F2">
      <w:numFmt w:val="bullet"/>
      <w:lvlText w:val="•"/>
      <w:lvlJc w:val="left"/>
      <w:pPr>
        <w:ind w:left="585" w:hanging="100"/>
      </w:pPr>
      <w:rPr>
        <w:rFonts w:hint="default"/>
      </w:rPr>
    </w:lvl>
    <w:lvl w:ilvl="4" w:tplc="14484B66">
      <w:numFmt w:val="bullet"/>
      <w:lvlText w:val="•"/>
      <w:lvlJc w:val="left"/>
      <w:pPr>
        <w:ind w:left="726" w:hanging="100"/>
      </w:pPr>
      <w:rPr>
        <w:rFonts w:hint="default"/>
      </w:rPr>
    </w:lvl>
    <w:lvl w:ilvl="5" w:tplc="E7EA9ABA">
      <w:numFmt w:val="bullet"/>
      <w:lvlText w:val="•"/>
      <w:lvlJc w:val="left"/>
      <w:pPr>
        <w:ind w:left="868" w:hanging="100"/>
      </w:pPr>
      <w:rPr>
        <w:rFonts w:hint="default"/>
      </w:rPr>
    </w:lvl>
    <w:lvl w:ilvl="6" w:tplc="3C90C5FA">
      <w:numFmt w:val="bullet"/>
      <w:lvlText w:val="•"/>
      <w:lvlJc w:val="left"/>
      <w:pPr>
        <w:ind w:left="1010" w:hanging="100"/>
      </w:pPr>
      <w:rPr>
        <w:rFonts w:hint="default"/>
      </w:rPr>
    </w:lvl>
    <w:lvl w:ilvl="7" w:tplc="8ED29596">
      <w:numFmt w:val="bullet"/>
      <w:lvlText w:val="•"/>
      <w:lvlJc w:val="left"/>
      <w:pPr>
        <w:ind w:left="1151" w:hanging="100"/>
      </w:pPr>
      <w:rPr>
        <w:rFonts w:hint="default"/>
      </w:rPr>
    </w:lvl>
    <w:lvl w:ilvl="8" w:tplc="39864354">
      <w:numFmt w:val="bullet"/>
      <w:lvlText w:val="•"/>
      <w:lvlJc w:val="left"/>
      <w:pPr>
        <w:ind w:left="1293" w:hanging="100"/>
      </w:pPr>
      <w:rPr>
        <w:rFonts w:hint="default"/>
      </w:rPr>
    </w:lvl>
  </w:abstractNum>
  <w:abstractNum w:abstractNumId="2021" w15:restartNumberingAfterBreak="0">
    <w:nsid w:val="7EB41CDD"/>
    <w:multiLevelType w:val="hybridMultilevel"/>
    <w:tmpl w:val="1952BCBE"/>
    <w:lvl w:ilvl="0" w:tplc="5128EE60">
      <w:numFmt w:val="bullet"/>
      <w:lvlText w:val=""/>
      <w:lvlJc w:val="left"/>
      <w:pPr>
        <w:ind w:left="156" w:hanging="100"/>
      </w:pPr>
      <w:rPr>
        <w:rFonts w:ascii="Symbol" w:eastAsia="Symbol" w:hAnsi="Symbol" w:cs="Symbol" w:hint="default"/>
        <w:color w:val="231F20"/>
        <w:w w:val="100"/>
        <w:sz w:val="14"/>
        <w:szCs w:val="14"/>
      </w:rPr>
    </w:lvl>
    <w:lvl w:ilvl="1" w:tplc="59DA779E">
      <w:numFmt w:val="bullet"/>
      <w:lvlText w:val="•"/>
      <w:lvlJc w:val="left"/>
      <w:pPr>
        <w:ind w:left="301" w:hanging="100"/>
      </w:pPr>
      <w:rPr>
        <w:rFonts w:hint="default"/>
      </w:rPr>
    </w:lvl>
    <w:lvl w:ilvl="2" w:tplc="548E1C8A">
      <w:numFmt w:val="bullet"/>
      <w:lvlText w:val="•"/>
      <w:lvlJc w:val="left"/>
      <w:pPr>
        <w:ind w:left="443" w:hanging="100"/>
      </w:pPr>
      <w:rPr>
        <w:rFonts w:hint="default"/>
      </w:rPr>
    </w:lvl>
    <w:lvl w:ilvl="3" w:tplc="3476E022">
      <w:numFmt w:val="bullet"/>
      <w:lvlText w:val="•"/>
      <w:lvlJc w:val="left"/>
      <w:pPr>
        <w:ind w:left="585" w:hanging="100"/>
      </w:pPr>
      <w:rPr>
        <w:rFonts w:hint="default"/>
      </w:rPr>
    </w:lvl>
    <w:lvl w:ilvl="4" w:tplc="FD30D7FA">
      <w:numFmt w:val="bullet"/>
      <w:lvlText w:val="•"/>
      <w:lvlJc w:val="left"/>
      <w:pPr>
        <w:ind w:left="726" w:hanging="100"/>
      </w:pPr>
      <w:rPr>
        <w:rFonts w:hint="default"/>
      </w:rPr>
    </w:lvl>
    <w:lvl w:ilvl="5" w:tplc="1D2464B8">
      <w:numFmt w:val="bullet"/>
      <w:lvlText w:val="•"/>
      <w:lvlJc w:val="left"/>
      <w:pPr>
        <w:ind w:left="868" w:hanging="100"/>
      </w:pPr>
      <w:rPr>
        <w:rFonts w:hint="default"/>
      </w:rPr>
    </w:lvl>
    <w:lvl w:ilvl="6" w:tplc="43A43750">
      <w:numFmt w:val="bullet"/>
      <w:lvlText w:val="•"/>
      <w:lvlJc w:val="left"/>
      <w:pPr>
        <w:ind w:left="1010" w:hanging="100"/>
      </w:pPr>
      <w:rPr>
        <w:rFonts w:hint="default"/>
      </w:rPr>
    </w:lvl>
    <w:lvl w:ilvl="7" w:tplc="71343F92">
      <w:numFmt w:val="bullet"/>
      <w:lvlText w:val="•"/>
      <w:lvlJc w:val="left"/>
      <w:pPr>
        <w:ind w:left="1151" w:hanging="100"/>
      </w:pPr>
      <w:rPr>
        <w:rFonts w:hint="default"/>
      </w:rPr>
    </w:lvl>
    <w:lvl w:ilvl="8" w:tplc="4F0AB842">
      <w:numFmt w:val="bullet"/>
      <w:lvlText w:val="•"/>
      <w:lvlJc w:val="left"/>
      <w:pPr>
        <w:ind w:left="1293" w:hanging="100"/>
      </w:pPr>
      <w:rPr>
        <w:rFonts w:hint="default"/>
      </w:rPr>
    </w:lvl>
  </w:abstractNum>
  <w:abstractNum w:abstractNumId="2022" w15:restartNumberingAfterBreak="0">
    <w:nsid w:val="7EC22FE5"/>
    <w:multiLevelType w:val="hybridMultilevel"/>
    <w:tmpl w:val="45040684"/>
    <w:lvl w:ilvl="0" w:tplc="76B47C84">
      <w:numFmt w:val="bullet"/>
      <w:lvlText w:val=""/>
      <w:lvlJc w:val="left"/>
      <w:pPr>
        <w:ind w:left="156" w:hanging="100"/>
      </w:pPr>
      <w:rPr>
        <w:rFonts w:ascii="Symbol" w:eastAsia="Symbol" w:hAnsi="Symbol" w:cs="Symbol" w:hint="default"/>
        <w:color w:val="231F20"/>
        <w:w w:val="100"/>
        <w:sz w:val="14"/>
        <w:szCs w:val="14"/>
      </w:rPr>
    </w:lvl>
    <w:lvl w:ilvl="1" w:tplc="7B98F1AC">
      <w:numFmt w:val="bullet"/>
      <w:lvlText w:val="•"/>
      <w:lvlJc w:val="left"/>
      <w:pPr>
        <w:ind w:left="301" w:hanging="100"/>
      </w:pPr>
      <w:rPr>
        <w:rFonts w:hint="default"/>
      </w:rPr>
    </w:lvl>
    <w:lvl w:ilvl="2" w:tplc="12BC1BBE">
      <w:numFmt w:val="bullet"/>
      <w:lvlText w:val="•"/>
      <w:lvlJc w:val="left"/>
      <w:pPr>
        <w:ind w:left="443" w:hanging="100"/>
      </w:pPr>
      <w:rPr>
        <w:rFonts w:hint="default"/>
      </w:rPr>
    </w:lvl>
    <w:lvl w:ilvl="3" w:tplc="D096C504">
      <w:numFmt w:val="bullet"/>
      <w:lvlText w:val="•"/>
      <w:lvlJc w:val="left"/>
      <w:pPr>
        <w:ind w:left="585" w:hanging="100"/>
      </w:pPr>
      <w:rPr>
        <w:rFonts w:hint="default"/>
      </w:rPr>
    </w:lvl>
    <w:lvl w:ilvl="4" w:tplc="A3F09C02">
      <w:numFmt w:val="bullet"/>
      <w:lvlText w:val="•"/>
      <w:lvlJc w:val="left"/>
      <w:pPr>
        <w:ind w:left="726" w:hanging="100"/>
      </w:pPr>
      <w:rPr>
        <w:rFonts w:hint="default"/>
      </w:rPr>
    </w:lvl>
    <w:lvl w:ilvl="5" w:tplc="A3CC59F6">
      <w:numFmt w:val="bullet"/>
      <w:lvlText w:val="•"/>
      <w:lvlJc w:val="left"/>
      <w:pPr>
        <w:ind w:left="868" w:hanging="100"/>
      </w:pPr>
      <w:rPr>
        <w:rFonts w:hint="default"/>
      </w:rPr>
    </w:lvl>
    <w:lvl w:ilvl="6" w:tplc="9612C0CE">
      <w:numFmt w:val="bullet"/>
      <w:lvlText w:val="•"/>
      <w:lvlJc w:val="left"/>
      <w:pPr>
        <w:ind w:left="1010" w:hanging="100"/>
      </w:pPr>
      <w:rPr>
        <w:rFonts w:hint="default"/>
      </w:rPr>
    </w:lvl>
    <w:lvl w:ilvl="7" w:tplc="3A927EA4">
      <w:numFmt w:val="bullet"/>
      <w:lvlText w:val="•"/>
      <w:lvlJc w:val="left"/>
      <w:pPr>
        <w:ind w:left="1151" w:hanging="100"/>
      </w:pPr>
      <w:rPr>
        <w:rFonts w:hint="default"/>
      </w:rPr>
    </w:lvl>
    <w:lvl w:ilvl="8" w:tplc="F694222C">
      <w:numFmt w:val="bullet"/>
      <w:lvlText w:val="•"/>
      <w:lvlJc w:val="left"/>
      <w:pPr>
        <w:ind w:left="1293" w:hanging="100"/>
      </w:pPr>
      <w:rPr>
        <w:rFonts w:hint="default"/>
      </w:rPr>
    </w:lvl>
  </w:abstractNum>
  <w:abstractNum w:abstractNumId="2023" w15:restartNumberingAfterBreak="0">
    <w:nsid w:val="7ED455CF"/>
    <w:multiLevelType w:val="hybridMultilevel"/>
    <w:tmpl w:val="600E6A24"/>
    <w:lvl w:ilvl="0" w:tplc="69567148">
      <w:numFmt w:val="bullet"/>
      <w:lvlText w:val=""/>
      <w:lvlJc w:val="left"/>
      <w:pPr>
        <w:ind w:left="156" w:hanging="100"/>
      </w:pPr>
      <w:rPr>
        <w:rFonts w:ascii="Symbol" w:eastAsia="Symbol" w:hAnsi="Symbol" w:cs="Symbol" w:hint="default"/>
        <w:color w:val="231F20"/>
        <w:w w:val="100"/>
        <w:sz w:val="14"/>
        <w:szCs w:val="14"/>
      </w:rPr>
    </w:lvl>
    <w:lvl w:ilvl="1" w:tplc="44142410">
      <w:numFmt w:val="bullet"/>
      <w:lvlText w:val="•"/>
      <w:lvlJc w:val="left"/>
      <w:pPr>
        <w:ind w:left="398" w:hanging="100"/>
      </w:pPr>
      <w:rPr>
        <w:rFonts w:hint="default"/>
      </w:rPr>
    </w:lvl>
    <w:lvl w:ilvl="2" w:tplc="FB58EC60">
      <w:numFmt w:val="bullet"/>
      <w:lvlText w:val="•"/>
      <w:lvlJc w:val="left"/>
      <w:pPr>
        <w:ind w:left="636" w:hanging="100"/>
      </w:pPr>
      <w:rPr>
        <w:rFonts w:hint="default"/>
      </w:rPr>
    </w:lvl>
    <w:lvl w:ilvl="3" w:tplc="E7CE815E">
      <w:numFmt w:val="bullet"/>
      <w:lvlText w:val="•"/>
      <w:lvlJc w:val="left"/>
      <w:pPr>
        <w:ind w:left="874" w:hanging="100"/>
      </w:pPr>
      <w:rPr>
        <w:rFonts w:hint="default"/>
      </w:rPr>
    </w:lvl>
    <w:lvl w:ilvl="4" w:tplc="6A1E6438">
      <w:numFmt w:val="bullet"/>
      <w:lvlText w:val="•"/>
      <w:lvlJc w:val="left"/>
      <w:pPr>
        <w:ind w:left="1112" w:hanging="100"/>
      </w:pPr>
      <w:rPr>
        <w:rFonts w:hint="default"/>
      </w:rPr>
    </w:lvl>
    <w:lvl w:ilvl="5" w:tplc="472A809C">
      <w:numFmt w:val="bullet"/>
      <w:lvlText w:val="•"/>
      <w:lvlJc w:val="left"/>
      <w:pPr>
        <w:ind w:left="1350" w:hanging="100"/>
      </w:pPr>
      <w:rPr>
        <w:rFonts w:hint="default"/>
      </w:rPr>
    </w:lvl>
    <w:lvl w:ilvl="6" w:tplc="7952B35A">
      <w:numFmt w:val="bullet"/>
      <w:lvlText w:val="•"/>
      <w:lvlJc w:val="left"/>
      <w:pPr>
        <w:ind w:left="1588" w:hanging="100"/>
      </w:pPr>
      <w:rPr>
        <w:rFonts w:hint="default"/>
      </w:rPr>
    </w:lvl>
    <w:lvl w:ilvl="7" w:tplc="2D16F302">
      <w:numFmt w:val="bullet"/>
      <w:lvlText w:val="•"/>
      <w:lvlJc w:val="left"/>
      <w:pPr>
        <w:ind w:left="1826" w:hanging="100"/>
      </w:pPr>
      <w:rPr>
        <w:rFonts w:hint="default"/>
      </w:rPr>
    </w:lvl>
    <w:lvl w:ilvl="8" w:tplc="2E7A5718">
      <w:numFmt w:val="bullet"/>
      <w:lvlText w:val="•"/>
      <w:lvlJc w:val="left"/>
      <w:pPr>
        <w:ind w:left="2064" w:hanging="100"/>
      </w:pPr>
      <w:rPr>
        <w:rFonts w:hint="default"/>
      </w:rPr>
    </w:lvl>
  </w:abstractNum>
  <w:abstractNum w:abstractNumId="2024" w15:restartNumberingAfterBreak="0">
    <w:nsid w:val="7EE15EFF"/>
    <w:multiLevelType w:val="hybridMultilevel"/>
    <w:tmpl w:val="74C669A4"/>
    <w:lvl w:ilvl="0" w:tplc="15327656">
      <w:numFmt w:val="bullet"/>
      <w:lvlText w:val="•"/>
      <w:lvlJc w:val="left"/>
      <w:pPr>
        <w:ind w:left="141" w:hanging="84"/>
      </w:pPr>
      <w:rPr>
        <w:rFonts w:ascii="Times New Roman" w:eastAsia="Times New Roman" w:hAnsi="Times New Roman" w:cs="Times New Roman" w:hint="default"/>
        <w:b/>
        <w:bCs/>
        <w:color w:val="231F20"/>
        <w:w w:val="100"/>
        <w:sz w:val="14"/>
        <w:szCs w:val="14"/>
      </w:rPr>
    </w:lvl>
    <w:lvl w:ilvl="1" w:tplc="41246D14">
      <w:numFmt w:val="bullet"/>
      <w:lvlText w:val="•"/>
      <w:lvlJc w:val="left"/>
      <w:pPr>
        <w:ind w:left="408" w:hanging="84"/>
      </w:pPr>
      <w:rPr>
        <w:rFonts w:hint="default"/>
      </w:rPr>
    </w:lvl>
    <w:lvl w:ilvl="2" w:tplc="01DA5A54">
      <w:numFmt w:val="bullet"/>
      <w:lvlText w:val="•"/>
      <w:lvlJc w:val="left"/>
      <w:pPr>
        <w:ind w:left="676" w:hanging="84"/>
      </w:pPr>
      <w:rPr>
        <w:rFonts w:hint="default"/>
      </w:rPr>
    </w:lvl>
    <w:lvl w:ilvl="3" w:tplc="9F121602">
      <w:numFmt w:val="bullet"/>
      <w:lvlText w:val="•"/>
      <w:lvlJc w:val="left"/>
      <w:pPr>
        <w:ind w:left="945" w:hanging="84"/>
      </w:pPr>
      <w:rPr>
        <w:rFonts w:hint="default"/>
      </w:rPr>
    </w:lvl>
    <w:lvl w:ilvl="4" w:tplc="CC0A193C">
      <w:numFmt w:val="bullet"/>
      <w:lvlText w:val="•"/>
      <w:lvlJc w:val="left"/>
      <w:pPr>
        <w:ind w:left="1213" w:hanging="84"/>
      </w:pPr>
      <w:rPr>
        <w:rFonts w:hint="default"/>
      </w:rPr>
    </w:lvl>
    <w:lvl w:ilvl="5" w:tplc="805250F8">
      <w:numFmt w:val="bullet"/>
      <w:lvlText w:val="•"/>
      <w:lvlJc w:val="left"/>
      <w:pPr>
        <w:ind w:left="1482" w:hanging="84"/>
      </w:pPr>
      <w:rPr>
        <w:rFonts w:hint="default"/>
      </w:rPr>
    </w:lvl>
    <w:lvl w:ilvl="6" w:tplc="CC7E7978">
      <w:numFmt w:val="bullet"/>
      <w:lvlText w:val="•"/>
      <w:lvlJc w:val="left"/>
      <w:pPr>
        <w:ind w:left="1750" w:hanging="84"/>
      </w:pPr>
      <w:rPr>
        <w:rFonts w:hint="default"/>
      </w:rPr>
    </w:lvl>
    <w:lvl w:ilvl="7" w:tplc="4E187628">
      <w:numFmt w:val="bullet"/>
      <w:lvlText w:val="•"/>
      <w:lvlJc w:val="left"/>
      <w:pPr>
        <w:ind w:left="2018" w:hanging="84"/>
      </w:pPr>
      <w:rPr>
        <w:rFonts w:hint="default"/>
      </w:rPr>
    </w:lvl>
    <w:lvl w:ilvl="8" w:tplc="4964CDF6">
      <w:numFmt w:val="bullet"/>
      <w:lvlText w:val="•"/>
      <w:lvlJc w:val="left"/>
      <w:pPr>
        <w:ind w:left="2287" w:hanging="84"/>
      </w:pPr>
      <w:rPr>
        <w:rFonts w:hint="default"/>
      </w:rPr>
    </w:lvl>
  </w:abstractNum>
  <w:abstractNum w:abstractNumId="2025" w15:restartNumberingAfterBreak="0">
    <w:nsid w:val="7EFB2C5B"/>
    <w:multiLevelType w:val="hybridMultilevel"/>
    <w:tmpl w:val="D1D6BF5E"/>
    <w:lvl w:ilvl="0" w:tplc="F3E4FA10">
      <w:numFmt w:val="bullet"/>
      <w:lvlText w:val=""/>
      <w:lvlJc w:val="left"/>
      <w:pPr>
        <w:ind w:left="156" w:hanging="100"/>
      </w:pPr>
      <w:rPr>
        <w:rFonts w:ascii="Symbol" w:eastAsia="Symbol" w:hAnsi="Symbol" w:cs="Symbol" w:hint="default"/>
        <w:color w:val="231F20"/>
        <w:w w:val="100"/>
        <w:sz w:val="14"/>
        <w:szCs w:val="14"/>
      </w:rPr>
    </w:lvl>
    <w:lvl w:ilvl="1" w:tplc="013CA6C2">
      <w:numFmt w:val="bullet"/>
      <w:lvlText w:val="•"/>
      <w:lvlJc w:val="left"/>
      <w:pPr>
        <w:ind w:left="426" w:hanging="100"/>
      </w:pPr>
      <w:rPr>
        <w:rFonts w:hint="default"/>
      </w:rPr>
    </w:lvl>
    <w:lvl w:ilvl="2" w:tplc="0BC61240">
      <w:numFmt w:val="bullet"/>
      <w:lvlText w:val="•"/>
      <w:lvlJc w:val="left"/>
      <w:pPr>
        <w:ind w:left="692" w:hanging="100"/>
      </w:pPr>
      <w:rPr>
        <w:rFonts w:hint="default"/>
      </w:rPr>
    </w:lvl>
    <w:lvl w:ilvl="3" w:tplc="7F38E934">
      <w:numFmt w:val="bullet"/>
      <w:lvlText w:val="•"/>
      <w:lvlJc w:val="left"/>
      <w:pPr>
        <w:ind w:left="959" w:hanging="100"/>
      </w:pPr>
      <w:rPr>
        <w:rFonts w:hint="default"/>
      </w:rPr>
    </w:lvl>
    <w:lvl w:ilvl="4" w:tplc="229AE7EE">
      <w:numFmt w:val="bullet"/>
      <w:lvlText w:val="•"/>
      <w:lvlJc w:val="left"/>
      <w:pPr>
        <w:ind w:left="1225" w:hanging="100"/>
      </w:pPr>
      <w:rPr>
        <w:rFonts w:hint="default"/>
      </w:rPr>
    </w:lvl>
    <w:lvl w:ilvl="5" w:tplc="154443C2">
      <w:numFmt w:val="bullet"/>
      <w:lvlText w:val="•"/>
      <w:lvlJc w:val="left"/>
      <w:pPr>
        <w:ind w:left="1492" w:hanging="100"/>
      </w:pPr>
      <w:rPr>
        <w:rFonts w:hint="default"/>
      </w:rPr>
    </w:lvl>
    <w:lvl w:ilvl="6" w:tplc="E0C6AA38">
      <w:numFmt w:val="bullet"/>
      <w:lvlText w:val="•"/>
      <w:lvlJc w:val="left"/>
      <w:pPr>
        <w:ind w:left="1758" w:hanging="100"/>
      </w:pPr>
      <w:rPr>
        <w:rFonts w:hint="default"/>
      </w:rPr>
    </w:lvl>
    <w:lvl w:ilvl="7" w:tplc="A6548074">
      <w:numFmt w:val="bullet"/>
      <w:lvlText w:val="•"/>
      <w:lvlJc w:val="left"/>
      <w:pPr>
        <w:ind w:left="2024" w:hanging="100"/>
      </w:pPr>
      <w:rPr>
        <w:rFonts w:hint="default"/>
      </w:rPr>
    </w:lvl>
    <w:lvl w:ilvl="8" w:tplc="7E9829D8">
      <w:numFmt w:val="bullet"/>
      <w:lvlText w:val="•"/>
      <w:lvlJc w:val="left"/>
      <w:pPr>
        <w:ind w:left="2291" w:hanging="100"/>
      </w:pPr>
      <w:rPr>
        <w:rFonts w:hint="default"/>
      </w:rPr>
    </w:lvl>
  </w:abstractNum>
  <w:abstractNum w:abstractNumId="2026" w15:restartNumberingAfterBreak="0">
    <w:nsid w:val="7EFE22C2"/>
    <w:multiLevelType w:val="hybridMultilevel"/>
    <w:tmpl w:val="26363838"/>
    <w:lvl w:ilvl="0" w:tplc="0EF4FC9E">
      <w:numFmt w:val="bullet"/>
      <w:lvlText w:val=""/>
      <w:lvlJc w:val="left"/>
      <w:pPr>
        <w:ind w:left="156" w:hanging="100"/>
      </w:pPr>
      <w:rPr>
        <w:rFonts w:ascii="Symbol" w:eastAsia="Symbol" w:hAnsi="Symbol" w:cs="Symbol" w:hint="default"/>
        <w:color w:val="231F20"/>
        <w:w w:val="100"/>
        <w:sz w:val="14"/>
        <w:szCs w:val="14"/>
      </w:rPr>
    </w:lvl>
    <w:lvl w:ilvl="1" w:tplc="F4E45F2A">
      <w:numFmt w:val="bullet"/>
      <w:lvlText w:val="•"/>
      <w:lvlJc w:val="left"/>
      <w:pPr>
        <w:ind w:left="398" w:hanging="100"/>
      </w:pPr>
      <w:rPr>
        <w:rFonts w:hint="default"/>
      </w:rPr>
    </w:lvl>
    <w:lvl w:ilvl="2" w:tplc="393C09B8">
      <w:numFmt w:val="bullet"/>
      <w:lvlText w:val="•"/>
      <w:lvlJc w:val="left"/>
      <w:pPr>
        <w:ind w:left="636" w:hanging="100"/>
      </w:pPr>
      <w:rPr>
        <w:rFonts w:hint="default"/>
      </w:rPr>
    </w:lvl>
    <w:lvl w:ilvl="3" w:tplc="14B60782">
      <w:numFmt w:val="bullet"/>
      <w:lvlText w:val="•"/>
      <w:lvlJc w:val="left"/>
      <w:pPr>
        <w:ind w:left="874" w:hanging="100"/>
      </w:pPr>
      <w:rPr>
        <w:rFonts w:hint="default"/>
      </w:rPr>
    </w:lvl>
    <w:lvl w:ilvl="4" w:tplc="797CF260">
      <w:numFmt w:val="bullet"/>
      <w:lvlText w:val="•"/>
      <w:lvlJc w:val="left"/>
      <w:pPr>
        <w:ind w:left="1112" w:hanging="100"/>
      </w:pPr>
      <w:rPr>
        <w:rFonts w:hint="default"/>
      </w:rPr>
    </w:lvl>
    <w:lvl w:ilvl="5" w:tplc="00EA58D2">
      <w:numFmt w:val="bullet"/>
      <w:lvlText w:val="•"/>
      <w:lvlJc w:val="left"/>
      <w:pPr>
        <w:ind w:left="1350" w:hanging="100"/>
      </w:pPr>
      <w:rPr>
        <w:rFonts w:hint="default"/>
      </w:rPr>
    </w:lvl>
    <w:lvl w:ilvl="6" w:tplc="002A9574">
      <w:numFmt w:val="bullet"/>
      <w:lvlText w:val="•"/>
      <w:lvlJc w:val="left"/>
      <w:pPr>
        <w:ind w:left="1588" w:hanging="100"/>
      </w:pPr>
      <w:rPr>
        <w:rFonts w:hint="default"/>
      </w:rPr>
    </w:lvl>
    <w:lvl w:ilvl="7" w:tplc="FFB4388C">
      <w:numFmt w:val="bullet"/>
      <w:lvlText w:val="•"/>
      <w:lvlJc w:val="left"/>
      <w:pPr>
        <w:ind w:left="1826" w:hanging="100"/>
      </w:pPr>
      <w:rPr>
        <w:rFonts w:hint="default"/>
      </w:rPr>
    </w:lvl>
    <w:lvl w:ilvl="8" w:tplc="B3A0A87E">
      <w:numFmt w:val="bullet"/>
      <w:lvlText w:val="•"/>
      <w:lvlJc w:val="left"/>
      <w:pPr>
        <w:ind w:left="2064" w:hanging="100"/>
      </w:pPr>
      <w:rPr>
        <w:rFonts w:hint="default"/>
      </w:rPr>
    </w:lvl>
  </w:abstractNum>
  <w:abstractNum w:abstractNumId="2027" w15:restartNumberingAfterBreak="0">
    <w:nsid w:val="7F152FA0"/>
    <w:multiLevelType w:val="hybridMultilevel"/>
    <w:tmpl w:val="B2227428"/>
    <w:lvl w:ilvl="0" w:tplc="93E8ADAE">
      <w:numFmt w:val="bullet"/>
      <w:lvlText w:val=""/>
      <w:lvlJc w:val="left"/>
      <w:pPr>
        <w:ind w:left="157" w:hanging="100"/>
      </w:pPr>
      <w:rPr>
        <w:rFonts w:ascii="Symbol" w:eastAsia="Symbol" w:hAnsi="Symbol" w:cs="Symbol" w:hint="default"/>
        <w:color w:val="231F20"/>
        <w:w w:val="100"/>
        <w:sz w:val="14"/>
        <w:szCs w:val="14"/>
      </w:rPr>
    </w:lvl>
    <w:lvl w:ilvl="1" w:tplc="7090ACD6">
      <w:numFmt w:val="bullet"/>
      <w:lvlText w:val="•"/>
      <w:lvlJc w:val="left"/>
      <w:pPr>
        <w:ind w:left="369" w:hanging="100"/>
      </w:pPr>
      <w:rPr>
        <w:rFonts w:hint="default"/>
      </w:rPr>
    </w:lvl>
    <w:lvl w:ilvl="2" w:tplc="099E2FC0">
      <w:numFmt w:val="bullet"/>
      <w:lvlText w:val="•"/>
      <w:lvlJc w:val="left"/>
      <w:pPr>
        <w:ind w:left="579" w:hanging="100"/>
      </w:pPr>
      <w:rPr>
        <w:rFonts w:hint="default"/>
      </w:rPr>
    </w:lvl>
    <w:lvl w:ilvl="3" w:tplc="2898B9E0">
      <w:numFmt w:val="bullet"/>
      <w:lvlText w:val="•"/>
      <w:lvlJc w:val="left"/>
      <w:pPr>
        <w:ind w:left="789" w:hanging="100"/>
      </w:pPr>
      <w:rPr>
        <w:rFonts w:hint="default"/>
      </w:rPr>
    </w:lvl>
    <w:lvl w:ilvl="4" w:tplc="38020B04">
      <w:numFmt w:val="bullet"/>
      <w:lvlText w:val="•"/>
      <w:lvlJc w:val="left"/>
      <w:pPr>
        <w:ind w:left="998" w:hanging="100"/>
      </w:pPr>
      <w:rPr>
        <w:rFonts w:hint="default"/>
      </w:rPr>
    </w:lvl>
    <w:lvl w:ilvl="5" w:tplc="03D679B4">
      <w:numFmt w:val="bullet"/>
      <w:lvlText w:val="•"/>
      <w:lvlJc w:val="left"/>
      <w:pPr>
        <w:ind w:left="1208" w:hanging="100"/>
      </w:pPr>
      <w:rPr>
        <w:rFonts w:hint="default"/>
      </w:rPr>
    </w:lvl>
    <w:lvl w:ilvl="6" w:tplc="5BC4F2BE">
      <w:numFmt w:val="bullet"/>
      <w:lvlText w:val="•"/>
      <w:lvlJc w:val="left"/>
      <w:pPr>
        <w:ind w:left="1418" w:hanging="100"/>
      </w:pPr>
      <w:rPr>
        <w:rFonts w:hint="default"/>
      </w:rPr>
    </w:lvl>
    <w:lvl w:ilvl="7" w:tplc="FAA655CC">
      <w:numFmt w:val="bullet"/>
      <w:lvlText w:val="•"/>
      <w:lvlJc w:val="left"/>
      <w:pPr>
        <w:ind w:left="1627" w:hanging="100"/>
      </w:pPr>
      <w:rPr>
        <w:rFonts w:hint="default"/>
      </w:rPr>
    </w:lvl>
    <w:lvl w:ilvl="8" w:tplc="0396FCCE">
      <w:numFmt w:val="bullet"/>
      <w:lvlText w:val="•"/>
      <w:lvlJc w:val="left"/>
      <w:pPr>
        <w:ind w:left="1837" w:hanging="100"/>
      </w:pPr>
      <w:rPr>
        <w:rFonts w:hint="default"/>
      </w:rPr>
    </w:lvl>
  </w:abstractNum>
  <w:abstractNum w:abstractNumId="2028" w15:restartNumberingAfterBreak="0">
    <w:nsid w:val="7F177A78"/>
    <w:multiLevelType w:val="hybridMultilevel"/>
    <w:tmpl w:val="314473B2"/>
    <w:lvl w:ilvl="0" w:tplc="FC1A333C">
      <w:numFmt w:val="bullet"/>
      <w:lvlText w:val=""/>
      <w:lvlJc w:val="left"/>
      <w:pPr>
        <w:ind w:left="156" w:hanging="100"/>
      </w:pPr>
      <w:rPr>
        <w:rFonts w:ascii="Symbol" w:eastAsia="Symbol" w:hAnsi="Symbol" w:cs="Symbol" w:hint="default"/>
        <w:color w:val="231F20"/>
        <w:w w:val="100"/>
        <w:sz w:val="14"/>
        <w:szCs w:val="14"/>
      </w:rPr>
    </w:lvl>
    <w:lvl w:ilvl="1" w:tplc="0DD063AC">
      <w:numFmt w:val="bullet"/>
      <w:lvlText w:val="•"/>
      <w:lvlJc w:val="left"/>
      <w:pPr>
        <w:ind w:left="301" w:hanging="100"/>
      </w:pPr>
      <w:rPr>
        <w:rFonts w:hint="default"/>
      </w:rPr>
    </w:lvl>
    <w:lvl w:ilvl="2" w:tplc="189440A6">
      <w:numFmt w:val="bullet"/>
      <w:lvlText w:val="•"/>
      <w:lvlJc w:val="left"/>
      <w:pPr>
        <w:ind w:left="443" w:hanging="100"/>
      </w:pPr>
      <w:rPr>
        <w:rFonts w:hint="default"/>
      </w:rPr>
    </w:lvl>
    <w:lvl w:ilvl="3" w:tplc="78BE7F16">
      <w:numFmt w:val="bullet"/>
      <w:lvlText w:val="•"/>
      <w:lvlJc w:val="left"/>
      <w:pPr>
        <w:ind w:left="585" w:hanging="100"/>
      </w:pPr>
      <w:rPr>
        <w:rFonts w:hint="default"/>
      </w:rPr>
    </w:lvl>
    <w:lvl w:ilvl="4" w:tplc="D3781CFC">
      <w:numFmt w:val="bullet"/>
      <w:lvlText w:val="•"/>
      <w:lvlJc w:val="left"/>
      <w:pPr>
        <w:ind w:left="726" w:hanging="100"/>
      </w:pPr>
      <w:rPr>
        <w:rFonts w:hint="default"/>
      </w:rPr>
    </w:lvl>
    <w:lvl w:ilvl="5" w:tplc="3E14E2BC">
      <w:numFmt w:val="bullet"/>
      <w:lvlText w:val="•"/>
      <w:lvlJc w:val="left"/>
      <w:pPr>
        <w:ind w:left="868" w:hanging="100"/>
      </w:pPr>
      <w:rPr>
        <w:rFonts w:hint="default"/>
      </w:rPr>
    </w:lvl>
    <w:lvl w:ilvl="6" w:tplc="CC2A1C2C">
      <w:numFmt w:val="bullet"/>
      <w:lvlText w:val="•"/>
      <w:lvlJc w:val="left"/>
      <w:pPr>
        <w:ind w:left="1010" w:hanging="100"/>
      </w:pPr>
      <w:rPr>
        <w:rFonts w:hint="default"/>
      </w:rPr>
    </w:lvl>
    <w:lvl w:ilvl="7" w:tplc="27FA22AE">
      <w:numFmt w:val="bullet"/>
      <w:lvlText w:val="•"/>
      <w:lvlJc w:val="left"/>
      <w:pPr>
        <w:ind w:left="1151" w:hanging="100"/>
      </w:pPr>
      <w:rPr>
        <w:rFonts w:hint="default"/>
      </w:rPr>
    </w:lvl>
    <w:lvl w:ilvl="8" w:tplc="E16A5576">
      <w:numFmt w:val="bullet"/>
      <w:lvlText w:val="•"/>
      <w:lvlJc w:val="left"/>
      <w:pPr>
        <w:ind w:left="1293" w:hanging="100"/>
      </w:pPr>
      <w:rPr>
        <w:rFonts w:hint="default"/>
      </w:rPr>
    </w:lvl>
  </w:abstractNum>
  <w:abstractNum w:abstractNumId="2029" w15:restartNumberingAfterBreak="0">
    <w:nsid w:val="7F23264A"/>
    <w:multiLevelType w:val="hybridMultilevel"/>
    <w:tmpl w:val="35267C16"/>
    <w:lvl w:ilvl="0" w:tplc="D73E0892">
      <w:numFmt w:val="bullet"/>
      <w:lvlText w:val=""/>
      <w:lvlJc w:val="left"/>
      <w:pPr>
        <w:ind w:left="157" w:hanging="100"/>
      </w:pPr>
      <w:rPr>
        <w:rFonts w:ascii="Symbol" w:eastAsia="Symbol" w:hAnsi="Symbol" w:cs="Symbol" w:hint="default"/>
        <w:color w:val="231F20"/>
        <w:w w:val="100"/>
        <w:sz w:val="14"/>
        <w:szCs w:val="14"/>
      </w:rPr>
    </w:lvl>
    <w:lvl w:ilvl="1" w:tplc="458ED3A8">
      <w:numFmt w:val="bullet"/>
      <w:lvlText w:val="•"/>
      <w:lvlJc w:val="left"/>
      <w:pPr>
        <w:ind w:left="369" w:hanging="100"/>
      </w:pPr>
      <w:rPr>
        <w:rFonts w:hint="default"/>
      </w:rPr>
    </w:lvl>
    <w:lvl w:ilvl="2" w:tplc="89E6D49E">
      <w:numFmt w:val="bullet"/>
      <w:lvlText w:val="•"/>
      <w:lvlJc w:val="left"/>
      <w:pPr>
        <w:ind w:left="579" w:hanging="100"/>
      </w:pPr>
      <w:rPr>
        <w:rFonts w:hint="default"/>
      </w:rPr>
    </w:lvl>
    <w:lvl w:ilvl="3" w:tplc="45FE85EE">
      <w:numFmt w:val="bullet"/>
      <w:lvlText w:val="•"/>
      <w:lvlJc w:val="left"/>
      <w:pPr>
        <w:ind w:left="789" w:hanging="100"/>
      </w:pPr>
      <w:rPr>
        <w:rFonts w:hint="default"/>
      </w:rPr>
    </w:lvl>
    <w:lvl w:ilvl="4" w:tplc="89F4B56C">
      <w:numFmt w:val="bullet"/>
      <w:lvlText w:val="•"/>
      <w:lvlJc w:val="left"/>
      <w:pPr>
        <w:ind w:left="998" w:hanging="100"/>
      </w:pPr>
      <w:rPr>
        <w:rFonts w:hint="default"/>
      </w:rPr>
    </w:lvl>
    <w:lvl w:ilvl="5" w:tplc="7424E990">
      <w:numFmt w:val="bullet"/>
      <w:lvlText w:val="•"/>
      <w:lvlJc w:val="left"/>
      <w:pPr>
        <w:ind w:left="1208" w:hanging="100"/>
      </w:pPr>
      <w:rPr>
        <w:rFonts w:hint="default"/>
      </w:rPr>
    </w:lvl>
    <w:lvl w:ilvl="6" w:tplc="E056D352">
      <w:numFmt w:val="bullet"/>
      <w:lvlText w:val="•"/>
      <w:lvlJc w:val="left"/>
      <w:pPr>
        <w:ind w:left="1418" w:hanging="100"/>
      </w:pPr>
      <w:rPr>
        <w:rFonts w:hint="default"/>
      </w:rPr>
    </w:lvl>
    <w:lvl w:ilvl="7" w:tplc="B12ED822">
      <w:numFmt w:val="bullet"/>
      <w:lvlText w:val="•"/>
      <w:lvlJc w:val="left"/>
      <w:pPr>
        <w:ind w:left="1627" w:hanging="100"/>
      </w:pPr>
      <w:rPr>
        <w:rFonts w:hint="default"/>
      </w:rPr>
    </w:lvl>
    <w:lvl w:ilvl="8" w:tplc="12A23802">
      <w:numFmt w:val="bullet"/>
      <w:lvlText w:val="•"/>
      <w:lvlJc w:val="left"/>
      <w:pPr>
        <w:ind w:left="1837" w:hanging="100"/>
      </w:pPr>
      <w:rPr>
        <w:rFonts w:hint="default"/>
      </w:rPr>
    </w:lvl>
  </w:abstractNum>
  <w:abstractNum w:abstractNumId="2030" w15:restartNumberingAfterBreak="0">
    <w:nsid w:val="7F29099F"/>
    <w:multiLevelType w:val="hybridMultilevel"/>
    <w:tmpl w:val="99CCC8FA"/>
    <w:lvl w:ilvl="0" w:tplc="BC3A8288">
      <w:numFmt w:val="bullet"/>
      <w:lvlText w:val=""/>
      <w:lvlJc w:val="left"/>
      <w:pPr>
        <w:ind w:left="157" w:hanging="100"/>
      </w:pPr>
      <w:rPr>
        <w:rFonts w:ascii="Symbol" w:eastAsia="Symbol" w:hAnsi="Symbol" w:cs="Symbol" w:hint="default"/>
        <w:color w:val="231F20"/>
        <w:w w:val="100"/>
        <w:sz w:val="14"/>
        <w:szCs w:val="14"/>
      </w:rPr>
    </w:lvl>
    <w:lvl w:ilvl="1" w:tplc="30C0A064">
      <w:numFmt w:val="bullet"/>
      <w:lvlText w:val="•"/>
      <w:lvlJc w:val="left"/>
      <w:pPr>
        <w:ind w:left="426" w:hanging="100"/>
      </w:pPr>
      <w:rPr>
        <w:rFonts w:hint="default"/>
      </w:rPr>
    </w:lvl>
    <w:lvl w:ilvl="2" w:tplc="917CEB48">
      <w:numFmt w:val="bullet"/>
      <w:lvlText w:val="•"/>
      <w:lvlJc w:val="left"/>
      <w:pPr>
        <w:ind w:left="692" w:hanging="100"/>
      </w:pPr>
      <w:rPr>
        <w:rFonts w:hint="default"/>
      </w:rPr>
    </w:lvl>
    <w:lvl w:ilvl="3" w:tplc="C046B1DA">
      <w:numFmt w:val="bullet"/>
      <w:lvlText w:val="•"/>
      <w:lvlJc w:val="left"/>
      <w:pPr>
        <w:ind w:left="959" w:hanging="100"/>
      </w:pPr>
      <w:rPr>
        <w:rFonts w:hint="default"/>
      </w:rPr>
    </w:lvl>
    <w:lvl w:ilvl="4" w:tplc="9220604E">
      <w:numFmt w:val="bullet"/>
      <w:lvlText w:val="•"/>
      <w:lvlJc w:val="left"/>
      <w:pPr>
        <w:ind w:left="1225" w:hanging="100"/>
      </w:pPr>
      <w:rPr>
        <w:rFonts w:hint="default"/>
      </w:rPr>
    </w:lvl>
    <w:lvl w:ilvl="5" w:tplc="F1EEF482">
      <w:numFmt w:val="bullet"/>
      <w:lvlText w:val="•"/>
      <w:lvlJc w:val="left"/>
      <w:pPr>
        <w:ind w:left="1492" w:hanging="100"/>
      </w:pPr>
      <w:rPr>
        <w:rFonts w:hint="default"/>
      </w:rPr>
    </w:lvl>
    <w:lvl w:ilvl="6" w:tplc="BBD46BC8">
      <w:numFmt w:val="bullet"/>
      <w:lvlText w:val="•"/>
      <w:lvlJc w:val="left"/>
      <w:pPr>
        <w:ind w:left="1758" w:hanging="100"/>
      </w:pPr>
      <w:rPr>
        <w:rFonts w:hint="default"/>
      </w:rPr>
    </w:lvl>
    <w:lvl w:ilvl="7" w:tplc="3EAE0290">
      <w:numFmt w:val="bullet"/>
      <w:lvlText w:val="•"/>
      <w:lvlJc w:val="left"/>
      <w:pPr>
        <w:ind w:left="2024" w:hanging="100"/>
      </w:pPr>
      <w:rPr>
        <w:rFonts w:hint="default"/>
      </w:rPr>
    </w:lvl>
    <w:lvl w:ilvl="8" w:tplc="A3461B94">
      <w:numFmt w:val="bullet"/>
      <w:lvlText w:val="•"/>
      <w:lvlJc w:val="left"/>
      <w:pPr>
        <w:ind w:left="2291" w:hanging="100"/>
      </w:pPr>
      <w:rPr>
        <w:rFonts w:hint="default"/>
      </w:rPr>
    </w:lvl>
  </w:abstractNum>
  <w:abstractNum w:abstractNumId="2031" w15:restartNumberingAfterBreak="0">
    <w:nsid w:val="7F2E4EF5"/>
    <w:multiLevelType w:val="hybridMultilevel"/>
    <w:tmpl w:val="8A52D330"/>
    <w:lvl w:ilvl="0" w:tplc="50BA499C">
      <w:numFmt w:val="bullet"/>
      <w:lvlText w:val=""/>
      <w:lvlJc w:val="left"/>
      <w:pPr>
        <w:ind w:left="157" w:hanging="100"/>
      </w:pPr>
      <w:rPr>
        <w:rFonts w:ascii="Symbol" w:eastAsia="Symbol" w:hAnsi="Symbol" w:cs="Symbol" w:hint="default"/>
        <w:color w:val="231F20"/>
        <w:w w:val="100"/>
        <w:sz w:val="14"/>
        <w:szCs w:val="14"/>
      </w:rPr>
    </w:lvl>
    <w:lvl w:ilvl="1" w:tplc="4F54CC4C">
      <w:numFmt w:val="bullet"/>
      <w:lvlText w:val="•"/>
      <w:lvlJc w:val="left"/>
      <w:pPr>
        <w:ind w:left="426" w:hanging="100"/>
      </w:pPr>
      <w:rPr>
        <w:rFonts w:hint="default"/>
      </w:rPr>
    </w:lvl>
    <w:lvl w:ilvl="2" w:tplc="190AF97A">
      <w:numFmt w:val="bullet"/>
      <w:lvlText w:val="•"/>
      <w:lvlJc w:val="left"/>
      <w:pPr>
        <w:ind w:left="692" w:hanging="100"/>
      </w:pPr>
      <w:rPr>
        <w:rFonts w:hint="default"/>
      </w:rPr>
    </w:lvl>
    <w:lvl w:ilvl="3" w:tplc="53D8DD3A">
      <w:numFmt w:val="bullet"/>
      <w:lvlText w:val="•"/>
      <w:lvlJc w:val="left"/>
      <w:pPr>
        <w:ind w:left="959" w:hanging="100"/>
      </w:pPr>
      <w:rPr>
        <w:rFonts w:hint="default"/>
      </w:rPr>
    </w:lvl>
    <w:lvl w:ilvl="4" w:tplc="9968A684">
      <w:numFmt w:val="bullet"/>
      <w:lvlText w:val="•"/>
      <w:lvlJc w:val="left"/>
      <w:pPr>
        <w:ind w:left="1225" w:hanging="100"/>
      </w:pPr>
      <w:rPr>
        <w:rFonts w:hint="default"/>
      </w:rPr>
    </w:lvl>
    <w:lvl w:ilvl="5" w:tplc="86B203A4">
      <w:numFmt w:val="bullet"/>
      <w:lvlText w:val="•"/>
      <w:lvlJc w:val="left"/>
      <w:pPr>
        <w:ind w:left="1492" w:hanging="100"/>
      </w:pPr>
      <w:rPr>
        <w:rFonts w:hint="default"/>
      </w:rPr>
    </w:lvl>
    <w:lvl w:ilvl="6" w:tplc="FA345982">
      <w:numFmt w:val="bullet"/>
      <w:lvlText w:val="•"/>
      <w:lvlJc w:val="left"/>
      <w:pPr>
        <w:ind w:left="1758" w:hanging="100"/>
      </w:pPr>
      <w:rPr>
        <w:rFonts w:hint="default"/>
      </w:rPr>
    </w:lvl>
    <w:lvl w:ilvl="7" w:tplc="5D68E5EC">
      <w:numFmt w:val="bullet"/>
      <w:lvlText w:val="•"/>
      <w:lvlJc w:val="left"/>
      <w:pPr>
        <w:ind w:left="2024" w:hanging="100"/>
      </w:pPr>
      <w:rPr>
        <w:rFonts w:hint="default"/>
      </w:rPr>
    </w:lvl>
    <w:lvl w:ilvl="8" w:tplc="3F46BBAA">
      <w:numFmt w:val="bullet"/>
      <w:lvlText w:val="•"/>
      <w:lvlJc w:val="left"/>
      <w:pPr>
        <w:ind w:left="2291" w:hanging="100"/>
      </w:pPr>
      <w:rPr>
        <w:rFonts w:hint="default"/>
      </w:rPr>
    </w:lvl>
  </w:abstractNum>
  <w:abstractNum w:abstractNumId="2032" w15:restartNumberingAfterBreak="0">
    <w:nsid w:val="7F4F3C05"/>
    <w:multiLevelType w:val="hybridMultilevel"/>
    <w:tmpl w:val="9F5E5022"/>
    <w:lvl w:ilvl="0" w:tplc="BCAA8060">
      <w:numFmt w:val="bullet"/>
      <w:lvlText w:val=""/>
      <w:lvlJc w:val="left"/>
      <w:pPr>
        <w:ind w:left="156" w:hanging="100"/>
      </w:pPr>
      <w:rPr>
        <w:rFonts w:ascii="Symbol" w:eastAsia="Symbol" w:hAnsi="Symbol" w:cs="Symbol" w:hint="default"/>
        <w:color w:val="231F20"/>
        <w:w w:val="100"/>
        <w:sz w:val="14"/>
        <w:szCs w:val="14"/>
      </w:rPr>
    </w:lvl>
    <w:lvl w:ilvl="1" w:tplc="47561352">
      <w:numFmt w:val="bullet"/>
      <w:lvlText w:val="•"/>
      <w:lvlJc w:val="left"/>
      <w:pPr>
        <w:ind w:left="454" w:hanging="100"/>
      </w:pPr>
      <w:rPr>
        <w:rFonts w:hint="default"/>
      </w:rPr>
    </w:lvl>
    <w:lvl w:ilvl="2" w:tplc="B396328A">
      <w:numFmt w:val="bullet"/>
      <w:lvlText w:val="•"/>
      <w:lvlJc w:val="left"/>
      <w:pPr>
        <w:ind w:left="749" w:hanging="100"/>
      </w:pPr>
      <w:rPr>
        <w:rFonts w:hint="default"/>
      </w:rPr>
    </w:lvl>
    <w:lvl w:ilvl="3" w:tplc="5B08B33A">
      <w:numFmt w:val="bullet"/>
      <w:lvlText w:val="•"/>
      <w:lvlJc w:val="left"/>
      <w:pPr>
        <w:ind w:left="1044" w:hanging="100"/>
      </w:pPr>
      <w:rPr>
        <w:rFonts w:hint="default"/>
      </w:rPr>
    </w:lvl>
    <w:lvl w:ilvl="4" w:tplc="277408A6">
      <w:numFmt w:val="bullet"/>
      <w:lvlText w:val="•"/>
      <w:lvlJc w:val="left"/>
      <w:pPr>
        <w:ind w:left="1339" w:hanging="100"/>
      </w:pPr>
      <w:rPr>
        <w:rFonts w:hint="default"/>
      </w:rPr>
    </w:lvl>
    <w:lvl w:ilvl="5" w:tplc="3C12F67A">
      <w:numFmt w:val="bullet"/>
      <w:lvlText w:val="•"/>
      <w:lvlJc w:val="left"/>
      <w:pPr>
        <w:ind w:left="1634" w:hanging="100"/>
      </w:pPr>
      <w:rPr>
        <w:rFonts w:hint="default"/>
      </w:rPr>
    </w:lvl>
    <w:lvl w:ilvl="6" w:tplc="440CD888">
      <w:numFmt w:val="bullet"/>
      <w:lvlText w:val="•"/>
      <w:lvlJc w:val="left"/>
      <w:pPr>
        <w:ind w:left="1928" w:hanging="100"/>
      </w:pPr>
      <w:rPr>
        <w:rFonts w:hint="default"/>
      </w:rPr>
    </w:lvl>
    <w:lvl w:ilvl="7" w:tplc="822E8BDE">
      <w:numFmt w:val="bullet"/>
      <w:lvlText w:val="•"/>
      <w:lvlJc w:val="left"/>
      <w:pPr>
        <w:ind w:left="2223" w:hanging="100"/>
      </w:pPr>
      <w:rPr>
        <w:rFonts w:hint="default"/>
      </w:rPr>
    </w:lvl>
    <w:lvl w:ilvl="8" w:tplc="270447B2">
      <w:numFmt w:val="bullet"/>
      <w:lvlText w:val="•"/>
      <w:lvlJc w:val="left"/>
      <w:pPr>
        <w:ind w:left="2518" w:hanging="100"/>
      </w:pPr>
      <w:rPr>
        <w:rFonts w:hint="default"/>
      </w:rPr>
    </w:lvl>
  </w:abstractNum>
  <w:abstractNum w:abstractNumId="2033" w15:restartNumberingAfterBreak="0">
    <w:nsid w:val="7F507DA5"/>
    <w:multiLevelType w:val="hybridMultilevel"/>
    <w:tmpl w:val="08646198"/>
    <w:lvl w:ilvl="0" w:tplc="813C57F4">
      <w:numFmt w:val="bullet"/>
      <w:lvlText w:val=""/>
      <w:lvlJc w:val="left"/>
      <w:pPr>
        <w:ind w:left="156" w:hanging="100"/>
      </w:pPr>
      <w:rPr>
        <w:rFonts w:ascii="Symbol" w:eastAsia="Symbol" w:hAnsi="Symbol" w:cs="Symbol" w:hint="default"/>
        <w:color w:val="231F20"/>
        <w:w w:val="100"/>
        <w:sz w:val="14"/>
        <w:szCs w:val="14"/>
      </w:rPr>
    </w:lvl>
    <w:lvl w:ilvl="1" w:tplc="9D9273B8">
      <w:numFmt w:val="bullet"/>
      <w:lvlText w:val="•"/>
      <w:lvlJc w:val="left"/>
      <w:pPr>
        <w:ind w:left="398" w:hanging="100"/>
      </w:pPr>
      <w:rPr>
        <w:rFonts w:hint="default"/>
      </w:rPr>
    </w:lvl>
    <w:lvl w:ilvl="2" w:tplc="FE107692">
      <w:numFmt w:val="bullet"/>
      <w:lvlText w:val="•"/>
      <w:lvlJc w:val="left"/>
      <w:pPr>
        <w:ind w:left="636" w:hanging="100"/>
      </w:pPr>
      <w:rPr>
        <w:rFonts w:hint="default"/>
      </w:rPr>
    </w:lvl>
    <w:lvl w:ilvl="3" w:tplc="1AB629FC">
      <w:numFmt w:val="bullet"/>
      <w:lvlText w:val="•"/>
      <w:lvlJc w:val="left"/>
      <w:pPr>
        <w:ind w:left="874" w:hanging="100"/>
      </w:pPr>
      <w:rPr>
        <w:rFonts w:hint="default"/>
      </w:rPr>
    </w:lvl>
    <w:lvl w:ilvl="4" w:tplc="14E050D0">
      <w:numFmt w:val="bullet"/>
      <w:lvlText w:val="•"/>
      <w:lvlJc w:val="left"/>
      <w:pPr>
        <w:ind w:left="1112" w:hanging="100"/>
      </w:pPr>
      <w:rPr>
        <w:rFonts w:hint="default"/>
      </w:rPr>
    </w:lvl>
    <w:lvl w:ilvl="5" w:tplc="91DACC12">
      <w:numFmt w:val="bullet"/>
      <w:lvlText w:val="•"/>
      <w:lvlJc w:val="left"/>
      <w:pPr>
        <w:ind w:left="1350" w:hanging="100"/>
      </w:pPr>
      <w:rPr>
        <w:rFonts w:hint="default"/>
      </w:rPr>
    </w:lvl>
    <w:lvl w:ilvl="6" w:tplc="6DEEAD4A">
      <w:numFmt w:val="bullet"/>
      <w:lvlText w:val="•"/>
      <w:lvlJc w:val="left"/>
      <w:pPr>
        <w:ind w:left="1588" w:hanging="100"/>
      </w:pPr>
      <w:rPr>
        <w:rFonts w:hint="default"/>
      </w:rPr>
    </w:lvl>
    <w:lvl w:ilvl="7" w:tplc="82D49B78">
      <w:numFmt w:val="bullet"/>
      <w:lvlText w:val="•"/>
      <w:lvlJc w:val="left"/>
      <w:pPr>
        <w:ind w:left="1826" w:hanging="100"/>
      </w:pPr>
      <w:rPr>
        <w:rFonts w:hint="default"/>
      </w:rPr>
    </w:lvl>
    <w:lvl w:ilvl="8" w:tplc="E6E0C2C2">
      <w:numFmt w:val="bullet"/>
      <w:lvlText w:val="•"/>
      <w:lvlJc w:val="left"/>
      <w:pPr>
        <w:ind w:left="2064" w:hanging="100"/>
      </w:pPr>
      <w:rPr>
        <w:rFonts w:hint="default"/>
      </w:rPr>
    </w:lvl>
  </w:abstractNum>
  <w:abstractNum w:abstractNumId="2034" w15:restartNumberingAfterBreak="0">
    <w:nsid w:val="7F5C3854"/>
    <w:multiLevelType w:val="hybridMultilevel"/>
    <w:tmpl w:val="37C8514A"/>
    <w:lvl w:ilvl="0" w:tplc="D3422B2C">
      <w:numFmt w:val="bullet"/>
      <w:lvlText w:val=""/>
      <w:lvlJc w:val="left"/>
      <w:pPr>
        <w:ind w:left="157" w:hanging="100"/>
      </w:pPr>
      <w:rPr>
        <w:rFonts w:ascii="Symbol" w:eastAsia="Symbol" w:hAnsi="Symbol" w:cs="Symbol" w:hint="default"/>
        <w:color w:val="231F20"/>
        <w:w w:val="100"/>
        <w:sz w:val="14"/>
        <w:szCs w:val="14"/>
      </w:rPr>
    </w:lvl>
    <w:lvl w:ilvl="1" w:tplc="9D845DE4">
      <w:numFmt w:val="bullet"/>
      <w:lvlText w:val="•"/>
      <w:lvlJc w:val="left"/>
      <w:pPr>
        <w:ind w:left="369" w:hanging="100"/>
      </w:pPr>
      <w:rPr>
        <w:rFonts w:hint="default"/>
      </w:rPr>
    </w:lvl>
    <w:lvl w:ilvl="2" w:tplc="73EA520C">
      <w:numFmt w:val="bullet"/>
      <w:lvlText w:val="•"/>
      <w:lvlJc w:val="left"/>
      <w:pPr>
        <w:ind w:left="579" w:hanging="100"/>
      </w:pPr>
      <w:rPr>
        <w:rFonts w:hint="default"/>
      </w:rPr>
    </w:lvl>
    <w:lvl w:ilvl="3" w:tplc="EBD295B8">
      <w:numFmt w:val="bullet"/>
      <w:lvlText w:val="•"/>
      <w:lvlJc w:val="left"/>
      <w:pPr>
        <w:ind w:left="789" w:hanging="100"/>
      </w:pPr>
      <w:rPr>
        <w:rFonts w:hint="default"/>
      </w:rPr>
    </w:lvl>
    <w:lvl w:ilvl="4" w:tplc="1BE0CFBA">
      <w:numFmt w:val="bullet"/>
      <w:lvlText w:val="•"/>
      <w:lvlJc w:val="left"/>
      <w:pPr>
        <w:ind w:left="998" w:hanging="100"/>
      </w:pPr>
      <w:rPr>
        <w:rFonts w:hint="default"/>
      </w:rPr>
    </w:lvl>
    <w:lvl w:ilvl="5" w:tplc="BAE21F06">
      <w:numFmt w:val="bullet"/>
      <w:lvlText w:val="•"/>
      <w:lvlJc w:val="left"/>
      <w:pPr>
        <w:ind w:left="1208" w:hanging="100"/>
      </w:pPr>
      <w:rPr>
        <w:rFonts w:hint="default"/>
      </w:rPr>
    </w:lvl>
    <w:lvl w:ilvl="6" w:tplc="77C8B044">
      <w:numFmt w:val="bullet"/>
      <w:lvlText w:val="•"/>
      <w:lvlJc w:val="left"/>
      <w:pPr>
        <w:ind w:left="1418" w:hanging="100"/>
      </w:pPr>
      <w:rPr>
        <w:rFonts w:hint="default"/>
      </w:rPr>
    </w:lvl>
    <w:lvl w:ilvl="7" w:tplc="9496D3BC">
      <w:numFmt w:val="bullet"/>
      <w:lvlText w:val="•"/>
      <w:lvlJc w:val="left"/>
      <w:pPr>
        <w:ind w:left="1627" w:hanging="100"/>
      </w:pPr>
      <w:rPr>
        <w:rFonts w:hint="default"/>
      </w:rPr>
    </w:lvl>
    <w:lvl w:ilvl="8" w:tplc="806E6318">
      <w:numFmt w:val="bullet"/>
      <w:lvlText w:val="•"/>
      <w:lvlJc w:val="left"/>
      <w:pPr>
        <w:ind w:left="1837" w:hanging="100"/>
      </w:pPr>
      <w:rPr>
        <w:rFonts w:hint="default"/>
      </w:rPr>
    </w:lvl>
  </w:abstractNum>
  <w:abstractNum w:abstractNumId="2035" w15:restartNumberingAfterBreak="0">
    <w:nsid w:val="7F5D6010"/>
    <w:multiLevelType w:val="hybridMultilevel"/>
    <w:tmpl w:val="3B28CC92"/>
    <w:lvl w:ilvl="0" w:tplc="A9CA484E">
      <w:numFmt w:val="bullet"/>
      <w:lvlText w:val=""/>
      <w:lvlJc w:val="left"/>
      <w:pPr>
        <w:ind w:left="156" w:hanging="100"/>
      </w:pPr>
      <w:rPr>
        <w:rFonts w:ascii="Symbol" w:eastAsia="Symbol" w:hAnsi="Symbol" w:cs="Symbol" w:hint="default"/>
        <w:color w:val="231F20"/>
        <w:w w:val="100"/>
        <w:sz w:val="14"/>
        <w:szCs w:val="14"/>
      </w:rPr>
    </w:lvl>
    <w:lvl w:ilvl="1" w:tplc="284087A0">
      <w:numFmt w:val="bullet"/>
      <w:lvlText w:val="•"/>
      <w:lvlJc w:val="left"/>
      <w:pPr>
        <w:ind w:left="454" w:hanging="100"/>
      </w:pPr>
      <w:rPr>
        <w:rFonts w:hint="default"/>
      </w:rPr>
    </w:lvl>
    <w:lvl w:ilvl="2" w:tplc="9E72E934">
      <w:numFmt w:val="bullet"/>
      <w:lvlText w:val="•"/>
      <w:lvlJc w:val="left"/>
      <w:pPr>
        <w:ind w:left="749" w:hanging="100"/>
      </w:pPr>
      <w:rPr>
        <w:rFonts w:hint="default"/>
      </w:rPr>
    </w:lvl>
    <w:lvl w:ilvl="3" w:tplc="16BA64C6">
      <w:numFmt w:val="bullet"/>
      <w:lvlText w:val="•"/>
      <w:lvlJc w:val="left"/>
      <w:pPr>
        <w:ind w:left="1044" w:hanging="100"/>
      </w:pPr>
      <w:rPr>
        <w:rFonts w:hint="default"/>
      </w:rPr>
    </w:lvl>
    <w:lvl w:ilvl="4" w:tplc="69E889E6">
      <w:numFmt w:val="bullet"/>
      <w:lvlText w:val="•"/>
      <w:lvlJc w:val="left"/>
      <w:pPr>
        <w:ind w:left="1339" w:hanging="100"/>
      </w:pPr>
      <w:rPr>
        <w:rFonts w:hint="default"/>
      </w:rPr>
    </w:lvl>
    <w:lvl w:ilvl="5" w:tplc="AADEA678">
      <w:numFmt w:val="bullet"/>
      <w:lvlText w:val="•"/>
      <w:lvlJc w:val="left"/>
      <w:pPr>
        <w:ind w:left="1634" w:hanging="100"/>
      </w:pPr>
      <w:rPr>
        <w:rFonts w:hint="default"/>
      </w:rPr>
    </w:lvl>
    <w:lvl w:ilvl="6" w:tplc="F862825C">
      <w:numFmt w:val="bullet"/>
      <w:lvlText w:val="•"/>
      <w:lvlJc w:val="left"/>
      <w:pPr>
        <w:ind w:left="1928" w:hanging="100"/>
      </w:pPr>
      <w:rPr>
        <w:rFonts w:hint="default"/>
      </w:rPr>
    </w:lvl>
    <w:lvl w:ilvl="7" w:tplc="8C38CB02">
      <w:numFmt w:val="bullet"/>
      <w:lvlText w:val="•"/>
      <w:lvlJc w:val="left"/>
      <w:pPr>
        <w:ind w:left="2223" w:hanging="100"/>
      </w:pPr>
      <w:rPr>
        <w:rFonts w:hint="default"/>
      </w:rPr>
    </w:lvl>
    <w:lvl w:ilvl="8" w:tplc="A5900D92">
      <w:numFmt w:val="bullet"/>
      <w:lvlText w:val="•"/>
      <w:lvlJc w:val="left"/>
      <w:pPr>
        <w:ind w:left="2518" w:hanging="100"/>
      </w:pPr>
      <w:rPr>
        <w:rFonts w:hint="default"/>
      </w:rPr>
    </w:lvl>
  </w:abstractNum>
  <w:abstractNum w:abstractNumId="2036" w15:restartNumberingAfterBreak="0">
    <w:nsid w:val="7F610126"/>
    <w:multiLevelType w:val="hybridMultilevel"/>
    <w:tmpl w:val="994EC696"/>
    <w:lvl w:ilvl="0" w:tplc="FEF22126">
      <w:numFmt w:val="bullet"/>
      <w:lvlText w:val=""/>
      <w:lvlJc w:val="left"/>
      <w:pPr>
        <w:ind w:left="157" w:hanging="100"/>
      </w:pPr>
      <w:rPr>
        <w:rFonts w:ascii="Symbol" w:eastAsia="Symbol" w:hAnsi="Symbol" w:cs="Symbol" w:hint="default"/>
        <w:color w:val="231F20"/>
        <w:w w:val="100"/>
        <w:sz w:val="14"/>
        <w:szCs w:val="14"/>
      </w:rPr>
    </w:lvl>
    <w:lvl w:ilvl="1" w:tplc="264E083A">
      <w:numFmt w:val="bullet"/>
      <w:lvlText w:val="•"/>
      <w:lvlJc w:val="left"/>
      <w:pPr>
        <w:ind w:left="369" w:hanging="100"/>
      </w:pPr>
      <w:rPr>
        <w:rFonts w:hint="default"/>
      </w:rPr>
    </w:lvl>
    <w:lvl w:ilvl="2" w:tplc="DC4CF08E">
      <w:numFmt w:val="bullet"/>
      <w:lvlText w:val="•"/>
      <w:lvlJc w:val="left"/>
      <w:pPr>
        <w:ind w:left="579" w:hanging="100"/>
      </w:pPr>
      <w:rPr>
        <w:rFonts w:hint="default"/>
      </w:rPr>
    </w:lvl>
    <w:lvl w:ilvl="3" w:tplc="FD401538">
      <w:numFmt w:val="bullet"/>
      <w:lvlText w:val="•"/>
      <w:lvlJc w:val="left"/>
      <w:pPr>
        <w:ind w:left="789" w:hanging="100"/>
      </w:pPr>
      <w:rPr>
        <w:rFonts w:hint="default"/>
      </w:rPr>
    </w:lvl>
    <w:lvl w:ilvl="4" w:tplc="83C463EE">
      <w:numFmt w:val="bullet"/>
      <w:lvlText w:val="•"/>
      <w:lvlJc w:val="left"/>
      <w:pPr>
        <w:ind w:left="998" w:hanging="100"/>
      </w:pPr>
      <w:rPr>
        <w:rFonts w:hint="default"/>
      </w:rPr>
    </w:lvl>
    <w:lvl w:ilvl="5" w:tplc="16B0CC20">
      <w:numFmt w:val="bullet"/>
      <w:lvlText w:val="•"/>
      <w:lvlJc w:val="left"/>
      <w:pPr>
        <w:ind w:left="1208" w:hanging="100"/>
      </w:pPr>
      <w:rPr>
        <w:rFonts w:hint="default"/>
      </w:rPr>
    </w:lvl>
    <w:lvl w:ilvl="6" w:tplc="6EF66898">
      <w:numFmt w:val="bullet"/>
      <w:lvlText w:val="•"/>
      <w:lvlJc w:val="left"/>
      <w:pPr>
        <w:ind w:left="1418" w:hanging="100"/>
      </w:pPr>
      <w:rPr>
        <w:rFonts w:hint="default"/>
      </w:rPr>
    </w:lvl>
    <w:lvl w:ilvl="7" w:tplc="17B0FDC4">
      <w:numFmt w:val="bullet"/>
      <w:lvlText w:val="•"/>
      <w:lvlJc w:val="left"/>
      <w:pPr>
        <w:ind w:left="1627" w:hanging="100"/>
      </w:pPr>
      <w:rPr>
        <w:rFonts w:hint="default"/>
      </w:rPr>
    </w:lvl>
    <w:lvl w:ilvl="8" w:tplc="EA4E54C0">
      <w:numFmt w:val="bullet"/>
      <w:lvlText w:val="•"/>
      <w:lvlJc w:val="left"/>
      <w:pPr>
        <w:ind w:left="1837" w:hanging="100"/>
      </w:pPr>
      <w:rPr>
        <w:rFonts w:hint="default"/>
      </w:rPr>
    </w:lvl>
  </w:abstractNum>
  <w:abstractNum w:abstractNumId="2037" w15:restartNumberingAfterBreak="0">
    <w:nsid w:val="7F635462"/>
    <w:multiLevelType w:val="hybridMultilevel"/>
    <w:tmpl w:val="DDFE1BF2"/>
    <w:lvl w:ilvl="0" w:tplc="7F7055FC">
      <w:numFmt w:val="bullet"/>
      <w:lvlText w:val=""/>
      <w:lvlJc w:val="left"/>
      <w:pPr>
        <w:ind w:left="156" w:hanging="100"/>
      </w:pPr>
      <w:rPr>
        <w:rFonts w:ascii="Symbol" w:eastAsia="Symbol" w:hAnsi="Symbol" w:cs="Symbol" w:hint="default"/>
        <w:color w:val="231F20"/>
        <w:w w:val="100"/>
        <w:sz w:val="14"/>
        <w:szCs w:val="14"/>
      </w:rPr>
    </w:lvl>
    <w:lvl w:ilvl="1" w:tplc="33467D3A">
      <w:numFmt w:val="bullet"/>
      <w:lvlText w:val="•"/>
      <w:lvlJc w:val="left"/>
      <w:pPr>
        <w:ind w:left="398" w:hanging="100"/>
      </w:pPr>
      <w:rPr>
        <w:rFonts w:hint="default"/>
      </w:rPr>
    </w:lvl>
    <w:lvl w:ilvl="2" w:tplc="AA0C1C3A">
      <w:numFmt w:val="bullet"/>
      <w:lvlText w:val="•"/>
      <w:lvlJc w:val="left"/>
      <w:pPr>
        <w:ind w:left="636" w:hanging="100"/>
      </w:pPr>
      <w:rPr>
        <w:rFonts w:hint="default"/>
      </w:rPr>
    </w:lvl>
    <w:lvl w:ilvl="3" w:tplc="294C9E10">
      <w:numFmt w:val="bullet"/>
      <w:lvlText w:val="•"/>
      <w:lvlJc w:val="left"/>
      <w:pPr>
        <w:ind w:left="874" w:hanging="100"/>
      </w:pPr>
      <w:rPr>
        <w:rFonts w:hint="default"/>
      </w:rPr>
    </w:lvl>
    <w:lvl w:ilvl="4" w:tplc="59465D2E">
      <w:numFmt w:val="bullet"/>
      <w:lvlText w:val="•"/>
      <w:lvlJc w:val="left"/>
      <w:pPr>
        <w:ind w:left="1112" w:hanging="100"/>
      </w:pPr>
      <w:rPr>
        <w:rFonts w:hint="default"/>
      </w:rPr>
    </w:lvl>
    <w:lvl w:ilvl="5" w:tplc="14102C1A">
      <w:numFmt w:val="bullet"/>
      <w:lvlText w:val="•"/>
      <w:lvlJc w:val="left"/>
      <w:pPr>
        <w:ind w:left="1350" w:hanging="100"/>
      </w:pPr>
      <w:rPr>
        <w:rFonts w:hint="default"/>
      </w:rPr>
    </w:lvl>
    <w:lvl w:ilvl="6" w:tplc="5CBCF6AC">
      <w:numFmt w:val="bullet"/>
      <w:lvlText w:val="•"/>
      <w:lvlJc w:val="left"/>
      <w:pPr>
        <w:ind w:left="1588" w:hanging="100"/>
      </w:pPr>
      <w:rPr>
        <w:rFonts w:hint="default"/>
      </w:rPr>
    </w:lvl>
    <w:lvl w:ilvl="7" w:tplc="E41460BE">
      <w:numFmt w:val="bullet"/>
      <w:lvlText w:val="•"/>
      <w:lvlJc w:val="left"/>
      <w:pPr>
        <w:ind w:left="1826" w:hanging="100"/>
      </w:pPr>
      <w:rPr>
        <w:rFonts w:hint="default"/>
      </w:rPr>
    </w:lvl>
    <w:lvl w:ilvl="8" w:tplc="E3F81DFE">
      <w:numFmt w:val="bullet"/>
      <w:lvlText w:val="•"/>
      <w:lvlJc w:val="left"/>
      <w:pPr>
        <w:ind w:left="2064" w:hanging="100"/>
      </w:pPr>
      <w:rPr>
        <w:rFonts w:hint="default"/>
      </w:rPr>
    </w:lvl>
  </w:abstractNum>
  <w:abstractNum w:abstractNumId="2038" w15:restartNumberingAfterBreak="0">
    <w:nsid w:val="7F86036B"/>
    <w:multiLevelType w:val="hybridMultilevel"/>
    <w:tmpl w:val="80C696BA"/>
    <w:lvl w:ilvl="0" w:tplc="CDF82CA8">
      <w:numFmt w:val="bullet"/>
      <w:lvlText w:val=""/>
      <w:lvlJc w:val="left"/>
      <w:pPr>
        <w:ind w:left="156" w:hanging="100"/>
      </w:pPr>
      <w:rPr>
        <w:rFonts w:ascii="Symbol" w:eastAsia="Symbol" w:hAnsi="Symbol" w:cs="Symbol" w:hint="default"/>
        <w:color w:val="231F20"/>
        <w:w w:val="100"/>
        <w:sz w:val="14"/>
        <w:szCs w:val="14"/>
      </w:rPr>
    </w:lvl>
    <w:lvl w:ilvl="1" w:tplc="B426AD20">
      <w:numFmt w:val="bullet"/>
      <w:lvlText w:val="•"/>
      <w:lvlJc w:val="left"/>
      <w:pPr>
        <w:ind w:left="398" w:hanging="100"/>
      </w:pPr>
      <w:rPr>
        <w:rFonts w:hint="default"/>
      </w:rPr>
    </w:lvl>
    <w:lvl w:ilvl="2" w:tplc="58E82176">
      <w:numFmt w:val="bullet"/>
      <w:lvlText w:val="•"/>
      <w:lvlJc w:val="left"/>
      <w:pPr>
        <w:ind w:left="636" w:hanging="100"/>
      </w:pPr>
      <w:rPr>
        <w:rFonts w:hint="default"/>
      </w:rPr>
    </w:lvl>
    <w:lvl w:ilvl="3" w:tplc="F5682928">
      <w:numFmt w:val="bullet"/>
      <w:lvlText w:val="•"/>
      <w:lvlJc w:val="left"/>
      <w:pPr>
        <w:ind w:left="874" w:hanging="100"/>
      </w:pPr>
      <w:rPr>
        <w:rFonts w:hint="default"/>
      </w:rPr>
    </w:lvl>
    <w:lvl w:ilvl="4" w:tplc="2DA2271A">
      <w:numFmt w:val="bullet"/>
      <w:lvlText w:val="•"/>
      <w:lvlJc w:val="left"/>
      <w:pPr>
        <w:ind w:left="1112" w:hanging="100"/>
      </w:pPr>
      <w:rPr>
        <w:rFonts w:hint="default"/>
      </w:rPr>
    </w:lvl>
    <w:lvl w:ilvl="5" w:tplc="7F44B3E2">
      <w:numFmt w:val="bullet"/>
      <w:lvlText w:val="•"/>
      <w:lvlJc w:val="left"/>
      <w:pPr>
        <w:ind w:left="1350" w:hanging="100"/>
      </w:pPr>
      <w:rPr>
        <w:rFonts w:hint="default"/>
      </w:rPr>
    </w:lvl>
    <w:lvl w:ilvl="6" w:tplc="7682ED26">
      <w:numFmt w:val="bullet"/>
      <w:lvlText w:val="•"/>
      <w:lvlJc w:val="left"/>
      <w:pPr>
        <w:ind w:left="1588" w:hanging="100"/>
      </w:pPr>
      <w:rPr>
        <w:rFonts w:hint="default"/>
      </w:rPr>
    </w:lvl>
    <w:lvl w:ilvl="7" w:tplc="8A9CEB94">
      <w:numFmt w:val="bullet"/>
      <w:lvlText w:val="•"/>
      <w:lvlJc w:val="left"/>
      <w:pPr>
        <w:ind w:left="1826" w:hanging="100"/>
      </w:pPr>
      <w:rPr>
        <w:rFonts w:hint="default"/>
      </w:rPr>
    </w:lvl>
    <w:lvl w:ilvl="8" w:tplc="4F026100">
      <w:numFmt w:val="bullet"/>
      <w:lvlText w:val="•"/>
      <w:lvlJc w:val="left"/>
      <w:pPr>
        <w:ind w:left="2064" w:hanging="100"/>
      </w:pPr>
      <w:rPr>
        <w:rFonts w:hint="default"/>
      </w:rPr>
    </w:lvl>
  </w:abstractNum>
  <w:abstractNum w:abstractNumId="2039" w15:restartNumberingAfterBreak="0">
    <w:nsid w:val="7F886B3B"/>
    <w:multiLevelType w:val="hybridMultilevel"/>
    <w:tmpl w:val="25A48C7C"/>
    <w:lvl w:ilvl="0" w:tplc="1C287A3C">
      <w:numFmt w:val="bullet"/>
      <w:lvlText w:val=""/>
      <w:lvlJc w:val="left"/>
      <w:pPr>
        <w:ind w:left="156" w:hanging="100"/>
      </w:pPr>
      <w:rPr>
        <w:rFonts w:ascii="Symbol" w:eastAsia="Symbol" w:hAnsi="Symbol" w:cs="Symbol" w:hint="default"/>
        <w:color w:val="231F20"/>
        <w:w w:val="100"/>
        <w:sz w:val="14"/>
        <w:szCs w:val="14"/>
      </w:rPr>
    </w:lvl>
    <w:lvl w:ilvl="1" w:tplc="BA1095AE">
      <w:numFmt w:val="bullet"/>
      <w:lvlText w:val="•"/>
      <w:lvlJc w:val="left"/>
      <w:pPr>
        <w:ind w:left="301" w:hanging="100"/>
      </w:pPr>
      <w:rPr>
        <w:rFonts w:hint="default"/>
      </w:rPr>
    </w:lvl>
    <w:lvl w:ilvl="2" w:tplc="D83ABCCC">
      <w:numFmt w:val="bullet"/>
      <w:lvlText w:val="•"/>
      <w:lvlJc w:val="left"/>
      <w:pPr>
        <w:ind w:left="443" w:hanging="100"/>
      </w:pPr>
      <w:rPr>
        <w:rFonts w:hint="default"/>
      </w:rPr>
    </w:lvl>
    <w:lvl w:ilvl="3" w:tplc="55B0DBB4">
      <w:numFmt w:val="bullet"/>
      <w:lvlText w:val="•"/>
      <w:lvlJc w:val="left"/>
      <w:pPr>
        <w:ind w:left="585" w:hanging="100"/>
      </w:pPr>
      <w:rPr>
        <w:rFonts w:hint="default"/>
      </w:rPr>
    </w:lvl>
    <w:lvl w:ilvl="4" w:tplc="472A831C">
      <w:numFmt w:val="bullet"/>
      <w:lvlText w:val="•"/>
      <w:lvlJc w:val="left"/>
      <w:pPr>
        <w:ind w:left="726" w:hanging="100"/>
      </w:pPr>
      <w:rPr>
        <w:rFonts w:hint="default"/>
      </w:rPr>
    </w:lvl>
    <w:lvl w:ilvl="5" w:tplc="2AF45D84">
      <w:numFmt w:val="bullet"/>
      <w:lvlText w:val="•"/>
      <w:lvlJc w:val="left"/>
      <w:pPr>
        <w:ind w:left="868" w:hanging="100"/>
      </w:pPr>
      <w:rPr>
        <w:rFonts w:hint="default"/>
      </w:rPr>
    </w:lvl>
    <w:lvl w:ilvl="6" w:tplc="F08CF30A">
      <w:numFmt w:val="bullet"/>
      <w:lvlText w:val="•"/>
      <w:lvlJc w:val="left"/>
      <w:pPr>
        <w:ind w:left="1010" w:hanging="100"/>
      </w:pPr>
      <w:rPr>
        <w:rFonts w:hint="default"/>
      </w:rPr>
    </w:lvl>
    <w:lvl w:ilvl="7" w:tplc="5812125C">
      <w:numFmt w:val="bullet"/>
      <w:lvlText w:val="•"/>
      <w:lvlJc w:val="left"/>
      <w:pPr>
        <w:ind w:left="1151" w:hanging="100"/>
      </w:pPr>
      <w:rPr>
        <w:rFonts w:hint="default"/>
      </w:rPr>
    </w:lvl>
    <w:lvl w:ilvl="8" w:tplc="93C2F47E">
      <w:numFmt w:val="bullet"/>
      <w:lvlText w:val="•"/>
      <w:lvlJc w:val="left"/>
      <w:pPr>
        <w:ind w:left="1293" w:hanging="100"/>
      </w:pPr>
      <w:rPr>
        <w:rFonts w:hint="default"/>
      </w:rPr>
    </w:lvl>
  </w:abstractNum>
  <w:abstractNum w:abstractNumId="2040" w15:restartNumberingAfterBreak="0">
    <w:nsid w:val="7F9124A5"/>
    <w:multiLevelType w:val="hybridMultilevel"/>
    <w:tmpl w:val="10F86FF0"/>
    <w:lvl w:ilvl="0" w:tplc="B658DA72">
      <w:numFmt w:val="bullet"/>
      <w:lvlText w:val=""/>
      <w:lvlJc w:val="left"/>
      <w:pPr>
        <w:ind w:left="157" w:hanging="100"/>
      </w:pPr>
      <w:rPr>
        <w:rFonts w:ascii="Symbol" w:eastAsia="Symbol" w:hAnsi="Symbol" w:cs="Symbol" w:hint="default"/>
        <w:color w:val="231F20"/>
        <w:w w:val="100"/>
        <w:sz w:val="14"/>
        <w:szCs w:val="14"/>
      </w:rPr>
    </w:lvl>
    <w:lvl w:ilvl="1" w:tplc="0464E798">
      <w:numFmt w:val="bullet"/>
      <w:lvlText w:val="•"/>
      <w:lvlJc w:val="left"/>
      <w:pPr>
        <w:ind w:left="369" w:hanging="100"/>
      </w:pPr>
      <w:rPr>
        <w:rFonts w:hint="default"/>
      </w:rPr>
    </w:lvl>
    <w:lvl w:ilvl="2" w:tplc="604E0A78">
      <w:numFmt w:val="bullet"/>
      <w:lvlText w:val="•"/>
      <w:lvlJc w:val="left"/>
      <w:pPr>
        <w:ind w:left="579" w:hanging="100"/>
      </w:pPr>
      <w:rPr>
        <w:rFonts w:hint="default"/>
      </w:rPr>
    </w:lvl>
    <w:lvl w:ilvl="3" w:tplc="F7180482">
      <w:numFmt w:val="bullet"/>
      <w:lvlText w:val="•"/>
      <w:lvlJc w:val="left"/>
      <w:pPr>
        <w:ind w:left="789" w:hanging="100"/>
      </w:pPr>
      <w:rPr>
        <w:rFonts w:hint="default"/>
      </w:rPr>
    </w:lvl>
    <w:lvl w:ilvl="4" w:tplc="5E567CBC">
      <w:numFmt w:val="bullet"/>
      <w:lvlText w:val="•"/>
      <w:lvlJc w:val="left"/>
      <w:pPr>
        <w:ind w:left="998" w:hanging="100"/>
      </w:pPr>
      <w:rPr>
        <w:rFonts w:hint="default"/>
      </w:rPr>
    </w:lvl>
    <w:lvl w:ilvl="5" w:tplc="9FCCF268">
      <w:numFmt w:val="bullet"/>
      <w:lvlText w:val="•"/>
      <w:lvlJc w:val="left"/>
      <w:pPr>
        <w:ind w:left="1208" w:hanging="100"/>
      </w:pPr>
      <w:rPr>
        <w:rFonts w:hint="default"/>
      </w:rPr>
    </w:lvl>
    <w:lvl w:ilvl="6" w:tplc="11CAC51C">
      <w:numFmt w:val="bullet"/>
      <w:lvlText w:val="•"/>
      <w:lvlJc w:val="left"/>
      <w:pPr>
        <w:ind w:left="1418" w:hanging="100"/>
      </w:pPr>
      <w:rPr>
        <w:rFonts w:hint="default"/>
      </w:rPr>
    </w:lvl>
    <w:lvl w:ilvl="7" w:tplc="6B3C5FCC">
      <w:numFmt w:val="bullet"/>
      <w:lvlText w:val="•"/>
      <w:lvlJc w:val="left"/>
      <w:pPr>
        <w:ind w:left="1627" w:hanging="100"/>
      </w:pPr>
      <w:rPr>
        <w:rFonts w:hint="default"/>
      </w:rPr>
    </w:lvl>
    <w:lvl w:ilvl="8" w:tplc="6AFEFC3A">
      <w:numFmt w:val="bullet"/>
      <w:lvlText w:val="•"/>
      <w:lvlJc w:val="left"/>
      <w:pPr>
        <w:ind w:left="1837" w:hanging="100"/>
      </w:pPr>
      <w:rPr>
        <w:rFonts w:hint="default"/>
      </w:rPr>
    </w:lvl>
  </w:abstractNum>
  <w:abstractNum w:abstractNumId="2041" w15:restartNumberingAfterBreak="0">
    <w:nsid w:val="7FA938C0"/>
    <w:multiLevelType w:val="hybridMultilevel"/>
    <w:tmpl w:val="AD6A68BA"/>
    <w:lvl w:ilvl="0" w:tplc="0132593C">
      <w:numFmt w:val="bullet"/>
      <w:lvlText w:val="–"/>
      <w:lvlJc w:val="left"/>
      <w:pPr>
        <w:ind w:left="162" w:hanging="105"/>
      </w:pPr>
      <w:rPr>
        <w:rFonts w:ascii="Times New Roman" w:eastAsia="Times New Roman" w:hAnsi="Times New Roman" w:cs="Times New Roman" w:hint="default"/>
        <w:color w:val="231F20"/>
        <w:spacing w:val="-1"/>
        <w:w w:val="100"/>
        <w:sz w:val="14"/>
        <w:szCs w:val="14"/>
      </w:rPr>
    </w:lvl>
    <w:lvl w:ilvl="1" w:tplc="A70E5586">
      <w:numFmt w:val="bullet"/>
      <w:lvlText w:val="•"/>
      <w:lvlJc w:val="left"/>
      <w:pPr>
        <w:ind w:left="426" w:hanging="105"/>
      </w:pPr>
      <w:rPr>
        <w:rFonts w:hint="default"/>
      </w:rPr>
    </w:lvl>
    <w:lvl w:ilvl="2" w:tplc="52FE74A0">
      <w:numFmt w:val="bullet"/>
      <w:lvlText w:val="•"/>
      <w:lvlJc w:val="left"/>
      <w:pPr>
        <w:ind w:left="692" w:hanging="105"/>
      </w:pPr>
      <w:rPr>
        <w:rFonts w:hint="default"/>
      </w:rPr>
    </w:lvl>
    <w:lvl w:ilvl="3" w:tplc="B136FE60">
      <w:numFmt w:val="bullet"/>
      <w:lvlText w:val="•"/>
      <w:lvlJc w:val="left"/>
      <w:pPr>
        <w:ind w:left="959" w:hanging="105"/>
      </w:pPr>
      <w:rPr>
        <w:rFonts w:hint="default"/>
      </w:rPr>
    </w:lvl>
    <w:lvl w:ilvl="4" w:tplc="748C9DFC">
      <w:numFmt w:val="bullet"/>
      <w:lvlText w:val="•"/>
      <w:lvlJc w:val="left"/>
      <w:pPr>
        <w:ind w:left="1225" w:hanging="105"/>
      </w:pPr>
      <w:rPr>
        <w:rFonts w:hint="default"/>
      </w:rPr>
    </w:lvl>
    <w:lvl w:ilvl="5" w:tplc="48DEFB5A">
      <w:numFmt w:val="bullet"/>
      <w:lvlText w:val="•"/>
      <w:lvlJc w:val="left"/>
      <w:pPr>
        <w:ind w:left="1492" w:hanging="105"/>
      </w:pPr>
      <w:rPr>
        <w:rFonts w:hint="default"/>
      </w:rPr>
    </w:lvl>
    <w:lvl w:ilvl="6" w:tplc="2E6A2506">
      <w:numFmt w:val="bullet"/>
      <w:lvlText w:val="•"/>
      <w:lvlJc w:val="left"/>
      <w:pPr>
        <w:ind w:left="1758" w:hanging="105"/>
      </w:pPr>
      <w:rPr>
        <w:rFonts w:hint="default"/>
      </w:rPr>
    </w:lvl>
    <w:lvl w:ilvl="7" w:tplc="9D38180E">
      <w:numFmt w:val="bullet"/>
      <w:lvlText w:val="•"/>
      <w:lvlJc w:val="left"/>
      <w:pPr>
        <w:ind w:left="2024" w:hanging="105"/>
      </w:pPr>
      <w:rPr>
        <w:rFonts w:hint="default"/>
      </w:rPr>
    </w:lvl>
    <w:lvl w:ilvl="8" w:tplc="5A5CEDCC">
      <w:numFmt w:val="bullet"/>
      <w:lvlText w:val="•"/>
      <w:lvlJc w:val="left"/>
      <w:pPr>
        <w:ind w:left="2291" w:hanging="105"/>
      </w:pPr>
      <w:rPr>
        <w:rFonts w:hint="default"/>
      </w:rPr>
    </w:lvl>
  </w:abstractNum>
  <w:abstractNum w:abstractNumId="2042" w15:restartNumberingAfterBreak="0">
    <w:nsid w:val="7FAD6BAE"/>
    <w:multiLevelType w:val="hybridMultilevel"/>
    <w:tmpl w:val="6162481A"/>
    <w:lvl w:ilvl="0" w:tplc="697876EE">
      <w:numFmt w:val="bullet"/>
      <w:lvlText w:val=""/>
      <w:lvlJc w:val="left"/>
      <w:pPr>
        <w:ind w:left="157" w:hanging="100"/>
      </w:pPr>
      <w:rPr>
        <w:rFonts w:ascii="Symbol" w:eastAsia="Symbol" w:hAnsi="Symbol" w:cs="Symbol" w:hint="default"/>
        <w:color w:val="231F20"/>
        <w:w w:val="100"/>
        <w:sz w:val="14"/>
        <w:szCs w:val="14"/>
      </w:rPr>
    </w:lvl>
    <w:lvl w:ilvl="1" w:tplc="E7540380">
      <w:numFmt w:val="bullet"/>
      <w:lvlText w:val="•"/>
      <w:lvlJc w:val="left"/>
      <w:pPr>
        <w:ind w:left="398" w:hanging="100"/>
      </w:pPr>
      <w:rPr>
        <w:rFonts w:hint="default"/>
      </w:rPr>
    </w:lvl>
    <w:lvl w:ilvl="2" w:tplc="7E74CDF8">
      <w:numFmt w:val="bullet"/>
      <w:lvlText w:val="•"/>
      <w:lvlJc w:val="left"/>
      <w:pPr>
        <w:ind w:left="636" w:hanging="100"/>
      </w:pPr>
      <w:rPr>
        <w:rFonts w:hint="default"/>
      </w:rPr>
    </w:lvl>
    <w:lvl w:ilvl="3" w:tplc="2E70FDC0">
      <w:numFmt w:val="bullet"/>
      <w:lvlText w:val="•"/>
      <w:lvlJc w:val="left"/>
      <w:pPr>
        <w:ind w:left="874" w:hanging="100"/>
      </w:pPr>
      <w:rPr>
        <w:rFonts w:hint="default"/>
      </w:rPr>
    </w:lvl>
    <w:lvl w:ilvl="4" w:tplc="327625BC">
      <w:numFmt w:val="bullet"/>
      <w:lvlText w:val="•"/>
      <w:lvlJc w:val="left"/>
      <w:pPr>
        <w:ind w:left="1112" w:hanging="100"/>
      </w:pPr>
      <w:rPr>
        <w:rFonts w:hint="default"/>
      </w:rPr>
    </w:lvl>
    <w:lvl w:ilvl="5" w:tplc="E1E009B6">
      <w:numFmt w:val="bullet"/>
      <w:lvlText w:val="•"/>
      <w:lvlJc w:val="left"/>
      <w:pPr>
        <w:ind w:left="1350" w:hanging="100"/>
      </w:pPr>
      <w:rPr>
        <w:rFonts w:hint="default"/>
      </w:rPr>
    </w:lvl>
    <w:lvl w:ilvl="6" w:tplc="0BBC8C90">
      <w:numFmt w:val="bullet"/>
      <w:lvlText w:val="•"/>
      <w:lvlJc w:val="left"/>
      <w:pPr>
        <w:ind w:left="1588" w:hanging="100"/>
      </w:pPr>
      <w:rPr>
        <w:rFonts w:hint="default"/>
      </w:rPr>
    </w:lvl>
    <w:lvl w:ilvl="7" w:tplc="0DDC368C">
      <w:numFmt w:val="bullet"/>
      <w:lvlText w:val="•"/>
      <w:lvlJc w:val="left"/>
      <w:pPr>
        <w:ind w:left="1826" w:hanging="100"/>
      </w:pPr>
      <w:rPr>
        <w:rFonts w:hint="default"/>
      </w:rPr>
    </w:lvl>
    <w:lvl w:ilvl="8" w:tplc="15887194">
      <w:numFmt w:val="bullet"/>
      <w:lvlText w:val="•"/>
      <w:lvlJc w:val="left"/>
      <w:pPr>
        <w:ind w:left="2064" w:hanging="100"/>
      </w:pPr>
      <w:rPr>
        <w:rFonts w:hint="default"/>
      </w:rPr>
    </w:lvl>
  </w:abstractNum>
  <w:abstractNum w:abstractNumId="2043" w15:restartNumberingAfterBreak="0">
    <w:nsid w:val="7FBE6438"/>
    <w:multiLevelType w:val="hybridMultilevel"/>
    <w:tmpl w:val="1884EDD0"/>
    <w:lvl w:ilvl="0" w:tplc="F1283FBA">
      <w:numFmt w:val="bullet"/>
      <w:lvlText w:val=""/>
      <w:lvlJc w:val="left"/>
      <w:pPr>
        <w:ind w:left="157" w:hanging="100"/>
      </w:pPr>
      <w:rPr>
        <w:rFonts w:ascii="Symbol" w:eastAsia="Symbol" w:hAnsi="Symbol" w:cs="Symbol" w:hint="default"/>
        <w:color w:val="231F20"/>
        <w:w w:val="100"/>
        <w:sz w:val="14"/>
        <w:szCs w:val="14"/>
      </w:rPr>
    </w:lvl>
    <w:lvl w:ilvl="1" w:tplc="3A505DE0">
      <w:numFmt w:val="bullet"/>
      <w:lvlText w:val="•"/>
      <w:lvlJc w:val="left"/>
      <w:pPr>
        <w:ind w:left="369" w:hanging="100"/>
      </w:pPr>
      <w:rPr>
        <w:rFonts w:hint="default"/>
      </w:rPr>
    </w:lvl>
    <w:lvl w:ilvl="2" w:tplc="B664B50E">
      <w:numFmt w:val="bullet"/>
      <w:lvlText w:val="•"/>
      <w:lvlJc w:val="left"/>
      <w:pPr>
        <w:ind w:left="579" w:hanging="100"/>
      </w:pPr>
      <w:rPr>
        <w:rFonts w:hint="default"/>
      </w:rPr>
    </w:lvl>
    <w:lvl w:ilvl="3" w:tplc="641CE4F2">
      <w:numFmt w:val="bullet"/>
      <w:lvlText w:val="•"/>
      <w:lvlJc w:val="left"/>
      <w:pPr>
        <w:ind w:left="789" w:hanging="100"/>
      </w:pPr>
      <w:rPr>
        <w:rFonts w:hint="default"/>
      </w:rPr>
    </w:lvl>
    <w:lvl w:ilvl="4" w:tplc="D892F5E2">
      <w:numFmt w:val="bullet"/>
      <w:lvlText w:val="•"/>
      <w:lvlJc w:val="left"/>
      <w:pPr>
        <w:ind w:left="998" w:hanging="100"/>
      </w:pPr>
      <w:rPr>
        <w:rFonts w:hint="default"/>
      </w:rPr>
    </w:lvl>
    <w:lvl w:ilvl="5" w:tplc="7702FEEA">
      <w:numFmt w:val="bullet"/>
      <w:lvlText w:val="•"/>
      <w:lvlJc w:val="left"/>
      <w:pPr>
        <w:ind w:left="1208" w:hanging="100"/>
      </w:pPr>
      <w:rPr>
        <w:rFonts w:hint="default"/>
      </w:rPr>
    </w:lvl>
    <w:lvl w:ilvl="6" w:tplc="1FE88D70">
      <w:numFmt w:val="bullet"/>
      <w:lvlText w:val="•"/>
      <w:lvlJc w:val="left"/>
      <w:pPr>
        <w:ind w:left="1418" w:hanging="100"/>
      </w:pPr>
      <w:rPr>
        <w:rFonts w:hint="default"/>
      </w:rPr>
    </w:lvl>
    <w:lvl w:ilvl="7" w:tplc="836420BE">
      <w:numFmt w:val="bullet"/>
      <w:lvlText w:val="•"/>
      <w:lvlJc w:val="left"/>
      <w:pPr>
        <w:ind w:left="1627" w:hanging="100"/>
      </w:pPr>
      <w:rPr>
        <w:rFonts w:hint="default"/>
      </w:rPr>
    </w:lvl>
    <w:lvl w:ilvl="8" w:tplc="6772E3EE">
      <w:numFmt w:val="bullet"/>
      <w:lvlText w:val="•"/>
      <w:lvlJc w:val="left"/>
      <w:pPr>
        <w:ind w:left="1837" w:hanging="100"/>
      </w:pPr>
      <w:rPr>
        <w:rFonts w:hint="default"/>
      </w:rPr>
    </w:lvl>
  </w:abstractNum>
  <w:abstractNum w:abstractNumId="2044" w15:restartNumberingAfterBreak="0">
    <w:nsid w:val="7FE410E3"/>
    <w:multiLevelType w:val="hybridMultilevel"/>
    <w:tmpl w:val="ECF07B86"/>
    <w:lvl w:ilvl="0" w:tplc="3746CF12">
      <w:numFmt w:val="bullet"/>
      <w:lvlText w:val=""/>
      <w:lvlJc w:val="left"/>
      <w:pPr>
        <w:ind w:left="156" w:hanging="100"/>
      </w:pPr>
      <w:rPr>
        <w:rFonts w:ascii="Symbol" w:eastAsia="Symbol" w:hAnsi="Symbol" w:cs="Symbol" w:hint="default"/>
        <w:color w:val="231F20"/>
        <w:w w:val="100"/>
        <w:sz w:val="14"/>
        <w:szCs w:val="14"/>
      </w:rPr>
    </w:lvl>
    <w:lvl w:ilvl="1" w:tplc="6DDAD00E">
      <w:numFmt w:val="bullet"/>
      <w:lvlText w:val="•"/>
      <w:lvlJc w:val="left"/>
      <w:pPr>
        <w:ind w:left="398" w:hanging="100"/>
      </w:pPr>
      <w:rPr>
        <w:rFonts w:hint="default"/>
      </w:rPr>
    </w:lvl>
    <w:lvl w:ilvl="2" w:tplc="41C233D0">
      <w:numFmt w:val="bullet"/>
      <w:lvlText w:val="•"/>
      <w:lvlJc w:val="left"/>
      <w:pPr>
        <w:ind w:left="636" w:hanging="100"/>
      </w:pPr>
      <w:rPr>
        <w:rFonts w:hint="default"/>
      </w:rPr>
    </w:lvl>
    <w:lvl w:ilvl="3" w:tplc="3314DEA2">
      <w:numFmt w:val="bullet"/>
      <w:lvlText w:val="•"/>
      <w:lvlJc w:val="left"/>
      <w:pPr>
        <w:ind w:left="874" w:hanging="100"/>
      </w:pPr>
      <w:rPr>
        <w:rFonts w:hint="default"/>
      </w:rPr>
    </w:lvl>
    <w:lvl w:ilvl="4" w:tplc="94FE66F8">
      <w:numFmt w:val="bullet"/>
      <w:lvlText w:val="•"/>
      <w:lvlJc w:val="left"/>
      <w:pPr>
        <w:ind w:left="1112" w:hanging="100"/>
      </w:pPr>
      <w:rPr>
        <w:rFonts w:hint="default"/>
      </w:rPr>
    </w:lvl>
    <w:lvl w:ilvl="5" w:tplc="A218F19A">
      <w:numFmt w:val="bullet"/>
      <w:lvlText w:val="•"/>
      <w:lvlJc w:val="left"/>
      <w:pPr>
        <w:ind w:left="1350" w:hanging="100"/>
      </w:pPr>
      <w:rPr>
        <w:rFonts w:hint="default"/>
      </w:rPr>
    </w:lvl>
    <w:lvl w:ilvl="6" w:tplc="622EF6D4">
      <w:numFmt w:val="bullet"/>
      <w:lvlText w:val="•"/>
      <w:lvlJc w:val="left"/>
      <w:pPr>
        <w:ind w:left="1588" w:hanging="100"/>
      </w:pPr>
      <w:rPr>
        <w:rFonts w:hint="default"/>
      </w:rPr>
    </w:lvl>
    <w:lvl w:ilvl="7" w:tplc="B92C662A">
      <w:numFmt w:val="bullet"/>
      <w:lvlText w:val="•"/>
      <w:lvlJc w:val="left"/>
      <w:pPr>
        <w:ind w:left="1826" w:hanging="100"/>
      </w:pPr>
      <w:rPr>
        <w:rFonts w:hint="default"/>
      </w:rPr>
    </w:lvl>
    <w:lvl w:ilvl="8" w:tplc="FA8A0CDC">
      <w:numFmt w:val="bullet"/>
      <w:lvlText w:val="•"/>
      <w:lvlJc w:val="left"/>
      <w:pPr>
        <w:ind w:left="2064" w:hanging="100"/>
      </w:pPr>
      <w:rPr>
        <w:rFonts w:hint="default"/>
      </w:rPr>
    </w:lvl>
  </w:abstractNum>
  <w:abstractNum w:abstractNumId="2045" w15:restartNumberingAfterBreak="0">
    <w:nsid w:val="7FF52B9D"/>
    <w:multiLevelType w:val="hybridMultilevel"/>
    <w:tmpl w:val="AFC473EA"/>
    <w:lvl w:ilvl="0" w:tplc="34B8E19C">
      <w:numFmt w:val="bullet"/>
      <w:lvlText w:val="–"/>
      <w:lvlJc w:val="left"/>
      <w:pPr>
        <w:ind w:left="162" w:hanging="105"/>
      </w:pPr>
      <w:rPr>
        <w:rFonts w:ascii="Times New Roman" w:eastAsia="Times New Roman" w:hAnsi="Times New Roman" w:cs="Times New Roman" w:hint="default"/>
        <w:color w:val="231F20"/>
        <w:spacing w:val="-14"/>
        <w:w w:val="100"/>
        <w:sz w:val="14"/>
        <w:szCs w:val="14"/>
      </w:rPr>
    </w:lvl>
    <w:lvl w:ilvl="1" w:tplc="DE90DE34">
      <w:numFmt w:val="bullet"/>
      <w:lvlText w:val="•"/>
      <w:lvlJc w:val="left"/>
      <w:pPr>
        <w:ind w:left="426" w:hanging="105"/>
      </w:pPr>
      <w:rPr>
        <w:rFonts w:hint="default"/>
      </w:rPr>
    </w:lvl>
    <w:lvl w:ilvl="2" w:tplc="33E2C3FA">
      <w:numFmt w:val="bullet"/>
      <w:lvlText w:val="•"/>
      <w:lvlJc w:val="left"/>
      <w:pPr>
        <w:ind w:left="692" w:hanging="105"/>
      </w:pPr>
      <w:rPr>
        <w:rFonts w:hint="default"/>
      </w:rPr>
    </w:lvl>
    <w:lvl w:ilvl="3" w:tplc="D806F446">
      <w:numFmt w:val="bullet"/>
      <w:lvlText w:val="•"/>
      <w:lvlJc w:val="left"/>
      <w:pPr>
        <w:ind w:left="959" w:hanging="105"/>
      </w:pPr>
      <w:rPr>
        <w:rFonts w:hint="default"/>
      </w:rPr>
    </w:lvl>
    <w:lvl w:ilvl="4" w:tplc="B690556A">
      <w:numFmt w:val="bullet"/>
      <w:lvlText w:val="•"/>
      <w:lvlJc w:val="left"/>
      <w:pPr>
        <w:ind w:left="1225" w:hanging="105"/>
      </w:pPr>
      <w:rPr>
        <w:rFonts w:hint="default"/>
      </w:rPr>
    </w:lvl>
    <w:lvl w:ilvl="5" w:tplc="3EF6F6C0">
      <w:numFmt w:val="bullet"/>
      <w:lvlText w:val="•"/>
      <w:lvlJc w:val="left"/>
      <w:pPr>
        <w:ind w:left="1492" w:hanging="105"/>
      </w:pPr>
      <w:rPr>
        <w:rFonts w:hint="default"/>
      </w:rPr>
    </w:lvl>
    <w:lvl w:ilvl="6" w:tplc="DE7CD0AA">
      <w:numFmt w:val="bullet"/>
      <w:lvlText w:val="•"/>
      <w:lvlJc w:val="left"/>
      <w:pPr>
        <w:ind w:left="1758" w:hanging="105"/>
      </w:pPr>
      <w:rPr>
        <w:rFonts w:hint="default"/>
      </w:rPr>
    </w:lvl>
    <w:lvl w:ilvl="7" w:tplc="82649A48">
      <w:numFmt w:val="bullet"/>
      <w:lvlText w:val="•"/>
      <w:lvlJc w:val="left"/>
      <w:pPr>
        <w:ind w:left="2024" w:hanging="105"/>
      </w:pPr>
      <w:rPr>
        <w:rFonts w:hint="default"/>
      </w:rPr>
    </w:lvl>
    <w:lvl w:ilvl="8" w:tplc="3F60ACCE">
      <w:numFmt w:val="bullet"/>
      <w:lvlText w:val="•"/>
      <w:lvlJc w:val="left"/>
      <w:pPr>
        <w:ind w:left="2291" w:hanging="105"/>
      </w:pPr>
      <w:rPr>
        <w:rFonts w:hint="default"/>
      </w:rPr>
    </w:lvl>
  </w:abstractNum>
  <w:num w:numId="1">
    <w:abstractNumId w:val="1847"/>
  </w:num>
  <w:num w:numId="2">
    <w:abstractNumId w:val="727"/>
  </w:num>
  <w:num w:numId="3">
    <w:abstractNumId w:val="1583"/>
  </w:num>
  <w:num w:numId="4">
    <w:abstractNumId w:val="288"/>
  </w:num>
  <w:num w:numId="5">
    <w:abstractNumId w:val="1677"/>
  </w:num>
  <w:num w:numId="6">
    <w:abstractNumId w:val="794"/>
  </w:num>
  <w:num w:numId="7">
    <w:abstractNumId w:val="1609"/>
  </w:num>
  <w:num w:numId="8">
    <w:abstractNumId w:val="131"/>
  </w:num>
  <w:num w:numId="9">
    <w:abstractNumId w:val="934"/>
  </w:num>
  <w:num w:numId="10">
    <w:abstractNumId w:val="1105"/>
  </w:num>
  <w:num w:numId="11">
    <w:abstractNumId w:val="1323"/>
  </w:num>
  <w:num w:numId="12">
    <w:abstractNumId w:val="137"/>
  </w:num>
  <w:num w:numId="13">
    <w:abstractNumId w:val="1180"/>
  </w:num>
  <w:num w:numId="14">
    <w:abstractNumId w:val="809"/>
  </w:num>
  <w:num w:numId="15">
    <w:abstractNumId w:val="935"/>
  </w:num>
  <w:num w:numId="16">
    <w:abstractNumId w:val="16"/>
  </w:num>
  <w:num w:numId="17">
    <w:abstractNumId w:val="636"/>
  </w:num>
  <w:num w:numId="18">
    <w:abstractNumId w:val="447"/>
  </w:num>
  <w:num w:numId="19">
    <w:abstractNumId w:val="1689"/>
  </w:num>
  <w:num w:numId="20">
    <w:abstractNumId w:val="1851"/>
  </w:num>
  <w:num w:numId="21">
    <w:abstractNumId w:val="1867"/>
  </w:num>
  <w:num w:numId="22">
    <w:abstractNumId w:val="64"/>
  </w:num>
  <w:num w:numId="23">
    <w:abstractNumId w:val="1674"/>
  </w:num>
  <w:num w:numId="24">
    <w:abstractNumId w:val="1663"/>
  </w:num>
  <w:num w:numId="25">
    <w:abstractNumId w:val="786"/>
  </w:num>
  <w:num w:numId="26">
    <w:abstractNumId w:val="310"/>
  </w:num>
  <w:num w:numId="27">
    <w:abstractNumId w:val="1764"/>
  </w:num>
  <w:num w:numId="28">
    <w:abstractNumId w:val="1562"/>
  </w:num>
  <w:num w:numId="29">
    <w:abstractNumId w:val="1007"/>
  </w:num>
  <w:num w:numId="30">
    <w:abstractNumId w:val="1596"/>
  </w:num>
  <w:num w:numId="31">
    <w:abstractNumId w:val="5"/>
  </w:num>
  <w:num w:numId="32">
    <w:abstractNumId w:val="1956"/>
  </w:num>
  <w:num w:numId="33">
    <w:abstractNumId w:val="713"/>
  </w:num>
  <w:num w:numId="34">
    <w:abstractNumId w:val="1966"/>
  </w:num>
  <w:num w:numId="35">
    <w:abstractNumId w:val="775"/>
  </w:num>
  <w:num w:numId="36">
    <w:abstractNumId w:val="213"/>
  </w:num>
  <w:num w:numId="37">
    <w:abstractNumId w:val="1736"/>
  </w:num>
  <w:num w:numId="38">
    <w:abstractNumId w:val="1844"/>
  </w:num>
  <w:num w:numId="39">
    <w:abstractNumId w:val="491"/>
  </w:num>
  <w:num w:numId="40">
    <w:abstractNumId w:val="129"/>
  </w:num>
  <w:num w:numId="41">
    <w:abstractNumId w:val="366"/>
  </w:num>
  <w:num w:numId="42">
    <w:abstractNumId w:val="1379"/>
  </w:num>
  <w:num w:numId="43">
    <w:abstractNumId w:val="760"/>
  </w:num>
  <w:num w:numId="44">
    <w:abstractNumId w:val="1158"/>
  </w:num>
  <w:num w:numId="45">
    <w:abstractNumId w:val="94"/>
  </w:num>
  <w:num w:numId="46">
    <w:abstractNumId w:val="66"/>
  </w:num>
  <w:num w:numId="47">
    <w:abstractNumId w:val="1130"/>
  </w:num>
  <w:num w:numId="48">
    <w:abstractNumId w:val="892"/>
  </w:num>
  <w:num w:numId="49">
    <w:abstractNumId w:val="1384"/>
  </w:num>
  <w:num w:numId="50">
    <w:abstractNumId w:val="418"/>
  </w:num>
  <w:num w:numId="51">
    <w:abstractNumId w:val="235"/>
  </w:num>
  <w:num w:numId="52">
    <w:abstractNumId w:val="995"/>
  </w:num>
  <w:num w:numId="53">
    <w:abstractNumId w:val="998"/>
  </w:num>
  <w:num w:numId="54">
    <w:abstractNumId w:val="1391"/>
  </w:num>
  <w:num w:numId="55">
    <w:abstractNumId w:val="1830"/>
  </w:num>
  <w:num w:numId="56">
    <w:abstractNumId w:val="1489"/>
  </w:num>
  <w:num w:numId="57">
    <w:abstractNumId w:val="271"/>
  </w:num>
  <w:num w:numId="58">
    <w:abstractNumId w:val="259"/>
  </w:num>
  <w:num w:numId="59">
    <w:abstractNumId w:val="1821"/>
  </w:num>
  <w:num w:numId="60">
    <w:abstractNumId w:val="280"/>
  </w:num>
  <w:num w:numId="61">
    <w:abstractNumId w:val="1378"/>
  </w:num>
  <w:num w:numId="62">
    <w:abstractNumId w:val="427"/>
  </w:num>
  <w:num w:numId="63">
    <w:abstractNumId w:val="125"/>
  </w:num>
  <w:num w:numId="64">
    <w:abstractNumId w:val="635"/>
  </w:num>
  <w:num w:numId="65">
    <w:abstractNumId w:val="233"/>
  </w:num>
  <w:num w:numId="66">
    <w:abstractNumId w:val="1141"/>
  </w:num>
  <w:num w:numId="67">
    <w:abstractNumId w:val="1538"/>
  </w:num>
  <w:num w:numId="68">
    <w:abstractNumId w:val="869"/>
  </w:num>
  <w:num w:numId="69">
    <w:abstractNumId w:val="1708"/>
  </w:num>
  <w:num w:numId="70">
    <w:abstractNumId w:val="1835"/>
  </w:num>
  <w:num w:numId="71">
    <w:abstractNumId w:val="678"/>
  </w:num>
  <w:num w:numId="72">
    <w:abstractNumId w:val="1265"/>
  </w:num>
  <w:num w:numId="73">
    <w:abstractNumId w:val="1208"/>
  </w:num>
  <w:num w:numId="74">
    <w:abstractNumId w:val="1116"/>
  </w:num>
  <w:num w:numId="75">
    <w:abstractNumId w:val="1885"/>
  </w:num>
  <w:num w:numId="76">
    <w:abstractNumId w:val="1832"/>
  </w:num>
  <w:num w:numId="77">
    <w:abstractNumId w:val="1659"/>
  </w:num>
  <w:num w:numId="78">
    <w:abstractNumId w:val="27"/>
  </w:num>
  <w:num w:numId="79">
    <w:abstractNumId w:val="1815"/>
  </w:num>
  <w:num w:numId="80">
    <w:abstractNumId w:val="247"/>
  </w:num>
  <w:num w:numId="81">
    <w:abstractNumId w:val="1368"/>
  </w:num>
  <w:num w:numId="82">
    <w:abstractNumId w:val="307"/>
  </w:num>
  <w:num w:numId="83">
    <w:abstractNumId w:val="986"/>
  </w:num>
  <w:num w:numId="84">
    <w:abstractNumId w:val="92"/>
  </w:num>
  <w:num w:numId="85">
    <w:abstractNumId w:val="2030"/>
  </w:num>
  <w:num w:numId="86">
    <w:abstractNumId w:val="826"/>
  </w:num>
  <w:num w:numId="87">
    <w:abstractNumId w:val="1501"/>
  </w:num>
  <w:num w:numId="88">
    <w:abstractNumId w:val="1157"/>
  </w:num>
  <w:num w:numId="89">
    <w:abstractNumId w:val="1398"/>
  </w:num>
  <w:num w:numId="90">
    <w:abstractNumId w:val="1522"/>
  </w:num>
  <w:num w:numId="91">
    <w:abstractNumId w:val="1971"/>
  </w:num>
  <w:num w:numId="92">
    <w:abstractNumId w:val="93"/>
  </w:num>
  <w:num w:numId="93">
    <w:abstractNumId w:val="1030"/>
  </w:num>
  <w:num w:numId="94">
    <w:abstractNumId w:val="981"/>
  </w:num>
  <w:num w:numId="95">
    <w:abstractNumId w:val="1731"/>
  </w:num>
  <w:num w:numId="96">
    <w:abstractNumId w:val="677"/>
  </w:num>
  <w:num w:numId="97">
    <w:abstractNumId w:val="1115"/>
  </w:num>
  <w:num w:numId="98">
    <w:abstractNumId w:val="1412"/>
  </w:num>
  <w:num w:numId="99">
    <w:abstractNumId w:val="51"/>
  </w:num>
  <w:num w:numId="100">
    <w:abstractNumId w:val="1530"/>
  </w:num>
  <w:num w:numId="101">
    <w:abstractNumId w:val="1730"/>
  </w:num>
  <w:num w:numId="102">
    <w:abstractNumId w:val="161"/>
  </w:num>
  <w:num w:numId="103">
    <w:abstractNumId w:val="717"/>
  </w:num>
  <w:num w:numId="104">
    <w:abstractNumId w:val="84"/>
  </w:num>
  <w:num w:numId="105">
    <w:abstractNumId w:val="90"/>
  </w:num>
  <w:num w:numId="106">
    <w:abstractNumId w:val="428"/>
  </w:num>
  <w:num w:numId="107">
    <w:abstractNumId w:val="2044"/>
  </w:num>
  <w:num w:numId="108">
    <w:abstractNumId w:val="1338"/>
  </w:num>
  <w:num w:numId="109">
    <w:abstractNumId w:val="1927"/>
  </w:num>
  <w:num w:numId="110">
    <w:abstractNumId w:val="746"/>
  </w:num>
  <w:num w:numId="111">
    <w:abstractNumId w:val="1671"/>
  </w:num>
  <w:num w:numId="112">
    <w:abstractNumId w:val="840"/>
  </w:num>
  <w:num w:numId="113">
    <w:abstractNumId w:val="136"/>
  </w:num>
  <w:num w:numId="114">
    <w:abstractNumId w:val="1992"/>
  </w:num>
  <w:num w:numId="115">
    <w:abstractNumId w:val="1421"/>
  </w:num>
  <w:num w:numId="116">
    <w:abstractNumId w:val="1769"/>
  </w:num>
  <w:num w:numId="117">
    <w:abstractNumId w:val="1232"/>
  </w:num>
  <w:num w:numId="118">
    <w:abstractNumId w:val="1001"/>
  </w:num>
  <w:num w:numId="119">
    <w:abstractNumId w:val="565"/>
  </w:num>
  <w:num w:numId="120">
    <w:abstractNumId w:val="81"/>
  </w:num>
  <w:num w:numId="121">
    <w:abstractNumId w:val="1917"/>
  </w:num>
  <w:num w:numId="122">
    <w:abstractNumId w:val="601"/>
  </w:num>
  <w:num w:numId="123">
    <w:abstractNumId w:val="461"/>
  </w:num>
  <w:num w:numId="124">
    <w:abstractNumId w:val="73"/>
  </w:num>
  <w:num w:numId="125">
    <w:abstractNumId w:val="517"/>
  </w:num>
  <w:num w:numId="126">
    <w:abstractNumId w:val="1165"/>
  </w:num>
  <w:num w:numId="127">
    <w:abstractNumId w:val="453"/>
  </w:num>
  <w:num w:numId="128">
    <w:abstractNumId w:val="494"/>
  </w:num>
  <w:num w:numId="129">
    <w:abstractNumId w:val="47"/>
  </w:num>
  <w:num w:numId="130">
    <w:abstractNumId w:val="1185"/>
  </w:num>
  <w:num w:numId="131">
    <w:abstractNumId w:val="1110"/>
  </w:num>
  <w:num w:numId="132">
    <w:abstractNumId w:val="415"/>
  </w:num>
  <w:num w:numId="133">
    <w:abstractNumId w:val="1850"/>
  </w:num>
  <w:num w:numId="134">
    <w:abstractNumId w:val="1109"/>
  </w:num>
  <w:num w:numId="135">
    <w:abstractNumId w:val="1612"/>
  </w:num>
  <w:num w:numId="136">
    <w:abstractNumId w:val="1936"/>
  </w:num>
  <w:num w:numId="137">
    <w:abstractNumId w:val="236"/>
  </w:num>
  <w:num w:numId="138">
    <w:abstractNumId w:val="1928"/>
  </w:num>
  <w:num w:numId="139">
    <w:abstractNumId w:val="553"/>
  </w:num>
  <w:num w:numId="140">
    <w:abstractNumId w:val="468"/>
  </w:num>
  <w:num w:numId="141">
    <w:abstractNumId w:val="1074"/>
  </w:num>
  <w:num w:numId="142">
    <w:abstractNumId w:val="951"/>
  </w:num>
  <w:num w:numId="143">
    <w:abstractNumId w:val="489"/>
  </w:num>
  <w:num w:numId="144">
    <w:abstractNumId w:val="451"/>
  </w:num>
  <w:num w:numId="145">
    <w:abstractNumId w:val="1852"/>
  </w:num>
  <w:num w:numId="146">
    <w:abstractNumId w:val="422"/>
  </w:num>
  <w:num w:numId="147">
    <w:abstractNumId w:val="1819"/>
  </w:num>
  <w:num w:numId="148">
    <w:abstractNumId w:val="767"/>
  </w:num>
  <w:num w:numId="149">
    <w:abstractNumId w:val="1860"/>
  </w:num>
  <w:num w:numId="150">
    <w:abstractNumId w:val="1079"/>
  </w:num>
  <w:num w:numId="151">
    <w:abstractNumId w:val="529"/>
  </w:num>
  <w:num w:numId="152">
    <w:abstractNumId w:val="1484"/>
  </w:num>
  <w:num w:numId="153">
    <w:abstractNumId w:val="1745"/>
  </w:num>
  <w:num w:numId="154">
    <w:abstractNumId w:val="1910"/>
  </w:num>
  <w:num w:numId="155">
    <w:abstractNumId w:val="294"/>
  </w:num>
  <w:num w:numId="156">
    <w:abstractNumId w:val="1315"/>
  </w:num>
  <w:num w:numId="157">
    <w:abstractNumId w:val="716"/>
  </w:num>
  <w:num w:numId="158">
    <w:abstractNumId w:val="899"/>
  </w:num>
  <w:num w:numId="159">
    <w:abstractNumId w:val="229"/>
  </w:num>
  <w:num w:numId="160">
    <w:abstractNumId w:val="1716"/>
  </w:num>
  <w:num w:numId="161">
    <w:abstractNumId w:val="1066"/>
  </w:num>
  <w:num w:numId="162">
    <w:abstractNumId w:val="1899"/>
  </w:num>
  <w:num w:numId="163">
    <w:abstractNumId w:val="28"/>
  </w:num>
  <w:num w:numId="164">
    <w:abstractNumId w:val="1377"/>
  </w:num>
  <w:num w:numId="165">
    <w:abstractNumId w:val="1853"/>
  </w:num>
  <w:num w:numId="166">
    <w:abstractNumId w:val="413"/>
  </w:num>
  <w:num w:numId="167">
    <w:abstractNumId w:val="359"/>
  </w:num>
  <w:num w:numId="168">
    <w:abstractNumId w:val="1"/>
  </w:num>
  <w:num w:numId="169">
    <w:abstractNumId w:val="830"/>
  </w:num>
  <w:num w:numId="170">
    <w:abstractNumId w:val="1556"/>
  </w:num>
  <w:num w:numId="171">
    <w:abstractNumId w:val="1919"/>
  </w:num>
  <w:num w:numId="172">
    <w:abstractNumId w:val="983"/>
  </w:num>
  <w:num w:numId="173">
    <w:abstractNumId w:val="516"/>
  </w:num>
  <w:num w:numId="174">
    <w:abstractNumId w:val="384"/>
  </w:num>
  <w:num w:numId="175">
    <w:abstractNumId w:val="846"/>
  </w:num>
  <w:num w:numId="176">
    <w:abstractNumId w:val="1861"/>
  </w:num>
  <w:num w:numId="177">
    <w:abstractNumId w:val="78"/>
  </w:num>
  <w:num w:numId="178">
    <w:abstractNumId w:val="1578"/>
  </w:num>
  <w:num w:numId="179">
    <w:abstractNumId w:val="658"/>
  </w:num>
  <w:num w:numId="180">
    <w:abstractNumId w:val="1588"/>
  </w:num>
  <w:num w:numId="181">
    <w:abstractNumId w:val="321"/>
  </w:num>
  <w:num w:numId="182">
    <w:abstractNumId w:val="1196"/>
  </w:num>
  <w:num w:numId="183">
    <w:abstractNumId w:val="1592"/>
  </w:num>
  <w:num w:numId="184">
    <w:abstractNumId w:val="756"/>
  </w:num>
  <w:num w:numId="185">
    <w:abstractNumId w:val="751"/>
  </w:num>
  <w:num w:numId="186">
    <w:abstractNumId w:val="245"/>
  </w:num>
  <w:num w:numId="187">
    <w:abstractNumId w:val="1304"/>
  </w:num>
  <w:num w:numId="188">
    <w:abstractNumId w:val="1742"/>
  </w:num>
  <w:num w:numId="189">
    <w:abstractNumId w:val="1100"/>
  </w:num>
  <w:num w:numId="190">
    <w:abstractNumId w:val="1241"/>
  </w:num>
  <w:num w:numId="191">
    <w:abstractNumId w:val="21"/>
  </w:num>
  <w:num w:numId="192">
    <w:abstractNumId w:val="1627"/>
  </w:num>
  <w:num w:numId="193">
    <w:abstractNumId w:val="1070"/>
  </w:num>
  <w:num w:numId="194">
    <w:abstractNumId w:val="684"/>
  </w:num>
  <w:num w:numId="195">
    <w:abstractNumId w:val="870"/>
  </w:num>
  <w:num w:numId="196">
    <w:abstractNumId w:val="1803"/>
  </w:num>
  <w:num w:numId="197">
    <w:abstractNumId w:val="698"/>
  </w:num>
  <w:num w:numId="198">
    <w:abstractNumId w:val="452"/>
  </w:num>
  <w:num w:numId="199">
    <w:abstractNumId w:val="508"/>
  </w:num>
  <w:num w:numId="200">
    <w:abstractNumId w:val="1052"/>
  </w:num>
  <w:num w:numId="201">
    <w:abstractNumId w:val="325"/>
  </w:num>
  <w:num w:numId="202">
    <w:abstractNumId w:val="1780"/>
  </w:num>
  <w:num w:numId="203">
    <w:abstractNumId w:val="1081"/>
  </w:num>
  <w:num w:numId="204">
    <w:abstractNumId w:val="758"/>
  </w:num>
  <w:num w:numId="205">
    <w:abstractNumId w:val="712"/>
  </w:num>
  <w:num w:numId="206">
    <w:abstractNumId w:val="58"/>
  </w:num>
  <w:num w:numId="207">
    <w:abstractNumId w:val="8"/>
  </w:num>
  <w:num w:numId="208">
    <w:abstractNumId w:val="1974"/>
  </w:num>
  <w:num w:numId="209">
    <w:abstractNumId w:val="1002"/>
  </w:num>
  <w:num w:numId="210">
    <w:abstractNumId w:val="130"/>
  </w:num>
  <w:num w:numId="211">
    <w:abstractNumId w:val="723"/>
  </w:num>
  <w:num w:numId="212">
    <w:abstractNumId w:val="1831"/>
  </w:num>
  <w:num w:numId="213">
    <w:abstractNumId w:val="872"/>
  </w:num>
  <w:num w:numId="214">
    <w:abstractNumId w:val="1976"/>
  </w:num>
  <w:num w:numId="215">
    <w:abstractNumId w:val="1705"/>
  </w:num>
  <w:num w:numId="216">
    <w:abstractNumId w:val="1459"/>
  </w:num>
  <w:num w:numId="217">
    <w:abstractNumId w:val="1036"/>
  </w:num>
  <w:num w:numId="218">
    <w:abstractNumId w:val="1327"/>
  </w:num>
  <w:num w:numId="219">
    <w:abstractNumId w:val="469"/>
  </w:num>
  <w:num w:numId="220">
    <w:abstractNumId w:val="1999"/>
  </w:num>
  <w:num w:numId="221">
    <w:abstractNumId w:val="1990"/>
  </w:num>
  <w:num w:numId="222">
    <w:abstractNumId w:val="2015"/>
  </w:num>
  <w:num w:numId="223">
    <w:abstractNumId w:val="292"/>
  </w:num>
  <w:num w:numId="224">
    <w:abstractNumId w:val="1153"/>
  </w:num>
  <w:num w:numId="225">
    <w:abstractNumId w:val="980"/>
  </w:num>
  <w:num w:numId="226">
    <w:abstractNumId w:val="577"/>
  </w:num>
  <w:num w:numId="227">
    <w:abstractNumId w:val="644"/>
  </w:num>
  <w:num w:numId="228">
    <w:abstractNumId w:val="725"/>
  </w:num>
  <w:num w:numId="229">
    <w:abstractNumId w:val="445"/>
  </w:num>
  <w:num w:numId="230">
    <w:abstractNumId w:val="358"/>
  </w:num>
  <w:num w:numId="231">
    <w:abstractNumId w:val="1144"/>
  </w:num>
  <w:num w:numId="232">
    <w:abstractNumId w:val="150"/>
  </w:num>
  <w:num w:numId="233">
    <w:abstractNumId w:val="1709"/>
  </w:num>
  <w:num w:numId="234">
    <w:abstractNumId w:val="55"/>
  </w:num>
  <w:num w:numId="235">
    <w:abstractNumId w:val="1233"/>
  </w:num>
  <w:num w:numId="236">
    <w:abstractNumId w:val="2022"/>
  </w:num>
  <w:num w:numId="237">
    <w:abstractNumId w:val="459"/>
  </w:num>
  <w:num w:numId="238">
    <w:abstractNumId w:val="1441"/>
  </w:num>
  <w:num w:numId="239">
    <w:abstractNumId w:val="1087"/>
  </w:num>
  <w:num w:numId="240">
    <w:abstractNumId w:val="362"/>
  </w:num>
  <w:num w:numId="241">
    <w:abstractNumId w:val="1791"/>
  </w:num>
  <w:num w:numId="242">
    <w:abstractNumId w:val="1761"/>
  </w:num>
  <w:num w:numId="243">
    <w:abstractNumId w:val="67"/>
  </w:num>
  <w:num w:numId="244">
    <w:abstractNumId w:val="1202"/>
  </w:num>
  <w:num w:numId="245">
    <w:abstractNumId w:val="1266"/>
  </w:num>
  <w:num w:numId="246">
    <w:abstractNumId w:val="1846"/>
  </w:num>
  <w:num w:numId="247">
    <w:abstractNumId w:val="1924"/>
  </w:num>
  <w:num w:numId="248">
    <w:abstractNumId w:val="312"/>
  </w:num>
  <w:num w:numId="249">
    <w:abstractNumId w:val="339"/>
  </w:num>
  <w:num w:numId="250">
    <w:abstractNumId w:val="522"/>
  </w:num>
  <w:num w:numId="251">
    <w:abstractNumId w:val="1197"/>
  </w:num>
  <w:num w:numId="252">
    <w:abstractNumId w:val="871"/>
  </w:num>
  <w:num w:numId="253">
    <w:abstractNumId w:val="262"/>
  </w:num>
  <w:num w:numId="254">
    <w:abstractNumId w:val="1043"/>
  </w:num>
  <w:num w:numId="255">
    <w:abstractNumId w:val="1564"/>
  </w:num>
  <w:num w:numId="256">
    <w:abstractNumId w:val="107"/>
  </w:num>
  <w:num w:numId="257">
    <w:abstractNumId w:val="1591"/>
  </w:num>
  <w:num w:numId="258">
    <w:abstractNumId w:val="926"/>
  </w:num>
  <w:num w:numId="259">
    <w:abstractNumId w:val="954"/>
  </w:num>
  <w:num w:numId="260">
    <w:abstractNumId w:val="157"/>
  </w:num>
  <w:num w:numId="261">
    <w:abstractNumId w:val="941"/>
  </w:num>
  <w:num w:numId="262">
    <w:abstractNumId w:val="906"/>
  </w:num>
  <w:num w:numId="263">
    <w:abstractNumId w:val="681"/>
  </w:num>
  <w:num w:numId="264">
    <w:abstractNumId w:val="984"/>
  </w:num>
  <w:num w:numId="265">
    <w:abstractNumId w:val="512"/>
  </w:num>
  <w:num w:numId="266">
    <w:abstractNumId w:val="485"/>
  </w:num>
  <w:num w:numId="267">
    <w:abstractNumId w:val="968"/>
  </w:num>
  <w:num w:numId="268">
    <w:abstractNumId w:val="1119"/>
  </w:num>
  <w:num w:numId="269">
    <w:abstractNumId w:val="429"/>
  </w:num>
  <w:num w:numId="270">
    <w:abstractNumId w:val="1465"/>
  </w:num>
  <w:num w:numId="271">
    <w:abstractNumId w:val="1418"/>
  </w:num>
  <w:num w:numId="272">
    <w:abstractNumId w:val="589"/>
  </w:num>
  <w:num w:numId="273">
    <w:abstractNumId w:val="990"/>
  </w:num>
  <w:num w:numId="274">
    <w:abstractNumId w:val="863"/>
  </w:num>
  <w:num w:numId="275">
    <w:abstractNumId w:val="492"/>
  </w:num>
  <w:num w:numId="276">
    <w:abstractNumId w:val="1306"/>
  </w:num>
  <w:num w:numId="277">
    <w:abstractNumId w:val="1493"/>
  </w:num>
  <w:num w:numId="278">
    <w:abstractNumId w:val="1359"/>
  </w:num>
  <w:num w:numId="279">
    <w:abstractNumId w:val="455"/>
  </w:num>
  <w:num w:numId="280">
    <w:abstractNumId w:val="1938"/>
  </w:num>
  <w:num w:numId="281">
    <w:abstractNumId w:val="1577"/>
  </w:num>
  <w:num w:numId="282">
    <w:abstractNumId w:val="622"/>
  </w:num>
  <w:num w:numId="283">
    <w:abstractNumId w:val="369"/>
  </w:num>
  <w:num w:numId="284">
    <w:abstractNumId w:val="733"/>
  </w:num>
  <w:num w:numId="285">
    <w:abstractNumId w:val="167"/>
  </w:num>
  <w:num w:numId="286">
    <w:abstractNumId w:val="439"/>
  </w:num>
  <w:num w:numId="287">
    <w:abstractNumId w:val="667"/>
  </w:num>
  <w:num w:numId="288">
    <w:abstractNumId w:val="1108"/>
  </w:num>
  <w:num w:numId="289">
    <w:abstractNumId w:val="661"/>
  </w:num>
  <w:num w:numId="290">
    <w:abstractNumId w:val="1891"/>
  </w:num>
  <w:num w:numId="291">
    <w:abstractNumId w:val="1156"/>
  </w:num>
  <w:num w:numId="292">
    <w:abstractNumId w:val="1362"/>
  </w:num>
  <w:num w:numId="293">
    <w:abstractNumId w:val="117"/>
  </w:num>
  <w:num w:numId="294">
    <w:abstractNumId w:val="503"/>
  </w:num>
  <w:num w:numId="295">
    <w:abstractNumId w:val="1357"/>
  </w:num>
  <w:num w:numId="296">
    <w:abstractNumId w:val="173"/>
  </w:num>
  <w:num w:numId="297">
    <w:abstractNumId w:val="697"/>
  </w:num>
  <w:num w:numId="298">
    <w:abstractNumId w:val="1793"/>
  </w:num>
  <w:num w:numId="299">
    <w:abstractNumId w:val="40"/>
  </w:num>
  <w:num w:numId="300">
    <w:abstractNumId w:val="591"/>
  </w:num>
  <w:num w:numId="301">
    <w:abstractNumId w:val="886"/>
  </w:num>
  <w:num w:numId="302">
    <w:abstractNumId w:val="320"/>
  </w:num>
  <w:num w:numId="303">
    <w:abstractNumId w:val="682"/>
  </w:num>
  <w:num w:numId="304">
    <w:abstractNumId w:val="975"/>
  </w:num>
  <w:num w:numId="305">
    <w:abstractNumId w:val="317"/>
  </w:num>
  <w:num w:numId="306">
    <w:abstractNumId w:val="988"/>
  </w:num>
  <w:num w:numId="307">
    <w:abstractNumId w:val="1560"/>
  </w:num>
  <w:num w:numId="308">
    <w:abstractNumId w:val="1383"/>
  </w:num>
  <w:num w:numId="309">
    <w:abstractNumId w:val="349"/>
  </w:num>
  <w:num w:numId="310">
    <w:abstractNumId w:val="832"/>
  </w:num>
  <w:num w:numId="311">
    <w:abstractNumId w:val="1590"/>
  </w:num>
  <w:num w:numId="312">
    <w:abstractNumId w:val="480"/>
  </w:num>
  <w:num w:numId="313">
    <w:abstractNumId w:val="1750"/>
  </w:num>
  <w:num w:numId="314">
    <w:abstractNumId w:val="800"/>
  </w:num>
  <w:num w:numId="315">
    <w:abstractNumId w:val="440"/>
  </w:num>
  <w:num w:numId="316">
    <w:abstractNumId w:val="1661"/>
  </w:num>
  <w:num w:numId="317">
    <w:abstractNumId w:val="1600"/>
  </w:num>
  <w:num w:numId="318">
    <w:abstractNumId w:val="17"/>
  </w:num>
  <w:num w:numId="319">
    <w:abstractNumId w:val="1075"/>
  </w:num>
  <w:num w:numId="320">
    <w:abstractNumId w:val="734"/>
  </w:num>
  <w:num w:numId="321">
    <w:abstractNumId w:val="936"/>
  </w:num>
  <w:num w:numId="322">
    <w:abstractNumId w:val="482"/>
  </w:num>
  <w:num w:numId="323">
    <w:abstractNumId w:val="458"/>
  </w:num>
  <w:num w:numId="324">
    <w:abstractNumId w:val="1326"/>
  </w:num>
  <w:num w:numId="325">
    <w:abstractNumId w:val="997"/>
  </w:num>
  <w:num w:numId="326">
    <w:abstractNumId w:val="1028"/>
  </w:num>
  <w:num w:numId="327">
    <w:abstractNumId w:val="1263"/>
  </w:num>
  <w:num w:numId="328">
    <w:abstractNumId w:val="1204"/>
  </w:num>
  <w:num w:numId="329">
    <w:abstractNumId w:val="1311"/>
  </w:num>
  <w:num w:numId="330">
    <w:abstractNumId w:val="750"/>
  </w:num>
  <w:num w:numId="331">
    <w:abstractNumId w:val="1329"/>
  </w:num>
  <w:num w:numId="332">
    <w:abstractNumId w:val="2017"/>
  </w:num>
  <w:num w:numId="333">
    <w:abstractNumId w:val="1526"/>
  </w:num>
  <w:num w:numId="334">
    <w:abstractNumId w:val="1786"/>
  </w:num>
  <w:num w:numId="335">
    <w:abstractNumId w:val="1818"/>
  </w:num>
  <w:num w:numId="336">
    <w:abstractNumId w:val="573"/>
  </w:num>
  <w:num w:numId="337">
    <w:abstractNumId w:val="311"/>
  </w:num>
  <w:num w:numId="338">
    <w:abstractNumId w:val="1595"/>
  </w:num>
  <w:num w:numId="339">
    <w:abstractNumId w:val="683"/>
  </w:num>
  <w:num w:numId="340">
    <w:abstractNumId w:val="741"/>
  </w:num>
  <w:num w:numId="341">
    <w:abstractNumId w:val="177"/>
  </w:num>
  <w:num w:numId="342">
    <w:abstractNumId w:val="811"/>
  </w:num>
  <w:num w:numId="343">
    <w:abstractNumId w:val="100"/>
  </w:num>
  <w:num w:numId="344">
    <w:abstractNumId w:val="992"/>
  </w:num>
  <w:num w:numId="345">
    <w:abstractNumId w:val="1922"/>
  </w:num>
  <w:num w:numId="346">
    <w:abstractNumId w:val="290"/>
  </w:num>
  <w:num w:numId="347">
    <w:abstractNumId w:val="1752"/>
  </w:num>
  <w:num w:numId="348">
    <w:abstractNumId w:val="1614"/>
  </w:num>
  <w:num w:numId="349">
    <w:abstractNumId w:val="580"/>
  </w:num>
  <w:num w:numId="350">
    <w:abstractNumId w:val="1033"/>
  </w:num>
  <w:num w:numId="351">
    <w:abstractNumId w:val="1191"/>
  </w:num>
  <w:num w:numId="352">
    <w:abstractNumId w:val="219"/>
  </w:num>
  <w:num w:numId="353">
    <w:abstractNumId w:val="599"/>
  </w:num>
  <w:num w:numId="354">
    <w:abstractNumId w:val="1799"/>
  </w:num>
  <w:num w:numId="355">
    <w:abstractNumId w:val="1394"/>
  </w:num>
  <w:num w:numId="356">
    <w:abstractNumId w:val="1771"/>
  </w:num>
  <w:num w:numId="357">
    <w:abstractNumId w:val="594"/>
  </w:num>
  <w:num w:numId="358">
    <w:abstractNumId w:val="1176"/>
  </w:num>
  <w:num w:numId="359">
    <w:abstractNumId w:val="629"/>
  </w:num>
  <w:num w:numId="360">
    <w:abstractNumId w:val="878"/>
  </w:num>
  <w:num w:numId="361">
    <w:abstractNumId w:val="281"/>
  </w:num>
  <w:num w:numId="362">
    <w:abstractNumId w:val="976"/>
  </w:num>
  <w:num w:numId="363">
    <w:abstractNumId w:val="352"/>
  </w:num>
  <w:num w:numId="364">
    <w:abstractNumId w:val="735"/>
  </w:num>
  <w:num w:numId="365">
    <w:abstractNumId w:val="260"/>
  </w:num>
  <w:num w:numId="366">
    <w:abstractNumId w:val="183"/>
  </w:num>
  <w:num w:numId="367">
    <w:abstractNumId w:val="627"/>
  </w:num>
  <w:num w:numId="368">
    <w:abstractNumId w:val="827"/>
  </w:num>
  <w:num w:numId="369">
    <w:abstractNumId w:val="707"/>
  </w:num>
  <w:num w:numId="370">
    <w:abstractNumId w:val="584"/>
  </w:num>
  <w:num w:numId="371">
    <w:abstractNumId w:val="920"/>
  </w:num>
  <w:num w:numId="372">
    <w:abstractNumId w:val="30"/>
  </w:num>
  <w:num w:numId="373">
    <w:abstractNumId w:val="913"/>
  </w:num>
  <w:num w:numId="374">
    <w:abstractNumId w:val="514"/>
  </w:num>
  <w:num w:numId="375">
    <w:abstractNumId w:val="1172"/>
  </w:num>
  <w:num w:numId="376">
    <w:abstractNumId w:val="686"/>
  </w:num>
  <w:num w:numId="377">
    <w:abstractNumId w:val="1778"/>
  </w:num>
  <w:num w:numId="378">
    <w:abstractNumId w:val="977"/>
  </w:num>
  <w:num w:numId="379">
    <w:abstractNumId w:val="1866"/>
  </w:num>
  <w:num w:numId="380">
    <w:abstractNumId w:val="581"/>
  </w:num>
  <w:num w:numId="381">
    <w:abstractNumId w:val="194"/>
  </w:num>
  <w:num w:numId="382">
    <w:abstractNumId w:val="209"/>
  </w:num>
  <w:num w:numId="383">
    <w:abstractNumId w:val="206"/>
  </w:num>
  <w:num w:numId="384">
    <w:abstractNumId w:val="1989"/>
  </w:num>
  <w:num w:numId="385">
    <w:abstractNumId w:val="501"/>
  </w:num>
  <w:num w:numId="386">
    <w:abstractNumId w:val="1430"/>
  </w:num>
  <w:num w:numId="387">
    <w:abstractNumId w:val="1395"/>
  </w:num>
  <w:num w:numId="388">
    <w:abstractNumId w:val="1788"/>
  </w:num>
  <w:num w:numId="389">
    <w:abstractNumId w:val="1027"/>
  </w:num>
  <w:num w:numId="390">
    <w:abstractNumId w:val="1435"/>
  </w:num>
  <w:num w:numId="391">
    <w:abstractNumId w:val="1492"/>
  </w:num>
  <w:num w:numId="392">
    <w:abstractNumId w:val="862"/>
  </w:num>
  <w:num w:numId="393">
    <w:abstractNumId w:val="1838"/>
  </w:num>
  <w:num w:numId="394">
    <w:abstractNumId w:val="1451"/>
  </w:num>
  <w:num w:numId="395">
    <w:abstractNumId w:val="1143"/>
  </w:num>
  <w:num w:numId="396">
    <w:abstractNumId w:val="855"/>
  </w:num>
  <w:num w:numId="397">
    <w:abstractNumId w:val="1354"/>
  </w:num>
  <w:num w:numId="398">
    <w:abstractNumId w:val="805"/>
  </w:num>
  <w:num w:numId="399">
    <w:abstractNumId w:val="1748"/>
  </w:num>
  <w:num w:numId="400">
    <w:abstractNumId w:val="1375"/>
  </w:num>
  <w:num w:numId="401">
    <w:abstractNumId w:val="1639"/>
  </w:num>
  <w:num w:numId="402">
    <w:abstractNumId w:val="1439"/>
  </w:num>
  <w:num w:numId="403">
    <w:abstractNumId w:val="45"/>
  </w:num>
  <w:num w:numId="404">
    <w:abstractNumId w:val="195"/>
  </w:num>
  <w:num w:numId="405">
    <w:abstractNumId w:val="861"/>
  </w:num>
  <w:num w:numId="406">
    <w:abstractNumId w:val="615"/>
  </w:num>
  <w:num w:numId="407">
    <w:abstractNumId w:val="1281"/>
  </w:num>
  <w:num w:numId="408">
    <w:abstractNumId w:val="33"/>
  </w:num>
  <w:num w:numId="409">
    <w:abstractNumId w:val="1125"/>
  </w:num>
  <w:num w:numId="410">
    <w:abstractNumId w:val="1366"/>
  </w:num>
  <w:num w:numId="411">
    <w:abstractNumId w:val="208"/>
  </w:num>
  <w:num w:numId="412">
    <w:abstractNumId w:val="1510"/>
  </w:num>
  <w:num w:numId="413">
    <w:abstractNumId w:val="1856"/>
  </w:num>
  <w:num w:numId="414">
    <w:abstractNumId w:val="647"/>
  </w:num>
  <w:num w:numId="415">
    <w:abstractNumId w:val="575"/>
  </w:num>
  <w:num w:numId="416">
    <w:abstractNumId w:val="156"/>
  </w:num>
  <w:num w:numId="417">
    <w:abstractNumId w:val="1557"/>
  </w:num>
  <w:num w:numId="418">
    <w:abstractNumId w:val="1050"/>
  </w:num>
  <w:num w:numId="419">
    <w:abstractNumId w:val="791"/>
  </w:num>
  <w:num w:numId="420">
    <w:abstractNumId w:val="1775"/>
  </w:num>
  <w:num w:numId="421">
    <w:abstractNumId w:val="1478"/>
  </w:num>
  <w:num w:numId="422">
    <w:abstractNumId w:val="1895"/>
  </w:num>
  <w:num w:numId="423">
    <w:abstractNumId w:val="416"/>
  </w:num>
  <w:num w:numId="424">
    <w:abstractNumId w:val="829"/>
  </w:num>
  <w:num w:numId="425">
    <w:abstractNumId w:val="874"/>
  </w:num>
  <w:num w:numId="426">
    <w:abstractNumId w:val="1343"/>
  </w:num>
  <w:num w:numId="427">
    <w:abstractNumId w:val="466"/>
  </w:num>
  <w:num w:numId="428">
    <w:abstractNumId w:val="1005"/>
  </w:num>
  <w:num w:numId="429">
    <w:abstractNumId w:val="1840"/>
  </w:num>
  <w:num w:numId="430">
    <w:abstractNumId w:val="2045"/>
  </w:num>
  <w:num w:numId="431">
    <w:abstractNumId w:val="1726"/>
  </w:num>
  <w:num w:numId="432">
    <w:abstractNumId w:val="1535"/>
  </w:num>
  <w:num w:numId="433">
    <w:abstractNumId w:val="1839"/>
  </w:num>
  <w:num w:numId="434">
    <w:abstractNumId w:val="648"/>
  </w:num>
  <w:num w:numId="435">
    <w:abstractNumId w:val="1488"/>
  </w:num>
  <w:num w:numId="436">
    <w:abstractNumId w:val="1918"/>
  </w:num>
  <w:num w:numId="437">
    <w:abstractNumId w:val="989"/>
  </w:num>
  <w:num w:numId="438">
    <w:abstractNumId w:val="1257"/>
  </w:num>
  <w:num w:numId="439">
    <w:abstractNumId w:val="1694"/>
  </w:num>
  <w:num w:numId="440">
    <w:abstractNumId w:val="1552"/>
  </w:num>
  <w:num w:numId="441">
    <w:abstractNumId w:val="1727"/>
  </w:num>
  <w:num w:numId="442">
    <w:abstractNumId w:val="1209"/>
  </w:num>
  <w:num w:numId="443">
    <w:abstractNumId w:val="1957"/>
  </w:num>
  <w:num w:numId="444">
    <w:abstractNumId w:val="925"/>
  </w:num>
  <w:num w:numId="445">
    <w:abstractNumId w:val="255"/>
  </w:num>
  <w:num w:numId="446">
    <w:abstractNumId w:val="304"/>
  </w:num>
  <w:num w:numId="447">
    <w:abstractNumId w:val="43"/>
  </w:num>
  <w:num w:numId="448">
    <w:abstractNumId w:val="821"/>
  </w:num>
  <w:num w:numId="449">
    <w:abstractNumId w:val="1207"/>
  </w:num>
  <w:num w:numId="450">
    <w:abstractNumId w:val="345"/>
  </w:num>
  <w:num w:numId="451">
    <w:abstractNumId w:val="1114"/>
  </w:num>
  <w:num w:numId="452">
    <w:abstractNumId w:val="1415"/>
  </w:num>
  <w:num w:numId="453">
    <w:abstractNumId w:val="275"/>
  </w:num>
  <w:num w:numId="454">
    <w:abstractNumId w:val="356"/>
  </w:num>
  <w:num w:numId="455">
    <w:abstractNumId w:val="343"/>
  </w:num>
  <w:num w:numId="456">
    <w:abstractNumId w:val="1688"/>
  </w:num>
  <w:num w:numId="457">
    <w:abstractNumId w:val="1296"/>
  </w:num>
  <w:num w:numId="458">
    <w:abstractNumId w:val="1749"/>
  </w:num>
  <w:num w:numId="459">
    <w:abstractNumId w:val="1722"/>
  </w:num>
  <w:num w:numId="460">
    <w:abstractNumId w:val="554"/>
  </w:num>
  <w:num w:numId="461">
    <w:abstractNumId w:val="405"/>
  </w:num>
  <w:num w:numId="462">
    <w:abstractNumId w:val="1259"/>
  </w:num>
  <w:num w:numId="463">
    <w:abstractNumId w:val="4"/>
  </w:num>
  <w:num w:numId="464">
    <w:abstractNumId w:val="1713"/>
  </w:num>
  <w:num w:numId="465">
    <w:abstractNumId w:val="1344"/>
  </w:num>
  <w:num w:numId="466">
    <w:abstractNumId w:val="664"/>
  </w:num>
  <w:num w:numId="467">
    <w:abstractNumId w:val="1511"/>
  </w:num>
  <w:num w:numId="468">
    <w:abstractNumId w:val="421"/>
  </w:num>
  <w:num w:numId="469">
    <w:abstractNumId w:val="944"/>
  </w:num>
  <w:num w:numId="470">
    <w:abstractNumId w:val="1297"/>
  </w:num>
  <w:num w:numId="471">
    <w:abstractNumId w:val="675"/>
  </w:num>
  <w:num w:numId="472">
    <w:abstractNumId w:val="2034"/>
  </w:num>
  <w:num w:numId="473">
    <w:abstractNumId w:val="309"/>
  </w:num>
  <w:num w:numId="474">
    <w:abstractNumId w:val="1907"/>
  </w:num>
  <w:num w:numId="475">
    <w:abstractNumId w:val="1437"/>
  </w:num>
  <w:num w:numId="476">
    <w:abstractNumId w:val="1061"/>
  </w:num>
  <w:num w:numId="477">
    <w:abstractNumId w:val="346"/>
  </w:num>
  <w:num w:numId="478">
    <w:abstractNumId w:val="1979"/>
  </w:num>
  <w:num w:numId="479">
    <w:abstractNumId w:val="999"/>
  </w:num>
  <w:num w:numId="480">
    <w:abstractNumId w:val="83"/>
  </w:num>
  <w:num w:numId="481">
    <w:abstractNumId w:val="1429"/>
  </w:num>
  <w:num w:numId="482">
    <w:abstractNumId w:val="772"/>
  </w:num>
  <w:num w:numId="483">
    <w:abstractNumId w:val="778"/>
  </w:num>
  <w:num w:numId="484">
    <w:abstractNumId w:val="1824"/>
  </w:num>
  <w:num w:numId="485">
    <w:abstractNumId w:val="1585"/>
  </w:num>
  <w:num w:numId="486">
    <w:abstractNumId w:val="1325"/>
  </w:num>
  <w:num w:numId="487">
    <w:abstractNumId w:val="613"/>
  </w:num>
  <w:num w:numId="488">
    <w:abstractNumId w:val="199"/>
  </w:num>
  <w:num w:numId="489">
    <w:abstractNumId w:val="109"/>
  </w:num>
  <w:num w:numId="490">
    <w:abstractNumId w:val="1342"/>
  </w:num>
  <w:num w:numId="491">
    <w:abstractNumId w:val="630"/>
  </w:num>
  <w:num w:numId="492">
    <w:abstractNumId w:val="860"/>
  </w:num>
  <w:num w:numId="493">
    <w:abstractNumId w:val="302"/>
  </w:num>
  <w:num w:numId="494">
    <w:abstractNumId w:val="1268"/>
  </w:num>
  <w:num w:numId="495">
    <w:abstractNumId w:val="1699"/>
  </w:num>
  <w:num w:numId="496">
    <w:abstractNumId w:val="1747"/>
  </w:num>
  <w:num w:numId="497">
    <w:abstractNumId w:val="960"/>
  </w:num>
  <w:num w:numId="498">
    <w:abstractNumId w:val="724"/>
  </w:num>
  <w:num w:numId="499">
    <w:abstractNumId w:val="1320"/>
  </w:num>
  <w:num w:numId="500">
    <w:abstractNumId w:val="1790"/>
  </w:num>
  <w:num w:numId="501">
    <w:abstractNumId w:val="1025"/>
  </w:num>
  <w:num w:numId="502">
    <w:abstractNumId w:val="178"/>
  </w:num>
  <w:num w:numId="503">
    <w:abstractNumId w:val="1389"/>
  </w:num>
  <w:num w:numId="504">
    <w:abstractNumId w:val="1032"/>
  </w:num>
  <w:num w:numId="505">
    <w:abstractNumId w:val="1532"/>
  </w:num>
  <w:num w:numId="506">
    <w:abstractNumId w:val="1405"/>
  </w:num>
  <w:num w:numId="507">
    <w:abstractNumId w:val="748"/>
  </w:num>
  <w:num w:numId="508">
    <w:abstractNumId w:val="1179"/>
  </w:num>
  <w:num w:numId="509">
    <w:abstractNumId w:val="2000"/>
  </w:num>
  <w:num w:numId="510">
    <w:abstractNumId w:val="1106"/>
  </w:num>
  <w:num w:numId="511">
    <w:abstractNumId w:val="742"/>
  </w:num>
  <w:num w:numId="512">
    <w:abstractNumId w:val="228"/>
  </w:num>
  <w:num w:numId="513">
    <w:abstractNumId w:val="279"/>
  </w:num>
  <w:num w:numId="514">
    <w:abstractNumId w:val="1225"/>
  </w:num>
  <w:num w:numId="515">
    <w:abstractNumId w:val="1236"/>
  </w:num>
  <w:num w:numId="516">
    <w:abstractNumId w:val="551"/>
  </w:num>
  <w:num w:numId="517">
    <w:abstractNumId w:val="1660"/>
  </w:num>
  <w:num w:numId="518">
    <w:abstractNumId w:val="1934"/>
  </w:num>
  <w:num w:numId="519">
    <w:abstractNumId w:val="196"/>
  </w:num>
  <w:num w:numId="520">
    <w:abstractNumId w:val="436"/>
  </w:num>
  <w:num w:numId="521">
    <w:abstractNumId w:val="763"/>
  </w:num>
  <w:num w:numId="522">
    <w:abstractNumId w:val="351"/>
  </w:num>
  <w:num w:numId="523">
    <w:abstractNumId w:val="70"/>
  </w:num>
  <w:num w:numId="524">
    <w:abstractNumId w:val="387"/>
  </w:num>
  <w:num w:numId="525">
    <w:abstractNumId w:val="1471"/>
  </w:num>
  <w:num w:numId="526">
    <w:abstractNumId w:val="1878"/>
  </w:num>
  <w:num w:numId="527">
    <w:abstractNumId w:val="690"/>
  </w:num>
  <w:num w:numId="528">
    <w:abstractNumId w:val="1332"/>
  </w:num>
  <w:num w:numId="529">
    <w:abstractNumId w:val="1896"/>
  </w:num>
  <w:num w:numId="530">
    <w:abstractNumId w:val="1524"/>
  </w:num>
  <w:num w:numId="531">
    <w:abstractNumId w:val="1037"/>
  </w:num>
  <w:num w:numId="532">
    <w:abstractNumId w:val="1823"/>
  </w:num>
  <w:num w:numId="533">
    <w:abstractNumId w:val="1285"/>
  </w:num>
  <w:num w:numId="534">
    <w:abstractNumId w:val="1909"/>
  </w:num>
  <w:num w:numId="535">
    <w:abstractNumId w:val="1768"/>
  </w:num>
  <w:num w:numId="536">
    <w:abstractNumId w:val="671"/>
  </w:num>
  <w:num w:numId="537">
    <w:abstractNumId w:val="25"/>
  </w:num>
  <w:num w:numId="538">
    <w:abstractNumId w:val="1250"/>
  </w:num>
  <w:num w:numId="539">
    <w:abstractNumId w:val="662"/>
  </w:num>
  <w:num w:numId="540">
    <w:abstractNumId w:val="276"/>
  </w:num>
  <w:num w:numId="541">
    <w:abstractNumId w:val="1908"/>
  </w:num>
  <w:num w:numId="542">
    <w:abstractNumId w:val="1975"/>
  </w:num>
  <w:num w:numId="543">
    <w:abstractNumId w:val="600"/>
  </w:num>
  <w:num w:numId="544">
    <w:abstractNumId w:val="864"/>
  </w:num>
  <w:num w:numId="545">
    <w:abstractNumId w:val="158"/>
  </w:num>
  <w:num w:numId="546">
    <w:abstractNumId w:val="87"/>
  </w:num>
  <w:num w:numId="547">
    <w:abstractNumId w:val="1203"/>
  </w:num>
  <w:num w:numId="548">
    <w:abstractNumId w:val="239"/>
  </w:num>
  <w:num w:numId="549">
    <w:abstractNumId w:val="1453"/>
  </w:num>
  <w:num w:numId="550">
    <w:abstractNumId w:val="1523"/>
  </w:num>
  <w:num w:numId="551">
    <w:abstractNumId w:val="754"/>
  </w:num>
  <w:num w:numId="552">
    <w:abstractNumId w:val="780"/>
  </w:num>
  <w:num w:numId="553">
    <w:abstractNumId w:val="1199"/>
  </w:num>
  <w:num w:numId="554">
    <w:abstractNumId w:val="1371"/>
  </w:num>
  <w:num w:numId="555">
    <w:abstractNumId w:val="1932"/>
  </w:num>
  <w:num w:numId="556">
    <w:abstractNumId w:val="315"/>
  </w:num>
  <w:num w:numId="557">
    <w:abstractNumId w:val="1013"/>
  </w:num>
  <w:num w:numId="558">
    <w:abstractNumId w:val="574"/>
  </w:num>
  <w:num w:numId="559">
    <w:abstractNumId w:val="891"/>
  </w:num>
  <w:num w:numId="560">
    <w:abstractNumId w:val="1528"/>
  </w:num>
  <w:num w:numId="561">
    <w:abstractNumId w:val="1496"/>
  </w:num>
  <w:num w:numId="562">
    <w:abstractNumId w:val="621"/>
  </w:num>
  <w:num w:numId="563">
    <w:abstractNumId w:val="202"/>
  </w:num>
  <w:num w:numId="564">
    <w:abstractNumId w:val="964"/>
  </w:num>
  <w:num w:numId="565">
    <w:abstractNumId w:val="979"/>
  </w:num>
  <w:num w:numId="566">
    <w:abstractNumId w:val="1201"/>
  </w:num>
  <w:num w:numId="567">
    <w:abstractNumId w:val="586"/>
  </w:num>
  <w:num w:numId="568">
    <w:abstractNumId w:val="1843"/>
  </w:num>
  <w:num w:numId="569">
    <w:abstractNumId w:val="1610"/>
  </w:num>
  <w:num w:numId="570">
    <w:abstractNumId w:val="1041"/>
  </w:num>
  <w:num w:numId="571">
    <w:abstractNumId w:val="1440"/>
  </w:num>
  <w:num w:numId="572">
    <w:abstractNumId w:val="382"/>
  </w:num>
  <w:num w:numId="573">
    <w:abstractNumId w:val="2035"/>
  </w:num>
  <w:num w:numId="574">
    <w:abstractNumId w:val="52"/>
  </w:num>
  <w:num w:numId="575">
    <w:abstractNumId w:val="1682"/>
  </w:num>
  <w:num w:numId="576">
    <w:abstractNumId w:val="69"/>
  </w:num>
  <w:num w:numId="577">
    <w:abstractNumId w:val="1758"/>
  </w:num>
  <w:num w:numId="578">
    <w:abstractNumId w:val="1490"/>
  </w:num>
  <w:num w:numId="579">
    <w:abstractNumId w:val="670"/>
  </w:num>
  <w:num w:numId="580">
    <w:abstractNumId w:val="463"/>
  </w:num>
  <w:num w:numId="581">
    <w:abstractNumId w:val="1668"/>
  </w:num>
  <w:num w:numId="582">
    <w:abstractNumId w:val="844"/>
  </w:num>
  <w:num w:numId="583">
    <w:abstractNumId w:val="708"/>
  </w:num>
  <w:num w:numId="584">
    <w:abstractNumId w:val="99"/>
  </w:num>
  <w:num w:numId="585">
    <w:abstractNumId w:val="728"/>
  </w:num>
  <w:num w:numId="586">
    <w:abstractNumId w:val="889"/>
  </w:num>
  <w:num w:numId="587">
    <w:abstractNumId w:val="1264"/>
  </w:num>
  <w:num w:numId="588">
    <w:abstractNumId w:val="961"/>
  </w:num>
  <w:num w:numId="589">
    <w:abstractNumId w:val="847"/>
  </w:num>
  <w:num w:numId="590">
    <w:abstractNumId w:val="856"/>
  </w:num>
  <w:num w:numId="591">
    <w:abstractNumId w:val="1406"/>
  </w:num>
  <w:num w:numId="592">
    <w:abstractNumId w:val="1163"/>
  </w:num>
  <w:num w:numId="593">
    <w:abstractNumId w:val="1168"/>
  </w:num>
  <w:num w:numId="594">
    <w:abstractNumId w:val="363"/>
  </w:num>
  <w:num w:numId="595">
    <w:abstractNumId w:val="1034"/>
  </w:num>
  <w:num w:numId="596">
    <w:abstractNumId w:val="1410"/>
  </w:num>
  <w:num w:numId="597">
    <w:abstractNumId w:val="696"/>
  </w:num>
  <w:num w:numId="598">
    <w:abstractNumId w:val="1331"/>
  </w:num>
  <w:num w:numId="599">
    <w:abstractNumId w:val="762"/>
  </w:num>
  <w:num w:numId="600">
    <w:abstractNumId w:val="1029"/>
  </w:num>
  <w:num w:numId="601">
    <w:abstractNumId w:val="842"/>
  </w:num>
  <w:num w:numId="602">
    <w:abstractNumId w:val="1382"/>
  </w:num>
  <w:num w:numId="603">
    <w:abstractNumId w:val="523"/>
  </w:num>
  <w:num w:numId="604">
    <w:abstractNumId w:val="1888"/>
  </w:num>
  <w:num w:numId="605">
    <w:abstractNumId w:val="812"/>
  </w:num>
  <w:num w:numId="606">
    <w:abstractNumId w:val="1652"/>
  </w:num>
  <w:num w:numId="607">
    <w:abstractNumId w:val="1064"/>
  </w:num>
  <w:num w:numId="608">
    <w:abstractNumId w:val="1906"/>
  </w:num>
  <w:num w:numId="609">
    <w:abstractNumId w:val="1278"/>
  </w:num>
  <w:num w:numId="610">
    <w:abstractNumId w:val="1071"/>
  </w:num>
  <w:num w:numId="611">
    <w:abstractNumId w:val="731"/>
  </w:num>
  <w:num w:numId="612">
    <w:abstractNumId w:val="1057"/>
  </w:num>
  <w:num w:numId="613">
    <w:abstractNumId w:val="243"/>
  </w:num>
  <w:num w:numId="614">
    <w:abstractNumId w:val="1194"/>
  </w:num>
  <w:num w:numId="615">
    <w:abstractNumId w:val="1865"/>
  </w:num>
  <w:num w:numId="616">
    <w:abstractNumId w:val="530"/>
  </w:num>
  <w:num w:numId="617">
    <w:abstractNumId w:val="1091"/>
  </w:num>
  <w:num w:numId="618">
    <w:abstractNumId w:val="336"/>
  </w:num>
  <w:num w:numId="619">
    <w:abstractNumId w:val="1178"/>
  </w:num>
  <w:num w:numId="620">
    <w:abstractNumId w:val="185"/>
  </w:num>
  <w:num w:numId="621">
    <w:abstractNumId w:val="274"/>
  </w:num>
  <w:num w:numId="622">
    <w:abstractNumId w:val="181"/>
  </w:num>
  <w:num w:numId="623">
    <w:abstractNumId w:val="929"/>
  </w:num>
  <w:num w:numId="624">
    <w:abstractNumId w:val="1399"/>
  </w:num>
  <w:num w:numId="625">
    <w:abstractNumId w:val="1985"/>
  </w:num>
  <w:num w:numId="626">
    <w:abstractNumId w:val="815"/>
  </w:num>
  <w:num w:numId="627">
    <w:abstractNumId w:val="1427"/>
  </w:num>
  <w:num w:numId="628">
    <w:abstractNumId w:val="424"/>
  </w:num>
  <w:num w:numId="629">
    <w:abstractNumId w:val="867"/>
  </w:num>
  <w:num w:numId="630">
    <w:abstractNumId w:val="1187"/>
  </w:num>
  <w:num w:numId="631">
    <w:abstractNumId w:val="1386"/>
  </w:num>
  <w:num w:numId="632">
    <w:abstractNumId w:val="585"/>
  </w:num>
  <w:num w:numId="633">
    <w:abstractNumId w:val="473"/>
  </w:num>
  <w:num w:numId="634">
    <w:abstractNumId w:val="1431"/>
  </w:num>
  <w:num w:numId="635">
    <w:abstractNumId w:val="123"/>
  </w:num>
  <w:num w:numId="636">
    <w:abstractNumId w:val="993"/>
  </w:num>
  <w:num w:numId="637">
    <w:abstractNumId w:val="105"/>
  </w:num>
  <w:num w:numId="638">
    <w:abstractNumId w:val="845"/>
  </w:num>
  <w:num w:numId="639">
    <w:abstractNumId w:val="540"/>
  </w:num>
  <w:num w:numId="640">
    <w:abstractNumId w:val="1135"/>
  </w:num>
  <w:num w:numId="641">
    <w:abstractNumId w:val="464"/>
  </w:num>
  <w:num w:numId="642">
    <w:abstractNumId w:val="1286"/>
  </w:num>
  <w:num w:numId="643">
    <w:abstractNumId w:val="1321"/>
  </w:num>
  <w:num w:numId="644">
    <w:abstractNumId w:val="875"/>
  </w:num>
  <w:num w:numId="645">
    <w:abstractNumId w:val="241"/>
  </w:num>
  <w:num w:numId="646">
    <w:abstractNumId w:val="2040"/>
  </w:num>
  <w:num w:numId="647">
    <w:abstractNumId w:val="1814"/>
  </w:num>
  <w:num w:numId="648">
    <w:abstractNumId w:val="200"/>
  </w:num>
  <w:num w:numId="649">
    <w:abstractNumId w:val="1858"/>
  </w:num>
  <w:num w:numId="650">
    <w:abstractNumId w:val="1582"/>
  </w:num>
  <w:num w:numId="651">
    <w:abstractNumId w:val="1252"/>
  </w:num>
  <w:num w:numId="652">
    <w:abstractNumId w:val="1575"/>
  </w:num>
  <w:num w:numId="653">
    <w:abstractNumId w:val="1586"/>
  </w:num>
  <w:num w:numId="654">
    <w:abstractNumId w:val="1691"/>
  </w:num>
  <w:num w:numId="655">
    <w:abstractNumId w:val="619"/>
  </w:num>
  <w:num w:numId="656">
    <w:abstractNumId w:val="1655"/>
  </w:num>
  <w:num w:numId="657">
    <w:abstractNumId w:val="1422"/>
  </w:num>
  <w:num w:numId="658">
    <w:abstractNumId w:val="287"/>
  </w:num>
  <w:num w:numId="659">
    <w:abstractNumId w:val="883"/>
  </w:num>
  <w:num w:numId="660">
    <w:abstractNumId w:val="1549"/>
  </w:num>
  <w:num w:numId="661">
    <w:abstractNumId w:val="380"/>
  </w:num>
  <w:num w:numId="662">
    <w:abstractNumId w:val="154"/>
  </w:num>
  <w:num w:numId="663">
    <w:abstractNumId w:val="1205"/>
  </w:num>
  <w:num w:numId="664">
    <w:abstractNumId w:val="1520"/>
  </w:num>
  <w:num w:numId="665">
    <w:abstractNumId w:val="1010"/>
  </w:num>
  <w:num w:numId="666">
    <w:abstractNumId w:val="222"/>
  </w:num>
  <w:num w:numId="667">
    <w:abstractNumId w:val="1951"/>
  </w:num>
  <w:num w:numId="668">
    <w:abstractNumId w:val="538"/>
  </w:num>
  <w:num w:numId="669">
    <w:abstractNumId w:val="1912"/>
  </w:num>
  <w:num w:numId="670">
    <w:abstractNumId w:val="216"/>
  </w:num>
  <w:num w:numId="671">
    <w:abstractNumId w:val="39"/>
  </w:num>
  <w:num w:numId="672">
    <w:abstractNumId w:val="104"/>
  </w:num>
  <w:num w:numId="673">
    <w:abstractNumId w:val="1177"/>
  </w:num>
  <w:num w:numId="674">
    <w:abstractNumId w:val="890"/>
  </w:num>
  <w:num w:numId="675">
    <w:abstractNumId w:val="887"/>
  </w:num>
  <w:num w:numId="676">
    <w:abstractNumId w:val="938"/>
  </w:num>
  <w:num w:numId="677">
    <w:abstractNumId w:val="1685"/>
  </w:num>
  <w:num w:numId="678">
    <w:abstractNumId w:val="955"/>
  </w:num>
  <w:num w:numId="679">
    <w:abstractNumId w:val="1615"/>
  </w:num>
  <w:num w:numId="680">
    <w:abstractNumId w:val="139"/>
  </w:num>
  <w:num w:numId="681">
    <w:abstractNumId w:val="820"/>
  </w:num>
  <w:num w:numId="682">
    <w:abstractNumId w:val="510"/>
  </w:num>
  <w:num w:numId="683">
    <w:abstractNumId w:val="184"/>
  </w:num>
  <w:num w:numId="684">
    <w:abstractNumId w:val="1777"/>
  </w:num>
  <w:num w:numId="685">
    <w:abstractNumId w:val="499"/>
  </w:num>
  <w:num w:numId="686">
    <w:abstractNumId w:val="1913"/>
  </w:num>
  <w:num w:numId="687">
    <w:abstractNumId w:val="1834"/>
  </w:num>
  <w:num w:numId="688">
    <w:abstractNumId w:val="335"/>
  </w:num>
  <w:num w:numId="689">
    <w:abstractNumId w:val="1515"/>
  </w:num>
  <w:num w:numId="690">
    <w:abstractNumId w:val="1270"/>
  </w:num>
  <w:num w:numId="691">
    <w:abstractNumId w:val="1542"/>
  </w:num>
  <w:num w:numId="692">
    <w:abstractNumId w:val="798"/>
  </w:num>
  <w:num w:numId="693">
    <w:abstractNumId w:val="868"/>
  </w:num>
  <w:num w:numId="694">
    <w:abstractNumId w:val="1630"/>
  </w:num>
  <w:num w:numId="695">
    <w:abstractNumId w:val="1462"/>
  </w:num>
  <w:num w:numId="696">
    <w:abstractNumId w:val="305"/>
  </w:num>
  <w:num w:numId="697">
    <w:abstractNumId w:val="226"/>
  </w:num>
  <w:num w:numId="698">
    <w:abstractNumId w:val="1697"/>
  </w:num>
  <w:num w:numId="699">
    <w:abstractNumId w:val="1139"/>
  </w:num>
  <w:num w:numId="700">
    <w:abstractNumId w:val="1469"/>
  </w:num>
  <w:num w:numId="701">
    <w:abstractNumId w:val="496"/>
  </w:num>
  <w:num w:numId="702">
    <w:abstractNumId w:val="1785"/>
  </w:num>
  <w:num w:numId="703">
    <w:abstractNumId w:val="442"/>
  </w:num>
  <w:num w:numId="704">
    <w:abstractNumId w:val="1244"/>
  </w:num>
  <w:num w:numId="705">
    <w:abstractNumId w:val="265"/>
  </w:num>
  <w:num w:numId="706">
    <w:abstractNumId w:val="1763"/>
  </w:num>
  <w:num w:numId="707">
    <w:abstractNumId w:val="80"/>
  </w:num>
  <w:num w:numId="708">
    <w:abstractNumId w:val="390"/>
  </w:num>
  <w:num w:numId="709">
    <w:abstractNumId w:val="1673"/>
  </w:num>
  <w:num w:numId="710">
    <w:abstractNumId w:val="1968"/>
  </w:num>
  <w:num w:numId="711">
    <w:abstractNumId w:val="98"/>
  </w:num>
  <w:num w:numId="712">
    <w:abstractNumId w:val="1249"/>
  </w:num>
  <w:num w:numId="713">
    <w:abstractNumId w:val="545"/>
  </w:num>
  <w:num w:numId="714">
    <w:abstractNumId w:val="417"/>
  </w:num>
  <w:num w:numId="715">
    <w:abstractNumId w:val="1737"/>
  </w:num>
  <w:num w:numId="716">
    <w:abstractNumId w:val="881"/>
  </w:num>
  <w:num w:numId="717">
    <w:abstractNumId w:val="1977"/>
  </w:num>
  <w:num w:numId="718">
    <w:abstractNumId w:val="587"/>
  </w:num>
  <w:num w:numId="719">
    <w:abstractNumId w:val="1500"/>
  </w:num>
  <w:num w:numId="720">
    <w:abstractNumId w:val="2042"/>
  </w:num>
  <w:num w:numId="721">
    <w:abstractNumId w:val="1606"/>
  </w:num>
  <w:num w:numId="722">
    <w:abstractNumId w:val="11"/>
  </w:num>
  <w:num w:numId="723">
    <w:abstractNumId w:val="806"/>
  </w:num>
  <w:num w:numId="724">
    <w:abstractNumId w:val="189"/>
  </w:num>
  <w:num w:numId="725">
    <w:abstractNumId w:val="1101"/>
  </w:num>
  <w:num w:numId="726">
    <w:abstractNumId w:val="1449"/>
  </w:num>
  <w:num w:numId="727">
    <w:abstractNumId w:val="217"/>
  </w:num>
  <w:num w:numId="728">
    <w:abstractNumId w:val="1692"/>
  </w:num>
  <w:num w:numId="729">
    <w:abstractNumId w:val="119"/>
  </w:num>
  <w:num w:numId="730">
    <w:abstractNumId w:val="519"/>
  </w:num>
  <w:num w:numId="731">
    <w:abstractNumId w:val="634"/>
  </w:num>
  <w:num w:numId="732">
    <w:abstractNumId w:val="1873"/>
  </w:num>
  <w:num w:numId="733">
    <w:abstractNumId w:val="474"/>
  </w:num>
  <w:num w:numId="734">
    <w:abstractNumId w:val="1073"/>
  </w:num>
  <w:num w:numId="735">
    <w:abstractNumId w:val="29"/>
  </w:num>
  <w:num w:numId="736">
    <w:abstractNumId w:val="1753"/>
  </w:num>
  <w:num w:numId="737">
    <w:abstractNumId w:val="942"/>
  </w:num>
  <w:num w:numId="738">
    <w:abstractNumId w:val="1962"/>
  </w:num>
  <w:num w:numId="739">
    <w:abstractNumId w:val="142"/>
  </w:num>
  <w:num w:numId="740">
    <w:abstractNumId w:val="500"/>
  </w:num>
  <w:num w:numId="741">
    <w:abstractNumId w:val="15"/>
  </w:num>
  <w:num w:numId="742">
    <w:abstractNumId w:val="582"/>
  </w:num>
  <w:num w:numId="743">
    <w:abstractNumId w:val="1884"/>
  </w:num>
  <w:num w:numId="744">
    <w:abstractNumId w:val="120"/>
  </w:num>
  <w:num w:numId="745">
    <w:abstractNumId w:val="148"/>
  </w:num>
  <w:num w:numId="746">
    <w:abstractNumId w:val="425"/>
  </w:num>
  <w:num w:numId="747">
    <w:abstractNumId w:val="1039"/>
  </w:num>
  <w:num w:numId="748">
    <w:abstractNumId w:val="286"/>
  </w:num>
  <w:num w:numId="749">
    <w:abstractNumId w:val="1765"/>
  </w:num>
  <w:num w:numId="750">
    <w:abstractNumId w:val="324"/>
  </w:num>
  <w:num w:numId="751">
    <w:abstractNumId w:val="1653"/>
  </w:num>
  <w:num w:numId="752">
    <w:abstractNumId w:val="1721"/>
  </w:num>
  <w:num w:numId="753">
    <w:abstractNumId w:val="295"/>
  </w:num>
  <w:num w:numId="754">
    <w:abstractNumId w:val="1464"/>
  </w:num>
  <w:num w:numId="755">
    <w:abstractNumId w:val="1385"/>
  </w:num>
  <w:num w:numId="756">
    <w:abstractNumId w:val="375"/>
  </w:num>
  <w:num w:numId="757">
    <w:abstractNumId w:val="1213"/>
  </w:num>
  <w:num w:numId="758">
    <w:abstractNumId w:val="1789"/>
  </w:num>
  <w:num w:numId="759">
    <w:abstractNumId w:val="736"/>
  </w:num>
  <w:num w:numId="760">
    <w:abstractNumId w:val="593"/>
  </w:num>
  <w:num w:numId="761">
    <w:abstractNumId w:val="687"/>
  </w:num>
  <w:num w:numId="762">
    <w:abstractNumId w:val="1468"/>
  </w:num>
  <w:num w:numId="763">
    <w:abstractNumId w:val="504"/>
  </w:num>
  <w:num w:numId="764">
    <w:abstractNumId w:val="1193"/>
  </w:num>
  <w:num w:numId="765">
    <w:abstractNumId w:val="1603"/>
  </w:num>
  <w:num w:numId="766">
    <w:abstractNumId w:val="1214"/>
  </w:num>
  <w:num w:numId="767">
    <w:abstractNumId w:val="1695"/>
  </w:num>
  <w:num w:numId="768">
    <w:abstractNumId w:val="96"/>
  </w:num>
  <w:num w:numId="769">
    <w:abstractNumId w:val="1567"/>
  </w:num>
  <w:num w:numId="770">
    <w:abstractNumId w:val="743"/>
  </w:num>
  <w:num w:numId="771">
    <w:abstractNumId w:val="614"/>
  </w:num>
  <w:num w:numId="772">
    <w:abstractNumId w:val="1224"/>
  </w:num>
  <w:num w:numId="773">
    <w:abstractNumId w:val="220"/>
  </w:num>
  <w:num w:numId="774">
    <w:abstractNumId w:val="334"/>
  </w:num>
  <w:num w:numId="775">
    <w:abstractNumId w:val="1463"/>
  </w:num>
  <w:num w:numId="776">
    <w:abstractNumId w:val="172"/>
  </w:num>
  <w:num w:numId="777">
    <w:abstractNumId w:val="1164"/>
  </w:num>
  <w:num w:numId="778">
    <w:abstractNumId w:val="232"/>
  </w:num>
  <w:num w:numId="779">
    <w:abstractNumId w:val="1219"/>
  </w:num>
  <w:num w:numId="780">
    <w:abstractNumId w:val="633"/>
  </w:num>
  <w:num w:numId="781">
    <w:abstractNumId w:val="272"/>
  </w:num>
  <w:num w:numId="782">
    <w:abstractNumId w:val="1825"/>
  </w:num>
  <w:num w:numId="783">
    <w:abstractNumId w:val="1776"/>
  </w:num>
  <w:num w:numId="784">
    <w:abstractNumId w:val="423"/>
  </w:num>
  <w:num w:numId="785">
    <w:abstractNumId w:val="1434"/>
  </w:num>
  <w:num w:numId="786">
    <w:abstractNumId w:val="1869"/>
  </w:num>
  <w:num w:numId="787">
    <w:abstractNumId w:val="603"/>
  </w:num>
  <w:num w:numId="788">
    <w:abstractNumId w:val="1497"/>
  </w:num>
  <w:num w:numId="789">
    <w:abstractNumId w:val="76"/>
  </w:num>
  <w:num w:numId="790">
    <w:abstractNumId w:val="1676"/>
  </w:num>
  <w:num w:numId="791">
    <w:abstractNumId w:val="1231"/>
  </w:num>
  <w:num w:numId="792">
    <w:abstractNumId w:val="238"/>
  </w:num>
  <w:num w:numId="793">
    <w:abstractNumId w:val="2043"/>
  </w:num>
  <w:num w:numId="794">
    <w:abstractNumId w:val="1576"/>
  </w:num>
  <w:num w:numId="795">
    <w:abstractNumId w:val="1613"/>
  </w:num>
  <w:num w:numId="796">
    <w:abstractNumId w:val="1616"/>
  </w:num>
  <w:num w:numId="797">
    <w:abstractNumId w:val="592"/>
  </w:num>
  <w:num w:numId="798">
    <w:abstractNumId w:val="1346"/>
  </w:num>
  <w:num w:numId="799">
    <w:abstractNumId w:val="251"/>
  </w:num>
  <w:num w:numId="800">
    <w:abstractNumId w:val="1436"/>
  </w:num>
  <w:num w:numId="801">
    <w:abstractNumId w:val="354"/>
  </w:num>
  <w:num w:numId="802">
    <w:abstractNumId w:val="182"/>
  </w:num>
  <w:num w:numId="803">
    <w:abstractNumId w:val="1770"/>
  </w:num>
  <w:num w:numId="804">
    <w:abstractNumId w:val="180"/>
  </w:num>
  <w:num w:numId="805">
    <w:abstractNumId w:val="2023"/>
  </w:num>
  <w:num w:numId="806">
    <w:abstractNumId w:val="1646"/>
  </w:num>
  <w:num w:numId="807">
    <w:abstractNumId w:val="372"/>
  </w:num>
  <w:num w:numId="808">
    <w:abstractNumId w:val="1092"/>
  </w:num>
  <w:num w:numId="809">
    <w:abstractNumId w:val="153"/>
  </w:num>
  <w:num w:numId="810">
    <w:abstractNumId w:val="732"/>
  </w:num>
  <w:num w:numId="811">
    <w:abstractNumId w:val="322"/>
  </w:num>
  <w:num w:numId="812">
    <w:abstractNumId w:val="781"/>
  </w:num>
  <w:num w:numId="813">
    <w:abstractNumId w:val="1467"/>
  </w:num>
  <w:num w:numId="814">
    <w:abstractNumId w:val="898"/>
  </w:num>
  <w:num w:numId="815">
    <w:abstractNumId w:val="329"/>
  </w:num>
  <w:num w:numId="816">
    <w:abstractNumId w:val="1298"/>
  </w:num>
  <w:num w:numId="817">
    <w:abstractNumId w:val="1480"/>
  </w:num>
  <w:num w:numId="818">
    <w:abstractNumId w:val="949"/>
  </w:num>
  <w:num w:numId="819">
    <w:abstractNumId w:val="187"/>
  </w:num>
  <w:num w:numId="820">
    <w:abstractNumId w:val="2037"/>
  </w:num>
  <w:num w:numId="821">
    <w:abstractNumId w:val="210"/>
  </w:num>
  <w:num w:numId="822">
    <w:abstractNumId w:val="1238"/>
  </w:num>
  <w:num w:numId="823">
    <w:abstractNumId w:val="1772"/>
  </w:num>
  <w:num w:numId="824">
    <w:abstractNumId w:val="1729"/>
  </w:num>
  <w:num w:numId="825">
    <w:abstractNumId w:val="379"/>
  </w:num>
  <w:num w:numId="826">
    <w:abstractNumId w:val="901"/>
  </w:num>
  <w:num w:numId="827">
    <w:abstractNumId w:val="1222"/>
  </w:num>
  <w:num w:numId="828">
    <w:abstractNumId w:val="1126"/>
  </w:num>
  <w:num w:numId="829">
    <w:abstractNumId w:val="556"/>
  </w:num>
  <w:num w:numId="830">
    <w:abstractNumId w:val="341"/>
  </w:num>
  <w:num w:numId="831">
    <w:abstractNumId w:val="1335"/>
  </w:num>
  <w:num w:numId="832">
    <w:abstractNumId w:val="1458"/>
  </w:num>
  <w:num w:numId="833">
    <w:abstractNumId w:val="1537"/>
  </w:num>
  <w:num w:numId="834">
    <w:abstractNumId w:val="1871"/>
  </w:num>
  <w:num w:numId="835">
    <w:abstractNumId w:val="1308"/>
  </w:num>
  <w:num w:numId="836">
    <w:abstractNumId w:val="205"/>
  </w:num>
  <w:num w:numId="837">
    <w:abstractNumId w:val="2002"/>
  </w:num>
  <w:num w:numId="838">
    <w:abstractNumId w:val="103"/>
  </w:num>
  <w:num w:numId="839">
    <w:abstractNumId w:val="1811"/>
  </w:num>
  <w:num w:numId="840">
    <w:abstractNumId w:val="680"/>
  </w:num>
  <w:num w:numId="841">
    <w:abstractNumId w:val="1684"/>
  </w:num>
  <w:num w:numId="842">
    <w:abstractNumId w:val="971"/>
  </w:num>
  <w:num w:numId="843">
    <w:abstractNumId w:val="1295"/>
  </w:num>
  <w:num w:numId="844">
    <w:abstractNumId w:val="1234"/>
  </w:num>
  <w:num w:numId="845">
    <w:abstractNumId w:val="1876"/>
  </w:num>
  <w:num w:numId="846">
    <w:abstractNumId w:val="378"/>
  </w:num>
  <w:num w:numId="847">
    <w:abstractNumId w:val="394"/>
  </w:num>
  <w:num w:numId="848">
    <w:abstractNumId w:val="1282"/>
  </w:num>
  <w:num w:numId="849">
    <w:abstractNumId w:val="1133"/>
  </w:num>
  <w:num w:numId="850">
    <w:abstractNumId w:val="454"/>
  </w:num>
  <w:num w:numId="851">
    <w:abstractNumId w:val="1911"/>
  </w:num>
  <w:num w:numId="852">
    <w:abstractNumId w:val="1008"/>
  </w:num>
  <w:num w:numId="853">
    <w:abstractNumId w:val="745"/>
  </w:num>
  <w:num w:numId="854">
    <w:abstractNumId w:val="527"/>
  </w:num>
  <w:num w:numId="855">
    <w:abstractNumId w:val="159"/>
  </w:num>
  <w:num w:numId="856">
    <w:abstractNumId w:val="1096"/>
  </w:num>
  <w:num w:numId="857">
    <w:abstractNumId w:val="1717"/>
  </w:num>
  <w:num w:numId="858">
    <w:abstractNumId w:val="1150"/>
  </w:num>
  <w:num w:numId="859">
    <w:abstractNumId w:val="776"/>
  </w:num>
  <w:num w:numId="860">
    <w:abstractNumId w:val="1857"/>
  </w:num>
  <w:num w:numId="861">
    <w:abstractNumId w:val="1933"/>
  </w:num>
  <w:num w:numId="862">
    <w:abstractNumId w:val="297"/>
  </w:num>
  <w:num w:numId="863">
    <w:abstractNumId w:val="407"/>
  </w:num>
  <w:num w:numId="864">
    <w:abstractNumId w:val="833"/>
  </w:num>
  <w:num w:numId="865">
    <w:abstractNumId w:val="1574"/>
  </w:num>
  <w:num w:numId="866">
    <w:abstractNumId w:val="1452"/>
  </w:num>
  <w:num w:numId="867">
    <w:abstractNumId w:val="1624"/>
  </w:num>
  <w:num w:numId="868">
    <w:abstractNumId w:val="1060"/>
  </w:num>
  <w:num w:numId="869">
    <w:abstractNumId w:val="1593"/>
  </w:num>
  <w:num w:numId="870">
    <w:abstractNumId w:val="1012"/>
  </w:num>
  <w:num w:numId="871">
    <w:abstractNumId w:val="1189"/>
  </w:num>
  <w:num w:numId="872">
    <w:abstractNumId w:val="412"/>
  </w:num>
  <w:num w:numId="873">
    <w:abstractNumId w:val="597"/>
  </w:num>
  <w:num w:numId="874">
    <w:abstractNumId w:val="409"/>
  </w:num>
  <w:num w:numId="875">
    <w:abstractNumId w:val="819"/>
  </w:num>
  <w:num w:numId="876">
    <w:abstractNumId w:val="525"/>
  </w:num>
  <w:num w:numId="877">
    <w:abstractNumId w:val="895"/>
  </w:num>
  <w:num w:numId="878">
    <w:abstractNumId w:val="1390"/>
  </w:num>
  <w:num w:numId="879">
    <w:abstractNumId w:val="1633"/>
  </w:num>
  <w:num w:numId="880">
    <w:abstractNumId w:val="914"/>
  </w:num>
  <w:num w:numId="881">
    <w:abstractNumId w:val="165"/>
  </w:num>
  <w:num w:numId="882">
    <w:abstractNumId w:val="1766"/>
  </w:num>
  <w:num w:numId="883">
    <w:abstractNumId w:val="831"/>
  </w:num>
  <w:num w:numId="884">
    <w:abstractNumId w:val="132"/>
  </w:num>
  <w:num w:numId="885">
    <w:abstractNumId w:val="559"/>
  </w:num>
  <w:num w:numId="886">
    <w:abstractNumId w:val="1240"/>
  </w:num>
  <w:num w:numId="887">
    <w:abstractNumId w:val="1396"/>
  </w:num>
  <w:num w:numId="888">
    <w:abstractNumId w:val="802"/>
  </w:num>
  <w:num w:numId="889">
    <w:abstractNumId w:val="738"/>
  </w:num>
  <w:num w:numId="890">
    <w:abstractNumId w:val="1083"/>
  </w:num>
  <w:num w:numId="891">
    <w:abstractNumId w:val="1505"/>
  </w:num>
  <w:num w:numId="892">
    <w:abstractNumId w:val="1665"/>
  </w:num>
  <w:num w:numId="893">
    <w:abstractNumId w:val="37"/>
  </w:num>
  <w:num w:numId="894">
    <w:abstractNumId w:val="1581"/>
  </w:num>
  <w:num w:numId="895">
    <w:abstractNumId w:val="1984"/>
  </w:num>
  <w:num w:numId="896">
    <w:abstractNumId w:val="1348"/>
  </w:num>
  <w:num w:numId="897">
    <w:abstractNumId w:val="766"/>
  </w:num>
  <w:num w:numId="898">
    <w:abstractNumId w:val="1210"/>
  </w:num>
  <w:num w:numId="899">
    <w:abstractNumId w:val="32"/>
  </w:num>
  <w:num w:numId="900">
    <w:abstractNumId w:val="1095"/>
  </w:num>
  <w:num w:numId="901">
    <w:abstractNumId w:val="947"/>
  </w:num>
  <w:num w:numId="902">
    <w:abstractNumId w:val="1546"/>
  </w:num>
  <w:num w:numId="903">
    <w:abstractNumId w:val="1681"/>
  </w:num>
  <w:num w:numId="904">
    <w:abstractNumId w:val="118"/>
  </w:num>
  <w:num w:numId="905">
    <w:abstractNumId w:val="1314"/>
  </w:num>
  <w:num w:numId="906">
    <w:abstractNumId w:val="75"/>
  </w:num>
  <w:num w:numId="907">
    <w:abstractNumId w:val="1608"/>
  </w:num>
  <w:num w:numId="908">
    <w:abstractNumId w:val="1904"/>
  </w:num>
  <w:num w:numId="909">
    <w:abstractNumId w:val="1605"/>
  </w:num>
  <w:num w:numId="910">
    <w:abstractNumId w:val="1751"/>
  </w:num>
  <w:num w:numId="911">
    <w:abstractNumId w:val="571"/>
  </w:num>
  <w:num w:numId="912">
    <w:abstractNumId w:val="478"/>
  </w:num>
  <w:num w:numId="913">
    <w:abstractNumId w:val="1800"/>
  </w:num>
  <w:num w:numId="914">
    <w:abstractNumId w:val="1529"/>
  </w:num>
  <w:num w:numId="915">
    <w:abstractNumId w:val="1632"/>
  </w:num>
  <w:num w:numId="916">
    <w:abstractNumId w:val="1563"/>
  </w:num>
  <w:num w:numId="917">
    <w:abstractNumId w:val="57"/>
  </w:num>
  <w:num w:numId="918">
    <w:abstractNumId w:val="625"/>
  </w:num>
  <w:num w:numId="919">
    <w:abstractNumId w:val="1235"/>
  </w:num>
  <w:num w:numId="920">
    <w:abstractNumId w:val="1735"/>
  </w:num>
  <w:num w:numId="921">
    <w:abstractNumId w:val="923"/>
  </w:num>
  <w:num w:numId="922">
    <w:abstractNumId w:val="53"/>
  </w:num>
  <w:num w:numId="923">
    <w:abstractNumId w:val="1703"/>
  </w:num>
  <w:num w:numId="924">
    <w:abstractNumId w:val="1982"/>
  </w:num>
  <w:num w:numId="925">
    <w:abstractNumId w:val="472"/>
  </w:num>
  <w:num w:numId="926">
    <w:abstractNumId w:val="1479"/>
  </w:num>
  <w:num w:numId="927">
    <w:abstractNumId w:val="1810"/>
  </w:num>
  <w:num w:numId="928">
    <w:abstractNumId w:val="231"/>
  </w:num>
  <w:num w:numId="929">
    <w:abstractNumId w:val="828"/>
  </w:num>
  <w:num w:numId="930">
    <w:abstractNumId w:val="350"/>
  </w:num>
  <w:num w:numId="931">
    <w:abstractNumId w:val="1401"/>
  </w:num>
  <w:num w:numId="932">
    <w:abstractNumId w:val="783"/>
  </w:num>
  <w:num w:numId="933">
    <w:abstractNumId w:val="788"/>
  </w:num>
  <w:num w:numId="934">
    <w:abstractNumId w:val="953"/>
  </w:num>
  <w:num w:numId="935">
    <w:abstractNumId w:val="877"/>
  </w:num>
  <w:num w:numId="936">
    <w:abstractNumId w:val="676"/>
  </w:num>
  <w:num w:numId="937">
    <w:abstractNumId w:val="1531"/>
  </w:num>
  <w:num w:numId="938">
    <w:abstractNumId w:val="946"/>
  </w:num>
  <w:num w:numId="939">
    <w:abstractNumId w:val="1318"/>
  </w:num>
  <w:num w:numId="940">
    <w:abstractNumId w:val="567"/>
  </w:num>
  <w:num w:numId="941">
    <w:abstractNumId w:val="244"/>
  </w:num>
  <w:num w:numId="942">
    <w:abstractNumId w:val="624"/>
  </w:num>
  <w:num w:numId="943">
    <w:abstractNumId w:val="1103"/>
  </w:num>
  <w:num w:numId="944">
    <w:abstractNumId w:val="1767"/>
  </w:num>
  <w:num w:numId="945">
    <w:abstractNumId w:val="1215"/>
  </w:num>
  <w:num w:numId="946">
    <w:abstractNumId w:val="1509"/>
  </w:num>
  <w:num w:numId="947">
    <w:abstractNumId w:val="1242"/>
  </w:num>
  <w:num w:numId="948">
    <w:abstractNumId w:val="543"/>
  </w:num>
  <w:num w:numId="949">
    <w:abstractNumId w:val="1085"/>
  </w:num>
  <w:num w:numId="950">
    <w:abstractNumId w:val="1805"/>
  </w:num>
  <w:num w:numId="951">
    <w:abstractNumId w:val="583"/>
  </w:num>
  <w:num w:numId="952">
    <w:abstractNumId w:val="61"/>
  </w:num>
  <w:num w:numId="953">
    <w:abstractNumId w:val="1162"/>
  </w:num>
  <w:num w:numId="954">
    <w:abstractNumId w:val="1710"/>
  </w:num>
  <w:num w:numId="955">
    <w:abstractNumId w:val="289"/>
  </w:num>
  <w:num w:numId="956">
    <w:abstractNumId w:val="608"/>
  </w:num>
  <w:num w:numId="957">
    <w:abstractNumId w:val="1806"/>
  </w:num>
  <w:num w:numId="958">
    <w:abstractNumId w:val="2038"/>
  </w:num>
  <w:num w:numId="959">
    <w:abstractNumId w:val="1299"/>
  </w:num>
  <w:num w:numId="960">
    <w:abstractNumId w:val="1292"/>
  </w:num>
  <w:num w:numId="961">
    <w:abstractNumId w:val="1003"/>
  </w:num>
  <w:num w:numId="962">
    <w:abstractNumId w:val="1809"/>
  </w:num>
  <w:num w:numId="963">
    <w:abstractNumId w:val="1724"/>
  </w:num>
  <w:num w:numId="964">
    <w:abstractNumId w:val="850"/>
  </w:num>
  <w:num w:numId="965">
    <w:abstractNumId w:val="688"/>
  </w:num>
  <w:num w:numId="966">
    <w:abstractNumId w:val="367"/>
  </w:num>
  <w:num w:numId="967">
    <w:abstractNumId w:val="790"/>
  </w:num>
  <w:num w:numId="968">
    <w:abstractNumId w:val="1568"/>
  </w:num>
  <w:num w:numId="969">
    <w:abstractNumId w:val="1393"/>
  </w:num>
  <w:num w:numId="970">
    <w:abstractNumId w:val="785"/>
  </w:num>
  <w:num w:numId="971">
    <w:abstractNumId w:val="479"/>
  </w:num>
  <w:num w:numId="972">
    <w:abstractNumId w:val="14"/>
  </w:num>
  <w:num w:numId="973">
    <w:abstractNumId w:val="1123"/>
  </w:num>
  <w:num w:numId="974">
    <w:abstractNumId w:val="1277"/>
  </w:num>
  <w:num w:numId="975">
    <w:abstractNumId w:val="1619"/>
  </w:num>
  <w:num w:numId="976">
    <w:abstractNumId w:val="789"/>
  </w:num>
  <w:num w:numId="977">
    <w:abstractNumId w:val="13"/>
  </w:num>
  <w:num w:numId="978">
    <w:abstractNumId w:val="945"/>
  </w:num>
  <w:num w:numId="979">
    <w:abstractNumId w:val="1419"/>
  </w:num>
  <w:num w:numId="980">
    <w:abstractNumId w:val="1981"/>
  </w:num>
  <w:num w:numId="981">
    <w:abstractNumId w:val="1626"/>
  </w:num>
  <w:num w:numId="982">
    <w:abstractNumId w:val="611"/>
  </w:num>
  <w:num w:numId="983">
    <w:abstractNumId w:val="963"/>
  </w:num>
  <w:num w:numId="984">
    <w:abstractNumId w:val="1485"/>
  </w:num>
  <w:num w:numId="985">
    <w:abstractNumId w:val="1558"/>
  </w:num>
  <w:num w:numId="986">
    <w:abstractNumId w:val="462"/>
  </w:num>
  <w:num w:numId="987">
    <w:abstractNumId w:val="296"/>
  </w:num>
  <w:num w:numId="988">
    <w:abstractNumId w:val="396"/>
  </w:num>
  <w:num w:numId="989">
    <w:abstractNumId w:val="82"/>
  </w:num>
  <w:num w:numId="990">
    <w:abstractNumId w:val="1597"/>
  </w:num>
  <w:num w:numId="991">
    <w:abstractNumId w:val="665"/>
  </w:num>
  <w:num w:numId="992">
    <w:abstractNumId w:val="1486"/>
  </w:num>
  <w:num w:numId="993">
    <w:abstractNumId w:val="1940"/>
  </w:num>
  <w:num w:numId="994">
    <w:abstractNumId w:val="141"/>
  </w:num>
  <w:num w:numId="995">
    <w:abstractNumId w:val="218"/>
  </w:num>
  <w:num w:numId="996">
    <w:abstractNumId w:val="1200"/>
  </w:num>
  <w:num w:numId="997">
    <w:abstractNumId w:val="1055"/>
  </w:num>
  <w:num w:numId="998">
    <w:abstractNumId w:val="1438"/>
  </w:num>
  <w:num w:numId="999">
    <w:abstractNumId w:val="851"/>
  </w:num>
  <w:num w:numId="1000">
    <w:abstractNumId w:val="1536"/>
  </w:num>
  <w:num w:numId="1001">
    <w:abstractNumId w:val="518"/>
  </w:num>
  <w:num w:numId="1002">
    <w:abstractNumId w:val="1284"/>
  </w:num>
  <w:num w:numId="1003">
    <w:abstractNumId w:val="607"/>
  </w:num>
  <w:num w:numId="1004">
    <w:abstractNumId w:val="126"/>
  </w:num>
  <w:num w:numId="1005">
    <w:abstractNumId w:val="326"/>
  </w:num>
  <w:num w:numId="1006">
    <w:abstractNumId w:val="773"/>
  </w:num>
  <w:num w:numId="1007">
    <w:abstractNumId w:val="1099"/>
  </w:num>
  <w:num w:numId="1008">
    <w:abstractNumId w:val="1175"/>
  </w:num>
  <w:num w:numId="1009">
    <w:abstractNumId w:val="843"/>
  </w:num>
  <w:num w:numId="1010">
    <w:abstractNumId w:val="1004"/>
  </w:num>
  <w:num w:numId="1011">
    <w:abstractNumId w:val="1862"/>
  </w:num>
  <w:num w:numId="1012">
    <w:abstractNumId w:val="386"/>
  </w:num>
  <w:num w:numId="1013">
    <w:abstractNumId w:val="1601"/>
  </w:num>
  <w:num w:numId="1014">
    <w:abstractNumId w:val="1988"/>
  </w:num>
  <w:num w:numId="1015">
    <w:abstractNumId w:val="694"/>
  </w:num>
  <w:num w:numId="1016">
    <w:abstractNumId w:val="155"/>
  </w:num>
  <w:num w:numId="1017">
    <w:abstractNumId w:val="1657"/>
  </w:num>
  <w:num w:numId="1018">
    <w:abstractNumId w:val="536"/>
  </w:num>
  <w:num w:numId="1019">
    <w:abstractNumId w:val="1506"/>
  </w:num>
  <w:num w:numId="1020">
    <w:abstractNumId w:val="1804"/>
  </w:num>
  <w:num w:numId="1021">
    <w:abstractNumId w:val="1047"/>
  </w:num>
  <w:num w:numId="1022">
    <w:abstractNumId w:val="849"/>
  </w:num>
  <w:num w:numId="1023">
    <w:abstractNumId w:val="403"/>
  </w:num>
  <w:num w:numId="1024">
    <w:abstractNumId w:val="560"/>
  </w:num>
  <w:num w:numId="1025">
    <w:abstractNumId w:val="996"/>
  </w:num>
  <w:num w:numId="1026">
    <w:abstractNumId w:val="1905"/>
  </w:num>
  <w:num w:numId="1027">
    <w:abstractNumId w:val="876"/>
  </w:num>
  <w:num w:numId="1028">
    <w:abstractNumId w:val="539"/>
  </w:num>
  <w:num w:numId="1029">
    <w:abstractNumId w:val="344"/>
  </w:num>
  <w:num w:numId="1030">
    <w:abstractNumId w:val="813"/>
  </w:num>
  <w:num w:numId="1031">
    <w:abstractNumId w:val="1040"/>
  </w:num>
  <w:num w:numId="1032">
    <w:abstractNumId w:val="1545"/>
  </w:num>
  <w:num w:numId="1033">
    <w:abstractNumId w:val="1258"/>
  </w:num>
  <w:num w:numId="1034">
    <w:abstractNumId w:val="640"/>
  </w:num>
  <w:num w:numId="1035">
    <w:abstractNumId w:val="804"/>
  </w:num>
  <w:num w:numId="1036">
    <w:abstractNumId w:val="1170"/>
  </w:num>
  <w:num w:numId="1037">
    <w:abstractNumId w:val="927"/>
  </w:num>
  <w:num w:numId="1038">
    <w:abstractNumId w:val="1599"/>
  </w:num>
  <w:num w:numId="1039">
    <w:abstractNumId w:val="1474"/>
  </w:num>
  <w:num w:numId="1040">
    <w:abstractNumId w:val="1290"/>
  </w:num>
  <w:num w:numId="1041">
    <w:abstractNumId w:val="253"/>
  </w:num>
  <w:num w:numId="1042">
    <w:abstractNumId w:val="739"/>
  </w:num>
  <w:num w:numId="1043">
    <w:abstractNumId w:val="526"/>
  </w:num>
  <w:num w:numId="1044">
    <w:abstractNumId w:val="399"/>
  </w:num>
  <w:num w:numId="1045">
    <w:abstractNumId w:val="1227"/>
  </w:num>
  <w:num w:numId="1046">
    <w:abstractNumId w:val="1256"/>
  </w:num>
  <w:num w:numId="1047">
    <w:abstractNumId w:val="389"/>
  </w:num>
  <w:num w:numId="1048">
    <w:abstractNumId w:val="1649"/>
  </w:num>
  <w:num w:numId="1049">
    <w:abstractNumId w:val="793"/>
  </w:num>
  <w:num w:numId="1050">
    <w:abstractNumId w:val="948"/>
  </w:num>
  <w:num w:numId="1051">
    <w:abstractNumId w:val="1337"/>
  </w:num>
  <w:num w:numId="1052">
    <w:abstractNumId w:val="639"/>
  </w:num>
  <w:num w:numId="1053">
    <w:abstractNumId w:val="1754"/>
  </w:num>
  <w:num w:numId="1054">
    <w:abstractNumId w:val="801"/>
  </w:num>
  <w:num w:numId="1055">
    <w:abstractNumId w:val="152"/>
  </w:num>
  <w:num w:numId="1056">
    <w:abstractNumId w:val="1849"/>
  </w:num>
  <w:num w:numId="1057">
    <w:abstractNumId w:val="357"/>
  </w:num>
  <w:num w:numId="1058">
    <w:abstractNumId w:val="1508"/>
  </w:num>
  <w:num w:numId="1059">
    <w:abstractNumId w:val="197"/>
  </w:num>
  <w:num w:numId="1060">
    <w:abstractNumId w:val="533"/>
  </w:num>
  <w:num w:numId="1061">
    <w:abstractNumId w:val="0"/>
  </w:num>
  <w:num w:numId="1062">
    <w:abstractNumId w:val="1417"/>
  </w:num>
  <w:num w:numId="1063">
    <w:abstractNumId w:val="124"/>
  </w:num>
  <w:num w:numId="1064">
    <w:abstractNumId w:val="1698"/>
  </w:num>
  <w:num w:numId="1065">
    <w:abstractNumId w:val="1475"/>
  </w:num>
  <w:num w:numId="1066">
    <w:abstractNumId w:val="701"/>
  </w:num>
  <w:num w:numId="1067">
    <w:abstractNumId w:val="1477"/>
  </w:num>
  <w:num w:numId="1068">
    <w:abstractNumId w:val="332"/>
  </w:num>
  <w:num w:numId="1069">
    <w:abstractNumId w:val="1579"/>
  </w:num>
  <w:num w:numId="1070">
    <w:abstractNumId w:val="1629"/>
  </w:num>
  <w:num w:numId="1071">
    <w:abstractNumId w:val="77"/>
  </w:num>
  <w:num w:numId="1072">
    <w:abstractNumId w:val="1457"/>
  </w:num>
  <w:num w:numId="1073">
    <w:abstractNumId w:val="623"/>
  </w:num>
  <w:num w:numId="1074">
    <w:abstractNumId w:val="1622"/>
  </w:num>
  <w:num w:numId="1075">
    <w:abstractNumId w:val="643"/>
  </w:num>
  <w:num w:numId="1076">
    <w:abstractNumId w:val="1408"/>
  </w:num>
  <w:num w:numId="1077">
    <w:abstractNumId w:val="1516"/>
  </w:num>
  <w:num w:numId="1078">
    <w:abstractNumId w:val="1679"/>
  </w:num>
  <w:num w:numId="1079">
    <w:abstractNumId w:val="1470"/>
  </w:num>
  <w:num w:numId="1080">
    <w:abstractNumId w:val="431"/>
  </w:num>
  <w:num w:numId="1081">
    <w:abstractNumId w:val="258"/>
  </w:num>
  <w:num w:numId="1082">
    <w:abstractNumId w:val="331"/>
  </w:num>
  <w:num w:numId="1083">
    <w:abstractNumId w:val="1798"/>
  </w:num>
  <w:num w:numId="1084">
    <w:abstractNumId w:val="1779"/>
  </w:num>
  <w:num w:numId="1085">
    <w:abstractNumId w:val="1670"/>
  </w:num>
  <w:num w:numId="1086">
    <w:abstractNumId w:val="1944"/>
  </w:num>
  <w:num w:numId="1087">
    <w:abstractNumId w:val="201"/>
  </w:num>
  <w:num w:numId="1088">
    <w:abstractNumId w:val="943"/>
  </w:num>
  <w:num w:numId="1089">
    <w:abstractNumId w:val="237"/>
  </w:num>
  <w:num w:numId="1090">
    <w:abstractNumId w:val="1152"/>
  </w:num>
  <w:num w:numId="1091">
    <w:abstractNumId w:val="1955"/>
  </w:num>
  <w:num w:numId="1092">
    <w:abstractNumId w:val="595"/>
  </w:num>
  <w:num w:numId="1093">
    <w:abstractNumId w:val="212"/>
  </w:num>
  <w:num w:numId="1094">
    <w:abstractNumId w:val="1954"/>
  </w:num>
  <w:num w:numId="1095">
    <w:abstractNumId w:val="12"/>
  </w:num>
  <w:num w:numId="1096">
    <w:abstractNumId w:val="1667"/>
  </w:num>
  <w:num w:numId="1097">
    <w:abstractNumId w:val="188"/>
  </w:num>
  <w:num w:numId="1098">
    <w:abstractNumId w:val="659"/>
  </w:num>
  <w:num w:numId="1099">
    <w:abstractNumId w:val="880"/>
  </w:num>
  <w:num w:numId="1100">
    <w:abstractNumId w:val="693"/>
  </w:num>
  <w:num w:numId="1101">
    <w:abstractNumId w:val="2014"/>
  </w:num>
  <w:num w:numId="1102">
    <w:abstractNumId w:val="795"/>
  </w:num>
  <w:num w:numId="1103">
    <w:abstractNumId w:val="257"/>
  </w:num>
  <w:num w:numId="1104">
    <w:abstractNumId w:val="1260"/>
  </w:num>
  <w:num w:numId="1105">
    <w:abstractNumId w:val="570"/>
  </w:num>
  <w:num w:numId="1106">
    <w:abstractNumId w:val="1424"/>
  </w:num>
  <w:num w:numId="1107">
    <w:abstractNumId w:val="714"/>
  </w:num>
  <w:num w:numId="1108">
    <w:abstractNumId w:val="679"/>
  </w:num>
  <w:num w:numId="1109">
    <w:abstractNumId w:val="1254"/>
  </w:num>
  <w:num w:numId="1110">
    <w:abstractNumId w:val="291"/>
  </w:num>
  <w:num w:numId="1111">
    <w:abstractNumId w:val="401"/>
  </w:num>
  <w:num w:numId="1112">
    <w:abstractNumId w:val="266"/>
  </w:num>
  <w:num w:numId="1113">
    <w:abstractNumId w:val="50"/>
  </w:num>
  <w:num w:numId="1114">
    <w:abstractNumId w:val="1756"/>
  </w:num>
  <w:num w:numId="1115">
    <w:abstractNumId w:val="1965"/>
  </w:num>
  <w:num w:numId="1116">
    <w:abstractNumId w:val="1239"/>
  </w:num>
  <w:num w:numId="1117">
    <w:abstractNumId w:val="1154"/>
  </w:num>
  <w:num w:numId="1118">
    <w:abstractNumId w:val="865"/>
  </w:num>
  <w:num w:numId="1119">
    <w:abstractNumId w:val="215"/>
  </w:num>
  <w:num w:numId="1120">
    <w:abstractNumId w:val="1602"/>
  </w:num>
  <w:num w:numId="1121">
    <w:abstractNumId w:val="240"/>
  </w:num>
  <w:num w:numId="1122">
    <w:abstractNumId w:val="720"/>
  </w:num>
  <w:num w:numId="1123">
    <w:abstractNumId w:val="116"/>
  </w:num>
  <w:num w:numId="1124">
    <w:abstractNumId w:val="1211"/>
  </w:num>
  <w:num w:numId="1125">
    <w:abstractNumId w:val="564"/>
  </w:num>
  <w:num w:numId="1126">
    <w:abstractNumId w:val="1712"/>
  </w:num>
  <w:num w:numId="1127">
    <w:abstractNumId w:val="169"/>
  </w:num>
  <w:num w:numId="1128">
    <w:abstractNumId w:val="1098"/>
  </w:num>
  <w:num w:numId="1129">
    <w:abstractNumId w:val="256"/>
  </w:num>
  <w:num w:numId="1130">
    <w:abstractNumId w:val="1309"/>
  </w:num>
  <w:num w:numId="1131">
    <w:abstractNumId w:val="1352"/>
  </w:num>
  <w:num w:numId="1132">
    <w:abstractNumId w:val="2013"/>
  </w:num>
  <w:num w:numId="1133">
    <w:abstractNumId w:val="548"/>
  </w:num>
  <w:num w:numId="1134">
    <w:abstractNumId w:val="487"/>
  </w:num>
  <w:num w:numId="1135">
    <w:abstractNumId w:val="1594"/>
  </w:num>
  <w:num w:numId="1136">
    <w:abstractNumId w:val="911"/>
  </w:num>
  <w:num w:numId="1137">
    <w:abstractNumId w:val="56"/>
  </w:num>
  <w:num w:numId="1138">
    <w:abstractNumId w:val="1995"/>
  </w:num>
  <w:num w:numId="1139">
    <w:abstractNumId w:val="737"/>
  </w:num>
  <w:num w:numId="1140">
    <w:abstractNumId w:val="1635"/>
  </w:num>
  <w:num w:numId="1141">
    <w:abstractNumId w:val="2021"/>
  </w:num>
  <w:num w:numId="1142">
    <w:abstractNumId w:val="835"/>
  </w:num>
  <w:num w:numId="1143">
    <w:abstractNumId w:val="909"/>
  </w:num>
  <w:num w:numId="1144">
    <w:abstractNumId w:val="521"/>
  </w:num>
  <w:num w:numId="1145">
    <w:abstractNumId w:val="1038"/>
  </w:num>
  <w:num w:numId="1146">
    <w:abstractNumId w:val="692"/>
  </w:num>
  <w:num w:numId="1147">
    <w:abstractNumId w:val="1925"/>
  </w:num>
  <w:num w:numId="1148">
    <w:abstractNumId w:val="858"/>
  </w:num>
  <w:num w:numId="1149">
    <w:abstractNumId w:val="398"/>
  </w:num>
  <w:num w:numId="1150">
    <w:abstractNumId w:val="465"/>
  </w:num>
  <w:num w:numId="1151">
    <w:abstractNumId w:val="967"/>
  </w:num>
  <w:num w:numId="1152">
    <w:abstractNumId w:val="269"/>
  </w:num>
  <w:num w:numId="1153">
    <w:abstractNumId w:val="282"/>
  </w:num>
  <w:num w:numId="1154">
    <w:abstractNumId w:val="631"/>
  </w:num>
  <w:num w:numId="1155">
    <w:abstractNumId w:val="1829"/>
  </w:num>
  <w:num w:numId="1156">
    <w:abstractNumId w:val="225"/>
  </w:num>
  <w:num w:numId="1157">
    <w:abstractNumId w:val="1131"/>
  </w:num>
  <w:num w:numId="1158">
    <w:abstractNumId w:val="140"/>
  </w:num>
  <w:num w:numId="1159">
    <w:abstractNumId w:val="1822"/>
  </w:num>
  <w:num w:numId="1160">
    <w:abstractNumId w:val="590"/>
  </w:num>
  <w:num w:numId="1161">
    <w:abstractNumId w:val="1491"/>
  </w:num>
  <w:num w:numId="1162">
    <w:abstractNumId w:val="1797"/>
  </w:num>
  <w:num w:numId="1163">
    <w:abstractNumId w:val="1836"/>
  </w:num>
  <w:num w:numId="1164">
    <w:abstractNumId w:val="1388"/>
  </w:num>
  <w:num w:numId="1165">
    <w:abstractNumId w:val="1353"/>
  </w:num>
  <w:num w:numId="1166">
    <w:abstractNumId w:val="1287"/>
  </w:num>
  <w:num w:numId="1167">
    <w:abstractNumId w:val="674"/>
  </w:num>
  <w:num w:numId="1168">
    <w:abstractNumId w:val="204"/>
  </w:num>
  <w:num w:numId="1169">
    <w:abstractNumId w:val="1280"/>
  </w:num>
  <w:num w:numId="1170">
    <w:abstractNumId w:val="1432"/>
  </w:num>
  <w:num w:numId="1171">
    <w:abstractNumId w:val="837"/>
  </w:num>
  <w:num w:numId="1172">
    <w:abstractNumId w:val="932"/>
  </w:num>
  <w:num w:numId="1173">
    <w:abstractNumId w:val="135"/>
  </w:num>
  <w:num w:numId="1174">
    <w:abstractNumId w:val="248"/>
  </w:num>
  <w:num w:numId="1175">
    <w:abstractNumId w:val="385"/>
  </w:num>
  <w:num w:numId="1176">
    <w:abstractNumId w:val="164"/>
  </w:num>
  <w:num w:numId="1177">
    <w:abstractNumId w:val="1541"/>
  </w:num>
  <w:num w:numId="1178">
    <w:abstractNumId w:val="513"/>
  </w:num>
  <w:num w:numId="1179">
    <w:abstractNumId w:val="1902"/>
  </w:num>
  <w:num w:numId="1180">
    <w:abstractNumId w:val="261"/>
  </w:num>
  <w:num w:numId="1181">
    <w:abstractNumId w:val="1448"/>
  </w:num>
  <w:num w:numId="1182">
    <w:abstractNumId w:val="1952"/>
  </w:num>
  <w:num w:numId="1183">
    <w:abstractNumId w:val="1519"/>
  </w:num>
  <w:num w:numId="1184">
    <w:abstractNumId w:val="393"/>
  </w:num>
  <w:num w:numId="1185">
    <w:abstractNumId w:val="542"/>
  </w:num>
  <w:num w:numId="1186">
    <w:abstractNumId w:val="1302"/>
  </w:num>
  <w:num w:numId="1187">
    <w:abstractNumId w:val="1711"/>
  </w:num>
  <w:num w:numId="1188">
    <w:abstractNumId w:val="1134"/>
  </w:num>
  <w:num w:numId="1189">
    <w:abstractNumId w:val="1945"/>
  </w:num>
  <w:num w:numId="1190">
    <w:abstractNumId w:val="1151"/>
  </w:num>
  <w:num w:numId="1191">
    <w:abstractNumId w:val="1155"/>
  </w:num>
  <w:num w:numId="1192">
    <w:abstractNumId w:val="3"/>
  </w:num>
  <w:num w:numId="1193">
    <w:abstractNumId w:val="1942"/>
  </w:num>
  <w:num w:numId="1194">
    <w:abstractNumId w:val="1889"/>
  </w:num>
  <w:num w:numId="1195">
    <w:abstractNumId w:val="1006"/>
  </w:num>
  <w:num w:numId="1196">
    <w:abstractNumId w:val="1678"/>
  </w:num>
  <w:num w:numId="1197">
    <w:abstractNumId w:val="602"/>
  </w:num>
  <w:num w:numId="1198">
    <w:abstractNumId w:val="730"/>
  </w:num>
  <w:num w:numId="1199">
    <w:abstractNumId w:val="1460"/>
  </w:num>
  <w:num w:numId="1200">
    <w:abstractNumId w:val="1192"/>
  </w:num>
  <w:num w:numId="1201">
    <w:abstractNumId w:val="493"/>
  </w:num>
  <w:num w:numId="1202">
    <w:abstractNumId w:val="982"/>
  </w:num>
  <w:num w:numId="1203">
    <w:abstractNumId w:val="1021"/>
  </w:num>
  <w:num w:numId="1204">
    <w:abstractNumId w:val="2020"/>
  </w:num>
  <w:num w:numId="1205">
    <w:abstractNumId w:val="991"/>
  </w:num>
  <w:num w:numId="1206">
    <w:abstractNumId w:val="1916"/>
  </w:num>
  <w:num w:numId="1207">
    <w:abstractNumId w:val="347"/>
  </w:num>
  <w:num w:numId="1208">
    <w:abstractNumId w:val="1117"/>
  </w:num>
  <w:num w:numId="1209">
    <w:abstractNumId w:val="894"/>
  </w:num>
  <w:num w:numId="1210">
    <w:abstractNumId w:val="1446"/>
  </w:num>
  <w:num w:numId="1211">
    <w:abstractNumId w:val="301"/>
  </w:num>
  <w:num w:numId="1212">
    <w:abstractNumId w:val="97"/>
  </w:num>
  <w:num w:numId="1213">
    <w:abstractNumId w:val="1571"/>
  </w:num>
  <w:num w:numId="1214">
    <w:abstractNumId w:val="1547"/>
  </w:num>
  <w:num w:numId="1215">
    <w:abstractNumId w:val="1743"/>
  </w:num>
  <w:num w:numId="1216">
    <w:abstractNumId w:val="330"/>
  </w:num>
  <w:num w:numId="1217">
    <w:abstractNumId w:val="2031"/>
  </w:num>
  <w:num w:numId="1218">
    <w:abstractNumId w:val="133"/>
  </w:num>
  <w:num w:numId="1219">
    <w:abstractNumId w:val="1598"/>
  </w:num>
  <w:num w:numId="1220">
    <w:abstractNumId w:val="151"/>
  </w:num>
  <w:num w:numId="1221">
    <w:abstractNumId w:val="818"/>
  </w:num>
  <w:num w:numId="1222">
    <w:abstractNumId w:val="638"/>
  </w:num>
  <w:num w:numId="1223">
    <w:abstractNumId w:val="561"/>
  </w:num>
  <w:num w:numId="1224">
    <w:abstractNumId w:val="2008"/>
  </w:num>
  <w:num w:numId="1225">
    <w:abstractNumId w:val="1330"/>
  </w:num>
  <w:num w:numId="1226">
    <w:abstractNumId w:val="1628"/>
  </w:num>
  <w:num w:numId="1227">
    <w:abstractNumId w:val="1350"/>
  </w:num>
  <w:num w:numId="1228">
    <w:abstractNumId w:val="1159"/>
  </w:num>
  <w:num w:numId="1229">
    <w:abstractNumId w:val="566"/>
  </w:num>
  <w:num w:numId="1230">
    <w:abstractNumId w:val="1972"/>
  </w:num>
  <w:num w:numId="1231">
    <w:abstractNumId w:val="1373"/>
  </w:num>
  <w:num w:numId="1232">
    <w:abstractNumId w:val="1881"/>
  </w:num>
  <w:num w:numId="1233">
    <w:abstractNumId w:val="747"/>
  </w:num>
  <w:num w:numId="1234">
    <w:abstractNumId w:val="2003"/>
  </w:num>
  <w:num w:numId="1235">
    <w:abstractNumId w:val="420"/>
  </w:num>
  <w:num w:numId="1236">
    <w:abstractNumId w:val="1864"/>
  </w:num>
  <w:num w:numId="1237">
    <w:abstractNumId w:val="873"/>
  </w:num>
  <w:num w:numId="1238">
    <w:abstractNumId w:val="1998"/>
  </w:num>
  <w:num w:numId="1239">
    <w:abstractNumId w:val="897"/>
  </w:num>
  <w:num w:numId="1240">
    <w:abstractNumId w:val="179"/>
  </w:num>
  <w:num w:numId="1241">
    <w:abstractNumId w:val="1926"/>
  </w:num>
  <w:num w:numId="1242">
    <w:abstractNumId w:val="79"/>
  </w:num>
  <w:num w:numId="1243">
    <w:abstractNumId w:val="168"/>
  </w:num>
  <w:num w:numId="1244">
    <w:abstractNumId w:val="1939"/>
  </w:num>
  <w:num w:numId="1245">
    <w:abstractNumId w:val="1076"/>
  </w:num>
  <w:num w:numId="1246">
    <w:abstractNumId w:val="1014"/>
  </w:num>
  <w:num w:numId="1247">
    <w:abstractNumId w:val="457"/>
  </w:num>
  <w:num w:numId="1248">
    <w:abstractNumId w:val="1534"/>
  </w:num>
  <w:num w:numId="1249">
    <w:abstractNumId w:val="598"/>
  </w:num>
  <w:num w:numId="1250">
    <w:abstractNumId w:val="397"/>
  </w:num>
  <w:num w:numId="1251">
    <w:abstractNumId w:val="467"/>
  </w:num>
  <w:num w:numId="1252">
    <w:abstractNumId w:val="916"/>
  </w:num>
  <w:num w:numId="1253">
    <w:abstractNumId w:val="355"/>
  </w:num>
  <w:num w:numId="1254">
    <w:abstractNumId w:val="784"/>
  </w:num>
  <w:num w:numId="1255">
    <w:abstractNumId w:val="376"/>
  </w:num>
  <w:num w:numId="1256">
    <w:abstractNumId w:val="970"/>
  </w:num>
  <w:num w:numId="1257">
    <w:abstractNumId w:val="1787"/>
  </w:num>
  <w:num w:numId="1258">
    <w:abstractNumId w:val="1411"/>
  </w:num>
  <w:num w:numId="1259">
    <w:abstractNumId w:val="1645"/>
  </w:num>
  <w:num w:numId="1260">
    <w:abstractNumId w:val="782"/>
  </w:num>
  <w:num w:numId="1261">
    <w:abstractNumId w:val="1540"/>
  </w:num>
  <w:num w:numId="1262">
    <w:abstractNumId w:val="1243"/>
  </w:num>
  <w:num w:numId="1263">
    <w:abstractNumId w:val="650"/>
  </w:num>
  <w:num w:numId="1264">
    <w:abstractNumId w:val="1084"/>
  </w:num>
  <w:num w:numId="1265">
    <w:abstractNumId w:val="327"/>
  </w:num>
  <w:num w:numId="1266">
    <w:abstractNumId w:val="460"/>
  </w:num>
  <w:num w:numId="1267">
    <w:abstractNumId w:val="2011"/>
  </w:num>
  <w:num w:numId="1268">
    <w:abstractNumId w:val="1993"/>
  </w:num>
  <w:num w:numId="1269">
    <w:abstractNumId w:val="1740"/>
  </w:num>
  <w:num w:numId="1270">
    <w:abstractNumId w:val="203"/>
  </w:num>
  <w:num w:numId="1271">
    <w:abstractNumId w:val="419"/>
  </w:num>
  <w:num w:numId="1272">
    <w:abstractNumId w:val="337"/>
  </w:num>
  <w:num w:numId="1273">
    <w:abstractNumId w:val="628"/>
  </w:num>
  <w:num w:numId="1274">
    <w:abstractNumId w:val="6"/>
  </w:num>
  <w:num w:numId="1275">
    <w:abstractNumId w:val="1097"/>
  </w:num>
  <w:num w:numId="1276">
    <w:abstractNumId w:val="1361"/>
  </w:num>
  <w:num w:numId="1277">
    <w:abstractNumId w:val="1854"/>
  </w:num>
  <w:num w:numId="1278">
    <w:abstractNumId w:val="1059"/>
  </w:num>
  <w:num w:numId="1279">
    <w:abstractNumId w:val="689"/>
  </w:num>
  <w:num w:numId="1280">
    <w:abstractNumId w:val="110"/>
  </w:num>
  <w:num w:numId="1281">
    <w:abstractNumId w:val="572"/>
  </w:num>
  <w:num w:numId="1282">
    <w:abstractNumId w:val="537"/>
  </w:num>
  <w:num w:numId="1283">
    <w:abstractNumId w:val="1269"/>
  </w:num>
  <w:num w:numId="1284">
    <w:abstractNumId w:val="1169"/>
  </w:num>
  <w:num w:numId="1285">
    <w:abstractNumId w:val="1620"/>
  </w:num>
  <w:num w:numId="1286">
    <w:abstractNumId w:val="834"/>
  </w:num>
  <w:num w:numId="1287">
    <w:abstractNumId w:val="1247"/>
  </w:num>
  <w:num w:numId="1288">
    <w:abstractNumId w:val="1020"/>
  </w:num>
  <w:num w:numId="1289">
    <w:abstractNumId w:val="2041"/>
  </w:num>
  <w:num w:numId="1290">
    <w:abstractNumId w:val="484"/>
  </w:num>
  <w:num w:numId="1291">
    <w:abstractNumId w:val="1935"/>
  </w:num>
  <w:num w:numId="1292">
    <w:abstractNumId w:val="653"/>
  </w:num>
  <w:num w:numId="1293">
    <w:abstractNumId w:val="1011"/>
  </w:num>
  <w:num w:numId="1294">
    <w:abstractNumId w:val="1118"/>
  </w:num>
  <w:num w:numId="1295">
    <w:abstractNumId w:val="303"/>
  </w:num>
  <w:num w:numId="1296">
    <w:abstractNumId w:val="663"/>
  </w:num>
  <w:num w:numId="1297">
    <w:abstractNumId w:val="1372"/>
  </w:num>
  <w:num w:numId="1298">
    <w:abstractNumId w:val="620"/>
  </w:num>
  <w:num w:numId="1299">
    <w:abstractNumId w:val="1067"/>
  </w:num>
  <w:num w:numId="1300">
    <w:abstractNumId w:val="928"/>
  </w:num>
  <w:num w:numId="1301">
    <w:abstractNumId w:val="1978"/>
  </w:num>
  <w:num w:numId="1302">
    <w:abstractNumId w:val="1812"/>
  </w:num>
  <w:num w:numId="1303">
    <w:abstractNumId w:val="841"/>
  </w:num>
  <w:num w:numId="1304">
    <w:abstractNumId w:val="605"/>
  </w:num>
  <w:num w:numId="1305">
    <w:abstractNumId w:val="1334"/>
  </w:num>
  <w:num w:numId="1306">
    <w:abstractNumId w:val="562"/>
  </w:num>
  <w:num w:numId="1307">
    <w:abstractNumId w:val="965"/>
  </w:num>
  <w:num w:numId="1308">
    <w:abstractNumId w:val="1584"/>
  </w:num>
  <w:num w:numId="1309">
    <w:abstractNumId w:val="254"/>
  </w:num>
  <w:num w:numId="1310">
    <w:abstractNumId w:val="1358"/>
  </w:num>
  <w:num w:numId="1311">
    <w:abstractNumId w:val="1455"/>
  </w:num>
  <w:num w:numId="1312">
    <w:abstractNumId w:val="1461"/>
  </w:num>
  <w:num w:numId="1313">
    <w:abstractNumId w:val="263"/>
  </w:num>
  <w:num w:numId="1314">
    <w:abstractNumId w:val="1543"/>
  </w:num>
  <w:num w:numId="1315">
    <w:abstractNumId w:val="1347"/>
  </w:num>
  <w:num w:numId="1316">
    <w:abstractNumId w:val="1183"/>
  </w:num>
  <w:num w:numId="1317">
    <w:abstractNumId w:val="1069"/>
  </w:num>
  <w:num w:numId="1318">
    <w:abstractNumId w:val="449"/>
  </w:num>
  <w:num w:numId="1319">
    <w:abstractNumId w:val="2029"/>
  </w:num>
  <w:num w:numId="1320">
    <w:abstractNumId w:val="221"/>
  </w:num>
  <w:num w:numId="1321">
    <w:abstractNumId w:val="143"/>
  </w:num>
  <w:num w:numId="1322">
    <w:abstractNumId w:val="364"/>
  </w:num>
  <w:num w:numId="1323">
    <w:abstractNumId w:val="576"/>
  </w:num>
  <w:num w:numId="1324">
    <w:abstractNumId w:val="1733"/>
  </w:num>
  <w:num w:numId="1325">
    <w:abstractNumId w:val="859"/>
  </w:num>
  <w:num w:numId="1326">
    <w:abstractNumId w:val="1874"/>
  </w:num>
  <w:num w:numId="1327">
    <w:abstractNumId w:val="1333"/>
  </w:num>
  <w:num w:numId="1328">
    <w:abstractNumId w:val="1483"/>
  </w:num>
  <w:num w:numId="1329">
    <w:abstractNumId w:val="446"/>
  </w:num>
  <w:num w:numId="1330">
    <w:abstractNumId w:val="1132"/>
  </w:num>
  <w:num w:numId="1331">
    <w:abstractNumId w:val="852"/>
  </w:num>
  <w:num w:numId="1332">
    <w:abstractNumId w:val="1253"/>
  </w:num>
  <w:num w:numId="1333">
    <w:abstractNumId w:val="88"/>
  </w:num>
  <w:num w:numId="1334">
    <w:abstractNumId w:val="1137"/>
  </w:num>
  <w:num w:numId="1335">
    <w:abstractNumId w:val="987"/>
  </w:num>
  <w:num w:numId="1336">
    <w:abstractNumId w:val="903"/>
  </w:num>
  <w:num w:numId="1337">
    <w:abstractNumId w:val="223"/>
  </w:num>
  <w:num w:numId="1338">
    <w:abstractNumId w:val="1351"/>
  </w:num>
  <w:num w:numId="1339">
    <w:abstractNumId w:val="278"/>
  </w:num>
  <w:num w:numId="1340">
    <w:abstractNumId w:val="1845"/>
  </w:num>
  <w:num w:numId="1341">
    <w:abstractNumId w:val="1868"/>
  </w:num>
  <w:num w:numId="1342">
    <w:abstractNumId w:val="866"/>
  </w:num>
  <w:num w:numId="1343">
    <w:abstractNumId w:val="787"/>
  </w:num>
  <w:num w:numId="1344">
    <w:abstractNumId w:val="808"/>
  </w:num>
  <w:num w:numId="1345">
    <w:abstractNumId w:val="1184"/>
  </w:num>
  <w:num w:numId="1346">
    <w:abstractNumId w:val="1720"/>
  </w:num>
  <w:num w:numId="1347">
    <w:abstractNumId w:val="552"/>
  </w:num>
  <w:num w:numId="1348">
    <w:abstractNumId w:val="705"/>
  </w:num>
  <w:num w:numId="1349">
    <w:abstractNumId w:val="803"/>
  </w:num>
  <w:num w:numId="1350">
    <w:abstractNumId w:val="113"/>
  </w:num>
  <w:num w:numId="1351">
    <w:abstractNumId w:val="1901"/>
  </w:num>
  <w:num w:numId="1352">
    <w:abstractNumId w:val="285"/>
  </w:num>
  <w:num w:numId="1353">
    <w:abstractNumId w:val="1607"/>
  </w:num>
  <w:num w:numId="1354">
    <w:abstractNumId w:val="1870"/>
  </w:num>
  <w:num w:numId="1355">
    <w:abstractNumId w:val="1879"/>
  </w:num>
  <w:num w:numId="1356">
    <w:abstractNumId w:val="1487"/>
  </w:num>
  <w:num w:numId="1357">
    <w:abstractNumId w:val="1589"/>
  </w:num>
  <w:num w:numId="1358">
    <w:abstractNumId w:val="1261"/>
  </w:num>
  <w:num w:numId="1359">
    <w:abstractNumId w:val="1255"/>
  </w:num>
  <w:num w:numId="1360">
    <w:abstractNumId w:val="31"/>
  </w:num>
  <w:num w:numId="1361">
    <w:abstractNumId w:val="1245"/>
  </w:num>
  <w:num w:numId="1362">
    <w:abstractNumId w:val="797"/>
  </w:num>
  <w:num w:numId="1363">
    <w:abstractNumId w:val="1991"/>
  </w:num>
  <w:num w:numId="1364">
    <w:abstractNumId w:val="796"/>
  </w:num>
  <w:num w:numId="1365">
    <w:abstractNumId w:val="1923"/>
  </w:num>
  <w:num w:numId="1366">
    <w:abstractNumId w:val="38"/>
  </w:num>
  <w:num w:numId="1367">
    <w:abstractNumId w:val="1223"/>
  </w:num>
  <w:num w:numId="1368">
    <w:abstractNumId w:val="1759"/>
  </w:num>
  <w:num w:numId="1369">
    <w:abstractNumId w:val="1706"/>
  </w:num>
  <w:num w:numId="1370">
    <w:abstractNumId w:val="1221"/>
  </w:num>
  <w:num w:numId="1371">
    <w:abstractNumId w:val="1276"/>
  </w:num>
  <w:num w:numId="1372">
    <w:abstractNumId w:val="383"/>
  </w:num>
  <w:num w:numId="1373">
    <w:abstractNumId w:val="1792"/>
  </w:num>
  <w:num w:numId="1374">
    <w:abstractNumId w:val="9"/>
  </w:num>
  <w:num w:numId="1375">
    <w:abstractNumId w:val="910"/>
  </w:num>
  <w:num w:numId="1376">
    <w:abstractNumId w:val="1533"/>
  </w:num>
  <w:num w:numId="1377">
    <w:abstractNumId w:val="361"/>
  </w:num>
  <w:num w:numId="1378">
    <w:abstractNumId w:val="660"/>
  </w:num>
  <w:num w:numId="1379">
    <w:abstractNumId w:val="437"/>
  </w:num>
  <w:num w:numId="1380">
    <w:abstractNumId w:val="578"/>
  </w:num>
  <w:num w:numId="1381">
    <w:abstractNumId w:val="277"/>
  </w:num>
  <w:num w:numId="1382">
    <w:abstractNumId w:val="1356"/>
  </w:num>
  <w:num w:numId="1383">
    <w:abstractNumId w:val="1274"/>
  </w:num>
  <w:num w:numId="1384">
    <w:abstractNumId w:val="483"/>
  </w:num>
  <w:num w:numId="1385">
    <w:abstractNumId w:val="1494"/>
  </w:num>
  <w:num w:numId="1386">
    <w:abstractNumId w:val="588"/>
  </w:num>
  <w:num w:numId="1387">
    <w:abstractNumId w:val="338"/>
  </w:num>
  <w:num w:numId="1388">
    <w:abstractNumId w:val="160"/>
  </w:num>
  <w:num w:numId="1389">
    <w:abstractNumId w:val="546"/>
  </w:num>
  <w:num w:numId="1390">
    <w:abstractNumId w:val="1349"/>
  </w:num>
  <w:num w:numId="1391">
    <w:abstractNumId w:val="2032"/>
  </w:num>
  <w:num w:numId="1392">
    <w:abstractNumId w:val="1723"/>
  </w:num>
  <w:num w:numId="1393">
    <w:abstractNumId w:val="511"/>
  </w:num>
  <w:num w:numId="1394">
    <w:abstractNumId w:val="1566"/>
  </w:num>
  <w:num w:numId="1395">
    <w:abstractNumId w:val="1604"/>
  </w:num>
  <w:num w:numId="1396">
    <w:abstractNumId w:val="1636"/>
  </w:num>
  <w:num w:numId="1397">
    <w:abstractNumId w:val="884"/>
  </w:num>
  <w:num w:numId="1398">
    <w:abstractNumId w:val="718"/>
  </w:num>
  <w:num w:numId="1399">
    <w:abstractNumId w:val="246"/>
  </w:num>
  <w:num w:numId="1400">
    <w:abstractNumId w:val="685"/>
  </w:num>
  <w:num w:numId="1401">
    <w:abstractNumId w:val="145"/>
  </w:num>
  <w:num w:numId="1402">
    <w:abstractNumId w:val="283"/>
  </w:num>
  <w:num w:numId="1403">
    <w:abstractNumId w:val="2006"/>
  </w:num>
  <w:num w:numId="1404">
    <w:abstractNumId w:val="186"/>
  </w:num>
  <w:num w:numId="1405">
    <w:abstractNumId w:val="147"/>
  </w:num>
  <w:num w:numId="1406">
    <w:abstractNumId w:val="642"/>
  </w:num>
  <w:num w:numId="1407">
    <w:abstractNumId w:val="1548"/>
  </w:num>
  <w:num w:numId="1408">
    <w:abstractNumId w:val="486"/>
  </w:num>
  <w:num w:numId="1409">
    <w:abstractNumId w:val="2009"/>
  </w:num>
  <w:num w:numId="1410">
    <w:abstractNumId w:val="1228"/>
  </w:num>
  <w:num w:numId="1411">
    <w:abstractNumId w:val="1573"/>
  </w:num>
  <w:num w:numId="1412">
    <w:abstractNumId w:val="569"/>
  </w:num>
  <w:num w:numId="1413">
    <w:abstractNumId w:val="1572"/>
  </w:num>
  <w:num w:numId="1414">
    <w:abstractNumId w:val="1433"/>
  </w:num>
  <w:num w:numId="1415">
    <w:abstractNumId w:val="555"/>
  </w:num>
  <w:num w:numId="1416">
    <w:abstractNumId w:val="1425"/>
  </w:num>
  <w:num w:numId="1417">
    <w:abstractNumId w:val="1167"/>
  </w:num>
  <w:num w:numId="1418">
    <w:abstractNumId w:val="1783"/>
  </w:num>
  <w:num w:numId="1419">
    <w:abstractNumId w:val="879"/>
  </w:num>
  <w:num w:numId="1420">
    <w:abstractNumId w:val="1122"/>
  </w:num>
  <w:num w:numId="1421">
    <w:abstractNumId w:val="26"/>
  </w:num>
  <w:num w:numId="1422">
    <w:abstractNumId w:val="1675"/>
  </w:num>
  <w:num w:numId="1423">
    <w:abstractNumId w:val="1953"/>
  </w:num>
  <w:num w:numId="1424">
    <w:abstractNumId w:val="1983"/>
  </w:num>
  <w:num w:numId="1425">
    <w:abstractNumId w:val="1316"/>
  </w:num>
  <w:num w:numId="1426">
    <w:abstractNumId w:val="1443"/>
  </w:num>
  <w:num w:numId="1427">
    <w:abstractNumId w:val="1817"/>
  </w:num>
  <w:num w:numId="1428">
    <w:abstractNumId w:val="1237"/>
  </w:num>
  <w:num w:numId="1429">
    <w:abstractNumId w:val="1495"/>
  </w:num>
  <w:num w:numId="1430">
    <w:abstractNumId w:val="433"/>
  </w:num>
  <w:num w:numId="1431">
    <w:abstractNumId w:val="1444"/>
  </w:num>
  <w:num w:numId="1432">
    <w:abstractNumId w:val="497"/>
  </w:num>
  <w:num w:numId="1433">
    <w:abstractNumId w:val="656"/>
  </w:num>
  <w:num w:numId="1434">
    <w:abstractNumId w:val="1550"/>
  </w:num>
  <w:num w:numId="1435">
    <w:abstractNumId w:val="456"/>
  </w:num>
  <w:num w:numId="1436">
    <w:abstractNumId w:val="711"/>
  </w:num>
  <w:num w:numId="1437">
    <w:abstractNumId w:val="777"/>
  </w:num>
  <w:num w:numId="1438">
    <w:abstractNumId w:val="505"/>
  </w:num>
  <w:num w:numId="1439">
    <w:abstractNumId w:val="547"/>
  </w:num>
  <w:num w:numId="1440">
    <w:abstractNumId w:val="2019"/>
  </w:num>
  <w:num w:numId="1441">
    <w:abstractNumId w:val="645"/>
  </w:num>
  <w:num w:numId="1442">
    <w:abstractNumId w:val="810"/>
  </w:num>
  <w:num w:numId="1443">
    <w:abstractNumId w:val="333"/>
  </w:num>
  <w:num w:numId="1444">
    <w:abstractNumId w:val="1987"/>
  </w:num>
  <w:num w:numId="1445">
    <w:abstractNumId w:val="759"/>
  </w:num>
  <w:num w:numId="1446">
    <w:abstractNumId w:val="1072"/>
  </w:num>
  <w:num w:numId="1447">
    <w:abstractNumId w:val="905"/>
  </w:num>
  <w:num w:numId="1448">
    <w:abstractNumId w:val="550"/>
  </w:num>
  <w:num w:numId="1449">
    <w:abstractNumId w:val="313"/>
  </w:num>
  <w:num w:numId="1450">
    <w:abstractNumId w:val="673"/>
  </w:num>
  <w:num w:numId="1451">
    <w:abstractNumId w:val="371"/>
  </w:num>
  <w:num w:numId="1452">
    <w:abstractNumId w:val="488"/>
  </w:num>
  <w:num w:numId="1453">
    <w:abstractNumId w:val="1206"/>
  </w:num>
  <w:num w:numId="1454">
    <w:abstractNumId w:val="2"/>
  </w:num>
  <w:num w:numId="1455">
    <w:abstractNumId w:val="360"/>
  </w:num>
  <w:num w:numId="1456">
    <w:abstractNumId w:val="1947"/>
  </w:num>
  <w:num w:numId="1457">
    <w:abstractNumId w:val="392"/>
  </w:num>
  <w:num w:numId="1458">
    <w:abstractNumId w:val="1387"/>
  </w:num>
  <w:num w:numId="1459">
    <w:abstractNumId w:val="298"/>
  </w:num>
  <w:num w:numId="1460">
    <w:abstractNumId w:val="234"/>
  </w:num>
  <w:num w:numId="1461">
    <w:abstractNumId w:val="1886"/>
  </w:num>
  <w:num w:numId="1462">
    <w:abstractNumId w:val="71"/>
  </w:num>
  <w:num w:numId="1463">
    <w:abstractNumId w:val="1986"/>
  </w:num>
  <w:num w:numId="1464">
    <w:abstractNumId w:val="853"/>
  </w:num>
  <w:num w:numId="1465">
    <w:abstractNumId w:val="1051"/>
  </w:num>
  <w:num w:numId="1466">
    <w:abstractNumId w:val="444"/>
  </w:num>
  <w:num w:numId="1467">
    <w:abstractNumId w:val="655"/>
  </w:num>
  <w:num w:numId="1468">
    <w:abstractNumId w:val="1113"/>
  </w:num>
  <w:num w:numId="1469">
    <w:abstractNumId w:val="823"/>
  </w:num>
  <w:num w:numId="1470">
    <w:abstractNumId w:val="1648"/>
  </w:num>
  <w:num w:numId="1471">
    <w:abstractNumId w:val="1820"/>
  </w:num>
  <w:num w:numId="1472">
    <w:abstractNumId w:val="193"/>
  </w:num>
  <w:num w:numId="1473">
    <w:abstractNumId w:val="1701"/>
  </w:num>
  <w:num w:numId="1474">
    <w:abstractNumId w:val="1654"/>
  </w:num>
  <w:num w:numId="1475">
    <w:abstractNumId w:val="1447"/>
  </w:num>
  <w:num w:numId="1476">
    <w:abstractNumId w:val="695"/>
  </w:num>
  <w:num w:numId="1477">
    <w:abstractNumId w:val="1481"/>
  </w:num>
  <w:num w:numId="1478">
    <w:abstractNumId w:val="1063"/>
  </w:num>
  <w:num w:numId="1479">
    <w:abstractNumId w:val="1294"/>
  </w:num>
  <w:num w:numId="1480">
    <w:abstractNumId w:val="1367"/>
  </w:num>
  <w:num w:numId="1481">
    <w:abstractNumId w:val="2018"/>
  </w:num>
  <w:num w:numId="1482">
    <w:abstractNumId w:val="1521"/>
  </w:num>
  <w:num w:numId="1483">
    <w:abstractNumId w:val="1795"/>
  </w:num>
  <w:num w:numId="1484">
    <w:abstractNumId w:val="799"/>
  </w:num>
  <w:num w:numId="1485">
    <w:abstractNumId w:val="1283"/>
  </w:num>
  <w:num w:numId="1486">
    <w:abstractNumId w:val="531"/>
  </w:num>
  <w:num w:numId="1487">
    <w:abstractNumId w:val="1364"/>
  </w:num>
  <w:num w:numId="1488">
    <w:abstractNumId w:val="709"/>
  </w:num>
  <w:num w:numId="1489">
    <w:abstractNumId w:val="1915"/>
  </w:num>
  <w:num w:numId="1490">
    <w:abstractNumId w:val="1565"/>
  </w:num>
  <w:num w:numId="1491">
    <w:abstractNumId w:val="753"/>
  </w:num>
  <w:num w:numId="1492">
    <w:abstractNumId w:val="430"/>
  </w:num>
  <w:num w:numId="1493">
    <w:abstractNumId w:val="1842"/>
  </w:num>
  <w:num w:numId="1494">
    <w:abstractNumId w:val="1248"/>
  </w:num>
  <w:num w:numId="1495">
    <w:abstractNumId w:val="1666"/>
  </w:num>
  <w:num w:numId="1496">
    <w:abstractNumId w:val="1890"/>
  </w:num>
  <w:num w:numId="1497">
    <w:abstractNumId w:val="1967"/>
  </w:num>
  <w:num w:numId="1498">
    <w:abstractNumId w:val="882"/>
  </w:num>
  <w:num w:numId="1499">
    <w:abstractNumId w:val="138"/>
  </w:num>
  <w:num w:numId="1500">
    <w:abstractNumId w:val="1317"/>
  </w:num>
  <w:num w:numId="1501">
    <w:abstractNumId w:val="1507"/>
  </w:num>
  <w:num w:numId="1502">
    <w:abstractNumId w:val="1046"/>
  </w:num>
  <w:num w:numId="1503">
    <w:abstractNumId w:val="839"/>
  </w:num>
  <w:num w:numId="1504">
    <w:abstractNumId w:val="1796"/>
  </w:num>
  <w:num w:numId="1505">
    <w:abstractNumId w:val="740"/>
  </w:num>
  <w:num w:numId="1506">
    <w:abstractNumId w:val="1880"/>
  </w:num>
  <w:num w:numId="1507">
    <w:abstractNumId w:val="924"/>
  </w:num>
  <w:num w:numId="1508">
    <w:abstractNumId w:val="699"/>
  </w:num>
  <w:num w:numId="1509">
    <w:abstractNumId w:val="532"/>
  </w:num>
  <w:num w:numId="1510">
    <w:abstractNumId w:val="1637"/>
  </w:num>
  <w:num w:numId="1511">
    <w:abstractNumId w:val="44"/>
  </w:num>
  <w:num w:numId="1512">
    <w:abstractNumId w:val="822"/>
  </w:num>
  <w:num w:numId="1513">
    <w:abstractNumId w:val="1580"/>
  </w:num>
  <w:num w:numId="1514">
    <w:abstractNumId w:val="1472"/>
  </w:num>
  <w:num w:numId="1515">
    <w:abstractNumId w:val="1146"/>
  </w:num>
  <w:num w:numId="1516">
    <w:abstractNumId w:val="1704"/>
  </w:num>
  <w:num w:numId="1517">
    <w:abstractNumId w:val="1121"/>
  </w:num>
  <w:num w:numId="1518">
    <w:abstractNumId w:val="59"/>
  </w:num>
  <w:num w:numId="1519">
    <w:abstractNumId w:val="1340"/>
  </w:num>
  <w:num w:numId="1520">
    <w:abstractNumId w:val="596"/>
  </w:num>
  <w:num w:numId="1521">
    <w:abstractNumId w:val="411"/>
  </w:num>
  <w:num w:numId="1522">
    <w:abstractNumId w:val="1293"/>
  </w:num>
  <w:num w:numId="1523">
    <w:abstractNumId w:val="1128"/>
  </w:num>
  <w:num w:numId="1524">
    <w:abstractNumId w:val="1120"/>
  </w:num>
  <w:num w:numId="1525">
    <w:abstractNumId w:val="921"/>
  </w:num>
  <w:num w:numId="1526">
    <w:abstractNumId w:val="1887"/>
  </w:num>
  <w:num w:numId="1527">
    <w:abstractNumId w:val="1559"/>
  </w:num>
  <w:num w:numId="1528">
    <w:abstractNumId w:val="1454"/>
  </w:num>
  <w:num w:numId="1529">
    <w:abstractNumId w:val="91"/>
  </w:num>
  <w:num w:numId="1530">
    <w:abstractNumId w:val="2012"/>
  </w:num>
  <w:num w:numId="1531">
    <w:abstractNumId w:val="769"/>
  </w:num>
  <w:num w:numId="1532">
    <w:abstractNumId w:val="950"/>
  </w:num>
  <w:num w:numId="1533">
    <w:abstractNumId w:val="933"/>
  </w:num>
  <w:num w:numId="1534">
    <w:abstractNumId w:val="1732"/>
  </w:num>
  <w:num w:numId="1535">
    <w:abstractNumId w:val="495"/>
  </w:num>
  <w:num w:numId="1536">
    <w:abstractNumId w:val="616"/>
  </w:num>
  <w:num w:numId="1537">
    <w:abstractNumId w:val="1102"/>
  </w:num>
  <w:num w:numId="1538">
    <w:abstractNumId w:val="1188"/>
  </w:num>
  <w:num w:numId="1539">
    <w:abstractNumId w:val="618"/>
  </w:num>
  <w:num w:numId="1540">
    <w:abstractNumId w:val="557"/>
  </w:num>
  <w:num w:numId="1541">
    <w:abstractNumId w:val="72"/>
  </w:num>
  <w:num w:numId="1542">
    <w:abstractNumId w:val="612"/>
  </w:num>
  <w:num w:numId="1543">
    <w:abstractNumId w:val="1112"/>
  </w:num>
  <w:num w:numId="1544">
    <w:abstractNumId w:val="1554"/>
  </w:num>
  <w:num w:numId="1545">
    <w:abstractNumId w:val="1142"/>
  </w:num>
  <w:num w:numId="1546">
    <w:abstractNumId w:val="2005"/>
  </w:num>
  <w:num w:numId="1547">
    <w:abstractNumId w:val="958"/>
  </w:num>
  <w:num w:numId="1548">
    <w:abstractNumId w:val="836"/>
  </w:num>
  <w:num w:numId="1549">
    <w:abstractNumId w:val="10"/>
  </w:num>
  <w:num w:numId="1550">
    <w:abstractNumId w:val="1738"/>
  </w:num>
  <w:num w:numId="1551">
    <w:abstractNumId w:val="749"/>
  </w:num>
  <w:num w:numId="1552">
    <w:abstractNumId w:val="190"/>
  </w:num>
  <w:num w:numId="1553">
    <w:abstractNumId w:val="41"/>
  </w:num>
  <w:num w:numId="1554">
    <w:abstractNumId w:val="1855"/>
  </w:num>
  <w:num w:numId="1555">
    <w:abstractNumId w:val="1160"/>
  </w:num>
  <w:num w:numId="1556">
    <w:abstractNumId w:val="435"/>
  </w:num>
  <w:num w:numId="1557">
    <w:abstractNumId w:val="838"/>
  </w:num>
  <w:num w:numId="1558">
    <w:abstractNumId w:val="1251"/>
  </w:num>
  <w:num w:numId="1559">
    <w:abstractNumId w:val="86"/>
  </w:num>
  <w:num w:numId="1560">
    <w:abstractNumId w:val="1621"/>
  </w:num>
  <w:num w:numId="1561">
    <w:abstractNumId w:val="49"/>
  </w:num>
  <w:num w:numId="1562">
    <w:abstractNumId w:val="1409"/>
  </w:num>
  <w:num w:numId="1563">
    <w:abstractNumId w:val="888"/>
  </w:num>
  <w:num w:numId="1564">
    <w:abstractNumId w:val="1903"/>
  </w:num>
  <w:num w:numId="1565">
    <w:abstractNumId w:val="706"/>
  </w:num>
  <w:num w:numId="1566">
    <w:abstractNumId w:val="771"/>
  </w:num>
  <w:num w:numId="1567">
    <w:abstractNumId w:val="1272"/>
  </w:num>
  <w:num w:numId="1568">
    <w:abstractNumId w:val="1784"/>
  </w:num>
  <w:num w:numId="1569">
    <w:abstractNumId w:val="1198"/>
  </w:num>
  <w:num w:numId="1570">
    <w:abstractNumId w:val="1171"/>
  </w:num>
  <w:num w:numId="1571">
    <w:abstractNumId w:val="308"/>
  </w:num>
  <w:num w:numId="1572">
    <w:abstractNumId w:val="1687"/>
  </w:num>
  <w:num w:numId="1573">
    <w:abstractNumId w:val="36"/>
  </w:num>
  <w:num w:numId="1574">
    <w:abstractNumId w:val="668"/>
  </w:num>
  <w:num w:numId="1575">
    <w:abstractNumId w:val="1801"/>
  </w:num>
  <w:num w:numId="1576">
    <w:abstractNumId w:val="122"/>
  </w:num>
  <w:num w:numId="1577">
    <w:abstractNumId w:val="534"/>
  </w:num>
  <w:num w:numId="1578">
    <w:abstractNumId w:val="1182"/>
  </w:num>
  <w:num w:numId="1579">
    <w:abstractNumId w:val="752"/>
  </w:num>
  <w:num w:numId="1580">
    <w:abstractNumId w:val="1288"/>
  </w:num>
  <w:num w:numId="1581">
    <w:abstractNumId w:val="1093"/>
  </w:num>
  <w:num w:numId="1582">
    <w:abstractNumId w:val="1638"/>
  </w:num>
  <w:num w:numId="1583">
    <w:abstractNumId w:val="400"/>
  </w:num>
  <w:num w:numId="1584">
    <w:abstractNumId w:val="1744"/>
  </w:num>
  <w:num w:numId="1585">
    <w:abstractNumId w:val="506"/>
  </w:num>
  <w:num w:numId="1586">
    <w:abstractNumId w:val="101"/>
  </w:num>
  <w:num w:numId="1587">
    <w:abstractNumId w:val="432"/>
  </w:num>
  <w:num w:numId="1588">
    <w:abstractNumId w:val="68"/>
  </w:num>
  <w:num w:numId="1589">
    <w:abstractNumId w:val="1634"/>
  </w:num>
  <w:num w:numId="1590">
    <w:abstractNumId w:val="270"/>
  </w:num>
  <w:num w:numId="1591">
    <w:abstractNumId w:val="2027"/>
  </w:num>
  <w:num w:numId="1592">
    <w:abstractNumId w:val="1961"/>
  </w:num>
  <w:num w:numId="1593">
    <w:abstractNumId w:val="972"/>
  </w:num>
  <w:num w:numId="1594">
    <w:abstractNumId w:val="1882"/>
  </w:num>
  <w:num w:numId="1595">
    <w:abstractNumId w:val="1647"/>
  </w:num>
  <w:num w:numId="1596">
    <w:abstractNumId w:val="816"/>
  </w:num>
  <w:num w:numId="1597">
    <w:abstractNumId w:val="370"/>
  </w:num>
  <w:num w:numId="1598">
    <w:abstractNumId w:val="2039"/>
  </w:num>
  <w:num w:numId="1599">
    <w:abstractNumId w:val="314"/>
  </w:num>
  <w:num w:numId="1600">
    <w:abstractNumId w:val="300"/>
  </w:num>
  <w:num w:numId="1601">
    <w:abstractNumId w:val="744"/>
  </w:num>
  <w:num w:numId="1602">
    <w:abstractNumId w:val="316"/>
  </w:num>
  <w:num w:numId="1603">
    <w:abstractNumId w:val="2033"/>
  </w:num>
  <w:num w:numId="1604">
    <w:abstractNumId w:val="340"/>
  </w:num>
  <w:num w:numId="1605">
    <w:abstractNumId w:val="1664"/>
  </w:num>
  <w:num w:numId="1606">
    <w:abstractNumId w:val="1943"/>
  </w:num>
  <w:num w:numId="1607">
    <w:abstractNumId w:val="54"/>
  </w:num>
  <w:num w:numId="1608">
    <w:abstractNumId w:val="1760"/>
  </w:num>
  <w:num w:numId="1609">
    <w:abstractNumId w:val="544"/>
  </w:num>
  <w:num w:numId="1610">
    <w:abstractNumId w:val="1336"/>
  </w:num>
  <w:num w:numId="1611">
    <w:abstractNumId w:val="388"/>
  </w:num>
  <w:num w:numId="1612">
    <w:abstractNumId w:val="406"/>
  </w:num>
  <w:num w:numId="1613">
    <w:abstractNumId w:val="402"/>
  </w:num>
  <w:num w:numId="1614">
    <w:abstractNumId w:val="1650"/>
  </w:num>
  <w:num w:numId="1615">
    <w:abstractNumId w:val="1018"/>
  </w:num>
  <w:num w:numId="1616">
    <w:abstractNumId w:val="1498"/>
  </w:num>
  <w:num w:numId="1617">
    <w:abstractNumId w:val="1107"/>
  </w:num>
  <w:num w:numId="1618">
    <w:abstractNumId w:val="1693"/>
  </w:num>
  <w:num w:numId="1619">
    <w:abstractNumId w:val="1476"/>
  </w:num>
  <w:num w:numId="1620">
    <w:abstractNumId w:val="1322"/>
  </w:num>
  <w:num w:numId="1621">
    <w:abstractNumId w:val="952"/>
  </w:num>
  <w:num w:numId="1622">
    <w:abstractNumId w:val="1794"/>
  </w:num>
  <w:num w:numId="1623">
    <w:abstractNumId w:val="1015"/>
  </w:num>
  <w:num w:numId="1624">
    <w:abstractNumId w:val="1310"/>
  </w:num>
  <w:num w:numId="1625">
    <w:abstractNumId w:val="1420"/>
  </w:num>
  <w:num w:numId="1626">
    <w:abstractNumId w:val="162"/>
  </w:num>
  <w:num w:numId="1627">
    <w:abstractNumId w:val="1683"/>
  </w:num>
  <w:num w:numId="1628">
    <w:abstractNumId w:val="1970"/>
  </w:num>
  <w:num w:numId="1629">
    <w:abstractNumId w:val="1658"/>
  </w:num>
  <w:num w:numId="1630">
    <w:abstractNumId w:val="434"/>
  </w:num>
  <w:num w:numId="1631">
    <w:abstractNumId w:val="365"/>
  </w:num>
  <w:num w:numId="1632">
    <w:abstractNumId w:val="1129"/>
  </w:num>
  <w:num w:numId="1633">
    <w:abstractNumId w:val="915"/>
  </w:num>
  <w:num w:numId="1634">
    <w:abstractNumId w:val="848"/>
  </w:num>
  <w:num w:numId="1635">
    <w:abstractNumId w:val="1782"/>
  </w:num>
  <w:num w:numId="1636">
    <w:abstractNumId w:val="176"/>
  </w:num>
  <w:num w:numId="1637">
    <w:abstractNumId w:val="817"/>
  </w:num>
  <w:num w:numId="1638">
    <w:abstractNumId w:val="410"/>
  </w:num>
  <w:num w:numId="1639">
    <w:abstractNumId w:val="1641"/>
  </w:num>
  <w:num w:numId="1640">
    <w:abstractNumId w:val="1499"/>
  </w:num>
  <w:num w:numId="1641">
    <w:abstractNumId w:val="1813"/>
  </w:num>
  <w:num w:numId="1642">
    <w:abstractNumId w:val="1400"/>
  </w:num>
  <w:num w:numId="1643">
    <w:abstractNumId w:val="1374"/>
  </w:num>
  <w:num w:numId="1644">
    <w:abstractNumId w:val="1000"/>
  </w:num>
  <w:num w:numId="1645">
    <w:abstractNumId w:val="1216"/>
  </w:num>
  <w:num w:numId="1646">
    <w:abstractNumId w:val="408"/>
  </w:num>
  <w:num w:numId="1647">
    <w:abstractNumId w:val="1426"/>
  </w:num>
  <w:num w:numId="1648">
    <w:abstractNumId w:val="1816"/>
  </w:num>
  <w:num w:numId="1649">
    <w:abstractNumId w:val="1056"/>
  </w:num>
  <w:num w:numId="1650">
    <w:abstractNumId w:val="1702"/>
  </w:num>
  <w:num w:numId="1651">
    <w:abstractNumId w:val="1104"/>
  </w:num>
  <w:num w:numId="1652">
    <w:abstractNumId w:val="481"/>
  </w:num>
  <w:num w:numId="1653">
    <w:abstractNumId w:val="900"/>
  </w:num>
  <w:num w:numId="1654">
    <w:abstractNumId w:val="1623"/>
  </w:num>
  <w:num w:numId="1655">
    <w:abstractNumId w:val="1959"/>
  </w:num>
  <w:num w:numId="1656">
    <w:abstractNumId w:val="1174"/>
  </w:num>
  <w:num w:numId="1657">
    <w:abstractNumId w:val="1937"/>
  </w:num>
  <w:num w:numId="1658">
    <w:abstractNumId w:val="994"/>
  </w:num>
  <w:num w:numId="1659">
    <w:abstractNumId w:val="1755"/>
  </w:num>
  <w:num w:numId="1660">
    <w:abstractNumId w:val="1714"/>
  </w:num>
  <w:num w:numId="1661">
    <w:abstractNumId w:val="1369"/>
  </w:num>
  <w:num w:numId="1662">
    <w:abstractNumId w:val="908"/>
  </w:num>
  <w:num w:numId="1663">
    <w:abstractNumId w:val="348"/>
  </w:num>
  <w:num w:numId="1664">
    <w:abstractNumId w:val="568"/>
  </w:num>
  <w:num w:numId="1665">
    <w:abstractNumId w:val="715"/>
  </w:num>
  <w:num w:numId="1666">
    <w:abstractNumId w:val="46"/>
  </w:num>
  <w:num w:numId="1667">
    <w:abstractNumId w:val="85"/>
  </w:num>
  <w:num w:numId="1668">
    <w:abstractNumId w:val="1111"/>
  </w:num>
  <w:num w:numId="1669">
    <w:abstractNumId w:val="1048"/>
  </w:num>
  <w:num w:numId="1670">
    <w:abstractNumId w:val="1017"/>
  </w:num>
  <w:num w:numId="1671">
    <w:abstractNumId w:val="34"/>
  </w:num>
  <w:num w:numId="1672">
    <w:abstractNumId w:val="1267"/>
  </w:num>
  <w:num w:numId="1673">
    <w:abstractNumId w:val="966"/>
  </w:num>
  <w:num w:numId="1674">
    <w:abstractNumId w:val="1774"/>
  </w:num>
  <w:num w:numId="1675">
    <w:abstractNumId w:val="1973"/>
  </w:num>
  <w:num w:numId="1676">
    <w:abstractNumId w:val="854"/>
  </w:num>
  <w:num w:numId="1677">
    <w:abstractNumId w:val="1230"/>
  </w:num>
  <w:num w:numId="1678">
    <w:abstractNumId w:val="528"/>
  </w:num>
  <w:num w:numId="1679">
    <w:abstractNumId w:val="1173"/>
  </w:num>
  <w:num w:numId="1680">
    <w:abstractNumId w:val="1312"/>
  </w:num>
  <w:num w:numId="1681">
    <w:abstractNumId w:val="549"/>
  </w:num>
  <w:num w:numId="1682">
    <w:abstractNumId w:val="719"/>
  </w:num>
  <w:num w:numId="1683">
    <w:abstractNumId w:val="1271"/>
  </w:num>
  <w:num w:numId="1684">
    <w:abstractNumId w:val="1089"/>
  </w:num>
  <w:num w:numId="1685">
    <w:abstractNumId w:val="768"/>
  </w:num>
  <w:num w:numId="1686">
    <w:abstractNumId w:val="170"/>
  </w:num>
  <w:num w:numId="1687">
    <w:abstractNumId w:val="1725"/>
  </w:num>
  <w:num w:numId="1688">
    <w:abstractNumId w:val="1914"/>
  </w:num>
  <w:num w:numId="1689">
    <w:abstractNumId w:val="1841"/>
  </w:num>
  <w:num w:numId="1690">
    <w:abstractNumId w:val="1544"/>
  </w:num>
  <w:num w:numId="1691">
    <w:abstractNumId w:val="7"/>
  </w:num>
  <w:num w:numId="1692">
    <w:abstractNumId w:val="191"/>
  </w:num>
  <w:num w:numId="1693">
    <w:abstractNumId w:val="22"/>
  </w:num>
  <w:num w:numId="1694">
    <w:abstractNumId w:val="1404"/>
  </w:num>
  <w:num w:numId="1695">
    <w:abstractNumId w:val="1920"/>
  </w:num>
  <w:num w:numId="1696">
    <w:abstractNumId w:val="1517"/>
  </w:num>
  <w:num w:numId="1697">
    <w:abstractNumId w:val="973"/>
  </w:num>
  <w:num w:numId="1698">
    <w:abstractNumId w:val="1068"/>
  </w:num>
  <w:num w:numId="1699">
    <w:abstractNumId w:val="1897"/>
  </w:num>
  <w:num w:numId="1700">
    <w:abstractNumId w:val="48"/>
  </w:num>
  <w:num w:numId="1701">
    <w:abstractNumId w:val="1826"/>
  </w:num>
  <w:num w:numId="1702">
    <w:abstractNumId w:val="912"/>
  </w:num>
  <w:num w:numId="1703">
    <w:abstractNumId w:val="729"/>
  </w:num>
  <w:num w:numId="1704">
    <w:abstractNumId w:val="1929"/>
  </w:num>
  <w:num w:numId="1705">
    <w:abstractNumId w:val="1773"/>
  </w:num>
  <w:num w:numId="1706">
    <w:abstractNumId w:val="306"/>
  </w:num>
  <w:num w:numId="1707">
    <w:abstractNumId w:val="765"/>
  </w:num>
  <w:num w:numId="1708">
    <w:abstractNumId w:val="1734"/>
  </w:num>
  <w:num w:numId="1709">
    <w:abstractNumId w:val="1900"/>
  </w:num>
  <w:num w:numId="1710">
    <w:abstractNumId w:val="477"/>
  </w:num>
  <w:num w:numId="1711">
    <w:abstractNumId w:val="318"/>
  </w:num>
  <w:num w:numId="1712">
    <w:abstractNumId w:val="1739"/>
  </w:num>
  <w:num w:numId="1713">
    <w:abstractNumId w:val="242"/>
  </w:num>
  <w:num w:numId="1714">
    <w:abstractNumId w:val="1053"/>
  </w:num>
  <w:num w:numId="1715">
    <w:abstractNumId w:val="669"/>
  </w:num>
  <w:num w:numId="1716">
    <w:abstractNumId w:val="1054"/>
  </w:num>
  <w:num w:numId="1717">
    <w:abstractNumId w:val="1275"/>
  </w:num>
  <w:num w:numId="1718">
    <w:abstractNumId w:val="1719"/>
  </w:num>
  <w:num w:numId="1719">
    <w:abstractNumId w:val="328"/>
  </w:num>
  <w:num w:numId="1720">
    <w:abstractNumId w:val="1042"/>
  </w:num>
  <w:num w:numId="1721">
    <w:abstractNumId w:val="498"/>
  </w:num>
  <w:num w:numId="1722">
    <w:abstractNumId w:val="19"/>
  </w:num>
  <w:num w:numId="1723">
    <w:abstractNumId w:val="1307"/>
  </w:num>
  <w:num w:numId="1724">
    <w:abstractNumId w:val="1080"/>
  </w:num>
  <w:num w:numId="1725">
    <w:abstractNumId w:val="2028"/>
  </w:num>
  <w:num w:numId="1726">
    <w:abstractNumId w:val="108"/>
  </w:num>
  <w:num w:numId="1727">
    <w:abstractNumId w:val="1279"/>
  </w:num>
  <w:num w:numId="1728">
    <w:abstractNumId w:val="893"/>
  </w:num>
  <w:num w:numId="1729">
    <w:abstractNumId w:val="319"/>
  </w:num>
  <w:num w:numId="1730">
    <w:abstractNumId w:val="1707"/>
  </w:num>
  <w:num w:numId="1731">
    <w:abstractNumId w:val="1082"/>
  </w:num>
  <w:num w:numId="1732">
    <w:abstractNumId w:val="1690"/>
  </w:num>
  <w:num w:numId="1733">
    <w:abstractNumId w:val="646"/>
  </w:num>
  <w:num w:numId="1734">
    <w:abstractNumId w:val="1561"/>
  </w:num>
  <w:num w:numId="1735">
    <w:abstractNumId w:val="1618"/>
  </w:num>
  <w:num w:numId="1736">
    <w:abstractNumId w:val="807"/>
  </w:num>
  <w:num w:numId="1737">
    <w:abstractNumId w:val="1551"/>
  </w:num>
  <w:num w:numId="1738">
    <w:abstractNumId w:val="930"/>
  </w:num>
  <w:num w:numId="1739">
    <w:abstractNumId w:val="1964"/>
  </w:num>
  <w:num w:numId="1740">
    <w:abstractNumId w:val="1360"/>
  </w:num>
  <w:num w:numId="1741">
    <w:abstractNumId w:val="1450"/>
  </w:num>
  <w:num w:numId="1742">
    <w:abstractNumId w:val="1617"/>
  </w:num>
  <w:num w:numId="1743">
    <w:abstractNumId w:val="62"/>
  </w:num>
  <w:num w:numId="1744">
    <w:abstractNumId w:val="1380"/>
  </w:num>
  <w:num w:numId="1745">
    <w:abstractNumId w:val="1963"/>
  </w:num>
  <w:num w:numId="1746">
    <w:abstractNumId w:val="1949"/>
  </w:num>
  <w:num w:numId="1747">
    <w:abstractNumId w:val="74"/>
  </w:num>
  <w:num w:numId="1748">
    <w:abstractNumId w:val="144"/>
  </w:num>
  <w:num w:numId="1749">
    <w:abstractNumId w:val="24"/>
  </w:num>
  <w:num w:numId="1750">
    <w:abstractNumId w:val="1086"/>
  </w:num>
  <w:num w:numId="1751">
    <w:abstractNumId w:val="299"/>
  </w:num>
  <w:num w:numId="1752">
    <w:abstractNumId w:val="1049"/>
  </w:num>
  <w:num w:numId="1753">
    <w:abstractNumId w:val="632"/>
  </w:num>
  <w:num w:numId="1754">
    <w:abstractNumId w:val="1553"/>
  </w:num>
  <w:num w:numId="1755">
    <w:abstractNumId w:val="1262"/>
  </w:num>
  <w:num w:numId="1756">
    <w:abstractNumId w:val="1442"/>
  </w:num>
  <w:num w:numId="1757">
    <w:abstractNumId w:val="558"/>
  </w:num>
  <w:num w:numId="1758">
    <w:abstractNumId w:val="1931"/>
  </w:num>
  <w:num w:numId="1759">
    <w:abstractNumId w:val="207"/>
  </w:num>
  <w:num w:numId="1760">
    <w:abstractNumId w:val="175"/>
  </w:num>
  <w:num w:numId="1761">
    <w:abstractNumId w:val="1416"/>
  </w:num>
  <w:num w:numId="1762">
    <w:abstractNumId w:val="1672"/>
  </w:num>
  <w:num w:numId="1763">
    <w:abstractNumId w:val="1746"/>
  </w:num>
  <w:num w:numId="1764">
    <w:abstractNumId w:val="626"/>
  </w:num>
  <w:num w:numId="1765">
    <w:abstractNumId w:val="1065"/>
  </w:num>
  <w:num w:numId="1766">
    <w:abstractNumId w:val="1363"/>
  </w:num>
  <w:num w:numId="1767">
    <w:abstractNumId w:val="637"/>
  </w:num>
  <w:num w:numId="1768">
    <w:abstractNumId w:val="652"/>
  </w:num>
  <w:num w:numId="1769">
    <w:abstractNumId w:val="1525"/>
  </w:num>
  <w:num w:numId="1770">
    <w:abstractNumId w:val="414"/>
  </w:num>
  <w:num w:numId="1771">
    <w:abstractNumId w:val="127"/>
  </w:num>
  <w:num w:numId="1772">
    <w:abstractNumId w:val="1376"/>
  </w:num>
  <w:num w:numId="1773">
    <w:abstractNumId w:val="939"/>
  </w:num>
  <w:num w:numId="1774">
    <w:abstractNumId w:val="507"/>
  </w:num>
  <w:num w:numId="1775">
    <w:abstractNumId w:val="149"/>
  </w:num>
  <w:num w:numId="1776">
    <w:abstractNumId w:val="1090"/>
  </w:num>
  <w:num w:numId="1777">
    <w:abstractNumId w:val="1016"/>
  </w:num>
  <w:num w:numId="1778">
    <w:abstractNumId w:val="1833"/>
  </w:num>
  <w:num w:numId="1779">
    <w:abstractNumId w:val="700"/>
  </w:num>
  <w:num w:numId="1780">
    <w:abstractNumId w:val="1212"/>
  </w:num>
  <w:num w:numId="1781">
    <w:abstractNumId w:val="649"/>
  </w:num>
  <w:num w:numId="1782">
    <w:abstractNumId w:val="1569"/>
  </w:num>
  <w:num w:numId="1783">
    <w:abstractNumId w:val="1381"/>
  </w:num>
  <w:num w:numId="1784">
    <w:abstractNumId w:val="1273"/>
  </w:num>
  <w:num w:numId="1785">
    <w:abstractNumId w:val="18"/>
  </w:num>
  <w:num w:numId="1786">
    <w:abstractNumId w:val="166"/>
  </w:num>
  <w:num w:numId="1787">
    <w:abstractNumId w:val="121"/>
  </w:num>
  <w:num w:numId="1788">
    <w:abstractNumId w:val="264"/>
  </w:num>
  <w:num w:numId="1789">
    <w:abstractNumId w:val="268"/>
  </w:num>
  <w:num w:numId="1790">
    <w:abstractNumId w:val="1365"/>
  </w:num>
  <w:num w:numId="1791">
    <w:abstractNumId w:val="214"/>
  </w:num>
  <w:num w:numId="1792">
    <w:abstractNumId w:val="35"/>
  </w:num>
  <w:num w:numId="1793">
    <w:abstractNumId w:val="395"/>
  </w:num>
  <w:num w:numId="1794">
    <w:abstractNumId w:val="779"/>
  </w:num>
  <w:num w:numId="1795">
    <w:abstractNumId w:val="792"/>
  </w:num>
  <w:num w:numId="1796">
    <w:abstractNumId w:val="919"/>
  </w:num>
  <w:num w:numId="1797">
    <w:abstractNumId w:val="1514"/>
  </w:num>
  <w:num w:numId="1798">
    <w:abstractNumId w:val="1837"/>
  </w:num>
  <w:num w:numId="1799">
    <w:abstractNumId w:val="1482"/>
  </w:num>
  <w:num w:numId="1800">
    <w:abstractNumId w:val="1413"/>
  </w:num>
  <w:num w:numId="1801">
    <w:abstractNumId w:val="1456"/>
  </w:num>
  <w:num w:numId="1802">
    <w:abstractNumId w:val="95"/>
  </w:num>
  <w:num w:numId="1803">
    <w:abstractNumId w:val="1700"/>
  </w:num>
  <w:num w:numId="1804">
    <w:abstractNumId w:val="1370"/>
  </w:num>
  <w:num w:numId="1805">
    <w:abstractNumId w:val="1190"/>
  </w:num>
  <w:num w:numId="1806">
    <w:abstractNumId w:val="1044"/>
  </w:num>
  <w:num w:numId="1807">
    <w:abstractNumId w:val="956"/>
  </w:num>
  <w:num w:numId="1808">
    <w:abstractNumId w:val="1587"/>
  </w:num>
  <w:num w:numId="1809">
    <w:abstractNumId w:val="957"/>
  </w:num>
  <w:num w:numId="1810">
    <w:abstractNumId w:val="1345"/>
  </w:num>
  <w:num w:numId="1811">
    <w:abstractNumId w:val="1994"/>
  </w:num>
  <w:num w:numId="1812">
    <w:abstractNumId w:val="1045"/>
  </w:num>
  <w:num w:numId="1813">
    <w:abstractNumId w:val="114"/>
  </w:num>
  <w:num w:numId="1814">
    <w:abstractNumId w:val="1892"/>
  </w:num>
  <w:num w:numId="1815">
    <w:abstractNumId w:val="23"/>
  </w:num>
  <w:num w:numId="1816">
    <w:abstractNumId w:val="959"/>
  </w:num>
  <w:num w:numId="1817">
    <w:abstractNumId w:val="60"/>
  </w:num>
  <w:num w:numId="1818">
    <w:abstractNumId w:val="1246"/>
  </w:num>
  <w:num w:numId="1819">
    <w:abstractNumId w:val="1300"/>
  </w:num>
  <w:num w:numId="1820">
    <w:abstractNumId w:val="2025"/>
  </w:num>
  <w:num w:numId="1821">
    <w:abstractNumId w:val="1303"/>
  </w:num>
  <w:num w:numId="1822">
    <w:abstractNumId w:val="710"/>
  </w:num>
  <w:num w:numId="1823">
    <w:abstractNumId w:val="1941"/>
  </w:num>
  <w:num w:numId="1824">
    <w:abstractNumId w:val="1651"/>
  </w:num>
  <w:num w:numId="1825">
    <w:abstractNumId w:val="1728"/>
  </w:num>
  <w:num w:numId="1826">
    <w:abstractNumId w:val="1950"/>
  </w:num>
  <w:num w:numId="1827">
    <w:abstractNumId w:val="2004"/>
  </w:num>
  <w:num w:numId="1828">
    <w:abstractNumId w:val="63"/>
  </w:num>
  <w:num w:numId="1829">
    <w:abstractNumId w:val="657"/>
  </w:num>
  <w:num w:numId="1830">
    <w:abstractNumId w:val="426"/>
  </w:num>
  <w:num w:numId="1831">
    <w:abstractNumId w:val="774"/>
  </w:num>
  <w:num w:numId="1832">
    <w:abstractNumId w:val="520"/>
  </w:num>
  <w:num w:numId="1833">
    <w:abstractNumId w:val="171"/>
  </w:num>
  <w:num w:numId="1834">
    <w:abstractNumId w:val="450"/>
  </w:num>
  <w:num w:numId="1835">
    <w:abstractNumId w:val="902"/>
  </w:num>
  <w:num w:numId="1836">
    <w:abstractNumId w:val="1019"/>
  </w:num>
  <w:num w:numId="1837">
    <w:abstractNumId w:val="20"/>
  </w:num>
  <w:num w:numId="1838">
    <w:abstractNumId w:val="604"/>
  </w:num>
  <w:num w:numId="1839">
    <w:abstractNumId w:val="230"/>
  </w:num>
  <w:num w:numId="1840">
    <w:abstractNumId w:val="134"/>
  </w:num>
  <w:num w:numId="1841">
    <w:abstractNumId w:val="1313"/>
  </w:num>
  <w:num w:numId="1842">
    <w:abstractNumId w:val="1948"/>
  </w:num>
  <w:num w:numId="1843">
    <w:abstractNumId w:val="323"/>
  </w:num>
  <w:num w:numId="1844">
    <w:abstractNumId w:val="198"/>
  </w:num>
  <w:num w:numId="1845">
    <w:abstractNumId w:val="666"/>
  </w:num>
  <w:num w:numId="1846">
    <w:abstractNumId w:val="1741"/>
  </w:num>
  <w:num w:numId="1847">
    <w:abstractNumId w:val="1226"/>
  </w:num>
  <w:num w:numId="1848">
    <w:abstractNumId w:val="353"/>
  </w:num>
  <w:num w:numId="1849">
    <w:abstractNumId w:val="106"/>
  </w:num>
  <w:num w:numId="1850">
    <w:abstractNumId w:val="1229"/>
  </w:num>
  <w:num w:numId="1851">
    <w:abstractNumId w:val="907"/>
  </w:num>
  <w:num w:numId="1852">
    <w:abstractNumId w:val="985"/>
  </w:num>
  <w:num w:numId="1853">
    <w:abstractNumId w:val="563"/>
  </w:num>
  <w:num w:numId="1854">
    <w:abstractNumId w:val="1445"/>
  </w:num>
  <w:num w:numId="1855">
    <w:abstractNumId w:val="654"/>
  </w:num>
  <w:num w:numId="1856">
    <w:abstractNumId w:val="250"/>
  </w:num>
  <w:num w:numId="1857">
    <w:abstractNumId w:val="1138"/>
  </w:num>
  <w:num w:numId="1858">
    <w:abstractNumId w:val="515"/>
  </w:num>
  <w:num w:numId="1859">
    <w:abstractNumId w:val="1555"/>
  </w:num>
  <w:num w:numId="1860">
    <w:abstractNumId w:val="1355"/>
  </w:num>
  <w:num w:numId="1861">
    <w:abstractNumId w:val="1848"/>
  </w:num>
  <w:num w:numId="1862">
    <w:abstractNumId w:val="102"/>
  </w:num>
  <w:num w:numId="1863">
    <w:abstractNumId w:val="1423"/>
  </w:num>
  <w:num w:numId="1864">
    <w:abstractNumId w:val="1022"/>
  </w:num>
  <w:num w:numId="1865">
    <w:abstractNumId w:val="1762"/>
  </w:num>
  <w:num w:numId="1866">
    <w:abstractNumId w:val="471"/>
  </w:num>
  <w:num w:numId="1867">
    <w:abstractNumId w:val="273"/>
  </w:num>
  <w:num w:numId="1868">
    <w:abstractNumId w:val="764"/>
  </w:num>
  <w:num w:numId="1869">
    <w:abstractNumId w:val="1078"/>
  </w:num>
  <w:num w:numId="1870">
    <w:abstractNumId w:val="65"/>
  </w:num>
  <w:num w:numId="1871">
    <w:abstractNumId w:val="1946"/>
  </w:num>
  <w:num w:numId="1872">
    <w:abstractNumId w:val="2016"/>
  </w:num>
  <w:num w:numId="1873">
    <w:abstractNumId w:val="1195"/>
  </w:num>
  <w:num w:numId="1874">
    <w:abstractNumId w:val="1518"/>
  </w:num>
  <w:num w:numId="1875">
    <w:abstractNumId w:val="1539"/>
  </w:num>
  <w:num w:numId="1876">
    <w:abstractNumId w:val="2007"/>
  </w:num>
  <w:num w:numId="1877">
    <w:abstractNumId w:val="1062"/>
  </w:num>
  <w:num w:numId="1878">
    <w:abstractNumId w:val="1148"/>
  </w:num>
  <w:num w:numId="1879">
    <w:abstractNumId w:val="535"/>
  </w:num>
  <w:num w:numId="1880">
    <w:abstractNumId w:val="761"/>
  </w:num>
  <w:num w:numId="1881">
    <w:abstractNumId w:val="1807"/>
  </w:num>
  <w:num w:numId="1882">
    <w:abstractNumId w:val="1958"/>
  </w:num>
  <w:num w:numId="1883">
    <w:abstractNumId w:val="524"/>
  </w:num>
  <w:num w:numId="1884">
    <w:abstractNumId w:val="404"/>
  </w:num>
  <w:num w:numId="1885">
    <w:abstractNumId w:val="1686"/>
  </w:num>
  <w:num w:numId="1886">
    <w:abstractNumId w:val="249"/>
  </w:num>
  <w:num w:numId="1887">
    <w:abstractNumId w:val="1570"/>
  </w:num>
  <w:num w:numId="1888">
    <w:abstractNumId w:val="89"/>
  </w:num>
  <w:num w:numId="1889">
    <w:abstractNumId w:val="2036"/>
  </w:num>
  <w:num w:numId="1890">
    <w:abstractNumId w:val="1631"/>
  </w:num>
  <w:num w:numId="1891">
    <w:abstractNumId w:val="293"/>
  </w:num>
  <w:num w:numId="1892">
    <w:abstractNumId w:val="1466"/>
  </w:num>
  <w:num w:numId="1893">
    <w:abstractNumId w:val="1220"/>
  </w:num>
  <w:num w:numId="1894">
    <w:abstractNumId w:val="1527"/>
  </w:num>
  <w:num w:numId="1895">
    <w:abstractNumId w:val="1397"/>
  </w:num>
  <w:num w:numId="1896">
    <w:abstractNumId w:val="1166"/>
  </w:num>
  <w:num w:numId="1897">
    <w:abstractNumId w:val="1031"/>
  </w:num>
  <w:num w:numId="1898">
    <w:abstractNumId w:val="641"/>
  </w:num>
  <w:num w:numId="1899">
    <w:abstractNumId w:val="1997"/>
  </w:num>
  <w:num w:numId="1900">
    <w:abstractNumId w:val="1473"/>
  </w:num>
  <w:num w:numId="1901">
    <w:abstractNumId w:val="1502"/>
  </w:num>
  <w:num w:numId="1902">
    <w:abstractNumId w:val="1980"/>
  </w:num>
  <w:num w:numId="1903">
    <w:abstractNumId w:val="617"/>
  </w:num>
  <w:num w:numId="1904">
    <w:abstractNumId w:val="1140"/>
  </w:num>
  <w:num w:numId="1905">
    <w:abstractNumId w:val="476"/>
  </w:num>
  <w:num w:numId="1906">
    <w:abstractNumId w:val="978"/>
  </w:num>
  <w:num w:numId="1907">
    <w:abstractNumId w:val="1875"/>
  </w:num>
  <w:num w:numId="1908">
    <w:abstractNumId w:val="1960"/>
  </w:num>
  <w:num w:numId="1909">
    <w:abstractNumId w:val="1328"/>
  </w:num>
  <w:num w:numId="1910">
    <w:abstractNumId w:val="1757"/>
  </w:num>
  <w:num w:numId="1911">
    <w:abstractNumId w:val="1088"/>
  </w:num>
  <w:num w:numId="1912">
    <w:abstractNumId w:val="1611"/>
  </w:num>
  <w:num w:numId="1913">
    <w:abstractNumId w:val="112"/>
  </w:num>
  <w:num w:numId="1914">
    <w:abstractNumId w:val="1969"/>
  </w:num>
  <w:num w:numId="1915">
    <w:abstractNumId w:val="1808"/>
  </w:num>
  <w:num w:numId="1916">
    <w:abstractNumId w:val="651"/>
  </w:num>
  <w:num w:numId="1917">
    <w:abstractNumId w:val="922"/>
  </w:num>
  <w:num w:numId="1918">
    <w:abstractNumId w:val="1009"/>
  </w:num>
  <w:num w:numId="1919">
    <w:abstractNumId w:val="1669"/>
  </w:num>
  <w:num w:numId="1920">
    <w:abstractNumId w:val="391"/>
  </w:num>
  <w:num w:numId="1921">
    <w:abstractNumId w:val="1859"/>
  </w:num>
  <w:num w:numId="1922">
    <w:abstractNumId w:val="1145"/>
  </w:num>
  <w:num w:numId="1923">
    <w:abstractNumId w:val="146"/>
  </w:num>
  <w:num w:numId="1924">
    <w:abstractNumId w:val="721"/>
  </w:num>
  <w:num w:numId="1925">
    <w:abstractNumId w:val="192"/>
  </w:num>
  <w:num w:numId="1926">
    <w:abstractNumId w:val="509"/>
  </w:num>
  <w:num w:numId="1927">
    <w:abstractNumId w:val="1181"/>
  </w:num>
  <w:num w:numId="1928">
    <w:abstractNumId w:val="1077"/>
  </w:num>
  <w:num w:numId="1929">
    <w:abstractNumId w:val="755"/>
  </w:num>
  <w:num w:numId="1930">
    <w:abstractNumId w:val="1921"/>
  </w:num>
  <w:num w:numId="1931">
    <w:abstractNumId w:val="1291"/>
  </w:num>
  <w:num w:numId="1932">
    <w:abstractNumId w:val="931"/>
  </w:num>
  <w:num w:numId="1933">
    <w:abstractNumId w:val="579"/>
  </w:num>
  <w:num w:numId="1934">
    <w:abstractNumId w:val="1512"/>
  </w:num>
  <w:num w:numId="1935">
    <w:abstractNumId w:val="252"/>
  </w:num>
  <w:num w:numId="1936">
    <w:abstractNumId w:val="2024"/>
  </w:num>
  <w:num w:numId="1937">
    <w:abstractNumId w:val="2026"/>
  </w:num>
  <w:num w:numId="1938">
    <w:abstractNumId w:val="1094"/>
  </w:num>
  <w:num w:numId="1939">
    <w:abstractNumId w:val="2010"/>
  </w:num>
  <w:num w:numId="1940">
    <w:abstractNumId w:val="757"/>
  </w:num>
  <w:num w:numId="1941">
    <w:abstractNumId w:val="1996"/>
  </w:num>
  <w:num w:numId="1942">
    <w:abstractNumId w:val="1035"/>
  </w:num>
  <w:num w:numId="1943">
    <w:abstractNumId w:val="1186"/>
  </w:num>
  <w:num w:numId="1944">
    <w:abstractNumId w:val="1503"/>
  </w:num>
  <w:num w:numId="1945">
    <w:abstractNumId w:val="1640"/>
  </w:num>
  <w:num w:numId="1946">
    <w:abstractNumId w:val="702"/>
  </w:num>
  <w:num w:numId="1947">
    <w:abstractNumId w:val="1149"/>
  </w:num>
  <w:num w:numId="1948">
    <w:abstractNumId w:val="1341"/>
  </w:num>
  <w:num w:numId="1949">
    <w:abstractNumId w:val="342"/>
  </w:num>
  <w:num w:numId="1950">
    <w:abstractNumId w:val="857"/>
  </w:num>
  <w:num w:numId="1951">
    <w:abstractNumId w:val="1504"/>
  </w:num>
  <w:num w:numId="1952">
    <w:abstractNumId w:val="940"/>
  </w:num>
  <w:num w:numId="1953">
    <w:abstractNumId w:val="1319"/>
  </w:num>
  <w:num w:numId="1954">
    <w:abstractNumId w:val="1301"/>
  </w:num>
  <w:num w:numId="1955">
    <w:abstractNumId w:val="1643"/>
  </w:num>
  <w:num w:numId="1956">
    <w:abstractNumId w:val="441"/>
  </w:num>
  <w:num w:numId="1957">
    <w:abstractNumId w:val="502"/>
  </w:num>
  <w:num w:numId="1958">
    <w:abstractNumId w:val="896"/>
  </w:num>
  <w:num w:numId="1959">
    <w:abstractNumId w:val="703"/>
  </w:num>
  <w:num w:numId="1960">
    <w:abstractNumId w:val="974"/>
  </w:num>
  <w:num w:numId="1961">
    <w:abstractNumId w:val="904"/>
  </w:num>
  <w:num w:numId="1962">
    <w:abstractNumId w:val="1407"/>
  </w:num>
  <w:num w:numId="1963">
    <w:abstractNumId w:val="1781"/>
  </w:num>
  <w:num w:numId="1964">
    <w:abstractNumId w:val="1403"/>
  </w:num>
  <w:num w:numId="1965">
    <w:abstractNumId w:val="1218"/>
  </w:num>
  <w:num w:numId="1966">
    <w:abstractNumId w:val="1124"/>
  </w:num>
  <w:num w:numId="1967">
    <w:abstractNumId w:val="1930"/>
  </w:num>
  <w:num w:numId="1968">
    <w:abstractNumId w:val="163"/>
  </w:num>
  <w:num w:numId="1969">
    <w:abstractNumId w:val="377"/>
  </w:num>
  <w:num w:numId="1970">
    <w:abstractNumId w:val="368"/>
  </w:num>
  <w:num w:numId="1971">
    <w:abstractNumId w:val="111"/>
  </w:num>
  <w:num w:numId="1972">
    <w:abstractNumId w:val="1802"/>
  </w:num>
  <w:num w:numId="1973">
    <w:abstractNumId w:val="1872"/>
  </w:num>
  <w:num w:numId="1974">
    <w:abstractNumId w:val="1324"/>
  </w:num>
  <w:num w:numId="1975">
    <w:abstractNumId w:val="374"/>
  </w:num>
  <w:num w:numId="1976">
    <w:abstractNumId w:val="1828"/>
  </w:num>
  <w:num w:numId="1977">
    <w:abstractNumId w:val="1642"/>
  </w:num>
  <w:num w:numId="1978">
    <w:abstractNumId w:val="1696"/>
  </w:num>
  <w:num w:numId="1979">
    <w:abstractNumId w:val="606"/>
  </w:num>
  <w:num w:numId="1980">
    <w:abstractNumId w:val="824"/>
  </w:num>
  <w:num w:numId="1981">
    <w:abstractNumId w:val="1414"/>
  </w:num>
  <w:num w:numId="1982">
    <w:abstractNumId w:val="814"/>
  </w:num>
  <w:num w:numId="1983">
    <w:abstractNumId w:val="1392"/>
  </w:num>
  <w:num w:numId="1984">
    <w:abstractNumId w:val="438"/>
  </w:num>
  <w:num w:numId="1985">
    <w:abstractNumId w:val="770"/>
  </w:num>
  <w:num w:numId="1986">
    <w:abstractNumId w:val="1718"/>
  </w:num>
  <w:num w:numId="1987">
    <w:abstractNumId w:val="448"/>
  </w:num>
  <w:num w:numId="1988">
    <w:abstractNumId w:val="1883"/>
  </w:num>
  <w:num w:numId="1989">
    <w:abstractNumId w:val="1058"/>
  </w:num>
  <w:num w:numId="1990">
    <w:abstractNumId w:val="1877"/>
  </w:num>
  <w:num w:numId="1991">
    <w:abstractNumId w:val="1898"/>
  </w:num>
  <w:num w:numId="1992">
    <w:abstractNumId w:val="722"/>
  </w:num>
  <w:num w:numId="1993">
    <w:abstractNumId w:val="962"/>
  </w:num>
  <w:num w:numId="1994">
    <w:abstractNumId w:val="1127"/>
  </w:num>
  <w:num w:numId="1995">
    <w:abstractNumId w:val="1715"/>
  </w:num>
  <w:num w:numId="1996">
    <w:abstractNumId w:val="475"/>
  </w:num>
  <w:num w:numId="1997">
    <w:abstractNumId w:val="1656"/>
  </w:num>
  <w:num w:numId="1998">
    <w:abstractNumId w:val="267"/>
  </w:num>
  <w:num w:numId="1999">
    <w:abstractNumId w:val="704"/>
  </w:num>
  <w:num w:numId="2000">
    <w:abstractNumId w:val="1863"/>
  </w:num>
  <w:num w:numId="2001">
    <w:abstractNumId w:val="610"/>
  </w:num>
  <w:num w:numId="2002">
    <w:abstractNumId w:val="1894"/>
  </w:num>
  <w:num w:numId="2003">
    <w:abstractNumId w:val="1305"/>
  </w:num>
  <w:num w:numId="2004">
    <w:abstractNumId w:val="1680"/>
  </w:num>
  <w:num w:numId="2005">
    <w:abstractNumId w:val="1136"/>
  </w:num>
  <w:num w:numId="2006">
    <w:abstractNumId w:val="917"/>
  </w:num>
  <w:num w:numId="2007">
    <w:abstractNumId w:val="1625"/>
  </w:num>
  <w:num w:numId="2008">
    <w:abstractNumId w:val="918"/>
  </w:num>
  <w:num w:numId="2009">
    <w:abstractNumId w:val="726"/>
  </w:num>
  <w:num w:numId="2010">
    <w:abstractNumId w:val="1428"/>
  </w:num>
  <w:num w:numId="2011">
    <w:abstractNumId w:val="227"/>
  </w:num>
  <w:num w:numId="2012">
    <w:abstractNumId w:val="672"/>
  </w:num>
  <w:num w:numId="2013">
    <w:abstractNumId w:val="541"/>
  </w:num>
  <w:num w:numId="2014">
    <w:abstractNumId w:val="443"/>
  </w:num>
  <w:num w:numId="2015">
    <w:abstractNumId w:val="490"/>
  </w:num>
  <w:num w:numId="2016">
    <w:abstractNumId w:val="381"/>
  </w:num>
  <w:num w:numId="2017">
    <w:abstractNumId w:val="1662"/>
  </w:num>
  <w:num w:numId="2018">
    <w:abstractNumId w:val="1217"/>
  </w:num>
  <w:num w:numId="2019">
    <w:abstractNumId w:val="825"/>
  </w:num>
  <w:num w:numId="2020">
    <w:abstractNumId w:val="1893"/>
  </w:num>
  <w:num w:numId="2021">
    <w:abstractNumId w:val="1026"/>
  </w:num>
  <w:num w:numId="2022">
    <w:abstractNumId w:val="609"/>
  </w:num>
  <w:num w:numId="2023">
    <w:abstractNumId w:val="115"/>
  </w:num>
  <w:num w:numId="2024">
    <w:abstractNumId w:val="211"/>
  </w:num>
  <w:num w:numId="2025">
    <w:abstractNumId w:val="937"/>
  </w:num>
  <w:num w:numId="2026">
    <w:abstractNumId w:val="1161"/>
  </w:num>
  <w:num w:numId="2027">
    <w:abstractNumId w:val="224"/>
  </w:num>
  <w:num w:numId="2028">
    <w:abstractNumId w:val="1339"/>
  </w:num>
  <w:num w:numId="2029">
    <w:abstractNumId w:val="174"/>
  </w:num>
  <w:num w:numId="2030">
    <w:abstractNumId w:val="885"/>
  </w:num>
  <w:num w:numId="2031">
    <w:abstractNumId w:val="1827"/>
  </w:num>
  <w:num w:numId="2032">
    <w:abstractNumId w:val="42"/>
  </w:num>
  <w:num w:numId="2033">
    <w:abstractNumId w:val="1289"/>
  </w:num>
  <w:num w:numId="2034">
    <w:abstractNumId w:val="284"/>
  </w:num>
  <w:num w:numId="2035">
    <w:abstractNumId w:val="969"/>
  </w:num>
  <w:num w:numId="2036">
    <w:abstractNumId w:val="1147"/>
  </w:num>
  <w:num w:numId="2037">
    <w:abstractNumId w:val="373"/>
  </w:num>
  <w:num w:numId="2038">
    <w:abstractNumId w:val="2001"/>
  </w:num>
  <w:num w:numId="2039">
    <w:abstractNumId w:val="1644"/>
  </w:num>
  <w:num w:numId="2040">
    <w:abstractNumId w:val="1402"/>
  </w:num>
  <w:num w:numId="2041">
    <w:abstractNumId w:val="1024"/>
  </w:num>
  <w:num w:numId="2042">
    <w:abstractNumId w:val="691"/>
  </w:num>
  <w:num w:numId="2043">
    <w:abstractNumId w:val="470"/>
  </w:num>
  <w:num w:numId="2044">
    <w:abstractNumId w:val="1023"/>
  </w:num>
  <w:num w:numId="2045">
    <w:abstractNumId w:val="128"/>
  </w:num>
  <w:num w:numId="2046">
    <w:abstractNumId w:val="151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o:colormenu v:ext="edit" fillcolor="none [660]"/>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041039"/>
    <w:rsid w:val="00041039"/>
    <w:rsid w:val="001B26CB"/>
    <w:rsid w:val="00892392"/>
    <w:rsid w:val="00FA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0]"/>
    </o:shapedefaults>
    <o:shapelayout v:ext="edit">
      <o:idmap v:ext="edit" data="1"/>
    </o:shapelayout>
  </w:shapeDefaults>
  <w:decimalSymbol w:val="."/>
  <w:listSeparator w:val=","/>
  <w15:docId w15:val="{DDC197E0-6E62-43E9-9798-5CFA7FCF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3" w:line="203" w:lineRule="exact"/>
      <w:ind w:left="497"/>
      <w:outlineLvl w:val="0"/>
    </w:pPr>
    <w:rPr>
      <w:b/>
      <w:bCs/>
      <w:sz w:val="18"/>
      <w:szCs w:val="18"/>
    </w:rPr>
  </w:style>
  <w:style w:type="paragraph" w:styleId="Heading2">
    <w:name w:val="heading 2"/>
    <w:basedOn w:val="Normal"/>
    <w:uiPriority w:val="1"/>
    <w:qFormat/>
    <w:pPr>
      <w:spacing w:line="200" w:lineRule="exact"/>
      <w:ind w:left="497"/>
      <w:outlineLvl w:val="1"/>
    </w:pPr>
    <w:rPr>
      <w:sz w:val="18"/>
      <w:szCs w:val="18"/>
    </w:rPr>
  </w:style>
  <w:style w:type="paragraph" w:styleId="Heading3">
    <w:name w:val="heading 3"/>
    <w:basedOn w:val="Normal"/>
    <w:uiPriority w:val="1"/>
    <w:qFormat/>
    <w:pPr>
      <w:spacing w:before="48"/>
      <w:ind w:left="157"/>
      <w:outlineLvl w:val="2"/>
    </w:pPr>
    <w:rPr>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1"/>
    <w:qFormat/>
    <w:pPr>
      <w:spacing w:line="200" w:lineRule="exact"/>
      <w:ind w:left="632" w:hanging="135"/>
    </w:pPr>
  </w:style>
  <w:style w:type="paragraph" w:customStyle="1" w:styleId="TableParagraph">
    <w:name w:val="Table Paragraph"/>
    <w:basedOn w:val="Normal"/>
    <w:uiPriority w:val="1"/>
    <w:qFormat/>
    <w:pPr>
      <w:ind w:left="156"/>
    </w:pPr>
  </w:style>
  <w:style w:type="paragraph" w:customStyle="1" w:styleId="NASLOVZLATO">
    <w:name w:val="NASLOV ZLATO"/>
    <w:basedOn w:val="Title"/>
    <w:qFormat/>
    <w:rsid w:val="00FA3A94"/>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FA3A94"/>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FA3A94"/>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FA3A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3A9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A3A94"/>
    <w:pPr>
      <w:tabs>
        <w:tab w:val="center" w:pos="4680"/>
        <w:tab w:val="right" w:pos="9360"/>
      </w:tabs>
    </w:pPr>
  </w:style>
  <w:style w:type="character" w:customStyle="1" w:styleId="HeaderChar">
    <w:name w:val="Header Char"/>
    <w:basedOn w:val="DefaultParagraphFont"/>
    <w:link w:val="Header"/>
    <w:uiPriority w:val="99"/>
    <w:rsid w:val="00FA3A94"/>
    <w:rPr>
      <w:rFonts w:ascii="Times New Roman" w:eastAsia="Times New Roman" w:hAnsi="Times New Roman" w:cs="Times New Roman"/>
    </w:rPr>
  </w:style>
  <w:style w:type="paragraph" w:styleId="Footer">
    <w:name w:val="footer"/>
    <w:basedOn w:val="Normal"/>
    <w:link w:val="FooterChar"/>
    <w:uiPriority w:val="99"/>
    <w:unhideWhenUsed/>
    <w:rsid w:val="00FA3A94"/>
    <w:pPr>
      <w:tabs>
        <w:tab w:val="center" w:pos="4680"/>
        <w:tab w:val="right" w:pos="9360"/>
      </w:tabs>
    </w:pPr>
  </w:style>
  <w:style w:type="character" w:customStyle="1" w:styleId="FooterChar">
    <w:name w:val="Footer Char"/>
    <w:basedOn w:val="DefaultParagraphFont"/>
    <w:link w:val="Footer"/>
    <w:uiPriority w:val="99"/>
    <w:rsid w:val="00FA3A9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185</Pages>
  <Words>126392</Words>
  <Characters>720440</Characters>
  <Application>Microsoft Office Word</Application>
  <DocSecurity>0</DocSecurity>
  <Lines>6003</Lines>
  <Paragraphs>1690</Paragraphs>
  <ScaleCrop>false</ScaleCrop>
  <Company/>
  <LinksUpToDate>false</LinksUpToDate>
  <CharactersWithSpaces>845142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4</cp:revision>
  <dcterms:created xsi:type="dcterms:W3CDTF">2023-12-01T08:28:00Z</dcterms:created>
  <dcterms:modified xsi:type="dcterms:W3CDTF">2023-12-01T09:49:00Z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2016-03-29T00:00:00Z</vt:filetime>
  </property>
  <property fmtid="{D5CDD505-2E9C-101B-9397-08002B2CF9AE}" pid="3" name="Creator">
    <vt:lpwstr>PDF-XChange Editor 5.5.308.2</vt:lpwstr>
  </property>
  <property fmtid="{D5CDD505-2E9C-101B-9397-08002B2CF9AE}" pid="4" name="LastSaved">
    <vt:filetime>2023-12-01T00:00:00Z</vt:filetime>
  </property>
</Properties>
</file>